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BB1B" w14:textId="2D3352CB" w:rsidR="00C96B04" w:rsidRPr="00BB6220" w:rsidRDefault="00C96B04" w:rsidP="00BF0C39">
      <w:pPr>
        <w:rPr>
          <w:b/>
          <w:bCs/>
          <w:sz w:val="40"/>
          <w:szCs w:val="40"/>
        </w:rPr>
      </w:pPr>
      <w:bookmarkStart w:id="0" w:name="_Hlk174626926"/>
      <w:bookmarkEnd w:id="0"/>
    </w:p>
    <w:p w14:paraId="43714777" w14:textId="1B554387" w:rsidR="00C031DF" w:rsidRPr="00BB6220" w:rsidRDefault="00C031DF" w:rsidP="00C031DF">
      <w:pPr>
        <w:rPr>
          <w:b/>
          <w:bCs/>
          <w:sz w:val="40"/>
          <w:szCs w:val="40"/>
        </w:rPr>
      </w:pPr>
      <w:r w:rsidRPr="00BB6220">
        <w:rPr>
          <w:b/>
          <w:bCs/>
          <w:sz w:val="40"/>
          <w:szCs w:val="40"/>
        </w:rPr>
        <w:t>Conversion</w:t>
      </w:r>
      <w:r w:rsidR="003D640C">
        <w:rPr>
          <w:b/>
          <w:bCs/>
          <w:sz w:val="40"/>
          <w:szCs w:val="40"/>
        </w:rPr>
        <w:t xml:space="preserve"> </w:t>
      </w:r>
      <w:r w:rsidRPr="00BB6220">
        <w:rPr>
          <w:b/>
          <w:bCs/>
          <w:sz w:val="40"/>
          <w:szCs w:val="40"/>
        </w:rPr>
        <w:t>Practices</w:t>
      </w:r>
      <w:r w:rsidR="003D640C">
        <w:rPr>
          <w:b/>
          <w:bCs/>
          <w:sz w:val="40"/>
          <w:szCs w:val="40"/>
        </w:rPr>
        <w:t xml:space="preserve"> </w:t>
      </w:r>
      <w:r w:rsidR="0079640C" w:rsidRPr="00BB6220">
        <w:rPr>
          <w:b/>
          <w:bCs/>
          <w:sz w:val="40"/>
          <w:szCs w:val="40"/>
        </w:rPr>
        <w:t>in</w:t>
      </w:r>
      <w:r w:rsidR="003D640C">
        <w:rPr>
          <w:b/>
          <w:bCs/>
          <w:sz w:val="40"/>
          <w:szCs w:val="40"/>
        </w:rPr>
        <w:t xml:space="preserve"> </w:t>
      </w:r>
      <w:r w:rsidR="0079640C" w:rsidRPr="00BB6220">
        <w:rPr>
          <w:b/>
          <w:bCs/>
          <w:sz w:val="40"/>
          <w:szCs w:val="40"/>
        </w:rPr>
        <w:t>Aotearoa</w:t>
      </w:r>
      <w:r w:rsidR="003D640C">
        <w:rPr>
          <w:b/>
          <w:bCs/>
          <w:sz w:val="40"/>
          <w:szCs w:val="40"/>
        </w:rPr>
        <w:t xml:space="preserve"> </w:t>
      </w:r>
      <w:r w:rsidR="0079640C" w:rsidRPr="00BB6220">
        <w:rPr>
          <w:b/>
          <w:bCs/>
          <w:sz w:val="40"/>
          <w:szCs w:val="40"/>
        </w:rPr>
        <w:t>New</w:t>
      </w:r>
      <w:r w:rsidR="003D640C">
        <w:rPr>
          <w:b/>
          <w:bCs/>
          <w:sz w:val="40"/>
          <w:szCs w:val="40"/>
        </w:rPr>
        <w:t xml:space="preserve"> </w:t>
      </w:r>
      <w:r w:rsidR="0079640C" w:rsidRPr="00BB6220">
        <w:rPr>
          <w:b/>
          <w:bCs/>
          <w:sz w:val="40"/>
          <w:szCs w:val="40"/>
        </w:rPr>
        <w:t>Zealand</w:t>
      </w:r>
    </w:p>
    <w:p w14:paraId="02E1A7B2" w14:textId="77777777" w:rsidR="00501068" w:rsidRDefault="0012598F" w:rsidP="00C031DF">
      <w:pPr>
        <w:rPr>
          <w:b/>
          <w:bCs/>
          <w:sz w:val="32"/>
          <w:szCs w:val="32"/>
        </w:rPr>
      </w:pPr>
      <w:r w:rsidRPr="00BB6220">
        <w:rPr>
          <w:b/>
          <w:bCs/>
          <w:sz w:val="32"/>
          <w:szCs w:val="32"/>
        </w:rPr>
        <w:t>Insights</w:t>
      </w:r>
      <w:r w:rsidR="003D640C">
        <w:rPr>
          <w:b/>
          <w:bCs/>
          <w:sz w:val="32"/>
          <w:szCs w:val="32"/>
        </w:rPr>
        <w:t xml:space="preserve"> </w:t>
      </w:r>
      <w:r w:rsidRPr="00BB6220">
        <w:rPr>
          <w:b/>
          <w:bCs/>
          <w:sz w:val="32"/>
          <w:szCs w:val="32"/>
        </w:rPr>
        <w:t>and</w:t>
      </w:r>
      <w:r w:rsidR="003D640C">
        <w:rPr>
          <w:b/>
          <w:bCs/>
          <w:sz w:val="32"/>
          <w:szCs w:val="32"/>
        </w:rPr>
        <w:t xml:space="preserve"> </w:t>
      </w:r>
      <w:r w:rsidRPr="00BB6220">
        <w:rPr>
          <w:b/>
          <w:bCs/>
          <w:sz w:val="32"/>
          <w:szCs w:val="32"/>
        </w:rPr>
        <w:t>Recommendations</w:t>
      </w:r>
      <w:r w:rsidR="003D640C">
        <w:rPr>
          <w:b/>
          <w:bCs/>
          <w:sz w:val="32"/>
          <w:szCs w:val="32"/>
        </w:rPr>
        <w:t xml:space="preserve"> </w:t>
      </w:r>
      <w:r w:rsidRPr="00BB6220">
        <w:rPr>
          <w:b/>
          <w:bCs/>
          <w:sz w:val="32"/>
          <w:szCs w:val="32"/>
        </w:rPr>
        <w:t>f</w:t>
      </w:r>
      <w:r w:rsidR="005E4B50" w:rsidRPr="00BB6220">
        <w:rPr>
          <w:b/>
          <w:bCs/>
          <w:sz w:val="32"/>
          <w:szCs w:val="32"/>
        </w:rPr>
        <w:t>rom</w:t>
      </w:r>
      <w:r w:rsidR="003D640C">
        <w:rPr>
          <w:b/>
          <w:bCs/>
          <w:sz w:val="32"/>
          <w:szCs w:val="32"/>
        </w:rPr>
        <w:t xml:space="preserve"> </w:t>
      </w:r>
      <w:r w:rsidR="00454E28">
        <w:rPr>
          <w:b/>
          <w:bCs/>
          <w:sz w:val="32"/>
          <w:szCs w:val="32"/>
        </w:rPr>
        <w:t>a</w:t>
      </w:r>
      <w:r w:rsidR="003D640C">
        <w:rPr>
          <w:b/>
          <w:bCs/>
          <w:sz w:val="32"/>
          <w:szCs w:val="32"/>
        </w:rPr>
        <w:t xml:space="preserve"> </w:t>
      </w:r>
      <w:r w:rsidR="00454E28">
        <w:rPr>
          <w:b/>
          <w:bCs/>
          <w:sz w:val="32"/>
          <w:szCs w:val="32"/>
        </w:rPr>
        <w:t>Human</w:t>
      </w:r>
      <w:r w:rsidR="003D640C">
        <w:rPr>
          <w:b/>
          <w:bCs/>
          <w:sz w:val="32"/>
          <w:szCs w:val="32"/>
        </w:rPr>
        <w:t xml:space="preserve"> </w:t>
      </w:r>
      <w:r w:rsidR="00454E28">
        <w:rPr>
          <w:b/>
          <w:bCs/>
          <w:sz w:val="32"/>
          <w:szCs w:val="32"/>
        </w:rPr>
        <w:t>Rights</w:t>
      </w:r>
      <w:r w:rsidR="003D640C">
        <w:rPr>
          <w:b/>
          <w:bCs/>
          <w:sz w:val="32"/>
          <w:szCs w:val="32"/>
        </w:rPr>
        <w:t xml:space="preserve"> </w:t>
      </w:r>
      <w:r w:rsidR="00454E28">
        <w:rPr>
          <w:b/>
          <w:bCs/>
          <w:sz w:val="32"/>
          <w:szCs w:val="32"/>
        </w:rPr>
        <w:t>Perspective</w:t>
      </w:r>
    </w:p>
    <w:p w14:paraId="25EB1BA0" w14:textId="77777777" w:rsidR="00501068" w:rsidRDefault="00501068" w:rsidP="00C031DF">
      <w:pPr>
        <w:rPr>
          <w:b/>
          <w:bCs/>
          <w:sz w:val="40"/>
          <w:szCs w:val="40"/>
        </w:rPr>
      </w:pPr>
    </w:p>
    <w:p w14:paraId="478F994D" w14:textId="77777777" w:rsidR="00501068" w:rsidRDefault="00501068" w:rsidP="00C031DF">
      <w:pPr>
        <w:rPr>
          <w:b/>
          <w:bCs/>
          <w:sz w:val="40"/>
          <w:szCs w:val="40"/>
        </w:rPr>
      </w:pPr>
    </w:p>
    <w:p w14:paraId="5BBAD7E2" w14:textId="77777777" w:rsidR="00AC5CF7" w:rsidRPr="00BB6220" w:rsidRDefault="00AC5CF7" w:rsidP="00C031DF">
      <w:pPr>
        <w:rPr>
          <w:b/>
          <w:bCs/>
          <w:sz w:val="40"/>
          <w:szCs w:val="40"/>
        </w:rPr>
      </w:pPr>
    </w:p>
    <w:p w14:paraId="6C2BF835" w14:textId="77777777" w:rsidR="00501068" w:rsidRDefault="00C031DF" w:rsidP="002022E3">
      <w:pPr>
        <w:rPr>
          <w:b/>
          <w:bCs/>
          <w:sz w:val="40"/>
          <w:szCs w:val="40"/>
        </w:rPr>
      </w:pPr>
      <w:r w:rsidRPr="00BB6220">
        <w:rPr>
          <w:b/>
          <w:bCs/>
          <w:sz w:val="40"/>
          <w:szCs w:val="40"/>
        </w:rPr>
        <w:t>Te</w:t>
      </w:r>
      <w:r w:rsidR="003D640C">
        <w:rPr>
          <w:b/>
          <w:bCs/>
          <w:sz w:val="40"/>
          <w:szCs w:val="40"/>
        </w:rPr>
        <w:t xml:space="preserve"> </w:t>
      </w:r>
      <w:r w:rsidRPr="00BB6220">
        <w:rPr>
          <w:b/>
          <w:bCs/>
          <w:sz w:val="40"/>
          <w:szCs w:val="40"/>
        </w:rPr>
        <w:t>Kāhui</w:t>
      </w:r>
      <w:r w:rsidR="003D640C">
        <w:rPr>
          <w:b/>
          <w:bCs/>
          <w:sz w:val="40"/>
          <w:szCs w:val="40"/>
        </w:rPr>
        <w:t xml:space="preserve"> </w:t>
      </w:r>
      <w:r w:rsidRPr="00BB6220">
        <w:rPr>
          <w:b/>
          <w:bCs/>
          <w:sz w:val="40"/>
          <w:szCs w:val="40"/>
        </w:rPr>
        <w:t>Tika</w:t>
      </w:r>
      <w:r w:rsidR="003D640C">
        <w:rPr>
          <w:b/>
          <w:bCs/>
          <w:sz w:val="40"/>
          <w:szCs w:val="40"/>
        </w:rPr>
        <w:t xml:space="preserve"> </w:t>
      </w:r>
      <w:r w:rsidRPr="00BB6220">
        <w:rPr>
          <w:b/>
          <w:bCs/>
          <w:sz w:val="40"/>
          <w:szCs w:val="40"/>
        </w:rPr>
        <w:t>Tangata</w:t>
      </w:r>
      <w:r w:rsidR="003D640C">
        <w:rPr>
          <w:b/>
          <w:bCs/>
          <w:sz w:val="40"/>
          <w:szCs w:val="40"/>
        </w:rPr>
        <w:t xml:space="preserve"> </w:t>
      </w:r>
      <w:r w:rsidRPr="00BB6220">
        <w:rPr>
          <w:b/>
          <w:bCs/>
          <w:sz w:val="40"/>
          <w:szCs w:val="40"/>
        </w:rPr>
        <w:t>Human</w:t>
      </w:r>
      <w:r w:rsidR="003D640C">
        <w:rPr>
          <w:b/>
          <w:bCs/>
          <w:sz w:val="40"/>
          <w:szCs w:val="40"/>
        </w:rPr>
        <w:t xml:space="preserve"> </w:t>
      </w:r>
      <w:r w:rsidRPr="00BB6220">
        <w:rPr>
          <w:b/>
          <w:bCs/>
          <w:sz w:val="40"/>
          <w:szCs w:val="40"/>
        </w:rPr>
        <w:t>Rights</w:t>
      </w:r>
      <w:r w:rsidR="003D640C">
        <w:rPr>
          <w:b/>
          <w:bCs/>
          <w:sz w:val="40"/>
          <w:szCs w:val="40"/>
        </w:rPr>
        <w:t xml:space="preserve"> </w:t>
      </w:r>
      <w:r w:rsidRPr="00BB6220">
        <w:rPr>
          <w:b/>
          <w:bCs/>
          <w:sz w:val="40"/>
          <w:szCs w:val="40"/>
        </w:rPr>
        <w:t>Commission</w:t>
      </w:r>
    </w:p>
    <w:p w14:paraId="3FDFF971" w14:textId="6AF8F716" w:rsidR="007E4942" w:rsidRPr="00BB6220" w:rsidRDefault="007E4942" w:rsidP="002022E3">
      <w:pPr>
        <w:rPr>
          <w:b/>
          <w:bCs/>
          <w:sz w:val="28"/>
          <w:szCs w:val="28"/>
        </w:rPr>
      </w:pPr>
    </w:p>
    <w:p w14:paraId="511E9490" w14:textId="77777777" w:rsidR="00D00C73" w:rsidRDefault="00D00C73" w:rsidP="00D025FA">
      <w:pPr>
        <w:rPr>
          <w:b/>
          <w:bCs/>
          <w:sz w:val="28"/>
          <w:szCs w:val="28"/>
        </w:rPr>
      </w:pPr>
    </w:p>
    <w:p w14:paraId="1A58A4C3" w14:textId="5A001B27" w:rsidR="00501068" w:rsidRDefault="00C96B04" w:rsidP="00D025FA">
      <w:r>
        <w:t>June</w:t>
      </w:r>
      <w:r w:rsidR="003D640C">
        <w:t xml:space="preserve"> </w:t>
      </w:r>
      <w:r>
        <w:t>2024</w:t>
      </w:r>
    </w:p>
    <w:p w14:paraId="2F58F17A" w14:textId="77777777" w:rsidR="00501068" w:rsidRDefault="5D41836A" w:rsidP="00D025FA">
      <w:r w:rsidRPr="00BB6220">
        <w:t>ISBN</w:t>
      </w:r>
      <w:r w:rsidR="003D640C">
        <w:rPr>
          <w:rFonts w:ascii="Arial" w:eastAsia="Arial" w:hAnsi="Arial" w:cs="Arial"/>
          <w:color w:val="000000" w:themeColor="text1"/>
          <w:lang w:val="en-US"/>
        </w:rPr>
        <w:t xml:space="preserve"> </w:t>
      </w:r>
      <w:r w:rsidRPr="00D025FA">
        <w:t>978-0-478-35638-0</w:t>
      </w:r>
      <w:r w:rsidR="003D640C" w:rsidRPr="00D025FA">
        <w:t xml:space="preserve"> </w:t>
      </w:r>
    </w:p>
    <w:p w14:paraId="6CE490D0" w14:textId="55B5826A" w:rsidR="005A5A1C" w:rsidRPr="00BB6220" w:rsidRDefault="005A5A1C" w:rsidP="00D025FA"/>
    <w:p w14:paraId="04E83BCC" w14:textId="4CB7AF57" w:rsidR="007F5733" w:rsidRDefault="007F5733" w:rsidP="00D025FA">
      <w:r w:rsidRPr="55AC35C8">
        <w:t>CONTENT</w:t>
      </w:r>
      <w:r w:rsidR="003D640C">
        <w:t xml:space="preserve"> </w:t>
      </w:r>
      <w:r w:rsidRPr="55AC35C8">
        <w:t>WARNING:</w:t>
      </w:r>
      <w:r w:rsidR="003D640C">
        <w:t xml:space="preserve"> </w:t>
      </w:r>
      <w:r w:rsidRPr="55AC35C8">
        <w:t>This</w:t>
      </w:r>
      <w:r w:rsidR="003D640C">
        <w:t xml:space="preserve"> </w:t>
      </w:r>
      <w:r w:rsidRPr="55AC35C8">
        <w:t>report</w:t>
      </w:r>
      <w:r w:rsidR="003D640C">
        <w:t xml:space="preserve"> </w:t>
      </w:r>
      <w:r w:rsidR="1FEE3202" w:rsidRPr="62B02E6E">
        <w:t>discusses</w:t>
      </w:r>
      <w:r w:rsidR="003D640C">
        <w:t xml:space="preserve"> </w:t>
      </w:r>
      <w:r w:rsidR="1FEE3202" w:rsidRPr="3B37DEB6">
        <w:t>a</w:t>
      </w:r>
      <w:r w:rsidR="003D640C">
        <w:t xml:space="preserve"> </w:t>
      </w:r>
      <w:r w:rsidR="1FEE3202" w:rsidRPr="3B37DEB6">
        <w:t>range</w:t>
      </w:r>
      <w:r w:rsidR="003D640C">
        <w:t xml:space="preserve"> </w:t>
      </w:r>
      <w:r w:rsidR="1FEE3202" w:rsidRPr="3B37DEB6">
        <w:t>of</w:t>
      </w:r>
      <w:r w:rsidR="003D640C">
        <w:t xml:space="preserve"> </w:t>
      </w:r>
      <w:r w:rsidR="1FEE3202" w:rsidRPr="7552BD63">
        <w:t>types</w:t>
      </w:r>
      <w:r w:rsidR="003D640C">
        <w:t xml:space="preserve"> </w:t>
      </w:r>
      <w:r w:rsidR="1FEE3202" w:rsidRPr="7552BD63">
        <w:t>of</w:t>
      </w:r>
      <w:r w:rsidR="003D640C">
        <w:t xml:space="preserve"> </w:t>
      </w:r>
      <w:r w:rsidR="1FEE3202" w:rsidRPr="7552BD63">
        <w:t>abuse,</w:t>
      </w:r>
      <w:r w:rsidR="003D640C">
        <w:t xml:space="preserve"> </w:t>
      </w:r>
      <w:r w:rsidR="1FEE3202" w:rsidRPr="7552BD63">
        <w:t>self-harm,</w:t>
      </w:r>
      <w:r w:rsidR="003D640C">
        <w:t xml:space="preserve"> </w:t>
      </w:r>
      <w:r w:rsidR="673B7752" w:rsidRPr="21149061">
        <w:t>and</w:t>
      </w:r>
      <w:r w:rsidR="003D640C">
        <w:t xml:space="preserve"> </w:t>
      </w:r>
      <w:r w:rsidR="673B7752" w:rsidRPr="21149061">
        <w:t>suicide</w:t>
      </w:r>
      <w:r w:rsidR="673B7752" w:rsidRPr="24528A17">
        <w:t>.</w:t>
      </w:r>
      <w:r w:rsidR="003D640C">
        <w:t xml:space="preserve"> </w:t>
      </w:r>
    </w:p>
    <w:p w14:paraId="325162AA" w14:textId="4C67C2D9" w:rsidR="00221EFF" w:rsidRPr="00BB6220" w:rsidRDefault="00B15343" w:rsidP="005A5A1C">
      <w:pPr>
        <w:rPr>
          <w:sz w:val="32"/>
          <w:szCs w:val="32"/>
        </w:rPr>
      </w:pPr>
      <w:r w:rsidRPr="00BB6220">
        <w:rPr>
          <w:sz w:val="32"/>
          <w:szCs w:val="32"/>
        </w:rPr>
        <w:br w:type="page"/>
      </w:r>
    </w:p>
    <w:p w14:paraId="12CE5911" w14:textId="43096667" w:rsidR="00501BC4" w:rsidRPr="00501BC4" w:rsidRDefault="00501BC4" w:rsidP="00501BC4">
      <w:pPr>
        <w:spacing w:after="200"/>
        <w:rPr>
          <w:rFonts w:asciiTheme="majorHAnsi" w:hAnsiTheme="majorHAnsi" w:cstheme="majorHAnsi"/>
          <w:b/>
          <w:bCs/>
          <w:color w:val="2F5496"/>
          <w:sz w:val="40"/>
          <w:szCs w:val="40"/>
        </w:rPr>
      </w:pPr>
      <w:r>
        <w:rPr>
          <w:rFonts w:asciiTheme="majorHAnsi" w:hAnsiTheme="majorHAnsi" w:cstheme="majorHAnsi"/>
          <w:b/>
          <w:bCs/>
          <w:color w:val="2F5496"/>
          <w:sz w:val="40"/>
          <w:szCs w:val="40"/>
        </w:rPr>
        <w:lastRenderedPageBreak/>
        <w:t>Acknowledgements</w:t>
      </w:r>
    </w:p>
    <w:p w14:paraId="6E6A659B" w14:textId="5847548E" w:rsidR="00444405" w:rsidRPr="00BB6220" w:rsidRDefault="00444405" w:rsidP="008E1CCA">
      <w:pPr>
        <w:rPr>
          <w:rFonts w:ascii="Calibri" w:eastAsia="Times New Roman" w:hAnsi="Calibri" w:cs="Calibri"/>
          <w:shd w:val="clear" w:color="auto" w:fill="FFFFFF"/>
          <w:lang w:eastAsia="en-NZ"/>
        </w:rPr>
      </w:pPr>
      <w:r w:rsidRPr="00BB6220">
        <w:t>Te</w:t>
      </w:r>
      <w:r w:rsidR="003D640C">
        <w:t xml:space="preserve"> </w:t>
      </w:r>
      <w:r w:rsidRPr="00BB6220">
        <w:t>Kāhui</w:t>
      </w:r>
      <w:r w:rsidR="003D640C">
        <w:t xml:space="preserve"> </w:t>
      </w:r>
      <w:r w:rsidRPr="00BB6220">
        <w:t>Tika</w:t>
      </w:r>
      <w:r w:rsidR="003D640C">
        <w:t xml:space="preserve"> </w:t>
      </w:r>
      <w:r w:rsidRPr="00BB6220">
        <w:t>Tangata</w:t>
      </w:r>
      <w:r w:rsidR="003D640C">
        <w:t xml:space="preserve"> </w:t>
      </w:r>
      <w:r w:rsidR="00501BC4">
        <w:t xml:space="preserve">| </w:t>
      </w:r>
      <w:r w:rsidRPr="00BB6220">
        <w:t>Human</w:t>
      </w:r>
      <w:r w:rsidR="003D640C">
        <w:t xml:space="preserve"> </w:t>
      </w:r>
      <w:r w:rsidRPr="00BB6220">
        <w:t>Rights</w:t>
      </w:r>
      <w:r w:rsidR="003D640C">
        <w:t xml:space="preserve"> </w:t>
      </w:r>
      <w:r w:rsidRPr="00BB6220">
        <w:t>Commission</w:t>
      </w:r>
      <w:r w:rsidR="003D640C">
        <w:t xml:space="preserve"> </w:t>
      </w:r>
      <w:r w:rsidRPr="00BB6220">
        <w:t>acknowledges</w:t>
      </w:r>
      <w:r w:rsidR="003D640C">
        <w:t xml:space="preserve"> </w:t>
      </w:r>
      <w:r w:rsidRPr="00BB6220">
        <w:t>the</w:t>
      </w:r>
      <w:r w:rsidR="003D640C">
        <w:t xml:space="preserve"> </w:t>
      </w:r>
      <w:r w:rsidRPr="00BB6220">
        <w:t>community</w:t>
      </w:r>
      <w:r w:rsidR="003D640C">
        <w:t xml:space="preserve"> </w:t>
      </w:r>
      <w:r w:rsidRPr="00BB6220">
        <w:t>leaders,</w:t>
      </w:r>
      <w:r w:rsidR="003D640C">
        <w:t xml:space="preserve"> </w:t>
      </w:r>
      <w:r w:rsidRPr="00BB6220">
        <w:t>M</w:t>
      </w:r>
      <w:r w:rsidR="00653ECF" w:rsidRPr="00BB6220">
        <w:t>embers</w:t>
      </w:r>
      <w:r w:rsidR="003D640C">
        <w:t xml:space="preserve"> </w:t>
      </w:r>
      <w:r w:rsidR="00653ECF" w:rsidRPr="00BB6220">
        <w:t>of</w:t>
      </w:r>
      <w:r w:rsidR="003D640C">
        <w:t xml:space="preserve"> </w:t>
      </w:r>
      <w:r w:rsidRPr="00BB6220">
        <w:t>P</w:t>
      </w:r>
      <w:r w:rsidR="00653ECF" w:rsidRPr="00BB6220">
        <w:t>arliament</w:t>
      </w:r>
      <w:r w:rsidR="00A45312">
        <w:t>,</w:t>
      </w:r>
      <w:r w:rsidR="003D640C">
        <w:t xml:space="preserve"> </w:t>
      </w:r>
      <w:r w:rsidRPr="00BB6220">
        <w:t>and</w:t>
      </w:r>
      <w:r w:rsidR="003D640C">
        <w:t xml:space="preserve"> </w:t>
      </w:r>
      <w:r w:rsidRPr="00BB6220">
        <w:t>conversion</w:t>
      </w:r>
      <w:r w:rsidR="003D640C">
        <w:t xml:space="preserve"> </w:t>
      </w:r>
      <w:r w:rsidRPr="00BB6220">
        <w:t>practices</w:t>
      </w:r>
      <w:r w:rsidR="003D640C">
        <w:t xml:space="preserve"> </w:t>
      </w:r>
      <w:r w:rsidRPr="00BB6220">
        <w:t>survivors</w:t>
      </w:r>
      <w:r w:rsidR="00023B4E">
        <w:t>,</w:t>
      </w:r>
      <w:r w:rsidR="003D640C">
        <w:t xml:space="preserve"> </w:t>
      </w:r>
      <w:r w:rsidRPr="00BB6220">
        <w:t>among</w:t>
      </w:r>
      <w:r w:rsidR="003D640C">
        <w:t xml:space="preserve"> </w:t>
      </w:r>
      <w:r w:rsidRPr="00BB6220">
        <w:t>countless</w:t>
      </w:r>
      <w:r w:rsidR="003D640C">
        <w:t xml:space="preserve"> </w:t>
      </w:r>
      <w:r w:rsidRPr="00BB6220">
        <w:t>others,</w:t>
      </w:r>
      <w:r w:rsidR="003D640C">
        <w:t xml:space="preserve"> </w:t>
      </w:r>
      <w:r w:rsidRPr="00BB6220">
        <w:t>who</w:t>
      </w:r>
      <w:r w:rsidR="003D640C">
        <w:t xml:space="preserve"> </w:t>
      </w:r>
      <w:r w:rsidRPr="00BB6220">
        <w:t>advocated</w:t>
      </w:r>
      <w:r w:rsidR="003D640C">
        <w:t xml:space="preserve"> </w:t>
      </w:r>
      <w:r w:rsidRPr="00BB6220">
        <w:t>and</w:t>
      </w:r>
      <w:r w:rsidR="003D640C">
        <w:t xml:space="preserve"> </w:t>
      </w:r>
      <w:r w:rsidRPr="00BB6220">
        <w:t>fought</w:t>
      </w:r>
      <w:r w:rsidR="003D640C">
        <w:t xml:space="preserve"> </w:t>
      </w:r>
      <w:r w:rsidRPr="00BB6220">
        <w:t>hard</w:t>
      </w:r>
      <w:r w:rsidR="003D640C">
        <w:t xml:space="preserve"> </w:t>
      </w:r>
      <w:r w:rsidRPr="00BB6220">
        <w:t>to</w:t>
      </w:r>
      <w:r w:rsidR="003D640C">
        <w:t xml:space="preserve"> </w:t>
      </w:r>
      <w:r w:rsidRPr="00BB6220">
        <w:t>bring</w:t>
      </w:r>
      <w:r w:rsidR="003D640C">
        <w:t xml:space="preserve"> </w:t>
      </w:r>
      <w:r w:rsidRPr="00BB6220">
        <w:t>this</w:t>
      </w:r>
      <w:r w:rsidR="003D640C">
        <w:t xml:space="preserve"> </w:t>
      </w:r>
      <w:r w:rsidRPr="00BB6220">
        <w:t>issue</w:t>
      </w:r>
      <w:r w:rsidR="003D640C">
        <w:t xml:space="preserve"> </w:t>
      </w:r>
      <w:r w:rsidRPr="00BB6220">
        <w:t>before</w:t>
      </w:r>
      <w:r w:rsidR="003D640C">
        <w:t xml:space="preserve"> </w:t>
      </w:r>
      <w:r w:rsidRPr="00BB6220">
        <w:t>Parliament,</w:t>
      </w:r>
      <w:r w:rsidR="003D640C">
        <w:t xml:space="preserve"> </w:t>
      </w:r>
      <w:r w:rsidRPr="00BB6220">
        <w:t>eventually</w:t>
      </w:r>
      <w:r w:rsidR="003D640C">
        <w:t xml:space="preserve"> </w:t>
      </w:r>
      <w:r w:rsidRPr="00BB6220">
        <w:t>leading</w:t>
      </w:r>
      <w:r w:rsidR="003D640C">
        <w:t xml:space="preserve"> </w:t>
      </w:r>
      <w:r w:rsidRPr="00BB6220">
        <w:t>to</w:t>
      </w:r>
      <w:r w:rsidR="003D640C">
        <w:t xml:space="preserve"> </w:t>
      </w:r>
      <w:r w:rsidRPr="00BB6220">
        <w:t>the</w:t>
      </w:r>
      <w:r w:rsidR="003D640C">
        <w:t xml:space="preserve"> </w:t>
      </w:r>
      <w:r w:rsidR="00C0177A">
        <w:t xml:space="preserve">passing of the </w:t>
      </w:r>
      <w:r w:rsidRPr="00BB6220">
        <w:rPr>
          <w:rFonts w:ascii="Calibri" w:eastAsia="Times New Roman" w:hAnsi="Calibri" w:cs="Calibri"/>
          <w:shd w:val="clear" w:color="auto" w:fill="FFFFFF"/>
          <w:lang w:eastAsia="en-NZ"/>
        </w:rPr>
        <w:t>historic</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Prohibition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Legislation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Act</w:t>
      </w:r>
      <w:r w:rsidR="003D640C">
        <w:rPr>
          <w:rFonts w:ascii="Calibri" w:eastAsia="Times New Roman" w:hAnsi="Calibri" w:cs="Calibri"/>
          <w:shd w:val="clear" w:color="auto" w:fill="FFFFFF"/>
          <w:lang w:eastAsia="en-NZ"/>
        </w:rPr>
        <w:t xml:space="preserve"> </w:t>
      </w:r>
      <w:r w:rsidR="00B7217D">
        <w:rPr>
          <w:rFonts w:ascii="Calibri" w:eastAsia="Times New Roman" w:hAnsi="Calibri" w:cs="Calibri"/>
          <w:shd w:val="clear" w:color="auto" w:fill="FFFFFF"/>
          <w:lang w:eastAsia="en-NZ"/>
        </w:rPr>
        <w:t>2022</w:t>
      </w:r>
      <w:r w:rsidR="003D640C">
        <w:rPr>
          <w:rFonts w:ascii="Calibri" w:eastAsia="Times New Roman" w:hAnsi="Calibri" w:cs="Calibri"/>
          <w:shd w:val="clear" w:color="auto" w:fill="FFFFFF"/>
          <w:lang w:eastAsia="en-NZ"/>
        </w:rPr>
        <w:t xml:space="preserve"> </w:t>
      </w:r>
      <w:r w:rsidR="00B7217D">
        <w:rPr>
          <w:rFonts w:ascii="Calibri" w:eastAsia="Times New Roman" w:hAnsi="Calibri" w:cs="Calibri"/>
          <w:shd w:val="clear" w:color="auto" w:fill="FFFFFF"/>
          <w:lang w:eastAsia="en-NZ"/>
        </w:rPr>
        <w:t>(CPPLA)</w:t>
      </w:r>
      <w:r w:rsidR="006A48D6">
        <w:rPr>
          <w:rFonts w:ascii="Calibri" w:eastAsia="Times New Roman" w:hAnsi="Calibri" w:cs="Calibri"/>
          <w:shd w:val="clear" w:color="auto" w:fill="FFFFFF"/>
          <w:lang w:eastAsia="en-NZ"/>
        </w:rPr>
        <w:t>.</w:t>
      </w:r>
    </w:p>
    <w:p w14:paraId="1371252B" w14:textId="68B1A234" w:rsidR="00890495" w:rsidRPr="00BB6220" w:rsidRDefault="00890495" w:rsidP="008E1CCA">
      <w:r w:rsidRPr="00BB6220">
        <w:t>We</w:t>
      </w:r>
      <w:r w:rsidR="003D640C">
        <w:t xml:space="preserve"> </w:t>
      </w:r>
      <w:r w:rsidRPr="00BB6220">
        <w:t>acknowledge</w:t>
      </w:r>
      <w:r w:rsidR="003D640C">
        <w:t xml:space="preserve"> </w:t>
      </w:r>
      <w:r w:rsidRPr="00BB6220">
        <w:t>in</w:t>
      </w:r>
      <w:r w:rsidR="003D640C">
        <w:t xml:space="preserve"> </w:t>
      </w:r>
      <w:r w:rsidRPr="00BB6220">
        <w:t>particular</w:t>
      </w:r>
      <w:r w:rsidR="003D640C">
        <w:t xml:space="preserve"> </w:t>
      </w:r>
      <w:r w:rsidRPr="00BB6220">
        <w:t>the</w:t>
      </w:r>
      <w:r w:rsidR="003D640C">
        <w:t xml:space="preserve"> </w:t>
      </w:r>
      <w:r w:rsidRPr="00BB6220">
        <w:t>leadership</w:t>
      </w:r>
      <w:r w:rsidR="003D640C">
        <w:t xml:space="preserve"> </w:t>
      </w:r>
      <w:r w:rsidRPr="00BB6220">
        <w:t>of</w:t>
      </w:r>
      <w:r w:rsidR="003D640C">
        <w:t xml:space="preserve"> </w:t>
      </w:r>
      <w:r w:rsidRPr="00BB6220">
        <w:t>Amanda</w:t>
      </w:r>
      <w:r w:rsidR="003D640C">
        <w:t xml:space="preserve"> </w:t>
      </w:r>
      <w:r w:rsidRPr="00BB6220">
        <w:t>Ashley</w:t>
      </w:r>
      <w:r w:rsidR="003D640C">
        <w:t xml:space="preserve"> </w:t>
      </w:r>
      <w:r w:rsidRPr="00BB6220">
        <w:t>who</w:t>
      </w:r>
      <w:r w:rsidR="003D640C">
        <w:t xml:space="preserve"> </w:t>
      </w:r>
      <w:r w:rsidRPr="00BB6220">
        <w:t>passed</w:t>
      </w:r>
      <w:r w:rsidR="003D640C">
        <w:t xml:space="preserve"> </w:t>
      </w:r>
      <w:r w:rsidRPr="00BB6220">
        <w:t>away</w:t>
      </w:r>
      <w:r w:rsidR="003D640C">
        <w:t xml:space="preserve"> </w:t>
      </w:r>
      <w:r w:rsidRPr="00BB6220">
        <w:t>in</w:t>
      </w:r>
      <w:r w:rsidR="003D640C">
        <w:t xml:space="preserve"> </w:t>
      </w:r>
      <w:r w:rsidRPr="00BB6220">
        <w:t>2018</w:t>
      </w:r>
      <w:r w:rsidR="003D640C">
        <w:t xml:space="preserve"> </w:t>
      </w:r>
      <w:r w:rsidRPr="00BB6220">
        <w:t>as</w:t>
      </w:r>
      <w:r w:rsidR="003D640C">
        <w:t xml:space="preserve"> </w:t>
      </w:r>
      <w:r w:rsidRPr="00BB6220">
        <w:t>the</w:t>
      </w:r>
      <w:r w:rsidR="003D640C">
        <w:t xml:space="preserve"> </w:t>
      </w:r>
      <w:r w:rsidRPr="00BB6220">
        <w:t>Conversion</w:t>
      </w:r>
      <w:r w:rsidR="003D640C">
        <w:t xml:space="preserve"> </w:t>
      </w:r>
      <w:r w:rsidRPr="00BB6220">
        <w:t>Practices</w:t>
      </w:r>
      <w:r w:rsidR="003D640C">
        <w:t xml:space="preserve"> </w:t>
      </w:r>
      <w:r w:rsidRPr="00BB6220">
        <w:t>Prohibition</w:t>
      </w:r>
      <w:r w:rsidR="003D640C">
        <w:t xml:space="preserve"> </w:t>
      </w:r>
      <w:r w:rsidRPr="00BB6220">
        <w:t>Legislation</w:t>
      </w:r>
      <w:r w:rsidR="003D640C">
        <w:t xml:space="preserve"> </w:t>
      </w:r>
      <w:r w:rsidR="0002658E">
        <w:t>B</w:t>
      </w:r>
      <w:r w:rsidRPr="00BB6220">
        <w:t>ill</w:t>
      </w:r>
      <w:r w:rsidR="003D640C">
        <w:t xml:space="preserve"> </w:t>
      </w:r>
      <w:r w:rsidRPr="00BB6220">
        <w:t>was</w:t>
      </w:r>
      <w:r w:rsidR="003D640C">
        <w:t xml:space="preserve"> </w:t>
      </w:r>
      <w:r w:rsidRPr="00BB6220">
        <w:t>going</w:t>
      </w:r>
      <w:r w:rsidR="003D640C">
        <w:t xml:space="preserve"> </w:t>
      </w:r>
      <w:r w:rsidRPr="00BB6220">
        <w:t>through</w:t>
      </w:r>
      <w:r w:rsidR="003D640C">
        <w:t xml:space="preserve"> </w:t>
      </w:r>
      <w:r w:rsidRPr="00BB6220">
        <w:t>Parliament.</w:t>
      </w:r>
      <w:r w:rsidR="003D640C">
        <w:t xml:space="preserve"> </w:t>
      </w:r>
    </w:p>
    <w:p w14:paraId="042040AD" w14:textId="3B29308F" w:rsidR="004D453D" w:rsidRPr="003F27C3" w:rsidRDefault="006F5902" w:rsidP="008E1CCA">
      <w:r w:rsidRPr="00BB6220">
        <w:t>In</w:t>
      </w:r>
      <w:r w:rsidR="003D640C">
        <w:t xml:space="preserve"> </w:t>
      </w:r>
      <w:r w:rsidRPr="00BB6220">
        <w:t>addition,</w:t>
      </w:r>
      <w:r w:rsidR="003D640C">
        <w:t xml:space="preserve"> </w:t>
      </w:r>
      <w:r w:rsidRPr="00BB6220">
        <w:t>w</w:t>
      </w:r>
      <w:r w:rsidR="00F778A9" w:rsidRPr="00BB6220">
        <w:t>e</w:t>
      </w:r>
      <w:r w:rsidR="003D640C">
        <w:t xml:space="preserve"> </w:t>
      </w:r>
      <w:r w:rsidR="00F778A9" w:rsidRPr="00BB6220">
        <w:t>acknowledge</w:t>
      </w:r>
      <w:r w:rsidR="003D640C">
        <w:t xml:space="preserve"> </w:t>
      </w:r>
      <w:r w:rsidR="00F778A9" w:rsidRPr="00BB6220">
        <w:t>the</w:t>
      </w:r>
      <w:r w:rsidR="003D640C">
        <w:t xml:space="preserve"> </w:t>
      </w:r>
      <w:r w:rsidR="00F778A9" w:rsidRPr="00BB6220">
        <w:t>effort</w:t>
      </w:r>
      <w:r w:rsidR="003D640C">
        <w:t xml:space="preserve"> </w:t>
      </w:r>
      <w:r w:rsidR="00F778A9" w:rsidRPr="00BB6220">
        <w:t>and</w:t>
      </w:r>
      <w:r w:rsidR="003D640C">
        <w:t xml:space="preserve"> </w:t>
      </w:r>
      <w:r w:rsidR="00F778A9" w:rsidRPr="00BB6220">
        <w:t>time</w:t>
      </w:r>
      <w:r w:rsidR="003D640C">
        <w:t xml:space="preserve"> </w:t>
      </w:r>
      <w:r w:rsidR="00F778A9" w:rsidRPr="00BB6220">
        <w:t>spent</w:t>
      </w:r>
      <w:r w:rsidR="003D640C">
        <w:t xml:space="preserve"> </w:t>
      </w:r>
      <w:r w:rsidR="00F778A9" w:rsidRPr="00BB6220">
        <w:t>by</w:t>
      </w:r>
      <w:r w:rsidR="003D640C">
        <w:t xml:space="preserve"> </w:t>
      </w:r>
      <w:r w:rsidR="00F778A9" w:rsidRPr="00BB6220">
        <w:t>survivors</w:t>
      </w:r>
      <w:r w:rsidR="003D640C">
        <w:t xml:space="preserve"> </w:t>
      </w:r>
      <w:r w:rsidR="00B7217D">
        <w:t>in</w:t>
      </w:r>
      <w:r w:rsidR="003D640C">
        <w:t xml:space="preserve"> </w:t>
      </w:r>
      <w:r w:rsidR="00F778A9" w:rsidRPr="00BB6220">
        <w:t>contribut</w:t>
      </w:r>
      <w:r w:rsidR="00B7217D">
        <w:t>ing</w:t>
      </w:r>
      <w:r w:rsidR="003D640C">
        <w:t xml:space="preserve"> </w:t>
      </w:r>
      <w:r w:rsidR="00F778A9" w:rsidRPr="00BB6220">
        <w:t>to</w:t>
      </w:r>
      <w:r w:rsidR="003D640C">
        <w:t xml:space="preserve"> </w:t>
      </w:r>
      <w:r w:rsidR="00F778A9" w:rsidRPr="00BB6220">
        <w:t>this</w:t>
      </w:r>
      <w:r w:rsidR="003D640C">
        <w:t xml:space="preserve"> </w:t>
      </w:r>
      <w:r w:rsidR="00F778A9" w:rsidRPr="00BB6220">
        <w:t>report.</w:t>
      </w:r>
      <w:r w:rsidR="003D640C">
        <w:t xml:space="preserve"> </w:t>
      </w:r>
      <w:r w:rsidR="00F778A9" w:rsidRPr="00BB6220">
        <w:t>The</w:t>
      </w:r>
      <w:r w:rsidR="003D640C">
        <w:t xml:space="preserve"> </w:t>
      </w:r>
      <w:r w:rsidR="00F778A9" w:rsidRPr="00BB6220">
        <w:t>stories</w:t>
      </w:r>
      <w:r w:rsidR="003D640C">
        <w:t xml:space="preserve"> </w:t>
      </w:r>
      <w:r w:rsidRPr="00BB6220">
        <w:t>of</w:t>
      </w:r>
      <w:r w:rsidR="003D640C">
        <w:t xml:space="preserve"> </w:t>
      </w:r>
      <w:r w:rsidRPr="00BB6220">
        <w:t>all</w:t>
      </w:r>
      <w:r w:rsidR="003D640C">
        <w:t xml:space="preserve"> </w:t>
      </w:r>
      <w:r w:rsidRPr="00BB6220">
        <w:t>survivors</w:t>
      </w:r>
      <w:r w:rsidR="003D640C">
        <w:t xml:space="preserve"> </w:t>
      </w:r>
      <w:r w:rsidR="00F778A9" w:rsidRPr="00BB6220">
        <w:t>have</w:t>
      </w:r>
      <w:r w:rsidR="003D640C">
        <w:t xml:space="preserve"> </w:t>
      </w:r>
      <w:r w:rsidR="00F778A9" w:rsidRPr="00BB6220">
        <w:t>been</w:t>
      </w:r>
      <w:r w:rsidR="003D640C">
        <w:t xml:space="preserve"> </w:t>
      </w:r>
      <w:r w:rsidR="00F778A9" w:rsidRPr="00BB6220">
        <w:t>invaluable</w:t>
      </w:r>
      <w:r w:rsidR="003D640C">
        <w:t xml:space="preserve"> </w:t>
      </w:r>
      <w:r w:rsidR="00F778A9" w:rsidRPr="00BB6220">
        <w:t>in</w:t>
      </w:r>
      <w:r w:rsidR="003D640C">
        <w:t xml:space="preserve"> </w:t>
      </w:r>
      <w:r w:rsidR="00F778A9" w:rsidRPr="00BB6220">
        <w:t>reaching</w:t>
      </w:r>
      <w:r w:rsidR="003D640C">
        <w:t xml:space="preserve"> </w:t>
      </w:r>
      <w:r w:rsidR="00F778A9" w:rsidRPr="00BB6220">
        <w:t>the</w:t>
      </w:r>
      <w:r w:rsidR="003D640C">
        <w:t xml:space="preserve"> </w:t>
      </w:r>
      <w:r w:rsidR="00F778A9" w:rsidRPr="00BB6220">
        <w:t>hearts</w:t>
      </w:r>
      <w:r w:rsidR="003D640C">
        <w:t xml:space="preserve"> </w:t>
      </w:r>
      <w:r w:rsidR="00F778A9" w:rsidRPr="00BB6220">
        <w:t>and</w:t>
      </w:r>
      <w:r w:rsidR="003D640C">
        <w:t xml:space="preserve"> </w:t>
      </w:r>
      <w:r w:rsidR="00F778A9" w:rsidRPr="00BB6220">
        <w:t>minds</w:t>
      </w:r>
      <w:r w:rsidR="003D640C">
        <w:t xml:space="preserve"> </w:t>
      </w:r>
      <w:r w:rsidR="00F778A9" w:rsidRPr="00BB6220">
        <w:t>of</w:t>
      </w:r>
      <w:r w:rsidR="003D640C">
        <w:t xml:space="preserve"> </w:t>
      </w:r>
      <w:r w:rsidR="00F778A9" w:rsidRPr="00BB6220">
        <w:t>those</w:t>
      </w:r>
      <w:r w:rsidR="003D640C">
        <w:t xml:space="preserve"> </w:t>
      </w:r>
      <w:r w:rsidR="00F778A9" w:rsidRPr="00BB6220">
        <w:t>unfamiliar</w:t>
      </w:r>
      <w:r w:rsidR="003D640C">
        <w:t xml:space="preserve"> </w:t>
      </w:r>
      <w:r w:rsidR="00F778A9" w:rsidRPr="00BB6220">
        <w:t>with</w:t>
      </w:r>
      <w:r w:rsidR="003D640C">
        <w:t xml:space="preserve"> </w:t>
      </w:r>
      <w:r w:rsidR="00F778A9" w:rsidRPr="00BB6220">
        <w:t>conversion</w:t>
      </w:r>
      <w:r w:rsidR="003D640C">
        <w:t xml:space="preserve"> </w:t>
      </w:r>
      <w:r w:rsidR="00F778A9" w:rsidRPr="00BB6220">
        <w:t>practices</w:t>
      </w:r>
      <w:r w:rsidR="003D640C">
        <w:t xml:space="preserve"> </w:t>
      </w:r>
      <w:r w:rsidR="00F778A9" w:rsidRPr="00BB6220">
        <w:t>and</w:t>
      </w:r>
      <w:r w:rsidR="003D640C">
        <w:t xml:space="preserve"> </w:t>
      </w:r>
      <w:r w:rsidR="00F778A9" w:rsidRPr="00BB6220">
        <w:t>the</w:t>
      </w:r>
      <w:r w:rsidR="00B7217D">
        <w:t>ir</w:t>
      </w:r>
      <w:r w:rsidR="003D640C">
        <w:t xml:space="preserve"> </w:t>
      </w:r>
      <w:r w:rsidR="00F778A9" w:rsidRPr="00BB6220">
        <w:t>associated</w:t>
      </w:r>
      <w:r w:rsidR="003D640C">
        <w:t xml:space="preserve"> </w:t>
      </w:r>
      <w:r w:rsidR="00F778A9" w:rsidRPr="00BB6220">
        <w:t>harm</w:t>
      </w:r>
      <w:r w:rsidR="00B7217D">
        <w:t>.</w:t>
      </w:r>
      <w:r w:rsidR="003D640C">
        <w:t xml:space="preserve"> </w:t>
      </w:r>
      <w:r w:rsidR="00B7217D">
        <w:t>They</w:t>
      </w:r>
      <w:r w:rsidR="003D640C">
        <w:t xml:space="preserve"> </w:t>
      </w:r>
      <w:r w:rsidR="00B7217D">
        <w:t>have</w:t>
      </w:r>
      <w:r w:rsidR="003D640C">
        <w:t xml:space="preserve"> </w:t>
      </w:r>
      <w:r w:rsidR="00F778A9" w:rsidRPr="00BB6220">
        <w:t>made</w:t>
      </w:r>
      <w:r w:rsidR="00A9667B">
        <w:t xml:space="preserve"> it</w:t>
      </w:r>
      <w:r w:rsidR="003D640C">
        <w:t xml:space="preserve"> </w:t>
      </w:r>
      <w:r w:rsidR="00F778A9" w:rsidRPr="00BB6220">
        <w:t>clear</w:t>
      </w:r>
      <w:r w:rsidR="003D640C">
        <w:t xml:space="preserve"> </w:t>
      </w:r>
      <w:r w:rsidR="00F778A9" w:rsidRPr="00BB6220">
        <w:t>that</w:t>
      </w:r>
      <w:r w:rsidR="003D640C">
        <w:t xml:space="preserve"> </w:t>
      </w:r>
      <w:r w:rsidR="00B7217D">
        <w:t>conversion</w:t>
      </w:r>
      <w:r w:rsidR="003D640C">
        <w:t xml:space="preserve"> </w:t>
      </w:r>
      <w:r w:rsidR="00B7217D">
        <w:t>practices</w:t>
      </w:r>
      <w:r w:rsidR="003D640C">
        <w:t xml:space="preserve"> </w:t>
      </w:r>
      <w:r w:rsidR="00B7217D">
        <w:t>are</w:t>
      </w:r>
      <w:r w:rsidR="003D640C">
        <w:t xml:space="preserve"> </w:t>
      </w:r>
      <w:r w:rsidR="00F778A9" w:rsidRPr="00BB6220">
        <w:t>a</w:t>
      </w:r>
      <w:r w:rsidR="003D640C">
        <w:t xml:space="preserve"> </w:t>
      </w:r>
      <w:r w:rsidR="00F778A9" w:rsidRPr="00BB6220">
        <w:t>problem</w:t>
      </w:r>
      <w:r w:rsidR="003D640C">
        <w:t xml:space="preserve"> </w:t>
      </w:r>
      <w:r w:rsidR="00F778A9" w:rsidRPr="00BB6220">
        <w:t>in</w:t>
      </w:r>
      <w:r w:rsidR="003D640C">
        <w:t xml:space="preserve"> </w:t>
      </w:r>
      <w:r w:rsidR="00F778A9" w:rsidRPr="00BB6220">
        <w:t>Aotearoa</w:t>
      </w:r>
      <w:r w:rsidR="003D640C">
        <w:t xml:space="preserve"> </w:t>
      </w:r>
      <w:r w:rsidR="00A45312">
        <w:t xml:space="preserve">– </w:t>
      </w:r>
      <w:r w:rsidR="00F778A9" w:rsidRPr="00BB6220">
        <w:t>and</w:t>
      </w:r>
      <w:r w:rsidR="003D640C">
        <w:t xml:space="preserve"> </w:t>
      </w:r>
      <w:r w:rsidR="00F778A9" w:rsidRPr="00BB6220">
        <w:t>a</w:t>
      </w:r>
      <w:r w:rsidR="003D640C">
        <w:t xml:space="preserve"> </w:t>
      </w:r>
      <w:r w:rsidR="00F778A9" w:rsidRPr="00BB6220">
        <w:t>current</w:t>
      </w:r>
      <w:r w:rsidR="003D640C">
        <w:t xml:space="preserve"> </w:t>
      </w:r>
      <w:r w:rsidR="00F778A9" w:rsidRPr="00BB6220">
        <w:t>one.</w:t>
      </w:r>
      <w:r w:rsidR="003D640C">
        <w:t xml:space="preserve"> </w:t>
      </w:r>
      <w:r w:rsidR="004D453D" w:rsidRPr="003F27C3">
        <w:t>This</w:t>
      </w:r>
      <w:r w:rsidR="003D640C">
        <w:t xml:space="preserve"> </w:t>
      </w:r>
      <w:r w:rsidR="004D453D" w:rsidRPr="003F27C3">
        <w:t>report</w:t>
      </w:r>
      <w:r w:rsidR="003D640C">
        <w:t xml:space="preserve"> </w:t>
      </w:r>
      <w:r w:rsidR="004D453D" w:rsidRPr="003F27C3">
        <w:t>is</w:t>
      </w:r>
      <w:r w:rsidR="003D640C">
        <w:t xml:space="preserve"> </w:t>
      </w:r>
      <w:r w:rsidR="004D453D" w:rsidRPr="003F27C3">
        <w:t>intended</w:t>
      </w:r>
      <w:r w:rsidR="003D640C">
        <w:t xml:space="preserve"> </w:t>
      </w:r>
      <w:r w:rsidR="004D453D" w:rsidRPr="003F27C3">
        <w:t>as</w:t>
      </w:r>
      <w:r w:rsidR="003D640C">
        <w:t xml:space="preserve"> </w:t>
      </w:r>
      <w:r w:rsidR="004D453D" w:rsidRPr="003F27C3">
        <w:t>a</w:t>
      </w:r>
      <w:r w:rsidR="003D640C">
        <w:t xml:space="preserve"> </w:t>
      </w:r>
      <w:r w:rsidR="004D453D" w:rsidRPr="003F27C3">
        <w:t>way</w:t>
      </w:r>
      <w:r w:rsidR="003D640C">
        <w:t xml:space="preserve"> </w:t>
      </w:r>
      <w:r w:rsidR="004D453D" w:rsidRPr="003F27C3">
        <w:t>for</w:t>
      </w:r>
      <w:r w:rsidR="003D640C">
        <w:t xml:space="preserve"> </w:t>
      </w:r>
      <w:r w:rsidR="004D453D" w:rsidRPr="003F27C3">
        <w:t>us</w:t>
      </w:r>
      <w:r w:rsidR="003D640C">
        <w:t xml:space="preserve"> </w:t>
      </w:r>
      <w:r w:rsidR="004D453D" w:rsidRPr="003F27C3">
        <w:t>to</w:t>
      </w:r>
      <w:r w:rsidR="003D640C">
        <w:t xml:space="preserve"> </w:t>
      </w:r>
      <w:r w:rsidR="004D453D" w:rsidRPr="003F27C3">
        <w:t>reciprocate</w:t>
      </w:r>
      <w:r w:rsidR="003D640C">
        <w:t xml:space="preserve"> </w:t>
      </w:r>
      <w:r w:rsidR="004D453D" w:rsidRPr="003F27C3">
        <w:t>the</w:t>
      </w:r>
      <w:r w:rsidR="003D640C">
        <w:t xml:space="preserve"> </w:t>
      </w:r>
      <w:r w:rsidR="004D453D" w:rsidRPr="003F27C3">
        <w:t>support</w:t>
      </w:r>
      <w:r w:rsidR="003D640C">
        <w:t xml:space="preserve"> </w:t>
      </w:r>
      <w:r w:rsidR="004D453D" w:rsidRPr="003F27C3">
        <w:t>we</w:t>
      </w:r>
      <w:r w:rsidR="003D640C">
        <w:t xml:space="preserve"> </w:t>
      </w:r>
      <w:r w:rsidR="004D453D" w:rsidRPr="003F27C3">
        <w:t>received</w:t>
      </w:r>
      <w:r w:rsidR="003D640C">
        <w:t xml:space="preserve"> </w:t>
      </w:r>
      <w:r w:rsidR="004D453D" w:rsidRPr="003F27C3">
        <w:t>from</w:t>
      </w:r>
      <w:r w:rsidR="003D640C">
        <w:t xml:space="preserve"> </w:t>
      </w:r>
      <w:r w:rsidR="004D453D" w:rsidRPr="003F27C3">
        <w:t>the</w:t>
      </w:r>
      <w:r w:rsidR="003D640C">
        <w:t xml:space="preserve"> </w:t>
      </w:r>
      <w:r w:rsidR="004D453D" w:rsidRPr="003F27C3">
        <w:t>conversion</w:t>
      </w:r>
      <w:r w:rsidR="003D640C">
        <w:t xml:space="preserve"> </w:t>
      </w:r>
      <w:r w:rsidR="004D453D" w:rsidRPr="003F27C3">
        <w:t>practices</w:t>
      </w:r>
      <w:r w:rsidR="003D640C">
        <w:t xml:space="preserve"> </w:t>
      </w:r>
      <w:r w:rsidR="004D453D" w:rsidRPr="003F27C3">
        <w:t>survivor</w:t>
      </w:r>
      <w:r w:rsidR="003D640C">
        <w:t xml:space="preserve"> </w:t>
      </w:r>
      <w:r w:rsidR="004D453D" w:rsidRPr="003F27C3">
        <w:t>community</w:t>
      </w:r>
      <w:r w:rsidR="003D640C">
        <w:t xml:space="preserve"> </w:t>
      </w:r>
      <w:r w:rsidR="004D453D" w:rsidRPr="003F27C3">
        <w:t>who</w:t>
      </w:r>
      <w:r w:rsidR="003D640C">
        <w:t xml:space="preserve"> </w:t>
      </w:r>
      <w:r w:rsidR="004D453D" w:rsidRPr="003F27C3">
        <w:t>generously</w:t>
      </w:r>
      <w:r w:rsidR="003D640C">
        <w:t xml:space="preserve"> </w:t>
      </w:r>
      <w:r w:rsidR="004D453D" w:rsidRPr="003F27C3">
        <w:t>shared</w:t>
      </w:r>
      <w:r w:rsidR="003D640C">
        <w:t xml:space="preserve"> </w:t>
      </w:r>
      <w:r w:rsidR="004D453D" w:rsidRPr="003F27C3">
        <w:t>their</w:t>
      </w:r>
      <w:r w:rsidR="003D640C">
        <w:t xml:space="preserve"> </w:t>
      </w:r>
      <w:r w:rsidR="004D453D" w:rsidRPr="003F27C3">
        <w:t>experiences</w:t>
      </w:r>
      <w:r w:rsidR="003D640C">
        <w:t xml:space="preserve"> </w:t>
      </w:r>
      <w:r w:rsidR="004D453D" w:rsidRPr="003F27C3">
        <w:t>with</w:t>
      </w:r>
      <w:r w:rsidR="003D640C">
        <w:t xml:space="preserve"> </w:t>
      </w:r>
      <w:r w:rsidR="004D453D" w:rsidRPr="003F27C3">
        <w:t>us</w:t>
      </w:r>
      <w:r w:rsidR="003D640C">
        <w:t xml:space="preserve"> </w:t>
      </w:r>
      <w:r w:rsidR="004D453D" w:rsidRPr="003F27C3">
        <w:t>to</w:t>
      </w:r>
      <w:r w:rsidR="003D640C">
        <w:t xml:space="preserve"> </w:t>
      </w:r>
      <w:r w:rsidR="004D453D" w:rsidRPr="003F27C3">
        <w:t>inform</w:t>
      </w:r>
      <w:r w:rsidR="003D640C">
        <w:t xml:space="preserve"> </w:t>
      </w:r>
      <w:r w:rsidR="004D453D" w:rsidRPr="003F27C3">
        <w:t>our</w:t>
      </w:r>
      <w:r w:rsidR="003D640C">
        <w:t xml:space="preserve"> </w:t>
      </w:r>
      <w:r w:rsidR="004D453D" w:rsidRPr="003F27C3">
        <w:t>work.</w:t>
      </w:r>
    </w:p>
    <w:p w14:paraId="1E367911" w14:textId="554B6509" w:rsidR="003A7911" w:rsidRPr="00BB6220" w:rsidRDefault="001923F0" w:rsidP="008E1CCA">
      <w:r w:rsidRPr="00BB6220">
        <w:t>When</w:t>
      </w:r>
      <w:r w:rsidR="003D640C">
        <w:t xml:space="preserve"> </w:t>
      </w:r>
      <w:r w:rsidRPr="00BB6220">
        <w:t>the</w:t>
      </w:r>
      <w:r w:rsidR="003D640C">
        <w:t xml:space="preserve"> </w:t>
      </w:r>
      <w:r w:rsidRPr="00BB6220">
        <w:t>Commission</w:t>
      </w:r>
      <w:r w:rsidR="003D640C">
        <w:t xml:space="preserve"> </w:t>
      </w:r>
      <w:r w:rsidRPr="00BB6220">
        <w:t>set</w:t>
      </w:r>
      <w:r w:rsidR="003D640C">
        <w:t xml:space="preserve"> </w:t>
      </w:r>
      <w:r w:rsidRPr="00BB6220">
        <w:t>out</w:t>
      </w:r>
      <w:r w:rsidR="003D640C">
        <w:t xml:space="preserve"> </w:t>
      </w:r>
      <w:r w:rsidRPr="00BB6220">
        <w:t>to</w:t>
      </w:r>
      <w:r w:rsidR="003D640C">
        <w:t xml:space="preserve"> </w:t>
      </w:r>
      <w:r w:rsidRPr="00BB6220">
        <w:t>enact</w:t>
      </w:r>
      <w:r w:rsidR="003D640C">
        <w:t xml:space="preserve"> </w:t>
      </w:r>
      <w:r w:rsidRPr="00BB6220">
        <w:t>its</w:t>
      </w:r>
      <w:r w:rsidR="003D640C">
        <w:t xml:space="preserve"> </w:t>
      </w:r>
      <w:r w:rsidRPr="00BB6220">
        <w:t>mandated</w:t>
      </w:r>
      <w:r w:rsidR="003D640C">
        <w:t xml:space="preserve"> </w:t>
      </w:r>
      <w:r w:rsidRPr="00BB6220">
        <w:t>responsibilit</w:t>
      </w:r>
      <w:r w:rsidR="0041165F">
        <w:t>y</w:t>
      </w:r>
      <w:r w:rsidR="003D640C">
        <w:t xml:space="preserve"> </w:t>
      </w:r>
      <w:r w:rsidRPr="00BB6220">
        <w:t>to</w:t>
      </w:r>
      <w:r w:rsidR="003D640C">
        <w:t xml:space="preserve"> </w:t>
      </w:r>
      <w:r w:rsidRPr="00BB6220">
        <w:t>implement</w:t>
      </w:r>
      <w:r w:rsidR="003D640C">
        <w:t xml:space="preserve"> </w:t>
      </w:r>
      <w:r w:rsidRPr="00BB6220">
        <w:t>a</w:t>
      </w:r>
      <w:r w:rsidR="003D640C">
        <w:t xml:space="preserve"> </w:t>
      </w:r>
      <w:r w:rsidRPr="00BB6220">
        <w:t>civil</w:t>
      </w:r>
      <w:r w:rsidR="003D640C">
        <w:t xml:space="preserve"> </w:t>
      </w:r>
      <w:r w:rsidRPr="00BB6220">
        <w:t>redress</w:t>
      </w:r>
      <w:r w:rsidR="003D640C">
        <w:t xml:space="preserve"> </w:t>
      </w:r>
      <w:r w:rsidRPr="00BB6220">
        <w:t>pathway</w:t>
      </w:r>
      <w:r w:rsidR="003D640C">
        <w:t xml:space="preserve"> </w:t>
      </w:r>
      <w:r w:rsidRPr="00BB6220">
        <w:t>under</w:t>
      </w:r>
      <w:r w:rsidR="003D640C">
        <w:t xml:space="preserve"> </w:t>
      </w:r>
      <w:r w:rsidRPr="00BB6220">
        <w:t>the</w:t>
      </w:r>
      <w:r w:rsidR="003D640C">
        <w:t xml:space="preserve"> </w:t>
      </w:r>
      <w:r w:rsidR="00745EEE">
        <w:t>amended</w:t>
      </w:r>
      <w:r w:rsidR="003D640C">
        <w:t xml:space="preserve"> </w:t>
      </w:r>
      <w:r w:rsidR="00745EEE">
        <w:t>Human</w:t>
      </w:r>
      <w:r w:rsidR="003D640C">
        <w:t xml:space="preserve"> </w:t>
      </w:r>
      <w:r w:rsidR="00745EEE">
        <w:t>Rights</w:t>
      </w:r>
      <w:r w:rsidR="003D640C">
        <w:t xml:space="preserve"> </w:t>
      </w:r>
      <w:r w:rsidR="00745EEE">
        <w:t>Act</w:t>
      </w:r>
      <w:r w:rsidRPr="00BB6220">
        <w:t>,</w:t>
      </w:r>
      <w:r w:rsidR="003D640C">
        <w:t xml:space="preserve"> </w:t>
      </w:r>
      <w:r w:rsidRPr="00BB6220">
        <w:t>we</w:t>
      </w:r>
      <w:r w:rsidR="003D640C">
        <w:t xml:space="preserve"> </w:t>
      </w:r>
      <w:r w:rsidRPr="00BB6220">
        <w:t>knew</w:t>
      </w:r>
      <w:r w:rsidR="003D640C">
        <w:t xml:space="preserve"> </w:t>
      </w:r>
      <w:r w:rsidRPr="00BB6220">
        <w:t>we</w:t>
      </w:r>
      <w:r w:rsidR="003D640C">
        <w:t xml:space="preserve"> </w:t>
      </w:r>
      <w:r w:rsidRPr="00BB6220">
        <w:t>had</w:t>
      </w:r>
      <w:r w:rsidR="003D640C">
        <w:t xml:space="preserve"> </w:t>
      </w:r>
      <w:r w:rsidRPr="00BB6220">
        <w:t>to</w:t>
      </w:r>
      <w:r w:rsidR="003D640C">
        <w:t xml:space="preserve"> </w:t>
      </w:r>
      <w:r w:rsidRPr="00BB6220">
        <w:t>be</w:t>
      </w:r>
      <w:r w:rsidR="003D640C">
        <w:t xml:space="preserve"> </w:t>
      </w:r>
      <w:r w:rsidRPr="00BB6220">
        <w:rPr>
          <w:i/>
          <w:iCs/>
        </w:rPr>
        <w:t>survivor-led,</w:t>
      </w:r>
      <w:r w:rsidR="003D640C">
        <w:rPr>
          <w:i/>
          <w:iCs/>
        </w:rPr>
        <w:t xml:space="preserve"> </w:t>
      </w:r>
      <w:r w:rsidRPr="00BB6220">
        <w:rPr>
          <w:i/>
          <w:iCs/>
        </w:rPr>
        <w:t>survivor-focused,</w:t>
      </w:r>
      <w:r w:rsidR="003D640C">
        <w:rPr>
          <w:i/>
          <w:iCs/>
        </w:rPr>
        <w:t xml:space="preserve"> </w:t>
      </w:r>
      <w:r w:rsidRPr="00BB6220">
        <w:rPr>
          <w:i/>
          <w:iCs/>
        </w:rPr>
        <w:t>trauma</w:t>
      </w:r>
      <w:r w:rsidR="003D640C">
        <w:rPr>
          <w:i/>
          <w:iCs/>
        </w:rPr>
        <w:t xml:space="preserve"> </w:t>
      </w:r>
      <w:r w:rsidRPr="00BB6220">
        <w:rPr>
          <w:i/>
          <w:iCs/>
        </w:rPr>
        <w:t>informed,</w:t>
      </w:r>
      <w:r w:rsidR="003D640C">
        <w:rPr>
          <w:i/>
          <w:iCs/>
        </w:rPr>
        <w:t xml:space="preserve"> </w:t>
      </w:r>
      <w:r w:rsidRPr="00BB6220">
        <w:rPr>
          <w:i/>
          <w:iCs/>
        </w:rPr>
        <w:t>culturally</w:t>
      </w:r>
      <w:r w:rsidR="003D640C">
        <w:rPr>
          <w:i/>
          <w:iCs/>
        </w:rPr>
        <w:t xml:space="preserve"> </w:t>
      </w:r>
      <w:r w:rsidRPr="00BB6220">
        <w:rPr>
          <w:i/>
          <w:iCs/>
        </w:rPr>
        <w:t>safe,</w:t>
      </w:r>
      <w:r w:rsidR="003D640C">
        <w:rPr>
          <w:i/>
          <w:iCs/>
        </w:rPr>
        <w:t xml:space="preserve"> </w:t>
      </w:r>
      <w:r w:rsidRPr="00BB6220">
        <w:rPr>
          <w:i/>
          <w:iCs/>
        </w:rPr>
        <w:t>evidence-based,</w:t>
      </w:r>
      <w:r w:rsidR="003D640C">
        <w:rPr>
          <w:i/>
          <w:iCs/>
        </w:rPr>
        <w:t xml:space="preserve"> </w:t>
      </w:r>
      <w:r w:rsidRPr="00BB6220">
        <w:t>and</w:t>
      </w:r>
      <w:r w:rsidR="003D640C">
        <w:rPr>
          <w:i/>
          <w:iCs/>
        </w:rPr>
        <w:t xml:space="preserve"> </w:t>
      </w:r>
      <w:r w:rsidRPr="00BB6220">
        <w:rPr>
          <w:i/>
          <w:iCs/>
        </w:rPr>
        <w:t>accessible</w:t>
      </w:r>
      <w:r w:rsidRPr="00BB6220">
        <w:t>.</w:t>
      </w:r>
      <w:r w:rsidR="003D640C">
        <w:t xml:space="preserve"> </w:t>
      </w:r>
    </w:p>
    <w:p w14:paraId="398F36FE" w14:textId="241F2D3C" w:rsidR="00653ECF" w:rsidRPr="00BB6220" w:rsidRDefault="00653ECF" w:rsidP="008E1CCA">
      <w:r w:rsidRPr="00BB6220">
        <w:t>We</w:t>
      </w:r>
      <w:r w:rsidR="003D640C">
        <w:t xml:space="preserve"> </w:t>
      </w:r>
      <w:r w:rsidRPr="00BB6220">
        <w:t>were</w:t>
      </w:r>
      <w:r w:rsidR="003D640C">
        <w:t xml:space="preserve"> </w:t>
      </w:r>
      <w:r w:rsidRPr="00BB6220">
        <w:t>able</w:t>
      </w:r>
      <w:r w:rsidR="003D640C">
        <w:t xml:space="preserve"> </w:t>
      </w:r>
      <w:r w:rsidRPr="00BB6220">
        <w:t>to</w:t>
      </w:r>
      <w:r w:rsidR="003D640C">
        <w:t xml:space="preserve"> </w:t>
      </w:r>
      <w:r w:rsidR="00B7217D">
        <w:t>adhere</w:t>
      </w:r>
      <w:r w:rsidR="003D640C">
        <w:t xml:space="preserve"> </w:t>
      </w:r>
      <w:r w:rsidR="00B7217D">
        <w:t>to</w:t>
      </w:r>
      <w:r w:rsidR="003D640C">
        <w:t xml:space="preserve"> </w:t>
      </w:r>
      <w:r w:rsidR="001923F0" w:rsidRPr="00BB6220">
        <w:t>those</w:t>
      </w:r>
      <w:r w:rsidR="003D640C">
        <w:t xml:space="preserve"> </w:t>
      </w:r>
      <w:r w:rsidR="001923F0" w:rsidRPr="00BB6220">
        <w:t>values</w:t>
      </w:r>
      <w:r w:rsidR="003D640C">
        <w:t xml:space="preserve"> </w:t>
      </w:r>
      <w:r w:rsidR="001923F0" w:rsidRPr="00BB6220">
        <w:t>due</w:t>
      </w:r>
      <w:r w:rsidR="003D640C">
        <w:t xml:space="preserve"> </w:t>
      </w:r>
      <w:r w:rsidR="001923F0" w:rsidRPr="00BB6220">
        <w:t>to</w:t>
      </w:r>
      <w:r w:rsidR="003D640C">
        <w:t xml:space="preserve"> </w:t>
      </w:r>
      <w:r w:rsidR="001923F0" w:rsidRPr="00BB6220">
        <w:t>Commission</w:t>
      </w:r>
      <w:r w:rsidR="003D640C">
        <w:t xml:space="preserve"> </w:t>
      </w:r>
      <w:r w:rsidR="001923F0" w:rsidRPr="00BB6220">
        <w:t>staff</w:t>
      </w:r>
      <w:r w:rsidR="003D640C">
        <w:t xml:space="preserve"> </w:t>
      </w:r>
      <w:r w:rsidR="001923F0" w:rsidRPr="00BB6220">
        <w:t>past</w:t>
      </w:r>
      <w:r w:rsidR="003D640C">
        <w:t xml:space="preserve"> </w:t>
      </w:r>
      <w:r w:rsidR="001923F0" w:rsidRPr="00BB6220">
        <w:t>and</w:t>
      </w:r>
      <w:r w:rsidR="003D640C">
        <w:t xml:space="preserve"> </w:t>
      </w:r>
      <w:r w:rsidR="001923F0" w:rsidRPr="00BB6220">
        <w:t>present</w:t>
      </w:r>
      <w:r w:rsidR="003D640C">
        <w:t xml:space="preserve"> </w:t>
      </w:r>
      <w:r w:rsidR="001923F0" w:rsidRPr="00BB6220">
        <w:t>who</w:t>
      </w:r>
      <w:r w:rsidR="003D640C">
        <w:t xml:space="preserve"> </w:t>
      </w:r>
      <w:r w:rsidR="001923F0" w:rsidRPr="00BB6220">
        <w:t>made</w:t>
      </w:r>
      <w:r w:rsidR="003D640C">
        <w:t xml:space="preserve"> </w:t>
      </w:r>
      <w:r w:rsidR="001923F0" w:rsidRPr="00BB6220">
        <w:t>up</w:t>
      </w:r>
      <w:r w:rsidR="003D640C">
        <w:t xml:space="preserve"> </w:t>
      </w:r>
      <w:r w:rsidR="001923F0" w:rsidRPr="00BB6220">
        <w:t>our</w:t>
      </w:r>
      <w:r w:rsidR="003D640C">
        <w:t xml:space="preserve"> </w:t>
      </w:r>
      <w:r w:rsidR="004D579C" w:rsidRPr="00BB6220">
        <w:t>t</w:t>
      </w:r>
      <w:r w:rsidR="004D579C">
        <w:t>ime</w:t>
      </w:r>
      <w:r w:rsidR="00CC0F07">
        <w:t>-</w:t>
      </w:r>
      <w:r w:rsidR="004D579C">
        <w:t>limited</w:t>
      </w:r>
      <w:r w:rsidR="003D640C">
        <w:t xml:space="preserve"> </w:t>
      </w:r>
      <w:r w:rsidR="001923F0" w:rsidRPr="00BB6220">
        <w:t>Conversion</w:t>
      </w:r>
      <w:r w:rsidR="003D640C">
        <w:t xml:space="preserve"> </w:t>
      </w:r>
      <w:r w:rsidR="001923F0" w:rsidRPr="00BB6220">
        <w:t>Practices</w:t>
      </w:r>
      <w:r w:rsidR="003D640C">
        <w:t xml:space="preserve"> </w:t>
      </w:r>
      <w:r w:rsidR="001923F0" w:rsidRPr="00BB6220">
        <w:t>Response</w:t>
      </w:r>
      <w:r w:rsidR="003D640C">
        <w:t xml:space="preserve"> </w:t>
      </w:r>
      <w:r w:rsidR="00CC0F07">
        <w:t>T</w:t>
      </w:r>
      <w:r w:rsidR="001923F0" w:rsidRPr="00BB6220">
        <w:t>eam.</w:t>
      </w:r>
      <w:r w:rsidR="003D640C">
        <w:t xml:space="preserve"> </w:t>
      </w:r>
      <w:r w:rsidRPr="00BB6220">
        <w:t>Many</w:t>
      </w:r>
      <w:r w:rsidR="003D640C">
        <w:t xml:space="preserve"> </w:t>
      </w:r>
      <w:r w:rsidRPr="00BB6220">
        <w:t>who</w:t>
      </w:r>
      <w:r w:rsidR="003D640C">
        <w:t xml:space="preserve"> </w:t>
      </w:r>
      <w:r w:rsidRPr="00BB6220">
        <w:t>worked</w:t>
      </w:r>
      <w:r w:rsidR="003D640C">
        <w:t xml:space="preserve"> </w:t>
      </w:r>
      <w:r w:rsidRPr="00BB6220">
        <w:t>on</w:t>
      </w:r>
      <w:r w:rsidR="003D640C">
        <w:t xml:space="preserve"> </w:t>
      </w:r>
      <w:r w:rsidRPr="00BB6220">
        <w:t>this</w:t>
      </w:r>
      <w:r w:rsidR="003D640C">
        <w:t xml:space="preserve"> </w:t>
      </w:r>
      <w:r w:rsidRPr="00BB6220">
        <w:t>project</w:t>
      </w:r>
      <w:r w:rsidR="003D640C">
        <w:t xml:space="preserve"> </w:t>
      </w:r>
      <w:r w:rsidRPr="00BB6220">
        <w:t>had</w:t>
      </w:r>
      <w:r w:rsidR="003D640C">
        <w:t xml:space="preserve"> </w:t>
      </w:r>
      <w:r w:rsidRPr="00BB6220">
        <w:t>direct</w:t>
      </w:r>
      <w:r w:rsidR="003D640C">
        <w:t xml:space="preserve"> </w:t>
      </w:r>
      <w:r w:rsidRPr="00BB6220">
        <w:t>or</w:t>
      </w:r>
      <w:r w:rsidR="003D640C">
        <w:t xml:space="preserve"> </w:t>
      </w:r>
      <w:r w:rsidRPr="00BB6220">
        <w:t>related</w:t>
      </w:r>
      <w:r w:rsidR="003D640C">
        <w:t xml:space="preserve"> </w:t>
      </w:r>
      <w:r w:rsidRPr="00BB6220">
        <w:t>lived</w:t>
      </w:r>
      <w:r w:rsidR="003D640C">
        <w:t xml:space="preserve"> </w:t>
      </w:r>
      <w:r w:rsidRPr="00BB6220">
        <w:t>experience.</w:t>
      </w:r>
      <w:r w:rsidR="003D640C">
        <w:t xml:space="preserve"> </w:t>
      </w:r>
      <w:r w:rsidRPr="00BB6220">
        <w:t>For</w:t>
      </w:r>
      <w:r w:rsidR="003D640C">
        <w:t xml:space="preserve"> </w:t>
      </w:r>
      <w:r w:rsidRPr="00BB6220">
        <w:t>the</w:t>
      </w:r>
      <w:r w:rsidR="003D640C">
        <w:t xml:space="preserve"> </w:t>
      </w:r>
      <w:r w:rsidRPr="00BB6220">
        <w:t>team,</w:t>
      </w:r>
      <w:r w:rsidR="003D640C">
        <w:t xml:space="preserve"> </w:t>
      </w:r>
      <w:r w:rsidRPr="00BB6220">
        <w:t>h</w:t>
      </w:r>
      <w:r w:rsidR="00567558" w:rsidRPr="00BB6220">
        <w:t>aving</w:t>
      </w:r>
      <w:r w:rsidR="003D640C">
        <w:t xml:space="preserve"> </w:t>
      </w:r>
      <w:r w:rsidR="00567558" w:rsidRPr="00BB6220">
        <w:t>lived</w:t>
      </w:r>
      <w:r w:rsidR="003D640C">
        <w:t xml:space="preserve"> </w:t>
      </w:r>
      <w:r w:rsidR="00567558" w:rsidRPr="00BB6220">
        <w:t>experience</w:t>
      </w:r>
      <w:r w:rsidR="003D640C">
        <w:t xml:space="preserve"> </w:t>
      </w:r>
      <w:r w:rsidR="00567558" w:rsidRPr="00BB6220">
        <w:t>of</w:t>
      </w:r>
      <w:r w:rsidR="003D640C">
        <w:t xml:space="preserve"> </w:t>
      </w:r>
      <w:r w:rsidR="00567558" w:rsidRPr="00BB6220">
        <w:t>a</w:t>
      </w:r>
      <w:r w:rsidR="003D640C">
        <w:t xml:space="preserve"> </w:t>
      </w:r>
      <w:r w:rsidR="00567558" w:rsidRPr="00BB6220">
        <w:t>human</w:t>
      </w:r>
      <w:r w:rsidR="003D640C">
        <w:t xml:space="preserve"> </w:t>
      </w:r>
      <w:r w:rsidR="00567558" w:rsidRPr="00BB6220">
        <w:t>rights</w:t>
      </w:r>
      <w:r w:rsidR="003D640C">
        <w:t xml:space="preserve"> </w:t>
      </w:r>
      <w:r w:rsidR="00567558" w:rsidRPr="00BB6220">
        <w:t>issue</w:t>
      </w:r>
      <w:r w:rsidR="003D640C">
        <w:t xml:space="preserve"> </w:t>
      </w:r>
      <w:r w:rsidR="00A2168A" w:rsidRPr="00BB6220">
        <w:t>and</w:t>
      </w:r>
      <w:r w:rsidR="003D640C">
        <w:t xml:space="preserve"> </w:t>
      </w:r>
      <w:r w:rsidR="00A2168A" w:rsidRPr="00BB6220">
        <w:t>being</w:t>
      </w:r>
      <w:r w:rsidR="003D640C">
        <w:t xml:space="preserve"> </w:t>
      </w:r>
      <w:r w:rsidR="00A2168A" w:rsidRPr="00BB6220">
        <w:t>able</w:t>
      </w:r>
      <w:r w:rsidR="003D640C">
        <w:t xml:space="preserve"> </w:t>
      </w:r>
      <w:r w:rsidR="00A2168A" w:rsidRPr="00BB6220">
        <w:t>to</w:t>
      </w:r>
      <w:r w:rsidR="003D640C">
        <w:t xml:space="preserve"> </w:t>
      </w:r>
      <w:r w:rsidR="00717A2A" w:rsidRPr="00BB6220">
        <w:t>help</w:t>
      </w:r>
      <w:r w:rsidR="003D640C">
        <w:t xml:space="preserve"> </w:t>
      </w:r>
      <w:r w:rsidR="00052DEF" w:rsidRPr="00BB6220">
        <w:t>prevent</w:t>
      </w:r>
      <w:r w:rsidR="003D640C">
        <w:t xml:space="preserve"> </w:t>
      </w:r>
      <w:r w:rsidR="00052DEF" w:rsidRPr="00BB6220">
        <w:t>it</w:t>
      </w:r>
      <w:r w:rsidR="003D640C">
        <w:t xml:space="preserve"> </w:t>
      </w:r>
      <w:r w:rsidR="00717A2A" w:rsidRPr="00BB6220">
        <w:t>happening</w:t>
      </w:r>
      <w:r w:rsidR="003D640C">
        <w:t xml:space="preserve"> </w:t>
      </w:r>
      <w:r w:rsidR="00A2168A" w:rsidRPr="00BB6220">
        <w:t>to</w:t>
      </w:r>
      <w:r w:rsidR="003D640C">
        <w:t xml:space="preserve"> </w:t>
      </w:r>
      <w:r w:rsidR="00A2168A" w:rsidRPr="00BB6220">
        <w:t>others</w:t>
      </w:r>
      <w:r w:rsidR="003D640C">
        <w:t xml:space="preserve"> </w:t>
      </w:r>
      <w:r w:rsidR="00567558" w:rsidRPr="00BB6220">
        <w:t>can</w:t>
      </w:r>
      <w:r w:rsidR="003D640C">
        <w:t xml:space="preserve"> </w:t>
      </w:r>
      <w:r w:rsidR="00567558" w:rsidRPr="00BB6220">
        <w:t>feel</w:t>
      </w:r>
      <w:r w:rsidR="003D640C">
        <w:t xml:space="preserve"> </w:t>
      </w:r>
      <w:r w:rsidR="00567558" w:rsidRPr="00BB6220">
        <w:t>to</w:t>
      </w:r>
      <w:r w:rsidR="003D640C">
        <w:t xml:space="preserve"> </w:t>
      </w:r>
      <w:r w:rsidR="00567558" w:rsidRPr="00BB6220">
        <w:t>be</w:t>
      </w:r>
      <w:r w:rsidR="003D640C">
        <w:t xml:space="preserve"> </w:t>
      </w:r>
      <w:r w:rsidR="00CC0F07">
        <w:t xml:space="preserve">both </w:t>
      </w:r>
      <w:r w:rsidR="00567558" w:rsidRPr="00BB6220">
        <w:t>a</w:t>
      </w:r>
      <w:r w:rsidR="003D640C">
        <w:t xml:space="preserve"> </w:t>
      </w:r>
      <w:r w:rsidR="00567558" w:rsidRPr="00BB6220">
        <w:t>privilege</w:t>
      </w:r>
      <w:r w:rsidR="003D640C">
        <w:t xml:space="preserve"> </w:t>
      </w:r>
      <w:r w:rsidR="004730D9" w:rsidRPr="00BB6220">
        <w:t>and</w:t>
      </w:r>
      <w:r w:rsidR="003D640C">
        <w:t xml:space="preserve"> </w:t>
      </w:r>
      <w:r w:rsidR="00567558" w:rsidRPr="00BB6220">
        <w:t>a</w:t>
      </w:r>
      <w:r w:rsidR="003D640C">
        <w:t xml:space="preserve"> </w:t>
      </w:r>
      <w:r w:rsidR="004730D9" w:rsidRPr="00BB6220">
        <w:t>weighty</w:t>
      </w:r>
      <w:r w:rsidR="003D640C">
        <w:t xml:space="preserve"> </w:t>
      </w:r>
      <w:r w:rsidR="004730D9" w:rsidRPr="00BB6220">
        <w:t>responsibility</w:t>
      </w:r>
      <w:r w:rsidR="00567558" w:rsidRPr="00BB6220">
        <w:t>.</w:t>
      </w:r>
      <w:r w:rsidR="003D640C">
        <w:t xml:space="preserve"> </w:t>
      </w:r>
      <w:r w:rsidR="00505C33" w:rsidRPr="00BB6220">
        <w:rPr>
          <w:rFonts w:ascii="Calibri" w:eastAsia="Times New Roman" w:hAnsi="Calibri" w:cs="Calibri"/>
          <w:shd w:val="clear" w:color="auto" w:fill="FFFFFF"/>
          <w:lang w:eastAsia="en-NZ"/>
        </w:rPr>
        <w:t>W</w:t>
      </w:r>
      <w:r w:rsidR="00567558" w:rsidRPr="00BB6220">
        <w:rPr>
          <w:rFonts w:ascii="Calibri" w:eastAsia="Times New Roman" w:hAnsi="Calibri" w:cs="Calibri"/>
          <w:shd w:val="clear" w:color="auto" w:fill="FFFFFF"/>
          <w:lang w:eastAsia="en-NZ"/>
        </w:rPr>
        <w:t>e</w:t>
      </w:r>
      <w:r w:rsidR="003D640C">
        <w:rPr>
          <w:rFonts w:ascii="Calibri" w:eastAsia="Times New Roman" w:hAnsi="Calibri" w:cs="Calibri"/>
          <w:shd w:val="clear" w:color="auto" w:fill="FFFFFF"/>
          <w:lang w:eastAsia="en-NZ"/>
        </w:rPr>
        <w:t xml:space="preserve"> </w:t>
      </w:r>
      <w:r w:rsidR="00567558" w:rsidRPr="00BB6220">
        <w:rPr>
          <w:rFonts w:ascii="Calibri" w:eastAsia="Times New Roman" w:hAnsi="Calibri" w:cs="Calibri"/>
          <w:shd w:val="clear" w:color="auto" w:fill="FFFFFF"/>
          <w:lang w:eastAsia="en-NZ"/>
        </w:rPr>
        <w:t>thank</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all</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those</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who</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worked</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this</w:t>
      </w:r>
      <w:r w:rsidR="003D640C">
        <w:rPr>
          <w:rFonts w:ascii="Calibri" w:eastAsia="Times New Roman" w:hAnsi="Calibri" w:cs="Calibri"/>
          <w:shd w:val="clear" w:color="auto" w:fill="FFFFFF"/>
          <w:lang w:eastAsia="en-NZ"/>
        </w:rPr>
        <w:t xml:space="preserve"> </w:t>
      </w:r>
      <w:r w:rsidR="00505C33" w:rsidRPr="00BB6220">
        <w:rPr>
          <w:rFonts w:ascii="Calibri" w:eastAsia="Times New Roman" w:hAnsi="Calibri" w:cs="Calibri"/>
          <w:shd w:val="clear" w:color="auto" w:fill="FFFFFF"/>
          <w:lang w:eastAsia="en-NZ"/>
        </w:rPr>
        <w:t>space</w:t>
      </w:r>
      <w:r w:rsidR="003D640C">
        <w:rPr>
          <w:rFonts w:ascii="Calibri" w:eastAsia="Times New Roman" w:hAnsi="Calibri" w:cs="Calibri"/>
          <w:shd w:val="clear" w:color="auto" w:fill="FFFFFF"/>
          <w:lang w:eastAsia="en-NZ"/>
        </w:rPr>
        <w:t xml:space="preserve"> </w:t>
      </w:r>
      <w:r w:rsidR="00567558" w:rsidRPr="00BB622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00567558" w:rsidRPr="00BB6220">
        <w:t>thoughtfully</w:t>
      </w:r>
      <w:r w:rsidR="003D640C">
        <w:t xml:space="preserve"> </w:t>
      </w:r>
      <w:r w:rsidR="00567558" w:rsidRPr="00BB6220">
        <w:t>applying</w:t>
      </w:r>
      <w:r w:rsidR="003D640C">
        <w:t xml:space="preserve"> </w:t>
      </w:r>
      <w:r w:rsidR="00B7217D">
        <w:t>thei</w:t>
      </w:r>
      <w:r w:rsidR="00567558" w:rsidRPr="00BB6220">
        <w:t>r</w:t>
      </w:r>
      <w:r w:rsidR="003D640C">
        <w:t xml:space="preserve"> </w:t>
      </w:r>
      <w:r w:rsidR="00567558" w:rsidRPr="00BB6220">
        <w:t>lived</w:t>
      </w:r>
      <w:r w:rsidR="003D640C">
        <w:t xml:space="preserve"> </w:t>
      </w:r>
      <w:r w:rsidR="00567558" w:rsidRPr="00BB6220">
        <w:t>experience</w:t>
      </w:r>
      <w:r w:rsidR="003D640C">
        <w:t xml:space="preserve"> </w:t>
      </w:r>
      <w:r w:rsidR="00567558" w:rsidRPr="00BB6220">
        <w:t>to</w:t>
      </w:r>
      <w:r w:rsidR="003D640C">
        <w:t xml:space="preserve"> </w:t>
      </w:r>
      <w:r w:rsidR="00567558" w:rsidRPr="00BB6220">
        <w:t>this</w:t>
      </w:r>
      <w:r w:rsidR="003D640C">
        <w:t xml:space="preserve"> </w:t>
      </w:r>
      <w:r w:rsidR="00567558" w:rsidRPr="00BB6220">
        <w:t>work</w:t>
      </w:r>
      <w:r w:rsidR="000B25CE">
        <w:t>,</w:t>
      </w:r>
      <w:r w:rsidR="003D640C">
        <w:t xml:space="preserve"> </w:t>
      </w:r>
      <w:r w:rsidR="00567558" w:rsidRPr="00BB6220">
        <w:t>skilfully</w:t>
      </w:r>
      <w:r w:rsidR="003D640C">
        <w:t xml:space="preserve"> </w:t>
      </w:r>
      <w:r w:rsidR="00567558" w:rsidRPr="00BB6220">
        <w:t>navigat</w:t>
      </w:r>
      <w:r w:rsidR="00F10BA6" w:rsidRPr="00BB6220">
        <w:t>ing</w:t>
      </w:r>
      <w:r w:rsidR="003D640C">
        <w:t xml:space="preserve"> </w:t>
      </w:r>
      <w:r w:rsidR="00567558" w:rsidRPr="00BB6220">
        <w:t>complexity</w:t>
      </w:r>
      <w:r w:rsidR="003D640C">
        <w:t xml:space="preserve"> </w:t>
      </w:r>
      <w:r w:rsidR="00567558" w:rsidRPr="00BB6220">
        <w:t>and</w:t>
      </w:r>
      <w:r w:rsidR="003D640C">
        <w:t xml:space="preserve"> </w:t>
      </w:r>
      <w:r w:rsidR="00567558" w:rsidRPr="00BB6220">
        <w:t>nuance</w:t>
      </w:r>
      <w:r w:rsidR="003D640C">
        <w:t xml:space="preserve"> </w:t>
      </w:r>
      <w:r w:rsidR="00567558" w:rsidRPr="00BB6220">
        <w:t>with</w:t>
      </w:r>
      <w:r w:rsidR="003D640C">
        <w:t xml:space="preserve"> </w:t>
      </w:r>
      <w:r w:rsidR="00567558" w:rsidRPr="00BB6220">
        <w:t>professionalism,</w:t>
      </w:r>
      <w:r w:rsidR="003D640C">
        <w:t xml:space="preserve"> </w:t>
      </w:r>
      <w:r w:rsidR="00567558" w:rsidRPr="00BB6220">
        <w:t>grace,</w:t>
      </w:r>
      <w:r w:rsidR="003D640C">
        <w:t xml:space="preserve"> </w:t>
      </w:r>
      <w:r w:rsidR="000942CD" w:rsidRPr="00BB6220">
        <w:t>compassion,</w:t>
      </w:r>
      <w:r w:rsidR="003D640C">
        <w:t xml:space="preserve"> </w:t>
      </w:r>
      <w:r w:rsidR="00567558" w:rsidRPr="00BB6220">
        <w:t>and</w:t>
      </w:r>
      <w:r w:rsidR="003D640C">
        <w:t xml:space="preserve"> </w:t>
      </w:r>
      <w:r w:rsidR="00567558" w:rsidRPr="00BB6220">
        <w:t>courage.</w:t>
      </w:r>
      <w:r w:rsidR="003D640C">
        <w:t xml:space="preserve"> </w:t>
      </w:r>
    </w:p>
    <w:p w14:paraId="4FC10813" w14:textId="10A33276" w:rsidR="00653ECF" w:rsidRPr="00BB6220" w:rsidRDefault="00C3782B" w:rsidP="008E1CCA">
      <w:r w:rsidRPr="00BB6220">
        <w:t>I</w:t>
      </w:r>
      <w:r w:rsidR="003D640C">
        <w:t xml:space="preserve"> </w:t>
      </w:r>
      <w:r w:rsidRPr="00BB6220">
        <w:t>was</w:t>
      </w:r>
      <w:r w:rsidR="003D640C">
        <w:t xml:space="preserve"> </w:t>
      </w:r>
      <w:r w:rsidR="00033BCE" w:rsidRPr="00BB6220">
        <w:t>honoured</w:t>
      </w:r>
      <w:r w:rsidR="003D640C">
        <w:t xml:space="preserve"> </w:t>
      </w:r>
      <w:r w:rsidRPr="00BB6220">
        <w:t>to</w:t>
      </w:r>
      <w:r w:rsidR="003D640C">
        <w:t xml:space="preserve"> </w:t>
      </w:r>
      <w:r w:rsidR="00653ECF" w:rsidRPr="00BB6220">
        <w:t>guide</w:t>
      </w:r>
      <w:r w:rsidR="003D640C">
        <w:t xml:space="preserve"> </w:t>
      </w:r>
      <w:r w:rsidRPr="00BB6220">
        <w:t>the</w:t>
      </w:r>
      <w:r w:rsidR="003D640C">
        <w:t xml:space="preserve"> </w:t>
      </w:r>
      <w:r w:rsidRPr="00BB6220">
        <w:t>Commission’s</w:t>
      </w:r>
      <w:r w:rsidR="003D640C">
        <w:t xml:space="preserve"> </w:t>
      </w:r>
      <w:r w:rsidRPr="00BB6220">
        <w:t>response</w:t>
      </w:r>
      <w:r w:rsidR="00B7217D">
        <w:t>.</w:t>
      </w:r>
      <w:r w:rsidR="003D640C">
        <w:t xml:space="preserve"> </w:t>
      </w:r>
      <w:r w:rsidR="00B7217D">
        <w:t>A</w:t>
      </w:r>
      <w:r w:rsidR="003D640C">
        <w:t xml:space="preserve"> </w:t>
      </w:r>
      <w:r w:rsidR="00B7217D">
        <w:t>particular</w:t>
      </w:r>
      <w:r w:rsidR="003D640C">
        <w:t xml:space="preserve"> </w:t>
      </w:r>
      <w:r w:rsidR="00B7217D">
        <w:t>highlight</w:t>
      </w:r>
      <w:r w:rsidR="003D640C">
        <w:t xml:space="preserve"> </w:t>
      </w:r>
      <w:r w:rsidR="00B7217D">
        <w:t>was</w:t>
      </w:r>
      <w:r w:rsidR="003D640C">
        <w:t xml:space="preserve"> </w:t>
      </w:r>
      <w:r w:rsidRPr="00BB6220">
        <w:t>recruiting</w:t>
      </w:r>
      <w:r w:rsidR="003D640C">
        <w:t xml:space="preserve"> </w:t>
      </w:r>
      <w:r w:rsidR="001923F0" w:rsidRPr="00BB6220">
        <w:t>Matt</w:t>
      </w:r>
      <w:r w:rsidR="003D640C">
        <w:t xml:space="preserve"> </w:t>
      </w:r>
      <w:r w:rsidR="001923F0" w:rsidRPr="00BB6220">
        <w:t>Langworthy,</w:t>
      </w:r>
      <w:r w:rsidR="003D640C">
        <w:t xml:space="preserve"> </w:t>
      </w:r>
      <w:r w:rsidR="001923F0" w:rsidRPr="00BB6220">
        <w:t>a</w:t>
      </w:r>
      <w:r w:rsidR="003D640C">
        <w:t xml:space="preserve"> </w:t>
      </w:r>
      <w:r w:rsidR="001923F0" w:rsidRPr="00BB6220">
        <w:t>survivor</w:t>
      </w:r>
      <w:r w:rsidR="003D640C">
        <w:t xml:space="preserve"> </w:t>
      </w:r>
      <w:r w:rsidR="001923F0" w:rsidRPr="00BB6220">
        <w:t>of</w:t>
      </w:r>
      <w:r w:rsidR="003D640C">
        <w:t xml:space="preserve"> </w:t>
      </w:r>
      <w:r w:rsidR="001923F0" w:rsidRPr="00BB6220">
        <w:t>20</w:t>
      </w:r>
      <w:r w:rsidR="003D640C">
        <w:t xml:space="preserve"> </w:t>
      </w:r>
      <w:r w:rsidR="001923F0" w:rsidRPr="00BB6220">
        <w:t>years</w:t>
      </w:r>
      <w:r w:rsidR="003D640C">
        <w:t xml:space="preserve"> </w:t>
      </w:r>
      <w:r w:rsidR="001923F0" w:rsidRPr="00BB6220">
        <w:t>of</w:t>
      </w:r>
      <w:r w:rsidR="003D640C">
        <w:t xml:space="preserve"> </w:t>
      </w:r>
      <w:r w:rsidR="001923F0" w:rsidRPr="00BB6220">
        <w:t>conversion</w:t>
      </w:r>
      <w:r w:rsidR="003D640C">
        <w:t xml:space="preserve"> </w:t>
      </w:r>
      <w:r w:rsidR="001923F0" w:rsidRPr="00BB6220">
        <w:t>practices</w:t>
      </w:r>
      <w:r w:rsidR="00653ECF" w:rsidRPr="00BB6220">
        <w:t>,</w:t>
      </w:r>
      <w:r w:rsidR="003D640C">
        <w:t xml:space="preserve"> </w:t>
      </w:r>
      <w:r w:rsidR="00FE270E" w:rsidRPr="00BB6220">
        <w:t>to</w:t>
      </w:r>
      <w:r w:rsidR="003D640C">
        <w:t xml:space="preserve"> </w:t>
      </w:r>
      <w:r w:rsidR="00FE270E" w:rsidRPr="00BB6220">
        <w:t>lead</w:t>
      </w:r>
      <w:r w:rsidR="003D640C">
        <w:t xml:space="preserve"> </w:t>
      </w:r>
      <w:r w:rsidR="00246EBD" w:rsidRPr="00BB6220">
        <w:t>our</w:t>
      </w:r>
      <w:r w:rsidR="003D640C">
        <w:t xml:space="preserve"> </w:t>
      </w:r>
      <w:r w:rsidR="00CC0F07">
        <w:t>C</w:t>
      </w:r>
      <w:r w:rsidR="00246EBD" w:rsidRPr="00BB6220">
        <w:t>onversion</w:t>
      </w:r>
      <w:r w:rsidR="003D640C">
        <w:t xml:space="preserve"> </w:t>
      </w:r>
      <w:r w:rsidR="00CC0F07">
        <w:t>P</w:t>
      </w:r>
      <w:r w:rsidR="00621F46">
        <w:t>ractices</w:t>
      </w:r>
      <w:r w:rsidR="003D640C">
        <w:t xml:space="preserve"> </w:t>
      </w:r>
      <w:r w:rsidR="00CC0F07">
        <w:t>R</w:t>
      </w:r>
      <w:r w:rsidR="00246EBD" w:rsidRPr="00BB6220">
        <w:t>esponse</w:t>
      </w:r>
      <w:r w:rsidR="003D640C">
        <w:t xml:space="preserve"> </w:t>
      </w:r>
      <w:r w:rsidR="00CC0F07">
        <w:t>T</w:t>
      </w:r>
      <w:r w:rsidR="00246EBD" w:rsidRPr="00BB6220">
        <w:t>eam</w:t>
      </w:r>
      <w:r w:rsidR="00B7217D">
        <w:t>,</w:t>
      </w:r>
      <w:r w:rsidR="003D640C">
        <w:t xml:space="preserve"> </w:t>
      </w:r>
      <w:r w:rsidR="00B7217D">
        <w:t>which</w:t>
      </w:r>
      <w:r w:rsidR="003D640C">
        <w:t xml:space="preserve"> </w:t>
      </w:r>
      <w:r w:rsidR="00B7217D">
        <w:t>he</w:t>
      </w:r>
      <w:r w:rsidR="003D640C">
        <w:t xml:space="preserve"> </w:t>
      </w:r>
      <w:r w:rsidR="00B7217D">
        <w:t>did</w:t>
      </w:r>
      <w:r w:rsidR="003D640C">
        <w:t xml:space="preserve"> </w:t>
      </w:r>
      <w:r w:rsidR="000E60F8" w:rsidRPr="00BB6220">
        <w:t>with</w:t>
      </w:r>
      <w:r w:rsidR="003D640C">
        <w:t xml:space="preserve"> </w:t>
      </w:r>
      <w:r w:rsidR="000E60F8" w:rsidRPr="00BB6220">
        <w:t>great</w:t>
      </w:r>
      <w:r w:rsidR="003D640C">
        <w:t xml:space="preserve"> </w:t>
      </w:r>
      <w:r w:rsidR="000E60F8" w:rsidRPr="00BB6220">
        <w:t>care</w:t>
      </w:r>
      <w:r w:rsidR="003D640C">
        <w:t xml:space="preserve"> </w:t>
      </w:r>
      <w:r w:rsidR="00246EBD" w:rsidRPr="00BB6220">
        <w:t>and</w:t>
      </w:r>
      <w:r w:rsidR="003D640C">
        <w:t xml:space="preserve"> </w:t>
      </w:r>
      <w:r w:rsidR="00033BCE" w:rsidRPr="00BB6220">
        <w:t>expertise.</w:t>
      </w:r>
      <w:r w:rsidR="003D640C">
        <w:t xml:space="preserve"> </w:t>
      </w:r>
      <w:r w:rsidR="00B7217D">
        <w:t>Matt</w:t>
      </w:r>
      <w:r w:rsidR="003D640C">
        <w:t xml:space="preserve"> </w:t>
      </w:r>
      <w:r w:rsidR="001923F0" w:rsidRPr="00BB6220">
        <w:t>laid</w:t>
      </w:r>
      <w:r w:rsidR="003D640C">
        <w:t xml:space="preserve"> </w:t>
      </w:r>
      <w:r w:rsidR="001923F0" w:rsidRPr="00BB6220">
        <w:t>down</w:t>
      </w:r>
      <w:r w:rsidR="003D640C">
        <w:t xml:space="preserve"> </w:t>
      </w:r>
      <w:r w:rsidR="001923F0" w:rsidRPr="00BB6220">
        <w:t>the</w:t>
      </w:r>
      <w:r w:rsidR="003D640C">
        <w:t xml:space="preserve"> </w:t>
      </w:r>
      <w:r w:rsidR="001923F0" w:rsidRPr="00BB6220">
        <w:t>vision</w:t>
      </w:r>
      <w:r w:rsidR="003D640C">
        <w:t xml:space="preserve"> </w:t>
      </w:r>
      <w:r w:rsidR="001923F0" w:rsidRPr="00BB6220">
        <w:t>for</w:t>
      </w:r>
      <w:r w:rsidR="003D640C">
        <w:t xml:space="preserve"> </w:t>
      </w:r>
      <w:r w:rsidR="00567558" w:rsidRPr="00BB6220">
        <w:t>this</w:t>
      </w:r>
      <w:r w:rsidR="003D640C">
        <w:t xml:space="preserve"> </w:t>
      </w:r>
      <w:r w:rsidR="00567558" w:rsidRPr="00BB6220">
        <w:t>report</w:t>
      </w:r>
      <w:r w:rsidR="003D640C">
        <w:t xml:space="preserve"> </w:t>
      </w:r>
      <w:r w:rsidR="00432023">
        <w:t>and</w:t>
      </w:r>
      <w:r w:rsidR="003D640C">
        <w:t xml:space="preserve"> </w:t>
      </w:r>
      <w:r w:rsidR="00432023">
        <w:t>is</w:t>
      </w:r>
      <w:r w:rsidR="003D640C">
        <w:t xml:space="preserve"> </w:t>
      </w:r>
      <w:r w:rsidR="00432023">
        <w:t>its</w:t>
      </w:r>
      <w:r w:rsidR="003D640C">
        <w:t xml:space="preserve"> </w:t>
      </w:r>
      <w:r w:rsidR="00432023">
        <w:t>lead</w:t>
      </w:r>
      <w:r w:rsidR="003D640C">
        <w:t xml:space="preserve"> </w:t>
      </w:r>
      <w:r w:rsidR="00432023">
        <w:t>author.</w:t>
      </w:r>
      <w:r w:rsidR="003D640C">
        <w:t xml:space="preserve"> </w:t>
      </w:r>
      <w:r w:rsidR="006A2C7B" w:rsidRPr="00BB6220">
        <w:t>S</w:t>
      </w:r>
      <w:r w:rsidR="001923F0" w:rsidRPr="00BB6220">
        <w:t>hanice</w:t>
      </w:r>
      <w:r w:rsidR="003D640C">
        <w:t xml:space="preserve"> </w:t>
      </w:r>
      <w:r w:rsidR="001923F0" w:rsidRPr="00BB6220">
        <w:t>Dent</w:t>
      </w:r>
      <w:r w:rsidR="006D3333">
        <w:t>,</w:t>
      </w:r>
      <w:r w:rsidR="003D640C">
        <w:t xml:space="preserve"> </w:t>
      </w:r>
      <w:r w:rsidR="00861434" w:rsidRPr="00BB6220">
        <w:t>Shawn</w:t>
      </w:r>
      <w:r w:rsidR="003D640C">
        <w:t xml:space="preserve"> </w:t>
      </w:r>
      <w:r w:rsidR="00861434" w:rsidRPr="00BB6220">
        <w:t>Wimalaratne</w:t>
      </w:r>
      <w:r w:rsidR="00D646CD">
        <w:t>,</w:t>
      </w:r>
      <w:r w:rsidR="003D640C">
        <w:t xml:space="preserve"> </w:t>
      </w:r>
      <w:r w:rsidR="001923F0" w:rsidRPr="00BB6220">
        <w:t>Clare</w:t>
      </w:r>
      <w:r w:rsidR="003D640C">
        <w:t xml:space="preserve"> </w:t>
      </w:r>
      <w:r w:rsidR="001923F0" w:rsidRPr="00BB6220">
        <w:t>O’Conne</w:t>
      </w:r>
      <w:r w:rsidR="00520C09" w:rsidRPr="00BB6220">
        <w:t>l</w:t>
      </w:r>
      <w:r w:rsidR="001923F0" w:rsidRPr="00BB6220">
        <w:t>l</w:t>
      </w:r>
      <w:r w:rsidR="006D3333">
        <w:t>,</w:t>
      </w:r>
      <w:r w:rsidR="003D640C">
        <w:t xml:space="preserve"> </w:t>
      </w:r>
      <w:r w:rsidR="001923F0" w:rsidRPr="00BB6220">
        <w:t>and</w:t>
      </w:r>
      <w:r w:rsidR="003D640C">
        <w:t xml:space="preserve"> </w:t>
      </w:r>
      <w:r w:rsidR="001923F0" w:rsidRPr="00BB6220">
        <w:t>Helen</w:t>
      </w:r>
      <w:r w:rsidR="003D640C">
        <w:t xml:space="preserve"> </w:t>
      </w:r>
      <w:r w:rsidR="001923F0" w:rsidRPr="00BB6220">
        <w:t>Isbister</w:t>
      </w:r>
      <w:r w:rsidR="003D640C">
        <w:t xml:space="preserve"> </w:t>
      </w:r>
      <w:r w:rsidR="001923F0" w:rsidRPr="00BB6220">
        <w:t>made</w:t>
      </w:r>
      <w:r w:rsidR="003D640C">
        <w:t xml:space="preserve"> </w:t>
      </w:r>
      <w:r w:rsidR="001923F0" w:rsidRPr="00BB6220">
        <w:t>significant</w:t>
      </w:r>
      <w:r w:rsidR="003D640C">
        <w:t xml:space="preserve"> </w:t>
      </w:r>
      <w:r w:rsidR="001923F0" w:rsidRPr="00BB6220">
        <w:t>writing</w:t>
      </w:r>
      <w:r w:rsidR="003D640C">
        <w:t xml:space="preserve"> </w:t>
      </w:r>
      <w:r w:rsidR="001923F0" w:rsidRPr="00BB6220">
        <w:t>contributions.</w:t>
      </w:r>
      <w:r w:rsidR="003D640C">
        <w:t xml:space="preserve"> </w:t>
      </w:r>
    </w:p>
    <w:p w14:paraId="318368AD" w14:textId="3ACB4A7A" w:rsidR="001923F0" w:rsidRPr="00BB6220" w:rsidRDefault="00653ECF" w:rsidP="008E1CCA">
      <w:pPr>
        <w:rPr>
          <w:shd w:val="clear" w:color="auto" w:fill="FFFFFF"/>
          <w:lang w:eastAsia="en-NZ"/>
        </w:rPr>
      </w:pPr>
      <w:r>
        <w:t>Final</w:t>
      </w:r>
      <w:r w:rsidR="003674C0">
        <w:t>ly,</w:t>
      </w:r>
      <w:r w:rsidR="003D640C">
        <w:t xml:space="preserve"> </w:t>
      </w:r>
      <w:r w:rsidR="003674C0">
        <w:t>s</w:t>
      </w:r>
      <w:r w:rsidR="001E3782">
        <w:t>pecial</w:t>
      </w:r>
      <w:r w:rsidR="003D640C">
        <w:t xml:space="preserve"> </w:t>
      </w:r>
      <w:r w:rsidR="001E3782">
        <w:t>thanks</w:t>
      </w:r>
      <w:r w:rsidR="003D640C">
        <w:t xml:space="preserve"> </w:t>
      </w:r>
      <w:r w:rsidR="001E3782">
        <w:t>to</w:t>
      </w:r>
      <w:r w:rsidR="003D640C">
        <w:t xml:space="preserve"> </w:t>
      </w:r>
      <w:r w:rsidR="001923F0">
        <w:t>previous</w:t>
      </w:r>
      <w:r w:rsidR="003D640C">
        <w:t xml:space="preserve"> </w:t>
      </w:r>
      <w:r w:rsidR="001923F0">
        <w:t>Commission</w:t>
      </w:r>
      <w:r w:rsidR="003D640C">
        <w:t xml:space="preserve"> </w:t>
      </w:r>
      <w:r w:rsidR="001923F0">
        <w:t>staff</w:t>
      </w:r>
      <w:r w:rsidR="003D640C">
        <w:t xml:space="preserve"> </w:t>
      </w:r>
      <w:r w:rsidR="001923F0">
        <w:t>who</w:t>
      </w:r>
      <w:r w:rsidR="003D640C">
        <w:t xml:space="preserve"> </w:t>
      </w:r>
      <w:r w:rsidR="001923F0">
        <w:t>were</w:t>
      </w:r>
      <w:r w:rsidR="003D640C">
        <w:t xml:space="preserve"> </w:t>
      </w:r>
      <w:r w:rsidR="001923F0">
        <w:t>part</w:t>
      </w:r>
      <w:r w:rsidR="003D640C">
        <w:t xml:space="preserve"> </w:t>
      </w:r>
      <w:r w:rsidR="001923F0">
        <w:t>of</w:t>
      </w:r>
      <w:r w:rsidR="003D640C">
        <w:t xml:space="preserve"> </w:t>
      </w:r>
      <w:r w:rsidR="001923F0">
        <w:t>our</w:t>
      </w:r>
      <w:r w:rsidR="003D640C">
        <w:t xml:space="preserve"> </w:t>
      </w:r>
      <w:r w:rsidR="001923F0">
        <w:t>journey</w:t>
      </w:r>
      <w:r w:rsidR="003D640C">
        <w:t xml:space="preserve"> </w:t>
      </w:r>
      <w:r>
        <w:t>–</w:t>
      </w:r>
      <w:r w:rsidR="003D640C">
        <w:t xml:space="preserve"> </w:t>
      </w:r>
      <w:r>
        <w:t>A</w:t>
      </w:r>
      <w:r w:rsidR="001923F0">
        <w:t>nna</w:t>
      </w:r>
      <w:r w:rsidR="003D640C">
        <w:t xml:space="preserve"> </w:t>
      </w:r>
      <w:r w:rsidR="001923F0">
        <w:t>Robinson,</w:t>
      </w:r>
      <w:r w:rsidR="003D640C">
        <w:t xml:space="preserve"> </w:t>
      </w:r>
      <w:r w:rsidR="001923F0">
        <w:t>Hanna</w:t>
      </w:r>
      <w:r w:rsidR="003D640C">
        <w:t xml:space="preserve"> </w:t>
      </w:r>
      <w:r w:rsidR="001923F0">
        <w:t>Jackson</w:t>
      </w:r>
      <w:r w:rsidR="00A45312">
        <w:t>,</w:t>
      </w:r>
      <w:r w:rsidR="003D640C">
        <w:t xml:space="preserve"> </w:t>
      </w:r>
      <w:r w:rsidR="001923F0">
        <w:t>and</w:t>
      </w:r>
      <w:r w:rsidR="003D640C">
        <w:t xml:space="preserve"> </w:t>
      </w:r>
      <w:r w:rsidR="001923F0">
        <w:t>Bronwyn</w:t>
      </w:r>
      <w:r w:rsidR="003D640C">
        <w:t xml:space="preserve"> </w:t>
      </w:r>
      <w:r w:rsidR="001923F0">
        <w:t>Kerr</w:t>
      </w:r>
      <w:r w:rsidR="003D640C">
        <w:t xml:space="preserve"> </w:t>
      </w:r>
      <w:r w:rsidR="001923F0">
        <w:t>–</w:t>
      </w:r>
      <w:r w:rsidR="003D640C">
        <w:t xml:space="preserve"> </w:t>
      </w:r>
      <w:r w:rsidR="001923F0">
        <w:t>as</w:t>
      </w:r>
      <w:r w:rsidR="003D640C">
        <w:t xml:space="preserve"> </w:t>
      </w:r>
      <w:r w:rsidR="001923F0">
        <w:t>well</w:t>
      </w:r>
      <w:r w:rsidR="003D640C">
        <w:t xml:space="preserve"> </w:t>
      </w:r>
      <w:r w:rsidR="001923F0">
        <w:t>as</w:t>
      </w:r>
      <w:r w:rsidR="003D640C">
        <w:t xml:space="preserve"> </w:t>
      </w:r>
      <w:r w:rsidR="009C076E">
        <w:t>Commission</w:t>
      </w:r>
      <w:r w:rsidR="003D640C">
        <w:t xml:space="preserve"> </w:t>
      </w:r>
      <w:r w:rsidR="007471C3">
        <w:t>personnel</w:t>
      </w:r>
      <w:r w:rsidR="003D640C">
        <w:t xml:space="preserve"> </w:t>
      </w:r>
      <w:r w:rsidR="00B7217D">
        <w:t>–</w:t>
      </w:r>
      <w:r w:rsidR="003D640C">
        <w:t xml:space="preserve"> </w:t>
      </w:r>
      <w:r w:rsidR="001923F0">
        <w:t>Taine</w:t>
      </w:r>
      <w:r w:rsidR="003D640C">
        <w:t xml:space="preserve"> </w:t>
      </w:r>
      <w:r w:rsidR="001923F0">
        <w:t>Polkinghorne,</w:t>
      </w:r>
      <w:r w:rsidR="003D640C">
        <w:t xml:space="preserve"> </w:t>
      </w:r>
      <w:r w:rsidR="001923F0">
        <w:t>Kerri</w:t>
      </w:r>
      <w:r w:rsidR="003D640C">
        <w:t xml:space="preserve"> </w:t>
      </w:r>
      <w:r w:rsidR="001923F0">
        <w:t>Kruse</w:t>
      </w:r>
      <w:r w:rsidR="00033BCE">
        <w:t>,</w:t>
      </w:r>
      <w:r w:rsidR="003D640C">
        <w:t xml:space="preserve"> </w:t>
      </w:r>
      <w:r w:rsidR="001923F0">
        <w:t>Jac</w:t>
      </w:r>
      <w:r w:rsidR="003D640C">
        <w:t xml:space="preserve"> </w:t>
      </w:r>
      <w:r w:rsidR="001923F0">
        <w:t>Lynch</w:t>
      </w:r>
      <w:r w:rsidR="00850017">
        <w:t>,</w:t>
      </w:r>
      <w:r w:rsidR="003D640C">
        <w:t xml:space="preserve"> </w:t>
      </w:r>
      <w:r w:rsidR="00850017">
        <w:t>Dr</w:t>
      </w:r>
      <w:r w:rsidR="003D640C">
        <w:t xml:space="preserve"> </w:t>
      </w:r>
      <w:r w:rsidR="00850017">
        <w:t>Judith</w:t>
      </w:r>
      <w:r w:rsidR="003D640C">
        <w:t xml:space="preserve"> </w:t>
      </w:r>
      <w:r w:rsidR="00850017">
        <w:t>Pryor</w:t>
      </w:r>
      <w:r w:rsidR="00A45312">
        <w:t>,</w:t>
      </w:r>
      <w:r w:rsidR="003D640C">
        <w:t xml:space="preserve"> </w:t>
      </w:r>
      <w:r w:rsidR="00033BCE">
        <w:t>and</w:t>
      </w:r>
      <w:r w:rsidR="003D640C">
        <w:t xml:space="preserve"> </w:t>
      </w:r>
      <w:r w:rsidR="00033BCE">
        <w:t>Dr</w:t>
      </w:r>
      <w:r w:rsidR="003D640C">
        <w:t xml:space="preserve"> </w:t>
      </w:r>
      <w:r w:rsidR="00033BCE">
        <w:t>Esther</w:t>
      </w:r>
      <w:r w:rsidR="003D640C">
        <w:t xml:space="preserve"> </w:t>
      </w:r>
      <w:r w:rsidR="00033BCE">
        <w:t>Rootham</w:t>
      </w:r>
      <w:r w:rsidR="003D640C">
        <w:t xml:space="preserve"> </w:t>
      </w:r>
      <w:r w:rsidR="00B7217D">
        <w:t>–</w:t>
      </w:r>
      <w:r w:rsidR="003D640C">
        <w:t xml:space="preserve"> </w:t>
      </w:r>
      <w:r w:rsidR="001923F0">
        <w:t>who</w:t>
      </w:r>
      <w:r w:rsidR="003D640C">
        <w:t xml:space="preserve"> </w:t>
      </w:r>
      <w:r w:rsidR="001923F0">
        <w:t>also</w:t>
      </w:r>
      <w:r w:rsidR="003D640C">
        <w:t xml:space="preserve"> </w:t>
      </w:r>
      <w:r w:rsidR="009E3694">
        <w:t>provided</w:t>
      </w:r>
      <w:r w:rsidR="003D640C">
        <w:t xml:space="preserve"> </w:t>
      </w:r>
      <w:r w:rsidR="009E3694">
        <w:t>their</w:t>
      </w:r>
      <w:r w:rsidR="003D640C">
        <w:t xml:space="preserve"> </w:t>
      </w:r>
      <w:r w:rsidR="009E3694">
        <w:t>expertise</w:t>
      </w:r>
      <w:r w:rsidR="003D640C">
        <w:t xml:space="preserve"> </w:t>
      </w:r>
      <w:r w:rsidR="009E3694">
        <w:t>to</w:t>
      </w:r>
      <w:r w:rsidR="003D640C">
        <w:t xml:space="preserve"> </w:t>
      </w:r>
      <w:r w:rsidR="001923F0">
        <w:t>this</w:t>
      </w:r>
      <w:r w:rsidR="003D640C">
        <w:t xml:space="preserve"> </w:t>
      </w:r>
      <w:r w:rsidR="001923F0">
        <w:t>report</w:t>
      </w:r>
      <w:r w:rsidR="00520C09">
        <w:t>.</w:t>
      </w:r>
      <w:r w:rsidR="003D640C">
        <w:t xml:space="preserve"> </w:t>
      </w:r>
      <w:r w:rsidR="00A84F9B">
        <w:t xml:space="preserve">We also wish to thank </w:t>
      </w:r>
      <w:r w:rsidR="00421050">
        <w:t xml:space="preserve">Dr </w:t>
      </w:r>
      <w:r w:rsidR="00A96795">
        <w:t xml:space="preserve">Penny </w:t>
      </w:r>
      <w:r w:rsidR="0E458A7E">
        <w:t>Ehrhardt</w:t>
      </w:r>
      <w:r w:rsidR="00A96795">
        <w:t>, who</w:t>
      </w:r>
      <w:r w:rsidR="0059471D">
        <w:t xml:space="preserve"> provided </w:t>
      </w:r>
      <w:r w:rsidR="00623ED3">
        <w:t xml:space="preserve">a </w:t>
      </w:r>
      <w:r w:rsidR="0059471D">
        <w:t xml:space="preserve">considered </w:t>
      </w:r>
      <w:r w:rsidR="0AEC9BF7">
        <w:t xml:space="preserve">independent external </w:t>
      </w:r>
      <w:r w:rsidR="0059471D">
        <w:t>review of</w:t>
      </w:r>
      <w:r w:rsidR="454BFBBB">
        <w:t xml:space="preserve"> the report</w:t>
      </w:r>
      <w:r w:rsidR="000F19C5">
        <w:t xml:space="preserve">, </w:t>
      </w:r>
      <w:r w:rsidR="00C40CC2">
        <w:t xml:space="preserve">and Jack Byrne, who reviewed sections of the report, </w:t>
      </w:r>
      <w:r w:rsidR="0060607C">
        <w:t xml:space="preserve">although of course, </w:t>
      </w:r>
      <w:r w:rsidR="00305430">
        <w:t>all remaining errors are our own</w:t>
      </w:r>
      <w:r w:rsidR="000F19C5">
        <w:t>.</w:t>
      </w:r>
    </w:p>
    <w:p w14:paraId="2316B5C4" w14:textId="42931D59" w:rsidR="00EF7C35" w:rsidRPr="00BB6220" w:rsidRDefault="009C076E" w:rsidP="008E1CCA">
      <w:pPr>
        <w:rPr>
          <w:b/>
          <w:bCs/>
        </w:rPr>
      </w:pPr>
      <w:r w:rsidRPr="00BB6220">
        <w:t>There</w:t>
      </w:r>
      <w:r w:rsidR="003D640C">
        <w:t xml:space="preserve"> </w:t>
      </w:r>
      <w:r w:rsidRPr="00BB6220">
        <w:t>are</w:t>
      </w:r>
      <w:r w:rsidR="003D640C">
        <w:t xml:space="preserve"> </w:t>
      </w:r>
      <w:r w:rsidRPr="00BB6220">
        <w:t>many</w:t>
      </w:r>
      <w:r w:rsidR="003D640C">
        <w:t xml:space="preserve"> </w:t>
      </w:r>
      <w:r w:rsidRPr="00BB6220">
        <w:t>more</w:t>
      </w:r>
      <w:r w:rsidR="003D640C">
        <w:t xml:space="preserve"> </w:t>
      </w:r>
      <w:r w:rsidR="00C219E8" w:rsidRPr="00BB6220">
        <w:t>in</w:t>
      </w:r>
      <w:r w:rsidR="003D640C">
        <w:t xml:space="preserve"> </w:t>
      </w:r>
      <w:r w:rsidR="00C219E8" w:rsidRPr="00BB6220">
        <w:t>civil</w:t>
      </w:r>
      <w:r w:rsidR="003D640C">
        <w:t xml:space="preserve"> </w:t>
      </w:r>
      <w:r w:rsidR="00C219E8" w:rsidRPr="00BB6220">
        <w:t>society</w:t>
      </w:r>
      <w:r w:rsidR="003D640C">
        <w:t xml:space="preserve"> </w:t>
      </w:r>
      <w:r w:rsidR="00C219E8" w:rsidRPr="00BB6220">
        <w:t>and</w:t>
      </w:r>
      <w:r w:rsidR="003D640C">
        <w:t xml:space="preserve"> </w:t>
      </w:r>
      <w:r w:rsidR="00C219E8" w:rsidRPr="00BB6220">
        <w:t>the</w:t>
      </w:r>
      <w:r w:rsidR="003D640C">
        <w:t xml:space="preserve"> </w:t>
      </w:r>
      <w:r w:rsidR="00C219E8" w:rsidRPr="00BB6220">
        <w:t>wider</w:t>
      </w:r>
      <w:r w:rsidR="003D640C">
        <w:t xml:space="preserve"> </w:t>
      </w:r>
      <w:r w:rsidR="00653ECF" w:rsidRPr="00BB6220">
        <w:t>Rainbow</w:t>
      </w:r>
      <w:r w:rsidR="003D640C">
        <w:t xml:space="preserve"> </w:t>
      </w:r>
      <w:r w:rsidR="00C219E8" w:rsidRPr="00BB6220">
        <w:t>wh</w:t>
      </w:r>
      <w:r w:rsidR="00653ECF" w:rsidRPr="00BB6220">
        <w:t>ā</w:t>
      </w:r>
      <w:r w:rsidR="00C219E8" w:rsidRPr="00BB6220">
        <w:t>nau</w:t>
      </w:r>
      <w:r w:rsidR="003D640C">
        <w:t xml:space="preserve"> </w:t>
      </w:r>
      <w:r w:rsidR="00C219E8" w:rsidRPr="00BB6220">
        <w:t>who</w:t>
      </w:r>
      <w:r w:rsidR="003D640C">
        <w:t xml:space="preserve"> </w:t>
      </w:r>
      <w:r w:rsidR="00BA26D0" w:rsidRPr="00BB6220">
        <w:t>provided</w:t>
      </w:r>
      <w:r w:rsidR="003D640C">
        <w:t xml:space="preserve"> </w:t>
      </w:r>
      <w:r w:rsidR="00BA26D0" w:rsidRPr="00BB6220">
        <w:t>insights,</w:t>
      </w:r>
      <w:r w:rsidR="003D640C">
        <w:t xml:space="preserve"> </w:t>
      </w:r>
      <w:r w:rsidR="00BA26D0" w:rsidRPr="00BB6220">
        <w:t>wisdom</w:t>
      </w:r>
      <w:r w:rsidR="00A45312">
        <w:t>,</w:t>
      </w:r>
      <w:r w:rsidR="003D640C">
        <w:t xml:space="preserve"> </w:t>
      </w:r>
      <w:r w:rsidR="00BA26D0" w:rsidRPr="00BB6220">
        <w:t>and</w:t>
      </w:r>
      <w:r w:rsidR="003D640C">
        <w:t xml:space="preserve"> </w:t>
      </w:r>
      <w:r w:rsidR="00BA26D0" w:rsidRPr="00BB6220">
        <w:t>guidance</w:t>
      </w:r>
      <w:r w:rsidR="003D640C">
        <w:t xml:space="preserve"> </w:t>
      </w:r>
      <w:r w:rsidR="00BA26D0" w:rsidRPr="00BB6220">
        <w:t>that</w:t>
      </w:r>
      <w:r w:rsidR="003D640C">
        <w:t xml:space="preserve"> </w:t>
      </w:r>
      <w:r w:rsidR="00BA26D0" w:rsidRPr="00BB6220">
        <w:t>helped</w:t>
      </w:r>
      <w:r w:rsidR="003D640C">
        <w:t xml:space="preserve"> </w:t>
      </w:r>
      <w:r w:rsidR="00BA26D0" w:rsidRPr="00BB6220">
        <w:t>inform</w:t>
      </w:r>
      <w:r w:rsidR="003D640C">
        <w:t xml:space="preserve"> </w:t>
      </w:r>
      <w:r w:rsidR="00BA26D0" w:rsidRPr="00BB6220">
        <w:t>our</w:t>
      </w:r>
      <w:r w:rsidR="003D640C">
        <w:t xml:space="preserve"> </w:t>
      </w:r>
      <w:r w:rsidR="00BA26D0" w:rsidRPr="00BB6220">
        <w:t>work</w:t>
      </w:r>
      <w:r w:rsidR="003D640C">
        <w:t xml:space="preserve"> </w:t>
      </w:r>
      <w:r w:rsidR="00BA26D0" w:rsidRPr="00BB6220">
        <w:t>and</w:t>
      </w:r>
      <w:r w:rsidR="003D640C">
        <w:t xml:space="preserve"> </w:t>
      </w:r>
      <w:r w:rsidR="0086113B" w:rsidRPr="00BB6220">
        <w:t>strength</w:t>
      </w:r>
      <w:r w:rsidR="00B7217D">
        <w:t>en</w:t>
      </w:r>
      <w:r w:rsidR="003D640C">
        <w:t xml:space="preserve"> </w:t>
      </w:r>
      <w:r w:rsidR="0086113B" w:rsidRPr="00BB6220">
        <w:t>the</w:t>
      </w:r>
      <w:r w:rsidR="003D640C">
        <w:t xml:space="preserve"> </w:t>
      </w:r>
      <w:r w:rsidR="0086113B" w:rsidRPr="00BB6220">
        <w:t>voice</w:t>
      </w:r>
      <w:r w:rsidR="003D640C">
        <w:t xml:space="preserve"> </w:t>
      </w:r>
      <w:r w:rsidR="0086113B" w:rsidRPr="00BB6220">
        <w:t>of</w:t>
      </w:r>
      <w:r w:rsidR="003D640C">
        <w:t xml:space="preserve"> </w:t>
      </w:r>
      <w:r w:rsidR="0086113B" w:rsidRPr="00BB6220">
        <w:t>survivors</w:t>
      </w:r>
      <w:r w:rsidR="003D640C">
        <w:t xml:space="preserve"> </w:t>
      </w:r>
      <w:r w:rsidR="00F24DAC" w:rsidRPr="00BB6220">
        <w:t>presented</w:t>
      </w:r>
      <w:r w:rsidR="003D640C">
        <w:t xml:space="preserve"> </w:t>
      </w:r>
      <w:r w:rsidR="00F24DAC" w:rsidRPr="00BB6220">
        <w:t>herein</w:t>
      </w:r>
      <w:r w:rsidR="0086113B" w:rsidRPr="00BB6220">
        <w:t>.</w:t>
      </w:r>
      <w:r w:rsidR="003D640C">
        <w:t xml:space="preserve"> </w:t>
      </w:r>
      <w:r w:rsidR="00653ECF" w:rsidRPr="00BB6220">
        <w:t>Writing</w:t>
      </w:r>
      <w:r w:rsidR="003D640C">
        <w:t xml:space="preserve"> </w:t>
      </w:r>
      <w:r w:rsidR="00653ECF" w:rsidRPr="00BB6220">
        <w:t>a</w:t>
      </w:r>
      <w:r w:rsidR="0086113B" w:rsidRPr="00BB6220">
        <w:t>s</w:t>
      </w:r>
      <w:r w:rsidR="003D640C">
        <w:t xml:space="preserve"> </w:t>
      </w:r>
      <w:r w:rsidR="0086113B" w:rsidRPr="00BB6220">
        <w:t>a</w:t>
      </w:r>
      <w:r w:rsidR="003D640C">
        <w:t xml:space="preserve"> </w:t>
      </w:r>
      <w:r w:rsidR="0086113B" w:rsidRPr="00BB6220">
        <w:t>survivor</w:t>
      </w:r>
      <w:r w:rsidR="003D640C">
        <w:t xml:space="preserve"> </w:t>
      </w:r>
      <w:r w:rsidR="00B7217D" w:rsidRPr="00BB6220">
        <w:t>of</w:t>
      </w:r>
      <w:r w:rsidR="003D640C">
        <w:t xml:space="preserve"> </w:t>
      </w:r>
      <w:r w:rsidR="00B7217D" w:rsidRPr="00BB6220">
        <w:t>more</w:t>
      </w:r>
      <w:r w:rsidR="003D640C">
        <w:t xml:space="preserve"> </w:t>
      </w:r>
      <w:r w:rsidR="00B7217D" w:rsidRPr="00BB6220">
        <w:t>than</w:t>
      </w:r>
      <w:r w:rsidR="003D640C">
        <w:t xml:space="preserve"> </w:t>
      </w:r>
      <w:r w:rsidR="00B7217D" w:rsidRPr="00BB6220">
        <w:t>15</w:t>
      </w:r>
      <w:r w:rsidR="003D640C">
        <w:t xml:space="preserve"> </w:t>
      </w:r>
      <w:r w:rsidR="00B7217D" w:rsidRPr="00BB6220">
        <w:t>years</w:t>
      </w:r>
      <w:r w:rsidR="003D640C">
        <w:t xml:space="preserve"> </w:t>
      </w:r>
      <w:r w:rsidR="0086113B" w:rsidRPr="00BB6220">
        <w:t>of</w:t>
      </w:r>
      <w:r w:rsidR="003D640C">
        <w:t xml:space="preserve"> </w:t>
      </w:r>
      <w:r w:rsidR="0086113B" w:rsidRPr="00BB6220">
        <w:t>these</w:t>
      </w:r>
      <w:r w:rsidR="003D640C">
        <w:t xml:space="preserve"> </w:t>
      </w:r>
      <w:r w:rsidR="0086113B" w:rsidRPr="00BB6220">
        <w:t>practices</w:t>
      </w:r>
      <w:r w:rsidR="003D640C">
        <w:t xml:space="preserve"> </w:t>
      </w:r>
      <w:r w:rsidR="00653ECF" w:rsidRPr="00BB6220">
        <w:t>myself</w:t>
      </w:r>
      <w:r w:rsidR="0086113B" w:rsidRPr="00BB6220">
        <w:t>,</w:t>
      </w:r>
      <w:r w:rsidR="003D640C">
        <w:t xml:space="preserve"> </w:t>
      </w:r>
      <w:r w:rsidR="16B1B310">
        <w:t>on</w:t>
      </w:r>
      <w:r w:rsidR="003D640C">
        <w:t xml:space="preserve"> </w:t>
      </w:r>
      <w:r w:rsidR="16B1B310">
        <w:t>behalf</w:t>
      </w:r>
      <w:r w:rsidR="003D640C">
        <w:t xml:space="preserve"> </w:t>
      </w:r>
      <w:r w:rsidR="16B1B310">
        <w:t>of</w:t>
      </w:r>
      <w:r w:rsidR="003D640C">
        <w:t xml:space="preserve"> </w:t>
      </w:r>
      <w:r w:rsidR="16B1B310">
        <w:t>the</w:t>
      </w:r>
      <w:r w:rsidR="003D640C">
        <w:t xml:space="preserve"> </w:t>
      </w:r>
      <w:r w:rsidR="16B1B310">
        <w:t>team</w:t>
      </w:r>
      <w:r w:rsidR="00501BC4">
        <w:t>,</w:t>
      </w:r>
      <w:r w:rsidR="003D640C">
        <w:t xml:space="preserve"> </w:t>
      </w:r>
      <w:r w:rsidR="00653ECF">
        <w:t>I</w:t>
      </w:r>
      <w:r w:rsidR="003D640C">
        <w:t xml:space="preserve"> </w:t>
      </w:r>
      <w:r w:rsidR="00DD7242" w:rsidRPr="00BB6220">
        <w:t>thank</w:t>
      </w:r>
      <w:r w:rsidR="003D640C">
        <w:t xml:space="preserve"> </w:t>
      </w:r>
      <w:r w:rsidR="00FD267E" w:rsidRPr="00BB6220">
        <w:t>all</w:t>
      </w:r>
      <w:r w:rsidR="003D640C">
        <w:t xml:space="preserve"> </w:t>
      </w:r>
      <w:r w:rsidR="00FD267E" w:rsidRPr="00BB6220">
        <w:t>survivors</w:t>
      </w:r>
      <w:r w:rsidR="003D640C">
        <w:t xml:space="preserve"> </w:t>
      </w:r>
      <w:r w:rsidR="00FD267E" w:rsidRPr="00BB6220">
        <w:t>who</w:t>
      </w:r>
      <w:r w:rsidR="003D640C">
        <w:t xml:space="preserve"> </w:t>
      </w:r>
      <w:r w:rsidR="00FD267E" w:rsidRPr="00BB6220">
        <w:t>supported</w:t>
      </w:r>
      <w:r w:rsidR="003D640C">
        <w:t xml:space="preserve"> </w:t>
      </w:r>
      <w:r w:rsidR="00DD7242" w:rsidRPr="00BB6220">
        <w:t>the</w:t>
      </w:r>
      <w:r w:rsidR="003D640C">
        <w:t xml:space="preserve"> </w:t>
      </w:r>
      <w:r w:rsidR="00DD7242" w:rsidRPr="00BB6220">
        <w:t>Commission</w:t>
      </w:r>
      <w:r w:rsidR="00FD267E" w:rsidRPr="00BB6220">
        <w:t>’s</w:t>
      </w:r>
      <w:r w:rsidR="003D640C">
        <w:t xml:space="preserve"> </w:t>
      </w:r>
      <w:r w:rsidR="00DD7242" w:rsidRPr="00BB6220">
        <w:t>work</w:t>
      </w:r>
      <w:r w:rsidR="003D640C">
        <w:t xml:space="preserve"> </w:t>
      </w:r>
      <w:r w:rsidR="00AB266C" w:rsidRPr="00BB6220">
        <w:t>to</w:t>
      </w:r>
      <w:r w:rsidR="003D640C">
        <w:t xml:space="preserve"> </w:t>
      </w:r>
      <w:r w:rsidR="001923F0" w:rsidRPr="00BB6220">
        <w:t>ensure</w:t>
      </w:r>
      <w:r w:rsidR="003D640C">
        <w:t xml:space="preserve"> </w:t>
      </w:r>
      <w:r w:rsidR="001923F0" w:rsidRPr="00BB6220">
        <w:t>that</w:t>
      </w:r>
      <w:r w:rsidR="003D640C">
        <w:t xml:space="preserve"> </w:t>
      </w:r>
      <w:r w:rsidR="001923F0" w:rsidRPr="00BB6220">
        <w:t>conversion</w:t>
      </w:r>
      <w:r w:rsidR="003D640C">
        <w:t xml:space="preserve"> </w:t>
      </w:r>
      <w:r w:rsidR="001923F0" w:rsidRPr="00BB6220">
        <w:t>practices</w:t>
      </w:r>
      <w:r w:rsidR="003D640C">
        <w:t xml:space="preserve"> </w:t>
      </w:r>
      <w:r w:rsidR="001923F0" w:rsidRPr="00BB6220">
        <w:t>are</w:t>
      </w:r>
      <w:r w:rsidR="003D640C">
        <w:t xml:space="preserve"> </w:t>
      </w:r>
      <w:r w:rsidR="001923F0" w:rsidRPr="00BB6220">
        <w:t>indeed</w:t>
      </w:r>
      <w:r w:rsidR="003D640C">
        <w:t xml:space="preserve"> </w:t>
      </w:r>
      <w:r w:rsidR="001923F0" w:rsidRPr="00BB6220">
        <w:t>eliminated</w:t>
      </w:r>
      <w:r w:rsidR="003D640C">
        <w:t xml:space="preserve"> </w:t>
      </w:r>
      <w:r w:rsidR="001923F0" w:rsidRPr="00BB6220">
        <w:t>in</w:t>
      </w:r>
      <w:r w:rsidR="003D640C">
        <w:t xml:space="preserve"> </w:t>
      </w:r>
      <w:r w:rsidR="001923F0" w:rsidRPr="00BB6220">
        <w:t>Aotearoa</w:t>
      </w:r>
      <w:r w:rsidR="003D640C">
        <w:t xml:space="preserve"> </w:t>
      </w:r>
      <w:r w:rsidR="001923F0" w:rsidRPr="00BB6220">
        <w:t>and</w:t>
      </w:r>
      <w:r w:rsidR="003D640C">
        <w:t xml:space="preserve"> </w:t>
      </w:r>
      <w:r w:rsidR="001923F0" w:rsidRPr="00BB6220">
        <w:t>globally.</w:t>
      </w:r>
    </w:p>
    <w:p w14:paraId="04D6AF4C" w14:textId="77777777" w:rsidR="00577F8F" w:rsidRDefault="00AB266C" w:rsidP="008E1CCA">
      <w:r w:rsidRPr="00BB6220">
        <w:t>Andre</w:t>
      </w:r>
      <w:r w:rsidR="003D640C">
        <w:t xml:space="preserve"> </w:t>
      </w:r>
      <w:r w:rsidRPr="00BB6220">
        <w:t>Afamasaga</w:t>
      </w:r>
    </w:p>
    <w:p w14:paraId="4FCA6152" w14:textId="77777777" w:rsidR="00577F8F" w:rsidRDefault="00FC4F7C" w:rsidP="008E1CCA">
      <w:r w:rsidRPr="00BB6220">
        <w:t>Former</w:t>
      </w:r>
      <w:r w:rsidR="003D640C">
        <w:t xml:space="preserve"> </w:t>
      </w:r>
      <w:r w:rsidR="00AB266C" w:rsidRPr="00BB6220">
        <w:t>Group</w:t>
      </w:r>
      <w:r w:rsidR="003D640C">
        <w:t xml:space="preserve"> </w:t>
      </w:r>
      <w:r w:rsidR="00AB266C" w:rsidRPr="00BB6220">
        <w:t>Manager</w:t>
      </w:r>
      <w:r w:rsidR="003D640C">
        <w:t xml:space="preserve"> </w:t>
      </w:r>
      <w:r w:rsidR="00EF7C35" w:rsidRPr="00BB6220">
        <w:t>Advice,</w:t>
      </w:r>
      <w:r w:rsidR="003D640C">
        <w:t xml:space="preserve"> </w:t>
      </w:r>
      <w:r w:rsidR="00EF7C35" w:rsidRPr="00BB6220">
        <w:t>Research</w:t>
      </w:r>
      <w:r w:rsidR="003D640C">
        <w:t xml:space="preserve"> </w:t>
      </w:r>
      <w:r w:rsidR="00EF7C35" w:rsidRPr="00BB6220">
        <w:t>&amp;</w:t>
      </w:r>
      <w:r w:rsidR="003D640C">
        <w:t xml:space="preserve"> </w:t>
      </w:r>
      <w:r w:rsidR="00EF7C35" w:rsidRPr="00BB6220">
        <w:t>Engagement</w:t>
      </w:r>
      <w:r w:rsidR="003D640C">
        <w:t xml:space="preserve"> </w:t>
      </w:r>
      <w:r w:rsidR="00EF7C35" w:rsidRPr="00BB6220">
        <w:t>(including</w:t>
      </w:r>
      <w:r w:rsidR="003D640C">
        <w:t xml:space="preserve"> </w:t>
      </w:r>
      <w:r w:rsidR="00EF7C35" w:rsidRPr="00BB6220">
        <w:t>Conversion</w:t>
      </w:r>
      <w:r w:rsidR="003D640C">
        <w:t xml:space="preserve"> </w:t>
      </w:r>
      <w:r w:rsidR="00EF7C35" w:rsidRPr="00BB6220">
        <w:t>Practices)</w:t>
      </w:r>
    </w:p>
    <w:p w14:paraId="42507DEE" w14:textId="11B5E1A0" w:rsidR="001015A4" w:rsidRDefault="00EF7C35">
      <w:pPr>
        <w:rPr>
          <w:sz w:val="32"/>
          <w:szCs w:val="32"/>
        </w:rPr>
      </w:pPr>
      <w:r w:rsidRPr="00BB6220">
        <w:lastRenderedPageBreak/>
        <w:t>Te</w:t>
      </w:r>
      <w:r w:rsidR="003D640C">
        <w:t xml:space="preserve"> </w:t>
      </w:r>
      <w:r w:rsidR="00DC47F4" w:rsidRPr="00BB6220">
        <w:t>K</w:t>
      </w:r>
      <w:r w:rsidR="00DC47F4">
        <w:t>ā</w:t>
      </w:r>
      <w:r w:rsidR="00DC47F4" w:rsidRPr="00BB6220">
        <w:t>hui</w:t>
      </w:r>
      <w:r w:rsidR="003D640C">
        <w:t xml:space="preserve"> </w:t>
      </w:r>
      <w:r w:rsidRPr="00BB6220">
        <w:t>Tika</w:t>
      </w:r>
      <w:r w:rsidR="003D640C">
        <w:t xml:space="preserve"> </w:t>
      </w:r>
      <w:r w:rsidRPr="00BB6220">
        <w:t>Tangata</w:t>
      </w:r>
      <w:r w:rsidR="003D640C">
        <w:t xml:space="preserve"> </w:t>
      </w:r>
      <w:r w:rsidRPr="00BB6220">
        <w:t>|</w:t>
      </w:r>
      <w:r w:rsidR="003D640C">
        <w:t xml:space="preserve"> </w:t>
      </w:r>
      <w:r w:rsidRPr="00BB6220">
        <w:t>New</w:t>
      </w:r>
      <w:r w:rsidR="003D640C">
        <w:t xml:space="preserve"> </w:t>
      </w:r>
      <w:r w:rsidRPr="00BB6220">
        <w:t>Zealand</w:t>
      </w:r>
      <w:r w:rsidR="003D640C">
        <w:t xml:space="preserve"> </w:t>
      </w:r>
      <w:r w:rsidRPr="00BB6220">
        <w:t>Human</w:t>
      </w:r>
      <w:r w:rsidR="003D640C">
        <w:t xml:space="preserve"> </w:t>
      </w:r>
      <w:r w:rsidRPr="00BB6220">
        <w:t>Rights</w:t>
      </w:r>
      <w:r w:rsidR="003D640C">
        <w:t xml:space="preserve"> </w:t>
      </w:r>
      <w:r w:rsidRPr="00BB6220">
        <w:t>Commission</w:t>
      </w:r>
      <w:r w:rsidR="001015A4">
        <w:rPr>
          <w:sz w:val="32"/>
          <w:szCs w:val="32"/>
        </w:rPr>
        <w:br w:type="page"/>
      </w:r>
    </w:p>
    <w:p w14:paraId="28E838F2" w14:textId="0409F652" w:rsidR="00501BC4" w:rsidRPr="00501BC4" w:rsidRDefault="00501BC4" w:rsidP="00501BC4">
      <w:pPr>
        <w:spacing w:after="200"/>
        <w:rPr>
          <w:rFonts w:asciiTheme="majorHAnsi" w:hAnsiTheme="majorHAnsi" w:cstheme="majorHAnsi"/>
          <w:b/>
          <w:bCs/>
          <w:color w:val="2F5496"/>
          <w:sz w:val="40"/>
          <w:szCs w:val="40"/>
        </w:rPr>
      </w:pPr>
      <w:r>
        <w:rPr>
          <w:rFonts w:asciiTheme="majorHAnsi" w:hAnsiTheme="majorHAnsi" w:cstheme="majorHAnsi"/>
          <w:b/>
          <w:bCs/>
          <w:color w:val="2F5496"/>
          <w:sz w:val="40"/>
          <w:szCs w:val="40"/>
        </w:rPr>
        <w:lastRenderedPageBreak/>
        <w:t>Contents</w:t>
      </w:r>
    </w:p>
    <w:sdt>
      <w:sdtPr>
        <w:rPr>
          <w:b w:val="0"/>
          <w:bCs w:val="0"/>
          <w:noProof w:val="0"/>
        </w:rPr>
        <w:id w:val="1844129057"/>
        <w:docPartObj>
          <w:docPartGallery w:val="Table of Contents"/>
          <w:docPartUnique/>
        </w:docPartObj>
      </w:sdtPr>
      <w:sdtEndPr/>
      <w:sdtContent>
        <w:p w14:paraId="6FEA5786" w14:textId="2B87313F" w:rsidR="005D3C01" w:rsidRDefault="00813BF0">
          <w:pPr>
            <w:pStyle w:val="TOC1"/>
            <w:rPr>
              <w:rFonts w:eastAsiaTheme="minorEastAsia"/>
              <w:b w:val="0"/>
              <w:bCs w:val="0"/>
              <w:kern w:val="2"/>
              <w:sz w:val="24"/>
              <w:szCs w:val="24"/>
              <w:lang w:eastAsia="en-NZ"/>
              <w14:ligatures w14:val="standardContextual"/>
            </w:rPr>
          </w:pPr>
          <w:r>
            <w:fldChar w:fldCharType="begin"/>
          </w:r>
          <w:r w:rsidR="00AC5CF7">
            <w:instrText>TOC \o "1-3" \z \u \h</w:instrText>
          </w:r>
          <w:r>
            <w:fldChar w:fldCharType="separate"/>
          </w:r>
          <w:hyperlink w:anchor="_Toc174628618" w:history="1">
            <w:r w:rsidR="005D3C01" w:rsidRPr="008D5196">
              <w:rPr>
                <w:rStyle w:val="Hyperlink"/>
              </w:rPr>
              <w:t>Foreword</w:t>
            </w:r>
            <w:r w:rsidR="005D3C01">
              <w:rPr>
                <w:webHidden/>
              </w:rPr>
              <w:tab/>
            </w:r>
            <w:r w:rsidR="005D3C01">
              <w:rPr>
                <w:webHidden/>
              </w:rPr>
              <w:fldChar w:fldCharType="begin"/>
            </w:r>
            <w:r w:rsidR="005D3C01">
              <w:rPr>
                <w:webHidden/>
              </w:rPr>
              <w:instrText xml:space="preserve"> PAGEREF _Toc174628618 \h </w:instrText>
            </w:r>
            <w:r w:rsidR="005D3C01">
              <w:rPr>
                <w:webHidden/>
              </w:rPr>
            </w:r>
            <w:r w:rsidR="005D3C01">
              <w:rPr>
                <w:webHidden/>
              </w:rPr>
              <w:fldChar w:fldCharType="separate"/>
            </w:r>
            <w:r w:rsidR="005D3C01">
              <w:rPr>
                <w:webHidden/>
              </w:rPr>
              <w:t>9</w:t>
            </w:r>
            <w:r w:rsidR="005D3C01">
              <w:rPr>
                <w:webHidden/>
              </w:rPr>
              <w:fldChar w:fldCharType="end"/>
            </w:r>
          </w:hyperlink>
        </w:p>
        <w:p w14:paraId="0C2C9729" w14:textId="5FA6C4BD" w:rsidR="005D3C01" w:rsidRDefault="00383541">
          <w:pPr>
            <w:pStyle w:val="TOC1"/>
            <w:rPr>
              <w:rFonts w:eastAsiaTheme="minorEastAsia"/>
              <w:b w:val="0"/>
              <w:bCs w:val="0"/>
              <w:kern w:val="2"/>
              <w:sz w:val="24"/>
              <w:szCs w:val="24"/>
              <w:lang w:eastAsia="en-NZ"/>
              <w14:ligatures w14:val="standardContextual"/>
            </w:rPr>
          </w:pPr>
          <w:hyperlink w:anchor="_Toc174628619" w:history="1">
            <w:r w:rsidR="005D3C01" w:rsidRPr="008D5196">
              <w:rPr>
                <w:rStyle w:val="Hyperlink"/>
                <w:lang w:eastAsia="en-NZ"/>
              </w:rPr>
              <w:t>Glossary</w:t>
            </w:r>
            <w:r w:rsidR="005D3C01">
              <w:rPr>
                <w:webHidden/>
              </w:rPr>
              <w:tab/>
            </w:r>
            <w:r w:rsidR="005D3C01">
              <w:rPr>
                <w:webHidden/>
              </w:rPr>
              <w:fldChar w:fldCharType="begin"/>
            </w:r>
            <w:r w:rsidR="005D3C01">
              <w:rPr>
                <w:webHidden/>
              </w:rPr>
              <w:instrText xml:space="preserve"> PAGEREF _Toc174628619 \h </w:instrText>
            </w:r>
            <w:r w:rsidR="005D3C01">
              <w:rPr>
                <w:webHidden/>
              </w:rPr>
            </w:r>
            <w:r w:rsidR="005D3C01">
              <w:rPr>
                <w:webHidden/>
              </w:rPr>
              <w:fldChar w:fldCharType="separate"/>
            </w:r>
            <w:r w:rsidR="005D3C01">
              <w:rPr>
                <w:webHidden/>
              </w:rPr>
              <w:t>11</w:t>
            </w:r>
            <w:r w:rsidR="005D3C01">
              <w:rPr>
                <w:webHidden/>
              </w:rPr>
              <w:fldChar w:fldCharType="end"/>
            </w:r>
          </w:hyperlink>
        </w:p>
        <w:p w14:paraId="25AFAD87" w14:textId="506BA3FC" w:rsidR="005D3C01" w:rsidRDefault="00383541">
          <w:pPr>
            <w:pStyle w:val="TOC1"/>
            <w:rPr>
              <w:rFonts w:eastAsiaTheme="minorEastAsia"/>
              <w:b w:val="0"/>
              <w:bCs w:val="0"/>
              <w:kern w:val="2"/>
              <w:sz w:val="24"/>
              <w:szCs w:val="24"/>
              <w:lang w:eastAsia="en-NZ"/>
              <w14:ligatures w14:val="standardContextual"/>
            </w:rPr>
          </w:pPr>
          <w:hyperlink w:anchor="_Toc174628620" w:history="1">
            <w:r w:rsidR="005D3C01" w:rsidRPr="008D5196">
              <w:rPr>
                <w:rStyle w:val="Hyperlink"/>
              </w:rPr>
              <w:t>Executive summary</w:t>
            </w:r>
            <w:r w:rsidR="005D3C01">
              <w:rPr>
                <w:webHidden/>
              </w:rPr>
              <w:tab/>
            </w:r>
            <w:r w:rsidR="005D3C01">
              <w:rPr>
                <w:webHidden/>
              </w:rPr>
              <w:fldChar w:fldCharType="begin"/>
            </w:r>
            <w:r w:rsidR="005D3C01">
              <w:rPr>
                <w:webHidden/>
              </w:rPr>
              <w:instrText xml:space="preserve"> PAGEREF _Toc174628620 \h </w:instrText>
            </w:r>
            <w:r w:rsidR="005D3C01">
              <w:rPr>
                <w:webHidden/>
              </w:rPr>
            </w:r>
            <w:r w:rsidR="005D3C01">
              <w:rPr>
                <w:webHidden/>
              </w:rPr>
              <w:fldChar w:fldCharType="separate"/>
            </w:r>
            <w:r w:rsidR="005D3C01">
              <w:rPr>
                <w:webHidden/>
              </w:rPr>
              <w:t>18</w:t>
            </w:r>
            <w:r w:rsidR="005D3C01">
              <w:rPr>
                <w:webHidden/>
              </w:rPr>
              <w:fldChar w:fldCharType="end"/>
            </w:r>
          </w:hyperlink>
        </w:p>
        <w:p w14:paraId="5FA0DF45" w14:textId="6D13659A" w:rsidR="005D3C01" w:rsidRDefault="00383541">
          <w:pPr>
            <w:pStyle w:val="TOC1"/>
            <w:rPr>
              <w:rFonts w:eastAsiaTheme="minorEastAsia"/>
              <w:b w:val="0"/>
              <w:bCs w:val="0"/>
              <w:kern w:val="2"/>
              <w:sz w:val="24"/>
              <w:szCs w:val="24"/>
              <w:lang w:eastAsia="en-NZ"/>
              <w14:ligatures w14:val="standardContextual"/>
            </w:rPr>
          </w:pPr>
          <w:hyperlink w:anchor="_Toc174628621" w:history="1">
            <w:r w:rsidR="005D3C01" w:rsidRPr="008D5196">
              <w:rPr>
                <w:rStyle w:val="Hyperlink"/>
              </w:rPr>
              <w:t>Summary of recommendations</w:t>
            </w:r>
            <w:r w:rsidR="005D3C01">
              <w:rPr>
                <w:webHidden/>
              </w:rPr>
              <w:tab/>
            </w:r>
            <w:r w:rsidR="005D3C01">
              <w:rPr>
                <w:webHidden/>
              </w:rPr>
              <w:fldChar w:fldCharType="begin"/>
            </w:r>
            <w:r w:rsidR="005D3C01">
              <w:rPr>
                <w:webHidden/>
              </w:rPr>
              <w:instrText xml:space="preserve"> PAGEREF _Toc174628621 \h </w:instrText>
            </w:r>
            <w:r w:rsidR="005D3C01">
              <w:rPr>
                <w:webHidden/>
              </w:rPr>
            </w:r>
            <w:r w:rsidR="005D3C01">
              <w:rPr>
                <w:webHidden/>
              </w:rPr>
              <w:fldChar w:fldCharType="separate"/>
            </w:r>
            <w:r w:rsidR="005D3C01">
              <w:rPr>
                <w:webHidden/>
              </w:rPr>
              <w:t>21</w:t>
            </w:r>
            <w:r w:rsidR="005D3C01">
              <w:rPr>
                <w:webHidden/>
              </w:rPr>
              <w:fldChar w:fldCharType="end"/>
            </w:r>
          </w:hyperlink>
        </w:p>
        <w:p w14:paraId="39A241FE" w14:textId="510948A8" w:rsidR="005D3C01" w:rsidRDefault="00383541">
          <w:pPr>
            <w:pStyle w:val="TOC2"/>
            <w:rPr>
              <w:rFonts w:eastAsiaTheme="minorEastAsia"/>
              <w:noProof/>
              <w:kern w:val="2"/>
              <w:sz w:val="24"/>
              <w:szCs w:val="24"/>
              <w:lang w:eastAsia="en-NZ"/>
              <w14:ligatures w14:val="standardContextual"/>
            </w:rPr>
          </w:pPr>
          <w:hyperlink w:anchor="_Toc174628622" w:history="1">
            <w:r w:rsidR="005D3C01" w:rsidRPr="008D5196">
              <w:rPr>
                <w:rStyle w:val="Hyperlink"/>
                <w:noProof/>
              </w:rPr>
              <w:t>Recommendations for Government</w:t>
            </w:r>
            <w:r w:rsidR="005D3C01">
              <w:rPr>
                <w:noProof/>
                <w:webHidden/>
              </w:rPr>
              <w:tab/>
            </w:r>
            <w:r w:rsidR="005D3C01">
              <w:rPr>
                <w:noProof/>
                <w:webHidden/>
              </w:rPr>
              <w:fldChar w:fldCharType="begin"/>
            </w:r>
            <w:r w:rsidR="005D3C01">
              <w:rPr>
                <w:noProof/>
                <w:webHidden/>
              </w:rPr>
              <w:instrText xml:space="preserve"> PAGEREF _Toc174628622 \h </w:instrText>
            </w:r>
            <w:r w:rsidR="005D3C01">
              <w:rPr>
                <w:noProof/>
                <w:webHidden/>
              </w:rPr>
            </w:r>
            <w:r w:rsidR="005D3C01">
              <w:rPr>
                <w:noProof/>
                <w:webHidden/>
              </w:rPr>
              <w:fldChar w:fldCharType="separate"/>
            </w:r>
            <w:r w:rsidR="005D3C01">
              <w:rPr>
                <w:noProof/>
                <w:webHidden/>
              </w:rPr>
              <w:t>21</w:t>
            </w:r>
            <w:r w:rsidR="005D3C01">
              <w:rPr>
                <w:noProof/>
                <w:webHidden/>
              </w:rPr>
              <w:fldChar w:fldCharType="end"/>
            </w:r>
          </w:hyperlink>
        </w:p>
        <w:p w14:paraId="20CA84A4" w14:textId="606CDEAF" w:rsidR="005D3C01" w:rsidRDefault="00383541">
          <w:pPr>
            <w:pStyle w:val="TOC2"/>
            <w:rPr>
              <w:rFonts w:eastAsiaTheme="minorEastAsia"/>
              <w:noProof/>
              <w:kern w:val="2"/>
              <w:sz w:val="24"/>
              <w:szCs w:val="24"/>
              <w:lang w:eastAsia="en-NZ"/>
              <w14:ligatures w14:val="standardContextual"/>
            </w:rPr>
          </w:pPr>
          <w:hyperlink w:anchor="_Toc174628623" w:history="1">
            <w:r w:rsidR="005D3C01" w:rsidRPr="008D5196">
              <w:rPr>
                <w:rStyle w:val="Hyperlink"/>
                <w:noProof/>
              </w:rPr>
              <w:t>Recommendations for all communities</w:t>
            </w:r>
            <w:r w:rsidR="005D3C01">
              <w:rPr>
                <w:noProof/>
                <w:webHidden/>
              </w:rPr>
              <w:tab/>
            </w:r>
            <w:r w:rsidR="005D3C01">
              <w:rPr>
                <w:noProof/>
                <w:webHidden/>
              </w:rPr>
              <w:fldChar w:fldCharType="begin"/>
            </w:r>
            <w:r w:rsidR="005D3C01">
              <w:rPr>
                <w:noProof/>
                <w:webHidden/>
              </w:rPr>
              <w:instrText xml:space="preserve"> PAGEREF _Toc174628623 \h </w:instrText>
            </w:r>
            <w:r w:rsidR="005D3C01">
              <w:rPr>
                <w:noProof/>
                <w:webHidden/>
              </w:rPr>
            </w:r>
            <w:r w:rsidR="005D3C01">
              <w:rPr>
                <w:noProof/>
                <w:webHidden/>
              </w:rPr>
              <w:fldChar w:fldCharType="separate"/>
            </w:r>
            <w:r w:rsidR="005D3C01">
              <w:rPr>
                <w:noProof/>
                <w:webHidden/>
              </w:rPr>
              <w:t>22</w:t>
            </w:r>
            <w:r w:rsidR="005D3C01">
              <w:rPr>
                <w:noProof/>
                <w:webHidden/>
              </w:rPr>
              <w:fldChar w:fldCharType="end"/>
            </w:r>
          </w:hyperlink>
        </w:p>
        <w:p w14:paraId="144F597A" w14:textId="2922AEA9" w:rsidR="005D3C01" w:rsidRDefault="00383541">
          <w:pPr>
            <w:pStyle w:val="TOC2"/>
            <w:rPr>
              <w:rFonts w:eastAsiaTheme="minorEastAsia"/>
              <w:noProof/>
              <w:kern w:val="2"/>
              <w:sz w:val="24"/>
              <w:szCs w:val="24"/>
              <w:lang w:eastAsia="en-NZ"/>
              <w14:ligatures w14:val="standardContextual"/>
            </w:rPr>
          </w:pPr>
          <w:hyperlink w:anchor="_Toc174628624" w:history="1">
            <w:r w:rsidR="005D3C01" w:rsidRPr="008D5196">
              <w:rPr>
                <w:rStyle w:val="Hyperlink"/>
                <w:noProof/>
              </w:rPr>
              <w:t>Recommendations for religious/faith communities</w:t>
            </w:r>
            <w:r w:rsidR="005D3C01">
              <w:rPr>
                <w:noProof/>
                <w:webHidden/>
              </w:rPr>
              <w:tab/>
            </w:r>
            <w:r w:rsidR="005D3C01">
              <w:rPr>
                <w:noProof/>
                <w:webHidden/>
              </w:rPr>
              <w:fldChar w:fldCharType="begin"/>
            </w:r>
            <w:r w:rsidR="005D3C01">
              <w:rPr>
                <w:noProof/>
                <w:webHidden/>
              </w:rPr>
              <w:instrText xml:space="preserve"> PAGEREF _Toc174628624 \h </w:instrText>
            </w:r>
            <w:r w:rsidR="005D3C01">
              <w:rPr>
                <w:noProof/>
                <w:webHidden/>
              </w:rPr>
            </w:r>
            <w:r w:rsidR="005D3C01">
              <w:rPr>
                <w:noProof/>
                <w:webHidden/>
              </w:rPr>
              <w:fldChar w:fldCharType="separate"/>
            </w:r>
            <w:r w:rsidR="005D3C01">
              <w:rPr>
                <w:noProof/>
                <w:webHidden/>
              </w:rPr>
              <w:t>22</w:t>
            </w:r>
            <w:r w:rsidR="005D3C01">
              <w:rPr>
                <w:noProof/>
                <w:webHidden/>
              </w:rPr>
              <w:fldChar w:fldCharType="end"/>
            </w:r>
          </w:hyperlink>
        </w:p>
        <w:p w14:paraId="43286540" w14:textId="1BB7F022" w:rsidR="005D3C01" w:rsidRDefault="00383541">
          <w:pPr>
            <w:pStyle w:val="TOC2"/>
            <w:rPr>
              <w:rFonts w:eastAsiaTheme="minorEastAsia"/>
              <w:noProof/>
              <w:kern w:val="2"/>
              <w:sz w:val="24"/>
              <w:szCs w:val="24"/>
              <w:lang w:eastAsia="en-NZ"/>
              <w14:ligatures w14:val="standardContextual"/>
            </w:rPr>
          </w:pPr>
          <w:hyperlink w:anchor="_Toc174628625" w:history="1">
            <w:r w:rsidR="005D3C01" w:rsidRPr="008D5196">
              <w:rPr>
                <w:rStyle w:val="Hyperlink"/>
                <w:noProof/>
              </w:rPr>
              <w:t>Recommendations to support Māori as Tangata Whenua</w:t>
            </w:r>
            <w:r w:rsidR="005D3C01">
              <w:rPr>
                <w:noProof/>
                <w:webHidden/>
              </w:rPr>
              <w:tab/>
            </w:r>
            <w:r w:rsidR="005D3C01">
              <w:rPr>
                <w:noProof/>
                <w:webHidden/>
              </w:rPr>
              <w:fldChar w:fldCharType="begin"/>
            </w:r>
            <w:r w:rsidR="005D3C01">
              <w:rPr>
                <w:noProof/>
                <w:webHidden/>
              </w:rPr>
              <w:instrText xml:space="preserve"> PAGEREF _Toc174628625 \h </w:instrText>
            </w:r>
            <w:r w:rsidR="005D3C01">
              <w:rPr>
                <w:noProof/>
                <w:webHidden/>
              </w:rPr>
            </w:r>
            <w:r w:rsidR="005D3C01">
              <w:rPr>
                <w:noProof/>
                <w:webHidden/>
              </w:rPr>
              <w:fldChar w:fldCharType="separate"/>
            </w:r>
            <w:r w:rsidR="005D3C01">
              <w:rPr>
                <w:noProof/>
                <w:webHidden/>
              </w:rPr>
              <w:t>22</w:t>
            </w:r>
            <w:r w:rsidR="005D3C01">
              <w:rPr>
                <w:noProof/>
                <w:webHidden/>
              </w:rPr>
              <w:fldChar w:fldCharType="end"/>
            </w:r>
          </w:hyperlink>
        </w:p>
        <w:p w14:paraId="7FC13079" w14:textId="0379AFA4" w:rsidR="005D3C01" w:rsidRDefault="00383541">
          <w:pPr>
            <w:pStyle w:val="TOC2"/>
            <w:rPr>
              <w:rFonts w:eastAsiaTheme="minorEastAsia"/>
              <w:noProof/>
              <w:kern w:val="2"/>
              <w:sz w:val="24"/>
              <w:szCs w:val="24"/>
              <w:lang w:eastAsia="en-NZ"/>
              <w14:ligatures w14:val="standardContextual"/>
            </w:rPr>
          </w:pPr>
          <w:hyperlink w:anchor="_Toc174628626" w:history="1">
            <w:r w:rsidR="005D3C01" w:rsidRPr="008D5196">
              <w:rPr>
                <w:rStyle w:val="Hyperlink"/>
                <w:noProof/>
              </w:rPr>
              <w:t>Recommendations to support Pacific and ethnic communities</w:t>
            </w:r>
            <w:r w:rsidR="005D3C01">
              <w:rPr>
                <w:noProof/>
                <w:webHidden/>
              </w:rPr>
              <w:tab/>
            </w:r>
            <w:r w:rsidR="005D3C01">
              <w:rPr>
                <w:noProof/>
                <w:webHidden/>
              </w:rPr>
              <w:fldChar w:fldCharType="begin"/>
            </w:r>
            <w:r w:rsidR="005D3C01">
              <w:rPr>
                <w:noProof/>
                <w:webHidden/>
              </w:rPr>
              <w:instrText xml:space="preserve"> PAGEREF _Toc174628626 \h </w:instrText>
            </w:r>
            <w:r w:rsidR="005D3C01">
              <w:rPr>
                <w:noProof/>
                <w:webHidden/>
              </w:rPr>
            </w:r>
            <w:r w:rsidR="005D3C01">
              <w:rPr>
                <w:noProof/>
                <w:webHidden/>
              </w:rPr>
              <w:fldChar w:fldCharType="separate"/>
            </w:r>
            <w:r w:rsidR="005D3C01">
              <w:rPr>
                <w:noProof/>
                <w:webHidden/>
              </w:rPr>
              <w:t>22</w:t>
            </w:r>
            <w:r w:rsidR="005D3C01">
              <w:rPr>
                <w:noProof/>
                <w:webHidden/>
              </w:rPr>
              <w:fldChar w:fldCharType="end"/>
            </w:r>
          </w:hyperlink>
        </w:p>
        <w:p w14:paraId="316D8533" w14:textId="32ABECE5" w:rsidR="005D3C01" w:rsidRDefault="00383541">
          <w:pPr>
            <w:pStyle w:val="TOC1"/>
            <w:rPr>
              <w:rFonts w:eastAsiaTheme="minorEastAsia"/>
              <w:b w:val="0"/>
              <w:bCs w:val="0"/>
              <w:kern w:val="2"/>
              <w:sz w:val="24"/>
              <w:szCs w:val="24"/>
              <w:lang w:eastAsia="en-NZ"/>
              <w14:ligatures w14:val="standardContextual"/>
            </w:rPr>
          </w:pPr>
          <w:hyperlink w:anchor="_Toc174628627" w:history="1">
            <w:r w:rsidR="005D3C01" w:rsidRPr="008D5196">
              <w:rPr>
                <w:rStyle w:val="Hyperlink"/>
              </w:rPr>
              <w:t>1.</w:t>
            </w:r>
            <w:r w:rsidR="005D3C01">
              <w:rPr>
                <w:rFonts w:eastAsiaTheme="minorEastAsia"/>
                <w:b w:val="0"/>
                <w:bCs w:val="0"/>
                <w:kern w:val="2"/>
                <w:sz w:val="24"/>
                <w:szCs w:val="24"/>
                <w:lang w:eastAsia="en-NZ"/>
                <w14:ligatures w14:val="standardContextual"/>
              </w:rPr>
              <w:tab/>
            </w:r>
            <w:r w:rsidR="005D3C01" w:rsidRPr="008D5196">
              <w:rPr>
                <w:rStyle w:val="Hyperlink"/>
              </w:rPr>
              <w:t>Introduction</w:t>
            </w:r>
            <w:r w:rsidR="005D3C01">
              <w:rPr>
                <w:webHidden/>
              </w:rPr>
              <w:tab/>
            </w:r>
            <w:r w:rsidR="005D3C01">
              <w:rPr>
                <w:webHidden/>
              </w:rPr>
              <w:fldChar w:fldCharType="begin"/>
            </w:r>
            <w:r w:rsidR="005D3C01">
              <w:rPr>
                <w:webHidden/>
              </w:rPr>
              <w:instrText xml:space="preserve"> PAGEREF _Toc174628627 \h </w:instrText>
            </w:r>
            <w:r w:rsidR="005D3C01">
              <w:rPr>
                <w:webHidden/>
              </w:rPr>
            </w:r>
            <w:r w:rsidR="005D3C01">
              <w:rPr>
                <w:webHidden/>
              </w:rPr>
              <w:fldChar w:fldCharType="separate"/>
            </w:r>
            <w:r w:rsidR="005D3C01">
              <w:rPr>
                <w:webHidden/>
              </w:rPr>
              <w:t>23</w:t>
            </w:r>
            <w:r w:rsidR="005D3C01">
              <w:rPr>
                <w:webHidden/>
              </w:rPr>
              <w:fldChar w:fldCharType="end"/>
            </w:r>
          </w:hyperlink>
        </w:p>
        <w:p w14:paraId="519BB717" w14:textId="39265DB2" w:rsidR="005D3C01" w:rsidRDefault="00383541">
          <w:pPr>
            <w:pStyle w:val="TOC2"/>
            <w:rPr>
              <w:rFonts w:eastAsiaTheme="minorEastAsia"/>
              <w:noProof/>
              <w:kern w:val="2"/>
              <w:sz w:val="24"/>
              <w:szCs w:val="24"/>
              <w:lang w:eastAsia="en-NZ"/>
              <w14:ligatures w14:val="standardContextual"/>
            </w:rPr>
          </w:pPr>
          <w:hyperlink w:anchor="_Toc174628628" w:history="1">
            <w:r w:rsidR="005D3C01" w:rsidRPr="008D5196">
              <w:rPr>
                <w:rStyle w:val="Hyperlink"/>
                <w:noProof/>
              </w:rPr>
              <w:t>Survivors’ vision for the future</w:t>
            </w:r>
            <w:r w:rsidR="005D3C01">
              <w:rPr>
                <w:noProof/>
                <w:webHidden/>
              </w:rPr>
              <w:tab/>
            </w:r>
            <w:r w:rsidR="005D3C01">
              <w:rPr>
                <w:noProof/>
                <w:webHidden/>
              </w:rPr>
              <w:fldChar w:fldCharType="begin"/>
            </w:r>
            <w:r w:rsidR="005D3C01">
              <w:rPr>
                <w:noProof/>
                <w:webHidden/>
              </w:rPr>
              <w:instrText xml:space="preserve"> PAGEREF _Toc174628628 \h </w:instrText>
            </w:r>
            <w:r w:rsidR="005D3C01">
              <w:rPr>
                <w:noProof/>
                <w:webHidden/>
              </w:rPr>
            </w:r>
            <w:r w:rsidR="005D3C01">
              <w:rPr>
                <w:noProof/>
                <w:webHidden/>
              </w:rPr>
              <w:fldChar w:fldCharType="separate"/>
            </w:r>
            <w:r w:rsidR="005D3C01">
              <w:rPr>
                <w:noProof/>
                <w:webHidden/>
              </w:rPr>
              <w:t>23</w:t>
            </w:r>
            <w:r w:rsidR="005D3C01">
              <w:rPr>
                <w:noProof/>
                <w:webHidden/>
              </w:rPr>
              <w:fldChar w:fldCharType="end"/>
            </w:r>
          </w:hyperlink>
        </w:p>
        <w:p w14:paraId="5DCBC4B8" w14:textId="7AE93AD7" w:rsidR="005D3C01" w:rsidRDefault="00383541">
          <w:pPr>
            <w:pStyle w:val="TOC2"/>
            <w:rPr>
              <w:rFonts w:eastAsiaTheme="minorEastAsia"/>
              <w:noProof/>
              <w:kern w:val="2"/>
              <w:sz w:val="24"/>
              <w:szCs w:val="24"/>
              <w:lang w:eastAsia="en-NZ"/>
              <w14:ligatures w14:val="standardContextual"/>
            </w:rPr>
          </w:pPr>
          <w:hyperlink w:anchor="_Toc174628629" w:history="1">
            <w:r w:rsidR="005D3C01" w:rsidRPr="008D5196">
              <w:rPr>
                <w:rStyle w:val="Hyperlink"/>
                <w:noProof/>
                <w:shd w:val="clear" w:color="auto" w:fill="FFFFFF"/>
              </w:rPr>
              <w:t>We took a human rights approach to eliminating conversion practices</w:t>
            </w:r>
            <w:r w:rsidR="005D3C01">
              <w:rPr>
                <w:noProof/>
                <w:webHidden/>
              </w:rPr>
              <w:tab/>
            </w:r>
            <w:r w:rsidR="005D3C01">
              <w:rPr>
                <w:noProof/>
                <w:webHidden/>
              </w:rPr>
              <w:fldChar w:fldCharType="begin"/>
            </w:r>
            <w:r w:rsidR="005D3C01">
              <w:rPr>
                <w:noProof/>
                <w:webHidden/>
              </w:rPr>
              <w:instrText xml:space="preserve"> PAGEREF _Toc174628629 \h </w:instrText>
            </w:r>
            <w:r w:rsidR="005D3C01">
              <w:rPr>
                <w:noProof/>
                <w:webHidden/>
              </w:rPr>
            </w:r>
            <w:r w:rsidR="005D3C01">
              <w:rPr>
                <w:noProof/>
                <w:webHidden/>
              </w:rPr>
              <w:fldChar w:fldCharType="separate"/>
            </w:r>
            <w:r w:rsidR="005D3C01">
              <w:rPr>
                <w:noProof/>
                <w:webHidden/>
              </w:rPr>
              <w:t>24</w:t>
            </w:r>
            <w:r w:rsidR="005D3C01">
              <w:rPr>
                <w:noProof/>
                <w:webHidden/>
              </w:rPr>
              <w:fldChar w:fldCharType="end"/>
            </w:r>
          </w:hyperlink>
        </w:p>
        <w:p w14:paraId="6D46BF1A" w14:textId="7760FA48" w:rsidR="005D3C01" w:rsidRDefault="00383541">
          <w:pPr>
            <w:pStyle w:val="TOC2"/>
            <w:rPr>
              <w:rFonts w:eastAsiaTheme="minorEastAsia"/>
              <w:noProof/>
              <w:kern w:val="2"/>
              <w:sz w:val="24"/>
              <w:szCs w:val="24"/>
              <w:lang w:eastAsia="en-NZ"/>
              <w14:ligatures w14:val="standardContextual"/>
            </w:rPr>
          </w:pPr>
          <w:hyperlink w:anchor="_Toc174628630" w:history="1">
            <w:r w:rsidR="005D3C01" w:rsidRPr="008D5196">
              <w:rPr>
                <w:rStyle w:val="Hyperlink"/>
                <w:noProof/>
                <w:shd w:val="clear" w:color="auto" w:fill="FFFFFF"/>
              </w:rPr>
              <w:t>Conversion practices exist despite growing recognition of Rainbow rights</w:t>
            </w:r>
            <w:r w:rsidR="005D3C01">
              <w:rPr>
                <w:noProof/>
                <w:webHidden/>
              </w:rPr>
              <w:tab/>
            </w:r>
            <w:r w:rsidR="005D3C01">
              <w:rPr>
                <w:noProof/>
                <w:webHidden/>
              </w:rPr>
              <w:fldChar w:fldCharType="begin"/>
            </w:r>
            <w:r w:rsidR="005D3C01">
              <w:rPr>
                <w:noProof/>
                <w:webHidden/>
              </w:rPr>
              <w:instrText xml:space="preserve"> PAGEREF _Toc174628630 \h </w:instrText>
            </w:r>
            <w:r w:rsidR="005D3C01">
              <w:rPr>
                <w:noProof/>
                <w:webHidden/>
              </w:rPr>
            </w:r>
            <w:r w:rsidR="005D3C01">
              <w:rPr>
                <w:noProof/>
                <w:webHidden/>
              </w:rPr>
              <w:fldChar w:fldCharType="separate"/>
            </w:r>
            <w:r w:rsidR="005D3C01">
              <w:rPr>
                <w:noProof/>
                <w:webHidden/>
              </w:rPr>
              <w:t>25</w:t>
            </w:r>
            <w:r w:rsidR="005D3C01">
              <w:rPr>
                <w:noProof/>
                <w:webHidden/>
              </w:rPr>
              <w:fldChar w:fldCharType="end"/>
            </w:r>
          </w:hyperlink>
        </w:p>
        <w:p w14:paraId="4E1E36BD" w14:textId="211A5BE1" w:rsidR="005D3C01" w:rsidRDefault="00383541">
          <w:pPr>
            <w:pStyle w:val="TOC2"/>
            <w:rPr>
              <w:rFonts w:eastAsiaTheme="minorEastAsia"/>
              <w:noProof/>
              <w:kern w:val="2"/>
              <w:sz w:val="24"/>
              <w:szCs w:val="24"/>
              <w:lang w:eastAsia="en-NZ"/>
              <w14:ligatures w14:val="standardContextual"/>
            </w:rPr>
          </w:pPr>
          <w:hyperlink w:anchor="_Toc174628631" w:history="1">
            <w:r w:rsidR="005D3C01" w:rsidRPr="008D5196">
              <w:rPr>
                <w:rStyle w:val="Hyperlink"/>
                <w:noProof/>
                <w:shd w:val="clear" w:color="auto" w:fill="FFFFFF"/>
              </w:rPr>
              <w:t>The CPPLA is a direct result of advocacy by Rainbow people</w:t>
            </w:r>
            <w:r w:rsidR="005D3C01">
              <w:rPr>
                <w:noProof/>
                <w:webHidden/>
              </w:rPr>
              <w:tab/>
            </w:r>
            <w:r w:rsidR="005D3C01">
              <w:rPr>
                <w:noProof/>
                <w:webHidden/>
              </w:rPr>
              <w:fldChar w:fldCharType="begin"/>
            </w:r>
            <w:r w:rsidR="005D3C01">
              <w:rPr>
                <w:noProof/>
                <w:webHidden/>
              </w:rPr>
              <w:instrText xml:space="preserve"> PAGEREF _Toc174628631 \h </w:instrText>
            </w:r>
            <w:r w:rsidR="005D3C01">
              <w:rPr>
                <w:noProof/>
                <w:webHidden/>
              </w:rPr>
            </w:r>
            <w:r w:rsidR="005D3C01">
              <w:rPr>
                <w:noProof/>
                <w:webHidden/>
              </w:rPr>
              <w:fldChar w:fldCharType="separate"/>
            </w:r>
            <w:r w:rsidR="005D3C01">
              <w:rPr>
                <w:noProof/>
                <w:webHidden/>
              </w:rPr>
              <w:t>25</w:t>
            </w:r>
            <w:r w:rsidR="005D3C01">
              <w:rPr>
                <w:noProof/>
                <w:webHidden/>
              </w:rPr>
              <w:fldChar w:fldCharType="end"/>
            </w:r>
          </w:hyperlink>
        </w:p>
        <w:p w14:paraId="7826D8E2" w14:textId="1B7AD290" w:rsidR="005D3C01" w:rsidRDefault="00383541">
          <w:pPr>
            <w:pStyle w:val="TOC2"/>
            <w:rPr>
              <w:rFonts w:eastAsiaTheme="minorEastAsia"/>
              <w:noProof/>
              <w:kern w:val="2"/>
              <w:sz w:val="24"/>
              <w:szCs w:val="24"/>
              <w:lang w:eastAsia="en-NZ"/>
              <w14:ligatures w14:val="standardContextual"/>
            </w:rPr>
          </w:pPr>
          <w:hyperlink w:anchor="_Toc174628632" w:history="1">
            <w:r w:rsidR="005D3C01" w:rsidRPr="008D5196">
              <w:rPr>
                <w:rStyle w:val="Hyperlink"/>
                <w:noProof/>
              </w:rPr>
              <w:t>The CPPLA gave the Commission a role in education and prevention</w:t>
            </w:r>
            <w:r w:rsidR="005D3C01">
              <w:rPr>
                <w:noProof/>
                <w:webHidden/>
              </w:rPr>
              <w:tab/>
            </w:r>
            <w:r w:rsidR="005D3C01">
              <w:rPr>
                <w:noProof/>
                <w:webHidden/>
              </w:rPr>
              <w:fldChar w:fldCharType="begin"/>
            </w:r>
            <w:r w:rsidR="005D3C01">
              <w:rPr>
                <w:noProof/>
                <w:webHidden/>
              </w:rPr>
              <w:instrText xml:space="preserve"> PAGEREF _Toc174628632 \h </w:instrText>
            </w:r>
            <w:r w:rsidR="005D3C01">
              <w:rPr>
                <w:noProof/>
                <w:webHidden/>
              </w:rPr>
            </w:r>
            <w:r w:rsidR="005D3C01">
              <w:rPr>
                <w:noProof/>
                <w:webHidden/>
              </w:rPr>
              <w:fldChar w:fldCharType="separate"/>
            </w:r>
            <w:r w:rsidR="005D3C01">
              <w:rPr>
                <w:noProof/>
                <w:webHidden/>
              </w:rPr>
              <w:t>26</w:t>
            </w:r>
            <w:r w:rsidR="005D3C01">
              <w:rPr>
                <w:noProof/>
                <w:webHidden/>
              </w:rPr>
              <w:fldChar w:fldCharType="end"/>
            </w:r>
          </w:hyperlink>
        </w:p>
        <w:p w14:paraId="055B4958" w14:textId="074F94F2" w:rsidR="005D3C01" w:rsidRDefault="00383541">
          <w:pPr>
            <w:pStyle w:val="TOC2"/>
            <w:rPr>
              <w:rFonts w:eastAsiaTheme="minorEastAsia"/>
              <w:noProof/>
              <w:kern w:val="2"/>
              <w:sz w:val="24"/>
              <w:szCs w:val="24"/>
              <w:lang w:eastAsia="en-NZ"/>
              <w14:ligatures w14:val="standardContextual"/>
            </w:rPr>
          </w:pPr>
          <w:hyperlink w:anchor="_Toc174628633" w:history="1">
            <w:r w:rsidR="005D3C01" w:rsidRPr="008D5196">
              <w:rPr>
                <w:rStyle w:val="Hyperlink"/>
                <w:noProof/>
                <w:shd w:val="clear" w:color="auto" w:fill="FFFFFF"/>
              </w:rPr>
              <w:t>Taking a human rights-based approach meant putting survivors at the centre of our work</w:t>
            </w:r>
            <w:r w:rsidR="005D3C01">
              <w:rPr>
                <w:noProof/>
                <w:webHidden/>
              </w:rPr>
              <w:tab/>
            </w:r>
            <w:r w:rsidR="005D3C01">
              <w:rPr>
                <w:noProof/>
                <w:webHidden/>
              </w:rPr>
              <w:fldChar w:fldCharType="begin"/>
            </w:r>
            <w:r w:rsidR="005D3C01">
              <w:rPr>
                <w:noProof/>
                <w:webHidden/>
              </w:rPr>
              <w:instrText xml:space="preserve"> PAGEREF _Toc174628633 \h </w:instrText>
            </w:r>
            <w:r w:rsidR="005D3C01">
              <w:rPr>
                <w:noProof/>
                <w:webHidden/>
              </w:rPr>
            </w:r>
            <w:r w:rsidR="005D3C01">
              <w:rPr>
                <w:noProof/>
                <w:webHidden/>
              </w:rPr>
              <w:fldChar w:fldCharType="separate"/>
            </w:r>
            <w:r w:rsidR="005D3C01">
              <w:rPr>
                <w:noProof/>
                <w:webHidden/>
              </w:rPr>
              <w:t>27</w:t>
            </w:r>
            <w:r w:rsidR="005D3C01">
              <w:rPr>
                <w:noProof/>
                <w:webHidden/>
              </w:rPr>
              <w:fldChar w:fldCharType="end"/>
            </w:r>
          </w:hyperlink>
        </w:p>
        <w:p w14:paraId="1A197689" w14:textId="181B0964" w:rsidR="005D3C01" w:rsidRDefault="00383541">
          <w:pPr>
            <w:pStyle w:val="TOC1"/>
            <w:rPr>
              <w:rFonts w:eastAsiaTheme="minorEastAsia"/>
              <w:b w:val="0"/>
              <w:bCs w:val="0"/>
              <w:kern w:val="2"/>
              <w:sz w:val="24"/>
              <w:szCs w:val="24"/>
              <w:lang w:eastAsia="en-NZ"/>
              <w14:ligatures w14:val="standardContextual"/>
            </w:rPr>
          </w:pPr>
          <w:hyperlink w:anchor="_Toc174628634" w:history="1">
            <w:r w:rsidR="005D3C01" w:rsidRPr="008D5196">
              <w:rPr>
                <w:rStyle w:val="Hyperlink"/>
              </w:rPr>
              <w:t>2.</w:t>
            </w:r>
            <w:r w:rsidR="005D3C01">
              <w:rPr>
                <w:rFonts w:eastAsiaTheme="minorEastAsia"/>
                <w:b w:val="0"/>
                <w:bCs w:val="0"/>
                <w:kern w:val="2"/>
                <w:sz w:val="24"/>
                <w:szCs w:val="24"/>
                <w:lang w:eastAsia="en-NZ"/>
                <w14:ligatures w14:val="standardContextual"/>
              </w:rPr>
              <w:tab/>
            </w:r>
            <w:r w:rsidR="005D3C01" w:rsidRPr="008D5196">
              <w:rPr>
                <w:rStyle w:val="Hyperlink"/>
              </w:rPr>
              <w:t>What conversion practices are</w:t>
            </w:r>
            <w:r w:rsidR="005D3C01">
              <w:rPr>
                <w:webHidden/>
              </w:rPr>
              <w:tab/>
            </w:r>
            <w:r w:rsidR="005D3C01">
              <w:rPr>
                <w:webHidden/>
              </w:rPr>
              <w:fldChar w:fldCharType="begin"/>
            </w:r>
            <w:r w:rsidR="005D3C01">
              <w:rPr>
                <w:webHidden/>
              </w:rPr>
              <w:instrText xml:space="preserve"> PAGEREF _Toc174628634 \h </w:instrText>
            </w:r>
            <w:r w:rsidR="005D3C01">
              <w:rPr>
                <w:webHidden/>
              </w:rPr>
            </w:r>
            <w:r w:rsidR="005D3C01">
              <w:rPr>
                <w:webHidden/>
              </w:rPr>
              <w:fldChar w:fldCharType="separate"/>
            </w:r>
            <w:r w:rsidR="005D3C01">
              <w:rPr>
                <w:webHidden/>
              </w:rPr>
              <w:t>30</w:t>
            </w:r>
            <w:r w:rsidR="005D3C01">
              <w:rPr>
                <w:webHidden/>
              </w:rPr>
              <w:fldChar w:fldCharType="end"/>
            </w:r>
          </w:hyperlink>
        </w:p>
        <w:p w14:paraId="5DE516C5" w14:textId="32CB2692" w:rsidR="005D3C01" w:rsidRDefault="00383541">
          <w:pPr>
            <w:pStyle w:val="TOC2"/>
            <w:rPr>
              <w:rFonts w:eastAsiaTheme="minorEastAsia"/>
              <w:noProof/>
              <w:kern w:val="2"/>
              <w:sz w:val="24"/>
              <w:szCs w:val="24"/>
              <w:lang w:eastAsia="en-NZ"/>
              <w14:ligatures w14:val="standardContextual"/>
            </w:rPr>
          </w:pPr>
          <w:hyperlink w:anchor="_Toc174628635" w:history="1">
            <w:r w:rsidR="005D3C01" w:rsidRPr="008D5196">
              <w:rPr>
                <w:rStyle w:val="Hyperlink"/>
                <w:noProof/>
              </w:rPr>
              <w:t>Definition of conversion practices</w:t>
            </w:r>
            <w:r w:rsidR="005D3C01">
              <w:rPr>
                <w:noProof/>
                <w:webHidden/>
              </w:rPr>
              <w:tab/>
            </w:r>
            <w:r w:rsidR="005D3C01">
              <w:rPr>
                <w:noProof/>
                <w:webHidden/>
              </w:rPr>
              <w:fldChar w:fldCharType="begin"/>
            </w:r>
            <w:r w:rsidR="005D3C01">
              <w:rPr>
                <w:noProof/>
                <w:webHidden/>
              </w:rPr>
              <w:instrText xml:space="preserve"> PAGEREF _Toc174628635 \h </w:instrText>
            </w:r>
            <w:r w:rsidR="005D3C01">
              <w:rPr>
                <w:noProof/>
                <w:webHidden/>
              </w:rPr>
            </w:r>
            <w:r w:rsidR="005D3C01">
              <w:rPr>
                <w:noProof/>
                <w:webHidden/>
              </w:rPr>
              <w:fldChar w:fldCharType="separate"/>
            </w:r>
            <w:r w:rsidR="005D3C01">
              <w:rPr>
                <w:noProof/>
                <w:webHidden/>
              </w:rPr>
              <w:t>30</w:t>
            </w:r>
            <w:r w:rsidR="005D3C01">
              <w:rPr>
                <w:noProof/>
                <w:webHidden/>
              </w:rPr>
              <w:fldChar w:fldCharType="end"/>
            </w:r>
          </w:hyperlink>
        </w:p>
        <w:p w14:paraId="38A77BD4" w14:textId="0CD88B42" w:rsidR="005D3C01" w:rsidRDefault="00383541">
          <w:pPr>
            <w:pStyle w:val="TOC2"/>
            <w:rPr>
              <w:rFonts w:eastAsiaTheme="minorEastAsia"/>
              <w:noProof/>
              <w:kern w:val="2"/>
              <w:sz w:val="24"/>
              <w:szCs w:val="24"/>
              <w:lang w:eastAsia="en-NZ"/>
              <w14:ligatures w14:val="standardContextual"/>
            </w:rPr>
          </w:pPr>
          <w:hyperlink w:anchor="_Toc174628636" w:history="1">
            <w:r w:rsidR="005D3C01" w:rsidRPr="008D5196">
              <w:rPr>
                <w:rStyle w:val="Hyperlink"/>
                <w:noProof/>
              </w:rPr>
              <w:t>Indoctrination and conversion ideology</w:t>
            </w:r>
            <w:r w:rsidR="005D3C01">
              <w:rPr>
                <w:noProof/>
                <w:webHidden/>
              </w:rPr>
              <w:tab/>
            </w:r>
            <w:r w:rsidR="005D3C01">
              <w:rPr>
                <w:noProof/>
                <w:webHidden/>
              </w:rPr>
              <w:fldChar w:fldCharType="begin"/>
            </w:r>
            <w:r w:rsidR="005D3C01">
              <w:rPr>
                <w:noProof/>
                <w:webHidden/>
              </w:rPr>
              <w:instrText xml:space="preserve"> PAGEREF _Toc174628636 \h </w:instrText>
            </w:r>
            <w:r w:rsidR="005D3C01">
              <w:rPr>
                <w:noProof/>
                <w:webHidden/>
              </w:rPr>
            </w:r>
            <w:r w:rsidR="005D3C01">
              <w:rPr>
                <w:noProof/>
                <w:webHidden/>
              </w:rPr>
              <w:fldChar w:fldCharType="separate"/>
            </w:r>
            <w:r w:rsidR="005D3C01">
              <w:rPr>
                <w:noProof/>
                <w:webHidden/>
              </w:rPr>
              <w:t>31</w:t>
            </w:r>
            <w:r w:rsidR="005D3C01">
              <w:rPr>
                <w:noProof/>
                <w:webHidden/>
              </w:rPr>
              <w:fldChar w:fldCharType="end"/>
            </w:r>
          </w:hyperlink>
        </w:p>
        <w:p w14:paraId="0C463BF3" w14:textId="6260C07F" w:rsidR="005D3C01" w:rsidRDefault="00383541">
          <w:pPr>
            <w:pStyle w:val="TOC2"/>
            <w:rPr>
              <w:rFonts w:eastAsiaTheme="minorEastAsia"/>
              <w:noProof/>
              <w:kern w:val="2"/>
              <w:sz w:val="24"/>
              <w:szCs w:val="24"/>
              <w:lang w:eastAsia="en-NZ"/>
              <w14:ligatures w14:val="standardContextual"/>
            </w:rPr>
          </w:pPr>
          <w:hyperlink w:anchor="_Toc174628637" w:history="1">
            <w:r w:rsidR="005D3C01" w:rsidRPr="008D5196">
              <w:rPr>
                <w:rStyle w:val="Hyperlink"/>
                <w:noProof/>
              </w:rPr>
              <w:t>What makes people take part in conversion practices</w:t>
            </w:r>
            <w:r w:rsidR="005D3C01">
              <w:rPr>
                <w:noProof/>
                <w:webHidden/>
              </w:rPr>
              <w:tab/>
            </w:r>
            <w:r w:rsidR="005D3C01">
              <w:rPr>
                <w:noProof/>
                <w:webHidden/>
              </w:rPr>
              <w:fldChar w:fldCharType="begin"/>
            </w:r>
            <w:r w:rsidR="005D3C01">
              <w:rPr>
                <w:noProof/>
                <w:webHidden/>
              </w:rPr>
              <w:instrText xml:space="preserve"> PAGEREF _Toc174628637 \h </w:instrText>
            </w:r>
            <w:r w:rsidR="005D3C01">
              <w:rPr>
                <w:noProof/>
                <w:webHidden/>
              </w:rPr>
            </w:r>
            <w:r w:rsidR="005D3C01">
              <w:rPr>
                <w:noProof/>
                <w:webHidden/>
              </w:rPr>
              <w:fldChar w:fldCharType="separate"/>
            </w:r>
            <w:r w:rsidR="005D3C01">
              <w:rPr>
                <w:noProof/>
                <w:webHidden/>
              </w:rPr>
              <w:t>32</w:t>
            </w:r>
            <w:r w:rsidR="005D3C01">
              <w:rPr>
                <w:noProof/>
                <w:webHidden/>
              </w:rPr>
              <w:fldChar w:fldCharType="end"/>
            </w:r>
          </w:hyperlink>
        </w:p>
        <w:p w14:paraId="7D769B23" w14:textId="6C6D9FDC" w:rsidR="005D3C01" w:rsidRDefault="00383541">
          <w:pPr>
            <w:pStyle w:val="TOC2"/>
            <w:rPr>
              <w:rFonts w:eastAsiaTheme="minorEastAsia"/>
              <w:noProof/>
              <w:kern w:val="2"/>
              <w:sz w:val="24"/>
              <w:szCs w:val="24"/>
              <w:lang w:eastAsia="en-NZ"/>
              <w14:ligatures w14:val="standardContextual"/>
            </w:rPr>
          </w:pPr>
          <w:hyperlink w:anchor="_Toc174628638" w:history="1">
            <w:r w:rsidR="005D3C01" w:rsidRPr="008D5196">
              <w:rPr>
                <w:rStyle w:val="Hyperlink"/>
                <w:noProof/>
              </w:rPr>
              <w:t>Examples of conversion practices</w:t>
            </w:r>
            <w:r w:rsidR="005D3C01">
              <w:rPr>
                <w:noProof/>
                <w:webHidden/>
              </w:rPr>
              <w:tab/>
            </w:r>
            <w:r w:rsidR="005D3C01">
              <w:rPr>
                <w:noProof/>
                <w:webHidden/>
              </w:rPr>
              <w:fldChar w:fldCharType="begin"/>
            </w:r>
            <w:r w:rsidR="005D3C01">
              <w:rPr>
                <w:noProof/>
                <w:webHidden/>
              </w:rPr>
              <w:instrText xml:space="preserve"> PAGEREF _Toc174628638 \h </w:instrText>
            </w:r>
            <w:r w:rsidR="005D3C01">
              <w:rPr>
                <w:noProof/>
                <w:webHidden/>
              </w:rPr>
            </w:r>
            <w:r w:rsidR="005D3C01">
              <w:rPr>
                <w:noProof/>
                <w:webHidden/>
              </w:rPr>
              <w:fldChar w:fldCharType="separate"/>
            </w:r>
            <w:r w:rsidR="005D3C01">
              <w:rPr>
                <w:noProof/>
                <w:webHidden/>
              </w:rPr>
              <w:t>32</w:t>
            </w:r>
            <w:r w:rsidR="005D3C01">
              <w:rPr>
                <w:noProof/>
                <w:webHidden/>
              </w:rPr>
              <w:fldChar w:fldCharType="end"/>
            </w:r>
          </w:hyperlink>
        </w:p>
        <w:p w14:paraId="4A2A80F4" w14:textId="51D14663" w:rsidR="005D3C01" w:rsidRDefault="00383541">
          <w:pPr>
            <w:pStyle w:val="TOC2"/>
            <w:rPr>
              <w:rFonts w:eastAsiaTheme="minorEastAsia"/>
              <w:noProof/>
              <w:kern w:val="2"/>
              <w:sz w:val="24"/>
              <w:szCs w:val="24"/>
              <w:lang w:eastAsia="en-NZ"/>
              <w14:ligatures w14:val="standardContextual"/>
            </w:rPr>
          </w:pPr>
          <w:hyperlink w:anchor="_Toc174628639" w:history="1">
            <w:r w:rsidR="005D3C01" w:rsidRPr="008D5196">
              <w:rPr>
                <w:rStyle w:val="Hyperlink"/>
                <w:noProof/>
              </w:rPr>
              <w:t>Conversion practices are happening in Aotearoa</w:t>
            </w:r>
            <w:r w:rsidR="005D3C01">
              <w:rPr>
                <w:noProof/>
                <w:webHidden/>
              </w:rPr>
              <w:tab/>
            </w:r>
            <w:r w:rsidR="005D3C01">
              <w:rPr>
                <w:noProof/>
                <w:webHidden/>
              </w:rPr>
              <w:fldChar w:fldCharType="begin"/>
            </w:r>
            <w:r w:rsidR="005D3C01">
              <w:rPr>
                <w:noProof/>
                <w:webHidden/>
              </w:rPr>
              <w:instrText xml:space="preserve"> PAGEREF _Toc174628639 \h </w:instrText>
            </w:r>
            <w:r w:rsidR="005D3C01">
              <w:rPr>
                <w:noProof/>
                <w:webHidden/>
              </w:rPr>
            </w:r>
            <w:r w:rsidR="005D3C01">
              <w:rPr>
                <w:noProof/>
                <w:webHidden/>
              </w:rPr>
              <w:fldChar w:fldCharType="separate"/>
            </w:r>
            <w:r w:rsidR="005D3C01">
              <w:rPr>
                <w:noProof/>
                <w:webHidden/>
              </w:rPr>
              <w:t>33</w:t>
            </w:r>
            <w:r w:rsidR="005D3C01">
              <w:rPr>
                <w:noProof/>
                <w:webHidden/>
              </w:rPr>
              <w:fldChar w:fldCharType="end"/>
            </w:r>
          </w:hyperlink>
        </w:p>
        <w:p w14:paraId="5BA1F891" w14:textId="69F16B4F" w:rsidR="005D3C01" w:rsidRDefault="00383541">
          <w:pPr>
            <w:pStyle w:val="TOC2"/>
            <w:rPr>
              <w:rFonts w:eastAsiaTheme="minorEastAsia"/>
              <w:noProof/>
              <w:kern w:val="2"/>
              <w:sz w:val="24"/>
              <w:szCs w:val="24"/>
              <w:lang w:eastAsia="en-NZ"/>
              <w14:ligatures w14:val="standardContextual"/>
            </w:rPr>
          </w:pPr>
          <w:hyperlink w:anchor="_Toc174628640" w:history="1">
            <w:r w:rsidR="005D3C01" w:rsidRPr="008D5196">
              <w:rPr>
                <w:rStyle w:val="Hyperlink"/>
                <w:noProof/>
              </w:rPr>
              <w:t>What is not a conversion practice?</w:t>
            </w:r>
            <w:r w:rsidR="005D3C01">
              <w:rPr>
                <w:noProof/>
                <w:webHidden/>
              </w:rPr>
              <w:tab/>
            </w:r>
            <w:r w:rsidR="005D3C01">
              <w:rPr>
                <w:noProof/>
                <w:webHidden/>
              </w:rPr>
              <w:fldChar w:fldCharType="begin"/>
            </w:r>
            <w:r w:rsidR="005D3C01">
              <w:rPr>
                <w:noProof/>
                <w:webHidden/>
              </w:rPr>
              <w:instrText xml:space="preserve"> PAGEREF _Toc174628640 \h </w:instrText>
            </w:r>
            <w:r w:rsidR="005D3C01">
              <w:rPr>
                <w:noProof/>
                <w:webHidden/>
              </w:rPr>
            </w:r>
            <w:r w:rsidR="005D3C01">
              <w:rPr>
                <w:noProof/>
                <w:webHidden/>
              </w:rPr>
              <w:fldChar w:fldCharType="separate"/>
            </w:r>
            <w:r w:rsidR="005D3C01">
              <w:rPr>
                <w:noProof/>
                <w:webHidden/>
              </w:rPr>
              <w:t>35</w:t>
            </w:r>
            <w:r w:rsidR="005D3C01">
              <w:rPr>
                <w:noProof/>
                <w:webHidden/>
              </w:rPr>
              <w:fldChar w:fldCharType="end"/>
            </w:r>
          </w:hyperlink>
        </w:p>
        <w:p w14:paraId="6FC9AA0A" w14:textId="2CEA25B5" w:rsidR="005D3C01" w:rsidRDefault="00383541">
          <w:pPr>
            <w:pStyle w:val="TOC1"/>
            <w:rPr>
              <w:rFonts w:eastAsiaTheme="minorEastAsia"/>
              <w:b w:val="0"/>
              <w:bCs w:val="0"/>
              <w:kern w:val="2"/>
              <w:sz w:val="24"/>
              <w:szCs w:val="24"/>
              <w:lang w:eastAsia="en-NZ"/>
              <w14:ligatures w14:val="standardContextual"/>
            </w:rPr>
          </w:pPr>
          <w:hyperlink w:anchor="_Toc174628641" w:history="1">
            <w:r w:rsidR="005D3C01" w:rsidRPr="008D5196">
              <w:rPr>
                <w:rStyle w:val="Hyperlink"/>
              </w:rPr>
              <w:t>3.</w:t>
            </w:r>
            <w:r w:rsidR="005D3C01">
              <w:rPr>
                <w:rFonts w:eastAsiaTheme="minorEastAsia"/>
                <w:b w:val="0"/>
                <w:bCs w:val="0"/>
                <w:kern w:val="2"/>
                <w:sz w:val="24"/>
                <w:szCs w:val="24"/>
                <w:lang w:eastAsia="en-NZ"/>
                <w14:ligatures w14:val="standardContextual"/>
              </w:rPr>
              <w:tab/>
            </w:r>
            <w:r w:rsidR="005D3C01" w:rsidRPr="008D5196">
              <w:rPr>
                <w:rStyle w:val="Hyperlink"/>
              </w:rPr>
              <w:t>Conversion practices are a breach of human rights</w:t>
            </w:r>
            <w:r w:rsidR="005D3C01">
              <w:rPr>
                <w:webHidden/>
              </w:rPr>
              <w:tab/>
            </w:r>
            <w:r w:rsidR="005D3C01">
              <w:rPr>
                <w:webHidden/>
              </w:rPr>
              <w:fldChar w:fldCharType="begin"/>
            </w:r>
            <w:r w:rsidR="005D3C01">
              <w:rPr>
                <w:webHidden/>
              </w:rPr>
              <w:instrText xml:space="preserve"> PAGEREF _Toc174628641 \h </w:instrText>
            </w:r>
            <w:r w:rsidR="005D3C01">
              <w:rPr>
                <w:webHidden/>
              </w:rPr>
            </w:r>
            <w:r w:rsidR="005D3C01">
              <w:rPr>
                <w:webHidden/>
              </w:rPr>
              <w:fldChar w:fldCharType="separate"/>
            </w:r>
            <w:r w:rsidR="005D3C01">
              <w:rPr>
                <w:webHidden/>
              </w:rPr>
              <w:t>37</w:t>
            </w:r>
            <w:r w:rsidR="005D3C01">
              <w:rPr>
                <w:webHidden/>
              </w:rPr>
              <w:fldChar w:fldCharType="end"/>
            </w:r>
          </w:hyperlink>
        </w:p>
        <w:p w14:paraId="268D39E5" w14:textId="0B7AC1F1" w:rsidR="005D3C01" w:rsidRDefault="00383541">
          <w:pPr>
            <w:pStyle w:val="TOC2"/>
            <w:rPr>
              <w:rFonts w:eastAsiaTheme="minorEastAsia"/>
              <w:noProof/>
              <w:kern w:val="2"/>
              <w:sz w:val="24"/>
              <w:szCs w:val="24"/>
              <w:lang w:eastAsia="en-NZ"/>
              <w14:ligatures w14:val="standardContextual"/>
            </w:rPr>
          </w:pPr>
          <w:hyperlink w:anchor="_Toc174628642" w:history="1">
            <w:r w:rsidR="005D3C01" w:rsidRPr="008D5196">
              <w:rPr>
                <w:rStyle w:val="Hyperlink"/>
                <w:noProof/>
              </w:rPr>
              <w:t>Recognition of gender and sex in human rights laws</w:t>
            </w:r>
            <w:r w:rsidR="005D3C01">
              <w:rPr>
                <w:noProof/>
                <w:webHidden/>
              </w:rPr>
              <w:tab/>
            </w:r>
            <w:r w:rsidR="005D3C01">
              <w:rPr>
                <w:noProof/>
                <w:webHidden/>
              </w:rPr>
              <w:fldChar w:fldCharType="begin"/>
            </w:r>
            <w:r w:rsidR="005D3C01">
              <w:rPr>
                <w:noProof/>
                <w:webHidden/>
              </w:rPr>
              <w:instrText xml:space="preserve"> PAGEREF _Toc174628642 \h </w:instrText>
            </w:r>
            <w:r w:rsidR="005D3C01">
              <w:rPr>
                <w:noProof/>
                <w:webHidden/>
              </w:rPr>
            </w:r>
            <w:r w:rsidR="005D3C01">
              <w:rPr>
                <w:noProof/>
                <w:webHidden/>
              </w:rPr>
              <w:fldChar w:fldCharType="separate"/>
            </w:r>
            <w:r w:rsidR="005D3C01">
              <w:rPr>
                <w:noProof/>
                <w:webHidden/>
              </w:rPr>
              <w:t>37</w:t>
            </w:r>
            <w:r w:rsidR="005D3C01">
              <w:rPr>
                <w:noProof/>
                <w:webHidden/>
              </w:rPr>
              <w:fldChar w:fldCharType="end"/>
            </w:r>
          </w:hyperlink>
        </w:p>
        <w:p w14:paraId="12F2CE33" w14:textId="62171926" w:rsidR="005D3C01" w:rsidRDefault="00383541">
          <w:pPr>
            <w:pStyle w:val="TOC2"/>
            <w:rPr>
              <w:rFonts w:eastAsiaTheme="minorEastAsia"/>
              <w:noProof/>
              <w:kern w:val="2"/>
              <w:sz w:val="24"/>
              <w:szCs w:val="24"/>
              <w:lang w:eastAsia="en-NZ"/>
              <w14:ligatures w14:val="standardContextual"/>
            </w:rPr>
          </w:pPr>
          <w:hyperlink w:anchor="_Toc174628643" w:history="1">
            <w:r w:rsidR="005D3C01" w:rsidRPr="008D5196">
              <w:rPr>
                <w:rStyle w:val="Hyperlink"/>
                <w:noProof/>
              </w:rPr>
              <w:t>Te Tiriti o Waitangi and the rights of Indigenous peoples</w:t>
            </w:r>
            <w:r w:rsidR="005D3C01">
              <w:rPr>
                <w:noProof/>
                <w:webHidden/>
              </w:rPr>
              <w:tab/>
            </w:r>
            <w:r w:rsidR="005D3C01">
              <w:rPr>
                <w:noProof/>
                <w:webHidden/>
              </w:rPr>
              <w:fldChar w:fldCharType="begin"/>
            </w:r>
            <w:r w:rsidR="005D3C01">
              <w:rPr>
                <w:noProof/>
                <w:webHidden/>
              </w:rPr>
              <w:instrText xml:space="preserve"> PAGEREF _Toc174628643 \h </w:instrText>
            </w:r>
            <w:r w:rsidR="005D3C01">
              <w:rPr>
                <w:noProof/>
                <w:webHidden/>
              </w:rPr>
            </w:r>
            <w:r w:rsidR="005D3C01">
              <w:rPr>
                <w:noProof/>
                <w:webHidden/>
              </w:rPr>
              <w:fldChar w:fldCharType="separate"/>
            </w:r>
            <w:r w:rsidR="005D3C01">
              <w:rPr>
                <w:noProof/>
                <w:webHidden/>
              </w:rPr>
              <w:t>38</w:t>
            </w:r>
            <w:r w:rsidR="005D3C01">
              <w:rPr>
                <w:noProof/>
                <w:webHidden/>
              </w:rPr>
              <w:fldChar w:fldCharType="end"/>
            </w:r>
          </w:hyperlink>
        </w:p>
        <w:p w14:paraId="07DD435D" w14:textId="6751FE2C" w:rsidR="005D3C01" w:rsidRDefault="00383541">
          <w:pPr>
            <w:pStyle w:val="TOC2"/>
            <w:rPr>
              <w:rFonts w:eastAsiaTheme="minorEastAsia"/>
              <w:noProof/>
              <w:kern w:val="2"/>
              <w:sz w:val="24"/>
              <w:szCs w:val="24"/>
              <w:lang w:eastAsia="en-NZ"/>
              <w14:ligatures w14:val="standardContextual"/>
            </w:rPr>
          </w:pPr>
          <w:hyperlink w:anchor="_Toc174628644" w:history="1">
            <w:r w:rsidR="005D3C01" w:rsidRPr="008D5196">
              <w:rPr>
                <w:rStyle w:val="Hyperlink"/>
                <w:noProof/>
              </w:rPr>
              <w:t>The right not to be subjected to torture or cruel treatment</w:t>
            </w:r>
            <w:r w:rsidR="005D3C01">
              <w:rPr>
                <w:noProof/>
                <w:webHidden/>
              </w:rPr>
              <w:tab/>
            </w:r>
            <w:r w:rsidR="005D3C01">
              <w:rPr>
                <w:noProof/>
                <w:webHidden/>
              </w:rPr>
              <w:fldChar w:fldCharType="begin"/>
            </w:r>
            <w:r w:rsidR="005D3C01">
              <w:rPr>
                <w:noProof/>
                <w:webHidden/>
              </w:rPr>
              <w:instrText xml:space="preserve"> PAGEREF _Toc174628644 \h </w:instrText>
            </w:r>
            <w:r w:rsidR="005D3C01">
              <w:rPr>
                <w:noProof/>
                <w:webHidden/>
              </w:rPr>
            </w:r>
            <w:r w:rsidR="005D3C01">
              <w:rPr>
                <w:noProof/>
                <w:webHidden/>
              </w:rPr>
              <w:fldChar w:fldCharType="separate"/>
            </w:r>
            <w:r w:rsidR="005D3C01">
              <w:rPr>
                <w:noProof/>
                <w:webHidden/>
              </w:rPr>
              <w:t>39</w:t>
            </w:r>
            <w:r w:rsidR="005D3C01">
              <w:rPr>
                <w:noProof/>
                <w:webHidden/>
              </w:rPr>
              <w:fldChar w:fldCharType="end"/>
            </w:r>
          </w:hyperlink>
        </w:p>
        <w:p w14:paraId="4E6DE92D" w14:textId="3833AD2C" w:rsidR="005D3C01" w:rsidRDefault="00383541">
          <w:pPr>
            <w:pStyle w:val="TOC2"/>
            <w:rPr>
              <w:rFonts w:eastAsiaTheme="minorEastAsia"/>
              <w:noProof/>
              <w:kern w:val="2"/>
              <w:sz w:val="24"/>
              <w:szCs w:val="24"/>
              <w:lang w:eastAsia="en-NZ"/>
              <w14:ligatures w14:val="standardContextual"/>
            </w:rPr>
          </w:pPr>
          <w:hyperlink w:anchor="_Toc174628645" w:history="1">
            <w:r w:rsidR="005D3C01" w:rsidRPr="008D5196">
              <w:rPr>
                <w:rStyle w:val="Hyperlink"/>
                <w:noProof/>
              </w:rPr>
              <w:t>Rights of the child</w:t>
            </w:r>
            <w:r w:rsidR="005D3C01">
              <w:rPr>
                <w:noProof/>
                <w:webHidden/>
              </w:rPr>
              <w:tab/>
            </w:r>
            <w:r w:rsidR="005D3C01">
              <w:rPr>
                <w:noProof/>
                <w:webHidden/>
              </w:rPr>
              <w:fldChar w:fldCharType="begin"/>
            </w:r>
            <w:r w:rsidR="005D3C01">
              <w:rPr>
                <w:noProof/>
                <w:webHidden/>
              </w:rPr>
              <w:instrText xml:space="preserve"> PAGEREF _Toc174628645 \h </w:instrText>
            </w:r>
            <w:r w:rsidR="005D3C01">
              <w:rPr>
                <w:noProof/>
                <w:webHidden/>
              </w:rPr>
            </w:r>
            <w:r w:rsidR="005D3C01">
              <w:rPr>
                <w:noProof/>
                <w:webHidden/>
              </w:rPr>
              <w:fldChar w:fldCharType="separate"/>
            </w:r>
            <w:r w:rsidR="005D3C01">
              <w:rPr>
                <w:noProof/>
                <w:webHidden/>
              </w:rPr>
              <w:t>40</w:t>
            </w:r>
            <w:r w:rsidR="005D3C01">
              <w:rPr>
                <w:noProof/>
                <w:webHidden/>
              </w:rPr>
              <w:fldChar w:fldCharType="end"/>
            </w:r>
          </w:hyperlink>
        </w:p>
        <w:p w14:paraId="69974B7F" w14:textId="2990AF82" w:rsidR="005D3C01" w:rsidRDefault="00383541">
          <w:pPr>
            <w:pStyle w:val="TOC2"/>
            <w:rPr>
              <w:rFonts w:eastAsiaTheme="minorEastAsia"/>
              <w:noProof/>
              <w:kern w:val="2"/>
              <w:sz w:val="24"/>
              <w:szCs w:val="24"/>
              <w:lang w:eastAsia="en-NZ"/>
              <w14:ligatures w14:val="standardContextual"/>
            </w:rPr>
          </w:pPr>
          <w:hyperlink w:anchor="_Toc174628646" w:history="1">
            <w:r w:rsidR="005D3C01" w:rsidRPr="008D5196">
              <w:rPr>
                <w:rStyle w:val="Hyperlink"/>
                <w:noProof/>
              </w:rPr>
              <w:t>The right to health</w:t>
            </w:r>
            <w:r w:rsidR="005D3C01">
              <w:rPr>
                <w:noProof/>
                <w:webHidden/>
              </w:rPr>
              <w:tab/>
            </w:r>
            <w:r w:rsidR="005D3C01">
              <w:rPr>
                <w:noProof/>
                <w:webHidden/>
              </w:rPr>
              <w:fldChar w:fldCharType="begin"/>
            </w:r>
            <w:r w:rsidR="005D3C01">
              <w:rPr>
                <w:noProof/>
                <w:webHidden/>
              </w:rPr>
              <w:instrText xml:space="preserve"> PAGEREF _Toc174628646 \h </w:instrText>
            </w:r>
            <w:r w:rsidR="005D3C01">
              <w:rPr>
                <w:noProof/>
                <w:webHidden/>
              </w:rPr>
            </w:r>
            <w:r w:rsidR="005D3C01">
              <w:rPr>
                <w:noProof/>
                <w:webHidden/>
              </w:rPr>
              <w:fldChar w:fldCharType="separate"/>
            </w:r>
            <w:r w:rsidR="005D3C01">
              <w:rPr>
                <w:noProof/>
                <w:webHidden/>
              </w:rPr>
              <w:t>42</w:t>
            </w:r>
            <w:r w:rsidR="005D3C01">
              <w:rPr>
                <w:noProof/>
                <w:webHidden/>
              </w:rPr>
              <w:fldChar w:fldCharType="end"/>
            </w:r>
          </w:hyperlink>
        </w:p>
        <w:p w14:paraId="6C383368" w14:textId="36A70601" w:rsidR="005D3C01" w:rsidRDefault="00383541">
          <w:pPr>
            <w:pStyle w:val="TOC2"/>
            <w:rPr>
              <w:rFonts w:eastAsiaTheme="minorEastAsia"/>
              <w:noProof/>
              <w:kern w:val="2"/>
              <w:sz w:val="24"/>
              <w:szCs w:val="24"/>
              <w:lang w:eastAsia="en-NZ"/>
              <w14:ligatures w14:val="standardContextual"/>
            </w:rPr>
          </w:pPr>
          <w:hyperlink w:anchor="_Toc174628647" w:history="1">
            <w:r w:rsidR="005D3C01" w:rsidRPr="008D5196">
              <w:rPr>
                <w:rStyle w:val="Hyperlink"/>
                <w:noProof/>
              </w:rPr>
              <w:t>The right to freedom of religion</w:t>
            </w:r>
            <w:r w:rsidR="005D3C01">
              <w:rPr>
                <w:noProof/>
                <w:webHidden/>
              </w:rPr>
              <w:tab/>
            </w:r>
            <w:r w:rsidR="005D3C01">
              <w:rPr>
                <w:noProof/>
                <w:webHidden/>
              </w:rPr>
              <w:fldChar w:fldCharType="begin"/>
            </w:r>
            <w:r w:rsidR="005D3C01">
              <w:rPr>
                <w:noProof/>
                <w:webHidden/>
              </w:rPr>
              <w:instrText xml:space="preserve"> PAGEREF _Toc174628647 \h </w:instrText>
            </w:r>
            <w:r w:rsidR="005D3C01">
              <w:rPr>
                <w:noProof/>
                <w:webHidden/>
              </w:rPr>
            </w:r>
            <w:r w:rsidR="005D3C01">
              <w:rPr>
                <w:noProof/>
                <w:webHidden/>
              </w:rPr>
              <w:fldChar w:fldCharType="separate"/>
            </w:r>
            <w:r w:rsidR="005D3C01">
              <w:rPr>
                <w:noProof/>
                <w:webHidden/>
              </w:rPr>
              <w:t>43</w:t>
            </w:r>
            <w:r w:rsidR="005D3C01">
              <w:rPr>
                <w:noProof/>
                <w:webHidden/>
              </w:rPr>
              <w:fldChar w:fldCharType="end"/>
            </w:r>
          </w:hyperlink>
        </w:p>
        <w:p w14:paraId="431908AE" w14:textId="66A2CCA3" w:rsidR="005D3C01" w:rsidRDefault="00383541">
          <w:pPr>
            <w:pStyle w:val="TOC2"/>
            <w:rPr>
              <w:rFonts w:eastAsiaTheme="minorEastAsia"/>
              <w:noProof/>
              <w:kern w:val="2"/>
              <w:sz w:val="24"/>
              <w:szCs w:val="24"/>
              <w:lang w:eastAsia="en-NZ"/>
              <w14:ligatures w14:val="standardContextual"/>
            </w:rPr>
          </w:pPr>
          <w:hyperlink w:anchor="_Toc174628648" w:history="1">
            <w:r w:rsidR="005D3C01" w:rsidRPr="008D5196">
              <w:rPr>
                <w:rStyle w:val="Hyperlink"/>
                <w:noProof/>
              </w:rPr>
              <w:t>The balancing of rights in Aotearoa</w:t>
            </w:r>
            <w:r w:rsidR="005D3C01">
              <w:rPr>
                <w:noProof/>
                <w:webHidden/>
              </w:rPr>
              <w:tab/>
            </w:r>
            <w:r w:rsidR="005D3C01">
              <w:rPr>
                <w:noProof/>
                <w:webHidden/>
              </w:rPr>
              <w:fldChar w:fldCharType="begin"/>
            </w:r>
            <w:r w:rsidR="005D3C01">
              <w:rPr>
                <w:noProof/>
                <w:webHidden/>
              </w:rPr>
              <w:instrText xml:space="preserve"> PAGEREF _Toc174628648 \h </w:instrText>
            </w:r>
            <w:r w:rsidR="005D3C01">
              <w:rPr>
                <w:noProof/>
                <w:webHidden/>
              </w:rPr>
            </w:r>
            <w:r w:rsidR="005D3C01">
              <w:rPr>
                <w:noProof/>
                <w:webHidden/>
              </w:rPr>
              <w:fldChar w:fldCharType="separate"/>
            </w:r>
            <w:r w:rsidR="005D3C01">
              <w:rPr>
                <w:noProof/>
                <w:webHidden/>
              </w:rPr>
              <w:t>44</w:t>
            </w:r>
            <w:r w:rsidR="005D3C01">
              <w:rPr>
                <w:noProof/>
                <w:webHidden/>
              </w:rPr>
              <w:fldChar w:fldCharType="end"/>
            </w:r>
          </w:hyperlink>
        </w:p>
        <w:p w14:paraId="326EC444" w14:textId="60423C86" w:rsidR="005D3C01" w:rsidRDefault="00383541">
          <w:pPr>
            <w:pStyle w:val="TOC2"/>
            <w:rPr>
              <w:rFonts w:eastAsiaTheme="minorEastAsia"/>
              <w:noProof/>
              <w:kern w:val="2"/>
              <w:sz w:val="24"/>
              <w:szCs w:val="24"/>
              <w:lang w:eastAsia="en-NZ"/>
              <w14:ligatures w14:val="standardContextual"/>
            </w:rPr>
          </w:pPr>
          <w:hyperlink w:anchor="_Toc174628649" w:history="1">
            <w:r w:rsidR="005D3C01" w:rsidRPr="008D5196">
              <w:rPr>
                <w:rStyle w:val="Hyperlink"/>
                <w:noProof/>
              </w:rPr>
              <w:t>The Commission’s civil redress role</w:t>
            </w:r>
            <w:r w:rsidR="005D3C01">
              <w:rPr>
                <w:noProof/>
                <w:webHidden/>
              </w:rPr>
              <w:tab/>
            </w:r>
            <w:r w:rsidR="005D3C01">
              <w:rPr>
                <w:noProof/>
                <w:webHidden/>
              </w:rPr>
              <w:fldChar w:fldCharType="begin"/>
            </w:r>
            <w:r w:rsidR="005D3C01">
              <w:rPr>
                <w:noProof/>
                <w:webHidden/>
              </w:rPr>
              <w:instrText xml:space="preserve"> PAGEREF _Toc174628649 \h </w:instrText>
            </w:r>
            <w:r w:rsidR="005D3C01">
              <w:rPr>
                <w:noProof/>
                <w:webHidden/>
              </w:rPr>
            </w:r>
            <w:r w:rsidR="005D3C01">
              <w:rPr>
                <w:noProof/>
                <w:webHidden/>
              </w:rPr>
              <w:fldChar w:fldCharType="separate"/>
            </w:r>
            <w:r w:rsidR="005D3C01">
              <w:rPr>
                <w:noProof/>
                <w:webHidden/>
              </w:rPr>
              <w:t>44</w:t>
            </w:r>
            <w:r w:rsidR="005D3C01">
              <w:rPr>
                <w:noProof/>
                <w:webHidden/>
              </w:rPr>
              <w:fldChar w:fldCharType="end"/>
            </w:r>
          </w:hyperlink>
        </w:p>
        <w:p w14:paraId="5E6C425D" w14:textId="10E6BCA4" w:rsidR="005D3C01" w:rsidRDefault="00383541">
          <w:pPr>
            <w:pStyle w:val="TOC1"/>
            <w:rPr>
              <w:rFonts w:eastAsiaTheme="minorEastAsia"/>
              <w:b w:val="0"/>
              <w:bCs w:val="0"/>
              <w:kern w:val="2"/>
              <w:sz w:val="24"/>
              <w:szCs w:val="24"/>
              <w:lang w:eastAsia="en-NZ"/>
              <w14:ligatures w14:val="standardContextual"/>
            </w:rPr>
          </w:pPr>
          <w:hyperlink w:anchor="_Toc174628650" w:history="1">
            <w:r w:rsidR="005D3C01" w:rsidRPr="008D5196">
              <w:rPr>
                <w:rStyle w:val="Hyperlink"/>
              </w:rPr>
              <w:t>4.</w:t>
            </w:r>
            <w:r w:rsidR="005D3C01">
              <w:rPr>
                <w:rFonts w:eastAsiaTheme="minorEastAsia"/>
                <w:b w:val="0"/>
                <w:bCs w:val="0"/>
                <w:kern w:val="2"/>
                <w:sz w:val="24"/>
                <w:szCs w:val="24"/>
                <w:lang w:eastAsia="en-NZ"/>
                <w14:ligatures w14:val="standardContextual"/>
              </w:rPr>
              <w:tab/>
            </w:r>
            <w:r w:rsidR="005D3C01" w:rsidRPr="008D5196">
              <w:rPr>
                <w:rStyle w:val="Hyperlink"/>
              </w:rPr>
              <w:t>Settings for conversion practices</w:t>
            </w:r>
            <w:r w:rsidR="005D3C01">
              <w:rPr>
                <w:webHidden/>
              </w:rPr>
              <w:tab/>
            </w:r>
            <w:r w:rsidR="005D3C01">
              <w:rPr>
                <w:webHidden/>
              </w:rPr>
              <w:fldChar w:fldCharType="begin"/>
            </w:r>
            <w:r w:rsidR="005D3C01">
              <w:rPr>
                <w:webHidden/>
              </w:rPr>
              <w:instrText xml:space="preserve"> PAGEREF _Toc174628650 \h </w:instrText>
            </w:r>
            <w:r w:rsidR="005D3C01">
              <w:rPr>
                <w:webHidden/>
              </w:rPr>
            </w:r>
            <w:r w:rsidR="005D3C01">
              <w:rPr>
                <w:webHidden/>
              </w:rPr>
              <w:fldChar w:fldCharType="separate"/>
            </w:r>
            <w:r w:rsidR="005D3C01">
              <w:rPr>
                <w:webHidden/>
              </w:rPr>
              <w:t>46</w:t>
            </w:r>
            <w:r w:rsidR="005D3C01">
              <w:rPr>
                <w:webHidden/>
              </w:rPr>
              <w:fldChar w:fldCharType="end"/>
            </w:r>
          </w:hyperlink>
        </w:p>
        <w:p w14:paraId="7A3AC592" w14:textId="29E788AC" w:rsidR="005D3C01" w:rsidRDefault="00383541">
          <w:pPr>
            <w:pStyle w:val="TOC2"/>
            <w:rPr>
              <w:rFonts w:eastAsiaTheme="minorEastAsia"/>
              <w:noProof/>
              <w:kern w:val="2"/>
              <w:sz w:val="24"/>
              <w:szCs w:val="24"/>
              <w:lang w:eastAsia="en-NZ"/>
              <w14:ligatures w14:val="standardContextual"/>
            </w:rPr>
          </w:pPr>
          <w:hyperlink w:anchor="_Toc174628651" w:history="1">
            <w:r w:rsidR="005D3C01" w:rsidRPr="008D5196">
              <w:rPr>
                <w:rStyle w:val="Hyperlink"/>
                <w:noProof/>
              </w:rPr>
              <w:t>Conversion practices in the context of a settler colonial state</w:t>
            </w:r>
            <w:r w:rsidR="005D3C01">
              <w:rPr>
                <w:noProof/>
                <w:webHidden/>
              </w:rPr>
              <w:tab/>
            </w:r>
            <w:r w:rsidR="005D3C01">
              <w:rPr>
                <w:noProof/>
                <w:webHidden/>
              </w:rPr>
              <w:fldChar w:fldCharType="begin"/>
            </w:r>
            <w:r w:rsidR="005D3C01">
              <w:rPr>
                <w:noProof/>
                <w:webHidden/>
              </w:rPr>
              <w:instrText xml:space="preserve"> PAGEREF _Toc174628651 \h </w:instrText>
            </w:r>
            <w:r w:rsidR="005D3C01">
              <w:rPr>
                <w:noProof/>
                <w:webHidden/>
              </w:rPr>
            </w:r>
            <w:r w:rsidR="005D3C01">
              <w:rPr>
                <w:noProof/>
                <w:webHidden/>
              </w:rPr>
              <w:fldChar w:fldCharType="separate"/>
            </w:r>
            <w:r w:rsidR="005D3C01">
              <w:rPr>
                <w:noProof/>
                <w:webHidden/>
              </w:rPr>
              <w:t>46</w:t>
            </w:r>
            <w:r w:rsidR="005D3C01">
              <w:rPr>
                <w:noProof/>
                <w:webHidden/>
              </w:rPr>
              <w:fldChar w:fldCharType="end"/>
            </w:r>
          </w:hyperlink>
        </w:p>
        <w:p w14:paraId="3BBA5F6F" w14:textId="5B986E7E" w:rsidR="005D3C01" w:rsidRDefault="00383541">
          <w:pPr>
            <w:pStyle w:val="TOC2"/>
            <w:rPr>
              <w:rFonts w:eastAsiaTheme="minorEastAsia"/>
              <w:noProof/>
              <w:kern w:val="2"/>
              <w:sz w:val="24"/>
              <w:szCs w:val="24"/>
              <w:lang w:eastAsia="en-NZ"/>
              <w14:ligatures w14:val="standardContextual"/>
            </w:rPr>
          </w:pPr>
          <w:hyperlink w:anchor="_Toc174628652" w:history="1">
            <w:r w:rsidR="005D3C01" w:rsidRPr="008D5196">
              <w:rPr>
                <w:rStyle w:val="Hyperlink"/>
                <w:noProof/>
              </w:rPr>
              <w:t>Religious and faith-based settings</w:t>
            </w:r>
            <w:r w:rsidR="005D3C01">
              <w:rPr>
                <w:noProof/>
                <w:webHidden/>
              </w:rPr>
              <w:tab/>
            </w:r>
            <w:r w:rsidR="005D3C01">
              <w:rPr>
                <w:noProof/>
                <w:webHidden/>
              </w:rPr>
              <w:fldChar w:fldCharType="begin"/>
            </w:r>
            <w:r w:rsidR="005D3C01">
              <w:rPr>
                <w:noProof/>
                <w:webHidden/>
              </w:rPr>
              <w:instrText xml:space="preserve"> PAGEREF _Toc174628652 \h </w:instrText>
            </w:r>
            <w:r w:rsidR="005D3C01">
              <w:rPr>
                <w:noProof/>
                <w:webHidden/>
              </w:rPr>
            </w:r>
            <w:r w:rsidR="005D3C01">
              <w:rPr>
                <w:noProof/>
                <w:webHidden/>
              </w:rPr>
              <w:fldChar w:fldCharType="separate"/>
            </w:r>
            <w:r w:rsidR="005D3C01">
              <w:rPr>
                <w:noProof/>
                <w:webHidden/>
              </w:rPr>
              <w:t>47</w:t>
            </w:r>
            <w:r w:rsidR="005D3C01">
              <w:rPr>
                <w:noProof/>
                <w:webHidden/>
              </w:rPr>
              <w:fldChar w:fldCharType="end"/>
            </w:r>
          </w:hyperlink>
        </w:p>
        <w:p w14:paraId="77EC06A7" w14:textId="34D364AD" w:rsidR="005D3C01" w:rsidRDefault="00383541">
          <w:pPr>
            <w:pStyle w:val="TOC2"/>
            <w:rPr>
              <w:rFonts w:eastAsiaTheme="minorEastAsia"/>
              <w:noProof/>
              <w:kern w:val="2"/>
              <w:sz w:val="24"/>
              <w:szCs w:val="24"/>
              <w:lang w:eastAsia="en-NZ"/>
              <w14:ligatures w14:val="standardContextual"/>
            </w:rPr>
          </w:pPr>
          <w:hyperlink w:anchor="_Toc174628653" w:history="1">
            <w:r w:rsidR="005D3C01" w:rsidRPr="008D5196">
              <w:rPr>
                <w:rStyle w:val="Hyperlink"/>
                <w:noProof/>
              </w:rPr>
              <w:t>Medical and healthcare services and settings</w:t>
            </w:r>
            <w:r w:rsidR="005D3C01">
              <w:rPr>
                <w:noProof/>
                <w:webHidden/>
              </w:rPr>
              <w:tab/>
            </w:r>
            <w:r w:rsidR="005D3C01">
              <w:rPr>
                <w:noProof/>
                <w:webHidden/>
              </w:rPr>
              <w:fldChar w:fldCharType="begin"/>
            </w:r>
            <w:r w:rsidR="005D3C01">
              <w:rPr>
                <w:noProof/>
                <w:webHidden/>
              </w:rPr>
              <w:instrText xml:space="preserve"> PAGEREF _Toc174628653 \h </w:instrText>
            </w:r>
            <w:r w:rsidR="005D3C01">
              <w:rPr>
                <w:noProof/>
                <w:webHidden/>
              </w:rPr>
            </w:r>
            <w:r w:rsidR="005D3C01">
              <w:rPr>
                <w:noProof/>
                <w:webHidden/>
              </w:rPr>
              <w:fldChar w:fldCharType="separate"/>
            </w:r>
            <w:r w:rsidR="005D3C01">
              <w:rPr>
                <w:noProof/>
                <w:webHidden/>
              </w:rPr>
              <w:t>52</w:t>
            </w:r>
            <w:r w:rsidR="005D3C01">
              <w:rPr>
                <w:noProof/>
                <w:webHidden/>
              </w:rPr>
              <w:fldChar w:fldCharType="end"/>
            </w:r>
          </w:hyperlink>
        </w:p>
        <w:p w14:paraId="34C83300" w14:textId="5467C854" w:rsidR="005D3C01" w:rsidRDefault="00383541">
          <w:pPr>
            <w:pStyle w:val="TOC2"/>
            <w:rPr>
              <w:rFonts w:eastAsiaTheme="minorEastAsia"/>
              <w:noProof/>
              <w:kern w:val="2"/>
              <w:sz w:val="24"/>
              <w:szCs w:val="24"/>
              <w:lang w:eastAsia="en-NZ"/>
              <w14:ligatures w14:val="standardContextual"/>
            </w:rPr>
          </w:pPr>
          <w:hyperlink w:anchor="_Toc174628654" w:history="1">
            <w:r w:rsidR="005D3C01" w:rsidRPr="008D5196">
              <w:rPr>
                <w:rStyle w:val="Hyperlink"/>
                <w:noProof/>
              </w:rPr>
              <w:t>Conversion practices and ira tangata (intersex people)</w:t>
            </w:r>
            <w:r w:rsidR="005D3C01">
              <w:rPr>
                <w:noProof/>
                <w:webHidden/>
              </w:rPr>
              <w:tab/>
            </w:r>
            <w:r w:rsidR="005D3C01">
              <w:rPr>
                <w:noProof/>
                <w:webHidden/>
              </w:rPr>
              <w:fldChar w:fldCharType="begin"/>
            </w:r>
            <w:r w:rsidR="005D3C01">
              <w:rPr>
                <w:noProof/>
                <w:webHidden/>
              </w:rPr>
              <w:instrText xml:space="preserve"> PAGEREF _Toc174628654 \h </w:instrText>
            </w:r>
            <w:r w:rsidR="005D3C01">
              <w:rPr>
                <w:noProof/>
                <w:webHidden/>
              </w:rPr>
            </w:r>
            <w:r w:rsidR="005D3C01">
              <w:rPr>
                <w:noProof/>
                <w:webHidden/>
              </w:rPr>
              <w:fldChar w:fldCharType="separate"/>
            </w:r>
            <w:r w:rsidR="005D3C01">
              <w:rPr>
                <w:noProof/>
                <w:webHidden/>
              </w:rPr>
              <w:t>53</w:t>
            </w:r>
            <w:r w:rsidR="005D3C01">
              <w:rPr>
                <w:noProof/>
                <w:webHidden/>
              </w:rPr>
              <w:fldChar w:fldCharType="end"/>
            </w:r>
          </w:hyperlink>
        </w:p>
        <w:p w14:paraId="7F594410" w14:textId="25AC729B" w:rsidR="005D3C01" w:rsidRDefault="00383541">
          <w:pPr>
            <w:pStyle w:val="TOC2"/>
            <w:rPr>
              <w:rFonts w:eastAsiaTheme="minorEastAsia"/>
              <w:noProof/>
              <w:kern w:val="2"/>
              <w:sz w:val="24"/>
              <w:szCs w:val="24"/>
              <w:lang w:eastAsia="en-NZ"/>
              <w14:ligatures w14:val="standardContextual"/>
            </w:rPr>
          </w:pPr>
          <w:hyperlink w:anchor="_Toc174628655" w:history="1">
            <w:r w:rsidR="005D3C01" w:rsidRPr="008D5196">
              <w:rPr>
                <w:rStyle w:val="Hyperlink"/>
                <w:noProof/>
              </w:rPr>
              <w:t>Mental healthcare services and settings</w:t>
            </w:r>
            <w:r w:rsidR="005D3C01">
              <w:rPr>
                <w:noProof/>
                <w:webHidden/>
              </w:rPr>
              <w:tab/>
            </w:r>
            <w:r w:rsidR="005D3C01">
              <w:rPr>
                <w:noProof/>
                <w:webHidden/>
              </w:rPr>
              <w:fldChar w:fldCharType="begin"/>
            </w:r>
            <w:r w:rsidR="005D3C01">
              <w:rPr>
                <w:noProof/>
                <w:webHidden/>
              </w:rPr>
              <w:instrText xml:space="preserve"> PAGEREF _Toc174628655 \h </w:instrText>
            </w:r>
            <w:r w:rsidR="005D3C01">
              <w:rPr>
                <w:noProof/>
                <w:webHidden/>
              </w:rPr>
            </w:r>
            <w:r w:rsidR="005D3C01">
              <w:rPr>
                <w:noProof/>
                <w:webHidden/>
              </w:rPr>
              <w:fldChar w:fldCharType="separate"/>
            </w:r>
            <w:r w:rsidR="005D3C01">
              <w:rPr>
                <w:noProof/>
                <w:webHidden/>
              </w:rPr>
              <w:t>54</w:t>
            </w:r>
            <w:r w:rsidR="005D3C01">
              <w:rPr>
                <w:noProof/>
                <w:webHidden/>
              </w:rPr>
              <w:fldChar w:fldCharType="end"/>
            </w:r>
          </w:hyperlink>
        </w:p>
        <w:p w14:paraId="1E951B71" w14:textId="17EC7E0F" w:rsidR="005D3C01" w:rsidRDefault="00383541">
          <w:pPr>
            <w:pStyle w:val="TOC2"/>
            <w:rPr>
              <w:rFonts w:eastAsiaTheme="minorEastAsia"/>
              <w:noProof/>
              <w:kern w:val="2"/>
              <w:sz w:val="24"/>
              <w:szCs w:val="24"/>
              <w:lang w:eastAsia="en-NZ"/>
              <w14:ligatures w14:val="standardContextual"/>
            </w:rPr>
          </w:pPr>
          <w:hyperlink w:anchor="_Toc174628656" w:history="1">
            <w:r w:rsidR="005D3C01" w:rsidRPr="008D5196">
              <w:rPr>
                <w:rStyle w:val="Hyperlink"/>
                <w:noProof/>
              </w:rPr>
              <w:t>Youth work and education settings</w:t>
            </w:r>
            <w:r w:rsidR="005D3C01">
              <w:rPr>
                <w:noProof/>
                <w:webHidden/>
              </w:rPr>
              <w:tab/>
            </w:r>
            <w:r w:rsidR="005D3C01">
              <w:rPr>
                <w:noProof/>
                <w:webHidden/>
              </w:rPr>
              <w:fldChar w:fldCharType="begin"/>
            </w:r>
            <w:r w:rsidR="005D3C01">
              <w:rPr>
                <w:noProof/>
                <w:webHidden/>
              </w:rPr>
              <w:instrText xml:space="preserve"> PAGEREF _Toc174628656 \h </w:instrText>
            </w:r>
            <w:r w:rsidR="005D3C01">
              <w:rPr>
                <w:noProof/>
                <w:webHidden/>
              </w:rPr>
            </w:r>
            <w:r w:rsidR="005D3C01">
              <w:rPr>
                <w:noProof/>
                <w:webHidden/>
              </w:rPr>
              <w:fldChar w:fldCharType="separate"/>
            </w:r>
            <w:r w:rsidR="005D3C01">
              <w:rPr>
                <w:noProof/>
                <w:webHidden/>
              </w:rPr>
              <w:t>56</w:t>
            </w:r>
            <w:r w:rsidR="005D3C01">
              <w:rPr>
                <w:noProof/>
                <w:webHidden/>
              </w:rPr>
              <w:fldChar w:fldCharType="end"/>
            </w:r>
          </w:hyperlink>
        </w:p>
        <w:p w14:paraId="594A7AD1" w14:textId="1703EFB9" w:rsidR="005D3C01" w:rsidRDefault="00383541">
          <w:pPr>
            <w:pStyle w:val="TOC1"/>
            <w:rPr>
              <w:rFonts w:eastAsiaTheme="minorEastAsia"/>
              <w:b w:val="0"/>
              <w:bCs w:val="0"/>
              <w:kern w:val="2"/>
              <w:sz w:val="24"/>
              <w:szCs w:val="24"/>
              <w:lang w:eastAsia="en-NZ"/>
              <w14:ligatures w14:val="standardContextual"/>
            </w:rPr>
          </w:pPr>
          <w:hyperlink w:anchor="_Toc174628657" w:history="1">
            <w:r w:rsidR="005D3C01" w:rsidRPr="008D5196">
              <w:rPr>
                <w:rStyle w:val="Hyperlink"/>
              </w:rPr>
              <w:t>5.</w:t>
            </w:r>
            <w:r w:rsidR="005D3C01">
              <w:rPr>
                <w:rFonts w:eastAsiaTheme="minorEastAsia"/>
                <w:b w:val="0"/>
                <w:bCs w:val="0"/>
                <w:kern w:val="2"/>
                <w:sz w:val="24"/>
                <w:szCs w:val="24"/>
                <w:lang w:eastAsia="en-NZ"/>
                <w14:ligatures w14:val="standardContextual"/>
              </w:rPr>
              <w:tab/>
            </w:r>
            <w:r w:rsidR="005D3C01" w:rsidRPr="008D5196">
              <w:rPr>
                <w:rStyle w:val="Hyperlink"/>
              </w:rPr>
              <w:t>The harms of conversion practices</w:t>
            </w:r>
            <w:r w:rsidR="005D3C01">
              <w:rPr>
                <w:webHidden/>
              </w:rPr>
              <w:tab/>
            </w:r>
            <w:r w:rsidR="005D3C01">
              <w:rPr>
                <w:webHidden/>
              </w:rPr>
              <w:fldChar w:fldCharType="begin"/>
            </w:r>
            <w:r w:rsidR="005D3C01">
              <w:rPr>
                <w:webHidden/>
              </w:rPr>
              <w:instrText xml:space="preserve"> PAGEREF _Toc174628657 \h </w:instrText>
            </w:r>
            <w:r w:rsidR="005D3C01">
              <w:rPr>
                <w:webHidden/>
              </w:rPr>
            </w:r>
            <w:r w:rsidR="005D3C01">
              <w:rPr>
                <w:webHidden/>
              </w:rPr>
              <w:fldChar w:fldCharType="separate"/>
            </w:r>
            <w:r w:rsidR="005D3C01">
              <w:rPr>
                <w:webHidden/>
              </w:rPr>
              <w:t>57</w:t>
            </w:r>
            <w:r w:rsidR="005D3C01">
              <w:rPr>
                <w:webHidden/>
              </w:rPr>
              <w:fldChar w:fldCharType="end"/>
            </w:r>
          </w:hyperlink>
        </w:p>
        <w:p w14:paraId="195689AE" w14:textId="342761FC" w:rsidR="005D3C01" w:rsidRDefault="00383541">
          <w:pPr>
            <w:pStyle w:val="TOC2"/>
            <w:rPr>
              <w:rFonts w:eastAsiaTheme="minorEastAsia"/>
              <w:noProof/>
              <w:kern w:val="2"/>
              <w:sz w:val="24"/>
              <w:szCs w:val="24"/>
              <w:lang w:eastAsia="en-NZ"/>
              <w14:ligatures w14:val="standardContextual"/>
            </w:rPr>
          </w:pPr>
          <w:hyperlink w:anchor="_Toc174628658" w:history="1">
            <w:r w:rsidR="005D3C01" w:rsidRPr="008D5196">
              <w:rPr>
                <w:rStyle w:val="Hyperlink"/>
                <w:noProof/>
                <w:lang w:val="en-GB"/>
              </w:rPr>
              <w:t>Conversion practices inflict lifelong trauma</w:t>
            </w:r>
            <w:r w:rsidR="005D3C01">
              <w:rPr>
                <w:noProof/>
                <w:webHidden/>
              </w:rPr>
              <w:tab/>
            </w:r>
            <w:r w:rsidR="005D3C01">
              <w:rPr>
                <w:noProof/>
                <w:webHidden/>
              </w:rPr>
              <w:fldChar w:fldCharType="begin"/>
            </w:r>
            <w:r w:rsidR="005D3C01">
              <w:rPr>
                <w:noProof/>
                <w:webHidden/>
              </w:rPr>
              <w:instrText xml:space="preserve"> PAGEREF _Toc174628658 \h </w:instrText>
            </w:r>
            <w:r w:rsidR="005D3C01">
              <w:rPr>
                <w:noProof/>
                <w:webHidden/>
              </w:rPr>
            </w:r>
            <w:r w:rsidR="005D3C01">
              <w:rPr>
                <w:noProof/>
                <w:webHidden/>
              </w:rPr>
              <w:fldChar w:fldCharType="separate"/>
            </w:r>
            <w:r w:rsidR="005D3C01">
              <w:rPr>
                <w:noProof/>
                <w:webHidden/>
              </w:rPr>
              <w:t>57</w:t>
            </w:r>
            <w:r w:rsidR="005D3C01">
              <w:rPr>
                <w:noProof/>
                <w:webHidden/>
              </w:rPr>
              <w:fldChar w:fldCharType="end"/>
            </w:r>
          </w:hyperlink>
        </w:p>
        <w:p w14:paraId="27ECA550" w14:textId="3FA25F14" w:rsidR="005D3C01" w:rsidRDefault="00383541">
          <w:pPr>
            <w:pStyle w:val="TOC2"/>
            <w:rPr>
              <w:rFonts w:eastAsiaTheme="minorEastAsia"/>
              <w:noProof/>
              <w:kern w:val="2"/>
              <w:sz w:val="24"/>
              <w:szCs w:val="24"/>
              <w:lang w:eastAsia="en-NZ"/>
              <w14:ligatures w14:val="standardContextual"/>
            </w:rPr>
          </w:pPr>
          <w:hyperlink w:anchor="_Toc174628659" w:history="1">
            <w:r w:rsidR="005D3C01" w:rsidRPr="008D5196">
              <w:rPr>
                <w:rStyle w:val="Hyperlink"/>
                <w:noProof/>
              </w:rPr>
              <w:t>Psychological</w:t>
            </w:r>
            <w:r w:rsidR="005D3C01" w:rsidRPr="008D5196">
              <w:rPr>
                <w:rStyle w:val="Hyperlink"/>
                <w:noProof/>
                <w:lang w:val="en-GB"/>
              </w:rPr>
              <w:t xml:space="preserve"> and social impacts of conversion practices</w:t>
            </w:r>
            <w:r w:rsidR="005D3C01">
              <w:rPr>
                <w:noProof/>
                <w:webHidden/>
              </w:rPr>
              <w:tab/>
            </w:r>
            <w:r w:rsidR="005D3C01">
              <w:rPr>
                <w:noProof/>
                <w:webHidden/>
              </w:rPr>
              <w:fldChar w:fldCharType="begin"/>
            </w:r>
            <w:r w:rsidR="005D3C01">
              <w:rPr>
                <w:noProof/>
                <w:webHidden/>
              </w:rPr>
              <w:instrText xml:space="preserve"> PAGEREF _Toc174628659 \h </w:instrText>
            </w:r>
            <w:r w:rsidR="005D3C01">
              <w:rPr>
                <w:noProof/>
                <w:webHidden/>
              </w:rPr>
            </w:r>
            <w:r w:rsidR="005D3C01">
              <w:rPr>
                <w:noProof/>
                <w:webHidden/>
              </w:rPr>
              <w:fldChar w:fldCharType="separate"/>
            </w:r>
            <w:r w:rsidR="005D3C01">
              <w:rPr>
                <w:noProof/>
                <w:webHidden/>
              </w:rPr>
              <w:t>60</w:t>
            </w:r>
            <w:r w:rsidR="005D3C01">
              <w:rPr>
                <w:noProof/>
                <w:webHidden/>
              </w:rPr>
              <w:fldChar w:fldCharType="end"/>
            </w:r>
          </w:hyperlink>
        </w:p>
        <w:p w14:paraId="3C8EC461" w14:textId="5DE7395C" w:rsidR="005D3C01" w:rsidRDefault="00383541">
          <w:pPr>
            <w:pStyle w:val="TOC2"/>
            <w:rPr>
              <w:rFonts w:eastAsiaTheme="minorEastAsia"/>
              <w:noProof/>
              <w:kern w:val="2"/>
              <w:sz w:val="24"/>
              <w:szCs w:val="24"/>
              <w:lang w:eastAsia="en-NZ"/>
              <w14:ligatures w14:val="standardContextual"/>
            </w:rPr>
          </w:pPr>
          <w:hyperlink w:anchor="_Toc174628660" w:history="1">
            <w:r w:rsidR="005D3C01" w:rsidRPr="008D5196">
              <w:rPr>
                <w:rStyle w:val="Hyperlink"/>
                <w:noProof/>
              </w:rPr>
              <w:t>Spiritual and physical impacts of conversion practices</w:t>
            </w:r>
            <w:r w:rsidR="005D3C01">
              <w:rPr>
                <w:noProof/>
                <w:webHidden/>
              </w:rPr>
              <w:tab/>
            </w:r>
            <w:r w:rsidR="005D3C01">
              <w:rPr>
                <w:noProof/>
                <w:webHidden/>
              </w:rPr>
              <w:fldChar w:fldCharType="begin"/>
            </w:r>
            <w:r w:rsidR="005D3C01">
              <w:rPr>
                <w:noProof/>
                <w:webHidden/>
              </w:rPr>
              <w:instrText xml:space="preserve"> PAGEREF _Toc174628660 \h </w:instrText>
            </w:r>
            <w:r w:rsidR="005D3C01">
              <w:rPr>
                <w:noProof/>
                <w:webHidden/>
              </w:rPr>
            </w:r>
            <w:r w:rsidR="005D3C01">
              <w:rPr>
                <w:noProof/>
                <w:webHidden/>
              </w:rPr>
              <w:fldChar w:fldCharType="separate"/>
            </w:r>
            <w:r w:rsidR="005D3C01">
              <w:rPr>
                <w:noProof/>
                <w:webHidden/>
              </w:rPr>
              <w:t>62</w:t>
            </w:r>
            <w:r w:rsidR="005D3C01">
              <w:rPr>
                <w:noProof/>
                <w:webHidden/>
              </w:rPr>
              <w:fldChar w:fldCharType="end"/>
            </w:r>
          </w:hyperlink>
        </w:p>
        <w:p w14:paraId="4C10A0AB" w14:textId="2236A8EB" w:rsidR="005D3C01" w:rsidRDefault="00383541">
          <w:pPr>
            <w:pStyle w:val="TOC2"/>
            <w:rPr>
              <w:rFonts w:eastAsiaTheme="minorEastAsia"/>
              <w:noProof/>
              <w:kern w:val="2"/>
              <w:sz w:val="24"/>
              <w:szCs w:val="24"/>
              <w:lang w:eastAsia="en-NZ"/>
              <w14:ligatures w14:val="standardContextual"/>
            </w:rPr>
          </w:pPr>
          <w:hyperlink w:anchor="_Toc174628661" w:history="1">
            <w:r w:rsidR="005D3C01" w:rsidRPr="008D5196">
              <w:rPr>
                <w:rStyle w:val="Hyperlink"/>
                <w:noProof/>
              </w:rPr>
              <w:t>Physical harms of conversion practices</w:t>
            </w:r>
            <w:r w:rsidR="005D3C01">
              <w:rPr>
                <w:noProof/>
                <w:webHidden/>
              </w:rPr>
              <w:tab/>
            </w:r>
            <w:r w:rsidR="005D3C01">
              <w:rPr>
                <w:noProof/>
                <w:webHidden/>
              </w:rPr>
              <w:fldChar w:fldCharType="begin"/>
            </w:r>
            <w:r w:rsidR="005D3C01">
              <w:rPr>
                <w:noProof/>
                <w:webHidden/>
              </w:rPr>
              <w:instrText xml:space="preserve"> PAGEREF _Toc174628661 \h </w:instrText>
            </w:r>
            <w:r w:rsidR="005D3C01">
              <w:rPr>
                <w:noProof/>
                <w:webHidden/>
              </w:rPr>
            </w:r>
            <w:r w:rsidR="005D3C01">
              <w:rPr>
                <w:noProof/>
                <w:webHidden/>
              </w:rPr>
              <w:fldChar w:fldCharType="separate"/>
            </w:r>
            <w:r w:rsidR="005D3C01">
              <w:rPr>
                <w:noProof/>
                <w:webHidden/>
              </w:rPr>
              <w:t>62</w:t>
            </w:r>
            <w:r w:rsidR="005D3C01">
              <w:rPr>
                <w:noProof/>
                <w:webHidden/>
              </w:rPr>
              <w:fldChar w:fldCharType="end"/>
            </w:r>
          </w:hyperlink>
        </w:p>
        <w:p w14:paraId="34F09B62" w14:textId="04BFD369" w:rsidR="005D3C01" w:rsidRDefault="00383541">
          <w:pPr>
            <w:pStyle w:val="TOC2"/>
            <w:rPr>
              <w:rFonts w:eastAsiaTheme="minorEastAsia"/>
              <w:noProof/>
              <w:kern w:val="2"/>
              <w:sz w:val="24"/>
              <w:szCs w:val="24"/>
              <w:lang w:eastAsia="en-NZ"/>
              <w14:ligatures w14:val="standardContextual"/>
            </w:rPr>
          </w:pPr>
          <w:hyperlink w:anchor="_Toc174628662" w:history="1">
            <w:r w:rsidR="005D3C01" w:rsidRPr="008D5196">
              <w:rPr>
                <w:rStyle w:val="Hyperlink"/>
                <w:noProof/>
              </w:rPr>
              <w:t>Harm associated with whānau and community</w:t>
            </w:r>
            <w:r w:rsidR="005D3C01">
              <w:rPr>
                <w:noProof/>
                <w:webHidden/>
              </w:rPr>
              <w:tab/>
            </w:r>
            <w:r w:rsidR="005D3C01">
              <w:rPr>
                <w:noProof/>
                <w:webHidden/>
              </w:rPr>
              <w:fldChar w:fldCharType="begin"/>
            </w:r>
            <w:r w:rsidR="005D3C01">
              <w:rPr>
                <w:noProof/>
                <w:webHidden/>
              </w:rPr>
              <w:instrText xml:space="preserve"> PAGEREF _Toc174628662 \h </w:instrText>
            </w:r>
            <w:r w:rsidR="005D3C01">
              <w:rPr>
                <w:noProof/>
                <w:webHidden/>
              </w:rPr>
            </w:r>
            <w:r w:rsidR="005D3C01">
              <w:rPr>
                <w:noProof/>
                <w:webHidden/>
              </w:rPr>
              <w:fldChar w:fldCharType="separate"/>
            </w:r>
            <w:r w:rsidR="005D3C01">
              <w:rPr>
                <w:noProof/>
                <w:webHidden/>
              </w:rPr>
              <w:t>63</w:t>
            </w:r>
            <w:r w:rsidR="005D3C01">
              <w:rPr>
                <w:noProof/>
                <w:webHidden/>
              </w:rPr>
              <w:fldChar w:fldCharType="end"/>
            </w:r>
          </w:hyperlink>
        </w:p>
        <w:p w14:paraId="0D85E196" w14:textId="4822375F" w:rsidR="005D3C01" w:rsidRDefault="00383541">
          <w:pPr>
            <w:pStyle w:val="TOC1"/>
            <w:rPr>
              <w:rFonts w:eastAsiaTheme="minorEastAsia"/>
              <w:b w:val="0"/>
              <w:bCs w:val="0"/>
              <w:kern w:val="2"/>
              <w:sz w:val="24"/>
              <w:szCs w:val="24"/>
              <w:lang w:eastAsia="en-NZ"/>
              <w14:ligatures w14:val="standardContextual"/>
            </w:rPr>
          </w:pPr>
          <w:hyperlink w:anchor="_Toc174628663" w:history="1">
            <w:r w:rsidR="005D3C01" w:rsidRPr="008D5196">
              <w:rPr>
                <w:rStyle w:val="Hyperlink"/>
              </w:rPr>
              <w:t>6.</w:t>
            </w:r>
            <w:r w:rsidR="005D3C01">
              <w:rPr>
                <w:rFonts w:eastAsiaTheme="minorEastAsia"/>
                <w:b w:val="0"/>
                <w:bCs w:val="0"/>
                <w:kern w:val="2"/>
                <w:sz w:val="24"/>
                <w:szCs w:val="24"/>
                <w:lang w:eastAsia="en-NZ"/>
                <w14:ligatures w14:val="standardContextual"/>
              </w:rPr>
              <w:tab/>
            </w:r>
            <w:r w:rsidR="005D3C01" w:rsidRPr="008D5196">
              <w:rPr>
                <w:rStyle w:val="Hyperlink"/>
              </w:rPr>
              <w:t>Māori experiences of conversion practices</w:t>
            </w:r>
            <w:r w:rsidR="005D3C01">
              <w:rPr>
                <w:webHidden/>
              </w:rPr>
              <w:tab/>
            </w:r>
            <w:r w:rsidR="005D3C01">
              <w:rPr>
                <w:webHidden/>
              </w:rPr>
              <w:fldChar w:fldCharType="begin"/>
            </w:r>
            <w:r w:rsidR="005D3C01">
              <w:rPr>
                <w:webHidden/>
              </w:rPr>
              <w:instrText xml:space="preserve"> PAGEREF _Toc174628663 \h </w:instrText>
            </w:r>
            <w:r w:rsidR="005D3C01">
              <w:rPr>
                <w:webHidden/>
              </w:rPr>
            </w:r>
            <w:r w:rsidR="005D3C01">
              <w:rPr>
                <w:webHidden/>
              </w:rPr>
              <w:fldChar w:fldCharType="separate"/>
            </w:r>
            <w:r w:rsidR="005D3C01">
              <w:rPr>
                <w:webHidden/>
              </w:rPr>
              <w:t>67</w:t>
            </w:r>
            <w:r w:rsidR="005D3C01">
              <w:rPr>
                <w:webHidden/>
              </w:rPr>
              <w:fldChar w:fldCharType="end"/>
            </w:r>
          </w:hyperlink>
        </w:p>
        <w:p w14:paraId="642BE8F1" w14:textId="42C682A8" w:rsidR="005D3C01" w:rsidRDefault="00383541">
          <w:pPr>
            <w:pStyle w:val="TOC2"/>
            <w:rPr>
              <w:rFonts w:eastAsiaTheme="minorEastAsia"/>
              <w:noProof/>
              <w:kern w:val="2"/>
              <w:sz w:val="24"/>
              <w:szCs w:val="24"/>
              <w:lang w:eastAsia="en-NZ"/>
              <w14:ligatures w14:val="standardContextual"/>
            </w:rPr>
          </w:pPr>
          <w:hyperlink w:anchor="_Toc174628664" w:history="1">
            <w:r w:rsidR="005D3C01" w:rsidRPr="008D5196">
              <w:rPr>
                <w:rStyle w:val="Hyperlink"/>
                <w:noProof/>
              </w:rPr>
              <w:t>Traditionally affirming views</w:t>
            </w:r>
            <w:r w:rsidR="005D3C01">
              <w:rPr>
                <w:noProof/>
                <w:webHidden/>
              </w:rPr>
              <w:tab/>
            </w:r>
            <w:r w:rsidR="005D3C01">
              <w:rPr>
                <w:noProof/>
                <w:webHidden/>
              </w:rPr>
              <w:fldChar w:fldCharType="begin"/>
            </w:r>
            <w:r w:rsidR="005D3C01">
              <w:rPr>
                <w:noProof/>
                <w:webHidden/>
              </w:rPr>
              <w:instrText xml:space="preserve"> PAGEREF _Toc174628664 \h </w:instrText>
            </w:r>
            <w:r w:rsidR="005D3C01">
              <w:rPr>
                <w:noProof/>
                <w:webHidden/>
              </w:rPr>
            </w:r>
            <w:r w:rsidR="005D3C01">
              <w:rPr>
                <w:noProof/>
                <w:webHidden/>
              </w:rPr>
              <w:fldChar w:fldCharType="separate"/>
            </w:r>
            <w:r w:rsidR="005D3C01">
              <w:rPr>
                <w:noProof/>
                <w:webHidden/>
              </w:rPr>
              <w:t>68</w:t>
            </w:r>
            <w:r w:rsidR="005D3C01">
              <w:rPr>
                <w:noProof/>
                <w:webHidden/>
              </w:rPr>
              <w:fldChar w:fldCharType="end"/>
            </w:r>
          </w:hyperlink>
        </w:p>
        <w:p w14:paraId="03946143" w14:textId="468D068A" w:rsidR="005D3C01" w:rsidRDefault="00383541">
          <w:pPr>
            <w:pStyle w:val="TOC2"/>
            <w:rPr>
              <w:rFonts w:eastAsiaTheme="minorEastAsia"/>
              <w:noProof/>
              <w:kern w:val="2"/>
              <w:sz w:val="24"/>
              <w:szCs w:val="24"/>
              <w:lang w:eastAsia="en-NZ"/>
              <w14:ligatures w14:val="standardContextual"/>
            </w:rPr>
          </w:pPr>
          <w:hyperlink w:anchor="_Toc174628665" w:history="1">
            <w:r w:rsidR="005D3C01" w:rsidRPr="008D5196">
              <w:rPr>
                <w:rStyle w:val="Hyperlink"/>
                <w:noProof/>
              </w:rPr>
              <w:t>Colonisation and the influence of missionaries</w:t>
            </w:r>
            <w:r w:rsidR="005D3C01">
              <w:rPr>
                <w:noProof/>
                <w:webHidden/>
              </w:rPr>
              <w:tab/>
            </w:r>
            <w:r w:rsidR="005D3C01">
              <w:rPr>
                <w:noProof/>
                <w:webHidden/>
              </w:rPr>
              <w:fldChar w:fldCharType="begin"/>
            </w:r>
            <w:r w:rsidR="005D3C01">
              <w:rPr>
                <w:noProof/>
                <w:webHidden/>
              </w:rPr>
              <w:instrText xml:space="preserve"> PAGEREF _Toc174628665 \h </w:instrText>
            </w:r>
            <w:r w:rsidR="005D3C01">
              <w:rPr>
                <w:noProof/>
                <w:webHidden/>
              </w:rPr>
            </w:r>
            <w:r w:rsidR="005D3C01">
              <w:rPr>
                <w:noProof/>
                <w:webHidden/>
              </w:rPr>
              <w:fldChar w:fldCharType="separate"/>
            </w:r>
            <w:r w:rsidR="005D3C01">
              <w:rPr>
                <w:noProof/>
                <w:webHidden/>
              </w:rPr>
              <w:t>68</w:t>
            </w:r>
            <w:r w:rsidR="005D3C01">
              <w:rPr>
                <w:noProof/>
                <w:webHidden/>
              </w:rPr>
              <w:fldChar w:fldCharType="end"/>
            </w:r>
          </w:hyperlink>
        </w:p>
        <w:p w14:paraId="6E63F68B" w14:textId="23D1733A" w:rsidR="005D3C01" w:rsidRDefault="00383541">
          <w:pPr>
            <w:pStyle w:val="TOC2"/>
            <w:rPr>
              <w:rFonts w:eastAsiaTheme="minorEastAsia"/>
              <w:noProof/>
              <w:kern w:val="2"/>
              <w:sz w:val="24"/>
              <w:szCs w:val="24"/>
              <w:lang w:eastAsia="en-NZ"/>
              <w14:ligatures w14:val="standardContextual"/>
            </w:rPr>
          </w:pPr>
          <w:hyperlink w:anchor="_Toc174628666" w:history="1">
            <w:r w:rsidR="005D3C01" w:rsidRPr="008D5196">
              <w:rPr>
                <w:rStyle w:val="Hyperlink"/>
                <w:noProof/>
              </w:rPr>
              <w:t>Conversion practices and the destruction of whānau structures and culture</w:t>
            </w:r>
            <w:r w:rsidR="005D3C01">
              <w:rPr>
                <w:noProof/>
                <w:webHidden/>
              </w:rPr>
              <w:tab/>
            </w:r>
            <w:r w:rsidR="005D3C01">
              <w:rPr>
                <w:noProof/>
                <w:webHidden/>
              </w:rPr>
              <w:fldChar w:fldCharType="begin"/>
            </w:r>
            <w:r w:rsidR="005D3C01">
              <w:rPr>
                <w:noProof/>
                <w:webHidden/>
              </w:rPr>
              <w:instrText xml:space="preserve"> PAGEREF _Toc174628666 \h </w:instrText>
            </w:r>
            <w:r w:rsidR="005D3C01">
              <w:rPr>
                <w:noProof/>
                <w:webHidden/>
              </w:rPr>
            </w:r>
            <w:r w:rsidR="005D3C01">
              <w:rPr>
                <w:noProof/>
                <w:webHidden/>
              </w:rPr>
              <w:fldChar w:fldCharType="separate"/>
            </w:r>
            <w:r w:rsidR="005D3C01">
              <w:rPr>
                <w:noProof/>
                <w:webHidden/>
              </w:rPr>
              <w:t>69</w:t>
            </w:r>
            <w:r w:rsidR="005D3C01">
              <w:rPr>
                <w:noProof/>
                <w:webHidden/>
              </w:rPr>
              <w:fldChar w:fldCharType="end"/>
            </w:r>
          </w:hyperlink>
        </w:p>
        <w:p w14:paraId="0BF61CF9" w14:textId="1D2A5AE0" w:rsidR="005D3C01" w:rsidRDefault="00383541">
          <w:pPr>
            <w:pStyle w:val="TOC2"/>
            <w:rPr>
              <w:rFonts w:eastAsiaTheme="minorEastAsia"/>
              <w:noProof/>
              <w:kern w:val="2"/>
              <w:sz w:val="24"/>
              <w:szCs w:val="24"/>
              <w:lang w:eastAsia="en-NZ"/>
              <w14:ligatures w14:val="standardContextual"/>
            </w:rPr>
          </w:pPr>
          <w:hyperlink w:anchor="_Toc174628667" w:history="1">
            <w:r w:rsidR="005D3C01" w:rsidRPr="008D5196">
              <w:rPr>
                <w:rStyle w:val="Hyperlink"/>
                <w:noProof/>
              </w:rPr>
              <w:t>What the data tell us about Māori experiences of conversion practices</w:t>
            </w:r>
            <w:r w:rsidR="005D3C01">
              <w:rPr>
                <w:noProof/>
                <w:webHidden/>
              </w:rPr>
              <w:tab/>
            </w:r>
            <w:r w:rsidR="005D3C01">
              <w:rPr>
                <w:noProof/>
                <w:webHidden/>
              </w:rPr>
              <w:fldChar w:fldCharType="begin"/>
            </w:r>
            <w:r w:rsidR="005D3C01">
              <w:rPr>
                <w:noProof/>
                <w:webHidden/>
              </w:rPr>
              <w:instrText xml:space="preserve"> PAGEREF _Toc174628667 \h </w:instrText>
            </w:r>
            <w:r w:rsidR="005D3C01">
              <w:rPr>
                <w:noProof/>
                <w:webHidden/>
              </w:rPr>
            </w:r>
            <w:r w:rsidR="005D3C01">
              <w:rPr>
                <w:noProof/>
                <w:webHidden/>
              </w:rPr>
              <w:fldChar w:fldCharType="separate"/>
            </w:r>
            <w:r w:rsidR="005D3C01">
              <w:rPr>
                <w:noProof/>
                <w:webHidden/>
              </w:rPr>
              <w:t>70</w:t>
            </w:r>
            <w:r w:rsidR="005D3C01">
              <w:rPr>
                <w:noProof/>
                <w:webHidden/>
              </w:rPr>
              <w:fldChar w:fldCharType="end"/>
            </w:r>
          </w:hyperlink>
        </w:p>
        <w:p w14:paraId="7BC23446" w14:textId="23422062" w:rsidR="005D3C01" w:rsidRDefault="00383541">
          <w:pPr>
            <w:pStyle w:val="TOC2"/>
            <w:rPr>
              <w:rFonts w:eastAsiaTheme="minorEastAsia"/>
              <w:noProof/>
              <w:kern w:val="2"/>
              <w:sz w:val="24"/>
              <w:szCs w:val="24"/>
              <w:lang w:eastAsia="en-NZ"/>
              <w14:ligatures w14:val="standardContextual"/>
            </w:rPr>
          </w:pPr>
          <w:hyperlink w:anchor="_Toc174628668" w:history="1">
            <w:r w:rsidR="005D3C01" w:rsidRPr="008D5196">
              <w:rPr>
                <w:rStyle w:val="Hyperlink"/>
                <w:noProof/>
              </w:rPr>
              <w:t>Preventing conversion practices and affirming takatāpui and Rainbow Māori</w:t>
            </w:r>
            <w:r w:rsidR="005D3C01">
              <w:rPr>
                <w:noProof/>
                <w:webHidden/>
              </w:rPr>
              <w:tab/>
            </w:r>
            <w:r w:rsidR="005D3C01">
              <w:rPr>
                <w:noProof/>
                <w:webHidden/>
              </w:rPr>
              <w:fldChar w:fldCharType="begin"/>
            </w:r>
            <w:r w:rsidR="005D3C01">
              <w:rPr>
                <w:noProof/>
                <w:webHidden/>
              </w:rPr>
              <w:instrText xml:space="preserve"> PAGEREF _Toc174628668 \h </w:instrText>
            </w:r>
            <w:r w:rsidR="005D3C01">
              <w:rPr>
                <w:noProof/>
                <w:webHidden/>
              </w:rPr>
            </w:r>
            <w:r w:rsidR="005D3C01">
              <w:rPr>
                <w:noProof/>
                <w:webHidden/>
              </w:rPr>
              <w:fldChar w:fldCharType="separate"/>
            </w:r>
            <w:r w:rsidR="005D3C01">
              <w:rPr>
                <w:noProof/>
                <w:webHidden/>
              </w:rPr>
              <w:t>72</w:t>
            </w:r>
            <w:r w:rsidR="005D3C01">
              <w:rPr>
                <w:noProof/>
                <w:webHidden/>
              </w:rPr>
              <w:fldChar w:fldCharType="end"/>
            </w:r>
          </w:hyperlink>
        </w:p>
        <w:p w14:paraId="645C6DFE" w14:textId="5B0A27B3" w:rsidR="005D3C01" w:rsidRDefault="00383541">
          <w:pPr>
            <w:pStyle w:val="TOC1"/>
            <w:rPr>
              <w:rFonts w:eastAsiaTheme="minorEastAsia"/>
              <w:b w:val="0"/>
              <w:bCs w:val="0"/>
              <w:kern w:val="2"/>
              <w:sz w:val="24"/>
              <w:szCs w:val="24"/>
              <w:lang w:eastAsia="en-NZ"/>
              <w14:ligatures w14:val="standardContextual"/>
            </w:rPr>
          </w:pPr>
          <w:hyperlink w:anchor="_Toc174628669" w:history="1">
            <w:r w:rsidR="005D3C01" w:rsidRPr="008D5196">
              <w:rPr>
                <w:rStyle w:val="Hyperlink"/>
              </w:rPr>
              <w:t>7.</w:t>
            </w:r>
            <w:r w:rsidR="005D3C01">
              <w:rPr>
                <w:rFonts w:eastAsiaTheme="minorEastAsia"/>
                <w:b w:val="0"/>
                <w:bCs w:val="0"/>
                <w:kern w:val="2"/>
                <w:sz w:val="24"/>
                <w:szCs w:val="24"/>
                <w:lang w:eastAsia="en-NZ"/>
                <w14:ligatures w14:val="standardContextual"/>
              </w:rPr>
              <w:tab/>
            </w:r>
            <w:r w:rsidR="005D3C01" w:rsidRPr="008D5196">
              <w:rPr>
                <w:rStyle w:val="Hyperlink"/>
              </w:rPr>
              <w:t>Highlighting experiences of conversion practices in under-represented communities</w:t>
            </w:r>
            <w:r w:rsidR="005D3C01">
              <w:rPr>
                <w:webHidden/>
              </w:rPr>
              <w:tab/>
            </w:r>
            <w:r w:rsidR="005D3C01">
              <w:rPr>
                <w:webHidden/>
              </w:rPr>
              <w:fldChar w:fldCharType="begin"/>
            </w:r>
            <w:r w:rsidR="005D3C01">
              <w:rPr>
                <w:webHidden/>
              </w:rPr>
              <w:instrText xml:space="preserve"> PAGEREF _Toc174628669 \h </w:instrText>
            </w:r>
            <w:r w:rsidR="005D3C01">
              <w:rPr>
                <w:webHidden/>
              </w:rPr>
            </w:r>
            <w:r w:rsidR="005D3C01">
              <w:rPr>
                <w:webHidden/>
              </w:rPr>
              <w:fldChar w:fldCharType="separate"/>
            </w:r>
            <w:r w:rsidR="005D3C01">
              <w:rPr>
                <w:webHidden/>
              </w:rPr>
              <w:t>74</w:t>
            </w:r>
            <w:r w:rsidR="005D3C01">
              <w:rPr>
                <w:webHidden/>
              </w:rPr>
              <w:fldChar w:fldCharType="end"/>
            </w:r>
          </w:hyperlink>
        </w:p>
        <w:p w14:paraId="48F4A02F" w14:textId="1A8497B1" w:rsidR="005D3C01" w:rsidRDefault="00383541">
          <w:pPr>
            <w:pStyle w:val="TOC2"/>
            <w:rPr>
              <w:rFonts w:eastAsiaTheme="minorEastAsia"/>
              <w:noProof/>
              <w:kern w:val="2"/>
              <w:sz w:val="24"/>
              <w:szCs w:val="24"/>
              <w:lang w:eastAsia="en-NZ"/>
              <w14:ligatures w14:val="standardContextual"/>
            </w:rPr>
          </w:pPr>
          <w:hyperlink w:anchor="_Toc174628670" w:history="1">
            <w:r w:rsidR="005D3C01" w:rsidRPr="008D5196">
              <w:rPr>
                <w:rStyle w:val="Hyperlink"/>
                <w:noProof/>
              </w:rPr>
              <w:t>Pacific Peoples’ experiences of conversion practices</w:t>
            </w:r>
            <w:r w:rsidR="005D3C01">
              <w:rPr>
                <w:noProof/>
                <w:webHidden/>
              </w:rPr>
              <w:tab/>
            </w:r>
            <w:r w:rsidR="005D3C01">
              <w:rPr>
                <w:noProof/>
                <w:webHidden/>
              </w:rPr>
              <w:fldChar w:fldCharType="begin"/>
            </w:r>
            <w:r w:rsidR="005D3C01">
              <w:rPr>
                <w:noProof/>
                <w:webHidden/>
              </w:rPr>
              <w:instrText xml:space="preserve"> PAGEREF _Toc174628670 \h </w:instrText>
            </w:r>
            <w:r w:rsidR="005D3C01">
              <w:rPr>
                <w:noProof/>
                <w:webHidden/>
              </w:rPr>
            </w:r>
            <w:r w:rsidR="005D3C01">
              <w:rPr>
                <w:noProof/>
                <w:webHidden/>
              </w:rPr>
              <w:fldChar w:fldCharType="separate"/>
            </w:r>
            <w:r w:rsidR="005D3C01">
              <w:rPr>
                <w:noProof/>
                <w:webHidden/>
              </w:rPr>
              <w:t>74</w:t>
            </w:r>
            <w:r w:rsidR="005D3C01">
              <w:rPr>
                <w:noProof/>
                <w:webHidden/>
              </w:rPr>
              <w:fldChar w:fldCharType="end"/>
            </w:r>
          </w:hyperlink>
        </w:p>
        <w:p w14:paraId="6BB20F07" w14:textId="2F5CCA76" w:rsidR="005D3C01" w:rsidRDefault="00383541">
          <w:pPr>
            <w:pStyle w:val="TOC3"/>
            <w:rPr>
              <w:rFonts w:eastAsiaTheme="minorEastAsia"/>
              <w:noProof/>
              <w:kern w:val="2"/>
              <w:sz w:val="24"/>
              <w:szCs w:val="24"/>
              <w:lang w:eastAsia="en-NZ"/>
              <w14:ligatures w14:val="standardContextual"/>
            </w:rPr>
          </w:pPr>
          <w:hyperlink w:anchor="_Toc174628671" w:history="1">
            <w:r w:rsidR="005D3C01" w:rsidRPr="008D5196">
              <w:rPr>
                <w:rStyle w:val="Hyperlink"/>
                <w:noProof/>
              </w:rPr>
              <w:t>The diverse diaspora and homeland connections</w:t>
            </w:r>
            <w:r w:rsidR="005D3C01">
              <w:rPr>
                <w:noProof/>
                <w:webHidden/>
              </w:rPr>
              <w:tab/>
            </w:r>
            <w:r w:rsidR="005D3C01">
              <w:rPr>
                <w:noProof/>
                <w:webHidden/>
              </w:rPr>
              <w:fldChar w:fldCharType="begin"/>
            </w:r>
            <w:r w:rsidR="005D3C01">
              <w:rPr>
                <w:noProof/>
                <w:webHidden/>
              </w:rPr>
              <w:instrText xml:space="preserve"> PAGEREF _Toc174628671 \h </w:instrText>
            </w:r>
            <w:r w:rsidR="005D3C01">
              <w:rPr>
                <w:noProof/>
                <w:webHidden/>
              </w:rPr>
            </w:r>
            <w:r w:rsidR="005D3C01">
              <w:rPr>
                <w:noProof/>
                <w:webHidden/>
              </w:rPr>
              <w:fldChar w:fldCharType="separate"/>
            </w:r>
            <w:r w:rsidR="005D3C01">
              <w:rPr>
                <w:noProof/>
                <w:webHidden/>
              </w:rPr>
              <w:t>74</w:t>
            </w:r>
            <w:r w:rsidR="005D3C01">
              <w:rPr>
                <w:noProof/>
                <w:webHidden/>
              </w:rPr>
              <w:fldChar w:fldCharType="end"/>
            </w:r>
          </w:hyperlink>
        </w:p>
        <w:p w14:paraId="28F76539" w14:textId="78D42CA9" w:rsidR="005D3C01" w:rsidRDefault="00383541">
          <w:pPr>
            <w:pStyle w:val="TOC3"/>
            <w:rPr>
              <w:rFonts w:eastAsiaTheme="minorEastAsia"/>
              <w:noProof/>
              <w:kern w:val="2"/>
              <w:sz w:val="24"/>
              <w:szCs w:val="24"/>
              <w:lang w:eastAsia="en-NZ"/>
              <w14:ligatures w14:val="standardContextual"/>
            </w:rPr>
          </w:pPr>
          <w:hyperlink w:anchor="_Toc174628672" w:history="1">
            <w:r w:rsidR="005D3C01" w:rsidRPr="008D5196">
              <w:rPr>
                <w:rStyle w:val="Hyperlink"/>
                <w:noProof/>
              </w:rPr>
              <w:t>Colonisation and influence of missionaries</w:t>
            </w:r>
            <w:r w:rsidR="005D3C01">
              <w:rPr>
                <w:noProof/>
                <w:webHidden/>
              </w:rPr>
              <w:tab/>
            </w:r>
            <w:r w:rsidR="005D3C01">
              <w:rPr>
                <w:noProof/>
                <w:webHidden/>
              </w:rPr>
              <w:fldChar w:fldCharType="begin"/>
            </w:r>
            <w:r w:rsidR="005D3C01">
              <w:rPr>
                <w:noProof/>
                <w:webHidden/>
              </w:rPr>
              <w:instrText xml:space="preserve"> PAGEREF _Toc174628672 \h </w:instrText>
            </w:r>
            <w:r w:rsidR="005D3C01">
              <w:rPr>
                <w:noProof/>
                <w:webHidden/>
              </w:rPr>
            </w:r>
            <w:r w:rsidR="005D3C01">
              <w:rPr>
                <w:noProof/>
                <w:webHidden/>
              </w:rPr>
              <w:fldChar w:fldCharType="separate"/>
            </w:r>
            <w:r w:rsidR="005D3C01">
              <w:rPr>
                <w:noProof/>
                <w:webHidden/>
              </w:rPr>
              <w:t>76</w:t>
            </w:r>
            <w:r w:rsidR="005D3C01">
              <w:rPr>
                <w:noProof/>
                <w:webHidden/>
              </w:rPr>
              <w:fldChar w:fldCharType="end"/>
            </w:r>
          </w:hyperlink>
        </w:p>
        <w:p w14:paraId="35F301EA" w14:textId="2E018D40" w:rsidR="005D3C01" w:rsidRDefault="00383541">
          <w:pPr>
            <w:pStyle w:val="TOC3"/>
            <w:rPr>
              <w:rFonts w:eastAsiaTheme="minorEastAsia"/>
              <w:noProof/>
              <w:kern w:val="2"/>
              <w:sz w:val="24"/>
              <w:szCs w:val="24"/>
              <w:lang w:eastAsia="en-NZ"/>
              <w14:ligatures w14:val="standardContextual"/>
            </w:rPr>
          </w:pPr>
          <w:hyperlink w:anchor="_Toc174628673" w:history="1">
            <w:r w:rsidR="005D3C01" w:rsidRPr="008D5196">
              <w:rPr>
                <w:rStyle w:val="Hyperlink"/>
                <w:noProof/>
              </w:rPr>
              <w:t>The role of the church in contemporary Pacific communities</w:t>
            </w:r>
            <w:r w:rsidR="005D3C01">
              <w:rPr>
                <w:noProof/>
                <w:webHidden/>
              </w:rPr>
              <w:tab/>
            </w:r>
            <w:r w:rsidR="005D3C01">
              <w:rPr>
                <w:noProof/>
                <w:webHidden/>
              </w:rPr>
              <w:fldChar w:fldCharType="begin"/>
            </w:r>
            <w:r w:rsidR="005D3C01">
              <w:rPr>
                <w:noProof/>
                <w:webHidden/>
              </w:rPr>
              <w:instrText xml:space="preserve"> PAGEREF _Toc174628673 \h </w:instrText>
            </w:r>
            <w:r w:rsidR="005D3C01">
              <w:rPr>
                <w:noProof/>
                <w:webHidden/>
              </w:rPr>
            </w:r>
            <w:r w:rsidR="005D3C01">
              <w:rPr>
                <w:noProof/>
                <w:webHidden/>
              </w:rPr>
              <w:fldChar w:fldCharType="separate"/>
            </w:r>
            <w:r w:rsidR="005D3C01">
              <w:rPr>
                <w:noProof/>
                <w:webHidden/>
              </w:rPr>
              <w:t>77</w:t>
            </w:r>
            <w:r w:rsidR="005D3C01">
              <w:rPr>
                <w:noProof/>
                <w:webHidden/>
              </w:rPr>
              <w:fldChar w:fldCharType="end"/>
            </w:r>
          </w:hyperlink>
        </w:p>
        <w:p w14:paraId="469D4F6A" w14:textId="7046CE2C" w:rsidR="005D3C01" w:rsidRDefault="00383541">
          <w:pPr>
            <w:pStyle w:val="TOC3"/>
            <w:rPr>
              <w:rFonts w:eastAsiaTheme="minorEastAsia"/>
              <w:noProof/>
              <w:kern w:val="2"/>
              <w:sz w:val="24"/>
              <w:szCs w:val="24"/>
              <w:lang w:eastAsia="en-NZ"/>
              <w14:ligatures w14:val="standardContextual"/>
            </w:rPr>
          </w:pPr>
          <w:hyperlink w:anchor="_Toc174628674" w:history="1">
            <w:r w:rsidR="005D3C01" w:rsidRPr="008D5196">
              <w:rPr>
                <w:rStyle w:val="Hyperlink"/>
                <w:noProof/>
              </w:rPr>
              <w:t>What the data tell us about Pacific peoples’ experiences of conversion practices</w:t>
            </w:r>
            <w:r w:rsidR="005D3C01">
              <w:rPr>
                <w:noProof/>
                <w:webHidden/>
              </w:rPr>
              <w:tab/>
            </w:r>
            <w:r w:rsidR="005D3C01">
              <w:rPr>
                <w:noProof/>
                <w:webHidden/>
              </w:rPr>
              <w:fldChar w:fldCharType="begin"/>
            </w:r>
            <w:r w:rsidR="005D3C01">
              <w:rPr>
                <w:noProof/>
                <w:webHidden/>
              </w:rPr>
              <w:instrText xml:space="preserve"> PAGEREF _Toc174628674 \h </w:instrText>
            </w:r>
            <w:r w:rsidR="005D3C01">
              <w:rPr>
                <w:noProof/>
                <w:webHidden/>
              </w:rPr>
            </w:r>
            <w:r w:rsidR="005D3C01">
              <w:rPr>
                <w:noProof/>
                <w:webHidden/>
              </w:rPr>
              <w:fldChar w:fldCharType="separate"/>
            </w:r>
            <w:r w:rsidR="005D3C01">
              <w:rPr>
                <w:noProof/>
                <w:webHidden/>
              </w:rPr>
              <w:t>78</w:t>
            </w:r>
            <w:r w:rsidR="005D3C01">
              <w:rPr>
                <w:noProof/>
                <w:webHidden/>
              </w:rPr>
              <w:fldChar w:fldCharType="end"/>
            </w:r>
          </w:hyperlink>
        </w:p>
        <w:p w14:paraId="1BFC7472" w14:textId="42A996C1" w:rsidR="005D3C01" w:rsidRDefault="00383541">
          <w:pPr>
            <w:pStyle w:val="TOC3"/>
            <w:rPr>
              <w:rFonts w:eastAsiaTheme="minorEastAsia"/>
              <w:noProof/>
              <w:kern w:val="2"/>
              <w:sz w:val="24"/>
              <w:szCs w:val="24"/>
              <w:lang w:eastAsia="en-NZ"/>
              <w14:ligatures w14:val="standardContextual"/>
            </w:rPr>
          </w:pPr>
          <w:hyperlink w:anchor="_Toc174628675" w:history="1">
            <w:r w:rsidR="005D3C01" w:rsidRPr="008D5196">
              <w:rPr>
                <w:rStyle w:val="Hyperlink"/>
                <w:noProof/>
              </w:rPr>
              <w:t>How conversion practices appear in Pacific communities within Aotearoa</w:t>
            </w:r>
            <w:r w:rsidR="005D3C01">
              <w:rPr>
                <w:noProof/>
                <w:webHidden/>
              </w:rPr>
              <w:tab/>
            </w:r>
            <w:r w:rsidR="005D3C01">
              <w:rPr>
                <w:noProof/>
                <w:webHidden/>
              </w:rPr>
              <w:fldChar w:fldCharType="begin"/>
            </w:r>
            <w:r w:rsidR="005D3C01">
              <w:rPr>
                <w:noProof/>
                <w:webHidden/>
              </w:rPr>
              <w:instrText xml:space="preserve"> PAGEREF _Toc174628675 \h </w:instrText>
            </w:r>
            <w:r w:rsidR="005D3C01">
              <w:rPr>
                <w:noProof/>
                <w:webHidden/>
              </w:rPr>
            </w:r>
            <w:r w:rsidR="005D3C01">
              <w:rPr>
                <w:noProof/>
                <w:webHidden/>
              </w:rPr>
              <w:fldChar w:fldCharType="separate"/>
            </w:r>
            <w:r w:rsidR="005D3C01">
              <w:rPr>
                <w:noProof/>
                <w:webHidden/>
              </w:rPr>
              <w:t>80</w:t>
            </w:r>
            <w:r w:rsidR="005D3C01">
              <w:rPr>
                <w:noProof/>
                <w:webHidden/>
              </w:rPr>
              <w:fldChar w:fldCharType="end"/>
            </w:r>
          </w:hyperlink>
        </w:p>
        <w:p w14:paraId="3F0BF236" w14:textId="37818958" w:rsidR="005D3C01" w:rsidRDefault="00383541">
          <w:pPr>
            <w:pStyle w:val="TOC3"/>
            <w:rPr>
              <w:rFonts w:eastAsiaTheme="minorEastAsia"/>
              <w:noProof/>
              <w:kern w:val="2"/>
              <w:sz w:val="24"/>
              <w:szCs w:val="24"/>
              <w:lang w:eastAsia="en-NZ"/>
              <w14:ligatures w14:val="standardContextual"/>
            </w:rPr>
          </w:pPr>
          <w:hyperlink w:anchor="_Toc174628676" w:history="1">
            <w:r w:rsidR="005D3C01" w:rsidRPr="008D5196">
              <w:rPr>
                <w:rStyle w:val="Hyperlink"/>
                <w:noProof/>
              </w:rPr>
              <w:t>Preventing conversion practices and affirming Rainbow and MVPFAFF+ Pacific peoples</w:t>
            </w:r>
            <w:r w:rsidR="005D3C01">
              <w:rPr>
                <w:noProof/>
                <w:webHidden/>
              </w:rPr>
              <w:tab/>
            </w:r>
            <w:r w:rsidR="005D3C01">
              <w:rPr>
                <w:noProof/>
                <w:webHidden/>
              </w:rPr>
              <w:fldChar w:fldCharType="begin"/>
            </w:r>
            <w:r w:rsidR="005D3C01">
              <w:rPr>
                <w:noProof/>
                <w:webHidden/>
              </w:rPr>
              <w:instrText xml:space="preserve"> PAGEREF _Toc174628676 \h </w:instrText>
            </w:r>
            <w:r w:rsidR="005D3C01">
              <w:rPr>
                <w:noProof/>
                <w:webHidden/>
              </w:rPr>
            </w:r>
            <w:r w:rsidR="005D3C01">
              <w:rPr>
                <w:noProof/>
                <w:webHidden/>
              </w:rPr>
              <w:fldChar w:fldCharType="separate"/>
            </w:r>
            <w:r w:rsidR="005D3C01">
              <w:rPr>
                <w:noProof/>
                <w:webHidden/>
              </w:rPr>
              <w:t>80</w:t>
            </w:r>
            <w:r w:rsidR="005D3C01">
              <w:rPr>
                <w:noProof/>
                <w:webHidden/>
              </w:rPr>
              <w:fldChar w:fldCharType="end"/>
            </w:r>
          </w:hyperlink>
        </w:p>
        <w:p w14:paraId="4857CF51" w14:textId="04A097D4" w:rsidR="005D3C01" w:rsidRDefault="00383541">
          <w:pPr>
            <w:pStyle w:val="TOC2"/>
            <w:rPr>
              <w:rFonts w:eastAsiaTheme="minorEastAsia"/>
              <w:noProof/>
              <w:kern w:val="2"/>
              <w:sz w:val="24"/>
              <w:szCs w:val="24"/>
              <w:lang w:eastAsia="en-NZ"/>
              <w14:ligatures w14:val="standardContextual"/>
            </w:rPr>
          </w:pPr>
          <w:hyperlink w:anchor="_Toc174628677" w:history="1">
            <w:r w:rsidR="005D3C01" w:rsidRPr="008D5196">
              <w:rPr>
                <w:rStyle w:val="Hyperlink"/>
                <w:noProof/>
              </w:rPr>
              <w:t>Ethnic communities’ experience of conversion practices</w:t>
            </w:r>
            <w:r w:rsidR="005D3C01">
              <w:rPr>
                <w:noProof/>
                <w:webHidden/>
              </w:rPr>
              <w:tab/>
            </w:r>
            <w:r w:rsidR="005D3C01">
              <w:rPr>
                <w:noProof/>
                <w:webHidden/>
              </w:rPr>
              <w:fldChar w:fldCharType="begin"/>
            </w:r>
            <w:r w:rsidR="005D3C01">
              <w:rPr>
                <w:noProof/>
                <w:webHidden/>
              </w:rPr>
              <w:instrText xml:space="preserve"> PAGEREF _Toc174628677 \h </w:instrText>
            </w:r>
            <w:r w:rsidR="005D3C01">
              <w:rPr>
                <w:noProof/>
                <w:webHidden/>
              </w:rPr>
            </w:r>
            <w:r w:rsidR="005D3C01">
              <w:rPr>
                <w:noProof/>
                <w:webHidden/>
              </w:rPr>
              <w:fldChar w:fldCharType="separate"/>
            </w:r>
            <w:r w:rsidR="005D3C01">
              <w:rPr>
                <w:noProof/>
                <w:webHidden/>
              </w:rPr>
              <w:t>81</w:t>
            </w:r>
            <w:r w:rsidR="005D3C01">
              <w:rPr>
                <w:noProof/>
                <w:webHidden/>
              </w:rPr>
              <w:fldChar w:fldCharType="end"/>
            </w:r>
          </w:hyperlink>
        </w:p>
        <w:p w14:paraId="6BB93E20" w14:textId="66CA0861" w:rsidR="005D3C01" w:rsidRDefault="00383541">
          <w:pPr>
            <w:pStyle w:val="TOC3"/>
            <w:rPr>
              <w:rFonts w:eastAsiaTheme="minorEastAsia"/>
              <w:noProof/>
              <w:kern w:val="2"/>
              <w:sz w:val="24"/>
              <w:szCs w:val="24"/>
              <w:lang w:eastAsia="en-NZ"/>
              <w14:ligatures w14:val="standardContextual"/>
            </w:rPr>
          </w:pPr>
          <w:hyperlink w:anchor="_Toc174628678" w:history="1">
            <w:r w:rsidR="005D3C01" w:rsidRPr="008D5196">
              <w:rPr>
                <w:rStyle w:val="Hyperlink"/>
                <w:noProof/>
              </w:rPr>
              <w:t>Data about ethnic communities in Aotearoa</w:t>
            </w:r>
            <w:r w:rsidR="005D3C01">
              <w:rPr>
                <w:noProof/>
                <w:webHidden/>
              </w:rPr>
              <w:tab/>
            </w:r>
            <w:r w:rsidR="005D3C01">
              <w:rPr>
                <w:noProof/>
                <w:webHidden/>
              </w:rPr>
              <w:fldChar w:fldCharType="begin"/>
            </w:r>
            <w:r w:rsidR="005D3C01">
              <w:rPr>
                <w:noProof/>
                <w:webHidden/>
              </w:rPr>
              <w:instrText xml:space="preserve"> PAGEREF _Toc174628678 \h </w:instrText>
            </w:r>
            <w:r w:rsidR="005D3C01">
              <w:rPr>
                <w:noProof/>
                <w:webHidden/>
              </w:rPr>
            </w:r>
            <w:r w:rsidR="005D3C01">
              <w:rPr>
                <w:noProof/>
                <w:webHidden/>
              </w:rPr>
              <w:fldChar w:fldCharType="separate"/>
            </w:r>
            <w:r w:rsidR="005D3C01">
              <w:rPr>
                <w:noProof/>
                <w:webHidden/>
              </w:rPr>
              <w:t>82</w:t>
            </w:r>
            <w:r w:rsidR="005D3C01">
              <w:rPr>
                <w:noProof/>
                <w:webHidden/>
              </w:rPr>
              <w:fldChar w:fldCharType="end"/>
            </w:r>
          </w:hyperlink>
        </w:p>
        <w:p w14:paraId="3C913A73" w14:textId="6334485B" w:rsidR="005D3C01" w:rsidRDefault="00383541">
          <w:pPr>
            <w:pStyle w:val="TOC3"/>
            <w:rPr>
              <w:rFonts w:eastAsiaTheme="minorEastAsia"/>
              <w:noProof/>
              <w:kern w:val="2"/>
              <w:sz w:val="24"/>
              <w:szCs w:val="24"/>
              <w:lang w:eastAsia="en-NZ"/>
              <w14:ligatures w14:val="standardContextual"/>
            </w:rPr>
          </w:pPr>
          <w:hyperlink w:anchor="_Toc174628679" w:history="1">
            <w:r w:rsidR="005D3C01" w:rsidRPr="008D5196">
              <w:rPr>
                <w:rStyle w:val="Hyperlink"/>
                <w:noProof/>
              </w:rPr>
              <w:t>Rainbow communities as Pākehā-dominated</w:t>
            </w:r>
            <w:r w:rsidR="005D3C01">
              <w:rPr>
                <w:noProof/>
                <w:webHidden/>
              </w:rPr>
              <w:tab/>
            </w:r>
            <w:r w:rsidR="005D3C01">
              <w:rPr>
                <w:noProof/>
                <w:webHidden/>
              </w:rPr>
              <w:fldChar w:fldCharType="begin"/>
            </w:r>
            <w:r w:rsidR="005D3C01">
              <w:rPr>
                <w:noProof/>
                <w:webHidden/>
              </w:rPr>
              <w:instrText xml:space="preserve"> PAGEREF _Toc174628679 \h </w:instrText>
            </w:r>
            <w:r w:rsidR="005D3C01">
              <w:rPr>
                <w:noProof/>
                <w:webHidden/>
              </w:rPr>
            </w:r>
            <w:r w:rsidR="005D3C01">
              <w:rPr>
                <w:noProof/>
                <w:webHidden/>
              </w:rPr>
              <w:fldChar w:fldCharType="separate"/>
            </w:r>
            <w:r w:rsidR="005D3C01">
              <w:rPr>
                <w:noProof/>
                <w:webHidden/>
              </w:rPr>
              <w:t>84</w:t>
            </w:r>
            <w:r w:rsidR="005D3C01">
              <w:rPr>
                <w:noProof/>
                <w:webHidden/>
              </w:rPr>
              <w:fldChar w:fldCharType="end"/>
            </w:r>
          </w:hyperlink>
        </w:p>
        <w:p w14:paraId="2A7C2C1D" w14:textId="466FF532" w:rsidR="005D3C01" w:rsidRDefault="00383541">
          <w:pPr>
            <w:pStyle w:val="TOC3"/>
            <w:rPr>
              <w:rFonts w:eastAsiaTheme="minorEastAsia"/>
              <w:noProof/>
              <w:kern w:val="2"/>
              <w:sz w:val="24"/>
              <w:szCs w:val="24"/>
              <w:lang w:eastAsia="en-NZ"/>
              <w14:ligatures w14:val="standardContextual"/>
            </w:rPr>
          </w:pPr>
          <w:hyperlink w:anchor="_Toc174628680" w:history="1">
            <w:r w:rsidR="005D3C01" w:rsidRPr="008D5196">
              <w:rPr>
                <w:rStyle w:val="Hyperlink"/>
                <w:noProof/>
              </w:rPr>
              <w:t>Rainbow identities and minority ethnic communities</w:t>
            </w:r>
            <w:r w:rsidR="005D3C01">
              <w:rPr>
                <w:noProof/>
                <w:webHidden/>
              </w:rPr>
              <w:tab/>
            </w:r>
            <w:r w:rsidR="005D3C01">
              <w:rPr>
                <w:noProof/>
                <w:webHidden/>
              </w:rPr>
              <w:fldChar w:fldCharType="begin"/>
            </w:r>
            <w:r w:rsidR="005D3C01">
              <w:rPr>
                <w:noProof/>
                <w:webHidden/>
              </w:rPr>
              <w:instrText xml:space="preserve"> PAGEREF _Toc174628680 \h </w:instrText>
            </w:r>
            <w:r w:rsidR="005D3C01">
              <w:rPr>
                <w:noProof/>
                <w:webHidden/>
              </w:rPr>
            </w:r>
            <w:r w:rsidR="005D3C01">
              <w:rPr>
                <w:noProof/>
                <w:webHidden/>
              </w:rPr>
              <w:fldChar w:fldCharType="separate"/>
            </w:r>
            <w:r w:rsidR="005D3C01">
              <w:rPr>
                <w:noProof/>
                <w:webHidden/>
              </w:rPr>
              <w:t>84</w:t>
            </w:r>
            <w:r w:rsidR="005D3C01">
              <w:rPr>
                <w:noProof/>
                <w:webHidden/>
              </w:rPr>
              <w:fldChar w:fldCharType="end"/>
            </w:r>
          </w:hyperlink>
        </w:p>
        <w:p w14:paraId="78B5224F" w14:textId="4D1DB749" w:rsidR="005D3C01" w:rsidRDefault="00383541">
          <w:pPr>
            <w:pStyle w:val="TOC3"/>
            <w:rPr>
              <w:rFonts w:eastAsiaTheme="minorEastAsia"/>
              <w:noProof/>
              <w:kern w:val="2"/>
              <w:sz w:val="24"/>
              <w:szCs w:val="24"/>
              <w:lang w:eastAsia="en-NZ"/>
              <w14:ligatures w14:val="standardContextual"/>
            </w:rPr>
          </w:pPr>
          <w:hyperlink w:anchor="_Toc174628681" w:history="1">
            <w:r w:rsidR="005D3C01" w:rsidRPr="008D5196">
              <w:rPr>
                <w:rStyle w:val="Hyperlink"/>
                <w:noProof/>
              </w:rPr>
              <w:t>Legacies of colonisation within ethnic communities</w:t>
            </w:r>
            <w:r w:rsidR="005D3C01">
              <w:rPr>
                <w:noProof/>
                <w:webHidden/>
              </w:rPr>
              <w:tab/>
            </w:r>
            <w:r w:rsidR="005D3C01">
              <w:rPr>
                <w:noProof/>
                <w:webHidden/>
              </w:rPr>
              <w:fldChar w:fldCharType="begin"/>
            </w:r>
            <w:r w:rsidR="005D3C01">
              <w:rPr>
                <w:noProof/>
                <w:webHidden/>
              </w:rPr>
              <w:instrText xml:space="preserve"> PAGEREF _Toc174628681 \h </w:instrText>
            </w:r>
            <w:r w:rsidR="005D3C01">
              <w:rPr>
                <w:noProof/>
                <w:webHidden/>
              </w:rPr>
            </w:r>
            <w:r w:rsidR="005D3C01">
              <w:rPr>
                <w:noProof/>
                <w:webHidden/>
              </w:rPr>
              <w:fldChar w:fldCharType="separate"/>
            </w:r>
            <w:r w:rsidR="005D3C01">
              <w:rPr>
                <w:noProof/>
                <w:webHidden/>
              </w:rPr>
              <w:t>87</w:t>
            </w:r>
            <w:r w:rsidR="005D3C01">
              <w:rPr>
                <w:noProof/>
                <w:webHidden/>
              </w:rPr>
              <w:fldChar w:fldCharType="end"/>
            </w:r>
          </w:hyperlink>
        </w:p>
        <w:p w14:paraId="57F21F5E" w14:textId="62798B30" w:rsidR="005D3C01" w:rsidRDefault="00383541">
          <w:pPr>
            <w:pStyle w:val="TOC3"/>
            <w:rPr>
              <w:rFonts w:eastAsiaTheme="minorEastAsia"/>
              <w:noProof/>
              <w:kern w:val="2"/>
              <w:sz w:val="24"/>
              <w:szCs w:val="24"/>
              <w:lang w:eastAsia="en-NZ"/>
              <w14:ligatures w14:val="standardContextual"/>
            </w:rPr>
          </w:pPr>
          <w:hyperlink w:anchor="_Toc174628682" w:history="1">
            <w:r w:rsidR="005D3C01" w:rsidRPr="008D5196">
              <w:rPr>
                <w:rStyle w:val="Hyperlink"/>
                <w:noProof/>
              </w:rPr>
              <w:t>Ethnic communities and conversion practices</w:t>
            </w:r>
            <w:r w:rsidR="005D3C01">
              <w:rPr>
                <w:noProof/>
                <w:webHidden/>
              </w:rPr>
              <w:tab/>
            </w:r>
            <w:r w:rsidR="005D3C01">
              <w:rPr>
                <w:noProof/>
                <w:webHidden/>
              </w:rPr>
              <w:fldChar w:fldCharType="begin"/>
            </w:r>
            <w:r w:rsidR="005D3C01">
              <w:rPr>
                <w:noProof/>
                <w:webHidden/>
              </w:rPr>
              <w:instrText xml:space="preserve"> PAGEREF _Toc174628682 \h </w:instrText>
            </w:r>
            <w:r w:rsidR="005D3C01">
              <w:rPr>
                <w:noProof/>
                <w:webHidden/>
              </w:rPr>
            </w:r>
            <w:r w:rsidR="005D3C01">
              <w:rPr>
                <w:noProof/>
                <w:webHidden/>
              </w:rPr>
              <w:fldChar w:fldCharType="separate"/>
            </w:r>
            <w:r w:rsidR="005D3C01">
              <w:rPr>
                <w:noProof/>
                <w:webHidden/>
              </w:rPr>
              <w:t>88</w:t>
            </w:r>
            <w:r w:rsidR="005D3C01">
              <w:rPr>
                <w:noProof/>
                <w:webHidden/>
              </w:rPr>
              <w:fldChar w:fldCharType="end"/>
            </w:r>
          </w:hyperlink>
        </w:p>
        <w:p w14:paraId="7EAA3DEC" w14:textId="4CCE4A41" w:rsidR="005D3C01" w:rsidRDefault="00383541">
          <w:pPr>
            <w:pStyle w:val="TOC3"/>
            <w:rPr>
              <w:rFonts w:eastAsiaTheme="minorEastAsia"/>
              <w:noProof/>
              <w:kern w:val="2"/>
              <w:sz w:val="24"/>
              <w:szCs w:val="24"/>
              <w:lang w:eastAsia="en-NZ"/>
              <w14:ligatures w14:val="standardContextual"/>
            </w:rPr>
          </w:pPr>
          <w:hyperlink w:anchor="_Toc174628683" w:history="1">
            <w:r w:rsidR="005D3C01" w:rsidRPr="008D5196">
              <w:rPr>
                <w:rStyle w:val="Hyperlink"/>
                <w:noProof/>
              </w:rPr>
              <w:t>Other examples of conversion practices in ethnic communities</w:t>
            </w:r>
            <w:r w:rsidR="005D3C01">
              <w:rPr>
                <w:noProof/>
                <w:webHidden/>
              </w:rPr>
              <w:tab/>
            </w:r>
            <w:r w:rsidR="005D3C01">
              <w:rPr>
                <w:noProof/>
                <w:webHidden/>
              </w:rPr>
              <w:fldChar w:fldCharType="begin"/>
            </w:r>
            <w:r w:rsidR="005D3C01">
              <w:rPr>
                <w:noProof/>
                <w:webHidden/>
              </w:rPr>
              <w:instrText xml:space="preserve"> PAGEREF _Toc174628683 \h </w:instrText>
            </w:r>
            <w:r w:rsidR="005D3C01">
              <w:rPr>
                <w:noProof/>
                <w:webHidden/>
              </w:rPr>
            </w:r>
            <w:r w:rsidR="005D3C01">
              <w:rPr>
                <w:noProof/>
                <w:webHidden/>
              </w:rPr>
              <w:fldChar w:fldCharType="separate"/>
            </w:r>
            <w:r w:rsidR="005D3C01">
              <w:rPr>
                <w:noProof/>
                <w:webHidden/>
              </w:rPr>
              <w:t>88</w:t>
            </w:r>
            <w:r w:rsidR="005D3C01">
              <w:rPr>
                <w:noProof/>
                <w:webHidden/>
              </w:rPr>
              <w:fldChar w:fldCharType="end"/>
            </w:r>
          </w:hyperlink>
        </w:p>
        <w:p w14:paraId="641692B3" w14:textId="33A66FD9" w:rsidR="005D3C01" w:rsidRDefault="00383541">
          <w:pPr>
            <w:pStyle w:val="TOC3"/>
            <w:rPr>
              <w:rFonts w:eastAsiaTheme="minorEastAsia"/>
              <w:noProof/>
              <w:kern w:val="2"/>
              <w:sz w:val="24"/>
              <w:szCs w:val="24"/>
              <w:lang w:eastAsia="en-NZ"/>
              <w14:ligatures w14:val="standardContextual"/>
            </w:rPr>
          </w:pPr>
          <w:hyperlink w:anchor="_Toc174628684" w:history="1">
            <w:r w:rsidR="005D3C01" w:rsidRPr="008D5196">
              <w:rPr>
                <w:rStyle w:val="Hyperlink"/>
                <w:noProof/>
              </w:rPr>
              <w:t>Barriers to support services</w:t>
            </w:r>
            <w:r w:rsidR="005D3C01">
              <w:rPr>
                <w:noProof/>
                <w:webHidden/>
              </w:rPr>
              <w:tab/>
            </w:r>
            <w:r w:rsidR="005D3C01">
              <w:rPr>
                <w:noProof/>
                <w:webHidden/>
              </w:rPr>
              <w:fldChar w:fldCharType="begin"/>
            </w:r>
            <w:r w:rsidR="005D3C01">
              <w:rPr>
                <w:noProof/>
                <w:webHidden/>
              </w:rPr>
              <w:instrText xml:space="preserve"> PAGEREF _Toc174628684 \h </w:instrText>
            </w:r>
            <w:r w:rsidR="005D3C01">
              <w:rPr>
                <w:noProof/>
                <w:webHidden/>
              </w:rPr>
            </w:r>
            <w:r w:rsidR="005D3C01">
              <w:rPr>
                <w:noProof/>
                <w:webHidden/>
              </w:rPr>
              <w:fldChar w:fldCharType="separate"/>
            </w:r>
            <w:r w:rsidR="005D3C01">
              <w:rPr>
                <w:noProof/>
                <w:webHidden/>
              </w:rPr>
              <w:t>89</w:t>
            </w:r>
            <w:r w:rsidR="005D3C01">
              <w:rPr>
                <w:noProof/>
                <w:webHidden/>
              </w:rPr>
              <w:fldChar w:fldCharType="end"/>
            </w:r>
          </w:hyperlink>
        </w:p>
        <w:p w14:paraId="5106C28E" w14:textId="5D939250" w:rsidR="005D3C01" w:rsidRDefault="00383541">
          <w:pPr>
            <w:pStyle w:val="TOC2"/>
            <w:rPr>
              <w:rFonts w:eastAsiaTheme="minorEastAsia"/>
              <w:noProof/>
              <w:kern w:val="2"/>
              <w:sz w:val="24"/>
              <w:szCs w:val="24"/>
              <w:lang w:eastAsia="en-NZ"/>
              <w14:ligatures w14:val="standardContextual"/>
            </w:rPr>
          </w:pPr>
          <w:hyperlink w:anchor="_Toc174628685" w:history="1">
            <w:r w:rsidR="005D3C01" w:rsidRPr="008D5196">
              <w:rPr>
                <w:rStyle w:val="Hyperlink"/>
                <w:noProof/>
                <w:lang w:eastAsia="en-NZ"/>
              </w:rPr>
              <w:t>Trans peoples’ experiences of conversion practices</w:t>
            </w:r>
            <w:r w:rsidR="005D3C01">
              <w:rPr>
                <w:noProof/>
                <w:webHidden/>
              </w:rPr>
              <w:tab/>
            </w:r>
            <w:r w:rsidR="005D3C01">
              <w:rPr>
                <w:noProof/>
                <w:webHidden/>
              </w:rPr>
              <w:fldChar w:fldCharType="begin"/>
            </w:r>
            <w:r w:rsidR="005D3C01">
              <w:rPr>
                <w:noProof/>
                <w:webHidden/>
              </w:rPr>
              <w:instrText xml:space="preserve"> PAGEREF _Toc174628685 \h </w:instrText>
            </w:r>
            <w:r w:rsidR="005D3C01">
              <w:rPr>
                <w:noProof/>
                <w:webHidden/>
              </w:rPr>
            </w:r>
            <w:r w:rsidR="005D3C01">
              <w:rPr>
                <w:noProof/>
                <w:webHidden/>
              </w:rPr>
              <w:fldChar w:fldCharType="separate"/>
            </w:r>
            <w:r w:rsidR="005D3C01">
              <w:rPr>
                <w:noProof/>
                <w:webHidden/>
              </w:rPr>
              <w:t>90</w:t>
            </w:r>
            <w:r w:rsidR="005D3C01">
              <w:rPr>
                <w:noProof/>
                <w:webHidden/>
              </w:rPr>
              <w:fldChar w:fldCharType="end"/>
            </w:r>
          </w:hyperlink>
        </w:p>
        <w:p w14:paraId="0B62A026" w14:textId="02E4C922" w:rsidR="005D3C01" w:rsidRDefault="00383541">
          <w:pPr>
            <w:pStyle w:val="TOC3"/>
            <w:rPr>
              <w:rFonts w:eastAsiaTheme="minorEastAsia"/>
              <w:noProof/>
              <w:kern w:val="2"/>
              <w:sz w:val="24"/>
              <w:szCs w:val="24"/>
              <w:lang w:eastAsia="en-NZ"/>
              <w14:ligatures w14:val="standardContextual"/>
            </w:rPr>
          </w:pPr>
          <w:hyperlink w:anchor="_Toc174628686" w:history="1">
            <w:r w:rsidR="005D3C01" w:rsidRPr="008D5196">
              <w:rPr>
                <w:rStyle w:val="Hyperlink"/>
                <w:noProof/>
              </w:rPr>
              <w:t>Transgender people</w:t>
            </w:r>
            <w:r w:rsidR="005D3C01">
              <w:rPr>
                <w:noProof/>
                <w:webHidden/>
              </w:rPr>
              <w:tab/>
            </w:r>
            <w:r w:rsidR="005D3C01">
              <w:rPr>
                <w:noProof/>
                <w:webHidden/>
              </w:rPr>
              <w:fldChar w:fldCharType="begin"/>
            </w:r>
            <w:r w:rsidR="005D3C01">
              <w:rPr>
                <w:noProof/>
                <w:webHidden/>
              </w:rPr>
              <w:instrText xml:space="preserve"> PAGEREF _Toc174628686 \h </w:instrText>
            </w:r>
            <w:r w:rsidR="005D3C01">
              <w:rPr>
                <w:noProof/>
                <w:webHidden/>
              </w:rPr>
            </w:r>
            <w:r w:rsidR="005D3C01">
              <w:rPr>
                <w:noProof/>
                <w:webHidden/>
              </w:rPr>
              <w:fldChar w:fldCharType="separate"/>
            </w:r>
            <w:r w:rsidR="005D3C01">
              <w:rPr>
                <w:noProof/>
                <w:webHidden/>
              </w:rPr>
              <w:t>91</w:t>
            </w:r>
            <w:r w:rsidR="005D3C01">
              <w:rPr>
                <w:noProof/>
                <w:webHidden/>
              </w:rPr>
              <w:fldChar w:fldCharType="end"/>
            </w:r>
          </w:hyperlink>
        </w:p>
        <w:p w14:paraId="61A68E1F" w14:textId="1B5A19B4" w:rsidR="005D3C01" w:rsidRDefault="00383541">
          <w:pPr>
            <w:pStyle w:val="TOC3"/>
            <w:rPr>
              <w:rFonts w:eastAsiaTheme="minorEastAsia"/>
              <w:noProof/>
              <w:kern w:val="2"/>
              <w:sz w:val="24"/>
              <w:szCs w:val="24"/>
              <w:lang w:eastAsia="en-NZ"/>
              <w14:ligatures w14:val="standardContextual"/>
            </w:rPr>
          </w:pPr>
          <w:hyperlink w:anchor="_Toc174628687" w:history="1">
            <w:r w:rsidR="005D3C01" w:rsidRPr="008D5196">
              <w:rPr>
                <w:rStyle w:val="Hyperlink"/>
                <w:noProof/>
              </w:rPr>
              <w:t>Data about gender identity-based conversion practices</w:t>
            </w:r>
            <w:r w:rsidR="005D3C01">
              <w:rPr>
                <w:noProof/>
                <w:webHidden/>
              </w:rPr>
              <w:tab/>
            </w:r>
            <w:r w:rsidR="005D3C01">
              <w:rPr>
                <w:noProof/>
                <w:webHidden/>
              </w:rPr>
              <w:fldChar w:fldCharType="begin"/>
            </w:r>
            <w:r w:rsidR="005D3C01">
              <w:rPr>
                <w:noProof/>
                <w:webHidden/>
              </w:rPr>
              <w:instrText xml:space="preserve"> PAGEREF _Toc174628687 \h </w:instrText>
            </w:r>
            <w:r w:rsidR="005D3C01">
              <w:rPr>
                <w:noProof/>
                <w:webHidden/>
              </w:rPr>
            </w:r>
            <w:r w:rsidR="005D3C01">
              <w:rPr>
                <w:noProof/>
                <w:webHidden/>
              </w:rPr>
              <w:fldChar w:fldCharType="separate"/>
            </w:r>
            <w:r w:rsidR="005D3C01">
              <w:rPr>
                <w:noProof/>
                <w:webHidden/>
              </w:rPr>
              <w:t>91</w:t>
            </w:r>
            <w:r w:rsidR="005D3C01">
              <w:rPr>
                <w:noProof/>
                <w:webHidden/>
              </w:rPr>
              <w:fldChar w:fldCharType="end"/>
            </w:r>
          </w:hyperlink>
        </w:p>
        <w:p w14:paraId="4DA71D91" w14:textId="003DF941" w:rsidR="005D3C01" w:rsidRDefault="00383541">
          <w:pPr>
            <w:pStyle w:val="TOC3"/>
            <w:rPr>
              <w:rFonts w:eastAsiaTheme="minorEastAsia"/>
              <w:noProof/>
              <w:kern w:val="2"/>
              <w:sz w:val="24"/>
              <w:szCs w:val="24"/>
              <w:lang w:eastAsia="en-NZ"/>
              <w14:ligatures w14:val="standardContextual"/>
            </w:rPr>
          </w:pPr>
          <w:hyperlink w:anchor="_Toc174628688" w:history="1">
            <w:r w:rsidR="005D3C01" w:rsidRPr="008D5196">
              <w:rPr>
                <w:rStyle w:val="Hyperlink"/>
                <w:noProof/>
              </w:rPr>
              <w:t>What gender identity-based conversion practices look like in Aotearoa</w:t>
            </w:r>
            <w:r w:rsidR="005D3C01">
              <w:rPr>
                <w:noProof/>
                <w:webHidden/>
              </w:rPr>
              <w:tab/>
            </w:r>
            <w:r w:rsidR="005D3C01">
              <w:rPr>
                <w:noProof/>
                <w:webHidden/>
              </w:rPr>
              <w:fldChar w:fldCharType="begin"/>
            </w:r>
            <w:r w:rsidR="005D3C01">
              <w:rPr>
                <w:noProof/>
                <w:webHidden/>
              </w:rPr>
              <w:instrText xml:space="preserve"> PAGEREF _Toc174628688 \h </w:instrText>
            </w:r>
            <w:r w:rsidR="005D3C01">
              <w:rPr>
                <w:noProof/>
                <w:webHidden/>
              </w:rPr>
            </w:r>
            <w:r w:rsidR="005D3C01">
              <w:rPr>
                <w:noProof/>
                <w:webHidden/>
              </w:rPr>
              <w:fldChar w:fldCharType="separate"/>
            </w:r>
            <w:r w:rsidR="005D3C01">
              <w:rPr>
                <w:noProof/>
                <w:webHidden/>
              </w:rPr>
              <w:t>93</w:t>
            </w:r>
            <w:r w:rsidR="005D3C01">
              <w:rPr>
                <w:noProof/>
                <w:webHidden/>
              </w:rPr>
              <w:fldChar w:fldCharType="end"/>
            </w:r>
          </w:hyperlink>
        </w:p>
        <w:p w14:paraId="1F262981" w14:textId="591E1C95" w:rsidR="005D3C01" w:rsidRDefault="00383541">
          <w:pPr>
            <w:pStyle w:val="TOC3"/>
            <w:rPr>
              <w:rFonts w:eastAsiaTheme="minorEastAsia"/>
              <w:noProof/>
              <w:kern w:val="2"/>
              <w:sz w:val="24"/>
              <w:szCs w:val="24"/>
              <w:lang w:eastAsia="en-NZ"/>
              <w14:ligatures w14:val="standardContextual"/>
            </w:rPr>
          </w:pPr>
          <w:hyperlink w:anchor="_Toc174628689" w:history="1">
            <w:r w:rsidR="005D3C01" w:rsidRPr="008D5196">
              <w:rPr>
                <w:rStyle w:val="Hyperlink"/>
                <w:noProof/>
              </w:rPr>
              <w:t>Prevention of gender identity-based conversion practices</w:t>
            </w:r>
            <w:r w:rsidR="005D3C01">
              <w:rPr>
                <w:noProof/>
                <w:webHidden/>
              </w:rPr>
              <w:tab/>
            </w:r>
            <w:r w:rsidR="005D3C01">
              <w:rPr>
                <w:noProof/>
                <w:webHidden/>
              </w:rPr>
              <w:fldChar w:fldCharType="begin"/>
            </w:r>
            <w:r w:rsidR="005D3C01">
              <w:rPr>
                <w:noProof/>
                <w:webHidden/>
              </w:rPr>
              <w:instrText xml:space="preserve"> PAGEREF _Toc174628689 \h </w:instrText>
            </w:r>
            <w:r w:rsidR="005D3C01">
              <w:rPr>
                <w:noProof/>
                <w:webHidden/>
              </w:rPr>
            </w:r>
            <w:r w:rsidR="005D3C01">
              <w:rPr>
                <w:noProof/>
                <w:webHidden/>
              </w:rPr>
              <w:fldChar w:fldCharType="separate"/>
            </w:r>
            <w:r w:rsidR="005D3C01">
              <w:rPr>
                <w:noProof/>
                <w:webHidden/>
              </w:rPr>
              <w:t>94</w:t>
            </w:r>
            <w:r w:rsidR="005D3C01">
              <w:rPr>
                <w:noProof/>
                <w:webHidden/>
              </w:rPr>
              <w:fldChar w:fldCharType="end"/>
            </w:r>
          </w:hyperlink>
        </w:p>
        <w:p w14:paraId="16130DF0" w14:textId="2C63A5CF" w:rsidR="005D3C01" w:rsidRDefault="00383541">
          <w:pPr>
            <w:pStyle w:val="TOC2"/>
            <w:rPr>
              <w:rFonts w:eastAsiaTheme="minorEastAsia"/>
              <w:noProof/>
              <w:kern w:val="2"/>
              <w:sz w:val="24"/>
              <w:szCs w:val="24"/>
              <w:lang w:eastAsia="en-NZ"/>
              <w14:ligatures w14:val="standardContextual"/>
            </w:rPr>
          </w:pPr>
          <w:hyperlink w:anchor="_Toc174628690" w:history="1">
            <w:r w:rsidR="005D3C01" w:rsidRPr="008D5196">
              <w:rPr>
                <w:rStyle w:val="Hyperlink"/>
                <w:noProof/>
              </w:rPr>
              <w:t>Disabled people’s experiences of conversion practices</w:t>
            </w:r>
            <w:r w:rsidR="005D3C01">
              <w:rPr>
                <w:noProof/>
                <w:webHidden/>
              </w:rPr>
              <w:tab/>
            </w:r>
            <w:r w:rsidR="005D3C01">
              <w:rPr>
                <w:noProof/>
                <w:webHidden/>
              </w:rPr>
              <w:fldChar w:fldCharType="begin"/>
            </w:r>
            <w:r w:rsidR="005D3C01">
              <w:rPr>
                <w:noProof/>
                <w:webHidden/>
              </w:rPr>
              <w:instrText xml:space="preserve"> PAGEREF _Toc174628690 \h </w:instrText>
            </w:r>
            <w:r w:rsidR="005D3C01">
              <w:rPr>
                <w:noProof/>
                <w:webHidden/>
              </w:rPr>
            </w:r>
            <w:r w:rsidR="005D3C01">
              <w:rPr>
                <w:noProof/>
                <w:webHidden/>
              </w:rPr>
              <w:fldChar w:fldCharType="separate"/>
            </w:r>
            <w:r w:rsidR="005D3C01">
              <w:rPr>
                <w:noProof/>
                <w:webHidden/>
              </w:rPr>
              <w:t>94</w:t>
            </w:r>
            <w:r w:rsidR="005D3C01">
              <w:rPr>
                <w:noProof/>
                <w:webHidden/>
              </w:rPr>
              <w:fldChar w:fldCharType="end"/>
            </w:r>
          </w:hyperlink>
        </w:p>
        <w:p w14:paraId="740A5C05" w14:textId="0E7B22A7" w:rsidR="005D3C01" w:rsidRDefault="00383541">
          <w:pPr>
            <w:pStyle w:val="TOC3"/>
            <w:rPr>
              <w:rFonts w:eastAsiaTheme="minorEastAsia"/>
              <w:noProof/>
              <w:kern w:val="2"/>
              <w:sz w:val="24"/>
              <w:szCs w:val="24"/>
              <w:lang w:eastAsia="en-NZ"/>
              <w14:ligatures w14:val="standardContextual"/>
            </w:rPr>
          </w:pPr>
          <w:hyperlink w:anchor="_Toc174628691" w:history="1">
            <w:r w:rsidR="005D3C01" w:rsidRPr="008D5196">
              <w:rPr>
                <w:rStyle w:val="Hyperlink"/>
                <w:noProof/>
              </w:rPr>
              <w:t>Data on disabled Rainbow people</w:t>
            </w:r>
            <w:r w:rsidR="005D3C01">
              <w:rPr>
                <w:noProof/>
                <w:webHidden/>
              </w:rPr>
              <w:tab/>
            </w:r>
            <w:r w:rsidR="005D3C01">
              <w:rPr>
                <w:noProof/>
                <w:webHidden/>
              </w:rPr>
              <w:fldChar w:fldCharType="begin"/>
            </w:r>
            <w:r w:rsidR="005D3C01">
              <w:rPr>
                <w:noProof/>
                <w:webHidden/>
              </w:rPr>
              <w:instrText xml:space="preserve"> PAGEREF _Toc174628691 \h </w:instrText>
            </w:r>
            <w:r w:rsidR="005D3C01">
              <w:rPr>
                <w:noProof/>
                <w:webHidden/>
              </w:rPr>
            </w:r>
            <w:r w:rsidR="005D3C01">
              <w:rPr>
                <w:noProof/>
                <w:webHidden/>
              </w:rPr>
              <w:fldChar w:fldCharType="separate"/>
            </w:r>
            <w:r w:rsidR="005D3C01">
              <w:rPr>
                <w:noProof/>
                <w:webHidden/>
              </w:rPr>
              <w:t>95</w:t>
            </w:r>
            <w:r w:rsidR="005D3C01">
              <w:rPr>
                <w:noProof/>
                <w:webHidden/>
              </w:rPr>
              <w:fldChar w:fldCharType="end"/>
            </w:r>
          </w:hyperlink>
        </w:p>
        <w:p w14:paraId="4C790F9F" w14:textId="43F2DD7C" w:rsidR="005D3C01" w:rsidRDefault="00383541">
          <w:pPr>
            <w:pStyle w:val="TOC3"/>
            <w:rPr>
              <w:rFonts w:eastAsiaTheme="minorEastAsia"/>
              <w:noProof/>
              <w:kern w:val="2"/>
              <w:sz w:val="24"/>
              <w:szCs w:val="24"/>
              <w:lang w:eastAsia="en-NZ"/>
              <w14:ligatures w14:val="standardContextual"/>
            </w:rPr>
          </w:pPr>
          <w:hyperlink w:anchor="_Toc174628692" w:history="1">
            <w:r w:rsidR="005D3C01" w:rsidRPr="008D5196">
              <w:rPr>
                <w:rStyle w:val="Hyperlink"/>
                <w:noProof/>
              </w:rPr>
              <w:t>Experiences of conversion practices</w:t>
            </w:r>
            <w:r w:rsidR="005D3C01">
              <w:rPr>
                <w:noProof/>
                <w:webHidden/>
              </w:rPr>
              <w:tab/>
            </w:r>
            <w:r w:rsidR="005D3C01">
              <w:rPr>
                <w:noProof/>
                <w:webHidden/>
              </w:rPr>
              <w:fldChar w:fldCharType="begin"/>
            </w:r>
            <w:r w:rsidR="005D3C01">
              <w:rPr>
                <w:noProof/>
                <w:webHidden/>
              </w:rPr>
              <w:instrText xml:space="preserve"> PAGEREF _Toc174628692 \h </w:instrText>
            </w:r>
            <w:r w:rsidR="005D3C01">
              <w:rPr>
                <w:noProof/>
                <w:webHidden/>
              </w:rPr>
            </w:r>
            <w:r w:rsidR="005D3C01">
              <w:rPr>
                <w:noProof/>
                <w:webHidden/>
              </w:rPr>
              <w:fldChar w:fldCharType="separate"/>
            </w:r>
            <w:r w:rsidR="005D3C01">
              <w:rPr>
                <w:noProof/>
                <w:webHidden/>
              </w:rPr>
              <w:t>95</w:t>
            </w:r>
            <w:r w:rsidR="005D3C01">
              <w:rPr>
                <w:noProof/>
                <w:webHidden/>
              </w:rPr>
              <w:fldChar w:fldCharType="end"/>
            </w:r>
          </w:hyperlink>
        </w:p>
        <w:p w14:paraId="5B591E80" w14:textId="45D118DF" w:rsidR="005D3C01" w:rsidRDefault="00383541">
          <w:pPr>
            <w:pStyle w:val="TOC1"/>
            <w:rPr>
              <w:rFonts w:eastAsiaTheme="minorEastAsia"/>
              <w:b w:val="0"/>
              <w:bCs w:val="0"/>
              <w:kern w:val="2"/>
              <w:sz w:val="24"/>
              <w:szCs w:val="24"/>
              <w:lang w:eastAsia="en-NZ"/>
              <w14:ligatures w14:val="standardContextual"/>
            </w:rPr>
          </w:pPr>
          <w:hyperlink w:anchor="_Toc174628693" w:history="1">
            <w:r w:rsidR="005D3C01" w:rsidRPr="008D5196">
              <w:rPr>
                <w:rStyle w:val="Hyperlink"/>
              </w:rPr>
              <w:t>8.</w:t>
            </w:r>
            <w:r w:rsidR="005D3C01">
              <w:rPr>
                <w:rFonts w:eastAsiaTheme="minorEastAsia"/>
                <w:b w:val="0"/>
                <w:bCs w:val="0"/>
                <w:kern w:val="2"/>
                <w:sz w:val="24"/>
                <w:szCs w:val="24"/>
                <w:lang w:eastAsia="en-NZ"/>
                <w14:ligatures w14:val="standardContextual"/>
              </w:rPr>
              <w:tab/>
            </w:r>
            <w:r w:rsidR="005D3C01" w:rsidRPr="008D5196">
              <w:rPr>
                <w:rStyle w:val="Hyperlink"/>
              </w:rPr>
              <w:t>Supporting and working with survivors</w:t>
            </w:r>
            <w:r w:rsidR="005D3C01">
              <w:rPr>
                <w:webHidden/>
              </w:rPr>
              <w:tab/>
            </w:r>
            <w:r w:rsidR="005D3C01">
              <w:rPr>
                <w:webHidden/>
              </w:rPr>
              <w:fldChar w:fldCharType="begin"/>
            </w:r>
            <w:r w:rsidR="005D3C01">
              <w:rPr>
                <w:webHidden/>
              </w:rPr>
              <w:instrText xml:space="preserve"> PAGEREF _Toc174628693 \h </w:instrText>
            </w:r>
            <w:r w:rsidR="005D3C01">
              <w:rPr>
                <w:webHidden/>
              </w:rPr>
            </w:r>
            <w:r w:rsidR="005D3C01">
              <w:rPr>
                <w:webHidden/>
              </w:rPr>
              <w:fldChar w:fldCharType="separate"/>
            </w:r>
            <w:r w:rsidR="005D3C01">
              <w:rPr>
                <w:webHidden/>
              </w:rPr>
              <w:t>97</w:t>
            </w:r>
            <w:r w:rsidR="005D3C01">
              <w:rPr>
                <w:webHidden/>
              </w:rPr>
              <w:fldChar w:fldCharType="end"/>
            </w:r>
          </w:hyperlink>
        </w:p>
        <w:p w14:paraId="04F4093E" w14:textId="763ACBD3" w:rsidR="005D3C01" w:rsidRDefault="00383541">
          <w:pPr>
            <w:pStyle w:val="TOC2"/>
            <w:rPr>
              <w:rFonts w:eastAsiaTheme="minorEastAsia"/>
              <w:noProof/>
              <w:kern w:val="2"/>
              <w:sz w:val="24"/>
              <w:szCs w:val="24"/>
              <w:lang w:eastAsia="en-NZ"/>
              <w14:ligatures w14:val="standardContextual"/>
            </w:rPr>
          </w:pPr>
          <w:hyperlink w:anchor="_Toc174628694" w:history="1">
            <w:r w:rsidR="005D3C01" w:rsidRPr="008D5196">
              <w:rPr>
                <w:rStyle w:val="Hyperlink"/>
                <w:noProof/>
              </w:rPr>
              <w:t>Survivors’ advice for communities</w:t>
            </w:r>
            <w:r w:rsidR="005D3C01">
              <w:rPr>
                <w:noProof/>
                <w:webHidden/>
              </w:rPr>
              <w:tab/>
            </w:r>
            <w:r w:rsidR="005D3C01">
              <w:rPr>
                <w:noProof/>
                <w:webHidden/>
              </w:rPr>
              <w:fldChar w:fldCharType="begin"/>
            </w:r>
            <w:r w:rsidR="005D3C01">
              <w:rPr>
                <w:noProof/>
                <w:webHidden/>
              </w:rPr>
              <w:instrText xml:space="preserve"> PAGEREF _Toc174628694 \h </w:instrText>
            </w:r>
            <w:r w:rsidR="005D3C01">
              <w:rPr>
                <w:noProof/>
                <w:webHidden/>
              </w:rPr>
            </w:r>
            <w:r w:rsidR="005D3C01">
              <w:rPr>
                <w:noProof/>
                <w:webHidden/>
              </w:rPr>
              <w:fldChar w:fldCharType="separate"/>
            </w:r>
            <w:r w:rsidR="005D3C01">
              <w:rPr>
                <w:noProof/>
                <w:webHidden/>
              </w:rPr>
              <w:t>98</w:t>
            </w:r>
            <w:r w:rsidR="005D3C01">
              <w:rPr>
                <w:noProof/>
                <w:webHidden/>
              </w:rPr>
              <w:fldChar w:fldCharType="end"/>
            </w:r>
          </w:hyperlink>
        </w:p>
        <w:p w14:paraId="211342DA" w14:textId="573AF8F7" w:rsidR="005D3C01" w:rsidRDefault="00383541">
          <w:pPr>
            <w:pStyle w:val="TOC2"/>
            <w:rPr>
              <w:rFonts w:eastAsiaTheme="minorEastAsia"/>
              <w:noProof/>
              <w:kern w:val="2"/>
              <w:sz w:val="24"/>
              <w:szCs w:val="24"/>
              <w:lang w:eastAsia="en-NZ"/>
              <w14:ligatures w14:val="standardContextual"/>
            </w:rPr>
          </w:pPr>
          <w:hyperlink w:anchor="_Toc174628695" w:history="1">
            <w:r w:rsidR="005D3C01" w:rsidRPr="008D5196">
              <w:rPr>
                <w:rStyle w:val="Hyperlink"/>
                <w:noProof/>
              </w:rPr>
              <w:t>Survivors’ advice for therapists</w:t>
            </w:r>
            <w:r w:rsidR="005D3C01">
              <w:rPr>
                <w:noProof/>
                <w:webHidden/>
              </w:rPr>
              <w:tab/>
            </w:r>
            <w:r w:rsidR="005D3C01">
              <w:rPr>
                <w:noProof/>
                <w:webHidden/>
              </w:rPr>
              <w:fldChar w:fldCharType="begin"/>
            </w:r>
            <w:r w:rsidR="005D3C01">
              <w:rPr>
                <w:noProof/>
                <w:webHidden/>
              </w:rPr>
              <w:instrText xml:space="preserve"> PAGEREF _Toc174628695 \h </w:instrText>
            </w:r>
            <w:r w:rsidR="005D3C01">
              <w:rPr>
                <w:noProof/>
                <w:webHidden/>
              </w:rPr>
            </w:r>
            <w:r w:rsidR="005D3C01">
              <w:rPr>
                <w:noProof/>
                <w:webHidden/>
              </w:rPr>
              <w:fldChar w:fldCharType="separate"/>
            </w:r>
            <w:r w:rsidR="005D3C01">
              <w:rPr>
                <w:noProof/>
                <w:webHidden/>
              </w:rPr>
              <w:t>99</w:t>
            </w:r>
            <w:r w:rsidR="005D3C01">
              <w:rPr>
                <w:noProof/>
                <w:webHidden/>
              </w:rPr>
              <w:fldChar w:fldCharType="end"/>
            </w:r>
          </w:hyperlink>
        </w:p>
        <w:p w14:paraId="7AF868ED" w14:textId="63CE7EE3" w:rsidR="005D3C01" w:rsidRDefault="00383541">
          <w:pPr>
            <w:pStyle w:val="TOC3"/>
            <w:rPr>
              <w:rFonts w:eastAsiaTheme="minorEastAsia"/>
              <w:noProof/>
              <w:kern w:val="2"/>
              <w:sz w:val="24"/>
              <w:szCs w:val="24"/>
              <w:lang w:eastAsia="en-NZ"/>
              <w14:ligatures w14:val="standardContextual"/>
            </w:rPr>
          </w:pPr>
          <w:hyperlink w:anchor="_Toc174628696" w:history="1">
            <w:r w:rsidR="005D3C01" w:rsidRPr="008D5196">
              <w:rPr>
                <w:rStyle w:val="Hyperlink"/>
                <w:noProof/>
              </w:rPr>
              <w:t>A note on intersectionality</w:t>
            </w:r>
            <w:r w:rsidR="005D3C01">
              <w:rPr>
                <w:noProof/>
                <w:webHidden/>
              </w:rPr>
              <w:tab/>
            </w:r>
            <w:r w:rsidR="005D3C01">
              <w:rPr>
                <w:noProof/>
                <w:webHidden/>
              </w:rPr>
              <w:fldChar w:fldCharType="begin"/>
            </w:r>
            <w:r w:rsidR="005D3C01">
              <w:rPr>
                <w:noProof/>
                <w:webHidden/>
              </w:rPr>
              <w:instrText xml:space="preserve"> PAGEREF _Toc174628696 \h </w:instrText>
            </w:r>
            <w:r w:rsidR="005D3C01">
              <w:rPr>
                <w:noProof/>
                <w:webHidden/>
              </w:rPr>
            </w:r>
            <w:r w:rsidR="005D3C01">
              <w:rPr>
                <w:noProof/>
                <w:webHidden/>
              </w:rPr>
              <w:fldChar w:fldCharType="separate"/>
            </w:r>
            <w:r w:rsidR="005D3C01">
              <w:rPr>
                <w:noProof/>
                <w:webHidden/>
              </w:rPr>
              <w:t>101</w:t>
            </w:r>
            <w:r w:rsidR="005D3C01">
              <w:rPr>
                <w:noProof/>
                <w:webHidden/>
              </w:rPr>
              <w:fldChar w:fldCharType="end"/>
            </w:r>
          </w:hyperlink>
        </w:p>
        <w:p w14:paraId="26DE5418" w14:textId="1F4A62DA" w:rsidR="005D3C01" w:rsidRDefault="00383541">
          <w:pPr>
            <w:pStyle w:val="TOC3"/>
            <w:rPr>
              <w:rFonts w:eastAsiaTheme="minorEastAsia"/>
              <w:noProof/>
              <w:kern w:val="2"/>
              <w:sz w:val="24"/>
              <w:szCs w:val="24"/>
              <w:lang w:eastAsia="en-NZ"/>
              <w14:ligatures w14:val="standardContextual"/>
            </w:rPr>
          </w:pPr>
          <w:hyperlink w:anchor="_Toc174628697" w:history="1">
            <w:r w:rsidR="005D3C01" w:rsidRPr="008D5196">
              <w:rPr>
                <w:rStyle w:val="Hyperlink"/>
                <w:noProof/>
              </w:rPr>
              <w:t>Research supporting survivors’ advice to therapists</w:t>
            </w:r>
            <w:r w:rsidR="005D3C01">
              <w:rPr>
                <w:noProof/>
                <w:webHidden/>
              </w:rPr>
              <w:tab/>
            </w:r>
            <w:r w:rsidR="005D3C01">
              <w:rPr>
                <w:noProof/>
                <w:webHidden/>
              </w:rPr>
              <w:fldChar w:fldCharType="begin"/>
            </w:r>
            <w:r w:rsidR="005D3C01">
              <w:rPr>
                <w:noProof/>
                <w:webHidden/>
              </w:rPr>
              <w:instrText xml:space="preserve"> PAGEREF _Toc174628697 \h </w:instrText>
            </w:r>
            <w:r w:rsidR="005D3C01">
              <w:rPr>
                <w:noProof/>
                <w:webHidden/>
              </w:rPr>
            </w:r>
            <w:r w:rsidR="005D3C01">
              <w:rPr>
                <w:noProof/>
                <w:webHidden/>
              </w:rPr>
              <w:fldChar w:fldCharType="separate"/>
            </w:r>
            <w:r w:rsidR="005D3C01">
              <w:rPr>
                <w:noProof/>
                <w:webHidden/>
              </w:rPr>
              <w:t>102</w:t>
            </w:r>
            <w:r w:rsidR="005D3C01">
              <w:rPr>
                <w:noProof/>
                <w:webHidden/>
              </w:rPr>
              <w:fldChar w:fldCharType="end"/>
            </w:r>
          </w:hyperlink>
        </w:p>
        <w:p w14:paraId="3A4CEA45" w14:textId="6AEF8C7B" w:rsidR="005D3C01" w:rsidRDefault="00383541">
          <w:pPr>
            <w:pStyle w:val="TOC2"/>
            <w:rPr>
              <w:rFonts w:eastAsiaTheme="minorEastAsia"/>
              <w:noProof/>
              <w:kern w:val="2"/>
              <w:sz w:val="24"/>
              <w:szCs w:val="24"/>
              <w:lang w:eastAsia="en-NZ"/>
              <w14:ligatures w14:val="standardContextual"/>
            </w:rPr>
          </w:pPr>
          <w:hyperlink w:anchor="_Toc174628698" w:history="1">
            <w:r w:rsidR="005D3C01" w:rsidRPr="008D5196">
              <w:rPr>
                <w:rStyle w:val="Hyperlink"/>
                <w:noProof/>
              </w:rPr>
              <w:t>Survivors’ advice to people experiencing or recovering from conversion practices</w:t>
            </w:r>
            <w:r w:rsidR="005D3C01">
              <w:rPr>
                <w:noProof/>
                <w:webHidden/>
              </w:rPr>
              <w:tab/>
            </w:r>
            <w:r w:rsidR="005D3C01">
              <w:rPr>
                <w:noProof/>
                <w:webHidden/>
              </w:rPr>
              <w:fldChar w:fldCharType="begin"/>
            </w:r>
            <w:r w:rsidR="005D3C01">
              <w:rPr>
                <w:noProof/>
                <w:webHidden/>
              </w:rPr>
              <w:instrText xml:space="preserve"> PAGEREF _Toc174628698 \h </w:instrText>
            </w:r>
            <w:r w:rsidR="005D3C01">
              <w:rPr>
                <w:noProof/>
                <w:webHidden/>
              </w:rPr>
            </w:r>
            <w:r w:rsidR="005D3C01">
              <w:rPr>
                <w:noProof/>
                <w:webHidden/>
              </w:rPr>
              <w:fldChar w:fldCharType="separate"/>
            </w:r>
            <w:r w:rsidR="005D3C01">
              <w:rPr>
                <w:noProof/>
                <w:webHidden/>
              </w:rPr>
              <w:t>103</w:t>
            </w:r>
            <w:r w:rsidR="005D3C01">
              <w:rPr>
                <w:noProof/>
                <w:webHidden/>
              </w:rPr>
              <w:fldChar w:fldCharType="end"/>
            </w:r>
          </w:hyperlink>
        </w:p>
        <w:p w14:paraId="33C432D5" w14:textId="741669A6" w:rsidR="005D3C01" w:rsidRDefault="00383541">
          <w:pPr>
            <w:pStyle w:val="TOC2"/>
            <w:rPr>
              <w:rFonts w:eastAsiaTheme="minorEastAsia"/>
              <w:noProof/>
              <w:kern w:val="2"/>
              <w:sz w:val="24"/>
              <w:szCs w:val="24"/>
              <w:lang w:eastAsia="en-NZ"/>
              <w14:ligatures w14:val="standardContextual"/>
            </w:rPr>
          </w:pPr>
          <w:hyperlink w:anchor="_Toc174628699" w:history="1">
            <w:r w:rsidR="005D3C01" w:rsidRPr="008D5196">
              <w:rPr>
                <w:rStyle w:val="Hyperlink"/>
                <w:noProof/>
              </w:rPr>
              <w:t>Survivors’ advice to people working on abolishing conversion practices and protecting Rainbow rights</w:t>
            </w:r>
            <w:r w:rsidR="005D3C01">
              <w:rPr>
                <w:noProof/>
                <w:webHidden/>
              </w:rPr>
              <w:tab/>
            </w:r>
            <w:r w:rsidR="005D3C01">
              <w:rPr>
                <w:noProof/>
                <w:webHidden/>
              </w:rPr>
              <w:fldChar w:fldCharType="begin"/>
            </w:r>
            <w:r w:rsidR="005D3C01">
              <w:rPr>
                <w:noProof/>
                <w:webHidden/>
              </w:rPr>
              <w:instrText xml:space="preserve"> PAGEREF _Toc174628699 \h </w:instrText>
            </w:r>
            <w:r w:rsidR="005D3C01">
              <w:rPr>
                <w:noProof/>
                <w:webHidden/>
              </w:rPr>
            </w:r>
            <w:r w:rsidR="005D3C01">
              <w:rPr>
                <w:noProof/>
                <w:webHidden/>
              </w:rPr>
              <w:fldChar w:fldCharType="separate"/>
            </w:r>
            <w:r w:rsidR="005D3C01">
              <w:rPr>
                <w:noProof/>
                <w:webHidden/>
              </w:rPr>
              <w:t>104</w:t>
            </w:r>
            <w:r w:rsidR="005D3C01">
              <w:rPr>
                <w:noProof/>
                <w:webHidden/>
              </w:rPr>
              <w:fldChar w:fldCharType="end"/>
            </w:r>
          </w:hyperlink>
        </w:p>
        <w:p w14:paraId="08DEE016" w14:textId="095C51C8" w:rsidR="005D3C01" w:rsidRDefault="00383541">
          <w:pPr>
            <w:pStyle w:val="TOC2"/>
            <w:rPr>
              <w:rFonts w:eastAsiaTheme="minorEastAsia"/>
              <w:noProof/>
              <w:kern w:val="2"/>
              <w:sz w:val="24"/>
              <w:szCs w:val="24"/>
              <w:lang w:eastAsia="en-NZ"/>
              <w14:ligatures w14:val="standardContextual"/>
            </w:rPr>
          </w:pPr>
          <w:hyperlink w:anchor="_Toc174628700" w:history="1">
            <w:r w:rsidR="005D3C01" w:rsidRPr="008D5196">
              <w:rPr>
                <w:rStyle w:val="Hyperlink"/>
                <w:noProof/>
              </w:rPr>
              <w:t>Survivors’ advice for religious communities</w:t>
            </w:r>
            <w:r w:rsidR="005D3C01">
              <w:rPr>
                <w:noProof/>
                <w:webHidden/>
              </w:rPr>
              <w:tab/>
            </w:r>
            <w:r w:rsidR="005D3C01">
              <w:rPr>
                <w:noProof/>
                <w:webHidden/>
              </w:rPr>
              <w:fldChar w:fldCharType="begin"/>
            </w:r>
            <w:r w:rsidR="005D3C01">
              <w:rPr>
                <w:noProof/>
                <w:webHidden/>
              </w:rPr>
              <w:instrText xml:space="preserve"> PAGEREF _Toc174628700 \h </w:instrText>
            </w:r>
            <w:r w:rsidR="005D3C01">
              <w:rPr>
                <w:noProof/>
                <w:webHidden/>
              </w:rPr>
            </w:r>
            <w:r w:rsidR="005D3C01">
              <w:rPr>
                <w:noProof/>
                <w:webHidden/>
              </w:rPr>
              <w:fldChar w:fldCharType="separate"/>
            </w:r>
            <w:r w:rsidR="005D3C01">
              <w:rPr>
                <w:noProof/>
                <w:webHidden/>
              </w:rPr>
              <w:t>104</w:t>
            </w:r>
            <w:r w:rsidR="005D3C01">
              <w:rPr>
                <w:noProof/>
                <w:webHidden/>
              </w:rPr>
              <w:fldChar w:fldCharType="end"/>
            </w:r>
          </w:hyperlink>
        </w:p>
        <w:p w14:paraId="69476323" w14:textId="504ED4A8" w:rsidR="005D3C01" w:rsidRDefault="00383541">
          <w:pPr>
            <w:pStyle w:val="TOC3"/>
            <w:rPr>
              <w:rFonts w:eastAsiaTheme="minorEastAsia"/>
              <w:noProof/>
              <w:kern w:val="2"/>
              <w:sz w:val="24"/>
              <w:szCs w:val="24"/>
              <w:lang w:eastAsia="en-NZ"/>
              <w14:ligatures w14:val="standardContextual"/>
            </w:rPr>
          </w:pPr>
          <w:hyperlink w:anchor="_Toc174628701" w:history="1">
            <w:r w:rsidR="005D3C01" w:rsidRPr="008D5196">
              <w:rPr>
                <w:rStyle w:val="Hyperlink"/>
                <w:noProof/>
              </w:rPr>
              <w:t>Teaching</w:t>
            </w:r>
            <w:r w:rsidR="005D3C01">
              <w:rPr>
                <w:noProof/>
                <w:webHidden/>
              </w:rPr>
              <w:tab/>
            </w:r>
            <w:r w:rsidR="005D3C01">
              <w:rPr>
                <w:noProof/>
                <w:webHidden/>
              </w:rPr>
              <w:fldChar w:fldCharType="begin"/>
            </w:r>
            <w:r w:rsidR="005D3C01">
              <w:rPr>
                <w:noProof/>
                <w:webHidden/>
              </w:rPr>
              <w:instrText xml:space="preserve"> PAGEREF _Toc174628701 \h </w:instrText>
            </w:r>
            <w:r w:rsidR="005D3C01">
              <w:rPr>
                <w:noProof/>
                <w:webHidden/>
              </w:rPr>
            </w:r>
            <w:r w:rsidR="005D3C01">
              <w:rPr>
                <w:noProof/>
                <w:webHidden/>
              </w:rPr>
              <w:fldChar w:fldCharType="separate"/>
            </w:r>
            <w:r w:rsidR="005D3C01">
              <w:rPr>
                <w:noProof/>
                <w:webHidden/>
              </w:rPr>
              <w:t>104</w:t>
            </w:r>
            <w:r w:rsidR="005D3C01">
              <w:rPr>
                <w:noProof/>
                <w:webHidden/>
              </w:rPr>
              <w:fldChar w:fldCharType="end"/>
            </w:r>
          </w:hyperlink>
        </w:p>
        <w:p w14:paraId="72B329ED" w14:textId="5B856674" w:rsidR="005D3C01" w:rsidRDefault="00383541">
          <w:pPr>
            <w:pStyle w:val="TOC3"/>
            <w:rPr>
              <w:rFonts w:eastAsiaTheme="minorEastAsia"/>
              <w:noProof/>
              <w:kern w:val="2"/>
              <w:sz w:val="24"/>
              <w:szCs w:val="24"/>
              <w:lang w:eastAsia="en-NZ"/>
              <w14:ligatures w14:val="standardContextual"/>
            </w:rPr>
          </w:pPr>
          <w:hyperlink w:anchor="_Toc174628702" w:history="1">
            <w:r w:rsidR="005D3C01" w:rsidRPr="008D5196">
              <w:rPr>
                <w:rStyle w:val="Hyperlink"/>
                <w:noProof/>
              </w:rPr>
              <w:t>Prayer and liturgy</w:t>
            </w:r>
            <w:r w:rsidR="005D3C01">
              <w:rPr>
                <w:noProof/>
                <w:webHidden/>
              </w:rPr>
              <w:tab/>
            </w:r>
            <w:r w:rsidR="005D3C01">
              <w:rPr>
                <w:noProof/>
                <w:webHidden/>
              </w:rPr>
              <w:fldChar w:fldCharType="begin"/>
            </w:r>
            <w:r w:rsidR="005D3C01">
              <w:rPr>
                <w:noProof/>
                <w:webHidden/>
              </w:rPr>
              <w:instrText xml:space="preserve"> PAGEREF _Toc174628702 \h </w:instrText>
            </w:r>
            <w:r w:rsidR="005D3C01">
              <w:rPr>
                <w:noProof/>
                <w:webHidden/>
              </w:rPr>
            </w:r>
            <w:r w:rsidR="005D3C01">
              <w:rPr>
                <w:noProof/>
                <w:webHidden/>
              </w:rPr>
              <w:fldChar w:fldCharType="separate"/>
            </w:r>
            <w:r w:rsidR="005D3C01">
              <w:rPr>
                <w:noProof/>
                <w:webHidden/>
              </w:rPr>
              <w:t>105</w:t>
            </w:r>
            <w:r w:rsidR="005D3C01">
              <w:rPr>
                <w:noProof/>
                <w:webHidden/>
              </w:rPr>
              <w:fldChar w:fldCharType="end"/>
            </w:r>
          </w:hyperlink>
        </w:p>
        <w:p w14:paraId="5E5C5EBC" w14:textId="621A3FD9" w:rsidR="005D3C01" w:rsidRDefault="00383541">
          <w:pPr>
            <w:pStyle w:val="TOC3"/>
            <w:rPr>
              <w:rFonts w:eastAsiaTheme="minorEastAsia"/>
              <w:noProof/>
              <w:kern w:val="2"/>
              <w:sz w:val="24"/>
              <w:szCs w:val="24"/>
              <w:lang w:eastAsia="en-NZ"/>
              <w14:ligatures w14:val="standardContextual"/>
            </w:rPr>
          </w:pPr>
          <w:hyperlink w:anchor="_Toc174628703" w:history="1">
            <w:r w:rsidR="005D3C01" w:rsidRPr="008D5196">
              <w:rPr>
                <w:rStyle w:val="Hyperlink"/>
                <w:noProof/>
              </w:rPr>
              <w:t>Worship</w:t>
            </w:r>
            <w:r w:rsidR="005D3C01">
              <w:rPr>
                <w:noProof/>
                <w:webHidden/>
              </w:rPr>
              <w:tab/>
            </w:r>
            <w:r w:rsidR="005D3C01">
              <w:rPr>
                <w:noProof/>
                <w:webHidden/>
              </w:rPr>
              <w:fldChar w:fldCharType="begin"/>
            </w:r>
            <w:r w:rsidR="005D3C01">
              <w:rPr>
                <w:noProof/>
                <w:webHidden/>
              </w:rPr>
              <w:instrText xml:space="preserve"> PAGEREF _Toc174628703 \h </w:instrText>
            </w:r>
            <w:r w:rsidR="005D3C01">
              <w:rPr>
                <w:noProof/>
                <w:webHidden/>
              </w:rPr>
            </w:r>
            <w:r w:rsidR="005D3C01">
              <w:rPr>
                <w:noProof/>
                <w:webHidden/>
              </w:rPr>
              <w:fldChar w:fldCharType="separate"/>
            </w:r>
            <w:r w:rsidR="005D3C01">
              <w:rPr>
                <w:noProof/>
                <w:webHidden/>
              </w:rPr>
              <w:t>106</w:t>
            </w:r>
            <w:r w:rsidR="005D3C01">
              <w:rPr>
                <w:noProof/>
                <w:webHidden/>
              </w:rPr>
              <w:fldChar w:fldCharType="end"/>
            </w:r>
          </w:hyperlink>
        </w:p>
        <w:p w14:paraId="18AB3308" w14:textId="2B8FF155" w:rsidR="005D3C01" w:rsidRDefault="00383541">
          <w:pPr>
            <w:pStyle w:val="TOC3"/>
            <w:rPr>
              <w:rFonts w:eastAsiaTheme="minorEastAsia"/>
              <w:noProof/>
              <w:kern w:val="2"/>
              <w:sz w:val="24"/>
              <w:szCs w:val="24"/>
              <w:lang w:eastAsia="en-NZ"/>
              <w14:ligatures w14:val="standardContextual"/>
            </w:rPr>
          </w:pPr>
          <w:hyperlink w:anchor="_Toc174628704" w:history="1">
            <w:r w:rsidR="005D3C01" w:rsidRPr="008D5196">
              <w:rPr>
                <w:rStyle w:val="Hyperlink"/>
                <w:noProof/>
              </w:rPr>
              <w:t>Leadership and groups</w:t>
            </w:r>
            <w:r w:rsidR="005D3C01">
              <w:rPr>
                <w:noProof/>
                <w:webHidden/>
              </w:rPr>
              <w:tab/>
            </w:r>
            <w:r w:rsidR="005D3C01">
              <w:rPr>
                <w:noProof/>
                <w:webHidden/>
              </w:rPr>
              <w:fldChar w:fldCharType="begin"/>
            </w:r>
            <w:r w:rsidR="005D3C01">
              <w:rPr>
                <w:noProof/>
                <w:webHidden/>
              </w:rPr>
              <w:instrText xml:space="preserve"> PAGEREF _Toc174628704 \h </w:instrText>
            </w:r>
            <w:r w:rsidR="005D3C01">
              <w:rPr>
                <w:noProof/>
                <w:webHidden/>
              </w:rPr>
            </w:r>
            <w:r w:rsidR="005D3C01">
              <w:rPr>
                <w:noProof/>
                <w:webHidden/>
              </w:rPr>
              <w:fldChar w:fldCharType="separate"/>
            </w:r>
            <w:r w:rsidR="005D3C01">
              <w:rPr>
                <w:noProof/>
                <w:webHidden/>
              </w:rPr>
              <w:t>106</w:t>
            </w:r>
            <w:r w:rsidR="005D3C01">
              <w:rPr>
                <w:noProof/>
                <w:webHidden/>
              </w:rPr>
              <w:fldChar w:fldCharType="end"/>
            </w:r>
          </w:hyperlink>
        </w:p>
        <w:p w14:paraId="7AD1807C" w14:textId="79E2C552" w:rsidR="005D3C01" w:rsidRDefault="00383541">
          <w:pPr>
            <w:pStyle w:val="TOC3"/>
            <w:rPr>
              <w:rFonts w:eastAsiaTheme="minorEastAsia"/>
              <w:noProof/>
              <w:kern w:val="2"/>
              <w:sz w:val="24"/>
              <w:szCs w:val="24"/>
              <w:lang w:eastAsia="en-NZ"/>
              <w14:ligatures w14:val="standardContextual"/>
            </w:rPr>
          </w:pPr>
          <w:hyperlink w:anchor="_Toc174628705" w:history="1">
            <w:r w:rsidR="005D3C01" w:rsidRPr="008D5196">
              <w:rPr>
                <w:rStyle w:val="Hyperlink"/>
                <w:noProof/>
              </w:rPr>
              <w:t>Community culture</w:t>
            </w:r>
            <w:r w:rsidR="005D3C01">
              <w:rPr>
                <w:noProof/>
                <w:webHidden/>
              </w:rPr>
              <w:tab/>
            </w:r>
            <w:r w:rsidR="005D3C01">
              <w:rPr>
                <w:noProof/>
                <w:webHidden/>
              </w:rPr>
              <w:fldChar w:fldCharType="begin"/>
            </w:r>
            <w:r w:rsidR="005D3C01">
              <w:rPr>
                <w:noProof/>
                <w:webHidden/>
              </w:rPr>
              <w:instrText xml:space="preserve"> PAGEREF _Toc174628705 \h </w:instrText>
            </w:r>
            <w:r w:rsidR="005D3C01">
              <w:rPr>
                <w:noProof/>
                <w:webHidden/>
              </w:rPr>
            </w:r>
            <w:r w:rsidR="005D3C01">
              <w:rPr>
                <w:noProof/>
                <w:webHidden/>
              </w:rPr>
              <w:fldChar w:fldCharType="separate"/>
            </w:r>
            <w:r w:rsidR="005D3C01">
              <w:rPr>
                <w:noProof/>
                <w:webHidden/>
              </w:rPr>
              <w:t>106</w:t>
            </w:r>
            <w:r w:rsidR="005D3C01">
              <w:rPr>
                <w:noProof/>
                <w:webHidden/>
              </w:rPr>
              <w:fldChar w:fldCharType="end"/>
            </w:r>
          </w:hyperlink>
        </w:p>
        <w:p w14:paraId="523B194B" w14:textId="12F3380A" w:rsidR="005D3C01" w:rsidRDefault="00383541">
          <w:pPr>
            <w:pStyle w:val="TOC3"/>
            <w:rPr>
              <w:rFonts w:eastAsiaTheme="minorEastAsia"/>
              <w:noProof/>
              <w:kern w:val="2"/>
              <w:sz w:val="24"/>
              <w:szCs w:val="24"/>
              <w:lang w:eastAsia="en-NZ"/>
              <w14:ligatures w14:val="standardContextual"/>
            </w:rPr>
          </w:pPr>
          <w:hyperlink w:anchor="_Toc174628706" w:history="1">
            <w:r w:rsidR="005D3C01" w:rsidRPr="008D5196">
              <w:rPr>
                <w:rStyle w:val="Hyperlink"/>
                <w:noProof/>
              </w:rPr>
              <w:t>Physical and other tangible spaces</w:t>
            </w:r>
            <w:r w:rsidR="005D3C01">
              <w:rPr>
                <w:noProof/>
                <w:webHidden/>
              </w:rPr>
              <w:tab/>
            </w:r>
            <w:r w:rsidR="005D3C01">
              <w:rPr>
                <w:noProof/>
                <w:webHidden/>
              </w:rPr>
              <w:fldChar w:fldCharType="begin"/>
            </w:r>
            <w:r w:rsidR="005D3C01">
              <w:rPr>
                <w:noProof/>
                <w:webHidden/>
              </w:rPr>
              <w:instrText xml:space="preserve"> PAGEREF _Toc174628706 \h </w:instrText>
            </w:r>
            <w:r w:rsidR="005D3C01">
              <w:rPr>
                <w:noProof/>
                <w:webHidden/>
              </w:rPr>
            </w:r>
            <w:r w:rsidR="005D3C01">
              <w:rPr>
                <w:noProof/>
                <w:webHidden/>
              </w:rPr>
              <w:fldChar w:fldCharType="separate"/>
            </w:r>
            <w:r w:rsidR="005D3C01">
              <w:rPr>
                <w:noProof/>
                <w:webHidden/>
              </w:rPr>
              <w:t>107</w:t>
            </w:r>
            <w:r w:rsidR="005D3C01">
              <w:rPr>
                <w:noProof/>
                <w:webHidden/>
              </w:rPr>
              <w:fldChar w:fldCharType="end"/>
            </w:r>
          </w:hyperlink>
        </w:p>
        <w:p w14:paraId="40464303" w14:textId="12905836" w:rsidR="005D3C01" w:rsidRDefault="00383541">
          <w:pPr>
            <w:pStyle w:val="TOC3"/>
            <w:rPr>
              <w:rFonts w:eastAsiaTheme="minorEastAsia"/>
              <w:noProof/>
              <w:kern w:val="2"/>
              <w:sz w:val="24"/>
              <w:szCs w:val="24"/>
              <w:lang w:eastAsia="en-NZ"/>
              <w14:ligatures w14:val="standardContextual"/>
            </w:rPr>
          </w:pPr>
          <w:hyperlink w:anchor="_Toc174628707" w:history="1">
            <w:r w:rsidR="005D3C01" w:rsidRPr="008D5196">
              <w:rPr>
                <w:rStyle w:val="Hyperlink"/>
                <w:noProof/>
              </w:rPr>
              <w:t>What about sacred texts?</w:t>
            </w:r>
            <w:r w:rsidR="005D3C01">
              <w:rPr>
                <w:noProof/>
                <w:webHidden/>
              </w:rPr>
              <w:tab/>
            </w:r>
            <w:r w:rsidR="005D3C01">
              <w:rPr>
                <w:noProof/>
                <w:webHidden/>
              </w:rPr>
              <w:fldChar w:fldCharType="begin"/>
            </w:r>
            <w:r w:rsidR="005D3C01">
              <w:rPr>
                <w:noProof/>
                <w:webHidden/>
              </w:rPr>
              <w:instrText xml:space="preserve"> PAGEREF _Toc174628707 \h </w:instrText>
            </w:r>
            <w:r w:rsidR="005D3C01">
              <w:rPr>
                <w:noProof/>
                <w:webHidden/>
              </w:rPr>
            </w:r>
            <w:r w:rsidR="005D3C01">
              <w:rPr>
                <w:noProof/>
                <w:webHidden/>
              </w:rPr>
              <w:fldChar w:fldCharType="separate"/>
            </w:r>
            <w:r w:rsidR="005D3C01">
              <w:rPr>
                <w:noProof/>
                <w:webHidden/>
              </w:rPr>
              <w:t>107</w:t>
            </w:r>
            <w:r w:rsidR="005D3C01">
              <w:rPr>
                <w:noProof/>
                <w:webHidden/>
              </w:rPr>
              <w:fldChar w:fldCharType="end"/>
            </w:r>
          </w:hyperlink>
        </w:p>
        <w:p w14:paraId="6285B217" w14:textId="3E6A0D67" w:rsidR="005D3C01" w:rsidRDefault="00383541">
          <w:pPr>
            <w:pStyle w:val="TOC2"/>
            <w:rPr>
              <w:rFonts w:eastAsiaTheme="minorEastAsia"/>
              <w:noProof/>
              <w:kern w:val="2"/>
              <w:sz w:val="24"/>
              <w:szCs w:val="24"/>
              <w:lang w:eastAsia="en-NZ"/>
              <w14:ligatures w14:val="standardContextual"/>
            </w:rPr>
          </w:pPr>
          <w:hyperlink w:anchor="_Toc174628708" w:history="1">
            <w:r w:rsidR="005D3C01" w:rsidRPr="008D5196">
              <w:rPr>
                <w:rStyle w:val="Hyperlink"/>
                <w:noProof/>
              </w:rPr>
              <w:t>Recovery for Māori survivors</w:t>
            </w:r>
            <w:r w:rsidR="005D3C01">
              <w:rPr>
                <w:noProof/>
                <w:webHidden/>
              </w:rPr>
              <w:tab/>
            </w:r>
            <w:r w:rsidR="005D3C01">
              <w:rPr>
                <w:noProof/>
                <w:webHidden/>
              </w:rPr>
              <w:fldChar w:fldCharType="begin"/>
            </w:r>
            <w:r w:rsidR="005D3C01">
              <w:rPr>
                <w:noProof/>
                <w:webHidden/>
              </w:rPr>
              <w:instrText xml:space="preserve"> PAGEREF _Toc174628708 \h </w:instrText>
            </w:r>
            <w:r w:rsidR="005D3C01">
              <w:rPr>
                <w:noProof/>
                <w:webHidden/>
              </w:rPr>
            </w:r>
            <w:r w:rsidR="005D3C01">
              <w:rPr>
                <w:noProof/>
                <w:webHidden/>
              </w:rPr>
              <w:fldChar w:fldCharType="separate"/>
            </w:r>
            <w:r w:rsidR="005D3C01">
              <w:rPr>
                <w:noProof/>
                <w:webHidden/>
              </w:rPr>
              <w:t>108</w:t>
            </w:r>
            <w:r w:rsidR="005D3C01">
              <w:rPr>
                <w:noProof/>
                <w:webHidden/>
              </w:rPr>
              <w:fldChar w:fldCharType="end"/>
            </w:r>
          </w:hyperlink>
        </w:p>
        <w:p w14:paraId="3E0DFAB1" w14:textId="7FB09D00" w:rsidR="005D3C01" w:rsidRDefault="00383541">
          <w:pPr>
            <w:pStyle w:val="TOC3"/>
            <w:rPr>
              <w:rFonts w:eastAsiaTheme="minorEastAsia"/>
              <w:noProof/>
              <w:kern w:val="2"/>
              <w:sz w:val="24"/>
              <w:szCs w:val="24"/>
              <w:lang w:eastAsia="en-NZ"/>
              <w14:ligatures w14:val="standardContextual"/>
            </w:rPr>
          </w:pPr>
          <w:hyperlink w:anchor="_Toc174628709" w:history="1">
            <w:r w:rsidR="005D3C01" w:rsidRPr="008D5196">
              <w:rPr>
                <w:rStyle w:val="Hyperlink"/>
                <w:noProof/>
              </w:rPr>
              <w:t>Supporting Māori to recover from conversion practices</w:t>
            </w:r>
            <w:r w:rsidR="005D3C01">
              <w:rPr>
                <w:noProof/>
                <w:webHidden/>
              </w:rPr>
              <w:tab/>
            </w:r>
            <w:r w:rsidR="005D3C01">
              <w:rPr>
                <w:noProof/>
                <w:webHidden/>
              </w:rPr>
              <w:fldChar w:fldCharType="begin"/>
            </w:r>
            <w:r w:rsidR="005D3C01">
              <w:rPr>
                <w:noProof/>
                <w:webHidden/>
              </w:rPr>
              <w:instrText xml:space="preserve"> PAGEREF _Toc174628709 \h </w:instrText>
            </w:r>
            <w:r w:rsidR="005D3C01">
              <w:rPr>
                <w:noProof/>
                <w:webHidden/>
              </w:rPr>
            </w:r>
            <w:r w:rsidR="005D3C01">
              <w:rPr>
                <w:noProof/>
                <w:webHidden/>
              </w:rPr>
              <w:fldChar w:fldCharType="separate"/>
            </w:r>
            <w:r w:rsidR="005D3C01">
              <w:rPr>
                <w:noProof/>
                <w:webHidden/>
              </w:rPr>
              <w:t>108</w:t>
            </w:r>
            <w:r w:rsidR="005D3C01">
              <w:rPr>
                <w:noProof/>
                <w:webHidden/>
              </w:rPr>
              <w:fldChar w:fldCharType="end"/>
            </w:r>
          </w:hyperlink>
        </w:p>
        <w:p w14:paraId="39572614" w14:textId="4EC3A737" w:rsidR="005D3C01" w:rsidRDefault="00383541">
          <w:pPr>
            <w:pStyle w:val="TOC2"/>
            <w:rPr>
              <w:rFonts w:eastAsiaTheme="minorEastAsia"/>
              <w:noProof/>
              <w:kern w:val="2"/>
              <w:sz w:val="24"/>
              <w:szCs w:val="24"/>
              <w:lang w:eastAsia="en-NZ"/>
              <w14:ligatures w14:val="standardContextual"/>
            </w:rPr>
          </w:pPr>
          <w:hyperlink w:anchor="_Toc174628710" w:history="1">
            <w:r w:rsidR="005D3C01" w:rsidRPr="008D5196">
              <w:rPr>
                <w:rStyle w:val="Hyperlink"/>
                <w:noProof/>
              </w:rPr>
              <w:t>Recovery for survivors in under-represented communities</w:t>
            </w:r>
            <w:r w:rsidR="005D3C01">
              <w:rPr>
                <w:noProof/>
                <w:webHidden/>
              </w:rPr>
              <w:tab/>
            </w:r>
            <w:r w:rsidR="005D3C01">
              <w:rPr>
                <w:noProof/>
                <w:webHidden/>
              </w:rPr>
              <w:fldChar w:fldCharType="begin"/>
            </w:r>
            <w:r w:rsidR="005D3C01">
              <w:rPr>
                <w:noProof/>
                <w:webHidden/>
              </w:rPr>
              <w:instrText xml:space="preserve"> PAGEREF _Toc174628710 \h </w:instrText>
            </w:r>
            <w:r w:rsidR="005D3C01">
              <w:rPr>
                <w:noProof/>
                <w:webHidden/>
              </w:rPr>
            </w:r>
            <w:r w:rsidR="005D3C01">
              <w:rPr>
                <w:noProof/>
                <w:webHidden/>
              </w:rPr>
              <w:fldChar w:fldCharType="separate"/>
            </w:r>
            <w:r w:rsidR="005D3C01">
              <w:rPr>
                <w:noProof/>
                <w:webHidden/>
              </w:rPr>
              <w:t>109</w:t>
            </w:r>
            <w:r w:rsidR="005D3C01">
              <w:rPr>
                <w:noProof/>
                <w:webHidden/>
              </w:rPr>
              <w:fldChar w:fldCharType="end"/>
            </w:r>
          </w:hyperlink>
        </w:p>
        <w:p w14:paraId="5F5C9592" w14:textId="5382A74C" w:rsidR="005D3C01" w:rsidRDefault="00383541">
          <w:pPr>
            <w:pStyle w:val="TOC3"/>
            <w:rPr>
              <w:rFonts w:eastAsiaTheme="minorEastAsia"/>
              <w:noProof/>
              <w:kern w:val="2"/>
              <w:sz w:val="24"/>
              <w:szCs w:val="24"/>
              <w:lang w:eastAsia="en-NZ"/>
              <w14:ligatures w14:val="standardContextual"/>
            </w:rPr>
          </w:pPr>
          <w:hyperlink w:anchor="_Toc174628711" w:history="1">
            <w:r w:rsidR="005D3C01" w:rsidRPr="008D5196">
              <w:rPr>
                <w:rStyle w:val="Hyperlink"/>
                <w:noProof/>
              </w:rPr>
              <w:t>Supporting Pacific peoples to recover from conversion practices</w:t>
            </w:r>
            <w:r w:rsidR="005D3C01">
              <w:rPr>
                <w:noProof/>
                <w:webHidden/>
              </w:rPr>
              <w:tab/>
            </w:r>
            <w:r w:rsidR="005D3C01">
              <w:rPr>
                <w:noProof/>
                <w:webHidden/>
              </w:rPr>
              <w:fldChar w:fldCharType="begin"/>
            </w:r>
            <w:r w:rsidR="005D3C01">
              <w:rPr>
                <w:noProof/>
                <w:webHidden/>
              </w:rPr>
              <w:instrText xml:space="preserve"> PAGEREF _Toc174628711 \h </w:instrText>
            </w:r>
            <w:r w:rsidR="005D3C01">
              <w:rPr>
                <w:noProof/>
                <w:webHidden/>
              </w:rPr>
            </w:r>
            <w:r w:rsidR="005D3C01">
              <w:rPr>
                <w:noProof/>
                <w:webHidden/>
              </w:rPr>
              <w:fldChar w:fldCharType="separate"/>
            </w:r>
            <w:r w:rsidR="005D3C01">
              <w:rPr>
                <w:noProof/>
                <w:webHidden/>
              </w:rPr>
              <w:t>109</w:t>
            </w:r>
            <w:r w:rsidR="005D3C01">
              <w:rPr>
                <w:noProof/>
                <w:webHidden/>
              </w:rPr>
              <w:fldChar w:fldCharType="end"/>
            </w:r>
          </w:hyperlink>
        </w:p>
        <w:p w14:paraId="7DE2E6BD" w14:textId="3ADA32AB" w:rsidR="005D3C01" w:rsidRDefault="00383541">
          <w:pPr>
            <w:pStyle w:val="TOC3"/>
            <w:rPr>
              <w:rFonts w:eastAsiaTheme="minorEastAsia"/>
              <w:noProof/>
              <w:kern w:val="2"/>
              <w:sz w:val="24"/>
              <w:szCs w:val="24"/>
              <w:lang w:eastAsia="en-NZ"/>
              <w14:ligatures w14:val="standardContextual"/>
            </w:rPr>
          </w:pPr>
          <w:hyperlink w:anchor="_Toc174628712" w:history="1">
            <w:r w:rsidR="005D3C01" w:rsidRPr="008D5196">
              <w:rPr>
                <w:rStyle w:val="Hyperlink"/>
                <w:noProof/>
              </w:rPr>
              <w:t>Support for South Asian and other diverse ethnic communities</w:t>
            </w:r>
            <w:r w:rsidR="005D3C01">
              <w:rPr>
                <w:noProof/>
                <w:webHidden/>
              </w:rPr>
              <w:tab/>
            </w:r>
            <w:r w:rsidR="005D3C01">
              <w:rPr>
                <w:noProof/>
                <w:webHidden/>
              </w:rPr>
              <w:fldChar w:fldCharType="begin"/>
            </w:r>
            <w:r w:rsidR="005D3C01">
              <w:rPr>
                <w:noProof/>
                <w:webHidden/>
              </w:rPr>
              <w:instrText xml:space="preserve"> PAGEREF _Toc174628712 \h </w:instrText>
            </w:r>
            <w:r w:rsidR="005D3C01">
              <w:rPr>
                <w:noProof/>
                <w:webHidden/>
              </w:rPr>
            </w:r>
            <w:r w:rsidR="005D3C01">
              <w:rPr>
                <w:noProof/>
                <w:webHidden/>
              </w:rPr>
              <w:fldChar w:fldCharType="separate"/>
            </w:r>
            <w:r w:rsidR="005D3C01">
              <w:rPr>
                <w:noProof/>
                <w:webHidden/>
              </w:rPr>
              <w:t>110</w:t>
            </w:r>
            <w:r w:rsidR="005D3C01">
              <w:rPr>
                <w:noProof/>
                <w:webHidden/>
              </w:rPr>
              <w:fldChar w:fldCharType="end"/>
            </w:r>
          </w:hyperlink>
        </w:p>
        <w:p w14:paraId="04BAE5A9" w14:textId="5651F879" w:rsidR="005D3C01" w:rsidRDefault="00383541">
          <w:pPr>
            <w:pStyle w:val="TOC3"/>
            <w:rPr>
              <w:rFonts w:eastAsiaTheme="minorEastAsia"/>
              <w:noProof/>
              <w:kern w:val="2"/>
              <w:sz w:val="24"/>
              <w:szCs w:val="24"/>
              <w:lang w:eastAsia="en-NZ"/>
              <w14:ligatures w14:val="standardContextual"/>
            </w:rPr>
          </w:pPr>
          <w:hyperlink w:anchor="_Toc174628713" w:history="1">
            <w:r w:rsidR="005D3C01" w:rsidRPr="008D5196">
              <w:rPr>
                <w:rStyle w:val="Hyperlink"/>
                <w:noProof/>
              </w:rPr>
              <w:t>Supporting transgender and non-binary people to recover from conversion practices</w:t>
            </w:r>
            <w:r w:rsidR="005D3C01">
              <w:rPr>
                <w:noProof/>
                <w:webHidden/>
              </w:rPr>
              <w:tab/>
            </w:r>
            <w:r w:rsidR="005D3C01">
              <w:rPr>
                <w:noProof/>
                <w:webHidden/>
              </w:rPr>
              <w:fldChar w:fldCharType="begin"/>
            </w:r>
            <w:r w:rsidR="005D3C01">
              <w:rPr>
                <w:noProof/>
                <w:webHidden/>
              </w:rPr>
              <w:instrText xml:space="preserve"> PAGEREF _Toc174628713 \h </w:instrText>
            </w:r>
            <w:r w:rsidR="005D3C01">
              <w:rPr>
                <w:noProof/>
                <w:webHidden/>
              </w:rPr>
            </w:r>
            <w:r w:rsidR="005D3C01">
              <w:rPr>
                <w:noProof/>
                <w:webHidden/>
              </w:rPr>
              <w:fldChar w:fldCharType="separate"/>
            </w:r>
            <w:r w:rsidR="005D3C01">
              <w:rPr>
                <w:noProof/>
                <w:webHidden/>
              </w:rPr>
              <w:t>111</w:t>
            </w:r>
            <w:r w:rsidR="005D3C01">
              <w:rPr>
                <w:noProof/>
                <w:webHidden/>
              </w:rPr>
              <w:fldChar w:fldCharType="end"/>
            </w:r>
          </w:hyperlink>
        </w:p>
        <w:p w14:paraId="110947C2" w14:textId="08ADB648" w:rsidR="005D3C01" w:rsidRDefault="00383541">
          <w:pPr>
            <w:pStyle w:val="TOC1"/>
            <w:rPr>
              <w:rFonts w:eastAsiaTheme="minorEastAsia"/>
              <w:b w:val="0"/>
              <w:bCs w:val="0"/>
              <w:kern w:val="2"/>
              <w:sz w:val="24"/>
              <w:szCs w:val="24"/>
              <w:lang w:eastAsia="en-NZ"/>
              <w14:ligatures w14:val="standardContextual"/>
            </w:rPr>
          </w:pPr>
          <w:hyperlink w:anchor="_Toc174628714" w:history="1">
            <w:r w:rsidR="005D3C01" w:rsidRPr="008D5196">
              <w:rPr>
                <w:rStyle w:val="Hyperlink"/>
              </w:rPr>
              <w:t>9.</w:t>
            </w:r>
            <w:r w:rsidR="005D3C01">
              <w:rPr>
                <w:rFonts w:eastAsiaTheme="minorEastAsia"/>
                <w:b w:val="0"/>
                <w:bCs w:val="0"/>
                <w:kern w:val="2"/>
                <w:sz w:val="24"/>
                <w:szCs w:val="24"/>
                <w:lang w:eastAsia="en-NZ"/>
                <w14:ligatures w14:val="standardContextual"/>
              </w:rPr>
              <w:tab/>
            </w:r>
            <w:r w:rsidR="005D3C01" w:rsidRPr="008D5196">
              <w:rPr>
                <w:rStyle w:val="Hyperlink"/>
              </w:rPr>
              <w:t>Recommendations for a world free from conversion practices</w:t>
            </w:r>
            <w:r w:rsidR="005D3C01">
              <w:rPr>
                <w:webHidden/>
              </w:rPr>
              <w:tab/>
            </w:r>
            <w:r w:rsidR="005D3C01">
              <w:rPr>
                <w:webHidden/>
              </w:rPr>
              <w:fldChar w:fldCharType="begin"/>
            </w:r>
            <w:r w:rsidR="005D3C01">
              <w:rPr>
                <w:webHidden/>
              </w:rPr>
              <w:instrText xml:space="preserve"> PAGEREF _Toc174628714 \h </w:instrText>
            </w:r>
            <w:r w:rsidR="005D3C01">
              <w:rPr>
                <w:webHidden/>
              </w:rPr>
            </w:r>
            <w:r w:rsidR="005D3C01">
              <w:rPr>
                <w:webHidden/>
              </w:rPr>
              <w:fldChar w:fldCharType="separate"/>
            </w:r>
            <w:r w:rsidR="005D3C01">
              <w:rPr>
                <w:webHidden/>
              </w:rPr>
              <w:t>113</w:t>
            </w:r>
            <w:r w:rsidR="005D3C01">
              <w:rPr>
                <w:webHidden/>
              </w:rPr>
              <w:fldChar w:fldCharType="end"/>
            </w:r>
          </w:hyperlink>
        </w:p>
        <w:p w14:paraId="2C129C45" w14:textId="12B5EF21" w:rsidR="005D3C01" w:rsidRDefault="00383541">
          <w:pPr>
            <w:pStyle w:val="TOC2"/>
            <w:rPr>
              <w:rFonts w:eastAsiaTheme="minorEastAsia"/>
              <w:noProof/>
              <w:kern w:val="2"/>
              <w:sz w:val="24"/>
              <w:szCs w:val="24"/>
              <w:lang w:eastAsia="en-NZ"/>
              <w14:ligatures w14:val="standardContextual"/>
            </w:rPr>
          </w:pPr>
          <w:hyperlink w:anchor="_Toc174628715" w:history="1">
            <w:r w:rsidR="005D3C01" w:rsidRPr="008D5196">
              <w:rPr>
                <w:rStyle w:val="Hyperlink"/>
                <w:noProof/>
              </w:rPr>
              <w:t>To Government</w:t>
            </w:r>
            <w:r w:rsidR="005D3C01">
              <w:rPr>
                <w:noProof/>
                <w:webHidden/>
              </w:rPr>
              <w:tab/>
            </w:r>
            <w:r w:rsidR="005D3C01">
              <w:rPr>
                <w:noProof/>
                <w:webHidden/>
              </w:rPr>
              <w:fldChar w:fldCharType="begin"/>
            </w:r>
            <w:r w:rsidR="005D3C01">
              <w:rPr>
                <w:noProof/>
                <w:webHidden/>
              </w:rPr>
              <w:instrText xml:space="preserve"> PAGEREF _Toc174628715 \h </w:instrText>
            </w:r>
            <w:r w:rsidR="005D3C01">
              <w:rPr>
                <w:noProof/>
                <w:webHidden/>
              </w:rPr>
            </w:r>
            <w:r w:rsidR="005D3C01">
              <w:rPr>
                <w:noProof/>
                <w:webHidden/>
              </w:rPr>
              <w:fldChar w:fldCharType="separate"/>
            </w:r>
            <w:r w:rsidR="005D3C01">
              <w:rPr>
                <w:noProof/>
                <w:webHidden/>
              </w:rPr>
              <w:t>114</w:t>
            </w:r>
            <w:r w:rsidR="005D3C01">
              <w:rPr>
                <w:noProof/>
                <w:webHidden/>
              </w:rPr>
              <w:fldChar w:fldCharType="end"/>
            </w:r>
          </w:hyperlink>
        </w:p>
        <w:p w14:paraId="6101BEC8" w14:textId="32CC3E7E" w:rsidR="005D3C01" w:rsidRDefault="00383541">
          <w:pPr>
            <w:pStyle w:val="TOC2"/>
            <w:rPr>
              <w:rFonts w:eastAsiaTheme="minorEastAsia"/>
              <w:noProof/>
              <w:kern w:val="2"/>
              <w:sz w:val="24"/>
              <w:szCs w:val="24"/>
              <w:lang w:eastAsia="en-NZ"/>
              <w14:ligatures w14:val="standardContextual"/>
            </w:rPr>
          </w:pPr>
          <w:hyperlink w:anchor="_Toc174628716" w:history="1">
            <w:r w:rsidR="005D3C01" w:rsidRPr="008D5196">
              <w:rPr>
                <w:rStyle w:val="Hyperlink"/>
                <w:noProof/>
              </w:rPr>
              <w:t>To the Rainbow community</w:t>
            </w:r>
            <w:r w:rsidR="005D3C01">
              <w:rPr>
                <w:noProof/>
                <w:webHidden/>
              </w:rPr>
              <w:tab/>
            </w:r>
            <w:r w:rsidR="005D3C01">
              <w:rPr>
                <w:noProof/>
                <w:webHidden/>
              </w:rPr>
              <w:fldChar w:fldCharType="begin"/>
            </w:r>
            <w:r w:rsidR="005D3C01">
              <w:rPr>
                <w:noProof/>
                <w:webHidden/>
              </w:rPr>
              <w:instrText xml:space="preserve"> PAGEREF _Toc174628716 \h </w:instrText>
            </w:r>
            <w:r w:rsidR="005D3C01">
              <w:rPr>
                <w:noProof/>
                <w:webHidden/>
              </w:rPr>
            </w:r>
            <w:r w:rsidR="005D3C01">
              <w:rPr>
                <w:noProof/>
                <w:webHidden/>
              </w:rPr>
              <w:fldChar w:fldCharType="separate"/>
            </w:r>
            <w:r w:rsidR="005D3C01">
              <w:rPr>
                <w:noProof/>
                <w:webHidden/>
              </w:rPr>
              <w:t>115</w:t>
            </w:r>
            <w:r w:rsidR="005D3C01">
              <w:rPr>
                <w:noProof/>
                <w:webHidden/>
              </w:rPr>
              <w:fldChar w:fldCharType="end"/>
            </w:r>
          </w:hyperlink>
        </w:p>
        <w:p w14:paraId="1B00F5F2" w14:textId="1F7DEB09" w:rsidR="005D3C01" w:rsidRDefault="00383541">
          <w:pPr>
            <w:pStyle w:val="TOC2"/>
            <w:rPr>
              <w:rFonts w:eastAsiaTheme="minorEastAsia"/>
              <w:noProof/>
              <w:kern w:val="2"/>
              <w:sz w:val="24"/>
              <w:szCs w:val="24"/>
              <w:lang w:eastAsia="en-NZ"/>
              <w14:ligatures w14:val="standardContextual"/>
            </w:rPr>
          </w:pPr>
          <w:hyperlink w:anchor="_Toc174628717" w:history="1">
            <w:r w:rsidR="005D3C01" w:rsidRPr="008D5196">
              <w:rPr>
                <w:rStyle w:val="Hyperlink"/>
                <w:noProof/>
              </w:rPr>
              <w:t>To the wider community</w:t>
            </w:r>
            <w:r w:rsidR="005D3C01">
              <w:rPr>
                <w:noProof/>
                <w:webHidden/>
              </w:rPr>
              <w:tab/>
            </w:r>
            <w:r w:rsidR="005D3C01">
              <w:rPr>
                <w:noProof/>
                <w:webHidden/>
              </w:rPr>
              <w:fldChar w:fldCharType="begin"/>
            </w:r>
            <w:r w:rsidR="005D3C01">
              <w:rPr>
                <w:noProof/>
                <w:webHidden/>
              </w:rPr>
              <w:instrText xml:space="preserve"> PAGEREF _Toc174628717 \h </w:instrText>
            </w:r>
            <w:r w:rsidR="005D3C01">
              <w:rPr>
                <w:noProof/>
                <w:webHidden/>
              </w:rPr>
            </w:r>
            <w:r w:rsidR="005D3C01">
              <w:rPr>
                <w:noProof/>
                <w:webHidden/>
              </w:rPr>
              <w:fldChar w:fldCharType="separate"/>
            </w:r>
            <w:r w:rsidR="005D3C01">
              <w:rPr>
                <w:noProof/>
                <w:webHidden/>
              </w:rPr>
              <w:t>115</w:t>
            </w:r>
            <w:r w:rsidR="005D3C01">
              <w:rPr>
                <w:noProof/>
                <w:webHidden/>
              </w:rPr>
              <w:fldChar w:fldCharType="end"/>
            </w:r>
          </w:hyperlink>
        </w:p>
        <w:p w14:paraId="0EE7FEFD" w14:textId="7661883E" w:rsidR="005D3C01" w:rsidRDefault="00383541">
          <w:pPr>
            <w:pStyle w:val="TOC2"/>
            <w:rPr>
              <w:rFonts w:eastAsiaTheme="minorEastAsia"/>
              <w:noProof/>
              <w:kern w:val="2"/>
              <w:sz w:val="24"/>
              <w:szCs w:val="24"/>
              <w:lang w:eastAsia="en-NZ"/>
              <w14:ligatures w14:val="standardContextual"/>
            </w:rPr>
          </w:pPr>
          <w:hyperlink w:anchor="_Toc174628718" w:history="1">
            <w:r w:rsidR="005D3C01" w:rsidRPr="008D5196">
              <w:rPr>
                <w:rStyle w:val="Hyperlink"/>
                <w:noProof/>
              </w:rPr>
              <w:t>To media</w:t>
            </w:r>
            <w:r w:rsidR="005D3C01">
              <w:rPr>
                <w:noProof/>
                <w:webHidden/>
              </w:rPr>
              <w:tab/>
            </w:r>
            <w:r w:rsidR="005D3C01">
              <w:rPr>
                <w:noProof/>
                <w:webHidden/>
              </w:rPr>
              <w:fldChar w:fldCharType="begin"/>
            </w:r>
            <w:r w:rsidR="005D3C01">
              <w:rPr>
                <w:noProof/>
                <w:webHidden/>
              </w:rPr>
              <w:instrText xml:space="preserve"> PAGEREF _Toc174628718 \h </w:instrText>
            </w:r>
            <w:r w:rsidR="005D3C01">
              <w:rPr>
                <w:noProof/>
                <w:webHidden/>
              </w:rPr>
            </w:r>
            <w:r w:rsidR="005D3C01">
              <w:rPr>
                <w:noProof/>
                <w:webHidden/>
              </w:rPr>
              <w:fldChar w:fldCharType="separate"/>
            </w:r>
            <w:r w:rsidR="005D3C01">
              <w:rPr>
                <w:noProof/>
                <w:webHidden/>
              </w:rPr>
              <w:t>116</w:t>
            </w:r>
            <w:r w:rsidR="005D3C01">
              <w:rPr>
                <w:noProof/>
                <w:webHidden/>
              </w:rPr>
              <w:fldChar w:fldCharType="end"/>
            </w:r>
          </w:hyperlink>
        </w:p>
        <w:p w14:paraId="752DDA9E" w14:textId="3D94B2A4" w:rsidR="005D3C01" w:rsidRDefault="00383541">
          <w:pPr>
            <w:pStyle w:val="TOC2"/>
            <w:rPr>
              <w:rFonts w:eastAsiaTheme="minorEastAsia"/>
              <w:noProof/>
              <w:kern w:val="2"/>
              <w:sz w:val="24"/>
              <w:szCs w:val="24"/>
              <w:lang w:eastAsia="en-NZ"/>
              <w14:ligatures w14:val="standardContextual"/>
            </w:rPr>
          </w:pPr>
          <w:hyperlink w:anchor="_Toc174628719" w:history="1">
            <w:r w:rsidR="005D3C01" w:rsidRPr="008D5196">
              <w:rPr>
                <w:rStyle w:val="Hyperlink"/>
                <w:noProof/>
              </w:rPr>
              <w:t>To religious/faith communities</w:t>
            </w:r>
            <w:r w:rsidR="005D3C01">
              <w:rPr>
                <w:noProof/>
                <w:webHidden/>
              </w:rPr>
              <w:tab/>
            </w:r>
            <w:r w:rsidR="005D3C01">
              <w:rPr>
                <w:noProof/>
                <w:webHidden/>
              </w:rPr>
              <w:fldChar w:fldCharType="begin"/>
            </w:r>
            <w:r w:rsidR="005D3C01">
              <w:rPr>
                <w:noProof/>
                <w:webHidden/>
              </w:rPr>
              <w:instrText xml:space="preserve"> PAGEREF _Toc174628719 \h </w:instrText>
            </w:r>
            <w:r w:rsidR="005D3C01">
              <w:rPr>
                <w:noProof/>
                <w:webHidden/>
              </w:rPr>
            </w:r>
            <w:r w:rsidR="005D3C01">
              <w:rPr>
                <w:noProof/>
                <w:webHidden/>
              </w:rPr>
              <w:fldChar w:fldCharType="separate"/>
            </w:r>
            <w:r w:rsidR="005D3C01">
              <w:rPr>
                <w:noProof/>
                <w:webHidden/>
              </w:rPr>
              <w:t>116</w:t>
            </w:r>
            <w:r w:rsidR="005D3C01">
              <w:rPr>
                <w:noProof/>
                <w:webHidden/>
              </w:rPr>
              <w:fldChar w:fldCharType="end"/>
            </w:r>
          </w:hyperlink>
        </w:p>
        <w:p w14:paraId="7B28CDC4" w14:textId="658C11CA" w:rsidR="005D3C01" w:rsidRDefault="00383541">
          <w:pPr>
            <w:pStyle w:val="TOC2"/>
            <w:rPr>
              <w:rFonts w:eastAsiaTheme="minorEastAsia"/>
              <w:noProof/>
              <w:kern w:val="2"/>
              <w:sz w:val="24"/>
              <w:szCs w:val="24"/>
              <w:lang w:eastAsia="en-NZ"/>
              <w14:ligatures w14:val="standardContextual"/>
            </w:rPr>
          </w:pPr>
          <w:hyperlink w:anchor="_Toc174628720" w:history="1">
            <w:r w:rsidR="005D3C01" w:rsidRPr="008D5196">
              <w:rPr>
                <w:rStyle w:val="Hyperlink"/>
                <w:noProof/>
              </w:rPr>
              <w:t>To mental health and medical healthcare practitioners</w:t>
            </w:r>
            <w:r w:rsidR="005D3C01">
              <w:rPr>
                <w:noProof/>
                <w:webHidden/>
              </w:rPr>
              <w:tab/>
            </w:r>
            <w:r w:rsidR="005D3C01">
              <w:rPr>
                <w:noProof/>
                <w:webHidden/>
              </w:rPr>
              <w:fldChar w:fldCharType="begin"/>
            </w:r>
            <w:r w:rsidR="005D3C01">
              <w:rPr>
                <w:noProof/>
                <w:webHidden/>
              </w:rPr>
              <w:instrText xml:space="preserve"> PAGEREF _Toc174628720 \h </w:instrText>
            </w:r>
            <w:r w:rsidR="005D3C01">
              <w:rPr>
                <w:noProof/>
                <w:webHidden/>
              </w:rPr>
            </w:r>
            <w:r w:rsidR="005D3C01">
              <w:rPr>
                <w:noProof/>
                <w:webHidden/>
              </w:rPr>
              <w:fldChar w:fldCharType="separate"/>
            </w:r>
            <w:r w:rsidR="005D3C01">
              <w:rPr>
                <w:noProof/>
                <w:webHidden/>
              </w:rPr>
              <w:t>117</w:t>
            </w:r>
            <w:r w:rsidR="005D3C01">
              <w:rPr>
                <w:noProof/>
                <w:webHidden/>
              </w:rPr>
              <w:fldChar w:fldCharType="end"/>
            </w:r>
          </w:hyperlink>
        </w:p>
        <w:p w14:paraId="676AC778" w14:textId="15813E05" w:rsidR="005D3C01" w:rsidRDefault="00383541">
          <w:pPr>
            <w:pStyle w:val="TOC2"/>
            <w:rPr>
              <w:rFonts w:eastAsiaTheme="minorEastAsia"/>
              <w:noProof/>
              <w:kern w:val="2"/>
              <w:sz w:val="24"/>
              <w:szCs w:val="24"/>
              <w:lang w:eastAsia="en-NZ"/>
              <w14:ligatures w14:val="standardContextual"/>
            </w:rPr>
          </w:pPr>
          <w:hyperlink w:anchor="_Toc174628721" w:history="1">
            <w:r w:rsidR="005D3C01" w:rsidRPr="008D5196">
              <w:rPr>
                <w:rStyle w:val="Hyperlink"/>
                <w:noProof/>
              </w:rPr>
              <w:t>To those who work with children and young people</w:t>
            </w:r>
            <w:r w:rsidR="005D3C01">
              <w:rPr>
                <w:noProof/>
                <w:webHidden/>
              </w:rPr>
              <w:tab/>
            </w:r>
            <w:r w:rsidR="005D3C01">
              <w:rPr>
                <w:noProof/>
                <w:webHidden/>
              </w:rPr>
              <w:fldChar w:fldCharType="begin"/>
            </w:r>
            <w:r w:rsidR="005D3C01">
              <w:rPr>
                <w:noProof/>
                <w:webHidden/>
              </w:rPr>
              <w:instrText xml:space="preserve"> PAGEREF _Toc174628721 \h </w:instrText>
            </w:r>
            <w:r w:rsidR="005D3C01">
              <w:rPr>
                <w:noProof/>
                <w:webHidden/>
              </w:rPr>
            </w:r>
            <w:r w:rsidR="005D3C01">
              <w:rPr>
                <w:noProof/>
                <w:webHidden/>
              </w:rPr>
              <w:fldChar w:fldCharType="separate"/>
            </w:r>
            <w:r w:rsidR="005D3C01">
              <w:rPr>
                <w:noProof/>
                <w:webHidden/>
              </w:rPr>
              <w:t>117</w:t>
            </w:r>
            <w:r w:rsidR="005D3C01">
              <w:rPr>
                <w:noProof/>
                <w:webHidden/>
              </w:rPr>
              <w:fldChar w:fldCharType="end"/>
            </w:r>
          </w:hyperlink>
        </w:p>
        <w:p w14:paraId="06733CC2" w14:textId="516C039A" w:rsidR="005D3C01" w:rsidRDefault="00383541">
          <w:pPr>
            <w:pStyle w:val="TOC2"/>
            <w:rPr>
              <w:rFonts w:eastAsiaTheme="minorEastAsia"/>
              <w:noProof/>
              <w:kern w:val="2"/>
              <w:sz w:val="24"/>
              <w:szCs w:val="24"/>
              <w:lang w:eastAsia="en-NZ"/>
              <w14:ligatures w14:val="standardContextual"/>
            </w:rPr>
          </w:pPr>
          <w:hyperlink w:anchor="_Toc174628722" w:history="1">
            <w:r w:rsidR="005D3C01" w:rsidRPr="008D5196">
              <w:rPr>
                <w:rStyle w:val="Hyperlink"/>
                <w:noProof/>
              </w:rPr>
              <w:t>To Māori communities affirming takatāpui</w:t>
            </w:r>
            <w:r w:rsidR="005D3C01">
              <w:rPr>
                <w:noProof/>
                <w:webHidden/>
              </w:rPr>
              <w:tab/>
            </w:r>
            <w:r w:rsidR="005D3C01">
              <w:rPr>
                <w:noProof/>
                <w:webHidden/>
              </w:rPr>
              <w:fldChar w:fldCharType="begin"/>
            </w:r>
            <w:r w:rsidR="005D3C01">
              <w:rPr>
                <w:noProof/>
                <w:webHidden/>
              </w:rPr>
              <w:instrText xml:space="preserve"> PAGEREF _Toc174628722 \h </w:instrText>
            </w:r>
            <w:r w:rsidR="005D3C01">
              <w:rPr>
                <w:noProof/>
                <w:webHidden/>
              </w:rPr>
            </w:r>
            <w:r w:rsidR="005D3C01">
              <w:rPr>
                <w:noProof/>
                <w:webHidden/>
              </w:rPr>
              <w:fldChar w:fldCharType="separate"/>
            </w:r>
            <w:r w:rsidR="005D3C01">
              <w:rPr>
                <w:noProof/>
                <w:webHidden/>
              </w:rPr>
              <w:t>117</w:t>
            </w:r>
            <w:r w:rsidR="005D3C01">
              <w:rPr>
                <w:noProof/>
                <w:webHidden/>
              </w:rPr>
              <w:fldChar w:fldCharType="end"/>
            </w:r>
          </w:hyperlink>
        </w:p>
        <w:p w14:paraId="0DEEA31D" w14:textId="3894D600" w:rsidR="005D3C01" w:rsidRDefault="00383541">
          <w:pPr>
            <w:pStyle w:val="TOC2"/>
            <w:rPr>
              <w:rFonts w:eastAsiaTheme="minorEastAsia"/>
              <w:noProof/>
              <w:kern w:val="2"/>
              <w:sz w:val="24"/>
              <w:szCs w:val="24"/>
              <w:lang w:eastAsia="en-NZ"/>
              <w14:ligatures w14:val="standardContextual"/>
            </w:rPr>
          </w:pPr>
          <w:hyperlink w:anchor="_Toc174628723" w:history="1">
            <w:r w:rsidR="005D3C01" w:rsidRPr="008D5196">
              <w:rPr>
                <w:rStyle w:val="Hyperlink"/>
                <w:noProof/>
              </w:rPr>
              <w:t xml:space="preserve">To Pacific communities affirming </w:t>
            </w:r>
            <w:r w:rsidR="005D3C01" w:rsidRPr="008D5196">
              <w:rPr>
                <w:rStyle w:val="Hyperlink"/>
                <w:rFonts w:eastAsia="Times New Roman"/>
                <w:noProof/>
              </w:rPr>
              <w:t>MVPFAFF+</w:t>
            </w:r>
            <w:r w:rsidR="005D3C01" w:rsidRPr="008D5196">
              <w:rPr>
                <w:rStyle w:val="Hyperlink"/>
                <w:noProof/>
              </w:rPr>
              <w:t xml:space="preserve"> people</w:t>
            </w:r>
            <w:r w:rsidR="005D3C01">
              <w:rPr>
                <w:noProof/>
                <w:webHidden/>
              </w:rPr>
              <w:tab/>
            </w:r>
            <w:r w:rsidR="005D3C01">
              <w:rPr>
                <w:noProof/>
                <w:webHidden/>
              </w:rPr>
              <w:fldChar w:fldCharType="begin"/>
            </w:r>
            <w:r w:rsidR="005D3C01">
              <w:rPr>
                <w:noProof/>
                <w:webHidden/>
              </w:rPr>
              <w:instrText xml:space="preserve"> PAGEREF _Toc174628723 \h </w:instrText>
            </w:r>
            <w:r w:rsidR="005D3C01">
              <w:rPr>
                <w:noProof/>
                <w:webHidden/>
              </w:rPr>
            </w:r>
            <w:r w:rsidR="005D3C01">
              <w:rPr>
                <w:noProof/>
                <w:webHidden/>
              </w:rPr>
              <w:fldChar w:fldCharType="separate"/>
            </w:r>
            <w:r w:rsidR="005D3C01">
              <w:rPr>
                <w:noProof/>
                <w:webHidden/>
              </w:rPr>
              <w:t>118</w:t>
            </w:r>
            <w:r w:rsidR="005D3C01">
              <w:rPr>
                <w:noProof/>
                <w:webHidden/>
              </w:rPr>
              <w:fldChar w:fldCharType="end"/>
            </w:r>
          </w:hyperlink>
        </w:p>
        <w:p w14:paraId="16F451B3" w14:textId="088BD37F" w:rsidR="005D3C01" w:rsidRDefault="00383541">
          <w:pPr>
            <w:pStyle w:val="TOC1"/>
            <w:rPr>
              <w:rFonts w:eastAsiaTheme="minorEastAsia"/>
              <w:b w:val="0"/>
              <w:bCs w:val="0"/>
              <w:kern w:val="2"/>
              <w:sz w:val="24"/>
              <w:szCs w:val="24"/>
              <w:lang w:eastAsia="en-NZ"/>
              <w14:ligatures w14:val="standardContextual"/>
            </w:rPr>
          </w:pPr>
          <w:hyperlink w:anchor="_Toc174628724" w:history="1">
            <w:r w:rsidR="005D3C01" w:rsidRPr="008D5196">
              <w:rPr>
                <w:rStyle w:val="Hyperlink"/>
              </w:rPr>
              <w:t>10.</w:t>
            </w:r>
            <w:r w:rsidR="005D3C01">
              <w:rPr>
                <w:rFonts w:eastAsiaTheme="minorEastAsia"/>
                <w:b w:val="0"/>
                <w:bCs w:val="0"/>
                <w:kern w:val="2"/>
                <w:sz w:val="24"/>
                <w:szCs w:val="24"/>
                <w:lang w:eastAsia="en-NZ"/>
                <w14:ligatures w14:val="standardContextual"/>
              </w:rPr>
              <w:tab/>
            </w:r>
            <w:r w:rsidR="005D3C01" w:rsidRPr="008D5196">
              <w:rPr>
                <w:rStyle w:val="Hyperlink"/>
              </w:rPr>
              <w:t>Conclusion</w:t>
            </w:r>
            <w:r w:rsidR="005D3C01">
              <w:rPr>
                <w:webHidden/>
              </w:rPr>
              <w:tab/>
            </w:r>
            <w:r w:rsidR="005D3C01">
              <w:rPr>
                <w:webHidden/>
              </w:rPr>
              <w:fldChar w:fldCharType="begin"/>
            </w:r>
            <w:r w:rsidR="005D3C01">
              <w:rPr>
                <w:webHidden/>
              </w:rPr>
              <w:instrText xml:space="preserve"> PAGEREF _Toc174628724 \h </w:instrText>
            </w:r>
            <w:r w:rsidR="005D3C01">
              <w:rPr>
                <w:webHidden/>
              </w:rPr>
            </w:r>
            <w:r w:rsidR="005D3C01">
              <w:rPr>
                <w:webHidden/>
              </w:rPr>
              <w:fldChar w:fldCharType="separate"/>
            </w:r>
            <w:r w:rsidR="005D3C01">
              <w:rPr>
                <w:webHidden/>
              </w:rPr>
              <w:t>119</w:t>
            </w:r>
            <w:r w:rsidR="005D3C01">
              <w:rPr>
                <w:webHidden/>
              </w:rPr>
              <w:fldChar w:fldCharType="end"/>
            </w:r>
          </w:hyperlink>
        </w:p>
        <w:p w14:paraId="35EF026A" w14:textId="16A2313B" w:rsidR="005D3C01" w:rsidRDefault="00383541">
          <w:pPr>
            <w:pStyle w:val="TOC1"/>
            <w:rPr>
              <w:rFonts w:eastAsiaTheme="minorEastAsia"/>
              <w:b w:val="0"/>
              <w:bCs w:val="0"/>
              <w:kern w:val="2"/>
              <w:sz w:val="24"/>
              <w:szCs w:val="24"/>
              <w:lang w:eastAsia="en-NZ"/>
              <w14:ligatures w14:val="standardContextual"/>
            </w:rPr>
          </w:pPr>
          <w:hyperlink w:anchor="_Toc174628725" w:history="1">
            <w:r w:rsidR="005D3C01" w:rsidRPr="008D5196">
              <w:rPr>
                <w:rStyle w:val="Hyperlink"/>
              </w:rPr>
              <w:t>References</w:t>
            </w:r>
            <w:r w:rsidR="005D3C01">
              <w:rPr>
                <w:webHidden/>
              </w:rPr>
              <w:tab/>
            </w:r>
            <w:r w:rsidR="005D3C01">
              <w:rPr>
                <w:webHidden/>
              </w:rPr>
              <w:fldChar w:fldCharType="begin"/>
            </w:r>
            <w:r w:rsidR="005D3C01">
              <w:rPr>
                <w:webHidden/>
              </w:rPr>
              <w:instrText xml:space="preserve"> PAGEREF _Toc174628725 \h </w:instrText>
            </w:r>
            <w:r w:rsidR="005D3C01">
              <w:rPr>
                <w:webHidden/>
              </w:rPr>
            </w:r>
            <w:r w:rsidR="005D3C01">
              <w:rPr>
                <w:webHidden/>
              </w:rPr>
              <w:fldChar w:fldCharType="separate"/>
            </w:r>
            <w:r w:rsidR="005D3C01">
              <w:rPr>
                <w:webHidden/>
              </w:rPr>
              <w:t>121</w:t>
            </w:r>
            <w:r w:rsidR="005D3C01">
              <w:rPr>
                <w:webHidden/>
              </w:rPr>
              <w:fldChar w:fldCharType="end"/>
            </w:r>
          </w:hyperlink>
        </w:p>
        <w:p w14:paraId="2D3C73CD" w14:textId="7B8408AC" w:rsidR="005D3C01" w:rsidRDefault="00383541">
          <w:pPr>
            <w:pStyle w:val="TOC2"/>
            <w:rPr>
              <w:rFonts w:eastAsiaTheme="minorEastAsia"/>
              <w:noProof/>
              <w:kern w:val="2"/>
              <w:sz w:val="24"/>
              <w:szCs w:val="24"/>
              <w:lang w:eastAsia="en-NZ"/>
              <w14:ligatures w14:val="standardContextual"/>
            </w:rPr>
          </w:pPr>
          <w:hyperlink w:anchor="_Toc174628726" w:history="1">
            <w:r w:rsidR="005D3C01" w:rsidRPr="008D5196">
              <w:rPr>
                <w:rStyle w:val="Hyperlink"/>
                <w:noProof/>
              </w:rPr>
              <w:t>New Zealand legislation</w:t>
            </w:r>
            <w:r w:rsidR="005D3C01">
              <w:rPr>
                <w:noProof/>
                <w:webHidden/>
              </w:rPr>
              <w:tab/>
            </w:r>
            <w:r w:rsidR="005D3C01">
              <w:rPr>
                <w:noProof/>
                <w:webHidden/>
              </w:rPr>
              <w:fldChar w:fldCharType="begin"/>
            </w:r>
            <w:r w:rsidR="005D3C01">
              <w:rPr>
                <w:noProof/>
                <w:webHidden/>
              </w:rPr>
              <w:instrText xml:space="preserve"> PAGEREF _Toc174628726 \h </w:instrText>
            </w:r>
            <w:r w:rsidR="005D3C01">
              <w:rPr>
                <w:noProof/>
                <w:webHidden/>
              </w:rPr>
            </w:r>
            <w:r w:rsidR="005D3C01">
              <w:rPr>
                <w:noProof/>
                <w:webHidden/>
              </w:rPr>
              <w:fldChar w:fldCharType="separate"/>
            </w:r>
            <w:r w:rsidR="005D3C01">
              <w:rPr>
                <w:noProof/>
                <w:webHidden/>
              </w:rPr>
              <w:t>133</w:t>
            </w:r>
            <w:r w:rsidR="005D3C01">
              <w:rPr>
                <w:noProof/>
                <w:webHidden/>
              </w:rPr>
              <w:fldChar w:fldCharType="end"/>
            </w:r>
          </w:hyperlink>
        </w:p>
        <w:p w14:paraId="03334A68" w14:textId="131E9C30" w:rsidR="005D3C01" w:rsidRDefault="00383541">
          <w:pPr>
            <w:pStyle w:val="TOC2"/>
            <w:rPr>
              <w:rFonts w:eastAsiaTheme="minorEastAsia"/>
              <w:noProof/>
              <w:kern w:val="2"/>
              <w:sz w:val="24"/>
              <w:szCs w:val="24"/>
              <w:lang w:eastAsia="en-NZ"/>
              <w14:ligatures w14:val="standardContextual"/>
            </w:rPr>
          </w:pPr>
          <w:hyperlink w:anchor="_Toc174628727" w:history="1">
            <w:r w:rsidR="005D3C01" w:rsidRPr="008D5196">
              <w:rPr>
                <w:rStyle w:val="Hyperlink"/>
                <w:noProof/>
              </w:rPr>
              <w:t>United Nations human rights instruments</w:t>
            </w:r>
            <w:r w:rsidR="005D3C01">
              <w:rPr>
                <w:noProof/>
                <w:webHidden/>
              </w:rPr>
              <w:tab/>
            </w:r>
            <w:r w:rsidR="005D3C01">
              <w:rPr>
                <w:noProof/>
                <w:webHidden/>
              </w:rPr>
              <w:fldChar w:fldCharType="begin"/>
            </w:r>
            <w:r w:rsidR="005D3C01">
              <w:rPr>
                <w:noProof/>
                <w:webHidden/>
              </w:rPr>
              <w:instrText xml:space="preserve"> PAGEREF _Toc174628727 \h </w:instrText>
            </w:r>
            <w:r w:rsidR="005D3C01">
              <w:rPr>
                <w:noProof/>
                <w:webHidden/>
              </w:rPr>
            </w:r>
            <w:r w:rsidR="005D3C01">
              <w:rPr>
                <w:noProof/>
                <w:webHidden/>
              </w:rPr>
              <w:fldChar w:fldCharType="separate"/>
            </w:r>
            <w:r w:rsidR="005D3C01">
              <w:rPr>
                <w:noProof/>
                <w:webHidden/>
              </w:rPr>
              <w:t>134</w:t>
            </w:r>
            <w:r w:rsidR="005D3C01">
              <w:rPr>
                <w:noProof/>
                <w:webHidden/>
              </w:rPr>
              <w:fldChar w:fldCharType="end"/>
            </w:r>
          </w:hyperlink>
        </w:p>
        <w:p w14:paraId="1B689961" w14:textId="61BA1D78" w:rsidR="005B33A1" w:rsidRPr="00015152" w:rsidRDefault="00813BF0" w:rsidP="00015021">
          <w:pPr>
            <w:pStyle w:val="TOC2"/>
            <w:rPr>
              <w:rStyle w:val="Hyperlink"/>
              <w:noProof/>
              <w:kern w:val="2"/>
              <w:lang w:eastAsia="en-NZ"/>
            </w:rPr>
          </w:pPr>
          <w:r>
            <w:fldChar w:fldCharType="end"/>
          </w:r>
        </w:p>
      </w:sdtContent>
    </w:sdt>
    <w:p w14:paraId="5CFADC29" w14:textId="2A5FC16D" w:rsidR="00501BC4" w:rsidRDefault="00501BC4">
      <w:pPr>
        <w:rPr>
          <w:rFonts w:asciiTheme="majorHAnsi" w:eastAsiaTheme="majorEastAsia" w:hAnsiTheme="majorHAnsi" w:cstheme="majorBidi"/>
          <w:b/>
          <w:bCs/>
          <w:color w:val="2F5496"/>
          <w:sz w:val="40"/>
          <w:szCs w:val="40"/>
        </w:rPr>
      </w:pPr>
      <w:bookmarkStart w:id="1" w:name="_Toc167780564"/>
      <w:r w:rsidRPr="3B11B5E9">
        <w:rPr>
          <w:color w:val="4472C4" w:themeColor="accent1"/>
        </w:rPr>
        <w:br w:type="page"/>
      </w:r>
    </w:p>
    <w:p w14:paraId="4A43CF7E" w14:textId="5F0BA662" w:rsidR="00B7217D" w:rsidRPr="00501BC4" w:rsidRDefault="00B7217D" w:rsidP="00501BC4">
      <w:pPr>
        <w:spacing w:after="200"/>
        <w:rPr>
          <w:rFonts w:asciiTheme="majorHAnsi" w:hAnsiTheme="majorHAnsi" w:cstheme="majorHAnsi"/>
          <w:b/>
          <w:bCs/>
          <w:color w:val="2F5496"/>
          <w:sz w:val="40"/>
          <w:szCs w:val="40"/>
        </w:rPr>
      </w:pPr>
      <w:r w:rsidRPr="00501BC4">
        <w:rPr>
          <w:rFonts w:asciiTheme="majorHAnsi" w:hAnsiTheme="majorHAnsi" w:cstheme="majorHAnsi"/>
          <w:b/>
          <w:bCs/>
          <w:color w:val="2F5496"/>
          <w:sz w:val="40"/>
          <w:szCs w:val="40"/>
        </w:rPr>
        <w:lastRenderedPageBreak/>
        <w:t>List</w:t>
      </w:r>
      <w:r w:rsidR="003D640C" w:rsidRPr="00501BC4">
        <w:rPr>
          <w:rFonts w:asciiTheme="majorHAnsi" w:hAnsiTheme="majorHAnsi" w:cstheme="majorHAnsi"/>
          <w:b/>
          <w:bCs/>
          <w:color w:val="2F5496"/>
          <w:sz w:val="40"/>
          <w:szCs w:val="40"/>
        </w:rPr>
        <w:t xml:space="preserve"> </w:t>
      </w:r>
      <w:r w:rsidRPr="00501BC4">
        <w:rPr>
          <w:rFonts w:asciiTheme="majorHAnsi" w:hAnsiTheme="majorHAnsi" w:cstheme="majorHAnsi"/>
          <w:b/>
          <w:bCs/>
          <w:color w:val="2F5496"/>
          <w:sz w:val="40"/>
          <w:szCs w:val="40"/>
        </w:rPr>
        <w:t>of</w:t>
      </w:r>
      <w:r w:rsidR="003D640C" w:rsidRPr="00501BC4">
        <w:rPr>
          <w:rFonts w:asciiTheme="majorHAnsi" w:hAnsiTheme="majorHAnsi" w:cstheme="majorHAnsi"/>
          <w:b/>
          <w:bCs/>
          <w:color w:val="2F5496"/>
          <w:sz w:val="40"/>
          <w:szCs w:val="40"/>
        </w:rPr>
        <w:t xml:space="preserve"> </w:t>
      </w:r>
      <w:r w:rsidR="007B527F" w:rsidRPr="00501BC4">
        <w:rPr>
          <w:rFonts w:asciiTheme="majorHAnsi" w:hAnsiTheme="majorHAnsi" w:cstheme="majorHAnsi"/>
          <w:b/>
          <w:bCs/>
          <w:color w:val="2F5496"/>
          <w:sz w:val="40"/>
          <w:szCs w:val="40"/>
        </w:rPr>
        <w:t>f</w:t>
      </w:r>
      <w:r w:rsidRPr="00501BC4">
        <w:rPr>
          <w:rFonts w:asciiTheme="majorHAnsi" w:hAnsiTheme="majorHAnsi" w:cstheme="majorHAnsi"/>
          <w:b/>
          <w:bCs/>
          <w:color w:val="2F5496"/>
          <w:sz w:val="40"/>
          <w:szCs w:val="40"/>
        </w:rPr>
        <w:t>igures</w:t>
      </w:r>
      <w:bookmarkEnd w:id="1"/>
      <w:r w:rsidR="003D640C" w:rsidRPr="00501BC4">
        <w:rPr>
          <w:rFonts w:asciiTheme="majorHAnsi" w:hAnsiTheme="majorHAnsi" w:cstheme="majorHAnsi"/>
          <w:b/>
          <w:bCs/>
          <w:color w:val="2F5496"/>
          <w:sz w:val="40"/>
          <w:szCs w:val="40"/>
        </w:rPr>
        <w:t xml:space="preserve"> </w:t>
      </w:r>
    </w:p>
    <w:p w14:paraId="7DDC27FA" w14:textId="1C51B98D" w:rsidR="005D3C01" w:rsidRDefault="007B527F">
      <w:pPr>
        <w:pStyle w:val="TableofFigures"/>
        <w:rPr>
          <w:rFonts w:eastAsiaTheme="minorEastAsia"/>
          <w:kern w:val="2"/>
          <w:sz w:val="24"/>
          <w:szCs w:val="24"/>
          <w:lang w:eastAsia="en-NZ"/>
          <w14:ligatures w14:val="standardContextual"/>
        </w:rPr>
      </w:pPr>
      <w:r>
        <w:fldChar w:fldCharType="begin"/>
      </w:r>
      <w:r>
        <w:instrText xml:space="preserve"> TOC \h \z \c "Figure" </w:instrText>
      </w:r>
      <w:r>
        <w:fldChar w:fldCharType="separate"/>
      </w:r>
      <w:hyperlink w:anchor="_Toc174628728" w:history="1">
        <w:r w:rsidR="005D3C01" w:rsidRPr="00C27970">
          <w:rPr>
            <w:rStyle w:val="Hyperlink"/>
          </w:rPr>
          <w:t>Figure 1: Prevalence of experiencing conversion practices – survey results from Awaken | Maranga Mai conference 2023.</w:t>
        </w:r>
        <w:r w:rsidR="005D3C01">
          <w:rPr>
            <w:webHidden/>
          </w:rPr>
          <w:tab/>
        </w:r>
        <w:r w:rsidR="005D3C01">
          <w:rPr>
            <w:webHidden/>
          </w:rPr>
          <w:fldChar w:fldCharType="begin"/>
        </w:r>
        <w:r w:rsidR="005D3C01">
          <w:rPr>
            <w:webHidden/>
          </w:rPr>
          <w:instrText xml:space="preserve"> PAGEREF _Toc174628728 \h </w:instrText>
        </w:r>
        <w:r w:rsidR="005D3C01">
          <w:rPr>
            <w:webHidden/>
          </w:rPr>
        </w:r>
        <w:r w:rsidR="005D3C01">
          <w:rPr>
            <w:webHidden/>
          </w:rPr>
          <w:fldChar w:fldCharType="separate"/>
        </w:r>
        <w:r w:rsidR="005D3C01">
          <w:rPr>
            <w:webHidden/>
          </w:rPr>
          <w:t>35</w:t>
        </w:r>
        <w:r w:rsidR="005D3C01">
          <w:rPr>
            <w:webHidden/>
          </w:rPr>
          <w:fldChar w:fldCharType="end"/>
        </w:r>
      </w:hyperlink>
    </w:p>
    <w:p w14:paraId="01F6A1E0" w14:textId="0D8E0944" w:rsidR="005D3C01" w:rsidRDefault="00383541">
      <w:pPr>
        <w:pStyle w:val="TableofFigures"/>
        <w:rPr>
          <w:rFonts w:eastAsiaTheme="minorEastAsia"/>
          <w:kern w:val="2"/>
          <w:sz w:val="24"/>
          <w:szCs w:val="24"/>
          <w:lang w:eastAsia="en-NZ"/>
          <w14:ligatures w14:val="standardContextual"/>
        </w:rPr>
      </w:pPr>
      <w:hyperlink w:anchor="_Toc174628729" w:history="1">
        <w:r w:rsidR="005D3C01" w:rsidRPr="00C27970">
          <w:rPr>
            <w:rStyle w:val="Hyperlink"/>
          </w:rPr>
          <w:t>Figure 2: Contributors to conversion practices – survey results from Awaken | Maranga Mai conference 2023.</w:t>
        </w:r>
        <w:r w:rsidR="005D3C01">
          <w:rPr>
            <w:webHidden/>
          </w:rPr>
          <w:tab/>
        </w:r>
        <w:r w:rsidR="005D3C01">
          <w:rPr>
            <w:webHidden/>
          </w:rPr>
          <w:fldChar w:fldCharType="begin"/>
        </w:r>
        <w:r w:rsidR="005D3C01">
          <w:rPr>
            <w:webHidden/>
          </w:rPr>
          <w:instrText xml:space="preserve"> PAGEREF _Toc174628729 \h </w:instrText>
        </w:r>
        <w:r w:rsidR="005D3C01">
          <w:rPr>
            <w:webHidden/>
          </w:rPr>
        </w:r>
        <w:r w:rsidR="005D3C01">
          <w:rPr>
            <w:webHidden/>
          </w:rPr>
          <w:fldChar w:fldCharType="separate"/>
        </w:r>
        <w:r w:rsidR="005D3C01">
          <w:rPr>
            <w:webHidden/>
          </w:rPr>
          <w:t>35</w:t>
        </w:r>
        <w:r w:rsidR="005D3C01">
          <w:rPr>
            <w:webHidden/>
          </w:rPr>
          <w:fldChar w:fldCharType="end"/>
        </w:r>
      </w:hyperlink>
    </w:p>
    <w:p w14:paraId="6DACD22F" w14:textId="5F04522A" w:rsidR="005D3C01" w:rsidRDefault="00383541">
      <w:pPr>
        <w:pStyle w:val="TableofFigures"/>
        <w:rPr>
          <w:rFonts w:eastAsiaTheme="minorEastAsia"/>
          <w:kern w:val="2"/>
          <w:sz w:val="24"/>
          <w:szCs w:val="24"/>
          <w:lang w:eastAsia="en-NZ"/>
          <w14:ligatures w14:val="standardContextual"/>
        </w:rPr>
      </w:pPr>
      <w:hyperlink w:anchor="_Toc174628730" w:history="1">
        <w:r w:rsidR="005D3C01" w:rsidRPr="00C27970">
          <w:rPr>
            <w:rStyle w:val="Hyperlink"/>
          </w:rPr>
          <w:t>Figure 3: Level of Rainbow comfort in faith settings – survey results from Awaken | Maranga Mai conference 2023.</w:t>
        </w:r>
        <w:r w:rsidR="005D3C01">
          <w:rPr>
            <w:webHidden/>
          </w:rPr>
          <w:tab/>
        </w:r>
        <w:r w:rsidR="005D3C01">
          <w:rPr>
            <w:webHidden/>
          </w:rPr>
          <w:fldChar w:fldCharType="begin"/>
        </w:r>
        <w:r w:rsidR="005D3C01">
          <w:rPr>
            <w:webHidden/>
          </w:rPr>
          <w:instrText xml:space="preserve"> PAGEREF _Toc174628730 \h </w:instrText>
        </w:r>
        <w:r w:rsidR="005D3C01">
          <w:rPr>
            <w:webHidden/>
          </w:rPr>
        </w:r>
        <w:r w:rsidR="005D3C01">
          <w:rPr>
            <w:webHidden/>
          </w:rPr>
          <w:fldChar w:fldCharType="separate"/>
        </w:r>
        <w:r w:rsidR="005D3C01">
          <w:rPr>
            <w:webHidden/>
          </w:rPr>
          <w:t>49</w:t>
        </w:r>
        <w:r w:rsidR="005D3C01">
          <w:rPr>
            <w:webHidden/>
          </w:rPr>
          <w:fldChar w:fldCharType="end"/>
        </w:r>
      </w:hyperlink>
    </w:p>
    <w:p w14:paraId="1A083DAE" w14:textId="538D0251" w:rsidR="005D3C01" w:rsidRDefault="00383541">
      <w:pPr>
        <w:pStyle w:val="TableofFigures"/>
        <w:rPr>
          <w:rFonts w:eastAsiaTheme="minorEastAsia"/>
          <w:kern w:val="2"/>
          <w:sz w:val="24"/>
          <w:szCs w:val="24"/>
          <w:lang w:eastAsia="en-NZ"/>
          <w14:ligatures w14:val="standardContextual"/>
        </w:rPr>
      </w:pPr>
      <w:hyperlink w:anchor="_Toc174628731" w:history="1">
        <w:r w:rsidR="005D3C01" w:rsidRPr="00C27970">
          <w:rPr>
            <w:rStyle w:val="Hyperlink"/>
          </w:rPr>
          <w:t>Figure 4:</w:t>
        </w:r>
        <w:r w:rsidR="005D3C01" w:rsidRPr="00C27970">
          <w:rPr>
            <w:rStyle w:val="Hyperlink"/>
            <w:rFonts w:ascii="Calibri" w:eastAsia="Calibri" w:hAnsi="Calibri" w:cs="Calibri"/>
          </w:rPr>
          <w:t xml:space="preserve"> Aspects of faith settings that bring up bad memories – </w:t>
        </w:r>
        <w:r w:rsidR="005D3C01" w:rsidRPr="00C27970">
          <w:rPr>
            <w:rStyle w:val="Hyperlink"/>
          </w:rPr>
          <w:t>survey results from Awaken | Maranga Mai conference 2023, (up to 4 answers possible).</w:t>
        </w:r>
        <w:r w:rsidR="005D3C01">
          <w:rPr>
            <w:webHidden/>
          </w:rPr>
          <w:tab/>
        </w:r>
        <w:r w:rsidR="005D3C01">
          <w:rPr>
            <w:webHidden/>
          </w:rPr>
          <w:fldChar w:fldCharType="begin"/>
        </w:r>
        <w:r w:rsidR="005D3C01">
          <w:rPr>
            <w:webHidden/>
          </w:rPr>
          <w:instrText xml:space="preserve"> PAGEREF _Toc174628731 \h </w:instrText>
        </w:r>
        <w:r w:rsidR="005D3C01">
          <w:rPr>
            <w:webHidden/>
          </w:rPr>
        </w:r>
        <w:r w:rsidR="005D3C01">
          <w:rPr>
            <w:webHidden/>
          </w:rPr>
          <w:fldChar w:fldCharType="separate"/>
        </w:r>
        <w:r w:rsidR="005D3C01">
          <w:rPr>
            <w:webHidden/>
          </w:rPr>
          <w:t>50</w:t>
        </w:r>
        <w:r w:rsidR="005D3C01">
          <w:rPr>
            <w:webHidden/>
          </w:rPr>
          <w:fldChar w:fldCharType="end"/>
        </w:r>
      </w:hyperlink>
    </w:p>
    <w:p w14:paraId="4932F648" w14:textId="195AE548" w:rsidR="005D3C01" w:rsidRDefault="00383541">
      <w:pPr>
        <w:pStyle w:val="TableofFigures"/>
        <w:rPr>
          <w:rFonts w:eastAsiaTheme="minorEastAsia"/>
          <w:kern w:val="2"/>
          <w:sz w:val="24"/>
          <w:szCs w:val="24"/>
          <w:lang w:eastAsia="en-NZ"/>
          <w14:ligatures w14:val="standardContextual"/>
        </w:rPr>
      </w:pPr>
      <w:hyperlink w:anchor="_Toc174628732" w:history="1">
        <w:r w:rsidR="005D3C01" w:rsidRPr="00C27970">
          <w:rPr>
            <w:rStyle w:val="Hyperlink"/>
          </w:rPr>
          <w:t>Figure 5</w:t>
        </w:r>
        <w:r w:rsidR="005D3C01" w:rsidRPr="00C27970">
          <w:rPr>
            <w:rStyle w:val="Hyperlink"/>
            <w:rFonts w:ascii="Calibri" w:eastAsia="Calibri" w:hAnsi="Calibri" w:cs="Calibri"/>
          </w:rPr>
          <w:t xml:space="preserve">: Ways to make faith settings feel safer for Rainbow people – </w:t>
        </w:r>
        <w:r w:rsidR="005D3C01" w:rsidRPr="00C27970">
          <w:rPr>
            <w:rStyle w:val="Hyperlink"/>
          </w:rPr>
          <w:t>survey results from Awaken | Maranga Mai conference 2023, (up to 5 answers possible).</w:t>
        </w:r>
        <w:r w:rsidR="005D3C01">
          <w:rPr>
            <w:webHidden/>
          </w:rPr>
          <w:tab/>
        </w:r>
        <w:r w:rsidR="005D3C01">
          <w:rPr>
            <w:webHidden/>
          </w:rPr>
          <w:fldChar w:fldCharType="begin"/>
        </w:r>
        <w:r w:rsidR="005D3C01">
          <w:rPr>
            <w:webHidden/>
          </w:rPr>
          <w:instrText xml:space="preserve"> PAGEREF _Toc174628732 \h </w:instrText>
        </w:r>
        <w:r w:rsidR="005D3C01">
          <w:rPr>
            <w:webHidden/>
          </w:rPr>
        </w:r>
        <w:r w:rsidR="005D3C01">
          <w:rPr>
            <w:webHidden/>
          </w:rPr>
          <w:fldChar w:fldCharType="separate"/>
        </w:r>
        <w:r w:rsidR="005D3C01">
          <w:rPr>
            <w:webHidden/>
          </w:rPr>
          <w:t>51</w:t>
        </w:r>
        <w:r w:rsidR="005D3C01">
          <w:rPr>
            <w:webHidden/>
          </w:rPr>
          <w:fldChar w:fldCharType="end"/>
        </w:r>
      </w:hyperlink>
    </w:p>
    <w:p w14:paraId="431EF93B" w14:textId="6C212F1A" w:rsidR="005D3C01" w:rsidRDefault="00383541">
      <w:pPr>
        <w:pStyle w:val="TableofFigures"/>
        <w:rPr>
          <w:rFonts w:eastAsiaTheme="minorEastAsia"/>
          <w:kern w:val="2"/>
          <w:sz w:val="24"/>
          <w:szCs w:val="24"/>
          <w:lang w:eastAsia="en-NZ"/>
          <w14:ligatures w14:val="standardContextual"/>
        </w:rPr>
      </w:pPr>
      <w:hyperlink w:anchor="_Toc174628733" w:history="1">
        <w:r w:rsidR="005D3C01" w:rsidRPr="00C27970">
          <w:rPr>
            <w:rStyle w:val="Hyperlink"/>
          </w:rPr>
          <w:t>Figure 6: The life cycle of repeated conversion practices until the survivor exits.</w:t>
        </w:r>
        <w:r w:rsidR="005D3C01">
          <w:rPr>
            <w:webHidden/>
          </w:rPr>
          <w:tab/>
        </w:r>
        <w:r w:rsidR="005D3C01">
          <w:rPr>
            <w:webHidden/>
          </w:rPr>
          <w:fldChar w:fldCharType="begin"/>
        </w:r>
        <w:r w:rsidR="005D3C01">
          <w:rPr>
            <w:webHidden/>
          </w:rPr>
          <w:instrText xml:space="preserve"> PAGEREF _Toc174628733 \h </w:instrText>
        </w:r>
        <w:r w:rsidR="005D3C01">
          <w:rPr>
            <w:webHidden/>
          </w:rPr>
        </w:r>
        <w:r w:rsidR="005D3C01">
          <w:rPr>
            <w:webHidden/>
          </w:rPr>
          <w:fldChar w:fldCharType="separate"/>
        </w:r>
        <w:r w:rsidR="005D3C01">
          <w:rPr>
            <w:webHidden/>
          </w:rPr>
          <w:t>58</w:t>
        </w:r>
        <w:r w:rsidR="005D3C01">
          <w:rPr>
            <w:webHidden/>
          </w:rPr>
          <w:fldChar w:fldCharType="end"/>
        </w:r>
      </w:hyperlink>
    </w:p>
    <w:p w14:paraId="164C1471" w14:textId="3631C70D" w:rsidR="005D3C01" w:rsidRDefault="00383541">
      <w:pPr>
        <w:pStyle w:val="TableofFigures"/>
        <w:rPr>
          <w:rFonts w:eastAsiaTheme="minorEastAsia"/>
          <w:kern w:val="2"/>
          <w:sz w:val="24"/>
          <w:szCs w:val="24"/>
          <w:lang w:eastAsia="en-NZ"/>
          <w14:ligatures w14:val="standardContextual"/>
        </w:rPr>
      </w:pPr>
      <w:hyperlink w:anchor="_Toc174628734" w:history="1">
        <w:r w:rsidR="005D3C01" w:rsidRPr="00C27970">
          <w:rPr>
            <w:rStyle w:val="Hyperlink"/>
          </w:rPr>
          <w:t>Figure 7: Model for the harm caused by conversion practices in physical, mental, and spiritual dimensions.</w:t>
        </w:r>
        <w:r w:rsidR="005D3C01">
          <w:rPr>
            <w:webHidden/>
          </w:rPr>
          <w:tab/>
        </w:r>
        <w:r w:rsidR="005D3C01">
          <w:rPr>
            <w:webHidden/>
          </w:rPr>
          <w:fldChar w:fldCharType="begin"/>
        </w:r>
        <w:r w:rsidR="005D3C01">
          <w:rPr>
            <w:webHidden/>
          </w:rPr>
          <w:instrText xml:space="preserve"> PAGEREF _Toc174628734 \h </w:instrText>
        </w:r>
        <w:r w:rsidR="005D3C01">
          <w:rPr>
            <w:webHidden/>
          </w:rPr>
        </w:r>
        <w:r w:rsidR="005D3C01">
          <w:rPr>
            <w:webHidden/>
          </w:rPr>
          <w:fldChar w:fldCharType="separate"/>
        </w:r>
        <w:r w:rsidR="005D3C01">
          <w:rPr>
            <w:webHidden/>
          </w:rPr>
          <w:t>63</w:t>
        </w:r>
        <w:r w:rsidR="005D3C01">
          <w:rPr>
            <w:webHidden/>
          </w:rPr>
          <w:fldChar w:fldCharType="end"/>
        </w:r>
      </w:hyperlink>
    </w:p>
    <w:p w14:paraId="7FB8FBE1" w14:textId="60809277" w:rsidR="005D3C01" w:rsidRDefault="00383541">
      <w:pPr>
        <w:pStyle w:val="TableofFigures"/>
        <w:rPr>
          <w:rFonts w:eastAsiaTheme="minorEastAsia"/>
          <w:kern w:val="2"/>
          <w:sz w:val="24"/>
          <w:szCs w:val="24"/>
          <w:lang w:eastAsia="en-NZ"/>
          <w14:ligatures w14:val="standardContextual"/>
        </w:rPr>
      </w:pPr>
      <w:hyperlink w:anchor="_Toc174628735" w:history="1">
        <w:r w:rsidR="005D3C01" w:rsidRPr="00C27970">
          <w:rPr>
            <w:rStyle w:val="Hyperlink"/>
          </w:rPr>
          <w:t>Figure 8: Model of multidimensional harms caused by conversion practices.</w:t>
        </w:r>
        <w:r w:rsidR="005D3C01">
          <w:rPr>
            <w:webHidden/>
          </w:rPr>
          <w:tab/>
        </w:r>
        <w:r w:rsidR="005D3C01">
          <w:rPr>
            <w:webHidden/>
          </w:rPr>
          <w:fldChar w:fldCharType="begin"/>
        </w:r>
        <w:r w:rsidR="005D3C01">
          <w:rPr>
            <w:webHidden/>
          </w:rPr>
          <w:instrText xml:space="preserve"> PAGEREF _Toc174628735 \h </w:instrText>
        </w:r>
        <w:r w:rsidR="005D3C01">
          <w:rPr>
            <w:webHidden/>
          </w:rPr>
        </w:r>
        <w:r w:rsidR="005D3C01">
          <w:rPr>
            <w:webHidden/>
          </w:rPr>
          <w:fldChar w:fldCharType="separate"/>
        </w:r>
        <w:r w:rsidR="005D3C01">
          <w:rPr>
            <w:webHidden/>
          </w:rPr>
          <w:t>66</w:t>
        </w:r>
        <w:r w:rsidR="005D3C01">
          <w:rPr>
            <w:webHidden/>
          </w:rPr>
          <w:fldChar w:fldCharType="end"/>
        </w:r>
      </w:hyperlink>
    </w:p>
    <w:p w14:paraId="76A3D5DB" w14:textId="37F26B7F" w:rsidR="005D3C01" w:rsidRDefault="00383541">
      <w:pPr>
        <w:pStyle w:val="TableofFigures"/>
        <w:rPr>
          <w:rFonts w:eastAsiaTheme="minorEastAsia"/>
          <w:kern w:val="2"/>
          <w:sz w:val="24"/>
          <w:szCs w:val="24"/>
          <w:lang w:eastAsia="en-NZ"/>
          <w14:ligatures w14:val="standardContextual"/>
        </w:rPr>
      </w:pPr>
      <w:hyperlink w:anchor="_Toc174628736" w:history="1">
        <w:r w:rsidR="005D3C01" w:rsidRPr="00C27970">
          <w:rPr>
            <w:rStyle w:val="Hyperlink"/>
          </w:rPr>
          <w:t>Figure 9</w:t>
        </w:r>
        <w:r w:rsidR="005D3C01" w:rsidRPr="00C27970">
          <w:rPr>
            <w:rStyle w:val="Hyperlink"/>
            <w:lang w:eastAsia="en-NZ"/>
          </w:rPr>
          <w:t>: Percentage of trans and non-binary participants who experienced conversion practices by health professionals by ethnicity.</w:t>
        </w:r>
        <w:r w:rsidR="005D3C01">
          <w:rPr>
            <w:webHidden/>
          </w:rPr>
          <w:tab/>
        </w:r>
        <w:r w:rsidR="005D3C01">
          <w:rPr>
            <w:webHidden/>
          </w:rPr>
          <w:fldChar w:fldCharType="begin"/>
        </w:r>
        <w:r w:rsidR="005D3C01">
          <w:rPr>
            <w:webHidden/>
          </w:rPr>
          <w:instrText xml:space="preserve"> PAGEREF _Toc174628736 \h </w:instrText>
        </w:r>
        <w:r w:rsidR="005D3C01">
          <w:rPr>
            <w:webHidden/>
          </w:rPr>
        </w:r>
        <w:r w:rsidR="005D3C01">
          <w:rPr>
            <w:webHidden/>
          </w:rPr>
          <w:fldChar w:fldCharType="separate"/>
        </w:r>
        <w:r w:rsidR="005D3C01">
          <w:rPr>
            <w:webHidden/>
          </w:rPr>
          <w:t>67</w:t>
        </w:r>
        <w:r w:rsidR="005D3C01">
          <w:rPr>
            <w:webHidden/>
          </w:rPr>
          <w:fldChar w:fldCharType="end"/>
        </w:r>
      </w:hyperlink>
    </w:p>
    <w:p w14:paraId="06501ACA" w14:textId="796484F7" w:rsidR="005D3C01" w:rsidRDefault="00383541">
      <w:pPr>
        <w:pStyle w:val="TableofFigures"/>
        <w:rPr>
          <w:rFonts w:eastAsiaTheme="minorEastAsia"/>
          <w:kern w:val="2"/>
          <w:sz w:val="24"/>
          <w:szCs w:val="24"/>
          <w:lang w:eastAsia="en-NZ"/>
          <w14:ligatures w14:val="standardContextual"/>
        </w:rPr>
      </w:pPr>
      <w:hyperlink w:anchor="_Toc174628737" w:history="1">
        <w:r w:rsidR="005D3C01" w:rsidRPr="00C27970">
          <w:rPr>
            <w:rStyle w:val="Hyperlink"/>
          </w:rPr>
          <w:t>Figure 10: Ethnicity of Pacific population in Aotearoa. (Source: Stats NZ, 2018)</w:t>
        </w:r>
        <w:r w:rsidR="005D3C01">
          <w:rPr>
            <w:webHidden/>
          </w:rPr>
          <w:tab/>
        </w:r>
        <w:r w:rsidR="005D3C01">
          <w:rPr>
            <w:webHidden/>
          </w:rPr>
          <w:fldChar w:fldCharType="begin"/>
        </w:r>
        <w:r w:rsidR="005D3C01">
          <w:rPr>
            <w:webHidden/>
          </w:rPr>
          <w:instrText xml:space="preserve"> PAGEREF _Toc174628737 \h </w:instrText>
        </w:r>
        <w:r w:rsidR="005D3C01">
          <w:rPr>
            <w:webHidden/>
          </w:rPr>
        </w:r>
        <w:r w:rsidR="005D3C01">
          <w:rPr>
            <w:webHidden/>
          </w:rPr>
          <w:fldChar w:fldCharType="separate"/>
        </w:r>
        <w:r w:rsidR="005D3C01">
          <w:rPr>
            <w:webHidden/>
          </w:rPr>
          <w:t>75</w:t>
        </w:r>
        <w:r w:rsidR="005D3C01">
          <w:rPr>
            <w:webHidden/>
          </w:rPr>
          <w:fldChar w:fldCharType="end"/>
        </w:r>
      </w:hyperlink>
    </w:p>
    <w:p w14:paraId="4A205DF8" w14:textId="7D8B58DD" w:rsidR="005D3C01" w:rsidRDefault="00383541">
      <w:pPr>
        <w:pStyle w:val="TableofFigures"/>
        <w:rPr>
          <w:rFonts w:eastAsiaTheme="minorEastAsia"/>
          <w:kern w:val="2"/>
          <w:sz w:val="24"/>
          <w:szCs w:val="24"/>
          <w:lang w:eastAsia="en-NZ"/>
          <w14:ligatures w14:val="standardContextual"/>
        </w:rPr>
      </w:pPr>
      <w:hyperlink w:anchor="_Toc174628738" w:history="1">
        <w:r w:rsidR="005D3C01" w:rsidRPr="00C27970">
          <w:rPr>
            <w:rStyle w:val="Hyperlink"/>
          </w:rPr>
          <w:t>Figure 11</w:t>
        </w:r>
        <w:r w:rsidR="005D3C01" w:rsidRPr="00C27970">
          <w:rPr>
            <w:rStyle w:val="Hyperlink"/>
            <w:rFonts w:eastAsia="Times New Roman" w:cstheme="minorHAnsi"/>
            <w:lang w:eastAsia="en-NZ"/>
          </w:rPr>
          <w:t>:</w:t>
        </w:r>
        <w:r w:rsidR="005D3C01" w:rsidRPr="00C27970">
          <w:rPr>
            <w:rStyle w:val="Hyperlink"/>
            <w:rFonts w:eastAsia="Times New Roman" w:cstheme="minorHAnsi"/>
            <w:b/>
            <w:bCs/>
            <w:lang w:eastAsia="en-NZ"/>
          </w:rPr>
          <w:t xml:space="preserve"> </w:t>
        </w:r>
        <w:r w:rsidR="005D3C01" w:rsidRPr="00C27970">
          <w:rPr>
            <w:rStyle w:val="Hyperlink"/>
          </w:rPr>
          <w:t>The life cycle of repeated conversion practices until the survivor exits.</w:t>
        </w:r>
        <w:r w:rsidR="005D3C01">
          <w:rPr>
            <w:webHidden/>
          </w:rPr>
          <w:tab/>
        </w:r>
        <w:r w:rsidR="005D3C01">
          <w:rPr>
            <w:webHidden/>
          </w:rPr>
          <w:fldChar w:fldCharType="begin"/>
        </w:r>
        <w:r w:rsidR="005D3C01">
          <w:rPr>
            <w:webHidden/>
          </w:rPr>
          <w:instrText xml:space="preserve"> PAGEREF _Toc174628738 \h </w:instrText>
        </w:r>
        <w:r w:rsidR="005D3C01">
          <w:rPr>
            <w:webHidden/>
          </w:rPr>
        </w:r>
        <w:r w:rsidR="005D3C01">
          <w:rPr>
            <w:webHidden/>
          </w:rPr>
          <w:fldChar w:fldCharType="separate"/>
        </w:r>
        <w:r w:rsidR="005D3C01">
          <w:rPr>
            <w:webHidden/>
          </w:rPr>
          <w:t>97</w:t>
        </w:r>
        <w:r w:rsidR="005D3C01">
          <w:rPr>
            <w:webHidden/>
          </w:rPr>
          <w:fldChar w:fldCharType="end"/>
        </w:r>
      </w:hyperlink>
    </w:p>
    <w:p w14:paraId="56C1E1D6" w14:textId="2673C1EE" w:rsidR="005D3C01" w:rsidRDefault="00383541">
      <w:pPr>
        <w:pStyle w:val="TableofFigures"/>
        <w:rPr>
          <w:rFonts w:eastAsiaTheme="minorEastAsia"/>
          <w:kern w:val="2"/>
          <w:sz w:val="24"/>
          <w:szCs w:val="24"/>
          <w:lang w:eastAsia="en-NZ"/>
          <w14:ligatures w14:val="standardContextual"/>
        </w:rPr>
      </w:pPr>
      <w:hyperlink w:anchor="_Toc174628739" w:history="1">
        <w:r w:rsidR="005D3C01" w:rsidRPr="00C27970">
          <w:rPr>
            <w:rStyle w:val="Hyperlink"/>
          </w:rPr>
          <w:t>Figure 12</w:t>
        </w:r>
        <w:r w:rsidR="005D3C01" w:rsidRPr="00C27970">
          <w:rPr>
            <w:rStyle w:val="Hyperlink"/>
            <w:rFonts w:eastAsia="Times New Roman" w:cstheme="minorHAnsi"/>
            <w:lang w:eastAsia="en-NZ"/>
          </w:rPr>
          <w:t xml:space="preserve">: </w:t>
        </w:r>
        <w:r w:rsidR="005D3C01" w:rsidRPr="00C27970">
          <w:rPr>
            <w:rStyle w:val="Hyperlink"/>
          </w:rPr>
          <w:t>Model of multidimensional harms caused by conversion practices.</w:t>
        </w:r>
        <w:r w:rsidR="005D3C01">
          <w:rPr>
            <w:webHidden/>
          </w:rPr>
          <w:tab/>
        </w:r>
        <w:r w:rsidR="005D3C01">
          <w:rPr>
            <w:webHidden/>
          </w:rPr>
          <w:fldChar w:fldCharType="begin"/>
        </w:r>
        <w:r w:rsidR="005D3C01">
          <w:rPr>
            <w:webHidden/>
          </w:rPr>
          <w:instrText xml:space="preserve"> PAGEREF _Toc174628739 \h </w:instrText>
        </w:r>
        <w:r w:rsidR="005D3C01">
          <w:rPr>
            <w:webHidden/>
          </w:rPr>
        </w:r>
        <w:r w:rsidR="005D3C01">
          <w:rPr>
            <w:webHidden/>
          </w:rPr>
          <w:fldChar w:fldCharType="separate"/>
        </w:r>
        <w:r w:rsidR="005D3C01">
          <w:rPr>
            <w:webHidden/>
          </w:rPr>
          <w:t>98</w:t>
        </w:r>
        <w:r w:rsidR="005D3C01">
          <w:rPr>
            <w:webHidden/>
          </w:rPr>
          <w:fldChar w:fldCharType="end"/>
        </w:r>
      </w:hyperlink>
    </w:p>
    <w:p w14:paraId="070A386B" w14:textId="6701BA69" w:rsidR="007B527F" w:rsidRDefault="007B527F" w:rsidP="007B527F">
      <w:r>
        <w:fldChar w:fldCharType="end"/>
      </w:r>
      <w:bookmarkStart w:id="2" w:name="_Toc167780565"/>
      <w:bookmarkStart w:id="3" w:name="_Toc138325154"/>
      <w:bookmarkStart w:id="4" w:name="_Toc138343790"/>
    </w:p>
    <w:p w14:paraId="12F00A96" w14:textId="77777777" w:rsidR="007B527F" w:rsidRDefault="007B527F">
      <w:r>
        <w:br w:type="page"/>
      </w:r>
    </w:p>
    <w:p w14:paraId="6B18DE80" w14:textId="2A862A29" w:rsidR="00AC75BD" w:rsidRPr="00BB6220" w:rsidRDefault="00AC75BD" w:rsidP="178ADA35">
      <w:pPr>
        <w:pStyle w:val="Heading1-nonumbering"/>
        <w:ind w:left="0" w:firstLine="0"/>
      </w:pPr>
      <w:bookmarkStart w:id="5" w:name="_Toc374022659"/>
      <w:bookmarkStart w:id="6" w:name="_Toc174628618"/>
      <w:r>
        <w:lastRenderedPageBreak/>
        <w:t>Foreword</w:t>
      </w:r>
      <w:bookmarkEnd w:id="2"/>
      <w:bookmarkEnd w:id="5"/>
      <w:bookmarkEnd w:id="6"/>
    </w:p>
    <w:p w14:paraId="15980904" w14:textId="1BF93AAE" w:rsidR="00410803" w:rsidRPr="00410803" w:rsidRDefault="00410803" w:rsidP="00955306">
      <w:r w:rsidRPr="00410803">
        <w:t>Imagine</w:t>
      </w:r>
      <w:r w:rsidR="003D640C">
        <w:t xml:space="preserve"> </w:t>
      </w:r>
      <w:r w:rsidRPr="00410803">
        <w:t>a</w:t>
      </w:r>
      <w:r w:rsidR="003D640C">
        <w:t xml:space="preserve"> </w:t>
      </w:r>
      <w:r w:rsidRPr="00410803">
        <w:t>future</w:t>
      </w:r>
      <w:r w:rsidR="003D640C">
        <w:t xml:space="preserve"> </w:t>
      </w:r>
      <w:r w:rsidRPr="00410803">
        <w:t>where</w:t>
      </w:r>
      <w:r w:rsidR="003D640C">
        <w:t xml:space="preserve"> </w:t>
      </w:r>
      <w:r w:rsidRPr="00410803">
        <w:t>Rainbow</w:t>
      </w:r>
      <w:r w:rsidR="003D640C">
        <w:t xml:space="preserve"> </w:t>
      </w:r>
      <w:r w:rsidRPr="00410803">
        <w:t>people</w:t>
      </w:r>
      <w:r w:rsidR="003D640C">
        <w:t xml:space="preserve"> </w:t>
      </w:r>
      <w:r w:rsidRPr="00410803">
        <w:t>can</w:t>
      </w:r>
      <w:r w:rsidR="003D640C">
        <w:t xml:space="preserve"> </w:t>
      </w:r>
      <w:r w:rsidRPr="00410803">
        <w:t>live</w:t>
      </w:r>
      <w:r w:rsidR="003D640C">
        <w:t xml:space="preserve"> </w:t>
      </w:r>
      <w:r w:rsidRPr="00410803">
        <w:t>authentically</w:t>
      </w:r>
      <w:r w:rsidR="003D640C">
        <w:t xml:space="preserve"> </w:t>
      </w:r>
      <w:r w:rsidRPr="00410803">
        <w:t>and</w:t>
      </w:r>
      <w:r w:rsidR="003D640C">
        <w:t xml:space="preserve"> </w:t>
      </w:r>
      <w:r w:rsidRPr="00410803">
        <w:t>with</w:t>
      </w:r>
      <w:r w:rsidR="003D640C">
        <w:t xml:space="preserve"> </w:t>
      </w:r>
      <w:r w:rsidRPr="00410803">
        <w:t>pride.</w:t>
      </w:r>
      <w:r w:rsidR="003D640C">
        <w:t xml:space="preserve"> </w:t>
      </w:r>
      <w:r w:rsidRPr="00410803">
        <w:t>A</w:t>
      </w:r>
      <w:r w:rsidR="003D640C">
        <w:t xml:space="preserve"> </w:t>
      </w:r>
      <w:r w:rsidRPr="00410803">
        <w:t>future</w:t>
      </w:r>
      <w:r w:rsidR="003D640C">
        <w:t xml:space="preserve"> </w:t>
      </w:r>
      <w:r w:rsidRPr="00410803">
        <w:t>where</w:t>
      </w:r>
      <w:r w:rsidR="003D640C">
        <w:t xml:space="preserve"> </w:t>
      </w:r>
      <w:r w:rsidRPr="00410803">
        <w:t>Rainbow</w:t>
      </w:r>
      <w:r w:rsidR="003D640C">
        <w:t xml:space="preserve"> </w:t>
      </w:r>
      <w:r w:rsidRPr="00410803">
        <w:t>people</w:t>
      </w:r>
      <w:r w:rsidR="003D640C">
        <w:t xml:space="preserve"> </w:t>
      </w:r>
      <w:r w:rsidRPr="00410803">
        <w:t>are</w:t>
      </w:r>
      <w:r w:rsidR="003D640C">
        <w:t xml:space="preserve"> </w:t>
      </w:r>
      <w:r w:rsidRPr="00410803">
        <w:t>affirmed</w:t>
      </w:r>
      <w:r w:rsidR="003D640C">
        <w:t xml:space="preserve"> </w:t>
      </w:r>
      <w:r w:rsidRPr="00410803">
        <w:t>within</w:t>
      </w:r>
      <w:r w:rsidR="003D640C">
        <w:t xml:space="preserve"> </w:t>
      </w:r>
      <w:r w:rsidRPr="00410803">
        <w:t>their</w:t>
      </w:r>
      <w:r w:rsidR="003D640C">
        <w:t xml:space="preserve"> </w:t>
      </w:r>
      <w:r w:rsidRPr="00410803">
        <w:t>religious</w:t>
      </w:r>
      <w:r w:rsidR="003D640C">
        <w:t xml:space="preserve"> </w:t>
      </w:r>
      <w:r w:rsidRPr="00410803">
        <w:t>and</w:t>
      </w:r>
      <w:r w:rsidR="003D640C">
        <w:t xml:space="preserve"> </w:t>
      </w:r>
      <w:r w:rsidRPr="00410803">
        <w:t>faith</w:t>
      </w:r>
      <w:r w:rsidR="003D640C">
        <w:t xml:space="preserve"> </w:t>
      </w:r>
      <w:r w:rsidRPr="00410803">
        <w:t>communities,</w:t>
      </w:r>
      <w:r w:rsidR="003D640C">
        <w:t xml:space="preserve"> </w:t>
      </w:r>
      <w:r w:rsidRPr="00410803">
        <w:t>their</w:t>
      </w:r>
      <w:r w:rsidR="003D640C">
        <w:t xml:space="preserve"> </w:t>
      </w:r>
      <w:r w:rsidRPr="00410803">
        <w:t>ethnic</w:t>
      </w:r>
      <w:r w:rsidR="003D640C">
        <w:t xml:space="preserve"> </w:t>
      </w:r>
      <w:r w:rsidRPr="00410803">
        <w:t>communities,</w:t>
      </w:r>
      <w:r w:rsidR="003D640C">
        <w:t xml:space="preserve"> </w:t>
      </w:r>
      <w:r w:rsidRPr="00410803">
        <w:t>their</w:t>
      </w:r>
      <w:r w:rsidR="003D640C">
        <w:t xml:space="preserve"> </w:t>
      </w:r>
      <w:r w:rsidRPr="00410803">
        <w:t>schools</w:t>
      </w:r>
      <w:r w:rsidR="003D640C">
        <w:t xml:space="preserve"> </w:t>
      </w:r>
      <w:r w:rsidRPr="00410803">
        <w:t>and</w:t>
      </w:r>
      <w:r w:rsidR="003D640C">
        <w:t xml:space="preserve"> </w:t>
      </w:r>
      <w:r w:rsidRPr="00410803">
        <w:t>youth</w:t>
      </w:r>
      <w:r w:rsidR="003D640C">
        <w:t xml:space="preserve"> </w:t>
      </w:r>
      <w:r w:rsidRPr="00410803">
        <w:t>groups.</w:t>
      </w:r>
      <w:r w:rsidR="003D640C">
        <w:t xml:space="preserve"> </w:t>
      </w:r>
      <w:r w:rsidRPr="00410803">
        <w:t>This</w:t>
      </w:r>
      <w:r w:rsidR="003D640C">
        <w:t xml:space="preserve"> </w:t>
      </w:r>
      <w:r w:rsidRPr="00410803">
        <w:t>is</w:t>
      </w:r>
      <w:r w:rsidR="003D640C">
        <w:t xml:space="preserve"> </w:t>
      </w:r>
      <w:r w:rsidRPr="00410803">
        <w:t>the</w:t>
      </w:r>
      <w:r w:rsidR="003D640C">
        <w:t xml:space="preserve"> </w:t>
      </w:r>
      <w:r w:rsidRPr="00410803">
        <w:t>future</w:t>
      </w:r>
      <w:r w:rsidR="003D640C">
        <w:t xml:space="preserve"> </w:t>
      </w:r>
      <w:r w:rsidRPr="00410803">
        <w:t>most</w:t>
      </w:r>
      <w:r w:rsidR="003D640C">
        <w:t xml:space="preserve"> </w:t>
      </w:r>
      <w:r w:rsidRPr="00410803">
        <w:t>of</w:t>
      </w:r>
      <w:r w:rsidR="003D640C">
        <w:t xml:space="preserve"> </w:t>
      </w:r>
      <w:r w:rsidRPr="00410803">
        <w:t>us</w:t>
      </w:r>
      <w:r w:rsidR="003D640C">
        <w:t xml:space="preserve"> </w:t>
      </w:r>
      <w:r w:rsidRPr="00410803">
        <w:t>want</w:t>
      </w:r>
      <w:r w:rsidR="003D640C">
        <w:t xml:space="preserve"> </w:t>
      </w:r>
      <w:r w:rsidRPr="00410803">
        <w:t>for</w:t>
      </w:r>
      <w:r w:rsidR="003D640C">
        <w:t xml:space="preserve"> </w:t>
      </w:r>
      <w:r w:rsidRPr="00410803">
        <w:t>ourselves</w:t>
      </w:r>
      <w:r w:rsidR="003D640C">
        <w:t xml:space="preserve"> </w:t>
      </w:r>
      <w:r w:rsidRPr="00410803">
        <w:t>and</w:t>
      </w:r>
      <w:r w:rsidR="003D640C">
        <w:t xml:space="preserve"> </w:t>
      </w:r>
      <w:r w:rsidRPr="00410803">
        <w:t>our</w:t>
      </w:r>
      <w:r w:rsidR="003D640C">
        <w:t xml:space="preserve"> </w:t>
      </w:r>
      <w:r w:rsidRPr="00410803">
        <w:t>loved</w:t>
      </w:r>
      <w:r w:rsidR="003D640C">
        <w:t xml:space="preserve"> </w:t>
      </w:r>
      <w:r w:rsidRPr="00410803">
        <w:t>ones,</w:t>
      </w:r>
      <w:r w:rsidR="003D640C">
        <w:t xml:space="preserve"> </w:t>
      </w:r>
      <w:r w:rsidRPr="00410803">
        <w:t>and</w:t>
      </w:r>
      <w:r w:rsidR="003D640C">
        <w:t xml:space="preserve"> </w:t>
      </w:r>
      <w:r w:rsidRPr="00410803">
        <w:t>many</w:t>
      </w:r>
      <w:r w:rsidR="003D640C">
        <w:t xml:space="preserve"> </w:t>
      </w:r>
      <w:r w:rsidRPr="00410803">
        <w:t>people</w:t>
      </w:r>
      <w:r w:rsidR="003D640C">
        <w:t xml:space="preserve"> </w:t>
      </w:r>
      <w:r w:rsidRPr="00410803">
        <w:t>have</w:t>
      </w:r>
      <w:r w:rsidR="003D640C">
        <w:t xml:space="preserve"> </w:t>
      </w:r>
      <w:r w:rsidRPr="00410803">
        <w:t>worked</w:t>
      </w:r>
      <w:r w:rsidR="003D640C">
        <w:t xml:space="preserve"> </w:t>
      </w:r>
      <w:r w:rsidRPr="00410803">
        <w:t>and</w:t>
      </w:r>
      <w:r w:rsidR="003D640C">
        <w:t xml:space="preserve"> </w:t>
      </w:r>
      <w:r w:rsidRPr="00410803">
        <w:t>continue</w:t>
      </w:r>
      <w:r w:rsidR="003D640C">
        <w:t xml:space="preserve"> </w:t>
      </w:r>
      <w:r w:rsidRPr="00410803">
        <w:t>to</w:t>
      </w:r>
      <w:r w:rsidR="003D640C">
        <w:t xml:space="preserve"> </w:t>
      </w:r>
      <w:r w:rsidRPr="00410803">
        <w:t>work</w:t>
      </w:r>
      <w:r w:rsidR="003D640C">
        <w:t xml:space="preserve"> </w:t>
      </w:r>
      <w:r w:rsidRPr="00410803">
        <w:t>to</w:t>
      </w:r>
      <w:r w:rsidR="003D640C">
        <w:t xml:space="preserve"> </w:t>
      </w:r>
      <w:r w:rsidRPr="00410803">
        <w:t>remove</w:t>
      </w:r>
      <w:r w:rsidR="003D640C">
        <w:t xml:space="preserve"> </w:t>
      </w:r>
      <w:r w:rsidRPr="00410803">
        <w:t>the</w:t>
      </w:r>
      <w:r w:rsidR="003D640C">
        <w:t xml:space="preserve"> </w:t>
      </w:r>
      <w:r w:rsidRPr="00410803">
        <w:t>barriers</w:t>
      </w:r>
      <w:r w:rsidR="003D640C">
        <w:t xml:space="preserve"> </w:t>
      </w:r>
      <w:r w:rsidRPr="00410803">
        <w:t>that</w:t>
      </w:r>
      <w:r w:rsidR="003D640C">
        <w:t xml:space="preserve"> </w:t>
      </w:r>
      <w:r w:rsidRPr="00410803">
        <w:t>prevent</w:t>
      </w:r>
      <w:r w:rsidR="003D640C">
        <w:t xml:space="preserve"> </w:t>
      </w:r>
      <w:r w:rsidRPr="00410803">
        <w:t>Rainbow</w:t>
      </w:r>
      <w:r w:rsidR="003D640C">
        <w:t xml:space="preserve"> </w:t>
      </w:r>
      <w:r w:rsidRPr="00410803">
        <w:t>people</w:t>
      </w:r>
      <w:r w:rsidR="003D640C">
        <w:t xml:space="preserve"> </w:t>
      </w:r>
      <w:r w:rsidRPr="00410803">
        <w:t>from</w:t>
      </w:r>
      <w:r w:rsidR="003D640C">
        <w:t xml:space="preserve"> </w:t>
      </w:r>
      <w:r w:rsidRPr="00410803">
        <w:t>experiencing</w:t>
      </w:r>
      <w:r w:rsidR="003D640C">
        <w:t xml:space="preserve"> </w:t>
      </w:r>
      <w:r w:rsidRPr="00410803">
        <w:t>this.</w:t>
      </w:r>
      <w:r w:rsidR="003D640C">
        <w:t xml:space="preserve"> </w:t>
      </w:r>
    </w:p>
    <w:p w14:paraId="50F278E9" w14:textId="369A8647" w:rsidR="00410803" w:rsidRPr="00410803" w:rsidRDefault="00410803" w:rsidP="00955306">
      <w:r w:rsidRPr="00410803">
        <w:t>Conversion</w:t>
      </w:r>
      <w:r w:rsidR="003D640C">
        <w:t xml:space="preserve"> </w:t>
      </w:r>
      <w:r w:rsidRPr="00410803">
        <w:t>practices</w:t>
      </w:r>
      <w:r w:rsidR="003D640C">
        <w:t xml:space="preserve"> </w:t>
      </w:r>
      <w:r w:rsidRPr="00410803">
        <w:t>are</w:t>
      </w:r>
      <w:r w:rsidR="003D640C">
        <w:t xml:space="preserve"> </w:t>
      </w:r>
      <w:r w:rsidRPr="00410803">
        <w:t>one</w:t>
      </w:r>
      <w:r w:rsidR="003D640C">
        <w:t xml:space="preserve"> </w:t>
      </w:r>
      <w:r w:rsidRPr="00410803">
        <w:t>example</w:t>
      </w:r>
      <w:r w:rsidR="003D640C">
        <w:t xml:space="preserve"> </w:t>
      </w:r>
      <w:r w:rsidRPr="00410803">
        <w:t>of</w:t>
      </w:r>
      <w:r w:rsidR="003D640C">
        <w:t xml:space="preserve"> </w:t>
      </w:r>
      <w:r w:rsidRPr="00410803">
        <w:t>these</w:t>
      </w:r>
      <w:r w:rsidR="003D640C">
        <w:t xml:space="preserve"> </w:t>
      </w:r>
      <w:r w:rsidRPr="00410803">
        <w:t>barriers.</w:t>
      </w:r>
      <w:r w:rsidR="003D640C">
        <w:t xml:space="preserve"> </w:t>
      </w:r>
      <w:r w:rsidRPr="00410803">
        <w:t>Any</w:t>
      </w:r>
      <w:r w:rsidR="003D640C">
        <w:t xml:space="preserve"> </w:t>
      </w:r>
      <w:r w:rsidRPr="00410803">
        <w:t>practice</w:t>
      </w:r>
      <w:r w:rsidR="003D640C">
        <w:t xml:space="preserve"> </w:t>
      </w:r>
      <w:r w:rsidRPr="00410803">
        <w:t>or</w:t>
      </w:r>
      <w:r w:rsidR="003D640C">
        <w:t xml:space="preserve"> </w:t>
      </w:r>
      <w:r w:rsidRPr="00410803">
        <w:t>attempt</w:t>
      </w:r>
      <w:r w:rsidR="003D640C">
        <w:t xml:space="preserve"> </w:t>
      </w:r>
      <w:r w:rsidRPr="00410803">
        <w:t>to</w:t>
      </w:r>
      <w:r w:rsidR="003D640C">
        <w:t xml:space="preserve"> </w:t>
      </w:r>
      <w:r w:rsidRPr="00410803">
        <w:t>change</w:t>
      </w:r>
      <w:r w:rsidR="003D640C">
        <w:t xml:space="preserve"> </w:t>
      </w:r>
      <w:r w:rsidRPr="00410803">
        <w:t>or</w:t>
      </w:r>
      <w:r w:rsidR="003D640C">
        <w:t xml:space="preserve"> </w:t>
      </w:r>
      <w:r w:rsidRPr="00410803">
        <w:t>suppress</w:t>
      </w:r>
      <w:r w:rsidR="003D640C">
        <w:t xml:space="preserve"> </w:t>
      </w:r>
      <w:r w:rsidRPr="00410803">
        <w:t>a</w:t>
      </w:r>
      <w:r w:rsidR="003D640C">
        <w:t xml:space="preserve"> </w:t>
      </w:r>
      <w:r w:rsidRPr="00410803">
        <w:t>person’s</w:t>
      </w:r>
      <w:r w:rsidR="003D640C">
        <w:t xml:space="preserve"> </w:t>
      </w:r>
      <w:r w:rsidRPr="00410803">
        <w:t>sexual</w:t>
      </w:r>
      <w:r w:rsidR="003D640C">
        <w:t xml:space="preserve"> </w:t>
      </w:r>
      <w:r w:rsidRPr="00410803">
        <w:t>orientation,</w:t>
      </w:r>
      <w:r w:rsidR="003D640C">
        <w:t xml:space="preserve"> </w:t>
      </w:r>
      <w:r w:rsidRPr="00410803">
        <w:t>gender</w:t>
      </w:r>
      <w:r w:rsidR="003D640C">
        <w:t xml:space="preserve"> </w:t>
      </w:r>
      <w:r w:rsidRPr="00410803">
        <w:t>identity</w:t>
      </w:r>
      <w:r w:rsidR="00DE66E9">
        <w:t>,</w:t>
      </w:r>
      <w:r w:rsidR="003D640C">
        <w:t xml:space="preserve"> </w:t>
      </w:r>
      <w:r w:rsidRPr="00410803">
        <w:t>or</w:t>
      </w:r>
      <w:r w:rsidR="003D640C">
        <w:t xml:space="preserve"> </w:t>
      </w:r>
      <w:r w:rsidRPr="00410803">
        <w:t>gender</w:t>
      </w:r>
      <w:r w:rsidR="003D640C">
        <w:t xml:space="preserve"> </w:t>
      </w:r>
      <w:r w:rsidRPr="00410803">
        <w:t>expression</w:t>
      </w:r>
      <w:r w:rsidR="003D640C">
        <w:t xml:space="preserve"> </w:t>
      </w:r>
      <w:r w:rsidRPr="00410803">
        <w:t>is</w:t>
      </w:r>
      <w:r w:rsidR="003D640C">
        <w:t xml:space="preserve"> </w:t>
      </w:r>
      <w:r w:rsidRPr="00410803">
        <w:t>a</w:t>
      </w:r>
      <w:r w:rsidR="003D640C">
        <w:t xml:space="preserve"> </w:t>
      </w:r>
      <w:r w:rsidRPr="00410803">
        <w:t>conversion</w:t>
      </w:r>
      <w:r w:rsidR="003D640C">
        <w:t xml:space="preserve"> </w:t>
      </w:r>
      <w:r w:rsidRPr="00410803">
        <w:t>practice.</w:t>
      </w:r>
      <w:r w:rsidR="003D640C">
        <w:t xml:space="preserve"> </w:t>
      </w:r>
      <w:r w:rsidRPr="00410803">
        <w:t>Such</w:t>
      </w:r>
      <w:r w:rsidR="003D640C">
        <w:t xml:space="preserve"> </w:t>
      </w:r>
      <w:r w:rsidRPr="00410803">
        <w:t>practices</w:t>
      </w:r>
      <w:r w:rsidR="003D640C">
        <w:t xml:space="preserve"> </w:t>
      </w:r>
      <w:r w:rsidRPr="00410803">
        <w:t>do</w:t>
      </w:r>
      <w:r w:rsidR="003D640C">
        <w:t xml:space="preserve"> </w:t>
      </w:r>
      <w:r w:rsidRPr="00410803">
        <w:t>not</w:t>
      </w:r>
      <w:r w:rsidR="003D640C">
        <w:t xml:space="preserve"> </w:t>
      </w:r>
      <w:r w:rsidRPr="00410803">
        <w:t>work</w:t>
      </w:r>
      <w:r w:rsidR="00501BC4">
        <w:t>.</w:t>
      </w:r>
      <w:r w:rsidR="003D640C">
        <w:t xml:space="preserve"> </w:t>
      </w:r>
      <w:r w:rsidR="00501BC4">
        <w:t>A</w:t>
      </w:r>
      <w:r w:rsidRPr="00410803">
        <w:t>s</w:t>
      </w:r>
      <w:r w:rsidR="003D640C">
        <w:t xml:space="preserve"> </w:t>
      </w:r>
      <w:r w:rsidRPr="00410803">
        <w:t>the</w:t>
      </w:r>
      <w:r w:rsidR="003D640C">
        <w:t xml:space="preserve"> </w:t>
      </w:r>
      <w:r w:rsidRPr="00410803">
        <w:t>evidence</w:t>
      </w:r>
      <w:r w:rsidR="003D640C">
        <w:t xml:space="preserve"> </w:t>
      </w:r>
      <w:r w:rsidRPr="00410803">
        <w:t>gathered</w:t>
      </w:r>
      <w:r w:rsidR="003D640C">
        <w:t xml:space="preserve"> </w:t>
      </w:r>
      <w:r w:rsidRPr="00410803">
        <w:t>in</w:t>
      </w:r>
      <w:r w:rsidR="003D640C">
        <w:t xml:space="preserve"> </w:t>
      </w:r>
      <w:r w:rsidRPr="00410803">
        <w:t>this</w:t>
      </w:r>
      <w:r w:rsidR="003D640C">
        <w:t xml:space="preserve"> </w:t>
      </w:r>
      <w:r w:rsidRPr="00410803">
        <w:t>report</w:t>
      </w:r>
      <w:r w:rsidR="003D640C">
        <w:t xml:space="preserve"> </w:t>
      </w:r>
      <w:r w:rsidRPr="00410803">
        <w:t>demonstrates,</w:t>
      </w:r>
      <w:r w:rsidR="003D640C">
        <w:t xml:space="preserve"> </w:t>
      </w:r>
      <w:r w:rsidRPr="00410803">
        <w:t>they</w:t>
      </w:r>
      <w:r w:rsidR="003D640C">
        <w:t xml:space="preserve"> </w:t>
      </w:r>
      <w:r w:rsidRPr="00410803">
        <w:t>also</w:t>
      </w:r>
      <w:r w:rsidR="003D640C">
        <w:t xml:space="preserve"> </w:t>
      </w:r>
      <w:r w:rsidRPr="00410803">
        <w:t>cause</w:t>
      </w:r>
      <w:r w:rsidR="003D640C">
        <w:t xml:space="preserve"> </w:t>
      </w:r>
      <w:r w:rsidRPr="00410803">
        <w:t>significant</w:t>
      </w:r>
      <w:r w:rsidR="003D640C">
        <w:t xml:space="preserve"> </w:t>
      </w:r>
      <w:r w:rsidRPr="00410803">
        <w:t>harm.</w:t>
      </w:r>
      <w:r w:rsidR="003D640C">
        <w:t xml:space="preserve"> </w:t>
      </w:r>
      <w:r w:rsidRPr="00410803">
        <w:t>After</w:t>
      </w:r>
      <w:r w:rsidR="003D640C">
        <w:t xml:space="preserve"> </w:t>
      </w:r>
      <w:r w:rsidRPr="00410803">
        <w:t>years</w:t>
      </w:r>
      <w:r w:rsidR="003D640C">
        <w:t xml:space="preserve"> </w:t>
      </w:r>
      <w:r w:rsidRPr="00410803">
        <w:t>of</w:t>
      </w:r>
      <w:r w:rsidR="003D640C">
        <w:t xml:space="preserve"> </w:t>
      </w:r>
      <w:r w:rsidRPr="00410803">
        <w:t>advocacy</w:t>
      </w:r>
      <w:r w:rsidR="003D640C">
        <w:t xml:space="preserve"> </w:t>
      </w:r>
      <w:r w:rsidRPr="00410803">
        <w:t>from</w:t>
      </w:r>
      <w:r w:rsidR="003D640C">
        <w:t xml:space="preserve"> </w:t>
      </w:r>
      <w:r w:rsidRPr="00410803">
        <w:t>Rainbow</w:t>
      </w:r>
      <w:r w:rsidR="003D640C">
        <w:t xml:space="preserve"> </w:t>
      </w:r>
      <w:r w:rsidRPr="00410803">
        <w:t>people,</w:t>
      </w:r>
      <w:r w:rsidR="003D640C">
        <w:t xml:space="preserve"> </w:t>
      </w:r>
      <w:r w:rsidRPr="00410803">
        <w:t>conversion</w:t>
      </w:r>
      <w:r w:rsidR="003D640C">
        <w:t xml:space="preserve"> </w:t>
      </w:r>
      <w:r w:rsidRPr="00410803">
        <w:t>practices</w:t>
      </w:r>
      <w:r w:rsidR="003D640C">
        <w:t xml:space="preserve"> </w:t>
      </w:r>
      <w:r w:rsidRPr="00410803">
        <w:t>were</w:t>
      </w:r>
      <w:r w:rsidR="003D640C">
        <w:t xml:space="preserve"> </w:t>
      </w:r>
      <w:r w:rsidRPr="00410803">
        <w:t>eventually</w:t>
      </w:r>
      <w:r w:rsidR="003D640C">
        <w:t xml:space="preserve"> </w:t>
      </w:r>
      <w:r w:rsidRPr="00410803">
        <w:t>banned</w:t>
      </w:r>
      <w:r w:rsidR="003D640C">
        <w:t xml:space="preserve"> </w:t>
      </w:r>
      <w:r w:rsidRPr="00410803">
        <w:t>in</w:t>
      </w:r>
      <w:r w:rsidR="003D640C">
        <w:t xml:space="preserve"> </w:t>
      </w:r>
      <w:r w:rsidRPr="00410803">
        <w:t>Aotearoa</w:t>
      </w:r>
      <w:r w:rsidR="003D640C">
        <w:t xml:space="preserve"> </w:t>
      </w:r>
      <w:r w:rsidRPr="00410803">
        <w:t>New</w:t>
      </w:r>
      <w:r w:rsidR="003D640C">
        <w:t xml:space="preserve"> </w:t>
      </w:r>
      <w:r w:rsidRPr="00410803">
        <w:t>Zealand</w:t>
      </w:r>
      <w:r w:rsidR="003D640C">
        <w:t xml:space="preserve"> </w:t>
      </w:r>
      <w:r w:rsidRPr="00410803">
        <w:t>with</w:t>
      </w:r>
      <w:r w:rsidR="003D640C">
        <w:t xml:space="preserve"> </w:t>
      </w:r>
      <w:r w:rsidRPr="00410803">
        <w:t>the</w:t>
      </w:r>
      <w:r w:rsidR="003D640C">
        <w:t xml:space="preserve"> </w:t>
      </w:r>
      <w:r w:rsidRPr="00410803">
        <w:t>passing</w:t>
      </w:r>
      <w:r w:rsidR="003D640C">
        <w:t xml:space="preserve"> </w:t>
      </w:r>
      <w:r w:rsidRPr="00410803">
        <w:t>of</w:t>
      </w:r>
      <w:r w:rsidR="003D640C">
        <w:t xml:space="preserve"> </w:t>
      </w:r>
      <w:r w:rsidRPr="00410803">
        <w:t>the</w:t>
      </w:r>
      <w:r w:rsidR="003D640C">
        <w:t xml:space="preserve"> </w:t>
      </w:r>
      <w:r w:rsidRPr="00410803">
        <w:t>Conversion</w:t>
      </w:r>
      <w:r w:rsidR="003D640C">
        <w:t xml:space="preserve"> </w:t>
      </w:r>
      <w:r w:rsidRPr="00410803">
        <w:t>Practices</w:t>
      </w:r>
      <w:r w:rsidR="003D640C">
        <w:t xml:space="preserve"> </w:t>
      </w:r>
      <w:r w:rsidRPr="00410803">
        <w:t>Prohibition</w:t>
      </w:r>
      <w:r w:rsidR="003D640C">
        <w:t xml:space="preserve"> </w:t>
      </w:r>
      <w:r w:rsidRPr="00410803">
        <w:t>Legislation</w:t>
      </w:r>
      <w:r w:rsidR="003D640C">
        <w:t xml:space="preserve"> </w:t>
      </w:r>
      <w:r w:rsidRPr="00410803">
        <w:t>Act</w:t>
      </w:r>
      <w:r w:rsidR="003D640C">
        <w:t xml:space="preserve"> </w:t>
      </w:r>
      <w:r w:rsidRPr="00410803">
        <w:t>2022</w:t>
      </w:r>
      <w:r w:rsidR="003D640C">
        <w:t xml:space="preserve"> </w:t>
      </w:r>
      <w:r w:rsidRPr="00410803">
        <w:t>(CPPLA).</w:t>
      </w:r>
      <w:r w:rsidR="00C8345C">
        <w:rPr>
          <w:rStyle w:val="FootnoteReference"/>
        </w:rPr>
        <w:footnoteReference w:id="2"/>
      </w:r>
      <w:r w:rsidRPr="00410803">
        <w:t> </w:t>
      </w:r>
      <w:r w:rsidR="003D640C">
        <w:t xml:space="preserve"> </w:t>
      </w:r>
    </w:p>
    <w:p w14:paraId="2C13CC83" w14:textId="0B4D4225" w:rsidR="00410803" w:rsidRPr="00410803" w:rsidRDefault="00410803" w:rsidP="00955306">
      <w:r w:rsidRPr="00410803">
        <w:t>Just</w:t>
      </w:r>
      <w:r w:rsidR="003D640C">
        <w:t xml:space="preserve"> </w:t>
      </w:r>
      <w:r w:rsidRPr="00410803">
        <w:t>one</w:t>
      </w:r>
      <w:r w:rsidR="003D640C">
        <w:t xml:space="preserve"> </w:t>
      </w:r>
      <w:r w:rsidRPr="00410803">
        <w:t>year</w:t>
      </w:r>
      <w:r w:rsidR="003D640C">
        <w:t xml:space="preserve"> </w:t>
      </w:r>
      <w:r w:rsidRPr="00410803">
        <w:t>prior</w:t>
      </w:r>
      <w:r w:rsidR="003D640C">
        <w:t xml:space="preserve"> </w:t>
      </w:r>
      <w:r w:rsidRPr="00410803">
        <w:t>to</w:t>
      </w:r>
      <w:r w:rsidR="003D640C">
        <w:t xml:space="preserve"> </w:t>
      </w:r>
      <w:r w:rsidRPr="00410803">
        <w:t>that,</w:t>
      </w:r>
      <w:r w:rsidR="003D640C">
        <w:t xml:space="preserve"> </w:t>
      </w:r>
      <w:r w:rsidRPr="00410803">
        <w:t>the</w:t>
      </w:r>
      <w:r w:rsidR="003D640C">
        <w:t xml:space="preserve"> </w:t>
      </w:r>
      <w:r w:rsidRPr="00410803">
        <w:t>largest</w:t>
      </w:r>
      <w:r w:rsidR="00DE66E9">
        <w:t>-</w:t>
      </w:r>
      <w:r w:rsidRPr="00410803">
        <w:t>ever</w:t>
      </w:r>
      <w:r w:rsidR="003D640C">
        <w:t xml:space="preserve"> </w:t>
      </w:r>
      <w:r w:rsidRPr="00410803">
        <w:t>survey</w:t>
      </w:r>
      <w:r w:rsidR="003D640C">
        <w:t xml:space="preserve"> </w:t>
      </w:r>
      <w:r w:rsidRPr="00410803">
        <w:t>of</w:t>
      </w:r>
      <w:r w:rsidR="003D640C">
        <w:t xml:space="preserve"> </w:t>
      </w:r>
      <w:r w:rsidRPr="00410803">
        <w:t>young</w:t>
      </w:r>
      <w:r w:rsidR="003D640C">
        <w:t xml:space="preserve"> </w:t>
      </w:r>
      <w:r w:rsidRPr="00410803">
        <w:t>Rainbow</w:t>
      </w:r>
      <w:r w:rsidR="003D640C">
        <w:t xml:space="preserve"> </w:t>
      </w:r>
      <w:r w:rsidRPr="00410803">
        <w:t>people</w:t>
      </w:r>
      <w:r w:rsidR="003D640C">
        <w:t xml:space="preserve"> </w:t>
      </w:r>
      <w:r w:rsidRPr="00410803">
        <w:t>in</w:t>
      </w:r>
      <w:r w:rsidR="003D640C">
        <w:t xml:space="preserve"> </w:t>
      </w:r>
      <w:r w:rsidRPr="00410803">
        <w:t>Aotearoa</w:t>
      </w:r>
      <w:r w:rsidR="003D640C">
        <w:t xml:space="preserve"> </w:t>
      </w:r>
      <w:r w:rsidRPr="00410803">
        <w:t>(aged</w:t>
      </w:r>
      <w:r w:rsidR="003D640C">
        <w:t xml:space="preserve"> </w:t>
      </w:r>
      <w:r w:rsidRPr="00410803">
        <w:t>14</w:t>
      </w:r>
      <w:r w:rsidR="00BB1013">
        <w:t>–</w:t>
      </w:r>
      <w:r w:rsidRPr="00410803">
        <w:t>26)</w:t>
      </w:r>
      <w:r w:rsidR="003D640C">
        <w:t xml:space="preserve"> </w:t>
      </w:r>
      <w:r w:rsidRPr="00410803">
        <w:t>found</w:t>
      </w:r>
      <w:r w:rsidR="003D640C">
        <w:t xml:space="preserve"> </w:t>
      </w:r>
      <w:r w:rsidRPr="00410803">
        <w:t>an</w:t>
      </w:r>
      <w:r w:rsidR="003D640C">
        <w:t xml:space="preserve"> </w:t>
      </w:r>
      <w:r w:rsidRPr="00410803">
        <w:t>astonishing</w:t>
      </w:r>
      <w:r w:rsidR="003D640C">
        <w:t xml:space="preserve"> </w:t>
      </w:r>
      <w:r w:rsidRPr="00410803">
        <w:t>three</w:t>
      </w:r>
      <w:r w:rsidR="00BB1013">
        <w:t>-</w:t>
      </w:r>
      <w:r w:rsidRPr="00410803">
        <w:t>quarters</w:t>
      </w:r>
      <w:r w:rsidR="003D640C">
        <w:t xml:space="preserve"> </w:t>
      </w:r>
      <w:r w:rsidRPr="00410803">
        <w:t>had</w:t>
      </w:r>
      <w:r w:rsidR="003D640C">
        <w:t xml:space="preserve"> </w:t>
      </w:r>
      <w:r w:rsidRPr="00410803">
        <w:t>poor</w:t>
      </w:r>
      <w:r w:rsidR="003D640C">
        <w:t xml:space="preserve"> </w:t>
      </w:r>
      <w:r w:rsidRPr="00410803">
        <w:t>wellbeing</w:t>
      </w:r>
      <w:r w:rsidR="003D640C">
        <w:t xml:space="preserve"> </w:t>
      </w:r>
      <w:r w:rsidRPr="00410803">
        <w:t>and</w:t>
      </w:r>
      <w:r w:rsidR="003D640C">
        <w:t xml:space="preserve"> </w:t>
      </w:r>
      <w:r w:rsidRPr="00410803">
        <w:t>almost</w:t>
      </w:r>
      <w:r w:rsidR="003D640C">
        <w:t xml:space="preserve"> </w:t>
      </w:r>
      <w:r w:rsidRPr="00410803">
        <w:t>two</w:t>
      </w:r>
      <w:r w:rsidR="00BB1013">
        <w:t>-</w:t>
      </w:r>
      <w:r w:rsidRPr="00410803">
        <w:t>thirds</w:t>
      </w:r>
      <w:r w:rsidR="003D640C">
        <w:t xml:space="preserve"> </w:t>
      </w:r>
      <w:r w:rsidRPr="00410803">
        <w:t>had</w:t>
      </w:r>
      <w:r w:rsidR="003D640C">
        <w:t xml:space="preserve"> </w:t>
      </w:r>
      <w:r w:rsidRPr="00410803">
        <w:t>thought</w:t>
      </w:r>
      <w:r w:rsidR="003D640C">
        <w:t xml:space="preserve"> </w:t>
      </w:r>
      <w:r w:rsidRPr="00410803">
        <w:t>about</w:t>
      </w:r>
      <w:r w:rsidR="003D640C">
        <w:t xml:space="preserve"> </w:t>
      </w:r>
      <w:r w:rsidRPr="00410803">
        <w:t>suicide</w:t>
      </w:r>
      <w:r w:rsidR="00BB1013">
        <w:t>.</w:t>
      </w:r>
      <w:r w:rsidR="00D829CD">
        <w:rPr>
          <w:rStyle w:val="FootnoteReference"/>
        </w:rPr>
        <w:footnoteReference w:id="3"/>
      </w:r>
      <w:r w:rsidR="003D640C">
        <w:t xml:space="preserve"> </w:t>
      </w:r>
      <w:r w:rsidRPr="00410803">
        <w:t>The</w:t>
      </w:r>
      <w:r w:rsidR="003D640C">
        <w:t xml:space="preserve"> </w:t>
      </w:r>
      <w:r w:rsidRPr="00410803">
        <w:t>ban</w:t>
      </w:r>
      <w:r w:rsidR="003D640C">
        <w:t xml:space="preserve"> </w:t>
      </w:r>
      <w:r w:rsidRPr="00410803">
        <w:t>on</w:t>
      </w:r>
      <w:r w:rsidR="003D640C">
        <w:t xml:space="preserve"> </w:t>
      </w:r>
      <w:r w:rsidRPr="00410803">
        <w:t>conversion</w:t>
      </w:r>
      <w:r w:rsidR="003D640C">
        <w:t xml:space="preserve"> </w:t>
      </w:r>
      <w:r w:rsidRPr="00410803">
        <w:t>practices</w:t>
      </w:r>
      <w:r w:rsidR="003D640C">
        <w:t xml:space="preserve"> </w:t>
      </w:r>
      <w:r w:rsidRPr="00410803">
        <w:t>was</w:t>
      </w:r>
      <w:r w:rsidR="003D640C">
        <w:t xml:space="preserve"> </w:t>
      </w:r>
      <w:r w:rsidRPr="00410803">
        <w:t>a</w:t>
      </w:r>
      <w:r w:rsidR="003D640C">
        <w:t xml:space="preserve"> </w:t>
      </w:r>
      <w:r w:rsidRPr="00410803">
        <w:t>clear</w:t>
      </w:r>
      <w:r w:rsidR="003D640C">
        <w:t xml:space="preserve"> </w:t>
      </w:r>
      <w:r w:rsidRPr="00410803">
        <w:t>and</w:t>
      </w:r>
      <w:r w:rsidR="003D640C">
        <w:t xml:space="preserve"> </w:t>
      </w:r>
      <w:r w:rsidRPr="00410803">
        <w:t>welcome</w:t>
      </w:r>
      <w:r w:rsidR="003D640C">
        <w:t xml:space="preserve"> </w:t>
      </w:r>
      <w:r w:rsidRPr="00410803">
        <w:t>step</w:t>
      </w:r>
      <w:r w:rsidR="003D640C">
        <w:t xml:space="preserve"> </w:t>
      </w:r>
      <w:r w:rsidRPr="00410803">
        <w:t>to</w:t>
      </w:r>
      <w:r w:rsidR="003D640C">
        <w:t xml:space="preserve"> </w:t>
      </w:r>
      <w:r w:rsidRPr="00410803">
        <w:t>improve</w:t>
      </w:r>
      <w:r w:rsidR="003D640C">
        <w:t xml:space="preserve"> </w:t>
      </w:r>
      <w:r w:rsidRPr="00410803">
        <w:t>the</w:t>
      </w:r>
      <w:r w:rsidR="003D640C">
        <w:t xml:space="preserve"> </w:t>
      </w:r>
      <w:r w:rsidRPr="00410803">
        <w:t>lives</w:t>
      </w:r>
      <w:r w:rsidR="003D640C">
        <w:t xml:space="preserve"> </w:t>
      </w:r>
      <w:r w:rsidRPr="00410803">
        <w:t>of</w:t>
      </w:r>
      <w:r w:rsidR="003D640C">
        <w:t xml:space="preserve"> </w:t>
      </w:r>
      <w:r w:rsidRPr="00410803">
        <w:t>Rainbow</w:t>
      </w:r>
      <w:r w:rsidR="003D640C">
        <w:t xml:space="preserve"> </w:t>
      </w:r>
      <w:r w:rsidRPr="00410803">
        <w:t>communities.</w:t>
      </w:r>
      <w:r w:rsidR="003D640C">
        <w:t xml:space="preserve"> </w:t>
      </w:r>
      <w:r w:rsidRPr="00410803">
        <w:t>In</w:t>
      </w:r>
      <w:r w:rsidR="003D640C">
        <w:t xml:space="preserve"> </w:t>
      </w:r>
      <w:r w:rsidRPr="00410803">
        <w:t>banning</w:t>
      </w:r>
      <w:r w:rsidR="003D640C">
        <w:t xml:space="preserve"> </w:t>
      </w:r>
      <w:r w:rsidRPr="00410803">
        <w:t>these</w:t>
      </w:r>
      <w:r w:rsidR="003D640C">
        <w:t xml:space="preserve"> </w:t>
      </w:r>
      <w:r w:rsidRPr="00410803">
        <w:t>practices,</w:t>
      </w:r>
      <w:r w:rsidR="003D640C">
        <w:t xml:space="preserve"> </w:t>
      </w:r>
      <w:r w:rsidRPr="00410803">
        <w:t>Parliament</w:t>
      </w:r>
      <w:r w:rsidR="003D640C">
        <w:t xml:space="preserve"> </w:t>
      </w:r>
      <w:r w:rsidRPr="00410803">
        <w:t>affirmed</w:t>
      </w:r>
      <w:r w:rsidR="003D640C">
        <w:t xml:space="preserve"> </w:t>
      </w:r>
      <w:r w:rsidRPr="00410803">
        <w:t>that</w:t>
      </w:r>
      <w:r w:rsidR="003D640C">
        <w:t xml:space="preserve"> </w:t>
      </w:r>
      <w:r w:rsidRPr="00410803">
        <w:t>no</w:t>
      </w:r>
      <w:r w:rsidR="003D640C">
        <w:t xml:space="preserve"> </w:t>
      </w:r>
      <w:r w:rsidRPr="00410803">
        <w:t>sexual</w:t>
      </w:r>
      <w:r w:rsidR="003D640C">
        <w:t xml:space="preserve"> </w:t>
      </w:r>
      <w:r w:rsidRPr="00410803">
        <w:t>orientation</w:t>
      </w:r>
      <w:r w:rsidR="003D640C">
        <w:t xml:space="preserve"> </w:t>
      </w:r>
      <w:r w:rsidRPr="00410803">
        <w:t>or</w:t>
      </w:r>
      <w:r w:rsidR="003D640C">
        <w:t xml:space="preserve"> </w:t>
      </w:r>
      <w:r w:rsidRPr="00410803">
        <w:t>gender</w:t>
      </w:r>
      <w:r w:rsidR="003D640C">
        <w:t xml:space="preserve"> </w:t>
      </w:r>
      <w:r w:rsidRPr="00410803">
        <w:t>identity</w:t>
      </w:r>
      <w:r w:rsidR="003D640C">
        <w:t xml:space="preserve"> </w:t>
      </w:r>
      <w:r w:rsidRPr="00410803">
        <w:t>is</w:t>
      </w:r>
      <w:r w:rsidR="003D640C">
        <w:t xml:space="preserve"> </w:t>
      </w:r>
      <w:r w:rsidRPr="00410803">
        <w:t>wrong.</w:t>
      </w:r>
      <w:r w:rsidR="003D640C">
        <w:t xml:space="preserve"> </w:t>
      </w:r>
    </w:p>
    <w:p w14:paraId="345BFF42" w14:textId="6024EFA2" w:rsidR="00410803" w:rsidRPr="00410803" w:rsidRDefault="00410803" w:rsidP="00955306">
      <w:r w:rsidRPr="00410803">
        <w:t>We</w:t>
      </w:r>
      <w:r w:rsidR="003D640C">
        <w:t xml:space="preserve"> </w:t>
      </w:r>
      <w:r w:rsidRPr="00410803">
        <w:t>cannot</w:t>
      </w:r>
      <w:r w:rsidR="003D640C">
        <w:t xml:space="preserve"> </w:t>
      </w:r>
      <w:r w:rsidRPr="00410803">
        <w:t>stop</w:t>
      </w:r>
      <w:r w:rsidR="003D640C">
        <w:t xml:space="preserve"> </w:t>
      </w:r>
      <w:r w:rsidRPr="00410803">
        <w:t>there. To</w:t>
      </w:r>
      <w:r w:rsidR="003D640C">
        <w:t xml:space="preserve"> </w:t>
      </w:r>
      <w:r w:rsidRPr="00410803">
        <w:t>prevent</w:t>
      </w:r>
      <w:r w:rsidR="003D640C">
        <w:t xml:space="preserve"> </w:t>
      </w:r>
      <w:r w:rsidRPr="00410803">
        <w:t>the</w:t>
      </w:r>
      <w:r w:rsidR="003D640C">
        <w:t xml:space="preserve"> </w:t>
      </w:r>
      <w:r w:rsidRPr="00410803">
        <w:t>tremendous</w:t>
      </w:r>
      <w:r w:rsidR="003D640C">
        <w:t xml:space="preserve"> </w:t>
      </w:r>
      <w:r w:rsidRPr="00410803">
        <w:t>harm</w:t>
      </w:r>
      <w:r w:rsidR="003D640C">
        <w:t xml:space="preserve"> </w:t>
      </w:r>
      <w:r w:rsidRPr="00410803">
        <w:t>caused</w:t>
      </w:r>
      <w:r w:rsidR="003D640C">
        <w:t xml:space="preserve"> </w:t>
      </w:r>
      <w:r w:rsidRPr="00410803">
        <w:t>by</w:t>
      </w:r>
      <w:r w:rsidR="003D640C">
        <w:t xml:space="preserve"> </w:t>
      </w:r>
      <w:r w:rsidRPr="00410803">
        <w:t>conversion</w:t>
      </w:r>
      <w:r w:rsidR="003D640C">
        <w:t xml:space="preserve"> </w:t>
      </w:r>
      <w:r w:rsidRPr="00410803">
        <w:t>practices</w:t>
      </w:r>
      <w:r w:rsidR="00BB1013">
        <w:t>,</w:t>
      </w:r>
      <w:r w:rsidR="003D640C">
        <w:t xml:space="preserve"> </w:t>
      </w:r>
      <w:r w:rsidRPr="00410803">
        <w:t>we</w:t>
      </w:r>
      <w:r w:rsidR="003D640C">
        <w:t xml:space="preserve"> </w:t>
      </w:r>
      <w:r w:rsidRPr="00410803">
        <w:t>must</w:t>
      </w:r>
      <w:r w:rsidR="003D640C">
        <w:t xml:space="preserve"> </w:t>
      </w:r>
      <w:r w:rsidRPr="00410803">
        <w:t>continue</w:t>
      </w:r>
      <w:r w:rsidR="003D640C">
        <w:t xml:space="preserve"> </w:t>
      </w:r>
      <w:r w:rsidRPr="00410803">
        <w:t>to</w:t>
      </w:r>
      <w:r w:rsidR="003D640C">
        <w:t xml:space="preserve"> </w:t>
      </w:r>
      <w:r w:rsidRPr="00410803">
        <w:t>embrace,</w:t>
      </w:r>
      <w:r w:rsidR="003D640C">
        <w:t xml:space="preserve"> </w:t>
      </w:r>
      <w:r w:rsidRPr="00410803">
        <w:t>support,</w:t>
      </w:r>
      <w:r w:rsidR="003D640C">
        <w:t xml:space="preserve"> </w:t>
      </w:r>
      <w:r w:rsidRPr="00410803">
        <w:t>and</w:t>
      </w:r>
      <w:r w:rsidR="003D640C">
        <w:t xml:space="preserve"> </w:t>
      </w:r>
      <w:r w:rsidRPr="00410803">
        <w:t>value</w:t>
      </w:r>
      <w:r w:rsidR="003D640C">
        <w:t xml:space="preserve"> </w:t>
      </w:r>
      <w:r w:rsidRPr="00410803">
        <w:t>Rainbow</w:t>
      </w:r>
      <w:r w:rsidR="003D640C">
        <w:t xml:space="preserve"> </w:t>
      </w:r>
      <w:r w:rsidRPr="00410803">
        <w:t>people</w:t>
      </w:r>
      <w:r w:rsidR="003D640C">
        <w:t xml:space="preserve"> </w:t>
      </w:r>
      <w:r w:rsidRPr="00410803">
        <w:t>in</w:t>
      </w:r>
      <w:r w:rsidR="003D640C">
        <w:t xml:space="preserve"> </w:t>
      </w:r>
      <w:r w:rsidRPr="00410803">
        <w:t>our</w:t>
      </w:r>
      <w:r w:rsidR="003D640C">
        <w:t xml:space="preserve"> </w:t>
      </w:r>
      <w:r w:rsidRPr="00410803">
        <w:t>society</w:t>
      </w:r>
      <w:r w:rsidR="003D640C">
        <w:t xml:space="preserve"> </w:t>
      </w:r>
      <w:r w:rsidRPr="00410803">
        <w:t>and</w:t>
      </w:r>
      <w:r w:rsidR="003D640C">
        <w:t xml:space="preserve"> </w:t>
      </w:r>
      <w:r w:rsidRPr="00410803">
        <w:t>our</w:t>
      </w:r>
      <w:r w:rsidR="003D640C">
        <w:t xml:space="preserve"> </w:t>
      </w:r>
      <w:r w:rsidRPr="00410803">
        <w:t>lives.</w:t>
      </w:r>
      <w:r w:rsidR="003D640C">
        <w:t xml:space="preserve"> </w:t>
      </w:r>
      <w:r w:rsidRPr="00410803">
        <w:t>This</w:t>
      </w:r>
      <w:r w:rsidR="003D640C">
        <w:t xml:space="preserve"> </w:t>
      </w:r>
      <w:r w:rsidRPr="00410803">
        <w:t>requires</w:t>
      </w:r>
      <w:r w:rsidR="003D640C">
        <w:t xml:space="preserve"> </w:t>
      </w:r>
      <w:r w:rsidRPr="00410803">
        <w:t>us</w:t>
      </w:r>
      <w:r w:rsidR="003D640C">
        <w:t xml:space="preserve"> </w:t>
      </w:r>
      <w:r w:rsidRPr="00410803">
        <w:t>to</w:t>
      </w:r>
      <w:r w:rsidR="003D640C">
        <w:t xml:space="preserve"> </w:t>
      </w:r>
      <w:r w:rsidRPr="00410803">
        <w:t>address</w:t>
      </w:r>
      <w:r w:rsidR="003D640C">
        <w:t xml:space="preserve"> </w:t>
      </w:r>
      <w:r w:rsidRPr="00410803">
        <w:t>the</w:t>
      </w:r>
      <w:r w:rsidR="003D640C">
        <w:t xml:space="preserve"> </w:t>
      </w:r>
      <w:r w:rsidRPr="00410803">
        <w:t>harmful</w:t>
      </w:r>
      <w:r w:rsidR="003D640C">
        <w:t xml:space="preserve"> </w:t>
      </w:r>
      <w:r w:rsidRPr="00410803">
        <w:t>ideologies</w:t>
      </w:r>
      <w:r w:rsidR="003D640C">
        <w:t xml:space="preserve"> </w:t>
      </w:r>
      <w:r w:rsidRPr="00410803">
        <w:t>that</w:t>
      </w:r>
      <w:r w:rsidR="003D640C">
        <w:t xml:space="preserve"> </w:t>
      </w:r>
      <w:r w:rsidRPr="00410803">
        <w:t>encourage</w:t>
      </w:r>
      <w:r w:rsidR="003D640C">
        <w:t xml:space="preserve"> </w:t>
      </w:r>
      <w:r w:rsidRPr="00410803">
        <w:t>people</w:t>
      </w:r>
      <w:r w:rsidR="003D640C">
        <w:t xml:space="preserve"> </w:t>
      </w:r>
      <w:r w:rsidRPr="00410803">
        <w:t>to</w:t>
      </w:r>
      <w:r w:rsidR="003D640C">
        <w:t xml:space="preserve"> </w:t>
      </w:r>
      <w:r w:rsidRPr="00410803">
        <w:t>fear</w:t>
      </w:r>
      <w:r w:rsidR="003D640C">
        <w:t xml:space="preserve"> </w:t>
      </w:r>
      <w:r w:rsidRPr="00410803">
        <w:t>and</w:t>
      </w:r>
      <w:r w:rsidR="003D640C">
        <w:t xml:space="preserve"> </w:t>
      </w:r>
      <w:r w:rsidRPr="00410803">
        <w:t>belittle</w:t>
      </w:r>
      <w:r w:rsidR="003D640C">
        <w:t xml:space="preserve"> </w:t>
      </w:r>
      <w:r w:rsidRPr="00410803">
        <w:t>Rainbow</w:t>
      </w:r>
      <w:r w:rsidR="003D640C">
        <w:t xml:space="preserve"> </w:t>
      </w:r>
      <w:r w:rsidRPr="00410803">
        <w:t>people.</w:t>
      </w:r>
      <w:r w:rsidR="003D640C">
        <w:t xml:space="preserve"> </w:t>
      </w:r>
    </w:p>
    <w:p w14:paraId="18BAAD88" w14:textId="5917BC5B" w:rsidR="00410803" w:rsidRPr="00410803" w:rsidRDefault="00410803" w:rsidP="00955306">
      <w:r w:rsidRPr="00410803">
        <w:t>Under</w:t>
      </w:r>
      <w:r w:rsidR="003D640C">
        <w:t xml:space="preserve"> </w:t>
      </w:r>
      <w:r w:rsidRPr="00410803">
        <w:t>the</w:t>
      </w:r>
      <w:r w:rsidR="003D640C">
        <w:t xml:space="preserve"> </w:t>
      </w:r>
      <w:r w:rsidRPr="00410803">
        <w:t>CPPLA,</w:t>
      </w:r>
      <w:r w:rsidR="003D640C">
        <w:t xml:space="preserve"> </w:t>
      </w:r>
      <w:r w:rsidRPr="00410803">
        <w:t>Te</w:t>
      </w:r>
      <w:r w:rsidR="003D640C">
        <w:t xml:space="preserve"> </w:t>
      </w:r>
      <w:r w:rsidRPr="00410803">
        <w:t>Kāhui</w:t>
      </w:r>
      <w:r w:rsidR="003D640C">
        <w:t xml:space="preserve"> </w:t>
      </w:r>
      <w:r w:rsidRPr="00410803">
        <w:t>Tika</w:t>
      </w:r>
      <w:r w:rsidR="003D640C">
        <w:t xml:space="preserve"> </w:t>
      </w:r>
      <w:r w:rsidRPr="00410803">
        <w:t>Tangata</w:t>
      </w:r>
      <w:r w:rsidR="00BB1013">
        <w:t xml:space="preserve"> |</w:t>
      </w:r>
      <w:r w:rsidR="003D640C">
        <w:t xml:space="preserve"> </w:t>
      </w:r>
      <w:r w:rsidRPr="00410803">
        <w:t>Human</w:t>
      </w:r>
      <w:r w:rsidR="003D640C">
        <w:t xml:space="preserve"> </w:t>
      </w:r>
      <w:r w:rsidRPr="00410803">
        <w:t>Rights</w:t>
      </w:r>
      <w:r w:rsidR="003D640C">
        <w:t xml:space="preserve"> </w:t>
      </w:r>
      <w:r w:rsidRPr="00410803">
        <w:t>Commission</w:t>
      </w:r>
      <w:r w:rsidR="003D640C">
        <w:t xml:space="preserve"> </w:t>
      </w:r>
      <w:r w:rsidRPr="00410803">
        <w:t>received</w:t>
      </w:r>
      <w:r w:rsidR="003D640C">
        <w:t xml:space="preserve"> </w:t>
      </w:r>
      <w:r w:rsidRPr="00410803">
        <w:t>one-off</w:t>
      </w:r>
      <w:r w:rsidR="003D640C">
        <w:t xml:space="preserve"> </w:t>
      </w:r>
      <w:r w:rsidR="00BB1013">
        <w:t>g</w:t>
      </w:r>
      <w:r w:rsidRPr="00410803">
        <w:t>overnment</w:t>
      </w:r>
      <w:r w:rsidR="003D640C">
        <w:t xml:space="preserve"> </w:t>
      </w:r>
      <w:r w:rsidRPr="00410803">
        <w:t>funding</w:t>
      </w:r>
      <w:r w:rsidR="003D640C">
        <w:t xml:space="preserve"> </w:t>
      </w:r>
      <w:r w:rsidRPr="00410803">
        <w:t>to</w:t>
      </w:r>
      <w:r w:rsidR="003D640C">
        <w:t xml:space="preserve"> </w:t>
      </w:r>
      <w:r w:rsidRPr="00410803">
        <w:t>establish</w:t>
      </w:r>
      <w:r w:rsidR="003D640C">
        <w:t xml:space="preserve"> </w:t>
      </w:r>
      <w:r w:rsidRPr="00410803">
        <w:t>a</w:t>
      </w:r>
      <w:r w:rsidR="003D640C">
        <w:t xml:space="preserve"> </w:t>
      </w:r>
      <w:r w:rsidRPr="00410803">
        <w:t>Conversion</w:t>
      </w:r>
      <w:r w:rsidR="003D640C">
        <w:t xml:space="preserve"> </w:t>
      </w:r>
      <w:r w:rsidRPr="00410803">
        <w:t>Practices</w:t>
      </w:r>
      <w:r w:rsidR="003D640C">
        <w:t xml:space="preserve"> </w:t>
      </w:r>
      <w:r w:rsidRPr="00410803">
        <w:t>Response</w:t>
      </w:r>
      <w:r w:rsidR="003D640C">
        <w:t xml:space="preserve"> </w:t>
      </w:r>
      <w:r w:rsidRPr="00410803">
        <w:t>Service.</w:t>
      </w:r>
      <w:r w:rsidR="003D640C">
        <w:t xml:space="preserve"> </w:t>
      </w:r>
      <w:r w:rsidRPr="00410803">
        <w:t>In</w:t>
      </w:r>
      <w:r w:rsidR="003D640C">
        <w:t xml:space="preserve"> </w:t>
      </w:r>
      <w:r w:rsidRPr="00410803">
        <w:t>the</w:t>
      </w:r>
      <w:r w:rsidR="003D640C">
        <w:t xml:space="preserve"> </w:t>
      </w:r>
      <w:r w:rsidRPr="00410803">
        <w:t>course</w:t>
      </w:r>
      <w:r w:rsidR="003D640C">
        <w:t xml:space="preserve"> </w:t>
      </w:r>
      <w:r w:rsidRPr="00410803">
        <w:t>of</w:t>
      </w:r>
      <w:r w:rsidR="003D640C">
        <w:t xml:space="preserve"> </w:t>
      </w:r>
      <w:r w:rsidR="00BB1013">
        <w:t xml:space="preserve">its </w:t>
      </w:r>
      <w:r w:rsidRPr="00410803">
        <w:t>work,</w:t>
      </w:r>
      <w:r w:rsidR="003D640C">
        <w:t xml:space="preserve"> </w:t>
      </w:r>
      <w:r w:rsidRPr="00410803">
        <w:t>the</w:t>
      </w:r>
      <w:r w:rsidR="003D640C">
        <w:t xml:space="preserve"> </w:t>
      </w:r>
      <w:r w:rsidRPr="00410803">
        <w:t>service</w:t>
      </w:r>
      <w:r w:rsidR="003D640C">
        <w:t xml:space="preserve"> </w:t>
      </w:r>
      <w:r w:rsidR="006F7E1D">
        <w:t>responded</w:t>
      </w:r>
      <w:r w:rsidR="003D640C">
        <w:t xml:space="preserve"> </w:t>
      </w:r>
      <w:r w:rsidRPr="00410803">
        <w:t>to</w:t>
      </w:r>
      <w:r w:rsidR="003D640C">
        <w:t xml:space="preserve"> </w:t>
      </w:r>
      <w:r w:rsidRPr="00410803">
        <w:t>contact</w:t>
      </w:r>
      <w:r w:rsidR="003D640C">
        <w:t xml:space="preserve"> </w:t>
      </w:r>
      <w:r w:rsidRPr="00410803">
        <w:t>from</w:t>
      </w:r>
      <w:r w:rsidR="003D640C">
        <w:t xml:space="preserve"> </w:t>
      </w:r>
      <w:r w:rsidRPr="00410803">
        <w:t>survivors</w:t>
      </w:r>
      <w:r w:rsidR="003D640C">
        <w:t xml:space="preserve"> </w:t>
      </w:r>
      <w:r w:rsidRPr="00410803">
        <w:t>and</w:t>
      </w:r>
      <w:r w:rsidR="003D640C">
        <w:t xml:space="preserve"> </w:t>
      </w:r>
      <w:r w:rsidR="00544543" w:rsidRPr="00410803">
        <w:t>rais</w:t>
      </w:r>
      <w:r w:rsidR="00544543">
        <w:t xml:space="preserve">ed </w:t>
      </w:r>
      <w:r w:rsidRPr="00410803">
        <w:t>awareness</w:t>
      </w:r>
      <w:r w:rsidR="003D640C">
        <w:t xml:space="preserve"> </w:t>
      </w:r>
      <w:r w:rsidRPr="00410803">
        <w:t>of</w:t>
      </w:r>
      <w:r w:rsidR="003D640C">
        <w:t xml:space="preserve"> </w:t>
      </w:r>
      <w:r w:rsidRPr="00410803">
        <w:t>the</w:t>
      </w:r>
      <w:r w:rsidR="003D640C">
        <w:t xml:space="preserve"> </w:t>
      </w:r>
      <w:r w:rsidRPr="00410803">
        <w:t>significant</w:t>
      </w:r>
      <w:r w:rsidR="003D640C">
        <w:t xml:space="preserve"> </w:t>
      </w:r>
      <w:r w:rsidRPr="00410803">
        <w:t>harm</w:t>
      </w:r>
      <w:r w:rsidR="003D640C">
        <w:t xml:space="preserve"> </w:t>
      </w:r>
      <w:r w:rsidRPr="00410803">
        <w:t>caused</w:t>
      </w:r>
      <w:r w:rsidR="003D640C">
        <w:t xml:space="preserve"> </w:t>
      </w:r>
      <w:r w:rsidRPr="00410803">
        <w:t>by</w:t>
      </w:r>
      <w:r w:rsidR="003D640C">
        <w:t xml:space="preserve"> </w:t>
      </w:r>
      <w:r w:rsidRPr="00410803">
        <w:t>the</w:t>
      </w:r>
      <w:r w:rsidR="003D640C">
        <w:t xml:space="preserve"> </w:t>
      </w:r>
      <w:r w:rsidRPr="00410803">
        <w:t>practices.</w:t>
      </w:r>
      <w:r w:rsidR="003D640C">
        <w:t xml:space="preserve"> </w:t>
      </w:r>
      <w:r w:rsidRPr="00BF0C39">
        <w:t>When</w:t>
      </w:r>
      <w:r w:rsidR="003D640C">
        <w:t xml:space="preserve"> </w:t>
      </w:r>
      <w:r w:rsidRPr="00BF0C39">
        <w:t>funding</w:t>
      </w:r>
      <w:r w:rsidR="003D640C">
        <w:t xml:space="preserve"> </w:t>
      </w:r>
      <w:r w:rsidRPr="00BF0C39">
        <w:t>ended,</w:t>
      </w:r>
      <w:r w:rsidR="003D640C">
        <w:t xml:space="preserve"> </w:t>
      </w:r>
      <w:r w:rsidRPr="00BF0C39">
        <w:t>the</w:t>
      </w:r>
      <w:r w:rsidR="003D640C">
        <w:t xml:space="preserve"> </w:t>
      </w:r>
      <w:r w:rsidRPr="00BF0C39">
        <w:t>response</w:t>
      </w:r>
      <w:r w:rsidR="003D640C">
        <w:t xml:space="preserve"> </w:t>
      </w:r>
      <w:r w:rsidRPr="00BF0C39">
        <w:t>service</w:t>
      </w:r>
      <w:r w:rsidR="003D640C">
        <w:t xml:space="preserve"> </w:t>
      </w:r>
      <w:r w:rsidRPr="00BF0C39">
        <w:t>was</w:t>
      </w:r>
      <w:r w:rsidR="003D640C">
        <w:t xml:space="preserve"> </w:t>
      </w:r>
      <w:r w:rsidRPr="00BF0C39">
        <w:t>folded</w:t>
      </w:r>
      <w:r w:rsidR="003D640C">
        <w:t xml:space="preserve"> </w:t>
      </w:r>
      <w:r w:rsidRPr="00BF0C39">
        <w:t>into</w:t>
      </w:r>
      <w:r w:rsidR="003D640C">
        <w:t xml:space="preserve"> </w:t>
      </w:r>
      <w:r w:rsidRPr="00BF0C39">
        <w:t>the</w:t>
      </w:r>
      <w:r w:rsidR="003D640C">
        <w:t xml:space="preserve"> </w:t>
      </w:r>
      <w:r w:rsidRPr="00BF0C39">
        <w:t>Commission’s</w:t>
      </w:r>
      <w:r w:rsidR="003D640C">
        <w:t xml:space="preserve"> </w:t>
      </w:r>
      <w:r w:rsidRPr="00BF0C39">
        <w:t>free</w:t>
      </w:r>
      <w:r w:rsidR="003D640C">
        <w:t xml:space="preserve"> </w:t>
      </w:r>
      <w:r w:rsidRPr="00BF0C39">
        <w:t>and</w:t>
      </w:r>
      <w:r w:rsidR="003D640C">
        <w:t xml:space="preserve"> </w:t>
      </w:r>
      <w:r w:rsidRPr="00BF0C39">
        <w:t>confidential</w:t>
      </w:r>
      <w:r w:rsidR="003D640C">
        <w:t xml:space="preserve"> </w:t>
      </w:r>
      <w:r w:rsidRPr="00BF0C39">
        <w:t>dispute</w:t>
      </w:r>
      <w:r w:rsidR="003D640C">
        <w:t xml:space="preserve"> </w:t>
      </w:r>
      <w:r w:rsidRPr="00BF0C39">
        <w:t>resolution</w:t>
      </w:r>
      <w:r w:rsidR="003D640C">
        <w:t xml:space="preserve"> </w:t>
      </w:r>
      <w:r w:rsidRPr="00BF0C39">
        <w:t>process.</w:t>
      </w:r>
      <w:r w:rsidRPr="00410803">
        <w:t> </w:t>
      </w:r>
      <w:r w:rsidR="003D640C">
        <w:t xml:space="preserve"> </w:t>
      </w:r>
    </w:p>
    <w:p w14:paraId="020D747D" w14:textId="77777777" w:rsidR="00D025FA" w:rsidRDefault="00410803" w:rsidP="00955306">
      <w:r w:rsidRPr="00410803">
        <w:t>Our</w:t>
      </w:r>
      <w:r w:rsidR="003D640C">
        <w:t xml:space="preserve"> </w:t>
      </w:r>
      <w:r w:rsidRPr="00410803">
        <w:t>engagement</w:t>
      </w:r>
      <w:r w:rsidR="003D640C">
        <w:t xml:space="preserve"> </w:t>
      </w:r>
      <w:r w:rsidRPr="00410803">
        <w:t>with</w:t>
      </w:r>
      <w:r w:rsidR="003D640C">
        <w:t xml:space="preserve"> </w:t>
      </w:r>
      <w:r w:rsidRPr="00410803">
        <w:t>Rainbow</w:t>
      </w:r>
      <w:r w:rsidR="003D640C">
        <w:t xml:space="preserve"> </w:t>
      </w:r>
      <w:r w:rsidRPr="00410803">
        <w:t>communities</w:t>
      </w:r>
      <w:r w:rsidR="003D640C">
        <w:t xml:space="preserve"> </w:t>
      </w:r>
      <w:r w:rsidRPr="00410803">
        <w:t>has</w:t>
      </w:r>
      <w:r w:rsidR="003D640C">
        <w:t xml:space="preserve"> </w:t>
      </w:r>
      <w:r w:rsidRPr="00410803">
        <w:t>shown</w:t>
      </w:r>
      <w:r w:rsidR="003D640C">
        <w:t xml:space="preserve"> </w:t>
      </w:r>
      <w:r w:rsidRPr="00410803">
        <w:t>that</w:t>
      </w:r>
      <w:r w:rsidR="003D640C">
        <w:t xml:space="preserve"> </w:t>
      </w:r>
      <w:r w:rsidRPr="00410803">
        <w:t>more</w:t>
      </w:r>
      <w:r w:rsidR="003D640C">
        <w:t xml:space="preserve"> </w:t>
      </w:r>
      <w:r w:rsidRPr="00410803">
        <w:t>work</w:t>
      </w:r>
      <w:r w:rsidR="003D640C">
        <w:t xml:space="preserve"> </w:t>
      </w:r>
      <w:r w:rsidRPr="00410803">
        <w:t>is</w:t>
      </w:r>
      <w:r w:rsidR="003D640C">
        <w:t xml:space="preserve"> </w:t>
      </w:r>
      <w:r w:rsidRPr="00410803">
        <w:t>needed</w:t>
      </w:r>
      <w:r w:rsidR="003D640C">
        <w:t xml:space="preserve"> </w:t>
      </w:r>
      <w:r w:rsidRPr="00410803">
        <w:t>to</w:t>
      </w:r>
      <w:r w:rsidR="003D640C">
        <w:t xml:space="preserve"> </w:t>
      </w:r>
      <w:r w:rsidRPr="00410803">
        <w:t>create</w:t>
      </w:r>
      <w:r w:rsidR="003D640C">
        <w:t xml:space="preserve"> </w:t>
      </w:r>
      <w:r w:rsidRPr="00410803">
        <w:t>a</w:t>
      </w:r>
      <w:r w:rsidR="003D640C">
        <w:t xml:space="preserve"> </w:t>
      </w:r>
      <w:r w:rsidRPr="00410803">
        <w:t>society</w:t>
      </w:r>
      <w:r w:rsidR="003D640C">
        <w:t xml:space="preserve"> </w:t>
      </w:r>
      <w:r w:rsidRPr="00410803">
        <w:t>where</w:t>
      </w:r>
      <w:r w:rsidR="003D640C">
        <w:t xml:space="preserve"> </w:t>
      </w:r>
      <w:r w:rsidRPr="00410803">
        <w:t>all</w:t>
      </w:r>
      <w:r w:rsidR="003D640C">
        <w:t xml:space="preserve"> </w:t>
      </w:r>
      <w:r w:rsidRPr="00410803">
        <w:t>Rainbow</w:t>
      </w:r>
      <w:r w:rsidR="003D640C">
        <w:t xml:space="preserve"> </w:t>
      </w:r>
      <w:r w:rsidRPr="00410803">
        <w:t>people</w:t>
      </w:r>
      <w:r w:rsidR="003D640C">
        <w:t xml:space="preserve"> </w:t>
      </w:r>
      <w:r w:rsidRPr="00410803">
        <w:t>are</w:t>
      </w:r>
      <w:r w:rsidR="003D640C">
        <w:t xml:space="preserve"> </w:t>
      </w:r>
      <w:r w:rsidRPr="00410803">
        <w:t>able</w:t>
      </w:r>
      <w:r w:rsidR="003D640C">
        <w:t xml:space="preserve"> </w:t>
      </w:r>
      <w:r w:rsidRPr="00410803">
        <w:t>to</w:t>
      </w:r>
      <w:r w:rsidR="003D640C">
        <w:t xml:space="preserve"> </w:t>
      </w:r>
      <w:r w:rsidRPr="00410803">
        <w:t>live</w:t>
      </w:r>
      <w:r w:rsidR="003D640C">
        <w:t xml:space="preserve"> </w:t>
      </w:r>
      <w:r w:rsidRPr="00410803">
        <w:t>safely</w:t>
      </w:r>
      <w:r w:rsidR="003D640C">
        <w:t xml:space="preserve"> </w:t>
      </w:r>
      <w:r w:rsidRPr="00410803">
        <w:t>and</w:t>
      </w:r>
      <w:r w:rsidR="003D640C">
        <w:t xml:space="preserve"> </w:t>
      </w:r>
      <w:r w:rsidRPr="00410803">
        <w:t>well</w:t>
      </w:r>
      <w:r w:rsidR="003D640C">
        <w:t xml:space="preserve"> </w:t>
      </w:r>
      <w:r w:rsidRPr="00410803">
        <w:t>as</w:t>
      </w:r>
      <w:r w:rsidR="003D640C">
        <w:t xml:space="preserve"> </w:t>
      </w:r>
      <w:r w:rsidRPr="00410803">
        <w:t>their</w:t>
      </w:r>
      <w:r w:rsidR="003D640C">
        <w:t xml:space="preserve"> </w:t>
      </w:r>
      <w:r w:rsidRPr="00410803">
        <w:t>true</w:t>
      </w:r>
      <w:r w:rsidR="003D640C">
        <w:t xml:space="preserve"> </w:t>
      </w:r>
      <w:r w:rsidRPr="00410803">
        <w:t>selves. </w:t>
      </w:r>
    </w:p>
    <w:p w14:paraId="39388816" w14:textId="2D13C9E1" w:rsidR="00D025FA" w:rsidRDefault="00410803" w:rsidP="00955306">
      <w:r w:rsidRPr="00410803">
        <w:t>Rainbow</w:t>
      </w:r>
      <w:r w:rsidR="003D640C">
        <w:t xml:space="preserve"> </w:t>
      </w:r>
      <w:r w:rsidRPr="00410803">
        <w:t>people</w:t>
      </w:r>
      <w:r w:rsidR="003D640C">
        <w:t xml:space="preserve"> </w:t>
      </w:r>
      <w:r w:rsidRPr="00410803">
        <w:t>experience</w:t>
      </w:r>
      <w:r w:rsidR="003D640C">
        <w:t xml:space="preserve"> </w:t>
      </w:r>
      <w:r w:rsidRPr="00410803">
        <w:t>discrimination</w:t>
      </w:r>
      <w:r w:rsidR="003D640C">
        <w:t xml:space="preserve"> </w:t>
      </w:r>
      <w:r w:rsidRPr="00410803">
        <w:t>at</w:t>
      </w:r>
      <w:r w:rsidR="003D640C">
        <w:t xml:space="preserve"> </w:t>
      </w:r>
      <w:r w:rsidRPr="00410803">
        <w:t>a</w:t>
      </w:r>
      <w:r w:rsidR="003D640C">
        <w:t xml:space="preserve"> </w:t>
      </w:r>
      <w:r w:rsidRPr="00410803">
        <w:t>rate</w:t>
      </w:r>
      <w:r w:rsidR="003D640C">
        <w:t xml:space="preserve"> </w:t>
      </w:r>
      <w:r w:rsidRPr="00410803">
        <w:t>higher</w:t>
      </w:r>
      <w:r w:rsidR="003D640C">
        <w:t xml:space="preserve"> </w:t>
      </w:r>
      <w:r w:rsidRPr="00410803">
        <w:t>than</w:t>
      </w:r>
      <w:r w:rsidR="003D640C">
        <w:t xml:space="preserve"> </w:t>
      </w:r>
      <w:r w:rsidRPr="00410803">
        <w:t>the</w:t>
      </w:r>
      <w:r w:rsidR="003D640C">
        <w:t xml:space="preserve"> </w:t>
      </w:r>
      <w:r w:rsidRPr="00410803">
        <w:t>general</w:t>
      </w:r>
      <w:r w:rsidR="003D640C">
        <w:t xml:space="preserve"> </w:t>
      </w:r>
      <w:r w:rsidRPr="00410803">
        <w:t>population</w:t>
      </w:r>
      <w:r w:rsidR="00BB1013">
        <w:t>.</w:t>
      </w:r>
      <w:r w:rsidR="001A4F8C">
        <w:rPr>
          <w:rStyle w:val="FootnoteReference"/>
        </w:rPr>
        <w:footnoteReference w:id="4"/>
      </w:r>
      <w:r w:rsidR="003D640C">
        <w:t xml:space="preserve"> </w:t>
      </w:r>
      <w:r w:rsidRPr="00410803">
        <w:t>For</w:t>
      </w:r>
      <w:r w:rsidR="003D640C">
        <w:t xml:space="preserve"> </w:t>
      </w:r>
      <w:r w:rsidRPr="00410803">
        <w:t>Māori,</w:t>
      </w:r>
      <w:r w:rsidR="003D640C">
        <w:t xml:space="preserve"> </w:t>
      </w:r>
      <w:r w:rsidRPr="00410803">
        <w:t>Pacific</w:t>
      </w:r>
      <w:r w:rsidR="00DE66E9">
        <w:t>,</w:t>
      </w:r>
      <w:r w:rsidR="003D640C">
        <w:t xml:space="preserve"> </w:t>
      </w:r>
      <w:r w:rsidRPr="00410803">
        <w:t>and</w:t>
      </w:r>
      <w:r w:rsidR="003D640C">
        <w:t xml:space="preserve"> </w:t>
      </w:r>
      <w:r w:rsidRPr="00410803">
        <w:t>ethnic</w:t>
      </w:r>
      <w:r w:rsidR="003D640C">
        <w:t xml:space="preserve"> </w:t>
      </w:r>
      <w:r w:rsidRPr="00410803">
        <w:t>peoples</w:t>
      </w:r>
      <w:r w:rsidR="003D640C">
        <w:t xml:space="preserve"> </w:t>
      </w:r>
      <w:r w:rsidRPr="00410803">
        <w:t>in</w:t>
      </w:r>
      <w:r w:rsidR="003D640C">
        <w:t xml:space="preserve"> </w:t>
      </w:r>
      <w:r w:rsidRPr="00410803">
        <w:t>Aotearoa,</w:t>
      </w:r>
      <w:r w:rsidR="003D640C">
        <w:t xml:space="preserve"> </w:t>
      </w:r>
      <w:r w:rsidRPr="00410803">
        <w:t>this</w:t>
      </w:r>
      <w:r w:rsidR="003D640C">
        <w:t xml:space="preserve"> </w:t>
      </w:r>
      <w:r w:rsidRPr="00410803">
        <w:t>is</w:t>
      </w:r>
      <w:r w:rsidR="003D640C">
        <w:t xml:space="preserve"> </w:t>
      </w:r>
      <w:r w:rsidRPr="00410803">
        <w:t>overlaid</w:t>
      </w:r>
      <w:r w:rsidR="003D640C">
        <w:t xml:space="preserve"> </w:t>
      </w:r>
      <w:r w:rsidRPr="00410803">
        <w:t>with</w:t>
      </w:r>
      <w:r w:rsidR="003D640C">
        <w:t xml:space="preserve"> </w:t>
      </w:r>
      <w:r w:rsidRPr="00410803">
        <w:t>racism.</w:t>
      </w:r>
      <w:r w:rsidR="0048710C">
        <w:rPr>
          <w:rStyle w:val="FootnoteReference"/>
        </w:rPr>
        <w:footnoteReference w:id="5"/>
      </w:r>
      <w:r w:rsidR="003D640C">
        <w:t xml:space="preserve"> </w:t>
      </w:r>
      <w:r w:rsidRPr="00410803">
        <w:t>Colonisation</w:t>
      </w:r>
      <w:r w:rsidR="003D640C">
        <w:t xml:space="preserve"> </w:t>
      </w:r>
      <w:r w:rsidRPr="00410803">
        <w:t>impacted</w:t>
      </w:r>
      <w:r w:rsidR="003D640C">
        <w:t xml:space="preserve"> </w:t>
      </w:r>
      <w:r w:rsidRPr="00410803">
        <w:t>Indigenous</w:t>
      </w:r>
      <w:r w:rsidR="003D640C">
        <w:t xml:space="preserve"> </w:t>
      </w:r>
      <w:r w:rsidRPr="00410803">
        <w:t>peoples’</w:t>
      </w:r>
      <w:r w:rsidR="003D640C">
        <w:t xml:space="preserve"> </w:t>
      </w:r>
      <w:r w:rsidRPr="00410803">
        <w:t>traditional</w:t>
      </w:r>
      <w:r w:rsidR="003D640C">
        <w:t xml:space="preserve"> </w:t>
      </w:r>
      <w:r w:rsidRPr="00410803">
        <w:t>acceptance</w:t>
      </w:r>
      <w:r w:rsidR="003D640C">
        <w:t xml:space="preserve"> </w:t>
      </w:r>
      <w:r w:rsidRPr="00410803">
        <w:t>of</w:t>
      </w:r>
      <w:r w:rsidR="003D640C">
        <w:t xml:space="preserve"> </w:t>
      </w:r>
      <w:r w:rsidRPr="00410803">
        <w:t>the</w:t>
      </w:r>
      <w:r w:rsidR="003D640C">
        <w:t xml:space="preserve"> </w:t>
      </w:r>
      <w:r w:rsidRPr="00410803">
        <w:t>natural</w:t>
      </w:r>
      <w:r w:rsidR="003D640C">
        <w:t xml:space="preserve"> </w:t>
      </w:r>
      <w:r w:rsidRPr="00410803">
        <w:t>fluidity</w:t>
      </w:r>
      <w:r w:rsidR="003D640C">
        <w:t xml:space="preserve"> </w:t>
      </w:r>
      <w:r w:rsidRPr="00410803">
        <w:t>of</w:t>
      </w:r>
      <w:r w:rsidR="003D640C">
        <w:t xml:space="preserve"> </w:t>
      </w:r>
      <w:r w:rsidRPr="00410803">
        <w:t>sexuality</w:t>
      </w:r>
      <w:r w:rsidR="003D640C">
        <w:t xml:space="preserve"> </w:t>
      </w:r>
      <w:r w:rsidRPr="00410803">
        <w:t>and</w:t>
      </w:r>
      <w:r w:rsidR="003D640C">
        <w:t xml:space="preserve"> </w:t>
      </w:r>
      <w:r w:rsidRPr="00410803">
        <w:t>gender,</w:t>
      </w:r>
      <w:r w:rsidR="003D640C">
        <w:t xml:space="preserve"> </w:t>
      </w:r>
      <w:r w:rsidRPr="00410803">
        <w:t>replacing</w:t>
      </w:r>
      <w:r w:rsidR="003D640C">
        <w:t xml:space="preserve"> </w:t>
      </w:r>
      <w:r w:rsidRPr="00410803">
        <w:t>it</w:t>
      </w:r>
      <w:r w:rsidR="003D640C">
        <w:t xml:space="preserve"> </w:t>
      </w:r>
      <w:r w:rsidRPr="00410803">
        <w:t>with</w:t>
      </w:r>
      <w:r w:rsidR="003D640C">
        <w:t xml:space="preserve"> </w:t>
      </w:r>
      <w:r w:rsidRPr="00410803">
        <w:t>a</w:t>
      </w:r>
      <w:r w:rsidR="003D640C">
        <w:t xml:space="preserve"> </w:t>
      </w:r>
      <w:r w:rsidRPr="00410803">
        <w:t>rigid</w:t>
      </w:r>
      <w:r w:rsidR="003D640C">
        <w:t xml:space="preserve"> </w:t>
      </w:r>
      <w:r w:rsidRPr="00410803">
        <w:t>binary</w:t>
      </w:r>
      <w:r w:rsidR="003D640C">
        <w:t xml:space="preserve"> </w:t>
      </w:r>
      <w:r w:rsidRPr="00410803">
        <w:t>opposition</w:t>
      </w:r>
      <w:r w:rsidR="003D640C">
        <w:t xml:space="preserve"> </w:t>
      </w:r>
      <w:r w:rsidRPr="00410803">
        <w:t>of</w:t>
      </w:r>
      <w:r w:rsidR="003D640C">
        <w:t xml:space="preserve"> </w:t>
      </w:r>
      <w:r w:rsidRPr="00410803">
        <w:t>male</w:t>
      </w:r>
      <w:r w:rsidR="003D640C">
        <w:t xml:space="preserve"> </w:t>
      </w:r>
      <w:r w:rsidRPr="00410803">
        <w:t>and</w:t>
      </w:r>
      <w:r w:rsidR="003D640C">
        <w:t xml:space="preserve"> </w:t>
      </w:r>
      <w:r w:rsidRPr="00410803">
        <w:t>female</w:t>
      </w:r>
      <w:r w:rsidR="00464C9C">
        <w:t>.</w:t>
      </w:r>
      <w:r w:rsidR="00006AB1">
        <w:rPr>
          <w:rStyle w:val="FootnoteReference"/>
        </w:rPr>
        <w:footnoteReference w:id="6"/>
      </w:r>
      <w:r w:rsidRPr="00410803">
        <w:t> </w:t>
      </w:r>
    </w:p>
    <w:p w14:paraId="07EE2353" w14:textId="784986DA" w:rsidR="003D640C" w:rsidRDefault="00410803" w:rsidP="00955306">
      <w:r w:rsidRPr="00BF0C39">
        <w:t>Disabled</w:t>
      </w:r>
      <w:r w:rsidR="003D640C">
        <w:t xml:space="preserve"> </w:t>
      </w:r>
      <w:r w:rsidR="00CC0F07">
        <w:t>R</w:t>
      </w:r>
      <w:r w:rsidRPr="00BF0C39">
        <w:t>ainbow</w:t>
      </w:r>
      <w:r w:rsidR="003D640C">
        <w:t xml:space="preserve"> </w:t>
      </w:r>
      <w:r w:rsidRPr="00BF0C39">
        <w:t>people</w:t>
      </w:r>
      <w:r w:rsidR="003D640C">
        <w:t xml:space="preserve"> </w:t>
      </w:r>
      <w:r w:rsidRPr="00BF0C39">
        <w:t>who</w:t>
      </w:r>
      <w:r w:rsidR="003D640C">
        <w:t xml:space="preserve"> </w:t>
      </w:r>
      <w:r w:rsidRPr="00BF0C39">
        <w:t>experience</w:t>
      </w:r>
      <w:r w:rsidR="003D640C">
        <w:t xml:space="preserve"> </w:t>
      </w:r>
      <w:r w:rsidRPr="00BF0C39">
        <w:t>conversion</w:t>
      </w:r>
      <w:r w:rsidR="003D640C">
        <w:t xml:space="preserve"> </w:t>
      </w:r>
      <w:r w:rsidRPr="00BF0C39">
        <w:t>practice</w:t>
      </w:r>
      <w:r w:rsidR="00C454AB">
        <w:t>s</w:t>
      </w:r>
      <w:r w:rsidR="003D640C">
        <w:t xml:space="preserve"> </w:t>
      </w:r>
      <w:r w:rsidRPr="00BF0C39">
        <w:t>also</w:t>
      </w:r>
      <w:r w:rsidR="003D640C">
        <w:t xml:space="preserve"> </w:t>
      </w:r>
      <w:r w:rsidRPr="00BF0C39">
        <w:t>face</w:t>
      </w:r>
      <w:r w:rsidR="003D640C">
        <w:t xml:space="preserve"> </w:t>
      </w:r>
      <w:r w:rsidRPr="00BF0C39">
        <w:t>layered</w:t>
      </w:r>
      <w:r w:rsidR="003D640C">
        <w:t xml:space="preserve"> </w:t>
      </w:r>
      <w:r w:rsidRPr="00BF0C39">
        <w:t>oppression</w:t>
      </w:r>
      <w:r w:rsidR="003D640C">
        <w:t xml:space="preserve"> </w:t>
      </w:r>
      <w:r w:rsidRPr="00BF0C39">
        <w:t>arising</w:t>
      </w:r>
      <w:r w:rsidR="003D640C">
        <w:t xml:space="preserve"> </w:t>
      </w:r>
      <w:r w:rsidRPr="00BF0C39">
        <w:t>from</w:t>
      </w:r>
      <w:r w:rsidR="003D640C">
        <w:t xml:space="preserve"> </w:t>
      </w:r>
      <w:r w:rsidRPr="00BF0C39">
        <w:t>a</w:t>
      </w:r>
      <w:r w:rsidR="003D640C">
        <w:t xml:space="preserve"> </w:t>
      </w:r>
      <w:r w:rsidRPr="00BF0C39">
        <w:t>pervasive</w:t>
      </w:r>
      <w:r w:rsidR="003D640C">
        <w:t xml:space="preserve"> </w:t>
      </w:r>
      <w:r w:rsidRPr="00BF0C39">
        <w:t>perception</w:t>
      </w:r>
      <w:r w:rsidR="003D640C">
        <w:t xml:space="preserve"> </w:t>
      </w:r>
      <w:r w:rsidRPr="00BF0C39">
        <w:t>that</w:t>
      </w:r>
      <w:r w:rsidR="003D640C">
        <w:t xml:space="preserve"> </w:t>
      </w:r>
      <w:r w:rsidRPr="00BF0C39">
        <w:t>they</w:t>
      </w:r>
      <w:r w:rsidR="003D640C">
        <w:t xml:space="preserve"> </w:t>
      </w:r>
      <w:r w:rsidRPr="00BF0C39">
        <w:t>need</w:t>
      </w:r>
      <w:r w:rsidR="003D640C">
        <w:t xml:space="preserve"> </w:t>
      </w:r>
      <w:r w:rsidRPr="00BF0C39">
        <w:t>to</w:t>
      </w:r>
      <w:r w:rsidR="003D640C">
        <w:t xml:space="preserve"> </w:t>
      </w:r>
      <w:r w:rsidRPr="00BF0C39">
        <w:t>be</w:t>
      </w:r>
      <w:r w:rsidR="003D640C">
        <w:t xml:space="preserve"> </w:t>
      </w:r>
      <w:r w:rsidRPr="00BF0C39">
        <w:t>‘cured’</w:t>
      </w:r>
      <w:r w:rsidR="003D640C">
        <w:t xml:space="preserve"> </w:t>
      </w:r>
      <w:r w:rsidRPr="00BF0C39">
        <w:t>or</w:t>
      </w:r>
      <w:r w:rsidR="003D640C">
        <w:t xml:space="preserve"> </w:t>
      </w:r>
      <w:r w:rsidRPr="00BF0C39">
        <w:t>‘corrected’</w:t>
      </w:r>
      <w:r w:rsidR="003D640C">
        <w:t xml:space="preserve"> </w:t>
      </w:r>
      <w:r w:rsidRPr="00BF0C39">
        <w:t>for</w:t>
      </w:r>
      <w:r w:rsidR="003D640C">
        <w:t xml:space="preserve"> </w:t>
      </w:r>
      <w:r w:rsidRPr="00BF0C39">
        <w:t>their</w:t>
      </w:r>
      <w:r w:rsidR="003D640C">
        <w:t xml:space="preserve"> </w:t>
      </w:r>
      <w:r w:rsidRPr="00BF0C39">
        <w:t>sexuality</w:t>
      </w:r>
      <w:r w:rsidR="003D640C">
        <w:t xml:space="preserve"> </w:t>
      </w:r>
      <w:r w:rsidRPr="00BF0C39">
        <w:t>or</w:t>
      </w:r>
      <w:r w:rsidR="003D640C">
        <w:t xml:space="preserve"> </w:t>
      </w:r>
      <w:r w:rsidRPr="00BF0C39">
        <w:t>gender</w:t>
      </w:r>
      <w:r w:rsidR="003D640C">
        <w:t xml:space="preserve"> </w:t>
      </w:r>
      <w:r w:rsidRPr="00BF0C39">
        <w:lastRenderedPageBreak/>
        <w:t>identity</w:t>
      </w:r>
      <w:r w:rsidR="003D640C">
        <w:t xml:space="preserve"> </w:t>
      </w:r>
      <w:r w:rsidRPr="00BF0C39">
        <w:t>and</w:t>
      </w:r>
      <w:r w:rsidR="003D640C">
        <w:t xml:space="preserve"> </w:t>
      </w:r>
      <w:r w:rsidRPr="00BF0C39">
        <w:t>their</w:t>
      </w:r>
      <w:r w:rsidR="003D640C">
        <w:t xml:space="preserve"> </w:t>
      </w:r>
      <w:r w:rsidRPr="00BF0C39">
        <w:t>impairments.</w:t>
      </w:r>
      <w:r w:rsidR="00AA159D">
        <w:rPr>
          <w:rStyle w:val="FootnoteReference"/>
        </w:rPr>
        <w:footnoteReference w:id="7"/>
      </w:r>
      <w:r w:rsidR="003D640C">
        <w:t xml:space="preserve"> </w:t>
      </w:r>
      <w:r w:rsidRPr="00BF0C39">
        <w:t>This</w:t>
      </w:r>
      <w:r w:rsidR="003D640C">
        <w:t xml:space="preserve"> </w:t>
      </w:r>
      <w:r w:rsidRPr="00BF0C39">
        <w:t>study</w:t>
      </w:r>
      <w:r w:rsidR="003D640C">
        <w:t xml:space="preserve"> </w:t>
      </w:r>
      <w:r w:rsidRPr="00BF0C39">
        <w:t>cites</w:t>
      </w:r>
      <w:r w:rsidR="003D640C">
        <w:t xml:space="preserve"> </w:t>
      </w:r>
      <w:r w:rsidRPr="00BF0C39">
        <w:t>evidence</w:t>
      </w:r>
      <w:r w:rsidR="003D640C">
        <w:t xml:space="preserve"> </w:t>
      </w:r>
      <w:r w:rsidRPr="00BF0C39">
        <w:t>that</w:t>
      </w:r>
      <w:r w:rsidR="003D640C">
        <w:t xml:space="preserve"> </w:t>
      </w:r>
      <w:r w:rsidRPr="00BF0C39">
        <w:t>these</w:t>
      </w:r>
      <w:r w:rsidR="003D640C">
        <w:t xml:space="preserve"> </w:t>
      </w:r>
      <w:r w:rsidRPr="00BF0C39">
        <w:t>experiences</w:t>
      </w:r>
      <w:r w:rsidR="003D640C">
        <w:t xml:space="preserve"> </w:t>
      </w:r>
      <w:r w:rsidRPr="00BF0C39">
        <w:t>are</w:t>
      </w:r>
      <w:r w:rsidR="003D640C">
        <w:t xml:space="preserve"> </w:t>
      </w:r>
      <w:r w:rsidRPr="00BF0C39">
        <w:t>in</w:t>
      </w:r>
      <w:r w:rsidR="003D640C">
        <w:t xml:space="preserve"> </w:t>
      </w:r>
      <w:r w:rsidRPr="00BF0C39">
        <w:t>multiple</w:t>
      </w:r>
      <w:r w:rsidR="003D640C">
        <w:t xml:space="preserve"> </w:t>
      </w:r>
      <w:r w:rsidRPr="00BF0C39">
        <w:t>settings</w:t>
      </w:r>
      <w:r w:rsidR="00DE66E9">
        <w:t>,</w:t>
      </w:r>
      <w:r w:rsidR="003D640C">
        <w:t xml:space="preserve"> </w:t>
      </w:r>
      <w:r w:rsidRPr="00BF0C39">
        <w:t>including</w:t>
      </w:r>
      <w:r w:rsidR="003D640C">
        <w:t xml:space="preserve"> </w:t>
      </w:r>
      <w:r w:rsidRPr="00BF0C39">
        <w:t>healthcare,</w:t>
      </w:r>
      <w:r w:rsidR="003D640C">
        <w:t xml:space="preserve"> </w:t>
      </w:r>
      <w:r w:rsidRPr="00BF0C39">
        <w:t>youth</w:t>
      </w:r>
      <w:r w:rsidR="003D640C">
        <w:t xml:space="preserve"> </w:t>
      </w:r>
      <w:r w:rsidRPr="00BF0C39">
        <w:t>work,</w:t>
      </w:r>
      <w:r w:rsidR="003D640C">
        <w:t xml:space="preserve"> </w:t>
      </w:r>
      <w:r w:rsidRPr="00BF0C39">
        <w:t>and</w:t>
      </w:r>
      <w:r w:rsidR="003D640C">
        <w:t xml:space="preserve"> </w:t>
      </w:r>
      <w:r w:rsidRPr="00BF0C39">
        <w:t>religious</w:t>
      </w:r>
      <w:r w:rsidR="003D640C">
        <w:t xml:space="preserve"> </w:t>
      </w:r>
      <w:r w:rsidRPr="00BF0C39">
        <w:t>environments.</w:t>
      </w:r>
    </w:p>
    <w:p w14:paraId="08D0C92B" w14:textId="7305A29C" w:rsidR="003D640C" w:rsidRDefault="00410803" w:rsidP="00955306">
      <w:r w:rsidRPr="00410803">
        <w:t>Many</w:t>
      </w:r>
      <w:r w:rsidR="003D640C">
        <w:t xml:space="preserve"> </w:t>
      </w:r>
      <w:r w:rsidRPr="00410803">
        <w:t>Rainbow</w:t>
      </w:r>
      <w:r w:rsidR="003D640C">
        <w:t xml:space="preserve"> </w:t>
      </w:r>
      <w:r w:rsidRPr="00410803">
        <w:t>people’s</w:t>
      </w:r>
      <w:r w:rsidR="003D640C">
        <w:t xml:space="preserve"> </w:t>
      </w:r>
      <w:r w:rsidRPr="00410803">
        <w:t>stories</w:t>
      </w:r>
      <w:r w:rsidR="003D640C">
        <w:t xml:space="preserve"> </w:t>
      </w:r>
      <w:r w:rsidRPr="00410803">
        <w:t>include</w:t>
      </w:r>
      <w:r w:rsidR="003D640C">
        <w:t xml:space="preserve"> </w:t>
      </w:r>
      <w:r w:rsidRPr="00410803">
        <w:t>some</w:t>
      </w:r>
      <w:r w:rsidR="003D640C">
        <w:t xml:space="preserve"> </w:t>
      </w:r>
      <w:r w:rsidRPr="00410803">
        <w:t>religious</w:t>
      </w:r>
      <w:r w:rsidR="003D640C">
        <w:t xml:space="preserve"> </w:t>
      </w:r>
      <w:r w:rsidRPr="00410803">
        <w:t>context.</w:t>
      </w:r>
      <w:r w:rsidR="003D640C">
        <w:t xml:space="preserve"> </w:t>
      </w:r>
      <w:r w:rsidRPr="00410803">
        <w:t>The</w:t>
      </w:r>
      <w:r w:rsidR="003D640C">
        <w:t xml:space="preserve"> </w:t>
      </w:r>
      <w:r w:rsidRPr="00410803">
        <w:t>dread</w:t>
      </w:r>
      <w:r w:rsidR="003D640C">
        <w:t xml:space="preserve"> </w:t>
      </w:r>
      <w:r w:rsidRPr="00410803">
        <w:t>of</w:t>
      </w:r>
      <w:r w:rsidR="003D640C">
        <w:t xml:space="preserve"> </w:t>
      </w:r>
      <w:r w:rsidRPr="00410803">
        <w:t>losing</w:t>
      </w:r>
      <w:r w:rsidR="003D640C">
        <w:t xml:space="preserve"> </w:t>
      </w:r>
      <w:r w:rsidRPr="00410803">
        <w:t>whānau</w:t>
      </w:r>
      <w:r w:rsidR="003D640C">
        <w:t xml:space="preserve"> </w:t>
      </w:r>
      <w:r w:rsidRPr="00410803">
        <w:t>and</w:t>
      </w:r>
      <w:r w:rsidR="003D640C">
        <w:t xml:space="preserve"> </w:t>
      </w:r>
      <w:r w:rsidRPr="00410803">
        <w:t>community</w:t>
      </w:r>
      <w:r w:rsidR="003D640C">
        <w:t xml:space="preserve"> </w:t>
      </w:r>
      <w:r w:rsidRPr="00410803">
        <w:t>should</w:t>
      </w:r>
      <w:r w:rsidR="003D640C">
        <w:t xml:space="preserve"> </w:t>
      </w:r>
      <w:r w:rsidRPr="00410803">
        <w:t>they</w:t>
      </w:r>
      <w:r w:rsidR="003D640C">
        <w:t xml:space="preserve"> </w:t>
      </w:r>
      <w:r w:rsidRPr="00410803">
        <w:t>come</w:t>
      </w:r>
      <w:r w:rsidR="003D640C">
        <w:t xml:space="preserve"> </w:t>
      </w:r>
      <w:r w:rsidRPr="00410803">
        <w:t>out</w:t>
      </w:r>
      <w:r w:rsidR="003D640C">
        <w:t xml:space="preserve"> </w:t>
      </w:r>
      <w:r w:rsidRPr="00410803">
        <w:t>is</w:t>
      </w:r>
      <w:r w:rsidR="003D640C">
        <w:t xml:space="preserve"> </w:t>
      </w:r>
      <w:r w:rsidRPr="00410803">
        <w:t>very</w:t>
      </w:r>
      <w:r w:rsidR="003D640C">
        <w:t xml:space="preserve"> </w:t>
      </w:r>
      <w:r w:rsidRPr="00410803">
        <w:t>real.</w:t>
      </w:r>
      <w:r w:rsidR="003D640C">
        <w:t xml:space="preserve"> </w:t>
      </w:r>
      <w:r w:rsidRPr="00410803">
        <w:t>Due</w:t>
      </w:r>
      <w:r w:rsidR="003D640C">
        <w:t xml:space="preserve"> </w:t>
      </w:r>
      <w:r w:rsidRPr="00410803">
        <w:t>to</w:t>
      </w:r>
      <w:r w:rsidR="003D640C">
        <w:t xml:space="preserve"> </w:t>
      </w:r>
      <w:r w:rsidRPr="00410803">
        <w:t>the</w:t>
      </w:r>
      <w:r w:rsidR="003D640C">
        <w:t xml:space="preserve"> </w:t>
      </w:r>
      <w:r w:rsidRPr="00410803">
        <w:t>fear</w:t>
      </w:r>
      <w:r w:rsidR="003D640C">
        <w:t xml:space="preserve"> </w:t>
      </w:r>
      <w:r w:rsidRPr="00410803">
        <w:t>of</w:t>
      </w:r>
      <w:r w:rsidR="003D640C">
        <w:t xml:space="preserve"> </w:t>
      </w:r>
      <w:r w:rsidRPr="00410803">
        <w:t>exclusion</w:t>
      </w:r>
      <w:r w:rsidR="003D640C">
        <w:t xml:space="preserve"> </w:t>
      </w:r>
      <w:r w:rsidRPr="00410803">
        <w:t>and</w:t>
      </w:r>
      <w:r w:rsidR="003D640C">
        <w:t xml:space="preserve"> </w:t>
      </w:r>
      <w:r w:rsidRPr="00410803">
        <w:t>isolation,</w:t>
      </w:r>
      <w:r w:rsidR="003D640C">
        <w:t xml:space="preserve"> </w:t>
      </w:r>
      <w:r w:rsidRPr="00410803">
        <w:t>so-called</w:t>
      </w:r>
      <w:r w:rsidR="003D640C">
        <w:t xml:space="preserve"> </w:t>
      </w:r>
      <w:r w:rsidRPr="00410803">
        <w:t>conversion</w:t>
      </w:r>
      <w:r w:rsidR="003D640C">
        <w:t xml:space="preserve"> </w:t>
      </w:r>
      <w:r w:rsidRPr="00410803">
        <w:t>‘therapy’</w:t>
      </w:r>
      <w:r w:rsidR="003D640C">
        <w:t xml:space="preserve"> </w:t>
      </w:r>
      <w:r w:rsidRPr="00410803">
        <w:t>can</w:t>
      </w:r>
      <w:r w:rsidR="003D640C">
        <w:t xml:space="preserve"> </w:t>
      </w:r>
      <w:r w:rsidRPr="00410803">
        <w:t>–</w:t>
      </w:r>
      <w:r w:rsidR="003D640C">
        <w:t xml:space="preserve"> </w:t>
      </w:r>
      <w:r w:rsidRPr="00410803">
        <w:t>at</w:t>
      </w:r>
      <w:r w:rsidR="003D640C">
        <w:t xml:space="preserve"> </w:t>
      </w:r>
      <w:r w:rsidRPr="00410803">
        <w:t>least</w:t>
      </w:r>
      <w:r w:rsidR="003D640C">
        <w:t xml:space="preserve"> </w:t>
      </w:r>
      <w:r w:rsidRPr="00410803">
        <w:t>at</w:t>
      </w:r>
      <w:r w:rsidR="003D640C">
        <w:t xml:space="preserve"> </w:t>
      </w:r>
      <w:r w:rsidRPr="00410803">
        <w:t>first</w:t>
      </w:r>
      <w:r w:rsidR="003D640C">
        <w:t xml:space="preserve"> </w:t>
      </w:r>
      <w:r w:rsidRPr="00410803">
        <w:t>–</w:t>
      </w:r>
      <w:r w:rsidR="003D640C">
        <w:t xml:space="preserve"> </w:t>
      </w:r>
      <w:r w:rsidRPr="00410803">
        <w:t>seem</w:t>
      </w:r>
      <w:r w:rsidR="003D640C">
        <w:t xml:space="preserve"> </w:t>
      </w:r>
      <w:r w:rsidRPr="00410803">
        <w:t>a</w:t>
      </w:r>
      <w:r w:rsidR="003D640C">
        <w:t xml:space="preserve"> </w:t>
      </w:r>
      <w:r w:rsidRPr="00410803">
        <w:t>hopeful</w:t>
      </w:r>
      <w:r w:rsidR="003D640C">
        <w:t xml:space="preserve"> </w:t>
      </w:r>
      <w:r w:rsidRPr="00410803">
        <w:t>option. </w:t>
      </w:r>
    </w:p>
    <w:p w14:paraId="305FE224" w14:textId="401EEEC7" w:rsidR="00410803" w:rsidRPr="00410803" w:rsidRDefault="00410803" w:rsidP="00955306">
      <w:r w:rsidRPr="00410803">
        <w:t>The</w:t>
      </w:r>
      <w:r w:rsidR="003D640C">
        <w:t xml:space="preserve"> </w:t>
      </w:r>
      <w:r w:rsidRPr="00410803">
        <w:t>underlying</w:t>
      </w:r>
      <w:r w:rsidR="003D640C">
        <w:t xml:space="preserve"> </w:t>
      </w:r>
      <w:r w:rsidRPr="00410803">
        <w:t>ideology</w:t>
      </w:r>
      <w:r w:rsidR="003D640C">
        <w:t xml:space="preserve"> </w:t>
      </w:r>
      <w:r w:rsidRPr="00410803">
        <w:t>that</w:t>
      </w:r>
      <w:r w:rsidR="003D640C">
        <w:t xml:space="preserve"> </w:t>
      </w:r>
      <w:r w:rsidRPr="00410803">
        <w:t>supports</w:t>
      </w:r>
      <w:r w:rsidR="003D640C">
        <w:t xml:space="preserve"> </w:t>
      </w:r>
      <w:r w:rsidRPr="00410803">
        <w:t>conversion</w:t>
      </w:r>
      <w:r w:rsidR="003D640C">
        <w:t xml:space="preserve"> </w:t>
      </w:r>
      <w:r w:rsidRPr="00410803">
        <w:t>practices</w:t>
      </w:r>
      <w:r w:rsidR="003D640C">
        <w:t xml:space="preserve"> </w:t>
      </w:r>
      <w:r w:rsidRPr="00410803">
        <w:t>means</w:t>
      </w:r>
      <w:r w:rsidR="003D640C">
        <w:t xml:space="preserve"> </w:t>
      </w:r>
      <w:r w:rsidRPr="00410803">
        <w:t>many</w:t>
      </w:r>
      <w:r w:rsidR="003D640C">
        <w:t xml:space="preserve"> </w:t>
      </w:r>
      <w:r w:rsidRPr="00410803">
        <w:t>people</w:t>
      </w:r>
      <w:r w:rsidR="003D640C">
        <w:t xml:space="preserve"> </w:t>
      </w:r>
      <w:r w:rsidRPr="00410803">
        <w:t>recommend</w:t>
      </w:r>
      <w:r w:rsidR="003D640C">
        <w:t xml:space="preserve"> </w:t>
      </w:r>
      <w:r w:rsidRPr="00410803">
        <w:t>them</w:t>
      </w:r>
      <w:r w:rsidR="003D640C">
        <w:t xml:space="preserve"> </w:t>
      </w:r>
      <w:r w:rsidRPr="00410803">
        <w:t>in</w:t>
      </w:r>
      <w:r w:rsidR="003D640C">
        <w:t xml:space="preserve"> </w:t>
      </w:r>
      <w:r w:rsidRPr="00410803">
        <w:t>the</w:t>
      </w:r>
      <w:r w:rsidR="003D640C">
        <w:t xml:space="preserve"> </w:t>
      </w:r>
      <w:r w:rsidRPr="00410803">
        <w:t>mistaken</w:t>
      </w:r>
      <w:r w:rsidR="003D640C">
        <w:t xml:space="preserve"> </w:t>
      </w:r>
      <w:r w:rsidRPr="00410803">
        <w:t>belief</w:t>
      </w:r>
      <w:r w:rsidR="003D640C">
        <w:t xml:space="preserve"> </w:t>
      </w:r>
      <w:r w:rsidRPr="00410803">
        <w:t>they</w:t>
      </w:r>
      <w:r w:rsidR="003D640C">
        <w:t xml:space="preserve"> </w:t>
      </w:r>
      <w:r w:rsidRPr="00410803">
        <w:t>will</w:t>
      </w:r>
      <w:r w:rsidR="003D640C">
        <w:t xml:space="preserve"> </w:t>
      </w:r>
      <w:r w:rsidRPr="00410803">
        <w:t>improve</w:t>
      </w:r>
      <w:r w:rsidR="003D640C">
        <w:t xml:space="preserve"> </w:t>
      </w:r>
      <w:r w:rsidRPr="00410803">
        <w:t>the</w:t>
      </w:r>
      <w:r w:rsidR="003D640C">
        <w:t xml:space="preserve"> </w:t>
      </w:r>
      <w:r w:rsidRPr="00410803">
        <w:t>life</w:t>
      </w:r>
      <w:r w:rsidR="003D640C">
        <w:t xml:space="preserve"> </w:t>
      </w:r>
      <w:r w:rsidRPr="00410803">
        <w:t>of</w:t>
      </w:r>
      <w:r w:rsidR="003D640C">
        <w:t xml:space="preserve"> </w:t>
      </w:r>
      <w:r w:rsidRPr="00410803">
        <w:t>the</w:t>
      </w:r>
      <w:r w:rsidR="003D640C">
        <w:t xml:space="preserve"> </w:t>
      </w:r>
      <w:r w:rsidRPr="00410803">
        <w:t>Rainbow</w:t>
      </w:r>
      <w:r w:rsidR="003D640C">
        <w:t xml:space="preserve"> </w:t>
      </w:r>
      <w:r w:rsidRPr="00410803">
        <w:t>person.</w:t>
      </w:r>
      <w:r w:rsidR="003D640C">
        <w:t xml:space="preserve"> </w:t>
      </w:r>
      <w:r w:rsidRPr="00410803">
        <w:t>However,</w:t>
      </w:r>
      <w:r w:rsidR="003D640C">
        <w:t xml:space="preserve"> </w:t>
      </w:r>
      <w:r w:rsidRPr="00410803">
        <w:t>the</w:t>
      </w:r>
      <w:r w:rsidR="003D640C">
        <w:t xml:space="preserve"> </w:t>
      </w:r>
      <w:r w:rsidRPr="00410803">
        <w:t>evidence</w:t>
      </w:r>
      <w:r w:rsidR="003D640C">
        <w:t xml:space="preserve"> </w:t>
      </w:r>
      <w:r w:rsidRPr="00410803">
        <w:t>shows</w:t>
      </w:r>
      <w:r w:rsidR="003D640C">
        <w:t xml:space="preserve"> </w:t>
      </w:r>
      <w:r w:rsidRPr="00410803">
        <w:t>that</w:t>
      </w:r>
      <w:r w:rsidR="003D640C">
        <w:t xml:space="preserve"> </w:t>
      </w:r>
      <w:r w:rsidRPr="00410803">
        <w:t>conversion</w:t>
      </w:r>
      <w:r w:rsidR="003D640C">
        <w:t xml:space="preserve"> </w:t>
      </w:r>
      <w:r w:rsidRPr="00410803">
        <w:t>practices</w:t>
      </w:r>
      <w:r w:rsidR="003D640C">
        <w:t xml:space="preserve"> </w:t>
      </w:r>
      <w:r w:rsidRPr="00410803">
        <w:t>do</w:t>
      </w:r>
      <w:r w:rsidR="003D640C">
        <w:t xml:space="preserve"> </w:t>
      </w:r>
      <w:r w:rsidRPr="00410803">
        <w:t>not</w:t>
      </w:r>
      <w:r w:rsidR="003D640C">
        <w:t xml:space="preserve"> </w:t>
      </w:r>
      <w:r w:rsidRPr="00410803">
        <w:t>work.</w:t>
      </w:r>
      <w:r w:rsidR="003D640C">
        <w:t xml:space="preserve"> </w:t>
      </w:r>
      <w:r w:rsidRPr="00410803">
        <w:t>Instead,</w:t>
      </w:r>
      <w:r w:rsidR="003D640C">
        <w:t xml:space="preserve"> </w:t>
      </w:r>
      <w:r w:rsidRPr="00410803">
        <w:t>they</w:t>
      </w:r>
      <w:r w:rsidR="003D640C">
        <w:t xml:space="preserve"> </w:t>
      </w:r>
      <w:r w:rsidRPr="00410803">
        <w:t>tell</w:t>
      </w:r>
      <w:r w:rsidR="003D640C">
        <w:t xml:space="preserve"> </w:t>
      </w:r>
      <w:r w:rsidRPr="00410803">
        <w:t>Rainbow</w:t>
      </w:r>
      <w:r w:rsidR="003D640C">
        <w:t xml:space="preserve"> </w:t>
      </w:r>
      <w:r w:rsidRPr="00410803">
        <w:t>people</w:t>
      </w:r>
      <w:r w:rsidR="003D640C">
        <w:t xml:space="preserve"> </w:t>
      </w:r>
      <w:r w:rsidRPr="00410803">
        <w:t>that</w:t>
      </w:r>
      <w:r w:rsidR="003D640C">
        <w:t xml:space="preserve"> </w:t>
      </w:r>
      <w:r w:rsidRPr="00410803">
        <w:t>who</w:t>
      </w:r>
      <w:r w:rsidR="003D640C">
        <w:t xml:space="preserve"> </w:t>
      </w:r>
      <w:r w:rsidRPr="00410803">
        <w:t>they</w:t>
      </w:r>
      <w:r w:rsidR="003D640C">
        <w:t xml:space="preserve"> </w:t>
      </w:r>
      <w:r w:rsidRPr="00410803">
        <w:t>are</w:t>
      </w:r>
      <w:r w:rsidR="003D640C">
        <w:t xml:space="preserve"> </w:t>
      </w:r>
      <w:r w:rsidRPr="00410803">
        <w:t>is</w:t>
      </w:r>
      <w:r w:rsidR="003D640C">
        <w:t xml:space="preserve"> </w:t>
      </w:r>
      <w:r w:rsidRPr="00410803">
        <w:t>wrong.</w:t>
      </w:r>
      <w:r w:rsidR="003D640C">
        <w:t xml:space="preserve"> </w:t>
      </w:r>
      <w:r w:rsidRPr="00410803">
        <w:t>They</w:t>
      </w:r>
      <w:r w:rsidR="003D640C">
        <w:t xml:space="preserve"> </w:t>
      </w:r>
      <w:r w:rsidRPr="00410803">
        <w:t>also</w:t>
      </w:r>
      <w:r w:rsidR="003D640C">
        <w:t xml:space="preserve"> </w:t>
      </w:r>
      <w:r w:rsidRPr="00410803">
        <w:t>engender</w:t>
      </w:r>
      <w:r w:rsidR="003D640C">
        <w:t xml:space="preserve"> </w:t>
      </w:r>
      <w:r w:rsidRPr="00410803">
        <w:t>a</w:t>
      </w:r>
      <w:r w:rsidR="003D640C">
        <w:t xml:space="preserve"> </w:t>
      </w:r>
      <w:r w:rsidRPr="00410803">
        <w:t>sense</w:t>
      </w:r>
      <w:r w:rsidR="003D640C">
        <w:t xml:space="preserve"> </w:t>
      </w:r>
      <w:r w:rsidRPr="00410803">
        <w:t>of</w:t>
      </w:r>
      <w:r w:rsidR="003D640C">
        <w:t xml:space="preserve"> </w:t>
      </w:r>
      <w:r w:rsidRPr="00410803">
        <w:t>failure</w:t>
      </w:r>
      <w:r w:rsidR="003D640C">
        <w:t xml:space="preserve"> </w:t>
      </w:r>
      <w:r w:rsidRPr="00410803">
        <w:t>and</w:t>
      </w:r>
      <w:r w:rsidR="003D640C">
        <w:t xml:space="preserve"> </w:t>
      </w:r>
      <w:r w:rsidRPr="00410803">
        <w:t>shame</w:t>
      </w:r>
      <w:r w:rsidR="003D640C">
        <w:t xml:space="preserve"> </w:t>
      </w:r>
      <w:r w:rsidRPr="00410803">
        <w:t>when</w:t>
      </w:r>
      <w:r w:rsidR="003D640C">
        <w:t xml:space="preserve"> </w:t>
      </w:r>
      <w:r w:rsidRPr="00410803">
        <w:t>the</w:t>
      </w:r>
      <w:r w:rsidR="003D640C">
        <w:t xml:space="preserve"> </w:t>
      </w:r>
      <w:r w:rsidRPr="00410803">
        <w:t>change</w:t>
      </w:r>
      <w:r w:rsidR="003D640C">
        <w:t xml:space="preserve"> </w:t>
      </w:r>
      <w:r w:rsidRPr="00410803">
        <w:t>they</w:t>
      </w:r>
      <w:r w:rsidR="003D640C">
        <w:t xml:space="preserve"> </w:t>
      </w:r>
      <w:r w:rsidRPr="00410803">
        <w:t>seek</w:t>
      </w:r>
      <w:r w:rsidR="003D640C">
        <w:t xml:space="preserve"> </w:t>
      </w:r>
      <w:r w:rsidRPr="00410803">
        <w:t>to</w:t>
      </w:r>
      <w:r w:rsidR="003D640C">
        <w:t xml:space="preserve"> </w:t>
      </w:r>
      <w:r w:rsidRPr="00410803">
        <w:t>make</w:t>
      </w:r>
      <w:r w:rsidR="003D640C">
        <w:t xml:space="preserve"> </w:t>
      </w:r>
      <w:r w:rsidRPr="00410803">
        <w:t>inevitably</w:t>
      </w:r>
      <w:r w:rsidR="003D640C">
        <w:t xml:space="preserve"> </w:t>
      </w:r>
      <w:r w:rsidRPr="00410803">
        <w:t>does</w:t>
      </w:r>
      <w:r w:rsidR="003D640C">
        <w:t xml:space="preserve"> </w:t>
      </w:r>
      <w:r w:rsidRPr="00410803">
        <w:t>not</w:t>
      </w:r>
      <w:r w:rsidR="003D640C">
        <w:t xml:space="preserve"> </w:t>
      </w:r>
      <w:r w:rsidRPr="00410803">
        <w:t>happen.</w:t>
      </w:r>
    </w:p>
    <w:p w14:paraId="0694BEAA" w14:textId="6CF8409E" w:rsidR="00410803" w:rsidRPr="00410803" w:rsidRDefault="00410803" w:rsidP="00955306">
      <w:r w:rsidRPr="00410803">
        <w:t>The</w:t>
      </w:r>
      <w:r w:rsidR="003D640C">
        <w:t xml:space="preserve"> </w:t>
      </w:r>
      <w:r w:rsidRPr="00410803">
        <w:t>Commission</w:t>
      </w:r>
      <w:r w:rsidR="003D640C">
        <w:t xml:space="preserve"> </w:t>
      </w:r>
      <w:r w:rsidRPr="00410803">
        <w:t>has</w:t>
      </w:r>
      <w:r w:rsidR="003D640C">
        <w:t xml:space="preserve"> </w:t>
      </w:r>
      <w:r w:rsidRPr="00410803">
        <w:t>learn</w:t>
      </w:r>
      <w:r w:rsidR="00475099">
        <w:t>ed</w:t>
      </w:r>
      <w:r w:rsidR="003D640C">
        <w:t xml:space="preserve"> </w:t>
      </w:r>
      <w:r w:rsidRPr="00410803">
        <w:t>that</w:t>
      </w:r>
      <w:r w:rsidR="003D640C">
        <w:t xml:space="preserve"> </w:t>
      </w:r>
      <w:r w:rsidRPr="00410803">
        <w:t>people</w:t>
      </w:r>
      <w:r w:rsidR="003D640C">
        <w:t xml:space="preserve"> </w:t>
      </w:r>
      <w:r w:rsidRPr="00410803">
        <w:t>often</w:t>
      </w:r>
      <w:r w:rsidR="003D640C">
        <w:t xml:space="preserve"> </w:t>
      </w:r>
      <w:r w:rsidRPr="00410803">
        <w:t>do</w:t>
      </w:r>
      <w:r w:rsidR="003D640C">
        <w:t xml:space="preserve"> </w:t>
      </w:r>
      <w:r w:rsidRPr="00410803">
        <w:t>not</w:t>
      </w:r>
      <w:r w:rsidR="003D640C">
        <w:t xml:space="preserve"> </w:t>
      </w:r>
      <w:r w:rsidRPr="00410803">
        <w:t>realise</w:t>
      </w:r>
      <w:r w:rsidR="003D640C">
        <w:t xml:space="preserve"> </w:t>
      </w:r>
      <w:r w:rsidRPr="00410803">
        <w:t>they</w:t>
      </w:r>
      <w:r w:rsidR="003D640C">
        <w:t xml:space="preserve"> </w:t>
      </w:r>
      <w:r w:rsidRPr="00410803">
        <w:t>are</w:t>
      </w:r>
      <w:r w:rsidR="003D640C">
        <w:t xml:space="preserve"> </w:t>
      </w:r>
      <w:r w:rsidRPr="00410803">
        <w:t>experiencing</w:t>
      </w:r>
      <w:r w:rsidR="003D640C">
        <w:t xml:space="preserve"> </w:t>
      </w:r>
      <w:r w:rsidRPr="00410803">
        <w:t>conversion</w:t>
      </w:r>
      <w:r w:rsidR="003D640C">
        <w:t xml:space="preserve"> </w:t>
      </w:r>
      <w:r w:rsidRPr="00410803">
        <w:t>practices</w:t>
      </w:r>
      <w:r w:rsidR="003D640C">
        <w:t xml:space="preserve"> </w:t>
      </w:r>
      <w:r w:rsidRPr="00410803">
        <w:t>as</w:t>
      </w:r>
      <w:r w:rsidR="003D640C">
        <w:t xml:space="preserve"> </w:t>
      </w:r>
      <w:r w:rsidRPr="00410803">
        <w:t>they</w:t>
      </w:r>
      <w:r w:rsidR="003D640C">
        <w:t xml:space="preserve"> </w:t>
      </w:r>
      <w:r w:rsidRPr="00410803">
        <w:t>are</w:t>
      </w:r>
      <w:r w:rsidR="003D640C">
        <w:t xml:space="preserve"> </w:t>
      </w:r>
      <w:r w:rsidRPr="00410803">
        <w:t>increasingly</w:t>
      </w:r>
      <w:r w:rsidR="003D640C">
        <w:t xml:space="preserve"> </w:t>
      </w:r>
      <w:r w:rsidRPr="00410803">
        <w:t>happening</w:t>
      </w:r>
      <w:r w:rsidR="003D640C">
        <w:t xml:space="preserve"> </w:t>
      </w:r>
      <w:r w:rsidRPr="00410803">
        <w:t>in</w:t>
      </w:r>
      <w:r w:rsidR="003D640C">
        <w:t xml:space="preserve"> </w:t>
      </w:r>
      <w:r w:rsidRPr="00410803">
        <w:t>subtle</w:t>
      </w:r>
      <w:r w:rsidR="003D640C">
        <w:t xml:space="preserve"> </w:t>
      </w:r>
      <w:r w:rsidRPr="00410803">
        <w:t>forms</w:t>
      </w:r>
      <w:r w:rsidR="003D640C">
        <w:t xml:space="preserve"> </w:t>
      </w:r>
      <w:r w:rsidRPr="00410803">
        <w:t>and</w:t>
      </w:r>
      <w:r w:rsidR="003D640C">
        <w:t xml:space="preserve"> </w:t>
      </w:r>
      <w:r w:rsidRPr="00410803">
        <w:t>under</w:t>
      </w:r>
      <w:r w:rsidR="003D640C">
        <w:t xml:space="preserve"> </w:t>
      </w:r>
      <w:r w:rsidRPr="00410803">
        <w:t>different</w:t>
      </w:r>
      <w:r w:rsidR="003D640C">
        <w:t xml:space="preserve"> </w:t>
      </w:r>
      <w:r w:rsidRPr="00410803">
        <w:t>names.</w:t>
      </w:r>
      <w:r w:rsidR="003D640C">
        <w:t xml:space="preserve"> </w:t>
      </w:r>
      <w:r w:rsidR="001A7E0F">
        <w:t xml:space="preserve">People </w:t>
      </w:r>
      <w:r w:rsidRPr="00410803">
        <w:t>can</w:t>
      </w:r>
      <w:r w:rsidR="003D640C">
        <w:t xml:space="preserve"> </w:t>
      </w:r>
      <w:r w:rsidRPr="00410803">
        <w:t>find</w:t>
      </w:r>
      <w:r w:rsidR="003D640C">
        <w:t xml:space="preserve"> </w:t>
      </w:r>
      <w:r w:rsidRPr="00410803">
        <w:t>it</w:t>
      </w:r>
      <w:r w:rsidR="003D640C">
        <w:t xml:space="preserve"> </w:t>
      </w:r>
      <w:r w:rsidRPr="00410803">
        <w:t>difficult</w:t>
      </w:r>
      <w:r w:rsidR="003D640C">
        <w:t xml:space="preserve"> </w:t>
      </w:r>
      <w:r w:rsidRPr="00410803">
        <w:t>to</w:t>
      </w:r>
      <w:r w:rsidR="003D640C">
        <w:t xml:space="preserve"> </w:t>
      </w:r>
      <w:r w:rsidRPr="00410803">
        <w:t>abandon</w:t>
      </w:r>
      <w:r w:rsidR="003D640C">
        <w:t xml:space="preserve"> </w:t>
      </w:r>
      <w:r w:rsidRPr="00410803">
        <w:t>the</w:t>
      </w:r>
      <w:r w:rsidR="003D640C">
        <w:t xml:space="preserve"> </w:t>
      </w:r>
      <w:r w:rsidRPr="00410803">
        <w:t>practices</w:t>
      </w:r>
      <w:r w:rsidR="003D640C">
        <w:t xml:space="preserve"> </w:t>
      </w:r>
      <w:r w:rsidRPr="00410803">
        <w:t>when</w:t>
      </w:r>
      <w:r w:rsidR="003D640C">
        <w:t xml:space="preserve"> </w:t>
      </w:r>
      <w:r w:rsidRPr="00410803">
        <w:t>they</w:t>
      </w:r>
      <w:r w:rsidR="003D640C">
        <w:t xml:space="preserve"> </w:t>
      </w:r>
      <w:r w:rsidRPr="00410803">
        <w:t>do</w:t>
      </w:r>
      <w:r w:rsidR="003D640C">
        <w:t xml:space="preserve"> </w:t>
      </w:r>
      <w:r w:rsidRPr="00410803">
        <w:t>come</w:t>
      </w:r>
      <w:r w:rsidR="003D640C">
        <w:t xml:space="preserve"> </w:t>
      </w:r>
      <w:r w:rsidRPr="00410803">
        <w:t>to</w:t>
      </w:r>
      <w:r w:rsidR="003D640C">
        <w:t xml:space="preserve"> </w:t>
      </w:r>
      <w:r w:rsidRPr="00410803">
        <w:t>realise</w:t>
      </w:r>
      <w:r w:rsidR="003D640C">
        <w:t xml:space="preserve"> </w:t>
      </w:r>
      <w:r w:rsidRPr="00410803">
        <w:t>what</w:t>
      </w:r>
      <w:r w:rsidR="003D640C">
        <w:t xml:space="preserve"> </w:t>
      </w:r>
      <w:r w:rsidRPr="00410803">
        <w:t>they</w:t>
      </w:r>
      <w:r w:rsidR="003D640C">
        <w:t xml:space="preserve"> </w:t>
      </w:r>
      <w:r w:rsidRPr="00410803">
        <w:t>have</w:t>
      </w:r>
      <w:r w:rsidR="003D640C">
        <w:t xml:space="preserve"> </w:t>
      </w:r>
      <w:r w:rsidRPr="00410803">
        <w:t>experienced.</w:t>
      </w:r>
      <w:r w:rsidR="003D640C">
        <w:t xml:space="preserve"> </w:t>
      </w:r>
      <w:r w:rsidRPr="00410803">
        <w:t>Often</w:t>
      </w:r>
      <w:r w:rsidR="00475099">
        <w:t>,</w:t>
      </w:r>
      <w:r w:rsidR="003D640C">
        <w:t xml:space="preserve"> </w:t>
      </w:r>
      <w:r w:rsidRPr="00410803">
        <w:t>they</w:t>
      </w:r>
      <w:r w:rsidR="003D640C">
        <w:t xml:space="preserve"> </w:t>
      </w:r>
      <w:r w:rsidRPr="00410803">
        <w:t>do</w:t>
      </w:r>
      <w:r w:rsidR="003D640C">
        <w:t xml:space="preserve"> </w:t>
      </w:r>
      <w:r w:rsidRPr="00410803">
        <w:t>not</w:t>
      </w:r>
      <w:r w:rsidR="003D640C">
        <w:t xml:space="preserve"> </w:t>
      </w:r>
      <w:r w:rsidRPr="00410803">
        <w:t>want</w:t>
      </w:r>
      <w:r w:rsidR="003D640C">
        <w:t xml:space="preserve"> </w:t>
      </w:r>
      <w:r w:rsidRPr="00410803">
        <w:t>to</w:t>
      </w:r>
      <w:r w:rsidR="003D640C">
        <w:t xml:space="preserve"> </w:t>
      </w:r>
      <w:r w:rsidRPr="00410803">
        <w:t>make</w:t>
      </w:r>
      <w:r w:rsidR="003D640C">
        <w:t xml:space="preserve"> </w:t>
      </w:r>
      <w:r w:rsidRPr="00410803">
        <w:t>a</w:t>
      </w:r>
      <w:r w:rsidR="003D640C">
        <w:t xml:space="preserve"> </w:t>
      </w:r>
      <w:r w:rsidRPr="00410803">
        <w:t>complaint</w:t>
      </w:r>
      <w:r w:rsidR="003D640C">
        <w:t xml:space="preserve"> </w:t>
      </w:r>
      <w:r w:rsidRPr="00410803">
        <w:t>about</w:t>
      </w:r>
      <w:r w:rsidR="003D640C">
        <w:t xml:space="preserve"> </w:t>
      </w:r>
      <w:r w:rsidRPr="00410803">
        <w:t>the</w:t>
      </w:r>
      <w:r w:rsidR="003D640C">
        <w:t xml:space="preserve"> </w:t>
      </w:r>
      <w:r w:rsidRPr="00410803">
        <w:t>people</w:t>
      </w:r>
      <w:r w:rsidR="003D640C">
        <w:t xml:space="preserve"> </w:t>
      </w:r>
      <w:r w:rsidRPr="00410803">
        <w:t>carrying</w:t>
      </w:r>
      <w:r w:rsidR="003D640C">
        <w:t xml:space="preserve"> </w:t>
      </w:r>
      <w:r w:rsidRPr="00410803">
        <w:t>out</w:t>
      </w:r>
      <w:r w:rsidR="003D640C">
        <w:t xml:space="preserve"> </w:t>
      </w:r>
      <w:r w:rsidRPr="00410803">
        <w:t>the</w:t>
      </w:r>
      <w:r w:rsidR="003D640C">
        <w:t xml:space="preserve"> </w:t>
      </w:r>
      <w:r w:rsidRPr="00410803">
        <w:t>practices,</w:t>
      </w:r>
      <w:r w:rsidR="003D640C">
        <w:t xml:space="preserve"> </w:t>
      </w:r>
      <w:r w:rsidRPr="00410803">
        <w:t>either</w:t>
      </w:r>
      <w:r w:rsidR="003D640C">
        <w:t xml:space="preserve"> </w:t>
      </w:r>
      <w:r w:rsidRPr="00410803">
        <w:t>because</w:t>
      </w:r>
      <w:r w:rsidR="003D640C">
        <w:t xml:space="preserve"> </w:t>
      </w:r>
      <w:r w:rsidRPr="00410803">
        <w:t>those</w:t>
      </w:r>
      <w:r w:rsidR="003D640C">
        <w:t xml:space="preserve"> </w:t>
      </w:r>
      <w:r w:rsidRPr="00410803">
        <w:t>responsible</w:t>
      </w:r>
      <w:r w:rsidR="003D640C">
        <w:t xml:space="preserve"> </w:t>
      </w:r>
      <w:r w:rsidRPr="00410803">
        <w:t>are</w:t>
      </w:r>
      <w:r w:rsidR="003D640C">
        <w:t xml:space="preserve"> </w:t>
      </w:r>
      <w:r w:rsidRPr="00410803">
        <w:t>their</w:t>
      </w:r>
      <w:r w:rsidR="003D640C">
        <w:t xml:space="preserve"> </w:t>
      </w:r>
      <w:r w:rsidRPr="00410803">
        <w:t>loved</w:t>
      </w:r>
      <w:r w:rsidR="003D640C">
        <w:t xml:space="preserve"> </w:t>
      </w:r>
      <w:r w:rsidRPr="00410803">
        <w:t>ones</w:t>
      </w:r>
      <w:r w:rsidR="003D640C">
        <w:t xml:space="preserve"> </w:t>
      </w:r>
      <w:r w:rsidRPr="00410803">
        <w:t>or</w:t>
      </w:r>
      <w:r w:rsidR="003D640C">
        <w:t xml:space="preserve"> </w:t>
      </w:r>
      <w:r w:rsidRPr="00410803">
        <w:t>because</w:t>
      </w:r>
      <w:r w:rsidR="003D640C">
        <w:t xml:space="preserve"> </w:t>
      </w:r>
      <w:r w:rsidRPr="00410803">
        <w:t>the</w:t>
      </w:r>
      <w:r w:rsidR="003D640C">
        <w:t xml:space="preserve"> </w:t>
      </w:r>
      <w:r w:rsidRPr="00410803">
        <w:t>practices</w:t>
      </w:r>
      <w:r w:rsidR="003D640C">
        <w:t xml:space="preserve"> </w:t>
      </w:r>
      <w:r w:rsidRPr="00410803">
        <w:t>themselves</w:t>
      </w:r>
      <w:r w:rsidR="003D640C">
        <w:t xml:space="preserve"> </w:t>
      </w:r>
      <w:r w:rsidRPr="00410803">
        <w:t>include</w:t>
      </w:r>
      <w:r w:rsidR="003D640C">
        <w:t xml:space="preserve"> </w:t>
      </w:r>
      <w:r w:rsidRPr="00410803">
        <w:t>an</w:t>
      </w:r>
      <w:r w:rsidR="003D640C">
        <w:t xml:space="preserve"> </w:t>
      </w:r>
      <w:r w:rsidRPr="00410803">
        <w:t>element</w:t>
      </w:r>
      <w:r w:rsidR="003D640C">
        <w:t xml:space="preserve"> </w:t>
      </w:r>
      <w:r w:rsidRPr="00410803">
        <w:t>of</w:t>
      </w:r>
      <w:r w:rsidR="003D640C">
        <w:t xml:space="preserve"> </w:t>
      </w:r>
      <w:r w:rsidRPr="00410803">
        <w:t>secrecy. </w:t>
      </w:r>
    </w:p>
    <w:p w14:paraId="5D52D1C1" w14:textId="1583AEBB" w:rsidR="00410803" w:rsidRPr="00410803" w:rsidRDefault="00410803" w:rsidP="00955306">
      <w:r w:rsidRPr="00410803">
        <w:t>To</w:t>
      </w:r>
      <w:r w:rsidR="003D640C">
        <w:t xml:space="preserve"> </w:t>
      </w:r>
      <w:r w:rsidRPr="00410803">
        <w:t>prevent</w:t>
      </w:r>
      <w:r w:rsidR="003D640C">
        <w:t xml:space="preserve"> </w:t>
      </w:r>
      <w:r w:rsidRPr="00410803">
        <w:t>conversion</w:t>
      </w:r>
      <w:r w:rsidR="003D640C">
        <w:t xml:space="preserve"> </w:t>
      </w:r>
      <w:r w:rsidRPr="00410803">
        <w:t>practices</w:t>
      </w:r>
      <w:r w:rsidR="003D640C">
        <w:t xml:space="preserve"> </w:t>
      </w:r>
      <w:r w:rsidRPr="00410803">
        <w:t>–</w:t>
      </w:r>
      <w:r w:rsidR="003D640C">
        <w:t xml:space="preserve"> </w:t>
      </w:r>
      <w:r w:rsidRPr="00410803">
        <w:t>and</w:t>
      </w:r>
      <w:r w:rsidR="003D640C">
        <w:t xml:space="preserve"> </w:t>
      </w:r>
      <w:r w:rsidRPr="00410803">
        <w:t>the</w:t>
      </w:r>
      <w:r w:rsidR="003D640C">
        <w:t xml:space="preserve"> </w:t>
      </w:r>
      <w:r w:rsidRPr="00410803">
        <w:t>tremendous</w:t>
      </w:r>
      <w:r w:rsidR="003D640C">
        <w:t xml:space="preserve"> </w:t>
      </w:r>
      <w:r w:rsidRPr="00410803">
        <w:t>harm</w:t>
      </w:r>
      <w:r w:rsidR="003D640C">
        <w:t xml:space="preserve"> </w:t>
      </w:r>
      <w:r w:rsidRPr="00410803">
        <w:t>they</w:t>
      </w:r>
      <w:r w:rsidR="003D640C">
        <w:t xml:space="preserve"> </w:t>
      </w:r>
      <w:r w:rsidRPr="00410803">
        <w:t>cause</w:t>
      </w:r>
      <w:r w:rsidR="003D640C">
        <w:t xml:space="preserve"> </w:t>
      </w:r>
      <w:r w:rsidRPr="00410803">
        <w:t>–</w:t>
      </w:r>
      <w:r w:rsidR="003D640C">
        <w:t xml:space="preserve"> </w:t>
      </w:r>
      <w:r w:rsidRPr="00410803">
        <w:t>we</w:t>
      </w:r>
      <w:r w:rsidR="003D640C">
        <w:t xml:space="preserve"> </w:t>
      </w:r>
      <w:r w:rsidRPr="00410803">
        <w:t>must</w:t>
      </w:r>
      <w:r w:rsidR="003D640C">
        <w:t xml:space="preserve"> </w:t>
      </w:r>
      <w:r w:rsidRPr="00410803">
        <w:t>address</w:t>
      </w:r>
      <w:r w:rsidR="003D640C">
        <w:t xml:space="preserve"> </w:t>
      </w:r>
      <w:r w:rsidRPr="00410803">
        <w:t>the</w:t>
      </w:r>
      <w:r w:rsidR="003D640C">
        <w:t xml:space="preserve"> </w:t>
      </w:r>
      <w:r w:rsidRPr="00410803">
        <w:t>ideology</w:t>
      </w:r>
      <w:r w:rsidR="003D640C">
        <w:t xml:space="preserve"> </w:t>
      </w:r>
      <w:r w:rsidRPr="00410803">
        <w:t>and</w:t>
      </w:r>
      <w:r w:rsidR="003D640C">
        <w:t xml:space="preserve"> </w:t>
      </w:r>
      <w:r w:rsidRPr="00410803">
        <w:t>the</w:t>
      </w:r>
      <w:r w:rsidR="003D640C">
        <w:t xml:space="preserve"> </w:t>
      </w:r>
      <w:r w:rsidRPr="00410803">
        <w:t>mis-</w:t>
      </w:r>
      <w:r w:rsidR="003D640C">
        <w:t xml:space="preserve"> </w:t>
      </w:r>
      <w:r w:rsidRPr="00410803">
        <w:t>and</w:t>
      </w:r>
      <w:r w:rsidR="003D640C">
        <w:t xml:space="preserve"> </w:t>
      </w:r>
      <w:r w:rsidRPr="00410803">
        <w:t>disinformation</w:t>
      </w:r>
      <w:r w:rsidR="003D640C">
        <w:t xml:space="preserve"> </w:t>
      </w:r>
      <w:r w:rsidRPr="00410803">
        <w:t>that</w:t>
      </w:r>
      <w:r w:rsidR="003D640C">
        <w:t xml:space="preserve"> </w:t>
      </w:r>
      <w:r w:rsidRPr="00410803">
        <w:t>encourages</w:t>
      </w:r>
      <w:r w:rsidR="003D640C">
        <w:t xml:space="preserve"> </w:t>
      </w:r>
      <w:r w:rsidRPr="00410803">
        <w:t>people</w:t>
      </w:r>
      <w:r w:rsidR="003D640C">
        <w:t xml:space="preserve"> </w:t>
      </w:r>
      <w:r w:rsidRPr="00410803">
        <w:t>to</w:t>
      </w:r>
      <w:r w:rsidR="003D640C">
        <w:t xml:space="preserve"> </w:t>
      </w:r>
      <w:r w:rsidRPr="00410803">
        <w:t>fear</w:t>
      </w:r>
      <w:r w:rsidR="003D640C">
        <w:t xml:space="preserve"> </w:t>
      </w:r>
      <w:r w:rsidRPr="00410803">
        <w:t>and</w:t>
      </w:r>
      <w:r w:rsidR="003D640C">
        <w:t xml:space="preserve"> </w:t>
      </w:r>
      <w:r w:rsidRPr="00410803">
        <w:t>belittle</w:t>
      </w:r>
      <w:r w:rsidR="003D640C">
        <w:t xml:space="preserve"> </w:t>
      </w:r>
      <w:r w:rsidRPr="00410803">
        <w:t>Rainbow</w:t>
      </w:r>
      <w:r w:rsidR="003D640C">
        <w:t xml:space="preserve"> </w:t>
      </w:r>
      <w:r w:rsidRPr="00410803">
        <w:t>people. In</w:t>
      </w:r>
      <w:r w:rsidR="003D640C">
        <w:t xml:space="preserve"> </w:t>
      </w:r>
      <w:r w:rsidRPr="00410803">
        <w:t>May</w:t>
      </w:r>
      <w:r w:rsidR="003D640C">
        <w:t xml:space="preserve"> </w:t>
      </w:r>
      <w:r w:rsidRPr="00410803">
        <w:t>2023,</w:t>
      </w:r>
      <w:r w:rsidR="003D640C">
        <w:t xml:space="preserve"> </w:t>
      </w:r>
      <w:r w:rsidRPr="00410803">
        <w:t>independent</w:t>
      </w:r>
      <w:r w:rsidR="003D640C">
        <w:t xml:space="preserve"> </w:t>
      </w:r>
      <w:r w:rsidRPr="00410803">
        <w:t>research</w:t>
      </w:r>
      <w:r w:rsidR="003D640C">
        <w:t xml:space="preserve"> </w:t>
      </w:r>
      <w:r w:rsidRPr="00410803">
        <w:t>group</w:t>
      </w:r>
      <w:r w:rsidR="003D640C">
        <w:t xml:space="preserve"> </w:t>
      </w:r>
      <w:r w:rsidRPr="00410803">
        <w:t>The</w:t>
      </w:r>
      <w:r w:rsidR="003D640C">
        <w:t xml:space="preserve"> </w:t>
      </w:r>
      <w:r w:rsidRPr="00410803">
        <w:t>Disinformation</w:t>
      </w:r>
      <w:r w:rsidR="003D640C">
        <w:t xml:space="preserve"> </w:t>
      </w:r>
      <w:r w:rsidRPr="00410803">
        <w:t>Project</w:t>
      </w:r>
      <w:r w:rsidR="003D640C">
        <w:t xml:space="preserve"> </w:t>
      </w:r>
      <w:r w:rsidRPr="00410803">
        <w:t>found</w:t>
      </w:r>
      <w:r w:rsidR="003D640C">
        <w:t xml:space="preserve"> </w:t>
      </w:r>
      <w:r w:rsidRPr="00410803">
        <w:t>an</w:t>
      </w:r>
      <w:r w:rsidR="003D640C">
        <w:t xml:space="preserve"> </w:t>
      </w:r>
      <w:r w:rsidRPr="00410803">
        <w:t>increase</w:t>
      </w:r>
      <w:r w:rsidR="003D640C">
        <w:t xml:space="preserve"> </w:t>
      </w:r>
      <w:r w:rsidRPr="00410803">
        <w:t>in</w:t>
      </w:r>
      <w:r w:rsidR="003D640C">
        <w:t xml:space="preserve"> </w:t>
      </w:r>
      <w:r w:rsidRPr="00410803">
        <w:t>the</w:t>
      </w:r>
      <w:r w:rsidR="003D640C">
        <w:t xml:space="preserve"> </w:t>
      </w:r>
      <w:r w:rsidRPr="00410803">
        <w:t>volume</w:t>
      </w:r>
      <w:r w:rsidR="003D640C">
        <w:t xml:space="preserve"> </w:t>
      </w:r>
      <w:r w:rsidRPr="00410803">
        <w:t>of</w:t>
      </w:r>
      <w:r w:rsidR="003D640C">
        <w:t xml:space="preserve"> </w:t>
      </w:r>
      <w:r w:rsidRPr="00410803">
        <w:t>online</w:t>
      </w:r>
      <w:r w:rsidR="003D640C">
        <w:t xml:space="preserve"> </w:t>
      </w:r>
      <w:r w:rsidRPr="00410803">
        <w:t>abuse</w:t>
      </w:r>
      <w:r w:rsidR="003D640C">
        <w:t xml:space="preserve"> </w:t>
      </w:r>
      <w:r w:rsidRPr="00410803">
        <w:t>directed</w:t>
      </w:r>
      <w:r w:rsidR="003D640C">
        <w:t xml:space="preserve"> </w:t>
      </w:r>
      <w:r w:rsidRPr="00410803">
        <w:t>at</w:t>
      </w:r>
      <w:r w:rsidR="003D640C">
        <w:t xml:space="preserve"> </w:t>
      </w:r>
      <w:r w:rsidRPr="00410803">
        <w:t>transgender</w:t>
      </w:r>
      <w:r w:rsidR="003D640C">
        <w:t xml:space="preserve"> </w:t>
      </w:r>
      <w:r w:rsidRPr="00410803">
        <w:t>people</w:t>
      </w:r>
      <w:r w:rsidR="003D640C">
        <w:t xml:space="preserve"> </w:t>
      </w:r>
      <w:r w:rsidRPr="00410803">
        <w:t>coinciding</w:t>
      </w:r>
      <w:r w:rsidR="003D640C">
        <w:t xml:space="preserve"> </w:t>
      </w:r>
      <w:r w:rsidRPr="00410803">
        <w:t>with</w:t>
      </w:r>
      <w:r w:rsidR="003D640C">
        <w:t xml:space="preserve"> </w:t>
      </w:r>
      <w:r w:rsidRPr="00410803">
        <w:t>a</w:t>
      </w:r>
      <w:r w:rsidR="003D640C">
        <w:t xml:space="preserve"> </w:t>
      </w:r>
      <w:r w:rsidRPr="00410803">
        <w:t>visit</w:t>
      </w:r>
      <w:r w:rsidR="003D640C">
        <w:t xml:space="preserve"> </w:t>
      </w:r>
      <w:r w:rsidRPr="00410803">
        <w:t>from</w:t>
      </w:r>
      <w:r w:rsidR="003D640C">
        <w:t xml:space="preserve"> </w:t>
      </w:r>
      <w:r w:rsidRPr="00410803">
        <w:t>a</w:t>
      </w:r>
      <w:r w:rsidR="003D640C">
        <w:t xml:space="preserve"> </w:t>
      </w:r>
      <w:r w:rsidRPr="00410803">
        <w:t>UK-based</w:t>
      </w:r>
      <w:r w:rsidR="003D640C">
        <w:t xml:space="preserve"> </w:t>
      </w:r>
      <w:r w:rsidRPr="00410803">
        <w:t>anti-transgender</w:t>
      </w:r>
      <w:r w:rsidR="003D640C">
        <w:t xml:space="preserve"> </w:t>
      </w:r>
      <w:r w:rsidRPr="00410803">
        <w:t>activist</w:t>
      </w:r>
      <w:r w:rsidR="003D640C">
        <w:t xml:space="preserve"> </w:t>
      </w:r>
      <w:r w:rsidRPr="00410803">
        <w:t>to</w:t>
      </w:r>
      <w:r w:rsidR="003D640C">
        <w:t xml:space="preserve"> </w:t>
      </w:r>
      <w:r w:rsidRPr="00410803">
        <w:t>Aotearoa.</w:t>
      </w:r>
    </w:p>
    <w:p w14:paraId="09B200FE" w14:textId="15B8082E" w:rsidR="00410803" w:rsidRPr="00410803" w:rsidRDefault="00410803" w:rsidP="00955306">
      <w:r w:rsidRPr="00410803">
        <w:t>The</w:t>
      </w:r>
      <w:r w:rsidR="003D640C">
        <w:t xml:space="preserve"> </w:t>
      </w:r>
      <w:r w:rsidRPr="00410803">
        <w:t>Disinformation</w:t>
      </w:r>
      <w:r w:rsidR="003D640C">
        <w:t xml:space="preserve"> </w:t>
      </w:r>
      <w:r w:rsidRPr="00410803">
        <w:t>Project’s</w:t>
      </w:r>
      <w:r w:rsidR="003D640C">
        <w:t xml:space="preserve"> </w:t>
      </w:r>
      <w:r w:rsidRPr="00410803">
        <w:t>report</w:t>
      </w:r>
      <w:r w:rsidR="003D640C">
        <w:t xml:space="preserve"> </w:t>
      </w:r>
      <w:r w:rsidRPr="00410803">
        <w:t>found</w:t>
      </w:r>
      <w:r w:rsidR="003D640C">
        <w:t xml:space="preserve"> </w:t>
      </w:r>
      <w:r w:rsidRPr="00410803">
        <w:t>the</w:t>
      </w:r>
      <w:r w:rsidR="003D640C">
        <w:t xml:space="preserve"> </w:t>
      </w:r>
      <w:r w:rsidRPr="00410803">
        <w:t>language</w:t>
      </w:r>
      <w:r w:rsidR="003D640C">
        <w:t xml:space="preserve"> </w:t>
      </w:r>
      <w:r w:rsidRPr="00410803">
        <w:t>and</w:t>
      </w:r>
      <w:r w:rsidR="003D640C">
        <w:t xml:space="preserve"> </w:t>
      </w:r>
      <w:r w:rsidRPr="00410803">
        <w:t>imagery</w:t>
      </w:r>
      <w:r w:rsidR="003D640C">
        <w:t xml:space="preserve"> </w:t>
      </w:r>
      <w:r w:rsidRPr="00410803">
        <w:t>used</w:t>
      </w:r>
      <w:r w:rsidR="003D640C">
        <w:t xml:space="preserve"> </w:t>
      </w:r>
      <w:r w:rsidRPr="00410803">
        <w:t>online</w:t>
      </w:r>
      <w:r w:rsidR="003D640C">
        <w:t xml:space="preserve"> </w:t>
      </w:r>
      <w:r w:rsidRPr="00410803">
        <w:t>against</w:t>
      </w:r>
      <w:r w:rsidR="003D640C">
        <w:t xml:space="preserve"> </w:t>
      </w:r>
      <w:r w:rsidRPr="00410803">
        <w:t>transgender</w:t>
      </w:r>
      <w:r w:rsidR="003D640C">
        <w:t xml:space="preserve"> </w:t>
      </w:r>
      <w:r w:rsidRPr="00410803">
        <w:t>people</w:t>
      </w:r>
      <w:r w:rsidR="003D640C">
        <w:t xml:space="preserve"> </w:t>
      </w:r>
      <w:r w:rsidRPr="00410803">
        <w:t>had</w:t>
      </w:r>
      <w:r w:rsidR="003D640C">
        <w:t xml:space="preserve"> </w:t>
      </w:r>
      <w:r w:rsidRPr="00410803">
        <w:t>become</w:t>
      </w:r>
      <w:r w:rsidR="003D640C">
        <w:t xml:space="preserve"> </w:t>
      </w:r>
      <w:r w:rsidRPr="00410803">
        <w:t>more</w:t>
      </w:r>
      <w:r w:rsidR="003D640C">
        <w:t xml:space="preserve"> </w:t>
      </w:r>
      <w:r w:rsidRPr="00410803">
        <w:t>violent</w:t>
      </w:r>
      <w:r w:rsidR="003D640C">
        <w:t xml:space="preserve"> </w:t>
      </w:r>
      <w:r w:rsidRPr="00410803">
        <w:t>over</w:t>
      </w:r>
      <w:r w:rsidR="003D640C">
        <w:t xml:space="preserve"> </w:t>
      </w:r>
      <w:r w:rsidRPr="00410803">
        <w:t>time</w:t>
      </w:r>
      <w:r w:rsidR="00475099">
        <w:t>.</w:t>
      </w:r>
      <w:r w:rsidR="00AA159D">
        <w:rPr>
          <w:rStyle w:val="FootnoteReference"/>
        </w:rPr>
        <w:footnoteReference w:id="8"/>
      </w:r>
      <w:r w:rsidR="003D640C">
        <w:t xml:space="preserve"> </w:t>
      </w:r>
      <w:r w:rsidRPr="00410803">
        <w:t>The</w:t>
      </w:r>
      <w:r w:rsidR="003D640C">
        <w:t xml:space="preserve"> </w:t>
      </w:r>
      <w:r w:rsidRPr="00410803">
        <w:t>language</w:t>
      </w:r>
      <w:r w:rsidR="003D640C">
        <w:t xml:space="preserve"> </w:t>
      </w:r>
      <w:r w:rsidRPr="00410803">
        <w:t>and</w:t>
      </w:r>
      <w:r w:rsidR="003D640C">
        <w:t xml:space="preserve"> </w:t>
      </w:r>
      <w:r w:rsidRPr="00410803">
        <w:t>imagery</w:t>
      </w:r>
      <w:r w:rsidR="003D640C">
        <w:t xml:space="preserve"> </w:t>
      </w:r>
      <w:r w:rsidRPr="00410803">
        <w:t>they</w:t>
      </w:r>
      <w:r w:rsidR="003D640C">
        <w:t xml:space="preserve"> </w:t>
      </w:r>
      <w:r w:rsidRPr="00410803">
        <w:t>found</w:t>
      </w:r>
      <w:r w:rsidR="003D640C">
        <w:t xml:space="preserve"> </w:t>
      </w:r>
      <w:r w:rsidRPr="00410803">
        <w:t>included</w:t>
      </w:r>
      <w:r w:rsidR="003D640C">
        <w:t xml:space="preserve"> </w:t>
      </w:r>
      <w:r w:rsidRPr="00410803">
        <w:t>repeated</w:t>
      </w:r>
      <w:r w:rsidR="003D640C">
        <w:t xml:space="preserve"> </w:t>
      </w:r>
      <w:r w:rsidRPr="00410803">
        <w:t>denials</w:t>
      </w:r>
      <w:r w:rsidR="003D640C">
        <w:t xml:space="preserve"> </w:t>
      </w:r>
      <w:r w:rsidRPr="00410803">
        <w:t>that</w:t>
      </w:r>
      <w:r w:rsidR="003D640C">
        <w:t xml:space="preserve"> </w:t>
      </w:r>
      <w:r w:rsidRPr="00410803">
        <w:t>transgender</w:t>
      </w:r>
      <w:r w:rsidR="003D640C">
        <w:t xml:space="preserve"> </w:t>
      </w:r>
      <w:r w:rsidRPr="00410803">
        <w:t>people</w:t>
      </w:r>
      <w:r w:rsidR="003D640C">
        <w:t xml:space="preserve"> </w:t>
      </w:r>
      <w:r w:rsidRPr="00410803">
        <w:t>exist</w:t>
      </w:r>
      <w:r w:rsidR="003D640C">
        <w:t xml:space="preserve"> </w:t>
      </w:r>
      <w:r w:rsidRPr="00410803">
        <w:t>or</w:t>
      </w:r>
      <w:r w:rsidR="003D640C">
        <w:t xml:space="preserve"> </w:t>
      </w:r>
      <w:r w:rsidRPr="00410803">
        <w:t>that</w:t>
      </w:r>
      <w:r w:rsidR="003D640C">
        <w:t xml:space="preserve"> </w:t>
      </w:r>
      <w:r w:rsidRPr="00410803">
        <w:t>they</w:t>
      </w:r>
      <w:r w:rsidR="003D640C">
        <w:t xml:space="preserve"> </w:t>
      </w:r>
      <w:r w:rsidRPr="00410803">
        <w:t>should</w:t>
      </w:r>
      <w:r w:rsidR="003D640C">
        <w:t xml:space="preserve"> </w:t>
      </w:r>
      <w:r w:rsidRPr="00410803">
        <w:t>be</w:t>
      </w:r>
      <w:r w:rsidR="003D640C">
        <w:t xml:space="preserve"> </w:t>
      </w:r>
      <w:r w:rsidRPr="00410803">
        <w:t>allowed</w:t>
      </w:r>
      <w:r w:rsidR="003D640C">
        <w:t xml:space="preserve"> </w:t>
      </w:r>
      <w:r w:rsidRPr="00410803">
        <w:t>to</w:t>
      </w:r>
      <w:r w:rsidR="003D640C">
        <w:t xml:space="preserve"> </w:t>
      </w:r>
      <w:r w:rsidRPr="00410803">
        <w:t>exist. The</w:t>
      </w:r>
      <w:r w:rsidR="003D640C">
        <w:t xml:space="preserve"> </w:t>
      </w:r>
      <w:r w:rsidRPr="00410803">
        <w:t>report</w:t>
      </w:r>
      <w:r w:rsidR="003D640C">
        <w:t xml:space="preserve"> </w:t>
      </w:r>
      <w:r w:rsidRPr="00410803">
        <w:t>described</w:t>
      </w:r>
      <w:r w:rsidR="003D640C">
        <w:t xml:space="preserve"> </w:t>
      </w:r>
      <w:r w:rsidRPr="00410803">
        <w:t>the</w:t>
      </w:r>
      <w:r w:rsidR="003D640C">
        <w:t xml:space="preserve"> </w:t>
      </w:r>
      <w:r w:rsidRPr="00410803">
        <w:t>language</w:t>
      </w:r>
      <w:r w:rsidR="003D640C">
        <w:t xml:space="preserve"> </w:t>
      </w:r>
      <w:r w:rsidR="004C5A0B">
        <w:t>used about transgender people</w:t>
      </w:r>
      <w:r w:rsidR="004C5A0B" w:rsidRPr="00410803">
        <w:t xml:space="preserve"> </w:t>
      </w:r>
      <w:r w:rsidRPr="00410803">
        <w:t>as</w:t>
      </w:r>
      <w:r w:rsidR="003D640C">
        <w:t xml:space="preserve"> </w:t>
      </w:r>
      <w:r w:rsidR="00475099">
        <w:t>“</w:t>
      </w:r>
      <w:r w:rsidRPr="00410803">
        <w:t>genocidal</w:t>
      </w:r>
      <w:r w:rsidR="00475099">
        <w:t>”</w:t>
      </w:r>
      <w:r w:rsidRPr="00410803">
        <w:t>.</w:t>
      </w:r>
    </w:p>
    <w:p w14:paraId="0C514E4C" w14:textId="16E379F5" w:rsidR="00410803" w:rsidRPr="00410803" w:rsidRDefault="00410803" w:rsidP="008E1CCA">
      <w:r w:rsidRPr="00410803">
        <w:t>Aotearoa</w:t>
      </w:r>
      <w:r w:rsidR="003D640C">
        <w:t xml:space="preserve"> </w:t>
      </w:r>
      <w:r w:rsidRPr="00410803">
        <w:t>strives</w:t>
      </w:r>
      <w:r w:rsidR="003D640C">
        <w:t xml:space="preserve"> </w:t>
      </w:r>
      <w:r w:rsidRPr="00410803">
        <w:t>to</w:t>
      </w:r>
      <w:r w:rsidR="003D640C">
        <w:t xml:space="preserve"> </w:t>
      </w:r>
      <w:r w:rsidRPr="00410803">
        <w:t>be</w:t>
      </w:r>
      <w:r w:rsidR="003D640C">
        <w:t xml:space="preserve"> </w:t>
      </w:r>
      <w:r w:rsidRPr="00410803">
        <w:t>an</w:t>
      </w:r>
      <w:r w:rsidR="003D640C">
        <w:t xml:space="preserve"> </w:t>
      </w:r>
      <w:r w:rsidRPr="00410803">
        <w:t>inclusive</w:t>
      </w:r>
      <w:r w:rsidR="003D640C">
        <w:t xml:space="preserve"> </w:t>
      </w:r>
      <w:r w:rsidRPr="00410803">
        <w:t>society,</w:t>
      </w:r>
      <w:r w:rsidR="003D640C">
        <w:t xml:space="preserve"> </w:t>
      </w:r>
      <w:r w:rsidRPr="00410803">
        <w:t>but</w:t>
      </w:r>
      <w:r w:rsidR="003D640C">
        <w:t xml:space="preserve"> </w:t>
      </w:r>
      <w:r w:rsidRPr="00410803">
        <w:t>progress</w:t>
      </w:r>
      <w:r w:rsidR="003D640C">
        <w:t xml:space="preserve"> </w:t>
      </w:r>
      <w:r w:rsidRPr="00410803">
        <w:t>in</w:t>
      </w:r>
      <w:r w:rsidR="003D640C">
        <w:t xml:space="preserve"> </w:t>
      </w:r>
      <w:r w:rsidRPr="00410803">
        <w:t>Rainbow</w:t>
      </w:r>
      <w:r w:rsidR="003D640C">
        <w:t xml:space="preserve"> </w:t>
      </w:r>
      <w:r w:rsidRPr="00410803">
        <w:t>matters</w:t>
      </w:r>
      <w:r w:rsidR="003D640C">
        <w:t xml:space="preserve"> </w:t>
      </w:r>
      <w:r w:rsidRPr="00410803">
        <w:t>has</w:t>
      </w:r>
      <w:r w:rsidR="003D640C">
        <w:t xml:space="preserve"> </w:t>
      </w:r>
      <w:r w:rsidRPr="00410803">
        <w:t>been</w:t>
      </w:r>
      <w:r w:rsidR="003D640C">
        <w:t xml:space="preserve"> </w:t>
      </w:r>
      <w:r w:rsidRPr="00410803">
        <w:t>uneven.</w:t>
      </w:r>
      <w:r w:rsidR="003D640C">
        <w:t xml:space="preserve"> </w:t>
      </w:r>
      <w:r w:rsidRPr="00410803">
        <w:t>It</w:t>
      </w:r>
      <w:r w:rsidR="003D640C">
        <w:t xml:space="preserve"> </w:t>
      </w:r>
      <w:r w:rsidRPr="00410803">
        <w:t>is</w:t>
      </w:r>
      <w:r w:rsidR="003D640C">
        <w:t xml:space="preserve"> </w:t>
      </w:r>
      <w:r w:rsidRPr="00410803">
        <w:t>critical</w:t>
      </w:r>
      <w:r w:rsidR="003D640C">
        <w:t xml:space="preserve"> </w:t>
      </w:r>
      <w:r w:rsidRPr="00410803">
        <w:t>we</w:t>
      </w:r>
      <w:r w:rsidR="003D640C">
        <w:t xml:space="preserve"> </w:t>
      </w:r>
      <w:r w:rsidRPr="00410803">
        <w:t>continue</w:t>
      </w:r>
      <w:r w:rsidR="003D640C">
        <w:t xml:space="preserve"> </w:t>
      </w:r>
      <w:r w:rsidRPr="00410803">
        <w:t>to</w:t>
      </w:r>
      <w:r w:rsidR="003D640C">
        <w:t xml:space="preserve"> </w:t>
      </w:r>
      <w:r w:rsidRPr="00410803">
        <w:t>embrace,</w:t>
      </w:r>
      <w:r w:rsidR="003D640C">
        <w:t xml:space="preserve"> </w:t>
      </w:r>
      <w:r w:rsidRPr="00410803">
        <w:t>support,</w:t>
      </w:r>
      <w:r w:rsidR="003D640C">
        <w:t xml:space="preserve"> </w:t>
      </w:r>
      <w:r w:rsidRPr="00410803">
        <w:t>and</w:t>
      </w:r>
      <w:r w:rsidR="003D640C">
        <w:t xml:space="preserve"> </w:t>
      </w:r>
      <w:r w:rsidRPr="00410803">
        <w:t>value</w:t>
      </w:r>
      <w:r w:rsidR="003D640C">
        <w:t xml:space="preserve"> </w:t>
      </w:r>
      <w:r w:rsidRPr="00410803">
        <w:t>Rainbow</w:t>
      </w:r>
      <w:r w:rsidR="003D640C">
        <w:t xml:space="preserve"> </w:t>
      </w:r>
      <w:r w:rsidRPr="00410803">
        <w:t>people</w:t>
      </w:r>
      <w:r w:rsidR="003D640C">
        <w:t xml:space="preserve"> </w:t>
      </w:r>
      <w:r w:rsidRPr="00410803">
        <w:t>in</w:t>
      </w:r>
      <w:r w:rsidR="003D640C">
        <w:t xml:space="preserve"> </w:t>
      </w:r>
      <w:r w:rsidRPr="00410803">
        <w:t>our</w:t>
      </w:r>
      <w:r w:rsidR="003D640C">
        <w:t xml:space="preserve"> </w:t>
      </w:r>
      <w:r w:rsidRPr="00410803">
        <w:t>society</w:t>
      </w:r>
      <w:r w:rsidR="003D640C">
        <w:t xml:space="preserve"> </w:t>
      </w:r>
      <w:r w:rsidRPr="00410803">
        <w:t>and</w:t>
      </w:r>
      <w:r w:rsidR="003D640C">
        <w:t xml:space="preserve"> </w:t>
      </w:r>
      <w:r w:rsidRPr="00410803">
        <w:t>our</w:t>
      </w:r>
      <w:r w:rsidR="003D640C">
        <w:t xml:space="preserve"> </w:t>
      </w:r>
      <w:r w:rsidRPr="00410803">
        <w:t>lives.</w:t>
      </w:r>
      <w:r w:rsidR="003D640C">
        <w:t xml:space="preserve"> </w:t>
      </w:r>
      <w:r w:rsidRPr="00410803">
        <w:t>We</w:t>
      </w:r>
      <w:r w:rsidR="003D640C">
        <w:t xml:space="preserve"> </w:t>
      </w:r>
      <w:r w:rsidRPr="00410803">
        <w:t>must</w:t>
      </w:r>
      <w:r w:rsidR="003D640C">
        <w:t xml:space="preserve"> </w:t>
      </w:r>
      <w:r w:rsidRPr="00410803">
        <w:t>give</w:t>
      </w:r>
      <w:r w:rsidR="003D640C">
        <w:t xml:space="preserve"> </w:t>
      </w:r>
      <w:r w:rsidRPr="00410803">
        <w:t>no</w:t>
      </w:r>
      <w:r w:rsidR="003D640C">
        <w:t xml:space="preserve"> </w:t>
      </w:r>
      <w:r w:rsidRPr="00410803">
        <w:t>tolerance</w:t>
      </w:r>
      <w:r w:rsidR="003D640C">
        <w:t xml:space="preserve"> </w:t>
      </w:r>
      <w:r w:rsidRPr="00410803">
        <w:t>to</w:t>
      </w:r>
      <w:r w:rsidR="003D640C">
        <w:t xml:space="preserve"> </w:t>
      </w:r>
      <w:r w:rsidRPr="00410803">
        <w:t>the</w:t>
      </w:r>
      <w:r w:rsidR="003D640C">
        <w:t xml:space="preserve"> </w:t>
      </w:r>
      <w:r w:rsidRPr="00410803">
        <w:t>rigid</w:t>
      </w:r>
      <w:r w:rsidR="003D640C">
        <w:t xml:space="preserve"> </w:t>
      </w:r>
      <w:r w:rsidRPr="00410803">
        <w:t>ideologies</w:t>
      </w:r>
      <w:r w:rsidR="003D640C">
        <w:t xml:space="preserve"> </w:t>
      </w:r>
      <w:r w:rsidRPr="00410803">
        <w:t>that</w:t>
      </w:r>
      <w:r w:rsidR="003D640C">
        <w:t xml:space="preserve"> </w:t>
      </w:r>
      <w:r w:rsidRPr="00410803">
        <w:t>underpin</w:t>
      </w:r>
      <w:r w:rsidR="003D640C">
        <w:t xml:space="preserve"> </w:t>
      </w:r>
      <w:r w:rsidRPr="00410803">
        <w:t>homophobia,</w:t>
      </w:r>
      <w:r w:rsidR="003D640C">
        <w:t xml:space="preserve"> </w:t>
      </w:r>
      <w:r w:rsidRPr="00410803">
        <w:t>biphobia,</w:t>
      </w:r>
      <w:r w:rsidR="003D640C">
        <w:t xml:space="preserve"> </w:t>
      </w:r>
      <w:r w:rsidRPr="00410803">
        <w:t>and</w:t>
      </w:r>
      <w:r w:rsidR="003D640C">
        <w:t xml:space="preserve"> </w:t>
      </w:r>
      <w:r w:rsidRPr="00410803">
        <w:t>transphobia. </w:t>
      </w:r>
    </w:p>
    <w:p w14:paraId="5178F18C" w14:textId="0F823B5C" w:rsidR="003D640C" w:rsidRDefault="00410803" w:rsidP="008E1CCA">
      <w:r w:rsidRPr="00410803">
        <w:t>Research</w:t>
      </w:r>
      <w:r w:rsidR="003D640C">
        <w:t xml:space="preserve"> </w:t>
      </w:r>
      <w:r w:rsidRPr="00410803">
        <w:t>has</w:t>
      </w:r>
      <w:r w:rsidR="003D640C">
        <w:t xml:space="preserve"> </w:t>
      </w:r>
      <w:r w:rsidRPr="00410803">
        <w:t>found</w:t>
      </w:r>
      <w:r w:rsidR="003D640C">
        <w:t xml:space="preserve"> </w:t>
      </w:r>
      <w:r w:rsidRPr="00410803">
        <w:t>that</w:t>
      </w:r>
      <w:r w:rsidR="003D640C">
        <w:t xml:space="preserve"> </w:t>
      </w:r>
      <w:r w:rsidRPr="00410803">
        <w:t>young</w:t>
      </w:r>
      <w:r w:rsidR="003D640C">
        <w:t xml:space="preserve"> </w:t>
      </w:r>
      <w:r w:rsidRPr="00410803">
        <w:t>Rainbow</w:t>
      </w:r>
      <w:r w:rsidR="003D640C">
        <w:t xml:space="preserve"> </w:t>
      </w:r>
      <w:r w:rsidRPr="00410803">
        <w:t>people</w:t>
      </w:r>
      <w:r w:rsidR="003D640C">
        <w:t xml:space="preserve"> </w:t>
      </w:r>
      <w:r w:rsidRPr="00410803">
        <w:t>are</w:t>
      </w:r>
      <w:r w:rsidR="003D640C">
        <w:t xml:space="preserve"> </w:t>
      </w:r>
      <w:r w:rsidRPr="00410803">
        <w:t>optimistic</w:t>
      </w:r>
      <w:r w:rsidR="003D640C">
        <w:t xml:space="preserve"> </w:t>
      </w:r>
      <w:r w:rsidRPr="00410803">
        <w:t>for</w:t>
      </w:r>
      <w:r w:rsidR="003D640C">
        <w:t xml:space="preserve"> </w:t>
      </w:r>
      <w:r w:rsidRPr="00410803">
        <w:t>a</w:t>
      </w:r>
      <w:r w:rsidR="003D640C">
        <w:t xml:space="preserve"> </w:t>
      </w:r>
      <w:r w:rsidRPr="00410803">
        <w:t>future</w:t>
      </w:r>
      <w:r w:rsidR="003D640C">
        <w:t xml:space="preserve"> </w:t>
      </w:r>
      <w:r w:rsidRPr="00410803">
        <w:t>that</w:t>
      </w:r>
      <w:r w:rsidR="003D640C">
        <w:t xml:space="preserve"> </w:t>
      </w:r>
      <w:r w:rsidRPr="00410803">
        <w:t>supports</w:t>
      </w:r>
      <w:r w:rsidR="003D640C">
        <w:t xml:space="preserve"> </w:t>
      </w:r>
      <w:r w:rsidRPr="00410803">
        <w:t>and</w:t>
      </w:r>
      <w:r w:rsidR="003D640C">
        <w:t xml:space="preserve"> </w:t>
      </w:r>
      <w:r w:rsidRPr="00410803">
        <w:t>uplifts</w:t>
      </w:r>
      <w:r w:rsidR="003D640C">
        <w:t xml:space="preserve"> </w:t>
      </w:r>
      <w:r w:rsidRPr="00410803">
        <w:t>them,</w:t>
      </w:r>
      <w:r w:rsidR="003D640C">
        <w:t xml:space="preserve"> </w:t>
      </w:r>
      <w:r w:rsidRPr="00410803">
        <w:t>despite</w:t>
      </w:r>
      <w:r w:rsidR="003D640C">
        <w:t xml:space="preserve"> </w:t>
      </w:r>
      <w:r w:rsidRPr="00410803">
        <w:t>experiencing</w:t>
      </w:r>
      <w:r w:rsidR="003D640C">
        <w:t xml:space="preserve"> </w:t>
      </w:r>
      <w:r w:rsidRPr="00410803">
        <w:t>prejudice</w:t>
      </w:r>
      <w:r w:rsidR="003D640C">
        <w:t xml:space="preserve"> </w:t>
      </w:r>
      <w:r w:rsidRPr="00410803">
        <w:t>and</w:t>
      </w:r>
      <w:r w:rsidR="003D640C">
        <w:t xml:space="preserve"> </w:t>
      </w:r>
      <w:r w:rsidRPr="00410803">
        <w:t>discrimination</w:t>
      </w:r>
      <w:r w:rsidR="00577F8F">
        <w:t>.</w:t>
      </w:r>
      <w:r w:rsidR="00AA159D">
        <w:rPr>
          <w:rStyle w:val="FootnoteReference"/>
        </w:rPr>
        <w:footnoteReference w:id="9"/>
      </w:r>
      <w:r w:rsidR="003D640C">
        <w:t xml:space="preserve"> </w:t>
      </w:r>
      <w:r w:rsidRPr="00410803">
        <w:t>In</w:t>
      </w:r>
      <w:r w:rsidR="003D640C">
        <w:t xml:space="preserve"> </w:t>
      </w:r>
      <w:r w:rsidRPr="00410803">
        <w:t>this</w:t>
      </w:r>
      <w:r w:rsidR="003D640C">
        <w:t xml:space="preserve"> </w:t>
      </w:r>
      <w:r w:rsidRPr="00410803">
        <w:t>report,</w:t>
      </w:r>
      <w:r w:rsidR="003D640C">
        <w:t xml:space="preserve"> </w:t>
      </w:r>
      <w:r w:rsidRPr="00410803">
        <w:t>the</w:t>
      </w:r>
      <w:r w:rsidR="003D640C">
        <w:t xml:space="preserve"> </w:t>
      </w:r>
      <w:r w:rsidRPr="00410803">
        <w:t>Commission</w:t>
      </w:r>
      <w:r w:rsidR="003D640C">
        <w:t xml:space="preserve"> </w:t>
      </w:r>
      <w:r w:rsidRPr="00410803">
        <w:t>and</w:t>
      </w:r>
      <w:r w:rsidR="003D640C">
        <w:t xml:space="preserve"> </w:t>
      </w:r>
      <w:r w:rsidRPr="00410803">
        <w:t>Rainbow</w:t>
      </w:r>
      <w:r w:rsidR="003D640C">
        <w:t xml:space="preserve"> </w:t>
      </w:r>
      <w:r w:rsidRPr="00410803">
        <w:t>communities</w:t>
      </w:r>
      <w:r w:rsidR="003D640C">
        <w:t xml:space="preserve"> </w:t>
      </w:r>
      <w:r w:rsidRPr="00410803">
        <w:t>share</w:t>
      </w:r>
      <w:r w:rsidR="003D640C">
        <w:t xml:space="preserve"> </w:t>
      </w:r>
      <w:r w:rsidRPr="00410803">
        <w:t>recommendations</w:t>
      </w:r>
      <w:r w:rsidR="003D640C">
        <w:t xml:space="preserve"> </w:t>
      </w:r>
      <w:r w:rsidRPr="00410803">
        <w:t>that</w:t>
      </w:r>
      <w:r w:rsidR="003D640C">
        <w:t xml:space="preserve"> </w:t>
      </w:r>
      <w:r w:rsidRPr="00410803">
        <w:t>will</w:t>
      </w:r>
      <w:r w:rsidR="003D640C">
        <w:t xml:space="preserve"> </w:t>
      </w:r>
      <w:r w:rsidRPr="00410803">
        <w:t>continue</w:t>
      </w:r>
      <w:r w:rsidR="003D640C">
        <w:t xml:space="preserve"> </w:t>
      </w:r>
      <w:r w:rsidRPr="00410803">
        <w:t>the</w:t>
      </w:r>
      <w:r w:rsidR="003D640C">
        <w:t xml:space="preserve"> </w:t>
      </w:r>
      <w:r w:rsidRPr="00410803">
        <w:t>progress</w:t>
      </w:r>
      <w:r w:rsidR="003D640C">
        <w:t xml:space="preserve"> </w:t>
      </w:r>
      <w:r w:rsidRPr="00410803">
        <w:t>made</w:t>
      </w:r>
      <w:r w:rsidR="003D640C">
        <w:t xml:space="preserve"> </w:t>
      </w:r>
      <w:r w:rsidRPr="00410803">
        <w:t>and</w:t>
      </w:r>
      <w:r w:rsidR="003D640C">
        <w:t xml:space="preserve"> </w:t>
      </w:r>
      <w:r w:rsidRPr="00410803">
        <w:t>create</w:t>
      </w:r>
      <w:r w:rsidR="003D640C">
        <w:t xml:space="preserve"> </w:t>
      </w:r>
      <w:r w:rsidRPr="00410803">
        <w:t>a</w:t>
      </w:r>
      <w:r w:rsidR="003D640C">
        <w:t xml:space="preserve"> </w:t>
      </w:r>
      <w:r w:rsidRPr="00410803">
        <w:t>positive</w:t>
      </w:r>
      <w:r w:rsidR="003D640C">
        <w:t xml:space="preserve"> </w:t>
      </w:r>
      <w:r w:rsidRPr="00410803">
        <w:t>future</w:t>
      </w:r>
      <w:r w:rsidR="003D640C">
        <w:t xml:space="preserve"> </w:t>
      </w:r>
      <w:r w:rsidRPr="00410803">
        <w:t>for</w:t>
      </w:r>
      <w:r w:rsidR="003D640C">
        <w:t xml:space="preserve"> </w:t>
      </w:r>
      <w:r w:rsidRPr="00410803">
        <w:t>all</w:t>
      </w:r>
      <w:r w:rsidR="003D640C">
        <w:t xml:space="preserve"> </w:t>
      </w:r>
      <w:r w:rsidRPr="00410803">
        <w:t>our</w:t>
      </w:r>
      <w:r w:rsidR="003D640C">
        <w:t xml:space="preserve"> </w:t>
      </w:r>
      <w:r w:rsidRPr="00410803">
        <w:t>diverse</w:t>
      </w:r>
      <w:r w:rsidR="003D640C">
        <w:t xml:space="preserve"> </w:t>
      </w:r>
      <w:r w:rsidRPr="00410803">
        <w:t>communities</w:t>
      </w:r>
      <w:r w:rsidR="003D640C">
        <w:t xml:space="preserve"> </w:t>
      </w:r>
      <w:r w:rsidRPr="00410803">
        <w:t>in</w:t>
      </w:r>
      <w:r w:rsidR="003D640C">
        <w:t xml:space="preserve"> </w:t>
      </w:r>
      <w:r w:rsidRPr="00410803">
        <w:t>Aotearoa. </w:t>
      </w:r>
    </w:p>
    <w:p w14:paraId="7384293A" w14:textId="4D7FEA76" w:rsidR="00410803" w:rsidRPr="00410803" w:rsidRDefault="00410803" w:rsidP="008E1CCA">
      <w:r w:rsidRPr="00410803">
        <w:t>Prudence</w:t>
      </w:r>
      <w:r w:rsidR="003D640C">
        <w:t xml:space="preserve"> </w:t>
      </w:r>
      <w:r w:rsidRPr="00410803">
        <w:t>Walker</w:t>
      </w:r>
      <w:r w:rsidR="003D640C">
        <w:t xml:space="preserve"> </w:t>
      </w:r>
    </w:p>
    <w:p w14:paraId="51D70085" w14:textId="59A21026" w:rsidR="003D640C" w:rsidRDefault="00410803">
      <w:r w:rsidRPr="00410803">
        <w:t>Kaihautū</w:t>
      </w:r>
      <w:r w:rsidR="003D640C">
        <w:t xml:space="preserve"> </w:t>
      </w:r>
      <w:r w:rsidRPr="00410803">
        <w:t>Tika</w:t>
      </w:r>
      <w:r w:rsidR="003D640C">
        <w:t xml:space="preserve"> </w:t>
      </w:r>
      <w:r w:rsidRPr="00410803">
        <w:t>Hauātanga</w:t>
      </w:r>
      <w:r w:rsidR="003D640C">
        <w:t xml:space="preserve"> </w:t>
      </w:r>
      <w:r w:rsidRPr="00410803">
        <w:t>|</w:t>
      </w:r>
      <w:r w:rsidR="003D640C">
        <w:t xml:space="preserve"> </w:t>
      </w:r>
      <w:r w:rsidRPr="00410803">
        <w:t>Disability</w:t>
      </w:r>
      <w:r w:rsidR="003D640C">
        <w:t xml:space="preserve"> </w:t>
      </w:r>
      <w:r w:rsidRPr="00410803">
        <w:t>Rights</w:t>
      </w:r>
      <w:r w:rsidR="003D640C">
        <w:t xml:space="preserve"> </w:t>
      </w:r>
      <w:r w:rsidRPr="00410803">
        <w:t>Commissioner</w:t>
      </w:r>
      <w:r w:rsidR="003D640C">
        <w:t xml:space="preserve"> </w:t>
      </w:r>
      <w:r w:rsidRPr="00410803">
        <w:t>and</w:t>
      </w:r>
      <w:r w:rsidR="003D640C">
        <w:t xml:space="preserve"> </w:t>
      </w:r>
      <w:r w:rsidRPr="00410803">
        <w:t>Rainbow</w:t>
      </w:r>
      <w:r w:rsidR="003D640C">
        <w:t xml:space="preserve"> </w:t>
      </w:r>
      <w:r w:rsidR="00F619BA">
        <w:t>Spokesperson</w:t>
      </w:r>
      <w:r w:rsidR="003D640C">
        <w:t xml:space="preserve"> </w:t>
      </w:r>
      <w:r w:rsidR="003D640C">
        <w:br w:type="page"/>
      </w:r>
    </w:p>
    <w:p w14:paraId="3CEEA306" w14:textId="4F7FC0A0" w:rsidR="007D6EA0" w:rsidRPr="00BB6220" w:rsidRDefault="007D6EA0" w:rsidP="178ADA35">
      <w:pPr>
        <w:pStyle w:val="Heading1-nonumbering"/>
        <w:ind w:left="0" w:firstLine="0"/>
        <w:rPr>
          <w:lang w:eastAsia="en-NZ"/>
        </w:rPr>
      </w:pPr>
      <w:bookmarkStart w:id="8" w:name="_Toc167780566"/>
      <w:bookmarkStart w:id="9" w:name="_Toc927567045"/>
      <w:bookmarkStart w:id="10" w:name="_Toc174628619"/>
      <w:r w:rsidRPr="00BB6220">
        <w:rPr>
          <w:lang w:eastAsia="en-NZ"/>
        </w:rPr>
        <w:lastRenderedPageBreak/>
        <w:t>Glossary</w:t>
      </w:r>
      <w:bookmarkEnd w:id="8"/>
      <w:bookmarkEnd w:id="9"/>
      <w:bookmarkEnd w:id="10"/>
    </w:p>
    <w:p w14:paraId="3A85663C" w14:textId="5B5D4CC3" w:rsidR="00FB1D04" w:rsidRDefault="00954C2D" w:rsidP="007D6EA0">
      <w:pPr>
        <w:pStyle w:val="NoSpacing"/>
        <w:spacing w:after="120"/>
        <w:rPr>
          <w:rFonts w:eastAsia="Times New Roman"/>
          <w:lang w:eastAsia="en-NZ"/>
        </w:rPr>
      </w:pPr>
      <w:r>
        <w:rPr>
          <w:rFonts w:eastAsia="Times New Roman"/>
          <w:lang w:eastAsia="en-NZ"/>
        </w:rPr>
        <w:t>This</w:t>
      </w:r>
      <w:r w:rsidR="003D640C">
        <w:rPr>
          <w:rFonts w:eastAsia="Times New Roman"/>
          <w:lang w:eastAsia="en-NZ"/>
        </w:rPr>
        <w:t xml:space="preserve"> </w:t>
      </w:r>
      <w:r>
        <w:rPr>
          <w:rFonts w:eastAsia="Times New Roman"/>
          <w:lang w:eastAsia="en-NZ"/>
        </w:rPr>
        <w:t>glossary</w:t>
      </w:r>
      <w:r w:rsidR="003D640C">
        <w:rPr>
          <w:rFonts w:eastAsia="Times New Roman"/>
          <w:lang w:eastAsia="en-NZ"/>
        </w:rPr>
        <w:t xml:space="preserve"> </w:t>
      </w:r>
      <w:r>
        <w:rPr>
          <w:rFonts w:eastAsia="Times New Roman"/>
          <w:lang w:eastAsia="en-NZ"/>
        </w:rPr>
        <w:t>provides</w:t>
      </w:r>
      <w:r w:rsidR="003D640C">
        <w:rPr>
          <w:rFonts w:eastAsia="Times New Roman"/>
          <w:lang w:eastAsia="en-NZ"/>
        </w:rPr>
        <w:t xml:space="preserve"> </w:t>
      </w:r>
      <w:r w:rsidR="00720B39">
        <w:rPr>
          <w:rFonts w:eastAsia="Times New Roman"/>
          <w:lang w:eastAsia="en-NZ"/>
        </w:rPr>
        <w:t>the</w:t>
      </w:r>
      <w:r w:rsidR="003D640C">
        <w:rPr>
          <w:rFonts w:eastAsia="Times New Roman"/>
          <w:lang w:eastAsia="en-NZ"/>
        </w:rPr>
        <w:t xml:space="preserve"> </w:t>
      </w:r>
      <w:r w:rsidR="00720B39">
        <w:rPr>
          <w:rFonts w:eastAsia="Times New Roman"/>
          <w:lang w:eastAsia="en-NZ"/>
        </w:rPr>
        <w:t>meaning</w:t>
      </w:r>
      <w:r w:rsidR="003D640C">
        <w:rPr>
          <w:rFonts w:eastAsia="Times New Roman"/>
          <w:lang w:eastAsia="en-NZ"/>
        </w:rPr>
        <w:t xml:space="preserve"> </w:t>
      </w:r>
      <w:r w:rsidR="00720B39">
        <w:rPr>
          <w:rFonts w:eastAsia="Times New Roman"/>
          <w:lang w:eastAsia="en-NZ"/>
        </w:rPr>
        <w:t>of</w:t>
      </w:r>
      <w:r w:rsidR="003D640C">
        <w:rPr>
          <w:rFonts w:eastAsia="Times New Roman"/>
          <w:lang w:eastAsia="en-NZ"/>
        </w:rPr>
        <w:t xml:space="preserve"> </w:t>
      </w:r>
      <w:r w:rsidR="00720B39">
        <w:rPr>
          <w:rFonts w:eastAsia="Times New Roman"/>
          <w:lang w:eastAsia="en-NZ"/>
        </w:rPr>
        <w:t>terms</w:t>
      </w:r>
      <w:r w:rsidR="003D640C">
        <w:rPr>
          <w:rFonts w:eastAsia="Times New Roman"/>
          <w:lang w:eastAsia="en-NZ"/>
        </w:rPr>
        <w:t xml:space="preserve"> </w:t>
      </w:r>
      <w:r w:rsidR="00720B39">
        <w:rPr>
          <w:rFonts w:eastAsia="Times New Roman"/>
          <w:lang w:eastAsia="en-NZ"/>
        </w:rPr>
        <w:t>as</w:t>
      </w:r>
      <w:r w:rsidR="003D640C">
        <w:rPr>
          <w:rFonts w:eastAsia="Times New Roman"/>
          <w:lang w:eastAsia="en-NZ"/>
        </w:rPr>
        <w:t xml:space="preserve"> </w:t>
      </w:r>
      <w:r w:rsidR="00720B39">
        <w:rPr>
          <w:rFonts w:eastAsia="Times New Roman"/>
          <w:lang w:eastAsia="en-NZ"/>
        </w:rPr>
        <w:t>they</w:t>
      </w:r>
      <w:r w:rsidR="003D640C">
        <w:rPr>
          <w:rFonts w:eastAsia="Times New Roman"/>
          <w:lang w:eastAsia="en-NZ"/>
        </w:rPr>
        <w:t xml:space="preserve"> </w:t>
      </w:r>
      <w:r w:rsidR="00720B39">
        <w:rPr>
          <w:rFonts w:eastAsia="Times New Roman"/>
          <w:lang w:eastAsia="en-NZ"/>
        </w:rPr>
        <w:t>are</w:t>
      </w:r>
      <w:r w:rsidR="003D640C">
        <w:rPr>
          <w:rFonts w:eastAsia="Times New Roman"/>
          <w:lang w:eastAsia="en-NZ"/>
        </w:rPr>
        <w:t xml:space="preserve"> </w:t>
      </w:r>
      <w:r w:rsidR="00720B39">
        <w:rPr>
          <w:rFonts w:eastAsia="Times New Roman"/>
          <w:lang w:eastAsia="en-NZ"/>
        </w:rPr>
        <w:t>used</w:t>
      </w:r>
      <w:r w:rsidR="003D640C">
        <w:rPr>
          <w:rFonts w:eastAsia="Times New Roman"/>
          <w:lang w:eastAsia="en-NZ"/>
        </w:rPr>
        <w:t xml:space="preserve"> </w:t>
      </w:r>
      <w:r w:rsidR="00720B39">
        <w:rPr>
          <w:rFonts w:eastAsia="Times New Roman"/>
          <w:lang w:eastAsia="en-NZ"/>
        </w:rPr>
        <w:t>in</w:t>
      </w:r>
      <w:r w:rsidR="003D640C">
        <w:rPr>
          <w:rFonts w:eastAsia="Times New Roman"/>
          <w:lang w:eastAsia="en-NZ"/>
        </w:rPr>
        <w:t xml:space="preserve"> </w:t>
      </w:r>
      <w:r w:rsidR="00720B39">
        <w:rPr>
          <w:rFonts w:eastAsia="Times New Roman"/>
          <w:lang w:eastAsia="en-NZ"/>
        </w:rPr>
        <w:t>this</w:t>
      </w:r>
      <w:r w:rsidR="003D640C">
        <w:rPr>
          <w:rFonts w:eastAsia="Times New Roman"/>
          <w:lang w:eastAsia="en-NZ"/>
        </w:rPr>
        <w:t xml:space="preserve"> </w:t>
      </w:r>
      <w:r w:rsidR="00720B39">
        <w:rPr>
          <w:rFonts w:eastAsia="Times New Roman"/>
          <w:lang w:eastAsia="en-NZ"/>
        </w:rPr>
        <w:t>report.</w:t>
      </w:r>
      <w:r w:rsidR="003D640C">
        <w:rPr>
          <w:rFonts w:eastAsia="Times New Roman"/>
          <w:lang w:eastAsia="en-NZ"/>
        </w:rPr>
        <w:t xml:space="preserve"> </w:t>
      </w:r>
      <w:r w:rsidR="00685E34">
        <w:rPr>
          <w:rFonts w:eastAsia="Times New Roman"/>
          <w:lang w:eastAsia="en-NZ"/>
        </w:rPr>
        <w:t>Unless otherwise indicated, m</w:t>
      </w:r>
      <w:r w:rsidR="005A2AC4">
        <w:rPr>
          <w:rFonts w:eastAsia="Times New Roman"/>
          <w:lang w:eastAsia="en-NZ"/>
        </w:rPr>
        <w:t>ost definitions are adapted from</w:t>
      </w:r>
      <w:r w:rsidR="000C75A5">
        <w:rPr>
          <w:rFonts w:eastAsia="Times New Roman"/>
          <w:lang w:eastAsia="en-NZ"/>
        </w:rPr>
        <w:t xml:space="preserve"> t</w:t>
      </w:r>
      <w:r w:rsidR="00685E34">
        <w:rPr>
          <w:rFonts w:eastAsia="Times New Roman"/>
          <w:lang w:eastAsia="en-NZ"/>
        </w:rPr>
        <w:t>wo</w:t>
      </w:r>
      <w:r w:rsidR="000C75A5">
        <w:rPr>
          <w:rFonts w:eastAsia="Times New Roman"/>
          <w:lang w:eastAsia="en-NZ"/>
        </w:rPr>
        <w:t xml:space="preserve"> </w:t>
      </w:r>
      <w:r w:rsidR="005F30D9">
        <w:rPr>
          <w:rFonts w:eastAsia="Times New Roman"/>
          <w:lang w:eastAsia="en-NZ"/>
        </w:rPr>
        <w:t xml:space="preserve">earlier </w:t>
      </w:r>
      <w:r w:rsidR="000C75A5">
        <w:rPr>
          <w:rFonts w:eastAsia="Times New Roman"/>
          <w:lang w:eastAsia="en-NZ"/>
        </w:rPr>
        <w:t xml:space="preserve">Human Rights Commission </w:t>
      </w:r>
      <w:r w:rsidR="00685E34">
        <w:rPr>
          <w:rFonts w:eastAsia="Times New Roman"/>
          <w:lang w:eastAsia="en-NZ"/>
        </w:rPr>
        <w:t xml:space="preserve">reports: </w:t>
      </w:r>
      <w:r w:rsidR="00685E34" w:rsidRPr="00B6157E">
        <w:rPr>
          <w:i/>
          <w:iCs/>
        </w:rPr>
        <w:t>Prism: Human rights issues relating to sexual orientation, gender identity and expression, and sex characteristics (SOGIESC) in Aotearoa New Zealand – A report with recommendations</w:t>
      </w:r>
      <w:r w:rsidR="009A0EC5">
        <w:rPr>
          <w:rStyle w:val="FootnoteReference"/>
          <w:i/>
          <w:iCs/>
        </w:rPr>
        <w:footnoteReference w:id="10"/>
      </w:r>
      <w:r w:rsidR="00685E34">
        <w:t xml:space="preserve"> and</w:t>
      </w:r>
      <w:r w:rsidR="005A2AC4">
        <w:rPr>
          <w:rFonts w:eastAsia="Times New Roman"/>
          <w:lang w:eastAsia="en-NZ"/>
        </w:rPr>
        <w:t xml:space="preserve"> </w:t>
      </w:r>
      <w:r w:rsidR="00B7337F" w:rsidRPr="007B139B">
        <w:rPr>
          <w:i/>
          <w:iCs/>
        </w:rPr>
        <w:t>Ki te whaiao, ki te ao Mārama</w:t>
      </w:r>
      <w:r w:rsidR="00B7337F">
        <w:rPr>
          <w:i/>
          <w:iCs/>
        </w:rPr>
        <w:t>:</w:t>
      </w:r>
      <w:r w:rsidR="00B7337F" w:rsidRPr="007B139B">
        <w:rPr>
          <w:i/>
          <w:iCs/>
        </w:rPr>
        <w:t xml:space="preserve"> Community </w:t>
      </w:r>
      <w:r w:rsidR="00B7337F">
        <w:rPr>
          <w:i/>
          <w:iCs/>
        </w:rPr>
        <w:t>e</w:t>
      </w:r>
      <w:r w:rsidR="00B7337F" w:rsidRPr="007B139B">
        <w:rPr>
          <w:i/>
          <w:iCs/>
        </w:rPr>
        <w:t xml:space="preserve">ngagement </w:t>
      </w:r>
      <w:r w:rsidR="00B7337F">
        <w:rPr>
          <w:i/>
          <w:iCs/>
        </w:rPr>
        <w:t>r</w:t>
      </w:r>
      <w:r w:rsidR="00B7337F" w:rsidRPr="007B139B">
        <w:rPr>
          <w:i/>
          <w:iCs/>
        </w:rPr>
        <w:t>eport</w:t>
      </w:r>
      <w:r w:rsidR="00B7337F">
        <w:rPr>
          <w:i/>
          <w:iCs/>
        </w:rPr>
        <w:t xml:space="preserve"> </w:t>
      </w:r>
      <w:r w:rsidR="00B7337F" w:rsidRPr="00DF1BE5">
        <w:rPr>
          <w:i/>
          <w:iCs/>
        </w:rPr>
        <w:t>for developing a national action pl</w:t>
      </w:r>
      <w:r w:rsidR="00B7337F">
        <w:rPr>
          <w:i/>
          <w:iCs/>
        </w:rPr>
        <w:t>a</w:t>
      </w:r>
      <w:r w:rsidR="00B7337F" w:rsidRPr="00DF1BE5">
        <w:rPr>
          <w:i/>
          <w:iCs/>
        </w:rPr>
        <w:t>n against racism</w:t>
      </w:r>
      <w:r w:rsidR="00DD2544">
        <w:rPr>
          <w:i/>
          <w:iCs/>
        </w:rPr>
        <w:t>.</w:t>
      </w:r>
      <w:r w:rsidR="009A0EC5">
        <w:rPr>
          <w:rStyle w:val="FootnoteReference"/>
          <w:i/>
          <w:iCs/>
        </w:rPr>
        <w:footnoteReference w:id="11"/>
      </w:r>
    </w:p>
    <w:p w14:paraId="1DD3BA63" w14:textId="12B0E704" w:rsidR="007D6EA0" w:rsidRPr="00E00167" w:rsidRDefault="007D6EA0" w:rsidP="00E00167">
      <w:pPr>
        <w:rPr>
          <w:b/>
          <w:bCs/>
          <w:color w:val="FF0000"/>
          <w:lang w:eastAsia="en-NZ"/>
        </w:rPr>
      </w:pPr>
      <w:r w:rsidRPr="00E00167">
        <w:rPr>
          <w:b/>
          <w:bCs/>
          <w:lang w:val="en-US" w:eastAsia="en-NZ"/>
        </w:rPr>
        <w:t>General</w:t>
      </w:r>
      <w:r w:rsidR="003D640C" w:rsidRPr="00E00167">
        <w:rPr>
          <w:b/>
          <w:bCs/>
          <w:lang w:val="en-US" w:eastAsia="en-NZ"/>
        </w:rPr>
        <w:t xml:space="preserve"> </w:t>
      </w:r>
      <w:r w:rsidRPr="00E00167">
        <w:rPr>
          <w:b/>
          <w:bCs/>
          <w:lang w:val="en-US" w:eastAsia="en-NZ"/>
        </w:rPr>
        <w:t>terms</w:t>
      </w:r>
      <w:r w:rsidR="003D640C" w:rsidRPr="00E00167">
        <w:rPr>
          <w:b/>
          <w:bCs/>
          <w:color w:val="FF0000"/>
          <w:lang w:val="en-US" w:eastAsia="en-NZ"/>
        </w:rPr>
        <w:t xml:space="preserve"> </w:t>
      </w:r>
    </w:p>
    <w:tbl>
      <w:tblPr>
        <w:tblStyle w:val="TableGrid"/>
        <w:tblW w:w="9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567"/>
        <w:gridCol w:w="352"/>
      </w:tblGrid>
      <w:tr w:rsidR="000C75E6" w:rsidRPr="00577F8F" w14:paraId="65771FF5" w14:textId="77777777" w:rsidTr="1F004222">
        <w:trPr>
          <w:gridAfter w:val="1"/>
          <w:wAfter w:w="352" w:type="dxa"/>
        </w:trPr>
        <w:tc>
          <w:tcPr>
            <w:tcW w:w="2106" w:type="dxa"/>
          </w:tcPr>
          <w:p w14:paraId="70AC63F2" w14:textId="136FE9F0" w:rsidR="005B4BFB" w:rsidRPr="00577F8F" w:rsidRDefault="005B4BFB" w:rsidP="00577F8F">
            <w:pPr>
              <w:spacing w:after="120"/>
              <w:rPr>
                <w:lang w:val="en-US" w:eastAsia="en-NZ"/>
              </w:rPr>
            </w:pPr>
            <w:r>
              <w:rPr>
                <w:lang w:val="en-US" w:eastAsia="en-NZ"/>
              </w:rPr>
              <w:t>Binary</w:t>
            </w:r>
            <w:r w:rsidR="000D60D7">
              <w:rPr>
                <w:lang w:val="en-US" w:eastAsia="en-NZ"/>
              </w:rPr>
              <w:t xml:space="preserve"> </w:t>
            </w:r>
          </w:p>
        </w:tc>
        <w:tc>
          <w:tcPr>
            <w:tcW w:w="6567" w:type="dxa"/>
          </w:tcPr>
          <w:p w14:paraId="20833AE5" w14:textId="33E2BFF8" w:rsidR="005B4BFB" w:rsidRPr="00577F8F" w:rsidDel="001D6622" w:rsidRDefault="000D60D7" w:rsidP="007B139B">
            <w:pPr>
              <w:spacing w:after="120" w:line="259" w:lineRule="auto"/>
              <w:rPr>
                <w:lang w:val="en-US" w:eastAsia="en-NZ"/>
              </w:rPr>
            </w:pPr>
            <w:r w:rsidRPr="007B139B">
              <w:rPr>
                <w:lang w:val="en-US" w:eastAsia="en-NZ"/>
              </w:rPr>
              <w:t>The concept that gender only exists in the two distinct opposites of feminine and masculine.</w:t>
            </w:r>
          </w:p>
        </w:tc>
      </w:tr>
      <w:tr w:rsidR="00F4312C" w:rsidRPr="00577F8F" w14:paraId="209D9A1B" w14:textId="77777777" w:rsidTr="1F004222">
        <w:tc>
          <w:tcPr>
            <w:tcW w:w="2106" w:type="dxa"/>
          </w:tcPr>
          <w:p w14:paraId="1A0E1BEB" w14:textId="77777777" w:rsidR="00577F8F" w:rsidRPr="00577F8F" w:rsidRDefault="00577F8F" w:rsidP="00577F8F">
            <w:pPr>
              <w:spacing w:after="120" w:line="259" w:lineRule="auto"/>
              <w:rPr>
                <w:lang w:val="en-US" w:eastAsia="en-NZ"/>
              </w:rPr>
            </w:pPr>
            <w:r w:rsidRPr="00577F8F">
              <w:rPr>
                <w:lang w:val="en-US" w:eastAsia="en-NZ"/>
              </w:rPr>
              <w:t xml:space="preserve">Cisgender </w:t>
            </w:r>
          </w:p>
        </w:tc>
        <w:tc>
          <w:tcPr>
            <w:tcW w:w="6919" w:type="dxa"/>
            <w:gridSpan w:val="2"/>
          </w:tcPr>
          <w:p w14:paraId="2A51D679" w14:textId="7A97C7A6" w:rsidR="00577F8F" w:rsidRPr="00577F8F" w:rsidRDefault="001D6622" w:rsidP="00577F8F">
            <w:pPr>
              <w:spacing w:after="120" w:line="259" w:lineRule="auto"/>
              <w:rPr>
                <w:rFonts w:ascii="Segoe UI" w:hAnsi="Segoe UI" w:cs="Segoe UI"/>
                <w:sz w:val="18"/>
                <w:szCs w:val="18"/>
                <w:lang w:eastAsia="en-NZ"/>
              </w:rPr>
            </w:pPr>
            <w:r>
              <w:rPr>
                <w:lang w:val="en-US" w:eastAsia="en-NZ"/>
              </w:rPr>
              <w:t>A</w:t>
            </w:r>
            <w:r w:rsidR="00577F8F" w:rsidRPr="00577F8F">
              <w:rPr>
                <w:lang w:val="en-US" w:eastAsia="en-NZ"/>
              </w:rPr>
              <w:t xml:space="preserve"> term used to describe someone whose gender aligns with their sex assigned at birth. For example, a person who was assigned female at birth and identifies as a girl, woman, or wahine.</w:t>
            </w:r>
            <w:r w:rsidR="00577F8F" w:rsidRPr="00577F8F">
              <w:rPr>
                <w:lang w:eastAsia="en-NZ"/>
              </w:rPr>
              <w:t xml:space="preserve"> </w:t>
            </w:r>
          </w:p>
        </w:tc>
      </w:tr>
      <w:tr w:rsidR="00F4312C" w:rsidRPr="00577F8F" w14:paraId="7274B6D0" w14:textId="77777777" w:rsidTr="1F004222">
        <w:tc>
          <w:tcPr>
            <w:tcW w:w="2106" w:type="dxa"/>
          </w:tcPr>
          <w:p w14:paraId="592DAF7C" w14:textId="77777777" w:rsidR="00577F8F" w:rsidRPr="00577F8F" w:rsidRDefault="00577F8F" w:rsidP="00577F8F">
            <w:pPr>
              <w:spacing w:after="120" w:line="259" w:lineRule="auto"/>
              <w:rPr>
                <w:lang w:eastAsia="en-NZ"/>
              </w:rPr>
            </w:pPr>
            <w:r w:rsidRPr="00577F8F">
              <w:rPr>
                <w:lang w:eastAsia="en-NZ"/>
              </w:rPr>
              <w:t xml:space="preserve">Colonisation </w:t>
            </w:r>
          </w:p>
        </w:tc>
        <w:tc>
          <w:tcPr>
            <w:tcW w:w="6919" w:type="dxa"/>
            <w:gridSpan w:val="2"/>
          </w:tcPr>
          <w:p w14:paraId="48B2124C" w14:textId="2056E0B3" w:rsidR="00577F8F" w:rsidRPr="00577F8F" w:rsidRDefault="001D6622" w:rsidP="00577F8F">
            <w:pPr>
              <w:spacing w:after="120" w:line="259" w:lineRule="auto"/>
              <w:rPr>
                <w:lang w:eastAsia="en-NZ"/>
              </w:rPr>
            </w:pPr>
            <w:r>
              <w:rPr>
                <w:lang w:eastAsia="en-NZ"/>
              </w:rPr>
              <w:t>A</w:t>
            </w:r>
            <w:r w:rsidR="00577F8F" w:rsidRPr="00577F8F">
              <w:rPr>
                <w:lang w:eastAsia="en-NZ"/>
              </w:rPr>
              <w:t xml:space="preserve"> practice of domination, which involves the subjugation of one people to another.</w:t>
            </w:r>
            <w:r w:rsidR="00577F8F" w:rsidRPr="00577F8F">
              <w:rPr>
                <w:rStyle w:val="FootnoteReference"/>
                <w:rFonts w:ascii="Calibri" w:eastAsia="Times New Roman" w:hAnsi="Calibri" w:cs="Calibri"/>
                <w:lang w:eastAsia="en-NZ"/>
              </w:rPr>
              <w:footnoteReference w:id="12"/>
            </w:r>
          </w:p>
        </w:tc>
      </w:tr>
      <w:tr w:rsidR="00F4312C" w:rsidRPr="00577F8F" w14:paraId="39E26BD6" w14:textId="77777777" w:rsidTr="1F004222">
        <w:tc>
          <w:tcPr>
            <w:tcW w:w="2106" w:type="dxa"/>
          </w:tcPr>
          <w:p w14:paraId="0296352A" w14:textId="5235C149" w:rsidR="00577F8F" w:rsidRPr="00577F8F" w:rsidRDefault="00577F8F" w:rsidP="00577F8F">
            <w:pPr>
              <w:spacing w:after="120" w:line="259" w:lineRule="auto"/>
              <w:rPr>
                <w:rFonts w:ascii="Calibri" w:eastAsia="Times New Roman" w:hAnsi="Calibri" w:cs="Calibri"/>
                <w:lang w:eastAsia="en-NZ"/>
              </w:rPr>
            </w:pPr>
            <w:r w:rsidRPr="00577F8F">
              <w:rPr>
                <w:rFonts w:ascii="Calibri" w:eastAsia="Times New Roman" w:hAnsi="Calibri" w:cs="Calibri"/>
                <w:lang w:eastAsia="en-NZ"/>
              </w:rPr>
              <w:t xml:space="preserve">Conversion practice </w:t>
            </w:r>
          </w:p>
        </w:tc>
        <w:tc>
          <w:tcPr>
            <w:tcW w:w="6919" w:type="dxa"/>
            <w:gridSpan w:val="2"/>
          </w:tcPr>
          <w:p w14:paraId="57823970" w14:textId="6503A532" w:rsidR="00577F8F" w:rsidRPr="00577F8F" w:rsidRDefault="001D6622" w:rsidP="00577F8F">
            <w:pPr>
              <w:spacing w:after="120" w:line="259" w:lineRule="auto"/>
              <w:rPr>
                <w:rFonts w:ascii="Calibri" w:eastAsia="Times New Roman" w:hAnsi="Calibri" w:cs="Calibri"/>
                <w:lang w:eastAsia="en-NZ"/>
              </w:rPr>
            </w:pPr>
            <w:r>
              <w:rPr>
                <w:rFonts w:ascii="Calibri" w:eastAsia="Times New Roman" w:hAnsi="Calibri" w:cs="Calibri"/>
                <w:lang w:eastAsia="en-NZ"/>
              </w:rPr>
              <w:t>D</w:t>
            </w:r>
            <w:r w:rsidR="00577F8F" w:rsidRPr="00577F8F">
              <w:rPr>
                <w:rFonts w:ascii="Calibri" w:eastAsia="Times New Roman" w:hAnsi="Calibri" w:cs="Calibri"/>
                <w:lang w:eastAsia="en-NZ"/>
              </w:rPr>
              <w:t xml:space="preserve">efined in </w:t>
            </w:r>
            <w:r>
              <w:rPr>
                <w:rFonts w:ascii="Calibri" w:eastAsia="Times New Roman" w:hAnsi="Calibri" w:cs="Calibri"/>
                <w:lang w:eastAsia="en-NZ"/>
              </w:rPr>
              <w:t xml:space="preserve">section 5 of </w:t>
            </w:r>
            <w:r w:rsidR="00577F8F" w:rsidRPr="00577F8F">
              <w:rPr>
                <w:rFonts w:ascii="Calibri" w:eastAsia="Times New Roman" w:hAnsi="Calibri" w:cs="Calibri"/>
                <w:lang w:eastAsia="en-NZ"/>
              </w:rPr>
              <w:t xml:space="preserve">the Conversion Practices Prohibition Legislation Act 2022 (CPPLA) as any “practice, sustained effort or treatment that is directed towards an individual because of the individual’s sexual orientation gender identity, or gender expression” </w:t>
            </w:r>
            <w:r>
              <w:rPr>
                <w:rFonts w:ascii="Calibri" w:eastAsia="Times New Roman" w:hAnsi="Calibri" w:cs="Calibri"/>
                <w:lang w:eastAsia="en-NZ"/>
              </w:rPr>
              <w:t>that</w:t>
            </w:r>
            <w:r w:rsidRPr="00577F8F">
              <w:rPr>
                <w:rFonts w:ascii="Calibri" w:eastAsia="Times New Roman" w:hAnsi="Calibri" w:cs="Calibri"/>
                <w:lang w:eastAsia="en-NZ"/>
              </w:rPr>
              <w:t xml:space="preserve"> </w:t>
            </w:r>
            <w:r w:rsidR="00577F8F" w:rsidRPr="00577F8F">
              <w:rPr>
                <w:rFonts w:ascii="Calibri" w:eastAsia="Times New Roman" w:hAnsi="Calibri" w:cs="Calibri"/>
                <w:lang w:eastAsia="en-NZ"/>
              </w:rPr>
              <w:t>are done with “the intention of changing or suppressing their sexual orientation, gender identity or gender expression”</w:t>
            </w:r>
            <w:r>
              <w:rPr>
                <w:rFonts w:ascii="Calibri" w:eastAsia="Times New Roman" w:hAnsi="Calibri" w:cs="Calibri"/>
                <w:lang w:eastAsia="en-NZ"/>
              </w:rPr>
              <w:t>.</w:t>
            </w:r>
            <w:r w:rsidR="00577F8F" w:rsidRPr="00577F8F">
              <w:rPr>
                <w:rFonts w:ascii="Calibri" w:eastAsia="Times New Roman" w:hAnsi="Calibri" w:cs="Calibri"/>
                <w:lang w:eastAsia="en-NZ"/>
              </w:rPr>
              <w:t xml:space="preserve"> </w:t>
            </w:r>
          </w:p>
        </w:tc>
      </w:tr>
      <w:tr w:rsidR="00F4312C" w:rsidRPr="00577F8F" w14:paraId="00794CA0" w14:textId="77777777" w:rsidTr="1F004222">
        <w:tc>
          <w:tcPr>
            <w:tcW w:w="2106" w:type="dxa"/>
          </w:tcPr>
          <w:p w14:paraId="3E4FBBAC" w14:textId="77777777" w:rsidR="00577F8F" w:rsidRPr="00577F8F" w:rsidRDefault="00577F8F" w:rsidP="00577F8F">
            <w:pPr>
              <w:spacing w:after="120" w:line="259" w:lineRule="auto"/>
              <w:rPr>
                <w:rFonts w:ascii="Calibri" w:eastAsia="Calibri" w:hAnsi="Calibri" w:cs="Calibri"/>
                <w:color w:val="000000" w:themeColor="text1"/>
                <w:lang w:val="en-US"/>
              </w:rPr>
            </w:pPr>
            <w:r w:rsidRPr="00577F8F">
              <w:rPr>
                <w:rFonts w:ascii="Calibri" w:eastAsia="Calibri" w:hAnsi="Calibri" w:cs="Calibri"/>
                <w:color w:val="000000" w:themeColor="text1"/>
                <w:lang w:val="en-US"/>
              </w:rPr>
              <w:t xml:space="preserve">Diaspora </w:t>
            </w:r>
          </w:p>
        </w:tc>
        <w:tc>
          <w:tcPr>
            <w:tcW w:w="6919" w:type="dxa"/>
            <w:gridSpan w:val="2"/>
          </w:tcPr>
          <w:p w14:paraId="13DF818A" w14:textId="2A8D25A0" w:rsidR="00577F8F" w:rsidRPr="00577F8F" w:rsidRDefault="001D6622" w:rsidP="00577F8F">
            <w:pPr>
              <w:spacing w:after="120" w:line="259" w:lineRule="auto"/>
            </w:pPr>
            <w:r>
              <w:t>A</w:t>
            </w:r>
            <w:r w:rsidR="00577F8F" w:rsidRPr="00577F8F">
              <w:t xml:space="preserve"> term used to describe the mass, often involuntary dispersal of a population from a cent</w:t>
            </w:r>
            <w:r>
              <w:t>r</w:t>
            </w:r>
            <w:r w:rsidR="00577F8F" w:rsidRPr="00577F8F">
              <w:t>e (or homeland) to multiple areas and the creation of communities and identities based on the histories and consequences of dispersal.</w:t>
            </w:r>
            <w:r w:rsidR="00577F8F" w:rsidRPr="00577F8F">
              <w:rPr>
                <w:rStyle w:val="FootnoteReference"/>
              </w:rPr>
              <w:footnoteReference w:id="13"/>
            </w:r>
          </w:p>
        </w:tc>
      </w:tr>
      <w:tr w:rsidR="00F4312C" w:rsidRPr="00577F8F" w14:paraId="64C7F607" w14:textId="77777777" w:rsidTr="1F004222">
        <w:tc>
          <w:tcPr>
            <w:tcW w:w="2106" w:type="dxa"/>
          </w:tcPr>
          <w:p w14:paraId="487D4029" w14:textId="77777777" w:rsidR="00577F8F" w:rsidRPr="00577F8F" w:rsidRDefault="00577F8F" w:rsidP="00577F8F">
            <w:pPr>
              <w:spacing w:after="120" w:line="259" w:lineRule="auto"/>
            </w:pPr>
            <w:r w:rsidRPr="00577F8F">
              <w:t xml:space="preserve">Ethnic communities </w:t>
            </w:r>
          </w:p>
        </w:tc>
        <w:tc>
          <w:tcPr>
            <w:tcW w:w="6919" w:type="dxa"/>
            <w:gridSpan w:val="2"/>
          </w:tcPr>
          <w:p w14:paraId="08133AEB" w14:textId="0D7C6180" w:rsidR="00577F8F" w:rsidRPr="00577F8F" w:rsidRDefault="00CD3E06" w:rsidP="00577F8F">
            <w:pPr>
              <w:spacing w:after="120" w:line="259" w:lineRule="auto"/>
            </w:pPr>
            <w:r>
              <w:t>A</w:t>
            </w:r>
            <w:r w:rsidR="00577F8F" w:rsidRPr="00577F8F">
              <w:t>n umbrella term that in the Aotearoa context captures a diverse group representing over 200 ethnicities and speaking over 170 languages</w:t>
            </w:r>
            <w:r>
              <w:t>.</w:t>
            </w:r>
            <w:r w:rsidR="00577F8F" w:rsidRPr="00577F8F">
              <w:rPr>
                <w:rStyle w:val="FootnoteReference"/>
              </w:rPr>
              <w:footnoteReference w:id="14"/>
            </w:r>
            <w:r w:rsidR="00577F8F" w:rsidRPr="00577F8F">
              <w:t xml:space="preserve"> The New Zealand Government defines ethnic communities as Asian, African, Continental European, Latin American</w:t>
            </w:r>
            <w:r w:rsidR="00E17B0A">
              <w:t>,</w:t>
            </w:r>
            <w:r w:rsidR="00577F8F" w:rsidRPr="00577F8F">
              <w:t xml:space="preserve"> and Middle Eastern</w:t>
            </w:r>
            <w:r>
              <w:t>.</w:t>
            </w:r>
            <w:r w:rsidR="00577F8F" w:rsidRPr="00577F8F">
              <w:rPr>
                <w:rStyle w:val="FootnoteReference"/>
              </w:rPr>
              <w:footnoteReference w:id="15"/>
            </w:r>
            <w:r w:rsidR="00577F8F" w:rsidRPr="00577F8F">
              <w:t xml:space="preserve"> </w:t>
            </w:r>
          </w:p>
        </w:tc>
      </w:tr>
      <w:tr w:rsidR="00F4312C" w:rsidRPr="00577F8F" w14:paraId="72593162" w14:textId="77777777" w:rsidTr="1F004222">
        <w:tc>
          <w:tcPr>
            <w:tcW w:w="2106" w:type="dxa"/>
          </w:tcPr>
          <w:p w14:paraId="66364E45" w14:textId="77777777" w:rsidR="00577F8F" w:rsidRPr="00577F8F" w:rsidRDefault="00577F8F" w:rsidP="00577F8F">
            <w:pPr>
              <w:spacing w:after="120" w:line="259" w:lineRule="auto"/>
            </w:pPr>
            <w:r w:rsidRPr="00577F8F">
              <w:t xml:space="preserve">Gender </w:t>
            </w:r>
          </w:p>
        </w:tc>
        <w:tc>
          <w:tcPr>
            <w:tcW w:w="6919" w:type="dxa"/>
            <w:gridSpan w:val="2"/>
          </w:tcPr>
          <w:p w14:paraId="4C65A434" w14:textId="272B1F45" w:rsidR="00577F8F" w:rsidRPr="00577F8F" w:rsidRDefault="00CD3E06" w:rsidP="00577F8F">
            <w:pPr>
              <w:spacing w:after="120" w:line="259" w:lineRule="auto"/>
            </w:pPr>
            <w:r>
              <w:t>S</w:t>
            </w:r>
            <w:r w:rsidR="00577F8F" w:rsidRPr="00577F8F">
              <w:t>omeone’s social and personal identity as male, female, or another gender or genders that may be non-binary. Gender include</w:t>
            </w:r>
            <w:r w:rsidR="002576FA">
              <w:t>s</w:t>
            </w:r>
            <w:r w:rsidR="00577F8F" w:rsidRPr="00577F8F">
              <w:t xml:space="preserve"> gender identity and</w:t>
            </w:r>
            <w:r w:rsidR="002576FA">
              <w:t xml:space="preserve"> its</w:t>
            </w:r>
            <w:r w:rsidR="00577F8F" w:rsidRPr="00577F8F">
              <w:t xml:space="preserve"> gender expression. A person</w:t>
            </w:r>
            <w:r>
              <w:t>’</w:t>
            </w:r>
            <w:r w:rsidR="00577F8F" w:rsidRPr="00577F8F">
              <w:t xml:space="preserve">s current gender may differ from the sex recorded at their birth and may differ from what is indicated on their </w:t>
            </w:r>
            <w:r w:rsidR="00577F8F" w:rsidRPr="00577F8F">
              <w:lastRenderedPageBreak/>
              <w:t>current legal documents. A person’s gender may change over time. Some people may not identify with any gender.</w:t>
            </w:r>
            <w:r w:rsidR="00577F8F" w:rsidRPr="00577F8F">
              <w:rPr>
                <w:rStyle w:val="FootnoteReference"/>
              </w:rPr>
              <w:footnoteReference w:id="16"/>
            </w:r>
          </w:p>
        </w:tc>
      </w:tr>
      <w:tr w:rsidR="00F4312C" w:rsidRPr="00577F8F" w14:paraId="0927BB63" w14:textId="77777777" w:rsidTr="1F004222">
        <w:tc>
          <w:tcPr>
            <w:tcW w:w="2106" w:type="dxa"/>
          </w:tcPr>
          <w:p w14:paraId="62C87C47"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lastRenderedPageBreak/>
              <w:t xml:space="preserve">Gender affirmation </w:t>
            </w:r>
          </w:p>
        </w:tc>
        <w:tc>
          <w:tcPr>
            <w:tcW w:w="6919" w:type="dxa"/>
            <w:gridSpan w:val="2"/>
          </w:tcPr>
          <w:p w14:paraId="40549D6A" w14:textId="3C5B6E5C" w:rsidR="00577F8F" w:rsidRPr="00577F8F" w:rsidRDefault="002A5F08"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A</w:t>
            </w:r>
            <w:r w:rsidR="00577F8F" w:rsidRPr="00577F8F">
              <w:rPr>
                <w:rFonts w:ascii="Calibri" w:eastAsia="Times New Roman" w:hAnsi="Calibri" w:cs="Calibri"/>
                <w:lang w:val="en-US" w:eastAsia="en-NZ"/>
              </w:rPr>
              <w:t>n umbrella term for a range of actions and possibilities involved in</w:t>
            </w:r>
            <w:r w:rsidR="002576FA">
              <w:rPr>
                <w:rFonts w:ascii="Calibri" w:eastAsia="Times New Roman" w:hAnsi="Calibri" w:cs="Calibri"/>
                <w:lang w:val="en-US" w:eastAsia="en-NZ"/>
              </w:rPr>
              <w:t xml:space="preserve"> a person</w:t>
            </w:r>
            <w:r w:rsidR="00577F8F" w:rsidRPr="00577F8F">
              <w:rPr>
                <w:rFonts w:ascii="Calibri" w:eastAsia="Times New Roman" w:hAnsi="Calibri" w:cs="Calibri"/>
                <w:lang w:val="en-US" w:eastAsia="en-NZ"/>
              </w:rPr>
              <w:t xml:space="preserve"> living, surviving, and thriving as </w:t>
            </w:r>
            <w:r w:rsidR="002576FA">
              <w:rPr>
                <w:rFonts w:ascii="Calibri" w:eastAsia="Times New Roman" w:hAnsi="Calibri" w:cs="Calibri"/>
                <w:lang w:val="en-US" w:eastAsia="en-NZ"/>
              </w:rPr>
              <w:t>their</w:t>
            </w:r>
            <w:r w:rsidR="002576FA" w:rsidRPr="00577F8F">
              <w:rPr>
                <w:rFonts w:ascii="Calibri" w:eastAsia="Times New Roman" w:hAnsi="Calibri" w:cs="Calibri"/>
                <w:lang w:val="en-US" w:eastAsia="en-NZ"/>
              </w:rPr>
              <w:t xml:space="preserve"> </w:t>
            </w:r>
            <w:r w:rsidR="00577F8F" w:rsidRPr="00577F8F">
              <w:rPr>
                <w:rFonts w:ascii="Calibri" w:eastAsia="Times New Roman" w:hAnsi="Calibri" w:cs="Calibri"/>
                <w:lang w:val="en-US" w:eastAsia="en-NZ"/>
              </w:rPr>
              <w:t xml:space="preserve">authentic gendered self. What this looks like for each individual trans person is unique and based on what is personally affirming for them, what feels safe to do, and what is accessible and available. For a trans or non-binary person, gender affirmation may include changing their name or pronouns, wearing different clothes, cutting/growing hair, engaging in speech and language therapy, taking gender-affirming hormones, or having surgery or surgeries. </w:t>
            </w:r>
          </w:p>
        </w:tc>
      </w:tr>
      <w:tr w:rsidR="00F4312C" w:rsidRPr="00577F8F" w14:paraId="33D6F35F" w14:textId="77777777" w:rsidTr="1F004222">
        <w:tc>
          <w:tcPr>
            <w:tcW w:w="2106" w:type="dxa"/>
          </w:tcPr>
          <w:p w14:paraId="544C6A34"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Gender conforming </w:t>
            </w:r>
          </w:p>
        </w:tc>
        <w:tc>
          <w:tcPr>
            <w:tcW w:w="6919" w:type="dxa"/>
            <w:gridSpan w:val="2"/>
          </w:tcPr>
          <w:p w14:paraId="1293314C" w14:textId="1AA5A687" w:rsidR="00577F8F" w:rsidRPr="00577F8F" w:rsidRDefault="00A752B0"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R</w:t>
            </w:r>
            <w:r w:rsidR="00577F8F" w:rsidRPr="00577F8F">
              <w:rPr>
                <w:rFonts w:ascii="Calibri" w:eastAsia="Times New Roman" w:hAnsi="Calibri" w:cs="Calibri"/>
                <w:lang w:val="en-US" w:eastAsia="en-NZ"/>
              </w:rPr>
              <w:t>efers to an individual or a behaviour that is consistent with gender</w:t>
            </w:r>
            <w:r w:rsidR="00C04025">
              <w:rPr>
                <w:rFonts w:ascii="Calibri" w:eastAsia="Times New Roman" w:hAnsi="Calibri" w:cs="Calibri"/>
                <w:lang w:val="en-US" w:eastAsia="en-NZ"/>
              </w:rPr>
              <w:t>ed</w:t>
            </w:r>
            <w:r w:rsidR="00577F8F" w:rsidRPr="00577F8F">
              <w:rPr>
                <w:rFonts w:ascii="Calibri" w:eastAsia="Times New Roman" w:hAnsi="Calibri" w:cs="Calibri"/>
                <w:lang w:val="en-US" w:eastAsia="en-NZ"/>
              </w:rPr>
              <w:t xml:space="preserve"> expectations of a society. Gender conformity can include dress, work, childcare, or leisure activities. For example, in most societies</w:t>
            </w:r>
            <w:r>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it is gender conforming to expect women to be responsible for most household duties and childcare. </w:t>
            </w:r>
          </w:p>
        </w:tc>
      </w:tr>
      <w:tr w:rsidR="00F4312C" w:rsidRPr="00577F8F" w14:paraId="6282C964" w14:textId="77777777" w:rsidTr="1F004222">
        <w:tc>
          <w:tcPr>
            <w:tcW w:w="2106" w:type="dxa"/>
          </w:tcPr>
          <w:p w14:paraId="58435748"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Gender expression </w:t>
            </w:r>
          </w:p>
        </w:tc>
        <w:tc>
          <w:tcPr>
            <w:tcW w:w="6919" w:type="dxa"/>
            <w:gridSpan w:val="2"/>
          </w:tcPr>
          <w:p w14:paraId="2A7841D8" w14:textId="66DCB250" w:rsidR="00577F8F" w:rsidRPr="00577F8F" w:rsidRDefault="00A752B0"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R</w:t>
            </w:r>
            <w:r w:rsidR="00577F8F" w:rsidRPr="00577F8F">
              <w:rPr>
                <w:rFonts w:ascii="Calibri" w:eastAsia="Times New Roman" w:hAnsi="Calibri" w:cs="Calibri"/>
                <w:lang w:val="en-US" w:eastAsia="en-NZ"/>
              </w:rPr>
              <w:t xml:space="preserve">efers to a person’s physical presentation of gender – including dress, hairstyles, accessories, and cosmetics – and mannerisms, speech, behavioural patterns, names, and personal references. Gender expression may or may not conform to a person’s gender identity. </w:t>
            </w:r>
          </w:p>
        </w:tc>
      </w:tr>
      <w:tr w:rsidR="00F4312C" w:rsidRPr="00577F8F" w14:paraId="71184DE7" w14:textId="77777777" w:rsidTr="1F004222">
        <w:tc>
          <w:tcPr>
            <w:tcW w:w="2106" w:type="dxa"/>
          </w:tcPr>
          <w:p w14:paraId="4E74FDEF"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Gender identity </w:t>
            </w:r>
          </w:p>
        </w:tc>
        <w:tc>
          <w:tcPr>
            <w:tcW w:w="6919" w:type="dxa"/>
            <w:gridSpan w:val="2"/>
          </w:tcPr>
          <w:p w14:paraId="793E9648" w14:textId="7F8B3654" w:rsidR="00577F8F" w:rsidRPr="00577F8F" w:rsidRDefault="00A752B0"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R</w:t>
            </w:r>
            <w:r w:rsidR="00577F8F" w:rsidRPr="00577F8F">
              <w:rPr>
                <w:rFonts w:ascii="Calibri" w:eastAsia="Times New Roman" w:hAnsi="Calibri" w:cs="Calibri"/>
                <w:lang w:val="en-US" w:eastAsia="en-NZ"/>
              </w:rPr>
              <w:t>efers to a person’s deeply felt internal and individual experience of gender, which may or may not correspond with the sex assigned at their birth. This includes their sense of their body and other expressions of gender</w:t>
            </w:r>
            <w:r>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including dress, speech, and mannerisms. </w:t>
            </w:r>
          </w:p>
        </w:tc>
      </w:tr>
      <w:tr w:rsidR="00F4312C" w:rsidRPr="00577F8F" w14:paraId="5A5AFE29" w14:textId="77777777" w:rsidTr="1F004222">
        <w:tc>
          <w:tcPr>
            <w:tcW w:w="2106" w:type="dxa"/>
          </w:tcPr>
          <w:p w14:paraId="4C717999"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Gender transition </w:t>
            </w:r>
          </w:p>
        </w:tc>
        <w:tc>
          <w:tcPr>
            <w:tcW w:w="6919" w:type="dxa"/>
            <w:gridSpan w:val="2"/>
          </w:tcPr>
          <w:p w14:paraId="3852C4F7" w14:textId="1252908E" w:rsidR="00577F8F" w:rsidRPr="00577F8F" w:rsidRDefault="00A752B0" w:rsidP="00577F8F">
            <w:pPr>
              <w:spacing w:after="120" w:line="259" w:lineRule="auto"/>
              <w:rPr>
                <w:rFonts w:ascii="Calibri" w:eastAsia="Times New Roman" w:hAnsi="Calibri" w:cs="Calibri"/>
                <w:lang w:val="en-US" w:eastAsia="en-NZ"/>
              </w:rPr>
            </w:pPr>
            <w:bookmarkStart w:id="11" w:name="_Int_rnGJmVgp"/>
            <w:r>
              <w:rPr>
                <w:rFonts w:ascii="Calibri" w:eastAsia="Times New Roman" w:hAnsi="Calibri" w:cs="Calibri"/>
                <w:lang w:val="en-US" w:eastAsia="en-NZ"/>
              </w:rPr>
              <w:t>S</w:t>
            </w:r>
            <w:r w:rsidR="00577F8F" w:rsidRPr="00577F8F">
              <w:rPr>
                <w:rFonts w:ascii="Calibri" w:eastAsia="Times New Roman" w:hAnsi="Calibri" w:cs="Calibri"/>
                <w:lang w:val="en-US" w:eastAsia="en-NZ"/>
              </w:rPr>
              <w:t>imilar to</w:t>
            </w:r>
            <w:bookmarkEnd w:id="11"/>
            <w:r w:rsidR="00577F8F" w:rsidRPr="00577F8F">
              <w:rPr>
                <w:rFonts w:ascii="Calibri" w:eastAsia="Times New Roman" w:hAnsi="Calibri" w:cs="Calibri"/>
                <w:lang w:val="en-US" w:eastAsia="en-NZ"/>
              </w:rPr>
              <w:t xml:space="preserve"> gender affirmation in that it is used to describe steps that may be taken towards one’s true gender. While many people use this term, for others</w:t>
            </w:r>
            <w:r w:rsidR="0074146B">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it positions trans experiences narrowly in a linear way and solely through the lens of medical intervention. </w:t>
            </w:r>
          </w:p>
        </w:tc>
      </w:tr>
      <w:tr w:rsidR="000C75E6" w:rsidRPr="00577F8F" w14:paraId="7D7730FC" w14:textId="77777777" w:rsidTr="1F004222">
        <w:trPr>
          <w:gridAfter w:val="1"/>
          <w:wAfter w:w="352" w:type="dxa"/>
        </w:trPr>
        <w:tc>
          <w:tcPr>
            <w:tcW w:w="2106" w:type="dxa"/>
          </w:tcPr>
          <w:p w14:paraId="248DEECD" w14:textId="404CF61B" w:rsidR="000D60D7" w:rsidRPr="00577F8F" w:rsidRDefault="000D60D7" w:rsidP="00577F8F">
            <w:pPr>
              <w:spacing w:after="120"/>
            </w:pPr>
            <w:r>
              <w:t>Heteronormativity</w:t>
            </w:r>
          </w:p>
        </w:tc>
        <w:tc>
          <w:tcPr>
            <w:tcW w:w="6567" w:type="dxa"/>
          </w:tcPr>
          <w:p w14:paraId="740EF919" w14:textId="1CB9B47E" w:rsidR="000D60D7" w:rsidRPr="007B139B" w:rsidRDefault="000D60D7" w:rsidP="007B139B">
            <w:pPr>
              <w:pStyle w:val="FootnoteText"/>
              <w:rPr>
                <w:lang w:val="mi-NZ"/>
              </w:rPr>
            </w:pPr>
            <w:r w:rsidRPr="000D60D7">
              <w:rPr>
                <w:sz w:val="22"/>
                <w:szCs w:val="22"/>
              </w:rPr>
              <w:t>The concept that being heterosexual is preferred, or the only norm.</w:t>
            </w:r>
          </w:p>
        </w:tc>
      </w:tr>
      <w:tr w:rsidR="00F4312C" w:rsidRPr="00577F8F" w14:paraId="3CCF7F16" w14:textId="77777777" w:rsidTr="1F004222">
        <w:tc>
          <w:tcPr>
            <w:tcW w:w="2106" w:type="dxa"/>
          </w:tcPr>
          <w:p w14:paraId="6FD56134" w14:textId="77777777" w:rsidR="00577F8F" w:rsidRPr="00577F8F" w:rsidRDefault="00577F8F" w:rsidP="00577F8F">
            <w:pPr>
              <w:spacing w:after="120" w:line="259" w:lineRule="auto"/>
            </w:pPr>
            <w:r w:rsidRPr="00577F8F">
              <w:t xml:space="preserve">Indoctrination </w:t>
            </w:r>
          </w:p>
        </w:tc>
        <w:tc>
          <w:tcPr>
            <w:tcW w:w="6919" w:type="dxa"/>
            <w:gridSpan w:val="2"/>
          </w:tcPr>
          <w:p w14:paraId="67FF00D3" w14:textId="568D4A13" w:rsidR="00577F8F" w:rsidRPr="00577F8F" w:rsidRDefault="0074146B" w:rsidP="00577F8F">
            <w:pPr>
              <w:spacing w:after="120" w:line="259" w:lineRule="auto"/>
            </w:pPr>
            <w:r>
              <w:t>T</w:t>
            </w:r>
            <w:r w:rsidR="00577F8F" w:rsidRPr="00577F8F">
              <w:t>he process over time of repeatedly teaching a set of beliefs until they are accepted without question or criticism.</w:t>
            </w:r>
          </w:p>
        </w:tc>
      </w:tr>
      <w:tr w:rsidR="00F4312C" w:rsidRPr="00577F8F" w14:paraId="767297FA" w14:textId="77777777" w:rsidTr="1F004222">
        <w:tc>
          <w:tcPr>
            <w:tcW w:w="2106" w:type="dxa"/>
          </w:tcPr>
          <w:p w14:paraId="7F4B4010"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Intersectionality </w:t>
            </w:r>
          </w:p>
        </w:tc>
        <w:tc>
          <w:tcPr>
            <w:tcW w:w="6919" w:type="dxa"/>
            <w:gridSpan w:val="2"/>
          </w:tcPr>
          <w:p w14:paraId="04E59430" w14:textId="0DDE456D" w:rsidR="00577F8F" w:rsidRPr="00577F8F" w:rsidRDefault="00E17B0A"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R</w:t>
            </w:r>
            <w:r w:rsidR="00577F8F" w:rsidRPr="00577F8F">
              <w:rPr>
                <w:rFonts w:ascii="Calibri" w:eastAsia="Times New Roman" w:hAnsi="Calibri" w:cs="Calibri"/>
                <w:lang w:val="en-US" w:eastAsia="en-NZ"/>
              </w:rPr>
              <w:t>efers to ways in which people can experience overlapping and intersecting disadvantage and discrimination based on multiple identities such as their ethnicity, race, class, gender identity, sexual orientation</w:t>
            </w:r>
            <w:r>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and religion (among others). In the context of this report, it is a way to differentiate the experiences of, for example, a person who is takatāpui from someone who is a Pākehā gay man. </w:t>
            </w:r>
          </w:p>
        </w:tc>
      </w:tr>
      <w:tr w:rsidR="00F4312C" w:rsidRPr="00577F8F" w14:paraId="01E08A59" w14:textId="77777777" w:rsidTr="1F004222">
        <w:tc>
          <w:tcPr>
            <w:tcW w:w="2106" w:type="dxa"/>
          </w:tcPr>
          <w:p w14:paraId="253D47E9"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Intersex </w:t>
            </w:r>
          </w:p>
        </w:tc>
        <w:tc>
          <w:tcPr>
            <w:tcW w:w="6919" w:type="dxa"/>
            <w:gridSpan w:val="2"/>
          </w:tcPr>
          <w:p w14:paraId="3AFC7350" w14:textId="27BD71BD" w:rsidR="00577F8F" w:rsidRPr="00577F8F" w:rsidRDefault="00E17B0A"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A</w:t>
            </w:r>
            <w:r w:rsidR="00577F8F" w:rsidRPr="00577F8F">
              <w:rPr>
                <w:rFonts w:ascii="Calibri" w:eastAsia="Times New Roman" w:hAnsi="Calibri" w:cs="Calibri"/>
                <w:lang w:val="en-US" w:eastAsia="en-NZ"/>
              </w:rPr>
              <w:t xml:space="preserve">n umbrella term used to describe a range of natural variations in the human body, specifically the innate variations in someone’s sex characteristics (including hormones, chromosomes, and internal/external </w:t>
            </w:r>
            <w:r w:rsidR="00C04025">
              <w:rPr>
                <w:rFonts w:ascii="Calibri" w:eastAsia="Times New Roman" w:hAnsi="Calibri" w:cs="Calibri"/>
                <w:lang w:val="en-US" w:eastAsia="en-NZ"/>
              </w:rPr>
              <w:t xml:space="preserve">reproductive </w:t>
            </w:r>
            <w:r w:rsidR="00577F8F" w:rsidRPr="00577F8F">
              <w:rPr>
                <w:rFonts w:ascii="Calibri" w:eastAsia="Times New Roman" w:hAnsi="Calibri" w:cs="Calibri"/>
                <w:lang w:val="en-US" w:eastAsia="en-NZ"/>
              </w:rPr>
              <w:t xml:space="preserve">anatomy). </w:t>
            </w:r>
          </w:p>
        </w:tc>
      </w:tr>
      <w:tr w:rsidR="00F4312C" w:rsidRPr="00577F8F" w14:paraId="77841B31" w14:textId="77777777" w:rsidTr="1F004222">
        <w:tc>
          <w:tcPr>
            <w:tcW w:w="2106" w:type="dxa"/>
          </w:tcPr>
          <w:p w14:paraId="1E283A59"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lastRenderedPageBreak/>
              <w:t xml:space="preserve">LGBTQIA+ </w:t>
            </w:r>
          </w:p>
        </w:tc>
        <w:tc>
          <w:tcPr>
            <w:tcW w:w="6919" w:type="dxa"/>
            <w:gridSpan w:val="2"/>
          </w:tcPr>
          <w:p w14:paraId="08531CCA" w14:textId="500B5177" w:rsidR="00577F8F" w:rsidRPr="00577F8F" w:rsidRDefault="00E17B0A" w:rsidP="00577F8F">
            <w:pPr>
              <w:spacing w:after="120" w:line="259" w:lineRule="auto"/>
              <w:rPr>
                <w:rFonts w:ascii="Segoe UI" w:eastAsia="Times New Roman" w:hAnsi="Segoe UI" w:cs="Segoe UI"/>
                <w:sz w:val="18"/>
                <w:szCs w:val="18"/>
                <w:lang w:eastAsia="en-NZ"/>
              </w:rPr>
            </w:pPr>
            <w:r>
              <w:rPr>
                <w:rFonts w:ascii="Calibri" w:eastAsia="Times New Roman" w:hAnsi="Calibri" w:cs="Calibri"/>
                <w:lang w:val="en-US" w:eastAsia="en-NZ"/>
              </w:rPr>
              <w:t>A</w:t>
            </w:r>
            <w:r w:rsidR="00577F8F" w:rsidRPr="00577F8F">
              <w:rPr>
                <w:rFonts w:ascii="Calibri" w:eastAsia="Times New Roman" w:hAnsi="Calibri" w:cs="Calibri"/>
                <w:lang w:val="en-US" w:eastAsia="en-NZ"/>
              </w:rPr>
              <w:t>n acronym for different identities</w:t>
            </w:r>
            <w:r>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including </w:t>
            </w:r>
            <w:r>
              <w:rPr>
                <w:rFonts w:ascii="Calibri" w:eastAsia="Times New Roman" w:hAnsi="Calibri" w:cs="Calibri"/>
                <w:lang w:val="en-US" w:eastAsia="en-NZ"/>
              </w:rPr>
              <w:t>l</w:t>
            </w:r>
            <w:r w:rsidR="00577F8F" w:rsidRPr="00577F8F">
              <w:rPr>
                <w:rFonts w:ascii="Calibri" w:eastAsia="Times New Roman" w:hAnsi="Calibri" w:cs="Calibri"/>
                <w:lang w:val="en-US" w:eastAsia="en-NZ"/>
              </w:rPr>
              <w:t xml:space="preserve">esbian, </w:t>
            </w:r>
            <w:r>
              <w:rPr>
                <w:rFonts w:ascii="Calibri" w:eastAsia="Times New Roman" w:hAnsi="Calibri" w:cs="Calibri"/>
                <w:lang w:val="en-US" w:eastAsia="en-NZ"/>
              </w:rPr>
              <w:t>g</w:t>
            </w:r>
            <w:r w:rsidR="00577F8F" w:rsidRPr="00577F8F">
              <w:rPr>
                <w:rFonts w:ascii="Calibri" w:eastAsia="Times New Roman" w:hAnsi="Calibri" w:cs="Calibri"/>
                <w:lang w:val="en-US" w:eastAsia="en-NZ"/>
              </w:rPr>
              <w:t xml:space="preserve">ay, </w:t>
            </w:r>
            <w:r>
              <w:rPr>
                <w:rFonts w:ascii="Calibri" w:eastAsia="Times New Roman" w:hAnsi="Calibri" w:cs="Calibri"/>
                <w:lang w:val="en-US" w:eastAsia="en-NZ"/>
              </w:rPr>
              <w:t>b</w:t>
            </w:r>
            <w:r w:rsidR="00577F8F" w:rsidRPr="00577F8F">
              <w:rPr>
                <w:rFonts w:ascii="Calibri" w:eastAsia="Times New Roman" w:hAnsi="Calibri" w:cs="Calibri"/>
                <w:lang w:val="en-US" w:eastAsia="en-NZ"/>
              </w:rPr>
              <w:t xml:space="preserve">isexual, </w:t>
            </w:r>
            <w:r>
              <w:rPr>
                <w:rFonts w:ascii="Calibri" w:eastAsia="Times New Roman" w:hAnsi="Calibri" w:cs="Calibri"/>
                <w:lang w:val="en-US" w:eastAsia="en-NZ"/>
              </w:rPr>
              <w:t>t</w:t>
            </w:r>
            <w:r w:rsidR="00577F8F" w:rsidRPr="00577F8F">
              <w:rPr>
                <w:rFonts w:ascii="Calibri" w:eastAsia="Times New Roman" w:hAnsi="Calibri" w:cs="Calibri"/>
                <w:lang w:val="en-US" w:eastAsia="en-NZ"/>
              </w:rPr>
              <w:t xml:space="preserve">ransgender, </w:t>
            </w:r>
            <w:r>
              <w:rPr>
                <w:rFonts w:ascii="Calibri" w:eastAsia="Times New Roman" w:hAnsi="Calibri" w:cs="Calibri"/>
                <w:lang w:val="en-US" w:eastAsia="en-NZ"/>
              </w:rPr>
              <w:t>q</w:t>
            </w:r>
            <w:r w:rsidR="00577F8F" w:rsidRPr="00577F8F">
              <w:rPr>
                <w:rFonts w:ascii="Calibri" w:eastAsia="Times New Roman" w:hAnsi="Calibri" w:cs="Calibri"/>
                <w:lang w:val="en-US" w:eastAsia="en-NZ"/>
              </w:rPr>
              <w:t xml:space="preserve">ueer, </w:t>
            </w:r>
            <w:r>
              <w:rPr>
                <w:rFonts w:ascii="Calibri" w:eastAsia="Times New Roman" w:hAnsi="Calibri" w:cs="Calibri"/>
                <w:lang w:val="en-US" w:eastAsia="en-NZ"/>
              </w:rPr>
              <w:t>i</w:t>
            </w:r>
            <w:r w:rsidR="00577F8F" w:rsidRPr="00577F8F">
              <w:rPr>
                <w:rFonts w:ascii="Calibri" w:eastAsia="Times New Roman" w:hAnsi="Calibri" w:cs="Calibri"/>
                <w:lang w:val="en-US" w:eastAsia="en-NZ"/>
              </w:rPr>
              <w:t>ntersex</w:t>
            </w:r>
            <w:r>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and </w:t>
            </w:r>
            <w:r>
              <w:rPr>
                <w:rFonts w:ascii="Calibri" w:eastAsia="Times New Roman" w:hAnsi="Calibri" w:cs="Calibri"/>
                <w:lang w:val="en-US" w:eastAsia="en-NZ"/>
              </w:rPr>
              <w:t>a</w:t>
            </w:r>
            <w:r w:rsidR="00577F8F" w:rsidRPr="00577F8F">
              <w:rPr>
                <w:rFonts w:ascii="Calibri" w:eastAsia="Times New Roman" w:hAnsi="Calibri" w:cs="Calibri"/>
                <w:lang w:val="en-US" w:eastAsia="en-NZ"/>
              </w:rPr>
              <w:t xml:space="preserve">sexual. The plus is used to include other terms not listed. </w:t>
            </w:r>
          </w:p>
        </w:tc>
      </w:tr>
      <w:tr w:rsidR="00F4312C" w:rsidRPr="00577F8F" w14:paraId="7070499C" w14:textId="77777777" w:rsidTr="1F004222">
        <w:tc>
          <w:tcPr>
            <w:tcW w:w="2106" w:type="dxa"/>
          </w:tcPr>
          <w:p w14:paraId="22140E47"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Missionisation </w:t>
            </w:r>
          </w:p>
        </w:tc>
        <w:tc>
          <w:tcPr>
            <w:tcW w:w="6919" w:type="dxa"/>
            <w:gridSpan w:val="2"/>
          </w:tcPr>
          <w:p w14:paraId="76748DC9" w14:textId="5FF23A1F" w:rsidR="00577F8F" w:rsidRPr="00577F8F" w:rsidRDefault="00E17B0A" w:rsidP="00577F8F">
            <w:pPr>
              <w:spacing w:after="120" w:line="259" w:lineRule="auto"/>
              <w:rPr>
                <w:rFonts w:ascii="Segoe UI" w:eastAsia="Times New Roman" w:hAnsi="Segoe UI" w:cs="Segoe UI"/>
                <w:sz w:val="18"/>
                <w:szCs w:val="18"/>
                <w:lang w:eastAsia="en-NZ"/>
              </w:rPr>
            </w:pPr>
            <w:r>
              <w:rPr>
                <w:rFonts w:ascii="Calibri" w:eastAsia="Times New Roman" w:hAnsi="Calibri" w:cs="Calibri"/>
                <w:lang w:val="en-US" w:eastAsia="en-NZ"/>
              </w:rPr>
              <w:t>A</w:t>
            </w:r>
            <w:r w:rsidR="00577F8F" w:rsidRPr="00577F8F">
              <w:rPr>
                <w:rFonts w:ascii="Calibri" w:eastAsia="Times New Roman" w:hAnsi="Calibri" w:cs="Calibri"/>
                <w:lang w:val="en-US" w:eastAsia="en-NZ"/>
              </w:rPr>
              <w:t xml:space="preserve"> term that means to carry out missionary work</w:t>
            </w:r>
            <w:r w:rsidR="00B57319">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often refers to the way Western Christian missionaries engage with non-Western Indigenous peoples around the world. Both historic</w:t>
            </w:r>
            <w:r>
              <w:rPr>
                <w:rFonts w:ascii="Calibri" w:eastAsia="Times New Roman" w:hAnsi="Calibri" w:cs="Calibri"/>
                <w:lang w:val="en-US" w:eastAsia="en-NZ"/>
              </w:rPr>
              <w:t>al</w:t>
            </w:r>
            <w:r w:rsidR="00577F8F" w:rsidRPr="00577F8F">
              <w:rPr>
                <w:rFonts w:ascii="Calibri" w:eastAsia="Times New Roman" w:hAnsi="Calibri" w:cs="Calibri"/>
                <w:lang w:val="en-US" w:eastAsia="en-NZ"/>
              </w:rPr>
              <w:t xml:space="preserve"> and contemporary missionaries operate at the intersection of colonialism and the process of religious evangelism. </w:t>
            </w:r>
          </w:p>
        </w:tc>
      </w:tr>
      <w:tr w:rsidR="00F4312C" w:rsidRPr="00577F8F" w14:paraId="2D28450C" w14:textId="77777777" w:rsidTr="1F004222">
        <w:tc>
          <w:tcPr>
            <w:tcW w:w="2106" w:type="dxa"/>
          </w:tcPr>
          <w:p w14:paraId="1EC4CD9A"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MVPFAFF+ </w:t>
            </w:r>
          </w:p>
        </w:tc>
        <w:tc>
          <w:tcPr>
            <w:tcW w:w="6919" w:type="dxa"/>
            <w:gridSpan w:val="2"/>
          </w:tcPr>
          <w:p w14:paraId="7F103E05" w14:textId="748A24A6" w:rsidR="00577F8F" w:rsidRPr="00577F8F" w:rsidRDefault="00E17B0A" w:rsidP="00577F8F">
            <w:pPr>
              <w:spacing w:after="120" w:line="259" w:lineRule="auto"/>
              <w:rPr>
                <w:rFonts w:ascii="Calibri" w:eastAsia="Times New Roman" w:hAnsi="Calibri" w:cs="Calibri"/>
                <w:lang w:val="en-US" w:eastAsia="en-NZ"/>
              </w:rPr>
            </w:pPr>
            <w:r>
              <w:rPr>
                <w:rFonts w:ascii="Calibri" w:eastAsia="Times New Roman" w:hAnsi="Calibri" w:cs="Calibri"/>
                <w:lang w:val="en-US" w:eastAsia="en-NZ"/>
              </w:rPr>
              <w:t>A</w:t>
            </w:r>
            <w:r w:rsidR="00577F8F" w:rsidRPr="00577F8F">
              <w:rPr>
                <w:rFonts w:ascii="Calibri" w:eastAsia="Times New Roman" w:hAnsi="Calibri" w:cs="Calibri"/>
                <w:lang w:val="en-US" w:eastAsia="en-NZ"/>
              </w:rPr>
              <w:t xml:space="preserve">n acronym </w:t>
            </w:r>
            <w:r w:rsidR="00774717">
              <w:rPr>
                <w:lang w:val="mi-NZ"/>
              </w:rPr>
              <w:t xml:space="preserve">used to describe Pacific </w:t>
            </w:r>
            <w:r w:rsidR="003C4B3B">
              <w:rPr>
                <w:lang w:val="mi-NZ"/>
              </w:rPr>
              <w:t>g</w:t>
            </w:r>
            <w:r w:rsidR="0086272A">
              <w:rPr>
                <w:lang w:val="mi-NZ"/>
              </w:rPr>
              <w:t>ender and sexuality diverse</w:t>
            </w:r>
            <w:r w:rsidR="00774717">
              <w:rPr>
                <w:lang w:val="mi-NZ"/>
              </w:rPr>
              <w:t xml:space="preserve"> identities</w:t>
            </w:r>
            <w:r w:rsidR="00774717" w:rsidRPr="00577F8F">
              <w:rPr>
                <w:rFonts w:ascii="Calibri" w:eastAsia="Times New Roman" w:hAnsi="Calibri" w:cs="Calibri"/>
                <w:lang w:val="en-US" w:eastAsia="en-NZ"/>
              </w:rPr>
              <w:t xml:space="preserve"> </w:t>
            </w:r>
            <w:r w:rsidR="00577F8F" w:rsidRPr="00577F8F">
              <w:rPr>
                <w:rFonts w:ascii="Calibri" w:eastAsia="Times New Roman" w:hAnsi="Calibri" w:cs="Calibri"/>
                <w:lang w:val="en-US" w:eastAsia="en-NZ"/>
              </w:rPr>
              <w:t xml:space="preserve">for </w:t>
            </w:r>
            <w:r>
              <w:rPr>
                <w:rFonts w:ascii="Calibri" w:eastAsia="Times New Roman" w:hAnsi="Calibri" w:cs="Calibri"/>
                <w:lang w:val="en-US" w:eastAsia="en-NZ"/>
              </w:rPr>
              <w:t>m</w:t>
            </w:r>
            <w:r w:rsidR="00577F8F" w:rsidRPr="00577F8F">
              <w:rPr>
                <w:rFonts w:ascii="Calibri" w:eastAsia="Times New Roman" w:hAnsi="Calibri" w:cs="Calibri"/>
                <w:lang w:val="en-US" w:eastAsia="en-NZ"/>
              </w:rPr>
              <w:t xml:space="preserve">āhū (Hawai’i and Tahiti), </w:t>
            </w:r>
            <w:r>
              <w:rPr>
                <w:rFonts w:ascii="Calibri" w:eastAsia="Times New Roman" w:hAnsi="Calibri" w:cs="Calibri"/>
                <w:lang w:val="en-US" w:eastAsia="en-NZ"/>
              </w:rPr>
              <w:t>v</w:t>
            </w:r>
            <w:r w:rsidR="00577F8F" w:rsidRPr="00577F8F">
              <w:rPr>
                <w:rFonts w:ascii="Calibri" w:eastAsia="Times New Roman" w:hAnsi="Calibri" w:cs="Calibri"/>
                <w:lang w:val="en-US" w:eastAsia="en-NZ"/>
              </w:rPr>
              <w:t xml:space="preserve">akasalewalewa (Fiji), </w:t>
            </w:r>
            <w:r>
              <w:rPr>
                <w:rFonts w:ascii="Calibri" w:eastAsia="Times New Roman" w:hAnsi="Calibri" w:cs="Calibri"/>
                <w:lang w:val="en-US" w:eastAsia="en-NZ"/>
              </w:rPr>
              <w:t>p</w:t>
            </w:r>
            <w:r w:rsidR="00577F8F" w:rsidRPr="00577F8F">
              <w:rPr>
                <w:rFonts w:ascii="Calibri" w:eastAsia="Times New Roman" w:hAnsi="Calibri" w:cs="Calibri"/>
                <w:lang w:val="en-US" w:eastAsia="en-NZ"/>
              </w:rPr>
              <w:t xml:space="preserve">alopa (Papua New Guinea), </w:t>
            </w:r>
            <w:r>
              <w:rPr>
                <w:rFonts w:ascii="Calibri" w:eastAsia="Times New Roman" w:hAnsi="Calibri" w:cs="Calibri"/>
                <w:lang w:val="en-US" w:eastAsia="en-NZ"/>
              </w:rPr>
              <w:t>f</w:t>
            </w:r>
            <w:r w:rsidR="00577F8F" w:rsidRPr="00577F8F">
              <w:rPr>
                <w:rFonts w:ascii="Calibri" w:eastAsia="Times New Roman" w:hAnsi="Calibri" w:cs="Calibri"/>
                <w:lang w:val="en-US" w:eastAsia="en-NZ"/>
              </w:rPr>
              <w:t>a’afafine (Samoa</w:t>
            </w:r>
            <w:r w:rsidR="00830725">
              <w:rPr>
                <w:rFonts w:ascii="Calibri" w:eastAsia="Times New Roman" w:hAnsi="Calibri" w:cs="Calibri"/>
                <w:lang w:val="en-US" w:eastAsia="en-NZ"/>
              </w:rPr>
              <w:t xml:space="preserve"> and American Samoa</w:t>
            </w:r>
            <w:r w:rsidR="00577F8F" w:rsidRPr="00577F8F">
              <w:rPr>
                <w:rFonts w:ascii="Calibri" w:eastAsia="Times New Roman" w:hAnsi="Calibri" w:cs="Calibri"/>
                <w:lang w:val="en-US" w:eastAsia="en-NZ"/>
              </w:rPr>
              <w:t xml:space="preserve">), </w:t>
            </w:r>
            <w:r w:rsidR="00830725">
              <w:rPr>
                <w:rFonts w:ascii="Calibri" w:eastAsia="Times New Roman" w:hAnsi="Calibri" w:cs="Calibri"/>
                <w:lang w:val="en-US" w:eastAsia="en-NZ"/>
              </w:rPr>
              <w:t>‘</w:t>
            </w:r>
            <w:r>
              <w:rPr>
                <w:rFonts w:ascii="Calibri" w:eastAsia="Times New Roman" w:hAnsi="Calibri" w:cs="Calibri"/>
                <w:lang w:val="en-US" w:eastAsia="en-NZ"/>
              </w:rPr>
              <w:t>a</w:t>
            </w:r>
            <w:r w:rsidR="00577F8F" w:rsidRPr="00577F8F">
              <w:rPr>
                <w:rFonts w:ascii="Calibri" w:eastAsia="Times New Roman" w:hAnsi="Calibri" w:cs="Calibri"/>
                <w:lang w:val="en-US" w:eastAsia="en-NZ"/>
              </w:rPr>
              <w:t>kavaine (</w:t>
            </w:r>
            <w:r w:rsidR="00830725">
              <w:rPr>
                <w:rFonts w:ascii="Calibri" w:eastAsia="Times New Roman" w:hAnsi="Calibri" w:cs="Calibri"/>
                <w:lang w:val="en-US" w:eastAsia="en-NZ"/>
              </w:rPr>
              <w:t>Cook Islands</w:t>
            </w:r>
            <w:r w:rsidR="00577F8F" w:rsidRPr="00577F8F">
              <w:rPr>
                <w:rFonts w:ascii="Calibri" w:eastAsia="Times New Roman" w:hAnsi="Calibri" w:cs="Calibri"/>
                <w:lang w:val="en-US" w:eastAsia="en-NZ"/>
              </w:rPr>
              <w:t xml:space="preserve">), </w:t>
            </w:r>
            <w:r>
              <w:rPr>
                <w:rFonts w:ascii="Calibri" w:eastAsia="Times New Roman" w:hAnsi="Calibri" w:cs="Calibri"/>
                <w:lang w:val="en-US" w:eastAsia="en-NZ"/>
              </w:rPr>
              <w:t>f</w:t>
            </w:r>
            <w:r w:rsidR="00577F8F" w:rsidRPr="00577F8F">
              <w:rPr>
                <w:rFonts w:ascii="Calibri" w:eastAsia="Times New Roman" w:hAnsi="Calibri" w:cs="Calibri"/>
                <w:lang w:val="en-US" w:eastAsia="en-NZ"/>
              </w:rPr>
              <w:t xml:space="preserve">akaleitī or leitī (Tonga), and </w:t>
            </w:r>
            <w:r>
              <w:rPr>
                <w:rFonts w:ascii="Calibri" w:eastAsia="Times New Roman" w:hAnsi="Calibri" w:cs="Calibri"/>
                <w:lang w:val="en-US" w:eastAsia="en-NZ"/>
              </w:rPr>
              <w:t>f</w:t>
            </w:r>
            <w:r w:rsidR="00577F8F" w:rsidRPr="00577F8F">
              <w:rPr>
                <w:rFonts w:ascii="Calibri" w:eastAsia="Times New Roman" w:hAnsi="Calibri" w:cs="Calibri"/>
                <w:lang w:val="en-US" w:eastAsia="en-NZ"/>
              </w:rPr>
              <w:t>akafifine (Niue).</w:t>
            </w:r>
            <w:r w:rsidR="00774717">
              <w:rPr>
                <w:rStyle w:val="FootnoteReference"/>
                <w:rFonts w:ascii="Calibri" w:eastAsia="Times New Roman" w:hAnsi="Calibri" w:cs="Calibri"/>
                <w:lang w:val="en-US" w:eastAsia="en-NZ"/>
              </w:rPr>
              <w:footnoteReference w:id="17"/>
            </w:r>
            <w:r w:rsidR="00577F8F" w:rsidRPr="00577F8F">
              <w:rPr>
                <w:rFonts w:ascii="Calibri" w:eastAsia="Times New Roman" w:hAnsi="Calibri" w:cs="Calibri"/>
                <w:lang w:val="en-US" w:eastAsia="en-NZ"/>
              </w:rPr>
              <w:t xml:space="preserve"> The plus acknowledges that these traditional terms do not encompass or describe lesbian or bisexual women or transgender men. The </w:t>
            </w:r>
            <w:r w:rsidR="00830725">
              <w:rPr>
                <w:rFonts w:ascii="Calibri" w:eastAsia="Times New Roman" w:hAnsi="Calibri" w:cs="Calibri"/>
                <w:lang w:val="en-US" w:eastAsia="en-NZ"/>
              </w:rPr>
              <w:t>acronym</w:t>
            </w:r>
            <w:r w:rsidR="00830725" w:rsidRPr="00577F8F">
              <w:rPr>
                <w:rFonts w:ascii="Calibri" w:eastAsia="Times New Roman" w:hAnsi="Calibri" w:cs="Calibri"/>
                <w:lang w:val="en-US" w:eastAsia="en-NZ"/>
              </w:rPr>
              <w:t xml:space="preserve"> </w:t>
            </w:r>
            <w:r w:rsidR="00577F8F" w:rsidRPr="00577F8F">
              <w:rPr>
                <w:rFonts w:ascii="Calibri" w:eastAsia="Times New Roman" w:hAnsi="Calibri" w:cs="Calibri"/>
                <w:lang w:val="en-US" w:eastAsia="en-NZ"/>
              </w:rPr>
              <w:t xml:space="preserve">is gaining increasing use to signify the existence of different Pacific </w:t>
            </w:r>
            <w:r>
              <w:rPr>
                <w:rFonts w:ascii="Calibri" w:eastAsia="Times New Roman" w:hAnsi="Calibri" w:cs="Calibri"/>
                <w:lang w:val="en-US" w:eastAsia="en-NZ"/>
              </w:rPr>
              <w:t>c</w:t>
            </w:r>
            <w:r w:rsidR="00577F8F" w:rsidRPr="00577F8F">
              <w:rPr>
                <w:rFonts w:ascii="Calibri" w:eastAsia="Times New Roman" w:hAnsi="Calibri" w:cs="Calibri"/>
                <w:lang w:val="en-US" w:eastAsia="en-NZ"/>
              </w:rPr>
              <w:t xml:space="preserve">ultures that have a strong presence in Aotearoa. </w:t>
            </w:r>
          </w:p>
        </w:tc>
      </w:tr>
      <w:tr w:rsidR="00F4312C" w:rsidRPr="00577F8F" w14:paraId="527642FE" w14:textId="77777777" w:rsidTr="1F004222">
        <w:tc>
          <w:tcPr>
            <w:tcW w:w="2106" w:type="dxa"/>
          </w:tcPr>
          <w:p w14:paraId="7CEDA151"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Non-binary </w:t>
            </w:r>
          </w:p>
        </w:tc>
        <w:tc>
          <w:tcPr>
            <w:tcW w:w="6919" w:type="dxa"/>
            <w:gridSpan w:val="2"/>
          </w:tcPr>
          <w:p w14:paraId="435296F6" w14:textId="3CE9D37E" w:rsidR="00577F8F" w:rsidRPr="00577F8F" w:rsidRDefault="00E17B0A" w:rsidP="00577F8F">
            <w:pPr>
              <w:spacing w:after="120" w:line="259" w:lineRule="auto"/>
              <w:rPr>
                <w:rFonts w:ascii="Calibri" w:eastAsia="Times New Roman" w:hAnsi="Calibri" w:cs="Calibri"/>
                <w:lang w:eastAsia="en-NZ"/>
              </w:rPr>
            </w:pPr>
            <w:r>
              <w:rPr>
                <w:rFonts w:ascii="Calibri" w:eastAsia="Times New Roman" w:hAnsi="Calibri" w:cs="Calibri"/>
                <w:lang w:val="en-US" w:eastAsia="en-NZ"/>
              </w:rPr>
              <w:t>A</w:t>
            </w:r>
            <w:r w:rsidR="00577F8F" w:rsidRPr="00577F8F">
              <w:rPr>
                <w:rFonts w:ascii="Calibri" w:eastAsia="Times New Roman" w:hAnsi="Calibri" w:cs="Calibri"/>
                <w:lang w:val="en-US" w:eastAsia="en-NZ"/>
              </w:rPr>
              <w:t xml:space="preserve">n umbrella term for gender identities </w:t>
            </w:r>
            <w:r>
              <w:rPr>
                <w:rFonts w:ascii="Calibri" w:eastAsia="Times New Roman" w:hAnsi="Calibri" w:cs="Calibri"/>
                <w:lang w:val="en-US" w:eastAsia="en-NZ"/>
              </w:rPr>
              <w:t>that</w:t>
            </w:r>
            <w:r w:rsidRPr="00577F8F">
              <w:rPr>
                <w:rFonts w:ascii="Calibri" w:eastAsia="Times New Roman" w:hAnsi="Calibri" w:cs="Calibri"/>
                <w:lang w:val="en-US" w:eastAsia="en-NZ"/>
              </w:rPr>
              <w:t xml:space="preserve"> </w:t>
            </w:r>
            <w:r w:rsidR="00577F8F" w:rsidRPr="00577F8F">
              <w:rPr>
                <w:rFonts w:ascii="Calibri" w:eastAsia="Times New Roman" w:hAnsi="Calibri" w:cs="Calibri"/>
                <w:lang w:val="en-US" w:eastAsia="en-NZ"/>
              </w:rPr>
              <w:t>are neither male nor female.</w:t>
            </w:r>
            <w:r w:rsidR="00577F8F" w:rsidRPr="00577F8F">
              <w:rPr>
                <w:rFonts w:ascii="Calibri" w:eastAsia="Times New Roman" w:hAnsi="Calibri" w:cs="Calibri"/>
                <w:lang w:eastAsia="en-NZ"/>
              </w:rPr>
              <w:t xml:space="preserve"> These include gender fluid and gender queer for example. </w:t>
            </w:r>
          </w:p>
        </w:tc>
      </w:tr>
      <w:tr w:rsidR="00F4312C" w:rsidRPr="00577F8F" w14:paraId="019652F3" w14:textId="77777777" w:rsidTr="1F004222">
        <w:tc>
          <w:tcPr>
            <w:tcW w:w="2106" w:type="dxa"/>
          </w:tcPr>
          <w:p w14:paraId="1DF4EC22" w14:textId="77777777" w:rsidR="00577F8F" w:rsidRPr="00577F8F" w:rsidRDefault="00577F8F" w:rsidP="00577F8F">
            <w:pPr>
              <w:spacing w:after="120" w:line="259" w:lineRule="auto"/>
              <w:rPr>
                <w:rFonts w:ascii="Calibri" w:eastAsia="Times New Roman" w:hAnsi="Calibri" w:cs="Calibri"/>
                <w:lang w:eastAsia="en-NZ"/>
              </w:rPr>
            </w:pPr>
            <w:r w:rsidRPr="00577F8F">
              <w:rPr>
                <w:rFonts w:ascii="Calibri" w:eastAsia="Times New Roman" w:hAnsi="Calibri" w:cs="Calibri"/>
                <w:lang w:eastAsia="en-NZ"/>
              </w:rPr>
              <w:t xml:space="preserve">Race </w:t>
            </w:r>
          </w:p>
        </w:tc>
        <w:tc>
          <w:tcPr>
            <w:tcW w:w="6919" w:type="dxa"/>
            <w:gridSpan w:val="2"/>
          </w:tcPr>
          <w:p w14:paraId="5813905E" w14:textId="3CFF8AAD" w:rsidR="00577F8F" w:rsidRPr="00577F8F" w:rsidRDefault="00E17B0A" w:rsidP="00577F8F">
            <w:pPr>
              <w:spacing w:after="120" w:line="259" w:lineRule="auto"/>
              <w:rPr>
                <w:rFonts w:ascii="Calibri" w:eastAsia="Times New Roman" w:hAnsi="Calibri" w:cs="Calibri"/>
                <w:b/>
                <w:bCs/>
                <w:lang w:eastAsia="en-NZ"/>
              </w:rPr>
            </w:pPr>
            <w:r>
              <w:rPr>
                <w:rFonts w:ascii="Calibri" w:eastAsia="Times New Roman" w:hAnsi="Calibri" w:cs="Calibri"/>
                <w:lang w:eastAsia="en-NZ"/>
              </w:rPr>
              <w:t>A</w:t>
            </w:r>
            <w:r w:rsidR="00577F8F" w:rsidRPr="00577F8F">
              <w:rPr>
                <w:rFonts w:ascii="Calibri" w:eastAsia="Times New Roman" w:hAnsi="Calibri" w:cs="Calibri"/>
                <w:lang w:val="en-US" w:eastAsia="en-NZ"/>
              </w:rPr>
              <w:t xml:space="preserve"> social construct originating in </w:t>
            </w:r>
            <w:r w:rsidR="005B4BFB">
              <w:rPr>
                <w:rFonts w:ascii="Calibri" w:eastAsia="Times New Roman" w:hAnsi="Calibri" w:cs="Calibri"/>
                <w:lang w:val="en-US" w:eastAsia="en-NZ"/>
              </w:rPr>
              <w:t>15</w:t>
            </w:r>
            <w:r w:rsidR="005B4BFB" w:rsidRPr="00577F8F">
              <w:rPr>
                <w:rFonts w:ascii="Calibri" w:eastAsia="Times New Roman" w:hAnsi="Calibri" w:cs="Calibri"/>
                <w:lang w:val="en-US" w:eastAsia="en-NZ"/>
              </w:rPr>
              <w:t xml:space="preserve">th </w:t>
            </w:r>
            <w:r w:rsidR="00577F8F" w:rsidRPr="00577F8F">
              <w:rPr>
                <w:rFonts w:ascii="Calibri" w:eastAsia="Times New Roman" w:hAnsi="Calibri" w:cs="Calibri"/>
                <w:lang w:val="en-US" w:eastAsia="en-NZ"/>
              </w:rPr>
              <w:t xml:space="preserve">century Christian Europe that organised people into a hierarchy according to their perceived and actual physical differences </w:t>
            </w:r>
            <w:r>
              <w:rPr>
                <w:rFonts w:ascii="Calibri" w:eastAsia="Times New Roman" w:hAnsi="Calibri" w:cs="Calibri"/>
                <w:lang w:val="en-US" w:eastAsia="en-NZ"/>
              </w:rPr>
              <w:t xml:space="preserve">such as </w:t>
            </w:r>
            <w:r w:rsidR="00577F8F" w:rsidRPr="00577F8F">
              <w:rPr>
                <w:rFonts w:ascii="Calibri" w:eastAsia="Times New Roman" w:hAnsi="Calibri" w:cs="Calibri"/>
                <w:lang w:val="en-US" w:eastAsia="en-NZ"/>
              </w:rPr>
              <w:t>hair, skin and eye colour, facial features</w:t>
            </w:r>
            <w:r>
              <w:rPr>
                <w:rFonts w:ascii="Calibri" w:eastAsia="Times New Roman" w:hAnsi="Calibri" w:cs="Calibri"/>
                <w:lang w:val="en-US" w:eastAsia="en-NZ"/>
              </w:rPr>
              <w:t>,</w:t>
            </w:r>
            <w:r w:rsidR="00577F8F" w:rsidRPr="00577F8F">
              <w:rPr>
                <w:rFonts w:ascii="Calibri" w:eastAsia="Times New Roman" w:hAnsi="Calibri" w:cs="Calibri"/>
                <w:lang w:val="en-US" w:eastAsia="en-NZ"/>
              </w:rPr>
              <w:t xml:space="preserve"> or skull shape.</w:t>
            </w:r>
          </w:p>
        </w:tc>
      </w:tr>
      <w:tr w:rsidR="00F4312C" w:rsidRPr="00577F8F" w14:paraId="1C0C7262" w14:textId="77777777" w:rsidTr="1F004222">
        <w:tc>
          <w:tcPr>
            <w:tcW w:w="2106" w:type="dxa"/>
          </w:tcPr>
          <w:p w14:paraId="7EF8DDDC" w14:textId="77777777" w:rsidR="00577F8F" w:rsidRPr="00577F8F" w:rsidRDefault="00577F8F" w:rsidP="00577F8F">
            <w:pPr>
              <w:spacing w:after="120" w:line="259" w:lineRule="auto"/>
              <w:rPr>
                <w:rFonts w:ascii="Calibri" w:eastAsia="Times New Roman" w:hAnsi="Calibri" w:cs="Calibri"/>
                <w:lang w:val="en-US" w:eastAsia="en-NZ"/>
              </w:rPr>
            </w:pPr>
            <w:r w:rsidRPr="00577F8F">
              <w:rPr>
                <w:rFonts w:ascii="Calibri" w:eastAsia="Times New Roman" w:hAnsi="Calibri" w:cs="Calibri"/>
                <w:lang w:val="en-US" w:eastAsia="en-NZ"/>
              </w:rPr>
              <w:t xml:space="preserve">Racism </w:t>
            </w:r>
          </w:p>
        </w:tc>
        <w:tc>
          <w:tcPr>
            <w:tcW w:w="6919" w:type="dxa"/>
            <w:gridSpan w:val="2"/>
          </w:tcPr>
          <w:p w14:paraId="32C7FDCE" w14:textId="472BE032" w:rsidR="00577F8F" w:rsidRDefault="00E17B0A" w:rsidP="00577F8F">
            <w:pPr>
              <w:spacing w:after="120" w:line="259" w:lineRule="auto"/>
              <w:rPr>
                <w:rFonts w:eastAsia="Times New Roman" w:cstheme="minorHAnsi"/>
                <w:color w:val="000000" w:themeColor="text1"/>
                <w:lang w:val="en-US" w:eastAsia="en-NZ"/>
              </w:rPr>
            </w:pPr>
            <w:r>
              <w:rPr>
                <w:rFonts w:ascii="Calibri" w:eastAsia="Times New Roman" w:hAnsi="Calibri" w:cs="Calibri"/>
                <w:lang w:val="en-US" w:eastAsia="en-NZ"/>
              </w:rPr>
              <w:t>R</w:t>
            </w:r>
            <w:r w:rsidR="00577F8F" w:rsidRPr="00577F8F">
              <w:rPr>
                <w:rFonts w:ascii="Calibri" w:eastAsia="Times New Roman" w:hAnsi="Calibri" w:cs="Calibri"/>
                <w:lang w:val="en-US" w:eastAsia="en-NZ"/>
              </w:rPr>
              <w:t xml:space="preserve">efers to the </w:t>
            </w:r>
            <w:r w:rsidR="00577F8F" w:rsidRPr="00577F8F">
              <w:rPr>
                <w:rFonts w:eastAsia="Times New Roman" w:cstheme="minorHAnsi"/>
                <w:color w:val="000000" w:themeColor="text1"/>
                <w:lang w:val="en-US" w:eastAsia="en-NZ"/>
              </w:rPr>
              <w:t>use of race as the basis for prejudice and power at interpersonal, institutional</w:t>
            </w:r>
            <w:r>
              <w:rPr>
                <w:rFonts w:eastAsia="Times New Roman" w:cstheme="minorHAnsi"/>
                <w:color w:val="000000" w:themeColor="text1"/>
                <w:lang w:val="en-US" w:eastAsia="en-NZ"/>
              </w:rPr>
              <w:t>,</w:t>
            </w:r>
            <w:r w:rsidR="00577F8F" w:rsidRPr="00577F8F">
              <w:rPr>
                <w:rFonts w:eastAsia="Times New Roman" w:cstheme="minorHAnsi"/>
                <w:color w:val="000000" w:themeColor="text1"/>
                <w:lang w:val="en-US" w:eastAsia="en-NZ"/>
              </w:rPr>
              <w:t xml:space="preserve"> and internalised levels. </w:t>
            </w:r>
          </w:p>
          <w:p w14:paraId="1FDF3063" w14:textId="793ADDDA" w:rsidR="00577F8F" w:rsidRPr="00581839" w:rsidRDefault="00577F8F" w:rsidP="00581839">
            <w:pPr>
              <w:pStyle w:val="ListParagraph"/>
              <w:numPr>
                <w:ilvl w:val="0"/>
                <w:numId w:val="113"/>
              </w:numPr>
              <w:spacing w:after="120"/>
              <w:rPr>
                <w:rFonts w:eastAsia="Times New Roman" w:cstheme="minorHAnsi"/>
                <w:color w:val="000000" w:themeColor="text1"/>
                <w:lang w:val="en-US" w:eastAsia="en-NZ"/>
              </w:rPr>
            </w:pPr>
            <w:r w:rsidRPr="00581839">
              <w:rPr>
                <w:i/>
                <w:iCs/>
              </w:rPr>
              <w:t>Interpersonal racism</w:t>
            </w:r>
            <w:r w:rsidRPr="00581839">
              <w:rPr>
                <w:b/>
                <w:bCs/>
              </w:rPr>
              <w:t xml:space="preserve"> </w:t>
            </w:r>
            <w:r w:rsidRPr="00577F8F">
              <w:t>relates to omissions, remarks, and actions toward</w:t>
            </w:r>
            <w:r w:rsidR="00E17B0A">
              <w:t>s</w:t>
            </w:r>
            <w:r w:rsidRPr="00577F8F">
              <w:t xml:space="preserve"> someone based on unfounded assumptions about their perceived race.</w:t>
            </w:r>
          </w:p>
          <w:p w14:paraId="29407D48" w14:textId="395B0B39" w:rsidR="00577F8F" w:rsidRPr="00581839" w:rsidRDefault="00577F8F" w:rsidP="00581839">
            <w:pPr>
              <w:pStyle w:val="ListParagraph"/>
              <w:numPr>
                <w:ilvl w:val="0"/>
                <w:numId w:val="113"/>
              </w:numPr>
              <w:spacing w:after="120"/>
              <w:rPr>
                <w:rFonts w:eastAsia="Times New Roman" w:cstheme="minorHAnsi"/>
                <w:color w:val="000000" w:themeColor="text1"/>
                <w:lang w:val="en-US" w:eastAsia="en-NZ"/>
              </w:rPr>
            </w:pPr>
            <w:r w:rsidRPr="00581839">
              <w:rPr>
                <w:rFonts w:cstheme="minorHAnsi"/>
                <w:i/>
                <w:iCs/>
                <w:color w:val="000000" w:themeColor="text1"/>
              </w:rPr>
              <w:t>Institutional racism</w:t>
            </w:r>
            <w:r w:rsidRPr="00581839">
              <w:rPr>
                <w:rFonts w:cstheme="minorHAnsi"/>
                <w:b/>
                <w:bCs/>
                <w:color w:val="000000" w:themeColor="text1"/>
              </w:rPr>
              <w:t xml:space="preserve"> </w:t>
            </w:r>
            <w:r w:rsidRPr="00581839">
              <w:rPr>
                <w:rFonts w:cstheme="minorHAnsi"/>
                <w:color w:val="000000" w:themeColor="text1"/>
              </w:rPr>
              <w:t>refers to society’s structures and institutions advantaging one group at the expense of others based on race. In Aotearoa</w:t>
            </w:r>
            <w:r w:rsidR="00E17B0A" w:rsidRPr="00581839">
              <w:rPr>
                <w:rFonts w:cstheme="minorHAnsi"/>
                <w:color w:val="000000" w:themeColor="text1"/>
              </w:rPr>
              <w:t>,</w:t>
            </w:r>
            <w:r w:rsidRPr="00581839">
              <w:rPr>
                <w:rFonts w:cstheme="minorHAnsi"/>
                <w:color w:val="000000" w:themeColor="text1"/>
              </w:rPr>
              <w:t xml:space="preserve"> our structures and institutions work for the collective benefit of Pākehā rather than Māori or ethnic minorities. This manifests in inequities across sectors such as education, health, justice, housing, employment, and wellbeing.</w:t>
            </w:r>
          </w:p>
          <w:p w14:paraId="74646952" w14:textId="77777777" w:rsidR="00577F8F" w:rsidRPr="00581839" w:rsidRDefault="00577F8F" w:rsidP="00581839">
            <w:pPr>
              <w:pStyle w:val="ListParagraph"/>
              <w:numPr>
                <w:ilvl w:val="0"/>
                <w:numId w:val="113"/>
              </w:numPr>
              <w:spacing w:after="120"/>
              <w:rPr>
                <w:rFonts w:eastAsia="Times New Roman" w:cstheme="minorHAnsi"/>
                <w:color w:val="000000" w:themeColor="text1"/>
                <w:lang w:val="en-US" w:eastAsia="en-NZ"/>
              </w:rPr>
            </w:pPr>
            <w:r w:rsidRPr="00581839">
              <w:rPr>
                <w:rFonts w:cstheme="minorHAnsi"/>
                <w:i/>
                <w:iCs/>
                <w:color w:val="000000" w:themeColor="text1"/>
              </w:rPr>
              <w:t>Internalised racism</w:t>
            </w:r>
            <w:r w:rsidRPr="00581839">
              <w:rPr>
                <w:rFonts w:cstheme="minorHAnsi"/>
                <w:b/>
                <w:bCs/>
                <w:color w:val="000000" w:themeColor="text1"/>
              </w:rPr>
              <w:t xml:space="preserve"> </w:t>
            </w:r>
            <w:r w:rsidRPr="00581839">
              <w:rPr>
                <w:rFonts w:cstheme="minorHAnsi"/>
                <w:color w:val="000000" w:themeColor="text1"/>
              </w:rPr>
              <w:t>refers to people, stigmatised because of their race, accepting those negative ideas and messages about themselves.</w:t>
            </w:r>
          </w:p>
          <w:p w14:paraId="2C6439DC" w14:textId="197BD483" w:rsidR="00577F8F" w:rsidRPr="00577F8F" w:rsidRDefault="00577F8F" w:rsidP="00577F8F">
            <w:pPr>
              <w:spacing w:after="120" w:line="259" w:lineRule="auto"/>
              <w:rPr>
                <w:rFonts w:eastAsia="Times New Roman" w:cstheme="minorHAnsi"/>
                <w:color w:val="000000" w:themeColor="text1"/>
                <w:lang w:val="en-US" w:eastAsia="en-NZ"/>
              </w:rPr>
            </w:pPr>
            <w:r w:rsidRPr="00577F8F">
              <w:rPr>
                <w:lang w:val="en-US" w:eastAsia="en-NZ"/>
              </w:rPr>
              <w:t>In the context of this report, racism refers to the specific nuances of racism toward Tangata Whenua, Pacific peoples and ethnic communities in Aotearoa New Zealand.</w:t>
            </w:r>
          </w:p>
        </w:tc>
      </w:tr>
      <w:tr w:rsidR="00F4312C" w:rsidRPr="00577F8F" w14:paraId="57F3DE34" w14:textId="77777777" w:rsidTr="1F004222">
        <w:tc>
          <w:tcPr>
            <w:tcW w:w="2106" w:type="dxa"/>
          </w:tcPr>
          <w:p w14:paraId="14F8C2A3" w14:textId="232DC185" w:rsidR="00577F8F" w:rsidRPr="00577F8F" w:rsidRDefault="00577F8F" w:rsidP="00577F8F">
            <w:pPr>
              <w:spacing w:after="120" w:line="259" w:lineRule="auto"/>
              <w:rPr>
                <w:lang w:val="en-US" w:eastAsia="en-NZ"/>
              </w:rPr>
            </w:pPr>
            <w:r w:rsidRPr="00577F8F">
              <w:rPr>
                <w:lang w:val="en-US" w:eastAsia="en-NZ"/>
              </w:rPr>
              <w:t xml:space="preserve">Rainbow </w:t>
            </w:r>
            <w:r w:rsidR="6BD9F8CB" w:rsidRPr="3C032F6E">
              <w:rPr>
                <w:lang w:val="en-US" w:eastAsia="en-NZ"/>
              </w:rPr>
              <w:t xml:space="preserve">people/ </w:t>
            </w:r>
            <w:r w:rsidRPr="00577F8F">
              <w:rPr>
                <w:lang w:val="en-US" w:eastAsia="en-NZ"/>
              </w:rPr>
              <w:t xml:space="preserve">communities </w:t>
            </w:r>
          </w:p>
        </w:tc>
        <w:tc>
          <w:tcPr>
            <w:tcW w:w="6919" w:type="dxa"/>
            <w:gridSpan w:val="2"/>
          </w:tcPr>
          <w:p w14:paraId="264FA183" w14:textId="43B1E76A" w:rsidR="00577F8F" w:rsidRPr="00577F8F" w:rsidRDefault="0964FCDD" w:rsidP="00577F8F">
            <w:pPr>
              <w:spacing w:after="120" w:line="259" w:lineRule="auto"/>
              <w:rPr>
                <w:lang w:eastAsia="en-NZ"/>
              </w:rPr>
            </w:pPr>
            <w:r w:rsidRPr="1F004222">
              <w:rPr>
                <w:lang w:eastAsia="en-NZ"/>
              </w:rPr>
              <w:t>We use Rainbow as an</w:t>
            </w:r>
            <w:r w:rsidR="00577F8F" w:rsidRPr="1F004222">
              <w:rPr>
                <w:lang w:eastAsia="en-NZ"/>
              </w:rPr>
              <w:t xml:space="preserve"> umbrella term to describe people whose sexual orientation, gender identity</w:t>
            </w:r>
            <w:r w:rsidRPr="1F004222">
              <w:rPr>
                <w:lang w:eastAsia="en-NZ"/>
              </w:rPr>
              <w:t>, gender</w:t>
            </w:r>
            <w:r w:rsidR="00577F8F" w:rsidRPr="1F004222">
              <w:rPr>
                <w:lang w:eastAsia="en-NZ"/>
              </w:rPr>
              <w:t xml:space="preserve"> expression</w:t>
            </w:r>
            <w:r w:rsidRPr="1F004222">
              <w:rPr>
                <w:lang w:eastAsia="en-NZ"/>
              </w:rPr>
              <w:t xml:space="preserve"> </w:t>
            </w:r>
            <w:r w:rsidR="00577F8F" w:rsidRPr="1F004222">
              <w:rPr>
                <w:lang w:eastAsia="en-NZ"/>
              </w:rPr>
              <w:t>or sex characteristics differ from majority</w:t>
            </w:r>
            <w:r w:rsidR="00665926" w:rsidRPr="1F004222">
              <w:rPr>
                <w:lang w:eastAsia="en-NZ"/>
              </w:rPr>
              <w:t>,</w:t>
            </w:r>
            <w:r w:rsidR="00577F8F" w:rsidRPr="1F004222">
              <w:rPr>
                <w:lang w:eastAsia="en-NZ"/>
              </w:rPr>
              <w:t xml:space="preserve"> binary norms.</w:t>
            </w:r>
            <w:r w:rsidR="00577F8F" w:rsidRPr="00577F8F">
              <w:rPr>
                <w:lang w:eastAsia="en-NZ"/>
              </w:rPr>
              <w:t xml:space="preserve"> </w:t>
            </w:r>
            <w:r w:rsidRPr="1F004222">
              <w:rPr>
                <w:lang w:eastAsia="en-NZ"/>
              </w:rPr>
              <w:t>This includes people who identify with terms like takatāpui, lesbian, gay, bisexual, intersex, transgender, queer, non-</w:t>
            </w:r>
            <w:r w:rsidRPr="1F004222">
              <w:rPr>
                <w:lang w:eastAsia="en-NZ"/>
              </w:rPr>
              <w:lastRenderedPageBreak/>
              <w:t xml:space="preserve">binary, or fa’afafine, as well as people who don’t use specific words for their identity. Definition adapted from Te Ngākau Kahukura (n.d). </w:t>
            </w:r>
            <w:r w:rsidR="00577F8F" w:rsidRPr="1F004222">
              <w:rPr>
                <w:lang w:eastAsia="en-NZ"/>
              </w:rPr>
              <w:t xml:space="preserve"> </w:t>
            </w:r>
          </w:p>
        </w:tc>
      </w:tr>
      <w:tr w:rsidR="00F4312C" w:rsidRPr="00577F8F" w14:paraId="105B5EC9" w14:textId="77777777" w:rsidTr="1F004222">
        <w:tc>
          <w:tcPr>
            <w:tcW w:w="2106" w:type="dxa"/>
          </w:tcPr>
          <w:p w14:paraId="41A052E6" w14:textId="77777777" w:rsidR="00577F8F" w:rsidRPr="00577F8F" w:rsidRDefault="00577F8F" w:rsidP="00577F8F">
            <w:pPr>
              <w:spacing w:after="120" w:line="259" w:lineRule="auto"/>
              <w:rPr>
                <w:rFonts w:eastAsia="Calibri"/>
                <w:color w:val="000000" w:themeColor="text1"/>
                <w:lang w:val="en-US"/>
              </w:rPr>
            </w:pPr>
            <w:r w:rsidRPr="00577F8F">
              <w:rPr>
                <w:rFonts w:eastAsia="Calibri"/>
                <w:color w:val="000000" w:themeColor="text1"/>
                <w:lang w:val="en-US"/>
              </w:rPr>
              <w:lastRenderedPageBreak/>
              <w:t xml:space="preserve">Religious or cultural counsellor </w:t>
            </w:r>
          </w:p>
        </w:tc>
        <w:tc>
          <w:tcPr>
            <w:tcW w:w="6919" w:type="dxa"/>
            <w:gridSpan w:val="2"/>
          </w:tcPr>
          <w:p w14:paraId="3E990B82" w14:textId="52528483" w:rsidR="00577F8F" w:rsidRPr="00577F8F" w:rsidRDefault="00E17B0A" w:rsidP="00577F8F">
            <w:pPr>
              <w:spacing w:after="120" w:line="259" w:lineRule="auto"/>
              <w:rPr>
                <w:rFonts w:eastAsia="Calibri"/>
                <w:color w:val="000000" w:themeColor="text1"/>
                <w:lang w:val="en-US"/>
              </w:rPr>
            </w:pPr>
            <w:r>
              <w:rPr>
                <w:rFonts w:eastAsia="Calibri"/>
                <w:color w:val="000000" w:themeColor="text1"/>
                <w:lang w:val="en-US"/>
              </w:rPr>
              <w:t>A</w:t>
            </w:r>
            <w:r w:rsidR="00577F8F" w:rsidRPr="00577F8F">
              <w:rPr>
                <w:rFonts w:eastAsia="Calibri"/>
                <w:color w:val="000000" w:themeColor="text1"/>
                <w:lang w:val="en-US"/>
              </w:rPr>
              <w:t xml:space="preserve"> term used by survivors to refer to religious and cultural mentors who provide informal counselling support.</w:t>
            </w:r>
          </w:p>
        </w:tc>
      </w:tr>
      <w:tr w:rsidR="00F4312C" w:rsidRPr="00577F8F" w14:paraId="6F46F4ED" w14:textId="77777777" w:rsidTr="1F004222">
        <w:tc>
          <w:tcPr>
            <w:tcW w:w="2106" w:type="dxa"/>
          </w:tcPr>
          <w:p w14:paraId="1C4FEF5B" w14:textId="77777777" w:rsidR="00577F8F" w:rsidRPr="00577F8F" w:rsidRDefault="00577F8F" w:rsidP="00577F8F">
            <w:pPr>
              <w:spacing w:after="120" w:line="259" w:lineRule="auto"/>
              <w:rPr>
                <w:rFonts w:cstheme="minorHAnsi"/>
                <w:lang w:eastAsia="en-NZ"/>
              </w:rPr>
            </w:pPr>
            <w:r w:rsidRPr="00577F8F">
              <w:rPr>
                <w:rFonts w:cstheme="minorHAnsi"/>
                <w:lang w:eastAsia="en-NZ"/>
              </w:rPr>
              <w:t xml:space="preserve">Sex </w:t>
            </w:r>
          </w:p>
        </w:tc>
        <w:tc>
          <w:tcPr>
            <w:tcW w:w="6919" w:type="dxa"/>
            <w:gridSpan w:val="2"/>
          </w:tcPr>
          <w:p w14:paraId="419E4196" w14:textId="0AE47A78" w:rsidR="00242B24" w:rsidRPr="00577F8F" w:rsidRDefault="005E4B00" w:rsidP="00577F8F">
            <w:pPr>
              <w:spacing w:after="120" w:line="259" w:lineRule="auto"/>
              <w:rPr>
                <w:rFonts w:cstheme="minorHAnsi"/>
                <w:lang w:eastAsia="en-NZ"/>
              </w:rPr>
            </w:pPr>
            <w:r w:rsidRPr="005E4B00">
              <w:rPr>
                <w:rFonts w:cstheme="minorHAnsi"/>
                <w:lang w:eastAsia="en-NZ"/>
              </w:rPr>
              <w:t>Sex is based on a person's sex characteristics, such as their chromosomes, hormones, and reproductive organs. While typically based upon the sex characteristics observed and recorded at birth or infancy, a person’s sex can change over the course of their lifetime and may differ from their sex recorded at birth.</w:t>
            </w:r>
            <w:r w:rsidR="0046640D">
              <w:rPr>
                <w:rStyle w:val="FootnoteReference"/>
                <w:rFonts w:cstheme="minorHAnsi"/>
                <w:lang w:eastAsia="en-NZ"/>
              </w:rPr>
              <w:footnoteReference w:id="18"/>
            </w:r>
          </w:p>
        </w:tc>
      </w:tr>
      <w:tr w:rsidR="00F4312C" w:rsidRPr="00577F8F" w14:paraId="727E23BB" w14:textId="77777777" w:rsidTr="1F004222">
        <w:tc>
          <w:tcPr>
            <w:tcW w:w="2106" w:type="dxa"/>
          </w:tcPr>
          <w:p w14:paraId="102F1559" w14:textId="77777777" w:rsidR="00577F8F" w:rsidRPr="00577F8F" w:rsidRDefault="00577F8F" w:rsidP="00577F8F">
            <w:pPr>
              <w:spacing w:after="120" w:line="259" w:lineRule="auto"/>
              <w:rPr>
                <w:lang w:eastAsia="en-NZ"/>
              </w:rPr>
            </w:pPr>
            <w:r w:rsidRPr="00577F8F">
              <w:rPr>
                <w:lang w:eastAsia="en-NZ"/>
              </w:rPr>
              <w:t xml:space="preserve">Sexual orientation </w:t>
            </w:r>
          </w:p>
        </w:tc>
        <w:tc>
          <w:tcPr>
            <w:tcW w:w="6919" w:type="dxa"/>
            <w:gridSpan w:val="2"/>
          </w:tcPr>
          <w:p w14:paraId="7952A483" w14:textId="348E5783" w:rsidR="00577F8F" w:rsidRPr="00577F8F" w:rsidRDefault="00E17B0A" w:rsidP="00577F8F">
            <w:pPr>
              <w:spacing w:after="120" w:line="259" w:lineRule="auto"/>
              <w:rPr>
                <w:lang w:eastAsia="en-NZ"/>
              </w:rPr>
            </w:pPr>
            <w:r>
              <w:rPr>
                <w:lang w:eastAsia="en-NZ"/>
              </w:rPr>
              <w:t>R</w:t>
            </w:r>
            <w:r w:rsidR="00577F8F" w:rsidRPr="00577F8F">
              <w:rPr>
                <w:lang w:eastAsia="en-NZ"/>
              </w:rPr>
              <w:t xml:space="preserve">efers to each person’s capacity for emotional and sexual attraction to, and intimate and sexual relations with, people of the same or different gender or more than one gender. </w:t>
            </w:r>
          </w:p>
        </w:tc>
      </w:tr>
      <w:tr w:rsidR="00F4312C" w:rsidRPr="00577F8F" w14:paraId="48B4136D" w14:textId="77777777" w:rsidTr="1F004222">
        <w:tc>
          <w:tcPr>
            <w:tcW w:w="2106" w:type="dxa"/>
          </w:tcPr>
          <w:p w14:paraId="6C2DBDBC" w14:textId="77777777" w:rsidR="00577F8F" w:rsidRPr="00577F8F" w:rsidRDefault="00577F8F" w:rsidP="00577F8F">
            <w:pPr>
              <w:spacing w:after="120" w:line="259" w:lineRule="auto"/>
              <w:rPr>
                <w:lang w:eastAsia="en-NZ"/>
              </w:rPr>
            </w:pPr>
            <w:r w:rsidRPr="00577F8F">
              <w:rPr>
                <w:lang w:eastAsia="en-NZ"/>
              </w:rPr>
              <w:t xml:space="preserve">Sexuality </w:t>
            </w:r>
          </w:p>
        </w:tc>
        <w:tc>
          <w:tcPr>
            <w:tcW w:w="6919" w:type="dxa"/>
            <w:gridSpan w:val="2"/>
          </w:tcPr>
          <w:p w14:paraId="31D4B86E" w14:textId="313B5F74" w:rsidR="00577F8F" w:rsidRPr="00577F8F" w:rsidRDefault="00E17B0A" w:rsidP="00577F8F">
            <w:pPr>
              <w:spacing w:after="120" w:line="259" w:lineRule="auto"/>
              <w:rPr>
                <w:lang w:eastAsia="en-NZ"/>
              </w:rPr>
            </w:pPr>
            <w:r>
              <w:rPr>
                <w:lang w:eastAsia="en-NZ"/>
              </w:rPr>
              <w:t>R</w:t>
            </w:r>
            <w:r w:rsidR="00577F8F" w:rsidRPr="00577F8F">
              <w:rPr>
                <w:lang w:eastAsia="en-NZ"/>
              </w:rPr>
              <w:t xml:space="preserve">efers to a person’s sexual feelings, thoughts, attractions, and behaviours towards other people. </w:t>
            </w:r>
          </w:p>
        </w:tc>
      </w:tr>
      <w:tr w:rsidR="00F4312C" w:rsidRPr="00577F8F" w14:paraId="5883013B" w14:textId="77777777" w:rsidTr="1F004222">
        <w:tc>
          <w:tcPr>
            <w:tcW w:w="2106" w:type="dxa"/>
          </w:tcPr>
          <w:p w14:paraId="3F5A10AB" w14:textId="77777777" w:rsidR="00577F8F" w:rsidRPr="00577F8F" w:rsidRDefault="00577F8F" w:rsidP="00577F8F">
            <w:pPr>
              <w:spacing w:after="120" w:line="259" w:lineRule="auto"/>
              <w:rPr>
                <w:lang w:val="en-US" w:eastAsia="en-NZ"/>
              </w:rPr>
            </w:pPr>
            <w:r w:rsidRPr="00577F8F">
              <w:rPr>
                <w:lang w:val="en-US" w:eastAsia="en-NZ"/>
              </w:rPr>
              <w:t xml:space="preserve">SOGIESC </w:t>
            </w:r>
          </w:p>
        </w:tc>
        <w:tc>
          <w:tcPr>
            <w:tcW w:w="6919" w:type="dxa"/>
            <w:gridSpan w:val="2"/>
          </w:tcPr>
          <w:p w14:paraId="7D3E4250" w14:textId="6974B6C3" w:rsidR="00577F8F" w:rsidRPr="00577F8F" w:rsidRDefault="00E17B0A" w:rsidP="00577F8F">
            <w:pPr>
              <w:spacing w:after="120" w:line="259" w:lineRule="auto"/>
              <w:rPr>
                <w:lang w:val="en-US" w:eastAsia="en-NZ"/>
              </w:rPr>
            </w:pPr>
            <w:r>
              <w:rPr>
                <w:lang w:val="en-US" w:eastAsia="en-NZ"/>
              </w:rPr>
              <w:t>A</w:t>
            </w:r>
            <w:r w:rsidR="00577F8F" w:rsidRPr="00577F8F">
              <w:rPr>
                <w:lang w:val="en-US" w:eastAsia="en-NZ"/>
              </w:rPr>
              <w:t xml:space="preserve">n acronym for sexual orientation, gender identity and expression, and sex characteristics. </w:t>
            </w:r>
          </w:p>
        </w:tc>
      </w:tr>
      <w:tr w:rsidR="00F4312C" w:rsidRPr="00577F8F" w14:paraId="159ADAE6" w14:textId="77777777" w:rsidTr="1F004222">
        <w:tc>
          <w:tcPr>
            <w:tcW w:w="2106" w:type="dxa"/>
          </w:tcPr>
          <w:p w14:paraId="34D30C2D" w14:textId="77777777" w:rsidR="00577F8F" w:rsidRPr="00577F8F" w:rsidRDefault="00577F8F" w:rsidP="00577F8F">
            <w:pPr>
              <w:spacing w:after="120" w:line="259" w:lineRule="auto"/>
              <w:rPr>
                <w:lang w:val="en-US" w:eastAsia="en-NZ"/>
              </w:rPr>
            </w:pPr>
            <w:r w:rsidRPr="00577F8F">
              <w:rPr>
                <w:lang w:val="en-US" w:eastAsia="en-NZ"/>
              </w:rPr>
              <w:t xml:space="preserve">Survivor </w:t>
            </w:r>
          </w:p>
        </w:tc>
        <w:tc>
          <w:tcPr>
            <w:tcW w:w="6919" w:type="dxa"/>
            <w:gridSpan w:val="2"/>
          </w:tcPr>
          <w:p w14:paraId="1F86E8BA" w14:textId="05EF3924" w:rsidR="00577F8F" w:rsidRPr="00577F8F" w:rsidRDefault="00055408" w:rsidP="00577F8F">
            <w:pPr>
              <w:spacing w:after="120" w:line="259" w:lineRule="auto"/>
              <w:rPr>
                <w:lang w:eastAsia="en-NZ"/>
              </w:rPr>
            </w:pPr>
            <w:r>
              <w:rPr>
                <w:lang w:val="en-US" w:eastAsia="en-NZ"/>
              </w:rPr>
              <w:t>A</w:t>
            </w:r>
            <w:r w:rsidR="00577F8F" w:rsidRPr="00577F8F">
              <w:rPr>
                <w:lang w:val="en-US" w:eastAsia="en-NZ"/>
              </w:rPr>
              <w:t xml:space="preserve"> term used to refer to people who have experienced conversion practices (in line with what is common in the lived experience community).</w:t>
            </w:r>
          </w:p>
        </w:tc>
      </w:tr>
      <w:tr w:rsidR="00F4312C" w:rsidRPr="00577F8F" w14:paraId="51A04281" w14:textId="77777777" w:rsidTr="1F004222">
        <w:tc>
          <w:tcPr>
            <w:tcW w:w="2106" w:type="dxa"/>
          </w:tcPr>
          <w:p w14:paraId="70CC6D4A" w14:textId="77777777" w:rsidR="00577F8F" w:rsidRPr="00577F8F" w:rsidRDefault="00577F8F" w:rsidP="00577F8F">
            <w:pPr>
              <w:spacing w:after="120" w:line="259" w:lineRule="auto"/>
              <w:rPr>
                <w:lang w:val="en-US" w:eastAsia="en-NZ"/>
              </w:rPr>
            </w:pPr>
            <w:r w:rsidRPr="00577F8F">
              <w:rPr>
                <w:lang w:val="en-US" w:eastAsia="en-NZ"/>
              </w:rPr>
              <w:t xml:space="preserve">Transgender </w:t>
            </w:r>
          </w:p>
        </w:tc>
        <w:tc>
          <w:tcPr>
            <w:tcW w:w="6919" w:type="dxa"/>
            <w:gridSpan w:val="2"/>
          </w:tcPr>
          <w:p w14:paraId="6D899183" w14:textId="39ACDD78" w:rsidR="00577F8F" w:rsidRPr="00577F8F" w:rsidRDefault="00055408" w:rsidP="00577F8F">
            <w:pPr>
              <w:spacing w:after="120" w:line="259" w:lineRule="auto"/>
              <w:rPr>
                <w:rFonts w:ascii="Segoe UI" w:hAnsi="Segoe UI" w:cs="Segoe UI"/>
                <w:sz w:val="18"/>
                <w:szCs w:val="18"/>
                <w:lang w:eastAsia="en-NZ"/>
              </w:rPr>
            </w:pPr>
            <w:r>
              <w:rPr>
                <w:lang w:val="en-US" w:eastAsia="en-NZ"/>
              </w:rPr>
              <w:t>A</w:t>
            </w:r>
            <w:r w:rsidR="00577F8F" w:rsidRPr="00577F8F">
              <w:rPr>
                <w:lang w:val="en-US" w:eastAsia="en-NZ"/>
              </w:rPr>
              <w:t>n umbrella term for a person whose gender differs from their sex assigned at birth. Transgender people may be binary or non-binary, and some opt for some form of medical intervention (such as hormone therapy or surgery). Used as an adjective rather than a noun, and often shortened to ‘trans’</w:t>
            </w:r>
            <w:r>
              <w:rPr>
                <w:lang w:val="en-US" w:eastAsia="en-NZ"/>
              </w:rPr>
              <w:t>.</w:t>
            </w:r>
          </w:p>
        </w:tc>
      </w:tr>
      <w:tr w:rsidR="00F4312C" w:rsidRPr="00577F8F" w14:paraId="72916633" w14:textId="77777777" w:rsidTr="1F004222">
        <w:tc>
          <w:tcPr>
            <w:tcW w:w="2106" w:type="dxa"/>
          </w:tcPr>
          <w:p w14:paraId="0C2428B5" w14:textId="77777777" w:rsidR="00577F8F" w:rsidRPr="00577F8F" w:rsidRDefault="00577F8F" w:rsidP="00577F8F">
            <w:pPr>
              <w:spacing w:after="120" w:line="259" w:lineRule="auto"/>
              <w:rPr>
                <w:lang w:val="en-US" w:eastAsia="en-NZ"/>
              </w:rPr>
            </w:pPr>
            <w:r w:rsidRPr="00577F8F">
              <w:rPr>
                <w:lang w:val="en-US" w:eastAsia="en-NZ"/>
              </w:rPr>
              <w:t xml:space="preserve">Variations of sex characteristics </w:t>
            </w:r>
          </w:p>
        </w:tc>
        <w:tc>
          <w:tcPr>
            <w:tcW w:w="6919" w:type="dxa"/>
            <w:gridSpan w:val="2"/>
          </w:tcPr>
          <w:p w14:paraId="623A5310" w14:textId="172B7BB7" w:rsidR="00577F8F" w:rsidRPr="00577F8F" w:rsidRDefault="00055408" w:rsidP="00577F8F">
            <w:pPr>
              <w:spacing w:after="120" w:line="259" w:lineRule="auto"/>
              <w:rPr>
                <w:lang w:val="en-US" w:eastAsia="en-NZ"/>
              </w:rPr>
            </w:pPr>
            <w:r>
              <w:rPr>
                <w:lang w:val="en-US" w:eastAsia="en-NZ"/>
              </w:rPr>
              <w:t>R</w:t>
            </w:r>
            <w:r w:rsidR="00577F8F" w:rsidRPr="00577F8F">
              <w:rPr>
                <w:lang w:val="en-US" w:eastAsia="en-NZ"/>
              </w:rPr>
              <w:t xml:space="preserve">efers to people born with innate genetic, hormonal, or physical sex characteristics that do not conform to medical norms for female or male bodies. </w:t>
            </w:r>
            <w:r w:rsidR="00F91E00">
              <w:rPr>
                <w:lang w:val="en-US" w:eastAsia="en-NZ"/>
              </w:rPr>
              <w:t>The term</w:t>
            </w:r>
            <w:r w:rsidR="00F91E00" w:rsidRPr="00577F8F">
              <w:rPr>
                <w:lang w:val="en-US" w:eastAsia="en-NZ"/>
              </w:rPr>
              <w:t xml:space="preserve"> </w:t>
            </w:r>
            <w:r w:rsidR="00577F8F" w:rsidRPr="00577F8F">
              <w:rPr>
                <w:lang w:val="en-US" w:eastAsia="en-NZ"/>
              </w:rPr>
              <w:t xml:space="preserve">refers to a wide spectrum of variations </w:t>
            </w:r>
            <w:r w:rsidR="00F91E00">
              <w:rPr>
                <w:lang w:val="en-US" w:eastAsia="en-NZ"/>
              </w:rPr>
              <w:t>in a person’s</w:t>
            </w:r>
            <w:r w:rsidR="00F91E00" w:rsidRPr="00577F8F">
              <w:rPr>
                <w:lang w:val="en-US" w:eastAsia="en-NZ"/>
              </w:rPr>
              <w:t xml:space="preserve"> </w:t>
            </w:r>
            <w:r w:rsidR="00577F8F" w:rsidRPr="00577F8F">
              <w:rPr>
                <w:lang w:val="en-US" w:eastAsia="en-NZ"/>
              </w:rPr>
              <w:t>hormones, chromosomes, genitals</w:t>
            </w:r>
            <w:r>
              <w:rPr>
                <w:lang w:val="en-US" w:eastAsia="en-NZ"/>
              </w:rPr>
              <w:t>,</w:t>
            </w:r>
            <w:r w:rsidR="00577F8F" w:rsidRPr="00577F8F">
              <w:rPr>
                <w:lang w:val="en-US" w:eastAsia="en-NZ"/>
              </w:rPr>
              <w:t xml:space="preserve"> and/or reproductive organs. Other terms used to describe being born with variations of sex characteristics are intersex person, a person with an intersex variation, or </w:t>
            </w:r>
            <w:r>
              <w:rPr>
                <w:lang w:val="en-US" w:eastAsia="en-NZ"/>
              </w:rPr>
              <w:t>d</w:t>
            </w:r>
            <w:r w:rsidR="00577F8F" w:rsidRPr="00577F8F">
              <w:rPr>
                <w:lang w:val="en-US" w:eastAsia="en-NZ"/>
              </w:rPr>
              <w:t xml:space="preserve">ifferences of </w:t>
            </w:r>
            <w:r>
              <w:rPr>
                <w:lang w:val="en-US" w:eastAsia="en-NZ"/>
              </w:rPr>
              <w:t>s</w:t>
            </w:r>
            <w:r w:rsidR="00577F8F" w:rsidRPr="00577F8F">
              <w:rPr>
                <w:lang w:val="en-US" w:eastAsia="en-NZ"/>
              </w:rPr>
              <w:t xml:space="preserve">ex </w:t>
            </w:r>
            <w:r>
              <w:rPr>
                <w:lang w:val="en-US" w:eastAsia="en-NZ"/>
              </w:rPr>
              <w:t>d</w:t>
            </w:r>
            <w:r w:rsidR="00577F8F" w:rsidRPr="00577F8F">
              <w:rPr>
                <w:lang w:val="en-US" w:eastAsia="en-NZ"/>
              </w:rPr>
              <w:t>evelopment (DSD). Some people may identify as intersex, while others may see their intersex variation more as part of their medical history rather than their identity.</w:t>
            </w:r>
            <w:r w:rsidR="00577F8F" w:rsidRPr="00577F8F">
              <w:rPr>
                <w:rStyle w:val="FootnoteReference"/>
                <w:rFonts w:ascii="Calibri" w:eastAsia="Times New Roman" w:hAnsi="Calibri" w:cs="Calibri"/>
                <w:lang w:val="en-US" w:eastAsia="en-NZ"/>
              </w:rPr>
              <w:footnoteReference w:id="19"/>
            </w:r>
          </w:p>
        </w:tc>
      </w:tr>
      <w:tr w:rsidR="00F4312C" w:rsidRPr="00577F8F" w14:paraId="0711D3A6" w14:textId="77777777" w:rsidTr="1F004222">
        <w:tc>
          <w:tcPr>
            <w:tcW w:w="2106" w:type="dxa"/>
          </w:tcPr>
          <w:p w14:paraId="4F0AA71D" w14:textId="77777777" w:rsidR="00577F8F" w:rsidRPr="00577F8F" w:rsidRDefault="00577F8F" w:rsidP="00577F8F">
            <w:pPr>
              <w:spacing w:after="120" w:line="259" w:lineRule="auto"/>
              <w:rPr>
                <w:rFonts w:cstheme="minorHAnsi"/>
                <w:color w:val="000000" w:themeColor="text1"/>
                <w:lang w:val="en-US" w:eastAsia="en-NZ"/>
              </w:rPr>
            </w:pPr>
            <w:r w:rsidRPr="00577F8F">
              <w:rPr>
                <w:lang w:val="en-US" w:eastAsia="en-NZ"/>
              </w:rPr>
              <w:t xml:space="preserve">White </w:t>
            </w:r>
            <w:r w:rsidRPr="00577F8F">
              <w:rPr>
                <w:rFonts w:cstheme="minorHAnsi"/>
                <w:color w:val="000000" w:themeColor="text1"/>
                <w:lang w:val="en-US" w:eastAsia="en-NZ"/>
              </w:rPr>
              <w:t xml:space="preserve">supremacy </w:t>
            </w:r>
          </w:p>
        </w:tc>
        <w:tc>
          <w:tcPr>
            <w:tcW w:w="6919" w:type="dxa"/>
            <w:gridSpan w:val="2"/>
          </w:tcPr>
          <w:p w14:paraId="66B9F5A6" w14:textId="6E692340" w:rsidR="00577F8F" w:rsidRPr="00577F8F" w:rsidRDefault="00055408" w:rsidP="00577F8F">
            <w:pPr>
              <w:spacing w:after="120" w:line="259" w:lineRule="auto"/>
              <w:rPr>
                <w:lang w:val="en-US" w:eastAsia="en-NZ"/>
              </w:rPr>
            </w:pPr>
            <w:r>
              <w:rPr>
                <w:rFonts w:cstheme="minorHAnsi"/>
                <w:color w:val="000000" w:themeColor="text1"/>
                <w:lang w:val="en-US" w:eastAsia="en-NZ"/>
              </w:rPr>
              <w:t>R</w:t>
            </w:r>
            <w:r w:rsidR="00577F8F" w:rsidRPr="00577F8F">
              <w:rPr>
                <w:rFonts w:cstheme="minorHAnsi"/>
                <w:color w:val="000000" w:themeColor="text1"/>
                <w:lang w:val="en-US" w:eastAsia="en-NZ"/>
              </w:rPr>
              <w:t xml:space="preserve">efers to </w:t>
            </w:r>
            <w:r w:rsidR="00577F8F" w:rsidRPr="00577F8F">
              <w:rPr>
                <w:rFonts w:cstheme="minorHAnsi"/>
                <w:color w:val="000000" w:themeColor="text1"/>
              </w:rPr>
              <w:t xml:space="preserve">the presumed superiority of whiteness, that is, white culture and norms. In the case of Aotearoa, this refers to the presumed superiority of Pākehā norms and values, </w:t>
            </w:r>
            <w:r>
              <w:rPr>
                <w:rFonts w:cstheme="minorHAnsi"/>
                <w:color w:val="000000" w:themeColor="text1"/>
              </w:rPr>
              <w:t>for example,</w:t>
            </w:r>
            <w:r w:rsidR="00577F8F" w:rsidRPr="00577F8F">
              <w:rPr>
                <w:rFonts w:cstheme="minorHAnsi"/>
                <w:color w:val="000000" w:themeColor="text1"/>
              </w:rPr>
              <w:t xml:space="preserve"> the Westminster-based system of government. It is a means of maintaining institutional control of political, religious</w:t>
            </w:r>
            <w:r w:rsidR="00564547">
              <w:rPr>
                <w:rFonts w:cstheme="minorHAnsi"/>
                <w:color w:val="000000" w:themeColor="text1"/>
              </w:rPr>
              <w:t>,</w:t>
            </w:r>
            <w:r w:rsidR="00577F8F" w:rsidRPr="00577F8F">
              <w:rPr>
                <w:rFonts w:cstheme="minorHAnsi"/>
                <w:color w:val="000000" w:themeColor="text1"/>
              </w:rPr>
              <w:t xml:space="preserve"> and other systems.</w:t>
            </w:r>
            <w:r w:rsidR="00577F8F" w:rsidRPr="00577F8F">
              <w:rPr>
                <w:rFonts w:ascii="SofiaPro" w:hAnsi="SofiaPro"/>
                <w:color w:val="000000" w:themeColor="text1"/>
              </w:rPr>
              <w:t xml:space="preserve"> </w:t>
            </w:r>
          </w:p>
        </w:tc>
      </w:tr>
    </w:tbl>
    <w:p w14:paraId="7DA4F4B8" w14:textId="77777777" w:rsidR="00055408" w:rsidRDefault="00055408" w:rsidP="00055408">
      <w:pPr>
        <w:spacing w:after="0"/>
        <w:rPr>
          <w:b/>
          <w:bCs/>
        </w:rPr>
      </w:pPr>
    </w:p>
    <w:p w14:paraId="63B9D81A" w14:textId="77777777" w:rsidR="00AA6FAA" w:rsidRDefault="00AA6FAA">
      <w:pPr>
        <w:rPr>
          <w:b/>
          <w:bCs/>
        </w:rPr>
      </w:pPr>
      <w:r>
        <w:rPr>
          <w:b/>
          <w:bCs/>
        </w:rPr>
        <w:br w:type="page"/>
      </w:r>
    </w:p>
    <w:p w14:paraId="1226C023" w14:textId="16660AD2" w:rsidR="007D6EA0" w:rsidRPr="00E00167" w:rsidRDefault="007D6EA0" w:rsidP="00E00167">
      <w:pPr>
        <w:rPr>
          <w:b/>
          <w:bCs/>
        </w:rPr>
      </w:pPr>
      <w:r w:rsidRPr="00E00167">
        <w:rPr>
          <w:b/>
          <w:bCs/>
        </w:rPr>
        <w:lastRenderedPageBreak/>
        <w:t>Kupu</w:t>
      </w:r>
      <w:r w:rsidR="003D640C" w:rsidRPr="00E00167">
        <w:rPr>
          <w:b/>
          <w:bCs/>
        </w:rPr>
        <w:t xml:space="preserve"> </w:t>
      </w:r>
      <w:r w:rsidRPr="00E00167">
        <w:rPr>
          <w:b/>
          <w:bCs/>
        </w:rPr>
        <w:t>Māori</w:t>
      </w:r>
      <w:r w:rsidR="00AE09FA" w:rsidRPr="00E00167">
        <w:rPr>
          <w:b/>
          <w:bCs/>
          <w:vertAlign w:val="superscript"/>
        </w:rPr>
        <w:footnoteReference w:id="20"/>
      </w:r>
    </w:p>
    <w:tbl>
      <w:tblPr>
        <w:tblStyle w:val="TableGrid"/>
        <w:tblW w:w="0" w:type="auto"/>
        <w:tblLook w:val="04A0" w:firstRow="1" w:lastRow="0" w:firstColumn="1" w:lastColumn="0" w:noHBand="0" w:noVBand="1"/>
      </w:tblPr>
      <w:tblGrid>
        <w:gridCol w:w="2381"/>
        <w:gridCol w:w="6551"/>
        <w:gridCol w:w="94"/>
      </w:tblGrid>
      <w:tr w:rsidR="00877E3E" w:rsidRPr="00577F8F" w14:paraId="4DCE9453" w14:textId="77777777" w:rsidTr="00055408">
        <w:tc>
          <w:tcPr>
            <w:tcW w:w="1696" w:type="dxa"/>
            <w:tcBorders>
              <w:top w:val="nil"/>
              <w:left w:val="nil"/>
              <w:bottom w:val="nil"/>
              <w:right w:val="nil"/>
            </w:tcBorders>
          </w:tcPr>
          <w:p w14:paraId="57D4C7F2" w14:textId="77777777" w:rsidR="00577F8F" w:rsidRPr="00055408" w:rsidRDefault="00577F8F" w:rsidP="00F7327F">
            <w:pPr>
              <w:spacing w:after="120" w:line="259" w:lineRule="auto"/>
              <w:rPr>
                <w:lang w:val="en-US" w:eastAsia="en-NZ"/>
              </w:rPr>
            </w:pPr>
            <w:r w:rsidRPr="00055408">
              <w:rPr>
                <w:lang w:val="en-US" w:eastAsia="en-NZ"/>
              </w:rPr>
              <w:t xml:space="preserve">Awhi </w:t>
            </w:r>
          </w:p>
        </w:tc>
        <w:tc>
          <w:tcPr>
            <w:tcW w:w="7320" w:type="dxa"/>
            <w:gridSpan w:val="2"/>
            <w:tcBorders>
              <w:top w:val="nil"/>
              <w:left w:val="nil"/>
              <w:bottom w:val="nil"/>
              <w:right w:val="nil"/>
            </w:tcBorders>
          </w:tcPr>
          <w:p w14:paraId="190772DF" w14:textId="2A5D60FA" w:rsidR="00577F8F" w:rsidRPr="00055408" w:rsidRDefault="00577F8F" w:rsidP="00F7327F">
            <w:pPr>
              <w:spacing w:after="120" w:line="259" w:lineRule="auto"/>
              <w:rPr>
                <w:lang w:val="en-US" w:eastAsia="en-NZ"/>
              </w:rPr>
            </w:pPr>
            <w:r w:rsidRPr="00055408">
              <w:rPr>
                <w:lang w:val="en-US" w:eastAsia="en-NZ"/>
              </w:rPr>
              <w:t xml:space="preserve">(-hia,-ngia,-tia) </w:t>
            </w:r>
            <w:r w:rsidR="00564547">
              <w:rPr>
                <w:lang w:val="en-US" w:eastAsia="en-NZ"/>
              </w:rPr>
              <w:t>T</w:t>
            </w:r>
            <w:r w:rsidRPr="00055408">
              <w:rPr>
                <w:lang w:val="en-US" w:eastAsia="en-NZ"/>
              </w:rPr>
              <w:t>o surround or to embrace or cherish.</w:t>
            </w:r>
          </w:p>
        </w:tc>
      </w:tr>
      <w:tr w:rsidR="00877E3E" w:rsidRPr="00577F8F" w14:paraId="19F80E15" w14:textId="77777777" w:rsidTr="00055408">
        <w:tc>
          <w:tcPr>
            <w:tcW w:w="1696" w:type="dxa"/>
            <w:tcBorders>
              <w:top w:val="nil"/>
              <w:left w:val="nil"/>
              <w:bottom w:val="nil"/>
              <w:right w:val="nil"/>
            </w:tcBorders>
          </w:tcPr>
          <w:p w14:paraId="091D20A7" w14:textId="77777777" w:rsidR="00577F8F" w:rsidRPr="00055408" w:rsidRDefault="00577F8F" w:rsidP="00F7327F">
            <w:pPr>
              <w:spacing w:after="120" w:line="259" w:lineRule="auto"/>
              <w:rPr>
                <w:lang w:val="en-US" w:eastAsia="en-NZ"/>
              </w:rPr>
            </w:pPr>
            <w:r w:rsidRPr="00055408">
              <w:rPr>
                <w:lang w:val="en-US" w:eastAsia="en-NZ"/>
              </w:rPr>
              <w:t xml:space="preserve">Awhina </w:t>
            </w:r>
          </w:p>
        </w:tc>
        <w:tc>
          <w:tcPr>
            <w:tcW w:w="7320" w:type="dxa"/>
            <w:gridSpan w:val="2"/>
            <w:tcBorders>
              <w:top w:val="nil"/>
              <w:left w:val="nil"/>
              <w:bottom w:val="nil"/>
              <w:right w:val="nil"/>
            </w:tcBorders>
          </w:tcPr>
          <w:p w14:paraId="3D7A5ABE" w14:textId="1BBB2562" w:rsidR="00577F8F" w:rsidRPr="00055408" w:rsidRDefault="00577F8F" w:rsidP="00F7327F">
            <w:pPr>
              <w:spacing w:after="120" w:line="259" w:lineRule="auto"/>
              <w:rPr>
                <w:lang w:val="en-US" w:eastAsia="en-NZ"/>
              </w:rPr>
            </w:pPr>
            <w:r w:rsidRPr="00055408">
              <w:rPr>
                <w:lang w:val="en-US" w:eastAsia="en-NZ"/>
              </w:rPr>
              <w:t xml:space="preserve">(-hia,-ngia,-tia) </w:t>
            </w:r>
            <w:r w:rsidR="00564547">
              <w:rPr>
                <w:lang w:val="en-US" w:eastAsia="en-NZ"/>
              </w:rPr>
              <w:t>T</w:t>
            </w:r>
            <w:r w:rsidRPr="00055408">
              <w:rPr>
                <w:lang w:val="en-US" w:eastAsia="en-NZ"/>
              </w:rPr>
              <w:t xml:space="preserve">o assist, help, support, benefit. </w:t>
            </w:r>
          </w:p>
        </w:tc>
      </w:tr>
      <w:tr w:rsidR="00877E3E" w:rsidRPr="00577F8F" w14:paraId="0FA384DC" w14:textId="77777777" w:rsidTr="00055408">
        <w:tc>
          <w:tcPr>
            <w:tcW w:w="1696" w:type="dxa"/>
            <w:tcBorders>
              <w:top w:val="nil"/>
              <w:left w:val="nil"/>
              <w:bottom w:val="nil"/>
              <w:right w:val="nil"/>
            </w:tcBorders>
          </w:tcPr>
          <w:p w14:paraId="5C40F40C" w14:textId="77777777" w:rsidR="00577F8F" w:rsidRPr="00055408" w:rsidRDefault="00577F8F" w:rsidP="00F7327F">
            <w:pPr>
              <w:spacing w:after="120" w:line="259" w:lineRule="auto"/>
              <w:rPr>
                <w:lang w:val="en-US" w:eastAsia="en-NZ"/>
              </w:rPr>
            </w:pPr>
            <w:r w:rsidRPr="00055408">
              <w:rPr>
                <w:lang w:val="en-US" w:eastAsia="en-NZ"/>
              </w:rPr>
              <w:t xml:space="preserve">Hapū </w:t>
            </w:r>
          </w:p>
        </w:tc>
        <w:tc>
          <w:tcPr>
            <w:tcW w:w="7320" w:type="dxa"/>
            <w:gridSpan w:val="2"/>
            <w:tcBorders>
              <w:top w:val="nil"/>
              <w:left w:val="nil"/>
              <w:bottom w:val="nil"/>
              <w:right w:val="nil"/>
            </w:tcBorders>
          </w:tcPr>
          <w:p w14:paraId="42DF67F2" w14:textId="7F172EA2" w:rsidR="00577F8F" w:rsidRPr="00055408" w:rsidRDefault="00564547" w:rsidP="00F7327F">
            <w:pPr>
              <w:spacing w:after="120" w:line="259" w:lineRule="auto"/>
              <w:rPr>
                <w:lang w:val="en-US" w:eastAsia="en-NZ"/>
              </w:rPr>
            </w:pPr>
            <w:r>
              <w:rPr>
                <w:lang w:val="en-US" w:eastAsia="en-NZ"/>
              </w:rPr>
              <w:t>K</w:t>
            </w:r>
            <w:r w:rsidR="00577F8F" w:rsidRPr="00055408">
              <w:rPr>
                <w:lang w:val="en-US" w:eastAsia="en-NZ"/>
              </w:rPr>
              <w:t xml:space="preserve">inship group, clan, tribe, subtribe </w:t>
            </w:r>
            <w:r>
              <w:rPr>
                <w:lang w:val="en-US" w:eastAsia="en-NZ"/>
              </w:rPr>
              <w:t>–</w:t>
            </w:r>
            <w:r w:rsidR="00577F8F" w:rsidRPr="00055408">
              <w:rPr>
                <w:lang w:val="en-US" w:eastAsia="en-NZ"/>
              </w:rPr>
              <w:t xml:space="preserve"> section of a large kinship group and the primary political unit in traditional Māori society. </w:t>
            </w:r>
          </w:p>
        </w:tc>
      </w:tr>
      <w:tr w:rsidR="00877E3E" w:rsidRPr="00577F8F" w14:paraId="7EC864D3" w14:textId="77777777" w:rsidTr="00055408">
        <w:tc>
          <w:tcPr>
            <w:tcW w:w="1696" w:type="dxa"/>
            <w:tcBorders>
              <w:top w:val="nil"/>
              <w:left w:val="nil"/>
              <w:bottom w:val="nil"/>
              <w:right w:val="nil"/>
            </w:tcBorders>
          </w:tcPr>
          <w:p w14:paraId="0F2CAC83" w14:textId="77777777" w:rsidR="00577F8F" w:rsidRPr="00055408" w:rsidRDefault="00577F8F" w:rsidP="00F7327F">
            <w:pPr>
              <w:spacing w:after="120" w:line="259" w:lineRule="auto"/>
              <w:rPr>
                <w:lang w:val="en-US" w:eastAsia="en-NZ"/>
              </w:rPr>
            </w:pPr>
            <w:r w:rsidRPr="00055408">
              <w:rPr>
                <w:lang w:val="en-US" w:eastAsia="en-NZ"/>
              </w:rPr>
              <w:t>Hoa takatāpui</w:t>
            </w:r>
          </w:p>
        </w:tc>
        <w:tc>
          <w:tcPr>
            <w:tcW w:w="7320" w:type="dxa"/>
            <w:gridSpan w:val="2"/>
            <w:tcBorders>
              <w:top w:val="nil"/>
              <w:left w:val="nil"/>
              <w:bottom w:val="nil"/>
              <w:right w:val="nil"/>
            </w:tcBorders>
          </w:tcPr>
          <w:p w14:paraId="3FE2E718" w14:textId="0A57644A" w:rsidR="00577F8F" w:rsidRPr="00055408" w:rsidRDefault="00564547" w:rsidP="00F7327F">
            <w:pPr>
              <w:spacing w:after="120" w:line="259" w:lineRule="auto"/>
              <w:rPr>
                <w:lang w:val="en-US" w:eastAsia="en-NZ"/>
              </w:rPr>
            </w:pPr>
            <w:r>
              <w:rPr>
                <w:lang w:val="en-US" w:eastAsia="en-NZ"/>
              </w:rPr>
              <w:t>I</w:t>
            </w:r>
            <w:r w:rsidR="00577F8F" w:rsidRPr="00055408">
              <w:rPr>
                <w:lang w:val="en-US" w:eastAsia="en-NZ"/>
              </w:rPr>
              <w:t>ntimate companion of the same sex.</w:t>
            </w:r>
          </w:p>
        </w:tc>
      </w:tr>
      <w:tr w:rsidR="00877E3E" w:rsidRPr="00577F8F" w14:paraId="69F90AEE" w14:textId="77777777" w:rsidTr="00055408">
        <w:tc>
          <w:tcPr>
            <w:tcW w:w="1696" w:type="dxa"/>
            <w:tcBorders>
              <w:top w:val="nil"/>
              <w:left w:val="nil"/>
              <w:bottom w:val="nil"/>
              <w:right w:val="nil"/>
            </w:tcBorders>
          </w:tcPr>
          <w:p w14:paraId="68D0DC13" w14:textId="77777777" w:rsidR="00577F8F" w:rsidRPr="00055408" w:rsidRDefault="00577F8F" w:rsidP="00F7327F">
            <w:pPr>
              <w:spacing w:after="120" w:line="259" w:lineRule="auto"/>
              <w:rPr>
                <w:lang w:val="en-US" w:eastAsia="en-NZ"/>
              </w:rPr>
            </w:pPr>
            <w:r w:rsidRPr="00055408">
              <w:rPr>
                <w:lang w:val="en-US" w:eastAsia="en-NZ"/>
              </w:rPr>
              <w:t xml:space="preserve">Ira tangata </w:t>
            </w:r>
          </w:p>
        </w:tc>
        <w:tc>
          <w:tcPr>
            <w:tcW w:w="7320" w:type="dxa"/>
            <w:gridSpan w:val="2"/>
            <w:tcBorders>
              <w:top w:val="nil"/>
              <w:left w:val="nil"/>
              <w:bottom w:val="nil"/>
              <w:right w:val="nil"/>
            </w:tcBorders>
          </w:tcPr>
          <w:p w14:paraId="2F97B49F" w14:textId="43F04886" w:rsidR="00577F8F" w:rsidRPr="00055408" w:rsidRDefault="00564547" w:rsidP="00F7327F">
            <w:pPr>
              <w:spacing w:after="120" w:line="259" w:lineRule="auto"/>
              <w:rPr>
                <w:lang w:val="en-US" w:eastAsia="en-NZ"/>
              </w:rPr>
            </w:pPr>
            <w:r>
              <w:rPr>
                <w:lang w:val="en-US" w:eastAsia="en-NZ"/>
              </w:rPr>
              <w:t>H</w:t>
            </w:r>
            <w:r w:rsidR="00577F8F" w:rsidRPr="00055408">
              <w:rPr>
                <w:lang w:val="en-US" w:eastAsia="en-NZ"/>
              </w:rPr>
              <w:t>uman genes, human element, mortals. It is used to refer to intersex people. This kupu is a Māori reference to identity and whakapapa. This term acknowledges in te reo that Māori are Indigenous first and are not defined by any single characteristic or variation.</w:t>
            </w:r>
            <w:r w:rsidR="00FB2A84">
              <w:rPr>
                <w:rStyle w:val="FootnoteReference"/>
                <w:lang w:val="en-US" w:eastAsia="en-NZ"/>
              </w:rPr>
              <w:footnoteReference w:id="21"/>
            </w:r>
          </w:p>
        </w:tc>
      </w:tr>
      <w:tr w:rsidR="00877E3E" w:rsidRPr="00577F8F" w14:paraId="12310191" w14:textId="77777777" w:rsidTr="00055408">
        <w:tc>
          <w:tcPr>
            <w:tcW w:w="1696" w:type="dxa"/>
            <w:tcBorders>
              <w:top w:val="nil"/>
              <w:left w:val="nil"/>
              <w:bottom w:val="nil"/>
              <w:right w:val="nil"/>
            </w:tcBorders>
          </w:tcPr>
          <w:p w14:paraId="12253E21" w14:textId="77777777" w:rsidR="00577F8F" w:rsidRPr="00055408" w:rsidRDefault="00577F8F" w:rsidP="00F7327F">
            <w:pPr>
              <w:spacing w:after="120" w:line="259" w:lineRule="auto"/>
              <w:rPr>
                <w:lang w:val="en-US" w:eastAsia="en-NZ"/>
              </w:rPr>
            </w:pPr>
            <w:r w:rsidRPr="00055408">
              <w:rPr>
                <w:lang w:val="en-US" w:eastAsia="en-NZ"/>
              </w:rPr>
              <w:t xml:space="preserve">Iwi </w:t>
            </w:r>
          </w:p>
        </w:tc>
        <w:tc>
          <w:tcPr>
            <w:tcW w:w="7320" w:type="dxa"/>
            <w:gridSpan w:val="2"/>
            <w:tcBorders>
              <w:top w:val="nil"/>
              <w:left w:val="nil"/>
              <w:bottom w:val="nil"/>
              <w:right w:val="nil"/>
            </w:tcBorders>
          </w:tcPr>
          <w:p w14:paraId="39CD4085" w14:textId="467EAAD6" w:rsidR="00577F8F" w:rsidRPr="00055408" w:rsidRDefault="00564547" w:rsidP="00F7327F">
            <w:pPr>
              <w:spacing w:after="120" w:line="259" w:lineRule="auto"/>
              <w:rPr>
                <w:lang w:val="en-US" w:eastAsia="en-NZ"/>
              </w:rPr>
            </w:pPr>
            <w:r>
              <w:rPr>
                <w:lang w:val="en-US" w:eastAsia="en-NZ"/>
              </w:rPr>
              <w:t>E</w:t>
            </w:r>
            <w:r w:rsidR="00577F8F" w:rsidRPr="00055408">
              <w:rPr>
                <w:lang w:val="en-US" w:eastAsia="en-NZ"/>
              </w:rPr>
              <w:t>xtended kinship group, tribe, nation, people, nationality, race</w:t>
            </w:r>
            <w:r>
              <w:rPr>
                <w:lang w:val="en-US" w:eastAsia="en-NZ"/>
              </w:rPr>
              <w:t xml:space="preserve"> –</w:t>
            </w:r>
            <w:r w:rsidR="00577F8F" w:rsidRPr="00055408">
              <w:rPr>
                <w:lang w:val="en-US" w:eastAsia="en-NZ"/>
              </w:rPr>
              <w:t xml:space="preserve"> often refer</w:t>
            </w:r>
            <w:r>
              <w:rPr>
                <w:lang w:val="en-US" w:eastAsia="en-NZ"/>
              </w:rPr>
              <w:t>r</w:t>
            </w:r>
            <w:r w:rsidR="00577F8F" w:rsidRPr="00055408">
              <w:rPr>
                <w:lang w:val="en-US" w:eastAsia="en-NZ"/>
              </w:rPr>
              <w:t xml:space="preserve">ing to a large group of people descended from a common ancestor and associated with a distinct territory. </w:t>
            </w:r>
          </w:p>
        </w:tc>
      </w:tr>
      <w:tr w:rsidR="0017792F" w:rsidRPr="00577F8F" w14:paraId="4F36B981" w14:textId="77777777" w:rsidTr="00055408">
        <w:trPr>
          <w:gridAfter w:val="1"/>
          <w:wAfter w:w="118" w:type="dxa"/>
        </w:trPr>
        <w:tc>
          <w:tcPr>
            <w:tcW w:w="1696" w:type="dxa"/>
            <w:tcBorders>
              <w:top w:val="nil"/>
              <w:left w:val="nil"/>
              <w:bottom w:val="nil"/>
              <w:right w:val="nil"/>
            </w:tcBorders>
          </w:tcPr>
          <w:p w14:paraId="70820B94" w14:textId="71655C7F" w:rsidR="00B21158" w:rsidRPr="00055408" w:rsidRDefault="00B21158" w:rsidP="00F7327F">
            <w:pPr>
              <w:spacing w:after="120"/>
              <w:rPr>
                <w:lang w:val="en-US" w:eastAsia="en-NZ"/>
              </w:rPr>
            </w:pPr>
            <w:r>
              <w:rPr>
                <w:lang w:val="en-US" w:eastAsia="en-NZ"/>
              </w:rPr>
              <w:t>Kawa</w:t>
            </w:r>
          </w:p>
        </w:tc>
        <w:tc>
          <w:tcPr>
            <w:tcW w:w="7320" w:type="dxa"/>
            <w:tcBorders>
              <w:top w:val="nil"/>
              <w:left w:val="nil"/>
              <w:bottom w:val="nil"/>
              <w:right w:val="nil"/>
            </w:tcBorders>
          </w:tcPr>
          <w:p w14:paraId="480327CC" w14:textId="6757094E" w:rsidR="00B21158" w:rsidRPr="00055408" w:rsidRDefault="00B21158" w:rsidP="00F7327F">
            <w:pPr>
              <w:spacing w:after="120"/>
              <w:rPr>
                <w:lang w:val="en-US" w:eastAsia="en-NZ"/>
              </w:rPr>
            </w:pPr>
            <w:r>
              <w:rPr>
                <w:lang w:val="en-US" w:eastAsia="en-NZ"/>
              </w:rPr>
              <w:t>Protocols</w:t>
            </w:r>
            <w:r w:rsidR="0096048E">
              <w:rPr>
                <w:lang w:val="en-US" w:eastAsia="en-NZ"/>
              </w:rPr>
              <w:t xml:space="preserve"> that guide behaviour in different contexts</w:t>
            </w:r>
            <w:r>
              <w:rPr>
                <w:lang w:val="en-US" w:eastAsia="en-NZ"/>
              </w:rPr>
              <w:t>.</w:t>
            </w:r>
          </w:p>
        </w:tc>
      </w:tr>
      <w:tr w:rsidR="00877E3E" w:rsidRPr="00577F8F" w14:paraId="763E129C" w14:textId="77777777" w:rsidTr="00055408">
        <w:tc>
          <w:tcPr>
            <w:tcW w:w="1696" w:type="dxa"/>
            <w:tcBorders>
              <w:top w:val="nil"/>
              <w:left w:val="nil"/>
              <w:bottom w:val="nil"/>
              <w:right w:val="nil"/>
            </w:tcBorders>
          </w:tcPr>
          <w:p w14:paraId="7D15C395" w14:textId="77777777" w:rsidR="00577F8F" w:rsidRPr="00055408" w:rsidRDefault="00577F8F" w:rsidP="00F7327F">
            <w:pPr>
              <w:spacing w:after="120" w:line="259" w:lineRule="auto"/>
              <w:rPr>
                <w:lang w:val="en-US" w:eastAsia="en-NZ"/>
              </w:rPr>
            </w:pPr>
            <w:r w:rsidRPr="00055408">
              <w:rPr>
                <w:lang w:val="en-US" w:eastAsia="en-NZ"/>
              </w:rPr>
              <w:t xml:space="preserve">Karakia </w:t>
            </w:r>
          </w:p>
        </w:tc>
        <w:tc>
          <w:tcPr>
            <w:tcW w:w="7320" w:type="dxa"/>
            <w:gridSpan w:val="2"/>
            <w:tcBorders>
              <w:top w:val="nil"/>
              <w:left w:val="nil"/>
              <w:bottom w:val="nil"/>
              <w:right w:val="nil"/>
            </w:tcBorders>
          </w:tcPr>
          <w:p w14:paraId="46FD15E7" w14:textId="344BB273" w:rsidR="00577F8F" w:rsidRPr="00055408" w:rsidRDefault="00577F8F" w:rsidP="00F7327F">
            <w:pPr>
              <w:spacing w:after="120" w:line="259" w:lineRule="auto"/>
              <w:rPr>
                <w:lang w:val="en-US" w:eastAsia="en-NZ"/>
              </w:rPr>
            </w:pPr>
            <w:r w:rsidRPr="00055408">
              <w:rPr>
                <w:lang w:val="en-US" w:eastAsia="en-NZ"/>
              </w:rPr>
              <w:t xml:space="preserve">(-tia) </w:t>
            </w:r>
            <w:r w:rsidR="00564547">
              <w:rPr>
                <w:lang w:val="en-US" w:eastAsia="en-NZ"/>
              </w:rPr>
              <w:t>T</w:t>
            </w:r>
            <w:r w:rsidRPr="00055408">
              <w:rPr>
                <w:lang w:val="en-US" w:eastAsia="en-NZ"/>
              </w:rPr>
              <w:t xml:space="preserve">o recite ritual chants, say grace, pray, recite a prayer, chant. </w:t>
            </w:r>
          </w:p>
        </w:tc>
      </w:tr>
      <w:tr w:rsidR="00877E3E" w:rsidRPr="00577F8F" w14:paraId="1A2F96C4" w14:textId="77777777" w:rsidTr="00055408">
        <w:tc>
          <w:tcPr>
            <w:tcW w:w="1696" w:type="dxa"/>
            <w:tcBorders>
              <w:top w:val="nil"/>
              <w:left w:val="nil"/>
              <w:bottom w:val="nil"/>
              <w:right w:val="nil"/>
            </w:tcBorders>
          </w:tcPr>
          <w:p w14:paraId="465CE6C1" w14:textId="77777777" w:rsidR="00577F8F" w:rsidRPr="00577F8F" w:rsidRDefault="00577F8F" w:rsidP="00F7327F">
            <w:pPr>
              <w:spacing w:after="120" w:line="259" w:lineRule="auto"/>
              <w:rPr>
                <w:lang w:eastAsia="en-NZ"/>
              </w:rPr>
            </w:pPr>
            <w:r w:rsidRPr="00577F8F">
              <w:rPr>
                <w:lang w:eastAsia="en-NZ"/>
              </w:rPr>
              <w:t xml:space="preserve">Kaumātua </w:t>
            </w:r>
          </w:p>
        </w:tc>
        <w:tc>
          <w:tcPr>
            <w:tcW w:w="7320" w:type="dxa"/>
            <w:gridSpan w:val="2"/>
            <w:tcBorders>
              <w:top w:val="nil"/>
              <w:left w:val="nil"/>
              <w:bottom w:val="nil"/>
              <w:right w:val="nil"/>
            </w:tcBorders>
          </w:tcPr>
          <w:p w14:paraId="750D4C28" w14:textId="510EBFA4" w:rsidR="00577F8F" w:rsidRPr="00577F8F" w:rsidRDefault="00564547" w:rsidP="00F7327F">
            <w:pPr>
              <w:spacing w:after="120" w:line="259" w:lineRule="auto"/>
              <w:rPr>
                <w:rFonts w:ascii="Segoe UI" w:hAnsi="Segoe UI" w:cs="Segoe UI"/>
                <w:sz w:val="18"/>
                <w:szCs w:val="18"/>
                <w:lang w:eastAsia="en-NZ"/>
              </w:rPr>
            </w:pPr>
            <w:r>
              <w:rPr>
                <w:color w:val="102B26"/>
                <w:lang w:eastAsia="en-NZ"/>
              </w:rPr>
              <w:t>A</w:t>
            </w:r>
            <w:r w:rsidR="00577F8F" w:rsidRPr="00577F8F">
              <w:rPr>
                <w:color w:val="102B26"/>
                <w:lang w:eastAsia="en-NZ"/>
              </w:rPr>
              <w:t xml:space="preserve">dult, elder, elderly man, elderly woman, old man </w:t>
            </w:r>
            <w:r w:rsidR="00034558">
              <w:rPr>
                <w:color w:val="102B26"/>
                <w:lang w:eastAsia="en-NZ"/>
              </w:rPr>
              <w:t>–</w:t>
            </w:r>
            <w:r w:rsidR="00577F8F" w:rsidRPr="00577F8F">
              <w:rPr>
                <w:color w:val="102B26"/>
                <w:lang w:eastAsia="en-NZ"/>
              </w:rPr>
              <w:t xml:space="preserve"> a person of status within the whānau. </w:t>
            </w:r>
          </w:p>
        </w:tc>
      </w:tr>
      <w:tr w:rsidR="00877E3E" w:rsidRPr="00577F8F" w14:paraId="10B25A4F" w14:textId="77777777" w:rsidTr="00055408">
        <w:tc>
          <w:tcPr>
            <w:tcW w:w="1696" w:type="dxa"/>
            <w:tcBorders>
              <w:top w:val="nil"/>
              <w:left w:val="nil"/>
              <w:bottom w:val="nil"/>
              <w:right w:val="nil"/>
            </w:tcBorders>
          </w:tcPr>
          <w:p w14:paraId="2EB796F9" w14:textId="77777777" w:rsidR="00577F8F" w:rsidRPr="00577F8F" w:rsidRDefault="00577F8F" w:rsidP="00F7327F">
            <w:pPr>
              <w:spacing w:after="120" w:line="259" w:lineRule="auto"/>
              <w:rPr>
                <w:lang w:eastAsia="en-NZ"/>
              </w:rPr>
            </w:pPr>
            <w:r w:rsidRPr="00577F8F">
              <w:rPr>
                <w:lang w:eastAsia="en-NZ"/>
              </w:rPr>
              <w:t xml:space="preserve">Kuia </w:t>
            </w:r>
          </w:p>
        </w:tc>
        <w:tc>
          <w:tcPr>
            <w:tcW w:w="7320" w:type="dxa"/>
            <w:gridSpan w:val="2"/>
            <w:tcBorders>
              <w:top w:val="nil"/>
              <w:left w:val="nil"/>
              <w:bottom w:val="nil"/>
              <w:right w:val="nil"/>
            </w:tcBorders>
          </w:tcPr>
          <w:p w14:paraId="5427AA05" w14:textId="465B7278" w:rsidR="00577F8F" w:rsidRPr="00577F8F" w:rsidRDefault="00034558" w:rsidP="00F7327F">
            <w:pPr>
              <w:spacing w:after="120" w:line="259" w:lineRule="auto"/>
              <w:rPr>
                <w:rFonts w:ascii="Segoe UI" w:hAnsi="Segoe UI" w:cs="Segoe UI"/>
                <w:sz w:val="18"/>
                <w:szCs w:val="18"/>
                <w:lang w:eastAsia="en-NZ"/>
              </w:rPr>
            </w:pPr>
            <w:r>
              <w:rPr>
                <w:color w:val="102B26"/>
                <w:lang w:eastAsia="en-NZ"/>
              </w:rPr>
              <w:t>E</w:t>
            </w:r>
            <w:r w:rsidR="00577F8F" w:rsidRPr="00577F8F">
              <w:rPr>
                <w:color w:val="102B26"/>
                <w:lang w:eastAsia="en-NZ"/>
              </w:rPr>
              <w:t xml:space="preserve">lderly woman, grandmother, female elder. </w:t>
            </w:r>
          </w:p>
        </w:tc>
      </w:tr>
      <w:tr w:rsidR="00877E3E" w:rsidRPr="00577F8F" w14:paraId="4C647526" w14:textId="77777777" w:rsidTr="00055408">
        <w:tc>
          <w:tcPr>
            <w:tcW w:w="1696" w:type="dxa"/>
            <w:tcBorders>
              <w:top w:val="nil"/>
              <w:left w:val="nil"/>
              <w:bottom w:val="nil"/>
              <w:right w:val="nil"/>
            </w:tcBorders>
          </w:tcPr>
          <w:p w14:paraId="37C06192" w14:textId="5CA2820F" w:rsidR="00577F8F" w:rsidRPr="00577F8F" w:rsidRDefault="00577F8F" w:rsidP="00F7327F">
            <w:pPr>
              <w:spacing w:after="120" w:line="259" w:lineRule="auto"/>
              <w:rPr>
                <w:color w:val="102B26"/>
                <w:lang w:eastAsia="en-NZ"/>
              </w:rPr>
            </w:pPr>
            <w:r w:rsidRPr="00577F8F">
              <w:rPr>
                <w:color w:val="102B26"/>
                <w:lang w:eastAsia="en-NZ"/>
              </w:rPr>
              <w:t xml:space="preserve">Mana </w:t>
            </w:r>
          </w:p>
        </w:tc>
        <w:tc>
          <w:tcPr>
            <w:tcW w:w="7320" w:type="dxa"/>
            <w:gridSpan w:val="2"/>
            <w:tcBorders>
              <w:top w:val="nil"/>
              <w:left w:val="nil"/>
              <w:bottom w:val="nil"/>
              <w:right w:val="nil"/>
            </w:tcBorders>
          </w:tcPr>
          <w:p w14:paraId="6A6C00B8" w14:textId="32C806D5" w:rsidR="00577F8F" w:rsidRPr="00577F8F" w:rsidRDefault="00C67CE3" w:rsidP="00F7327F">
            <w:pPr>
              <w:spacing w:after="120" w:line="259" w:lineRule="auto"/>
              <w:rPr>
                <w:color w:val="102B26"/>
                <w:lang w:eastAsia="en-NZ"/>
              </w:rPr>
            </w:pPr>
            <w:r>
              <w:rPr>
                <w:color w:val="102B26"/>
                <w:lang w:eastAsia="en-NZ"/>
              </w:rPr>
              <w:t>P</w:t>
            </w:r>
            <w:r w:rsidR="00055408" w:rsidRPr="00577F8F">
              <w:rPr>
                <w:color w:val="102B26"/>
                <w:lang w:eastAsia="en-NZ"/>
              </w:rPr>
              <w:t>restige, authority, control, power, influence, status, spiritual power, charisma.</w:t>
            </w:r>
          </w:p>
        </w:tc>
      </w:tr>
      <w:tr w:rsidR="00877E3E" w:rsidRPr="00577F8F" w14:paraId="05F879EF" w14:textId="77777777" w:rsidTr="00055408">
        <w:tc>
          <w:tcPr>
            <w:tcW w:w="1696" w:type="dxa"/>
            <w:tcBorders>
              <w:top w:val="nil"/>
              <w:left w:val="nil"/>
              <w:bottom w:val="nil"/>
              <w:right w:val="nil"/>
            </w:tcBorders>
          </w:tcPr>
          <w:p w14:paraId="44EF18A2" w14:textId="77777777" w:rsidR="00577F8F" w:rsidRPr="00577F8F" w:rsidRDefault="00577F8F" w:rsidP="00F7327F">
            <w:pPr>
              <w:spacing w:after="120" w:line="259" w:lineRule="auto"/>
              <w:rPr>
                <w:color w:val="102B26"/>
                <w:lang w:eastAsia="en-NZ"/>
              </w:rPr>
            </w:pPr>
            <w:r w:rsidRPr="00577F8F">
              <w:rPr>
                <w:color w:val="102B26"/>
                <w:lang w:eastAsia="en-NZ"/>
              </w:rPr>
              <w:t xml:space="preserve">Manaaki </w:t>
            </w:r>
          </w:p>
        </w:tc>
        <w:tc>
          <w:tcPr>
            <w:tcW w:w="7320" w:type="dxa"/>
            <w:gridSpan w:val="2"/>
            <w:tcBorders>
              <w:top w:val="nil"/>
              <w:left w:val="nil"/>
              <w:bottom w:val="nil"/>
              <w:right w:val="nil"/>
            </w:tcBorders>
          </w:tcPr>
          <w:p w14:paraId="2390D2EC" w14:textId="7EA25258" w:rsidR="00577F8F" w:rsidRPr="00577F8F" w:rsidRDefault="00577F8F" w:rsidP="00F7327F">
            <w:pPr>
              <w:spacing w:after="120" w:line="259" w:lineRule="auto"/>
              <w:rPr>
                <w:color w:val="102B26"/>
                <w:lang w:eastAsia="en-NZ"/>
              </w:rPr>
            </w:pPr>
            <w:r w:rsidRPr="00577F8F">
              <w:rPr>
                <w:color w:val="102B26"/>
                <w:lang w:eastAsia="en-NZ"/>
              </w:rPr>
              <w:t xml:space="preserve">(-tia) </w:t>
            </w:r>
            <w:r w:rsidR="00C67CE3">
              <w:rPr>
                <w:color w:val="102B26"/>
                <w:lang w:eastAsia="en-NZ"/>
              </w:rPr>
              <w:t>T</w:t>
            </w:r>
            <w:r w:rsidRPr="00577F8F">
              <w:rPr>
                <w:color w:val="102B26"/>
                <w:lang w:eastAsia="en-NZ"/>
              </w:rPr>
              <w:t>o support, take care of, give hospitality to, protect, look out for, as well show respect, generosity and care for others.</w:t>
            </w:r>
          </w:p>
        </w:tc>
      </w:tr>
      <w:tr w:rsidR="00877E3E" w:rsidRPr="00577F8F" w14:paraId="77662BCE" w14:textId="77777777" w:rsidTr="00055408">
        <w:tc>
          <w:tcPr>
            <w:tcW w:w="1696" w:type="dxa"/>
            <w:tcBorders>
              <w:top w:val="nil"/>
              <w:left w:val="nil"/>
              <w:bottom w:val="nil"/>
              <w:right w:val="nil"/>
            </w:tcBorders>
          </w:tcPr>
          <w:p w14:paraId="1C48F923" w14:textId="2A30DBEA" w:rsidR="00EF617C" w:rsidRPr="00577F8F" w:rsidRDefault="00EF617C" w:rsidP="00EF617C">
            <w:pPr>
              <w:spacing w:after="120"/>
              <w:rPr>
                <w:color w:val="102B26"/>
                <w:lang w:eastAsia="en-NZ"/>
              </w:rPr>
            </w:pPr>
            <w:r w:rsidRPr="00577F8F">
              <w:rPr>
                <w:color w:val="102B26"/>
                <w:lang w:eastAsia="en-NZ"/>
              </w:rPr>
              <w:t xml:space="preserve">Marae </w:t>
            </w:r>
          </w:p>
        </w:tc>
        <w:tc>
          <w:tcPr>
            <w:tcW w:w="7320" w:type="dxa"/>
            <w:gridSpan w:val="2"/>
            <w:tcBorders>
              <w:top w:val="nil"/>
              <w:left w:val="nil"/>
              <w:bottom w:val="nil"/>
              <w:right w:val="nil"/>
            </w:tcBorders>
          </w:tcPr>
          <w:p w14:paraId="368A6C36" w14:textId="1374ED7A" w:rsidR="00EF617C" w:rsidRPr="00577F8F" w:rsidDel="00034558" w:rsidRDefault="00EF617C" w:rsidP="00EF617C">
            <w:pPr>
              <w:spacing w:after="120"/>
              <w:rPr>
                <w:color w:val="102B26"/>
                <w:lang w:eastAsia="en-NZ"/>
              </w:rPr>
            </w:pPr>
            <w:r>
              <w:rPr>
                <w:color w:val="102B26"/>
                <w:lang w:eastAsia="en-NZ"/>
              </w:rPr>
              <w:t>C</w:t>
            </w:r>
            <w:r w:rsidRPr="00577F8F">
              <w:rPr>
                <w:color w:val="102B26"/>
                <w:lang w:eastAsia="en-NZ"/>
              </w:rPr>
              <w:t>ourtyard or open area in front of a wharenui or meeting house, often used to refer</w:t>
            </w:r>
            <w:r>
              <w:rPr>
                <w:color w:val="102B26"/>
                <w:lang w:eastAsia="en-NZ"/>
              </w:rPr>
              <w:t xml:space="preserve"> to</w:t>
            </w:r>
            <w:r w:rsidRPr="00577F8F">
              <w:rPr>
                <w:color w:val="102B26"/>
                <w:lang w:eastAsia="en-NZ"/>
              </w:rPr>
              <w:t xml:space="preserve"> the complex of buildings around the marae. </w:t>
            </w:r>
          </w:p>
        </w:tc>
      </w:tr>
      <w:tr w:rsidR="00877E3E" w:rsidRPr="00577F8F" w14:paraId="7903A6C9" w14:textId="77777777" w:rsidTr="00055408">
        <w:tc>
          <w:tcPr>
            <w:tcW w:w="1696" w:type="dxa"/>
            <w:tcBorders>
              <w:top w:val="nil"/>
              <w:left w:val="nil"/>
              <w:bottom w:val="nil"/>
              <w:right w:val="nil"/>
            </w:tcBorders>
          </w:tcPr>
          <w:p w14:paraId="286A8344" w14:textId="77777777" w:rsidR="00EF617C" w:rsidRPr="00577F8F" w:rsidRDefault="00EF617C" w:rsidP="00EF617C">
            <w:pPr>
              <w:spacing w:after="120" w:line="259" w:lineRule="auto"/>
              <w:rPr>
                <w:color w:val="102B26"/>
                <w:lang w:eastAsia="en-NZ"/>
              </w:rPr>
            </w:pPr>
            <w:r w:rsidRPr="00577F8F">
              <w:rPr>
                <w:color w:val="102B26"/>
                <w:lang w:eastAsia="en-NZ"/>
              </w:rPr>
              <w:t>Mātauranga Māori</w:t>
            </w:r>
          </w:p>
        </w:tc>
        <w:tc>
          <w:tcPr>
            <w:tcW w:w="7320" w:type="dxa"/>
            <w:gridSpan w:val="2"/>
            <w:tcBorders>
              <w:top w:val="nil"/>
              <w:left w:val="nil"/>
              <w:bottom w:val="nil"/>
              <w:right w:val="nil"/>
            </w:tcBorders>
          </w:tcPr>
          <w:p w14:paraId="193A9F72" w14:textId="1F8116FC" w:rsidR="00EF617C" w:rsidRPr="00577F8F" w:rsidRDefault="00EF617C" w:rsidP="00EF617C">
            <w:pPr>
              <w:spacing w:after="120" w:line="259" w:lineRule="auto"/>
              <w:rPr>
                <w:rFonts w:ascii="Segoe UI" w:hAnsi="Segoe UI" w:cs="Segoe UI"/>
                <w:sz w:val="18"/>
                <w:szCs w:val="18"/>
                <w:lang w:eastAsia="en-NZ"/>
              </w:rPr>
            </w:pPr>
            <w:r w:rsidRPr="00577F8F">
              <w:rPr>
                <w:color w:val="102B26"/>
                <w:lang w:eastAsia="en-NZ"/>
              </w:rPr>
              <w:t>Māori knowledge</w:t>
            </w:r>
            <w:r>
              <w:rPr>
                <w:color w:val="102B26"/>
                <w:lang w:eastAsia="en-NZ"/>
              </w:rPr>
              <w:t xml:space="preserve"> –</w:t>
            </w:r>
            <w:r w:rsidRPr="00577F8F">
              <w:rPr>
                <w:color w:val="102B26"/>
                <w:lang w:eastAsia="en-NZ"/>
              </w:rPr>
              <w:t xml:space="preserve"> the body of knowledge originating from Māori ancestors, including the Māori world view and perspectives, Māori creativity</w:t>
            </w:r>
            <w:r>
              <w:rPr>
                <w:color w:val="102B26"/>
                <w:lang w:eastAsia="en-NZ"/>
              </w:rPr>
              <w:t>,</w:t>
            </w:r>
            <w:r w:rsidRPr="00577F8F">
              <w:rPr>
                <w:color w:val="102B26"/>
                <w:lang w:eastAsia="en-NZ"/>
              </w:rPr>
              <w:t xml:space="preserve"> and cultural practices.</w:t>
            </w:r>
          </w:p>
        </w:tc>
      </w:tr>
      <w:tr w:rsidR="00877E3E" w:rsidRPr="00577F8F" w14:paraId="157C6FB8" w14:textId="77777777" w:rsidTr="00055408">
        <w:tc>
          <w:tcPr>
            <w:tcW w:w="1696" w:type="dxa"/>
            <w:tcBorders>
              <w:top w:val="nil"/>
              <w:left w:val="nil"/>
              <w:bottom w:val="nil"/>
              <w:right w:val="nil"/>
            </w:tcBorders>
          </w:tcPr>
          <w:p w14:paraId="1C226D13" w14:textId="77777777" w:rsidR="00EF617C" w:rsidRPr="00577F8F" w:rsidRDefault="00EF617C" w:rsidP="00EF617C">
            <w:pPr>
              <w:spacing w:after="120" w:line="259" w:lineRule="auto"/>
              <w:rPr>
                <w:lang w:eastAsia="en-NZ"/>
              </w:rPr>
            </w:pPr>
            <w:r w:rsidRPr="00577F8F">
              <w:rPr>
                <w:lang w:eastAsia="en-NZ"/>
              </w:rPr>
              <w:t>M</w:t>
            </w:r>
            <w:r w:rsidRPr="00577F8F">
              <w:rPr>
                <w:lang w:val="mi-NZ" w:eastAsia="en-NZ"/>
              </w:rPr>
              <w:t>ō</w:t>
            </w:r>
            <w:r w:rsidRPr="00577F8F">
              <w:rPr>
                <w:lang w:eastAsia="en-NZ"/>
              </w:rPr>
              <w:t xml:space="preserve">teatea </w:t>
            </w:r>
          </w:p>
        </w:tc>
        <w:tc>
          <w:tcPr>
            <w:tcW w:w="7320" w:type="dxa"/>
            <w:gridSpan w:val="2"/>
            <w:tcBorders>
              <w:top w:val="nil"/>
              <w:left w:val="nil"/>
              <w:bottom w:val="nil"/>
              <w:right w:val="nil"/>
            </w:tcBorders>
          </w:tcPr>
          <w:p w14:paraId="6FBF35B6" w14:textId="44EF2ED3" w:rsidR="00EF617C" w:rsidRPr="00577F8F" w:rsidRDefault="00EF617C" w:rsidP="00EF617C">
            <w:pPr>
              <w:spacing w:after="120" w:line="259" w:lineRule="auto"/>
              <w:rPr>
                <w:color w:val="102B26"/>
                <w:lang w:eastAsia="en-NZ"/>
              </w:rPr>
            </w:pPr>
            <w:r>
              <w:rPr>
                <w:color w:val="102B26"/>
                <w:lang w:eastAsia="en-NZ"/>
              </w:rPr>
              <w:t>L</w:t>
            </w:r>
            <w:r w:rsidRPr="00577F8F">
              <w:rPr>
                <w:color w:val="102B26"/>
                <w:lang w:eastAsia="en-NZ"/>
              </w:rPr>
              <w:t xml:space="preserve">ament, traditional chant, sung poetry – a general term for songs sung in traditional mode. </w:t>
            </w:r>
          </w:p>
        </w:tc>
      </w:tr>
      <w:tr w:rsidR="00877E3E" w:rsidRPr="00577F8F" w14:paraId="696351E4" w14:textId="77777777" w:rsidTr="00055408">
        <w:tc>
          <w:tcPr>
            <w:tcW w:w="1696" w:type="dxa"/>
            <w:tcBorders>
              <w:top w:val="nil"/>
              <w:left w:val="nil"/>
              <w:bottom w:val="nil"/>
              <w:right w:val="nil"/>
            </w:tcBorders>
          </w:tcPr>
          <w:p w14:paraId="799FCE80" w14:textId="77777777" w:rsidR="00EF617C" w:rsidRPr="00577F8F" w:rsidRDefault="00EF617C" w:rsidP="00EF617C">
            <w:pPr>
              <w:spacing w:after="120" w:line="259" w:lineRule="auto"/>
              <w:rPr>
                <w:color w:val="102B26"/>
                <w:lang w:eastAsia="en-NZ"/>
              </w:rPr>
            </w:pPr>
            <w:r w:rsidRPr="00577F8F">
              <w:rPr>
                <w:color w:val="102B26"/>
                <w:lang w:eastAsia="en-NZ"/>
              </w:rPr>
              <w:t xml:space="preserve">Ngā atua </w:t>
            </w:r>
          </w:p>
        </w:tc>
        <w:tc>
          <w:tcPr>
            <w:tcW w:w="7320" w:type="dxa"/>
            <w:gridSpan w:val="2"/>
            <w:tcBorders>
              <w:top w:val="nil"/>
              <w:left w:val="nil"/>
              <w:bottom w:val="nil"/>
              <w:right w:val="nil"/>
            </w:tcBorders>
          </w:tcPr>
          <w:p w14:paraId="02C20C6D" w14:textId="5DF8E05A" w:rsidR="00EF617C" w:rsidRPr="00577F8F" w:rsidRDefault="00EF617C" w:rsidP="00EF617C">
            <w:pPr>
              <w:spacing w:after="120" w:line="259" w:lineRule="auto"/>
              <w:rPr>
                <w:rFonts w:ascii="Segoe UI" w:hAnsi="Segoe UI" w:cs="Segoe UI"/>
                <w:sz w:val="18"/>
                <w:szCs w:val="18"/>
                <w:lang w:eastAsia="en-NZ"/>
              </w:rPr>
            </w:pPr>
            <w:r>
              <w:rPr>
                <w:color w:val="102B26"/>
                <w:lang w:eastAsia="en-NZ"/>
              </w:rPr>
              <w:t>G</w:t>
            </w:r>
            <w:r w:rsidRPr="00577F8F">
              <w:rPr>
                <w:color w:val="102B26"/>
                <w:lang w:eastAsia="en-NZ"/>
              </w:rPr>
              <w:t>ods, supernatural beings or ancestors with continuing influence, deities.</w:t>
            </w:r>
          </w:p>
        </w:tc>
      </w:tr>
      <w:tr w:rsidR="00877E3E" w:rsidRPr="00577F8F" w14:paraId="75E0515B" w14:textId="77777777" w:rsidTr="00055408">
        <w:tc>
          <w:tcPr>
            <w:tcW w:w="1696" w:type="dxa"/>
            <w:tcBorders>
              <w:top w:val="nil"/>
              <w:left w:val="nil"/>
              <w:bottom w:val="nil"/>
              <w:right w:val="nil"/>
            </w:tcBorders>
          </w:tcPr>
          <w:p w14:paraId="22497CB0" w14:textId="77777777" w:rsidR="00EF617C" w:rsidRPr="00577F8F" w:rsidRDefault="00EF617C" w:rsidP="00EF617C">
            <w:pPr>
              <w:spacing w:after="120" w:line="259" w:lineRule="auto"/>
              <w:rPr>
                <w:lang w:eastAsia="en-NZ"/>
              </w:rPr>
            </w:pPr>
            <w:r w:rsidRPr="00577F8F">
              <w:rPr>
                <w:lang w:eastAsia="en-NZ"/>
              </w:rPr>
              <w:t xml:space="preserve">Ngāti Tūwharetoa </w:t>
            </w:r>
          </w:p>
        </w:tc>
        <w:tc>
          <w:tcPr>
            <w:tcW w:w="7320" w:type="dxa"/>
            <w:gridSpan w:val="2"/>
            <w:tcBorders>
              <w:top w:val="nil"/>
              <w:left w:val="nil"/>
              <w:bottom w:val="nil"/>
              <w:right w:val="nil"/>
            </w:tcBorders>
          </w:tcPr>
          <w:p w14:paraId="784122C8" w14:textId="60DFE54E" w:rsidR="00EF617C" w:rsidRPr="00577F8F" w:rsidRDefault="00EF617C" w:rsidP="00EF617C">
            <w:pPr>
              <w:spacing w:after="120" w:line="259" w:lineRule="auto"/>
              <w:rPr>
                <w:color w:val="102B26"/>
                <w:lang w:eastAsia="en-NZ"/>
              </w:rPr>
            </w:pPr>
            <w:r>
              <w:rPr>
                <w:lang w:eastAsia="en-NZ"/>
              </w:rPr>
              <w:t>T</w:t>
            </w:r>
            <w:r w:rsidRPr="00577F8F">
              <w:rPr>
                <w:color w:val="102B26"/>
                <w:lang w:eastAsia="en-NZ"/>
              </w:rPr>
              <w:t xml:space="preserve">ribal group from the Lake Taupō area. </w:t>
            </w:r>
          </w:p>
        </w:tc>
      </w:tr>
      <w:tr w:rsidR="00877E3E" w:rsidRPr="00577F8F" w14:paraId="24A441FB" w14:textId="77777777" w:rsidTr="00055408">
        <w:tc>
          <w:tcPr>
            <w:tcW w:w="1696" w:type="dxa"/>
            <w:tcBorders>
              <w:top w:val="nil"/>
              <w:left w:val="nil"/>
              <w:bottom w:val="nil"/>
              <w:right w:val="nil"/>
            </w:tcBorders>
          </w:tcPr>
          <w:p w14:paraId="5A184777" w14:textId="532F20F5" w:rsidR="00EF617C" w:rsidRPr="00577F8F" w:rsidRDefault="00EF617C" w:rsidP="00EF617C">
            <w:pPr>
              <w:spacing w:after="120"/>
              <w:rPr>
                <w:lang w:val="en-US" w:eastAsia="en-NZ"/>
              </w:rPr>
            </w:pPr>
            <w:r w:rsidRPr="00577F8F">
              <w:rPr>
                <w:color w:val="000000" w:themeColor="text1"/>
                <w:lang w:eastAsia="en-NZ"/>
              </w:rPr>
              <w:t xml:space="preserve">Pākehā </w:t>
            </w:r>
          </w:p>
        </w:tc>
        <w:tc>
          <w:tcPr>
            <w:tcW w:w="7320" w:type="dxa"/>
            <w:gridSpan w:val="2"/>
            <w:tcBorders>
              <w:top w:val="nil"/>
              <w:left w:val="nil"/>
              <w:bottom w:val="nil"/>
              <w:right w:val="nil"/>
            </w:tcBorders>
          </w:tcPr>
          <w:p w14:paraId="707A7340" w14:textId="56A99C56" w:rsidR="00EF617C" w:rsidRDefault="00EF617C" w:rsidP="00EF617C">
            <w:pPr>
              <w:spacing w:after="120"/>
              <w:rPr>
                <w:lang w:eastAsia="en-NZ"/>
              </w:rPr>
            </w:pPr>
            <w:r w:rsidRPr="00577F8F">
              <w:rPr>
                <w:color w:val="102B26"/>
                <w:lang w:eastAsia="en-NZ"/>
              </w:rPr>
              <w:t xml:space="preserve">New Zealander of European descent, </w:t>
            </w:r>
            <w:bookmarkStart w:id="12" w:name="_Int_syRNbfgd"/>
            <w:r w:rsidRPr="00577F8F">
              <w:rPr>
                <w:color w:val="102B26"/>
                <w:lang w:eastAsia="en-NZ"/>
              </w:rPr>
              <w:t>probably originally</w:t>
            </w:r>
            <w:bookmarkEnd w:id="12"/>
            <w:r w:rsidRPr="00577F8F">
              <w:rPr>
                <w:color w:val="102B26"/>
                <w:lang w:eastAsia="en-NZ"/>
              </w:rPr>
              <w:t xml:space="preserve"> applied to English-speaking Europeans living in Aotearoa</w:t>
            </w:r>
            <w:r>
              <w:rPr>
                <w:color w:val="102B26"/>
                <w:lang w:eastAsia="en-NZ"/>
              </w:rPr>
              <w:t xml:space="preserve"> </w:t>
            </w:r>
            <w:r w:rsidRPr="00577F8F">
              <w:rPr>
                <w:color w:val="102B26"/>
                <w:lang w:eastAsia="en-NZ"/>
              </w:rPr>
              <w:t xml:space="preserve">New Zealand. </w:t>
            </w:r>
          </w:p>
        </w:tc>
      </w:tr>
      <w:tr w:rsidR="00877E3E" w:rsidRPr="00577F8F" w14:paraId="3EA529C2" w14:textId="77777777" w:rsidTr="00055408">
        <w:tc>
          <w:tcPr>
            <w:tcW w:w="1696" w:type="dxa"/>
            <w:tcBorders>
              <w:top w:val="nil"/>
              <w:left w:val="nil"/>
              <w:bottom w:val="nil"/>
              <w:right w:val="nil"/>
            </w:tcBorders>
          </w:tcPr>
          <w:p w14:paraId="59677F44" w14:textId="562DF219" w:rsidR="00EF617C" w:rsidRPr="00577F8F" w:rsidRDefault="00EF617C" w:rsidP="00EF617C">
            <w:pPr>
              <w:spacing w:after="120"/>
              <w:rPr>
                <w:lang w:val="en-US" w:eastAsia="en-NZ"/>
              </w:rPr>
            </w:pPr>
            <w:r w:rsidRPr="00577F8F">
              <w:rPr>
                <w:lang w:eastAsia="en-NZ"/>
              </w:rPr>
              <w:t xml:space="preserve">Rangatahi </w:t>
            </w:r>
          </w:p>
        </w:tc>
        <w:tc>
          <w:tcPr>
            <w:tcW w:w="7320" w:type="dxa"/>
            <w:gridSpan w:val="2"/>
            <w:tcBorders>
              <w:top w:val="nil"/>
              <w:left w:val="nil"/>
              <w:bottom w:val="nil"/>
              <w:right w:val="nil"/>
            </w:tcBorders>
          </w:tcPr>
          <w:p w14:paraId="728A4C7C" w14:textId="45AD9142" w:rsidR="00EF617C" w:rsidRDefault="00EF617C" w:rsidP="00EF617C">
            <w:pPr>
              <w:spacing w:after="120"/>
              <w:rPr>
                <w:lang w:eastAsia="en-NZ"/>
              </w:rPr>
            </w:pPr>
            <w:r>
              <w:rPr>
                <w:color w:val="102B26"/>
                <w:lang w:eastAsia="en-NZ"/>
              </w:rPr>
              <w:t>Y</w:t>
            </w:r>
            <w:r w:rsidRPr="00577F8F">
              <w:rPr>
                <w:color w:val="102B26"/>
                <w:lang w:eastAsia="en-NZ"/>
              </w:rPr>
              <w:t xml:space="preserve">ounger generation, youth. </w:t>
            </w:r>
          </w:p>
        </w:tc>
      </w:tr>
      <w:tr w:rsidR="00877E3E" w:rsidRPr="00577F8F" w14:paraId="2BF1BF9B" w14:textId="77777777" w:rsidTr="00055408">
        <w:tc>
          <w:tcPr>
            <w:tcW w:w="1696" w:type="dxa"/>
            <w:tcBorders>
              <w:top w:val="nil"/>
              <w:left w:val="nil"/>
              <w:bottom w:val="nil"/>
              <w:right w:val="nil"/>
            </w:tcBorders>
          </w:tcPr>
          <w:p w14:paraId="399E1642" w14:textId="77777777" w:rsidR="00EF617C" w:rsidRPr="00577F8F" w:rsidRDefault="00EF617C" w:rsidP="00EF617C">
            <w:pPr>
              <w:spacing w:after="120" w:line="259" w:lineRule="auto"/>
              <w:rPr>
                <w:lang w:val="en-US" w:eastAsia="en-NZ"/>
              </w:rPr>
            </w:pPr>
            <w:r w:rsidRPr="00577F8F">
              <w:rPr>
                <w:lang w:val="en-US" w:eastAsia="en-NZ"/>
              </w:rPr>
              <w:lastRenderedPageBreak/>
              <w:t xml:space="preserve">Takatāpui </w:t>
            </w:r>
          </w:p>
        </w:tc>
        <w:tc>
          <w:tcPr>
            <w:tcW w:w="7320" w:type="dxa"/>
            <w:gridSpan w:val="2"/>
            <w:tcBorders>
              <w:top w:val="nil"/>
              <w:left w:val="nil"/>
              <w:bottom w:val="nil"/>
              <w:right w:val="nil"/>
            </w:tcBorders>
          </w:tcPr>
          <w:p w14:paraId="00C8A1BF" w14:textId="36CD0357" w:rsidR="00EF617C" w:rsidRPr="00577F8F" w:rsidRDefault="00EF617C" w:rsidP="00EF617C">
            <w:pPr>
              <w:spacing w:after="120" w:line="259" w:lineRule="auto"/>
              <w:rPr>
                <w:lang w:eastAsia="en-NZ"/>
              </w:rPr>
            </w:pPr>
            <w:r>
              <w:rPr>
                <w:lang w:eastAsia="en-NZ"/>
              </w:rPr>
              <w:t>An ancient term u</w:t>
            </w:r>
            <w:r w:rsidRPr="00577F8F">
              <w:rPr>
                <w:lang w:eastAsia="en-NZ"/>
              </w:rPr>
              <w:t>sed by some M</w:t>
            </w:r>
            <w:r w:rsidRPr="00577F8F">
              <w:rPr>
                <w:lang w:val="mi-NZ" w:eastAsia="en-NZ"/>
              </w:rPr>
              <w:t xml:space="preserve">āori </w:t>
            </w:r>
            <w:r w:rsidRPr="00577F8F">
              <w:rPr>
                <w:lang w:eastAsia="en-NZ"/>
              </w:rPr>
              <w:t xml:space="preserve">that identify with a minority sexual orientation, gender identity or expression, or sex characteristics. The term has been contemporarily reclaimed from its original meaning, which was intimate companion of the same sex. </w:t>
            </w:r>
          </w:p>
        </w:tc>
      </w:tr>
      <w:tr w:rsidR="00877E3E" w:rsidRPr="00577F8F" w14:paraId="017B331B" w14:textId="77777777" w:rsidTr="00055408">
        <w:tc>
          <w:tcPr>
            <w:tcW w:w="1696" w:type="dxa"/>
            <w:tcBorders>
              <w:top w:val="nil"/>
              <w:left w:val="nil"/>
              <w:bottom w:val="nil"/>
              <w:right w:val="nil"/>
            </w:tcBorders>
          </w:tcPr>
          <w:p w14:paraId="74505F05" w14:textId="77777777" w:rsidR="00EF617C" w:rsidRPr="00577F8F" w:rsidRDefault="00EF617C" w:rsidP="00EF617C">
            <w:pPr>
              <w:spacing w:after="120" w:line="259" w:lineRule="auto"/>
              <w:rPr>
                <w:lang w:eastAsia="en-NZ"/>
              </w:rPr>
            </w:pPr>
            <w:r w:rsidRPr="00577F8F">
              <w:rPr>
                <w:lang w:eastAsia="en-NZ"/>
              </w:rPr>
              <w:t xml:space="preserve">Tangi </w:t>
            </w:r>
          </w:p>
        </w:tc>
        <w:tc>
          <w:tcPr>
            <w:tcW w:w="7320" w:type="dxa"/>
            <w:gridSpan w:val="2"/>
            <w:tcBorders>
              <w:top w:val="nil"/>
              <w:left w:val="nil"/>
              <w:bottom w:val="nil"/>
              <w:right w:val="nil"/>
            </w:tcBorders>
          </w:tcPr>
          <w:p w14:paraId="4A5A339F" w14:textId="11B674E6" w:rsidR="00EF617C" w:rsidRPr="00577F8F" w:rsidRDefault="00EF617C" w:rsidP="00EF617C">
            <w:pPr>
              <w:spacing w:after="120" w:line="259" w:lineRule="auto"/>
              <w:rPr>
                <w:color w:val="102B26"/>
                <w:lang w:eastAsia="en-NZ"/>
              </w:rPr>
            </w:pPr>
            <w:r>
              <w:rPr>
                <w:color w:val="102B26"/>
                <w:lang w:eastAsia="en-NZ"/>
              </w:rPr>
              <w:t>R</w:t>
            </w:r>
            <w:r w:rsidRPr="00577F8F">
              <w:rPr>
                <w:color w:val="102B26"/>
                <w:lang w:eastAsia="en-NZ"/>
              </w:rPr>
              <w:t xml:space="preserve">ites for the dead, funeral – shortened form of tangihanga. </w:t>
            </w:r>
          </w:p>
        </w:tc>
      </w:tr>
      <w:tr w:rsidR="005E33A4" w:rsidRPr="00577F8F" w14:paraId="7E57757D" w14:textId="77777777" w:rsidTr="00055408">
        <w:trPr>
          <w:gridAfter w:val="1"/>
          <w:wAfter w:w="118" w:type="dxa"/>
        </w:trPr>
        <w:tc>
          <w:tcPr>
            <w:tcW w:w="1696" w:type="dxa"/>
            <w:tcBorders>
              <w:top w:val="nil"/>
              <w:left w:val="nil"/>
              <w:bottom w:val="nil"/>
              <w:right w:val="nil"/>
            </w:tcBorders>
          </w:tcPr>
          <w:p w14:paraId="53954C36" w14:textId="165932A9" w:rsidR="00251CD3" w:rsidRPr="00577F8F" w:rsidRDefault="00251CD3" w:rsidP="00251CD3">
            <w:pPr>
              <w:spacing w:after="120"/>
              <w:rPr>
                <w:color w:val="000000" w:themeColor="text1"/>
                <w:lang w:eastAsia="en-NZ"/>
              </w:rPr>
            </w:pPr>
            <w:r>
              <w:rPr>
                <w:color w:val="000000" w:themeColor="text1"/>
                <w:lang w:eastAsia="en-NZ"/>
              </w:rPr>
              <w:t>Taonga</w:t>
            </w:r>
          </w:p>
        </w:tc>
        <w:tc>
          <w:tcPr>
            <w:tcW w:w="7320" w:type="dxa"/>
            <w:tcBorders>
              <w:top w:val="nil"/>
              <w:left w:val="nil"/>
              <w:bottom w:val="nil"/>
              <w:right w:val="nil"/>
            </w:tcBorders>
          </w:tcPr>
          <w:p w14:paraId="2199A729" w14:textId="467C498A" w:rsidR="00251CD3" w:rsidRDefault="00251CD3" w:rsidP="00251CD3">
            <w:pPr>
              <w:spacing w:after="120"/>
              <w:rPr>
                <w:color w:val="102B26"/>
                <w:lang w:eastAsia="en-NZ"/>
              </w:rPr>
            </w:pPr>
            <w:r>
              <w:rPr>
                <w:color w:val="102B26"/>
                <w:lang w:eastAsia="en-NZ"/>
              </w:rPr>
              <w:t>Treasure, anything prized.</w:t>
            </w:r>
          </w:p>
        </w:tc>
      </w:tr>
      <w:tr w:rsidR="00877E3E" w:rsidRPr="00577F8F" w14:paraId="45EFCB77" w14:textId="77777777" w:rsidTr="00055408">
        <w:tc>
          <w:tcPr>
            <w:tcW w:w="1696" w:type="dxa"/>
            <w:tcBorders>
              <w:top w:val="nil"/>
              <w:left w:val="nil"/>
              <w:bottom w:val="nil"/>
              <w:right w:val="nil"/>
            </w:tcBorders>
          </w:tcPr>
          <w:p w14:paraId="7EBF2682" w14:textId="2466DAE0" w:rsidR="00251CD3" w:rsidRPr="00577F8F" w:rsidRDefault="00251CD3" w:rsidP="00251CD3">
            <w:pPr>
              <w:spacing w:after="120"/>
              <w:rPr>
                <w:color w:val="102B26"/>
                <w:lang w:eastAsia="en-NZ"/>
              </w:rPr>
            </w:pPr>
            <w:r w:rsidRPr="00577F8F">
              <w:rPr>
                <w:color w:val="000000" w:themeColor="text1"/>
                <w:lang w:eastAsia="en-NZ"/>
              </w:rPr>
              <w:t xml:space="preserve">Te ao Māori </w:t>
            </w:r>
          </w:p>
        </w:tc>
        <w:tc>
          <w:tcPr>
            <w:tcW w:w="7320" w:type="dxa"/>
            <w:gridSpan w:val="2"/>
            <w:tcBorders>
              <w:top w:val="nil"/>
              <w:left w:val="nil"/>
              <w:bottom w:val="nil"/>
              <w:right w:val="nil"/>
            </w:tcBorders>
          </w:tcPr>
          <w:p w14:paraId="06354DA1" w14:textId="76CE804B" w:rsidR="00251CD3" w:rsidRPr="00577F8F" w:rsidDel="00034558" w:rsidRDefault="00251CD3" w:rsidP="00251CD3">
            <w:pPr>
              <w:spacing w:after="120"/>
              <w:rPr>
                <w:color w:val="102B26"/>
                <w:lang w:eastAsia="en-NZ"/>
              </w:rPr>
            </w:pPr>
            <w:r>
              <w:rPr>
                <w:color w:val="102B26"/>
                <w:lang w:eastAsia="en-NZ"/>
              </w:rPr>
              <w:t>T</w:t>
            </w:r>
            <w:r w:rsidRPr="00577F8F">
              <w:rPr>
                <w:color w:val="102B26"/>
                <w:lang w:eastAsia="en-NZ"/>
              </w:rPr>
              <w:t xml:space="preserve">he Māori </w:t>
            </w:r>
            <w:r>
              <w:rPr>
                <w:color w:val="102B26"/>
                <w:lang w:eastAsia="en-NZ"/>
              </w:rPr>
              <w:t>w</w:t>
            </w:r>
            <w:r w:rsidRPr="00577F8F">
              <w:rPr>
                <w:color w:val="102B26"/>
                <w:lang w:eastAsia="en-NZ"/>
              </w:rPr>
              <w:t>orld. It encompasses te reo Māori and tikanga Māori.</w:t>
            </w:r>
          </w:p>
        </w:tc>
      </w:tr>
      <w:tr w:rsidR="00877E3E" w:rsidRPr="00577F8F" w14:paraId="6FA55A2A" w14:textId="77777777" w:rsidTr="00055408">
        <w:tc>
          <w:tcPr>
            <w:tcW w:w="1696" w:type="dxa"/>
            <w:tcBorders>
              <w:top w:val="nil"/>
              <w:left w:val="nil"/>
              <w:bottom w:val="nil"/>
              <w:right w:val="nil"/>
            </w:tcBorders>
          </w:tcPr>
          <w:p w14:paraId="6E644C33" w14:textId="77777777" w:rsidR="00251CD3" w:rsidRPr="00577F8F" w:rsidRDefault="00251CD3" w:rsidP="00251CD3">
            <w:pPr>
              <w:spacing w:after="120" w:line="259" w:lineRule="auto"/>
              <w:rPr>
                <w:color w:val="102B26"/>
                <w:lang w:eastAsia="en-NZ"/>
              </w:rPr>
            </w:pPr>
            <w:r w:rsidRPr="00577F8F">
              <w:rPr>
                <w:color w:val="102B26"/>
                <w:lang w:eastAsia="en-NZ"/>
              </w:rPr>
              <w:t xml:space="preserve">Tiaki </w:t>
            </w:r>
          </w:p>
        </w:tc>
        <w:tc>
          <w:tcPr>
            <w:tcW w:w="7320" w:type="dxa"/>
            <w:gridSpan w:val="2"/>
            <w:tcBorders>
              <w:top w:val="nil"/>
              <w:left w:val="nil"/>
              <w:bottom w:val="nil"/>
              <w:right w:val="nil"/>
            </w:tcBorders>
          </w:tcPr>
          <w:p w14:paraId="18CC45FB" w14:textId="210BB523" w:rsidR="00251CD3" w:rsidRPr="00577F8F" w:rsidRDefault="00251CD3" w:rsidP="00251CD3">
            <w:pPr>
              <w:spacing w:after="120" w:line="259" w:lineRule="auto"/>
              <w:rPr>
                <w:color w:val="102B26"/>
                <w:lang w:eastAsia="en-NZ"/>
              </w:rPr>
            </w:pPr>
            <w:r w:rsidRPr="00577F8F">
              <w:rPr>
                <w:color w:val="102B26"/>
                <w:lang w:eastAsia="en-NZ"/>
              </w:rPr>
              <w:t xml:space="preserve">(-na) </w:t>
            </w:r>
            <w:r>
              <w:rPr>
                <w:color w:val="102B26"/>
                <w:lang w:eastAsia="en-NZ"/>
              </w:rPr>
              <w:t>T</w:t>
            </w:r>
            <w:r w:rsidRPr="00577F8F">
              <w:rPr>
                <w:color w:val="102B26"/>
                <w:lang w:eastAsia="en-NZ"/>
              </w:rPr>
              <w:t>o look after, nurse, care, protect</w:t>
            </w:r>
            <w:r>
              <w:rPr>
                <w:color w:val="102B26"/>
                <w:lang w:eastAsia="en-NZ"/>
              </w:rPr>
              <w:t>,</w:t>
            </w:r>
            <w:r w:rsidRPr="00577F8F">
              <w:rPr>
                <w:color w:val="102B26"/>
                <w:lang w:eastAsia="en-NZ"/>
              </w:rPr>
              <w:t xml:space="preserve"> or conserve. </w:t>
            </w:r>
          </w:p>
        </w:tc>
      </w:tr>
      <w:tr w:rsidR="00CD4B56" w:rsidRPr="00577F8F" w14:paraId="568CF251" w14:textId="77777777" w:rsidTr="00055408">
        <w:trPr>
          <w:gridAfter w:val="1"/>
          <w:wAfter w:w="118" w:type="dxa"/>
        </w:trPr>
        <w:tc>
          <w:tcPr>
            <w:tcW w:w="1696" w:type="dxa"/>
            <w:tcBorders>
              <w:top w:val="nil"/>
              <w:left w:val="nil"/>
              <w:bottom w:val="nil"/>
              <w:right w:val="nil"/>
            </w:tcBorders>
          </w:tcPr>
          <w:p w14:paraId="41851585" w14:textId="00CB81F5" w:rsidR="00B21158" w:rsidRPr="00577F8F" w:rsidRDefault="00B21158" w:rsidP="00251CD3">
            <w:pPr>
              <w:spacing w:after="120"/>
              <w:rPr>
                <w:color w:val="102B26"/>
                <w:lang w:eastAsia="en-NZ"/>
              </w:rPr>
            </w:pPr>
            <w:r>
              <w:rPr>
                <w:color w:val="102B26"/>
                <w:lang w:eastAsia="en-NZ"/>
              </w:rPr>
              <w:t>Tikanga</w:t>
            </w:r>
          </w:p>
        </w:tc>
        <w:tc>
          <w:tcPr>
            <w:tcW w:w="7320" w:type="dxa"/>
            <w:tcBorders>
              <w:top w:val="nil"/>
              <w:left w:val="nil"/>
              <w:bottom w:val="nil"/>
              <w:right w:val="nil"/>
            </w:tcBorders>
          </w:tcPr>
          <w:p w14:paraId="299779F1" w14:textId="2A529A45" w:rsidR="00B21158" w:rsidRDefault="003E09D8" w:rsidP="005B33A1">
            <w:pPr>
              <w:spacing w:after="120" w:line="259" w:lineRule="auto"/>
              <w:rPr>
                <w:color w:val="102B26"/>
                <w:lang w:eastAsia="en-NZ"/>
              </w:rPr>
            </w:pPr>
            <w:r w:rsidRPr="005B33A1">
              <w:rPr>
                <w:color w:val="102B26"/>
                <w:lang w:eastAsia="en-NZ"/>
              </w:rPr>
              <w:t>Correct procedures, customs.</w:t>
            </w:r>
            <w:r>
              <w:rPr>
                <w:rFonts w:ascii="Arial" w:hAnsi="Arial" w:cs="Arial"/>
                <w:color w:val="102B26"/>
              </w:rPr>
              <w:t> </w:t>
            </w:r>
          </w:p>
        </w:tc>
      </w:tr>
      <w:tr w:rsidR="00877E3E" w:rsidRPr="00577F8F" w14:paraId="5935975D" w14:textId="77777777" w:rsidTr="00055408">
        <w:tc>
          <w:tcPr>
            <w:tcW w:w="1696" w:type="dxa"/>
            <w:tcBorders>
              <w:top w:val="nil"/>
              <w:left w:val="nil"/>
              <w:bottom w:val="nil"/>
              <w:right w:val="nil"/>
            </w:tcBorders>
          </w:tcPr>
          <w:p w14:paraId="3580EF00" w14:textId="77777777" w:rsidR="00251CD3" w:rsidRPr="00577F8F" w:rsidRDefault="00251CD3" w:rsidP="00251CD3">
            <w:pPr>
              <w:spacing w:after="120" w:line="259" w:lineRule="auto"/>
              <w:rPr>
                <w:color w:val="102B26"/>
                <w:lang w:eastAsia="en-NZ"/>
              </w:rPr>
            </w:pPr>
            <w:r w:rsidRPr="00577F8F">
              <w:rPr>
                <w:color w:val="102B26"/>
                <w:lang w:eastAsia="en-NZ"/>
              </w:rPr>
              <w:t>Tino rangatiratanga</w:t>
            </w:r>
          </w:p>
        </w:tc>
        <w:tc>
          <w:tcPr>
            <w:tcW w:w="7320" w:type="dxa"/>
            <w:gridSpan w:val="2"/>
            <w:tcBorders>
              <w:top w:val="nil"/>
              <w:left w:val="nil"/>
              <w:bottom w:val="nil"/>
              <w:right w:val="nil"/>
            </w:tcBorders>
          </w:tcPr>
          <w:p w14:paraId="2E5DA2A6" w14:textId="49C4DC11" w:rsidR="00251CD3" w:rsidRPr="00577F8F" w:rsidRDefault="00251CD3" w:rsidP="00251CD3">
            <w:pPr>
              <w:spacing w:after="120" w:line="259" w:lineRule="auto"/>
              <w:rPr>
                <w:color w:val="102B26"/>
                <w:lang w:eastAsia="en-NZ"/>
              </w:rPr>
            </w:pPr>
            <w:r>
              <w:rPr>
                <w:color w:val="102B26"/>
                <w:lang w:eastAsia="en-NZ"/>
              </w:rPr>
              <w:t>S</w:t>
            </w:r>
            <w:r w:rsidRPr="00577F8F">
              <w:rPr>
                <w:color w:val="102B26"/>
                <w:lang w:eastAsia="en-NZ"/>
              </w:rPr>
              <w:t>elf-determination, sovereignty, autonomy, self-government, domination, rule, control, power</w:t>
            </w:r>
            <w:r>
              <w:rPr>
                <w:color w:val="102B26"/>
                <w:lang w:eastAsia="en-NZ"/>
              </w:rPr>
              <w:t>.</w:t>
            </w:r>
          </w:p>
        </w:tc>
      </w:tr>
      <w:tr w:rsidR="00877E3E" w:rsidRPr="00577F8F" w14:paraId="57E1E146" w14:textId="77777777" w:rsidTr="00055408">
        <w:tc>
          <w:tcPr>
            <w:tcW w:w="1696" w:type="dxa"/>
            <w:tcBorders>
              <w:top w:val="nil"/>
              <w:left w:val="nil"/>
              <w:bottom w:val="nil"/>
              <w:right w:val="nil"/>
            </w:tcBorders>
          </w:tcPr>
          <w:p w14:paraId="6392984B" w14:textId="67A19DB8" w:rsidR="00251CD3" w:rsidRPr="00577F8F" w:rsidRDefault="00251CD3" w:rsidP="00251CD3">
            <w:pPr>
              <w:spacing w:after="120"/>
              <w:rPr>
                <w:color w:val="102B26"/>
                <w:lang w:eastAsia="en-NZ"/>
              </w:rPr>
            </w:pPr>
            <w:r w:rsidRPr="00577F8F">
              <w:rPr>
                <w:lang w:eastAsia="en-NZ"/>
              </w:rPr>
              <w:t xml:space="preserve">Tīpuna </w:t>
            </w:r>
          </w:p>
        </w:tc>
        <w:tc>
          <w:tcPr>
            <w:tcW w:w="7320" w:type="dxa"/>
            <w:gridSpan w:val="2"/>
            <w:tcBorders>
              <w:top w:val="nil"/>
              <w:left w:val="nil"/>
              <w:bottom w:val="nil"/>
              <w:right w:val="nil"/>
            </w:tcBorders>
          </w:tcPr>
          <w:p w14:paraId="09E95801" w14:textId="71916F66" w:rsidR="00251CD3" w:rsidRDefault="00251CD3" w:rsidP="00251CD3">
            <w:pPr>
              <w:spacing w:after="120"/>
              <w:rPr>
                <w:color w:val="102B26"/>
                <w:lang w:eastAsia="en-NZ"/>
              </w:rPr>
            </w:pPr>
            <w:r>
              <w:rPr>
                <w:lang w:eastAsia="en-NZ"/>
              </w:rPr>
              <w:t>A</w:t>
            </w:r>
            <w:r w:rsidRPr="00577F8F">
              <w:rPr>
                <w:color w:val="102B26"/>
                <w:lang w:eastAsia="en-NZ"/>
              </w:rPr>
              <w:t xml:space="preserve">ncestors, grandparents </w:t>
            </w:r>
            <w:r>
              <w:rPr>
                <w:color w:val="102B26"/>
                <w:lang w:eastAsia="en-NZ"/>
              </w:rPr>
              <w:t>–</w:t>
            </w:r>
            <w:r w:rsidRPr="00577F8F">
              <w:rPr>
                <w:color w:val="102B26"/>
                <w:lang w:eastAsia="en-NZ"/>
              </w:rPr>
              <w:t xml:space="preserve"> plural form of tipuna and the eastern dialect variation of tūpuna. </w:t>
            </w:r>
          </w:p>
        </w:tc>
      </w:tr>
      <w:tr w:rsidR="00877E3E" w:rsidRPr="00577F8F" w14:paraId="5446810A" w14:textId="77777777" w:rsidTr="00055408">
        <w:tc>
          <w:tcPr>
            <w:tcW w:w="1696" w:type="dxa"/>
            <w:tcBorders>
              <w:top w:val="nil"/>
              <w:left w:val="nil"/>
              <w:bottom w:val="nil"/>
              <w:right w:val="nil"/>
            </w:tcBorders>
          </w:tcPr>
          <w:p w14:paraId="77FCBB8D" w14:textId="77777777" w:rsidR="00251CD3" w:rsidRPr="00577F8F" w:rsidRDefault="00251CD3" w:rsidP="00251CD3">
            <w:pPr>
              <w:spacing w:after="120" w:line="259" w:lineRule="auto"/>
              <w:rPr>
                <w:color w:val="102B26"/>
                <w:lang w:eastAsia="en-NZ"/>
              </w:rPr>
            </w:pPr>
            <w:r w:rsidRPr="00577F8F">
              <w:rPr>
                <w:color w:val="102B26"/>
                <w:lang w:eastAsia="en-NZ"/>
              </w:rPr>
              <w:t xml:space="preserve">Tuākana </w:t>
            </w:r>
          </w:p>
        </w:tc>
        <w:tc>
          <w:tcPr>
            <w:tcW w:w="7320" w:type="dxa"/>
            <w:gridSpan w:val="2"/>
            <w:tcBorders>
              <w:top w:val="nil"/>
              <w:left w:val="nil"/>
              <w:bottom w:val="nil"/>
              <w:right w:val="nil"/>
            </w:tcBorders>
          </w:tcPr>
          <w:p w14:paraId="35B3F839" w14:textId="458BA999" w:rsidR="00251CD3" w:rsidRPr="00577F8F" w:rsidRDefault="00251CD3" w:rsidP="00251CD3">
            <w:pPr>
              <w:spacing w:after="120" w:line="259" w:lineRule="auto"/>
              <w:rPr>
                <w:color w:val="102B26"/>
                <w:lang w:eastAsia="en-NZ"/>
              </w:rPr>
            </w:pPr>
            <w:r>
              <w:rPr>
                <w:color w:val="102B26"/>
                <w:lang w:eastAsia="en-NZ"/>
              </w:rPr>
              <w:t>E</w:t>
            </w:r>
            <w:r w:rsidRPr="00577F8F">
              <w:rPr>
                <w:color w:val="102B26"/>
                <w:lang w:eastAsia="en-NZ"/>
              </w:rPr>
              <w:t xml:space="preserve">lder brothers (of a male), elder sisters (of a female), cousins (of the same gender from a more senior branch of the family). </w:t>
            </w:r>
          </w:p>
        </w:tc>
      </w:tr>
      <w:tr w:rsidR="00877E3E" w:rsidRPr="00577F8F" w14:paraId="0A21D681" w14:textId="77777777" w:rsidTr="00055408">
        <w:tc>
          <w:tcPr>
            <w:tcW w:w="1696" w:type="dxa"/>
            <w:tcBorders>
              <w:top w:val="nil"/>
              <w:left w:val="nil"/>
              <w:bottom w:val="nil"/>
              <w:right w:val="nil"/>
            </w:tcBorders>
          </w:tcPr>
          <w:p w14:paraId="2FD150C6" w14:textId="6DC349C8" w:rsidR="00251CD3" w:rsidRPr="00577F8F" w:rsidRDefault="00251CD3" w:rsidP="00251CD3">
            <w:pPr>
              <w:spacing w:after="120" w:line="259" w:lineRule="auto"/>
              <w:rPr>
                <w:lang w:eastAsia="en-NZ"/>
              </w:rPr>
            </w:pPr>
            <w:r w:rsidRPr="00577F8F">
              <w:rPr>
                <w:lang w:eastAsia="en-NZ"/>
              </w:rPr>
              <w:t>Tu</w:t>
            </w:r>
            <w:r>
              <w:rPr>
                <w:lang w:eastAsia="en-NZ"/>
              </w:rPr>
              <w:t>a</w:t>
            </w:r>
            <w:r w:rsidRPr="00577F8F">
              <w:rPr>
                <w:lang w:eastAsia="en-NZ"/>
              </w:rPr>
              <w:t>kana-t</w:t>
            </w:r>
            <w:r>
              <w:rPr>
                <w:lang w:eastAsia="en-NZ"/>
              </w:rPr>
              <w:t>e</w:t>
            </w:r>
            <w:r w:rsidRPr="00577F8F">
              <w:rPr>
                <w:lang w:eastAsia="en-NZ"/>
              </w:rPr>
              <w:t xml:space="preserve">ina </w:t>
            </w:r>
          </w:p>
        </w:tc>
        <w:tc>
          <w:tcPr>
            <w:tcW w:w="7320" w:type="dxa"/>
            <w:gridSpan w:val="2"/>
            <w:tcBorders>
              <w:top w:val="nil"/>
              <w:left w:val="nil"/>
              <w:bottom w:val="nil"/>
              <w:right w:val="nil"/>
            </w:tcBorders>
          </w:tcPr>
          <w:p w14:paraId="0C14843D" w14:textId="1567BE7D" w:rsidR="00251CD3" w:rsidRPr="00577F8F" w:rsidRDefault="00251CD3" w:rsidP="00251CD3">
            <w:pPr>
              <w:spacing w:after="120" w:line="259" w:lineRule="auto"/>
              <w:rPr>
                <w:rFonts w:ascii="Segoe UI" w:hAnsi="Segoe UI" w:cs="Segoe UI"/>
                <w:sz w:val="18"/>
                <w:szCs w:val="18"/>
                <w:lang w:eastAsia="en-NZ"/>
              </w:rPr>
            </w:pPr>
            <w:r>
              <w:rPr>
                <w:color w:val="102B26"/>
                <w:lang w:eastAsia="en-NZ"/>
              </w:rPr>
              <w:t>R</w:t>
            </w:r>
            <w:r w:rsidRPr="00577F8F">
              <w:rPr>
                <w:color w:val="102B26"/>
                <w:lang w:eastAsia="en-NZ"/>
              </w:rPr>
              <w:t>efers to the relationship between an older sibling (tu</w:t>
            </w:r>
            <w:r>
              <w:rPr>
                <w:color w:val="102B26"/>
                <w:lang w:eastAsia="en-NZ"/>
              </w:rPr>
              <w:t>a</w:t>
            </w:r>
            <w:r w:rsidRPr="00577F8F">
              <w:rPr>
                <w:color w:val="102B26"/>
                <w:lang w:eastAsia="en-NZ"/>
              </w:rPr>
              <w:t>kana) and a younger sibling (teina) that provides a model for buddy systems.</w:t>
            </w:r>
          </w:p>
        </w:tc>
      </w:tr>
      <w:tr w:rsidR="00877E3E" w:rsidRPr="00577F8F" w14:paraId="05043190" w14:textId="77777777" w:rsidTr="00055408">
        <w:tc>
          <w:tcPr>
            <w:tcW w:w="1696" w:type="dxa"/>
            <w:tcBorders>
              <w:top w:val="nil"/>
              <w:left w:val="nil"/>
              <w:bottom w:val="nil"/>
              <w:right w:val="nil"/>
            </w:tcBorders>
          </w:tcPr>
          <w:p w14:paraId="4DD42047" w14:textId="77777777" w:rsidR="00251CD3" w:rsidRPr="00577F8F" w:rsidRDefault="00251CD3" w:rsidP="00251CD3">
            <w:pPr>
              <w:spacing w:after="120" w:line="259" w:lineRule="auto"/>
              <w:rPr>
                <w:lang w:eastAsia="en-NZ"/>
              </w:rPr>
            </w:pPr>
            <w:r w:rsidRPr="00577F8F">
              <w:rPr>
                <w:lang w:eastAsia="en-NZ"/>
              </w:rPr>
              <w:t xml:space="preserve">Waiata </w:t>
            </w:r>
          </w:p>
        </w:tc>
        <w:tc>
          <w:tcPr>
            <w:tcW w:w="7320" w:type="dxa"/>
            <w:gridSpan w:val="2"/>
            <w:tcBorders>
              <w:top w:val="nil"/>
              <w:left w:val="nil"/>
              <w:bottom w:val="nil"/>
              <w:right w:val="nil"/>
            </w:tcBorders>
          </w:tcPr>
          <w:p w14:paraId="5DE71457" w14:textId="5D9510DA" w:rsidR="00251CD3" w:rsidRPr="00577F8F" w:rsidRDefault="00251CD3" w:rsidP="00251CD3">
            <w:pPr>
              <w:spacing w:after="120" w:line="259" w:lineRule="auto"/>
              <w:rPr>
                <w:color w:val="102B26"/>
                <w:lang w:eastAsia="en-NZ"/>
              </w:rPr>
            </w:pPr>
            <w:r>
              <w:rPr>
                <w:color w:val="102B26"/>
                <w:lang w:eastAsia="en-NZ"/>
              </w:rPr>
              <w:t>S</w:t>
            </w:r>
            <w:r w:rsidRPr="00577F8F">
              <w:rPr>
                <w:color w:val="102B26"/>
                <w:lang w:eastAsia="en-NZ"/>
              </w:rPr>
              <w:t xml:space="preserve">ong, chant, psalm. </w:t>
            </w:r>
          </w:p>
        </w:tc>
      </w:tr>
      <w:tr w:rsidR="00877E3E" w:rsidRPr="00577F8F" w14:paraId="46475C33" w14:textId="77777777" w:rsidTr="00055408">
        <w:tc>
          <w:tcPr>
            <w:tcW w:w="1696" w:type="dxa"/>
            <w:tcBorders>
              <w:top w:val="nil"/>
              <w:left w:val="nil"/>
              <w:bottom w:val="nil"/>
              <w:right w:val="nil"/>
            </w:tcBorders>
          </w:tcPr>
          <w:p w14:paraId="0CEE20A1" w14:textId="77777777" w:rsidR="00251CD3" w:rsidRPr="00577F8F" w:rsidRDefault="00251CD3" w:rsidP="00251CD3">
            <w:pPr>
              <w:spacing w:after="120" w:line="259" w:lineRule="auto"/>
              <w:rPr>
                <w:lang w:eastAsia="en-NZ"/>
              </w:rPr>
            </w:pPr>
            <w:r w:rsidRPr="00577F8F">
              <w:rPr>
                <w:lang w:eastAsia="en-NZ"/>
              </w:rPr>
              <w:t xml:space="preserve">Waiata tangi </w:t>
            </w:r>
          </w:p>
        </w:tc>
        <w:tc>
          <w:tcPr>
            <w:tcW w:w="7320" w:type="dxa"/>
            <w:gridSpan w:val="2"/>
            <w:tcBorders>
              <w:top w:val="nil"/>
              <w:left w:val="nil"/>
              <w:bottom w:val="nil"/>
              <w:right w:val="nil"/>
            </w:tcBorders>
          </w:tcPr>
          <w:p w14:paraId="266686A0" w14:textId="454835E4" w:rsidR="00251CD3" w:rsidRPr="00577F8F" w:rsidRDefault="00251CD3" w:rsidP="00251CD3">
            <w:pPr>
              <w:spacing w:after="120" w:line="259" w:lineRule="auto"/>
              <w:rPr>
                <w:color w:val="102B26"/>
                <w:lang w:eastAsia="en-NZ"/>
              </w:rPr>
            </w:pPr>
            <w:r>
              <w:rPr>
                <w:color w:val="102B26"/>
                <w:lang w:eastAsia="en-NZ"/>
              </w:rPr>
              <w:t>L</w:t>
            </w:r>
            <w:r w:rsidRPr="00577F8F">
              <w:rPr>
                <w:color w:val="102B26"/>
                <w:lang w:eastAsia="en-NZ"/>
              </w:rPr>
              <w:t xml:space="preserve">ament, song of mourning with no set actions sung especially at funerals. </w:t>
            </w:r>
          </w:p>
        </w:tc>
      </w:tr>
      <w:tr w:rsidR="00877E3E" w:rsidRPr="00577F8F" w14:paraId="4772D73B" w14:textId="77777777" w:rsidTr="00055408">
        <w:tc>
          <w:tcPr>
            <w:tcW w:w="1696" w:type="dxa"/>
            <w:tcBorders>
              <w:top w:val="nil"/>
              <w:left w:val="nil"/>
              <w:bottom w:val="nil"/>
              <w:right w:val="nil"/>
            </w:tcBorders>
          </w:tcPr>
          <w:p w14:paraId="3AA8F395" w14:textId="77777777" w:rsidR="00251CD3" w:rsidRPr="00577F8F" w:rsidRDefault="00251CD3" w:rsidP="00251CD3">
            <w:pPr>
              <w:spacing w:after="120" w:line="259" w:lineRule="auto"/>
              <w:rPr>
                <w:color w:val="102B26"/>
                <w:lang w:eastAsia="en-NZ"/>
              </w:rPr>
            </w:pPr>
            <w:r w:rsidRPr="00577F8F">
              <w:rPr>
                <w:color w:val="102B26"/>
                <w:lang w:eastAsia="en-NZ"/>
              </w:rPr>
              <w:t xml:space="preserve">Wairuatanga </w:t>
            </w:r>
          </w:p>
        </w:tc>
        <w:tc>
          <w:tcPr>
            <w:tcW w:w="7320" w:type="dxa"/>
            <w:gridSpan w:val="2"/>
            <w:tcBorders>
              <w:top w:val="nil"/>
              <w:left w:val="nil"/>
              <w:bottom w:val="nil"/>
              <w:right w:val="nil"/>
            </w:tcBorders>
          </w:tcPr>
          <w:p w14:paraId="7E9579E9" w14:textId="5B663C2E" w:rsidR="00251CD3" w:rsidRPr="00577F8F" w:rsidRDefault="00251CD3" w:rsidP="00251CD3">
            <w:pPr>
              <w:spacing w:after="120" w:line="259" w:lineRule="auto"/>
              <w:rPr>
                <w:rFonts w:ascii="Segoe UI" w:hAnsi="Segoe UI" w:cs="Segoe UI"/>
                <w:sz w:val="18"/>
                <w:szCs w:val="18"/>
                <w:lang w:eastAsia="en-NZ"/>
              </w:rPr>
            </w:pPr>
            <w:r>
              <w:rPr>
                <w:color w:val="102B26"/>
                <w:lang w:eastAsia="en-NZ"/>
              </w:rPr>
              <w:t>S</w:t>
            </w:r>
            <w:r w:rsidRPr="00577F8F">
              <w:rPr>
                <w:color w:val="102B26"/>
                <w:lang w:eastAsia="en-NZ"/>
              </w:rPr>
              <w:t>pirituality.</w:t>
            </w:r>
          </w:p>
        </w:tc>
      </w:tr>
      <w:tr w:rsidR="00877E3E" w:rsidRPr="00577F8F" w14:paraId="2AE01B86" w14:textId="77777777" w:rsidTr="00055408">
        <w:tc>
          <w:tcPr>
            <w:tcW w:w="1696" w:type="dxa"/>
            <w:tcBorders>
              <w:top w:val="nil"/>
              <w:left w:val="nil"/>
              <w:bottom w:val="nil"/>
              <w:right w:val="nil"/>
            </w:tcBorders>
          </w:tcPr>
          <w:p w14:paraId="1BB7C861" w14:textId="77777777" w:rsidR="00251CD3" w:rsidRPr="00577F8F" w:rsidRDefault="00251CD3" w:rsidP="00251CD3">
            <w:pPr>
              <w:spacing w:after="120" w:line="259" w:lineRule="auto"/>
              <w:rPr>
                <w:lang w:eastAsia="en-NZ"/>
              </w:rPr>
            </w:pPr>
            <w:r w:rsidRPr="00577F8F">
              <w:rPr>
                <w:lang w:eastAsia="en-NZ"/>
              </w:rPr>
              <w:t xml:space="preserve">Whakairo </w:t>
            </w:r>
          </w:p>
        </w:tc>
        <w:tc>
          <w:tcPr>
            <w:tcW w:w="7320" w:type="dxa"/>
            <w:gridSpan w:val="2"/>
            <w:tcBorders>
              <w:top w:val="nil"/>
              <w:left w:val="nil"/>
              <w:bottom w:val="nil"/>
              <w:right w:val="nil"/>
            </w:tcBorders>
          </w:tcPr>
          <w:p w14:paraId="748EF1D3" w14:textId="0ED70D0C" w:rsidR="00251CD3" w:rsidRPr="00577F8F" w:rsidRDefault="00251CD3" w:rsidP="00251CD3">
            <w:pPr>
              <w:spacing w:after="120" w:line="259" w:lineRule="auto"/>
              <w:rPr>
                <w:color w:val="102B26"/>
                <w:lang w:eastAsia="en-NZ"/>
              </w:rPr>
            </w:pPr>
            <w:r>
              <w:rPr>
                <w:color w:val="102B26"/>
                <w:lang w:eastAsia="en-NZ"/>
              </w:rPr>
              <w:t>C</w:t>
            </w:r>
            <w:r w:rsidRPr="00577F8F">
              <w:rPr>
                <w:color w:val="102B26"/>
                <w:lang w:eastAsia="en-NZ"/>
              </w:rPr>
              <w:t>arving.</w:t>
            </w:r>
          </w:p>
        </w:tc>
      </w:tr>
      <w:tr w:rsidR="00877E3E" w:rsidRPr="00577F8F" w14:paraId="579C4C90" w14:textId="77777777" w:rsidTr="00055408">
        <w:tc>
          <w:tcPr>
            <w:tcW w:w="1696" w:type="dxa"/>
            <w:tcBorders>
              <w:top w:val="nil"/>
              <w:left w:val="nil"/>
              <w:bottom w:val="nil"/>
              <w:right w:val="nil"/>
            </w:tcBorders>
          </w:tcPr>
          <w:p w14:paraId="728C9E7F" w14:textId="77777777" w:rsidR="00251CD3" w:rsidRPr="00577F8F" w:rsidRDefault="00251CD3" w:rsidP="00251CD3">
            <w:pPr>
              <w:spacing w:after="120" w:line="259" w:lineRule="auto"/>
              <w:rPr>
                <w:lang w:eastAsia="en-NZ"/>
              </w:rPr>
            </w:pPr>
            <w:r w:rsidRPr="00577F8F">
              <w:rPr>
                <w:lang w:eastAsia="en-NZ"/>
              </w:rPr>
              <w:t xml:space="preserve">Whakapapa </w:t>
            </w:r>
          </w:p>
        </w:tc>
        <w:tc>
          <w:tcPr>
            <w:tcW w:w="7320" w:type="dxa"/>
            <w:gridSpan w:val="2"/>
            <w:tcBorders>
              <w:top w:val="nil"/>
              <w:left w:val="nil"/>
              <w:bottom w:val="nil"/>
              <w:right w:val="nil"/>
            </w:tcBorders>
          </w:tcPr>
          <w:p w14:paraId="17A95E88" w14:textId="3BEEB7D8" w:rsidR="00251CD3" w:rsidRPr="00577F8F" w:rsidRDefault="00251CD3" w:rsidP="00251CD3">
            <w:pPr>
              <w:spacing w:after="120" w:line="259" w:lineRule="auto"/>
              <w:rPr>
                <w:lang w:eastAsia="en-NZ"/>
              </w:rPr>
            </w:pPr>
            <w:r w:rsidRPr="00577F8F">
              <w:rPr>
                <w:lang w:eastAsia="en-NZ"/>
              </w:rPr>
              <w:t xml:space="preserve">(noun) </w:t>
            </w:r>
            <w:r>
              <w:rPr>
                <w:lang w:eastAsia="en-NZ"/>
              </w:rPr>
              <w:t>G</w:t>
            </w:r>
            <w:r w:rsidRPr="00577F8F">
              <w:rPr>
                <w:lang w:eastAsia="en-NZ"/>
              </w:rPr>
              <w:t xml:space="preserve">enealogy, genealogical table, lineage, descent. (verb) </w:t>
            </w:r>
            <w:r>
              <w:rPr>
                <w:lang w:eastAsia="en-NZ"/>
              </w:rPr>
              <w:t>T</w:t>
            </w:r>
            <w:r w:rsidRPr="00577F8F">
              <w:rPr>
                <w:lang w:eastAsia="en-NZ"/>
              </w:rPr>
              <w:t>o recite in proper order (</w:t>
            </w:r>
            <w:r w:rsidR="004E3E75">
              <w:rPr>
                <w:lang w:eastAsia="en-NZ"/>
              </w:rPr>
              <w:t xml:space="preserve">for example </w:t>
            </w:r>
            <w:r w:rsidRPr="00577F8F">
              <w:rPr>
                <w:lang w:eastAsia="en-NZ"/>
              </w:rPr>
              <w:t xml:space="preserve">genealogies, legends, months). </w:t>
            </w:r>
            <w:r>
              <w:rPr>
                <w:lang w:eastAsia="en-NZ"/>
              </w:rPr>
              <w:t>T</w:t>
            </w:r>
            <w:r w:rsidRPr="00577F8F">
              <w:rPr>
                <w:lang w:eastAsia="en-NZ"/>
              </w:rPr>
              <w:t xml:space="preserve">o place in layers, lay one upon another, stack flat. </w:t>
            </w:r>
          </w:p>
        </w:tc>
      </w:tr>
      <w:tr w:rsidR="00CD4B56" w:rsidRPr="00577F8F" w14:paraId="37E178AC" w14:textId="77777777" w:rsidTr="00055408">
        <w:trPr>
          <w:gridAfter w:val="1"/>
          <w:wAfter w:w="108" w:type="dxa"/>
        </w:trPr>
        <w:tc>
          <w:tcPr>
            <w:tcW w:w="1696" w:type="dxa"/>
            <w:tcBorders>
              <w:top w:val="nil"/>
              <w:left w:val="nil"/>
              <w:bottom w:val="nil"/>
              <w:right w:val="nil"/>
            </w:tcBorders>
          </w:tcPr>
          <w:p w14:paraId="316FF616" w14:textId="17317B30" w:rsidR="003A11C2" w:rsidRPr="00577F8F" w:rsidRDefault="003A11C2" w:rsidP="00251CD3">
            <w:pPr>
              <w:spacing w:after="120"/>
              <w:rPr>
                <w:color w:val="000000" w:themeColor="text1"/>
                <w:lang w:eastAsia="en-NZ"/>
              </w:rPr>
            </w:pPr>
            <w:r w:rsidRPr="00BB6220">
              <w:t>Whakawhanaungatanga</w:t>
            </w:r>
          </w:p>
        </w:tc>
        <w:tc>
          <w:tcPr>
            <w:tcW w:w="7320" w:type="dxa"/>
            <w:tcBorders>
              <w:top w:val="nil"/>
              <w:left w:val="nil"/>
              <w:bottom w:val="nil"/>
              <w:right w:val="nil"/>
            </w:tcBorders>
          </w:tcPr>
          <w:p w14:paraId="2F4065A3" w14:textId="53CDAC1F" w:rsidR="003A11C2" w:rsidRDefault="003A11C2" w:rsidP="00251CD3">
            <w:pPr>
              <w:spacing w:after="120"/>
              <w:rPr>
                <w:color w:val="102B26"/>
                <w:lang w:eastAsia="en-NZ"/>
              </w:rPr>
            </w:pPr>
            <w:r>
              <w:rPr>
                <w:color w:val="102B26"/>
                <w:lang w:eastAsia="en-NZ"/>
              </w:rPr>
              <w:t>P</w:t>
            </w:r>
            <w:r>
              <w:t>rocess of establishing relationships, relating well to others.</w:t>
            </w:r>
          </w:p>
        </w:tc>
      </w:tr>
      <w:tr w:rsidR="00877E3E" w:rsidRPr="00577F8F" w14:paraId="44DAE1DE" w14:textId="77777777" w:rsidTr="00055408">
        <w:tc>
          <w:tcPr>
            <w:tcW w:w="1696" w:type="dxa"/>
            <w:tcBorders>
              <w:top w:val="nil"/>
              <w:left w:val="nil"/>
              <w:bottom w:val="nil"/>
              <w:right w:val="nil"/>
            </w:tcBorders>
          </w:tcPr>
          <w:p w14:paraId="22322341" w14:textId="77777777" w:rsidR="00251CD3" w:rsidRPr="00577F8F" w:rsidRDefault="00251CD3" w:rsidP="00251CD3">
            <w:pPr>
              <w:spacing w:after="120" w:line="259" w:lineRule="auto"/>
              <w:rPr>
                <w:color w:val="000000" w:themeColor="text1"/>
                <w:lang w:eastAsia="en-NZ"/>
              </w:rPr>
            </w:pPr>
            <w:r w:rsidRPr="00577F8F">
              <w:rPr>
                <w:color w:val="000000" w:themeColor="text1"/>
                <w:lang w:eastAsia="en-NZ"/>
              </w:rPr>
              <w:t xml:space="preserve">Whānau </w:t>
            </w:r>
          </w:p>
        </w:tc>
        <w:tc>
          <w:tcPr>
            <w:tcW w:w="7320" w:type="dxa"/>
            <w:gridSpan w:val="2"/>
            <w:tcBorders>
              <w:top w:val="nil"/>
              <w:left w:val="nil"/>
              <w:bottom w:val="nil"/>
              <w:right w:val="nil"/>
            </w:tcBorders>
          </w:tcPr>
          <w:p w14:paraId="787F4083" w14:textId="091E3650" w:rsidR="00251CD3" w:rsidRPr="00577F8F" w:rsidRDefault="00251CD3" w:rsidP="00251CD3">
            <w:pPr>
              <w:spacing w:after="120" w:line="259" w:lineRule="auto"/>
              <w:rPr>
                <w:rFonts w:ascii="Segoe UI" w:hAnsi="Segoe UI" w:cs="Segoe UI"/>
                <w:sz w:val="18"/>
                <w:szCs w:val="18"/>
                <w:lang w:eastAsia="en-NZ"/>
              </w:rPr>
            </w:pPr>
            <w:r>
              <w:rPr>
                <w:color w:val="102B26"/>
                <w:lang w:eastAsia="en-NZ"/>
              </w:rPr>
              <w:t>E</w:t>
            </w:r>
            <w:r w:rsidRPr="00577F8F">
              <w:rPr>
                <w:color w:val="102B26"/>
                <w:lang w:eastAsia="en-NZ"/>
              </w:rPr>
              <w:t xml:space="preserve">xtended family, family group, a familiar term of address to </w:t>
            </w:r>
            <w:bookmarkStart w:id="13" w:name="_Int_rD87c6c2"/>
            <w:r w:rsidRPr="00577F8F">
              <w:rPr>
                <w:color w:val="102B26"/>
                <w:lang w:eastAsia="en-NZ"/>
              </w:rPr>
              <w:t>a number of</w:t>
            </w:r>
            <w:bookmarkEnd w:id="13"/>
            <w:r w:rsidRPr="00577F8F">
              <w:rPr>
                <w:color w:val="102B26"/>
                <w:lang w:eastAsia="en-NZ"/>
              </w:rPr>
              <w:t xml:space="preserve"> people. </w:t>
            </w:r>
          </w:p>
        </w:tc>
      </w:tr>
    </w:tbl>
    <w:p w14:paraId="18902A4D" w14:textId="77777777" w:rsidR="00055408" w:rsidRDefault="00055408" w:rsidP="00055408">
      <w:pPr>
        <w:spacing w:after="0"/>
        <w:rPr>
          <w:b/>
          <w:bCs/>
          <w:lang w:val="en-US" w:eastAsia="en-NZ"/>
        </w:rPr>
      </w:pPr>
    </w:p>
    <w:p w14:paraId="78818A2E" w14:textId="2D405881" w:rsidR="007D6EA0" w:rsidRPr="00E00167" w:rsidRDefault="007D6EA0" w:rsidP="00E00167">
      <w:pPr>
        <w:rPr>
          <w:rFonts w:ascii="Segoe UI" w:hAnsi="Segoe UI" w:cs="Segoe UI"/>
          <w:b/>
          <w:bCs/>
          <w:sz w:val="18"/>
          <w:szCs w:val="18"/>
          <w:lang w:eastAsia="en-NZ"/>
        </w:rPr>
      </w:pPr>
      <w:r w:rsidRPr="00E00167">
        <w:rPr>
          <w:b/>
          <w:bCs/>
          <w:lang w:val="en-US" w:eastAsia="en-NZ"/>
        </w:rPr>
        <w:t>Pasifika</w:t>
      </w:r>
      <w:r w:rsidR="003D640C" w:rsidRPr="00E00167">
        <w:rPr>
          <w:b/>
          <w:bCs/>
          <w:lang w:val="en-US" w:eastAsia="en-NZ"/>
        </w:rPr>
        <w:t xml:space="preserve"> </w:t>
      </w:r>
      <w:r w:rsidRPr="00E00167">
        <w:rPr>
          <w:b/>
          <w:bCs/>
          <w:lang w:val="en-US" w:eastAsia="en-NZ"/>
        </w:rPr>
        <w:t>words</w:t>
      </w:r>
      <w:r w:rsidR="003D640C" w:rsidRPr="00E00167">
        <w:rPr>
          <w:b/>
          <w:bCs/>
          <w:lang w:eastAsia="en-NZ"/>
        </w:rPr>
        <w:t xml:space="preserve"> </w:t>
      </w:r>
    </w:p>
    <w:p w14:paraId="19E20750" w14:textId="0747821F" w:rsidR="007D6EA0" w:rsidRPr="00BB6220" w:rsidRDefault="007D6EA0" w:rsidP="00E00167">
      <w:pPr>
        <w:rPr>
          <w:rFonts w:ascii="Segoe UI" w:hAnsi="Segoe UI" w:cs="Segoe UI"/>
          <w:sz w:val="18"/>
          <w:szCs w:val="18"/>
          <w:lang w:eastAsia="en-NZ"/>
        </w:rPr>
      </w:pPr>
      <w:r w:rsidRPr="00BB6220">
        <w:rPr>
          <w:lang w:val="en-US" w:eastAsia="en-NZ"/>
        </w:rPr>
        <w:t>Pacific</w:t>
      </w:r>
      <w:r w:rsidR="003D640C">
        <w:rPr>
          <w:lang w:val="en-US" w:eastAsia="en-NZ"/>
        </w:rPr>
        <w:t xml:space="preserve"> </w:t>
      </w:r>
      <w:r w:rsidR="00324B17">
        <w:rPr>
          <w:lang w:val="en-US" w:eastAsia="en-NZ"/>
        </w:rPr>
        <w:t xml:space="preserve">peoples </w:t>
      </w:r>
      <w:r w:rsidRPr="00BB6220">
        <w:rPr>
          <w:lang w:val="en-US" w:eastAsia="en-NZ"/>
        </w:rPr>
        <w:t>have</w:t>
      </w:r>
      <w:r w:rsidR="003D640C">
        <w:rPr>
          <w:lang w:val="en-US" w:eastAsia="en-NZ"/>
        </w:rPr>
        <w:t xml:space="preserve"> </w:t>
      </w:r>
      <w:r w:rsidRPr="00BB6220">
        <w:rPr>
          <w:lang w:val="en-US" w:eastAsia="en-NZ"/>
        </w:rPr>
        <w:t>their</w:t>
      </w:r>
      <w:r w:rsidR="003D640C">
        <w:rPr>
          <w:lang w:val="en-US" w:eastAsia="en-NZ"/>
        </w:rPr>
        <w:t xml:space="preserve"> </w:t>
      </w:r>
      <w:r w:rsidRPr="00BB6220">
        <w:rPr>
          <w:lang w:val="en-US" w:eastAsia="en-NZ"/>
        </w:rPr>
        <w:t>own</w:t>
      </w:r>
      <w:r w:rsidR="003D640C">
        <w:rPr>
          <w:lang w:val="en-US" w:eastAsia="en-NZ"/>
        </w:rPr>
        <w:t xml:space="preserve"> </w:t>
      </w:r>
      <w:r w:rsidRPr="00BB6220">
        <w:rPr>
          <w:lang w:val="en-US" w:eastAsia="en-NZ"/>
        </w:rPr>
        <w:t>culturally</w:t>
      </w:r>
      <w:r w:rsidR="003D640C">
        <w:rPr>
          <w:lang w:val="en-US" w:eastAsia="en-NZ"/>
        </w:rPr>
        <w:t xml:space="preserve"> </w:t>
      </w:r>
      <w:r w:rsidRPr="00BB6220">
        <w:rPr>
          <w:lang w:val="en-US" w:eastAsia="en-NZ"/>
        </w:rPr>
        <w:t>specific</w:t>
      </w:r>
      <w:r w:rsidR="003D640C">
        <w:rPr>
          <w:lang w:val="en-US" w:eastAsia="en-NZ"/>
        </w:rPr>
        <w:t xml:space="preserve"> </w:t>
      </w:r>
      <w:r w:rsidRPr="00BB6220">
        <w:rPr>
          <w:lang w:val="en-US" w:eastAsia="en-NZ"/>
        </w:rPr>
        <w:t>terms</w:t>
      </w:r>
      <w:r w:rsidR="003D640C">
        <w:rPr>
          <w:lang w:val="en-US" w:eastAsia="en-NZ"/>
        </w:rPr>
        <w:t xml:space="preserve"> </w:t>
      </w:r>
      <w:r w:rsidRPr="00BB6220">
        <w:rPr>
          <w:lang w:val="en-US" w:eastAsia="en-NZ"/>
        </w:rPr>
        <w:t>relating</w:t>
      </w:r>
      <w:r w:rsidR="003D640C">
        <w:rPr>
          <w:lang w:val="en-US" w:eastAsia="en-NZ"/>
        </w:rPr>
        <w:t xml:space="preserve"> </w:t>
      </w:r>
      <w:r w:rsidRPr="00BB6220">
        <w:rPr>
          <w:lang w:val="en-US" w:eastAsia="en-NZ"/>
        </w:rPr>
        <w:t>to</w:t>
      </w:r>
      <w:r w:rsidR="003D640C">
        <w:rPr>
          <w:lang w:val="en-US" w:eastAsia="en-NZ"/>
        </w:rPr>
        <w:t xml:space="preserve"> </w:t>
      </w:r>
      <w:r w:rsidRPr="00BB6220">
        <w:rPr>
          <w:lang w:val="en-US" w:eastAsia="en-NZ"/>
        </w:rPr>
        <w:t>sexual</w:t>
      </w:r>
      <w:r w:rsidR="003D640C">
        <w:rPr>
          <w:lang w:val="en-US" w:eastAsia="en-NZ"/>
        </w:rPr>
        <w:t xml:space="preserve"> </w:t>
      </w:r>
      <w:r w:rsidRPr="00BB6220">
        <w:rPr>
          <w:lang w:val="en-US" w:eastAsia="en-NZ"/>
        </w:rPr>
        <w:t>orientation</w:t>
      </w:r>
      <w:r w:rsidR="003D640C">
        <w:rPr>
          <w:lang w:val="en-US" w:eastAsia="en-NZ"/>
        </w:rPr>
        <w:t xml:space="preserve"> </w:t>
      </w:r>
      <w:r w:rsidRPr="00BB6220">
        <w:rPr>
          <w:lang w:val="en-US" w:eastAsia="en-NZ"/>
        </w:rPr>
        <w:t>and</w:t>
      </w:r>
      <w:r w:rsidR="003D640C">
        <w:rPr>
          <w:lang w:val="en-US" w:eastAsia="en-NZ"/>
        </w:rPr>
        <w:t xml:space="preserve"> </w:t>
      </w:r>
      <w:r w:rsidRPr="00BB6220">
        <w:rPr>
          <w:lang w:val="en-US" w:eastAsia="en-NZ"/>
        </w:rPr>
        <w:t>gender</w:t>
      </w:r>
      <w:r w:rsidR="003D640C">
        <w:rPr>
          <w:lang w:val="en-US" w:eastAsia="en-NZ"/>
        </w:rPr>
        <w:t xml:space="preserve"> </w:t>
      </w:r>
      <w:r w:rsidRPr="00BB6220">
        <w:rPr>
          <w:lang w:val="en-US" w:eastAsia="en-NZ"/>
        </w:rPr>
        <w:t>identities.</w:t>
      </w:r>
      <w:r w:rsidR="003D640C">
        <w:rPr>
          <w:lang w:val="en-US" w:eastAsia="en-NZ"/>
        </w:rPr>
        <w:t xml:space="preserve"> </w:t>
      </w:r>
      <w:r w:rsidRPr="00BB6220">
        <w:rPr>
          <w:lang w:val="en-US" w:eastAsia="en-NZ"/>
        </w:rPr>
        <w:t>These</w:t>
      </w:r>
      <w:r w:rsidR="003D640C">
        <w:rPr>
          <w:lang w:val="en-US" w:eastAsia="en-NZ"/>
        </w:rPr>
        <w:t xml:space="preserve"> </w:t>
      </w:r>
      <w:r w:rsidRPr="00BB6220">
        <w:rPr>
          <w:lang w:val="en-US" w:eastAsia="en-NZ"/>
        </w:rPr>
        <w:t>concepts</w:t>
      </w:r>
      <w:r w:rsidR="003D640C">
        <w:rPr>
          <w:lang w:val="en-US" w:eastAsia="en-NZ"/>
        </w:rPr>
        <w:t xml:space="preserve"> </w:t>
      </w:r>
      <w:r w:rsidRPr="00BB6220">
        <w:rPr>
          <w:lang w:val="en-US" w:eastAsia="en-NZ"/>
        </w:rPr>
        <w:t>are</w:t>
      </w:r>
      <w:r w:rsidR="003D640C">
        <w:rPr>
          <w:lang w:val="en-US" w:eastAsia="en-NZ"/>
        </w:rPr>
        <w:t xml:space="preserve"> </w:t>
      </w:r>
      <w:r w:rsidR="00AE09FA">
        <w:rPr>
          <w:lang w:val="en-US" w:eastAsia="en-NZ"/>
        </w:rPr>
        <w:t>also</w:t>
      </w:r>
      <w:r w:rsidR="003D640C">
        <w:rPr>
          <w:lang w:val="en-US" w:eastAsia="en-NZ"/>
        </w:rPr>
        <w:t xml:space="preserve"> </w:t>
      </w:r>
      <w:r w:rsidRPr="00BB6220">
        <w:rPr>
          <w:lang w:val="en-US" w:eastAsia="en-NZ"/>
        </w:rPr>
        <w:t>about</w:t>
      </w:r>
      <w:r w:rsidR="003D640C">
        <w:rPr>
          <w:lang w:val="en-US" w:eastAsia="en-NZ"/>
        </w:rPr>
        <w:t xml:space="preserve"> </w:t>
      </w:r>
      <w:r w:rsidRPr="00BB6220">
        <w:rPr>
          <w:lang w:val="en-US" w:eastAsia="en-NZ"/>
        </w:rPr>
        <w:t>familial,</w:t>
      </w:r>
      <w:r w:rsidR="003D640C">
        <w:rPr>
          <w:lang w:val="en-US" w:eastAsia="en-NZ"/>
        </w:rPr>
        <w:t xml:space="preserve"> </w:t>
      </w:r>
      <w:r w:rsidRPr="00BB6220">
        <w:rPr>
          <w:lang w:val="en-US" w:eastAsia="en-NZ"/>
        </w:rPr>
        <w:t>genealogical,</w:t>
      </w:r>
      <w:r w:rsidR="003D640C">
        <w:rPr>
          <w:lang w:val="en-US" w:eastAsia="en-NZ"/>
        </w:rPr>
        <w:t xml:space="preserve"> </w:t>
      </w:r>
      <w:r w:rsidRPr="00BB6220">
        <w:rPr>
          <w:lang w:val="en-US" w:eastAsia="en-NZ"/>
        </w:rPr>
        <w:t>social,</w:t>
      </w:r>
      <w:r w:rsidR="003D640C">
        <w:rPr>
          <w:lang w:val="en-US" w:eastAsia="en-NZ"/>
        </w:rPr>
        <w:t xml:space="preserve"> </w:t>
      </w:r>
      <w:r w:rsidRPr="00BB6220">
        <w:rPr>
          <w:lang w:val="en-US" w:eastAsia="en-NZ"/>
        </w:rPr>
        <w:t>and</w:t>
      </w:r>
      <w:r w:rsidR="003D640C">
        <w:rPr>
          <w:lang w:val="en-US" w:eastAsia="en-NZ"/>
        </w:rPr>
        <w:t xml:space="preserve"> </w:t>
      </w:r>
      <w:r w:rsidRPr="00BB6220">
        <w:rPr>
          <w:lang w:val="en-US" w:eastAsia="en-NZ"/>
        </w:rPr>
        <w:t>cultural</w:t>
      </w:r>
      <w:r w:rsidR="003D640C">
        <w:rPr>
          <w:lang w:val="en-US" w:eastAsia="en-NZ"/>
        </w:rPr>
        <w:t xml:space="preserve"> </w:t>
      </w:r>
      <w:r w:rsidRPr="00BB6220">
        <w:rPr>
          <w:lang w:val="en-US" w:eastAsia="en-NZ"/>
        </w:rPr>
        <w:t>selfhood.</w:t>
      </w:r>
      <w:r w:rsidR="003D640C">
        <w:rPr>
          <w:lang w:val="en-US" w:eastAsia="en-NZ"/>
        </w:rPr>
        <w:t xml:space="preserve"> </w:t>
      </w:r>
      <w:r w:rsidRPr="00BB6220">
        <w:rPr>
          <w:lang w:val="en-US" w:eastAsia="en-NZ"/>
        </w:rPr>
        <w:t>Fa’afafine</w:t>
      </w:r>
      <w:r w:rsidR="003D640C">
        <w:rPr>
          <w:lang w:val="en-US" w:eastAsia="en-NZ"/>
        </w:rPr>
        <w:t xml:space="preserve"> </w:t>
      </w:r>
      <w:r w:rsidRPr="00BB6220">
        <w:rPr>
          <w:lang w:val="en-US" w:eastAsia="en-NZ"/>
        </w:rPr>
        <w:t>(Samoa</w:t>
      </w:r>
      <w:r w:rsidR="003D640C">
        <w:rPr>
          <w:lang w:val="en-US" w:eastAsia="en-NZ"/>
        </w:rPr>
        <w:t xml:space="preserve"> </w:t>
      </w:r>
      <w:r w:rsidR="00875207">
        <w:rPr>
          <w:lang w:val="en-US" w:eastAsia="en-NZ"/>
        </w:rPr>
        <w:t>and</w:t>
      </w:r>
      <w:r w:rsidR="003D640C">
        <w:rPr>
          <w:lang w:val="en-US" w:eastAsia="en-NZ"/>
        </w:rPr>
        <w:t xml:space="preserve"> </w:t>
      </w:r>
      <w:r w:rsidRPr="00BB6220">
        <w:rPr>
          <w:lang w:val="en-US" w:eastAsia="en-NZ"/>
        </w:rPr>
        <w:t>American</w:t>
      </w:r>
      <w:r w:rsidR="003D640C">
        <w:rPr>
          <w:lang w:val="en-US" w:eastAsia="en-NZ"/>
        </w:rPr>
        <w:t xml:space="preserve"> </w:t>
      </w:r>
      <w:r w:rsidRPr="00BB6220">
        <w:rPr>
          <w:lang w:val="en-US" w:eastAsia="en-NZ"/>
        </w:rPr>
        <w:t>Samoa),</w:t>
      </w:r>
      <w:r w:rsidR="003D640C">
        <w:rPr>
          <w:lang w:val="en-US" w:eastAsia="en-NZ"/>
        </w:rPr>
        <w:t xml:space="preserve"> </w:t>
      </w:r>
      <w:r w:rsidR="00875207">
        <w:rPr>
          <w:lang w:val="en-US" w:eastAsia="en-NZ"/>
        </w:rPr>
        <w:t>l</w:t>
      </w:r>
      <w:r w:rsidRPr="00BB6220">
        <w:rPr>
          <w:lang w:val="en-US" w:eastAsia="en-NZ"/>
        </w:rPr>
        <w:t>eit</w:t>
      </w:r>
      <w:r w:rsidR="00875207">
        <w:rPr>
          <w:lang w:val="en-US" w:eastAsia="en-NZ"/>
        </w:rPr>
        <w:t>ī</w:t>
      </w:r>
      <w:r w:rsidRPr="00BB6220">
        <w:rPr>
          <w:lang w:val="en-US" w:eastAsia="en-NZ"/>
        </w:rPr>
        <w:t>/</w:t>
      </w:r>
      <w:r w:rsidR="00875207">
        <w:rPr>
          <w:lang w:val="en-US" w:eastAsia="en-NZ"/>
        </w:rPr>
        <w:t>f</w:t>
      </w:r>
      <w:r w:rsidRPr="00BB6220">
        <w:rPr>
          <w:lang w:val="en-US" w:eastAsia="en-NZ"/>
        </w:rPr>
        <w:t>akaleit</w:t>
      </w:r>
      <w:r w:rsidR="00875207">
        <w:rPr>
          <w:lang w:val="en-US" w:eastAsia="en-NZ"/>
        </w:rPr>
        <w:t>ī</w:t>
      </w:r>
      <w:r w:rsidR="003D640C">
        <w:rPr>
          <w:lang w:val="en-US" w:eastAsia="en-NZ"/>
        </w:rPr>
        <w:t xml:space="preserve"> </w:t>
      </w:r>
      <w:r w:rsidRPr="00BB6220">
        <w:rPr>
          <w:lang w:val="en-US" w:eastAsia="en-NZ"/>
        </w:rPr>
        <w:t>(Tonga),</w:t>
      </w:r>
      <w:r w:rsidR="003D640C">
        <w:rPr>
          <w:lang w:val="en-US" w:eastAsia="en-NZ"/>
        </w:rPr>
        <w:t xml:space="preserve"> </w:t>
      </w:r>
      <w:r w:rsidR="00875207">
        <w:rPr>
          <w:lang w:val="en-US" w:eastAsia="en-NZ"/>
        </w:rPr>
        <w:t>f</w:t>
      </w:r>
      <w:r w:rsidRPr="00BB6220">
        <w:rPr>
          <w:lang w:val="en-US" w:eastAsia="en-NZ"/>
        </w:rPr>
        <w:t>akafifine</w:t>
      </w:r>
      <w:r w:rsidR="003D640C">
        <w:rPr>
          <w:lang w:val="en-US" w:eastAsia="en-NZ"/>
        </w:rPr>
        <w:t xml:space="preserve"> </w:t>
      </w:r>
      <w:r w:rsidRPr="00BB6220">
        <w:rPr>
          <w:lang w:val="en-US" w:eastAsia="en-NZ"/>
        </w:rPr>
        <w:t>(Niue),</w:t>
      </w:r>
      <w:r w:rsidR="003D640C">
        <w:rPr>
          <w:lang w:val="en-US" w:eastAsia="en-NZ"/>
        </w:rPr>
        <w:t xml:space="preserve"> </w:t>
      </w:r>
      <w:r w:rsidR="00294791">
        <w:rPr>
          <w:lang w:val="en-US" w:eastAsia="en-NZ"/>
        </w:rPr>
        <w:t>‘</w:t>
      </w:r>
      <w:r w:rsidR="00875207">
        <w:rPr>
          <w:lang w:val="en-US" w:eastAsia="en-NZ"/>
        </w:rPr>
        <w:t>a</w:t>
      </w:r>
      <w:r w:rsidRPr="00BB6220">
        <w:rPr>
          <w:lang w:val="en-US" w:eastAsia="en-NZ"/>
        </w:rPr>
        <w:t>kavaine</w:t>
      </w:r>
      <w:r w:rsidR="003D640C">
        <w:rPr>
          <w:lang w:val="en-US" w:eastAsia="en-NZ"/>
        </w:rPr>
        <w:t xml:space="preserve"> </w:t>
      </w:r>
      <w:r w:rsidRPr="00BB6220">
        <w:rPr>
          <w:lang w:val="en-US" w:eastAsia="en-NZ"/>
        </w:rPr>
        <w:t>(Cook</w:t>
      </w:r>
      <w:r w:rsidR="003D640C">
        <w:rPr>
          <w:lang w:val="en-US" w:eastAsia="en-NZ"/>
        </w:rPr>
        <w:t xml:space="preserve"> </w:t>
      </w:r>
      <w:r w:rsidRPr="00BB6220">
        <w:rPr>
          <w:lang w:val="en-US" w:eastAsia="en-NZ"/>
        </w:rPr>
        <w:t>Islands),</w:t>
      </w:r>
      <w:r w:rsidR="003D640C">
        <w:rPr>
          <w:lang w:val="en-US" w:eastAsia="en-NZ"/>
        </w:rPr>
        <w:t xml:space="preserve"> </w:t>
      </w:r>
      <w:r w:rsidR="00875207">
        <w:rPr>
          <w:lang w:val="en-US" w:eastAsia="en-NZ"/>
        </w:rPr>
        <w:t>p</w:t>
      </w:r>
      <w:r w:rsidRPr="00BB6220">
        <w:rPr>
          <w:lang w:val="en-US" w:eastAsia="en-NZ"/>
        </w:rPr>
        <w:t>ina</w:t>
      </w:r>
      <w:r w:rsidR="003D640C">
        <w:rPr>
          <w:lang w:val="en-US" w:eastAsia="en-NZ"/>
        </w:rPr>
        <w:t xml:space="preserve"> </w:t>
      </w:r>
      <w:r w:rsidRPr="00BB6220">
        <w:rPr>
          <w:lang w:val="en-US" w:eastAsia="en-NZ"/>
        </w:rPr>
        <w:t>(Tuvalu),</w:t>
      </w:r>
      <w:r w:rsidR="003D640C">
        <w:rPr>
          <w:lang w:val="en-US" w:eastAsia="en-NZ"/>
        </w:rPr>
        <w:t xml:space="preserve"> </w:t>
      </w:r>
      <w:r w:rsidR="00875207">
        <w:rPr>
          <w:lang w:val="en-US" w:eastAsia="en-NZ"/>
        </w:rPr>
        <w:t>m</w:t>
      </w:r>
      <w:r w:rsidRPr="00BB6220">
        <w:rPr>
          <w:lang w:val="en-US" w:eastAsia="en-NZ"/>
        </w:rPr>
        <w:t>āhū</w:t>
      </w:r>
      <w:r w:rsidR="003D640C">
        <w:rPr>
          <w:lang w:val="en-US" w:eastAsia="en-NZ"/>
        </w:rPr>
        <w:t xml:space="preserve"> </w:t>
      </w:r>
      <w:r w:rsidRPr="00BB6220">
        <w:rPr>
          <w:lang w:val="en-US" w:eastAsia="en-NZ"/>
        </w:rPr>
        <w:t>(Tahiti</w:t>
      </w:r>
      <w:r w:rsidR="003D640C">
        <w:rPr>
          <w:lang w:val="en-US" w:eastAsia="en-NZ"/>
        </w:rPr>
        <w:t xml:space="preserve"> </w:t>
      </w:r>
      <w:r w:rsidRPr="00BB6220">
        <w:rPr>
          <w:lang w:val="en-US" w:eastAsia="en-NZ"/>
        </w:rPr>
        <w:t>and</w:t>
      </w:r>
      <w:r w:rsidR="003D640C">
        <w:rPr>
          <w:lang w:val="en-US" w:eastAsia="en-NZ"/>
        </w:rPr>
        <w:t xml:space="preserve"> </w:t>
      </w:r>
      <w:r w:rsidRPr="00BB6220">
        <w:rPr>
          <w:lang w:val="en-US" w:eastAsia="en-NZ"/>
        </w:rPr>
        <w:t>Hawaii),</w:t>
      </w:r>
      <w:r w:rsidR="003D640C">
        <w:rPr>
          <w:lang w:val="en-US" w:eastAsia="en-NZ"/>
        </w:rPr>
        <w:t xml:space="preserve"> </w:t>
      </w:r>
      <w:r w:rsidR="00875207">
        <w:rPr>
          <w:lang w:val="en-US" w:eastAsia="en-NZ"/>
        </w:rPr>
        <w:t>v</w:t>
      </w:r>
      <w:r w:rsidRPr="00BB6220">
        <w:rPr>
          <w:lang w:val="en-US" w:eastAsia="en-NZ"/>
        </w:rPr>
        <w:t>akasalewalewa</w:t>
      </w:r>
      <w:r w:rsidR="003D640C">
        <w:rPr>
          <w:lang w:val="en-US" w:eastAsia="en-NZ"/>
        </w:rPr>
        <w:t xml:space="preserve"> </w:t>
      </w:r>
      <w:r w:rsidRPr="00BB6220">
        <w:rPr>
          <w:lang w:val="en-US" w:eastAsia="en-NZ"/>
        </w:rPr>
        <w:t>(Fiji)</w:t>
      </w:r>
      <w:r w:rsidR="00875207">
        <w:rPr>
          <w:lang w:val="en-US" w:eastAsia="en-NZ"/>
        </w:rPr>
        <w:t>,</w:t>
      </w:r>
      <w:r w:rsidR="003D640C">
        <w:rPr>
          <w:lang w:val="en-US" w:eastAsia="en-NZ"/>
        </w:rPr>
        <w:t xml:space="preserve"> </w:t>
      </w:r>
      <w:r w:rsidRPr="00BB6220">
        <w:rPr>
          <w:lang w:val="en-US" w:eastAsia="en-NZ"/>
        </w:rPr>
        <w:t>and</w:t>
      </w:r>
      <w:r w:rsidR="003D640C">
        <w:rPr>
          <w:lang w:val="en-US" w:eastAsia="en-NZ"/>
        </w:rPr>
        <w:t xml:space="preserve"> </w:t>
      </w:r>
      <w:r w:rsidR="00875207">
        <w:rPr>
          <w:lang w:val="en-US" w:eastAsia="en-NZ"/>
        </w:rPr>
        <w:t>p</w:t>
      </w:r>
      <w:r w:rsidRPr="00BB6220">
        <w:rPr>
          <w:lang w:val="en-US" w:eastAsia="en-NZ"/>
        </w:rPr>
        <w:t>alopa</w:t>
      </w:r>
      <w:r w:rsidR="003D640C">
        <w:rPr>
          <w:lang w:val="en-US" w:eastAsia="en-NZ"/>
        </w:rPr>
        <w:t xml:space="preserve"> </w:t>
      </w:r>
      <w:r w:rsidRPr="00BB6220">
        <w:rPr>
          <w:lang w:val="en-US" w:eastAsia="en-NZ"/>
        </w:rPr>
        <w:t>(Papua</w:t>
      </w:r>
      <w:r w:rsidR="003D640C">
        <w:rPr>
          <w:lang w:val="en-US" w:eastAsia="en-NZ"/>
        </w:rPr>
        <w:t xml:space="preserve"> </w:t>
      </w:r>
      <w:r w:rsidRPr="00BB6220">
        <w:rPr>
          <w:lang w:val="en-US" w:eastAsia="en-NZ"/>
        </w:rPr>
        <w:t>New</w:t>
      </w:r>
      <w:r w:rsidR="003D640C">
        <w:rPr>
          <w:lang w:val="en-US" w:eastAsia="en-NZ"/>
        </w:rPr>
        <w:t xml:space="preserve"> </w:t>
      </w:r>
      <w:r w:rsidRPr="00BB6220">
        <w:rPr>
          <w:lang w:val="en-US" w:eastAsia="en-NZ"/>
        </w:rPr>
        <w:t>Guinea).</w:t>
      </w:r>
      <w:r w:rsidR="003D640C">
        <w:rPr>
          <w:lang w:eastAsia="en-N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40"/>
      </w:tblGrid>
      <w:tr w:rsidR="00055408" w:rsidRPr="00055408" w14:paraId="6CC770F5" w14:textId="77777777" w:rsidTr="006953F6">
        <w:tc>
          <w:tcPr>
            <w:tcW w:w="2376" w:type="dxa"/>
          </w:tcPr>
          <w:p w14:paraId="42326A50" w14:textId="77777777" w:rsidR="00055408" w:rsidRPr="00055408" w:rsidRDefault="00055408" w:rsidP="00F7327F">
            <w:pPr>
              <w:spacing w:after="120" w:line="259" w:lineRule="auto"/>
              <w:rPr>
                <w:lang w:val="en-US" w:eastAsia="en-NZ"/>
              </w:rPr>
            </w:pPr>
            <w:r w:rsidRPr="00055408">
              <w:rPr>
                <w:lang w:val="en-US" w:eastAsia="en-NZ"/>
              </w:rPr>
              <w:t xml:space="preserve">Pukapukan </w:t>
            </w:r>
          </w:p>
        </w:tc>
        <w:tc>
          <w:tcPr>
            <w:tcW w:w="6640" w:type="dxa"/>
          </w:tcPr>
          <w:p w14:paraId="23256604" w14:textId="58C440D3" w:rsidR="00055408" w:rsidRPr="00055408" w:rsidRDefault="00055408" w:rsidP="00F7327F">
            <w:pPr>
              <w:spacing w:after="120" w:line="259" w:lineRule="auto"/>
              <w:rPr>
                <w:rFonts w:ascii="Segoe UI" w:hAnsi="Segoe UI" w:cs="Segoe UI"/>
                <w:sz w:val="18"/>
                <w:szCs w:val="18"/>
                <w:lang w:eastAsia="en-NZ"/>
              </w:rPr>
            </w:pPr>
            <w:r w:rsidRPr="00055408">
              <w:rPr>
                <w:lang w:val="en-US" w:eastAsia="en-NZ"/>
              </w:rPr>
              <w:t xml:space="preserve">Pukapuka is one of the 15 islands of the Cook Islands. People from Pukapuka are often referred to as Pukapukan. </w:t>
            </w:r>
          </w:p>
        </w:tc>
      </w:tr>
      <w:tr w:rsidR="00F7327F" w:rsidRPr="00055408" w14:paraId="483544A0" w14:textId="77777777" w:rsidTr="006953F6">
        <w:tc>
          <w:tcPr>
            <w:tcW w:w="2376" w:type="dxa"/>
          </w:tcPr>
          <w:p w14:paraId="15FF9046" w14:textId="77E2A41E" w:rsidR="00F7327F" w:rsidRPr="00055408" w:rsidRDefault="00F7327F" w:rsidP="00F7327F">
            <w:pPr>
              <w:spacing w:after="120" w:line="259" w:lineRule="auto"/>
              <w:rPr>
                <w:lang w:val="en-US" w:eastAsia="en-NZ"/>
              </w:rPr>
            </w:pPr>
            <w:r w:rsidRPr="00055408">
              <w:rPr>
                <w:lang w:val="en-US" w:eastAsia="en-NZ"/>
              </w:rPr>
              <w:lastRenderedPageBreak/>
              <w:t xml:space="preserve">Talanoa </w:t>
            </w:r>
          </w:p>
        </w:tc>
        <w:tc>
          <w:tcPr>
            <w:tcW w:w="6640" w:type="dxa"/>
          </w:tcPr>
          <w:p w14:paraId="084E8AF3" w14:textId="2FB9B72C" w:rsidR="00F7327F" w:rsidRPr="00055408" w:rsidRDefault="00875207" w:rsidP="00F7327F">
            <w:pPr>
              <w:spacing w:after="120" w:line="259" w:lineRule="auto"/>
              <w:rPr>
                <w:lang w:val="en-US" w:eastAsia="en-NZ"/>
              </w:rPr>
            </w:pPr>
            <w:r>
              <w:rPr>
                <w:lang w:val="en-US" w:eastAsia="en-NZ"/>
              </w:rPr>
              <w:t>A</w:t>
            </w:r>
            <w:r w:rsidR="00F7327F" w:rsidRPr="00055408">
              <w:rPr>
                <w:lang w:val="en-US" w:eastAsia="en-NZ"/>
              </w:rPr>
              <w:t xml:space="preserve"> form of dialogue from the Pacific islands that brings people together to share opposing views without any predetermined expectations for agreement.</w:t>
            </w:r>
            <w:r w:rsidR="00F7327F" w:rsidRPr="00F7327F">
              <w:rPr>
                <w:lang w:val="en-US" w:eastAsia="en-NZ"/>
              </w:rPr>
              <w:t xml:space="preserve"> </w:t>
            </w:r>
          </w:p>
        </w:tc>
      </w:tr>
      <w:tr w:rsidR="00F7327F" w:rsidRPr="00055408" w14:paraId="18EA0DDD" w14:textId="77777777" w:rsidTr="006953F6">
        <w:tc>
          <w:tcPr>
            <w:tcW w:w="2376" w:type="dxa"/>
          </w:tcPr>
          <w:p w14:paraId="3A45481D" w14:textId="36D97AB6" w:rsidR="00F7327F" w:rsidRPr="00055408" w:rsidRDefault="00F7327F" w:rsidP="00F7327F">
            <w:pPr>
              <w:spacing w:after="120" w:line="259" w:lineRule="auto"/>
              <w:rPr>
                <w:lang w:val="en-US" w:eastAsia="en-NZ"/>
              </w:rPr>
            </w:pPr>
            <w:r w:rsidRPr="00055408">
              <w:rPr>
                <w:lang w:val="en-US" w:eastAsia="en-NZ"/>
              </w:rPr>
              <w:t xml:space="preserve">Wakawawine </w:t>
            </w:r>
          </w:p>
        </w:tc>
        <w:tc>
          <w:tcPr>
            <w:tcW w:w="6640" w:type="dxa"/>
          </w:tcPr>
          <w:p w14:paraId="0EEC4399" w14:textId="73261AD3" w:rsidR="00F7327F" w:rsidRPr="00055408" w:rsidRDefault="00875207" w:rsidP="00F7327F">
            <w:pPr>
              <w:spacing w:after="120" w:line="259" w:lineRule="auto"/>
              <w:rPr>
                <w:lang w:eastAsia="en-NZ"/>
              </w:rPr>
            </w:pPr>
            <w:r>
              <w:rPr>
                <w:lang w:val="en-US" w:eastAsia="en-NZ"/>
              </w:rPr>
              <w:t>A</w:t>
            </w:r>
            <w:r w:rsidR="00F7327F" w:rsidRPr="00055408">
              <w:rPr>
                <w:lang w:val="en-US" w:eastAsia="en-NZ"/>
              </w:rPr>
              <w:t>lthough there are various definitions of wakawawine, simply put it is to be or behave like a woman.</w:t>
            </w:r>
            <w:r w:rsidR="00F7327F" w:rsidRPr="00055408">
              <w:rPr>
                <w:lang w:eastAsia="en-NZ"/>
              </w:rPr>
              <w:t xml:space="preserve"> </w:t>
            </w:r>
          </w:p>
        </w:tc>
      </w:tr>
    </w:tbl>
    <w:p w14:paraId="7C0EA018" w14:textId="77777777" w:rsidR="00F7327F" w:rsidRDefault="00F7327F" w:rsidP="00F7327F">
      <w:pPr>
        <w:spacing w:after="0"/>
        <w:rPr>
          <w:b/>
          <w:bCs/>
          <w:lang w:val="en-US" w:eastAsia="en-NZ"/>
        </w:rPr>
      </w:pPr>
    </w:p>
    <w:p w14:paraId="224366BE" w14:textId="5565B450" w:rsidR="007D6EA0" w:rsidRPr="00E00167" w:rsidRDefault="007D6EA0" w:rsidP="00E00167">
      <w:pPr>
        <w:rPr>
          <w:b/>
          <w:bCs/>
          <w:lang w:eastAsia="en-NZ"/>
        </w:rPr>
      </w:pPr>
      <w:r w:rsidRPr="00E00167">
        <w:rPr>
          <w:b/>
          <w:bCs/>
          <w:lang w:val="en-US" w:eastAsia="en-NZ"/>
        </w:rPr>
        <w:t>South</w:t>
      </w:r>
      <w:r w:rsidR="003D640C" w:rsidRPr="00E00167">
        <w:rPr>
          <w:b/>
          <w:bCs/>
          <w:lang w:val="en-US" w:eastAsia="en-NZ"/>
        </w:rPr>
        <w:t xml:space="preserve"> </w:t>
      </w:r>
      <w:r w:rsidRPr="00E00167">
        <w:rPr>
          <w:b/>
          <w:bCs/>
          <w:lang w:val="en-US" w:eastAsia="en-NZ"/>
        </w:rPr>
        <w:t>Asian</w:t>
      </w:r>
      <w:r w:rsidR="003D640C" w:rsidRPr="00E00167">
        <w:rPr>
          <w:b/>
          <w:bCs/>
          <w:lang w:val="en-US" w:eastAsia="en-NZ"/>
        </w:rPr>
        <w:t xml:space="preserve"> </w:t>
      </w:r>
      <w:r w:rsidRPr="00E00167">
        <w:rPr>
          <w:b/>
          <w:bCs/>
        </w:rPr>
        <w:t>terms</w:t>
      </w:r>
      <w:r w:rsidRPr="00E00167">
        <w:rPr>
          <w:b/>
          <w:bCs/>
          <w:vertAlign w:val="superscript"/>
        </w:rPr>
        <w:footnoteReference w:id="22"/>
      </w:r>
      <w:r w:rsidR="003D640C" w:rsidRPr="00E00167">
        <w:rPr>
          <w:b/>
          <w:bCs/>
          <w:vertAlign w:val="superscript"/>
          <w:lang w:val="en-US" w:eastAsia="en-N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40"/>
      </w:tblGrid>
      <w:tr w:rsidR="00577F8F" w:rsidRPr="00577F8F" w14:paraId="55190D96" w14:textId="77777777" w:rsidTr="006953F6">
        <w:tc>
          <w:tcPr>
            <w:tcW w:w="2376" w:type="dxa"/>
          </w:tcPr>
          <w:p w14:paraId="5675A1B8" w14:textId="6EE82C70" w:rsidR="00577F8F" w:rsidRPr="00577F8F" w:rsidRDefault="00577F8F" w:rsidP="00F7327F">
            <w:pPr>
              <w:spacing w:after="120" w:line="259" w:lineRule="auto"/>
              <w:rPr>
                <w:lang w:val="en-US" w:eastAsia="en-NZ"/>
              </w:rPr>
            </w:pPr>
            <w:r w:rsidRPr="00577F8F">
              <w:rPr>
                <w:rFonts w:ascii="Nirmala UI" w:hAnsi="Nirmala UI" w:cs="Nirmala UI"/>
                <w:lang w:val="en-US" w:eastAsia="en-NZ"/>
              </w:rPr>
              <w:t>අරමුණ</w:t>
            </w:r>
            <w:r w:rsidRPr="00577F8F">
              <w:rPr>
                <w:lang w:val="en-US" w:eastAsia="en-NZ"/>
              </w:rPr>
              <w:t xml:space="preserve"> </w:t>
            </w:r>
            <w:r w:rsidR="00F619BA">
              <w:rPr>
                <w:lang w:val="en-US" w:eastAsia="en-NZ"/>
              </w:rPr>
              <w:br/>
            </w:r>
            <w:r w:rsidRPr="00577F8F">
              <w:rPr>
                <w:lang w:val="en-US" w:eastAsia="en-NZ"/>
              </w:rPr>
              <w:t xml:space="preserve">Aramuna </w:t>
            </w:r>
          </w:p>
        </w:tc>
        <w:tc>
          <w:tcPr>
            <w:tcW w:w="6640" w:type="dxa"/>
          </w:tcPr>
          <w:p w14:paraId="79C9FDC3" w14:textId="6E4B75F5" w:rsidR="00577F8F" w:rsidRPr="00577F8F" w:rsidRDefault="00B140A0" w:rsidP="00F7327F">
            <w:pPr>
              <w:spacing w:after="120" w:line="259" w:lineRule="auto"/>
              <w:rPr>
                <w:rFonts w:ascii="Segoe UI" w:hAnsi="Segoe UI" w:cs="Segoe UI"/>
                <w:sz w:val="18"/>
                <w:szCs w:val="18"/>
                <w:lang w:eastAsia="en-NZ"/>
              </w:rPr>
            </w:pPr>
            <w:r>
              <w:rPr>
                <w:lang w:val="en-US" w:eastAsia="en-NZ"/>
              </w:rPr>
              <w:t>K</w:t>
            </w:r>
            <w:r w:rsidR="00577F8F" w:rsidRPr="00577F8F">
              <w:rPr>
                <w:lang w:val="en-US" w:eastAsia="en-NZ"/>
              </w:rPr>
              <w:t>aupapa, topic, matter of discussion in Sinhalese.</w:t>
            </w:r>
            <w:r w:rsidR="00577F8F" w:rsidRPr="00577F8F">
              <w:rPr>
                <w:lang w:eastAsia="en-NZ"/>
              </w:rPr>
              <w:t xml:space="preserve"> </w:t>
            </w:r>
          </w:p>
        </w:tc>
      </w:tr>
      <w:tr w:rsidR="00577F8F" w:rsidRPr="00577F8F" w14:paraId="0D7FCA3F" w14:textId="77777777" w:rsidTr="006953F6">
        <w:tc>
          <w:tcPr>
            <w:tcW w:w="2376" w:type="dxa"/>
          </w:tcPr>
          <w:p w14:paraId="3D2B1520" w14:textId="77777777" w:rsidR="00577F8F" w:rsidRPr="00577F8F" w:rsidRDefault="00577F8F" w:rsidP="00F7327F">
            <w:pPr>
              <w:spacing w:after="120" w:line="259" w:lineRule="auto"/>
              <w:rPr>
                <w:lang w:val="en-US" w:eastAsia="en-NZ"/>
              </w:rPr>
            </w:pPr>
            <w:r w:rsidRPr="00577F8F">
              <w:rPr>
                <w:lang w:val="en-US" w:eastAsia="en-NZ"/>
              </w:rPr>
              <w:t xml:space="preserve">Aravani </w:t>
            </w:r>
          </w:p>
        </w:tc>
        <w:tc>
          <w:tcPr>
            <w:tcW w:w="6640" w:type="dxa"/>
          </w:tcPr>
          <w:p w14:paraId="38D63A1A" w14:textId="75AF0947" w:rsidR="00577F8F" w:rsidRPr="00577F8F" w:rsidRDefault="00577F8F" w:rsidP="00F7327F">
            <w:pPr>
              <w:spacing w:after="120" w:line="259" w:lineRule="auto"/>
              <w:rPr>
                <w:lang w:eastAsia="en-NZ"/>
              </w:rPr>
            </w:pPr>
            <w:r w:rsidRPr="00577F8F">
              <w:rPr>
                <w:lang w:val="en-US" w:eastAsia="en-NZ"/>
              </w:rPr>
              <w:t>Commonly interchangeable identity with Hijra.</w:t>
            </w:r>
            <w:r w:rsidRPr="00577F8F">
              <w:rPr>
                <w:lang w:eastAsia="en-NZ"/>
              </w:rPr>
              <w:t xml:space="preserve"> </w:t>
            </w:r>
          </w:p>
        </w:tc>
      </w:tr>
      <w:tr w:rsidR="00577F8F" w:rsidRPr="00577F8F" w14:paraId="2A52E70B" w14:textId="77777777" w:rsidTr="006953F6">
        <w:tc>
          <w:tcPr>
            <w:tcW w:w="2376" w:type="dxa"/>
          </w:tcPr>
          <w:p w14:paraId="7A7E7B58" w14:textId="41D9C877" w:rsidR="00577F8F" w:rsidRPr="00577F8F" w:rsidRDefault="00577F8F" w:rsidP="00F7327F">
            <w:pPr>
              <w:spacing w:after="120" w:line="259" w:lineRule="auto"/>
              <w:rPr>
                <w:lang w:val="en-US" w:eastAsia="en-NZ"/>
              </w:rPr>
            </w:pPr>
            <w:r w:rsidRPr="00577F8F">
              <w:rPr>
                <w:rFonts w:ascii="Nirmala UI" w:hAnsi="Nirmala UI" w:cs="Nirmala UI"/>
                <w:lang w:eastAsia="en-NZ"/>
              </w:rPr>
              <w:t>භූමිය</w:t>
            </w:r>
            <w:r w:rsidRPr="00577F8F">
              <w:rPr>
                <w:lang w:val="en-US" w:eastAsia="en-NZ"/>
              </w:rPr>
              <w:t xml:space="preserve"> </w:t>
            </w:r>
            <w:r w:rsidR="00F7327F">
              <w:rPr>
                <w:lang w:val="en-US" w:eastAsia="en-NZ"/>
              </w:rPr>
              <w:br/>
            </w:r>
            <w:r w:rsidRPr="00577F8F">
              <w:rPr>
                <w:lang w:val="en-US" w:eastAsia="en-NZ"/>
              </w:rPr>
              <w:t xml:space="preserve">Bhūmiya </w:t>
            </w:r>
          </w:p>
        </w:tc>
        <w:tc>
          <w:tcPr>
            <w:tcW w:w="6640" w:type="dxa"/>
          </w:tcPr>
          <w:p w14:paraId="614EE277" w14:textId="5703E59F" w:rsidR="00577F8F" w:rsidRPr="00577F8F" w:rsidRDefault="00B140A0" w:rsidP="00F7327F">
            <w:pPr>
              <w:spacing w:after="120" w:line="259" w:lineRule="auto"/>
              <w:rPr>
                <w:lang w:eastAsia="en-NZ"/>
              </w:rPr>
            </w:pPr>
            <w:r>
              <w:rPr>
                <w:lang w:val="en-US" w:eastAsia="en-NZ"/>
              </w:rPr>
              <w:t>W</w:t>
            </w:r>
            <w:r w:rsidR="00577F8F" w:rsidRPr="00577F8F">
              <w:rPr>
                <w:lang w:val="en-US" w:eastAsia="en-NZ"/>
              </w:rPr>
              <w:t>henua, land, nation, state in Sinhalese.</w:t>
            </w:r>
          </w:p>
        </w:tc>
      </w:tr>
      <w:tr w:rsidR="00577F8F" w:rsidRPr="00577F8F" w14:paraId="0FF48A10" w14:textId="77777777" w:rsidTr="006953F6">
        <w:tc>
          <w:tcPr>
            <w:tcW w:w="2376" w:type="dxa"/>
          </w:tcPr>
          <w:p w14:paraId="4976557B" w14:textId="77777777" w:rsidR="00577F8F" w:rsidRPr="00577F8F" w:rsidRDefault="00577F8F" w:rsidP="00F7327F">
            <w:pPr>
              <w:spacing w:after="120" w:line="259" w:lineRule="auto"/>
              <w:rPr>
                <w:lang w:val="en-US" w:eastAsia="en-NZ"/>
              </w:rPr>
            </w:pPr>
            <w:r w:rsidRPr="00577F8F">
              <w:rPr>
                <w:lang w:val="en-US" w:eastAsia="en-NZ"/>
              </w:rPr>
              <w:t xml:space="preserve">Hijra </w:t>
            </w:r>
          </w:p>
        </w:tc>
        <w:tc>
          <w:tcPr>
            <w:tcW w:w="6640" w:type="dxa"/>
          </w:tcPr>
          <w:p w14:paraId="5BBA2A45" w14:textId="46CC003B" w:rsidR="00577F8F" w:rsidRPr="00577F8F" w:rsidRDefault="00577F8F" w:rsidP="00F7327F">
            <w:pPr>
              <w:spacing w:after="120" w:line="259" w:lineRule="auto"/>
              <w:rPr>
                <w:lang w:eastAsia="en-NZ"/>
              </w:rPr>
            </w:pPr>
            <w:r w:rsidRPr="00577F8F">
              <w:rPr>
                <w:lang w:val="en-US" w:eastAsia="en-NZ"/>
              </w:rPr>
              <w:t>A third gender identity where typically those assigned male at birth identify as female. Many choose to undergo a castration ceremony as an offering to the Hindu goddess Bahuchara Mata.</w:t>
            </w:r>
            <w:r w:rsidRPr="00577F8F">
              <w:rPr>
                <w:lang w:eastAsia="en-NZ"/>
              </w:rPr>
              <w:t xml:space="preserve"> </w:t>
            </w:r>
          </w:p>
        </w:tc>
      </w:tr>
      <w:tr w:rsidR="00577F8F" w:rsidRPr="00577F8F" w14:paraId="300D88CA" w14:textId="77777777" w:rsidTr="006953F6">
        <w:tc>
          <w:tcPr>
            <w:tcW w:w="2376" w:type="dxa"/>
          </w:tcPr>
          <w:p w14:paraId="336137FE" w14:textId="77777777" w:rsidR="00577F8F" w:rsidRPr="00577F8F" w:rsidRDefault="00577F8F" w:rsidP="00F7327F">
            <w:pPr>
              <w:spacing w:after="120" w:line="259" w:lineRule="auto"/>
              <w:rPr>
                <w:lang w:val="en-US" w:eastAsia="en-NZ"/>
              </w:rPr>
            </w:pPr>
            <w:r w:rsidRPr="00577F8F">
              <w:rPr>
                <w:lang w:val="en-US" w:eastAsia="en-NZ"/>
              </w:rPr>
              <w:t xml:space="preserve">Jogappa </w:t>
            </w:r>
          </w:p>
        </w:tc>
        <w:tc>
          <w:tcPr>
            <w:tcW w:w="6640" w:type="dxa"/>
          </w:tcPr>
          <w:p w14:paraId="33ADDD3F" w14:textId="30140C46" w:rsidR="00577F8F" w:rsidRPr="00577F8F" w:rsidRDefault="00577F8F" w:rsidP="00F7327F">
            <w:pPr>
              <w:spacing w:after="120" w:line="259" w:lineRule="auto"/>
              <w:rPr>
                <w:rFonts w:ascii="Segoe UI" w:hAnsi="Segoe UI" w:cs="Segoe UI"/>
                <w:sz w:val="18"/>
                <w:szCs w:val="18"/>
                <w:lang w:eastAsia="en-NZ"/>
              </w:rPr>
            </w:pPr>
            <w:r w:rsidRPr="00577F8F">
              <w:rPr>
                <w:lang w:val="en-US" w:eastAsia="en-NZ"/>
              </w:rPr>
              <w:t xml:space="preserve">An identity best interchanged with the Western term transgender (specifically male to female). This is commonly used in the Hubli-Dharwad region of North Karnataka (South India). It is considered a divine identity as </w:t>
            </w:r>
            <w:r w:rsidR="00003B25">
              <w:rPr>
                <w:lang w:val="en-US" w:eastAsia="en-NZ"/>
              </w:rPr>
              <w:t>J</w:t>
            </w:r>
            <w:r w:rsidRPr="00577F8F">
              <w:rPr>
                <w:lang w:val="en-US" w:eastAsia="en-NZ"/>
              </w:rPr>
              <w:t xml:space="preserve">ogappa are said to marry the Goddess Yellamma. </w:t>
            </w:r>
          </w:p>
        </w:tc>
      </w:tr>
      <w:tr w:rsidR="00577F8F" w:rsidRPr="00577F8F" w14:paraId="7AA2B0A0" w14:textId="77777777" w:rsidTr="006953F6">
        <w:tc>
          <w:tcPr>
            <w:tcW w:w="2376" w:type="dxa"/>
          </w:tcPr>
          <w:p w14:paraId="12456B20" w14:textId="77777777" w:rsidR="00577F8F" w:rsidRPr="00577F8F" w:rsidRDefault="00577F8F" w:rsidP="00F7327F">
            <w:pPr>
              <w:spacing w:after="120" w:line="259" w:lineRule="auto"/>
              <w:rPr>
                <w:lang w:val="en-US" w:eastAsia="en-NZ"/>
              </w:rPr>
            </w:pPr>
            <w:r w:rsidRPr="00577F8F">
              <w:rPr>
                <w:lang w:val="en-US" w:eastAsia="en-NZ"/>
              </w:rPr>
              <w:t xml:space="preserve">Jogatha </w:t>
            </w:r>
          </w:p>
        </w:tc>
        <w:tc>
          <w:tcPr>
            <w:tcW w:w="6640" w:type="dxa"/>
          </w:tcPr>
          <w:p w14:paraId="0C2B77E1" w14:textId="54B42AB9" w:rsidR="00577F8F" w:rsidRPr="00577F8F" w:rsidRDefault="00577F8F" w:rsidP="00F7327F">
            <w:pPr>
              <w:spacing w:after="120" w:line="259" w:lineRule="auto"/>
              <w:rPr>
                <w:rFonts w:ascii="Segoe UI" w:hAnsi="Segoe UI" w:cs="Segoe UI"/>
                <w:sz w:val="18"/>
                <w:szCs w:val="18"/>
                <w:lang w:eastAsia="en-NZ"/>
              </w:rPr>
            </w:pPr>
            <w:r w:rsidRPr="00577F8F">
              <w:rPr>
                <w:lang w:val="en-US" w:eastAsia="en-NZ"/>
              </w:rPr>
              <w:t>An identity best interchanged with the Western term of transgender</w:t>
            </w:r>
            <w:bookmarkStart w:id="14" w:name="_Int_7mnZFOll"/>
            <w:r w:rsidRPr="00577F8F">
              <w:rPr>
                <w:lang w:val="en-US" w:eastAsia="en-NZ"/>
              </w:rPr>
              <w:t>.</w:t>
            </w:r>
            <w:bookmarkEnd w:id="14"/>
          </w:p>
        </w:tc>
      </w:tr>
      <w:tr w:rsidR="00577F8F" w:rsidRPr="00577F8F" w14:paraId="2AFCDEBB" w14:textId="77777777" w:rsidTr="006953F6">
        <w:tc>
          <w:tcPr>
            <w:tcW w:w="2376" w:type="dxa"/>
          </w:tcPr>
          <w:p w14:paraId="4E5EEBAD" w14:textId="77777777" w:rsidR="00577F8F" w:rsidRPr="00577F8F" w:rsidRDefault="00577F8F" w:rsidP="00F7327F">
            <w:pPr>
              <w:spacing w:after="120" w:line="259" w:lineRule="auto"/>
              <w:rPr>
                <w:lang w:val="en-US" w:eastAsia="en-NZ"/>
              </w:rPr>
            </w:pPr>
            <w:r w:rsidRPr="00577F8F">
              <w:rPr>
                <w:lang w:val="en-US" w:eastAsia="en-NZ"/>
              </w:rPr>
              <w:t xml:space="preserve">Khwajasara </w:t>
            </w:r>
          </w:p>
        </w:tc>
        <w:tc>
          <w:tcPr>
            <w:tcW w:w="6640" w:type="dxa"/>
          </w:tcPr>
          <w:p w14:paraId="2A8427F0" w14:textId="6EC6DB0A" w:rsidR="00577F8F" w:rsidRPr="00577F8F" w:rsidRDefault="00577F8F" w:rsidP="00F7327F">
            <w:pPr>
              <w:spacing w:after="120" w:line="259" w:lineRule="auto"/>
              <w:rPr>
                <w:rFonts w:ascii="Segoe UI" w:hAnsi="Segoe UI" w:cs="Segoe UI"/>
                <w:sz w:val="18"/>
                <w:szCs w:val="18"/>
                <w:lang w:eastAsia="en-NZ"/>
              </w:rPr>
            </w:pPr>
            <w:r w:rsidRPr="00577F8F">
              <w:rPr>
                <w:lang w:val="en-US" w:eastAsia="en-NZ"/>
              </w:rPr>
              <w:t>An identity best interchanged with the Western term of transgender in Pakistan (specifically male to female)</w:t>
            </w:r>
            <w:r w:rsidR="00B140A0">
              <w:rPr>
                <w:lang w:val="en-US" w:eastAsia="en-NZ"/>
              </w:rPr>
              <w:t>.</w:t>
            </w:r>
            <w:r w:rsidRPr="00577F8F">
              <w:rPr>
                <w:lang w:val="en-US" w:eastAsia="en-NZ"/>
              </w:rPr>
              <w:t xml:space="preserve"> </w:t>
            </w:r>
            <w:r w:rsidR="00B140A0">
              <w:rPr>
                <w:lang w:val="en-US" w:eastAsia="en-NZ"/>
              </w:rPr>
              <w:t>I</w:t>
            </w:r>
            <w:r w:rsidRPr="00577F8F">
              <w:rPr>
                <w:lang w:val="en-US" w:eastAsia="en-NZ"/>
              </w:rPr>
              <w:t>t is also commonly used to identify those who are, in Western terms, intersex</w:t>
            </w:r>
            <w:bookmarkStart w:id="15" w:name="_Int_RN6TMRGt"/>
            <w:r w:rsidRPr="00577F8F">
              <w:rPr>
                <w:lang w:val="en-US" w:eastAsia="en-NZ"/>
              </w:rPr>
              <w:t>.</w:t>
            </w:r>
            <w:bookmarkEnd w:id="15"/>
            <w:r w:rsidRPr="00577F8F">
              <w:rPr>
                <w:lang w:eastAsia="en-NZ"/>
              </w:rPr>
              <w:t xml:space="preserve"> </w:t>
            </w:r>
          </w:p>
        </w:tc>
      </w:tr>
      <w:tr w:rsidR="00577F8F" w:rsidRPr="00577F8F" w14:paraId="563A2074" w14:textId="77777777" w:rsidTr="006953F6">
        <w:tc>
          <w:tcPr>
            <w:tcW w:w="2376" w:type="dxa"/>
          </w:tcPr>
          <w:p w14:paraId="41F97CC8" w14:textId="77777777" w:rsidR="00577F8F" w:rsidRPr="00577F8F" w:rsidRDefault="00577F8F" w:rsidP="00F7327F">
            <w:pPr>
              <w:spacing w:after="120" w:line="259" w:lineRule="auto"/>
              <w:rPr>
                <w:lang w:val="en-US" w:eastAsia="en-NZ"/>
              </w:rPr>
            </w:pPr>
            <w:r w:rsidRPr="00577F8F">
              <w:rPr>
                <w:lang w:val="en-US" w:eastAsia="en-NZ"/>
              </w:rPr>
              <w:t xml:space="preserve">Kothi </w:t>
            </w:r>
          </w:p>
        </w:tc>
        <w:tc>
          <w:tcPr>
            <w:tcW w:w="6640" w:type="dxa"/>
          </w:tcPr>
          <w:p w14:paraId="1B34DE20" w14:textId="42F0DBCA" w:rsidR="00577F8F" w:rsidRPr="00577F8F" w:rsidRDefault="00577F8F" w:rsidP="00F7327F">
            <w:pPr>
              <w:spacing w:after="120" w:line="259" w:lineRule="auto"/>
              <w:rPr>
                <w:lang w:eastAsia="en-NZ"/>
              </w:rPr>
            </w:pPr>
            <w:r w:rsidRPr="00577F8F">
              <w:rPr>
                <w:lang w:val="en-US" w:eastAsia="en-NZ"/>
              </w:rPr>
              <w:t>Commonly interchangeable identity with Hijra.</w:t>
            </w:r>
            <w:r w:rsidRPr="00577F8F">
              <w:rPr>
                <w:lang w:eastAsia="en-NZ"/>
              </w:rPr>
              <w:t xml:space="preserve"> </w:t>
            </w:r>
          </w:p>
        </w:tc>
      </w:tr>
      <w:tr w:rsidR="00577F8F" w:rsidRPr="00577F8F" w14:paraId="723ED889" w14:textId="77777777" w:rsidTr="006953F6">
        <w:tc>
          <w:tcPr>
            <w:tcW w:w="2376" w:type="dxa"/>
          </w:tcPr>
          <w:p w14:paraId="0EFBF024" w14:textId="77777777" w:rsidR="00577F8F" w:rsidRPr="00577F8F" w:rsidRDefault="00577F8F" w:rsidP="00F7327F">
            <w:pPr>
              <w:spacing w:after="120" w:line="259" w:lineRule="auto"/>
              <w:rPr>
                <w:lang w:val="en-US" w:eastAsia="en-NZ"/>
              </w:rPr>
            </w:pPr>
            <w:r w:rsidRPr="00577F8F">
              <w:rPr>
                <w:lang w:val="en-US" w:eastAsia="en-NZ"/>
              </w:rPr>
              <w:t xml:space="preserve">Nachchi </w:t>
            </w:r>
          </w:p>
        </w:tc>
        <w:tc>
          <w:tcPr>
            <w:tcW w:w="6640" w:type="dxa"/>
          </w:tcPr>
          <w:p w14:paraId="72383B10" w14:textId="178B65B3" w:rsidR="00577F8F" w:rsidRPr="00577F8F" w:rsidRDefault="00577F8F" w:rsidP="00F7327F">
            <w:pPr>
              <w:spacing w:after="120" w:line="259" w:lineRule="auto"/>
              <w:rPr>
                <w:rFonts w:ascii="Segoe UI" w:hAnsi="Segoe UI" w:cs="Segoe UI"/>
                <w:sz w:val="18"/>
                <w:szCs w:val="18"/>
                <w:lang w:eastAsia="en-NZ"/>
              </w:rPr>
            </w:pPr>
            <w:r w:rsidRPr="00577F8F">
              <w:rPr>
                <w:lang w:val="en-US" w:eastAsia="en-NZ"/>
              </w:rPr>
              <w:t>An identity used in Sri Lanka best compared with the Western terms of transgender or homosexual</w:t>
            </w:r>
            <w:bookmarkStart w:id="16" w:name="_Int_y1TNfBK9"/>
            <w:r w:rsidRPr="00577F8F">
              <w:rPr>
                <w:lang w:val="en-US" w:eastAsia="en-NZ"/>
              </w:rPr>
              <w:t>.</w:t>
            </w:r>
            <w:bookmarkEnd w:id="16"/>
            <w:r w:rsidRPr="00577F8F">
              <w:rPr>
                <w:lang w:val="en-US" w:eastAsia="en-NZ"/>
              </w:rPr>
              <w:t xml:space="preserve"> It is a term commonly used to celebrate feminine gendered nuances while also embracing their biological maleness.</w:t>
            </w:r>
          </w:p>
        </w:tc>
      </w:tr>
      <w:tr w:rsidR="00577F8F" w:rsidRPr="00577F8F" w14:paraId="61B0F1EF" w14:textId="77777777" w:rsidTr="006953F6">
        <w:tc>
          <w:tcPr>
            <w:tcW w:w="2376" w:type="dxa"/>
          </w:tcPr>
          <w:p w14:paraId="7005E632" w14:textId="359918F3" w:rsidR="00577F8F" w:rsidRPr="00577F8F" w:rsidRDefault="00577F8F" w:rsidP="00F7327F">
            <w:pPr>
              <w:spacing w:after="120" w:line="259" w:lineRule="auto"/>
              <w:rPr>
                <w:lang w:val="en-US" w:eastAsia="en-NZ"/>
              </w:rPr>
            </w:pPr>
            <w:r w:rsidRPr="00577F8F">
              <w:rPr>
                <w:rFonts w:ascii="Nirmala UI" w:hAnsi="Nirmala UI" w:cs="Nirmala UI"/>
                <w:lang w:val="en-US" w:eastAsia="en-NZ"/>
              </w:rPr>
              <w:t>නවසීලන්තය</w:t>
            </w:r>
            <w:r w:rsidR="00F7327F">
              <w:rPr>
                <w:rFonts w:ascii="Nirmala UI" w:hAnsi="Nirmala UI" w:cs="Nirmala UI"/>
                <w:lang w:val="en-US" w:eastAsia="en-NZ"/>
              </w:rPr>
              <w:br/>
            </w:r>
            <w:r w:rsidRPr="00577F8F">
              <w:rPr>
                <w:lang w:val="en-US" w:eastAsia="en-NZ"/>
              </w:rPr>
              <w:t xml:space="preserve">Navasīlantaya </w:t>
            </w:r>
          </w:p>
        </w:tc>
        <w:tc>
          <w:tcPr>
            <w:tcW w:w="6640" w:type="dxa"/>
          </w:tcPr>
          <w:p w14:paraId="2D5CF1B2" w14:textId="075F9A20" w:rsidR="00577F8F" w:rsidRPr="00577F8F" w:rsidRDefault="00577F8F" w:rsidP="00F7327F">
            <w:pPr>
              <w:spacing w:after="120" w:line="259" w:lineRule="auto"/>
              <w:rPr>
                <w:lang w:val="en-US" w:eastAsia="en-NZ"/>
              </w:rPr>
            </w:pPr>
            <w:r w:rsidRPr="00577F8F">
              <w:rPr>
                <w:lang w:val="en-US" w:eastAsia="en-NZ"/>
              </w:rPr>
              <w:t>Aotearoa New Zealand in Sinhalese.</w:t>
            </w:r>
          </w:p>
        </w:tc>
      </w:tr>
      <w:tr w:rsidR="00577F8F" w:rsidRPr="00577F8F" w14:paraId="6FA60A47" w14:textId="77777777" w:rsidTr="006953F6">
        <w:tc>
          <w:tcPr>
            <w:tcW w:w="2376" w:type="dxa"/>
          </w:tcPr>
          <w:p w14:paraId="5C3E4779" w14:textId="4D5EE3C4" w:rsidR="00577F8F" w:rsidRPr="00577F8F" w:rsidRDefault="00577F8F" w:rsidP="00F7327F">
            <w:pPr>
              <w:spacing w:after="120" w:line="259" w:lineRule="auto"/>
              <w:rPr>
                <w:lang w:val="en-US" w:eastAsia="en-NZ"/>
              </w:rPr>
            </w:pPr>
            <w:r w:rsidRPr="00577F8F">
              <w:rPr>
                <w:rFonts w:ascii="Nirmala UI" w:hAnsi="Nirmala UI" w:cs="Nirmala UI"/>
                <w:lang w:eastAsia="en-NZ"/>
              </w:rPr>
              <w:t>පවුල්</w:t>
            </w:r>
            <w:r w:rsidRPr="00577F8F">
              <w:rPr>
                <w:lang w:val="en-US" w:eastAsia="en-NZ"/>
              </w:rPr>
              <w:t xml:space="preserve"> </w:t>
            </w:r>
            <w:r w:rsidR="00F7327F">
              <w:rPr>
                <w:lang w:val="en-US" w:eastAsia="en-NZ"/>
              </w:rPr>
              <w:br/>
            </w:r>
            <w:r w:rsidRPr="00577F8F">
              <w:rPr>
                <w:lang w:val="en-US" w:eastAsia="en-NZ"/>
              </w:rPr>
              <w:t xml:space="preserve">Pavula </w:t>
            </w:r>
          </w:p>
        </w:tc>
        <w:tc>
          <w:tcPr>
            <w:tcW w:w="6640" w:type="dxa"/>
          </w:tcPr>
          <w:p w14:paraId="5C48CB24" w14:textId="59C94A3C" w:rsidR="00577F8F" w:rsidRPr="00577F8F" w:rsidRDefault="008F014D" w:rsidP="00F7327F">
            <w:pPr>
              <w:spacing w:after="120" w:line="259" w:lineRule="auto"/>
              <w:rPr>
                <w:rFonts w:ascii="Segoe UI" w:hAnsi="Segoe UI" w:cs="Segoe UI"/>
                <w:sz w:val="18"/>
                <w:szCs w:val="18"/>
                <w:lang w:eastAsia="en-NZ"/>
              </w:rPr>
            </w:pPr>
            <w:r>
              <w:rPr>
                <w:lang w:val="en-US" w:eastAsia="en-NZ"/>
              </w:rPr>
              <w:t>W</w:t>
            </w:r>
            <w:r w:rsidR="00577F8F" w:rsidRPr="00577F8F">
              <w:rPr>
                <w:lang w:val="en-US" w:eastAsia="en-NZ"/>
              </w:rPr>
              <w:t>hānau or family in Sinhalese.</w:t>
            </w:r>
          </w:p>
        </w:tc>
      </w:tr>
      <w:tr w:rsidR="00577F8F" w:rsidRPr="00577F8F" w14:paraId="1FAE5A85" w14:textId="77777777" w:rsidTr="006953F6">
        <w:tc>
          <w:tcPr>
            <w:tcW w:w="2376" w:type="dxa"/>
          </w:tcPr>
          <w:p w14:paraId="4FE53CB4" w14:textId="77777777" w:rsidR="00577F8F" w:rsidRPr="00577F8F" w:rsidRDefault="00577F8F" w:rsidP="00F7327F">
            <w:pPr>
              <w:spacing w:after="120" w:line="259" w:lineRule="auto"/>
              <w:rPr>
                <w:lang w:val="en-US" w:eastAsia="en-NZ"/>
              </w:rPr>
            </w:pPr>
            <w:r w:rsidRPr="00577F8F">
              <w:rPr>
                <w:lang w:val="en-US" w:eastAsia="en-NZ"/>
              </w:rPr>
              <w:t xml:space="preserve">Thirunambigal </w:t>
            </w:r>
          </w:p>
        </w:tc>
        <w:tc>
          <w:tcPr>
            <w:tcW w:w="6640" w:type="dxa"/>
          </w:tcPr>
          <w:p w14:paraId="2856A96C" w14:textId="01CDC6D4" w:rsidR="00577F8F" w:rsidRPr="00577F8F" w:rsidRDefault="00577F8F" w:rsidP="00F7327F">
            <w:pPr>
              <w:spacing w:after="120" w:line="259" w:lineRule="auto"/>
              <w:rPr>
                <w:rFonts w:ascii="Segoe UI" w:hAnsi="Segoe UI" w:cs="Segoe UI"/>
                <w:sz w:val="18"/>
                <w:szCs w:val="18"/>
                <w:lang w:eastAsia="en-NZ"/>
              </w:rPr>
            </w:pPr>
            <w:r w:rsidRPr="00577F8F">
              <w:rPr>
                <w:lang w:val="en-US" w:eastAsia="en-NZ"/>
              </w:rPr>
              <w:t>An identity best interchanged with the Western term of transgender (specifically female to male) in the Tamil language.</w:t>
            </w:r>
            <w:r w:rsidRPr="00577F8F">
              <w:rPr>
                <w:lang w:eastAsia="en-NZ"/>
              </w:rPr>
              <w:t xml:space="preserve"> </w:t>
            </w:r>
          </w:p>
        </w:tc>
      </w:tr>
      <w:tr w:rsidR="00577F8F" w:rsidRPr="00577F8F" w14:paraId="7B6F750C" w14:textId="77777777" w:rsidTr="006953F6">
        <w:tc>
          <w:tcPr>
            <w:tcW w:w="2376" w:type="dxa"/>
          </w:tcPr>
          <w:p w14:paraId="7ED36253" w14:textId="77777777" w:rsidR="00577F8F" w:rsidRPr="00577F8F" w:rsidRDefault="00577F8F" w:rsidP="00F7327F">
            <w:pPr>
              <w:spacing w:after="120" w:line="259" w:lineRule="auto"/>
              <w:rPr>
                <w:lang w:val="en-US" w:eastAsia="en-NZ"/>
              </w:rPr>
            </w:pPr>
            <w:r w:rsidRPr="00577F8F">
              <w:rPr>
                <w:lang w:val="en-US" w:eastAsia="en-NZ"/>
              </w:rPr>
              <w:t xml:space="preserve">Thirunangaigal </w:t>
            </w:r>
          </w:p>
        </w:tc>
        <w:tc>
          <w:tcPr>
            <w:tcW w:w="6640" w:type="dxa"/>
          </w:tcPr>
          <w:p w14:paraId="0E700B55" w14:textId="7802605D" w:rsidR="00577F8F" w:rsidRPr="00577F8F" w:rsidRDefault="00577F8F" w:rsidP="00F7327F">
            <w:pPr>
              <w:spacing w:after="120" w:line="259" w:lineRule="auto"/>
              <w:rPr>
                <w:lang w:val="en-US" w:eastAsia="en-NZ"/>
              </w:rPr>
            </w:pPr>
            <w:r w:rsidRPr="00577F8F">
              <w:rPr>
                <w:lang w:val="en-US" w:eastAsia="en-NZ"/>
              </w:rPr>
              <w:t>Best translates to respectable woman in the Tamil language. An identity best interchanged with the Western term of transgender (specifically male to female).</w:t>
            </w:r>
          </w:p>
        </w:tc>
      </w:tr>
    </w:tbl>
    <w:p w14:paraId="627260CB" w14:textId="5FB20453" w:rsidR="0027787C" w:rsidRPr="00BB6220" w:rsidRDefault="0027787C" w:rsidP="178ADA35">
      <w:pPr>
        <w:pStyle w:val="Heading1-nonumbering"/>
        <w:ind w:left="0" w:firstLine="0"/>
      </w:pPr>
      <w:bookmarkStart w:id="17" w:name="_Toc167780567"/>
      <w:bookmarkStart w:id="18" w:name="_Toc174628620"/>
      <w:bookmarkStart w:id="19" w:name="_Toc103123519"/>
      <w:r w:rsidRPr="00BB6220">
        <w:lastRenderedPageBreak/>
        <w:t>Executive</w:t>
      </w:r>
      <w:r w:rsidR="003D640C">
        <w:t xml:space="preserve"> </w:t>
      </w:r>
      <w:r w:rsidR="00501BC4">
        <w:t>s</w:t>
      </w:r>
      <w:r w:rsidRPr="00BB6220">
        <w:t>ummary</w:t>
      </w:r>
      <w:bookmarkEnd w:id="17"/>
      <w:bookmarkEnd w:id="18"/>
    </w:p>
    <w:bookmarkEnd w:id="19"/>
    <w:p w14:paraId="59505DC6" w14:textId="4B5CD212" w:rsidR="0065505B" w:rsidRDefault="0065505B" w:rsidP="00E00167">
      <w:r>
        <w:t>Imagine</w:t>
      </w:r>
      <w:r w:rsidR="003D640C">
        <w:t xml:space="preserve"> </w:t>
      </w:r>
      <w:r>
        <w:t>a</w:t>
      </w:r>
      <w:r w:rsidR="003D640C">
        <w:t xml:space="preserve"> </w:t>
      </w:r>
      <w:r>
        <w:t>world</w:t>
      </w:r>
      <w:r w:rsidR="003D640C">
        <w:t xml:space="preserve"> </w:t>
      </w:r>
      <w:r>
        <w:t>where</w:t>
      </w:r>
      <w:r w:rsidR="003D640C">
        <w:t xml:space="preserve"> </w:t>
      </w:r>
      <w:r>
        <w:t>Rainbow</w:t>
      </w:r>
      <w:r w:rsidR="003D640C">
        <w:t xml:space="preserve"> </w:t>
      </w:r>
      <w:r>
        <w:t>people</w:t>
      </w:r>
      <w:r w:rsidR="003D640C">
        <w:t xml:space="preserve"> </w:t>
      </w:r>
      <w:r>
        <w:t>are</w:t>
      </w:r>
      <w:r w:rsidR="003D640C">
        <w:t xml:space="preserve"> </w:t>
      </w:r>
      <w:r>
        <w:t>able</w:t>
      </w:r>
      <w:r w:rsidR="003D640C">
        <w:t xml:space="preserve"> </w:t>
      </w:r>
      <w:r>
        <w:t>to</w:t>
      </w:r>
      <w:r w:rsidR="003D640C">
        <w:t xml:space="preserve"> </w:t>
      </w:r>
      <w:r>
        <w:t>live</w:t>
      </w:r>
      <w:r w:rsidR="003D640C">
        <w:t xml:space="preserve"> </w:t>
      </w:r>
      <w:r>
        <w:t>authentically</w:t>
      </w:r>
      <w:r w:rsidR="003D640C">
        <w:t xml:space="preserve"> </w:t>
      </w:r>
      <w:r>
        <w:t>and</w:t>
      </w:r>
      <w:r w:rsidR="003D640C">
        <w:t xml:space="preserve"> </w:t>
      </w:r>
      <w:r>
        <w:t>with</w:t>
      </w:r>
      <w:r w:rsidR="003D640C">
        <w:t xml:space="preserve"> </w:t>
      </w:r>
      <w:r>
        <w:t>pride.</w:t>
      </w:r>
      <w:r w:rsidR="003D640C">
        <w:t xml:space="preserve"> </w:t>
      </w:r>
      <w:r>
        <w:t>A</w:t>
      </w:r>
      <w:r w:rsidR="003D640C">
        <w:t xml:space="preserve"> </w:t>
      </w:r>
      <w:r>
        <w:t>world</w:t>
      </w:r>
      <w:r w:rsidR="003D640C">
        <w:t xml:space="preserve"> </w:t>
      </w:r>
      <w:r>
        <w:t>where</w:t>
      </w:r>
      <w:r w:rsidR="003D640C">
        <w:t xml:space="preserve"> </w:t>
      </w:r>
      <w:r>
        <w:t>Rainbow</w:t>
      </w:r>
      <w:r w:rsidR="003D640C">
        <w:t xml:space="preserve"> </w:t>
      </w:r>
      <w:r>
        <w:t>people</w:t>
      </w:r>
      <w:r w:rsidR="003D640C">
        <w:t xml:space="preserve"> </w:t>
      </w:r>
      <w:r>
        <w:t>are</w:t>
      </w:r>
      <w:r w:rsidR="003D640C">
        <w:t xml:space="preserve"> </w:t>
      </w:r>
      <w:r>
        <w:t>affirmed</w:t>
      </w:r>
      <w:r w:rsidR="003D640C">
        <w:t xml:space="preserve"> </w:t>
      </w:r>
      <w:r>
        <w:t>within</w:t>
      </w:r>
      <w:r w:rsidR="003D640C">
        <w:t xml:space="preserve"> </w:t>
      </w:r>
      <w:r>
        <w:t>their</w:t>
      </w:r>
      <w:r w:rsidR="003D640C">
        <w:t xml:space="preserve"> </w:t>
      </w:r>
      <w:r>
        <w:t>religious</w:t>
      </w:r>
      <w:r w:rsidR="003D640C">
        <w:t xml:space="preserve"> </w:t>
      </w:r>
      <w:r>
        <w:t>and</w:t>
      </w:r>
      <w:r w:rsidR="003D640C">
        <w:t xml:space="preserve"> </w:t>
      </w:r>
      <w:r>
        <w:t>faith</w:t>
      </w:r>
      <w:r w:rsidR="003D640C">
        <w:t xml:space="preserve"> </w:t>
      </w:r>
      <w:r>
        <w:t>communities,</w:t>
      </w:r>
      <w:r w:rsidR="003D640C">
        <w:t xml:space="preserve"> </w:t>
      </w:r>
      <w:r>
        <w:t>their</w:t>
      </w:r>
      <w:r w:rsidR="003D640C">
        <w:t xml:space="preserve"> </w:t>
      </w:r>
      <w:r>
        <w:t>ethnic</w:t>
      </w:r>
      <w:r w:rsidR="003D640C">
        <w:t xml:space="preserve"> </w:t>
      </w:r>
      <w:r>
        <w:t>communities,</w:t>
      </w:r>
      <w:r w:rsidR="003D640C">
        <w:t xml:space="preserve"> </w:t>
      </w:r>
      <w:r>
        <w:t>their</w:t>
      </w:r>
      <w:r w:rsidR="003D640C">
        <w:t xml:space="preserve"> </w:t>
      </w:r>
      <w:r>
        <w:t>schools</w:t>
      </w:r>
      <w:r w:rsidR="003D640C">
        <w:t xml:space="preserve"> </w:t>
      </w:r>
      <w:r>
        <w:t>and</w:t>
      </w:r>
      <w:r w:rsidR="003D640C">
        <w:t xml:space="preserve"> </w:t>
      </w:r>
      <w:r>
        <w:t>youth</w:t>
      </w:r>
      <w:r w:rsidR="003D640C">
        <w:t xml:space="preserve"> </w:t>
      </w:r>
      <w:r>
        <w:t>groups.</w:t>
      </w:r>
      <w:r w:rsidR="003D640C">
        <w:t xml:space="preserve"> </w:t>
      </w:r>
      <w:r>
        <w:t>Where</w:t>
      </w:r>
      <w:r w:rsidR="003D640C">
        <w:t xml:space="preserve"> </w:t>
      </w:r>
      <w:r>
        <w:t>Rainbow</w:t>
      </w:r>
      <w:r w:rsidR="003D640C">
        <w:t xml:space="preserve"> </w:t>
      </w:r>
      <w:r>
        <w:t>people</w:t>
      </w:r>
      <w:r w:rsidR="003D640C">
        <w:t xml:space="preserve"> </w:t>
      </w:r>
      <w:r>
        <w:t>have</w:t>
      </w:r>
      <w:r w:rsidR="003D640C">
        <w:t xml:space="preserve"> </w:t>
      </w:r>
      <w:r>
        <w:t>equitable</w:t>
      </w:r>
      <w:r w:rsidR="003D640C">
        <w:t xml:space="preserve"> </w:t>
      </w:r>
      <w:r>
        <w:t>access</w:t>
      </w:r>
      <w:r w:rsidR="003D640C">
        <w:t xml:space="preserve"> </w:t>
      </w:r>
      <w:r>
        <w:t>to</w:t>
      </w:r>
      <w:r w:rsidR="003D640C">
        <w:t xml:space="preserve"> </w:t>
      </w:r>
      <w:r>
        <w:t>healthcare.</w:t>
      </w:r>
      <w:r w:rsidR="003D640C">
        <w:t xml:space="preserve"> </w:t>
      </w:r>
      <w:r>
        <w:t>Where</w:t>
      </w:r>
      <w:r w:rsidR="003D640C">
        <w:t xml:space="preserve"> </w:t>
      </w:r>
      <w:r>
        <w:t>whānau</w:t>
      </w:r>
      <w:r w:rsidR="003D640C">
        <w:t xml:space="preserve"> </w:t>
      </w:r>
      <w:r>
        <w:t>and</w:t>
      </w:r>
      <w:r w:rsidR="003D640C">
        <w:t xml:space="preserve"> </w:t>
      </w:r>
      <w:r>
        <w:t>communities</w:t>
      </w:r>
      <w:r w:rsidR="003D640C">
        <w:t xml:space="preserve"> </w:t>
      </w:r>
      <w:r>
        <w:t>are</w:t>
      </w:r>
      <w:r w:rsidR="003D640C">
        <w:t xml:space="preserve"> </w:t>
      </w:r>
      <w:r>
        <w:t>havens</w:t>
      </w:r>
      <w:r w:rsidR="003D640C">
        <w:t xml:space="preserve"> </w:t>
      </w:r>
      <w:r>
        <w:t>of</w:t>
      </w:r>
      <w:r w:rsidR="003D640C">
        <w:t xml:space="preserve"> </w:t>
      </w:r>
      <w:r>
        <w:t>support</w:t>
      </w:r>
      <w:r w:rsidR="003D640C">
        <w:t xml:space="preserve"> </w:t>
      </w:r>
      <w:r>
        <w:t>and</w:t>
      </w:r>
      <w:r w:rsidR="003D640C">
        <w:t xml:space="preserve"> </w:t>
      </w:r>
      <w:r>
        <w:t>acceptance.</w:t>
      </w:r>
      <w:r w:rsidR="003D640C">
        <w:t xml:space="preserve"> </w:t>
      </w:r>
      <w:r w:rsidR="1C5A1842" w:rsidRPr="7D329BA6">
        <w:t>This</w:t>
      </w:r>
      <w:r w:rsidR="003D640C">
        <w:t xml:space="preserve"> </w:t>
      </w:r>
      <w:r w:rsidR="1C5A1842" w:rsidRPr="7D329BA6">
        <w:t>is</w:t>
      </w:r>
      <w:r w:rsidR="003D640C">
        <w:t xml:space="preserve"> </w:t>
      </w:r>
      <w:r w:rsidR="1C5A1842" w:rsidRPr="7D329BA6">
        <w:t>the</w:t>
      </w:r>
      <w:r w:rsidR="003D640C">
        <w:t xml:space="preserve"> </w:t>
      </w:r>
      <w:r w:rsidR="1C5A1842" w:rsidRPr="7D329BA6">
        <w:t>future</w:t>
      </w:r>
      <w:r w:rsidR="003D640C">
        <w:t xml:space="preserve"> </w:t>
      </w:r>
      <w:r w:rsidR="1C5A1842" w:rsidRPr="7D329BA6">
        <w:t>most</w:t>
      </w:r>
      <w:r w:rsidR="003D640C">
        <w:t xml:space="preserve"> </w:t>
      </w:r>
      <w:r w:rsidR="1C5A1842" w:rsidRPr="7D329BA6">
        <w:t>of</w:t>
      </w:r>
      <w:r w:rsidR="003D640C">
        <w:t xml:space="preserve"> </w:t>
      </w:r>
      <w:r w:rsidR="1C5A1842" w:rsidRPr="7D329BA6">
        <w:t>us</w:t>
      </w:r>
      <w:r w:rsidR="003D640C">
        <w:t xml:space="preserve"> </w:t>
      </w:r>
      <w:r w:rsidR="1C5A1842" w:rsidRPr="7D329BA6">
        <w:t>want</w:t>
      </w:r>
      <w:r w:rsidR="003D640C">
        <w:t xml:space="preserve"> </w:t>
      </w:r>
      <w:r w:rsidR="1C5A1842" w:rsidRPr="7D329BA6">
        <w:t>for</w:t>
      </w:r>
      <w:r w:rsidR="003D640C">
        <w:t xml:space="preserve"> </w:t>
      </w:r>
      <w:r w:rsidR="1C5A1842" w:rsidRPr="7D329BA6">
        <w:t>ourselves</w:t>
      </w:r>
      <w:r w:rsidR="003D640C">
        <w:t xml:space="preserve"> </w:t>
      </w:r>
      <w:r w:rsidR="1C5A1842" w:rsidRPr="7D329BA6">
        <w:t>and</w:t>
      </w:r>
      <w:r w:rsidR="003D640C">
        <w:t xml:space="preserve"> </w:t>
      </w:r>
      <w:r w:rsidR="1C5A1842" w:rsidRPr="7D329BA6">
        <w:t>our</w:t>
      </w:r>
      <w:r w:rsidR="003D640C">
        <w:t xml:space="preserve"> </w:t>
      </w:r>
      <w:r w:rsidR="1C5A1842" w:rsidRPr="7D329BA6">
        <w:t>loved</w:t>
      </w:r>
      <w:r w:rsidR="003D640C">
        <w:t xml:space="preserve"> </w:t>
      </w:r>
      <w:r w:rsidR="1C5A1842" w:rsidRPr="7D329BA6">
        <w:t>ones,</w:t>
      </w:r>
      <w:r w:rsidR="003D640C">
        <w:t xml:space="preserve"> </w:t>
      </w:r>
      <w:r w:rsidR="1C5A1842" w:rsidRPr="7D329BA6">
        <w:t>and</w:t>
      </w:r>
      <w:r w:rsidR="003D640C">
        <w:t xml:space="preserve"> </w:t>
      </w:r>
      <w:r w:rsidR="3998AE31" w:rsidRPr="3A8C3E53">
        <w:t>many</w:t>
      </w:r>
      <w:r w:rsidR="003D640C">
        <w:t xml:space="preserve"> </w:t>
      </w:r>
      <w:r w:rsidR="3998AE31" w:rsidRPr="3A8C3E53">
        <w:t>people</w:t>
      </w:r>
      <w:r w:rsidR="003D640C">
        <w:t xml:space="preserve"> </w:t>
      </w:r>
      <w:r w:rsidR="3998AE31" w:rsidRPr="3A8C3E53">
        <w:t>have</w:t>
      </w:r>
      <w:r w:rsidR="003D640C">
        <w:t xml:space="preserve"> </w:t>
      </w:r>
      <w:r w:rsidR="3998AE31" w:rsidRPr="3A8C3E53">
        <w:t>worked</w:t>
      </w:r>
      <w:r w:rsidR="003D640C">
        <w:t xml:space="preserve"> </w:t>
      </w:r>
      <w:r w:rsidR="3998AE31" w:rsidRPr="3A8C3E53">
        <w:t>and</w:t>
      </w:r>
      <w:r w:rsidR="003D640C">
        <w:t xml:space="preserve"> </w:t>
      </w:r>
      <w:r w:rsidR="3998AE31" w:rsidRPr="54A933B4">
        <w:t>continu</w:t>
      </w:r>
      <w:r w:rsidR="29D52F5D" w:rsidRPr="54A933B4">
        <w:t>e</w:t>
      </w:r>
      <w:r w:rsidR="003D640C">
        <w:t xml:space="preserve"> </w:t>
      </w:r>
      <w:r w:rsidR="3998AE31" w:rsidRPr="3A8C3E53">
        <w:t>to</w:t>
      </w:r>
      <w:r w:rsidR="003D640C">
        <w:t xml:space="preserve"> </w:t>
      </w:r>
      <w:r w:rsidR="3998AE31" w:rsidRPr="3A8C3E53">
        <w:t>work</w:t>
      </w:r>
      <w:r w:rsidR="003D640C">
        <w:t xml:space="preserve"> </w:t>
      </w:r>
      <w:r w:rsidR="3998AE31" w:rsidRPr="3A8C3E53">
        <w:t>to</w:t>
      </w:r>
      <w:r w:rsidR="003D640C">
        <w:t xml:space="preserve"> </w:t>
      </w:r>
      <w:r w:rsidR="23D34FBE" w:rsidRPr="54A933B4">
        <w:t>remove</w:t>
      </w:r>
      <w:r w:rsidR="003D640C">
        <w:t xml:space="preserve"> </w:t>
      </w:r>
      <w:r w:rsidR="3998AE31" w:rsidRPr="28A62969">
        <w:t>t</w:t>
      </w:r>
      <w:r w:rsidR="415D02BF" w:rsidRPr="28A62969">
        <w:t>he</w:t>
      </w:r>
      <w:r w:rsidR="003D640C">
        <w:t xml:space="preserve"> </w:t>
      </w:r>
      <w:r w:rsidR="415D02BF" w:rsidRPr="28A62969">
        <w:t>barriers</w:t>
      </w:r>
      <w:r w:rsidR="003D640C">
        <w:t xml:space="preserve"> </w:t>
      </w:r>
      <w:r w:rsidR="415D02BF" w:rsidRPr="28A62969">
        <w:t>that</w:t>
      </w:r>
      <w:r w:rsidR="003D640C">
        <w:t xml:space="preserve"> </w:t>
      </w:r>
      <w:r w:rsidR="5AE2C0E2" w:rsidRPr="54A933B4">
        <w:t>prevent</w:t>
      </w:r>
      <w:r w:rsidR="003D640C">
        <w:t xml:space="preserve"> </w:t>
      </w:r>
      <w:r w:rsidR="5AE2C0E2" w:rsidRPr="2585EA9C">
        <w:t>Rainbow</w:t>
      </w:r>
      <w:r w:rsidR="003D640C">
        <w:t xml:space="preserve"> </w:t>
      </w:r>
      <w:r w:rsidR="5AE2C0E2" w:rsidRPr="2585EA9C">
        <w:t>people</w:t>
      </w:r>
      <w:r w:rsidR="003D640C">
        <w:t xml:space="preserve"> </w:t>
      </w:r>
      <w:r w:rsidR="5AE2C0E2" w:rsidRPr="2585EA9C">
        <w:t>from</w:t>
      </w:r>
      <w:r w:rsidR="003D640C">
        <w:t xml:space="preserve"> </w:t>
      </w:r>
      <w:r w:rsidR="5AE2C0E2" w:rsidRPr="2585EA9C">
        <w:t>experiencing</w:t>
      </w:r>
      <w:r w:rsidR="003D640C">
        <w:t xml:space="preserve"> </w:t>
      </w:r>
      <w:r w:rsidR="5AE2C0E2" w:rsidRPr="2585EA9C">
        <w:t>this</w:t>
      </w:r>
      <w:r w:rsidR="1C5A1842" w:rsidRPr="28A62969">
        <w:t>.</w:t>
      </w:r>
      <w:r w:rsidR="003D640C">
        <w:t xml:space="preserve"> </w:t>
      </w:r>
    </w:p>
    <w:p w14:paraId="40F3AC4F" w14:textId="55DA52A5" w:rsidR="005C4077" w:rsidRDefault="00915FFB" w:rsidP="00E00167">
      <w:pPr>
        <w:rPr>
          <w:rFonts w:ascii="Calibri" w:hAnsi="Calibri" w:cs="Calibri"/>
          <w:shd w:val="clear" w:color="auto" w:fill="FFFFFF"/>
          <w:lang w:eastAsia="en-NZ"/>
        </w:rPr>
      </w:pPr>
      <w:r w:rsidRPr="0E707052">
        <w:rPr>
          <w:rFonts w:ascii="Calibri" w:hAnsi="Calibri" w:cs="Calibri"/>
          <w:lang w:eastAsia="en-NZ"/>
        </w:rPr>
        <w:t>Conversion</w:t>
      </w:r>
      <w:r w:rsidR="003D640C">
        <w:rPr>
          <w:rFonts w:ascii="Calibri" w:hAnsi="Calibri" w:cs="Calibri"/>
          <w:lang w:eastAsia="en-NZ"/>
        </w:rPr>
        <w:t xml:space="preserve"> </w:t>
      </w:r>
      <w:r w:rsidRPr="0E707052">
        <w:rPr>
          <w:rFonts w:ascii="Calibri" w:hAnsi="Calibri" w:cs="Calibri"/>
          <w:lang w:eastAsia="en-NZ"/>
        </w:rPr>
        <w:t>practices</w:t>
      </w:r>
      <w:r w:rsidR="003D640C">
        <w:rPr>
          <w:rFonts w:ascii="Calibri" w:hAnsi="Calibri" w:cs="Calibri"/>
          <w:lang w:eastAsia="en-NZ"/>
        </w:rPr>
        <w:t xml:space="preserve"> </w:t>
      </w:r>
      <w:r w:rsidRPr="0E707052">
        <w:rPr>
          <w:rFonts w:ascii="Calibri" w:hAnsi="Calibri" w:cs="Calibri"/>
          <w:lang w:eastAsia="en-NZ"/>
        </w:rPr>
        <w:t>are</w:t>
      </w:r>
      <w:r w:rsidR="003D640C">
        <w:rPr>
          <w:rFonts w:ascii="Calibri" w:hAnsi="Calibri" w:cs="Calibri"/>
          <w:lang w:eastAsia="en-NZ"/>
        </w:rPr>
        <w:t xml:space="preserve"> </w:t>
      </w:r>
      <w:r w:rsidR="78373228" w:rsidRPr="26241246">
        <w:rPr>
          <w:rFonts w:ascii="Calibri" w:hAnsi="Calibri" w:cs="Calibri"/>
          <w:lang w:eastAsia="en-NZ"/>
        </w:rPr>
        <w:t>one</w:t>
      </w:r>
      <w:r w:rsidR="003D640C">
        <w:rPr>
          <w:rFonts w:ascii="Calibri" w:hAnsi="Calibri" w:cs="Calibri"/>
          <w:lang w:eastAsia="en-NZ"/>
        </w:rPr>
        <w:t xml:space="preserve"> </w:t>
      </w:r>
      <w:r w:rsidR="78373228" w:rsidRPr="26241246">
        <w:rPr>
          <w:rFonts w:ascii="Calibri" w:hAnsi="Calibri" w:cs="Calibri"/>
          <w:lang w:eastAsia="en-NZ"/>
        </w:rPr>
        <w:t>example</w:t>
      </w:r>
      <w:r w:rsidR="003D640C">
        <w:rPr>
          <w:rFonts w:ascii="Calibri" w:hAnsi="Calibri" w:cs="Calibri"/>
          <w:lang w:eastAsia="en-NZ"/>
        </w:rPr>
        <w:t xml:space="preserve"> </w:t>
      </w:r>
      <w:r w:rsidR="78373228" w:rsidRPr="26241246">
        <w:rPr>
          <w:rFonts w:ascii="Calibri" w:hAnsi="Calibri" w:cs="Calibri"/>
          <w:lang w:eastAsia="en-NZ"/>
        </w:rPr>
        <w:t>of</w:t>
      </w:r>
      <w:r w:rsidR="003D640C">
        <w:rPr>
          <w:rFonts w:ascii="Calibri" w:hAnsi="Calibri" w:cs="Calibri"/>
          <w:lang w:eastAsia="en-NZ"/>
        </w:rPr>
        <w:t xml:space="preserve"> </w:t>
      </w:r>
      <w:r w:rsidR="78373228" w:rsidRPr="26241246">
        <w:rPr>
          <w:rFonts w:ascii="Calibri" w:hAnsi="Calibri" w:cs="Calibri"/>
          <w:lang w:eastAsia="en-NZ"/>
        </w:rPr>
        <w:t>these</w:t>
      </w:r>
      <w:r w:rsidR="003D640C">
        <w:rPr>
          <w:rFonts w:ascii="Calibri" w:hAnsi="Calibri" w:cs="Calibri"/>
          <w:lang w:eastAsia="en-NZ"/>
        </w:rPr>
        <w:t xml:space="preserve"> </w:t>
      </w:r>
      <w:r w:rsidR="78373228" w:rsidRPr="26241246">
        <w:rPr>
          <w:rFonts w:ascii="Calibri" w:hAnsi="Calibri" w:cs="Calibri"/>
          <w:lang w:eastAsia="en-NZ"/>
        </w:rPr>
        <w:t>barriers.</w:t>
      </w:r>
      <w:r w:rsidR="003D640C">
        <w:rPr>
          <w:rFonts w:ascii="Calibri" w:hAnsi="Calibri" w:cs="Calibri"/>
          <w:lang w:eastAsia="en-NZ"/>
        </w:rPr>
        <w:t xml:space="preserve"> </w:t>
      </w:r>
      <w:r w:rsidRPr="0E707052">
        <w:rPr>
          <w:rFonts w:ascii="Calibri" w:hAnsi="Calibri" w:cs="Calibri"/>
          <w:lang w:eastAsia="en-NZ"/>
        </w:rPr>
        <w:t>Conversion</w:t>
      </w:r>
      <w:r w:rsidR="003D640C">
        <w:rPr>
          <w:rFonts w:ascii="Calibri" w:hAnsi="Calibri" w:cs="Calibri"/>
          <w:lang w:eastAsia="en-NZ"/>
        </w:rPr>
        <w:t xml:space="preserve"> </w:t>
      </w:r>
      <w:r w:rsidRPr="0E707052">
        <w:rPr>
          <w:rFonts w:ascii="Calibri" w:hAnsi="Calibri" w:cs="Calibri"/>
          <w:lang w:eastAsia="en-NZ"/>
        </w:rPr>
        <w:t>practices</w:t>
      </w:r>
      <w:r w:rsidR="003D640C">
        <w:rPr>
          <w:rFonts w:ascii="Calibri" w:hAnsi="Calibri" w:cs="Calibri"/>
          <w:lang w:eastAsia="en-NZ"/>
        </w:rPr>
        <w:t xml:space="preserve"> </w:t>
      </w:r>
      <w:r w:rsidRPr="0E707052">
        <w:rPr>
          <w:rFonts w:ascii="Calibri" w:hAnsi="Calibri" w:cs="Calibri"/>
          <w:lang w:eastAsia="en-NZ"/>
        </w:rPr>
        <w:t>are</w:t>
      </w:r>
      <w:r w:rsidR="003D640C">
        <w:rPr>
          <w:rFonts w:ascii="Calibri" w:hAnsi="Calibri" w:cs="Calibri"/>
          <w:lang w:eastAsia="en-NZ"/>
        </w:rPr>
        <w:t xml:space="preserve"> </w:t>
      </w:r>
      <w:r w:rsidRPr="0E707052">
        <w:rPr>
          <w:rFonts w:ascii="Calibri" w:hAnsi="Calibri" w:cs="Calibri"/>
          <w:lang w:eastAsia="en-NZ"/>
        </w:rPr>
        <w:t>attempts</w:t>
      </w:r>
      <w:r w:rsidR="003D640C">
        <w:rPr>
          <w:rFonts w:ascii="Calibri" w:hAnsi="Calibri" w:cs="Calibri"/>
          <w:lang w:eastAsia="en-NZ"/>
        </w:rPr>
        <w:t xml:space="preserve"> </w:t>
      </w:r>
      <w:r w:rsidRPr="0E707052">
        <w:rPr>
          <w:rFonts w:ascii="Calibri" w:hAnsi="Calibri" w:cs="Calibri"/>
          <w:lang w:eastAsia="en-NZ"/>
        </w:rPr>
        <w:t>to</w:t>
      </w:r>
      <w:r w:rsidR="003D640C">
        <w:rPr>
          <w:rFonts w:ascii="Calibri" w:hAnsi="Calibri" w:cs="Calibri"/>
          <w:lang w:eastAsia="en-NZ"/>
        </w:rPr>
        <w:t xml:space="preserve"> </w:t>
      </w:r>
      <w:r w:rsidRPr="0E707052">
        <w:rPr>
          <w:rFonts w:ascii="Calibri" w:hAnsi="Calibri" w:cs="Calibri"/>
          <w:lang w:eastAsia="en-NZ"/>
        </w:rPr>
        <w:t>change</w:t>
      </w:r>
      <w:r w:rsidR="003D640C">
        <w:rPr>
          <w:rFonts w:ascii="Calibri" w:hAnsi="Calibri" w:cs="Calibri"/>
          <w:lang w:eastAsia="en-NZ"/>
        </w:rPr>
        <w:t xml:space="preserve"> </w:t>
      </w:r>
      <w:r w:rsidRPr="0E707052">
        <w:rPr>
          <w:rFonts w:ascii="Calibri" w:hAnsi="Calibri" w:cs="Calibri"/>
          <w:lang w:eastAsia="en-NZ"/>
        </w:rPr>
        <w:t>or</w:t>
      </w:r>
      <w:r w:rsidR="003D640C">
        <w:rPr>
          <w:rFonts w:ascii="Calibri" w:hAnsi="Calibri" w:cs="Calibri"/>
          <w:lang w:eastAsia="en-NZ"/>
        </w:rPr>
        <w:t xml:space="preserve"> </w:t>
      </w:r>
      <w:r w:rsidRPr="0E707052">
        <w:rPr>
          <w:rFonts w:ascii="Calibri" w:hAnsi="Calibri" w:cs="Calibri"/>
          <w:lang w:eastAsia="en-NZ"/>
        </w:rPr>
        <w:t>suppress</w:t>
      </w:r>
      <w:r w:rsidR="003D640C">
        <w:rPr>
          <w:rFonts w:ascii="Calibri" w:hAnsi="Calibri" w:cs="Calibri"/>
          <w:lang w:eastAsia="en-NZ"/>
        </w:rPr>
        <w:t xml:space="preserve"> </w:t>
      </w:r>
      <w:r w:rsidRPr="0E707052">
        <w:rPr>
          <w:rFonts w:ascii="Calibri" w:hAnsi="Calibri" w:cs="Calibri"/>
          <w:lang w:eastAsia="en-NZ"/>
        </w:rPr>
        <w:t>an</w:t>
      </w:r>
      <w:r w:rsidR="003D640C">
        <w:rPr>
          <w:rFonts w:ascii="Calibri" w:hAnsi="Calibri" w:cs="Calibri"/>
          <w:lang w:eastAsia="en-NZ"/>
        </w:rPr>
        <w:t xml:space="preserve"> </w:t>
      </w:r>
      <w:r w:rsidRPr="0E707052">
        <w:rPr>
          <w:rFonts w:ascii="Calibri" w:hAnsi="Calibri" w:cs="Calibri"/>
          <w:lang w:eastAsia="en-NZ"/>
        </w:rPr>
        <w:t>individual’s</w:t>
      </w:r>
      <w:r w:rsidR="003D640C">
        <w:rPr>
          <w:rFonts w:ascii="Calibri" w:hAnsi="Calibri" w:cs="Calibri"/>
          <w:lang w:eastAsia="en-NZ"/>
        </w:rPr>
        <w:t xml:space="preserve"> </w:t>
      </w:r>
      <w:r w:rsidRPr="0E707052">
        <w:rPr>
          <w:rFonts w:ascii="Calibri" w:hAnsi="Calibri" w:cs="Calibri"/>
          <w:lang w:eastAsia="en-NZ"/>
        </w:rPr>
        <w:t>sexual</w:t>
      </w:r>
      <w:r w:rsidR="003D640C">
        <w:rPr>
          <w:rFonts w:ascii="Calibri" w:hAnsi="Calibri" w:cs="Calibri"/>
          <w:lang w:eastAsia="en-NZ"/>
        </w:rPr>
        <w:t xml:space="preserve"> </w:t>
      </w:r>
      <w:r w:rsidRPr="0E707052">
        <w:rPr>
          <w:rFonts w:ascii="Calibri" w:hAnsi="Calibri" w:cs="Calibri"/>
          <w:lang w:eastAsia="en-NZ"/>
        </w:rPr>
        <w:t>orientation,</w:t>
      </w:r>
      <w:r w:rsidR="003D640C">
        <w:rPr>
          <w:rFonts w:ascii="Calibri" w:hAnsi="Calibri" w:cs="Calibri"/>
          <w:lang w:eastAsia="en-NZ"/>
        </w:rPr>
        <w:t xml:space="preserve"> </w:t>
      </w:r>
      <w:r w:rsidRPr="0E707052">
        <w:rPr>
          <w:rFonts w:ascii="Calibri" w:hAnsi="Calibri" w:cs="Calibri"/>
          <w:lang w:eastAsia="en-NZ"/>
        </w:rPr>
        <w:t>gender</w:t>
      </w:r>
      <w:r w:rsidR="003D640C">
        <w:rPr>
          <w:rFonts w:ascii="Calibri" w:hAnsi="Calibri" w:cs="Calibri"/>
          <w:lang w:eastAsia="en-NZ"/>
        </w:rPr>
        <w:t xml:space="preserve"> </w:t>
      </w:r>
      <w:r w:rsidRPr="0E707052">
        <w:rPr>
          <w:rFonts w:ascii="Calibri" w:hAnsi="Calibri" w:cs="Calibri"/>
          <w:lang w:eastAsia="en-NZ"/>
        </w:rPr>
        <w:t>identity</w:t>
      </w:r>
      <w:r w:rsidR="00746F3D">
        <w:rPr>
          <w:rFonts w:ascii="Calibri" w:hAnsi="Calibri" w:cs="Calibri"/>
          <w:lang w:eastAsia="en-NZ"/>
        </w:rPr>
        <w:t>,</w:t>
      </w:r>
      <w:r w:rsidR="003D640C">
        <w:rPr>
          <w:rFonts w:ascii="Calibri" w:hAnsi="Calibri" w:cs="Calibri"/>
          <w:lang w:eastAsia="en-NZ"/>
        </w:rPr>
        <w:t xml:space="preserve"> </w:t>
      </w:r>
      <w:r w:rsidRPr="0E707052">
        <w:rPr>
          <w:rFonts w:ascii="Calibri" w:hAnsi="Calibri" w:cs="Calibri"/>
          <w:lang w:eastAsia="en-NZ"/>
        </w:rPr>
        <w:t>or</w:t>
      </w:r>
      <w:r w:rsidR="003D640C">
        <w:rPr>
          <w:rFonts w:ascii="Calibri" w:hAnsi="Calibri" w:cs="Calibri"/>
          <w:lang w:eastAsia="en-NZ"/>
        </w:rPr>
        <w:t xml:space="preserve"> </w:t>
      </w:r>
      <w:r w:rsidRPr="0E707052">
        <w:rPr>
          <w:rFonts w:ascii="Calibri" w:hAnsi="Calibri" w:cs="Calibri"/>
          <w:lang w:eastAsia="en-NZ"/>
        </w:rPr>
        <w:t>gender</w:t>
      </w:r>
      <w:r w:rsidR="003D640C">
        <w:rPr>
          <w:rFonts w:ascii="Calibri" w:hAnsi="Calibri" w:cs="Calibri"/>
          <w:lang w:eastAsia="en-NZ"/>
        </w:rPr>
        <w:t xml:space="preserve"> </w:t>
      </w:r>
      <w:r w:rsidRPr="0E707052">
        <w:rPr>
          <w:rFonts w:ascii="Calibri" w:hAnsi="Calibri" w:cs="Calibri"/>
          <w:lang w:eastAsia="en-NZ"/>
        </w:rPr>
        <w:t>expression.</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The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ideology</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behind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these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practices</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seeks</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to</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maintain</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rigid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and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binary</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ideas</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about</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gender</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and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sexuality.</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Such</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ideologies</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give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rise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to</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homophobia,</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biphobia,</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and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transphobia,</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which</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can</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even</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cause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Rainbow</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people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who</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have</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not</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experienced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conversion</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practices</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to</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suppress</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their</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sexuality</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and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gender</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identity</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and</w:t>
      </w:r>
      <w:r w:rsidR="003D640C">
        <w:rPr>
          <w:rFonts w:ascii="Calibri" w:hAnsi="Calibri" w:cs="Calibri"/>
          <w:shd w:val="clear" w:color="auto" w:fill="FFFFFF"/>
          <w:lang w:eastAsia="en-NZ"/>
        </w:rPr>
        <w:t xml:space="preserve"> </w:t>
      </w:r>
      <w:r w:rsidR="005C4077">
        <w:rPr>
          <w:rFonts w:ascii="Calibri" w:hAnsi="Calibri" w:cs="Calibri"/>
          <w:shd w:val="clear" w:color="auto" w:fill="FFFFFF"/>
          <w:lang w:eastAsia="en-NZ"/>
        </w:rPr>
        <w:t>expression.</w:t>
      </w:r>
    </w:p>
    <w:p w14:paraId="324A85B0" w14:textId="6E2129A1" w:rsidR="00915FFB" w:rsidRDefault="00857FE8" w:rsidP="00E00167">
      <w:pPr>
        <w:rPr>
          <w:rFonts w:ascii="Calibri" w:hAnsi="Calibri" w:cs="Calibri"/>
          <w:lang w:eastAsia="en-NZ"/>
        </w:rPr>
      </w:pPr>
      <w:r>
        <w:rPr>
          <w:rFonts w:ascii="Calibri" w:hAnsi="Calibri" w:cs="Calibri"/>
          <w:lang w:eastAsia="en-NZ"/>
        </w:rPr>
        <w:t>After</w:t>
      </w:r>
      <w:r w:rsidR="003D640C">
        <w:rPr>
          <w:rFonts w:ascii="Calibri" w:hAnsi="Calibri" w:cs="Calibri"/>
          <w:lang w:eastAsia="en-NZ"/>
        </w:rPr>
        <w:t xml:space="preserve"> </w:t>
      </w:r>
      <w:r w:rsidR="00915FFB" w:rsidRPr="00B1465F">
        <w:rPr>
          <w:rFonts w:ascii="Calibri" w:hAnsi="Calibri" w:cs="Calibri"/>
          <w:lang w:eastAsia="en-NZ"/>
        </w:rPr>
        <w:t>years</w:t>
      </w:r>
      <w:r w:rsidR="003D640C">
        <w:rPr>
          <w:rFonts w:ascii="Calibri" w:hAnsi="Calibri" w:cs="Calibri"/>
          <w:lang w:eastAsia="en-NZ"/>
        </w:rPr>
        <w:t xml:space="preserve"> </w:t>
      </w:r>
      <w:r w:rsidR="00915FFB" w:rsidRPr="00B1465F">
        <w:rPr>
          <w:rFonts w:ascii="Calibri" w:hAnsi="Calibri" w:cs="Calibri"/>
          <w:lang w:eastAsia="en-NZ"/>
        </w:rPr>
        <w:t>of</w:t>
      </w:r>
      <w:r w:rsidR="003D640C">
        <w:rPr>
          <w:rFonts w:ascii="Calibri" w:hAnsi="Calibri" w:cs="Calibri"/>
          <w:lang w:eastAsia="en-NZ"/>
        </w:rPr>
        <w:t xml:space="preserve"> </w:t>
      </w:r>
      <w:r w:rsidR="00915FFB" w:rsidRPr="00B1465F">
        <w:rPr>
          <w:rFonts w:ascii="Calibri" w:hAnsi="Calibri" w:cs="Calibri"/>
          <w:lang w:eastAsia="en-NZ"/>
        </w:rPr>
        <w:t>advocacy</w:t>
      </w:r>
      <w:r w:rsidR="003D640C">
        <w:rPr>
          <w:rFonts w:ascii="Calibri" w:hAnsi="Calibri" w:cs="Calibri"/>
          <w:lang w:eastAsia="en-NZ"/>
        </w:rPr>
        <w:t xml:space="preserve"> </w:t>
      </w:r>
      <w:r>
        <w:rPr>
          <w:rFonts w:ascii="Calibri" w:hAnsi="Calibri" w:cs="Calibri"/>
          <w:lang w:eastAsia="en-NZ"/>
        </w:rPr>
        <w:t>from</w:t>
      </w:r>
      <w:r w:rsidR="003D640C">
        <w:rPr>
          <w:rFonts w:ascii="Calibri" w:hAnsi="Calibri" w:cs="Calibri"/>
          <w:lang w:eastAsia="en-NZ"/>
        </w:rPr>
        <w:t xml:space="preserve"> </w:t>
      </w:r>
      <w:r>
        <w:rPr>
          <w:rFonts w:ascii="Calibri" w:hAnsi="Calibri" w:cs="Calibri"/>
          <w:lang w:eastAsia="en-NZ"/>
        </w:rPr>
        <w:t>Rainbow</w:t>
      </w:r>
      <w:r w:rsidR="003D640C">
        <w:rPr>
          <w:rFonts w:ascii="Calibri" w:hAnsi="Calibri" w:cs="Calibri"/>
          <w:lang w:eastAsia="en-NZ"/>
        </w:rPr>
        <w:t xml:space="preserve"> </w:t>
      </w:r>
      <w:r>
        <w:rPr>
          <w:rFonts w:ascii="Calibri" w:hAnsi="Calibri" w:cs="Calibri"/>
          <w:lang w:eastAsia="en-NZ"/>
        </w:rPr>
        <w:t>communities</w:t>
      </w:r>
      <w:r w:rsidR="00915FFB" w:rsidRPr="00B1465F">
        <w:rPr>
          <w:rFonts w:ascii="Calibri" w:hAnsi="Calibri" w:cs="Calibri"/>
          <w:lang w:eastAsia="en-NZ"/>
        </w:rPr>
        <w:t>,</w:t>
      </w:r>
      <w:r w:rsidR="003D640C">
        <w:rPr>
          <w:rFonts w:ascii="Calibri" w:hAnsi="Calibri" w:cs="Calibri"/>
          <w:lang w:eastAsia="en-NZ"/>
        </w:rPr>
        <w:t xml:space="preserve"> </w:t>
      </w:r>
      <w:r w:rsidR="00915FFB" w:rsidRPr="00B1465F">
        <w:rPr>
          <w:rFonts w:ascii="Calibri" w:hAnsi="Calibri" w:cs="Calibri"/>
          <w:lang w:eastAsia="en-NZ"/>
        </w:rPr>
        <w:t>the</w:t>
      </w:r>
      <w:r w:rsidR="003D640C">
        <w:rPr>
          <w:rFonts w:ascii="Calibri" w:hAnsi="Calibri" w:cs="Calibri"/>
          <w:lang w:eastAsia="en-NZ"/>
        </w:rPr>
        <w:t xml:space="preserve"> </w:t>
      </w:r>
      <w:r w:rsidR="00915FFB" w:rsidRPr="00B1465F">
        <w:rPr>
          <w:rFonts w:ascii="Calibri" w:hAnsi="Calibri" w:cs="Calibri"/>
          <w:lang w:eastAsia="en-NZ"/>
        </w:rPr>
        <w:t>Conversion</w:t>
      </w:r>
      <w:r w:rsidR="003D640C">
        <w:rPr>
          <w:rFonts w:ascii="Calibri" w:hAnsi="Calibri" w:cs="Calibri"/>
          <w:lang w:eastAsia="en-NZ"/>
        </w:rPr>
        <w:t xml:space="preserve"> </w:t>
      </w:r>
      <w:r w:rsidR="00915FFB" w:rsidRPr="00B1465F">
        <w:rPr>
          <w:rFonts w:ascii="Calibri" w:hAnsi="Calibri" w:cs="Calibri"/>
          <w:lang w:eastAsia="en-NZ"/>
        </w:rPr>
        <w:t>Practices</w:t>
      </w:r>
      <w:r w:rsidR="003D640C">
        <w:rPr>
          <w:rFonts w:ascii="Calibri" w:hAnsi="Calibri" w:cs="Calibri"/>
          <w:lang w:eastAsia="en-NZ"/>
        </w:rPr>
        <w:t xml:space="preserve"> </w:t>
      </w:r>
      <w:r w:rsidR="00915FFB" w:rsidRPr="00B1465F">
        <w:rPr>
          <w:rFonts w:ascii="Calibri" w:hAnsi="Calibri" w:cs="Calibri"/>
          <w:lang w:eastAsia="en-NZ"/>
        </w:rPr>
        <w:t>Prohibition</w:t>
      </w:r>
      <w:r w:rsidR="003D640C">
        <w:rPr>
          <w:rFonts w:ascii="Calibri" w:hAnsi="Calibri" w:cs="Calibri"/>
          <w:lang w:eastAsia="en-NZ"/>
        </w:rPr>
        <w:t xml:space="preserve"> </w:t>
      </w:r>
      <w:r w:rsidR="00915FFB" w:rsidRPr="00B1465F">
        <w:rPr>
          <w:rFonts w:ascii="Calibri" w:hAnsi="Calibri" w:cs="Calibri"/>
          <w:lang w:eastAsia="en-NZ"/>
        </w:rPr>
        <w:t>Legislation</w:t>
      </w:r>
      <w:r w:rsidR="003D640C">
        <w:rPr>
          <w:rFonts w:ascii="Calibri" w:hAnsi="Calibri" w:cs="Calibri"/>
          <w:lang w:eastAsia="en-NZ"/>
        </w:rPr>
        <w:t xml:space="preserve"> </w:t>
      </w:r>
      <w:r w:rsidR="00915FFB" w:rsidRPr="00B1465F">
        <w:rPr>
          <w:rFonts w:ascii="Calibri" w:hAnsi="Calibri" w:cs="Calibri"/>
          <w:lang w:eastAsia="en-NZ"/>
        </w:rPr>
        <w:t>Act</w:t>
      </w:r>
      <w:r w:rsidR="003D640C">
        <w:rPr>
          <w:rFonts w:ascii="Calibri" w:hAnsi="Calibri" w:cs="Calibri"/>
          <w:lang w:eastAsia="en-NZ"/>
        </w:rPr>
        <w:t xml:space="preserve"> </w:t>
      </w:r>
      <w:r w:rsidR="00915FFB" w:rsidRPr="00B1465F">
        <w:rPr>
          <w:rFonts w:ascii="Calibri" w:hAnsi="Calibri" w:cs="Calibri"/>
          <w:lang w:eastAsia="en-NZ"/>
        </w:rPr>
        <w:t>2022</w:t>
      </w:r>
      <w:r w:rsidR="003D640C">
        <w:rPr>
          <w:rFonts w:ascii="Calibri" w:hAnsi="Calibri" w:cs="Calibri"/>
          <w:lang w:eastAsia="en-NZ"/>
        </w:rPr>
        <w:t xml:space="preserve"> </w:t>
      </w:r>
      <w:r w:rsidR="00915FFB" w:rsidRPr="00B1465F">
        <w:rPr>
          <w:rFonts w:ascii="Calibri" w:hAnsi="Calibri" w:cs="Calibri"/>
          <w:lang w:eastAsia="en-NZ"/>
        </w:rPr>
        <w:t>(CPPLA</w:t>
      </w:r>
      <w:r w:rsidR="00915FFB">
        <w:rPr>
          <w:rFonts w:ascii="Calibri" w:hAnsi="Calibri" w:cs="Calibri"/>
          <w:lang w:eastAsia="en-NZ"/>
        </w:rPr>
        <w:t>)</w:t>
      </w:r>
      <w:r w:rsidR="003D640C">
        <w:rPr>
          <w:rFonts w:ascii="Calibri" w:hAnsi="Calibri" w:cs="Calibri"/>
          <w:lang w:eastAsia="en-NZ"/>
        </w:rPr>
        <w:t xml:space="preserve"> </w:t>
      </w:r>
      <w:r w:rsidR="00915FFB" w:rsidRPr="00B1465F">
        <w:rPr>
          <w:rFonts w:ascii="Calibri" w:hAnsi="Calibri" w:cs="Calibri"/>
          <w:lang w:eastAsia="en-NZ"/>
        </w:rPr>
        <w:t>came</w:t>
      </w:r>
      <w:r w:rsidR="003D640C">
        <w:rPr>
          <w:rFonts w:ascii="Calibri" w:hAnsi="Calibri" w:cs="Calibri"/>
          <w:lang w:eastAsia="en-NZ"/>
        </w:rPr>
        <w:t xml:space="preserve"> </w:t>
      </w:r>
      <w:r w:rsidR="00915FFB" w:rsidRPr="00B1465F">
        <w:rPr>
          <w:rFonts w:ascii="Calibri" w:hAnsi="Calibri" w:cs="Calibri"/>
          <w:lang w:eastAsia="en-NZ"/>
        </w:rPr>
        <w:t>into</w:t>
      </w:r>
      <w:r w:rsidR="003D640C">
        <w:rPr>
          <w:rFonts w:ascii="Calibri" w:hAnsi="Calibri" w:cs="Calibri"/>
          <w:lang w:eastAsia="en-NZ"/>
        </w:rPr>
        <w:t xml:space="preserve"> </w:t>
      </w:r>
      <w:r w:rsidR="00915FFB" w:rsidRPr="00B1465F">
        <w:rPr>
          <w:rFonts w:ascii="Calibri" w:hAnsi="Calibri" w:cs="Calibri"/>
          <w:lang w:eastAsia="en-NZ"/>
        </w:rPr>
        <w:t>force</w:t>
      </w:r>
      <w:r w:rsidR="003D640C">
        <w:rPr>
          <w:rFonts w:ascii="Calibri" w:hAnsi="Calibri" w:cs="Calibri"/>
          <w:lang w:eastAsia="en-NZ"/>
        </w:rPr>
        <w:t xml:space="preserve"> </w:t>
      </w:r>
      <w:r w:rsidR="00D050B1">
        <w:rPr>
          <w:rFonts w:ascii="Calibri" w:hAnsi="Calibri" w:cs="Calibri"/>
          <w:lang w:eastAsia="en-NZ"/>
        </w:rPr>
        <w:t>in</w:t>
      </w:r>
      <w:r w:rsidR="003D640C">
        <w:rPr>
          <w:rFonts w:ascii="Calibri" w:hAnsi="Calibri" w:cs="Calibri"/>
          <w:lang w:eastAsia="en-NZ"/>
        </w:rPr>
        <w:t xml:space="preserve"> </w:t>
      </w:r>
      <w:r w:rsidR="00915FFB" w:rsidRPr="00B1465F">
        <w:rPr>
          <w:rFonts w:ascii="Calibri" w:hAnsi="Calibri" w:cs="Calibri"/>
          <w:lang w:eastAsia="en-NZ"/>
        </w:rPr>
        <w:t>2022.</w:t>
      </w:r>
      <w:r w:rsidR="003D640C">
        <w:rPr>
          <w:rFonts w:ascii="Calibri" w:hAnsi="Calibri" w:cs="Calibri"/>
          <w:lang w:eastAsia="en-NZ"/>
        </w:rPr>
        <w:t xml:space="preserve"> </w:t>
      </w:r>
      <w:r w:rsidR="00915FFB" w:rsidRPr="00B1465F">
        <w:rPr>
          <w:rFonts w:ascii="Calibri" w:hAnsi="Calibri" w:cs="Calibri"/>
          <w:lang w:eastAsia="en-NZ"/>
        </w:rPr>
        <w:t>The</w:t>
      </w:r>
      <w:r w:rsidR="003D640C">
        <w:rPr>
          <w:rFonts w:ascii="Calibri" w:hAnsi="Calibri" w:cs="Calibri"/>
          <w:lang w:eastAsia="en-NZ"/>
        </w:rPr>
        <w:t xml:space="preserve"> </w:t>
      </w:r>
      <w:r w:rsidR="00915FFB" w:rsidRPr="00B1465F">
        <w:rPr>
          <w:rFonts w:ascii="Calibri" w:hAnsi="Calibri" w:cs="Calibri"/>
          <w:lang w:eastAsia="en-NZ"/>
        </w:rPr>
        <w:t>CPPLA</w:t>
      </w:r>
      <w:r w:rsidR="003D640C">
        <w:rPr>
          <w:rFonts w:ascii="Calibri" w:hAnsi="Calibri" w:cs="Calibri"/>
          <w:lang w:eastAsia="en-NZ"/>
        </w:rPr>
        <w:t xml:space="preserve"> </w:t>
      </w:r>
      <w:r w:rsidR="00F45DFB">
        <w:rPr>
          <w:rFonts w:ascii="Calibri" w:hAnsi="Calibri" w:cs="Calibri"/>
          <w:lang w:eastAsia="en-NZ"/>
        </w:rPr>
        <w:t>created</w:t>
      </w:r>
      <w:r w:rsidR="003D640C">
        <w:rPr>
          <w:rFonts w:ascii="Calibri" w:hAnsi="Calibri" w:cs="Calibri"/>
          <w:lang w:eastAsia="en-NZ"/>
        </w:rPr>
        <w:t xml:space="preserve"> </w:t>
      </w:r>
      <w:r w:rsidR="00F45DFB">
        <w:rPr>
          <w:rFonts w:ascii="Calibri" w:hAnsi="Calibri" w:cs="Calibri"/>
          <w:lang w:eastAsia="en-NZ"/>
        </w:rPr>
        <w:t>new</w:t>
      </w:r>
      <w:r w:rsidR="003D640C">
        <w:rPr>
          <w:rFonts w:ascii="Calibri" w:hAnsi="Calibri" w:cs="Calibri"/>
          <w:lang w:eastAsia="en-NZ"/>
        </w:rPr>
        <w:t xml:space="preserve"> </w:t>
      </w:r>
      <w:r w:rsidR="00F45DFB">
        <w:rPr>
          <w:rFonts w:ascii="Calibri" w:hAnsi="Calibri" w:cs="Calibri"/>
          <w:lang w:eastAsia="en-NZ"/>
        </w:rPr>
        <w:t>criminal</w:t>
      </w:r>
      <w:r w:rsidR="003D640C">
        <w:rPr>
          <w:rFonts w:ascii="Calibri" w:hAnsi="Calibri" w:cs="Calibri"/>
          <w:lang w:eastAsia="en-NZ"/>
        </w:rPr>
        <w:t xml:space="preserve"> </w:t>
      </w:r>
      <w:r w:rsidR="00F45DFB">
        <w:rPr>
          <w:rFonts w:ascii="Calibri" w:hAnsi="Calibri" w:cs="Calibri"/>
          <w:lang w:eastAsia="en-NZ"/>
        </w:rPr>
        <w:t>offences</w:t>
      </w:r>
      <w:r w:rsidR="003D640C">
        <w:rPr>
          <w:rFonts w:ascii="Calibri" w:hAnsi="Calibri" w:cs="Calibri"/>
          <w:lang w:eastAsia="en-NZ"/>
        </w:rPr>
        <w:t xml:space="preserve"> </w:t>
      </w:r>
      <w:r w:rsidR="00F45DFB">
        <w:rPr>
          <w:rFonts w:ascii="Calibri" w:hAnsi="Calibri" w:cs="Calibri"/>
          <w:lang w:eastAsia="en-NZ"/>
        </w:rPr>
        <w:t>relating</w:t>
      </w:r>
      <w:r w:rsidR="003D640C">
        <w:rPr>
          <w:rFonts w:ascii="Calibri" w:hAnsi="Calibri" w:cs="Calibri"/>
          <w:lang w:eastAsia="en-NZ"/>
        </w:rPr>
        <w:t xml:space="preserve"> </w:t>
      </w:r>
      <w:r w:rsidR="00F45DFB">
        <w:rPr>
          <w:rFonts w:ascii="Calibri" w:hAnsi="Calibri" w:cs="Calibri"/>
          <w:lang w:eastAsia="en-NZ"/>
        </w:rPr>
        <w:t>to</w:t>
      </w:r>
      <w:r w:rsidR="003D640C">
        <w:rPr>
          <w:rFonts w:ascii="Calibri" w:hAnsi="Calibri" w:cs="Calibri"/>
          <w:lang w:eastAsia="en-NZ"/>
        </w:rPr>
        <w:t xml:space="preserve"> </w:t>
      </w:r>
      <w:r w:rsidR="00F45DFB">
        <w:rPr>
          <w:rFonts w:ascii="Calibri" w:hAnsi="Calibri" w:cs="Calibri"/>
          <w:lang w:eastAsia="en-NZ"/>
        </w:rPr>
        <w:t>conversion</w:t>
      </w:r>
      <w:r w:rsidR="003D640C">
        <w:rPr>
          <w:rFonts w:ascii="Calibri" w:hAnsi="Calibri" w:cs="Calibri"/>
          <w:lang w:eastAsia="en-NZ"/>
        </w:rPr>
        <w:t xml:space="preserve"> </w:t>
      </w:r>
      <w:r w:rsidR="00F45DFB">
        <w:rPr>
          <w:rFonts w:ascii="Calibri" w:hAnsi="Calibri" w:cs="Calibri"/>
          <w:lang w:eastAsia="en-NZ"/>
        </w:rPr>
        <w:t>practices.</w:t>
      </w:r>
      <w:r w:rsidR="003D640C">
        <w:rPr>
          <w:rFonts w:ascii="Calibri" w:hAnsi="Calibri" w:cs="Calibri"/>
          <w:lang w:eastAsia="en-NZ"/>
        </w:rPr>
        <w:t xml:space="preserve"> </w:t>
      </w:r>
      <w:r w:rsidR="00F45DFB">
        <w:rPr>
          <w:rFonts w:ascii="Calibri" w:hAnsi="Calibri" w:cs="Calibri"/>
          <w:lang w:eastAsia="en-NZ"/>
        </w:rPr>
        <w:t>It</w:t>
      </w:r>
      <w:r w:rsidR="003D640C">
        <w:rPr>
          <w:rFonts w:ascii="Calibri" w:hAnsi="Calibri" w:cs="Calibri"/>
          <w:lang w:eastAsia="en-NZ"/>
        </w:rPr>
        <w:t xml:space="preserve"> </w:t>
      </w:r>
      <w:r w:rsidR="00F45DFB">
        <w:rPr>
          <w:rFonts w:ascii="Calibri" w:hAnsi="Calibri" w:cs="Calibri"/>
          <w:lang w:eastAsia="en-NZ"/>
        </w:rPr>
        <w:t>also</w:t>
      </w:r>
      <w:r w:rsidR="003D640C">
        <w:rPr>
          <w:rFonts w:ascii="Calibri" w:hAnsi="Calibri" w:cs="Calibri"/>
          <w:lang w:eastAsia="en-NZ"/>
        </w:rPr>
        <w:t xml:space="preserve"> </w:t>
      </w:r>
      <w:r w:rsidR="00F45DFB" w:rsidRPr="00F45DFB">
        <w:rPr>
          <w:rFonts w:ascii="Calibri" w:hAnsi="Calibri" w:cs="Calibri"/>
          <w:lang w:eastAsia="en-NZ"/>
        </w:rPr>
        <w:t>amended</w:t>
      </w:r>
      <w:r w:rsidR="003D640C">
        <w:rPr>
          <w:rFonts w:ascii="Calibri" w:hAnsi="Calibri" w:cs="Calibri"/>
          <w:lang w:eastAsia="en-NZ"/>
        </w:rPr>
        <w:t xml:space="preserve"> </w:t>
      </w:r>
      <w:r w:rsidR="00F45DFB" w:rsidRPr="00F45DFB">
        <w:rPr>
          <w:rFonts w:ascii="Calibri" w:hAnsi="Calibri" w:cs="Calibri"/>
          <w:lang w:eastAsia="en-NZ"/>
        </w:rPr>
        <w:t>the</w:t>
      </w:r>
      <w:r w:rsidR="003D640C">
        <w:rPr>
          <w:rFonts w:ascii="Calibri" w:hAnsi="Calibri" w:cs="Calibri"/>
          <w:lang w:eastAsia="en-NZ"/>
        </w:rPr>
        <w:t xml:space="preserve"> </w:t>
      </w:r>
      <w:r w:rsidR="00F45DFB" w:rsidRPr="00F45DFB">
        <w:rPr>
          <w:rFonts w:ascii="Calibri" w:hAnsi="Calibri" w:cs="Calibri"/>
          <w:lang w:eastAsia="en-NZ"/>
        </w:rPr>
        <w:t>Human</w:t>
      </w:r>
      <w:r w:rsidR="003D640C">
        <w:rPr>
          <w:rFonts w:ascii="Calibri" w:hAnsi="Calibri" w:cs="Calibri"/>
          <w:lang w:eastAsia="en-NZ"/>
        </w:rPr>
        <w:t xml:space="preserve"> </w:t>
      </w:r>
      <w:r w:rsidR="00F45DFB" w:rsidRPr="00F45DFB">
        <w:rPr>
          <w:rFonts w:ascii="Calibri" w:hAnsi="Calibri" w:cs="Calibri"/>
          <w:lang w:eastAsia="en-NZ"/>
        </w:rPr>
        <w:t>Rights</w:t>
      </w:r>
      <w:r w:rsidR="003D640C">
        <w:rPr>
          <w:rFonts w:ascii="Calibri" w:hAnsi="Calibri" w:cs="Calibri"/>
          <w:lang w:eastAsia="en-NZ"/>
        </w:rPr>
        <w:t xml:space="preserve"> </w:t>
      </w:r>
      <w:r w:rsidR="00F45DFB" w:rsidRPr="00F45DFB">
        <w:rPr>
          <w:rFonts w:ascii="Calibri" w:hAnsi="Calibri" w:cs="Calibri"/>
          <w:lang w:eastAsia="en-NZ"/>
        </w:rPr>
        <w:t>Act</w:t>
      </w:r>
      <w:r w:rsidR="003D640C">
        <w:rPr>
          <w:rFonts w:ascii="Calibri" w:hAnsi="Calibri" w:cs="Calibri"/>
          <w:lang w:eastAsia="en-NZ"/>
        </w:rPr>
        <w:t xml:space="preserve"> </w:t>
      </w:r>
      <w:r w:rsidR="00F45DFB" w:rsidRPr="00F45DFB">
        <w:rPr>
          <w:rFonts w:ascii="Calibri" w:hAnsi="Calibri" w:cs="Calibri"/>
          <w:lang w:eastAsia="en-NZ"/>
        </w:rPr>
        <w:t>1993</w:t>
      </w:r>
      <w:r w:rsidR="003D640C">
        <w:rPr>
          <w:rFonts w:ascii="Calibri" w:hAnsi="Calibri" w:cs="Calibri"/>
          <w:lang w:eastAsia="en-NZ"/>
        </w:rPr>
        <w:t xml:space="preserve"> </w:t>
      </w:r>
      <w:r w:rsidR="00F45DFB" w:rsidRPr="00F45DFB">
        <w:rPr>
          <w:rFonts w:ascii="Calibri" w:hAnsi="Calibri" w:cs="Calibri"/>
          <w:lang w:eastAsia="en-NZ"/>
        </w:rPr>
        <w:t>to</w:t>
      </w:r>
      <w:r w:rsidR="003D640C">
        <w:rPr>
          <w:rFonts w:ascii="Calibri" w:hAnsi="Calibri" w:cs="Calibri"/>
          <w:lang w:eastAsia="en-NZ"/>
        </w:rPr>
        <w:t xml:space="preserve"> </w:t>
      </w:r>
      <w:r w:rsidR="00F45DFB" w:rsidRPr="00F45DFB">
        <w:rPr>
          <w:rFonts w:ascii="Calibri" w:hAnsi="Calibri" w:cs="Calibri"/>
          <w:lang w:eastAsia="en-NZ"/>
        </w:rPr>
        <w:t>make</w:t>
      </w:r>
      <w:r w:rsidR="003D640C">
        <w:rPr>
          <w:rFonts w:ascii="Calibri" w:hAnsi="Calibri" w:cs="Calibri"/>
          <w:lang w:eastAsia="en-NZ"/>
        </w:rPr>
        <w:t xml:space="preserve"> </w:t>
      </w:r>
      <w:r w:rsidR="00F45DFB" w:rsidRPr="00F45DFB">
        <w:rPr>
          <w:rFonts w:ascii="Calibri" w:hAnsi="Calibri" w:cs="Calibri"/>
          <w:lang w:eastAsia="en-NZ"/>
        </w:rPr>
        <w:t>conversion</w:t>
      </w:r>
      <w:r w:rsidR="003D640C">
        <w:rPr>
          <w:rFonts w:ascii="Calibri" w:hAnsi="Calibri" w:cs="Calibri"/>
          <w:lang w:eastAsia="en-NZ"/>
        </w:rPr>
        <w:t xml:space="preserve"> </w:t>
      </w:r>
      <w:r w:rsidR="00F45DFB" w:rsidRPr="00F45DFB">
        <w:rPr>
          <w:rFonts w:ascii="Calibri" w:hAnsi="Calibri" w:cs="Calibri"/>
          <w:lang w:eastAsia="en-NZ"/>
        </w:rPr>
        <w:t>practices</w:t>
      </w:r>
      <w:r w:rsidR="003D640C">
        <w:rPr>
          <w:rFonts w:ascii="Calibri" w:hAnsi="Calibri" w:cs="Calibri"/>
          <w:lang w:eastAsia="en-NZ"/>
        </w:rPr>
        <w:t xml:space="preserve"> </w:t>
      </w:r>
      <w:r w:rsidR="00F45DFB" w:rsidRPr="00F45DFB">
        <w:rPr>
          <w:rFonts w:ascii="Calibri" w:hAnsi="Calibri" w:cs="Calibri"/>
          <w:lang w:eastAsia="en-NZ"/>
        </w:rPr>
        <w:t>unlawful</w:t>
      </w:r>
      <w:r w:rsidR="003D640C">
        <w:rPr>
          <w:rFonts w:ascii="Calibri" w:hAnsi="Calibri" w:cs="Calibri"/>
          <w:lang w:eastAsia="en-NZ"/>
        </w:rPr>
        <w:t xml:space="preserve"> </w:t>
      </w:r>
      <w:r w:rsidR="006807FB">
        <w:rPr>
          <w:rFonts w:ascii="Calibri" w:hAnsi="Calibri" w:cs="Calibri"/>
          <w:lang w:eastAsia="en-NZ"/>
        </w:rPr>
        <w:t>in</w:t>
      </w:r>
      <w:r w:rsidR="003D640C">
        <w:rPr>
          <w:rFonts w:ascii="Calibri" w:hAnsi="Calibri" w:cs="Calibri"/>
          <w:lang w:eastAsia="en-NZ"/>
        </w:rPr>
        <w:t xml:space="preserve"> </w:t>
      </w:r>
      <w:r w:rsidR="006807FB">
        <w:rPr>
          <w:rFonts w:ascii="Calibri" w:hAnsi="Calibri" w:cs="Calibri"/>
          <w:lang w:eastAsia="en-NZ"/>
        </w:rPr>
        <w:t>Aotearoa</w:t>
      </w:r>
      <w:r w:rsidR="003D640C">
        <w:rPr>
          <w:rFonts w:ascii="Calibri" w:hAnsi="Calibri" w:cs="Calibri"/>
          <w:lang w:eastAsia="en-NZ"/>
        </w:rPr>
        <w:t xml:space="preserve"> </w:t>
      </w:r>
      <w:r w:rsidR="006807FB">
        <w:rPr>
          <w:rFonts w:ascii="Calibri" w:hAnsi="Calibri" w:cs="Calibri"/>
          <w:lang w:eastAsia="en-NZ"/>
        </w:rPr>
        <w:t>New</w:t>
      </w:r>
      <w:r w:rsidR="003D640C">
        <w:rPr>
          <w:rFonts w:ascii="Calibri" w:hAnsi="Calibri" w:cs="Calibri"/>
          <w:lang w:eastAsia="en-NZ"/>
        </w:rPr>
        <w:t xml:space="preserve"> </w:t>
      </w:r>
      <w:r w:rsidR="006807FB">
        <w:rPr>
          <w:rFonts w:ascii="Calibri" w:hAnsi="Calibri" w:cs="Calibri"/>
          <w:lang w:eastAsia="en-NZ"/>
        </w:rPr>
        <w:t>Zealand</w:t>
      </w:r>
      <w:r w:rsidR="00F45DFB" w:rsidRPr="00F45DFB">
        <w:rPr>
          <w:rFonts w:ascii="Calibri" w:hAnsi="Calibri" w:cs="Calibri"/>
          <w:lang w:eastAsia="en-NZ"/>
        </w:rPr>
        <w:t>.</w:t>
      </w:r>
      <w:r w:rsidR="003D640C">
        <w:rPr>
          <w:rFonts w:ascii="Calibri" w:hAnsi="Calibri" w:cs="Calibri"/>
          <w:lang w:eastAsia="en-NZ"/>
        </w:rPr>
        <w:t xml:space="preserve"> </w:t>
      </w:r>
      <w:r w:rsidR="00F45DFB" w:rsidRPr="00F45DFB">
        <w:rPr>
          <w:rFonts w:ascii="Calibri" w:hAnsi="Calibri" w:cs="Calibri"/>
          <w:lang w:eastAsia="en-NZ"/>
        </w:rPr>
        <w:t>The</w:t>
      </w:r>
      <w:r w:rsidR="003D640C">
        <w:rPr>
          <w:rFonts w:ascii="Calibri" w:hAnsi="Calibri" w:cs="Calibri"/>
          <w:lang w:eastAsia="en-NZ"/>
        </w:rPr>
        <w:t xml:space="preserve"> </w:t>
      </w:r>
      <w:r w:rsidR="00F45DFB" w:rsidRPr="00F45DFB">
        <w:rPr>
          <w:rFonts w:ascii="Calibri" w:hAnsi="Calibri" w:cs="Calibri"/>
          <w:lang w:eastAsia="en-NZ"/>
        </w:rPr>
        <w:t>amendment</w:t>
      </w:r>
      <w:r w:rsidR="003D640C">
        <w:rPr>
          <w:rFonts w:ascii="Calibri" w:hAnsi="Calibri" w:cs="Calibri"/>
          <w:lang w:eastAsia="en-NZ"/>
        </w:rPr>
        <w:t xml:space="preserve"> </w:t>
      </w:r>
      <w:r w:rsidR="00F45DFB" w:rsidRPr="00F45DFB">
        <w:rPr>
          <w:rFonts w:ascii="Calibri" w:hAnsi="Calibri" w:cs="Calibri"/>
          <w:lang w:eastAsia="en-NZ"/>
        </w:rPr>
        <w:t>allows</w:t>
      </w:r>
      <w:r w:rsidR="003D640C">
        <w:rPr>
          <w:rFonts w:ascii="Calibri" w:hAnsi="Calibri" w:cs="Calibri"/>
          <w:lang w:eastAsia="en-NZ"/>
        </w:rPr>
        <w:t xml:space="preserve"> </w:t>
      </w:r>
      <w:r w:rsidR="005B66F8" w:rsidRPr="00B1465F">
        <w:rPr>
          <w:rFonts w:ascii="Calibri" w:hAnsi="Calibri" w:cs="Calibri"/>
          <w:lang w:eastAsia="en-NZ"/>
        </w:rPr>
        <w:t>Te</w:t>
      </w:r>
      <w:r w:rsidR="003D640C">
        <w:rPr>
          <w:rFonts w:ascii="Calibri" w:hAnsi="Calibri" w:cs="Calibri"/>
          <w:lang w:eastAsia="en-NZ"/>
        </w:rPr>
        <w:t xml:space="preserve"> </w:t>
      </w:r>
      <w:r w:rsidR="005B66F8" w:rsidRPr="00B1465F">
        <w:rPr>
          <w:rFonts w:ascii="Calibri" w:hAnsi="Calibri" w:cs="Calibri"/>
          <w:lang w:eastAsia="en-NZ"/>
        </w:rPr>
        <w:t>Kāhui</w:t>
      </w:r>
      <w:r w:rsidR="003D640C">
        <w:rPr>
          <w:rFonts w:ascii="Calibri" w:hAnsi="Calibri" w:cs="Calibri"/>
          <w:lang w:eastAsia="en-NZ"/>
        </w:rPr>
        <w:t xml:space="preserve"> </w:t>
      </w:r>
      <w:r w:rsidR="005B66F8" w:rsidRPr="00B1465F">
        <w:rPr>
          <w:rFonts w:ascii="Calibri" w:hAnsi="Calibri" w:cs="Calibri"/>
          <w:lang w:eastAsia="en-NZ"/>
        </w:rPr>
        <w:t>Tika</w:t>
      </w:r>
      <w:r w:rsidR="003D640C">
        <w:rPr>
          <w:rFonts w:ascii="Calibri" w:hAnsi="Calibri" w:cs="Calibri"/>
          <w:lang w:eastAsia="en-NZ"/>
        </w:rPr>
        <w:t xml:space="preserve"> </w:t>
      </w:r>
      <w:r w:rsidR="005B66F8" w:rsidRPr="00B1465F">
        <w:rPr>
          <w:rFonts w:ascii="Calibri" w:hAnsi="Calibri" w:cs="Calibri"/>
          <w:lang w:eastAsia="en-NZ"/>
        </w:rPr>
        <w:t>Tangata</w:t>
      </w:r>
      <w:r w:rsidR="003D640C">
        <w:rPr>
          <w:rFonts w:ascii="Calibri" w:hAnsi="Calibri" w:cs="Calibri"/>
          <w:lang w:eastAsia="en-NZ"/>
        </w:rPr>
        <w:t xml:space="preserve"> </w:t>
      </w:r>
      <w:r w:rsidR="008F014D">
        <w:rPr>
          <w:rFonts w:ascii="Calibri" w:hAnsi="Calibri" w:cs="Calibri"/>
          <w:lang w:eastAsia="en-NZ"/>
        </w:rPr>
        <w:t xml:space="preserve">| </w:t>
      </w:r>
      <w:r w:rsidR="005B66F8" w:rsidRPr="00B1465F">
        <w:rPr>
          <w:rFonts w:ascii="Calibri" w:hAnsi="Calibri" w:cs="Calibri"/>
          <w:lang w:eastAsia="en-NZ"/>
        </w:rPr>
        <w:t>Human</w:t>
      </w:r>
      <w:r w:rsidR="003D640C">
        <w:rPr>
          <w:rFonts w:ascii="Calibri" w:hAnsi="Calibri" w:cs="Calibri"/>
          <w:lang w:eastAsia="en-NZ"/>
        </w:rPr>
        <w:t xml:space="preserve"> </w:t>
      </w:r>
      <w:r w:rsidR="005B66F8" w:rsidRPr="00B1465F">
        <w:rPr>
          <w:rFonts w:ascii="Calibri" w:hAnsi="Calibri" w:cs="Calibri"/>
          <w:lang w:eastAsia="en-NZ"/>
        </w:rPr>
        <w:t>Rights</w:t>
      </w:r>
      <w:r w:rsidR="003D640C">
        <w:rPr>
          <w:rFonts w:ascii="Calibri" w:hAnsi="Calibri" w:cs="Calibri"/>
          <w:lang w:eastAsia="en-NZ"/>
        </w:rPr>
        <w:t xml:space="preserve"> </w:t>
      </w:r>
      <w:r w:rsidR="005B66F8" w:rsidRPr="00B1465F">
        <w:rPr>
          <w:rFonts w:ascii="Calibri" w:hAnsi="Calibri" w:cs="Calibri"/>
          <w:lang w:eastAsia="en-NZ"/>
        </w:rPr>
        <w:t>Commission</w:t>
      </w:r>
      <w:r w:rsidR="003D640C">
        <w:rPr>
          <w:rFonts w:ascii="Calibri" w:hAnsi="Calibri" w:cs="Calibri"/>
          <w:lang w:eastAsia="en-NZ"/>
        </w:rPr>
        <w:t xml:space="preserve"> </w:t>
      </w:r>
      <w:r w:rsidR="005B66F8" w:rsidRPr="00B1465F">
        <w:rPr>
          <w:rFonts w:ascii="Calibri" w:hAnsi="Calibri" w:cs="Calibri"/>
          <w:lang w:eastAsia="en-NZ"/>
        </w:rPr>
        <w:t>(‘the</w:t>
      </w:r>
      <w:r w:rsidR="003D640C">
        <w:rPr>
          <w:rFonts w:ascii="Calibri" w:hAnsi="Calibri" w:cs="Calibri"/>
          <w:lang w:eastAsia="en-NZ"/>
        </w:rPr>
        <w:t xml:space="preserve"> </w:t>
      </w:r>
      <w:r w:rsidR="005B66F8" w:rsidRPr="00B1465F">
        <w:rPr>
          <w:rFonts w:ascii="Calibri" w:hAnsi="Calibri" w:cs="Calibri"/>
          <w:lang w:eastAsia="en-NZ"/>
        </w:rPr>
        <w:t>Commission’)</w:t>
      </w:r>
      <w:r w:rsidR="003D640C">
        <w:rPr>
          <w:rFonts w:ascii="Calibri" w:hAnsi="Calibri" w:cs="Calibri"/>
          <w:lang w:eastAsia="en-NZ"/>
        </w:rPr>
        <w:t xml:space="preserve"> </w:t>
      </w:r>
      <w:r w:rsidR="00F45DFB" w:rsidRPr="00F45DFB">
        <w:rPr>
          <w:rFonts w:ascii="Calibri" w:hAnsi="Calibri" w:cs="Calibri"/>
          <w:lang w:eastAsia="en-NZ"/>
        </w:rPr>
        <w:t>to</w:t>
      </w:r>
      <w:r w:rsidR="003D640C">
        <w:rPr>
          <w:rFonts w:ascii="Calibri" w:hAnsi="Calibri" w:cs="Calibri"/>
          <w:lang w:eastAsia="en-NZ"/>
        </w:rPr>
        <w:t xml:space="preserve"> </w:t>
      </w:r>
      <w:r w:rsidR="00E056F4">
        <w:rPr>
          <w:rFonts w:ascii="Calibri" w:hAnsi="Calibri" w:cs="Calibri"/>
          <w:lang w:eastAsia="en-NZ"/>
        </w:rPr>
        <w:t>support</w:t>
      </w:r>
      <w:r w:rsidR="003D640C">
        <w:rPr>
          <w:rFonts w:ascii="Calibri" w:hAnsi="Calibri" w:cs="Calibri"/>
          <w:lang w:eastAsia="en-NZ"/>
        </w:rPr>
        <w:t xml:space="preserve"> </w:t>
      </w:r>
      <w:r w:rsidR="00E056F4">
        <w:rPr>
          <w:rFonts w:ascii="Calibri" w:hAnsi="Calibri" w:cs="Calibri"/>
          <w:lang w:eastAsia="en-NZ"/>
        </w:rPr>
        <w:t>a</w:t>
      </w:r>
      <w:r w:rsidR="003D640C">
        <w:rPr>
          <w:rFonts w:ascii="Calibri" w:hAnsi="Calibri" w:cs="Calibri"/>
          <w:lang w:eastAsia="en-NZ"/>
        </w:rPr>
        <w:t xml:space="preserve"> </w:t>
      </w:r>
      <w:r w:rsidR="00E056F4">
        <w:rPr>
          <w:rFonts w:ascii="Calibri" w:hAnsi="Calibri" w:cs="Calibri"/>
          <w:lang w:eastAsia="en-NZ"/>
        </w:rPr>
        <w:t>civil</w:t>
      </w:r>
      <w:r w:rsidR="003D640C">
        <w:rPr>
          <w:rFonts w:ascii="Calibri" w:hAnsi="Calibri" w:cs="Calibri"/>
          <w:lang w:eastAsia="en-NZ"/>
        </w:rPr>
        <w:t xml:space="preserve"> </w:t>
      </w:r>
      <w:r w:rsidR="00E056F4">
        <w:rPr>
          <w:rFonts w:ascii="Calibri" w:hAnsi="Calibri" w:cs="Calibri"/>
          <w:lang w:eastAsia="en-NZ"/>
        </w:rPr>
        <w:t>response</w:t>
      </w:r>
      <w:r w:rsidR="003D640C">
        <w:rPr>
          <w:rFonts w:ascii="Calibri" w:hAnsi="Calibri" w:cs="Calibri"/>
          <w:lang w:eastAsia="en-NZ"/>
        </w:rPr>
        <w:t xml:space="preserve"> </w:t>
      </w:r>
      <w:r w:rsidR="00002B6B">
        <w:rPr>
          <w:rFonts w:ascii="Calibri" w:hAnsi="Calibri" w:cs="Calibri"/>
          <w:lang w:eastAsia="en-NZ"/>
        </w:rPr>
        <w:t>of</w:t>
      </w:r>
      <w:r w:rsidR="003D640C">
        <w:rPr>
          <w:rFonts w:ascii="Calibri" w:hAnsi="Calibri" w:cs="Calibri"/>
          <w:lang w:eastAsia="en-NZ"/>
        </w:rPr>
        <w:t xml:space="preserve"> </w:t>
      </w:r>
      <w:r w:rsidR="00002B6B">
        <w:rPr>
          <w:rFonts w:ascii="Calibri" w:hAnsi="Calibri" w:cs="Calibri"/>
          <w:lang w:eastAsia="en-NZ"/>
        </w:rPr>
        <w:t>the</w:t>
      </w:r>
      <w:r w:rsidR="003D640C">
        <w:rPr>
          <w:rFonts w:ascii="Calibri" w:hAnsi="Calibri" w:cs="Calibri"/>
          <w:lang w:eastAsia="en-NZ"/>
        </w:rPr>
        <w:t xml:space="preserve"> </w:t>
      </w:r>
      <w:r w:rsidR="00002B6B">
        <w:rPr>
          <w:rFonts w:ascii="Calibri" w:hAnsi="Calibri" w:cs="Calibri"/>
          <w:lang w:eastAsia="en-NZ"/>
        </w:rPr>
        <w:t>CPPLA</w:t>
      </w:r>
      <w:r w:rsidR="002854BA">
        <w:rPr>
          <w:rFonts w:ascii="Calibri" w:hAnsi="Calibri" w:cs="Calibri"/>
          <w:lang w:eastAsia="en-NZ"/>
        </w:rPr>
        <w:t>,</w:t>
      </w:r>
      <w:r w:rsidR="003D640C">
        <w:rPr>
          <w:rFonts w:ascii="Calibri" w:hAnsi="Calibri" w:cs="Calibri"/>
          <w:lang w:eastAsia="en-NZ"/>
        </w:rPr>
        <w:t xml:space="preserve"> </w:t>
      </w:r>
      <w:r w:rsidR="002854BA">
        <w:rPr>
          <w:rFonts w:ascii="Calibri" w:hAnsi="Calibri" w:cs="Calibri"/>
          <w:lang w:eastAsia="en-NZ"/>
        </w:rPr>
        <w:t>which</w:t>
      </w:r>
      <w:r w:rsidR="003D640C">
        <w:rPr>
          <w:rFonts w:ascii="Calibri" w:hAnsi="Calibri" w:cs="Calibri"/>
          <w:lang w:eastAsia="en-NZ"/>
        </w:rPr>
        <w:t xml:space="preserve"> </w:t>
      </w:r>
      <w:r w:rsidR="002854BA">
        <w:rPr>
          <w:rFonts w:ascii="Calibri" w:hAnsi="Calibri" w:cs="Calibri"/>
          <w:lang w:eastAsia="en-NZ"/>
        </w:rPr>
        <w:t>includes</w:t>
      </w:r>
      <w:r w:rsidR="003D640C">
        <w:rPr>
          <w:rFonts w:ascii="Calibri" w:hAnsi="Calibri" w:cs="Calibri"/>
          <w:lang w:eastAsia="en-NZ"/>
        </w:rPr>
        <w:t xml:space="preserve"> </w:t>
      </w:r>
      <w:r w:rsidR="00F45DFB" w:rsidRPr="00F45DFB">
        <w:rPr>
          <w:rFonts w:ascii="Calibri" w:hAnsi="Calibri" w:cs="Calibri"/>
          <w:lang w:eastAsia="en-NZ"/>
        </w:rPr>
        <w:t>receiv</w:t>
      </w:r>
      <w:r w:rsidR="002854BA">
        <w:rPr>
          <w:rFonts w:ascii="Calibri" w:hAnsi="Calibri" w:cs="Calibri"/>
          <w:lang w:eastAsia="en-NZ"/>
        </w:rPr>
        <w:t>ing</w:t>
      </w:r>
      <w:r w:rsidR="003D640C">
        <w:rPr>
          <w:rFonts w:ascii="Calibri" w:hAnsi="Calibri" w:cs="Calibri"/>
          <w:lang w:eastAsia="en-NZ"/>
        </w:rPr>
        <w:t xml:space="preserve"> </w:t>
      </w:r>
      <w:r w:rsidR="00F45DFB" w:rsidRPr="00F45DFB">
        <w:rPr>
          <w:rFonts w:ascii="Calibri" w:hAnsi="Calibri" w:cs="Calibri"/>
          <w:lang w:eastAsia="en-NZ"/>
        </w:rPr>
        <w:t>complaints,</w:t>
      </w:r>
      <w:r w:rsidR="003D640C">
        <w:rPr>
          <w:rFonts w:ascii="Calibri" w:hAnsi="Calibri" w:cs="Calibri"/>
          <w:lang w:eastAsia="en-NZ"/>
        </w:rPr>
        <w:t xml:space="preserve"> </w:t>
      </w:r>
      <w:r w:rsidR="00F45DFB" w:rsidRPr="00F45DFB">
        <w:rPr>
          <w:rFonts w:ascii="Calibri" w:hAnsi="Calibri" w:cs="Calibri"/>
          <w:lang w:eastAsia="en-NZ"/>
        </w:rPr>
        <w:t>provid</w:t>
      </w:r>
      <w:r w:rsidR="002854BA">
        <w:rPr>
          <w:rFonts w:ascii="Calibri" w:hAnsi="Calibri" w:cs="Calibri"/>
          <w:lang w:eastAsia="en-NZ"/>
        </w:rPr>
        <w:t>ing</w:t>
      </w:r>
      <w:r w:rsidR="003D640C">
        <w:rPr>
          <w:rFonts w:ascii="Calibri" w:hAnsi="Calibri" w:cs="Calibri"/>
          <w:lang w:eastAsia="en-NZ"/>
        </w:rPr>
        <w:t xml:space="preserve"> </w:t>
      </w:r>
      <w:r w:rsidR="00F45DFB" w:rsidRPr="00F45DFB">
        <w:rPr>
          <w:rFonts w:ascii="Calibri" w:hAnsi="Calibri" w:cs="Calibri"/>
          <w:lang w:eastAsia="en-NZ"/>
        </w:rPr>
        <w:t>a</w:t>
      </w:r>
      <w:r w:rsidR="003D640C">
        <w:rPr>
          <w:rFonts w:ascii="Calibri" w:hAnsi="Calibri" w:cs="Calibri"/>
          <w:lang w:eastAsia="en-NZ"/>
        </w:rPr>
        <w:t xml:space="preserve"> </w:t>
      </w:r>
      <w:r w:rsidR="00F45DFB" w:rsidRPr="00F45DFB">
        <w:rPr>
          <w:rFonts w:ascii="Calibri" w:hAnsi="Calibri" w:cs="Calibri"/>
          <w:lang w:eastAsia="en-NZ"/>
        </w:rPr>
        <w:t>dispute</w:t>
      </w:r>
      <w:r w:rsidR="003D640C">
        <w:rPr>
          <w:rFonts w:ascii="Calibri" w:hAnsi="Calibri" w:cs="Calibri"/>
          <w:lang w:eastAsia="en-NZ"/>
        </w:rPr>
        <w:t xml:space="preserve"> </w:t>
      </w:r>
      <w:r w:rsidR="00F45DFB" w:rsidRPr="00F45DFB">
        <w:rPr>
          <w:rFonts w:ascii="Calibri" w:hAnsi="Calibri" w:cs="Calibri"/>
          <w:lang w:eastAsia="en-NZ"/>
        </w:rPr>
        <w:t>resolution</w:t>
      </w:r>
      <w:r w:rsidR="003D640C">
        <w:rPr>
          <w:rFonts w:ascii="Calibri" w:hAnsi="Calibri" w:cs="Calibri"/>
          <w:lang w:eastAsia="en-NZ"/>
        </w:rPr>
        <w:t xml:space="preserve"> </w:t>
      </w:r>
      <w:r w:rsidR="00F45DFB" w:rsidRPr="00F45DFB">
        <w:rPr>
          <w:rFonts w:ascii="Calibri" w:hAnsi="Calibri" w:cs="Calibri"/>
          <w:lang w:eastAsia="en-NZ"/>
        </w:rPr>
        <w:t>service,</w:t>
      </w:r>
      <w:r w:rsidR="003D640C">
        <w:rPr>
          <w:rFonts w:ascii="Calibri" w:hAnsi="Calibri" w:cs="Calibri"/>
          <w:lang w:eastAsia="en-NZ"/>
        </w:rPr>
        <w:t xml:space="preserve"> </w:t>
      </w:r>
      <w:r w:rsidR="00F45DFB" w:rsidRPr="00F45DFB">
        <w:rPr>
          <w:rFonts w:ascii="Calibri" w:hAnsi="Calibri" w:cs="Calibri"/>
          <w:lang w:eastAsia="en-NZ"/>
        </w:rPr>
        <w:t>and</w:t>
      </w:r>
      <w:r w:rsidR="003D640C">
        <w:rPr>
          <w:rFonts w:ascii="Calibri" w:hAnsi="Calibri" w:cs="Calibri"/>
          <w:lang w:eastAsia="en-NZ"/>
        </w:rPr>
        <w:t xml:space="preserve"> </w:t>
      </w:r>
      <w:r w:rsidR="00F45DFB" w:rsidRPr="00F45DFB">
        <w:rPr>
          <w:rFonts w:ascii="Calibri" w:hAnsi="Calibri" w:cs="Calibri"/>
          <w:lang w:eastAsia="en-NZ"/>
        </w:rPr>
        <w:t>refer</w:t>
      </w:r>
      <w:r w:rsidR="002854BA">
        <w:rPr>
          <w:rFonts w:ascii="Calibri" w:hAnsi="Calibri" w:cs="Calibri"/>
          <w:lang w:eastAsia="en-NZ"/>
        </w:rPr>
        <w:t>ring</w:t>
      </w:r>
      <w:r w:rsidR="003D640C">
        <w:rPr>
          <w:rFonts w:ascii="Calibri" w:hAnsi="Calibri" w:cs="Calibri"/>
          <w:lang w:eastAsia="en-NZ"/>
        </w:rPr>
        <w:t xml:space="preserve"> </w:t>
      </w:r>
      <w:r w:rsidR="00F45DFB" w:rsidRPr="00F45DFB">
        <w:rPr>
          <w:rFonts w:ascii="Calibri" w:hAnsi="Calibri" w:cs="Calibri"/>
          <w:lang w:eastAsia="en-NZ"/>
        </w:rPr>
        <w:t>complaints</w:t>
      </w:r>
      <w:r w:rsidR="003D640C">
        <w:rPr>
          <w:rFonts w:ascii="Calibri" w:hAnsi="Calibri" w:cs="Calibri"/>
          <w:lang w:eastAsia="en-NZ"/>
        </w:rPr>
        <w:t xml:space="preserve"> </w:t>
      </w:r>
      <w:r w:rsidR="00F45DFB" w:rsidRPr="00F45DFB">
        <w:rPr>
          <w:rFonts w:ascii="Calibri" w:hAnsi="Calibri" w:cs="Calibri"/>
          <w:lang w:eastAsia="en-NZ"/>
        </w:rPr>
        <w:t>to</w:t>
      </w:r>
      <w:r w:rsidR="003D640C">
        <w:rPr>
          <w:rFonts w:ascii="Calibri" w:hAnsi="Calibri" w:cs="Calibri"/>
          <w:lang w:eastAsia="en-NZ"/>
        </w:rPr>
        <w:t xml:space="preserve"> </w:t>
      </w:r>
      <w:r w:rsidR="00F45DFB" w:rsidRPr="00F45DFB">
        <w:rPr>
          <w:rFonts w:ascii="Calibri" w:hAnsi="Calibri" w:cs="Calibri"/>
          <w:lang w:eastAsia="en-NZ"/>
        </w:rPr>
        <w:t>the</w:t>
      </w:r>
      <w:r w:rsidR="003D640C">
        <w:rPr>
          <w:rFonts w:ascii="Calibri" w:hAnsi="Calibri" w:cs="Calibri"/>
          <w:lang w:eastAsia="en-NZ"/>
        </w:rPr>
        <w:t xml:space="preserve"> </w:t>
      </w:r>
      <w:r w:rsidR="00F45DFB" w:rsidRPr="00F45DFB">
        <w:rPr>
          <w:rFonts w:ascii="Calibri" w:hAnsi="Calibri" w:cs="Calibri"/>
          <w:lang w:eastAsia="en-NZ"/>
        </w:rPr>
        <w:t>Human</w:t>
      </w:r>
      <w:r w:rsidR="003D640C">
        <w:rPr>
          <w:rFonts w:ascii="Calibri" w:hAnsi="Calibri" w:cs="Calibri"/>
          <w:lang w:eastAsia="en-NZ"/>
        </w:rPr>
        <w:t xml:space="preserve"> </w:t>
      </w:r>
      <w:r w:rsidR="00F45DFB" w:rsidRPr="00F45DFB">
        <w:rPr>
          <w:rFonts w:ascii="Calibri" w:hAnsi="Calibri" w:cs="Calibri"/>
          <w:lang w:eastAsia="en-NZ"/>
        </w:rPr>
        <w:t>Rights</w:t>
      </w:r>
      <w:r w:rsidR="003D640C">
        <w:rPr>
          <w:rFonts w:ascii="Calibri" w:hAnsi="Calibri" w:cs="Calibri"/>
          <w:lang w:eastAsia="en-NZ"/>
        </w:rPr>
        <w:t xml:space="preserve"> </w:t>
      </w:r>
      <w:r w:rsidR="00F45DFB" w:rsidRPr="00F45DFB">
        <w:rPr>
          <w:rFonts w:ascii="Calibri" w:hAnsi="Calibri" w:cs="Calibri"/>
          <w:lang w:eastAsia="en-NZ"/>
        </w:rPr>
        <w:t>Review</w:t>
      </w:r>
      <w:r w:rsidR="003D640C">
        <w:rPr>
          <w:rFonts w:ascii="Calibri" w:hAnsi="Calibri" w:cs="Calibri"/>
          <w:lang w:eastAsia="en-NZ"/>
        </w:rPr>
        <w:t xml:space="preserve"> </w:t>
      </w:r>
      <w:r w:rsidR="00F45DFB" w:rsidRPr="00F45DFB">
        <w:rPr>
          <w:rFonts w:ascii="Calibri" w:hAnsi="Calibri" w:cs="Calibri"/>
          <w:lang w:eastAsia="en-NZ"/>
        </w:rPr>
        <w:t>Tribunal.</w:t>
      </w:r>
      <w:r w:rsidR="003D640C">
        <w:rPr>
          <w:rFonts w:ascii="Calibri" w:hAnsi="Calibri" w:cs="Calibri"/>
          <w:lang w:eastAsia="en-NZ"/>
        </w:rPr>
        <w:t xml:space="preserve"> </w:t>
      </w:r>
      <w:r w:rsidR="00D74ABD">
        <w:rPr>
          <w:rFonts w:ascii="Calibri" w:hAnsi="Calibri" w:cs="Calibri"/>
          <w:lang w:eastAsia="en-NZ"/>
        </w:rPr>
        <w:t>T</w:t>
      </w:r>
      <w:r w:rsidR="00915FFB" w:rsidRPr="00B1465F">
        <w:rPr>
          <w:rFonts w:ascii="Calibri" w:hAnsi="Calibri" w:cs="Calibri"/>
          <w:lang w:eastAsia="en-NZ"/>
        </w:rPr>
        <w:t>he</w:t>
      </w:r>
      <w:r w:rsidR="003D640C">
        <w:rPr>
          <w:rFonts w:ascii="Calibri" w:hAnsi="Calibri" w:cs="Calibri"/>
          <w:lang w:eastAsia="en-NZ"/>
        </w:rPr>
        <w:t xml:space="preserve"> </w:t>
      </w:r>
      <w:r w:rsidR="00915FFB" w:rsidRPr="00B1465F">
        <w:rPr>
          <w:rFonts w:ascii="Calibri" w:hAnsi="Calibri" w:cs="Calibri"/>
          <w:lang w:eastAsia="en-NZ"/>
        </w:rPr>
        <w:t>Commission</w:t>
      </w:r>
      <w:r w:rsidR="003D640C">
        <w:rPr>
          <w:rFonts w:ascii="Calibri" w:hAnsi="Calibri" w:cs="Calibri"/>
          <w:lang w:eastAsia="en-NZ"/>
        </w:rPr>
        <w:t xml:space="preserve"> </w:t>
      </w:r>
      <w:r w:rsidR="00915FFB" w:rsidRPr="00B1465F">
        <w:rPr>
          <w:rFonts w:ascii="Calibri" w:hAnsi="Calibri" w:cs="Calibri"/>
          <w:lang w:eastAsia="en-NZ"/>
        </w:rPr>
        <w:t>was</w:t>
      </w:r>
      <w:r w:rsidR="003D640C">
        <w:rPr>
          <w:rFonts w:ascii="Calibri" w:hAnsi="Calibri" w:cs="Calibri"/>
          <w:lang w:eastAsia="en-NZ"/>
        </w:rPr>
        <w:t xml:space="preserve"> </w:t>
      </w:r>
      <w:r w:rsidR="002F46ED">
        <w:rPr>
          <w:rFonts w:ascii="Calibri" w:hAnsi="Calibri" w:cs="Calibri"/>
          <w:lang w:eastAsia="en-NZ"/>
        </w:rPr>
        <w:t>also</w:t>
      </w:r>
      <w:r w:rsidR="003D640C">
        <w:rPr>
          <w:rFonts w:ascii="Calibri" w:hAnsi="Calibri" w:cs="Calibri"/>
          <w:lang w:eastAsia="en-NZ"/>
        </w:rPr>
        <w:t xml:space="preserve"> </w:t>
      </w:r>
      <w:r w:rsidR="00915FFB" w:rsidRPr="00B1465F">
        <w:rPr>
          <w:rFonts w:ascii="Calibri" w:hAnsi="Calibri" w:cs="Calibri"/>
          <w:lang w:eastAsia="en-NZ"/>
        </w:rPr>
        <w:t>charged</w:t>
      </w:r>
      <w:r w:rsidR="003D640C">
        <w:rPr>
          <w:rFonts w:ascii="Calibri" w:hAnsi="Calibri" w:cs="Calibri"/>
          <w:lang w:eastAsia="en-NZ"/>
        </w:rPr>
        <w:t xml:space="preserve"> </w:t>
      </w:r>
      <w:r w:rsidR="00915FFB" w:rsidRPr="00B1465F">
        <w:rPr>
          <w:rFonts w:ascii="Calibri" w:hAnsi="Calibri" w:cs="Calibri"/>
          <w:lang w:eastAsia="en-NZ"/>
        </w:rPr>
        <w:t>with</w:t>
      </w:r>
      <w:r w:rsidR="003D640C">
        <w:rPr>
          <w:rFonts w:ascii="Calibri" w:hAnsi="Calibri" w:cs="Calibri"/>
          <w:lang w:eastAsia="en-NZ"/>
        </w:rPr>
        <w:t xml:space="preserve"> </w:t>
      </w:r>
      <w:r w:rsidR="00915FFB" w:rsidRPr="00B1465F">
        <w:rPr>
          <w:rFonts w:ascii="Calibri" w:hAnsi="Calibri" w:cs="Calibri"/>
          <w:lang w:eastAsia="en-NZ"/>
        </w:rPr>
        <w:t>undertaking</w:t>
      </w:r>
      <w:r w:rsidR="003D640C">
        <w:rPr>
          <w:rFonts w:ascii="Calibri" w:hAnsi="Calibri" w:cs="Calibri"/>
          <w:lang w:eastAsia="en-NZ"/>
        </w:rPr>
        <w:t xml:space="preserve"> </w:t>
      </w:r>
      <w:r w:rsidR="00E32C94">
        <w:rPr>
          <w:rFonts w:ascii="Calibri" w:hAnsi="Calibri" w:cs="Calibri"/>
          <w:lang w:eastAsia="en-NZ"/>
        </w:rPr>
        <w:t>e</w:t>
      </w:r>
      <w:r w:rsidR="00915FFB" w:rsidRPr="00B1465F">
        <w:rPr>
          <w:rFonts w:ascii="Calibri" w:hAnsi="Calibri" w:cs="Calibri"/>
          <w:lang w:eastAsia="en-NZ"/>
        </w:rPr>
        <w:t>ducation</w:t>
      </w:r>
      <w:r w:rsidR="003D640C">
        <w:rPr>
          <w:rFonts w:ascii="Calibri" w:hAnsi="Calibri" w:cs="Calibri"/>
          <w:lang w:eastAsia="en-NZ"/>
        </w:rPr>
        <w:t xml:space="preserve"> </w:t>
      </w:r>
      <w:r w:rsidR="00915FFB" w:rsidRPr="00B1465F">
        <w:rPr>
          <w:rFonts w:ascii="Calibri" w:hAnsi="Calibri" w:cs="Calibri"/>
          <w:lang w:eastAsia="en-NZ"/>
        </w:rPr>
        <w:t>and</w:t>
      </w:r>
      <w:r w:rsidR="003D640C">
        <w:rPr>
          <w:rFonts w:ascii="Calibri" w:hAnsi="Calibri" w:cs="Calibri"/>
          <w:lang w:eastAsia="en-NZ"/>
        </w:rPr>
        <w:t xml:space="preserve"> </w:t>
      </w:r>
      <w:r w:rsidR="00915FFB" w:rsidRPr="00B1465F">
        <w:rPr>
          <w:rFonts w:ascii="Calibri" w:hAnsi="Calibri" w:cs="Calibri"/>
          <w:lang w:eastAsia="en-NZ"/>
        </w:rPr>
        <w:t>prevention</w:t>
      </w:r>
      <w:r w:rsidR="003D640C">
        <w:rPr>
          <w:rFonts w:ascii="Calibri" w:hAnsi="Calibri" w:cs="Calibri"/>
          <w:lang w:eastAsia="en-NZ"/>
        </w:rPr>
        <w:t xml:space="preserve"> </w:t>
      </w:r>
      <w:r w:rsidR="00915FFB" w:rsidRPr="00B1465F">
        <w:rPr>
          <w:rFonts w:ascii="Calibri" w:hAnsi="Calibri" w:cs="Calibri"/>
          <w:lang w:eastAsia="en-NZ"/>
        </w:rPr>
        <w:t>work</w:t>
      </w:r>
      <w:r w:rsidR="003D640C">
        <w:rPr>
          <w:rFonts w:ascii="Calibri" w:hAnsi="Calibri" w:cs="Calibri"/>
          <w:lang w:eastAsia="en-NZ"/>
        </w:rPr>
        <w:t xml:space="preserve"> </w:t>
      </w:r>
      <w:r w:rsidR="00915FFB" w:rsidRPr="00B1465F">
        <w:rPr>
          <w:rFonts w:ascii="Calibri" w:hAnsi="Calibri" w:cs="Calibri"/>
          <w:lang w:eastAsia="en-NZ"/>
        </w:rPr>
        <w:t>in</w:t>
      </w:r>
      <w:r w:rsidR="003D640C">
        <w:rPr>
          <w:rFonts w:ascii="Calibri" w:hAnsi="Calibri" w:cs="Calibri"/>
          <w:lang w:eastAsia="en-NZ"/>
        </w:rPr>
        <w:t xml:space="preserve"> </w:t>
      </w:r>
      <w:r w:rsidR="00915FFB" w:rsidRPr="00B1465F">
        <w:rPr>
          <w:rFonts w:ascii="Calibri" w:hAnsi="Calibri" w:cs="Calibri"/>
          <w:lang w:eastAsia="en-NZ"/>
        </w:rPr>
        <w:t>support</w:t>
      </w:r>
      <w:r w:rsidR="003D640C">
        <w:rPr>
          <w:rFonts w:ascii="Calibri" w:hAnsi="Calibri" w:cs="Calibri"/>
          <w:lang w:eastAsia="en-NZ"/>
        </w:rPr>
        <w:t xml:space="preserve"> </w:t>
      </w:r>
      <w:r w:rsidR="00915FFB" w:rsidRPr="00B1465F">
        <w:rPr>
          <w:rFonts w:ascii="Calibri" w:hAnsi="Calibri" w:cs="Calibri"/>
          <w:lang w:eastAsia="en-NZ"/>
        </w:rPr>
        <w:t>of</w:t>
      </w:r>
      <w:r w:rsidR="003D640C">
        <w:rPr>
          <w:rFonts w:ascii="Calibri" w:hAnsi="Calibri" w:cs="Calibri"/>
          <w:lang w:eastAsia="en-NZ"/>
        </w:rPr>
        <w:t xml:space="preserve"> </w:t>
      </w:r>
      <w:r w:rsidR="002F46ED">
        <w:rPr>
          <w:rFonts w:ascii="Calibri" w:hAnsi="Calibri" w:cs="Calibri"/>
          <w:lang w:eastAsia="en-NZ"/>
        </w:rPr>
        <w:t>the</w:t>
      </w:r>
      <w:r w:rsidR="003D640C">
        <w:rPr>
          <w:rFonts w:ascii="Calibri" w:hAnsi="Calibri" w:cs="Calibri"/>
          <w:lang w:eastAsia="en-NZ"/>
        </w:rPr>
        <w:t xml:space="preserve"> </w:t>
      </w:r>
      <w:r w:rsidR="002F46ED">
        <w:rPr>
          <w:rFonts w:ascii="Calibri" w:hAnsi="Calibri" w:cs="Calibri"/>
          <w:lang w:eastAsia="en-NZ"/>
        </w:rPr>
        <w:t>new</w:t>
      </w:r>
      <w:r w:rsidR="003D640C">
        <w:rPr>
          <w:rFonts w:ascii="Calibri" w:hAnsi="Calibri" w:cs="Calibri"/>
          <w:lang w:eastAsia="en-NZ"/>
        </w:rPr>
        <w:t xml:space="preserve"> </w:t>
      </w:r>
      <w:r w:rsidR="002F46ED">
        <w:rPr>
          <w:rFonts w:ascii="Calibri" w:hAnsi="Calibri" w:cs="Calibri"/>
          <w:lang w:eastAsia="en-NZ"/>
        </w:rPr>
        <w:t>legislation</w:t>
      </w:r>
      <w:r w:rsidR="00915FFB" w:rsidRPr="00B1465F">
        <w:rPr>
          <w:rFonts w:ascii="Calibri" w:hAnsi="Calibri" w:cs="Calibri"/>
          <w:lang w:eastAsia="en-NZ"/>
        </w:rPr>
        <w:t>.</w:t>
      </w:r>
      <w:r w:rsidR="003D640C">
        <w:rPr>
          <w:rFonts w:ascii="Calibri" w:hAnsi="Calibri" w:cs="Calibri"/>
          <w:lang w:eastAsia="en-NZ"/>
        </w:rPr>
        <w:t xml:space="preserve"> </w:t>
      </w:r>
    </w:p>
    <w:p w14:paraId="1087332F" w14:textId="2C90EB6E" w:rsidR="00555DD0" w:rsidRDefault="00915FFB" w:rsidP="00E00167">
      <w:r w:rsidRPr="00993640">
        <w:rPr>
          <w:rFonts w:ascii="Calibri" w:hAnsi="Calibri" w:cs="Calibri"/>
          <w:lang w:eastAsia="en-NZ"/>
        </w:rPr>
        <w:t>The</w:t>
      </w:r>
      <w:r w:rsidR="003D640C">
        <w:rPr>
          <w:rFonts w:ascii="Calibri" w:hAnsi="Calibri" w:cs="Calibri"/>
          <w:lang w:eastAsia="en-NZ"/>
        </w:rPr>
        <w:t xml:space="preserve"> </w:t>
      </w:r>
      <w:r w:rsidRPr="00993640">
        <w:rPr>
          <w:rFonts w:ascii="Calibri" w:hAnsi="Calibri" w:cs="Calibri"/>
          <w:lang w:eastAsia="en-NZ"/>
        </w:rPr>
        <w:t>purpose</w:t>
      </w:r>
      <w:r w:rsidR="003D640C">
        <w:rPr>
          <w:rFonts w:ascii="Calibri" w:hAnsi="Calibri" w:cs="Calibri"/>
          <w:lang w:eastAsia="en-NZ"/>
        </w:rPr>
        <w:t xml:space="preserve"> </w:t>
      </w:r>
      <w:r w:rsidRPr="00993640">
        <w:rPr>
          <w:rFonts w:ascii="Calibri" w:hAnsi="Calibri" w:cs="Calibri"/>
          <w:lang w:eastAsia="en-NZ"/>
        </w:rPr>
        <w:t>of</w:t>
      </w:r>
      <w:r w:rsidR="003D640C">
        <w:rPr>
          <w:rFonts w:ascii="Calibri" w:hAnsi="Calibri" w:cs="Calibri"/>
          <w:lang w:eastAsia="en-NZ"/>
        </w:rPr>
        <w:t xml:space="preserve"> </w:t>
      </w:r>
      <w:r w:rsidRPr="00993640">
        <w:rPr>
          <w:rFonts w:ascii="Calibri" w:hAnsi="Calibri" w:cs="Calibri"/>
          <w:lang w:eastAsia="en-NZ"/>
        </w:rPr>
        <w:t>this</w:t>
      </w:r>
      <w:r w:rsidR="003D640C">
        <w:rPr>
          <w:rFonts w:ascii="Calibri" w:hAnsi="Calibri" w:cs="Calibri"/>
          <w:lang w:eastAsia="en-NZ"/>
        </w:rPr>
        <w:t xml:space="preserve"> </w:t>
      </w:r>
      <w:r w:rsidRPr="00993640">
        <w:rPr>
          <w:rFonts w:ascii="Calibri" w:hAnsi="Calibri" w:cs="Calibri"/>
          <w:lang w:eastAsia="en-NZ"/>
        </w:rPr>
        <w:t>report</w:t>
      </w:r>
      <w:r w:rsidR="003D640C">
        <w:rPr>
          <w:rFonts w:ascii="Calibri" w:hAnsi="Calibri" w:cs="Calibri"/>
          <w:lang w:eastAsia="en-NZ"/>
        </w:rPr>
        <w:t xml:space="preserve"> </w:t>
      </w:r>
      <w:r w:rsidRPr="00993640">
        <w:rPr>
          <w:rFonts w:ascii="Calibri" w:hAnsi="Calibri" w:cs="Calibri"/>
          <w:lang w:eastAsia="en-NZ"/>
        </w:rPr>
        <w:t>is</w:t>
      </w:r>
      <w:r w:rsidR="003D640C">
        <w:rPr>
          <w:rFonts w:ascii="Calibri" w:hAnsi="Calibri" w:cs="Calibri"/>
          <w:lang w:eastAsia="en-NZ"/>
        </w:rPr>
        <w:t xml:space="preserve"> </w:t>
      </w:r>
      <w:r w:rsidRPr="00993640">
        <w:rPr>
          <w:rFonts w:ascii="Calibri" w:hAnsi="Calibri" w:cs="Calibri"/>
          <w:lang w:eastAsia="en-NZ"/>
        </w:rPr>
        <w:t>to</w:t>
      </w:r>
      <w:r w:rsidR="003D640C">
        <w:rPr>
          <w:rFonts w:ascii="Calibri" w:hAnsi="Calibri" w:cs="Calibri"/>
          <w:lang w:eastAsia="en-NZ"/>
        </w:rPr>
        <w:t xml:space="preserve"> </w:t>
      </w:r>
      <w:r w:rsidRPr="00993640">
        <w:rPr>
          <w:rFonts w:ascii="Calibri" w:hAnsi="Calibri" w:cs="Calibri"/>
          <w:lang w:eastAsia="en-NZ"/>
        </w:rPr>
        <w:t>capture</w:t>
      </w:r>
      <w:r w:rsidR="003D640C">
        <w:rPr>
          <w:rFonts w:ascii="Calibri" w:hAnsi="Calibri" w:cs="Calibri"/>
          <w:lang w:eastAsia="en-NZ"/>
        </w:rPr>
        <w:t xml:space="preserve"> </w:t>
      </w:r>
      <w:r w:rsidRPr="00993640">
        <w:rPr>
          <w:rFonts w:ascii="Calibri" w:hAnsi="Calibri" w:cs="Calibri"/>
          <w:lang w:eastAsia="en-NZ"/>
        </w:rPr>
        <w:t>the</w:t>
      </w:r>
      <w:r w:rsidR="003D640C">
        <w:rPr>
          <w:rFonts w:ascii="Calibri" w:hAnsi="Calibri" w:cs="Calibri"/>
          <w:lang w:eastAsia="en-NZ"/>
        </w:rPr>
        <w:t xml:space="preserve"> </w:t>
      </w:r>
      <w:r w:rsidRPr="00993640">
        <w:rPr>
          <w:rFonts w:ascii="Calibri" w:hAnsi="Calibri" w:cs="Calibri"/>
          <w:lang w:eastAsia="en-NZ"/>
        </w:rPr>
        <w:t>extensive</w:t>
      </w:r>
      <w:r w:rsidR="003D640C">
        <w:rPr>
          <w:rFonts w:ascii="Calibri" w:hAnsi="Calibri" w:cs="Calibri"/>
          <w:lang w:eastAsia="en-NZ"/>
        </w:rPr>
        <w:t xml:space="preserve"> </w:t>
      </w:r>
      <w:r w:rsidRPr="00993640">
        <w:rPr>
          <w:rFonts w:ascii="Calibri" w:hAnsi="Calibri" w:cs="Calibri"/>
          <w:lang w:eastAsia="en-NZ"/>
        </w:rPr>
        <w:t>collective</w:t>
      </w:r>
      <w:r w:rsidR="003D640C">
        <w:rPr>
          <w:rFonts w:ascii="Calibri" w:hAnsi="Calibri" w:cs="Calibri"/>
          <w:lang w:eastAsia="en-NZ"/>
        </w:rPr>
        <w:t xml:space="preserve"> </w:t>
      </w:r>
      <w:r w:rsidRPr="00993640">
        <w:rPr>
          <w:rFonts w:ascii="Calibri" w:hAnsi="Calibri" w:cs="Calibri"/>
          <w:lang w:eastAsia="en-NZ"/>
        </w:rPr>
        <w:t>learning</w:t>
      </w:r>
      <w:r w:rsidR="003D640C">
        <w:rPr>
          <w:rFonts w:ascii="Calibri" w:hAnsi="Calibri" w:cs="Calibri"/>
          <w:lang w:eastAsia="en-NZ"/>
        </w:rPr>
        <w:t xml:space="preserve"> </w:t>
      </w:r>
      <w:r w:rsidRPr="00993640">
        <w:rPr>
          <w:rFonts w:ascii="Calibri" w:hAnsi="Calibri" w:cs="Calibri"/>
          <w:lang w:eastAsia="en-NZ"/>
        </w:rPr>
        <w:t>and</w:t>
      </w:r>
      <w:r w:rsidR="003D640C">
        <w:rPr>
          <w:rFonts w:ascii="Calibri" w:hAnsi="Calibri" w:cs="Calibri"/>
          <w:lang w:eastAsia="en-NZ"/>
        </w:rPr>
        <w:t xml:space="preserve"> </w:t>
      </w:r>
      <w:r w:rsidRPr="00993640">
        <w:rPr>
          <w:rFonts w:ascii="Calibri" w:hAnsi="Calibri" w:cs="Calibri"/>
          <w:lang w:eastAsia="en-NZ"/>
        </w:rPr>
        <w:t>reflection</w:t>
      </w:r>
      <w:r w:rsidR="003D640C">
        <w:rPr>
          <w:rFonts w:ascii="Calibri" w:hAnsi="Calibri" w:cs="Calibri"/>
          <w:lang w:eastAsia="en-NZ"/>
        </w:rPr>
        <w:t xml:space="preserve"> </w:t>
      </w:r>
      <w:r w:rsidRPr="00993640">
        <w:rPr>
          <w:rFonts w:ascii="Calibri" w:hAnsi="Calibri" w:cs="Calibri"/>
          <w:lang w:eastAsia="en-NZ"/>
        </w:rPr>
        <w:t>that</w:t>
      </w:r>
      <w:r w:rsidR="003D640C">
        <w:rPr>
          <w:rFonts w:ascii="Calibri" w:hAnsi="Calibri" w:cs="Calibri"/>
          <w:lang w:eastAsia="en-NZ"/>
        </w:rPr>
        <w:t xml:space="preserve"> </w:t>
      </w:r>
      <w:r>
        <w:rPr>
          <w:rFonts w:ascii="Calibri" w:hAnsi="Calibri" w:cs="Calibri"/>
          <w:lang w:eastAsia="en-NZ"/>
        </w:rPr>
        <w:t>we</w:t>
      </w:r>
      <w:r w:rsidR="003D640C">
        <w:rPr>
          <w:rFonts w:ascii="Calibri" w:hAnsi="Calibri" w:cs="Calibri"/>
          <w:lang w:eastAsia="en-NZ"/>
        </w:rPr>
        <w:t xml:space="preserve"> </w:t>
      </w:r>
      <w:r>
        <w:rPr>
          <w:rFonts w:ascii="Calibri" w:hAnsi="Calibri" w:cs="Calibri"/>
          <w:lang w:eastAsia="en-NZ"/>
        </w:rPr>
        <w:t>gathered</w:t>
      </w:r>
      <w:r w:rsidR="003D640C">
        <w:rPr>
          <w:rFonts w:ascii="Calibri" w:hAnsi="Calibri" w:cs="Calibri"/>
          <w:lang w:eastAsia="en-NZ"/>
        </w:rPr>
        <w:t xml:space="preserve"> </w:t>
      </w:r>
      <w:r>
        <w:rPr>
          <w:rFonts w:ascii="Calibri" w:hAnsi="Calibri" w:cs="Calibri"/>
          <w:lang w:eastAsia="en-NZ"/>
        </w:rPr>
        <w:t>from</w:t>
      </w:r>
      <w:r w:rsidR="003D640C">
        <w:rPr>
          <w:rFonts w:ascii="Calibri" w:hAnsi="Calibri" w:cs="Calibri"/>
          <w:lang w:eastAsia="en-NZ"/>
        </w:rPr>
        <w:t xml:space="preserve"> </w:t>
      </w:r>
      <w:r>
        <w:rPr>
          <w:rFonts w:ascii="Calibri" w:hAnsi="Calibri" w:cs="Calibri"/>
          <w:lang w:eastAsia="en-NZ"/>
        </w:rPr>
        <w:t>our</w:t>
      </w:r>
      <w:r w:rsidR="003D640C">
        <w:rPr>
          <w:rFonts w:ascii="Calibri" w:hAnsi="Calibri" w:cs="Calibri"/>
          <w:lang w:eastAsia="en-NZ"/>
        </w:rPr>
        <w:t xml:space="preserve"> </w:t>
      </w:r>
      <w:r>
        <w:rPr>
          <w:rFonts w:ascii="Calibri" w:hAnsi="Calibri" w:cs="Calibri"/>
          <w:lang w:eastAsia="en-NZ"/>
        </w:rPr>
        <w:t>role</w:t>
      </w:r>
      <w:r w:rsidR="003D640C">
        <w:rPr>
          <w:rFonts w:ascii="Calibri" w:hAnsi="Calibri" w:cs="Calibri"/>
          <w:lang w:eastAsia="en-NZ"/>
        </w:rPr>
        <w:t xml:space="preserve"> </w:t>
      </w:r>
      <w:r>
        <w:rPr>
          <w:rFonts w:ascii="Calibri" w:hAnsi="Calibri" w:cs="Calibri"/>
          <w:lang w:eastAsia="en-NZ"/>
        </w:rPr>
        <w:t>in</w:t>
      </w:r>
      <w:r w:rsidR="003D640C">
        <w:rPr>
          <w:rFonts w:ascii="Calibri" w:hAnsi="Calibri" w:cs="Calibri"/>
          <w:lang w:eastAsia="en-NZ"/>
        </w:rPr>
        <w:t xml:space="preserve"> </w:t>
      </w:r>
      <w:r>
        <w:rPr>
          <w:rFonts w:ascii="Calibri" w:hAnsi="Calibri" w:cs="Calibri"/>
          <w:lang w:eastAsia="en-NZ"/>
        </w:rPr>
        <w:t>implementing</w:t>
      </w:r>
      <w:r w:rsidR="003D640C">
        <w:rPr>
          <w:rFonts w:ascii="Calibri" w:hAnsi="Calibri" w:cs="Calibri"/>
          <w:lang w:eastAsia="en-NZ"/>
        </w:rPr>
        <w:t xml:space="preserve"> </w:t>
      </w:r>
      <w:r>
        <w:rPr>
          <w:rFonts w:ascii="Calibri" w:hAnsi="Calibri" w:cs="Calibri"/>
          <w:lang w:eastAsia="en-NZ"/>
        </w:rPr>
        <w:t>the</w:t>
      </w:r>
      <w:r w:rsidR="003D640C">
        <w:rPr>
          <w:rFonts w:ascii="Calibri" w:hAnsi="Calibri" w:cs="Calibri"/>
          <w:lang w:eastAsia="en-NZ"/>
        </w:rPr>
        <w:t xml:space="preserve"> </w:t>
      </w:r>
      <w:r w:rsidR="00A716EB">
        <w:rPr>
          <w:rFonts w:ascii="Calibri" w:hAnsi="Calibri" w:cs="Calibri"/>
          <w:lang w:eastAsia="en-NZ"/>
        </w:rPr>
        <w:t>civil</w:t>
      </w:r>
      <w:r w:rsidR="003D640C">
        <w:rPr>
          <w:rFonts w:ascii="Calibri" w:hAnsi="Calibri" w:cs="Calibri"/>
          <w:lang w:eastAsia="en-NZ"/>
        </w:rPr>
        <w:t xml:space="preserve"> </w:t>
      </w:r>
      <w:r w:rsidR="00A716EB">
        <w:rPr>
          <w:rFonts w:ascii="Calibri" w:hAnsi="Calibri" w:cs="Calibri"/>
          <w:lang w:eastAsia="en-NZ"/>
        </w:rPr>
        <w:t>response</w:t>
      </w:r>
      <w:r w:rsidR="003D640C">
        <w:rPr>
          <w:rFonts w:ascii="Calibri" w:hAnsi="Calibri" w:cs="Calibri"/>
          <w:lang w:eastAsia="en-NZ"/>
        </w:rPr>
        <w:t xml:space="preserve"> </w:t>
      </w:r>
      <w:r w:rsidR="00A716EB">
        <w:rPr>
          <w:rFonts w:ascii="Calibri" w:hAnsi="Calibri" w:cs="Calibri"/>
          <w:lang w:eastAsia="en-NZ"/>
        </w:rPr>
        <w:t>of</w:t>
      </w:r>
      <w:r w:rsidR="003D640C">
        <w:rPr>
          <w:rFonts w:ascii="Calibri" w:hAnsi="Calibri" w:cs="Calibri"/>
          <w:lang w:eastAsia="en-NZ"/>
        </w:rPr>
        <w:t xml:space="preserve"> </w:t>
      </w:r>
      <w:r w:rsidR="00A716EB">
        <w:rPr>
          <w:rFonts w:ascii="Calibri" w:hAnsi="Calibri" w:cs="Calibri"/>
          <w:lang w:eastAsia="en-NZ"/>
        </w:rPr>
        <w:t>the</w:t>
      </w:r>
      <w:r w:rsidR="003D640C">
        <w:rPr>
          <w:rFonts w:ascii="Calibri" w:hAnsi="Calibri" w:cs="Calibri"/>
          <w:lang w:eastAsia="en-NZ"/>
        </w:rPr>
        <w:t xml:space="preserve"> </w:t>
      </w:r>
      <w:r>
        <w:rPr>
          <w:rFonts w:ascii="Calibri" w:hAnsi="Calibri" w:cs="Calibri"/>
          <w:lang w:eastAsia="en-NZ"/>
        </w:rPr>
        <w:t>CPPLA</w:t>
      </w:r>
      <w:r w:rsidR="003D640C">
        <w:rPr>
          <w:rFonts w:ascii="Calibri" w:hAnsi="Calibri" w:cs="Calibri"/>
          <w:lang w:eastAsia="en-NZ"/>
        </w:rPr>
        <w:t xml:space="preserve"> </w:t>
      </w:r>
      <w:r w:rsidR="002B1FD5">
        <w:rPr>
          <w:rFonts w:ascii="Calibri" w:hAnsi="Calibri" w:cs="Calibri"/>
          <w:lang w:eastAsia="en-NZ"/>
        </w:rPr>
        <w:t>as</w:t>
      </w:r>
      <w:r w:rsidR="003D640C">
        <w:rPr>
          <w:rFonts w:ascii="Calibri" w:hAnsi="Calibri" w:cs="Calibri"/>
          <w:lang w:eastAsia="en-NZ"/>
        </w:rPr>
        <w:t xml:space="preserve"> </w:t>
      </w:r>
      <w:r w:rsidR="002B1FD5">
        <w:rPr>
          <w:rFonts w:ascii="Calibri" w:hAnsi="Calibri" w:cs="Calibri"/>
          <w:lang w:eastAsia="en-NZ"/>
        </w:rPr>
        <w:t>well</w:t>
      </w:r>
      <w:r w:rsidR="003D640C">
        <w:rPr>
          <w:rFonts w:ascii="Calibri" w:hAnsi="Calibri" w:cs="Calibri"/>
          <w:lang w:eastAsia="en-NZ"/>
        </w:rPr>
        <w:t xml:space="preserve"> </w:t>
      </w:r>
      <w:r w:rsidR="002B1FD5">
        <w:rPr>
          <w:rFonts w:ascii="Calibri" w:hAnsi="Calibri" w:cs="Calibri"/>
          <w:lang w:eastAsia="en-NZ"/>
        </w:rPr>
        <w:t>as</w:t>
      </w:r>
      <w:r w:rsidR="003D640C">
        <w:rPr>
          <w:rFonts w:ascii="Calibri" w:hAnsi="Calibri" w:cs="Calibri"/>
          <w:lang w:eastAsia="en-NZ"/>
        </w:rPr>
        <w:t xml:space="preserve"> </w:t>
      </w:r>
      <w:r w:rsidR="000E45EF">
        <w:rPr>
          <w:rFonts w:ascii="Calibri" w:hAnsi="Calibri" w:cs="Calibri"/>
          <w:lang w:eastAsia="en-NZ"/>
        </w:rPr>
        <w:t>recommending</w:t>
      </w:r>
      <w:r w:rsidR="003D640C">
        <w:rPr>
          <w:rFonts w:ascii="Calibri" w:hAnsi="Calibri" w:cs="Calibri"/>
          <w:lang w:eastAsia="en-NZ"/>
        </w:rPr>
        <w:t xml:space="preserve"> </w:t>
      </w:r>
      <w:r w:rsidR="000E45EF">
        <w:rPr>
          <w:rFonts w:ascii="Calibri" w:hAnsi="Calibri" w:cs="Calibri"/>
          <w:lang w:eastAsia="en-NZ"/>
        </w:rPr>
        <w:t>actions</w:t>
      </w:r>
      <w:r w:rsidR="003D640C">
        <w:rPr>
          <w:rFonts w:ascii="Calibri" w:hAnsi="Calibri" w:cs="Calibri"/>
          <w:lang w:eastAsia="en-NZ"/>
        </w:rPr>
        <w:t xml:space="preserve"> </w:t>
      </w:r>
      <w:r w:rsidR="000E45EF">
        <w:rPr>
          <w:rFonts w:ascii="Calibri" w:hAnsi="Calibri" w:cs="Calibri"/>
          <w:lang w:eastAsia="en-NZ"/>
        </w:rPr>
        <w:t>to</w:t>
      </w:r>
      <w:r w:rsidR="003D640C">
        <w:rPr>
          <w:rFonts w:ascii="Calibri" w:hAnsi="Calibri" w:cs="Calibri"/>
          <w:lang w:eastAsia="en-NZ"/>
        </w:rPr>
        <w:t xml:space="preserve"> </w:t>
      </w:r>
      <w:r w:rsidR="000E45EF">
        <w:rPr>
          <w:rFonts w:ascii="Calibri" w:hAnsi="Calibri" w:cs="Calibri"/>
          <w:lang w:eastAsia="en-NZ"/>
        </w:rPr>
        <w:t>be</w:t>
      </w:r>
      <w:r w:rsidR="003D640C">
        <w:rPr>
          <w:rFonts w:ascii="Calibri" w:hAnsi="Calibri" w:cs="Calibri"/>
          <w:lang w:eastAsia="en-NZ"/>
        </w:rPr>
        <w:t xml:space="preserve"> </w:t>
      </w:r>
      <w:r w:rsidR="000E45EF">
        <w:rPr>
          <w:rFonts w:ascii="Calibri" w:hAnsi="Calibri" w:cs="Calibri"/>
          <w:lang w:eastAsia="en-NZ"/>
        </w:rPr>
        <w:t>taken</w:t>
      </w:r>
      <w:r w:rsidR="003D640C">
        <w:rPr>
          <w:rFonts w:ascii="Calibri" w:hAnsi="Calibri" w:cs="Calibri"/>
          <w:lang w:eastAsia="en-NZ"/>
        </w:rPr>
        <w:t xml:space="preserve"> </w:t>
      </w:r>
      <w:r w:rsidR="000E45EF">
        <w:rPr>
          <w:rFonts w:ascii="Calibri" w:hAnsi="Calibri" w:cs="Calibri"/>
          <w:lang w:eastAsia="en-NZ"/>
        </w:rPr>
        <w:t>to</w:t>
      </w:r>
      <w:r w:rsidR="003D640C">
        <w:rPr>
          <w:rFonts w:ascii="Calibri" w:hAnsi="Calibri" w:cs="Calibri"/>
          <w:lang w:eastAsia="en-NZ"/>
        </w:rPr>
        <w:t xml:space="preserve"> </w:t>
      </w:r>
      <w:r w:rsidR="002869F6">
        <w:rPr>
          <w:rFonts w:ascii="Calibri" w:hAnsi="Calibri" w:cs="Calibri"/>
          <w:lang w:eastAsia="en-NZ"/>
        </w:rPr>
        <w:t>support</w:t>
      </w:r>
      <w:r w:rsidR="003D640C">
        <w:rPr>
          <w:rFonts w:ascii="Calibri" w:hAnsi="Calibri" w:cs="Calibri"/>
          <w:lang w:eastAsia="en-NZ"/>
        </w:rPr>
        <w:t xml:space="preserve"> </w:t>
      </w:r>
      <w:r w:rsidR="002869F6">
        <w:rPr>
          <w:rFonts w:ascii="Calibri" w:hAnsi="Calibri" w:cs="Calibri"/>
          <w:lang w:eastAsia="en-NZ"/>
        </w:rPr>
        <w:t>survivors</w:t>
      </w:r>
      <w:r w:rsidR="003D640C">
        <w:rPr>
          <w:rFonts w:ascii="Calibri" w:hAnsi="Calibri" w:cs="Calibri"/>
          <w:lang w:eastAsia="en-NZ"/>
        </w:rPr>
        <w:t xml:space="preserve"> </w:t>
      </w:r>
      <w:r w:rsidR="002869F6">
        <w:rPr>
          <w:rFonts w:ascii="Calibri" w:hAnsi="Calibri" w:cs="Calibri"/>
          <w:lang w:eastAsia="en-NZ"/>
        </w:rPr>
        <w:t>of</w:t>
      </w:r>
      <w:r w:rsidR="003D640C">
        <w:rPr>
          <w:rFonts w:ascii="Calibri" w:hAnsi="Calibri" w:cs="Calibri"/>
          <w:lang w:eastAsia="en-NZ"/>
        </w:rPr>
        <w:t xml:space="preserve"> </w:t>
      </w:r>
      <w:r w:rsidR="002869F6">
        <w:rPr>
          <w:rFonts w:ascii="Calibri" w:hAnsi="Calibri" w:cs="Calibri"/>
          <w:lang w:eastAsia="en-NZ"/>
        </w:rPr>
        <w:t>conversion</w:t>
      </w:r>
      <w:r w:rsidR="003D640C">
        <w:rPr>
          <w:rFonts w:ascii="Calibri" w:hAnsi="Calibri" w:cs="Calibri"/>
          <w:lang w:eastAsia="en-NZ"/>
        </w:rPr>
        <w:t xml:space="preserve"> </w:t>
      </w:r>
      <w:r w:rsidR="002869F6">
        <w:rPr>
          <w:rFonts w:ascii="Calibri" w:hAnsi="Calibri" w:cs="Calibri"/>
          <w:lang w:eastAsia="en-NZ"/>
        </w:rPr>
        <w:t>practice</w:t>
      </w:r>
      <w:r w:rsidR="000B704E">
        <w:rPr>
          <w:rFonts w:ascii="Calibri" w:hAnsi="Calibri" w:cs="Calibri"/>
          <w:lang w:eastAsia="en-NZ"/>
        </w:rPr>
        <w:t>s</w:t>
      </w:r>
      <w:r w:rsidR="003D640C">
        <w:rPr>
          <w:rFonts w:ascii="Calibri" w:hAnsi="Calibri" w:cs="Calibri"/>
          <w:lang w:eastAsia="en-NZ"/>
        </w:rPr>
        <w:t xml:space="preserve"> </w:t>
      </w:r>
      <w:r w:rsidR="000B704E">
        <w:rPr>
          <w:rFonts w:ascii="Calibri" w:hAnsi="Calibri" w:cs="Calibri"/>
          <w:lang w:eastAsia="en-NZ"/>
        </w:rPr>
        <w:t>and</w:t>
      </w:r>
      <w:r w:rsidR="003D640C">
        <w:rPr>
          <w:rFonts w:ascii="Calibri" w:hAnsi="Calibri" w:cs="Calibri"/>
          <w:lang w:eastAsia="en-NZ"/>
        </w:rPr>
        <w:t xml:space="preserve"> </w:t>
      </w:r>
      <w:r w:rsidR="000B704E">
        <w:rPr>
          <w:rFonts w:ascii="Calibri" w:hAnsi="Calibri" w:cs="Calibri"/>
          <w:lang w:eastAsia="en-NZ"/>
        </w:rPr>
        <w:t>to</w:t>
      </w:r>
      <w:r w:rsidR="003D640C">
        <w:rPr>
          <w:rFonts w:ascii="Calibri" w:hAnsi="Calibri" w:cs="Calibri"/>
          <w:lang w:eastAsia="en-NZ"/>
        </w:rPr>
        <w:t xml:space="preserve"> </w:t>
      </w:r>
      <w:r w:rsidR="000B704E">
        <w:rPr>
          <w:rFonts w:ascii="Calibri" w:hAnsi="Calibri" w:cs="Calibri"/>
          <w:lang w:eastAsia="en-NZ"/>
        </w:rPr>
        <w:t>prevent</w:t>
      </w:r>
      <w:r w:rsidR="003D640C">
        <w:rPr>
          <w:rFonts w:ascii="Calibri" w:hAnsi="Calibri" w:cs="Calibri"/>
          <w:lang w:eastAsia="en-NZ"/>
        </w:rPr>
        <w:t xml:space="preserve"> </w:t>
      </w:r>
      <w:r w:rsidR="000B704E">
        <w:rPr>
          <w:rFonts w:ascii="Calibri" w:hAnsi="Calibri" w:cs="Calibri"/>
          <w:lang w:eastAsia="en-NZ"/>
        </w:rPr>
        <w:t>these</w:t>
      </w:r>
      <w:r w:rsidR="003D640C">
        <w:rPr>
          <w:rFonts w:ascii="Calibri" w:hAnsi="Calibri" w:cs="Calibri"/>
          <w:lang w:eastAsia="en-NZ"/>
        </w:rPr>
        <w:t xml:space="preserve"> </w:t>
      </w:r>
      <w:r w:rsidR="000B704E">
        <w:rPr>
          <w:rFonts w:ascii="Calibri" w:hAnsi="Calibri" w:cs="Calibri"/>
          <w:lang w:eastAsia="en-NZ"/>
        </w:rPr>
        <w:t>practices</w:t>
      </w:r>
      <w:r w:rsidR="003D640C">
        <w:rPr>
          <w:rFonts w:ascii="Calibri" w:hAnsi="Calibri" w:cs="Calibri"/>
          <w:lang w:eastAsia="en-NZ"/>
        </w:rPr>
        <w:t xml:space="preserve"> </w:t>
      </w:r>
      <w:r w:rsidR="000B704E">
        <w:rPr>
          <w:rFonts w:ascii="Calibri" w:hAnsi="Calibri" w:cs="Calibri"/>
          <w:lang w:eastAsia="en-NZ"/>
        </w:rPr>
        <w:t>from</w:t>
      </w:r>
      <w:r w:rsidR="003D640C">
        <w:rPr>
          <w:rFonts w:ascii="Calibri" w:hAnsi="Calibri" w:cs="Calibri"/>
          <w:lang w:eastAsia="en-NZ"/>
        </w:rPr>
        <w:t xml:space="preserve"> </w:t>
      </w:r>
      <w:r w:rsidR="000B704E">
        <w:rPr>
          <w:rFonts w:ascii="Calibri" w:hAnsi="Calibri" w:cs="Calibri"/>
          <w:lang w:eastAsia="en-NZ"/>
        </w:rPr>
        <w:t>occurring</w:t>
      </w:r>
      <w:r>
        <w:rPr>
          <w:rFonts w:ascii="Calibri" w:hAnsi="Calibri" w:cs="Calibri"/>
          <w:lang w:eastAsia="en-NZ"/>
        </w:rPr>
        <w:t>.</w:t>
      </w:r>
      <w:r w:rsidR="003D640C">
        <w:rPr>
          <w:rFonts w:ascii="Calibri" w:hAnsi="Calibri" w:cs="Calibri"/>
          <w:lang w:eastAsia="en-NZ"/>
        </w:rPr>
        <w:t xml:space="preserve"> </w:t>
      </w:r>
      <w:r w:rsidR="006225D4">
        <w:t>L</w:t>
      </w:r>
      <w:r>
        <w:t>imited</w:t>
      </w:r>
      <w:r w:rsidR="003D640C">
        <w:t xml:space="preserve"> </w:t>
      </w:r>
      <w:r>
        <w:t>research</w:t>
      </w:r>
      <w:r w:rsidR="003D640C">
        <w:t xml:space="preserve"> </w:t>
      </w:r>
      <w:r w:rsidR="006225D4">
        <w:t>is</w:t>
      </w:r>
      <w:r w:rsidR="003D640C">
        <w:t xml:space="preserve"> </w:t>
      </w:r>
      <w:r>
        <w:t>available</w:t>
      </w:r>
      <w:r w:rsidR="003D640C">
        <w:t xml:space="preserve"> </w:t>
      </w:r>
      <w:r>
        <w:t>on</w:t>
      </w:r>
      <w:r w:rsidR="003D640C">
        <w:t xml:space="preserve"> </w:t>
      </w:r>
      <w:r w:rsidR="00E32C94">
        <w:t>the</w:t>
      </w:r>
      <w:r w:rsidR="003D640C">
        <w:t xml:space="preserve"> </w:t>
      </w:r>
      <w:r w:rsidR="00E32C94">
        <w:t>prevalence</w:t>
      </w:r>
      <w:r w:rsidR="003D640C">
        <w:t xml:space="preserve"> </w:t>
      </w:r>
      <w:r w:rsidR="00E32C94">
        <w:t>and</w:t>
      </w:r>
      <w:r w:rsidR="003D640C">
        <w:t xml:space="preserve"> </w:t>
      </w:r>
      <w:r w:rsidR="00E32C94">
        <w:t>impacts</w:t>
      </w:r>
      <w:r w:rsidR="003D640C">
        <w:t xml:space="preserve"> </w:t>
      </w:r>
      <w:r w:rsidR="00E32C94">
        <w:t>of</w:t>
      </w:r>
      <w:r w:rsidR="003D640C">
        <w:t xml:space="preserve"> </w:t>
      </w:r>
      <w:r w:rsidR="00E32C94">
        <w:t>conversion</w:t>
      </w:r>
      <w:r w:rsidR="003D640C">
        <w:t xml:space="preserve"> </w:t>
      </w:r>
      <w:r w:rsidR="00E32C94">
        <w:t>practices</w:t>
      </w:r>
      <w:r w:rsidR="003D640C">
        <w:t xml:space="preserve"> </w:t>
      </w:r>
      <w:r w:rsidR="00AE09FA">
        <w:t>in</w:t>
      </w:r>
      <w:r w:rsidR="003D640C">
        <w:t xml:space="preserve"> </w:t>
      </w:r>
      <w:r w:rsidR="00AE09FA">
        <w:t>Aotearoa</w:t>
      </w:r>
      <w:r w:rsidR="006225D4">
        <w:t>.</w:t>
      </w:r>
      <w:r w:rsidR="003D640C">
        <w:t xml:space="preserve"> </w:t>
      </w:r>
      <w:r w:rsidR="006225D4">
        <w:t>This</w:t>
      </w:r>
      <w:r w:rsidR="003D640C">
        <w:t xml:space="preserve"> </w:t>
      </w:r>
      <w:r>
        <w:t>report</w:t>
      </w:r>
      <w:r w:rsidR="003D640C">
        <w:t xml:space="preserve"> </w:t>
      </w:r>
      <w:r w:rsidRPr="00BB6220">
        <w:t>contribute</w:t>
      </w:r>
      <w:r w:rsidR="00E32C94">
        <w:t>s</w:t>
      </w:r>
      <w:r w:rsidR="003D640C">
        <w:t xml:space="preserve"> </w:t>
      </w:r>
      <w:r w:rsidRPr="00BB6220">
        <w:t>to</w:t>
      </w:r>
      <w:r w:rsidR="003D640C">
        <w:t xml:space="preserve"> </w:t>
      </w:r>
      <w:r w:rsidRPr="00BB6220">
        <w:t>the</w:t>
      </w:r>
      <w:r w:rsidR="003D640C">
        <w:t xml:space="preserve"> </w:t>
      </w:r>
      <w:r w:rsidRPr="00BB6220">
        <w:t>evidence</w:t>
      </w:r>
      <w:r w:rsidR="003D640C">
        <w:t xml:space="preserve"> </w:t>
      </w:r>
      <w:r w:rsidRPr="00BB6220">
        <w:t>base</w:t>
      </w:r>
      <w:r w:rsidR="003D640C">
        <w:t xml:space="preserve"> </w:t>
      </w:r>
      <w:r w:rsidR="003F179A">
        <w:t>and</w:t>
      </w:r>
      <w:r w:rsidR="003D640C">
        <w:t xml:space="preserve"> </w:t>
      </w:r>
      <w:r w:rsidRPr="00BB6220">
        <w:t>provide</w:t>
      </w:r>
      <w:r w:rsidR="00E32C94">
        <w:t>s</w:t>
      </w:r>
      <w:r w:rsidR="003D640C">
        <w:t xml:space="preserve"> </w:t>
      </w:r>
      <w:r w:rsidRPr="00BB6220">
        <w:t>a</w:t>
      </w:r>
      <w:r w:rsidR="003D640C">
        <w:t xml:space="preserve"> </w:t>
      </w:r>
      <w:r w:rsidRPr="00BB6220">
        <w:t>robust</w:t>
      </w:r>
      <w:r w:rsidR="003D640C">
        <w:t xml:space="preserve"> </w:t>
      </w:r>
      <w:r w:rsidRPr="00BB6220">
        <w:t>human</w:t>
      </w:r>
      <w:r w:rsidR="003D640C">
        <w:t xml:space="preserve"> </w:t>
      </w:r>
      <w:r w:rsidRPr="00BB6220">
        <w:t>rights</w:t>
      </w:r>
      <w:r w:rsidR="003D640C">
        <w:t xml:space="preserve"> </w:t>
      </w:r>
      <w:r w:rsidRPr="00BB6220">
        <w:t>perspective</w:t>
      </w:r>
      <w:r w:rsidR="003D640C">
        <w:t xml:space="preserve"> </w:t>
      </w:r>
      <w:r>
        <w:t>rooted</w:t>
      </w:r>
      <w:r w:rsidR="003D640C">
        <w:t xml:space="preserve"> </w:t>
      </w:r>
      <w:r>
        <w:t>in</w:t>
      </w:r>
      <w:r w:rsidR="003D640C">
        <w:t xml:space="preserve"> </w:t>
      </w:r>
      <w:r w:rsidR="00AE09FA">
        <w:t>local</w:t>
      </w:r>
      <w:r w:rsidR="003D640C">
        <w:t xml:space="preserve"> </w:t>
      </w:r>
      <w:r w:rsidR="00AE09FA">
        <w:t>circumstances</w:t>
      </w:r>
      <w:r w:rsidR="003D640C">
        <w:t xml:space="preserve"> </w:t>
      </w:r>
      <w:r w:rsidR="003F58E7">
        <w:t>about</w:t>
      </w:r>
      <w:r w:rsidR="003D640C">
        <w:t xml:space="preserve"> </w:t>
      </w:r>
      <w:r w:rsidR="003F58E7">
        <w:t>what</w:t>
      </w:r>
      <w:r w:rsidR="003D640C">
        <w:t xml:space="preserve"> </w:t>
      </w:r>
      <w:r w:rsidR="003F58E7">
        <w:t>needs</w:t>
      </w:r>
      <w:r w:rsidR="003D640C">
        <w:t xml:space="preserve"> </w:t>
      </w:r>
      <w:r w:rsidR="003F58E7">
        <w:t>to</w:t>
      </w:r>
      <w:r w:rsidR="003D640C">
        <w:t xml:space="preserve"> </w:t>
      </w:r>
      <w:r w:rsidR="003F58E7">
        <w:t>change</w:t>
      </w:r>
      <w:r w:rsidR="003D640C">
        <w:t xml:space="preserve"> </w:t>
      </w:r>
      <w:r w:rsidR="003F58E7">
        <w:t>to</w:t>
      </w:r>
      <w:r w:rsidR="003D640C">
        <w:t xml:space="preserve"> </w:t>
      </w:r>
      <w:r w:rsidR="003F58E7">
        <w:t>achieve</w:t>
      </w:r>
      <w:r w:rsidR="003D640C">
        <w:t xml:space="preserve"> </w:t>
      </w:r>
      <w:r w:rsidR="003F58E7">
        <w:t>the</w:t>
      </w:r>
      <w:r w:rsidR="003D640C">
        <w:t xml:space="preserve"> </w:t>
      </w:r>
      <w:r w:rsidR="003F58E7">
        <w:t>vision</w:t>
      </w:r>
      <w:r w:rsidR="003D640C">
        <w:t xml:space="preserve"> </w:t>
      </w:r>
      <w:r w:rsidR="003F58E7">
        <w:t>described</w:t>
      </w:r>
      <w:r w:rsidR="003D640C">
        <w:t xml:space="preserve"> </w:t>
      </w:r>
      <w:r w:rsidR="003F58E7">
        <w:t>above</w:t>
      </w:r>
      <w:r w:rsidRPr="00BB6220">
        <w:t>.</w:t>
      </w:r>
      <w:r w:rsidR="003D640C">
        <w:t xml:space="preserve"> </w:t>
      </w:r>
    </w:p>
    <w:p w14:paraId="4CADB1E5" w14:textId="75834A8A" w:rsidR="00A71254" w:rsidRDefault="005C4077" w:rsidP="00E00167">
      <w:r w:rsidRPr="00BB6220">
        <w:t>Regardless</w:t>
      </w:r>
      <w:r w:rsidR="003D640C">
        <w:t xml:space="preserve"> </w:t>
      </w:r>
      <w:r w:rsidRPr="00BB6220">
        <w:t>of</w:t>
      </w:r>
      <w:r w:rsidR="003D640C">
        <w:t xml:space="preserve"> </w:t>
      </w:r>
      <w:r w:rsidRPr="00BB6220">
        <w:t>their</w:t>
      </w:r>
      <w:r w:rsidR="003D640C">
        <w:t xml:space="preserve"> </w:t>
      </w:r>
      <w:r w:rsidRPr="00BB6220">
        <w:t>form</w:t>
      </w:r>
      <w:r w:rsidR="003D640C">
        <w:t xml:space="preserve"> </w:t>
      </w:r>
      <w:r>
        <w:t>and</w:t>
      </w:r>
      <w:r w:rsidR="003D640C">
        <w:t xml:space="preserve"> </w:t>
      </w:r>
      <w:r>
        <w:t>the</w:t>
      </w:r>
      <w:r w:rsidR="003D640C">
        <w:t xml:space="preserve"> </w:t>
      </w:r>
      <w:r>
        <w:t>setting</w:t>
      </w:r>
      <w:r w:rsidRPr="00BB6220">
        <w:t>,</w:t>
      </w:r>
      <w:r w:rsidR="003D640C">
        <w:t xml:space="preserve"> </w:t>
      </w:r>
      <w:r w:rsidR="00AD7C9E">
        <w:t>research</w:t>
      </w:r>
      <w:r w:rsidR="003D640C">
        <w:t xml:space="preserve"> </w:t>
      </w:r>
      <w:r w:rsidR="00AD7C9E">
        <w:t>has</w:t>
      </w:r>
      <w:r w:rsidR="003D640C">
        <w:t xml:space="preserve"> </w:t>
      </w:r>
      <w:r w:rsidR="00AD7C9E">
        <w:t>shown</w:t>
      </w:r>
      <w:r w:rsidR="003D640C">
        <w:t xml:space="preserve"> </w:t>
      </w:r>
      <w:r w:rsidR="00AD7C9E">
        <w:t>that</w:t>
      </w:r>
      <w:r w:rsidR="003D640C">
        <w:t xml:space="preserve"> </w:t>
      </w:r>
      <w:r>
        <w:t>conversion</w:t>
      </w:r>
      <w:r w:rsidR="003D640C">
        <w:t xml:space="preserve"> </w:t>
      </w:r>
      <w:r>
        <w:t>practices</w:t>
      </w:r>
      <w:r w:rsidR="003D640C">
        <w:t xml:space="preserve"> </w:t>
      </w:r>
      <w:r w:rsidR="00AD7C9E">
        <w:t>do</w:t>
      </w:r>
      <w:r w:rsidR="003D640C">
        <w:t xml:space="preserve"> </w:t>
      </w:r>
      <w:r w:rsidR="00AD7C9E">
        <w:t>not</w:t>
      </w:r>
      <w:r w:rsidR="003D640C">
        <w:t xml:space="preserve"> </w:t>
      </w:r>
      <w:r w:rsidR="00AD7C9E">
        <w:t>work</w:t>
      </w:r>
      <w:r w:rsidR="003D640C">
        <w:t xml:space="preserve"> </w:t>
      </w:r>
      <w:r w:rsidR="00AD7C9E">
        <w:t>and</w:t>
      </w:r>
      <w:r w:rsidR="003D640C">
        <w:t xml:space="preserve"> </w:t>
      </w:r>
      <w:r>
        <w:t>can</w:t>
      </w:r>
      <w:r w:rsidR="003D640C">
        <w:t xml:space="preserve"> </w:t>
      </w:r>
      <w:r w:rsidRPr="00BB6220">
        <w:t>cause</w:t>
      </w:r>
      <w:r w:rsidR="003D640C">
        <w:t xml:space="preserve"> </w:t>
      </w:r>
      <w:r w:rsidRPr="00BB6220">
        <w:t>serious</w:t>
      </w:r>
      <w:r w:rsidR="003D640C">
        <w:t xml:space="preserve"> </w:t>
      </w:r>
      <w:r w:rsidRPr="00BB6220">
        <w:t>harm</w:t>
      </w:r>
      <w:r>
        <w:t>.</w:t>
      </w:r>
      <w:r w:rsidR="003D640C">
        <w:t xml:space="preserve"> </w:t>
      </w:r>
      <w:r w:rsidR="00DF0234">
        <w:t>E</w:t>
      </w:r>
      <w:r>
        <w:t>xperiencing</w:t>
      </w:r>
      <w:r w:rsidR="003D640C">
        <w:t xml:space="preserve"> </w:t>
      </w:r>
      <w:r>
        <w:t>conversion</w:t>
      </w:r>
      <w:r w:rsidR="003D640C">
        <w:t xml:space="preserve"> </w:t>
      </w:r>
      <w:r>
        <w:t>practices</w:t>
      </w:r>
      <w:r w:rsidR="003D640C">
        <w:t xml:space="preserve"> </w:t>
      </w:r>
      <w:r>
        <w:t>increases</w:t>
      </w:r>
      <w:r w:rsidR="003D640C">
        <w:t xml:space="preserve"> </w:t>
      </w:r>
      <w:r w:rsidR="002E2A7C">
        <w:t>the</w:t>
      </w:r>
      <w:r w:rsidR="003D640C">
        <w:t xml:space="preserve"> </w:t>
      </w:r>
      <w:r w:rsidR="002E2A7C">
        <w:t>risk</w:t>
      </w:r>
      <w:r w:rsidR="003D640C">
        <w:t xml:space="preserve"> </w:t>
      </w:r>
      <w:r w:rsidR="002E2A7C">
        <w:t>of</w:t>
      </w:r>
      <w:r w:rsidR="003D640C">
        <w:t xml:space="preserve"> </w:t>
      </w:r>
      <w:r>
        <w:t>suicidal</w:t>
      </w:r>
      <w:r w:rsidR="003D640C">
        <w:t xml:space="preserve"> </w:t>
      </w:r>
      <w:r>
        <w:t>ideation</w:t>
      </w:r>
      <w:r w:rsidR="003D640C">
        <w:t xml:space="preserve"> </w:t>
      </w:r>
      <w:r>
        <w:t>and</w:t>
      </w:r>
      <w:r w:rsidR="003D640C">
        <w:t xml:space="preserve"> </w:t>
      </w:r>
      <w:r>
        <w:t>negatively</w:t>
      </w:r>
      <w:r w:rsidR="003D640C">
        <w:t xml:space="preserve"> </w:t>
      </w:r>
      <w:r>
        <w:t>impacts</w:t>
      </w:r>
      <w:r w:rsidR="003D640C">
        <w:t xml:space="preserve"> </w:t>
      </w:r>
      <w:r>
        <w:t>physical,</w:t>
      </w:r>
      <w:r w:rsidR="003D640C">
        <w:t xml:space="preserve"> </w:t>
      </w:r>
      <w:r>
        <w:t>mental,</w:t>
      </w:r>
      <w:r w:rsidR="003D640C">
        <w:t xml:space="preserve"> </w:t>
      </w:r>
      <w:r>
        <w:t>emotional,</w:t>
      </w:r>
      <w:r w:rsidR="003D640C">
        <w:t xml:space="preserve"> </w:t>
      </w:r>
      <w:r>
        <w:t>and</w:t>
      </w:r>
      <w:r w:rsidR="003D640C">
        <w:t xml:space="preserve"> </w:t>
      </w:r>
      <w:r>
        <w:t>spiritual</w:t>
      </w:r>
      <w:r w:rsidR="003D640C">
        <w:t xml:space="preserve"> </w:t>
      </w:r>
      <w:r>
        <w:t>health.</w:t>
      </w:r>
      <w:r w:rsidR="003D640C">
        <w:t xml:space="preserve"> </w:t>
      </w:r>
      <w:r>
        <w:t>In</w:t>
      </w:r>
      <w:r w:rsidR="003D640C">
        <w:t xml:space="preserve"> </w:t>
      </w:r>
      <w:r>
        <w:t>addition,</w:t>
      </w:r>
      <w:r w:rsidR="003D640C">
        <w:t xml:space="preserve"> </w:t>
      </w:r>
      <w:r>
        <w:t>such</w:t>
      </w:r>
      <w:r w:rsidR="003D640C">
        <w:t xml:space="preserve"> </w:t>
      </w:r>
      <w:r>
        <w:t>practices</w:t>
      </w:r>
      <w:r w:rsidR="003D640C">
        <w:t xml:space="preserve"> </w:t>
      </w:r>
      <w:r>
        <w:t>can</w:t>
      </w:r>
      <w:r w:rsidR="003D640C">
        <w:t xml:space="preserve"> </w:t>
      </w:r>
      <w:r>
        <w:t>isolate</w:t>
      </w:r>
      <w:r w:rsidR="003D640C">
        <w:t xml:space="preserve"> </w:t>
      </w:r>
      <w:r>
        <w:t>a</w:t>
      </w:r>
      <w:r w:rsidR="003D640C">
        <w:t xml:space="preserve"> </w:t>
      </w:r>
      <w:r>
        <w:t>person</w:t>
      </w:r>
      <w:r w:rsidR="003D640C">
        <w:t xml:space="preserve"> </w:t>
      </w:r>
      <w:r>
        <w:t>from</w:t>
      </w:r>
      <w:r w:rsidR="003D640C">
        <w:t xml:space="preserve"> </w:t>
      </w:r>
      <w:r>
        <w:t>their</w:t>
      </w:r>
      <w:r w:rsidR="003D640C">
        <w:t xml:space="preserve"> </w:t>
      </w:r>
      <w:r>
        <w:t>family,</w:t>
      </w:r>
      <w:r w:rsidR="003D640C">
        <w:t xml:space="preserve"> </w:t>
      </w:r>
      <w:r>
        <w:t>whānau</w:t>
      </w:r>
      <w:r w:rsidR="00F1045C">
        <w:t>,</w:t>
      </w:r>
      <w:r w:rsidR="003D640C">
        <w:t xml:space="preserve"> </w:t>
      </w:r>
      <w:r>
        <w:t>and/or</w:t>
      </w:r>
      <w:r w:rsidR="003D640C">
        <w:t xml:space="preserve"> </w:t>
      </w:r>
      <w:r>
        <w:t>community.</w:t>
      </w:r>
      <w:r w:rsidR="003D640C">
        <w:t xml:space="preserve"> </w:t>
      </w:r>
    </w:p>
    <w:p w14:paraId="14F08CD7" w14:textId="214062DB" w:rsidR="00784407" w:rsidRDefault="00784407" w:rsidP="00E00167">
      <w:r>
        <w:t>Ending</w:t>
      </w:r>
      <w:r w:rsidR="003D640C">
        <w:t xml:space="preserve"> </w:t>
      </w:r>
      <w:r>
        <w:t>conversion</w:t>
      </w:r>
      <w:r w:rsidR="003D640C">
        <w:t xml:space="preserve"> </w:t>
      </w:r>
      <w:r>
        <w:t>practices</w:t>
      </w:r>
      <w:r w:rsidR="003D640C">
        <w:t xml:space="preserve"> </w:t>
      </w:r>
      <w:r w:rsidR="004003A8">
        <w:t>contributes</w:t>
      </w:r>
      <w:r w:rsidR="003D640C">
        <w:t xml:space="preserve"> </w:t>
      </w:r>
      <w:r w:rsidR="004003A8">
        <w:t>to</w:t>
      </w:r>
      <w:r w:rsidR="003D640C">
        <w:t xml:space="preserve"> </w:t>
      </w:r>
      <w:r>
        <w:t>upholding</w:t>
      </w:r>
      <w:r w:rsidR="003D640C">
        <w:t xml:space="preserve"> </w:t>
      </w:r>
      <w:r w:rsidR="00F1045C">
        <w:t>t</w:t>
      </w:r>
      <w:r>
        <w:t>e</w:t>
      </w:r>
      <w:r w:rsidR="003D640C">
        <w:t xml:space="preserve"> </w:t>
      </w:r>
      <w:r>
        <w:t>Tiriti</w:t>
      </w:r>
      <w:r w:rsidR="003D640C">
        <w:t xml:space="preserve"> </w:t>
      </w:r>
      <w:r>
        <w:t>o</w:t>
      </w:r>
      <w:r w:rsidR="003D640C">
        <w:t xml:space="preserve"> </w:t>
      </w:r>
      <w:r>
        <w:t>Waitangi.</w:t>
      </w:r>
      <w:r w:rsidR="003D640C">
        <w:t xml:space="preserve"> </w:t>
      </w:r>
      <w:r>
        <w:t>Te</w:t>
      </w:r>
      <w:r w:rsidR="003D640C">
        <w:t xml:space="preserve"> </w:t>
      </w:r>
      <w:r>
        <w:t>Tiriti</w:t>
      </w:r>
      <w:r w:rsidR="003D640C">
        <w:t xml:space="preserve"> </w:t>
      </w:r>
      <w:r>
        <w:t>reaffirms</w:t>
      </w:r>
      <w:r w:rsidR="003D640C">
        <w:t xml:space="preserve"> </w:t>
      </w:r>
      <w:r>
        <w:t>pre-existing</w:t>
      </w:r>
      <w:r w:rsidR="003D640C">
        <w:t xml:space="preserve"> </w:t>
      </w:r>
      <w:r>
        <w:t>rights</w:t>
      </w:r>
      <w:r w:rsidR="003D640C">
        <w:t xml:space="preserve"> </w:t>
      </w:r>
      <w:r>
        <w:t>to</w:t>
      </w:r>
      <w:r w:rsidR="003D640C">
        <w:t xml:space="preserve"> </w:t>
      </w:r>
      <w:r>
        <w:t>tino</w:t>
      </w:r>
      <w:r w:rsidR="003D640C">
        <w:t xml:space="preserve"> </w:t>
      </w:r>
      <w:r>
        <w:t>rangatiratanga,</w:t>
      </w:r>
      <w:r w:rsidR="003D640C">
        <w:t xml:space="preserve"> </w:t>
      </w:r>
      <w:r w:rsidR="005909EF">
        <w:t>including</w:t>
      </w:r>
      <w:r w:rsidR="003D640C">
        <w:t xml:space="preserve"> </w:t>
      </w:r>
      <w:r w:rsidR="005909EF">
        <w:t>over</w:t>
      </w:r>
      <w:r w:rsidR="003D640C">
        <w:t xml:space="preserve"> </w:t>
      </w:r>
      <w:r w:rsidR="005909EF">
        <w:t>taonga.</w:t>
      </w:r>
      <w:r w:rsidR="003D640C">
        <w:t xml:space="preserve"> </w:t>
      </w:r>
      <w:r>
        <w:t>Takatāpui,</w:t>
      </w:r>
      <w:r w:rsidR="003D640C">
        <w:t xml:space="preserve"> </w:t>
      </w:r>
      <w:r w:rsidR="004F5650">
        <w:t xml:space="preserve">Māori </w:t>
      </w:r>
      <w:r>
        <w:t>Rainbow</w:t>
      </w:r>
      <w:r w:rsidR="003D640C">
        <w:t xml:space="preserve"> </w:t>
      </w:r>
      <w:r>
        <w:t>identities,</w:t>
      </w:r>
      <w:r w:rsidR="003D640C">
        <w:t xml:space="preserve"> </w:t>
      </w:r>
      <w:r>
        <w:t>and</w:t>
      </w:r>
      <w:r w:rsidR="003D640C">
        <w:t xml:space="preserve"> </w:t>
      </w:r>
      <w:r>
        <w:t>traditional</w:t>
      </w:r>
      <w:r w:rsidR="003D640C">
        <w:t xml:space="preserve"> </w:t>
      </w:r>
      <w:r w:rsidR="00D74B78">
        <w:t>Māori</w:t>
      </w:r>
      <w:r w:rsidR="003D640C">
        <w:t xml:space="preserve"> </w:t>
      </w:r>
      <w:r w:rsidR="002334D9">
        <w:t>cultural</w:t>
      </w:r>
      <w:r w:rsidR="003D640C">
        <w:t xml:space="preserve"> </w:t>
      </w:r>
      <w:r>
        <w:t>values</w:t>
      </w:r>
      <w:r w:rsidR="003D640C">
        <w:t xml:space="preserve"> </w:t>
      </w:r>
      <w:r>
        <w:t>around</w:t>
      </w:r>
      <w:r w:rsidR="003D640C">
        <w:t xml:space="preserve"> </w:t>
      </w:r>
      <w:r>
        <w:t>sexual</w:t>
      </w:r>
      <w:r w:rsidR="003D640C">
        <w:t xml:space="preserve"> </w:t>
      </w:r>
      <w:r>
        <w:t>orientation</w:t>
      </w:r>
      <w:r w:rsidR="003D640C">
        <w:t xml:space="preserve"> </w:t>
      </w:r>
      <w:r>
        <w:t>and</w:t>
      </w:r>
      <w:r w:rsidR="003D640C">
        <w:t xml:space="preserve"> </w:t>
      </w:r>
      <w:r>
        <w:t>gender</w:t>
      </w:r>
      <w:r w:rsidR="003D640C">
        <w:t xml:space="preserve"> </w:t>
      </w:r>
      <w:r>
        <w:t>are</w:t>
      </w:r>
      <w:r w:rsidR="003D640C">
        <w:t xml:space="preserve"> </w:t>
      </w:r>
      <w:r>
        <w:t>taonga</w:t>
      </w:r>
      <w:r w:rsidR="003D640C">
        <w:t xml:space="preserve"> </w:t>
      </w:r>
      <w:r>
        <w:t>to</w:t>
      </w:r>
      <w:r w:rsidR="003D640C">
        <w:t xml:space="preserve"> </w:t>
      </w:r>
      <w:r>
        <w:t>be</w:t>
      </w:r>
      <w:r w:rsidR="003D640C">
        <w:t xml:space="preserve"> </w:t>
      </w:r>
      <w:r>
        <w:t>care</w:t>
      </w:r>
      <w:r w:rsidR="005A7986">
        <w:t>d</w:t>
      </w:r>
      <w:r w:rsidR="003D640C">
        <w:t xml:space="preserve"> </w:t>
      </w:r>
      <w:r>
        <w:t>for</w:t>
      </w:r>
      <w:r w:rsidR="003D640C">
        <w:t xml:space="preserve"> </w:t>
      </w:r>
      <w:r>
        <w:t>and</w:t>
      </w:r>
      <w:r w:rsidR="003D640C">
        <w:t xml:space="preserve"> </w:t>
      </w:r>
      <w:r>
        <w:t>protected</w:t>
      </w:r>
      <w:r w:rsidR="003D640C">
        <w:t xml:space="preserve"> </w:t>
      </w:r>
      <w:r>
        <w:t>from</w:t>
      </w:r>
      <w:r w:rsidR="003D640C">
        <w:t xml:space="preserve"> </w:t>
      </w:r>
      <w:r>
        <w:t>the</w:t>
      </w:r>
      <w:r w:rsidR="003D640C">
        <w:t xml:space="preserve"> </w:t>
      </w:r>
      <w:r>
        <w:t>harms</w:t>
      </w:r>
      <w:r w:rsidR="003D640C">
        <w:t xml:space="preserve"> </w:t>
      </w:r>
      <w:r>
        <w:t>of</w:t>
      </w:r>
      <w:r w:rsidR="003D640C">
        <w:t xml:space="preserve"> </w:t>
      </w:r>
      <w:r>
        <w:t>conversion</w:t>
      </w:r>
      <w:r w:rsidR="003D640C">
        <w:t xml:space="preserve"> </w:t>
      </w:r>
      <w:r>
        <w:t>practices.</w:t>
      </w:r>
      <w:r w:rsidR="003D640C">
        <w:t xml:space="preserve"> </w:t>
      </w:r>
      <w:r>
        <w:t>Te</w:t>
      </w:r>
      <w:r w:rsidR="003D640C">
        <w:t xml:space="preserve"> </w:t>
      </w:r>
      <w:r>
        <w:t>Tiriti</w:t>
      </w:r>
      <w:r w:rsidR="003D640C">
        <w:t xml:space="preserve"> </w:t>
      </w:r>
      <w:r>
        <w:t>also</w:t>
      </w:r>
      <w:r w:rsidR="003D640C">
        <w:t xml:space="preserve"> </w:t>
      </w:r>
      <w:r w:rsidRPr="005359F9">
        <w:t>protects</w:t>
      </w:r>
      <w:r w:rsidR="003D640C">
        <w:t xml:space="preserve"> </w:t>
      </w:r>
      <w:r w:rsidRPr="005359F9">
        <w:t>the</w:t>
      </w:r>
      <w:r w:rsidR="003D640C">
        <w:t xml:space="preserve"> </w:t>
      </w:r>
      <w:r w:rsidRPr="005359F9">
        <w:t>right</w:t>
      </w:r>
      <w:r w:rsidR="003D640C">
        <w:t xml:space="preserve"> </w:t>
      </w:r>
      <w:r w:rsidRPr="005359F9">
        <w:t>to</w:t>
      </w:r>
      <w:r w:rsidR="003D640C">
        <w:t xml:space="preserve"> </w:t>
      </w:r>
      <w:r w:rsidRPr="005359F9">
        <w:t>be</w:t>
      </w:r>
      <w:r w:rsidR="003D640C">
        <w:t xml:space="preserve"> </w:t>
      </w:r>
      <w:r w:rsidRPr="005359F9">
        <w:t>free</w:t>
      </w:r>
      <w:r w:rsidR="003D640C">
        <w:t xml:space="preserve"> </w:t>
      </w:r>
      <w:r w:rsidRPr="005359F9">
        <w:t>from</w:t>
      </w:r>
      <w:r w:rsidR="003D640C">
        <w:t xml:space="preserve"> </w:t>
      </w:r>
      <w:r w:rsidRPr="005359F9">
        <w:t>discrimination</w:t>
      </w:r>
      <w:r w:rsidR="003D640C">
        <w:t xml:space="preserve"> </w:t>
      </w:r>
      <w:r>
        <w:t>for</w:t>
      </w:r>
      <w:r w:rsidR="003D640C">
        <w:t xml:space="preserve"> </w:t>
      </w:r>
      <w:r>
        <w:t>Māori</w:t>
      </w:r>
      <w:r w:rsidRPr="005359F9">
        <w:t>,</w:t>
      </w:r>
      <w:r w:rsidR="003D640C">
        <w:t xml:space="preserve"> </w:t>
      </w:r>
      <w:r w:rsidRPr="005359F9">
        <w:t>including</w:t>
      </w:r>
      <w:r w:rsidR="003D640C">
        <w:t xml:space="preserve"> </w:t>
      </w:r>
      <w:r w:rsidRPr="005359F9">
        <w:t>discrimination</w:t>
      </w:r>
      <w:r w:rsidR="003D640C">
        <w:t xml:space="preserve"> </w:t>
      </w:r>
      <w:r w:rsidRPr="005359F9">
        <w:t>on</w:t>
      </w:r>
      <w:r w:rsidR="003D640C">
        <w:t xml:space="preserve"> </w:t>
      </w:r>
      <w:r w:rsidRPr="005359F9">
        <w:t>the</w:t>
      </w:r>
      <w:r w:rsidR="003D640C">
        <w:t xml:space="preserve"> </w:t>
      </w:r>
      <w:r w:rsidRPr="005359F9">
        <w:t>basis</w:t>
      </w:r>
      <w:r w:rsidR="003D640C">
        <w:t xml:space="preserve"> </w:t>
      </w:r>
      <w:r w:rsidRPr="005359F9">
        <w:t>of</w:t>
      </w:r>
      <w:r w:rsidR="003D640C">
        <w:t xml:space="preserve"> </w:t>
      </w:r>
      <w:r w:rsidRPr="005359F9">
        <w:t>sexual</w:t>
      </w:r>
      <w:r w:rsidR="003D640C">
        <w:t xml:space="preserve"> </w:t>
      </w:r>
      <w:r w:rsidRPr="005359F9">
        <w:t>orientation</w:t>
      </w:r>
      <w:r w:rsidR="003D640C">
        <w:t xml:space="preserve"> </w:t>
      </w:r>
      <w:r w:rsidRPr="005359F9">
        <w:t>and</w:t>
      </w:r>
      <w:r w:rsidR="003D640C">
        <w:t xml:space="preserve"> </w:t>
      </w:r>
      <w:r w:rsidRPr="005359F9">
        <w:t>gender</w:t>
      </w:r>
      <w:r w:rsidR="003D640C">
        <w:t xml:space="preserve"> </w:t>
      </w:r>
      <w:r w:rsidRPr="005359F9">
        <w:t>identity</w:t>
      </w:r>
      <w:r w:rsidR="00930A57">
        <w:t>.</w:t>
      </w:r>
    </w:p>
    <w:p w14:paraId="369C191F" w14:textId="603C16C2" w:rsidR="00151826" w:rsidRDefault="00805228" w:rsidP="00E00167">
      <w:r>
        <w:t>The</w:t>
      </w:r>
      <w:r w:rsidR="003D640C">
        <w:t xml:space="preserve"> </w:t>
      </w:r>
      <w:r w:rsidR="00151826">
        <w:t>international</w:t>
      </w:r>
      <w:r w:rsidR="003D640C">
        <w:t xml:space="preserve"> </w:t>
      </w:r>
      <w:r w:rsidR="00151826">
        <w:t>and</w:t>
      </w:r>
      <w:r w:rsidR="003D640C">
        <w:t xml:space="preserve"> </w:t>
      </w:r>
      <w:r w:rsidR="00151826">
        <w:t>domestic</w:t>
      </w:r>
      <w:r w:rsidR="003D640C">
        <w:t xml:space="preserve"> </w:t>
      </w:r>
      <w:r w:rsidR="00151826">
        <w:t>human</w:t>
      </w:r>
      <w:r w:rsidR="003D640C">
        <w:t xml:space="preserve"> </w:t>
      </w:r>
      <w:r w:rsidR="00151826">
        <w:t>rights</w:t>
      </w:r>
      <w:r w:rsidR="003D640C">
        <w:t xml:space="preserve"> </w:t>
      </w:r>
      <w:r>
        <w:t>relevant</w:t>
      </w:r>
      <w:r w:rsidR="003D640C">
        <w:t xml:space="preserve"> </w:t>
      </w:r>
      <w:r>
        <w:t>to</w:t>
      </w:r>
      <w:r w:rsidR="003D640C">
        <w:t xml:space="preserve"> </w:t>
      </w:r>
      <w:r>
        <w:t>conversion</w:t>
      </w:r>
      <w:r w:rsidR="003D640C">
        <w:t xml:space="preserve"> </w:t>
      </w:r>
      <w:r>
        <w:t>practices</w:t>
      </w:r>
      <w:r w:rsidR="003D640C">
        <w:t xml:space="preserve"> </w:t>
      </w:r>
      <w:r>
        <w:t>include</w:t>
      </w:r>
      <w:r w:rsidR="00151826">
        <w:t>:</w:t>
      </w:r>
      <w:r w:rsidR="003D640C">
        <w:t xml:space="preserve"> </w:t>
      </w:r>
    </w:p>
    <w:p w14:paraId="1D7C91C8" w14:textId="7AF9FD04" w:rsidR="00151826" w:rsidRDefault="00151826" w:rsidP="00E00167">
      <w:pPr>
        <w:pStyle w:val="Bullet"/>
      </w:pPr>
      <w:r>
        <w:t>the</w:t>
      </w:r>
      <w:r w:rsidR="003D640C">
        <w:t xml:space="preserve"> </w:t>
      </w:r>
      <w:r>
        <w:t>right</w:t>
      </w:r>
      <w:r w:rsidR="003D640C">
        <w:t xml:space="preserve"> </w:t>
      </w:r>
      <w:r>
        <w:t>to</w:t>
      </w:r>
      <w:r w:rsidR="003D640C">
        <w:t xml:space="preserve"> </w:t>
      </w:r>
      <w:r>
        <w:t>freedom</w:t>
      </w:r>
      <w:r w:rsidR="003D640C">
        <w:t xml:space="preserve"> </w:t>
      </w:r>
      <w:r>
        <w:t>from</w:t>
      </w:r>
      <w:r w:rsidR="003D640C">
        <w:t xml:space="preserve"> </w:t>
      </w:r>
      <w:r>
        <w:t>discrimination</w:t>
      </w:r>
      <w:r w:rsidR="003D640C">
        <w:t xml:space="preserve"> </w:t>
      </w:r>
    </w:p>
    <w:p w14:paraId="4EF15F20" w14:textId="6B7A69F7" w:rsidR="00151826" w:rsidRDefault="00151826" w:rsidP="00E00167">
      <w:pPr>
        <w:pStyle w:val="Bullet"/>
      </w:pPr>
      <w:r>
        <w:t>the</w:t>
      </w:r>
      <w:r w:rsidR="003D640C">
        <w:t xml:space="preserve"> </w:t>
      </w:r>
      <w:r>
        <w:t>right</w:t>
      </w:r>
      <w:r w:rsidR="003D640C">
        <w:t xml:space="preserve"> </w:t>
      </w:r>
      <w:r>
        <w:t>not</w:t>
      </w:r>
      <w:r w:rsidR="003D640C">
        <w:t xml:space="preserve"> </w:t>
      </w:r>
      <w:r>
        <w:t>to</w:t>
      </w:r>
      <w:r w:rsidR="003D640C">
        <w:t xml:space="preserve"> </w:t>
      </w:r>
      <w:r>
        <w:t>be</w:t>
      </w:r>
      <w:r w:rsidR="003D640C">
        <w:t xml:space="preserve"> </w:t>
      </w:r>
      <w:r>
        <w:t>deprived</w:t>
      </w:r>
      <w:r w:rsidR="003D640C">
        <w:t xml:space="preserve"> </w:t>
      </w:r>
      <w:r>
        <w:t>of</w:t>
      </w:r>
      <w:r w:rsidR="003D640C">
        <w:t xml:space="preserve"> </w:t>
      </w:r>
      <w:r>
        <w:t>life</w:t>
      </w:r>
      <w:r w:rsidR="003D640C">
        <w:t xml:space="preserve"> </w:t>
      </w:r>
    </w:p>
    <w:p w14:paraId="1CDB34AE" w14:textId="643A1F0B" w:rsidR="00151826" w:rsidRDefault="00151826" w:rsidP="00E00167">
      <w:pPr>
        <w:pStyle w:val="Bullet"/>
      </w:pPr>
      <w:r>
        <w:t>the</w:t>
      </w:r>
      <w:r w:rsidR="003D640C">
        <w:t xml:space="preserve"> </w:t>
      </w:r>
      <w:r>
        <w:t>right</w:t>
      </w:r>
      <w:r w:rsidR="003D640C">
        <w:t xml:space="preserve"> </w:t>
      </w:r>
      <w:r>
        <w:t>to</w:t>
      </w:r>
      <w:r w:rsidR="003D640C">
        <w:t xml:space="preserve"> </w:t>
      </w:r>
      <w:r>
        <w:t>freedom</w:t>
      </w:r>
      <w:r w:rsidR="003D640C">
        <w:t xml:space="preserve"> </w:t>
      </w:r>
      <w:r>
        <w:t>of</w:t>
      </w:r>
      <w:r w:rsidR="003D640C">
        <w:t xml:space="preserve"> </w:t>
      </w:r>
      <w:r>
        <w:t>expression</w:t>
      </w:r>
      <w:r w:rsidR="003D640C">
        <w:t xml:space="preserve"> </w:t>
      </w:r>
    </w:p>
    <w:p w14:paraId="2080B9D3" w14:textId="367E34D1" w:rsidR="00151826" w:rsidRDefault="00151826" w:rsidP="00E00167">
      <w:pPr>
        <w:pStyle w:val="Bullet"/>
      </w:pPr>
      <w:r>
        <w:lastRenderedPageBreak/>
        <w:t>the</w:t>
      </w:r>
      <w:r w:rsidR="003D640C">
        <w:t xml:space="preserve"> </w:t>
      </w:r>
      <w:r>
        <w:t>right</w:t>
      </w:r>
      <w:r w:rsidR="003D640C">
        <w:t xml:space="preserve"> </w:t>
      </w:r>
      <w:r>
        <w:t>to</w:t>
      </w:r>
      <w:r w:rsidR="003D640C">
        <w:t xml:space="preserve"> </w:t>
      </w:r>
      <w:r>
        <w:t>health</w:t>
      </w:r>
      <w:r w:rsidR="003D640C">
        <w:t xml:space="preserve"> </w:t>
      </w:r>
    </w:p>
    <w:p w14:paraId="0565997D" w14:textId="2B5C2A42" w:rsidR="00151826" w:rsidRDefault="00151826" w:rsidP="00E00167">
      <w:pPr>
        <w:pStyle w:val="Bullet"/>
      </w:pPr>
      <w:r>
        <w:t>the</w:t>
      </w:r>
      <w:r w:rsidR="003D640C">
        <w:t xml:space="preserve"> </w:t>
      </w:r>
      <w:r>
        <w:t>right</w:t>
      </w:r>
      <w:r w:rsidR="003D640C">
        <w:t xml:space="preserve"> </w:t>
      </w:r>
      <w:r>
        <w:t>to</w:t>
      </w:r>
      <w:r w:rsidR="003D640C">
        <w:t xml:space="preserve"> </w:t>
      </w:r>
      <w:r>
        <w:t>be</w:t>
      </w:r>
      <w:r w:rsidR="003D640C">
        <w:t xml:space="preserve"> </w:t>
      </w:r>
      <w:r>
        <w:t>free</w:t>
      </w:r>
      <w:r w:rsidR="003D640C">
        <w:t xml:space="preserve"> </w:t>
      </w:r>
      <w:r>
        <w:t>from</w:t>
      </w:r>
      <w:r w:rsidR="003D640C">
        <w:t xml:space="preserve"> </w:t>
      </w:r>
      <w:r>
        <w:t>torture</w:t>
      </w:r>
      <w:r w:rsidR="003D640C">
        <w:t xml:space="preserve"> </w:t>
      </w:r>
      <w:r>
        <w:t>or</w:t>
      </w:r>
      <w:r w:rsidR="003D640C">
        <w:t xml:space="preserve"> </w:t>
      </w:r>
      <w:r>
        <w:t>other</w:t>
      </w:r>
      <w:r w:rsidR="003D640C">
        <w:t xml:space="preserve"> </w:t>
      </w:r>
      <w:r>
        <w:t>cruel,</w:t>
      </w:r>
      <w:r w:rsidR="003D640C">
        <w:t xml:space="preserve"> </w:t>
      </w:r>
      <w:r>
        <w:t>inhuman</w:t>
      </w:r>
      <w:r w:rsidR="00505B6D">
        <w:t>,</w:t>
      </w:r>
      <w:r w:rsidR="003D640C">
        <w:t xml:space="preserve"> </w:t>
      </w:r>
      <w:r>
        <w:t>or</w:t>
      </w:r>
      <w:r w:rsidR="003D640C">
        <w:t xml:space="preserve"> </w:t>
      </w:r>
      <w:r>
        <w:t>degrading</w:t>
      </w:r>
      <w:r w:rsidR="003D640C">
        <w:t xml:space="preserve"> </w:t>
      </w:r>
      <w:r>
        <w:t>treatment</w:t>
      </w:r>
    </w:p>
    <w:p w14:paraId="25BE0EFA" w14:textId="7E93FCB0" w:rsidR="00151826" w:rsidRDefault="00151826" w:rsidP="00E00167">
      <w:pPr>
        <w:pStyle w:val="Bullet"/>
      </w:pPr>
      <w:r>
        <w:t>the</w:t>
      </w:r>
      <w:r w:rsidR="003D640C">
        <w:t xml:space="preserve"> </w:t>
      </w:r>
      <w:r>
        <w:t>rights</w:t>
      </w:r>
      <w:r w:rsidR="003D640C">
        <w:t xml:space="preserve"> </w:t>
      </w:r>
      <w:r>
        <w:t>of</w:t>
      </w:r>
      <w:r w:rsidR="003D640C">
        <w:t xml:space="preserve"> </w:t>
      </w:r>
      <w:r>
        <w:t>Indigenous</w:t>
      </w:r>
      <w:r w:rsidR="003D640C">
        <w:t xml:space="preserve"> </w:t>
      </w:r>
      <w:r w:rsidR="00437BDC">
        <w:t>p</w:t>
      </w:r>
      <w:r>
        <w:t>eoples</w:t>
      </w:r>
      <w:r w:rsidR="003D640C">
        <w:t xml:space="preserve"> </w:t>
      </w:r>
    </w:p>
    <w:p w14:paraId="2D7CE3DA" w14:textId="6D146C34" w:rsidR="00915FFB" w:rsidRDefault="00151826" w:rsidP="00E00167">
      <w:pPr>
        <w:pStyle w:val="Bullet"/>
      </w:pPr>
      <w:r>
        <w:t>the</w:t>
      </w:r>
      <w:r w:rsidR="003D640C">
        <w:t xml:space="preserve"> </w:t>
      </w:r>
      <w:r>
        <w:t>rights</w:t>
      </w:r>
      <w:r w:rsidR="003D640C">
        <w:t xml:space="preserve"> </w:t>
      </w:r>
      <w:r>
        <w:t>of</w:t>
      </w:r>
      <w:r w:rsidR="003D640C">
        <w:t xml:space="preserve"> </w:t>
      </w:r>
      <w:r>
        <w:t>the</w:t>
      </w:r>
      <w:r w:rsidR="003D640C">
        <w:t xml:space="preserve"> </w:t>
      </w:r>
      <w:r>
        <w:t>child</w:t>
      </w:r>
    </w:p>
    <w:p w14:paraId="514C3F1E" w14:textId="227EA9AE" w:rsidR="004C15AF" w:rsidRDefault="00DD5B82" w:rsidP="00E00167">
      <w:pPr>
        <w:pStyle w:val="Bullet"/>
      </w:pPr>
      <w:r>
        <w:t>the</w:t>
      </w:r>
      <w:r w:rsidR="003D640C">
        <w:t xml:space="preserve"> </w:t>
      </w:r>
      <w:r>
        <w:t>rights</w:t>
      </w:r>
      <w:r w:rsidR="003D640C">
        <w:t xml:space="preserve"> </w:t>
      </w:r>
      <w:r>
        <w:t>of</w:t>
      </w:r>
      <w:r w:rsidR="003D640C">
        <w:t xml:space="preserve"> </w:t>
      </w:r>
      <w:r>
        <w:t>disabled</w:t>
      </w:r>
      <w:r w:rsidR="003D640C">
        <w:t xml:space="preserve"> </w:t>
      </w:r>
      <w:r>
        <w:t>people</w:t>
      </w:r>
      <w:r w:rsidR="00505B6D">
        <w:t>.</w:t>
      </w:r>
    </w:p>
    <w:p w14:paraId="463325CA" w14:textId="303DCC86" w:rsidR="00031733" w:rsidRDefault="00B45F3F" w:rsidP="00E00167">
      <w:r>
        <w:t>One</w:t>
      </w:r>
      <w:r w:rsidR="003D640C">
        <w:t xml:space="preserve"> </w:t>
      </w:r>
      <w:r>
        <w:t>of</w:t>
      </w:r>
      <w:r w:rsidR="003D640C">
        <w:t xml:space="preserve"> </w:t>
      </w:r>
      <w:r>
        <w:t>the</w:t>
      </w:r>
      <w:r w:rsidR="003D640C">
        <w:t xml:space="preserve"> </w:t>
      </w:r>
      <w:r>
        <w:t>major</w:t>
      </w:r>
      <w:r w:rsidR="003D640C">
        <w:t xml:space="preserve"> </w:t>
      </w:r>
      <w:r>
        <w:t>contributions</w:t>
      </w:r>
      <w:r w:rsidR="003D640C">
        <w:t xml:space="preserve"> </w:t>
      </w:r>
      <w:r>
        <w:t>of</w:t>
      </w:r>
      <w:r w:rsidR="003D640C">
        <w:t xml:space="preserve"> </w:t>
      </w:r>
      <w:r>
        <w:t>this</w:t>
      </w:r>
      <w:r w:rsidR="003D640C">
        <w:t xml:space="preserve"> </w:t>
      </w:r>
      <w:r>
        <w:t>report</w:t>
      </w:r>
      <w:r w:rsidR="003D640C">
        <w:t xml:space="preserve"> </w:t>
      </w:r>
      <w:r>
        <w:t>is</w:t>
      </w:r>
      <w:r w:rsidR="003D640C">
        <w:t xml:space="preserve"> </w:t>
      </w:r>
      <w:r>
        <w:t>to</w:t>
      </w:r>
      <w:r w:rsidR="003D640C">
        <w:t xml:space="preserve"> </w:t>
      </w:r>
      <w:r>
        <w:t>draw</w:t>
      </w:r>
      <w:r w:rsidR="003D640C">
        <w:t xml:space="preserve"> </w:t>
      </w:r>
      <w:r>
        <w:t>together</w:t>
      </w:r>
      <w:r w:rsidR="003D640C">
        <w:t xml:space="preserve"> </w:t>
      </w:r>
      <w:r>
        <w:t>insights</w:t>
      </w:r>
      <w:r w:rsidR="003D640C">
        <w:t xml:space="preserve"> </w:t>
      </w:r>
      <w:r>
        <w:t>relating</w:t>
      </w:r>
      <w:r w:rsidR="003D640C">
        <w:t xml:space="preserve"> </w:t>
      </w:r>
      <w:r>
        <w:t>to</w:t>
      </w:r>
      <w:r w:rsidR="003D640C">
        <w:t xml:space="preserve"> </w:t>
      </w:r>
      <w:r>
        <w:t>more</w:t>
      </w:r>
      <w:r w:rsidR="003D640C">
        <w:t xml:space="preserve"> </w:t>
      </w:r>
      <w:r>
        <w:t>marginalised</w:t>
      </w:r>
      <w:r w:rsidR="003D640C">
        <w:t xml:space="preserve"> </w:t>
      </w:r>
      <w:r>
        <w:t>communities</w:t>
      </w:r>
      <w:r w:rsidR="003D640C">
        <w:t xml:space="preserve"> </w:t>
      </w:r>
      <w:r>
        <w:t>who</w:t>
      </w:r>
      <w:r w:rsidR="003D640C">
        <w:t xml:space="preserve"> </w:t>
      </w:r>
      <w:r>
        <w:t>face</w:t>
      </w:r>
      <w:r w:rsidR="003D640C">
        <w:t xml:space="preserve"> </w:t>
      </w:r>
      <w:r>
        <w:t>conversion</w:t>
      </w:r>
      <w:r w:rsidR="003D640C">
        <w:t xml:space="preserve"> </w:t>
      </w:r>
      <w:r>
        <w:t>practices,</w:t>
      </w:r>
      <w:r w:rsidR="003D640C">
        <w:t xml:space="preserve"> </w:t>
      </w:r>
      <w:r>
        <w:t>including</w:t>
      </w:r>
      <w:r w:rsidR="003D640C">
        <w:t xml:space="preserve"> </w:t>
      </w:r>
      <w:r w:rsidR="00C2747A">
        <w:t>t</w:t>
      </w:r>
      <w:r w:rsidR="00E32C94" w:rsidRPr="00BB6220">
        <w:t>akatāpui</w:t>
      </w:r>
      <w:r w:rsidR="00E32C94">
        <w:t>,</w:t>
      </w:r>
      <w:r w:rsidR="003D640C">
        <w:t xml:space="preserve"> </w:t>
      </w:r>
      <w:r w:rsidR="00E32C94" w:rsidRPr="00BB6220">
        <w:t>MVPFAFF+</w:t>
      </w:r>
      <w:r w:rsidR="003D640C">
        <w:t xml:space="preserve"> </w:t>
      </w:r>
      <w:r w:rsidR="00E32C94">
        <w:t>Pacific</w:t>
      </w:r>
      <w:r w:rsidR="003D640C">
        <w:t xml:space="preserve"> </w:t>
      </w:r>
      <w:r w:rsidR="00E32C94">
        <w:t>peoples,</w:t>
      </w:r>
      <w:r w:rsidR="003D640C">
        <w:t xml:space="preserve"> </w:t>
      </w:r>
      <w:r w:rsidR="00586884">
        <w:t xml:space="preserve">ethnic </w:t>
      </w:r>
      <w:r w:rsidR="00AA513F">
        <w:t>Rainbow</w:t>
      </w:r>
      <w:r w:rsidR="003D640C">
        <w:t xml:space="preserve"> </w:t>
      </w:r>
      <w:r w:rsidR="00AA513F">
        <w:t>people</w:t>
      </w:r>
      <w:r w:rsidR="003D640C">
        <w:t xml:space="preserve"> </w:t>
      </w:r>
      <w:r w:rsidR="00E32C94">
        <w:t>and</w:t>
      </w:r>
      <w:r w:rsidR="003D640C">
        <w:t xml:space="preserve"> </w:t>
      </w:r>
      <w:r w:rsidR="00E32C94">
        <w:t>transgender</w:t>
      </w:r>
      <w:r w:rsidR="003D640C">
        <w:t xml:space="preserve"> </w:t>
      </w:r>
      <w:r w:rsidR="00E32C94">
        <w:t>and</w:t>
      </w:r>
      <w:r w:rsidR="003D640C">
        <w:t xml:space="preserve"> </w:t>
      </w:r>
      <w:r w:rsidR="00E32C94">
        <w:t>non-binary</w:t>
      </w:r>
      <w:r w:rsidR="003D640C">
        <w:t xml:space="preserve"> </w:t>
      </w:r>
      <w:r w:rsidR="00E32C94">
        <w:t>people.</w:t>
      </w:r>
      <w:r w:rsidR="003D640C">
        <w:t xml:space="preserve"> </w:t>
      </w:r>
      <w:r w:rsidR="000F6DBA">
        <w:t>W</w:t>
      </w:r>
      <w:r w:rsidR="00F54011">
        <w:t>e</w:t>
      </w:r>
      <w:r w:rsidR="003D640C">
        <w:t xml:space="preserve"> </w:t>
      </w:r>
      <w:r w:rsidR="00E32C94">
        <w:t>acknowledge</w:t>
      </w:r>
      <w:r w:rsidR="003D640C">
        <w:t xml:space="preserve"> </w:t>
      </w:r>
      <w:r w:rsidR="00BC6657">
        <w:t>the</w:t>
      </w:r>
      <w:r w:rsidR="003D640C">
        <w:t xml:space="preserve"> </w:t>
      </w:r>
      <w:r w:rsidR="00E32C94">
        <w:t>limitations</w:t>
      </w:r>
      <w:r w:rsidR="003D640C">
        <w:t xml:space="preserve"> </w:t>
      </w:r>
      <w:r w:rsidR="00E32C94">
        <w:t>in</w:t>
      </w:r>
      <w:r w:rsidR="003D640C">
        <w:t xml:space="preserve"> </w:t>
      </w:r>
      <w:r w:rsidR="00BC6657">
        <w:t>this</w:t>
      </w:r>
      <w:r w:rsidR="003D640C">
        <w:t xml:space="preserve"> </w:t>
      </w:r>
      <w:r w:rsidR="00E32C94">
        <w:t>report,</w:t>
      </w:r>
      <w:r w:rsidR="003D640C">
        <w:t xml:space="preserve"> </w:t>
      </w:r>
      <w:r w:rsidR="00E32C94">
        <w:t>particularly</w:t>
      </w:r>
      <w:r w:rsidR="003D640C">
        <w:t xml:space="preserve"> </w:t>
      </w:r>
      <w:r w:rsidR="00E32C94">
        <w:t>in</w:t>
      </w:r>
      <w:r w:rsidR="003D640C">
        <w:t xml:space="preserve"> </w:t>
      </w:r>
      <w:r w:rsidR="00E32C94">
        <w:t>respect</w:t>
      </w:r>
      <w:r w:rsidR="003D640C">
        <w:t xml:space="preserve"> </w:t>
      </w:r>
      <w:r w:rsidR="006910BF">
        <w:t>to</w:t>
      </w:r>
      <w:r w:rsidR="003D640C">
        <w:t xml:space="preserve"> </w:t>
      </w:r>
      <w:r w:rsidR="00E32C94">
        <w:t>intersex</w:t>
      </w:r>
      <w:r w:rsidR="003D640C">
        <w:t xml:space="preserve"> </w:t>
      </w:r>
      <w:r w:rsidR="00E32C94">
        <w:t>people</w:t>
      </w:r>
      <w:r w:rsidR="00505B6D">
        <w:t xml:space="preserve"> and</w:t>
      </w:r>
      <w:r w:rsidR="003D640C">
        <w:t xml:space="preserve"> </w:t>
      </w:r>
      <w:r w:rsidR="00C40AB1">
        <w:t>disabled</w:t>
      </w:r>
      <w:r w:rsidR="003D640C">
        <w:t xml:space="preserve"> </w:t>
      </w:r>
      <w:r w:rsidR="00C40AB1">
        <w:t>people</w:t>
      </w:r>
      <w:r w:rsidR="00505B6D">
        <w:t>,</w:t>
      </w:r>
      <w:r w:rsidR="003D640C">
        <w:t xml:space="preserve"> </w:t>
      </w:r>
      <w:r w:rsidR="006910BF">
        <w:t>and</w:t>
      </w:r>
      <w:r w:rsidR="003D640C">
        <w:t xml:space="preserve"> </w:t>
      </w:r>
      <w:r w:rsidR="006910BF">
        <w:t>a</w:t>
      </w:r>
      <w:r w:rsidR="003D640C">
        <w:t xml:space="preserve"> </w:t>
      </w:r>
      <w:r w:rsidR="006910BF">
        <w:t>need</w:t>
      </w:r>
      <w:r w:rsidR="003D640C">
        <w:t xml:space="preserve"> </w:t>
      </w:r>
      <w:r w:rsidR="006910BF">
        <w:t>to</w:t>
      </w:r>
      <w:r w:rsidR="003D640C">
        <w:t xml:space="preserve"> </w:t>
      </w:r>
      <w:r w:rsidR="006910BF">
        <w:t>augment</w:t>
      </w:r>
      <w:r w:rsidR="003D640C">
        <w:t xml:space="preserve"> </w:t>
      </w:r>
      <w:r w:rsidR="006910BF">
        <w:t>our</w:t>
      </w:r>
      <w:r w:rsidR="003D640C">
        <w:t xml:space="preserve"> </w:t>
      </w:r>
      <w:r w:rsidR="006910BF">
        <w:t>insights</w:t>
      </w:r>
      <w:r w:rsidR="003D640C">
        <w:t xml:space="preserve"> </w:t>
      </w:r>
      <w:r w:rsidR="006910BF">
        <w:t>gathered</w:t>
      </w:r>
      <w:r w:rsidR="003D640C">
        <w:t xml:space="preserve"> </w:t>
      </w:r>
      <w:r w:rsidR="006910BF">
        <w:t>from</w:t>
      </w:r>
      <w:r w:rsidR="003D640C">
        <w:t xml:space="preserve"> </w:t>
      </w:r>
      <w:r w:rsidR="00643FFB">
        <w:t>minority</w:t>
      </w:r>
      <w:r w:rsidR="003D640C">
        <w:t xml:space="preserve"> </w:t>
      </w:r>
      <w:r w:rsidR="006910BF">
        <w:t>ethnic</w:t>
      </w:r>
      <w:r w:rsidR="003D640C">
        <w:t xml:space="preserve"> </w:t>
      </w:r>
      <w:r w:rsidR="006910BF">
        <w:t>communities</w:t>
      </w:r>
      <w:r w:rsidR="003D640C">
        <w:t xml:space="preserve"> </w:t>
      </w:r>
      <w:r w:rsidR="006910BF">
        <w:t>with</w:t>
      </w:r>
      <w:r w:rsidR="003D640C">
        <w:t xml:space="preserve"> </w:t>
      </w:r>
      <w:r w:rsidR="006910BF">
        <w:t>additional</w:t>
      </w:r>
      <w:r w:rsidR="003D640C">
        <w:t xml:space="preserve"> </w:t>
      </w:r>
      <w:r w:rsidR="006910BF">
        <w:t>research</w:t>
      </w:r>
      <w:r w:rsidR="00E32C94">
        <w:t>.</w:t>
      </w:r>
    </w:p>
    <w:p w14:paraId="1883B9DB" w14:textId="782684BA" w:rsidR="00E32C94" w:rsidRPr="00BB6220" w:rsidRDefault="00E32C94" w:rsidP="00E00167">
      <w:r>
        <w:t>While</w:t>
      </w:r>
      <w:r w:rsidR="003D640C">
        <w:t xml:space="preserve"> </w:t>
      </w:r>
      <w:r>
        <w:t>the</w:t>
      </w:r>
      <w:r w:rsidR="003D640C">
        <w:t xml:space="preserve"> </w:t>
      </w:r>
      <w:r>
        <w:t>experiences</w:t>
      </w:r>
      <w:r w:rsidR="003D640C">
        <w:t xml:space="preserve"> </w:t>
      </w:r>
      <w:r>
        <w:t>of</w:t>
      </w:r>
      <w:r w:rsidR="003D640C">
        <w:t xml:space="preserve"> </w:t>
      </w:r>
      <w:r w:rsidR="00EC77CC">
        <w:t>t</w:t>
      </w:r>
      <w:r w:rsidRPr="00BB6220">
        <w:t>akatāpui</w:t>
      </w:r>
      <w:r>
        <w:t>,</w:t>
      </w:r>
      <w:r w:rsidR="003D640C">
        <w:t xml:space="preserve"> </w:t>
      </w:r>
      <w:r w:rsidRPr="00BB6220">
        <w:t>MVPFAFF+</w:t>
      </w:r>
      <w:r w:rsidR="003D640C">
        <w:t xml:space="preserve"> </w:t>
      </w:r>
      <w:r>
        <w:t>Pacific</w:t>
      </w:r>
      <w:r w:rsidR="003D640C">
        <w:t xml:space="preserve"> </w:t>
      </w:r>
      <w:r>
        <w:t>peoples,</w:t>
      </w:r>
      <w:r w:rsidR="003D640C">
        <w:t xml:space="preserve"> </w:t>
      </w:r>
      <w:r w:rsidR="00AA513F">
        <w:t>and</w:t>
      </w:r>
      <w:r w:rsidR="003D640C">
        <w:t xml:space="preserve"> </w:t>
      </w:r>
      <w:r w:rsidR="00586884">
        <w:t xml:space="preserve">ethnic </w:t>
      </w:r>
      <w:r w:rsidR="00AA513F">
        <w:t>Rainbow</w:t>
      </w:r>
      <w:r w:rsidR="003D640C">
        <w:t xml:space="preserve"> </w:t>
      </w:r>
      <w:r w:rsidR="00AA513F">
        <w:t>people</w:t>
      </w:r>
      <w:r w:rsidR="003D640C">
        <w:t xml:space="preserve"> </w:t>
      </w:r>
      <w:r>
        <w:t>are</w:t>
      </w:r>
      <w:r w:rsidR="003D640C">
        <w:t xml:space="preserve"> </w:t>
      </w:r>
      <w:r>
        <w:t>distinct,</w:t>
      </w:r>
      <w:r w:rsidR="003D640C">
        <w:t xml:space="preserve"> </w:t>
      </w:r>
      <w:r>
        <w:t>there</w:t>
      </w:r>
      <w:r w:rsidR="003D640C">
        <w:t xml:space="preserve"> </w:t>
      </w:r>
      <w:r>
        <w:t>are</w:t>
      </w:r>
      <w:r w:rsidR="003D640C">
        <w:t xml:space="preserve"> </w:t>
      </w:r>
      <w:r>
        <w:t>also</w:t>
      </w:r>
      <w:r w:rsidR="003D640C">
        <w:t xml:space="preserve"> </w:t>
      </w:r>
      <w:r>
        <w:t>commonalities.</w:t>
      </w:r>
      <w:r w:rsidR="003D640C">
        <w:t xml:space="preserve"> </w:t>
      </w:r>
      <w:r>
        <w:t>These</w:t>
      </w:r>
      <w:r w:rsidR="003D640C">
        <w:t xml:space="preserve"> </w:t>
      </w:r>
      <w:r w:rsidR="00857FE8">
        <w:t>shared</w:t>
      </w:r>
      <w:r w:rsidR="003D640C">
        <w:t xml:space="preserve"> </w:t>
      </w:r>
      <w:r w:rsidR="00857FE8">
        <w:t>experiences</w:t>
      </w:r>
      <w:r w:rsidR="003D640C">
        <w:t xml:space="preserve"> </w:t>
      </w:r>
      <w:r>
        <w:t>include</w:t>
      </w:r>
      <w:r w:rsidR="003D640C">
        <w:t xml:space="preserve"> </w:t>
      </w:r>
      <w:r w:rsidR="0093752A">
        <w:t>the</w:t>
      </w:r>
      <w:r w:rsidR="003D640C">
        <w:t xml:space="preserve"> </w:t>
      </w:r>
      <w:r w:rsidR="0093752A">
        <w:t>impacts</w:t>
      </w:r>
      <w:r w:rsidR="003D640C">
        <w:t xml:space="preserve"> </w:t>
      </w:r>
      <w:r w:rsidR="0093752A">
        <w:t>of</w:t>
      </w:r>
      <w:r w:rsidR="003D640C">
        <w:t xml:space="preserve"> </w:t>
      </w:r>
      <w:r>
        <w:t>colonisation</w:t>
      </w:r>
      <w:r w:rsidR="0093752A">
        <w:t>;</w:t>
      </w:r>
      <w:r w:rsidR="003D640C">
        <w:t xml:space="preserve"> </w:t>
      </w:r>
      <w:r w:rsidR="00857FE8">
        <w:t>migration</w:t>
      </w:r>
      <w:r w:rsidR="0093752A">
        <w:t>;</w:t>
      </w:r>
      <w:r w:rsidR="003D640C">
        <w:t xml:space="preserve"> </w:t>
      </w:r>
      <w:r>
        <w:t>introduction</w:t>
      </w:r>
      <w:r w:rsidR="003D640C">
        <w:t xml:space="preserve"> </w:t>
      </w:r>
      <w:r>
        <w:t>of</w:t>
      </w:r>
      <w:r w:rsidR="003D640C">
        <w:t xml:space="preserve"> </w:t>
      </w:r>
      <w:r w:rsidR="00061131">
        <w:t>W</w:t>
      </w:r>
      <w:r>
        <w:t>estern,</w:t>
      </w:r>
      <w:r w:rsidR="003D640C">
        <w:t xml:space="preserve"> </w:t>
      </w:r>
      <w:r>
        <w:t>Christianised</w:t>
      </w:r>
      <w:r w:rsidR="003D640C">
        <w:t xml:space="preserve"> </w:t>
      </w:r>
      <w:r>
        <w:t>understandings</w:t>
      </w:r>
      <w:r w:rsidR="003D640C">
        <w:t xml:space="preserve"> </w:t>
      </w:r>
      <w:r>
        <w:t>of</w:t>
      </w:r>
      <w:r w:rsidR="003D640C">
        <w:t xml:space="preserve"> </w:t>
      </w:r>
      <w:r>
        <w:t>gender,</w:t>
      </w:r>
      <w:r w:rsidR="003D640C">
        <w:t xml:space="preserve"> </w:t>
      </w:r>
      <w:r>
        <w:t>sexuality</w:t>
      </w:r>
      <w:r w:rsidR="00505B6D">
        <w:t>,</w:t>
      </w:r>
      <w:r w:rsidR="003D640C">
        <w:t xml:space="preserve"> </w:t>
      </w:r>
      <w:r>
        <w:t>and</w:t>
      </w:r>
      <w:r w:rsidR="003D640C">
        <w:t xml:space="preserve"> </w:t>
      </w:r>
      <w:r>
        <w:t>spirituality</w:t>
      </w:r>
      <w:r w:rsidR="0093752A">
        <w:t>;</w:t>
      </w:r>
      <w:r w:rsidR="003D640C">
        <w:t xml:space="preserve"> </w:t>
      </w:r>
      <w:r>
        <w:t>and</w:t>
      </w:r>
      <w:r w:rsidR="003D640C">
        <w:t xml:space="preserve"> </w:t>
      </w:r>
      <w:r>
        <w:t>the</w:t>
      </w:r>
      <w:r w:rsidR="003D640C">
        <w:t xml:space="preserve"> </w:t>
      </w:r>
      <w:r>
        <w:t>suppression</w:t>
      </w:r>
      <w:r w:rsidR="003D640C">
        <w:t xml:space="preserve"> </w:t>
      </w:r>
      <w:r>
        <w:t>of</w:t>
      </w:r>
      <w:r w:rsidR="003D640C">
        <w:t xml:space="preserve"> </w:t>
      </w:r>
      <w:r>
        <w:t>customary</w:t>
      </w:r>
      <w:r w:rsidR="003D640C">
        <w:t xml:space="preserve"> </w:t>
      </w:r>
      <w:r>
        <w:t>beliefs</w:t>
      </w:r>
      <w:r w:rsidR="003D640C">
        <w:t xml:space="preserve"> </w:t>
      </w:r>
      <w:r>
        <w:t>and</w:t>
      </w:r>
      <w:r w:rsidR="003D640C">
        <w:t xml:space="preserve"> </w:t>
      </w:r>
      <w:r>
        <w:t>practices</w:t>
      </w:r>
      <w:r w:rsidR="003D640C">
        <w:t xml:space="preserve"> </w:t>
      </w:r>
      <w:r>
        <w:t>both</w:t>
      </w:r>
      <w:r w:rsidR="003D640C">
        <w:t xml:space="preserve"> </w:t>
      </w:r>
      <w:r>
        <w:t>for</w:t>
      </w:r>
      <w:r w:rsidR="003D640C">
        <w:t xml:space="preserve"> </w:t>
      </w:r>
      <w:r w:rsidR="004119CF">
        <w:t>T</w:t>
      </w:r>
      <w:r>
        <w:t>angata</w:t>
      </w:r>
      <w:r w:rsidR="003D640C">
        <w:t xml:space="preserve"> </w:t>
      </w:r>
      <w:r w:rsidR="004119CF">
        <w:t>W</w:t>
      </w:r>
      <w:r>
        <w:t>henua</w:t>
      </w:r>
      <w:r w:rsidR="003D640C">
        <w:t xml:space="preserve"> </w:t>
      </w:r>
      <w:r>
        <w:t>in</w:t>
      </w:r>
      <w:r w:rsidR="003D640C">
        <w:t xml:space="preserve"> </w:t>
      </w:r>
      <w:r>
        <w:t>Aotearoa</w:t>
      </w:r>
      <w:r w:rsidR="003D640C">
        <w:t xml:space="preserve"> </w:t>
      </w:r>
      <w:r>
        <w:t>and</w:t>
      </w:r>
      <w:r w:rsidR="003D640C">
        <w:t xml:space="preserve"> </w:t>
      </w:r>
      <w:r>
        <w:t>for</w:t>
      </w:r>
      <w:r w:rsidR="003D640C">
        <w:t xml:space="preserve"> </w:t>
      </w:r>
      <w:r>
        <w:t>other</w:t>
      </w:r>
      <w:r w:rsidR="003D640C">
        <w:t xml:space="preserve"> </w:t>
      </w:r>
      <w:r>
        <w:t>communities</w:t>
      </w:r>
      <w:r w:rsidR="003D640C">
        <w:t xml:space="preserve"> </w:t>
      </w:r>
      <w:r w:rsidR="00AA513F">
        <w:t>with</w:t>
      </w:r>
      <w:r>
        <w:t>in</w:t>
      </w:r>
      <w:r w:rsidR="003D640C">
        <w:t xml:space="preserve"> </w:t>
      </w:r>
      <w:r>
        <w:t>their</w:t>
      </w:r>
      <w:r w:rsidR="003D640C">
        <w:t xml:space="preserve"> </w:t>
      </w:r>
      <w:r>
        <w:t>home</w:t>
      </w:r>
      <w:r w:rsidR="003D640C">
        <w:t xml:space="preserve"> </w:t>
      </w:r>
      <w:r>
        <w:t>countries</w:t>
      </w:r>
      <w:r w:rsidR="003D640C">
        <w:t xml:space="preserve"> </w:t>
      </w:r>
      <w:r w:rsidR="00AA513F">
        <w:t>and</w:t>
      </w:r>
      <w:r w:rsidR="003D640C">
        <w:t xml:space="preserve"> </w:t>
      </w:r>
      <w:r w:rsidR="00AA513F">
        <w:t>in</w:t>
      </w:r>
      <w:r w:rsidR="003D640C">
        <w:t xml:space="preserve"> </w:t>
      </w:r>
      <w:r w:rsidR="00AA513F">
        <w:t>the</w:t>
      </w:r>
      <w:r w:rsidR="003D640C">
        <w:t xml:space="preserve"> </w:t>
      </w:r>
      <w:r w:rsidR="00AA513F">
        <w:t>diaspora</w:t>
      </w:r>
      <w:r w:rsidR="00857FE8">
        <w:t>.</w:t>
      </w:r>
      <w:r w:rsidR="003D640C">
        <w:t xml:space="preserve"> </w:t>
      </w:r>
      <w:r>
        <w:t>Experiences</w:t>
      </w:r>
      <w:r w:rsidR="003D640C">
        <w:t xml:space="preserve"> </w:t>
      </w:r>
      <w:r>
        <w:t>of</w:t>
      </w:r>
      <w:r w:rsidR="003D640C">
        <w:t xml:space="preserve"> </w:t>
      </w:r>
      <w:r>
        <w:t>racism</w:t>
      </w:r>
      <w:r w:rsidR="003D640C">
        <w:t xml:space="preserve"> </w:t>
      </w:r>
      <w:r w:rsidR="00857FE8">
        <w:t>further</w:t>
      </w:r>
      <w:r w:rsidR="003D640C">
        <w:t xml:space="preserve"> </w:t>
      </w:r>
      <w:r w:rsidR="00857FE8">
        <w:t>c</w:t>
      </w:r>
      <w:r>
        <w:t>ompound</w:t>
      </w:r>
      <w:r w:rsidR="003D640C">
        <w:t xml:space="preserve"> </w:t>
      </w:r>
      <w:r>
        <w:t>the</w:t>
      </w:r>
      <w:r w:rsidR="003D640C">
        <w:t xml:space="preserve"> </w:t>
      </w:r>
      <w:r>
        <w:t>impacts</w:t>
      </w:r>
      <w:r w:rsidR="003D640C">
        <w:t xml:space="preserve"> </w:t>
      </w:r>
      <w:r>
        <w:t>of</w:t>
      </w:r>
      <w:r w:rsidR="003D640C">
        <w:t xml:space="preserve"> </w:t>
      </w:r>
      <w:r>
        <w:t>discrimination</w:t>
      </w:r>
      <w:r w:rsidR="003D640C">
        <w:t xml:space="preserve"> </w:t>
      </w:r>
      <w:r>
        <w:t>and</w:t>
      </w:r>
      <w:r w:rsidR="003D640C">
        <w:t xml:space="preserve"> </w:t>
      </w:r>
      <w:r>
        <w:t>harm</w:t>
      </w:r>
      <w:r w:rsidR="003D640C">
        <w:t xml:space="preserve"> </w:t>
      </w:r>
      <w:r>
        <w:t>caused</w:t>
      </w:r>
      <w:r w:rsidR="003D640C">
        <w:t xml:space="preserve"> </w:t>
      </w:r>
      <w:r>
        <w:t>by</w:t>
      </w:r>
      <w:r w:rsidR="003D640C">
        <w:t xml:space="preserve"> </w:t>
      </w:r>
      <w:r>
        <w:t>conversion</w:t>
      </w:r>
      <w:r w:rsidR="003D640C">
        <w:t xml:space="preserve"> </w:t>
      </w:r>
      <w:r>
        <w:t>practices.</w:t>
      </w:r>
      <w:r w:rsidR="003D640C">
        <w:t xml:space="preserve"> </w:t>
      </w:r>
    </w:p>
    <w:p w14:paraId="6C12EB17" w14:textId="5FA62B67" w:rsidR="00DC795C" w:rsidRPr="00F7174A" w:rsidRDefault="00DC795C" w:rsidP="00E00167">
      <w:pPr>
        <w:rPr>
          <w:highlight w:val="yellow"/>
        </w:rPr>
      </w:pPr>
      <w:r>
        <w:t>For</w:t>
      </w:r>
      <w:r w:rsidR="003D640C">
        <w:t xml:space="preserve"> </w:t>
      </w:r>
      <w:r>
        <w:t>transgender</w:t>
      </w:r>
      <w:r w:rsidR="003D640C">
        <w:t xml:space="preserve"> </w:t>
      </w:r>
      <w:r>
        <w:t>and</w:t>
      </w:r>
      <w:r w:rsidR="003D640C">
        <w:t xml:space="preserve"> </w:t>
      </w:r>
      <w:r>
        <w:t>non-binary</w:t>
      </w:r>
      <w:r w:rsidR="003D640C">
        <w:t xml:space="preserve"> </w:t>
      </w:r>
      <w:r>
        <w:t>people</w:t>
      </w:r>
      <w:r w:rsidR="00857FE8">
        <w:t>,</w:t>
      </w:r>
      <w:r w:rsidR="003D640C">
        <w:t xml:space="preserve"> </w:t>
      </w:r>
      <w:r w:rsidR="00857FE8">
        <w:t>conversion</w:t>
      </w:r>
      <w:r w:rsidR="003D640C">
        <w:t xml:space="preserve"> </w:t>
      </w:r>
      <w:r w:rsidR="00857FE8">
        <w:t>practices</w:t>
      </w:r>
      <w:r w:rsidR="003D640C">
        <w:t xml:space="preserve"> </w:t>
      </w:r>
      <w:r w:rsidR="00857FE8">
        <w:t>often</w:t>
      </w:r>
      <w:r w:rsidR="003D640C">
        <w:t xml:space="preserve"> </w:t>
      </w:r>
      <w:r w:rsidR="00857FE8">
        <w:t>take</w:t>
      </w:r>
      <w:r w:rsidR="003D640C">
        <w:t xml:space="preserve"> </w:t>
      </w:r>
      <w:r w:rsidR="00857FE8">
        <w:t>place</w:t>
      </w:r>
      <w:r w:rsidR="003D640C">
        <w:t xml:space="preserve"> </w:t>
      </w:r>
      <w:r w:rsidR="00857FE8">
        <w:t>in</w:t>
      </w:r>
      <w:r w:rsidR="003D640C">
        <w:t xml:space="preserve"> </w:t>
      </w:r>
      <w:r w:rsidR="00857FE8">
        <w:t>healthcare</w:t>
      </w:r>
      <w:r w:rsidR="003D640C">
        <w:t xml:space="preserve"> </w:t>
      </w:r>
      <w:r w:rsidR="00B93A72">
        <w:t>and</w:t>
      </w:r>
      <w:r w:rsidR="003D640C">
        <w:t xml:space="preserve"> </w:t>
      </w:r>
      <w:r w:rsidR="009D67A1">
        <w:t>family</w:t>
      </w:r>
      <w:r w:rsidR="003D640C">
        <w:t xml:space="preserve"> </w:t>
      </w:r>
      <w:r w:rsidR="00857FE8">
        <w:t>settings.</w:t>
      </w:r>
      <w:r w:rsidR="003D640C">
        <w:t xml:space="preserve"> </w:t>
      </w:r>
      <w:r w:rsidR="007837EB">
        <w:t>P</w:t>
      </w:r>
      <w:r w:rsidR="00BE205F">
        <w:t>ractices</w:t>
      </w:r>
      <w:r w:rsidR="003D640C">
        <w:t xml:space="preserve"> </w:t>
      </w:r>
      <w:r w:rsidR="007837EB">
        <w:t>aim</w:t>
      </w:r>
      <w:r w:rsidR="003D640C">
        <w:t xml:space="preserve"> </w:t>
      </w:r>
      <w:r w:rsidR="007837EB">
        <w:t>to</w:t>
      </w:r>
      <w:r w:rsidR="003D640C">
        <w:t xml:space="preserve"> </w:t>
      </w:r>
      <w:r w:rsidR="007837EB">
        <w:t>enforce</w:t>
      </w:r>
      <w:r w:rsidR="003D640C">
        <w:t xml:space="preserve"> </w:t>
      </w:r>
      <w:r w:rsidR="007837EB">
        <w:t>gender</w:t>
      </w:r>
      <w:r w:rsidR="003D640C">
        <w:t xml:space="preserve"> </w:t>
      </w:r>
      <w:r w:rsidR="007837EB">
        <w:t>conformity</w:t>
      </w:r>
      <w:r w:rsidR="001706AA">
        <w:t>,</w:t>
      </w:r>
      <w:r w:rsidR="003D640C">
        <w:t xml:space="preserve"> </w:t>
      </w:r>
      <w:r w:rsidR="00781A76">
        <w:t>linked</w:t>
      </w:r>
      <w:r w:rsidR="003D640C">
        <w:t xml:space="preserve"> </w:t>
      </w:r>
      <w:r w:rsidR="00781A76">
        <w:t>to</w:t>
      </w:r>
      <w:r w:rsidR="003D640C">
        <w:t xml:space="preserve"> </w:t>
      </w:r>
      <w:r w:rsidR="001706AA">
        <w:t>the</w:t>
      </w:r>
      <w:r w:rsidR="003D640C">
        <w:t xml:space="preserve"> </w:t>
      </w:r>
      <w:r w:rsidR="001706AA">
        <w:t>idea</w:t>
      </w:r>
      <w:r w:rsidR="003D640C">
        <w:t xml:space="preserve"> </w:t>
      </w:r>
      <w:r w:rsidR="001706AA">
        <w:t>that</w:t>
      </w:r>
      <w:r w:rsidR="003D640C">
        <w:t xml:space="preserve"> </w:t>
      </w:r>
      <w:r w:rsidR="001706AA">
        <w:t>being</w:t>
      </w:r>
      <w:r w:rsidR="003D640C">
        <w:t xml:space="preserve"> </w:t>
      </w:r>
      <w:r w:rsidR="001706AA">
        <w:t>trans</w:t>
      </w:r>
      <w:r w:rsidR="003D640C">
        <w:t xml:space="preserve"> </w:t>
      </w:r>
      <w:r w:rsidR="001706AA">
        <w:t>or</w:t>
      </w:r>
      <w:r w:rsidR="003D640C">
        <w:t xml:space="preserve"> </w:t>
      </w:r>
      <w:r w:rsidR="001706AA">
        <w:t>non-binary</w:t>
      </w:r>
      <w:r w:rsidR="003D640C">
        <w:t xml:space="preserve"> </w:t>
      </w:r>
      <w:r w:rsidR="001706AA">
        <w:t>is</w:t>
      </w:r>
      <w:r w:rsidR="003D640C">
        <w:t xml:space="preserve"> </w:t>
      </w:r>
      <w:r w:rsidR="00572507">
        <w:t>suspect</w:t>
      </w:r>
      <w:r w:rsidR="003D640C">
        <w:t xml:space="preserve"> </w:t>
      </w:r>
      <w:r w:rsidR="001706AA">
        <w:t>or</w:t>
      </w:r>
      <w:r w:rsidR="003D640C">
        <w:t xml:space="preserve"> </w:t>
      </w:r>
      <w:r w:rsidR="00023649">
        <w:t>less</w:t>
      </w:r>
      <w:r w:rsidR="003D640C">
        <w:t xml:space="preserve"> </w:t>
      </w:r>
      <w:r w:rsidR="00023649">
        <w:t>desirable</w:t>
      </w:r>
      <w:r w:rsidR="003D640C">
        <w:t xml:space="preserve"> </w:t>
      </w:r>
      <w:r w:rsidR="00E77CA6">
        <w:t>than</w:t>
      </w:r>
      <w:r w:rsidR="003D640C">
        <w:t xml:space="preserve"> </w:t>
      </w:r>
      <w:r w:rsidR="00324B17">
        <w:t>being</w:t>
      </w:r>
      <w:r w:rsidR="003D640C">
        <w:t xml:space="preserve"> </w:t>
      </w:r>
      <w:r w:rsidR="00E77CA6">
        <w:t>ci</w:t>
      </w:r>
      <w:r w:rsidR="00EE3705">
        <w:t>sgender</w:t>
      </w:r>
      <w:r w:rsidR="009D67A1">
        <w:t>.</w:t>
      </w:r>
      <w:r w:rsidR="003D640C">
        <w:t xml:space="preserve"> </w:t>
      </w:r>
      <w:r w:rsidR="00AD5A17" w:rsidRPr="00114CA4">
        <w:t>The</w:t>
      </w:r>
      <w:r w:rsidR="003D640C">
        <w:t xml:space="preserve"> </w:t>
      </w:r>
      <w:r w:rsidR="00AD5A17" w:rsidRPr="00114CA4">
        <w:t>research</w:t>
      </w:r>
      <w:r w:rsidR="003D640C">
        <w:t xml:space="preserve"> </w:t>
      </w:r>
      <w:r w:rsidR="00AD5A17" w:rsidRPr="00114CA4">
        <w:t>is</w:t>
      </w:r>
      <w:r w:rsidR="003D640C">
        <w:t xml:space="preserve"> </w:t>
      </w:r>
      <w:r w:rsidR="00AD5A17" w:rsidRPr="00114CA4">
        <w:t>clear</w:t>
      </w:r>
      <w:r w:rsidR="003D640C">
        <w:t xml:space="preserve"> </w:t>
      </w:r>
      <w:r w:rsidR="00AD5A17" w:rsidRPr="00114CA4">
        <w:t>that</w:t>
      </w:r>
      <w:r w:rsidR="003D640C">
        <w:t xml:space="preserve"> </w:t>
      </w:r>
      <w:r w:rsidR="00AD5A17" w:rsidRPr="00114CA4">
        <w:t>conversion</w:t>
      </w:r>
      <w:r w:rsidR="003D640C">
        <w:t xml:space="preserve"> </w:t>
      </w:r>
      <w:r w:rsidR="00AD5A17" w:rsidRPr="00114CA4">
        <w:t>practices</w:t>
      </w:r>
      <w:r w:rsidR="003D640C">
        <w:t xml:space="preserve"> </w:t>
      </w:r>
      <w:r w:rsidR="00C62744" w:rsidRPr="00114CA4">
        <w:t>often</w:t>
      </w:r>
      <w:r w:rsidR="003D640C">
        <w:t xml:space="preserve"> </w:t>
      </w:r>
      <w:r w:rsidR="009D67A1" w:rsidRPr="00114CA4">
        <w:t>lead</w:t>
      </w:r>
      <w:r w:rsidR="003D640C">
        <w:t xml:space="preserve"> </w:t>
      </w:r>
      <w:r w:rsidR="009D67A1" w:rsidRPr="00114CA4">
        <w:t>to</w:t>
      </w:r>
      <w:r w:rsidR="003D640C">
        <w:t xml:space="preserve"> </w:t>
      </w:r>
      <w:r w:rsidR="009D67A1" w:rsidRPr="00114CA4">
        <w:t>suicidal</w:t>
      </w:r>
      <w:r w:rsidR="003D640C">
        <w:t xml:space="preserve"> </w:t>
      </w:r>
      <w:r w:rsidR="009D67A1" w:rsidRPr="00114CA4">
        <w:t>thoughts,</w:t>
      </w:r>
      <w:r w:rsidR="003D640C">
        <w:t xml:space="preserve"> </w:t>
      </w:r>
      <w:r w:rsidR="009D67A1" w:rsidRPr="00114CA4">
        <w:t>self-harm</w:t>
      </w:r>
      <w:r w:rsidR="00E7098B" w:rsidRPr="00114CA4">
        <w:t>,</w:t>
      </w:r>
      <w:r w:rsidR="003D640C">
        <w:t xml:space="preserve"> </w:t>
      </w:r>
      <w:r w:rsidR="009D67A1" w:rsidRPr="00114CA4">
        <w:t>and</w:t>
      </w:r>
      <w:r w:rsidR="003D640C">
        <w:t xml:space="preserve"> </w:t>
      </w:r>
      <w:r w:rsidR="009D67A1" w:rsidRPr="00114CA4">
        <w:t>other</w:t>
      </w:r>
      <w:r w:rsidR="003D640C">
        <w:t xml:space="preserve"> </w:t>
      </w:r>
      <w:r w:rsidR="009D67A1" w:rsidRPr="00114CA4">
        <w:t>forms</w:t>
      </w:r>
      <w:r w:rsidR="003D640C">
        <w:t xml:space="preserve"> </w:t>
      </w:r>
      <w:r w:rsidR="009D67A1" w:rsidRPr="00114CA4">
        <w:t>of</w:t>
      </w:r>
      <w:r w:rsidR="003D640C">
        <w:t xml:space="preserve"> </w:t>
      </w:r>
      <w:r w:rsidR="009D67A1" w:rsidRPr="00114CA4">
        <w:t>psychological</w:t>
      </w:r>
      <w:r w:rsidR="003D640C">
        <w:t xml:space="preserve"> </w:t>
      </w:r>
      <w:r w:rsidR="009D67A1" w:rsidRPr="00114CA4">
        <w:t>distress</w:t>
      </w:r>
      <w:r w:rsidR="003D640C">
        <w:t xml:space="preserve"> </w:t>
      </w:r>
      <w:r w:rsidR="00AD5A17" w:rsidRPr="00114CA4">
        <w:t>among</w:t>
      </w:r>
      <w:r w:rsidR="003D640C">
        <w:t xml:space="preserve"> </w:t>
      </w:r>
      <w:r w:rsidR="00AD5A17" w:rsidRPr="00114CA4">
        <w:t>those</w:t>
      </w:r>
      <w:r w:rsidR="003D640C">
        <w:t xml:space="preserve"> </w:t>
      </w:r>
      <w:r w:rsidR="00AD5A17" w:rsidRPr="00114CA4">
        <w:t>who</w:t>
      </w:r>
      <w:r w:rsidR="003D640C">
        <w:t xml:space="preserve"> </w:t>
      </w:r>
      <w:r w:rsidR="00AD5A17" w:rsidRPr="00114CA4">
        <w:t>experience</w:t>
      </w:r>
      <w:r w:rsidR="003D640C">
        <w:t xml:space="preserve"> </w:t>
      </w:r>
      <w:r w:rsidR="00AD5A17" w:rsidRPr="00114CA4">
        <w:t>them</w:t>
      </w:r>
      <w:r w:rsidR="009D67A1" w:rsidRPr="00114CA4">
        <w:t>.</w:t>
      </w:r>
      <w:r w:rsidR="003D640C">
        <w:t xml:space="preserve"> </w:t>
      </w:r>
      <w:r w:rsidR="00C93D98">
        <w:t>These</w:t>
      </w:r>
      <w:r w:rsidR="003D640C">
        <w:t xml:space="preserve"> </w:t>
      </w:r>
      <w:r w:rsidR="00C93D98">
        <w:t>impacts</w:t>
      </w:r>
      <w:r w:rsidR="003D640C">
        <w:t xml:space="preserve"> </w:t>
      </w:r>
      <w:r w:rsidR="00C93D98">
        <w:t>can</w:t>
      </w:r>
      <w:r w:rsidR="003D640C">
        <w:t xml:space="preserve"> </w:t>
      </w:r>
      <w:r w:rsidR="00C93D98">
        <w:t>be</w:t>
      </w:r>
      <w:r w:rsidR="003D640C">
        <w:t xml:space="preserve"> </w:t>
      </w:r>
      <w:r w:rsidR="00C93D98">
        <w:t>lifelong.</w:t>
      </w:r>
      <w:r w:rsidR="003D640C">
        <w:t xml:space="preserve"> </w:t>
      </w:r>
    </w:p>
    <w:p w14:paraId="62BB272D" w14:textId="744C485A" w:rsidR="00A84591" w:rsidRPr="00F7174A" w:rsidRDefault="00A84591" w:rsidP="00E00167">
      <w:pPr>
        <w:rPr>
          <w:rFonts w:ascii="Calibri" w:hAnsi="Calibri" w:cs="Calibri"/>
        </w:rPr>
      </w:pPr>
      <w:r w:rsidRPr="00F7174A">
        <w:rPr>
          <w:rFonts w:ascii="Calibri" w:hAnsi="Calibri" w:cs="Calibri"/>
        </w:rPr>
        <w:t>This</w:t>
      </w:r>
      <w:r w:rsidR="003D640C">
        <w:rPr>
          <w:rFonts w:ascii="Calibri" w:hAnsi="Calibri" w:cs="Calibri"/>
        </w:rPr>
        <w:t xml:space="preserve"> </w:t>
      </w:r>
      <w:r w:rsidRPr="00F7174A">
        <w:rPr>
          <w:rFonts w:ascii="Calibri" w:hAnsi="Calibri" w:cs="Calibri"/>
        </w:rPr>
        <w:t>report</w:t>
      </w:r>
      <w:r w:rsidR="003D640C">
        <w:rPr>
          <w:rFonts w:ascii="Calibri" w:hAnsi="Calibri" w:cs="Calibri"/>
        </w:rPr>
        <w:t xml:space="preserve"> </w:t>
      </w:r>
      <w:r w:rsidR="00255AE7" w:rsidRPr="00F7174A">
        <w:rPr>
          <w:rFonts w:ascii="Calibri" w:hAnsi="Calibri" w:cs="Calibri"/>
        </w:rPr>
        <w:t>contributes</w:t>
      </w:r>
      <w:r w:rsidR="003D640C">
        <w:rPr>
          <w:rFonts w:ascii="Calibri" w:hAnsi="Calibri" w:cs="Calibri"/>
        </w:rPr>
        <w:t xml:space="preserve"> </w:t>
      </w:r>
      <w:r w:rsidR="00255AE7" w:rsidRPr="00F7174A">
        <w:rPr>
          <w:rFonts w:ascii="Calibri" w:hAnsi="Calibri" w:cs="Calibri"/>
        </w:rPr>
        <w:t>to</w:t>
      </w:r>
      <w:r w:rsidR="003D640C">
        <w:rPr>
          <w:rFonts w:ascii="Calibri" w:hAnsi="Calibri" w:cs="Calibri"/>
        </w:rPr>
        <w:t xml:space="preserve"> </w:t>
      </w:r>
      <w:r w:rsidR="00255AE7" w:rsidRPr="00F7174A">
        <w:rPr>
          <w:rFonts w:ascii="Calibri" w:hAnsi="Calibri" w:cs="Calibri"/>
        </w:rPr>
        <w:t>better</w:t>
      </w:r>
      <w:r w:rsidR="003D640C">
        <w:rPr>
          <w:rFonts w:ascii="Calibri" w:hAnsi="Calibri" w:cs="Calibri"/>
        </w:rPr>
        <w:t xml:space="preserve"> </w:t>
      </w:r>
      <w:r w:rsidR="00D63C1A">
        <w:rPr>
          <w:rFonts w:ascii="Calibri" w:hAnsi="Calibri" w:cs="Calibri"/>
        </w:rPr>
        <w:t>understanding</w:t>
      </w:r>
      <w:r w:rsidR="003D640C">
        <w:rPr>
          <w:rFonts w:ascii="Calibri" w:hAnsi="Calibri" w:cs="Calibri"/>
        </w:rPr>
        <w:t xml:space="preserve"> </w:t>
      </w:r>
      <w:r w:rsidR="00D63C1A">
        <w:rPr>
          <w:rFonts w:ascii="Calibri" w:hAnsi="Calibri" w:cs="Calibri"/>
        </w:rPr>
        <w:t>of</w:t>
      </w:r>
      <w:r w:rsidR="003D640C">
        <w:rPr>
          <w:rFonts w:ascii="Calibri" w:hAnsi="Calibri" w:cs="Calibri"/>
        </w:rPr>
        <w:t xml:space="preserve"> </w:t>
      </w:r>
      <w:r w:rsidR="00255AE7" w:rsidRPr="00F7174A">
        <w:rPr>
          <w:rFonts w:ascii="Calibri" w:hAnsi="Calibri" w:cs="Calibri"/>
        </w:rPr>
        <w:t>the</w:t>
      </w:r>
      <w:r w:rsidR="003D640C">
        <w:rPr>
          <w:rFonts w:ascii="Calibri" w:hAnsi="Calibri" w:cs="Calibri"/>
        </w:rPr>
        <w:t xml:space="preserve"> </w:t>
      </w:r>
      <w:r w:rsidR="00255AE7" w:rsidRPr="00F7174A">
        <w:rPr>
          <w:rFonts w:ascii="Calibri" w:hAnsi="Calibri" w:cs="Calibri"/>
        </w:rPr>
        <w:t>harm</w:t>
      </w:r>
      <w:r w:rsidR="003D640C">
        <w:rPr>
          <w:rFonts w:ascii="Calibri" w:hAnsi="Calibri" w:cs="Calibri"/>
        </w:rPr>
        <w:t xml:space="preserve"> </w:t>
      </w:r>
      <w:r w:rsidR="00255AE7" w:rsidRPr="00F7174A">
        <w:rPr>
          <w:rFonts w:ascii="Calibri" w:hAnsi="Calibri" w:cs="Calibri"/>
        </w:rPr>
        <w:t>caused</w:t>
      </w:r>
      <w:r w:rsidR="003D640C">
        <w:rPr>
          <w:rFonts w:ascii="Calibri" w:hAnsi="Calibri" w:cs="Calibri"/>
        </w:rPr>
        <w:t xml:space="preserve"> </w:t>
      </w:r>
      <w:r w:rsidR="00255AE7" w:rsidRPr="00F7174A">
        <w:rPr>
          <w:rFonts w:ascii="Calibri" w:hAnsi="Calibri" w:cs="Calibri"/>
        </w:rPr>
        <w:t>by</w:t>
      </w:r>
      <w:r w:rsidR="003D640C">
        <w:rPr>
          <w:rFonts w:ascii="Calibri" w:hAnsi="Calibri" w:cs="Calibri"/>
        </w:rPr>
        <w:t xml:space="preserve"> </w:t>
      </w:r>
      <w:r w:rsidR="00255AE7" w:rsidRPr="00F7174A">
        <w:rPr>
          <w:rFonts w:ascii="Calibri" w:hAnsi="Calibri" w:cs="Calibri"/>
        </w:rPr>
        <w:t>conversion</w:t>
      </w:r>
      <w:r w:rsidR="003D640C">
        <w:rPr>
          <w:rFonts w:ascii="Calibri" w:hAnsi="Calibri" w:cs="Calibri"/>
        </w:rPr>
        <w:t xml:space="preserve"> </w:t>
      </w:r>
      <w:r w:rsidR="00255AE7" w:rsidRPr="00F7174A">
        <w:rPr>
          <w:rFonts w:ascii="Calibri" w:hAnsi="Calibri" w:cs="Calibri"/>
        </w:rPr>
        <w:t>practices</w:t>
      </w:r>
      <w:r w:rsidR="005C013B">
        <w:rPr>
          <w:rFonts w:ascii="Calibri" w:hAnsi="Calibri" w:cs="Calibri"/>
        </w:rPr>
        <w:t xml:space="preserve"> in Aotearoa</w:t>
      </w:r>
      <w:r w:rsidR="00255AE7" w:rsidRPr="00F7174A">
        <w:rPr>
          <w:rFonts w:ascii="Calibri" w:hAnsi="Calibri" w:cs="Calibri"/>
        </w:rPr>
        <w:t>.</w:t>
      </w:r>
      <w:r w:rsidR="003D640C">
        <w:rPr>
          <w:rFonts w:ascii="Calibri" w:hAnsi="Calibri" w:cs="Calibri"/>
        </w:rPr>
        <w:t xml:space="preserve"> </w:t>
      </w:r>
      <w:r w:rsidR="00255AE7" w:rsidRPr="00F7174A">
        <w:rPr>
          <w:rFonts w:ascii="Calibri" w:hAnsi="Calibri" w:cs="Calibri"/>
        </w:rPr>
        <w:t>It</w:t>
      </w:r>
      <w:r w:rsidR="003D640C">
        <w:rPr>
          <w:rFonts w:ascii="Calibri" w:hAnsi="Calibri" w:cs="Calibri"/>
        </w:rPr>
        <w:t xml:space="preserve"> </w:t>
      </w:r>
      <w:r w:rsidRPr="00F7174A">
        <w:rPr>
          <w:rFonts w:ascii="Calibri" w:hAnsi="Calibri" w:cs="Calibri"/>
        </w:rPr>
        <w:t>challenges</w:t>
      </w:r>
      <w:r w:rsidR="003D640C">
        <w:rPr>
          <w:rFonts w:ascii="Calibri" w:hAnsi="Calibri" w:cs="Calibri"/>
        </w:rPr>
        <w:t xml:space="preserve"> </w:t>
      </w:r>
      <w:r w:rsidRPr="00F7174A">
        <w:rPr>
          <w:rFonts w:ascii="Calibri" w:hAnsi="Calibri" w:cs="Calibri"/>
        </w:rPr>
        <w:t>the</w:t>
      </w:r>
      <w:r w:rsidR="003D640C">
        <w:rPr>
          <w:rFonts w:ascii="Calibri" w:hAnsi="Calibri" w:cs="Calibri"/>
        </w:rPr>
        <w:t xml:space="preserve"> </w:t>
      </w:r>
      <w:r w:rsidRPr="00F7174A">
        <w:rPr>
          <w:rFonts w:ascii="Calibri" w:hAnsi="Calibri" w:cs="Calibri"/>
        </w:rPr>
        <w:t>argument</w:t>
      </w:r>
      <w:r w:rsidR="003D640C">
        <w:rPr>
          <w:rFonts w:ascii="Calibri" w:hAnsi="Calibri" w:cs="Calibri"/>
        </w:rPr>
        <w:t xml:space="preserve"> </w:t>
      </w:r>
      <w:r w:rsidRPr="00F7174A">
        <w:rPr>
          <w:rFonts w:ascii="Calibri" w:hAnsi="Calibri" w:cs="Calibri"/>
        </w:rPr>
        <w:t>used</w:t>
      </w:r>
      <w:r w:rsidR="003D640C">
        <w:rPr>
          <w:rFonts w:ascii="Calibri" w:hAnsi="Calibri" w:cs="Calibri"/>
        </w:rPr>
        <w:t xml:space="preserve"> </w:t>
      </w:r>
      <w:r w:rsidRPr="00F7174A">
        <w:rPr>
          <w:rFonts w:ascii="Calibri" w:hAnsi="Calibri" w:cs="Calibri"/>
        </w:rPr>
        <w:t>by</w:t>
      </w:r>
      <w:r w:rsidR="003D640C">
        <w:rPr>
          <w:rFonts w:ascii="Calibri" w:hAnsi="Calibri" w:cs="Calibri"/>
        </w:rPr>
        <w:t xml:space="preserve"> </w:t>
      </w:r>
      <w:r w:rsidRPr="00F7174A">
        <w:rPr>
          <w:rFonts w:ascii="Calibri" w:hAnsi="Calibri" w:cs="Calibri"/>
        </w:rPr>
        <w:t>those</w:t>
      </w:r>
      <w:r w:rsidR="003D640C">
        <w:rPr>
          <w:rFonts w:ascii="Calibri" w:hAnsi="Calibri" w:cs="Calibri"/>
        </w:rPr>
        <w:t xml:space="preserve"> </w:t>
      </w:r>
      <w:r w:rsidRPr="00F7174A">
        <w:rPr>
          <w:rFonts w:ascii="Calibri" w:hAnsi="Calibri" w:cs="Calibri"/>
        </w:rPr>
        <w:t>who</w:t>
      </w:r>
      <w:r w:rsidR="003D640C">
        <w:rPr>
          <w:rFonts w:ascii="Calibri" w:hAnsi="Calibri" w:cs="Calibri"/>
        </w:rPr>
        <w:t xml:space="preserve"> </w:t>
      </w:r>
      <w:r w:rsidRPr="00F7174A">
        <w:rPr>
          <w:rFonts w:ascii="Calibri" w:hAnsi="Calibri" w:cs="Calibri"/>
        </w:rPr>
        <w:t>oppose</w:t>
      </w:r>
      <w:r w:rsidR="003D640C">
        <w:rPr>
          <w:rFonts w:ascii="Calibri" w:hAnsi="Calibri" w:cs="Calibri"/>
        </w:rPr>
        <w:t xml:space="preserve"> </w:t>
      </w:r>
      <w:r w:rsidRPr="00F7174A">
        <w:rPr>
          <w:rFonts w:ascii="Calibri" w:hAnsi="Calibri" w:cs="Calibri"/>
        </w:rPr>
        <w:t>the</w:t>
      </w:r>
      <w:r w:rsidR="003D640C">
        <w:rPr>
          <w:rFonts w:ascii="Calibri" w:hAnsi="Calibri" w:cs="Calibri"/>
        </w:rPr>
        <w:t xml:space="preserve"> </w:t>
      </w:r>
      <w:r w:rsidRPr="00F7174A">
        <w:rPr>
          <w:rFonts w:ascii="Calibri" w:hAnsi="Calibri" w:cs="Calibri"/>
        </w:rPr>
        <w:t>CP</w:t>
      </w:r>
      <w:r w:rsidR="2BDB23BB" w:rsidRPr="00F7174A">
        <w:rPr>
          <w:rFonts w:ascii="Calibri" w:hAnsi="Calibri" w:cs="Calibri"/>
        </w:rPr>
        <w:t>PL</w:t>
      </w:r>
      <w:r w:rsidRPr="00F7174A">
        <w:rPr>
          <w:rFonts w:ascii="Calibri" w:hAnsi="Calibri" w:cs="Calibri"/>
        </w:rPr>
        <w:t>A</w:t>
      </w:r>
      <w:r w:rsidR="003D640C">
        <w:rPr>
          <w:rFonts w:ascii="Calibri" w:hAnsi="Calibri" w:cs="Calibri"/>
        </w:rPr>
        <w:t xml:space="preserve"> </w:t>
      </w:r>
      <w:r w:rsidRPr="00F7174A">
        <w:rPr>
          <w:rFonts w:ascii="Calibri" w:hAnsi="Calibri" w:cs="Calibri"/>
        </w:rPr>
        <w:t>by</w:t>
      </w:r>
      <w:r w:rsidR="003D640C">
        <w:rPr>
          <w:rFonts w:ascii="Calibri" w:hAnsi="Calibri" w:cs="Calibri"/>
        </w:rPr>
        <w:t xml:space="preserve"> </w:t>
      </w:r>
      <w:r w:rsidRPr="00F7174A">
        <w:rPr>
          <w:rFonts w:ascii="Calibri" w:hAnsi="Calibri" w:cs="Calibri"/>
        </w:rPr>
        <w:t>suggesting</w:t>
      </w:r>
      <w:r w:rsidR="003D640C">
        <w:rPr>
          <w:rFonts w:ascii="Calibri" w:hAnsi="Calibri" w:cs="Calibri"/>
        </w:rPr>
        <w:t xml:space="preserve"> </w:t>
      </w:r>
      <w:r w:rsidRPr="00F7174A">
        <w:rPr>
          <w:rFonts w:ascii="Calibri" w:hAnsi="Calibri" w:cs="Calibri"/>
        </w:rPr>
        <w:t>that</w:t>
      </w:r>
      <w:r w:rsidR="003D640C">
        <w:rPr>
          <w:rFonts w:ascii="Calibri" w:hAnsi="Calibri" w:cs="Calibri"/>
        </w:rPr>
        <w:t xml:space="preserve"> </w:t>
      </w:r>
      <w:r w:rsidRPr="00F7174A">
        <w:rPr>
          <w:rFonts w:ascii="Calibri" w:hAnsi="Calibri" w:cs="Calibri"/>
        </w:rPr>
        <w:t>Rainbow</w:t>
      </w:r>
      <w:r w:rsidR="003D640C">
        <w:rPr>
          <w:rFonts w:ascii="Calibri" w:hAnsi="Calibri" w:cs="Calibri"/>
        </w:rPr>
        <w:t xml:space="preserve"> </w:t>
      </w:r>
      <w:r w:rsidRPr="00F7174A">
        <w:rPr>
          <w:rFonts w:ascii="Calibri" w:hAnsi="Calibri" w:cs="Calibri"/>
        </w:rPr>
        <w:t>rights</w:t>
      </w:r>
      <w:r w:rsidR="003D640C">
        <w:rPr>
          <w:rFonts w:ascii="Calibri" w:hAnsi="Calibri" w:cs="Calibri"/>
        </w:rPr>
        <w:t xml:space="preserve"> </w:t>
      </w:r>
      <w:r w:rsidRPr="00F7174A">
        <w:rPr>
          <w:rFonts w:ascii="Calibri" w:hAnsi="Calibri" w:cs="Calibri"/>
        </w:rPr>
        <w:t>are</w:t>
      </w:r>
      <w:r w:rsidR="003D640C">
        <w:rPr>
          <w:rFonts w:ascii="Calibri" w:hAnsi="Calibri" w:cs="Calibri"/>
        </w:rPr>
        <w:t xml:space="preserve"> </w:t>
      </w:r>
      <w:r w:rsidRPr="00F7174A">
        <w:rPr>
          <w:rFonts w:ascii="Calibri" w:hAnsi="Calibri" w:cs="Calibri"/>
        </w:rPr>
        <w:t>antithetical</w:t>
      </w:r>
      <w:r w:rsidR="003D640C">
        <w:rPr>
          <w:rFonts w:ascii="Calibri" w:hAnsi="Calibri" w:cs="Calibri"/>
        </w:rPr>
        <w:t xml:space="preserve"> </w:t>
      </w:r>
      <w:r w:rsidRPr="00F7174A">
        <w:rPr>
          <w:rFonts w:ascii="Calibri" w:hAnsi="Calibri" w:cs="Calibri"/>
        </w:rPr>
        <w:t>to</w:t>
      </w:r>
      <w:r w:rsidR="003D640C">
        <w:rPr>
          <w:rFonts w:ascii="Calibri" w:hAnsi="Calibri" w:cs="Calibri"/>
        </w:rPr>
        <w:t xml:space="preserve"> </w:t>
      </w:r>
      <w:r w:rsidRPr="00F7174A">
        <w:rPr>
          <w:rFonts w:ascii="Calibri" w:hAnsi="Calibri" w:cs="Calibri"/>
        </w:rPr>
        <w:t>family</w:t>
      </w:r>
      <w:r w:rsidR="003D640C">
        <w:rPr>
          <w:rFonts w:ascii="Calibri" w:hAnsi="Calibri" w:cs="Calibri"/>
        </w:rPr>
        <w:t xml:space="preserve"> </w:t>
      </w:r>
      <w:r w:rsidRPr="00F7174A">
        <w:rPr>
          <w:rFonts w:ascii="Calibri" w:hAnsi="Calibri" w:cs="Calibri"/>
        </w:rPr>
        <w:t>values</w:t>
      </w:r>
      <w:r w:rsidR="003D640C">
        <w:rPr>
          <w:rFonts w:ascii="Calibri" w:hAnsi="Calibri" w:cs="Calibri"/>
        </w:rPr>
        <w:t xml:space="preserve"> </w:t>
      </w:r>
      <w:r w:rsidRPr="00F7174A">
        <w:rPr>
          <w:rFonts w:ascii="Calibri" w:hAnsi="Calibri" w:cs="Calibri"/>
        </w:rPr>
        <w:t>and</w:t>
      </w:r>
      <w:r w:rsidR="003D640C">
        <w:rPr>
          <w:rFonts w:ascii="Calibri" w:hAnsi="Calibri" w:cs="Calibri"/>
        </w:rPr>
        <w:t xml:space="preserve"> </w:t>
      </w:r>
      <w:r w:rsidRPr="00F7174A">
        <w:rPr>
          <w:rFonts w:ascii="Calibri" w:hAnsi="Calibri" w:cs="Calibri"/>
        </w:rPr>
        <w:t>children’s</w:t>
      </w:r>
      <w:r w:rsidR="003D640C">
        <w:rPr>
          <w:rFonts w:ascii="Calibri" w:hAnsi="Calibri" w:cs="Calibri"/>
        </w:rPr>
        <w:t xml:space="preserve"> </w:t>
      </w:r>
      <w:r w:rsidRPr="00F7174A">
        <w:rPr>
          <w:rFonts w:ascii="Calibri" w:hAnsi="Calibri" w:cs="Calibri"/>
        </w:rPr>
        <w:t>wellbeing.</w:t>
      </w:r>
      <w:r w:rsidR="003D640C">
        <w:rPr>
          <w:rFonts w:ascii="Calibri" w:hAnsi="Calibri" w:cs="Calibri"/>
        </w:rPr>
        <w:t xml:space="preserve"> </w:t>
      </w:r>
      <w:r w:rsidR="008250B1" w:rsidRPr="00F7174A">
        <w:rPr>
          <w:rFonts w:ascii="Calibri" w:hAnsi="Calibri" w:cs="Calibri"/>
        </w:rPr>
        <w:t>A</w:t>
      </w:r>
      <w:r w:rsidRPr="00F7174A">
        <w:rPr>
          <w:rFonts w:ascii="Calibri" w:hAnsi="Calibri" w:cs="Calibri"/>
        </w:rPr>
        <w:t>cceptance,</w:t>
      </w:r>
      <w:r w:rsidR="003D640C">
        <w:rPr>
          <w:rFonts w:ascii="Calibri" w:hAnsi="Calibri" w:cs="Calibri"/>
        </w:rPr>
        <w:t xml:space="preserve"> </w:t>
      </w:r>
      <w:r w:rsidRPr="00F7174A">
        <w:rPr>
          <w:rFonts w:ascii="Calibri" w:hAnsi="Calibri" w:cs="Calibri"/>
        </w:rPr>
        <w:t>inclusion</w:t>
      </w:r>
      <w:r w:rsidR="0011177E" w:rsidRPr="00F7174A">
        <w:rPr>
          <w:rFonts w:ascii="Calibri" w:hAnsi="Calibri" w:cs="Calibri"/>
        </w:rPr>
        <w:t>,</w:t>
      </w:r>
      <w:r w:rsidR="003D640C">
        <w:rPr>
          <w:rFonts w:ascii="Calibri" w:hAnsi="Calibri" w:cs="Calibri"/>
        </w:rPr>
        <w:t xml:space="preserve"> </w:t>
      </w:r>
      <w:r w:rsidRPr="00F7174A">
        <w:rPr>
          <w:rFonts w:ascii="Calibri" w:hAnsi="Calibri" w:cs="Calibri"/>
        </w:rPr>
        <w:t>and</w:t>
      </w:r>
      <w:r w:rsidR="003D640C">
        <w:rPr>
          <w:rFonts w:ascii="Calibri" w:hAnsi="Calibri" w:cs="Calibri"/>
        </w:rPr>
        <w:t xml:space="preserve"> </w:t>
      </w:r>
      <w:r w:rsidRPr="00F7174A">
        <w:rPr>
          <w:rFonts w:ascii="Calibri" w:hAnsi="Calibri" w:cs="Calibri"/>
        </w:rPr>
        <w:t>affirmation</w:t>
      </w:r>
      <w:r w:rsidR="003D640C">
        <w:rPr>
          <w:rFonts w:ascii="Calibri" w:hAnsi="Calibri" w:cs="Calibri"/>
        </w:rPr>
        <w:t xml:space="preserve"> </w:t>
      </w:r>
      <w:r w:rsidRPr="00F7174A">
        <w:rPr>
          <w:rFonts w:ascii="Calibri" w:hAnsi="Calibri" w:cs="Calibri"/>
        </w:rPr>
        <w:t>of</w:t>
      </w:r>
      <w:r w:rsidR="003D640C">
        <w:rPr>
          <w:rFonts w:ascii="Calibri" w:hAnsi="Calibri" w:cs="Calibri"/>
        </w:rPr>
        <w:t xml:space="preserve"> </w:t>
      </w:r>
      <w:r w:rsidRPr="00F7174A">
        <w:rPr>
          <w:rFonts w:ascii="Calibri" w:hAnsi="Calibri" w:cs="Calibri"/>
        </w:rPr>
        <w:t>Rainbow</w:t>
      </w:r>
      <w:r w:rsidR="003D640C">
        <w:rPr>
          <w:rFonts w:ascii="Calibri" w:hAnsi="Calibri" w:cs="Calibri"/>
        </w:rPr>
        <w:t xml:space="preserve"> </w:t>
      </w:r>
      <w:r w:rsidRPr="00F7174A">
        <w:rPr>
          <w:rFonts w:ascii="Calibri" w:hAnsi="Calibri" w:cs="Calibri"/>
        </w:rPr>
        <w:t>people</w:t>
      </w:r>
      <w:r w:rsidR="003D640C">
        <w:rPr>
          <w:rFonts w:ascii="Calibri" w:hAnsi="Calibri" w:cs="Calibri"/>
        </w:rPr>
        <w:t xml:space="preserve"> </w:t>
      </w:r>
      <w:r w:rsidRPr="00F7174A">
        <w:rPr>
          <w:rFonts w:ascii="Calibri" w:hAnsi="Calibri" w:cs="Calibri"/>
        </w:rPr>
        <w:t>by</w:t>
      </w:r>
      <w:r w:rsidR="003D640C">
        <w:rPr>
          <w:rFonts w:ascii="Calibri" w:hAnsi="Calibri" w:cs="Calibri"/>
        </w:rPr>
        <w:t xml:space="preserve"> </w:t>
      </w:r>
      <w:r w:rsidR="00A82400">
        <w:rPr>
          <w:rFonts w:ascii="Calibri" w:hAnsi="Calibri" w:cs="Calibri"/>
        </w:rPr>
        <w:t xml:space="preserve">their </w:t>
      </w:r>
      <w:r w:rsidRPr="00F7174A">
        <w:rPr>
          <w:rFonts w:ascii="Calibri" w:hAnsi="Calibri" w:cs="Calibri"/>
        </w:rPr>
        <w:t>families,</w:t>
      </w:r>
      <w:r w:rsidR="003D640C">
        <w:rPr>
          <w:rFonts w:ascii="Calibri" w:hAnsi="Calibri" w:cs="Calibri"/>
        </w:rPr>
        <w:t xml:space="preserve"> </w:t>
      </w:r>
      <w:r w:rsidRPr="00F7174A">
        <w:rPr>
          <w:rFonts w:ascii="Calibri" w:hAnsi="Calibri" w:cs="Calibri"/>
        </w:rPr>
        <w:t>religious</w:t>
      </w:r>
      <w:r w:rsidR="0011177E" w:rsidRPr="00F7174A">
        <w:rPr>
          <w:rFonts w:ascii="Calibri" w:hAnsi="Calibri" w:cs="Calibri"/>
        </w:rPr>
        <w:t>,</w:t>
      </w:r>
      <w:r w:rsidR="003D640C">
        <w:rPr>
          <w:rFonts w:ascii="Calibri" w:hAnsi="Calibri" w:cs="Calibri"/>
        </w:rPr>
        <w:t xml:space="preserve"> </w:t>
      </w:r>
      <w:r w:rsidRPr="00F7174A">
        <w:rPr>
          <w:rFonts w:ascii="Calibri" w:hAnsi="Calibri" w:cs="Calibri"/>
        </w:rPr>
        <w:t>and</w:t>
      </w:r>
      <w:r w:rsidR="003D640C">
        <w:rPr>
          <w:rFonts w:ascii="Calibri" w:hAnsi="Calibri" w:cs="Calibri"/>
        </w:rPr>
        <w:t xml:space="preserve"> </w:t>
      </w:r>
      <w:r w:rsidRPr="00F7174A">
        <w:rPr>
          <w:rFonts w:ascii="Calibri" w:hAnsi="Calibri" w:cs="Calibri"/>
        </w:rPr>
        <w:t>cultural</w:t>
      </w:r>
      <w:r w:rsidR="003D640C">
        <w:rPr>
          <w:rFonts w:ascii="Calibri" w:hAnsi="Calibri" w:cs="Calibri"/>
        </w:rPr>
        <w:t xml:space="preserve"> </w:t>
      </w:r>
      <w:r w:rsidRPr="00F7174A">
        <w:rPr>
          <w:rFonts w:ascii="Calibri" w:hAnsi="Calibri" w:cs="Calibri"/>
        </w:rPr>
        <w:t>settings</w:t>
      </w:r>
      <w:r w:rsidR="003D640C">
        <w:rPr>
          <w:rFonts w:ascii="Calibri" w:hAnsi="Calibri" w:cs="Calibri"/>
        </w:rPr>
        <w:t xml:space="preserve"> </w:t>
      </w:r>
      <w:r w:rsidR="001431AD">
        <w:rPr>
          <w:rFonts w:ascii="Calibri" w:hAnsi="Calibri" w:cs="Calibri"/>
        </w:rPr>
        <w:t xml:space="preserve">promotes </w:t>
      </w:r>
      <w:r w:rsidRPr="00F7174A">
        <w:rPr>
          <w:rFonts w:ascii="Calibri" w:hAnsi="Calibri" w:cs="Calibri"/>
        </w:rPr>
        <w:t>familial</w:t>
      </w:r>
      <w:r w:rsidR="003D640C">
        <w:rPr>
          <w:rFonts w:ascii="Calibri" w:hAnsi="Calibri" w:cs="Calibri"/>
        </w:rPr>
        <w:t xml:space="preserve"> </w:t>
      </w:r>
      <w:r w:rsidRPr="00F7174A">
        <w:rPr>
          <w:rFonts w:ascii="Calibri" w:hAnsi="Calibri" w:cs="Calibri"/>
        </w:rPr>
        <w:t>and</w:t>
      </w:r>
      <w:r w:rsidR="003D640C">
        <w:rPr>
          <w:rFonts w:ascii="Calibri" w:hAnsi="Calibri" w:cs="Calibri"/>
        </w:rPr>
        <w:t xml:space="preserve"> </w:t>
      </w:r>
      <w:r w:rsidRPr="00F7174A">
        <w:rPr>
          <w:rFonts w:ascii="Calibri" w:hAnsi="Calibri" w:cs="Calibri"/>
        </w:rPr>
        <w:t>societal</w:t>
      </w:r>
      <w:r w:rsidR="003D640C">
        <w:rPr>
          <w:rFonts w:ascii="Calibri" w:hAnsi="Calibri" w:cs="Calibri"/>
        </w:rPr>
        <w:t xml:space="preserve"> </w:t>
      </w:r>
      <w:r w:rsidRPr="00F7174A">
        <w:rPr>
          <w:rFonts w:ascii="Calibri" w:hAnsi="Calibri" w:cs="Calibri"/>
        </w:rPr>
        <w:t>cohesion.</w:t>
      </w:r>
    </w:p>
    <w:p w14:paraId="009F83C0" w14:textId="56F4ACE2" w:rsidR="00F75393" w:rsidRPr="00BB6220" w:rsidRDefault="007978AC" w:rsidP="00E00167">
      <w:r w:rsidRPr="00F7174A">
        <w:t>This</w:t>
      </w:r>
      <w:r w:rsidR="003D640C">
        <w:t xml:space="preserve"> </w:t>
      </w:r>
      <w:r w:rsidRPr="00F7174A">
        <w:t>report</w:t>
      </w:r>
      <w:r w:rsidR="003D640C">
        <w:t xml:space="preserve"> </w:t>
      </w:r>
      <w:r w:rsidRPr="00F7174A">
        <w:t>concludes</w:t>
      </w:r>
      <w:r w:rsidR="003D640C">
        <w:t xml:space="preserve"> </w:t>
      </w:r>
      <w:r w:rsidRPr="00F7174A">
        <w:t>with</w:t>
      </w:r>
      <w:r w:rsidR="003D640C">
        <w:t xml:space="preserve"> </w:t>
      </w:r>
      <w:r w:rsidR="00144CE0" w:rsidRPr="00F7174A">
        <w:t>nuanced</w:t>
      </w:r>
      <w:r w:rsidR="003D640C">
        <w:t xml:space="preserve"> </w:t>
      </w:r>
      <w:r w:rsidR="00857FE8" w:rsidRPr="00F7174A">
        <w:t>advice</w:t>
      </w:r>
      <w:r w:rsidR="003D640C">
        <w:t xml:space="preserve"> </w:t>
      </w:r>
      <w:r w:rsidR="00144CE0" w:rsidRPr="00F7174A">
        <w:t>informed</w:t>
      </w:r>
      <w:r w:rsidR="003D640C">
        <w:t xml:space="preserve"> </w:t>
      </w:r>
      <w:r w:rsidR="00144CE0" w:rsidRPr="00F7174A">
        <w:t>by</w:t>
      </w:r>
      <w:r w:rsidR="003D640C">
        <w:t xml:space="preserve"> </w:t>
      </w:r>
      <w:r w:rsidR="00144CE0" w:rsidRPr="00F7174A">
        <w:t>lived</w:t>
      </w:r>
      <w:r w:rsidR="003D640C">
        <w:t xml:space="preserve"> </w:t>
      </w:r>
      <w:r w:rsidR="00144CE0" w:rsidRPr="00F7174A">
        <w:t>experience</w:t>
      </w:r>
      <w:r w:rsidR="003D640C">
        <w:t xml:space="preserve"> </w:t>
      </w:r>
      <w:r w:rsidR="00857FE8" w:rsidRPr="00F7174A">
        <w:t>about</w:t>
      </w:r>
      <w:r w:rsidR="003D640C">
        <w:t xml:space="preserve"> </w:t>
      </w:r>
      <w:r w:rsidR="00857FE8" w:rsidRPr="00F7174A">
        <w:t>the</w:t>
      </w:r>
      <w:r w:rsidR="003D640C">
        <w:t xml:space="preserve"> </w:t>
      </w:r>
      <w:r w:rsidR="00857FE8" w:rsidRPr="00F7174A">
        <w:t>support</w:t>
      </w:r>
      <w:r w:rsidR="003D640C">
        <w:t xml:space="preserve"> </w:t>
      </w:r>
      <w:r w:rsidR="00857FE8" w:rsidRPr="00F7174A">
        <w:t>survivors</w:t>
      </w:r>
      <w:r w:rsidR="003D640C">
        <w:t xml:space="preserve"> </w:t>
      </w:r>
      <w:r w:rsidR="00906347" w:rsidRPr="00F7174A">
        <w:t>need</w:t>
      </w:r>
      <w:r w:rsidR="003D640C">
        <w:t xml:space="preserve"> </w:t>
      </w:r>
      <w:r w:rsidR="00DC4639" w:rsidRPr="00F7174A">
        <w:t>to</w:t>
      </w:r>
      <w:r w:rsidR="003D640C">
        <w:t xml:space="preserve"> </w:t>
      </w:r>
      <w:r w:rsidR="00DC4639" w:rsidRPr="00F7174A">
        <w:t>promote</w:t>
      </w:r>
      <w:r w:rsidR="003D640C">
        <w:t xml:space="preserve"> </w:t>
      </w:r>
      <w:r w:rsidR="00DC4639" w:rsidRPr="00F7174A">
        <w:t>healing</w:t>
      </w:r>
      <w:r w:rsidR="000421C6">
        <w:t>.</w:t>
      </w:r>
      <w:r w:rsidR="003D640C">
        <w:t xml:space="preserve"> </w:t>
      </w:r>
      <w:r w:rsidR="00DC4639">
        <w:t>In</w:t>
      </w:r>
      <w:r w:rsidR="003D640C">
        <w:t xml:space="preserve"> </w:t>
      </w:r>
      <w:r w:rsidR="00DC4639">
        <w:t>addition</w:t>
      </w:r>
      <w:r w:rsidR="003D640C">
        <w:t xml:space="preserve"> </w:t>
      </w:r>
      <w:r w:rsidR="00DC4639">
        <w:t>to</w:t>
      </w:r>
      <w:r w:rsidR="003D640C">
        <w:t xml:space="preserve"> </w:t>
      </w:r>
      <w:r w:rsidR="00DC4639">
        <w:t>the</w:t>
      </w:r>
      <w:r w:rsidR="003D640C">
        <w:t xml:space="preserve"> </w:t>
      </w:r>
      <w:r w:rsidR="00DC4639">
        <w:t>advice</w:t>
      </w:r>
      <w:r w:rsidR="003D640C">
        <w:t xml:space="preserve"> </w:t>
      </w:r>
      <w:r w:rsidR="00DC4639">
        <w:t>included</w:t>
      </w:r>
      <w:r w:rsidR="003D640C">
        <w:t xml:space="preserve"> </w:t>
      </w:r>
      <w:r w:rsidR="00DC4639">
        <w:t>in</w:t>
      </w:r>
      <w:r w:rsidR="003D640C">
        <w:t xml:space="preserve"> </w:t>
      </w:r>
      <w:r w:rsidR="00DC4639">
        <w:t>this</w:t>
      </w:r>
      <w:r w:rsidR="003D640C">
        <w:t xml:space="preserve"> </w:t>
      </w:r>
      <w:r w:rsidR="00DC4639">
        <w:t>report,</w:t>
      </w:r>
      <w:r w:rsidR="003D640C">
        <w:t xml:space="preserve"> </w:t>
      </w:r>
      <w:r w:rsidR="00DC4639">
        <w:t>further</w:t>
      </w:r>
      <w:r w:rsidR="003D640C">
        <w:t xml:space="preserve"> </w:t>
      </w:r>
      <w:r w:rsidR="00DC4639">
        <w:t>guidance</w:t>
      </w:r>
      <w:r w:rsidR="003D640C">
        <w:t xml:space="preserve"> </w:t>
      </w:r>
      <w:r w:rsidR="00DC4639">
        <w:t>is</w:t>
      </w:r>
      <w:r w:rsidR="003D640C">
        <w:t xml:space="preserve"> </w:t>
      </w:r>
      <w:r w:rsidR="00DC4639">
        <w:t>available</w:t>
      </w:r>
      <w:r w:rsidR="003D640C">
        <w:t xml:space="preserve"> </w:t>
      </w:r>
      <w:r w:rsidR="00DC4639">
        <w:t>on</w:t>
      </w:r>
      <w:r w:rsidR="003D640C">
        <w:t xml:space="preserve"> </w:t>
      </w:r>
      <w:r w:rsidR="00DC4639">
        <w:t>the</w:t>
      </w:r>
      <w:r w:rsidR="003D640C">
        <w:t xml:space="preserve"> </w:t>
      </w:r>
      <w:r w:rsidR="00DC4639">
        <w:t>Commission’s</w:t>
      </w:r>
      <w:r w:rsidR="003D640C">
        <w:t xml:space="preserve"> </w:t>
      </w:r>
      <w:r w:rsidR="00DC4639">
        <w:t>website</w:t>
      </w:r>
      <w:r w:rsidR="003611F4">
        <w:t>.</w:t>
      </w:r>
      <w:r w:rsidR="003611F4">
        <w:rPr>
          <w:rStyle w:val="FootnoteReference"/>
        </w:rPr>
        <w:footnoteReference w:id="23"/>
      </w:r>
      <w:r w:rsidR="003D640C">
        <w:t xml:space="preserve"> </w:t>
      </w:r>
    </w:p>
    <w:p w14:paraId="29788178" w14:textId="03BAA926" w:rsidR="00650550" w:rsidRPr="00501068" w:rsidRDefault="006B09F1" w:rsidP="00E00167">
      <w:pPr>
        <w:rPr>
          <w:rFonts w:ascii="Calibri" w:eastAsia="Calibri" w:hAnsi="Calibri" w:cs="Calibri"/>
          <w:b/>
          <w:bCs/>
        </w:rPr>
      </w:pPr>
      <w:r w:rsidRPr="00501068">
        <w:rPr>
          <w:rFonts w:ascii="Calibri" w:eastAsia="Calibri" w:hAnsi="Calibri" w:cs="Calibri"/>
          <w:b/>
          <w:bCs/>
        </w:rPr>
        <w:t>Eliminating</w:t>
      </w:r>
      <w:r w:rsidR="003D640C" w:rsidRPr="00501068">
        <w:rPr>
          <w:rFonts w:ascii="Calibri" w:eastAsia="Calibri" w:hAnsi="Calibri" w:cs="Calibri"/>
          <w:b/>
          <w:bCs/>
        </w:rPr>
        <w:t xml:space="preserve"> </w:t>
      </w:r>
      <w:r w:rsidR="00501068" w:rsidRPr="00501068">
        <w:rPr>
          <w:rFonts w:ascii="Calibri" w:eastAsia="Calibri" w:hAnsi="Calibri" w:cs="Calibri"/>
          <w:b/>
          <w:bCs/>
        </w:rPr>
        <w:t>c</w:t>
      </w:r>
      <w:r w:rsidRPr="00501068">
        <w:rPr>
          <w:rFonts w:ascii="Calibri" w:eastAsia="Calibri" w:hAnsi="Calibri" w:cs="Calibri"/>
          <w:b/>
          <w:bCs/>
        </w:rPr>
        <w:t>onversion</w:t>
      </w:r>
      <w:r w:rsidR="003D640C" w:rsidRPr="00501068">
        <w:rPr>
          <w:rFonts w:ascii="Calibri" w:eastAsia="Calibri" w:hAnsi="Calibri" w:cs="Calibri"/>
          <w:b/>
          <w:bCs/>
        </w:rPr>
        <w:t xml:space="preserve"> </w:t>
      </w:r>
      <w:r w:rsidR="00501068" w:rsidRPr="00501068">
        <w:rPr>
          <w:rFonts w:ascii="Calibri" w:eastAsia="Calibri" w:hAnsi="Calibri" w:cs="Calibri"/>
          <w:b/>
          <w:bCs/>
        </w:rPr>
        <w:t>p</w:t>
      </w:r>
      <w:r w:rsidRPr="00501068">
        <w:rPr>
          <w:rFonts w:ascii="Calibri" w:eastAsia="Calibri" w:hAnsi="Calibri" w:cs="Calibri"/>
          <w:b/>
          <w:bCs/>
        </w:rPr>
        <w:t>ractices</w:t>
      </w:r>
    </w:p>
    <w:p w14:paraId="7259A4A0" w14:textId="2BE97910" w:rsidR="00501068" w:rsidRDefault="00F75393" w:rsidP="00E00167">
      <w:pPr>
        <w:rPr>
          <w:rFonts w:ascii="Calibri" w:eastAsia="Calibri" w:hAnsi="Calibri" w:cs="Calibri"/>
        </w:rPr>
      </w:pP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law</w:t>
      </w:r>
      <w:r w:rsidR="003D640C">
        <w:rPr>
          <w:rFonts w:ascii="Calibri" w:eastAsia="Calibri" w:hAnsi="Calibri" w:cs="Calibri"/>
        </w:rPr>
        <w:t xml:space="preserve"> </w:t>
      </w:r>
      <w:r>
        <w:rPr>
          <w:rFonts w:ascii="Calibri" w:eastAsia="Calibri" w:hAnsi="Calibri" w:cs="Calibri"/>
        </w:rPr>
        <w:t>changes</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made</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sidR="00273F25">
        <w:rPr>
          <w:rFonts w:ascii="Calibri" w:eastAsia="Calibri" w:hAnsi="Calibri" w:cs="Calibri"/>
        </w:rPr>
        <w:t>unlawfu</w:t>
      </w:r>
      <w:r>
        <w:rPr>
          <w:rFonts w:ascii="Calibri" w:eastAsia="Calibri" w:hAnsi="Calibri" w:cs="Calibri"/>
        </w:rPr>
        <w:t>l</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Aotearoa</w:t>
      </w:r>
      <w:r w:rsidR="003D640C">
        <w:rPr>
          <w:rFonts w:ascii="Calibri" w:eastAsia="Calibri" w:hAnsi="Calibri" w:cs="Calibri"/>
        </w:rPr>
        <w:t xml:space="preserve"> </w:t>
      </w:r>
      <w:r>
        <w:rPr>
          <w:rFonts w:ascii="Calibri" w:eastAsia="Calibri" w:hAnsi="Calibri" w:cs="Calibri"/>
        </w:rPr>
        <w:t>New</w:t>
      </w:r>
      <w:r w:rsidR="003D640C">
        <w:rPr>
          <w:rFonts w:ascii="Calibri" w:eastAsia="Calibri" w:hAnsi="Calibri" w:cs="Calibri"/>
        </w:rPr>
        <w:t xml:space="preserve"> </w:t>
      </w:r>
      <w:r>
        <w:rPr>
          <w:rFonts w:ascii="Calibri" w:eastAsia="Calibri" w:hAnsi="Calibri" w:cs="Calibri"/>
        </w:rPr>
        <w:t>Zealand</w:t>
      </w:r>
      <w:r w:rsidR="003D640C">
        <w:rPr>
          <w:rFonts w:ascii="Calibri" w:eastAsia="Calibri" w:hAnsi="Calibri" w:cs="Calibri"/>
        </w:rPr>
        <w:t xml:space="preserve"> </w:t>
      </w:r>
      <w:r>
        <w:rPr>
          <w:rFonts w:ascii="Calibri" w:eastAsia="Calibri" w:hAnsi="Calibri" w:cs="Calibri"/>
        </w:rPr>
        <w:t>were</w:t>
      </w:r>
      <w:r w:rsidR="003D640C">
        <w:rPr>
          <w:rFonts w:ascii="Calibri" w:eastAsia="Calibri" w:hAnsi="Calibri" w:cs="Calibri"/>
        </w:rPr>
        <w:t xml:space="preserve"> </w:t>
      </w:r>
      <w:r>
        <w:rPr>
          <w:rFonts w:ascii="Calibri" w:eastAsia="Calibri" w:hAnsi="Calibri" w:cs="Calibri"/>
        </w:rPr>
        <w:t>an</w:t>
      </w:r>
      <w:r w:rsidR="003D640C">
        <w:rPr>
          <w:rFonts w:ascii="Calibri" w:eastAsia="Calibri" w:hAnsi="Calibri" w:cs="Calibri"/>
        </w:rPr>
        <w:t xml:space="preserve"> </w:t>
      </w:r>
      <w:r w:rsidR="00144546">
        <w:rPr>
          <w:rFonts w:ascii="Calibri" w:eastAsia="Calibri" w:hAnsi="Calibri" w:cs="Calibri"/>
        </w:rPr>
        <w:t>important</w:t>
      </w:r>
      <w:r w:rsidR="003D640C">
        <w:rPr>
          <w:rFonts w:ascii="Calibri" w:eastAsia="Calibri" w:hAnsi="Calibri" w:cs="Calibri"/>
        </w:rPr>
        <w:t xml:space="preserve"> </w:t>
      </w:r>
      <w:r>
        <w:rPr>
          <w:rFonts w:ascii="Calibri" w:eastAsia="Calibri" w:hAnsi="Calibri" w:cs="Calibri"/>
        </w:rPr>
        <w:t>essential</w:t>
      </w:r>
      <w:r w:rsidR="003D640C">
        <w:rPr>
          <w:rFonts w:ascii="Calibri" w:eastAsia="Calibri" w:hAnsi="Calibri" w:cs="Calibri"/>
        </w:rPr>
        <w:t xml:space="preserve"> </w:t>
      </w:r>
      <w:r>
        <w:rPr>
          <w:rFonts w:ascii="Calibri" w:eastAsia="Calibri" w:hAnsi="Calibri" w:cs="Calibri"/>
        </w:rPr>
        <w:t>step</w:t>
      </w:r>
      <w:r w:rsidR="003D640C">
        <w:rPr>
          <w:rFonts w:ascii="Calibri" w:eastAsia="Calibri" w:hAnsi="Calibri" w:cs="Calibri"/>
        </w:rPr>
        <w:t xml:space="preserve"> </w:t>
      </w:r>
      <w:r w:rsidR="005C013B">
        <w:rPr>
          <w:rFonts w:ascii="Calibri" w:eastAsia="Calibri" w:hAnsi="Calibri" w:cs="Calibri"/>
        </w:rPr>
        <w:t xml:space="preserve">towards </w:t>
      </w:r>
      <w:r w:rsidDel="00346AA4">
        <w:rPr>
          <w:rFonts w:ascii="Calibri" w:eastAsia="Calibri" w:hAnsi="Calibri" w:cs="Calibri"/>
        </w:rPr>
        <w:t>eliminating</w:t>
      </w:r>
      <w:r w:rsidR="003D640C">
        <w:rPr>
          <w:rFonts w:ascii="Calibri" w:eastAsia="Calibri" w:hAnsi="Calibri" w:cs="Calibri"/>
        </w:rPr>
        <w:t xml:space="preserve"> </w:t>
      </w:r>
      <w:r>
        <w:rPr>
          <w:rFonts w:ascii="Calibri" w:eastAsia="Calibri" w:hAnsi="Calibri" w:cs="Calibri"/>
        </w:rPr>
        <w:t>these</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profound</w:t>
      </w:r>
      <w:r w:rsidR="003D640C">
        <w:rPr>
          <w:rFonts w:ascii="Calibri" w:eastAsia="Calibri" w:hAnsi="Calibri" w:cs="Calibri"/>
        </w:rPr>
        <w:t xml:space="preserve"> </w:t>
      </w:r>
      <w:r>
        <w:rPr>
          <w:rFonts w:ascii="Calibri" w:eastAsia="Calibri" w:hAnsi="Calibri" w:cs="Calibri"/>
        </w:rPr>
        <w:t>harm</w:t>
      </w:r>
      <w:r w:rsidR="003D640C">
        <w:rPr>
          <w:rFonts w:ascii="Calibri" w:eastAsia="Calibri" w:hAnsi="Calibri" w:cs="Calibri"/>
        </w:rPr>
        <w:t xml:space="preserve"> </w:t>
      </w:r>
      <w:r>
        <w:rPr>
          <w:rFonts w:ascii="Calibri" w:eastAsia="Calibri" w:hAnsi="Calibri" w:cs="Calibri"/>
        </w:rPr>
        <w:t>they</w:t>
      </w:r>
      <w:r w:rsidR="003D640C">
        <w:rPr>
          <w:rFonts w:ascii="Calibri" w:eastAsia="Calibri" w:hAnsi="Calibri" w:cs="Calibri"/>
        </w:rPr>
        <w:t xml:space="preserve"> </w:t>
      </w:r>
      <w:r>
        <w:rPr>
          <w:rFonts w:ascii="Calibri" w:eastAsia="Calibri" w:hAnsi="Calibri" w:cs="Calibri"/>
        </w:rPr>
        <w:t>cause.</w:t>
      </w:r>
      <w:r w:rsidR="003D640C">
        <w:rPr>
          <w:rFonts w:ascii="Calibri" w:eastAsia="Calibri" w:hAnsi="Calibri" w:cs="Calibri"/>
        </w:rPr>
        <w:t xml:space="preserve"> </w:t>
      </w:r>
      <w:r>
        <w:rPr>
          <w:rFonts w:ascii="Calibri" w:eastAsia="Calibri" w:hAnsi="Calibri" w:cs="Calibri"/>
        </w:rPr>
        <w:t>However,</w:t>
      </w:r>
      <w:r w:rsidR="003D640C">
        <w:rPr>
          <w:rFonts w:ascii="Calibri" w:eastAsia="Calibri" w:hAnsi="Calibri" w:cs="Calibri"/>
        </w:rPr>
        <w:t xml:space="preserve"> </w:t>
      </w:r>
      <w:r>
        <w:rPr>
          <w:rFonts w:ascii="Calibri" w:eastAsia="Calibri" w:hAnsi="Calibri" w:cs="Calibri"/>
        </w:rPr>
        <w:t>unless</w:t>
      </w:r>
      <w:r w:rsidR="003D640C">
        <w:rPr>
          <w:rFonts w:ascii="Calibri" w:eastAsia="Calibri" w:hAnsi="Calibri" w:cs="Calibri"/>
        </w:rPr>
        <w:t xml:space="preserve"> </w:t>
      </w:r>
      <w:r>
        <w:rPr>
          <w:rFonts w:ascii="Calibri" w:eastAsia="Calibri" w:hAnsi="Calibri" w:cs="Calibri"/>
        </w:rPr>
        <w:t>concerted</w:t>
      </w:r>
      <w:r w:rsidR="003D640C">
        <w:rPr>
          <w:rFonts w:ascii="Calibri" w:eastAsia="Calibri" w:hAnsi="Calibri" w:cs="Calibri"/>
        </w:rPr>
        <w:t xml:space="preserve"> </w:t>
      </w:r>
      <w:r>
        <w:rPr>
          <w:rFonts w:ascii="Calibri" w:eastAsia="Calibri" w:hAnsi="Calibri" w:cs="Calibri"/>
        </w:rPr>
        <w:t>efforts</w:t>
      </w:r>
      <w:r w:rsidR="003D640C">
        <w:rPr>
          <w:rFonts w:ascii="Calibri" w:eastAsia="Calibri" w:hAnsi="Calibri" w:cs="Calibri"/>
        </w:rPr>
        <w:t xml:space="preserve"> </w:t>
      </w:r>
      <w:r>
        <w:rPr>
          <w:rFonts w:ascii="Calibri" w:eastAsia="Calibri" w:hAnsi="Calibri" w:cs="Calibri"/>
        </w:rPr>
        <w:t>are</w:t>
      </w:r>
      <w:r w:rsidR="003D640C">
        <w:rPr>
          <w:rFonts w:ascii="Calibri" w:eastAsia="Calibri" w:hAnsi="Calibri" w:cs="Calibri"/>
        </w:rPr>
        <w:t xml:space="preserve"> </w:t>
      </w:r>
      <w:r>
        <w:rPr>
          <w:rFonts w:ascii="Calibri" w:eastAsia="Calibri" w:hAnsi="Calibri" w:cs="Calibri"/>
        </w:rPr>
        <w:t>made</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address</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conditions</w:t>
      </w:r>
      <w:r w:rsidR="003D640C">
        <w:rPr>
          <w:rFonts w:ascii="Calibri" w:eastAsia="Calibri" w:hAnsi="Calibri" w:cs="Calibri"/>
        </w:rPr>
        <w:t xml:space="preserve"> </w:t>
      </w:r>
      <w:r w:rsidR="004755B1">
        <w:rPr>
          <w:rFonts w:ascii="Calibri" w:eastAsia="Calibri" w:hAnsi="Calibri" w:cs="Calibri"/>
        </w:rPr>
        <w:t xml:space="preserve">that </w:t>
      </w:r>
      <w:r>
        <w:rPr>
          <w:rFonts w:ascii="Calibri" w:eastAsia="Calibri" w:hAnsi="Calibri" w:cs="Calibri"/>
        </w:rPr>
        <w:t>give</w:t>
      </w:r>
      <w:r w:rsidR="003D640C">
        <w:rPr>
          <w:rFonts w:ascii="Calibri" w:eastAsia="Calibri" w:hAnsi="Calibri" w:cs="Calibri"/>
        </w:rPr>
        <w:t xml:space="preserve"> </w:t>
      </w:r>
      <w:r>
        <w:rPr>
          <w:rFonts w:ascii="Calibri" w:eastAsia="Calibri" w:hAnsi="Calibri" w:cs="Calibri"/>
        </w:rPr>
        <w:t>rise</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they</w:t>
      </w:r>
      <w:r w:rsidR="003D640C">
        <w:rPr>
          <w:rFonts w:ascii="Calibri" w:eastAsia="Calibri" w:hAnsi="Calibri" w:cs="Calibri"/>
        </w:rPr>
        <w:t xml:space="preserve"> </w:t>
      </w:r>
      <w:r>
        <w:rPr>
          <w:rFonts w:ascii="Calibri" w:eastAsia="Calibri" w:hAnsi="Calibri" w:cs="Calibri"/>
        </w:rPr>
        <w:t>will</w:t>
      </w:r>
      <w:r w:rsidR="003D640C">
        <w:rPr>
          <w:rFonts w:ascii="Calibri" w:eastAsia="Calibri" w:hAnsi="Calibri" w:cs="Calibri"/>
        </w:rPr>
        <w:t xml:space="preserve"> </w:t>
      </w:r>
      <w:r>
        <w:rPr>
          <w:rFonts w:ascii="Calibri" w:eastAsia="Calibri" w:hAnsi="Calibri" w:cs="Calibri"/>
        </w:rPr>
        <w:t>likely</w:t>
      </w:r>
      <w:r w:rsidR="003D640C">
        <w:rPr>
          <w:rFonts w:ascii="Calibri" w:eastAsia="Calibri" w:hAnsi="Calibri" w:cs="Calibri"/>
        </w:rPr>
        <w:t xml:space="preserve"> </w:t>
      </w:r>
      <w:r>
        <w:rPr>
          <w:rFonts w:ascii="Calibri" w:eastAsia="Calibri" w:hAnsi="Calibri" w:cs="Calibri"/>
        </w:rPr>
        <w:t>continue.</w:t>
      </w:r>
      <w:r w:rsidR="003D640C">
        <w:rPr>
          <w:rFonts w:ascii="Calibri" w:eastAsia="Calibri" w:hAnsi="Calibri" w:cs="Calibri"/>
        </w:rPr>
        <w:t xml:space="preserve"> </w:t>
      </w:r>
      <w:r w:rsidRPr="008C2E11">
        <w:rPr>
          <w:rFonts w:ascii="Calibri" w:eastAsia="Calibri" w:hAnsi="Calibri" w:cs="Calibri"/>
        </w:rPr>
        <w:t>Through</w:t>
      </w:r>
      <w:r w:rsidR="003D640C">
        <w:rPr>
          <w:rFonts w:ascii="Calibri" w:eastAsia="Calibri" w:hAnsi="Calibri" w:cs="Calibri"/>
        </w:rPr>
        <w:t xml:space="preserve"> </w:t>
      </w:r>
      <w:r w:rsidRPr="008C2E11">
        <w:rPr>
          <w:rFonts w:ascii="Calibri" w:eastAsia="Calibri" w:hAnsi="Calibri" w:cs="Calibri"/>
        </w:rPr>
        <w:t>our</w:t>
      </w:r>
      <w:r w:rsidR="003D640C">
        <w:rPr>
          <w:rFonts w:ascii="Calibri" w:eastAsia="Calibri" w:hAnsi="Calibri" w:cs="Calibri"/>
        </w:rPr>
        <w:t xml:space="preserve"> </w:t>
      </w:r>
      <w:r w:rsidRPr="008C2E11">
        <w:rPr>
          <w:rFonts w:ascii="Calibri" w:eastAsia="Calibri" w:hAnsi="Calibri" w:cs="Calibri"/>
        </w:rPr>
        <w:t>engagement</w:t>
      </w:r>
      <w:r w:rsidR="007D6086">
        <w:rPr>
          <w:rFonts w:ascii="Calibri" w:eastAsia="Calibri" w:hAnsi="Calibri" w:cs="Calibri"/>
        </w:rPr>
        <w:t>,</w:t>
      </w:r>
      <w:r w:rsidR="003D640C">
        <w:rPr>
          <w:rFonts w:ascii="Calibri" w:eastAsia="Calibri" w:hAnsi="Calibri" w:cs="Calibri"/>
        </w:rPr>
        <w:t xml:space="preserve"> </w:t>
      </w:r>
      <w:r w:rsidRPr="008C2E11">
        <w:rPr>
          <w:rFonts w:ascii="Calibri" w:eastAsia="Calibri" w:hAnsi="Calibri" w:cs="Calibri"/>
        </w:rPr>
        <w:t>we</w:t>
      </w:r>
      <w:r w:rsidR="003D640C">
        <w:rPr>
          <w:rFonts w:ascii="Calibri" w:eastAsia="Calibri" w:hAnsi="Calibri" w:cs="Calibri"/>
        </w:rPr>
        <w:t xml:space="preserve"> </w:t>
      </w:r>
      <w:r w:rsidRPr="008C2E11">
        <w:rPr>
          <w:rFonts w:ascii="Calibri" w:eastAsia="Calibri" w:hAnsi="Calibri" w:cs="Calibri"/>
        </w:rPr>
        <w:t>have</w:t>
      </w:r>
      <w:r w:rsidR="003D640C">
        <w:rPr>
          <w:rFonts w:ascii="Calibri" w:eastAsia="Calibri" w:hAnsi="Calibri" w:cs="Calibri"/>
        </w:rPr>
        <w:t xml:space="preserve"> </w:t>
      </w:r>
      <w:r>
        <w:rPr>
          <w:rFonts w:ascii="Calibri" w:eastAsia="Calibri" w:hAnsi="Calibri" w:cs="Calibri"/>
        </w:rPr>
        <w:t>already</w:t>
      </w:r>
      <w:r w:rsidR="003D640C">
        <w:rPr>
          <w:rFonts w:ascii="Calibri" w:eastAsia="Calibri" w:hAnsi="Calibri" w:cs="Calibri"/>
        </w:rPr>
        <w:t xml:space="preserve"> </w:t>
      </w:r>
      <w:r w:rsidRPr="008C2E11">
        <w:rPr>
          <w:rFonts w:ascii="Calibri" w:eastAsia="Calibri" w:hAnsi="Calibri" w:cs="Calibri"/>
        </w:rPr>
        <w:t>learn</w:t>
      </w:r>
      <w:r w:rsidR="004755B1">
        <w:rPr>
          <w:rFonts w:ascii="Calibri" w:eastAsia="Calibri" w:hAnsi="Calibri" w:cs="Calibri"/>
        </w:rPr>
        <w:t>ed</w:t>
      </w:r>
      <w:r w:rsidR="003D640C">
        <w:rPr>
          <w:rFonts w:ascii="Calibri" w:eastAsia="Calibri" w:hAnsi="Calibri" w:cs="Calibri"/>
        </w:rPr>
        <w:t xml:space="preserve"> </w:t>
      </w:r>
      <w:r w:rsidRPr="008C2E11">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sidRPr="008C2E11">
        <w:rPr>
          <w:rFonts w:ascii="Calibri" w:eastAsia="Calibri" w:hAnsi="Calibri" w:cs="Calibri"/>
        </w:rPr>
        <w:t>are</w:t>
      </w:r>
      <w:r w:rsidR="003D640C">
        <w:rPr>
          <w:rFonts w:ascii="Calibri" w:eastAsia="Calibri" w:hAnsi="Calibri" w:cs="Calibri"/>
        </w:rPr>
        <w:t xml:space="preserve"> </w:t>
      </w:r>
      <w:r w:rsidRPr="008C2E11">
        <w:rPr>
          <w:rFonts w:ascii="Calibri" w:eastAsia="Calibri" w:hAnsi="Calibri" w:cs="Calibri"/>
        </w:rPr>
        <w:t>increasingly</w:t>
      </w:r>
      <w:r w:rsidR="003D640C">
        <w:rPr>
          <w:rFonts w:ascii="Calibri" w:eastAsia="Calibri" w:hAnsi="Calibri" w:cs="Calibri"/>
        </w:rPr>
        <w:t xml:space="preserve"> </w:t>
      </w:r>
      <w:r w:rsidRPr="008C2E11">
        <w:rPr>
          <w:rFonts w:ascii="Calibri" w:eastAsia="Calibri" w:hAnsi="Calibri" w:cs="Calibri"/>
        </w:rPr>
        <w:t>happening</w:t>
      </w:r>
      <w:r w:rsidR="003D640C">
        <w:rPr>
          <w:rFonts w:ascii="Calibri" w:eastAsia="Calibri" w:hAnsi="Calibri" w:cs="Calibri"/>
        </w:rPr>
        <w:t xml:space="preserve"> </w:t>
      </w:r>
      <w:r w:rsidR="00AC3491">
        <w:rPr>
          <w:rFonts w:ascii="Calibri" w:eastAsia="Calibri" w:hAnsi="Calibri" w:cs="Calibri"/>
        </w:rPr>
        <w:t>covertly</w:t>
      </w:r>
      <w:r w:rsidR="003D640C">
        <w:rPr>
          <w:rFonts w:ascii="Calibri" w:eastAsia="Calibri" w:hAnsi="Calibri" w:cs="Calibri"/>
        </w:rPr>
        <w:t xml:space="preserve"> </w:t>
      </w:r>
      <w:r w:rsidRPr="008C2E11">
        <w:rPr>
          <w:rFonts w:ascii="Calibri" w:eastAsia="Calibri" w:hAnsi="Calibri" w:cs="Calibri"/>
        </w:rPr>
        <w:t>and</w:t>
      </w:r>
      <w:r w:rsidR="003D640C">
        <w:rPr>
          <w:rFonts w:ascii="Calibri" w:eastAsia="Calibri" w:hAnsi="Calibri" w:cs="Calibri"/>
        </w:rPr>
        <w:t xml:space="preserve"> </w:t>
      </w:r>
      <w:r w:rsidRPr="008C2E11">
        <w:rPr>
          <w:rFonts w:ascii="Calibri" w:eastAsia="Calibri" w:hAnsi="Calibri" w:cs="Calibri"/>
        </w:rPr>
        <w:t>under</w:t>
      </w:r>
      <w:r w:rsidR="003D640C">
        <w:rPr>
          <w:rFonts w:ascii="Calibri" w:eastAsia="Calibri" w:hAnsi="Calibri" w:cs="Calibri"/>
        </w:rPr>
        <w:t xml:space="preserve"> </w:t>
      </w:r>
      <w:r w:rsidRPr="008C2E11">
        <w:rPr>
          <w:rFonts w:ascii="Calibri" w:eastAsia="Calibri" w:hAnsi="Calibri" w:cs="Calibri"/>
        </w:rPr>
        <w:t>different</w:t>
      </w:r>
      <w:r w:rsidR="003D640C">
        <w:rPr>
          <w:rFonts w:ascii="Calibri" w:eastAsia="Calibri" w:hAnsi="Calibri" w:cs="Calibri"/>
        </w:rPr>
        <w:t xml:space="preserve"> </w:t>
      </w:r>
      <w:r w:rsidR="00012E41">
        <w:rPr>
          <w:rFonts w:ascii="Calibri" w:eastAsia="Calibri" w:hAnsi="Calibri" w:cs="Calibri"/>
        </w:rPr>
        <w:t>descriptions</w:t>
      </w:r>
      <w:r w:rsidRPr="008C2E11">
        <w:rPr>
          <w:rFonts w:ascii="Calibri" w:eastAsia="Calibri" w:hAnsi="Calibri" w:cs="Calibri"/>
        </w:rPr>
        <w:t>.</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recommendations</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this</w:t>
      </w:r>
      <w:r w:rsidR="003D640C">
        <w:rPr>
          <w:rFonts w:ascii="Calibri" w:eastAsia="Calibri" w:hAnsi="Calibri" w:cs="Calibri"/>
        </w:rPr>
        <w:t xml:space="preserve"> </w:t>
      </w:r>
      <w:r>
        <w:rPr>
          <w:rFonts w:ascii="Calibri" w:eastAsia="Calibri" w:hAnsi="Calibri" w:cs="Calibri"/>
        </w:rPr>
        <w:t>report</w:t>
      </w:r>
      <w:r w:rsidR="003D640C">
        <w:rPr>
          <w:rFonts w:ascii="Calibri" w:eastAsia="Calibri" w:hAnsi="Calibri" w:cs="Calibri"/>
        </w:rPr>
        <w:t xml:space="preserve"> </w:t>
      </w:r>
      <w:r>
        <w:rPr>
          <w:rFonts w:ascii="Calibri" w:eastAsia="Calibri" w:hAnsi="Calibri" w:cs="Calibri"/>
        </w:rPr>
        <w:t>identify</w:t>
      </w:r>
      <w:r w:rsidR="003D640C">
        <w:rPr>
          <w:rFonts w:ascii="Calibri" w:eastAsia="Calibri" w:hAnsi="Calibri" w:cs="Calibri"/>
        </w:rPr>
        <w:t xml:space="preserve"> </w:t>
      </w:r>
      <w:r w:rsidR="001B2D4D">
        <w:rPr>
          <w:rFonts w:ascii="Calibri" w:eastAsia="Calibri" w:hAnsi="Calibri" w:cs="Calibri"/>
        </w:rPr>
        <w:t>what</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change</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eliminate</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who</w:t>
      </w:r>
      <w:r w:rsidR="003D640C">
        <w:rPr>
          <w:rFonts w:ascii="Calibri" w:eastAsia="Calibri" w:hAnsi="Calibri" w:cs="Calibri"/>
        </w:rPr>
        <w:t xml:space="preserve"> </w:t>
      </w:r>
      <w:r>
        <w:rPr>
          <w:rFonts w:ascii="Calibri" w:eastAsia="Calibri" w:hAnsi="Calibri" w:cs="Calibri"/>
        </w:rPr>
        <w:t>has</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power</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change</w:t>
      </w:r>
      <w:r w:rsidR="003D640C">
        <w:rPr>
          <w:rFonts w:ascii="Calibri" w:eastAsia="Calibri" w:hAnsi="Calibri" w:cs="Calibri"/>
        </w:rPr>
        <w:t xml:space="preserve"> </w:t>
      </w:r>
      <w:r>
        <w:rPr>
          <w:rFonts w:ascii="Calibri" w:eastAsia="Calibri" w:hAnsi="Calibri" w:cs="Calibri"/>
        </w:rPr>
        <w:t>them.</w:t>
      </w:r>
    </w:p>
    <w:p w14:paraId="77ADE820" w14:textId="51B37B2D" w:rsidR="00F75393" w:rsidRDefault="00F75393" w:rsidP="00E00167">
      <w:pPr>
        <w:rPr>
          <w:rFonts w:ascii="Calibri" w:eastAsia="Calibri" w:hAnsi="Calibri" w:cs="Calibri"/>
        </w:rPr>
      </w:pP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burden</w:t>
      </w:r>
      <w:r w:rsidR="003D640C">
        <w:rPr>
          <w:rFonts w:ascii="Calibri" w:eastAsia="Calibri" w:hAnsi="Calibri" w:cs="Calibri"/>
        </w:rPr>
        <w:t xml:space="preserve"> </w:t>
      </w:r>
      <w:r>
        <w:rPr>
          <w:rFonts w:ascii="Calibri" w:eastAsia="Calibri" w:hAnsi="Calibri" w:cs="Calibri"/>
        </w:rPr>
        <w:t>of</w:t>
      </w:r>
      <w:r w:rsidR="003D640C">
        <w:rPr>
          <w:rFonts w:ascii="Calibri" w:eastAsia="Calibri" w:hAnsi="Calibri" w:cs="Calibri"/>
        </w:rPr>
        <w:t xml:space="preserve"> </w:t>
      </w:r>
      <w:r>
        <w:rPr>
          <w:rFonts w:ascii="Calibri" w:eastAsia="Calibri" w:hAnsi="Calibri" w:cs="Calibri"/>
        </w:rPr>
        <w:t>eliminating</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should</w:t>
      </w:r>
      <w:r w:rsidR="003D640C">
        <w:rPr>
          <w:rFonts w:ascii="Calibri" w:eastAsia="Calibri" w:hAnsi="Calibri" w:cs="Calibri"/>
        </w:rPr>
        <w:t xml:space="preserve"> </w:t>
      </w:r>
      <w:r>
        <w:rPr>
          <w:rFonts w:ascii="Calibri" w:eastAsia="Calibri" w:hAnsi="Calibri" w:cs="Calibri"/>
        </w:rPr>
        <w:t>not</w:t>
      </w:r>
      <w:r w:rsidR="003D640C">
        <w:rPr>
          <w:rFonts w:ascii="Calibri" w:eastAsia="Calibri" w:hAnsi="Calibri" w:cs="Calibri"/>
        </w:rPr>
        <w:t xml:space="preserve"> </w:t>
      </w:r>
      <w:r>
        <w:rPr>
          <w:rFonts w:ascii="Calibri" w:eastAsia="Calibri" w:hAnsi="Calibri" w:cs="Calibri"/>
        </w:rPr>
        <w:t>rest</w:t>
      </w:r>
      <w:r w:rsidR="003D640C">
        <w:rPr>
          <w:rFonts w:ascii="Calibri" w:eastAsia="Calibri" w:hAnsi="Calibri" w:cs="Calibri"/>
        </w:rPr>
        <w:t xml:space="preserve"> </w:t>
      </w:r>
      <w:r>
        <w:rPr>
          <w:rFonts w:ascii="Calibri" w:eastAsia="Calibri" w:hAnsi="Calibri" w:cs="Calibri"/>
        </w:rPr>
        <w:t>on</w:t>
      </w:r>
      <w:r w:rsidR="003D640C">
        <w:rPr>
          <w:rFonts w:ascii="Calibri" w:eastAsia="Calibri" w:hAnsi="Calibri" w:cs="Calibri"/>
        </w:rPr>
        <w:t xml:space="preserve"> </w:t>
      </w:r>
      <w:r>
        <w:rPr>
          <w:rFonts w:ascii="Calibri" w:eastAsia="Calibri" w:hAnsi="Calibri" w:cs="Calibri"/>
        </w:rPr>
        <w:t>those</w:t>
      </w:r>
      <w:r w:rsidR="003D640C">
        <w:rPr>
          <w:rFonts w:ascii="Calibri" w:eastAsia="Calibri" w:hAnsi="Calibri" w:cs="Calibri"/>
        </w:rPr>
        <w:t xml:space="preserve"> </w:t>
      </w:r>
      <w:r>
        <w:rPr>
          <w:rFonts w:ascii="Calibri" w:eastAsia="Calibri" w:hAnsi="Calibri" w:cs="Calibri"/>
        </w:rPr>
        <w:t>who</w:t>
      </w:r>
      <w:r w:rsidR="003D640C">
        <w:rPr>
          <w:rFonts w:ascii="Calibri" w:eastAsia="Calibri" w:hAnsi="Calibri" w:cs="Calibri"/>
        </w:rPr>
        <w:t xml:space="preserve"> </w:t>
      </w:r>
      <w:r>
        <w:rPr>
          <w:rFonts w:ascii="Calibri" w:eastAsia="Calibri" w:hAnsi="Calibri" w:cs="Calibri"/>
        </w:rPr>
        <w:t>have</w:t>
      </w:r>
      <w:r w:rsidR="003D640C">
        <w:rPr>
          <w:rFonts w:ascii="Calibri" w:eastAsia="Calibri" w:hAnsi="Calibri" w:cs="Calibri"/>
        </w:rPr>
        <w:t xml:space="preserve"> </w:t>
      </w:r>
      <w:r>
        <w:rPr>
          <w:rFonts w:ascii="Calibri" w:eastAsia="Calibri" w:hAnsi="Calibri" w:cs="Calibri"/>
        </w:rPr>
        <w:t>experienced</w:t>
      </w:r>
      <w:r w:rsidR="003D640C">
        <w:rPr>
          <w:rFonts w:ascii="Calibri" w:eastAsia="Calibri" w:hAnsi="Calibri" w:cs="Calibri"/>
        </w:rPr>
        <w:t xml:space="preserve"> </w:t>
      </w:r>
      <w:r>
        <w:rPr>
          <w:rFonts w:ascii="Calibri" w:eastAsia="Calibri" w:hAnsi="Calibri" w:cs="Calibri"/>
        </w:rPr>
        <w:t>them.</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end</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we</w:t>
      </w:r>
      <w:r w:rsidR="003D640C">
        <w:rPr>
          <w:rFonts w:ascii="Calibri" w:eastAsia="Calibri" w:hAnsi="Calibri" w:cs="Calibri"/>
        </w:rPr>
        <w:t xml:space="preserve"> </w:t>
      </w:r>
      <w:r>
        <w:rPr>
          <w:rFonts w:ascii="Calibri" w:eastAsia="Calibri" w:hAnsi="Calibri" w:cs="Calibri"/>
        </w:rPr>
        <w:t>need</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shift</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harmful</w:t>
      </w:r>
      <w:r w:rsidR="003D640C">
        <w:rPr>
          <w:rFonts w:ascii="Calibri" w:eastAsia="Calibri" w:hAnsi="Calibri" w:cs="Calibri"/>
        </w:rPr>
        <w:t xml:space="preserve"> </w:t>
      </w:r>
      <w:r>
        <w:rPr>
          <w:rFonts w:ascii="Calibri" w:eastAsia="Calibri" w:hAnsi="Calibri" w:cs="Calibri"/>
        </w:rPr>
        <w:t>ideologies</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enable</w:t>
      </w:r>
      <w:r w:rsidR="003D640C">
        <w:rPr>
          <w:rFonts w:ascii="Calibri" w:eastAsia="Calibri" w:hAnsi="Calibri" w:cs="Calibri"/>
        </w:rPr>
        <w:t xml:space="preserve"> </w:t>
      </w:r>
      <w:r>
        <w:rPr>
          <w:rFonts w:ascii="Calibri" w:eastAsia="Calibri" w:hAnsi="Calibri" w:cs="Calibri"/>
        </w:rPr>
        <w:t>them</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actively</w:t>
      </w:r>
      <w:r w:rsidR="003D640C">
        <w:rPr>
          <w:rFonts w:ascii="Calibri" w:eastAsia="Calibri" w:hAnsi="Calibri" w:cs="Calibri"/>
        </w:rPr>
        <w:t xml:space="preserve"> </w:t>
      </w:r>
      <w:r>
        <w:rPr>
          <w:rFonts w:ascii="Calibri" w:eastAsia="Calibri" w:hAnsi="Calibri" w:cs="Calibri"/>
        </w:rPr>
        <w:t>build</w:t>
      </w:r>
      <w:r w:rsidR="003D640C">
        <w:rPr>
          <w:rFonts w:ascii="Calibri" w:eastAsia="Calibri" w:hAnsi="Calibri" w:cs="Calibri"/>
        </w:rPr>
        <w:t xml:space="preserve"> </w:t>
      </w:r>
      <w:r>
        <w:rPr>
          <w:rFonts w:ascii="Calibri" w:eastAsia="Calibri" w:hAnsi="Calibri" w:cs="Calibri"/>
        </w:rPr>
        <w:t>an</w:t>
      </w:r>
      <w:r w:rsidR="003D640C">
        <w:rPr>
          <w:rFonts w:ascii="Calibri" w:eastAsia="Calibri" w:hAnsi="Calibri" w:cs="Calibri"/>
        </w:rPr>
        <w:t xml:space="preserve"> </w:t>
      </w:r>
      <w:r>
        <w:rPr>
          <w:rFonts w:ascii="Calibri" w:eastAsia="Calibri" w:hAnsi="Calibri" w:cs="Calibri"/>
        </w:rPr>
        <w:t>inclusive</w:t>
      </w:r>
      <w:r w:rsidR="003D640C">
        <w:rPr>
          <w:rFonts w:ascii="Calibri" w:eastAsia="Calibri" w:hAnsi="Calibri" w:cs="Calibri"/>
        </w:rPr>
        <w:t xml:space="preserve"> </w:t>
      </w:r>
      <w:r>
        <w:rPr>
          <w:rFonts w:ascii="Calibri" w:eastAsia="Calibri" w:hAnsi="Calibri" w:cs="Calibri"/>
        </w:rPr>
        <w:t>society</w:t>
      </w:r>
      <w:r w:rsidR="003D640C">
        <w:rPr>
          <w:rFonts w:ascii="Calibri" w:eastAsia="Calibri" w:hAnsi="Calibri" w:cs="Calibri"/>
        </w:rPr>
        <w:t xml:space="preserve"> </w:t>
      </w:r>
      <w:r w:rsidR="004755B1">
        <w:rPr>
          <w:rFonts w:ascii="Calibri" w:eastAsia="Calibri" w:hAnsi="Calibri" w:cs="Calibri"/>
        </w:rPr>
        <w:t xml:space="preserve">that </w:t>
      </w:r>
      <w:r>
        <w:rPr>
          <w:rFonts w:ascii="Calibri" w:eastAsia="Calibri" w:hAnsi="Calibri" w:cs="Calibri"/>
        </w:rPr>
        <w:t>values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protects</w:t>
      </w:r>
      <w:r w:rsidR="003D640C">
        <w:rPr>
          <w:rFonts w:ascii="Calibri" w:eastAsia="Calibri" w:hAnsi="Calibri" w:cs="Calibri"/>
        </w:rPr>
        <w:t xml:space="preserve"> </w:t>
      </w:r>
      <w:r>
        <w:rPr>
          <w:rFonts w:ascii="Calibri" w:eastAsia="Calibri" w:hAnsi="Calibri" w:cs="Calibri"/>
        </w:rPr>
        <w:t>all</w:t>
      </w:r>
      <w:r w:rsidR="003D640C">
        <w:rPr>
          <w:rFonts w:ascii="Calibri" w:eastAsia="Calibri" w:hAnsi="Calibri" w:cs="Calibri"/>
        </w:rPr>
        <w:t xml:space="preserve"> </w:t>
      </w:r>
      <w:r>
        <w:rPr>
          <w:rFonts w:ascii="Calibri" w:eastAsia="Calibri" w:hAnsi="Calibri" w:cs="Calibri"/>
        </w:rPr>
        <w:t>Rainbow</w:t>
      </w:r>
      <w:r w:rsidR="003D640C">
        <w:rPr>
          <w:rFonts w:ascii="Calibri" w:eastAsia="Calibri" w:hAnsi="Calibri" w:cs="Calibri"/>
        </w:rPr>
        <w:t xml:space="preserve"> </w:t>
      </w:r>
      <w:r>
        <w:rPr>
          <w:rFonts w:ascii="Calibri" w:eastAsia="Calibri" w:hAnsi="Calibri" w:cs="Calibri"/>
        </w:rPr>
        <w:t>people.</w:t>
      </w:r>
      <w:r w:rsidR="003D640C">
        <w:rPr>
          <w:rFonts w:ascii="Calibri" w:eastAsia="Calibri" w:hAnsi="Calibri" w:cs="Calibri"/>
        </w:rPr>
        <w:t xml:space="preserve"> </w:t>
      </w:r>
    </w:p>
    <w:p w14:paraId="05E69CCE" w14:textId="6D894563" w:rsidR="00F75393" w:rsidRDefault="00F75393" w:rsidP="00E00167">
      <w:pPr>
        <w:rPr>
          <w:lang w:eastAsia="en-NZ"/>
        </w:rPr>
      </w:pPr>
      <w:r>
        <w:rPr>
          <w:rFonts w:ascii="Calibri" w:eastAsia="Calibri" w:hAnsi="Calibri" w:cs="Calibri"/>
        </w:rPr>
        <w:lastRenderedPageBreak/>
        <w:t>Government</w:t>
      </w:r>
      <w:r w:rsidR="003D640C">
        <w:rPr>
          <w:rFonts w:ascii="Calibri" w:eastAsia="Calibri" w:hAnsi="Calibri" w:cs="Calibri"/>
        </w:rPr>
        <w:t xml:space="preserve"> </w:t>
      </w:r>
      <w:r w:rsidR="00E74B2A">
        <w:rPr>
          <w:rFonts w:ascii="Calibri" w:eastAsia="Calibri" w:hAnsi="Calibri" w:cs="Calibri"/>
        </w:rPr>
        <w:t>must</w:t>
      </w:r>
      <w:r w:rsidR="003D640C">
        <w:rPr>
          <w:rFonts w:ascii="Calibri" w:eastAsia="Calibri" w:hAnsi="Calibri" w:cs="Calibri"/>
        </w:rPr>
        <w:t xml:space="preserve"> </w:t>
      </w:r>
      <w:r>
        <w:rPr>
          <w:rFonts w:ascii="Calibri" w:eastAsia="Calibri" w:hAnsi="Calibri" w:cs="Calibri"/>
        </w:rPr>
        <w:t>play</w:t>
      </w:r>
      <w:r w:rsidR="003D640C">
        <w:rPr>
          <w:rFonts w:ascii="Calibri" w:eastAsia="Calibri" w:hAnsi="Calibri" w:cs="Calibri"/>
        </w:rPr>
        <w:t xml:space="preserve"> </w:t>
      </w:r>
      <w:r>
        <w:rPr>
          <w:rFonts w:ascii="Calibri" w:eastAsia="Calibri" w:hAnsi="Calibri" w:cs="Calibri"/>
        </w:rPr>
        <w:t>a</w:t>
      </w:r>
      <w:r w:rsidR="003D640C">
        <w:rPr>
          <w:rFonts w:ascii="Calibri" w:eastAsia="Calibri" w:hAnsi="Calibri" w:cs="Calibri"/>
        </w:rPr>
        <w:t xml:space="preserve"> </w:t>
      </w:r>
      <w:r>
        <w:rPr>
          <w:rFonts w:ascii="Calibri" w:eastAsia="Calibri" w:hAnsi="Calibri" w:cs="Calibri"/>
        </w:rPr>
        <w:t>significant</w:t>
      </w:r>
      <w:r w:rsidR="003D640C">
        <w:rPr>
          <w:rFonts w:ascii="Calibri" w:eastAsia="Calibri" w:hAnsi="Calibri" w:cs="Calibri"/>
        </w:rPr>
        <w:t xml:space="preserve"> </w:t>
      </w:r>
      <w:r>
        <w:rPr>
          <w:rFonts w:ascii="Calibri" w:eastAsia="Calibri" w:hAnsi="Calibri" w:cs="Calibri"/>
        </w:rPr>
        <w:t>role</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ensuring</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C</w:t>
      </w:r>
      <w:r w:rsidR="00A560BB">
        <w:rPr>
          <w:rFonts w:ascii="Calibri" w:eastAsia="Calibri" w:hAnsi="Calibri" w:cs="Calibri"/>
        </w:rPr>
        <w:t>P</w:t>
      </w:r>
      <w:r>
        <w:rPr>
          <w:rFonts w:ascii="Calibri" w:eastAsia="Calibri" w:hAnsi="Calibri" w:cs="Calibri"/>
        </w:rPr>
        <w:t>PLA</w:t>
      </w:r>
      <w:r w:rsidR="003D640C">
        <w:rPr>
          <w:rFonts w:ascii="Calibri" w:eastAsia="Calibri" w:hAnsi="Calibri" w:cs="Calibri"/>
        </w:rPr>
        <w:t xml:space="preserve"> </w:t>
      </w:r>
      <w:r>
        <w:rPr>
          <w:rFonts w:ascii="Calibri" w:eastAsia="Calibri" w:hAnsi="Calibri" w:cs="Calibri"/>
        </w:rPr>
        <w:t>is</w:t>
      </w:r>
      <w:r w:rsidR="003D640C">
        <w:rPr>
          <w:rFonts w:ascii="Calibri" w:eastAsia="Calibri" w:hAnsi="Calibri" w:cs="Calibri"/>
        </w:rPr>
        <w:t xml:space="preserve"> </w:t>
      </w:r>
      <w:r>
        <w:rPr>
          <w:rFonts w:ascii="Calibri" w:eastAsia="Calibri" w:hAnsi="Calibri" w:cs="Calibri"/>
        </w:rPr>
        <w:t>effectively</w:t>
      </w:r>
      <w:r w:rsidR="003D640C">
        <w:rPr>
          <w:rFonts w:ascii="Calibri" w:eastAsia="Calibri" w:hAnsi="Calibri" w:cs="Calibri"/>
        </w:rPr>
        <w:t xml:space="preserve"> </w:t>
      </w:r>
      <w:r>
        <w:rPr>
          <w:rFonts w:ascii="Calibri" w:eastAsia="Calibri" w:hAnsi="Calibri" w:cs="Calibri"/>
        </w:rPr>
        <w:t>enforced</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supported</w:t>
      </w:r>
      <w:r w:rsidR="003D640C">
        <w:rPr>
          <w:rFonts w:ascii="Calibri" w:eastAsia="Calibri" w:hAnsi="Calibri" w:cs="Calibri"/>
        </w:rPr>
        <w:t xml:space="preserve"> </w:t>
      </w:r>
      <w:r>
        <w:rPr>
          <w:rFonts w:ascii="Calibri" w:eastAsia="Calibri" w:hAnsi="Calibri" w:cs="Calibri"/>
        </w:rPr>
        <w:t>with</w:t>
      </w:r>
      <w:r w:rsidR="003D640C">
        <w:rPr>
          <w:rFonts w:ascii="Calibri" w:eastAsia="Calibri" w:hAnsi="Calibri" w:cs="Calibri"/>
        </w:rPr>
        <w:t xml:space="preserve"> </w:t>
      </w:r>
      <w:r>
        <w:rPr>
          <w:rFonts w:ascii="Calibri" w:eastAsia="Calibri" w:hAnsi="Calibri" w:cs="Calibri"/>
        </w:rPr>
        <w:t>meaningful</w:t>
      </w:r>
      <w:r w:rsidR="003D640C">
        <w:rPr>
          <w:rFonts w:ascii="Calibri" w:eastAsia="Calibri" w:hAnsi="Calibri" w:cs="Calibri"/>
        </w:rPr>
        <w:t xml:space="preserve"> </w:t>
      </w:r>
      <w:r>
        <w:rPr>
          <w:rFonts w:ascii="Calibri" w:eastAsia="Calibri" w:hAnsi="Calibri" w:cs="Calibri"/>
        </w:rPr>
        <w:t>policy</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resourcing.</w:t>
      </w:r>
      <w:r w:rsidR="003D640C">
        <w:rPr>
          <w:rFonts w:ascii="Calibri" w:eastAsia="Calibri" w:hAnsi="Calibri" w:cs="Calibri"/>
        </w:rPr>
        <w:t xml:space="preserve"> </w:t>
      </w:r>
      <w:r>
        <w:rPr>
          <w:rFonts w:ascii="Calibri" w:eastAsia="Calibri" w:hAnsi="Calibri" w:cs="Calibri"/>
        </w:rPr>
        <w:t>Government</w:t>
      </w:r>
      <w:r w:rsidR="003D640C">
        <w:rPr>
          <w:rFonts w:ascii="Calibri" w:eastAsia="Calibri" w:hAnsi="Calibri" w:cs="Calibri"/>
        </w:rPr>
        <w:t xml:space="preserve"> </w:t>
      </w:r>
      <w:r w:rsidR="00E74B2A">
        <w:rPr>
          <w:rFonts w:ascii="Calibri" w:eastAsia="Calibri" w:hAnsi="Calibri" w:cs="Calibri"/>
        </w:rPr>
        <w:t>should</w:t>
      </w:r>
      <w:r w:rsidR="003D640C">
        <w:rPr>
          <w:rFonts w:ascii="Calibri" w:eastAsia="Calibri" w:hAnsi="Calibri" w:cs="Calibri"/>
        </w:rPr>
        <w:t xml:space="preserve"> </w:t>
      </w:r>
      <w:r>
        <w:rPr>
          <w:rFonts w:ascii="Calibri" w:eastAsia="Calibri" w:hAnsi="Calibri" w:cs="Calibri"/>
        </w:rPr>
        <w:t>also</w:t>
      </w:r>
      <w:r w:rsidR="003D640C">
        <w:rPr>
          <w:rFonts w:ascii="Calibri" w:eastAsia="Calibri" w:hAnsi="Calibri" w:cs="Calibri"/>
        </w:rPr>
        <w:t xml:space="preserve"> </w:t>
      </w:r>
      <w:r>
        <w:rPr>
          <w:rFonts w:ascii="Calibri" w:eastAsia="Calibri" w:hAnsi="Calibri" w:cs="Calibri"/>
        </w:rPr>
        <w:t>support</w:t>
      </w:r>
      <w:r w:rsidR="003D640C">
        <w:rPr>
          <w:rFonts w:ascii="Calibri" w:eastAsia="Calibri" w:hAnsi="Calibri" w:cs="Calibri"/>
        </w:rPr>
        <w:t xml:space="preserve"> </w:t>
      </w:r>
      <w:r>
        <w:rPr>
          <w:rFonts w:ascii="Calibri" w:eastAsia="Calibri" w:hAnsi="Calibri" w:cs="Calibri"/>
        </w:rPr>
        <w:t>faith</w:t>
      </w:r>
      <w:r w:rsidR="003D640C">
        <w:rPr>
          <w:rFonts w:ascii="Calibri" w:eastAsia="Calibri" w:hAnsi="Calibri" w:cs="Calibri"/>
        </w:rPr>
        <w:t xml:space="preserve"> </w:t>
      </w:r>
      <w:r>
        <w:rPr>
          <w:rFonts w:ascii="Calibri" w:eastAsia="Calibri" w:hAnsi="Calibri" w:cs="Calibri"/>
        </w:rPr>
        <w:t>communities,</w:t>
      </w:r>
      <w:r w:rsidR="003D640C">
        <w:rPr>
          <w:rFonts w:ascii="Calibri" w:eastAsia="Calibri" w:hAnsi="Calibri" w:cs="Calibri"/>
        </w:rPr>
        <w:t xml:space="preserve"> </w:t>
      </w:r>
      <w:r>
        <w:rPr>
          <w:rFonts w:ascii="Calibri" w:eastAsia="Calibri" w:hAnsi="Calibri" w:cs="Calibri"/>
        </w:rPr>
        <w:t>community</w:t>
      </w:r>
      <w:r w:rsidR="003D640C">
        <w:rPr>
          <w:rFonts w:ascii="Calibri" w:eastAsia="Calibri" w:hAnsi="Calibri" w:cs="Calibri"/>
        </w:rPr>
        <w:t xml:space="preserve"> </w:t>
      </w:r>
      <w:r>
        <w:rPr>
          <w:rFonts w:ascii="Calibri" w:eastAsia="Calibri" w:hAnsi="Calibri" w:cs="Calibri"/>
        </w:rPr>
        <w:t>organisations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groups,</w:t>
      </w:r>
      <w:r w:rsidR="003D640C">
        <w:rPr>
          <w:rFonts w:ascii="Calibri" w:eastAsia="Calibri" w:hAnsi="Calibri" w:cs="Calibri"/>
        </w:rPr>
        <w:t xml:space="preserve"> </w:t>
      </w:r>
      <w:r>
        <w:rPr>
          <w:rFonts w:ascii="Calibri" w:eastAsia="Calibri" w:hAnsi="Calibri" w:cs="Calibri"/>
        </w:rPr>
        <w:t>healthcare</w:t>
      </w:r>
      <w:r w:rsidR="003D640C">
        <w:rPr>
          <w:rFonts w:ascii="Calibri" w:eastAsia="Calibri" w:hAnsi="Calibri" w:cs="Calibri"/>
        </w:rPr>
        <w:t xml:space="preserve"> </w:t>
      </w:r>
      <w:r>
        <w:rPr>
          <w:rFonts w:ascii="Calibri" w:eastAsia="Calibri" w:hAnsi="Calibri" w:cs="Calibri"/>
        </w:rPr>
        <w:t>professionals,</w:t>
      </w:r>
      <w:r w:rsidR="003D640C">
        <w:rPr>
          <w:rFonts w:ascii="Calibri" w:eastAsia="Calibri" w:hAnsi="Calibri" w:cs="Calibri"/>
        </w:rPr>
        <w:t xml:space="preserve"> </w:t>
      </w:r>
      <w:r>
        <w:rPr>
          <w:rFonts w:ascii="Calibri" w:eastAsia="Calibri" w:hAnsi="Calibri" w:cs="Calibri"/>
        </w:rPr>
        <w:t>whānau,</w:t>
      </w:r>
      <w:r w:rsidR="003D640C">
        <w:rPr>
          <w:rFonts w:ascii="Calibri" w:eastAsia="Calibri" w:hAnsi="Calibri" w:cs="Calibri"/>
        </w:rPr>
        <w:t xml:space="preserve"> </w:t>
      </w:r>
      <w:r>
        <w:rPr>
          <w:rFonts w:ascii="Calibri" w:eastAsia="Calibri" w:hAnsi="Calibri" w:cs="Calibri"/>
        </w:rPr>
        <w:t>families</w:t>
      </w:r>
      <w:r w:rsidR="00AB203B">
        <w:rPr>
          <w:rFonts w:ascii="Calibri" w:eastAsia="Calibri" w:hAnsi="Calibri" w:cs="Calibri"/>
        </w:rPr>
        <w:t>,</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individuals</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take</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steps</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are</w:t>
      </w:r>
      <w:r w:rsidR="003D640C">
        <w:rPr>
          <w:rFonts w:ascii="Calibri" w:eastAsia="Calibri" w:hAnsi="Calibri" w:cs="Calibri"/>
        </w:rPr>
        <w:t xml:space="preserve"> </w:t>
      </w:r>
      <w:r>
        <w:rPr>
          <w:rFonts w:ascii="Calibri" w:eastAsia="Calibri" w:hAnsi="Calibri" w:cs="Calibri"/>
        </w:rPr>
        <w:t>required</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stamp</w:t>
      </w:r>
      <w:r w:rsidR="003D640C">
        <w:rPr>
          <w:rFonts w:ascii="Calibri" w:eastAsia="Calibri" w:hAnsi="Calibri" w:cs="Calibri"/>
        </w:rPr>
        <w:t xml:space="preserve"> </w:t>
      </w:r>
      <w:r>
        <w:rPr>
          <w:rFonts w:ascii="Calibri" w:eastAsia="Calibri" w:hAnsi="Calibri" w:cs="Calibri"/>
        </w:rPr>
        <w:t>out</w:t>
      </w:r>
      <w:r w:rsidR="003D640C">
        <w:rPr>
          <w:rFonts w:ascii="Calibri" w:eastAsia="Calibri" w:hAnsi="Calibri" w:cs="Calibri"/>
        </w:rPr>
        <w:t xml:space="preserve"> </w:t>
      </w:r>
      <w:r>
        <w:rPr>
          <w:rFonts w:ascii="Calibri" w:eastAsia="Calibri" w:hAnsi="Calibri" w:cs="Calibri"/>
        </w:rPr>
        <w:t>these</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ultimately</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eradicate</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underlying</w:t>
      </w:r>
      <w:r w:rsidR="003D640C">
        <w:rPr>
          <w:rFonts w:ascii="Calibri" w:eastAsia="Calibri" w:hAnsi="Calibri" w:cs="Calibri"/>
        </w:rPr>
        <w:t xml:space="preserve"> </w:t>
      </w:r>
      <w:r>
        <w:rPr>
          <w:rFonts w:ascii="Calibri" w:eastAsia="Calibri" w:hAnsi="Calibri" w:cs="Calibri"/>
        </w:rPr>
        <w:t>ideologies</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underpin</w:t>
      </w:r>
      <w:r w:rsidR="003D640C">
        <w:rPr>
          <w:rFonts w:ascii="Calibri" w:eastAsia="Calibri" w:hAnsi="Calibri" w:cs="Calibri"/>
        </w:rPr>
        <w:t xml:space="preserve"> </w:t>
      </w:r>
      <w:r>
        <w:rPr>
          <w:rFonts w:ascii="Calibri" w:eastAsia="Calibri" w:hAnsi="Calibri" w:cs="Calibri"/>
        </w:rPr>
        <w:t>them.</w:t>
      </w:r>
      <w:r w:rsidR="003D640C">
        <w:rPr>
          <w:lang w:eastAsia="en-NZ"/>
        </w:rPr>
        <w:t xml:space="preserve"> </w:t>
      </w:r>
      <w:r>
        <w:rPr>
          <w:lang w:eastAsia="en-NZ"/>
        </w:rPr>
        <w:t>Government</w:t>
      </w:r>
      <w:r w:rsidR="003D640C">
        <w:rPr>
          <w:lang w:eastAsia="en-NZ"/>
        </w:rPr>
        <w:t xml:space="preserve"> </w:t>
      </w:r>
      <w:r>
        <w:rPr>
          <w:lang w:eastAsia="en-NZ"/>
        </w:rPr>
        <w:t>can</w:t>
      </w:r>
      <w:r w:rsidR="003D640C">
        <w:rPr>
          <w:lang w:eastAsia="en-NZ"/>
        </w:rPr>
        <w:t xml:space="preserve"> </w:t>
      </w:r>
      <w:r>
        <w:rPr>
          <w:lang w:eastAsia="en-NZ"/>
        </w:rPr>
        <w:t>resource</w:t>
      </w:r>
      <w:r w:rsidR="003D640C">
        <w:rPr>
          <w:lang w:eastAsia="en-NZ"/>
        </w:rPr>
        <w:t xml:space="preserve"> </w:t>
      </w:r>
      <w:r>
        <w:rPr>
          <w:lang w:eastAsia="en-NZ"/>
        </w:rPr>
        <w:t>evidence-based</w:t>
      </w:r>
      <w:r w:rsidR="003D640C">
        <w:rPr>
          <w:lang w:eastAsia="en-NZ"/>
        </w:rPr>
        <w:t xml:space="preserve"> </w:t>
      </w:r>
      <w:r>
        <w:rPr>
          <w:lang w:eastAsia="en-NZ"/>
        </w:rPr>
        <w:t>approaches</w:t>
      </w:r>
      <w:r w:rsidR="003D640C">
        <w:rPr>
          <w:lang w:eastAsia="en-NZ"/>
        </w:rPr>
        <w:t xml:space="preserve"> </w:t>
      </w:r>
      <w:r>
        <w:rPr>
          <w:lang w:eastAsia="en-NZ"/>
        </w:rPr>
        <w:t>to</w:t>
      </w:r>
      <w:r w:rsidR="003D640C">
        <w:rPr>
          <w:lang w:eastAsia="en-NZ"/>
        </w:rPr>
        <w:t xml:space="preserve"> </w:t>
      </w:r>
      <w:r>
        <w:rPr>
          <w:lang w:eastAsia="en-NZ"/>
        </w:rPr>
        <w:t>deepen</w:t>
      </w:r>
      <w:r w:rsidR="003D640C">
        <w:rPr>
          <w:lang w:eastAsia="en-NZ"/>
        </w:rPr>
        <w:t xml:space="preserve"> </w:t>
      </w:r>
      <w:r>
        <w:rPr>
          <w:lang w:eastAsia="en-NZ"/>
        </w:rPr>
        <w:t>public</w:t>
      </w:r>
      <w:r w:rsidR="003D640C">
        <w:rPr>
          <w:lang w:eastAsia="en-NZ"/>
        </w:rPr>
        <w:t xml:space="preserve"> </w:t>
      </w:r>
      <w:r>
        <w:rPr>
          <w:lang w:eastAsia="en-NZ"/>
        </w:rPr>
        <w:t>understanding</w:t>
      </w:r>
      <w:r w:rsidR="003D640C">
        <w:rPr>
          <w:lang w:eastAsia="en-NZ"/>
        </w:rPr>
        <w:t xml:space="preserve"> </w:t>
      </w:r>
      <w:r>
        <w:rPr>
          <w:lang w:eastAsia="en-NZ"/>
        </w:rPr>
        <w:t>of</w:t>
      </w:r>
      <w:r w:rsidR="003D640C">
        <w:rPr>
          <w:lang w:eastAsia="en-NZ"/>
        </w:rPr>
        <w:t xml:space="preserve"> </w:t>
      </w:r>
      <w:r>
        <w:rPr>
          <w:lang w:eastAsia="en-NZ"/>
        </w:rPr>
        <w:t>conversion</w:t>
      </w:r>
      <w:r w:rsidR="003D640C">
        <w:rPr>
          <w:lang w:eastAsia="en-NZ"/>
        </w:rPr>
        <w:t xml:space="preserve"> </w:t>
      </w:r>
      <w:r>
        <w:rPr>
          <w:lang w:eastAsia="en-NZ"/>
        </w:rPr>
        <w:t>practices,</w:t>
      </w:r>
      <w:r w:rsidR="003D640C">
        <w:rPr>
          <w:lang w:eastAsia="en-NZ"/>
        </w:rPr>
        <w:t xml:space="preserve"> </w:t>
      </w:r>
      <w:r>
        <w:rPr>
          <w:lang w:eastAsia="en-NZ"/>
        </w:rPr>
        <w:t>shift</w:t>
      </w:r>
      <w:r w:rsidR="003D640C">
        <w:rPr>
          <w:lang w:eastAsia="en-NZ"/>
        </w:rPr>
        <w:t xml:space="preserve"> </w:t>
      </w:r>
      <w:r>
        <w:rPr>
          <w:lang w:eastAsia="en-NZ"/>
        </w:rPr>
        <w:t>the</w:t>
      </w:r>
      <w:r w:rsidR="003D640C">
        <w:rPr>
          <w:lang w:eastAsia="en-NZ"/>
        </w:rPr>
        <w:t xml:space="preserve"> </w:t>
      </w:r>
      <w:r>
        <w:rPr>
          <w:lang w:eastAsia="en-NZ"/>
        </w:rPr>
        <w:t>harmful</w:t>
      </w:r>
      <w:r w:rsidR="003D640C">
        <w:rPr>
          <w:lang w:eastAsia="en-NZ"/>
        </w:rPr>
        <w:t xml:space="preserve"> </w:t>
      </w:r>
      <w:r>
        <w:rPr>
          <w:lang w:eastAsia="en-NZ"/>
        </w:rPr>
        <w:t>ideologies</w:t>
      </w:r>
      <w:r w:rsidR="003D640C">
        <w:rPr>
          <w:lang w:eastAsia="en-NZ"/>
        </w:rPr>
        <w:t xml:space="preserve"> </w:t>
      </w:r>
      <w:r>
        <w:rPr>
          <w:lang w:eastAsia="en-NZ"/>
        </w:rPr>
        <w:t>that</w:t>
      </w:r>
      <w:r w:rsidR="003D640C">
        <w:rPr>
          <w:lang w:eastAsia="en-NZ"/>
        </w:rPr>
        <w:t xml:space="preserve"> </w:t>
      </w:r>
      <w:r>
        <w:rPr>
          <w:lang w:eastAsia="en-NZ"/>
        </w:rPr>
        <w:t>underlie</w:t>
      </w:r>
      <w:r w:rsidR="003D640C">
        <w:rPr>
          <w:lang w:eastAsia="en-NZ"/>
        </w:rPr>
        <w:t xml:space="preserve"> </w:t>
      </w:r>
      <w:r>
        <w:rPr>
          <w:lang w:eastAsia="en-NZ"/>
        </w:rPr>
        <w:t>them</w:t>
      </w:r>
      <w:r w:rsidR="00D32C2C">
        <w:rPr>
          <w:lang w:eastAsia="en-NZ"/>
        </w:rPr>
        <w:t>,</w:t>
      </w:r>
      <w:r w:rsidR="003D640C">
        <w:rPr>
          <w:lang w:eastAsia="en-NZ"/>
        </w:rPr>
        <w:t xml:space="preserve"> </w:t>
      </w:r>
      <w:r>
        <w:rPr>
          <w:lang w:eastAsia="en-NZ"/>
        </w:rPr>
        <w:t>and</w:t>
      </w:r>
      <w:r w:rsidR="003D640C">
        <w:rPr>
          <w:lang w:eastAsia="en-NZ"/>
        </w:rPr>
        <w:t xml:space="preserve"> </w:t>
      </w:r>
      <w:r>
        <w:rPr>
          <w:lang w:eastAsia="en-NZ"/>
        </w:rPr>
        <w:t>support</w:t>
      </w:r>
      <w:r w:rsidR="003D640C">
        <w:rPr>
          <w:lang w:eastAsia="en-NZ"/>
        </w:rPr>
        <w:t xml:space="preserve"> </w:t>
      </w:r>
      <w:r>
        <w:rPr>
          <w:lang w:eastAsia="en-NZ"/>
        </w:rPr>
        <w:t>communities</w:t>
      </w:r>
      <w:r w:rsidR="003D640C">
        <w:rPr>
          <w:lang w:eastAsia="en-NZ"/>
        </w:rPr>
        <w:t xml:space="preserve"> </w:t>
      </w:r>
      <w:r>
        <w:rPr>
          <w:lang w:eastAsia="en-NZ"/>
        </w:rPr>
        <w:t>to</w:t>
      </w:r>
      <w:r w:rsidR="003D640C">
        <w:rPr>
          <w:lang w:eastAsia="en-NZ"/>
        </w:rPr>
        <w:t xml:space="preserve"> </w:t>
      </w:r>
      <w:r>
        <w:rPr>
          <w:lang w:eastAsia="en-NZ"/>
        </w:rPr>
        <w:t>become</w:t>
      </w:r>
      <w:r w:rsidR="003D640C">
        <w:rPr>
          <w:lang w:eastAsia="en-NZ"/>
        </w:rPr>
        <w:t xml:space="preserve"> </w:t>
      </w:r>
      <w:r>
        <w:rPr>
          <w:lang w:eastAsia="en-NZ"/>
        </w:rPr>
        <w:t>more</w:t>
      </w:r>
      <w:r w:rsidR="003D640C">
        <w:rPr>
          <w:lang w:eastAsia="en-NZ"/>
        </w:rPr>
        <w:t xml:space="preserve"> </w:t>
      </w:r>
      <w:r>
        <w:rPr>
          <w:lang w:eastAsia="en-NZ"/>
        </w:rPr>
        <w:t>inclusive</w:t>
      </w:r>
      <w:r w:rsidR="003D640C">
        <w:rPr>
          <w:lang w:eastAsia="en-NZ"/>
        </w:rPr>
        <w:t xml:space="preserve"> </w:t>
      </w:r>
      <w:r>
        <w:rPr>
          <w:lang w:eastAsia="en-NZ"/>
        </w:rPr>
        <w:t>and</w:t>
      </w:r>
      <w:r w:rsidR="003D640C">
        <w:rPr>
          <w:lang w:eastAsia="en-NZ"/>
        </w:rPr>
        <w:t xml:space="preserve"> </w:t>
      </w:r>
      <w:r>
        <w:rPr>
          <w:lang w:eastAsia="en-NZ"/>
        </w:rPr>
        <w:t>safer</w:t>
      </w:r>
      <w:r w:rsidR="003D640C">
        <w:rPr>
          <w:lang w:eastAsia="en-NZ"/>
        </w:rPr>
        <w:t xml:space="preserve"> </w:t>
      </w:r>
      <w:r>
        <w:rPr>
          <w:lang w:eastAsia="en-NZ"/>
        </w:rPr>
        <w:t>for</w:t>
      </w:r>
      <w:r w:rsidR="003D640C">
        <w:rPr>
          <w:lang w:eastAsia="en-NZ"/>
        </w:rPr>
        <w:t xml:space="preserve"> </w:t>
      </w:r>
      <w:r>
        <w:rPr>
          <w:lang w:eastAsia="en-NZ"/>
        </w:rPr>
        <w:t>all</w:t>
      </w:r>
      <w:r w:rsidR="003D640C">
        <w:rPr>
          <w:lang w:eastAsia="en-NZ"/>
        </w:rPr>
        <w:t xml:space="preserve"> </w:t>
      </w:r>
      <w:r>
        <w:rPr>
          <w:lang w:eastAsia="en-NZ"/>
        </w:rPr>
        <w:t>Rainbow</w:t>
      </w:r>
      <w:r w:rsidR="003D640C">
        <w:rPr>
          <w:lang w:eastAsia="en-NZ"/>
        </w:rPr>
        <w:t xml:space="preserve"> </w:t>
      </w:r>
      <w:r>
        <w:rPr>
          <w:lang w:eastAsia="en-NZ"/>
        </w:rPr>
        <w:t>people.</w:t>
      </w:r>
      <w:r w:rsidR="003D640C">
        <w:rPr>
          <w:lang w:eastAsia="en-NZ"/>
        </w:rPr>
        <w:t xml:space="preserve"> </w:t>
      </w:r>
    </w:p>
    <w:p w14:paraId="62D84B4E" w14:textId="155576FA" w:rsidR="001B4C93" w:rsidRDefault="000B24E5" w:rsidP="00E00167">
      <w:pPr>
        <w:rPr>
          <w:lang w:eastAsia="en-NZ"/>
        </w:rPr>
      </w:pPr>
      <w:r>
        <w:rPr>
          <w:lang w:eastAsia="en-NZ"/>
        </w:rPr>
        <w:t>While</w:t>
      </w:r>
      <w:r w:rsidR="003D640C">
        <w:rPr>
          <w:lang w:eastAsia="en-NZ"/>
        </w:rPr>
        <w:t xml:space="preserve"> </w:t>
      </w:r>
      <w:r>
        <w:rPr>
          <w:lang w:eastAsia="en-NZ"/>
        </w:rPr>
        <w:t>Government</w:t>
      </w:r>
      <w:r w:rsidR="003D640C">
        <w:rPr>
          <w:lang w:eastAsia="en-NZ"/>
        </w:rPr>
        <w:t xml:space="preserve"> </w:t>
      </w:r>
      <w:r>
        <w:rPr>
          <w:lang w:eastAsia="en-NZ"/>
        </w:rPr>
        <w:t>has</w:t>
      </w:r>
      <w:r w:rsidR="003D640C">
        <w:rPr>
          <w:lang w:eastAsia="en-NZ"/>
        </w:rPr>
        <w:t xml:space="preserve"> </w:t>
      </w:r>
      <w:r>
        <w:rPr>
          <w:lang w:eastAsia="en-NZ"/>
        </w:rPr>
        <w:t>a</w:t>
      </w:r>
      <w:r w:rsidR="003D640C">
        <w:rPr>
          <w:lang w:eastAsia="en-NZ"/>
        </w:rPr>
        <w:t xml:space="preserve"> </w:t>
      </w:r>
      <w:r w:rsidR="004B65FD">
        <w:rPr>
          <w:lang w:eastAsia="en-NZ"/>
        </w:rPr>
        <w:t>major</w:t>
      </w:r>
      <w:r w:rsidR="003D640C">
        <w:rPr>
          <w:lang w:eastAsia="en-NZ"/>
        </w:rPr>
        <w:t xml:space="preserve"> </w:t>
      </w:r>
      <w:r w:rsidR="004B65FD">
        <w:rPr>
          <w:lang w:eastAsia="en-NZ"/>
        </w:rPr>
        <w:t>role</w:t>
      </w:r>
      <w:r w:rsidR="003D640C">
        <w:rPr>
          <w:lang w:eastAsia="en-NZ"/>
        </w:rPr>
        <w:t xml:space="preserve"> </w:t>
      </w:r>
      <w:r w:rsidR="004B65FD">
        <w:rPr>
          <w:lang w:eastAsia="en-NZ"/>
        </w:rPr>
        <w:t>to</w:t>
      </w:r>
      <w:r w:rsidR="003D640C">
        <w:rPr>
          <w:lang w:eastAsia="en-NZ"/>
        </w:rPr>
        <w:t xml:space="preserve"> </w:t>
      </w:r>
      <w:r w:rsidR="004B65FD">
        <w:rPr>
          <w:lang w:eastAsia="en-NZ"/>
        </w:rPr>
        <w:t>play,</w:t>
      </w:r>
      <w:r w:rsidR="003D640C">
        <w:rPr>
          <w:lang w:eastAsia="en-NZ"/>
        </w:rPr>
        <w:t xml:space="preserve"> </w:t>
      </w:r>
      <w:r w:rsidR="004B65FD">
        <w:rPr>
          <w:lang w:eastAsia="en-NZ"/>
        </w:rPr>
        <w:t>a</w:t>
      </w:r>
      <w:r>
        <w:rPr>
          <w:rFonts w:ascii="Calibri" w:eastAsia="Calibri" w:hAnsi="Calibri" w:cs="Calibri"/>
        </w:rPr>
        <w:t>n</w:t>
      </w:r>
      <w:r w:rsidR="003D640C">
        <w:rPr>
          <w:rFonts w:ascii="Calibri" w:eastAsia="Calibri" w:hAnsi="Calibri" w:cs="Calibri"/>
        </w:rPr>
        <w:t xml:space="preserve"> </w:t>
      </w:r>
      <w:r>
        <w:rPr>
          <w:rFonts w:ascii="Calibri" w:eastAsia="Calibri" w:hAnsi="Calibri" w:cs="Calibri"/>
        </w:rPr>
        <w:t>all-of-society</w:t>
      </w:r>
      <w:r w:rsidR="003D640C">
        <w:rPr>
          <w:rFonts w:ascii="Calibri" w:eastAsia="Calibri" w:hAnsi="Calibri" w:cs="Calibri"/>
        </w:rPr>
        <w:t xml:space="preserve"> </w:t>
      </w:r>
      <w:r>
        <w:rPr>
          <w:rFonts w:ascii="Calibri" w:eastAsia="Calibri" w:hAnsi="Calibri" w:cs="Calibri"/>
        </w:rPr>
        <w:t>approach</w:t>
      </w:r>
      <w:r w:rsidR="003D640C">
        <w:rPr>
          <w:rFonts w:ascii="Calibri" w:eastAsia="Calibri" w:hAnsi="Calibri" w:cs="Calibri"/>
        </w:rPr>
        <w:t xml:space="preserve"> </w:t>
      </w:r>
      <w:r>
        <w:rPr>
          <w:rFonts w:ascii="Calibri" w:eastAsia="Calibri" w:hAnsi="Calibri" w:cs="Calibri"/>
        </w:rPr>
        <w:t>is</w:t>
      </w:r>
      <w:r w:rsidR="003D640C">
        <w:rPr>
          <w:rFonts w:ascii="Calibri" w:eastAsia="Calibri" w:hAnsi="Calibri" w:cs="Calibri"/>
        </w:rPr>
        <w:t xml:space="preserve"> </w:t>
      </w:r>
      <w:r>
        <w:rPr>
          <w:rFonts w:ascii="Calibri" w:eastAsia="Calibri" w:hAnsi="Calibri" w:cs="Calibri"/>
        </w:rPr>
        <w:t>necessary</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ensure</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safety</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wellbeing</w:t>
      </w:r>
      <w:r w:rsidR="003D640C">
        <w:rPr>
          <w:rFonts w:ascii="Calibri" w:eastAsia="Calibri" w:hAnsi="Calibri" w:cs="Calibri"/>
        </w:rPr>
        <w:t xml:space="preserve"> </w:t>
      </w:r>
      <w:r>
        <w:rPr>
          <w:rFonts w:ascii="Calibri" w:eastAsia="Calibri" w:hAnsi="Calibri" w:cs="Calibri"/>
        </w:rPr>
        <w:t>of</w:t>
      </w:r>
      <w:r w:rsidR="003D640C">
        <w:rPr>
          <w:rFonts w:ascii="Calibri" w:eastAsia="Calibri" w:hAnsi="Calibri" w:cs="Calibri"/>
        </w:rPr>
        <w:t xml:space="preserve"> </w:t>
      </w:r>
      <w:r>
        <w:rPr>
          <w:rFonts w:ascii="Calibri" w:eastAsia="Calibri" w:hAnsi="Calibri" w:cs="Calibri"/>
        </w:rPr>
        <w:t>Rainbow</w:t>
      </w:r>
      <w:r w:rsidR="003D640C">
        <w:rPr>
          <w:rFonts w:ascii="Calibri" w:eastAsia="Calibri" w:hAnsi="Calibri" w:cs="Calibri"/>
        </w:rPr>
        <w:t xml:space="preserve"> </w:t>
      </w:r>
      <w:r>
        <w:rPr>
          <w:rFonts w:ascii="Calibri" w:eastAsia="Calibri" w:hAnsi="Calibri" w:cs="Calibri"/>
        </w:rPr>
        <w:t>people.</w:t>
      </w:r>
      <w:r w:rsidR="003D640C">
        <w:rPr>
          <w:rFonts w:ascii="Calibri" w:eastAsia="Calibri" w:hAnsi="Calibri" w:cs="Calibri"/>
        </w:rPr>
        <w:t xml:space="preserve"> </w:t>
      </w:r>
      <w:r w:rsidR="00F75393">
        <w:rPr>
          <w:lang w:eastAsia="en-NZ"/>
        </w:rPr>
        <w:t>There</w:t>
      </w:r>
      <w:r w:rsidR="003D640C">
        <w:rPr>
          <w:lang w:eastAsia="en-NZ"/>
        </w:rPr>
        <w:t xml:space="preserve"> </w:t>
      </w:r>
      <w:r w:rsidR="00F75393">
        <w:rPr>
          <w:lang w:eastAsia="en-NZ"/>
        </w:rPr>
        <w:t>are</w:t>
      </w:r>
      <w:r w:rsidR="003D640C">
        <w:rPr>
          <w:lang w:eastAsia="en-NZ"/>
        </w:rPr>
        <w:t xml:space="preserve"> </w:t>
      </w:r>
      <w:r w:rsidR="00F75393">
        <w:rPr>
          <w:lang w:eastAsia="en-NZ"/>
        </w:rPr>
        <w:t>specific</w:t>
      </w:r>
      <w:r w:rsidR="003D640C">
        <w:rPr>
          <w:lang w:eastAsia="en-NZ"/>
        </w:rPr>
        <w:t xml:space="preserve"> </w:t>
      </w:r>
      <w:r w:rsidR="00F75393">
        <w:rPr>
          <w:lang w:eastAsia="en-NZ"/>
        </w:rPr>
        <w:t>recommendations</w:t>
      </w:r>
      <w:r w:rsidR="003D640C">
        <w:rPr>
          <w:lang w:eastAsia="en-NZ"/>
        </w:rPr>
        <w:t xml:space="preserve"> </w:t>
      </w:r>
      <w:r w:rsidR="00F75393">
        <w:rPr>
          <w:lang w:eastAsia="en-NZ"/>
        </w:rPr>
        <w:t>here</w:t>
      </w:r>
      <w:r w:rsidR="003D640C">
        <w:rPr>
          <w:lang w:eastAsia="en-NZ"/>
        </w:rPr>
        <w:t xml:space="preserve"> </w:t>
      </w:r>
      <w:r w:rsidR="00F75393">
        <w:rPr>
          <w:lang w:eastAsia="en-NZ"/>
        </w:rPr>
        <w:t>for</w:t>
      </w:r>
      <w:r w:rsidR="003D640C">
        <w:rPr>
          <w:lang w:eastAsia="en-NZ"/>
        </w:rPr>
        <w:t xml:space="preserve"> </w:t>
      </w:r>
      <w:r w:rsidR="00F75393">
        <w:rPr>
          <w:lang w:eastAsia="en-NZ"/>
        </w:rPr>
        <w:t>the</w:t>
      </w:r>
      <w:r w:rsidR="003D640C">
        <w:rPr>
          <w:lang w:eastAsia="en-NZ"/>
        </w:rPr>
        <w:t xml:space="preserve"> </w:t>
      </w:r>
      <w:r w:rsidR="00F75393">
        <w:rPr>
          <w:lang w:eastAsia="en-NZ"/>
        </w:rPr>
        <w:t>media,</w:t>
      </w:r>
      <w:r w:rsidR="003D640C">
        <w:rPr>
          <w:lang w:eastAsia="en-NZ"/>
        </w:rPr>
        <w:t xml:space="preserve"> </w:t>
      </w:r>
      <w:r w:rsidR="00F75393">
        <w:rPr>
          <w:lang w:eastAsia="en-NZ"/>
        </w:rPr>
        <w:t>for</w:t>
      </w:r>
      <w:r w:rsidR="003D640C">
        <w:rPr>
          <w:lang w:eastAsia="en-NZ"/>
        </w:rPr>
        <w:t xml:space="preserve"> </w:t>
      </w:r>
      <w:r w:rsidR="00F75393">
        <w:rPr>
          <w:lang w:eastAsia="en-NZ"/>
        </w:rPr>
        <w:t>religious</w:t>
      </w:r>
      <w:r w:rsidR="003D640C">
        <w:rPr>
          <w:lang w:eastAsia="en-NZ"/>
        </w:rPr>
        <w:t xml:space="preserve"> </w:t>
      </w:r>
      <w:r w:rsidR="00F75393">
        <w:rPr>
          <w:lang w:eastAsia="en-NZ"/>
        </w:rPr>
        <w:t>and</w:t>
      </w:r>
      <w:r w:rsidR="003D640C">
        <w:rPr>
          <w:lang w:eastAsia="en-NZ"/>
        </w:rPr>
        <w:t xml:space="preserve"> </w:t>
      </w:r>
      <w:r w:rsidR="00F75393">
        <w:rPr>
          <w:lang w:eastAsia="en-NZ"/>
        </w:rPr>
        <w:t>faith</w:t>
      </w:r>
      <w:r w:rsidR="003D640C">
        <w:rPr>
          <w:lang w:eastAsia="en-NZ"/>
        </w:rPr>
        <w:t xml:space="preserve"> </w:t>
      </w:r>
      <w:r w:rsidR="00F75393">
        <w:rPr>
          <w:lang w:eastAsia="en-NZ"/>
        </w:rPr>
        <w:t>communities,</w:t>
      </w:r>
      <w:r w:rsidR="003D640C">
        <w:rPr>
          <w:lang w:eastAsia="en-NZ"/>
        </w:rPr>
        <w:t xml:space="preserve"> </w:t>
      </w:r>
      <w:r w:rsidR="00F75393">
        <w:rPr>
          <w:lang w:eastAsia="en-NZ"/>
        </w:rPr>
        <w:t>for</w:t>
      </w:r>
      <w:r w:rsidR="003D640C">
        <w:rPr>
          <w:lang w:eastAsia="en-NZ"/>
        </w:rPr>
        <w:t xml:space="preserve"> </w:t>
      </w:r>
      <w:r w:rsidR="00F75393">
        <w:rPr>
          <w:lang w:eastAsia="en-NZ"/>
        </w:rPr>
        <w:t>mental</w:t>
      </w:r>
      <w:r w:rsidR="003D640C">
        <w:rPr>
          <w:lang w:eastAsia="en-NZ"/>
        </w:rPr>
        <w:t xml:space="preserve"> </w:t>
      </w:r>
      <w:r w:rsidR="00F75393">
        <w:rPr>
          <w:lang w:eastAsia="en-NZ"/>
        </w:rPr>
        <w:t>health</w:t>
      </w:r>
      <w:r w:rsidR="003D640C">
        <w:rPr>
          <w:lang w:eastAsia="en-NZ"/>
        </w:rPr>
        <w:t xml:space="preserve"> </w:t>
      </w:r>
      <w:r w:rsidR="00F75393">
        <w:rPr>
          <w:lang w:eastAsia="en-NZ"/>
        </w:rPr>
        <w:t>and</w:t>
      </w:r>
      <w:r w:rsidR="003D640C">
        <w:rPr>
          <w:lang w:eastAsia="en-NZ"/>
        </w:rPr>
        <w:t xml:space="preserve"> </w:t>
      </w:r>
      <w:r w:rsidR="00F75393">
        <w:rPr>
          <w:lang w:eastAsia="en-NZ"/>
        </w:rPr>
        <w:t>medical</w:t>
      </w:r>
      <w:r w:rsidR="003D640C">
        <w:rPr>
          <w:lang w:eastAsia="en-NZ"/>
        </w:rPr>
        <w:t xml:space="preserve"> </w:t>
      </w:r>
      <w:r w:rsidR="00F75393">
        <w:rPr>
          <w:lang w:eastAsia="en-NZ"/>
        </w:rPr>
        <w:t>healthcare</w:t>
      </w:r>
      <w:r w:rsidR="003D640C">
        <w:rPr>
          <w:lang w:eastAsia="en-NZ"/>
        </w:rPr>
        <w:t xml:space="preserve"> </w:t>
      </w:r>
      <w:r w:rsidR="00F75393">
        <w:rPr>
          <w:lang w:eastAsia="en-NZ"/>
        </w:rPr>
        <w:t>practitioners</w:t>
      </w:r>
      <w:r w:rsidR="00D32C2C">
        <w:rPr>
          <w:lang w:eastAsia="en-NZ"/>
        </w:rPr>
        <w:t>,</w:t>
      </w:r>
      <w:r w:rsidR="003D640C">
        <w:rPr>
          <w:lang w:eastAsia="en-NZ"/>
        </w:rPr>
        <w:t xml:space="preserve"> </w:t>
      </w:r>
      <w:r w:rsidR="00F75393">
        <w:rPr>
          <w:lang w:eastAsia="en-NZ"/>
        </w:rPr>
        <w:t>and</w:t>
      </w:r>
      <w:r w:rsidR="003D640C">
        <w:rPr>
          <w:lang w:eastAsia="en-NZ"/>
        </w:rPr>
        <w:t xml:space="preserve"> </w:t>
      </w:r>
      <w:r w:rsidR="00D32C2C">
        <w:rPr>
          <w:lang w:eastAsia="en-NZ"/>
        </w:rPr>
        <w:t>for</w:t>
      </w:r>
      <w:r w:rsidR="003D640C">
        <w:rPr>
          <w:lang w:eastAsia="en-NZ"/>
        </w:rPr>
        <w:t xml:space="preserve"> </w:t>
      </w:r>
      <w:r w:rsidR="00F75393">
        <w:rPr>
          <w:lang w:eastAsia="en-NZ"/>
        </w:rPr>
        <w:t>people</w:t>
      </w:r>
      <w:r w:rsidR="003D640C">
        <w:rPr>
          <w:lang w:eastAsia="en-NZ"/>
        </w:rPr>
        <w:t xml:space="preserve"> </w:t>
      </w:r>
      <w:r w:rsidR="00F75393">
        <w:rPr>
          <w:lang w:eastAsia="en-NZ"/>
        </w:rPr>
        <w:t>who</w:t>
      </w:r>
      <w:r w:rsidR="003D640C">
        <w:rPr>
          <w:lang w:eastAsia="en-NZ"/>
        </w:rPr>
        <w:t xml:space="preserve"> </w:t>
      </w:r>
      <w:r w:rsidR="00F75393">
        <w:rPr>
          <w:lang w:eastAsia="en-NZ"/>
        </w:rPr>
        <w:t>work</w:t>
      </w:r>
      <w:r w:rsidR="003D640C">
        <w:rPr>
          <w:lang w:eastAsia="en-NZ"/>
        </w:rPr>
        <w:t xml:space="preserve"> </w:t>
      </w:r>
      <w:r w:rsidR="00F75393">
        <w:rPr>
          <w:lang w:eastAsia="en-NZ"/>
        </w:rPr>
        <w:t>with</w:t>
      </w:r>
      <w:r w:rsidR="003D640C">
        <w:rPr>
          <w:lang w:eastAsia="en-NZ"/>
        </w:rPr>
        <w:t xml:space="preserve"> </w:t>
      </w:r>
      <w:r w:rsidR="00F75393">
        <w:rPr>
          <w:lang w:eastAsia="en-NZ"/>
        </w:rPr>
        <w:t>children</w:t>
      </w:r>
      <w:r w:rsidR="003D640C">
        <w:rPr>
          <w:lang w:eastAsia="en-NZ"/>
        </w:rPr>
        <w:t xml:space="preserve"> </w:t>
      </w:r>
      <w:r w:rsidR="00F75393">
        <w:rPr>
          <w:lang w:eastAsia="en-NZ"/>
        </w:rPr>
        <w:t>and</w:t>
      </w:r>
      <w:r w:rsidR="003D640C">
        <w:rPr>
          <w:lang w:eastAsia="en-NZ"/>
        </w:rPr>
        <w:t xml:space="preserve"> </w:t>
      </w:r>
      <w:r w:rsidR="00F75393">
        <w:rPr>
          <w:lang w:eastAsia="en-NZ"/>
        </w:rPr>
        <w:t>young</w:t>
      </w:r>
      <w:r w:rsidR="003D640C">
        <w:rPr>
          <w:lang w:eastAsia="en-NZ"/>
        </w:rPr>
        <w:t xml:space="preserve"> </w:t>
      </w:r>
      <w:r w:rsidR="00F75393">
        <w:rPr>
          <w:lang w:eastAsia="en-NZ"/>
        </w:rPr>
        <w:t>people.</w:t>
      </w:r>
      <w:r w:rsidR="003D640C">
        <w:rPr>
          <w:lang w:eastAsia="en-NZ"/>
        </w:rPr>
        <w:t xml:space="preserve"> </w:t>
      </w:r>
      <w:r w:rsidR="00F75393">
        <w:rPr>
          <w:lang w:eastAsia="en-NZ"/>
        </w:rPr>
        <w:t>These</w:t>
      </w:r>
      <w:r w:rsidR="003D640C">
        <w:rPr>
          <w:lang w:eastAsia="en-NZ"/>
        </w:rPr>
        <w:t xml:space="preserve"> </w:t>
      </w:r>
      <w:r w:rsidR="00F75393">
        <w:rPr>
          <w:lang w:eastAsia="en-NZ"/>
        </w:rPr>
        <w:t>groups</w:t>
      </w:r>
      <w:r w:rsidR="003D640C">
        <w:rPr>
          <w:lang w:eastAsia="en-NZ"/>
        </w:rPr>
        <w:t xml:space="preserve"> </w:t>
      </w:r>
      <w:r w:rsidR="00F75393">
        <w:rPr>
          <w:lang w:eastAsia="en-NZ"/>
        </w:rPr>
        <w:t>each</w:t>
      </w:r>
      <w:r w:rsidR="003D640C">
        <w:rPr>
          <w:lang w:eastAsia="en-NZ"/>
        </w:rPr>
        <w:t xml:space="preserve"> </w:t>
      </w:r>
      <w:r w:rsidR="00F75393">
        <w:rPr>
          <w:lang w:eastAsia="en-NZ"/>
        </w:rPr>
        <w:t>have</w:t>
      </w:r>
      <w:r w:rsidR="003D640C">
        <w:rPr>
          <w:lang w:eastAsia="en-NZ"/>
        </w:rPr>
        <w:t xml:space="preserve"> </w:t>
      </w:r>
      <w:r w:rsidR="00F75393">
        <w:rPr>
          <w:lang w:eastAsia="en-NZ"/>
        </w:rPr>
        <w:t>specific</w:t>
      </w:r>
      <w:r w:rsidR="003D640C">
        <w:rPr>
          <w:lang w:eastAsia="en-NZ"/>
        </w:rPr>
        <w:t xml:space="preserve"> </w:t>
      </w:r>
      <w:r w:rsidR="00F75393">
        <w:rPr>
          <w:lang w:eastAsia="en-NZ"/>
        </w:rPr>
        <w:t>power</w:t>
      </w:r>
      <w:r w:rsidR="003D640C">
        <w:rPr>
          <w:lang w:eastAsia="en-NZ"/>
        </w:rPr>
        <w:t xml:space="preserve"> </w:t>
      </w:r>
      <w:r w:rsidR="00F75393">
        <w:rPr>
          <w:lang w:eastAsia="en-NZ"/>
        </w:rPr>
        <w:t>and</w:t>
      </w:r>
      <w:r w:rsidR="003D640C">
        <w:rPr>
          <w:lang w:eastAsia="en-NZ"/>
        </w:rPr>
        <w:t xml:space="preserve"> </w:t>
      </w:r>
      <w:r w:rsidR="00F75393">
        <w:rPr>
          <w:lang w:eastAsia="en-NZ"/>
        </w:rPr>
        <w:t>influence</w:t>
      </w:r>
      <w:r w:rsidR="003D640C">
        <w:rPr>
          <w:lang w:eastAsia="en-NZ"/>
        </w:rPr>
        <w:t xml:space="preserve"> </w:t>
      </w:r>
      <w:r w:rsidR="00F75393">
        <w:rPr>
          <w:lang w:eastAsia="en-NZ"/>
        </w:rPr>
        <w:t>in</w:t>
      </w:r>
      <w:r w:rsidR="003D640C">
        <w:rPr>
          <w:lang w:eastAsia="en-NZ"/>
        </w:rPr>
        <w:t xml:space="preserve"> </w:t>
      </w:r>
      <w:r w:rsidR="00F75393">
        <w:rPr>
          <w:lang w:eastAsia="en-NZ"/>
        </w:rPr>
        <w:t>creating</w:t>
      </w:r>
      <w:r w:rsidR="003D640C">
        <w:rPr>
          <w:lang w:eastAsia="en-NZ"/>
        </w:rPr>
        <w:t xml:space="preserve"> </w:t>
      </w:r>
      <w:r w:rsidR="00F75393">
        <w:rPr>
          <w:lang w:eastAsia="en-NZ"/>
        </w:rPr>
        <w:t>the</w:t>
      </w:r>
      <w:r w:rsidR="003D640C">
        <w:rPr>
          <w:lang w:eastAsia="en-NZ"/>
        </w:rPr>
        <w:t xml:space="preserve"> </w:t>
      </w:r>
      <w:r w:rsidR="00F75393">
        <w:rPr>
          <w:lang w:eastAsia="en-NZ"/>
        </w:rPr>
        <w:t>conditions</w:t>
      </w:r>
      <w:r w:rsidR="003D640C">
        <w:rPr>
          <w:lang w:eastAsia="en-NZ"/>
        </w:rPr>
        <w:t xml:space="preserve"> </w:t>
      </w:r>
      <w:r w:rsidR="00F75393">
        <w:rPr>
          <w:lang w:eastAsia="en-NZ"/>
        </w:rPr>
        <w:t>in</w:t>
      </w:r>
      <w:r w:rsidR="003D640C">
        <w:rPr>
          <w:lang w:eastAsia="en-NZ"/>
        </w:rPr>
        <w:t xml:space="preserve"> </w:t>
      </w:r>
      <w:r w:rsidR="00F75393">
        <w:rPr>
          <w:lang w:eastAsia="en-NZ"/>
        </w:rPr>
        <w:t>Aotearoa</w:t>
      </w:r>
      <w:r w:rsidR="003D640C">
        <w:rPr>
          <w:lang w:eastAsia="en-NZ"/>
        </w:rPr>
        <w:t xml:space="preserve"> </w:t>
      </w:r>
      <w:r w:rsidR="00F75393">
        <w:rPr>
          <w:lang w:eastAsia="en-NZ"/>
        </w:rPr>
        <w:t>to</w:t>
      </w:r>
      <w:r w:rsidR="003D640C">
        <w:rPr>
          <w:lang w:eastAsia="en-NZ"/>
        </w:rPr>
        <w:t xml:space="preserve"> </w:t>
      </w:r>
      <w:r w:rsidR="00F75393">
        <w:rPr>
          <w:lang w:eastAsia="en-NZ"/>
        </w:rPr>
        <w:t>end</w:t>
      </w:r>
      <w:r w:rsidR="003D640C">
        <w:rPr>
          <w:lang w:eastAsia="en-NZ"/>
        </w:rPr>
        <w:t xml:space="preserve"> </w:t>
      </w:r>
      <w:r w:rsidR="00F75393">
        <w:rPr>
          <w:lang w:eastAsia="en-NZ"/>
        </w:rPr>
        <w:t>conversion</w:t>
      </w:r>
      <w:r w:rsidR="003D640C">
        <w:rPr>
          <w:lang w:eastAsia="en-NZ"/>
        </w:rPr>
        <w:t xml:space="preserve"> </w:t>
      </w:r>
      <w:r w:rsidR="00F75393">
        <w:rPr>
          <w:lang w:eastAsia="en-NZ"/>
        </w:rPr>
        <w:t>practices</w:t>
      </w:r>
      <w:r w:rsidR="003D640C">
        <w:rPr>
          <w:lang w:eastAsia="en-NZ"/>
        </w:rPr>
        <w:t xml:space="preserve"> </w:t>
      </w:r>
      <w:r w:rsidR="004C6FB1">
        <w:rPr>
          <w:lang w:eastAsia="en-NZ"/>
        </w:rPr>
        <w:t>and</w:t>
      </w:r>
      <w:r w:rsidR="003D640C">
        <w:rPr>
          <w:lang w:eastAsia="en-NZ"/>
        </w:rPr>
        <w:t xml:space="preserve"> </w:t>
      </w:r>
      <w:r w:rsidR="004C6FB1">
        <w:rPr>
          <w:lang w:eastAsia="en-NZ"/>
        </w:rPr>
        <w:t>to</w:t>
      </w:r>
      <w:r w:rsidR="003D640C">
        <w:rPr>
          <w:lang w:eastAsia="en-NZ"/>
        </w:rPr>
        <w:t xml:space="preserve"> </w:t>
      </w:r>
      <w:r w:rsidR="004C6FB1">
        <w:rPr>
          <w:lang w:eastAsia="en-NZ"/>
        </w:rPr>
        <w:t>provide</w:t>
      </w:r>
      <w:r w:rsidR="003D640C">
        <w:rPr>
          <w:lang w:eastAsia="en-NZ"/>
        </w:rPr>
        <w:t xml:space="preserve"> </w:t>
      </w:r>
      <w:r w:rsidR="004C6FB1">
        <w:rPr>
          <w:lang w:eastAsia="en-NZ"/>
        </w:rPr>
        <w:t>support</w:t>
      </w:r>
      <w:r w:rsidR="003D640C">
        <w:rPr>
          <w:lang w:eastAsia="en-NZ"/>
        </w:rPr>
        <w:t xml:space="preserve"> </w:t>
      </w:r>
      <w:r w:rsidR="004C6FB1">
        <w:rPr>
          <w:lang w:eastAsia="en-NZ"/>
        </w:rPr>
        <w:t>to</w:t>
      </w:r>
      <w:r w:rsidR="003D640C">
        <w:rPr>
          <w:lang w:eastAsia="en-NZ"/>
        </w:rPr>
        <w:t xml:space="preserve"> </w:t>
      </w:r>
      <w:r w:rsidR="004C6FB1">
        <w:rPr>
          <w:lang w:eastAsia="en-NZ"/>
        </w:rPr>
        <w:t>those</w:t>
      </w:r>
      <w:r w:rsidR="003D640C">
        <w:rPr>
          <w:lang w:eastAsia="en-NZ"/>
        </w:rPr>
        <w:t xml:space="preserve"> </w:t>
      </w:r>
      <w:r w:rsidR="004C6FB1">
        <w:rPr>
          <w:lang w:eastAsia="en-NZ"/>
        </w:rPr>
        <w:t>who</w:t>
      </w:r>
      <w:r w:rsidR="003D640C">
        <w:rPr>
          <w:lang w:eastAsia="en-NZ"/>
        </w:rPr>
        <w:t xml:space="preserve"> </w:t>
      </w:r>
      <w:r w:rsidR="004C6FB1">
        <w:rPr>
          <w:lang w:eastAsia="en-NZ"/>
        </w:rPr>
        <w:t>have</w:t>
      </w:r>
      <w:r w:rsidR="003D640C">
        <w:rPr>
          <w:lang w:eastAsia="en-NZ"/>
        </w:rPr>
        <w:t xml:space="preserve"> </w:t>
      </w:r>
      <w:r w:rsidR="004C6FB1">
        <w:rPr>
          <w:lang w:eastAsia="en-NZ"/>
        </w:rPr>
        <w:t>experienced</w:t>
      </w:r>
      <w:r w:rsidR="003D640C">
        <w:rPr>
          <w:lang w:eastAsia="en-NZ"/>
        </w:rPr>
        <w:t xml:space="preserve"> </w:t>
      </w:r>
      <w:r w:rsidR="004C6FB1">
        <w:rPr>
          <w:lang w:eastAsia="en-NZ"/>
        </w:rPr>
        <w:t>them</w:t>
      </w:r>
      <w:r w:rsidR="00F75393">
        <w:rPr>
          <w:lang w:eastAsia="en-NZ"/>
        </w:rPr>
        <w:t>.</w:t>
      </w:r>
      <w:r w:rsidR="003D640C">
        <w:rPr>
          <w:lang w:eastAsia="en-NZ"/>
        </w:rPr>
        <w:t xml:space="preserve"> </w:t>
      </w:r>
    </w:p>
    <w:p w14:paraId="388D77F8" w14:textId="392353FA" w:rsidR="00F75393" w:rsidRPr="001B4C93" w:rsidRDefault="006034B6" w:rsidP="00E00167">
      <w:pPr>
        <w:rPr>
          <w:lang w:eastAsia="en-NZ"/>
        </w:rPr>
      </w:pPr>
      <w:r w:rsidRPr="009A4EE2" w:rsidDel="00DE23D4">
        <w:rPr>
          <w:rFonts w:ascii="Calibri" w:hAnsi="Calibri" w:cs="Calibri"/>
          <w:lang w:eastAsia="en-NZ"/>
        </w:rPr>
        <w:t>The</w:t>
      </w:r>
      <w:r w:rsidR="003D640C">
        <w:rPr>
          <w:rFonts w:ascii="Calibri" w:hAnsi="Calibri" w:cs="Calibri"/>
          <w:lang w:eastAsia="en-NZ"/>
        </w:rPr>
        <w:t xml:space="preserve"> </w:t>
      </w:r>
      <w:r w:rsidRPr="009A4EE2" w:rsidDel="00DE23D4">
        <w:rPr>
          <w:rFonts w:ascii="Calibri" w:hAnsi="Calibri" w:cs="Calibri"/>
          <w:lang w:eastAsia="en-NZ"/>
        </w:rPr>
        <w:t>overarching</w:t>
      </w:r>
      <w:r w:rsidR="003D640C">
        <w:rPr>
          <w:rFonts w:ascii="Calibri" w:hAnsi="Calibri" w:cs="Calibri"/>
          <w:lang w:eastAsia="en-NZ"/>
        </w:rPr>
        <w:t xml:space="preserve"> </w:t>
      </w:r>
      <w:r w:rsidRPr="009A4EE2" w:rsidDel="00DE23D4">
        <w:rPr>
          <w:rFonts w:ascii="Calibri" w:hAnsi="Calibri" w:cs="Calibri"/>
          <w:lang w:eastAsia="en-NZ"/>
        </w:rPr>
        <w:t>approach</w:t>
      </w:r>
      <w:r w:rsidR="003D640C">
        <w:rPr>
          <w:rFonts w:ascii="Calibri" w:hAnsi="Calibri" w:cs="Calibri"/>
          <w:lang w:eastAsia="en-NZ"/>
        </w:rPr>
        <w:t xml:space="preserve"> </w:t>
      </w:r>
      <w:r w:rsidRPr="009A4EE2" w:rsidDel="00DE23D4">
        <w:rPr>
          <w:rFonts w:ascii="Calibri" w:hAnsi="Calibri" w:cs="Calibri"/>
          <w:lang w:eastAsia="en-NZ"/>
        </w:rPr>
        <w:t>to</w:t>
      </w:r>
      <w:r w:rsidR="003D640C">
        <w:rPr>
          <w:rFonts w:ascii="Calibri" w:hAnsi="Calibri" w:cs="Calibri"/>
          <w:lang w:eastAsia="en-NZ"/>
        </w:rPr>
        <w:t xml:space="preserve"> </w:t>
      </w:r>
      <w:r w:rsidRPr="009A4EE2" w:rsidDel="00DE23D4">
        <w:rPr>
          <w:rFonts w:ascii="Calibri" w:hAnsi="Calibri" w:cs="Calibri"/>
          <w:lang w:eastAsia="en-NZ"/>
        </w:rPr>
        <w:t>addressing</w:t>
      </w:r>
      <w:r w:rsidR="003D640C">
        <w:rPr>
          <w:rFonts w:ascii="Calibri" w:hAnsi="Calibri" w:cs="Calibri"/>
          <w:lang w:eastAsia="en-NZ"/>
        </w:rPr>
        <w:t xml:space="preserve"> </w:t>
      </w:r>
      <w:r w:rsidRPr="009A4EE2" w:rsidDel="00DE23D4">
        <w:rPr>
          <w:rFonts w:ascii="Calibri" w:hAnsi="Calibri" w:cs="Calibri"/>
          <w:lang w:eastAsia="en-NZ"/>
        </w:rPr>
        <w:t>conversion</w:t>
      </w:r>
      <w:r w:rsidR="003D640C">
        <w:rPr>
          <w:rFonts w:ascii="Calibri" w:hAnsi="Calibri" w:cs="Calibri"/>
          <w:lang w:eastAsia="en-NZ"/>
        </w:rPr>
        <w:t xml:space="preserve"> </w:t>
      </w:r>
      <w:r w:rsidRPr="009A4EE2" w:rsidDel="00DE23D4">
        <w:rPr>
          <w:rFonts w:ascii="Calibri" w:hAnsi="Calibri" w:cs="Calibri"/>
          <w:lang w:eastAsia="en-NZ"/>
        </w:rPr>
        <w:t>practices</w:t>
      </w:r>
      <w:r w:rsidR="003D640C">
        <w:rPr>
          <w:rFonts w:ascii="Calibri" w:hAnsi="Calibri" w:cs="Calibri"/>
          <w:lang w:eastAsia="en-NZ"/>
        </w:rPr>
        <w:t xml:space="preserve"> </w:t>
      </w:r>
      <w:r w:rsidRPr="009A4EE2" w:rsidDel="00DE23D4">
        <w:rPr>
          <w:rFonts w:ascii="Calibri" w:hAnsi="Calibri" w:cs="Calibri"/>
          <w:lang w:eastAsia="en-NZ"/>
        </w:rPr>
        <w:t>for</w:t>
      </w:r>
      <w:r w:rsidR="003D640C">
        <w:rPr>
          <w:rFonts w:ascii="Calibri" w:hAnsi="Calibri" w:cs="Calibri"/>
          <w:lang w:eastAsia="en-NZ"/>
        </w:rPr>
        <w:t xml:space="preserve"> </w:t>
      </w:r>
      <w:r w:rsidRPr="009A4EE2" w:rsidDel="00DE23D4">
        <w:rPr>
          <w:rFonts w:ascii="Calibri" w:hAnsi="Calibri" w:cs="Calibri"/>
          <w:lang w:eastAsia="en-NZ"/>
        </w:rPr>
        <w:t>Māori</w:t>
      </w:r>
      <w:r w:rsidR="003D640C">
        <w:rPr>
          <w:rFonts w:ascii="Calibri" w:hAnsi="Calibri" w:cs="Calibri"/>
          <w:lang w:eastAsia="en-NZ"/>
        </w:rPr>
        <w:t xml:space="preserve"> </w:t>
      </w:r>
      <w:r w:rsidRPr="009A4EE2" w:rsidDel="00DE23D4">
        <w:rPr>
          <w:rFonts w:ascii="Calibri" w:hAnsi="Calibri" w:cs="Calibri"/>
          <w:lang w:eastAsia="en-NZ"/>
        </w:rPr>
        <w:t>needs</w:t>
      </w:r>
      <w:r w:rsidR="003D640C">
        <w:rPr>
          <w:rFonts w:ascii="Calibri" w:hAnsi="Calibri" w:cs="Calibri"/>
          <w:lang w:eastAsia="en-NZ"/>
        </w:rPr>
        <w:t xml:space="preserve"> </w:t>
      </w:r>
      <w:r w:rsidRPr="009A4EE2" w:rsidDel="00DE23D4">
        <w:rPr>
          <w:rFonts w:ascii="Calibri" w:hAnsi="Calibri" w:cs="Calibri"/>
          <w:lang w:eastAsia="en-NZ"/>
        </w:rPr>
        <w:t>to</w:t>
      </w:r>
      <w:r w:rsidR="003D640C">
        <w:rPr>
          <w:rFonts w:ascii="Calibri" w:hAnsi="Calibri" w:cs="Calibri"/>
          <w:lang w:eastAsia="en-NZ"/>
        </w:rPr>
        <w:t xml:space="preserve"> </w:t>
      </w:r>
      <w:r w:rsidRPr="009A4EE2" w:rsidDel="00DE23D4">
        <w:rPr>
          <w:rFonts w:ascii="Calibri" w:hAnsi="Calibri" w:cs="Calibri"/>
          <w:lang w:eastAsia="en-NZ"/>
        </w:rPr>
        <w:t>focus</w:t>
      </w:r>
      <w:r w:rsidR="003D640C">
        <w:rPr>
          <w:rFonts w:ascii="Calibri" w:hAnsi="Calibri" w:cs="Calibri"/>
          <w:lang w:eastAsia="en-NZ"/>
        </w:rPr>
        <w:t xml:space="preserve"> </w:t>
      </w:r>
      <w:r w:rsidRPr="009A4EE2" w:rsidDel="00DE23D4">
        <w:rPr>
          <w:rFonts w:ascii="Calibri" w:hAnsi="Calibri" w:cs="Calibri"/>
          <w:lang w:eastAsia="en-NZ"/>
        </w:rPr>
        <w:t>on</w:t>
      </w:r>
      <w:r w:rsidR="003D640C">
        <w:rPr>
          <w:rFonts w:ascii="Calibri" w:hAnsi="Calibri" w:cs="Calibri"/>
          <w:lang w:eastAsia="en-NZ"/>
        </w:rPr>
        <w:t xml:space="preserve"> </w:t>
      </w:r>
      <w:r w:rsidR="00C52FB7">
        <w:rPr>
          <w:rFonts w:ascii="Calibri" w:hAnsi="Calibri" w:cs="Calibri"/>
          <w:lang w:eastAsia="en-NZ"/>
        </w:rPr>
        <w:t>enacting</w:t>
      </w:r>
      <w:r w:rsidR="003D640C">
        <w:rPr>
          <w:rFonts w:ascii="Calibri" w:hAnsi="Calibri" w:cs="Calibri"/>
          <w:lang w:eastAsia="en-NZ"/>
        </w:rPr>
        <w:t xml:space="preserve"> </w:t>
      </w:r>
      <w:r w:rsidRPr="009A4EE2" w:rsidDel="00DE23D4">
        <w:rPr>
          <w:rFonts w:ascii="Calibri" w:hAnsi="Calibri" w:cs="Calibri"/>
          <w:lang w:eastAsia="en-NZ"/>
        </w:rPr>
        <w:t>tino</w:t>
      </w:r>
      <w:r w:rsidR="003D640C">
        <w:rPr>
          <w:rFonts w:ascii="Calibri" w:hAnsi="Calibri" w:cs="Calibri"/>
          <w:lang w:eastAsia="en-NZ"/>
        </w:rPr>
        <w:t xml:space="preserve"> </w:t>
      </w:r>
      <w:r w:rsidRPr="009A4EE2" w:rsidDel="00DE23D4">
        <w:rPr>
          <w:rFonts w:ascii="Calibri" w:hAnsi="Calibri" w:cs="Calibri"/>
          <w:lang w:eastAsia="en-NZ"/>
        </w:rPr>
        <w:t>rangatiratanga.</w:t>
      </w:r>
      <w:r w:rsidR="003D640C">
        <w:rPr>
          <w:rFonts w:ascii="Calibri" w:hAnsi="Calibri" w:cs="Calibri"/>
          <w:lang w:eastAsia="en-NZ"/>
        </w:rPr>
        <w:t xml:space="preserve"> </w:t>
      </w:r>
      <w:r>
        <w:rPr>
          <w:rFonts w:ascii="Calibri" w:hAnsi="Calibri" w:cs="Calibri"/>
          <w:lang w:eastAsia="en-NZ"/>
        </w:rPr>
        <w:t>We</w:t>
      </w:r>
      <w:r w:rsidR="003D640C">
        <w:rPr>
          <w:rFonts w:ascii="Calibri" w:hAnsi="Calibri" w:cs="Calibri"/>
          <w:lang w:eastAsia="en-NZ"/>
        </w:rPr>
        <w:t xml:space="preserve"> </w:t>
      </w:r>
      <w:r>
        <w:rPr>
          <w:rFonts w:ascii="Calibri" w:hAnsi="Calibri" w:cs="Calibri"/>
          <w:lang w:eastAsia="en-NZ"/>
        </w:rPr>
        <w:t>have</w:t>
      </w:r>
      <w:r w:rsidR="003D640C">
        <w:rPr>
          <w:rFonts w:ascii="Calibri" w:hAnsi="Calibri" w:cs="Calibri"/>
          <w:lang w:eastAsia="en-NZ"/>
        </w:rPr>
        <w:t xml:space="preserve"> </w:t>
      </w:r>
      <w:r>
        <w:rPr>
          <w:rFonts w:ascii="Calibri" w:hAnsi="Calibri" w:cs="Calibri"/>
          <w:lang w:eastAsia="en-NZ"/>
        </w:rPr>
        <w:t>made</w:t>
      </w:r>
      <w:r w:rsidR="003D640C">
        <w:rPr>
          <w:lang w:eastAsia="en-NZ"/>
        </w:rPr>
        <w:t xml:space="preserve"> </w:t>
      </w:r>
      <w:r w:rsidR="00F75393">
        <w:rPr>
          <w:lang w:eastAsia="en-NZ"/>
        </w:rPr>
        <w:t>specific</w:t>
      </w:r>
      <w:r w:rsidR="003D640C">
        <w:rPr>
          <w:lang w:eastAsia="en-NZ"/>
        </w:rPr>
        <w:t xml:space="preserve"> </w:t>
      </w:r>
      <w:r w:rsidR="00F75393">
        <w:rPr>
          <w:lang w:eastAsia="en-NZ"/>
        </w:rPr>
        <w:t>recommendations</w:t>
      </w:r>
      <w:r w:rsidR="003D640C">
        <w:rPr>
          <w:lang w:eastAsia="en-NZ"/>
        </w:rPr>
        <w:t xml:space="preserve"> </w:t>
      </w:r>
      <w:r w:rsidR="00D77DF2">
        <w:rPr>
          <w:lang w:eastAsia="en-NZ"/>
        </w:rPr>
        <w:t>to</w:t>
      </w:r>
      <w:r w:rsidR="003D640C">
        <w:rPr>
          <w:lang w:eastAsia="en-NZ"/>
        </w:rPr>
        <w:t xml:space="preserve"> </w:t>
      </w:r>
      <w:r w:rsidR="00D77DF2">
        <w:rPr>
          <w:lang w:eastAsia="en-NZ"/>
        </w:rPr>
        <w:t>support</w:t>
      </w:r>
      <w:r w:rsidR="003D640C">
        <w:rPr>
          <w:lang w:eastAsia="en-NZ"/>
        </w:rPr>
        <w:t xml:space="preserve"> </w:t>
      </w:r>
      <w:r w:rsidR="00F75393">
        <w:rPr>
          <w:lang w:eastAsia="en-NZ"/>
        </w:rPr>
        <w:t>Māori</w:t>
      </w:r>
      <w:r w:rsidR="003D640C">
        <w:rPr>
          <w:lang w:eastAsia="en-NZ"/>
        </w:rPr>
        <w:t xml:space="preserve"> </w:t>
      </w:r>
      <w:r w:rsidR="00F75393">
        <w:rPr>
          <w:lang w:eastAsia="en-NZ"/>
        </w:rPr>
        <w:t>communities</w:t>
      </w:r>
      <w:r w:rsidR="003D640C">
        <w:rPr>
          <w:lang w:eastAsia="en-NZ"/>
        </w:rPr>
        <w:t xml:space="preserve"> </w:t>
      </w:r>
      <w:r w:rsidR="00F75393">
        <w:rPr>
          <w:lang w:eastAsia="en-NZ"/>
        </w:rPr>
        <w:t>–</w:t>
      </w:r>
      <w:r w:rsidR="003D640C">
        <w:rPr>
          <w:lang w:eastAsia="en-NZ"/>
        </w:rPr>
        <w:t xml:space="preserve"> </w:t>
      </w:r>
      <w:r w:rsidR="00F75393">
        <w:rPr>
          <w:lang w:eastAsia="en-NZ"/>
        </w:rPr>
        <w:t>r</w:t>
      </w:r>
      <w:r w:rsidR="00F75393" w:rsidRPr="00BB6220">
        <w:rPr>
          <w:lang w:eastAsia="en-NZ"/>
        </w:rPr>
        <w:t>evitalising</w:t>
      </w:r>
      <w:r w:rsidR="003D640C">
        <w:rPr>
          <w:lang w:eastAsia="en-NZ"/>
        </w:rPr>
        <w:t xml:space="preserve"> </w:t>
      </w:r>
      <w:r w:rsidR="00F75393" w:rsidRPr="00BB6220">
        <w:rPr>
          <w:lang w:eastAsia="en-NZ"/>
        </w:rPr>
        <w:t>mātauranga</w:t>
      </w:r>
      <w:r w:rsidR="003D640C">
        <w:rPr>
          <w:lang w:eastAsia="en-NZ"/>
        </w:rPr>
        <w:t xml:space="preserve"> </w:t>
      </w:r>
      <w:r w:rsidR="00F75393" w:rsidRPr="00BB6220">
        <w:rPr>
          <w:lang w:eastAsia="en-NZ"/>
        </w:rPr>
        <w:t>Māori</w:t>
      </w:r>
      <w:r w:rsidR="003D640C">
        <w:rPr>
          <w:lang w:eastAsia="en-NZ"/>
        </w:rPr>
        <w:t xml:space="preserve"> </w:t>
      </w:r>
      <w:r w:rsidR="00F75393" w:rsidRPr="00BB6220">
        <w:rPr>
          <w:lang w:eastAsia="en-NZ"/>
        </w:rPr>
        <w:t>can</w:t>
      </w:r>
      <w:r w:rsidR="003D640C">
        <w:rPr>
          <w:lang w:eastAsia="en-NZ"/>
        </w:rPr>
        <w:t xml:space="preserve"> </w:t>
      </w:r>
      <w:r w:rsidR="00F75393" w:rsidRPr="00BB6220">
        <w:rPr>
          <w:lang w:eastAsia="en-NZ"/>
        </w:rPr>
        <w:t>counter</w:t>
      </w:r>
      <w:r w:rsidR="003D640C">
        <w:rPr>
          <w:lang w:eastAsia="en-NZ"/>
        </w:rPr>
        <w:t xml:space="preserve"> </w:t>
      </w:r>
      <w:r w:rsidR="00F75393" w:rsidRPr="00BB6220">
        <w:rPr>
          <w:lang w:eastAsia="en-NZ"/>
        </w:rPr>
        <w:t>and</w:t>
      </w:r>
      <w:r w:rsidR="003D640C">
        <w:rPr>
          <w:lang w:eastAsia="en-NZ"/>
        </w:rPr>
        <w:t xml:space="preserve"> </w:t>
      </w:r>
      <w:r w:rsidR="00F75393" w:rsidRPr="00BB6220">
        <w:rPr>
          <w:lang w:eastAsia="en-NZ"/>
        </w:rPr>
        <w:t>prevent</w:t>
      </w:r>
      <w:r w:rsidR="003D640C">
        <w:rPr>
          <w:lang w:eastAsia="en-NZ"/>
        </w:rPr>
        <w:t xml:space="preserve"> </w:t>
      </w:r>
      <w:r w:rsidR="00F75393" w:rsidRPr="00BB6220">
        <w:rPr>
          <w:lang w:eastAsia="en-NZ"/>
        </w:rPr>
        <w:t>conversion</w:t>
      </w:r>
      <w:r w:rsidR="003D640C">
        <w:rPr>
          <w:lang w:eastAsia="en-NZ"/>
        </w:rPr>
        <w:t xml:space="preserve"> </w:t>
      </w:r>
      <w:r w:rsidR="00F75393" w:rsidRPr="00BB6220">
        <w:rPr>
          <w:lang w:eastAsia="en-NZ"/>
        </w:rPr>
        <w:t>p</w:t>
      </w:r>
      <w:r>
        <w:rPr>
          <w:lang w:eastAsia="en-NZ"/>
        </w:rPr>
        <w:t>r</w:t>
      </w:r>
      <w:r w:rsidR="00F75393" w:rsidRPr="00BB6220">
        <w:rPr>
          <w:lang w:eastAsia="en-NZ"/>
        </w:rPr>
        <w:t>actices</w:t>
      </w:r>
      <w:r w:rsidR="006B4A2C">
        <w:rPr>
          <w:lang w:eastAsia="en-NZ"/>
        </w:rPr>
        <w:t>.</w:t>
      </w:r>
      <w:r w:rsidR="003D640C">
        <w:rPr>
          <w:lang w:eastAsia="en-NZ"/>
        </w:rPr>
        <w:t xml:space="preserve"> </w:t>
      </w:r>
      <w:r w:rsidR="006B4A2C">
        <w:rPr>
          <w:lang w:eastAsia="en-NZ"/>
        </w:rPr>
        <w:t>This</w:t>
      </w:r>
      <w:r w:rsidR="003D640C">
        <w:rPr>
          <w:lang w:eastAsia="en-NZ"/>
        </w:rPr>
        <w:t xml:space="preserve"> </w:t>
      </w:r>
      <w:r w:rsidR="006B4A2C">
        <w:rPr>
          <w:lang w:eastAsia="en-NZ"/>
        </w:rPr>
        <w:t>report</w:t>
      </w:r>
      <w:r w:rsidR="003D640C">
        <w:rPr>
          <w:lang w:eastAsia="en-NZ"/>
        </w:rPr>
        <w:t xml:space="preserve"> </w:t>
      </w:r>
      <w:r w:rsidR="006B4A2C">
        <w:rPr>
          <w:lang w:eastAsia="en-NZ"/>
        </w:rPr>
        <w:t>also</w:t>
      </w:r>
      <w:r w:rsidR="003D640C">
        <w:rPr>
          <w:lang w:eastAsia="en-NZ"/>
        </w:rPr>
        <w:t xml:space="preserve"> </w:t>
      </w:r>
      <w:r w:rsidR="006B4A2C">
        <w:rPr>
          <w:lang w:eastAsia="en-NZ"/>
        </w:rPr>
        <w:t>contains</w:t>
      </w:r>
      <w:r w:rsidR="003D640C">
        <w:rPr>
          <w:lang w:eastAsia="en-NZ"/>
        </w:rPr>
        <w:t xml:space="preserve"> </w:t>
      </w:r>
      <w:r w:rsidR="00E52776">
        <w:rPr>
          <w:lang w:eastAsia="en-NZ"/>
        </w:rPr>
        <w:t>specific</w:t>
      </w:r>
      <w:r w:rsidR="003D640C">
        <w:rPr>
          <w:lang w:eastAsia="en-NZ"/>
        </w:rPr>
        <w:t xml:space="preserve"> </w:t>
      </w:r>
      <w:r w:rsidR="00E52776">
        <w:rPr>
          <w:lang w:eastAsia="en-NZ"/>
        </w:rPr>
        <w:t>recommendations</w:t>
      </w:r>
      <w:r w:rsidR="003D640C">
        <w:rPr>
          <w:lang w:eastAsia="en-NZ"/>
        </w:rPr>
        <w:t xml:space="preserve"> </w:t>
      </w:r>
      <w:r w:rsidR="00F75393">
        <w:rPr>
          <w:lang w:eastAsia="en-NZ"/>
        </w:rPr>
        <w:t>for</w:t>
      </w:r>
      <w:r w:rsidR="003D640C">
        <w:rPr>
          <w:lang w:eastAsia="en-NZ"/>
        </w:rPr>
        <w:t xml:space="preserve"> </w:t>
      </w:r>
      <w:r w:rsidR="00F75393">
        <w:rPr>
          <w:lang w:eastAsia="en-NZ"/>
        </w:rPr>
        <w:t>Pacific</w:t>
      </w:r>
      <w:r w:rsidR="003D640C">
        <w:rPr>
          <w:lang w:eastAsia="en-NZ"/>
        </w:rPr>
        <w:t xml:space="preserve"> </w:t>
      </w:r>
      <w:r w:rsidR="00F75393">
        <w:rPr>
          <w:lang w:eastAsia="en-NZ"/>
        </w:rPr>
        <w:t>communities</w:t>
      </w:r>
      <w:r w:rsidR="003D640C">
        <w:rPr>
          <w:lang w:eastAsia="en-NZ"/>
        </w:rPr>
        <w:t xml:space="preserve"> </w:t>
      </w:r>
      <w:r w:rsidR="00AF6D32">
        <w:rPr>
          <w:lang w:eastAsia="en-NZ"/>
        </w:rPr>
        <w:t>and</w:t>
      </w:r>
      <w:r w:rsidR="003D640C">
        <w:rPr>
          <w:lang w:eastAsia="en-NZ"/>
        </w:rPr>
        <w:t xml:space="preserve"> </w:t>
      </w:r>
      <w:r w:rsidR="00AF6D32">
        <w:rPr>
          <w:lang w:eastAsia="en-NZ"/>
        </w:rPr>
        <w:t>others</w:t>
      </w:r>
      <w:r w:rsidR="003D640C">
        <w:rPr>
          <w:lang w:eastAsia="en-NZ"/>
        </w:rPr>
        <w:t xml:space="preserve"> </w:t>
      </w:r>
      <w:r w:rsidR="00AF6D32">
        <w:rPr>
          <w:lang w:eastAsia="en-NZ"/>
        </w:rPr>
        <w:t>who</w:t>
      </w:r>
      <w:r w:rsidR="003D640C">
        <w:rPr>
          <w:lang w:eastAsia="en-NZ"/>
        </w:rPr>
        <w:t xml:space="preserve"> </w:t>
      </w:r>
      <w:r w:rsidR="00AF6D32">
        <w:rPr>
          <w:lang w:eastAsia="en-NZ"/>
        </w:rPr>
        <w:t>have</w:t>
      </w:r>
      <w:r w:rsidR="003D640C">
        <w:rPr>
          <w:lang w:eastAsia="en-NZ"/>
        </w:rPr>
        <w:t xml:space="preserve"> </w:t>
      </w:r>
      <w:r w:rsidR="009D6D61">
        <w:rPr>
          <w:lang w:eastAsia="en-NZ"/>
        </w:rPr>
        <w:t>experienced</w:t>
      </w:r>
      <w:r w:rsidR="003D640C">
        <w:rPr>
          <w:lang w:eastAsia="en-NZ"/>
        </w:rPr>
        <w:t xml:space="preserve"> </w:t>
      </w:r>
      <w:r w:rsidR="009D6D61">
        <w:rPr>
          <w:lang w:eastAsia="en-NZ"/>
        </w:rPr>
        <w:t>colonisation</w:t>
      </w:r>
      <w:r w:rsidR="00F75393">
        <w:rPr>
          <w:lang w:eastAsia="en-NZ"/>
        </w:rPr>
        <w:t>.</w:t>
      </w:r>
      <w:r w:rsidR="003D640C">
        <w:rPr>
          <w:lang w:eastAsia="en-NZ"/>
        </w:rPr>
        <w:t xml:space="preserve"> </w:t>
      </w:r>
    </w:p>
    <w:p w14:paraId="2640327F" w14:textId="4AB8141C" w:rsidR="00F75393" w:rsidRDefault="00F75393" w:rsidP="00E00167">
      <w:pPr>
        <w:rPr>
          <w:lang w:eastAsia="en-NZ"/>
        </w:rPr>
      </w:pPr>
      <w:r>
        <w:rPr>
          <w:lang w:eastAsia="en-NZ"/>
        </w:rPr>
        <w:t>All</w:t>
      </w:r>
      <w:r w:rsidR="003D640C">
        <w:rPr>
          <w:lang w:eastAsia="en-NZ"/>
        </w:rPr>
        <w:t xml:space="preserve"> </w:t>
      </w:r>
      <w:r>
        <w:rPr>
          <w:lang w:eastAsia="en-NZ"/>
        </w:rPr>
        <w:t>of</w:t>
      </w:r>
      <w:r w:rsidR="003D640C">
        <w:rPr>
          <w:lang w:eastAsia="en-NZ"/>
        </w:rPr>
        <w:t xml:space="preserve"> </w:t>
      </w:r>
      <w:r>
        <w:rPr>
          <w:lang w:eastAsia="en-NZ"/>
        </w:rPr>
        <w:t>us</w:t>
      </w:r>
      <w:r w:rsidR="003D640C">
        <w:rPr>
          <w:lang w:eastAsia="en-NZ"/>
        </w:rPr>
        <w:t xml:space="preserve"> </w:t>
      </w:r>
      <w:r>
        <w:rPr>
          <w:lang w:eastAsia="en-NZ"/>
        </w:rPr>
        <w:t>can</w:t>
      </w:r>
      <w:r w:rsidR="003D640C">
        <w:rPr>
          <w:lang w:eastAsia="en-NZ"/>
        </w:rPr>
        <w:t xml:space="preserve"> </w:t>
      </w:r>
      <w:r>
        <w:rPr>
          <w:lang w:eastAsia="en-NZ"/>
        </w:rPr>
        <w:t>encourage</w:t>
      </w:r>
      <w:r w:rsidR="003D640C">
        <w:rPr>
          <w:lang w:eastAsia="en-NZ"/>
        </w:rPr>
        <w:t xml:space="preserve"> </w:t>
      </w:r>
      <w:r>
        <w:rPr>
          <w:lang w:eastAsia="en-NZ"/>
        </w:rPr>
        <w:t>conversations</w:t>
      </w:r>
      <w:r w:rsidR="003D640C">
        <w:rPr>
          <w:lang w:eastAsia="en-NZ"/>
        </w:rPr>
        <w:t xml:space="preserve"> </w:t>
      </w:r>
      <w:r>
        <w:rPr>
          <w:lang w:eastAsia="en-NZ"/>
        </w:rPr>
        <w:t>about</w:t>
      </w:r>
      <w:r w:rsidR="003D640C">
        <w:rPr>
          <w:lang w:eastAsia="en-NZ"/>
        </w:rPr>
        <w:t xml:space="preserve"> </w:t>
      </w:r>
      <w:r w:rsidRPr="00BB6220">
        <w:rPr>
          <w:rFonts w:ascii="Calibri" w:hAnsi="Calibri" w:cs="Calibri"/>
          <w:lang w:eastAsia="en-NZ"/>
        </w:rPr>
        <w:t>how</w:t>
      </w:r>
      <w:r w:rsidR="003D640C">
        <w:rPr>
          <w:rFonts w:ascii="Calibri" w:hAnsi="Calibri" w:cs="Calibri"/>
          <w:lang w:eastAsia="en-NZ"/>
        </w:rPr>
        <w:t xml:space="preserve"> </w:t>
      </w:r>
      <w:r>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better</w:t>
      </w:r>
      <w:r w:rsidR="003D640C">
        <w:rPr>
          <w:rFonts w:ascii="Calibri" w:hAnsi="Calibri" w:cs="Calibri"/>
          <w:lang w:eastAsia="en-NZ"/>
        </w:rPr>
        <w:t xml:space="preserve"> </w:t>
      </w:r>
      <w:r w:rsidRPr="00BB6220">
        <w:rPr>
          <w:rFonts w:ascii="Calibri" w:hAnsi="Calibri" w:cs="Calibri"/>
          <w:lang w:eastAsia="en-NZ"/>
        </w:rPr>
        <w:t>support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affirm</w:t>
      </w:r>
      <w:r w:rsidR="003D640C">
        <w:rPr>
          <w:rFonts w:ascii="Calibri" w:hAnsi="Calibri" w:cs="Calibri"/>
          <w:lang w:eastAsia="en-NZ"/>
        </w:rPr>
        <w:t xml:space="preserve"> </w:t>
      </w:r>
      <w:r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Pr>
          <w:rFonts w:ascii="Calibri" w:hAnsi="Calibri" w:cs="Calibri"/>
          <w:lang w:eastAsia="en-NZ"/>
        </w:rPr>
        <w:t>our</w:t>
      </w:r>
      <w:r w:rsidR="003D640C">
        <w:rPr>
          <w:rFonts w:ascii="Calibri" w:hAnsi="Calibri" w:cs="Calibri"/>
          <w:lang w:eastAsia="en-NZ"/>
        </w:rPr>
        <w:t xml:space="preserve"> </w:t>
      </w:r>
      <w:r w:rsidRPr="00BB6220">
        <w:rPr>
          <w:rFonts w:ascii="Calibri" w:hAnsi="Calibri" w:cs="Calibri"/>
          <w:lang w:eastAsia="en-NZ"/>
        </w:rPr>
        <w:t>whānau</w:t>
      </w:r>
      <w:r>
        <w:rPr>
          <w:rFonts w:ascii="Calibri" w:hAnsi="Calibri" w:cs="Calibri"/>
          <w:lang w:eastAsia="en-NZ"/>
        </w:rPr>
        <w:t>,</w:t>
      </w:r>
      <w:r w:rsidR="003D640C">
        <w:rPr>
          <w:rFonts w:ascii="Calibri" w:hAnsi="Calibri" w:cs="Calibri"/>
          <w:lang w:eastAsia="en-NZ"/>
        </w:rPr>
        <w:t xml:space="preserve"> </w:t>
      </w:r>
      <w:r>
        <w:rPr>
          <w:rFonts w:ascii="Calibri" w:hAnsi="Calibri" w:cs="Calibri"/>
          <w:lang w:eastAsia="en-NZ"/>
        </w:rPr>
        <w:t>clubs</w:t>
      </w:r>
      <w:r w:rsidR="007D50A1">
        <w:rPr>
          <w:rFonts w:ascii="Calibri" w:hAnsi="Calibri" w:cs="Calibri"/>
          <w:lang w:eastAsia="en-NZ"/>
        </w:rPr>
        <w:t>,</w:t>
      </w:r>
      <w:r w:rsidR="005C013B">
        <w:rPr>
          <w:rFonts w:ascii="Calibri" w:hAnsi="Calibri" w:cs="Calibri"/>
          <w:lang w:eastAsia="en-NZ"/>
        </w:rPr>
        <w:t xml:space="preserve"> schools,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r>
        <w:rPr>
          <w:rFonts w:ascii="Calibri" w:hAnsi="Calibri" w:cs="Calibri"/>
          <w:lang w:eastAsia="en-NZ"/>
        </w:rPr>
        <w:t>We</w:t>
      </w:r>
      <w:r w:rsidR="003D640C">
        <w:rPr>
          <w:rFonts w:ascii="Calibri" w:hAnsi="Calibri" w:cs="Calibri"/>
          <w:lang w:eastAsia="en-NZ"/>
        </w:rPr>
        <w:t xml:space="preserve"> </w:t>
      </w:r>
      <w:r>
        <w:rPr>
          <w:rFonts w:ascii="Calibri" w:hAnsi="Calibri" w:cs="Calibri"/>
          <w:lang w:eastAsia="en-NZ"/>
        </w:rPr>
        <w:t>can</w:t>
      </w:r>
      <w:r w:rsidR="003D640C">
        <w:rPr>
          <w:rFonts w:ascii="Calibri" w:hAnsi="Calibri" w:cs="Calibri"/>
          <w:lang w:eastAsia="en-NZ"/>
        </w:rPr>
        <w:t xml:space="preserve"> </w:t>
      </w:r>
      <w:r>
        <w:rPr>
          <w:rFonts w:ascii="Calibri" w:hAnsi="Calibri" w:cs="Calibri"/>
          <w:lang w:eastAsia="en-NZ"/>
        </w:rPr>
        <w:t>speak</w:t>
      </w:r>
      <w:r w:rsidR="003D640C">
        <w:rPr>
          <w:rFonts w:ascii="Calibri" w:hAnsi="Calibri" w:cs="Calibri"/>
          <w:lang w:eastAsia="en-NZ"/>
        </w:rPr>
        <w:t xml:space="preserve"> </w:t>
      </w:r>
      <w:r>
        <w:rPr>
          <w:rFonts w:ascii="Calibri" w:hAnsi="Calibri" w:cs="Calibri"/>
          <w:lang w:eastAsia="en-NZ"/>
        </w:rPr>
        <w:t>up</w:t>
      </w:r>
      <w:r w:rsidR="003D640C">
        <w:rPr>
          <w:rFonts w:ascii="Calibri" w:hAnsi="Calibri" w:cs="Calibri"/>
          <w:lang w:eastAsia="en-NZ"/>
        </w:rPr>
        <w:t xml:space="preserve"> </w:t>
      </w:r>
      <w:r>
        <w:rPr>
          <w:rFonts w:ascii="Calibri" w:hAnsi="Calibri" w:cs="Calibri"/>
          <w:lang w:eastAsia="en-NZ"/>
        </w:rPr>
        <w:t>when</w:t>
      </w:r>
      <w:r w:rsidR="003D640C">
        <w:rPr>
          <w:rFonts w:ascii="Calibri" w:hAnsi="Calibri" w:cs="Calibri"/>
          <w:lang w:eastAsia="en-NZ"/>
        </w:rPr>
        <w:t xml:space="preserve"> </w:t>
      </w:r>
      <w:r>
        <w:rPr>
          <w:rFonts w:ascii="Calibri" w:hAnsi="Calibri" w:cs="Calibri"/>
          <w:lang w:eastAsia="en-NZ"/>
        </w:rPr>
        <w:t>we</w:t>
      </w:r>
      <w:r w:rsidR="003D640C">
        <w:rPr>
          <w:rFonts w:ascii="Calibri" w:hAnsi="Calibri" w:cs="Calibri"/>
          <w:lang w:eastAsia="en-NZ"/>
        </w:rPr>
        <w:t xml:space="preserve"> </w:t>
      </w:r>
      <w:r>
        <w:rPr>
          <w:rFonts w:ascii="Calibri" w:hAnsi="Calibri" w:cs="Calibri"/>
          <w:lang w:eastAsia="en-NZ"/>
        </w:rPr>
        <w:t>see</w:t>
      </w:r>
      <w:r w:rsidR="003D640C">
        <w:rPr>
          <w:rFonts w:ascii="Calibri" w:hAnsi="Calibri" w:cs="Calibri"/>
          <w:lang w:eastAsia="en-NZ"/>
        </w:rPr>
        <w:t xml:space="preserve"> </w:t>
      </w:r>
      <w:r>
        <w:rPr>
          <w:rFonts w:ascii="Calibri" w:hAnsi="Calibri" w:cs="Calibri"/>
          <w:lang w:eastAsia="en-NZ"/>
        </w:rPr>
        <w:t>or</w:t>
      </w:r>
      <w:r w:rsidR="003D640C">
        <w:rPr>
          <w:rFonts w:ascii="Calibri" w:hAnsi="Calibri" w:cs="Calibri"/>
          <w:lang w:eastAsia="en-NZ"/>
        </w:rPr>
        <w:t xml:space="preserve"> </w:t>
      </w:r>
      <w:r>
        <w:rPr>
          <w:rFonts w:ascii="Calibri" w:hAnsi="Calibri" w:cs="Calibri"/>
          <w:lang w:eastAsia="en-NZ"/>
        </w:rPr>
        <w:t>hear</w:t>
      </w:r>
      <w:r w:rsidR="003D640C">
        <w:rPr>
          <w:rFonts w:ascii="Calibri" w:hAnsi="Calibri" w:cs="Calibri"/>
          <w:lang w:eastAsia="en-NZ"/>
        </w:rPr>
        <w:t xml:space="preserve"> </w:t>
      </w:r>
      <w:r>
        <w:rPr>
          <w:rFonts w:ascii="Calibri" w:hAnsi="Calibri" w:cs="Calibri"/>
          <w:lang w:eastAsia="en-NZ"/>
        </w:rPr>
        <w:t>homophobic</w:t>
      </w:r>
      <w:r w:rsidR="003D640C">
        <w:rPr>
          <w:rFonts w:ascii="Calibri" w:hAnsi="Calibri" w:cs="Calibri"/>
          <w:lang w:eastAsia="en-NZ"/>
        </w:rPr>
        <w:t xml:space="preserve"> </w:t>
      </w:r>
      <w:r>
        <w:rPr>
          <w:rFonts w:ascii="Calibri" w:hAnsi="Calibri" w:cs="Calibri"/>
          <w:lang w:eastAsia="en-NZ"/>
        </w:rPr>
        <w:t>and</w:t>
      </w:r>
      <w:r w:rsidR="003D640C">
        <w:rPr>
          <w:rFonts w:ascii="Calibri" w:hAnsi="Calibri" w:cs="Calibri"/>
          <w:lang w:eastAsia="en-NZ"/>
        </w:rPr>
        <w:t xml:space="preserve"> </w:t>
      </w:r>
      <w:r>
        <w:rPr>
          <w:rFonts w:ascii="Calibri" w:hAnsi="Calibri" w:cs="Calibri"/>
          <w:lang w:eastAsia="en-NZ"/>
        </w:rPr>
        <w:t>transphobic</w:t>
      </w:r>
      <w:r w:rsidR="003D640C">
        <w:rPr>
          <w:rFonts w:ascii="Calibri" w:hAnsi="Calibri" w:cs="Calibri"/>
          <w:lang w:eastAsia="en-NZ"/>
        </w:rPr>
        <w:t xml:space="preserve"> </w:t>
      </w:r>
      <w:r>
        <w:rPr>
          <w:rFonts w:ascii="Calibri" w:hAnsi="Calibri" w:cs="Calibri"/>
          <w:lang w:eastAsia="en-NZ"/>
        </w:rPr>
        <w:t>mis-</w:t>
      </w:r>
      <w:r w:rsidR="003D640C">
        <w:rPr>
          <w:rFonts w:ascii="Calibri" w:hAnsi="Calibri" w:cs="Calibri"/>
          <w:lang w:eastAsia="en-NZ"/>
        </w:rPr>
        <w:t xml:space="preserve"> </w:t>
      </w:r>
      <w:r>
        <w:rPr>
          <w:rFonts w:ascii="Calibri" w:hAnsi="Calibri" w:cs="Calibri"/>
          <w:lang w:eastAsia="en-NZ"/>
        </w:rPr>
        <w:t>or</w:t>
      </w:r>
      <w:r w:rsidR="003D640C">
        <w:rPr>
          <w:rFonts w:ascii="Calibri" w:hAnsi="Calibri" w:cs="Calibri"/>
          <w:lang w:eastAsia="en-NZ"/>
        </w:rPr>
        <w:t xml:space="preserve"> </w:t>
      </w:r>
      <w:r>
        <w:rPr>
          <w:rFonts w:ascii="Calibri" w:hAnsi="Calibri" w:cs="Calibri"/>
          <w:lang w:eastAsia="en-NZ"/>
        </w:rPr>
        <w:t>disinformation.</w:t>
      </w:r>
      <w:r w:rsidR="003D640C">
        <w:rPr>
          <w:rFonts w:ascii="Calibri" w:hAnsi="Calibri" w:cs="Calibri"/>
          <w:lang w:eastAsia="en-NZ"/>
        </w:rPr>
        <w:t xml:space="preserve"> </w:t>
      </w:r>
      <w:r>
        <w:rPr>
          <w:rFonts w:ascii="Calibri" w:hAnsi="Calibri" w:cs="Calibri"/>
          <w:lang w:eastAsia="en-NZ"/>
        </w:rPr>
        <w:t>We</w:t>
      </w:r>
      <w:r w:rsidR="003D640C">
        <w:rPr>
          <w:rFonts w:ascii="Calibri" w:hAnsi="Calibri" w:cs="Calibri"/>
          <w:lang w:eastAsia="en-NZ"/>
        </w:rPr>
        <w:t xml:space="preserve"> </w:t>
      </w:r>
      <w:r>
        <w:rPr>
          <w:rFonts w:ascii="Calibri" w:hAnsi="Calibri" w:cs="Calibri"/>
          <w:lang w:eastAsia="en-NZ"/>
        </w:rPr>
        <w:t>can</w:t>
      </w:r>
      <w:r w:rsidR="003D640C">
        <w:rPr>
          <w:rFonts w:ascii="Calibri" w:hAnsi="Calibri" w:cs="Calibri"/>
          <w:lang w:eastAsia="en-NZ"/>
        </w:rPr>
        <w:t xml:space="preserve"> </w:t>
      </w:r>
      <w:r w:rsidRPr="00BB6220">
        <w:rPr>
          <w:rFonts w:ascii="Calibri" w:hAnsi="Calibri" w:cs="Calibri"/>
          <w:lang w:eastAsia="en-NZ"/>
        </w:rPr>
        <w:t>encourage</w:t>
      </w:r>
      <w:r w:rsidR="003D640C">
        <w:rPr>
          <w:rFonts w:ascii="Calibri" w:hAnsi="Calibri" w:cs="Calibri"/>
          <w:lang w:eastAsia="en-NZ"/>
        </w:rPr>
        <w:t xml:space="preserve"> </w:t>
      </w:r>
      <w:r>
        <w:rPr>
          <w:rFonts w:ascii="Calibri" w:hAnsi="Calibri" w:cs="Calibri"/>
          <w:lang w:eastAsia="en-NZ"/>
        </w:rPr>
        <w:t>our</w:t>
      </w:r>
      <w:r w:rsidR="003D640C">
        <w:rPr>
          <w:rFonts w:ascii="Calibri" w:hAnsi="Calibri" w:cs="Calibri"/>
          <w:lang w:eastAsia="en-NZ"/>
        </w:rPr>
        <w:t xml:space="preserve"> </w:t>
      </w:r>
      <w:r>
        <w:rPr>
          <w:rFonts w:ascii="Calibri" w:hAnsi="Calibri" w:cs="Calibri"/>
          <w:lang w:eastAsia="en-NZ"/>
        </w:rPr>
        <w:t>family,</w:t>
      </w:r>
      <w:r w:rsidR="003D640C">
        <w:rPr>
          <w:rFonts w:ascii="Calibri" w:hAnsi="Calibri" w:cs="Calibri"/>
          <w:lang w:eastAsia="en-NZ"/>
        </w:rPr>
        <w:t xml:space="preserve"> </w:t>
      </w:r>
      <w:r>
        <w:rPr>
          <w:rFonts w:ascii="Calibri" w:hAnsi="Calibri" w:cs="Calibri"/>
          <w:lang w:eastAsia="en-NZ"/>
        </w:rPr>
        <w:t>colleagues</w:t>
      </w:r>
      <w:r w:rsidR="0083572E">
        <w:rPr>
          <w:rFonts w:ascii="Calibri" w:hAnsi="Calibri" w:cs="Calibri"/>
          <w:lang w:eastAsia="en-NZ"/>
        </w:rPr>
        <w:t>,</w:t>
      </w:r>
      <w:r w:rsidR="005C013B">
        <w:rPr>
          <w:rFonts w:ascii="Calibri" w:hAnsi="Calibri" w:cs="Calibri"/>
          <w:lang w:eastAsia="en-NZ"/>
        </w:rPr>
        <w:t xml:space="preserve"> teammates,</w:t>
      </w:r>
      <w:r w:rsidR="003D640C">
        <w:rPr>
          <w:rFonts w:ascii="Calibri" w:hAnsi="Calibri" w:cs="Calibri"/>
          <w:lang w:eastAsia="en-NZ"/>
        </w:rPr>
        <w:t xml:space="preserve"> </w:t>
      </w:r>
      <w:r>
        <w:rPr>
          <w:rFonts w:ascii="Calibri" w:hAnsi="Calibri" w:cs="Calibri"/>
          <w:lang w:eastAsia="en-NZ"/>
        </w:rPr>
        <w:t>and</w:t>
      </w:r>
      <w:r w:rsidR="003D640C">
        <w:rPr>
          <w:rFonts w:ascii="Calibri" w:hAnsi="Calibri" w:cs="Calibri"/>
          <w:lang w:eastAsia="en-NZ"/>
        </w:rPr>
        <w:t xml:space="preserve"> </w:t>
      </w:r>
      <w:r>
        <w:rPr>
          <w:rFonts w:ascii="Calibri" w:hAnsi="Calibri" w:cs="Calibri"/>
          <w:lang w:eastAsia="en-NZ"/>
        </w:rPr>
        <w:t>community</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engage</w:t>
      </w:r>
      <w:r w:rsidR="003D640C">
        <w:rPr>
          <w:rFonts w:ascii="Calibri" w:hAnsi="Calibri" w:cs="Calibri"/>
          <w:lang w:eastAsia="en-NZ"/>
        </w:rPr>
        <w:t xml:space="preserve"> </w:t>
      </w:r>
      <w:r w:rsidRPr="00BB6220">
        <w:rPr>
          <w:rFonts w:ascii="Calibri" w:hAnsi="Calibri" w:cs="Calibri"/>
          <w:lang w:eastAsia="en-NZ"/>
        </w:rPr>
        <w:t>with</w:t>
      </w:r>
      <w:r w:rsidR="003D640C">
        <w:rPr>
          <w:rFonts w:ascii="Calibri" w:hAnsi="Calibri" w:cs="Calibri"/>
          <w:lang w:eastAsia="en-NZ"/>
        </w:rPr>
        <w:t xml:space="preserve"> </w:t>
      </w:r>
      <w:r w:rsidRPr="00BB6220">
        <w:rPr>
          <w:rFonts w:ascii="Calibri" w:hAnsi="Calibri" w:cs="Calibri"/>
          <w:lang w:eastAsia="en-NZ"/>
        </w:rPr>
        <w:t>research</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resources</w:t>
      </w:r>
      <w:r w:rsidR="003D640C">
        <w:rPr>
          <w:rFonts w:ascii="Calibri" w:hAnsi="Calibri" w:cs="Calibri"/>
          <w:lang w:eastAsia="en-NZ"/>
        </w:rPr>
        <w:t xml:space="preserve"> </w:t>
      </w:r>
      <w:r w:rsidR="007D50A1">
        <w:rPr>
          <w:rFonts w:ascii="Calibri" w:hAnsi="Calibri" w:cs="Calibri"/>
          <w:lang w:eastAsia="en-NZ"/>
        </w:rPr>
        <w:t xml:space="preserve">that are </w:t>
      </w:r>
      <w:r w:rsidRPr="00BB6220">
        <w:rPr>
          <w:rFonts w:ascii="Calibri" w:hAnsi="Calibri" w:cs="Calibri"/>
          <w:lang w:eastAsia="en-NZ"/>
        </w:rPr>
        <w:t>based</w:t>
      </w:r>
      <w:r w:rsidR="003D640C">
        <w:rPr>
          <w:rFonts w:ascii="Calibri" w:hAnsi="Calibri" w:cs="Calibri"/>
          <w:lang w:eastAsia="en-NZ"/>
        </w:rPr>
        <w:t xml:space="preserve"> </w:t>
      </w:r>
      <w:r w:rsidRPr="00BB6220">
        <w:rPr>
          <w:rFonts w:ascii="Calibri" w:hAnsi="Calibri" w:cs="Calibri"/>
          <w:lang w:eastAsia="en-NZ"/>
        </w:rPr>
        <w:t>on</w:t>
      </w:r>
      <w:r w:rsidR="003D640C">
        <w:rPr>
          <w:rFonts w:ascii="Calibri" w:hAnsi="Calibri" w:cs="Calibri"/>
          <w:lang w:eastAsia="en-NZ"/>
        </w:rPr>
        <w:t xml:space="preserve"> </w:t>
      </w:r>
      <w:r w:rsidRPr="00BB6220">
        <w:rPr>
          <w:rFonts w:ascii="Calibri" w:hAnsi="Calibri" w:cs="Calibri"/>
          <w:lang w:eastAsia="en-NZ"/>
        </w:rPr>
        <w:t>scien</w:t>
      </w:r>
      <w:r>
        <w:rPr>
          <w:rFonts w:ascii="Calibri" w:hAnsi="Calibri" w:cs="Calibri"/>
          <w:lang w:eastAsia="en-NZ"/>
        </w:rPr>
        <w:t>ce</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inclusive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community.</w:t>
      </w:r>
    </w:p>
    <w:p w14:paraId="7A149954" w14:textId="153A1199" w:rsidR="00501068" w:rsidRDefault="00555F4A" w:rsidP="00E00167">
      <w:r>
        <w:t>Aotearoa</w:t>
      </w:r>
      <w:r w:rsidR="003D640C">
        <w:t xml:space="preserve"> </w:t>
      </w:r>
      <w:r>
        <w:t>New</w:t>
      </w:r>
      <w:r w:rsidR="003D640C">
        <w:t xml:space="preserve"> </w:t>
      </w:r>
      <w:r>
        <w:t>Zealand</w:t>
      </w:r>
      <w:r w:rsidR="003D640C">
        <w:t xml:space="preserve"> </w:t>
      </w:r>
      <w:r>
        <w:t>is</w:t>
      </w:r>
      <w:r w:rsidR="003D640C">
        <w:t xml:space="preserve"> </w:t>
      </w:r>
      <w:r>
        <w:t>strongest</w:t>
      </w:r>
      <w:r w:rsidR="003D640C">
        <w:t xml:space="preserve"> </w:t>
      </w:r>
      <w:r>
        <w:t>when</w:t>
      </w:r>
      <w:r w:rsidR="003D640C">
        <w:t xml:space="preserve"> </w:t>
      </w:r>
      <w:r>
        <w:t>everyone</w:t>
      </w:r>
      <w:r w:rsidR="003D640C">
        <w:t xml:space="preserve"> </w:t>
      </w:r>
      <w:r>
        <w:t>can</w:t>
      </w:r>
      <w:r w:rsidR="003D640C">
        <w:t xml:space="preserve"> </w:t>
      </w:r>
      <w:r>
        <w:t>be</w:t>
      </w:r>
      <w:r w:rsidR="003D640C">
        <w:t xml:space="preserve"> </w:t>
      </w:r>
      <w:r>
        <w:t>themselves</w:t>
      </w:r>
      <w:r w:rsidR="003D640C">
        <w:t xml:space="preserve"> </w:t>
      </w:r>
      <w:r w:rsidRPr="00CD03EB">
        <w:t>regardless</w:t>
      </w:r>
      <w:r w:rsidR="003D640C">
        <w:t xml:space="preserve"> </w:t>
      </w:r>
      <w:r w:rsidRPr="00CD03EB">
        <w:t>of</w:t>
      </w:r>
      <w:r w:rsidR="003D640C">
        <w:t xml:space="preserve"> </w:t>
      </w:r>
      <w:r w:rsidRPr="00CD03EB">
        <w:t>sexual</w:t>
      </w:r>
      <w:r w:rsidR="003D640C">
        <w:t xml:space="preserve"> </w:t>
      </w:r>
      <w:r w:rsidRPr="00CD03EB">
        <w:t>orientation,</w:t>
      </w:r>
      <w:r w:rsidR="003D640C">
        <w:t xml:space="preserve"> </w:t>
      </w:r>
      <w:r w:rsidRPr="00CD03EB">
        <w:t>gender</w:t>
      </w:r>
      <w:r w:rsidR="003D640C">
        <w:t xml:space="preserve"> </w:t>
      </w:r>
      <w:r w:rsidRPr="00CD03EB">
        <w:t>identity,</w:t>
      </w:r>
      <w:r w:rsidR="003D640C">
        <w:t xml:space="preserve"> </w:t>
      </w:r>
      <w:r w:rsidRPr="00CD03EB">
        <w:t>or</w:t>
      </w:r>
      <w:r w:rsidR="003D640C">
        <w:t xml:space="preserve"> </w:t>
      </w:r>
      <w:r w:rsidRPr="00CD03EB">
        <w:t>gender</w:t>
      </w:r>
      <w:r w:rsidR="003D640C">
        <w:t xml:space="preserve"> </w:t>
      </w:r>
      <w:r w:rsidRPr="00CD03EB">
        <w:t>expression.</w:t>
      </w:r>
      <w:r w:rsidR="003D640C">
        <w:t xml:space="preserve"> </w:t>
      </w:r>
      <w:r>
        <w:t>Together,</w:t>
      </w:r>
      <w:r w:rsidR="003D640C">
        <w:t xml:space="preserve"> </w:t>
      </w:r>
      <w:r>
        <w:t>by</w:t>
      </w:r>
      <w:r w:rsidR="003D640C">
        <w:t xml:space="preserve"> </w:t>
      </w:r>
      <w:r>
        <w:t>implementing</w:t>
      </w:r>
      <w:r w:rsidR="003D640C">
        <w:t xml:space="preserve"> </w:t>
      </w:r>
      <w:r>
        <w:t>these</w:t>
      </w:r>
      <w:r w:rsidR="003D640C">
        <w:t xml:space="preserve"> </w:t>
      </w:r>
      <w:r>
        <w:t>recommendations,</w:t>
      </w:r>
      <w:r w:rsidR="003D640C">
        <w:t xml:space="preserve"> </w:t>
      </w:r>
      <w:r>
        <w:t>we</w:t>
      </w:r>
      <w:r w:rsidR="003D640C">
        <w:t xml:space="preserve"> </w:t>
      </w:r>
      <w:r>
        <w:t>can</w:t>
      </w:r>
      <w:r w:rsidR="003D640C">
        <w:t xml:space="preserve"> </w:t>
      </w:r>
      <w:r>
        <w:t>create</w:t>
      </w:r>
      <w:r w:rsidR="003D640C">
        <w:t xml:space="preserve"> </w:t>
      </w:r>
      <w:r>
        <w:t>a</w:t>
      </w:r>
      <w:r w:rsidR="003D640C">
        <w:t xml:space="preserve"> </w:t>
      </w:r>
      <w:r>
        <w:t>world</w:t>
      </w:r>
      <w:r w:rsidR="003D640C">
        <w:t xml:space="preserve"> </w:t>
      </w:r>
      <w:r>
        <w:t>where</w:t>
      </w:r>
      <w:r w:rsidR="003D640C">
        <w:t xml:space="preserve"> </w:t>
      </w:r>
      <w:r>
        <w:t>Rainbow</w:t>
      </w:r>
      <w:r w:rsidR="003D640C">
        <w:t xml:space="preserve"> </w:t>
      </w:r>
      <w:r>
        <w:t>people</w:t>
      </w:r>
      <w:r w:rsidR="003D640C">
        <w:t xml:space="preserve"> </w:t>
      </w:r>
      <w:r>
        <w:t>can</w:t>
      </w:r>
      <w:r w:rsidR="003D640C">
        <w:t xml:space="preserve"> </w:t>
      </w:r>
      <w:r>
        <w:t>be</w:t>
      </w:r>
      <w:r w:rsidR="003D640C">
        <w:t xml:space="preserve"> </w:t>
      </w:r>
      <w:r>
        <w:t>embraced</w:t>
      </w:r>
      <w:r w:rsidR="003D640C">
        <w:t xml:space="preserve"> </w:t>
      </w:r>
      <w:r>
        <w:t>and</w:t>
      </w:r>
      <w:r w:rsidR="003D640C">
        <w:t xml:space="preserve"> </w:t>
      </w:r>
      <w:r>
        <w:t>valued.</w:t>
      </w:r>
    </w:p>
    <w:p w14:paraId="4D3508CC" w14:textId="329ADCC7" w:rsidR="00E00167" w:rsidRDefault="00E00167" w:rsidP="00501068">
      <w:pPr>
        <w:rPr>
          <w:rFonts w:asciiTheme="majorHAnsi" w:eastAsiaTheme="majorEastAsia" w:hAnsiTheme="majorHAnsi" w:cstheme="majorBidi"/>
          <w:color w:val="2F5496" w:themeColor="accent1" w:themeShade="BF"/>
          <w:sz w:val="40"/>
          <w:szCs w:val="40"/>
        </w:rPr>
      </w:pPr>
      <w:bookmarkStart w:id="20" w:name="_Toc167780568"/>
      <w:r>
        <w:br w:type="page"/>
      </w:r>
    </w:p>
    <w:p w14:paraId="59D495C7" w14:textId="4D9D321B" w:rsidR="007136FD" w:rsidRPr="00BB6220" w:rsidRDefault="0027787C" w:rsidP="178ADA35">
      <w:pPr>
        <w:pStyle w:val="Heading1-nonumbering"/>
        <w:ind w:left="0" w:firstLine="0"/>
      </w:pPr>
      <w:bookmarkStart w:id="21" w:name="_Toc174628621"/>
      <w:bookmarkStart w:id="22" w:name="_Toc2114033861"/>
      <w:r w:rsidRPr="00BB6220">
        <w:lastRenderedPageBreak/>
        <w:t>Summary</w:t>
      </w:r>
      <w:r w:rsidR="003D640C">
        <w:t xml:space="preserve"> </w:t>
      </w:r>
      <w:r w:rsidRPr="00BB6220">
        <w:t>of</w:t>
      </w:r>
      <w:r w:rsidR="003D640C">
        <w:t xml:space="preserve"> </w:t>
      </w:r>
      <w:r w:rsidR="00501BC4">
        <w:t>r</w:t>
      </w:r>
      <w:r w:rsidRPr="00BB6220">
        <w:t>ecommendations</w:t>
      </w:r>
      <w:bookmarkEnd w:id="20"/>
      <w:bookmarkEnd w:id="21"/>
    </w:p>
    <w:bookmarkEnd w:id="22"/>
    <w:p w14:paraId="546C5217" w14:textId="7A94A73E" w:rsidR="000D7DBC" w:rsidRPr="00BB6220" w:rsidRDefault="000D7DBC" w:rsidP="00501068">
      <w:r w:rsidRPr="00BB6220">
        <w:t>We</w:t>
      </w:r>
      <w:r w:rsidR="003D640C">
        <w:t xml:space="preserve"> </w:t>
      </w:r>
      <w:r w:rsidRPr="00BB6220">
        <w:t>summarise</w:t>
      </w:r>
      <w:r w:rsidR="003D640C">
        <w:t xml:space="preserve"> </w:t>
      </w:r>
      <w:r w:rsidRPr="00BB6220">
        <w:t>here</w:t>
      </w:r>
      <w:r w:rsidR="003D640C">
        <w:t xml:space="preserve"> </w:t>
      </w:r>
      <w:r w:rsidRPr="00BB6220">
        <w:t>our</w:t>
      </w:r>
      <w:r w:rsidR="003D640C">
        <w:t xml:space="preserve"> </w:t>
      </w:r>
      <w:r w:rsidR="008246AA">
        <w:t>six</w:t>
      </w:r>
      <w:r w:rsidR="003D640C">
        <w:t xml:space="preserve"> </w:t>
      </w:r>
      <w:r w:rsidR="00D1141B">
        <w:t xml:space="preserve">groups of </w:t>
      </w:r>
      <w:r w:rsidRPr="00BB6220">
        <w:t>priority</w:t>
      </w:r>
      <w:r w:rsidR="003D640C">
        <w:t xml:space="preserve"> </w:t>
      </w:r>
      <w:r w:rsidRPr="00BB6220">
        <w:t>recommendations</w:t>
      </w:r>
      <w:r w:rsidR="003D640C">
        <w:t xml:space="preserve"> </w:t>
      </w:r>
      <w:r w:rsidRPr="00BB6220">
        <w:t>for</w:t>
      </w:r>
      <w:r w:rsidR="003D640C">
        <w:t xml:space="preserve"> </w:t>
      </w:r>
      <w:r w:rsidRPr="00BB6220">
        <w:t>action.</w:t>
      </w:r>
      <w:r w:rsidR="003D640C">
        <w:t xml:space="preserve"> </w:t>
      </w:r>
      <w:r w:rsidR="00D1141B">
        <w:t>See chapter</w:t>
      </w:r>
      <w:r w:rsidR="00C139DD">
        <w:t xml:space="preserve"> </w:t>
      </w:r>
      <w:r w:rsidR="00B22E77">
        <w:rPr>
          <w:rFonts w:ascii="Calibri" w:eastAsia="Calibri" w:hAnsi="Calibri" w:cs="Calibri"/>
          <w:color w:val="000000" w:themeColor="text1"/>
        </w:rPr>
        <w:fldChar w:fldCharType="begin"/>
      </w:r>
      <w:r w:rsidR="00B22E77">
        <w:rPr>
          <w:rFonts w:ascii="Calibri" w:eastAsia="Calibri" w:hAnsi="Calibri" w:cs="Calibri"/>
          <w:color w:val="000000" w:themeColor="text1"/>
        </w:rPr>
        <w:instrText xml:space="preserve"> REF _Ref168393696 \r \h </w:instrText>
      </w:r>
      <w:r w:rsidR="00B22E77">
        <w:rPr>
          <w:rFonts w:ascii="Calibri" w:eastAsia="Calibri" w:hAnsi="Calibri" w:cs="Calibri"/>
          <w:color w:val="000000" w:themeColor="text1"/>
        </w:rPr>
      </w:r>
      <w:r w:rsidR="00B22E77">
        <w:rPr>
          <w:rFonts w:ascii="Calibri" w:eastAsia="Calibri" w:hAnsi="Calibri" w:cs="Calibri"/>
          <w:color w:val="000000" w:themeColor="text1"/>
        </w:rPr>
        <w:fldChar w:fldCharType="separate"/>
      </w:r>
      <w:r w:rsidR="437C01D9">
        <w:rPr>
          <w:rFonts w:ascii="Calibri" w:eastAsia="Calibri" w:hAnsi="Calibri" w:cs="Calibri"/>
          <w:color w:val="000000" w:themeColor="text1"/>
        </w:rPr>
        <w:t>9</w:t>
      </w:r>
      <w:r w:rsidR="00B22E77">
        <w:rPr>
          <w:rFonts w:ascii="Calibri" w:eastAsia="Calibri" w:hAnsi="Calibri" w:cs="Calibri"/>
          <w:color w:val="000000" w:themeColor="text1"/>
        </w:rPr>
        <w:fldChar w:fldCharType="end"/>
      </w:r>
      <w:r w:rsidR="00D1141B">
        <w:t xml:space="preserve"> </w:t>
      </w:r>
      <w:r w:rsidR="00C139DD">
        <w:t>f</w:t>
      </w:r>
      <w:r w:rsidRPr="00BB6220">
        <w:t>or</w:t>
      </w:r>
      <w:r w:rsidR="003D640C">
        <w:t xml:space="preserve"> </w:t>
      </w:r>
      <w:r w:rsidRPr="00BB6220">
        <w:t>a</w:t>
      </w:r>
      <w:r w:rsidR="003D640C">
        <w:t xml:space="preserve"> </w:t>
      </w:r>
      <w:r w:rsidRPr="00BB6220">
        <w:t>fuller</w:t>
      </w:r>
      <w:r w:rsidR="003D640C">
        <w:t xml:space="preserve"> </w:t>
      </w:r>
      <w:r w:rsidRPr="00BB6220">
        <w:t>set</w:t>
      </w:r>
      <w:r w:rsidR="003D640C">
        <w:t xml:space="preserve"> </w:t>
      </w:r>
      <w:r w:rsidRPr="00BB6220">
        <w:t>of</w:t>
      </w:r>
      <w:r w:rsidR="003D640C">
        <w:t xml:space="preserve"> </w:t>
      </w:r>
      <w:r w:rsidRPr="00BB6220">
        <w:t>recommendations</w:t>
      </w:r>
      <w:r w:rsidR="00D1141B">
        <w:t xml:space="preserve"> that</w:t>
      </w:r>
      <w:r w:rsidR="003D640C">
        <w:t xml:space="preserve"> </w:t>
      </w:r>
      <w:r w:rsidRPr="00BB6220">
        <w:t>outline</w:t>
      </w:r>
      <w:r w:rsidR="003D640C">
        <w:t xml:space="preserve"> </w:t>
      </w:r>
      <w:r w:rsidRPr="00BB6220">
        <w:t>actions</w:t>
      </w:r>
      <w:r w:rsidR="003D640C">
        <w:t xml:space="preserve"> </w:t>
      </w:r>
      <w:r w:rsidRPr="00BB6220">
        <w:t>targeted</w:t>
      </w:r>
      <w:r w:rsidR="003D640C">
        <w:t xml:space="preserve"> </w:t>
      </w:r>
      <w:r w:rsidRPr="00BB6220">
        <w:t>more</w:t>
      </w:r>
      <w:r w:rsidR="003D640C">
        <w:t xml:space="preserve"> </w:t>
      </w:r>
      <w:r w:rsidRPr="00BB6220">
        <w:t>specifically</w:t>
      </w:r>
      <w:r w:rsidR="003D640C">
        <w:t xml:space="preserve"> </w:t>
      </w:r>
      <w:r w:rsidRPr="00BB6220">
        <w:t>at</w:t>
      </w:r>
      <w:r w:rsidR="003D640C">
        <w:t xml:space="preserve"> </w:t>
      </w:r>
      <w:r w:rsidR="00D1141B">
        <w:t>G</w:t>
      </w:r>
      <w:r w:rsidRPr="00BB6220">
        <w:t>overnment,</w:t>
      </w:r>
      <w:r w:rsidR="003D640C">
        <w:t xml:space="preserve"> </w:t>
      </w:r>
      <w:r w:rsidRPr="00BB6220">
        <w:t>healthcare</w:t>
      </w:r>
      <w:r w:rsidR="003D640C">
        <w:t xml:space="preserve"> </w:t>
      </w:r>
      <w:r w:rsidRPr="00BB6220">
        <w:t>professionals,</w:t>
      </w:r>
      <w:r w:rsidR="003D640C">
        <w:t xml:space="preserve"> </w:t>
      </w:r>
      <w:r w:rsidRPr="00BB6220">
        <w:t>religious,</w:t>
      </w:r>
      <w:r w:rsidR="003D640C">
        <w:t xml:space="preserve"> </w:t>
      </w:r>
      <w:r w:rsidRPr="00BB6220">
        <w:t>ethnic</w:t>
      </w:r>
      <w:r w:rsidR="003D640C">
        <w:t xml:space="preserve"> </w:t>
      </w:r>
      <w:r w:rsidRPr="00BB6220">
        <w:t>and</w:t>
      </w:r>
      <w:r w:rsidR="003D640C">
        <w:t xml:space="preserve"> </w:t>
      </w:r>
      <w:r w:rsidRPr="00BB6220">
        <w:t>cultural</w:t>
      </w:r>
      <w:r w:rsidR="003D640C">
        <w:t xml:space="preserve"> </w:t>
      </w:r>
      <w:r w:rsidRPr="00BB6220">
        <w:t>communities,</w:t>
      </w:r>
      <w:r w:rsidR="003D640C">
        <w:t xml:space="preserve"> </w:t>
      </w:r>
      <w:r w:rsidRPr="00BB6220">
        <w:t>and</w:t>
      </w:r>
      <w:r w:rsidR="003D640C">
        <w:t xml:space="preserve"> </w:t>
      </w:r>
      <w:r w:rsidRPr="00BB6220">
        <w:t>whānau.</w:t>
      </w:r>
      <w:r w:rsidR="003D640C">
        <w:t xml:space="preserve"> </w:t>
      </w:r>
    </w:p>
    <w:p w14:paraId="5A961166" w14:textId="76D532BF" w:rsidR="000D7DBC" w:rsidRDefault="000D7DBC" w:rsidP="00501068">
      <w:r w:rsidRPr="00BB6220">
        <w:t>We</w:t>
      </w:r>
      <w:r w:rsidR="003D640C">
        <w:t xml:space="preserve"> </w:t>
      </w:r>
      <w:r w:rsidRPr="00BB6220">
        <w:t>note</w:t>
      </w:r>
      <w:r w:rsidR="003D640C">
        <w:t xml:space="preserve"> </w:t>
      </w:r>
      <w:r w:rsidRPr="00BB6220">
        <w:t>that</w:t>
      </w:r>
      <w:r w:rsidR="003D640C">
        <w:t xml:space="preserve"> </w:t>
      </w:r>
      <w:r w:rsidRPr="00BB6220">
        <w:t>there</w:t>
      </w:r>
      <w:r w:rsidR="003D640C">
        <w:t xml:space="preserve"> </w:t>
      </w:r>
      <w:r w:rsidR="0EBE700B" w:rsidRPr="570F0258">
        <w:t>is</w:t>
      </w:r>
      <w:r w:rsidR="003D640C">
        <w:t xml:space="preserve"> </w:t>
      </w:r>
      <w:r w:rsidRPr="00BB6220">
        <w:t>a</w:t>
      </w:r>
      <w:r w:rsidR="003D640C">
        <w:t xml:space="preserve"> </w:t>
      </w:r>
      <w:r w:rsidRPr="00BB6220">
        <w:t>diversity</w:t>
      </w:r>
      <w:r w:rsidR="003D640C">
        <w:t xml:space="preserve"> </w:t>
      </w:r>
      <w:r w:rsidRPr="00BB6220">
        <w:t>of</w:t>
      </w:r>
      <w:r w:rsidR="003D640C">
        <w:t xml:space="preserve"> </w:t>
      </w:r>
      <w:r w:rsidRPr="00BB6220">
        <w:t>views</w:t>
      </w:r>
      <w:r w:rsidR="003D640C">
        <w:t xml:space="preserve"> </w:t>
      </w:r>
      <w:r w:rsidRPr="00BB6220">
        <w:t>within</w:t>
      </w:r>
      <w:r w:rsidR="003D640C">
        <w:t xml:space="preserve"> </w:t>
      </w:r>
      <w:r w:rsidRPr="00BB6220">
        <w:t>Rainbow</w:t>
      </w:r>
      <w:r w:rsidR="003D640C">
        <w:t xml:space="preserve"> </w:t>
      </w:r>
      <w:r w:rsidRPr="00BB6220">
        <w:t>communities</w:t>
      </w:r>
      <w:r w:rsidR="007B51DC">
        <w:t>.</w:t>
      </w:r>
      <w:r w:rsidR="003D640C">
        <w:t xml:space="preserve"> </w:t>
      </w:r>
      <w:r w:rsidR="00555F4A">
        <w:t>N</w:t>
      </w:r>
      <w:r w:rsidRPr="00BB6220">
        <w:t>ot</w:t>
      </w:r>
      <w:r w:rsidR="003D640C">
        <w:t xml:space="preserve"> </w:t>
      </w:r>
      <w:r w:rsidRPr="00BB6220">
        <w:t>all</w:t>
      </w:r>
      <w:r w:rsidR="003D640C">
        <w:t xml:space="preserve"> </w:t>
      </w:r>
      <w:r w:rsidRPr="00BB6220">
        <w:t>survivors</w:t>
      </w:r>
      <w:r w:rsidR="003D640C">
        <w:t xml:space="preserve"> </w:t>
      </w:r>
      <w:r w:rsidR="00587DB7" w:rsidRPr="00BB6220">
        <w:t>will</w:t>
      </w:r>
      <w:r w:rsidR="003D640C">
        <w:t xml:space="preserve"> </w:t>
      </w:r>
      <w:r w:rsidRPr="00BB6220">
        <w:t>agree</w:t>
      </w:r>
      <w:r w:rsidR="003D640C">
        <w:t xml:space="preserve"> </w:t>
      </w:r>
      <w:r w:rsidRPr="00BB6220">
        <w:t>with</w:t>
      </w:r>
      <w:r w:rsidR="003D640C">
        <w:t xml:space="preserve"> </w:t>
      </w:r>
      <w:r w:rsidR="007B51DC">
        <w:t>the</w:t>
      </w:r>
      <w:r w:rsidR="003D640C">
        <w:t xml:space="preserve"> </w:t>
      </w:r>
      <w:r w:rsidRPr="00BB6220">
        <w:t>recommendation</w:t>
      </w:r>
      <w:r w:rsidR="003D640C">
        <w:t xml:space="preserve"> </w:t>
      </w:r>
      <w:r w:rsidR="007B51DC">
        <w:t>to</w:t>
      </w:r>
      <w:r w:rsidR="003D640C">
        <w:t xml:space="preserve"> </w:t>
      </w:r>
      <w:r w:rsidR="007B51DC">
        <w:t>link</w:t>
      </w:r>
      <w:r w:rsidR="003D640C">
        <w:t xml:space="preserve"> </w:t>
      </w:r>
      <w:r w:rsidR="007B51DC">
        <w:t>conversion</w:t>
      </w:r>
      <w:r w:rsidR="003D640C">
        <w:t xml:space="preserve"> </w:t>
      </w:r>
      <w:r w:rsidR="007B51DC">
        <w:t>practices</w:t>
      </w:r>
      <w:r w:rsidR="003D640C">
        <w:t xml:space="preserve"> </w:t>
      </w:r>
      <w:r w:rsidRPr="00BB6220">
        <w:t>to</w:t>
      </w:r>
      <w:r w:rsidR="003D640C">
        <w:t xml:space="preserve"> </w:t>
      </w:r>
      <w:r w:rsidRPr="00BB6220">
        <w:t>famil</w:t>
      </w:r>
      <w:r w:rsidR="007B51DC">
        <w:t>y</w:t>
      </w:r>
      <w:r w:rsidR="003D640C">
        <w:t xml:space="preserve"> </w:t>
      </w:r>
      <w:r w:rsidR="007B51DC">
        <w:t>harm</w:t>
      </w:r>
      <w:r w:rsidRPr="00BB6220">
        <w:t>.</w:t>
      </w:r>
      <w:r w:rsidR="003D640C">
        <w:t xml:space="preserve"> </w:t>
      </w:r>
      <w:r w:rsidRPr="00BB6220">
        <w:t>We</w:t>
      </w:r>
      <w:r w:rsidR="003D640C">
        <w:t xml:space="preserve"> </w:t>
      </w:r>
      <w:r w:rsidRPr="00BB6220">
        <w:t>acknowledge</w:t>
      </w:r>
      <w:r w:rsidR="003D640C">
        <w:t xml:space="preserve"> </w:t>
      </w:r>
      <w:r w:rsidRPr="00BB6220">
        <w:t>this</w:t>
      </w:r>
      <w:r w:rsidR="003D640C">
        <w:t xml:space="preserve"> </w:t>
      </w:r>
      <w:r w:rsidRPr="00BB6220">
        <w:t>discomfort</w:t>
      </w:r>
      <w:r w:rsidR="003D640C">
        <w:t xml:space="preserve"> </w:t>
      </w:r>
      <w:r w:rsidRPr="00BB6220">
        <w:t>and</w:t>
      </w:r>
      <w:r w:rsidR="003D640C">
        <w:t xml:space="preserve"> </w:t>
      </w:r>
      <w:r w:rsidRPr="00BB6220">
        <w:t>reiterate</w:t>
      </w:r>
      <w:r w:rsidR="003D640C">
        <w:t xml:space="preserve"> </w:t>
      </w:r>
      <w:r w:rsidRPr="00BB6220">
        <w:t>that</w:t>
      </w:r>
      <w:r w:rsidR="003D640C">
        <w:t xml:space="preserve"> </w:t>
      </w:r>
      <w:r w:rsidR="00587DB7" w:rsidRPr="00BB6220">
        <w:t>we</w:t>
      </w:r>
      <w:r w:rsidR="003D640C">
        <w:t xml:space="preserve"> </w:t>
      </w:r>
      <w:r w:rsidR="00587DB7" w:rsidRPr="00BB6220">
        <w:t>make</w:t>
      </w:r>
      <w:r w:rsidR="003D640C">
        <w:t xml:space="preserve"> </w:t>
      </w:r>
      <w:r w:rsidR="00587DB7" w:rsidRPr="00BB6220">
        <w:t>these</w:t>
      </w:r>
      <w:r w:rsidR="003D640C">
        <w:t xml:space="preserve"> </w:t>
      </w:r>
      <w:r w:rsidRPr="00BB6220">
        <w:t>recommendations</w:t>
      </w:r>
      <w:r w:rsidR="003D640C">
        <w:t xml:space="preserve"> </w:t>
      </w:r>
      <w:r w:rsidR="00587DB7" w:rsidRPr="00BB6220">
        <w:t>in</w:t>
      </w:r>
      <w:r w:rsidR="003D640C">
        <w:t xml:space="preserve"> </w:t>
      </w:r>
      <w:r w:rsidR="00587DB7" w:rsidRPr="00BB6220">
        <w:t>our</w:t>
      </w:r>
      <w:r w:rsidR="003D640C">
        <w:t xml:space="preserve"> </w:t>
      </w:r>
      <w:r w:rsidR="00587DB7" w:rsidRPr="00BB6220">
        <w:t>capacity</w:t>
      </w:r>
      <w:r w:rsidR="003D640C">
        <w:t xml:space="preserve"> </w:t>
      </w:r>
      <w:r w:rsidRPr="00BB6220">
        <w:t>as</w:t>
      </w:r>
      <w:r w:rsidR="003D640C">
        <w:t xml:space="preserve"> </w:t>
      </w:r>
      <w:r w:rsidRPr="00BB6220">
        <w:t>a</w:t>
      </w:r>
      <w:r w:rsidR="003D640C">
        <w:t xml:space="preserve"> </w:t>
      </w:r>
      <w:r w:rsidR="00AA513F">
        <w:t>N</w:t>
      </w:r>
      <w:r w:rsidRPr="00BB6220">
        <w:t>ational</w:t>
      </w:r>
      <w:r w:rsidR="003D640C">
        <w:t xml:space="preserve"> </w:t>
      </w:r>
      <w:r w:rsidR="00AA513F">
        <w:t>H</w:t>
      </w:r>
      <w:r w:rsidRPr="00BB6220">
        <w:t>uman</w:t>
      </w:r>
      <w:r w:rsidR="003D640C">
        <w:t xml:space="preserve"> </w:t>
      </w:r>
      <w:r w:rsidR="00AA513F">
        <w:t>R</w:t>
      </w:r>
      <w:r w:rsidRPr="00BB6220">
        <w:t>ights</w:t>
      </w:r>
      <w:r w:rsidR="003D640C">
        <w:t xml:space="preserve"> </w:t>
      </w:r>
      <w:r w:rsidR="00AA513F">
        <w:t>I</w:t>
      </w:r>
      <w:r w:rsidRPr="00BB6220">
        <w:t>nstitution</w:t>
      </w:r>
      <w:r w:rsidR="003D640C">
        <w:t xml:space="preserve"> </w:t>
      </w:r>
      <w:r w:rsidRPr="00BB6220">
        <w:t>with</w:t>
      </w:r>
      <w:r w:rsidR="003D640C">
        <w:t xml:space="preserve"> </w:t>
      </w:r>
      <w:r w:rsidRPr="00BB6220">
        <w:t>human</w:t>
      </w:r>
      <w:r w:rsidR="003D640C">
        <w:t xml:space="preserve"> </w:t>
      </w:r>
      <w:r w:rsidRPr="00BB6220">
        <w:t>rights</w:t>
      </w:r>
      <w:r w:rsidR="003D640C">
        <w:t xml:space="preserve"> </w:t>
      </w:r>
      <w:r w:rsidRPr="00BB6220">
        <w:t>responsibilities</w:t>
      </w:r>
      <w:r w:rsidR="003D640C">
        <w:t xml:space="preserve"> </w:t>
      </w:r>
      <w:r w:rsidRPr="00BB6220">
        <w:t>in</w:t>
      </w:r>
      <w:r w:rsidR="003D640C">
        <w:t xml:space="preserve"> </w:t>
      </w:r>
      <w:r w:rsidRPr="00BB6220">
        <w:t>respect</w:t>
      </w:r>
      <w:r w:rsidR="003D640C">
        <w:t xml:space="preserve"> </w:t>
      </w:r>
      <w:r w:rsidRPr="00BB6220">
        <w:t>of</w:t>
      </w:r>
      <w:r w:rsidR="003D640C">
        <w:t xml:space="preserve"> </w:t>
      </w:r>
      <w:r w:rsidRPr="00BB6220">
        <w:t>discrimination,</w:t>
      </w:r>
      <w:r w:rsidR="003D640C">
        <w:t xml:space="preserve"> </w:t>
      </w:r>
      <w:r w:rsidRPr="00BB6220">
        <w:t>harm</w:t>
      </w:r>
      <w:r w:rsidR="00005065">
        <w:t>,</w:t>
      </w:r>
      <w:r w:rsidR="003D640C">
        <w:t xml:space="preserve"> </w:t>
      </w:r>
      <w:r w:rsidRPr="00BB6220">
        <w:t>and</w:t>
      </w:r>
      <w:r w:rsidR="003D640C">
        <w:t xml:space="preserve"> </w:t>
      </w:r>
      <w:r w:rsidRPr="00BB6220">
        <w:t>violence.</w:t>
      </w:r>
      <w:r w:rsidR="003D640C">
        <w:t xml:space="preserve"> </w:t>
      </w:r>
    </w:p>
    <w:p w14:paraId="255DAA9D" w14:textId="0C4BAA8D" w:rsidR="00E337EB" w:rsidRPr="00BB6220" w:rsidRDefault="00BF3AB3" w:rsidP="00501068">
      <w:pPr>
        <w:pStyle w:val="Heading2"/>
      </w:pPr>
      <w:bookmarkStart w:id="23" w:name="_Toc174628622"/>
      <w:bookmarkStart w:id="24" w:name="_Toc300365906"/>
      <w:r>
        <w:t>Recommendations</w:t>
      </w:r>
      <w:r w:rsidR="003D640C">
        <w:t xml:space="preserve"> </w:t>
      </w:r>
      <w:r>
        <w:t>for</w:t>
      </w:r>
      <w:r w:rsidR="003D640C">
        <w:t xml:space="preserve"> </w:t>
      </w:r>
      <w:r w:rsidRPr="00501068">
        <w:t>Government</w:t>
      </w:r>
      <w:bookmarkEnd w:id="23"/>
    </w:p>
    <w:bookmarkEnd w:id="24"/>
    <w:p w14:paraId="4C665B5A" w14:textId="37A763E7" w:rsidR="00501068" w:rsidRPr="00DB7457" w:rsidRDefault="000D7DBC" w:rsidP="00DB7457">
      <w:pPr>
        <w:pStyle w:val="ListParagraph"/>
        <w:numPr>
          <w:ilvl w:val="0"/>
          <w:numId w:val="123"/>
        </w:numPr>
        <w:rPr>
          <w:b/>
          <w:bCs/>
        </w:rPr>
      </w:pPr>
      <w:r w:rsidRPr="00DB7457">
        <w:rPr>
          <w:b/>
          <w:bCs/>
        </w:rPr>
        <w:t>Strengthen</w:t>
      </w:r>
      <w:r w:rsidR="003D640C" w:rsidRPr="00DB7457">
        <w:rPr>
          <w:b/>
          <w:bCs/>
        </w:rPr>
        <w:t xml:space="preserve"> </w:t>
      </w:r>
      <w:r w:rsidRPr="00DB7457">
        <w:rPr>
          <w:b/>
          <w:bCs/>
        </w:rPr>
        <w:t>the</w:t>
      </w:r>
      <w:r w:rsidR="003D640C" w:rsidRPr="00DB7457">
        <w:rPr>
          <w:b/>
          <w:bCs/>
        </w:rPr>
        <w:t xml:space="preserve"> </w:t>
      </w:r>
      <w:r w:rsidRPr="00DB7457">
        <w:rPr>
          <w:b/>
          <w:bCs/>
        </w:rPr>
        <w:t>Conversion</w:t>
      </w:r>
      <w:r w:rsidR="003D640C" w:rsidRPr="00DB7457">
        <w:rPr>
          <w:b/>
          <w:bCs/>
        </w:rPr>
        <w:t xml:space="preserve"> </w:t>
      </w:r>
      <w:r w:rsidRPr="00DB7457">
        <w:rPr>
          <w:b/>
          <w:bCs/>
        </w:rPr>
        <w:t>Practices</w:t>
      </w:r>
      <w:r w:rsidR="003D640C" w:rsidRPr="00DB7457">
        <w:rPr>
          <w:b/>
          <w:bCs/>
        </w:rPr>
        <w:t xml:space="preserve"> </w:t>
      </w:r>
      <w:r w:rsidRPr="00DB7457">
        <w:rPr>
          <w:b/>
          <w:bCs/>
        </w:rPr>
        <w:t>Prohibition</w:t>
      </w:r>
      <w:r w:rsidR="003D640C" w:rsidRPr="00DB7457">
        <w:rPr>
          <w:b/>
          <w:bCs/>
        </w:rPr>
        <w:t xml:space="preserve"> </w:t>
      </w:r>
      <w:r w:rsidRPr="00DB7457">
        <w:rPr>
          <w:b/>
          <w:bCs/>
        </w:rPr>
        <w:t>Legislation</w:t>
      </w:r>
      <w:r w:rsidR="003D640C" w:rsidRPr="00DB7457">
        <w:rPr>
          <w:b/>
          <w:bCs/>
        </w:rPr>
        <w:t xml:space="preserve"> </w:t>
      </w:r>
      <w:r w:rsidRPr="00DB7457">
        <w:rPr>
          <w:b/>
          <w:bCs/>
        </w:rPr>
        <w:t>Act</w:t>
      </w:r>
      <w:r w:rsidR="003D640C" w:rsidRPr="00DB7457">
        <w:rPr>
          <w:b/>
          <w:bCs/>
        </w:rPr>
        <w:t xml:space="preserve"> </w:t>
      </w:r>
      <w:r w:rsidRPr="00DB7457">
        <w:rPr>
          <w:b/>
          <w:bCs/>
        </w:rPr>
        <w:t>2022</w:t>
      </w:r>
      <w:r w:rsidR="003D640C" w:rsidRPr="00DB7457">
        <w:rPr>
          <w:b/>
          <w:bCs/>
        </w:rPr>
        <w:t xml:space="preserve"> </w:t>
      </w:r>
      <w:r w:rsidRPr="00DB7457">
        <w:rPr>
          <w:b/>
          <w:bCs/>
        </w:rPr>
        <w:t>(CPPLA)</w:t>
      </w:r>
      <w:r w:rsidR="003D640C" w:rsidRPr="00DB7457">
        <w:rPr>
          <w:b/>
          <w:bCs/>
        </w:rPr>
        <w:t xml:space="preserve"> </w:t>
      </w:r>
      <w:r w:rsidRPr="00DB7457">
        <w:rPr>
          <w:b/>
          <w:bCs/>
        </w:rPr>
        <w:t>and</w:t>
      </w:r>
      <w:r w:rsidR="003D640C" w:rsidRPr="00DB7457">
        <w:rPr>
          <w:b/>
          <w:bCs/>
        </w:rPr>
        <w:t xml:space="preserve"> </w:t>
      </w:r>
      <w:r w:rsidR="00A44EF9" w:rsidRPr="00DB7457">
        <w:rPr>
          <w:b/>
          <w:bCs/>
        </w:rPr>
        <w:t>provide</w:t>
      </w:r>
      <w:r w:rsidR="003D640C" w:rsidRPr="00DB7457">
        <w:rPr>
          <w:b/>
          <w:bCs/>
        </w:rPr>
        <w:t xml:space="preserve"> </w:t>
      </w:r>
      <w:r w:rsidR="00A44EF9" w:rsidRPr="00DB7457">
        <w:rPr>
          <w:b/>
          <w:bCs/>
        </w:rPr>
        <w:t>ongoing</w:t>
      </w:r>
      <w:r w:rsidR="003D640C" w:rsidRPr="00DB7457">
        <w:rPr>
          <w:b/>
          <w:bCs/>
        </w:rPr>
        <w:t xml:space="preserve"> </w:t>
      </w:r>
      <w:r w:rsidRPr="00DB7457">
        <w:rPr>
          <w:b/>
          <w:bCs/>
        </w:rPr>
        <w:t>funding</w:t>
      </w:r>
      <w:r w:rsidR="003D640C" w:rsidRPr="00DB7457">
        <w:rPr>
          <w:b/>
          <w:bCs/>
        </w:rPr>
        <w:t xml:space="preserve"> </w:t>
      </w:r>
      <w:r w:rsidRPr="00DB7457">
        <w:rPr>
          <w:b/>
          <w:bCs/>
        </w:rPr>
        <w:t>to</w:t>
      </w:r>
      <w:r w:rsidR="003D640C" w:rsidRPr="00DB7457">
        <w:rPr>
          <w:b/>
          <w:bCs/>
        </w:rPr>
        <w:t xml:space="preserve"> </w:t>
      </w:r>
      <w:r w:rsidRPr="00DB7457">
        <w:rPr>
          <w:b/>
          <w:bCs/>
        </w:rPr>
        <w:t>support</w:t>
      </w:r>
      <w:r w:rsidR="003D640C" w:rsidRPr="00DB7457">
        <w:rPr>
          <w:b/>
          <w:bCs/>
        </w:rPr>
        <w:t xml:space="preserve"> </w:t>
      </w:r>
      <w:r w:rsidRPr="00DB7457">
        <w:rPr>
          <w:b/>
          <w:bCs/>
        </w:rPr>
        <w:t>its</w:t>
      </w:r>
      <w:r w:rsidR="003D640C" w:rsidRPr="00DB7457">
        <w:rPr>
          <w:b/>
          <w:bCs/>
        </w:rPr>
        <w:t xml:space="preserve"> </w:t>
      </w:r>
      <w:r w:rsidRPr="00DB7457">
        <w:rPr>
          <w:b/>
          <w:bCs/>
        </w:rPr>
        <w:t>intent.</w:t>
      </w:r>
      <w:r w:rsidR="003D640C" w:rsidRPr="00DB7457">
        <w:rPr>
          <w:b/>
          <w:bCs/>
        </w:rPr>
        <w:t xml:space="preserve"> </w:t>
      </w:r>
    </w:p>
    <w:p w14:paraId="5ED4B3E7" w14:textId="6C27F631" w:rsidR="000D7DBC" w:rsidRPr="0078026B" w:rsidRDefault="00A12C47" w:rsidP="008712CA">
      <w:pPr>
        <w:pStyle w:val="ListParagraph"/>
        <w:numPr>
          <w:ilvl w:val="1"/>
          <w:numId w:val="114"/>
        </w:numPr>
        <w:ind w:left="794" w:hanging="397"/>
      </w:pPr>
      <w:r w:rsidRPr="0078026B">
        <w:t>R</w:t>
      </w:r>
      <w:r w:rsidR="000D7DBC" w:rsidRPr="0078026B">
        <w:t>einstate</w:t>
      </w:r>
      <w:r w:rsidR="003D640C" w:rsidRPr="0078026B">
        <w:t xml:space="preserve"> </w:t>
      </w:r>
      <w:r w:rsidR="000D7DBC" w:rsidRPr="0078026B">
        <w:t>funding</w:t>
      </w:r>
      <w:r w:rsidR="003D640C" w:rsidRPr="0078026B">
        <w:t xml:space="preserve"> </w:t>
      </w:r>
      <w:r w:rsidR="000D7DBC" w:rsidRPr="0078026B">
        <w:t>to</w:t>
      </w:r>
      <w:r w:rsidR="003D640C" w:rsidRPr="0078026B">
        <w:t xml:space="preserve"> </w:t>
      </w:r>
      <w:r w:rsidR="000D7DBC" w:rsidRPr="0078026B">
        <w:t>provide</w:t>
      </w:r>
      <w:r w:rsidR="003D640C" w:rsidRPr="0078026B">
        <w:t xml:space="preserve"> </w:t>
      </w:r>
      <w:r w:rsidR="000D7DBC" w:rsidRPr="0078026B">
        <w:t>survivor-led</w:t>
      </w:r>
      <w:r w:rsidR="003D640C" w:rsidRPr="0078026B">
        <w:t xml:space="preserve"> </w:t>
      </w:r>
      <w:r w:rsidR="000D7DBC" w:rsidRPr="0078026B">
        <w:t>education</w:t>
      </w:r>
      <w:r w:rsidR="002A5C4F">
        <w:t>.</w:t>
      </w:r>
      <w:r w:rsidR="003D640C" w:rsidRPr="0078026B">
        <w:t xml:space="preserve"> </w:t>
      </w:r>
    </w:p>
    <w:p w14:paraId="625293FC" w14:textId="68A23F68" w:rsidR="00254DE3" w:rsidRPr="0078026B" w:rsidRDefault="00A12C47" w:rsidP="008712CA">
      <w:pPr>
        <w:pStyle w:val="ListParagraph"/>
        <w:numPr>
          <w:ilvl w:val="1"/>
          <w:numId w:val="114"/>
        </w:numPr>
        <w:ind w:left="794" w:hanging="397"/>
      </w:pPr>
      <w:r w:rsidRPr="0078026B">
        <w:t>R</w:t>
      </w:r>
      <w:r w:rsidR="007F02E0" w:rsidRPr="0078026B">
        <w:t>e</w:t>
      </w:r>
      <w:r w:rsidR="00254DE3" w:rsidRPr="0078026B">
        <w:t>move</w:t>
      </w:r>
      <w:r w:rsidR="003D640C" w:rsidRPr="0078026B">
        <w:t xml:space="preserve"> </w:t>
      </w:r>
      <w:r w:rsidR="00254DE3" w:rsidRPr="0078026B">
        <w:t>the</w:t>
      </w:r>
      <w:r w:rsidR="003D640C" w:rsidRPr="0078026B">
        <w:t xml:space="preserve"> </w:t>
      </w:r>
      <w:r w:rsidR="00254DE3" w:rsidRPr="0078026B">
        <w:t>requirement</w:t>
      </w:r>
      <w:r w:rsidR="003D640C" w:rsidRPr="0078026B">
        <w:t xml:space="preserve"> </w:t>
      </w:r>
      <w:r w:rsidR="00254DE3" w:rsidRPr="0078026B">
        <w:t>for</w:t>
      </w:r>
      <w:r w:rsidR="003D640C" w:rsidRPr="0078026B">
        <w:t xml:space="preserve"> </w:t>
      </w:r>
      <w:r w:rsidR="00254DE3" w:rsidRPr="0078026B">
        <w:t>Attorney-General</w:t>
      </w:r>
      <w:r w:rsidR="003D640C" w:rsidRPr="0078026B">
        <w:t xml:space="preserve"> </w:t>
      </w:r>
      <w:r w:rsidR="00254DE3" w:rsidRPr="0078026B">
        <w:t>consent</w:t>
      </w:r>
      <w:r w:rsidR="003D640C" w:rsidRPr="0078026B">
        <w:t xml:space="preserve"> </w:t>
      </w:r>
      <w:r w:rsidR="00254DE3" w:rsidRPr="0078026B">
        <w:t>for</w:t>
      </w:r>
      <w:r w:rsidR="003D640C" w:rsidRPr="0078026B">
        <w:t xml:space="preserve"> </w:t>
      </w:r>
      <w:r w:rsidR="00254DE3" w:rsidRPr="0078026B">
        <w:t>prosecutions</w:t>
      </w:r>
      <w:r w:rsidRPr="0078026B">
        <w:t>.</w:t>
      </w:r>
    </w:p>
    <w:p w14:paraId="21067F49" w14:textId="6C08C132" w:rsidR="000D7DBC" w:rsidRPr="0078026B" w:rsidRDefault="00A12C47" w:rsidP="008712CA">
      <w:pPr>
        <w:pStyle w:val="ListParagraph"/>
        <w:numPr>
          <w:ilvl w:val="1"/>
          <w:numId w:val="114"/>
        </w:numPr>
        <w:ind w:left="794" w:hanging="397"/>
      </w:pPr>
      <w:r w:rsidRPr="0078026B">
        <w:t>E</w:t>
      </w:r>
      <w:r w:rsidR="000D7DBC" w:rsidRPr="0078026B">
        <w:t>nsure</w:t>
      </w:r>
      <w:r w:rsidR="003D640C" w:rsidRPr="0078026B">
        <w:t xml:space="preserve"> </w:t>
      </w:r>
      <w:r w:rsidR="00F1045C">
        <w:t>t</w:t>
      </w:r>
      <w:r w:rsidR="000D7DBC" w:rsidRPr="0078026B">
        <w:t>e</w:t>
      </w:r>
      <w:r w:rsidR="003D640C" w:rsidRPr="0078026B">
        <w:t xml:space="preserve"> </w:t>
      </w:r>
      <w:r w:rsidR="000D7DBC" w:rsidRPr="0078026B">
        <w:t>Tiriti</w:t>
      </w:r>
      <w:r w:rsidR="003D640C" w:rsidRPr="0078026B">
        <w:t xml:space="preserve"> </w:t>
      </w:r>
      <w:r w:rsidR="000D7DBC" w:rsidRPr="0078026B">
        <w:t>o</w:t>
      </w:r>
      <w:r w:rsidR="003D640C" w:rsidRPr="0078026B">
        <w:t xml:space="preserve"> </w:t>
      </w:r>
      <w:r w:rsidR="000D7DBC" w:rsidRPr="0078026B">
        <w:t>Waitangi</w:t>
      </w:r>
      <w:r w:rsidR="003D640C" w:rsidRPr="0078026B">
        <w:t xml:space="preserve"> </w:t>
      </w:r>
      <w:r w:rsidR="000D7DBC" w:rsidRPr="0078026B">
        <w:t>and</w:t>
      </w:r>
      <w:r w:rsidR="003D640C" w:rsidRPr="0078026B">
        <w:t xml:space="preserve"> </w:t>
      </w:r>
      <w:r w:rsidR="000D7DBC" w:rsidRPr="0078026B">
        <w:t>human</w:t>
      </w:r>
      <w:r w:rsidR="003D640C" w:rsidRPr="0078026B">
        <w:t xml:space="preserve"> </w:t>
      </w:r>
      <w:r w:rsidR="000D7DBC" w:rsidRPr="0078026B">
        <w:t>rights</w:t>
      </w:r>
      <w:r w:rsidR="003D640C" w:rsidRPr="0078026B">
        <w:t xml:space="preserve"> </w:t>
      </w:r>
      <w:r w:rsidR="000D7DBC" w:rsidRPr="0078026B">
        <w:t>are</w:t>
      </w:r>
      <w:r w:rsidR="003D640C" w:rsidRPr="0078026B">
        <w:t xml:space="preserve"> </w:t>
      </w:r>
      <w:r w:rsidR="000D7DBC" w:rsidRPr="0078026B">
        <w:t>at</w:t>
      </w:r>
      <w:r w:rsidR="003D640C" w:rsidRPr="0078026B">
        <w:t xml:space="preserve"> </w:t>
      </w:r>
      <w:r w:rsidR="000D7DBC" w:rsidRPr="0078026B">
        <w:t>the</w:t>
      </w:r>
      <w:r w:rsidR="003D640C" w:rsidRPr="0078026B">
        <w:t xml:space="preserve"> </w:t>
      </w:r>
      <w:r w:rsidR="000D7DBC" w:rsidRPr="0078026B">
        <w:t>centre</w:t>
      </w:r>
      <w:r w:rsidR="003D640C" w:rsidRPr="0078026B">
        <w:t xml:space="preserve"> </w:t>
      </w:r>
      <w:r w:rsidR="000D7DBC" w:rsidRPr="0078026B">
        <w:t>of</w:t>
      </w:r>
      <w:r w:rsidR="003D640C" w:rsidRPr="0078026B">
        <w:t xml:space="preserve"> </w:t>
      </w:r>
      <w:r w:rsidR="000D7DBC" w:rsidRPr="0078026B">
        <w:t>any</w:t>
      </w:r>
      <w:r w:rsidR="003D640C" w:rsidRPr="0078026B">
        <w:t xml:space="preserve"> </w:t>
      </w:r>
      <w:r w:rsidR="000D7DBC" w:rsidRPr="0078026B">
        <w:t>future</w:t>
      </w:r>
      <w:r w:rsidR="003D640C" w:rsidRPr="0078026B">
        <w:t xml:space="preserve"> </w:t>
      </w:r>
      <w:r w:rsidR="000D7DBC" w:rsidRPr="0078026B">
        <w:t>policy</w:t>
      </w:r>
      <w:r w:rsidR="003D640C" w:rsidRPr="0078026B">
        <w:t xml:space="preserve"> </w:t>
      </w:r>
      <w:r w:rsidR="000D7DBC" w:rsidRPr="0078026B">
        <w:t>development</w:t>
      </w:r>
      <w:r w:rsidR="003D640C" w:rsidRPr="0078026B">
        <w:t xml:space="preserve"> </w:t>
      </w:r>
      <w:r w:rsidR="000D7DBC" w:rsidRPr="0078026B">
        <w:t>concerning</w:t>
      </w:r>
      <w:r w:rsidR="003D640C" w:rsidRPr="0078026B">
        <w:t xml:space="preserve"> </w:t>
      </w:r>
      <w:r w:rsidR="000D7DBC" w:rsidRPr="0078026B">
        <w:t>conversion</w:t>
      </w:r>
      <w:r w:rsidR="003D640C" w:rsidRPr="0078026B">
        <w:t xml:space="preserve"> </w:t>
      </w:r>
      <w:r w:rsidR="000D7DBC" w:rsidRPr="0078026B">
        <w:t>practices</w:t>
      </w:r>
      <w:r w:rsidRPr="0078026B">
        <w:t>.</w:t>
      </w:r>
    </w:p>
    <w:p w14:paraId="7415B7F7" w14:textId="69BD2CE0" w:rsidR="00501068" w:rsidRPr="0078026B" w:rsidRDefault="00A12C47" w:rsidP="008712CA">
      <w:pPr>
        <w:pStyle w:val="ListParagraph"/>
        <w:numPr>
          <w:ilvl w:val="1"/>
          <w:numId w:val="114"/>
        </w:numPr>
        <w:ind w:left="794" w:hanging="397"/>
      </w:pPr>
      <w:r w:rsidRPr="0078026B">
        <w:t>E</w:t>
      </w:r>
      <w:r w:rsidR="000D7DBC" w:rsidRPr="0078026B">
        <w:t>xplore</w:t>
      </w:r>
      <w:r w:rsidR="003D640C" w:rsidRPr="0078026B">
        <w:t xml:space="preserve"> </w:t>
      </w:r>
      <w:r w:rsidR="000D7DBC" w:rsidRPr="0078026B">
        <w:t>establishing</w:t>
      </w:r>
      <w:r w:rsidR="003D640C" w:rsidRPr="0078026B">
        <w:t xml:space="preserve"> </w:t>
      </w:r>
      <w:r w:rsidR="000D7DBC" w:rsidRPr="0078026B">
        <w:t>an</w:t>
      </w:r>
      <w:r w:rsidR="003D640C" w:rsidRPr="0078026B">
        <w:t xml:space="preserve"> </w:t>
      </w:r>
      <w:r w:rsidR="537C0F4D" w:rsidRPr="0078026B">
        <w:t>agency</w:t>
      </w:r>
      <w:r w:rsidR="003D640C" w:rsidRPr="0078026B">
        <w:t xml:space="preserve"> </w:t>
      </w:r>
      <w:r w:rsidR="000D7DBC" w:rsidRPr="0078026B">
        <w:t>to</w:t>
      </w:r>
      <w:r w:rsidR="003D640C" w:rsidRPr="0078026B">
        <w:t xml:space="preserve"> </w:t>
      </w:r>
      <w:r w:rsidR="000D7DBC" w:rsidRPr="0078026B">
        <w:t>lead</w:t>
      </w:r>
      <w:r w:rsidR="003D640C" w:rsidRPr="0078026B">
        <w:t xml:space="preserve"> </w:t>
      </w:r>
      <w:r w:rsidR="000D7DBC" w:rsidRPr="0078026B">
        <w:t>cross-government</w:t>
      </w:r>
      <w:r w:rsidR="003D640C" w:rsidRPr="0078026B">
        <w:t xml:space="preserve"> </w:t>
      </w:r>
      <w:r w:rsidR="000D7DBC" w:rsidRPr="0078026B">
        <w:t>work</w:t>
      </w:r>
      <w:r w:rsidR="003D640C" w:rsidRPr="0078026B">
        <w:t xml:space="preserve"> </w:t>
      </w:r>
      <w:r w:rsidR="000D7DBC" w:rsidRPr="0078026B">
        <w:t>on</w:t>
      </w:r>
      <w:r w:rsidR="003D640C" w:rsidRPr="0078026B">
        <w:t xml:space="preserve"> </w:t>
      </w:r>
      <w:r w:rsidR="000D7DBC" w:rsidRPr="0078026B">
        <w:t>improving</w:t>
      </w:r>
      <w:r w:rsidR="003D640C" w:rsidRPr="0078026B">
        <w:t xml:space="preserve"> </w:t>
      </w:r>
      <w:r w:rsidR="000D7DBC" w:rsidRPr="0078026B">
        <w:t>outcomes</w:t>
      </w:r>
      <w:r w:rsidR="003D640C" w:rsidRPr="0078026B">
        <w:t xml:space="preserve"> </w:t>
      </w:r>
      <w:r w:rsidR="000D7DBC" w:rsidRPr="0078026B">
        <w:t>for</w:t>
      </w:r>
      <w:r w:rsidR="003D640C" w:rsidRPr="0078026B">
        <w:t xml:space="preserve"> </w:t>
      </w:r>
      <w:r w:rsidR="000D7DBC" w:rsidRPr="0078026B">
        <w:t>Rainbow</w:t>
      </w:r>
      <w:r w:rsidR="003D640C" w:rsidRPr="0078026B">
        <w:t xml:space="preserve"> </w:t>
      </w:r>
      <w:r w:rsidR="000D7DBC" w:rsidRPr="0078026B">
        <w:t>people,</w:t>
      </w:r>
      <w:r w:rsidR="003D640C" w:rsidRPr="0078026B">
        <w:t xml:space="preserve"> </w:t>
      </w:r>
      <w:r w:rsidR="000D7DBC" w:rsidRPr="0078026B">
        <w:t>including</w:t>
      </w:r>
      <w:r w:rsidR="003D640C" w:rsidRPr="0078026B">
        <w:t xml:space="preserve"> </w:t>
      </w:r>
      <w:r w:rsidR="000D7DBC" w:rsidRPr="0078026B">
        <w:t>the</w:t>
      </w:r>
      <w:r w:rsidR="003D640C" w:rsidRPr="0078026B">
        <w:t xml:space="preserve"> </w:t>
      </w:r>
      <w:r w:rsidR="000D7DBC" w:rsidRPr="0078026B">
        <w:t>elimination</w:t>
      </w:r>
      <w:r w:rsidR="003D640C" w:rsidRPr="0078026B">
        <w:t xml:space="preserve"> </w:t>
      </w:r>
      <w:r w:rsidR="000D7DBC" w:rsidRPr="0078026B">
        <w:t>of</w:t>
      </w:r>
      <w:r w:rsidR="003D640C" w:rsidRPr="0078026B">
        <w:t xml:space="preserve"> </w:t>
      </w:r>
      <w:r w:rsidR="000D7DBC" w:rsidRPr="0078026B">
        <w:t>conversion</w:t>
      </w:r>
      <w:r w:rsidR="003D640C" w:rsidRPr="0078026B">
        <w:t xml:space="preserve"> </w:t>
      </w:r>
      <w:r w:rsidR="000D7DBC" w:rsidRPr="0078026B">
        <w:t>practices</w:t>
      </w:r>
      <w:r w:rsidRPr="0078026B">
        <w:t>.</w:t>
      </w:r>
    </w:p>
    <w:p w14:paraId="702E326D" w14:textId="3372E977" w:rsidR="000D7DBC" w:rsidRPr="00DB7457" w:rsidRDefault="000D7DBC" w:rsidP="008712CA">
      <w:pPr>
        <w:pStyle w:val="ListParagraph"/>
        <w:numPr>
          <w:ilvl w:val="0"/>
          <w:numId w:val="114"/>
        </w:numPr>
        <w:rPr>
          <w:rFonts w:ascii="Calibri" w:hAnsi="Calibri" w:cs="Calibri"/>
          <w:b/>
          <w:bCs/>
          <w:color w:val="3F3F3F"/>
        </w:rPr>
      </w:pPr>
      <w:r w:rsidRPr="00DB7457">
        <w:rPr>
          <w:b/>
          <w:bCs/>
        </w:rPr>
        <w:t>Ensure</w:t>
      </w:r>
      <w:r w:rsidR="003D640C" w:rsidRPr="00DB7457">
        <w:rPr>
          <w:b/>
          <w:bCs/>
        </w:rPr>
        <w:t xml:space="preserve"> </w:t>
      </w:r>
      <w:r w:rsidRPr="00DB7457">
        <w:rPr>
          <w:b/>
          <w:bCs/>
        </w:rPr>
        <w:t>medical</w:t>
      </w:r>
      <w:r w:rsidR="003D640C" w:rsidRPr="00DB7457">
        <w:rPr>
          <w:b/>
          <w:bCs/>
        </w:rPr>
        <w:t xml:space="preserve"> </w:t>
      </w:r>
      <w:r w:rsidRPr="00DB7457">
        <w:rPr>
          <w:b/>
          <w:bCs/>
        </w:rPr>
        <w:t>healthcare</w:t>
      </w:r>
      <w:r w:rsidR="003D640C" w:rsidRPr="00DB7457">
        <w:rPr>
          <w:b/>
          <w:bCs/>
        </w:rPr>
        <w:t xml:space="preserve"> </w:t>
      </w:r>
      <w:r w:rsidRPr="00DB7457">
        <w:rPr>
          <w:b/>
          <w:bCs/>
        </w:rPr>
        <w:t>and</w:t>
      </w:r>
      <w:r w:rsidR="003D640C" w:rsidRPr="00DB7457">
        <w:rPr>
          <w:b/>
          <w:bCs/>
        </w:rPr>
        <w:t xml:space="preserve"> </w:t>
      </w:r>
      <w:r w:rsidRPr="00DB7457">
        <w:rPr>
          <w:b/>
          <w:bCs/>
        </w:rPr>
        <w:t>mental</w:t>
      </w:r>
      <w:r w:rsidR="003D640C" w:rsidRPr="00DB7457">
        <w:rPr>
          <w:b/>
          <w:bCs/>
        </w:rPr>
        <w:t xml:space="preserve"> </w:t>
      </w:r>
      <w:r w:rsidRPr="00DB7457">
        <w:rPr>
          <w:b/>
          <w:bCs/>
        </w:rPr>
        <w:t>health</w:t>
      </w:r>
      <w:r w:rsidR="003D640C" w:rsidRPr="00DB7457">
        <w:rPr>
          <w:b/>
          <w:bCs/>
        </w:rPr>
        <w:t xml:space="preserve"> </w:t>
      </w:r>
      <w:r w:rsidRPr="00DB7457">
        <w:rPr>
          <w:b/>
          <w:bCs/>
        </w:rPr>
        <w:t>and</w:t>
      </w:r>
      <w:r w:rsidR="003D640C" w:rsidRPr="00DB7457">
        <w:rPr>
          <w:b/>
          <w:bCs/>
        </w:rPr>
        <w:t xml:space="preserve"> </w:t>
      </w:r>
      <w:r w:rsidRPr="00DB7457">
        <w:rPr>
          <w:b/>
          <w:bCs/>
        </w:rPr>
        <w:t>wellbeing</w:t>
      </w:r>
      <w:r w:rsidR="003D640C" w:rsidRPr="00DB7457">
        <w:rPr>
          <w:b/>
          <w:bCs/>
        </w:rPr>
        <w:t xml:space="preserve"> </w:t>
      </w:r>
      <w:r w:rsidRPr="00DB7457">
        <w:rPr>
          <w:b/>
          <w:bCs/>
        </w:rPr>
        <w:t>support</w:t>
      </w:r>
      <w:r w:rsidR="003D640C" w:rsidRPr="00DB7457">
        <w:rPr>
          <w:b/>
          <w:bCs/>
        </w:rPr>
        <w:t xml:space="preserve"> </w:t>
      </w:r>
      <w:r w:rsidRPr="00DB7457">
        <w:rPr>
          <w:b/>
          <w:bCs/>
        </w:rPr>
        <w:t>for</w:t>
      </w:r>
      <w:r w:rsidR="003D640C" w:rsidRPr="00DB7457">
        <w:rPr>
          <w:b/>
          <w:bCs/>
        </w:rPr>
        <w:t xml:space="preserve"> </w:t>
      </w:r>
      <w:r w:rsidRPr="00DB7457">
        <w:rPr>
          <w:b/>
          <w:bCs/>
        </w:rPr>
        <w:t>conversion</w:t>
      </w:r>
      <w:r w:rsidR="003D640C" w:rsidRPr="00DB7457">
        <w:rPr>
          <w:b/>
          <w:bCs/>
        </w:rPr>
        <w:t xml:space="preserve"> </w:t>
      </w:r>
      <w:r w:rsidRPr="00DB7457">
        <w:rPr>
          <w:b/>
          <w:bCs/>
        </w:rPr>
        <w:t>practices</w:t>
      </w:r>
      <w:r w:rsidR="003D640C" w:rsidRPr="00DB7457">
        <w:rPr>
          <w:b/>
          <w:bCs/>
        </w:rPr>
        <w:t xml:space="preserve"> </w:t>
      </w:r>
      <w:r w:rsidRPr="00DB7457">
        <w:rPr>
          <w:b/>
          <w:bCs/>
        </w:rPr>
        <w:t>survivors</w:t>
      </w:r>
      <w:r w:rsidR="003D640C" w:rsidRPr="00DB7457">
        <w:rPr>
          <w:b/>
          <w:bCs/>
        </w:rPr>
        <w:t xml:space="preserve"> </w:t>
      </w:r>
      <w:r w:rsidR="008F46B2" w:rsidRPr="00DB7457">
        <w:rPr>
          <w:b/>
          <w:bCs/>
        </w:rPr>
        <w:t>are</w:t>
      </w:r>
      <w:r w:rsidR="003D640C" w:rsidRPr="00DB7457">
        <w:rPr>
          <w:b/>
          <w:bCs/>
        </w:rPr>
        <w:t xml:space="preserve"> </w:t>
      </w:r>
      <w:r w:rsidRPr="00DB7457">
        <w:rPr>
          <w:b/>
          <w:bCs/>
        </w:rPr>
        <w:t>accessible,</w:t>
      </w:r>
      <w:r w:rsidR="003D640C" w:rsidRPr="00DB7457">
        <w:rPr>
          <w:b/>
          <w:bCs/>
        </w:rPr>
        <w:t xml:space="preserve"> </w:t>
      </w:r>
      <w:r w:rsidRPr="00DB7457">
        <w:rPr>
          <w:b/>
          <w:bCs/>
        </w:rPr>
        <w:t>safe</w:t>
      </w:r>
      <w:r w:rsidR="00751CF1" w:rsidRPr="00DB7457">
        <w:rPr>
          <w:b/>
          <w:bCs/>
        </w:rPr>
        <w:t>,</w:t>
      </w:r>
      <w:r w:rsidR="003D640C" w:rsidRPr="00DB7457">
        <w:rPr>
          <w:b/>
          <w:bCs/>
        </w:rPr>
        <w:t xml:space="preserve"> </w:t>
      </w:r>
      <w:r w:rsidRPr="00DB7457">
        <w:rPr>
          <w:b/>
          <w:bCs/>
        </w:rPr>
        <w:t>and</w:t>
      </w:r>
      <w:r w:rsidR="003D640C" w:rsidRPr="00DB7457">
        <w:rPr>
          <w:b/>
          <w:bCs/>
        </w:rPr>
        <w:t xml:space="preserve"> </w:t>
      </w:r>
      <w:r w:rsidRPr="00DB7457">
        <w:rPr>
          <w:b/>
          <w:bCs/>
        </w:rPr>
        <w:t>culturally</w:t>
      </w:r>
      <w:r w:rsidR="003D640C" w:rsidRPr="00DB7457">
        <w:rPr>
          <w:b/>
          <w:bCs/>
        </w:rPr>
        <w:t xml:space="preserve"> </w:t>
      </w:r>
      <w:r w:rsidRPr="00DB7457">
        <w:rPr>
          <w:b/>
          <w:bCs/>
        </w:rPr>
        <w:t>competent</w:t>
      </w:r>
      <w:r w:rsidRPr="00DB7457">
        <w:rPr>
          <w:rFonts w:ascii="Calibri" w:hAnsi="Calibri" w:cs="Calibri"/>
          <w:b/>
          <w:bCs/>
          <w:color w:val="3F3F3F"/>
        </w:rPr>
        <w:t>.</w:t>
      </w:r>
    </w:p>
    <w:p w14:paraId="33BBD1E3" w14:textId="77777777" w:rsidR="00501068" w:rsidRPr="0078026B" w:rsidRDefault="00643247" w:rsidP="008712CA">
      <w:pPr>
        <w:pStyle w:val="ListParagraph"/>
        <w:numPr>
          <w:ilvl w:val="1"/>
          <w:numId w:val="114"/>
        </w:numPr>
        <w:ind w:left="794" w:hanging="397"/>
      </w:pPr>
      <w:r w:rsidRPr="0078026B">
        <w:t>F</w:t>
      </w:r>
      <w:r w:rsidR="000D7DBC" w:rsidRPr="0078026B">
        <w:t>und</w:t>
      </w:r>
      <w:r w:rsidR="003D640C" w:rsidRPr="0078026B">
        <w:t xml:space="preserve"> </w:t>
      </w:r>
      <w:r w:rsidR="000D7DBC" w:rsidRPr="0078026B">
        <w:t>services</w:t>
      </w:r>
      <w:r w:rsidR="003D640C" w:rsidRPr="0078026B">
        <w:t xml:space="preserve"> </w:t>
      </w:r>
      <w:r w:rsidR="00F00052" w:rsidRPr="0078026B">
        <w:t>to</w:t>
      </w:r>
      <w:r w:rsidR="003D640C" w:rsidRPr="0078026B">
        <w:t xml:space="preserve"> </w:t>
      </w:r>
      <w:r w:rsidR="00F00052" w:rsidRPr="0078026B">
        <w:t>provide</w:t>
      </w:r>
      <w:r w:rsidR="003D640C" w:rsidRPr="0078026B">
        <w:t xml:space="preserve"> </w:t>
      </w:r>
      <w:r w:rsidR="00F00052" w:rsidRPr="0078026B">
        <w:t>mental</w:t>
      </w:r>
      <w:r w:rsidR="003D640C" w:rsidRPr="0078026B">
        <w:t xml:space="preserve"> </w:t>
      </w:r>
      <w:r w:rsidR="00F00052" w:rsidRPr="0078026B">
        <w:t>health</w:t>
      </w:r>
      <w:r w:rsidR="003D640C" w:rsidRPr="0078026B">
        <w:t xml:space="preserve"> </w:t>
      </w:r>
      <w:r w:rsidR="00F00052" w:rsidRPr="0078026B">
        <w:t>support</w:t>
      </w:r>
      <w:r w:rsidR="003D640C" w:rsidRPr="0078026B">
        <w:t xml:space="preserve"> </w:t>
      </w:r>
      <w:r w:rsidR="00F00052" w:rsidRPr="0078026B">
        <w:t>and</w:t>
      </w:r>
      <w:r w:rsidR="003D640C" w:rsidRPr="0078026B">
        <w:t xml:space="preserve"> </w:t>
      </w:r>
      <w:r w:rsidR="00F00052" w:rsidRPr="0078026B">
        <w:t>consult</w:t>
      </w:r>
      <w:r w:rsidR="003D640C" w:rsidRPr="0078026B">
        <w:t xml:space="preserve"> </w:t>
      </w:r>
      <w:r w:rsidR="00F00052" w:rsidRPr="0078026B">
        <w:t>with</w:t>
      </w:r>
      <w:r w:rsidR="003D640C" w:rsidRPr="0078026B">
        <w:t xml:space="preserve"> </w:t>
      </w:r>
      <w:r w:rsidR="00F00052" w:rsidRPr="0078026B">
        <w:t>survivors</w:t>
      </w:r>
      <w:r w:rsidR="003D640C" w:rsidRPr="0078026B">
        <w:t xml:space="preserve"> </w:t>
      </w:r>
      <w:r w:rsidR="00F00052" w:rsidRPr="0078026B">
        <w:t>on</w:t>
      </w:r>
      <w:r w:rsidR="003D640C" w:rsidRPr="0078026B">
        <w:t xml:space="preserve"> </w:t>
      </w:r>
      <w:r w:rsidR="00F00052" w:rsidRPr="0078026B">
        <w:t>who</w:t>
      </w:r>
      <w:r w:rsidR="003D640C" w:rsidRPr="0078026B">
        <w:t xml:space="preserve"> </w:t>
      </w:r>
      <w:r w:rsidR="00F00052" w:rsidRPr="0078026B">
        <w:t>delivers</w:t>
      </w:r>
      <w:r w:rsidR="003D640C" w:rsidRPr="0078026B">
        <w:t xml:space="preserve"> </w:t>
      </w:r>
      <w:r w:rsidR="008A36C2" w:rsidRPr="0078026B">
        <w:t>it</w:t>
      </w:r>
      <w:r w:rsidR="003D640C" w:rsidRPr="0078026B">
        <w:t xml:space="preserve"> </w:t>
      </w:r>
      <w:r w:rsidR="00F00052" w:rsidRPr="0078026B">
        <w:t>and</w:t>
      </w:r>
      <w:r w:rsidR="003D640C" w:rsidRPr="0078026B">
        <w:t xml:space="preserve"> </w:t>
      </w:r>
      <w:r w:rsidR="00F00052" w:rsidRPr="0078026B">
        <w:t>what</w:t>
      </w:r>
      <w:r w:rsidR="003D640C" w:rsidRPr="0078026B">
        <w:t xml:space="preserve"> </w:t>
      </w:r>
      <w:r w:rsidR="00F00052" w:rsidRPr="0078026B">
        <w:t>it</w:t>
      </w:r>
      <w:r w:rsidR="003D640C" w:rsidRPr="0078026B">
        <w:t xml:space="preserve"> </w:t>
      </w:r>
      <w:r w:rsidR="00F00052" w:rsidRPr="0078026B">
        <w:t>will</w:t>
      </w:r>
      <w:r w:rsidR="003D640C" w:rsidRPr="0078026B">
        <w:t xml:space="preserve"> </w:t>
      </w:r>
      <w:r w:rsidR="00F00052" w:rsidRPr="0078026B">
        <w:t>include</w:t>
      </w:r>
      <w:r w:rsidR="00056139" w:rsidRPr="0078026B">
        <w:t>.</w:t>
      </w:r>
    </w:p>
    <w:p w14:paraId="4B47BCBD" w14:textId="3AFDC002" w:rsidR="000D7DBC" w:rsidRPr="0078026B" w:rsidRDefault="000D7DBC" w:rsidP="008712CA">
      <w:pPr>
        <w:pStyle w:val="ListParagraph"/>
        <w:numPr>
          <w:ilvl w:val="1"/>
          <w:numId w:val="114"/>
        </w:numPr>
        <w:ind w:left="794" w:hanging="397"/>
      </w:pPr>
      <w:r w:rsidRPr="0078026B">
        <w:t>Develop</w:t>
      </w:r>
      <w:r w:rsidR="003D640C" w:rsidRPr="0078026B">
        <w:t xml:space="preserve"> </w:t>
      </w:r>
      <w:r w:rsidRPr="0078026B">
        <w:t>safeguards</w:t>
      </w:r>
      <w:r w:rsidR="003D640C" w:rsidRPr="0078026B">
        <w:t xml:space="preserve"> </w:t>
      </w:r>
      <w:r w:rsidRPr="0078026B">
        <w:t>and</w:t>
      </w:r>
      <w:r w:rsidR="003D640C" w:rsidRPr="0078026B">
        <w:t xml:space="preserve"> </w:t>
      </w:r>
      <w:r w:rsidRPr="0078026B">
        <w:t>professional</w:t>
      </w:r>
      <w:r w:rsidR="003D640C" w:rsidRPr="0078026B">
        <w:t xml:space="preserve"> </w:t>
      </w:r>
      <w:r w:rsidRPr="0078026B">
        <w:t>guidelines</w:t>
      </w:r>
      <w:r w:rsidR="003D640C" w:rsidRPr="0078026B">
        <w:t xml:space="preserve"> </w:t>
      </w:r>
      <w:r w:rsidRPr="0078026B">
        <w:t>for</w:t>
      </w:r>
      <w:r w:rsidR="003D640C" w:rsidRPr="0078026B">
        <w:t xml:space="preserve"> </w:t>
      </w:r>
      <w:r w:rsidRPr="0078026B">
        <w:t>medical</w:t>
      </w:r>
      <w:r w:rsidR="003D640C" w:rsidRPr="0078026B">
        <w:t xml:space="preserve"> </w:t>
      </w:r>
      <w:r w:rsidRPr="0078026B">
        <w:t>health</w:t>
      </w:r>
      <w:r w:rsidR="00A536C3" w:rsidRPr="0078026B">
        <w:t>care</w:t>
      </w:r>
      <w:r w:rsidRPr="0078026B">
        <w:t>,</w:t>
      </w:r>
      <w:r w:rsidR="003D640C" w:rsidRPr="0078026B">
        <w:t xml:space="preserve"> </w:t>
      </w:r>
      <w:r w:rsidR="7A310ECC" w:rsidRPr="0078026B">
        <w:t>mental</w:t>
      </w:r>
      <w:r w:rsidR="003D640C" w:rsidRPr="0078026B">
        <w:t xml:space="preserve"> </w:t>
      </w:r>
      <w:r w:rsidRPr="0078026B">
        <w:t>health</w:t>
      </w:r>
      <w:r w:rsidR="00D603FD" w:rsidRPr="0078026B">
        <w:t>,</w:t>
      </w:r>
      <w:r w:rsidR="003D640C" w:rsidRPr="0078026B">
        <w:t xml:space="preserve"> </w:t>
      </w:r>
      <w:r w:rsidRPr="0078026B">
        <w:t>and</w:t>
      </w:r>
      <w:r w:rsidR="003D640C" w:rsidRPr="0078026B">
        <w:t xml:space="preserve"> </w:t>
      </w:r>
      <w:r w:rsidRPr="0078026B">
        <w:t>wellbeing</w:t>
      </w:r>
      <w:r w:rsidR="003D640C" w:rsidRPr="0078026B">
        <w:t xml:space="preserve"> </w:t>
      </w:r>
      <w:r w:rsidRPr="0078026B">
        <w:t>support</w:t>
      </w:r>
      <w:r w:rsidR="003D640C" w:rsidRPr="0078026B">
        <w:t xml:space="preserve"> </w:t>
      </w:r>
      <w:r w:rsidRPr="0078026B">
        <w:t>to</w:t>
      </w:r>
      <w:r w:rsidR="003D640C" w:rsidRPr="0078026B">
        <w:t xml:space="preserve"> </w:t>
      </w:r>
      <w:r w:rsidRPr="0078026B">
        <w:t>help</w:t>
      </w:r>
      <w:r w:rsidR="003D640C" w:rsidRPr="0078026B">
        <w:t xml:space="preserve"> </w:t>
      </w:r>
      <w:r w:rsidRPr="0078026B">
        <w:t>build</w:t>
      </w:r>
      <w:r w:rsidR="003D640C" w:rsidRPr="0078026B">
        <w:t xml:space="preserve"> </w:t>
      </w:r>
      <w:r w:rsidRPr="0078026B">
        <w:t>capability,</w:t>
      </w:r>
      <w:r w:rsidR="003D640C" w:rsidRPr="0078026B">
        <w:t xml:space="preserve"> </w:t>
      </w:r>
      <w:r w:rsidRPr="0078026B">
        <w:t>including</w:t>
      </w:r>
      <w:r w:rsidR="003D640C" w:rsidRPr="0078026B">
        <w:t xml:space="preserve"> </w:t>
      </w:r>
      <w:r w:rsidRPr="0078026B">
        <w:t>cultural</w:t>
      </w:r>
      <w:r w:rsidR="003D640C" w:rsidRPr="0078026B">
        <w:t xml:space="preserve"> </w:t>
      </w:r>
      <w:r w:rsidRPr="0078026B">
        <w:t>capability,</w:t>
      </w:r>
      <w:r w:rsidR="003D640C" w:rsidRPr="0078026B">
        <w:t xml:space="preserve"> </w:t>
      </w:r>
      <w:r w:rsidRPr="0078026B">
        <w:t>and</w:t>
      </w:r>
      <w:r w:rsidR="003D640C" w:rsidRPr="0078026B">
        <w:t xml:space="preserve"> </w:t>
      </w:r>
      <w:r w:rsidRPr="0078026B">
        <w:t>ensure</w:t>
      </w:r>
      <w:r w:rsidR="003D640C" w:rsidRPr="0078026B">
        <w:t xml:space="preserve"> </w:t>
      </w:r>
      <w:r w:rsidRPr="0078026B">
        <w:t>protection</w:t>
      </w:r>
      <w:r w:rsidR="003D640C" w:rsidRPr="0078026B">
        <w:t xml:space="preserve"> </w:t>
      </w:r>
      <w:r w:rsidRPr="0078026B">
        <w:t>for</w:t>
      </w:r>
      <w:r w:rsidR="003D640C" w:rsidRPr="0078026B">
        <w:t xml:space="preserve"> </w:t>
      </w:r>
      <w:r w:rsidRPr="0078026B">
        <w:t>survivors.</w:t>
      </w:r>
    </w:p>
    <w:p w14:paraId="20349139" w14:textId="30A31608" w:rsidR="00501068" w:rsidRPr="0078026B" w:rsidRDefault="000D7DBC" w:rsidP="008712CA">
      <w:pPr>
        <w:pStyle w:val="ListParagraph"/>
        <w:numPr>
          <w:ilvl w:val="1"/>
          <w:numId w:val="114"/>
        </w:numPr>
        <w:ind w:left="794" w:hanging="397"/>
        <w:rPr>
          <w:rFonts w:ascii="Calibri" w:hAnsi="Calibri" w:cs="Calibri"/>
          <w:color w:val="3F3F3F"/>
        </w:rPr>
      </w:pPr>
      <w:r w:rsidRPr="0078026B">
        <w:t>Establish</w:t>
      </w:r>
      <w:r w:rsidR="003D640C" w:rsidRPr="0078026B">
        <w:t xml:space="preserve"> </w:t>
      </w:r>
      <w:r w:rsidRPr="0078026B">
        <w:t>clear</w:t>
      </w:r>
      <w:r w:rsidR="003D640C" w:rsidRPr="0078026B">
        <w:t xml:space="preserve"> </w:t>
      </w:r>
      <w:r w:rsidRPr="0078026B">
        <w:t>organisational</w:t>
      </w:r>
      <w:r w:rsidR="003D640C" w:rsidRPr="0078026B">
        <w:t xml:space="preserve"> </w:t>
      </w:r>
      <w:r w:rsidRPr="0078026B">
        <w:t>policies</w:t>
      </w:r>
      <w:r w:rsidR="003D640C" w:rsidRPr="0078026B">
        <w:t xml:space="preserve"> </w:t>
      </w:r>
      <w:r w:rsidRPr="0078026B">
        <w:t>and</w:t>
      </w:r>
      <w:r w:rsidR="003D640C" w:rsidRPr="0078026B">
        <w:t xml:space="preserve"> </w:t>
      </w:r>
      <w:r w:rsidRPr="0078026B">
        <w:t>procedures</w:t>
      </w:r>
      <w:r w:rsidR="003D640C" w:rsidRPr="0078026B">
        <w:t xml:space="preserve"> </w:t>
      </w:r>
      <w:r w:rsidR="00FE16AC" w:rsidRPr="0078026B">
        <w:t>for</w:t>
      </w:r>
      <w:r w:rsidR="003D640C" w:rsidRPr="0078026B">
        <w:t xml:space="preserve"> </w:t>
      </w:r>
      <w:r w:rsidR="00FE16AC" w:rsidRPr="0078026B">
        <w:t>any</w:t>
      </w:r>
      <w:r w:rsidR="003D640C" w:rsidRPr="0078026B">
        <w:t xml:space="preserve"> </w:t>
      </w:r>
      <w:r w:rsidR="00FE16AC" w:rsidRPr="0078026B">
        <w:t>medical</w:t>
      </w:r>
      <w:r w:rsidR="003D640C" w:rsidRPr="0078026B">
        <w:t xml:space="preserve"> </w:t>
      </w:r>
      <w:r w:rsidR="00FE16AC" w:rsidRPr="0078026B">
        <w:t>or</w:t>
      </w:r>
      <w:r w:rsidR="003D640C" w:rsidRPr="0078026B">
        <w:t xml:space="preserve"> </w:t>
      </w:r>
      <w:r w:rsidR="00FE16AC" w:rsidRPr="0078026B">
        <w:t>mental</w:t>
      </w:r>
      <w:r w:rsidR="003D640C" w:rsidRPr="0078026B">
        <w:t xml:space="preserve"> </w:t>
      </w:r>
      <w:r w:rsidR="00FE16AC" w:rsidRPr="0078026B">
        <w:t>healthcare</w:t>
      </w:r>
      <w:r w:rsidR="003D640C" w:rsidRPr="0078026B">
        <w:t xml:space="preserve"> </w:t>
      </w:r>
      <w:r w:rsidR="00FE16AC" w:rsidRPr="0078026B">
        <w:t>agency</w:t>
      </w:r>
      <w:r w:rsidR="003D640C" w:rsidRPr="0078026B">
        <w:t xml:space="preserve"> </w:t>
      </w:r>
      <w:r w:rsidR="00FE16AC" w:rsidRPr="0078026B">
        <w:t>that</w:t>
      </w:r>
      <w:r w:rsidR="003D640C" w:rsidRPr="0078026B">
        <w:t xml:space="preserve"> </w:t>
      </w:r>
      <w:r w:rsidR="00FE16AC" w:rsidRPr="0078026B">
        <w:t>may</w:t>
      </w:r>
      <w:r w:rsidR="003D640C" w:rsidRPr="0078026B">
        <w:t xml:space="preserve"> </w:t>
      </w:r>
      <w:r w:rsidR="00FE16AC" w:rsidRPr="0078026B">
        <w:t>offer</w:t>
      </w:r>
      <w:r w:rsidR="003D640C" w:rsidRPr="0078026B">
        <w:t xml:space="preserve"> </w:t>
      </w:r>
      <w:r w:rsidR="00FE16AC" w:rsidRPr="0078026B">
        <w:t>support</w:t>
      </w:r>
      <w:r w:rsidR="003D640C" w:rsidRPr="0078026B">
        <w:t xml:space="preserve"> </w:t>
      </w:r>
      <w:r w:rsidR="00FE16AC" w:rsidRPr="0078026B">
        <w:t>to</w:t>
      </w:r>
      <w:r w:rsidR="003D640C" w:rsidRPr="0078026B">
        <w:t xml:space="preserve"> </w:t>
      </w:r>
      <w:r w:rsidR="00FE16AC" w:rsidRPr="0078026B">
        <w:t>survivors</w:t>
      </w:r>
      <w:r w:rsidR="003D640C" w:rsidRPr="0078026B">
        <w:t xml:space="preserve"> </w:t>
      </w:r>
      <w:r w:rsidRPr="0078026B">
        <w:t>to</w:t>
      </w:r>
      <w:r w:rsidR="003D640C" w:rsidRPr="0078026B">
        <w:t xml:space="preserve"> </w:t>
      </w:r>
      <w:r w:rsidRPr="0078026B">
        <w:t>deal</w:t>
      </w:r>
      <w:r w:rsidR="003D640C" w:rsidRPr="0078026B">
        <w:t xml:space="preserve"> </w:t>
      </w:r>
      <w:r w:rsidRPr="0078026B">
        <w:t>with</w:t>
      </w:r>
      <w:r w:rsidR="003D640C" w:rsidRPr="0078026B">
        <w:t xml:space="preserve"> </w:t>
      </w:r>
      <w:r w:rsidRPr="0078026B">
        <w:t>disclosures</w:t>
      </w:r>
      <w:r w:rsidR="003D640C" w:rsidRPr="0078026B">
        <w:t xml:space="preserve"> </w:t>
      </w:r>
      <w:r w:rsidRPr="0078026B">
        <w:t>or</w:t>
      </w:r>
      <w:r w:rsidR="003D640C" w:rsidRPr="0078026B">
        <w:t xml:space="preserve"> </w:t>
      </w:r>
      <w:r w:rsidRPr="0078026B">
        <w:t>instances</w:t>
      </w:r>
      <w:r w:rsidR="003D640C" w:rsidRPr="008712CA">
        <w:t xml:space="preserve"> </w:t>
      </w:r>
      <w:r w:rsidRPr="008712CA">
        <w:t>of</w:t>
      </w:r>
      <w:r w:rsidR="003D640C" w:rsidRPr="008712CA">
        <w:t xml:space="preserve"> </w:t>
      </w:r>
      <w:r w:rsidRPr="008712CA">
        <w:t>historic</w:t>
      </w:r>
      <w:r w:rsidR="00751CF1">
        <w:t>al</w:t>
      </w:r>
      <w:r w:rsidR="003D640C" w:rsidRPr="008712CA">
        <w:t xml:space="preserve"> </w:t>
      </w:r>
      <w:r w:rsidRPr="008712CA">
        <w:t>and</w:t>
      </w:r>
      <w:r w:rsidR="003D640C" w:rsidRPr="008712CA">
        <w:t xml:space="preserve"> </w:t>
      </w:r>
      <w:r w:rsidRPr="008712CA">
        <w:t>contemporary</w:t>
      </w:r>
      <w:r w:rsidR="003D640C" w:rsidRPr="0078026B">
        <w:rPr>
          <w:rFonts w:ascii="Calibri" w:hAnsi="Calibri" w:cs="Calibri"/>
          <w:color w:val="3F3F3F"/>
        </w:rPr>
        <w:t xml:space="preserve"> </w:t>
      </w:r>
      <w:r w:rsidRPr="0078026B">
        <w:rPr>
          <w:rFonts w:ascii="Calibri" w:hAnsi="Calibri" w:cs="Calibri"/>
          <w:color w:val="3F3F3F"/>
        </w:rPr>
        <w:t>conversion</w:t>
      </w:r>
      <w:r w:rsidR="003D640C" w:rsidRPr="0078026B">
        <w:rPr>
          <w:rFonts w:ascii="Calibri" w:hAnsi="Calibri" w:cs="Calibri"/>
          <w:color w:val="3F3F3F"/>
        </w:rPr>
        <w:t xml:space="preserve"> </w:t>
      </w:r>
      <w:r w:rsidRPr="0078026B">
        <w:rPr>
          <w:rFonts w:ascii="Calibri" w:hAnsi="Calibri" w:cs="Calibri"/>
          <w:color w:val="3F3F3F"/>
        </w:rPr>
        <w:t>practices.</w:t>
      </w:r>
    </w:p>
    <w:p w14:paraId="46223E1F" w14:textId="003F8742" w:rsidR="00482075" w:rsidRPr="00DB7457" w:rsidRDefault="000D7DBC" w:rsidP="008712CA">
      <w:pPr>
        <w:pStyle w:val="ListParagraph"/>
        <w:numPr>
          <w:ilvl w:val="0"/>
          <w:numId w:val="114"/>
        </w:numPr>
        <w:rPr>
          <w:rFonts w:ascii="Calibri" w:hAnsi="Calibri" w:cs="Calibri"/>
          <w:b/>
          <w:bCs/>
          <w:color w:val="3F3F3F"/>
        </w:rPr>
      </w:pPr>
      <w:r w:rsidRPr="00DB7457">
        <w:rPr>
          <w:b/>
          <w:bCs/>
        </w:rPr>
        <w:t>Explore</w:t>
      </w:r>
      <w:r w:rsidR="003D640C" w:rsidRPr="00DB7457">
        <w:rPr>
          <w:b/>
          <w:bCs/>
        </w:rPr>
        <w:t xml:space="preserve"> </w:t>
      </w:r>
      <w:r w:rsidRPr="00DB7457">
        <w:rPr>
          <w:b/>
          <w:bCs/>
        </w:rPr>
        <w:t>categorising</w:t>
      </w:r>
      <w:r w:rsidR="003D640C" w:rsidRPr="00DB7457">
        <w:rPr>
          <w:b/>
          <w:bCs/>
        </w:rPr>
        <w:t xml:space="preserve"> </w:t>
      </w:r>
      <w:r w:rsidRPr="00DB7457">
        <w:rPr>
          <w:b/>
          <w:bCs/>
        </w:rPr>
        <w:t>conversion</w:t>
      </w:r>
      <w:r w:rsidR="003D640C" w:rsidRPr="00DB7457">
        <w:rPr>
          <w:b/>
          <w:bCs/>
        </w:rPr>
        <w:t xml:space="preserve"> </w:t>
      </w:r>
      <w:r w:rsidRPr="00DB7457">
        <w:rPr>
          <w:b/>
          <w:bCs/>
        </w:rPr>
        <w:t>practices</w:t>
      </w:r>
      <w:r w:rsidR="003D640C" w:rsidRPr="00DB7457">
        <w:rPr>
          <w:b/>
          <w:bCs/>
        </w:rPr>
        <w:t xml:space="preserve"> </w:t>
      </w:r>
      <w:r w:rsidRPr="00DB7457">
        <w:rPr>
          <w:b/>
          <w:bCs/>
        </w:rPr>
        <w:t>as</w:t>
      </w:r>
      <w:r w:rsidR="003D640C" w:rsidRPr="00DB7457">
        <w:rPr>
          <w:b/>
          <w:bCs/>
        </w:rPr>
        <w:t xml:space="preserve"> </w:t>
      </w:r>
      <w:r w:rsidRPr="00DB7457">
        <w:rPr>
          <w:b/>
          <w:bCs/>
        </w:rPr>
        <w:t>a</w:t>
      </w:r>
      <w:r w:rsidR="003D640C" w:rsidRPr="00DB7457">
        <w:rPr>
          <w:b/>
          <w:bCs/>
        </w:rPr>
        <w:t xml:space="preserve"> </w:t>
      </w:r>
      <w:r w:rsidRPr="00DB7457">
        <w:rPr>
          <w:b/>
          <w:bCs/>
        </w:rPr>
        <w:t>form</w:t>
      </w:r>
      <w:r w:rsidR="003D640C" w:rsidRPr="00DB7457">
        <w:rPr>
          <w:b/>
          <w:bCs/>
        </w:rPr>
        <w:t xml:space="preserve"> </w:t>
      </w:r>
      <w:r w:rsidRPr="00DB7457">
        <w:rPr>
          <w:b/>
          <w:bCs/>
        </w:rPr>
        <w:t>of</w:t>
      </w:r>
      <w:r w:rsidR="003D640C" w:rsidRPr="00DB7457">
        <w:rPr>
          <w:b/>
          <w:bCs/>
        </w:rPr>
        <w:t xml:space="preserve"> </w:t>
      </w:r>
      <w:r w:rsidRPr="00DB7457">
        <w:rPr>
          <w:b/>
          <w:bCs/>
        </w:rPr>
        <w:t>family</w:t>
      </w:r>
      <w:r w:rsidR="003D640C" w:rsidRPr="00DB7457">
        <w:rPr>
          <w:b/>
          <w:bCs/>
        </w:rPr>
        <w:t xml:space="preserve"> </w:t>
      </w:r>
      <w:r w:rsidR="00FC1501" w:rsidRPr="00DB7457">
        <w:rPr>
          <w:b/>
          <w:bCs/>
        </w:rPr>
        <w:t>violence</w:t>
      </w:r>
      <w:r w:rsidR="003D640C" w:rsidRPr="00DB7457">
        <w:rPr>
          <w:b/>
          <w:bCs/>
        </w:rPr>
        <w:t xml:space="preserve"> </w:t>
      </w:r>
      <w:r w:rsidR="00AA513F" w:rsidRPr="00DB7457">
        <w:rPr>
          <w:b/>
          <w:bCs/>
        </w:rPr>
        <w:t>in</w:t>
      </w:r>
      <w:r w:rsidR="003D640C" w:rsidRPr="00DB7457">
        <w:rPr>
          <w:b/>
          <w:bCs/>
        </w:rPr>
        <w:t xml:space="preserve"> </w:t>
      </w:r>
      <w:r w:rsidR="00AA513F" w:rsidRPr="00DB7457">
        <w:rPr>
          <w:b/>
          <w:bCs/>
        </w:rPr>
        <w:t>cases</w:t>
      </w:r>
      <w:r w:rsidR="003D640C" w:rsidRPr="00DB7457">
        <w:rPr>
          <w:b/>
          <w:bCs/>
        </w:rPr>
        <w:t xml:space="preserve"> </w:t>
      </w:r>
      <w:r w:rsidRPr="00DB7457">
        <w:rPr>
          <w:b/>
          <w:bCs/>
        </w:rPr>
        <w:t>where</w:t>
      </w:r>
      <w:r w:rsidR="003D640C" w:rsidRPr="00DB7457">
        <w:rPr>
          <w:b/>
          <w:bCs/>
        </w:rPr>
        <w:t xml:space="preserve"> </w:t>
      </w:r>
      <w:r w:rsidRPr="00DB7457">
        <w:rPr>
          <w:b/>
          <w:bCs/>
        </w:rPr>
        <w:t>families</w:t>
      </w:r>
      <w:r w:rsidR="003D640C" w:rsidRPr="00DB7457">
        <w:rPr>
          <w:rFonts w:ascii="Calibri" w:hAnsi="Calibri" w:cs="Calibri"/>
          <w:b/>
          <w:bCs/>
          <w:color w:val="3F3F3F"/>
        </w:rPr>
        <w:t xml:space="preserve"> </w:t>
      </w:r>
      <w:r w:rsidRPr="00DB7457">
        <w:rPr>
          <w:rFonts w:ascii="Calibri" w:hAnsi="Calibri" w:cs="Calibri"/>
          <w:b/>
          <w:bCs/>
          <w:color w:val="3F3F3F"/>
        </w:rPr>
        <w:t>are</w:t>
      </w:r>
      <w:r w:rsidR="003D640C" w:rsidRPr="00DB7457">
        <w:rPr>
          <w:rFonts w:ascii="Calibri" w:hAnsi="Calibri" w:cs="Calibri"/>
          <w:b/>
          <w:bCs/>
          <w:color w:val="3F3F3F"/>
        </w:rPr>
        <w:t xml:space="preserve"> </w:t>
      </w:r>
      <w:r w:rsidR="00EE3F42" w:rsidRPr="00DB7457">
        <w:rPr>
          <w:rFonts w:ascii="Calibri" w:hAnsi="Calibri" w:cs="Calibri"/>
          <w:b/>
          <w:bCs/>
          <w:color w:val="3F3F3F"/>
        </w:rPr>
        <w:t>involved</w:t>
      </w:r>
      <w:r w:rsidR="003D640C" w:rsidRPr="00DB7457">
        <w:rPr>
          <w:rFonts w:ascii="Calibri" w:hAnsi="Calibri" w:cs="Calibri"/>
          <w:b/>
          <w:bCs/>
          <w:color w:val="3F3F3F"/>
        </w:rPr>
        <w:t xml:space="preserve"> </w:t>
      </w:r>
      <w:r w:rsidR="00EE3F42" w:rsidRPr="00DB7457">
        <w:rPr>
          <w:b/>
          <w:bCs/>
        </w:rPr>
        <w:t>in</w:t>
      </w:r>
      <w:r w:rsidR="003D640C" w:rsidRPr="00DB7457">
        <w:rPr>
          <w:rFonts w:ascii="Calibri" w:hAnsi="Calibri" w:cs="Calibri"/>
          <w:b/>
          <w:bCs/>
          <w:color w:val="3F3F3F"/>
        </w:rPr>
        <w:t xml:space="preserve"> </w:t>
      </w:r>
      <w:r w:rsidRPr="00DB7457">
        <w:rPr>
          <w:rFonts w:ascii="Calibri" w:hAnsi="Calibri" w:cs="Calibri"/>
          <w:b/>
          <w:bCs/>
          <w:color w:val="3F3F3F"/>
        </w:rPr>
        <w:t>these</w:t>
      </w:r>
      <w:r w:rsidR="003D640C" w:rsidRPr="00DB7457">
        <w:rPr>
          <w:rFonts w:ascii="Calibri" w:hAnsi="Calibri" w:cs="Calibri"/>
          <w:b/>
          <w:bCs/>
          <w:color w:val="3F3F3F"/>
        </w:rPr>
        <w:t xml:space="preserve"> </w:t>
      </w:r>
      <w:r w:rsidRPr="00DB7457">
        <w:rPr>
          <w:rFonts w:ascii="Calibri" w:hAnsi="Calibri" w:cs="Calibri"/>
          <w:b/>
          <w:bCs/>
          <w:color w:val="3F3F3F"/>
        </w:rPr>
        <w:t>practices.</w:t>
      </w:r>
    </w:p>
    <w:p w14:paraId="14507BFD" w14:textId="0991A760" w:rsidR="000D7DBC" w:rsidRPr="0078026B" w:rsidRDefault="000D7DBC" w:rsidP="008712CA">
      <w:pPr>
        <w:pStyle w:val="ListParagraph"/>
        <w:numPr>
          <w:ilvl w:val="1"/>
          <w:numId w:val="114"/>
        </w:numPr>
        <w:ind w:left="794" w:hanging="397"/>
      </w:pPr>
      <w:r w:rsidRPr="0078026B">
        <w:t>Work</w:t>
      </w:r>
      <w:r w:rsidR="003D640C" w:rsidRPr="0078026B">
        <w:t xml:space="preserve"> </w:t>
      </w:r>
      <w:r w:rsidRPr="0078026B">
        <w:t>with</w:t>
      </w:r>
      <w:r w:rsidR="003D640C" w:rsidRPr="0078026B">
        <w:t xml:space="preserve"> </w:t>
      </w:r>
      <w:r w:rsidRPr="0078026B">
        <w:t>survivors</w:t>
      </w:r>
      <w:r w:rsidR="003D640C" w:rsidRPr="0078026B">
        <w:t xml:space="preserve"> </w:t>
      </w:r>
      <w:r w:rsidRPr="0078026B">
        <w:t>and</w:t>
      </w:r>
      <w:r w:rsidR="003D640C" w:rsidRPr="0078026B">
        <w:t xml:space="preserve"> </w:t>
      </w:r>
      <w:r w:rsidRPr="0078026B">
        <w:t>experts</w:t>
      </w:r>
      <w:r w:rsidR="003D640C" w:rsidRPr="0078026B">
        <w:t xml:space="preserve"> </w:t>
      </w:r>
      <w:r w:rsidRPr="0078026B">
        <w:t>in</w:t>
      </w:r>
      <w:r w:rsidR="003D640C" w:rsidRPr="0078026B">
        <w:t xml:space="preserve"> </w:t>
      </w:r>
      <w:r w:rsidRPr="0078026B">
        <w:t>the</w:t>
      </w:r>
      <w:r w:rsidR="003D640C" w:rsidRPr="0078026B">
        <w:t xml:space="preserve"> </w:t>
      </w:r>
      <w:r w:rsidRPr="0078026B">
        <w:t>family</w:t>
      </w:r>
      <w:r w:rsidR="003D640C" w:rsidRPr="0078026B">
        <w:t xml:space="preserve"> </w:t>
      </w:r>
      <w:r w:rsidRPr="0078026B">
        <w:t>violence</w:t>
      </w:r>
      <w:r w:rsidR="003D640C" w:rsidRPr="0078026B">
        <w:t xml:space="preserve"> </w:t>
      </w:r>
      <w:r w:rsidRPr="0078026B">
        <w:t>sector</w:t>
      </w:r>
      <w:r w:rsidR="003D640C" w:rsidRPr="0078026B">
        <w:t xml:space="preserve"> </w:t>
      </w:r>
      <w:r w:rsidRPr="0078026B">
        <w:t>to</w:t>
      </w:r>
      <w:r w:rsidR="003D640C" w:rsidRPr="0078026B">
        <w:t xml:space="preserve"> </w:t>
      </w:r>
      <w:r w:rsidRPr="0078026B">
        <w:t>explore</w:t>
      </w:r>
      <w:r w:rsidR="003D640C" w:rsidRPr="0078026B">
        <w:t xml:space="preserve"> </w:t>
      </w:r>
      <w:r w:rsidR="00247784" w:rsidRPr="0078026B">
        <w:t>opportunities</w:t>
      </w:r>
      <w:r w:rsidR="003D640C" w:rsidRPr="0078026B">
        <w:t xml:space="preserve"> </w:t>
      </w:r>
      <w:r w:rsidR="00247784" w:rsidRPr="0078026B">
        <w:t>for</w:t>
      </w:r>
      <w:r w:rsidR="003D640C" w:rsidRPr="0078026B">
        <w:t xml:space="preserve"> </w:t>
      </w:r>
      <w:r w:rsidR="00247784" w:rsidRPr="0078026B">
        <w:t>alignment</w:t>
      </w:r>
      <w:r w:rsidR="003D640C" w:rsidRPr="0078026B">
        <w:t xml:space="preserve"> </w:t>
      </w:r>
      <w:r w:rsidR="00247784" w:rsidRPr="0078026B">
        <w:t>and</w:t>
      </w:r>
      <w:r w:rsidR="003D640C" w:rsidRPr="0078026B">
        <w:t xml:space="preserve"> </w:t>
      </w:r>
      <w:r w:rsidR="00247784" w:rsidRPr="0078026B">
        <w:t>learning</w:t>
      </w:r>
      <w:r w:rsidR="003D640C" w:rsidRPr="0078026B">
        <w:t xml:space="preserve"> </w:t>
      </w:r>
      <w:r w:rsidR="00247784" w:rsidRPr="0078026B">
        <w:t>between</w:t>
      </w:r>
      <w:r w:rsidR="003D640C" w:rsidRPr="0078026B">
        <w:t xml:space="preserve"> </w:t>
      </w:r>
      <w:r w:rsidR="00FC1501" w:rsidRPr="0078026B">
        <w:t>the</w:t>
      </w:r>
      <w:r w:rsidR="003D640C" w:rsidRPr="0078026B">
        <w:t xml:space="preserve"> </w:t>
      </w:r>
      <w:r w:rsidR="00FC1501" w:rsidRPr="0078026B">
        <w:t>responses</w:t>
      </w:r>
      <w:r w:rsidR="003D640C" w:rsidRPr="0078026B">
        <w:t xml:space="preserve"> </w:t>
      </w:r>
      <w:r w:rsidR="00BD0875" w:rsidRPr="0078026B">
        <w:t>to</w:t>
      </w:r>
      <w:r w:rsidR="003D640C" w:rsidRPr="0078026B">
        <w:t xml:space="preserve"> </w:t>
      </w:r>
      <w:r w:rsidR="00247784" w:rsidRPr="0078026B">
        <w:t>conversion</w:t>
      </w:r>
      <w:r w:rsidR="003D640C" w:rsidRPr="0078026B">
        <w:t xml:space="preserve"> </w:t>
      </w:r>
      <w:r w:rsidR="00247784" w:rsidRPr="0078026B">
        <w:t>practices</w:t>
      </w:r>
      <w:r w:rsidR="003D640C" w:rsidRPr="0078026B">
        <w:t xml:space="preserve"> </w:t>
      </w:r>
      <w:r w:rsidR="00247784" w:rsidRPr="0078026B">
        <w:t>and</w:t>
      </w:r>
      <w:r w:rsidR="003D640C" w:rsidRPr="0078026B">
        <w:t xml:space="preserve"> </w:t>
      </w:r>
      <w:r w:rsidR="00FC1501" w:rsidRPr="0078026B">
        <w:t>to</w:t>
      </w:r>
      <w:r w:rsidR="003D640C" w:rsidRPr="0078026B">
        <w:t xml:space="preserve"> </w:t>
      </w:r>
      <w:r w:rsidRPr="0078026B">
        <w:t>family</w:t>
      </w:r>
      <w:r w:rsidR="003D640C" w:rsidRPr="0078026B">
        <w:t xml:space="preserve"> </w:t>
      </w:r>
      <w:r w:rsidRPr="0078026B">
        <w:t>violence</w:t>
      </w:r>
      <w:r w:rsidR="003D1E22" w:rsidRPr="0078026B">
        <w:t>,</w:t>
      </w:r>
      <w:r w:rsidR="003D640C" w:rsidRPr="0078026B">
        <w:t xml:space="preserve"> </w:t>
      </w:r>
      <w:r w:rsidR="003D1E22" w:rsidRPr="0078026B">
        <w:t>including</w:t>
      </w:r>
      <w:r w:rsidR="003D640C" w:rsidRPr="0078026B">
        <w:t xml:space="preserve"> </w:t>
      </w:r>
      <w:r w:rsidR="003D1E22" w:rsidRPr="0078026B">
        <w:t>in</w:t>
      </w:r>
      <w:r w:rsidR="003D640C" w:rsidRPr="0078026B">
        <w:t xml:space="preserve"> </w:t>
      </w:r>
      <w:r w:rsidR="003D1E22" w:rsidRPr="0078026B">
        <w:t>legislative</w:t>
      </w:r>
      <w:r w:rsidR="003D640C" w:rsidRPr="0078026B">
        <w:t xml:space="preserve"> </w:t>
      </w:r>
      <w:r w:rsidR="003D1E22" w:rsidRPr="0078026B">
        <w:t>responses</w:t>
      </w:r>
      <w:r w:rsidRPr="0078026B">
        <w:t>.</w:t>
      </w:r>
      <w:r w:rsidR="003D640C" w:rsidRPr="0078026B">
        <w:t xml:space="preserve"> </w:t>
      </w:r>
    </w:p>
    <w:p w14:paraId="6060A97C" w14:textId="77777777" w:rsidR="00501068" w:rsidRPr="0078026B" w:rsidRDefault="000D7DBC" w:rsidP="008712CA">
      <w:pPr>
        <w:pStyle w:val="ListParagraph"/>
        <w:numPr>
          <w:ilvl w:val="1"/>
          <w:numId w:val="114"/>
        </w:numPr>
        <w:ind w:left="794" w:hanging="397"/>
        <w:rPr>
          <w:rFonts w:ascii="Calibri" w:hAnsi="Calibri" w:cs="Calibri"/>
          <w:color w:val="3F3F3F"/>
        </w:rPr>
      </w:pPr>
      <w:r w:rsidRPr="0078026B">
        <w:t>Support</w:t>
      </w:r>
      <w:r w:rsidR="003D640C" w:rsidRPr="0078026B">
        <w:t xml:space="preserve"> </w:t>
      </w:r>
      <w:r w:rsidRPr="0078026B">
        <w:t>families</w:t>
      </w:r>
      <w:r w:rsidR="003D640C" w:rsidRPr="0078026B">
        <w:t xml:space="preserve"> </w:t>
      </w:r>
      <w:r w:rsidRPr="0078026B">
        <w:t>to</w:t>
      </w:r>
      <w:r w:rsidR="003D640C" w:rsidRPr="0078026B">
        <w:t xml:space="preserve"> </w:t>
      </w:r>
      <w:r w:rsidRPr="0078026B">
        <w:t>facilitate</w:t>
      </w:r>
      <w:r w:rsidR="003D640C" w:rsidRPr="0078026B">
        <w:t xml:space="preserve"> </w:t>
      </w:r>
      <w:r w:rsidRPr="0078026B">
        <w:t>safe,</w:t>
      </w:r>
      <w:r w:rsidR="003D640C" w:rsidRPr="0078026B">
        <w:t xml:space="preserve"> </w:t>
      </w:r>
      <w:r w:rsidRPr="0078026B">
        <w:t>respectful</w:t>
      </w:r>
      <w:r w:rsidR="00C3331F" w:rsidRPr="0078026B">
        <w:t>,</w:t>
      </w:r>
      <w:r w:rsidR="003D640C" w:rsidRPr="0078026B">
        <w:t xml:space="preserve"> </w:t>
      </w:r>
      <w:r w:rsidRPr="0078026B">
        <w:t>and</w:t>
      </w:r>
      <w:r w:rsidR="003D640C" w:rsidRPr="0078026B">
        <w:t xml:space="preserve"> </w:t>
      </w:r>
      <w:r w:rsidRPr="0078026B">
        <w:t>affirming</w:t>
      </w:r>
      <w:r w:rsidR="003D640C" w:rsidRPr="0078026B">
        <w:t xml:space="preserve"> </w:t>
      </w:r>
      <w:r w:rsidRPr="0078026B">
        <w:t>conversations</w:t>
      </w:r>
      <w:r w:rsidR="003D640C" w:rsidRPr="0078026B">
        <w:t xml:space="preserve"> </w:t>
      </w:r>
      <w:r w:rsidRPr="0078026B">
        <w:t>about</w:t>
      </w:r>
      <w:r w:rsidR="003D640C" w:rsidRPr="0078026B">
        <w:t xml:space="preserve"> </w:t>
      </w:r>
      <w:r w:rsidRPr="0078026B">
        <w:t>sexuality</w:t>
      </w:r>
      <w:r w:rsidR="003D640C" w:rsidRPr="008712CA">
        <w:t xml:space="preserve"> </w:t>
      </w:r>
      <w:r w:rsidRPr="008712CA">
        <w:t>and</w:t>
      </w:r>
      <w:r w:rsidR="003D640C" w:rsidRPr="008712CA">
        <w:t xml:space="preserve"> </w:t>
      </w:r>
      <w:r w:rsidRPr="008712CA">
        <w:t>gende</w:t>
      </w:r>
      <w:r w:rsidRPr="0078026B">
        <w:rPr>
          <w:rFonts w:ascii="Calibri" w:hAnsi="Calibri" w:cs="Calibri"/>
          <w:color w:val="3F3F3F"/>
        </w:rPr>
        <w:t>r</w:t>
      </w:r>
      <w:r w:rsidR="003D640C" w:rsidRPr="0078026B">
        <w:rPr>
          <w:rFonts w:ascii="Calibri" w:hAnsi="Calibri" w:cs="Calibri"/>
          <w:color w:val="3F3F3F"/>
        </w:rPr>
        <w:t xml:space="preserve"> </w:t>
      </w:r>
      <w:r w:rsidRPr="0078026B">
        <w:rPr>
          <w:rFonts w:ascii="Calibri" w:hAnsi="Calibri" w:cs="Calibri"/>
          <w:color w:val="3F3F3F"/>
        </w:rPr>
        <w:t>with</w:t>
      </w:r>
      <w:r w:rsidR="003D640C" w:rsidRPr="0078026B">
        <w:rPr>
          <w:rFonts w:ascii="Calibri" w:hAnsi="Calibri" w:cs="Calibri"/>
          <w:color w:val="3F3F3F"/>
        </w:rPr>
        <w:t xml:space="preserve"> </w:t>
      </w:r>
      <w:r w:rsidRPr="0078026B">
        <w:rPr>
          <w:rFonts w:ascii="Calibri" w:hAnsi="Calibri" w:cs="Calibri"/>
          <w:color w:val="3F3F3F"/>
        </w:rPr>
        <w:t>their</w:t>
      </w:r>
      <w:r w:rsidR="003D640C" w:rsidRPr="0078026B">
        <w:rPr>
          <w:rFonts w:ascii="Calibri" w:hAnsi="Calibri" w:cs="Calibri"/>
          <w:color w:val="3F3F3F"/>
        </w:rPr>
        <w:t xml:space="preserve"> </w:t>
      </w:r>
      <w:r w:rsidRPr="0078026B">
        <w:rPr>
          <w:rFonts w:ascii="Calibri" w:hAnsi="Calibri" w:cs="Calibri"/>
          <w:color w:val="3F3F3F"/>
        </w:rPr>
        <w:t>Rainbow</w:t>
      </w:r>
      <w:r w:rsidR="003D640C" w:rsidRPr="0078026B">
        <w:rPr>
          <w:rFonts w:ascii="Calibri" w:hAnsi="Calibri" w:cs="Calibri"/>
          <w:color w:val="3F3F3F"/>
        </w:rPr>
        <w:t xml:space="preserve"> </w:t>
      </w:r>
      <w:r w:rsidRPr="0078026B">
        <w:rPr>
          <w:rFonts w:ascii="Calibri" w:hAnsi="Calibri" w:cs="Calibri"/>
          <w:color w:val="3F3F3F"/>
        </w:rPr>
        <w:t>family</w:t>
      </w:r>
      <w:r w:rsidR="003D640C" w:rsidRPr="0078026B">
        <w:rPr>
          <w:rFonts w:ascii="Calibri" w:hAnsi="Calibri" w:cs="Calibri"/>
          <w:color w:val="3F3F3F"/>
        </w:rPr>
        <w:t xml:space="preserve"> </w:t>
      </w:r>
      <w:r w:rsidRPr="0078026B">
        <w:rPr>
          <w:rFonts w:ascii="Calibri" w:hAnsi="Calibri" w:cs="Calibri"/>
          <w:color w:val="3F3F3F"/>
        </w:rPr>
        <w:t>members.</w:t>
      </w:r>
    </w:p>
    <w:p w14:paraId="425975CD" w14:textId="1BB3EB90" w:rsidR="00907EED" w:rsidRPr="00DB7457" w:rsidRDefault="000B226A" w:rsidP="008712CA">
      <w:pPr>
        <w:pStyle w:val="ListParagraph"/>
        <w:numPr>
          <w:ilvl w:val="0"/>
          <w:numId w:val="114"/>
        </w:numPr>
        <w:rPr>
          <w:rFonts w:ascii="Calibri" w:hAnsi="Calibri" w:cs="Calibri"/>
          <w:b/>
          <w:bCs/>
          <w:color w:val="3F3F3F"/>
        </w:rPr>
      </w:pPr>
      <w:r w:rsidRPr="00DB7457">
        <w:rPr>
          <w:rFonts w:ascii="Calibri" w:hAnsi="Calibri" w:cs="Calibri"/>
          <w:b/>
          <w:bCs/>
          <w:color w:val="3F3F3F"/>
        </w:rPr>
        <w:t>Adopt</w:t>
      </w:r>
      <w:r w:rsidR="003D640C" w:rsidRPr="00DB7457">
        <w:rPr>
          <w:rFonts w:ascii="Calibri" w:hAnsi="Calibri" w:cs="Calibri"/>
          <w:b/>
          <w:bCs/>
          <w:color w:val="3F3F3F"/>
        </w:rPr>
        <w:t xml:space="preserve"> </w:t>
      </w:r>
      <w:r w:rsidRPr="00DB7457">
        <w:rPr>
          <w:rFonts w:ascii="Calibri" w:hAnsi="Calibri" w:cs="Calibri"/>
          <w:b/>
          <w:bCs/>
          <w:color w:val="3F3F3F"/>
        </w:rPr>
        <w:t>an</w:t>
      </w:r>
      <w:r w:rsidR="003D640C" w:rsidRPr="00DB7457">
        <w:rPr>
          <w:rFonts w:ascii="Calibri" w:hAnsi="Calibri" w:cs="Calibri"/>
          <w:b/>
          <w:bCs/>
          <w:color w:val="3F3F3F"/>
        </w:rPr>
        <w:t xml:space="preserve"> </w:t>
      </w:r>
      <w:r w:rsidR="00907EED" w:rsidRPr="00DB7457">
        <w:rPr>
          <w:rFonts w:ascii="Calibri" w:hAnsi="Calibri" w:cs="Calibri"/>
          <w:b/>
          <w:bCs/>
          <w:color w:val="3F3F3F"/>
        </w:rPr>
        <w:t>evidence</w:t>
      </w:r>
      <w:r w:rsidR="00650562" w:rsidRPr="00DB7457">
        <w:rPr>
          <w:rFonts w:ascii="Calibri" w:hAnsi="Calibri" w:cs="Calibri"/>
          <w:b/>
          <w:bCs/>
          <w:color w:val="3F3F3F"/>
        </w:rPr>
        <w:t>-</w:t>
      </w:r>
      <w:r w:rsidR="00907EED" w:rsidRPr="00DB7457">
        <w:rPr>
          <w:rFonts w:ascii="Calibri" w:hAnsi="Calibri" w:cs="Calibri"/>
          <w:b/>
          <w:bCs/>
          <w:color w:val="3F3F3F"/>
        </w:rPr>
        <w:t>base</w:t>
      </w:r>
      <w:r w:rsidRPr="00DB7457">
        <w:rPr>
          <w:rFonts w:ascii="Calibri" w:hAnsi="Calibri" w:cs="Calibri"/>
          <w:b/>
          <w:bCs/>
          <w:color w:val="3F3F3F"/>
        </w:rPr>
        <w:t>d</w:t>
      </w:r>
      <w:r w:rsidR="003D640C" w:rsidRPr="00DB7457">
        <w:rPr>
          <w:rFonts w:ascii="Calibri" w:hAnsi="Calibri" w:cs="Calibri"/>
          <w:b/>
          <w:bCs/>
          <w:color w:val="3F3F3F"/>
        </w:rPr>
        <w:t xml:space="preserve"> </w:t>
      </w:r>
      <w:r w:rsidR="00FA3FE8" w:rsidRPr="00DB7457">
        <w:rPr>
          <w:rFonts w:ascii="Calibri" w:hAnsi="Calibri" w:cs="Calibri"/>
          <w:b/>
          <w:bCs/>
          <w:color w:val="3F3F3F"/>
        </w:rPr>
        <w:t>approach</w:t>
      </w:r>
      <w:r w:rsidR="003D640C" w:rsidRPr="00DB7457">
        <w:rPr>
          <w:rFonts w:ascii="Calibri" w:hAnsi="Calibri" w:cs="Calibri"/>
          <w:b/>
          <w:bCs/>
          <w:color w:val="3F3F3F"/>
        </w:rPr>
        <w:t xml:space="preserve"> </w:t>
      </w:r>
      <w:r w:rsidR="00907EED" w:rsidRPr="00DB7457">
        <w:rPr>
          <w:rFonts w:ascii="Calibri" w:hAnsi="Calibri" w:cs="Calibri"/>
          <w:b/>
          <w:bCs/>
          <w:color w:val="3F3F3F"/>
        </w:rPr>
        <w:t>to</w:t>
      </w:r>
      <w:r w:rsidR="003D640C" w:rsidRPr="00DB7457">
        <w:rPr>
          <w:rFonts w:ascii="Calibri" w:hAnsi="Calibri" w:cs="Calibri"/>
          <w:b/>
          <w:bCs/>
          <w:color w:val="3F3F3F"/>
        </w:rPr>
        <w:t xml:space="preserve"> </w:t>
      </w:r>
      <w:r w:rsidR="00907EED" w:rsidRPr="00DB7457">
        <w:rPr>
          <w:rFonts w:ascii="Calibri" w:hAnsi="Calibri" w:cs="Calibri"/>
          <w:b/>
          <w:bCs/>
          <w:color w:val="3F3F3F"/>
        </w:rPr>
        <w:t>address</w:t>
      </w:r>
      <w:r w:rsidR="00B306C9" w:rsidRPr="00DB7457">
        <w:rPr>
          <w:rFonts w:ascii="Calibri" w:hAnsi="Calibri" w:cs="Calibri"/>
          <w:b/>
          <w:bCs/>
          <w:color w:val="3F3F3F"/>
        </w:rPr>
        <w:t>ing</w:t>
      </w:r>
      <w:r w:rsidR="003D640C" w:rsidRPr="00DB7457">
        <w:rPr>
          <w:rFonts w:ascii="Calibri" w:hAnsi="Calibri" w:cs="Calibri"/>
          <w:b/>
          <w:bCs/>
          <w:color w:val="3F3F3F"/>
        </w:rPr>
        <w:t xml:space="preserve"> </w:t>
      </w:r>
      <w:r w:rsidR="00907EED" w:rsidRPr="00DB7457">
        <w:rPr>
          <w:rFonts w:ascii="Calibri" w:hAnsi="Calibri" w:cs="Calibri"/>
          <w:b/>
          <w:bCs/>
          <w:color w:val="3F3F3F"/>
        </w:rPr>
        <w:t>the</w:t>
      </w:r>
      <w:r w:rsidR="003D640C" w:rsidRPr="00DB7457">
        <w:rPr>
          <w:rFonts w:ascii="Calibri" w:hAnsi="Calibri" w:cs="Calibri"/>
          <w:b/>
          <w:bCs/>
          <w:color w:val="3F3F3F"/>
        </w:rPr>
        <w:t xml:space="preserve"> </w:t>
      </w:r>
      <w:r w:rsidR="00907EED" w:rsidRPr="00DB7457">
        <w:rPr>
          <w:rFonts w:ascii="Calibri" w:hAnsi="Calibri" w:cs="Calibri"/>
          <w:b/>
          <w:bCs/>
          <w:color w:val="3F3F3F"/>
        </w:rPr>
        <w:t>ideologies</w:t>
      </w:r>
      <w:r w:rsidR="003D640C" w:rsidRPr="00DB7457">
        <w:rPr>
          <w:rFonts w:ascii="Calibri" w:hAnsi="Calibri" w:cs="Calibri"/>
          <w:b/>
          <w:bCs/>
          <w:color w:val="3F3F3F"/>
        </w:rPr>
        <w:t xml:space="preserve"> </w:t>
      </w:r>
      <w:r w:rsidR="00907EED" w:rsidRPr="00DB7457">
        <w:rPr>
          <w:rFonts w:ascii="Calibri" w:hAnsi="Calibri" w:cs="Calibri"/>
          <w:b/>
          <w:bCs/>
          <w:color w:val="3F3F3F"/>
        </w:rPr>
        <w:t>that</w:t>
      </w:r>
      <w:r w:rsidR="003D640C" w:rsidRPr="00DB7457">
        <w:rPr>
          <w:rFonts w:ascii="Calibri" w:hAnsi="Calibri" w:cs="Calibri"/>
          <w:b/>
          <w:bCs/>
          <w:color w:val="3F3F3F"/>
        </w:rPr>
        <w:t xml:space="preserve"> </w:t>
      </w:r>
      <w:r w:rsidR="00907EED" w:rsidRPr="00DB7457">
        <w:rPr>
          <w:rFonts w:ascii="Calibri" w:hAnsi="Calibri" w:cs="Calibri"/>
          <w:b/>
          <w:bCs/>
          <w:color w:val="3F3F3F"/>
        </w:rPr>
        <w:t>inform</w:t>
      </w:r>
      <w:r w:rsidR="003D640C" w:rsidRPr="00DB7457">
        <w:rPr>
          <w:rFonts w:ascii="Calibri" w:hAnsi="Calibri" w:cs="Calibri"/>
          <w:b/>
          <w:bCs/>
          <w:color w:val="3F3F3F"/>
        </w:rPr>
        <w:t xml:space="preserve"> </w:t>
      </w:r>
      <w:r w:rsidR="00907EED" w:rsidRPr="00DB7457">
        <w:rPr>
          <w:rFonts w:ascii="Calibri" w:hAnsi="Calibri" w:cs="Calibri"/>
          <w:b/>
          <w:bCs/>
          <w:color w:val="3F3F3F"/>
        </w:rPr>
        <w:t>conversion</w:t>
      </w:r>
      <w:r w:rsidR="003D640C" w:rsidRPr="00DB7457">
        <w:rPr>
          <w:rFonts w:ascii="Calibri" w:hAnsi="Calibri" w:cs="Calibri"/>
          <w:b/>
          <w:bCs/>
          <w:color w:val="3F3F3F"/>
        </w:rPr>
        <w:t xml:space="preserve"> </w:t>
      </w:r>
      <w:r w:rsidR="00907EED" w:rsidRPr="00DB7457">
        <w:rPr>
          <w:b/>
          <w:bCs/>
        </w:rPr>
        <w:t>practices</w:t>
      </w:r>
      <w:r w:rsidR="00907EED" w:rsidRPr="00DB7457">
        <w:rPr>
          <w:rFonts w:ascii="Calibri" w:hAnsi="Calibri" w:cs="Calibri"/>
          <w:b/>
          <w:bCs/>
          <w:color w:val="3F3F3F"/>
        </w:rPr>
        <w:t>.</w:t>
      </w:r>
      <w:r w:rsidR="003D640C" w:rsidRPr="00DB7457">
        <w:rPr>
          <w:rFonts w:ascii="Calibri" w:hAnsi="Calibri" w:cs="Calibri"/>
          <w:b/>
          <w:bCs/>
          <w:color w:val="3F3F3F"/>
        </w:rPr>
        <w:t xml:space="preserve"> </w:t>
      </w:r>
    </w:p>
    <w:p w14:paraId="7D091E53" w14:textId="52C49327" w:rsidR="00907EED" w:rsidRPr="0078026B" w:rsidRDefault="00907EED" w:rsidP="008712CA">
      <w:pPr>
        <w:pStyle w:val="ListParagraph"/>
        <w:numPr>
          <w:ilvl w:val="1"/>
          <w:numId w:val="114"/>
        </w:numPr>
        <w:ind w:left="794" w:hanging="397"/>
      </w:pPr>
      <w:r w:rsidRPr="0078026B">
        <w:t>Fund</w:t>
      </w:r>
      <w:r w:rsidR="003D640C" w:rsidRPr="0078026B">
        <w:t xml:space="preserve"> </w:t>
      </w:r>
      <w:r w:rsidRPr="0078026B">
        <w:t>research</w:t>
      </w:r>
      <w:r w:rsidR="003D640C" w:rsidRPr="0078026B">
        <w:t xml:space="preserve"> </w:t>
      </w:r>
      <w:r w:rsidRPr="0078026B">
        <w:t>to</w:t>
      </w:r>
      <w:r w:rsidR="003D640C" w:rsidRPr="0078026B">
        <w:t xml:space="preserve"> </w:t>
      </w:r>
      <w:r w:rsidRPr="0078026B">
        <w:t>better</w:t>
      </w:r>
      <w:r w:rsidR="003D640C" w:rsidRPr="0078026B">
        <w:t xml:space="preserve"> </w:t>
      </w:r>
      <w:r w:rsidRPr="0078026B">
        <w:t>understand</w:t>
      </w:r>
      <w:r w:rsidR="003D640C" w:rsidRPr="0078026B">
        <w:t xml:space="preserve"> </w:t>
      </w:r>
      <w:r w:rsidRPr="0078026B">
        <w:t>conversion</w:t>
      </w:r>
      <w:r w:rsidR="003D640C" w:rsidRPr="0078026B">
        <w:t xml:space="preserve"> </w:t>
      </w:r>
      <w:r w:rsidRPr="0078026B">
        <w:t>practices</w:t>
      </w:r>
      <w:r w:rsidR="003D640C" w:rsidRPr="0078026B">
        <w:t xml:space="preserve"> </w:t>
      </w:r>
      <w:r w:rsidRPr="0078026B">
        <w:t>in</w:t>
      </w:r>
      <w:r w:rsidR="003D640C" w:rsidRPr="0078026B">
        <w:t xml:space="preserve"> </w:t>
      </w:r>
      <w:r w:rsidRPr="0078026B">
        <w:t>Aotearoa</w:t>
      </w:r>
      <w:r w:rsidR="003D640C" w:rsidRPr="0078026B">
        <w:t xml:space="preserve"> </w:t>
      </w:r>
      <w:r w:rsidRPr="0078026B">
        <w:t>New</w:t>
      </w:r>
      <w:r w:rsidR="003D640C" w:rsidRPr="0078026B">
        <w:t xml:space="preserve"> </w:t>
      </w:r>
      <w:r w:rsidRPr="0078026B">
        <w:t>Zealand,</w:t>
      </w:r>
      <w:r w:rsidR="003D640C" w:rsidRPr="0078026B">
        <w:t xml:space="preserve"> </w:t>
      </w:r>
      <w:r w:rsidRPr="0078026B">
        <w:t>particularly</w:t>
      </w:r>
      <w:r w:rsidR="003D640C" w:rsidRPr="0078026B">
        <w:t xml:space="preserve"> </w:t>
      </w:r>
      <w:r w:rsidRPr="0078026B">
        <w:t>within</w:t>
      </w:r>
      <w:r w:rsidR="003D640C" w:rsidRPr="0078026B">
        <w:t xml:space="preserve"> </w:t>
      </w:r>
      <w:r w:rsidRPr="0078026B">
        <w:t>marginalised</w:t>
      </w:r>
      <w:r w:rsidR="003D640C" w:rsidRPr="0078026B">
        <w:t xml:space="preserve"> </w:t>
      </w:r>
      <w:r w:rsidRPr="0078026B">
        <w:t>communities.</w:t>
      </w:r>
    </w:p>
    <w:p w14:paraId="1C056720" w14:textId="26F28678" w:rsidR="004432E5" w:rsidRPr="0078026B" w:rsidRDefault="00907EED" w:rsidP="008712CA">
      <w:pPr>
        <w:pStyle w:val="ListParagraph"/>
        <w:numPr>
          <w:ilvl w:val="1"/>
          <w:numId w:val="114"/>
        </w:numPr>
        <w:ind w:left="794" w:hanging="397"/>
      </w:pPr>
      <w:r w:rsidRPr="0078026B">
        <w:t>Ensure</w:t>
      </w:r>
      <w:r w:rsidR="003D640C" w:rsidRPr="0078026B">
        <w:t xml:space="preserve"> </w:t>
      </w:r>
      <w:r w:rsidRPr="0078026B">
        <w:t>awareness</w:t>
      </w:r>
      <w:r w:rsidR="003D640C" w:rsidRPr="0078026B">
        <w:t xml:space="preserve"> </w:t>
      </w:r>
      <w:r w:rsidRPr="0078026B">
        <w:t>campaigns</w:t>
      </w:r>
      <w:r w:rsidR="003D640C" w:rsidRPr="0078026B">
        <w:t xml:space="preserve"> </w:t>
      </w:r>
      <w:r w:rsidRPr="0078026B">
        <w:t>are</w:t>
      </w:r>
      <w:r w:rsidR="003D640C" w:rsidRPr="0078026B">
        <w:t xml:space="preserve"> </w:t>
      </w:r>
      <w:r w:rsidRPr="0078026B">
        <w:t>evidence-based</w:t>
      </w:r>
      <w:r w:rsidR="003D640C" w:rsidRPr="0078026B">
        <w:t xml:space="preserve"> </w:t>
      </w:r>
      <w:r w:rsidRPr="0078026B">
        <w:t>and</w:t>
      </w:r>
      <w:r w:rsidR="003D640C" w:rsidRPr="0078026B">
        <w:t xml:space="preserve"> </w:t>
      </w:r>
      <w:r w:rsidRPr="0078026B">
        <w:t>do</w:t>
      </w:r>
      <w:r w:rsidR="003D640C" w:rsidRPr="0078026B">
        <w:t xml:space="preserve"> </w:t>
      </w:r>
      <w:r w:rsidRPr="0078026B">
        <w:t>not</w:t>
      </w:r>
      <w:r w:rsidR="003D640C" w:rsidRPr="0078026B">
        <w:t xml:space="preserve"> </w:t>
      </w:r>
      <w:r w:rsidRPr="0078026B">
        <w:t>perpetuate</w:t>
      </w:r>
      <w:r w:rsidR="003D640C" w:rsidRPr="0078026B">
        <w:t xml:space="preserve"> </w:t>
      </w:r>
      <w:r w:rsidRPr="0078026B">
        <w:t>mis-</w:t>
      </w:r>
      <w:r w:rsidR="003D640C" w:rsidRPr="0078026B">
        <w:t xml:space="preserve"> </w:t>
      </w:r>
      <w:r w:rsidRPr="0078026B">
        <w:t>and</w:t>
      </w:r>
      <w:r w:rsidR="003D640C" w:rsidRPr="0078026B">
        <w:t xml:space="preserve"> </w:t>
      </w:r>
      <w:r w:rsidRPr="0078026B">
        <w:t>disinformation</w:t>
      </w:r>
      <w:r w:rsidR="003D640C" w:rsidRPr="0078026B">
        <w:t xml:space="preserve"> </w:t>
      </w:r>
      <w:r w:rsidRPr="0078026B">
        <w:t>about</w:t>
      </w:r>
      <w:r w:rsidR="003D640C" w:rsidRPr="0078026B">
        <w:t xml:space="preserve"> </w:t>
      </w:r>
      <w:r w:rsidRPr="0078026B">
        <w:t>Rainbow</w:t>
      </w:r>
      <w:r w:rsidR="003D640C" w:rsidRPr="0078026B">
        <w:t xml:space="preserve"> </w:t>
      </w:r>
      <w:r w:rsidRPr="0078026B">
        <w:t>communities.</w:t>
      </w:r>
    </w:p>
    <w:p w14:paraId="28D11300" w14:textId="7389E3C3" w:rsidR="004432E5" w:rsidRPr="0078026B" w:rsidRDefault="00907EED" w:rsidP="008712CA">
      <w:pPr>
        <w:pStyle w:val="ListParagraph"/>
        <w:numPr>
          <w:ilvl w:val="1"/>
          <w:numId w:val="114"/>
        </w:numPr>
        <w:ind w:left="794" w:hanging="397"/>
        <w:rPr>
          <w:rFonts w:ascii="Calibri" w:hAnsi="Calibri" w:cs="Calibri"/>
          <w:color w:val="3F3F3F"/>
        </w:rPr>
      </w:pPr>
      <w:r w:rsidRPr="0078026B">
        <w:t>Ensure</w:t>
      </w:r>
      <w:r w:rsidR="003D640C" w:rsidRPr="0078026B">
        <w:t xml:space="preserve"> </w:t>
      </w:r>
      <w:r w:rsidRPr="0078026B">
        <w:t>the</w:t>
      </w:r>
      <w:r w:rsidR="003D640C" w:rsidRPr="0078026B">
        <w:t xml:space="preserve"> </w:t>
      </w:r>
      <w:r w:rsidRPr="0078026B">
        <w:t>consistency</w:t>
      </w:r>
      <w:r w:rsidR="003D640C" w:rsidRPr="0078026B">
        <w:t xml:space="preserve"> </w:t>
      </w:r>
      <w:r w:rsidRPr="0078026B">
        <w:t>and</w:t>
      </w:r>
      <w:r w:rsidR="003D640C" w:rsidRPr="0078026B">
        <w:t xml:space="preserve"> </w:t>
      </w:r>
      <w:r w:rsidRPr="0078026B">
        <w:t>accessibility</w:t>
      </w:r>
      <w:r w:rsidR="003D640C" w:rsidRPr="0078026B">
        <w:t xml:space="preserve"> </w:t>
      </w:r>
      <w:r w:rsidRPr="0078026B">
        <w:t>of</w:t>
      </w:r>
      <w:r w:rsidR="003D640C" w:rsidRPr="0078026B">
        <w:t xml:space="preserve"> </w:t>
      </w:r>
      <w:r w:rsidRPr="0078026B">
        <w:t>robust</w:t>
      </w:r>
      <w:r w:rsidR="003D640C" w:rsidRPr="0078026B">
        <w:t xml:space="preserve"> </w:t>
      </w:r>
      <w:r w:rsidRPr="0078026B">
        <w:t>evidence-based</w:t>
      </w:r>
      <w:r w:rsidR="003D640C" w:rsidRPr="0078026B">
        <w:t xml:space="preserve"> </w:t>
      </w:r>
      <w:r w:rsidRPr="0078026B">
        <w:t>programmes</w:t>
      </w:r>
      <w:r w:rsidR="003D640C" w:rsidRPr="0078026B">
        <w:t xml:space="preserve"> </w:t>
      </w:r>
      <w:r w:rsidRPr="0078026B">
        <w:t>and</w:t>
      </w:r>
      <w:r w:rsidR="003D640C" w:rsidRPr="0078026B">
        <w:t xml:space="preserve"> </w:t>
      </w:r>
      <w:r w:rsidRPr="0078026B">
        <w:t>resources</w:t>
      </w:r>
      <w:r w:rsidR="003D640C" w:rsidRPr="0078026B">
        <w:t xml:space="preserve"> </w:t>
      </w:r>
      <w:r w:rsidRPr="0078026B">
        <w:t>on</w:t>
      </w:r>
      <w:r w:rsidR="003D640C" w:rsidRPr="0078026B">
        <w:t xml:space="preserve"> </w:t>
      </w:r>
      <w:r w:rsidRPr="0078026B">
        <w:t>sexual</w:t>
      </w:r>
      <w:r w:rsidR="003D640C" w:rsidRPr="0078026B">
        <w:t xml:space="preserve"> </w:t>
      </w:r>
      <w:r w:rsidRPr="0078026B">
        <w:t>orientation,</w:t>
      </w:r>
      <w:r w:rsidR="003D640C" w:rsidRPr="0078026B">
        <w:t xml:space="preserve"> </w:t>
      </w:r>
      <w:r w:rsidRPr="0078026B">
        <w:t>gender</w:t>
      </w:r>
      <w:r w:rsidR="003D640C" w:rsidRPr="0078026B">
        <w:t xml:space="preserve"> </w:t>
      </w:r>
      <w:r w:rsidRPr="0078026B">
        <w:t>identity</w:t>
      </w:r>
      <w:r w:rsidR="00367F14">
        <w:t>,</w:t>
      </w:r>
      <w:r w:rsidR="003D640C" w:rsidRPr="0078026B">
        <w:t xml:space="preserve"> </w:t>
      </w:r>
      <w:r w:rsidRPr="0078026B">
        <w:t>and</w:t>
      </w:r>
      <w:r w:rsidR="003D640C" w:rsidRPr="0078026B">
        <w:t xml:space="preserve"> </w:t>
      </w:r>
      <w:r w:rsidRPr="0078026B">
        <w:t>gender</w:t>
      </w:r>
      <w:r w:rsidR="003D640C" w:rsidRPr="0078026B">
        <w:t xml:space="preserve"> </w:t>
      </w:r>
      <w:r w:rsidRPr="0078026B">
        <w:t>expression</w:t>
      </w:r>
      <w:r w:rsidR="003D640C" w:rsidRPr="0078026B">
        <w:t xml:space="preserve"> </w:t>
      </w:r>
      <w:r w:rsidRPr="0078026B">
        <w:t>as</w:t>
      </w:r>
      <w:r w:rsidR="003D640C" w:rsidRPr="0078026B">
        <w:t xml:space="preserve"> </w:t>
      </w:r>
      <w:r w:rsidRPr="0078026B">
        <w:t>part</w:t>
      </w:r>
      <w:r w:rsidR="003D640C" w:rsidRPr="0078026B">
        <w:t xml:space="preserve"> </w:t>
      </w:r>
      <w:r w:rsidRPr="0078026B">
        <w:t>of</w:t>
      </w:r>
      <w:r w:rsidR="003D640C" w:rsidRPr="0078026B">
        <w:t xml:space="preserve"> </w:t>
      </w:r>
      <w:r w:rsidRPr="0078026B">
        <w:t>the</w:t>
      </w:r>
      <w:r w:rsidR="003D640C" w:rsidRPr="0078026B">
        <w:t xml:space="preserve"> </w:t>
      </w:r>
      <w:r w:rsidRPr="0078026B">
        <w:t>national</w:t>
      </w:r>
      <w:r w:rsidR="003D640C" w:rsidRPr="008712CA">
        <w:t xml:space="preserve"> </w:t>
      </w:r>
      <w:r w:rsidRPr="008712CA">
        <w:t>curriculu</w:t>
      </w:r>
      <w:r w:rsidRPr="0078026B">
        <w:rPr>
          <w:rFonts w:ascii="Calibri" w:hAnsi="Calibri" w:cs="Calibri"/>
          <w:color w:val="3F3F3F"/>
        </w:rPr>
        <w:t>m.</w:t>
      </w:r>
    </w:p>
    <w:p w14:paraId="68079DEA" w14:textId="053E921F" w:rsidR="001849BE" w:rsidRPr="0078026B" w:rsidRDefault="001849BE" w:rsidP="0078026B">
      <w:r w:rsidRPr="0078026B">
        <w:lastRenderedPageBreak/>
        <w:t>The</w:t>
      </w:r>
      <w:r w:rsidR="003D640C" w:rsidRPr="0078026B">
        <w:t xml:space="preserve"> </w:t>
      </w:r>
      <w:r w:rsidRPr="0078026B">
        <w:t>following</w:t>
      </w:r>
      <w:r w:rsidR="003D640C" w:rsidRPr="0078026B">
        <w:t xml:space="preserve"> </w:t>
      </w:r>
      <w:r w:rsidRPr="0078026B">
        <w:t>recommendations</w:t>
      </w:r>
      <w:r w:rsidR="003D640C" w:rsidRPr="0078026B">
        <w:t xml:space="preserve"> </w:t>
      </w:r>
      <w:r w:rsidR="00CB24CC" w:rsidRPr="0078026B">
        <w:t>a</w:t>
      </w:r>
      <w:r w:rsidR="00BB6C6A" w:rsidRPr="0078026B">
        <w:t>re</w:t>
      </w:r>
      <w:r w:rsidR="003D640C" w:rsidRPr="0078026B">
        <w:t xml:space="preserve"> </w:t>
      </w:r>
      <w:r w:rsidR="00BB6C6A" w:rsidRPr="0078026B">
        <w:t>aimed</w:t>
      </w:r>
      <w:r w:rsidR="003D640C" w:rsidRPr="0078026B">
        <w:t xml:space="preserve"> </w:t>
      </w:r>
      <w:r w:rsidR="00BB6C6A" w:rsidRPr="0078026B">
        <w:t>at</w:t>
      </w:r>
      <w:r w:rsidR="003D640C" w:rsidRPr="0078026B">
        <w:t xml:space="preserve"> </w:t>
      </w:r>
      <w:r w:rsidR="00714CED" w:rsidRPr="0078026B">
        <w:t>specific</w:t>
      </w:r>
      <w:r w:rsidR="003D640C" w:rsidRPr="0078026B">
        <w:t xml:space="preserve"> </w:t>
      </w:r>
      <w:r w:rsidR="00BB6C6A" w:rsidRPr="0078026B">
        <w:t>communities,</w:t>
      </w:r>
      <w:r w:rsidR="003D640C" w:rsidRPr="0078026B">
        <w:t xml:space="preserve"> </w:t>
      </w:r>
      <w:r w:rsidR="00BB6C6A" w:rsidRPr="0078026B">
        <w:t>although</w:t>
      </w:r>
      <w:r w:rsidR="003D640C" w:rsidRPr="0078026B">
        <w:t xml:space="preserve"> </w:t>
      </w:r>
      <w:r w:rsidR="00916DCF" w:rsidRPr="0078026B">
        <w:t>these</w:t>
      </w:r>
      <w:r w:rsidR="003D640C" w:rsidRPr="0078026B">
        <w:t xml:space="preserve"> </w:t>
      </w:r>
      <w:r w:rsidR="00916DCF" w:rsidRPr="0078026B">
        <w:t>efforts</w:t>
      </w:r>
      <w:r w:rsidR="003D640C" w:rsidRPr="0078026B">
        <w:t xml:space="preserve"> </w:t>
      </w:r>
      <w:r w:rsidR="00BB6C6A" w:rsidRPr="0078026B">
        <w:t>also</w:t>
      </w:r>
      <w:r w:rsidR="003D640C" w:rsidRPr="0078026B">
        <w:t xml:space="preserve"> </w:t>
      </w:r>
      <w:r w:rsidR="00BB6C6A" w:rsidRPr="0078026B">
        <w:t>require</w:t>
      </w:r>
      <w:r w:rsidR="003D640C" w:rsidRPr="0078026B">
        <w:t xml:space="preserve"> </w:t>
      </w:r>
      <w:r w:rsidR="00BB6C6A" w:rsidRPr="0078026B">
        <w:t>Government</w:t>
      </w:r>
      <w:r w:rsidR="003D640C" w:rsidRPr="0078026B">
        <w:t xml:space="preserve"> </w:t>
      </w:r>
      <w:r w:rsidR="00BB6C6A" w:rsidRPr="0078026B">
        <w:t>support</w:t>
      </w:r>
      <w:r w:rsidR="00367F14">
        <w:t>.</w:t>
      </w:r>
    </w:p>
    <w:p w14:paraId="3185FC2B" w14:textId="77777777" w:rsidR="00B5540F" w:rsidRPr="0078026B" w:rsidRDefault="00B5540F" w:rsidP="00B5540F">
      <w:pPr>
        <w:pStyle w:val="Heading2"/>
      </w:pPr>
      <w:bookmarkStart w:id="25" w:name="_Toc174628623"/>
      <w:bookmarkStart w:id="26" w:name="_Toc1768224929"/>
      <w:r w:rsidRPr="0078026B">
        <w:t>Recommendations for all communities</w:t>
      </w:r>
      <w:bookmarkEnd w:id="25"/>
    </w:p>
    <w:p w14:paraId="79196060" w14:textId="6417E348" w:rsidR="00B5540F" w:rsidRPr="00680A91" w:rsidRDefault="00B5540F" w:rsidP="0078026B">
      <w:pPr>
        <w:pStyle w:val="ListParagraph"/>
        <w:numPr>
          <w:ilvl w:val="0"/>
          <w:numId w:val="114"/>
        </w:numPr>
        <w:rPr>
          <w:rFonts w:ascii="Calibri" w:hAnsi="Calibri" w:cs="Calibri"/>
          <w:b/>
          <w:bCs/>
          <w:color w:val="3F3F3F"/>
        </w:rPr>
      </w:pPr>
      <w:r w:rsidRPr="00680A91">
        <w:rPr>
          <w:rFonts w:ascii="Calibri" w:hAnsi="Calibri" w:cs="Calibri"/>
          <w:b/>
          <w:bCs/>
          <w:color w:val="3F3F3F"/>
        </w:rPr>
        <w:t xml:space="preserve">Affirm the rights of Rainbow people in your communities and promote whānau and community spaces that are </w:t>
      </w:r>
      <w:r w:rsidRPr="00680A91">
        <w:rPr>
          <w:b/>
          <w:bCs/>
        </w:rPr>
        <w:t>inclusive</w:t>
      </w:r>
      <w:r w:rsidRPr="00680A91">
        <w:rPr>
          <w:rFonts w:ascii="Calibri" w:hAnsi="Calibri" w:cs="Calibri"/>
          <w:b/>
          <w:bCs/>
          <w:color w:val="3F3F3F"/>
        </w:rPr>
        <w:t xml:space="preserve"> of Rainbow people. Decolonise perspectives on sexuality and gender.</w:t>
      </w:r>
    </w:p>
    <w:p w14:paraId="07CE4B71" w14:textId="378EB743" w:rsidR="009460DC" w:rsidRPr="0078026B" w:rsidDel="00C15461" w:rsidRDefault="00830FE3" w:rsidP="0078026B">
      <w:pPr>
        <w:pStyle w:val="Heading2"/>
      </w:pPr>
      <w:bookmarkStart w:id="27" w:name="_Toc174628624"/>
      <w:r w:rsidRPr="0078026B">
        <w:t>Recommendations</w:t>
      </w:r>
      <w:r w:rsidR="003D640C" w:rsidRPr="0078026B">
        <w:t xml:space="preserve"> </w:t>
      </w:r>
      <w:r w:rsidRPr="0078026B">
        <w:t>for</w:t>
      </w:r>
      <w:r w:rsidR="003D640C" w:rsidRPr="0078026B">
        <w:t xml:space="preserve"> </w:t>
      </w:r>
      <w:r w:rsidR="00367F14">
        <w:t>r</w:t>
      </w:r>
      <w:r w:rsidR="00622520" w:rsidRPr="0078026B">
        <w:t>eligious</w:t>
      </w:r>
      <w:r w:rsidR="007E156A" w:rsidRPr="0078026B">
        <w:t>/</w:t>
      </w:r>
      <w:r w:rsidR="00367F14">
        <w:t>f</w:t>
      </w:r>
      <w:r w:rsidR="007E156A" w:rsidRPr="0078026B">
        <w:t>aith</w:t>
      </w:r>
      <w:r w:rsidR="003D640C" w:rsidRPr="0078026B">
        <w:t xml:space="preserve"> </w:t>
      </w:r>
      <w:r w:rsidR="00367F14">
        <w:t>c</w:t>
      </w:r>
      <w:r w:rsidR="00622520" w:rsidRPr="0078026B">
        <w:t>ommunities</w:t>
      </w:r>
      <w:bookmarkEnd w:id="26"/>
      <w:bookmarkEnd w:id="27"/>
    </w:p>
    <w:p w14:paraId="306F9D27" w14:textId="55A3F9CF" w:rsidR="00811547" w:rsidRPr="00680A91" w:rsidRDefault="00E62DBB" w:rsidP="008712CA">
      <w:pPr>
        <w:pStyle w:val="ListParagraph"/>
        <w:numPr>
          <w:ilvl w:val="0"/>
          <w:numId w:val="114"/>
        </w:numPr>
        <w:rPr>
          <w:rFonts w:ascii="Calibri" w:hAnsi="Calibri" w:cs="Calibri"/>
          <w:b/>
          <w:bCs/>
          <w:color w:val="3F3F3F"/>
        </w:rPr>
      </w:pPr>
      <w:r w:rsidRPr="00680A91">
        <w:rPr>
          <w:rFonts w:ascii="Calibri" w:hAnsi="Calibri" w:cs="Calibri"/>
          <w:b/>
          <w:bCs/>
          <w:color w:val="3F3F3F"/>
        </w:rPr>
        <w:t>A</w:t>
      </w:r>
      <w:r w:rsidR="000D7DBC" w:rsidRPr="00680A91">
        <w:rPr>
          <w:rFonts w:ascii="Calibri" w:hAnsi="Calibri" w:cs="Calibri"/>
          <w:b/>
          <w:bCs/>
          <w:color w:val="3F3F3F"/>
        </w:rPr>
        <w:t>ffirm</w:t>
      </w:r>
      <w:r w:rsidR="003D640C" w:rsidRPr="00680A91">
        <w:rPr>
          <w:rFonts w:ascii="Calibri" w:hAnsi="Calibri" w:cs="Calibri"/>
          <w:b/>
          <w:bCs/>
          <w:color w:val="3F3F3F"/>
        </w:rPr>
        <w:t xml:space="preserve"> </w:t>
      </w:r>
      <w:r w:rsidR="6107E5F9" w:rsidRPr="00680A91">
        <w:rPr>
          <w:rFonts w:ascii="Calibri" w:hAnsi="Calibri" w:cs="Calibri"/>
          <w:b/>
          <w:bCs/>
          <w:color w:val="3F3F3F"/>
        </w:rPr>
        <w:t xml:space="preserve">the rights of </w:t>
      </w:r>
      <w:r w:rsidR="000D7DBC" w:rsidRPr="00680A91">
        <w:rPr>
          <w:rFonts w:ascii="Calibri" w:hAnsi="Calibri" w:cs="Calibri"/>
          <w:b/>
          <w:bCs/>
          <w:color w:val="3F3F3F"/>
        </w:rPr>
        <w:t>Rainbow</w:t>
      </w:r>
      <w:r w:rsidR="003D640C" w:rsidRPr="00680A91">
        <w:rPr>
          <w:rFonts w:ascii="Calibri" w:hAnsi="Calibri" w:cs="Calibri"/>
          <w:b/>
          <w:bCs/>
          <w:color w:val="3F3F3F"/>
        </w:rPr>
        <w:t xml:space="preserve"> </w:t>
      </w:r>
      <w:r w:rsidR="000D7DBC" w:rsidRPr="00680A91">
        <w:rPr>
          <w:rFonts w:ascii="Calibri" w:hAnsi="Calibri" w:cs="Calibri"/>
          <w:b/>
          <w:bCs/>
          <w:color w:val="3F3F3F"/>
        </w:rPr>
        <w:t>people</w:t>
      </w:r>
      <w:r w:rsidR="003D640C" w:rsidRPr="00680A91">
        <w:rPr>
          <w:rFonts w:ascii="Calibri" w:hAnsi="Calibri" w:cs="Calibri"/>
          <w:b/>
          <w:bCs/>
          <w:color w:val="3F3F3F"/>
        </w:rPr>
        <w:t xml:space="preserve"> </w:t>
      </w:r>
      <w:r w:rsidR="000D7DBC" w:rsidRPr="00680A91">
        <w:rPr>
          <w:rFonts w:ascii="Calibri" w:hAnsi="Calibri" w:cs="Calibri"/>
          <w:b/>
          <w:bCs/>
          <w:color w:val="3F3F3F"/>
        </w:rPr>
        <w:t>and</w:t>
      </w:r>
      <w:r w:rsidR="003D640C" w:rsidRPr="00680A91">
        <w:rPr>
          <w:rFonts w:ascii="Calibri" w:hAnsi="Calibri" w:cs="Calibri"/>
          <w:b/>
          <w:bCs/>
          <w:color w:val="3F3F3F"/>
        </w:rPr>
        <w:t xml:space="preserve"> </w:t>
      </w:r>
      <w:r w:rsidR="000D7DBC" w:rsidRPr="00680A91">
        <w:rPr>
          <w:rFonts w:ascii="Calibri" w:hAnsi="Calibri" w:cs="Calibri"/>
          <w:b/>
          <w:bCs/>
          <w:color w:val="3F3F3F"/>
        </w:rPr>
        <w:t>work</w:t>
      </w:r>
      <w:r w:rsidR="003D640C" w:rsidRPr="00680A91">
        <w:rPr>
          <w:rFonts w:ascii="Calibri" w:hAnsi="Calibri" w:cs="Calibri"/>
          <w:b/>
          <w:bCs/>
          <w:color w:val="3F3F3F"/>
        </w:rPr>
        <w:t xml:space="preserve"> </w:t>
      </w:r>
      <w:r w:rsidR="000D7DBC" w:rsidRPr="00680A91">
        <w:rPr>
          <w:rFonts w:ascii="Calibri" w:hAnsi="Calibri" w:cs="Calibri"/>
          <w:b/>
          <w:bCs/>
          <w:color w:val="3F3F3F"/>
        </w:rPr>
        <w:t>with</w:t>
      </w:r>
      <w:r w:rsidR="003D640C" w:rsidRPr="00680A91">
        <w:rPr>
          <w:rFonts w:ascii="Calibri" w:hAnsi="Calibri" w:cs="Calibri"/>
          <w:b/>
          <w:bCs/>
          <w:color w:val="3F3F3F"/>
        </w:rPr>
        <w:t xml:space="preserve"> </w:t>
      </w:r>
      <w:r w:rsidR="000D7DBC" w:rsidRPr="00680A91">
        <w:rPr>
          <w:rFonts w:ascii="Calibri" w:hAnsi="Calibri" w:cs="Calibri"/>
          <w:b/>
          <w:bCs/>
          <w:color w:val="3F3F3F"/>
        </w:rPr>
        <w:t>survivors</w:t>
      </w:r>
      <w:r w:rsidR="003D640C" w:rsidRPr="00680A91">
        <w:rPr>
          <w:rFonts w:ascii="Calibri" w:hAnsi="Calibri" w:cs="Calibri"/>
          <w:b/>
          <w:bCs/>
          <w:color w:val="3F3F3F"/>
        </w:rPr>
        <w:t xml:space="preserve"> </w:t>
      </w:r>
      <w:r w:rsidR="000D7DBC" w:rsidRPr="00680A91">
        <w:rPr>
          <w:rFonts w:ascii="Calibri" w:hAnsi="Calibri" w:cs="Calibri"/>
          <w:b/>
          <w:bCs/>
          <w:color w:val="3F3F3F"/>
        </w:rPr>
        <w:t>to</w:t>
      </w:r>
      <w:r w:rsidR="003D640C" w:rsidRPr="00680A91">
        <w:rPr>
          <w:rFonts w:ascii="Calibri" w:hAnsi="Calibri" w:cs="Calibri"/>
          <w:b/>
          <w:bCs/>
          <w:color w:val="3F3F3F"/>
        </w:rPr>
        <w:t xml:space="preserve"> </w:t>
      </w:r>
      <w:r w:rsidR="000D7DBC" w:rsidRPr="00680A91">
        <w:rPr>
          <w:rFonts w:ascii="Calibri" w:hAnsi="Calibri" w:cs="Calibri"/>
          <w:b/>
          <w:bCs/>
          <w:color w:val="3F3F3F"/>
        </w:rPr>
        <w:t>develop</w:t>
      </w:r>
      <w:r w:rsidR="003D640C" w:rsidRPr="00680A91">
        <w:rPr>
          <w:rFonts w:ascii="Calibri" w:hAnsi="Calibri" w:cs="Calibri"/>
          <w:b/>
          <w:bCs/>
          <w:color w:val="3F3F3F"/>
        </w:rPr>
        <w:t xml:space="preserve"> </w:t>
      </w:r>
      <w:r w:rsidR="000D7DBC" w:rsidRPr="00680A91">
        <w:rPr>
          <w:rFonts w:ascii="Calibri" w:hAnsi="Calibri" w:cs="Calibri"/>
          <w:b/>
          <w:bCs/>
          <w:color w:val="3F3F3F"/>
        </w:rPr>
        <w:t>actions</w:t>
      </w:r>
      <w:r w:rsidR="003D640C" w:rsidRPr="00680A91">
        <w:rPr>
          <w:rFonts w:ascii="Calibri" w:hAnsi="Calibri" w:cs="Calibri"/>
          <w:b/>
          <w:bCs/>
          <w:color w:val="3F3F3F"/>
        </w:rPr>
        <w:t xml:space="preserve"> </w:t>
      </w:r>
      <w:r w:rsidR="000D7DBC" w:rsidRPr="00680A91">
        <w:rPr>
          <w:rFonts w:ascii="Calibri" w:hAnsi="Calibri" w:cs="Calibri"/>
          <w:b/>
          <w:bCs/>
          <w:color w:val="3F3F3F"/>
        </w:rPr>
        <w:t>plans</w:t>
      </w:r>
      <w:r w:rsidR="003D640C" w:rsidRPr="00680A91">
        <w:rPr>
          <w:rFonts w:ascii="Calibri" w:hAnsi="Calibri" w:cs="Calibri"/>
          <w:b/>
          <w:bCs/>
          <w:color w:val="3F3F3F"/>
        </w:rPr>
        <w:t xml:space="preserve"> </w:t>
      </w:r>
      <w:r w:rsidR="000D7DBC" w:rsidRPr="00680A91">
        <w:rPr>
          <w:rFonts w:ascii="Calibri" w:hAnsi="Calibri" w:cs="Calibri"/>
          <w:b/>
          <w:bCs/>
          <w:color w:val="3F3F3F"/>
        </w:rPr>
        <w:t>to</w:t>
      </w:r>
      <w:r w:rsidR="003D640C" w:rsidRPr="00680A91">
        <w:rPr>
          <w:rFonts w:ascii="Calibri" w:hAnsi="Calibri" w:cs="Calibri"/>
          <w:b/>
          <w:bCs/>
          <w:color w:val="3F3F3F"/>
        </w:rPr>
        <w:t xml:space="preserve"> </w:t>
      </w:r>
      <w:r w:rsidR="000D7DBC" w:rsidRPr="00680A91">
        <w:rPr>
          <w:rFonts w:ascii="Calibri" w:hAnsi="Calibri" w:cs="Calibri"/>
          <w:b/>
          <w:bCs/>
          <w:color w:val="3F3F3F"/>
        </w:rPr>
        <w:t>eliminate</w:t>
      </w:r>
      <w:r w:rsidR="003D640C" w:rsidRPr="00680A91">
        <w:rPr>
          <w:rFonts w:ascii="Calibri" w:hAnsi="Calibri" w:cs="Calibri"/>
          <w:b/>
          <w:bCs/>
          <w:color w:val="3F3F3F"/>
        </w:rPr>
        <w:t xml:space="preserve"> </w:t>
      </w:r>
      <w:r w:rsidR="000D7DBC" w:rsidRPr="00680A91">
        <w:rPr>
          <w:rFonts w:ascii="Calibri" w:hAnsi="Calibri" w:cs="Calibri"/>
          <w:b/>
          <w:bCs/>
          <w:color w:val="3F3F3F"/>
        </w:rPr>
        <w:t>conversion</w:t>
      </w:r>
      <w:r w:rsidR="003D640C" w:rsidRPr="00680A91">
        <w:rPr>
          <w:rFonts w:ascii="Calibri" w:hAnsi="Calibri" w:cs="Calibri"/>
          <w:b/>
          <w:bCs/>
          <w:color w:val="3F3F3F"/>
        </w:rPr>
        <w:t xml:space="preserve"> </w:t>
      </w:r>
      <w:r w:rsidR="000D7DBC" w:rsidRPr="00680A91">
        <w:rPr>
          <w:rFonts w:ascii="Calibri" w:hAnsi="Calibri" w:cs="Calibri"/>
          <w:b/>
          <w:bCs/>
          <w:color w:val="3F3F3F"/>
        </w:rPr>
        <w:t>practices</w:t>
      </w:r>
      <w:r w:rsidR="00116155">
        <w:rPr>
          <w:rFonts w:ascii="Calibri" w:hAnsi="Calibri" w:cs="Calibri"/>
          <w:b/>
          <w:bCs/>
          <w:color w:val="3F3F3F"/>
        </w:rPr>
        <w:t>,</w:t>
      </w:r>
      <w:r w:rsidR="0000511D">
        <w:rPr>
          <w:rFonts w:ascii="Calibri" w:hAnsi="Calibri" w:cs="Calibri"/>
          <w:b/>
          <w:bCs/>
          <w:color w:val="3F3F3F"/>
        </w:rPr>
        <w:t xml:space="preserve"> including by exploring affirming teachings</w:t>
      </w:r>
      <w:r w:rsidR="000D7DBC" w:rsidRPr="00680A91">
        <w:rPr>
          <w:rFonts w:ascii="Calibri" w:hAnsi="Calibri" w:cs="Calibri"/>
          <w:b/>
          <w:bCs/>
          <w:color w:val="3F3F3F"/>
        </w:rPr>
        <w:t>.</w:t>
      </w:r>
    </w:p>
    <w:p w14:paraId="0FDFA3C5" w14:textId="09D9C2F4" w:rsidR="00811547" w:rsidRPr="0078026B" w:rsidRDefault="51281937" w:rsidP="008712CA">
      <w:pPr>
        <w:pStyle w:val="ListParagraph"/>
        <w:numPr>
          <w:ilvl w:val="1"/>
          <w:numId w:val="114"/>
        </w:numPr>
        <w:ind w:left="794" w:hanging="397"/>
      </w:pPr>
      <w:r w:rsidRPr="0078026B">
        <w:t>Engage</w:t>
      </w:r>
      <w:r w:rsidR="003D640C" w:rsidRPr="0078026B">
        <w:t xml:space="preserve"> </w:t>
      </w:r>
      <w:r w:rsidR="001B00AB" w:rsidRPr="0078026B">
        <w:t>in</w:t>
      </w:r>
      <w:r w:rsidR="003D640C" w:rsidRPr="0078026B">
        <w:t xml:space="preserve"> </w:t>
      </w:r>
      <w:r w:rsidRPr="0078026B">
        <w:t>research</w:t>
      </w:r>
      <w:r w:rsidR="003D640C" w:rsidRPr="0078026B">
        <w:t xml:space="preserve"> </w:t>
      </w:r>
      <w:r w:rsidRPr="0078026B">
        <w:t>around</w:t>
      </w:r>
      <w:r w:rsidR="003D640C" w:rsidRPr="0078026B">
        <w:t xml:space="preserve"> </w:t>
      </w:r>
      <w:r w:rsidRPr="0078026B">
        <w:t>inclusive</w:t>
      </w:r>
      <w:r w:rsidR="003D640C" w:rsidRPr="0078026B">
        <w:t xml:space="preserve"> </w:t>
      </w:r>
      <w:r w:rsidRPr="0078026B">
        <w:t>and</w:t>
      </w:r>
      <w:r w:rsidR="003D640C" w:rsidRPr="0078026B">
        <w:t xml:space="preserve"> </w:t>
      </w:r>
      <w:r w:rsidRPr="0078026B">
        <w:t>affirming</w:t>
      </w:r>
      <w:r w:rsidR="003D640C" w:rsidRPr="0078026B">
        <w:t xml:space="preserve"> </w:t>
      </w:r>
      <w:r w:rsidRPr="0078026B">
        <w:t>interpretations</w:t>
      </w:r>
      <w:r w:rsidR="003D640C" w:rsidRPr="0078026B">
        <w:t xml:space="preserve"> </w:t>
      </w:r>
      <w:r w:rsidRPr="0078026B">
        <w:t>of</w:t>
      </w:r>
      <w:r w:rsidR="003D640C" w:rsidRPr="0078026B">
        <w:t xml:space="preserve"> </w:t>
      </w:r>
      <w:r w:rsidRPr="0078026B">
        <w:t>religious</w:t>
      </w:r>
      <w:r w:rsidR="000E3E3A" w:rsidRPr="0078026B">
        <w:t>/spiritual</w:t>
      </w:r>
      <w:r w:rsidR="003D640C" w:rsidRPr="0078026B">
        <w:t xml:space="preserve"> </w:t>
      </w:r>
      <w:r w:rsidRPr="0078026B">
        <w:t>teachings</w:t>
      </w:r>
      <w:r w:rsidR="003D640C" w:rsidRPr="0078026B">
        <w:t xml:space="preserve"> </w:t>
      </w:r>
      <w:r w:rsidRPr="0078026B">
        <w:t>at</w:t>
      </w:r>
      <w:r w:rsidR="003D640C" w:rsidRPr="0078026B">
        <w:t xml:space="preserve"> </w:t>
      </w:r>
      <w:r w:rsidRPr="0078026B">
        <w:t>the</w:t>
      </w:r>
      <w:r w:rsidR="003D640C" w:rsidRPr="0078026B">
        <w:t xml:space="preserve"> </w:t>
      </w:r>
      <w:r w:rsidRPr="0078026B">
        <w:t>highest</w:t>
      </w:r>
      <w:r w:rsidR="003D640C" w:rsidRPr="0078026B">
        <w:t xml:space="preserve"> </w:t>
      </w:r>
      <w:r w:rsidRPr="0078026B">
        <w:t>levels</w:t>
      </w:r>
      <w:r w:rsidR="003D640C" w:rsidRPr="0078026B">
        <w:t xml:space="preserve"> </w:t>
      </w:r>
      <w:r w:rsidRPr="0078026B">
        <w:t>of</w:t>
      </w:r>
      <w:r w:rsidR="003D640C" w:rsidRPr="0078026B">
        <w:t xml:space="preserve"> </w:t>
      </w:r>
      <w:r w:rsidRPr="0078026B">
        <w:t>your</w:t>
      </w:r>
      <w:r w:rsidR="003D640C" w:rsidRPr="0078026B">
        <w:t xml:space="preserve"> </w:t>
      </w:r>
      <w:r w:rsidRPr="0078026B">
        <w:t>denomination</w:t>
      </w:r>
      <w:r w:rsidR="00823DDC" w:rsidRPr="0078026B">
        <w:t>/</w:t>
      </w:r>
      <w:r w:rsidRPr="0078026B">
        <w:t>local</w:t>
      </w:r>
      <w:r w:rsidR="003D640C" w:rsidRPr="0078026B">
        <w:t xml:space="preserve"> </w:t>
      </w:r>
      <w:r w:rsidRPr="0078026B">
        <w:t>church</w:t>
      </w:r>
      <w:r w:rsidR="003D640C" w:rsidRPr="0078026B">
        <w:t xml:space="preserve"> </w:t>
      </w:r>
      <w:r w:rsidR="00950675" w:rsidRPr="0078026B">
        <w:t>or</w:t>
      </w:r>
      <w:r w:rsidR="003D640C" w:rsidRPr="0078026B">
        <w:t xml:space="preserve"> </w:t>
      </w:r>
      <w:r w:rsidR="00950675" w:rsidRPr="0078026B">
        <w:t>faith</w:t>
      </w:r>
      <w:r w:rsidR="00823DDC" w:rsidRPr="0078026B">
        <w:t>/spiritual</w:t>
      </w:r>
      <w:r w:rsidR="003D640C" w:rsidRPr="0078026B">
        <w:t xml:space="preserve"> </w:t>
      </w:r>
      <w:r w:rsidR="00823DDC" w:rsidRPr="0078026B">
        <w:t>community</w:t>
      </w:r>
      <w:r w:rsidRPr="0078026B">
        <w:t>.</w:t>
      </w:r>
    </w:p>
    <w:p w14:paraId="72E888DD" w14:textId="09D51B7D" w:rsidR="002A52E2" w:rsidRPr="0078026B" w:rsidRDefault="51281937" w:rsidP="008712CA">
      <w:pPr>
        <w:pStyle w:val="ListParagraph"/>
        <w:numPr>
          <w:ilvl w:val="1"/>
          <w:numId w:val="114"/>
        </w:numPr>
        <w:ind w:left="794" w:hanging="397"/>
      </w:pPr>
      <w:r w:rsidRPr="0078026B">
        <w:t>Commence</w:t>
      </w:r>
      <w:r w:rsidR="003D640C" w:rsidRPr="0078026B">
        <w:t xml:space="preserve"> </w:t>
      </w:r>
      <w:r w:rsidRPr="0078026B">
        <w:t>a</w:t>
      </w:r>
      <w:r w:rsidR="003D640C" w:rsidRPr="0078026B">
        <w:t xml:space="preserve"> </w:t>
      </w:r>
      <w:r w:rsidRPr="0078026B">
        <w:t>review</w:t>
      </w:r>
      <w:r w:rsidR="003D640C" w:rsidRPr="0078026B">
        <w:t xml:space="preserve"> </w:t>
      </w:r>
      <w:r w:rsidRPr="0078026B">
        <w:t>process</w:t>
      </w:r>
      <w:r w:rsidR="003D640C" w:rsidRPr="0078026B">
        <w:t xml:space="preserve"> </w:t>
      </w:r>
      <w:r w:rsidRPr="0078026B">
        <w:t>of</w:t>
      </w:r>
      <w:r w:rsidR="003D640C" w:rsidRPr="0078026B">
        <w:t xml:space="preserve"> </w:t>
      </w:r>
      <w:r w:rsidRPr="0078026B">
        <w:t>reckoning</w:t>
      </w:r>
      <w:r w:rsidR="003D640C" w:rsidRPr="0078026B">
        <w:t xml:space="preserve"> </w:t>
      </w:r>
      <w:r w:rsidRPr="0078026B">
        <w:t>with</w:t>
      </w:r>
      <w:r w:rsidR="003D640C" w:rsidRPr="0078026B">
        <w:t xml:space="preserve"> </w:t>
      </w:r>
      <w:r w:rsidRPr="0078026B">
        <w:t>religious</w:t>
      </w:r>
      <w:r w:rsidR="003D640C" w:rsidRPr="0078026B">
        <w:t xml:space="preserve"> </w:t>
      </w:r>
      <w:r w:rsidRPr="0078026B">
        <w:t>texts</w:t>
      </w:r>
      <w:r w:rsidR="003D640C" w:rsidRPr="0078026B">
        <w:t xml:space="preserve"> </w:t>
      </w:r>
      <w:r w:rsidRPr="0078026B">
        <w:t>and</w:t>
      </w:r>
      <w:r w:rsidR="003D640C" w:rsidRPr="0078026B">
        <w:t xml:space="preserve"> </w:t>
      </w:r>
      <w:r w:rsidRPr="0078026B">
        <w:t>teachings</w:t>
      </w:r>
      <w:r w:rsidR="003D640C" w:rsidRPr="0078026B">
        <w:t xml:space="preserve"> </w:t>
      </w:r>
      <w:r w:rsidRPr="0078026B">
        <w:t>that</w:t>
      </w:r>
      <w:r w:rsidR="003D640C" w:rsidRPr="0078026B">
        <w:t xml:space="preserve"> </w:t>
      </w:r>
      <w:r w:rsidRPr="0078026B">
        <w:t>do</w:t>
      </w:r>
      <w:r w:rsidR="003D640C" w:rsidRPr="0078026B">
        <w:t xml:space="preserve"> </w:t>
      </w:r>
      <w:r w:rsidRPr="0078026B">
        <w:t>not</w:t>
      </w:r>
      <w:r w:rsidR="003D640C" w:rsidRPr="0078026B">
        <w:t xml:space="preserve"> </w:t>
      </w:r>
      <w:r w:rsidRPr="0078026B">
        <w:t>affirm</w:t>
      </w:r>
      <w:r w:rsidR="003D640C" w:rsidRPr="0078026B">
        <w:t xml:space="preserve"> </w:t>
      </w:r>
      <w:r w:rsidRPr="0078026B">
        <w:t>Rainbow</w:t>
      </w:r>
      <w:r w:rsidR="003D640C" w:rsidRPr="0078026B">
        <w:t xml:space="preserve"> </w:t>
      </w:r>
      <w:r w:rsidRPr="0078026B">
        <w:t>people.</w:t>
      </w:r>
      <w:r w:rsidR="003D640C" w:rsidRPr="0078026B">
        <w:t xml:space="preserve"> </w:t>
      </w:r>
      <w:r w:rsidRPr="0078026B">
        <w:t>Engage</w:t>
      </w:r>
      <w:r w:rsidR="003D640C" w:rsidRPr="0078026B">
        <w:t xml:space="preserve"> </w:t>
      </w:r>
      <w:r w:rsidRPr="0078026B">
        <w:t>with</w:t>
      </w:r>
      <w:r w:rsidR="003D640C" w:rsidRPr="0078026B">
        <w:t xml:space="preserve"> </w:t>
      </w:r>
      <w:r w:rsidRPr="0078026B">
        <w:t>peer-reviewed</w:t>
      </w:r>
      <w:r w:rsidR="003D640C" w:rsidRPr="0078026B">
        <w:t xml:space="preserve"> </w:t>
      </w:r>
      <w:r w:rsidRPr="0078026B">
        <w:t>evidence,</w:t>
      </w:r>
      <w:r w:rsidR="003D640C" w:rsidRPr="0078026B">
        <w:t xml:space="preserve"> </w:t>
      </w:r>
      <w:r w:rsidRPr="0078026B">
        <w:t>lived</w:t>
      </w:r>
      <w:r w:rsidR="003D640C" w:rsidRPr="0078026B">
        <w:t xml:space="preserve"> </w:t>
      </w:r>
      <w:r w:rsidRPr="0078026B">
        <w:t>experience</w:t>
      </w:r>
      <w:r w:rsidR="003D640C" w:rsidRPr="0078026B">
        <w:t xml:space="preserve"> </w:t>
      </w:r>
      <w:r w:rsidRPr="0078026B">
        <w:t>testimonials,</w:t>
      </w:r>
      <w:r w:rsidR="003D640C" w:rsidRPr="0078026B">
        <w:t xml:space="preserve"> </w:t>
      </w:r>
      <w:r w:rsidRPr="0078026B">
        <w:t>theological</w:t>
      </w:r>
      <w:r w:rsidR="003D640C" w:rsidRPr="0078026B">
        <w:t xml:space="preserve"> </w:t>
      </w:r>
      <w:r w:rsidRPr="0078026B">
        <w:t>developments,</w:t>
      </w:r>
      <w:r w:rsidR="003D640C" w:rsidRPr="0078026B">
        <w:t xml:space="preserve"> </w:t>
      </w:r>
      <w:r w:rsidRPr="0078026B">
        <w:t>and</w:t>
      </w:r>
      <w:r w:rsidR="003D640C" w:rsidRPr="0078026B">
        <w:t xml:space="preserve"> </w:t>
      </w:r>
      <w:r w:rsidRPr="0078026B">
        <w:t>inclusive</w:t>
      </w:r>
      <w:r w:rsidR="003D640C" w:rsidRPr="0078026B">
        <w:t xml:space="preserve"> </w:t>
      </w:r>
      <w:r w:rsidRPr="0078026B">
        <w:t>interpretations</w:t>
      </w:r>
      <w:r w:rsidR="003D640C" w:rsidRPr="0078026B">
        <w:t xml:space="preserve"> </w:t>
      </w:r>
      <w:r w:rsidRPr="0078026B">
        <w:t>with</w:t>
      </w:r>
      <w:r w:rsidR="003D640C" w:rsidRPr="0078026B">
        <w:t xml:space="preserve"> </w:t>
      </w:r>
      <w:r w:rsidRPr="0078026B">
        <w:t>an</w:t>
      </w:r>
      <w:r w:rsidR="003D640C" w:rsidRPr="0078026B">
        <w:t xml:space="preserve"> </w:t>
      </w:r>
      <w:r w:rsidRPr="0078026B">
        <w:t>open</w:t>
      </w:r>
      <w:r w:rsidR="003D640C" w:rsidRPr="0078026B">
        <w:t xml:space="preserve"> </w:t>
      </w:r>
      <w:r w:rsidRPr="0078026B">
        <w:t>mind.</w:t>
      </w:r>
      <w:r w:rsidR="003D640C" w:rsidRPr="0078026B">
        <w:t xml:space="preserve"> </w:t>
      </w:r>
    </w:p>
    <w:p w14:paraId="4177878A" w14:textId="19E2B6A4" w:rsidR="00501068" w:rsidRPr="0078026B" w:rsidRDefault="3E5E7070" w:rsidP="008712CA">
      <w:pPr>
        <w:pStyle w:val="ListParagraph"/>
        <w:numPr>
          <w:ilvl w:val="1"/>
          <w:numId w:val="114"/>
        </w:numPr>
        <w:ind w:left="794" w:hanging="397"/>
        <w:rPr>
          <w:rFonts w:ascii="Calibri" w:eastAsia="Calibri" w:hAnsi="Calibri" w:cs="Calibri"/>
        </w:rPr>
      </w:pPr>
      <w:r w:rsidRPr="0078026B">
        <w:t>Co-produce</w:t>
      </w:r>
      <w:r w:rsidR="003D640C" w:rsidRPr="0078026B">
        <w:t xml:space="preserve"> </w:t>
      </w:r>
      <w:r w:rsidRPr="0078026B">
        <w:t>action</w:t>
      </w:r>
      <w:r w:rsidR="003D640C" w:rsidRPr="0078026B">
        <w:t xml:space="preserve"> </w:t>
      </w:r>
      <w:r w:rsidRPr="0078026B">
        <w:t>plans</w:t>
      </w:r>
      <w:r w:rsidR="003D640C" w:rsidRPr="0078026B">
        <w:t xml:space="preserve"> </w:t>
      </w:r>
      <w:r w:rsidR="0043709B" w:rsidRPr="0078026B">
        <w:t>through</w:t>
      </w:r>
      <w:r w:rsidR="003D640C" w:rsidRPr="0078026B">
        <w:t xml:space="preserve"> </w:t>
      </w:r>
      <w:r w:rsidR="0043709B" w:rsidRPr="0078026B">
        <w:t>a</w:t>
      </w:r>
      <w:r w:rsidR="003D640C" w:rsidRPr="0078026B">
        <w:t xml:space="preserve"> </w:t>
      </w:r>
      <w:r w:rsidR="0043709B" w:rsidRPr="0078026B">
        <w:t>collaborative</w:t>
      </w:r>
      <w:r w:rsidR="003D640C" w:rsidRPr="0078026B">
        <w:t xml:space="preserve"> </w:t>
      </w:r>
      <w:r w:rsidR="0043709B" w:rsidRPr="0078026B">
        <w:t>approach</w:t>
      </w:r>
      <w:r w:rsidR="003D640C" w:rsidRPr="0078026B">
        <w:t xml:space="preserve"> </w:t>
      </w:r>
      <w:r w:rsidRPr="0078026B">
        <w:t>with</w:t>
      </w:r>
      <w:r w:rsidR="003D640C" w:rsidRPr="0078026B">
        <w:t xml:space="preserve"> </w:t>
      </w:r>
      <w:r w:rsidR="007107F0" w:rsidRPr="0078026B">
        <w:t>faith/spiritual</w:t>
      </w:r>
      <w:r w:rsidR="003D640C" w:rsidRPr="0078026B">
        <w:t xml:space="preserve"> </w:t>
      </w:r>
      <w:r w:rsidR="007107F0" w:rsidRPr="0078026B">
        <w:t>leaders</w:t>
      </w:r>
      <w:r w:rsidR="003D640C" w:rsidRPr="0078026B">
        <w:t xml:space="preserve"> </w:t>
      </w:r>
      <w:r w:rsidR="007107F0" w:rsidRPr="0078026B">
        <w:t>(such</w:t>
      </w:r>
      <w:r w:rsidR="003D640C" w:rsidRPr="0078026B">
        <w:t xml:space="preserve"> </w:t>
      </w:r>
      <w:r w:rsidR="007107F0" w:rsidRPr="0078026B">
        <w:t>as</w:t>
      </w:r>
      <w:r w:rsidR="003D640C" w:rsidRPr="0078026B">
        <w:t xml:space="preserve"> </w:t>
      </w:r>
      <w:r w:rsidRPr="0078026B">
        <w:t>theologians</w:t>
      </w:r>
      <w:r w:rsidR="003D640C" w:rsidRPr="0078026B">
        <w:t xml:space="preserve"> </w:t>
      </w:r>
      <w:r w:rsidR="00587860" w:rsidRPr="0078026B">
        <w:t>and</w:t>
      </w:r>
      <w:r w:rsidR="003D640C" w:rsidRPr="0078026B">
        <w:t xml:space="preserve"> </w:t>
      </w:r>
      <w:r w:rsidRPr="0078026B">
        <w:t>clergy</w:t>
      </w:r>
      <w:r w:rsidR="003D640C" w:rsidRPr="0078026B">
        <w:t xml:space="preserve"> </w:t>
      </w:r>
      <w:r w:rsidR="007107F0" w:rsidRPr="0078026B">
        <w:t>in</w:t>
      </w:r>
      <w:r w:rsidR="003D640C" w:rsidRPr="0078026B">
        <w:t xml:space="preserve"> </w:t>
      </w:r>
      <w:r w:rsidR="007107F0" w:rsidRPr="0078026B">
        <w:t>the</w:t>
      </w:r>
      <w:r w:rsidR="003D640C" w:rsidRPr="0078026B">
        <w:t xml:space="preserve"> </w:t>
      </w:r>
      <w:r w:rsidR="007107F0" w:rsidRPr="0078026B">
        <w:t>case</w:t>
      </w:r>
      <w:r w:rsidR="003D640C" w:rsidRPr="0078026B">
        <w:t xml:space="preserve"> </w:t>
      </w:r>
      <w:r w:rsidR="007107F0" w:rsidRPr="0078026B">
        <w:t>of</w:t>
      </w:r>
      <w:r w:rsidR="003D640C" w:rsidRPr="0078026B">
        <w:t xml:space="preserve"> </w:t>
      </w:r>
      <w:r w:rsidR="007107F0" w:rsidRPr="0078026B">
        <w:t>Christian</w:t>
      </w:r>
      <w:r w:rsidR="003D640C" w:rsidRPr="0078026B">
        <w:t xml:space="preserve"> </w:t>
      </w:r>
      <w:r w:rsidR="007107F0" w:rsidRPr="0078026B">
        <w:t>bodies)</w:t>
      </w:r>
      <w:r w:rsidR="00A84494">
        <w:t>,</w:t>
      </w:r>
      <w:r w:rsidR="003D640C" w:rsidRPr="0078026B">
        <w:t xml:space="preserve"> </w:t>
      </w:r>
      <w:r w:rsidR="00587860" w:rsidRPr="0078026B">
        <w:t>as</w:t>
      </w:r>
      <w:r w:rsidR="003D640C" w:rsidRPr="0078026B">
        <w:t xml:space="preserve"> </w:t>
      </w:r>
      <w:r w:rsidR="00587860" w:rsidRPr="0078026B">
        <w:t>well</w:t>
      </w:r>
      <w:r w:rsidR="003D640C" w:rsidRPr="0078026B">
        <w:t xml:space="preserve"> </w:t>
      </w:r>
      <w:r w:rsidR="00587860" w:rsidRPr="0078026B">
        <w:t>as</w:t>
      </w:r>
      <w:r w:rsidR="003D640C" w:rsidRPr="0078026B">
        <w:t xml:space="preserve"> </w:t>
      </w:r>
      <w:r w:rsidRPr="0078026B">
        <w:t>survivors</w:t>
      </w:r>
      <w:r w:rsidR="003D640C" w:rsidRPr="0078026B">
        <w:t xml:space="preserve"> </w:t>
      </w:r>
      <w:r w:rsidRPr="0078026B">
        <w:t>and</w:t>
      </w:r>
      <w:r w:rsidR="003D640C" w:rsidRPr="008712CA">
        <w:t xml:space="preserve"> </w:t>
      </w:r>
      <w:r w:rsidRPr="008712CA">
        <w:t>Rainbow</w:t>
      </w:r>
      <w:r w:rsidR="003D640C" w:rsidRPr="008712CA">
        <w:t xml:space="preserve"> </w:t>
      </w:r>
      <w:r w:rsidRPr="008712CA">
        <w:t>people</w:t>
      </w:r>
      <w:r w:rsidR="003D640C" w:rsidRPr="008712CA">
        <w:t xml:space="preserve"> </w:t>
      </w:r>
      <w:r w:rsidR="005E0323" w:rsidRPr="008712CA">
        <w:t>to</w:t>
      </w:r>
      <w:r w:rsidR="003D640C" w:rsidRPr="008712CA">
        <w:t xml:space="preserve"> </w:t>
      </w:r>
      <w:r w:rsidRPr="008712CA">
        <w:t>both</w:t>
      </w:r>
      <w:r w:rsidR="003D640C" w:rsidRPr="0078026B">
        <w:rPr>
          <w:rFonts w:ascii="Calibri" w:eastAsia="Calibri" w:hAnsi="Calibri" w:cs="Calibri"/>
        </w:rPr>
        <w:t xml:space="preserve"> </w:t>
      </w:r>
      <w:r w:rsidRPr="0078026B">
        <w:rPr>
          <w:rFonts w:ascii="Calibri" w:eastAsia="Calibri" w:hAnsi="Calibri" w:cs="Calibri"/>
        </w:rPr>
        <w:t>educate</w:t>
      </w:r>
      <w:r w:rsidR="003D640C" w:rsidRPr="0078026B">
        <w:rPr>
          <w:rFonts w:ascii="Calibri" w:eastAsia="Calibri" w:hAnsi="Calibri" w:cs="Calibri"/>
        </w:rPr>
        <w:t xml:space="preserve"> </w:t>
      </w:r>
      <w:r w:rsidRPr="0078026B">
        <w:rPr>
          <w:rFonts w:ascii="Calibri" w:eastAsia="Calibri" w:hAnsi="Calibri" w:cs="Calibri"/>
        </w:rPr>
        <w:t>and</w:t>
      </w:r>
      <w:r w:rsidR="003D640C" w:rsidRPr="0078026B">
        <w:rPr>
          <w:rFonts w:ascii="Calibri" w:eastAsia="Calibri" w:hAnsi="Calibri" w:cs="Calibri"/>
        </w:rPr>
        <w:t xml:space="preserve"> </w:t>
      </w:r>
      <w:r w:rsidRPr="0078026B">
        <w:rPr>
          <w:rFonts w:ascii="Calibri" w:eastAsia="Calibri" w:hAnsi="Calibri" w:cs="Calibri"/>
        </w:rPr>
        <w:t>disseminate</w:t>
      </w:r>
      <w:r w:rsidR="003D640C" w:rsidRPr="0078026B">
        <w:rPr>
          <w:rFonts w:ascii="Calibri" w:eastAsia="Calibri" w:hAnsi="Calibri" w:cs="Calibri"/>
        </w:rPr>
        <w:t xml:space="preserve"> </w:t>
      </w:r>
      <w:r w:rsidRPr="0078026B">
        <w:rPr>
          <w:rFonts w:ascii="Calibri" w:eastAsia="Calibri" w:hAnsi="Calibri" w:cs="Calibri"/>
        </w:rPr>
        <w:t>findings</w:t>
      </w:r>
      <w:r w:rsidR="003D640C" w:rsidRPr="0078026B">
        <w:rPr>
          <w:rFonts w:ascii="Calibri" w:eastAsia="Calibri" w:hAnsi="Calibri" w:cs="Calibri"/>
        </w:rPr>
        <w:t xml:space="preserve"> </w:t>
      </w:r>
      <w:r w:rsidRPr="0078026B">
        <w:rPr>
          <w:rFonts w:ascii="Calibri" w:eastAsia="Calibri" w:hAnsi="Calibri" w:cs="Calibri"/>
        </w:rPr>
        <w:t>from</w:t>
      </w:r>
      <w:r w:rsidR="003D640C" w:rsidRPr="0078026B">
        <w:rPr>
          <w:rFonts w:ascii="Calibri" w:eastAsia="Calibri" w:hAnsi="Calibri" w:cs="Calibri"/>
        </w:rPr>
        <w:t xml:space="preserve"> </w:t>
      </w:r>
      <w:r w:rsidRPr="0078026B">
        <w:rPr>
          <w:rFonts w:ascii="Calibri" w:eastAsia="Calibri" w:hAnsi="Calibri" w:cs="Calibri"/>
        </w:rPr>
        <w:t>your</w:t>
      </w:r>
      <w:r w:rsidR="003D640C" w:rsidRPr="0078026B">
        <w:rPr>
          <w:rFonts w:ascii="Calibri" w:eastAsia="Calibri" w:hAnsi="Calibri" w:cs="Calibri"/>
        </w:rPr>
        <w:t xml:space="preserve"> </w:t>
      </w:r>
      <w:r w:rsidRPr="0078026B">
        <w:rPr>
          <w:rFonts w:ascii="Calibri" w:eastAsia="Calibri" w:hAnsi="Calibri" w:cs="Calibri"/>
        </w:rPr>
        <w:t>review</w:t>
      </w:r>
      <w:r w:rsidR="003D640C" w:rsidRPr="0078026B">
        <w:rPr>
          <w:rFonts w:ascii="Calibri" w:eastAsia="Calibri" w:hAnsi="Calibri" w:cs="Calibri"/>
        </w:rPr>
        <w:t xml:space="preserve"> </w:t>
      </w:r>
      <w:r w:rsidRPr="0078026B">
        <w:rPr>
          <w:rFonts w:ascii="Calibri" w:eastAsia="Calibri" w:hAnsi="Calibri" w:cs="Calibri"/>
        </w:rPr>
        <w:t>process</w:t>
      </w:r>
      <w:r w:rsidR="003D640C" w:rsidRPr="0078026B">
        <w:rPr>
          <w:rFonts w:ascii="Calibri" w:eastAsia="Calibri" w:hAnsi="Calibri" w:cs="Calibri"/>
        </w:rPr>
        <w:t xml:space="preserve"> </w:t>
      </w:r>
      <w:r w:rsidRPr="0078026B">
        <w:rPr>
          <w:rFonts w:ascii="Calibri" w:eastAsia="Calibri" w:hAnsi="Calibri" w:cs="Calibri"/>
        </w:rPr>
        <w:t>to</w:t>
      </w:r>
      <w:r w:rsidR="003D640C" w:rsidRPr="0078026B">
        <w:rPr>
          <w:rFonts w:ascii="Calibri" w:eastAsia="Calibri" w:hAnsi="Calibri" w:cs="Calibri"/>
        </w:rPr>
        <w:t xml:space="preserve"> </w:t>
      </w:r>
      <w:r w:rsidRPr="0078026B">
        <w:rPr>
          <w:rFonts w:ascii="Calibri" w:eastAsia="Calibri" w:hAnsi="Calibri" w:cs="Calibri"/>
        </w:rPr>
        <w:t>your</w:t>
      </w:r>
      <w:r w:rsidR="003D640C" w:rsidRPr="0078026B">
        <w:rPr>
          <w:rFonts w:ascii="Calibri" w:eastAsia="Calibri" w:hAnsi="Calibri" w:cs="Calibri"/>
        </w:rPr>
        <w:t xml:space="preserve"> </w:t>
      </w:r>
      <w:r w:rsidRPr="0078026B">
        <w:rPr>
          <w:rFonts w:ascii="Calibri" w:eastAsia="Calibri" w:hAnsi="Calibri" w:cs="Calibri"/>
        </w:rPr>
        <w:t>stakeholders.</w:t>
      </w:r>
      <w:r w:rsidR="003D640C" w:rsidRPr="0078026B">
        <w:rPr>
          <w:rFonts w:ascii="Calibri" w:eastAsia="Calibri" w:hAnsi="Calibri" w:cs="Calibri"/>
        </w:rPr>
        <w:t xml:space="preserve"> </w:t>
      </w:r>
    </w:p>
    <w:p w14:paraId="1245D841" w14:textId="22EC04DE" w:rsidR="60F5B189" w:rsidRPr="00680A91" w:rsidRDefault="3E5E7070" w:rsidP="008712CA">
      <w:pPr>
        <w:pStyle w:val="ListParagraph"/>
        <w:numPr>
          <w:ilvl w:val="0"/>
          <w:numId w:val="114"/>
        </w:numPr>
        <w:rPr>
          <w:rFonts w:ascii="Calibri" w:hAnsi="Calibri" w:cs="Calibri"/>
          <w:b/>
          <w:bCs/>
          <w:color w:val="3F3F3F"/>
        </w:rPr>
      </w:pPr>
      <w:r w:rsidRPr="00680A91">
        <w:rPr>
          <w:rFonts w:ascii="Calibri" w:hAnsi="Calibri" w:cs="Calibri"/>
          <w:b/>
          <w:bCs/>
          <w:color w:val="3F3F3F"/>
        </w:rPr>
        <w:t>Engage</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with</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resources</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about</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conversion</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practices</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that</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have</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been</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tailored</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to</w:t>
      </w:r>
      <w:r w:rsidR="003D640C" w:rsidRPr="00680A91">
        <w:rPr>
          <w:rFonts w:ascii="Calibri" w:eastAsia="Calibri" w:hAnsi="Calibri" w:cs="Calibri"/>
          <w:b/>
          <w:bCs/>
          <w:color w:val="3F3F3F"/>
        </w:rPr>
        <w:t xml:space="preserve"> </w:t>
      </w:r>
      <w:r w:rsidRPr="00680A91">
        <w:rPr>
          <w:rFonts w:ascii="Calibri" w:eastAsia="Calibri" w:hAnsi="Calibri" w:cs="Calibri"/>
          <w:b/>
          <w:bCs/>
          <w:color w:val="3F3F3F"/>
        </w:rPr>
        <w:t>religious</w:t>
      </w:r>
      <w:r w:rsidR="003D640C" w:rsidRPr="00680A91">
        <w:rPr>
          <w:rFonts w:ascii="Calibri" w:eastAsia="Calibri" w:hAnsi="Calibri" w:cs="Calibri"/>
          <w:b/>
          <w:bCs/>
          <w:color w:val="3F3F3F"/>
        </w:rPr>
        <w:t xml:space="preserve"> </w:t>
      </w:r>
      <w:r w:rsidRPr="00680A91">
        <w:rPr>
          <w:b/>
          <w:bCs/>
        </w:rPr>
        <w:t>communities</w:t>
      </w:r>
      <w:r w:rsidRPr="00680A91">
        <w:rPr>
          <w:rFonts w:ascii="Calibri" w:eastAsia="Calibri" w:hAnsi="Calibri" w:cs="Calibri"/>
          <w:b/>
          <w:bCs/>
          <w:color w:val="3F3F3F"/>
        </w:rPr>
        <w:t>.</w:t>
      </w:r>
    </w:p>
    <w:p w14:paraId="4B5ED907" w14:textId="582BD0F9" w:rsidR="60F5B189" w:rsidRPr="0078026B" w:rsidRDefault="3E5E7070" w:rsidP="008712CA">
      <w:pPr>
        <w:pStyle w:val="ListParagraph"/>
        <w:numPr>
          <w:ilvl w:val="1"/>
          <w:numId w:val="114"/>
        </w:numPr>
        <w:ind w:left="794" w:hanging="397"/>
      </w:pPr>
      <w:r w:rsidRPr="0078026B">
        <w:t>Listen</w:t>
      </w:r>
      <w:r w:rsidR="003D640C" w:rsidRPr="0078026B">
        <w:t xml:space="preserve"> </w:t>
      </w:r>
      <w:r w:rsidRPr="0078026B">
        <w:t>to</w:t>
      </w:r>
      <w:r w:rsidR="003D640C" w:rsidRPr="0078026B">
        <w:t xml:space="preserve"> </w:t>
      </w:r>
      <w:r w:rsidRPr="0078026B">
        <w:t>survivor</w:t>
      </w:r>
      <w:r w:rsidR="003D640C" w:rsidRPr="0078026B">
        <w:t xml:space="preserve"> </w:t>
      </w:r>
      <w:r w:rsidRPr="0078026B">
        <w:t>stories</w:t>
      </w:r>
      <w:r w:rsidR="003D640C" w:rsidRPr="0078026B">
        <w:t xml:space="preserve"> </w:t>
      </w:r>
      <w:r w:rsidRPr="0078026B">
        <w:t>about</w:t>
      </w:r>
      <w:r w:rsidR="003D640C" w:rsidRPr="0078026B">
        <w:t xml:space="preserve"> </w:t>
      </w:r>
      <w:r w:rsidRPr="0078026B">
        <w:t>their</w:t>
      </w:r>
      <w:r w:rsidR="003D640C" w:rsidRPr="0078026B">
        <w:t xml:space="preserve"> </w:t>
      </w:r>
      <w:r w:rsidRPr="0078026B">
        <w:t>experiences</w:t>
      </w:r>
      <w:r w:rsidR="003D640C" w:rsidRPr="0078026B">
        <w:t xml:space="preserve"> </w:t>
      </w:r>
      <w:r w:rsidRPr="0078026B">
        <w:t>of</w:t>
      </w:r>
      <w:r w:rsidR="003D640C" w:rsidRPr="0078026B">
        <w:t xml:space="preserve"> </w:t>
      </w:r>
      <w:r w:rsidRPr="0078026B">
        <w:t>conversion</w:t>
      </w:r>
      <w:r w:rsidR="003D640C" w:rsidRPr="0078026B">
        <w:t xml:space="preserve"> </w:t>
      </w:r>
      <w:r w:rsidRPr="0078026B">
        <w:t>practices</w:t>
      </w:r>
      <w:r w:rsidR="003D640C" w:rsidRPr="0078026B">
        <w:t xml:space="preserve"> </w:t>
      </w:r>
      <w:r w:rsidRPr="0078026B">
        <w:t>in</w:t>
      </w:r>
      <w:r w:rsidR="003D640C" w:rsidRPr="0078026B">
        <w:t xml:space="preserve"> </w:t>
      </w:r>
      <w:r w:rsidRPr="0078026B">
        <w:t>religious</w:t>
      </w:r>
      <w:r w:rsidR="003D640C" w:rsidRPr="0078026B">
        <w:t xml:space="preserve"> </w:t>
      </w:r>
      <w:r w:rsidRPr="0078026B">
        <w:t>settings</w:t>
      </w:r>
      <w:r w:rsidR="003D640C" w:rsidRPr="0078026B">
        <w:t xml:space="preserve"> </w:t>
      </w:r>
      <w:r w:rsidRPr="0078026B">
        <w:t>and</w:t>
      </w:r>
      <w:r w:rsidR="003D640C" w:rsidRPr="0078026B">
        <w:t xml:space="preserve"> </w:t>
      </w:r>
      <w:r w:rsidRPr="0078026B">
        <w:t>hold</w:t>
      </w:r>
      <w:r w:rsidR="003D640C" w:rsidRPr="0078026B">
        <w:t xml:space="preserve"> </w:t>
      </w:r>
      <w:r w:rsidRPr="0078026B">
        <w:t>reflective</w:t>
      </w:r>
      <w:r w:rsidR="003D640C" w:rsidRPr="0078026B">
        <w:t xml:space="preserve"> </w:t>
      </w:r>
      <w:r w:rsidRPr="0078026B">
        <w:t>and</w:t>
      </w:r>
      <w:r w:rsidR="003D640C" w:rsidRPr="0078026B">
        <w:t xml:space="preserve"> </w:t>
      </w:r>
      <w:r w:rsidRPr="0078026B">
        <w:t>safe</w:t>
      </w:r>
      <w:r w:rsidR="003D640C" w:rsidRPr="0078026B">
        <w:t xml:space="preserve"> </w:t>
      </w:r>
      <w:r w:rsidRPr="0078026B">
        <w:t>discussions</w:t>
      </w:r>
      <w:r w:rsidR="003D640C" w:rsidRPr="0078026B">
        <w:t xml:space="preserve"> </w:t>
      </w:r>
      <w:r w:rsidRPr="0078026B">
        <w:t>that</w:t>
      </w:r>
      <w:r w:rsidR="003D640C" w:rsidRPr="0078026B">
        <w:t xml:space="preserve"> </w:t>
      </w:r>
      <w:r w:rsidRPr="0078026B">
        <w:t>include</w:t>
      </w:r>
      <w:r w:rsidR="003D640C" w:rsidRPr="0078026B">
        <w:t xml:space="preserve"> </w:t>
      </w:r>
      <w:r w:rsidRPr="0078026B">
        <w:t>lived</w:t>
      </w:r>
      <w:r w:rsidR="003D640C" w:rsidRPr="0078026B">
        <w:t xml:space="preserve"> </w:t>
      </w:r>
      <w:r w:rsidRPr="0078026B">
        <w:t>experience</w:t>
      </w:r>
      <w:r w:rsidR="003D640C" w:rsidRPr="0078026B">
        <w:t xml:space="preserve"> </w:t>
      </w:r>
      <w:r w:rsidRPr="0078026B">
        <w:t>voices.</w:t>
      </w:r>
      <w:r w:rsidR="003D640C" w:rsidRPr="0078026B">
        <w:t xml:space="preserve"> </w:t>
      </w:r>
    </w:p>
    <w:p w14:paraId="4F38E8C4" w14:textId="00BEC958" w:rsidR="00501068" w:rsidRPr="0078026B" w:rsidRDefault="3E5E7070" w:rsidP="008712CA">
      <w:pPr>
        <w:pStyle w:val="ListParagraph"/>
        <w:numPr>
          <w:ilvl w:val="1"/>
          <w:numId w:val="114"/>
        </w:numPr>
        <w:ind w:left="794" w:hanging="397"/>
      </w:pPr>
      <w:r w:rsidRPr="0078026B">
        <w:t>Co-produce</w:t>
      </w:r>
      <w:r w:rsidR="003D640C" w:rsidRPr="0078026B">
        <w:t xml:space="preserve"> </w:t>
      </w:r>
      <w:r w:rsidRPr="0078026B">
        <w:t>action</w:t>
      </w:r>
      <w:r w:rsidR="003D640C" w:rsidRPr="0078026B">
        <w:t xml:space="preserve"> </w:t>
      </w:r>
      <w:r w:rsidRPr="0078026B">
        <w:t>plans</w:t>
      </w:r>
      <w:r w:rsidR="003D640C" w:rsidRPr="0078026B">
        <w:t xml:space="preserve"> </w:t>
      </w:r>
      <w:r w:rsidRPr="0078026B">
        <w:t>with</w:t>
      </w:r>
      <w:r w:rsidR="003D640C" w:rsidRPr="0078026B">
        <w:t xml:space="preserve"> </w:t>
      </w:r>
      <w:r w:rsidRPr="0078026B">
        <w:t>survivors</w:t>
      </w:r>
      <w:r w:rsidR="003D640C" w:rsidRPr="0078026B">
        <w:t xml:space="preserve"> </w:t>
      </w:r>
      <w:r w:rsidRPr="0078026B">
        <w:t>that</w:t>
      </w:r>
      <w:r w:rsidR="003D640C" w:rsidRPr="0078026B">
        <w:t xml:space="preserve"> </w:t>
      </w:r>
      <w:r w:rsidRPr="0078026B">
        <w:t>include</w:t>
      </w:r>
      <w:r w:rsidR="003D640C" w:rsidRPr="0078026B">
        <w:t xml:space="preserve"> </w:t>
      </w:r>
      <w:r w:rsidRPr="0078026B">
        <w:t>clear</w:t>
      </w:r>
      <w:r w:rsidR="003D640C" w:rsidRPr="0078026B">
        <w:t xml:space="preserve"> </w:t>
      </w:r>
      <w:r w:rsidRPr="0078026B">
        <w:t>statements</w:t>
      </w:r>
      <w:r w:rsidR="003D640C" w:rsidRPr="0078026B">
        <w:t xml:space="preserve"> </w:t>
      </w:r>
      <w:r w:rsidRPr="0078026B">
        <w:t>against</w:t>
      </w:r>
      <w:r w:rsidR="003D640C" w:rsidRPr="0078026B">
        <w:t xml:space="preserve"> </w:t>
      </w:r>
      <w:r w:rsidRPr="0078026B">
        <w:t>conversion</w:t>
      </w:r>
      <w:r w:rsidR="003D640C" w:rsidRPr="008712CA">
        <w:t xml:space="preserve"> </w:t>
      </w:r>
      <w:r w:rsidRPr="008712CA">
        <w:t>practices</w:t>
      </w:r>
      <w:r w:rsidR="003D640C" w:rsidRPr="008712CA">
        <w:t xml:space="preserve"> </w:t>
      </w:r>
      <w:r w:rsidRPr="008712CA">
        <w:t>an</w:t>
      </w:r>
      <w:r w:rsidRPr="0078026B">
        <w:rPr>
          <w:rFonts w:ascii="Calibri" w:eastAsia="Calibri" w:hAnsi="Calibri" w:cs="Calibri"/>
          <w:color w:val="3F3F3F"/>
        </w:rPr>
        <w:t>d</w:t>
      </w:r>
      <w:r w:rsidR="003D640C" w:rsidRPr="0078026B">
        <w:rPr>
          <w:rFonts w:ascii="Calibri" w:eastAsia="Calibri" w:hAnsi="Calibri" w:cs="Calibri"/>
          <w:color w:val="3F3F3F"/>
        </w:rPr>
        <w:t xml:space="preserve"> </w:t>
      </w:r>
      <w:r w:rsidRPr="0078026B">
        <w:rPr>
          <w:rFonts w:ascii="Calibri" w:eastAsia="Calibri" w:hAnsi="Calibri" w:cs="Calibri"/>
          <w:color w:val="3F3F3F"/>
        </w:rPr>
        <w:t>an</w:t>
      </w:r>
      <w:r w:rsidR="003D640C" w:rsidRPr="0078026B">
        <w:rPr>
          <w:rFonts w:ascii="Calibri" w:eastAsia="Calibri" w:hAnsi="Calibri" w:cs="Calibri"/>
          <w:color w:val="3F3F3F"/>
        </w:rPr>
        <w:t xml:space="preserve"> </w:t>
      </w:r>
      <w:r w:rsidRPr="0078026B">
        <w:rPr>
          <w:rFonts w:ascii="Calibri" w:eastAsia="Calibri" w:hAnsi="Calibri" w:cs="Calibri"/>
          <w:color w:val="3F3F3F"/>
        </w:rPr>
        <w:t>outline</w:t>
      </w:r>
      <w:r w:rsidR="003D640C" w:rsidRPr="0078026B">
        <w:rPr>
          <w:rFonts w:ascii="Calibri" w:eastAsia="Calibri" w:hAnsi="Calibri" w:cs="Calibri"/>
          <w:color w:val="3F3F3F"/>
        </w:rPr>
        <w:t xml:space="preserve"> </w:t>
      </w:r>
      <w:r w:rsidRPr="0078026B">
        <w:rPr>
          <w:rFonts w:ascii="Calibri" w:eastAsia="Calibri" w:hAnsi="Calibri" w:cs="Calibri"/>
          <w:color w:val="3F3F3F"/>
        </w:rPr>
        <w:t>of</w:t>
      </w:r>
      <w:r w:rsidR="003D640C" w:rsidRPr="0078026B">
        <w:rPr>
          <w:rFonts w:ascii="Calibri" w:eastAsia="Calibri" w:hAnsi="Calibri" w:cs="Calibri"/>
          <w:color w:val="3F3F3F"/>
        </w:rPr>
        <w:t xml:space="preserve"> </w:t>
      </w:r>
      <w:r w:rsidRPr="0078026B">
        <w:rPr>
          <w:rFonts w:ascii="Calibri" w:eastAsia="Calibri" w:hAnsi="Calibri" w:cs="Calibri"/>
          <w:color w:val="3F3F3F"/>
        </w:rPr>
        <w:t>their</w:t>
      </w:r>
      <w:r w:rsidR="003D640C" w:rsidRPr="0078026B">
        <w:rPr>
          <w:rFonts w:ascii="Calibri" w:eastAsia="Calibri" w:hAnsi="Calibri" w:cs="Calibri"/>
          <w:color w:val="3F3F3F"/>
        </w:rPr>
        <w:t xml:space="preserve"> </w:t>
      </w:r>
      <w:r w:rsidRPr="0078026B">
        <w:rPr>
          <w:rFonts w:ascii="Calibri" w:eastAsia="Calibri" w:hAnsi="Calibri" w:cs="Calibri"/>
          <w:color w:val="3F3F3F"/>
        </w:rPr>
        <w:t>harms,</w:t>
      </w:r>
      <w:r w:rsidR="003D640C" w:rsidRPr="0078026B">
        <w:rPr>
          <w:rFonts w:ascii="Calibri" w:eastAsia="Calibri" w:hAnsi="Calibri" w:cs="Calibri"/>
          <w:color w:val="3F3F3F"/>
        </w:rPr>
        <w:t xml:space="preserve"> </w:t>
      </w:r>
      <w:r w:rsidRPr="0078026B">
        <w:rPr>
          <w:rFonts w:ascii="Calibri" w:eastAsia="Calibri" w:hAnsi="Calibri" w:cs="Calibri"/>
          <w:color w:val="3F3F3F"/>
        </w:rPr>
        <w:t>as</w:t>
      </w:r>
      <w:r w:rsidR="003D640C" w:rsidRPr="0078026B">
        <w:rPr>
          <w:rFonts w:ascii="Calibri" w:eastAsia="Calibri" w:hAnsi="Calibri" w:cs="Calibri"/>
          <w:color w:val="3F3F3F"/>
        </w:rPr>
        <w:t xml:space="preserve"> </w:t>
      </w:r>
      <w:r w:rsidRPr="0078026B">
        <w:rPr>
          <w:rFonts w:ascii="Calibri" w:eastAsia="Calibri" w:hAnsi="Calibri" w:cs="Calibri"/>
          <w:color w:val="3F3F3F"/>
        </w:rPr>
        <w:t>well</w:t>
      </w:r>
      <w:r w:rsidR="003D640C" w:rsidRPr="0078026B">
        <w:rPr>
          <w:rFonts w:ascii="Calibri" w:eastAsia="Calibri" w:hAnsi="Calibri" w:cs="Calibri"/>
          <w:color w:val="3F3F3F"/>
        </w:rPr>
        <w:t xml:space="preserve"> </w:t>
      </w:r>
      <w:r w:rsidRPr="0078026B">
        <w:rPr>
          <w:rFonts w:ascii="Calibri" w:eastAsia="Calibri" w:hAnsi="Calibri" w:cs="Calibri"/>
          <w:color w:val="3F3F3F"/>
        </w:rPr>
        <w:t>as</w:t>
      </w:r>
      <w:r w:rsidR="003D640C" w:rsidRPr="0078026B">
        <w:rPr>
          <w:rFonts w:ascii="Calibri" w:eastAsia="Calibri" w:hAnsi="Calibri" w:cs="Calibri"/>
          <w:color w:val="3F3F3F"/>
        </w:rPr>
        <w:t xml:space="preserve"> </w:t>
      </w:r>
      <w:r w:rsidRPr="0078026B">
        <w:rPr>
          <w:rFonts w:ascii="Calibri" w:eastAsia="Calibri" w:hAnsi="Calibri" w:cs="Calibri"/>
          <w:color w:val="3F3F3F"/>
        </w:rPr>
        <w:t>prevention</w:t>
      </w:r>
      <w:r w:rsidR="003D640C" w:rsidRPr="0078026B">
        <w:rPr>
          <w:rFonts w:ascii="Calibri" w:eastAsia="Calibri" w:hAnsi="Calibri" w:cs="Calibri"/>
          <w:color w:val="3F3F3F"/>
        </w:rPr>
        <w:t xml:space="preserve"> </w:t>
      </w:r>
      <w:r w:rsidRPr="0078026B">
        <w:rPr>
          <w:rFonts w:ascii="Calibri" w:eastAsia="Calibri" w:hAnsi="Calibri" w:cs="Calibri"/>
          <w:color w:val="3F3F3F"/>
        </w:rPr>
        <w:t>and</w:t>
      </w:r>
      <w:r w:rsidR="003D640C" w:rsidRPr="0078026B">
        <w:rPr>
          <w:rFonts w:ascii="Calibri" w:eastAsia="Calibri" w:hAnsi="Calibri" w:cs="Calibri"/>
          <w:color w:val="3F3F3F"/>
        </w:rPr>
        <w:t xml:space="preserve"> </w:t>
      </w:r>
      <w:r w:rsidRPr="0078026B">
        <w:rPr>
          <w:rFonts w:ascii="Calibri" w:eastAsia="Calibri" w:hAnsi="Calibri" w:cs="Calibri"/>
          <w:color w:val="3F3F3F"/>
        </w:rPr>
        <w:t>response</w:t>
      </w:r>
      <w:r w:rsidR="003D640C" w:rsidRPr="0078026B">
        <w:rPr>
          <w:rFonts w:ascii="Calibri" w:eastAsia="Calibri" w:hAnsi="Calibri" w:cs="Calibri"/>
          <w:color w:val="3F3F3F"/>
        </w:rPr>
        <w:t xml:space="preserve"> </w:t>
      </w:r>
      <w:r w:rsidRPr="0078026B">
        <w:rPr>
          <w:rFonts w:ascii="Calibri" w:eastAsia="Calibri" w:hAnsi="Calibri" w:cs="Calibri"/>
          <w:color w:val="3F3F3F"/>
        </w:rPr>
        <w:t>policies.</w:t>
      </w:r>
      <w:r w:rsidR="003D640C" w:rsidRPr="0078026B">
        <w:rPr>
          <w:rFonts w:ascii="Calibri" w:eastAsia="Calibri" w:hAnsi="Calibri" w:cs="Calibri"/>
          <w:color w:val="3F3F3F"/>
        </w:rPr>
        <w:t xml:space="preserve"> </w:t>
      </w:r>
    </w:p>
    <w:p w14:paraId="5B9BF567" w14:textId="743C74C4" w:rsidR="60F5B189" w:rsidRPr="00680A91" w:rsidRDefault="00074962" w:rsidP="008712CA">
      <w:pPr>
        <w:pStyle w:val="ListParagraph"/>
        <w:numPr>
          <w:ilvl w:val="0"/>
          <w:numId w:val="114"/>
        </w:numPr>
        <w:rPr>
          <w:rFonts w:ascii="Calibri" w:eastAsia="Calibri" w:hAnsi="Calibri" w:cs="Calibri"/>
          <w:b/>
          <w:bCs/>
        </w:rPr>
      </w:pPr>
      <w:r w:rsidRPr="00680A91">
        <w:rPr>
          <w:b/>
          <w:bCs/>
        </w:rPr>
        <w:t>Conduct</w:t>
      </w:r>
      <w:r w:rsidR="003D640C" w:rsidRPr="00680A91">
        <w:rPr>
          <w:rFonts w:ascii="Calibri" w:eastAsia="Calibri" w:hAnsi="Calibri" w:cs="Calibri"/>
          <w:b/>
          <w:bCs/>
        </w:rPr>
        <w:t xml:space="preserve"> </w:t>
      </w:r>
      <w:r w:rsidR="3E5E7070" w:rsidRPr="00680A91">
        <w:rPr>
          <w:rFonts w:ascii="Calibri" w:eastAsia="Calibri" w:hAnsi="Calibri" w:cs="Calibri"/>
          <w:b/>
          <w:bCs/>
        </w:rPr>
        <w:t>research</w:t>
      </w:r>
      <w:r w:rsidR="003D640C" w:rsidRPr="00680A91">
        <w:rPr>
          <w:rFonts w:ascii="Calibri" w:eastAsia="Calibri" w:hAnsi="Calibri" w:cs="Calibri"/>
          <w:b/>
          <w:bCs/>
        </w:rPr>
        <w:t xml:space="preserve"> </w:t>
      </w:r>
      <w:r w:rsidR="3E5E7070" w:rsidRPr="00680A91">
        <w:rPr>
          <w:rFonts w:ascii="Calibri" w:eastAsia="Calibri" w:hAnsi="Calibri" w:cs="Calibri"/>
          <w:b/>
          <w:bCs/>
        </w:rPr>
        <w:t>at</w:t>
      </w:r>
      <w:r w:rsidR="003D640C" w:rsidRPr="00680A91">
        <w:rPr>
          <w:rFonts w:ascii="Calibri" w:eastAsia="Calibri" w:hAnsi="Calibri" w:cs="Calibri"/>
          <w:b/>
          <w:bCs/>
        </w:rPr>
        <w:t xml:space="preserve"> </w:t>
      </w:r>
      <w:r w:rsidR="3E5E7070" w:rsidRPr="00680A91">
        <w:rPr>
          <w:rFonts w:ascii="Calibri" w:eastAsia="Calibri" w:hAnsi="Calibri" w:cs="Calibri"/>
          <w:b/>
          <w:bCs/>
        </w:rPr>
        <w:t>the</w:t>
      </w:r>
      <w:r w:rsidR="003D640C" w:rsidRPr="00680A91">
        <w:rPr>
          <w:rFonts w:ascii="Calibri" w:eastAsia="Calibri" w:hAnsi="Calibri" w:cs="Calibri"/>
          <w:b/>
          <w:bCs/>
        </w:rPr>
        <w:t xml:space="preserve"> </w:t>
      </w:r>
      <w:r w:rsidR="3E5E7070" w:rsidRPr="00680A91">
        <w:rPr>
          <w:rFonts w:ascii="Calibri" w:eastAsia="Calibri" w:hAnsi="Calibri" w:cs="Calibri"/>
          <w:b/>
          <w:bCs/>
        </w:rPr>
        <w:t>highest</w:t>
      </w:r>
      <w:r w:rsidR="003D640C" w:rsidRPr="00680A91">
        <w:rPr>
          <w:rFonts w:ascii="Calibri" w:eastAsia="Calibri" w:hAnsi="Calibri" w:cs="Calibri"/>
          <w:b/>
          <w:bCs/>
        </w:rPr>
        <w:t xml:space="preserve"> </w:t>
      </w:r>
      <w:r w:rsidR="3E5E7070" w:rsidRPr="00680A91">
        <w:rPr>
          <w:rFonts w:ascii="Calibri" w:eastAsia="Calibri" w:hAnsi="Calibri" w:cs="Calibri"/>
          <w:b/>
          <w:bCs/>
        </w:rPr>
        <w:t>levels</w:t>
      </w:r>
      <w:r w:rsidR="003D640C" w:rsidRPr="00680A91">
        <w:rPr>
          <w:rFonts w:ascii="Calibri" w:eastAsia="Calibri" w:hAnsi="Calibri" w:cs="Calibri"/>
          <w:b/>
          <w:bCs/>
        </w:rPr>
        <w:t xml:space="preserve"> </w:t>
      </w:r>
      <w:r w:rsidR="3E5E7070" w:rsidRPr="00680A91">
        <w:rPr>
          <w:rFonts w:ascii="Calibri" w:eastAsia="Calibri" w:hAnsi="Calibri" w:cs="Calibri"/>
          <w:b/>
          <w:bCs/>
        </w:rPr>
        <w:t>of</w:t>
      </w:r>
      <w:r w:rsidR="003D640C" w:rsidRPr="00680A91">
        <w:rPr>
          <w:rFonts w:ascii="Calibri" w:eastAsia="Calibri" w:hAnsi="Calibri" w:cs="Calibri"/>
          <w:b/>
          <w:bCs/>
        </w:rPr>
        <w:t xml:space="preserve"> </w:t>
      </w:r>
      <w:r w:rsidR="3E5E7070" w:rsidRPr="00680A91">
        <w:rPr>
          <w:rFonts w:ascii="Calibri" w:eastAsia="Calibri" w:hAnsi="Calibri" w:cs="Calibri"/>
          <w:b/>
          <w:bCs/>
        </w:rPr>
        <w:t>your</w:t>
      </w:r>
      <w:r w:rsidR="003D640C" w:rsidRPr="00680A91">
        <w:rPr>
          <w:rFonts w:ascii="Calibri" w:eastAsia="Calibri" w:hAnsi="Calibri" w:cs="Calibri"/>
          <w:b/>
          <w:bCs/>
        </w:rPr>
        <w:t xml:space="preserve"> </w:t>
      </w:r>
      <w:r w:rsidR="00C05236" w:rsidRPr="00680A91">
        <w:rPr>
          <w:rFonts w:ascii="Calibri" w:eastAsia="Calibri" w:hAnsi="Calibri" w:cs="Calibri"/>
          <w:b/>
          <w:bCs/>
        </w:rPr>
        <w:t>faith/spiritual</w:t>
      </w:r>
      <w:r w:rsidR="003D640C" w:rsidRPr="00680A91">
        <w:rPr>
          <w:rFonts w:ascii="Calibri" w:eastAsia="Calibri" w:hAnsi="Calibri" w:cs="Calibri"/>
          <w:b/>
          <w:bCs/>
        </w:rPr>
        <w:t xml:space="preserve"> </w:t>
      </w:r>
      <w:r w:rsidR="00C05236" w:rsidRPr="00680A91">
        <w:rPr>
          <w:rFonts w:ascii="Calibri" w:eastAsia="Calibri" w:hAnsi="Calibri" w:cs="Calibri"/>
          <w:b/>
          <w:bCs/>
        </w:rPr>
        <w:t>group</w:t>
      </w:r>
      <w:r w:rsidR="003D640C" w:rsidRPr="00680A91">
        <w:rPr>
          <w:rFonts w:ascii="Calibri" w:eastAsia="Calibri" w:hAnsi="Calibri" w:cs="Calibri"/>
          <w:b/>
          <w:bCs/>
        </w:rPr>
        <w:t xml:space="preserve"> </w:t>
      </w:r>
      <w:r w:rsidR="005A5F93" w:rsidRPr="00680A91">
        <w:rPr>
          <w:rFonts w:ascii="Calibri" w:eastAsia="Calibri" w:hAnsi="Calibri" w:cs="Calibri"/>
          <w:b/>
          <w:bCs/>
        </w:rPr>
        <w:t>on</w:t>
      </w:r>
      <w:r w:rsidR="003D640C" w:rsidRPr="00680A91">
        <w:rPr>
          <w:rFonts w:ascii="Calibri" w:eastAsia="Calibri" w:hAnsi="Calibri" w:cs="Calibri"/>
          <w:b/>
          <w:bCs/>
        </w:rPr>
        <w:t xml:space="preserve"> </w:t>
      </w:r>
      <w:r w:rsidR="005A5F93" w:rsidRPr="00680A91">
        <w:rPr>
          <w:rFonts w:ascii="Calibri" w:eastAsia="Calibri" w:hAnsi="Calibri" w:cs="Calibri"/>
          <w:b/>
          <w:bCs/>
        </w:rPr>
        <w:t>gender</w:t>
      </w:r>
      <w:r w:rsidR="003D640C" w:rsidRPr="00680A91">
        <w:rPr>
          <w:rFonts w:ascii="Calibri" w:eastAsia="Calibri" w:hAnsi="Calibri" w:cs="Calibri"/>
          <w:b/>
          <w:bCs/>
        </w:rPr>
        <w:t xml:space="preserve"> </w:t>
      </w:r>
      <w:r w:rsidR="005A5F93" w:rsidRPr="00680A91">
        <w:rPr>
          <w:rFonts w:ascii="Calibri" w:eastAsia="Calibri" w:hAnsi="Calibri" w:cs="Calibri"/>
          <w:b/>
          <w:bCs/>
        </w:rPr>
        <w:t>and</w:t>
      </w:r>
      <w:r w:rsidR="003D640C" w:rsidRPr="00680A91">
        <w:rPr>
          <w:rFonts w:ascii="Calibri" w:eastAsia="Calibri" w:hAnsi="Calibri" w:cs="Calibri"/>
          <w:b/>
          <w:bCs/>
        </w:rPr>
        <w:t xml:space="preserve"> </w:t>
      </w:r>
      <w:r w:rsidR="005A5F93" w:rsidRPr="00680A91">
        <w:rPr>
          <w:rFonts w:ascii="Calibri" w:eastAsia="Calibri" w:hAnsi="Calibri" w:cs="Calibri"/>
          <w:b/>
          <w:bCs/>
        </w:rPr>
        <w:t>sexuality-based</w:t>
      </w:r>
      <w:r w:rsidR="003D640C" w:rsidRPr="00680A91">
        <w:rPr>
          <w:rFonts w:ascii="Calibri" w:eastAsia="Calibri" w:hAnsi="Calibri" w:cs="Calibri"/>
          <w:b/>
          <w:bCs/>
        </w:rPr>
        <w:t xml:space="preserve"> </w:t>
      </w:r>
      <w:r w:rsidR="00C05236" w:rsidRPr="00680A91">
        <w:rPr>
          <w:rFonts w:ascii="Calibri" w:eastAsia="Calibri" w:hAnsi="Calibri" w:cs="Calibri"/>
          <w:b/>
          <w:bCs/>
        </w:rPr>
        <w:t>spiritual</w:t>
      </w:r>
      <w:r w:rsidR="003D640C" w:rsidRPr="00680A91">
        <w:rPr>
          <w:rFonts w:ascii="Calibri" w:eastAsia="Calibri" w:hAnsi="Calibri" w:cs="Calibri"/>
          <w:b/>
          <w:bCs/>
        </w:rPr>
        <w:t xml:space="preserve"> </w:t>
      </w:r>
      <w:r w:rsidR="005A5F93" w:rsidRPr="00680A91">
        <w:rPr>
          <w:rFonts w:ascii="Calibri" w:eastAsia="Calibri" w:hAnsi="Calibri" w:cs="Calibri"/>
          <w:b/>
          <w:bCs/>
        </w:rPr>
        <w:t>abuse</w:t>
      </w:r>
      <w:r w:rsidR="003D640C" w:rsidRPr="00680A91">
        <w:rPr>
          <w:rFonts w:ascii="Calibri" w:eastAsia="Calibri" w:hAnsi="Calibri" w:cs="Calibri"/>
          <w:b/>
          <w:bCs/>
        </w:rPr>
        <w:t xml:space="preserve"> </w:t>
      </w:r>
      <w:r w:rsidR="005A5F93" w:rsidRPr="00680A91">
        <w:rPr>
          <w:rFonts w:ascii="Calibri" w:eastAsia="Calibri" w:hAnsi="Calibri" w:cs="Calibri"/>
          <w:b/>
          <w:bCs/>
        </w:rPr>
        <w:t>and</w:t>
      </w:r>
      <w:r w:rsidR="003D640C" w:rsidRPr="00680A91">
        <w:rPr>
          <w:rFonts w:ascii="Calibri" w:eastAsia="Calibri" w:hAnsi="Calibri" w:cs="Calibri"/>
          <w:b/>
          <w:bCs/>
        </w:rPr>
        <w:t xml:space="preserve"> </w:t>
      </w:r>
      <w:r w:rsidR="005A5F93" w:rsidRPr="00680A91">
        <w:rPr>
          <w:rFonts w:ascii="Calibri" w:eastAsia="Calibri" w:hAnsi="Calibri" w:cs="Calibri"/>
          <w:b/>
          <w:bCs/>
        </w:rPr>
        <w:t>the</w:t>
      </w:r>
      <w:r w:rsidR="003D640C" w:rsidRPr="00680A91">
        <w:rPr>
          <w:rFonts w:ascii="Calibri" w:eastAsia="Calibri" w:hAnsi="Calibri" w:cs="Calibri"/>
          <w:b/>
          <w:bCs/>
        </w:rPr>
        <w:t xml:space="preserve"> </w:t>
      </w:r>
      <w:r w:rsidR="005A5F93" w:rsidRPr="00680A91">
        <w:rPr>
          <w:rFonts w:ascii="Calibri" w:eastAsia="Calibri" w:hAnsi="Calibri" w:cs="Calibri"/>
          <w:b/>
          <w:bCs/>
        </w:rPr>
        <w:t>harm</w:t>
      </w:r>
      <w:r w:rsidR="003D640C" w:rsidRPr="00680A91">
        <w:rPr>
          <w:rFonts w:ascii="Calibri" w:eastAsia="Calibri" w:hAnsi="Calibri" w:cs="Calibri"/>
          <w:b/>
          <w:bCs/>
        </w:rPr>
        <w:t xml:space="preserve"> </w:t>
      </w:r>
      <w:r w:rsidR="005A5F93" w:rsidRPr="00680A91">
        <w:rPr>
          <w:rFonts w:ascii="Calibri" w:eastAsia="Calibri" w:hAnsi="Calibri" w:cs="Calibri"/>
          <w:b/>
          <w:bCs/>
        </w:rPr>
        <w:t>caused</w:t>
      </w:r>
      <w:r w:rsidR="003D640C" w:rsidRPr="00680A91">
        <w:rPr>
          <w:rFonts w:ascii="Calibri" w:eastAsia="Calibri" w:hAnsi="Calibri" w:cs="Calibri"/>
          <w:b/>
          <w:bCs/>
        </w:rPr>
        <w:t xml:space="preserve"> </w:t>
      </w:r>
      <w:r w:rsidR="005A5F93" w:rsidRPr="00680A91">
        <w:rPr>
          <w:rFonts w:ascii="Calibri" w:eastAsia="Calibri" w:hAnsi="Calibri" w:cs="Calibri"/>
          <w:b/>
          <w:bCs/>
        </w:rPr>
        <w:t>by</w:t>
      </w:r>
      <w:r w:rsidR="003D640C" w:rsidRPr="00680A91">
        <w:rPr>
          <w:rFonts w:ascii="Calibri" w:eastAsia="Calibri" w:hAnsi="Calibri" w:cs="Calibri"/>
          <w:b/>
          <w:bCs/>
        </w:rPr>
        <w:t xml:space="preserve"> </w:t>
      </w:r>
      <w:r w:rsidR="005A5F93" w:rsidRPr="00680A91">
        <w:rPr>
          <w:rFonts w:ascii="Calibri" w:eastAsia="Calibri" w:hAnsi="Calibri" w:cs="Calibri"/>
          <w:b/>
          <w:bCs/>
        </w:rPr>
        <w:t>conversion</w:t>
      </w:r>
      <w:r w:rsidR="003D640C" w:rsidRPr="00680A91">
        <w:rPr>
          <w:rFonts w:ascii="Calibri" w:eastAsia="Calibri" w:hAnsi="Calibri" w:cs="Calibri"/>
          <w:b/>
          <w:bCs/>
        </w:rPr>
        <w:t xml:space="preserve"> </w:t>
      </w:r>
      <w:r w:rsidR="005A5F93" w:rsidRPr="00680A91">
        <w:rPr>
          <w:rFonts w:ascii="Calibri" w:eastAsia="Calibri" w:hAnsi="Calibri" w:cs="Calibri"/>
          <w:b/>
          <w:bCs/>
        </w:rPr>
        <w:t>practices</w:t>
      </w:r>
      <w:r w:rsidR="3E5E7070" w:rsidRPr="00680A91">
        <w:rPr>
          <w:rFonts w:ascii="Calibri" w:eastAsia="Calibri" w:hAnsi="Calibri" w:cs="Calibri"/>
          <w:b/>
          <w:bCs/>
        </w:rPr>
        <w:t>.</w:t>
      </w:r>
      <w:r w:rsidR="003D640C" w:rsidRPr="00680A91">
        <w:rPr>
          <w:rFonts w:ascii="Calibri" w:eastAsia="Calibri" w:hAnsi="Calibri" w:cs="Calibri"/>
          <w:b/>
          <w:bCs/>
        </w:rPr>
        <w:t xml:space="preserve"> </w:t>
      </w:r>
    </w:p>
    <w:p w14:paraId="40B13227" w14:textId="6ECDC102" w:rsidR="60F5B189" w:rsidRPr="0078026B" w:rsidRDefault="3E5E7070" w:rsidP="008712CA">
      <w:pPr>
        <w:pStyle w:val="ListParagraph"/>
        <w:numPr>
          <w:ilvl w:val="1"/>
          <w:numId w:val="114"/>
        </w:numPr>
        <w:ind w:left="794" w:hanging="397"/>
        <w:rPr>
          <w:rFonts w:ascii="Calibri" w:eastAsia="Calibri" w:hAnsi="Calibri" w:cs="Calibri"/>
        </w:rPr>
      </w:pPr>
      <w:r w:rsidRPr="0078026B">
        <w:t>Subsequently</w:t>
      </w:r>
      <w:r w:rsidRPr="008712CA">
        <w:t>,</w:t>
      </w:r>
      <w:r w:rsidR="003D640C" w:rsidRPr="008712CA">
        <w:t xml:space="preserve"> </w:t>
      </w:r>
      <w:r w:rsidRPr="008712CA">
        <w:t>develop</w:t>
      </w:r>
      <w:r w:rsidR="003D640C" w:rsidRPr="008712CA">
        <w:t xml:space="preserve"> </w:t>
      </w:r>
      <w:r w:rsidRPr="008712CA">
        <w:t>and</w:t>
      </w:r>
      <w:r w:rsidR="003D640C" w:rsidRPr="008712CA">
        <w:t xml:space="preserve"> </w:t>
      </w:r>
      <w:r w:rsidRPr="008712CA">
        <w:t>formally</w:t>
      </w:r>
      <w:r w:rsidR="003D640C" w:rsidRPr="008712CA">
        <w:t xml:space="preserve"> </w:t>
      </w:r>
      <w:r w:rsidRPr="008712CA">
        <w:t>adopt</w:t>
      </w:r>
      <w:r w:rsidR="003D640C" w:rsidRPr="008712CA">
        <w:t xml:space="preserve"> </w:t>
      </w:r>
      <w:r w:rsidRPr="008712CA">
        <w:t>health</w:t>
      </w:r>
      <w:r w:rsidR="003D640C" w:rsidRPr="008712CA">
        <w:t xml:space="preserve"> </w:t>
      </w:r>
      <w:r w:rsidRPr="008712CA">
        <w:t>and</w:t>
      </w:r>
      <w:r w:rsidR="003D640C" w:rsidRPr="008712CA">
        <w:t xml:space="preserve"> </w:t>
      </w:r>
      <w:r w:rsidRPr="008712CA">
        <w:t>safety</w:t>
      </w:r>
      <w:r w:rsidR="003D640C" w:rsidRPr="008712CA">
        <w:t xml:space="preserve"> </w:t>
      </w:r>
      <w:r w:rsidRPr="008712CA">
        <w:t>policies</w:t>
      </w:r>
      <w:r w:rsidR="003D640C" w:rsidRPr="008712CA">
        <w:t xml:space="preserve"> </w:t>
      </w:r>
      <w:r w:rsidRPr="008712CA">
        <w:t>and</w:t>
      </w:r>
      <w:r w:rsidR="003D640C" w:rsidRPr="008712CA">
        <w:t xml:space="preserve"> </w:t>
      </w:r>
      <w:r w:rsidRPr="008712CA">
        <w:t>education</w:t>
      </w:r>
      <w:r w:rsidR="003D640C" w:rsidRPr="008712CA">
        <w:t xml:space="preserve"> </w:t>
      </w:r>
      <w:r w:rsidRPr="008712CA">
        <w:t>and</w:t>
      </w:r>
      <w:r w:rsidR="003D640C" w:rsidRPr="008712CA">
        <w:t xml:space="preserve"> </w:t>
      </w:r>
      <w:r w:rsidRPr="008712CA">
        <w:t>prevention</w:t>
      </w:r>
      <w:r w:rsidR="003D640C" w:rsidRPr="008712CA">
        <w:t xml:space="preserve"> </w:t>
      </w:r>
      <w:r w:rsidRPr="008712CA">
        <w:t>programmes</w:t>
      </w:r>
      <w:r w:rsidR="003D640C" w:rsidRPr="008712CA">
        <w:t xml:space="preserve"> </w:t>
      </w:r>
      <w:r w:rsidRPr="008712CA">
        <w:t>that</w:t>
      </w:r>
      <w:r w:rsidR="003D640C" w:rsidRPr="008712CA">
        <w:t xml:space="preserve"> </w:t>
      </w:r>
      <w:r w:rsidRPr="008712CA">
        <w:t>recognise</w:t>
      </w:r>
      <w:r w:rsidR="003D640C" w:rsidRPr="008712CA">
        <w:t xml:space="preserve"> </w:t>
      </w:r>
      <w:r w:rsidR="00735115">
        <w:t xml:space="preserve">the harm of </w:t>
      </w:r>
      <w:r w:rsidR="00921981" w:rsidRPr="008712CA">
        <w:t>conversion</w:t>
      </w:r>
      <w:r w:rsidR="003D640C" w:rsidRPr="008712CA">
        <w:t xml:space="preserve"> </w:t>
      </w:r>
      <w:r w:rsidR="00921981" w:rsidRPr="008712CA">
        <w:t>practices</w:t>
      </w:r>
      <w:r w:rsidR="003D640C" w:rsidRPr="008712CA">
        <w:t xml:space="preserve"> </w:t>
      </w:r>
      <w:r w:rsidRPr="008712CA">
        <w:t>and</w:t>
      </w:r>
      <w:r w:rsidR="003D640C" w:rsidRPr="008712CA">
        <w:t xml:space="preserve"> </w:t>
      </w:r>
      <w:r w:rsidRPr="008712CA">
        <w:t>mitigate</w:t>
      </w:r>
      <w:r w:rsidR="003D640C" w:rsidRPr="008712CA">
        <w:t xml:space="preserve"> </w:t>
      </w:r>
      <w:r w:rsidRPr="008712CA">
        <w:t>against</w:t>
      </w:r>
      <w:r w:rsidR="003D640C" w:rsidRPr="008712CA">
        <w:t xml:space="preserve"> </w:t>
      </w:r>
      <w:r w:rsidR="007E5162" w:rsidRPr="008712CA">
        <w:t>conversion</w:t>
      </w:r>
      <w:r w:rsidR="003D640C" w:rsidRPr="0078026B">
        <w:rPr>
          <w:rFonts w:ascii="Calibri" w:eastAsia="Calibri" w:hAnsi="Calibri" w:cs="Calibri"/>
        </w:rPr>
        <w:t xml:space="preserve"> </w:t>
      </w:r>
      <w:r w:rsidR="007E5162" w:rsidRPr="0078026B">
        <w:rPr>
          <w:rFonts w:ascii="Calibri" w:eastAsia="Calibri" w:hAnsi="Calibri" w:cs="Calibri"/>
        </w:rPr>
        <w:t>practices</w:t>
      </w:r>
      <w:r w:rsidRPr="0078026B">
        <w:rPr>
          <w:rFonts w:ascii="Calibri" w:eastAsia="Calibri" w:hAnsi="Calibri" w:cs="Calibri"/>
        </w:rPr>
        <w:t>.</w:t>
      </w:r>
    </w:p>
    <w:p w14:paraId="7359BE93" w14:textId="2DE3E273" w:rsidR="00C40EF1" w:rsidRPr="0078026B" w:rsidRDefault="00C40EF1" w:rsidP="0078026B">
      <w:pPr>
        <w:pStyle w:val="Heading2"/>
      </w:pPr>
      <w:bookmarkStart w:id="28" w:name="_Toc416555144"/>
      <w:bookmarkStart w:id="29" w:name="_Toc174628625"/>
      <w:r w:rsidRPr="0078026B">
        <w:t>Recommendations</w:t>
      </w:r>
      <w:r w:rsidR="003D640C" w:rsidRPr="0078026B">
        <w:t xml:space="preserve"> </w:t>
      </w:r>
      <w:r w:rsidRPr="0078026B">
        <w:t>to</w:t>
      </w:r>
      <w:r w:rsidR="003D640C" w:rsidRPr="0078026B">
        <w:t xml:space="preserve"> </w:t>
      </w:r>
      <w:r w:rsidRPr="0078026B">
        <w:t>support</w:t>
      </w:r>
      <w:r w:rsidR="003D640C" w:rsidRPr="0078026B">
        <w:t xml:space="preserve"> </w:t>
      </w:r>
      <w:r w:rsidRPr="0078026B">
        <w:t>Māori</w:t>
      </w:r>
      <w:r w:rsidR="003D640C" w:rsidRPr="0078026B">
        <w:t xml:space="preserve"> </w:t>
      </w:r>
      <w:r w:rsidRPr="0078026B">
        <w:t>as</w:t>
      </w:r>
      <w:r w:rsidR="003D640C" w:rsidRPr="0078026B">
        <w:t xml:space="preserve"> </w:t>
      </w:r>
      <w:r w:rsidRPr="0078026B">
        <w:t>Tangata</w:t>
      </w:r>
      <w:r w:rsidR="003D640C" w:rsidRPr="0078026B">
        <w:t xml:space="preserve"> </w:t>
      </w:r>
      <w:r w:rsidRPr="0078026B">
        <w:t>Whenua</w:t>
      </w:r>
      <w:bookmarkEnd w:id="28"/>
      <w:bookmarkEnd w:id="29"/>
      <w:r w:rsidR="003D640C" w:rsidRPr="0078026B">
        <w:t xml:space="preserve"> </w:t>
      </w:r>
    </w:p>
    <w:p w14:paraId="33BCD344" w14:textId="3425E926" w:rsidR="00C40EF1" w:rsidRPr="00E83D3B" w:rsidRDefault="00C40EF1" w:rsidP="008712CA">
      <w:pPr>
        <w:pStyle w:val="ListParagraph"/>
        <w:numPr>
          <w:ilvl w:val="0"/>
          <w:numId w:val="114"/>
        </w:numPr>
        <w:rPr>
          <w:rFonts w:ascii="Calibri" w:hAnsi="Calibri" w:cs="Calibri"/>
          <w:b/>
          <w:bCs/>
          <w:color w:val="3F3F3F"/>
        </w:rPr>
      </w:pPr>
      <w:r w:rsidRPr="00E83D3B">
        <w:rPr>
          <w:b/>
          <w:bCs/>
        </w:rPr>
        <w:t>Engage</w:t>
      </w:r>
      <w:r w:rsidR="003D640C" w:rsidRPr="00E83D3B">
        <w:rPr>
          <w:rFonts w:ascii="Calibri" w:hAnsi="Calibri" w:cs="Calibri"/>
          <w:b/>
          <w:bCs/>
          <w:color w:val="3F3F3F"/>
        </w:rPr>
        <w:t xml:space="preserve"> </w:t>
      </w:r>
      <w:r w:rsidRPr="00E83D3B">
        <w:rPr>
          <w:rFonts w:ascii="Calibri" w:hAnsi="Calibri" w:cs="Calibri"/>
          <w:b/>
          <w:bCs/>
          <w:color w:val="3F3F3F"/>
        </w:rPr>
        <w:t>with</w:t>
      </w:r>
      <w:r w:rsidR="003D640C" w:rsidRPr="00E83D3B">
        <w:rPr>
          <w:rFonts w:ascii="Calibri" w:hAnsi="Calibri" w:cs="Calibri"/>
          <w:b/>
          <w:bCs/>
          <w:color w:val="3F3F3F"/>
        </w:rPr>
        <w:t xml:space="preserve"> </w:t>
      </w:r>
      <w:r w:rsidRPr="00E83D3B">
        <w:rPr>
          <w:rFonts w:ascii="Calibri" w:hAnsi="Calibri" w:cs="Calibri"/>
          <w:b/>
          <w:bCs/>
          <w:color w:val="3F3F3F"/>
        </w:rPr>
        <w:t>mātauranga</w:t>
      </w:r>
      <w:r w:rsidR="003D640C" w:rsidRPr="00E83D3B">
        <w:rPr>
          <w:rFonts w:ascii="Calibri" w:hAnsi="Calibri" w:cs="Calibri"/>
          <w:b/>
          <w:bCs/>
          <w:color w:val="3F3F3F"/>
        </w:rPr>
        <w:t xml:space="preserve"> </w:t>
      </w:r>
      <w:r w:rsidRPr="00E83D3B">
        <w:rPr>
          <w:rFonts w:ascii="Calibri" w:hAnsi="Calibri" w:cs="Calibri"/>
          <w:b/>
          <w:bCs/>
          <w:color w:val="3F3F3F"/>
        </w:rPr>
        <w:t>M</w:t>
      </w:r>
      <w:r w:rsidR="00306D87" w:rsidRPr="00E83D3B">
        <w:rPr>
          <w:rFonts w:ascii="Calibri" w:hAnsi="Calibri" w:cs="Calibri"/>
          <w:b/>
          <w:bCs/>
          <w:color w:val="3F3F3F"/>
        </w:rPr>
        <w:t>āori</w:t>
      </w:r>
      <w:r w:rsidR="003C4447" w:rsidRPr="00E83D3B">
        <w:rPr>
          <w:rFonts w:ascii="Calibri" w:hAnsi="Calibri" w:cs="Calibri"/>
          <w:b/>
          <w:bCs/>
          <w:color w:val="3F3F3F"/>
        </w:rPr>
        <w:t>,</w:t>
      </w:r>
      <w:r w:rsidR="003D640C" w:rsidRPr="00E83D3B">
        <w:rPr>
          <w:rFonts w:ascii="Calibri" w:hAnsi="Calibri" w:cs="Calibri"/>
          <w:b/>
          <w:bCs/>
          <w:color w:val="3F3F3F"/>
        </w:rPr>
        <w:t xml:space="preserve"> </w:t>
      </w:r>
      <w:r w:rsidR="00306D87" w:rsidRPr="00E83D3B">
        <w:rPr>
          <w:rFonts w:ascii="Calibri" w:hAnsi="Calibri" w:cs="Calibri"/>
          <w:b/>
          <w:bCs/>
          <w:color w:val="3F3F3F"/>
        </w:rPr>
        <w:t>tikanga</w:t>
      </w:r>
      <w:r w:rsidR="00735115" w:rsidRPr="00E83D3B">
        <w:rPr>
          <w:rFonts w:ascii="Calibri" w:hAnsi="Calibri" w:cs="Calibri"/>
          <w:b/>
          <w:bCs/>
          <w:color w:val="3F3F3F"/>
        </w:rPr>
        <w:t>,</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research</w:t>
      </w:r>
      <w:r w:rsidR="003D640C" w:rsidRPr="00E83D3B">
        <w:rPr>
          <w:rFonts w:ascii="Calibri" w:hAnsi="Calibri" w:cs="Calibri"/>
          <w:b/>
          <w:bCs/>
          <w:color w:val="3F3F3F"/>
        </w:rPr>
        <w:t xml:space="preserve"> </w:t>
      </w:r>
      <w:r w:rsidRPr="00E83D3B">
        <w:rPr>
          <w:rFonts w:ascii="Calibri" w:hAnsi="Calibri" w:cs="Calibri"/>
          <w:b/>
          <w:bCs/>
          <w:color w:val="3F3F3F"/>
        </w:rPr>
        <w:t>on</w:t>
      </w:r>
      <w:r w:rsidR="003D640C" w:rsidRPr="00E83D3B">
        <w:rPr>
          <w:rFonts w:ascii="Calibri" w:hAnsi="Calibri" w:cs="Calibri"/>
          <w:b/>
          <w:bCs/>
          <w:color w:val="3F3F3F"/>
        </w:rPr>
        <w:t xml:space="preserve"> </w:t>
      </w:r>
      <w:r w:rsidRPr="00E83D3B">
        <w:rPr>
          <w:rFonts w:ascii="Calibri" w:hAnsi="Calibri" w:cs="Calibri"/>
          <w:b/>
          <w:bCs/>
          <w:color w:val="3F3F3F"/>
        </w:rPr>
        <w:t>pre-colonial</w:t>
      </w:r>
      <w:r w:rsidR="003D640C" w:rsidRPr="00E83D3B">
        <w:rPr>
          <w:rFonts w:ascii="Calibri" w:hAnsi="Calibri" w:cs="Calibri"/>
          <w:b/>
          <w:bCs/>
          <w:color w:val="3F3F3F"/>
        </w:rPr>
        <w:t xml:space="preserve"> </w:t>
      </w:r>
      <w:r w:rsidRPr="00E83D3B">
        <w:rPr>
          <w:rFonts w:ascii="Calibri" w:hAnsi="Calibri" w:cs="Calibri"/>
          <w:b/>
          <w:bCs/>
          <w:color w:val="3F3F3F"/>
        </w:rPr>
        <w:t>understandings</w:t>
      </w:r>
      <w:r w:rsidR="003D640C" w:rsidRPr="00E83D3B">
        <w:rPr>
          <w:rFonts w:ascii="Calibri" w:hAnsi="Calibri" w:cs="Calibri"/>
          <w:b/>
          <w:bCs/>
          <w:color w:val="3F3F3F"/>
        </w:rPr>
        <w:t xml:space="preserve"> </w:t>
      </w:r>
      <w:r w:rsidRPr="00E83D3B">
        <w:rPr>
          <w:rFonts w:ascii="Calibri" w:hAnsi="Calibri" w:cs="Calibri"/>
          <w:b/>
          <w:bCs/>
          <w:color w:val="3F3F3F"/>
        </w:rPr>
        <w:t>of</w:t>
      </w:r>
      <w:r w:rsidR="003D640C" w:rsidRPr="00E83D3B">
        <w:rPr>
          <w:rFonts w:ascii="Calibri" w:hAnsi="Calibri" w:cs="Calibri"/>
          <w:b/>
          <w:bCs/>
          <w:color w:val="3F3F3F"/>
        </w:rPr>
        <w:t xml:space="preserve"> </w:t>
      </w:r>
      <w:r w:rsidRPr="00E83D3B">
        <w:rPr>
          <w:rFonts w:ascii="Calibri" w:hAnsi="Calibri" w:cs="Calibri"/>
          <w:b/>
          <w:bCs/>
          <w:color w:val="3F3F3F"/>
        </w:rPr>
        <w:t>sexuality</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gender</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create</w:t>
      </w:r>
      <w:r w:rsidR="003D640C" w:rsidRPr="00E83D3B">
        <w:rPr>
          <w:rFonts w:ascii="Calibri" w:hAnsi="Calibri" w:cs="Calibri"/>
          <w:b/>
          <w:bCs/>
          <w:color w:val="3F3F3F"/>
        </w:rPr>
        <w:t xml:space="preserve"> </w:t>
      </w:r>
      <w:r w:rsidRPr="00E83D3B">
        <w:rPr>
          <w:rFonts w:ascii="Calibri" w:hAnsi="Calibri" w:cs="Calibri"/>
          <w:b/>
          <w:bCs/>
          <w:color w:val="3F3F3F"/>
        </w:rPr>
        <w:t>opportunities</w:t>
      </w:r>
      <w:r w:rsidR="003D640C" w:rsidRPr="00E83D3B">
        <w:rPr>
          <w:rFonts w:ascii="Calibri" w:hAnsi="Calibri" w:cs="Calibri"/>
          <w:b/>
          <w:bCs/>
          <w:color w:val="3F3F3F"/>
        </w:rPr>
        <w:t xml:space="preserve"> </w:t>
      </w:r>
      <w:r w:rsidRPr="00E83D3B">
        <w:rPr>
          <w:rFonts w:ascii="Calibri" w:hAnsi="Calibri" w:cs="Calibri"/>
          <w:b/>
          <w:bCs/>
          <w:color w:val="3F3F3F"/>
        </w:rPr>
        <w:t>to</w:t>
      </w:r>
      <w:r w:rsidR="003D640C" w:rsidRPr="00E83D3B">
        <w:rPr>
          <w:rFonts w:ascii="Calibri" w:hAnsi="Calibri" w:cs="Calibri"/>
          <w:b/>
          <w:bCs/>
          <w:color w:val="3F3F3F"/>
        </w:rPr>
        <w:t xml:space="preserve"> </w:t>
      </w:r>
      <w:r w:rsidRPr="00E83D3B">
        <w:rPr>
          <w:rFonts w:ascii="Calibri" w:hAnsi="Calibri" w:cs="Calibri"/>
          <w:b/>
          <w:bCs/>
          <w:color w:val="3F3F3F"/>
        </w:rPr>
        <w:t>discuss,</w:t>
      </w:r>
      <w:r w:rsidR="003D640C" w:rsidRPr="00E83D3B">
        <w:rPr>
          <w:rFonts w:ascii="Calibri" w:hAnsi="Calibri" w:cs="Calibri"/>
          <w:b/>
          <w:bCs/>
          <w:color w:val="3F3F3F"/>
        </w:rPr>
        <w:t xml:space="preserve"> </w:t>
      </w:r>
      <w:r w:rsidRPr="00E83D3B">
        <w:rPr>
          <w:rFonts w:ascii="Calibri" w:hAnsi="Calibri" w:cs="Calibri"/>
          <w:b/>
          <w:bCs/>
          <w:color w:val="3F3F3F"/>
        </w:rPr>
        <w:t>reflect,</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where</w:t>
      </w:r>
      <w:r w:rsidR="003D640C" w:rsidRPr="00E83D3B">
        <w:rPr>
          <w:rFonts w:ascii="Calibri" w:hAnsi="Calibri" w:cs="Calibri"/>
          <w:b/>
          <w:bCs/>
          <w:color w:val="3F3F3F"/>
        </w:rPr>
        <w:t xml:space="preserve"> </w:t>
      </w:r>
      <w:r w:rsidRPr="00E83D3B">
        <w:rPr>
          <w:rFonts w:ascii="Calibri" w:hAnsi="Calibri" w:cs="Calibri"/>
          <w:b/>
          <w:bCs/>
          <w:color w:val="3F3F3F"/>
        </w:rPr>
        <w:t>relevant,</w:t>
      </w:r>
      <w:r w:rsidR="003D640C" w:rsidRPr="00E83D3B">
        <w:rPr>
          <w:rFonts w:ascii="Calibri" w:hAnsi="Calibri" w:cs="Calibri"/>
          <w:b/>
          <w:bCs/>
          <w:color w:val="3F3F3F"/>
        </w:rPr>
        <w:t xml:space="preserve"> </w:t>
      </w:r>
      <w:r w:rsidRPr="00E83D3B">
        <w:rPr>
          <w:rFonts w:ascii="Calibri" w:hAnsi="Calibri" w:cs="Calibri"/>
          <w:b/>
          <w:bCs/>
          <w:color w:val="3F3F3F"/>
        </w:rPr>
        <w:t>remedy</w:t>
      </w:r>
      <w:r w:rsidR="003D640C" w:rsidRPr="00E83D3B">
        <w:rPr>
          <w:rFonts w:ascii="Calibri" w:hAnsi="Calibri" w:cs="Calibri"/>
          <w:b/>
          <w:bCs/>
          <w:color w:val="3F3F3F"/>
        </w:rPr>
        <w:t xml:space="preserve"> </w:t>
      </w:r>
      <w:r w:rsidRPr="00E83D3B">
        <w:rPr>
          <w:rFonts w:ascii="Calibri" w:hAnsi="Calibri" w:cs="Calibri"/>
          <w:b/>
          <w:bCs/>
          <w:color w:val="3F3F3F"/>
        </w:rPr>
        <w:t>the</w:t>
      </w:r>
      <w:r w:rsidR="003D640C" w:rsidRPr="00E83D3B">
        <w:rPr>
          <w:rFonts w:ascii="Calibri" w:hAnsi="Calibri" w:cs="Calibri"/>
          <w:b/>
          <w:bCs/>
          <w:color w:val="3F3F3F"/>
        </w:rPr>
        <w:t xml:space="preserve"> </w:t>
      </w:r>
      <w:r w:rsidRPr="00E83D3B">
        <w:rPr>
          <w:rFonts w:ascii="Calibri" w:hAnsi="Calibri" w:cs="Calibri"/>
          <w:b/>
          <w:bCs/>
          <w:color w:val="3F3F3F"/>
        </w:rPr>
        <w:t>impacts</w:t>
      </w:r>
      <w:r w:rsidR="003D640C" w:rsidRPr="00E83D3B">
        <w:rPr>
          <w:rFonts w:ascii="Calibri" w:hAnsi="Calibri" w:cs="Calibri"/>
          <w:b/>
          <w:bCs/>
          <w:color w:val="3F3F3F"/>
        </w:rPr>
        <w:t xml:space="preserve"> </w:t>
      </w:r>
      <w:r w:rsidRPr="00E83D3B">
        <w:rPr>
          <w:rFonts w:ascii="Calibri" w:hAnsi="Calibri" w:cs="Calibri"/>
          <w:b/>
          <w:bCs/>
          <w:color w:val="3F3F3F"/>
        </w:rPr>
        <w:t>of</w:t>
      </w:r>
      <w:r w:rsidR="003D640C" w:rsidRPr="00E83D3B">
        <w:rPr>
          <w:rFonts w:ascii="Calibri" w:hAnsi="Calibri" w:cs="Calibri"/>
          <w:b/>
          <w:bCs/>
          <w:color w:val="3F3F3F"/>
        </w:rPr>
        <w:t xml:space="preserve"> </w:t>
      </w:r>
      <w:r w:rsidRPr="00E83D3B">
        <w:rPr>
          <w:rFonts w:ascii="Calibri" w:hAnsi="Calibri" w:cs="Calibri"/>
          <w:b/>
          <w:bCs/>
          <w:color w:val="3F3F3F"/>
        </w:rPr>
        <w:t>colonisation</w:t>
      </w:r>
      <w:r w:rsidR="003D640C" w:rsidRPr="00E83D3B">
        <w:rPr>
          <w:rFonts w:ascii="Calibri" w:hAnsi="Calibri" w:cs="Calibri"/>
          <w:b/>
          <w:bCs/>
          <w:color w:val="3F3F3F"/>
        </w:rPr>
        <w:t xml:space="preserve"> </w:t>
      </w:r>
      <w:r w:rsidRPr="00E83D3B">
        <w:rPr>
          <w:rFonts w:ascii="Calibri" w:hAnsi="Calibri" w:cs="Calibri"/>
          <w:b/>
          <w:bCs/>
          <w:color w:val="3F3F3F"/>
        </w:rPr>
        <w:t>upon</w:t>
      </w:r>
      <w:r w:rsidR="003D640C" w:rsidRPr="00E83D3B">
        <w:rPr>
          <w:rFonts w:ascii="Calibri" w:hAnsi="Calibri" w:cs="Calibri"/>
          <w:b/>
          <w:bCs/>
          <w:color w:val="3F3F3F"/>
        </w:rPr>
        <w:t xml:space="preserve"> </w:t>
      </w:r>
      <w:r w:rsidR="00411506" w:rsidRPr="00E83D3B">
        <w:rPr>
          <w:rFonts w:ascii="Calibri" w:hAnsi="Calibri" w:cs="Calibri"/>
          <w:b/>
          <w:bCs/>
          <w:color w:val="3F3F3F"/>
        </w:rPr>
        <w:t>Māori</w:t>
      </w:r>
      <w:r w:rsidR="003D640C" w:rsidRPr="00E83D3B">
        <w:rPr>
          <w:rFonts w:ascii="Calibri" w:hAnsi="Calibri" w:cs="Calibri"/>
          <w:b/>
          <w:bCs/>
          <w:color w:val="3F3F3F"/>
        </w:rPr>
        <w:t xml:space="preserve"> </w:t>
      </w:r>
      <w:r w:rsidRPr="00E83D3B">
        <w:rPr>
          <w:rFonts w:ascii="Calibri" w:hAnsi="Calibri" w:cs="Calibri"/>
          <w:b/>
          <w:bCs/>
          <w:color w:val="3F3F3F"/>
        </w:rPr>
        <w:t>Rainbow</w:t>
      </w:r>
      <w:r w:rsidR="003D640C" w:rsidRPr="00E83D3B">
        <w:rPr>
          <w:rFonts w:ascii="Calibri" w:hAnsi="Calibri" w:cs="Calibri"/>
          <w:b/>
          <w:bCs/>
          <w:color w:val="3F3F3F"/>
        </w:rPr>
        <w:t xml:space="preserve"> </w:t>
      </w:r>
      <w:r w:rsidRPr="00E83D3B">
        <w:rPr>
          <w:rFonts w:ascii="Calibri" w:hAnsi="Calibri" w:cs="Calibri"/>
          <w:b/>
          <w:bCs/>
          <w:color w:val="3F3F3F"/>
        </w:rPr>
        <w:t>communities.</w:t>
      </w:r>
    </w:p>
    <w:p w14:paraId="0DF0C7BD" w14:textId="77777777" w:rsidR="00501068" w:rsidRPr="00E83D3B" w:rsidRDefault="00C40EF1" w:rsidP="008712CA">
      <w:pPr>
        <w:pStyle w:val="ListParagraph"/>
        <w:numPr>
          <w:ilvl w:val="0"/>
          <w:numId w:val="114"/>
        </w:numPr>
        <w:rPr>
          <w:rFonts w:ascii="Calibri" w:hAnsi="Calibri" w:cs="Calibri"/>
          <w:b/>
          <w:bCs/>
          <w:color w:val="3F3F3F"/>
        </w:rPr>
      </w:pPr>
      <w:r w:rsidRPr="00E83D3B">
        <w:rPr>
          <w:rFonts w:ascii="Calibri" w:hAnsi="Calibri" w:cs="Calibri"/>
          <w:b/>
          <w:bCs/>
          <w:color w:val="3F3F3F"/>
        </w:rPr>
        <w:t>Support</w:t>
      </w:r>
      <w:r w:rsidR="003D640C" w:rsidRPr="00E83D3B">
        <w:rPr>
          <w:rFonts w:ascii="Calibri" w:hAnsi="Calibri" w:cs="Calibri"/>
          <w:b/>
          <w:bCs/>
          <w:color w:val="3F3F3F"/>
        </w:rPr>
        <w:t xml:space="preserve"> </w:t>
      </w:r>
      <w:r w:rsidR="00306D87" w:rsidRPr="00E83D3B">
        <w:rPr>
          <w:rFonts w:ascii="Calibri" w:hAnsi="Calibri" w:cs="Calibri"/>
          <w:b/>
          <w:bCs/>
          <w:color w:val="3F3F3F"/>
        </w:rPr>
        <w:t>Māori</w:t>
      </w:r>
      <w:r w:rsidR="003D640C" w:rsidRPr="00E83D3B">
        <w:rPr>
          <w:rFonts w:ascii="Calibri" w:hAnsi="Calibri" w:cs="Calibri"/>
          <w:b/>
          <w:bCs/>
          <w:color w:val="3F3F3F"/>
        </w:rPr>
        <w:t xml:space="preserve"> </w:t>
      </w:r>
      <w:r w:rsidRPr="00E83D3B">
        <w:rPr>
          <w:rFonts w:ascii="Calibri" w:hAnsi="Calibri" w:cs="Calibri"/>
          <w:b/>
          <w:bCs/>
          <w:color w:val="3F3F3F"/>
        </w:rPr>
        <w:t>cultural</w:t>
      </w:r>
      <w:r w:rsidR="003D640C" w:rsidRPr="00E83D3B">
        <w:rPr>
          <w:rFonts w:ascii="Calibri" w:hAnsi="Calibri" w:cs="Calibri"/>
          <w:b/>
          <w:bCs/>
          <w:color w:val="3F3F3F"/>
        </w:rPr>
        <w:t xml:space="preserve"> </w:t>
      </w:r>
      <w:r w:rsidRPr="00E83D3B">
        <w:rPr>
          <w:rFonts w:ascii="Calibri" w:hAnsi="Calibri" w:cs="Calibri"/>
          <w:b/>
          <w:bCs/>
          <w:color w:val="3F3F3F"/>
        </w:rPr>
        <w:t>revitalisation</w:t>
      </w:r>
      <w:r w:rsidR="003D640C" w:rsidRPr="00E83D3B">
        <w:rPr>
          <w:rFonts w:ascii="Calibri" w:hAnsi="Calibri" w:cs="Calibri"/>
          <w:b/>
          <w:bCs/>
          <w:color w:val="3F3F3F"/>
        </w:rPr>
        <w:t xml:space="preserve"> </w:t>
      </w:r>
      <w:r w:rsidRPr="00E83D3B">
        <w:rPr>
          <w:rFonts w:ascii="Calibri" w:hAnsi="Calibri" w:cs="Calibri"/>
          <w:b/>
          <w:bCs/>
          <w:color w:val="3F3F3F"/>
        </w:rPr>
        <w:t>that</w:t>
      </w:r>
      <w:r w:rsidR="003D640C" w:rsidRPr="00E83D3B">
        <w:rPr>
          <w:rFonts w:ascii="Calibri" w:hAnsi="Calibri" w:cs="Calibri"/>
          <w:b/>
          <w:bCs/>
          <w:color w:val="3F3F3F"/>
        </w:rPr>
        <w:t xml:space="preserve"> </w:t>
      </w:r>
      <w:r w:rsidRPr="00E83D3B">
        <w:rPr>
          <w:rFonts w:ascii="Calibri" w:hAnsi="Calibri" w:cs="Calibri"/>
          <w:b/>
          <w:bCs/>
          <w:color w:val="3F3F3F"/>
        </w:rPr>
        <w:t>embraces</w:t>
      </w:r>
      <w:r w:rsidR="003D640C" w:rsidRPr="00E83D3B">
        <w:rPr>
          <w:rFonts w:ascii="Calibri" w:hAnsi="Calibri" w:cs="Calibri"/>
          <w:b/>
          <w:bCs/>
          <w:color w:val="3F3F3F"/>
        </w:rPr>
        <w:t xml:space="preserve"> </w:t>
      </w:r>
      <w:r w:rsidRPr="00E83D3B">
        <w:rPr>
          <w:rFonts w:ascii="Calibri" w:hAnsi="Calibri" w:cs="Calibri"/>
          <w:b/>
          <w:bCs/>
          <w:color w:val="3F3F3F"/>
        </w:rPr>
        <w:t>pre-colonial</w:t>
      </w:r>
      <w:r w:rsidR="003D640C" w:rsidRPr="00E83D3B">
        <w:rPr>
          <w:rFonts w:ascii="Calibri" w:hAnsi="Calibri" w:cs="Calibri"/>
          <w:b/>
          <w:bCs/>
          <w:color w:val="3F3F3F"/>
        </w:rPr>
        <w:t xml:space="preserve"> </w:t>
      </w:r>
      <w:r w:rsidRPr="00E83D3B">
        <w:rPr>
          <w:rFonts w:ascii="Calibri" w:hAnsi="Calibri" w:cs="Calibri"/>
          <w:b/>
          <w:bCs/>
          <w:color w:val="3F3F3F"/>
        </w:rPr>
        <w:t>expressions</w:t>
      </w:r>
      <w:r w:rsidR="003D640C" w:rsidRPr="00E83D3B">
        <w:rPr>
          <w:rFonts w:ascii="Calibri" w:hAnsi="Calibri" w:cs="Calibri"/>
          <w:b/>
          <w:bCs/>
          <w:color w:val="3F3F3F"/>
        </w:rPr>
        <w:t xml:space="preserve"> </w:t>
      </w:r>
      <w:r w:rsidRPr="00E83D3B">
        <w:rPr>
          <w:rFonts w:ascii="Calibri" w:hAnsi="Calibri" w:cs="Calibri"/>
          <w:b/>
          <w:bCs/>
          <w:color w:val="3F3F3F"/>
        </w:rPr>
        <w:t>of</w:t>
      </w:r>
      <w:r w:rsidR="003D640C" w:rsidRPr="00E83D3B">
        <w:rPr>
          <w:rFonts w:ascii="Calibri" w:hAnsi="Calibri" w:cs="Calibri"/>
          <w:b/>
          <w:bCs/>
          <w:color w:val="3F3F3F"/>
        </w:rPr>
        <w:t xml:space="preserve"> </w:t>
      </w:r>
      <w:r w:rsidRPr="00E83D3B">
        <w:rPr>
          <w:rFonts w:ascii="Calibri" w:hAnsi="Calibri" w:cs="Calibri"/>
          <w:b/>
          <w:bCs/>
          <w:color w:val="3F3F3F"/>
        </w:rPr>
        <w:t>sexuality</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gender,</w:t>
      </w:r>
      <w:r w:rsidR="003D640C" w:rsidRPr="00E83D3B">
        <w:rPr>
          <w:rFonts w:ascii="Calibri" w:hAnsi="Calibri" w:cs="Calibri"/>
          <w:b/>
          <w:bCs/>
          <w:color w:val="3F3F3F"/>
        </w:rPr>
        <w:t xml:space="preserve"> </w:t>
      </w:r>
      <w:r w:rsidRPr="00E83D3B">
        <w:rPr>
          <w:rFonts w:ascii="Calibri" w:hAnsi="Calibri" w:cs="Calibri"/>
          <w:b/>
          <w:bCs/>
          <w:color w:val="3F3F3F"/>
        </w:rPr>
        <w:t>including</w:t>
      </w:r>
      <w:r w:rsidR="003D640C" w:rsidRPr="00E83D3B">
        <w:rPr>
          <w:rFonts w:ascii="Calibri" w:hAnsi="Calibri" w:cs="Calibri"/>
          <w:b/>
          <w:bCs/>
          <w:color w:val="3F3F3F"/>
        </w:rPr>
        <w:t xml:space="preserve"> </w:t>
      </w:r>
      <w:r w:rsidRPr="00E83D3B">
        <w:rPr>
          <w:rFonts w:ascii="Calibri" w:hAnsi="Calibri" w:cs="Calibri"/>
          <w:b/>
          <w:bCs/>
          <w:color w:val="3F3F3F"/>
        </w:rPr>
        <w:t>in</w:t>
      </w:r>
      <w:r w:rsidR="003D640C" w:rsidRPr="00E83D3B">
        <w:rPr>
          <w:rFonts w:ascii="Calibri" w:hAnsi="Calibri" w:cs="Calibri"/>
          <w:b/>
          <w:bCs/>
          <w:color w:val="3F3F3F"/>
        </w:rPr>
        <w:t xml:space="preserve"> </w:t>
      </w:r>
      <w:r w:rsidRPr="00E83D3B">
        <w:rPr>
          <w:rFonts w:ascii="Calibri" w:hAnsi="Calibri" w:cs="Calibri"/>
          <w:b/>
          <w:bCs/>
          <w:color w:val="3F3F3F"/>
        </w:rPr>
        <w:t>cultural</w:t>
      </w:r>
      <w:r w:rsidR="003D640C" w:rsidRPr="00E83D3B">
        <w:rPr>
          <w:rFonts w:ascii="Calibri" w:hAnsi="Calibri" w:cs="Calibri"/>
          <w:b/>
          <w:bCs/>
          <w:color w:val="3F3F3F"/>
        </w:rPr>
        <w:t xml:space="preserve"> </w:t>
      </w:r>
      <w:r w:rsidRPr="00E83D3B">
        <w:rPr>
          <w:rFonts w:ascii="Calibri" w:hAnsi="Calibri" w:cs="Calibri"/>
          <w:b/>
          <w:bCs/>
          <w:color w:val="3F3F3F"/>
        </w:rPr>
        <w:t>practices,</w:t>
      </w:r>
      <w:r w:rsidR="003D640C" w:rsidRPr="00E83D3B">
        <w:rPr>
          <w:rFonts w:ascii="Calibri" w:hAnsi="Calibri" w:cs="Calibri"/>
          <w:b/>
          <w:bCs/>
          <w:color w:val="3F3F3F"/>
        </w:rPr>
        <w:t xml:space="preserve"> </w:t>
      </w:r>
      <w:r w:rsidRPr="00E83D3B">
        <w:rPr>
          <w:rFonts w:ascii="Calibri" w:hAnsi="Calibri" w:cs="Calibri"/>
          <w:b/>
          <w:bCs/>
          <w:color w:val="3F3F3F"/>
        </w:rPr>
        <w:t>language,</w:t>
      </w:r>
      <w:r w:rsidR="003D640C" w:rsidRPr="00E83D3B">
        <w:rPr>
          <w:rFonts w:ascii="Calibri" w:hAnsi="Calibri" w:cs="Calibri"/>
          <w:b/>
          <w:bCs/>
          <w:color w:val="3F3F3F"/>
        </w:rPr>
        <w:t xml:space="preserve"> </w:t>
      </w:r>
      <w:r w:rsidRPr="00E83D3B">
        <w:rPr>
          <w:rFonts w:ascii="Calibri" w:hAnsi="Calibri" w:cs="Calibri"/>
          <w:b/>
          <w:bCs/>
          <w:color w:val="3F3F3F"/>
        </w:rPr>
        <w:t>arts,</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storytelling.</w:t>
      </w:r>
    </w:p>
    <w:p w14:paraId="5A2C7B2C" w14:textId="0EFBEB18" w:rsidR="00C15461" w:rsidRPr="0078026B" w:rsidRDefault="00830FE3" w:rsidP="0078026B">
      <w:pPr>
        <w:pStyle w:val="Heading2"/>
      </w:pPr>
      <w:bookmarkStart w:id="30" w:name="_Toc143182014"/>
      <w:bookmarkStart w:id="31" w:name="_Toc174628626"/>
      <w:r w:rsidRPr="0078026B">
        <w:t>Recommendations</w:t>
      </w:r>
      <w:r w:rsidR="003D640C" w:rsidRPr="0078026B">
        <w:t xml:space="preserve"> </w:t>
      </w:r>
      <w:r w:rsidR="004E5072" w:rsidRPr="0078026B">
        <w:t>to</w:t>
      </w:r>
      <w:r w:rsidR="003D640C" w:rsidRPr="0078026B">
        <w:t xml:space="preserve"> </w:t>
      </w:r>
      <w:r w:rsidR="004E5072" w:rsidRPr="0078026B">
        <w:t>support</w:t>
      </w:r>
      <w:r w:rsidR="003D640C" w:rsidRPr="0078026B">
        <w:t xml:space="preserve"> </w:t>
      </w:r>
      <w:r w:rsidR="00E25A11" w:rsidRPr="0078026B">
        <w:t>Pacific</w:t>
      </w:r>
      <w:r w:rsidR="003D640C" w:rsidRPr="0078026B">
        <w:t xml:space="preserve"> </w:t>
      </w:r>
      <w:r w:rsidR="00E25A11" w:rsidRPr="0078026B">
        <w:t>and</w:t>
      </w:r>
      <w:r w:rsidR="003D640C" w:rsidRPr="0078026B">
        <w:t xml:space="preserve"> </w:t>
      </w:r>
      <w:r w:rsidR="00735115">
        <w:t>e</w:t>
      </w:r>
      <w:bookmarkEnd w:id="30"/>
      <w:r w:rsidR="00E25A11" w:rsidRPr="0078026B">
        <w:t>thnic</w:t>
      </w:r>
      <w:r w:rsidR="003D640C" w:rsidRPr="0078026B">
        <w:t xml:space="preserve"> </w:t>
      </w:r>
      <w:r w:rsidR="00735115">
        <w:t>c</w:t>
      </w:r>
      <w:r w:rsidR="00916DCF" w:rsidRPr="0078026B">
        <w:t>ommunities</w:t>
      </w:r>
      <w:bookmarkEnd w:id="31"/>
    </w:p>
    <w:p w14:paraId="2593D6FF" w14:textId="354F6665" w:rsidR="000D7DBC" w:rsidRPr="00E83D3B" w:rsidRDefault="000D7DBC" w:rsidP="008712CA">
      <w:pPr>
        <w:pStyle w:val="ListParagraph"/>
        <w:numPr>
          <w:ilvl w:val="0"/>
          <w:numId w:val="114"/>
        </w:numPr>
        <w:rPr>
          <w:rFonts w:ascii="Calibri" w:hAnsi="Calibri" w:cs="Calibri"/>
          <w:b/>
          <w:bCs/>
          <w:color w:val="3F3F3F"/>
        </w:rPr>
      </w:pPr>
      <w:r w:rsidRPr="00E83D3B">
        <w:rPr>
          <w:rFonts w:ascii="Calibri" w:hAnsi="Calibri" w:cs="Calibri"/>
          <w:b/>
          <w:bCs/>
          <w:color w:val="3F3F3F"/>
        </w:rPr>
        <w:t>Engage</w:t>
      </w:r>
      <w:r w:rsidR="003D640C" w:rsidRPr="00E83D3B">
        <w:rPr>
          <w:rFonts w:ascii="Calibri" w:hAnsi="Calibri" w:cs="Calibri"/>
          <w:b/>
          <w:bCs/>
          <w:color w:val="3F3F3F"/>
        </w:rPr>
        <w:t xml:space="preserve"> </w:t>
      </w:r>
      <w:r w:rsidRPr="00E83D3B">
        <w:rPr>
          <w:b/>
          <w:bCs/>
        </w:rPr>
        <w:t>with</w:t>
      </w:r>
      <w:r w:rsidR="003D640C" w:rsidRPr="00E83D3B">
        <w:rPr>
          <w:rFonts w:ascii="Calibri" w:hAnsi="Calibri" w:cs="Calibri"/>
          <w:b/>
          <w:bCs/>
          <w:color w:val="3F3F3F"/>
        </w:rPr>
        <w:t xml:space="preserve"> </w:t>
      </w:r>
      <w:r w:rsidRPr="00E83D3B">
        <w:rPr>
          <w:rFonts w:ascii="Calibri" w:hAnsi="Calibri" w:cs="Calibri"/>
          <w:b/>
          <w:bCs/>
          <w:color w:val="3F3F3F"/>
        </w:rPr>
        <w:t>customary</w:t>
      </w:r>
      <w:r w:rsidR="003D640C" w:rsidRPr="00E83D3B">
        <w:rPr>
          <w:rFonts w:ascii="Calibri" w:hAnsi="Calibri" w:cs="Calibri"/>
          <w:b/>
          <w:bCs/>
          <w:color w:val="3F3F3F"/>
        </w:rPr>
        <w:t xml:space="preserve"> </w:t>
      </w:r>
      <w:r w:rsidRPr="00E83D3B">
        <w:rPr>
          <w:rFonts w:ascii="Calibri" w:hAnsi="Calibri" w:cs="Calibri"/>
          <w:b/>
          <w:bCs/>
          <w:color w:val="3F3F3F"/>
        </w:rPr>
        <w:t>knowledge</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research</w:t>
      </w:r>
      <w:r w:rsidR="003D640C" w:rsidRPr="00E83D3B">
        <w:rPr>
          <w:rFonts w:ascii="Calibri" w:hAnsi="Calibri" w:cs="Calibri"/>
          <w:b/>
          <w:bCs/>
          <w:color w:val="3F3F3F"/>
        </w:rPr>
        <w:t xml:space="preserve"> </w:t>
      </w:r>
      <w:r w:rsidRPr="00E83D3B">
        <w:rPr>
          <w:rFonts w:ascii="Calibri" w:hAnsi="Calibri" w:cs="Calibri"/>
          <w:b/>
          <w:bCs/>
          <w:color w:val="3F3F3F"/>
        </w:rPr>
        <w:t>on</w:t>
      </w:r>
      <w:r w:rsidR="003D640C" w:rsidRPr="00E83D3B">
        <w:rPr>
          <w:rFonts w:ascii="Calibri" w:hAnsi="Calibri" w:cs="Calibri"/>
          <w:b/>
          <w:bCs/>
          <w:color w:val="3F3F3F"/>
        </w:rPr>
        <w:t xml:space="preserve"> </w:t>
      </w:r>
      <w:r w:rsidRPr="00E83D3B">
        <w:rPr>
          <w:rFonts w:ascii="Calibri" w:hAnsi="Calibri" w:cs="Calibri"/>
          <w:b/>
          <w:bCs/>
          <w:color w:val="3F3F3F"/>
        </w:rPr>
        <w:t>pre-colonial</w:t>
      </w:r>
      <w:r w:rsidR="003D640C" w:rsidRPr="00E83D3B">
        <w:rPr>
          <w:rFonts w:ascii="Calibri" w:hAnsi="Calibri" w:cs="Calibri"/>
          <w:b/>
          <w:bCs/>
          <w:color w:val="3F3F3F"/>
        </w:rPr>
        <w:t xml:space="preserve"> </w:t>
      </w:r>
      <w:r w:rsidRPr="00E83D3B">
        <w:rPr>
          <w:rFonts w:ascii="Calibri" w:hAnsi="Calibri" w:cs="Calibri"/>
          <w:b/>
          <w:bCs/>
          <w:color w:val="3F3F3F"/>
        </w:rPr>
        <w:t>understandings</w:t>
      </w:r>
      <w:r w:rsidR="003D640C" w:rsidRPr="00E83D3B">
        <w:rPr>
          <w:rFonts w:ascii="Calibri" w:hAnsi="Calibri" w:cs="Calibri"/>
          <w:b/>
          <w:bCs/>
          <w:color w:val="3F3F3F"/>
        </w:rPr>
        <w:t xml:space="preserve"> </w:t>
      </w:r>
      <w:r w:rsidRPr="00E83D3B">
        <w:rPr>
          <w:rFonts w:ascii="Calibri" w:hAnsi="Calibri" w:cs="Calibri"/>
          <w:b/>
          <w:bCs/>
          <w:color w:val="3F3F3F"/>
        </w:rPr>
        <w:t>of</w:t>
      </w:r>
      <w:r w:rsidR="003D640C" w:rsidRPr="00E83D3B">
        <w:rPr>
          <w:rFonts w:ascii="Calibri" w:hAnsi="Calibri" w:cs="Calibri"/>
          <w:b/>
          <w:bCs/>
          <w:color w:val="3F3F3F"/>
        </w:rPr>
        <w:t xml:space="preserve"> </w:t>
      </w:r>
      <w:r w:rsidRPr="00E83D3B">
        <w:rPr>
          <w:rFonts w:ascii="Calibri" w:hAnsi="Calibri" w:cs="Calibri"/>
          <w:b/>
          <w:bCs/>
          <w:color w:val="3F3F3F"/>
        </w:rPr>
        <w:t>sexuality</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gender</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1BECEEE2" w:rsidRPr="00E83D3B">
        <w:rPr>
          <w:rFonts w:ascii="Calibri" w:hAnsi="Calibri" w:cs="Calibri"/>
          <w:b/>
          <w:bCs/>
          <w:color w:val="3F3F3F"/>
        </w:rPr>
        <w:t>create</w:t>
      </w:r>
      <w:r w:rsidR="003D640C" w:rsidRPr="00E83D3B">
        <w:rPr>
          <w:rFonts w:ascii="Calibri" w:hAnsi="Calibri" w:cs="Calibri"/>
          <w:b/>
          <w:bCs/>
          <w:color w:val="3F3F3F"/>
        </w:rPr>
        <w:t xml:space="preserve"> </w:t>
      </w:r>
      <w:r w:rsidR="1BECEEE2" w:rsidRPr="00E83D3B">
        <w:rPr>
          <w:rFonts w:ascii="Calibri" w:hAnsi="Calibri" w:cs="Calibri"/>
          <w:b/>
          <w:bCs/>
          <w:color w:val="3F3F3F"/>
        </w:rPr>
        <w:t>opportunities</w:t>
      </w:r>
      <w:r w:rsidR="003D640C" w:rsidRPr="00E83D3B">
        <w:rPr>
          <w:rFonts w:ascii="Calibri" w:hAnsi="Calibri" w:cs="Calibri"/>
          <w:b/>
          <w:bCs/>
          <w:color w:val="3F3F3F"/>
        </w:rPr>
        <w:t xml:space="preserve"> </w:t>
      </w:r>
      <w:r w:rsidR="1BECEEE2" w:rsidRPr="00E83D3B">
        <w:rPr>
          <w:rFonts w:ascii="Calibri" w:hAnsi="Calibri" w:cs="Calibri"/>
          <w:b/>
          <w:bCs/>
          <w:color w:val="3F3F3F"/>
        </w:rPr>
        <w:t>to</w:t>
      </w:r>
      <w:r w:rsidR="003D640C" w:rsidRPr="00E83D3B">
        <w:rPr>
          <w:rFonts w:ascii="Calibri" w:hAnsi="Calibri" w:cs="Calibri"/>
          <w:b/>
          <w:bCs/>
          <w:color w:val="3F3F3F"/>
        </w:rPr>
        <w:t xml:space="preserve"> </w:t>
      </w:r>
      <w:r w:rsidRPr="00E83D3B">
        <w:rPr>
          <w:rFonts w:ascii="Calibri" w:hAnsi="Calibri" w:cs="Calibri"/>
          <w:b/>
          <w:bCs/>
          <w:color w:val="3F3F3F"/>
        </w:rPr>
        <w:t>discuss</w:t>
      </w:r>
      <w:r w:rsidR="05469266" w:rsidRPr="00E83D3B">
        <w:rPr>
          <w:rFonts w:ascii="Calibri" w:hAnsi="Calibri" w:cs="Calibri"/>
          <w:b/>
          <w:bCs/>
          <w:color w:val="3F3F3F"/>
        </w:rPr>
        <w:t>,</w:t>
      </w:r>
      <w:r w:rsidR="003D640C" w:rsidRPr="00E83D3B">
        <w:rPr>
          <w:rFonts w:ascii="Calibri" w:hAnsi="Calibri" w:cs="Calibri"/>
          <w:b/>
          <w:bCs/>
          <w:color w:val="3F3F3F"/>
        </w:rPr>
        <w:t xml:space="preserve"> </w:t>
      </w:r>
      <w:r w:rsidR="05469266" w:rsidRPr="00E83D3B">
        <w:rPr>
          <w:rFonts w:ascii="Calibri" w:hAnsi="Calibri" w:cs="Calibri"/>
          <w:b/>
          <w:bCs/>
          <w:color w:val="3F3F3F"/>
        </w:rPr>
        <w:t>reflect</w:t>
      </w:r>
      <w:r w:rsidR="00870EA9" w:rsidRPr="00E83D3B">
        <w:rPr>
          <w:rFonts w:ascii="Calibri" w:hAnsi="Calibri" w:cs="Calibri"/>
          <w:b/>
          <w:bCs/>
          <w:color w:val="3F3F3F"/>
        </w:rPr>
        <w:t>,</w:t>
      </w:r>
      <w:r w:rsidR="003D640C" w:rsidRPr="00E83D3B">
        <w:rPr>
          <w:rFonts w:ascii="Calibri" w:hAnsi="Calibri" w:cs="Calibri"/>
          <w:b/>
          <w:bCs/>
          <w:color w:val="3F3F3F"/>
        </w:rPr>
        <w:t xml:space="preserve"> </w:t>
      </w:r>
      <w:r w:rsidR="05469266" w:rsidRPr="00E83D3B">
        <w:rPr>
          <w:rFonts w:ascii="Calibri" w:hAnsi="Calibri" w:cs="Calibri"/>
          <w:b/>
          <w:bCs/>
          <w:color w:val="3F3F3F"/>
        </w:rPr>
        <w:t>and</w:t>
      </w:r>
      <w:r w:rsidR="00E02719" w:rsidRPr="00E83D3B">
        <w:rPr>
          <w:rFonts w:ascii="Calibri" w:hAnsi="Calibri" w:cs="Calibri"/>
          <w:b/>
          <w:bCs/>
          <w:color w:val="3F3F3F"/>
        </w:rPr>
        <w:t>,</w:t>
      </w:r>
      <w:r w:rsidR="003D640C" w:rsidRPr="00E83D3B">
        <w:rPr>
          <w:rFonts w:ascii="Calibri" w:hAnsi="Calibri" w:cs="Calibri"/>
          <w:b/>
          <w:bCs/>
          <w:color w:val="3F3F3F"/>
        </w:rPr>
        <w:t xml:space="preserve"> </w:t>
      </w:r>
      <w:r w:rsidR="05469266" w:rsidRPr="00E83D3B">
        <w:rPr>
          <w:rFonts w:ascii="Calibri" w:hAnsi="Calibri" w:cs="Calibri"/>
          <w:b/>
          <w:bCs/>
          <w:color w:val="3F3F3F"/>
        </w:rPr>
        <w:t>where</w:t>
      </w:r>
      <w:r w:rsidR="003D640C" w:rsidRPr="00E83D3B">
        <w:rPr>
          <w:rFonts w:ascii="Calibri" w:hAnsi="Calibri" w:cs="Calibri"/>
          <w:b/>
          <w:bCs/>
          <w:color w:val="3F3F3F"/>
        </w:rPr>
        <w:t xml:space="preserve"> </w:t>
      </w:r>
      <w:r w:rsidR="05469266" w:rsidRPr="00E83D3B">
        <w:rPr>
          <w:rFonts w:ascii="Calibri" w:hAnsi="Calibri" w:cs="Calibri"/>
          <w:b/>
          <w:bCs/>
          <w:color w:val="3F3F3F"/>
        </w:rPr>
        <w:t>relevant,</w:t>
      </w:r>
      <w:r w:rsidR="003D640C" w:rsidRPr="00E83D3B">
        <w:rPr>
          <w:rFonts w:ascii="Calibri" w:hAnsi="Calibri" w:cs="Calibri"/>
          <w:b/>
          <w:bCs/>
          <w:color w:val="3F3F3F"/>
        </w:rPr>
        <w:t xml:space="preserve"> </w:t>
      </w:r>
      <w:r w:rsidR="05469266" w:rsidRPr="00E83D3B">
        <w:rPr>
          <w:rFonts w:ascii="Calibri" w:hAnsi="Calibri" w:cs="Calibri"/>
          <w:b/>
          <w:bCs/>
          <w:color w:val="3F3F3F"/>
        </w:rPr>
        <w:t>remedy</w:t>
      </w:r>
      <w:r w:rsidR="003D640C" w:rsidRPr="00E83D3B">
        <w:rPr>
          <w:rFonts w:ascii="Calibri" w:hAnsi="Calibri" w:cs="Calibri"/>
          <w:b/>
          <w:bCs/>
          <w:color w:val="3F3F3F"/>
        </w:rPr>
        <w:t xml:space="preserve"> </w:t>
      </w:r>
      <w:r w:rsidRPr="00E83D3B">
        <w:rPr>
          <w:rFonts w:ascii="Calibri" w:hAnsi="Calibri" w:cs="Calibri"/>
          <w:b/>
          <w:bCs/>
          <w:color w:val="3F3F3F"/>
        </w:rPr>
        <w:t>the</w:t>
      </w:r>
      <w:r w:rsidR="003D640C" w:rsidRPr="00E83D3B">
        <w:rPr>
          <w:rFonts w:ascii="Calibri" w:hAnsi="Calibri" w:cs="Calibri"/>
          <w:b/>
          <w:bCs/>
          <w:color w:val="3F3F3F"/>
        </w:rPr>
        <w:t xml:space="preserve"> </w:t>
      </w:r>
      <w:r w:rsidRPr="00E83D3B">
        <w:rPr>
          <w:rFonts w:ascii="Calibri" w:hAnsi="Calibri" w:cs="Calibri"/>
          <w:b/>
          <w:bCs/>
          <w:color w:val="3F3F3F"/>
        </w:rPr>
        <w:t>impacts</w:t>
      </w:r>
      <w:r w:rsidR="003D640C" w:rsidRPr="00E83D3B">
        <w:rPr>
          <w:rFonts w:ascii="Calibri" w:hAnsi="Calibri" w:cs="Calibri"/>
          <w:b/>
          <w:bCs/>
          <w:color w:val="3F3F3F"/>
        </w:rPr>
        <w:t xml:space="preserve"> </w:t>
      </w:r>
      <w:r w:rsidRPr="00E83D3B">
        <w:rPr>
          <w:rFonts w:ascii="Calibri" w:hAnsi="Calibri" w:cs="Calibri"/>
          <w:b/>
          <w:bCs/>
          <w:color w:val="3F3F3F"/>
        </w:rPr>
        <w:t>of</w:t>
      </w:r>
      <w:r w:rsidR="003D640C" w:rsidRPr="00E83D3B">
        <w:rPr>
          <w:rFonts w:ascii="Calibri" w:hAnsi="Calibri" w:cs="Calibri"/>
          <w:b/>
          <w:bCs/>
          <w:color w:val="3F3F3F"/>
        </w:rPr>
        <w:t xml:space="preserve"> </w:t>
      </w:r>
      <w:r w:rsidRPr="00E83D3B">
        <w:rPr>
          <w:rFonts w:ascii="Calibri" w:hAnsi="Calibri" w:cs="Calibri"/>
          <w:b/>
          <w:bCs/>
          <w:color w:val="3F3F3F"/>
        </w:rPr>
        <w:t>colonisation</w:t>
      </w:r>
      <w:r w:rsidR="003D640C" w:rsidRPr="00E83D3B">
        <w:rPr>
          <w:rFonts w:ascii="Calibri" w:hAnsi="Calibri" w:cs="Calibri"/>
          <w:b/>
          <w:bCs/>
          <w:color w:val="3F3F3F"/>
        </w:rPr>
        <w:t xml:space="preserve"> </w:t>
      </w:r>
      <w:r w:rsidR="613A26DD" w:rsidRPr="00E83D3B">
        <w:rPr>
          <w:rFonts w:ascii="Calibri" w:hAnsi="Calibri" w:cs="Calibri"/>
          <w:b/>
          <w:bCs/>
          <w:color w:val="3F3F3F"/>
        </w:rPr>
        <w:t>upon</w:t>
      </w:r>
      <w:r w:rsidR="003D640C" w:rsidRPr="00E83D3B">
        <w:rPr>
          <w:rFonts w:ascii="Calibri" w:hAnsi="Calibri" w:cs="Calibri"/>
          <w:b/>
          <w:bCs/>
          <w:color w:val="3F3F3F"/>
        </w:rPr>
        <w:t xml:space="preserve"> </w:t>
      </w:r>
      <w:r w:rsidR="613A26DD" w:rsidRPr="00E83D3B">
        <w:rPr>
          <w:rFonts w:ascii="Calibri" w:hAnsi="Calibri" w:cs="Calibri"/>
          <w:b/>
          <w:bCs/>
          <w:color w:val="3F3F3F"/>
        </w:rPr>
        <w:t>Rainbow</w:t>
      </w:r>
      <w:r w:rsidR="003D640C" w:rsidRPr="00E83D3B">
        <w:rPr>
          <w:rFonts w:ascii="Calibri" w:hAnsi="Calibri" w:cs="Calibri"/>
          <w:b/>
          <w:bCs/>
          <w:color w:val="3F3F3F"/>
        </w:rPr>
        <w:t xml:space="preserve"> </w:t>
      </w:r>
      <w:r w:rsidR="613A26DD" w:rsidRPr="00E83D3B">
        <w:rPr>
          <w:rFonts w:ascii="Calibri" w:hAnsi="Calibri" w:cs="Calibri"/>
          <w:b/>
          <w:bCs/>
          <w:color w:val="3F3F3F"/>
        </w:rPr>
        <w:t>communities</w:t>
      </w:r>
      <w:r w:rsidRPr="00E83D3B">
        <w:rPr>
          <w:rFonts w:ascii="Calibri" w:hAnsi="Calibri" w:cs="Calibri"/>
          <w:b/>
          <w:bCs/>
          <w:color w:val="3F3F3F"/>
        </w:rPr>
        <w:t>.</w:t>
      </w:r>
    </w:p>
    <w:p w14:paraId="5548EA74" w14:textId="0E9A0397" w:rsidR="0078026B" w:rsidRPr="00E83D3B" w:rsidRDefault="000D7DBC">
      <w:pPr>
        <w:pStyle w:val="ListParagraph"/>
        <w:numPr>
          <w:ilvl w:val="0"/>
          <w:numId w:val="114"/>
        </w:numPr>
        <w:rPr>
          <w:rFonts w:ascii="Calibri" w:hAnsi="Calibri" w:cs="Calibri"/>
          <w:b/>
          <w:bCs/>
          <w:color w:val="3F3F3F"/>
        </w:rPr>
      </w:pPr>
      <w:r w:rsidRPr="00E83D3B">
        <w:rPr>
          <w:rFonts w:ascii="Calibri" w:hAnsi="Calibri" w:cs="Calibri"/>
          <w:b/>
          <w:bCs/>
          <w:color w:val="3F3F3F"/>
        </w:rPr>
        <w:t>Support</w:t>
      </w:r>
      <w:r w:rsidR="003D640C" w:rsidRPr="00E83D3B">
        <w:rPr>
          <w:rFonts w:ascii="Calibri" w:hAnsi="Calibri" w:cs="Calibri"/>
          <w:b/>
          <w:bCs/>
          <w:color w:val="3F3F3F"/>
        </w:rPr>
        <w:t xml:space="preserve"> </w:t>
      </w:r>
      <w:r w:rsidRPr="00E83D3B">
        <w:rPr>
          <w:rFonts w:ascii="Calibri" w:hAnsi="Calibri" w:cs="Calibri"/>
          <w:b/>
          <w:bCs/>
          <w:color w:val="3F3F3F"/>
        </w:rPr>
        <w:t>cultural</w:t>
      </w:r>
      <w:r w:rsidR="003D640C" w:rsidRPr="00E83D3B">
        <w:rPr>
          <w:rFonts w:ascii="Calibri" w:hAnsi="Calibri" w:cs="Calibri"/>
          <w:b/>
          <w:bCs/>
          <w:color w:val="3F3F3F"/>
        </w:rPr>
        <w:t xml:space="preserve"> </w:t>
      </w:r>
      <w:r w:rsidRPr="00E83D3B">
        <w:rPr>
          <w:rFonts w:ascii="Calibri" w:hAnsi="Calibri" w:cs="Calibri"/>
          <w:b/>
          <w:bCs/>
          <w:color w:val="3F3F3F"/>
        </w:rPr>
        <w:t>revitalisation</w:t>
      </w:r>
      <w:r w:rsidR="003D640C" w:rsidRPr="00E83D3B">
        <w:rPr>
          <w:rFonts w:ascii="Calibri" w:hAnsi="Calibri" w:cs="Calibri"/>
          <w:b/>
          <w:bCs/>
          <w:color w:val="3F3F3F"/>
        </w:rPr>
        <w:t xml:space="preserve"> </w:t>
      </w:r>
      <w:r w:rsidRPr="00E83D3B">
        <w:rPr>
          <w:rFonts w:ascii="Calibri" w:hAnsi="Calibri" w:cs="Calibri"/>
          <w:b/>
          <w:bCs/>
          <w:color w:val="3F3F3F"/>
        </w:rPr>
        <w:t>that</w:t>
      </w:r>
      <w:r w:rsidR="003D640C" w:rsidRPr="00E83D3B">
        <w:rPr>
          <w:rFonts w:ascii="Calibri" w:hAnsi="Calibri" w:cs="Calibri"/>
          <w:b/>
          <w:bCs/>
          <w:color w:val="3F3F3F"/>
        </w:rPr>
        <w:t xml:space="preserve"> </w:t>
      </w:r>
      <w:r w:rsidRPr="00E83D3B">
        <w:rPr>
          <w:rFonts w:ascii="Calibri" w:hAnsi="Calibri" w:cs="Calibri"/>
          <w:b/>
          <w:bCs/>
          <w:color w:val="3F3F3F"/>
        </w:rPr>
        <w:t>embraces</w:t>
      </w:r>
      <w:r w:rsidR="003D640C" w:rsidRPr="00E83D3B">
        <w:rPr>
          <w:rFonts w:ascii="Calibri" w:hAnsi="Calibri" w:cs="Calibri"/>
          <w:b/>
          <w:bCs/>
          <w:color w:val="3F3F3F"/>
        </w:rPr>
        <w:t xml:space="preserve"> </w:t>
      </w:r>
      <w:r w:rsidRPr="00E83D3B">
        <w:rPr>
          <w:rFonts w:ascii="Calibri" w:hAnsi="Calibri" w:cs="Calibri"/>
          <w:b/>
          <w:bCs/>
          <w:color w:val="3F3F3F"/>
        </w:rPr>
        <w:t>pre-colonial</w:t>
      </w:r>
      <w:r w:rsidR="003D640C" w:rsidRPr="00E83D3B">
        <w:rPr>
          <w:rFonts w:ascii="Calibri" w:hAnsi="Calibri" w:cs="Calibri"/>
          <w:b/>
          <w:bCs/>
          <w:color w:val="3F3F3F"/>
        </w:rPr>
        <w:t xml:space="preserve"> </w:t>
      </w:r>
      <w:r w:rsidRPr="00E83D3B">
        <w:rPr>
          <w:rFonts w:ascii="Calibri" w:hAnsi="Calibri" w:cs="Calibri"/>
          <w:b/>
          <w:bCs/>
          <w:color w:val="3F3F3F"/>
        </w:rPr>
        <w:t>expressions</w:t>
      </w:r>
      <w:r w:rsidR="003D640C" w:rsidRPr="00E83D3B">
        <w:rPr>
          <w:rFonts w:ascii="Calibri" w:hAnsi="Calibri" w:cs="Calibri"/>
          <w:b/>
          <w:bCs/>
          <w:color w:val="3F3F3F"/>
        </w:rPr>
        <w:t xml:space="preserve"> </w:t>
      </w:r>
      <w:r w:rsidRPr="00E83D3B">
        <w:rPr>
          <w:rFonts w:ascii="Calibri" w:hAnsi="Calibri" w:cs="Calibri"/>
          <w:b/>
          <w:bCs/>
          <w:color w:val="3F3F3F"/>
        </w:rPr>
        <w:t>of</w:t>
      </w:r>
      <w:r w:rsidR="003D640C" w:rsidRPr="00E83D3B">
        <w:rPr>
          <w:rFonts w:ascii="Calibri" w:hAnsi="Calibri" w:cs="Calibri"/>
          <w:b/>
          <w:bCs/>
          <w:color w:val="3F3F3F"/>
        </w:rPr>
        <w:t xml:space="preserve"> </w:t>
      </w:r>
      <w:r w:rsidRPr="00E83D3B">
        <w:rPr>
          <w:rFonts w:ascii="Calibri" w:hAnsi="Calibri" w:cs="Calibri"/>
          <w:b/>
          <w:bCs/>
          <w:color w:val="3F3F3F"/>
        </w:rPr>
        <w:t>sexuality</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gender,</w:t>
      </w:r>
      <w:r w:rsidR="003D640C" w:rsidRPr="00E83D3B">
        <w:rPr>
          <w:rFonts w:ascii="Calibri" w:hAnsi="Calibri" w:cs="Calibri"/>
          <w:b/>
          <w:bCs/>
          <w:color w:val="3F3F3F"/>
        </w:rPr>
        <w:t xml:space="preserve"> </w:t>
      </w:r>
      <w:r w:rsidRPr="00E83D3B">
        <w:rPr>
          <w:b/>
          <w:bCs/>
        </w:rPr>
        <w:t>including</w:t>
      </w:r>
      <w:r w:rsidR="003D640C" w:rsidRPr="00E83D3B">
        <w:rPr>
          <w:rFonts w:ascii="Calibri" w:hAnsi="Calibri" w:cs="Calibri"/>
          <w:b/>
          <w:bCs/>
          <w:color w:val="3F3F3F"/>
        </w:rPr>
        <w:t xml:space="preserve"> </w:t>
      </w:r>
      <w:r w:rsidRPr="00E83D3B">
        <w:rPr>
          <w:rFonts w:ascii="Calibri" w:hAnsi="Calibri" w:cs="Calibri"/>
          <w:b/>
          <w:bCs/>
          <w:color w:val="3F3F3F"/>
        </w:rPr>
        <w:t>in</w:t>
      </w:r>
      <w:r w:rsidR="003D640C" w:rsidRPr="00E83D3B">
        <w:rPr>
          <w:rFonts w:ascii="Calibri" w:hAnsi="Calibri" w:cs="Calibri"/>
          <w:b/>
          <w:bCs/>
          <w:color w:val="3F3F3F"/>
        </w:rPr>
        <w:t xml:space="preserve"> </w:t>
      </w:r>
      <w:r w:rsidRPr="00E83D3B">
        <w:rPr>
          <w:rFonts w:ascii="Calibri" w:hAnsi="Calibri" w:cs="Calibri"/>
          <w:b/>
          <w:bCs/>
          <w:color w:val="3F3F3F"/>
        </w:rPr>
        <w:t>cultural</w:t>
      </w:r>
      <w:r w:rsidR="003D640C" w:rsidRPr="00E83D3B">
        <w:rPr>
          <w:rFonts w:ascii="Calibri" w:hAnsi="Calibri" w:cs="Calibri"/>
          <w:b/>
          <w:bCs/>
          <w:color w:val="3F3F3F"/>
        </w:rPr>
        <w:t xml:space="preserve"> </w:t>
      </w:r>
      <w:r w:rsidRPr="00E83D3B">
        <w:rPr>
          <w:rFonts w:ascii="Calibri" w:hAnsi="Calibri" w:cs="Calibri"/>
          <w:b/>
          <w:bCs/>
          <w:color w:val="3F3F3F"/>
        </w:rPr>
        <w:t>practices,</w:t>
      </w:r>
      <w:r w:rsidR="003D640C" w:rsidRPr="00E83D3B">
        <w:rPr>
          <w:rFonts w:ascii="Calibri" w:hAnsi="Calibri" w:cs="Calibri"/>
          <w:b/>
          <w:bCs/>
          <w:color w:val="3F3F3F"/>
        </w:rPr>
        <w:t xml:space="preserve"> </w:t>
      </w:r>
      <w:r w:rsidRPr="00E83D3B">
        <w:rPr>
          <w:rFonts w:ascii="Calibri" w:hAnsi="Calibri" w:cs="Calibri"/>
          <w:b/>
          <w:bCs/>
          <w:color w:val="3F3F3F"/>
        </w:rPr>
        <w:t>language,</w:t>
      </w:r>
      <w:r w:rsidR="003D640C" w:rsidRPr="00E83D3B">
        <w:rPr>
          <w:rFonts w:ascii="Calibri" w:hAnsi="Calibri" w:cs="Calibri"/>
          <w:b/>
          <w:bCs/>
          <w:color w:val="3F3F3F"/>
        </w:rPr>
        <w:t xml:space="preserve"> </w:t>
      </w:r>
      <w:r w:rsidRPr="00E83D3B">
        <w:rPr>
          <w:rFonts w:ascii="Calibri" w:hAnsi="Calibri" w:cs="Calibri"/>
          <w:b/>
          <w:bCs/>
          <w:color w:val="3F3F3F"/>
        </w:rPr>
        <w:t>arts</w:t>
      </w:r>
      <w:r w:rsidR="00D16A97" w:rsidRPr="00E83D3B">
        <w:rPr>
          <w:rFonts w:ascii="Calibri" w:hAnsi="Calibri" w:cs="Calibri"/>
          <w:b/>
          <w:bCs/>
          <w:color w:val="3F3F3F"/>
        </w:rPr>
        <w:t>,</w:t>
      </w:r>
      <w:r w:rsidR="003D640C" w:rsidRPr="00E83D3B">
        <w:rPr>
          <w:rFonts w:ascii="Calibri" w:hAnsi="Calibri" w:cs="Calibri"/>
          <w:b/>
          <w:bCs/>
          <w:color w:val="3F3F3F"/>
        </w:rPr>
        <w:t xml:space="preserve"> </w:t>
      </w:r>
      <w:r w:rsidRPr="00E83D3B">
        <w:rPr>
          <w:rFonts w:ascii="Calibri" w:hAnsi="Calibri" w:cs="Calibri"/>
          <w:b/>
          <w:bCs/>
          <w:color w:val="3F3F3F"/>
        </w:rPr>
        <w:t>and</w:t>
      </w:r>
      <w:r w:rsidR="003D640C" w:rsidRPr="00E83D3B">
        <w:rPr>
          <w:rFonts w:ascii="Calibri" w:hAnsi="Calibri" w:cs="Calibri"/>
          <w:b/>
          <w:bCs/>
          <w:color w:val="3F3F3F"/>
        </w:rPr>
        <w:t xml:space="preserve"> </w:t>
      </w:r>
      <w:r w:rsidRPr="00E83D3B">
        <w:rPr>
          <w:rFonts w:ascii="Calibri" w:hAnsi="Calibri" w:cs="Calibri"/>
          <w:b/>
          <w:bCs/>
          <w:color w:val="3F3F3F"/>
        </w:rPr>
        <w:t>storytelling.</w:t>
      </w:r>
      <w:r w:rsidR="0078026B" w:rsidRPr="00E83D3B">
        <w:rPr>
          <w:rFonts w:ascii="Calibri" w:hAnsi="Calibri" w:cs="Calibri"/>
          <w:b/>
          <w:bCs/>
          <w:color w:val="3F3F3F"/>
        </w:rPr>
        <w:br w:type="page"/>
      </w:r>
    </w:p>
    <w:p w14:paraId="69DAAFF1" w14:textId="6331A7D0" w:rsidR="00BB3F27" w:rsidRPr="00BB6220" w:rsidRDefault="00BB3F27" w:rsidP="00501BC4">
      <w:pPr>
        <w:pStyle w:val="Heading1"/>
      </w:pPr>
      <w:bookmarkStart w:id="32" w:name="_Toc167780569"/>
      <w:bookmarkStart w:id="33" w:name="_Toc113881165"/>
      <w:bookmarkStart w:id="34" w:name="_Toc174628627"/>
      <w:r w:rsidRPr="00BB6220">
        <w:lastRenderedPageBreak/>
        <w:t>Introduction</w:t>
      </w:r>
      <w:bookmarkEnd w:id="32"/>
      <w:bookmarkEnd w:id="33"/>
      <w:bookmarkEnd w:id="34"/>
    </w:p>
    <w:p w14:paraId="3515FDBD" w14:textId="2CB6F191" w:rsidR="002A67E8" w:rsidRPr="00BB6220" w:rsidRDefault="00CF686F" w:rsidP="0078026B">
      <w:pPr>
        <w:pStyle w:val="Heading2"/>
      </w:pPr>
      <w:bookmarkStart w:id="35" w:name="_Toc167780570"/>
      <w:bookmarkStart w:id="36" w:name="_Toc793682601"/>
      <w:bookmarkStart w:id="37" w:name="_Toc174628628"/>
      <w:r>
        <w:t>Survivor</w:t>
      </w:r>
      <w:r w:rsidR="00582FE0">
        <w:t>s’</w:t>
      </w:r>
      <w:r w:rsidR="003D640C">
        <w:t xml:space="preserve"> </w:t>
      </w:r>
      <w:r>
        <w:t>vision</w:t>
      </w:r>
      <w:r w:rsidR="003D640C">
        <w:t xml:space="preserve"> </w:t>
      </w:r>
      <w:r>
        <w:t>for</w:t>
      </w:r>
      <w:r w:rsidR="003D640C">
        <w:t xml:space="preserve"> </w:t>
      </w:r>
      <w:r>
        <w:t>the</w:t>
      </w:r>
      <w:r w:rsidR="003D640C">
        <w:t xml:space="preserve"> </w:t>
      </w:r>
      <w:r>
        <w:t>future</w:t>
      </w:r>
      <w:bookmarkEnd w:id="35"/>
      <w:bookmarkEnd w:id="36"/>
      <w:bookmarkEnd w:id="37"/>
    </w:p>
    <w:p w14:paraId="3F3EAD18" w14:textId="6ED7C77A" w:rsidR="00501068" w:rsidRDefault="002A67E8" w:rsidP="0078026B">
      <w:pPr>
        <w:rPr>
          <w:lang w:eastAsia="en-NZ"/>
        </w:rPr>
      </w:pPr>
      <w:r>
        <w:rPr>
          <w:rStyle w:val="SubtleEmphasis"/>
          <w:b/>
          <w:i w:val="0"/>
          <w:color w:val="000000" w:themeColor="text1"/>
        </w:rPr>
        <w:t>Imagine</w:t>
      </w:r>
      <w:r w:rsidR="003D640C">
        <w:rPr>
          <w:rStyle w:val="SubtleEmphasis"/>
          <w:b/>
          <w:i w:val="0"/>
          <w:color w:val="000000" w:themeColor="text1"/>
        </w:rPr>
        <w:t xml:space="preserve"> </w:t>
      </w:r>
      <w:r>
        <w:rPr>
          <w:rStyle w:val="SubtleEmphasis"/>
          <w:b/>
          <w:i w:val="0"/>
          <w:color w:val="000000" w:themeColor="text1"/>
        </w:rPr>
        <w:t>a</w:t>
      </w:r>
      <w:r w:rsidR="003D640C">
        <w:rPr>
          <w:rStyle w:val="SubtleEmphasis"/>
          <w:b/>
          <w:i w:val="0"/>
          <w:color w:val="000000" w:themeColor="text1"/>
        </w:rPr>
        <w:t xml:space="preserve"> </w:t>
      </w:r>
      <w:r>
        <w:rPr>
          <w:rStyle w:val="SubtleEmphasis"/>
          <w:b/>
          <w:i w:val="0"/>
          <w:color w:val="000000" w:themeColor="text1"/>
        </w:rPr>
        <w:t>world</w:t>
      </w:r>
      <w:r w:rsidR="003D640C">
        <w:rPr>
          <w:rStyle w:val="SubtleEmphasis"/>
          <w:b/>
          <w:i w:val="0"/>
          <w:color w:val="000000" w:themeColor="text1"/>
        </w:rPr>
        <w:t xml:space="preserve"> </w:t>
      </w:r>
      <w:r w:rsidRPr="00B1465F">
        <w:rPr>
          <w:rStyle w:val="SubtleEmphasis"/>
          <w:b/>
          <w:i w:val="0"/>
          <w:iCs w:val="0"/>
          <w:color w:val="000000" w:themeColor="text1"/>
        </w:rPr>
        <w:t>where</w:t>
      </w:r>
      <w:r w:rsidR="003D640C">
        <w:rPr>
          <w:rStyle w:val="SubtleEmphasis"/>
          <w:b/>
          <w:i w:val="0"/>
          <w:color w:val="000000" w:themeColor="text1"/>
        </w:rPr>
        <w:t xml:space="preserve"> </w:t>
      </w:r>
      <w:r w:rsidRPr="00B1465F">
        <w:rPr>
          <w:rStyle w:val="SubtleEmphasis"/>
          <w:b/>
          <w:i w:val="0"/>
          <w:color w:val="000000" w:themeColor="text1"/>
        </w:rPr>
        <w:t>being</w:t>
      </w:r>
      <w:r w:rsidR="003D640C">
        <w:rPr>
          <w:rStyle w:val="SubtleEmphasis"/>
          <w:b/>
          <w:i w:val="0"/>
          <w:color w:val="000000" w:themeColor="text1"/>
        </w:rPr>
        <w:t xml:space="preserve"> </w:t>
      </w:r>
      <w:r w:rsidRPr="00B1465F">
        <w:rPr>
          <w:rStyle w:val="SubtleEmphasis"/>
          <w:b/>
          <w:i w:val="0"/>
          <w:color w:val="000000" w:themeColor="text1"/>
        </w:rPr>
        <w:t>Rainbow</w:t>
      </w:r>
      <w:r w:rsidR="003D640C">
        <w:rPr>
          <w:rStyle w:val="SubtleEmphasis"/>
          <w:b/>
          <w:i w:val="0"/>
          <w:color w:val="000000" w:themeColor="text1"/>
        </w:rPr>
        <w:t xml:space="preserve"> </w:t>
      </w:r>
      <w:r w:rsidRPr="00B1465F">
        <w:rPr>
          <w:rStyle w:val="SubtleEmphasis"/>
          <w:b/>
          <w:i w:val="0"/>
          <w:color w:val="000000" w:themeColor="text1"/>
        </w:rPr>
        <w:t>is</w:t>
      </w:r>
      <w:r w:rsidR="003D640C">
        <w:rPr>
          <w:rStyle w:val="SubtleEmphasis"/>
          <w:b/>
          <w:i w:val="0"/>
          <w:color w:val="000000" w:themeColor="text1"/>
        </w:rPr>
        <w:t xml:space="preserve"> </w:t>
      </w:r>
      <w:r w:rsidRPr="00B1465F">
        <w:rPr>
          <w:rStyle w:val="SubtleEmphasis"/>
          <w:b/>
          <w:i w:val="0"/>
          <w:iCs w:val="0"/>
          <w:color w:val="000000" w:themeColor="text1"/>
        </w:rPr>
        <w:t>embraced</w:t>
      </w:r>
      <w:r w:rsidRPr="00B1465F">
        <w:rPr>
          <w:i/>
          <w:lang w:eastAsia="en-NZ"/>
        </w:rPr>
        <w:t>.</w:t>
      </w:r>
      <w:r w:rsidR="003D640C">
        <w:rPr>
          <w:i/>
          <w:lang w:eastAsia="en-NZ"/>
        </w:rPr>
        <w:t xml:space="preserve"> </w:t>
      </w:r>
      <w:r w:rsidRPr="00B1465F">
        <w:rPr>
          <w:lang w:eastAsia="en-NZ"/>
        </w:rPr>
        <w:t>In</w:t>
      </w:r>
      <w:r w:rsidR="003D640C">
        <w:rPr>
          <w:lang w:eastAsia="en-NZ"/>
        </w:rPr>
        <w:t xml:space="preserve"> </w:t>
      </w:r>
      <w:r w:rsidRPr="00B1465F">
        <w:rPr>
          <w:lang w:eastAsia="en-NZ"/>
        </w:rPr>
        <w:t>this</w:t>
      </w:r>
      <w:r w:rsidR="003D640C">
        <w:rPr>
          <w:lang w:eastAsia="en-NZ"/>
        </w:rPr>
        <w:t xml:space="preserve"> </w:t>
      </w:r>
      <w:r>
        <w:rPr>
          <w:lang w:eastAsia="en-NZ"/>
        </w:rPr>
        <w:t>world,</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3D640C">
        <w:rPr>
          <w:lang w:eastAsia="en-NZ"/>
        </w:rPr>
        <w:t xml:space="preserve"> </w:t>
      </w:r>
      <w:r w:rsidR="00234A6F">
        <w:rPr>
          <w:lang w:eastAsia="en-NZ"/>
        </w:rPr>
        <w:t xml:space="preserve">peoples, </w:t>
      </w:r>
      <w:r w:rsidRPr="00B1465F">
        <w:rPr>
          <w:lang w:eastAsia="en-NZ"/>
        </w:rPr>
        <w:t>and</w:t>
      </w:r>
      <w:r w:rsidR="003D640C">
        <w:rPr>
          <w:lang w:eastAsia="en-NZ"/>
        </w:rPr>
        <w:t xml:space="preserve"> </w:t>
      </w:r>
      <w:r w:rsidRPr="00B1465F">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would</w:t>
      </w:r>
      <w:r w:rsidR="003D640C">
        <w:rPr>
          <w:lang w:eastAsia="en-NZ"/>
        </w:rPr>
        <w:t xml:space="preserve"> </w:t>
      </w:r>
      <w:r w:rsidRPr="00B1465F">
        <w:rPr>
          <w:lang w:eastAsia="en-NZ"/>
        </w:rPr>
        <w:t>feel</w:t>
      </w:r>
      <w:r w:rsidR="003D640C">
        <w:rPr>
          <w:lang w:eastAsia="en-NZ"/>
        </w:rPr>
        <w:t xml:space="preserve"> </w:t>
      </w:r>
      <w:r w:rsidRPr="00B1465F">
        <w:rPr>
          <w:lang w:eastAsia="en-NZ"/>
        </w:rPr>
        <w:t>free</w:t>
      </w:r>
      <w:r w:rsidR="003D640C">
        <w:rPr>
          <w:lang w:eastAsia="en-NZ"/>
        </w:rPr>
        <w:t xml:space="preserve"> </w:t>
      </w:r>
      <w:r w:rsidRPr="00B1465F">
        <w:rPr>
          <w:lang w:eastAsia="en-NZ"/>
        </w:rPr>
        <w:t>to</w:t>
      </w:r>
      <w:r w:rsidR="003D640C">
        <w:rPr>
          <w:lang w:eastAsia="en-NZ"/>
        </w:rPr>
        <w:t xml:space="preserve"> </w:t>
      </w:r>
      <w:r w:rsidRPr="00B1465F">
        <w:rPr>
          <w:lang w:eastAsia="en-NZ"/>
        </w:rPr>
        <w:t>express</w:t>
      </w:r>
      <w:r w:rsidR="003D640C">
        <w:rPr>
          <w:lang w:eastAsia="en-NZ"/>
        </w:rPr>
        <w:t xml:space="preserve"> </w:t>
      </w:r>
      <w:r w:rsidRPr="00B1465F">
        <w:rPr>
          <w:lang w:eastAsia="en-NZ"/>
        </w:rPr>
        <w:t>their</w:t>
      </w:r>
      <w:r w:rsidR="003D640C">
        <w:rPr>
          <w:lang w:eastAsia="en-NZ"/>
        </w:rPr>
        <w:t xml:space="preserve"> </w:t>
      </w:r>
      <w:r w:rsidRPr="00B1465F">
        <w:rPr>
          <w:lang w:eastAsia="en-NZ"/>
        </w:rPr>
        <w:t>authentic</w:t>
      </w:r>
      <w:r w:rsidR="003D640C">
        <w:rPr>
          <w:lang w:eastAsia="en-NZ"/>
        </w:rPr>
        <w:t xml:space="preserve"> </w:t>
      </w:r>
      <w:r w:rsidRPr="00B1465F">
        <w:rPr>
          <w:lang w:eastAsia="en-NZ"/>
        </w:rPr>
        <w:t>selves</w:t>
      </w:r>
      <w:r w:rsidR="003D640C">
        <w:rPr>
          <w:lang w:eastAsia="en-NZ"/>
        </w:rPr>
        <w:t xml:space="preserve"> </w:t>
      </w:r>
      <w:r w:rsidRPr="00B1465F">
        <w:rPr>
          <w:lang w:eastAsia="en-NZ"/>
        </w:rPr>
        <w:t>without</w:t>
      </w:r>
      <w:r w:rsidR="003D640C">
        <w:rPr>
          <w:lang w:eastAsia="en-NZ"/>
        </w:rPr>
        <w:t xml:space="preserve"> </w:t>
      </w:r>
      <w:r w:rsidRPr="00B1465F">
        <w:rPr>
          <w:lang w:eastAsia="en-NZ"/>
        </w:rPr>
        <w:t>fear</w:t>
      </w:r>
      <w:r w:rsidR="003D640C">
        <w:rPr>
          <w:lang w:eastAsia="en-NZ"/>
        </w:rPr>
        <w:t xml:space="preserve"> </w:t>
      </w:r>
      <w:r w:rsidRPr="00B1465F">
        <w:rPr>
          <w:lang w:eastAsia="en-NZ"/>
        </w:rPr>
        <w:t>of</w:t>
      </w:r>
      <w:r w:rsidR="003D640C">
        <w:rPr>
          <w:lang w:eastAsia="en-NZ"/>
        </w:rPr>
        <w:t xml:space="preserve"> </w:t>
      </w:r>
      <w:r w:rsidRPr="00B1465F">
        <w:rPr>
          <w:lang w:eastAsia="en-NZ"/>
        </w:rPr>
        <w:t>discrimination,</w:t>
      </w:r>
      <w:r w:rsidR="003D640C">
        <w:rPr>
          <w:lang w:eastAsia="en-NZ"/>
        </w:rPr>
        <w:t xml:space="preserve"> </w:t>
      </w:r>
      <w:r w:rsidRPr="00B1465F">
        <w:rPr>
          <w:lang w:eastAsia="en-NZ"/>
        </w:rPr>
        <w:t>stigma,</w:t>
      </w:r>
      <w:r w:rsidR="003D640C">
        <w:rPr>
          <w:lang w:eastAsia="en-NZ"/>
        </w:rPr>
        <w:t xml:space="preserve"> </w:t>
      </w:r>
      <w:r w:rsidRPr="00B1465F">
        <w:rPr>
          <w:lang w:eastAsia="en-NZ"/>
        </w:rPr>
        <w:t>or</w:t>
      </w:r>
      <w:r w:rsidR="003D640C">
        <w:rPr>
          <w:lang w:eastAsia="en-NZ"/>
        </w:rPr>
        <w:t xml:space="preserve"> </w:t>
      </w:r>
      <w:r w:rsidRPr="00B1465F">
        <w:rPr>
          <w:lang w:eastAsia="en-NZ"/>
        </w:rPr>
        <w:t>pressure</w:t>
      </w:r>
      <w:r w:rsidR="003D640C">
        <w:rPr>
          <w:lang w:eastAsia="en-NZ"/>
        </w:rPr>
        <w:t xml:space="preserve"> </w:t>
      </w:r>
      <w:r w:rsidRPr="00B1465F">
        <w:rPr>
          <w:lang w:eastAsia="en-NZ"/>
        </w:rPr>
        <w:t>to</w:t>
      </w:r>
      <w:r w:rsidR="003D640C">
        <w:rPr>
          <w:lang w:eastAsia="en-NZ"/>
        </w:rPr>
        <w:t xml:space="preserve"> </w:t>
      </w:r>
      <w:r w:rsidRPr="00B1465F">
        <w:rPr>
          <w:lang w:eastAsia="en-NZ"/>
        </w:rPr>
        <w:t>suppress</w:t>
      </w:r>
      <w:r w:rsidR="003D640C">
        <w:rPr>
          <w:lang w:eastAsia="en-NZ"/>
        </w:rPr>
        <w:t xml:space="preserve"> </w:t>
      </w:r>
      <w:r w:rsidRPr="00B1465F">
        <w:rPr>
          <w:lang w:eastAsia="en-NZ"/>
        </w:rPr>
        <w:t>or</w:t>
      </w:r>
      <w:r w:rsidR="003D640C">
        <w:rPr>
          <w:lang w:eastAsia="en-NZ"/>
        </w:rPr>
        <w:t xml:space="preserve"> </w:t>
      </w:r>
      <w:r w:rsidRPr="00B1465F">
        <w:rPr>
          <w:lang w:eastAsia="en-NZ"/>
        </w:rPr>
        <w:t>change</w:t>
      </w:r>
      <w:r w:rsidR="003D640C">
        <w:rPr>
          <w:lang w:eastAsia="en-NZ"/>
        </w:rPr>
        <w:t xml:space="preserve"> </w:t>
      </w:r>
      <w:r w:rsidRPr="00B1465F">
        <w:rPr>
          <w:lang w:eastAsia="en-NZ"/>
        </w:rPr>
        <w:t>their</w:t>
      </w:r>
      <w:r w:rsidR="003D640C">
        <w:rPr>
          <w:lang w:eastAsia="en-NZ"/>
        </w:rPr>
        <w:t xml:space="preserve"> </w:t>
      </w:r>
      <w:r w:rsidRPr="00B1465F">
        <w:rPr>
          <w:lang w:eastAsia="en-NZ"/>
        </w:rPr>
        <w:t>sexual</w:t>
      </w:r>
      <w:r w:rsidR="003D640C">
        <w:rPr>
          <w:lang w:eastAsia="en-NZ"/>
        </w:rPr>
        <w:t xml:space="preserve"> </w:t>
      </w:r>
      <w:r w:rsidRPr="00B1465F">
        <w:rPr>
          <w:lang w:eastAsia="en-NZ"/>
        </w:rPr>
        <w:t>orientation,</w:t>
      </w:r>
      <w:r w:rsidR="003D640C">
        <w:rPr>
          <w:lang w:eastAsia="en-NZ"/>
        </w:rPr>
        <w:t xml:space="preserve"> </w:t>
      </w:r>
      <w:r w:rsidRPr="00B1465F">
        <w:rPr>
          <w:lang w:eastAsia="en-NZ"/>
        </w:rPr>
        <w:t>gender</w:t>
      </w:r>
      <w:r w:rsidR="003D640C">
        <w:rPr>
          <w:lang w:eastAsia="en-NZ"/>
        </w:rPr>
        <w:t xml:space="preserve"> </w:t>
      </w:r>
      <w:r w:rsidRPr="00B1465F">
        <w:rPr>
          <w:lang w:eastAsia="en-NZ"/>
        </w:rPr>
        <w:t>identity</w:t>
      </w:r>
      <w:r w:rsidR="003D640C">
        <w:rPr>
          <w:lang w:eastAsia="en-NZ"/>
        </w:rPr>
        <w:t xml:space="preserve"> </w:t>
      </w:r>
      <w:r w:rsidRPr="00B1465F">
        <w:rPr>
          <w:lang w:eastAsia="en-NZ"/>
        </w:rPr>
        <w:t>or</w:t>
      </w:r>
      <w:r w:rsidR="003D640C">
        <w:rPr>
          <w:lang w:eastAsia="en-NZ"/>
        </w:rPr>
        <w:t xml:space="preserve"> </w:t>
      </w:r>
      <w:r w:rsidRPr="00B1465F">
        <w:rPr>
          <w:lang w:eastAsia="en-NZ"/>
        </w:rPr>
        <w:t>expression,</w:t>
      </w:r>
      <w:r w:rsidR="003D640C">
        <w:rPr>
          <w:lang w:eastAsia="en-NZ"/>
        </w:rPr>
        <w:t xml:space="preserve"> </w:t>
      </w:r>
      <w:r w:rsidRPr="00B1465F">
        <w:rPr>
          <w:lang w:eastAsia="en-NZ"/>
        </w:rPr>
        <w:t>or</w:t>
      </w:r>
      <w:r w:rsidR="003D640C">
        <w:rPr>
          <w:lang w:eastAsia="en-NZ"/>
        </w:rPr>
        <w:t xml:space="preserve"> </w:t>
      </w:r>
      <w:r w:rsidRPr="00B1465F">
        <w:rPr>
          <w:lang w:eastAsia="en-NZ"/>
        </w:rPr>
        <w:t>sex</w:t>
      </w:r>
      <w:r w:rsidR="003D640C">
        <w:rPr>
          <w:lang w:eastAsia="en-NZ"/>
        </w:rPr>
        <w:t xml:space="preserve"> </w:t>
      </w:r>
      <w:r w:rsidRPr="00B1465F">
        <w:rPr>
          <w:lang w:eastAsia="en-NZ"/>
        </w:rPr>
        <w:t>characteristics.</w:t>
      </w:r>
    </w:p>
    <w:p w14:paraId="5ED1A2D5" w14:textId="38043FD9" w:rsidR="00501068" w:rsidRDefault="002A67E8" w:rsidP="0078026B">
      <w:pPr>
        <w:rPr>
          <w:lang w:eastAsia="en-NZ"/>
        </w:rPr>
      </w:pPr>
      <w:r>
        <w:rPr>
          <w:rStyle w:val="SubtleEmphasis"/>
          <w:b/>
          <w:i w:val="0"/>
          <w:iCs w:val="0"/>
          <w:color w:val="000000" w:themeColor="text1"/>
        </w:rPr>
        <w:t>In</w:t>
      </w:r>
      <w:r w:rsidR="003D640C">
        <w:rPr>
          <w:rStyle w:val="SubtleEmphasis"/>
          <w:b/>
          <w:i w:val="0"/>
          <w:iCs w:val="0"/>
          <w:color w:val="000000" w:themeColor="text1"/>
        </w:rPr>
        <w:t xml:space="preserve"> </w:t>
      </w:r>
      <w:r>
        <w:rPr>
          <w:rStyle w:val="SubtleEmphasis"/>
          <w:b/>
          <w:i w:val="0"/>
          <w:iCs w:val="0"/>
          <w:color w:val="000000" w:themeColor="text1"/>
        </w:rPr>
        <w:t>this</w:t>
      </w:r>
      <w:r w:rsidR="003D640C">
        <w:rPr>
          <w:rStyle w:val="SubtleEmphasis"/>
          <w:b/>
          <w:i w:val="0"/>
          <w:iCs w:val="0"/>
          <w:color w:val="000000" w:themeColor="text1"/>
        </w:rPr>
        <w:t xml:space="preserve"> </w:t>
      </w:r>
      <w:r>
        <w:rPr>
          <w:rStyle w:val="SubtleEmphasis"/>
          <w:b/>
          <w:i w:val="0"/>
          <w:iCs w:val="0"/>
          <w:color w:val="000000" w:themeColor="text1"/>
        </w:rPr>
        <w:t>world,</w:t>
      </w:r>
      <w:r w:rsidR="003D640C">
        <w:rPr>
          <w:rStyle w:val="SubtleEmphasis"/>
          <w:b/>
          <w:i w:val="0"/>
          <w:iCs w:val="0"/>
          <w:color w:val="000000" w:themeColor="text1"/>
        </w:rPr>
        <w:t xml:space="preserve"> </w:t>
      </w:r>
      <w:r>
        <w:rPr>
          <w:rStyle w:val="SubtleEmphasis"/>
          <w:b/>
          <w:i w:val="0"/>
          <w:iCs w:val="0"/>
          <w:color w:val="000000" w:themeColor="text1"/>
        </w:rPr>
        <w:t>r</w:t>
      </w:r>
      <w:r w:rsidRPr="00B1465F">
        <w:rPr>
          <w:rStyle w:val="SubtleEmphasis"/>
          <w:b/>
          <w:i w:val="0"/>
          <w:iCs w:val="0"/>
          <w:color w:val="000000" w:themeColor="text1"/>
        </w:rPr>
        <w:t>eligious</w:t>
      </w:r>
      <w:r w:rsidR="003D640C">
        <w:rPr>
          <w:rStyle w:val="SubtleEmphasis"/>
          <w:b/>
          <w:i w:val="0"/>
          <w:iCs w:val="0"/>
          <w:color w:val="000000" w:themeColor="text1"/>
        </w:rPr>
        <w:t xml:space="preserve"> </w:t>
      </w:r>
      <w:r w:rsidRPr="00B1465F">
        <w:rPr>
          <w:rStyle w:val="SubtleEmphasis"/>
          <w:b/>
          <w:i w:val="0"/>
          <w:color w:val="000000" w:themeColor="text1"/>
        </w:rPr>
        <w:t>communities</w:t>
      </w:r>
      <w:r w:rsidR="003D640C">
        <w:rPr>
          <w:rStyle w:val="SubtleEmphasis"/>
          <w:b/>
          <w:i w:val="0"/>
          <w:color w:val="000000" w:themeColor="text1"/>
        </w:rPr>
        <w:t xml:space="preserve"> </w:t>
      </w:r>
      <w:r w:rsidRPr="00B1465F">
        <w:rPr>
          <w:rStyle w:val="SubtleEmphasis"/>
          <w:b/>
          <w:i w:val="0"/>
          <w:iCs w:val="0"/>
          <w:color w:val="000000" w:themeColor="text1"/>
        </w:rPr>
        <w:t>affirm</w:t>
      </w:r>
      <w:r w:rsidR="003D640C">
        <w:rPr>
          <w:rStyle w:val="SubtleEmphasis"/>
          <w:b/>
          <w:i w:val="0"/>
          <w:iCs w:val="0"/>
          <w:color w:val="000000" w:themeColor="text1"/>
        </w:rPr>
        <w:t xml:space="preserve"> </w:t>
      </w:r>
      <w:r w:rsidRPr="00B1465F">
        <w:rPr>
          <w:rStyle w:val="SubtleEmphasis"/>
          <w:b/>
          <w:i w:val="0"/>
          <w:color w:val="000000" w:themeColor="text1"/>
        </w:rPr>
        <w:t>Rainbow</w:t>
      </w:r>
      <w:r w:rsidR="003D640C">
        <w:rPr>
          <w:rStyle w:val="SubtleEmphasis"/>
          <w:b/>
          <w:i w:val="0"/>
          <w:color w:val="000000" w:themeColor="text1"/>
        </w:rPr>
        <w:t xml:space="preserve"> </w:t>
      </w:r>
      <w:r w:rsidRPr="00B1465F">
        <w:rPr>
          <w:rStyle w:val="SubtleEmphasis"/>
          <w:b/>
          <w:i w:val="0"/>
          <w:color w:val="000000" w:themeColor="text1"/>
        </w:rPr>
        <w:t>identities</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00B1465F">
        <w:rPr>
          <w:rStyle w:val="SubtleEmphasis"/>
          <w:b/>
          <w:i w:val="0"/>
          <w:color w:val="000000" w:themeColor="text1"/>
        </w:rPr>
        <w:t>uplift</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00B1465F">
        <w:rPr>
          <w:rStyle w:val="SubtleEmphasis"/>
          <w:b/>
          <w:i w:val="0"/>
          <w:color w:val="000000" w:themeColor="text1"/>
        </w:rPr>
        <w:t>protect</w:t>
      </w:r>
      <w:r w:rsidR="003D640C">
        <w:rPr>
          <w:rStyle w:val="SubtleEmphasis"/>
          <w:b/>
          <w:i w:val="0"/>
          <w:color w:val="000000" w:themeColor="text1"/>
        </w:rPr>
        <w:t xml:space="preserve"> </w:t>
      </w:r>
      <w:r w:rsidRPr="00B1465F">
        <w:rPr>
          <w:rStyle w:val="SubtleEmphasis"/>
          <w:b/>
          <w:i w:val="0"/>
          <w:color w:val="000000" w:themeColor="text1"/>
        </w:rPr>
        <w:t>their</w:t>
      </w:r>
      <w:r w:rsidR="003D640C">
        <w:rPr>
          <w:rStyle w:val="SubtleEmphasis"/>
          <w:b/>
          <w:i w:val="0"/>
          <w:color w:val="000000" w:themeColor="text1"/>
        </w:rPr>
        <w:t xml:space="preserve"> </w:t>
      </w:r>
      <w:r w:rsidRPr="00B1465F">
        <w:rPr>
          <w:rStyle w:val="SubtleEmphasis"/>
          <w:b/>
          <w:i w:val="0"/>
          <w:color w:val="000000" w:themeColor="text1"/>
        </w:rPr>
        <w:t>mana</w:t>
      </w:r>
      <w:r w:rsidRPr="00B1465F">
        <w:rPr>
          <w:rStyle w:val="SubtleEmphasis"/>
          <w:i w:val="0"/>
          <w:color w:val="000000" w:themeColor="text1"/>
        </w:rPr>
        <w:t>.</w:t>
      </w:r>
      <w:r w:rsidR="003D640C">
        <w:rPr>
          <w:rStyle w:val="SubtleEmphasis"/>
          <w:bCs/>
          <w:i w:val="0"/>
          <w:iCs w:val="0"/>
          <w:color w:val="000000" w:themeColor="text1"/>
        </w:rPr>
        <w:t xml:space="preserve"> </w:t>
      </w:r>
      <w:r w:rsidRPr="00B1465F">
        <w:rPr>
          <w:rStyle w:val="SubtleEmphasis"/>
          <w:bCs/>
          <w:i w:val="0"/>
          <w:iCs w:val="0"/>
          <w:color w:val="000000" w:themeColor="text1"/>
        </w:rPr>
        <w:t>Takatāpui,</w:t>
      </w:r>
      <w:r w:rsidR="003D640C">
        <w:rPr>
          <w:rStyle w:val="SubtleEmphasis"/>
          <w:bCs/>
          <w:i w:val="0"/>
          <w:iCs w:val="0"/>
          <w:color w:val="000000" w:themeColor="text1"/>
        </w:rPr>
        <w:t xml:space="preserve"> </w:t>
      </w:r>
      <w:r w:rsidRPr="00B1465F">
        <w:rPr>
          <w:rStyle w:val="SubtleEmphasis"/>
          <w:bCs/>
          <w:i w:val="0"/>
          <w:iCs w:val="0"/>
          <w:color w:val="000000" w:themeColor="text1"/>
        </w:rPr>
        <w:t>MVPFAFF+</w:t>
      </w:r>
      <w:r w:rsidR="003D640C">
        <w:rPr>
          <w:rStyle w:val="SubtleEmphasis"/>
          <w:bCs/>
          <w:i w:val="0"/>
          <w:iCs w:val="0"/>
          <w:color w:val="000000" w:themeColor="text1"/>
        </w:rPr>
        <w:t xml:space="preserve"> </w:t>
      </w:r>
      <w:r w:rsidRPr="00B1465F">
        <w:rPr>
          <w:rStyle w:val="SubtleEmphasis"/>
          <w:bCs/>
          <w:i w:val="0"/>
          <w:iCs w:val="0"/>
          <w:color w:val="000000" w:themeColor="text1"/>
        </w:rPr>
        <w:t>Pacific</w:t>
      </w:r>
      <w:r w:rsidR="00234A6F">
        <w:rPr>
          <w:rStyle w:val="SubtleEmphasis"/>
          <w:bCs/>
          <w:i w:val="0"/>
          <w:iCs w:val="0"/>
          <w:color w:val="000000" w:themeColor="text1"/>
        </w:rPr>
        <w:t xml:space="preserve"> </w:t>
      </w:r>
      <w:r w:rsidR="00234A6F">
        <w:rPr>
          <w:lang w:eastAsia="en-NZ"/>
        </w:rPr>
        <w:t>peoples</w:t>
      </w:r>
      <w:r w:rsidRPr="00B1465F">
        <w:rPr>
          <w:rStyle w:val="SubtleEmphasis"/>
          <w:i w:val="0"/>
          <w:iCs w:val="0"/>
          <w:color w:val="000000" w:themeColor="text1"/>
        </w:rPr>
        <w:t>,</w:t>
      </w:r>
      <w:r w:rsidR="003D640C">
        <w:rPr>
          <w:rStyle w:val="SubtleEmphasis"/>
          <w:bCs/>
          <w:i w:val="0"/>
          <w:iCs w:val="0"/>
          <w:color w:val="000000" w:themeColor="text1"/>
        </w:rPr>
        <w:t xml:space="preserve"> </w:t>
      </w:r>
      <w:r w:rsidRPr="00B1465F">
        <w:rPr>
          <w:rStyle w:val="SubtleEmphasis"/>
          <w:bCs/>
          <w:i w:val="0"/>
          <w:iCs w:val="0"/>
          <w:color w:val="000000" w:themeColor="text1"/>
        </w:rPr>
        <w:t>and</w:t>
      </w:r>
      <w:r w:rsidR="003D640C">
        <w:rPr>
          <w:rStyle w:val="SubtleEmphasis"/>
          <w:bCs/>
          <w:i w:val="0"/>
          <w:iCs w:val="0"/>
          <w:color w:val="000000" w:themeColor="text1"/>
        </w:rPr>
        <w:t xml:space="preserve"> </w:t>
      </w:r>
      <w:r w:rsidRPr="00B1465F">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and</w:t>
      </w:r>
      <w:r w:rsidR="003D640C">
        <w:rPr>
          <w:lang w:eastAsia="en-NZ"/>
        </w:rPr>
        <w:t xml:space="preserve"> </w:t>
      </w:r>
      <w:r w:rsidRPr="00B1465F">
        <w:rPr>
          <w:lang w:eastAsia="en-NZ"/>
        </w:rPr>
        <w:t>their</w:t>
      </w:r>
      <w:r w:rsidR="003D640C">
        <w:rPr>
          <w:lang w:eastAsia="en-NZ"/>
        </w:rPr>
        <w:t xml:space="preserve"> </w:t>
      </w:r>
      <w:r w:rsidRPr="00B1465F">
        <w:rPr>
          <w:lang w:eastAsia="en-NZ"/>
        </w:rPr>
        <w:t>relationships</w:t>
      </w:r>
      <w:r w:rsidR="003D640C">
        <w:rPr>
          <w:lang w:eastAsia="en-NZ"/>
        </w:rPr>
        <w:t xml:space="preserve"> </w:t>
      </w:r>
      <w:r w:rsidRPr="00B1465F">
        <w:rPr>
          <w:lang w:eastAsia="en-NZ"/>
        </w:rPr>
        <w:t>would</w:t>
      </w:r>
      <w:r w:rsidR="003D640C">
        <w:rPr>
          <w:lang w:eastAsia="en-NZ"/>
        </w:rPr>
        <w:t xml:space="preserve"> </w:t>
      </w:r>
      <w:r w:rsidRPr="00B1465F">
        <w:rPr>
          <w:lang w:eastAsia="en-NZ"/>
        </w:rPr>
        <w:t>be</w:t>
      </w:r>
      <w:r w:rsidR="003D640C">
        <w:rPr>
          <w:lang w:eastAsia="en-NZ"/>
        </w:rPr>
        <w:t xml:space="preserve"> </w:t>
      </w:r>
      <w:r w:rsidRPr="00B1465F">
        <w:rPr>
          <w:lang w:eastAsia="en-NZ"/>
        </w:rPr>
        <w:t>welcomed</w:t>
      </w:r>
      <w:r>
        <w:rPr>
          <w:lang w:eastAsia="en-NZ"/>
        </w:rPr>
        <w:t>,</w:t>
      </w:r>
      <w:r w:rsidR="003D640C">
        <w:rPr>
          <w:lang w:eastAsia="en-NZ"/>
        </w:rPr>
        <w:t xml:space="preserve"> </w:t>
      </w:r>
      <w:r w:rsidRPr="00B1465F">
        <w:rPr>
          <w:lang w:eastAsia="en-NZ"/>
        </w:rPr>
        <w:t>and</w:t>
      </w:r>
      <w:r w:rsidR="003D640C">
        <w:rPr>
          <w:lang w:eastAsia="en-NZ"/>
        </w:rPr>
        <w:t xml:space="preserve"> </w:t>
      </w:r>
      <w:r w:rsidRPr="00B1465F">
        <w:rPr>
          <w:lang w:eastAsia="en-NZ"/>
        </w:rPr>
        <w:t>interpretations</w:t>
      </w:r>
      <w:r w:rsidR="003D640C">
        <w:rPr>
          <w:lang w:eastAsia="en-NZ"/>
        </w:rPr>
        <w:t xml:space="preserve"> </w:t>
      </w:r>
      <w:r w:rsidRPr="00B1465F">
        <w:rPr>
          <w:lang w:eastAsia="en-NZ"/>
        </w:rPr>
        <w:t>of</w:t>
      </w:r>
      <w:r w:rsidR="003D640C">
        <w:rPr>
          <w:lang w:eastAsia="en-NZ"/>
        </w:rPr>
        <w:t xml:space="preserve"> </w:t>
      </w:r>
      <w:r w:rsidRPr="00B1465F">
        <w:rPr>
          <w:lang w:eastAsia="en-NZ"/>
        </w:rPr>
        <w:t>religious</w:t>
      </w:r>
      <w:r w:rsidR="003D640C">
        <w:rPr>
          <w:lang w:eastAsia="en-NZ"/>
        </w:rPr>
        <w:t xml:space="preserve"> </w:t>
      </w:r>
      <w:r w:rsidRPr="00B1465F">
        <w:rPr>
          <w:lang w:eastAsia="en-NZ"/>
        </w:rPr>
        <w:t>texts</w:t>
      </w:r>
      <w:r w:rsidR="003D640C">
        <w:rPr>
          <w:lang w:eastAsia="en-NZ"/>
        </w:rPr>
        <w:t xml:space="preserve"> </w:t>
      </w:r>
      <w:r w:rsidRPr="00B1465F">
        <w:rPr>
          <w:lang w:eastAsia="en-NZ"/>
        </w:rPr>
        <w:t>that</w:t>
      </w:r>
      <w:r w:rsidR="003D640C">
        <w:rPr>
          <w:lang w:eastAsia="en-NZ"/>
        </w:rPr>
        <w:t xml:space="preserve"> </w:t>
      </w:r>
      <w:r w:rsidRPr="00B1465F">
        <w:rPr>
          <w:lang w:eastAsia="en-NZ"/>
        </w:rPr>
        <w:t>exclude</w:t>
      </w:r>
      <w:r w:rsidR="003D640C">
        <w:rPr>
          <w:lang w:eastAsia="en-NZ"/>
        </w:rPr>
        <w:t xml:space="preserve"> </w:t>
      </w:r>
      <w:r w:rsidRPr="00B1465F">
        <w:rPr>
          <w:lang w:eastAsia="en-NZ"/>
        </w:rPr>
        <w:t>them</w:t>
      </w:r>
      <w:r w:rsidR="003D640C">
        <w:rPr>
          <w:lang w:eastAsia="en-NZ"/>
        </w:rPr>
        <w:t xml:space="preserve"> </w:t>
      </w:r>
      <w:r>
        <w:rPr>
          <w:lang w:eastAsia="en-NZ"/>
        </w:rPr>
        <w:t>would</w:t>
      </w:r>
      <w:r w:rsidR="003D640C">
        <w:rPr>
          <w:lang w:eastAsia="en-NZ"/>
        </w:rPr>
        <w:t xml:space="preserve"> </w:t>
      </w:r>
      <w:r>
        <w:rPr>
          <w:lang w:eastAsia="en-NZ"/>
        </w:rPr>
        <w:t>be</w:t>
      </w:r>
      <w:r w:rsidR="003D640C">
        <w:rPr>
          <w:lang w:eastAsia="en-NZ"/>
        </w:rPr>
        <w:t xml:space="preserve"> </w:t>
      </w:r>
      <w:r w:rsidRPr="00B1465F">
        <w:rPr>
          <w:lang w:eastAsia="en-NZ"/>
        </w:rPr>
        <w:t>challenged.</w:t>
      </w:r>
      <w:r w:rsidR="003D640C">
        <w:rPr>
          <w:lang w:eastAsia="en-NZ"/>
        </w:rPr>
        <w:t xml:space="preserve"> </w:t>
      </w:r>
      <w:r w:rsidRPr="00B1465F">
        <w:rPr>
          <w:lang w:eastAsia="en-NZ"/>
        </w:rPr>
        <w:t>Religious</w:t>
      </w:r>
      <w:r w:rsidR="003D640C">
        <w:rPr>
          <w:lang w:eastAsia="en-NZ"/>
        </w:rPr>
        <w:t xml:space="preserve"> </w:t>
      </w:r>
      <w:r w:rsidRPr="00B1465F">
        <w:rPr>
          <w:lang w:eastAsia="en-NZ"/>
        </w:rPr>
        <w:t>communities</w:t>
      </w:r>
      <w:r w:rsidR="003D640C">
        <w:rPr>
          <w:lang w:eastAsia="en-NZ"/>
        </w:rPr>
        <w:t xml:space="preserve"> </w:t>
      </w:r>
      <w:r w:rsidRPr="00B1465F">
        <w:rPr>
          <w:lang w:eastAsia="en-NZ"/>
        </w:rPr>
        <w:t>would</w:t>
      </w:r>
      <w:r w:rsidR="003D640C">
        <w:rPr>
          <w:lang w:eastAsia="en-NZ"/>
        </w:rPr>
        <w:t xml:space="preserve"> </w:t>
      </w:r>
      <w:r w:rsidRPr="00B1465F">
        <w:rPr>
          <w:lang w:eastAsia="en-NZ"/>
        </w:rPr>
        <w:t>promote</w:t>
      </w:r>
      <w:r w:rsidR="003D640C">
        <w:rPr>
          <w:lang w:eastAsia="en-NZ"/>
        </w:rPr>
        <w:t xml:space="preserve"> </w:t>
      </w:r>
      <w:r w:rsidRPr="00B1465F">
        <w:rPr>
          <w:lang w:eastAsia="en-NZ"/>
        </w:rPr>
        <w:t>inclusive</w:t>
      </w:r>
      <w:r w:rsidR="003D640C">
        <w:rPr>
          <w:lang w:eastAsia="en-NZ"/>
        </w:rPr>
        <w:t xml:space="preserve"> </w:t>
      </w:r>
      <w:r w:rsidRPr="00B1465F">
        <w:rPr>
          <w:lang w:eastAsia="en-NZ"/>
        </w:rPr>
        <w:t>and</w:t>
      </w:r>
      <w:r w:rsidR="003D640C">
        <w:rPr>
          <w:lang w:eastAsia="en-NZ"/>
        </w:rPr>
        <w:t xml:space="preserve"> </w:t>
      </w:r>
      <w:r w:rsidRPr="00B1465F">
        <w:rPr>
          <w:lang w:eastAsia="en-NZ"/>
        </w:rPr>
        <w:t>affirming</w:t>
      </w:r>
      <w:r w:rsidR="003D640C">
        <w:rPr>
          <w:lang w:eastAsia="en-NZ"/>
        </w:rPr>
        <w:t xml:space="preserve"> </w:t>
      </w:r>
      <w:r w:rsidRPr="00B1465F">
        <w:rPr>
          <w:lang w:eastAsia="en-NZ"/>
        </w:rPr>
        <w:t>teachings</w:t>
      </w:r>
      <w:r w:rsidR="003D640C">
        <w:rPr>
          <w:lang w:eastAsia="en-NZ"/>
        </w:rPr>
        <w:t xml:space="preserve"> </w:t>
      </w:r>
      <w:r w:rsidR="00234A6F">
        <w:rPr>
          <w:lang w:eastAsia="en-NZ"/>
        </w:rPr>
        <w:t xml:space="preserve">that </w:t>
      </w:r>
      <w:r w:rsidRPr="00B1465F">
        <w:rPr>
          <w:lang w:eastAsia="en-NZ"/>
        </w:rPr>
        <w:t>foster</w:t>
      </w:r>
      <w:r w:rsidR="003D640C">
        <w:rPr>
          <w:lang w:eastAsia="en-NZ"/>
        </w:rPr>
        <w:t xml:space="preserve"> </w:t>
      </w:r>
      <w:r w:rsidRPr="00B1465F">
        <w:rPr>
          <w:lang w:eastAsia="en-NZ"/>
        </w:rPr>
        <w:t>spiritual</w:t>
      </w:r>
      <w:r w:rsidR="003D640C">
        <w:rPr>
          <w:lang w:eastAsia="en-NZ"/>
        </w:rPr>
        <w:t xml:space="preserve"> </w:t>
      </w:r>
      <w:r w:rsidRPr="00B1465F">
        <w:rPr>
          <w:lang w:eastAsia="en-NZ"/>
        </w:rPr>
        <w:t>growth</w:t>
      </w:r>
      <w:r w:rsidR="003D640C">
        <w:rPr>
          <w:lang w:eastAsia="en-NZ"/>
        </w:rPr>
        <w:t xml:space="preserve"> </w:t>
      </w:r>
      <w:r w:rsidRPr="00B1465F">
        <w:rPr>
          <w:lang w:eastAsia="en-NZ"/>
        </w:rPr>
        <w:t>and</w:t>
      </w:r>
      <w:r w:rsidR="003D640C">
        <w:rPr>
          <w:lang w:eastAsia="en-NZ"/>
        </w:rPr>
        <w:t xml:space="preserve"> </w:t>
      </w:r>
      <w:r w:rsidRPr="00B1465F">
        <w:rPr>
          <w:lang w:eastAsia="en-NZ"/>
        </w:rPr>
        <w:t>acceptance</w:t>
      </w:r>
      <w:r w:rsidR="003D640C">
        <w:rPr>
          <w:lang w:eastAsia="en-NZ"/>
        </w:rPr>
        <w:t xml:space="preserve"> </w:t>
      </w:r>
      <w:r w:rsidRPr="00B1465F">
        <w:rPr>
          <w:lang w:eastAsia="en-NZ"/>
        </w:rPr>
        <w:t>for</w:t>
      </w:r>
      <w:r w:rsidR="003D640C">
        <w:rPr>
          <w:lang w:eastAsia="en-NZ"/>
        </w:rPr>
        <w:t xml:space="preserve"> </w:t>
      </w:r>
      <w:r w:rsidRPr="00B1465F">
        <w:rPr>
          <w:lang w:eastAsia="en-NZ"/>
        </w:rPr>
        <w:t>all</w:t>
      </w:r>
      <w:r w:rsidR="003D640C">
        <w:rPr>
          <w:lang w:eastAsia="en-NZ"/>
        </w:rPr>
        <w:t xml:space="preserve"> </w:t>
      </w:r>
      <w:r w:rsidRPr="00B1465F">
        <w:rPr>
          <w:lang w:eastAsia="en-NZ"/>
        </w:rPr>
        <w:t>people,</w:t>
      </w:r>
      <w:r w:rsidR="003D640C">
        <w:rPr>
          <w:lang w:eastAsia="en-NZ"/>
        </w:rPr>
        <w:t xml:space="preserve"> </w:t>
      </w:r>
      <w:r w:rsidRPr="00B1465F">
        <w:rPr>
          <w:lang w:eastAsia="en-NZ"/>
        </w:rPr>
        <w:t>regardless</w:t>
      </w:r>
      <w:r w:rsidR="003D640C">
        <w:rPr>
          <w:lang w:eastAsia="en-NZ"/>
        </w:rPr>
        <w:t xml:space="preserve"> </w:t>
      </w:r>
      <w:r w:rsidRPr="00B1465F">
        <w:rPr>
          <w:lang w:eastAsia="en-NZ"/>
        </w:rPr>
        <w:t>of</w:t>
      </w:r>
      <w:r w:rsidR="003D640C">
        <w:rPr>
          <w:lang w:eastAsia="en-NZ"/>
        </w:rPr>
        <w:t xml:space="preserve"> </w:t>
      </w:r>
      <w:r w:rsidRPr="00B1465F">
        <w:rPr>
          <w:lang w:eastAsia="en-NZ"/>
        </w:rPr>
        <w:t>ability,</w:t>
      </w:r>
      <w:r w:rsidR="003D640C">
        <w:rPr>
          <w:lang w:eastAsia="en-NZ"/>
        </w:rPr>
        <w:t xml:space="preserve"> </w:t>
      </w:r>
      <w:r w:rsidRPr="00B1465F">
        <w:rPr>
          <w:lang w:eastAsia="en-NZ"/>
        </w:rPr>
        <w:t>sexual</w:t>
      </w:r>
      <w:r w:rsidR="003D640C">
        <w:rPr>
          <w:lang w:eastAsia="en-NZ"/>
        </w:rPr>
        <w:t xml:space="preserve"> </w:t>
      </w:r>
      <w:r w:rsidRPr="00B1465F">
        <w:rPr>
          <w:lang w:eastAsia="en-NZ"/>
        </w:rPr>
        <w:t>orientation,</w:t>
      </w:r>
      <w:r w:rsidR="003D640C">
        <w:rPr>
          <w:lang w:eastAsia="en-NZ"/>
        </w:rPr>
        <w:t xml:space="preserve"> </w:t>
      </w:r>
      <w:r w:rsidRPr="00B1465F">
        <w:rPr>
          <w:lang w:eastAsia="en-NZ"/>
        </w:rPr>
        <w:t>gender</w:t>
      </w:r>
      <w:r w:rsidR="003D640C">
        <w:rPr>
          <w:lang w:eastAsia="en-NZ"/>
        </w:rPr>
        <w:t xml:space="preserve"> </w:t>
      </w:r>
      <w:r w:rsidRPr="00B1465F">
        <w:rPr>
          <w:lang w:eastAsia="en-NZ"/>
        </w:rPr>
        <w:t>identity</w:t>
      </w:r>
      <w:r w:rsidR="003D640C">
        <w:rPr>
          <w:lang w:eastAsia="en-NZ"/>
        </w:rPr>
        <w:t xml:space="preserve"> </w:t>
      </w:r>
      <w:r w:rsidRPr="00B1465F">
        <w:rPr>
          <w:lang w:eastAsia="en-NZ"/>
        </w:rPr>
        <w:t>or</w:t>
      </w:r>
      <w:r w:rsidR="003D640C">
        <w:rPr>
          <w:lang w:eastAsia="en-NZ"/>
        </w:rPr>
        <w:t xml:space="preserve"> </w:t>
      </w:r>
      <w:r w:rsidRPr="00B1465F">
        <w:rPr>
          <w:lang w:eastAsia="en-NZ"/>
        </w:rPr>
        <w:t>expression,</w:t>
      </w:r>
      <w:r w:rsidR="003D640C">
        <w:rPr>
          <w:lang w:eastAsia="en-NZ"/>
        </w:rPr>
        <w:t xml:space="preserve"> </w:t>
      </w:r>
      <w:r w:rsidRPr="00B1465F">
        <w:rPr>
          <w:lang w:eastAsia="en-NZ"/>
        </w:rPr>
        <w:t>or</w:t>
      </w:r>
      <w:r w:rsidR="003D640C">
        <w:rPr>
          <w:lang w:eastAsia="en-NZ"/>
        </w:rPr>
        <w:t xml:space="preserve"> </w:t>
      </w:r>
      <w:r w:rsidRPr="00B1465F">
        <w:rPr>
          <w:lang w:eastAsia="en-NZ"/>
        </w:rPr>
        <w:t>sex</w:t>
      </w:r>
      <w:r w:rsidR="003D640C">
        <w:rPr>
          <w:lang w:eastAsia="en-NZ"/>
        </w:rPr>
        <w:t xml:space="preserve"> </w:t>
      </w:r>
      <w:r w:rsidRPr="00B1465F">
        <w:rPr>
          <w:lang w:eastAsia="en-NZ"/>
        </w:rPr>
        <w:t>characteristics.</w:t>
      </w:r>
    </w:p>
    <w:p w14:paraId="352AB49F" w14:textId="1160F57F" w:rsidR="00501068" w:rsidRDefault="002A67E8" w:rsidP="0078026B">
      <w:pPr>
        <w:rPr>
          <w:lang w:eastAsia="en-NZ"/>
        </w:rPr>
      </w:pPr>
      <w:r>
        <w:rPr>
          <w:rStyle w:val="SubtleEmphasis"/>
          <w:b/>
          <w:i w:val="0"/>
          <w:color w:val="000000" w:themeColor="text1"/>
        </w:rPr>
        <w:t>In</w:t>
      </w:r>
      <w:r w:rsidR="003D640C">
        <w:rPr>
          <w:rStyle w:val="SubtleEmphasis"/>
          <w:b/>
          <w:i w:val="0"/>
          <w:color w:val="000000" w:themeColor="text1"/>
        </w:rPr>
        <w:t xml:space="preserve"> </w:t>
      </w:r>
      <w:r>
        <w:rPr>
          <w:rStyle w:val="SubtleEmphasis"/>
          <w:b/>
          <w:i w:val="0"/>
          <w:color w:val="000000" w:themeColor="text1"/>
        </w:rPr>
        <w:t>this</w:t>
      </w:r>
      <w:r w:rsidR="003D640C">
        <w:rPr>
          <w:rStyle w:val="SubtleEmphasis"/>
          <w:b/>
          <w:i w:val="0"/>
          <w:color w:val="000000" w:themeColor="text1"/>
        </w:rPr>
        <w:t xml:space="preserve"> </w:t>
      </w:r>
      <w:r>
        <w:rPr>
          <w:rStyle w:val="SubtleEmphasis"/>
          <w:b/>
          <w:i w:val="0"/>
          <w:color w:val="000000" w:themeColor="text1"/>
        </w:rPr>
        <w:t>world,</w:t>
      </w:r>
      <w:r w:rsidR="003D640C">
        <w:rPr>
          <w:rStyle w:val="SubtleEmphasis"/>
          <w:b/>
          <w:i w:val="0"/>
          <w:color w:val="000000" w:themeColor="text1"/>
        </w:rPr>
        <w:t xml:space="preserve"> </w:t>
      </w:r>
      <w:r>
        <w:rPr>
          <w:rStyle w:val="SubtleEmphasis"/>
          <w:b/>
          <w:i w:val="0"/>
          <w:color w:val="000000" w:themeColor="text1"/>
        </w:rPr>
        <w:t>w</w:t>
      </w:r>
      <w:r w:rsidRPr="00B1465F">
        <w:rPr>
          <w:rStyle w:val="SubtleEmphasis"/>
          <w:b/>
          <w:i w:val="0"/>
          <w:color w:val="000000" w:themeColor="text1"/>
        </w:rPr>
        <w:t>hānau</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00B1465F">
        <w:rPr>
          <w:rStyle w:val="SubtleEmphasis"/>
          <w:b/>
          <w:i w:val="0"/>
          <w:color w:val="000000" w:themeColor="text1"/>
        </w:rPr>
        <w:t>communities</w:t>
      </w:r>
      <w:r w:rsidR="003D640C">
        <w:rPr>
          <w:rStyle w:val="SubtleEmphasis"/>
          <w:b/>
          <w:i w:val="0"/>
          <w:color w:val="000000" w:themeColor="text1"/>
        </w:rPr>
        <w:t xml:space="preserve"> </w:t>
      </w:r>
      <w:r w:rsidRPr="00B1465F">
        <w:rPr>
          <w:rStyle w:val="SubtleEmphasis"/>
          <w:b/>
          <w:i w:val="0"/>
          <w:color w:val="000000" w:themeColor="text1"/>
        </w:rPr>
        <w:t>are</w:t>
      </w:r>
      <w:r w:rsidR="003D640C">
        <w:rPr>
          <w:rStyle w:val="SubtleEmphasis"/>
          <w:b/>
          <w:i w:val="0"/>
          <w:color w:val="000000" w:themeColor="text1"/>
        </w:rPr>
        <w:t xml:space="preserve"> </w:t>
      </w:r>
      <w:r w:rsidRPr="00B1465F">
        <w:rPr>
          <w:rStyle w:val="SubtleEmphasis"/>
          <w:b/>
          <w:i w:val="0"/>
          <w:color w:val="000000" w:themeColor="text1"/>
        </w:rPr>
        <w:t>havens</w:t>
      </w:r>
      <w:r w:rsidR="003D640C">
        <w:rPr>
          <w:rStyle w:val="SubtleEmphasis"/>
          <w:b/>
          <w:i w:val="0"/>
          <w:color w:val="000000" w:themeColor="text1"/>
        </w:rPr>
        <w:t xml:space="preserve"> </w:t>
      </w:r>
      <w:r w:rsidRPr="00B1465F">
        <w:rPr>
          <w:rStyle w:val="SubtleEmphasis"/>
          <w:b/>
          <w:i w:val="0"/>
          <w:color w:val="000000" w:themeColor="text1"/>
        </w:rPr>
        <w:t>of</w:t>
      </w:r>
      <w:r w:rsidR="003D640C">
        <w:rPr>
          <w:rStyle w:val="SubtleEmphasis"/>
          <w:b/>
          <w:i w:val="0"/>
          <w:color w:val="000000" w:themeColor="text1"/>
        </w:rPr>
        <w:t xml:space="preserve"> </w:t>
      </w:r>
      <w:r w:rsidRPr="00B1465F">
        <w:rPr>
          <w:rStyle w:val="SubtleEmphasis"/>
          <w:b/>
          <w:i w:val="0"/>
          <w:color w:val="000000" w:themeColor="text1"/>
        </w:rPr>
        <w:t>support</w:t>
      </w:r>
      <w:r w:rsidR="003D640C">
        <w:rPr>
          <w:rStyle w:val="SubtleEmphasis"/>
          <w:b/>
          <w:i w:val="0"/>
          <w:iCs w:val="0"/>
          <w:color w:val="000000" w:themeColor="text1"/>
        </w:rPr>
        <w:t xml:space="preserve"> </w:t>
      </w:r>
      <w:r w:rsidRPr="00B1465F">
        <w:rPr>
          <w:rStyle w:val="SubtleEmphasis"/>
          <w:bCs/>
          <w:i w:val="0"/>
          <w:iCs w:val="0"/>
          <w:color w:val="000000" w:themeColor="text1"/>
        </w:rPr>
        <w:t>and</w:t>
      </w:r>
      <w:r w:rsidR="003D640C">
        <w:rPr>
          <w:rStyle w:val="SubtleEmphasis"/>
          <w:bCs/>
          <w:i w:val="0"/>
          <w:iCs w:val="0"/>
          <w:color w:val="000000" w:themeColor="text1"/>
        </w:rPr>
        <w:t xml:space="preserve"> </w:t>
      </w:r>
      <w:r w:rsidRPr="00B1465F">
        <w:rPr>
          <w:lang w:eastAsia="en-NZ"/>
        </w:rPr>
        <w:t>offer</w:t>
      </w:r>
      <w:r w:rsidR="003D640C">
        <w:rPr>
          <w:lang w:eastAsia="en-NZ"/>
        </w:rPr>
        <w:t xml:space="preserve"> </w:t>
      </w:r>
      <w:r w:rsidRPr="00B1465F">
        <w:rPr>
          <w:lang w:eastAsia="en-NZ"/>
        </w:rPr>
        <w:t>unconditional</w:t>
      </w:r>
      <w:r w:rsidR="003D640C">
        <w:rPr>
          <w:lang w:eastAsia="en-NZ"/>
        </w:rPr>
        <w:t xml:space="preserve"> </w:t>
      </w:r>
      <w:r w:rsidRPr="00B1465F">
        <w:rPr>
          <w:lang w:eastAsia="en-NZ"/>
        </w:rPr>
        <w:t>love</w:t>
      </w:r>
      <w:r w:rsidR="006826B3">
        <w:rPr>
          <w:lang w:eastAsia="en-NZ"/>
        </w:rPr>
        <w:t xml:space="preserve"> and </w:t>
      </w:r>
      <w:r w:rsidRPr="00B1465F">
        <w:rPr>
          <w:lang w:eastAsia="en-NZ"/>
        </w:rPr>
        <w:t>acceptance</w:t>
      </w:r>
      <w:r w:rsidR="003D640C">
        <w:rPr>
          <w:lang w:eastAsia="en-NZ"/>
        </w:rPr>
        <w:t xml:space="preserve"> </w:t>
      </w:r>
      <w:r w:rsidRPr="00B1465F">
        <w:rPr>
          <w:lang w:eastAsia="en-NZ"/>
        </w:rPr>
        <w:t>to</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234A6F">
        <w:rPr>
          <w:lang w:eastAsia="en-NZ"/>
        </w:rPr>
        <w:t xml:space="preserve"> peoples</w:t>
      </w:r>
      <w:r w:rsidRPr="00B1465F">
        <w:rPr>
          <w:lang w:eastAsia="en-NZ"/>
        </w:rPr>
        <w:t>,</w:t>
      </w:r>
      <w:r w:rsidR="003D640C">
        <w:rPr>
          <w:lang w:eastAsia="en-NZ"/>
        </w:rPr>
        <w:t xml:space="preserve"> </w:t>
      </w:r>
      <w:r w:rsidRPr="00B1465F">
        <w:rPr>
          <w:lang w:eastAsia="en-NZ"/>
        </w:rPr>
        <w:t>and</w:t>
      </w:r>
      <w:r w:rsidR="003D640C">
        <w:rPr>
          <w:lang w:eastAsia="en-NZ"/>
        </w:rPr>
        <w:t xml:space="preserve"> </w:t>
      </w:r>
      <w:r w:rsidRPr="00BB6220">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They</w:t>
      </w:r>
      <w:r w:rsidR="003D640C">
        <w:rPr>
          <w:lang w:eastAsia="en-NZ"/>
        </w:rPr>
        <w:t xml:space="preserve"> </w:t>
      </w:r>
      <w:r w:rsidRPr="00B1465F">
        <w:rPr>
          <w:lang w:eastAsia="en-NZ"/>
        </w:rPr>
        <w:t>would</w:t>
      </w:r>
      <w:r w:rsidR="003D640C">
        <w:rPr>
          <w:lang w:eastAsia="en-NZ"/>
        </w:rPr>
        <w:t xml:space="preserve"> </w:t>
      </w:r>
      <w:r w:rsidRPr="00B1465F">
        <w:rPr>
          <w:lang w:eastAsia="en-NZ"/>
        </w:rPr>
        <w:t>actively</w:t>
      </w:r>
      <w:r w:rsidR="003D640C">
        <w:rPr>
          <w:lang w:eastAsia="en-NZ"/>
        </w:rPr>
        <w:t xml:space="preserve"> </w:t>
      </w:r>
      <w:r w:rsidRPr="00B1465F">
        <w:rPr>
          <w:lang w:eastAsia="en-NZ"/>
        </w:rPr>
        <w:t>seek</w:t>
      </w:r>
      <w:r w:rsidR="003D640C">
        <w:rPr>
          <w:lang w:eastAsia="en-NZ"/>
        </w:rPr>
        <w:t xml:space="preserve"> </w:t>
      </w:r>
      <w:r w:rsidRPr="00B1465F">
        <w:rPr>
          <w:lang w:eastAsia="en-NZ"/>
        </w:rPr>
        <w:t>to</w:t>
      </w:r>
      <w:r w:rsidR="003D640C">
        <w:rPr>
          <w:lang w:eastAsia="en-NZ"/>
        </w:rPr>
        <w:t xml:space="preserve"> </w:t>
      </w:r>
      <w:r w:rsidRPr="00B1465F">
        <w:rPr>
          <w:lang w:eastAsia="en-NZ"/>
        </w:rPr>
        <w:t>understand</w:t>
      </w:r>
      <w:r w:rsidR="003D640C">
        <w:rPr>
          <w:lang w:eastAsia="en-NZ"/>
        </w:rPr>
        <w:t xml:space="preserve"> </w:t>
      </w:r>
      <w:r w:rsidRPr="00B1465F">
        <w:rPr>
          <w:lang w:eastAsia="en-NZ"/>
        </w:rPr>
        <w:t>and</w:t>
      </w:r>
      <w:r w:rsidR="003D640C">
        <w:rPr>
          <w:lang w:eastAsia="en-NZ"/>
        </w:rPr>
        <w:t xml:space="preserve"> </w:t>
      </w:r>
      <w:r w:rsidRPr="00B1465F">
        <w:rPr>
          <w:lang w:eastAsia="en-NZ"/>
        </w:rPr>
        <w:t>affirm</w:t>
      </w:r>
      <w:r w:rsidR="003D640C">
        <w:rPr>
          <w:lang w:eastAsia="en-NZ"/>
        </w:rPr>
        <w:t xml:space="preserve"> </w:t>
      </w:r>
      <w:r w:rsidRPr="00B1465F">
        <w:rPr>
          <w:lang w:eastAsia="en-NZ"/>
        </w:rPr>
        <w:t>their</w:t>
      </w:r>
      <w:r w:rsidR="003D640C">
        <w:rPr>
          <w:lang w:eastAsia="en-NZ"/>
        </w:rPr>
        <w:t xml:space="preserve"> </w:t>
      </w:r>
      <w:r w:rsidRPr="00B1465F">
        <w:rPr>
          <w:lang w:eastAsia="en-NZ"/>
        </w:rPr>
        <w:t>loved</w:t>
      </w:r>
      <w:r w:rsidR="003D640C">
        <w:rPr>
          <w:lang w:eastAsia="en-NZ"/>
        </w:rPr>
        <w:t xml:space="preserve"> </w:t>
      </w:r>
      <w:r w:rsidRPr="00B1465F">
        <w:rPr>
          <w:lang w:eastAsia="en-NZ"/>
        </w:rPr>
        <w:t>ones,</w:t>
      </w:r>
      <w:r w:rsidR="003D640C">
        <w:rPr>
          <w:lang w:eastAsia="en-NZ"/>
        </w:rPr>
        <w:t xml:space="preserve"> </w:t>
      </w:r>
      <w:r w:rsidRPr="00B1465F">
        <w:rPr>
          <w:lang w:eastAsia="en-NZ"/>
        </w:rPr>
        <w:t>creating</w:t>
      </w:r>
      <w:r w:rsidR="003D640C">
        <w:rPr>
          <w:lang w:eastAsia="en-NZ"/>
        </w:rPr>
        <w:t xml:space="preserve"> </w:t>
      </w:r>
      <w:r w:rsidRPr="00B1465F">
        <w:rPr>
          <w:lang w:eastAsia="en-NZ"/>
        </w:rPr>
        <w:t>safe</w:t>
      </w:r>
      <w:r w:rsidR="003D640C">
        <w:rPr>
          <w:lang w:eastAsia="en-NZ"/>
        </w:rPr>
        <w:t xml:space="preserve"> </w:t>
      </w:r>
      <w:r w:rsidRPr="00B1465F">
        <w:rPr>
          <w:lang w:eastAsia="en-NZ"/>
        </w:rPr>
        <w:t>and</w:t>
      </w:r>
      <w:r w:rsidR="003D640C">
        <w:rPr>
          <w:lang w:eastAsia="en-NZ"/>
        </w:rPr>
        <w:t xml:space="preserve"> </w:t>
      </w:r>
      <w:r w:rsidRPr="00B1465F">
        <w:rPr>
          <w:lang w:eastAsia="en-NZ"/>
        </w:rPr>
        <w:t>nurturing</w:t>
      </w:r>
      <w:r w:rsidR="003D640C">
        <w:rPr>
          <w:lang w:eastAsia="en-NZ"/>
        </w:rPr>
        <w:t xml:space="preserve"> </w:t>
      </w:r>
      <w:r w:rsidRPr="00B1465F">
        <w:rPr>
          <w:lang w:eastAsia="en-NZ"/>
        </w:rPr>
        <w:t>environments</w:t>
      </w:r>
      <w:r w:rsidR="003D640C">
        <w:rPr>
          <w:lang w:eastAsia="en-NZ"/>
        </w:rPr>
        <w:t xml:space="preserve"> </w:t>
      </w:r>
      <w:r w:rsidRPr="00B1465F">
        <w:rPr>
          <w:lang w:eastAsia="en-NZ"/>
        </w:rPr>
        <w:t>that</w:t>
      </w:r>
      <w:r w:rsidR="003D640C">
        <w:rPr>
          <w:lang w:eastAsia="en-NZ"/>
        </w:rPr>
        <w:t xml:space="preserve"> </w:t>
      </w:r>
      <w:r w:rsidRPr="00B1465F">
        <w:rPr>
          <w:lang w:eastAsia="en-NZ"/>
        </w:rPr>
        <w:t>celebrate</w:t>
      </w:r>
      <w:r w:rsidR="003D640C">
        <w:rPr>
          <w:lang w:eastAsia="en-NZ"/>
        </w:rPr>
        <w:t xml:space="preserve"> </w:t>
      </w:r>
      <w:r w:rsidRPr="00B1465F">
        <w:rPr>
          <w:lang w:eastAsia="en-NZ"/>
        </w:rPr>
        <w:t>diversity.</w:t>
      </w:r>
    </w:p>
    <w:p w14:paraId="76BEBE96" w14:textId="081AD57F" w:rsidR="00501068" w:rsidRDefault="002A67E8" w:rsidP="0078026B">
      <w:pPr>
        <w:rPr>
          <w:lang w:eastAsia="en-NZ"/>
        </w:rPr>
      </w:pPr>
      <w:r>
        <w:rPr>
          <w:rStyle w:val="SubtleEmphasis"/>
          <w:b/>
          <w:i w:val="0"/>
          <w:color w:val="000000" w:themeColor="text1"/>
        </w:rPr>
        <w:t>In</w:t>
      </w:r>
      <w:r w:rsidR="003D640C">
        <w:rPr>
          <w:rStyle w:val="SubtleEmphasis"/>
          <w:b/>
          <w:i w:val="0"/>
          <w:color w:val="000000" w:themeColor="text1"/>
        </w:rPr>
        <w:t xml:space="preserve"> </w:t>
      </w:r>
      <w:r>
        <w:rPr>
          <w:rStyle w:val="SubtleEmphasis"/>
          <w:b/>
          <w:i w:val="0"/>
          <w:color w:val="000000" w:themeColor="text1"/>
        </w:rPr>
        <w:t>this</w:t>
      </w:r>
      <w:r w:rsidR="003D640C">
        <w:rPr>
          <w:rStyle w:val="SubtleEmphasis"/>
          <w:b/>
          <w:i w:val="0"/>
          <w:color w:val="000000" w:themeColor="text1"/>
        </w:rPr>
        <w:t xml:space="preserve"> </w:t>
      </w:r>
      <w:r>
        <w:rPr>
          <w:rStyle w:val="SubtleEmphasis"/>
          <w:b/>
          <w:i w:val="0"/>
          <w:color w:val="000000" w:themeColor="text1"/>
        </w:rPr>
        <w:t>world,</w:t>
      </w:r>
      <w:r w:rsidR="003D640C">
        <w:rPr>
          <w:rStyle w:val="SubtleEmphasis"/>
          <w:b/>
          <w:i w:val="0"/>
          <w:color w:val="000000" w:themeColor="text1"/>
        </w:rPr>
        <w:t xml:space="preserve"> </w:t>
      </w:r>
      <w:r w:rsidRPr="00BB6220">
        <w:rPr>
          <w:rStyle w:val="SubtleEmphasis"/>
          <w:b/>
          <w:i w:val="0"/>
          <w:color w:val="000000" w:themeColor="text1"/>
        </w:rPr>
        <w:t>Rainbow</w:t>
      </w:r>
      <w:r w:rsidR="003D640C">
        <w:rPr>
          <w:rStyle w:val="SubtleEmphasis"/>
          <w:b/>
          <w:i w:val="0"/>
          <w:color w:val="000000" w:themeColor="text1"/>
        </w:rPr>
        <w:t xml:space="preserve"> </w:t>
      </w:r>
      <w:r w:rsidRPr="00B1465F">
        <w:rPr>
          <w:rStyle w:val="SubtleEmphasis"/>
          <w:b/>
          <w:i w:val="0"/>
          <w:color w:val="000000" w:themeColor="text1"/>
        </w:rPr>
        <w:t>rights</w:t>
      </w:r>
      <w:r w:rsidR="003D640C">
        <w:rPr>
          <w:rStyle w:val="SubtleEmphasis"/>
          <w:b/>
          <w:i w:val="0"/>
          <w:color w:val="000000" w:themeColor="text1"/>
        </w:rPr>
        <w:t xml:space="preserve"> </w:t>
      </w:r>
      <w:r w:rsidRPr="00B1465F">
        <w:rPr>
          <w:rStyle w:val="SubtleEmphasis"/>
          <w:b/>
          <w:i w:val="0"/>
          <w:color w:val="000000" w:themeColor="text1"/>
        </w:rPr>
        <w:t>are</w:t>
      </w:r>
      <w:r w:rsidR="003D640C">
        <w:rPr>
          <w:rStyle w:val="SubtleEmphasis"/>
          <w:b/>
          <w:i w:val="0"/>
          <w:color w:val="000000" w:themeColor="text1"/>
        </w:rPr>
        <w:t xml:space="preserve"> </w:t>
      </w:r>
      <w:r w:rsidRPr="00B1465F">
        <w:rPr>
          <w:rStyle w:val="SubtleEmphasis"/>
          <w:b/>
          <w:i w:val="0"/>
          <w:color w:val="000000" w:themeColor="text1"/>
        </w:rPr>
        <w:t>fully</w:t>
      </w:r>
      <w:r w:rsidR="003D640C">
        <w:rPr>
          <w:rStyle w:val="SubtleEmphasis"/>
          <w:b/>
          <w:i w:val="0"/>
          <w:color w:val="000000" w:themeColor="text1"/>
        </w:rPr>
        <w:t xml:space="preserve"> </w:t>
      </w:r>
      <w:r w:rsidRPr="00B1465F">
        <w:rPr>
          <w:rStyle w:val="SubtleEmphasis"/>
          <w:b/>
          <w:i w:val="0"/>
          <w:color w:val="000000" w:themeColor="text1"/>
        </w:rPr>
        <w:t>recognised</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00B1465F">
        <w:rPr>
          <w:rStyle w:val="SubtleEmphasis"/>
          <w:b/>
          <w:i w:val="0"/>
          <w:color w:val="000000" w:themeColor="text1"/>
        </w:rPr>
        <w:t>protected.</w:t>
      </w:r>
      <w:r w:rsidR="003D640C">
        <w:rPr>
          <w:rStyle w:val="SubtleEmphasis"/>
          <w:b/>
          <w:i w:val="0"/>
          <w:color w:val="000000" w:themeColor="text1"/>
        </w:rPr>
        <w:t xml:space="preserve"> </w:t>
      </w:r>
      <w:r w:rsidRPr="00B1465F">
        <w:rPr>
          <w:rStyle w:val="SubtleEmphasis"/>
          <w:bCs/>
          <w:i w:val="0"/>
          <w:color w:val="000000" w:themeColor="text1"/>
        </w:rPr>
        <w:t>Existing</w:t>
      </w:r>
      <w:r w:rsidR="003D640C">
        <w:rPr>
          <w:rStyle w:val="SubtleEmphasis"/>
          <w:bCs/>
          <w:i w:val="0"/>
          <w:color w:val="000000" w:themeColor="text1"/>
        </w:rPr>
        <w:t xml:space="preserve"> </w:t>
      </w:r>
      <w:r w:rsidRPr="00B1465F">
        <w:rPr>
          <w:rStyle w:val="SubtleEmphasis"/>
          <w:bCs/>
          <w:i w:val="0"/>
          <w:color w:val="000000" w:themeColor="text1"/>
        </w:rPr>
        <w:t>l</w:t>
      </w:r>
      <w:r w:rsidRPr="00B1465F">
        <w:rPr>
          <w:lang w:eastAsia="en-NZ"/>
        </w:rPr>
        <w:t>aws</w:t>
      </w:r>
      <w:r w:rsidR="003D640C">
        <w:rPr>
          <w:lang w:eastAsia="en-NZ"/>
        </w:rPr>
        <w:t xml:space="preserve"> </w:t>
      </w:r>
      <w:r w:rsidRPr="00B1465F">
        <w:rPr>
          <w:lang w:eastAsia="en-NZ"/>
        </w:rPr>
        <w:t>would</w:t>
      </w:r>
      <w:r w:rsidR="003D640C">
        <w:rPr>
          <w:lang w:eastAsia="en-NZ"/>
        </w:rPr>
        <w:t xml:space="preserve"> </w:t>
      </w:r>
      <w:r w:rsidRPr="00B1465F">
        <w:rPr>
          <w:lang w:eastAsia="en-NZ"/>
        </w:rPr>
        <w:t>be</w:t>
      </w:r>
      <w:r w:rsidR="003D640C">
        <w:rPr>
          <w:lang w:eastAsia="en-NZ"/>
        </w:rPr>
        <w:t xml:space="preserve"> </w:t>
      </w:r>
      <w:r w:rsidRPr="00B1465F">
        <w:rPr>
          <w:lang w:eastAsia="en-NZ"/>
        </w:rPr>
        <w:t>better</w:t>
      </w:r>
      <w:r w:rsidR="003D640C">
        <w:rPr>
          <w:lang w:eastAsia="en-NZ"/>
        </w:rPr>
        <w:t xml:space="preserve"> </w:t>
      </w:r>
      <w:r w:rsidRPr="00B1465F">
        <w:rPr>
          <w:lang w:eastAsia="en-NZ"/>
        </w:rPr>
        <w:t>enforced</w:t>
      </w:r>
      <w:r w:rsidR="003D640C">
        <w:rPr>
          <w:lang w:eastAsia="en-NZ"/>
        </w:rPr>
        <w:t xml:space="preserve"> </w:t>
      </w:r>
      <w:r w:rsidRPr="00B1465F">
        <w:rPr>
          <w:lang w:eastAsia="en-NZ"/>
        </w:rPr>
        <w:t>and</w:t>
      </w:r>
      <w:r w:rsidR="003D640C">
        <w:rPr>
          <w:lang w:eastAsia="en-NZ"/>
        </w:rPr>
        <w:t xml:space="preserve"> </w:t>
      </w:r>
      <w:r w:rsidRPr="00B1465F">
        <w:rPr>
          <w:lang w:eastAsia="en-NZ"/>
        </w:rPr>
        <w:t>supported</w:t>
      </w:r>
      <w:r w:rsidR="003D640C">
        <w:rPr>
          <w:lang w:eastAsia="en-NZ"/>
        </w:rPr>
        <w:t xml:space="preserve"> </w:t>
      </w:r>
      <w:r w:rsidRPr="00B1465F">
        <w:rPr>
          <w:lang w:eastAsia="en-NZ"/>
        </w:rPr>
        <w:t>by</w:t>
      </w:r>
      <w:r w:rsidR="003D640C">
        <w:rPr>
          <w:lang w:eastAsia="en-NZ"/>
        </w:rPr>
        <w:t xml:space="preserve"> </w:t>
      </w:r>
      <w:r w:rsidRPr="00B1465F">
        <w:rPr>
          <w:lang w:eastAsia="en-NZ"/>
        </w:rPr>
        <w:t>meaningful</w:t>
      </w:r>
      <w:r w:rsidR="003D640C">
        <w:rPr>
          <w:lang w:eastAsia="en-NZ"/>
        </w:rPr>
        <w:t xml:space="preserve"> </w:t>
      </w:r>
      <w:r w:rsidRPr="00B1465F">
        <w:rPr>
          <w:lang w:eastAsia="en-NZ"/>
        </w:rPr>
        <w:t>policy.</w:t>
      </w:r>
      <w:r w:rsidR="003D640C">
        <w:rPr>
          <w:lang w:eastAsia="en-NZ"/>
        </w:rPr>
        <w:t xml:space="preserve"> </w:t>
      </w:r>
      <w:r w:rsidRPr="00B1465F">
        <w:rPr>
          <w:lang w:eastAsia="en-NZ"/>
        </w:rPr>
        <w:t>Additional</w:t>
      </w:r>
      <w:r w:rsidR="003D640C">
        <w:rPr>
          <w:lang w:eastAsia="en-NZ"/>
        </w:rPr>
        <w:t xml:space="preserve"> </w:t>
      </w:r>
      <w:r w:rsidRPr="00B1465F">
        <w:rPr>
          <w:lang w:eastAsia="en-NZ"/>
        </w:rPr>
        <w:t>measures</w:t>
      </w:r>
      <w:r w:rsidR="003D640C">
        <w:rPr>
          <w:lang w:eastAsia="en-NZ"/>
        </w:rPr>
        <w:t xml:space="preserve"> </w:t>
      </w:r>
      <w:r w:rsidRPr="00B1465F">
        <w:rPr>
          <w:lang w:eastAsia="en-NZ"/>
        </w:rPr>
        <w:t>would</w:t>
      </w:r>
      <w:r w:rsidR="003D640C">
        <w:rPr>
          <w:lang w:eastAsia="en-NZ"/>
        </w:rPr>
        <w:t xml:space="preserve"> </w:t>
      </w:r>
      <w:r w:rsidRPr="00B1465F">
        <w:rPr>
          <w:lang w:eastAsia="en-NZ"/>
        </w:rPr>
        <w:t>be</w:t>
      </w:r>
      <w:r w:rsidR="003D640C">
        <w:rPr>
          <w:lang w:eastAsia="en-NZ"/>
        </w:rPr>
        <w:t xml:space="preserve"> </w:t>
      </w:r>
      <w:r w:rsidRPr="00B1465F">
        <w:rPr>
          <w:lang w:eastAsia="en-NZ"/>
        </w:rPr>
        <w:t>in</w:t>
      </w:r>
      <w:r w:rsidR="003D640C">
        <w:rPr>
          <w:lang w:eastAsia="en-NZ"/>
        </w:rPr>
        <w:t xml:space="preserve"> </w:t>
      </w:r>
      <w:r w:rsidRPr="00B1465F">
        <w:rPr>
          <w:lang w:eastAsia="en-NZ"/>
        </w:rPr>
        <w:t>place</w:t>
      </w:r>
      <w:r w:rsidR="003D640C">
        <w:rPr>
          <w:lang w:eastAsia="en-NZ"/>
        </w:rPr>
        <w:t xml:space="preserve"> </w:t>
      </w:r>
      <w:r w:rsidRPr="00B1465F">
        <w:rPr>
          <w:lang w:eastAsia="en-NZ"/>
        </w:rPr>
        <w:t>to</w:t>
      </w:r>
      <w:r w:rsidR="003D640C">
        <w:rPr>
          <w:lang w:eastAsia="en-NZ"/>
        </w:rPr>
        <w:t xml:space="preserve"> </w:t>
      </w:r>
      <w:r w:rsidRPr="00B1465F">
        <w:rPr>
          <w:lang w:eastAsia="en-NZ"/>
        </w:rPr>
        <w:t>ensure</w:t>
      </w:r>
      <w:r w:rsidR="003D640C">
        <w:rPr>
          <w:lang w:eastAsia="en-NZ"/>
        </w:rPr>
        <w:t xml:space="preserve"> </w:t>
      </w:r>
      <w:r w:rsidRPr="00B1465F">
        <w:rPr>
          <w:lang w:eastAsia="en-NZ"/>
        </w:rPr>
        <w:t>equal</w:t>
      </w:r>
      <w:r w:rsidR="003D640C">
        <w:rPr>
          <w:lang w:eastAsia="en-NZ"/>
        </w:rPr>
        <w:t xml:space="preserve"> </w:t>
      </w:r>
      <w:r w:rsidRPr="00B1465F">
        <w:rPr>
          <w:lang w:eastAsia="en-NZ"/>
        </w:rPr>
        <w:t>rights</w:t>
      </w:r>
      <w:r w:rsidR="003D640C">
        <w:rPr>
          <w:lang w:eastAsia="en-NZ"/>
        </w:rPr>
        <w:t xml:space="preserve"> </w:t>
      </w:r>
      <w:r w:rsidRPr="00B1465F">
        <w:rPr>
          <w:lang w:eastAsia="en-NZ"/>
        </w:rPr>
        <w:t>and</w:t>
      </w:r>
      <w:r w:rsidR="003D640C">
        <w:rPr>
          <w:lang w:eastAsia="en-NZ"/>
        </w:rPr>
        <w:t xml:space="preserve"> </w:t>
      </w:r>
      <w:r w:rsidRPr="00B1465F">
        <w:rPr>
          <w:lang w:eastAsia="en-NZ"/>
        </w:rPr>
        <w:t>protections</w:t>
      </w:r>
      <w:r w:rsidR="003D640C">
        <w:rPr>
          <w:lang w:eastAsia="en-NZ"/>
        </w:rPr>
        <w:t xml:space="preserve"> </w:t>
      </w:r>
      <w:r w:rsidRPr="00B1465F">
        <w:rPr>
          <w:lang w:eastAsia="en-NZ"/>
        </w:rPr>
        <w:t>for</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234A6F">
        <w:rPr>
          <w:lang w:eastAsia="en-NZ"/>
        </w:rPr>
        <w:t xml:space="preserve"> peoples</w:t>
      </w:r>
      <w:r w:rsidRPr="00B1465F">
        <w:rPr>
          <w:lang w:eastAsia="en-NZ"/>
        </w:rPr>
        <w:t>,</w:t>
      </w:r>
      <w:r w:rsidR="003D640C">
        <w:rPr>
          <w:lang w:eastAsia="en-NZ"/>
        </w:rPr>
        <w:t xml:space="preserve"> </w:t>
      </w:r>
      <w:r w:rsidRPr="00B1465F">
        <w:rPr>
          <w:lang w:eastAsia="en-NZ"/>
        </w:rPr>
        <w:t>and</w:t>
      </w:r>
      <w:r w:rsidR="003D640C">
        <w:rPr>
          <w:lang w:eastAsia="en-NZ"/>
        </w:rPr>
        <w:t xml:space="preserve"> </w:t>
      </w:r>
      <w:r w:rsidRPr="00BB6220">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in</w:t>
      </w:r>
      <w:r w:rsidR="003D640C">
        <w:rPr>
          <w:lang w:eastAsia="en-NZ"/>
        </w:rPr>
        <w:t xml:space="preserve"> </w:t>
      </w:r>
      <w:r w:rsidRPr="00B1465F">
        <w:rPr>
          <w:lang w:eastAsia="en-NZ"/>
        </w:rPr>
        <w:t>areas</w:t>
      </w:r>
      <w:r w:rsidR="003D640C">
        <w:rPr>
          <w:lang w:eastAsia="en-NZ"/>
        </w:rPr>
        <w:t xml:space="preserve"> </w:t>
      </w:r>
      <w:r w:rsidRPr="00B1465F">
        <w:rPr>
          <w:lang w:eastAsia="en-NZ"/>
        </w:rPr>
        <w:t>such</w:t>
      </w:r>
      <w:r w:rsidR="003D640C">
        <w:rPr>
          <w:lang w:eastAsia="en-NZ"/>
        </w:rPr>
        <w:t xml:space="preserve"> </w:t>
      </w:r>
      <w:r w:rsidRPr="00B1465F">
        <w:rPr>
          <w:lang w:eastAsia="en-NZ"/>
        </w:rPr>
        <w:t>as</w:t>
      </w:r>
      <w:r w:rsidR="003D640C">
        <w:rPr>
          <w:lang w:eastAsia="en-NZ"/>
        </w:rPr>
        <w:t xml:space="preserve"> </w:t>
      </w:r>
      <w:r w:rsidRPr="00B1465F">
        <w:rPr>
          <w:lang w:eastAsia="en-NZ"/>
        </w:rPr>
        <w:t>employment,</w:t>
      </w:r>
      <w:r w:rsidR="003D640C">
        <w:rPr>
          <w:lang w:eastAsia="en-NZ"/>
        </w:rPr>
        <w:t xml:space="preserve"> </w:t>
      </w:r>
      <w:r w:rsidRPr="00B1465F">
        <w:rPr>
          <w:lang w:eastAsia="en-NZ"/>
        </w:rPr>
        <w:t>housing,</w:t>
      </w:r>
      <w:r w:rsidR="003D640C">
        <w:rPr>
          <w:lang w:eastAsia="en-NZ"/>
        </w:rPr>
        <w:t xml:space="preserve"> </w:t>
      </w:r>
      <w:r w:rsidRPr="00B1465F">
        <w:rPr>
          <w:lang w:eastAsia="en-NZ"/>
        </w:rPr>
        <w:t>healthcare,</w:t>
      </w:r>
      <w:r w:rsidR="003D640C">
        <w:rPr>
          <w:lang w:eastAsia="en-NZ"/>
        </w:rPr>
        <w:t xml:space="preserve"> </w:t>
      </w:r>
      <w:r w:rsidRPr="00B1465F">
        <w:rPr>
          <w:lang w:eastAsia="en-NZ"/>
        </w:rPr>
        <w:t>and</w:t>
      </w:r>
      <w:r w:rsidR="003D640C">
        <w:rPr>
          <w:lang w:eastAsia="en-NZ"/>
        </w:rPr>
        <w:t xml:space="preserve"> </w:t>
      </w:r>
      <w:r w:rsidRPr="00B1465F">
        <w:rPr>
          <w:lang w:eastAsia="en-NZ"/>
        </w:rPr>
        <w:t>education.</w:t>
      </w:r>
      <w:r w:rsidR="003D640C">
        <w:rPr>
          <w:lang w:eastAsia="en-NZ"/>
        </w:rPr>
        <w:t xml:space="preserve"> </w:t>
      </w:r>
      <w:r w:rsidRPr="00B1465F">
        <w:rPr>
          <w:lang w:eastAsia="en-NZ"/>
        </w:rPr>
        <w:t>Discrimination</w:t>
      </w:r>
      <w:r w:rsidR="003D640C">
        <w:rPr>
          <w:lang w:eastAsia="en-NZ"/>
        </w:rPr>
        <w:t xml:space="preserve"> </w:t>
      </w:r>
      <w:r w:rsidRPr="00BB6220">
        <w:rPr>
          <w:lang w:eastAsia="en-NZ"/>
        </w:rPr>
        <w:t>and</w:t>
      </w:r>
      <w:r w:rsidR="003D640C">
        <w:rPr>
          <w:lang w:eastAsia="en-NZ"/>
        </w:rPr>
        <w:t xml:space="preserve"> </w:t>
      </w:r>
      <w:r w:rsidRPr="00BB6220">
        <w:rPr>
          <w:lang w:eastAsia="en-NZ"/>
        </w:rPr>
        <w:t>prejudice</w:t>
      </w:r>
      <w:r w:rsidR="003D640C">
        <w:rPr>
          <w:lang w:eastAsia="en-NZ"/>
        </w:rPr>
        <w:t xml:space="preserve"> </w:t>
      </w:r>
      <w:r w:rsidRPr="00BB6220">
        <w:rPr>
          <w:lang w:eastAsia="en-NZ"/>
        </w:rPr>
        <w:t>based</w:t>
      </w:r>
      <w:r w:rsidR="003D640C">
        <w:rPr>
          <w:lang w:eastAsia="en-NZ"/>
        </w:rPr>
        <w:t xml:space="preserve"> </w:t>
      </w:r>
      <w:r w:rsidRPr="00BB6220">
        <w:rPr>
          <w:lang w:eastAsia="en-NZ"/>
        </w:rPr>
        <w:t>on</w:t>
      </w:r>
      <w:r w:rsidR="003D640C">
        <w:rPr>
          <w:lang w:eastAsia="en-NZ"/>
        </w:rPr>
        <w:t xml:space="preserve"> </w:t>
      </w:r>
      <w:r w:rsidRPr="00BB6220">
        <w:rPr>
          <w:lang w:eastAsia="en-NZ"/>
        </w:rPr>
        <w:t>ability,</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3D640C">
        <w:rPr>
          <w:lang w:eastAsia="en-NZ"/>
        </w:rPr>
        <w:t xml:space="preserve"> </w:t>
      </w:r>
      <w:r w:rsidRPr="00BB6220">
        <w:rPr>
          <w:lang w:eastAsia="en-NZ"/>
        </w:rPr>
        <w:t>or</w:t>
      </w:r>
      <w:r w:rsidR="003D640C">
        <w:rPr>
          <w:lang w:eastAsia="en-NZ"/>
        </w:rPr>
        <w:t xml:space="preserve"> </w:t>
      </w:r>
      <w:r w:rsidRPr="00BB6220">
        <w:rPr>
          <w:lang w:eastAsia="en-NZ"/>
        </w:rPr>
        <w:t>expression,</w:t>
      </w:r>
      <w:r w:rsidR="003D640C">
        <w:rPr>
          <w:lang w:eastAsia="en-NZ"/>
        </w:rPr>
        <w:t xml:space="preserve"> </w:t>
      </w:r>
      <w:r w:rsidRPr="00BB6220">
        <w:rPr>
          <w:lang w:eastAsia="en-NZ"/>
        </w:rPr>
        <w:t>or</w:t>
      </w:r>
      <w:r w:rsidR="003D640C">
        <w:rPr>
          <w:lang w:eastAsia="en-NZ"/>
        </w:rPr>
        <w:t xml:space="preserve"> </w:t>
      </w:r>
      <w:r w:rsidRPr="00BB6220">
        <w:rPr>
          <w:lang w:eastAsia="en-NZ"/>
        </w:rPr>
        <w:t>sex</w:t>
      </w:r>
      <w:r w:rsidR="003D640C">
        <w:rPr>
          <w:lang w:eastAsia="en-NZ"/>
        </w:rPr>
        <w:t xml:space="preserve"> </w:t>
      </w:r>
      <w:r w:rsidRPr="00BB6220">
        <w:rPr>
          <w:lang w:eastAsia="en-NZ"/>
        </w:rPr>
        <w:t>characteristics</w:t>
      </w:r>
      <w:r w:rsidR="003D640C">
        <w:rPr>
          <w:lang w:eastAsia="en-NZ"/>
        </w:rPr>
        <w:t xml:space="preserve"> </w:t>
      </w:r>
      <w:r w:rsidRPr="00BB6220">
        <w:rPr>
          <w:lang w:eastAsia="en-NZ"/>
        </w:rPr>
        <w:t>would</w:t>
      </w:r>
      <w:r w:rsidR="003D640C">
        <w:rPr>
          <w:lang w:eastAsia="en-NZ"/>
        </w:rPr>
        <w:t xml:space="preserve"> </w:t>
      </w:r>
      <w:r w:rsidRPr="00BB6220">
        <w:rPr>
          <w:lang w:eastAsia="en-NZ"/>
        </w:rPr>
        <w:t>be</w:t>
      </w:r>
      <w:r w:rsidR="003D640C">
        <w:rPr>
          <w:lang w:eastAsia="en-NZ"/>
        </w:rPr>
        <w:t xml:space="preserve"> </w:t>
      </w:r>
      <w:r w:rsidRPr="00BB6220">
        <w:rPr>
          <w:lang w:eastAsia="en-NZ"/>
        </w:rPr>
        <w:t>actively</w:t>
      </w:r>
      <w:r w:rsidR="003D640C">
        <w:rPr>
          <w:lang w:eastAsia="en-NZ"/>
        </w:rPr>
        <w:t xml:space="preserve"> </w:t>
      </w:r>
      <w:r w:rsidRPr="00BB6220">
        <w:rPr>
          <w:lang w:eastAsia="en-NZ"/>
        </w:rPr>
        <w:t>challenged</w:t>
      </w:r>
      <w:r w:rsidR="003D640C">
        <w:rPr>
          <w:lang w:eastAsia="en-NZ"/>
        </w:rPr>
        <w:t xml:space="preserve"> </w:t>
      </w:r>
      <w:r w:rsidRPr="00BB6220">
        <w:rPr>
          <w:lang w:eastAsia="en-NZ"/>
        </w:rPr>
        <w:t>and</w:t>
      </w:r>
      <w:r w:rsidR="003D640C">
        <w:rPr>
          <w:lang w:eastAsia="en-NZ"/>
        </w:rPr>
        <w:t xml:space="preserve"> </w:t>
      </w:r>
      <w:r w:rsidRPr="00BB6220">
        <w:rPr>
          <w:lang w:eastAsia="en-NZ"/>
        </w:rPr>
        <w:t>eliminated.</w:t>
      </w:r>
    </w:p>
    <w:p w14:paraId="08615EBF" w14:textId="3D4E52F6" w:rsidR="00501068" w:rsidRDefault="002A67E8" w:rsidP="0078026B">
      <w:pPr>
        <w:rPr>
          <w:lang w:eastAsia="en-NZ"/>
        </w:rPr>
      </w:pPr>
      <w:r>
        <w:rPr>
          <w:rStyle w:val="SubtleEmphasis"/>
          <w:b/>
          <w:i w:val="0"/>
          <w:color w:val="000000" w:themeColor="text1"/>
        </w:rPr>
        <w:t>In</w:t>
      </w:r>
      <w:r w:rsidR="003D640C">
        <w:rPr>
          <w:rStyle w:val="SubtleEmphasis"/>
          <w:b/>
          <w:i w:val="0"/>
          <w:color w:val="000000" w:themeColor="text1"/>
        </w:rPr>
        <w:t xml:space="preserve"> </w:t>
      </w:r>
      <w:r>
        <w:rPr>
          <w:rStyle w:val="SubtleEmphasis"/>
          <w:b/>
          <w:i w:val="0"/>
          <w:color w:val="000000" w:themeColor="text1"/>
        </w:rPr>
        <w:t>this</w:t>
      </w:r>
      <w:r w:rsidR="003D640C">
        <w:rPr>
          <w:rStyle w:val="SubtleEmphasis"/>
          <w:b/>
          <w:i w:val="0"/>
          <w:color w:val="000000" w:themeColor="text1"/>
        </w:rPr>
        <w:t xml:space="preserve"> </w:t>
      </w:r>
      <w:r>
        <w:rPr>
          <w:rStyle w:val="SubtleEmphasis"/>
          <w:b/>
          <w:i w:val="0"/>
          <w:color w:val="000000" w:themeColor="text1"/>
        </w:rPr>
        <w:t>world,</w:t>
      </w:r>
      <w:r w:rsidR="003D640C">
        <w:rPr>
          <w:rStyle w:val="SubtleEmphasis"/>
          <w:b/>
          <w:i w:val="0"/>
          <w:color w:val="000000" w:themeColor="text1"/>
        </w:rPr>
        <w:t xml:space="preserve"> </w:t>
      </w:r>
      <w:r w:rsidRPr="00B1465F">
        <w:rPr>
          <w:rStyle w:val="SubtleEmphasis"/>
          <w:b/>
          <w:i w:val="0"/>
          <w:color w:val="000000" w:themeColor="text1"/>
        </w:rPr>
        <w:t>Rainbow</w:t>
      </w:r>
      <w:r w:rsidR="003D640C">
        <w:rPr>
          <w:rStyle w:val="SubtleEmphasis"/>
          <w:b/>
          <w:i w:val="0"/>
          <w:color w:val="000000" w:themeColor="text1"/>
        </w:rPr>
        <w:t xml:space="preserve"> </w:t>
      </w:r>
      <w:r w:rsidRPr="00B1465F">
        <w:rPr>
          <w:rStyle w:val="SubtleEmphasis"/>
          <w:b/>
          <w:i w:val="0"/>
          <w:color w:val="000000" w:themeColor="text1"/>
        </w:rPr>
        <w:t>people</w:t>
      </w:r>
      <w:r w:rsidR="003D640C">
        <w:rPr>
          <w:rStyle w:val="SubtleEmphasis"/>
          <w:b/>
          <w:i w:val="0"/>
          <w:color w:val="000000" w:themeColor="text1"/>
        </w:rPr>
        <w:t xml:space="preserve"> </w:t>
      </w:r>
      <w:r w:rsidRPr="00B1465F">
        <w:rPr>
          <w:rStyle w:val="SubtleEmphasis"/>
          <w:b/>
          <w:i w:val="0"/>
          <w:color w:val="000000" w:themeColor="text1"/>
        </w:rPr>
        <w:t>experience</w:t>
      </w:r>
      <w:r w:rsidR="003D640C">
        <w:rPr>
          <w:rStyle w:val="SubtleEmphasis"/>
          <w:b/>
          <w:i w:val="0"/>
          <w:color w:val="000000" w:themeColor="text1"/>
        </w:rPr>
        <w:t xml:space="preserve"> </w:t>
      </w:r>
      <w:r w:rsidRPr="00B1465F">
        <w:rPr>
          <w:rStyle w:val="SubtleEmphasis"/>
          <w:b/>
          <w:i w:val="0"/>
          <w:color w:val="000000" w:themeColor="text1"/>
        </w:rPr>
        <w:t>improved</w:t>
      </w:r>
      <w:r w:rsidR="003D640C">
        <w:rPr>
          <w:rStyle w:val="SubtleEmphasis"/>
          <w:b/>
          <w:i w:val="0"/>
          <w:color w:val="000000" w:themeColor="text1"/>
        </w:rPr>
        <w:t xml:space="preserve"> </w:t>
      </w:r>
      <w:r w:rsidRPr="00B1465F">
        <w:rPr>
          <w:rStyle w:val="SubtleEmphasis"/>
          <w:b/>
          <w:i w:val="0"/>
          <w:color w:val="000000" w:themeColor="text1"/>
        </w:rPr>
        <w:t>mental</w:t>
      </w:r>
      <w:r w:rsidR="003D640C">
        <w:rPr>
          <w:rStyle w:val="SubtleEmphasis"/>
          <w:b/>
          <w:i w:val="0"/>
          <w:color w:val="000000" w:themeColor="text1"/>
        </w:rPr>
        <w:t xml:space="preserve"> </w:t>
      </w:r>
      <w:r w:rsidRPr="00B1465F">
        <w:rPr>
          <w:rStyle w:val="SubtleEmphasis"/>
          <w:b/>
          <w:i w:val="0"/>
          <w:color w:val="000000" w:themeColor="text1"/>
        </w:rPr>
        <w:t>health</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7C0AAEEA">
        <w:rPr>
          <w:rStyle w:val="SubtleEmphasis"/>
          <w:b/>
          <w:bCs/>
          <w:i w:val="0"/>
          <w:iCs w:val="0"/>
          <w:color w:val="000000" w:themeColor="text1"/>
        </w:rPr>
        <w:t>wellbeing</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00B1465F">
        <w:rPr>
          <w:rStyle w:val="SubtleEmphasis"/>
          <w:b/>
          <w:i w:val="0"/>
          <w:color w:val="000000" w:themeColor="text1"/>
        </w:rPr>
        <w:t>equitable</w:t>
      </w:r>
      <w:r w:rsidR="003D640C">
        <w:rPr>
          <w:rStyle w:val="SubtleEmphasis"/>
          <w:b/>
          <w:i w:val="0"/>
          <w:color w:val="000000" w:themeColor="text1"/>
        </w:rPr>
        <w:t xml:space="preserve"> </w:t>
      </w:r>
      <w:r w:rsidRPr="00B1465F">
        <w:rPr>
          <w:rStyle w:val="SubtleEmphasis"/>
          <w:b/>
          <w:i w:val="0"/>
          <w:color w:val="000000" w:themeColor="text1"/>
        </w:rPr>
        <w:t>access</w:t>
      </w:r>
      <w:r w:rsidR="003D640C">
        <w:rPr>
          <w:rStyle w:val="SubtleEmphasis"/>
          <w:b/>
          <w:i w:val="0"/>
          <w:color w:val="000000" w:themeColor="text1"/>
        </w:rPr>
        <w:t xml:space="preserve"> </w:t>
      </w:r>
      <w:r w:rsidRPr="00B1465F">
        <w:rPr>
          <w:rStyle w:val="SubtleEmphasis"/>
          <w:b/>
          <w:i w:val="0"/>
          <w:color w:val="000000" w:themeColor="text1"/>
        </w:rPr>
        <w:t>to</w:t>
      </w:r>
      <w:r w:rsidR="003D640C">
        <w:rPr>
          <w:rStyle w:val="SubtleEmphasis"/>
          <w:b/>
          <w:i w:val="0"/>
          <w:color w:val="000000" w:themeColor="text1"/>
        </w:rPr>
        <w:t xml:space="preserve"> </w:t>
      </w:r>
      <w:r w:rsidRPr="00B1465F">
        <w:rPr>
          <w:rStyle w:val="SubtleEmphasis"/>
          <w:b/>
          <w:i w:val="0"/>
          <w:color w:val="000000" w:themeColor="text1"/>
        </w:rPr>
        <w:t>support.</w:t>
      </w:r>
      <w:r w:rsidR="003D640C">
        <w:rPr>
          <w:rStyle w:val="SubtleEmphasis"/>
          <w:b/>
          <w:i w:val="0"/>
          <w:color w:val="000000" w:themeColor="text1"/>
        </w:rPr>
        <w:t xml:space="preserve"> </w:t>
      </w:r>
      <w:r w:rsidRPr="00B1465F">
        <w:rPr>
          <w:lang w:eastAsia="en-NZ"/>
        </w:rPr>
        <w:t>Mental</w:t>
      </w:r>
      <w:r w:rsidR="003D640C">
        <w:rPr>
          <w:lang w:eastAsia="en-NZ"/>
        </w:rPr>
        <w:t xml:space="preserve"> </w:t>
      </w:r>
      <w:r w:rsidRPr="00B1465F">
        <w:rPr>
          <w:lang w:eastAsia="en-NZ"/>
        </w:rPr>
        <w:t>health</w:t>
      </w:r>
      <w:r w:rsidR="003D640C">
        <w:rPr>
          <w:lang w:eastAsia="en-NZ"/>
        </w:rPr>
        <w:t xml:space="preserve"> </w:t>
      </w:r>
      <w:r w:rsidRPr="00B1465F">
        <w:rPr>
          <w:lang w:eastAsia="en-NZ"/>
        </w:rPr>
        <w:t>services</w:t>
      </w:r>
      <w:r w:rsidR="003D640C">
        <w:rPr>
          <w:lang w:eastAsia="en-NZ"/>
        </w:rPr>
        <w:t xml:space="preserve"> </w:t>
      </w:r>
      <w:r w:rsidRPr="00B1465F">
        <w:rPr>
          <w:lang w:eastAsia="en-NZ"/>
        </w:rPr>
        <w:t>would</w:t>
      </w:r>
      <w:r w:rsidR="003D640C">
        <w:rPr>
          <w:lang w:eastAsia="en-NZ"/>
        </w:rPr>
        <w:t xml:space="preserve"> </w:t>
      </w:r>
      <w:r w:rsidRPr="00B1465F">
        <w:rPr>
          <w:lang w:eastAsia="en-NZ"/>
        </w:rPr>
        <w:t>be</w:t>
      </w:r>
      <w:r w:rsidR="003D640C">
        <w:rPr>
          <w:lang w:eastAsia="en-NZ"/>
        </w:rPr>
        <w:t xml:space="preserve"> </w:t>
      </w:r>
      <w:r w:rsidRPr="00B1465F">
        <w:rPr>
          <w:lang w:eastAsia="en-NZ"/>
        </w:rPr>
        <w:t>readily</w:t>
      </w:r>
      <w:r w:rsidR="003D640C">
        <w:rPr>
          <w:lang w:eastAsia="en-NZ"/>
        </w:rPr>
        <w:t xml:space="preserve"> </w:t>
      </w:r>
      <w:r w:rsidRPr="00B1465F">
        <w:rPr>
          <w:lang w:eastAsia="en-NZ"/>
        </w:rPr>
        <w:t>available</w:t>
      </w:r>
      <w:r w:rsidR="003D640C">
        <w:rPr>
          <w:lang w:eastAsia="en-NZ"/>
        </w:rPr>
        <w:t xml:space="preserve"> </w:t>
      </w:r>
      <w:r w:rsidRPr="00B1465F">
        <w:rPr>
          <w:lang w:eastAsia="en-NZ"/>
        </w:rPr>
        <w:t>and</w:t>
      </w:r>
      <w:r w:rsidR="003D640C">
        <w:rPr>
          <w:lang w:eastAsia="en-NZ"/>
        </w:rPr>
        <w:t xml:space="preserve"> </w:t>
      </w:r>
      <w:r w:rsidRPr="00B1465F">
        <w:rPr>
          <w:lang w:eastAsia="en-NZ"/>
        </w:rPr>
        <w:t>affirming</w:t>
      </w:r>
      <w:r w:rsidR="003D640C">
        <w:rPr>
          <w:lang w:eastAsia="en-NZ"/>
        </w:rPr>
        <w:t xml:space="preserve"> </w:t>
      </w:r>
      <w:r w:rsidRPr="00B1465F">
        <w:rPr>
          <w:lang w:eastAsia="en-NZ"/>
        </w:rPr>
        <w:t>of</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234A6F">
        <w:rPr>
          <w:lang w:eastAsia="en-NZ"/>
        </w:rPr>
        <w:t xml:space="preserve"> peoples</w:t>
      </w:r>
      <w:r w:rsidRPr="00B1465F">
        <w:rPr>
          <w:lang w:eastAsia="en-NZ"/>
        </w:rPr>
        <w:t>,</w:t>
      </w:r>
      <w:r w:rsidR="003D640C">
        <w:rPr>
          <w:lang w:eastAsia="en-NZ"/>
        </w:rPr>
        <w:t xml:space="preserve"> </w:t>
      </w:r>
      <w:r w:rsidRPr="00B1465F">
        <w:rPr>
          <w:lang w:eastAsia="en-NZ"/>
        </w:rPr>
        <w:t>and</w:t>
      </w:r>
      <w:r w:rsidR="003D640C">
        <w:rPr>
          <w:lang w:eastAsia="en-NZ"/>
        </w:rPr>
        <w:t xml:space="preserve"> </w:t>
      </w:r>
      <w:r w:rsidRPr="00B1465F">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Mental</w:t>
      </w:r>
      <w:r w:rsidR="003D640C">
        <w:rPr>
          <w:lang w:eastAsia="en-NZ"/>
        </w:rPr>
        <w:t xml:space="preserve"> </w:t>
      </w:r>
      <w:r w:rsidRPr="00B1465F">
        <w:rPr>
          <w:lang w:eastAsia="en-NZ"/>
        </w:rPr>
        <w:t>health</w:t>
      </w:r>
      <w:r w:rsidR="003D640C">
        <w:rPr>
          <w:lang w:eastAsia="en-NZ"/>
        </w:rPr>
        <w:t xml:space="preserve"> </w:t>
      </w:r>
      <w:r w:rsidRPr="00B1465F">
        <w:rPr>
          <w:lang w:eastAsia="en-NZ"/>
        </w:rPr>
        <w:t>professionals</w:t>
      </w:r>
      <w:r w:rsidR="003D640C">
        <w:rPr>
          <w:lang w:eastAsia="en-NZ"/>
        </w:rPr>
        <w:t xml:space="preserve"> </w:t>
      </w:r>
      <w:r w:rsidRPr="00B1465F">
        <w:rPr>
          <w:lang w:eastAsia="en-NZ"/>
        </w:rPr>
        <w:t>would</w:t>
      </w:r>
      <w:r w:rsidR="003D640C">
        <w:rPr>
          <w:lang w:eastAsia="en-NZ"/>
        </w:rPr>
        <w:t xml:space="preserve"> </w:t>
      </w:r>
      <w:r w:rsidRPr="00B1465F">
        <w:rPr>
          <w:lang w:eastAsia="en-NZ"/>
        </w:rPr>
        <w:t>receive</w:t>
      </w:r>
      <w:r w:rsidR="003D640C">
        <w:rPr>
          <w:lang w:eastAsia="en-NZ"/>
        </w:rPr>
        <w:t xml:space="preserve"> </w:t>
      </w:r>
      <w:r w:rsidRPr="00B1465F">
        <w:rPr>
          <w:lang w:eastAsia="en-NZ"/>
        </w:rPr>
        <w:t>training</w:t>
      </w:r>
      <w:r w:rsidR="003D640C">
        <w:rPr>
          <w:lang w:eastAsia="en-NZ"/>
        </w:rPr>
        <w:t xml:space="preserve"> </w:t>
      </w:r>
      <w:r w:rsidRPr="00B1465F">
        <w:rPr>
          <w:lang w:eastAsia="en-NZ"/>
        </w:rPr>
        <w:t>on</w:t>
      </w:r>
      <w:r w:rsidR="003D640C">
        <w:rPr>
          <w:lang w:eastAsia="en-NZ"/>
        </w:rPr>
        <w:t xml:space="preserve"> </w:t>
      </w:r>
      <w:r w:rsidRPr="00B1465F">
        <w:rPr>
          <w:lang w:eastAsia="en-NZ"/>
        </w:rPr>
        <w:t>Rainbow</w:t>
      </w:r>
      <w:r w:rsidR="003D640C">
        <w:rPr>
          <w:lang w:eastAsia="en-NZ"/>
        </w:rPr>
        <w:t xml:space="preserve"> </w:t>
      </w:r>
      <w:r w:rsidRPr="00B1465F">
        <w:rPr>
          <w:lang w:eastAsia="en-NZ"/>
        </w:rPr>
        <w:t>issues</w:t>
      </w:r>
      <w:r w:rsidR="003D640C">
        <w:rPr>
          <w:lang w:eastAsia="en-NZ"/>
        </w:rPr>
        <w:t xml:space="preserve"> </w:t>
      </w:r>
      <w:r w:rsidRPr="00B1465F">
        <w:rPr>
          <w:lang w:eastAsia="en-NZ"/>
        </w:rPr>
        <w:t>and</w:t>
      </w:r>
      <w:r w:rsidR="003D640C">
        <w:rPr>
          <w:lang w:eastAsia="en-NZ"/>
        </w:rPr>
        <w:t xml:space="preserve"> </w:t>
      </w:r>
      <w:r w:rsidRPr="00B1465F">
        <w:rPr>
          <w:lang w:eastAsia="en-NZ"/>
        </w:rPr>
        <w:t>provide</w:t>
      </w:r>
      <w:r w:rsidR="003D640C">
        <w:rPr>
          <w:lang w:eastAsia="en-NZ"/>
        </w:rPr>
        <w:t xml:space="preserve"> </w:t>
      </w:r>
      <w:r w:rsidRPr="00B1465F">
        <w:rPr>
          <w:lang w:eastAsia="en-NZ"/>
        </w:rPr>
        <w:t>competent,</w:t>
      </w:r>
      <w:r w:rsidR="003D640C">
        <w:rPr>
          <w:lang w:eastAsia="en-NZ"/>
        </w:rPr>
        <w:t xml:space="preserve"> </w:t>
      </w:r>
      <w:r w:rsidRPr="00B1465F">
        <w:rPr>
          <w:lang w:eastAsia="en-NZ"/>
        </w:rPr>
        <w:t>culturally</w:t>
      </w:r>
      <w:r w:rsidR="003D640C">
        <w:rPr>
          <w:lang w:eastAsia="en-NZ"/>
        </w:rPr>
        <w:t xml:space="preserve"> </w:t>
      </w:r>
      <w:r w:rsidRPr="00B1465F">
        <w:rPr>
          <w:lang w:eastAsia="en-NZ"/>
        </w:rPr>
        <w:t>sensitive</w:t>
      </w:r>
      <w:r w:rsidR="003D640C">
        <w:rPr>
          <w:lang w:eastAsia="en-NZ"/>
        </w:rPr>
        <w:t xml:space="preserve"> </w:t>
      </w:r>
      <w:r w:rsidRPr="00B1465F">
        <w:rPr>
          <w:lang w:eastAsia="en-NZ"/>
        </w:rPr>
        <w:t>care</w:t>
      </w:r>
      <w:r w:rsidR="003D640C">
        <w:rPr>
          <w:lang w:eastAsia="en-NZ"/>
        </w:rPr>
        <w:t xml:space="preserve"> </w:t>
      </w:r>
      <w:r w:rsidRPr="00B1465F">
        <w:rPr>
          <w:lang w:eastAsia="en-NZ"/>
        </w:rPr>
        <w:t>that</w:t>
      </w:r>
      <w:r w:rsidR="003D640C">
        <w:rPr>
          <w:lang w:eastAsia="en-NZ"/>
        </w:rPr>
        <w:t xml:space="preserve"> </w:t>
      </w:r>
      <w:r w:rsidRPr="00B1465F">
        <w:rPr>
          <w:lang w:eastAsia="en-NZ"/>
        </w:rPr>
        <w:t>supports</w:t>
      </w:r>
      <w:r w:rsidR="003D640C">
        <w:rPr>
          <w:lang w:eastAsia="en-NZ"/>
        </w:rPr>
        <w:t xml:space="preserve"> </w:t>
      </w:r>
      <w:r w:rsidRPr="00B1465F">
        <w:rPr>
          <w:lang w:eastAsia="en-NZ"/>
        </w:rPr>
        <w:t>the</w:t>
      </w:r>
      <w:r w:rsidR="003D640C">
        <w:rPr>
          <w:lang w:eastAsia="en-NZ"/>
        </w:rPr>
        <w:t xml:space="preserve"> </w:t>
      </w:r>
      <w:r w:rsidRPr="00B1465F">
        <w:rPr>
          <w:lang w:eastAsia="en-NZ"/>
        </w:rPr>
        <w:t>unique</w:t>
      </w:r>
      <w:r w:rsidR="003D640C">
        <w:rPr>
          <w:lang w:eastAsia="en-NZ"/>
        </w:rPr>
        <w:t xml:space="preserve"> </w:t>
      </w:r>
      <w:r w:rsidRPr="00B1465F">
        <w:rPr>
          <w:lang w:eastAsia="en-NZ"/>
        </w:rPr>
        <w:t>needs</w:t>
      </w:r>
      <w:r w:rsidR="003D640C">
        <w:rPr>
          <w:lang w:eastAsia="en-NZ"/>
        </w:rPr>
        <w:t xml:space="preserve"> </w:t>
      </w:r>
      <w:r w:rsidRPr="00B1465F">
        <w:rPr>
          <w:lang w:eastAsia="en-NZ"/>
        </w:rPr>
        <w:t>of</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234A6F">
        <w:rPr>
          <w:lang w:eastAsia="en-NZ"/>
        </w:rPr>
        <w:t xml:space="preserve"> peoples</w:t>
      </w:r>
      <w:r w:rsidRPr="00B1465F">
        <w:rPr>
          <w:lang w:eastAsia="en-NZ"/>
        </w:rPr>
        <w:t>,</w:t>
      </w:r>
      <w:r w:rsidR="003D640C">
        <w:rPr>
          <w:lang w:eastAsia="en-NZ"/>
        </w:rPr>
        <w:t xml:space="preserve"> </w:t>
      </w:r>
      <w:r w:rsidRPr="00B1465F">
        <w:rPr>
          <w:lang w:eastAsia="en-NZ"/>
        </w:rPr>
        <w:t>and</w:t>
      </w:r>
      <w:r w:rsidR="003D640C">
        <w:rPr>
          <w:lang w:eastAsia="en-NZ"/>
        </w:rPr>
        <w:t xml:space="preserve"> </w:t>
      </w:r>
      <w:r w:rsidRPr="00B1465F">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Without</w:t>
      </w:r>
      <w:r w:rsidR="003D640C">
        <w:rPr>
          <w:lang w:eastAsia="en-NZ"/>
        </w:rPr>
        <w:t xml:space="preserve"> </w:t>
      </w:r>
      <w:r w:rsidRPr="00B1465F">
        <w:rPr>
          <w:lang w:eastAsia="en-NZ"/>
        </w:rPr>
        <w:t>the</w:t>
      </w:r>
      <w:r w:rsidR="003D640C">
        <w:rPr>
          <w:lang w:eastAsia="en-NZ"/>
        </w:rPr>
        <w:t xml:space="preserve"> </w:t>
      </w:r>
      <w:r w:rsidRPr="00B1465F">
        <w:rPr>
          <w:lang w:eastAsia="en-NZ"/>
        </w:rPr>
        <w:t>harmful</w:t>
      </w:r>
      <w:r w:rsidR="003D640C">
        <w:rPr>
          <w:lang w:eastAsia="en-NZ"/>
        </w:rPr>
        <w:t xml:space="preserve"> </w:t>
      </w:r>
      <w:r w:rsidRPr="00B1465F">
        <w:rPr>
          <w:lang w:eastAsia="en-NZ"/>
        </w:rPr>
        <w:t>effects</w:t>
      </w:r>
      <w:r w:rsidR="003D640C">
        <w:rPr>
          <w:lang w:eastAsia="en-NZ"/>
        </w:rPr>
        <w:t xml:space="preserve"> </w:t>
      </w:r>
      <w:r w:rsidRPr="00B1465F">
        <w:rPr>
          <w:lang w:eastAsia="en-NZ"/>
        </w:rPr>
        <w:t>of</w:t>
      </w:r>
      <w:r w:rsidR="003D640C">
        <w:rPr>
          <w:lang w:eastAsia="en-NZ"/>
        </w:rPr>
        <w:t xml:space="preserve"> </w:t>
      </w:r>
      <w:r w:rsidRPr="00B1465F">
        <w:rPr>
          <w:lang w:eastAsia="en-NZ"/>
        </w:rPr>
        <w:t>conversion</w:t>
      </w:r>
      <w:r w:rsidR="003D640C">
        <w:rPr>
          <w:lang w:eastAsia="en-NZ"/>
        </w:rPr>
        <w:t xml:space="preserve"> </w:t>
      </w:r>
      <w:r w:rsidRPr="00B1465F">
        <w:rPr>
          <w:lang w:eastAsia="en-NZ"/>
        </w:rPr>
        <w:t>practices,</w:t>
      </w:r>
      <w:r w:rsidR="003D640C">
        <w:rPr>
          <w:lang w:eastAsia="en-NZ"/>
        </w:rPr>
        <w:t xml:space="preserve"> </w:t>
      </w:r>
      <w:r w:rsidRPr="00B1465F">
        <w:rPr>
          <w:lang w:eastAsia="en-NZ"/>
        </w:rPr>
        <w:t>they</w:t>
      </w:r>
      <w:r w:rsidR="003D640C">
        <w:rPr>
          <w:lang w:eastAsia="en-NZ"/>
        </w:rPr>
        <w:t xml:space="preserve"> </w:t>
      </w:r>
      <w:r w:rsidRPr="00B1465F">
        <w:rPr>
          <w:lang w:eastAsia="en-NZ"/>
        </w:rPr>
        <w:t>would</w:t>
      </w:r>
      <w:r w:rsidR="003D640C">
        <w:rPr>
          <w:lang w:eastAsia="en-NZ"/>
        </w:rPr>
        <w:t xml:space="preserve"> </w:t>
      </w:r>
      <w:r w:rsidRPr="00B1465F">
        <w:rPr>
          <w:lang w:eastAsia="en-NZ"/>
        </w:rPr>
        <w:t>be</w:t>
      </w:r>
      <w:r w:rsidR="003D640C">
        <w:rPr>
          <w:lang w:eastAsia="en-NZ"/>
        </w:rPr>
        <w:t xml:space="preserve"> </w:t>
      </w:r>
      <w:r w:rsidRPr="00B1465F">
        <w:rPr>
          <w:lang w:eastAsia="en-NZ"/>
        </w:rPr>
        <w:t>able</w:t>
      </w:r>
      <w:r w:rsidR="003D640C">
        <w:rPr>
          <w:lang w:eastAsia="en-NZ"/>
        </w:rPr>
        <w:t xml:space="preserve"> </w:t>
      </w:r>
      <w:r w:rsidRPr="00B1465F">
        <w:rPr>
          <w:lang w:eastAsia="en-NZ"/>
        </w:rPr>
        <w:t>to</w:t>
      </w:r>
      <w:r w:rsidR="003D640C">
        <w:rPr>
          <w:lang w:eastAsia="en-NZ"/>
        </w:rPr>
        <w:t xml:space="preserve"> </w:t>
      </w:r>
      <w:r w:rsidRPr="00B1465F">
        <w:rPr>
          <w:lang w:eastAsia="en-NZ"/>
        </w:rPr>
        <w:t>navigate</w:t>
      </w:r>
      <w:r w:rsidR="003D640C">
        <w:rPr>
          <w:lang w:eastAsia="en-NZ"/>
        </w:rPr>
        <w:t xml:space="preserve"> </w:t>
      </w:r>
      <w:r w:rsidRPr="00B1465F">
        <w:rPr>
          <w:lang w:eastAsia="en-NZ"/>
        </w:rPr>
        <w:t>their</w:t>
      </w:r>
      <w:r w:rsidR="003D640C">
        <w:rPr>
          <w:lang w:eastAsia="en-NZ"/>
        </w:rPr>
        <w:t xml:space="preserve"> </w:t>
      </w:r>
      <w:r w:rsidRPr="00B1465F">
        <w:rPr>
          <w:lang w:eastAsia="en-NZ"/>
        </w:rPr>
        <w:t>identities</w:t>
      </w:r>
      <w:r w:rsidR="003D640C">
        <w:rPr>
          <w:lang w:eastAsia="en-NZ"/>
        </w:rPr>
        <w:t xml:space="preserve"> </w:t>
      </w:r>
      <w:r w:rsidRPr="00B1465F">
        <w:rPr>
          <w:lang w:eastAsia="en-NZ"/>
        </w:rPr>
        <w:t>and</w:t>
      </w:r>
      <w:r w:rsidR="003D640C">
        <w:rPr>
          <w:lang w:eastAsia="en-NZ"/>
        </w:rPr>
        <w:t xml:space="preserve"> </w:t>
      </w:r>
      <w:r w:rsidRPr="00B1465F">
        <w:rPr>
          <w:lang w:eastAsia="en-NZ"/>
        </w:rPr>
        <w:t>relationships</w:t>
      </w:r>
      <w:r w:rsidR="003D640C">
        <w:rPr>
          <w:lang w:eastAsia="en-NZ"/>
        </w:rPr>
        <w:t xml:space="preserve"> </w:t>
      </w:r>
      <w:r w:rsidRPr="00B1465F">
        <w:rPr>
          <w:lang w:eastAsia="en-NZ"/>
        </w:rPr>
        <w:t>with</w:t>
      </w:r>
      <w:r w:rsidR="003D640C">
        <w:rPr>
          <w:lang w:eastAsia="en-NZ"/>
        </w:rPr>
        <w:t xml:space="preserve"> </w:t>
      </w:r>
      <w:r w:rsidRPr="00B1465F">
        <w:rPr>
          <w:lang w:eastAsia="en-NZ"/>
        </w:rPr>
        <w:t>greater</w:t>
      </w:r>
      <w:r w:rsidR="003D640C">
        <w:rPr>
          <w:lang w:eastAsia="en-NZ"/>
        </w:rPr>
        <w:t xml:space="preserve"> </w:t>
      </w:r>
      <w:r w:rsidRPr="00B1465F">
        <w:rPr>
          <w:lang w:eastAsia="en-NZ"/>
        </w:rPr>
        <w:t>self-acceptance,</w:t>
      </w:r>
      <w:r w:rsidR="003D640C">
        <w:rPr>
          <w:lang w:eastAsia="en-NZ"/>
        </w:rPr>
        <w:t xml:space="preserve"> </w:t>
      </w:r>
      <w:r w:rsidRPr="00B1465F">
        <w:rPr>
          <w:lang w:eastAsia="en-NZ"/>
        </w:rPr>
        <w:t>self-esteem,</w:t>
      </w:r>
      <w:r w:rsidR="003D640C">
        <w:rPr>
          <w:lang w:eastAsia="en-NZ"/>
        </w:rPr>
        <w:t xml:space="preserve"> </w:t>
      </w:r>
      <w:r w:rsidRPr="00B1465F">
        <w:rPr>
          <w:lang w:eastAsia="en-NZ"/>
        </w:rPr>
        <w:t>and</w:t>
      </w:r>
      <w:r w:rsidR="003D640C">
        <w:rPr>
          <w:lang w:eastAsia="en-NZ"/>
        </w:rPr>
        <w:t xml:space="preserve"> </w:t>
      </w:r>
      <w:r w:rsidRPr="00B1465F">
        <w:rPr>
          <w:lang w:eastAsia="en-NZ"/>
        </w:rPr>
        <w:t>resilience.</w:t>
      </w:r>
    </w:p>
    <w:p w14:paraId="345AE647" w14:textId="14CB7C74" w:rsidR="00501068" w:rsidRDefault="002A67E8" w:rsidP="0078026B">
      <w:pPr>
        <w:rPr>
          <w:lang w:eastAsia="en-NZ"/>
        </w:rPr>
      </w:pPr>
      <w:r>
        <w:rPr>
          <w:rStyle w:val="SubtleEmphasis"/>
          <w:b/>
          <w:i w:val="0"/>
          <w:color w:val="000000" w:themeColor="text1"/>
        </w:rPr>
        <w:t>In</w:t>
      </w:r>
      <w:r w:rsidR="003D640C">
        <w:rPr>
          <w:rStyle w:val="SubtleEmphasis"/>
          <w:b/>
          <w:i w:val="0"/>
          <w:color w:val="000000" w:themeColor="text1"/>
        </w:rPr>
        <w:t xml:space="preserve"> </w:t>
      </w:r>
      <w:r>
        <w:rPr>
          <w:rStyle w:val="SubtleEmphasis"/>
          <w:b/>
          <w:i w:val="0"/>
          <w:color w:val="000000" w:themeColor="text1"/>
        </w:rPr>
        <w:t>this</w:t>
      </w:r>
      <w:r w:rsidR="003D640C">
        <w:rPr>
          <w:rStyle w:val="SubtleEmphasis"/>
          <w:b/>
          <w:i w:val="0"/>
          <w:color w:val="000000" w:themeColor="text1"/>
        </w:rPr>
        <w:t xml:space="preserve"> </w:t>
      </w:r>
      <w:r>
        <w:rPr>
          <w:rStyle w:val="SubtleEmphasis"/>
          <w:b/>
          <w:i w:val="0"/>
          <w:color w:val="000000" w:themeColor="text1"/>
        </w:rPr>
        <w:t>world,</w:t>
      </w:r>
      <w:r w:rsidR="003D640C">
        <w:rPr>
          <w:rStyle w:val="SubtleEmphasis"/>
          <w:b/>
          <w:i w:val="0"/>
          <w:color w:val="000000" w:themeColor="text1"/>
        </w:rPr>
        <w:t xml:space="preserve"> </w:t>
      </w:r>
      <w:r>
        <w:rPr>
          <w:rStyle w:val="SubtleEmphasis"/>
          <w:b/>
          <w:i w:val="0"/>
          <w:color w:val="000000" w:themeColor="text1"/>
        </w:rPr>
        <w:t>e</w:t>
      </w:r>
      <w:r w:rsidRPr="00B1465F">
        <w:rPr>
          <w:rStyle w:val="SubtleEmphasis"/>
          <w:b/>
          <w:i w:val="0"/>
          <w:color w:val="000000" w:themeColor="text1"/>
        </w:rPr>
        <w:t>ducation</w:t>
      </w:r>
      <w:r w:rsidR="003D640C">
        <w:rPr>
          <w:rStyle w:val="SubtleEmphasis"/>
          <w:b/>
          <w:i w:val="0"/>
          <w:color w:val="000000" w:themeColor="text1"/>
        </w:rPr>
        <w:t xml:space="preserve"> </w:t>
      </w:r>
      <w:r w:rsidRPr="00B1465F">
        <w:rPr>
          <w:rStyle w:val="SubtleEmphasis"/>
          <w:b/>
          <w:i w:val="0"/>
          <w:color w:val="000000" w:themeColor="text1"/>
        </w:rPr>
        <w:t>is</w:t>
      </w:r>
      <w:r w:rsidR="003D640C">
        <w:rPr>
          <w:rStyle w:val="SubtleEmphasis"/>
          <w:b/>
          <w:i w:val="0"/>
          <w:color w:val="000000" w:themeColor="text1"/>
        </w:rPr>
        <w:t xml:space="preserve"> </w:t>
      </w:r>
      <w:r w:rsidRPr="00B1465F">
        <w:rPr>
          <w:rStyle w:val="SubtleEmphasis"/>
          <w:b/>
          <w:i w:val="0"/>
          <w:color w:val="000000" w:themeColor="text1"/>
        </w:rPr>
        <w:t>inclusive</w:t>
      </w:r>
      <w:r w:rsidR="003D640C">
        <w:rPr>
          <w:rStyle w:val="SubtleEmphasis"/>
          <w:b/>
          <w:i w:val="0"/>
          <w:color w:val="000000" w:themeColor="text1"/>
        </w:rPr>
        <w:t xml:space="preserve"> </w:t>
      </w:r>
      <w:r w:rsidRPr="00B1465F">
        <w:rPr>
          <w:rStyle w:val="SubtleEmphasis"/>
          <w:b/>
          <w:i w:val="0"/>
          <w:color w:val="000000" w:themeColor="text1"/>
        </w:rPr>
        <w:t>and</w:t>
      </w:r>
      <w:r w:rsidR="003D640C">
        <w:rPr>
          <w:rStyle w:val="SubtleEmphasis"/>
          <w:b/>
          <w:i w:val="0"/>
          <w:color w:val="000000" w:themeColor="text1"/>
        </w:rPr>
        <w:t xml:space="preserve"> </w:t>
      </w:r>
      <w:r w:rsidRPr="00B1465F">
        <w:rPr>
          <w:rStyle w:val="SubtleEmphasis"/>
          <w:b/>
          <w:i w:val="0"/>
          <w:color w:val="000000" w:themeColor="text1"/>
        </w:rPr>
        <w:t>evidence-based</w:t>
      </w:r>
      <w:r w:rsidR="003D640C">
        <w:rPr>
          <w:lang w:eastAsia="en-NZ"/>
        </w:rPr>
        <w:t xml:space="preserve"> </w:t>
      </w:r>
      <w:r w:rsidRPr="00B1465F">
        <w:rPr>
          <w:lang w:eastAsia="en-NZ"/>
        </w:rPr>
        <w:t>with</w:t>
      </w:r>
      <w:r w:rsidR="003D640C">
        <w:rPr>
          <w:lang w:eastAsia="en-NZ"/>
        </w:rPr>
        <w:t xml:space="preserve"> </w:t>
      </w:r>
      <w:r w:rsidRPr="00B1465F">
        <w:rPr>
          <w:lang w:eastAsia="en-NZ"/>
        </w:rPr>
        <w:t>schools</w:t>
      </w:r>
      <w:r w:rsidR="003D640C">
        <w:rPr>
          <w:lang w:eastAsia="en-NZ"/>
        </w:rPr>
        <w:t xml:space="preserve"> </w:t>
      </w:r>
      <w:r w:rsidRPr="00B1465F">
        <w:rPr>
          <w:lang w:eastAsia="en-NZ"/>
        </w:rPr>
        <w:t>providing</w:t>
      </w:r>
      <w:r w:rsidR="003D640C">
        <w:rPr>
          <w:lang w:eastAsia="en-NZ"/>
        </w:rPr>
        <w:t xml:space="preserve"> </w:t>
      </w:r>
      <w:r w:rsidRPr="00B1465F">
        <w:rPr>
          <w:lang w:eastAsia="en-NZ"/>
        </w:rPr>
        <w:t>comprehensive</w:t>
      </w:r>
      <w:r w:rsidR="003D640C">
        <w:rPr>
          <w:lang w:eastAsia="en-NZ"/>
        </w:rPr>
        <w:t xml:space="preserve"> </w:t>
      </w:r>
      <w:r w:rsidRPr="00B1465F">
        <w:rPr>
          <w:lang w:eastAsia="en-NZ"/>
        </w:rPr>
        <w:t>and</w:t>
      </w:r>
      <w:r w:rsidR="003D640C">
        <w:rPr>
          <w:lang w:eastAsia="en-NZ"/>
        </w:rPr>
        <w:t xml:space="preserve"> </w:t>
      </w:r>
      <w:r w:rsidRPr="00B1465F">
        <w:rPr>
          <w:lang w:eastAsia="en-NZ"/>
        </w:rPr>
        <w:t>inclusive</w:t>
      </w:r>
      <w:r w:rsidR="003D640C">
        <w:rPr>
          <w:lang w:eastAsia="en-NZ"/>
        </w:rPr>
        <w:t xml:space="preserve"> </w:t>
      </w:r>
      <w:r w:rsidRPr="00B1465F">
        <w:rPr>
          <w:lang w:eastAsia="en-NZ"/>
        </w:rPr>
        <w:t>education</w:t>
      </w:r>
      <w:r w:rsidR="003D640C">
        <w:rPr>
          <w:lang w:eastAsia="en-NZ"/>
        </w:rPr>
        <w:t xml:space="preserve"> </w:t>
      </w:r>
      <w:r w:rsidRPr="00B1465F">
        <w:rPr>
          <w:lang w:eastAsia="en-NZ"/>
        </w:rPr>
        <w:t>that</w:t>
      </w:r>
      <w:r w:rsidR="003D640C">
        <w:rPr>
          <w:lang w:eastAsia="en-NZ"/>
        </w:rPr>
        <w:t xml:space="preserve"> </w:t>
      </w:r>
      <w:r w:rsidRPr="00B1465F">
        <w:rPr>
          <w:lang w:eastAsia="en-NZ"/>
        </w:rPr>
        <w:t>covers</w:t>
      </w:r>
      <w:r w:rsidR="003D640C">
        <w:rPr>
          <w:lang w:eastAsia="en-NZ"/>
        </w:rPr>
        <w:t xml:space="preserve"> </w:t>
      </w:r>
      <w:r w:rsidRPr="00B1465F">
        <w:rPr>
          <w:lang w:eastAsia="en-NZ"/>
        </w:rPr>
        <w:t>diverse</w:t>
      </w:r>
      <w:r w:rsidR="003D640C">
        <w:rPr>
          <w:lang w:eastAsia="en-NZ"/>
        </w:rPr>
        <w:t xml:space="preserve"> </w:t>
      </w:r>
      <w:r w:rsidRPr="00B1465F">
        <w:rPr>
          <w:lang w:eastAsia="en-NZ"/>
        </w:rPr>
        <w:t>sexual</w:t>
      </w:r>
      <w:r w:rsidR="003D640C">
        <w:rPr>
          <w:lang w:eastAsia="en-NZ"/>
        </w:rPr>
        <w:t xml:space="preserve"> </w:t>
      </w:r>
      <w:r w:rsidRPr="00B1465F">
        <w:rPr>
          <w:lang w:eastAsia="en-NZ"/>
        </w:rPr>
        <w:t>orientations</w:t>
      </w:r>
      <w:r w:rsidR="003D640C">
        <w:rPr>
          <w:lang w:eastAsia="en-NZ"/>
        </w:rPr>
        <w:t xml:space="preserve"> </w:t>
      </w:r>
      <w:r w:rsidRPr="00B1465F">
        <w:rPr>
          <w:lang w:eastAsia="en-NZ"/>
        </w:rPr>
        <w:t>and</w:t>
      </w:r>
      <w:r w:rsidR="003D640C">
        <w:rPr>
          <w:lang w:eastAsia="en-NZ"/>
        </w:rPr>
        <w:t xml:space="preserve"> </w:t>
      </w:r>
      <w:r w:rsidRPr="00B1465F">
        <w:rPr>
          <w:lang w:eastAsia="en-NZ"/>
        </w:rPr>
        <w:t>gender</w:t>
      </w:r>
      <w:r w:rsidR="003D640C">
        <w:rPr>
          <w:lang w:eastAsia="en-NZ"/>
        </w:rPr>
        <w:t xml:space="preserve"> </w:t>
      </w:r>
      <w:r w:rsidRPr="00B1465F">
        <w:rPr>
          <w:lang w:eastAsia="en-NZ"/>
        </w:rPr>
        <w:t>identities,</w:t>
      </w:r>
      <w:r w:rsidR="003D640C">
        <w:rPr>
          <w:lang w:eastAsia="en-NZ"/>
        </w:rPr>
        <w:t xml:space="preserve"> </w:t>
      </w:r>
      <w:r w:rsidRPr="00B1465F">
        <w:rPr>
          <w:lang w:eastAsia="en-NZ"/>
        </w:rPr>
        <w:t>including</w:t>
      </w:r>
      <w:r w:rsidR="003D640C">
        <w:rPr>
          <w:lang w:eastAsia="en-NZ"/>
        </w:rPr>
        <w:t xml:space="preserve"> </w:t>
      </w:r>
      <w:r w:rsidRPr="00B1465F">
        <w:rPr>
          <w:lang w:eastAsia="en-NZ"/>
        </w:rPr>
        <w:t>across</w:t>
      </w:r>
      <w:r w:rsidR="003D640C">
        <w:rPr>
          <w:lang w:eastAsia="en-NZ"/>
        </w:rPr>
        <w:t xml:space="preserve"> </w:t>
      </w:r>
      <w:r w:rsidRPr="00B1465F">
        <w:rPr>
          <w:lang w:eastAsia="en-NZ"/>
        </w:rPr>
        <w:t>M</w:t>
      </w:r>
      <w:r w:rsidRPr="00B1465F">
        <w:rPr>
          <w:lang w:val="mi-NZ" w:eastAsia="en-NZ"/>
        </w:rPr>
        <w:t>āori,</w:t>
      </w:r>
      <w:r w:rsidR="003D640C">
        <w:rPr>
          <w:lang w:val="mi-NZ" w:eastAsia="en-NZ"/>
        </w:rPr>
        <w:t xml:space="preserve"> </w:t>
      </w:r>
      <w:r w:rsidRPr="00B1465F">
        <w:rPr>
          <w:lang w:val="mi-NZ" w:eastAsia="en-NZ"/>
        </w:rPr>
        <w:t>Pacific,</w:t>
      </w:r>
      <w:r w:rsidR="003D640C">
        <w:rPr>
          <w:lang w:val="mi-NZ" w:eastAsia="en-NZ"/>
        </w:rPr>
        <w:t xml:space="preserve"> </w:t>
      </w:r>
      <w:r w:rsidRPr="00B1465F">
        <w:rPr>
          <w:lang w:val="mi-NZ" w:eastAsia="en-NZ"/>
        </w:rPr>
        <w:t>and</w:t>
      </w:r>
      <w:r w:rsidR="003D640C">
        <w:rPr>
          <w:lang w:val="mi-NZ" w:eastAsia="en-NZ"/>
        </w:rPr>
        <w:t xml:space="preserve"> </w:t>
      </w:r>
      <w:r w:rsidRPr="00B1465F">
        <w:rPr>
          <w:lang w:val="mi-NZ" w:eastAsia="en-NZ"/>
        </w:rPr>
        <w:t>ethnic</w:t>
      </w:r>
      <w:r w:rsidR="003D640C">
        <w:rPr>
          <w:lang w:val="mi-NZ" w:eastAsia="en-NZ"/>
        </w:rPr>
        <w:t xml:space="preserve"> </w:t>
      </w:r>
      <w:r w:rsidRPr="00B1465F">
        <w:rPr>
          <w:lang w:val="mi-NZ" w:eastAsia="en-NZ"/>
        </w:rPr>
        <w:t>cultures</w:t>
      </w:r>
      <w:r w:rsidRPr="00B1465F">
        <w:rPr>
          <w:lang w:eastAsia="en-NZ"/>
        </w:rPr>
        <w:t>.</w:t>
      </w:r>
      <w:r w:rsidR="003D640C">
        <w:rPr>
          <w:lang w:eastAsia="en-NZ"/>
        </w:rPr>
        <w:t xml:space="preserve"> </w:t>
      </w:r>
      <w:r w:rsidRPr="00B1465F">
        <w:rPr>
          <w:lang w:eastAsia="en-NZ"/>
        </w:rPr>
        <w:t>Students</w:t>
      </w:r>
      <w:r w:rsidR="003D640C">
        <w:rPr>
          <w:lang w:eastAsia="en-NZ"/>
        </w:rPr>
        <w:t xml:space="preserve"> </w:t>
      </w:r>
      <w:r w:rsidRPr="00B1465F">
        <w:rPr>
          <w:lang w:eastAsia="en-NZ"/>
        </w:rPr>
        <w:t>would</w:t>
      </w:r>
      <w:r w:rsidR="003D640C">
        <w:rPr>
          <w:lang w:eastAsia="en-NZ"/>
        </w:rPr>
        <w:t xml:space="preserve"> </w:t>
      </w:r>
      <w:r w:rsidRPr="00B1465F">
        <w:rPr>
          <w:lang w:eastAsia="en-NZ"/>
        </w:rPr>
        <w:t>receive</w:t>
      </w:r>
      <w:r w:rsidR="003D640C">
        <w:rPr>
          <w:lang w:eastAsia="en-NZ"/>
        </w:rPr>
        <w:t xml:space="preserve"> </w:t>
      </w:r>
      <w:r w:rsidRPr="00B1465F">
        <w:rPr>
          <w:lang w:eastAsia="en-NZ"/>
        </w:rPr>
        <w:t>accurate</w:t>
      </w:r>
      <w:r w:rsidR="003D640C">
        <w:rPr>
          <w:lang w:eastAsia="en-NZ"/>
        </w:rPr>
        <w:t xml:space="preserve"> </w:t>
      </w:r>
      <w:r w:rsidRPr="00B1465F">
        <w:rPr>
          <w:lang w:eastAsia="en-NZ"/>
        </w:rPr>
        <w:t>information,</w:t>
      </w:r>
      <w:r w:rsidR="003D640C">
        <w:rPr>
          <w:lang w:eastAsia="en-NZ"/>
        </w:rPr>
        <w:t xml:space="preserve"> </w:t>
      </w:r>
      <w:r w:rsidRPr="00B1465F">
        <w:rPr>
          <w:lang w:eastAsia="en-NZ"/>
        </w:rPr>
        <w:t>learn</w:t>
      </w:r>
      <w:r w:rsidR="003D640C">
        <w:rPr>
          <w:lang w:eastAsia="en-NZ"/>
        </w:rPr>
        <w:t xml:space="preserve"> </w:t>
      </w:r>
      <w:r w:rsidRPr="00B1465F">
        <w:rPr>
          <w:lang w:eastAsia="en-NZ"/>
        </w:rPr>
        <w:t>about</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234A6F" w:rsidRPr="00234A6F">
        <w:rPr>
          <w:lang w:eastAsia="en-NZ"/>
        </w:rPr>
        <w:t xml:space="preserve"> </w:t>
      </w:r>
      <w:r w:rsidR="00234A6F">
        <w:rPr>
          <w:lang w:eastAsia="en-NZ"/>
        </w:rPr>
        <w:t>peoples</w:t>
      </w:r>
      <w:r w:rsidRPr="00B1465F">
        <w:rPr>
          <w:lang w:eastAsia="en-NZ"/>
        </w:rPr>
        <w:t>,</w:t>
      </w:r>
      <w:r w:rsidR="003D640C">
        <w:rPr>
          <w:lang w:eastAsia="en-NZ"/>
        </w:rPr>
        <w:t xml:space="preserve"> </w:t>
      </w:r>
      <w:r w:rsidRPr="00B1465F">
        <w:rPr>
          <w:lang w:eastAsia="en-NZ"/>
        </w:rPr>
        <w:t>and</w:t>
      </w:r>
      <w:r w:rsidR="003D640C">
        <w:rPr>
          <w:lang w:eastAsia="en-NZ"/>
        </w:rPr>
        <w:t xml:space="preserve"> </w:t>
      </w:r>
      <w:r w:rsidRPr="00BB6220">
        <w:rPr>
          <w:lang w:eastAsia="en-NZ"/>
        </w:rPr>
        <w:t>Rainbow</w:t>
      </w:r>
      <w:r w:rsidR="003D640C">
        <w:rPr>
          <w:lang w:eastAsia="en-NZ"/>
        </w:rPr>
        <w:t xml:space="preserve"> </w:t>
      </w:r>
      <w:r w:rsidRPr="00B1465F">
        <w:rPr>
          <w:lang w:eastAsia="en-NZ"/>
        </w:rPr>
        <w:t>history</w:t>
      </w:r>
      <w:r w:rsidR="003D640C">
        <w:rPr>
          <w:lang w:eastAsia="en-NZ"/>
        </w:rPr>
        <w:t xml:space="preserve"> </w:t>
      </w:r>
      <w:r w:rsidRPr="00B1465F">
        <w:rPr>
          <w:lang w:eastAsia="en-NZ"/>
        </w:rPr>
        <w:t>and</w:t>
      </w:r>
      <w:r w:rsidR="003D640C">
        <w:rPr>
          <w:lang w:eastAsia="en-NZ"/>
        </w:rPr>
        <w:t xml:space="preserve"> </w:t>
      </w:r>
      <w:r w:rsidRPr="00B1465F">
        <w:rPr>
          <w:lang w:eastAsia="en-NZ"/>
        </w:rPr>
        <w:t>contributions</w:t>
      </w:r>
      <w:r w:rsidR="0096048E">
        <w:rPr>
          <w:lang w:eastAsia="en-NZ"/>
        </w:rPr>
        <w:t>,</w:t>
      </w:r>
      <w:r w:rsidR="003D640C">
        <w:rPr>
          <w:lang w:eastAsia="en-NZ"/>
        </w:rPr>
        <w:t xml:space="preserve"> </w:t>
      </w:r>
      <w:r w:rsidRPr="00B1465F">
        <w:rPr>
          <w:lang w:eastAsia="en-NZ"/>
        </w:rPr>
        <w:t>and</w:t>
      </w:r>
      <w:r w:rsidR="003D640C">
        <w:rPr>
          <w:lang w:eastAsia="en-NZ"/>
        </w:rPr>
        <w:t xml:space="preserve"> </w:t>
      </w:r>
      <w:r w:rsidRPr="00B1465F">
        <w:rPr>
          <w:lang w:eastAsia="en-NZ"/>
        </w:rPr>
        <w:t>cultivate</w:t>
      </w:r>
      <w:r w:rsidR="003D640C">
        <w:rPr>
          <w:lang w:eastAsia="en-NZ"/>
        </w:rPr>
        <w:t xml:space="preserve"> </w:t>
      </w:r>
      <w:r w:rsidRPr="00B1465F">
        <w:rPr>
          <w:lang w:eastAsia="en-NZ"/>
        </w:rPr>
        <w:t>empathy</w:t>
      </w:r>
      <w:r w:rsidR="003D640C">
        <w:rPr>
          <w:lang w:eastAsia="en-NZ"/>
        </w:rPr>
        <w:t xml:space="preserve"> </w:t>
      </w:r>
      <w:r w:rsidRPr="00B1465F">
        <w:rPr>
          <w:lang w:eastAsia="en-NZ"/>
        </w:rPr>
        <w:t>and</w:t>
      </w:r>
      <w:r w:rsidR="003D640C">
        <w:rPr>
          <w:lang w:eastAsia="en-NZ"/>
        </w:rPr>
        <w:t xml:space="preserve"> </w:t>
      </w:r>
      <w:r w:rsidRPr="00B1465F">
        <w:rPr>
          <w:lang w:eastAsia="en-NZ"/>
        </w:rPr>
        <w:t>respect</w:t>
      </w:r>
      <w:r w:rsidR="003D640C">
        <w:rPr>
          <w:lang w:eastAsia="en-NZ"/>
        </w:rPr>
        <w:t xml:space="preserve"> </w:t>
      </w:r>
      <w:r w:rsidRPr="00B1465F">
        <w:rPr>
          <w:lang w:eastAsia="en-NZ"/>
        </w:rPr>
        <w:t>for</w:t>
      </w:r>
      <w:r w:rsidR="003D640C">
        <w:rPr>
          <w:lang w:eastAsia="en-NZ"/>
        </w:rPr>
        <w:t xml:space="preserve"> </w:t>
      </w:r>
      <w:r w:rsidRPr="00B1465F">
        <w:rPr>
          <w:lang w:eastAsia="en-NZ"/>
        </w:rPr>
        <w:t>all</w:t>
      </w:r>
      <w:r w:rsidR="003D640C">
        <w:rPr>
          <w:lang w:eastAsia="en-NZ"/>
        </w:rPr>
        <w:t xml:space="preserve"> </w:t>
      </w:r>
      <w:r w:rsidRPr="00B1465F">
        <w:rPr>
          <w:lang w:eastAsia="en-NZ"/>
        </w:rPr>
        <w:t>people.</w:t>
      </w:r>
    </w:p>
    <w:p w14:paraId="3E0F528E" w14:textId="77F1B672" w:rsidR="00501068" w:rsidRDefault="002A67E8" w:rsidP="0078026B">
      <w:pPr>
        <w:rPr>
          <w:lang w:eastAsia="en-NZ"/>
        </w:rPr>
      </w:pPr>
      <w:r>
        <w:rPr>
          <w:rStyle w:val="SubtleEmphasis"/>
          <w:b/>
          <w:i w:val="0"/>
          <w:iCs w:val="0"/>
          <w:color w:val="000000" w:themeColor="text1"/>
        </w:rPr>
        <w:t>In</w:t>
      </w:r>
      <w:r w:rsidR="003D640C">
        <w:rPr>
          <w:rStyle w:val="SubtleEmphasis"/>
          <w:b/>
          <w:i w:val="0"/>
          <w:iCs w:val="0"/>
          <w:color w:val="000000" w:themeColor="text1"/>
        </w:rPr>
        <w:t xml:space="preserve"> </w:t>
      </w:r>
      <w:r>
        <w:rPr>
          <w:rStyle w:val="SubtleEmphasis"/>
          <w:b/>
          <w:i w:val="0"/>
          <w:iCs w:val="0"/>
          <w:color w:val="000000" w:themeColor="text1"/>
        </w:rPr>
        <w:t>this</w:t>
      </w:r>
      <w:r w:rsidR="003D640C">
        <w:rPr>
          <w:rStyle w:val="SubtleEmphasis"/>
          <w:b/>
          <w:i w:val="0"/>
          <w:iCs w:val="0"/>
          <w:color w:val="000000" w:themeColor="text1"/>
        </w:rPr>
        <w:t xml:space="preserve"> </w:t>
      </w:r>
      <w:r>
        <w:rPr>
          <w:rStyle w:val="SubtleEmphasis"/>
          <w:b/>
          <w:i w:val="0"/>
          <w:iCs w:val="0"/>
          <w:color w:val="000000" w:themeColor="text1"/>
        </w:rPr>
        <w:t>world,</w:t>
      </w:r>
      <w:r w:rsidR="003D640C">
        <w:rPr>
          <w:rStyle w:val="SubtleEmphasis"/>
          <w:b/>
          <w:i w:val="0"/>
          <w:iCs w:val="0"/>
          <w:color w:val="000000" w:themeColor="text1"/>
        </w:rPr>
        <w:t xml:space="preserve"> </w:t>
      </w:r>
      <w:r w:rsidRPr="00BB6220">
        <w:rPr>
          <w:rStyle w:val="SubtleEmphasis"/>
          <w:b/>
          <w:i w:val="0"/>
          <w:iCs w:val="0"/>
          <w:color w:val="000000" w:themeColor="text1"/>
        </w:rPr>
        <w:t>Rainbow</w:t>
      </w:r>
      <w:r w:rsidR="003D640C">
        <w:rPr>
          <w:rStyle w:val="SubtleEmphasis"/>
          <w:b/>
          <w:i w:val="0"/>
          <w:iCs w:val="0"/>
          <w:color w:val="000000" w:themeColor="text1"/>
        </w:rPr>
        <w:t xml:space="preserve"> </w:t>
      </w:r>
      <w:r w:rsidRPr="00B1465F">
        <w:rPr>
          <w:rStyle w:val="SubtleEmphasis"/>
          <w:b/>
          <w:i w:val="0"/>
          <w:iCs w:val="0"/>
          <w:color w:val="000000" w:themeColor="text1"/>
        </w:rPr>
        <w:t>people</w:t>
      </w:r>
      <w:r w:rsidR="003D640C">
        <w:rPr>
          <w:rStyle w:val="SubtleEmphasis"/>
          <w:b/>
          <w:i w:val="0"/>
          <w:iCs w:val="0"/>
          <w:color w:val="000000" w:themeColor="text1"/>
        </w:rPr>
        <w:t xml:space="preserve"> </w:t>
      </w:r>
      <w:r w:rsidRPr="00B1465F">
        <w:rPr>
          <w:rStyle w:val="SubtleEmphasis"/>
          <w:b/>
          <w:i w:val="0"/>
          <w:iCs w:val="0"/>
          <w:color w:val="000000" w:themeColor="text1"/>
        </w:rPr>
        <w:t>are</w:t>
      </w:r>
      <w:r w:rsidR="003D640C">
        <w:rPr>
          <w:rStyle w:val="SubtleEmphasis"/>
          <w:b/>
          <w:i w:val="0"/>
          <w:iCs w:val="0"/>
          <w:color w:val="000000" w:themeColor="text1"/>
        </w:rPr>
        <w:t xml:space="preserve"> </w:t>
      </w:r>
      <w:r w:rsidRPr="00B1465F">
        <w:rPr>
          <w:rStyle w:val="SubtleEmphasis"/>
          <w:b/>
          <w:i w:val="0"/>
          <w:color w:val="000000" w:themeColor="text1"/>
        </w:rPr>
        <w:t>represented</w:t>
      </w:r>
      <w:r w:rsidR="003D640C">
        <w:rPr>
          <w:rStyle w:val="SubtleEmphasis"/>
          <w:b/>
          <w:i w:val="0"/>
          <w:iCs w:val="0"/>
          <w:color w:val="000000" w:themeColor="text1"/>
        </w:rPr>
        <w:t xml:space="preserve"> </w:t>
      </w:r>
      <w:r w:rsidRPr="00B1465F">
        <w:rPr>
          <w:rStyle w:val="SubtleEmphasis"/>
          <w:b/>
          <w:i w:val="0"/>
          <w:iCs w:val="0"/>
          <w:color w:val="000000" w:themeColor="text1"/>
        </w:rPr>
        <w:t>positively</w:t>
      </w:r>
      <w:r w:rsidR="003D640C">
        <w:rPr>
          <w:rStyle w:val="SubtleEmphasis"/>
          <w:b/>
          <w:i w:val="0"/>
          <w:iCs w:val="0"/>
          <w:color w:val="000000" w:themeColor="text1"/>
        </w:rPr>
        <w:t xml:space="preserve"> </w:t>
      </w:r>
      <w:r w:rsidRPr="00B1465F">
        <w:rPr>
          <w:rStyle w:val="SubtleEmphasis"/>
          <w:b/>
          <w:i w:val="0"/>
          <w:iCs w:val="0"/>
          <w:color w:val="000000" w:themeColor="text1"/>
        </w:rPr>
        <w:t>in</w:t>
      </w:r>
      <w:r w:rsidR="003D640C">
        <w:rPr>
          <w:rStyle w:val="SubtleEmphasis"/>
          <w:b/>
          <w:i w:val="0"/>
          <w:iCs w:val="0"/>
          <w:color w:val="000000" w:themeColor="text1"/>
        </w:rPr>
        <w:t xml:space="preserve"> </w:t>
      </w:r>
      <w:r w:rsidRPr="00B1465F">
        <w:rPr>
          <w:rStyle w:val="SubtleEmphasis"/>
          <w:b/>
          <w:i w:val="0"/>
          <w:color w:val="000000" w:themeColor="text1"/>
        </w:rPr>
        <w:t>society</w:t>
      </w:r>
      <w:r w:rsidR="003D640C">
        <w:rPr>
          <w:rStyle w:val="SubtleEmphasis"/>
          <w:b/>
          <w:i w:val="0"/>
          <w:color w:val="000000" w:themeColor="text1"/>
        </w:rPr>
        <w:t xml:space="preserve"> </w:t>
      </w:r>
      <w:r w:rsidRPr="00B1465F">
        <w:rPr>
          <w:rStyle w:val="SubtleEmphasis"/>
          <w:bCs/>
          <w:i w:val="0"/>
          <w:iCs w:val="0"/>
          <w:color w:val="000000" w:themeColor="text1"/>
        </w:rPr>
        <w:t>with</w:t>
      </w:r>
      <w:r w:rsidR="003D640C">
        <w:rPr>
          <w:rStyle w:val="SubtleEmphasis"/>
          <w:bCs/>
          <w:i w:val="0"/>
          <w:iCs w:val="0"/>
          <w:color w:val="000000" w:themeColor="text1"/>
        </w:rPr>
        <w:t xml:space="preserve"> </w:t>
      </w:r>
      <w:r w:rsidRPr="00B1465F">
        <w:rPr>
          <w:lang w:eastAsia="en-NZ"/>
        </w:rPr>
        <w:t>media,</w:t>
      </w:r>
      <w:r w:rsidR="003D640C">
        <w:rPr>
          <w:lang w:eastAsia="en-NZ"/>
        </w:rPr>
        <w:t xml:space="preserve"> </w:t>
      </w:r>
      <w:r w:rsidRPr="00B1465F">
        <w:rPr>
          <w:lang w:eastAsia="en-NZ"/>
        </w:rPr>
        <w:t>entertainment,</w:t>
      </w:r>
      <w:r w:rsidR="003D640C">
        <w:rPr>
          <w:lang w:eastAsia="en-NZ"/>
        </w:rPr>
        <w:t xml:space="preserve"> </w:t>
      </w:r>
      <w:r w:rsidRPr="00B1465F">
        <w:rPr>
          <w:lang w:eastAsia="en-NZ"/>
        </w:rPr>
        <w:t>and</w:t>
      </w:r>
      <w:r w:rsidR="003D640C">
        <w:rPr>
          <w:lang w:eastAsia="en-NZ"/>
        </w:rPr>
        <w:t xml:space="preserve"> </w:t>
      </w:r>
      <w:r w:rsidRPr="00B1465F">
        <w:rPr>
          <w:lang w:eastAsia="en-NZ"/>
        </w:rPr>
        <w:t>other</w:t>
      </w:r>
      <w:r w:rsidR="003D640C">
        <w:rPr>
          <w:lang w:eastAsia="en-NZ"/>
        </w:rPr>
        <w:t xml:space="preserve"> </w:t>
      </w:r>
      <w:r w:rsidRPr="00B1465F">
        <w:rPr>
          <w:lang w:eastAsia="en-NZ"/>
        </w:rPr>
        <w:t>cultural</w:t>
      </w:r>
      <w:r w:rsidR="003D640C">
        <w:rPr>
          <w:lang w:eastAsia="en-NZ"/>
        </w:rPr>
        <w:t xml:space="preserve"> </w:t>
      </w:r>
      <w:r w:rsidRPr="00B1465F">
        <w:rPr>
          <w:lang w:eastAsia="en-NZ"/>
        </w:rPr>
        <w:t>platforms</w:t>
      </w:r>
      <w:r w:rsidR="003D640C">
        <w:rPr>
          <w:lang w:eastAsia="en-NZ"/>
        </w:rPr>
        <w:t xml:space="preserve"> </w:t>
      </w:r>
      <w:r w:rsidRPr="00B1465F">
        <w:rPr>
          <w:lang w:eastAsia="en-NZ"/>
        </w:rPr>
        <w:t>featuring</w:t>
      </w:r>
      <w:r w:rsidR="003D640C">
        <w:rPr>
          <w:lang w:eastAsia="en-NZ"/>
        </w:rPr>
        <w:t xml:space="preserve"> </w:t>
      </w:r>
      <w:r w:rsidRPr="00B1465F">
        <w:rPr>
          <w:lang w:eastAsia="en-NZ"/>
        </w:rPr>
        <w:t>authentic</w:t>
      </w:r>
      <w:r w:rsidR="003D640C">
        <w:rPr>
          <w:lang w:eastAsia="en-NZ"/>
        </w:rPr>
        <w:t xml:space="preserve"> </w:t>
      </w:r>
      <w:r w:rsidRPr="00B1465F">
        <w:rPr>
          <w:lang w:eastAsia="en-NZ"/>
        </w:rPr>
        <w:t>representations</w:t>
      </w:r>
      <w:r w:rsidR="003D640C">
        <w:rPr>
          <w:lang w:eastAsia="en-NZ"/>
        </w:rPr>
        <w:t xml:space="preserve"> </w:t>
      </w:r>
      <w:r w:rsidRPr="00B1465F">
        <w:rPr>
          <w:lang w:eastAsia="en-NZ"/>
        </w:rPr>
        <w:t>of</w:t>
      </w:r>
      <w:r w:rsidR="003D640C">
        <w:rPr>
          <w:lang w:eastAsia="en-NZ"/>
        </w:rPr>
        <w:t xml:space="preserve"> </w:t>
      </w:r>
      <w:r w:rsidRPr="00B1465F">
        <w:rPr>
          <w:lang w:eastAsia="en-NZ"/>
        </w:rPr>
        <w:t>takatāpui,</w:t>
      </w:r>
      <w:r w:rsidR="003D640C">
        <w:rPr>
          <w:lang w:eastAsia="en-NZ"/>
        </w:rPr>
        <w:t xml:space="preserve"> </w:t>
      </w:r>
      <w:r w:rsidRPr="00B1465F">
        <w:rPr>
          <w:lang w:eastAsia="en-NZ"/>
        </w:rPr>
        <w:t>MVPFAFF+</w:t>
      </w:r>
      <w:r w:rsidR="003D640C">
        <w:rPr>
          <w:lang w:eastAsia="en-NZ"/>
        </w:rPr>
        <w:t xml:space="preserve"> </w:t>
      </w:r>
      <w:r w:rsidRPr="00B1465F">
        <w:rPr>
          <w:lang w:eastAsia="en-NZ"/>
        </w:rPr>
        <w:t>Pacific</w:t>
      </w:r>
      <w:r w:rsidR="00234A6F">
        <w:rPr>
          <w:lang w:eastAsia="en-NZ"/>
        </w:rPr>
        <w:t xml:space="preserve"> peoples</w:t>
      </w:r>
      <w:r w:rsidRPr="00B1465F">
        <w:rPr>
          <w:lang w:eastAsia="en-NZ"/>
        </w:rPr>
        <w:t>,</w:t>
      </w:r>
      <w:r w:rsidR="003D640C">
        <w:rPr>
          <w:lang w:eastAsia="en-NZ"/>
        </w:rPr>
        <w:t xml:space="preserve"> </w:t>
      </w:r>
      <w:r w:rsidRPr="00B1465F">
        <w:rPr>
          <w:lang w:eastAsia="en-NZ"/>
        </w:rPr>
        <w:t>and</w:t>
      </w:r>
      <w:r w:rsidR="003D640C">
        <w:rPr>
          <w:lang w:eastAsia="en-NZ"/>
        </w:rPr>
        <w:t xml:space="preserve"> </w:t>
      </w:r>
      <w:r w:rsidRPr="00BB6220">
        <w:rPr>
          <w:lang w:eastAsia="en-NZ"/>
        </w:rPr>
        <w:t>Rainbow</w:t>
      </w:r>
      <w:r w:rsidR="003D640C">
        <w:rPr>
          <w:lang w:eastAsia="en-NZ"/>
        </w:rPr>
        <w:t xml:space="preserve"> </w:t>
      </w:r>
      <w:r w:rsidRPr="00B1465F">
        <w:rPr>
          <w:lang w:eastAsia="en-NZ"/>
        </w:rPr>
        <w:t>people.</w:t>
      </w:r>
      <w:r w:rsidR="003D640C">
        <w:rPr>
          <w:lang w:eastAsia="en-NZ"/>
        </w:rPr>
        <w:t xml:space="preserve"> </w:t>
      </w:r>
      <w:r w:rsidRPr="00B1465F">
        <w:rPr>
          <w:lang w:eastAsia="en-NZ"/>
        </w:rPr>
        <w:t>Their</w:t>
      </w:r>
      <w:r w:rsidR="003D640C">
        <w:rPr>
          <w:lang w:eastAsia="en-NZ"/>
        </w:rPr>
        <w:t xml:space="preserve"> </w:t>
      </w:r>
      <w:r w:rsidRPr="00B1465F">
        <w:rPr>
          <w:lang w:eastAsia="en-NZ"/>
        </w:rPr>
        <w:t>stories</w:t>
      </w:r>
      <w:r w:rsidR="003D640C">
        <w:rPr>
          <w:lang w:eastAsia="en-NZ"/>
        </w:rPr>
        <w:t xml:space="preserve"> </w:t>
      </w:r>
      <w:r w:rsidRPr="00B1465F">
        <w:rPr>
          <w:lang w:eastAsia="en-NZ"/>
        </w:rPr>
        <w:t>would</w:t>
      </w:r>
      <w:r w:rsidR="003D640C">
        <w:rPr>
          <w:lang w:eastAsia="en-NZ"/>
        </w:rPr>
        <w:t xml:space="preserve"> </w:t>
      </w:r>
      <w:r w:rsidRPr="00B1465F">
        <w:rPr>
          <w:lang w:eastAsia="en-NZ"/>
        </w:rPr>
        <w:t>be</w:t>
      </w:r>
      <w:r w:rsidR="003D640C">
        <w:rPr>
          <w:lang w:eastAsia="en-NZ"/>
        </w:rPr>
        <w:t xml:space="preserve"> </w:t>
      </w:r>
      <w:r w:rsidRPr="00B1465F">
        <w:rPr>
          <w:lang w:eastAsia="en-NZ"/>
        </w:rPr>
        <w:t>told</w:t>
      </w:r>
      <w:r w:rsidR="003D640C">
        <w:rPr>
          <w:lang w:eastAsia="en-NZ"/>
        </w:rPr>
        <w:t xml:space="preserve"> </w:t>
      </w:r>
      <w:r w:rsidRPr="00B1465F">
        <w:rPr>
          <w:lang w:eastAsia="en-NZ"/>
        </w:rPr>
        <w:t>with</w:t>
      </w:r>
      <w:r w:rsidR="003D640C">
        <w:rPr>
          <w:lang w:eastAsia="en-NZ"/>
        </w:rPr>
        <w:t xml:space="preserve"> </w:t>
      </w:r>
      <w:r w:rsidRPr="00B1465F">
        <w:rPr>
          <w:lang w:eastAsia="en-NZ"/>
        </w:rPr>
        <w:t>respect</w:t>
      </w:r>
      <w:r w:rsidR="003D640C">
        <w:rPr>
          <w:lang w:eastAsia="en-NZ"/>
        </w:rPr>
        <w:t xml:space="preserve"> </w:t>
      </w:r>
      <w:r w:rsidRPr="00B1465F">
        <w:rPr>
          <w:lang w:eastAsia="en-NZ"/>
        </w:rPr>
        <w:t>and</w:t>
      </w:r>
      <w:r w:rsidR="003D640C">
        <w:rPr>
          <w:lang w:eastAsia="en-NZ"/>
        </w:rPr>
        <w:t xml:space="preserve"> </w:t>
      </w:r>
      <w:r w:rsidRPr="00B1465F">
        <w:rPr>
          <w:lang w:eastAsia="en-NZ"/>
        </w:rPr>
        <w:t>dignity,</w:t>
      </w:r>
      <w:r w:rsidR="003D640C">
        <w:rPr>
          <w:lang w:eastAsia="en-NZ"/>
        </w:rPr>
        <w:t xml:space="preserve"> </w:t>
      </w:r>
      <w:r w:rsidRPr="00B1465F">
        <w:rPr>
          <w:lang w:eastAsia="en-NZ"/>
        </w:rPr>
        <w:t>helping</w:t>
      </w:r>
      <w:r w:rsidR="003D640C">
        <w:rPr>
          <w:lang w:eastAsia="en-NZ"/>
        </w:rPr>
        <w:t xml:space="preserve"> </w:t>
      </w:r>
      <w:r w:rsidRPr="00B1465F">
        <w:rPr>
          <w:lang w:eastAsia="en-NZ"/>
        </w:rPr>
        <w:t>to</w:t>
      </w:r>
      <w:r w:rsidR="003D640C">
        <w:rPr>
          <w:lang w:eastAsia="en-NZ"/>
        </w:rPr>
        <w:t xml:space="preserve"> </w:t>
      </w:r>
      <w:r w:rsidRPr="00B1465F">
        <w:rPr>
          <w:lang w:eastAsia="en-NZ"/>
        </w:rPr>
        <w:t>dismantle</w:t>
      </w:r>
      <w:r w:rsidR="003D640C">
        <w:rPr>
          <w:lang w:eastAsia="en-NZ"/>
        </w:rPr>
        <w:t xml:space="preserve"> </w:t>
      </w:r>
      <w:r w:rsidRPr="00B1465F">
        <w:rPr>
          <w:lang w:eastAsia="en-NZ"/>
        </w:rPr>
        <w:t>stereotypes</w:t>
      </w:r>
      <w:r w:rsidR="003D640C">
        <w:rPr>
          <w:lang w:eastAsia="en-NZ"/>
        </w:rPr>
        <w:t xml:space="preserve"> </w:t>
      </w:r>
      <w:r w:rsidRPr="00B1465F">
        <w:rPr>
          <w:lang w:eastAsia="en-NZ"/>
        </w:rPr>
        <w:t>and</w:t>
      </w:r>
      <w:r w:rsidR="003D640C">
        <w:rPr>
          <w:lang w:eastAsia="en-NZ"/>
        </w:rPr>
        <w:t xml:space="preserve"> </w:t>
      </w:r>
      <w:r w:rsidRPr="00B1465F">
        <w:rPr>
          <w:lang w:eastAsia="en-NZ"/>
        </w:rPr>
        <w:t>foster</w:t>
      </w:r>
      <w:r w:rsidR="003D640C">
        <w:rPr>
          <w:lang w:eastAsia="en-NZ"/>
        </w:rPr>
        <w:t xml:space="preserve"> </w:t>
      </w:r>
      <w:r w:rsidRPr="00B1465F">
        <w:rPr>
          <w:lang w:eastAsia="en-NZ"/>
        </w:rPr>
        <w:t>empathy,</w:t>
      </w:r>
      <w:r w:rsidR="003D640C">
        <w:rPr>
          <w:lang w:eastAsia="en-NZ"/>
        </w:rPr>
        <w:t xml:space="preserve"> </w:t>
      </w:r>
      <w:r w:rsidRPr="00B1465F">
        <w:rPr>
          <w:lang w:eastAsia="en-NZ"/>
        </w:rPr>
        <w:t>understanding,</w:t>
      </w:r>
      <w:r w:rsidR="003D640C">
        <w:rPr>
          <w:lang w:eastAsia="en-NZ"/>
        </w:rPr>
        <w:t xml:space="preserve"> </w:t>
      </w:r>
      <w:r w:rsidRPr="00B1465F">
        <w:rPr>
          <w:lang w:eastAsia="en-NZ"/>
        </w:rPr>
        <w:t>and</w:t>
      </w:r>
      <w:r w:rsidR="003D640C">
        <w:rPr>
          <w:lang w:eastAsia="en-NZ"/>
        </w:rPr>
        <w:t xml:space="preserve"> </w:t>
      </w:r>
      <w:r w:rsidRPr="00B1465F">
        <w:rPr>
          <w:lang w:eastAsia="en-NZ"/>
        </w:rPr>
        <w:t>acceptance.</w:t>
      </w:r>
    </w:p>
    <w:p w14:paraId="3BC18B63" w14:textId="0EF12AEE" w:rsidR="00501068" w:rsidRDefault="001C4E01" w:rsidP="0078026B">
      <w:pPr>
        <w:rPr>
          <w:rFonts w:eastAsia="Times New Roman"/>
        </w:rPr>
      </w:pPr>
      <w:r w:rsidRPr="7D329BA6">
        <w:rPr>
          <w:rFonts w:eastAsia="Times New Roman"/>
        </w:rPr>
        <w:t>This</w:t>
      </w:r>
      <w:r w:rsidR="003D640C">
        <w:rPr>
          <w:rFonts w:eastAsia="Times New Roman"/>
        </w:rPr>
        <w:t xml:space="preserve"> </w:t>
      </w:r>
      <w:r w:rsidRPr="7D329BA6">
        <w:rPr>
          <w:rFonts w:eastAsia="Times New Roman"/>
        </w:rPr>
        <w:t>is</w:t>
      </w:r>
      <w:r w:rsidR="003D640C">
        <w:rPr>
          <w:rFonts w:eastAsia="Times New Roman"/>
        </w:rPr>
        <w:t xml:space="preserve"> </w:t>
      </w:r>
      <w:r w:rsidRPr="7D329BA6">
        <w:rPr>
          <w:rFonts w:eastAsia="Times New Roman"/>
        </w:rPr>
        <w:t>the</w:t>
      </w:r>
      <w:r w:rsidR="003D640C">
        <w:rPr>
          <w:rFonts w:eastAsia="Times New Roman"/>
        </w:rPr>
        <w:t xml:space="preserve"> </w:t>
      </w:r>
      <w:r w:rsidRPr="7D329BA6">
        <w:rPr>
          <w:rFonts w:eastAsia="Times New Roman"/>
        </w:rPr>
        <w:t>future</w:t>
      </w:r>
      <w:r w:rsidR="003D640C">
        <w:rPr>
          <w:rFonts w:eastAsia="Times New Roman"/>
        </w:rPr>
        <w:t xml:space="preserve"> </w:t>
      </w:r>
      <w:r w:rsidRPr="7D329BA6">
        <w:rPr>
          <w:rFonts w:eastAsia="Times New Roman"/>
        </w:rPr>
        <w:t>most</w:t>
      </w:r>
      <w:r w:rsidR="003D640C">
        <w:rPr>
          <w:rFonts w:eastAsia="Times New Roman"/>
        </w:rPr>
        <w:t xml:space="preserve"> </w:t>
      </w:r>
      <w:r w:rsidRPr="7D329BA6">
        <w:rPr>
          <w:rFonts w:eastAsia="Times New Roman"/>
        </w:rPr>
        <w:t>of</w:t>
      </w:r>
      <w:r w:rsidR="003D640C">
        <w:rPr>
          <w:rFonts w:eastAsia="Times New Roman"/>
        </w:rPr>
        <w:t xml:space="preserve"> </w:t>
      </w:r>
      <w:r w:rsidRPr="7D329BA6">
        <w:rPr>
          <w:rFonts w:eastAsia="Times New Roman"/>
        </w:rPr>
        <w:t>us</w:t>
      </w:r>
      <w:r w:rsidR="003D640C">
        <w:rPr>
          <w:rFonts w:eastAsia="Times New Roman"/>
        </w:rPr>
        <w:t xml:space="preserve"> </w:t>
      </w:r>
      <w:r w:rsidRPr="7D329BA6">
        <w:rPr>
          <w:rFonts w:eastAsia="Times New Roman"/>
        </w:rPr>
        <w:t>want</w:t>
      </w:r>
      <w:r w:rsidR="003D640C">
        <w:rPr>
          <w:rFonts w:eastAsia="Times New Roman"/>
        </w:rPr>
        <w:t xml:space="preserve"> </w:t>
      </w:r>
      <w:r w:rsidRPr="7D329BA6">
        <w:rPr>
          <w:rFonts w:eastAsia="Times New Roman"/>
        </w:rPr>
        <w:t>for</w:t>
      </w:r>
      <w:r w:rsidR="003D640C">
        <w:rPr>
          <w:rFonts w:eastAsia="Times New Roman"/>
        </w:rPr>
        <w:t xml:space="preserve"> </w:t>
      </w:r>
      <w:r w:rsidRPr="7D329BA6">
        <w:rPr>
          <w:rFonts w:eastAsia="Times New Roman"/>
        </w:rPr>
        <w:t>ourselves</w:t>
      </w:r>
      <w:r w:rsidR="003D640C">
        <w:rPr>
          <w:rFonts w:eastAsia="Times New Roman"/>
        </w:rPr>
        <w:t xml:space="preserve"> </w:t>
      </w:r>
      <w:r w:rsidRPr="7D329BA6">
        <w:rPr>
          <w:rFonts w:eastAsia="Times New Roman"/>
        </w:rPr>
        <w:t>and</w:t>
      </w:r>
      <w:r w:rsidR="003D640C">
        <w:rPr>
          <w:rFonts w:eastAsia="Times New Roman"/>
        </w:rPr>
        <w:t xml:space="preserve"> </w:t>
      </w:r>
      <w:r w:rsidRPr="7D329BA6">
        <w:rPr>
          <w:rFonts w:eastAsia="Times New Roman"/>
        </w:rPr>
        <w:t>our</w:t>
      </w:r>
      <w:r w:rsidR="003D640C">
        <w:rPr>
          <w:rFonts w:eastAsia="Times New Roman"/>
        </w:rPr>
        <w:t xml:space="preserve"> </w:t>
      </w:r>
      <w:r w:rsidRPr="7D329BA6">
        <w:rPr>
          <w:rFonts w:eastAsia="Times New Roman"/>
        </w:rPr>
        <w:t>loved</w:t>
      </w:r>
      <w:r w:rsidR="003D640C">
        <w:rPr>
          <w:rFonts w:eastAsia="Times New Roman"/>
        </w:rPr>
        <w:t xml:space="preserve"> </w:t>
      </w:r>
      <w:r w:rsidRPr="7D329BA6">
        <w:rPr>
          <w:rFonts w:eastAsia="Times New Roman"/>
        </w:rPr>
        <w:t>ones,</w:t>
      </w:r>
      <w:r w:rsidR="003D640C">
        <w:rPr>
          <w:rFonts w:eastAsia="Times New Roman"/>
        </w:rPr>
        <w:t xml:space="preserve"> </w:t>
      </w:r>
      <w:r w:rsidRPr="7D329BA6">
        <w:rPr>
          <w:rFonts w:eastAsia="Times New Roman"/>
        </w:rPr>
        <w:t>and</w:t>
      </w:r>
      <w:r w:rsidR="003D640C">
        <w:rPr>
          <w:rFonts w:eastAsia="Times New Roman"/>
        </w:rPr>
        <w:t xml:space="preserve"> </w:t>
      </w:r>
      <w:r w:rsidRPr="3A8C3E53">
        <w:rPr>
          <w:rFonts w:eastAsia="Times New Roman"/>
        </w:rPr>
        <w:t>many</w:t>
      </w:r>
      <w:r w:rsidR="003D640C">
        <w:rPr>
          <w:rFonts w:eastAsia="Times New Roman"/>
        </w:rPr>
        <w:t xml:space="preserve"> </w:t>
      </w:r>
      <w:r w:rsidRPr="3A8C3E53">
        <w:rPr>
          <w:rFonts w:eastAsia="Times New Roman"/>
        </w:rPr>
        <w:t>people</w:t>
      </w:r>
      <w:r w:rsidR="003D640C">
        <w:rPr>
          <w:rFonts w:eastAsia="Times New Roman"/>
        </w:rPr>
        <w:t xml:space="preserve"> </w:t>
      </w:r>
      <w:r w:rsidRPr="3A8C3E53">
        <w:rPr>
          <w:rFonts w:eastAsia="Times New Roman"/>
        </w:rPr>
        <w:t>have</w:t>
      </w:r>
      <w:r w:rsidR="003D640C">
        <w:rPr>
          <w:rFonts w:eastAsia="Times New Roman"/>
        </w:rPr>
        <w:t xml:space="preserve"> </w:t>
      </w:r>
      <w:r w:rsidRPr="3A8C3E53">
        <w:rPr>
          <w:rFonts w:eastAsia="Times New Roman"/>
        </w:rPr>
        <w:t>worked</w:t>
      </w:r>
      <w:r w:rsidR="003D640C">
        <w:rPr>
          <w:rFonts w:eastAsia="Times New Roman"/>
        </w:rPr>
        <w:t xml:space="preserve"> </w:t>
      </w:r>
      <w:r w:rsidRPr="3A8C3E53">
        <w:rPr>
          <w:rFonts w:eastAsia="Times New Roman"/>
        </w:rPr>
        <w:t>and</w:t>
      </w:r>
      <w:r w:rsidR="003D640C">
        <w:rPr>
          <w:rFonts w:eastAsia="Times New Roman"/>
        </w:rPr>
        <w:t xml:space="preserve"> </w:t>
      </w:r>
      <w:r w:rsidRPr="54A933B4">
        <w:rPr>
          <w:rFonts w:eastAsia="Times New Roman"/>
        </w:rPr>
        <w:t>continue</w:t>
      </w:r>
      <w:r w:rsidR="003D640C">
        <w:rPr>
          <w:rFonts w:eastAsia="Times New Roman"/>
        </w:rPr>
        <w:t xml:space="preserve"> </w:t>
      </w:r>
      <w:r w:rsidRPr="3A8C3E53">
        <w:rPr>
          <w:rFonts w:eastAsia="Times New Roman"/>
        </w:rPr>
        <w:t>to</w:t>
      </w:r>
      <w:r w:rsidR="003D640C">
        <w:rPr>
          <w:rFonts w:eastAsia="Times New Roman"/>
        </w:rPr>
        <w:t xml:space="preserve"> </w:t>
      </w:r>
      <w:r w:rsidRPr="3A8C3E53">
        <w:rPr>
          <w:rFonts w:eastAsia="Times New Roman"/>
        </w:rPr>
        <w:t>work</w:t>
      </w:r>
      <w:r w:rsidR="003D640C">
        <w:rPr>
          <w:rFonts w:eastAsia="Times New Roman"/>
        </w:rPr>
        <w:t xml:space="preserve"> </w:t>
      </w:r>
      <w:r w:rsidRPr="3A8C3E53">
        <w:rPr>
          <w:rFonts w:eastAsia="Times New Roman"/>
        </w:rPr>
        <w:t>to</w:t>
      </w:r>
      <w:r w:rsidR="003D640C">
        <w:rPr>
          <w:rFonts w:eastAsia="Times New Roman"/>
        </w:rPr>
        <w:t xml:space="preserve"> </w:t>
      </w:r>
      <w:r w:rsidRPr="54A933B4">
        <w:rPr>
          <w:rFonts w:eastAsia="Times New Roman"/>
        </w:rPr>
        <w:t>remove</w:t>
      </w:r>
      <w:r w:rsidR="003D640C">
        <w:rPr>
          <w:rFonts w:eastAsia="Times New Roman"/>
        </w:rPr>
        <w:t xml:space="preserve"> </w:t>
      </w:r>
      <w:r w:rsidRPr="28A62969">
        <w:rPr>
          <w:rFonts w:eastAsia="Times New Roman"/>
        </w:rPr>
        <w:t>the</w:t>
      </w:r>
      <w:r w:rsidR="003D640C">
        <w:rPr>
          <w:rFonts w:eastAsia="Times New Roman"/>
        </w:rPr>
        <w:t xml:space="preserve"> </w:t>
      </w:r>
      <w:r w:rsidRPr="28A62969">
        <w:rPr>
          <w:rFonts w:eastAsia="Times New Roman"/>
        </w:rPr>
        <w:t>barriers</w:t>
      </w:r>
      <w:r w:rsidR="003D640C">
        <w:rPr>
          <w:rFonts w:eastAsia="Times New Roman"/>
        </w:rPr>
        <w:t xml:space="preserve"> </w:t>
      </w:r>
      <w:r w:rsidRPr="28A62969">
        <w:rPr>
          <w:rFonts w:eastAsia="Times New Roman"/>
        </w:rPr>
        <w:t>that</w:t>
      </w:r>
      <w:r w:rsidR="003D640C">
        <w:rPr>
          <w:rFonts w:eastAsia="Times New Roman"/>
        </w:rPr>
        <w:t xml:space="preserve"> </w:t>
      </w:r>
      <w:r w:rsidRPr="54A933B4">
        <w:rPr>
          <w:rFonts w:eastAsia="Times New Roman"/>
        </w:rPr>
        <w:t>prevent</w:t>
      </w:r>
      <w:r w:rsidR="003D640C">
        <w:rPr>
          <w:rFonts w:eastAsia="Times New Roman"/>
        </w:rPr>
        <w:t xml:space="preserve"> </w:t>
      </w:r>
      <w:r w:rsidRPr="2585EA9C">
        <w:rPr>
          <w:rFonts w:eastAsia="Times New Roman"/>
        </w:rPr>
        <w:t>Rainbow</w:t>
      </w:r>
      <w:r w:rsidR="003D640C">
        <w:rPr>
          <w:rFonts w:eastAsia="Times New Roman"/>
        </w:rPr>
        <w:t xml:space="preserve"> </w:t>
      </w:r>
      <w:r w:rsidRPr="2585EA9C">
        <w:rPr>
          <w:rFonts w:eastAsia="Times New Roman"/>
        </w:rPr>
        <w:t>people</w:t>
      </w:r>
      <w:r w:rsidR="003D640C">
        <w:rPr>
          <w:rFonts w:eastAsia="Times New Roman"/>
        </w:rPr>
        <w:t xml:space="preserve"> </w:t>
      </w:r>
      <w:r w:rsidRPr="2585EA9C">
        <w:rPr>
          <w:rFonts w:eastAsia="Times New Roman"/>
        </w:rPr>
        <w:t>from</w:t>
      </w:r>
      <w:r w:rsidR="003D640C">
        <w:rPr>
          <w:rFonts w:eastAsia="Times New Roman"/>
        </w:rPr>
        <w:t xml:space="preserve"> </w:t>
      </w:r>
      <w:r w:rsidRPr="2585EA9C">
        <w:rPr>
          <w:rFonts w:eastAsia="Times New Roman"/>
        </w:rPr>
        <w:t>experiencing</w:t>
      </w:r>
      <w:r w:rsidR="003D640C">
        <w:rPr>
          <w:rFonts w:eastAsia="Times New Roman"/>
        </w:rPr>
        <w:t xml:space="preserve"> </w:t>
      </w:r>
      <w:r w:rsidRPr="2585EA9C">
        <w:rPr>
          <w:rFonts w:eastAsia="Times New Roman"/>
        </w:rPr>
        <w:t>this</w:t>
      </w:r>
      <w:r w:rsidRPr="28A62969">
        <w:rPr>
          <w:rFonts w:eastAsia="Times New Roman"/>
        </w:rPr>
        <w:t>.</w:t>
      </w:r>
      <w:r w:rsidR="003D640C">
        <w:t xml:space="preserve"> </w:t>
      </w:r>
    </w:p>
    <w:p w14:paraId="12C0F269" w14:textId="1700C65C" w:rsidR="00501068" w:rsidRDefault="001C4E01" w:rsidP="0078026B">
      <w:pPr>
        <w:rPr>
          <w:rFonts w:ascii="Calibri" w:eastAsia="Times New Roman" w:hAnsi="Calibri" w:cs="Calibri"/>
          <w:shd w:val="clear" w:color="auto" w:fill="FFFFFF"/>
          <w:lang w:eastAsia="en-NZ"/>
        </w:rPr>
      </w:pPr>
      <w:r w:rsidRPr="0E707052">
        <w:rPr>
          <w:rFonts w:ascii="Calibri" w:eastAsia="Times New Roman" w:hAnsi="Calibri" w:cs="Calibri"/>
          <w:lang w:eastAsia="en-NZ"/>
        </w:rPr>
        <w:lastRenderedPageBreak/>
        <w:t>Conversion</w:t>
      </w:r>
      <w:r w:rsidR="003D640C">
        <w:rPr>
          <w:rFonts w:ascii="Calibri" w:eastAsia="Times New Roman" w:hAnsi="Calibri" w:cs="Calibri"/>
          <w:lang w:eastAsia="en-NZ"/>
        </w:rPr>
        <w:t xml:space="preserve"> </w:t>
      </w:r>
      <w:r w:rsidRPr="0E707052">
        <w:rPr>
          <w:rFonts w:ascii="Calibri" w:eastAsia="Times New Roman" w:hAnsi="Calibri" w:cs="Calibri"/>
          <w:lang w:eastAsia="en-NZ"/>
        </w:rPr>
        <w:t>practices</w:t>
      </w:r>
      <w:r w:rsidR="003D640C">
        <w:rPr>
          <w:rFonts w:ascii="Calibri" w:eastAsia="Times New Roman" w:hAnsi="Calibri" w:cs="Calibri"/>
          <w:lang w:eastAsia="en-NZ"/>
        </w:rPr>
        <w:t xml:space="preserve"> </w:t>
      </w:r>
      <w:r w:rsidRPr="0E707052">
        <w:rPr>
          <w:rFonts w:ascii="Calibri" w:eastAsia="Times New Roman" w:hAnsi="Calibri" w:cs="Calibri"/>
          <w:lang w:eastAsia="en-NZ"/>
        </w:rPr>
        <w:t>are</w:t>
      </w:r>
      <w:r w:rsidR="003D640C">
        <w:rPr>
          <w:rFonts w:ascii="Calibri" w:eastAsia="Times New Roman" w:hAnsi="Calibri" w:cs="Calibri"/>
          <w:lang w:eastAsia="en-NZ"/>
        </w:rPr>
        <w:t xml:space="preserve"> </w:t>
      </w:r>
      <w:r w:rsidRPr="26241246">
        <w:rPr>
          <w:rFonts w:ascii="Calibri" w:eastAsia="Times New Roman" w:hAnsi="Calibri" w:cs="Calibri"/>
          <w:lang w:eastAsia="en-NZ"/>
        </w:rPr>
        <w:t>one</w:t>
      </w:r>
      <w:r w:rsidR="003D640C">
        <w:rPr>
          <w:rFonts w:ascii="Calibri" w:eastAsia="Times New Roman" w:hAnsi="Calibri" w:cs="Calibri"/>
          <w:lang w:eastAsia="en-NZ"/>
        </w:rPr>
        <w:t xml:space="preserve"> </w:t>
      </w:r>
      <w:r w:rsidRPr="26241246">
        <w:rPr>
          <w:rFonts w:ascii="Calibri" w:eastAsia="Times New Roman" w:hAnsi="Calibri" w:cs="Calibri"/>
          <w:lang w:eastAsia="en-NZ"/>
        </w:rPr>
        <w:t>example</w:t>
      </w:r>
      <w:r w:rsidR="003D640C">
        <w:rPr>
          <w:rFonts w:ascii="Calibri" w:eastAsia="Times New Roman" w:hAnsi="Calibri" w:cs="Calibri"/>
          <w:lang w:eastAsia="en-NZ"/>
        </w:rPr>
        <w:t xml:space="preserve"> </w:t>
      </w:r>
      <w:r w:rsidRPr="26241246">
        <w:rPr>
          <w:rFonts w:ascii="Calibri" w:eastAsia="Times New Roman" w:hAnsi="Calibri" w:cs="Calibri"/>
          <w:lang w:eastAsia="en-NZ"/>
        </w:rPr>
        <w:t>of</w:t>
      </w:r>
      <w:r w:rsidR="003D640C">
        <w:rPr>
          <w:rFonts w:ascii="Calibri" w:eastAsia="Times New Roman" w:hAnsi="Calibri" w:cs="Calibri"/>
          <w:lang w:eastAsia="en-NZ"/>
        </w:rPr>
        <w:t xml:space="preserve"> </w:t>
      </w:r>
      <w:r w:rsidRPr="26241246">
        <w:rPr>
          <w:rFonts w:ascii="Calibri" w:eastAsia="Times New Roman" w:hAnsi="Calibri" w:cs="Calibri"/>
          <w:lang w:eastAsia="en-NZ"/>
        </w:rPr>
        <w:t>these</w:t>
      </w:r>
      <w:r w:rsidR="003D640C">
        <w:rPr>
          <w:rFonts w:ascii="Calibri" w:eastAsia="Times New Roman" w:hAnsi="Calibri" w:cs="Calibri"/>
          <w:lang w:eastAsia="en-NZ"/>
        </w:rPr>
        <w:t xml:space="preserve"> </w:t>
      </w:r>
      <w:r w:rsidRPr="26241246">
        <w:rPr>
          <w:rFonts w:ascii="Calibri" w:eastAsia="Times New Roman" w:hAnsi="Calibri" w:cs="Calibri"/>
          <w:lang w:eastAsia="en-NZ"/>
        </w:rPr>
        <w:t>barriers.</w:t>
      </w:r>
      <w:r w:rsidR="003D640C">
        <w:rPr>
          <w:rFonts w:ascii="Calibri" w:eastAsia="Times New Roman" w:hAnsi="Calibri" w:cs="Calibri"/>
          <w:lang w:eastAsia="en-NZ"/>
        </w:rPr>
        <w:t xml:space="preserve"> </w:t>
      </w:r>
      <w:r w:rsidR="00BB3F27" w:rsidRPr="00B1465F">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are</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attempts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change</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or</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suppress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individual’s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sexual</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orientation,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gender</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identity</w:t>
      </w:r>
      <w:r w:rsidR="00C87ABB">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or</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gender</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expression.</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00BB3F27" w:rsidRPr="00993640">
        <w:rPr>
          <w:rFonts w:ascii="Calibri" w:eastAsia="Times New Roman" w:hAnsi="Calibri" w:cs="Calibri"/>
          <w:shd w:val="clear" w:color="auto" w:fill="FFFFFF"/>
          <w:lang w:eastAsia="en-NZ"/>
        </w:rPr>
        <w:t>202</w:t>
      </w:r>
      <w:r w:rsidR="00BB3F27">
        <w:rPr>
          <w:rFonts w:ascii="Calibri" w:eastAsia="Times New Roman" w:hAnsi="Calibri" w:cs="Calibri"/>
          <w:shd w:val="clear" w:color="auto" w:fill="FFFFFF"/>
          <w:lang w:eastAsia="en-NZ"/>
        </w:rPr>
        <w:t>2,</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a</w:t>
      </w:r>
      <w:r w:rsidR="00BB3F27" w:rsidRPr="00B1465F">
        <w:rPr>
          <w:rFonts w:ascii="Calibri" w:eastAsia="Times New Roman" w:hAnsi="Calibri" w:cs="Calibri"/>
          <w:shd w:val="clear" w:color="auto" w:fill="FFFFFF"/>
          <w:lang w:eastAsia="en-NZ"/>
        </w:rPr>
        <w:t>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result</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years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00607920">
        <w:rPr>
          <w:rFonts w:ascii="Calibri" w:eastAsia="Times New Roman" w:hAnsi="Calibri" w:cs="Calibri"/>
          <w:shd w:val="clear" w:color="auto" w:fill="FFFFFF"/>
          <w:lang w:eastAsia="en-NZ"/>
        </w:rPr>
        <w:t>Rainbow</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community</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advocacy,</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Prohibition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Legislation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Act</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2022</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(CPPLA)</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came</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into</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force</w:t>
      </w:r>
      <w:r w:rsidR="00BB3F27">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CPPLA</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ma</w:t>
      </w:r>
      <w:r w:rsidR="00BB3F27">
        <w:rPr>
          <w:rFonts w:ascii="Calibri" w:eastAsia="Times New Roman" w:hAnsi="Calibri" w:cs="Calibri"/>
          <w:shd w:val="clear" w:color="auto" w:fill="FFFFFF"/>
          <w:lang w:eastAsia="en-NZ"/>
        </w:rPr>
        <w:t>de</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it</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unlawful</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perform</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Aotearoa</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New</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Zealand.</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Te</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Kāhui</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Tika</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Tangata</w:t>
      </w:r>
      <w:r w:rsidR="003D640C">
        <w:rPr>
          <w:rFonts w:ascii="Calibri" w:eastAsia="Times New Roman" w:hAnsi="Calibri" w:cs="Calibri"/>
          <w:shd w:val="clear" w:color="auto" w:fill="FFFFFF"/>
          <w:lang w:eastAsia="en-NZ"/>
        </w:rPr>
        <w:t xml:space="preserve"> </w:t>
      </w:r>
      <w:r w:rsidR="008F014D">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Rights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Commission</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Commission)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was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charged</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with</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implementing</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civil</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response</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service</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under</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CPPLA,</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well</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undertaking</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education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prevention</w:t>
      </w:r>
      <w:r w:rsidR="003D640C">
        <w:rPr>
          <w:rFonts w:ascii="Calibri" w:eastAsia="Times New Roman" w:hAnsi="Calibri" w:cs="Calibri"/>
          <w:shd w:val="clear" w:color="auto" w:fill="FFFFFF"/>
          <w:lang w:eastAsia="en-NZ"/>
        </w:rPr>
        <w:t xml:space="preserve"> </w:t>
      </w:r>
      <w:r w:rsidR="00BB3F27" w:rsidRPr="00B1465F">
        <w:rPr>
          <w:rFonts w:ascii="Calibri" w:eastAsia="Times New Roman" w:hAnsi="Calibri" w:cs="Calibri"/>
          <w:shd w:val="clear" w:color="auto" w:fill="FFFFFF"/>
          <w:lang w:eastAsia="en-NZ"/>
        </w:rPr>
        <w:t>work</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support</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00BB3F27">
        <w:rPr>
          <w:rFonts w:ascii="Calibri" w:eastAsia="Times New Roman" w:hAnsi="Calibri" w:cs="Calibri"/>
          <w:shd w:val="clear" w:color="auto" w:fill="FFFFFF"/>
          <w:lang w:eastAsia="en-NZ"/>
        </w:rPr>
        <w:t>it</w:t>
      </w:r>
      <w:r w:rsidR="00BB3F27" w:rsidRPr="00B1465F">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p>
    <w:p w14:paraId="665D42F8" w14:textId="51E47088" w:rsidR="00501068" w:rsidRDefault="00BB3F27" w:rsidP="0078026B">
      <w:pPr>
        <w:rPr>
          <w:rFonts w:ascii="Calibri" w:eastAsia="Times New Roman" w:hAnsi="Calibri" w:cs="Calibri"/>
          <w:lang w:eastAsia="en-NZ"/>
        </w:rPr>
      </w:pP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purpose</w:t>
      </w:r>
      <w:r w:rsidR="003D640C">
        <w:rPr>
          <w:rFonts w:ascii="Calibri" w:eastAsia="Times New Roman" w:hAnsi="Calibri" w:cs="Calibri"/>
          <w:lang w:eastAsia="en-NZ"/>
        </w:rPr>
        <w:t xml:space="preserve"> </w:t>
      </w:r>
      <w:r w:rsidRPr="00993640">
        <w:rPr>
          <w:rFonts w:ascii="Calibri" w:eastAsia="Times New Roman" w:hAnsi="Calibri" w:cs="Calibri"/>
          <w:lang w:eastAsia="en-NZ"/>
        </w:rPr>
        <w:t>of</w:t>
      </w:r>
      <w:r w:rsidR="003D640C">
        <w:rPr>
          <w:rFonts w:ascii="Calibri" w:eastAsia="Times New Roman" w:hAnsi="Calibri" w:cs="Calibri"/>
          <w:lang w:eastAsia="en-NZ"/>
        </w:rPr>
        <w:t xml:space="preserve"> </w:t>
      </w:r>
      <w:r w:rsidRPr="00993640">
        <w:rPr>
          <w:rFonts w:ascii="Calibri" w:eastAsia="Times New Roman" w:hAnsi="Calibri" w:cs="Calibri"/>
          <w:lang w:eastAsia="en-NZ"/>
        </w:rPr>
        <w:t>this</w:t>
      </w:r>
      <w:r w:rsidR="003D640C">
        <w:rPr>
          <w:rFonts w:ascii="Calibri" w:eastAsia="Times New Roman" w:hAnsi="Calibri" w:cs="Calibri"/>
          <w:lang w:eastAsia="en-NZ"/>
        </w:rPr>
        <w:t xml:space="preserve"> </w:t>
      </w:r>
      <w:r w:rsidRPr="00993640">
        <w:rPr>
          <w:rFonts w:ascii="Calibri" w:eastAsia="Times New Roman" w:hAnsi="Calibri" w:cs="Calibri"/>
          <w:lang w:eastAsia="en-NZ"/>
        </w:rPr>
        <w:t>report</w:t>
      </w:r>
      <w:r w:rsidR="003D640C">
        <w:rPr>
          <w:rFonts w:ascii="Calibri" w:eastAsia="Times New Roman" w:hAnsi="Calibri" w:cs="Calibri"/>
          <w:lang w:eastAsia="en-NZ"/>
        </w:rPr>
        <w:t xml:space="preserve"> </w:t>
      </w:r>
      <w:r w:rsidRPr="00993640">
        <w:rPr>
          <w:rFonts w:ascii="Calibri" w:eastAsia="Times New Roman" w:hAnsi="Calibri" w:cs="Calibri"/>
          <w:lang w:eastAsia="en-NZ"/>
        </w:rPr>
        <w:t>is</w:t>
      </w:r>
      <w:r w:rsidR="003D640C">
        <w:rPr>
          <w:rFonts w:ascii="Calibri" w:eastAsia="Times New Roman" w:hAnsi="Calibri" w:cs="Calibri"/>
          <w:lang w:eastAsia="en-NZ"/>
        </w:rPr>
        <w:t xml:space="preserve"> </w:t>
      </w:r>
      <w:r w:rsidRPr="00993640">
        <w:rPr>
          <w:rFonts w:ascii="Calibri" w:eastAsia="Times New Roman" w:hAnsi="Calibri" w:cs="Calibri"/>
          <w:lang w:eastAsia="en-NZ"/>
        </w:rPr>
        <w:t>to</w:t>
      </w:r>
      <w:r w:rsidR="003D640C">
        <w:rPr>
          <w:rFonts w:ascii="Calibri" w:eastAsia="Times New Roman" w:hAnsi="Calibri" w:cs="Calibri"/>
          <w:lang w:eastAsia="en-NZ"/>
        </w:rPr>
        <w:t xml:space="preserve"> </w:t>
      </w:r>
      <w:r w:rsidRPr="00993640">
        <w:rPr>
          <w:rFonts w:ascii="Calibri" w:eastAsia="Times New Roman" w:hAnsi="Calibri" w:cs="Calibri"/>
          <w:lang w:eastAsia="en-NZ"/>
        </w:rPr>
        <w:t>capture</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extensive</w:t>
      </w:r>
      <w:r w:rsidR="003D640C">
        <w:rPr>
          <w:rFonts w:ascii="Calibri" w:eastAsia="Times New Roman" w:hAnsi="Calibri" w:cs="Calibri"/>
          <w:lang w:eastAsia="en-NZ"/>
        </w:rPr>
        <w:t xml:space="preserve"> </w:t>
      </w:r>
      <w:r w:rsidRPr="00993640">
        <w:rPr>
          <w:rFonts w:ascii="Calibri" w:eastAsia="Times New Roman" w:hAnsi="Calibri" w:cs="Calibri"/>
          <w:lang w:eastAsia="en-NZ"/>
        </w:rPr>
        <w:t>collective</w:t>
      </w:r>
      <w:r w:rsidR="003D640C">
        <w:rPr>
          <w:rFonts w:ascii="Calibri" w:eastAsia="Times New Roman" w:hAnsi="Calibri" w:cs="Calibri"/>
          <w:lang w:eastAsia="en-NZ"/>
        </w:rPr>
        <w:t xml:space="preserve"> </w:t>
      </w:r>
      <w:r w:rsidRPr="00993640">
        <w:rPr>
          <w:rFonts w:ascii="Calibri" w:eastAsia="Times New Roman" w:hAnsi="Calibri" w:cs="Calibri"/>
          <w:lang w:eastAsia="en-NZ"/>
        </w:rPr>
        <w:t>learning</w:t>
      </w:r>
      <w:r w:rsidR="003D640C">
        <w:rPr>
          <w:rFonts w:ascii="Calibri" w:eastAsia="Times New Roman" w:hAnsi="Calibri" w:cs="Calibri"/>
          <w:lang w:eastAsia="en-NZ"/>
        </w:rPr>
        <w:t xml:space="preserve"> </w:t>
      </w:r>
      <w:r w:rsidRPr="00993640">
        <w:rPr>
          <w:rFonts w:ascii="Calibri" w:eastAsia="Times New Roman" w:hAnsi="Calibri" w:cs="Calibri"/>
          <w:lang w:eastAsia="en-NZ"/>
        </w:rPr>
        <w:t>and</w:t>
      </w:r>
      <w:r w:rsidR="003D640C">
        <w:rPr>
          <w:rFonts w:ascii="Calibri" w:eastAsia="Times New Roman" w:hAnsi="Calibri" w:cs="Calibri"/>
          <w:lang w:eastAsia="en-NZ"/>
        </w:rPr>
        <w:t xml:space="preserve"> </w:t>
      </w:r>
      <w:r w:rsidRPr="00993640">
        <w:rPr>
          <w:rFonts w:ascii="Calibri" w:eastAsia="Times New Roman" w:hAnsi="Calibri" w:cs="Calibri"/>
          <w:lang w:eastAsia="en-NZ"/>
        </w:rPr>
        <w:t>reflection</w:t>
      </w:r>
      <w:r w:rsidR="003D640C">
        <w:rPr>
          <w:rFonts w:ascii="Calibri" w:eastAsia="Times New Roman" w:hAnsi="Calibri" w:cs="Calibri"/>
          <w:lang w:eastAsia="en-NZ"/>
        </w:rPr>
        <w:t xml:space="preserve"> </w:t>
      </w:r>
      <w:r w:rsidRPr="00993640">
        <w:rPr>
          <w:rFonts w:ascii="Calibri" w:eastAsia="Times New Roman" w:hAnsi="Calibri" w:cs="Calibri"/>
          <w:lang w:eastAsia="en-NZ"/>
        </w:rPr>
        <w:t>that</w:t>
      </w:r>
      <w:r w:rsidR="003D640C">
        <w:rPr>
          <w:rFonts w:ascii="Calibri" w:eastAsia="Times New Roman" w:hAnsi="Calibri" w:cs="Calibri"/>
          <w:lang w:eastAsia="en-NZ"/>
        </w:rPr>
        <w:t xml:space="preserve"> </w:t>
      </w:r>
      <w:r>
        <w:rPr>
          <w:rFonts w:ascii="Calibri" w:eastAsia="Times New Roman" w:hAnsi="Calibri" w:cs="Calibri"/>
          <w:lang w:eastAsia="en-NZ"/>
        </w:rPr>
        <w:t>we</w:t>
      </w:r>
      <w:r w:rsidR="003D640C">
        <w:rPr>
          <w:rFonts w:ascii="Calibri" w:eastAsia="Times New Roman" w:hAnsi="Calibri" w:cs="Calibri"/>
          <w:lang w:eastAsia="en-NZ"/>
        </w:rPr>
        <w:t xml:space="preserve"> </w:t>
      </w:r>
      <w:r>
        <w:rPr>
          <w:rFonts w:ascii="Calibri" w:eastAsia="Times New Roman" w:hAnsi="Calibri" w:cs="Calibri"/>
          <w:lang w:eastAsia="en-NZ"/>
        </w:rPr>
        <w:t>gathered</w:t>
      </w:r>
      <w:r w:rsidR="003D640C">
        <w:rPr>
          <w:rFonts w:ascii="Calibri" w:eastAsia="Times New Roman" w:hAnsi="Calibri" w:cs="Calibri"/>
          <w:lang w:eastAsia="en-NZ"/>
        </w:rPr>
        <w:t xml:space="preserve"> </w:t>
      </w:r>
      <w:r w:rsidRPr="00993640">
        <w:rPr>
          <w:rFonts w:ascii="Calibri" w:eastAsia="Times New Roman" w:hAnsi="Calibri" w:cs="Calibri"/>
          <w:lang w:eastAsia="en-NZ"/>
        </w:rPr>
        <w:t>as</w:t>
      </w:r>
      <w:r w:rsidR="003D640C">
        <w:rPr>
          <w:rFonts w:ascii="Calibri" w:eastAsia="Times New Roman" w:hAnsi="Calibri" w:cs="Calibri"/>
          <w:lang w:eastAsia="en-NZ"/>
        </w:rPr>
        <w:t xml:space="preserve"> </w:t>
      </w:r>
      <w:r w:rsidRPr="00993640">
        <w:rPr>
          <w:rFonts w:ascii="Calibri" w:eastAsia="Times New Roman" w:hAnsi="Calibri" w:cs="Calibri"/>
          <w:lang w:eastAsia="en-NZ"/>
        </w:rPr>
        <w:t>a</w:t>
      </w:r>
      <w:r w:rsidR="003D640C">
        <w:rPr>
          <w:rFonts w:ascii="Calibri" w:eastAsia="Times New Roman" w:hAnsi="Calibri" w:cs="Calibri"/>
          <w:lang w:eastAsia="en-NZ"/>
        </w:rPr>
        <w:t xml:space="preserve"> </w:t>
      </w:r>
      <w:r w:rsidRPr="00993640">
        <w:rPr>
          <w:rFonts w:ascii="Calibri" w:eastAsia="Times New Roman" w:hAnsi="Calibri" w:cs="Calibri"/>
          <w:lang w:eastAsia="en-NZ"/>
        </w:rPr>
        <w:t>result</w:t>
      </w:r>
      <w:r w:rsidR="003D640C">
        <w:rPr>
          <w:rFonts w:ascii="Calibri" w:eastAsia="Times New Roman" w:hAnsi="Calibri" w:cs="Calibri"/>
          <w:lang w:eastAsia="en-NZ"/>
        </w:rPr>
        <w:t xml:space="preserve"> </w:t>
      </w:r>
      <w:r w:rsidRPr="00993640">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our</w:t>
      </w:r>
      <w:r w:rsidR="003D640C">
        <w:rPr>
          <w:rFonts w:ascii="Calibri" w:eastAsia="Times New Roman" w:hAnsi="Calibri" w:cs="Calibri"/>
          <w:lang w:eastAsia="en-NZ"/>
        </w:rPr>
        <w:t xml:space="preserve"> </w:t>
      </w:r>
      <w:r>
        <w:rPr>
          <w:rFonts w:ascii="Calibri" w:eastAsia="Times New Roman" w:hAnsi="Calibri" w:cs="Calibri"/>
          <w:lang w:eastAsia="en-NZ"/>
        </w:rPr>
        <w:t>human</w:t>
      </w:r>
      <w:r w:rsidR="003D640C">
        <w:rPr>
          <w:rFonts w:ascii="Calibri" w:eastAsia="Times New Roman" w:hAnsi="Calibri" w:cs="Calibri"/>
          <w:lang w:eastAsia="en-NZ"/>
        </w:rPr>
        <w:t xml:space="preserve"> </w:t>
      </w:r>
      <w:r>
        <w:rPr>
          <w:rFonts w:ascii="Calibri" w:eastAsia="Times New Roman" w:hAnsi="Calibri" w:cs="Calibri"/>
          <w:lang w:eastAsia="en-NZ"/>
        </w:rPr>
        <w:t>rights-centred</w:t>
      </w:r>
      <w:r w:rsidR="003D640C">
        <w:rPr>
          <w:rFonts w:ascii="Calibri" w:eastAsia="Times New Roman" w:hAnsi="Calibri" w:cs="Calibri"/>
          <w:lang w:eastAsia="en-NZ"/>
        </w:rPr>
        <w:t xml:space="preserve"> </w:t>
      </w:r>
      <w:r>
        <w:rPr>
          <w:rFonts w:ascii="Calibri" w:eastAsia="Times New Roman" w:hAnsi="Calibri" w:cs="Calibri"/>
          <w:lang w:eastAsia="en-NZ"/>
        </w:rPr>
        <w:t>approach</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sidR="0013718D">
        <w:rPr>
          <w:rFonts w:ascii="Calibri" w:eastAsia="Times New Roman" w:hAnsi="Calibri" w:cs="Calibri"/>
          <w:lang w:eastAsia="en-NZ"/>
        </w:rPr>
        <w:t>setting</w:t>
      </w:r>
      <w:r w:rsidR="003D640C">
        <w:rPr>
          <w:rFonts w:ascii="Calibri" w:eastAsia="Times New Roman" w:hAnsi="Calibri" w:cs="Calibri"/>
          <w:lang w:eastAsia="en-NZ"/>
        </w:rPr>
        <w:t xml:space="preserve"> </w:t>
      </w:r>
      <w:r w:rsidR="0013718D">
        <w:rPr>
          <w:rFonts w:ascii="Calibri" w:eastAsia="Times New Roman" w:hAnsi="Calibri" w:cs="Calibri"/>
          <w:lang w:eastAsia="en-NZ"/>
        </w:rPr>
        <w:t>up</w:t>
      </w:r>
      <w:r w:rsidR="003D640C">
        <w:rPr>
          <w:rFonts w:ascii="Calibri" w:eastAsia="Times New Roman" w:hAnsi="Calibri" w:cs="Calibri"/>
          <w:lang w:eastAsia="en-NZ"/>
        </w:rPr>
        <w:t xml:space="preserve"> </w:t>
      </w:r>
      <w:r w:rsidR="00764904">
        <w:rPr>
          <w:rFonts w:ascii="Calibri" w:eastAsia="Times New Roman" w:hAnsi="Calibri" w:cs="Calibri"/>
          <w:lang w:eastAsia="en-NZ"/>
        </w:rPr>
        <w:t>the</w:t>
      </w:r>
      <w:r w:rsidR="003D640C">
        <w:rPr>
          <w:rFonts w:ascii="Calibri" w:eastAsia="Times New Roman" w:hAnsi="Calibri" w:cs="Calibri"/>
          <w:lang w:eastAsia="en-NZ"/>
        </w:rPr>
        <w:t xml:space="preserve"> </w:t>
      </w:r>
      <w:r w:rsidR="00764904">
        <w:rPr>
          <w:rFonts w:ascii="Calibri" w:eastAsia="Times New Roman" w:hAnsi="Calibri" w:cs="Calibri"/>
          <w:lang w:eastAsia="en-NZ"/>
        </w:rPr>
        <w:t>civil</w:t>
      </w:r>
      <w:r w:rsidR="003D640C">
        <w:rPr>
          <w:rFonts w:ascii="Calibri" w:eastAsia="Times New Roman" w:hAnsi="Calibri" w:cs="Calibri"/>
          <w:lang w:eastAsia="en-NZ"/>
        </w:rPr>
        <w:t xml:space="preserve"> </w:t>
      </w:r>
      <w:r w:rsidR="00764904">
        <w:rPr>
          <w:rFonts w:ascii="Calibri" w:eastAsia="Times New Roman" w:hAnsi="Calibri" w:cs="Calibri"/>
          <w:lang w:eastAsia="en-NZ"/>
        </w:rPr>
        <w:t>response</w:t>
      </w:r>
      <w:r w:rsidR="003D640C">
        <w:rPr>
          <w:rFonts w:ascii="Calibri" w:eastAsia="Times New Roman" w:hAnsi="Calibri" w:cs="Calibri"/>
          <w:lang w:eastAsia="en-NZ"/>
        </w:rPr>
        <w:t xml:space="preserve"> </w:t>
      </w:r>
      <w:r w:rsidR="00764904">
        <w:rPr>
          <w:rFonts w:ascii="Calibri" w:eastAsia="Times New Roman" w:hAnsi="Calibri" w:cs="Calibri"/>
          <w:lang w:eastAsia="en-NZ"/>
        </w:rPr>
        <w:t>service.</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report</w:t>
      </w:r>
      <w:r w:rsidR="003D640C">
        <w:rPr>
          <w:rFonts w:ascii="Calibri" w:eastAsia="Times New Roman" w:hAnsi="Calibri" w:cs="Calibri"/>
          <w:lang w:eastAsia="en-NZ"/>
        </w:rPr>
        <w:t xml:space="preserve"> </w:t>
      </w:r>
      <w:r>
        <w:rPr>
          <w:rFonts w:ascii="Calibri" w:eastAsia="Times New Roman" w:hAnsi="Calibri" w:cs="Calibri"/>
          <w:lang w:eastAsia="en-NZ"/>
        </w:rPr>
        <w:t>was</w:t>
      </w:r>
      <w:r w:rsidR="003D640C">
        <w:rPr>
          <w:rFonts w:ascii="Calibri" w:eastAsia="Times New Roman" w:hAnsi="Calibri" w:cs="Calibri"/>
          <w:lang w:eastAsia="en-NZ"/>
        </w:rPr>
        <w:t xml:space="preserve"> </w:t>
      </w:r>
      <w:r>
        <w:rPr>
          <w:rFonts w:ascii="Calibri" w:eastAsia="Times New Roman" w:hAnsi="Calibri" w:cs="Calibri"/>
          <w:lang w:eastAsia="en-NZ"/>
        </w:rPr>
        <w:t>written</w:t>
      </w:r>
      <w:r w:rsidR="003D640C">
        <w:rPr>
          <w:rFonts w:ascii="Calibri" w:eastAsia="Times New Roman" w:hAnsi="Calibri" w:cs="Calibri"/>
          <w:lang w:eastAsia="en-NZ"/>
        </w:rPr>
        <w:t xml:space="preserve"> </w:t>
      </w:r>
      <w:r w:rsidRPr="00993640">
        <w:rPr>
          <w:rFonts w:ascii="Calibri" w:eastAsia="Times New Roman" w:hAnsi="Calibri" w:cs="Calibri"/>
          <w:lang w:eastAsia="en-NZ"/>
        </w:rPr>
        <w:t>collaboratively</w:t>
      </w:r>
      <w:r w:rsidR="003D640C">
        <w:rPr>
          <w:rFonts w:ascii="Calibri" w:eastAsia="Times New Roman" w:hAnsi="Calibri" w:cs="Calibri"/>
          <w:lang w:eastAsia="en-NZ"/>
        </w:rPr>
        <w:t xml:space="preserve"> </w:t>
      </w:r>
      <w:r w:rsidRPr="00993640">
        <w:rPr>
          <w:rFonts w:ascii="Calibri" w:eastAsia="Times New Roman" w:hAnsi="Calibri" w:cs="Calibri"/>
          <w:lang w:eastAsia="en-NZ"/>
        </w:rPr>
        <w:t>by</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diverse</w:t>
      </w:r>
      <w:r w:rsidR="003D640C">
        <w:rPr>
          <w:rFonts w:ascii="Calibri" w:eastAsia="Times New Roman" w:hAnsi="Calibri" w:cs="Calibri"/>
          <w:lang w:eastAsia="en-NZ"/>
        </w:rPr>
        <w:t xml:space="preserve"> </w:t>
      </w:r>
      <w:r w:rsidRPr="00993640">
        <w:rPr>
          <w:rFonts w:ascii="Calibri" w:eastAsia="Times New Roman" w:hAnsi="Calibri" w:cs="Calibri"/>
          <w:lang w:eastAsia="en-NZ"/>
        </w:rPr>
        <w:t>members</w:t>
      </w:r>
      <w:r w:rsidR="003D640C">
        <w:rPr>
          <w:rFonts w:ascii="Calibri" w:eastAsia="Times New Roman" w:hAnsi="Calibri" w:cs="Calibri"/>
          <w:lang w:eastAsia="en-NZ"/>
        </w:rPr>
        <w:t xml:space="preserve"> </w:t>
      </w:r>
      <w:r>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our</w:t>
      </w:r>
      <w:r w:rsidR="003D640C">
        <w:rPr>
          <w:rFonts w:ascii="Calibri" w:eastAsia="Times New Roman" w:hAnsi="Calibri" w:cs="Calibri"/>
          <w:lang w:eastAsia="en-NZ"/>
        </w:rPr>
        <w:t xml:space="preserve"> </w:t>
      </w:r>
      <w:r>
        <w:rPr>
          <w:rFonts w:ascii="Calibri" w:eastAsia="Times New Roman" w:hAnsi="Calibri" w:cs="Calibri"/>
          <w:lang w:eastAsia="en-NZ"/>
        </w:rPr>
        <w:t>Conversion</w:t>
      </w:r>
      <w:r w:rsidR="003D640C">
        <w:rPr>
          <w:rFonts w:ascii="Calibri" w:eastAsia="Times New Roman" w:hAnsi="Calibri" w:cs="Calibri"/>
          <w:lang w:eastAsia="en-NZ"/>
        </w:rPr>
        <w:t xml:space="preserve"> </w:t>
      </w:r>
      <w:r>
        <w:rPr>
          <w:rFonts w:ascii="Calibri" w:eastAsia="Times New Roman" w:hAnsi="Calibri" w:cs="Calibri"/>
          <w:lang w:eastAsia="en-NZ"/>
        </w:rPr>
        <w:t>Practices</w:t>
      </w:r>
      <w:r w:rsidR="003D640C">
        <w:rPr>
          <w:rFonts w:ascii="Calibri" w:eastAsia="Times New Roman" w:hAnsi="Calibri" w:cs="Calibri"/>
          <w:lang w:eastAsia="en-NZ"/>
        </w:rPr>
        <w:t xml:space="preserve"> </w:t>
      </w:r>
      <w:r>
        <w:rPr>
          <w:rFonts w:ascii="Calibri" w:eastAsia="Times New Roman" w:hAnsi="Calibri" w:cs="Calibri"/>
          <w:lang w:eastAsia="en-NZ"/>
        </w:rPr>
        <w:t>Response</w:t>
      </w:r>
      <w:r w:rsidR="003D640C">
        <w:rPr>
          <w:rFonts w:ascii="Calibri" w:eastAsia="Times New Roman" w:hAnsi="Calibri" w:cs="Calibri"/>
          <w:lang w:eastAsia="en-NZ"/>
        </w:rPr>
        <w:t xml:space="preserve"> </w:t>
      </w:r>
      <w:r>
        <w:rPr>
          <w:rFonts w:ascii="Calibri" w:eastAsia="Times New Roman" w:hAnsi="Calibri" w:cs="Calibri"/>
          <w:lang w:eastAsia="en-NZ"/>
        </w:rPr>
        <w:t>Team</w:t>
      </w:r>
      <w:r w:rsidRPr="00993640">
        <w:rPr>
          <w:rFonts w:ascii="Calibri" w:eastAsia="Times New Roman" w:hAnsi="Calibri" w:cs="Calibri"/>
          <w:lang w:eastAsia="en-NZ"/>
        </w:rPr>
        <w:t>.</w:t>
      </w:r>
      <w:r w:rsidR="003D640C">
        <w:rPr>
          <w:rFonts w:ascii="Calibri" w:eastAsia="Times New Roman" w:hAnsi="Calibri" w:cs="Calibri"/>
          <w:lang w:eastAsia="en-NZ"/>
        </w:rPr>
        <w:t xml:space="preserve"> </w:t>
      </w:r>
      <w:r>
        <w:rPr>
          <w:rFonts w:ascii="Calibri" w:eastAsia="Times New Roman" w:hAnsi="Calibri" w:cs="Calibri"/>
          <w:lang w:eastAsia="en-NZ"/>
        </w:rPr>
        <w:t>It</w:t>
      </w:r>
      <w:r w:rsidR="003D640C">
        <w:rPr>
          <w:rFonts w:ascii="Calibri" w:eastAsia="Times New Roman" w:hAnsi="Calibri" w:cs="Calibri"/>
          <w:lang w:eastAsia="en-NZ"/>
        </w:rPr>
        <w:t xml:space="preserve"> </w:t>
      </w:r>
      <w:r w:rsidRPr="00993640">
        <w:rPr>
          <w:rFonts w:ascii="Calibri" w:eastAsia="Times New Roman" w:hAnsi="Calibri" w:cs="Calibri"/>
          <w:lang w:eastAsia="en-NZ"/>
        </w:rPr>
        <w:t>draws</w:t>
      </w:r>
      <w:r w:rsidR="003D640C">
        <w:rPr>
          <w:rFonts w:ascii="Calibri" w:eastAsia="Times New Roman" w:hAnsi="Calibri" w:cs="Calibri"/>
          <w:lang w:eastAsia="en-NZ"/>
        </w:rPr>
        <w:t xml:space="preserve"> </w:t>
      </w:r>
      <w:r w:rsidRPr="00993640">
        <w:rPr>
          <w:rFonts w:ascii="Calibri" w:eastAsia="Times New Roman" w:hAnsi="Calibri" w:cs="Calibri"/>
          <w:lang w:eastAsia="en-NZ"/>
        </w:rPr>
        <w:t>from</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engagements</w:t>
      </w:r>
      <w:r w:rsidR="003D640C">
        <w:rPr>
          <w:rFonts w:ascii="Calibri" w:eastAsia="Times New Roman" w:hAnsi="Calibri" w:cs="Calibri"/>
          <w:lang w:eastAsia="en-NZ"/>
        </w:rPr>
        <w:t xml:space="preserve"> </w:t>
      </w:r>
      <w:r w:rsidRPr="00993640">
        <w:rPr>
          <w:rFonts w:ascii="Calibri" w:eastAsia="Times New Roman" w:hAnsi="Calibri" w:cs="Calibri"/>
          <w:lang w:eastAsia="en-NZ"/>
        </w:rPr>
        <w:t>and</w:t>
      </w:r>
      <w:r w:rsidR="003D640C">
        <w:rPr>
          <w:rFonts w:ascii="Calibri" w:eastAsia="Times New Roman" w:hAnsi="Calibri" w:cs="Calibri"/>
          <w:lang w:eastAsia="en-NZ"/>
        </w:rPr>
        <w:t xml:space="preserve"> </w:t>
      </w:r>
      <w:r w:rsidRPr="00993640">
        <w:rPr>
          <w:rFonts w:ascii="Calibri" w:eastAsia="Times New Roman" w:hAnsi="Calibri" w:cs="Calibri"/>
          <w:lang w:eastAsia="en-NZ"/>
        </w:rPr>
        <w:t>training</w:t>
      </w:r>
      <w:r w:rsidR="003D640C">
        <w:rPr>
          <w:rFonts w:ascii="Calibri" w:eastAsia="Times New Roman" w:hAnsi="Calibri" w:cs="Calibri"/>
          <w:lang w:eastAsia="en-NZ"/>
        </w:rPr>
        <w:t xml:space="preserve"> </w:t>
      </w:r>
      <w:r w:rsidRPr="00993640">
        <w:rPr>
          <w:rFonts w:ascii="Calibri" w:eastAsia="Times New Roman" w:hAnsi="Calibri" w:cs="Calibri"/>
          <w:lang w:eastAsia="en-NZ"/>
        </w:rPr>
        <w:t>sessions</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team</w:t>
      </w:r>
      <w:r w:rsidR="003D640C">
        <w:rPr>
          <w:rFonts w:ascii="Calibri" w:eastAsia="Times New Roman" w:hAnsi="Calibri" w:cs="Calibri"/>
          <w:lang w:eastAsia="en-NZ"/>
        </w:rPr>
        <w:t xml:space="preserve"> </w:t>
      </w:r>
      <w:r w:rsidRPr="00993640">
        <w:rPr>
          <w:rFonts w:ascii="Calibri" w:eastAsia="Times New Roman" w:hAnsi="Calibri" w:cs="Calibri"/>
          <w:lang w:eastAsia="en-NZ"/>
        </w:rPr>
        <w:t>ran,</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workshops</w:t>
      </w:r>
      <w:r w:rsidR="003D640C">
        <w:rPr>
          <w:rFonts w:ascii="Calibri" w:eastAsia="Times New Roman" w:hAnsi="Calibri" w:cs="Calibri"/>
          <w:lang w:eastAsia="en-NZ"/>
        </w:rPr>
        <w:t xml:space="preserve"> </w:t>
      </w:r>
      <w:r w:rsidRPr="00993640">
        <w:rPr>
          <w:rFonts w:ascii="Calibri" w:eastAsia="Times New Roman" w:hAnsi="Calibri" w:cs="Calibri"/>
          <w:lang w:eastAsia="en-NZ"/>
        </w:rPr>
        <w:t>they</w:t>
      </w:r>
      <w:r w:rsidR="003D640C">
        <w:rPr>
          <w:rFonts w:ascii="Calibri" w:eastAsia="Times New Roman" w:hAnsi="Calibri" w:cs="Calibri"/>
          <w:lang w:eastAsia="en-NZ"/>
        </w:rPr>
        <w:t xml:space="preserve"> </w:t>
      </w:r>
      <w:r w:rsidRPr="00993640">
        <w:rPr>
          <w:rFonts w:ascii="Calibri" w:eastAsia="Times New Roman" w:hAnsi="Calibri" w:cs="Calibri"/>
          <w:lang w:eastAsia="en-NZ"/>
        </w:rPr>
        <w:t>participated</w:t>
      </w:r>
      <w:r w:rsidR="003D640C">
        <w:rPr>
          <w:rFonts w:ascii="Calibri" w:eastAsia="Times New Roman" w:hAnsi="Calibri" w:cs="Calibri"/>
          <w:lang w:eastAsia="en-NZ"/>
        </w:rPr>
        <w:t xml:space="preserve"> </w:t>
      </w:r>
      <w:r w:rsidRPr="00993640">
        <w:rPr>
          <w:rFonts w:ascii="Calibri" w:eastAsia="Times New Roman" w:hAnsi="Calibri" w:cs="Calibri"/>
          <w:lang w:eastAsia="en-NZ"/>
        </w:rPr>
        <w:t>in,</w:t>
      </w:r>
      <w:r w:rsidR="003D640C">
        <w:rPr>
          <w:rFonts w:ascii="Calibri" w:eastAsia="Times New Roman" w:hAnsi="Calibri" w:cs="Calibri"/>
          <w:lang w:eastAsia="en-NZ"/>
        </w:rPr>
        <w:t xml:space="preserve"> </w:t>
      </w:r>
      <w:r w:rsidRPr="00993640">
        <w:rPr>
          <w:rFonts w:ascii="Calibri" w:eastAsia="Times New Roman" w:hAnsi="Calibri" w:cs="Calibri"/>
          <w:lang w:eastAsia="en-NZ"/>
        </w:rPr>
        <w:t>and</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conversations</w:t>
      </w:r>
      <w:r w:rsidR="003D640C">
        <w:rPr>
          <w:rFonts w:ascii="Calibri" w:eastAsia="Times New Roman" w:hAnsi="Calibri" w:cs="Calibri"/>
          <w:lang w:eastAsia="en-NZ"/>
        </w:rPr>
        <w:t xml:space="preserve"> </w:t>
      </w:r>
      <w:r w:rsidRPr="00993640">
        <w:rPr>
          <w:rFonts w:ascii="Calibri" w:eastAsia="Times New Roman" w:hAnsi="Calibri" w:cs="Calibri"/>
          <w:lang w:eastAsia="en-NZ"/>
        </w:rPr>
        <w:t>they</w:t>
      </w:r>
      <w:r w:rsidR="003D640C">
        <w:rPr>
          <w:rFonts w:ascii="Calibri" w:eastAsia="Times New Roman" w:hAnsi="Calibri" w:cs="Calibri"/>
          <w:lang w:eastAsia="en-NZ"/>
        </w:rPr>
        <w:t xml:space="preserve"> </w:t>
      </w:r>
      <w:r w:rsidRPr="00993640">
        <w:rPr>
          <w:rFonts w:ascii="Calibri" w:eastAsia="Times New Roman" w:hAnsi="Calibri" w:cs="Calibri"/>
          <w:lang w:eastAsia="en-NZ"/>
        </w:rPr>
        <w:t>had</w:t>
      </w:r>
      <w:r w:rsidR="003D640C">
        <w:rPr>
          <w:rFonts w:ascii="Calibri" w:eastAsia="Times New Roman" w:hAnsi="Calibri" w:cs="Calibri"/>
          <w:lang w:eastAsia="en-NZ"/>
        </w:rPr>
        <w:t xml:space="preserve"> </w:t>
      </w:r>
      <w:r w:rsidRPr="00993640">
        <w:rPr>
          <w:rFonts w:ascii="Calibri" w:eastAsia="Times New Roman" w:hAnsi="Calibri" w:cs="Calibri"/>
          <w:lang w:eastAsia="en-NZ"/>
        </w:rPr>
        <w:t>with</w:t>
      </w:r>
      <w:r w:rsidR="003D640C">
        <w:rPr>
          <w:rFonts w:ascii="Calibri" w:eastAsia="Times New Roman" w:hAnsi="Calibri" w:cs="Calibri"/>
          <w:lang w:eastAsia="en-NZ"/>
        </w:rPr>
        <w:t xml:space="preserve"> </w:t>
      </w:r>
      <w:r w:rsidRPr="0099364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993640">
        <w:rPr>
          <w:rFonts w:ascii="Calibri" w:eastAsia="Times New Roman" w:hAnsi="Calibri" w:cs="Calibri"/>
          <w:lang w:eastAsia="en-NZ"/>
        </w:rPr>
        <w:t>practices</w:t>
      </w:r>
      <w:r w:rsidR="003D640C">
        <w:rPr>
          <w:rFonts w:ascii="Calibri" w:eastAsia="Times New Roman" w:hAnsi="Calibri" w:cs="Calibri"/>
          <w:lang w:eastAsia="en-NZ"/>
        </w:rPr>
        <w:t xml:space="preserve"> </w:t>
      </w:r>
      <w:r w:rsidRPr="00993640">
        <w:rPr>
          <w:rFonts w:ascii="Calibri" w:eastAsia="Times New Roman" w:hAnsi="Calibri" w:cs="Calibri"/>
          <w:lang w:eastAsia="en-NZ"/>
        </w:rPr>
        <w:t>survivors</w:t>
      </w:r>
      <w:r w:rsidR="003D640C">
        <w:rPr>
          <w:rFonts w:ascii="Calibri" w:eastAsia="Times New Roman" w:hAnsi="Calibri" w:cs="Calibri"/>
          <w:lang w:eastAsia="en-NZ"/>
        </w:rPr>
        <w:t xml:space="preserve"> </w:t>
      </w:r>
      <w:r w:rsidRPr="00993640">
        <w:rPr>
          <w:rFonts w:ascii="Calibri" w:eastAsia="Times New Roman" w:hAnsi="Calibri" w:cs="Calibri"/>
          <w:lang w:eastAsia="en-NZ"/>
        </w:rPr>
        <w:t>throughout</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18</w:t>
      </w:r>
      <w:r w:rsidR="003D640C">
        <w:rPr>
          <w:rFonts w:ascii="Calibri" w:eastAsia="Times New Roman" w:hAnsi="Calibri" w:cs="Calibri"/>
          <w:lang w:eastAsia="en-NZ"/>
        </w:rPr>
        <w:t xml:space="preserve"> </w:t>
      </w:r>
      <w:r w:rsidRPr="00993640">
        <w:rPr>
          <w:rFonts w:ascii="Calibri" w:eastAsia="Times New Roman" w:hAnsi="Calibri" w:cs="Calibri"/>
          <w:lang w:eastAsia="en-NZ"/>
        </w:rPr>
        <w:t>months</w:t>
      </w:r>
      <w:r w:rsidR="003D640C">
        <w:rPr>
          <w:rFonts w:ascii="Calibri" w:eastAsia="Times New Roman" w:hAnsi="Calibri" w:cs="Calibri"/>
          <w:lang w:eastAsia="en-NZ"/>
        </w:rPr>
        <w:t xml:space="preserve"> </w:t>
      </w:r>
      <w:r w:rsidR="0013718D">
        <w:rPr>
          <w:rFonts w:ascii="Calibri" w:eastAsia="Times New Roman" w:hAnsi="Calibri" w:cs="Calibri"/>
          <w:lang w:eastAsia="en-NZ"/>
        </w:rPr>
        <w:t>that</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0013718D">
        <w:rPr>
          <w:rFonts w:ascii="Calibri" w:eastAsia="Times New Roman" w:hAnsi="Calibri" w:cs="Calibri"/>
          <w:lang w:eastAsia="en-NZ"/>
        </w:rPr>
        <w:t>dedicated</w:t>
      </w:r>
      <w:r w:rsidR="003D640C">
        <w:rPr>
          <w:rFonts w:ascii="Calibri" w:eastAsia="Times New Roman" w:hAnsi="Calibri" w:cs="Calibri"/>
          <w:lang w:eastAsia="en-NZ"/>
        </w:rPr>
        <w:t xml:space="preserve"> </w:t>
      </w:r>
      <w:r w:rsidR="0013718D">
        <w:rPr>
          <w:rFonts w:ascii="Calibri" w:eastAsia="Times New Roman" w:hAnsi="Calibri" w:cs="Calibri"/>
          <w:lang w:eastAsia="en-NZ"/>
        </w:rPr>
        <w:t>response</w:t>
      </w:r>
      <w:r w:rsidR="003D640C">
        <w:rPr>
          <w:rFonts w:ascii="Calibri" w:eastAsia="Times New Roman" w:hAnsi="Calibri" w:cs="Calibri"/>
          <w:lang w:eastAsia="en-NZ"/>
        </w:rPr>
        <w:t xml:space="preserve"> </w:t>
      </w:r>
      <w:r w:rsidRPr="00993640">
        <w:rPr>
          <w:rFonts w:ascii="Calibri" w:eastAsia="Times New Roman" w:hAnsi="Calibri" w:cs="Calibri"/>
          <w:lang w:eastAsia="en-NZ"/>
        </w:rPr>
        <w:t>was</w:t>
      </w:r>
      <w:r w:rsidR="003D640C">
        <w:rPr>
          <w:rFonts w:ascii="Calibri" w:eastAsia="Times New Roman" w:hAnsi="Calibri" w:cs="Calibri"/>
          <w:lang w:eastAsia="en-NZ"/>
        </w:rPr>
        <w:t xml:space="preserve"> </w:t>
      </w:r>
      <w:r w:rsidRPr="00993640">
        <w:rPr>
          <w:rFonts w:ascii="Calibri" w:eastAsia="Times New Roman" w:hAnsi="Calibri" w:cs="Calibri"/>
          <w:lang w:eastAsia="en-NZ"/>
        </w:rPr>
        <w:t>under</w:t>
      </w:r>
      <w:r w:rsidR="007D053D">
        <w:rPr>
          <w:rFonts w:ascii="Calibri" w:eastAsia="Times New Roman" w:hAnsi="Calibri" w:cs="Calibri"/>
          <w:lang w:eastAsia="en-NZ"/>
        </w:rPr>
        <w:t xml:space="preserve"> </w:t>
      </w:r>
      <w:r w:rsidRPr="00993640">
        <w:rPr>
          <w:rFonts w:ascii="Calibri" w:eastAsia="Times New Roman" w:hAnsi="Calibri" w:cs="Calibri"/>
          <w:lang w:eastAsia="en-NZ"/>
        </w:rPr>
        <w:t>way.</w:t>
      </w:r>
    </w:p>
    <w:p w14:paraId="60338652" w14:textId="27DF9DAF" w:rsidR="00501068" w:rsidRDefault="00BB3F27" w:rsidP="0078026B">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insights</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team</w:t>
      </w:r>
      <w:r w:rsidR="003D640C">
        <w:rPr>
          <w:rFonts w:ascii="Calibri" w:eastAsia="Times New Roman" w:hAnsi="Calibri" w:cs="Calibri"/>
          <w:lang w:eastAsia="en-NZ"/>
        </w:rPr>
        <w:t xml:space="preserve"> </w:t>
      </w:r>
      <w:r>
        <w:rPr>
          <w:rFonts w:ascii="Calibri" w:eastAsia="Times New Roman" w:hAnsi="Calibri" w:cs="Calibri"/>
          <w:lang w:eastAsia="en-NZ"/>
        </w:rPr>
        <w:t>gained</w:t>
      </w:r>
      <w:r w:rsidR="003D640C">
        <w:rPr>
          <w:rFonts w:ascii="Calibri" w:eastAsia="Times New Roman" w:hAnsi="Calibri" w:cs="Calibri"/>
          <w:lang w:eastAsia="en-NZ"/>
        </w:rPr>
        <w:t xml:space="preserve"> </w:t>
      </w:r>
      <w:r>
        <w:rPr>
          <w:rFonts w:ascii="Calibri" w:eastAsia="Times New Roman" w:hAnsi="Calibri" w:cs="Calibri"/>
          <w:lang w:eastAsia="en-NZ"/>
        </w:rPr>
        <w:t>during</w:t>
      </w:r>
      <w:r w:rsidR="003D640C">
        <w:rPr>
          <w:rFonts w:ascii="Calibri" w:eastAsia="Times New Roman" w:hAnsi="Calibri" w:cs="Calibri"/>
          <w:lang w:eastAsia="en-NZ"/>
        </w:rPr>
        <w:t xml:space="preserve"> </w:t>
      </w:r>
      <w:r>
        <w:rPr>
          <w:rFonts w:ascii="Calibri" w:eastAsia="Times New Roman" w:hAnsi="Calibri" w:cs="Calibri"/>
          <w:lang w:eastAsia="en-NZ"/>
        </w:rPr>
        <w:t>their</w:t>
      </w:r>
      <w:r w:rsidR="003D640C">
        <w:rPr>
          <w:rFonts w:ascii="Calibri" w:eastAsia="Times New Roman" w:hAnsi="Calibri" w:cs="Calibri"/>
          <w:lang w:eastAsia="en-NZ"/>
        </w:rPr>
        <w:t xml:space="preserve"> </w:t>
      </w:r>
      <w:r>
        <w:rPr>
          <w:rFonts w:ascii="Calibri" w:eastAsia="Times New Roman" w:hAnsi="Calibri" w:cs="Calibri"/>
          <w:lang w:eastAsia="en-NZ"/>
        </w:rPr>
        <w:t>work</w:t>
      </w:r>
      <w:r w:rsidR="003D640C">
        <w:rPr>
          <w:rFonts w:ascii="Calibri" w:eastAsia="Times New Roman" w:hAnsi="Calibri" w:cs="Calibri"/>
          <w:lang w:eastAsia="en-NZ"/>
        </w:rPr>
        <w:t xml:space="preserve"> </w:t>
      </w:r>
      <w:r>
        <w:rPr>
          <w:rFonts w:ascii="Calibri" w:eastAsia="Times New Roman" w:hAnsi="Calibri" w:cs="Calibri"/>
          <w:lang w:eastAsia="en-NZ"/>
        </w:rPr>
        <w:t>and</w:t>
      </w:r>
      <w:r w:rsidR="003D640C">
        <w:rPr>
          <w:rFonts w:ascii="Calibri" w:eastAsia="Times New Roman" w:hAnsi="Calibri" w:cs="Calibri"/>
          <w:lang w:eastAsia="en-NZ"/>
        </w:rPr>
        <w:t xml:space="preserve"> </w:t>
      </w:r>
      <w:r w:rsidR="007D053D">
        <w:rPr>
          <w:rFonts w:ascii="Calibri" w:eastAsia="Times New Roman" w:hAnsi="Calibri" w:cs="Calibri"/>
          <w:lang w:eastAsia="en-NZ"/>
        </w:rPr>
        <w:t xml:space="preserve">that are </w:t>
      </w:r>
      <w:r>
        <w:rPr>
          <w:rFonts w:ascii="Calibri" w:eastAsia="Times New Roman" w:hAnsi="Calibri" w:cs="Calibri"/>
          <w:lang w:eastAsia="en-NZ"/>
        </w:rPr>
        <w:t>outlined</w:t>
      </w:r>
      <w:r w:rsidR="003D640C">
        <w:rPr>
          <w:rFonts w:ascii="Calibri" w:eastAsia="Times New Roman" w:hAnsi="Calibri" w:cs="Calibri"/>
          <w:lang w:eastAsia="en-NZ"/>
        </w:rPr>
        <w:t xml:space="preserve"> </w:t>
      </w:r>
      <w:r>
        <w:rPr>
          <w:rFonts w:ascii="Calibri" w:eastAsia="Times New Roman" w:hAnsi="Calibri" w:cs="Calibri"/>
          <w:lang w:eastAsia="en-NZ"/>
        </w:rPr>
        <w:t>in</w:t>
      </w:r>
      <w:r w:rsidR="003D640C">
        <w:rPr>
          <w:rFonts w:ascii="Calibri" w:eastAsia="Times New Roman" w:hAnsi="Calibri" w:cs="Calibri"/>
          <w:lang w:eastAsia="en-NZ"/>
        </w:rPr>
        <w:t xml:space="preserve"> </w:t>
      </w:r>
      <w:r>
        <w:rPr>
          <w:rFonts w:ascii="Calibri" w:eastAsia="Times New Roman" w:hAnsi="Calibri" w:cs="Calibri"/>
          <w:lang w:eastAsia="en-NZ"/>
        </w:rPr>
        <w:t>this</w:t>
      </w:r>
      <w:r w:rsidR="003D640C">
        <w:rPr>
          <w:rFonts w:ascii="Calibri" w:eastAsia="Times New Roman" w:hAnsi="Calibri" w:cs="Calibri"/>
          <w:lang w:eastAsia="en-NZ"/>
        </w:rPr>
        <w:t xml:space="preserve"> </w:t>
      </w:r>
      <w:r>
        <w:rPr>
          <w:rFonts w:ascii="Calibri" w:eastAsia="Times New Roman" w:hAnsi="Calibri" w:cs="Calibri"/>
          <w:lang w:eastAsia="en-NZ"/>
        </w:rPr>
        <w:t>report</w:t>
      </w:r>
      <w:r w:rsidR="003D640C">
        <w:rPr>
          <w:rFonts w:ascii="Calibri" w:eastAsia="Times New Roman" w:hAnsi="Calibri" w:cs="Calibri"/>
          <w:lang w:eastAsia="en-NZ"/>
        </w:rPr>
        <w:t xml:space="preserve"> </w:t>
      </w:r>
      <w:r w:rsidRPr="00993640">
        <w:rPr>
          <w:rFonts w:ascii="Calibri" w:eastAsia="Times New Roman" w:hAnsi="Calibri" w:cs="Calibri"/>
          <w:lang w:eastAsia="en-NZ"/>
        </w:rPr>
        <w:t>are</w:t>
      </w:r>
      <w:r w:rsidR="003D640C">
        <w:rPr>
          <w:rFonts w:ascii="Calibri" w:eastAsia="Times New Roman" w:hAnsi="Calibri" w:cs="Calibri"/>
          <w:lang w:eastAsia="en-NZ"/>
        </w:rPr>
        <w:t xml:space="preserve"> </w:t>
      </w:r>
      <w:r w:rsidRPr="00993640">
        <w:rPr>
          <w:rFonts w:ascii="Calibri" w:eastAsia="Times New Roman" w:hAnsi="Calibri" w:cs="Calibri"/>
          <w:lang w:eastAsia="en-NZ"/>
        </w:rPr>
        <w:t>an</w:t>
      </w:r>
      <w:r w:rsidR="003D640C">
        <w:rPr>
          <w:rFonts w:ascii="Calibri" w:eastAsia="Times New Roman" w:hAnsi="Calibri" w:cs="Calibri"/>
          <w:lang w:eastAsia="en-NZ"/>
        </w:rPr>
        <w:t xml:space="preserve"> </w:t>
      </w:r>
      <w:r w:rsidRPr="00993640">
        <w:rPr>
          <w:rFonts w:ascii="Calibri" w:eastAsia="Times New Roman" w:hAnsi="Calibri" w:cs="Calibri"/>
          <w:lang w:eastAsia="en-NZ"/>
        </w:rPr>
        <w:t>invaluable</w:t>
      </w:r>
      <w:r w:rsidR="003D640C">
        <w:rPr>
          <w:rFonts w:ascii="Calibri" w:eastAsia="Times New Roman" w:hAnsi="Calibri" w:cs="Calibri"/>
          <w:lang w:eastAsia="en-NZ"/>
        </w:rPr>
        <w:t xml:space="preserve"> </w:t>
      </w:r>
      <w:r w:rsidRPr="00993640">
        <w:rPr>
          <w:rFonts w:ascii="Calibri" w:eastAsia="Times New Roman" w:hAnsi="Calibri" w:cs="Calibri"/>
          <w:lang w:eastAsia="en-NZ"/>
        </w:rPr>
        <w:t>contribution</w:t>
      </w:r>
      <w:r w:rsidR="003D640C">
        <w:rPr>
          <w:rFonts w:ascii="Calibri" w:eastAsia="Times New Roman" w:hAnsi="Calibri" w:cs="Calibri"/>
          <w:lang w:eastAsia="en-NZ"/>
        </w:rPr>
        <w:t xml:space="preserve"> </w:t>
      </w:r>
      <w:r w:rsidRPr="00993640">
        <w:rPr>
          <w:rFonts w:ascii="Calibri" w:eastAsia="Times New Roman" w:hAnsi="Calibri" w:cs="Calibri"/>
          <w:lang w:eastAsia="en-NZ"/>
        </w:rPr>
        <w:t>to</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very</w:t>
      </w:r>
      <w:r w:rsidR="003D640C">
        <w:rPr>
          <w:rFonts w:ascii="Calibri" w:eastAsia="Times New Roman" w:hAnsi="Calibri" w:cs="Calibri"/>
          <w:lang w:eastAsia="en-NZ"/>
        </w:rPr>
        <w:t xml:space="preserve"> </w:t>
      </w:r>
      <w:r w:rsidRPr="00993640">
        <w:rPr>
          <w:rFonts w:ascii="Calibri" w:eastAsia="Times New Roman" w:hAnsi="Calibri" w:cs="Calibri"/>
          <w:lang w:eastAsia="en-NZ"/>
        </w:rPr>
        <w:t>limited</w:t>
      </w:r>
      <w:r w:rsidR="003D640C">
        <w:rPr>
          <w:rFonts w:ascii="Calibri" w:eastAsia="Times New Roman" w:hAnsi="Calibri" w:cs="Calibri"/>
          <w:lang w:eastAsia="en-NZ"/>
        </w:rPr>
        <w:t xml:space="preserve"> </w:t>
      </w:r>
      <w:r w:rsidRPr="00993640">
        <w:rPr>
          <w:rFonts w:ascii="Calibri" w:eastAsia="Times New Roman" w:hAnsi="Calibri" w:cs="Calibri"/>
          <w:lang w:eastAsia="en-NZ"/>
        </w:rPr>
        <w:t>evidence</w:t>
      </w:r>
      <w:r w:rsidR="003D640C">
        <w:rPr>
          <w:rFonts w:ascii="Calibri" w:eastAsia="Times New Roman" w:hAnsi="Calibri" w:cs="Calibri"/>
          <w:lang w:eastAsia="en-NZ"/>
        </w:rPr>
        <w:t xml:space="preserve"> </w:t>
      </w:r>
      <w:r w:rsidRPr="00993640">
        <w:rPr>
          <w:rFonts w:ascii="Calibri" w:eastAsia="Times New Roman" w:hAnsi="Calibri" w:cs="Calibri"/>
          <w:lang w:eastAsia="en-NZ"/>
        </w:rPr>
        <w:t>base</w:t>
      </w:r>
      <w:r w:rsidR="003D640C">
        <w:rPr>
          <w:rFonts w:ascii="Calibri" w:eastAsia="Times New Roman" w:hAnsi="Calibri" w:cs="Calibri"/>
          <w:lang w:eastAsia="en-NZ"/>
        </w:rPr>
        <w:t xml:space="preserve"> </w:t>
      </w:r>
      <w:r w:rsidRPr="00993640">
        <w:rPr>
          <w:rFonts w:ascii="Calibri" w:eastAsia="Times New Roman" w:hAnsi="Calibri" w:cs="Calibri"/>
          <w:lang w:eastAsia="en-NZ"/>
        </w:rPr>
        <w:t>on</w:t>
      </w:r>
      <w:r w:rsidR="003D640C">
        <w:rPr>
          <w:rFonts w:ascii="Calibri" w:eastAsia="Times New Roman" w:hAnsi="Calibri" w:cs="Calibri"/>
          <w:lang w:eastAsia="en-NZ"/>
        </w:rPr>
        <w:t xml:space="preserve"> </w:t>
      </w:r>
      <w:r w:rsidRPr="00993640">
        <w:rPr>
          <w:rFonts w:ascii="Calibri" w:eastAsia="Times New Roman" w:hAnsi="Calibri" w:cs="Calibri"/>
          <w:lang w:eastAsia="en-NZ"/>
        </w:rPr>
        <w:t>the</w:t>
      </w:r>
      <w:r w:rsidR="003D640C">
        <w:rPr>
          <w:rFonts w:ascii="Calibri" w:eastAsia="Times New Roman" w:hAnsi="Calibri" w:cs="Calibri"/>
          <w:lang w:eastAsia="en-NZ"/>
        </w:rPr>
        <w:t xml:space="preserve"> </w:t>
      </w:r>
      <w:r w:rsidRPr="00993640">
        <w:rPr>
          <w:rFonts w:ascii="Calibri" w:eastAsia="Times New Roman" w:hAnsi="Calibri" w:cs="Calibri"/>
          <w:lang w:eastAsia="en-NZ"/>
        </w:rPr>
        <w:t>experience</w:t>
      </w:r>
      <w:r w:rsidR="003D640C">
        <w:rPr>
          <w:rFonts w:ascii="Calibri" w:eastAsia="Times New Roman" w:hAnsi="Calibri" w:cs="Calibri"/>
          <w:lang w:eastAsia="en-NZ"/>
        </w:rPr>
        <w:t xml:space="preserve"> </w:t>
      </w:r>
      <w:r w:rsidRPr="00993640">
        <w:rPr>
          <w:rFonts w:ascii="Calibri" w:eastAsia="Times New Roman" w:hAnsi="Calibri" w:cs="Calibri"/>
          <w:lang w:eastAsia="en-NZ"/>
        </w:rPr>
        <w:t>of</w:t>
      </w:r>
      <w:r w:rsidR="003D640C">
        <w:rPr>
          <w:rFonts w:ascii="Calibri" w:eastAsia="Times New Roman" w:hAnsi="Calibri" w:cs="Calibri"/>
          <w:lang w:eastAsia="en-NZ"/>
        </w:rPr>
        <w:t xml:space="preserve"> </w:t>
      </w:r>
      <w:r w:rsidRPr="0099364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993640">
        <w:rPr>
          <w:rFonts w:ascii="Calibri" w:eastAsia="Times New Roman" w:hAnsi="Calibri" w:cs="Calibri"/>
          <w:lang w:eastAsia="en-NZ"/>
        </w:rPr>
        <w:t>practices</w:t>
      </w:r>
      <w:r w:rsidR="003D640C">
        <w:rPr>
          <w:rFonts w:ascii="Calibri" w:eastAsia="Times New Roman" w:hAnsi="Calibri" w:cs="Calibri"/>
          <w:lang w:eastAsia="en-NZ"/>
        </w:rPr>
        <w:t xml:space="preserve"> </w:t>
      </w:r>
      <w:r w:rsidRPr="00993640">
        <w:rPr>
          <w:rFonts w:ascii="Calibri" w:eastAsia="Times New Roman" w:hAnsi="Calibri" w:cs="Calibri"/>
          <w:lang w:eastAsia="en-NZ"/>
        </w:rPr>
        <w:t>in</w:t>
      </w:r>
      <w:r w:rsidR="003D640C">
        <w:rPr>
          <w:rFonts w:ascii="Calibri" w:eastAsia="Times New Roman" w:hAnsi="Calibri" w:cs="Calibri"/>
          <w:lang w:eastAsia="en-NZ"/>
        </w:rPr>
        <w:t xml:space="preserve"> </w:t>
      </w:r>
      <w:r w:rsidRPr="00993640">
        <w:rPr>
          <w:rFonts w:ascii="Calibri" w:eastAsia="Times New Roman" w:hAnsi="Calibri" w:cs="Calibri"/>
          <w:lang w:eastAsia="en-NZ"/>
        </w:rPr>
        <w:t>Aotearoa.</w:t>
      </w:r>
      <w:r w:rsidR="003D640C">
        <w:rPr>
          <w:rFonts w:ascii="Calibri" w:eastAsia="Times New Roman" w:hAnsi="Calibri" w:cs="Calibri"/>
          <w:lang w:eastAsia="en-NZ"/>
        </w:rPr>
        <w:t xml:space="preserve"> </w:t>
      </w:r>
      <w:r w:rsidRPr="00993640">
        <w:t>Drawing</w:t>
      </w:r>
      <w:r w:rsidR="003D640C">
        <w:t xml:space="preserve"> </w:t>
      </w:r>
      <w:r w:rsidRPr="00993640">
        <w:t>on</w:t>
      </w:r>
      <w:r w:rsidR="003D640C">
        <w:t xml:space="preserve"> </w:t>
      </w:r>
      <w:r w:rsidRPr="00993640">
        <w:t>relevant</w:t>
      </w:r>
      <w:r w:rsidR="003D640C">
        <w:t xml:space="preserve"> </w:t>
      </w:r>
      <w:r w:rsidRPr="00993640">
        <w:t>research</w:t>
      </w:r>
      <w:r w:rsidR="003D640C">
        <w:t xml:space="preserve"> </w:t>
      </w:r>
      <w:r w:rsidRPr="00993640">
        <w:t>as</w:t>
      </w:r>
      <w:r w:rsidR="003D640C">
        <w:t xml:space="preserve"> </w:t>
      </w:r>
      <w:r w:rsidRPr="00993640">
        <w:t>well</w:t>
      </w:r>
      <w:r w:rsidR="003D640C">
        <w:t xml:space="preserve"> </w:t>
      </w:r>
      <w:r w:rsidRPr="00993640">
        <w:t>as</w:t>
      </w:r>
      <w:r w:rsidR="003D640C">
        <w:t xml:space="preserve"> </w:t>
      </w:r>
      <w:r w:rsidRPr="00993640">
        <w:t>survivor</w:t>
      </w:r>
      <w:r w:rsidR="003D640C">
        <w:t xml:space="preserve"> </w:t>
      </w:r>
      <w:r w:rsidRPr="00993640">
        <w:t>insights,</w:t>
      </w:r>
      <w:r w:rsidR="003D640C">
        <w:t xml:space="preserve"> </w:t>
      </w:r>
      <w:r w:rsidRPr="00993640">
        <w:t>the</w:t>
      </w:r>
      <w:r w:rsidR="003D640C">
        <w:t xml:space="preserve"> </w:t>
      </w:r>
      <w:r w:rsidRPr="00993640">
        <w:t>report</w:t>
      </w:r>
      <w:r w:rsidR="003D640C">
        <w:t xml:space="preserve"> </w:t>
      </w:r>
      <w:r w:rsidRPr="00993640">
        <w:t>distils</w:t>
      </w:r>
      <w:r w:rsidR="003D640C">
        <w:t xml:space="preserve"> </w:t>
      </w:r>
      <w:r w:rsidRPr="00993640">
        <w:t>what</w:t>
      </w:r>
      <w:r w:rsidR="003D640C">
        <w:t xml:space="preserve"> </w:t>
      </w:r>
      <w:r>
        <w:t>we</w:t>
      </w:r>
      <w:r w:rsidR="003D640C">
        <w:t xml:space="preserve"> </w:t>
      </w:r>
      <w:r w:rsidRPr="00993640">
        <w:t>learned</w:t>
      </w:r>
      <w:r w:rsidR="003D640C">
        <w:t xml:space="preserve"> </w:t>
      </w:r>
      <w:r w:rsidRPr="00993640">
        <w:t>about</w:t>
      </w:r>
      <w:r w:rsidR="003D640C">
        <w:t xml:space="preserve"> </w:t>
      </w:r>
      <w:r w:rsidRPr="00993640">
        <w:t>how</w:t>
      </w:r>
      <w:r w:rsidR="003D640C">
        <w:t xml:space="preserve"> </w:t>
      </w:r>
      <w:r w:rsidRPr="00993640">
        <w:t>and</w:t>
      </w:r>
      <w:r w:rsidR="003D640C">
        <w:t xml:space="preserve"> </w:t>
      </w:r>
      <w:r w:rsidRPr="00993640">
        <w:t>where</w:t>
      </w:r>
      <w:r w:rsidR="003D640C">
        <w:t xml:space="preserve"> </w:t>
      </w:r>
      <w:r w:rsidRPr="00993640">
        <w:t>conversion</w:t>
      </w:r>
      <w:r w:rsidR="003D640C">
        <w:t xml:space="preserve"> </w:t>
      </w:r>
      <w:r w:rsidRPr="00993640">
        <w:t>practices</w:t>
      </w:r>
      <w:r w:rsidR="003D640C">
        <w:t xml:space="preserve"> </w:t>
      </w:r>
      <w:r w:rsidRPr="00993640">
        <w:t>can</w:t>
      </w:r>
      <w:r w:rsidR="003D640C">
        <w:t xml:space="preserve"> </w:t>
      </w:r>
      <w:r w:rsidRPr="00993640">
        <w:t>take</w:t>
      </w:r>
      <w:r w:rsidR="003D640C">
        <w:t xml:space="preserve"> </w:t>
      </w:r>
      <w:r w:rsidRPr="00993640">
        <w:t>place</w:t>
      </w:r>
      <w:r>
        <w:t>,</w:t>
      </w:r>
      <w:r w:rsidR="003D640C">
        <w:t xml:space="preserve"> </w:t>
      </w:r>
      <w:r>
        <w:t>including</w:t>
      </w:r>
      <w:r w:rsidR="003D640C">
        <w:t xml:space="preserve"> </w:t>
      </w:r>
      <w:r w:rsidRPr="00993640">
        <w:t>religious,</w:t>
      </w:r>
      <w:r w:rsidR="003D640C">
        <w:t xml:space="preserve"> </w:t>
      </w:r>
      <w:r w:rsidRPr="00993640">
        <w:t>health,</w:t>
      </w:r>
      <w:r w:rsidR="003D640C">
        <w:t xml:space="preserve"> </w:t>
      </w:r>
      <w:r w:rsidRPr="00993640">
        <w:t>medical,</w:t>
      </w:r>
      <w:r w:rsidR="003D640C">
        <w:t xml:space="preserve"> </w:t>
      </w:r>
      <w:r w:rsidRPr="00993640">
        <w:t>mental</w:t>
      </w:r>
      <w:r w:rsidR="003D640C">
        <w:t xml:space="preserve"> </w:t>
      </w:r>
      <w:r w:rsidRPr="00993640">
        <w:t>health,</w:t>
      </w:r>
      <w:r w:rsidR="003D640C">
        <w:t xml:space="preserve"> </w:t>
      </w:r>
      <w:r w:rsidR="007D053D">
        <w:t xml:space="preserve">and </w:t>
      </w:r>
      <w:r w:rsidRPr="00993640">
        <w:t>youth</w:t>
      </w:r>
      <w:r w:rsidR="003D640C">
        <w:t xml:space="preserve"> </w:t>
      </w:r>
      <w:r w:rsidRPr="00993640">
        <w:t>work</w:t>
      </w:r>
      <w:r w:rsidR="003D640C">
        <w:t xml:space="preserve"> </w:t>
      </w:r>
      <w:r w:rsidRPr="00993640">
        <w:t>and</w:t>
      </w:r>
      <w:r w:rsidR="003D640C">
        <w:t xml:space="preserve"> </w:t>
      </w:r>
      <w:r w:rsidRPr="00993640">
        <w:t>education</w:t>
      </w:r>
      <w:r w:rsidR="003D640C">
        <w:t xml:space="preserve"> </w:t>
      </w:r>
      <w:r w:rsidRPr="00993640">
        <w:t>settin</w:t>
      </w:r>
      <w:r>
        <w:t>gs.</w:t>
      </w:r>
      <w:r w:rsidR="003D640C">
        <w:t xml:space="preserve"> </w:t>
      </w:r>
      <w:r>
        <w:t>We</w:t>
      </w:r>
      <w:r w:rsidR="003D640C">
        <w:t xml:space="preserve"> </w:t>
      </w:r>
      <w:r w:rsidRPr="00993640">
        <w:t>also</w:t>
      </w:r>
      <w:r w:rsidR="003D640C">
        <w:t xml:space="preserve"> </w:t>
      </w:r>
      <w:r w:rsidRPr="00993640">
        <w:t>make</w:t>
      </w:r>
      <w:r w:rsidR="003D640C">
        <w:t xml:space="preserve"> </w:t>
      </w:r>
      <w:r w:rsidRPr="00993640">
        <w:t>recommendations</w:t>
      </w:r>
      <w:r w:rsidR="003D640C">
        <w:t xml:space="preserve"> </w:t>
      </w:r>
      <w:r w:rsidRPr="00993640">
        <w:t>for</w:t>
      </w:r>
      <w:r w:rsidR="003D640C">
        <w:t xml:space="preserve"> </w:t>
      </w:r>
      <w:r w:rsidRPr="00993640">
        <w:t>leaders</w:t>
      </w:r>
      <w:r w:rsidR="003D640C">
        <w:t xml:space="preserve"> </w:t>
      </w:r>
      <w:r w:rsidRPr="00993640">
        <w:t>and</w:t>
      </w:r>
      <w:r w:rsidR="003D640C">
        <w:t xml:space="preserve"> </w:t>
      </w:r>
      <w:r w:rsidRPr="00993640">
        <w:t>practitioners</w:t>
      </w:r>
      <w:r w:rsidR="003D640C">
        <w:t xml:space="preserve"> </w:t>
      </w:r>
      <w:r w:rsidRPr="00993640">
        <w:t>in</w:t>
      </w:r>
      <w:r w:rsidR="003D640C">
        <w:t xml:space="preserve"> </w:t>
      </w:r>
      <w:r w:rsidRPr="00993640">
        <w:t>these</w:t>
      </w:r>
      <w:r w:rsidR="003D640C">
        <w:t xml:space="preserve"> </w:t>
      </w:r>
      <w:r w:rsidRPr="00993640">
        <w:t>spaces</w:t>
      </w:r>
      <w:r w:rsidR="003D640C">
        <w:t xml:space="preserve"> </w:t>
      </w:r>
      <w:r w:rsidRPr="00993640">
        <w:t>to</w:t>
      </w:r>
      <w:r w:rsidR="003D640C">
        <w:t xml:space="preserve"> </w:t>
      </w:r>
      <w:r w:rsidRPr="00993640">
        <w:t>help</w:t>
      </w:r>
      <w:r w:rsidR="003D640C">
        <w:t xml:space="preserve"> </w:t>
      </w:r>
      <w:r w:rsidRPr="00993640">
        <w:t>prevent</w:t>
      </w:r>
      <w:r w:rsidR="003D640C">
        <w:t xml:space="preserve"> </w:t>
      </w:r>
      <w:r>
        <w:t>these</w:t>
      </w:r>
      <w:r w:rsidR="003D640C">
        <w:t xml:space="preserve"> </w:t>
      </w:r>
      <w:r>
        <w:t>practices</w:t>
      </w:r>
      <w:r w:rsidRPr="00993640">
        <w:t>.</w:t>
      </w:r>
      <w:r w:rsidR="003D640C">
        <w:t xml:space="preserve">   </w:t>
      </w:r>
    </w:p>
    <w:p w14:paraId="3ED47161" w14:textId="366E9F0D" w:rsidR="00501068" w:rsidRDefault="00BB3F27" w:rsidP="0078026B">
      <w:r w:rsidRPr="00993640">
        <w:t>I</w:t>
      </w:r>
      <w:r>
        <w:t>t</w:t>
      </w:r>
      <w:r w:rsidR="003D640C">
        <w:t xml:space="preserve"> </w:t>
      </w:r>
      <w:r>
        <w:t>is</w:t>
      </w:r>
      <w:r w:rsidR="003D640C">
        <w:t xml:space="preserve"> </w:t>
      </w:r>
      <w:r>
        <w:t>often</w:t>
      </w:r>
      <w:r w:rsidR="003D640C">
        <w:t xml:space="preserve"> </w:t>
      </w:r>
      <w:r>
        <w:t>assumed</w:t>
      </w:r>
      <w:r w:rsidR="003D640C">
        <w:t xml:space="preserve"> </w:t>
      </w:r>
      <w:r>
        <w:t>that</w:t>
      </w:r>
      <w:r w:rsidR="003D640C">
        <w:t xml:space="preserve"> </w:t>
      </w:r>
      <w:r w:rsidRPr="00993640">
        <w:t>conversion</w:t>
      </w:r>
      <w:r w:rsidR="003D640C">
        <w:t xml:space="preserve"> </w:t>
      </w:r>
      <w:r w:rsidRPr="00993640">
        <w:t>practices</w:t>
      </w:r>
      <w:r w:rsidR="003D640C">
        <w:t xml:space="preserve"> </w:t>
      </w:r>
      <w:r w:rsidRPr="00993640">
        <w:t>no</w:t>
      </w:r>
      <w:r w:rsidR="003D640C">
        <w:t xml:space="preserve"> </w:t>
      </w:r>
      <w:r w:rsidRPr="00993640">
        <w:t>longer</w:t>
      </w:r>
      <w:r w:rsidR="003D640C">
        <w:t xml:space="preserve"> </w:t>
      </w:r>
      <w:r>
        <w:t>happen</w:t>
      </w:r>
      <w:r w:rsidR="003D640C">
        <w:t xml:space="preserve"> </w:t>
      </w:r>
      <w:r>
        <w:t>in</w:t>
      </w:r>
      <w:r w:rsidR="003D640C">
        <w:t xml:space="preserve"> </w:t>
      </w:r>
      <w:r>
        <w:t>Aotearoa</w:t>
      </w:r>
      <w:r w:rsidRPr="00993640">
        <w:t>.</w:t>
      </w:r>
      <w:r w:rsidR="003D640C">
        <w:t xml:space="preserve"> </w:t>
      </w:r>
      <w:r w:rsidRPr="00993640">
        <w:t>Some</w:t>
      </w:r>
      <w:r w:rsidR="003D640C">
        <w:t xml:space="preserve"> </w:t>
      </w:r>
      <w:r w:rsidRPr="00993640">
        <w:t>groups</w:t>
      </w:r>
      <w:r w:rsidR="003D640C">
        <w:t xml:space="preserve"> </w:t>
      </w:r>
      <w:r w:rsidRPr="00993640">
        <w:t>who</w:t>
      </w:r>
      <w:r w:rsidR="003D640C">
        <w:t xml:space="preserve"> </w:t>
      </w:r>
      <w:r w:rsidRPr="00993640">
        <w:t>opposed</w:t>
      </w:r>
      <w:r w:rsidR="003D640C">
        <w:t xml:space="preserve"> </w:t>
      </w:r>
      <w:r w:rsidRPr="00993640">
        <w:t>the</w:t>
      </w:r>
      <w:r w:rsidR="003D640C">
        <w:t xml:space="preserve"> </w:t>
      </w:r>
      <w:r w:rsidRPr="00E231E5">
        <w:t>Conversion</w:t>
      </w:r>
      <w:r w:rsidR="003D640C">
        <w:t xml:space="preserve"> </w:t>
      </w:r>
      <w:r w:rsidRPr="00E231E5">
        <w:t>Practices</w:t>
      </w:r>
      <w:r w:rsidR="003D640C">
        <w:t xml:space="preserve"> </w:t>
      </w:r>
      <w:r w:rsidRPr="00E231E5">
        <w:t>Prohibition</w:t>
      </w:r>
      <w:r w:rsidR="003D640C">
        <w:t xml:space="preserve"> </w:t>
      </w:r>
      <w:r w:rsidRPr="00E231E5">
        <w:t>Legislation</w:t>
      </w:r>
      <w:r w:rsidR="003D640C">
        <w:t xml:space="preserve"> </w:t>
      </w:r>
      <w:r w:rsidRPr="00993640">
        <w:t>Bill</w:t>
      </w:r>
      <w:r w:rsidR="003D640C">
        <w:t xml:space="preserve"> </w:t>
      </w:r>
      <w:r w:rsidRPr="00993640">
        <w:t>repeated</w:t>
      </w:r>
      <w:r w:rsidR="003D640C">
        <w:t xml:space="preserve"> </w:t>
      </w:r>
      <w:r w:rsidRPr="00993640">
        <w:t>this</w:t>
      </w:r>
      <w:r w:rsidR="003D640C">
        <w:t xml:space="preserve"> </w:t>
      </w:r>
      <w:r w:rsidRPr="00993640">
        <w:t>argument</w:t>
      </w:r>
      <w:r w:rsidR="003D640C">
        <w:t xml:space="preserve"> </w:t>
      </w:r>
      <w:r>
        <w:t>when</w:t>
      </w:r>
      <w:r w:rsidR="003D640C">
        <w:t xml:space="preserve"> </w:t>
      </w:r>
      <w:r>
        <w:t>making</w:t>
      </w:r>
      <w:r w:rsidR="003D640C">
        <w:t xml:space="preserve"> </w:t>
      </w:r>
      <w:r>
        <w:t>their</w:t>
      </w:r>
      <w:r w:rsidR="003D640C">
        <w:t xml:space="preserve"> </w:t>
      </w:r>
      <w:r>
        <w:t>submissions</w:t>
      </w:r>
      <w:r w:rsidR="003D640C">
        <w:t xml:space="preserve"> </w:t>
      </w:r>
      <w:r>
        <w:t>for</w:t>
      </w:r>
      <w:r w:rsidR="003D640C">
        <w:t xml:space="preserve"> </w:t>
      </w:r>
      <w:r>
        <w:t>why</w:t>
      </w:r>
      <w:r w:rsidR="003D640C">
        <w:t xml:space="preserve"> </w:t>
      </w:r>
      <w:r w:rsidRPr="00993640">
        <w:t>legislation</w:t>
      </w:r>
      <w:r w:rsidR="003D640C">
        <w:t xml:space="preserve"> </w:t>
      </w:r>
      <w:r w:rsidRPr="00993640">
        <w:t>prohibiting</w:t>
      </w:r>
      <w:r w:rsidR="003D640C">
        <w:t xml:space="preserve"> </w:t>
      </w:r>
      <w:r>
        <w:t>conversion</w:t>
      </w:r>
      <w:r w:rsidR="003D640C">
        <w:t xml:space="preserve"> </w:t>
      </w:r>
      <w:r>
        <w:t>practices</w:t>
      </w:r>
      <w:r w:rsidR="003D640C">
        <w:t xml:space="preserve"> </w:t>
      </w:r>
      <w:r w:rsidRPr="00993640">
        <w:t>was</w:t>
      </w:r>
      <w:r w:rsidR="003D640C">
        <w:t xml:space="preserve"> </w:t>
      </w:r>
      <w:r w:rsidRPr="00993640">
        <w:t>unnecessary.</w:t>
      </w:r>
      <w:r w:rsidR="003D640C">
        <w:t xml:space="preserve"> </w:t>
      </w:r>
      <w:r w:rsidRPr="00993640">
        <w:t>However,</w:t>
      </w:r>
      <w:r w:rsidR="003D640C">
        <w:t xml:space="preserve"> </w:t>
      </w:r>
      <w:r w:rsidRPr="00993640">
        <w:t>this</w:t>
      </w:r>
      <w:r w:rsidR="003D640C">
        <w:t xml:space="preserve"> </w:t>
      </w:r>
      <w:r w:rsidRPr="00993640">
        <w:t>report</w:t>
      </w:r>
      <w:r w:rsidR="003D640C">
        <w:t xml:space="preserve"> </w:t>
      </w:r>
      <w:r w:rsidRPr="00993640">
        <w:t>comprehensively</w:t>
      </w:r>
      <w:r w:rsidR="003D640C">
        <w:t xml:space="preserve"> </w:t>
      </w:r>
      <w:r w:rsidRPr="00993640">
        <w:t>confirms</w:t>
      </w:r>
      <w:r w:rsidR="003D640C">
        <w:t xml:space="preserve"> </w:t>
      </w:r>
      <w:r w:rsidRPr="00993640">
        <w:t>that</w:t>
      </w:r>
      <w:r w:rsidR="003D640C">
        <w:t xml:space="preserve"> </w:t>
      </w:r>
      <w:r>
        <w:t>conversion</w:t>
      </w:r>
      <w:r w:rsidR="003D640C">
        <w:t xml:space="preserve"> </w:t>
      </w:r>
      <w:r w:rsidRPr="00993640">
        <w:t>practices</w:t>
      </w:r>
      <w:r w:rsidR="004252F4">
        <w:t>, and practices that if carried out in a sustained manner would amount conversion practices according to the legislation,</w:t>
      </w:r>
      <w:r w:rsidR="003D640C">
        <w:t xml:space="preserve"> </w:t>
      </w:r>
      <w:r>
        <w:t>continue</w:t>
      </w:r>
      <w:r w:rsidR="003D640C">
        <w:t xml:space="preserve"> </w:t>
      </w:r>
      <w:r>
        <w:t>to</w:t>
      </w:r>
      <w:r w:rsidR="003D640C">
        <w:t xml:space="preserve"> </w:t>
      </w:r>
      <w:r w:rsidRPr="00993640">
        <w:t>happe</w:t>
      </w:r>
      <w:r>
        <w:t>n</w:t>
      </w:r>
      <w:r w:rsidR="003D640C">
        <w:t xml:space="preserve"> </w:t>
      </w:r>
      <w:r>
        <w:t>h</w:t>
      </w:r>
      <w:r w:rsidRPr="00993640">
        <w:t>ere</w:t>
      </w:r>
      <w:r>
        <w:t>.</w:t>
      </w:r>
      <w:r w:rsidR="003D640C">
        <w:t xml:space="preserve"> </w:t>
      </w:r>
      <w:r>
        <w:t>It</w:t>
      </w:r>
      <w:r w:rsidR="003D640C">
        <w:t xml:space="preserve"> </w:t>
      </w:r>
      <w:r>
        <w:t>further</w:t>
      </w:r>
      <w:r w:rsidR="003D640C">
        <w:t xml:space="preserve"> </w:t>
      </w:r>
      <w:r>
        <w:t>confirms</w:t>
      </w:r>
      <w:r w:rsidR="003D640C">
        <w:t xml:space="preserve"> </w:t>
      </w:r>
      <w:r>
        <w:t>that</w:t>
      </w:r>
      <w:r w:rsidR="007D053D">
        <w:t>,</w:t>
      </w:r>
      <w:r w:rsidR="003D640C">
        <w:t xml:space="preserve"> </w:t>
      </w:r>
      <w:r>
        <w:t>w</w:t>
      </w:r>
      <w:r w:rsidRPr="00993640">
        <w:t>ithout</w:t>
      </w:r>
      <w:r w:rsidR="003D640C">
        <w:t xml:space="preserve"> </w:t>
      </w:r>
      <w:r w:rsidRPr="00993640">
        <w:t>proactive</w:t>
      </w:r>
      <w:r w:rsidR="003D640C">
        <w:t xml:space="preserve"> </w:t>
      </w:r>
      <w:r w:rsidRPr="00993640">
        <w:t>human</w:t>
      </w:r>
      <w:r w:rsidR="003D640C">
        <w:t xml:space="preserve"> </w:t>
      </w:r>
      <w:r w:rsidRPr="00993640">
        <w:t>rights</w:t>
      </w:r>
      <w:r w:rsidR="003D640C">
        <w:t xml:space="preserve"> </w:t>
      </w:r>
      <w:r w:rsidRPr="00993640">
        <w:t>actions</w:t>
      </w:r>
      <w:r w:rsidR="003D640C">
        <w:t xml:space="preserve"> </w:t>
      </w:r>
      <w:r w:rsidRPr="00993640">
        <w:t>and</w:t>
      </w:r>
      <w:r w:rsidR="003D640C">
        <w:t xml:space="preserve"> </w:t>
      </w:r>
      <w:r w:rsidRPr="00993640">
        <w:t>education</w:t>
      </w:r>
      <w:r>
        <w:t>,</w:t>
      </w:r>
      <w:r w:rsidR="003D640C">
        <w:t xml:space="preserve"> </w:t>
      </w:r>
      <w:r w:rsidR="007D053D">
        <w:t xml:space="preserve">conversion </w:t>
      </w:r>
      <w:r w:rsidR="007D053D" w:rsidRPr="00993640">
        <w:t>practices</w:t>
      </w:r>
      <w:r w:rsidR="007D053D">
        <w:t xml:space="preserve"> </w:t>
      </w:r>
      <w:r w:rsidRPr="00993640">
        <w:t>will</w:t>
      </w:r>
      <w:r w:rsidR="003D640C">
        <w:t xml:space="preserve"> </w:t>
      </w:r>
      <w:r w:rsidRPr="00993640">
        <w:t>likely</w:t>
      </w:r>
      <w:r w:rsidR="003D640C">
        <w:t xml:space="preserve"> </w:t>
      </w:r>
      <w:r w:rsidRPr="00993640">
        <w:t>continue</w:t>
      </w:r>
      <w:r w:rsidR="003D640C">
        <w:t xml:space="preserve"> </w:t>
      </w:r>
      <w:r w:rsidRPr="00993640">
        <w:t>to</w:t>
      </w:r>
      <w:r w:rsidR="003D640C">
        <w:t xml:space="preserve"> </w:t>
      </w:r>
      <w:r w:rsidRPr="00993640">
        <w:t>oc</w:t>
      </w:r>
      <w:r>
        <w:t>cur</w:t>
      </w:r>
      <w:r w:rsidR="003D640C">
        <w:t xml:space="preserve"> </w:t>
      </w:r>
      <w:r>
        <w:t>in</w:t>
      </w:r>
      <w:r w:rsidR="003D640C">
        <w:t xml:space="preserve"> </w:t>
      </w:r>
      <w:r w:rsidRPr="00993640">
        <w:t>various</w:t>
      </w:r>
      <w:r w:rsidR="003D640C">
        <w:t xml:space="preserve"> </w:t>
      </w:r>
      <w:r w:rsidRPr="00993640">
        <w:t>guises.</w:t>
      </w:r>
      <w:r w:rsidR="003D640C">
        <w:t xml:space="preserve"> </w:t>
      </w:r>
      <w:r w:rsidRPr="00993640">
        <w:t>Regardless</w:t>
      </w:r>
      <w:r w:rsidR="003D640C">
        <w:t xml:space="preserve"> </w:t>
      </w:r>
      <w:r w:rsidRPr="00993640">
        <w:t>of</w:t>
      </w:r>
      <w:r w:rsidR="003D640C">
        <w:t xml:space="preserve"> </w:t>
      </w:r>
      <w:r w:rsidRPr="00993640">
        <w:t>their</w:t>
      </w:r>
      <w:r w:rsidR="003D640C">
        <w:t xml:space="preserve"> </w:t>
      </w:r>
      <w:r w:rsidRPr="00993640">
        <w:t>form,</w:t>
      </w:r>
      <w:r w:rsidR="003D640C">
        <w:t xml:space="preserve"> </w:t>
      </w:r>
      <w:r>
        <w:t>conversion</w:t>
      </w:r>
      <w:r w:rsidR="003D640C">
        <w:t xml:space="preserve"> </w:t>
      </w:r>
      <w:r>
        <w:t>practices</w:t>
      </w:r>
      <w:r w:rsidR="003D640C">
        <w:t xml:space="preserve"> </w:t>
      </w:r>
      <w:r w:rsidRPr="00993640">
        <w:t>cause</w:t>
      </w:r>
      <w:r w:rsidR="003D640C">
        <w:t xml:space="preserve"> </w:t>
      </w:r>
      <w:r w:rsidRPr="00993640">
        <w:t>serious</w:t>
      </w:r>
      <w:r w:rsidR="003D640C">
        <w:t xml:space="preserve"> </w:t>
      </w:r>
      <w:r w:rsidRPr="00993640">
        <w:t>harm</w:t>
      </w:r>
      <w:r w:rsidR="007D053D">
        <w:t>,</w:t>
      </w:r>
      <w:r w:rsidR="003D640C">
        <w:t xml:space="preserve"> </w:t>
      </w:r>
      <w:r>
        <w:t>including</w:t>
      </w:r>
      <w:r w:rsidR="003D640C">
        <w:t xml:space="preserve"> </w:t>
      </w:r>
      <w:r w:rsidRPr="00993640">
        <w:t>before</w:t>
      </w:r>
      <w:r w:rsidR="003D640C">
        <w:t xml:space="preserve"> </w:t>
      </w:r>
      <w:r w:rsidRPr="00993640">
        <w:t>and</w:t>
      </w:r>
      <w:r w:rsidR="003D640C">
        <w:t xml:space="preserve"> </w:t>
      </w:r>
      <w:r w:rsidRPr="00993640">
        <w:t>after</w:t>
      </w:r>
      <w:r w:rsidR="003D640C">
        <w:t xml:space="preserve"> </w:t>
      </w:r>
      <w:r w:rsidRPr="00993640">
        <w:t>they</w:t>
      </w:r>
      <w:r w:rsidR="003D640C">
        <w:t xml:space="preserve"> </w:t>
      </w:r>
      <w:r w:rsidRPr="00993640">
        <w:t>are</w:t>
      </w:r>
      <w:r w:rsidR="003D640C">
        <w:t xml:space="preserve"> </w:t>
      </w:r>
      <w:r w:rsidRPr="00993640">
        <w:t>performed</w:t>
      </w:r>
      <w:r>
        <w:t>.</w:t>
      </w:r>
      <w:r w:rsidR="003D640C">
        <w:t xml:space="preserve"> </w:t>
      </w:r>
      <w:r>
        <w:t>Our</w:t>
      </w:r>
      <w:r w:rsidR="003D640C">
        <w:t xml:space="preserve"> </w:t>
      </w:r>
      <w:r>
        <w:t>report</w:t>
      </w:r>
      <w:r w:rsidR="003D640C">
        <w:t xml:space="preserve"> </w:t>
      </w:r>
      <w:r>
        <w:t>describes</w:t>
      </w:r>
      <w:r w:rsidR="003D640C">
        <w:t xml:space="preserve"> </w:t>
      </w:r>
      <w:r>
        <w:t>the</w:t>
      </w:r>
      <w:r w:rsidR="003D640C">
        <w:t xml:space="preserve"> </w:t>
      </w:r>
      <w:r>
        <w:t>impact</w:t>
      </w:r>
      <w:r w:rsidR="003D640C">
        <w:t xml:space="preserve"> </w:t>
      </w:r>
      <w:r>
        <w:t>they</w:t>
      </w:r>
      <w:r w:rsidR="003D640C">
        <w:t xml:space="preserve"> </w:t>
      </w:r>
      <w:r>
        <w:t>have</w:t>
      </w:r>
      <w:r w:rsidRPr="00993640">
        <w:t>.</w:t>
      </w:r>
      <w:r w:rsidR="003D640C">
        <w:t xml:space="preserve"> </w:t>
      </w:r>
    </w:p>
    <w:p w14:paraId="7FB50385" w14:textId="77777777" w:rsidR="00501068" w:rsidRDefault="00BB3F27" w:rsidP="0078026B">
      <w:pPr>
        <w:pStyle w:val="Heading2"/>
        <w:rPr>
          <w:shd w:val="clear" w:color="auto" w:fill="FFFFFF"/>
        </w:rPr>
      </w:pPr>
      <w:bookmarkStart w:id="38" w:name="_Toc167780571"/>
      <w:bookmarkStart w:id="39" w:name="_Toc1114696820"/>
      <w:bookmarkStart w:id="40" w:name="_Toc174628629"/>
      <w:r>
        <w:rPr>
          <w:shd w:val="clear" w:color="auto" w:fill="FFFFFF"/>
        </w:rPr>
        <w:t>We</w:t>
      </w:r>
      <w:r w:rsidR="003D640C">
        <w:rPr>
          <w:shd w:val="clear" w:color="auto" w:fill="FFFFFF"/>
        </w:rPr>
        <w:t xml:space="preserve"> </w:t>
      </w:r>
      <w:r>
        <w:rPr>
          <w:shd w:val="clear" w:color="auto" w:fill="FFFFFF"/>
        </w:rPr>
        <w:t>took</w:t>
      </w:r>
      <w:r w:rsidR="003D640C">
        <w:rPr>
          <w:shd w:val="clear" w:color="auto" w:fill="FFFFFF"/>
        </w:rPr>
        <w:t xml:space="preserve"> </w:t>
      </w:r>
      <w:r>
        <w:rPr>
          <w:shd w:val="clear" w:color="auto" w:fill="FFFFFF"/>
        </w:rPr>
        <w:t>a</w:t>
      </w:r>
      <w:r w:rsidR="003D640C">
        <w:rPr>
          <w:shd w:val="clear" w:color="auto" w:fill="FFFFFF"/>
        </w:rPr>
        <w:t xml:space="preserve"> </w:t>
      </w:r>
      <w:r>
        <w:rPr>
          <w:shd w:val="clear" w:color="auto" w:fill="FFFFFF"/>
        </w:rPr>
        <w:t>human</w:t>
      </w:r>
      <w:r w:rsidR="003D640C">
        <w:rPr>
          <w:shd w:val="clear" w:color="auto" w:fill="FFFFFF"/>
        </w:rPr>
        <w:t xml:space="preserve"> </w:t>
      </w:r>
      <w:r>
        <w:rPr>
          <w:shd w:val="clear" w:color="auto" w:fill="FFFFFF"/>
        </w:rPr>
        <w:t>rights</w:t>
      </w:r>
      <w:r w:rsidR="003D640C">
        <w:rPr>
          <w:shd w:val="clear" w:color="auto" w:fill="FFFFFF"/>
        </w:rPr>
        <w:t xml:space="preserve"> </w:t>
      </w:r>
      <w:r>
        <w:rPr>
          <w:shd w:val="clear" w:color="auto" w:fill="FFFFFF"/>
        </w:rPr>
        <w:t>approach</w:t>
      </w:r>
      <w:r w:rsidR="003D640C">
        <w:rPr>
          <w:shd w:val="clear" w:color="auto" w:fill="FFFFFF"/>
        </w:rPr>
        <w:t xml:space="preserve"> </w:t>
      </w:r>
      <w:r>
        <w:rPr>
          <w:shd w:val="clear" w:color="auto" w:fill="FFFFFF"/>
        </w:rPr>
        <w:t>to</w:t>
      </w:r>
      <w:r w:rsidR="003D640C">
        <w:rPr>
          <w:shd w:val="clear" w:color="auto" w:fill="FFFFFF"/>
        </w:rPr>
        <w:t xml:space="preserve"> </w:t>
      </w:r>
      <w:r>
        <w:rPr>
          <w:shd w:val="clear" w:color="auto" w:fill="FFFFFF"/>
        </w:rPr>
        <w:t>eliminating</w:t>
      </w:r>
      <w:r w:rsidR="003D640C">
        <w:rPr>
          <w:shd w:val="clear" w:color="auto" w:fill="FFFFFF"/>
        </w:rPr>
        <w:t xml:space="preserve"> </w:t>
      </w:r>
      <w:r>
        <w:rPr>
          <w:shd w:val="clear" w:color="auto" w:fill="FFFFFF"/>
        </w:rPr>
        <w:t>conversion</w:t>
      </w:r>
      <w:r w:rsidR="003D640C">
        <w:rPr>
          <w:shd w:val="clear" w:color="auto" w:fill="FFFFFF"/>
        </w:rPr>
        <w:t xml:space="preserve"> </w:t>
      </w:r>
      <w:r>
        <w:rPr>
          <w:shd w:val="clear" w:color="auto" w:fill="FFFFFF"/>
        </w:rPr>
        <w:t>practices</w:t>
      </w:r>
      <w:bookmarkEnd w:id="38"/>
      <w:bookmarkEnd w:id="39"/>
      <w:bookmarkEnd w:id="40"/>
    </w:p>
    <w:p w14:paraId="7F9087C0" w14:textId="18B697E3" w:rsidR="00501068" w:rsidRDefault="00BB3F27" w:rsidP="0078026B">
      <w:pPr>
        <w:rPr>
          <w:rFonts w:ascii="Calibri" w:eastAsia="Times New Roman" w:hAnsi="Calibri" w:cs="Calibri"/>
          <w:shd w:val="clear" w:color="auto" w:fill="FFFFFF"/>
          <w:lang w:eastAsia="en-NZ"/>
        </w:rPr>
      </w:pPr>
      <w:r w:rsidRPr="00993640">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National</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Rights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Institut</w:t>
      </w:r>
      <w:r>
        <w:rPr>
          <w:rFonts w:ascii="Calibri" w:eastAsia="Times New Roman" w:hAnsi="Calibri" w:cs="Calibri"/>
          <w:shd w:val="clear" w:color="auto" w:fill="FFFFFF"/>
          <w:lang w:eastAsia="en-NZ"/>
        </w:rPr>
        <w:t>ion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Aotearoa</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New</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Zealand,</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entity</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mandated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by</w:t>
      </w:r>
      <w:r w:rsidR="003D640C">
        <w:rPr>
          <w:rFonts w:ascii="Calibri" w:eastAsia="Times New Roman" w:hAnsi="Calibri" w:cs="Calibri"/>
          <w:shd w:val="clear" w:color="auto" w:fill="FFFFFF"/>
          <w:lang w:eastAsia="en-NZ"/>
        </w:rPr>
        <w:t xml:space="preserve"> </w:t>
      </w:r>
      <w:r w:rsidR="00E55F76">
        <w:rPr>
          <w:rFonts w:ascii="Calibri" w:eastAsia="Times New Roman" w:hAnsi="Calibri" w:cs="Calibri"/>
          <w:shd w:val="clear" w:color="auto" w:fill="FFFFFF"/>
          <w:lang w:eastAsia="en-NZ"/>
        </w:rPr>
        <w:t xml:space="preserve">section 13 of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CPPLA</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receive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complaints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about</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Commission</w:t>
      </w:r>
      <w:r w:rsidR="003D640C">
        <w:rPr>
          <w:rFonts w:ascii="Calibri" w:eastAsia="Times New Roman" w:hAnsi="Calibri" w:cs="Calibri"/>
          <w:shd w:val="clear" w:color="auto" w:fill="FFFFFF"/>
          <w:lang w:eastAsia="en-NZ"/>
        </w:rPr>
        <w:t xml:space="preserve"> </w:t>
      </w:r>
      <w:r w:rsidR="0039570C">
        <w:rPr>
          <w:rFonts w:ascii="Calibri" w:eastAsia="Times New Roman" w:hAnsi="Calibri" w:cs="Calibri"/>
          <w:shd w:val="clear" w:color="auto" w:fill="FFFFFF"/>
          <w:lang w:eastAsia="en-NZ"/>
        </w:rPr>
        <w:t>states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conclusively</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that</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are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breach</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rights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those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who</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experience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them.</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Such</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n</w:t>
      </w:r>
      <w:r w:rsidRPr="00993640">
        <w:rPr>
          <w:rFonts w:ascii="Calibri" w:eastAsia="Times New Roman" w:hAnsi="Calibri" w:cs="Calibri"/>
          <w:shd w:val="clear" w:color="auto" w:fill="FFFFFF"/>
          <w:lang w:eastAsia="en-NZ"/>
        </w:rPr>
        <w:t>ot</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only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breach</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domestic</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rights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legislation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but</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also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international</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rights</w:t>
      </w:r>
      <w:r w:rsidR="003D640C">
        <w:rPr>
          <w:rFonts w:ascii="Calibri" w:eastAsia="Times New Roman" w:hAnsi="Calibri" w:cs="Calibri"/>
          <w:shd w:val="clear" w:color="auto" w:fill="FFFFFF"/>
          <w:lang w:eastAsia="en-NZ"/>
        </w:rPr>
        <w:t xml:space="preserve"> </w:t>
      </w:r>
      <w:r w:rsidRPr="00993640">
        <w:rPr>
          <w:rFonts w:ascii="Calibri" w:eastAsia="Times New Roman" w:hAnsi="Calibri" w:cs="Calibri"/>
          <w:shd w:val="clear" w:color="auto" w:fill="FFFFFF"/>
          <w:lang w:eastAsia="en-NZ"/>
        </w:rPr>
        <w:t>instruments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that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Aotearoa</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has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ratified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legally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bound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by</w:t>
      </w:r>
      <w:r w:rsidRPr="00993640">
        <w:rPr>
          <w:rFonts w:ascii="Calibri" w:eastAsia="Times New Roman" w:hAnsi="Calibri" w:cs="Calibri"/>
          <w:shd w:val="clear" w:color="auto" w:fill="FFFFFF"/>
          <w:lang w:eastAsia="en-NZ"/>
        </w:rPr>
        <w:t>.</w:t>
      </w:r>
    </w:p>
    <w:p w14:paraId="3E8237D7" w14:textId="58D7831B" w:rsidR="00501068" w:rsidRDefault="00BB3F27" w:rsidP="0078026B">
      <w:pPr>
        <w:rPr>
          <w:rFonts w:ascii="Calibri" w:eastAsia="Times New Roman" w:hAnsi="Calibri" w:cs="Calibri"/>
          <w:lang w:eastAsia="en-NZ"/>
        </w:rPr>
      </w:pPr>
      <w:r>
        <w:rPr>
          <w:rFonts w:ascii="Calibri" w:eastAsia="Times New Roman" w:hAnsi="Calibri" w:cs="Calibri"/>
          <w:lang w:eastAsia="en-NZ"/>
        </w:rPr>
        <w:t>In</w:t>
      </w:r>
      <w:r w:rsidR="003D640C">
        <w:rPr>
          <w:rFonts w:ascii="Calibri" w:eastAsia="Times New Roman" w:hAnsi="Calibri" w:cs="Calibri"/>
          <w:lang w:eastAsia="en-NZ"/>
        </w:rPr>
        <w:t xml:space="preserve"> </w:t>
      </w:r>
      <w:r>
        <w:rPr>
          <w:rFonts w:ascii="Calibri" w:eastAsia="Times New Roman" w:hAnsi="Calibri" w:cs="Calibri"/>
          <w:lang w:eastAsia="en-NZ"/>
        </w:rPr>
        <w:t>light</w:t>
      </w:r>
      <w:r w:rsidR="003D640C">
        <w:rPr>
          <w:rFonts w:ascii="Calibri" w:eastAsia="Times New Roman" w:hAnsi="Calibri" w:cs="Calibri"/>
          <w:lang w:eastAsia="en-NZ"/>
        </w:rPr>
        <w:t xml:space="preserve"> </w:t>
      </w:r>
      <w:r>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these</w:t>
      </w:r>
      <w:r w:rsidR="003D640C">
        <w:rPr>
          <w:rFonts w:ascii="Calibri" w:eastAsia="Times New Roman" w:hAnsi="Calibri" w:cs="Calibri"/>
          <w:lang w:eastAsia="en-NZ"/>
        </w:rPr>
        <w:t xml:space="preserve"> </w:t>
      </w:r>
      <w:r>
        <w:rPr>
          <w:rFonts w:ascii="Calibri" w:eastAsia="Times New Roman" w:hAnsi="Calibri" w:cs="Calibri"/>
          <w:lang w:eastAsia="en-NZ"/>
        </w:rPr>
        <w:t>human</w:t>
      </w:r>
      <w:r w:rsidR="003D640C">
        <w:rPr>
          <w:rFonts w:ascii="Calibri" w:eastAsia="Times New Roman" w:hAnsi="Calibri" w:cs="Calibri"/>
          <w:lang w:eastAsia="en-NZ"/>
        </w:rPr>
        <w:t xml:space="preserve"> </w:t>
      </w:r>
      <w:r>
        <w:rPr>
          <w:rFonts w:ascii="Calibri" w:eastAsia="Times New Roman" w:hAnsi="Calibri" w:cs="Calibri"/>
          <w:lang w:eastAsia="en-NZ"/>
        </w:rPr>
        <w:t>rights</w:t>
      </w:r>
      <w:r w:rsidR="003D640C">
        <w:rPr>
          <w:rFonts w:ascii="Calibri" w:eastAsia="Times New Roman" w:hAnsi="Calibri" w:cs="Calibri"/>
          <w:lang w:eastAsia="en-NZ"/>
        </w:rPr>
        <w:t xml:space="preserve"> </w:t>
      </w:r>
      <w:r>
        <w:rPr>
          <w:rFonts w:ascii="Calibri" w:eastAsia="Times New Roman" w:hAnsi="Calibri" w:cs="Calibri"/>
          <w:lang w:eastAsia="en-NZ"/>
        </w:rPr>
        <w:t>breaches,</w:t>
      </w:r>
      <w:r w:rsidR="003D640C">
        <w:rPr>
          <w:rFonts w:ascii="Calibri" w:eastAsia="Times New Roman" w:hAnsi="Calibri" w:cs="Calibri"/>
          <w:lang w:eastAsia="en-NZ"/>
        </w:rPr>
        <w:t xml:space="preserve"> </w:t>
      </w:r>
      <w:r>
        <w:rPr>
          <w:rFonts w:ascii="Calibri" w:eastAsia="Times New Roman" w:hAnsi="Calibri" w:cs="Calibri"/>
          <w:lang w:eastAsia="en-NZ"/>
        </w:rPr>
        <w:t>t</w:t>
      </w:r>
      <w:r w:rsidRPr="00B1465F">
        <w:rPr>
          <w:rFonts w:ascii="Calibri" w:eastAsia="Times New Roman" w:hAnsi="Calibri" w:cs="Calibri"/>
          <w:lang w:eastAsia="en-NZ"/>
        </w:rPr>
        <w:t>he</w:t>
      </w:r>
      <w:r w:rsidR="003D640C">
        <w:rPr>
          <w:rFonts w:ascii="Calibri" w:eastAsia="Times New Roman" w:hAnsi="Calibri" w:cs="Calibri"/>
          <w:lang w:eastAsia="en-NZ"/>
        </w:rPr>
        <w:t xml:space="preserve"> </w:t>
      </w:r>
      <w:r w:rsidRPr="00B1465F">
        <w:rPr>
          <w:rFonts w:ascii="Calibri" w:eastAsia="Times New Roman" w:hAnsi="Calibri" w:cs="Calibri"/>
          <w:lang w:eastAsia="en-NZ"/>
        </w:rPr>
        <w:t>Commission</w:t>
      </w:r>
      <w:r w:rsidR="003D640C">
        <w:rPr>
          <w:rFonts w:ascii="Calibri" w:eastAsia="Times New Roman" w:hAnsi="Calibri" w:cs="Calibri"/>
          <w:lang w:eastAsia="en-NZ"/>
        </w:rPr>
        <w:t xml:space="preserve"> </w:t>
      </w:r>
      <w:r w:rsidRPr="00B1465F">
        <w:rPr>
          <w:rFonts w:ascii="Calibri" w:eastAsia="Times New Roman" w:hAnsi="Calibri" w:cs="Calibri"/>
          <w:lang w:eastAsia="en-NZ"/>
        </w:rPr>
        <w:t>committed</w:t>
      </w:r>
      <w:r w:rsidR="003D640C">
        <w:rPr>
          <w:rFonts w:ascii="Calibri" w:eastAsia="Times New Roman" w:hAnsi="Calibri" w:cs="Calibri"/>
          <w:lang w:eastAsia="en-NZ"/>
        </w:rPr>
        <w:t xml:space="preserve"> </w:t>
      </w:r>
      <w:r w:rsidRPr="00B1465F">
        <w:rPr>
          <w:rFonts w:ascii="Calibri" w:eastAsia="Times New Roman" w:hAnsi="Calibri" w:cs="Calibri"/>
          <w:lang w:eastAsia="en-NZ"/>
        </w:rPr>
        <w:t>to</w:t>
      </w:r>
      <w:r w:rsidR="003D640C">
        <w:rPr>
          <w:rFonts w:ascii="Calibri" w:eastAsia="Times New Roman" w:hAnsi="Calibri" w:cs="Calibri"/>
          <w:lang w:eastAsia="en-NZ"/>
        </w:rPr>
        <w:t xml:space="preserve"> </w:t>
      </w:r>
      <w:r w:rsidRPr="00B1465F">
        <w:rPr>
          <w:rFonts w:ascii="Calibri" w:eastAsia="Times New Roman" w:hAnsi="Calibri" w:cs="Calibri"/>
          <w:lang w:eastAsia="en-NZ"/>
        </w:rPr>
        <w:t>applying</w:t>
      </w:r>
      <w:r w:rsidR="003D640C">
        <w:rPr>
          <w:rFonts w:ascii="Calibri" w:eastAsia="Times New Roman" w:hAnsi="Calibri" w:cs="Calibri"/>
          <w:lang w:eastAsia="en-NZ"/>
        </w:rPr>
        <w:t xml:space="preserve"> </w:t>
      </w:r>
      <w:r w:rsidRPr="00B1465F">
        <w:rPr>
          <w:rFonts w:ascii="Calibri" w:eastAsia="Times New Roman" w:hAnsi="Calibri" w:cs="Calibri"/>
          <w:lang w:eastAsia="en-NZ"/>
        </w:rPr>
        <w:t>a</w:t>
      </w:r>
      <w:r w:rsidR="003D640C">
        <w:rPr>
          <w:rFonts w:ascii="Calibri" w:eastAsia="Times New Roman" w:hAnsi="Calibri" w:cs="Calibri"/>
          <w:lang w:eastAsia="en-NZ"/>
        </w:rPr>
        <w:t xml:space="preserve"> </w:t>
      </w:r>
      <w:r w:rsidRPr="00B1465F">
        <w:rPr>
          <w:rFonts w:ascii="Calibri" w:eastAsia="Times New Roman" w:hAnsi="Calibri" w:cs="Calibri"/>
          <w:lang w:eastAsia="en-NZ"/>
        </w:rPr>
        <w:t>human</w:t>
      </w:r>
      <w:r w:rsidR="003D640C">
        <w:rPr>
          <w:rFonts w:ascii="Calibri" w:eastAsia="Times New Roman" w:hAnsi="Calibri" w:cs="Calibri"/>
          <w:lang w:eastAsia="en-NZ"/>
        </w:rPr>
        <w:t xml:space="preserve"> </w:t>
      </w:r>
      <w:r w:rsidRPr="00B1465F">
        <w:rPr>
          <w:rFonts w:ascii="Calibri" w:eastAsia="Times New Roman" w:hAnsi="Calibri" w:cs="Calibri"/>
          <w:lang w:eastAsia="en-NZ"/>
        </w:rPr>
        <w:t>rights-based</w:t>
      </w:r>
      <w:r w:rsidR="003D640C">
        <w:rPr>
          <w:rFonts w:ascii="Calibri" w:eastAsia="Times New Roman" w:hAnsi="Calibri" w:cs="Calibri"/>
          <w:lang w:eastAsia="en-NZ"/>
        </w:rPr>
        <w:t xml:space="preserve"> </w:t>
      </w:r>
      <w:r w:rsidRPr="00B1465F">
        <w:rPr>
          <w:rFonts w:ascii="Calibri" w:eastAsia="Times New Roman" w:hAnsi="Calibri" w:cs="Calibri"/>
          <w:lang w:eastAsia="en-NZ"/>
        </w:rPr>
        <w:t>approach</w:t>
      </w:r>
      <w:r w:rsidR="003D640C">
        <w:rPr>
          <w:rFonts w:ascii="Calibri" w:eastAsia="Times New Roman" w:hAnsi="Calibri" w:cs="Calibri"/>
          <w:lang w:eastAsia="en-NZ"/>
        </w:rPr>
        <w:t xml:space="preserve"> </w:t>
      </w:r>
      <w:r w:rsidRPr="00B1465F">
        <w:rPr>
          <w:rFonts w:ascii="Calibri" w:eastAsia="Times New Roman" w:hAnsi="Calibri" w:cs="Calibri"/>
          <w:lang w:eastAsia="en-NZ"/>
        </w:rPr>
        <w:t>to</w:t>
      </w:r>
      <w:r w:rsidR="003D640C">
        <w:rPr>
          <w:rFonts w:ascii="Calibri" w:eastAsia="Times New Roman" w:hAnsi="Calibri" w:cs="Calibri"/>
          <w:lang w:eastAsia="en-NZ"/>
        </w:rPr>
        <w:t xml:space="preserve"> </w:t>
      </w:r>
      <w:r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Pr="00B1465F">
        <w:rPr>
          <w:rFonts w:ascii="Calibri" w:eastAsia="Times New Roman" w:hAnsi="Calibri" w:cs="Calibri"/>
          <w:lang w:eastAsia="en-NZ"/>
        </w:rPr>
        <w:t>delivery</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our</w:t>
      </w:r>
      <w:r w:rsidR="003D640C">
        <w:rPr>
          <w:rFonts w:ascii="Calibri" w:eastAsia="Times New Roman" w:hAnsi="Calibri" w:cs="Calibri"/>
          <w:lang w:eastAsia="en-NZ"/>
        </w:rPr>
        <w:t xml:space="preserve"> </w:t>
      </w:r>
      <w:r w:rsidRPr="00B1465F">
        <w:rPr>
          <w:rFonts w:ascii="Calibri" w:eastAsia="Times New Roman" w:hAnsi="Calibri" w:cs="Calibri"/>
          <w:lang w:eastAsia="en-NZ"/>
        </w:rPr>
        <w:t>work</w:t>
      </w:r>
      <w:r w:rsidR="003D640C">
        <w:rPr>
          <w:rFonts w:ascii="Calibri" w:eastAsia="Times New Roman" w:hAnsi="Calibri" w:cs="Calibri"/>
          <w:lang w:eastAsia="en-NZ"/>
        </w:rPr>
        <w:t xml:space="preserve"> </w:t>
      </w:r>
      <w:r w:rsidRPr="00B1465F">
        <w:rPr>
          <w:rFonts w:ascii="Calibri" w:eastAsia="Times New Roman" w:hAnsi="Calibri" w:cs="Calibri"/>
          <w:lang w:eastAsia="en-NZ"/>
        </w:rPr>
        <w:t>program</w:t>
      </w:r>
      <w:r>
        <w:rPr>
          <w:rFonts w:ascii="Calibri" w:eastAsia="Times New Roman" w:hAnsi="Calibri" w:cs="Calibri"/>
          <w:lang w:eastAsia="en-NZ"/>
        </w:rPr>
        <w:t>me</w:t>
      </w:r>
      <w:r w:rsidR="003D640C">
        <w:rPr>
          <w:rFonts w:ascii="Calibri" w:eastAsia="Times New Roman" w:hAnsi="Calibri" w:cs="Calibri"/>
          <w:lang w:eastAsia="en-NZ"/>
        </w:rPr>
        <w:t xml:space="preserve"> </w:t>
      </w:r>
      <w:r>
        <w:rPr>
          <w:rFonts w:ascii="Calibri" w:eastAsia="Times New Roman" w:hAnsi="Calibri" w:cs="Calibri"/>
          <w:lang w:eastAsia="en-NZ"/>
        </w:rPr>
        <w:t>under</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Pr="00B1465F">
        <w:rPr>
          <w:rFonts w:ascii="Calibri" w:eastAsia="Times New Roman" w:hAnsi="Calibri" w:cs="Calibri"/>
          <w:lang w:eastAsia="en-NZ"/>
        </w:rPr>
        <w:t>.</w:t>
      </w:r>
      <w:r w:rsidR="003D640C">
        <w:rPr>
          <w:rFonts w:ascii="Calibri" w:eastAsia="Times New Roman" w:hAnsi="Calibri" w:cs="Calibri"/>
          <w:lang w:eastAsia="en-NZ"/>
        </w:rPr>
        <w:t xml:space="preserve"> </w:t>
      </w:r>
      <w:r>
        <w:rPr>
          <w:rFonts w:ascii="Calibri" w:eastAsia="Times New Roman" w:hAnsi="Calibri" w:cs="Calibri"/>
          <w:lang w:eastAsia="en-NZ"/>
        </w:rPr>
        <w:t>This</w:t>
      </w:r>
      <w:r w:rsidR="003D640C">
        <w:rPr>
          <w:rFonts w:ascii="Calibri" w:eastAsia="Times New Roman" w:hAnsi="Calibri" w:cs="Calibri"/>
          <w:lang w:eastAsia="en-NZ"/>
        </w:rPr>
        <w:t xml:space="preserve"> </w:t>
      </w:r>
      <w:r w:rsidRPr="00B1465F">
        <w:rPr>
          <w:rFonts w:ascii="Calibri" w:eastAsia="Times New Roman" w:hAnsi="Calibri" w:cs="Calibri"/>
          <w:lang w:eastAsia="en-NZ"/>
        </w:rPr>
        <w:t>meant</w:t>
      </w:r>
      <w:r w:rsidR="003D640C">
        <w:rPr>
          <w:rFonts w:ascii="Calibri" w:eastAsia="Times New Roman" w:hAnsi="Calibri" w:cs="Calibri"/>
          <w:lang w:eastAsia="en-NZ"/>
        </w:rPr>
        <w:t xml:space="preserve"> </w:t>
      </w:r>
      <w:r w:rsidRPr="00B1465F">
        <w:rPr>
          <w:rFonts w:ascii="Calibri" w:eastAsia="Times New Roman" w:hAnsi="Calibri" w:cs="Calibri"/>
          <w:lang w:eastAsia="en-NZ"/>
        </w:rPr>
        <w:t>that</w:t>
      </w:r>
      <w:r w:rsidR="003D640C">
        <w:rPr>
          <w:rFonts w:ascii="Calibri" w:eastAsia="Times New Roman" w:hAnsi="Calibri" w:cs="Calibri"/>
          <w:lang w:eastAsia="en-NZ"/>
        </w:rPr>
        <w:t xml:space="preserve"> </w:t>
      </w:r>
      <w:r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Pr="00B1465F">
        <w:rPr>
          <w:rFonts w:ascii="Calibri" w:eastAsia="Times New Roman" w:hAnsi="Calibri" w:cs="Calibri"/>
          <w:lang w:eastAsia="en-NZ"/>
        </w:rPr>
        <w:t>needs</w:t>
      </w:r>
      <w:r w:rsidR="003D640C">
        <w:rPr>
          <w:rFonts w:ascii="Calibri" w:eastAsia="Times New Roman" w:hAnsi="Calibri" w:cs="Calibri"/>
          <w:lang w:eastAsia="en-NZ"/>
        </w:rPr>
        <w:t xml:space="preserve"> </w:t>
      </w:r>
      <w:r w:rsidRPr="00B1465F">
        <w:rPr>
          <w:rFonts w:ascii="Calibri" w:eastAsia="Times New Roman" w:hAnsi="Calibri" w:cs="Calibri"/>
          <w:lang w:eastAsia="en-NZ"/>
        </w:rPr>
        <w:t>and</w:t>
      </w:r>
      <w:r w:rsidR="003D640C">
        <w:rPr>
          <w:rFonts w:ascii="Calibri" w:eastAsia="Times New Roman" w:hAnsi="Calibri" w:cs="Calibri"/>
          <w:lang w:eastAsia="en-NZ"/>
        </w:rPr>
        <w:t xml:space="preserve"> </w:t>
      </w:r>
      <w:r w:rsidRPr="00B1465F">
        <w:rPr>
          <w:rFonts w:ascii="Calibri" w:eastAsia="Times New Roman" w:hAnsi="Calibri" w:cs="Calibri"/>
          <w:lang w:eastAsia="en-NZ"/>
        </w:rPr>
        <w:t>perspectives</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sidRPr="00B1465F">
        <w:rPr>
          <w:rFonts w:ascii="Calibri" w:eastAsia="Times New Roman" w:hAnsi="Calibri" w:cs="Calibri"/>
          <w:lang w:eastAsia="en-NZ"/>
        </w:rPr>
        <w:t>those</w:t>
      </w:r>
      <w:r w:rsidR="003D640C">
        <w:rPr>
          <w:rFonts w:ascii="Calibri" w:eastAsia="Times New Roman" w:hAnsi="Calibri" w:cs="Calibri"/>
          <w:lang w:eastAsia="en-NZ"/>
        </w:rPr>
        <w:t xml:space="preserve"> </w:t>
      </w:r>
      <w:r w:rsidRPr="00B1465F">
        <w:rPr>
          <w:rFonts w:ascii="Calibri" w:eastAsia="Times New Roman" w:hAnsi="Calibri" w:cs="Calibri"/>
          <w:lang w:eastAsia="en-NZ"/>
        </w:rPr>
        <w:t>most</w:t>
      </w:r>
      <w:r w:rsidR="003D640C">
        <w:rPr>
          <w:rFonts w:ascii="Calibri" w:eastAsia="Times New Roman" w:hAnsi="Calibri" w:cs="Calibri"/>
          <w:lang w:eastAsia="en-NZ"/>
        </w:rPr>
        <w:t xml:space="preserve"> </w:t>
      </w:r>
      <w:r w:rsidRPr="00B1465F">
        <w:rPr>
          <w:rFonts w:ascii="Calibri" w:eastAsia="Times New Roman" w:hAnsi="Calibri" w:cs="Calibri"/>
          <w:lang w:eastAsia="en-NZ"/>
        </w:rPr>
        <w:t>impacted</w:t>
      </w:r>
      <w:r w:rsidR="003D640C">
        <w:rPr>
          <w:rFonts w:ascii="Calibri" w:eastAsia="Times New Roman" w:hAnsi="Calibri" w:cs="Calibri"/>
          <w:lang w:eastAsia="en-NZ"/>
        </w:rPr>
        <w:t xml:space="preserve"> </w:t>
      </w:r>
      <w:r w:rsidRPr="00B1465F">
        <w:rPr>
          <w:rFonts w:ascii="Calibri" w:eastAsia="Times New Roman" w:hAnsi="Calibri" w:cs="Calibri"/>
          <w:lang w:eastAsia="en-NZ"/>
        </w:rPr>
        <w:t>by</w:t>
      </w:r>
      <w:r w:rsidR="003D640C">
        <w:rPr>
          <w:rFonts w:ascii="Calibri" w:eastAsia="Times New Roman" w:hAnsi="Calibri" w:cs="Calibri"/>
          <w:lang w:eastAsia="en-NZ"/>
        </w:rPr>
        <w:t xml:space="preserve"> </w:t>
      </w:r>
      <w:r w:rsidRPr="00B1465F">
        <w:rPr>
          <w:rFonts w:ascii="Calibri" w:eastAsia="Times New Roman" w:hAnsi="Calibri" w:cs="Calibri"/>
          <w:lang w:eastAsia="en-NZ"/>
        </w:rPr>
        <w:t>and</w:t>
      </w:r>
      <w:r w:rsidR="003D640C">
        <w:rPr>
          <w:rFonts w:ascii="Calibri" w:eastAsia="Times New Roman" w:hAnsi="Calibri" w:cs="Calibri"/>
          <w:lang w:eastAsia="en-NZ"/>
        </w:rPr>
        <w:t xml:space="preserve"> </w:t>
      </w:r>
      <w:r w:rsidRPr="00B1465F">
        <w:rPr>
          <w:rFonts w:ascii="Calibri" w:eastAsia="Times New Roman" w:hAnsi="Calibri" w:cs="Calibri"/>
          <w:lang w:eastAsia="en-NZ"/>
        </w:rPr>
        <w:t>vulnerable</w:t>
      </w:r>
      <w:r w:rsidR="003D640C">
        <w:rPr>
          <w:rFonts w:ascii="Calibri" w:eastAsia="Times New Roman" w:hAnsi="Calibri" w:cs="Calibri"/>
          <w:lang w:eastAsia="en-NZ"/>
        </w:rPr>
        <w:t xml:space="preserve"> </w:t>
      </w:r>
      <w:r w:rsidRPr="00B1465F">
        <w:rPr>
          <w:rFonts w:ascii="Calibri" w:eastAsia="Times New Roman" w:hAnsi="Calibri" w:cs="Calibri"/>
          <w:lang w:eastAsia="en-NZ"/>
        </w:rPr>
        <w:t>to</w:t>
      </w:r>
      <w:r w:rsidR="003D640C">
        <w:rPr>
          <w:rFonts w:ascii="Calibri" w:eastAsia="Times New Roman" w:hAnsi="Calibri" w:cs="Calibri"/>
          <w:lang w:eastAsia="en-NZ"/>
        </w:rPr>
        <w:t xml:space="preserve"> </w:t>
      </w:r>
      <w:r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Pr="00B1465F">
        <w:rPr>
          <w:rFonts w:ascii="Calibri" w:eastAsia="Times New Roman" w:hAnsi="Calibri" w:cs="Calibri"/>
          <w:lang w:eastAsia="en-NZ"/>
        </w:rPr>
        <w:t>harms</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c</w:t>
      </w:r>
      <w:r w:rsidRPr="00B1465F">
        <w:rPr>
          <w:rFonts w:ascii="Calibri" w:eastAsia="Times New Roman" w:hAnsi="Calibri" w:cs="Calibri"/>
          <w:lang w:eastAsia="en-NZ"/>
        </w:rPr>
        <w:t>onversion</w:t>
      </w:r>
      <w:r w:rsidR="003D640C">
        <w:rPr>
          <w:rFonts w:ascii="Calibri" w:eastAsia="Times New Roman" w:hAnsi="Calibri" w:cs="Calibri"/>
          <w:lang w:eastAsia="en-NZ"/>
        </w:rPr>
        <w:t xml:space="preserve"> </w:t>
      </w:r>
      <w:r w:rsidRPr="00B1465F">
        <w:rPr>
          <w:rFonts w:ascii="Calibri" w:eastAsia="Times New Roman" w:hAnsi="Calibri" w:cs="Calibri"/>
          <w:lang w:eastAsia="en-NZ"/>
        </w:rPr>
        <w:t>practices</w:t>
      </w:r>
      <w:r w:rsidR="003D640C">
        <w:rPr>
          <w:rFonts w:ascii="Calibri" w:eastAsia="Times New Roman" w:hAnsi="Calibri" w:cs="Calibri"/>
          <w:lang w:eastAsia="en-NZ"/>
        </w:rPr>
        <w:t xml:space="preserve"> </w:t>
      </w:r>
      <w:r w:rsidRPr="00B1465F">
        <w:rPr>
          <w:rFonts w:ascii="Calibri" w:eastAsia="Times New Roman" w:hAnsi="Calibri" w:cs="Calibri"/>
          <w:lang w:eastAsia="en-NZ"/>
        </w:rPr>
        <w:t>were</w:t>
      </w:r>
      <w:r w:rsidR="003D640C">
        <w:rPr>
          <w:rFonts w:ascii="Calibri" w:eastAsia="Times New Roman" w:hAnsi="Calibri" w:cs="Calibri"/>
          <w:lang w:eastAsia="en-NZ"/>
        </w:rPr>
        <w:t xml:space="preserve"> </w:t>
      </w:r>
      <w:r>
        <w:rPr>
          <w:rFonts w:ascii="Calibri" w:eastAsia="Times New Roman" w:hAnsi="Calibri" w:cs="Calibri"/>
          <w:lang w:eastAsia="en-NZ"/>
        </w:rPr>
        <w:t>at</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sidRPr="00B1465F">
        <w:rPr>
          <w:rFonts w:ascii="Calibri" w:eastAsia="Times New Roman" w:hAnsi="Calibri" w:cs="Calibri"/>
          <w:lang w:eastAsia="en-NZ"/>
        </w:rPr>
        <w:t>centre</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sidRPr="00B1465F">
        <w:rPr>
          <w:rFonts w:ascii="Calibri" w:eastAsia="Times New Roman" w:hAnsi="Calibri" w:cs="Calibri"/>
          <w:lang w:eastAsia="en-NZ"/>
        </w:rPr>
        <w:t>its</w:t>
      </w:r>
      <w:r w:rsidR="003D640C">
        <w:rPr>
          <w:rFonts w:ascii="Calibri" w:eastAsia="Times New Roman" w:hAnsi="Calibri" w:cs="Calibri"/>
          <w:lang w:eastAsia="en-NZ"/>
        </w:rPr>
        <w:t xml:space="preserve"> </w:t>
      </w:r>
      <w:r w:rsidRPr="00B1465F">
        <w:rPr>
          <w:rFonts w:ascii="Calibri" w:eastAsia="Times New Roman" w:hAnsi="Calibri" w:cs="Calibri"/>
          <w:lang w:eastAsia="en-NZ"/>
        </w:rPr>
        <w:t>design.</w:t>
      </w:r>
      <w:r w:rsidR="003D640C">
        <w:rPr>
          <w:rFonts w:ascii="Calibri" w:eastAsia="Times New Roman" w:hAnsi="Calibri" w:cs="Calibri"/>
          <w:lang w:eastAsia="en-NZ"/>
        </w:rPr>
        <w:t xml:space="preserve"> </w:t>
      </w:r>
      <w:r>
        <w:rPr>
          <w:rFonts w:ascii="Calibri" w:eastAsia="Times New Roman" w:hAnsi="Calibri" w:cs="Calibri"/>
          <w:lang w:eastAsia="en-NZ"/>
        </w:rPr>
        <w:t>Our</w:t>
      </w:r>
      <w:r w:rsidR="003D640C">
        <w:rPr>
          <w:rFonts w:ascii="Calibri" w:eastAsia="Times New Roman" w:hAnsi="Calibri" w:cs="Calibri"/>
          <w:lang w:eastAsia="en-NZ"/>
        </w:rPr>
        <w:t xml:space="preserve"> </w:t>
      </w:r>
      <w:r>
        <w:rPr>
          <w:rFonts w:ascii="Calibri" w:eastAsia="Times New Roman" w:hAnsi="Calibri" w:cs="Calibri"/>
          <w:lang w:eastAsia="en-NZ"/>
        </w:rPr>
        <w:t>priority</w:t>
      </w:r>
      <w:r w:rsidR="003D640C">
        <w:rPr>
          <w:rFonts w:ascii="Calibri" w:eastAsia="Times New Roman" w:hAnsi="Calibri" w:cs="Calibri"/>
          <w:lang w:eastAsia="en-NZ"/>
        </w:rPr>
        <w:t xml:space="preserve"> </w:t>
      </w:r>
      <w:r>
        <w:rPr>
          <w:rFonts w:ascii="Calibri" w:eastAsia="Times New Roman" w:hAnsi="Calibri" w:cs="Calibri"/>
          <w:lang w:eastAsia="en-NZ"/>
        </w:rPr>
        <w:t>was</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have</w:t>
      </w:r>
      <w:r w:rsidR="003D640C">
        <w:rPr>
          <w:rFonts w:ascii="Calibri" w:eastAsia="Times New Roman" w:hAnsi="Calibri" w:cs="Calibri"/>
          <w:lang w:eastAsia="en-NZ"/>
        </w:rPr>
        <w:t xml:space="preserve"> </w:t>
      </w:r>
      <w:r w:rsidRPr="00B1465F">
        <w:rPr>
          <w:rFonts w:ascii="Calibri" w:eastAsia="Times New Roman" w:hAnsi="Calibri" w:cs="Calibri"/>
          <w:lang w:eastAsia="en-NZ"/>
        </w:rPr>
        <w:t>a</w:t>
      </w:r>
      <w:r w:rsidR="003D640C">
        <w:rPr>
          <w:rFonts w:ascii="Calibri" w:eastAsia="Times New Roman" w:hAnsi="Calibri" w:cs="Calibri"/>
          <w:lang w:eastAsia="en-NZ"/>
        </w:rPr>
        <w:t xml:space="preserve"> </w:t>
      </w:r>
      <w:r w:rsidRPr="00B1465F">
        <w:rPr>
          <w:rFonts w:ascii="Calibri" w:eastAsia="Times New Roman" w:hAnsi="Calibri" w:cs="Calibri"/>
          <w:lang w:eastAsia="en-NZ"/>
        </w:rPr>
        <w:t>diverse</w:t>
      </w:r>
      <w:r w:rsidR="003D640C">
        <w:rPr>
          <w:rFonts w:ascii="Calibri" w:eastAsia="Times New Roman" w:hAnsi="Calibri" w:cs="Calibri"/>
          <w:lang w:eastAsia="en-NZ"/>
        </w:rPr>
        <w:t xml:space="preserve"> </w:t>
      </w:r>
      <w:r w:rsidRPr="00B1465F">
        <w:rPr>
          <w:rFonts w:ascii="Calibri" w:eastAsia="Times New Roman" w:hAnsi="Calibri" w:cs="Calibri"/>
          <w:lang w:eastAsia="en-NZ"/>
        </w:rPr>
        <w:t>set</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sidRPr="00B1465F">
        <w:rPr>
          <w:rFonts w:ascii="Calibri" w:eastAsia="Times New Roman" w:hAnsi="Calibri" w:cs="Calibri"/>
          <w:lang w:eastAsia="en-NZ"/>
        </w:rPr>
        <w:t>survivor</w:t>
      </w:r>
      <w:r w:rsidR="003D640C">
        <w:rPr>
          <w:rFonts w:ascii="Calibri" w:eastAsia="Times New Roman" w:hAnsi="Calibri" w:cs="Calibri"/>
          <w:lang w:eastAsia="en-NZ"/>
        </w:rPr>
        <w:t xml:space="preserve"> </w:t>
      </w:r>
      <w:r w:rsidRPr="00B1465F">
        <w:rPr>
          <w:rFonts w:ascii="Calibri" w:eastAsia="Times New Roman" w:hAnsi="Calibri" w:cs="Calibri"/>
          <w:lang w:eastAsia="en-NZ"/>
        </w:rPr>
        <w:t>voices</w:t>
      </w:r>
      <w:r w:rsidR="003D640C">
        <w:rPr>
          <w:rFonts w:ascii="Calibri" w:eastAsia="Times New Roman" w:hAnsi="Calibri" w:cs="Calibri"/>
          <w:lang w:eastAsia="en-NZ"/>
        </w:rPr>
        <w:t xml:space="preserve"> </w:t>
      </w:r>
      <w:r w:rsidRPr="00B1465F">
        <w:rPr>
          <w:rFonts w:ascii="Calibri" w:eastAsia="Times New Roman" w:hAnsi="Calibri" w:cs="Calibri"/>
          <w:lang w:eastAsia="en-NZ"/>
        </w:rPr>
        <w:t>involved.</w:t>
      </w:r>
      <w:r w:rsidR="003D640C">
        <w:rPr>
          <w:rFonts w:ascii="Calibri" w:eastAsia="Times New Roman" w:hAnsi="Calibri" w:cs="Calibri"/>
          <w:lang w:eastAsia="en-NZ"/>
        </w:rPr>
        <w:t xml:space="preserve"> </w:t>
      </w:r>
      <w:r w:rsidRPr="00B1465F">
        <w:rPr>
          <w:rFonts w:ascii="Calibri" w:eastAsia="Times New Roman" w:hAnsi="Calibri" w:cs="Calibri"/>
          <w:lang w:eastAsia="en-NZ"/>
        </w:rPr>
        <w:t>Efforts</w:t>
      </w:r>
      <w:r w:rsidR="003D640C">
        <w:rPr>
          <w:rFonts w:ascii="Calibri" w:eastAsia="Times New Roman" w:hAnsi="Calibri" w:cs="Calibri"/>
          <w:lang w:eastAsia="en-NZ"/>
        </w:rPr>
        <w:t xml:space="preserve"> </w:t>
      </w:r>
      <w:r w:rsidRPr="00B1465F">
        <w:rPr>
          <w:rFonts w:ascii="Calibri" w:eastAsia="Times New Roman" w:hAnsi="Calibri" w:cs="Calibri"/>
          <w:lang w:eastAsia="en-NZ"/>
        </w:rPr>
        <w:t>were</w:t>
      </w:r>
      <w:r w:rsidR="003D640C">
        <w:rPr>
          <w:rFonts w:ascii="Calibri" w:eastAsia="Times New Roman" w:hAnsi="Calibri" w:cs="Calibri"/>
          <w:lang w:eastAsia="en-NZ"/>
        </w:rPr>
        <w:t xml:space="preserve"> </w:t>
      </w:r>
      <w:r w:rsidRPr="00B1465F">
        <w:rPr>
          <w:rFonts w:ascii="Calibri" w:eastAsia="Times New Roman" w:hAnsi="Calibri" w:cs="Calibri"/>
          <w:lang w:eastAsia="en-NZ"/>
        </w:rPr>
        <w:t>made</w:t>
      </w:r>
      <w:r w:rsidR="003D640C">
        <w:rPr>
          <w:rFonts w:ascii="Calibri" w:eastAsia="Times New Roman" w:hAnsi="Calibri" w:cs="Calibri"/>
          <w:lang w:eastAsia="en-NZ"/>
        </w:rPr>
        <w:t xml:space="preserve"> </w:t>
      </w:r>
      <w:r w:rsidRPr="00B1465F">
        <w:rPr>
          <w:rFonts w:ascii="Calibri" w:eastAsia="Times New Roman" w:hAnsi="Calibri" w:cs="Calibri"/>
          <w:lang w:eastAsia="en-NZ"/>
        </w:rPr>
        <w:t>to</w:t>
      </w:r>
      <w:r w:rsidR="003D640C">
        <w:rPr>
          <w:rFonts w:ascii="Calibri" w:eastAsia="Times New Roman" w:hAnsi="Calibri" w:cs="Calibri"/>
          <w:lang w:eastAsia="en-NZ"/>
        </w:rPr>
        <w:t xml:space="preserve"> </w:t>
      </w:r>
      <w:r w:rsidRPr="00B1465F">
        <w:rPr>
          <w:rFonts w:ascii="Calibri" w:eastAsia="Times New Roman" w:hAnsi="Calibri" w:cs="Calibri"/>
          <w:lang w:eastAsia="en-NZ"/>
        </w:rPr>
        <w:t>ensure</w:t>
      </w:r>
      <w:r w:rsidR="003D640C">
        <w:rPr>
          <w:rFonts w:ascii="Calibri" w:eastAsia="Times New Roman" w:hAnsi="Calibri" w:cs="Calibri"/>
          <w:lang w:eastAsia="en-NZ"/>
        </w:rPr>
        <w:t xml:space="preserve"> </w:t>
      </w:r>
      <w:r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Pr="00B1465F">
        <w:rPr>
          <w:rFonts w:ascii="Calibri" w:eastAsia="Times New Roman" w:hAnsi="Calibri" w:cs="Calibri"/>
          <w:lang w:eastAsia="en-NZ"/>
        </w:rPr>
        <w:t>team</w:t>
      </w:r>
      <w:r w:rsidR="003D640C">
        <w:rPr>
          <w:rFonts w:ascii="Calibri" w:eastAsia="Times New Roman" w:hAnsi="Calibri" w:cs="Calibri"/>
          <w:lang w:eastAsia="en-NZ"/>
        </w:rPr>
        <w:t xml:space="preserve"> </w:t>
      </w:r>
      <w:r w:rsidRPr="00B1465F">
        <w:rPr>
          <w:rFonts w:ascii="Calibri" w:eastAsia="Times New Roman" w:hAnsi="Calibri" w:cs="Calibri"/>
          <w:lang w:eastAsia="en-NZ"/>
        </w:rPr>
        <w:t>was</w:t>
      </w:r>
      <w:r w:rsidR="003D640C">
        <w:rPr>
          <w:rFonts w:ascii="Calibri" w:eastAsia="Times New Roman" w:hAnsi="Calibri" w:cs="Calibri"/>
          <w:lang w:eastAsia="en-NZ"/>
        </w:rPr>
        <w:t xml:space="preserve"> </w:t>
      </w:r>
      <w:r w:rsidRPr="00B1465F">
        <w:rPr>
          <w:rFonts w:ascii="Calibri" w:eastAsia="Times New Roman" w:hAnsi="Calibri" w:cs="Calibri"/>
          <w:lang w:eastAsia="en-NZ"/>
        </w:rPr>
        <w:t>survivor-led</w:t>
      </w:r>
      <w:r w:rsidR="003D640C">
        <w:rPr>
          <w:rFonts w:ascii="Calibri" w:eastAsia="Times New Roman" w:hAnsi="Calibri" w:cs="Calibri"/>
          <w:lang w:eastAsia="en-NZ"/>
        </w:rPr>
        <w:t xml:space="preserve"> </w:t>
      </w:r>
      <w:r w:rsidRPr="00B1465F">
        <w:rPr>
          <w:rFonts w:ascii="Calibri" w:eastAsia="Times New Roman" w:hAnsi="Calibri" w:cs="Calibri"/>
          <w:lang w:eastAsia="en-NZ"/>
        </w:rPr>
        <w:t>and</w:t>
      </w:r>
      <w:r w:rsidR="003D640C">
        <w:rPr>
          <w:rFonts w:ascii="Calibri" w:eastAsia="Times New Roman" w:hAnsi="Calibri" w:cs="Calibri"/>
          <w:lang w:eastAsia="en-NZ"/>
        </w:rPr>
        <w:t xml:space="preserve"> </w:t>
      </w:r>
      <w:r w:rsidRPr="00B1465F">
        <w:rPr>
          <w:rFonts w:ascii="Calibri" w:eastAsia="Times New Roman" w:hAnsi="Calibri" w:cs="Calibri"/>
          <w:lang w:eastAsia="en-NZ"/>
        </w:rPr>
        <w:t>included</w:t>
      </w:r>
      <w:r w:rsidR="003D640C">
        <w:rPr>
          <w:rFonts w:ascii="Calibri" w:eastAsia="Times New Roman" w:hAnsi="Calibri" w:cs="Calibri"/>
          <w:lang w:eastAsia="en-NZ"/>
        </w:rPr>
        <w:t xml:space="preserve"> </w:t>
      </w:r>
      <w:r w:rsidRPr="00B1465F">
        <w:rPr>
          <w:rFonts w:ascii="Calibri" w:eastAsia="Times New Roman" w:hAnsi="Calibri" w:cs="Calibri"/>
          <w:lang w:eastAsia="en-NZ"/>
        </w:rPr>
        <w:t>members</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sidRPr="00B1465F">
        <w:rPr>
          <w:rFonts w:ascii="Calibri" w:eastAsia="Times New Roman" w:hAnsi="Calibri" w:cs="Calibri"/>
          <w:lang w:eastAsia="en-NZ"/>
        </w:rPr>
        <w:t>minorit</w:t>
      </w:r>
      <w:r>
        <w:rPr>
          <w:rFonts w:ascii="Calibri" w:eastAsia="Times New Roman" w:hAnsi="Calibri" w:cs="Calibri"/>
          <w:lang w:eastAsia="en-NZ"/>
        </w:rPr>
        <w:t>y</w:t>
      </w:r>
      <w:r w:rsidR="003D640C">
        <w:rPr>
          <w:rFonts w:ascii="Calibri" w:eastAsia="Times New Roman" w:hAnsi="Calibri" w:cs="Calibri"/>
          <w:lang w:eastAsia="en-NZ"/>
        </w:rPr>
        <w:t xml:space="preserve"> </w:t>
      </w:r>
      <w:r w:rsidRPr="00B1465F">
        <w:rPr>
          <w:rFonts w:ascii="Calibri" w:eastAsia="Times New Roman" w:hAnsi="Calibri" w:cs="Calibri"/>
          <w:lang w:eastAsia="en-NZ"/>
        </w:rPr>
        <w:t>ethnic</w:t>
      </w:r>
      <w:r w:rsidR="003D640C">
        <w:rPr>
          <w:rFonts w:ascii="Calibri" w:eastAsia="Times New Roman" w:hAnsi="Calibri" w:cs="Calibri"/>
          <w:lang w:eastAsia="en-NZ"/>
        </w:rPr>
        <w:t xml:space="preserve"> </w:t>
      </w:r>
      <w:r w:rsidRPr="00B1465F">
        <w:rPr>
          <w:rFonts w:ascii="Calibri" w:eastAsia="Times New Roman" w:hAnsi="Calibri" w:cs="Calibri"/>
          <w:lang w:eastAsia="en-NZ"/>
        </w:rPr>
        <w:t>groups</w:t>
      </w:r>
      <w:r w:rsidR="003D640C">
        <w:rPr>
          <w:rFonts w:ascii="Calibri" w:eastAsia="Times New Roman" w:hAnsi="Calibri" w:cs="Calibri"/>
          <w:lang w:eastAsia="en-NZ"/>
        </w:rPr>
        <w:t xml:space="preserve"> </w:t>
      </w:r>
      <w:r w:rsidRPr="00B1465F">
        <w:rPr>
          <w:rFonts w:ascii="Calibri" w:eastAsia="Times New Roman" w:hAnsi="Calibri" w:cs="Calibri"/>
          <w:lang w:eastAsia="en-NZ"/>
        </w:rPr>
        <w:t>whose</w:t>
      </w:r>
      <w:r w:rsidR="003D640C">
        <w:rPr>
          <w:rFonts w:ascii="Calibri" w:eastAsia="Times New Roman" w:hAnsi="Calibri" w:cs="Calibri"/>
          <w:lang w:eastAsia="en-NZ"/>
        </w:rPr>
        <w:t xml:space="preserve"> </w:t>
      </w:r>
      <w:r w:rsidRPr="00B1465F">
        <w:rPr>
          <w:rFonts w:ascii="Calibri" w:eastAsia="Times New Roman" w:hAnsi="Calibri" w:cs="Calibri"/>
          <w:lang w:eastAsia="en-NZ"/>
        </w:rPr>
        <w:t>experiences</w:t>
      </w:r>
      <w:r w:rsidR="003D640C">
        <w:rPr>
          <w:rFonts w:ascii="Calibri" w:eastAsia="Times New Roman" w:hAnsi="Calibri" w:cs="Calibri"/>
          <w:lang w:eastAsia="en-NZ"/>
        </w:rPr>
        <w:t xml:space="preserve"> </w:t>
      </w:r>
      <w:r w:rsidRPr="00B1465F">
        <w:rPr>
          <w:rFonts w:ascii="Calibri" w:eastAsia="Times New Roman" w:hAnsi="Calibri" w:cs="Calibri"/>
          <w:lang w:eastAsia="en-NZ"/>
        </w:rPr>
        <w:t>and</w:t>
      </w:r>
      <w:r w:rsidR="003D640C">
        <w:rPr>
          <w:rFonts w:ascii="Calibri" w:eastAsia="Times New Roman" w:hAnsi="Calibri" w:cs="Calibri"/>
          <w:lang w:eastAsia="en-NZ"/>
        </w:rPr>
        <w:t xml:space="preserve"> </w:t>
      </w:r>
      <w:r w:rsidRPr="00B1465F">
        <w:rPr>
          <w:rFonts w:ascii="Calibri" w:eastAsia="Times New Roman" w:hAnsi="Calibri" w:cs="Calibri"/>
          <w:lang w:eastAsia="en-NZ"/>
        </w:rPr>
        <w:t>perspectives</w:t>
      </w:r>
      <w:r w:rsidR="003D640C">
        <w:rPr>
          <w:rFonts w:ascii="Calibri" w:eastAsia="Times New Roman" w:hAnsi="Calibri" w:cs="Calibri"/>
          <w:lang w:eastAsia="en-NZ"/>
        </w:rPr>
        <w:t xml:space="preserve"> </w:t>
      </w:r>
      <w:r w:rsidRPr="00B1465F">
        <w:rPr>
          <w:rFonts w:ascii="Calibri" w:eastAsia="Times New Roman" w:hAnsi="Calibri" w:cs="Calibri"/>
          <w:lang w:eastAsia="en-NZ"/>
        </w:rPr>
        <w:t>are</w:t>
      </w:r>
      <w:r w:rsidR="003D640C">
        <w:rPr>
          <w:rFonts w:ascii="Calibri" w:eastAsia="Times New Roman" w:hAnsi="Calibri" w:cs="Calibri"/>
          <w:lang w:eastAsia="en-NZ"/>
        </w:rPr>
        <w:t xml:space="preserve"> </w:t>
      </w:r>
      <w:r w:rsidRPr="00B1465F">
        <w:rPr>
          <w:rFonts w:ascii="Calibri" w:eastAsia="Times New Roman" w:hAnsi="Calibri" w:cs="Calibri"/>
          <w:lang w:eastAsia="en-NZ"/>
        </w:rPr>
        <w:t>often</w:t>
      </w:r>
      <w:r w:rsidR="003D640C">
        <w:rPr>
          <w:rFonts w:ascii="Calibri" w:eastAsia="Times New Roman" w:hAnsi="Calibri" w:cs="Calibri"/>
          <w:lang w:eastAsia="en-NZ"/>
        </w:rPr>
        <w:t xml:space="preserve"> </w:t>
      </w:r>
      <w:r>
        <w:rPr>
          <w:rFonts w:ascii="Calibri" w:eastAsia="Times New Roman" w:hAnsi="Calibri" w:cs="Calibri"/>
          <w:lang w:eastAsia="en-NZ"/>
        </w:rPr>
        <w:t>less</w:t>
      </w:r>
      <w:r w:rsidR="003D640C">
        <w:rPr>
          <w:rFonts w:ascii="Calibri" w:eastAsia="Times New Roman" w:hAnsi="Calibri" w:cs="Calibri"/>
          <w:lang w:eastAsia="en-NZ"/>
        </w:rPr>
        <w:t xml:space="preserve"> </w:t>
      </w:r>
      <w:r w:rsidRPr="00B1465F">
        <w:rPr>
          <w:rFonts w:ascii="Calibri" w:eastAsia="Times New Roman" w:hAnsi="Calibri" w:cs="Calibri"/>
          <w:lang w:eastAsia="en-NZ"/>
        </w:rPr>
        <w:t>visible</w:t>
      </w:r>
      <w:r w:rsidR="003D640C">
        <w:rPr>
          <w:rFonts w:ascii="Calibri" w:eastAsia="Times New Roman" w:hAnsi="Calibri" w:cs="Calibri"/>
          <w:lang w:eastAsia="en-NZ"/>
        </w:rPr>
        <w:t xml:space="preserve"> </w:t>
      </w:r>
      <w:r>
        <w:rPr>
          <w:rFonts w:ascii="Calibri" w:eastAsia="Times New Roman" w:hAnsi="Calibri" w:cs="Calibri"/>
          <w:lang w:eastAsia="en-NZ"/>
        </w:rPr>
        <w:t>in</w:t>
      </w:r>
      <w:r w:rsidR="003D640C">
        <w:rPr>
          <w:rFonts w:ascii="Calibri" w:eastAsia="Times New Roman" w:hAnsi="Calibri" w:cs="Calibri"/>
          <w:lang w:eastAsia="en-NZ"/>
        </w:rPr>
        <w:t xml:space="preserve"> </w:t>
      </w:r>
      <w:r>
        <w:rPr>
          <w:rFonts w:ascii="Calibri" w:eastAsia="Times New Roman" w:hAnsi="Calibri" w:cs="Calibri"/>
          <w:lang w:eastAsia="en-NZ"/>
        </w:rPr>
        <w:t>work</w:t>
      </w:r>
      <w:r w:rsidR="003D640C">
        <w:rPr>
          <w:rFonts w:ascii="Calibri" w:eastAsia="Times New Roman" w:hAnsi="Calibri" w:cs="Calibri"/>
          <w:lang w:eastAsia="en-NZ"/>
        </w:rPr>
        <w:t xml:space="preserve"> </w:t>
      </w:r>
      <w:r>
        <w:rPr>
          <w:rFonts w:ascii="Calibri" w:eastAsia="Times New Roman" w:hAnsi="Calibri" w:cs="Calibri"/>
          <w:lang w:eastAsia="en-NZ"/>
        </w:rPr>
        <w:t>about</w:t>
      </w:r>
      <w:r w:rsidR="003D640C">
        <w:rPr>
          <w:rFonts w:ascii="Calibri" w:eastAsia="Times New Roman" w:hAnsi="Calibri" w:cs="Calibri"/>
          <w:lang w:eastAsia="en-NZ"/>
        </w:rPr>
        <w:t xml:space="preserve"> </w:t>
      </w:r>
      <w:r>
        <w:rPr>
          <w:rFonts w:ascii="Calibri" w:eastAsia="Times New Roman" w:hAnsi="Calibri" w:cs="Calibri"/>
          <w:lang w:eastAsia="en-NZ"/>
        </w:rPr>
        <w:t>conversion</w:t>
      </w:r>
      <w:r w:rsidR="003D640C">
        <w:rPr>
          <w:rFonts w:ascii="Calibri" w:eastAsia="Times New Roman" w:hAnsi="Calibri" w:cs="Calibri"/>
          <w:lang w:eastAsia="en-NZ"/>
        </w:rPr>
        <w:t xml:space="preserve"> </w:t>
      </w:r>
      <w:r>
        <w:rPr>
          <w:rFonts w:ascii="Calibri" w:eastAsia="Times New Roman" w:hAnsi="Calibri" w:cs="Calibri"/>
          <w:lang w:eastAsia="en-NZ"/>
        </w:rPr>
        <w:t>practices</w:t>
      </w:r>
      <w:r w:rsidRPr="00B1465F">
        <w:rPr>
          <w:rFonts w:ascii="Calibri" w:eastAsia="Times New Roman" w:hAnsi="Calibri" w:cs="Calibri"/>
          <w:lang w:eastAsia="en-NZ"/>
        </w:rPr>
        <w:t>.</w:t>
      </w:r>
      <w:r w:rsidR="003D640C">
        <w:rPr>
          <w:rFonts w:ascii="Calibri" w:eastAsia="Times New Roman" w:hAnsi="Calibri" w:cs="Calibri"/>
          <w:lang w:eastAsia="en-NZ"/>
        </w:rPr>
        <w:t xml:space="preserve"> </w:t>
      </w:r>
    </w:p>
    <w:p w14:paraId="6776398C" w14:textId="19168510" w:rsidR="00501068" w:rsidRDefault="00BB3F27" w:rsidP="0078026B">
      <w:r w:rsidRPr="00B1465F">
        <w:t>We</w:t>
      </w:r>
      <w:r w:rsidR="003D640C">
        <w:t xml:space="preserve"> </w:t>
      </w:r>
      <w:r w:rsidRPr="00B1465F">
        <w:t>begin</w:t>
      </w:r>
      <w:r w:rsidR="003D640C">
        <w:t xml:space="preserve"> </w:t>
      </w:r>
      <w:r>
        <w:t>our</w:t>
      </w:r>
      <w:r w:rsidR="003D640C">
        <w:t xml:space="preserve"> </w:t>
      </w:r>
      <w:r>
        <w:t>report</w:t>
      </w:r>
      <w:r w:rsidR="003D640C">
        <w:t xml:space="preserve"> </w:t>
      </w:r>
      <w:r w:rsidRPr="00B1465F">
        <w:t>by</w:t>
      </w:r>
      <w:r w:rsidR="003D640C">
        <w:t xml:space="preserve"> </w:t>
      </w:r>
      <w:r w:rsidRPr="00B1465F">
        <w:t>outlining</w:t>
      </w:r>
      <w:r w:rsidR="003D640C">
        <w:t xml:space="preserve"> </w:t>
      </w:r>
      <w:r w:rsidRPr="00B1465F">
        <w:t>what</w:t>
      </w:r>
      <w:r w:rsidR="003D640C">
        <w:t xml:space="preserve"> </w:t>
      </w:r>
      <w:r w:rsidRPr="00B1465F">
        <w:t>the</w:t>
      </w:r>
      <w:r w:rsidR="003D640C">
        <w:t xml:space="preserve"> </w:t>
      </w:r>
      <w:r w:rsidRPr="00B1465F">
        <w:t>CPPLA</w:t>
      </w:r>
      <w:r w:rsidR="003D640C">
        <w:t xml:space="preserve"> </w:t>
      </w:r>
      <w:r w:rsidRPr="00B1465F">
        <w:t>is</w:t>
      </w:r>
      <w:r w:rsidR="003D640C">
        <w:t xml:space="preserve"> </w:t>
      </w:r>
      <w:r w:rsidRPr="00B1465F">
        <w:t>and</w:t>
      </w:r>
      <w:r w:rsidR="003D640C">
        <w:t xml:space="preserve"> </w:t>
      </w:r>
      <w:r w:rsidRPr="00B1465F">
        <w:t>how</w:t>
      </w:r>
      <w:r w:rsidR="003D640C">
        <w:t xml:space="preserve"> </w:t>
      </w:r>
      <w:r w:rsidRPr="00B1465F">
        <w:t>it</w:t>
      </w:r>
      <w:r w:rsidR="003D640C">
        <w:t xml:space="preserve"> </w:t>
      </w:r>
      <w:r w:rsidRPr="00B1465F">
        <w:t>came</w:t>
      </w:r>
      <w:r w:rsidR="003D640C">
        <w:t xml:space="preserve"> </w:t>
      </w:r>
      <w:r w:rsidRPr="00B1465F">
        <w:t>about.</w:t>
      </w:r>
      <w:r w:rsidR="003D640C">
        <w:t xml:space="preserve"> </w:t>
      </w:r>
      <w:r w:rsidRPr="00B1465F">
        <w:t>This</w:t>
      </w:r>
      <w:r w:rsidR="003D640C">
        <w:t xml:space="preserve"> </w:t>
      </w:r>
      <w:r w:rsidRPr="00B1465F">
        <w:t>is</w:t>
      </w:r>
      <w:r w:rsidR="003D640C">
        <w:t xml:space="preserve"> </w:t>
      </w:r>
      <w:r w:rsidRPr="00B1465F">
        <w:t>followed</w:t>
      </w:r>
      <w:r w:rsidR="003D640C">
        <w:t xml:space="preserve"> </w:t>
      </w:r>
      <w:r w:rsidRPr="00911DFD">
        <w:t>by</w:t>
      </w:r>
      <w:r w:rsidR="003D640C">
        <w:t xml:space="preserve"> </w:t>
      </w:r>
      <w:r w:rsidRPr="00911DFD">
        <w:t>a</w:t>
      </w:r>
      <w:r w:rsidR="003D640C">
        <w:t xml:space="preserve"> </w:t>
      </w:r>
      <w:r w:rsidRPr="00911DFD">
        <w:t>comprehensive</w:t>
      </w:r>
      <w:r w:rsidR="003D640C">
        <w:t xml:space="preserve"> </w:t>
      </w:r>
      <w:r>
        <w:t>definition</w:t>
      </w:r>
      <w:r w:rsidR="003D640C">
        <w:t xml:space="preserve"> </w:t>
      </w:r>
      <w:r>
        <w:t>of</w:t>
      </w:r>
      <w:r w:rsidR="003D640C">
        <w:t xml:space="preserve"> </w:t>
      </w:r>
      <w:r>
        <w:t>what</w:t>
      </w:r>
      <w:r w:rsidR="003D640C">
        <w:t xml:space="preserve"> </w:t>
      </w:r>
      <w:r>
        <w:t>conversion</w:t>
      </w:r>
      <w:r w:rsidR="003D640C">
        <w:t xml:space="preserve"> </w:t>
      </w:r>
      <w:r>
        <w:t>practices</w:t>
      </w:r>
      <w:r w:rsidR="003D640C">
        <w:t xml:space="preserve"> </w:t>
      </w:r>
      <w:r>
        <w:t>are</w:t>
      </w:r>
      <w:r w:rsidR="003D640C">
        <w:t xml:space="preserve"> </w:t>
      </w:r>
      <w:r>
        <w:t>–</w:t>
      </w:r>
      <w:r w:rsidR="003D640C">
        <w:t xml:space="preserve"> </w:t>
      </w:r>
      <w:r>
        <w:t>and</w:t>
      </w:r>
      <w:r w:rsidR="003D640C">
        <w:t xml:space="preserve"> </w:t>
      </w:r>
      <w:r>
        <w:t>what</w:t>
      </w:r>
      <w:r w:rsidR="003D640C">
        <w:t xml:space="preserve"> </w:t>
      </w:r>
      <w:r>
        <w:t>they</w:t>
      </w:r>
      <w:r w:rsidR="003D640C">
        <w:t xml:space="preserve"> </w:t>
      </w:r>
      <w:r>
        <w:t>are</w:t>
      </w:r>
      <w:r w:rsidR="003D640C">
        <w:t xml:space="preserve"> </w:t>
      </w:r>
      <w:r>
        <w:t>not.</w:t>
      </w:r>
      <w:r w:rsidR="003D640C">
        <w:t xml:space="preserve"> </w:t>
      </w:r>
      <w:r>
        <w:t>We</w:t>
      </w:r>
      <w:r w:rsidR="003D640C">
        <w:t xml:space="preserve"> </w:t>
      </w:r>
      <w:r>
        <w:t>provide</w:t>
      </w:r>
      <w:r w:rsidR="003D640C">
        <w:t xml:space="preserve"> </w:t>
      </w:r>
      <w:r>
        <w:t>examples</w:t>
      </w:r>
      <w:r w:rsidR="003D640C">
        <w:t xml:space="preserve"> </w:t>
      </w:r>
      <w:r>
        <w:t>of</w:t>
      </w:r>
      <w:r w:rsidR="003D640C">
        <w:t xml:space="preserve"> </w:t>
      </w:r>
      <w:r>
        <w:t>such</w:t>
      </w:r>
      <w:r w:rsidR="003D640C">
        <w:t xml:space="preserve"> </w:t>
      </w:r>
      <w:r>
        <w:t>practices</w:t>
      </w:r>
      <w:r w:rsidR="003D640C">
        <w:t xml:space="preserve"> </w:t>
      </w:r>
      <w:r>
        <w:t>and</w:t>
      </w:r>
      <w:r w:rsidR="003D640C">
        <w:t xml:space="preserve"> </w:t>
      </w:r>
      <w:r>
        <w:t>evidence</w:t>
      </w:r>
      <w:r w:rsidR="003D640C">
        <w:t xml:space="preserve"> </w:t>
      </w:r>
      <w:r>
        <w:t>that</w:t>
      </w:r>
      <w:r w:rsidR="003D640C">
        <w:t xml:space="preserve"> </w:t>
      </w:r>
      <w:r>
        <w:t>they</w:t>
      </w:r>
      <w:r w:rsidR="003D640C">
        <w:t xml:space="preserve"> </w:t>
      </w:r>
      <w:r>
        <w:t>are</w:t>
      </w:r>
      <w:r w:rsidR="003D640C">
        <w:t xml:space="preserve"> </w:t>
      </w:r>
      <w:r>
        <w:t>happening</w:t>
      </w:r>
      <w:r w:rsidR="003D640C">
        <w:t xml:space="preserve"> </w:t>
      </w:r>
      <w:r>
        <w:t>in</w:t>
      </w:r>
      <w:r w:rsidR="003D640C">
        <w:t xml:space="preserve"> </w:t>
      </w:r>
      <w:r>
        <w:t>Aotearoa</w:t>
      </w:r>
      <w:r w:rsidR="003D640C">
        <w:t xml:space="preserve"> </w:t>
      </w:r>
      <w:r>
        <w:t>in</w:t>
      </w:r>
      <w:r w:rsidR="003D640C">
        <w:t xml:space="preserve"> </w:t>
      </w:r>
      <w:r>
        <w:t>a</w:t>
      </w:r>
      <w:r w:rsidR="003D640C">
        <w:t xml:space="preserve"> </w:t>
      </w:r>
      <w:r>
        <w:t>variety</w:t>
      </w:r>
      <w:r w:rsidR="003D640C">
        <w:t xml:space="preserve"> </w:t>
      </w:r>
      <w:r>
        <w:t>of</w:t>
      </w:r>
      <w:r w:rsidR="003D640C">
        <w:t xml:space="preserve"> </w:t>
      </w:r>
      <w:r>
        <w:t>settings.</w:t>
      </w:r>
      <w:r w:rsidR="003D640C">
        <w:t xml:space="preserve"> </w:t>
      </w:r>
      <w:r>
        <w:t>The</w:t>
      </w:r>
      <w:r w:rsidR="003D640C">
        <w:t xml:space="preserve"> </w:t>
      </w:r>
      <w:r>
        <w:t>report</w:t>
      </w:r>
      <w:r w:rsidR="003D640C">
        <w:t xml:space="preserve"> </w:t>
      </w:r>
      <w:r>
        <w:t>then</w:t>
      </w:r>
      <w:r w:rsidR="003D640C">
        <w:t xml:space="preserve"> </w:t>
      </w:r>
      <w:r>
        <w:t>outlines</w:t>
      </w:r>
      <w:r w:rsidR="003D640C">
        <w:t xml:space="preserve"> </w:t>
      </w:r>
      <w:r>
        <w:t>the</w:t>
      </w:r>
      <w:r w:rsidR="003D640C">
        <w:t xml:space="preserve"> </w:t>
      </w:r>
      <w:r>
        <w:t>considerable</w:t>
      </w:r>
      <w:r w:rsidR="003D640C">
        <w:t xml:space="preserve"> </w:t>
      </w:r>
      <w:r>
        <w:t>harms</w:t>
      </w:r>
      <w:r w:rsidR="003D640C">
        <w:t xml:space="preserve"> </w:t>
      </w:r>
      <w:r>
        <w:t>conversion</w:t>
      </w:r>
      <w:r w:rsidR="003D640C">
        <w:t xml:space="preserve"> </w:t>
      </w:r>
      <w:r>
        <w:t>practices</w:t>
      </w:r>
      <w:r w:rsidR="003D640C">
        <w:t xml:space="preserve"> </w:t>
      </w:r>
      <w:r>
        <w:t>cause,</w:t>
      </w:r>
      <w:r w:rsidR="003D640C">
        <w:t xml:space="preserve"> </w:t>
      </w:r>
      <w:r>
        <w:t>including</w:t>
      </w:r>
      <w:r w:rsidR="003D640C">
        <w:t xml:space="preserve"> </w:t>
      </w:r>
      <w:r>
        <w:t>a</w:t>
      </w:r>
      <w:r w:rsidR="003D640C">
        <w:t xml:space="preserve"> </w:t>
      </w:r>
      <w:r>
        <w:t>focus</w:t>
      </w:r>
      <w:r w:rsidR="003D640C">
        <w:t xml:space="preserve"> </w:t>
      </w:r>
      <w:r>
        <w:t>on</w:t>
      </w:r>
      <w:r w:rsidR="003D640C">
        <w:t xml:space="preserve"> </w:t>
      </w:r>
      <w:r>
        <w:lastRenderedPageBreak/>
        <w:t>marginalised</w:t>
      </w:r>
      <w:r w:rsidR="003D640C">
        <w:t xml:space="preserve"> </w:t>
      </w:r>
      <w:r>
        <w:t>communities</w:t>
      </w:r>
      <w:r w:rsidR="003D640C">
        <w:t xml:space="preserve"> </w:t>
      </w:r>
      <w:r>
        <w:t>such</w:t>
      </w:r>
      <w:r w:rsidR="003D640C">
        <w:t xml:space="preserve"> </w:t>
      </w:r>
      <w:r>
        <w:t>as</w:t>
      </w:r>
      <w:r w:rsidR="003D640C">
        <w:t xml:space="preserve"> </w:t>
      </w:r>
      <w:r>
        <w:t>Māori,</w:t>
      </w:r>
      <w:r w:rsidR="003D640C">
        <w:t xml:space="preserve"> </w:t>
      </w:r>
      <w:r>
        <w:t>Pacific</w:t>
      </w:r>
      <w:r w:rsidR="003D640C">
        <w:t xml:space="preserve"> </w:t>
      </w:r>
      <w:r>
        <w:t>peoples,</w:t>
      </w:r>
      <w:r w:rsidR="003D640C">
        <w:t xml:space="preserve"> </w:t>
      </w:r>
      <w:r>
        <w:t>ethnic</w:t>
      </w:r>
      <w:r w:rsidR="003D640C">
        <w:t xml:space="preserve"> </w:t>
      </w:r>
      <w:r>
        <w:t>communities</w:t>
      </w:r>
      <w:r w:rsidR="00E55F76">
        <w:t>,</w:t>
      </w:r>
      <w:r w:rsidR="003D640C">
        <w:t xml:space="preserve"> </w:t>
      </w:r>
      <w:r>
        <w:t>and</w:t>
      </w:r>
      <w:r w:rsidR="003D640C">
        <w:t xml:space="preserve"> </w:t>
      </w:r>
      <w:r>
        <w:t>transgender</w:t>
      </w:r>
      <w:r w:rsidR="003D640C">
        <w:t xml:space="preserve"> </w:t>
      </w:r>
      <w:r>
        <w:t>and</w:t>
      </w:r>
      <w:r w:rsidR="003D640C">
        <w:t xml:space="preserve"> </w:t>
      </w:r>
      <w:r>
        <w:t>non-binary</w:t>
      </w:r>
      <w:r w:rsidR="003D640C">
        <w:t xml:space="preserve"> </w:t>
      </w:r>
      <w:r>
        <w:t>people</w:t>
      </w:r>
      <w:r w:rsidR="00FD361D">
        <w:t xml:space="preserve"> and disabled </w:t>
      </w:r>
      <w:r w:rsidR="00771FCD">
        <w:t>people</w:t>
      </w:r>
      <w:r>
        <w:t>.</w:t>
      </w:r>
      <w:r w:rsidR="003D640C">
        <w:t xml:space="preserve"> </w:t>
      </w:r>
      <w:r>
        <w:t>The</w:t>
      </w:r>
      <w:r w:rsidR="003D640C">
        <w:t xml:space="preserve"> </w:t>
      </w:r>
      <w:r>
        <w:t>report</w:t>
      </w:r>
      <w:r w:rsidR="003D640C">
        <w:t xml:space="preserve"> </w:t>
      </w:r>
      <w:r>
        <w:t>concludes</w:t>
      </w:r>
      <w:r w:rsidR="003D640C">
        <w:t xml:space="preserve"> </w:t>
      </w:r>
      <w:r>
        <w:t>by</w:t>
      </w:r>
      <w:r w:rsidR="003D640C">
        <w:t xml:space="preserve"> </w:t>
      </w:r>
      <w:r>
        <w:t>outlining</w:t>
      </w:r>
      <w:r w:rsidR="003D640C">
        <w:t xml:space="preserve"> </w:t>
      </w:r>
      <w:r>
        <w:t>ways</w:t>
      </w:r>
      <w:r w:rsidR="003D640C">
        <w:t xml:space="preserve"> </w:t>
      </w:r>
      <w:r>
        <w:t>that</w:t>
      </w:r>
      <w:r w:rsidR="003D640C">
        <w:t xml:space="preserve"> </w:t>
      </w:r>
      <w:r>
        <w:t>survivors</w:t>
      </w:r>
      <w:r w:rsidR="003D640C">
        <w:t xml:space="preserve"> </w:t>
      </w:r>
      <w:r>
        <w:t>can</w:t>
      </w:r>
      <w:r w:rsidR="003D640C">
        <w:t xml:space="preserve"> </w:t>
      </w:r>
      <w:r>
        <w:t>be</w:t>
      </w:r>
      <w:r w:rsidR="003D640C">
        <w:t xml:space="preserve"> </w:t>
      </w:r>
      <w:r>
        <w:t>best</w:t>
      </w:r>
      <w:r w:rsidR="003D640C">
        <w:t xml:space="preserve"> </w:t>
      </w:r>
      <w:r>
        <w:t>supported.</w:t>
      </w:r>
      <w:r w:rsidR="003D640C">
        <w:t xml:space="preserve"> </w:t>
      </w:r>
      <w:r>
        <w:t>This</w:t>
      </w:r>
      <w:r w:rsidR="003D640C">
        <w:t xml:space="preserve"> </w:t>
      </w:r>
      <w:r>
        <w:t>chapter</w:t>
      </w:r>
      <w:r w:rsidR="003D640C">
        <w:t xml:space="preserve"> </w:t>
      </w:r>
      <w:r>
        <w:t>draws</w:t>
      </w:r>
      <w:r w:rsidR="003D640C">
        <w:t xml:space="preserve"> </w:t>
      </w:r>
      <w:r>
        <w:t>on</w:t>
      </w:r>
      <w:r w:rsidR="003D640C">
        <w:t xml:space="preserve"> </w:t>
      </w:r>
      <w:r>
        <w:t>the</w:t>
      </w:r>
      <w:r w:rsidR="003D640C">
        <w:t xml:space="preserve"> </w:t>
      </w:r>
      <w:r>
        <w:t>advice</w:t>
      </w:r>
      <w:r w:rsidR="003D640C">
        <w:t xml:space="preserve"> </w:t>
      </w:r>
      <w:r>
        <w:t>shared</w:t>
      </w:r>
      <w:r w:rsidR="003D640C">
        <w:t xml:space="preserve"> </w:t>
      </w:r>
      <w:r>
        <w:t>with</w:t>
      </w:r>
      <w:r w:rsidR="003D640C">
        <w:t xml:space="preserve"> </w:t>
      </w:r>
      <w:r>
        <w:t>us</w:t>
      </w:r>
      <w:r w:rsidR="003D640C">
        <w:t xml:space="preserve"> </w:t>
      </w:r>
      <w:r>
        <w:t>by</w:t>
      </w:r>
      <w:r w:rsidR="003D640C">
        <w:t xml:space="preserve"> </w:t>
      </w:r>
      <w:r>
        <w:t>survivors.</w:t>
      </w:r>
      <w:r w:rsidR="003D640C">
        <w:t xml:space="preserve"> </w:t>
      </w:r>
    </w:p>
    <w:p w14:paraId="65AD58CB" w14:textId="24A4F5CB" w:rsidR="00BB3F27" w:rsidRPr="00B1465F" w:rsidRDefault="00BB3F27" w:rsidP="0078026B">
      <w:pPr>
        <w:pStyle w:val="Heading2"/>
        <w:rPr>
          <w:shd w:val="clear" w:color="auto" w:fill="FFFFFF"/>
        </w:rPr>
      </w:pPr>
      <w:bookmarkStart w:id="41" w:name="_Toc167780572"/>
      <w:bookmarkStart w:id="42" w:name="_Toc1200382527"/>
      <w:bookmarkStart w:id="43" w:name="_Toc174628630"/>
      <w:r w:rsidRPr="001C0D6F">
        <w:rPr>
          <w:shd w:val="clear" w:color="auto" w:fill="FFFFFF"/>
        </w:rPr>
        <w:t>Conversion</w:t>
      </w:r>
      <w:r w:rsidR="003D640C">
        <w:rPr>
          <w:shd w:val="clear" w:color="auto" w:fill="FFFFFF"/>
        </w:rPr>
        <w:t xml:space="preserve"> </w:t>
      </w:r>
      <w:r w:rsidRPr="001C0D6F">
        <w:rPr>
          <w:shd w:val="clear" w:color="auto" w:fill="FFFFFF"/>
        </w:rPr>
        <w:t>practices</w:t>
      </w:r>
      <w:r w:rsidR="003D640C">
        <w:rPr>
          <w:shd w:val="clear" w:color="auto" w:fill="FFFFFF"/>
        </w:rPr>
        <w:t xml:space="preserve"> </w:t>
      </w:r>
      <w:r w:rsidRPr="001C0D6F">
        <w:rPr>
          <w:shd w:val="clear" w:color="auto" w:fill="FFFFFF"/>
        </w:rPr>
        <w:t>exist</w:t>
      </w:r>
      <w:r w:rsidR="003D640C">
        <w:rPr>
          <w:shd w:val="clear" w:color="auto" w:fill="FFFFFF"/>
        </w:rPr>
        <w:t xml:space="preserve"> </w:t>
      </w:r>
      <w:r w:rsidRPr="001C0D6F">
        <w:rPr>
          <w:shd w:val="clear" w:color="auto" w:fill="FFFFFF"/>
        </w:rPr>
        <w:t>despite</w:t>
      </w:r>
      <w:r w:rsidR="003D640C">
        <w:rPr>
          <w:shd w:val="clear" w:color="auto" w:fill="FFFFFF"/>
        </w:rPr>
        <w:t xml:space="preserve"> </w:t>
      </w:r>
      <w:r w:rsidRPr="001C0D6F">
        <w:rPr>
          <w:shd w:val="clear" w:color="auto" w:fill="FFFFFF"/>
        </w:rPr>
        <w:t>growing</w:t>
      </w:r>
      <w:r w:rsidR="003D640C">
        <w:rPr>
          <w:shd w:val="clear" w:color="auto" w:fill="FFFFFF"/>
        </w:rPr>
        <w:t xml:space="preserve"> </w:t>
      </w:r>
      <w:r w:rsidRPr="001C0D6F">
        <w:rPr>
          <w:shd w:val="clear" w:color="auto" w:fill="FFFFFF"/>
        </w:rPr>
        <w:t>recognition</w:t>
      </w:r>
      <w:r w:rsidR="003D640C">
        <w:rPr>
          <w:shd w:val="clear" w:color="auto" w:fill="FFFFFF"/>
        </w:rPr>
        <w:t xml:space="preserve"> </w:t>
      </w:r>
      <w:r w:rsidRPr="001C0D6F">
        <w:rPr>
          <w:shd w:val="clear" w:color="auto" w:fill="FFFFFF"/>
        </w:rPr>
        <w:t>of</w:t>
      </w:r>
      <w:r w:rsidR="003D640C">
        <w:rPr>
          <w:shd w:val="clear" w:color="auto" w:fill="FFFFFF"/>
        </w:rPr>
        <w:t xml:space="preserve"> </w:t>
      </w:r>
      <w:r w:rsidRPr="001C0D6F">
        <w:rPr>
          <w:shd w:val="clear" w:color="auto" w:fill="FFFFFF"/>
        </w:rPr>
        <w:t>Rainbow</w:t>
      </w:r>
      <w:r w:rsidR="003D640C">
        <w:rPr>
          <w:shd w:val="clear" w:color="auto" w:fill="FFFFFF"/>
        </w:rPr>
        <w:t xml:space="preserve"> </w:t>
      </w:r>
      <w:r w:rsidRPr="001C0D6F">
        <w:rPr>
          <w:shd w:val="clear" w:color="auto" w:fill="FFFFFF"/>
        </w:rPr>
        <w:t>rights</w:t>
      </w:r>
      <w:bookmarkEnd w:id="41"/>
      <w:bookmarkEnd w:id="42"/>
      <w:bookmarkEnd w:id="43"/>
    </w:p>
    <w:p w14:paraId="463457F6" w14:textId="277A71E6" w:rsidR="00BB3F27" w:rsidRPr="00BB6220" w:rsidRDefault="00BB3F27" w:rsidP="0078026B">
      <w:pPr>
        <w:rPr>
          <w:lang w:eastAsia="en-NZ"/>
        </w:rPr>
      </w:pPr>
      <w:r>
        <w:rPr>
          <w:lang w:eastAsia="en-NZ"/>
        </w:rPr>
        <w:t>In</w:t>
      </w:r>
      <w:r w:rsidR="003D640C">
        <w:rPr>
          <w:lang w:eastAsia="en-NZ"/>
        </w:rPr>
        <w:t xml:space="preserve"> </w:t>
      </w:r>
      <w:r>
        <w:rPr>
          <w:lang w:eastAsia="en-NZ"/>
        </w:rPr>
        <w:t>2020,</w:t>
      </w:r>
      <w:r w:rsidR="003D640C">
        <w:rPr>
          <w:lang w:eastAsia="en-NZ"/>
        </w:rPr>
        <w:t xml:space="preserve"> </w:t>
      </w:r>
      <w:r>
        <w:rPr>
          <w:lang w:eastAsia="en-NZ"/>
        </w:rPr>
        <w:t>we</w:t>
      </w:r>
      <w:r w:rsidR="003D640C">
        <w:rPr>
          <w:lang w:eastAsia="en-NZ"/>
        </w:rPr>
        <w:t xml:space="preserve"> </w:t>
      </w:r>
      <w:r>
        <w:rPr>
          <w:lang w:eastAsia="en-NZ"/>
        </w:rPr>
        <w:t>published</w:t>
      </w:r>
      <w:r w:rsidR="003D640C">
        <w:rPr>
          <w:lang w:eastAsia="en-NZ"/>
        </w:rPr>
        <w:t xml:space="preserve"> </w:t>
      </w:r>
      <w:r>
        <w:rPr>
          <w:lang w:eastAsia="en-NZ"/>
        </w:rPr>
        <w:t>the</w:t>
      </w:r>
      <w:r w:rsidR="003D640C">
        <w:rPr>
          <w:lang w:eastAsia="en-NZ"/>
        </w:rPr>
        <w:t xml:space="preserve"> </w:t>
      </w:r>
      <w:r w:rsidRPr="00B2086D" w:rsidDel="00DB3FE8">
        <w:rPr>
          <w:i/>
          <w:lang w:eastAsia="en-NZ"/>
        </w:rPr>
        <w:t>P</w:t>
      </w:r>
      <w:r w:rsidRPr="00B2086D">
        <w:rPr>
          <w:i/>
          <w:lang w:eastAsia="en-NZ"/>
        </w:rPr>
        <w:t>rism</w:t>
      </w:r>
      <w:r w:rsidR="003D640C">
        <w:rPr>
          <w:lang w:eastAsia="en-NZ"/>
        </w:rPr>
        <w:t xml:space="preserve"> </w:t>
      </w:r>
      <w:r w:rsidRPr="00BB6220">
        <w:rPr>
          <w:lang w:eastAsia="en-NZ"/>
        </w:rPr>
        <w:t>report,</w:t>
      </w:r>
      <w:r w:rsidR="003D640C">
        <w:rPr>
          <w:lang w:eastAsia="en-NZ"/>
        </w:rPr>
        <w:t xml:space="preserve"> </w:t>
      </w:r>
      <w:r>
        <w:rPr>
          <w:lang w:eastAsia="en-NZ"/>
        </w:rPr>
        <w:t>which</w:t>
      </w:r>
      <w:r w:rsidR="003D640C">
        <w:rPr>
          <w:lang w:eastAsia="en-NZ"/>
        </w:rPr>
        <w:t xml:space="preserve"> </w:t>
      </w:r>
      <w:r w:rsidRPr="00BB6220">
        <w:rPr>
          <w:lang w:eastAsia="en-NZ"/>
        </w:rPr>
        <w:t>detailed</w:t>
      </w:r>
      <w:r w:rsidR="003D640C">
        <w:rPr>
          <w:lang w:eastAsia="en-NZ"/>
        </w:rPr>
        <w:t xml:space="preserve"> </w:t>
      </w:r>
      <w:r w:rsidRPr="00BB6220">
        <w:rPr>
          <w:lang w:eastAsia="en-NZ"/>
        </w:rPr>
        <w:t>six</w:t>
      </w:r>
      <w:r w:rsidR="003D640C">
        <w:rPr>
          <w:lang w:eastAsia="en-NZ"/>
        </w:rPr>
        <w:t xml:space="preserve"> </w:t>
      </w:r>
      <w:r w:rsidRPr="00BB6220">
        <w:rPr>
          <w:lang w:eastAsia="en-NZ"/>
        </w:rPr>
        <w:t>key</w:t>
      </w:r>
      <w:r w:rsidR="003D640C">
        <w:rPr>
          <w:lang w:eastAsia="en-NZ"/>
        </w:rPr>
        <w:t xml:space="preserve"> </w:t>
      </w:r>
      <w:r>
        <w:rPr>
          <w:lang w:eastAsia="en-NZ"/>
        </w:rPr>
        <w:t>human</w:t>
      </w:r>
      <w:r w:rsidR="003D640C">
        <w:rPr>
          <w:lang w:eastAsia="en-NZ"/>
        </w:rPr>
        <w:t xml:space="preserve"> </w:t>
      </w:r>
      <w:r>
        <w:rPr>
          <w:lang w:eastAsia="en-NZ"/>
        </w:rPr>
        <w:t>rights</w:t>
      </w:r>
      <w:r w:rsidR="003D640C">
        <w:rPr>
          <w:lang w:eastAsia="en-NZ"/>
        </w:rPr>
        <w:t xml:space="preserve"> </w:t>
      </w:r>
      <w:r>
        <w:rPr>
          <w:lang w:eastAsia="en-NZ"/>
        </w:rPr>
        <w:t>issues</w:t>
      </w:r>
      <w:r w:rsidR="003D640C">
        <w:rPr>
          <w:lang w:eastAsia="en-NZ"/>
        </w:rPr>
        <w:t xml:space="preserve"> </w:t>
      </w:r>
      <w:r>
        <w:rPr>
          <w:lang w:eastAsia="en-NZ"/>
        </w:rPr>
        <w:t>Rainbow</w:t>
      </w:r>
      <w:r w:rsidR="003D640C">
        <w:rPr>
          <w:lang w:eastAsia="en-NZ"/>
        </w:rPr>
        <w:t xml:space="preserve"> </w:t>
      </w:r>
      <w:r w:rsidRPr="00BB6220">
        <w:rPr>
          <w:lang w:eastAsia="en-NZ"/>
        </w:rPr>
        <w:t>communit</w:t>
      </w:r>
      <w:r>
        <w:rPr>
          <w:lang w:eastAsia="en-NZ"/>
        </w:rPr>
        <w:t>ies</w:t>
      </w:r>
      <w:r w:rsidR="003D640C">
        <w:rPr>
          <w:lang w:eastAsia="en-NZ"/>
        </w:rPr>
        <w:t xml:space="preserve"> </w:t>
      </w:r>
      <w:r w:rsidRPr="00BB6220">
        <w:rPr>
          <w:lang w:eastAsia="en-NZ"/>
        </w:rPr>
        <w:t>face</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sidRPr="00BB6220">
        <w:rPr>
          <w:rStyle w:val="FootnoteReference"/>
          <w:lang w:eastAsia="en-NZ"/>
        </w:rPr>
        <w:footnoteReference w:id="24"/>
      </w:r>
      <w:r w:rsidR="003D640C">
        <w:rPr>
          <w:lang w:eastAsia="en-NZ"/>
        </w:rPr>
        <w:t xml:space="preserve"> </w:t>
      </w:r>
      <w:r w:rsidRPr="00BB6220">
        <w:rPr>
          <w:lang w:eastAsia="en-NZ"/>
        </w:rPr>
        <w:t>The</w:t>
      </w:r>
      <w:r w:rsidR="003D640C">
        <w:rPr>
          <w:lang w:eastAsia="en-NZ"/>
        </w:rPr>
        <w:t xml:space="preserve"> </w:t>
      </w:r>
      <w:r w:rsidRPr="00BB6220">
        <w:rPr>
          <w:lang w:eastAsia="en-NZ"/>
        </w:rPr>
        <w:t>report</w:t>
      </w:r>
      <w:r w:rsidR="003D640C">
        <w:rPr>
          <w:lang w:eastAsia="en-NZ"/>
        </w:rPr>
        <w:t xml:space="preserve"> </w:t>
      </w:r>
      <w:r w:rsidRPr="00BB6220">
        <w:rPr>
          <w:lang w:eastAsia="en-NZ"/>
        </w:rPr>
        <w:t>noted</w:t>
      </w:r>
      <w:r w:rsidR="003D640C">
        <w:rPr>
          <w:lang w:eastAsia="en-NZ"/>
        </w:rPr>
        <w:t xml:space="preserve"> </w:t>
      </w:r>
      <w:r w:rsidRPr="00BB6220">
        <w:rPr>
          <w:lang w:eastAsia="en-NZ"/>
        </w:rPr>
        <w:t>the</w:t>
      </w:r>
      <w:r w:rsidR="003D640C">
        <w:rPr>
          <w:lang w:eastAsia="en-NZ"/>
        </w:rPr>
        <w:t xml:space="preserve"> </w:t>
      </w:r>
      <w:r w:rsidRPr="00BB6220">
        <w:rPr>
          <w:lang w:eastAsia="en-NZ"/>
        </w:rPr>
        <w:t>global</w:t>
      </w:r>
      <w:r w:rsidR="003D640C">
        <w:rPr>
          <w:lang w:eastAsia="en-NZ"/>
        </w:rPr>
        <w:t xml:space="preserve"> </w:t>
      </w:r>
      <w:r w:rsidRPr="00BB6220">
        <w:rPr>
          <w:lang w:eastAsia="en-NZ"/>
        </w:rPr>
        <w:t>rise</w:t>
      </w:r>
      <w:r w:rsidR="003D640C">
        <w:rPr>
          <w:lang w:eastAsia="en-NZ"/>
        </w:rPr>
        <w:t xml:space="preserve"> </w:t>
      </w:r>
      <w:r w:rsidRPr="00BB6220">
        <w:rPr>
          <w:lang w:eastAsia="en-NZ"/>
        </w:rPr>
        <w:t>of</w:t>
      </w:r>
      <w:r w:rsidR="003D640C">
        <w:rPr>
          <w:lang w:eastAsia="en-NZ"/>
        </w:rPr>
        <w:t xml:space="preserve"> </w:t>
      </w:r>
      <w:r w:rsidRPr="00BB6220">
        <w:rPr>
          <w:lang w:eastAsia="en-NZ"/>
        </w:rPr>
        <w:t>hate</w:t>
      </w:r>
      <w:r w:rsidR="003D640C">
        <w:rPr>
          <w:lang w:eastAsia="en-NZ"/>
        </w:rPr>
        <w:t xml:space="preserve"> </w:t>
      </w:r>
      <w:r w:rsidRPr="00BB6220">
        <w:rPr>
          <w:lang w:eastAsia="en-NZ"/>
        </w:rPr>
        <w:t>speech</w:t>
      </w:r>
      <w:r w:rsidR="003D640C">
        <w:rPr>
          <w:lang w:eastAsia="en-NZ"/>
        </w:rPr>
        <w:t xml:space="preserve"> </w:t>
      </w:r>
      <w:r w:rsidRPr="00BB6220">
        <w:rPr>
          <w:lang w:eastAsia="en-NZ"/>
        </w:rPr>
        <w:t>and</w:t>
      </w:r>
      <w:r w:rsidR="003D640C">
        <w:rPr>
          <w:lang w:eastAsia="en-NZ"/>
        </w:rPr>
        <w:t xml:space="preserve"> </w:t>
      </w:r>
      <w:r w:rsidRPr="00BB6220">
        <w:rPr>
          <w:lang w:eastAsia="en-NZ"/>
        </w:rPr>
        <w:t>hate</w:t>
      </w:r>
      <w:r w:rsidR="003D640C">
        <w:rPr>
          <w:lang w:eastAsia="en-NZ"/>
        </w:rPr>
        <w:t xml:space="preserve"> </w:t>
      </w:r>
      <w:r w:rsidRPr="00BB6220">
        <w:rPr>
          <w:lang w:eastAsia="en-NZ"/>
        </w:rPr>
        <w:t>crimes</w:t>
      </w:r>
      <w:r w:rsidR="003D640C">
        <w:rPr>
          <w:lang w:eastAsia="en-NZ"/>
        </w:rPr>
        <w:t xml:space="preserve"> </w:t>
      </w:r>
      <w:r w:rsidRPr="00BB6220">
        <w:rPr>
          <w:lang w:eastAsia="en-NZ"/>
        </w:rPr>
        <w:t>against</w:t>
      </w:r>
      <w:r w:rsidR="003D640C">
        <w:rPr>
          <w:lang w:eastAsia="en-NZ"/>
        </w:rPr>
        <w:t xml:space="preserve"> </w:t>
      </w:r>
      <w:r>
        <w:rPr>
          <w:lang w:eastAsia="en-NZ"/>
        </w:rPr>
        <w:t>Rainbow</w:t>
      </w:r>
      <w:r w:rsidR="003D640C">
        <w:rPr>
          <w:lang w:eastAsia="en-NZ"/>
        </w:rPr>
        <w:t xml:space="preserve"> </w:t>
      </w:r>
      <w:r>
        <w:rPr>
          <w:lang w:eastAsia="en-NZ"/>
        </w:rPr>
        <w:t>people</w:t>
      </w:r>
      <w:r w:rsidR="003D640C">
        <w:rPr>
          <w:lang w:eastAsia="en-NZ"/>
        </w:rPr>
        <w:t xml:space="preserve"> </w:t>
      </w:r>
      <w:r w:rsidRPr="00BB6220">
        <w:rPr>
          <w:lang w:eastAsia="en-NZ"/>
        </w:rPr>
        <w:t>at</w:t>
      </w:r>
      <w:r w:rsidR="003D640C">
        <w:rPr>
          <w:lang w:eastAsia="en-NZ"/>
        </w:rPr>
        <w:t xml:space="preserve"> </w:t>
      </w:r>
      <w:r w:rsidRPr="00BB6220">
        <w:rPr>
          <w:lang w:eastAsia="en-NZ"/>
        </w:rPr>
        <w:t>the</w:t>
      </w:r>
      <w:r w:rsidR="003D640C">
        <w:rPr>
          <w:lang w:eastAsia="en-NZ"/>
        </w:rPr>
        <w:t xml:space="preserve"> </w:t>
      </w:r>
      <w:r w:rsidRPr="00BB6220">
        <w:rPr>
          <w:lang w:eastAsia="en-NZ"/>
        </w:rPr>
        <w:t>time</w:t>
      </w:r>
      <w:r>
        <w:rPr>
          <w:lang w:eastAsia="en-NZ"/>
        </w:rPr>
        <w:t>.</w:t>
      </w:r>
      <w:r w:rsidR="003D640C">
        <w:rPr>
          <w:lang w:eastAsia="en-NZ"/>
        </w:rPr>
        <w:t xml:space="preserve"> </w:t>
      </w:r>
      <w:r>
        <w:rPr>
          <w:lang w:eastAsia="en-NZ"/>
        </w:rPr>
        <w:t>S</w:t>
      </w:r>
      <w:r w:rsidRPr="00BB6220">
        <w:rPr>
          <w:lang w:eastAsia="en-NZ"/>
        </w:rPr>
        <w:t>ince</w:t>
      </w:r>
      <w:r w:rsidR="003D640C">
        <w:rPr>
          <w:lang w:eastAsia="en-NZ"/>
        </w:rPr>
        <w:t xml:space="preserve"> </w:t>
      </w:r>
      <w:r>
        <w:rPr>
          <w:lang w:eastAsia="en-NZ"/>
        </w:rPr>
        <w:t>2020,</w:t>
      </w:r>
      <w:r w:rsidR="003D640C">
        <w:rPr>
          <w:lang w:eastAsia="en-NZ"/>
        </w:rPr>
        <w:t xml:space="preserve"> </w:t>
      </w:r>
      <w:r>
        <w:rPr>
          <w:lang w:eastAsia="en-NZ"/>
        </w:rPr>
        <w:t>informed</w:t>
      </w:r>
      <w:r w:rsidR="003D640C">
        <w:rPr>
          <w:lang w:eastAsia="en-NZ"/>
        </w:rPr>
        <w:t xml:space="preserve"> </w:t>
      </w:r>
      <w:r>
        <w:rPr>
          <w:lang w:eastAsia="en-NZ"/>
        </w:rPr>
        <w:t>by</w:t>
      </w:r>
      <w:r w:rsidR="003D640C">
        <w:rPr>
          <w:lang w:eastAsia="en-NZ"/>
        </w:rPr>
        <w:t xml:space="preserve"> </w:t>
      </w:r>
      <w:r>
        <w:rPr>
          <w:lang w:eastAsia="en-NZ"/>
        </w:rPr>
        <w:t>a</w:t>
      </w:r>
      <w:r w:rsidR="003D640C">
        <w:rPr>
          <w:lang w:eastAsia="en-NZ"/>
        </w:rPr>
        <w:t xml:space="preserve"> </w:t>
      </w:r>
      <w:r>
        <w:rPr>
          <w:lang w:eastAsia="en-NZ"/>
        </w:rPr>
        <w:t>rise</w:t>
      </w:r>
      <w:r w:rsidR="003D640C">
        <w:rPr>
          <w:lang w:eastAsia="en-NZ"/>
        </w:rPr>
        <w:t xml:space="preserve"> </w:t>
      </w:r>
      <w:r>
        <w:rPr>
          <w:lang w:eastAsia="en-NZ"/>
        </w:rPr>
        <w:t>in</w:t>
      </w:r>
      <w:r w:rsidR="003D640C">
        <w:rPr>
          <w:lang w:eastAsia="en-NZ"/>
        </w:rPr>
        <w:t xml:space="preserve"> </w:t>
      </w:r>
      <w:r>
        <w:rPr>
          <w:lang w:eastAsia="en-NZ"/>
        </w:rPr>
        <w:t>mis-</w:t>
      </w:r>
      <w:r w:rsidR="003D640C">
        <w:rPr>
          <w:lang w:eastAsia="en-NZ"/>
        </w:rPr>
        <w:t xml:space="preserve"> </w:t>
      </w:r>
      <w:r>
        <w:rPr>
          <w:lang w:eastAsia="en-NZ"/>
        </w:rPr>
        <w:t>and</w:t>
      </w:r>
      <w:r w:rsidR="003D640C">
        <w:rPr>
          <w:lang w:eastAsia="en-NZ"/>
        </w:rPr>
        <w:t xml:space="preserve"> </w:t>
      </w:r>
      <w:r>
        <w:rPr>
          <w:lang w:eastAsia="en-NZ"/>
        </w:rPr>
        <w:t>disinformation</w:t>
      </w:r>
      <w:r w:rsidR="003D640C">
        <w:rPr>
          <w:lang w:eastAsia="en-NZ"/>
        </w:rPr>
        <w:t xml:space="preserve"> </w:t>
      </w:r>
      <w:r>
        <w:rPr>
          <w:lang w:eastAsia="en-NZ"/>
        </w:rPr>
        <w:t>targeting</w:t>
      </w:r>
      <w:r w:rsidR="003D640C">
        <w:rPr>
          <w:lang w:eastAsia="en-NZ"/>
        </w:rPr>
        <w:t xml:space="preserve"> </w:t>
      </w:r>
      <w:r>
        <w:rPr>
          <w:lang w:eastAsia="en-NZ"/>
        </w:rPr>
        <w:t>Rainbow</w:t>
      </w:r>
      <w:r w:rsidR="003D640C">
        <w:rPr>
          <w:lang w:eastAsia="en-NZ"/>
        </w:rPr>
        <w:t xml:space="preserve"> </w:t>
      </w:r>
      <w:r>
        <w:rPr>
          <w:lang w:eastAsia="en-NZ"/>
        </w:rPr>
        <w:t>people,</w:t>
      </w:r>
      <w:r w:rsidR="003D640C">
        <w:rPr>
          <w:lang w:eastAsia="en-NZ"/>
        </w:rPr>
        <w:t xml:space="preserve"> </w:t>
      </w:r>
      <w:r>
        <w:rPr>
          <w:lang w:eastAsia="en-NZ"/>
        </w:rPr>
        <w:t>there</w:t>
      </w:r>
      <w:r w:rsidR="003D640C">
        <w:rPr>
          <w:lang w:eastAsia="en-NZ"/>
        </w:rPr>
        <w:t xml:space="preserve"> </w:t>
      </w:r>
      <w:r>
        <w:rPr>
          <w:lang w:eastAsia="en-NZ"/>
        </w:rPr>
        <w:t>has</w:t>
      </w:r>
      <w:r w:rsidR="003D640C">
        <w:rPr>
          <w:lang w:eastAsia="en-NZ"/>
        </w:rPr>
        <w:t xml:space="preserve"> </w:t>
      </w:r>
      <w:r>
        <w:rPr>
          <w:lang w:eastAsia="en-NZ"/>
        </w:rPr>
        <w:t>been</w:t>
      </w:r>
      <w:r w:rsidR="003D640C">
        <w:rPr>
          <w:lang w:eastAsia="en-NZ"/>
        </w:rPr>
        <w:t xml:space="preserve"> </w:t>
      </w:r>
      <w:r w:rsidRPr="00BB6220">
        <w:rPr>
          <w:lang w:eastAsia="en-NZ"/>
        </w:rPr>
        <w:t>a</w:t>
      </w:r>
      <w:r w:rsidR="003D640C">
        <w:rPr>
          <w:lang w:eastAsia="en-NZ"/>
        </w:rPr>
        <w:t xml:space="preserve"> </w:t>
      </w:r>
      <w:r w:rsidRPr="00BB6220">
        <w:rPr>
          <w:lang w:eastAsia="en-NZ"/>
        </w:rPr>
        <w:t>marked</w:t>
      </w:r>
      <w:r w:rsidR="003D640C">
        <w:rPr>
          <w:lang w:eastAsia="en-NZ"/>
        </w:rPr>
        <w:t xml:space="preserve"> </w:t>
      </w:r>
      <w:r w:rsidRPr="00BB6220">
        <w:rPr>
          <w:lang w:eastAsia="en-NZ"/>
        </w:rPr>
        <w:t>increase</w:t>
      </w:r>
      <w:r w:rsidR="003D640C">
        <w:rPr>
          <w:lang w:eastAsia="en-NZ"/>
        </w:rPr>
        <w:t xml:space="preserve"> </w:t>
      </w:r>
      <w:r>
        <w:rPr>
          <w:lang w:eastAsia="en-NZ"/>
        </w:rPr>
        <w:t>in</w:t>
      </w:r>
      <w:r w:rsidR="003D640C">
        <w:rPr>
          <w:lang w:eastAsia="en-NZ"/>
        </w:rPr>
        <w:t xml:space="preserve"> </w:t>
      </w:r>
      <w:r>
        <w:rPr>
          <w:lang w:eastAsia="en-NZ"/>
        </w:rPr>
        <w:t>both</w:t>
      </w:r>
      <w:r w:rsidR="003D640C">
        <w:rPr>
          <w:lang w:eastAsia="en-NZ"/>
        </w:rPr>
        <w:t xml:space="preserve"> </w:t>
      </w:r>
      <w:r>
        <w:rPr>
          <w:lang w:eastAsia="en-NZ"/>
        </w:rPr>
        <w:t>hate</w:t>
      </w:r>
      <w:r w:rsidR="003D640C">
        <w:rPr>
          <w:lang w:eastAsia="en-NZ"/>
        </w:rPr>
        <w:t xml:space="preserve"> </w:t>
      </w:r>
      <w:r>
        <w:rPr>
          <w:lang w:eastAsia="en-NZ"/>
        </w:rPr>
        <w:t>speech</w:t>
      </w:r>
      <w:r w:rsidR="003D640C">
        <w:rPr>
          <w:lang w:eastAsia="en-NZ"/>
        </w:rPr>
        <w:t xml:space="preserve"> </w:t>
      </w:r>
      <w:r>
        <w:rPr>
          <w:lang w:eastAsia="en-NZ"/>
        </w:rPr>
        <w:t>and</w:t>
      </w:r>
      <w:r w:rsidR="003D640C">
        <w:rPr>
          <w:lang w:eastAsia="en-NZ"/>
        </w:rPr>
        <w:t xml:space="preserve"> </w:t>
      </w:r>
      <w:r>
        <w:rPr>
          <w:lang w:eastAsia="en-NZ"/>
        </w:rPr>
        <w:t>hate</w:t>
      </w:r>
      <w:r w:rsidR="003D640C">
        <w:rPr>
          <w:lang w:eastAsia="en-NZ"/>
        </w:rPr>
        <w:t xml:space="preserve"> </w:t>
      </w:r>
      <w:r>
        <w:rPr>
          <w:lang w:eastAsia="en-NZ"/>
        </w:rPr>
        <w:t>crime</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Pr>
          <w:lang w:eastAsia="en-NZ"/>
        </w:rPr>
        <w:t>.</w:t>
      </w:r>
      <w:r w:rsidRPr="00BB6220">
        <w:rPr>
          <w:rStyle w:val="FootnoteReference"/>
          <w:lang w:eastAsia="en-NZ"/>
        </w:rPr>
        <w:footnoteReference w:id="25"/>
      </w:r>
      <w:r w:rsidR="003D640C">
        <w:rPr>
          <w:lang w:eastAsia="en-NZ"/>
        </w:rPr>
        <w:t xml:space="preserve"> </w:t>
      </w:r>
      <w:r>
        <w:rPr>
          <w:lang w:eastAsia="en-NZ"/>
        </w:rPr>
        <w:t>Increased</w:t>
      </w:r>
      <w:r w:rsidR="003D640C">
        <w:rPr>
          <w:lang w:eastAsia="en-NZ"/>
        </w:rPr>
        <w:t xml:space="preserve"> </w:t>
      </w:r>
      <w:r>
        <w:rPr>
          <w:lang w:eastAsia="en-NZ"/>
        </w:rPr>
        <w:t>occurrences</w:t>
      </w:r>
      <w:r w:rsidR="003D640C">
        <w:rPr>
          <w:lang w:eastAsia="en-NZ"/>
        </w:rPr>
        <w:t xml:space="preserve"> </w:t>
      </w:r>
      <w:r>
        <w:rPr>
          <w:lang w:eastAsia="en-NZ"/>
        </w:rPr>
        <w:t>of</w:t>
      </w:r>
      <w:r w:rsidR="003D640C">
        <w:rPr>
          <w:lang w:eastAsia="en-NZ"/>
        </w:rPr>
        <w:t xml:space="preserve"> </w:t>
      </w:r>
      <w:r>
        <w:rPr>
          <w:lang w:eastAsia="en-NZ"/>
        </w:rPr>
        <w:t>these</w:t>
      </w:r>
      <w:r w:rsidR="003D640C">
        <w:rPr>
          <w:lang w:eastAsia="en-NZ"/>
        </w:rPr>
        <w:t xml:space="preserve"> </w:t>
      </w:r>
      <w:r>
        <w:rPr>
          <w:lang w:eastAsia="en-NZ"/>
        </w:rPr>
        <w:t>incidences</w:t>
      </w:r>
      <w:r w:rsidR="003D640C">
        <w:rPr>
          <w:lang w:eastAsia="en-NZ"/>
        </w:rPr>
        <w:t xml:space="preserve"> </w:t>
      </w:r>
      <w:r w:rsidRPr="00BB6220">
        <w:rPr>
          <w:lang w:eastAsia="en-NZ"/>
        </w:rPr>
        <w:t>mak</w:t>
      </w:r>
      <w:r>
        <w:rPr>
          <w:lang w:eastAsia="en-NZ"/>
        </w:rPr>
        <w:t>e</w:t>
      </w:r>
      <w:r w:rsidR="003D640C">
        <w:rPr>
          <w:lang w:eastAsia="en-NZ"/>
        </w:rPr>
        <w:t xml:space="preserve"> </w:t>
      </w:r>
      <w:r w:rsidRPr="00BB6220">
        <w:rPr>
          <w:lang w:eastAsia="en-NZ"/>
        </w:rPr>
        <w:t>takatāpui,</w:t>
      </w:r>
      <w:r w:rsidR="003D640C">
        <w:rPr>
          <w:lang w:eastAsia="en-NZ"/>
        </w:rPr>
        <w:t xml:space="preserve"> </w:t>
      </w:r>
      <w:r w:rsidRPr="00BB6220">
        <w:rPr>
          <w:lang w:eastAsia="en-NZ"/>
        </w:rPr>
        <w:t>MVPFAFF+</w:t>
      </w:r>
      <w:r w:rsidR="003D640C">
        <w:rPr>
          <w:lang w:eastAsia="en-NZ"/>
        </w:rPr>
        <w:t xml:space="preserve"> </w:t>
      </w:r>
      <w:r w:rsidRPr="00BB6220">
        <w:rPr>
          <w:lang w:eastAsia="en-NZ"/>
        </w:rPr>
        <w:t>and</w:t>
      </w:r>
      <w:r w:rsidR="003D640C">
        <w:rPr>
          <w:lang w:eastAsia="en-NZ"/>
        </w:rPr>
        <w:t xml:space="preserve"> </w:t>
      </w:r>
      <w:r>
        <w:rPr>
          <w:lang w:eastAsia="en-NZ"/>
        </w:rPr>
        <w:t>Rainbow</w:t>
      </w:r>
      <w:r w:rsidR="003D640C">
        <w:rPr>
          <w:lang w:eastAsia="en-NZ"/>
        </w:rPr>
        <w:t xml:space="preserve"> </w:t>
      </w:r>
      <w:r w:rsidRPr="00BB6220">
        <w:rPr>
          <w:lang w:eastAsia="en-NZ"/>
        </w:rPr>
        <w:t>people</w:t>
      </w:r>
      <w:r w:rsidR="003D640C">
        <w:rPr>
          <w:lang w:eastAsia="en-NZ"/>
        </w:rPr>
        <w:t xml:space="preserve"> </w:t>
      </w:r>
      <w:r w:rsidRPr="00BB6220">
        <w:rPr>
          <w:lang w:eastAsia="en-NZ"/>
        </w:rPr>
        <w:t>even</w:t>
      </w:r>
      <w:r w:rsidR="003D640C">
        <w:rPr>
          <w:lang w:eastAsia="en-NZ"/>
        </w:rPr>
        <w:t xml:space="preserve"> </w:t>
      </w:r>
      <w:r w:rsidRPr="00BB6220">
        <w:rPr>
          <w:lang w:eastAsia="en-NZ"/>
        </w:rPr>
        <w:t>more</w:t>
      </w:r>
      <w:r w:rsidR="003D640C">
        <w:rPr>
          <w:lang w:eastAsia="en-NZ"/>
        </w:rPr>
        <w:t xml:space="preserve"> </w:t>
      </w:r>
      <w:r w:rsidRPr="00BB6220">
        <w:rPr>
          <w:lang w:eastAsia="en-NZ"/>
        </w:rPr>
        <w:t>vulnerable.</w:t>
      </w:r>
    </w:p>
    <w:p w14:paraId="07DCBDAD" w14:textId="77777777" w:rsidR="00501068" w:rsidRDefault="00BB3F27" w:rsidP="0078026B">
      <w:pPr>
        <w:rPr>
          <w:lang w:eastAsia="en-NZ"/>
        </w:rPr>
      </w:pPr>
      <w:r w:rsidRPr="00BB6220">
        <w:rPr>
          <w:lang w:eastAsia="en-NZ"/>
        </w:rPr>
        <w:t>Nevertheless,</w:t>
      </w:r>
      <w:r w:rsidR="003D640C">
        <w:rPr>
          <w:lang w:eastAsia="en-NZ"/>
        </w:rPr>
        <w:t xml:space="preserve"> </w:t>
      </w:r>
      <w:r w:rsidRPr="00BB6220">
        <w:rPr>
          <w:lang w:eastAsia="en-NZ"/>
        </w:rPr>
        <w:t>Aotearoa</w:t>
      </w:r>
      <w:r w:rsidR="003D640C">
        <w:rPr>
          <w:lang w:eastAsia="en-NZ"/>
        </w:rPr>
        <w:t xml:space="preserve"> </w:t>
      </w:r>
      <w:r w:rsidRPr="00BB6220">
        <w:rPr>
          <w:lang w:eastAsia="en-NZ"/>
        </w:rPr>
        <w:t>has</w:t>
      </w:r>
      <w:r w:rsidR="003D640C">
        <w:rPr>
          <w:lang w:eastAsia="en-NZ"/>
        </w:rPr>
        <w:t xml:space="preserve"> </w:t>
      </w:r>
      <w:r w:rsidRPr="00BB6220">
        <w:rPr>
          <w:lang w:eastAsia="en-NZ"/>
        </w:rPr>
        <w:t>made</w:t>
      </w:r>
      <w:r w:rsidR="003D640C">
        <w:rPr>
          <w:lang w:eastAsia="en-NZ"/>
        </w:rPr>
        <w:t xml:space="preserve"> </w:t>
      </w:r>
      <w:r w:rsidRPr="00BB6220">
        <w:rPr>
          <w:lang w:eastAsia="en-NZ"/>
        </w:rPr>
        <w:t>positive</w:t>
      </w:r>
      <w:r w:rsidR="003D640C">
        <w:rPr>
          <w:lang w:eastAsia="en-NZ"/>
        </w:rPr>
        <w:t xml:space="preserve"> </w:t>
      </w:r>
      <w:r w:rsidRPr="00BB6220">
        <w:rPr>
          <w:lang w:eastAsia="en-NZ"/>
        </w:rPr>
        <w:t>strides</w:t>
      </w:r>
      <w:r w:rsidR="003D640C">
        <w:rPr>
          <w:lang w:eastAsia="en-NZ"/>
        </w:rPr>
        <w:t xml:space="preserve"> </w:t>
      </w:r>
      <w:r>
        <w:rPr>
          <w:lang w:eastAsia="en-NZ"/>
        </w:rPr>
        <w:t>in</w:t>
      </w:r>
      <w:r w:rsidR="003D640C">
        <w:rPr>
          <w:lang w:eastAsia="en-NZ"/>
        </w:rPr>
        <w:t xml:space="preserve"> </w:t>
      </w:r>
      <w:r>
        <w:rPr>
          <w:lang w:eastAsia="en-NZ"/>
        </w:rPr>
        <w:t>the</w:t>
      </w:r>
      <w:r w:rsidR="003D640C">
        <w:rPr>
          <w:lang w:eastAsia="en-NZ"/>
        </w:rPr>
        <w:t xml:space="preserve"> </w:t>
      </w:r>
      <w:r>
        <w:rPr>
          <w:lang w:eastAsia="en-NZ"/>
        </w:rPr>
        <w:t>recognition</w:t>
      </w:r>
      <w:r w:rsidR="003D640C">
        <w:rPr>
          <w:lang w:eastAsia="en-NZ"/>
        </w:rPr>
        <w:t xml:space="preserve"> </w:t>
      </w:r>
      <w:r>
        <w:rPr>
          <w:lang w:eastAsia="en-NZ"/>
        </w:rPr>
        <w:t>of</w:t>
      </w:r>
      <w:r w:rsidR="003D640C">
        <w:rPr>
          <w:lang w:eastAsia="en-NZ"/>
        </w:rPr>
        <w:t xml:space="preserve"> </w:t>
      </w:r>
      <w:r>
        <w:rPr>
          <w:lang w:eastAsia="en-NZ"/>
        </w:rPr>
        <w:t>Rainbow</w:t>
      </w:r>
      <w:r w:rsidR="003D640C">
        <w:rPr>
          <w:lang w:eastAsia="en-NZ"/>
        </w:rPr>
        <w:t xml:space="preserve"> </w:t>
      </w:r>
      <w:r>
        <w:rPr>
          <w:lang w:eastAsia="en-NZ"/>
        </w:rPr>
        <w:t>rights</w:t>
      </w:r>
      <w:r w:rsidR="003D640C">
        <w:rPr>
          <w:lang w:eastAsia="en-NZ"/>
        </w:rPr>
        <w:t xml:space="preserve"> </w:t>
      </w:r>
      <w:r>
        <w:rPr>
          <w:lang w:eastAsia="en-NZ"/>
        </w:rPr>
        <w:t>since</w:t>
      </w:r>
      <w:r w:rsidR="003D640C">
        <w:rPr>
          <w:lang w:eastAsia="en-NZ"/>
        </w:rPr>
        <w:t xml:space="preserve"> </w:t>
      </w:r>
      <w:r>
        <w:rPr>
          <w:lang w:eastAsia="en-NZ"/>
        </w:rPr>
        <w:t>the</w:t>
      </w:r>
      <w:r w:rsidR="003D640C">
        <w:rPr>
          <w:lang w:eastAsia="en-NZ"/>
        </w:rPr>
        <w:t xml:space="preserve"> </w:t>
      </w:r>
      <w:r>
        <w:rPr>
          <w:lang w:eastAsia="en-NZ"/>
        </w:rPr>
        <w:t>1980s</w:t>
      </w:r>
      <w:r w:rsidRPr="00BB6220">
        <w:rPr>
          <w:lang w:eastAsia="en-NZ"/>
        </w:rPr>
        <w:t>.</w:t>
      </w:r>
      <w:r w:rsidR="003D640C">
        <w:rPr>
          <w:lang w:eastAsia="en-NZ"/>
        </w:rPr>
        <w:t xml:space="preserve"> </w:t>
      </w:r>
      <w:r w:rsidRPr="00BB6220">
        <w:rPr>
          <w:lang w:eastAsia="en-NZ"/>
        </w:rPr>
        <w:t>The</w:t>
      </w:r>
      <w:r w:rsidR="003D640C">
        <w:rPr>
          <w:lang w:eastAsia="en-NZ"/>
        </w:rPr>
        <w:t xml:space="preserve"> </w:t>
      </w:r>
      <w:r w:rsidRPr="00BB6220">
        <w:rPr>
          <w:lang w:eastAsia="en-NZ"/>
        </w:rPr>
        <w:t>prohibition</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is</w:t>
      </w:r>
      <w:r w:rsidR="003D640C">
        <w:rPr>
          <w:lang w:eastAsia="en-NZ"/>
        </w:rPr>
        <w:t xml:space="preserve"> </w:t>
      </w:r>
      <w:r w:rsidRPr="00BB6220">
        <w:rPr>
          <w:lang w:eastAsia="en-NZ"/>
        </w:rPr>
        <w:t>the</w:t>
      </w:r>
      <w:r w:rsidR="003D640C">
        <w:rPr>
          <w:lang w:eastAsia="en-NZ"/>
        </w:rPr>
        <w:t xml:space="preserve"> </w:t>
      </w:r>
      <w:r w:rsidRPr="00BB6220">
        <w:rPr>
          <w:lang w:eastAsia="en-NZ"/>
        </w:rPr>
        <w:t>most</w:t>
      </w:r>
      <w:r w:rsidR="003D640C">
        <w:rPr>
          <w:lang w:eastAsia="en-NZ"/>
        </w:rPr>
        <w:t xml:space="preserve"> </w:t>
      </w:r>
      <w:r w:rsidRPr="00BB6220">
        <w:rPr>
          <w:lang w:eastAsia="en-NZ"/>
        </w:rPr>
        <w:t>recent</w:t>
      </w:r>
      <w:r w:rsidR="003D640C">
        <w:rPr>
          <w:lang w:eastAsia="en-NZ"/>
        </w:rPr>
        <w:t xml:space="preserve"> </w:t>
      </w:r>
      <w:r w:rsidRPr="00BB6220">
        <w:rPr>
          <w:lang w:eastAsia="en-NZ"/>
        </w:rPr>
        <w:t>step</w:t>
      </w:r>
      <w:r w:rsidR="003D640C">
        <w:rPr>
          <w:lang w:eastAsia="en-NZ"/>
        </w:rPr>
        <w:t xml:space="preserve"> </w:t>
      </w:r>
      <w:r w:rsidRPr="00BB6220">
        <w:rPr>
          <w:lang w:eastAsia="en-NZ"/>
        </w:rPr>
        <w:t>in</w:t>
      </w:r>
      <w:r w:rsidR="003D640C">
        <w:rPr>
          <w:lang w:eastAsia="en-NZ"/>
        </w:rPr>
        <w:t xml:space="preserve"> </w:t>
      </w:r>
      <w:r w:rsidRPr="00BB6220">
        <w:rPr>
          <w:lang w:eastAsia="en-NZ"/>
        </w:rPr>
        <w:t>the</w:t>
      </w:r>
      <w:r w:rsidR="003D640C">
        <w:rPr>
          <w:lang w:eastAsia="en-NZ"/>
        </w:rPr>
        <w:t xml:space="preserve"> </w:t>
      </w:r>
      <w:r w:rsidRPr="00BB6220">
        <w:rPr>
          <w:lang w:eastAsia="en-NZ"/>
        </w:rPr>
        <w:t>country’s</w:t>
      </w:r>
      <w:r w:rsidR="003D640C">
        <w:rPr>
          <w:lang w:eastAsia="en-NZ"/>
        </w:rPr>
        <w:t xml:space="preserve"> </w:t>
      </w:r>
      <w:r w:rsidRPr="00BB6220">
        <w:rPr>
          <w:lang w:eastAsia="en-NZ"/>
        </w:rPr>
        <w:t>legislative</w:t>
      </w:r>
      <w:r w:rsidR="003D640C">
        <w:rPr>
          <w:lang w:eastAsia="en-NZ"/>
        </w:rPr>
        <w:t xml:space="preserve"> </w:t>
      </w:r>
      <w:r w:rsidRPr="00BB6220">
        <w:rPr>
          <w:lang w:eastAsia="en-NZ"/>
        </w:rPr>
        <w:t>trajectory</w:t>
      </w:r>
      <w:r w:rsidR="003D640C">
        <w:rPr>
          <w:lang w:eastAsia="en-NZ"/>
        </w:rPr>
        <w:t xml:space="preserve"> </w:t>
      </w:r>
      <w:r w:rsidRPr="00BB6220">
        <w:rPr>
          <w:lang w:eastAsia="en-NZ"/>
        </w:rPr>
        <w:t>to</w:t>
      </w:r>
      <w:r w:rsidR="003D640C">
        <w:rPr>
          <w:lang w:eastAsia="en-NZ"/>
        </w:rPr>
        <w:t xml:space="preserve"> </w:t>
      </w:r>
      <w:r w:rsidRPr="00BB6220">
        <w:rPr>
          <w:lang w:eastAsia="en-NZ"/>
        </w:rPr>
        <w:t>safeguard</w:t>
      </w:r>
      <w:r w:rsidR="003D640C">
        <w:rPr>
          <w:lang w:eastAsia="en-NZ"/>
        </w:rPr>
        <w:t xml:space="preserve"> </w:t>
      </w:r>
      <w:r w:rsidRPr="00BB6220">
        <w:rPr>
          <w:lang w:eastAsia="en-NZ"/>
        </w:rPr>
        <w:t>the</w:t>
      </w:r>
      <w:r w:rsidR="003D640C">
        <w:rPr>
          <w:lang w:eastAsia="en-NZ"/>
        </w:rPr>
        <w:t xml:space="preserve"> </w:t>
      </w:r>
      <w:r w:rsidRPr="00BB6220">
        <w:rPr>
          <w:lang w:eastAsia="en-NZ"/>
        </w:rPr>
        <w:t>rights</w:t>
      </w:r>
      <w:r w:rsidR="003D640C">
        <w:rPr>
          <w:lang w:eastAsia="en-NZ"/>
        </w:rPr>
        <w:t xml:space="preserve"> </w:t>
      </w:r>
      <w:r w:rsidRPr="00BB6220">
        <w:rPr>
          <w:lang w:eastAsia="en-NZ"/>
        </w:rPr>
        <w:t>of</w:t>
      </w:r>
      <w:r w:rsidR="003D640C">
        <w:rPr>
          <w:lang w:eastAsia="en-NZ"/>
        </w:rPr>
        <w:t xml:space="preserve"> </w:t>
      </w:r>
      <w:r>
        <w:rPr>
          <w:lang w:eastAsia="en-NZ"/>
        </w:rPr>
        <w:t>Rainbow</w:t>
      </w:r>
      <w:r w:rsidR="003D640C">
        <w:rPr>
          <w:lang w:eastAsia="en-NZ"/>
        </w:rPr>
        <w:t xml:space="preserve"> </w:t>
      </w:r>
      <w:r w:rsidRPr="00BB6220">
        <w:rPr>
          <w:lang w:eastAsia="en-NZ"/>
        </w:rPr>
        <w:t>people.</w:t>
      </w:r>
      <w:r w:rsidR="003D640C">
        <w:rPr>
          <w:lang w:eastAsia="en-NZ"/>
        </w:rPr>
        <w:t xml:space="preserve"> </w:t>
      </w:r>
      <w:r>
        <w:rPr>
          <w:lang w:eastAsia="en-NZ"/>
        </w:rPr>
        <w:t>The</w:t>
      </w:r>
      <w:r w:rsidR="003D640C">
        <w:rPr>
          <w:lang w:eastAsia="en-NZ"/>
        </w:rPr>
        <w:t xml:space="preserve"> </w:t>
      </w:r>
      <w:r>
        <w:rPr>
          <w:lang w:eastAsia="en-NZ"/>
        </w:rPr>
        <w:t>passing</w:t>
      </w:r>
      <w:r w:rsidR="003D640C">
        <w:rPr>
          <w:lang w:eastAsia="en-NZ"/>
        </w:rPr>
        <w:t xml:space="preserve"> </w:t>
      </w:r>
      <w:r>
        <w:rPr>
          <w:lang w:eastAsia="en-NZ"/>
        </w:rPr>
        <w:t>of</w:t>
      </w:r>
      <w:r w:rsidR="003D640C">
        <w:rPr>
          <w:lang w:eastAsia="en-NZ"/>
        </w:rPr>
        <w:t xml:space="preserve"> </w:t>
      </w:r>
      <w:r>
        <w:rPr>
          <w:lang w:eastAsia="en-NZ"/>
        </w:rPr>
        <w:t>the</w:t>
      </w:r>
      <w:r w:rsidR="003D640C">
        <w:rPr>
          <w:lang w:eastAsia="en-NZ"/>
        </w:rPr>
        <w:t xml:space="preserve"> </w:t>
      </w:r>
      <w:r w:rsidRPr="00BB6220">
        <w:rPr>
          <w:lang w:eastAsia="en-NZ"/>
        </w:rPr>
        <w:t>CPPLA</w:t>
      </w:r>
      <w:r w:rsidR="003D640C">
        <w:rPr>
          <w:lang w:eastAsia="en-NZ"/>
        </w:rPr>
        <w:t xml:space="preserve"> </w:t>
      </w:r>
      <w:r>
        <w:rPr>
          <w:lang w:eastAsia="en-NZ"/>
        </w:rPr>
        <w:t>in</w:t>
      </w:r>
      <w:r w:rsidR="003D640C">
        <w:rPr>
          <w:lang w:eastAsia="en-NZ"/>
        </w:rPr>
        <w:t xml:space="preserve"> </w:t>
      </w:r>
      <w:r>
        <w:rPr>
          <w:lang w:eastAsia="en-NZ"/>
        </w:rPr>
        <w:t>2022</w:t>
      </w:r>
      <w:r w:rsidR="003D640C">
        <w:rPr>
          <w:lang w:eastAsia="en-NZ"/>
        </w:rPr>
        <w:t xml:space="preserve"> </w:t>
      </w:r>
      <w:r w:rsidRPr="00BB6220">
        <w:rPr>
          <w:lang w:eastAsia="en-NZ"/>
        </w:rPr>
        <w:t>builds</w:t>
      </w:r>
      <w:r w:rsidR="003D640C">
        <w:rPr>
          <w:lang w:eastAsia="en-NZ"/>
        </w:rPr>
        <w:t xml:space="preserve"> </w:t>
      </w:r>
      <w:r w:rsidRPr="00BB6220">
        <w:rPr>
          <w:lang w:eastAsia="en-NZ"/>
        </w:rPr>
        <w:t>upon</w:t>
      </w:r>
      <w:r w:rsidR="003D640C">
        <w:rPr>
          <w:lang w:eastAsia="en-NZ"/>
        </w:rPr>
        <w:t xml:space="preserve"> </w:t>
      </w:r>
      <w:r w:rsidRPr="00BB6220">
        <w:rPr>
          <w:lang w:eastAsia="en-NZ"/>
        </w:rPr>
        <w:t>previous</w:t>
      </w:r>
      <w:r w:rsidR="003D640C">
        <w:rPr>
          <w:lang w:eastAsia="en-NZ"/>
        </w:rPr>
        <w:t xml:space="preserve"> </w:t>
      </w:r>
      <w:r w:rsidRPr="00BB6220">
        <w:rPr>
          <w:lang w:eastAsia="en-NZ"/>
        </w:rPr>
        <w:t>milestones</w:t>
      </w:r>
      <w:r>
        <w:rPr>
          <w:lang w:eastAsia="en-NZ"/>
        </w:rPr>
        <w:t>,</w:t>
      </w:r>
      <w:r w:rsidR="003D640C">
        <w:rPr>
          <w:lang w:eastAsia="en-NZ"/>
        </w:rPr>
        <w:t xml:space="preserve"> </w:t>
      </w:r>
      <w:r w:rsidRPr="00BB6220">
        <w:rPr>
          <w:lang w:eastAsia="en-NZ"/>
        </w:rPr>
        <w:t>including:</w:t>
      </w:r>
    </w:p>
    <w:p w14:paraId="58DFE6E7" w14:textId="3AC4B4BE" w:rsidR="00BB3F27" w:rsidRPr="00BB6220" w:rsidRDefault="00BB3F27" w:rsidP="0078026B">
      <w:pPr>
        <w:pStyle w:val="Bullet"/>
        <w:rPr>
          <w:lang w:eastAsia="en-NZ"/>
        </w:rPr>
      </w:pPr>
      <w:r w:rsidRPr="00BB6220">
        <w:rPr>
          <w:lang w:eastAsia="en-NZ"/>
        </w:rPr>
        <w:t>the</w:t>
      </w:r>
      <w:r w:rsidR="003D640C">
        <w:rPr>
          <w:lang w:eastAsia="en-NZ"/>
        </w:rPr>
        <w:t xml:space="preserve"> </w:t>
      </w:r>
      <w:r w:rsidRPr="00BB6220">
        <w:rPr>
          <w:lang w:eastAsia="en-NZ"/>
        </w:rPr>
        <w:t>Homosexual</w:t>
      </w:r>
      <w:r w:rsidR="003D640C">
        <w:rPr>
          <w:lang w:eastAsia="en-NZ"/>
        </w:rPr>
        <w:t xml:space="preserve"> </w:t>
      </w:r>
      <w:r w:rsidRPr="00BB6220">
        <w:rPr>
          <w:lang w:eastAsia="en-NZ"/>
        </w:rPr>
        <w:t>Law</w:t>
      </w:r>
      <w:r w:rsidR="003D640C">
        <w:rPr>
          <w:lang w:eastAsia="en-NZ"/>
        </w:rPr>
        <w:t xml:space="preserve"> </w:t>
      </w:r>
      <w:r w:rsidRPr="00BB6220">
        <w:rPr>
          <w:lang w:eastAsia="en-NZ"/>
        </w:rPr>
        <w:t>Reform</w:t>
      </w:r>
      <w:r w:rsidR="003D640C">
        <w:rPr>
          <w:lang w:eastAsia="en-NZ"/>
        </w:rPr>
        <w:t xml:space="preserve"> </w:t>
      </w:r>
      <w:r w:rsidRPr="00BB6220">
        <w:rPr>
          <w:lang w:eastAsia="en-NZ"/>
        </w:rPr>
        <w:t>Act</w:t>
      </w:r>
      <w:r w:rsidR="003D640C">
        <w:rPr>
          <w:lang w:eastAsia="en-NZ"/>
        </w:rPr>
        <w:t xml:space="preserve"> </w:t>
      </w:r>
      <w:r w:rsidRPr="00BB6220">
        <w:rPr>
          <w:lang w:eastAsia="en-NZ"/>
        </w:rPr>
        <w:t>1986</w:t>
      </w:r>
    </w:p>
    <w:p w14:paraId="20AA120C" w14:textId="264AF338" w:rsidR="00BB3F27" w:rsidRPr="00BB6220" w:rsidRDefault="00BB3F27" w:rsidP="0078026B">
      <w:pPr>
        <w:pStyle w:val="Bullet"/>
        <w:rPr>
          <w:lang w:eastAsia="en-NZ"/>
        </w:rPr>
      </w:pPr>
      <w:r w:rsidRPr="00BB6220">
        <w:rPr>
          <w:lang w:eastAsia="en-NZ"/>
        </w:rPr>
        <w:t>the</w:t>
      </w:r>
      <w:r w:rsidR="003D640C">
        <w:rPr>
          <w:lang w:eastAsia="en-NZ"/>
        </w:rPr>
        <w:t xml:space="preserve"> </w:t>
      </w:r>
      <w:r w:rsidRPr="00BB6220">
        <w:rPr>
          <w:lang w:eastAsia="en-NZ"/>
        </w:rPr>
        <w:t>Human</w:t>
      </w:r>
      <w:r w:rsidR="003D640C">
        <w:rPr>
          <w:lang w:eastAsia="en-NZ"/>
        </w:rPr>
        <w:t xml:space="preserve"> </w:t>
      </w:r>
      <w:r w:rsidRPr="00BB6220">
        <w:rPr>
          <w:lang w:eastAsia="en-NZ"/>
        </w:rPr>
        <w:t>Rights</w:t>
      </w:r>
      <w:r w:rsidR="003D640C">
        <w:rPr>
          <w:lang w:eastAsia="en-NZ"/>
        </w:rPr>
        <w:t xml:space="preserve"> </w:t>
      </w:r>
      <w:r w:rsidRPr="00BB6220">
        <w:rPr>
          <w:lang w:eastAsia="en-NZ"/>
        </w:rPr>
        <w:t>Act</w:t>
      </w:r>
      <w:r w:rsidR="003D640C">
        <w:rPr>
          <w:lang w:eastAsia="en-NZ"/>
        </w:rPr>
        <w:t xml:space="preserve"> </w:t>
      </w:r>
      <w:r w:rsidRPr="00BB6220">
        <w:rPr>
          <w:lang w:eastAsia="en-NZ"/>
        </w:rPr>
        <w:t>1993</w:t>
      </w:r>
    </w:p>
    <w:p w14:paraId="37831FF1" w14:textId="14D9E13F" w:rsidR="00BB3F27" w:rsidRPr="00BB6220" w:rsidRDefault="00BB3F27" w:rsidP="0078026B">
      <w:pPr>
        <w:pStyle w:val="Bullet"/>
        <w:rPr>
          <w:lang w:eastAsia="en-NZ"/>
        </w:rPr>
      </w:pPr>
      <w:r w:rsidRPr="00BB6220">
        <w:rPr>
          <w:lang w:eastAsia="en-NZ"/>
        </w:rPr>
        <w:t>inclusion</w:t>
      </w:r>
      <w:r w:rsidR="003D640C">
        <w:rPr>
          <w:lang w:eastAsia="en-NZ"/>
        </w:rPr>
        <w:t xml:space="preserve"> </w:t>
      </w:r>
      <w:r w:rsidR="003C77F1">
        <w:rPr>
          <w:lang w:eastAsia="en-NZ"/>
        </w:rPr>
        <w:t>of</w:t>
      </w:r>
      <w:r w:rsidR="003D640C">
        <w:rPr>
          <w:lang w:eastAsia="en-NZ"/>
        </w:rPr>
        <w:t xml:space="preserve"> </w:t>
      </w:r>
      <w:r w:rsidR="00B213EF">
        <w:rPr>
          <w:lang w:eastAsia="en-NZ"/>
        </w:rPr>
        <w:t xml:space="preserve">hate </w:t>
      </w:r>
      <w:r w:rsidR="009C145E">
        <w:rPr>
          <w:lang w:eastAsia="en-NZ"/>
        </w:rPr>
        <w:t>motivation based on</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3D640C">
        <w:rPr>
          <w:lang w:eastAsia="en-NZ"/>
        </w:rPr>
        <w:t xml:space="preserve"> </w:t>
      </w:r>
      <w:r w:rsidR="00B213EF">
        <w:rPr>
          <w:lang w:eastAsia="en-NZ"/>
        </w:rPr>
        <w:t xml:space="preserve">or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as</w:t>
      </w:r>
      <w:r w:rsidR="003D640C">
        <w:rPr>
          <w:lang w:eastAsia="en-NZ"/>
        </w:rPr>
        <w:t xml:space="preserve"> </w:t>
      </w:r>
      <w:r w:rsidR="00E32532">
        <w:rPr>
          <w:lang w:eastAsia="en-NZ"/>
        </w:rPr>
        <w:t xml:space="preserve">an </w:t>
      </w:r>
      <w:r w:rsidRPr="00BB6220">
        <w:rPr>
          <w:lang w:eastAsia="en-NZ"/>
        </w:rPr>
        <w:t>aggravating</w:t>
      </w:r>
      <w:r w:rsidR="003D640C">
        <w:rPr>
          <w:lang w:eastAsia="en-NZ"/>
        </w:rPr>
        <w:t xml:space="preserve"> </w:t>
      </w:r>
      <w:r w:rsidRPr="00BB6220">
        <w:rPr>
          <w:lang w:eastAsia="en-NZ"/>
        </w:rPr>
        <w:t>factor</w:t>
      </w:r>
      <w:r w:rsidR="003D640C">
        <w:rPr>
          <w:lang w:eastAsia="en-NZ"/>
        </w:rPr>
        <w:t xml:space="preserve"> </w:t>
      </w:r>
      <w:r w:rsidR="00B213EF">
        <w:rPr>
          <w:lang w:eastAsia="en-NZ"/>
        </w:rPr>
        <w:t xml:space="preserve">for sentencing </w:t>
      </w:r>
      <w:r w:rsidR="006D0AC2">
        <w:rPr>
          <w:lang w:eastAsia="en-NZ"/>
        </w:rPr>
        <w:t>under</w:t>
      </w:r>
      <w:r w:rsidR="003D640C">
        <w:rPr>
          <w:lang w:eastAsia="en-NZ"/>
        </w:rPr>
        <w:t xml:space="preserve"> </w:t>
      </w:r>
      <w:r w:rsidR="00627B7F">
        <w:rPr>
          <w:lang w:eastAsia="en-NZ"/>
        </w:rPr>
        <w:t xml:space="preserve">section 9(1)(h) of </w:t>
      </w:r>
      <w:r w:rsidRPr="00BB6220">
        <w:rPr>
          <w:lang w:eastAsia="en-NZ"/>
        </w:rPr>
        <w:t>the</w:t>
      </w:r>
      <w:r w:rsidR="003D640C">
        <w:rPr>
          <w:lang w:eastAsia="en-NZ"/>
        </w:rPr>
        <w:t xml:space="preserve"> </w:t>
      </w:r>
      <w:r w:rsidRPr="00BB6220">
        <w:rPr>
          <w:lang w:eastAsia="en-NZ"/>
        </w:rPr>
        <w:t>Sentencing</w:t>
      </w:r>
      <w:r w:rsidR="003D640C">
        <w:rPr>
          <w:lang w:eastAsia="en-NZ"/>
        </w:rPr>
        <w:t xml:space="preserve"> </w:t>
      </w:r>
      <w:r w:rsidRPr="00BB6220">
        <w:rPr>
          <w:lang w:eastAsia="en-NZ"/>
        </w:rPr>
        <w:t>Act</w:t>
      </w:r>
      <w:r w:rsidR="003D640C">
        <w:rPr>
          <w:lang w:eastAsia="en-NZ"/>
        </w:rPr>
        <w:t xml:space="preserve"> </w:t>
      </w:r>
      <w:r w:rsidRPr="00BB6220">
        <w:rPr>
          <w:lang w:eastAsia="en-NZ"/>
        </w:rPr>
        <w:t>2002</w:t>
      </w:r>
    </w:p>
    <w:p w14:paraId="3C6D2243" w14:textId="11AFE714" w:rsidR="00BB3F27" w:rsidRDefault="00AF3F45" w:rsidP="0078026B">
      <w:pPr>
        <w:pStyle w:val="Bullet"/>
        <w:rPr>
          <w:lang w:eastAsia="en-NZ"/>
        </w:rPr>
      </w:pPr>
      <w:r>
        <w:rPr>
          <w:lang w:eastAsia="en-NZ"/>
        </w:rPr>
        <w:t>the</w:t>
      </w:r>
      <w:r w:rsidR="003D640C">
        <w:rPr>
          <w:lang w:eastAsia="en-NZ"/>
        </w:rPr>
        <w:t xml:space="preserve"> </w:t>
      </w:r>
      <w:r w:rsidR="00BB3F27" w:rsidRPr="00BB6220">
        <w:rPr>
          <w:lang w:eastAsia="en-NZ"/>
        </w:rPr>
        <w:t>Civil</w:t>
      </w:r>
      <w:r w:rsidR="003D640C">
        <w:rPr>
          <w:lang w:eastAsia="en-NZ"/>
        </w:rPr>
        <w:t xml:space="preserve"> </w:t>
      </w:r>
      <w:r w:rsidR="00BB3F27" w:rsidRPr="00BB6220">
        <w:rPr>
          <w:lang w:eastAsia="en-NZ"/>
        </w:rPr>
        <w:t>Union</w:t>
      </w:r>
      <w:r w:rsidR="003D640C">
        <w:rPr>
          <w:lang w:eastAsia="en-NZ"/>
        </w:rPr>
        <w:t xml:space="preserve"> </w:t>
      </w:r>
      <w:r w:rsidR="00BB3F27" w:rsidRPr="00BB6220">
        <w:rPr>
          <w:lang w:eastAsia="en-NZ"/>
        </w:rPr>
        <w:t>Act</w:t>
      </w:r>
      <w:r w:rsidR="003D640C">
        <w:rPr>
          <w:lang w:eastAsia="en-NZ"/>
        </w:rPr>
        <w:t xml:space="preserve"> </w:t>
      </w:r>
      <w:r w:rsidR="00BB3F27" w:rsidRPr="00BB6220">
        <w:rPr>
          <w:lang w:eastAsia="en-NZ"/>
        </w:rPr>
        <w:t>2004</w:t>
      </w:r>
    </w:p>
    <w:p w14:paraId="0D4A723E" w14:textId="748E18FB" w:rsidR="009E6FD0" w:rsidRPr="00BB6220" w:rsidRDefault="006D0AC2" w:rsidP="0078026B">
      <w:pPr>
        <w:pStyle w:val="Bullet"/>
        <w:rPr>
          <w:lang w:eastAsia="en-NZ"/>
        </w:rPr>
      </w:pPr>
      <w:r>
        <w:rPr>
          <w:lang w:eastAsia="en-NZ"/>
        </w:rPr>
        <w:t xml:space="preserve">that </w:t>
      </w:r>
      <w:r w:rsidR="008D100D">
        <w:rPr>
          <w:lang w:eastAsia="en-NZ"/>
        </w:rPr>
        <w:t>both</w:t>
      </w:r>
      <w:r w:rsidR="003D640C">
        <w:rPr>
          <w:lang w:eastAsia="en-NZ"/>
        </w:rPr>
        <w:t xml:space="preserve"> </w:t>
      </w:r>
      <w:r w:rsidR="008D100D">
        <w:rPr>
          <w:lang w:eastAsia="en-NZ"/>
        </w:rPr>
        <w:t>members</w:t>
      </w:r>
      <w:r w:rsidR="003D640C">
        <w:rPr>
          <w:lang w:eastAsia="en-NZ"/>
        </w:rPr>
        <w:t xml:space="preserve"> </w:t>
      </w:r>
      <w:r w:rsidR="008D100D">
        <w:rPr>
          <w:lang w:eastAsia="en-NZ"/>
        </w:rPr>
        <w:t>of</w:t>
      </w:r>
      <w:r w:rsidR="003D640C">
        <w:rPr>
          <w:lang w:eastAsia="en-NZ"/>
        </w:rPr>
        <w:t xml:space="preserve"> </w:t>
      </w:r>
      <w:r w:rsidR="008D100D">
        <w:rPr>
          <w:lang w:eastAsia="en-NZ"/>
        </w:rPr>
        <w:t>same-sex</w:t>
      </w:r>
      <w:r w:rsidR="003D640C">
        <w:rPr>
          <w:lang w:eastAsia="en-NZ"/>
        </w:rPr>
        <w:t xml:space="preserve"> </w:t>
      </w:r>
      <w:r w:rsidR="008D100D">
        <w:rPr>
          <w:lang w:eastAsia="en-NZ"/>
        </w:rPr>
        <w:t>couples</w:t>
      </w:r>
      <w:r>
        <w:rPr>
          <w:lang w:eastAsia="en-NZ"/>
        </w:rPr>
        <w:t xml:space="preserve"> can be</w:t>
      </w:r>
      <w:r w:rsidR="003D640C">
        <w:rPr>
          <w:lang w:eastAsia="en-NZ"/>
        </w:rPr>
        <w:t xml:space="preserve"> </w:t>
      </w:r>
      <w:r w:rsidR="008D100D">
        <w:rPr>
          <w:lang w:eastAsia="en-NZ"/>
        </w:rPr>
        <w:t>legally</w:t>
      </w:r>
      <w:r w:rsidR="003D640C">
        <w:rPr>
          <w:lang w:eastAsia="en-NZ"/>
        </w:rPr>
        <w:t xml:space="preserve"> </w:t>
      </w:r>
      <w:r w:rsidR="008D100D">
        <w:rPr>
          <w:lang w:eastAsia="en-NZ"/>
        </w:rPr>
        <w:t>appointed</w:t>
      </w:r>
      <w:r w:rsidR="003D640C">
        <w:rPr>
          <w:lang w:eastAsia="en-NZ"/>
        </w:rPr>
        <w:t xml:space="preserve"> </w:t>
      </w:r>
      <w:r w:rsidR="008D100D">
        <w:rPr>
          <w:lang w:eastAsia="en-NZ"/>
        </w:rPr>
        <w:t>as</w:t>
      </w:r>
      <w:r w:rsidR="003D640C">
        <w:rPr>
          <w:lang w:eastAsia="en-NZ"/>
        </w:rPr>
        <w:t xml:space="preserve"> </w:t>
      </w:r>
      <w:r w:rsidR="008D100D">
        <w:rPr>
          <w:lang w:eastAsia="en-NZ"/>
        </w:rPr>
        <w:t>guardians</w:t>
      </w:r>
      <w:r w:rsidR="003D640C">
        <w:rPr>
          <w:lang w:eastAsia="en-NZ"/>
        </w:rPr>
        <w:t xml:space="preserve"> </w:t>
      </w:r>
      <w:r w:rsidR="008D100D">
        <w:rPr>
          <w:lang w:eastAsia="en-NZ"/>
        </w:rPr>
        <w:t>of</w:t>
      </w:r>
      <w:r w:rsidR="003D640C">
        <w:rPr>
          <w:lang w:eastAsia="en-NZ"/>
        </w:rPr>
        <w:t xml:space="preserve"> </w:t>
      </w:r>
      <w:r w:rsidR="008D100D">
        <w:rPr>
          <w:lang w:eastAsia="en-NZ"/>
        </w:rPr>
        <w:t>their</w:t>
      </w:r>
      <w:r w:rsidR="003D640C">
        <w:rPr>
          <w:lang w:eastAsia="en-NZ"/>
        </w:rPr>
        <w:t xml:space="preserve"> </w:t>
      </w:r>
      <w:r w:rsidR="008D100D">
        <w:rPr>
          <w:lang w:eastAsia="en-NZ"/>
        </w:rPr>
        <w:t>child</w:t>
      </w:r>
      <w:r w:rsidR="003D640C">
        <w:rPr>
          <w:lang w:eastAsia="en-NZ"/>
        </w:rPr>
        <w:t xml:space="preserve"> </w:t>
      </w:r>
      <w:r w:rsidR="00750EE3">
        <w:rPr>
          <w:lang w:eastAsia="en-NZ"/>
        </w:rPr>
        <w:t>under</w:t>
      </w:r>
      <w:r w:rsidR="003D640C">
        <w:rPr>
          <w:lang w:eastAsia="en-NZ"/>
        </w:rPr>
        <w:t xml:space="preserve"> </w:t>
      </w:r>
      <w:r>
        <w:rPr>
          <w:lang w:eastAsia="en-NZ"/>
        </w:rPr>
        <w:t xml:space="preserve">section 21(4) of </w:t>
      </w:r>
      <w:r w:rsidR="00FE7D30">
        <w:rPr>
          <w:lang w:eastAsia="en-NZ"/>
        </w:rPr>
        <w:t>the</w:t>
      </w:r>
      <w:r w:rsidR="003D640C">
        <w:rPr>
          <w:lang w:eastAsia="en-NZ"/>
        </w:rPr>
        <w:t xml:space="preserve"> </w:t>
      </w:r>
      <w:r w:rsidR="009E6FD0">
        <w:rPr>
          <w:lang w:eastAsia="en-NZ"/>
        </w:rPr>
        <w:t>Care</w:t>
      </w:r>
      <w:r w:rsidR="003D640C">
        <w:rPr>
          <w:lang w:eastAsia="en-NZ"/>
        </w:rPr>
        <w:t xml:space="preserve"> </w:t>
      </w:r>
      <w:r w:rsidR="009E6FD0">
        <w:rPr>
          <w:lang w:eastAsia="en-NZ"/>
        </w:rPr>
        <w:t>of</w:t>
      </w:r>
      <w:r w:rsidR="003D640C">
        <w:rPr>
          <w:lang w:eastAsia="en-NZ"/>
        </w:rPr>
        <w:t xml:space="preserve"> </w:t>
      </w:r>
      <w:r w:rsidR="009E6FD0">
        <w:rPr>
          <w:lang w:eastAsia="en-NZ"/>
        </w:rPr>
        <w:t>Children</w:t>
      </w:r>
      <w:r w:rsidR="003D640C">
        <w:rPr>
          <w:lang w:eastAsia="en-NZ"/>
        </w:rPr>
        <w:t xml:space="preserve"> </w:t>
      </w:r>
      <w:r w:rsidR="009E6FD0">
        <w:rPr>
          <w:lang w:eastAsia="en-NZ"/>
        </w:rPr>
        <w:t>Act</w:t>
      </w:r>
      <w:r w:rsidR="003D640C">
        <w:rPr>
          <w:lang w:eastAsia="en-NZ"/>
        </w:rPr>
        <w:t xml:space="preserve"> </w:t>
      </w:r>
      <w:r w:rsidR="009E6FD0">
        <w:rPr>
          <w:lang w:eastAsia="en-NZ"/>
        </w:rPr>
        <w:t>2004</w:t>
      </w:r>
      <w:r w:rsidR="003D640C">
        <w:rPr>
          <w:lang w:eastAsia="en-NZ"/>
        </w:rPr>
        <w:t xml:space="preserve"> </w:t>
      </w:r>
    </w:p>
    <w:p w14:paraId="41C849A5" w14:textId="3A42FD85" w:rsidR="00BB3F27" w:rsidRPr="00BB6220" w:rsidRDefault="00BB3F27" w:rsidP="0078026B">
      <w:pPr>
        <w:pStyle w:val="Bullet"/>
        <w:rPr>
          <w:lang w:eastAsia="en-NZ"/>
        </w:rPr>
      </w:pPr>
      <w:r w:rsidRPr="00BB6220">
        <w:rPr>
          <w:lang w:eastAsia="en-NZ"/>
        </w:rPr>
        <w:t>equality</w:t>
      </w:r>
      <w:r w:rsidR="003D640C">
        <w:rPr>
          <w:lang w:eastAsia="en-NZ"/>
        </w:rPr>
        <w:t xml:space="preserve"> </w:t>
      </w:r>
      <w:r w:rsidRPr="00BB6220">
        <w:rPr>
          <w:lang w:eastAsia="en-NZ"/>
        </w:rPr>
        <w:t>reform</w:t>
      </w:r>
      <w:r w:rsidR="003D640C">
        <w:rPr>
          <w:lang w:eastAsia="en-NZ"/>
        </w:rPr>
        <w:t xml:space="preserve"> </w:t>
      </w:r>
      <w:r w:rsidRPr="00BB6220">
        <w:rPr>
          <w:lang w:eastAsia="en-NZ"/>
        </w:rPr>
        <w:t>and</w:t>
      </w:r>
      <w:r w:rsidR="003D640C">
        <w:rPr>
          <w:lang w:eastAsia="en-NZ"/>
        </w:rPr>
        <w:t xml:space="preserve"> </w:t>
      </w:r>
      <w:r w:rsidRPr="00BB6220">
        <w:rPr>
          <w:lang w:eastAsia="en-NZ"/>
        </w:rPr>
        <w:t>equal</w:t>
      </w:r>
      <w:r w:rsidR="003D640C">
        <w:rPr>
          <w:lang w:eastAsia="en-NZ"/>
        </w:rPr>
        <w:t xml:space="preserve"> </w:t>
      </w:r>
      <w:r w:rsidRPr="00BB6220">
        <w:rPr>
          <w:lang w:eastAsia="en-NZ"/>
        </w:rPr>
        <w:t>adoption</w:t>
      </w:r>
      <w:r w:rsidR="003D640C">
        <w:rPr>
          <w:lang w:eastAsia="en-NZ"/>
        </w:rPr>
        <w:t xml:space="preserve"> </w:t>
      </w:r>
      <w:r w:rsidRPr="00BB6220">
        <w:rPr>
          <w:lang w:eastAsia="en-NZ"/>
        </w:rPr>
        <w:t>rights</w:t>
      </w:r>
      <w:r w:rsidR="003D640C">
        <w:rPr>
          <w:lang w:eastAsia="en-NZ"/>
        </w:rPr>
        <w:t xml:space="preserve"> </w:t>
      </w:r>
      <w:r w:rsidR="006D0AC2">
        <w:rPr>
          <w:lang w:eastAsia="en-NZ"/>
        </w:rPr>
        <w:t xml:space="preserve">under </w:t>
      </w:r>
      <w:r w:rsidRPr="00BB6220">
        <w:rPr>
          <w:lang w:eastAsia="en-NZ"/>
        </w:rPr>
        <w:t>the</w:t>
      </w:r>
      <w:r w:rsidR="003D640C">
        <w:rPr>
          <w:lang w:eastAsia="en-NZ"/>
        </w:rPr>
        <w:t xml:space="preserve"> </w:t>
      </w:r>
      <w:r w:rsidRPr="00BB6220">
        <w:rPr>
          <w:lang w:eastAsia="en-NZ"/>
        </w:rPr>
        <w:t>Marriage</w:t>
      </w:r>
      <w:r w:rsidR="003D640C">
        <w:rPr>
          <w:lang w:eastAsia="en-NZ"/>
        </w:rPr>
        <w:t xml:space="preserve"> </w:t>
      </w:r>
      <w:r w:rsidRPr="00BB6220">
        <w:rPr>
          <w:lang w:eastAsia="en-NZ"/>
        </w:rPr>
        <w:t>(Definition</w:t>
      </w:r>
      <w:r w:rsidR="003D640C">
        <w:rPr>
          <w:lang w:eastAsia="en-NZ"/>
        </w:rPr>
        <w:t xml:space="preserve"> </w:t>
      </w:r>
      <w:r>
        <w:rPr>
          <w:lang w:eastAsia="en-NZ"/>
        </w:rPr>
        <w:t>of</w:t>
      </w:r>
      <w:r w:rsidR="003D640C">
        <w:rPr>
          <w:lang w:eastAsia="en-NZ"/>
        </w:rPr>
        <w:t xml:space="preserve"> </w:t>
      </w:r>
      <w:r>
        <w:rPr>
          <w:lang w:eastAsia="en-NZ"/>
        </w:rPr>
        <w:t>Marriage</w:t>
      </w:r>
      <w:r w:rsidRPr="00BB6220">
        <w:rPr>
          <w:lang w:eastAsia="en-NZ"/>
        </w:rPr>
        <w:t>)</w:t>
      </w:r>
      <w:r w:rsidR="003D640C">
        <w:rPr>
          <w:lang w:eastAsia="en-NZ"/>
        </w:rPr>
        <w:t xml:space="preserve"> </w:t>
      </w:r>
      <w:r w:rsidRPr="00BB6220">
        <w:rPr>
          <w:lang w:eastAsia="en-NZ"/>
        </w:rPr>
        <w:t>Amendment</w:t>
      </w:r>
      <w:r w:rsidR="003D640C">
        <w:rPr>
          <w:lang w:eastAsia="en-NZ"/>
        </w:rPr>
        <w:t xml:space="preserve"> </w:t>
      </w:r>
      <w:r w:rsidRPr="00BB6220">
        <w:rPr>
          <w:lang w:eastAsia="en-NZ"/>
        </w:rPr>
        <w:t>Act</w:t>
      </w:r>
      <w:r w:rsidR="003D640C">
        <w:rPr>
          <w:lang w:eastAsia="en-NZ"/>
        </w:rPr>
        <w:t xml:space="preserve"> </w:t>
      </w:r>
      <w:r w:rsidRPr="00BB6220">
        <w:rPr>
          <w:lang w:eastAsia="en-NZ"/>
        </w:rPr>
        <w:t>2013</w:t>
      </w:r>
    </w:p>
    <w:p w14:paraId="5AB7E6F4" w14:textId="3234BB05" w:rsidR="00501068" w:rsidRDefault="00BB3F27" w:rsidP="0078026B">
      <w:pPr>
        <w:pStyle w:val="Bullet"/>
        <w:rPr>
          <w:lang w:eastAsia="en-NZ"/>
        </w:rPr>
      </w:pPr>
      <w:r>
        <w:rPr>
          <w:lang w:eastAsia="en-NZ"/>
        </w:rPr>
        <w:t>legal</w:t>
      </w:r>
      <w:r w:rsidR="003D640C">
        <w:rPr>
          <w:lang w:eastAsia="en-NZ"/>
        </w:rPr>
        <w:t xml:space="preserve"> </w:t>
      </w:r>
      <w:r>
        <w:rPr>
          <w:lang w:eastAsia="en-NZ"/>
        </w:rPr>
        <w:t>gender</w:t>
      </w:r>
      <w:r w:rsidR="003D640C">
        <w:rPr>
          <w:lang w:eastAsia="en-NZ"/>
        </w:rPr>
        <w:t xml:space="preserve"> </w:t>
      </w:r>
      <w:r>
        <w:rPr>
          <w:lang w:eastAsia="en-NZ"/>
        </w:rPr>
        <w:t>recognition</w:t>
      </w:r>
      <w:r w:rsidR="003D640C">
        <w:rPr>
          <w:lang w:eastAsia="en-NZ"/>
        </w:rPr>
        <w:t xml:space="preserve"> </w:t>
      </w:r>
      <w:r w:rsidR="001E1B58">
        <w:rPr>
          <w:lang w:eastAsia="en-NZ"/>
        </w:rPr>
        <w:t>(</w:t>
      </w:r>
      <w:r w:rsidR="00FB6E67">
        <w:rPr>
          <w:lang w:eastAsia="en-NZ"/>
        </w:rPr>
        <w:t>for</w:t>
      </w:r>
      <w:r w:rsidR="003D640C">
        <w:rPr>
          <w:lang w:eastAsia="en-NZ"/>
        </w:rPr>
        <w:t xml:space="preserve"> </w:t>
      </w:r>
      <w:r w:rsidR="00FB6E67">
        <w:rPr>
          <w:lang w:eastAsia="en-NZ"/>
        </w:rPr>
        <w:t>those</w:t>
      </w:r>
      <w:r w:rsidR="003D640C">
        <w:rPr>
          <w:lang w:eastAsia="en-NZ"/>
        </w:rPr>
        <w:t xml:space="preserve"> </w:t>
      </w:r>
      <w:r w:rsidR="00FB6E67">
        <w:rPr>
          <w:lang w:eastAsia="en-NZ"/>
        </w:rPr>
        <w:t>wh</w:t>
      </w:r>
      <w:r w:rsidR="000056CB">
        <w:rPr>
          <w:lang w:eastAsia="en-NZ"/>
        </w:rPr>
        <w:t>ose</w:t>
      </w:r>
      <w:r w:rsidR="003D640C">
        <w:rPr>
          <w:lang w:eastAsia="en-NZ"/>
        </w:rPr>
        <w:t xml:space="preserve"> </w:t>
      </w:r>
      <w:r w:rsidR="000056CB">
        <w:rPr>
          <w:lang w:eastAsia="en-NZ"/>
        </w:rPr>
        <w:t>birth</w:t>
      </w:r>
      <w:r w:rsidR="003D640C">
        <w:rPr>
          <w:lang w:eastAsia="en-NZ"/>
        </w:rPr>
        <w:t xml:space="preserve"> </w:t>
      </w:r>
      <w:r w:rsidR="000056CB">
        <w:rPr>
          <w:lang w:eastAsia="en-NZ"/>
        </w:rPr>
        <w:t>was</w:t>
      </w:r>
      <w:r w:rsidR="003D640C">
        <w:rPr>
          <w:lang w:eastAsia="en-NZ"/>
        </w:rPr>
        <w:t xml:space="preserve"> </w:t>
      </w:r>
      <w:r w:rsidR="000056CB">
        <w:rPr>
          <w:lang w:eastAsia="en-NZ"/>
        </w:rPr>
        <w:t>registered</w:t>
      </w:r>
      <w:r w:rsidR="003D640C">
        <w:rPr>
          <w:lang w:eastAsia="en-NZ"/>
        </w:rPr>
        <w:t xml:space="preserve"> </w:t>
      </w:r>
      <w:r w:rsidR="001E1B58">
        <w:rPr>
          <w:lang w:eastAsia="en-NZ"/>
        </w:rPr>
        <w:t>in</w:t>
      </w:r>
      <w:r w:rsidR="003D640C">
        <w:rPr>
          <w:lang w:eastAsia="en-NZ"/>
        </w:rPr>
        <w:t xml:space="preserve"> </w:t>
      </w:r>
      <w:r w:rsidR="001E1B58">
        <w:rPr>
          <w:lang w:eastAsia="en-NZ"/>
        </w:rPr>
        <w:t>New</w:t>
      </w:r>
      <w:r w:rsidR="003D640C">
        <w:rPr>
          <w:lang w:eastAsia="en-NZ"/>
        </w:rPr>
        <w:t xml:space="preserve"> </w:t>
      </w:r>
      <w:r w:rsidR="001E1B58">
        <w:rPr>
          <w:lang w:eastAsia="en-NZ"/>
        </w:rPr>
        <w:t>Zealand</w:t>
      </w:r>
      <w:r w:rsidR="006D0AC2">
        <w:rPr>
          <w:lang w:eastAsia="en-NZ"/>
        </w:rPr>
        <w:t xml:space="preserve">) under section 24 of </w:t>
      </w:r>
      <w:r w:rsidRPr="00BB6220">
        <w:rPr>
          <w:lang w:eastAsia="en-NZ"/>
        </w:rPr>
        <w:t>the</w:t>
      </w:r>
      <w:r w:rsidR="003D640C">
        <w:rPr>
          <w:lang w:eastAsia="en-NZ"/>
        </w:rPr>
        <w:t xml:space="preserve"> </w:t>
      </w:r>
      <w:r w:rsidRPr="00BB6220">
        <w:rPr>
          <w:lang w:eastAsia="en-NZ"/>
        </w:rPr>
        <w:t>Births,</w:t>
      </w:r>
      <w:r w:rsidR="003D640C">
        <w:rPr>
          <w:lang w:eastAsia="en-NZ"/>
        </w:rPr>
        <w:t xml:space="preserve"> </w:t>
      </w:r>
      <w:r w:rsidRPr="00BB6220">
        <w:rPr>
          <w:lang w:eastAsia="en-NZ"/>
        </w:rPr>
        <w:t>Deaths,</w:t>
      </w:r>
      <w:r w:rsidR="003D640C">
        <w:rPr>
          <w:lang w:eastAsia="en-NZ"/>
        </w:rPr>
        <w:t xml:space="preserve"> </w:t>
      </w:r>
      <w:r w:rsidRPr="00BB6220">
        <w:rPr>
          <w:lang w:eastAsia="en-NZ"/>
        </w:rPr>
        <w:t>Marriages,</w:t>
      </w:r>
      <w:r w:rsidR="003D640C">
        <w:rPr>
          <w:lang w:eastAsia="en-NZ"/>
        </w:rPr>
        <w:t xml:space="preserve"> </w:t>
      </w:r>
      <w:r w:rsidRPr="00BB6220">
        <w:rPr>
          <w:lang w:eastAsia="en-NZ"/>
        </w:rPr>
        <w:t>and</w:t>
      </w:r>
      <w:r w:rsidR="003D640C">
        <w:rPr>
          <w:lang w:eastAsia="en-NZ"/>
        </w:rPr>
        <w:t xml:space="preserve"> </w:t>
      </w:r>
      <w:r w:rsidRPr="00BB6220">
        <w:rPr>
          <w:lang w:eastAsia="en-NZ"/>
        </w:rPr>
        <w:t>Relationships</w:t>
      </w:r>
      <w:r w:rsidR="003D640C">
        <w:rPr>
          <w:lang w:eastAsia="en-NZ"/>
        </w:rPr>
        <w:t xml:space="preserve"> </w:t>
      </w:r>
      <w:r w:rsidRPr="00BB6220">
        <w:rPr>
          <w:lang w:eastAsia="en-NZ"/>
        </w:rPr>
        <w:t>Registration</w:t>
      </w:r>
      <w:r w:rsidR="003D640C">
        <w:rPr>
          <w:lang w:eastAsia="en-NZ"/>
        </w:rPr>
        <w:t xml:space="preserve"> </w:t>
      </w:r>
      <w:r w:rsidRPr="00BB6220">
        <w:rPr>
          <w:lang w:eastAsia="en-NZ"/>
        </w:rPr>
        <w:t>Act</w:t>
      </w:r>
      <w:r w:rsidR="003D640C">
        <w:rPr>
          <w:lang w:eastAsia="en-NZ"/>
        </w:rPr>
        <w:t xml:space="preserve"> </w:t>
      </w:r>
      <w:r w:rsidRPr="00BB6220">
        <w:rPr>
          <w:lang w:eastAsia="en-NZ"/>
        </w:rPr>
        <w:t>2021</w:t>
      </w:r>
      <w:r>
        <w:rPr>
          <w:lang w:eastAsia="en-NZ"/>
        </w:rPr>
        <w:t>.</w:t>
      </w:r>
    </w:p>
    <w:p w14:paraId="6B8D3204" w14:textId="2C0BEE45" w:rsidR="00501068" w:rsidRDefault="00BB3F27" w:rsidP="0078026B">
      <w:pPr>
        <w:rPr>
          <w:lang w:eastAsia="en-NZ"/>
        </w:rPr>
      </w:pPr>
      <w:r w:rsidRPr="00BB6220">
        <w:rPr>
          <w:lang w:eastAsia="en-NZ"/>
        </w:rPr>
        <w:t>There</w:t>
      </w:r>
      <w:r w:rsidR="003D640C">
        <w:rPr>
          <w:lang w:eastAsia="en-NZ"/>
        </w:rPr>
        <w:t xml:space="preserve"> </w:t>
      </w:r>
      <w:r w:rsidRPr="00BB6220">
        <w:rPr>
          <w:lang w:eastAsia="en-NZ"/>
        </w:rPr>
        <w:t>has</w:t>
      </w:r>
      <w:r w:rsidR="003D640C">
        <w:rPr>
          <w:lang w:eastAsia="en-NZ"/>
        </w:rPr>
        <w:t xml:space="preserve"> </w:t>
      </w:r>
      <w:r w:rsidRPr="00BB6220">
        <w:rPr>
          <w:lang w:eastAsia="en-NZ"/>
        </w:rPr>
        <w:t>also</w:t>
      </w:r>
      <w:r w:rsidR="003D640C">
        <w:rPr>
          <w:lang w:eastAsia="en-NZ"/>
        </w:rPr>
        <w:t xml:space="preserve"> </w:t>
      </w:r>
      <w:r w:rsidRPr="00BB6220">
        <w:rPr>
          <w:lang w:eastAsia="en-NZ"/>
        </w:rPr>
        <w:t>been</w:t>
      </w:r>
      <w:r w:rsidR="003D640C">
        <w:rPr>
          <w:lang w:eastAsia="en-NZ"/>
        </w:rPr>
        <w:t xml:space="preserve"> </w:t>
      </w:r>
      <w:r w:rsidRPr="00BB6220">
        <w:rPr>
          <w:rFonts w:ascii="Calibri" w:eastAsia="Calibri" w:hAnsi="Calibri" w:cs="Calibri"/>
        </w:rPr>
        <w:t>a</w:t>
      </w:r>
      <w:r w:rsidR="003D640C">
        <w:rPr>
          <w:rFonts w:ascii="Calibri" w:eastAsia="Calibri" w:hAnsi="Calibri" w:cs="Calibri"/>
        </w:rPr>
        <w:t xml:space="preserve"> </w:t>
      </w:r>
      <w:r w:rsidRPr="00BB6220">
        <w:rPr>
          <w:rFonts w:ascii="Calibri" w:eastAsia="Calibri" w:hAnsi="Calibri" w:cs="Calibri"/>
        </w:rPr>
        <w:t>growing</w:t>
      </w:r>
      <w:r w:rsidR="003D640C">
        <w:rPr>
          <w:rFonts w:ascii="Calibri" w:eastAsia="Calibri" w:hAnsi="Calibri" w:cs="Calibri"/>
        </w:rPr>
        <w:t xml:space="preserve"> </w:t>
      </w:r>
      <w:r w:rsidRPr="00BB6220">
        <w:rPr>
          <w:rFonts w:ascii="Calibri" w:eastAsia="Calibri" w:hAnsi="Calibri" w:cs="Calibri"/>
        </w:rPr>
        <w:t>recognition</w:t>
      </w:r>
      <w:r w:rsidR="003D640C">
        <w:rPr>
          <w:rFonts w:ascii="Calibri" w:eastAsia="Calibri" w:hAnsi="Calibri" w:cs="Calibri"/>
        </w:rPr>
        <w:t xml:space="preserve"> </w:t>
      </w:r>
      <w:r w:rsidRPr="00BB6220">
        <w:rPr>
          <w:rFonts w:ascii="Calibri" w:eastAsia="Calibri" w:hAnsi="Calibri" w:cs="Calibri"/>
        </w:rPr>
        <w:t>and</w:t>
      </w:r>
      <w:r w:rsidR="003D640C">
        <w:rPr>
          <w:rFonts w:ascii="Calibri" w:eastAsia="Calibri" w:hAnsi="Calibri" w:cs="Calibri"/>
        </w:rPr>
        <w:t xml:space="preserve"> </w:t>
      </w:r>
      <w:r w:rsidRPr="00BB6220">
        <w:rPr>
          <w:rFonts w:ascii="Calibri" w:eastAsia="Calibri" w:hAnsi="Calibri" w:cs="Calibri"/>
        </w:rPr>
        <w:t>revitalisation</w:t>
      </w:r>
      <w:r w:rsidR="003D640C">
        <w:rPr>
          <w:rFonts w:ascii="Calibri" w:eastAsia="Calibri" w:hAnsi="Calibri" w:cs="Calibri"/>
        </w:rPr>
        <w:t xml:space="preserve"> </w:t>
      </w:r>
      <w:r w:rsidRPr="00BB6220">
        <w:rPr>
          <w:rFonts w:ascii="Calibri" w:eastAsia="Calibri" w:hAnsi="Calibri" w:cs="Calibri"/>
        </w:rPr>
        <w:t>of</w:t>
      </w:r>
      <w:r w:rsidR="003D640C">
        <w:rPr>
          <w:rFonts w:ascii="Calibri" w:eastAsia="Calibri" w:hAnsi="Calibri" w:cs="Calibri"/>
        </w:rPr>
        <w:t xml:space="preserve"> </w:t>
      </w:r>
      <w:r w:rsidRPr="00BB6220">
        <w:rPr>
          <w:rFonts w:ascii="Calibri" w:eastAsia="Calibri" w:hAnsi="Calibri" w:cs="Calibri"/>
        </w:rPr>
        <w:t>te</w:t>
      </w:r>
      <w:r w:rsidR="003D640C">
        <w:rPr>
          <w:rFonts w:ascii="Calibri" w:eastAsia="Calibri" w:hAnsi="Calibri" w:cs="Calibri"/>
        </w:rPr>
        <w:t xml:space="preserve"> </w:t>
      </w:r>
      <w:r w:rsidRPr="00BB6220">
        <w:rPr>
          <w:rFonts w:ascii="Calibri" w:eastAsia="Calibri" w:hAnsi="Calibri" w:cs="Calibri"/>
        </w:rPr>
        <w:t>ao</w:t>
      </w:r>
      <w:r w:rsidR="003D640C">
        <w:rPr>
          <w:rFonts w:ascii="Calibri" w:eastAsia="Calibri" w:hAnsi="Calibri" w:cs="Calibri"/>
        </w:rPr>
        <w:t xml:space="preserve"> </w:t>
      </w:r>
      <w:r w:rsidRPr="00BB6220">
        <w:rPr>
          <w:rFonts w:ascii="Calibri" w:eastAsia="Calibri" w:hAnsi="Calibri" w:cs="Calibri"/>
        </w:rPr>
        <w:t>Māori</w:t>
      </w:r>
      <w:r w:rsidR="003D640C">
        <w:rPr>
          <w:rFonts w:ascii="Calibri" w:eastAsia="Calibri" w:hAnsi="Calibri" w:cs="Calibri"/>
        </w:rPr>
        <w:t xml:space="preserve"> </w:t>
      </w:r>
      <w:r w:rsidRPr="00BB6220">
        <w:rPr>
          <w:rFonts w:ascii="Calibri" w:eastAsia="Calibri" w:hAnsi="Calibri" w:cs="Calibri"/>
        </w:rPr>
        <w:t>and</w:t>
      </w:r>
      <w:r w:rsidR="003D640C">
        <w:rPr>
          <w:rFonts w:ascii="Calibri" w:eastAsia="Calibri" w:hAnsi="Calibri" w:cs="Calibri"/>
        </w:rPr>
        <w:t xml:space="preserve"> </w:t>
      </w:r>
      <w:r w:rsidRPr="00BB6220">
        <w:rPr>
          <w:rFonts w:ascii="Calibri" w:eastAsia="Calibri" w:hAnsi="Calibri" w:cs="Calibri"/>
        </w:rPr>
        <w:t>Indigenous</w:t>
      </w:r>
      <w:r w:rsidR="003D640C">
        <w:rPr>
          <w:rFonts w:ascii="Calibri" w:eastAsia="Calibri" w:hAnsi="Calibri" w:cs="Calibri"/>
        </w:rPr>
        <w:t xml:space="preserve"> </w:t>
      </w:r>
      <w:r w:rsidRPr="00BB6220">
        <w:rPr>
          <w:rFonts w:ascii="Calibri" w:eastAsia="Calibri" w:hAnsi="Calibri" w:cs="Calibri"/>
        </w:rPr>
        <w:t>perspectives</w:t>
      </w:r>
      <w:r w:rsidR="003D640C">
        <w:rPr>
          <w:rFonts w:ascii="Calibri" w:eastAsia="Calibri" w:hAnsi="Calibri" w:cs="Calibri"/>
        </w:rPr>
        <w:t xml:space="preserve"> </w:t>
      </w:r>
      <w:r w:rsidRPr="00BB6220">
        <w:rPr>
          <w:rFonts w:ascii="Calibri" w:eastAsia="Calibri" w:hAnsi="Calibri" w:cs="Calibri"/>
        </w:rPr>
        <w:t>on</w:t>
      </w:r>
      <w:r w:rsidR="003D640C">
        <w:rPr>
          <w:rFonts w:ascii="Calibri" w:eastAsia="Calibri" w:hAnsi="Calibri" w:cs="Calibri"/>
        </w:rPr>
        <w:t xml:space="preserve"> </w:t>
      </w:r>
      <w:r w:rsidRPr="00BB6220">
        <w:rPr>
          <w:rFonts w:ascii="Calibri" w:eastAsia="Calibri" w:hAnsi="Calibri" w:cs="Calibri"/>
        </w:rPr>
        <w:t>gender</w:t>
      </w:r>
      <w:r w:rsidR="003D640C">
        <w:rPr>
          <w:rFonts w:ascii="Calibri" w:eastAsia="Calibri" w:hAnsi="Calibri" w:cs="Calibri"/>
        </w:rPr>
        <w:t xml:space="preserve"> </w:t>
      </w:r>
      <w:r w:rsidRPr="00BB6220">
        <w:rPr>
          <w:rFonts w:ascii="Calibri" w:eastAsia="Calibri" w:hAnsi="Calibri" w:cs="Calibri"/>
        </w:rPr>
        <w:t>and</w:t>
      </w:r>
      <w:r w:rsidR="003D640C">
        <w:rPr>
          <w:rFonts w:ascii="Calibri" w:eastAsia="Calibri" w:hAnsi="Calibri" w:cs="Calibri"/>
        </w:rPr>
        <w:t xml:space="preserve"> </w:t>
      </w:r>
      <w:r w:rsidRPr="00BB6220">
        <w:rPr>
          <w:rFonts w:ascii="Calibri" w:eastAsia="Calibri" w:hAnsi="Calibri" w:cs="Calibri"/>
        </w:rPr>
        <w:t>sexual</w:t>
      </w:r>
      <w:r w:rsidR="003D640C">
        <w:rPr>
          <w:rFonts w:ascii="Calibri" w:eastAsia="Calibri" w:hAnsi="Calibri" w:cs="Calibri"/>
        </w:rPr>
        <w:t xml:space="preserve"> </w:t>
      </w:r>
      <w:r w:rsidRPr="00BB6220">
        <w:rPr>
          <w:rFonts w:ascii="Calibri" w:eastAsia="Calibri" w:hAnsi="Calibri" w:cs="Calibri"/>
        </w:rPr>
        <w:t>orientation</w:t>
      </w:r>
      <w:r w:rsidR="003D640C">
        <w:rPr>
          <w:rFonts w:ascii="Calibri" w:eastAsia="Calibri" w:hAnsi="Calibri" w:cs="Calibri"/>
        </w:rPr>
        <w:t xml:space="preserve"> </w:t>
      </w:r>
      <w:r w:rsidRPr="00BB6220">
        <w:rPr>
          <w:rFonts w:ascii="Calibri" w:eastAsia="Calibri" w:hAnsi="Calibri" w:cs="Calibri"/>
        </w:rPr>
        <w:t>in</w:t>
      </w:r>
      <w:r w:rsidR="003D640C">
        <w:rPr>
          <w:rFonts w:ascii="Calibri" w:eastAsia="Calibri" w:hAnsi="Calibri" w:cs="Calibri"/>
        </w:rPr>
        <w:t xml:space="preserve"> </w:t>
      </w:r>
      <w:r w:rsidRPr="00BB6220">
        <w:rPr>
          <w:rFonts w:ascii="Calibri" w:eastAsia="Calibri" w:hAnsi="Calibri" w:cs="Calibri"/>
        </w:rPr>
        <w:t>Aotearoa,</w:t>
      </w:r>
      <w:r w:rsidR="003D640C">
        <w:rPr>
          <w:rFonts w:ascii="Calibri" w:eastAsia="Calibri" w:hAnsi="Calibri" w:cs="Calibri"/>
        </w:rPr>
        <w:t xml:space="preserve"> </w:t>
      </w:r>
      <w:r w:rsidRPr="00BB6220">
        <w:rPr>
          <w:rFonts w:ascii="Calibri" w:eastAsia="Calibri" w:hAnsi="Calibri" w:cs="Calibri"/>
        </w:rPr>
        <w:t>as</w:t>
      </w:r>
      <w:r w:rsidR="003D640C">
        <w:rPr>
          <w:rFonts w:ascii="Calibri" w:eastAsia="Calibri" w:hAnsi="Calibri" w:cs="Calibri"/>
        </w:rPr>
        <w:t xml:space="preserve"> </w:t>
      </w:r>
      <w:r w:rsidRPr="00BB6220">
        <w:rPr>
          <w:rFonts w:ascii="Calibri" w:eastAsia="Calibri" w:hAnsi="Calibri" w:cs="Calibri"/>
        </w:rPr>
        <w:t>efforts</w:t>
      </w:r>
      <w:r w:rsidR="003D640C">
        <w:rPr>
          <w:rFonts w:ascii="Calibri" w:eastAsia="Calibri" w:hAnsi="Calibri" w:cs="Calibri"/>
        </w:rPr>
        <w:t xml:space="preserve"> </w:t>
      </w:r>
      <w:r w:rsidRPr="00BB6220">
        <w:rPr>
          <w:rFonts w:ascii="Calibri" w:eastAsia="Calibri" w:hAnsi="Calibri" w:cs="Calibri"/>
        </w:rPr>
        <w:t>are</w:t>
      </w:r>
      <w:r w:rsidR="003D640C">
        <w:rPr>
          <w:rFonts w:ascii="Calibri" w:eastAsia="Calibri" w:hAnsi="Calibri" w:cs="Calibri"/>
        </w:rPr>
        <w:t xml:space="preserve"> </w:t>
      </w:r>
      <w:r w:rsidRPr="00BB6220">
        <w:rPr>
          <w:rFonts w:ascii="Calibri" w:eastAsia="Calibri" w:hAnsi="Calibri" w:cs="Calibri"/>
        </w:rPr>
        <w:t>made</w:t>
      </w:r>
      <w:r w:rsidR="003D640C">
        <w:rPr>
          <w:rFonts w:ascii="Calibri" w:eastAsia="Calibri" w:hAnsi="Calibri" w:cs="Calibri"/>
        </w:rPr>
        <w:t xml:space="preserve"> </w:t>
      </w:r>
      <w:r w:rsidRPr="00BB6220">
        <w:rPr>
          <w:rFonts w:ascii="Calibri" w:eastAsia="Calibri" w:hAnsi="Calibri" w:cs="Calibri"/>
        </w:rPr>
        <w:t>to</w:t>
      </w:r>
      <w:r w:rsidR="003D640C">
        <w:rPr>
          <w:rFonts w:ascii="Calibri" w:eastAsia="Calibri" w:hAnsi="Calibri" w:cs="Calibri"/>
        </w:rPr>
        <w:t xml:space="preserve"> </w:t>
      </w:r>
      <w:r w:rsidRPr="00BB6220">
        <w:rPr>
          <w:rFonts w:ascii="Calibri" w:eastAsia="Calibri" w:hAnsi="Calibri" w:cs="Calibri"/>
        </w:rPr>
        <w:t>reclaim</w:t>
      </w:r>
      <w:r w:rsidR="003D640C">
        <w:rPr>
          <w:rFonts w:ascii="Calibri" w:eastAsia="Calibri" w:hAnsi="Calibri" w:cs="Calibri"/>
        </w:rPr>
        <w:t xml:space="preserve"> </w:t>
      </w:r>
      <w:r w:rsidRPr="00BB6220">
        <w:rPr>
          <w:rFonts w:ascii="Calibri" w:eastAsia="Calibri" w:hAnsi="Calibri" w:cs="Calibri"/>
        </w:rPr>
        <w:t>and</w:t>
      </w:r>
      <w:r w:rsidR="003D640C">
        <w:rPr>
          <w:rFonts w:ascii="Calibri" w:eastAsia="Calibri" w:hAnsi="Calibri" w:cs="Calibri"/>
        </w:rPr>
        <w:t xml:space="preserve"> </w:t>
      </w:r>
      <w:r w:rsidRPr="00BB6220">
        <w:rPr>
          <w:rFonts w:ascii="Calibri" w:eastAsia="Calibri" w:hAnsi="Calibri" w:cs="Calibri"/>
        </w:rPr>
        <w:t>celebrate</w:t>
      </w:r>
      <w:r w:rsidR="003D640C">
        <w:rPr>
          <w:rFonts w:ascii="Calibri" w:eastAsia="Calibri" w:hAnsi="Calibri" w:cs="Calibri"/>
        </w:rPr>
        <w:t xml:space="preserve"> </w:t>
      </w:r>
      <w:r w:rsidRPr="00BB6220">
        <w:rPr>
          <w:rFonts w:ascii="Calibri" w:eastAsia="Calibri" w:hAnsi="Calibri" w:cs="Calibri"/>
        </w:rPr>
        <w:t>the</w:t>
      </w:r>
      <w:r w:rsidR="003D640C">
        <w:rPr>
          <w:rFonts w:ascii="Calibri" w:eastAsia="Calibri" w:hAnsi="Calibri" w:cs="Calibri"/>
        </w:rPr>
        <w:t xml:space="preserve"> </w:t>
      </w:r>
      <w:r w:rsidRPr="00BB6220">
        <w:rPr>
          <w:rFonts w:ascii="Calibri" w:eastAsia="Calibri" w:hAnsi="Calibri" w:cs="Calibri"/>
        </w:rPr>
        <w:t>rich</w:t>
      </w:r>
      <w:r w:rsidR="003D640C">
        <w:rPr>
          <w:rFonts w:ascii="Calibri" w:eastAsia="Calibri" w:hAnsi="Calibri" w:cs="Calibri"/>
        </w:rPr>
        <w:t xml:space="preserve"> </w:t>
      </w:r>
      <w:r w:rsidRPr="00BB6220">
        <w:rPr>
          <w:rFonts w:ascii="Calibri" w:eastAsia="Calibri" w:hAnsi="Calibri" w:cs="Calibri"/>
        </w:rPr>
        <w:t>diversity</w:t>
      </w:r>
      <w:r w:rsidR="003D640C">
        <w:rPr>
          <w:rFonts w:ascii="Calibri" w:eastAsia="Calibri" w:hAnsi="Calibri" w:cs="Calibri"/>
        </w:rPr>
        <w:t xml:space="preserve"> </w:t>
      </w:r>
      <w:r w:rsidRPr="00BB6220">
        <w:rPr>
          <w:rFonts w:ascii="Calibri" w:eastAsia="Calibri" w:hAnsi="Calibri" w:cs="Calibri"/>
        </w:rPr>
        <w:t>and</w:t>
      </w:r>
      <w:r w:rsidR="003D640C">
        <w:rPr>
          <w:rFonts w:ascii="Calibri" w:eastAsia="Calibri" w:hAnsi="Calibri" w:cs="Calibri"/>
        </w:rPr>
        <w:t xml:space="preserve"> </w:t>
      </w:r>
      <w:r w:rsidRPr="00BB6220">
        <w:rPr>
          <w:rFonts w:ascii="Calibri" w:eastAsia="Calibri" w:hAnsi="Calibri" w:cs="Calibri"/>
        </w:rPr>
        <w:t>cultural</w:t>
      </w:r>
      <w:r w:rsidR="003D640C">
        <w:rPr>
          <w:rFonts w:ascii="Calibri" w:eastAsia="Calibri" w:hAnsi="Calibri" w:cs="Calibri"/>
        </w:rPr>
        <w:t xml:space="preserve"> </w:t>
      </w:r>
      <w:r w:rsidRPr="00BB6220">
        <w:rPr>
          <w:rFonts w:ascii="Calibri" w:eastAsia="Calibri" w:hAnsi="Calibri" w:cs="Calibri"/>
        </w:rPr>
        <w:t>heritage</w:t>
      </w:r>
      <w:r w:rsidR="003D640C">
        <w:rPr>
          <w:rFonts w:ascii="Calibri" w:eastAsia="Calibri" w:hAnsi="Calibri" w:cs="Calibri"/>
        </w:rPr>
        <w:t xml:space="preserve"> </w:t>
      </w:r>
      <w:r w:rsidRPr="00BB6220">
        <w:rPr>
          <w:rFonts w:ascii="Calibri" w:eastAsia="Calibri" w:hAnsi="Calibri" w:cs="Calibri"/>
        </w:rPr>
        <w:t>that</w:t>
      </w:r>
      <w:r w:rsidR="003D640C">
        <w:rPr>
          <w:rFonts w:ascii="Calibri" w:eastAsia="Calibri" w:hAnsi="Calibri" w:cs="Calibri"/>
        </w:rPr>
        <w:t xml:space="preserve"> </w:t>
      </w:r>
      <w:r w:rsidRPr="00BB6220">
        <w:rPr>
          <w:rFonts w:ascii="Calibri" w:eastAsia="Calibri" w:hAnsi="Calibri" w:cs="Calibri"/>
        </w:rPr>
        <w:t>had</w:t>
      </w:r>
      <w:r w:rsidR="003D640C">
        <w:rPr>
          <w:rFonts w:ascii="Calibri" w:eastAsia="Calibri" w:hAnsi="Calibri" w:cs="Calibri"/>
        </w:rPr>
        <w:t xml:space="preserve"> </w:t>
      </w:r>
      <w:r w:rsidRPr="00BB6220">
        <w:rPr>
          <w:rFonts w:ascii="Calibri" w:eastAsia="Calibri" w:hAnsi="Calibri" w:cs="Calibri"/>
        </w:rPr>
        <w:t>been</w:t>
      </w:r>
      <w:r w:rsidR="003D640C">
        <w:rPr>
          <w:rFonts w:ascii="Calibri" w:eastAsia="Calibri" w:hAnsi="Calibri" w:cs="Calibri"/>
        </w:rPr>
        <w:t xml:space="preserve"> </w:t>
      </w:r>
      <w:r w:rsidRPr="00BB6220">
        <w:rPr>
          <w:rFonts w:ascii="Calibri" w:eastAsia="Calibri" w:hAnsi="Calibri" w:cs="Calibri"/>
        </w:rPr>
        <w:t>suppressed</w:t>
      </w:r>
      <w:r w:rsidR="003D640C">
        <w:rPr>
          <w:rFonts w:ascii="Calibri" w:eastAsia="Calibri" w:hAnsi="Calibri" w:cs="Calibri"/>
        </w:rPr>
        <w:t xml:space="preserve"> </w:t>
      </w:r>
      <w:r w:rsidRPr="00BB6220">
        <w:rPr>
          <w:rFonts w:ascii="Calibri" w:eastAsia="Calibri" w:hAnsi="Calibri" w:cs="Calibri"/>
        </w:rPr>
        <w:t>or</w:t>
      </w:r>
      <w:r w:rsidR="003D640C">
        <w:rPr>
          <w:rFonts w:ascii="Calibri" w:eastAsia="Calibri" w:hAnsi="Calibri" w:cs="Calibri"/>
        </w:rPr>
        <w:t xml:space="preserve"> </w:t>
      </w:r>
      <w:r w:rsidRPr="00BB6220">
        <w:rPr>
          <w:rFonts w:ascii="Calibri" w:eastAsia="Calibri" w:hAnsi="Calibri" w:cs="Calibri"/>
        </w:rPr>
        <w:t>forgotten</w:t>
      </w:r>
      <w:r w:rsidR="003D640C">
        <w:rPr>
          <w:rFonts w:ascii="Calibri" w:eastAsia="Calibri" w:hAnsi="Calibri" w:cs="Calibri"/>
        </w:rPr>
        <w:t xml:space="preserve"> </w:t>
      </w:r>
      <w:r w:rsidRPr="00BB6220">
        <w:rPr>
          <w:rFonts w:ascii="Calibri" w:eastAsia="Calibri" w:hAnsi="Calibri" w:cs="Calibri"/>
        </w:rPr>
        <w:t>as</w:t>
      </w:r>
      <w:r w:rsidR="003D640C">
        <w:rPr>
          <w:rFonts w:ascii="Calibri" w:eastAsia="Calibri" w:hAnsi="Calibri" w:cs="Calibri"/>
        </w:rPr>
        <w:t xml:space="preserve"> </w:t>
      </w:r>
      <w:r w:rsidRPr="00BB6220">
        <w:rPr>
          <w:rFonts w:ascii="Calibri" w:eastAsia="Calibri" w:hAnsi="Calibri" w:cs="Calibri"/>
        </w:rPr>
        <w:t>a</w:t>
      </w:r>
      <w:r w:rsidR="003D640C">
        <w:rPr>
          <w:rFonts w:ascii="Calibri" w:eastAsia="Calibri" w:hAnsi="Calibri" w:cs="Calibri"/>
        </w:rPr>
        <w:t xml:space="preserve"> </w:t>
      </w:r>
      <w:r w:rsidRPr="00BB6220">
        <w:rPr>
          <w:rFonts w:ascii="Calibri" w:eastAsia="Calibri" w:hAnsi="Calibri" w:cs="Calibri"/>
        </w:rPr>
        <w:t>result</w:t>
      </w:r>
      <w:r w:rsidR="003D640C">
        <w:rPr>
          <w:rFonts w:ascii="Calibri" w:eastAsia="Calibri" w:hAnsi="Calibri" w:cs="Calibri"/>
        </w:rPr>
        <w:t xml:space="preserve"> </w:t>
      </w:r>
      <w:r w:rsidRPr="00BB6220">
        <w:rPr>
          <w:rFonts w:ascii="Calibri" w:eastAsia="Calibri" w:hAnsi="Calibri" w:cs="Calibri"/>
        </w:rPr>
        <w:t>of</w:t>
      </w:r>
      <w:r w:rsidR="003D640C">
        <w:rPr>
          <w:rFonts w:ascii="Calibri" w:eastAsia="Calibri" w:hAnsi="Calibri" w:cs="Calibri"/>
        </w:rPr>
        <w:t xml:space="preserve"> </w:t>
      </w:r>
      <w:r w:rsidRPr="00BB6220">
        <w:rPr>
          <w:rFonts w:ascii="Calibri" w:eastAsia="Calibri" w:hAnsi="Calibri" w:cs="Calibri"/>
        </w:rPr>
        <w:t>colonisation.</w:t>
      </w:r>
      <w:r w:rsidR="00CE17CA">
        <w:rPr>
          <w:rStyle w:val="FootnoteReference"/>
          <w:rFonts w:ascii="Calibri" w:eastAsia="Calibri" w:hAnsi="Calibri" w:cs="Calibri"/>
        </w:rPr>
        <w:footnoteReference w:id="26"/>
      </w:r>
    </w:p>
    <w:p w14:paraId="07C94A48" w14:textId="5C23FC26" w:rsidR="00BB3F27" w:rsidRPr="00911DFD" w:rsidRDefault="00BB3F27" w:rsidP="0078026B">
      <w:pPr>
        <w:pStyle w:val="Heading2"/>
        <w:rPr>
          <w:shd w:val="clear" w:color="auto" w:fill="FFFFFF"/>
        </w:rPr>
      </w:pPr>
      <w:bookmarkStart w:id="44" w:name="_Toc167780573"/>
      <w:bookmarkStart w:id="45" w:name="_Toc1890605062"/>
      <w:bookmarkStart w:id="46" w:name="_Toc174628631"/>
      <w:r>
        <w:rPr>
          <w:shd w:val="clear" w:color="auto" w:fill="FFFFFF"/>
        </w:rPr>
        <w:t>The</w:t>
      </w:r>
      <w:r w:rsidR="003D640C">
        <w:rPr>
          <w:shd w:val="clear" w:color="auto" w:fill="FFFFFF"/>
        </w:rPr>
        <w:t xml:space="preserve"> </w:t>
      </w:r>
      <w:r>
        <w:rPr>
          <w:shd w:val="clear" w:color="auto" w:fill="FFFFFF"/>
        </w:rPr>
        <w:t>CPPLA</w:t>
      </w:r>
      <w:r w:rsidR="003D640C">
        <w:rPr>
          <w:shd w:val="clear" w:color="auto" w:fill="FFFFFF"/>
        </w:rPr>
        <w:t xml:space="preserve"> </w:t>
      </w:r>
      <w:r>
        <w:rPr>
          <w:shd w:val="clear" w:color="auto" w:fill="FFFFFF"/>
        </w:rPr>
        <w:t>is</w:t>
      </w:r>
      <w:r w:rsidR="003D640C">
        <w:rPr>
          <w:shd w:val="clear" w:color="auto" w:fill="FFFFFF"/>
        </w:rPr>
        <w:t xml:space="preserve"> </w:t>
      </w:r>
      <w:r>
        <w:rPr>
          <w:shd w:val="clear" w:color="auto" w:fill="FFFFFF"/>
        </w:rPr>
        <w:t>a</w:t>
      </w:r>
      <w:r w:rsidR="003D640C">
        <w:rPr>
          <w:shd w:val="clear" w:color="auto" w:fill="FFFFFF"/>
        </w:rPr>
        <w:t xml:space="preserve"> </w:t>
      </w:r>
      <w:r>
        <w:rPr>
          <w:shd w:val="clear" w:color="auto" w:fill="FFFFFF"/>
        </w:rPr>
        <w:t>direct</w:t>
      </w:r>
      <w:r w:rsidR="003D640C">
        <w:rPr>
          <w:shd w:val="clear" w:color="auto" w:fill="FFFFFF"/>
        </w:rPr>
        <w:t xml:space="preserve"> </w:t>
      </w:r>
      <w:r>
        <w:rPr>
          <w:shd w:val="clear" w:color="auto" w:fill="FFFFFF"/>
        </w:rPr>
        <w:t>result</w:t>
      </w:r>
      <w:r w:rsidR="003D640C">
        <w:rPr>
          <w:shd w:val="clear" w:color="auto" w:fill="FFFFFF"/>
        </w:rPr>
        <w:t xml:space="preserve"> </w:t>
      </w:r>
      <w:r>
        <w:rPr>
          <w:shd w:val="clear" w:color="auto" w:fill="FFFFFF"/>
        </w:rPr>
        <w:t>of</w:t>
      </w:r>
      <w:r w:rsidR="003D640C">
        <w:rPr>
          <w:shd w:val="clear" w:color="auto" w:fill="FFFFFF"/>
        </w:rPr>
        <w:t xml:space="preserve"> </w:t>
      </w:r>
      <w:r>
        <w:rPr>
          <w:shd w:val="clear" w:color="auto" w:fill="FFFFFF"/>
        </w:rPr>
        <w:t>advocacy</w:t>
      </w:r>
      <w:r w:rsidR="003D640C">
        <w:rPr>
          <w:shd w:val="clear" w:color="auto" w:fill="FFFFFF"/>
        </w:rPr>
        <w:t xml:space="preserve"> </w:t>
      </w:r>
      <w:r>
        <w:rPr>
          <w:shd w:val="clear" w:color="auto" w:fill="FFFFFF"/>
        </w:rPr>
        <w:t>by</w:t>
      </w:r>
      <w:r w:rsidR="003D640C">
        <w:rPr>
          <w:shd w:val="clear" w:color="auto" w:fill="FFFFFF"/>
        </w:rPr>
        <w:t xml:space="preserve"> </w:t>
      </w:r>
      <w:r>
        <w:rPr>
          <w:shd w:val="clear" w:color="auto" w:fill="FFFFFF"/>
        </w:rPr>
        <w:t>Rainbow</w:t>
      </w:r>
      <w:r w:rsidR="003D640C">
        <w:rPr>
          <w:shd w:val="clear" w:color="auto" w:fill="FFFFFF"/>
        </w:rPr>
        <w:t xml:space="preserve"> </w:t>
      </w:r>
      <w:r>
        <w:rPr>
          <w:shd w:val="clear" w:color="auto" w:fill="FFFFFF"/>
        </w:rPr>
        <w:t>people</w:t>
      </w:r>
      <w:bookmarkEnd w:id="44"/>
      <w:bookmarkEnd w:id="45"/>
      <w:bookmarkEnd w:id="46"/>
    </w:p>
    <w:p w14:paraId="5033525E" w14:textId="342AF01D" w:rsidR="00BB3F27" w:rsidRDefault="00BB3F27" w:rsidP="0078026B">
      <w:pPr>
        <w:rPr>
          <w:rFonts w:ascii="Calibri" w:eastAsia="Times New Roman" w:hAnsi="Calibri" w:cs="Calibri"/>
          <w:shd w:val="clear" w:color="auto" w:fill="FFFFFF"/>
          <w:lang w:eastAsia="en-NZ"/>
        </w:rPr>
      </w:pPr>
      <w:r w:rsidRPr="00BB6220">
        <w:rPr>
          <w:rFonts w:ascii="Calibri" w:eastAsia="Times New Roman" w:hAnsi="Calibri" w:cs="Calibri"/>
          <w:shd w:val="clear" w:color="auto" w:fill="FFFFFF"/>
          <w:lang w:eastAsia="en-NZ"/>
        </w:rPr>
        <w:t>Th</w:t>
      </w:r>
      <w:r>
        <w:rPr>
          <w:rFonts w:ascii="Calibri" w:eastAsia="Times New Roman" w:hAnsi="Calibri" w:cs="Calibri"/>
          <w:shd w:val="clear" w:color="auto" w:fill="FFFFFF"/>
          <w:lang w:eastAsia="en-NZ"/>
        </w:rPr>
        <w:t>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CPPLA</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came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about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after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years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advocacy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Rainbow</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communities</w:t>
      </w:r>
      <w:r w:rsidRPr="00BB6220">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early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2018</w:t>
      </w:r>
      <w:r w:rsidRPr="00BB6220">
        <w:rPr>
          <w:rFonts w:ascii="Calibri" w:eastAsia="Times New Roman" w:hAnsi="Calibri" w:cs="Calibri"/>
          <w:lang w:eastAsia="en-NZ"/>
        </w:rPr>
        <w: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Amanda</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Ashley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Rodney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Area</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Rainbow</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LGBTQ+</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Group</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started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ban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called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Prime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Minister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Jacinda</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Ardern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ban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practices</w:t>
      </w:r>
      <w:r w:rsidRPr="00901DF2">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number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signatures</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grew,</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Member</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Parliament</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Marja</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Lubeck</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reached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out</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offer</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support.</w:t>
      </w:r>
      <w:r w:rsidRPr="00B1465F">
        <w:rPr>
          <w:rStyle w:val="FootnoteReference"/>
          <w:rFonts w:ascii="Calibri" w:eastAsia="Times New Roman" w:hAnsi="Calibri" w:cs="Calibri"/>
          <w:shd w:val="clear" w:color="auto" w:fill="FFFFFF"/>
          <w:lang w:eastAsia="en-NZ"/>
        </w:rPr>
        <w:footnoteReference w:id="27"/>
      </w:r>
      <w:r w:rsidR="003D640C">
        <w:rPr>
          <w:rFonts w:ascii="Calibri" w:eastAsia="Times New Roman" w:hAnsi="Calibri" w:cs="Calibri"/>
          <w:shd w:val="clear" w:color="auto" w:fill="FFFFFF"/>
          <w:lang w:eastAsia="en-NZ"/>
        </w:rPr>
        <w:t xml:space="preserve"> </w:t>
      </w:r>
    </w:p>
    <w:p w14:paraId="5BEBD26A" w14:textId="2EA51EE3" w:rsidR="00BB3F27" w:rsidRPr="00BB6220" w:rsidRDefault="00BB3F27" w:rsidP="0078026B">
      <w:pPr>
        <w:rPr>
          <w:rFonts w:ascii="Calibri" w:eastAsia="Times New Roman" w:hAnsi="Calibri" w:cs="Calibri"/>
          <w:shd w:val="clear" w:color="auto" w:fill="FFFFFF"/>
          <w:lang w:eastAsia="en-NZ"/>
        </w:rPr>
      </w:pPr>
      <w:r>
        <w:rPr>
          <w:rFonts w:ascii="Calibri" w:eastAsia="Times New Roman" w:hAnsi="Calibri" w:cs="Calibri"/>
          <w:shd w:val="clear" w:color="auto" w:fill="FFFFFF"/>
          <w:lang w:eastAsia="en-NZ"/>
        </w:rPr>
        <w:t>Despite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collecting</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5157</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signatures,</w:t>
      </w:r>
      <w:r w:rsidR="003D640C">
        <w:rPr>
          <w:rFonts w:ascii="Calibri" w:eastAsia="Times New Roman" w:hAnsi="Calibri" w:cs="Calibri"/>
          <w:shd w:val="clear" w:color="auto" w:fill="FFFFFF"/>
          <w:lang w:eastAsia="en-NZ"/>
        </w:rPr>
        <w:t xml:space="preserve"> </w:t>
      </w:r>
      <w:r w:rsidR="006D698D">
        <w:rPr>
          <w:rFonts w:ascii="Calibri" w:eastAsia="Times New Roman" w:hAnsi="Calibri" w:cs="Calibri"/>
          <w:shd w:val="clear" w:color="auto" w:fill="FFFFFF"/>
          <w:lang w:eastAsia="en-NZ"/>
        </w:rPr>
        <w:t xml:space="preserve">it had relatively less sway than a </w:t>
      </w:r>
      <w:r w:rsidR="005D3EA1">
        <w:rPr>
          <w:rFonts w:ascii="Calibri" w:eastAsia="Times New Roman" w:hAnsi="Calibri" w:cs="Calibri"/>
          <w:shd w:val="clear" w:color="auto" w:fill="FFFFFF"/>
          <w:lang w:eastAsia="en-NZ"/>
        </w:rPr>
        <w:t>P</w:t>
      </w:r>
      <w:r w:rsidR="006D698D">
        <w:rPr>
          <w:rFonts w:ascii="Calibri" w:eastAsia="Times New Roman" w:hAnsi="Calibri" w:cs="Calibri"/>
          <w:shd w:val="clear" w:color="auto" w:fill="FFFFFF"/>
          <w:lang w:eastAsia="en-NZ"/>
        </w:rPr>
        <w:t>arliamentary petition</w:t>
      </w:r>
      <w:r w:rsidR="006D698D" w:rsidRPr="007C0E5E">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because</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it</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was</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not</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created</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using</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official</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Parliamentary</w:t>
      </w:r>
      <w:r w:rsidR="003D640C">
        <w:rPr>
          <w:rFonts w:ascii="Calibri" w:eastAsia="Times New Roman" w:hAnsi="Calibri" w:cs="Calibri"/>
          <w:shd w:val="clear" w:color="auto" w:fill="FFFFFF"/>
          <w:lang w:eastAsia="en-NZ"/>
        </w:rPr>
        <w:t xml:space="preserve"> </w:t>
      </w:r>
      <w:r w:rsidR="007C0E5E" w:rsidRPr="007C0E5E">
        <w:rPr>
          <w:rFonts w:ascii="Calibri" w:eastAsia="Times New Roman" w:hAnsi="Calibri" w:cs="Calibri"/>
          <w:shd w:val="clear" w:color="auto" w:fill="FFFFFF"/>
          <w:lang w:eastAsia="en-NZ"/>
        </w:rPr>
        <w:t>process</w:t>
      </w:r>
      <w:r w:rsidR="00117726">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Parliamentary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was</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then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started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lastRenderedPageBreak/>
        <w:t>by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Young</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Labour</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Young</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Greens</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signed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by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15,448</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people.</w:t>
      </w:r>
      <w:r w:rsidRPr="00B1465F">
        <w:rPr>
          <w:rStyle w:val="FootnoteReference"/>
          <w:rFonts w:ascii="Calibri" w:eastAsia="Times New Roman" w:hAnsi="Calibri" w:cs="Calibri"/>
          <w:shd w:val="clear" w:color="auto" w:fill="FFFFFF"/>
          <w:lang w:eastAsia="en-NZ"/>
        </w:rPr>
        <w:footnoteReference w:id="28"/>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Lubeck</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agreed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receive</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both</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petitions</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August</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2018</w:t>
      </w:r>
      <w:r w:rsidR="005D3EA1">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were</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then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considered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by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Justice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Select</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Committee.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Lubeck</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others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worked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development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00455E0E">
        <w:rPr>
          <w:rFonts w:ascii="Calibri" w:eastAsia="Times New Roman" w:hAnsi="Calibri" w:cs="Calibri"/>
          <w:shd w:val="clear" w:color="auto" w:fill="FFFFFF"/>
          <w:lang w:eastAsia="en-NZ"/>
        </w:rPr>
        <w:t>M</w:t>
      </w:r>
      <w:r w:rsidRPr="00BB6220">
        <w:rPr>
          <w:rFonts w:ascii="Calibri" w:eastAsia="Times New Roman" w:hAnsi="Calibri" w:cs="Calibri"/>
          <w:shd w:val="clear" w:color="auto" w:fill="FFFFFF"/>
          <w:lang w:eastAsia="en-NZ"/>
        </w:rPr>
        <w:t>ember’s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bill</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her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name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ban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w:t>
      </w:r>
      <w:r w:rsidRPr="00BB6220">
        <w:rPr>
          <w:rFonts w:ascii="Calibri" w:eastAsia="Times New Roman" w:hAnsi="Calibri" w:cs="Calibri"/>
          <w:shd w:val="clear" w:color="auto" w:fill="FFFFFF"/>
          <w:lang w:eastAsia="en-NZ"/>
        </w:rPr>
        <w:t>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June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2019,</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Justice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Select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Committee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heard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from</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Max</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Tweedie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Teri</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O’Neill</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was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formally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presented.</w:t>
      </w:r>
    </w:p>
    <w:p w14:paraId="6FFD8816" w14:textId="6FB0CD06" w:rsidR="00501068" w:rsidRDefault="00BB3F27" w:rsidP="0078026B">
      <w:pPr>
        <w:rPr>
          <w:rFonts w:ascii="Calibri" w:eastAsia="Times New Roman" w:hAnsi="Calibri" w:cs="Calibri"/>
          <w:shd w:val="clear" w:color="auto" w:fill="FFFFFF"/>
          <w:lang w:eastAsia="en-NZ"/>
        </w:rPr>
      </w:pP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Therapy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Action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Group,</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co-</w:t>
      </w:r>
      <w:r w:rsidRPr="00901DF2">
        <w:rPr>
          <w:rFonts w:ascii="Calibri" w:eastAsia="Times New Roman" w:hAnsi="Calibri" w:cs="Calibri"/>
          <w:shd w:val="clear" w:color="auto" w:fill="FFFFFF"/>
          <w:lang w:eastAsia="en-NZ"/>
        </w:rPr>
        <w:t>founded</w:t>
      </w:r>
      <w:r w:rsidR="003D640C">
        <w:rPr>
          <w:rFonts w:ascii="Calibri" w:eastAsia="Times New Roman" w:hAnsi="Calibri" w:cs="Calibri"/>
          <w:shd w:val="clear" w:color="auto" w:fill="FFFFFF"/>
          <w:lang w:eastAsia="en-NZ"/>
        </w:rPr>
        <w:t xml:space="preserve"> </w:t>
      </w:r>
      <w:r w:rsidRPr="00901DF2">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Pr="00901DF2">
        <w:rPr>
          <w:rFonts w:ascii="Calibri" w:eastAsia="Times New Roman" w:hAnsi="Calibri" w:cs="Calibri"/>
          <w:shd w:val="clear" w:color="auto" w:fill="FFFFFF"/>
          <w:lang w:eastAsia="en-NZ"/>
        </w:rPr>
        <w:t>late</w:t>
      </w:r>
      <w:r w:rsidR="003D640C">
        <w:rPr>
          <w:rFonts w:ascii="Calibri" w:eastAsia="Times New Roman" w:hAnsi="Calibri" w:cs="Calibri"/>
          <w:shd w:val="clear" w:color="auto" w:fill="FFFFFF"/>
          <w:lang w:eastAsia="en-NZ"/>
        </w:rPr>
        <w:t xml:space="preserve"> </w:t>
      </w:r>
      <w:r w:rsidRPr="00901DF2">
        <w:rPr>
          <w:rFonts w:ascii="Calibri" w:eastAsia="Times New Roman" w:hAnsi="Calibri" w:cs="Calibri"/>
          <w:shd w:val="clear" w:color="auto" w:fill="FFFFFF"/>
          <w:lang w:eastAsia="en-NZ"/>
        </w:rPr>
        <w:t>2018</w:t>
      </w:r>
      <w:r w:rsidR="003D640C">
        <w:rPr>
          <w:rFonts w:ascii="Calibri" w:eastAsia="Times New Roman" w:hAnsi="Calibri" w:cs="Calibri"/>
          <w:shd w:val="clear" w:color="auto" w:fill="FFFFFF"/>
          <w:lang w:eastAsia="en-NZ"/>
        </w:rPr>
        <w:t xml:space="preserve"> </w:t>
      </w:r>
      <w:r w:rsidRPr="00901DF2">
        <w:rPr>
          <w:rFonts w:ascii="Calibri" w:eastAsia="Times New Roman" w:hAnsi="Calibri" w:cs="Calibri"/>
          <w:shd w:val="clear" w:color="auto" w:fill="FFFFFF"/>
          <w:lang w:eastAsia="en-NZ"/>
        </w:rPr>
        <w:t>by</w:t>
      </w:r>
      <w:r w:rsidR="003D640C">
        <w:rPr>
          <w:rFonts w:ascii="Calibri" w:eastAsia="Times New Roman" w:hAnsi="Calibri" w:cs="Calibri"/>
          <w:shd w:val="clear" w:color="auto" w:fill="FFFFFF"/>
          <w:lang w:eastAsia="en-NZ"/>
        </w:rPr>
        <w:t xml:space="preserve"> </w:t>
      </w:r>
      <w:r w:rsidR="00873794" w:rsidRPr="00B1465F">
        <w:rPr>
          <w:rFonts w:ascii="Calibri" w:eastAsia="Times New Roman" w:hAnsi="Calibri" w:cs="Calibri"/>
          <w:shd w:val="clear" w:color="auto" w:fill="FFFFFF"/>
          <w:lang w:eastAsia="en-NZ"/>
        </w:rPr>
        <w:t>Shaneel</w:t>
      </w:r>
      <w:r w:rsidR="00873794">
        <w:rPr>
          <w:rFonts w:ascii="Calibri" w:eastAsia="Times New Roman" w:hAnsi="Calibri" w:cs="Calibri"/>
          <w:shd w:val="clear" w:color="auto" w:fill="FFFFFF"/>
          <w:lang w:eastAsia="en-NZ"/>
        </w:rPr>
        <w:t xml:space="preserve"> </w:t>
      </w:r>
      <w:r w:rsidR="00873794" w:rsidRPr="00B1465F">
        <w:rPr>
          <w:rFonts w:ascii="Calibri" w:eastAsia="Times New Roman" w:hAnsi="Calibri" w:cs="Calibri"/>
          <w:shd w:val="clear" w:color="auto" w:fill="FFFFFF"/>
          <w:lang w:eastAsia="en-NZ"/>
        </w:rPr>
        <w:t>Lal</w:t>
      </w:r>
      <w:r w:rsidR="00873794">
        <w:rPr>
          <w:rFonts w:ascii="Calibri" w:eastAsia="Times New Roman" w:hAnsi="Calibri" w:cs="Calibri"/>
          <w:shd w:val="clear" w:color="auto" w:fill="FFFFFF"/>
          <w:lang w:eastAsia="en-NZ"/>
        </w:rPr>
        <w:t>,</w:t>
      </w:r>
      <w:r w:rsidR="00873794" w:rsidRPr="00B1465F">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Shannon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Novak,</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Harry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Robson,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Max</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Tweedie,</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00873794" w:rsidRPr="00B1465F">
        <w:rPr>
          <w:rFonts w:ascii="Calibri" w:eastAsia="Times New Roman" w:hAnsi="Calibri" w:cs="Calibri"/>
          <w:shd w:val="clear" w:color="auto" w:fill="FFFFFF"/>
          <w:lang w:eastAsia="en-NZ"/>
        </w:rPr>
        <w:t>Neihana</w:t>
      </w:r>
      <w:r w:rsidR="00873794">
        <w:rPr>
          <w:rFonts w:ascii="Calibri" w:eastAsia="Times New Roman" w:hAnsi="Calibri" w:cs="Calibri"/>
          <w:shd w:val="clear" w:color="auto" w:fill="FFFFFF"/>
          <w:lang w:eastAsia="en-NZ"/>
        </w:rPr>
        <w:t xml:space="preserve"> </w:t>
      </w:r>
      <w:r w:rsidR="00873794" w:rsidRPr="00B1465F">
        <w:rPr>
          <w:rFonts w:ascii="Calibri" w:eastAsia="Times New Roman" w:hAnsi="Calibri" w:cs="Calibri"/>
          <w:shd w:val="clear" w:color="auto" w:fill="FFFFFF"/>
          <w:lang w:eastAsia="en-NZ"/>
        </w:rPr>
        <w:t>Waitai,</w:t>
      </w:r>
      <w:r w:rsidR="00873794">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raised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national</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awareness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about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issues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around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need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ban.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work</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others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did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led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Labour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Party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adopting</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ban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policy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late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2020</w:t>
      </w:r>
      <w:r>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p>
    <w:p w14:paraId="6BDCF538" w14:textId="541F3912" w:rsidR="00501068" w:rsidRDefault="00BB3F27" w:rsidP="0078026B">
      <w:pPr>
        <w:rPr>
          <w:rFonts w:ascii="Segoe UI" w:eastAsia="Times New Roman" w:hAnsi="Segoe UI" w:cs="Segoe UI"/>
          <w:lang w:eastAsia="en-NZ"/>
        </w:rPr>
      </w:pPr>
      <w:r>
        <w:rPr>
          <w:rFonts w:ascii="Calibri" w:eastAsia="Times New Roman" w:hAnsi="Calibri" w:cs="Calibri"/>
          <w:shd w:val="clear" w:color="auto" w:fill="FFFFFF"/>
          <w:lang w:eastAsia="en-NZ"/>
        </w:rPr>
        <w:t>Despite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this,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progress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appeared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have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stalled.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February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2021,</w:t>
      </w:r>
      <w:r w:rsidR="003D640C">
        <w:rPr>
          <w:rFonts w:ascii="Calibri" w:eastAsia="Times New Roman" w:hAnsi="Calibri" w:cs="Calibri"/>
          <w:shd w:val="clear" w:color="auto" w:fill="FFFFFF"/>
          <w:lang w:eastAsia="en-NZ"/>
        </w:rPr>
        <w:t xml:space="preserve"> </w:t>
      </w:r>
      <w:r w:rsidR="002B5A91">
        <w:rPr>
          <w:rFonts w:ascii="Calibri" w:eastAsia="Times New Roman" w:hAnsi="Calibri" w:cs="Calibri"/>
          <w:shd w:val="clear" w:color="auto" w:fill="FFFFFF"/>
          <w:lang w:eastAsia="en-NZ"/>
        </w:rPr>
        <w:t>Dr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Elizabeth</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Kerekere,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Green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Party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MP</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time,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presented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further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Parliament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accelerate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progress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ban.</w:t>
      </w:r>
      <w:r>
        <w:rPr>
          <w:rStyle w:val="FootnoteReference"/>
          <w:rFonts w:ascii="Calibri" w:eastAsia="Times New Roman" w:hAnsi="Calibri" w:cs="Calibri"/>
          <w:shd w:val="clear" w:color="auto" w:fill="FFFFFF"/>
          <w:lang w:eastAsia="en-NZ"/>
        </w:rPr>
        <w:footnoteReference w:id="29"/>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Her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collected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157,764</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signatures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one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week</w:t>
      </w:r>
      <w:r w:rsidR="00455E0E">
        <w:rPr>
          <w:rFonts w:ascii="Calibri" w:eastAsia="Times New Roman" w:hAnsi="Calibri" w:cs="Calibri"/>
          <w:shd w:val="clear" w:color="auto" w:fill="FFFFFF"/>
          <w:lang w:eastAsia="en-NZ"/>
        </w:rPr>
        <w:t xml:space="preserve"> –</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largest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validated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petition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history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Aotearoa.</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Shortly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after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this,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Prohibition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Legislation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Bill</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Bill)</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introduced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in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July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2021.</w:t>
      </w:r>
    </w:p>
    <w:p w14:paraId="3AE30031" w14:textId="2B6D4702" w:rsidR="00501068" w:rsidRDefault="00BB3F27" w:rsidP="0078026B">
      <w:pPr>
        <w:rPr>
          <w:rFonts w:ascii="Calibri" w:eastAsia="Times New Roman" w:hAnsi="Calibri" w:cs="Calibri"/>
          <w:lang w:eastAsia="en-NZ"/>
        </w:rPr>
      </w:pP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Bill</w:t>
      </w:r>
      <w:r w:rsidR="003D640C">
        <w:rPr>
          <w:rFonts w:ascii="Calibri" w:eastAsia="Times New Roman" w:hAnsi="Calibri" w:cs="Calibri"/>
          <w:lang w:eastAsia="en-NZ"/>
        </w:rPr>
        <w:t xml:space="preserve"> </w:t>
      </w:r>
      <w:r w:rsidRPr="00BB6220">
        <w:rPr>
          <w:rFonts w:ascii="Calibri" w:eastAsia="Times New Roman" w:hAnsi="Calibri" w:cs="Calibri"/>
          <w:lang w:eastAsia="en-NZ"/>
        </w:rPr>
        <w:t>led</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polarised</w:t>
      </w:r>
      <w:r w:rsidR="003D640C">
        <w:rPr>
          <w:rFonts w:ascii="Calibri" w:eastAsia="Times New Roman" w:hAnsi="Calibri" w:cs="Calibri"/>
          <w:lang w:eastAsia="en-NZ"/>
        </w:rPr>
        <w:t xml:space="preserve"> </w:t>
      </w:r>
      <w:r w:rsidRPr="00BB6220">
        <w:rPr>
          <w:rFonts w:ascii="Calibri" w:eastAsia="Times New Roman" w:hAnsi="Calibri" w:cs="Calibri"/>
          <w:lang w:eastAsia="en-NZ"/>
        </w:rPr>
        <w:t>public</w:t>
      </w:r>
      <w:r w:rsidR="003D640C">
        <w:rPr>
          <w:rFonts w:ascii="Calibri" w:eastAsia="Times New Roman" w:hAnsi="Calibri" w:cs="Calibri"/>
          <w:lang w:eastAsia="en-NZ"/>
        </w:rPr>
        <w:t xml:space="preserve"> </w:t>
      </w:r>
      <w:r w:rsidRPr="00BB6220">
        <w:rPr>
          <w:rFonts w:ascii="Calibri" w:eastAsia="Times New Roman" w:hAnsi="Calibri" w:cs="Calibri"/>
          <w:lang w:eastAsia="en-NZ"/>
        </w:rPr>
        <w:t>debate.</w:t>
      </w:r>
      <w:r w:rsidR="003D640C">
        <w:rPr>
          <w:rFonts w:ascii="Calibri" w:eastAsia="Times New Roman" w:hAnsi="Calibri" w:cs="Calibri"/>
          <w:lang w:eastAsia="en-NZ"/>
        </w:rPr>
        <w:t xml:space="preserve"> </w:t>
      </w:r>
      <w:r w:rsidRPr="00BB6220">
        <w:rPr>
          <w:rFonts w:ascii="Calibri" w:eastAsia="Times New Roman" w:hAnsi="Calibri" w:cs="Calibri"/>
          <w:lang w:eastAsia="en-NZ"/>
        </w:rPr>
        <w:t>Nearly</w:t>
      </w:r>
      <w:r w:rsidR="003D640C">
        <w:rPr>
          <w:rFonts w:ascii="Calibri" w:eastAsia="Times New Roman" w:hAnsi="Calibri" w:cs="Calibri"/>
          <w:lang w:eastAsia="en-NZ"/>
        </w:rPr>
        <w:t xml:space="preserve"> </w:t>
      </w:r>
      <w:r w:rsidRPr="00BB6220">
        <w:rPr>
          <w:rFonts w:ascii="Calibri" w:eastAsia="Times New Roman" w:hAnsi="Calibri" w:cs="Calibri"/>
          <w:lang w:eastAsia="en-NZ"/>
        </w:rPr>
        <w:t>107,000</w:t>
      </w:r>
      <w:r w:rsidR="003D640C">
        <w:rPr>
          <w:rFonts w:ascii="Calibri" w:eastAsia="Times New Roman" w:hAnsi="Calibri" w:cs="Calibri"/>
          <w:lang w:eastAsia="en-NZ"/>
        </w:rPr>
        <w:t xml:space="preserve"> </w:t>
      </w:r>
      <w:r w:rsidRPr="00BB6220">
        <w:rPr>
          <w:rFonts w:ascii="Calibri" w:eastAsia="Times New Roman" w:hAnsi="Calibri" w:cs="Calibri"/>
          <w:lang w:eastAsia="en-NZ"/>
        </w:rPr>
        <w:t>written</w:t>
      </w:r>
      <w:r w:rsidR="003D640C">
        <w:rPr>
          <w:rFonts w:ascii="Calibri" w:eastAsia="Times New Roman" w:hAnsi="Calibri" w:cs="Calibri"/>
          <w:lang w:eastAsia="en-NZ"/>
        </w:rPr>
        <w:t xml:space="preserve"> </w:t>
      </w:r>
      <w:r w:rsidRPr="00BB6220">
        <w:rPr>
          <w:rFonts w:ascii="Calibri" w:eastAsia="Times New Roman" w:hAnsi="Calibri" w:cs="Calibri"/>
          <w:lang w:eastAsia="en-NZ"/>
        </w:rPr>
        <w:t>submissions</w:t>
      </w:r>
      <w:r w:rsidR="003D640C">
        <w:rPr>
          <w:rFonts w:ascii="Calibri" w:eastAsia="Times New Roman" w:hAnsi="Calibri" w:cs="Calibri"/>
          <w:lang w:eastAsia="en-NZ"/>
        </w:rPr>
        <w:t xml:space="preserve"> </w:t>
      </w:r>
      <w:r w:rsidRPr="00BB6220">
        <w:rPr>
          <w:rFonts w:ascii="Calibri" w:eastAsia="Times New Roman" w:hAnsi="Calibri" w:cs="Calibri"/>
          <w:lang w:eastAsia="en-NZ"/>
        </w:rPr>
        <w:t>were</w:t>
      </w:r>
      <w:r w:rsidR="003D640C">
        <w:rPr>
          <w:rFonts w:ascii="Calibri" w:eastAsia="Times New Roman" w:hAnsi="Calibri" w:cs="Calibri"/>
          <w:lang w:eastAsia="en-NZ"/>
        </w:rPr>
        <w:t xml:space="preserve"> </w:t>
      </w:r>
      <w:r w:rsidRPr="00BB6220">
        <w:rPr>
          <w:rFonts w:ascii="Calibri" w:eastAsia="Times New Roman" w:hAnsi="Calibri" w:cs="Calibri"/>
          <w:lang w:eastAsia="en-NZ"/>
        </w:rPr>
        <w:t>made</w:t>
      </w:r>
      <w:r w:rsidR="003D640C">
        <w:rPr>
          <w:rFonts w:ascii="Calibri" w:eastAsia="Times New Roman" w:hAnsi="Calibri" w:cs="Calibri"/>
          <w:lang w:eastAsia="en-NZ"/>
        </w:rPr>
        <w:t xml:space="preserve"> </w:t>
      </w:r>
      <w:r w:rsidRPr="00BB6220">
        <w:rPr>
          <w:rFonts w:ascii="Calibri" w:eastAsia="Times New Roman" w:hAnsi="Calibri" w:cs="Calibri"/>
          <w:lang w:eastAsia="en-NZ"/>
        </w:rPr>
        <w:t>during</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BB1A3B">
        <w:rPr>
          <w:rFonts w:ascii="Calibri" w:eastAsia="Times New Roman" w:hAnsi="Calibri" w:cs="Calibri"/>
          <w:lang w:eastAsia="en-NZ"/>
        </w:rPr>
        <w:t xml:space="preserve">Justice </w:t>
      </w:r>
      <w:r w:rsidRPr="00BB6220">
        <w:rPr>
          <w:rFonts w:ascii="Calibri" w:eastAsia="Times New Roman" w:hAnsi="Calibri" w:cs="Calibri"/>
          <w:lang w:eastAsia="en-NZ"/>
        </w:rPr>
        <w:t>Select</w:t>
      </w:r>
      <w:r w:rsidR="003D640C">
        <w:rPr>
          <w:rFonts w:ascii="Calibri" w:eastAsia="Times New Roman" w:hAnsi="Calibri" w:cs="Calibri"/>
          <w:lang w:eastAsia="en-NZ"/>
        </w:rPr>
        <w:t xml:space="preserve"> </w:t>
      </w:r>
      <w:r w:rsidRPr="00BB6220">
        <w:rPr>
          <w:rFonts w:ascii="Calibri" w:eastAsia="Times New Roman" w:hAnsi="Calibri" w:cs="Calibri"/>
          <w:lang w:eastAsia="en-NZ"/>
        </w:rPr>
        <w:t>Committee</w:t>
      </w:r>
      <w:r w:rsidR="003D640C">
        <w:rPr>
          <w:rFonts w:ascii="Calibri" w:eastAsia="Times New Roman" w:hAnsi="Calibri" w:cs="Calibri"/>
          <w:lang w:eastAsia="en-NZ"/>
        </w:rPr>
        <w:t xml:space="preserve"> </w:t>
      </w:r>
      <w:r w:rsidRPr="00BB6220">
        <w:rPr>
          <w:rFonts w:ascii="Calibri" w:eastAsia="Times New Roman" w:hAnsi="Calibri" w:cs="Calibri"/>
          <w:lang w:eastAsia="en-NZ"/>
        </w:rPr>
        <w:t>process</w:t>
      </w:r>
      <w:r>
        <w:rPr>
          <w:rFonts w:ascii="Calibri" w:eastAsia="Times New Roman" w:hAnsi="Calibri" w:cs="Calibri"/>
          <w:lang w:eastAsia="en-NZ"/>
        </w:rPr>
        <w:t>,</w:t>
      </w:r>
      <w:r w:rsidR="003D640C">
        <w:rPr>
          <w:rFonts w:ascii="Calibri" w:eastAsia="Times New Roman" w:hAnsi="Calibri" w:cs="Calibri"/>
          <w:lang w:eastAsia="en-NZ"/>
        </w:rPr>
        <w:t xml:space="preserve"> </w:t>
      </w:r>
      <w:r w:rsidRPr="00BB6220">
        <w:rPr>
          <w:rFonts w:ascii="Calibri" w:eastAsia="Times New Roman" w:hAnsi="Calibri" w:cs="Calibri"/>
          <w:lang w:eastAsia="en-NZ"/>
        </w:rPr>
        <w:t>more</w:t>
      </w:r>
      <w:r w:rsidR="003D640C">
        <w:rPr>
          <w:rFonts w:ascii="Calibri" w:eastAsia="Times New Roman" w:hAnsi="Calibri" w:cs="Calibri"/>
          <w:lang w:eastAsia="en-NZ"/>
        </w:rPr>
        <w:t xml:space="preserve"> </w:t>
      </w:r>
      <w:r w:rsidRPr="00BB6220">
        <w:rPr>
          <w:rFonts w:ascii="Calibri" w:eastAsia="Times New Roman" w:hAnsi="Calibri" w:cs="Calibri"/>
          <w:lang w:eastAsia="en-NZ"/>
        </w:rPr>
        <w:t>than</w:t>
      </w:r>
      <w:r w:rsidR="003D640C">
        <w:rPr>
          <w:rFonts w:ascii="Calibri" w:eastAsia="Times New Roman" w:hAnsi="Calibri" w:cs="Calibri"/>
          <w:lang w:eastAsia="en-NZ"/>
        </w:rPr>
        <w:t xml:space="preserve"> </w:t>
      </w:r>
      <w:r w:rsidR="001E6385">
        <w:rPr>
          <w:rFonts w:ascii="Calibri" w:eastAsia="Times New Roman" w:hAnsi="Calibri" w:cs="Calibri"/>
          <w:lang w:eastAsia="en-NZ"/>
        </w:rPr>
        <w:t xml:space="preserve">three times </w:t>
      </w:r>
      <w:r w:rsidRPr="00BB6220">
        <w:rPr>
          <w:rFonts w:ascii="Calibri" w:eastAsia="Times New Roman" w:hAnsi="Calibri" w:cs="Calibri"/>
          <w:lang w:eastAsia="en-NZ"/>
        </w:rPr>
        <w:t>any</w:t>
      </w:r>
      <w:r w:rsidR="003D640C">
        <w:rPr>
          <w:rFonts w:ascii="Calibri" w:eastAsia="Times New Roman" w:hAnsi="Calibri" w:cs="Calibri"/>
          <w:lang w:eastAsia="en-NZ"/>
        </w:rPr>
        <w:t xml:space="preserve"> </w:t>
      </w:r>
      <w:r w:rsidRPr="00BB6220">
        <w:rPr>
          <w:rFonts w:ascii="Calibri" w:eastAsia="Times New Roman" w:hAnsi="Calibri" w:cs="Calibri"/>
          <w:lang w:eastAsia="en-NZ"/>
        </w:rPr>
        <w:t>other</w:t>
      </w:r>
      <w:r w:rsidR="003D640C">
        <w:rPr>
          <w:rFonts w:ascii="Calibri" w:eastAsia="Times New Roman" w:hAnsi="Calibri" w:cs="Calibri"/>
          <w:lang w:eastAsia="en-NZ"/>
        </w:rPr>
        <w:t xml:space="preserve"> </w:t>
      </w:r>
      <w:r w:rsidRPr="00BB6220">
        <w:rPr>
          <w:rFonts w:ascii="Calibri" w:eastAsia="Times New Roman" w:hAnsi="Calibri" w:cs="Calibri"/>
          <w:lang w:eastAsia="en-NZ"/>
        </w:rPr>
        <w:t>Bill</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history</w:t>
      </w:r>
      <w:r w:rsidR="003D640C">
        <w:rPr>
          <w:rFonts w:ascii="Calibri" w:eastAsia="Times New Roman" w:hAnsi="Calibri" w:cs="Calibri"/>
          <w:lang w:eastAsia="en-NZ"/>
        </w:rPr>
        <w:t xml:space="preserve"> </w:t>
      </w:r>
      <w:r>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Aotearoa</w:t>
      </w:r>
      <w:r w:rsidRPr="00BB6220">
        <w:rPr>
          <w:rFonts w:ascii="Calibri" w:eastAsia="Times New Roman" w:hAnsi="Calibri" w:cs="Calibri"/>
          <w:lang w:eastAsia="en-NZ"/>
        </w:rPr>
        <w:t>.</w:t>
      </w:r>
      <w:r w:rsidR="00AD0547">
        <w:rPr>
          <w:rStyle w:val="FootnoteReference"/>
          <w:rFonts w:ascii="Calibri" w:eastAsia="Times New Roman" w:hAnsi="Calibri" w:cs="Calibri"/>
          <w:lang w:eastAsia="en-NZ"/>
        </w:rPr>
        <w:footnoteReference w:id="30"/>
      </w:r>
      <w:r w:rsidR="003D640C">
        <w:rPr>
          <w:rFonts w:ascii="Calibri" w:eastAsia="Times New Roman" w:hAnsi="Calibri" w:cs="Calibri"/>
          <w:lang w:eastAsia="en-NZ"/>
        </w:rPr>
        <w:t xml:space="preserve"> </w:t>
      </w:r>
      <w:r>
        <w:rPr>
          <w:rFonts w:ascii="Calibri" w:eastAsia="Times New Roman" w:hAnsi="Calibri" w:cs="Calibri"/>
          <w:lang w:eastAsia="en-NZ"/>
        </w:rPr>
        <w:t>In</w:t>
      </w:r>
      <w:r w:rsidR="003D640C">
        <w:rPr>
          <w:rFonts w:ascii="Calibri" w:eastAsia="Times New Roman" w:hAnsi="Calibri" w:cs="Calibri"/>
          <w:lang w:eastAsia="en-NZ"/>
        </w:rPr>
        <w:t xml:space="preserve"> </w:t>
      </w:r>
      <w:r>
        <w:rPr>
          <w:rFonts w:ascii="Calibri" w:eastAsia="Times New Roman" w:hAnsi="Calibri" w:cs="Calibri"/>
          <w:lang w:eastAsia="en-NZ"/>
        </w:rPr>
        <w:t>February</w:t>
      </w:r>
      <w:r w:rsidR="003D640C">
        <w:rPr>
          <w:rFonts w:ascii="Calibri" w:eastAsia="Times New Roman" w:hAnsi="Calibri" w:cs="Calibri"/>
          <w:lang w:eastAsia="en-NZ"/>
        </w:rPr>
        <w:t xml:space="preserve"> </w:t>
      </w:r>
      <w:r>
        <w:rPr>
          <w:rFonts w:ascii="Calibri" w:eastAsia="Times New Roman" w:hAnsi="Calibri" w:cs="Calibri"/>
          <w:lang w:eastAsia="en-NZ"/>
        </w:rPr>
        <w:t>2022,</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003D640C">
        <w:rPr>
          <w:rFonts w:ascii="Calibri" w:eastAsia="Times New Roman" w:hAnsi="Calibri" w:cs="Calibri"/>
          <w:lang w:eastAsia="en-NZ"/>
        </w:rPr>
        <w:t xml:space="preserve"> </w:t>
      </w:r>
      <w:r w:rsidRPr="00BB6220">
        <w:rPr>
          <w:rFonts w:ascii="Calibri" w:eastAsia="Times New Roman" w:hAnsi="Calibri" w:cs="Calibri"/>
          <w:lang w:eastAsia="en-NZ"/>
        </w:rPr>
        <w:t>passed</w:t>
      </w:r>
      <w:r w:rsidR="003D640C">
        <w:rPr>
          <w:rFonts w:ascii="Calibri" w:eastAsia="Times New Roman" w:hAnsi="Calibri" w:cs="Calibri"/>
          <w:lang w:eastAsia="en-NZ"/>
        </w:rPr>
        <w:t xml:space="preserve"> </w:t>
      </w:r>
      <w:r w:rsidRPr="00BB6220">
        <w:rPr>
          <w:rFonts w:ascii="Calibri" w:eastAsia="Times New Roman" w:hAnsi="Calibri" w:cs="Calibri"/>
          <w:lang w:eastAsia="en-NZ"/>
        </w:rPr>
        <w:t>into</w:t>
      </w:r>
      <w:r w:rsidR="003D640C">
        <w:rPr>
          <w:rFonts w:ascii="Calibri" w:eastAsia="Times New Roman" w:hAnsi="Calibri" w:cs="Calibri"/>
          <w:lang w:eastAsia="en-NZ"/>
        </w:rPr>
        <w:t xml:space="preserve"> </w:t>
      </w:r>
      <w:r w:rsidRPr="00BB6220">
        <w:rPr>
          <w:rFonts w:ascii="Calibri" w:eastAsia="Times New Roman" w:hAnsi="Calibri" w:cs="Calibri"/>
          <w:lang w:eastAsia="en-NZ"/>
        </w:rPr>
        <w:t>law</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support</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113</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Parliament’s</w:t>
      </w:r>
      <w:r w:rsidR="003D640C">
        <w:rPr>
          <w:rFonts w:ascii="Calibri" w:eastAsia="Times New Roman" w:hAnsi="Calibri" w:cs="Calibri"/>
          <w:lang w:eastAsia="en-NZ"/>
        </w:rPr>
        <w:t xml:space="preserve"> </w:t>
      </w:r>
      <w:r w:rsidRPr="00BB6220">
        <w:rPr>
          <w:rFonts w:ascii="Calibri" w:eastAsia="Times New Roman" w:hAnsi="Calibri" w:cs="Calibri"/>
          <w:lang w:eastAsia="en-NZ"/>
        </w:rPr>
        <w:t>120</w:t>
      </w:r>
      <w:r w:rsidR="003D640C">
        <w:rPr>
          <w:rFonts w:ascii="Calibri" w:eastAsia="Times New Roman" w:hAnsi="Calibri" w:cs="Calibri"/>
          <w:lang w:eastAsia="en-NZ"/>
        </w:rPr>
        <w:t xml:space="preserve"> </w:t>
      </w:r>
      <w:r w:rsidRPr="00BB6220">
        <w:rPr>
          <w:rFonts w:ascii="Calibri" w:eastAsia="Times New Roman" w:hAnsi="Calibri" w:cs="Calibri"/>
          <w:lang w:eastAsia="en-NZ"/>
        </w:rPr>
        <w:t>members.</w:t>
      </w:r>
      <w:r>
        <w:rPr>
          <w:rStyle w:val="FootnoteReference"/>
          <w:rFonts w:ascii="Calibri" w:eastAsia="Times New Roman" w:hAnsi="Calibri" w:cs="Calibri"/>
          <w:lang w:eastAsia="en-NZ"/>
        </w:rPr>
        <w:footnoteReference w:id="31"/>
      </w:r>
    </w:p>
    <w:p w14:paraId="76625E47" w14:textId="16B8640D" w:rsidR="00BB3F27" w:rsidRPr="00BB6220" w:rsidRDefault="00BB3F27" w:rsidP="006A3F34">
      <w:pPr>
        <w:pStyle w:val="Heading2"/>
      </w:pPr>
      <w:bookmarkStart w:id="47" w:name="_Toc167780574"/>
      <w:bookmarkStart w:id="48" w:name="_Toc1002300371"/>
      <w:bookmarkStart w:id="49" w:name="_Toc174628632"/>
      <w:r w:rsidRPr="00BB6220">
        <w:t>The</w:t>
      </w:r>
      <w:r w:rsidR="003D640C">
        <w:t xml:space="preserve"> </w:t>
      </w:r>
      <w:r>
        <w:t>CPPLA</w:t>
      </w:r>
      <w:r w:rsidR="003D640C">
        <w:t xml:space="preserve"> </w:t>
      </w:r>
      <w:r>
        <w:t>gave</w:t>
      </w:r>
      <w:r w:rsidR="003D640C">
        <w:t xml:space="preserve"> </w:t>
      </w:r>
      <w:r>
        <w:t>the</w:t>
      </w:r>
      <w:r w:rsidR="003D640C">
        <w:t xml:space="preserve"> </w:t>
      </w:r>
      <w:r w:rsidRPr="00BB6220">
        <w:t>Commission</w:t>
      </w:r>
      <w:r w:rsidR="003D640C">
        <w:t xml:space="preserve"> </w:t>
      </w:r>
      <w:r>
        <w:t>a</w:t>
      </w:r>
      <w:r w:rsidR="003D640C">
        <w:t xml:space="preserve"> </w:t>
      </w:r>
      <w:r w:rsidRPr="00BB6220">
        <w:t>role</w:t>
      </w:r>
      <w:r w:rsidR="003D640C">
        <w:t xml:space="preserve"> </w:t>
      </w:r>
      <w:r>
        <w:t>in</w:t>
      </w:r>
      <w:r w:rsidR="003D640C">
        <w:t xml:space="preserve"> </w:t>
      </w:r>
      <w:r w:rsidRPr="00BB6220">
        <w:t>education</w:t>
      </w:r>
      <w:r w:rsidR="003D640C">
        <w:t xml:space="preserve"> </w:t>
      </w:r>
      <w:r w:rsidRPr="00BB6220">
        <w:t>and</w:t>
      </w:r>
      <w:r w:rsidR="003D640C">
        <w:t xml:space="preserve"> </w:t>
      </w:r>
      <w:r w:rsidRPr="00BB6220">
        <w:t>prevention</w:t>
      </w:r>
      <w:bookmarkEnd w:id="47"/>
      <w:bookmarkEnd w:id="48"/>
      <w:bookmarkEnd w:id="49"/>
      <w:r w:rsidR="003D640C">
        <w:t xml:space="preserve"> </w:t>
      </w:r>
    </w:p>
    <w:p w14:paraId="45D0BD2B" w14:textId="78BCFB68" w:rsidR="00501068" w:rsidRDefault="00BB3F27" w:rsidP="0078026B">
      <w:pPr>
        <w:rPr>
          <w:rFonts w:ascii="Calibri" w:eastAsia="Times New Roman" w:hAnsi="Calibri" w:cs="Calibri"/>
          <w:lang w:eastAsia="en-NZ"/>
        </w:rPr>
      </w:pP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003D640C">
        <w:rPr>
          <w:rFonts w:ascii="Calibri" w:eastAsia="Times New Roman" w:hAnsi="Calibri" w:cs="Calibri"/>
          <w:lang w:eastAsia="en-NZ"/>
        </w:rPr>
        <w:t xml:space="preserve"> </w:t>
      </w:r>
      <w:r>
        <w:rPr>
          <w:rFonts w:ascii="Calibri" w:eastAsia="Times New Roman" w:hAnsi="Calibri" w:cs="Calibri"/>
          <w:lang w:eastAsia="en-NZ"/>
        </w:rPr>
        <w:t>has</w:t>
      </w:r>
      <w:r w:rsidR="003D640C">
        <w:rPr>
          <w:rFonts w:ascii="Calibri" w:eastAsia="Times New Roman" w:hAnsi="Calibri" w:cs="Calibri"/>
          <w:lang w:eastAsia="en-NZ"/>
        </w:rPr>
        <w:t xml:space="preserve"> </w:t>
      </w:r>
      <w:r>
        <w:rPr>
          <w:rFonts w:ascii="Calibri" w:eastAsia="Times New Roman" w:hAnsi="Calibri" w:cs="Calibri"/>
          <w:lang w:eastAsia="en-NZ"/>
        </w:rPr>
        <w:t>three</w:t>
      </w:r>
      <w:r w:rsidR="003D640C">
        <w:rPr>
          <w:rFonts w:ascii="Calibri" w:eastAsia="Times New Roman" w:hAnsi="Calibri" w:cs="Calibri"/>
          <w:lang w:eastAsia="en-NZ"/>
        </w:rPr>
        <w:t xml:space="preserve"> </w:t>
      </w:r>
      <w:r>
        <w:rPr>
          <w:rFonts w:ascii="Calibri" w:eastAsia="Times New Roman" w:hAnsi="Calibri" w:cs="Calibri"/>
          <w:lang w:eastAsia="en-NZ"/>
        </w:rPr>
        <w:t>parts.</w:t>
      </w:r>
      <w:r w:rsidR="003D640C">
        <w:rPr>
          <w:rFonts w:ascii="Calibri" w:eastAsia="Times New Roman" w:hAnsi="Calibri" w:cs="Calibri"/>
          <w:lang w:eastAsia="en-NZ"/>
        </w:rPr>
        <w:t xml:space="preserve"> </w:t>
      </w:r>
      <w:r w:rsidR="00BA4302">
        <w:rPr>
          <w:rFonts w:ascii="Calibri" w:eastAsia="Times New Roman" w:hAnsi="Calibri" w:cs="Calibri"/>
          <w:lang w:eastAsia="en-NZ"/>
        </w:rPr>
        <w:t>Part 1 sets out the purpose of the Act</w:t>
      </w:r>
      <w:r w:rsidR="003D640C">
        <w:rPr>
          <w:rFonts w:ascii="Calibri" w:eastAsia="Times New Roman" w:hAnsi="Calibri" w:cs="Calibri"/>
          <w:lang w:eastAsia="en-NZ"/>
        </w:rPr>
        <w:t xml:space="preserve"> </w:t>
      </w:r>
      <w:r w:rsidR="00C11F4E">
        <w:rPr>
          <w:rFonts w:ascii="Calibri" w:eastAsia="Times New Roman" w:hAnsi="Calibri" w:cs="Calibri"/>
          <w:lang w:eastAsia="en-NZ"/>
        </w:rPr>
        <w:t xml:space="preserve">and the </w:t>
      </w:r>
      <w:r w:rsidR="00CC1784">
        <w:rPr>
          <w:rFonts w:ascii="Calibri" w:eastAsia="Times New Roman" w:hAnsi="Calibri" w:cs="Calibri"/>
          <w:lang w:eastAsia="en-NZ"/>
        </w:rPr>
        <w:t>defines</w:t>
      </w:r>
      <w:r w:rsidR="00CB714F">
        <w:rPr>
          <w:rFonts w:ascii="Calibri" w:eastAsia="Times New Roman" w:hAnsi="Calibri" w:cs="Calibri"/>
          <w:lang w:eastAsia="en-NZ"/>
        </w:rPr>
        <w:t xml:space="preserve"> </w:t>
      </w:r>
      <w:r w:rsidR="00CC1784">
        <w:rPr>
          <w:rFonts w:ascii="Calibri" w:eastAsia="Times New Roman" w:hAnsi="Calibri" w:cs="Calibri"/>
          <w:lang w:eastAsia="en-NZ"/>
        </w:rPr>
        <w:t>“</w:t>
      </w:r>
      <w:r w:rsidR="00912E62">
        <w:rPr>
          <w:rFonts w:ascii="Calibri" w:eastAsia="Times New Roman" w:hAnsi="Calibri" w:cs="Calibri"/>
          <w:lang w:eastAsia="en-NZ"/>
        </w:rPr>
        <w:t>conversion practice</w:t>
      </w:r>
      <w:r w:rsidR="00CC1784">
        <w:rPr>
          <w:rFonts w:ascii="Calibri" w:eastAsia="Times New Roman" w:hAnsi="Calibri" w:cs="Calibri"/>
          <w:lang w:eastAsia="en-NZ"/>
        </w:rPr>
        <w:t>” for the purposes of the Act</w:t>
      </w:r>
      <w:r w:rsidR="00912E62">
        <w:rPr>
          <w:rFonts w:ascii="Calibri" w:eastAsia="Times New Roman" w:hAnsi="Calibri" w:cs="Calibri"/>
          <w:lang w:eastAsia="en-NZ"/>
        </w:rPr>
        <w:t>.</w:t>
      </w:r>
      <w:r w:rsidR="003D640C">
        <w:rPr>
          <w:rFonts w:ascii="Calibri" w:eastAsia="Times New Roman" w:hAnsi="Calibri" w:cs="Calibri"/>
          <w:lang w:eastAsia="en-NZ"/>
        </w:rPr>
        <w:t xml:space="preserve"> </w:t>
      </w:r>
      <w:r>
        <w:rPr>
          <w:rFonts w:ascii="Calibri" w:eastAsia="Times New Roman" w:hAnsi="Calibri" w:cs="Calibri"/>
          <w:lang w:eastAsia="en-NZ"/>
        </w:rPr>
        <w:t>Part</w:t>
      </w:r>
      <w:r w:rsidR="003D640C">
        <w:rPr>
          <w:rFonts w:ascii="Calibri" w:eastAsia="Times New Roman" w:hAnsi="Calibri" w:cs="Calibri"/>
          <w:lang w:eastAsia="en-NZ"/>
        </w:rPr>
        <w:t xml:space="preserve"> </w:t>
      </w:r>
      <w:r>
        <w:rPr>
          <w:rFonts w:ascii="Calibri" w:eastAsia="Times New Roman" w:hAnsi="Calibri" w:cs="Calibri"/>
          <w:lang w:eastAsia="en-NZ"/>
        </w:rPr>
        <w:t>2</w:t>
      </w:r>
      <w:r w:rsidR="003D640C">
        <w:rPr>
          <w:rFonts w:ascii="Calibri" w:eastAsia="Times New Roman" w:hAnsi="Calibri" w:cs="Calibri"/>
          <w:lang w:eastAsia="en-NZ"/>
        </w:rPr>
        <w:t xml:space="preserve"> </w:t>
      </w:r>
      <w:r>
        <w:rPr>
          <w:rFonts w:ascii="Calibri" w:eastAsia="Times New Roman" w:hAnsi="Calibri" w:cs="Calibri"/>
          <w:lang w:eastAsia="en-NZ"/>
        </w:rPr>
        <w:t>creates</w:t>
      </w:r>
      <w:r w:rsidR="003D640C">
        <w:rPr>
          <w:rFonts w:ascii="Calibri" w:eastAsia="Times New Roman" w:hAnsi="Calibri" w:cs="Calibri"/>
          <w:lang w:eastAsia="en-NZ"/>
        </w:rPr>
        <w:t xml:space="preserve"> </w:t>
      </w:r>
      <w:r>
        <w:rPr>
          <w:rFonts w:ascii="Calibri" w:eastAsia="Times New Roman" w:hAnsi="Calibri" w:cs="Calibri"/>
          <w:lang w:eastAsia="en-NZ"/>
        </w:rPr>
        <w:t>criminal</w:t>
      </w:r>
      <w:r w:rsidR="003D640C">
        <w:rPr>
          <w:rFonts w:ascii="Calibri" w:eastAsia="Times New Roman" w:hAnsi="Calibri" w:cs="Calibri"/>
          <w:lang w:eastAsia="en-NZ"/>
        </w:rPr>
        <w:t xml:space="preserve"> </w:t>
      </w:r>
      <w:r>
        <w:rPr>
          <w:rFonts w:ascii="Calibri" w:eastAsia="Times New Roman" w:hAnsi="Calibri" w:cs="Calibri"/>
          <w:lang w:eastAsia="en-NZ"/>
        </w:rPr>
        <w:t>offences</w:t>
      </w:r>
      <w:r w:rsidR="003D640C">
        <w:rPr>
          <w:rFonts w:ascii="Calibri" w:eastAsia="Times New Roman" w:hAnsi="Calibri" w:cs="Calibri"/>
          <w:lang w:eastAsia="en-NZ"/>
        </w:rPr>
        <w:t xml:space="preserve"> </w:t>
      </w:r>
      <w:r>
        <w:rPr>
          <w:rFonts w:ascii="Calibri" w:eastAsia="Times New Roman" w:hAnsi="Calibri" w:cs="Calibri"/>
          <w:lang w:eastAsia="en-NZ"/>
        </w:rPr>
        <w:t>and</w:t>
      </w:r>
      <w:r w:rsidR="003D640C">
        <w:rPr>
          <w:rFonts w:ascii="Calibri" w:eastAsia="Times New Roman" w:hAnsi="Calibri" w:cs="Calibri"/>
          <w:lang w:eastAsia="en-NZ"/>
        </w:rPr>
        <w:t xml:space="preserve"> </w:t>
      </w:r>
      <w:r>
        <w:rPr>
          <w:rFonts w:ascii="Calibri" w:eastAsia="Times New Roman" w:hAnsi="Calibri" w:cs="Calibri"/>
          <w:lang w:eastAsia="en-NZ"/>
        </w:rPr>
        <w:t>defines</w:t>
      </w:r>
      <w:r w:rsidR="003D640C">
        <w:rPr>
          <w:rFonts w:ascii="Calibri" w:eastAsia="Times New Roman" w:hAnsi="Calibri" w:cs="Calibri"/>
          <w:lang w:eastAsia="en-NZ"/>
        </w:rPr>
        <w:t xml:space="preserve"> </w:t>
      </w:r>
      <w:r>
        <w:rPr>
          <w:rFonts w:ascii="Calibri" w:eastAsia="Times New Roman" w:hAnsi="Calibri" w:cs="Calibri"/>
          <w:lang w:eastAsia="en-NZ"/>
        </w:rPr>
        <w:t>civil</w:t>
      </w:r>
      <w:r w:rsidR="003D640C">
        <w:rPr>
          <w:rFonts w:ascii="Calibri" w:eastAsia="Times New Roman" w:hAnsi="Calibri" w:cs="Calibri"/>
          <w:lang w:eastAsia="en-NZ"/>
        </w:rPr>
        <w:t xml:space="preserve"> </w:t>
      </w:r>
      <w:r>
        <w:rPr>
          <w:rFonts w:ascii="Calibri" w:eastAsia="Times New Roman" w:hAnsi="Calibri" w:cs="Calibri"/>
          <w:lang w:eastAsia="en-NZ"/>
        </w:rPr>
        <w:t>liabilities</w:t>
      </w:r>
      <w:r w:rsidR="003D640C">
        <w:rPr>
          <w:rFonts w:ascii="Calibri" w:eastAsia="Times New Roman" w:hAnsi="Calibri" w:cs="Calibri"/>
          <w:lang w:eastAsia="en-NZ"/>
        </w:rPr>
        <w:t xml:space="preserve"> </w:t>
      </w:r>
      <w:r>
        <w:rPr>
          <w:rFonts w:ascii="Calibri" w:eastAsia="Times New Roman" w:hAnsi="Calibri" w:cs="Calibri"/>
          <w:lang w:eastAsia="en-NZ"/>
        </w:rPr>
        <w:t>in</w:t>
      </w:r>
      <w:r w:rsidR="003D640C">
        <w:rPr>
          <w:rFonts w:ascii="Calibri" w:eastAsia="Times New Roman" w:hAnsi="Calibri" w:cs="Calibri"/>
          <w:lang w:eastAsia="en-NZ"/>
        </w:rPr>
        <w:t xml:space="preserve"> </w:t>
      </w:r>
      <w:r>
        <w:rPr>
          <w:rFonts w:ascii="Calibri" w:eastAsia="Times New Roman" w:hAnsi="Calibri" w:cs="Calibri"/>
          <w:lang w:eastAsia="en-NZ"/>
        </w:rPr>
        <w:t>relation</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conversion</w:t>
      </w:r>
      <w:r w:rsidR="003D640C">
        <w:rPr>
          <w:rFonts w:ascii="Calibri" w:eastAsia="Times New Roman" w:hAnsi="Calibri" w:cs="Calibri"/>
          <w:lang w:eastAsia="en-NZ"/>
        </w:rPr>
        <w:t xml:space="preserve"> </w:t>
      </w:r>
      <w:r>
        <w:rPr>
          <w:rFonts w:ascii="Calibri" w:eastAsia="Times New Roman" w:hAnsi="Calibri" w:cs="Calibri"/>
          <w:lang w:eastAsia="en-NZ"/>
        </w:rPr>
        <w:t>practices.</w:t>
      </w:r>
      <w:r w:rsidR="003D640C">
        <w:rPr>
          <w:rFonts w:ascii="Calibri" w:eastAsia="Times New Roman" w:hAnsi="Calibri" w:cs="Calibri"/>
          <w:lang w:eastAsia="en-NZ"/>
        </w:rPr>
        <w:t xml:space="preserve"> </w:t>
      </w:r>
      <w:r w:rsidR="00455E0E">
        <w:rPr>
          <w:rFonts w:ascii="Calibri" w:eastAsia="Times New Roman" w:hAnsi="Calibri" w:cs="Calibri"/>
          <w:lang w:eastAsia="en-NZ"/>
        </w:rPr>
        <w:t>P</w:t>
      </w:r>
      <w:r>
        <w:rPr>
          <w:rFonts w:ascii="Calibri" w:eastAsia="Times New Roman" w:hAnsi="Calibri" w:cs="Calibri"/>
          <w:lang w:eastAsia="en-NZ"/>
        </w:rPr>
        <w:t>art</w:t>
      </w:r>
      <w:r w:rsidR="003D640C">
        <w:rPr>
          <w:rFonts w:ascii="Calibri" w:eastAsia="Times New Roman" w:hAnsi="Calibri" w:cs="Calibri"/>
          <w:lang w:eastAsia="en-NZ"/>
        </w:rPr>
        <w:t xml:space="preserve"> </w:t>
      </w:r>
      <w:r w:rsidR="00455E0E">
        <w:rPr>
          <w:rFonts w:ascii="Calibri" w:eastAsia="Times New Roman" w:hAnsi="Calibri" w:cs="Calibri"/>
          <w:lang w:eastAsia="en-NZ"/>
        </w:rPr>
        <w:t xml:space="preserve">3 </w:t>
      </w:r>
      <w:r>
        <w:rPr>
          <w:rFonts w:ascii="Calibri" w:eastAsia="Times New Roman" w:hAnsi="Calibri" w:cs="Calibri"/>
          <w:lang w:eastAsia="en-NZ"/>
        </w:rPr>
        <w:t>amends</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Human</w:t>
      </w:r>
      <w:r w:rsidR="003D640C">
        <w:rPr>
          <w:rFonts w:ascii="Calibri" w:eastAsia="Times New Roman" w:hAnsi="Calibri" w:cs="Calibri"/>
          <w:lang w:eastAsia="en-NZ"/>
        </w:rPr>
        <w:t xml:space="preserve"> </w:t>
      </w:r>
      <w:r>
        <w:rPr>
          <w:rFonts w:ascii="Calibri" w:eastAsia="Times New Roman" w:hAnsi="Calibri" w:cs="Calibri"/>
          <w:lang w:eastAsia="en-NZ"/>
        </w:rPr>
        <w:t>Rights</w:t>
      </w:r>
      <w:r w:rsidR="003D640C">
        <w:rPr>
          <w:rFonts w:ascii="Calibri" w:eastAsia="Times New Roman" w:hAnsi="Calibri" w:cs="Calibri"/>
          <w:lang w:eastAsia="en-NZ"/>
        </w:rPr>
        <w:t xml:space="preserve"> </w:t>
      </w:r>
      <w:r>
        <w:rPr>
          <w:rFonts w:ascii="Calibri" w:eastAsia="Times New Roman" w:hAnsi="Calibri" w:cs="Calibri"/>
          <w:lang w:eastAsia="en-NZ"/>
        </w:rPr>
        <w:t>Act</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make</w:t>
      </w:r>
      <w:r w:rsidR="003D640C">
        <w:rPr>
          <w:rFonts w:ascii="Calibri" w:eastAsia="Times New Roman" w:hAnsi="Calibri" w:cs="Calibri"/>
          <w:lang w:eastAsia="en-NZ"/>
        </w:rPr>
        <w:t xml:space="preserve"> </w:t>
      </w:r>
      <w:r>
        <w:rPr>
          <w:rFonts w:ascii="Calibri" w:eastAsia="Times New Roman" w:hAnsi="Calibri" w:cs="Calibri"/>
          <w:lang w:eastAsia="en-NZ"/>
        </w:rPr>
        <w:t>it</w:t>
      </w:r>
      <w:r w:rsidR="003D640C">
        <w:rPr>
          <w:rFonts w:ascii="Calibri" w:eastAsia="Times New Roman" w:hAnsi="Calibri" w:cs="Calibri"/>
          <w:lang w:eastAsia="en-NZ"/>
        </w:rPr>
        <w:t xml:space="preserve"> </w:t>
      </w:r>
      <w:r>
        <w:rPr>
          <w:rFonts w:ascii="Calibri" w:eastAsia="Times New Roman" w:hAnsi="Calibri" w:cs="Calibri"/>
          <w:lang w:eastAsia="en-NZ"/>
        </w:rPr>
        <w:t>unlawful</w:t>
      </w:r>
      <w:r w:rsidR="003D640C">
        <w:rPr>
          <w:rFonts w:ascii="Calibri" w:eastAsia="Times New Roman" w:hAnsi="Calibri" w:cs="Calibri"/>
          <w:lang w:eastAsia="en-NZ"/>
        </w:rPr>
        <w:t xml:space="preserve"> </w:t>
      </w:r>
      <w:r>
        <w:rPr>
          <w:rFonts w:ascii="Calibri" w:eastAsia="Times New Roman" w:hAnsi="Calibri" w:cs="Calibri"/>
          <w:lang w:eastAsia="en-NZ"/>
        </w:rPr>
        <w:t>for</w:t>
      </w:r>
      <w:r w:rsidR="003D640C">
        <w:rPr>
          <w:rFonts w:ascii="Calibri" w:eastAsia="Times New Roman" w:hAnsi="Calibri" w:cs="Calibri"/>
          <w:lang w:eastAsia="en-NZ"/>
        </w:rPr>
        <w:t xml:space="preserve"> </w:t>
      </w:r>
      <w:r>
        <w:rPr>
          <w:rFonts w:ascii="Calibri" w:eastAsia="Times New Roman" w:hAnsi="Calibri" w:cs="Calibri"/>
          <w:lang w:eastAsia="en-NZ"/>
        </w:rPr>
        <w:t>any</w:t>
      </w:r>
      <w:r w:rsidR="003D640C">
        <w:rPr>
          <w:rFonts w:ascii="Calibri" w:eastAsia="Times New Roman" w:hAnsi="Calibri" w:cs="Calibri"/>
          <w:lang w:eastAsia="en-NZ"/>
        </w:rPr>
        <w:t xml:space="preserve"> </w:t>
      </w:r>
      <w:r>
        <w:rPr>
          <w:rFonts w:ascii="Calibri" w:eastAsia="Times New Roman" w:hAnsi="Calibri" w:cs="Calibri"/>
          <w:lang w:eastAsia="en-NZ"/>
        </w:rPr>
        <w:t>person</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perform</w:t>
      </w:r>
      <w:r w:rsidR="003D640C">
        <w:rPr>
          <w:rFonts w:ascii="Calibri" w:eastAsia="Times New Roman" w:hAnsi="Calibri" w:cs="Calibri"/>
          <w:lang w:eastAsia="en-NZ"/>
        </w:rPr>
        <w:t xml:space="preserve"> </w:t>
      </w:r>
      <w:r>
        <w:rPr>
          <w:rFonts w:ascii="Calibri" w:eastAsia="Times New Roman" w:hAnsi="Calibri" w:cs="Calibri"/>
          <w:lang w:eastAsia="en-NZ"/>
        </w:rPr>
        <w:t>a</w:t>
      </w:r>
      <w:r w:rsidR="003D640C">
        <w:rPr>
          <w:rFonts w:ascii="Calibri" w:eastAsia="Times New Roman" w:hAnsi="Calibri" w:cs="Calibri"/>
          <w:lang w:eastAsia="en-NZ"/>
        </w:rPr>
        <w:t xml:space="preserve"> </w:t>
      </w:r>
      <w:r>
        <w:rPr>
          <w:rFonts w:ascii="Calibri" w:eastAsia="Times New Roman" w:hAnsi="Calibri" w:cs="Calibri"/>
          <w:lang w:eastAsia="en-NZ"/>
        </w:rPr>
        <w:t>conversion</w:t>
      </w:r>
      <w:r w:rsidR="003D640C">
        <w:rPr>
          <w:rFonts w:ascii="Calibri" w:eastAsia="Times New Roman" w:hAnsi="Calibri" w:cs="Calibri"/>
          <w:lang w:eastAsia="en-NZ"/>
        </w:rPr>
        <w:t xml:space="preserve"> </w:t>
      </w:r>
      <w:r>
        <w:rPr>
          <w:rFonts w:ascii="Calibri" w:eastAsia="Times New Roman" w:hAnsi="Calibri" w:cs="Calibri"/>
          <w:lang w:eastAsia="en-NZ"/>
        </w:rPr>
        <w:t>practice</w:t>
      </w:r>
      <w:r w:rsidR="003D640C">
        <w:rPr>
          <w:rFonts w:ascii="Calibri" w:eastAsia="Times New Roman" w:hAnsi="Calibri" w:cs="Calibri"/>
          <w:lang w:eastAsia="en-NZ"/>
        </w:rPr>
        <w:t xml:space="preserve"> </w:t>
      </w:r>
      <w:r>
        <w:rPr>
          <w:rFonts w:ascii="Calibri" w:eastAsia="Times New Roman" w:hAnsi="Calibri" w:cs="Calibri"/>
          <w:lang w:eastAsia="en-NZ"/>
        </w:rPr>
        <w:t>on</w:t>
      </w:r>
      <w:r w:rsidR="003D640C">
        <w:rPr>
          <w:rFonts w:ascii="Calibri" w:eastAsia="Times New Roman" w:hAnsi="Calibri" w:cs="Calibri"/>
          <w:lang w:eastAsia="en-NZ"/>
        </w:rPr>
        <w:t xml:space="preserve"> </w:t>
      </w:r>
      <w:r>
        <w:rPr>
          <w:rFonts w:ascii="Calibri" w:eastAsia="Times New Roman" w:hAnsi="Calibri" w:cs="Calibri"/>
          <w:lang w:eastAsia="en-NZ"/>
        </w:rPr>
        <w:t>another</w:t>
      </w:r>
      <w:r w:rsidR="003D640C">
        <w:rPr>
          <w:rFonts w:ascii="Calibri" w:eastAsia="Times New Roman" w:hAnsi="Calibri" w:cs="Calibri"/>
          <w:lang w:eastAsia="en-NZ"/>
        </w:rPr>
        <w:t xml:space="preserve"> </w:t>
      </w:r>
      <w:r>
        <w:rPr>
          <w:rFonts w:ascii="Calibri" w:eastAsia="Times New Roman" w:hAnsi="Calibri" w:cs="Calibri"/>
          <w:lang w:eastAsia="en-NZ"/>
        </w:rPr>
        <w:t>person,</w:t>
      </w:r>
      <w:r w:rsidR="003D640C">
        <w:rPr>
          <w:rFonts w:ascii="Calibri" w:eastAsia="Times New Roman" w:hAnsi="Calibri" w:cs="Calibri"/>
          <w:lang w:eastAsia="en-NZ"/>
        </w:rPr>
        <w:t xml:space="preserve"> </w:t>
      </w:r>
      <w:r>
        <w:rPr>
          <w:rFonts w:ascii="Calibri" w:eastAsia="Times New Roman" w:hAnsi="Calibri" w:cs="Calibri"/>
          <w:lang w:eastAsia="en-NZ"/>
        </w:rPr>
        <w:t>or</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arrange</w:t>
      </w:r>
      <w:r w:rsidR="003D640C">
        <w:t xml:space="preserve"> </w:t>
      </w:r>
      <w:r w:rsidRPr="00C34928">
        <w:rPr>
          <w:rFonts w:ascii="Calibri" w:eastAsia="Times New Roman" w:hAnsi="Calibri" w:cs="Calibri"/>
          <w:lang w:eastAsia="en-NZ"/>
        </w:rPr>
        <w:t>for</w:t>
      </w:r>
      <w:r w:rsidR="003D640C">
        <w:rPr>
          <w:rFonts w:ascii="Calibri" w:eastAsia="Times New Roman" w:hAnsi="Calibri" w:cs="Calibri"/>
          <w:lang w:eastAsia="en-NZ"/>
        </w:rPr>
        <w:t xml:space="preserve"> </w:t>
      </w:r>
      <w:r w:rsidRPr="00C34928">
        <w:rPr>
          <w:rFonts w:ascii="Calibri" w:eastAsia="Times New Roman" w:hAnsi="Calibri" w:cs="Calibri"/>
          <w:lang w:eastAsia="en-NZ"/>
        </w:rPr>
        <w:t>a</w:t>
      </w:r>
      <w:r w:rsidR="003D640C">
        <w:rPr>
          <w:rFonts w:ascii="Calibri" w:eastAsia="Times New Roman" w:hAnsi="Calibri" w:cs="Calibri"/>
          <w:lang w:eastAsia="en-NZ"/>
        </w:rPr>
        <w:t xml:space="preserve"> </w:t>
      </w:r>
      <w:r w:rsidRPr="00C34928">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C34928">
        <w:rPr>
          <w:rFonts w:ascii="Calibri" w:eastAsia="Times New Roman" w:hAnsi="Calibri" w:cs="Calibri"/>
          <w:lang w:eastAsia="en-NZ"/>
        </w:rPr>
        <w:t>practice</w:t>
      </w:r>
      <w:r w:rsidR="003D640C">
        <w:rPr>
          <w:rFonts w:ascii="Calibri" w:eastAsia="Times New Roman" w:hAnsi="Calibri" w:cs="Calibri"/>
          <w:lang w:eastAsia="en-NZ"/>
        </w:rPr>
        <w:t xml:space="preserve"> </w:t>
      </w:r>
      <w:r w:rsidRPr="00C34928">
        <w:rPr>
          <w:rFonts w:ascii="Calibri" w:eastAsia="Times New Roman" w:hAnsi="Calibri" w:cs="Calibri"/>
          <w:lang w:eastAsia="en-NZ"/>
        </w:rPr>
        <w:t>to</w:t>
      </w:r>
      <w:r w:rsidR="003D640C">
        <w:rPr>
          <w:rFonts w:ascii="Calibri" w:eastAsia="Times New Roman" w:hAnsi="Calibri" w:cs="Calibri"/>
          <w:lang w:eastAsia="en-NZ"/>
        </w:rPr>
        <w:t xml:space="preserve"> </w:t>
      </w:r>
      <w:r w:rsidRPr="00C34928">
        <w:rPr>
          <w:rFonts w:ascii="Calibri" w:eastAsia="Times New Roman" w:hAnsi="Calibri" w:cs="Calibri"/>
          <w:lang w:eastAsia="en-NZ"/>
        </w:rPr>
        <w:t>be</w:t>
      </w:r>
      <w:r w:rsidR="003D640C">
        <w:rPr>
          <w:rFonts w:ascii="Calibri" w:eastAsia="Times New Roman" w:hAnsi="Calibri" w:cs="Calibri"/>
          <w:lang w:eastAsia="en-NZ"/>
        </w:rPr>
        <w:t xml:space="preserve"> </w:t>
      </w:r>
      <w:r w:rsidRPr="00C34928">
        <w:rPr>
          <w:rFonts w:ascii="Calibri" w:eastAsia="Times New Roman" w:hAnsi="Calibri" w:cs="Calibri"/>
          <w:lang w:eastAsia="en-NZ"/>
        </w:rPr>
        <w:t>performed</w:t>
      </w:r>
      <w:r w:rsidR="003D640C">
        <w:rPr>
          <w:rFonts w:ascii="Calibri" w:eastAsia="Times New Roman" w:hAnsi="Calibri" w:cs="Calibri"/>
          <w:lang w:eastAsia="en-NZ"/>
        </w:rPr>
        <w:t xml:space="preserve"> </w:t>
      </w:r>
      <w:r w:rsidRPr="00C34928">
        <w:rPr>
          <w:rFonts w:ascii="Calibri" w:eastAsia="Times New Roman" w:hAnsi="Calibri" w:cs="Calibri"/>
          <w:lang w:eastAsia="en-NZ"/>
        </w:rPr>
        <w:t>on</w:t>
      </w:r>
      <w:r w:rsidR="003D640C">
        <w:rPr>
          <w:rFonts w:ascii="Calibri" w:eastAsia="Times New Roman" w:hAnsi="Calibri" w:cs="Calibri"/>
          <w:lang w:eastAsia="en-NZ"/>
        </w:rPr>
        <w:t xml:space="preserve"> </w:t>
      </w:r>
      <w:r>
        <w:rPr>
          <w:rFonts w:ascii="Calibri" w:eastAsia="Times New Roman" w:hAnsi="Calibri" w:cs="Calibri"/>
          <w:lang w:eastAsia="en-NZ"/>
        </w:rPr>
        <w:t>another</w:t>
      </w:r>
      <w:r w:rsidR="003D640C">
        <w:rPr>
          <w:rFonts w:ascii="Calibri" w:eastAsia="Times New Roman" w:hAnsi="Calibri" w:cs="Calibri"/>
          <w:lang w:eastAsia="en-NZ"/>
        </w:rPr>
        <w:t xml:space="preserve"> </w:t>
      </w:r>
      <w:r w:rsidRPr="00C34928">
        <w:rPr>
          <w:rFonts w:ascii="Calibri" w:eastAsia="Times New Roman" w:hAnsi="Calibri" w:cs="Calibri"/>
          <w:lang w:eastAsia="en-NZ"/>
        </w:rPr>
        <w:t>person</w:t>
      </w:r>
      <w:r>
        <w:rPr>
          <w:rFonts w:ascii="Calibri" w:eastAsia="Times New Roman" w:hAnsi="Calibri" w:cs="Calibri"/>
          <w:lang w:eastAsia="en-NZ"/>
        </w:rPr>
        <w:t>.</w:t>
      </w:r>
      <w:r w:rsidR="003D640C">
        <w:rPr>
          <w:rFonts w:ascii="Calibri" w:eastAsia="Times New Roman" w:hAnsi="Calibri" w:cs="Calibri"/>
          <w:lang w:eastAsia="en-NZ"/>
        </w:rPr>
        <w:t xml:space="preserve"> </w:t>
      </w:r>
    </w:p>
    <w:p w14:paraId="407064DB" w14:textId="20827331" w:rsidR="00501068" w:rsidRDefault="00BB3F27" w:rsidP="0078026B">
      <w:pPr>
        <w:rPr>
          <w:rFonts w:ascii="Calibri" w:eastAsia="Times New Roman" w:hAnsi="Calibri" w:cs="Calibri"/>
          <w:lang w:eastAsia="en-NZ"/>
        </w:rPr>
      </w:pPr>
      <w:r>
        <w:rPr>
          <w:rFonts w:ascii="Calibri" w:eastAsia="Times New Roman" w:hAnsi="Calibri" w:cs="Calibri"/>
          <w:lang w:eastAsia="en-NZ"/>
        </w:rPr>
        <w:t>Given</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Commission’s</w:t>
      </w:r>
      <w:r w:rsidR="003D640C">
        <w:rPr>
          <w:rFonts w:ascii="Calibri" w:eastAsia="Times New Roman" w:hAnsi="Calibri" w:cs="Calibri"/>
          <w:lang w:eastAsia="en-NZ"/>
        </w:rPr>
        <w:t xml:space="preserve"> </w:t>
      </w:r>
      <w:r>
        <w:rPr>
          <w:rFonts w:ascii="Calibri" w:eastAsia="Times New Roman" w:hAnsi="Calibri" w:cs="Calibri"/>
          <w:lang w:eastAsia="en-NZ"/>
        </w:rPr>
        <w:t>existing</w:t>
      </w:r>
      <w:r w:rsidR="003D640C">
        <w:rPr>
          <w:rFonts w:ascii="Calibri" w:eastAsia="Times New Roman" w:hAnsi="Calibri" w:cs="Calibri"/>
          <w:lang w:eastAsia="en-NZ"/>
        </w:rPr>
        <w:t xml:space="preserve"> </w:t>
      </w:r>
      <w:r>
        <w:rPr>
          <w:rFonts w:ascii="Calibri" w:eastAsia="Times New Roman" w:hAnsi="Calibri" w:cs="Calibri"/>
          <w:lang w:eastAsia="en-NZ"/>
        </w:rPr>
        <w:t>mandate</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receive</w:t>
      </w:r>
      <w:r w:rsidR="003D640C">
        <w:rPr>
          <w:rFonts w:ascii="Calibri" w:eastAsia="Times New Roman" w:hAnsi="Calibri" w:cs="Calibri"/>
          <w:lang w:eastAsia="en-NZ"/>
        </w:rPr>
        <w:t xml:space="preserve"> </w:t>
      </w:r>
      <w:r>
        <w:rPr>
          <w:rFonts w:ascii="Calibri" w:eastAsia="Times New Roman" w:hAnsi="Calibri" w:cs="Calibri"/>
          <w:lang w:eastAsia="en-NZ"/>
        </w:rPr>
        <w:t>and</w:t>
      </w:r>
      <w:r w:rsidR="003D640C">
        <w:rPr>
          <w:rFonts w:ascii="Calibri" w:eastAsia="Times New Roman" w:hAnsi="Calibri" w:cs="Calibri"/>
          <w:lang w:eastAsia="en-NZ"/>
        </w:rPr>
        <w:t xml:space="preserve"> </w:t>
      </w:r>
      <w:r>
        <w:rPr>
          <w:rFonts w:ascii="Calibri" w:eastAsia="Times New Roman" w:hAnsi="Calibri" w:cs="Calibri"/>
          <w:lang w:eastAsia="en-NZ"/>
        </w:rPr>
        <w:t>handle</w:t>
      </w:r>
      <w:r w:rsidR="003D640C">
        <w:rPr>
          <w:rFonts w:ascii="Calibri" w:eastAsia="Times New Roman" w:hAnsi="Calibri" w:cs="Calibri"/>
          <w:lang w:eastAsia="en-NZ"/>
        </w:rPr>
        <w:t xml:space="preserve"> </w:t>
      </w:r>
      <w:r>
        <w:rPr>
          <w:rFonts w:ascii="Calibri" w:eastAsia="Times New Roman" w:hAnsi="Calibri" w:cs="Calibri"/>
          <w:lang w:eastAsia="en-NZ"/>
        </w:rPr>
        <w:t>discrimination</w:t>
      </w:r>
      <w:r w:rsidR="003D640C">
        <w:rPr>
          <w:rFonts w:ascii="Calibri" w:eastAsia="Times New Roman" w:hAnsi="Calibri" w:cs="Calibri"/>
          <w:lang w:eastAsia="en-NZ"/>
        </w:rPr>
        <w:t xml:space="preserve"> </w:t>
      </w:r>
      <w:r>
        <w:rPr>
          <w:rFonts w:ascii="Calibri" w:eastAsia="Times New Roman" w:hAnsi="Calibri" w:cs="Calibri"/>
          <w:lang w:eastAsia="en-NZ"/>
        </w:rPr>
        <w:t>complaints</w:t>
      </w:r>
      <w:r w:rsidR="008E2BE2">
        <w:rPr>
          <w:rFonts w:ascii="Calibri" w:eastAsia="Times New Roman" w:hAnsi="Calibri" w:cs="Calibri"/>
          <w:lang w:eastAsia="en-NZ"/>
        </w:rPr>
        <w:t xml:space="preserve"> under Part 3 of the Human Rights Act</w:t>
      </w:r>
      <w:r>
        <w:rPr>
          <w:rFonts w:ascii="Calibri" w:eastAsia="Times New Roman" w:hAnsi="Calibri" w:cs="Calibri"/>
          <w:lang w:eastAsia="en-NZ"/>
        </w:rPr>
        <w:t>,</w:t>
      </w:r>
      <w:r w:rsidR="003D640C">
        <w:rPr>
          <w:rFonts w:ascii="Calibri" w:eastAsia="Times New Roman" w:hAnsi="Calibri" w:cs="Calibri"/>
          <w:lang w:eastAsia="en-NZ"/>
        </w:rPr>
        <w:t xml:space="preserve"> </w:t>
      </w:r>
      <w:r>
        <w:rPr>
          <w:rFonts w:ascii="Calibri" w:eastAsia="Times New Roman" w:hAnsi="Calibri" w:cs="Calibri"/>
          <w:lang w:eastAsia="en-NZ"/>
        </w:rPr>
        <w:t>we</w:t>
      </w:r>
      <w:r w:rsidR="003D640C">
        <w:rPr>
          <w:rFonts w:ascii="Calibri" w:eastAsia="Times New Roman" w:hAnsi="Calibri" w:cs="Calibri"/>
          <w:lang w:eastAsia="en-NZ"/>
        </w:rPr>
        <w:t xml:space="preserve"> </w:t>
      </w:r>
      <w:r>
        <w:rPr>
          <w:rFonts w:ascii="Calibri" w:eastAsia="Times New Roman" w:hAnsi="Calibri" w:cs="Calibri"/>
          <w:lang w:eastAsia="en-NZ"/>
        </w:rPr>
        <w:t>were</w:t>
      </w:r>
      <w:r w:rsidR="003D640C">
        <w:rPr>
          <w:rFonts w:ascii="Calibri" w:eastAsia="Times New Roman" w:hAnsi="Calibri" w:cs="Calibri"/>
          <w:lang w:eastAsia="en-NZ"/>
        </w:rPr>
        <w:t xml:space="preserve"> </w:t>
      </w:r>
      <w:r>
        <w:rPr>
          <w:rFonts w:ascii="Calibri" w:eastAsia="Times New Roman" w:hAnsi="Calibri" w:cs="Calibri"/>
          <w:lang w:eastAsia="en-NZ"/>
        </w:rPr>
        <w:t>provided</w:t>
      </w:r>
      <w:r w:rsidR="003D640C">
        <w:rPr>
          <w:rFonts w:ascii="Calibri" w:eastAsia="Times New Roman" w:hAnsi="Calibri" w:cs="Calibri"/>
          <w:lang w:eastAsia="en-NZ"/>
        </w:rPr>
        <w:t xml:space="preserve"> </w:t>
      </w:r>
      <w:r>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$750,000</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2021/22</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$1.5</w:t>
      </w:r>
      <w:r w:rsidR="003D640C">
        <w:rPr>
          <w:rFonts w:ascii="Calibri" w:eastAsia="Times New Roman" w:hAnsi="Calibri" w:cs="Calibri"/>
          <w:lang w:eastAsia="en-NZ"/>
        </w:rPr>
        <w:t xml:space="preserve"> </w:t>
      </w:r>
      <w:r w:rsidRPr="00BB6220">
        <w:rPr>
          <w:rFonts w:ascii="Calibri" w:eastAsia="Times New Roman" w:hAnsi="Calibri" w:cs="Calibri"/>
          <w:lang w:eastAsia="en-NZ"/>
        </w:rPr>
        <w:t>million</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2022/23</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implement</w:t>
      </w:r>
      <w:r w:rsidR="003D640C">
        <w:rPr>
          <w:rFonts w:ascii="Calibri" w:eastAsia="Times New Roman" w:hAnsi="Calibri" w:cs="Calibri"/>
          <w:lang w:eastAsia="en-NZ"/>
        </w:rPr>
        <w:t xml:space="preserve"> </w:t>
      </w:r>
      <w:r>
        <w:rPr>
          <w:rFonts w:ascii="Calibri" w:eastAsia="Times New Roman" w:hAnsi="Calibri" w:cs="Calibri"/>
          <w:lang w:eastAsia="en-NZ"/>
        </w:rPr>
        <w:t>aspects</w:t>
      </w:r>
      <w:r w:rsidR="003D640C">
        <w:rPr>
          <w:rFonts w:ascii="Calibri" w:eastAsia="Times New Roman" w:hAnsi="Calibri" w:cs="Calibri"/>
          <w:lang w:eastAsia="en-NZ"/>
        </w:rPr>
        <w:t xml:space="preserve"> </w:t>
      </w:r>
      <w:r>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civil</w:t>
      </w:r>
      <w:r w:rsidR="003D640C">
        <w:rPr>
          <w:rFonts w:ascii="Calibri" w:eastAsia="Times New Roman" w:hAnsi="Calibri" w:cs="Calibri"/>
          <w:lang w:eastAsia="en-NZ"/>
        </w:rPr>
        <w:t xml:space="preserve"> </w:t>
      </w:r>
      <w:r w:rsidRPr="00BB6220">
        <w:rPr>
          <w:rFonts w:ascii="Calibri" w:eastAsia="Times New Roman" w:hAnsi="Calibri" w:cs="Calibri"/>
          <w:lang w:eastAsia="en-NZ"/>
        </w:rPr>
        <w:t>redress</w:t>
      </w:r>
      <w:r w:rsidR="003D640C">
        <w:rPr>
          <w:rFonts w:ascii="Calibri" w:eastAsia="Times New Roman" w:hAnsi="Calibri" w:cs="Calibri"/>
          <w:lang w:eastAsia="en-NZ"/>
        </w:rPr>
        <w:t xml:space="preserve"> </w:t>
      </w:r>
      <w:r w:rsidRPr="00BB6220">
        <w:rPr>
          <w:rFonts w:ascii="Calibri" w:eastAsia="Times New Roman" w:hAnsi="Calibri" w:cs="Calibri"/>
          <w:lang w:eastAsia="en-NZ"/>
        </w:rPr>
        <w:t>scheme</w:t>
      </w:r>
      <w:r w:rsidR="003D640C">
        <w:rPr>
          <w:rFonts w:ascii="Calibri" w:eastAsia="Times New Roman" w:hAnsi="Calibri" w:cs="Calibri"/>
          <w:lang w:eastAsia="en-NZ"/>
        </w:rPr>
        <w:t xml:space="preserve"> </w:t>
      </w:r>
      <w:r>
        <w:rPr>
          <w:rFonts w:ascii="Calibri" w:eastAsia="Times New Roman" w:hAnsi="Calibri" w:cs="Calibri"/>
          <w:lang w:eastAsia="en-NZ"/>
        </w:rPr>
        <w:t>under</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003D640C">
        <w:rPr>
          <w:rFonts w:ascii="Calibri" w:eastAsia="Times New Roman" w:hAnsi="Calibri" w:cs="Calibri"/>
          <w:lang w:eastAsia="en-NZ"/>
        </w:rPr>
        <w:t xml:space="preserve"> </w:t>
      </w:r>
      <w:r>
        <w:rPr>
          <w:rFonts w:ascii="Calibri" w:eastAsia="Times New Roman" w:hAnsi="Calibri" w:cs="Calibri"/>
          <w:lang w:eastAsia="en-NZ"/>
        </w:rPr>
        <w:t>This</w:t>
      </w:r>
      <w:r w:rsidR="003D640C">
        <w:rPr>
          <w:rFonts w:ascii="Calibri" w:eastAsia="Times New Roman" w:hAnsi="Calibri" w:cs="Calibri"/>
          <w:lang w:eastAsia="en-NZ"/>
        </w:rPr>
        <w:t xml:space="preserve"> </w:t>
      </w:r>
      <w:r>
        <w:rPr>
          <w:rFonts w:ascii="Calibri" w:eastAsia="Times New Roman" w:hAnsi="Calibri" w:cs="Calibri"/>
          <w:lang w:eastAsia="en-NZ"/>
        </w:rPr>
        <w:t>funding</w:t>
      </w:r>
      <w:r w:rsidR="003D640C">
        <w:rPr>
          <w:rFonts w:ascii="Calibri" w:eastAsia="Times New Roman" w:hAnsi="Calibri" w:cs="Calibri"/>
          <w:lang w:eastAsia="en-NZ"/>
        </w:rPr>
        <w:t xml:space="preserve"> </w:t>
      </w:r>
      <w:r>
        <w:rPr>
          <w:rFonts w:ascii="Calibri" w:eastAsia="Times New Roman" w:hAnsi="Calibri" w:cs="Calibri"/>
          <w:lang w:eastAsia="en-NZ"/>
        </w:rPr>
        <w:t>was</w:t>
      </w:r>
      <w:r w:rsidR="003D640C">
        <w:rPr>
          <w:rFonts w:ascii="Calibri" w:eastAsia="Times New Roman" w:hAnsi="Calibri" w:cs="Calibri"/>
          <w:lang w:eastAsia="en-NZ"/>
        </w:rPr>
        <w:t xml:space="preserve"> </w:t>
      </w:r>
      <w:r>
        <w:rPr>
          <w:rFonts w:ascii="Calibri" w:eastAsia="Times New Roman" w:hAnsi="Calibri" w:cs="Calibri"/>
          <w:lang w:eastAsia="en-NZ"/>
        </w:rPr>
        <w:t>provided</w:t>
      </w:r>
      <w:r w:rsidR="003D640C">
        <w:rPr>
          <w:rFonts w:ascii="Calibri" w:eastAsia="Times New Roman" w:hAnsi="Calibri" w:cs="Calibri"/>
          <w:lang w:eastAsia="en-NZ"/>
        </w:rPr>
        <w:t xml:space="preserve"> </w:t>
      </w:r>
      <w:r>
        <w:rPr>
          <w:rFonts w:ascii="Calibri" w:eastAsia="Times New Roman" w:hAnsi="Calibri" w:cs="Calibri"/>
          <w:lang w:eastAsia="en-NZ"/>
        </w:rPr>
        <w:t>to:</w:t>
      </w:r>
    </w:p>
    <w:p w14:paraId="6E44D373" w14:textId="43B4E498" w:rsidR="00501068" w:rsidRDefault="00BB3F27" w:rsidP="00FA0175">
      <w:pPr>
        <w:pStyle w:val="Quote"/>
      </w:pPr>
      <w:r w:rsidRPr="006A3F34">
        <w:t>expand</w:t>
      </w:r>
      <w:r w:rsidR="003D640C" w:rsidRPr="006A3F34">
        <w:t xml:space="preserve"> </w:t>
      </w:r>
      <w:r w:rsidR="004D3596">
        <w:t>[</w:t>
      </w:r>
      <w:r w:rsidRPr="006A3F34">
        <w:t>the</w:t>
      </w:r>
      <w:r w:rsidR="003D640C" w:rsidRPr="006A3F34">
        <w:t xml:space="preserve"> </w:t>
      </w:r>
      <w:r w:rsidRPr="006A3F34">
        <w:t>Commission’s</w:t>
      </w:r>
      <w:r w:rsidR="004D3596">
        <w:t>]</w:t>
      </w:r>
      <w:r w:rsidR="003D640C" w:rsidRPr="006A3F34">
        <w:t xml:space="preserve"> </w:t>
      </w:r>
      <w:r w:rsidRPr="006A3F34">
        <w:t>complaints</w:t>
      </w:r>
      <w:r w:rsidR="003D640C" w:rsidRPr="006A3F34">
        <w:t xml:space="preserve"> </w:t>
      </w:r>
      <w:r w:rsidRPr="006A3F34">
        <w:t>function,</w:t>
      </w:r>
      <w:r w:rsidR="003D640C" w:rsidRPr="006A3F34">
        <w:t xml:space="preserve"> </w:t>
      </w:r>
      <w:r w:rsidRPr="006A3F34">
        <w:t>train</w:t>
      </w:r>
      <w:r w:rsidR="003D640C" w:rsidRPr="006A3F34">
        <w:t xml:space="preserve"> </w:t>
      </w:r>
      <w:r w:rsidRPr="006A3F34">
        <w:t>staff,</w:t>
      </w:r>
      <w:r w:rsidR="003D640C" w:rsidRPr="006A3F34">
        <w:t xml:space="preserve"> </w:t>
      </w:r>
      <w:r w:rsidRPr="006A3F34">
        <w:t>develop</w:t>
      </w:r>
      <w:r w:rsidR="003D640C" w:rsidRPr="006A3F34">
        <w:t xml:space="preserve"> </w:t>
      </w:r>
      <w:r w:rsidRPr="006A3F34">
        <w:t>and</w:t>
      </w:r>
      <w:r w:rsidR="003D640C" w:rsidRPr="006A3F34">
        <w:t xml:space="preserve"> </w:t>
      </w:r>
      <w:r w:rsidRPr="006A3F34">
        <w:t>provide</w:t>
      </w:r>
      <w:r w:rsidR="003D640C" w:rsidRPr="006A3F34">
        <w:t xml:space="preserve"> </w:t>
      </w:r>
      <w:r w:rsidRPr="006A3F34">
        <w:t>education</w:t>
      </w:r>
      <w:r w:rsidR="003D640C" w:rsidRPr="006A3F34">
        <w:t xml:space="preserve"> </w:t>
      </w:r>
      <w:r w:rsidRPr="006A3F34">
        <w:t>on</w:t>
      </w:r>
      <w:r w:rsidR="003D640C" w:rsidRPr="006A3F34">
        <w:t xml:space="preserve"> </w:t>
      </w:r>
      <w:r w:rsidRPr="006A3F34">
        <w:t>the</w:t>
      </w:r>
      <w:r w:rsidR="003D640C" w:rsidRPr="006A3F34">
        <w:t xml:space="preserve"> </w:t>
      </w:r>
      <w:r w:rsidRPr="006A3F34">
        <w:t>prohibition</w:t>
      </w:r>
      <w:r w:rsidR="003D640C" w:rsidRPr="006A3F34">
        <w:t xml:space="preserve"> </w:t>
      </w:r>
      <w:r w:rsidRPr="006A3F34">
        <w:t>and</w:t>
      </w:r>
      <w:r w:rsidR="003D640C" w:rsidRPr="006A3F34">
        <w:t xml:space="preserve"> </w:t>
      </w:r>
      <w:r w:rsidRPr="006A3F34">
        <w:t>the</w:t>
      </w:r>
      <w:r w:rsidR="003D640C" w:rsidRPr="006A3F34">
        <w:t xml:space="preserve"> </w:t>
      </w:r>
      <w:r w:rsidRPr="006A3F34">
        <w:t>civil</w:t>
      </w:r>
      <w:r w:rsidR="003D640C" w:rsidRPr="006A3F34">
        <w:t xml:space="preserve"> </w:t>
      </w:r>
      <w:r w:rsidRPr="006A3F34">
        <w:t>redress</w:t>
      </w:r>
      <w:r w:rsidR="003D640C" w:rsidRPr="006A3F34">
        <w:t xml:space="preserve"> </w:t>
      </w:r>
      <w:r w:rsidRPr="006A3F34">
        <w:t>scheme,</w:t>
      </w:r>
      <w:r w:rsidR="003D640C" w:rsidRPr="006A3F34">
        <w:t xml:space="preserve"> </w:t>
      </w:r>
      <w:r w:rsidRPr="006A3F34">
        <w:t>set</w:t>
      </w:r>
      <w:r w:rsidR="003D640C" w:rsidRPr="006A3F34">
        <w:t xml:space="preserve"> </w:t>
      </w:r>
      <w:r w:rsidRPr="006A3F34">
        <w:t>up</w:t>
      </w:r>
      <w:r w:rsidR="003D640C" w:rsidRPr="006A3F34">
        <w:t xml:space="preserve"> </w:t>
      </w:r>
      <w:r w:rsidRPr="006A3F34">
        <w:t>appropriate</w:t>
      </w:r>
      <w:r w:rsidR="003D640C" w:rsidRPr="006A3F34">
        <w:t xml:space="preserve"> </w:t>
      </w:r>
      <w:r w:rsidRPr="006A3F34">
        <w:t>monitoring</w:t>
      </w:r>
      <w:r w:rsidR="003D640C" w:rsidRPr="006A3F34">
        <w:t xml:space="preserve"> </w:t>
      </w:r>
      <w:r w:rsidRPr="006A3F34">
        <w:t>and</w:t>
      </w:r>
      <w:r w:rsidR="003D640C" w:rsidRPr="006A3F34">
        <w:t xml:space="preserve"> </w:t>
      </w:r>
      <w:r w:rsidRPr="006A3F34">
        <w:t>evaluation,</w:t>
      </w:r>
      <w:r w:rsidR="003D640C" w:rsidRPr="006A3F34">
        <w:t xml:space="preserve"> </w:t>
      </w:r>
      <w:r w:rsidRPr="006A3F34">
        <w:t>deal</w:t>
      </w:r>
      <w:r w:rsidR="003D640C" w:rsidRPr="006A3F34">
        <w:t xml:space="preserve"> </w:t>
      </w:r>
      <w:r w:rsidRPr="006A3F34">
        <w:t>with</w:t>
      </w:r>
      <w:r w:rsidR="003D640C" w:rsidRPr="006A3F34">
        <w:t xml:space="preserve"> </w:t>
      </w:r>
      <w:r w:rsidRPr="006A3F34">
        <w:t>an</w:t>
      </w:r>
      <w:r w:rsidR="003D640C" w:rsidRPr="006A3F34">
        <w:t xml:space="preserve"> </w:t>
      </w:r>
      <w:r w:rsidRPr="006A3F34">
        <w:t>initial</w:t>
      </w:r>
      <w:r w:rsidR="003D640C" w:rsidRPr="006A3F34">
        <w:t xml:space="preserve"> </w:t>
      </w:r>
      <w:r w:rsidRPr="006A3F34">
        <w:t>tranche</w:t>
      </w:r>
      <w:r w:rsidR="003D640C" w:rsidRPr="006A3F34">
        <w:t xml:space="preserve"> </w:t>
      </w:r>
      <w:r w:rsidRPr="006A3F34">
        <w:t>of</w:t>
      </w:r>
      <w:r w:rsidR="003D640C" w:rsidRPr="006A3F34">
        <w:t xml:space="preserve"> </w:t>
      </w:r>
      <w:r w:rsidRPr="006A3F34">
        <w:t>enquiries</w:t>
      </w:r>
      <w:r w:rsidR="003D640C" w:rsidRPr="006A3F34">
        <w:t xml:space="preserve"> </w:t>
      </w:r>
      <w:r w:rsidRPr="006A3F34">
        <w:t>and</w:t>
      </w:r>
      <w:r w:rsidR="003D640C" w:rsidRPr="006A3F34">
        <w:t xml:space="preserve"> </w:t>
      </w:r>
      <w:r w:rsidRPr="006A3F34">
        <w:t>complaints,</w:t>
      </w:r>
      <w:r w:rsidR="003D640C" w:rsidRPr="006A3F34">
        <w:t xml:space="preserve"> </w:t>
      </w:r>
      <w:r w:rsidRPr="006A3F34">
        <w:t>and</w:t>
      </w:r>
      <w:r w:rsidR="003D640C" w:rsidRPr="006A3F34">
        <w:t xml:space="preserve"> </w:t>
      </w:r>
      <w:r w:rsidRPr="006A3F34">
        <w:t>exercise</w:t>
      </w:r>
      <w:r w:rsidR="003D640C" w:rsidRPr="006A3F34">
        <w:t xml:space="preserve"> </w:t>
      </w:r>
      <w:r w:rsidRPr="006A3F34">
        <w:t>its</w:t>
      </w:r>
      <w:r w:rsidR="003D640C" w:rsidRPr="006A3F34">
        <w:t xml:space="preserve"> </w:t>
      </w:r>
      <w:r w:rsidRPr="006A3F34">
        <w:t>general</w:t>
      </w:r>
      <w:r w:rsidR="003D640C" w:rsidRPr="006A3F34">
        <w:t xml:space="preserve"> </w:t>
      </w:r>
      <w:r w:rsidRPr="006A3F34">
        <w:t>powers</w:t>
      </w:r>
      <w:r w:rsidR="003D640C" w:rsidRPr="006A3F34">
        <w:t xml:space="preserve"> </w:t>
      </w:r>
      <w:r w:rsidRPr="006A3F34">
        <w:t>and</w:t>
      </w:r>
      <w:r w:rsidR="003D640C" w:rsidRPr="006A3F34">
        <w:t xml:space="preserve"> </w:t>
      </w:r>
      <w:r w:rsidRPr="006A3F34">
        <w:t>functions</w:t>
      </w:r>
      <w:r w:rsidR="003D640C" w:rsidRPr="006A3F34">
        <w:t xml:space="preserve"> </w:t>
      </w:r>
      <w:r w:rsidRPr="006A3F34">
        <w:t>in</w:t>
      </w:r>
      <w:r w:rsidR="003D640C" w:rsidRPr="006A3F34">
        <w:t xml:space="preserve"> </w:t>
      </w:r>
      <w:r w:rsidRPr="006A3F34">
        <w:t>respect</w:t>
      </w:r>
      <w:r w:rsidR="003D640C" w:rsidRPr="006A3F34">
        <w:t xml:space="preserve"> </w:t>
      </w:r>
      <w:r w:rsidRPr="006A3F34">
        <w:t>of</w:t>
      </w:r>
      <w:r w:rsidR="003D640C" w:rsidRPr="006A3F34">
        <w:t xml:space="preserve"> </w:t>
      </w:r>
      <w:r w:rsidRPr="006A3F34">
        <w:t>conversion</w:t>
      </w:r>
      <w:r w:rsidR="003D640C" w:rsidRPr="006A3F34">
        <w:t xml:space="preserve"> </w:t>
      </w:r>
      <w:r w:rsidRPr="006A3F34">
        <w:t>practices.</w:t>
      </w:r>
      <w:r w:rsidR="003D640C" w:rsidRPr="006A3F34">
        <w:t xml:space="preserve"> </w:t>
      </w:r>
      <w:r w:rsidRPr="006A3F34">
        <w:t>The</w:t>
      </w:r>
      <w:r w:rsidR="003D640C" w:rsidRPr="006A3F34">
        <w:t xml:space="preserve"> </w:t>
      </w:r>
      <w:r w:rsidRPr="006A3F34">
        <w:t>Commission</w:t>
      </w:r>
      <w:r w:rsidR="003D640C" w:rsidRPr="006A3F34">
        <w:t xml:space="preserve"> </w:t>
      </w:r>
      <w:r w:rsidRPr="006A3F34">
        <w:t>will</w:t>
      </w:r>
      <w:r w:rsidR="003D640C" w:rsidRPr="006A3F34">
        <w:t xml:space="preserve"> </w:t>
      </w:r>
      <w:r w:rsidRPr="006A3F34">
        <w:t>engage</w:t>
      </w:r>
      <w:r w:rsidR="003D640C" w:rsidRPr="006A3F34">
        <w:t xml:space="preserve"> </w:t>
      </w:r>
      <w:r w:rsidRPr="006A3F34">
        <w:t>with</w:t>
      </w:r>
      <w:r w:rsidR="003D640C" w:rsidRPr="006A3F34">
        <w:t xml:space="preserve"> </w:t>
      </w:r>
      <w:r w:rsidRPr="006A3F34">
        <w:t>communities</w:t>
      </w:r>
      <w:r w:rsidR="003D640C" w:rsidRPr="006A3F34">
        <w:t xml:space="preserve"> </w:t>
      </w:r>
      <w:r w:rsidRPr="006A3F34">
        <w:t>(particularly</w:t>
      </w:r>
      <w:r w:rsidR="003D640C" w:rsidRPr="006A3F34">
        <w:t xml:space="preserve"> </w:t>
      </w:r>
      <w:r w:rsidRPr="006A3F34">
        <w:t>survivors</w:t>
      </w:r>
      <w:r w:rsidR="003D640C" w:rsidRPr="006A3F34">
        <w:t xml:space="preserve"> </w:t>
      </w:r>
      <w:r w:rsidRPr="006A3F34">
        <w:t>of</w:t>
      </w:r>
      <w:r w:rsidR="003D640C" w:rsidRPr="006A3F34">
        <w:t xml:space="preserve"> </w:t>
      </w:r>
      <w:r w:rsidRPr="00BB6220">
        <w:t>conversion</w:t>
      </w:r>
      <w:r w:rsidR="003D640C">
        <w:t xml:space="preserve"> </w:t>
      </w:r>
      <w:r w:rsidRPr="00BB6220">
        <w:t>practices</w:t>
      </w:r>
      <w:r w:rsidR="003D640C">
        <w:t xml:space="preserve"> </w:t>
      </w:r>
      <w:r w:rsidRPr="00BB6220">
        <w:t>and</w:t>
      </w:r>
      <w:r w:rsidR="003D640C">
        <w:t xml:space="preserve"> </w:t>
      </w:r>
      <w:r w:rsidRPr="00BB6220">
        <w:t>rainbow</w:t>
      </w:r>
      <w:r w:rsidR="003D640C">
        <w:t xml:space="preserve"> </w:t>
      </w:r>
      <w:r w:rsidRPr="00BB6220">
        <w:t>communities)</w:t>
      </w:r>
      <w:r w:rsidR="003D640C">
        <w:t xml:space="preserve"> </w:t>
      </w:r>
      <w:r w:rsidRPr="00BB6220">
        <w:t>and</w:t>
      </w:r>
      <w:r w:rsidR="003D640C">
        <w:t xml:space="preserve"> </w:t>
      </w:r>
      <w:r w:rsidRPr="00BB6220">
        <w:t>across</w:t>
      </w:r>
      <w:r w:rsidR="003D640C">
        <w:t xml:space="preserve"> </w:t>
      </w:r>
      <w:r w:rsidRPr="00BB6220">
        <w:t>agencies</w:t>
      </w:r>
      <w:r w:rsidR="003D640C">
        <w:t xml:space="preserve"> </w:t>
      </w:r>
      <w:r w:rsidRPr="00BB6220">
        <w:t>in</w:t>
      </w:r>
      <w:r w:rsidR="003D640C">
        <w:t xml:space="preserve"> </w:t>
      </w:r>
      <w:r w:rsidRPr="00BB6220">
        <w:t>designing</w:t>
      </w:r>
      <w:r w:rsidR="003D640C">
        <w:t xml:space="preserve"> </w:t>
      </w:r>
      <w:r w:rsidRPr="00BB6220">
        <w:t>and</w:t>
      </w:r>
      <w:r w:rsidR="003D640C">
        <w:t xml:space="preserve"> </w:t>
      </w:r>
      <w:r w:rsidRPr="00BB6220">
        <w:t>implementing</w:t>
      </w:r>
      <w:r w:rsidR="003D640C">
        <w:t xml:space="preserve"> </w:t>
      </w:r>
      <w:r w:rsidRPr="00BB6220">
        <w:t>the</w:t>
      </w:r>
      <w:r w:rsidR="003D640C">
        <w:t xml:space="preserve"> </w:t>
      </w:r>
      <w:r w:rsidRPr="00BB6220">
        <w:t>civil</w:t>
      </w:r>
      <w:r w:rsidR="003D640C">
        <w:t xml:space="preserve"> </w:t>
      </w:r>
      <w:r w:rsidRPr="00BB6220">
        <w:t>redress</w:t>
      </w:r>
      <w:r w:rsidR="003D640C">
        <w:t xml:space="preserve"> </w:t>
      </w:r>
      <w:r w:rsidRPr="00BB6220">
        <w:t>scheme.</w:t>
      </w:r>
      <w:r w:rsidRPr="00BB6220">
        <w:rPr>
          <w:rStyle w:val="FootnoteReference"/>
          <w:rFonts w:ascii="Calibri" w:eastAsia="Times New Roman" w:hAnsi="Calibri" w:cs="Calibri"/>
        </w:rPr>
        <w:footnoteReference w:id="32"/>
      </w:r>
      <w:r w:rsidR="003D640C">
        <w:t xml:space="preserve"> </w:t>
      </w:r>
    </w:p>
    <w:p w14:paraId="42F4469A" w14:textId="3EC9FDC6" w:rsidR="00501068" w:rsidRDefault="00BB3F27" w:rsidP="0078026B">
      <w:pPr>
        <w:rPr>
          <w:rFonts w:ascii="Calibri" w:eastAsia="Times New Roman" w:hAnsi="Calibri" w:cs="Calibri"/>
          <w:lang w:eastAsia="en-NZ"/>
        </w:rPr>
      </w:pPr>
      <w:r>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part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this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work,</w:t>
      </w:r>
      <w:r w:rsidR="003D640C">
        <w:rPr>
          <w:rFonts w:ascii="Calibri" w:eastAsia="Times New Roman" w:hAnsi="Calibri" w:cs="Calibri"/>
          <w:shd w:val="clear" w:color="auto" w:fill="FFFFFF"/>
          <w:lang w:eastAsia="en-NZ"/>
        </w:rPr>
        <w:t xml:space="preserve"> </w:t>
      </w:r>
      <w:r w:rsidR="00864B1A">
        <w:rPr>
          <w:rFonts w:ascii="Calibri" w:eastAsia="Times New Roman" w:hAnsi="Calibri" w:cs="Calibri"/>
          <w:shd w:val="clear" w:color="auto" w:fill="FFFFFF"/>
          <w:lang w:eastAsia="en-NZ"/>
        </w:rPr>
        <w:t xml:space="preserve">as outlined in the Bill’s commentary,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Commission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provid</w:t>
      </w:r>
      <w:r>
        <w:rPr>
          <w:rFonts w:ascii="Calibri" w:eastAsia="Times New Roman" w:hAnsi="Calibri" w:cs="Calibri"/>
          <w:shd w:val="clear" w:color="auto" w:fill="FFFFFF"/>
          <w:lang w:eastAsia="en-NZ"/>
        </w:rPr>
        <w:t>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education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about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their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prohibition,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build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awareness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among</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survivors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how</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lastRenderedPageBreak/>
        <w:t>t</w:t>
      </w:r>
      <w:r>
        <w:rPr>
          <w:rFonts w:ascii="Calibri" w:eastAsia="Times New Roman" w:hAnsi="Calibri" w:cs="Calibri"/>
          <w:shd w:val="clear" w:color="auto" w:fill="FFFFFF"/>
          <w:lang w:eastAsia="en-NZ"/>
        </w:rPr>
        <w:t>hey</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could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access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support.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These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tasks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build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our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existing</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functions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under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00455E0E">
        <w:rPr>
          <w:rFonts w:ascii="Calibri" w:eastAsia="Times New Roman" w:hAnsi="Calibri" w:cs="Calibri"/>
          <w:shd w:val="clear" w:color="auto" w:fill="FFFFFF"/>
          <w:lang w:eastAsia="en-NZ"/>
        </w:rPr>
        <w:t xml:space="preserve">Human Rights Act </w:t>
      </w:r>
      <w:r>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were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considered</w:t>
      </w:r>
      <w:r w:rsidR="00BB1A3B">
        <w:rPr>
          <w:rFonts w:ascii="Calibri" w:eastAsia="Times New Roman" w:hAnsi="Calibri" w:cs="Calibri"/>
          <w:shd w:val="clear" w:color="auto" w:fill="FFFFFF"/>
          <w:lang w:eastAsia="en-NZ"/>
        </w:rPr>
        <w:t xml:space="preserve"> by the </w:t>
      </w:r>
      <w:r w:rsidR="00BB1A3B">
        <w:rPr>
          <w:rFonts w:ascii="Calibri" w:eastAsia="Times New Roman" w:hAnsi="Calibri" w:cs="Calibri"/>
          <w:lang w:eastAsia="en-NZ"/>
        </w:rPr>
        <w:t xml:space="preserve">Justice </w:t>
      </w:r>
      <w:r w:rsidR="00BB1A3B" w:rsidRPr="00BB6220">
        <w:rPr>
          <w:rFonts w:ascii="Calibri" w:eastAsia="Times New Roman" w:hAnsi="Calibri" w:cs="Calibri"/>
          <w:lang w:eastAsia="en-NZ"/>
        </w:rPr>
        <w:t>Select</w:t>
      </w:r>
      <w:r w:rsidR="00BB1A3B">
        <w:rPr>
          <w:rFonts w:ascii="Calibri" w:eastAsia="Times New Roman" w:hAnsi="Calibri" w:cs="Calibri"/>
          <w:lang w:eastAsia="en-NZ"/>
        </w:rPr>
        <w:t xml:space="preserve"> </w:t>
      </w:r>
      <w:r w:rsidR="00BB1A3B" w:rsidRPr="00BB6220">
        <w:rPr>
          <w:rFonts w:ascii="Calibri" w:eastAsia="Times New Roman" w:hAnsi="Calibri" w:cs="Calibri"/>
          <w:lang w:eastAsia="en-NZ"/>
        </w:rPr>
        <w:t>Committee</w:t>
      </w:r>
      <w:r w:rsidR="00BB1A3B">
        <w:rPr>
          <w:rFonts w:ascii="Calibri" w:eastAsia="Times New Roman" w:hAnsi="Calibri" w:cs="Calibri"/>
          <w:lang w:eastAsia="en-NZ"/>
        </w:rPr>
        <w:t xml:space="preserve"> </w:t>
      </w:r>
      <w:r w:rsidR="00BB1A3B">
        <w:rPr>
          <w:rFonts w:ascii="Calibri" w:eastAsia="Times New Roman" w:hAnsi="Calibri" w:cs="Calibri"/>
          <w:shd w:val="clear" w:color="auto" w:fill="FFFFFF"/>
          <w:lang w:eastAsia="en-NZ"/>
        </w:rPr>
        <w:t xml:space="preserve">as </w:t>
      </w:r>
      <w:r>
        <w:rPr>
          <w:rFonts w:ascii="Calibri" w:eastAsia="Times New Roman" w:hAnsi="Calibri" w:cs="Calibri"/>
          <w:shd w:val="clear" w:color="auto" w:fill="FFFFFF"/>
          <w:lang w:eastAsia="en-NZ"/>
        </w:rPr>
        <w:t>“</w:t>
      </w:r>
      <w:r w:rsidRPr="00BB6220">
        <w:rPr>
          <w:rFonts w:ascii="Calibri" w:eastAsia="Times New Roman" w:hAnsi="Calibri" w:cs="Calibri"/>
          <w:lang w:eastAsia="en-NZ"/>
        </w:rPr>
        <w:t>an</w:t>
      </w:r>
      <w:r w:rsidR="003D640C">
        <w:rPr>
          <w:rFonts w:ascii="Calibri" w:eastAsia="Times New Roman" w:hAnsi="Calibri" w:cs="Calibri"/>
          <w:lang w:eastAsia="en-NZ"/>
        </w:rPr>
        <w:t xml:space="preserve"> </w:t>
      </w:r>
      <w:r w:rsidRPr="00BB6220">
        <w:rPr>
          <w:rFonts w:ascii="Calibri" w:eastAsia="Times New Roman" w:hAnsi="Calibri" w:cs="Calibri"/>
          <w:lang w:eastAsia="en-NZ"/>
        </w:rPr>
        <w:t>important</w:t>
      </w:r>
      <w:r w:rsidR="003D640C">
        <w:rPr>
          <w:rFonts w:ascii="Calibri" w:eastAsia="Times New Roman" w:hAnsi="Calibri" w:cs="Calibri"/>
          <w:lang w:eastAsia="en-NZ"/>
        </w:rPr>
        <w:t xml:space="preserve"> </w:t>
      </w:r>
      <w:r w:rsidRPr="00BB6220">
        <w:rPr>
          <w:rFonts w:ascii="Calibri" w:eastAsia="Times New Roman" w:hAnsi="Calibri" w:cs="Calibri"/>
          <w:lang w:eastAsia="en-NZ"/>
        </w:rPr>
        <w:t>part</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achieving</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purpose</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00814E13">
        <w:rPr>
          <w:rFonts w:ascii="Calibri" w:eastAsia="Times New Roman" w:hAnsi="Calibri" w:cs="Calibri"/>
          <w:lang w:eastAsia="en-NZ"/>
        </w:rPr>
        <w:t>.</w:t>
      </w:r>
      <w:r w:rsidRPr="00BB6220">
        <w:rPr>
          <w:rStyle w:val="FootnoteReference"/>
          <w:rFonts w:ascii="Calibri" w:eastAsia="Times New Roman" w:hAnsi="Calibri" w:cs="Calibri"/>
          <w:lang w:eastAsia="en-NZ"/>
        </w:rPr>
        <w:footnoteReference w:id="33"/>
      </w:r>
      <w:r w:rsidR="003D640C">
        <w:rPr>
          <w:rFonts w:ascii="Calibri" w:eastAsia="Times New Roman" w:hAnsi="Calibri" w:cs="Calibri"/>
          <w:lang w:eastAsia="en-NZ"/>
        </w:rPr>
        <w:t xml:space="preserve"> </w:t>
      </w:r>
    </w:p>
    <w:p w14:paraId="713AD00A" w14:textId="4803EDFC" w:rsidR="00501068" w:rsidRDefault="00BB3F27" w:rsidP="0078026B">
      <w:pPr>
        <w:rPr>
          <w:rFonts w:ascii="Segoe UI" w:eastAsia="Times New Roman" w:hAnsi="Segoe UI" w:cs="Segoe UI"/>
          <w:lang w:eastAsia="en-NZ"/>
        </w:rPr>
      </w:pPr>
      <w:r w:rsidRPr="00BB6220">
        <w:rPr>
          <w:rFonts w:ascii="Calibri" w:eastAsia="Times New Roman" w:hAnsi="Calibri" w:cs="Calibri"/>
          <w:lang w:eastAsia="en-NZ"/>
        </w:rPr>
        <w:t>Having</w:t>
      </w:r>
      <w:r w:rsidR="003D640C">
        <w:rPr>
          <w:rFonts w:ascii="Calibri" w:eastAsia="Times New Roman" w:hAnsi="Calibri" w:cs="Calibri"/>
          <w:lang w:eastAsia="en-NZ"/>
        </w:rPr>
        <w:t xml:space="preserve"> </w:t>
      </w:r>
      <w:r w:rsidRPr="00BB6220">
        <w:rPr>
          <w:rFonts w:ascii="Calibri" w:eastAsia="Times New Roman" w:hAnsi="Calibri" w:cs="Calibri"/>
          <w:lang w:eastAsia="en-NZ"/>
        </w:rPr>
        <w:t>been</w:t>
      </w:r>
      <w:r w:rsidR="003D640C">
        <w:rPr>
          <w:rFonts w:ascii="Calibri" w:eastAsia="Times New Roman" w:hAnsi="Calibri" w:cs="Calibri"/>
          <w:lang w:eastAsia="en-NZ"/>
        </w:rPr>
        <w:t xml:space="preserve"> </w:t>
      </w:r>
      <w:r w:rsidRPr="00BB6220">
        <w:rPr>
          <w:rFonts w:ascii="Calibri" w:eastAsia="Times New Roman" w:hAnsi="Calibri" w:cs="Calibri"/>
          <w:lang w:eastAsia="en-NZ"/>
        </w:rPr>
        <w:t>charged</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implementing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civil</w:t>
      </w:r>
      <w:r w:rsidR="003D640C">
        <w:rPr>
          <w:rFonts w:ascii="Calibri" w:eastAsia="Times New Roman" w:hAnsi="Calibri" w:cs="Calibri"/>
          <w:lang w:eastAsia="en-NZ"/>
        </w:rPr>
        <w:t xml:space="preserve"> </w:t>
      </w:r>
      <w:r>
        <w:rPr>
          <w:rFonts w:ascii="Calibri" w:eastAsia="Times New Roman" w:hAnsi="Calibri" w:cs="Calibri"/>
          <w:lang w:eastAsia="en-NZ"/>
        </w:rPr>
        <w:t>response</w:t>
      </w:r>
      <w:r w:rsidR="003D640C">
        <w:rPr>
          <w:rFonts w:ascii="Calibri" w:eastAsia="Times New Roman" w:hAnsi="Calibri" w:cs="Calibri"/>
          <w:lang w:eastAsia="en-NZ"/>
        </w:rPr>
        <w:t xml:space="preserve"> </w:t>
      </w:r>
      <w:r>
        <w:rPr>
          <w:rFonts w:ascii="Calibri" w:eastAsia="Times New Roman" w:hAnsi="Calibri" w:cs="Calibri"/>
          <w:lang w:eastAsia="en-NZ"/>
        </w:rPr>
        <w:t>service</w:t>
      </w:r>
      <w:r w:rsidR="003D640C">
        <w:rPr>
          <w:rFonts w:ascii="Calibri" w:eastAsia="Times New Roman" w:hAnsi="Calibri" w:cs="Calibri"/>
          <w:lang w:eastAsia="en-NZ"/>
        </w:rPr>
        <w:t xml:space="preserve"> </w:t>
      </w:r>
      <w:r>
        <w:rPr>
          <w:rFonts w:ascii="Calibri" w:eastAsia="Times New Roman" w:hAnsi="Calibri" w:cs="Calibri"/>
          <w:lang w:eastAsia="en-NZ"/>
        </w:rPr>
        <w:t>under</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Pr="00BB6220">
        <w:rPr>
          <w:rFonts w:ascii="Calibri" w:eastAsia="Times New Roman" w:hAnsi="Calibri" w:cs="Calibri"/>
          <w:lang w:eastAsia="en-NZ"/>
        </w:rPr>
        <w:t>as</w:t>
      </w:r>
      <w:r w:rsidR="003D640C">
        <w:rPr>
          <w:rFonts w:ascii="Calibri" w:eastAsia="Times New Roman" w:hAnsi="Calibri" w:cs="Calibri"/>
          <w:lang w:eastAsia="en-NZ"/>
        </w:rPr>
        <w:t xml:space="preserve"> </w:t>
      </w:r>
      <w:r w:rsidRPr="00BB6220">
        <w:rPr>
          <w:rFonts w:ascii="Calibri" w:eastAsia="Times New Roman" w:hAnsi="Calibri" w:cs="Calibri"/>
          <w:lang w:eastAsia="en-NZ"/>
        </w:rPr>
        <w:t>well</w:t>
      </w:r>
      <w:r w:rsidR="003D640C">
        <w:rPr>
          <w:rFonts w:ascii="Calibri" w:eastAsia="Times New Roman" w:hAnsi="Calibri" w:cs="Calibri"/>
          <w:lang w:eastAsia="en-NZ"/>
        </w:rPr>
        <w:t xml:space="preserve"> </w:t>
      </w:r>
      <w:r w:rsidRPr="00BB6220">
        <w:rPr>
          <w:rFonts w:ascii="Calibri" w:eastAsia="Times New Roman" w:hAnsi="Calibri" w:cs="Calibri"/>
          <w:lang w:eastAsia="en-NZ"/>
        </w:rPr>
        <w:t>as</w:t>
      </w:r>
      <w:r w:rsidR="003D640C">
        <w:rPr>
          <w:rFonts w:ascii="Calibri" w:eastAsia="Times New Roman" w:hAnsi="Calibri" w:cs="Calibri"/>
          <w:lang w:eastAsia="en-NZ"/>
        </w:rPr>
        <w:t xml:space="preserve"> </w:t>
      </w:r>
      <w:r w:rsidRPr="00BB6220">
        <w:rPr>
          <w:rFonts w:ascii="Calibri" w:eastAsia="Times New Roman" w:hAnsi="Calibri" w:cs="Calibri"/>
          <w:lang w:eastAsia="en-NZ"/>
        </w:rPr>
        <w:t>undertaking</w:t>
      </w:r>
      <w:r w:rsidR="003D640C">
        <w:rPr>
          <w:rFonts w:ascii="Calibri" w:eastAsia="Times New Roman" w:hAnsi="Calibri" w:cs="Calibri"/>
          <w:lang w:eastAsia="en-NZ"/>
        </w:rPr>
        <w:t xml:space="preserve"> </w:t>
      </w:r>
      <w:r w:rsidRPr="00BB6220">
        <w:rPr>
          <w:rFonts w:ascii="Calibri" w:eastAsia="Times New Roman" w:hAnsi="Calibri" w:cs="Calibri"/>
          <w:lang w:eastAsia="en-NZ"/>
        </w:rPr>
        <w:t>education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prevention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work,</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Commission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sought</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centre</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diverse</w:t>
      </w:r>
      <w:r w:rsidR="003D640C">
        <w:rPr>
          <w:rFonts w:ascii="Calibri" w:eastAsia="Times New Roman" w:hAnsi="Calibri" w:cs="Calibri"/>
          <w:lang w:eastAsia="en-NZ"/>
        </w:rPr>
        <w:t xml:space="preserve"> </w:t>
      </w:r>
      <w:r w:rsidRPr="00BB6220">
        <w:rPr>
          <w:rFonts w:ascii="Calibri" w:eastAsia="Times New Roman" w:hAnsi="Calibri" w:cs="Calibri"/>
          <w:lang w:eastAsia="en-NZ"/>
        </w:rPr>
        <w:t>range</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w:t>
      </w:r>
      <w:r w:rsidR="003D640C">
        <w:rPr>
          <w:rFonts w:ascii="Calibri" w:eastAsia="Times New Roman" w:hAnsi="Calibri" w:cs="Calibri"/>
          <w:lang w:eastAsia="en-NZ"/>
        </w:rPr>
        <w:t xml:space="preserve"> </w:t>
      </w:r>
      <w:r w:rsidRPr="00BB6220">
        <w:rPr>
          <w:rFonts w:ascii="Calibri" w:eastAsia="Times New Roman" w:hAnsi="Calibri" w:cs="Calibri"/>
          <w:lang w:eastAsia="en-NZ"/>
        </w:rPr>
        <w:t>voices</w:t>
      </w:r>
      <w:r w:rsidR="003D640C">
        <w:rPr>
          <w:rFonts w:ascii="Calibri" w:eastAsia="Times New Roman" w:hAnsi="Calibri" w:cs="Calibri"/>
          <w:lang w:eastAsia="en-NZ"/>
        </w:rPr>
        <w:t xml:space="preserve"> </w:t>
      </w:r>
      <w:r>
        <w:rPr>
          <w:rFonts w:ascii="Calibri" w:eastAsia="Times New Roman" w:hAnsi="Calibri" w:cs="Calibri"/>
          <w:lang w:eastAsia="en-NZ"/>
        </w:rPr>
        <w:t>from</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outset.</w:t>
      </w:r>
      <w:r w:rsidR="003D640C">
        <w:rPr>
          <w:rFonts w:ascii="Calibri" w:eastAsia="Times New Roman" w:hAnsi="Calibri" w:cs="Calibri"/>
          <w:lang w:eastAsia="en-NZ"/>
        </w:rPr>
        <w:t xml:space="preserve"> </w:t>
      </w:r>
      <w:r>
        <w:rPr>
          <w:rFonts w:ascii="Calibri" w:eastAsia="Times New Roman" w:hAnsi="Calibri" w:cs="Calibri"/>
          <w:lang w:eastAsia="en-NZ"/>
        </w:rPr>
        <w:t>We</w:t>
      </w:r>
      <w:r w:rsidR="003D640C">
        <w:rPr>
          <w:rFonts w:ascii="Calibri" w:eastAsia="Times New Roman" w:hAnsi="Calibri" w:cs="Calibri"/>
          <w:lang w:eastAsia="en-NZ"/>
        </w:rPr>
        <w:t xml:space="preserve"> </w:t>
      </w:r>
      <w:r>
        <w:rPr>
          <w:rFonts w:ascii="Calibri" w:eastAsia="Times New Roman" w:hAnsi="Calibri" w:cs="Calibri"/>
          <w:lang w:eastAsia="en-NZ"/>
        </w:rPr>
        <w:t>recognised</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importance</w:t>
      </w:r>
      <w:r w:rsidR="003D640C">
        <w:rPr>
          <w:rFonts w:ascii="Calibri" w:eastAsia="Times New Roman" w:hAnsi="Calibri" w:cs="Calibri"/>
          <w:lang w:eastAsia="en-NZ"/>
        </w:rPr>
        <w:t xml:space="preserve"> </w:t>
      </w:r>
      <w:r>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bring</w:t>
      </w:r>
      <w:r>
        <w:rPr>
          <w:rFonts w:ascii="Calibri" w:eastAsia="Times New Roman" w:hAnsi="Calibri" w:cs="Calibri"/>
          <w:lang w:eastAsia="en-NZ"/>
        </w:rPr>
        <w: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nuance,</w:t>
      </w:r>
      <w:r w:rsidR="003D640C">
        <w:rPr>
          <w:rFonts w:ascii="Calibri" w:eastAsia="Times New Roman" w:hAnsi="Calibri" w:cs="Calibri"/>
          <w:lang w:eastAsia="en-NZ"/>
        </w:rPr>
        <w:t xml:space="preserve"> </w:t>
      </w:r>
      <w:r w:rsidRPr="00BB6220">
        <w:rPr>
          <w:rFonts w:ascii="Calibri" w:eastAsia="Times New Roman" w:hAnsi="Calibri" w:cs="Calibri"/>
          <w:lang w:eastAsia="en-NZ"/>
        </w:rPr>
        <w:t>balance,</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bridge-building</w:t>
      </w:r>
      <w:r w:rsidR="003D640C">
        <w:rPr>
          <w:rFonts w:ascii="Calibri" w:eastAsia="Times New Roman" w:hAnsi="Calibri" w:cs="Calibri"/>
          <w:lang w:eastAsia="en-NZ"/>
        </w:rPr>
        <w:t xml:space="preserve"> </w:t>
      </w:r>
      <w:r w:rsidRPr="00BB6220">
        <w:rPr>
          <w:rFonts w:ascii="Calibri" w:eastAsia="Times New Roman" w:hAnsi="Calibri" w:cs="Calibri"/>
          <w:lang w:eastAsia="en-NZ"/>
        </w:rPr>
        <w:t>approaches</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both</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public</w:t>
      </w:r>
      <w:r w:rsidR="003D640C">
        <w:rPr>
          <w:rFonts w:ascii="Calibri" w:eastAsia="Times New Roman" w:hAnsi="Calibri" w:cs="Calibri"/>
          <w:lang w:eastAsia="en-NZ"/>
        </w:rPr>
        <w:t xml:space="preserve"> </w:t>
      </w:r>
      <w:r>
        <w:rPr>
          <w:rFonts w:ascii="Calibri" w:eastAsia="Times New Roman" w:hAnsi="Calibri" w:cs="Calibri"/>
          <w:lang w:eastAsia="en-NZ"/>
        </w:rPr>
        <w:t>discussion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introduction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civil</w:t>
      </w:r>
      <w:r w:rsidR="003D640C">
        <w:rPr>
          <w:rFonts w:ascii="Calibri" w:eastAsia="Times New Roman" w:hAnsi="Calibri" w:cs="Calibri"/>
          <w:lang w:eastAsia="en-NZ"/>
        </w:rPr>
        <w:t xml:space="preserve"> </w:t>
      </w:r>
      <w:r w:rsidRPr="00BB6220">
        <w:rPr>
          <w:rFonts w:ascii="Calibri" w:eastAsia="Times New Roman" w:hAnsi="Calibri" w:cs="Calibri"/>
          <w:lang w:eastAsia="en-NZ"/>
        </w:rPr>
        <w:t>redress</w:t>
      </w:r>
      <w:r w:rsidR="003D640C">
        <w:rPr>
          <w:rFonts w:ascii="Calibri" w:eastAsia="Times New Roman" w:hAnsi="Calibri" w:cs="Calibri"/>
          <w:lang w:eastAsia="en-NZ"/>
        </w:rPr>
        <w:t xml:space="preserve"> </w:t>
      </w:r>
      <w:r>
        <w:rPr>
          <w:rFonts w:ascii="Calibri" w:eastAsia="Times New Roman" w:hAnsi="Calibri" w:cs="Calibri"/>
          <w:lang w:eastAsia="en-NZ"/>
        </w:rPr>
        <w:t>service</w:t>
      </w:r>
      <w:r w:rsidR="003D640C">
        <w:rPr>
          <w:rFonts w:ascii="Calibri" w:eastAsia="Times New Roman" w:hAnsi="Calibri" w:cs="Calibri"/>
          <w:lang w:eastAsia="en-NZ"/>
        </w:rPr>
        <w:t xml:space="preserve"> </w:t>
      </w:r>
      <w:r>
        <w:rPr>
          <w:rFonts w:ascii="Calibri" w:eastAsia="Times New Roman" w:hAnsi="Calibri" w:cs="Calibri"/>
          <w:lang w:eastAsia="en-NZ"/>
        </w:rPr>
        <w:t>set</w:t>
      </w:r>
      <w:r w:rsidR="003D640C">
        <w:rPr>
          <w:rFonts w:ascii="Calibri" w:eastAsia="Times New Roman" w:hAnsi="Calibri" w:cs="Calibri"/>
          <w:lang w:eastAsia="en-NZ"/>
        </w:rPr>
        <w:t xml:space="preserve"> </w:t>
      </w:r>
      <w:r>
        <w:rPr>
          <w:rFonts w:ascii="Calibri" w:eastAsia="Times New Roman" w:hAnsi="Calibri" w:cs="Calibri"/>
          <w:lang w:eastAsia="en-NZ"/>
        </w:rPr>
        <w:t>up</w:t>
      </w:r>
      <w:r w:rsidR="003D640C">
        <w:rPr>
          <w:rFonts w:ascii="Calibri" w:eastAsia="Times New Roman" w:hAnsi="Calibri" w:cs="Calibri"/>
          <w:lang w:eastAsia="en-NZ"/>
        </w:rPr>
        <w:t xml:space="preserve"> </w:t>
      </w:r>
      <w:r>
        <w:rPr>
          <w:rFonts w:ascii="Calibri" w:eastAsia="Times New Roman" w:hAnsi="Calibri" w:cs="Calibri"/>
          <w:lang w:eastAsia="en-NZ"/>
        </w:rPr>
        <w:t>under</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Pr="00BB6220">
        <w:rPr>
          <w:rFonts w:ascii="Calibri" w:eastAsia="Times New Roman" w:hAnsi="Calibri" w:cs="Calibri"/>
          <w:lang w:eastAsia="en-NZ"/>
        </w:rPr>
        <w:t>.</w:t>
      </w:r>
      <w:r w:rsidR="003D640C">
        <w:rPr>
          <w:rFonts w:ascii="Calibri" w:eastAsia="Times New Roman" w:hAnsi="Calibri" w:cs="Calibri"/>
          <w:lang w:eastAsia="en-NZ"/>
        </w:rPr>
        <w:t xml:space="preserve"> </w:t>
      </w:r>
    </w:p>
    <w:p w14:paraId="689ACCF4" w14:textId="304564DA" w:rsidR="00BB3F27" w:rsidRDefault="00BB3F27" w:rsidP="006A3F34">
      <w:pPr>
        <w:pStyle w:val="Heading2"/>
        <w:rPr>
          <w:shd w:val="clear" w:color="auto" w:fill="FFFFFF"/>
        </w:rPr>
      </w:pPr>
      <w:bookmarkStart w:id="50" w:name="_Toc167780575"/>
      <w:bookmarkStart w:id="51" w:name="_Toc1562074692"/>
      <w:bookmarkStart w:id="52" w:name="_Toc174628633"/>
      <w:r>
        <w:rPr>
          <w:shd w:val="clear" w:color="auto" w:fill="FFFFFF"/>
        </w:rPr>
        <w:t>Taking</w:t>
      </w:r>
      <w:r w:rsidR="003D640C">
        <w:rPr>
          <w:shd w:val="clear" w:color="auto" w:fill="FFFFFF"/>
        </w:rPr>
        <w:t xml:space="preserve"> </w:t>
      </w:r>
      <w:r>
        <w:rPr>
          <w:shd w:val="clear" w:color="auto" w:fill="FFFFFF"/>
        </w:rPr>
        <w:t>a</w:t>
      </w:r>
      <w:r w:rsidR="003D640C">
        <w:rPr>
          <w:shd w:val="clear" w:color="auto" w:fill="FFFFFF"/>
        </w:rPr>
        <w:t xml:space="preserve"> </w:t>
      </w:r>
      <w:r>
        <w:rPr>
          <w:shd w:val="clear" w:color="auto" w:fill="FFFFFF"/>
        </w:rPr>
        <w:t>human</w:t>
      </w:r>
      <w:r w:rsidR="003D640C">
        <w:rPr>
          <w:shd w:val="clear" w:color="auto" w:fill="FFFFFF"/>
        </w:rPr>
        <w:t xml:space="preserve"> </w:t>
      </w:r>
      <w:r>
        <w:rPr>
          <w:shd w:val="clear" w:color="auto" w:fill="FFFFFF"/>
        </w:rPr>
        <w:t>rights-based</w:t>
      </w:r>
      <w:r w:rsidR="003D640C">
        <w:rPr>
          <w:shd w:val="clear" w:color="auto" w:fill="FFFFFF"/>
        </w:rPr>
        <w:t xml:space="preserve"> </w:t>
      </w:r>
      <w:r>
        <w:rPr>
          <w:shd w:val="clear" w:color="auto" w:fill="FFFFFF"/>
        </w:rPr>
        <w:t>approach</w:t>
      </w:r>
      <w:r w:rsidR="003D640C">
        <w:rPr>
          <w:shd w:val="clear" w:color="auto" w:fill="FFFFFF"/>
        </w:rPr>
        <w:t xml:space="preserve"> </w:t>
      </w:r>
      <w:r>
        <w:rPr>
          <w:shd w:val="clear" w:color="auto" w:fill="FFFFFF"/>
        </w:rPr>
        <w:t>meant</w:t>
      </w:r>
      <w:r w:rsidR="003D640C">
        <w:rPr>
          <w:shd w:val="clear" w:color="auto" w:fill="FFFFFF"/>
        </w:rPr>
        <w:t xml:space="preserve"> </w:t>
      </w:r>
      <w:r>
        <w:rPr>
          <w:shd w:val="clear" w:color="auto" w:fill="FFFFFF"/>
        </w:rPr>
        <w:t>putting</w:t>
      </w:r>
      <w:r w:rsidR="003D640C">
        <w:rPr>
          <w:shd w:val="clear" w:color="auto" w:fill="FFFFFF"/>
        </w:rPr>
        <w:t xml:space="preserve"> </w:t>
      </w:r>
      <w:r>
        <w:rPr>
          <w:shd w:val="clear" w:color="auto" w:fill="FFFFFF"/>
        </w:rPr>
        <w:t>survivors</w:t>
      </w:r>
      <w:r w:rsidR="003D640C">
        <w:rPr>
          <w:shd w:val="clear" w:color="auto" w:fill="FFFFFF"/>
        </w:rPr>
        <w:t xml:space="preserve"> </w:t>
      </w:r>
      <w:r>
        <w:rPr>
          <w:shd w:val="clear" w:color="auto" w:fill="FFFFFF"/>
        </w:rPr>
        <w:t>at</w:t>
      </w:r>
      <w:r w:rsidR="003D640C">
        <w:rPr>
          <w:shd w:val="clear" w:color="auto" w:fill="FFFFFF"/>
        </w:rPr>
        <w:t xml:space="preserve"> </w:t>
      </w:r>
      <w:r>
        <w:rPr>
          <w:shd w:val="clear" w:color="auto" w:fill="FFFFFF"/>
        </w:rPr>
        <w:t>the</w:t>
      </w:r>
      <w:r w:rsidR="003D640C">
        <w:rPr>
          <w:shd w:val="clear" w:color="auto" w:fill="FFFFFF"/>
        </w:rPr>
        <w:t xml:space="preserve"> </w:t>
      </w:r>
      <w:r>
        <w:rPr>
          <w:shd w:val="clear" w:color="auto" w:fill="FFFFFF"/>
        </w:rPr>
        <w:t>centre</w:t>
      </w:r>
      <w:r w:rsidR="003D640C">
        <w:rPr>
          <w:shd w:val="clear" w:color="auto" w:fill="FFFFFF"/>
        </w:rPr>
        <w:t xml:space="preserve"> </w:t>
      </w:r>
      <w:r>
        <w:rPr>
          <w:shd w:val="clear" w:color="auto" w:fill="FFFFFF"/>
        </w:rPr>
        <w:t>of</w:t>
      </w:r>
      <w:r w:rsidR="003D640C">
        <w:rPr>
          <w:shd w:val="clear" w:color="auto" w:fill="FFFFFF"/>
        </w:rPr>
        <w:t xml:space="preserve"> </w:t>
      </w:r>
      <w:r>
        <w:rPr>
          <w:shd w:val="clear" w:color="auto" w:fill="FFFFFF"/>
        </w:rPr>
        <w:t>our</w:t>
      </w:r>
      <w:r w:rsidR="003D640C">
        <w:rPr>
          <w:shd w:val="clear" w:color="auto" w:fill="FFFFFF"/>
        </w:rPr>
        <w:t xml:space="preserve"> </w:t>
      </w:r>
      <w:r>
        <w:rPr>
          <w:shd w:val="clear" w:color="auto" w:fill="FFFFFF"/>
        </w:rPr>
        <w:t>work</w:t>
      </w:r>
      <w:bookmarkEnd w:id="50"/>
      <w:bookmarkEnd w:id="51"/>
      <w:bookmarkEnd w:id="52"/>
    </w:p>
    <w:p w14:paraId="18F9F737" w14:textId="470A1EC4" w:rsidR="00501068" w:rsidRDefault="00BB3F27" w:rsidP="0078026B">
      <w:pPr>
        <w:rPr>
          <w:rFonts w:ascii="Calibri" w:eastAsia="Times New Roman" w:hAnsi="Calibri" w:cs="Calibri"/>
          <w:lang w:eastAsia="en-NZ"/>
        </w:rPr>
      </w:pPr>
      <w:r w:rsidRPr="00B96BF8">
        <w:rPr>
          <w:rFonts w:ascii="Calibri" w:eastAsia="Times New Roman" w:hAnsi="Calibri" w:cs="Calibri"/>
          <w:lang w:eastAsia="en-NZ"/>
        </w:rPr>
        <w:t>Th</w:t>
      </w:r>
      <w:r>
        <w:rPr>
          <w:rFonts w:ascii="Calibri" w:eastAsia="Times New Roman" w:hAnsi="Calibri" w:cs="Calibri"/>
          <w:lang w:eastAsia="en-NZ"/>
        </w:rPr>
        <w:t>e</w:t>
      </w:r>
      <w:r w:rsidR="003D640C">
        <w:rPr>
          <w:rFonts w:ascii="Calibri" w:eastAsia="Times New Roman" w:hAnsi="Calibri" w:cs="Calibri"/>
          <w:lang w:eastAsia="en-NZ"/>
        </w:rPr>
        <w:t xml:space="preserve"> </w:t>
      </w:r>
      <w:r>
        <w:rPr>
          <w:rFonts w:ascii="Calibri" w:eastAsia="Times New Roman" w:hAnsi="Calibri" w:cs="Calibri"/>
          <w:lang w:eastAsia="en-NZ"/>
        </w:rPr>
        <w:t>human</w:t>
      </w:r>
      <w:r w:rsidR="003D640C">
        <w:rPr>
          <w:rFonts w:ascii="Calibri" w:eastAsia="Times New Roman" w:hAnsi="Calibri" w:cs="Calibri"/>
          <w:lang w:eastAsia="en-NZ"/>
        </w:rPr>
        <w:t xml:space="preserve"> </w:t>
      </w:r>
      <w:r>
        <w:rPr>
          <w:rFonts w:ascii="Calibri" w:eastAsia="Times New Roman" w:hAnsi="Calibri" w:cs="Calibri"/>
          <w:lang w:eastAsia="en-NZ"/>
        </w:rPr>
        <w:t>rights-based</w:t>
      </w:r>
      <w:r w:rsidR="003D640C">
        <w:rPr>
          <w:rFonts w:ascii="Calibri" w:eastAsia="Times New Roman" w:hAnsi="Calibri" w:cs="Calibri"/>
          <w:lang w:eastAsia="en-NZ"/>
        </w:rPr>
        <w:t xml:space="preserve"> </w:t>
      </w:r>
      <w:r w:rsidRPr="00B96BF8">
        <w:rPr>
          <w:rFonts w:ascii="Calibri" w:eastAsia="Times New Roman" w:hAnsi="Calibri" w:cs="Calibri"/>
          <w:lang w:eastAsia="en-NZ"/>
        </w:rPr>
        <w:t>approach</w:t>
      </w:r>
      <w:r w:rsidR="003D640C">
        <w:rPr>
          <w:rFonts w:ascii="Calibri" w:eastAsia="Times New Roman" w:hAnsi="Calibri" w:cs="Calibri"/>
          <w:lang w:eastAsia="en-NZ"/>
        </w:rPr>
        <w:t xml:space="preserve"> </w:t>
      </w:r>
      <w:r w:rsidRPr="00B96BF8">
        <w:rPr>
          <w:rFonts w:ascii="Calibri" w:eastAsia="Times New Roman" w:hAnsi="Calibri" w:cs="Calibri"/>
          <w:lang w:eastAsia="en-NZ"/>
        </w:rPr>
        <w:t>guided</w:t>
      </w:r>
      <w:r w:rsidR="003D640C">
        <w:rPr>
          <w:rFonts w:ascii="Calibri" w:eastAsia="Times New Roman" w:hAnsi="Calibri" w:cs="Calibri"/>
          <w:lang w:eastAsia="en-NZ"/>
        </w:rPr>
        <w:t xml:space="preserve"> </w:t>
      </w:r>
      <w:r w:rsidRPr="00B96BF8">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establishment</w:t>
      </w:r>
      <w:r w:rsidR="003D640C">
        <w:rPr>
          <w:rFonts w:ascii="Calibri" w:eastAsia="Times New Roman" w:hAnsi="Calibri" w:cs="Calibri"/>
          <w:lang w:eastAsia="en-NZ"/>
        </w:rPr>
        <w:t xml:space="preserve"> </w:t>
      </w:r>
      <w:r w:rsidRPr="00B96BF8">
        <w:rPr>
          <w:rFonts w:ascii="Calibri" w:eastAsia="Times New Roman" w:hAnsi="Calibri" w:cs="Calibri"/>
          <w:lang w:eastAsia="en-NZ"/>
        </w:rPr>
        <w:t>of</w:t>
      </w:r>
      <w:r w:rsidR="003D640C">
        <w:rPr>
          <w:rFonts w:ascii="Calibri" w:eastAsia="Times New Roman" w:hAnsi="Calibri" w:cs="Calibri"/>
          <w:lang w:eastAsia="en-NZ"/>
        </w:rPr>
        <w:t xml:space="preserve"> </w:t>
      </w:r>
      <w:r w:rsidRPr="00B96BF8">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Commission’s</w:t>
      </w:r>
      <w:r w:rsidR="003D640C">
        <w:rPr>
          <w:rFonts w:ascii="Calibri" w:eastAsia="Times New Roman" w:hAnsi="Calibri" w:cs="Calibri"/>
          <w:lang w:eastAsia="en-NZ"/>
        </w:rPr>
        <w:t xml:space="preserve"> </w:t>
      </w:r>
      <w:r w:rsidRPr="00B96BF8">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96BF8">
        <w:rPr>
          <w:rFonts w:ascii="Calibri" w:eastAsia="Times New Roman" w:hAnsi="Calibri" w:cs="Calibri"/>
          <w:lang w:eastAsia="en-NZ"/>
        </w:rPr>
        <w:t>Practices</w:t>
      </w:r>
      <w:r w:rsidR="003D640C">
        <w:rPr>
          <w:rFonts w:ascii="Calibri" w:eastAsia="Times New Roman" w:hAnsi="Calibri" w:cs="Calibri"/>
          <w:lang w:eastAsia="en-NZ"/>
        </w:rPr>
        <w:t xml:space="preserve"> </w:t>
      </w:r>
      <w:r w:rsidRPr="00B96BF8">
        <w:rPr>
          <w:rFonts w:ascii="Calibri" w:eastAsia="Times New Roman" w:hAnsi="Calibri" w:cs="Calibri"/>
          <w:lang w:eastAsia="en-NZ"/>
        </w:rPr>
        <w:t>Response</w:t>
      </w:r>
      <w:r w:rsidR="003D640C">
        <w:rPr>
          <w:rFonts w:ascii="Calibri" w:eastAsia="Times New Roman" w:hAnsi="Calibri" w:cs="Calibri"/>
          <w:lang w:eastAsia="en-NZ"/>
        </w:rPr>
        <w:t xml:space="preserve"> </w:t>
      </w:r>
      <w:r w:rsidRPr="00B96BF8">
        <w:rPr>
          <w:rFonts w:ascii="Calibri" w:eastAsia="Times New Roman" w:hAnsi="Calibri" w:cs="Calibri"/>
          <w:lang w:eastAsia="en-NZ"/>
        </w:rPr>
        <w:t>Tea</w:t>
      </w:r>
      <w:r>
        <w:rPr>
          <w:rFonts w:ascii="Calibri" w:eastAsia="Times New Roman" w:hAnsi="Calibri" w:cs="Calibri"/>
          <w:lang w:eastAsia="en-NZ"/>
        </w:rPr>
        <w:t>m</w:t>
      </w:r>
      <w:r w:rsidR="003D640C">
        <w:rPr>
          <w:rFonts w:ascii="Calibri" w:eastAsia="Times New Roman" w:hAnsi="Calibri" w:cs="Calibri"/>
          <w:lang w:eastAsia="en-NZ"/>
        </w:rPr>
        <w:t xml:space="preserve"> </w:t>
      </w:r>
      <w:r w:rsidRPr="00B96BF8">
        <w:rPr>
          <w:rFonts w:ascii="Calibri" w:eastAsia="Times New Roman" w:hAnsi="Calibri" w:cs="Calibri"/>
          <w:lang w:eastAsia="en-NZ"/>
        </w:rPr>
        <w:t>and</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implementation</w:t>
      </w:r>
      <w:r w:rsidR="003D640C">
        <w:rPr>
          <w:rFonts w:ascii="Calibri" w:eastAsia="Times New Roman" w:hAnsi="Calibri" w:cs="Calibri"/>
          <w:lang w:eastAsia="en-NZ"/>
        </w:rPr>
        <w:t xml:space="preserve"> </w:t>
      </w:r>
      <w:r>
        <w:rPr>
          <w:rFonts w:ascii="Calibri" w:eastAsia="Times New Roman" w:hAnsi="Calibri" w:cs="Calibri"/>
          <w:lang w:eastAsia="en-NZ"/>
        </w:rPr>
        <w:t>of</w:t>
      </w:r>
      <w:r w:rsidR="003D640C">
        <w:rPr>
          <w:rFonts w:ascii="Calibri" w:eastAsia="Times New Roman" w:hAnsi="Calibri" w:cs="Calibri"/>
          <w:lang w:eastAsia="en-NZ"/>
        </w:rPr>
        <w:t xml:space="preserve"> </w:t>
      </w:r>
      <w:r w:rsidR="00814E13">
        <w:rPr>
          <w:rFonts w:ascii="Calibri" w:eastAsia="Times New Roman" w:hAnsi="Calibri" w:cs="Calibri"/>
          <w:lang w:eastAsia="en-NZ"/>
        </w:rPr>
        <w:t xml:space="preserve">its </w:t>
      </w:r>
      <w:r>
        <w:rPr>
          <w:rFonts w:ascii="Calibri" w:eastAsia="Times New Roman" w:hAnsi="Calibri" w:cs="Calibri"/>
          <w:lang w:eastAsia="en-NZ"/>
        </w:rPr>
        <w:t>work</w:t>
      </w:r>
      <w:r w:rsidR="003D640C">
        <w:rPr>
          <w:rFonts w:ascii="Calibri" w:eastAsia="Times New Roman" w:hAnsi="Calibri" w:cs="Calibri"/>
          <w:lang w:eastAsia="en-NZ"/>
        </w:rPr>
        <w:t xml:space="preserve"> </w:t>
      </w:r>
      <w:r>
        <w:rPr>
          <w:rFonts w:ascii="Calibri" w:eastAsia="Times New Roman" w:hAnsi="Calibri" w:cs="Calibri"/>
          <w:lang w:eastAsia="en-NZ"/>
        </w:rPr>
        <w:t>programme</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give</w:t>
      </w:r>
      <w:r w:rsidR="003D640C">
        <w:rPr>
          <w:rFonts w:ascii="Calibri" w:eastAsia="Times New Roman" w:hAnsi="Calibri" w:cs="Calibri"/>
          <w:lang w:eastAsia="en-NZ"/>
        </w:rPr>
        <w:t xml:space="preserve"> </w:t>
      </w:r>
      <w:r>
        <w:rPr>
          <w:rFonts w:ascii="Calibri" w:eastAsia="Times New Roman" w:hAnsi="Calibri" w:cs="Calibri"/>
          <w:lang w:eastAsia="en-NZ"/>
        </w:rPr>
        <w:t>effect</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CPPLA.</w:t>
      </w:r>
      <w:r w:rsidR="003D640C">
        <w:rPr>
          <w:rFonts w:ascii="Calibri" w:eastAsia="Times New Roman" w:hAnsi="Calibri" w:cs="Calibri"/>
          <w:lang w:eastAsia="en-NZ"/>
        </w:rPr>
        <w:t xml:space="preserve"> </w:t>
      </w:r>
      <w:r>
        <w:rPr>
          <w:rFonts w:ascii="Calibri" w:eastAsia="Times New Roman" w:hAnsi="Calibri" w:cs="Calibri"/>
          <w:lang w:eastAsia="en-NZ"/>
        </w:rPr>
        <w:t>It</w:t>
      </w:r>
      <w:r w:rsidR="003D640C">
        <w:rPr>
          <w:rFonts w:ascii="Calibri" w:eastAsia="Times New Roman" w:hAnsi="Calibri" w:cs="Calibri"/>
          <w:lang w:eastAsia="en-NZ"/>
        </w:rPr>
        <w:t xml:space="preserve"> </w:t>
      </w:r>
      <w:r w:rsidRPr="00B96BF8">
        <w:rPr>
          <w:rFonts w:ascii="Calibri" w:eastAsia="Times New Roman" w:hAnsi="Calibri" w:cs="Calibri"/>
          <w:lang w:eastAsia="en-NZ"/>
        </w:rPr>
        <w:t>also</w:t>
      </w:r>
      <w:r w:rsidR="003D640C">
        <w:rPr>
          <w:rFonts w:ascii="Calibri" w:eastAsia="Times New Roman" w:hAnsi="Calibri" w:cs="Calibri"/>
          <w:lang w:eastAsia="en-NZ"/>
        </w:rPr>
        <w:t xml:space="preserve"> </w:t>
      </w:r>
      <w:r w:rsidRPr="00B96BF8">
        <w:rPr>
          <w:rFonts w:ascii="Calibri" w:eastAsia="Times New Roman" w:hAnsi="Calibri" w:cs="Calibri"/>
          <w:lang w:eastAsia="en-NZ"/>
        </w:rPr>
        <w:t>informed</w:t>
      </w:r>
      <w:r w:rsidR="003D640C">
        <w:rPr>
          <w:rFonts w:ascii="Calibri" w:eastAsia="Times New Roman" w:hAnsi="Calibri" w:cs="Calibri"/>
          <w:lang w:eastAsia="en-NZ"/>
        </w:rPr>
        <w:t xml:space="preserve"> </w:t>
      </w:r>
      <w:r w:rsidRPr="00B96BF8">
        <w:rPr>
          <w:rFonts w:ascii="Calibri" w:eastAsia="Times New Roman" w:hAnsi="Calibri" w:cs="Calibri"/>
          <w:lang w:eastAsia="en-NZ"/>
        </w:rPr>
        <w:t>the</w:t>
      </w:r>
      <w:r w:rsidR="003D640C">
        <w:rPr>
          <w:rFonts w:ascii="Calibri" w:eastAsia="Times New Roman" w:hAnsi="Calibri" w:cs="Calibri"/>
          <w:lang w:eastAsia="en-NZ"/>
        </w:rPr>
        <w:t xml:space="preserve"> </w:t>
      </w:r>
      <w:r w:rsidRPr="00B96BF8">
        <w:rPr>
          <w:rFonts w:ascii="Calibri" w:eastAsia="Times New Roman" w:hAnsi="Calibri" w:cs="Calibri"/>
          <w:lang w:eastAsia="en-NZ"/>
        </w:rPr>
        <w:t>methodology</w:t>
      </w:r>
      <w:r w:rsidR="003D640C">
        <w:rPr>
          <w:rFonts w:ascii="Calibri" w:eastAsia="Times New Roman" w:hAnsi="Calibri" w:cs="Calibri"/>
          <w:lang w:eastAsia="en-NZ"/>
        </w:rPr>
        <w:t xml:space="preserve"> </w:t>
      </w:r>
      <w:r>
        <w:rPr>
          <w:rFonts w:ascii="Calibri" w:eastAsia="Times New Roman" w:hAnsi="Calibri" w:cs="Calibri"/>
          <w:lang w:eastAsia="en-NZ"/>
        </w:rPr>
        <w:t>through</w:t>
      </w:r>
      <w:r w:rsidR="003D640C">
        <w:rPr>
          <w:rFonts w:ascii="Calibri" w:eastAsia="Times New Roman" w:hAnsi="Calibri" w:cs="Calibri"/>
          <w:lang w:eastAsia="en-NZ"/>
        </w:rPr>
        <w:t xml:space="preserve"> </w:t>
      </w:r>
      <w:r>
        <w:rPr>
          <w:rFonts w:ascii="Calibri" w:eastAsia="Times New Roman" w:hAnsi="Calibri" w:cs="Calibri"/>
          <w:lang w:eastAsia="en-NZ"/>
        </w:rPr>
        <w:t>which</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team</w:t>
      </w:r>
      <w:r w:rsidR="003D640C">
        <w:rPr>
          <w:rFonts w:ascii="Calibri" w:eastAsia="Times New Roman" w:hAnsi="Calibri" w:cs="Calibri"/>
          <w:lang w:eastAsia="en-NZ"/>
        </w:rPr>
        <w:t xml:space="preserve"> </w:t>
      </w:r>
      <w:r>
        <w:rPr>
          <w:rFonts w:ascii="Calibri" w:eastAsia="Times New Roman" w:hAnsi="Calibri" w:cs="Calibri"/>
          <w:lang w:eastAsia="en-NZ"/>
        </w:rPr>
        <w:t>gained</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insights</w:t>
      </w:r>
      <w:r w:rsidR="003D640C">
        <w:rPr>
          <w:rFonts w:ascii="Calibri" w:eastAsia="Times New Roman" w:hAnsi="Calibri" w:cs="Calibri"/>
          <w:lang w:eastAsia="en-NZ"/>
        </w:rPr>
        <w:t xml:space="preserve"> </w:t>
      </w:r>
      <w:r>
        <w:rPr>
          <w:rFonts w:ascii="Calibri" w:eastAsia="Times New Roman" w:hAnsi="Calibri" w:cs="Calibri"/>
          <w:lang w:eastAsia="en-NZ"/>
        </w:rPr>
        <w:t>and</w:t>
      </w:r>
      <w:r w:rsidR="003D640C">
        <w:rPr>
          <w:rFonts w:ascii="Calibri" w:eastAsia="Times New Roman" w:hAnsi="Calibri" w:cs="Calibri"/>
          <w:lang w:eastAsia="en-NZ"/>
        </w:rPr>
        <w:t xml:space="preserve"> </w:t>
      </w:r>
      <w:r>
        <w:rPr>
          <w:rFonts w:ascii="Calibri" w:eastAsia="Times New Roman" w:hAnsi="Calibri" w:cs="Calibri"/>
          <w:lang w:eastAsia="en-NZ"/>
        </w:rPr>
        <w:t>advice</w:t>
      </w:r>
      <w:r w:rsidR="003D640C">
        <w:rPr>
          <w:rFonts w:ascii="Calibri" w:eastAsia="Times New Roman" w:hAnsi="Calibri" w:cs="Calibri"/>
          <w:lang w:eastAsia="en-NZ"/>
        </w:rPr>
        <w:t xml:space="preserve"> </w:t>
      </w:r>
      <w:r w:rsidRPr="00B96BF8">
        <w:rPr>
          <w:rFonts w:ascii="Calibri" w:eastAsia="Times New Roman" w:hAnsi="Calibri" w:cs="Calibri"/>
          <w:lang w:eastAsia="en-NZ"/>
        </w:rPr>
        <w:t>that</w:t>
      </w:r>
      <w:r w:rsidR="003D640C">
        <w:rPr>
          <w:rFonts w:ascii="Calibri" w:eastAsia="Times New Roman" w:hAnsi="Calibri" w:cs="Calibri"/>
          <w:lang w:eastAsia="en-NZ"/>
        </w:rPr>
        <w:t xml:space="preserve"> </w:t>
      </w:r>
      <w:r w:rsidRPr="00B96BF8">
        <w:rPr>
          <w:rFonts w:ascii="Calibri" w:eastAsia="Times New Roman" w:hAnsi="Calibri" w:cs="Calibri"/>
          <w:lang w:eastAsia="en-NZ"/>
        </w:rPr>
        <w:t>are</w:t>
      </w:r>
      <w:r w:rsidR="003D640C">
        <w:rPr>
          <w:rFonts w:ascii="Calibri" w:eastAsia="Times New Roman" w:hAnsi="Calibri" w:cs="Calibri"/>
          <w:lang w:eastAsia="en-NZ"/>
        </w:rPr>
        <w:t xml:space="preserve"> </w:t>
      </w:r>
      <w:r w:rsidRPr="00B96BF8">
        <w:rPr>
          <w:rFonts w:ascii="Calibri" w:eastAsia="Times New Roman" w:hAnsi="Calibri" w:cs="Calibri"/>
          <w:lang w:eastAsia="en-NZ"/>
        </w:rPr>
        <w:t>captured</w:t>
      </w:r>
      <w:r w:rsidR="003D640C">
        <w:rPr>
          <w:rFonts w:ascii="Calibri" w:eastAsia="Times New Roman" w:hAnsi="Calibri" w:cs="Calibri"/>
          <w:lang w:eastAsia="en-NZ"/>
        </w:rPr>
        <w:t xml:space="preserve"> </w:t>
      </w:r>
      <w:r w:rsidRPr="00B96BF8">
        <w:rPr>
          <w:rFonts w:ascii="Calibri" w:eastAsia="Times New Roman" w:hAnsi="Calibri" w:cs="Calibri"/>
          <w:lang w:eastAsia="en-NZ"/>
        </w:rPr>
        <w:t>in</w:t>
      </w:r>
      <w:r w:rsidR="003D640C">
        <w:rPr>
          <w:rFonts w:ascii="Calibri" w:eastAsia="Times New Roman" w:hAnsi="Calibri" w:cs="Calibri"/>
          <w:lang w:eastAsia="en-NZ"/>
        </w:rPr>
        <w:t xml:space="preserve"> </w:t>
      </w:r>
      <w:r w:rsidRPr="00B96BF8">
        <w:rPr>
          <w:rFonts w:ascii="Calibri" w:eastAsia="Times New Roman" w:hAnsi="Calibri" w:cs="Calibri"/>
          <w:lang w:eastAsia="en-NZ"/>
        </w:rPr>
        <w:t>this</w:t>
      </w:r>
      <w:r w:rsidR="003D640C">
        <w:rPr>
          <w:rFonts w:ascii="Calibri" w:eastAsia="Times New Roman" w:hAnsi="Calibri" w:cs="Calibri"/>
          <w:lang w:eastAsia="en-NZ"/>
        </w:rPr>
        <w:t xml:space="preserve"> </w:t>
      </w:r>
      <w:r w:rsidRPr="00B96BF8">
        <w:rPr>
          <w:rFonts w:ascii="Calibri" w:eastAsia="Times New Roman" w:hAnsi="Calibri" w:cs="Calibri"/>
          <w:lang w:eastAsia="en-NZ"/>
        </w:rPr>
        <w:t>report.</w:t>
      </w:r>
    </w:p>
    <w:p w14:paraId="00DCAA4C" w14:textId="784C0F75" w:rsidR="00BB3F27" w:rsidRPr="00B1465F" w:rsidRDefault="00BB3F27" w:rsidP="0078026B">
      <w:pPr>
        <w:rPr>
          <w:rFonts w:ascii="Calibri" w:eastAsia="Times New Roman" w:hAnsi="Calibri" w:cs="Calibri"/>
          <w:shd w:val="clear" w:color="auto" w:fill="FFFFFF"/>
          <w:lang w:eastAsia="en-NZ"/>
        </w:rPr>
      </w:pPr>
      <w:r w:rsidRPr="00B1465F">
        <w:rPr>
          <w:rFonts w:ascii="Calibri" w:eastAsia="Times New Roman" w:hAnsi="Calibri" w:cs="Calibri"/>
          <w:shd w:val="clear" w:color="auto" w:fill="FFFFFF"/>
          <w:lang w:eastAsia="en-NZ"/>
        </w:rPr>
        <w:t>Key</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tenets</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of</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rights-based</w:t>
      </w:r>
      <w:r w:rsidR="003D640C">
        <w:rPr>
          <w:rFonts w:ascii="Calibri" w:eastAsia="Times New Roman" w:hAnsi="Calibri" w:cs="Calibri"/>
          <w:shd w:val="clear" w:color="auto" w:fill="FFFFFF"/>
          <w:lang w:eastAsia="en-NZ"/>
        </w:rPr>
        <w:t xml:space="preserve"> </w:t>
      </w:r>
      <w:r w:rsidRPr="00B1465F">
        <w:rPr>
          <w:rFonts w:ascii="Calibri" w:eastAsia="Times New Roman" w:hAnsi="Calibri" w:cs="Calibri"/>
          <w:shd w:val="clear" w:color="auto" w:fill="FFFFFF"/>
          <w:lang w:eastAsia="en-NZ"/>
        </w:rPr>
        <w:t>approach</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are</w:t>
      </w:r>
      <w:r w:rsidRPr="00B1465F">
        <w:rPr>
          <w:rFonts w:ascii="Calibri" w:eastAsia="Times New Roman" w:hAnsi="Calibri" w:cs="Calibri"/>
          <w:shd w:val="clear" w:color="auto" w:fill="FFFFFF"/>
          <w:lang w:eastAsia="en-NZ"/>
        </w:rPr>
        <w:t>:</w:t>
      </w:r>
    </w:p>
    <w:p w14:paraId="2C7DDBC9" w14:textId="6DC9F1E4" w:rsidR="00BB3F27" w:rsidRPr="00B1465F" w:rsidRDefault="00BB3F27" w:rsidP="006A3F34">
      <w:pPr>
        <w:pStyle w:val="Bullet"/>
        <w:rPr>
          <w:shd w:val="clear" w:color="auto" w:fill="FFFFFF"/>
          <w:lang w:eastAsia="en-NZ"/>
        </w:rPr>
      </w:pPr>
      <w:r w:rsidRPr="00B1465F">
        <w:rPr>
          <w:shd w:val="clear" w:color="auto" w:fill="FFFFFF"/>
          <w:lang w:eastAsia="en-NZ"/>
        </w:rPr>
        <w:t>decision</w:t>
      </w:r>
      <w:r w:rsidR="00814E13">
        <w:rPr>
          <w:shd w:val="clear" w:color="auto" w:fill="FFFFFF"/>
          <w:lang w:eastAsia="en-NZ"/>
        </w:rPr>
        <w:t xml:space="preserve"> </w:t>
      </w:r>
      <w:r w:rsidRPr="00B1465F">
        <w:rPr>
          <w:shd w:val="clear" w:color="auto" w:fill="FFFFFF"/>
          <w:lang w:eastAsia="en-NZ"/>
        </w:rPr>
        <w:t>making</w:t>
      </w:r>
      <w:r w:rsidR="003D640C">
        <w:rPr>
          <w:shd w:val="clear" w:color="auto" w:fill="FFFFFF"/>
          <w:lang w:eastAsia="en-NZ"/>
        </w:rPr>
        <w:t xml:space="preserve"> </w:t>
      </w:r>
      <w:r w:rsidRPr="00B1465F">
        <w:rPr>
          <w:shd w:val="clear" w:color="auto" w:fill="FFFFFF"/>
          <w:lang w:eastAsia="en-NZ"/>
        </w:rPr>
        <w:t>is</w:t>
      </w:r>
      <w:r w:rsidR="003D640C">
        <w:rPr>
          <w:shd w:val="clear" w:color="auto" w:fill="FFFFFF"/>
          <w:lang w:eastAsia="en-NZ"/>
        </w:rPr>
        <w:t xml:space="preserve"> </w:t>
      </w:r>
      <w:r w:rsidRPr="00B1465F">
        <w:rPr>
          <w:shd w:val="clear" w:color="auto" w:fill="FFFFFF"/>
          <w:lang w:eastAsia="en-NZ"/>
        </w:rPr>
        <w:t>li</w:t>
      </w:r>
      <w:r>
        <w:rPr>
          <w:shd w:val="clear" w:color="auto" w:fill="FFFFFF"/>
          <w:lang w:eastAsia="en-NZ"/>
        </w:rPr>
        <w:t>n</w:t>
      </w:r>
      <w:r w:rsidRPr="00B1465F">
        <w:rPr>
          <w:shd w:val="clear" w:color="auto" w:fill="FFFFFF"/>
          <w:lang w:eastAsia="en-NZ"/>
        </w:rPr>
        <w:t>ked</w:t>
      </w:r>
      <w:r w:rsidR="003D640C">
        <w:rPr>
          <w:shd w:val="clear" w:color="auto" w:fill="FFFFFF"/>
          <w:lang w:eastAsia="en-NZ"/>
        </w:rPr>
        <w:t xml:space="preserve"> </w:t>
      </w:r>
      <w:r w:rsidRPr="00B1465F">
        <w:rPr>
          <w:shd w:val="clear" w:color="auto" w:fill="FFFFFF"/>
          <w:lang w:eastAsia="en-NZ"/>
        </w:rPr>
        <w:t>to</w:t>
      </w:r>
      <w:r w:rsidR="003D640C">
        <w:rPr>
          <w:shd w:val="clear" w:color="auto" w:fill="FFFFFF"/>
          <w:lang w:eastAsia="en-NZ"/>
        </w:rPr>
        <w:t xml:space="preserve"> </w:t>
      </w:r>
      <w:r w:rsidRPr="00B1465F">
        <w:rPr>
          <w:shd w:val="clear" w:color="auto" w:fill="FFFFFF"/>
          <w:lang w:eastAsia="en-NZ"/>
        </w:rPr>
        <w:t>human</w:t>
      </w:r>
      <w:r w:rsidR="003D640C">
        <w:rPr>
          <w:shd w:val="clear" w:color="auto" w:fill="FFFFFF"/>
          <w:lang w:eastAsia="en-NZ"/>
        </w:rPr>
        <w:t xml:space="preserve"> </w:t>
      </w:r>
      <w:r w:rsidRPr="00B1465F">
        <w:rPr>
          <w:shd w:val="clear" w:color="auto" w:fill="FFFFFF"/>
          <w:lang w:eastAsia="en-NZ"/>
        </w:rPr>
        <w:t>rights</w:t>
      </w:r>
      <w:r w:rsidR="003D640C">
        <w:rPr>
          <w:shd w:val="clear" w:color="auto" w:fill="FFFFFF"/>
          <w:lang w:eastAsia="en-NZ"/>
        </w:rPr>
        <w:t xml:space="preserve"> </w:t>
      </w:r>
      <w:r w:rsidRPr="00B1465F">
        <w:rPr>
          <w:shd w:val="clear" w:color="auto" w:fill="FFFFFF"/>
          <w:lang w:eastAsia="en-NZ"/>
        </w:rPr>
        <w:t>standards</w:t>
      </w:r>
      <w:r w:rsidR="003D640C">
        <w:rPr>
          <w:shd w:val="clear" w:color="auto" w:fill="FFFFFF"/>
          <w:lang w:eastAsia="en-NZ"/>
        </w:rPr>
        <w:t xml:space="preserve"> </w:t>
      </w:r>
      <w:r w:rsidRPr="00B1465F">
        <w:rPr>
          <w:shd w:val="clear" w:color="auto" w:fill="FFFFFF"/>
          <w:lang w:eastAsia="en-NZ"/>
        </w:rPr>
        <w:t>set</w:t>
      </w:r>
      <w:r w:rsidR="003D640C">
        <w:rPr>
          <w:shd w:val="clear" w:color="auto" w:fill="FFFFFF"/>
          <w:lang w:eastAsia="en-NZ"/>
        </w:rPr>
        <w:t xml:space="preserve"> </w:t>
      </w:r>
      <w:r w:rsidRPr="00B1465F">
        <w:rPr>
          <w:shd w:val="clear" w:color="auto" w:fill="FFFFFF"/>
          <w:lang w:eastAsia="en-NZ"/>
        </w:rPr>
        <w:t>out</w:t>
      </w:r>
      <w:r w:rsidR="003D640C">
        <w:rPr>
          <w:shd w:val="clear" w:color="auto" w:fill="FFFFFF"/>
          <w:lang w:eastAsia="en-NZ"/>
        </w:rPr>
        <w:t xml:space="preserve"> </w:t>
      </w:r>
      <w:r w:rsidRPr="00B1465F">
        <w:rPr>
          <w:shd w:val="clear" w:color="auto" w:fill="FFFFFF"/>
          <w:lang w:eastAsia="en-NZ"/>
        </w:rPr>
        <w:t>in</w:t>
      </w:r>
      <w:r w:rsidR="003D640C">
        <w:rPr>
          <w:shd w:val="clear" w:color="auto" w:fill="FFFFFF"/>
          <w:lang w:eastAsia="en-NZ"/>
        </w:rPr>
        <w:t xml:space="preserve"> </w:t>
      </w:r>
      <w:r w:rsidRPr="00B1465F">
        <w:rPr>
          <w:shd w:val="clear" w:color="auto" w:fill="FFFFFF"/>
          <w:lang w:eastAsia="en-NZ"/>
        </w:rPr>
        <w:t>human</w:t>
      </w:r>
      <w:r w:rsidR="003D640C">
        <w:rPr>
          <w:shd w:val="clear" w:color="auto" w:fill="FFFFFF"/>
          <w:lang w:eastAsia="en-NZ"/>
        </w:rPr>
        <w:t xml:space="preserve"> </w:t>
      </w:r>
      <w:r w:rsidRPr="00B1465F">
        <w:rPr>
          <w:shd w:val="clear" w:color="auto" w:fill="FFFFFF"/>
          <w:lang w:eastAsia="en-NZ"/>
        </w:rPr>
        <w:t>rights</w:t>
      </w:r>
      <w:r w:rsidR="003D640C">
        <w:rPr>
          <w:shd w:val="clear" w:color="auto" w:fill="FFFFFF"/>
          <w:lang w:eastAsia="en-NZ"/>
        </w:rPr>
        <w:t xml:space="preserve"> </w:t>
      </w:r>
      <w:r w:rsidRPr="00B1465F">
        <w:rPr>
          <w:shd w:val="clear" w:color="auto" w:fill="FFFFFF"/>
          <w:lang w:eastAsia="en-NZ"/>
        </w:rPr>
        <w:t>covenants</w:t>
      </w:r>
      <w:r w:rsidR="003D640C">
        <w:rPr>
          <w:shd w:val="clear" w:color="auto" w:fill="FFFFFF"/>
          <w:lang w:eastAsia="en-NZ"/>
        </w:rPr>
        <w:t xml:space="preserve"> </w:t>
      </w:r>
      <w:r w:rsidRPr="00B1465F">
        <w:rPr>
          <w:shd w:val="clear" w:color="auto" w:fill="FFFFFF"/>
          <w:lang w:eastAsia="en-NZ"/>
        </w:rPr>
        <w:t>and</w:t>
      </w:r>
      <w:r w:rsidR="003D640C">
        <w:rPr>
          <w:shd w:val="clear" w:color="auto" w:fill="FFFFFF"/>
          <w:lang w:eastAsia="en-NZ"/>
        </w:rPr>
        <w:t xml:space="preserve"> </w:t>
      </w:r>
      <w:r w:rsidRPr="00B1465F">
        <w:rPr>
          <w:shd w:val="clear" w:color="auto" w:fill="FFFFFF"/>
          <w:lang w:eastAsia="en-NZ"/>
        </w:rPr>
        <w:t>conventions</w:t>
      </w:r>
    </w:p>
    <w:p w14:paraId="73656E02" w14:textId="3CE13EE6" w:rsidR="00BB3F27" w:rsidRPr="00B1465F" w:rsidRDefault="00BB3F27" w:rsidP="006A3F34">
      <w:pPr>
        <w:pStyle w:val="Bullet"/>
        <w:rPr>
          <w:shd w:val="clear" w:color="auto" w:fill="FFFFFF"/>
          <w:lang w:eastAsia="en-NZ"/>
        </w:rPr>
      </w:pPr>
      <w:r>
        <w:rPr>
          <w:shd w:val="clear" w:color="auto" w:fill="FFFFFF"/>
          <w:lang w:eastAsia="en-NZ"/>
        </w:rPr>
        <w:t>e</w:t>
      </w:r>
      <w:r w:rsidRPr="00B1465F">
        <w:rPr>
          <w:shd w:val="clear" w:color="auto" w:fill="FFFFFF"/>
          <w:lang w:eastAsia="en-NZ"/>
        </w:rPr>
        <w:t>mphasis</w:t>
      </w:r>
      <w:r w:rsidR="003D640C">
        <w:rPr>
          <w:shd w:val="clear" w:color="auto" w:fill="FFFFFF"/>
          <w:lang w:eastAsia="en-NZ"/>
        </w:rPr>
        <w:t xml:space="preserve"> </w:t>
      </w:r>
      <w:r>
        <w:rPr>
          <w:shd w:val="clear" w:color="auto" w:fill="FFFFFF"/>
          <w:lang w:eastAsia="en-NZ"/>
        </w:rPr>
        <w:t>is</w:t>
      </w:r>
      <w:r w:rsidR="003D640C">
        <w:rPr>
          <w:shd w:val="clear" w:color="auto" w:fill="FFFFFF"/>
          <w:lang w:eastAsia="en-NZ"/>
        </w:rPr>
        <w:t xml:space="preserve"> </w:t>
      </w:r>
      <w:r>
        <w:rPr>
          <w:shd w:val="clear" w:color="auto" w:fill="FFFFFF"/>
          <w:lang w:eastAsia="en-NZ"/>
        </w:rPr>
        <w:t>placed</w:t>
      </w:r>
      <w:r w:rsidR="003D640C">
        <w:rPr>
          <w:shd w:val="clear" w:color="auto" w:fill="FFFFFF"/>
          <w:lang w:eastAsia="en-NZ"/>
        </w:rPr>
        <w:t xml:space="preserve"> </w:t>
      </w:r>
      <w:r w:rsidRPr="00B1465F">
        <w:rPr>
          <w:shd w:val="clear" w:color="auto" w:fill="FFFFFF"/>
          <w:lang w:eastAsia="en-NZ"/>
        </w:rPr>
        <w:t>on</w:t>
      </w:r>
      <w:r w:rsidR="003D640C">
        <w:rPr>
          <w:shd w:val="clear" w:color="auto" w:fill="FFFFFF"/>
          <w:lang w:eastAsia="en-NZ"/>
        </w:rPr>
        <w:t xml:space="preserve"> </w:t>
      </w:r>
      <w:r w:rsidRPr="00B1465F">
        <w:rPr>
          <w:shd w:val="clear" w:color="auto" w:fill="FFFFFF"/>
          <w:lang w:eastAsia="en-NZ"/>
        </w:rPr>
        <w:t>the</w:t>
      </w:r>
      <w:r w:rsidR="003D640C">
        <w:rPr>
          <w:shd w:val="clear" w:color="auto" w:fill="FFFFFF"/>
          <w:lang w:eastAsia="en-NZ"/>
        </w:rPr>
        <w:t xml:space="preserve"> </w:t>
      </w:r>
      <w:r w:rsidRPr="00B1465F">
        <w:rPr>
          <w:shd w:val="clear" w:color="auto" w:fill="FFFFFF"/>
          <w:lang w:eastAsia="en-NZ"/>
        </w:rPr>
        <w:t>participation</w:t>
      </w:r>
      <w:r w:rsidR="003D640C">
        <w:rPr>
          <w:shd w:val="clear" w:color="auto" w:fill="FFFFFF"/>
          <w:lang w:eastAsia="en-NZ"/>
        </w:rPr>
        <w:t xml:space="preserve"> </w:t>
      </w:r>
      <w:r w:rsidRPr="00B1465F">
        <w:rPr>
          <w:shd w:val="clear" w:color="auto" w:fill="FFFFFF"/>
          <w:lang w:eastAsia="en-NZ"/>
        </w:rPr>
        <w:t>of</w:t>
      </w:r>
      <w:r w:rsidR="003D640C">
        <w:rPr>
          <w:shd w:val="clear" w:color="auto" w:fill="FFFFFF"/>
          <w:lang w:eastAsia="en-NZ"/>
        </w:rPr>
        <w:t xml:space="preserve"> </w:t>
      </w:r>
      <w:r w:rsidRPr="00B1465F">
        <w:rPr>
          <w:shd w:val="clear" w:color="auto" w:fill="FFFFFF"/>
          <w:lang w:eastAsia="en-NZ"/>
        </w:rPr>
        <w:t>individuals</w:t>
      </w:r>
      <w:r w:rsidR="003D640C">
        <w:rPr>
          <w:shd w:val="clear" w:color="auto" w:fill="FFFFFF"/>
          <w:lang w:eastAsia="en-NZ"/>
        </w:rPr>
        <w:t xml:space="preserve"> </w:t>
      </w:r>
      <w:r w:rsidRPr="00B1465F">
        <w:rPr>
          <w:shd w:val="clear" w:color="auto" w:fill="FFFFFF"/>
          <w:lang w:eastAsia="en-NZ"/>
        </w:rPr>
        <w:t>and</w:t>
      </w:r>
      <w:r w:rsidR="003D640C">
        <w:rPr>
          <w:shd w:val="clear" w:color="auto" w:fill="FFFFFF"/>
          <w:lang w:eastAsia="en-NZ"/>
        </w:rPr>
        <w:t xml:space="preserve"> </w:t>
      </w:r>
      <w:r w:rsidRPr="00B1465F">
        <w:rPr>
          <w:shd w:val="clear" w:color="auto" w:fill="FFFFFF"/>
          <w:lang w:eastAsia="en-NZ"/>
        </w:rPr>
        <w:t>groups</w:t>
      </w:r>
      <w:r w:rsidR="003D640C">
        <w:rPr>
          <w:shd w:val="clear" w:color="auto" w:fill="FFFFFF"/>
          <w:lang w:eastAsia="en-NZ"/>
        </w:rPr>
        <w:t xml:space="preserve"> </w:t>
      </w:r>
      <w:r w:rsidRPr="00B1465F">
        <w:rPr>
          <w:shd w:val="clear" w:color="auto" w:fill="FFFFFF"/>
          <w:lang w:eastAsia="en-NZ"/>
        </w:rPr>
        <w:t>in</w:t>
      </w:r>
      <w:r w:rsidR="003D640C">
        <w:rPr>
          <w:shd w:val="clear" w:color="auto" w:fill="FFFFFF"/>
          <w:lang w:eastAsia="en-NZ"/>
        </w:rPr>
        <w:t xml:space="preserve"> </w:t>
      </w:r>
      <w:r w:rsidRPr="00B1465F">
        <w:rPr>
          <w:shd w:val="clear" w:color="auto" w:fill="FFFFFF"/>
          <w:lang w:eastAsia="en-NZ"/>
        </w:rPr>
        <w:t>decision</w:t>
      </w:r>
      <w:r w:rsidR="00814E13">
        <w:rPr>
          <w:shd w:val="clear" w:color="auto" w:fill="FFFFFF"/>
          <w:lang w:eastAsia="en-NZ"/>
        </w:rPr>
        <w:t xml:space="preserve"> </w:t>
      </w:r>
      <w:r w:rsidRPr="00B1465F">
        <w:rPr>
          <w:shd w:val="clear" w:color="auto" w:fill="FFFFFF"/>
          <w:lang w:eastAsia="en-NZ"/>
        </w:rPr>
        <w:t>making</w:t>
      </w:r>
      <w:r w:rsidR="003D640C">
        <w:rPr>
          <w:shd w:val="clear" w:color="auto" w:fill="FFFFFF"/>
          <w:lang w:eastAsia="en-NZ"/>
        </w:rPr>
        <w:t xml:space="preserve"> </w:t>
      </w:r>
      <w:r w:rsidRPr="00B1465F">
        <w:rPr>
          <w:shd w:val="clear" w:color="auto" w:fill="FFFFFF"/>
          <w:lang w:eastAsia="en-NZ"/>
        </w:rPr>
        <w:t>that</w:t>
      </w:r>
      <w:r w:rsidR="003D640C">
        <w:rPr>
          <w:shd w:val="clear" w:color="auto" w:fill="FFFFFF"/>
          <w:lang w:eastAsia="en-NZ"/>
        </w:rPr>
        <w:t xml:space="preserve"> </w:t>
      </w:r>
      <w:r w:rsidRPr="00B1465F">
        <w:rPr>
          <w:shd w:val="clear" w:color="auto" w:fill="FFFFFF"/>
          <w:lang w:eastAsia="en-NZ"/>
        </w:rPr>
        <w:t>affects</w:t>
      </w:r>
      <w:r w:rsidR="003D640C">
        <w:rPr>
          <w:shd w:val="clear" w:color="auto" w:fill="FFFFFF"/>
          <w:lang w:eastAsia="en-NZ"/>
        </w:rPr>
        <w:t xml:space="preserve"> </w:t>
      </w:r>
      <w:r w:rsidRPr="00B1465F">
        <w:rPr>
          <w:shd w:val="clear" w:color="auto" w:fill="FFFFFF"/>
          <w:lang w:eastAsia="en-NZ"/>
        </w:rPr>
        <w:t>them</w:t>
      </w:r>
    </w:p>
    <w:p w14:paraId="153A2CB7" w14:textId="00487E00" w:rsidR="00BB3F27" w:rsidRPr="00B1465F" w:rsidRDefault="00BB3F27" w:rsidP="006A3F34">
      <w:pPr>
        <w:pStyle w:val="Bullet"/>
        <w:rPr>
          <w:shd w:val="clear" w:color="auto" w:fill="FFFFFF"/>
          <w:lang w:eastAsia="en-NZ"/>
        </w:rPr>
      </w:pPr>
      <w:r w:rsidRPr="00B1465F">
        <w:rPr>
          <w:shd w:val="clear" w:color="auto" w:fill="FFFFFF"/>
          <w:lang w:eastAsia="en-NZ"/>
        </w:rPr>
        <w:t>empowerment</w:t>
      </w:r>
      <w:r w:rsidR="003D640C">
        <w:rPr>
          <w:shd w:val="clear" w:color="auto" w:fill="FFFFFF"/>
          <w:lang w:eastAsia="en-NZ"/>
        </w:rPr>
        <w:t xml:space="preserve"> </w:t>
      </w:r>
      <w:r w:rsidRPr="00B1465F">
        <w:rPr>
          <w:shd w:val="clear" w:color="auto" w:fill="FFFFFF"/>
          <w:lang w:eastAsia="en-NZ"/>
        </w:rPr>
        <w:t>of</w:t>
      </w:r>
      <w:r w:rsidR="003D640C">
        <w:rPr>
          <w:shd w:val="clear" w:color="auto" w:fill="FFFFFF"/>
          <w:lang w:eastAsia="en-NZ"/>
        </w:rPr>
        <w:t xml:space="preserve"> </w:t>
      </w:r>
      <w:r w:rsidRPr="00B1465F">
        <w:rPr>
          <w:shd w:val="clear" w:color="auto" w:fill="FFFFFF"/>
          <w:lang w:eastAsia="en-NZ"/>
        </w:rPr>
        <w:t>individuals</w:t>
      </w:r>
      <w:r w:rsidR="003D640C">
        <w:rPr>
          <w:shd w:val="clear" w:color="auto" w:fill="FFFFFF"/>
          <w:lang w:eastAsia="en-NZ"/>
        </w:rPr>
        <w:t xml:space="preserve"> </w:t>
      </w:r>
      <w:r w:rsidRPr="00B1465F">
        <w:rPr>
          <w:shd w:val="clear" w:color="auto" w:fill="FFFFFF"/>
          <w:lang w:eastAsia="en-NZ"/>
        </w:rPr>
        <w:t>and</w:t>
      </w:r>
      <w:r w:rsidR="003D640C">
        <w:rPr>
          <w:shd w:val="clear" w:color="auto" w:fill="FFFFFF"/>
          <w:lang w:eastAsia="en-NZ"/>
        </w:rPr>
        <w:t xml:space="preserve"> </w:t>
      </w:r>
      <w:r w:rsidRPr="00B1465F">
        <w:rPr>
          <w:shd w:val="clear" w:color="auto" w:fill="FFFFFF"/>
          <w:lang w:eastAsia="en-NZ"/>
        </w:rPr>
        <w:t>groups</w:t>
      </w:r>
      <w:r w:rsidR="003D640C">
        <w:rPr>
          <w:shd w:val="clear" w:color="auto" w:fill="FFFFFF"/>
          <w:lang w:eastAsia="en-NZ"/>
        </w:rPr>
        <w:t xml:space="preserve"> </w:t>
      </w:r>
      <w:r w:rsidRPr="00B1465F">
        <w:rPr>
          <w:shd w:val="clear" w:color="auto" w:fill="FFFFFF"/>
          <w:lang w:eastAsia="en-NZ"/>
        </w:rPr>
        <w:t>by</w:t>
      </w:r>
      <w:r w:rsidR="003D640C">
        <w:rPr>
          <w:shd w:val="clear" w:color="auto" w:fill="FFFFFF"/>
          <w:lang w:eastAsia="en-NZ"/>
        </w:rPr>
        <w:t xml:space="preserve"> </w:t>
      </w:r>
      <w:r w:rsidRPr="00B1465F">
        <w:rPr>
          <w:shd w:val="clear" w:color="auto" w:fill="FFFFFF"/>
          <w:lang w:eastAsia="en-NZ"/>
        </w:rPr>
        <w:t>their</w:t>
      </w:r>
      <w:r w:rsidR="003D640C">
        <w:rPr>
          <w:shd w:val="clear" w:color="auto" w:fill="FFFFFF"/>
          <w:lang w:eastAsia="en-NZ"/>
        </w:rPr>
        <w:t xml:space="preserve"> </w:t>
      </w:r>
      <w:r w:rsidRPr="00B1465F">
        <w:rPr>
          <w:shd w:val="clear" w:color="auto" w:fill="FFFFFF"/>
          <w:lang w:eastAsia="en-NZ"/>
        </w:rPr>
        <w:t>use</w:t>
      </w:r>
      <w:r w:rsidR="003D640C">
        <w:rPr>
          <w:shd w:val="clear" w:color="auto" w:fill="FFFFFF"/>
          <w:lang w:eastAsia="en-NZ"/>
        </w:rPr>
        <w:t xml:space="preserve"> </w:t>
      </w:r>
      <w:r w:rsidRPr="00B1465F">
        <w:rPr>
          <w:shd w:val="clear" w:color="auto" w:fill="FFFFFF"/>
          <w:lang w:eastAsia="en-NZ"/>
        </w:rPr>
        <w:t>of</w:t>
      </w:r>
      <w:r w:rsidR="003D640C">
        <w:rPr>
          <w:shd w:val="clear" w:color="auto" w:fill="FFFFFF"/>
          <w:lang w:eastAsia="en-NZ"/>
        </w:rPr>
        <w:t xml:space="preserve"> </w:t>
      </w:r>
      <w:r w:rsidRPr="00B1465F">
        <w:rPr>
          <w:shd w:val="clear" w:color="auto" w:fill="FFFFFF"/>
          <w:lang w:eastAsia="en-NZ"/>
        </w:rPr>
        <w:t>rights</w:t>
      </w:r>
      <w:r w:rsidR="003D640C">
        <w:rPr>
          <w:shd w:val="clear" w:color="auto" w:fill="FFFFFF"/>
          <w:lang w:eastAsia="en-NZ"/>
        </w:rPr>
        <w:t xml:space="preserve"> </w:t>
      </w:r>
      <w:r w:rsidRPr="00B1465F">
        <w:rPr>
          <w:shd w:val="clear" w:color="auto" w:fill="FFFFFF"/>
          <w:lang w:eastAsia="en-NZ"/>
        </w:rPr>
        <w:t>as</w:t>
      </w:r>
      <w:r w:rsidR="003D640C">
        <w:rPr>
          <w:shd w:val="clear" w:color="auto" w:fill="FFFFFF"/>
          <w:lang w:eastAsia="en-NZ"/>
        </w:rPr>
        <w:t xml:space="preserve"> </w:t>
      </w:r>
      <w:r w:rsidRPr="00B1465F">
        <w:rPr>
          <w:shd w:val="clear" w:color="auto" w:fill="FFFFFF"/>
          <w:lang w:eastAsia="en-NZ"/>
        </w:rPr>
        <w:t>leverage</w:t>
      </w:r>
      <w:r w:rsidR="003D640C">
        <w:rPr>
          <w:shd w:val="clear" w:color="auto" w:fill="FFFFFF"/>
          <w:lang w:eastAsia="en-NZ"/>
        </w:rPr>
        <w:t xml:space="preserve"> </w:t>
      </w:r>
      <w:r w:rsidRPr="00B1465F">
        <w:rPr>
          <w:shd w:val="clear" w:color="auto" w:fill="FFFFFF"/>
          <w:lang w:eastAsia="en-NZ"/>
        </w:rPr>
        <w:t>for</w:t>
      </w:r>
      <w:r w:rsidR="003D640C">
        <w:rPr>
          <w:shd w:val="clear" w:color="auto" w:fill="FFFFFF"/>
          <w:lang w:eastAsia="en-NZ"/>
        </w:rPr>
        <w:t xml:space="preserve"> </w:t>
      </w:r>
      <w:r w:rsidRPr="00B1465F">
        <w:rPr>
          <w:shd w:val="clear" w:color="auto" w:fill="FFFFFF"/>
          <w:lang w:eastAsia="en-NZ"/>
        </w:rPr>
        <w:t>action</w:t>
      </w:r>
      <w:r w:rsidR="003D640C">
        <w:rPr>
          <w:shd w:val="clear" w:color="auto" w:fill="FFFFFF"/>
          <w:lang w:eastAsia="en-NZ"/>
        </w:rPr>
        <w:t xml:space="preserve"> </w:t>
      </w:r>
      <w:r w:rsidRPr="00B1465F">
        <w:rPr>
          <w:shd w:val="clear" w:color="auto" w:fill="FFFFFF"/>
          <w:lang w:eastAsia="en-NZ"/>
        </w:rPr>
        <w:t>and</w:t>
      </w:r>
      <w:r w:rsidR="003D640C">
        <w:rPr>
          <w:shd w:val="clear" w:color="auto" w:fill="FFFFFF"/>
          <w:lang w:eastAsia="en-NZ"/>
        </w:rPr>
        <w:t xml:space="preserve"> </w:t>
      </w:r>
      <w:r w:rsidRPr="00B1465F">
        <w:rPr>
          <w:shd w:val="clear" w:color="auto" w:fill="FFFFFF"/>
          <w:lang w:eastAsia="en-NZ"/>
        </w:rPr>
        <w:t>to</w:t>
      </w:r>
      <w:r w:rsidR="003D640C">
        <w:rPr>
          <w:shd w:val="clear" w:color="auto" w:fill="FFFFFF"/>
          <w:lang w:eastAsia="en-NZ"/>
        </w:rPr>
        <w:t xml:space="preserve"> </w:t>
      </w:r>
      <w:r w:rsidRPr="00B1465F">
        <w:rPr>
          <w:shd w:val="clear" w:color="auto" w:fill="FFFFFF"/>
          <w:lang w:eastAsia="en-NZ"/>
        </w:rPr>
        <w:t>legitimise</w:t>
      </w:r>
      <w:r w:rsidR="003D640C">
        <w:rPr>
          <w:shd w:val="clear" w:color="auto" w:fill="FFFFFF"/>
          <w:lang w:eastAsia="en-NZ"/>
        </w:rPr>
        <w:t xml:space="preserve"> </w:t>
      </w:r>
      <w:r w:rsidRPr="00B1465F">
        <w:rPr>
          <w:shd w:val="clear" w:color="auto" w:fill="FFFFFF"/>
          <w:lang w:eastAsia="en-NZ"/>
        </w:rPr>
        <w:t>their</w:t>
      </w:r>
      <w:r w:rsidR="003D640C">
        <w:rPr>
          <w:shd w:val="clear" w:color="auto" w:fill="FFFFFF"/>
          <w:lang w:eastAsia="en-NZ"/>
        </w:rPr>
        <w:t xml:space="preserve"> </w:t>
      </w:r>
      <w:r w:rsidRPr="00B1465F">
        <w:rPr>
          <w:shd w:val="clear" w:color="auto" w:fill="FFFFFF"/>
          <w:lang w:eastAsia="en-NZ"/>
        </w:rPr>
        <w:t>voice</w:t>
      </w:r>
      <w:r w:rsidR="003D640C">
        <w:rPr>
          <w:shd w:val="clear" w:color="auto" w:fill="FFFFFF"/>
          <w:lang w:eastAsia="en-NZ"/>
        </w:rPr>
        <w:t xml:space="preserve"> </w:t>
      </w:r>
      <w:r w:rsidRPr="00B1465F">
        <w:rPr>
          <w:shd w:val="clear" w:color="auto" w:fill="FFFFFF"/>
          <w:lang w:eastAsia="en-NZ"/>
        </w:rPr>
        <w:t>in</w:t>
      </w:r>
      <w:r w:rsidR="003D640C">
        <w:rPr>
          <w:shd w:val="clear" w:color="auto" w:fill="FFFFFF"/>
          <w:lang w:eastAsia="en-NZ"/>
        </w:rPr>
        <w:t xml:space="preserve"> </w:t>
      </w:r>
      <w:r w:rsidRPr="00B1465F">
        <w:rPr>
          <w:shd w:val="clear" w:color="auto" w:fill="FFFFFF"/>
          <w:lang w:eastAsia="en-NZ"/>
        </w:rPr>
        <w:t>decision</w:t>
      </w:r>
      <w:r w:rsidR="00814E13">
        <w:rPr>
          <w:shd w:val="clear" w:color="auto" w:fill="FFFFFF"/>
          <w:lang w:eastAsia="en-NZ"/>
        </w:rPr>
        <w:t xml:space="preserve"> </w:t>
      </w:r>
      <w:r w:rsidRPr="00B1465F">
        <w:rPr>
          <w:shd w:val="clear" w:color="auto" w:fill="FFFFFF"/>
          <w:lang w:eastAsia="en-NZ"/>
        </w:rPr>
        <w:t>making</w:t>
      </w:r>
    </w:p>
    <w:p w14:paraId="73D22C96" w14:textId="2EB884EE" w:rsidR="00BB3F27" w:rsidRPr="00B1465F" w:rsidRDefault="00BB3F27" w:rsidP="006A3F34">
      <w:pPr>
        <w:pStyle w:val="Bullet"/>
        <w:rPr>
          <w:shd w:val="clear" w:color="auto" w:fill="FFFFFF"/>
          <w:lang w:eastAsia="en-NZ"/>
        </w:rPr>
      </w:pPr>
      <w:r w:rsidRPr="00B1465F">
        <w:rPr>
          <w:shd w:val="clear" w:color="auto" w:fill="FFFFFF"/>
          <w:lang w:eastAsia="en-NZ"/>
        </w:rPr>
        <w:t>non-discrimination</w:t>
      </w:r>
      <w:r w:rsidR="003D640C">
        <w:rPr>
          <w:shd w:val="clear" w:color="auto" w:fill="FFFFFF"/>
          <w:lang w:eastAsia="en-NZ"/>
        </w:rPr>
        <w:t xml:space="preserve"> </w:t>
      </w:r>
      <w:r w:rsidRPr="00B1465F">
        <w:rPr>
          <w:shd w:val="clear" w:color="auto" w:fill="FFFFFF"/>
          <w:lang w:eastAsia="en-NZ"/>
        </w:rPr>
        <w:t>among</w:t>
      </w:r>
      <w:r w:rsidR="003D640C">
        <w:rPr>
          <w:shd w:val="clear" w:color="auto" w:fill="FFFFFF"/>
          <w:lang w:eastAsia="en-NZ"/>
        </w:rPr>
        <w:t xml:space="preserve"> </w:t>
      </w:r>
      <w:r w:rsidRPr="00B1465F">
        <w:rPr>
          <w:shd w:val="clear" w:color="auto" w:fill="FFFFFF"/>
          <w:lang w:eastAsia="en-NZ"/>
        </w:rPr>
        <w:t>individuals</w:t>
      </w:r>
      <w:r w:rsidR="003D640C">
        <w:rPr>
          <w:shd w:val="clear" w:color="auto" w:fill="FFFFFF"/>
          <w:lang w:eastAsia="en-NZ"/>
        </w:rPr>
        <w:t xml:space="preserve"> </w:t>
      </w:r>
      <w:r w:rsidRPr="00B1465F">
        <w:rPr>
          <w:shd w:val="clear" w:color="auto" w:fill="FFFFFF"/>
          <w:lang w:eastAsia="en-NZ"/>
        </w:rPr>
        <w:t>and</w:t>
      </w:r>
      <w:r w:rsidR="003D640C">
        <w:rPr>
          <w:shd w:val="clear" w:color="auto" w:fill="FFFFFF"/>
          <w:lang w:eastAsia="en-NZ"/>
        </w:rPr>
        <w:t xml:space="preserve"> </w:t>
      </w:r>
      <w:r w:rsidRPr="00B1465F">
        <w:rPr>
          <w:shd w:val="clear" w:color="auto" w:fill="FFFFFF"/>
          <w:lang w:eastAsia="en-NZ"/>
        </w:rPr>
        <w:t>groups</w:t>
      </w:r>
      <w:r w:rsidR="003D640C">
        <w:rPr>
          <w:shd w:val="clear" w:color="auto" w:fill="FFFFFF"/>
          <w:lang w:eastAsia="en-NZ"/>
        </w:rPr>
        <w:t xml:space="preserve"> </w:t>
      </w:r>
      <w:r w:rsidRPr="00B1465F">
        <w:rPr>
          <w:shd w:val="clear" w:color="auto" w:fill="FFFFFF"/>
          <w:lang w:eastAsia="en-NZ"/>
        </w:rPr>
        <w:t>through</w:t>
      </w:r>
      <w:r w:rsidR="003D640C">
        <w:rPr>
          <w:shd w:val="clear" w:color="auto" w:fill="FFFFFF"/>
          <w:lang w:eastAsia="en-NZ"/>
        </w:rPr>
        <w:t xml:space="preserve"> </w:t>
      </w:r>
      <w:r w:rsidRPr="00B1465F">
        <w:rPr>
          <w:shd w:val="clear" w:color="auto" w:fill="FFFFFF"/>
          <w:lang w:eastAsia="en-NZ"/>
        </w:rPr>
        <w:t>equal</w:t>
      </w:r>
      <w:r w:rsidR="003D640C">
        <w:rPr>
          <w:shd w:val="clear" w:color="auto" w:fill="FFFFFF"/>
          <w:lang w:eastAsia="en-NZ"/>
        </w:rPr>
        <w:t xml:space="preserve"> </w:t>
      </w:r>
      <w:r w:rsidRPr="00B1465F">
        <w:rPr>
          <w:shd w:val="clear" w:color="auto" w:fill="FFFFFF"/>
          <w:lang w:eastAsia="en-NZ"/>
        </w:rPr>
        <w:t>enjoyment</w:t>
      </w:r>
      <w:r w:rsidR="003D640C">
        <w:rPr>
          <w:shd w:val="clear" w:color="auto" w:fill="FFFFFF"/>
          <w:lang w:eastAsia="en-NZ"/>
        </w:rPr>
        <w:t xml:space="preserve"> </w:t>
      </w:r>
      <w:r w:rsidRPr="00B1465F">
        <w:rPr>
          <w:shd w:val="clear" w:color="auto" w:fill="FFFFFF"/>
          <w:lang w:eastAsia="en-NZ"/>
        </w:rPr>
        <w:t>of</w:t>
      </w:r>
      <w:r w:rsidR="003D640C">
        <w:rPr>
          <w:shd w:val="clear" w:color="auto" w:fill="FFFFFF"/>
          <w:lang w:eastAsia="en-NZ"/>
        </w:rPr>
        <w:t xml:space="preserve"> </w:t>
      </w:r>
      <w:r w:rsidRPr="00B1465F">
        <w:rPr>
          <w:shd w:val="clear" w:color="auto" w:fill="FFFFFF"/>
          <w:lang w:eastAsia="en-NZ"/>
        </w:rPr>
        <w:t>rights</w:t>
      </w:r>
      <w:r w:rsidR="003D640C">
        <w:rPr>
          <w:shd w:val="clear" w:color="auto" w:fill="FFFFFF"/>
          <w:lang w:eastAsia="en-NZ"/>
        </w:rPr>
        <w:t xml:space="preserve"> </w:t>
      </w:r>
      <w:r w:rsidRPr="00B1465F">
        <w:rPr>
          <w:shd w:val="clear" w:color="auto" w:fill="FFFFFF"/>
          <w:lang w:eastAsia="en-NZ"/>
        </w:rPr>
        <w:t>and</w:t>
      </w:r>
      <w:r w:rsidR="003D640C">
        <w:rPr>
          <w:shd w:val="clear" w:color="auto" w:fill="FFFFFF"/>
          <w:lang w:eastAsia="en-NZ"/>
        </w:rPr>
        <w:t xml:space="preserve"> </w:t>
      </w:r>
      <w:r w:rsidRPr="00B1465F">
        <w:rPr>
          <w:shd w:val="clear" w:color="auto" w:fill="FFFFFF"/>
          <w:lang w:eastAsia="en-NZ"/>
        </w:rPr>
        <w:t>obligations</w:t>
      </w:r>
    </w:p>
    <w:p w14:paraId="61057AF7" w14:textId="13B21496" w:rsidR="00BB3F27" w:rsidRPr="00B1465F" w:rsidRDefault="00BB3F27" w:rsidP="006A3F34">
      <w:pPr>
        <w:pStyle w:val="Bullet"/>
        <w:rPr>
          <w:shd w:val="clear" w:color="auto" w:fill="FFFFFF"/>
          <w:lang w:eastAsia="en-NZ"/>
        </w:rPr>
      </w:pPr>
      <w:r w:rsidRPr="3506D927">
        <w:rPr>
          <w:lang w:eastAsia="en-NZ"/>
        </w:rPr>
        <w:t>i</w:t>
      </w:r>
      <w:r w:rsidRPr="0022500C">
        <w:rPr>
          <w:shd w:val="clear" w:color="auto" w:fill="FFFFFF"/>
          <w:lang w:eastAsia="en-NZ"/>
        </w:rPr>
        <w:t>dentifying</w:t>
      </w:r>
      <w:r w:rsidR="003D640C">
        <w:rPr>
          <w:shd w:val="clear" w:color="auto" w:fill="FFFFFF"/>
          <w:lang w:eastAsia="en-NZ"/>
        </w:rPr>
        <w:t xml:space="preserve"> </w:t>
      </w:r>
      <w:r w:rsidRPr="0022500C">
        <w:rPr>
          <w:shd w:val="clear" w:color="auto" w:fill="FFFFFF"/>
          <w:lang w:eastAsia="en-NZ"/>
        </w:rPr>
        <w:t>the</w:t>
      </w:r>
      <w:r w:rsidR="003D640C">
        <w:rPr>
          <w:shd w:val="clear" w:color="auto" w:fill="FFFFFF"/>
          <w:lang w:eastAsia="en-NZ"/>
        </w:rPr>
        <w:t xml:space="preserve"> </w:t>
      </w:r>
      <w:r w:rsidRPr="0022500C">
        <w:rPr>
          <w:shd w:val="clear" w:color="auto" w:fill="FFFFFF"/>
          <w:lang w:eastAsia="en-NZ"/>
        </w:rPr>
        <w:t>range</w:t>
      </w:r>
      <w:r w:rsidR="003D640C">
        <w:rPr>
          <w:shd w:val="clear" w:color="auto" w:fill="FFFFFF"/>
          <w:lang w:eastAsia="en-NZ"/>
        </w:rPr>
        <w:t xml:space="preserve"> </w:t>
      </w:r>
      <w:r w:rsidRPr="0022500C">
        <w:rPr>
          <w:shd w:val="clear" w:color="auto" w:fill="FFFFFF"/>
          <w:lang w:eastAsia="en-NZ"/>
        </w:rPr>
        <w:t>of</w:t>
      </w:r>
      <w:r w:rsidR="003D640C">
        <w:rPr>
          <w:shd w:val="clear" w:color="auto" w:fill="FFFFFF"/>
          <w:lang w:eastAsia="en-NZ"/>
        </w:rPr>
        <w:t xml:space="preserve"> </w:t>
      </w:r>
      <w:r w:rsidRPr="0022500C">
        <w:rPr>
          <w:shd w:val="clear" w:color="auto" w:fill="FFFFFF"/>
          <w:lang w:eastAsia="en-NZ"/>
        </w:rPr>
        <w:t>human</w:t>
      </w:r>
      <w:r w:rsidR="003D640C">
        <w:rPr>
          <w:shd w:val="clear" w:color="auto" w:fill="FFFFFF"/>
          <w:lang w:eastAsia="en-NZ"/>
        </w:rPr>
        <w:t xml:space="preserve"> </w:t>
      </w:r>
      <w:r w:rsidRPr="0022500C">
        <w:rPr>
          <w:shd w:val="clear" w:color="auto" w:fill="FFFFFF"/>
          <w:lang w:eastAsia="en-NZ"/>
        </w:rPr>
        <w:t>rights</w:t>
      </w:r>
      <w:r w:rsidR="003D640C">
        <w:rPr>
          <w:shd w:val="clear" w:color="auto" w:fill="FFFFFF"/>
          <w:lang w:eastAsia="en-NZ"/>
        </w:rPr>
        <w:t xml:space="preserve"> </w:t>
      </w:r>
      <w:r w:rsidRPr="0022500C">
        <w:rPr>
          <w:shd w:val="clear" w:color="auto" w:fill="FFFFFF"/>
          <w:lang w:eastAsia="en-NZ"/>
        </w:rPr>
        <w:t>involved</w:t>
      </w:r>
      <w:r w:rsidR="003D640C">
        <w:rPr>
          <w:shd w:val="clear" w:color="auto" w:fill="FFFFFF"/>
          <w:lang w:eastAsia="en-NZ"/>
        </w:rPr>
        <w:t xml:space="preserve"> </w:t>
      </w:r>
      <w:r w:rsidRPr="0022500C">
        <w:rPr>
          <w:shd w:val="clear" w:color="auto" w:fill="FFFFFF"/>
          <w:lang w:eastAsia="en-NZ"/>
        </w:rPr>
        <w:t>and</w:t>
      </w:r>
      <w:r w:rsidR="003D640C">
        <w:rPr>
          <w:shd w:val="clear" w:color="auto" w:fill="FFFFFF"/>
          <w:lang w:eastAsia="en-NZ"/>
        </w:rPr>
        <w:t xml:space="preserve"> </w:t>
      </w:r>
      <w:r w:rsidRPr="0022500C">
        <w:rPr>
          <w:shd w:val="clear" w:color="auto" w:fill="FFFFFF"/>
          <w:lang w:eastAsia="en-NZ"/>
        </w:rPr>
        <w:t>balancing</w:t>
      </w:r>
      <w:r w:rsidR="003D640C">
        <w:rPr>
          <w:shd w:val="clear" w:color="auto" w:fill="FFFFFF"/>
          <w:lang w:eastAsia="en-NZ"/>
        </w:rPr>
        <w:t xml:space="preserve"> </w:t>
      </w:r>
      <w:r w:rsidRPr="0022500C">
        <w:rPr>
          <w:shd w:val="clear" w:color="auto" w:fill="FFFFFF"/>
          <w:lang w:eastAsia="en-NZ"/>
        </w:rPr>
        <w:t>rights,</w:t>
      </w:r>
      <w:r w:rsidR="003D640C">
        <w:rPr>
          <w:shd w:val="clear" w:color="auto" w:fill="FFFFFF"/>
          <w:lang w:eastAsia="en-NZ"/>
        </w:rPr>
        <w:t xml:space="preserve"> </w:t>
      </w:r>
      <w:r w:rsidRPr="0022500C">
        <w:rPr>
          <w:shd w:val="clear" w:color="auto" w:fill="FFFFFF"/>
          <w:lang w:eastAsia="en-NZ"/>
        </w:rPr>
        <w:t>where</w:t>
      </w:r>
      <w:r w:rsidR="003D640C">
        <w:rPr>
          <w:shd w:val="clear" w:color="auto" w:fill="FFFFFF"/>
          <w:lang w:eastAsia="en-NZ"/>
        </w:rPr>
        <w:t xml:space="preserve"> </w:t>
      </w:r>
      <w:r w:rsidRPr="0022500C">
        <w:rPr>
          <w:shd w:val="clear" w:color="auto" w:fill="FFFFFF"/>
          <w:lang w:eastAsia="en-NZ"/>
        </w:rPr>
        <w:t>necessary.</w:t>
      </w:r>
      <w:r w:rsidR="003D640C">
        <w:rPr>
          <w:shd w:val="clear" w:color="auto" w:fill="FFFFFF"/>
          <w:lang w:eastAsia="en-NZ"/>
        </w:rPr>
        <w:t xml:space="preserve"> </w:t>
      </w:r>
      <w:r w:rsidRPr="0022500C">
        <w:rPr>
          <w:shd w:val="clear" w:color="auto" w:fill="FFFFFF"/>
          <w:lang w:eastAsia="en-NZ"/>
        </w:rPr>
        <w:t>This</w:t>
      </w:r>
      <w:r w:rsidR="003D640C">
        <w:rPr>
          <w:shd w:val="clear" w:color="auto" w:fill="FFFFFF"/>
          <w:lang w:eastAsia="en-NZ"/>
        </w:rPr>
        <w:t xml:space="preserve"> </w:t>
      </w:r>
      <w:r w:rsidRPr="0022500C">
        <w:rPr>
          <w:shd w:val="clear" w:color="auto" w:fill="FFFFFF"/>
          <w:lang w:eastAsia="en-NZ"/>
        </w:rPr>
        <w:t>is</w:t>
      </w:r>
      <w:r w:rsidR="003D640C">
        <w:rPr>
          <w:shd w:val="clear" w:color="auto" w:fill="FFFFFF"/>
          <w:lang w:eastAsia="en-NZ"/>
        </w:rPr>
        <w:t xml:space="preserve"> </w:t>
      </w:r>
      <w:r w:rsidRPr="0022500C">
        <w:rPr>
          <w:shd w:val="clear" w:color="auto" w:fill="FFFFFF"/>
          <w:lang w:eastAsia="en-NZ"/>
        </w:rPr>
        <w:t>guided</w:t>
      </w:r>
      <w:r w:rsidR="003D640C">
        <w:rPr>
          <w:shd w:val="clear" w:color="auto" w:fill="FFFFFF"/>
          <w:lang w:eastAsia="en-NZ"/>
        </w:rPr>
        <w:t xml:space="preserve"> </w:t>
      </w:r>
      <w:r w:rsidRPr="0022500C">
        <w:rPr>
          <w:shd w:val="clear" w:color="auto" w:fill="FFFFFF"/>
          <w:lang w:eastAsia="en-NZ"/>
        </w:rPr>
        <w:t>by</w:t>
      </w:r>
      <w:r w:rsidR="003D640C">
        <w:rPr>
          <w:shd w:val="clear" w:color="auto" w:fill="FFFFFF"/>
          <w:lang w:eastAsia="en-NZ"/>
        </w:rPr>
        <w:t xml:space="preserve"> </w:t>
      </w:r>
      <w:r w:rsidRPr="0022500C">
        <w:rPr>
          <w:shd w:val="clear" w:color="auto" w:fill="FFFFFF"/>
          <w:lang w:eastAsia="en-NZ"/>
        </w:rPr>
        <w:t>the</w:t>
      </w:r>
      <w:r w:rsidR="003D640C">
        <w:rPr>
          <w:shd w:val="clear" w:color="auto" w:fill="FFFFFF"/>
          <w:lang w:eastAsia="en-NZ"/>
        </w:rPr>
        <w:t xml:space="preserve"> </w:t>
      </w:r>
      <w:r w:rsidRPr="0022500C">
        <w:rPr>
          <w:shd w:val="clear" w:color="auto" w:fill="FFFFFF"/>
          <w:lang w:eastAsia="en-NZ"/>
        </w:rPr>
        <w:t>prioritisation</w:t>
      </w:r>
      <w:r w:rsidR="003D640C">
        <w:rPr>
          <w:shd w:val="clear" w:color="auto" w:fill="FFFFFF"/>
          <w:lang w:eastAsia="en-NZ"/>
        </w:rPr>
        <w:t xml:space="preserve"> </w:t>
      </w:r>
      <w:r w:rsidRPr="0022500C">
        <w:rPr>
          <w:shd w:val="clear" w:color="auto" w:fill="FFFFFF"/>
          <w:lang w:eastAsia="en-NZ"/>
        </w:rPr>
        <w:t>of</w:t>
      </w:r>
      <w:r w:rsidR="003D640C">
        <w:rPr>
          <w:shd w:val="clear" w:color="auto" w:fill="FFFFFF"/>
          <w:lang w:eastAsia="en-NZ"/>
        </w:rPr>
        <w:t xml:space="preserve"> </w:t>
      </w:r>
      <w:r>
        <w:rPr>
          <w:shd w:val="clear" w:color="auto" w:fill="FFFFFF"/>
          <w:lang w:eastAsia="en-NZ"/>
        </w:rPr>
        <w:t>the</w:t>
      </w:r>
      <w:r w:rsidR="003D640C">
        <w:rPr>
          <w:shd w:val="clear" w:color="auto" w:fill="FFFFFF"/>
          <w:lang w:eastAsia="en-NZ"/>
        </w:rPr>
        <w:t xml:space="preserve"> </w:t>
      </w:r>
      <w:r>
        <w:rPr>
          <w:shd w:val="clear" w:color="auto" w:fill="FFFFFF"/>
          <w:lang w:eastAsia="en-NZ"/>
        </w:rPr>
        <w:t>rights</w:t>
      </w:r>
      <w:r w:rsidR="003D640C">
        <w:rPr>
          <w:shd w:val="clear" w:color="auto" w:fill="FFFFFF"/>
          <w:lang w:eastAsia="en-NZ"/>
        </w:rPr>
        <w:t xml:space="preserve"> </w:t>
      </w:r>
      <w:r>
        <w:rPr>
          <w:shd w:val="clear" w:color="auto" w:fill="FFFFFF"/>
          <w:lang w:eastAsia="en-NZ"/>
        </w:rPr>
        <w:t>of</w:t>
      </w:r>
      <w:r w:rsidR="003D640C">
        <w:rPr>
          <w:shd w:val="clear" w:color="auto" w:fill="FFFFFF"/>
          <w:lang w:eastAsia="en-NZ"/>
        </w:rPr>
        <w:t xml:space="preserve"> </w:t>
      </w:r>
      <w:r w:rsidRPr="0022500C">
        <w:rPr>
          <w:shd w:val="clear" w:color="auto" w:fill="FFFFFF"/>
          <w:lang w:eastAsia="en-NZ"/>
        </w:rPr>
        <w:t>those</w:t>
      </w:r>
      <w:r w:rsidR="003D640C">
        <w:rPr>
          <w:shd w:val="clear" w:color="auto" w:fill="FFFFFF"/>
          <w:lang w:eastAsia="en-NZ"/>
        </w:rPr>
        <w:t xml:space="preserve"> </w:t>
      </w:r>
      <w:r w:rsidRPr="0022500C">
        <w:rPr>
          <w:shd w:val="clear" w:color="auto" w:fill="FFFFFF"/>
          <w:lang w:eastAsia="en-NZ"/>
        </w:rPr>
        <w:t>most</w:t>
      </w:r>
      <w:r w:rsidR="003D640C">
        <w:rPr>
          <w:shd w:val="clear" w:color="auto" w:fill="FFFFFF"/>
          <w:lang w:eastAsia="en-NZ"/>
        </w:rPr>
        <w:t xml:space="preserve"> </w:t>
      </w:r>
      <w:r w:rsidRPr="0022500C">
        <w:rPr>
          <w:shd w:val="clear" w:color="auto" w:fill="FFFFFF"/>
          <w:lang w:eastAsia="en-NZ"/>
        </w:rPr>
        <w:t>vulnerable</w:t>
      </w:r>
      <w:r w:rsidR="003D640C">
        <w:rPr>
          <w:shd w:val="clear" w:color="auto" w:fill="FFFFFF"/>
          <w:lang w:eastAsia="en-NZ"/>
        </w:rPr>
        <w:t xml:space="preserve"> </w:t>
      </w:r>
      <w:r w:rsidRPr="0022500C">
        <w:rPr>
          <w:shd w:val="clear" w:color="auto" w:fill="FFFFFF"/>
          <w:lang w:eastAsia="en-NZ"/>
        </w:rPr>
        <w:t>to</w:t>
      </w:r>
      <w:r w:rsidR="003D640C">
        <w:rPr>
          <w:shd w:val="clear" w:color="auto" w:fill="FFFFFF"/>
          <w:lang w:eastAsia="en-NZ"/>
        </w:rPr>
        <w:t xml:space="preserve"> </w:t>
      </w:r>
      <w:r w:rsidRPr="0022500C">
        <w:rPr>
          <w:shd w:val="clear" w:color="auto" w:fill="FFFFFF"/>
          <w:lang w:eastAsia="en-NZ"/>
        </w:rPr>
        <w:t>human</w:t>
      </w:r>
      <w:r w:rsidR="003D640C">
        <w:rPr>
          <w:shd w:val="clear" w:color="auto" w:fill="FFFFFF"/>
          <w:lang w:eastAsia="en-NZ"/>
        </w:rPr>
        <w:t xml:space="preserve"> </w:t>
      </w:r>
      <w:r w:rsidRPr="0022500C">
        <w:rPr>
          <w:shd w:val="clear" w:color="auto" w:fill="FFFFFF"/>
          <w:lang w:eastAsia="en-NZ"/>
        </w:rPr>
        <w:t>rights</w:t>
      </w:r>
      <w:r w:rsidR="003D640C">
        <w:rPr>
          <w:shd w:val="clear" w:color="auto" w:fill="FFFFFF"/>
          <w:lang w:eastAsia="en-NZ"/>
        </w:rPr>
        <w:t xml:space="preserve"> </w:t>
      </w:r>
      <w:r w:rsidRPr="0022500C">
        <w:rPr>
          <w:shd w:val="clear" w:color="auto" w:fill="FFFFFF"/>
          <w:lang w:eastAsia="en-NZ"/>
        </w:rPr>
        <w:t>abuses</w:t>
      </w:r>
    </w:p>
    <w:p w14:paraId="7D7CDD6A" w14:textId="39F96B6C" w:rsidR="00501068" w:rsidRDefault="00BB3F27" w:rsidP="006A3F34">
      <w:pPr>
        <w:pStyle w:val="Bullet"/>
        <w:rPr>
          <w:lang w:eastAsia="en-NZ"/>
        </w:rPr>
      </w:pPr>
      <w:r w:rsidRPr="3506D927">
        <w:rPr>
          <w:lang w:eastAsia="en-NZ"/>
        </w:rPr>
        <w:t>a</w:t>
      </w:r>
      <w:r w:rsidRPr="0022500C">
        <w:rPr>
          <w:shd w:val="clear" w:color="auto" w:fill="FFFFFF"/>
          <w:lang w:eastAsia="en-NZ"/>
        </w:rPr>
        <w:t>ccountability</w:t>
      </w:r>
      <w:r w:rsidR="003D640C">
        <w:rPr>
          <w:shd w:val="clear" w:color="auto" w:fill="FFFFFF"/>
          <w:lang w:eastAsia="en-NZ"/>
        </w:rPr>
        <w:t xml:space="preserve"> </w:t>
      </w:r>
      <w:r w:rsidRPr="0022500C">
        <w:rPr>
          <w:shd w:val="clear" w:color="auto" w:fill="FFFFFF"/>
          <w:lang w:eastAsia="en-NZ"/>
        </w:rPr>
        <w:t>for</w:t>
      </w:r>
      <w:r w:rsidR="003D640C">
        <w:rPr>
          <w:shd w:val="clear" w:color="auto" w:fill="FFFFFF"/>
          <w:lang w:eastAsia="en-NZ"/>
        </w:rPr>
        <w:t xml:space="preserve"> </w:t>
      </w:r>
      <w:r w:rsidRPr="0022500C">
        <w:rPr>
          <w:shd w:val="clear" w:color="auto" w:fill="FFFFFF"/>
          <w:lang w:eastAsia="en-NZ"/>
        </w:rPr>
        <w:t>actions</w:t>
      </w:r>
      <w:r w:rsidR="003D640C">
        <w:rPr>
          <w:shd w:val="clear" w:color="auto" w:fill="FFFFFF"/>
          <w:lang w:eastAsia="en-NZ"/>
        </w:rPr>
        <w:t xml:space="preserve"> </w:t>
      </w:r>
      <w:r w:rsidRPr="0022500C">
        <w:rPr>
          <w:shd w:val="clear" w:color="auto" w:fill="FFFFFF"/>
          <w:lang w:eastAsia="en-NZ"/>
        </w:rPr>
        <w:t>and</w:t>
      </w:r>
      <w:r w:rsidR="003D640C">
        <w:rPr>
          <w:shd w:val="clear" w:color="auto" w:fill="FFFFFF"/>
          <w:lang w:eastAsia="en-NZ"/>
        </w:rPr>
        <w:t xml:space="preserve"> </w:t>
      </w:r>
      <w:r w:rsidRPr="0022500C">
        <w:rPr>
          <w:shd w:val="clear" w:color="auto" w:fill="FFFFFF"/>
          <w:lang w:eastAsia="en-NZ"/>
        </w:rPr>
        <w:t>decision</w:t>
      </w:r>
      <w:r>
        <w:rPr>
          <w:shd w:val="clear" w:color="auto" w:fill="FFFFFF"/>
          <w:lang w:eastAsia="en-NZ"/>
        </w:rPr>
        <w:t>s,</w:t>
      </w:r>
      <w:r w:rsidR="003D640C">
        <w:rPr>
          <w:shd w:val="clear" w:color="auto" w:fill="FFFFFF"/>
          <w:lang w:eastAsia="en-NZ"/>
        </w:rPr>
        <w:t xml:space="preserve"> </w:t>
      </w:r>
      <w:r w:rsidRPr="0022500C">
        <w:rPr>
          <w:shd w:val="clear" w:color="auto" w:fill="FFFFFF"/>
          <w:lang w:eastAsia="en-NZ"/>
        </w:rPr>
        <w:t>enabling</w:t>
      </w:r>
      <w:r w:rsidR="003D640C">
        <w:rPr>
          <w:shd w:val="clear" w:color="auto" w:fill="FFFFFF"/>
          <w:lang w:eastAsia="en-NZ"/>
        </w:rPr>
        <w:t xml:space="preserve"> </w:t>
      </w:r>
      <w:r w:rsidRPr="0022500C">
        <w:rPr>
          <w:shd w:val="clear" w:color="auto" w:fill="FFFFFF"/>
          <w:lang w:eastAsia="en-NZ"/>
        </w:rPr>
        <w:t>individuals</w:t>
      </w:r>
      <w:r w:rsidR="003D640C">
        <w:rPr>
          <w:shd w:val="clear" w:color="auto" w:fill="FFFFFF"/>
          <w:lang w:eastAsia="en-NZ"/>
        </w:rPr>
        <w:t xml:space="preserve"> </w:t>
      </w:r>
      <w:r w:rsidRPr="0022500C">
        <w:rPr>
          <w:shd w:val="clear" w:color="auto" w:fill="FFFFFF"/>
          <w:lang w:eastAsia="en-NZ"/>
        </w:rPr>
        <w:t>and</w:t>
      </w:r>
      <w:r w:rsidR="003D640C">
        <w:rPr>
          <w:shd w:val="clear" w:color="auto" w:fill="FFFFFF"/>
          <w:lang w:eastAsia="en-NZ"/>
        </w:rPr>
        <w:t xml:space="preserve"> </w:t>
      </w:r>
      <w:r w:rsidRPr="0022500C">
        <w:rPr>
          <w:shd w:val="clear" w:color="auto" w:fill="FFFFFF"/>
          <w:lang w:eastAsia="en-NZ"/>
        </w:rPr>
        <w:t>groups</w:t>
      </w:r>
      <w:r w:rsidR="003D640C">
        <w:rPr>
          <w:shd w:val="clear" w:color="auto" w:fill="FFFFFF"/>
          <w:lang w:eastAsia="en-NZ"/>
        </w:rPr>
        <w:t xml:space="preserve"> </w:t>
      </w:r>
      <w:r w:rsidRPr="0022500C">
        <w:rPr>
          <w:shd w:val="clear" w:color="auto" w:fill="FFFFFF"/>
          <w:lang w:eastAsia="en-NZ"/>
        </w:rPr>
        <w:t>to</w:t>
      </w:r>
      <w:r w:rsidR="003D640C">
        <w:rPr>
          <w:shd w:val="clear" w:color="auto" w:fill="FFFFFF"/>
          <w:lang w:eastAsia="en-NZ"/>
        </w:rPr>
        <w:t xml:space="preserve"> </w:t>
      </w:r>
      <w:r w:rsidRPr="0022500C">
        <w:rPr>
          <w:shd w:val="clear" w:color="auto" w:fill="FFFFFF"/>
          <w:lang w:eastAsia="en-NZ"/>
        </w:rPr>
        <w:t>complain</w:t>
      </w:r>
      <w:r w:rsidR="003D640C">
        <w:rPr>
          <w:shd w:val="clear" w:color="auto" w:fill="FFFFFF"/>
          <w:lang w:eastAsia="en-NZ"/>
        </w:rPr>
        <w:t xml:space="preserve"> </w:t>
      </w:r>
      <w:r w:rsidRPr="0022500C">
        <w:rPr>
          <w:shd w:val="clear" w:color="auto" w:fill="FFFFFF"/>
          <w:lang w:eastAsia="en-NZ"/>
        </w:rPr>
        <w:t>about</w:t>
      </w:r>
      <w:r w:rsidR="003D640C">
        <w:rPr>
          <w:shd w:val="clear" w:color="auto" w:fill="FFFFFF"/>
          <w:lang w:eastAsia="en-NZ"/>
        </w:rPr>
        <w:t xml:space="preserve"> </w:t>
      </w:r>
      <w:r w:rsidRPr="0022500C">
        <w:rPr>
          <w:shd w:val="clear" w:color="auto" w:fill="FFFFFF"/>
          <w:lang w:eastAsia="en-NZ"/>
        </w:rPr>
        <w:t>decisions</w:t>
      </w:r>
      <w:r w:rsidR="003D640C">
        <w:rPr>
          <w:shd w:val="clear" w:color="auto" w:fill="FFFFFF"/>
          <w:lang w:eastAsia="en-NZ"/>
        </w:rPr>
        <w:t xml:space="preserve"> </w:t>
      </w:r>
      <w:r w:rsidRPr="0022500C">
        <w:rPr>
          <w:shd w:val="clear" w:color="auto" w:fill="FFFFFF"/>
          <w:lang w:eastAsia="en-NZ"/>
        </w:rPr>
        <w:t>adversely</w:t>
      </w:r>
      <w:r w:rsidR="003D640C">
        <w:rPr>
          <w:shd w:val="clear" w:color="auto" w:fill="FFFFFF"/>
          <w:lang w:eastAsia="en-NZ"/>
        </w:rPr>
        <w:t xml:space="preserve"> </w:t>
      </w:r>
      <w:r w:rsidRPr="0022500C">
        <w:rPr>
          <w:shd w:val="clear" w:color="auto" w:fill="FFFFFF"/>
          <w:lang w:eastAsia="en-NZ"/>
        </w:rPr>
        <w:t>affecting</w:t>
      </w:r>
      <w:r w:rsidR="003D640C">
        <w:rPr>
          <w:shd w:val="clear" w:color="auto" w:fill="FFFFFF"/>
          <w:lang w:eastAsia="en-NZ"/>
        </w:rPr>
        <w:t xml:space="preserve"> </w:t>
      </w:r>
      <w:r w:rsidRPr="0022500C">
        <w:rPr>
          <w:shd w:val="clear" w:color="auto" w:fill="FFFFFF"/>
          <w:lang w:eastAsia="en-NZ"/>
        </w:rPr>
        <w:t>them</w:t>
      </w:r>
      <w:r w:rsidR="00D96878">
        <w:rPr>
          <w:shd w:val="clear" w:color="auto" w:fill="FFFFFF"/>
          <w:lang w:eastAsia="en-NZ"/>
        </w:rPr>
        <w:t>.</w:t>
      </w:r>
      <w:r w:rsidR="00D96878">
        <w:rPr>
          <w:rStyle w:val="FootnoteReference"/>
          <w:shd w:val="clear" w:color="auto" w:fill="FFFFFF"/>
          <w:lang w:eastAsia="en-NZ"/>
        </w:rPr>
        <w:footnoteReference w:id="34"/>
      </w:r>
      <w:r w:rsidR="008D7165" w:rsidRPr="00993640" w:rsidDel="008D7165">
        <w:rPr>
          <w:rStyle w:val="FootnoteReference"/>
          <w:rFonts w:ascii="Calibri" w:eastAsia="Times New Roman" w:hAnsi="Calibri" w:cs="Calibri"/>
          <w:shd w:val="clear" w:color="auto" w:fill="FFFFFF"/>
          <w:lang w:eastAsia="en-NZ"/>
        </w:rPr>
        <w:t xml:space="preserve"> </w:t>
      </w:r>
    </w:p>
    <w:p w14:paraId="576A769B" w14:textId="0063E92E" w:rsidR="00501068" w:rsidRDefault="00BB3F27" w:rsidP="0078026B">
      <w:pPr>
        <w:rPr>
          <w:rFonts w:ascii="Calibri" w:eastAsia="Times New Roman" w:hAnsi="Calibri" w:cs="Calibri"/>
          <w:lang w:eastAsia="en-NZ"/>
        </w:rPr>
      </w:pP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lead</w:t>
      </w:r>
      <w:r w:rsidR="003D640C">
        <w:rPr>
          <w:rFonts w:ascii="Calibri" w:eastAsia="Times New Roman" w:hAnsi="Calibri" w:cs="Calibri"/>
          <w:lang w:eastAsia="en-NZ"/>
        </w:rPr>
        <w:t xml:space="preserve"> </w:t>
      </w:r>
      <w:r>
        <w:rPr>
          <w:rFonts w:ascii="Calibri" w:eastAsia="Times New Roman" w:hAnsi="Calibri" w:cs="Calibri"/>
          <w:lang w:eastAsia="en-NZ"/>
        </w:rPr>
        <w:t>this</w:t>
      </w:r>
      <w:r w:rsidR="003D640C">
        <w:rPr>
          <w:rFonts w:ascii="Calibri" w:eastAsia="Times New Roman" w:hAnsi="Calibri" w:cs="Calibri"/>
          <w:lang w:eastAsia="en-NZ"/>
        </w:rPr>
        <w:t xml:space="preserve"> </w:t>
      </w:r>
      <w:r>
        <w:rPr>
          <w:rFonts w:ascii="Calibri" w:eastAsia="Times New Roman" w:hAnsi="Calibri" w:cs="Calibri"/>
          <w:lang w:eastAsia="en-NZ"/>
        </w:rPr>
        <w:t>work</w:t>
      </w:r>
      <w:r w:rsidR="003D640C">
        <w:rPr>
          <w:rFonts w:ascii="Calibri" w:eastAsia="Times New Roman" w:hAnsi="Calibri" w:cs="Calibri"/>
          <w:lang w:eastAsia="en-NZ"/>
        </w:rPr>
        <w:t xml:space="preserve"> </w:t>
      </w:r>
      <w:r>
        <w:rPr>
          <w:rFonts w:ascii="Calibri" w:eastAsia="Times New Roman" w:hAnsi="Calibri" w:cs="Calibri"/>
          <w:lang w:eastAsia="en-NZ"/>
        </w:rPr>
        <w:t>we</w:t>
      </w:r>
      <w:r w:rsidR="003D640C">
        <w:rPr>
          <w:rFonts w:ascii="Calibri" w:eastAsia="Times New Roman" w:hAnsi="Calibri" w:cs="Calibri"/>
          <w:lang w:eastAsia="en-NZ"/>
        </w:rPr>
        <w:t xml:space="preserve"> </w:t>
      </w:r>
      <w:r w:rsidRPr="00B1465F">
        <w:rPr>
          <w:rFonts w:ascii="Calibri" w:eastAsia="Times New Roman" w:hAnsi="Calibri" w:cs="Calibri"/>
          <w:lang w:eastAsia="en-NZ"/>
        </w:rPr>
        <w:t>formed</w:t>
      </w:r>
      <w:r w:rsidR="003D640C">
        <w:rPr>
          <w:rFonts w:ascii="Calibri" w:eastAsia="Times New Roman" w:hAnsi="Calibri" w:cs="Calibri"/>
          <w:lang w:eastAsia="en-NZ"/>
        </w:rPr>
        <w:t xml:space="preserve"> </w:t>
      </w:r>
      <w:r w:rsidRPr="00B1465F">
        <w:rPr>
          <w:rFonts w:ascii="Calibri" w:eastAsia="Times New Roman" w:hAnsi="Calibri" w:cs="Calibri"/>
          <w:lang w:eastAsia="en-NZ"/>
        </w:rPr>
        <w:t>a</w:t>
      </w:r>
      <w:r w:rsidR="003D640C">
        <w:rPr>
          <w:rFonts w:ascii="Calibri" w:eastAsia="Times New Roman" w:hAnsi="Calibri" w:cs="Calibri"/>
          <w:lang w:eastAsia="en-NZ"/>
        </w:rPr>
        <w:t xml:space="preserve"> </w:t>
      </w:r>
      <w:r w:rsidRPr="00B1465F">
        <w:rPr>
          <w:rFonts w:ascii="Calibri" w:eastAsia="Times New Roman" w:hAnsi="Calibri" w:cs="Calibri"/>
          <w:lang w:eastAsia="en-NZ"/>
        </w:rPr>
        <w:t>team</w:t>
      </w:r>
      <w:r w:rsidR="003D640C">
        <w:rPr>
          <w:rFonts w:ascii="Calibri" w:eastAsia="Times New Roman" w:hAnsi="Calibri" w:cs="Calibri"/>
          <w:lang w:eastAsia="en-NZ"/>
        </w:rPr>
        <w:t xml:space="preserve"> </w:t>
      </w:r>
      <w:r w:rsidR="008D7165">
        <w:rPr>
          <w:rFonts w:ascii="Calibri" w:eastAsia="Times New Roman" w:hAnsi="Calibri" w:cs="Calibri"/>
          <w:lang w:eastAsia="en-NZ"/>
        </w:rPr>
        <w:t>with</w:t>
      </w:r>
      <w:r w:rsidR="003D640C">
        <w:rPr>
          <w:rFonts w:ascii="Calibri" w:eastAsia="Times New Roman" w:hAnsi="Calibri" w:cs="Calibri"/>
          <w:lang w:eastAsia="en-NZ"/>
        </w:rPr>
        <w:t xml:space="preserve"> </w:t>
      </w:r>
      <w:r w:rsidRPr="00B1465F">
        <w:rPr>
          <w:rFonts w:ascii="Calibri" w:eastAsia="Times New Roman" w:hAnsi="Calibri" w:cs="Calibri"/>
          <w:lang w:eastAsia="en-NZ"/>
        </w:rPr>
        <w:t>both</w:t>
      </w:r>
      <w:r w:rsidR="003D640C">
        <w:rPr>
          <w:rFonts w:ascii="Calibri" w:eastAsia="Times New Roman" w:hAnsi="Calibri" w:cs="Calibri"/>
          <w:lang w:eastAsia="en-NZ"/>
        </w:rPr>
        <w:t xml:space="preserve"> </w:t>
      </w:r>
      <w:r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Pr="00B1465F">
        <w:rPr>
          <w:rFonts w:ascii="Calibri" w:eastAsia="Times New Roman" w:hAnsi="Calibri" w:cs="Calibri"/>
          <w:lang w:eastAsia="en-NZ"/>
        </w:rPr>
        <w:t>leadership</w:t>
      </w:r>
      <w:r w:rsidR="003D640C">
        <w:rPr>
          <w:rFonts w:ascii="Calibri" w:eastAsia="Times New Roman" w:hAnsi="Calibri" w:cs="Calibri"/>
          <w:lang w:eastAsia="en-NZ"/>
        </w:rPr>
        <w:t xml:space="preserve"> </w:t>
      </w:r>
      <w:r w:rsidRPr="00B1465F">
        <w:rPr>
          <w:rFonts w:ascii="Calibri" w:eastAsia="Times New Roman" w:hAnsi="Calibri" w:cs="Calibri"/>
          <w:lang w:eastAsia="en-NZ"/>
        </w:rPr>
        <w:t>and</w:t>
      </w:r>
      <w:r w:rsidR="003D640C">
        <w:rPr>
          <w:rFonts w:ascii="Calibri" w:eastAsia="Times New Roman" w:hAnsi="Calibri" w:cs="Calibri"/>
          <w:lang w:eastAsia="en-NZ"/>
        </w:rPr>
        <w:t xml:space="preserve"> </w:t>
      </w:r>
      <w:r w:rsidRPr="00B1465F">
        <w:rPr>
          <w:rFonts w:ascii="Calibri" w:eastAsia="Times New Roman" w:hAnsi="Calibri" w:cs="Calibri"/>
          <w:lang w:eastAsia="en-NZ"/>
        </w:rPr>
        <w:t>a</w:t>
      </w:r>
      <w:r w:rsidR="003D640C">
        <w:rPr>
          <w:rFonts w:ascii="Calibri" w:eastAsia="Times New Roman" w:hAnsi="Calibri" w:cs="Calibri"/>
          <w:lang w:eastAsia="en-NZ"/>
        </w:rPr>
        <w:t xml:space="preserve"> </w:t>
      </w:r>
      <w:r w:rsidRPr="00B1465F">
        <w:rPr>
          <w:rFonts w:ascii="Calibri" w:eastAsia="Times New Roman" w:hAnsi="Calibri" w:cs="Calibri"/>
          <w:lang w:eastAsia="en-NZ"/>
        </w:rPr>
        <w:t>significant</w:t>
      </w:r>
      <w:r w:rsidR="003D640C">
        <w:rPr>
          <w:rFonts w:ascii="Calibri" w:eastAsia="Times New Roman" w:hAnsi="Calibri" w:cs="Calibri"/>
          <w:lang w:eastAsia="en-NZ"/>
        </w:rPr>
        <w:t xml:space="preserve"> </w:t>
      </w:r>
      <w:r w:rsidRPr="00B1465F">
        <w:rPr>
          <w:rFonts w:ascii="Calibri" w:eastAsia="Times New Roman" w:hAnsi="Calibri" w:cs="Calibri"/>
          <w:lang w:eastAsia="en-NZ"/>
        </w:rPr>
        <w:t>number</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members</w:t>
      </w:r>
      <w:r w:rsidR="008D7165">
        <w:rPr>
          <w:rFonts w:ascii="Calibri" w:eastAsia="Times New Roman" w:hAnsi="Calibri" w:cs="Calibri"/>
          <w:lang w:eastAsia="en-NZ"/>
        </w:rPr>
        <w:t xml:space="preserve"> having</w:t>
      </w:r>
      <w:r w:rsidR="003D640C">
        <w:rPr>
          <w:rFonts w:ascii="Calibri" w:eastAsia="Times New Roman" w:hAnsi="Calibri" w:cs="Calibri"/>
          <w:lang w:eastAsia="en-NZ"/>
        </w:rPr>
        <w:t xml:space="preserve"> </w:t>
      </w:r>
      <w:r w:rsidRPr="00B1465F">
        <w:rPr>
          <w:rFonts w:ascii="Calibri" w:eastAsia="Times New Roman" w:hAnsi="Calibri" w:cs="Calibri"/>
          <w:lang w:eastAsia="en-NZ"/>
        </w:rPr>
        <w:t>lived</w:t>
      </w:r>
      <w:r w:rsidR="003D640C">
        <w:rPr>
          <w:rFonts w:ascii="Calibri" w:eastAsia="Times New Roman" w:hAnsi="Calibri" w:cs="Calibri"/>
          <w:lang w:eastAsia="en-NZ"/>
        </w:rPr>
        <w:t xml:space="preserve"> </w:t>
      </w:r>
      <w:r w:rsidRPr="00B1465F">
        <w:rPr>
          <w:rFonts w:ascii="Calibri" w:eastAsia="Times New Roman" w:hAnsi="Calibri" w:cs="Calibri"/>
          <w:lang w:eastAsia="en-NZ"/>
        </w:rPr>
        <w:t>experience</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sidRPr="00B1465F">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1465F">
        <w:rPr>
          <w:rFonts w:ascii="Calibri" w:eastAsia="Times New Roman" w:hAnsi="Calibri" w:cs="Calibri"/>
          <w:lang w:eastAsia="en-NZ"/>
        </w:rPr>
        <w:t>practices.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One</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of</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the</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major</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contributions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of</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this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report</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is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to</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draw</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insights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from</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more</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marginalised</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communities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facing</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conversion</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practices</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in</w:t>
      </w:r>
      <w:r w:rsidR="003D640C">
        <w:rPr>
          <w:rFonts w:ascii="Calibri" w:eastAsia="Times New Roman" w:hAnsi="Calibri" w:cs="Calibri"/>
          <w:lang w:eastAsia="en-NZ"/>
        </w:rPr>
        <w:t xml:space="preserve"> </w:t>
      </w:r>
      <w:r w:rsidR="00E27395" w:rsidRPr="00E27395">
        <w:rPr>
          <w:rFonts w:ascii="Calibri" w:eastAsia="Times New Roman" w:hAnsi="Calibri" w:cs="Calibri"/>
          <w:lang w:eastAsia="en-NZ"/>
        </w:rPr>
        <w:t>Aotearoa.</w:t>
      </w:r>
      <w:r w:rsidR="003D640C">
        <w:rPr>
          <w:rFonts w:ascii="Calibri" w:eastAsia="Times New Roman" w:hAnsi="Calibri" w:cs="Calibri"/>
          <w:lang w:eastAsia="en-NZ"/>
        </w:rPr>
        <w:t xml:space="preserve"> </w:t>
      </w:r>
      <w:r w:rsidR="00C01B16">
        <w:rPr>
          <w:rFonts w:ascii="Calibri" w:eastAsia="Times New Roman" w:hAnsi="Calibri" w:cs="Calibri"/>
          <w:lang w:eastAsia="en-NZ"/>
        </w:rPr>
        <w:t>In</w:t>
      </w:r>
      <w:r w:rsidR="003D640C">
        <w:rPr>
          <w:rFonts w:ascii="Calibri" w:eastAsia="Times New Roman" w:hAnsi="Calibri" w:cs="Calibri"/>
          <w:lang w:eastAsia="en-NZ"/>
        </w:rPr>
        <w:t xml:space="preserve"> </w:t>
      </w:r>
      <w:r w:rsidR="00C01B16">
        <w:rPr>
          <w:rFonts w:ascii="Calibri" w:eastAsia="Times New Roman" w:hAnsi="Calibri" w:cs="Calibri"/>
          <w:lang w:eastAsia="en-NZ"/>
        </w:rPr>
        <w:t>order</w:t>
      </w:r>
      <w:r w:rsidR="003D640C">
        <w:rPr>
          <w:rFonts w:ascii="Calibri" w:eastAsia="Times New Roman" w:hAnsi="Calibri" w:cs="Calibri"/>
          <w:lang w:eastAsia="en-NZ"/>
        </w:rPr>
        <w:t xml:space="preserve"> </w:t>
      </w:r>
      <w:r w:rsidR="00C01B16">
        <w:rPr>
          <w:rFonts w:ascii="Calibri" w:eastAsia="Times New Roman" w:hAnsi="Calibri" w:cs="Calibri"/>
          <w:lang w:eastAsia="en-NZ"/>
        </w:rPr>
        <w:t>to</w:t>
      </w:r>
      <w:r w:rsidR="003D640C">
        <w:rPr>
          <w:rFonts w:ascii="Calibri" w:eastAsia="Times New Roman" w:hAnsi="Calibri" w:cs="Calibri"/>
          <w:lang w:eastAsia="en-NZ"/>
        </w:rPr>
        <w:t xml:space="preserve"> </w:t>
      </w:r>
      <w:r w:rsidR="00C01B16">
        <w:rPr>
          <w:rFonts w:ascii="Calibri" w:eastAsia="Times New Roman" w:hAnsi="Calibri" w:cs="Calibri"/>
          <w:lang w:eastAsia="en-NZ"/>
        </w:rPr>
        <w:t>do</w:t>
      </w:r>
      <w:r w:rsidR="003D640C">
        <w:rPr>
          <w:rFonts w:ascii="Calibri" w:eastAsia="Times New Roman" w:hAnsi="Calibri" w:cs="Calibri"/>
          <w:lang w:eastAsia="en-NZ"/>
        </w:rPr>
        <w:t xml:space="preserve"> </w:t>
      </w:r>
      <w:r w:rsidR="00C01B16">
        <w:rPr>
          <w:rFonts w:ascii="Calibri" w:eastAsia="Times New Roman" w:hAnsi="Calibri" w:cs="Calibri"/>
          <w:lang w:eastAsia="en-NZ"/>
        </w:rPr>
        <w:t>so,</w:t>
      </w:r>
      <w:r w:rsidR="003D640C">
        <w:rPr>
          <w:rFonts w:ascii="Calibri" w:eastAsia="Times New Roman" w:hAnsi="Calibri" w:cs="Calibri"/>
          <w:lang w:eastAsia="en-NZ"/>
        </w:rPr>
        <w:t xml:space="preserve"> </w:t>
      </w:r>
      <w:r w:rsidR="00C01B16">
        <w:rPr>
          <w:rFonts w:ascii="Calibri" w:eastAsia="Times New Roman" w:hAnsi="Calibri" w:cs="Calibri"/>
          <w:lang w:eastAsia="en-NZ"/>
        </w:rPr>
        <w:t>e</w:t>
      </w:r>
      <w:r w:rsidRPr="00B1465F">
        <w:rPr>
          <w:rFonts w:ascii="Calibri" w:eastAsia="Times New Roman" w:hAnsi="Calibri" w:cs="Calibri"/>
          <w:lang w:eastAsia="en-NZ"/>
        </w:rPr>
        <w:t>fforts</w:t>
      </w:r>
      <w:r w:rsidR="003D640C">
        <w:rPr>
          <w:rFonts w:ascii="Calibri" w:eastAsia="Times New Roman" w:hAnsi="Calibri" w:cs="Calibri"/>
          <w:lang w:eastAsia="en-NZ"/>
        </w:rPr>
        <w:t xml:space="preserve"> </w:t>
      </w:r>
      <w:r w:rsidRPr="00B1465F">
        <w:rPr>
          <w:rFonts w:ascii="Calibri" w:eastAsia="Times New Roman" w:hAnsi="Calibri" w:cs="Calibri"/>
          <w:lang w:eastAsia="en-NZ"/>
        </w:rPr>
        <w:t>were</w:t>
      </w:r>
      <w:r w:rsidR="003D640C">
        <w:rPr>
          <w:rFonts w:ascii="Calibri" w:eastAsia="Times New Roman" w:hAnsi="Calibri" w:cs="Calibri"/>
          <w:lang w:eastAsia="en-NZ"/>
        </w:rPr>
        <w:t xml:space="preserve"> </w:t>
      </w:r>
      <w:r w:rsidRPr="00B1465F">
        <w:rPr>
          <w:rFonts w:ascii="Calibri" w:eastAsia="Times New Roman" w:hAnsi="Calibri" w:cs="Calibri"/>
          <w:lang w:eastAsia="en-NZ"/>
        </w:rPr>
        <w:t>made</w:t>
      </w:r>
      <w:r w:rsidR="003D640C">
        <w:rPr>
          <w:rFonts w:ascii="Calibri" w:eastAsia="Times New Roman" w:hAnsi="Calibri" w:cs="Calibri"/>
          <w:lang w:eastAsia="en-NZ"/>
        </w:rPr>
        <w:t xml:space="preserve"> </w:t>
      </w:r>
      <w:r w:rsidRPr="00B1465F">
        <w:rPr>
          <w:rFonts w:ascii="Calibri" w:eastAsia="Times New Roman" w:hAnsi="Calibri" w:cs="Calibri"/>
          <w:lang w:eastAsia="en-NZ"/>
        </w:rPr>
        <w:t>to</w:t>
      </w:r>
      <w:r w:rsidR="003D640C">
        <w:rPr>
          <w:rFonts w:ascii="Calibri" w:eastAsia="Times New Roman" w:hAnsi="Calibri" w:cs="Calibri"/>
          <w:lang w:eastAsia="en-NZ"/>
        </w:rPr>
        <w:t xml:space="preserve"> </w:t>
      </w:r>
      <w:r w:rsidRPr="00B1465F">
        <w:rPr>
          <w:rFonts w:ascii="Calibri" w:eastAsia="Times New Roman" w:hAnsi="Calibri" w:cs="Calibri"/>
          <w:lang w:eastAsia="en-NZ"/>
        </w:rPr>
        <w:t>ensure</w:t>
      </w:r>
      <w:r w:rsidR="003D640C">
        <w:rPr>
          <w:rFonts w:ascii="Calibri" w:eastAsia="Times New Roman" w:hAnsi="Calibri" w:cs="Calibri"/>
          <w:lang w:eastAsia="en-NZ"/>
        </w:rPr>
        <w:t xml:space="preserve"> </w:t>
      </w:r>
      <w:r w:rsidR="00E27395">
        <w:rPr>
          <w:rFonts w:ascii="Calibri" w:eastAsia="Times New Roman" w:hAnsi="Calibri" w:cs="Calibri"/>
          <w:lang w:eastAsia="en-NZ"/>
        </w:rPr>
        <w:t>the</w:t>
      </w:r>
      <w:r w:rsidR="003D640C">
        <w:rPr>
          <w:rFonts w:ascii="Calibri" w:eastAsia="Times New Roman" w:hAnsi="Calibri" w:cs="Calibri"/>
          <w:lang w:eastAsia="en-NZ"/>
        </w:rPr>
        <w:t xml:space="preserve"> </w:t>
      </w:r>
      <w:r w:rsidR="00E27395">
        <w:rPr>
          <w:rFonts w:ascii="Calibri" w:eastAsia="Times New Roman" w:hAnsi="Calibri" w:cs="Calibri"/>
          <w:lang w:eastAsia="en-NZ"/>
        </w:rPr>
        <w:t>team’s</w:t>
      </w:r>
      <w:r w:rsidR="003D640C">
        <w:rPr>
          <w:rFonts w:ascii="Calibri" w:eastAsia="Times New Roman" w:hAnsi="Calibri" w:cs="Calibri"/>
          <w:lang w:eastAsia="en-NZ"/>
        </w:rPr>
        <w:t xml:space="preserve"> </w:t>
      </w:r>
      <w:r w:rsidR="00E27395">
        <w:rPr>
          <w:rFonts w:ascii="Calibri" w:eastAsia="Times New Roman" w:hAnsi="Calibri" w:cs="Calibri"/>
          <w:lang w:eastAsia="en-NZ"/>
        </w:rPr>
        <w:t>composition</w:t>
      </w:r>
      <w:r w:rsidR="003D640C">
        <w:rPr>
          <w:rFonts w:ascii="Calibri" w:eastAsia="Times New Roman" w:hAnsi="Calibri" w:cs="Calibri"/>
          <w:lang w:eastAsia="en-NZ"/>
        </w:rPr>
        <w:t xml:space="preserve"> </w:t>
      </w:r>
      <w:r w:rsidR="00E27395">
        <w:rPr>
          <w:rFonts w:ascii="Calibri" w:eastAsia="Times New Roman" w:hAnsi="Calibri" w:cs="Calibri"/>
          <w:lang w:eastAsia="en-NZ"/>
        </w:rPr>
        <w:t>included</w:t>
      </w:r>
      <w:r w:rsidR="003D640C">
        <w:rPr>
          <w:rFonts w:ascii="Calibri" w:eastAsia="Times New Roman" w:hAnsi="Calibri" w:cs="Calibri"/>
          <w:lang w:eastAsia="en-NZ"/>
        </w:rPr>
        <w:t xml:space="preserve"> </w:t>
      </w:r>
      <w:r w:rsidR="00E61D4C">
        <w:rPr>
          <w:rFonts w:ascii="Calibri" w:eastAsia="Times New Roman" w:hAnsi="Calibri" w:cs="Calibri"/>
          <w:lang w:eastAsia="en-NZ"/>
        </w:rPr>
        <w:t>gender</w:t>
      </w:r>
      <w:r w:rsidR="003D640C">
        <w:rPr>
          <w:rFonts w:ascii="Calibri" w:eastAsia="Times New Roman" w:hAnsi="Calibri" w:cs="Calibri"/>
          <w:lang w:eastAsia="en-NZ"/>
        </w:rPr>
        <w:t xml:space="preserve"> </w:t>
      </w:r>
      <w:r w:rsidR="00E61D4C">
        <w:rPr>
          <w:rFonts w:ascii="Calibri" w:eastAsia="Times New Roman" w:hAnsi="Calibri" w:cs="Calibri"/>
          <w:lang w:eastAsia="en-NZ"/>
        </w:rPr>
        <w:t>and</w:t>
      </w:r>
      <w:r w:rsidR="003D640C">
        <w:rPr>
          <w:rFonts w:ascii="Calibri" w:eastAsia="Times New Roman" w:hAnsi="Calibri" w:cs="Calibri"/>
          <w:lang w:eastAsia="en-NZ"/>
        </w:rPr>
        <w:t xml:space="preserve"> </w:t>
      </w:r>
      <w:r w:rsidR="00F530AD">
        <w:rPr>
          <w:rFonts w:ascii="Calibri" w:eastAsia="Times New Roman" w:hAnsi="Calibri" w:cs="Calibri"/>
          <w:lang w:eastAsia="en-NZ"/>
        </w:rPr>
        <w:t>ethnic</w:t>
      </w:r>
      <w:r w:rsidR="003D640C">
        <w:rPr>
          <w:rFonts w:ascii="Calibri" w:eastAsia="Times New Roman" w:hAnsi="Calibri" w:cs="Calibri"/>
          <w:lang w:eastAsia="en-NZ"/>
        </w:rPr>
        <w:t xml:space="preserve"> </w:t>
      </w:r>
      <w:r w:rsidR="00F530AD">
        <w:rPr>
          <w:rFonts w:ascii="Calibri" w:eastAsia="Times New Roman" w:hAnsi="Calibri" w:cs="Calibri"/>
          <w:lang w:eastAsia="en-NZ"/>
        </w:rPr>
        <w:t>diversity</w:t>
      </w:r>
      <w:r w:rsidR="003D640C">
        <w:rPr>
          <w:rFonts w:ascii="Calibri" w:eastAsia="Times New Roman" w:hAnsi="Calibri" w:cs="Calibri"/>
          <w:lang w:eastAsia="en-NZ"/>
        </w:rPr>
        <w:t xml:space="preserve"> </w:t>
      </w:r>
      <w:r w:rsidR="00E61D4C">
        <w:rPr>
          <w:rFonts w:ascii="Calibri" w:eastAsia="Times New Roman" w:hAnsi="Calibri" w:cs="Calibri"/>
          <w:lang w:eastAsia="en-NZ"/>
        </w:rPr>
        <w:t>and</w:t>
      </w:r>
      <w:r w:rsidR="003D640C">
        <w:rPr>
          <w:rFonts w:ascii="Calibri" w:eastAsia="Times New Roman" w:hAnsi="Calibri" w:cs="Calibri"/>
          <w:lang w:eastAsia="en-NZ"/>
        </w:rPr>
        <w:t xml:space="preserve"> </w:t>
      </w:r>
      <w:r w:rsidR="00E61D4C">
        <w:rPr>
          <w:rFonts w:ascii="Calibri" w:eastAsia="Times New Roman" w:hAnsi="Calibri" w:cs="Calibri"/>
          <w:lang w:eastAsia="en-NZ"/>
        </w:rPr>
        <w:t>also</w:t>
      </w:r>
      <w:r w:rsidR="003D640C">
        <w:rPr>
          <w:rFonts w:ascii="Calibri" w:eastAsia="Times New Roman" w:hAnsi="Calibri" w:cs="Calibri"/>
          <w:lang w:eastAsia="en-NZ"/>
        </w:rPr>
        <w:t xml:space="preserve"> </w:t>
      </w:r>
      <w:r w:rsidR="00E27395">
        <w:rPr>
          <w:rFonts w:ascii="Calibri" w:eastAsia="Times New Roman" w:hAnsi="Calibri" w:cs="Calibri"/>
          <w:lang w:eastAsia="en-NZ"/>
        </w:rPr>
        <w:t>people</w:t>
      </w:r>
      <w:r w:rsidR="003D640C">
        <w:rPr>
          <w:rFonts w:ascii="Calibri" w:eastAsia="Times New Roman" w:hAnsi="Calibri" w:cs="Calibri"/>
          <w:lang w:eastAsia="en-NZ"/>
        </w:rPr>
        <w:t xml:space="preserve"> </w:t>
      </w:r>
      <w:r w:rsidR="00E27395">
        <w:rPr>
          <w:rFonts w:ascii="Calibri" w:eastAsia="Times New Roman" w:hAnsi="Calibri" w:cs="Calibri"/>
          <w:lang w:eastAsia="en-NZ"/>
        </w:rPr>
        <w:t>who</w:t>
      </w:r>
      <w:r w:rsidR="003D640C">
        <w:rPr>
          <w:rFonts w:ascii="Calibri" w:eastAsia="Times New Roman" w:hAnsi="Calibri" w:cs="Calibri"/>
          <w:lang w:eastAsia="en-NZ"/>
        </w:rPr>
        <w:t xml:space="preserve"> </w:t>
      </w:r>
      <w:r w:rsidR="00E61D4C">
        <w:rPr>
          <w:rFonts w:ascii="Calibri" w:eastAsia="Times New Roman" w:hAnsi="Calibri" w:cs="Calibri"/>
          <w:lang w:eastAsia="en-NZ"/>
        </w:rPr>
        <w:t>identified</w:t>
      </w:r>
      <w:r w:rsidR="003D640C">
        <w:rPr>
          <w:rFonts w:ascii="Calibri" w:eastAsia="Times New Roman" w:hAnsi="Calibri" w:cs="Calibri"/>
          <w:lang w:eastAsia="en-NZ"/>
        </w:rPr>
        <w:t xml:space="preserve"> </w:t>
      </w:r>
      <w:r w:rsidR="00E61D4C">
        <w:rPr>
          <w:rFonts w:ascii="Calibri" w:eastAsia="Times New Roman" w:hAnsi="Calibri" w:cs="Calibri"/>
          <w:lang w:eastAsia="en-NZ"/>
        </w:rPr>
        <w:t>as</w:t>
      </w:r>
      <w:r w:rsidR="003D640C">
        <w:rPr>
          <w:rFonts w:ascii="Calibri" w:eastAsia="Times New Roman" w:hAnsi="Calibri" w:cs="Calibri"/>
          <w:lang w:eastAsia="en-NZ"/>
        </w:rPr>
        <w:t xml:space="preserve"> </w:t>
      </w:r>
      <w:r w:rsidR="00E61D4C">
        <w:rPr>
          <w:rFonts w:ascii="Calibri" w:eastAsia="Times New Roman" w:hAnsi="Calibri" w:cs="Calibri"/>
          <w:lang w:eastAsia="en-NZ"/>
        </w:rPr>
        <w:t>disabled.</w:t>
      </w:r>
      <w:r w:rsidR="003D640C">
        <w:rPr>
          <w:rFonts w:ascii="Calibri" w:eastAsia="Times New Roman" w:hAnsi="Calibri" w:cs="Calibri"/>
          <w:lang w:eastAsia="en-NZ"/>
        </w:rPr>
        <w:t xml:space="preserve"> </w:t>
      </w:r>
      <w:r w:rsidR="00E61D4C">
        <w:rPr>
          <w:rFonts w:ascii="Calibri" w:eastAsia="Times New Roman" w:hAnsi="Calibri" w:cs="Calibri"/>
          <w:lang w:eastAsia="en-NZ"/>
        </w:rPr>
        <w:t>The</w:t>
      </w:r>
      <w:r w:rsidR="003D640C">
        <w:rPr>
          <w:rFonts w:ascii="Calibri" w:eastAsia="Times New Roman" w:hAnsi="Calibri" w:cs="Calibri"/>
          <w:lang w:eastAsia="en-NZ"/>
        </w:rPr>
        <w:t xml:space="preserve"> </w:t>
      </w:r>
      <w:r w:rsidR="00E61D4C">
        <w:rPr>
          <w:rFonts w:ascii="Calibri" w:eastAsia="Times New Roman" w:hAnsi="Calibri" w:cs="Calibri"/>
          <w:lang w:eastAsia="en-NZ"/>
        </w:rPr>
        <w:t>team’s</w:t>
      </w:r>
      <w:r w:rsidR="003D640C">
        <w:rPr>
          <w:rFonts w:ascii="Calibri" w:eastAsia="Times New Roman" w:hAnsi="Calibri" w:cs="Calibri"/>
          <w:lang w:eastAsia="en-NZ"/>
        </w:rPr>
        <w:t xml:space="preserve"> </w:t>
      </w:r>
      <w:r w:rsidR="00E61D4C">
        <w:rPr>
          <w:rFonts w:ascii="Calibri" w:eastAsia="Times New Roman" w:hAnsi="Calibri" w:cs="Calibri"/>
          <w:lang w:eastAsia="en-NZ"/>
        </w:rPr>
        <w:t>ethnic</w:t>
      </w:r>
      <w:r w:rsidR="003D640C">
        <w:rPr>
          <w:rFonts w:ascii="Calibri" w:eastAsia="Times New Roman" w:hAnsi="Calibri" w:cs="Calibri"/>
          <w:lang w:eastAsia="en-NZ"/>
        </w:rPr>
        <w:t xml:space="preserve"> </w:t>
      </w:r>
      <w:r w:rsidR="00E61D4C">
        <w:rPr>
          <w:rFonts w:ascii="Calibri" w:eastAsia="Times New Roman" w:hAnsi="Calibri" w:cs="Calibri"/>
          <w:lang w:eastAsia="en-NZ"/>
        </w:rPr>
        <w:t>diversity</w:t>
      </w:r>
      <w:r w:rsidR="003D640C">
        <w:rPr>
          <w:rFonts w:ascii="Calibri" w:eastAsia="Times New Roman" w:hAnsi="Calibri" w:cs="Calibri"/>
          <w:lang w:eastAsia="en-NZ"/>
        </w:rPr>
        <w:t xml:space="preserve"> </w:t>
      </w:r>
      <w:r w:rsidR="00E61D4C">
        <w:rPr>
          <w:rFonts w:ascii="Calibri" w:eastAsia="Times New Roman" w:hAnsi="Calibri" w:cs="Calibri"/>
          <w:lang w:eastAsia="en-NZ"/>
        </w:rPr>
        <w:t>included</w:t>
      </w:r>
      <w:r w:rsidR="003D640C">
        <w:rPr>
          <w:rFonts w:ascii="Calibri" w:eastAsia="Times New Roman" w:hAnsi="Calibri" w:cs="Calibri"/>
          <w:lang w:eastAsia="en-NZ"/>
        </w:rPr>
        <w:t xml:space="preserve"> </w:t>
      </w:r>
      <w:r w:rsidR="00E61D4C">
        <w:rPr>
          <w:rFonts w:ascii="Calibri" w:eastAsia="Times New Roman" w:hAnsi="Calibri" w:cs="Calibri"/>
          <w:lang w:eastAsia="en-NZ"/>
        </w:rPr>
        <w:t>Māori,</w:t>
      </w:r>
      <w:r w:rsidR="003D640C">
        <w:rPr>
          <w:rFonts w:ascii="Calibri" w:eastAsia="Times New Roman" w:hAnsi="Calibri" w:cs="Calibri"/>
          <w:lang w:eastAsia="en-NZ"/>
        </w:rPr>
        <w:t xml:space="preserve"> </w:t>
      </w:r>
      <w:r w:rsidR="00E61D4C">
        <w:rPr>
          <w:rFonts w:ascii="Calibri" w:eastAsia="Times New Roman" w:hAnsi="Calibri" w:cs="Calibri"/>
          <w:lang w:eastAsia="en-NZ"/>
        </w:rPr>
        <w:t>Pacific</w:t>
      </w:r>
      <w:r w:rsidR="006632FD">
        <w:rPr>
          <w:rFonts w:ascii="Calibri" w:eastAsia="Times New Roman" w:hAnsi="Calibri" w:cs="Calibri"/>
          <w:lang w:eastAsia="en-NZ"/>
        </w:rPr>
        <w:t>,</w:t>
      </w:r>
      <w:r w:rsidR="003D640C">
        <w:rPr>
          <w:rFonts w:ascii="Calibri" w:eastAsia="Times New Roman" w:hAnsi="Calibri" w:cs="Calibri"/>
          <w:lang w:eastAsia="en-NZ"/>
        </w:rPr>
        <w:t xml:space="preserve"> </w:t>
      </w:r>
      <w:r w:rsidR="00E61D4C">
        <w:rPr>
          <w:rFonts w:ascii="Calibri" w:eastAsia="Times New Roman" w:hAnsi="Calibri" w:cs="Calibri"/>
          <w:lang w:eastAsia="en-NZ"/>
        </w:rPr>
        <w:t>South</w:t>
      </w:r>
      <w:r w:rsidR="003D640C">
        <w:rPr>
          <w:rFonts w:ascii="Calibri" w:eastAsia="Times New Roman" w:hAnsi="Calibri" w:cs="Calibri"/>
          <w:lang w:eastAsia="en-NZ"/>
        </w:rPr>
        <w:t xml:space="preserve"> </w:t>
      </w:r>
      <w:r w:rsidR="00E61D4C">
        <w:rPr>
          <w:rFonts w:ascii="Calibri" w:eastAsia="Times New Roman" w:hAnsi="Calibri" w:cs="Calibri"/>
          <w:lang w:eastAsia="en-NZ"/>
        </w:rPr>
        <w:t>Asian</w:t>
      </w:r>
      <w:r w:rsidR="006632FD">
        <w:rPr>
          <w:rFonts w:ascii="Calibri" w:eastAsia="Times New Roman" w:hAnsi="Calibri" w:cs="Calibri"/>
          <w:lang w:eastAsia="en-NZ"/>
        </w:rPr>
        <w:t>,</w:t>
      </w:r>
      <w:r w:rsidR="003D640C">
        <w:rPr>
          <w:rFonts w:ascii="Calibri" w:eastAsia="Times New Roman" w:hAnsi="Calibri" w:cs="Calibri"/>
          <w:lang w:eastAsia="en-NZ"/>
        </w:rPr>
        <w:t xml:space="preserve"> </w:t>
      </w:r>
      <w:r w:rsidR="00E4401B">
        <w:rPr>
          <w:rFonts w:ascii="Calibri" w:eastAsia="Times New Roman" w:hAnsi="Calibri" w:cs="Calibri"/>
          <w:lang w:eastAsia="en-NZ"/>
        </w:rPr>
        <w:t>and</w:t>
      </w:r>
      <w:r w:rsidR="003D640C">
        <w:rPr>
          <w:rFonts w:ascii="Calibri" w:eastAsia="Times New Roman" w:hAnsi="Calibri" w:cs="Calibri"/>
          <w:lang w:eastAsia="en-NZ"/>
        </w:rPr>
        <w:t xml:space="preserve"> </w:t>
      </w:r>
      <w:r w:rsidR="00E4401B">
        <w:rPr>
          <w:rFonts w:ascii="Calibri" w:eastAsia="Times New Roman" w:hAnsi="Calibri" w:cs="Calibri"/>
          <w:lang w:eastAsia="en-NZ"/>
        </w:rPr>
        <w:t>Pākeh</w:t>
      </w:r>
      <w:r w:rsidR="00F619BA">
        <w:rPr>
          <w:rFonts w:ascii="Calibri" w:eastAsia="Times New Roman" w:hAnsi="Calibri" w:cs="Calibri"/>
          <w:lang w:eastAsia="en-NZ"/>
        </w:rPr>
        <w:t>ā</w:t>
      </w:r>
      <w:r w:rsidR="006632FD">
        <w:rPr>
          <w:rFonts w:ascii="Calibri" w:eastAsia="Times New Roman" w:hAnsi="Calibri" w:cs="Calibri"/>
          <w:lang w:eastAsia="en-NZ"/>
        </w:rPr>
        <w:t>.</w:t>
      </w:r>
      <w:r w:rsidR="003D640C">
        <w:rPr>
          <w:rFonts w:ascii="Calibri" w:eastAsia="Times New Roman" w:hAnsi="Calibri" w:cs="Calibri"/>
          <w:lang w:eastAsia="en-NZ"/>
        </w:rPr>
        <w:t xml:space="preserve"> </w:t>
      </w:r>
      <w:r w:rsidR="006632FD">
        <w:rPr>
          <w:rFonts w:ascii="Calibri" w:eastAsia="Times New Roman" w:hAnsi="Calibri" w:cs="Calibri"/>
          <w:lang w:eastAsia="en-NZ"/>
        </w:rPr>
        <w:t>H</w:t>
      </w:r>
      <w:r w:rsidR="00A77729">
        <w:rPr>
          <w:rFonts w:ascii="Calibri" w:eastAsia="Times New Roman" w:hAnsi="Calibri" w:cs="Calibri"/>
          <w:lang w:eastAsia="en-NZ"/>
        </w:rPr>
        <w:t>owever,</w:t>
      </w:r>
      <w:r w:rsidR="003D640C">
        <w:rPr>
          <w:rFonts w:ascii="Calibri" w:eastAsia="Times New Roman" w:hAnsi="Calibri" w:cs="Calibri"/>
          <w:lang w:eastAsia="en-NZ"/>
        </w:rPr>
        <w:t xml:space="preserve"> </w:t>
      </w:r>
      <w:r w:rsidRPr="00B1465F">
        <w:rPr>
          <w:rFonts w:ascii="Calibri" w:eastAsia="Times New Roman" w:hAnsi="Calibri" w:cs="Calibri"/>
          <w:lang w:eastAsia="en-NZ"/>
        </w:rPr>
        <w:t>we</w:t>
      </w:r>
      <w:r w:rsidR="003D640C">
        <w:rPr>
          <w:rFonts w:ascii="Calibri" w:eastAsia="Times New Roman" w:hAnsi="Calibri" w:cs="Calibri"/>
          <w:lang w:eastAsia="en-NZ"/>
        </w:rPr>
        <w:t xml:space="preserve"> </w:t>
      </w:r>
      <w:r w:rsidRPr="00B1465F">
        <w:rPr>
          <w:rFonts w:ascii="Calibri" w:eastAsia="Times New Roman" w:hAnsi="Calibri" w:cs="Calibri"/>
          <w:lang w:eastAsia="en-NZ"/>
        </w:rPr>
        <w:t>acknowledge</w:t>
      </w:r>
      <w:r w:rsidR="003D640C">
        <w:rPr>
          <w:rFonts w:ascii="Calibri" w:eastAsia="Times New Roman" w:hAnsi="Calibri" w:cs="Calibri"/>
          <w:lang w:eastAsia="en-NZ"/>
        </w:rPr>
        <w:t xml:space="preserve"> </w:t>
      </w:r>
      <w:r w:rsidR="002C2E26">
        <w:rPr>
          <w:rFonts w:ascii="Calibri" w:eastAsia="Times New Roman" w:hAnsi="Calibri" w:cs="Calibri"/>
          <w:lang w:eastAsia="en-NZ"/>
        </w:rPr>
        <w:t>that</w:t>
      </w:r>
      <w:r w:rsidR="003D640C">
        <w:rPr>
          <w:rFonts w:ascii="Calibri" w:eastAsia="Times New Roman" w:hAnsi="Calibri" w:cs="Calibri"/>
          <w:lang w:eastAsia="en-NZ"/>
        </w:rPr>
        <w:t xml:space="preserve"> </w:t>
      </w:r>
      <w:r w:rsidR="002C2E26">
        <w:rPr>
          <w:rFonts w:ascii="Calibri" w:eastAsia="Times New Roman" w:hAnsi="Calibri" w:cs="Calibri"/>
          <w:lang w:eastAsia="en-NZ"/>
        </w:rPr>
        <w:t>this</w:t>
      </w:r>
      <w:r w:rsidR="003D640C">
        <w:rPr>
          <w:rFonts w:ascii="Calibri" w:eastAsia="Times New Roman" w:hAnsi="Calibri" w:cs="Calibri"/>
          <w:lang w:eastAsia="en-NZ"/>
        </w:rPr>
        <w:t xml:space="preserve"> </w:t>
      </w:r>
      <w:r w:rsidR="002C2E26">
        <w:rPr>
          <w:rFonts w:ascii="Calibri" w:eastAsia="Times New Roman" w:hAnsi="Calibri" w:cs="Calibri"/>
          <w:lang w:eastAsia="en-NZ"/>
        </w:rPr>
        <w:t>does</w:t>
      </w:r>
      <w:r w:rsidR="003D640C">
        <w:rPr>
          <w:rFonts w:ascii="Calibri" w:eastAsia="Times New Roman" w:hAnsi="Calibri" w:cs="Calibri"/>
          <w:lang w:eastAsia="en-NZ"/>
        </w:rPr>
        <w:t xml:space="preserve"> </w:t>
      </w:r>
      <w:r w:rsidR="002C2E26">
        <w:rPr>
          <w:rFonts w:ascii="Calibri" w:eastAsia="Times New Roman" w:hAnsi="Calibri" w:cs="Calibri"/>
          <w:lang w:eastAsia="en-NZ"/>
        </w:rPr>
        <w:t>not</w:t>
      </w:r>
      <w:r w:rsidR="003D640C">
        <w:rPr>
          <w:rFonts w:ascii="Calibri" w:eastAsia="Times New Roman" w:hAnsi="Calibri" w:cs="Calibri"/>
          <w:lang w:eastAsia="en-NZ"/>
        </w:rPr>
        <w:t xml:space="preserve"> </w:t>
      </w:r>
      <w:r w:rsidRPr="00B1465F">
        <w:rPr>
          <w:rFonts w:ascii="Calibri" w:eastAsia="Times New Roman" w:hAnsi="Calibri" w:cs="Calibri"/>
          <w:lang w:eastAsia="en-NZ"/>
        </w:rPr>
        <w:t>represent</w:t>
      </w:r>
      <w:r w:rsidR="003D640C">
        <w:rPr>
          <w:rFonts w:ascii="Calibri" w:eastAsia="Times New Roman" w:hAnsi="Calibri" w:cs="Calibri"/>
          <w:lang w:eastAsia="en-NZ"/>
        </w:rPr>
        <w:t xml:space="preserve"> </w:t>
      </w:r>
      <w:r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002C2E26">
        <w:rPr>
          <w:rFonts w:ascii="Calibri" w:eastAsia="Times New Roman" w:hAnsi="Calibri" w:cs="Calibri"/>
          <w:lang w:eastAsia="en-NZ"/>
        </w:rPr>
        <w:t>full</w:t>
      </w:r>
      <w:r w:rsidR="003D640C">
        <w:rPr>
          <w:rFonts w:ascii="Calibri" w:eastAsia="Times New Roman" w:hAnsi="Calibri" w:cs="Calibri"/>
          <w:lang w:eastAsia="en-NZ"/>
        </w:rPr>
        <w:t xml:space="preserve"> </w:t>
      </w:r>
      <w:r w:rsidRPr="00B1465F">
        <w:rPr>
          <w:rFonts w:ascii="Calibri" w:eastAsia="Times New Roman" w:hAnsi="Calibri" w:cs="Calibri"/>
          <w:lang w:eastAsia="en-NZ"/>
        </w:rPr>
        <w:t>breadth</w:t>
      </w:r>
      <w:r w:rsidR="003D640C">
        <w:rPr>
          <w:rFonts w:ascii="Calibri" w:eastAsia="Times New Roman" w:hAnsi="Calibri" w:cs="Calibri"/>
          <w:lang w:eastAsia="en-NZ"/>
        </w:rPr>
        <w:t xml:space="preserve"> </w:t>
      </w:r>
      <w:r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Pr>
          <w:rFonts w:ascii="Calibri" w:eastAsia="Times New Roman" w:hAnsi="Calibri" w:cs="Calibri"/>
          <w:lang w:eastAsia="en-NZ"/>
        </w:rPr>
        <w:t>diverse</w:t>
      </w:r>
      <w:r w:rsidR="003D640C">
        <w:rPr>
          <w:rFonts w:ascii="Calibri" w:eastAsia="Times New Roman" w:hAnsi="Calibri" w:cs="Calibri"/>
          <w:lang w:eastAsia="en-NZ"/>
        </w:rPr>
        <w:t xml:space="preserve"> </w:t>
      </w:r>
      <w:r w:rsidR="003F544E">
        <w:rPr>
          <w:rFonts w:ascii="Calibri" w:eastAsia="Times New Roman" w:hAnsi="Calibri" w:cs="Calibri"/>
          <w:lang w:eastAsia="en-NZ"/>
        </w:rPr>
        <w:t>ethnicities</w:t>
      </w:r>
      <w:r w:rsidR="003D640C">
        <w:rPr>
          <w:rFonts w:ascii="Calibri" w:eastAsia="Times New Roman" w:hAnsi="Calibri" w:cs="Calibri"/>
          <w:lang w:eastAsia="en-NZ"/>
        </w:rPr>
        <w:t xml:space="preserve"> </w:t>
      </w:r>
      <w:r w:rsidR="003F544E">
        <w:rPr>
          <w:rFonts w:ascii="Calibri" w:eastAsia="Times New Roman" w:hAnsi="Calibri" w:cs="Calibri"/>
          <w:lang w:eastAsia="en-NZ"/>
        </w:rPr>
        <w:t>relevant</w:t>
      </w:r>
      <w:r w:rsidR="003D640C">
        <w:rPr>
          <w:rFonts w:ascii="Calibri" w:eastAsia="Times New Roman" w:hAnsi="Calibri" w:cs="Calibri"/>
          <w:lang w:eastAsia="en-NZ"/>
        </w:rPr>
        <w:t xml:space="preserve"> </w:t>
      </w:r>
      <w:r w:rsidR="002C2E26">
        <w:rPr>
          <w:rFonts w:ascii="Calibri" w:eastAsia="Times New Roman" w:hAnsi="Calibri" w:cs="Calibri"/>
          <w:lang w:eastAsia="en-NZ"/>
        </w:rPr>
        <w:t>in</w:t>
      </w:r>
      <w:r w:rsidR="003D640C">
        <w:rPr>
          <w:rFonts w:ascii="Calibri" w:eastAsia="Times New Roman" w:hAnsi="Calibri" w:cs="Calibri"/>
          <w:lang w:eastAsia="en-NZ"/>
        </w:rPr>
        <w:t xml:space="preserve"> </w:t>
      </w:r>
      <w:r w:rsidR="002C2E26">
        <w:rPr>
          <w:rFonts w:ascii="Calibri" w:eastAsia="Times New Roman" w:hAnsi="Calibri" w:cs="Calibri"/>
          <w:lang w:eastAsia="en-NZ"/>
        </w:rPr>
        <w:t>our</w:t>
      </w:r>
      <w:r w:rsidR="003D640C">
        <w:rPr>
          <w:rFonts w:ascii="Calibri" w:eastAsia="Times New Roman" w:hAnsi="Calibri" w:cs="Calibri"/>
          <w:lang w:eastAsia="en-NZ"/>
        </w:rPr>
        <w:t xml:space="preserve"> </w:t>
      </w:r>
      <w:r w:rsidR="002C2E26">
        <w:rPr>
          <w:rFonts w:ascii="Calibri" w:eastAsia="Times New Roman" w:hAnsi="Calibri" w:cs="Calibri"/>
          <w:lang w:eastAsia="en-NZ"/>
        </w:rPr>
        <w:t>context</w:t>
      </w:r>
      <w:r w:rsidRPr="00B1465F">
        <w:rPr>
          <w:rFonts w:ascii="Calibri" w:eastAsia="Times New Roman" w:hAnsi="Calibri" w:cs="Calibri"/>
          <w:lang w:eastAsia="en-NZ"/>
        </w:rPr>
        <w:t>.</w:t>
      </w:r>
      <w:r w:rsidR="003D640C">
        <w:rPr>
          <w:rFonts w:ascii="Calibri" w:eastAsia="Times New Roman" w:hAnsi="Calibri" w:cs="Calibri"/>
          <w:lang w:eastAsia="en-NZ"/>
        </w:rPr>
        <w:t xml:space="preserve"> </w:t>
      </w:r>
      <w:r w:rsidR="002C2E26">
        <w:rPr>
          <w:rFonts w:ascii="Calibri" w:eastAsia="Times New Roman" w:hAnsi="Calibri" w:cs="Calibri"/>
          <w:lang w:eastAsia="en-NZ"/>
        </w:rPr>
        <w:t>Another</w:t>
      </w:r>
      <w:r w:rsidR="003D640C">
        <w:rPr>
          <w:rFonts w:ascii="Calibri" w:eastAsia="Times New Roman" w:hAnsi="Calibri" w:cs="Calibri"/>
          <w:lang w:eastAsia="en-NZ"/>
        </w:rPr>
        <w:t xml:space="preserve"> </w:t>
      </w:r>
      <w:r w:rsidR="002C2E26">
        <w:rPr>
          <w:rFonts w:ascii="Calibri" w:eastAsia="Times New Roman" w:hAnsi="Calibri" w:cs="Calibri"/>
          <w:lang w:eastAsia="en-NZ"/>
        </w:rPr>
        <w:t>limitation</w:t>
      </w:r>
      <w:r w:rsidR="003D640C">
        <w:rPr>
          <w:rFonts w:ascii="Calibri" w:eastAsia="Times New Roman" w:hAnsi="Calibri" w:cs="Calibri"/>
          <w:lang w:eastAsia="en-NZ"/>
        </w:rPr>
        <w:t xml:space="preserve"> </w:t>
      </w:r>
      <w:r w:rsidR="002C2E26">
        <w:rPr>
          <w:rFonts w:ascii="Calibri" w:eastAsia="Times New Roman" w:hAnsi="Calibri" w:cs="Calibri"/>
          <w:lang w:eastAsia="en-NZ"/>
        </w:rPr>
        <w:t>was</w:t>
      </w:r>
      <w:r w:rsidR="003D640C">
        <w:rPr>
          <w:rFonts w:ascii="Calibri" w:eastAsia="Times New Roman" w:hAnsi="Calibri" w:cs="Calibri"/>
          <w:lang w:eastAsia="en-NZ"/>
        </w:rPr>
        <w:t xml:space="preserve"> </w:t>
      </w:r>
      <w:r w:rsidR="002C2E26">
        <w:rPr>
          <w:rFonts w:ascii="Calibri" w:eastAsia="Times New Roman" w:hAnsi="Calibri" w:cs="Calibri"/>
          <w:lang w:eastAsia="en-NZ"/>
        </w:rPr>
        <w:t>that</w:t>
      </w:r>
      <w:r w:rsidR="003D640C">
        <w:rPr>
          <w:rFonts w:ascii="Calibri" w:eastAsia="Times New Roman" w:hAnsi="Calibri" w:cs="Calibri"/>
          <w:lang w:eastAsia="en-NZ"/>
        </w:rPr>
        <w:t xml:space="preserve"> </w:t>
      </w:r>
      <w:r>
        <w:rPr>
          <w:rFonts w:ascii="Calibri" w:eastAsia="Times New Roman" w:hAnsi="Calibri" w:cs="Calibri"/>
          <w:lang w:eastAsia="en-NZ"/>
        </w:rPr>
        <w:t>there</w:t>
      </w:r>
      <w:r w:rsidR="003D640C">
        <w:rPr>
          <w:rFonts w:ascii="Calibri" w:eastAsia="Times New Roman" w:hAnsi="Calibri" w:cs="Calibri"/>
          <w:lang w:eastAsia="en-NZ"/>
        </w:rPr>
        <w:t xml:space="preserve"> </w:t>
      </w:r>
      <w:r>
        <w:rPr>
          <w:rFonts w:ascii="Calibri" w:eastAsia="Times New Roman" w:hAnsi="Calibri" w:cs="Calibri"/>
          <w:lang w:eastAsia="en-NZ"/>
        </w:rPr>
        <w:t>was</w:t>
      </w:r>
      <w:r w:rsidR="003D640C">
        <w:rPr>
          <w:rFonts w:ascii="Calibri" w:eastAsia="Times New Roman" w:hAnsi="Calibri" w:cs="Calibri"/>
          <w:lang w:eastAsia="en-NZ"/>
        </w:rPr>
        <w:t xml:space="preserve"> </w:t>
      </w:r>
      <w:r>
        <w:rPr>
          <w:rFonts w:ascii="Calibri" w:eastAsia="Times New Roman" w:hAnsi="Calibri" w:cs="Calibri"/>
          <w:lang w:eastAsia="en-NZ"/>
        </w:rPr>
        <w:t>no</w:t>
      </w:r>
      <w:r w:rsidR="003D640C">
        <w:rPr>
          <w:rFonts w:ascii="Calibri" w:eastAsia="Times New Roman" w:hAnsi="Calibri" w:cs="Calibri"/>
          <w:lang w:eastAsia="en-NZ"/>
        </w:rPr>
        <w:t xml:space="preserve"> </w:t>
      </w:r>
      <w:r>
        <w:rPr>
          <w:rFonts w:ascii="Calibri" w:eastAsia="Times New Roman" w:hAnsi="Calibri" w:cs="Calibri"/>
          <w:lang w:eastAsia="en-NZ"/>
        </w:rPr>
        <w:t>trans</w:t>
      </w:r>
      <w:r w:rsidR="003D640C">
        <w:rPr>
          <w:rFonts w:ascii="Calibri" w:eastAsia="Times New Roman" w:hAnsi="Calibri" w:cs="Calibri"/>
          <w:lang w:eastAsia="en-NZ"/>
        </w:rPr>
        <w:t xml:space="preserve"> </w:t>
      </w:r>
      <w:r>
        <w:rPr>
          <w:rFonts w:ascii="Calibri" w:eastAsia="Times New Roman" w:hAnsi="Calibri" w:cs="Calibri"/>
          <w:lang w:eastAsia="en-NZ"/>
        </w:rPr>
        <w:t>or</w:t>
      </w:r>
      <w:r w:rsidR="003D640C">
        <w:rPr>
          <w:rFonts w:ascii="Calibri" w:eastAsia="Times New Roman" w:hAnsi="Calibri" w:cs="Calibri"/>
          <w:lang w:eastAsia="en-NZ"/>
        </w:rPr>
        <w:t xml:space="preserve"> </w:t>
      </w:r>
      <w:r>
        <w:rPr>
          <w:rFonts w:ascii="Calibri" w:eastAsia="Times New Roman" w:hAnsi="Calibri" w:cs="Calibri"/>
          <w:lang w:eastAsia="en-NZ"/>
        </w:rPr>
        <w:t>non-binary</w:t>
      </w:r>
      <w:r w:rsidR="003D640C">
        <w:rPr>
          <w:rFonts w:ascii="Calibri" w:eastAsia="Times New Roman" w:hAnsi="Calibri" w:cs="Calibri"/>
          <w:lang w:eastAsia="en-NZ"/>
        </w:rPr>
        <w:t xml:space="preserve"> </w:t>
      </w:r>
      <w:r>
        <w:rPr>
          <w:rFonts w:ascii="Calibri" w:eastAsia="Times New Roman" w:hAnsi="Calibri" w:cs="Calibri"/>
          <w:lang w:eastAsia="en-NZ"/>
        </w:rPr>
        <w:t>representation</w:t>
      </w:r>
      <w:r w:rsidR="003D640C">
        <w:rPr>
          <w:rFonts w:ascii="Calibri" w:eastAsia="Times New Roman" w:hAnsi="Calibri" w:cs="Calibri"/>
          <w:lang w:eastAsia="en-NZ"/>
        </w:rPr>
        <w:t xml:space="preserve"> </w:t>
      </w:r>
      <w:r>
        <w:rPr>
          <w:rFonts w:ascii="Calibri" w:eastAsia="Times New Roman" w:hAnsi="Calibri" w:cs="Calibri"/>
          <w:lang w:eastAsia="en-NZ"/>
        </w:rPr>
        <w:t>on</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team.</w:t>
      </w:r>
      <w:r w:rsidR="003D640C">
        <w:rPr>
          <w:rFonts w:ascii="Calibri" w:eastAsia="Times New Roman" w:hAnsi="Calibri" w:cs="Calibri"/>
          <w:lang w:eastAsia="en-NZ"/>
        </w:rPr>
        <w:t xml:space="preserve"> </w:t>
      </w:r>
      <w:r>
        <w:rPr>
          <w:rFonts w:ascii="Calibri" w:eastAsia="Times New Roman" w:hAnsi="Calibri" w:cs="Calibri"/>
          <w:lang w:eastAsia="en-NZ"/>
        </w:rPr>
        <w:t>To</w:t>
      </w:r>
      <w:r w:rsidR="003D640C">
        <w:rPr>
          <w:rFonts w:ascii="Calibri" w:eastAsia="Times New Roman" w:hAnsi="Calibri" w:cs="Calibri"/>
          <w:lang w:eastAsia="en-NZ"/>
        </w:rPr>
        <w:t xml:space="preserve"> </w:t>
      </w:r>
      <w:r>
        <w:rPr>
          <w:rFonts w:ascii="Calibri" w:eastAsia="Times New Roman" w:hAnsi="Calibri" w:cs="Calibri"/>
          <w:lang w:eastAsia="en-NZ"/>
        </w:rPr>
        <w:t>mitigate</w:t>
      </w:r>
      <w:r w:rsidR="003D640C">
        <w:rPr>
          <w:rFonts w:ascii="Calibri" w:eastAsia="Times New Roman" w:hAnsi="Calibri" w:cs="Calibri"/>
          <w:lang w:eastAsia="en-NZ"/>
        </w:rPr>
        <w:t xml:space="preserve"> </w:t>
      </w:r>
      <w:r>
        <w:rPr>
          <w:rFonts w:ascii="Calibri" w:eastAsia="Times New Roman" w:hAnsi="Calibri" w:cs="Calibri"/>
          <w:lang w:eastAsia="en-NZ"/>
        </w:rPr>
        <w:t>this,</w:t>
      </w:r>
      <w:r w:rsidR="003D640C">
        <w:rPr>
          <w:rFonts w:ascii="Calibri" w:eastAsia="Times New Roman" w:hAnsi="Calibri" w:cs="Calibri"/>
          <w:lang w:eastAsia="en-NZ"/>
        </w:rPr>
        <w:t xml:space="preserve"> </w:t>
      </w:r>
      <w:r>
        <w:rPr>
          <w:rFonts w:ascii="Calibri" w:eastAsia="Times New Roman" w:hAnsi="Calibri" w:cs="Calibri"/>
          <w:lang w:eastAsia="en-NZ"/>
        </w:rPr>
        <w:t>our</w:t>
      </w:r>
      <w:r w:rsidR="003D640C">
        <w:rPr>
          <w:rFonts w:ascii="Calibri" w:eastAsia="Times New Roman" w:hAnsi="Calibri" w:cs="Calibri"/>
          <w:lang w:eastAsia="en-NZ"/>
        </w:rPr>
        <w:t xml:space="preserve"> </w:t>
      </w:r>
      <w:r>
        <w:rPr>
          <w:rFonts w:ascii="Calibri" w:eastAsia="Times New Roman" w:hAnsi="Calibri" w:cs="Calibri"/>
          <w:lang w:eastAsia="en-NZ"/>
        </w:rPr>
        <w:t>Senior</w:t>
      </w:r>
      <w:r w:rsidR="003D640C">
        <w:rPr>
          <w:rFonts w:ascii="Calibri" w:eastAsia="Times New Roman" w:hAnsi="Calibri" w:cs="Calibri"/>
          <w:lang w:eastAsia="en-NZ"/>
        </w:rPr>
        <w:t xml:space="preserve"> </w:t>
      </w:r>
      <w:r>
        <w:rPr>
          <w:rFonts w:ascii="Calibri" w:eastAsia="Times New Roman" w:hAnsi="Calibri" w:cs="Calibri"/>
          <w:lang w:eastAsia="en-NZ"/>
        </w:rPr>
        <w:t>SOGIESC</w:t>
      </w:r>
      <w:r w:rsidR="003D640C">
        <w:rPr>
          <w:rFonts w:ascii="Calibri" w:eastAsia="Times New Roman" w:hAnsi="Calibri" w:cs="Calibri"/>
          <w:lang w:eastAsia="en-NZ"/>
        </w:rPr>
        <w:t xml:space="preserve"> </w:t>
      </w:r>
      <w:r>
        <w:rPr>
          <w:rFonts w:ascii="Calibri" w:eastAsia="Times New Roman" w:hAnsi="Calibri" w:cs="Calibri"/>
          <w:lang w:eastAsia="en-NZ"/>
        </w:rPr>
        <w:t>Human</w:t>
      </w:r>
      <w:r w:rsidR="003D640C">
        <w:rPr>
          <w:rFonts w:ascii="Calibri" w:eastAsia="Times New Roman" w:hAnsi="Calibri" w:cs="Calibri"/>
          <w:lang w:eastAsia="en-NZ"/>
        </w:rPr>
        <w:t xml:space="preserve"> </w:t>
      </w:r>
      <w:r>
        <w:rPr>
          <w:rFonts w:ascii="Calibri" w:eastAsia="Times New Roman" w:hAnsi="Calibri" w:cs="Calibri"/>
          <w:lang w:eastAsia="en-NZ"/>
        </w:rPr>
        <w:t>Rights</w:t>
      </w:r>
      <w:r w:rsidR="003D640C">
        <w:rPr>
          <w:rFonts w:ascii="Calibri" w:eastAsia="Times New Roman" w:hAnsi="Calibri" w:cs="Calibri"/>
          <w:lang w:eastAsia="en-NZ"/>
        </w:rPr>
        <w:t xml:space="preserve"> </w:t>
      </w:r>
      <w:r>
        <w:rPr>
          <w:rFonts w:ascii="Calibri" w:eastAsia="Times New Roman" w:hAnsi="Calibri" w:cs="Calibri"/>
          <w:lang w:eastAsia="en-NZ"/>
        </w:rPr>
        <w:t>Advisor</w:t>
      </w:r>
      <w:r w:rsidR="003D640C">
        <w:rPr>
          <w:rFonts w:ascii="Calibri" w:eastAsia="Times New Roman" w:hAnsi="Calibri" w:cs="Calibri"/>
          <w:lang w:eastAsia="en-NZ"/>
        </w:rPr>
        <w:t xml:space="preserve"> </w:t>
      </w:r>
      <w:r>
        <w:rPr>
          <w:rFonts w:ascii="Calibri" w:eastAsia="Times New Roman" w:hAnsi="Calibri" w:cs="Calibri"/>
          <w:lang w:eastAsia="en-NZ"/>
        </w:rPr>
        <w:t>with</w:t>
      </w:r>
      <w:r w:rsidR="003D640C">
        <w:rPr>
          <w:rFonts w:ascii="Calibri" w:eastAsia="Times New Roman" w:hAnsi="Calibri" w:cs="Calibri"/>
          <w:lang w:eastAsia="en-NZ"/>
        </w:rPr>
        <w:t xml:space="preserve"> </w:t>
      </w:r>
      <w:r>
        <w:rPr>
          <w:rFonts w:ascii="Calibri" w:eastAsia="Times New Roman" w:hAnsi="Calibri" w:cs="Calibri"/>
          <w:lang w:eastAsia="en-NZ"/>
        </w:rPr>
        <w:t>trans</w:t>
      </w:r>
      <w:r w:rsidR="003D640C">
        <w:rPr>
          <w:rFonts w:ascii="Calibri" w:eastAsia="Times New Roman" w:hAnsi="Calibri" w:cs="Calibri"/>
          <w:lang w:eastAsia="en-NZ"/>
        </w:rPr>
        <w:t xml:space="preserve"> </w:t>
      </w:r>
      <w:r>
        <w:rPr>
          <w:rFonts w:ascii="Calibri" w:eastAsia="Times New Roman" w:hAnsi="Calibri" w:cs="Calibri"/>
          <w:lang w:eastAsia="en-NZ"/>
        </w:rPr>
        <w:t>lived</w:t>
      </w:r>
      <w:r w:rsidR="003D640C">
        <w:rPr>
          <w:rFonts w:ascii="Calibri" w:eastAsia="Times New Roman" w:hAnsi="Calibri" w:cs="Calibri"/>
          <w:lang w:eastAsia="en-NZ"/>
        </w:rPr>
        <w:t xml:space="preserve"> </w:t>
      </w:r>
      <w:r>
        <w:rPr>
          <w:rFonts w:ascii="Calibri" w:eastAsia="Times New Roman" w:hAnsi="Calibri" w:cs="Calibri"/>
          <w:lang w:eastAsia="en-NZ"/>
        </w:rPr>
        <w:t>experience</w:t>
      </w:r>
      <w:r w:rsidR="003D640C">
        <w:rPr>
          <w:rFonts w:ascii="Calibri" w:eastAsia="Times New Roman" w:hAnsi="Calibri" w:cs="Calibri"/>
          <w:lang w:eastAsia="en-NZ"/>
        </w:rPr>
        <w:t xml:space="preserve"> </w:t>
      </w:r>
      <w:r>
        <w:rPr>
          <w:rFonts w:ascii="Calibri" w:eastAsia="Times New Roman" w:hAnsi="Calibri" w:cs="Calibri"/>
          <w:lang w:eastAsia="en-NZ"/>
        </w:rPr>
        <w:t>worked</w:t>
      </w:r>
      <w:r w:rsidR="003D640C">
        <w:rPr>
          <w:rFonts w:ascii="Calibri" w:eastAsia="Times New Roman" w:hAnsi="Calibri" w:cs="Calibri"/>
          <w:lang w:eastAsia="en-NZ"/>
        </w:rPr>
        <w:t xml:space="preserve"> </w:t>
      </w:r>
      <w:r>
        <w:rPr>
          <w:rFonts w:ascii="Calibri" w:eastAsia="Times New Roman" w:hAnsi="Calibri" w:cs="Calibri"/>
          <w:lang w:eastAsia="en-NZ"/>
        </w:rPr>
        <w:t>with</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team</w:t>
      </w:r>
      <w:r w:rsidR="003D640C">
        <w:rPr>
          <w:rFonts w:ascii="Calibri" w:eastAsia="Times New Roman" w:hAnsi="Calibri" w:cs="Calibri"/>
          <w:lang w:eastAsia="en-NZ"/>
        </w:rPr>
        <w:t xml:space="preserve"> </w:t>
      </w:r>
      <w:r>
        <w:rPr>
          <w:rFonts w:ascii="Calibri" w:eastAsia="Times New Roman" w:hAnsi="Calibri" w:cs="Calibri"/>
          <w:lang w:eastAsia="en-NZ"/>
        </w:rPr>
        <w:t>on</w:t>
      </w:r>
      <w:r w:rsidR="003D640C">
        <w:rPr>
          <w:rFonts w:ascii="Calibri" w:eastAsia="Times New Roman" w:hAnsi="Calibri" w:cs="Calibri"/>
          <w:lang w:eastAsia="en-NZ"/>
        </w:rPr>
        <w:t xml:space="preserve"> </w:t>
      </w:r>
      <w:r>
        <w:rPr>
          <w:rFonts w:ascii="Calibri" w:eastAsia="Times New Roman" w:hAnsi="Calibri" w:cs="Calibri"/>
          <w:lang w:eastAsia="en-NZ"/>
        </w:rPr>
        <w:t>the</w:t>
      </w:r>
      <w:r w:rsidR="003D640C">
        <w:rPr>
          <w:rFonts w:ascii="Calibri" w:eastAsia="Times New Roman" w:hAnsi="Calibri" w:cs="Calibri"/>
          <w:lang w:eastAsia="en-NZ"/>
        </w:rPr>
        <w:t xml:space="preserve"> </w:t>
      </w:r>
      <w:r>
        <w:rPr>
          <w:rFonts w:ascii="Calibri" w:eastAsia="Times New Roman" w:hAnsi="Calibri" w:cs="Calibri"/>
          <w:lang w:eastAsia="en-NZ"/>
        </w:rPr>
        <w:t>report</w:t>
      </w:r>
      <w:r w:rsidR="003D640C">
        <w:rPr>
          <w:rFonts w:ascii="Calibri" w:eastAsia="Times New Roman" w:hAnsi="Calibri" w:cs="Calibri"/>
          <w:lang w:eastAsia="en-NZ"/>
        </w:rPr>
        <w:t xml:space="preserve"> </w:t>
      </w:r>
      <w:r>
        <w:rPr>
          <w:rFonts w:ascii="Calibri" w:eastAsia="Times New Roman" w:hAnsi="Calibri" w:cs="Calibri"/>
          <w:lang w:eastAsia="en-NZ"/>
        </w:rPr>
        <w:t>and</w:t>
      </w:r>
      <w:r w:rsidR="003D640C">
        <w:rPr>
          <w:rFonts w:ascii="Calibri" w:eastAsia="Times New Roman" w:hAnsi="Calibri" w:cs="Calibri"/>
          <w:lang w:eastAsia="en-NZ"/>
        </w:rPr>
        <w:t xml:space="preserve"> </w:t>
      </w:r>
      <w:r>
        <w:rPr>
          <w:rFonts w:ascii="Calibri" w:eastAsia="Times New Roman" w:hAnsi="Calibri" w:cs="Calibri"/>
          <w:lang w:eastAsia="en-NZ"/>
        </w:rPr>
        <w:t>developing</w:t>
      </w:r>
      <w:r w:rsidR="003D640C">
        <w:rPr>
          <w:rFonts w:ascii="Calibri" w:eastAsia="Times New Roman" w:hAnsi="Calibri" w:cs="Calibri"/>
          <w:lang w:eastAsia="en-NZ"/>
        </w:rPr>
        <w:t xml:space="preserve"> </w:t>
      </w:r>
      <w:r>
        <w:rPr>
          <w:rFonts w:ascii="Calibri" w:eastAsia="Times New Roman" w:hAnsi="Calibri" w:cs="Calibri"/>
          <w:lang w:eastAsia="en-NZ"/>
        </w:rPr>
        <w:t>its</w:t>
      </w:r>
      <w:r w:rsidR="003D640C">
        <w:rPr>
          <w:rFonts w:ascii="Calibri" w:eastAsia="Times New Roman" w:hAnsi="Calibri" w:cs="Calibri"/>
          <w:lang w:eastAsia="en-NZ"/>
        </w:rPr>
        <w:t xml:space="preserve"> </w:t>
      </w:r>
      <w:r>
        <w:rPr>
          <w:rFonts w:ascii="Calibri" w:eastAsia="Times New Roman" w:hAnsi="Calibri" w:cs="Calibri"/>
          <w:lang w:eastAsia="en-NZ"/>
        </w:rPr>
        <w:t>recommendations.</w:t>
      </w:r>
      <w:r w:rsidR="003D640C">
        <w:rPr>
          <w:rFonts w:ascii="Calibri" w:eastAsia="Times New Roman" w:hAnsi="Calibri" w:cs="Calibri"/>
          <w:lang w:eastAsia="en-NZ"/>
        </w:rPr>
        <w:t xml:space="preserve"> </w:t>
      </w:r>
      <w:r w:rsidR="00596EB8">
        <w:rPr>
          <w:rFonts w:ascii="Calibri" w:eastAsia="Times New Roman" w:hAnsi="Calibri" w:cs="Calibri"/>
          <w:lang w:eastAsia="en-NZ"/>
        </w:rPr>
        <w:t>In</w:t>
      </w:r>
      <w:r w:rsidR="003D640C">
        <w:rPr>
          <w:rFonts w:ascii="Calibri" w:eastAsia="Times New Roman" w:hAnsi="Calibri" w:cs="Calibri"/>
          <w:lang w:eastAsia="en-NZ"/>
        </w:rPr>
        <w:t xml:space="preserve"> </w:t>
      </w:r>
      <w:r w:rsidR="00596EB8">
        <w:rPr>
          <w:rFonts w:ascii="Calibri" w:eastAsia="Times New Roman" w:hAnsi="Calibri" w:cs="Calibri"/>
          <w:lang w:eastAsia="en-NZ"/>
        </w:rPr>
        <w:t>addition,</w:t>
      </w:r>
      <w:r w:rsidR="003D640C">
        <w:rPr>
          <w:rFonts w:ascii="Calibri" w:eastAsia="Times New Roman" w:hAnsi="Calibri" w:cs="Calibri"/>
          <w:lang w:eastAsia="en-NZ"/>
        </w:rPr>
        <w:t xml:space="preserve"> </w:t>
      </w:r>
      <w:r w:rsidR="00596EB8">
        <w:rPr>
          <w:rFonts w:ascii="Calibri" w:eastAsia="Times New Roman" w:hAnsi="Calibri" w:cs="Calibri"/>
          <w:lang w:eastAsia="en-NZ"/>
        </w:rPr>
        <w:t>sections</w:t>
      </w:r>
      <w:r w:rsidR="003D640C">
        <w:rPr>
          <w:rFonts w:ascii="Calibri" w:eastAsia="Times New Roman" w:hAnsi="Calibri" w:cs="Calibri"/>
          <w:lang w:eastAsia="en-NZ"/>
        </w:rPr>
        <w:t xml:space="preserve"> </w:t>
      </w:r>
      <w:r w:rsidR="00596EB8">
        <w:rPr>
          <w:rFonts w:ascii="Calibri" w:eastAsia="Times New Roman" w:hAnsi="Calibri" w:cs="Calibri"/>
          <w:lang w:eastAsia="en-NZ"/>
        </w:rPr>
        <w:t>relating</w:t>
      </w:r>
      <w:r w:rsidR="003D640C">
        <w:rPr>
          <w:rFonts w:ascii="Calibri" w:eastAsia="Times New Roman" w:hAnsi="Calibri" w:cs="Calibri"/>
          <w:lang w:eastAsia="en-NZ"/>
        </w:rPr>
        <w:t xml:space="preserve"> </w:t>
      </w:r>
      <w:r w:rsidR="00596EB8">
        <w:rPr>
          <w:rFonts w:ascii="Calibri" w:eastAsia="Times New Roman" w:hAnsi="Calibri" w:cs="Calibri"/>
          <w:lang w:eastAsia="en-NZ"/>
        </w:rPr>
        <w:t>specifically</w:t>
      </w:r>
      <w:r w:rsidR="003D640C">
        <w:rPr>
          <w:rFonts w:ascii="Calibri" w:eastAsia="Times New Roman" w:hAnsi="Calibri" w:cs="Calibri"/>
          <w:lang w:eastAsia="en-NZ"/>
        </w:rPr>
        <w:t xml:space="preserve"> </w:t>
      </w:r>
      <w:r w:rsidR="00596EB8">
        <w:rPr>
          <w:rFonts w:ascii="Calibri" w:eastAsia="Times New Roman" w:hAnsi="Calibri" w:cs="Calibri"/>
          <w:lang w:eastAsia="en-NZ"/>
        </w:rPr>
        <w:t>to</w:t>
      </w:r>
      <w:r w:rsidR="003D640C">
        <w:rPr>
          <w:rFonts w:ascii="Calibri" w:eastAsia="Times New Roman" w:hAnsi="Calibri" w:cs="Calibri"/>
          <w:lang w:eastAsia="en-NZ"/>
        </w:rPr>
        <w:t xml:space="preserve"> </w:t>
      </w:r>
      <w:r w:rsidR="00596EB8">
        <w:rPr>
          <w:rFonts w:ascii="Calibri" w:eastAsia="Times New Roman" w:hAnsi="Calibri" w:cs="Calibri"/>
          <w:lang w:eastAsia="en-NZ"/>
        </w:rPr>
        <w:t>the</w:t>
      </w:r>
      <w:r w:rsidR="003D640C">
        <w:rPr>
          <w:rFonts w:ascii="Calibri" w:eastAsia="Times New Roman" w:hAnsi="Calibri" w:cs="Calibri"/>
          <w:lang w:eastAsia="en-NZ"/>
        </w:rPr>
        <w:t xml:space="preserve"> </w:t>
      </w:r>
      <w:r w:rsidR="00596EB8">
        <w:rPr>
          <w:rFonts w:ascii="Calibri" w:eastAsia="Times New Roman" w:hAnsi="Calibri" w:cs="Calibri"/>
          <w:lang w:eastAsia="en-NZ"/>
        </w:rPr>
        <w:t>experience</w:t>
      </w:r>
      <w:r w:rsidR="003D640C">
        <w:rPr>
          <w:rFonts w:ascii="Calibri" w:eastAsia="Times New Roman" w:hAnsi="Calibri" w:cs="Calibri"/>
          <w:lang w:eastAsia="en-NZ"/>
        </w:rPr>
        <w:t xml:space="preserve"> </w:t>
      </w:r>
      <w:r w:rsidR="00596EB8">
        <w:rPr>
          <w:rFonts w:ascii="Calibri" w:eastAsia="Times New Roman" w:hAnsi="Calibri" w:cs="Calibri"/>
          <w:lang w:eastAsia="en-NZ"/>
        </w:rPr>
        <w:t>of</w:t>
      </w:r>
      <w:r w:rsidR="003D640C">
        <w:rPr>
          <w:rFonts w:ascii="Calibri" w:eastAsia="Times New Roman" w:hAnsi="Calibri" w:cs="Calibri"/>
          <w:lang w:eastAsia="en-NZ"/>
        </w:rPr>
        <w:t xml:space="preserve"> </w:t>
      </w:r>
      <w:r w:rsidR="00596EB8">
        <w:rPr>
          <w:rFonts w:ascii="Calibri" w:eastAsia="Times New Roman" w:hAnsi="Calibri" w:cs="Calibri"/>
          <w:lang w:eastAsia="en-NZ"/>
        </w:rPr>
        <w:t>conversion</w:t>
      </w:r>
      <w:r w:rsidR="003D640C">
        <w:rPr>
          <w:rFonts w:ascii="Calibri" w:eastAsia="Times New Roman" w:hAnsi="Calibri" w:cs="Calibri"/>
          <w:lang w:eastAsia="en-NZ"/>
        </w:rPr>
        <w:t xml:space="preserve"> </w:t>
      </w:r>
      <w:r w:rsidR="00596EB8">
        <w:rPr>
          <w:rFonts w:ascii="Calibri" w:eastAsia="Times New Roman" w:hAnsi="Calibri" w:cs="Calibri"/>
          <w:lang w:eastAsia="en-NZ"/>
        </w:rPr>
        <w:lastRenderedPageBreak/>
        <w:t>practices</w:t>
      </w:r>
      <w:r w:rsidR="003D640C">
        <w:rPr>
          <w:rFonts w:ascii="Calibri" w:eastAsia="Times New Roman" w:hAnsi="Calibri" w:cs="Calibri"/>
          <w:lang w:eastAsia="en-NZ"/>
        </w:rPr>
        <w:t xml:space="preserve"> </w:t>
      </w:r>
      <w:r w:rsidR="008D7636">
        <w:rPr>
          <w:rFonts w:ascii="Calibri" w:eastAsia="Times New Roman" w:hAnsi="Calibri" w:cs="Calibri"/>
          <w:lang w:eastAsia="en-NZ"/>
        </w:rPr>
        <w:t>relating</w:t>
      </w:r>
      <w:r w:rsidR="003D640C">
        <w:rPr>
          <w:rFonts w:ascii="Calibri" w:eastAsia="Times New Roman" w:hAnsi="Calibri" w:cs="Calibri"/>
          <w:lang w:eastAsia="en-NZ"/>
        </w:rPr>
        <w:t xml:space="preserve"> </w:t>
      </w:r>
      <w:r w:rsidR="008D7636">
        <w:rPr>
          <w:rFonts w:ascii="Calibri" w:eastAsia="Times New Roman" w:hAnsi="Calibri" w:cs="Calibri"/>
          <w:lang w:eastAsia="en-NZ"/>
        </w:rPr>
        <w:t>to</w:t>
      </w:r>
      <w:r w:rsidR="003D640C">
        <w:rPr>
          <w:rFonts w:ascii="Calibri" w:eastAsia="Times New Roman" w:hAnsi="Calibri" w:cs="Calibri"/>
          <w:lang w:eastAsia="en-NZ"/>
        </w:rPr>
        <w:t xml:space="preserve"> </w:t>
      </w:r>
      <w:r w:rsidR="008D7636">
        <w:rPr>
          <w:rFonts w:ascii="Calibri" w:eastAsia="Times New Roman" w:hAnsi="Calibri" w:cs="Calibri"/>
          <w:lang w:eastAsia="en-NZ"/>
        </w:rPr>
        <w:t>gender</w:t>
      </w:r>
      <w:r w:rsidR="003D640C">
        <w:rPr>
          <w:rFonts w:ascii="Calibri" w:eastAsia="Times New Roman" w:hAnsi="Calibri" w:cs="Calibri"/>
          <w:lang w:eastAsia="en-NZ"/>
        </w:rPr>
        <w:t xml:space="preserve"> </w:t>
      </w:r>
      <w:r w:rsidR="008D7636">
        <w:rPr>
          <w:rFonts w:ascii="Calibri" w:eastAsia="Times New Roman" w:hAnsi="Calibri" w:cs="Calibri"/>
          <w:lang w:eastAsia="en-NZ"/>
        </w:rPr>
        <w:t>and</w:t>
      </w:r>
      <w:r w:rsidR="003D640C">
        <w:rPr>
          <w:rFonts w:ascii="Calibri" w:eastAsia="Times New Roman" w:hAnsi="Calibri" w:cs="Calibri"/>
          <w:lang w:eastAsia="en-NZ"/>
        </w:rPr>
        <w:t xml:space="preserve"> </w:t>
      </w:r>
      <w:r w:rsidR="008D7636">
        <w:rPr>
          <w:rFonts w:ascii="Calibri" w:eastAsia="Times New Roman" w:hAnsi="Calibri" w:cs="Calibri"/>
          <w:lang w:eastAsia="en-NZ"/>
        </w:rPr>
        <w:t>identity</w:t>
      </w:r>
      <w:r w:rsidR="003D640C">
        <w:rPr>
          <w:rFonts w:ascii="Calibri" w:eastAsia="Times New Roman" w:hAnsi="Calibri" w:cs="Calibri"/>
          <w:lang w:eastAsia="en-NZ"/>
        </w:rPr>
        <w:t xml:space="preserve"> </w:t>
      </w:r>
      <w:r w:rsidR="008D7636">
        <w:rPr>
          <w:rFonts w:ascii="Calibri" w:eastAsia="Times New Roman" w:hAnsi="Calibri" w:cs="Calibri"/>
          <w:lang w:eastAsia="en-NZ"/>
        </w:rPr>
        <w:t>benefited</w:t>
      </w:r>
      <w:r w:rsidR="003D640C">
        <w:rPr>
          <w:rFonts w:ascii="Calibri" w:eastAsia="Times New Roman" w:hAnsi="Calibri" w:cs="Calibri"/>
          <w:lang w:eastAsia="en-NZ"/>
        </w:rPr>
        <w:t xml:space="preserve"> </w:t>
      </w:r>
      <w:r w:rsidR="008D7636">
        <w:rPr>
          <w:rFonts w:ascii="Calibri" w:eastAsia="Times New Roman" w:hAnsi="Calibri" w:cs="Calibri"/>
          <w:lang w:eastAsia="en-NZ"/>
        </w:rPr>
        <w:t>from</w:t>
      </w:r>
      <w:r w:rsidR="003D640C">
        <w:rPr>
          <w:rFonts w:ascii="Calibri" w:eastAsia="Times New Roman" w:hAnsi="Calibri" w:cs="Calibri"/>
          <w:lang w:eastAsia="en-NZ"/>
        </w:rPr>
        <w:t xml:space="preserve"> </w:t>
      </w:r>
      <w:r w:rsidR="008D7636">
        <w:rPr>
          <w:rFonts w:ascii="Calibri" w:eastAsia="Times New Roman" w:hAnsi="Calibri" w:cs="Calibri"/>
          <w:lang w:eastAsia="en-NZ"/>
        </w:rPr>
        <w:t>the</w:t>
      </w:r>
      <w:r w:rsidR="003D640C">
        <w:rPr>
          <w:rFonts w:ascii="Calibri" w:eastAsia="Times New Roman" w:hAnsi="Calibri" w:cs="Calibri"/>
          <w:lang w:eastAsia="en-NZ"/>
        </w:rPr>
        <w:t xml:space="preserve"> </w:t>
      </w:r>
      <w:r w:rsidR="008D7636">
        <w:rPr>
          <w:rFonts w:ascii="Calibri" w:eastAsia="Times New Roman" w:hAnsi="Calibri" w:cs="Calibri"/>
          <w:lang w:eastAsia="en-NZ"/>
        </w:rPr>
        <w:t>review</w:t>
      </w:r>
      <w:r w:rsidR="003D640C">
        <w:rPr>
          <w:rFonts w:ascii="Calibri" w:eastAsia="Times New Roman" w:hAnsi="Calibri" w:cs="Calibri"/>
          <w:lang w:eastAsia="en-NZ"/>
        </w:rPr>
        <w:t xml:space="preserve"> </w:t>
      </w:r>
      <w:r w:rsidR="008D7636">
        <w:rPr>
          <w:rFonts w:ascii="Calibri" w:eastAsia="Times New Roman" w:hAnsi="Calibri" w:cs="Calibri"/>
          <w:lang w:eastAsia="en-NZ"/>
        </w:rPr>
        <w:t>of</w:t>
      </w:r>
      <w:r w:rsidR="003D640C">
        <w:rPr>
          <w:rFonts w:ascii="Calibri" w:eastAsia="Times New Roman" w:hAnsi="Calibri" w:cs="Calibri"/>
          <w:lang w:eastAsia="en-NZ"/>
        </w:rPr>
        <w:t xml:space="preserve"> </w:t>
      </w:r>
      <w:r w:rsidR="001A2449">
        <w:rPr>
          <w:rFonts w:ascii="Calibri" w:eastAsia="Times New Roman" w:hAnsi="Calibri" w:cs="Calibri"/>
          <w:lang w:eastAsia="en-NZ"/>
        </w:rPr>
        <w:t>a</w:t>
      </w:r>
      <w:r w:rsidR="003D640C">
        <w:rPr>
          <w:rFonts w:ascii="Calibri" w:eastAsia="Times New Roman" w:hAnsi="Calibri" w:cs="Calibri"/>
          <w:lang w:eastAsia="en-NZ"/>
        </w:rPr>
        <w:t xml:space="preserve"> </w:t>
      </w:r>
      <w:r w:rsidR="001A2449">
        <w:rPr>
          <w:rFonts w:ascii="Calibri" w:eastAsia="Times New Roman" w:hAnsi="Calibri" w:cs="Calibri"/>
          <w:lang w:eastAsia="en-NZ"/>
        </w:rPr>
        <w:t>senior</w:t>
      </w:r>
      <w:r w:rsidR="003D640C">
        <w:rPr>
          <w:rFonts w:ascii="Calibri" w:eastAsia="Times New Roman" w:hAnsi="Calibri" w:cs="Calibri"/>
          <w:lang w:eastAsia="en-NZ"/>
        </w:rPr>
        <w:t xml:space="preserve"> </w:t>
      </w:r>
      <w:r w:rsidR="001A2449">
        <w:rPr>
          <w:rFonts w:ascii="Calibri" w:eastAsia="Times New Roman" w:hAnsi="Calibri" w:cs="Calibri"/>
          <w:lang w:eastAsia="en-NZ"/>
        </w:rPr>
        <w:t>researcher</w:t>
      </w:r>
      <w:r w:rsidR="003D640C">
        <w:rPr>
          <w:rFonts w:ascii="Calibri" w:eastAsia="Times New Roman" w:hAnsi="Calibri" w:cs="Calibri"/>
          <w:lang w:eastAsia="en-NZ"/>
        </w:rPr>
        <w:t xml:space="preserve"> </w:t>
      </w:r>
      <w:r w:rsidR="001A2449">
        <w:rPr>
          <w:rFonts w:ascii="Calibri" w:eastAsia="Times New Roman" w:hAnsi="Calibri" w:cs="Calibri"/>
          <w:lang w:eastAsia="en-NZ"/>
        </w:rPr>
        <w:t>and</w:t>
      </w:r>
      <w:r w:rsidR="003D640C">
        <w:rPr>
          <w:rFonts w:ascii="Calibri" w:eastAsia="Times New Roman" w:hAnsi="Calibri" w:cs="Calibri"/>
          <w:lang w:eastAsia="en-NZ"/>
        </w:rPr>
        <w:t xml:space="preserve"> </w:t>
      </w:r>
      <w:r w:rsidR="001A2449">
        <w:rPr>
          <w:rFonts w:ascii="Calibri" w:eastAsia="Times New Roman" w:hAnsi="Calibri" w:cs="Calibri"/>
          <w:lang w:eastAsia="en-NZ"/>
        </w:rPr>
        <w:t>policy</w:t>
      </w:r>
      <w:r w:rsidR="003D640C">
        <w:rPr>
          <w:rFonts w:ascii="Calibri" w:eastAsia="Times New Roman" w:hAnsi="Calibri" w:cs="Calibri"/>
          <w:lang w:eastAsia="en-NZ"/>
        </w:rPr>
        <w:t xml:space="preserve"> </w:t>
      </w:r>
      <w:r w:rsidR="001A2449">
        <w:rPr>
          <w:rFonts w:ascii="Calibri" w:eastAsia="Times New Roman" w:hAnsi="Calibri" w:cs="Calibri"/>
          <w:lang w:eastAsia="en-NZ"/>
        </w:rPr>
        <w:t>analyst</w:t>
      </w:r>
      <w:r w:rsidR="003D640C">
        <w:rPr>
          <w:rFonts w:ascii="Calibri" w:eastAsia="Times New Roman" w:hAnsi="Calibri" w:cs="Calibri"/>
          <w:lang w:eastAsia="en-NZ"/>
        </w:rPr>
        <w:t xml:space="preserve"> </w:t>
      </w:r>
      <w:r w:rsidR="00AF67A8">
        <w:rPr>
          <w:rFonts w:ascii="Calibri" w:eastAsia="Times New Roman" w:hAnsi="Calibri" w:cs="Calibri"/>
          <w:lang w:eastAsia="en-NZ"/>
        </w:rPr>
        <w:t>with</w:t>
      </w:r>
      <w:r w:rsidR="003D640C">
        <w:rPr>
          <w:rFonts w:ascii="Calibri" w:eastAsia="Times New Roman" w:hAnsi="Calibri" w:cs="Calibri"/>
          <w:lang w:eastAsia="en-NZ"/>
        </w:rPr>
        <w:t xml:space="preserve"> </w:t>
      </w:r>
      <w:r w:rsidR="00AF67A8">
        <w:rPr>
          <w:rFonts w:ascii="Calibri" w:eastAsia="Times New Roman" w:hAnsi="Calibri" w:cs="Calibri"/>
          <w:lang w:eastAsia="en-NZ"/>
        </w:rPr>
        <w:t>expertise</w:t>
      </w:r>
      <w:r w:rsidR="003D640C">
        <w:rPr>
          <w:rFonts w:ascii="Calibri" w:eastAsia="Times New Roman" w:hAnsi="Calibri" w:cs="Calibri"/>
          <w:lang w:eastAsia="en-NZ"/>
        </w:rPr>
        <w:t xml:space="preserve"> </w:t>
      </w:r>
      <w:r w:rsidR="00AF67A8">
        <w:rPr>
          <w:rFonts w:ascii="Calibri" w:eastAsia="Times New Roman" w:hAnsi="Calibri" w:cs="Calibri"/>
          <w:lang w:eastAsia="en-NZ"/>
        </w:rPr>
        <w:t>on</w:t>
      </w:r>
      <w:r w:rsidR="003D640C">
        <w:rPr>
          <w:rFonts w:ascii="Calibri" w:eastAsia="Times New Roman" w:hAnsi="Calibri" w:cs="Calibri"/>
          <w:lang w:eastAsia="en-NZ"/>
        </w:rPr>
        <w:t xml:space="preserve"> </w:t>
      </w:r>
      <w:r w:rsidR="00E30A45">
        <w:rPr>
          <w:rFonts w:ascii="Calibri" w:eastAsia="Times New Roman" w:hAnsi="Calibri" w:cs="Calibri"/>
          <w:lang w:eastAsia="en-NZ"/>
        </w:rPr>
        <w:t>transgender</w:t>
      </w:r>
      <w:r w:rsidR="003D640C">
        <w:rPr>
          <w:rFonts w:ascii="Calibri" w:eastAsia="Times New Roman" w:hAnsi="Calibri" w:cs="Calibri"/>
          <w:lang w:eastAsia="en-NZ"/>
        </w:rPr>
        <w:t xml:space="preserve"> </w:t>
      </w:r>
      <w:r w:rsidR="00E30A45">
        <w:rPr>
          <w:rFonts w:ascii="Calibri" w:eastAsia="Times New Roman" w:hAnsi="Calibri" w:cs="Calibri"/>
          <w:lang w:eastAsia="en-NZ"/>
        </w:rPr>
        <w:t>health</w:t>
      </w:r>
      <w:r w:rsidR="003D640C">
        <w:rPr>
          <w:rFonts w:ascii="Calibri" w:eastAsia="Times New Roman" w:hAnsi="Calibri" w:cs="Calibri"/>
          <w:lang w:eastAsia="en-NZ"/>
        </w:rPr>
        <w:t xml:space="preserve"> </w:t>
      </w:r>
      <w:r w:rsidR="00E30A45">
        <w:rPr>
          <w:rFonts w:ascii="Calibri" w:eastAsia="Times New Roman" w:hAnsi="Calibri" w:cs="Calibri"/>
          <w:lang w:eastAsia="en-NZ"/>
        </w:rPr>
        <w:t>and</w:t>
      </w:r>
      <w:r w:rsidR="003D640C">
        <w:rPr>
          <w:rFonts w:ascii="Calibri" w:eastAsia="Times New Roman" w:hAnsi="Calibri" w:cs="Calibri"/>
          <w:lang w:eastAsia="en-NZ"/>
        </w:rPr>
        <w:t xml:space="preserve"> </w:t>
      </w:r>
      <w:r w:rsidR="00E30A45">
        <w:rPr>
          <w:rFonts w:ascii="Calibri" w:eastAsia="Times New Roman" w:hAnsi="Calibri" w:cs="Calibri"/>
          <w:lang w:eastAsia="en-NZ"/>
        </w:rPr>
        <w:t>wellbeing</w:t>
      </w:r>
      <w:r w:rsidR="003D640C">
        <w:rPr>
          <w:rFonts w:ascii="Calibri" w:eastAsia="Times New Roman" w:hAnsi="Calibri" w:cs="Calibri"/>
          <w:lang w:eastAsia="en-NZ"/>
        </w:rPr>
        <w:t xml:space="preserve"> </w:t>
      </w:r>
      <w:r w:rsidR="00E30A45">
        <w:rPr>
          <w:rFonts w:ascii="Calibri" w:eastAsia="Times New Roman" w:hAnsi="Calibri" w:cs="Calibri"/>
          <w:lang w:eastAsia="en-NZ"/>
        </w:rPr>
        <w:t>and</w:t>
      </w:r>
      <w:r w:rsidR="003D640C">
        <w:rPr>
          <w:rFonts w:ascii="Calibri" w:eastAsia="Times New Roman" w:hAnsi="Calibri" w:cs="Calibri"/>
          <w:lang w:eastAsia="en-NZ"/>
        </w:rPr>
        <w:t xml:space="preserve"> </w:t>
      </w:r>
      <w:r w:rsidR="00E30A45">
        <w:rPr>
          <w:rFonts w:ascii="Calibri" w:eastAsia="Times New Roman" w:hAnsi="Calibri" w:cs="Calibri"/>
          <w:lang w:eastAsia="en-NZ"/>
        </w:rPr>
        <w:t>legal</w:t>
      </w:r>
      <w:r w:rsidR="003D640C">
        <w:rPr>
          <w:rFonts w:ascii="Calibri" w:eastAsia="Times New Roman" w:hAnsi="Calibri" w:cs="Calibri"/>
          <w:lang w:eastAsia="en-NZ"/>
        </w:rPr>
        <w:t xml:space="preserve"> </w:t>
      </w:r>
      <w:r w:rsidR="00E30A45">
        <w:rPr>
          <w:rFonts w:ascii="Calibri" w:eastAsia="Times New Roman" w:hAnsi="Calibri" w:cs="Calibri"/>
          <w:lang w:eastAsia="en-NZ"/>
        </w:rPr>
        <w:t>gender</w:t>
      </w:r>
      <w:r w:rsidR="003D640C">
        <w:rPr>
          <w:rFonts w:ascii="Calibri" w:eastAsia="Times New Roman" w:hAnsi="Calibri" w:cs="Calibri"/>
          <w:lang w:eastAsia="en-NZ"/>
        </w:rPr>
        <w:t xml:space="preserve"> </w:t>
      </w:r>
      <w:r w:rsidR="00E30A45">
        <w:rPr>
          <w:rFonts w:ascii="Calibri" w:eastAsia="Times New Roman" w:hAnsi="Calibri" w:cs="Calibri"/>
          <w:lang w:eastAsia="en-NZ"/>
        </w:rPr>
        <w:t>recognition</w:t>
      </w:r>
      <w:r w:rsidR="00770C5E">
        <w:rPr>
          <w:rFonts w:ascii="Calibri" w:eastAsia="Times New Roman" w:hAnsi="Calibri" w:cs="Calibri"/>
          <w:lang w:eastAsia="en-NZ"/>
        </w:rPr>
        <w:t>.</w:t>
      </w:r>
      <w:r w:rsidR="003D640C">
        <w:rPr>
          <w:rFonts w:ascii="Calibri" w:eastAsia="Times New Roman" w:hAnsi="Calibri" w:cs="Calibri"/>
          <w:lang w:eastAsia="en-NZ"/>
        </w:rPr>
        <w:t xml:space="preserve"> </w:t>
      </w:r>
    </w:p>
    <w:p w14:paraId="095C6090" w14:textId="3A472BDC" w:rsidR="00BB3F27" w:rsidRPr="00BB6220" w:rsidRDefault="00BB3F27" w:rsidP="0078026B">
      <w:pPr>
        <w:rPr>
          <w:rFonts w:ascii="Calibri" w:eastAsia="Times New Roman" w:hAnsi="Calibri" w:cs="Calibri"/>
          <w:lang w:eastAsia="en-NZ"/>
        </w:rPr>
      </w:pPr>
      <w:r w:rsidRPr="00BB6220">
        <w:rPr>
          <w:rFonts w:ascii="Calibri" w:eastAsia="Times New Roman" w:hAnsi="Calibri" w:cs="Calibri"/>
          <w:lang w:eastAsia="en-NZ"/>
        </w:rPr>
        <w:t>Our</w:t>
      </w:r>
      <w:r w:rsidR="003D640C">
        <w:rPr>
          <w:rFonts w:ascii="Calibri" w:eastAsia="Times New Roman" w:hAnsi="Calibri" w:cs="Calibri"/>
          <w:lang w:eastAsia="en-NZ"/>
        </w:rPr>
        <w:t xml:space="preserve"> </w:t>
      </w:r>
      <w:r w:rsidRPr="00BB6220">
        <w:rPr>
          <w:rFonts w:ascii="Calibri" w:eastAsia="Times New Roman" w:hAnsi="Calibri" w:cs="Calibri"/>
          <w:lang w:eastAsia="en-NZ"/>
        </w:rPr>
        <w:t>work</w:t>
      </w:r>
      <w:r w:rsidR="003D640C">
        <w:rPr>
          <w:rFonts w:ascii="Calibri" w:eastAsia="Times New Roman" w:hAnsi="Calibri" w:cs="Calibri"/>
          <w:lang w:eastAsia="en-NZ"/>
        </w:rPr>
        <w:t xml:space="preserve"> </w:t>
      </w:r>
      <w:r w:rsidRPr="00BB6220">
        <w:rPr>
          <w:rFonts w:ascii="Calibri" w:eastAsia="Times New Roman" w:hAnsi="Calibri" w:cs="Calibri"/>
          <w:lang w:eastAsia="en-NZ"/>
        </w:rPr>
        <w:t>began</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series</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consultation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hui</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p>
    <w:p w14:paraId="37F12B16" w14:textId="78CB6F82" w:rsidR="00BB3F27" w:rsidRPr="00BB6220" w:rsidRDefault="00BB3F27" w:rsidP="006A3F34">
      <w:pPr>
        <w:pStyle w:val="Bullet"/>
        <w:rPr>
          <w:lang w:eastAsia="en-NZ"/>
        </w:rPr>
      </w:pPr>
      <w:r w:rsidRPr="693498D0">
        <w:rPr>
          <w:lang w:eastAsia="en-NZ"/>
        </w:rPr>
        <w:t>a</w:t>
      </w:r>
      <w:r w:rsidR="003D640C">
        <w:rPr>
          <w:lang w:eastAsia="en-NZ"/>
        </w:rPr>
        <w:t xml:space="preserve"> </w:t>
      </w:r>
      <w:r w:rsidRPr="00BB6220">
        <w:rPr>
          <w:lang w:eastAsia="en-NZ"/>
        </w:rPr>
        <w:t>wide</w:t>
      </w:r>
      <w:r w:rsidR="003D640C">
        <w:rPr>
          <w:lang w:eastAsia="en-NZ"/>
        </w:rPr>
        <w:t xml:space="preserve"> </w:t>
      </w:r>
      <w:r w:rsidRPr="00BB6220">
        <w:rPr>
          <w:lang w:eastAsia="en-NZ"/>
        </w:rPr>
        <w:t>range</w:t>
      </w:r>
      <w:r w:rsidR="003D640C">
        <w:rPr>
          <w:lang w:eastAsia="en-NZ"/>
        </w:rPr>
        <w:t xml:space="preserve"> </w:t>
      </w:r>
      <w:r w:rsidRPr="00BB6220">
        <w:rPr>
          <w:lang w:eastAsia="en-NZ"/>
        </w:rPr>
        <w:t>of</w:t>
      </w:r>
      <w:r w:rsidR="003D640C">
        <w:rPr>
          <w:lang w:eastAsia="en-NZ"/>
        </w:rPr>
        <w:t xml:space="preserve"> </w:t>
      </w:r>
      <w:r w:rsidRPr="00BB6220">
        <w:rPr>
          <w:lang w:eastAsia="en-NZ"/>
        </w:rPr>
        <w:t>survivors</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p>
    <w:p w14:paraId="3A0EBC5D" w14:textId="793202B2" w:rsidR="00BB3F27" w:rsidRPr="00BB6220" w:rsidRDefault="00BB3F27" w:rsidP="006A3F34">
      <w:pPr>
        <w:pStyle w:val="Bullet"/>
        <w:rPr>
          <w:lang w:eastAsia="en-NZ"/>
        </w:rPr>
      </w:pPr>
      <w:r w:rsidRPr="00BB6220">
        <w:rPr>
          <w:lang w:eastAsia="en-NZ"/>
        </w:rPr>
        <w:t>Māori,</w:t>
      </w:r>
      <w:r w:rsidR="003D640C">
        <w:rPr>
          <w:lang w:eastAsia="en-NZ"/>
        </w:rPr>
        <w:t xml:space="preserve"> </w:t>
      </w:r>
      <w:r w:rsidRPr="00BB6220">
        <w:rPr>
          <w:lang w:eastAsia="en-NZ"/>
        </w:rPr>
        <w:t>Pacific,</w:t>
      </w:r>
      <w:r w:rsidR="003D640C">
        <w:rPr>
          <w:lang w:eastAsia="en-NZ"/>
        </w:rPr>
        <w:t xml:space="preserve"> </w:t>
      </w:r>
      <w:r w:rsidRPr="00BB6220">
        <w:rPr>
          <w:lang w:eastAsia="en-NZ"/>
        </w:rPr>
        <w:t>and</w:t>
      </w:r>
      <w:r w:rsidR="003D640C">
        <w:rPr>
          <w:lang w:eastAsia="en-NZ"/>
        </w:rPr>
        <w:t xml:space="preserve"> </w:t>
      </w:r>
      <w:r w:rsidRPr="00BB6220">
        <w:rPr>
          <w:lang w:eastAsia="en-NZ"/>
        </w:rPr>
        <w:t>ethnic</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survivors</w:t>
      </w:r>
    </w:p>
    <w:p w14:paraId="17985074" w14:textId="79D07185" w:rsidR="00501068" w:rsidRDefault="00BB3F27" w:rsidP="006A3F34">
      <w:pPr>
        <w:pStyle w:val="Bullet"/>
        <w:rPr>
          <w:lang w:eastAsia="en-NZ"/>
        </w:rPr>
      </w:pPr>
      <w:r w:rsidRPr="693498D0">
        <w:rPr>
          <w:lang w:eastAsia="en-NZ"/>
        </w:rPr>
        <w:t>s</w:t>
      </w:r>
      <w:r w:rsidRPr="00BB6220">
        <w:rPr>
          <w:lang w:eastAsia="en-NZ"/>
        </w:rPr>
        <w:t>taff</w:t>
      </w:r>
      <w:r w:rsidR="003D640C">
        <w:rPr>
          <w:lang w:eastAsia="en-NZ"/>
        </w:rPr>
        <w:t xml:space="preserve"> </w:t>
      </w:r>
      <w:r w:rsidRPr="00BB6220">
        <w:rPr>
          <w:lang w:eastAsia="en-NZ"/>
        </w:rPr>
        <w:t>and</w:t>
      </w:r>
      <w:r w:rsidR="003D640C">
        <w:rPr>
          <w:lang w:eastAsia="en-NZ"/>
        </w:rPr>
        <w:t xml:space="preserve"> </w:t>
      </w:r>
      <w:r w:rsidRPr="00BB6220">
        <w:rPr>
          <w:lang w:eastAsia="en-NZ"/>
        </w:rPr>
        <w:t>board</w:t>
      </w:r>
      <w:r w:rsidR="003D640C">
        <w:rPr>
          <w:lang w:eastAsia="en-NZ"/>
        </w:rPr>
        <w:t xml:space="preserve"> </w:t>
      </w:r>
      <w:r w:rsidRPr="00BB6220">
        <w:rPr>
          <w:lang w:eastAsia="en-NZ"/>
        </w:rPr>
        <w:t>members</w:t>
      </w:r>
      <w:r w:rsidR="003D640C">
        <w:rPr>
          <w:lang w:eastAsia="en-NZ"/>
        </w:rPr>
        <w:t xml:space="preserve"> </w:t>
      </w:r>
      <w:r w:rsidRPr="00BB6220">
        <w:rPr>
          <w:lang w:eastAsia="en-NZ"/>
        </w:rPr>
        <w:t>of</w:t>
      </w:r>
      <w:r w:rsidR="003D640C">
        <w:rPr>
          <w:lang w:eastAsia="en-NZ"/>
        </w:rPr>
        <w:t xml:space="preserve"> </w:t>
      </w:r>
      <w:r w:rsidRPr="00BB6220">
        <w:rPr>
          <w:lang w:eastAsia="en-NZ"/>
        </w:rPr>
        <w:t>Rainbow</w:t>
      </w:r>
      <w:r w:rsidR="003D640C">
        <w:rPr>
          <w:lang w:eastAsia="en-NZ"/>
        </w:rPr>
        <w:t xml:space="preserve"> </w:t>
      </w:r>
      <w:r w:rsidRPr="693498D0">
        <w:rPr>
          <w:lang w:eastAsia="en-NZ"/>
        </w:rPr>
        <w:t>s</w:t>
      </w:r>
      <w:r w:rsidRPr="00BB6220">
        <w:rPr>
          <w:lang w:eastAsia="en-NZ"/>
        </w:rPr>
        <w:t>ector</w:t>
      </w:r>
      <w:r w:rsidR="003D640C">
        <w:rPr>
          <w:lang w:eastAsia="en-NZ"/>
        </w:rPr>
        <w:t xml:space="preserve"> </w:t>
      </w:r>
      <w:r w:rsidRPr="00BB6220">
        <w:rPr>
          <w:lang w:eastAsia="en-NZ"/>
        </w:rPr>
        <w:t>organisations</w:t>
      </w:r>
      <w:r w:rsidR="00770C5E">
        <w:rPr>
          <w:lang w:eastAsia="en-NZ"/>
        </w:rPr>
        <w:t>.</w:t>
      </w:r>
    </w:p>
    <w:p w14:paraId="187A71AE" w14:textId="2FAA126B" w:rsidR="00501068" w:rsidRDefault="00BB3F27" w:rsidP="0078026B">
      <w:pPr>
        <w:rPr>
          <w:rFonts w:ascii="Segoe UI" w:eastAsia="Times New Roman" w:hAnsi="Segoe UI" w:cs="Segoe UI"/>
          <w:lang w:eastAsia="en-NZ"/>
        </w:rPr>
      </w:pPr>
      <w:r w:rsidRPr="00BB6220">
        <w:rPr>
          <w:rFonts w:ascii="Calibri" w:eastAsia="Times New Roman" w:hAnsi="Calibri" w:cs="Calibri"/>
          <w:shd w:val="clear" w:color="auto" w:fill="FFFFFF"/>
          <w:lang w:eastAsia="en-NZ"/>
        </w:rPr>
        <w:t>Four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central</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principles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were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ratified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these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early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hui</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lang w:eastAsia="en-NZ"/>
        </w:rPr>
        <w:t>guided</w:t>
      </w:r>
      <w:r w:rsidR="003D640C">
        <w:rPr>
          <w:rFonts w:ascii="Calibri" w:eastAsia="Times New Roman" w:hAnsi="Calibri" w:cs="Calibri"/>
          <w:lang w:eastAsia="en-NZ"/>
        </w:rPr>
        <w:t xml:space="preserve"> </w:t>
      </w:r>
      <w:r w:rsidRPr="00BB6220">
        <w:rPr>
          <w:rFonts w:ascii="Calibri" w:eastAsia="Times New Roman" w:hAnsi="Calibri" w:cs="Calibri"/>
          <w:shd w:val="clear" w:color="auto" w:fill="FFFFFF"/>
          <w:lang w:eastAsia="en-NZ"/>
        </w:rPr>
        <w:t>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Commission’s</w:t>
      </w:r>
      <w:r w:rsidR="003D640C">
        <w:rPr>
          <w:rFonts w:ascii="Calibri" w:eastAsia="Times New Roman" w:hAnsi="Calibri" w:cs="Calibri"/>
          <w:lang w:eastAsia="en-NZ"/>
        </w:rPr>
        <w:t xml:space="preserve"> </w:t>
      </w:r>
      <w:r w:rsidRPr="00BB6220">
        <w:rPr>
          <w:rFonts w:ascii="Calibri" w:eastAsia="Times New Roman" w:hAnsi="Calibri" w:cs="Calibri"/>
          <w:lang w:eastAsia="en-NZ"/>
        </w:rPr>
        <w:t>work,</w:t>
      </w:r>
      <w:r w:rsidR="003D640C">
        <w:rPr>
          <w:rFonts w:ascii="Calibri" w:eastAsia="Times New Roman" w:hAnsi="Calibri" w:cs="Calibri"/>
          <w:lang w:eastAsia="en-NZ"/>
        </w:rPr>
        <w:t xml:space="preserve"> </w:t>
      </w:r>
      <w:r w:rsidRPr="00BB6220">
        <w:rPr>
          <w:rFonts w:ascii="Calibri" w:eastAsia="Times New Roman" w:hAnsi="Calibri" w:cs="Calibri"/>
          <w:lang w:eastAsia="en-NZ"/>
        </w:rPr>
        <w:t>embedding</w:t>
      </w:r>
      <w:r w:rsidR="003D640C">
        <w:rPr>
          <w:rFonts w:ascii="Calibri" w:eastAsia="Times New Roman" w:hAnsi="Calibri" w:cs="Calibri"/>
          <w:lang w:eastAsia="en-NZ"/>
        </w:rPr>
        <w:t xml:space="preserve"> </w:t>
      </w:r>
      <w:r w:rsidRPr="00BB6220">
        <w:rPr>
          <w:rFonts w:ascii="Calibri" w:eastAsia="Times New Roman" w:hAnsi="Calibri" w:cs="Calibri"/>
          <w:lang w:eastAsia="en-NZ"/>
        </w:rPr>
        <w:t>accountability</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survivors</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stakeholders</w:t>
      </w:r>
      <w:r>
        <w:rPr>
          <w:rFonts w:ascii="Calibri" w:eastAsia="Times New Roman" w:hAnsi="Calibri" w:cs="Calibri"/>
          <w:lang w:eastAsia="en-NZ"/>
        </w:rPr>
        <w:t>.</w:t>
      </w:r>
      <w:r w:rsidR="003D640C">
        <w:rPr>
          <w:rFonts w:ascii="Calibri" w:eastAsia="Times New Roman" w:hAnsi="Calibri" w:cs="Calibri"/>
          <w:lang w:eastAsia="en-NZ"/>
        </w:rPr>
        <w:t xml:space="preserve"> </w:t>
      </w:r>
    </w:p>
    <w:p w14:paraId="2A780756" w14:textId="77777777" w:rsidR="00501068" w:rsidRDefault="00BB3F27" w:rsidP="006A3F34">
      <w:pPr>
        <w:pStyle w:val="Bullet"/>
        <w:rPr>
          <w:lang w:eastAsia="en-NZ"/>
        </w:rPr>
      </w:pPr>
      <w:r w:rsidRPr="0022500C">
        <w:rPr>
          <w:b/>
          <w:shd w:val="clear" w:color="auto" w:fill="FFFFFF"/>
          <w:lang w:eastAsia="en-NZ"/>
        </w:rPr>
        <w:t>Voice</w:t>
      </w:r>
      <w:r w:rsidR="003D640C">
        <w:rPr>
          <w:b/>
          <w:lang w:eastAsia="en-NZ"/>
        </w:rPr>
        <w:t xml:space="preserve"> </w:t>
      </w:r>
      <w:r w:rsidRPr="0022500C">
        <w:rPr>
          <w:b/>
          <w:lang w:eastAsia="en-NZ"/>
        </w:rPr>
        <w:t>(authentic</w:t>
      </w:r>
      <w:r w:rsidR="003D640C">
        <w:rPr>
          <w:b/>
          <w:lang w:eastAsia="en-NZ"/>
        </w:rPr>
        <w:t xml:space="preserve"> </w:t>
      </w:r>
      <w:r w:rsidRPr="0022500C">
        <w:rPr>
          <w:b/>
          <w:lang w:eastAsia="en-NZ"/>
        </w:rPr>
        <w:t>perspective</w:t>
      </w:r>
      <w:r w:rsidR="003D640C">
        <w:rPr>
          <w:b/>
          <w:lang w:eastAsia="en-NZ"/>
        </w:rPr>
        <w:t xml:space="preserve"> </w:t>
      </w:r>
      <w:r w:rsidRPr="0022500C">
        <w:rPr>
          <w:b/>
          <w:lang w:eastAsia="en-NZ"/>
        </w:rPr>
        <w:t>of</w:t>
      </w:r>
      <w:r w:rsidR="003D640C">
        <w:rPr>
          <w:b/>
          <w:lang w:eastAsia="en-NZ"/>
        </w:rPr>
        <w:t xml:space="preserve"> </w:t>
      </w:r>
      <w:r w:rsidRPr="0022500C">
        <w:rPr>
          <w:b/>
          <w:lang w:eastAsia="en-NZ"/>
        </w:rPr>
        <w:t>those</w:t>
      </w:r>
      <w:r w:rsidR="003D640C">
        <w:rPr>
          <w:b/>
          <w:lang w:eastAsia="en-NZ"/>
        </w:rPr>
        <w:t xml:space="preserve"> </w:t>
      </w:r>
      <w:r w:rsidRPr="0022500C">
        <w:rPr>
          <w:b/>
          <w:lang w:eastAsia="en-NZ"/>
        </w:rPr>
        <w:t>with</w:t>
      </w:r>
      <w:r w:rsidR="003D640C">
        <w:rPr>
          <w:b/>
          <w:lang w:eastAsia="en-NZ"/>
        </w:rPr>
        <w:t xml:space="preserve"> </w:t>
      </w:r>
      <w:r w:rsidRPr="0022500C">
        <w:rPr>
          <w:b/>
          <w:lang w:eastAsia="en-NZ"/>
        </w:rPr>
        <w:t>lived</w:t>
      </w:r>
      <w:r w:rsidR="003D640C">
        <w:rPr>
          <w:b/>
          <w:lang w:eastAsia="en-NZ"/>
        </w:rPr>
        <w:t xml:space="preserve"> </w:t>
      </w:r>
      <w:r w:rsidRPr="0022500C">
        <w:rPr>
          <w:b/>
          <w:lang w:eastAsia="en-NZ"/>
        </w:rPr>
        <w:t>experience</w:t>
      </w:r>
      <w:r w:rsidR="003D640C">
        <w:rPr>
          <w:b/>
          <w:lang w:eastAsia="en-NZ"/>
        </w:rPr>
        <w:t xml:space="preserve"> </w:t>
      </w:r>
      <w:r w:rsidRPr="0022500C">
        <w:rPr>
          <w:b/>
          <w:lang w:eastAsia="en-NZ"/>
        </w:rPr>
        <w:t>of</w:t>
      </w:r>
      <w:r w:rsidR="003D640C">
        <w:rPr>
          <w:b/>
          <w:lang w:eastAsia="en-NZ"/>
        </w:rPr>
        <w:t xml:space="preserve"> </w:t>
      </w:r>
      <w:r w:rsidRPr="0022500C">
        <w:rPr>
          <w:b/>
          <w:lang w:eastAsia="en-NZ"/>
        </w:rPr>
        <w:t>a</w:t>
      </w:r>
      <w:r w:rsidR="003D640C">
        <w:rPr>
          <w:b/>
          <w:lang w:eastAsia="en-NZ"/>
        </w:rPr>
        <w:t xml:space="preserve"> </w:t>
      </w:r>
      <w:r w:rsidRPr="0022500C">
        <w:rPr>
          <w:b/>
          <w:lang w:eastAsia="en-NZ"/>
        </w:rPr>
        <w:t>particular</w:t>
      </w:r>
      <w:r w:rsidR="003D640C">
        <w:rPr>
          <w:b/>
          <w:lang w:eastAsia="en-NZ"/>
        </w:rPr>
        <w:t xml:space="preserve"> </w:t>
      </w:r>
      <w:r w:rsidRPr="0022500C">
        <w:rPr>
          <w:b/>
          <w:lang w:eastAsia="en-NZ"/>
        </w:rPr>
        <w:t>issue)</w:t>
      </w:r>
      <w:r w:rsidRPr="0022500C">
        <w:rPr>
          <w:b/>
          <w:shd w:val="clear" w:color="auto" w:fill="FFFFFF"/>
          <w:lang w:eastAsia="en-NZ"/>
        </w:rPr>
        <w:t>:</w:t>
      </w:r>
      <w:r w:rsidR="003D640C">
        <w:rPr>
          <w:b/>
          <w:shd w:val="clear" w:color="auto" w:fill="FFFFFF"/>
          <w:lang w:eastAsia="en-NZ"/>
        </w:rPr>
        <w:t xml:space="preserve"> </w:t>
      </w:r>
      <w:r w:rsidRPr="0022500C">
        <w:rPr>
          <w:shd w:val="clear" w:color="auto" w:fill="FFFFFF"/>
          <w:lang w:eastAsia="en-NZ"/>
        </w:rPr>
        <w:t>A</w:t>
      </w:r>
      <w:r w:rsidR="003D640C">
        <w:rPr>
          <w:shd w:val="clear" w:color="auto" w:fill="FFFFFF"/>
          <w:lang w:eastAsia="en-NZ"/>
        </w:rPr>
        <w:t xml:space="preserve"> </w:t>
      </w:r>
      <w:r w:rsidRPr="0022500C">
        <w:rPr>
          <w:shd w:val="clear" w:color="auto" w:fill="FFFFFF"/>
          <w:lang w:eastAsia="en-NZ"/>
        </w:rPr>
        <w:t>diverse</w:t>
      </w:r>
      <w:r w:rsidR="003D640C">
        <w:rPr>
          <w:shd w:val="clear" w:color="auto" w:fill="FFFFFF"/>
          <w:lang w:eastAsia="en-NZ"/>
        </w:rPr>
        <w:t xml:space="preserve"> </w:t>
      </w:r>
      <w:r w:rsidRPr="0022500C">
        <w:rPr>
          <w:shd w:val="clear" w:color="auto" w:fill="FFFFFF"/>
          <w:lang w:eastAsia="en-NZ"/>
        </w:rPr>
        <w:t>variety</w:t>
      </w:r>
      <w:r w:rsidR="003D640C">
        <w:rPr>
          <w:shd w:val="clear" w:color="auto" w:fill="FFFFFF"/>
          <w:lang w:eastAsia="en-NZ"/>
        </w:rPr>
        <w:t xml:space="preserve"> </w:t>
      </w:r>
      <w:r w:rsidRPr="0022500C">
        <w:rPr>
          <w:shd w:val="clear" w:color="auto" w:fill="FFFFFF"/>
          <w:lang w:eastAsia="en-NZ"/>
        </w:rPr>
        <w:t>of</w:t>
      </w:r>
      <w:r w:rsidR="003D640C">
        <w:rPr>
          <w:shd w:val="clear" w:color="auto" w:fill="FFFFFF"/>
          <w:lang w:eastAsia="en-NZ"/>
        </w:rPr>
        <w:t xml:space="preserve"> </w:t>
      </w:r>
      <w:r w:rsidRPr="0022500C">
        <w:rPr>
          <w:shd w:val="clear" w:color="auto" w:fill="FFFFFF"/>
          <w:lang w:eastAsia="en-NZ"/>
        </w:rPr>
        <w:t>authentic</w:t>
      </w:r>
      <w:r w:rsidR="003D640C">
        <w:rPr>
          <w:shd w:val="clear" w:color="auto" w:fill="FFFFFF"/>
          <w:lang w:eastAsia="en-NZ"/>
        </w:rPr>
        <w:t xml:space="preserve"> </w:t>
      </w:r>
      <w:r w:rsidRPr="0022500C">
        <w:rPr>
          <w:shd w:val="clear" w:color="auto" w:fill="FFFFFF"/>
          <w:lang w:eastAsia="en-NZ"/>
        </w:rPr>
        <w:t>survivor</w:t>
      </w:r>
      <w:r w:rsidR="003D640C">
        <w:rPr>
          <w:shd w:val="clear" w:color="auto" w:fill="FFFFFF"/>
          <w:lang w:eastAsia="en-NZ"/>
        </w:rPr>
        <w:t xml:space="preserve"> </w:t>
      </w:r>
      <w:r w:rsidRPr="0022500C">
        <w:rPr>
          <w:shd w:val="clear" w:color="auto" w:fill="FFFFFF"/>
          <w:lang w:eastAsia="en-NZ"/>
        </w:rPr>
        <w:t>voices</w:t>
      </w:r>
      <w:r w:rsidR="003D640C">
        <w:rPr>
          <w:shd w:val="clear" w:color="auto" w:fill="FFFFFF"/>
          <w:lang w:eastAsia="en-NZ"/>
        </w:rPr>
        <w:t xml:space="preserve"> </w:t>
      </w:r>
      <w:r w:rsidRPr="0022500C">
        <w:rPr>
          <w:lang w:eastAsia="en-NZ"/>
        </w:rPr>
        <w:t>should</w:t>
      </w:r>
      <w:r w:rsidR="003D640C">
        <w:rPr>
          <w:lang w:eastAsia="en-NZ"/>
        </w:rPr>
        <w:t xml:space="preserve"> </w:t>
      </w:r>
      <w:r w:rsidRPr="0022500C">
        <w:rPr>
          <w:shd w:val="clear" w:color="auto" w:fill="FFFFFF"/>
          <w:lang w:eastAsia="en-NZ"/>
        </w:rPr>
        <w:t>be</w:t>
      </w:r>
      <w:r w:rsidR="003D640C">
        <w:rPr>
          <w:shd w:val="clear" w:color="auto" w:fill="FFFFFF"/>
          <w:lang w:eastAsia="en-NZ"/>
        </w:rPr>
        <w:t xml:space="preserve"> </w:t>
      </w:r>
      <w:r w:rsidRPr="0022500C">
        <w:rPr>
          <w:shd w:val="clear" w:color="auto" w:fill="FFFFFF"/>
          <w:lang w:eastAsia="en-NZ"/>
        </w:rPr>
        <w:t>centred</w:t>
      </w:r>
      <w:r w:rsidR="003D640C">
        <w:rPr>
          <w:shd w:val="clear" w:color="auto" w:fill="FFFFFF"/>
          <w:lang w:eastAsia="en-NZ"/>
        </w:rPr>
        <w:t xml:space="preserve"> </w:t>
      </w:r>
      <w:r w:rsidRPr="0022500C">
        <w:rPr>
          <w:shd w:val="clear" w:color="auto" w:fill="FFFFFF"/>
          <w:lang w:eastAsia="en-NZ"/>
        </w:rPr>
        <w:t>in</w:t>
      </w:r>
      <w:r w:rsidR="003D640C">
        <w:rPr>
          <w:shd w:val="clear" w:color="auto" w:fill="FFFFFF"/>
          <w:lang w:eastAsia="en-NZ"/>
        </w:rPr>
        <w:t xml:space="preserve"> </w:t>
      </w:r>
      <w:r w:rsidRPr="0022500C">
        <w:rPr>
          <w:shd w:val="clear" w:color="auto" w:fill="FFFFFF"/>
          <w:lang w:eastAsia="en-NZ"/>
        </w:rPr>
        <w:t>public</w:t>
      </w:r>
      <w:r w:rsidR="003D640C">
        <w:rPr>
          <w:shd w:val="clear" w:color="auto" w:fill="FFFFFF"/>
          <w:lang w:eastAsia="en-NZ"/>
        </w:rPr>
        <w:t xml:space="preserve"> </w:t>
      </w:r>
      <w:r w:rsidRPr="0022500C">
        <w:rPr>
          <w:shd w:val="clear" w:color="auto" w:fill="FFFFFF"/>
          <w:lang w:eastAsia="en-NZ"/>
        </w:rPr>
        <w:t>discourse,</w:t>
      </w:r>
      <w:r w:rsidR="003D640C">
        <w:rPr>
          <w:shd w:val="clear" w:color="auto" w:fill="FFFFFF"/>
          <w:lang w:eastAsia="en-NZ"/>
        </w:rPr>
        <w:t xml:space="preserve"> </w:t>
      </w:r>
      <w:r w:rsidRPr="0022500C">
        <w:rPr>
          <w:shd w:val="clear" w:color="auto" w:fill="FFFFFF"/>
          <w:lang w:eastAsia="en-NZ"/>
        </w:rPr>
        <w:t>in</w:t>
      </w:r>
      <w:r w:rsidR="003D640C">
        <w:rPr>
          <w:shd w:val="clear" w:color="auto" w:fill="FFFFFF"/>
          <w:lang w:eastAsia="en-NZ"/>
        </w:rPr>
        <w:t xml:space="preserve"> </w:t>
      </w:r>
      <w:r w:rsidRPr="0022500C">
        <w:rPr>
          <w:shd w:val="clear" w:color="auto" w:fill="FFFFFF"/>
          <w:lang w:eastAsia="en-NZ"/>
        </w:rPr>
        <w:t>the</w:t>
      </w:r>
      <w:r w:rsidR="003D640C">
        <w:rPr>
          <w:shd w:val="clear" w:color="auto" w:fill="FFFFFF"/>
          <w:lang w:eastAsia="en-NZ"/>
        </w:rPr>
        <w:t xml:space="preserve"> </w:t>
      </w:r>
      <w:r w:rsidRPr="0022500C">
        <w:rPr>
          <w:shd w:val="clear" w:color="auto" w:fill="FFFFFF"/>
          <w:lang w:eastAsia="en-NZ"/>
        </w:rPr>
        <w:t>development</w:t>
      </w:r>
      <w:r w:rsidR="003D640C">
        <w:rPr>
          <w:shd w:val="clear" w:color="auto" w:fill="FFFFFF"/>
          <w:lang w:eastAsia="en-NZ"/>
        </w:rPr>
        <w:t xml:space="preserve"> </w:t>
      </w:r>
      <w:r w:rsidRPr="0022500C">
        <w:rPr>
          <w:shd w:val="clear" w:color="auto" w:fill="FFFFFF"/>
          <w:lang w:eastAsia="en-NZ"/>
        </w:rPr>
        <w:t>of</w:t>
      </w:r>
      <w:r w:rsidR="003D640C">
        <w:rPr>
          <w:shd w:val="clear" w:color="auto" w:fill="FFFFFF"/>
          <w:lang w:eastAsia="en-NZ"/>
        </w:rPr>
        <w:t xml:space="preserve"> </w:t>
      </w:r>
      <w:r w:rsidRPr="0022500C">
        <w:rPr>
          <w:shd w:val="clear" w:color="auto" w:fill="FFFFFF"/>
          <w:lang w:eastAsia="en-NZ"/>
        </w:rPr>
        <w:t>guidelines</w:t>
      </w:r>
      <w:r w:rsidR="003D640C">
        <w:rPr>
          <w:shd w:val="clear" w:color="auto" w:fill="FFFFFF"/>
          <w:lang w:eastAsia="en-NZ"/>
        </w:rPr>
        <w:t xml:space="preserve"> </w:t>
      </w:r>
      <w:r w:rsidRPr="0022500C">
        <w:rPr>
          <w:shd w:val="clear" w:color="auto" w:fill="FFFFFF"/>
          <w:lang w:eastAsia="en-NZ"/>
        </w:rPr>
        <w:t>and</w:t>
      </w:r>
      <w:r w:rsidR="003D640C">
        <w:rPr>
          <w:shd w:val="clear" w:color="auto" w:fill="FFFFFF"/>
          <w:lang w:eastAsia="en-NZ"/>
        </w:rPr>
        <w:t xml:space="preserve"> </w:t>
      </w:r>
      <w:r w:rsidRPr="0022500C">
        <w:rPr>
          <w:shd w:val="clear" w:color="auto" w:fill="FFFFFF"/>
          <w:lang w:eastAsia="en-NZ"/>
        </w:rPr>
        <w:t>community</w:t>
      </w:r>
      <w:r w:rsidR="003D640C">
        <w:rPr>
          <w:shd w:val="clear" w:color="auto" w:fill="FFFFFF"/>
          <w:lang w:eastAsia="en-NZ"/>
        </w:rPr>
        <w:t xml:space="preserve"> </w:t>
      </w:r>
      <w:r w:rsidRPr="0022500C">
        <w:rPr>
          <w:shd w:val="clear" w:color="auto" w:fill="FFFFFF"/>
          <w:lang w:eastAsia="en-NZ"/>
        </w:rPr>
        <w:t>education,</w:t>
      </w:r>
      <w:r w:rsidR="003D640C">
        <w:rPr>
          <w:shd w:val="clear" w:color="auto" w:fill="FFFFFF"/>
          <w:lang w:eastAsia="en-NZ"/>
        </w:rPr>
        <w:t xml:space="preserve"> </w:t>
      </w:r>
      <w:r w:rsidRPr="0022500C">
        <w:rPr>
          <w:shd w:val="clear" w:color="auto" w:fill="FFFFFF"/>
          <w:lang w:eastAsia="en-NZ"/>
        </w:rPr>
        <w:t>and</w:t>
      </w:r>
      <w:r w:rsidR="003D640C">
        <w:rPr>
          <w:shd w:val="clear" w:color="auto" w:fill="FFFFFF"/>
          <w:lang w:eastAsia="en-NZ"/>
        </w:rPr>
        <w:t xml:space="preserve"> </w:t>
      </w:r>
      <w:r w:rsidRPr="0022500C">
        <w:rPr>
          <w:shd w:val="clear" w:color="auto" w:fill="FFFFFF"/>
          <w:lang w:eastAsia="en-NZ"/>
        </w:rPr>
        <w:t>in</w:t>
      </w:r>
      <w:r w:rsidR="003D640C">
        <w:rPr>
          <w:shd w:val="clear" w:color="auto" w:fill="FFFFFF"/>
          <w:lang w:eastAsia="en-NZ"/>
        </w:rPr>
        <w:t xml:space="preserve"> </w:t>
      </w:r>
      <w:r w:rsidRPr="0022500C">
        <w:rPr>
          <w:shd w:val="clear" w:color="auto" w:fill="FFFFFF"/>
          <w:lang w:eastAsia="en-NZ"/>
        </w:rPr>
        <w:t>the</w:t>
      </w:r>
      <w:r w:rsidR="003D640C">
        <w:rPr>
          <w:shd w:val="clear" w:color="auto" w:fill="FFFFFF"/>
          <w:lang w:eastAsia="en-NZ"/>
        </w:rPr>
        <w:t xml:space="preserve"> </w:t>
      </w:r>
      <w:r w:rsidRPr="0022500C">
        <w:rPr>
          <w:lang w:eastAsia="en-NZ"/>
        </w:rPr>
        <w:t>development</w:t>
      </w:r>
      <w:r w:rsidR="003D640C">
        <w:rPr>
          <w:lang w:eastAsia="en-NZ"/>
        </w:rPr>
        <w:t xml:space="preserve"> </w:t>
      </w:r>
      <w:r w:rsidRPr="0022500C">
        <w:rPr>
          <w:shd w:val="clear" w:color="auto" w:fill="FFFFFF"/>
          <w:lang w:eastAsia="en-NZ"/>
        </w:rPr>
        <w:t>and</w:t>
      </w:r>
      <w:r w:rsidR="003D640C">
        <w:rPr>
          <w:shd w:val="clear" w:color="auto" w:fill="FFFFFF"/>
          <w:lang w:eastAsia="en-NZ"/>
        </w:rPr>
        <w:t xml:space="preserve"> </w:t>
      </w:r>
      <w:r w:rsidRPr="0022500C">
        <w:rPr>
          <w:lang w:eastAsia="en-NZ"/>
        </w:rPr>
        <w:t>delivery</w:t>
      </w:r>
      <w:r w:rsidR="003D640C">
        <w:rPr>
          <w:lang w:eastAsia="en-NZ"/>
        </w:rPr>
        <w:t xml:space="preserve"> </w:t>
      </w:r>
      <w:r w:rsidRPr="0022500C">
        <w:rPr>
          <w:shd w:val="clear" w:color="auto" w:fill="FFFFFF"/>
          <w:lang w:eastAsia="en-NZ"/>
        </w:rPr>
        <w:t>of</w:t>
      </w:r>
      <w:r w:rsidR="003D640C">
        <w:rPr>
          <w:shd w:val="clear" w:color="auto" w:fill="FFFFFF"/>
          <w:lang w:eastAsia="en-NZ"/>
        </w:rPr>
        <w:t xml:space="preserve"> </w:t>
      </w:r>
      <w:r w:rsidRPr="0022500C">
        <w:rPr>
          <w:shd w:val="clear" w:color="auto" w:fill="FFFFFF"/>
          <w:lang w:eastAsia="en-NZ"/>
        </w:rPr>
        <w:t>services</w:t>
      </w:r>
      <w:r w:rsidR="003D640C">
        <w:rPr>
          <w:shd w:val="clear" w:color="auto" w:fill="FFFFFF"/>
          <w:lang w:eastAsia="en-NZ"/>
        </w:rPr>
        <w:t xml:space="preserve"> </w:t>
      </w:r>
      <w:r w:rsidRPr="0022500C">
        <w:rPr>
          <w:shd w:val="clear" w:color="auto" w:fill="FFFFFF"/>
          <w:lang w:eastAsia="en-NZ"/>
        </w:rPr>
        <w:t>related</w:t>
      </w:r>
      <w:r w:rsidR="003D640C">
        <w:rPr>
          <w:shd w:val="clear" w:color="auto" w:fill="FFFFFF"/>
          <w:lang w:eastAsia="en-NZ"/>
        </w:rPr>
        <w:t xml:space="preserve"> </w:t>
      </w:r>
      <w:r w:rsidRPr="0022500C">
        <w:rPr>
          <w:shd w:val="clear" w:color="auto" w:fill="FFFFFF"/>
          <w:lang w:eastAsia="en-NZ"/>
        </w:rPr>
        <w:t>to</w:t>
      </w:r>
      <w:r w:rsidR="003D640C">
        <w:rPr>
          <w:shd w:val="clear" w:color="auto" w:fill="FFFFFF"/>
          <w:lang w:eastAsia="en-NZ"/>
        </w:rPr>
        <w:t xml:space="preserve"> </w:t>
      </w:r>
      <w:r w:rsidRPr="0022500C">
        <w:rPr>
          <w:shd w:val="clear" w:color="auto" w:fill="FFFFFF"/>
          <w:lang w:eastAsia="en-NZ"/>
        </w:rPr>
        <w:t>the</w:t>
      </w:r>
      <w:r w:rsidR="003D640C">
        <w:rPr>
          <w:shd w:val="clear" w:color="auto" w:fill="FFFFFF"/>
          <w:lang w:eastAsia="en-NZ"/>
        </w:rPr>
        <w:t xml:space="preserve"> </w:t>
      </w:r>
      <w:r w:rsidRPr="0022500C">
        <w:rPr>
          <w:shd w:val="clear" w:color="auto" w:fill="FFFFFF"/>
          <w:lang w:eastAsia="en-NZ"/>
        </w:rPr>
        <w:t>CPPLA</w:t>
      </w:r>
      <w:r w:rsidR="00AF3F45">
        <w:rPr>
          <w:shd w:val="clear" w:color="auto" w:fill="FFFFFF"/>
          <w:lang w:eastAsia="en-NZ"/>
        </w:rPr>
        <w:t>.</w:t>
      </w:r>
    </w:p>
    <w:p w14:paraId="74393B4A" w14:textId="378E16DA" w:rsidR="00501068" w:rsidRDefault="00BB3F27" w:rsidP="006A3F34">
      <w:pPr>
        <w:pStyle w:val="Bullet"/>
        <w:rPr>
          <w:shd w:val="clear" w:color="auto" w:fill="FFFFFF"/>
          <w:lang w:eastAsia="en-NZ"/>
        </w:rPr>
      </w:pPr>
      <w:r w:rsidRPr="00BB6220">
        <w:rPr>
          <w:b/>
          <w:shd w:val="clear" w:color="auto" w:fill="FFFFFF"/>
          <w:lang w:eastAsia="en-NZ"/>
        </w:rPr>
        <w:t>Agency</w:t>
      </w:r>
      <w:r w:rsidR="003D640C">
        <w:rPr>
          <w:b/>
          <w:shd w:val="clear" w:color="auto" w:fill="FFFFFF"/>
          <w:lang w:eastAsia="en-NZ"/>
        </w:rPr>
        <w:t xml:space="preserve"> </w:t>
      </w:r>
      <w:r w:rsidRPr="00B1465F">
        <w:rPr>
          <w:b/>
          <w:shd w:val="clear" w:color="auto" w:fill="FFFFFF"/>
          <w:lang w:eastAsia="en-NZ"/>
        </w:rPr>
        <w:t>(a</w:t>
      </w:r>
      <w:r w:rsidR="003D640C">
        <w:rPr>
          <w:b/>
          <w:shd w:val="clear" w:color="auto" w:fill="FFFFFF"/>
          <w:lang w:eastAsia="en-NZ"/>
        </w:rPr>
        <w:t xml:space="preserve"> </w:t>
      </w:r>
      <w:r w:rsidRPr="00B1465F">
        <w:rPr>
          <w:b/>
          <w:shd w:val="clear" w:color="auto" w:fill="FFFFFF"/>
          <w:lang w:eastAsia="en-NZ"/>
        </w:rPr>
        <w:t>sense</w:t>
      </w:r>
      <w:r w:rsidR="003D640C">
        <w:rPr>
          <w:b/>
          <w:shd w:val="clear" w:color="auto" w:fill="FFFFFF"/>
          <w:lang w:eastAsia="en-NZ"/>
        </w:rPr>
        <w:t xml:space="preserve"> </w:t>
      </w:r>
      <w:r w:rsidRPr="00B1465F">
        <w:rPr>
          <w:b/>
          <w:shd w:val="clear" w:color="auto" w:fill="FFFFFF"/>
          <w:lang w:eastAsia="en-NZ"/>
        </w:rPr>
        <w:t>of</w:t>
      </w:r>
      <w:r w:rsidR="003D640C">
        <w:rPr>
          <w:b/>
          <w:shd w:val="clear" w:color="auto" w:fill="FFFFFF"/>
          <w:lang w:eastAsia="en-NZ"/>
        </w:rPr>
        <w:t xml:space="preserve"> </w:t>
      </w:r>
      <w:r w:rsidRPr="00B1465F">
        <w:rPr>
          <w:b/>
          <w:shd w:val="clear" w:color="auto" w:fill="FFFFFF"/>
          <w:lang w:eastAsia="en-NZ"/>
        </w:rPr>
        <w:t>control,</w:t>
      </w:r>
      <w:r w:rsidR="003D640C">
        <w:rPr>
          <w:b/>
          <w:shd w:val="clear" w:color="auto" w:fill="FFFFFF"/>
          <w:lang w:eastAsia="en-NZ"/>
        </w:rPr>
        <w:t xml:space="preserve"> </w:t>
      </w:r>
      <w:r w:rsidRPr="00B1465F">
        <w:rPr>
          <w:b/>
          <w:shd w:val="clear" w:color="auto" w:fill="FFFFFF"/>
          <w:lang w:eastAsia="en-NZ"/>
        </w:rPr>
        <w:t>capacity</w:t>
      </w:r>
      <w:r w:rsidR="003D640C">
        <w:rPr>
          <w:b/>
          <w:shd w:val="clear" w:color="auto" w:fill="FFFFFF"/>
          <w:lang w:eastAsia="en-NZ"/>
        </w:rPr>
        <w:t xml:space="preserve"> </w:t>
      </w:r>
      <w:r w:rsidRPr="00B1465F">
        <w:rPr>
          <w:b/>
          <w:shd w:val="clear" w:color="auto" w:fill="FFFFFF"/>
          <w:lang w:eastAsia="en-NZ"/>
        </w:rPr>
        <w:t>to</w:t>
      </w:r>
      <w:r w:rsidR="003D640C">
        <w:rPr>
          <w:b/>
          <w:shd w:val="clear" w:color="auto" w:fill="FFFFFF"/>
          <w:lang w:eastAsia="en-NZ"/>
        </w:rPr>
        <w:t xml:space="preserve"> </w:t>
      </w:r>
      <w:r w:rsidRPr="00B1465F">
        <w:rPr>
          <w:b/>
          <w:shd w:val="clear" w:color="auto" w:fill="FFFFFF"/>
          <w:lang w:eastAsia="en-NZ"/>
        </w:rPr>
        <w:t>influence</w:t>
      </w:r>
      <w:r w:rsidR="003D640C">
        <w:rPr>
          <w:b/>
          <w:shd w:val="clear" w:color="auto" w:fill="FFFFFF"/>
          <w:lang w:eastAsia="en-NZ"/>
        </w:rPr>
        <w:t xml:space="preserve"> </w:t>
      </w:r>
      <w:r w:rsidRPr="00B1465F">
        <w:rPr>
          <w:b/>
          <w:shd w:val="clear" w:color="auto" w:fill="FFFFFF"/>
          <w:lang w:eastAsia="en-NZ"/>
        </w:rPr>
        <w:t>one’s</w:t>
      </w:r>
      <w:r w:rsidR="003D640C">
        <w:rPr>
          <w:b/>
          <w:shd w:val="clear" w:color="auto" w:fill="FFFFFF"/>
          <w:lang w:eastAsia="en-NZ"/>
        </w:rPr>
        <w:t xml:space="preserve"> </w:t>
      </w:r>
      <w:r w:rsidRPr="00B1465F">
        <w:rPr>
          <w:b/>
          <w:shd w:val="clear" w:color="auto" w:fill="FFFFFF"/>
          <w:lang w:eastAsia="en-NZ"/>
        </w:rPr>
        <w:t>own</w:t>
      </w:r>
      <w:r w:rsidR="003D640C">
        <w:rPr>
          <w:b/>
          <w:shd w:val="clear" w:color="auto" w:fill="FFFFFF"/>
          <w:lang w:eastAsia="en-NZ"/>
        </w:rPr>
        <w:t xml:space="preserve"> </w:t>
      </w:r>
      <w:r w:rsidRPr="00B1465F">
        <w:rPr>
          <w:b/>
          <w:shd w:val="clear" w:color="auto" w:fill="FFFFFF"/>
          <w:lang w:eastAsia="en-NZ"/>
        </w:rPr>
        <w:t>thoughts</w:t>
      </w:r>
      <w:r w:rsidR="003D640C">
        <w:rPr>
          <w:b/>
          <w:shd w:val="clear" w:color="auto" w:fill="FFFFFF"/>
          <w:lang w:eastAsia="en-NZ"/>
        </w:rPr>
        <w:t xml:space="preserve"> </w:t>
      </w:r>
      <w:r w:rsidRPr="00B1465F">
        <w:rPr>
          <w:b/>
          <w:shd w:val="clear" w:color="auto" w:fill="FFFFFF"/>
          <w:lang w:eastAsia="en-NZ"/>
        </w:rPr>
        <w:t>and</w:t>
      </w:r>
      <w:r w:rsidR="003D640C">
        <w:rPr>
          <w:b/>
          <w:shd w:val="clear" w:color="auto" w:fill="FFFFFF"/>
          <w:lang w:eastAsia="en-NZ"/>
        </w:rPr>
        <w:t xml:space="preserve"> </w:t>
      </w:r>
      <w:r w:rsidRPr="00B1465F">
        <w:rPr>
          <w:b/>
          <w:shd w:val="clear" w:color="auto" w:fill="FFFFFF"/>
          <w:lang w:eastAsia="en-NZ"/>
        </w:rPr>
        <w:t>behaviour)</w:t>
      </w:r>
      <w:r w:rsidRPr="00BB6220">
        <w:rPr>
          <w:b/>
          <w:shd w:val="clear" w:color="auto" w:fill="FFFFFF"/>
          <w:lang w:eastAsia="en-NZ"/>
        </w:rPr>
        <w:t>:</w:t>
      </w:r>
      <w:r w:rsidR="003D640C">
        <w:rPr>
          <w:b/>
          <w:shd w:val="clear" w:color="auto" w:fill="FFFFFF"/>
          <w:lang w:eastAsia="en-NZ"/>
        </w:rPr>
        <w:t xml:space="preserve"> </w:t>
      </w:r>
      <w:r w:rsidRPr="00BB6220">
        <w:rPr>
          <w:shd w:val="clear" w:color="auto" w:fill="FFFFFF"/>
          <w:lang w:eastAsia="en-NZ"/>
        </w:rPr>
        <w:t>Survivors’</w:t>
      </w:r>
      <w:r w:rsidR="003D640C">
        <w:rPr>
          <w:shd w:val="clear" w:color="auto" w:fill="FFFFFF"/>
          <w:lang w:eastAsia="en-NZ"/>
        </w:rPr>
        <w:t xml:space="preserve"> </w:t>
      </w:r>
      <w:r w:rsidRPr="00BB6220">
        <w:rPr>
          <w:shd w:val="clear" w:color="auto" w:fill="FFFFFF"/>
          <w:lang w:eastAsia="en-NZ"/>
        </w:rPr>
        <w:t>agency</w:t>
      </w:r>
      <w:r w:rsidR="003D640C">
        <w:rPr>
          <w:shd w:val="clear" w:color="auto" w:fill="FFFFFF"/>
          <w:lang w:eastAsia="en-NZ"/>
        </w:rPr>
        <w:t xml:space="preserve"> </w:t>
      </w:r>
      <w:r w:rsidRPr="00BB6220">
        <w:rPr>
          <w:shd w:val="clear" w:color="auto" w:fill="FFFFFF"/>
          <w:lang w:eastAsia="en-NZ"/>
        </w:rPr>
        <w:t>will</w:t>
      </w:r>
      <w:r w:rsidR="003D640C">
        <w:rPr>
          <w:shd w:val="clear" w:color="auto" w:fill="FFFFFF"/>
          <w:lang w:eastAsia="en-NZ"/>
        </w:rPr>
        <w:t xml:space="preserve"> </w:t>
      </w:r>
      <w:r w:rsidRPr="00BB6220">
        <w:rPr>
          <w:shd w:val="clear" w:color="auto" w:fill="FFFFFF"/>
          <w:lang w:eastAsia="en-NZ"/>
        </w:rPr>
        <w:t>be</w:t>
      </w:r>
      <w:r w:rsidR="003D640C">
        <w:rPr>
          <w:shd w:val="clear" w:color="auto" w:fill="FFFFFF"/>
          <w:lang w:eastAsia="en-NZ"/>
        </w:rPr>
        <w:t xml:space="preserve"> </w:t>
      </w:r>
      <w:r w:rsidRPr="00BB6220">
        <w:rPr>
          <w:shd w:val="clear" w:color="auto" w:fill="FFFFFF"/>
          <w:lang w:eastAsia="en-NZ"/>
        </w:rPr>
        <w:t>increased</w:t>
      </w:r>
      <w:r w:rsidR="003D640C">
        <w:rPr>
          <w:shd w:val="clear" w:color="auto" w:fill="FFFFFF"/>
          <w:lang w:eastAsia="en-NZ"/>
        </w:rPr>
        <w:t xml:space="preserve"> </w:t>
      </w:r>
      <w:r w:rsidRPr="00BB6220">
        <w:rPr>
          <w:shd w:val="clear" w:color="auto" w:fill="FFFFFF"/>
          <w:lang w:eastAsia="en-NZ"/>
        </w:rPr>
        <w:t>as</w:t>
      </w:r>
      <w:r w:rsidR="003D640C">
        <w:rPr>
          <w:shd w:val="clear" w:color="auto" w:fill="FFFFFF"/>
          <w:lang w:eastAsia="en-NZ"/>
        </w:rPr>
        <w:t xml:space="preserve"> </w:t>
      </w:r>
      <w:r w:rsidRPr="00BB6220">
        <w:rPr>
          <w:shd w:val="clear" w:color="auto" w:fill="FFFFFF"/>
          <w:lang w:eastAsia="en-NZ"/>
        </w:rPr>
        <w:t>a</w:t>
      </w:r>
      <w:r w:rsidR="003D640C">
        <w:rPr>
          <w:shd w:val="clear" w:color="auto" w:fill="FFFFFF"/>
          <w:lang w:eastAsia="en-NZ"/>
        </w:rPr>
        <w:t xml:space="preserve"> </w:t>
      </w:r>
      <w:r w:rsidRPr="00BB6220">
        <w:rPr>
          <w:shd w:val="clear" w:color="auto" w:fill="FFFFFF"/>
          <w:lang w:eastAsia="en-NZ"/>
        </w:rPr>
        <w:t>result</w:t>
      </w:r>
      <w:r w:rsidR="003D640C">
        <w:rPr>
          <w:shd w:val="clear" w:color="auto" w:fill="FFFFFF"/>
          <w:lang w:eastAsia="en-NZ"/>
        </w:rPr>
        <w:t xml:space="preserve"> </w:t>
      </w:r>
      <w:r w:rsidRPr="00BB6220">
        <w:rPr>
          <w:shd w:val="clear" w:color="auto" w:fill="FFFFFF"/>
          <w:lang w:eastAsia="en-NZ"/>
        </w:rPr>
        <w:t>of</w:t>
      </w:r>
      <w:r w:rsidR="003D640C">
        <w:rPr>
          <w:shd w:val="clear" w:color="auto" w:fill="FFFFFF"/>
          <w:lang w:eastAsia="en-NZ"/>
        </w:rPr>
        <w:t xml:space="preserve"> </w:t>
      </w:r>
      <w:r w:rsidRPr="00BB6220">
        <w:rPr>
          <w:shd w:val="clear" w:color="auto" w:fill="FFFFFF"/>
          <w:lang w:eastAsia="en-NZ"/>
        </w:rPr>
        <w:t>engaging</w:t>
      </w:r>
      <w:r w:rsidR="003D640C">
        <w:rPr>
          <w:shd w:val="clear" w:color="auto" w:fill="FFFFFF"/>
          <w:lang w:eastAsia="en-NZ"/>
        </w:rPr>
        <w:t xml:space="preserve"> </w:t>
      </w:r>
      <w:r w:rsidRPr="00BB6220">
        <w:rPr>
          <w:shd w:val="clear" w:color="auto" w:fill="FFFFFF"/>
          <w:lang w:eastAsia="en-NZ"/>
        </w:rPr>
        <w:t>with</w:t>
      </w:r>
      <w:r w:rsidR="003D640C">
        <w:rPr>
          <w:shd w:val="clear" w:color="auto" w:fill="FFFFFF"/>
          <w:lang w:eastAsia="en-NZ"/>
        </w:rPr>
        <w:t xml:space="preserve"> </w:t>
      </w:r>
      <w:r w:rsidRPr="00B1465F">
        <w:rPr>
          <w:shd w:val="clear" w:color="auto" w:fill="FFFFFF"/>
          <w:lang w:eastAsia="en-NZ"/>
        </w:rPr>
        <w:t>government</w:t>
      </w:r>
      <w:r w:rsidR="003D640C">
        <w:rPr>
          <w:shd w:val="clear" w:color="auto" w:fill="FFFFFF"/>
          <w:lang w:eastAsia="en-NZ"/>
        </w:rPr>
        <w:t xml:space="preserve"> </w:t>
      </w:r>
      <w:r w:rsidRPr="00B1465F">
        <w:rPr>
          <w:shd w:val="clear" w:color="auto" w:fill="FFFFFF"/>
          <w:lang w:eastAsia="en-NZ"/>
        </w:rPr>
        <w:t>entities</w:t>
      </w:r>
      <w:r w:rsidR="003D640C">
        <w:rPr>
          <w:shd w:val="clear" w:color="auto" w:fill="FFFFFF"/>
          <w:lang w:eastAsia="en-NZ"/>
        </w:rPr>
        <w:t xml:space="preserve"> </w:t>
      </w:r>
      <w:r w:rsidRPr="00BB6220">
        <w:rPr>
          <w:shd w:val="clear" w:color="auto" w:fill="FFFFFF"/>
          <w:lang w:eastAsia="en-NZ"/>
        </w:rPr>
        <w:t>with</w:t>
      </w:r>
      <w:r w:rsidR="003D640C">
        <w:rPr>
          <w:shd w:val="clear" w:color="auto" w:fill="FFFFFF"/>
          <w:lang w:eastAsia="en-NZ"/>
        </w:rPr>
        <w:t xml:space="preserve"> </w:t>
      </w:r>
      <w:r w:rsidRPr="00BB6220">
        <w:rPr>
          <w:shd w:val="clear" w:color="auto" w:fill="FFFFFF"/>
          <w:lang w:eastAsia="en-NZ"/>
        </w:rPr>
        <w:t>responsibility</w:t>
      </w:r>
      <w:r w:rsidR="003D640C">
        <w:rPr>
          <w:shd w:val="clear" w:color="auto" w:fill="FFFFFF"/>
          <w:lang w:eastAsia="en-NZ"/>
        </w:rPr>
        <w:t xml:space="preserve"> </w:t>
      </w:r>
      <w:r w:rsidRPr="00BB6220">
        <w:rPr>
          <w:shd w:val="clear" w:color="auto" w:fill="FFFFFF"/>
          <w:lang w:eastAsia="en-NZ"/>
        </w:rPr>
        <w:t>under</w:t>
      </w:r>
      <w:r w:rsidR="003D640C">
        <w:rPr>
          <w:shd w:val="clear" w:color="auto" w:fill="FFFFFF"/>
          <w:lang w:eastAsia="en-NZ"/>
        </w:rPr>
        <w:t xml:space="preserve"> </w:t>
      </w:r>
      <w:r w:rsidRPr="00BB6220">
        <w:rPr>
          <w:shd w:val="clear" w:color="auto" w:fill="FFFFFF"/>
          <w:lang w:eastAsia="en-NZ"/>
        </w:rPr>
        <w:t>the</w:t>
      </w:r>
      <w:r w:rsidR="003D640C">
        <w:rPr>
          <w:shd w:val="clear" w:color="auto" w:fill="FFFFFF"/>
          <w:lang w:eastAsia="en-NZ"/>
        </w:rPr>
        <w:t xml:space="preserve"> </w:t>
      </w:r>
      <w:r w:rsidRPr="00BB6220">
        <w:rPr>
          <w:shd w:val="clear" w:color="auto" w:fill="FFFFFF"/>
          <w:lang w:eastAsia="en-NZ"/>
        </w:rPr>
        <w:t>CPPLA</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with</w:t>
      </w:r>
      <w:r w:rsidR="003D640C">
        <w:rPr>
          <w:shd w:val="clear" w:color="auto" w:fill="FFFFFF"/>
          <w:lang w:eastAsia="en-NZ"/>
        </w:rPr>
        <w:t xml:space="preserve"> </w:t>
      </w:r>
      <w:r w:rsidRPr="00BB6220">
        <w:rPr>
          <w:shd w:val="clear" w:color="auto" w:fill="FFFFFF"/>
          <w:lang w:eastAsia="en-NZ"/>
        </w:rPr>
        <w:t>psychosocial</w:t>
      </w:r>
      <w:r w:rsidR="003D640C">
        <w:rPr>
          <w:shd w:val="clear" w:color="auto" w:fill="FFFFFF"/>
          <w:lang w:eastAsia="en-NZ"/>
        </w:rPr>
        <w:t xml:space="preserve"> </w:t>
      </w:r>
      <w:r w:rsidRPr="00BB6220">
        <w:rPr>
          <w:shd w:val="clear" w:color="auto" w:fill="FFFFFF"/>
          <w:lang w:eastAsia="en-NZ"/>
        </w:rPr>
        <w:t>support</w:t>
      </w:r>
      <w:r w:rsidR="003D640C">
        <w:rPr>
          <w:shd w:val="clear" w:color="auto" w:fill="FFFFFF"/>
          <w:lang w:eastAsia="en-NZ"/>
        </w:rPr>
        <w:t xml:space="preserve"> </w:t>
      </w:r>
      <w:r w:rsidRPr="00BB6220">
        <w:rPr>
          <w:shd w:val="clear" w:color="auto" w:fill="FFFFFF"/>
          <w:lang w:eastAsia="en-NZ"/>
        </w:rPr>
        <w:t>provided</w:t>
      </w:r>
      <w:r w:rsidR="003D640C">
        <w:rPr>
          <w:shd w:val="clear" w:color="auto" w:fill="FFFFFF"/>
          <w:lang w:eastAsia="en-NZ"/>
        </w:rPr>
        <w:t xml:space="preserve"> </w:t>
      </w:r>
      <w:r w:rsidRPr="00BB6220">
        <w:rPr>
          <w:shd w:val="clear" w:color="auto" w:fill="FFFFFF"/>
          <w:lang w:eastAsia="en-NZ"/>
        </w:rPr>
        <w:t>by</w:t>
      </w:r>
      <w:r w:rsidR="003D640C">
        <w:rPr>
          <w:shd w:val="clear" w:color="auto" w:fill="FFFFFF"/>
          <w:lang w:eastAsia="en-NZ"/>
        </w:rPr>
        <w:t xml:space="preserve"> </w:t>
      </w:r>
      <w:r w:rsidRPr="00BB6220">
        <w:rPr>
          <w:shd w:val="clear" w:color="auto" w:fill="FFFFFF"/>
          <w:lang w:eastAsia="en-NZ"/>
        </w:rPr>
        <w:t>the</w:t>
      </w:r>
      <w:r w:rsidR="003D640C">
        <w:rPr>
          <w:shd w:val="clear" w:color="auto" w:fill="FFFFFF"/>
          <w:lang w:eastAsia="en-NZ"/>
        </w:rPr>
        <w:t xml:space="preserve"> </w:t>
      </w:r>
      <w:r w:rsidRPr="00BB6220">
        <w:rPr>
          <w:shd w:val="clear" w:color="auto" w:fill="FFFFFF"/>
          <w:lang w:eastAsia="en-NZ"/>
        </w:rPr>
        <w:t>Rainbow</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00770C5E">
        <w:rPr>
          <w:shd w:val="clear" w:color="auto" w:fill="FFFFFF"/>
          <w:lang w:eastAsia="en-NZ"/>
        </w:rPr>
        <w:t>m</w:t>
      </w:r>
      <w:r w:rsidRPr="00BB6220">
        <w:rPr>
          <w:shd w:val="clear" w:color="auto" w:fill="FFFFFF"/>
          <w:lang w:eastAsia="en-NZ"/>
        </w:rPr>
        <w:t>ental</w:t>
      </w:r>
      <w:r w:rsidR="003D640C">
        <w:rPr>
          <w:shd w:val="clear" w:color="auto" w:fill="FFFFFF"/>
          <w:lang w:eastAsia="en-NZ"/>
        </w:rPr>
        <w:t xml:space="preserve"> </w:t>
      </w:r>
      <w:r w:rsidR="00770C5E">
        <w:rPr>
          <w:shd w:val="clear" w:color="auto" w:fill="FFFFFF"/>
          <w:lang w:eastAsia="en-NZ"/>
        </w:rPr>
        <w:t>h</w:t>
      </w:r>
      <w:r w:rsidRPr="00BB6220">
        <w:rPr>
          <w:shd w:val="clear" w:color="auto" w:fill="FFFFFF"/>
          <w:lang w:eastAsia="en-NZ"/>
        </w:rPr>
        <w:t>ealth</w:t>
      </w:r>
      <w:r w:rsidR="003D640C">
        <w:rPr>
          <w:shd w:val="clear" w:color="auto" w:fill="FFFFFF"/>
          <w:lang w:eastAsia="en-NZ"/>
        </w:rPr>
        <w:t xml:space="preserve"> </w:t>
      </w:r>
      <w:r w:rsidRPr="00BB6220">
        <w:rPr>
          <w:shd w:val="clear" w:color="auto" w:fill="FFFFFF"/>
          <w:lang w:eastAsia="en-NZ"/>
        </w:rPr>
        <w:t>sectors.</w:t>
      </w:r>
      <w:r w:rsidR="003D640C">
        <w:rPr>
          <w:shd w:val="clear" w:color="auto" w:fill="FFFFFF"/>
          <w:lang w:eastAsia="en-NZ"/>
        </w:rPr>
        <w:t xml:space="preserve"> </w:t>
      </w:r>
      <w:r w:rsidRPr="00BB6220">
        <w:rPr>
          <w:shd w:val="clear" w:color="auto" w:fill="FFFFFF"/>
          <w:lang w:eastAsia="en-NZ"/>
        </w:rPr>
        <w:t>Survivors</w:t>
      </w:r>
      <w:r w:rsidR="003D640C">
        <w:rPr>
          <w:shd w:val="clear" w:color="auto" w:fill="FFFFFF"/>
          <w:lang w:eastAsia="en-NZ"/>
        </w:rPr>
        <w:t xml:space="preserve"> </w:t>
      </w:r>
      <w:r w:rsidRPr="00BB6220">
        <w:rPr>
          <w:shd w:val="clear" w:color="auto" w:fill="FFFFFF"/>
          <w:lang w:eastAsia="en-NZ"/>
        </w:rPr>
        <w:t>have</w:t>
      </w:r>
      <w:r w:rsidR="003D640C">
        <w:rPr>
          <w:shd w:val="clear" w:color="auto" w:fill="FFFFFF"/>
          <w:lang w:eastAsia="en-NZ"/>
        </w:rPr>
        <w:t xml:space="preserve"> </w:t>
      </w:r>
      <w:r w:rsidRPr="00BB6220">
        <w:rPr>
          <w:shd w:val="clear" w:color="auto" w:fill="FFFFFF"/>
          <w:lang w:eastAsia="en-NZ"/>
        </w:rPr>
        <w:t>histories</w:t>
      </w:r>
      <w:r w:rsidR="003D640C">
        <w:rPr>
          <w:shd w:val="clear" w:color="auto" w:fill="FFFFFF"/>
          <w:lang w:eastAsia="en-NZ"/>
        </w:rPr>
        <w:t xml:space="preserve"> </w:t>
      </w:r>
      <w:r w:rsidRPr="00BB6220">
        <w:rPr>
          <w:shd w:val="clear" w:color="auto" w:fill="FFFFFF"/>
          <w:lang w:eastAsia="en-NZ"/>
        </w:rPr>
        <w:t>of</w:t>
      </w:r>
      <w:r w:rsidR="003D640C">
        <w:rPr>
          <w:shd w:val="clear" w:color="auto" w:fill="FFFFFF"/>
          <w:lang w:eastAsia="en-NZ"/>
        </w:rPr>
        <w:t xml:space="preserve"> </w:t>
      </w:r>
      <w:r w:rsidRPr="00BB6220">
        <w:rPr>
          <w:shd w:val="clear" w:color="auto" w:fill="FFFFFF"/>
          <w:lang w:eastAsia="en-NZ"/>
        </w:rPr>
        <w:t>being</w:t>
      </w:r>
      <w:r w:rsidR="003D640C">
        <w:rPr>
          <w:shd w:val="clear" w:color="auto" w:fill="FFFFFF"/>
          <w:lang w:eastAsia="en-NZ"/>
        </w:rPr>
        <w:t xml:space="preserve"> </w:t>
      </w:r>
      <w:r w:rsidRPr="00BB6220">
        <w:rPr>
          <w:shd w:val="clear" w:color="auto" w:fill="FFFFFF"/>
          <w:lang w:eastAsia="en-NZ"/>
        </w:rPr>
        <w:t>controlled</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suppressed</w:t>
      </w:r>
      <w:r w:rsidR="003D640C">
        <w:rPr>
          <w:shd w:val="clear" w:color="auto" w:fill="FFFFFF"/>
          <w:lang w:eastAsia="en-NZ"/>
        </w:rPr>
        <w:t xml:space="preserve"> </w:t>
      </w:r>
      <w:r w:rsidRPr="00BB6220">
        <w:rPr>
          <w:shd w:val="clear" w:color="auto" w:fill="FFFFFF"/>
          <w:lang w:eastAsia="en-NZ"/>
        </w:rPr>
        <w:t>by</w:t>
      </w:r>
      <w:r w:rsidR="003D640C">
        <w:rPr>
          <w:shd w:val="clear" w:color="auto" w:fill="FFFFFF"/>
          <w:lang w:eastAsia="en-NZ"/>
        </w:rPr>
        <w:t xml:space="preserve"> </w:t>
      </w:r>
      <w:r w:rsidRPr="00BB6220">
        <w:rPr>
          <w:shd w:val="clear" w:color="auto" w:fill="FFFFFF"/>
          <w:lang w:eastAsia="en-NZ"/>
        </w:rPr>
        <w:t>those</w:t>
      </w:r>
      <w:r w:rsidR="003D640C">
        <w:rPr>
          <w:shd w:val="clear" w:color="auto" w:fill="FFFFFF"/>
          <w:lang w:eastAsia="en-NZ"/>
        </w:rPr>
        <w:t xml:space="preserve"> </w:t>
      </w:r>
      <w:r w:rsidRPr="00BB6220">
        <w:rPr>
          <w:shd w:val="clear" w:color="auto" w:fill="FFFFFF"/>
          <w:lang w:eastAsia="en-NZ"/>
        </w:rPr>
        <w:t>around</w:t>
      </w:r>
      <w:r w:rsidR="003D640C">
        <w:rPr>
          <w:shd w:val="clear" w:color="auto" w:fill="FFFFFF"/>
          <w:lang w:eastAsia="en-NZ"/>
        </w:rPr>
        <w:t xml:space="preserve"> </w:t>
      </w:r>
      <w:r w:rsidRPr="00BB6220">
        <w:rPr>
          <w:shd w:val="clear" w:color="auto" w:fill="FFFFFF"/>
          <w:lang w:eastAsia="en-NZ"/>
        </w:rPr>
        <w:t>them</w:t>
      </w:r>
      <w:r w:rsidR="00770C5E">
        <w:rPr>
          <w:shd w:val="clear" w:color="auto" w:fill="FFFFFF"/>
          <w:lang w:eastAsia="en-NZ"/>
        </w:rPr>
        <w:t>.</w:t>
      </w:r>
      <w:r w:rsidR="003D640C">
        <w:rPr>
          <w:shd w:val="clear" w:color="auto" w:fill="FFFFFF"/>
          <w:lang w:eastAsia="en-NZ"/>
        </w:rPr>
        <w:t xml:space="preserve"> </w:t>
      </w:r>
      <w:r w:rsidR="00770C5E">
        <w:rPr>
          <w:shd w:val="clear" w:color="auto" w:fill="FFFFFF"/>
          <w:lang w:eastAsia="en-NZ"/>
        </w:rPr>
        <w:t>S</w:t>
      </w:r>
      <w:r w:rsidRPr="00BB6220">
        <w:rPr>
          <w:shd w:val="clear" w:color="auto" w:fill="FFFFFF"/>
          <w:lang w:eastAsia="en-NZ"/>
        </w:rPr>
        <w:t>ervices</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support</w:t>
      </w:r>
      <w:r w:rsidR="003D640C">
        <w:rPr>
          <w:shd w:val="clear" w:color="auto" w:fill="FFFFFF"/>
          <w:lang w:eastAsia="en-NZ"/>
        </w:rPr>
        <w:t xml:space="preserve"> </w:t>
      </w:r>
      <w:r w:rsidRPr="00BB6220">
        <w:rPr>
          <w:shd w:val="clear" w:color="auto" w:fill="FFFFFF"/>
          <w:lang w:eastAsia="en-NZ"/>
        </w:rPr>
        <w:t>will</w:t>
      </w:r>
      <w:r w:rsidR="003D640C">
        <w:rPr>
          <w:shd w:val="clear" w:color="auto" w:fill="FFFFFF"/>
          <w:lang w:eastAsia="en-NZ"/>
        </w:rPr>
        <w:t xml:space="preserve"> </w:t>
      </w:r>
      <w:r w:rsidRPr="00BB6220">
        <w:rPr>
          <w:shd w:val="clear" w:color="auto" w:fill="FFFFFF"/>
          <w:lang w:eastAsia="en-NZ"/>
        </w:rPr>
        <w:t>avoid</w:t>
      </w:r>
      <w:r w:rsidR="003D640C">
        <w:rPr>
          <w:shd w:val="clear" w:color="auto" w:fill="FFFFFF"/>
          <w:lang w:eastAsia="en-NZ"/>
        </w:rPr>
        <w:t xml:space="preserve"> </w:t>
      </w:r>
      <w:r w:rsidRPr="00BB6220">
        <w:rPr>
          <w:shd w:val="clear" w:color="auto" w:fill="FFFFFF"/>
          <w:lang w:eastAsia="en-NZ"/>
        </w:rPr>
        <w:t>anything</w:t>
      </w:r>
      <w:r w:rsidR="003D640C">
        <w:rPr>
          <w:shd w:val="clear" w:color="auto" w:fill="FFFFFF"/>
          <w:lang w:eastAsia="en-NZ"/>
        </w:rPr>
        <w:t xml:space="preserve"> </w:t>
      </w:r>
      <w:r w:rsidRPr="00BB6220">
        <w:rPr>
          <w:shd w:val="clear" w:color="auto" w:fill="FFFFFF"/>
          <w:lang w:eastAsia="en-NZ"/>
        </w:rPr>
        <w:t>that</w:t>
      </w:r>
      <w:r w:rsidR="003D640C">
        <w:rPr>
          <w:shd w:val="clear" w:color="auto" w:fill="FFFFFF"/>
          <w:lang w:eastAsia="en-NZ"/>
        </w:rPr>
        <w:t xml:space="preserve"> </w:t>
      </w:r>
      <w:r w:rsidRPr="00BB6220">
        <w:rPr>
          <w:shd w:val="clear" w:color="auto" w:fill="FFFFFF"/>
          <w:lang w:eastAsia="en-NZ"/>
        </w:rPr>
        <w:t>could</w:t>
      </w:r>
      <w:r w:rsidR="003D640C">
        <w:rPr>
          <w:shd w:val="clear" w:color="auto" w:fill="FFFFFF"/>
          <w:lang w:eastAsia="en-NZ"/>
        </w:rPr>
        <w:t xml:space="preserve"> </w:t>
      </w:r>
      <w:r w:rsidRPr="00BB6220">
        <w:rPr>
          <w:shd w:val="clear" w:color="auto" w:fill="FFFFFF"/>
          <w:lang w:eastAsia="en-NZ"/>
        </w:rPr>
        <w:t>be</w:t>
      </w:r>
      <w:r w:rsidR="003D640C">
        <w:rPr>
          <w:shd w:val="clear" w:color="auto" w:fill="FFFFFF"/>
          <w:lang w:eastAsia="en-NZ"/>
        </w:rPr>
        <w:t xml:space="preserve"> </w:t>
      </w:r>
      <w:r w:rsidRPr="00BB6220">
        <w:rPr>
          <w:shd w:val="clear" w:color="auto" w:fill="FFFFFF"/>
          <w:lang w:eastAsia="en-NZ"/>
        </w:rPr>
        <w:t>reminiscent</w:t>
      </w:r>
      <w:r w:rsidR="003D640C">
        <w:rPr>
          <w:shd w:val="clear" w:color="auto" w:fill="FFFFFF"/>
          <w:lang w:eastAsia="en-NZ"/>
        </w:rPr>
        <w:t xml:space="preserve"> </w:t>
      </w:r>
      <w:r w:rsidRPr="00BB6220">
        <w:rPr>
          <w:shd w:val="clear" w:color="auto" w:fill="FFFFFF"/>
          <w:lang w:eastAsia="en-NZ"/>
        </w:rPr>
        <w:t>of</w:t>
      </w:r>
      <w:r w:rsidR="003D640C">
        <w:rPr>
          <w:shd w:val="clear" w:color="auto" w:fill="FFFFFF"/>
          <w:lang w:eastAsia="en-NZ"/>
        </w:rPr>
        <w:t xml:space="preserve"> </w:t>
      </w:r>
      <w:r w:rsidRPr="00BB6220">
        <w:rPr>
          <w:shd w:val="clear" w:color="auto" w:fill="FFFFFF"/>
          <w:lang w:eastAsia="en-NZ"/>
        </w:rPr>
        <w:t>control</w:t>
      </w:r>
      <w:r w:rsidR="003D640C">
        <w:rPr>
          <w:shd w:val="clear" w:color="auto" w:fill="FFFFFF"/>
          <w:lang w:eastAsia="en-NZ"/>
        </w:rPr>
        <w:t xml:space="preserve"> </w:t>
      </w:r>
      <w:r w:rsidRPr="00BB6220">
        <w:rPr>
          <w:shd w:val="clear" w:color="auto" w:fill="FFFFFF"/>
          <w:lang w:eastAsia="en-NZ"/>
        </w:rPr>
        <w:t>or</w:t>
      </w:r>
      <w:r w:rsidR="003D640C">
        <w:rPr>
          <w:shd w:val="clear" w:color="auto" w:fill="FFFFFF"/>
          <w:lang w:eastAsia="en-NZ"/>
        </w:rPr>
        <w:t xml:space="preserve"> </w:t>
      </w:r>
      <w:r w:rsidRPr="00BB6220">
        <w:rPr>
          <w:shd w:val="clear" w:color="auto" w:fill="FFFFFF"/>
          <w:lang w:eastAsia="en-NZ"/>
        </w:rPr>
        <w:t>the</w:t>
      </w:r>
      <w:r w:rsidR="003D640C">
        <w:rPr>
          <w:shd w:val="clear" w:color="auto" w:fill="FFFFFF"/>
          <w:lang w:eastAsia="en-NZ"/>
        </w:rPr>
        <w:t xml:space="preserve"> </w:t>
      </w:r>
      <w:r w:rsidRPr="00BB6220">
        <w:rPr>
          <w:shd w:val="clear" w:color="auto" w:fill="FFFFFF"/>
          <w:lang w:eastAsia="en-NZ"/>
        </w:rPr>
        <w:t>misuse</w:t>
      </w:r>
      <w:r w:rsidR="003D640C">
        <w:rPr>
          <w:shd w:val="clear" w:color="auto" w:fill="FFFFFF"/>
          <w:lang w:eastAsia="en-NZ"/>
        </w:rPr>
        <w:t xml:space="preserve"> </w:t>
      </w:r>
      <w:r w:rsidRPr="00BB6220">
        <w:rPr>
          <w:shd w:val="clear" w:color="auto" w:fill="FFFFFF"/>
          <w:lang w:eastAsia="en-NZ"/>
        </w:rPr>
        <w:t>of</w:t>
      </w:r>
      <w:r w:rsidR="003D640C">
        <w:rPr>
          <w:shd w:val="clear" w:color="auto" w:fill="FFFFFF"/>
          <w:lang w:eastAsia="en-NZ"/>
        </w:rPr>
        <w:t xml:space="preserve"> </w:t>
      </w:r>
      <w:r w:rsidRPr="00BB6220">
        <w:rPr>
          <w:shd w:val="clear" w:color="auto" w:fill="FFFFFF"/>
          <w:lang w:eastAsia="en-NZ"/>
        </w:rPr>
        <w:t>authority</w:t>
      </w:r>
      <w:r w:rsidR="001A4A9B">
        <w:rPr>
          <w:shd w:val="clear" w:color="auto" w:fill="FFFFFF"/>
          <w:lang w:eastAsia="en-NZ"/>
        </w:rPr>
        <w:t>.</w:t>
      </w:r>
    </w:p>
    <w:p w14:paraId="0AC1C24D" w14:textId="77777777" w:rsidR="00501068" w:rsidRDefault="00BB3F27" w:rsidP="006A3F34">
      <w:pPr>
        <w:pStyle w:val="Bullet"/>
        <w:rPr>
          <w:b/>
          <w:shd w:val="clear" w:color="auto" w:fill="FFFFFF"/>
          <w:lang w:eastAsia="en-NZ"/>
        </w:rPr>
      </w:pPr>
      <w:r w:rsidRPr="00BB6220">
        <w:rPr>
          <w:b/>
          <w:shd w:val="clear" w:color="auto" w:fill="FFFFFF"/>
          <w:lang w:eastAsia="en-NZ"/>
        </w:rPr>
        <w:t>Hope</w:t>
      </w:r>
      <w:r w:rsidR="003D640C">
        <w:rPr>
          <w:b/>
          <w:bCs/>
          <w:shd w:val="clear" w:color="auto" w:fill="FFFFFF"/>
          <w:lang w:eastAsia="en-NZ"/>
        </w:rPr>
        <w:t xml:space="preserve"> </w:t>
      </w:r>
      <w:r w:rsidRPr="00BB6220">
        <w:rPr>
          <w:b/>
          <w:bCs/>
          <w:shd w:val="clear" w:color="auto" w:fill="FFFFFF"/>
          <w:lang w:eastAsia="en-NZ"/>
        </w:rPr>
        <w:t>(</w:t>
      </w:r>
      <w:r>
        <w:rPr>
          <w:b/>
          <w:bCs/>
          <w:shd w:val="clear" w:color="auto" w:fill="FFFFFF"/>
          <w:lang w:eastAsia="en-NZ"/>
        </w:rPr>
        <w:t>a</w:t>
      </w:r>
      <w:r w:rsidR="003D640C">
        <w:rPr>
          <w:b/>
          <w:bCs/>
          <w:shd w:val="clear" w:color="auto" w:fill="FFFFFF"/>
          <w:lang w:eastAsia="en-NZ"/>
        </w:rPr>
        <w:t xml:space="preserve"> </w:t>
      </w:r>
      <w:r>
        <w:rPr>
          <w:b/>
          <w:bCs/>
          <w:shd w:val="clear" w:color="auto" w:fill="FFFFFF"/>
          <w:lang w:eastAsia="en-NZ"/>
        </w:rPr>
        <w:t>desire</w:t>
      </w:r>
      <w:r w:rsidR="003D640C">
        <w:rPr>
          <w:b/>
          <w:bCs/>
          <w:shd w:val="clear" w:color="auto" w:fill="FFFFFF"/>
          <w:lang w:eastAsia="en-NZ"/>
        </w:rPr>
        <w:t xml:space="preserve"> </w:t>
      </w:r>
      <w:r>
        <w:rPr>
          <w:b/>
          <w:bCs/>
          <w:shd w:val="clear" w:color="auto" w:fill="FFFFFF"/>
          <w:lang w:eastAsia="en-NZ"/>
        </w:rPr>
        <w:t>for</w:t>
      </w:r>
      <w:r w:rsidR="003D640C">
        <w:rPr>
          <w:b/>
          <w:bCs/>
          <w:shd w:val="clear" w:color="auto" w:fill="FFFFFF"/>
          <w:lang w:eastAsia="en-NZ"/>
        </w:rPr>
        <w:t xml:space="preserve"> </w:t>
      </w:r>
      <w:r>
        <w:rPr>
          <w:b/>
          <w:bCs/>
          <w:shd w:val="clear" w:color="auto" w:fill="FFFFFF"/>
          <w:lang w:eastAsia="en-NZ"/>
        </w:rPr>
        <w:t>something</w:t>
      </w:r>
      <w:r w:rsidR="003D640C">
        <w:rPr>
          <w:b/>
          <w:bCs/>
          <w:shd w:val="clear" w:color="auto" w:fill="FFFFFF"/>
          <w:lang w:eastAsia="en-NZ"/>
        </w:rPr>
        <w:t xml:space="preserve"> </w:t>
      </w:r>
      <w:r>
        <w:rPr>
          <w:b/>
          <w:bCs/>
          <w:shd w:val="clear" w:color="auto" w:fill="FFFFFF"/>
          <w:lang w:eastAsia="en-NZ"/>
        </w:rPr>
        <w:t>better</w:t>
      </w:r>
      <w:r w:rsidR="003D640C">
        <w:rPr>
          <w:b/>
          <w:bCs/>
          <w:shd w:val="clear" w:color="auto" w:fill="FFFFFF"/>
          <w:lang w:eastAsia="en-NZ"/>
        </w:rPr>
        <w:t xml:space="preserve"> </w:t>
      </w:r>
      <w:r>
        <w:rPr>
          <w:b/>
          <w:bCs/>
          <w:shd w:val="clear" w:color="auto" w:fill="FFFFFF"/>
          <w:lang w:eastAsia="en-NZ"/>
        </w:rPr>
        <w:t>to</w:t>
      </w:r>
      <w:r w:rsidR="003D640C">
        <w:rPr>
          <w:b/>
          <w:bCs/>
          <w:shd w:val="clear" w:color="auto" w:fill="FFFFFF"/>
          <w:lang w:eastAsia="en-NZ"/>
        </w:rPr>
        <w:t xml:space="preserve"> </w:t>
      </w:r>
      <w:r>
        <w:rPr>
          <w:b/>
          <w:bCs/>
          <w:shd w:val="clear" w:color="auto" w:fill="FFFFFF"/>
          <w:lang w:eastAsia="en-NZ"/>
        </w:rPr>
        <w:t>happen</w:t>
      </w:r>
      <w:r w:rsidR="003D640C">
        <w:rPr>
          <w:b/>
          <w:bCs/>
          <w:shd w:val="clear" w:color="auto" w:fill="FFFFFF"/>
          <w:lang w:eastAsia="en-NZ"/>
        </w:rPr>
        <w:t xml:space="preserve"> </w:t>
      </w:r>
      <w:r>
        <w:rPr>
          <w:b/>
          <w:bCs/>
          <w:shd w:val="clear" w:color="auto" w:fill="FFFFFF"/>
          <w:lang w:eastAsia="en-NZ"/>
        </w:rPr>
        <w:t>and</w:t>
      </w:r>
      <w:r w:rsidR="003D640C">
        <w:rPr>
          <w:b/>
          <w:bCs/>
          <w:shd w:val="clear" w:color="auto" w:fill="FFFFFF"/>
          <w:lang w:eastAsia="en-NZ"/>
        </w:rPr>
        <w:t xml:space="preserve"> </w:t>
      </w:r>
      <w:r>
        <w:rPr>
          <w:b/>
          <w:bCs/>
          <w:shd w:val="clear" w:color="auto" w:fill="FFFFFF"/>
          <w:lang w:eastAsia="en-NZ"/>
        </w:rPr>
        <w:t>a</w:t>
      </w:r>
      <w:r w:rsidR="003D640C">
        <w:rPr>
          <w:b/>
          <w:bCs/>
          <w:shd w:val="clear" w:color="auto" w:fill="FFFFFF"/>
          <w:lang w:eastAsia="en-NZ"/>
        </w:rPr>
        <w:t xml:space="preserve"> </w:t>
      </w:r>
      <w:r>
        <w:rPr>
          <w:b/>
          <w:bCs/>
          <w:shd w:val="clear" w:color="auto" w:fill="FFFFFF"/>
          <w:lang w:eastAsia="en-NZ"/>
        </w:rPr>
        <w:t>belief</w:t>
      </w:r>
      <w:r w:rsidR="003D640C">
        <w:rPr>
          <w:b/>
          <w:bCs/>
          <w:shd w:val="clear" w:color="auto" w:fill="FFFFFF"/>
          <w:lang w:eastAsia="en-NZ"/>
        </w:rPr>
        <w:t xml:space="preserve"> </w:t>
      </w:r>
      <w:r>
        <w:rPr>
          <w:b/>
          <w:bCs/>
          <w:shd w:val="clear" w:color="auto" w:fill="FFFFFF"/>
          <w:lang w:eastAsia="en-NZ"/>
        </w:rPr>
        <w:t>that</w:t>
      </w:r>
      <w:r w:rsidR="003D640C">
        <w:rPr>
          <w:b/>
          <w:bCs/>
          <w:shd w:val="clear" w:color="auto" w:fill="FFFFFF"/>
          <w:lang w:eastAsia="en-NZ"/>
        </w:rPr>
        <w:t xml:space="preserve"> </w:t>
      </w:r>
      <w:r>
        <w:rPr>
          <w:b/>
          <w:bCs/>
          <w:shd w:val="clear" w:color="auto" w:fill="FFFFFF"/>
          <w:lang w:eastAsia="en-NZ"/>
        </w:rPr>
        <w:t>it</w:t>
      </w:r>
      <w:r w:rsidR="003D640C">
        <w:rPr>
          <w:b/>
          <w:bCs/>
          <w:shd w:val="clear" w:color="auto" w:fill="FFFFFF"/>
          <w:lang w:eastAsia="en-NZ"/>
        </w:rPr>
        <w:t xml:space="preserve"> </w:t>
      </w:r>
      <w:r>
        <w:rPr>
          <w:b/>
          <w:bCs/>
          <w:shd w:val="clear" w:color="auto" w:fill="FFFFFF"/>
          <w:lang w:eastAsia="en-NZ"/>
        </w:rPr>
        <w:t>is</w:t>
      </w:r>
      <w:r w:rsidR="003D640C">
        <w:rPr>
          <w:b/>
          <w:bCs/>
          <w:shd w:val="clear" w:color="auto" w:fill="FFFFFF"/>
          <w:lang w:eastAsia="en-NZ"/>
        </w:rPr>
        <w:t xml:space="preserve"> </w:t>
      </w:r>
      <w:r>
        <w:rPr>
          <w:b/>
          <w:bCs/>
          <w:shd w:val="clear" w:color="auto" w:fill="FFFFFF"/>
          <w:lang w:eastAsia="en-NZ"/>
        </w:rPr>
        <w:t>possible)</w:t>
      </w:r>
      <w:r w:rsidRPr="00BB6220">
        <w:rPr>
          <w:b/>
          <w:bCs/>
          <w:shd w:val="clear" w:color="auto" w:fill="FFFFFF"/>
          <w:lang w:eastAsia="en-NZ"/>
        </w:rPr>
        <w:t>:</w:t>
      </w:r>
      <w:r w:rsidR="003D640C">
        <w:rPr>
          <w:b/>
          <w:shd w:val="clear" w:color="auto" w:fill="FFFFFF"/>
          <w:lang w:eastAsia="en-NZ"/>
        </w:rPr>
        <w:t xml:space="preserve"> </w:t>
      </w:r>
      <w:r w:rsidRPr="00BB6220">
        <w:rPr>
          <w:bCs/>
          <w:shd w:val="clear" w:color="auto" w:fill="FFFFFF"/>
          <w:lang w:eastAsia="en-NZ"/>
        </w:rPr>
        <w:t>Survivors</w:t>
      </w:r>
      <w:r w:rsidR="003D640C">
        <w:rPr>
          <w:bCs/>
          <w:shd w:val="clear" w:color="auto" w:fill="FFFFFF"/>
          <w:lang w:eastAsia="en-NZ"/>
        </w:rPr>
        <w:t xml:space="preserve"> </w:t>
      </w:r>
      <w:r w:rsidRPr="00BB6220">
        <w:rPr>
          <w:bCs/>
          <w:shd w:val="clear" w:color="auto" w:fill="FFFFFF"/>
          <w:lang w:eastAsia="en-NZ"/>
        </w:rPr>
        <w:t>f</w:t>
      </w:r>
      <w:r w:rsidRPr="00BB6220">
        <w:rPr>
          <w:shd w:val="clear" w:color="auto" w:fill="FFFFFF"/>
          <w:lang w:eastAsia="en-NZ"/>
        </w:rPr>
        <w:t>ace</w:t>
      </w:r>
      <w:r w:rsidR="003D640C">
        <w:rPr>
          <w:shd w:val="clear" w:color="auto" w:fill="FFFFFF"/>
          <w:lang w:eastAsia="en-NZ"/>
        </w:rPr>
        <w:t xml:space="preserve"> </w:t>
      </w:r>
      <w:r w:rsidRPr="00BB6220">
        <w:rPr>
          <w:shd w:val="clear" w:color="auto" w:fill="FFFFFF"/>
          <w:lang w:eastAsia="en-NZ"/>
        </w:rPr>
        <w:t>many</w:t>
      </w:r>
      <w:r w:rsidR="003D640C">
        <w:rPr>
          <w:shd w:val="clear" w:color="auto" w:fill="FFFFFF"/>
          <w:lang w:eastAsia="en-NZ"/>
        </w:rPr>
        <w:t xml:space="preserve"> </w:t>
      </w:r>
      <w:r w:rsidRPr="00BB6220">
        <w:rPr>
          <w:shd w:val="clear" w:color="auto" w:fill="FFFFFF"/>
          <w:lang w:eastAsia="en-NZ"/>
        </w:rPr>
        <w:t>challenges</w:t>
      </w:r>
      <w:r w:rsidR="003D640C">
        <w:rPr>
          <w:shd w:val="clear" w:color="auto" w:fill="FFFFFF"/>
          <w:lang w:eastAsia="en-NZ"/>
        </w:rPr>
        <w:t xml:space="preserve"> </w:t>
      </w:r>
      <w:r w:rsidRPr="00BB6220">
        <w:rPr>
          <w:shd w:val="clear" w:color="auto" w:fill="FFFFFF"/>
          <w:lang w:eastAsia="en-NZ"/>
        </w:rPr>
        <w:t>as</w:t>
      </w:r>
      <w:r w:rsidR="003D640C">
        <w:rPr>
          <w:shd w:val="clear" w:color="auto" w:fill="FFFFFF"/>
          <w:lang w:eastAsia="en-NZ"/>
        </w:rPr>
        <w:t xml:space="preserve"> </w:t>
      </w:r>
      <w:r w:rsidRPr="00BB6220">
        <w:rPr>
          <w:shd w:val="clear" w:color="auto" w:fill="FFFFFF"/>
          <w:lang w:eastAsia="en-NZ"/>
        </w:rPr>
        <w:t>they</w:t>
      </w:r>
      <w:r w:rsidR="003D640C">
        <w:rPr>
          <w:shd w:val="clear" w:color="auto" w:fill="FFFFFF"/>
          <w:lang w:eastAsia="en-NZ"/>
        </w:rPr>
        <w:t xml:space="preserve"> </w:t>
      </w:r>
      <w:r w:rsidRPr="00BB6220">
        <w:rPr>
          <w:shd w:val="clear" w:color="auto" w:fill="FFFFFF"/>
          <w:lang w:eastAsia="en-NZ"/>
        </w:rPr>
        <w:t>leave</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try</w:t>
      </w:r>
      <w:r w:rsidR="003D640C">
        <w:rPr>
          <w:shd w:val="clear" w:color="auto" w:fill="FFFFFF"/>
          <w:lang w:eastAsia="en-NZ"/>
        </w:rPr>
        <w:t xml:space="preserve"> </w:t>
      </w:r>
      <w:r w:rsidRPr="00BB6220">
        <w:rPr>
          <w:shd w:val="clear" w:color="auto" w:fill="FFFFFF"/>
          <w:lang w:eastAsia="en-NZ"/>
        </w:rPr>
        <w:t>to</w:t>
      </w:r>
      <w:r w:rsidR="003D640C">
        <w:rPr>
          <w:shd w:val="clear" w:color="auto" w:fill="FFFFFF"/>
          <w:lang w:eastAsia="en-NZ"/>
        </w:rPr>
        <w:t xml:space="preserve"> </w:t>
      </w:r>
      <w:r w:rsidRPr="00BB6220">
        <w:rPr>
          <w:shd w:val="clear" w:color="auto" w:fill="FFFFFF"/>
          <w:lang w:eastAsia="en-NZ"/>
        </w:rPr>
        <w:t>recover</w:t>
      </w:r>
      <w:r w:rsidR="003D640C">
        <w:rPr>
          <w:shd w:val="clear" w:color="auto" w:fill="FFFFFF"/>
          <w:lang w:eastAsia="en-NZ"/>
        </w:rPr>
        <w:t xml:space="preserve"> </w:t>
      </w:r>
      <w:r w:rsidRPr="00BB6220">
        <w:rPr>
          <w:shd w:val="clear" w:color="auto" w:fill="FFFFFF"/>
          <w:lang w:eastAsia="en-NZ"/>
        </w:rPr>
        <w:t>from</w:t>
      </w:r>
      <w:r w:rsidR="003D640C">
        <w:rPr>
          <w:shd w:val="clear" w:color="auto" w:fill="FFFFFF"/>
          <w:lang w:eastAsia="en-NZ"/>
        </w:rPr>
        <w:t xml:space="preserve"> </w:t>
      </w:r>
      <w:r w:rsidRPr="00BB6220">
        <w:rPr>
          <w:shd w:val="clear" w:color="auto" w:fill="FFFFFF"/>
          <w:lang w:eastAsia="en-NZ"/>
        </w:rPr>
        <w:t>conversion</w:t>
      </w:r>
      <w:r w:rsidR="003D640C">
        <w:rPr>
          <w:shd w:val="clear" w:color="auto" w:fill="FFFFFF"/>
          <w:lang w:eastAsia="en-NZ"/>
        </w:rPr>
        <w:t xml:space="preserve"> </w:t>
      </w:r>
      <w:r w:rsidRPr="00BB6220">
        <w:rPr>
          <w:shd w:val="clear" w:color="auto" w:fill="FFFFFF"/>
          <w:lang w:eastAsia="en-NZ"/>
        </w:rPr>
        <w:t>practices.</w:t>
      </w:r>
      <w:r w:rsidR="003D640C">
        <w:rPr>
          <w:shd w:val="clear" w:color="auto" w:fill="FFFFFF"/>
          <w:lang w:eastAsia="en-NZ"/>
        </w:rPr>
        <w:t xml:space="preserve"> </w:t>
      </w:r>
      <w:r w:rsidRPr="00BB6220">
        <w:rPr>
          <w:shd w:val="clear" w:color="auto" w:fill="FFFFFF"/>
          <w:lang w:eastAsia="en-NZ"/>
        </w:rPr>
        <w:t>A</w:t>
      </w:r>
      <w:r w:rsidR="003D640C">
        <w:rPr>
          <w:shd w:val="clear" w:color="auto" w:fill="FFFFFF"/>
          <w:lang w:eastAsia="en-NZ"/>
        </w:rPr>
        <w:t xml:space="preserve"> </w:t>
      </w:r>
      <w:r w:rsidRPr="00BB6220">
        <w:rPr>
          <w:shd w:val="clear" w:color="auto" w:fill="FFFFFF"/>
          <w:lang w:eastAsia="en-NZ"/>
        </w:rPr>
        <w:t>key</w:t>
      </w:r>
      <w:r w:rsidR="003D640C">
        <w:rPr>
          <w:shd w:val="clear" w:color="auto" w:fill="FFFFFF"/>
          <w:lang w:eastAsia="en-NZ"/>
        </w:rPr>
        <w:t xml:space="preserve"> </w:t>
      </w:r>
      <w:r w:rsidRPr="00BB6220">
        <w:rPr>
          <w:shd w:val="clear" w:color="auto" w:fill="FFFFFF"/>
          <w:lang w:eastAsia="en-NZ"/>
        </w:rPr>
        <w:t>aim</w:t>
      </w:r>
      <w:r w:rsidR="003D640C">
        <w:rPr>
          <w:shd w:val="clear" w:color="auto" w:fill="FFFFFF"/>
          <w:lang w:eastAsia="en-NZ"/>
        </w:rPr>
        <w:t xml:space="preserve"> </w:t>
      </w:r>
      <w:r w:rsidRPr="00BB6220">
        <w:rPr>
          <w:shd w:val="clear" w:color="auto" w:fill="FFFFFF"/>
          <w:lang w:eastAsia="en-NZ"/>
        </w:rPr>
        <w:t>is</w:t>
      </w:r>
      <w:r w:rsidR="003D640C">
        <w:rPr>
          <w:shd w:val="clear" w:color="auto" w:fill="FFFFFF"/>
          <w:lang w:eastAsia="en-NZ"/>
        </w:rPr>
        <w:t xml:space="preserve"> </w:t>
      </w:r>
      <w:r w:rsidRPr="00BB6220">
        <w:rPr>
          <w:shd w:val="clear" w:color="auto" w:fill="FFFFFF"/>
          <w:lang w:eastAsia="en-NZ"/>
        </w:rPr>
        <w:t>that</w:t>
      </w:r>
      <w:r w:rsidR="003D640C">
        <w:rPr>
          <w:shd w:val="clear" w:color="auto" w:fill="FFFFFF"/>
          <w:lang w:eastAsia="en-NZ"/>
        </w:rPr>
        <w:t xml:space="preserve"> </w:t>
      </w:r>
      <w:r w:rsidRPr="00BB6220">
        <w:rPr>
          <w:shd w:val="clear" w:color="auto" w:fill="FFFFFF"/>
          <w:lang w:eastAsia="en-NZ"/>
        </w:rPr>
        <w:t>survivors</w:t>
      </w:r>
      <w:r w:rsidR="003D640C">
        <w:rPr>
          <w:shd w:val="clear" w:color="auto" w:fill="FFFFFF"/>
          <w:lang w:eastAsia="en-NZ"/>
        </w:rPr>
        <w:t xml:space="preserve"> </w:t>
      </w:r>
      <w:r w:rsidRPr="00BB6220">
        <w:rPr>
          <w:shd w:val="clear" w:color="auto" w:fill="FFFFFF"/>
          <w:lang w:eastAsia="en-NZ"/>
        </w:rPr>
        <w:t>develop</w:t>
      </w:r>
      <w:r w:rsidR="003D640C">
        <w:rPr>
          <w:shd w:val="clear" w:color="auto" w:fill="FFFFFF"/>
          <w:lang w:eastAsia="en-NZ"/>
        </w:rPr>
        <w:t xml:space="preserve"> </w:t>
      </w:r>
      <w:r w:rsidRPr="00BB6220">
        <w:rPr>
          <w:shd w:val="clear" w:color="auto" w:fill="FFFFFF"/>
          <w:lang w:eastAsia="en-NZ"/>
        </w:rPr>
        <w:t>hope</w:t>
      </w:r>
      <w:r w:rsidR="003D640C">
        <w:rPr>
          <w:shd w:val="clear" w:color="auto" w:fill="FFFFFF"/>
          <w:lang w:eastAsia="en-NZ"/>
        </w:rPr>
        <w:t xml:space="preserve"> </w:t>
      </w:r>
      <w:r w:rsidRPr="00BB6220">
        <w:rPr>
          <w:shd w:val="clear" w:color="auto" w:fill="FFFFFF"/>
          <w:lang w:eastAsia="en-NZ"/>
        </w:rPr>
        <w:t>for</w:t>
      </w:r>
      <w:r w:rsidR="003D640C">
        <w:rPr>
          <w:shd w:val="clear" w:color="auto" w:fill="FFFFFF"/>
          <w:lang w:eastAsia="en-NZ"/>
        </w:rPr>
        <w:t xml:space="preserve"> </w:t>
      </w:r>
      <w:r w:rsidRPr="00BB6220">
        <w:rPr>
          <w:shd w:val="clear" w:color="auto" w:fill="FFFFFF"/>
          <w:lang w:eastAsia="en-NZ"/>
        </w:rPr>
        <w:t>the</w:t>
      </w:r>
      <w:r w:rsidR="003D640C">
        <w:rPr>
          <w:shd w:val="clear" w:color="auto" w:fill="FFFFFF"/>
          <w:lang w:eastAsia="en-NZ"/>
        </w:rPr>
        <w:t xml:space="preserve"> </w:t>
      </w:r>
      <w:r w:rsidRPr="00BB6220">
        <w:rPr>
          <w:shd w:val="clear" w:color="auto" w:fill="FFFFFF"/>
          <w:lang w:eastAsia="en-NZ"/>
        </w:rPr>
        <w:t>future.</w:t>
      </w:r>
      <w:r w:rsidR="003D640C">
        <w:rPr>
          <w:shd w:val="clear" w:color="auto" w:fill="FFFFFF"/>
          <w:lang w:eastAsia="en-NZ"/>
        </w:rPr>
        <w:t xml:space="preserve"> </w:t>
      </w:r>
      <w:r w:rsidRPr="00BB6220">
        <w:rPr>
          <w:shd w:val="clear" w:color="auto" w:fill="FFFFFF"/>
          <w:lang w:eastAsia="en-NZ"/>
        </w:rPr>
        <w:t>The</w:t>
      </w:r>
      <w:r w:rsidR="003D640C">
        <w:rPr>
          <w:shd w:val="clear" w:color="auto" w:fill="FFFFFF"/>
          <w:lang w:eastAsia="en-NZ"/>
        </w:rPr>
        <w:t xml:space="preserve"> </w:t>
      </w:r>
      <w:r w:rsidRPr="00BB6220">
        <w:rPr>
          <w:shd w:val="clear" w:color="auto" w:fill="FFFFFF"/>
          <w:lang w:eastAsia="en-NZ"/>
        </w:rPr>
        <w:t>Commission</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other</w:t>
      </w:r>
      <w:r w:rsidR="003D640C">
        <w:rPr>
          <w:shd w:val="clear" w:color="auto" w:fill="FFFFFF"/>
          <w:lang w:eastAsia="en-NZ"/>
        </w:rPr>
        <w:t xml:space="preserve"> </w:t>
      </w:r>
      <w:r w:rsidRPr="00BB6220">
        <w:rPr>
          <w:shd w:val="clear" w:color="auto" w:fill="FFFFFF"/>
          <w:lang w:eastAsia="en-NZ"/>
        </w:rPr>
        <w:t>agencies</w:t>
      </w:r>
      <w:r w:rsidR="003D640C">
        <w:rPr>
          <w:shd w:val="clear" w:color="auto" w:fill="FFFFFF"/>
          <w:lang w:eastAsia="en-NZ"/>
        </w:rPr>
        <w:t xml:space="preserve"> </w:t>
      </w:r>
      <w:r w:rsidRPr="00BB6220">
        <w:rPr>
          <w:shd w:val="clear" w:color="auto" w:fill="FFFFFF"/>
          <w:lang w:eastAsia="en-NZ"/>
        </w:rPr>
        <w:t>will</w:t>
      </w:r>
      <w:r w:rsidR="003D640C">
        <w:rPr>
          <w:shd w:val="clear" w:color="auto" w:fill="FFFFFF"/>
          <w:lang w:eastAsia="en-NZ"/>
        </w:rPr>
        <w:t xml:space="preserve"> </w:t>
      </w:r>
      <w:r w:rsidRPr="00BB6220">
        <w:rPr>
          <w:shd w:val="clear" w:color="auto" w:fill="FFFFFF"/>
          <w:lang w:eastAsia="en-NZ"/>
        </w:rPr>
        <w:t>use</w:t>
      </w:r>
      <w:r w:rsidR="003D640C">
        <w:rPr>
          <w:shd w:val="clear" w:color="auto" w:fill="FFFFFF"/>
          <w:lang w:eastAsia="en-NZ"/>
        </w:rPr>
        <w:t xml:space="preserve"> </w:t>
      </w:r>
      <w:r w:rsidRPr="00BB6220">
        <w:rPr>
          <w:shd w:val="clear" w:color="auto" w:fill="FFFFFF"/>
          <w:lang w:eastAsia="en-NZ"/>
        </w:rPr>
        <w:t>strengths-based</w:t>
      </w:r>
      <w:r w:rsidR="003D640C">
        <w:rPr>
          <w:shd w:val="clear" w:color="auto" w:fill="FFFFFF"/>
          <w:lang w:eastAsia="en-NZ"/>
        </w:rPr>
        <w:t xml:space="preserve"> </w:t>
      </w:r>
      <w:r w:rsidRPr="00BB6220">
        <w:rPr>
          <w:shd w:val="clear" w:color="auto" w:fill="FFFFFF"/>
          <w:lang w:eastAsia="en-NZ"/>
        </w:rPr>
        <w:t>language</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framing</w:t>
      </w:r>
      <w:r w:rsidR="003D640C">
        <w:rPr>
          <w:shd w:val="clear" w:color="auto" w:fill="FFFFFF"/>
          <w:lang w:eastAsia="en-NZ"/>
        </w:rPr>
        <w:t xml:space="preserve"> </w:t>
      </w:r>
      <w:r w:rsidRPr="00BB6220">
        <w:rPr>
          <w:shd w:val="clear" w:color="auto" w:fill="FFFFFF"/>
          <w:lang w:eastAsia="en-NZ"/>
        </w:rPr>
        <w:t>both</w:t>
      </w:r>
      <w:r w:rsidR="003D640C">
        <w:rPr>
          <w:shd w:val="clear" w:color="auto" w:fill="FFFFFF"/>
          <w:lang w:eastAsia="en-NZ"/>
        </w:rPr>
        <w:t xml:space="preserve"> </w:t>
      </w:r>
      <w:r w:rsidRPr="00BB6220">
        <w:rPr>
          <w:shd w:val="clear" w:color="auto" w:fill="FFFFFF"/>
          <w:lang w:eastAsia="en-NZ"/>
        </w:rPr>
        <w:t>with</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about</w:t>
      </w:r>
      <w:r w:rsidR="003D640C">
        <w:rPr>
          <w:shd w:val="clear" w:color="auto" w:fill="FFFFFF"/>
          <w:lang w:eastAsia="en-NZ"/>
        </w:rPr>
        <w:t xml:space="preserve"> </w:t>
      </w:r>
      <w:r w:rsidRPr="00BB6220">
        <w:rPr>
          <w:shd w:val="clear" w:color="auto" w:fill="FFFFFF"/>
          <w:lang w:eastAsia="en-NZ"/>
        </w:rPr>
        <w:t>survivors</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will</w:t>
      </w:r>
      <w:r w:rsidR="003D640C">
        <w:rPr>
          <w:shd w:val="clear" w:color="auto" w:fill="FFFFFF"/>
          <w:lang w:eastAsia="en-NZ"/>
        </w:rPr>
        <w:t xml:space="preserve"> </w:t>
      </w:r>
      <w:r w:rsidRPr="00BB6220">
        <w:rPr>
          <w:shd w:val="clear" w:color="auto" w:fill="FFFFFF"/>
          <w:lang w:eastAsia="en-NZ"/>
        </w:rPr>
        <w:t>encourage</w:t>
      </w:r>
      <w:r w:rsidR="003D640C">
        <w:rPr>
          <w:shd w:val="clear" w:color="auto" w:fill="FFFFFF"/>
          <w:lang w:eastAsia="en-NZ"/>
        </w:rPr>
        <w:t xml:space="preserve"> </w:t>
      </w:r>
      <w:r w:rsidRPr="00BB6220">
        <w:rPr>
          <w:shd w:val="clear" w:color="auto" w:fill="FFFFFF"/>
          <w:lang w:eastAsia="en-NZ"/>
        </w:rPr>
        <w:t>survivors</w:t>
      </w:r>
      <w:r w:rsidR="003D640C">
        <w:rPr>
          <w:shd w:val="clear" w:color="auto" w:fill="FFFFFF"/>
          <w:lang w:eastAsia="en-NZ"/>
        </w:rPr>
        <w:t xml:space="preserve"> </w:t>
      </w:r>
      <w:r w:rsidRPr="00BB6220">
        <w:rPr>
          <w:shd w:val="clear" w:color="auto" w:fill="FFFFFF"/>
          <w:lang w:eastAsia="en-NZ"/>
        </w:rPr>
        <w:t>to</w:t>
      </w:r>
      <w:r w:rsidR="003D640C">
        <w:rPr>
          <w:shd w:val="clear" w:color="auto" w:fill="FFFFFF"/>
          <w:lang w:eastAsia="en-NZ"/>
        </w:rPr>
        <w:t xml:space="preserve"> </w:t>
      </w:r>
      <w:r w:rsidRPr="00BB6220">
        <w:rPr>
          <w:shd w:val="clear" w:color="auto" w:fill="FFFFFF"/>
          <w:lang w:eastAsia="en-NZ"/>
        </w:rPr>
        <w:t>see</w:t>
      </w:r>
      <w:r w:rsidR="003D640C">
        <w:rPr>
          <w:shd w:val="clear" w:color="auto" w:fill="FFFFFF"/>
          <w:lang w:eastAsia="en-NZ"/>
        </w:rPr>
        <w:t xml:space="preserve"> </w:t>
      </w:r>
      <w:r w:rsidRPr="00BB6220">
        <w:rPr>
          <w:shd w:val="clear" w:color="auto" w:fill="FFFFFF"/>
          <w:lang w:eastAsia="en-NZ"/>
        </w:rPr>
        <w:t>a</w:t>
      </w:r>
      <w:r w:rsidR="003D640C">
        <w:rPr>
          <w:shd w:val="clear" w:color="auto" w:fill="FFFFFF"/>
          <w:lang w:eastAsia="en-NZ"/>
        </w:rPr>
        <w:t xml:space="preserve"> </w:t>
      </w:r>
      <w:r w:rsidRPr="00BB6220">
        <w:rPr>
          <w:shd w:val="clear" w:color="auto" w:fill="FFFFFF"/>
          <w:lang w:eastAsia="en-NZ"/>
        </w:rPr>
        <w:t>positive</w:t>
      </w:r>
      <w:r w:rsidR="003D640C">
        <w:rPr>
          <w:shd w:val="clear" w:color="auto" w:fill="FFFFFF"/>
          <w:lang w:eastAsia="en-NZ"/>
        </w:rPr>
        <w:t xml:space="preserve"> </w:t>
      </w:r>
      <w:r w:rsidRPr="00BB6220">
        <w:rPr>
          <w:shd w:val="clear" w:color="auto" w:fill="FFFFFF"/>
          <w:lang w:eastAsia="en-NZ"/>
        </w:rPr>
        <w:t>way</w:t>
      </w:r>
      <w:r w:rsidR="003D640C">
        <w:rPr>
          <w:shd w:val="clear" w:color="auto" w:fill="FFFFFF"/>
          <w:lang w:eastAsia="en-NZ"/>
        </w:rPr>
        <w:t xml:space="preserve"> </w:t>
      </w:r>
      <w:r w:rsidRPr="00BB6220">
        <w:rPr>
          <w:shd w:val="clear" w:color="auto" w:fill="FFFFFF"/>
          <w:lang w:eastAsia="en-NZ"/>
        </w:rPr>
        <w:t>forward</w:t>
      </w:r>
      <w:r w:rsidR="009C134B">
        <w:rPr>
          <w:shd w:val="clear" w:color="auto" w:fill="FFFFFF"/>
          <w:lang w:eastAsia="en-NZ"/>
        </w:rPr>
        <w:t>.</w:t>
      </w:r>
    </w:p>
    <w:p w14:paraId="471C368C" w14:textId="45EEFE40" w:rsidR="00501068" w:rsidRDefault="00BB3F27" w:rsidP="006A3F34">
      <w:pPr>
        <w:pStyle w:val="Bullet"/>
        <w:rPr>
          <w:shd w:val="clear" w:color="auto" w:fill="FFFFFF"/>
          <w:lang w:eastAsia="en-NZ"/>
        </w:rPr>
      </w:pPr>
      <w:r w:rsidRPr="00BB6220">
        <w:rPr>
          <w:b/>
          <w:shd w:val="clear" w:color="auto" w:fill="FFFFFF"/>
          <w:lang w:eastAsia="en-NZ"/>
        </w:rPr>
        <w:t>Wellbeing</w:t>
      </w:r>
      <w:r w:rsidR="003D640C">
        <w:rPr>
          <w:b/>
          <w:bCs/>
          <w:shd w:val="clear" w:color="auto" w:fill="FFFFFF"/>
          <w:lang w:eastAsia="en-NZ"/>
        </w:rPr>
        <w:t xml:space="preserve"> </w:t>
      </w:r>
      <w:r w:rsidRPr="00BB6220">
        <w:rPr>
          <w:b/>
          <w:bCs/>
          <w:shd w:val="clear" w:color="auto" w:fill="FFFFFF"/>
          <w:lang w:eastAsia="en-NZ"/>
        </w:rPr>
        <w:t>(</w:t>
      </w:r>
      <w:r>
        <w:rPr>
          <w:b/>
          <w:bCs/>
          <w:shd w:val="clear" w:color="auto" w:fill="FFFFFF"/>
          <w:lang w:eastAsia="en-NZ"/>
        </w:rPr>
        <w:t>having</w:t>
      </w:r>
      <w:r w:rsidR="003D640C">
        <w:rPr>
          <w:b/>
          <w:bCs/>
          <w:shd w:val="clear" w:color="auto" w:fill="FFFFFF"/>
          <w:lang w:eastAsia="en-NZ"/>
        </w:rPr>
        <w:t xml:space="preserve"> </w:t>
      </w:r>
      <w:r>
        <w:rPr>
          <w:b/>
          <w:bCs/>
          <w:shd w:val="clear" w:color="auto" w:fill="FFFFFF"/>
          <w:lang w:eastAsia="en-NZ"/>
        </w:rPr>
        <w:t>the</w:t>
      </w:r>
      <w:r w:rsidR="003D640C">
        <w:rPr>
          <w:b/>
          <w:bCs/>
          <w:shd w:val="clear" w:color="auto" w:fill="FFFFFF"/>
          <w:lang w:eastAsia="en-NZ"/>
        </w:rPr>
        <w:t xml:space="preserve"> </w:t>
      </w:r>
      <w:r>
        <w:rPr>
          <w:b/>
          <w:bCs/>
          <w:shd w:val="clear" w:color="auto" w:fill="FFFFFF"/>
          <w:lang w:eastAsia="en-NZ"/>
        </w:rPr>
        <w:t>tools,</w:t>
      </w:r>
      <w:r w:rsidR="003D640C">
        <w:rPr>
          <w:b/>
          <w:bCs/>
          <w:shd w:val="clear" w:color="auto" w:fill="FFFFFF"/>
          <w:lang w:eastAsia="en-NZ"/>
        </w:rPr>
        <w:t xml:space="preserve"> </w:t>
      </w:r>
      <w:r>
        <w:rPr>
          <w:b/>
          <w:bCs/>
          <w:shd w:val="clear" w:color="auto" w:fill="FFFFFF"/>
          <w:lang w:eastAsia="en-NZ"/>
        </w:rPr>
        <w:t>support</w:t>
      </w:r>
      <w:r w:rsidR="007A7C28">
        <w:rPr>
          <w:b/>
          <w:bCs/>
          <w:shd w:val="clear" w:color="auto" w:fill="FFFFFF"/>
          <w:lang w:eastAsia="en-NZ"/>
        </w:rPr>
        <w:t>,</w:t>
      </w:r>
      <w:r w:rsidR="003D640C">
        <w:rPr>
          <w:b/>
          <w:bCs/>
          <w:shd w:val="clear" w:color="auto" w:fill="FFFFFF"/>
          <w:lang w:eastAsia="en-NZ"/>
        </w:rPr>
        <w:t xml:space="preserve"> </w:t>
      </w:r>
      <w:r>
        <w:rPr>
          <w:b/>
          <w:bCs/>
          <w:shd w:val="clear" w:color="auto" w:fill="FFFFFF"/>
          <w:lang w:eastAsia="en-NZ"/>
        </w:rPr>
        <w:t>and</w:t>
      </w:r>
      <w:r w:rsidR="003D640C">
        <w:rPr>
          <w:b/>
          <w:bCs/>
          <w:shd w:val="clear" w:color="auto" w:fill="FFFFFF"/>
          <w:lang w:eastAsia="en-NZ"/>
        </w:rPr>
        <w:t xml:space="preserve"> </w:t>
      </w:r>
      <w:r>
        <w:rPr>
          <w:b/>
          <w:bCs/>
          <w:shd w:val="clear" w:color="auto" w:fill="FFFFFF"/>
          <w:lang w:eastAsia="en-NZ"/>
        </w:rPr>
        <w:t>environments</w:t>
      </w:r>
      <w:r w:rsidR="003D640C">
        <w:rPr>
          <w:b/>
          <w:bCs/>
          <w:shd w:val="clear" w:color="auto" w:fill="FFFFFF"/>
          <w:lang w:eastAsia="en-NZ"/>
        </w:rPr>
        <w:t xml:space="preserve"> </w:t>
      </w:r>
      <w:r>
        <w:rPr>
          <w:b/>
          <w:bCs/>
          <w:shd w:val="clear" w:color="auto" w:fill="FFFFFF"/>
          <w:lang w:eastAsia="en-NZ"/>
        </w:rPr>
        <w:t>needed</w:t>
      </w:r>
      <w:r w:rsidR="003D640C">
        <w:rPr>
          <w:b/>
          <w:bCs/>
          <w:shd w:val="clear" w:color="auto" w:fill="FFFFFF"/>
          <w:lang w:eastAsia="en-NZ"/>
        </w:rPr>
        <w:t xml:space="preserve"> </w:t>
      </w:r>
      <w:r>
        <w:rPr>
          <w:b/>
          <w:bCs/>
          <w:shd w:val="clear" w:color="auto" w:fill="FFFFFF"/>
          <w:lang w:eastAsia="en-NZ"/>
        </w:rPr>
        <w:t>to</w:t>
      </w:r>
      <w:r w:rsidR="003D640C">
        <w:rPr>
          <w:b/>
          <w:bCs/>
          <w:shd w:val="clear" w:color="auto" w:fill="FFFFFF"/>
          <w:lang w:eastAsia="en-NZ"/>
        </w:rPr>
        <w:t xml:space="preserve"> </w:t>
      </w:r>
      <w:r>
        <w:rPr>
          <w:b/>
          <w:bCs/>
          <w:shd w:val="clear" w:color="auto" w:fill="FFFFFF"/>
          <w:lang w:eastAsia="en-NZ"/>
        </w:rPr>
        <w:t>be</w:t>
      </w:r>
      <w:r w:rsidR="003D640C">
        <w:rPr>
          <w:b/>
          <w:bCs/>
          <w:shd w:val="clear" w:color="auto" w:fill="FFFFFF"/>
          <w:lang w:eastAsia="en-NZ"/>
        </w:rPr>
        <w:t xml:space="preserve"> </w:t>
      </w:r>
      <w:r>
        <w:rPr>
          <w:b/>
          <w:bCs/>
          <w:shd w:val="clear" w:color="auto" w:fill="FFFFFF"/>
          <w:lang w:eastAsia="en-NZ"/>
        </w:rPr>
        <w:t>who</w:t>
      </w:r>
      <w:r w:rsidR="003D640C">
        <w:rPr>
          <w:b/>
          <w:bCs/>
          <w:shd w:val="clear" w:color="auto" w:fill="FFFFFF"/>
          <w:lang w:eastAsia="en-NZ"/>
        </w:rPr>
        <w:t xml:space="preserve"> </w:t>
      </w:r>
      <w:r>
        <w:rPr>
          <w:b/>
          <w:bCs/>
          <w:shd w:val="clear" w:color="auto" w:fill="FFFFFF"/>
          <w:lang w:eastAsia="en-NZ"/>
        </w:rPr>
        <w:t>we</w:t>
      </w:r>
      <w:r w:rsidR="003D640C">
        <w:rPr>
          <w:b/>
          <w:bCs/>
          <w:shd w:val="clear" w:color="auto" w:fill="FFFFFF"/>
          <w:lang w:eastAsia="en-NZ"/>
        </w:rPr>
        <w:t xml:space="preserve"> </w:t>
      </w:r>
      <w:r>
        <w:rPr>
          <w:b/>
          <w:bCs/>
          <w:shd w:val="clear" w:color="auto" w:fill="FFFFFF"/>
          <w:lang w:eastAsia="en-NZ"/>
        </w:rPr>
        <w:t>are)</w:t>
      </w:r>
      <w:r w:rsidRPr="00BB6220">
        <w:rPr>
          <w:b/>
          <w:bCs/>
          <w:shd w:val="clear" w:color="auto" w:fill="FFFFFF"/>
          <w:lang w:eastAsia="en-NZ"/>
        </w:rPr>
        <w:t>:</w:t>
      </w:r>
      <w:r w:rsidR="003D640C">
        <w:rPr>
          <w:b/>
          <w:shd w:val="clear" w:color="auto" w:fill="FFFFFF"/>
          <w:lang w:eastAsia="en-NZ"/>
        </w:rPr>
        <w:t xml:space="preserve"> </w:t>
      </w:r>
      <w:r w:rsidRPr="00BB6220">
        <w:rPr>
          <w:shd w:val="clear" w:color="auto" w:fill="FFFFFF"/>
          <w:lang w:eastAsia="en-NZ"/>
        </w:rPr>
        <w:t>The</w:t>
      </w:r>
      <w:r w:rsidR="003D640C">
        <w:rPr>
          <w:shd w:val="clear" w:color="auto" w:fill="FFFFFF"/>
          <w:lang w:eastAsia="en-NZ"/>
        </w:rPr>
        <w:t xml:space="preserve"> </w:t>
      </w:r>
      <w:r w:rsidRPr="00BB6220">
        <w:rPr>
          <w:shd w:val="clear" w:color="auto" w:fill="FFFFFF"/>
          <w:lang w:eastAsia="en-NZ"/>
        </w:rPr>
        <w:t>Commission</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partner</w:t>
      </w:r>
      <w:r w:rsidR="003D640C">
        <w:rPr>
          <w:shd w:val="clear" w:color="auto" w:fill="FFFFFF"/>
          <w:lang w:eastAsia="en-NZ"/>
        </w:rPr>
        <w:t xml:space="preserve"> </w:t>
      </w:r>
      <w:r w:rsidRPr="00BB6220">
        <w:rPr>
          <w:shd w:val="clear" w:color="auto" w:fill="FFFFFF"/>
          <w:lang w:eastAsia="en-NZ"/>
        </w:rPr>
        <w:t>agencies</w:t>
      </w:r>
      <w:r w:rsidR="003D640C">
        <w:rPr>
          <w:shd w:val="clear" w:color="auto" w:fill="FFFFFF"/>
          <w:lang w:eastAsia="en-NZ"/>
        </w:rPr>
        <w:t xml:space="preserve"> </w:t>
      </w:r>
      <w:r w:rsidRPr="00BB6220">
        <w:rPr>
          <w:shd w:val="clear" w:color="auto" w:fill="FFFFFF"/>
          <w:lang w:eastAsia="en-NZ"/>
        </w:rPr>
        <w:t>will</w:t>
      </w:r>
      <w:r w:rsidR="003D640C">
        <w:rPr>
          <w:shd w:val="clear" w:color="auto" w:fill="FFFFFF"/>
          <w:lang w:eastAsia="en-NZ"/>
        </w:rPr>
        <w:t xml:space="preserve"> </w:t>
      </w:r>
      <w:r w:rsidRPr="00BB6220">
        <w:rPr>
          <w:shd w:val="clear" w:color="auto" w:fill="FFFFFF"/>
          <w:lang w:eastAsia="en-NZ"/>
        </w:rPr>
        <w:t>be</w:t>
      </w:r>
      <w:r w:rsidR="003D640C">
        <w:rPr>
          <w:shd w:val="clear" w:color="auto" w:fill="FFFFFF"/>
          <w:lang w:eastAsia="en-NZ"/>
        </w:rPr>
        <w:t xml:space="preserve"> </w:t>
      </w:r>
      <w:r w:rsidRPr="00BB6220">
        <w:rPr>
          <w:shd w:val="clear" w:color="auto" w:fill="FFFFFF"/>
          <w:lang w:eastAsia="en-NZ"/>
        </w:rPr>
        <w:t>a</w:t>
      </w:r>
      <w:r w:rsidR="003D640C">
        <w:rPr>
          <w:shd w:val="clear" w:color="auto" w:fill="FFFFFF"/>
          <w:lang w:eastAsia="en-NZ"/>
        </w:rPr>
        <w:t xml:space="preserve"> </w:t>
      </w:r>
      <w:r w:rsidRPr="00BB6220">
        <w:rPr>
          <w:shd w:val="clear" w:color="auto" w:fill="FFFFFF"/>
          <w:lang w:eastAsia="en-NZ"/>
        </w:rPr>
        <w:t>safe</w:t>
      </w:r>
      <w:r w:rsidR="003D640C">
        <w:rPr>
          <w:shd w:val="clear" w:color="auto" w:fill="FFFFFF"/>
          <w:lang w:eastAsia="en-NZ"/>
        </w:rPr>
        <w:t xml:space="preserve"> </w:t>
      </w:r>
      <w:r w:rsidRPr="00BB6220">
        <w:rPr>
          <w:shd w:val="clear" w:color="auto" w:fill="FFFFFF"/>
          <w:lang w:eastAsia="en-NZ"/>
        </w:rPr>
        <w:t>space</w:t>
      </w:r>
      <w:r w:rsidR="003D640C">
        <w:rPr>
          <w:shd w:val="clear" w:color="auto" w:fill="FFFFFF"/>
          <w:lang w:eastAsia="en-NZ"/>
        </w:rPr>
        <w:t xml:space="preserve"> </w:t>
      </w:r>
      <w:r w:rsidRPr="00BB6220">
        <w:rPr>
          <w:shd w:val="clear" w:color="auto" w:fill="FFFFFF"/>
          <w:lang w:eastAsia="en-NZ"/>
        </w:rPr>
        <w:t>for</w:t>
      </w:r>
      <w:r w:rsidR="003D640C">
        <w:rPr>
          <w:shd w:val="clear" w:color="auto" w:fill="FFFFFF"/>
          <w:lang w:eastAsia="en-NZ"/>
        </w:rPr>
        <w:t xml:space="preserve"> </w:t>
      </w:r>
      <w:r w:rsidRPr="00BB6220">
        <w:rPr>
          <w:shd w:val="clear" w:color="auto" w:fill="FFFFFF"/>
          <w:lang w:eastAsia="en-NZ"/>
        </w:rPr>
        <w:t>all</w:t>
      </w:r>
      <w:r w:rsidR="003D640C">
        <w:rPr>
          <w:shd w:val="clear" w:color="auto" w:fill="FFFFFF"/>
          <w:lang w:eastAsia="en-NZ"/>
        </w:rPr>
        <w:t xml:space="preserve"> </w:t>
      </w:r>
      <w:r w:rsidRPr="00BB6220">
        <w:rPr>
          <w:shd w:val="clear" w:color="auto" w:fill="FFFFFF"/>
          <w:lang w:eastAsia="en-NZ"/>
        </w:rPr>
        <w:t>survivors</w:t>
      </w:r>
      <w:r w:rsidR="003D640C">
        <w:rPr>
          <w:shd w:val="clear" w:color="auto" w:fill="FFFFFF"/>
          <w:lang w:eastAsia="en-NZ"/>
        </w:rPr>
        <w:t xml:space="preserve"> </w:t>
      </w:r>
      <w:r w:rsidRPr="00BB6220">
        <w:rPr>
          <w:shd w:val="clear" w:color="auto" w:fill="FFFFFF"/>
          <w:lang w:eastAsia="en-NZ"/>
        </w:rPr>
        <w:t>and</w:t>
      </w:r>
      <w:r w:rsidR="003D640C">
        <w:rPr>
          <w:shd w:val="clear" w:color="auto" w:fill="FFFFFF"/>
          <w:lang w:eastAsia="en-NZ"/>
        </w:rPr>
        <w:t xml:space="preserve"> </w:t>
      </w:r>
      <w:r w:rsidRPr="00BB6220">
        <w:rPr>
          <w:shd w:val="clear" w:color="auto" w:fill="FFFFFF"/>
          <w:lang w:eastAsia="en-NZ"/>
        </w:rPr>
        <w:t>for</w:t>
      </w:r>
      <w:r w:rsidR="003D640C">
        <w:rPr>
          <w:shd w:val="clear" w:color="auto" w:fill="FFFFFF"/>
          <w:lang w:eastAsia="en-NZ"/>
        </w:rPr>
        <w:t xml:space="preserve"> </w:t>
      </w:r>
      <w:r>
        <w:rPr>
          <w:shd w:val="clear" w:color="auto" w:fill="FFFFFF"/>
          <w:lang w:eastAsia="en-NZ"/>
        </w:rPr>
        <w:t>R</w:t>
      </w:r>
      <w:r w:rsidRPr="00BB6220">
        <w:rPr>
          <w:shd w:val="clear" w:color="auto" w:fill="FFFFFF"/>
          <w:lang w:eastAsia="en-NZ"/>
        </w:rPr>
        <w:t>ainbow</w:t>
      </w:r>
      <w:r w:rsidR="003D640C">
        <w:rPr>
          <w:shd w:val="clear" w:color="auto" w:fill="FFFFFF"/>
          <w:lang w:eastAsia="en-NZ"/>
        </w:rPr>
        <w:t xml:space="preserve"> </w:t>
      </w:r>
      <w:r w:rsidRPr="00BB6220">
        <w:rPr>
          <w:shd w:val="clear" w:color="auto" w:fill="FFFFFF"/>
          <w:lang w:eastAsia="en-NZ"/>
        </w:rPr>
        <w:t>communities</w:t>
      </w:r>
      <w:r w:rsidR="003D640C">
        <w:rPr>
          <w:shd w:val="clear" w:color="auto" w:fill="FFFFFF"/>
          <w:lang w:eastAsia="en-NZ"/>
        </w:rPr>
        <w:t xml:space="preserve"> </w:t>
      </w:r>
      <w:r w:rsidRPr="00BB6220">
        <w:rPr>
          <w:shd w:val="clear" w:color="auto" w:fill="FFFFFF"/>
          <w:lang w:eastAsia="en-NZ"/>
        </w:rPr>
        <w:t>more</w:t>
      </w:r>
      <w:r w:rsidR="003D640C">
        <w:rPr>
          <w:shd w:val="clear" w:color="auto" w:fill="FFFFFF"/>
          <w:lang w:eastAsia="en-NZ"/>
        </w:rPr>
        <w:t xml:space="preserve"> </w:t>
      </w:r>
      <w:r w:rsidRPr="00BB6220">
        <w:rPr>
          <w:shd w:val="clear" w:color="auto" w:fill="FFFFFF"/>
          <w:lang w:eastAsia="en-NZ"/>
        </w:rPr>
        <w:t>broadly.</w:t>
      </w:r>
      <w:r w:rsidR="003D640C">
        <w:rPr>
          <w:shd w:val="clear" w:color="auto" w:fill="FFFFFF"/>
          <w:lang w:eastAsia="en-NZ"/>
        </w:rPr>
        <w:t xml:space="preserve">  </w:t>
      </w:r>
    </w:p>
    <w:p w14:paraId="6D3082BE" w14:textId="2A2056CA" w:rsidR="00501068" w:rsidRDefault="00BB3F27" w:rsidP="0078026B">
      <w:pPr>
        <w:rPr>
          <w:rFonts w:ascii="Calibri" w:eastAsia="Times New Roman" w:hAnsi="Calibri" w:cs="Calibri"/>
          <w:shd w:val="clear" w:color="auto" w:fill="FFFFFF"/>
          <w:lang w:eastAsia="en-NZ"/>
        </w:rPr>
      </w:pPr>
      <w:r>
        <w:rPr>
          <w:rFonts w:ascii="Calibri" w:eastAsia="Times New Roman" w:hAnsi="Calibri" w:cs="Calibri"/>
          <w:shd w:val="clear" w:color="auto" w:fill="FFFFFF"/>
          <w:lang w:eastAsia="en-NZ"/>
        </w:rPr>
        <w:t>S</w:t>
      </w:r>
      <w:r w:rsidRPr="00BB6220">
        <w:rPr>
          <w:rFonts w:ascii="Calibri" w:eastAsia="Times New Roman" w:hAnsi="Calibri" w:cs="Calibri"/>
          <w:shd w:val="clear" w:color="auto" w:fill="FFFFFF"/>
          <w:lang w:eastAsia="en-NZ"/>
        </w:rPr>
        <w:t>urvivors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have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been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clear</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that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must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stop</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those</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who</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enact</w:t>
      </w:r>
      <w:r w:rsidR="003D640C">
        <w:rPr>
          <w:rFonts w:ascii="Calibri" w:eastAsia="Times New Roman" w:hAnsi="Calibri" w:cs="Calibri"/>
          <w:shd w:val="clear" w:color="auto" w:fill="FFFFFF"/>
          <w:lang w:eastAsia="en-NZ"/>
        </w:rPr>
        <w:t xml:space="preserve"> </w:t>
      </w:r>
      <w:r w:rsidR="007A7C28">
        <w:rPr>
          <w:rFonts w:ascii="Calibri" w:eastAsia="Times New Roman" w:hAnsi="Calibri" w:cs="Calibri"/>
          <w:shd w:val="clear" w:color="auto" w:fill="FFFFFF"/>
          <w:lang w:eastAsia="en-NZ"/>
        </w:rPr>
        <w:t>them</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must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held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account</w:t>
      </w:r>
      <w:r>
        <w:rPr>
          <w:rFonts w:ascii="Calibri" w:eastAsia="Times New Roman" w:hAnsi="Calibri" w:cs="Calibri"/>
          <w:shd w:val="clear" w:color="auto" w:fill="FFFFFF"/>
          <w:lang w:eastAsia="en-NZ"/>
        </w:rPr>
        <w:t>.</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w:t>
      </w:r>
      <w:r w:rsidRPr="00BB6220">
        <w:rPr>
          <w:rFonts w:ascii="Calibri" w:eastAsia="Times New Roman" w:hAnsi="Calibri" w:cs="Calibri"/>
          <w:shd w:val="clear" w:color="auto" w:fill="FFFFFF"/>
          <w:lang w:eastAsia="en-NZ"/>
        </w:rPr>
        <w:t>hey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have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also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called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complaints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prosecutions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progressed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respectfully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with</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focus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education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building</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understanding</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empathy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survivors.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Despite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experiencing</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rejection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harm,</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survivors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continue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demonstrate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understanding</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and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compassion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for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those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who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enact</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conversion</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practices,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whether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consciously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or</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unconsciously.</w:t>
      </w:r>
    </w:p>
    <w:p w14:paraId="185754F4" w14:textId="23499524" w:rsidR="00BB3F27" w:rsidRPr="00BB6220" w:rsidRDefault="00BB3F27" w:rsidP="0078026B">
      <w:pPr>
        <w:rPr>
          <w:rFonts w:ascii="Calibri" w:eastAsia="Times New Roman" w:hAnsi="Calibri" w:cs="Calibri"/>
          <w:shd w:val="clear" w:color="auto" w:fill="FFFFFF"/>
          <w:lang w:eastAsia="en-NZ"/>
        </w:rPr>
      </w:pPr>
      <w:r>
        <w:rPr>
          <w:rFonts w:ascii="Calibri" w:eastAsia="Times New Roman" w:hAnsi="Calibri" w:cs="Calibri"/>
          <w:shd w:val="clear" w:color="auto" w:fill="FFFFFF"/>
          <w:lang w:eastAsia="en-NZ"/>
        </w:rPr>
        <w:t>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Aotearoa’s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national</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human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rights</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institution,</w:t>
      </w:r>
      <w:r w:rsidR="003D640C">
        <w:rPr>
          <w:rFonts w:ascii="Calibri" w:eastAsia="Times New Roman" w:hAnsi="Calibri" w:cs="Calibri"/>
          <w:shd w:val="clear" w:color="auto" w:fill="FFFFFF"/>
          <w:lang w:eastAsia="en-NZ"/>
        </w:rPr>
        <w:t xml:space="preserve"> </w:t>
      </w:r>
      <w:r>
        <w:rPr>
          <w:rFonts w:ascii="Calibri" w:eastAsia="Times New Roman" w:hAnsi="Calibri" w:cs="Calibri"/>
          <w:shd w:val="clear" w:color="auto" w:fill="FFFFFF"/>
          <w:lang w:eastAsia="en-NZ"/>
        </w:rPr>
        <w:t>t</w:t>
      </w:r>
      <w:r w:rsidRPr="00BB6220">
        <w:rPr>
          <w:rFonts w:ascii="Calibri" w:eastAsia="Times New Roman" w:hAnsi="Calibri" w:cs="Calibri"/>
          <w:shd w:val="clear" w:color="auto" w:fill="FFFFFF"/>
          <w:lang w:eastAsia="en-NZ"/>
        </w:rPr>
        <w:t>he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Commission’s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unique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role</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includes</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two</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deeply</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held</w:t>
      </w:r>
      <w:r w:rsidR="003D640C">
        <w:rPr>
          <w:rFonts w:ascii="Calibri" w:eastAsia="Times New Roman" w:hAnsi="Calibri" w:cs="Calibri"/>
          <w:shd w:val="clear" w:color="auto" w:fill="FFFFFF"/>
          <w:lang w:eastAsia="en-NZ"/>
        </w:rPr>
        <w:t xml:space="preserve"> </w:t>
      </w:r>
      <w:r w:rsidRPr="00BB6220">
        <w:rPr>
          <w:rFonts w:ascii="Calibri" w:eastAsia="Times New Roman" w:hAnsi="Calibri" w:cs="Calibri"/>
          <w:shd w:val="clear" w:color="auto" w:fill="FFFFFF"/>
          <w:lang w:eastAsia="en-NZ"/>
        </w:rPr>
        <w:t>commitments</w:t>
      </w:r>
      <w:r w:rsidR="006953F6">
        <w:rPr>
          <w:rFonts w:ascii="Calibri" w:eastAsia="Times New Roman" w:hAnsi="Calibri" w:cs="Calibri"/>
          <w:shd w:val="clear" w:color="auto" w:fill="FFFFFF"/>
          <w:lang w:eastAsia="en-NZ"/>
        </w:rPr>
        <w:t>.</w:t>
      </w:r>
    </w:p>
    <w:p w14:paraId="6962C7BD" w14:textId="12C17B5A" w:rsidR="00BB3F27" w:rsidRPr="00BB6220" w:rsidRDefault="007A7C28" w:rsidP="006A3F34">
      <w:pPr>
        <w:pStyle w:val="Bullet"/>
        <w:rPr>
          <w:lang w:eastAsia="en-NZ"/>
        </w:rPr>
      </w:pPr>
      <w:r>
        <w:rPr>
          <w:lang w:eastAsia="en-NZ"/>
        </w:rPr>
        <w:t>T</w:t>
      </w:r>
      <w:r w:rsidR="00BB3F27" w:rsidRPr="00BB6220">
        <w:rPr>
          <w:lang w:eastAsia="en-NZ"/>
        </w:rPr>
        <w:t>o</w:t>
      </w:r>
      <w:r w:rsidR="003D640C">
        <w:rPr>
          <w:lang w:eastAsia="en-NZ"/>
        </w:rPr>
        <w:t xml:space="preserve"> </w:t>
      </w:r>
      <w:r w:rsidR="00BB3F27" w:rsidRPr="00BB6220">
        <w:rPr>
          <w:lang w:eastAsia="en-NZ"/>
        </w:rPr>
        <w:t>advocate</w:t>
      </w:r>
      <w:r w:rsidR="003D640C">
        <w:rPr>
          <w:lang w:eastAsia="en-NZ"/>
        </w:rPr>
        <w:t xml:space="preserve"> </w:t>
      </w:r>
      <w:r w:rsidR="00BB3F27" w:rsidRPr="00BB6220">
        <w:rPr>
          <w:lang w:eastAsia="en-NZ"/>
        </w:rPr>
        <w:t>for</w:t>
      </w:r>
      <w:r w:rsidR="003D640C">
        <w:rPr>
          <w:lang w:eastAsia="en-NZ"/>
        </w:rPr>
        <w:t xml:space="preserve"> </w:t>
      </w:r>
      <w:r w:rsidR="00BB3F27" w:rsidRPr="00BB6220">
        <w:rPr>
          <w:lang w:eastAsia="en-NZ"/>
        </w:rPr>
        <w:t>a</w:t>
      </w:r>
      <w:r w:rsidR="003D640C">
        <w:rPr>
          <w:lang w:eastAsia="en-NZ"/>
        </w:rPr>
        <w:t xml:space="preserve"> </w:t>
      </w:r>
      <w:r w:rsidR="00BB3F27" w:rsidRPr="00BB6220">
        <w:rPr>
          <w:lang w:eastAsia="en-NZ"/>
        </w:rPr>
        <w:t>fair,</w:t>
      </w:r>
      <w:r w:rsidR="003D640C">
        <w:rPr>
          <w:lang w:eastAsia="en-NZ"/>
        </w:rPr>
        <w:t xml:space="preserve"> </w:t>
      </w:r>
      <w:r w:rsidR="00BB3F27" w:rsidRPr="00BB6220">
        <w:rPr>
          <w:lang w:eastAsia="en-NZ"/>
        </w:rPr>
        <w:t>just</w:t>
      </w:r>
      <w:r>
        <w:rPr>
          <w:lang w:eastAsia="en-NZ"/>
        </w:rPr>
        <w:t>,</w:t>
      </w:r>
      <w:r w:rsidR="003D640C">
        <w:rPr>
          <w:lang w:eastAsia="en-NZ"/>
        </w:rPr>
        <w:t xml:space="preserve"> </w:t>
      </w:r>
      <w:r w:rsidR="00BB3F27" w:rsidRPr="00BB6220">
        <w:rPr>
          <w:lang w:eastAsia="en-NZ"/>
        </w:rPr>
        <w:t>and</w:t>
      </w:r>
      <w:r w:rsidR="003D640C">
        <w:rPr>
          <w:lang w:eastAsia="en-NZ"/>
        </w:rPr>
        <w:t xml:space="preserve"> </w:t>
      </w:r>
      <w:r w:rsidR="00BB3F27" w:rsidRPr="00BB6220">
        <w:rPr>
          <w:lang w:eastAsia="en-NZ"/>
        </w:rPr>
        <w:t>dignified</w:t>
      </w:r>
      <w:r w:rsidR="003D640C">
        <w:rPr>
          <w:lang w:eastAsia="en-NZ"/>
        </w:rPr>
        <w:t xml:space="preserve"> </w:t>
      </w:r>
      <w:r w:rsidR="00BB3F27" w:rsidRPr="00BB6220">
        <w:rPr>
          <w:lang w:eastAsia="en-NZ"/>
        </w:rPr>
        <w:t>life</w:t>
      </w:r>
      <w:r w:rsidR="003D640C">
        <w:rPr>
          <w:lang w:eastAsia="en-NZ"/>
        </w:rPr>
        <w:t xml:space="preserve"> </w:t>
      </w:r>
      <w:r w:rsidR="00BB3F27" w:rsidRPr="00BB6220">
        <w:rPr>
          <w:lang w:eastAsia="en-NZ"/>
        </w:rPr>
        <w:t>for</w:t>
      </w:r>
      <w:r w:rsidR="003D640C">
        <w:rPr>
          <w:lang w:eastAsia="en-NZ"/>
        </w:rPr>
        <w:t xml:space="preserve"> </w:t>
      </w:r>
      <w:r w:rsidR="00BB3F27" w:rsidRPr="00BB6220">
        <w:rPr>
          <w:lang w:eastAsia="en-NZ"/>
        </w:rPr>
        <w:t>all</w:t>
      </w:r>
      <w:r w:rsidR="003D640C">
        <w:rPr>
          <w:lang w:eastAsia="en-NZ"/>
        </w:rPr>
        <w:t xml:space="preserve"> </w:t>
      </w:r>
      <w:r w:rsidR="00BB3F27" w:rsidRPr="00BB6220">
        <w:rPr>
          <w:lang w:eastAsia="en-NZ"/>
        </w:rPr>
        <w:t>people</w:t>
      </w:r>
      <w:r w:rsidR="003D640C">
        <w:rPr>
          <w:lang w:eastAsia="en-NZ"/>
        </w:rPr>
        <w:t xml:space="preserve"> </w:t>
      </w:r>
      <w:r w:rsidR="00BB3F27" w:rsidRPr="00BB6220">
        <w:rPr>
          <w:lang w:eastAsia="en-NZ"/>
        </w:rPr>
        <w:t>in</w:t>
      </w:r>
      <w:r w:rsidR="003D640C">
        <w:rPr>
          <w:lang w:eastAsia="en-NZ"/>
        </w:rPr>
        <w:t xml:space="preserve"> </w:t>
      </w:r>
      <w:r w:rsidR="00BB3F27" w:rsidRPr="00BB6220">
        <w:rPr>
          <w:lang w:eastAsia="en-NZ"/>
        </w:rPr>
        <w:t>Aotearoa</w:t>
      </w:r>
      <w:r>
        <w:rPr>
          <w:lang w:eastAsia="en-NZ"/>
        </w:rPr>
        <w:t>.</w:t>
      </w:r>
    </w:p>
    <w:p w14:paraId="2818C1D2" w14:textId="7943D350" w:rsidR="00501068" w:rsidRDefault="007A7C28" w:rsidP="006A3F34">
      <w:pPr>
        <w:pStyle w:val="Bullet"/>
        <w:rPr>
          <w:lang w:eastAsia="en-NZ"/>
        </w:rPr>
      </w:pPr>
      <w:r>
        <w:rPr>
          <w:lang w:eastAsia="en-NZ"/>
        </w:rPr>
        <w:t>T</w:t>
      </w:r>
      <w:r w:rsidR="00BB3F27" w:rsidRPr="00BB6220">
        <w:rPr>
          <w:lang w:eastAsia="en-NZ"/>
        </w:rPr>
        <w:t>o</w:t>
      </w:r>
      <w:r w:rsidR="003D640C">
        <w:rPr>
          <w:lang w:eastAsia="en-NZ"/>
        </w:rPr>
        <w:t xml:space="preserve"> </w:t>
      </w:r>
      <w:r w:rsidR="00BB3F27" w:rsidRPr="00BB6220">
        <w:rPr>
          <w:lang w:eastAsia="en-NZ"/>
        </w:rPr>
        <w:t>provide</w:t>
      </w:r>
      <w:r w:rsidR="003D640C">
        <w:rPr>
          <w:lang w:eastAsia="en-NZ"/>
        </w:rPr>
        <w:t xml:space="preserve"> </w:t>
      </w:r>
      <w:r w:rsidR="00BB3F27" w:rsidRPr="00BB6220">
        <w:rPr>
          <w:lang w:eastAsia="en-NZ"/>
        </w:rPr>
        <w:t>a</w:t>
      </w:r>
      <w:r w:rsidR="003D640C">
        <w:rPr>
          <w:lang w:eastAsia="en-NZ"/>
        </w:rPr>
        <w:t xml:space="preserve"> </w:t>
      </w:r>
      <w:r w:rsidR="00BB3F27" w:rsidRPr="00BB6220">
        <w:rPr>
          <w:lang w:eastAsia="en-NZ"/>
        </w:rPr>
        <w:t>free,</w:t>
      </w:r>
      <w:r w:rsidR="003D640C">
        <w:rPr>
          <w:lang w:eastAsia="en-NZ"/>
        </w:rPr>
        <w:t xml:space="preserve"> </w:t>
      </w:r>
      <w:r w:rsidR="00BB3F27" w:rsidRPr="00BB6220">
        <w:rPr>
          <w:lang w:eastAsia="en-NZ"/>
        </w:rPr>
        <w:t>neutral</w:t>
      </w:r>
      <w:r>
        <w:rPr>
          <w:lang w:eastAsia="en-NZ"/>
        </w:rPr>
        <w:t>,</w:t>
      </w:r>
      <w:r w:rsidR="003D640C">
        <w:rPr>
          <w:lang w:eastAsia="en-NZ"/>
        </w:rPr>
        <w:t xml:space="preserve"> </w:t>
      </w:r>
      <w:r w:rsidR="00BB3F27" w:rsidRPr="00BB6220">
        <w:rPr>
          <w:lang w:eastAsia="en-NZ"/>
        </w:rPr>
        <w:t>and</w:t>
      </w:r>
      <w:r w:rsidR="003D640C">
        <w:rPr>
          <w:lang w:eastAsia="en-NZ"/>
        </w:rPr>
        <w:t xml:space="preserve"> </w:t>
      </w:r>
      <w:r w:rsidR="00BB3F27" w:rsidRPr="00BB6220">
        <w:rPr>
          <w:lang w:eastAsia="en-NZ"/>
        </w:rPr>
        <w:t>confidential</w:t>
      </w:r>
      <w:r w:rsidR="003D640C">
        <w:rPr>
          <w:lang w:eastAsia="en-NZ"/>
        </w:rPr>
        <w:t xml:space="preserve"> </w:t>
      </w:r>
      <w:r w:rsidR="00BB3F27" w:rsidRPr="00BB6220">
        <w:rPr>
          <w:lang w:eastAsia="en-NZ"/>
        </w:rPr>
        <w:t>dispute</w:t>
      </w:r>
      <w:r w:rsidR="003D640C">
        <w:rPr>
          <w:lang w:eastAsia="en-NZ"/>
        </w:rPr>
        <w:t xml:space="preserve"> </w:t>
      </w:r>
      <w:r w:rsidR="00BB3F27" w:rsidRPr="00BB6220">
        <w:rPr>
          <w:lang w:eastAsia="en-NZ"/>
        </w:rPr>
        <w:t>resolution</w:t>
      </w:r>
      <w:r w:rsidR="003D640C">
        <w:rPr>
          <w:lang w:eastAsia="en-NZ"/>
        </w:rPr>
        <w:t xml:space="preserve"> </w:t>
      </w:r>
      <w:r w:rsidR="00BB3F27" w:rsidRPr="00BB6220">
        <w:rPr>
          <w:lang w:eastAsia="en-NZ"/>
        </w:rPr>
        <w:t>service</w:t>
      </w:r>
      <w:r w:rsidR="003D640C">
        <w:rPr>
          <w:lang w:eastAsia="en-NZ"/>
        </w:rPr>
        <w:t xml:space="preserve"> </w:t>
      </w:r>
      <w:r w:rsidR="00BB3F27" w:rsidRPr="00BB6220">
        <w:rPr>
          <w:lang w:eastAsia="en-NZ"/>
        </w:rPr>
        <w:t>that</w:t>
      </w:r>
      <w:r w:rsidR="003D640C">
        <w:rPr>
          <w:lang w:eastAsia="en-NZ"/>
        </w:rPr>
        <w:t xml:space="preserve"> </w:t>
      </w:r>
      <w:r w:rsidR="00BB3F27" w:rsidRPr="00BB6220">
        <w:rPr>
          <w:lang w:eastAsia="en-NZ"/>
        </w:rPr>
        <w:t>protects</w:t>
      </w:r>
      <w:r w:rsidR="003D640C">
        <w:rPr>
          <w:lang w:eastAsia="en-NZ"/>
        </w:rPr>
        <w:t xml:space="preserve"> </w:t>
      </w:r>
      <w:r w:rsidR="00BB3F27" w:rsidRPr="00BB6220">
        <w:rPr>
          <w:lang w:eastAsia="en-NZ"/>
        </w:rPr>
        <w:t>the</w:t>
      </w:r>
      <w:r w:rsidR="003D640C">
        <w:rPr>
          <w:lang w:eastAsia="en-NZ"/>
        </w:rPr>
        <w:t xml:space="preserve"> </w:t>
      </w:r>
      <w:r w:rsidR="00BB3F27" w:rsidRPr="00BB6220">
        <w:rPr>
          <w:lang w:eastAsia="en-NZ"/>
        </w:rPr>
        <w:t>rights</w:t>
      </w:r>
      <w:r w:rsidR="003D640C">
        <w:rPr>
          <w:lang w:eastAsia="en-NZ"/>
        </w:rPr>
        <w:t xml:space="preserve"> </w:t>
      </w:r>
      <w:r w:rsidR="00BB3F27" w:rsidRPr="00BB6220">
        <w:rPr>
          <w:lang w:eastAsia="en-NZ"/>
        </w:rPr>
        <w:t>of</w:t>
      </w:r>
      <w:r w:rsidR="003D640C">
        <w:rPr>
          <w:lang w:eastAsia="en-NZ"/>
        </w:rPr>
        <w:t xml:space="preserve"> </w:t>
      </w:r>
      <w:r w:rsidR="00BB3F27" w:rsidRPr="00BB6220">
        <w:rPr>
          <w:lang w:eastAsia="en-NZ"/>
        </w:rPr>
        <w:t>everyone</w:t>
      </w:r>
      <w:r w:rsidR="003D640C">
        <w:rPr>
          <w:lang w:eastAsia="en-NZ"/>
        </w:rPr>
        <w:t xml:space="preserve"> </w:t>
      </w:r>
      <w:r w:rsidR="00BB3F27" w:rsidRPr="00BB6220">
        <w:rPr>
          <w:lang w:eastAsia="en-NZ"/>
        </w:rPr>
        <w:t>involved.</w:t>
      </w:r>
    </w:p>
    <w:p w14:paraId="4AD1C9DF" w14:textId="743F3F26" w:rsidR="00501068" w:rsidRDefault="00BB3F27" w:rsidP="0078026B">
      <w:pPr>
        <w:rPr>
          <w:rFonts w:ascii="Calibri" w:eastAsia="Times New Roman" w:hAnsi="Calibri" w:cs="Calibri"/>
          <w:lang w:eastAsia="en-NZ"/>
        </w:rPr>
      </w:pPr>
      <w:r w:rsidRPr="00BB6220">
        <w:rPr>
          <w:rFonts w:ascii="Calibri" w:eastAsia="Times New Roman" w:hAnsi="Calibri" w:cs="Calibri"/>
          <w:lang w:eastAsia="en-NZ"/>
        </w:rPr>
        <w:t>Both</w:t>
      </w:r>
      <w:r w:rsidR="003D640C">
        <w:rPr>
          <w:rFonts w:ascii="Calibri" w:eastAsia="Times New Roman" w:hAnsi="Calibri" w:cs="Calibri"/>
          <w:lang w:eastAsia="en-NZ"/>
        </w:rPr>
        <w:t xml:space="preserve"> </w:t>
      </w:r>
      <w:r w:rsidRPr="00BB6220">
        <w:rPr>
          <w:rFonts w:ascii="Calibri" w:eastAsia="Times New Roman" w:hAnsi="Calibri" w:cs="Calibri"/>
          <w:lang w:eastAsia="en-NZ"/>
        </w:rPr>
        <w:t>commitments</w:t>
      </w:r>
      <w:r w:rsidR="003D640C">
        <w:rPr>
          <w:rFonts w:ascii="Calibri" w:eastAsia="Times New Roman" w:hAnsi="Calibri" w:cs="Calibri"/>
          <w:lang w:eastAsia="en-NZ"/>
        </w:rPr>
        <w:t xml:space="preserve"> </w:t>
      </w:r>
      <w:r w:rsidRPr="00BB6220">
        <w:rPr>
          <w:rFonts w:ascii="Calibri" w:eastAsia="Times New Roman" w:hAnsi="Calibri" w:cs="Calibri"/>
          <w:lang w:eastAsia="en-NZ"/>
        </w:rPr>
        <w:t>are</w:t>
      </w:r>
      <w:r w:rsidR="003D640C">
        <w:rPr>
          <w:rFonts w:ascii="Calibri" w:eastAsia="Times New Roman" w:hAnsi="Calibri" w:cs="Calibri"/>
          <w:lang w:eastAsia="en-NZ"/>
        </w:rPr>
        <w:t xml:space="preserve"> </w:t>
      </w:r>
      <w:r w:rsidRPr="00BB6220">
        <w:rPr>
          <w:rFonts w:ascii="Calibri" w:eastAsia="Times New Roman" w:hAnsi="Calibri" w:cs="Calibri"/>
          <w:lang w:eastAsia="en-NZ"/>
        </w:rPr>
        <w:t>vital</w:t>
      </w:r>
      <w:r w:rsidR="003D640C">
        <w:rPr>
          <w:rFonts w:ascii="Calibri" w:eastAsia="Times New Roman" w:hAnsi="Calibri" w:cs="Calibri"/>
          <w:lang w:eastAsia="en-NZ"/>
        </w:rPr>
        <w:t xml:space="preserve"> </w:t>
      </w:r>
      <w:r w:rsidRPr="00BB6220">
        <w:rPr>
          <w:rFonts w:ascii="Calibri" w:eastAsia="Times New Roman" w:hAnsi="Calibri" w:cs="Calibri"/>
          <w:lang w:eastAsia="en-NZ"/>
        </w:rPr>
        <w:t>across</w:t>
      </w:r>
      <w:r w:rsidR="003D640C">
        <w:rPr>
          <w:rFonts w:ascii="Calibri" w:eastAsia="Times New Roman" w:hAnsi="Calibri" w:cs="Calibri"/>
          <w:lang w:eastAsia="en-NZ"/>
        </w:rPr>
        <w:t xml:space="preserve"> </w:t>
      </w:r>
      <w:r w:rsidRPr="00BB6220">
        <w:rPr>
          <w:rFonts w:ascii="Calibri" w:eastAsia="Times New Roman" w:hAnsi="Calibri" w:cs="Calibri"/>
          <w:lang w:eastAsia="en-NZ"/>
        </w:rPr>
        <w:t>all</w:t>
      </w:r>
      <w:r w:rsidR="003D640C">
        <w:rPr>
          <w:rFonts w:ascii="Calibri" w:eastAsia="Times New Roman" w:hAnsi="Calibri" w:cs="Calibri"/>
          <w:lang w:eastAsia="en-NZ"/>
        </w:rPr>
        <w:t xml:space="preserve"> </w:t>
      </w:r>
      <w:r w:rsidRPr="00BB6220">
        <w:rPr>
          <w:rFonts w:ascii="Calibri" w:eastAsia="Times New Roman" w:hAnsi="Calibri" w:cs="Calibri"/>
          <w:lang w:eastAsia="en-NZ"/>
        </w:rPr>
        <w:t>our</w:t>
      </w:r>
      <w:r w:rsidR="003D640C">
        <w:rPr>
          <w:rFonts w:ascii="Calibri" w:eastAsia="Times New Roman" w:hAnsi="Calibri" w:cs="Calibri"/>
          <w:lang w:eastAsia="en-NZ"/>
        </w:rPr>
        <w:t xml:space="preserve"> </w:t>
      </w:r>
      <w:r w:rsidRPr="00BB6220">
        <w:rPr>
          <w:rFonts w:ascii="Calibri" w:eastAsia="Times New Roman" w:hAnsi="Calibri" w:cs="Calibri"/>
          <w:lang w:eastAsia="en-NZ"/>
        </w:rPr>
        <w:t>wor</w:t>
      </w:r>
      <w:r>
        <w:rPr>
          <w:rFonts w:ascii="Calibri" w:eastAsia="Times New Roman" w:hAnsi="Calibri" w:cs="Calibri"/>
          <w:lang w:eastAsia="en-NZ"/>
        </w:rPr>
        <w:t>k.</w:t>
      </w:r>
      <w:r w:rsidR="003D640C">
        <w:rPr>
          <w:rFonts w:ascii="Calibri" w:eastAsia="Times New Roman" w:hAnsi="Calibri" w:cs="Calibri"/>
          <w:lang w:eastAsia="en-NZ"/>
        </w:rPr>
        <w:t xml:space="preserve"> </w:t>
      </w:r>
      <w:r>
        <w:rPr>
          <w:rFonts w:ascii="Calibri" w:eastAsia="Times New Roman" w:hAnsi="Calibri" w:cs="Calibri"/>
          <w:lang w:eastAsia="en-NZ"/>
        </w:rPr>
        <w:t>W</w:t>
      </w:r>
      <w:r w:rsidRPr="00BB6220">
        <w:rPr>
          <w:rFonts w:ascii="Calibri" w:eastAsia="Times New Roman" w:hAnsi="Calibri" w:cs="Calibri"/>
          <w:lang w:eastAsia="en-NZ"/>
        </w:rPr>
        <w:t>ith</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survivors</w:t>
      </w:r>
      <w:r w:rsidR="003D640C">
        <w:rPr>
          <w:rFonts w:ascii="Calibri" w:eastAsia="Times New Roman" w:hAnsi="Calibri" w:cs="Calibri"/>
          <w:lang w:eastAsia="en-NZ"/>
        </w:rPr>
        <w:t xml:space="preserve"> </w:t>
      </w:r>
      <w:r w:rsidRPr="00BB6220">
        <w:rPr>
          <w:rFonts w:ascii="Calibri" w:eastAsia="Times New Roman" w:hAnsi="Calibri" w:cs="Calibri"/>
          <w:lang w:eastAsia="en-NZ"/>
        </w:rPr>
        <w:t>setting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tone</w:t>
      </w:r>
      <w:r w:rsidR="003D640C">
        <w:rPr>
          <w:rFonts w:ascii="Calibri" w:eastAsia="Times New Roman" w:hAnsi="Calibri" w:cs="Calibri"/>
          <w:lang w:eastAsia="en-NZ"/>
        </w:rPr>
        <w:t xml:space="preserve"> </w:t>
      </w:r>
      <w:r w:rsidRPr="00BB6220">
        <w:rPr>
          <w:rFonts w:ascii="Calibri" w:eastAsia="Times New Roman" w:hAnsi="Calibri" w:cs="Calibri"/>
          <w:lang w:eastAsia="en-NZ"/>
        </w:rPr>
        <w:t>for</w:t>
      </w:r>
      <w:r w:rsidR="003D640C">
        <w:rPr>
          <w:rFonts w:ascii="Calibri" w:eastAsia="Times New Roman" w:hAnsi="Calibri" w:cs="Calibri"/>
          <w:lang w:eastAsia="en-NZ"/>
        </w:rPr>
        <w:t xml:space="preserve"> </w:t>
      </w:r>
      <w:r w:rsidRPr="00BB6220">
        <w:rPr>
          <w:rFonts w:ascii="Calibri" w:eastAsia="Times New Roman" w:hAnsi="Calibri" w:cs="Calibri"/>
          <w:lang w:eastAsia="en-NZ"/>
        </w:rPr>
        <w:t>empathy</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understanding,</w:t>
      </w:r>
      <w:r w:rsidR="003D640C">
        <w:rPr>
          <w:rFonts w:ascii="Calibri" w:eastAsia="Times New Roman" w:hAnsi="Calibri" w:cs="Calibri"/>
          <w:lang w:eastAsia="en-NZ"/>
        </w:rPr>
        <w:t xml:space="preserve"> </w:t>
      </w:r>
      <w:r w:rsidRPr="00BB6220">
        <w:rPr>
          <w:rFonts w:ascii="Calibri" w:eastAsia="Times New Roman" w:hAnsi="Calibri" w:cs="Calibri"/>
          <w:lang w:eastAsia="en-NZ"/>
        </w:rPr>
        <w:t>it</w:t>
      </w:r>
      <w:r w:rsidR="003D640C">
        <w:rPr>
          <w:rFonts w:ascii="Calibri" w:eastAsia="Times New Roman" w:hAnsi="Calibri" w:cs="Calibri"/>
          <w:lang w:eastAsia="en-NZ"/>
        </w:rPr>
        <w:t xml:space="preserve"> </w:t>
      </w:r>
      <w:r w:rsidRPr="00BB6220">
        <w:rPr>
          <w:rFonts w:ascii="Calibri" w:eastAsia="Times New Roman" w:hAnsi="Calibri" w:cs="Calibri"/>
          <w:lang w:eastAsia="en-NZ"/>
        </w:rPr>
        <w:t>gives</w:t>
      </w:r>
      <w:r w:rsidR="003D640C">
        <w:rPr>
          <w:rFonts w:ascii="Calibri" w:eastAsia="Times New Roman" w:hAnsi="Calibri" w:cs="Calibri"/>
          <w:lang w:eastAsia="en-NZ"/>
        </w:rPr>
        <w:t xml:space="preserve"> </w:t>
      </w:r>
      <w:r w:rsidRPr="00BB6220">
        <w:rPr>
          <w:rFonts w:ascii="Calibri" w:eastAsia="Times New Roman" w:hAnsi="Calibri" w:cs="Calibri"/>
          <w:lang w:eastAsia="en-NZ"/>
        </w:rPr>
        <w:t>us</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community</w:t>
      </w:r>
      <w:r w:rsidR="003D640C">
        <w:rPr>
          <w:rFonts w:ascii="Calibri" w:eastAsia="Times New Roman" w:hAnsi="Calibri" w:cs="Calibri"/>
          <w:lang w:eastAsia="en-NZ"/>
        </w:rPr>
        <w:t xml:space="preserve"> </w:t>
      </w:r>
      <w:r w:rsidRPr="00BB6220">
        <w:rPr>
          <w:rFonts w:ascii="Calibri" w:eastAsia="Times New Roman" w:hAnsi="Calibri" w:cs="Calibri"/>
          <w:lang w:eastAsia="en-NZ"/>
        </w:rPr>
        <w:t>mandate</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deliver</w:t>
      </w:r>
      <w:r w:rsidR="003D640C">
        <w:rPr>
          <w:rFonts w:ascii="Calibri" w:eastAsia="Times New Roman" w:hAnsi="Calibri" w:cs="Calibri"/>
          <w:lang w:eastAsia="en-NZ"/>
        </w:rPr>
        <w:t xml:space="preserve"> </w:t>
      </w:r>
      <w:r w:rsidRPr="00BB6220">
        <w:rPr>
          <w:rFonts w:ascii="Calibri" w:eastAsia="Times New Roman" w:hAnsi="Calibri" w:cs="Calibri"/>
          <w:lang w:eastAsia="en-NZ"/>
        </w:rPr>
        <w:t>education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mana-enhancing</w:t>
      </w:r>
      <w:r w:rsidR="003D640C">
        <w:rPr>
          <w:rFonts w:ascii="Calibri" w:eastAsia="Times New Roman" w:hAnsi="Calibri" w:cs="Calibri"/>
          <w:lang w:eastAsia="en-NZ"/>
        </w:rPr>
        <w:t xml:space="preserve"> </w:t>
      </w:r>
      <w:r w:rsidRPr="00BB6220">
        <w:rPr>
          <w:rFonts w:ascii="Calibri" w:eastAsia="Times New Roman" w:hAnsi="Calibri" w:cs="Calibri"/>
          <w:lang w:eastAsia="en-NZ"/>
        </w:rPr>
        <w:t>way</w:t>
      </w:r>
      <w:r>
        <w:rPr>
          <w:rFonts w:ascii="Calibri" w:eastAsia="Times New Roman" w:hAnsi="Calibri" w:cs="Calibri"/>
          <w:lang w:eastAsia="en-NZ"/>
        </w:rPr>
        <w:t>.</w:t>
      </w:r>
      <w:r w:rsidR="003D640C">
        <w:rPr>
          <w:rFonts w:ascii="Calibri" w:eastAsia="Times New Roman" w:hAnsi="Calibri" w:cs="Calibri"/>
          <w:lang w:eastAsia="en-NZ"/>
        </w:rPr>
        <w:t xml:space="preserve"> </w:t>
      </w:r>
      <w:r>
        <w:rPr>
          <w:rFonts w:ascii="Calibri" w:eastAsia="Times New Roman" w:hAnsi="Calibri" w:cs="Calibri"/>
          <w:lang w:eastAsia="en-NZ"/>
        </w:rPr>
        <w:t>This</w:t>
      </w:r>
      <w:r w:rsidR="003D640C">
        <w:rPr>
          <w:rFonts w:ascii="Calibri" w:eastAsia="Times New Roman" w:hAnsi="Calibri" w:cs="Calibri"/>
          <w:lang w:eastAsia="en-NZ"/>
        </w:rPr>
        <w:t xml:space="preserve"> </w:t>
      </w:r>
      <w:r w:rsidRPr="00BB6220">
        <w:rPr>
          <w:rFonts w:ascii="Calibri" w:eastAsia="Times New Roman" w:hAnsi="Calibri" w:cs="Calibri"/>
          <w:lang w:eastAsia="en-NZ"/>
        </w:rPr>
        <w:t>includ</w:t>
      </w:r>
      <w:r>
        <w:rPr>
          <w:rFonts w:ascii="Calibri" w:eastAsia="Times New Roman" w:hAnsi="Calibri" w:cs="Calibri"/>
          <w:lang w:eastAsia="en-NZ"/>
        </w:rPr>
        <w:t>es</w:t>
      </w:r>
      <w:r w:rsidR="003D640C">
        <w:rPr>
          <w:rFonts w:ascii="Calibri" w:eastAsia="Times New Roman" w:hAnsi="Calibri" w:cs="Calibri"/>
          <w:lang w:eastAsia="en-NZ"/>
        </w:rPr>
        <w:t xml:space="preserve"> </w:t>
      </w:r>
      <w:r>
        <w:rPr>
          <w:rFonts w:ascii="Calibri" w:eastAsia="Times New Roman" w:hAnsi="Calibri" w:cs="Calibri"/>
          <w:lang w:eastAsia="en-NZ"/>
        </w:rPr>
        <w:t>education</w:t>
      </w:r>
      <w:r w:rsidR="003D640C">
        <w:rPr>
          <w:rFonts w:ascii="Calibri" w:eastAsia="Times New Roman" w:hAnsi="Calibri" w:cs="Calibri"/>
          <w:lang w:eastAsia="en-NZ"/>
        </w:rPr>
        <w:t xml:space="preserve"> </w:t>
      </w:r>
      <w:r>
        <w:rPr>
          <w:rFonts w:ascii="Calibri" w:eastAsia="Times New Roman" w:hAnsi="Calibri" w:cs="Calibri"/>
          <w:lang w:eastAsia="en-NZ"/>
        </w:rPr>
        <w:t>for</w:t>
      </w:r>
      <w:r w:rsidR="003D640C">
        <w:rPr>
          <w:rFonts w:ascii="Calibri" w:eastAsia="Times New Roman" w:hAnsi="Calibri" w:cs="Calibri"/>
          <w:lang w:eastAsia="en-NZ"/>
        </w:rPr>
        <w:t xml:space="preserve"> </w:t>
      </w:r>
      <w:r w:rsidRPr="00BB6220">
        <w:rPr>
          <w:rFonts w:ascii="Calibri" w:eastAsia="Times New Roman" w:hAnsi="Calibri" w:cs="Calibri"/>
          <w:lang w:eastAsia="en-NZ"/>
        </w:rPr>
        <w:t>people</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organisations</w:t>
      </w:r>
      <w:r w:rsidR="003D640C">
        <w:rPr>
          <w:rFonts w:ascii="Calibri" w:eastAsia="Times New Roman" w:hAnsi="Calibri" w:cs="Calibri"/>
          <w:lang w:eastAsia="en-NZ"/>
        </w:rPr>
        <w:t xml:space="preserve"> </w:t>
      </w:r>
      <w:r w:rsidRPr="00BB6220">
        <w:rPr>
          <w:rFonts w:ascii="Calibri" w:eastAsia="Times New Roman" w:hAnsi="Calibri" w:cs="Calibri"/>
          <w:lang w:eastAsia="en-NZ"/>
        </w:rPr>
        <w:t>who</w:t>
      </w:r>
      <w:r w:rsidR="003D640C">
        <w:rPr>
          <w:rFonts w:ascii="Calibri" w:eastAsia="Times New Roman" w:hAnsi="Calibri" w:cs="Calibri"/>
          <w:lang w:eastAsia="en-NZ"/>
        </w:rPr>
        <w:t xml:space="preserve"> </w:t>
      </w:r>
      <w:r w:rsidRPr="00BB6220">
        <w:rPr>
          <w:rFonts w:ascii="Calibri" w:eastAsia="Times New Roman" w:hAnsi="Calibri" w:cs="Calibri"/>
          <w:lang w:eastAsia="en-NZ"/>
        </w:rPr>
        <w:t>could</w:t>
      </w:r>
      <w:r w:rsidR="003D640C">
        <w:rPr>
          <w:rFonts w:ascii="Calibri" w:eastAsia="Times New Roman" w:hAnsi="Calibri" w:cs="Calibri"/>
          <w:lang w:eastAsia="en-NZ"/>
        </w:rPr>
        <w:t xml:space="preserve"> </w:t>
      </w:r>
      <w:r w:rsidRPr="00BB6220">
        <w:rPr>
          <w:rFonts w:ascii="Calibri" w:eastAsia="Times New Roman" w:hAnsi="Calibri" w:cs="Calibri"/>
          <w:lang w:eastAsia="en-NZ"/>
        </w:rPr>
        <w:t>be</w:t>
      </w:r>
      <w:r w:rsidR="003D640C">
        <w:rPr>
          <w:rFonts w:ascii="Calibri" w:eastAsia="Times New Roman" w:hAnsi="Calibri" w:cs="Calibri"/>
          <w:lang w:eastAsia="en-NZ"/>
        </w:rPr>
        <w:t xml:space="preserve"> </w:t>
      </w:r>
      <w:r w:rsidRPr="00BB6220">
        <w:rPr>
          <w:rFonts w:ascii="Calibri" w:eastAsia="Times New Roman" w:hAnsi="Calibri" w:cs="Calibri"/>
          <w:lang w:eastAsia="en-NZ"/>
        </w:rPr>
        <w:t>potentially</w:t>
      </w:r>
      <w:r w:rsidR="003D640C">
        <w:rPr>
          <w:rFonts w:ascii="Calibri" w:eastAsia="Times New Roman" w:hAnsi="Calibri" w:cs="Calibri"/>
          <w:lang w:eastAsia="en-NZ"/>
        </w:rPr>
        <w:t xml:space="preserve"> </w:t>
      </w:r>
      <w:r w:rsidRPr="00BB6220">
        <w:rPr>
          <w:rFonts w:ascii="Calibri" w:eastAsia="Times New Roman" w:hAnsi="Calibri" w:cs="Calibri"/>
          <w:lang w:eastAsia="en-NZ"/>
        </w:rPr>
        <w:t>enacting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or</w:t>
      </w:r>
      <w:r w:rsidR="003D640C">
        <w:rPr>
          <w:rFonts w:ascii="Calibri" w:eastAsia="Times New Roman" w:hAnsi="Calibri" w:cs="Calibri"/>
          <w:lang w:eastAsia="en-NZ"/>
        </w:rPr>
        <w:t xml:space="preserve"> </w:t>
      </w:r>
      <w:r w:rsidRPr="00BB6220">
        <w:rPr>
          <w:rFonts w:ascii="Calibri" w:eastAsia="Times New Roman" w:hAnsi="Calibri" w:cs="Calibri"/>
          <w:lang w:eastAsia="en-NZ"/>
        </w:rPr>
        <w:t>supporting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p>
    <w:p w14:paraId="73381EF2" w14:textId="41B0B4AF" w:rsidR="00501068" w:rsidRDefault="00BB3F27" w:rsidP="0078026B">
      <w:pPr>
        <w:rPr>
          <w:rFonts w:ascii="Calibri" w:eastAsia="Times New Roman" w:hAnsi="Calibri" w:cs="Calibri"/>
          <w:lang w:eastAsia="en-NZ"/>
        </w:rPr>
      </w:pPr>
      <w:r w:rsidRPr="00BB6220">
        <w:rPr>
          <w:rFonts w:ascii="Calibri" w:eastAsia="Times New Roman" w:hAnsi="Calibri" w:cs="Calibri"/>
          <w:lang w:eastAsia="en-NZ"/>
        </w:rPr>
        <w:lastRenderedPageBreak/>
        <w:t>Throughout</w:t>
      </w:r>
      <w:r w:rsidR="003D640C">
        <w:rPr>
          <w:rFonts w:ascii="Calibri" w:eastAsia="Times New Roman" w:hAnsi="Calibri" w:cs="Calibri"/>
          <w:lang w:eastAsia="en-NZ"/>
        </w:rPr>
        <w:t xml:space="preserve"> </w:t>
      </w:r>
      <w:r w:rsidRPr="00BB6220">
        <w:rPr>
          <w:rFonts w:ascii="Calibri" w:eastAsia="Times New Roman" w:hAnsi="Calibri" w:cs="Calibri"/>
          <w:lang w:eastAsia="en-NZ"/>
        </w:rPr>
        <w:t>our</w:t>
      </w:r>
      <w:r w:rsidR="003D640C">
        <w:rPr>
          <w:rFonts w:ascii="Calibri" w:eastAsia="Times New Roman" w:hAnsi="Calibri" w:cs="Calibri"/>
          <w:lang w:eastAsia="en-NZ"/>
        </w:rPr>
        <w:t xml:space="preserve"> </w:t>
      </w:r>
      <w:r w:rsidRPr="00BB6220">
        <w:rPr>
          <w:rFonts w:ascii="Calibri" w:eastAsia="Times New Roman" w:hAnsi="Calibri" w:cs="Calibri"/>
          <w:lang w:eastAsia="en-NZ"/>
        </w:rPr>
        <w:t>18-month</w:t>
      </w:r>
      <w:r w:rsidR="003D640C">
        <w:rPr>
          <w:rFonts w:ascii="Calibri" w:eastAsia="Times New Roman" w:hAnsi="Calibri" w:cs="Calibri"/>
          <w:lang w:eastAsia="en-NZ"/>
        </w:rPr>
        <w:t xml:space="preserve"> </w:t>
      </w:r>
      <w:r w:rsidRPr="00BB6220">
        <w:rPr>
          <w:rFonts w:ascii="Calibri" w:eastAsia="Times New Roman" w:hAnsi="Calibri" w:cs="Calibri"/>
          <w:lang w:eastAsia="en-NZ"/>
        </w:rPr>
        <w:t>implementation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project</w:t>
      </w:r>
      <w:r w:rsidR="007A7C28">
        <w:rPr>
          <w:rFonts w:ascii="Calibri" w:eastAsia="Times New Roman" w:hAnsi="Calibri" w:cs="Calibri"/>
          <w:lang w:eastAsia="en-NZ"/>
        </w:rPr>
        <w:t>,</w:t>
      </w:r>
      <w:r w:rsidR="003D640C">
        <w:rPr>
          <w:rFonts w:ascii="Calibri" w:eastAsia="Times New Roman" w:hAnsi="Calibri" w:cs="Calibri"/>
          <w:lang w:eastAsia="en-NZ"/>
        </w:rPr>
        <w:t xml:space="preserve"> </w:t>
      </w:r>
      <w:r w:rsidRPr="00BB6220">
        <w:rPr>
          <w:rFonts w:ascii="Calibri" w:eastAsia="Times New Roman" w:hAnsi="Calibri" w:cs="Calibri"/>
          <w:lang w:eastAsia="en-NZ"/>
        </w:rPr>
        <w:t>we</w:t>
      </w:r>
      <w:r w:rsidR="003D640C">
        <w:rPr>
          <w:rFonts w:ascii="Calibri" w:eastAsia="Times New Roman" w:hAnsi="Calibri" w:cs="Calibri"/>
          <w:lang w:eastAsia="en-NZ"/>
        </w:rPr>
        <w:t xml:space="preserve"> </w:t>
      </w:r>
      <w:r w:rsidRPr="00BB6220">
        <w:rPr>
          <w:rFonts w:ascii="Calibri" w:eastAsia="Times New Roman" w:hAnsi="Calibri" w:cs="Calibri"/>
          <w:lang w:eastAsia="en-NZ"/>
        </w:rPr>
        <w:t>continued</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hear</w:t>
      </w:r>
      <w:r w:rsidR="003D640C">
        <w:rPr>
          <w:rFonts w:ascii="Calibri" w:eastAsia="Times New Roman" w:hAnsi="Calibri" w:cs="Calibri"/>
          <w:lang w:eastAsia="en-NZ"/>
        </w:rPr>
        <w:t xml:space="preserve"> </w:t>
      </w:r>
      <w:r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survivors</w:t>
      </w:r>
      <w:r w:rsidR="003D640C">
        <w:rPr>
          <w:rFonts w:ascii="Calibri" w:eastAsia="Times New Roman" w:hAnsi="Calibri" w:cs="Calibri"/>
          <w:lang w:eastAsia="en-NZ"/>
        </w:rPr>
        <w:t xml:space="preserve"> </w:t>
      </w:r>
      <w:r w:rsidRPr="00BB6220">
        <w:rPr>
          <w:rFonts w:ascii="Calibri" w:eastAsia="Times New Roman" w:hAnsi="Calibri" w:cs="Calibri"/>
          <w:lang w:eastAsia="en-NZ"/>
        </w:rPr>
        <w:t>through</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variety</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channels</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on</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range</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topics.</w:t>
      </w:r>
      <w:r w:rsidR="003D640C">
        <w:rPr>
          <w:rFonts w:ascii="Calibri" w:eastAsia="Times New Roman" w:hAnsi="Calibri" w:cs="Calibri"/>
          <w:lang w:eastAsia="en-NZ"/>
        </w:rPr>
        <w:t xml:space="preserve"> </w:t>
      </w:r>
      <w:r w:rsidRPr="00BB6220">
        <w:rPr>
          <w:rFonts w:ascii="Calibri" w:eastAsia="Times New Roman" w:hAnsi="Calibri" w:cs="Calibri"/>
          <w:lang w:eastAsia="en-NZ"/>
        </w:rPr>
        <w:t>Their</w:t>
      </w:r>
      <w:r w:rsidR="003D640C">
        <w:rPr>
          <w:rFonts w:ascii="Calibri" w:eastAsia="Times New Roman" w:hAnsi="Calibri" w:cs="Calibri"/>
          <w:lang w:eastAsia="en-NZ"/>
        </w:rPr>
        <w:t xml:space="preserve"> </w:t>
      </w:r>
      <w:r w:rsidRPr="00BB6220">
        <w:rPr>
          <w:rFonts w:ascii="Calibri" w:eastAsia="Times New Roman" w:hAnsi="Calibri" w:cs="Calibri"/>
          <w:lang w:eastAsia="en-NZ"/>
        </w:rPr>
        <w:t>wisdom,</w:t>
      </w:r>
      <w:r w:rsidR="003D640C">
        <w:rPr>
          <w:rFonts w:ascii="Calibri" w:eastAsia="Times New Roman" w:hAnsi="Calibri" w:cs="Calibri"/>
          <w:lang w:eastAsia="en-NZ"/>
        </w:rPr>
        <w:t xml:space="preserve"> </w:t>
      </w:r>
      <w:r w:rsidRPr="00BB6220">
        <w:rPr>
          <w:rFonts w:ascii="Calibri" w:eastAsia="Times New Roman" w:hAnsi="Calibri" w:cs="Calibri"/>
          <w:lang w:eastAsia="en-NZ"/>
        </w:rPr>
        <w:t>empathy,</w:t>
      </w:r>
      <w:r w:rsidR="003D640C">
        <w:rPr>
          <w:rFonts w:ascii="Calibri" w:eastAsia="Times New Roman" w:hAnsi="Calibri" w:cs="Calibri"/>
          <w:lang w:eastAsia="en-NZ"/>
        </w:rPr>
        <w:t xml:space="preserve"> </w:t>
      </w:r>
      <w:r w:rsidRPr="00BB6220">
        <w:rPr>
          <w:rFonts w:ascii="Calibri" w:eastAsia="Times New Roman" w:hAnsi="Calibri" w:cs="Calibri"/>
          <w:lang w:eastAsia="en-NZ"/>
        </w:rPr>
        <w:t>advice,</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calls</w:t>
      </w:r>
      <w:r w:rsidR="003D640C">
        <w:rPr>
          <w:rFonts w:ascii="Calibri" w:eastAsia="Times New Roman" w:hAnsi="Calibri" w:cs="Calibri"/>
          <w:lang w:eastAsia="en-NZ"/>
        </w:rPr>
        <w:t xml:space="preserve"> </w:t>
      </w:r>
      <w:r w:rsidRPr="00BB6220">
        <w:rPr>
          <w:rFonts w:ascii="Calibri" w:eastAsia="Times New Roman" w:hAnsi="Calibri" w:cs="Calibri"/>
          <w:lang w:eastAsia="en-NZ"/>
        </w:rPr>
        <w:t>for</w:t>
      </w:r>
      <w:r w:rsidR="003D640C">
        <w:rPr>
          <w:rFonts w:ascii="Calibri" w:eastAsia="Times New Roman" w:hAnsi="Calibri" w:cs="Calibri"/>
          <w:lang w:eastAsia="en-NZ"/>
        </w:rPr>
        <w:t xml:space="preserve"> </w:t>
      </w:r>
      <w:r w:rsidRPr="00BB6220">
        <w:rPr>
          <w:rFonts w:ascii="Calibri" w:eastAsia="Times New Roman" w:hAnsi="Calibri" w:cs="Calibri"/>
          <w:lang w:eastAsia="en-NZ"/>
        </w:rPr>
        <w:t>action</w:t>
      </w:r>
      <w:r w:rsidR="003D640C">
        <w:rPr>
          <w:rFonts w:ascii="Calibri" w:eastAsia="Times New Roman" w:hAnsi="Calibri" w:cs="Calibri"/>
          <w:lang w:eastAsia="en-NZ"/>
        </w:rPr>
        <w:t xml:space="preserve"> </w:t>
      </w:r>
      <w:r>
        <w:rPr>
          <w:rFonts w:ascii="Calibri" w:eastAsia="Times New Roman" w:hAnsi="Calibri" w:cs="Calibri"/>
          <w:lang w:eastAsia="en-NZ"/>
        </w:rPr>
        <w:t>shaped</w:t>
      </w:r>
      <w:r w:rsidR="003D640C">
        <w:rPr>
          <w:rFonts w:ascii="Calibri" w:eastAsia="Times New Roman" w:hAnsi="Calibri" w:cs="Calibri"/>
          <w:lang w:eastAsia="en-NZ"/>
        </w:rPr>
        <w:t xml:space="preserve"> </w:t>
      </w:r>
      <w:r>
        <w:rPr>
          <w:rFonts w:ascii="Calibri" w:eastAsia="Times New Roman" w:hAnsi="Calibri" w:cs="Calibri"/>
          <w:lang w:eastAsia="en-NZ"/>
        </w:rPr>
        <w:t>our</w:t>
      </w:r>
      <w:r w:rsidR="003D640C">
        <w:rPr>
          <w:rFonts w:ascii="Calibri" w:eastAsia="Times New Roman" w:hAnsi="Calibri" w:cs="Calibri"/>
          <w:lang w:eastAsia="en-NZ"/>
        </w:rPr>
        <w:t xml:space="preserve"> </w:t>
      </w:r>
      <w:r w:rsidRPr="00BB6220">
        <w:rPr>
          <w:rFonts w:ascii="Calibri" w:eastAsia="Times New Roman" w:hAnsi="Calibri" w:cs="Calibri"/>
          <w:lang w:eastAsia="en-NZ"/>
        </w:rPr>
        <w:t>work</w:t>
      </w:r>
      <w:r w:rsidR="003D640C">
        <w:rPr>
          <w:rFonts w:ascii="Calibri" w:eastAsia="Times New Roman" w:hAnsi="Calibri" w:cs="Calibri"/>
          <w:lang w:eastAsia="en-NZ"/>
        </w:rPr>
        <w:t xml:space="preserve"> </w:t>
      </w:r>
      <w:r w:rsidRPr="00BB6220">
        <w:rPr>
          <w:rFonts w:ascii="Calibri" w:eastAsia="Times New Roman" w:hAnsi="Calibri" w:cs="Calibri"/>
          <w:lang w:eastAsia="en-NZ"/>
        </w:rPr>
        <w:t>programme</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insights</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recommendations</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this</w:t>
      </w:r>
      <w:r w:rsidR="003D640C">
        <w:rPr>
          <w:rFonts w:ascii="Calibri" w:eastAsia="Times New Roman" w:hAnsi="Calibri" w:cs="Calibri"/>
          <w:lang w:eastAsia="en-NZ"/>
        </w:rPr>
        <w:t xml:space="preserve"> </w:t>
      </w:r>
      <w:r w:rsidRPr="00BB6220">
        <w:rPr>
          <w:rFonts w:ascii="Calibri" w:eastAsia="Times New Roman" w:hAnsi="Calibri" w:cs="Calibri"/>
          <w:lang w:eastAsia="en-NZ"/>
        </w:rPr>
        <w:t>report.</w:t>
      </w:r>
      <w:r w:rsidR="003D640C">
        <w:rPr>
          <w:rFonts w:ascii="Calibri" w:eastAsia="Times New Roman" w:hAnsi="Calibri" w:cs="Calibri"/>
          <w:lang w:eastAsia="en-NZ"/>
        </w:rPr>
        <w:t xml:space="preserve"> </w:t>
      </w:r>
    </w:p>
    <w:p w14:paraId="132D93AF" w14:textId="0915067D" w:rsidR="00501068" w:rsidRDefault="00994998" w:rsidP="0078026B">
      <w:pPr>
        <w:rPr>
          <w:rFonts w:ascii="Calibri" w:eastAsia="Times New Roman" w:hAnsi="Calibri" w:cs="Calibri"/>
          <w:lang w:eastAsia="en-NZ"/>
        </w:rPr>
      </w:pPr>
      <w:r w:rsidRPr="282C6B38">
        <w:rPr>
          <w:rFonts w:ascii="Calibri" w:eastAsia="Times New Roman" w:hAnsi="Calibri" w:cs="Calibri"/>
          <w:lang w:eastAsia="en-NZ"/>
        </w:rPr>
        <w:t>We</w:t>
      </w:r>
      <w:r w:rsidR="003D640C">
        <w:rPr>
          <w:rFonts w:ascii="Calibri" w:eastAsia="Times New Roman" w:hAnsi="Calibri" w:cs="Calibri"/>
          <w:lang w:eastAsia="en-NZ"/>
        </w:rPr>
        <w:t xml:space="preserve"> </w:t>
      </w:r>
      <w:r w:rsidR="00FB360B">
        <w:rPr>
          <w:rFonts w:ascii="Calibri" w:eastAsia="Times New Roman" w:hAnsi="Calibri" w:cs="Calibri"/>
          <w:lang w:eastAsia="en-NZ"/>
        </w:rPr>
        <w:t>engaged</w:t>
      </w:r>
      <w:r w:rsidR="003D640C">
        <w:rPr>
          <w:rFonts w:ascii="Calibri" w:eastAsia="Times New Roman" w:hAnsi="Calibri" w:cs="Calibri"/>
          <w:lang w:eastAsia="en-NZ"/>
        </w:rPr>
        <w:t xml:space="preserve"> </w:t>
      </w:r>
      <w:r w:rsidRPr="282C6B38">
        <w:rPr>
          <w:rFonts w:ascii="Calibri" w:eastAsia="Times New Roman" w:hAnsi="Calibri" w:cs="Calibri"/>
          <w:lang w:eastAsia="en-NZ"/>
        </w:rPr>
        <w:t>with</w:t>
      </w:r>
      <w:r w:rsidR="003D640C">
        <w:rPr>
          <w:rFonts w:ascii="Calibri" w:eastAsia="Times New Roman" w:hAnsi="Calibri" w:cs="Calibri"/>
          <w:lang w:eastAsia="en-NZ"/>
        </w:rPr>
        <w:t xml:space="preserve"> </w:t>
      </w:r>
      <w:r w:rsidRPr="282C6B38">
        <w:rPr>
          <w:rFonts w:ascii="Calibri" w:eastAsia="Times New Roman" w:hAnsi="Calibri" w:cs="Calibri"/>
          <w:lang w:eastAsia="en-NZ"/>
        </w:rPr>
        <w:t>people</w:t>
      </w:r>
      <w:r w:rsidR="003D640C">
        <w:rPr>
          <w:rFonts w:ascii="Calibri" w:eastAsia="Times New Roman" w:hAnsi="Calibri" w:cs="Calibri"/>
          <w:lang w:eastAsia="en-NZ"/>
        </w:rPr>
        <w:t xml:space="preserve"> </w:t>
      </w:r>
      <w:r w:rsidRPr="282C6B38">
        <w:rPr>
          <w:rFonts w:ascii="Calibri" w:eastAsia="Times New Roman" w:hAnsi="Calibri" w:cs="Calibri"/>
          <w:lang w:eastAsia="en-NZ"/>
        </w:rPr>
        <w:t>with</w:t>
      </w:r>
      <w:r w:rsidR="003D640C">
        <w:rPr>
          <w:rFonts w:ascii="Calibri" w:eastAsia="Times New Roman" w:hAnsi="Calibri" w:cs="Calibri"/>
          <w:lang w:eastAsia="en-NZ"/>
        </w:rPr>
        <w:t xml:space="preserve"> </w:t>
      </w:r>
      <w:r w:rsidRPr="282C6B38">
        <w:rPr>
          <w:rFonts w:ascii="Calibri" w:eastAsia="Times New Roman" w:hAnsi="Calibri" w:cs="Calibri"/>
          <w:lang w:eastAsia="en-NZ"/>
        </w:rPr>
        <w:t>lived</w:t>
      </w:r>
      <w:r w:rsidR="003D640C">
        <w:rPr>
          <w:rFonts w:ascii="Calibri" w:eastAsia="Times New Roman" w:hAnsi="Calibri" w:cs="Calibri"/>
          <w:lang w:eastAsia="en-NZ"/>
        </w:rPr>
        <w:t xml:space="preserve"> </w:t>
      </w:r>
      <w:r w:rsidRPr="282C6B38">
        <w:rPr>
          <w:rFonts w:ascii="Calibri" w:eastAsia="Times New Roman" w:hAnsi="Calibri" w:cs="Calibri"/>
          <w:lang w:eastAsia="en-NZ"/>
        </w:rPr>
        <w:t>experience</w:t>
      </w:r>
      <w:r w:rsidR="003D640C">
        <w:rPr>
          <w:rFonts w:ascii="Calibri" w:eastAsia="Times New Roman" w:hAnsi="Calibri" w:cs="Calibri"/>
          <w:lang w:eastAsia="en-NZ"/>
        </w:rPr>
        <w:t xml:space="preserve"> </w:t>
      </w:r>
      <w:r w:rsidRPr="282C6B38">
        <w:rPr>
          <w:rFonts w:ascii="Calibri" w:eastAsia="Times New Roman" w:hAnsi="Calibri" w:cs="Calibri"/>
          <w:lang w:eastAsia="en-NZ"/>
        </w:rPr>
        <w:t>of</w:t>
      </w:r>
      <w:r w:rsidR="003D640C">
        <w:rPr>
          <w:rFonts w:ascii="Calibri" w:eastAsia="Times New Roman" w:hAnsi="Calibri" w:cs="Calibri"/>
          <w:lang w:eastAsia="en-NZ"/>
        </w:rPr>
        <w:t xml:space="preserve"> </w:t>
      </w:r>
      <w:r w:rsidRPr="282C6B38">
        <w:rPr>
          <w:rFonts w:ascii="Calibri" w:eastAsia="Times New Roman" w:hAnsi="Calibri" w:cs="Calibri"/>
          <w:lang w:eastAsia="en-NZ"/>
        </w:rPr>
        <w:t>conversion</w:t>
      </w:r>
      <w:r w:rsidR="003D640C">
        <w:rPr>
          <w:rFonts w:ascii="Calibri" w:eastAsia="Times New Roman" w:hAnsi="Calibri" w:cs="Calibri"/>
          <w:lang w:eastAsia="en-NZ"/>
        </w:rPr>
        <w:t xml:space="preserve"> </w:t>
      </w:r>
      <w:r w:rsidRPr="282C6B38">
        <w:rPr>
          <w:rFonts w:ascii="Calibri" w:eastAsia="Times New Roman" w:hAnsi="Calibri" w:cs="Calibri"/>
          <w:lang w:eastAsia="en-NZ"/>
        </w:rPr>
        <w:t>practices</w:t>
      </w:r>
      <w:r w:rsidR="003D640C">
        <w:rPr>
          <w:rFonts w:ascii="Calibri" w:eastAsia="Times New Roman" w:hAnsi="Calibri" w:cs="Calibri"/>
          <w:lang w:eastAsia="en-NZ"/>
        </w:rPr>
        <w:t xml:space="preserve"> </w:t>
      </w:r>
      <w:r w:rsidRPr="282C6B38">
        <w:rPr>
          <w:rFonts w:ascii="Calibri" w:eastAsia="Times New Roman" w:hAnsi="Calibri" w:cs="Calibri"/>
          <w:lang w:eastAsia="en-NZ"/>
        </w:rPr>
        <w:t>through</w:t>
      </w:r>
      <w:r w:rsidR="003D640C">
        <w:rPr>
          <w:rFonts w:ascii="Calibri" w:eastAsia="Times New Roman" w:hAnsi="Calibri" w:cs="Calibri"/>
          <w:lang w:eastAsia="en-NZ"/>
        </w:rPr>
        <w:t xml:space="preserve"> </w:t>
      </w:r>
      <w:r w:rsidRPr="282C6B38">
        <w:rPr>
          <w:rFonts w:ascii="Calibri" w:eastAsia="Times New Roman" w:hAnsi="Calibri" w:cs="Calibri"/>
          <w:lang w:eastAsia="en-NZ"/>
        </w:rPr>
        <w:t>Rainbow</w:t>
      </w:r>
      <w:r w:rsidR="003D640C">
        <w:rPr>
          <w:rFonts w:ascii="Calibri" w:eastAsia="Times New Roman" w:hAnsi="Calibri" w:cs="Calibri"/>
          <w:lang w:eastAsia="en-NZ"/>
        </w:rPr>
        <w:t xml:space="preserve"> </w:t>
      </w:r>
      <w:r w:rsidRPr="282C6B38">
        <w:rPr>
          <w:rFonts w:ascii="Calibri" w:eastAsia="Times New Roman" w:hAnsi="Calibri" w:cs="Calibri"/>
          <w:lang w:eastAsia="en-NZ"/>
        </w:rPr>
        <w:t>networks</w:t>
      </w:r>
      <w:r w:rsidR="003D640C">
        <w:rPr>
          <w:rFonts w:ascii="Calibri" w:eastAsia="Times New Roman" w:hAnsi="Calibri" w:cs="Calibri"/>
          <w:lang w:eastAsia="en-NZ"/>
        </w:rPr>
        <w:t xml:space="preserve"> </w:t>
      </w:r>
      <w:r w:rsidRPr="282C6B38">
        <w:rPr>
          <w:rFonts w:ascii="Calibri" w:eastAsia="Times New Roman" w:hAnsi="Calibri" w:cs="Calibri"/>
          <w:lang w:eastAsia="en-NZ"/>
        </w:rPr>
        <w:t>and</w:t>
      </w:r>
      <w:r w:rsidR="003D640C">
        <w:rPr>
          <w:rFonts w:ascii="Calibri" w:eastAsia="Times New Roman" w:hAnsi="Calibri" w:cs="Calibri"/>
          <w:lang w:eastAsia="en-NZ"/>
        </w:rPr>
        <w:t xml:space="preserve"> </w:t>
      </w:r>
      <w:r w:rsidRPr="282C6B38">
        <w:rPr>
          <w:rFonts w:ascii="Calibri" w:eastAsia="Times New Roman" w:hAnsi="Calibri" w:cs="Calibri"/>
          <w:lang w:eastAsia="en-NZ"/>
        </w:rPr>
        <w:t>through</w:t>
      </w:r>
      <w:r w:rsidR="003D640C">
        <w:rPr>
          <w:rFonts w:ascii="Calibri" w:eastAsia="Times New Roman" w:hAnsi="Calibri" w:cs="Calibri"/>
          <w:lang w:eastAsia="en-NZ"/>
        </w:rPr>
        <w:t xml:space="preserve"> </w:t>
      </w:r>
      <w:r w:rsidRPr="282C6B38">
        <w:rPr>
          <w:rFonts w:ascii="Calibri" w:eastAsia="Times New Roman" w:hAnsi="Calibri" w:cs="Calibri"/>
          <w:lang w:eastAsia="en-NZ"/>
        </w:rPr>
        <w:t>survivor</w:t>
      </w:r>
      <w:r w:rsidR="003D640C">
        <w:rPr>
          <w:rFonts w:ascii="Calibri" w:eastAsia="Times New Roman" w:hAnsi="Calibri" w:cs="Calibri"/>
          <w:lang w:eastAsia="en-NZ"/>
        </w:rPr>
        <w:t xml:space="preserve"> </w:t>
      </w:r>
      <w:r w:rsidRPr="282C6B38">
        <w:rPr>
          <w:rFonts w:ascii="Calibri" w:eastAsia="Times New Roman" w:hAnsi="Calibri" w:cs="Calibri"/>
          <w:lang w:eastAsia="en-NZ"/>
        </w:rPr>
        <w:t>networks.</w:t>
      </w:r>
      <w:r w:rsidR="003D640C">
        <w:rPr>
          <w:rFonts w:ascii="Calibri" w:eastAsia="Times New Roman" w:hAnsi="Calibri" w:cs="Calibri"/>
          <w:lang w:eastAsia="en-NZ"/>
        </w:rPr>
        <w:t xml:space="preserve"> </w:t>
      </w:r>
      <w:r w:rsidRPr="282C6B38">
        <w:rPr>
          <w:rFonts w:ascii="Calibri" w:eastAsia="Times New Roman" w:hAnsi="Calibri" w:cs="Calibri"/>
          <w:lang w:eastAsia="en-NZ"/>
        </w:rPr>
        <w:t>In</w:t>
      </w:r>
      <w:r w:rsidR="003D640C">
        <w:rPr>
          <w:rFonts w:ascii="Calibri" w:eastAsia="Times New Roman" w:hAnsi="Calibri" w:cs="Calibri"/>
          <w:lang w:eastAsia="en-NZ"/>
        </w:rPr>
        <w:t xml:space="preserve"> </w:t>
      </w:r>
      <w:r w:rsidRPr="282C6B38">
        <w:rPr>
          <w:rFonts w:ascii="Calibri" w:eastAsia="Times New Roman" w:hAnsi="Calibri" w:cs="Calibri"/>
          <w:lang w:eastAsia="en-NZ"/>
        </w:rPr>
        <w:t>addition,</w:t>
      </w:r>
      <w:r w:rsidR="003D640C">
        <w:rPr>
          <w:rFonts w:ascii="Calibri" w:eastAsia="Times New Roman" w:hAnsi="Calibri" w:cs="Calibri"/>
          <w:lang w:eastAsia="en-NZ"/>
        </w:rPr>
        <w:t xml:space="preserve"> </w:t>
      </w:r>
      <w:r w:rsidRPr="282C6B38">
        <w:rPr>
          <w:rFonts w:ascii="Calibri" w:eastAsia="Times New Roman" w:hAnsi="Calibri" w:cs="Calibri"/>
          <w:lang w:eastAsia="en-NZ"/>
        </w:rPr>
        <w:t>over</w:t>
      </w:r>
      <w:r w:rsidR="003D640C">
        <w:rPr>
          <w:rFonts w:ascii="Calibri" w:eastAsia="Times New Roman" w:hAnsi="Calibri" w:cs="Calibri"/>
          <w:lang w:eastAsia="en-NZ"/>
        </w:rPr>
        <w:t xml:space="preserve"> </w:t>
      </w:r>
      <w:r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Pr="282C6B38">
        <w:rPr>
          <w:rFonts w:ascii="Calibri" w:eastAsia="Times New Roman" w:hAnsi="Calibri" w:cs="Calibri"/>
          <w:lang w:eastAsia="en-NZ"/>
        </w:rPr>
        <w:t>course</w:t>
      </w:r>
      <w:r w:rsidR="003D640C">
        <w:rPr>
          <w:rFonts w:ascii="Calibri" w:eastAsia="Times New Roman" w:hAnsi="Calibri" w:cs="Calibri"/>
          <w:lang w:eastAsia="en-NZ"/>
        </w:rPr>
        <w:t xml:space="preserve"> </w:t>
      </w:r>
      <w:r w:rsidRPr="282C6B38">
        <w:rPr>
          <w:rFonts w:ascii="Calibri" w:eastAsia="Times New Roman" w:hAnsi="Calibri" w:cs="Calibri"/>
          <w:lang w:eastAsia="en-NZ"/>
        </w:rPr>
        <w:t>of</w:t>
      </w:r>
      <w:r w:rsidR="003D640C">
        <w:rPr>
          <w:rFonts w:ascii="Calibri" w:eastAsia="Times New Roman" w:hAnsi="Calibri" w:cs="Calibri"/>
          <w:lang w:eastAsia="en-NZ"/>
        </w:rPr>
        <w:t xml:space="preserve"> </w:t>
      </w:r>
      <w:r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Pr="282C6B38">
        <w:rPr>
          <w:rFonts w:ascii="Calibri" w:eastAsia="Times New Roman" w:hAnsi="Calibri" w:cs="Calibri"/>
          <w:lang w:eastAsia="en-NZ"/>
        </w:rPr>
        <w:t>18</w:t>
      </w:r>
      <w:r w:rsidR="003D640C">
        <w:rPr>
          <w:rFonts w:ascii="Calibri" w:eastAsia="Times New Roman" w:hAnsi="Calibri" w:cs="Calibri"/>
          <w:lang w:eastAsia="en-NZ"/>
        </w:rPr>
        <w:t xml:space="preserve"> </w:t>
      </w:r>
      <w:r w:rsidRPr="282C6B38">
        <w:rPr>
          <w:rFonts w:ascii="Calibri" w:eastAsia="Times New Roman" w:hAnsi="Calibri" w:cs="Calibri"/>
          <w:lang w:eastAsia="en-NZ"/>
        </w:rPr>
        <w:t>months</w:t>
      </w:r>
      <w:r w:rsidR="003D640C">
        <w:rPr>
          <w:rFonts w:ascii="Calibri" w:eastAsia="Times New Roman" w:hAnsi="Calibri" w:cs="Calibri"/>
          <w:lang w:eastAsia="en-NZ"/>
        </w:rPr>
        <w:t xml:space="preserve"> </w:t>
      </w:r>
      <w:r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Pr="282C6B38">
        <w:rPr>
          <w:rFonts w:ascii="Calibri" w:eastAsia="Times New Roman" w:hAnsi="Calibri" w:cs="Calibri"/>
          <w:lang w:eastAsia="en-NZ"/>
        </w:rPr>
        <w:t>work</w:t>
      </w:r>
      <w:r w:rsidR="003D640C">
        <w:rPr>
          <w:rFonts w:ascii="Calibri" w:eastAsia="Times New Roman" w:hAnsi="Calibri" w:cs="Calibri"/>
          <w:lang w:eastAsia="en-NZ"/>
        </w:rPr>
        <w:t xml:space="preserve"> </w:t>
      </w:r>
      <w:r w:rsidRPr="282C6B38">
        <w:rPr>
          <w:rFonts w:ascii="Calibri" w:eastAsia="Times New Roman" w:hAnsi="Calibri" w:cs="Calibri"/>
          <w:lang w:eastAsia="en-NZ"/>
        </w:rPr>
        <w:t>was</w:t>
      </w:r>
      <w:r w:rsidR="003D640C">
        <w:rPr>
          <w:rFonts w:ascii="Calibri" w:eastAsia="Times New Roman" w:hAnsi="Calibri" w:cs="Calibri"/>
          <w:lang w:eastAsia="en-NZ"/>
        </w:rPr>
        <w:t xml:space="preserve"> </w:t>
      </w:r>
      <w:r w:rsidRPr="282C6B38">
        <w:rPr>
          <w:rFonts w:ascii="Calibri" w:eastAsia="Times New Roman" w:hAnsi="Calibri" w:cs="Calibri"/>
          <w:lang w:eastAsia="en-NZ"/>
        </w:rPr>
        <w:t>being</w:t>
      </w:r>
      <w:r w:rsidR="003D640C">
        <w:rPr>
          <w:rFonts w:ascii="Calibri" w:eastAsia="Times New Roman" w:hAnsi="Calibri" w:cs="Calibri"/>
          <w:lang w:eastAsia="en-NZ"/>
        </w:rPr>
        <w:t xml:space="preserve"> </w:t>
      </w:r>
      <w:r w:rsidRPr="282C6B38">
        <w:rPr>
          <w:rFonts w:ascii="Calibri" w:eastAsia="Times New Roman" w:hAnsi="Calibri" w:cs="Calibri"/>
          <w:lang w:eastAsia="en-NZ"/>
        </w:rPr>
        <w:t>carried</w:t>
      </w:r>
      <w:r w:rsidR="003D640C">
        <w:rPr>
          <w:rFonts w:ascii="Calibri" w:eastAsia="Times New Roman" w:hAnsi="Calibri" w:cs="Calibri"/>
          <w:lang w:eastAsia="en-NZ"/>
        </w:rPr>
        <w:t xml:space="preserve"> </w:t>
      </w:r>
      <w:r w:rsidRPr="282C6B38">
        <w:rPr>
          <w:rFonts w:ascii="Calibri" w:eastAsia="Times New Roman" w:hAnsi="Calibri" w:cs="Calibri"/>
          <w:lang w:eastAsia="en-NZ"/>
        </w:rPr>
        <w:t>out,</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any</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survivor</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of</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conversion</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practices</w:t>
      </w:r>
      <w:r w:rsidR="003D640C">
        <w:rPr>
          <w:rFonts w:ascii="Calibri" w:eastAsia="Times New Roman" w:hAnsi="Calibri" w:cs="Calibri"/>
          <w:lang w:eastAsia="en-NZ"/>
        </w:rPr>
        <w:t xml:space="preserve"> </w:t>
      </w:r>
      <w:r w:rsidR="007A7C28">
        <w:rPr>
          <w:rFonts w:ascii="Calibri" w:eastAsia="Times New Roman" w:hAnsi="Calibri" w:cs="Calibri"/>
          <w:lang w:eastAsia="en-NZ"/>
        </w:rPr>
        <w:t xml:space="preserve">who </w:t>
      </w:r>
      <w:r w:rsidR="00A64BD2" w:rsidRPr="282C6B38">
        <w:rPr>
          <w:rFonts w:ascii="Calibri" w:eastAsia="Times New Roman" w:hAnsi="Calibri" w:cs="Calibri"/>
          <w:lang w:eastAsia="en-NZ"/>
        </w:rPr>
        <w:t>reached</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out</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to</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Commission</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was</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offered</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opportunity</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to</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meet</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with</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a</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member</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of</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team</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to</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help</w:t>
      </w:r>
      <w:r w:rsidR="003D640C">
        <w:rPr>
          <w:rFonts w:ascii="Calibri" w:eastAsia="Times New Roman" w:hAnsi="Calibri" w:cs="Calibri"/>
          <w:lang w:eastAsia="en-NZ"/>
        </w:rPr>
        <w:t xml:space="preserve"> </w:t>
      </w:r>
      <w:r w:rsidR="00A64BD2" w:rsidRPr="282C6B38">
        <w:rPr>
          <w:rFonts w:ascii="Calibri" w:eastAsia="Times New Roman" w:hAnsi="Calibri" w:cs="Calibri"/>
          <w:lang w:eastAsia="en-NZ"/>
        </w:rPr>
        <w:t>shape</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and</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inform</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the</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implementation</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of</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t</w:t>
      </w:r>
      <w:r w:rsidR="1EA66C04" w:rsidRPr="282C6B38">
        <w:rPr>
          <w:rFonts w:ascii="Calibri" w:eastAsia="Times New Roman" w:hAnsi="Calibri" w:cs="Calibri"/>
          <w:lang w:eastAsia="en-NZ"/>
        </w:rPr>
        <w:t>h</w:t>
      </w:r>
      <w:r w:rsidR="0098356F" w:rsidRPr="282C6B38">
        <w:rPr>
          <w:rFonts w:ascii="Calibri" w:eastAsia="Times New Roman" w:hAnsi="Calibri" w:cs="Calibri"/>
          <w:lang w:eastAsia="en-NZ"/>
        </w:rPr>
        <w:t>e</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work</w:t>
      </w:r>
      <w:r w:rsidR="003D640C">
        <w:rPr>
          <w:rFonts w:ascii="Calibri" w:eastAsia="Times New Roman" w:hAnsi="Calibri" w:cs="Calibri"/>
          <w:lang w:eastAsia="en-NZ"/>
        </w:rPr>
        <w:t xml:space="preserve"> </w:t>
      </w:r>
      <w:r w:rsidR="0098356F" w:rsidRPr="282C6B38">
        <w:rPr>
          <w:rFonts w:ascii="Calibri" w:eastAsia="Times New Roman" w:hAnsi="Calibri" w:cs="Calibri"/>
          <w:lang w:eastAsia="en-NZ"/>
        </w:rPr>
        <w:t>program</w:t>
      </w:r>
      <w:r w:rsidR="007A7C28">
        <w:rPr>
          <w:rFonts w:ascii="Calibri" w:eastAsia="Times New Roman" w:hAnsi="Calibri" w:cs="Calibri"/>
          <w:lang w:eastAsia="en-NZ"/>
        </w:rPr>
        <w:t>me</w:t>
      </w:r>
      <w:r w:rsidR="0098356F" w:rsidRPr="282C6B38">
        <w:rPr>
          <w:rFonts w:ascii="Calibri" w:eastAsia="Times New Roman" w:hAnsi="Calibri" w:cs="Calibri"/>
          <w:lang w:eastAsia="en-NZ"/>
        </w:rPr>
        <w:t>.</w:t>
      </w:r>
      <w:r w:rsidR="003D640C">
        <w:rPr>
          <w:rFonts w:ascii="Calibri" w:eastAsia="Times New Roman" w:hAnsi="Calibri" w:cs="Calibri"/>
          <w:lang w:eastAsia="en-NZ"/>
        </w:rPr>
        <w:t xml:space="preserve"> </w:t>
      </w:r>
    </w:p>
    <w:p w14:paraId="607D7940" w14:textId="4B082984" w:rsidR="00BB3F27" w:rsidRDefault="00BB3F27" w:rsidP="0078026B">
      <w:r>
        <w:rPr>
          <w:rFonts w:ascii="Calibri" w:eastAsia="Times New Roman" w:hAnsi="Calibri" w:cs="Calibri"/>
          <w:lang w:eastAsia="en-NZ"/>
        </w:rPr>
        <w:t>We</w:t>
      </w:r>
      <w:r w:rsidR="003D640C">
        <w:rPr>
          <w:rFonts w:ascii="Calibri" w:eastAsia="Times New Roman" w:hAnsi="Calibri" w:cs="Calibri"/>
          <w:lang w:eastAsia="en-NZ"/>
        </w:rPr>
        <w:t xml:space="preserve"> </w:t>
      </w:r>
      <w:r>
        <w:rPr>
          <w:rFonts w:ascii="Calibri" w:eastAsia="Times New Roman" w:hAnsi="Calibri" w:cs="Calibri"/>
          <w:lang w:eastAsia="en-NZ"/>
        </w:rPr>
        <w:t>gathered</w:t>
      </w:r>
      <w:r w:rsidR="003D640C">
        <w:rPr>
          <w:rFonts w:ascii="Calibri" w:eastAsia="Times New Roman" w:hAnsi="Calibri" w:cs="Calibri"/>
          <w:lang w:eastAsia="en-NZ"/>
        </w:rPr>
        <w:t xml:space="preserve"> </w:t>
      </w:r>
      <w:r>
        <w:rPr>
          <w:rFonts w:ascii="Calibri" w:eastAsia="Times New Roman" w:hAnsi="Calibri" w:cs="Calibri"/>
          <w:lang w:eastAsia="en-NZ"/>
        </w:rPr>
        <w:t>insights</w:t>
      </w:r>
      <w:r w:rsidR="003D640C">
        <w:rPr>
          <w:rFonts w:ascii="Calibri" w:eastAsia="Times New Roman" w:hAnsi="Calibri" w:cs="Calibri"/>
          <w:lang w:eastAsia="en-NZ"/>
        </w:rPr>
        <w:t xml:space="preserve"> </w:t>
      </w:r>
      <w:r w:rsidRPr="00B1465F">
        <w:t>from:</w:t>
      </w:r>
    </w:p>
    <w:p w14:paraId="48A1724D" w14:textId="7976C539" w:rsidR="00BB3F27" w:rsidRPr="00B1465F" w:rsidRDefault="00BB3F27" w:rsidP="006A3F34">
      <w:pPr>
        <w:pStyle w:val="Bullet"/>
      </w:pPr>
      <w:r>
        <w:t>g</w:t>
      </w:r>
      <w:r w:rsidRPr="00B1465F">
        <w:t>roup</w:t>
      </w:r>
      <w:r w:rsidR="003D640C">
        <w:t xml:space="preserve"> </w:t>
      </w:r>
      <w:r w:rsidRPr="00B1465F">
        <w:t>discussions</w:t>
      </w:r>
      <w:r w:rsidR="003D640C">
        <w:t xml:space="preserve"> </w:t>
      </w:r>
      <w:r w:rsidRPr="00B1465F">
        <w:t>and</w:t>
      </w:r>
      <w:r w:rsidR="003D640C">
        <w:t xml:space="preserve"> </w:t>
      </w:r>
      <w:r w:rsidRPr="00B1465F">
        <w:t>interviews</w:t>
      </w:r>
      <w:r w:rsidR="003D640C">
        <w:t xml:space="preserve"> </w:t>
      </w:r>
      <w:r>
        <w:t>with</w:t>
      </w:r>
      <w:r w:rsidR="003D640C">
        <w:t xml:space="preserve"> </w:t>
      </w:r>
      <w:r>
        <w:t>the</w:t>
      </w:r>
      <w:r w:rsidR="003D640C">
        <w:t xml:space="preserve"> </w:t>
      </w:r>
      <w:r>
        <w:t>R</w:t>
      </w:r>
      <w:r w:rsidRPr="00BE2895">
        <w:t>ainbow</w:t>
      </w:r>
      <w:r w:rsidR="003D640C">
        <w:t xml:space="preserve"> </w:t>
      </w:r>
      <w:r w:rsidRPr="00BE2895">
        <w:t>community</w:t>
      </w:r>
      <w:r w:rsidR="003D640C">
        <w:t xml:space="preserve"> </w:t>
      </w:r>
      <w:r>
        <w:t>and</w:t>
      </w:r>
      <w:r w:rsidR="003D640C">
        <w:t xml:space="preserve"> </w:t>
      </w:r>
      <w:r w:rsidRPr="00BE2895">
        <w:t>allies</w:t>
      </w:r>
      <w:r w:rsidR="003D640C">
        <w:t xml:space="preserve"> </w:t>
      </w:r>
      <w:r w:rsidRPr="00BE2895">
        <w:t>with</w:t>
      </w:r>
      <w:r w:rsidR="003D640C">
        <w:t xml:space="preserve"> </w:t>
      </w:r>
      <w:r w:rsidRPr="00BE2895">
        <w:t>lived</w:t>
      </w:r>
      <w:r w:rsidR="003D640C">
        <w:t xml:space="preserve"> </w:t>
      </w:r>
      <w:r w:rsidRPr="00BE2895">
        <w:t>experience</w:t>
      </w:r>
      <w:r w:rsidR="003D640C">
        <w:t xml:space="preserve"> </w:t>
      </w:r>
      <w:r w:rsidRPr="00BE2895">
        <w:t>of</w:t>
      </w:r>
      <w:r w:rsidR="003D640C">
        <w:t xml:space="preserve"> </w:t>
      </w:r>
      <w:r w:rsidRPr="00BE2895">
        <w:t>being</w:t>
      </w:r>
      <w:r w:rsidR="003D640C">
        <w:t xml:space="preserve"> </w:t>
      </w:r>
      <w:r w:rsidRPr="00BE2895">
        <w:t>migrants</w:t>
      </w:r>
    </w:p>
    <w:p w14:paraId="74AADCF2" w14:textId="73D7AE01" w:rsidR="00BB3F27" w:rsidRPr="00B1465F" w:rsidRDefault="00BB3F27" w:rsidP="006A3F34">
      <w:pPr>
        <w:pStyle w:val="Bullet"/>
      </w:pPr>
      <w:r>
        <w:t>t</w:t>
      </w:r>
      <w:r w:rsidRPr="00B1465F">
        <w:t>wo</w:t>
      </w:r>
      <w:r w:rsidR="003D640C">
        <w:t xml:space="preserve"> </w:t>
      </w:r>
      <w:r w:rsidRPr="00B1465F">
        <w:t>wānanga</w:t>
      </w:r>
      <w:r w:rsidR="003D640C">
        <w:t xml:space="preserve"> </w:t>
      </w:r>
      <w:r w:rsidRPr="00B1465F">
        <w:t>held</w:t>
      </w:r>
      <w:r w:rsidR="003D640C">
        <w:t xml:space="preserve"> </w:t>
      </w:r>
      <w:r w:rsidRPr="00B1465F">
        <w:t>during</w:t>
      </w:r>
      <w:r w:rsidR="003D640C">
        <w:t xml:space="preserve"> </w:t>
      </w:r>
      <w:r w:rsidRPr="00B1465F">
        <w:t>2022</w:t>
      </w:r>
      <w:r w:rsidR="003D640C">
        <w:t xml:space="preserve"> </w:t>
      </w:r>
      <w:r>
        <w:t>with</w:t>
      </w:r>
      <w:r w:rsidR="003D640C">
        <w:t xml:space="preserve"> </w:t>
      </w:r>
      <w:r w:rsidR="007A7C28">
        <w:t>Ta</w:t>
      </w:r>
      <w:r w:rsidRPr="00B1465F">
        <w:t>ngata</w:t>
      </w:r>
      <w:r w:rsidR="003D640C">
        <w:t xml:space="preserve"> </w:t>
      </w:r>
      <w:r w:rsidR="007A7C28">
        <w:t>W</w:t>
      </w:r>
      <w:r w:rsidRPr="00B1465F">
        <w:t>henua,</w:t>
      </w:r>
      <w:r w:rsidR="003D640C">
        <w:t xml:space="preserve"> </w:t>
      </w:r>
      <w:r w:rsidRPr="00B1465F">
        <w:t>Pacific</w:t>
      </w:r>
      <w:r w:rsidR="003D640C">
        <w:t xml:space="preserve"> </w:t>
      </w:r>
      <w:r>
        <w:t>p</w:t>
      </w:r>
      <w:r w:rsidRPr="00B1465F">
        <w:t>eoples</w:t>
      </w:r>
      <w:r w:rsidR="00000792">
        <w:t>,</w:t>
      </w:r>
      <w:r w:rsidR="003D640C">
        <w:t xml:space="preserve"> </w:t>
      </w:r>
      <w:r w:rsidRPr="00B1465F">
        <w:t>and</w:t>
      </w:r>
      <w:r w:rsidR="003D640C">
        <w:t xml:space="preserve"> </w:t>
      </w:r>
      <w:r w:rsidRPr="00B1465F">
        <w:t>ethnic</w:t>
      </w:r>
      <w:r w:rsidR="003D640C">
        <w:t xml:space="preserve"> </w:t>
      </w:r>
      <w:r w:rsidRPr="00B1465F">
        <w:t>survivor</w:t>
      </w:r>
      <w:r>
        <w:t>s</w:t>
      </w:r>
    </w:p>
    <w:p w14:paraId="59EB1C1C" w14:textId="4FDC62FC" w:rsidR="00BB3F27" w:rsidRPr="00B1465F" w:rsidRDefault="00BB3F27" w:rsidP="006A3F34">
      <w:pPr>
        <w:pStyle w:val="Bullet"/>
      </w:pPr>
      <w:r>
        <w:t>ongoing</w:t>
      </w:r>
      <w:r w:rsidR="003D640C">
        <w:t xml:space="preserve"> </w:t>
      </w:r>
      <w:r>
        <w:t>o</w:t>
      </w:r>
      <w:r w:rsidRPr="00B1465F">
        <w:t>ne-on-one</w:t>
      </w:r>
      <w:r w:rsidR="003D640C">
        <w:t xml:space="preserve"> </w:t>
      </w:r>
      <w:r w:rsidRPr="00B1465F">
        <w:t>hui</w:t>
      </w:r>
      <w:r w:rsidR="003D640C">
        <w:t xml:space="preserve"> </w:t>
      </w:r>
      <w:r w:rsidRPr="00B1465F">
        <w:t>with</w:t>
      </w:r>
      <w:r w:rsidR="003D640C">
        <w:t xml:space="preserve"> </w:t>
      </w:r>
      <w:r w:rsidRPr="00B1465F">
        <w:t>survivors</w:t>
      </w:r>
    </w:p>
    <w:p w14:paraId="2BA2431A" w14:textId="20AF6BB8" w:rsidR="00BB3F27" w:rsidRDefault="00BB3F27" w:rsidP="006A3F34">
      <w:pPr>
        <w:pStyle w:val="Bullet"/>
      </w:pPr>
      <w:r>
        <w:t>a</w:t>
      </w:r>
      <w:r w:rsidR="003D640C">
        <w:t xml:space="preserve"> </w:t>
      </w:r>
      <w:r w:rsidRPr="00B1465F">
        <w:t>desktop</w:t>
      </w:r>
      <w:r w:rsidR="003D640C">
        <w:t xml:space="preserve"> </w:t>
      </w:r>
      <w:r w:rsidRPr="00B1465F">
        <w:t>review</w:t>
      </w:r>
      <w:r w:rsidR="003D640C">
        <w:t xml:space="preserve"> </w:t>
      </w:r>
      <w:r>
        <w:t>of</w:t>
      </w:r>
      <w:r w:rsidR="003D640C">
        <w:t xml:space="preserve"> </w:t>
      </w:r>
      <w:r>
        <w:t>research</w:t>
      </w:r>
      <w:r w:rsidR="003D640C">
        <w:t xml:space="preserve"> </w:t>
      </w:r>
      <w:r w:rsidRPr="00B1465F">
        <w:t>in</w:t>
      </w:r>
      <w:r w:rsidR="003D640C">
        <w:t xml:space="preserve"> </w:t>
      </w:r>
      <w:r w:rsidRPr="00B1465F">
        <w:t>2022</w:t>
      </w:r>
      <w:r w:rsidR="003D640C">
        <w:t xml:space="preserve"> </w:t>
      </w:r>
      <w:r w:rsidRPr="00B1465F">
        <w:t>and</w:t>
      </w:r>
      <w:r w:rsidR="003D640C">
        <w:t xml:space="preserve"> </w:t>
      </w:r>
      <w:r w:rsidRPr="00B1465F">
        <w:t>2023</w:t>
      </w:r>
    </w:p>
    <w:p w14:paraId="0AF509A0" w14:textId="71FB982F" w:rsidR="00BB3F27" w:rsidRPr="00B1465F" w:rsidRDefault="00BB3F27" w:rsidP="006A3F34">
      <w:pPr>
        <w:pStyle w:val="Bullet"/>
      </w:pPr>
      <w:r>
        <w:t>discussions</w:t>
      </w:r>
      <w:r w:rsidR="003D640C">
        <w:t xml:space="preserve"> </w:t>
      </w:r>
      <w:r>
        <w:t>and</w:t>
      </w:r>
      <w:r w:rsidR="003D640C">
        <w:t xml:space="preserve"> </w:t>
      </w:r>
      <w:r>
        <w:t>a</w:t>
      </w:r>
      <w:r w:rsidR="003D640C">
        <w:t xml:space="preserve"> </w:t>
      </w:r>
      <w:r>
        <w:t>survey</w:t>
      </w:r>
      <w:r w:rsidR="003D640C">
        <w:t xml:space="preserve"> </w:t>
      </w:r>
      <w:r>
        <w:t>at</w:t>
      </w:r>
      <w:r w:rsidR="003D640C">
        <w:t xml:space="preserve"> </w:t>
      </w:r>
      <w:r w:rsidRPr="007B139B">
        <w:t>Awaken</w:t>
      </w:r>
      <w:r w:rsidR="003D640C" w:rsidRPr="007B139B">
        <w:t xml:space="preserve"> </w:t>
      </w:r>
      <w:r w:rsidRPr="007B139B">
        <w:t>|</w:t>
      </w:r>
      <w:r w:rsidR="003D640C" w:rsidRPr="00000792">
        <w:t xml:space="preserve"> </w:t>
      </w:r>
      <w:r w:rsidRPr="007B139B">
        <w:t>Maranga</w:t>
      </w:r>
      <w:r w:rsidR="003D640C" w:rsidRPr="007B139B">
        <w:t xml:space="preserve"> </w:t>
      </w:r>
      <w:r w:rsidRPr="007B139B">
        <w:t>Mai,</w:t>
      </w:r>
      <w:r w:rsidR="003D640C">
        <w:rPr>
          <w:i/>
          <w:iCs/>
        </w:rPr>
        <w:t xml:space="preserve"> </w:t>
      </w:r>
      <w:r>
        <w:t>a</w:t>
      </w:r>
      <w:r w:rsidR="003D640C">
        <w:t xml:space="preserve"> </w:t>
      </w:r>
      <w:r w:rsidDel="00BA3471">
        <w:t>Rainbow</w:t>
      </w:r>
      <w:r w:rsidR="003D640C">
        <w:t xml:space="preserve"> </w:t>
      </w:r>
      <w:r w:rsidDel="00BA3471">
        <w:t>faith</w:t>
      </w:r>
      <w:r w:rsidR="003D640C">
        <w:t xml:space="preserve"> </w:t>
      </w:r>
      <w:r>
        <w:t>conference</w:t>
      </w:r>
      <w:r w:rsidR="003D640C">
        <w:t xml:space="preserve"> </w:t>
      </w:r>
      <w:r>
        <w:t>held</w:t>
      </w:r>
      <w:r w:rsidR="003D640C">
        <w:t xml:space="preserve"> </w:t>
      </w:r>
      <w:r>
        <w:t>in</w:t>
      </w:r>
      <w:r w:rsidR="003D640C">
        <w:t xml:space="preserve"> </w:t>
      </w:r>
      <w:r>
        <w:t>2023</w:t>
      </w:r>
      <w:r w:rsidR="003D640C">
        <w:t xml:space="preserve"> </w:t>
      </w:r>
      <w:r w:rsidR="00BA3471">
        <w:t>for</w:t>
      </w:r>
      <w:r w:rsidR="003D640C">
        <w:t xml:space="preserve"> </w:t>
      </w:r>
      <w:r w:rsidR="00BA3471">
        <w:t>Rainbow</w:t>
      </w:r>
      <w:r w:rsidR="003D640C">
        <w:t xml:space="preserve"> </w:t>
      </w:r>
      <w:r w:rsidR="00BA3471">
        <w:t>people</w:t>
      </w:r>
      <w:r w:rsidR="003D640C">
        <w:t xml:space="preserve"> </w:t>
      </w:r>
      <w:r w:rsidR="00BA3471">
        <w:t>and</w:t>
      </w:r>
      <w:r w:rsidR="003D640C">
        <w:t xml:space="preserve"> </w:t>
      </w:r>
      <w:r w:rsidR="00BA3471">
        <w:t>allies</w:t>
      </w:r>
      <w:r w:rsidR="003D640C">
        <w:t xml:space="preserve"> </w:t>
      </w:r>
      <w:r w:rsidR="00BA3471">
        <w:t>of</w:t>
      </w:r>
      <w:r w:rsidR="003D640C">
        <w:t xml:space="preserve"> </w:t>
      </w:r>
      <w:r w:rsidR="00BA3471">
        <w:t>faith</w:t>
      </w:r>
      <w:r w:rsidR="003D640C">
        <w:t xml:space="preserve"> </w:t>
      </w:r>
      <w:r w:rsidR="00BA3471">
        <w:t>across</w:t>
      </w:r>
      <w:r w:rsidR="003D640C">
        <w:t xml:space="preserve"> </w:t>
      </w:r>
      <w:r w:rsidR="00BA3471">
        <w:t>Aotearoa</w:t>
      </w:r>
      <w:r w:rsidR="00000792">
        <w:t>.</w:t>
      </w:r>
    </w:p>
    <w:p w14:paraId="328ECBBC" w14:textId="7E79F38D" w:rsidR="0078026B" w:rsidRDefault="00BB3F27" w:rsidP="0078026B">
      <w:pPr>
        <w:rPr>
          <w:rFonts w:eastAsia="Times New Roman"/>
          <w:lang w:eastAsia="en-NZ"/>
        </w:rPr>
      </w:pPr>
      <w:r w:rsidRPr="15C0C998">
        <w:rPr>
          <w:rFonts w:eastAsia="Times New Roman"/>
          <w:lang w:eastAsia="en-NZ"/>
        </w:rPr>
        <w:t>We</w:t>
      </w:r>
      <w:r w:rsidR="003D640C">
        <w:rPr>
          <w:rFonts w:eastAsia="Times New Roman"/>
          <w:lang w:eastAsia="en-NZ"/>
        </w:rPr>
        <w:t xml:space="preserve"> </w:t>
      </w:r>
      <w:r w:rsidRPr="15C0C998">
        <w:rPr>
          <w:rFonts w:eastAsia="Times New Roman"/>
          <w:lang w:eastAsia="en-NZ"/>
        </w:rPr>
        <w:t>receive</w:t>
      </w:r>
      <w:r>
        <w:rPr>
          <w:rFonts w:eastAsia="Times New Roman"/>
          <w:lang w:eastAsia="en-NZ"/>
        </w:rPr>
        <w:t>d</w:t>
      </w:r>
      <w:r w:rsidR="003D640C">
        <w:rPr>
          <w:rFonts w:eastAsia="Times New Roman"/>
          <w:lang w:eastAsia="en-NZ"/>
        </w:rPr>
        <w:t xml:space="preserve"> </w:t>
      </w:r>
      <w:r w:rsidRPr="15C0C998">
        <w:rPr>
          <w:rFonts w:eastAsia="Times New Roman"/>
          <w:lang w:eastAsia="en-NZ"/>
        </w:rPr>
        <w:t>a</w:t>
      </w:r>
      <w:r w:rsidR="003D640C">
        <w:rPr>
          <w:rFonts w:eastAsia="Times New Roman"/>
          <w:lang w:eastAsia="en-NZ"/>
        </w:rPr>
        <w:t xml:space="preserve"> </w:t>
      </w:r>
      <w:r w:rsidRPr="15C0C998">
        <w:rPr>
          <w:rFonts w:eastAsia="Times New Roman"/>
          <w:lang w:eastAsia="en-NZ"/>
        </w:rPr>
        <w:t>small</w:t>
      </w:r>
      <w:r w:rsidR="003D640C">
        <w:rPr>
          <w:rFonts w:eastAsia="Times New Roman"/>
          <w:lang w:eastAsia="en-NZ"/>
        </w:rPr>
        <w:t xml:space="preserve"> </w:t>
      </w:r>
      <w:r w:rsidRPr="15C0C998">
        <w:rPr>
          <w:rFonts w:eastAsia="Times New Roman"/>
          <w:lang w:eastAsia="en-NZ"/>
        </w:rPr>
        <w:t>amount</w:t>
      </w:r>
      <w:r w:rsidR="003D640C">
        <w:rPr>
          <w:rFonts w:eastAsia="Times New Roman"/>
          <w:lang w:eastAsia="en-NZ"/>
        </w:rPr>
        <w:t xml:space="preserve"> </w:t>
      </w:r>
      <w:r w:rsidRPr="15C0C998">
        <w:rPr>
          <w:rFonts w:eastAsia="Times New Roman"/>
          <w:lang w:eastAsia="en-NZ"/>
        </w:rPr>
        <w:t>of</w:t>
      </w:r>
      <w:r w:rsidR="003D640C">
        <w:rPr>
          <w:rFonts w:eastAsia="Times New Roman"/>
          <w:lang w:eastAsia="en-NZ"/>
        </w:rPr>
        <w:t xml:space="preserve"> </w:t>
      </w:r>
      <w:r w:rsidRPr="15C0C998">
        <w:rPr>
          <w:rFonts w:eastAsia="Times New Roman"/>
          <w:lang w:eastAsia="en-NZ"/>
        </w:rPr>
        <w:t>feedback</w:t>
      </w:r>
      <w:r w:rsidR="003D640C">
        <w:rPr>
          <w:rFonts w:eastAsia="Times New Roman"/>
          <w:lang w:eastAsia="en-NZ"/>
        </w:rPr>
        <w:t xml:space="preserve"> </w:t>
      </w:r>
      <w:r w:rsidRPr="15C0C998">
        <w:rPr>
          <w:rFonts w:eastAsia="Times New Roman"/>
          <w:lang w:eastAsia="en-NZ"/>
        </w:rPr>
        <w:t>from</w:t>
      </w:r>
      <w:r w:rsidR="003D640C">
        <w:rPr>
          <w:rFonts w:eastAsia="Times New Roman"/>
          <w:lang w:eastAsia="en-NZ"/>
        </w:rPr>
        <w:t xml:space="preserve"> </w:t>
      </w:r>
      <w:r w:rsidRPr="15C0C998">
        <w:rPr>
          <w:rFonts w:eastAsia="Times New Roman"/>
          <w:lang w:eastAsia="en-NZ"/>
        </w:rPr>
        <w:t>those</w:t>
      </w:r>
      <w:r w:rsidR="003D640C">
        <w:rPr>
          <w:rFonts w:eastAsia="Times New Roman"/>
          <w:lang w:eastAsia="en-NZ"/>
        </w:rPr>
        <w:t xml:space="preserve"> </w:t>
      </w:r>
      <w:r w:rsidRPr="15C0C998">
        <w:rPr>
          <w:rFonts w:eastAsia="Times New Roman"/>
          <w:lang w:eastAsia="en-NZ"/>
        </w:rPr>
        <w:t>supportive</w:t>
      </w:r>
      <w:r w:rsidR="003D640C">
        <w:rPr>
          <w:rFonts w:eastAsia="Times New Roman"/>
          <w:lang w:eastAsia="en-NZ"/>
        </w:rPr>
        <w:t xml:space="preserve"> </w:t>
      </w:r>
      <w:r w:rsidRPr="15C0C998">
        <w:rPr>
          <w:rFonts w:eastAsia="Times New Roman"/>
          <w:lang w:eastAsia="en-NZ"/>
        </w:rPr>
        <w:t>of</w:t>
      </w:r>
      <w:r w:rsidR="003D640C">
        <w:rPr>
          <w:rFonts w:eastAsia="Times New Roman"/>
          <w:lang w:eastAsia="en-NZ"/>
        </w:rPr>
        <w:t xml:space="preserve"> </w:t>
      </w:r>
      <w:r w:rsidRPr="15C0C998">
        <w:rPr>
          <w:rFonts w:eastAsia="Times New Roman"/>
          <w:lang w:eastAsia="en-NZ"/>
        </w:rPr>
        <w:t>conversion</w:t>
      </w:r>
      <w:r w:rsidR="003D640C">
        <w:rPr>
          <w:rFonts w:eastAsia="Times New Roman"/>
          <w:lang w:eastAsia="en-NZ"/>
        </w:rPr>
        <w:t xml:space="preserve"> </w:t>
      </w:r>
      <w:r w:rsidRPr="15C0C998">
        <w:rPr>
          <w:rFonts w:eastAsia="Times New Roman"/>
          <w:lang w:eastAsia="en-NZ"/>
        </w:rPr>
        <w:t>practices</w:t>
      </w:r>
      <w:r w:rsidR="003D640C">
        <w:rPr>
          <w:rFonts w:eastAsia="Times New Roman"/>
          <w:lang w:eastAsia="en-NZ"/>
        </w:rPr>
        <w:t xml:space="preserve"> </w:t>
      </w:r>
      <w:r w:rsidRPr="15C0C998">
        <w:rPr>
          <w:rFonts w:eastAsia="Times New Roman"/>
          <w:lang w:eastAsia="en-NZ"/>
        </w:rPr>
        <w:t>as</w:t>
      </w:r>
      <w:r w:rsidR="003D640C">
        <w:rPr>
          <w:rFonts w:eastAsia="Times New Roman"/>
          <w:lang w:eastAsia="en-NZ"/>
        </w:rPr>
        <w:t xml:space="preserve"> </w:t>
      </w:r>
      <w:r w:rsidRPr="15C0C998">
        <w:rPr>
          <w:rFonts w:eastAsia="Times New Roman"/>
          <w:lang w:eastAsia="en-NZ"/>
        </w:rPr>
        <w:t>a</w:t>
      </w:r>
      <w:r w:rsidR="003D640C">
        <w:rPr>
          <w:rFonts w:eastAsia="Times New Roman"/>
          <w:lang w:eastAsia="en-NZ"/>
        </w:rPr>
        <w:t xml:space="preserve"> </w:t>
      </w:r>
      <w:r w:rsidRPr="15C0C998">
        <w:rPr>
          <w:rFonts w:eastAsia="Times New Roman"/>
          <w:lang w:eastAsia="en-NZ"/>
        </w:rPr>
        <w:t>way</w:t>
      </w:r>
      <w:r w:rsidR="003D640C">
        <w:rPr>
          <w:rFonts w:eastAsia="Times New Roman"/>
          <w:lang w:eastAsia="en-NZ"/>
        </w:rPr>
        <w:t xml:space="preserve"> </w:t>
      </w:r>
      <w:r w:rsidRPr="15C0C998">
        <w:rPr>
          <w:rFonts w:eastAsia="Times New Roman"/>
          <w:lang w:eastAsia="en-NZ"/>
        </w:rPr>
        <w:t>to</w:t>
      </w:r>
      <w:r w:rsidR="003D640C">
        <w:rPr>
          <w:rFonts w:eastAsia="Times New Roman"/>
          <w:lang w:eastAsia="en-NZ"/>
        </w:rPr>
        <w:t xml:space="preserve"> </w:t>
      </w:r>
      <w:r w:rsidRPr="15C0C998">
        <w:rPr>
          <w:rFonts w:eastAsia="Times New Roman"/>
          <w:lang w:eastAsia="en-NZ"/>
        </w:rPr>
        <w:t>uphold</w:t>
      </w:r>
      <w:r w:rsidR="003D640C">
        <w:rPr>
          <w:rFonts w:eastAsia="Times New Roman"/>
          <w:lang w:eastAsia="en-NZ"/>
        </w:rPr>
        <w:t xml:space="preserve"> </w:t>
      </w:r>
      <w:r w:rsidR="00AB5EA6">
        <w:rPr>
          <w:rFonts w:eastAsia="Times New Roman"/>
          <w:lang w:eastAsia="en-NZ"/>
        </w:rPr>
        <w:t>what</w:t>
      </w:r>
      <w:r w:rsidR="003D640C">
        <w:rPr>
          <w:rFonts w:eastAsia="Times New Roman"/>
          <w:lang w:eastAsia="en-NZ"/>
        </w:rPr>
        <w:t xml:space="preserve"> </w:t>
      </w:r>
      <w:r w:rsidR="00AB5EA6">
        <w:rPr>
          <w:rFonts w:eastAsia="Times New Roman"/>
          <w:lang w:eastAsia="en-NZ"/>
        </w:rPr>
        <w:t>they</w:t>
      </w:r>
      <w:r w:rsidR="003D640C">
        <w:rPr>
          <w:rFonts w:eastAsia="Times New Roman"/>
          <w:lang w:eastAsia="en-NZ"/>
        </w:rPr>
        <w:t xml:space="preserve"> </w:t>
      </w:r>
      <w:r w:rsidR="00AB5EA6">
        <w:rPr>
          <w:rFonts w:eastAsia="Times New Roman"/>
          <w:lang w:eastAsia="en-NZ"/>
        </w:rPr>
        <w:t>perceived</w:t>
      </w:r>
      <w:r w:rsidR="003D640C">
        <w:rPr>
          <w:rFonts w:eastAsia="Times New Roman"/>
          <w:lang w:eastAsia="en-NZ"/>
        </w:rPr>
        <w:t xml:space="preserve"> </w:t>
      </w:r>
      <w:r w:rsidR="00AB5EA6">
        <w:rPr>
          <w:rFonts w:eastAsia="Times New Roman"/>
          <w:lang w:eastAsia="en-NZ"/>
        </w:rPr>
        <w:t>to</w:t>
      </w:r>
      <w:r w:rsidR="003D640C">
        <w:rPr>
          <w:rFonts w:eastAsia="Times New Roman"/>
          <w:lang w:eastAsia="en-NZ"/>
        </w:rPr>
        <w:t xml:space="preserve"> </w:t>
      </w:r>
      <w:r w:rsidR="00AB5EA6">
        <w:rPr>
          <w:rFonts w:eastAsia="Times New Roman"/>
          <w:lang w:eastAsia="en-NZ"/>
        </w:rPr>
        <w:t>be</w:t>
      </w:r>
      <w:r w:rsidR="003D640C">
        <w:rPr>
          <w:rFonts w:eastAsia="Times New Roman"/>
          <w:lang w:eastAsia="en-NZ"/>
        </w:rPr>
        <w:t xml:space="preserve"> </w:t>
      </w:r>
      <w:r w:rsidRPr="15C0C998">
        <w:rPr>
          <w:rFonts w:eastAsia="Times New Roman"/>
          <w:lang w:eastAsia="en-NZ"/>
        </w:rPr>
        <w:t>the</w:t>
      </w:r>
      <w:r w:rsidR="003D640C">
        <w:rPr>
          <w:rFonts w:eastAsia="Times New Roman"/>
          <w:lang w:eastAsia="en-NZ"/>
        </w:rPr>
        <w:t xml:space="preserve"> </w:t>
      </w:r>
      <w:r w:rsidRPr="15C0C998">
        <w:rPr>
          <w:rFonts w:eastAsia="Times New Roman"/>
          <w:lang w:eastAsia="en-NZ"/>
        </w:rPr>
        <w:t>‘rights’</w:t>
      </w:r>
      <w:r w:rsidR="003D640C">
        <w:rPr>
          <w:rFonts w:eastAsia="Times New Roman"/>
          <w:lang w:eastAsia="en-NZ"/>
        </w:rPr>
        <w:t xml:space="preserve"> </w:t>
      </w:r>
      <w:r w:rsidRPr="15C0C998">
        <w:rPr>
          <w:rFonts w:eastAsia="Times New Roman"/>
          <w:lang w:eastAsia="en-NZ"/>
        </w:rPr>
        <w:t>of</w:t>
      </w:r>
      <w:r w:rsidR="003D640C">
        <w:rPr>
          <w:rFonts w:eastAsia="Times New Roman"/>
          <w:lang w:eastAsia="en-NZ"/>
        </w:rPr>
        <w:t xml:space="preserve"> </w:t>
      </w:r>
      <w:r w:rsidRPr="15C0C998">
        <w:rPr>
          <w:rFonts w:eastAsia="Times New Roman"/>
          <w:lang w:eastAsia="en-NZ"/>
        </w:rPr>
        <w:t>families</w:t>
      </w:r>
      <w:r w:rsidR="003D640C">
        <w:rPr>
          <w:rFonts w:eastAsia="Times New Roman"/>
          <w:lang w:eastAsia="en-NZ"/>
        </w:rPr>
        <w:t xml:space="preserve"> </w:t>
      </w:r>
      <w:r w:rsidRPr="15C0C998">
        <w:rPr>
          <w:rFonts w:eastAsia="Times New Roman"/>
          <w:lang w:eastAsia="en-NZ"/>
        </w:rPr>
        <w:t>and</w:t>
      </w:r>
      <w:r w:rsidR="003D640C">
        <w:rPr>
          <w:rFonts w:eastAsia="Times New Roman"/>
          <w:lang w:eastAsia="en-NZ"/>
        </w:rPr>
        <w:t xml:space="preserve"> </w:t>
      </w:r>
      <w:r w:rsidRPr="15C0C998">
        <w:rPr>
          <w:rFonts w:eastAsia="Times New Roman"/>
          <w:lang w:eastAsia="en-NZ"/>
        </w:rPr>
        <w:t>religious</w:t>
      </w:r>
      <w:r w:rsidR="003D640C">
        <w:rPr>
          <w:rFonts w:eastAsia="Times New Roman"/>
          <w:lang w:eastAsia="en-NZ"/>
        </w:rPr>
        <w:t xml:space="preserve"> </w:t>
      </w:r>
      <w:r w:rsidRPr="15C0C998">
        <w:rPr>
          <w:rFonts w:eastAsia="Times New Roman"/>
          <w:lang w:eastAsia="en-NZ"/>
        </w:rPr>
        <w:t>communities</w:t>
      </w:r>
      <w:r w:rsidR="003D640C">
        <w:rPr>
          <w:rFonts w:eastAsia="Times New Roman"/>
          <w:lang w:eastAsia="en-NZ"/>
        </w:rPr>
        <w:t xml:space="preserve"> </w:t>
      </w:r>
      <w:r w:rsidRPr="15C0C998">
        <w:rPr>
          <w:rFonts w:eastAsia="Times New Roman"/>
          <w:lang w:eastAsia="en-NZ"/>
        </w:rPr>
        <w:t>to</w:t>
      </w:r>
      <w:r w:rsidR="003D640C">
        <w:rPr>
          <w:rFonts w:eastAsia="Times New Roman"/>
          <w:lang w:eastAsia="en-NZ"/>
        </w:rPr>
        <w:t xml:space="preserve"> </w:t>
      </w:r>
      <w:r w:rsidRPr="15C0C998">
        <w:rPr>
          <w:rFonts w:eastAsia="Times New Roman"/>
          <w:lang w:eastAsia="en-NZ"/>
        </w:rPr>
        <w:t>discipline</w:t>
      </w:r>
      <w:r w:rsidR="003D640C">
        <w:rPr>
          <w:rFonts w:eastAsia="Times New Roman"/>
          <w:lang w:eastAsia="en-NZ"/>
        </w:rPr>
        <w:t xml:space="preserve"> </w:t>
      </w:r>
      <w:r w:rsidRPr="15C0C998">
        <w:rPr>
          <w:rFonts w:eastAsia="Times New Roman"/>
          <w:lang w:eastAsia="en-NZ"/>
        </w:rPr>
        <w:t>or</w:t>
      </w:r>
      <w:r w:rsidR="003D640C">
        <w:rPr>
          <w:rFonts w:eastAsia="Times New Roman"/>
          <w:lang w:eastAsia="en-NZ"/>
        </w:rPr>
        <w:t xml:space="preserve"> </w:t>
      </w:r>
      <w:r w:rsidRPr="15C0C998">
        <w:rPr>
          <w:rFonts w:eastAsia="Times New Roman"/>
          <w:lang w:eastAsia="en-NZ"/>
        </w:rPr>
        <w:t>try</w:t>
      </w:r>
      <w:r w:rsidR="003D640C">
        <w:rPr>
          <w:rFonts w:eastAsia="Times New Roman"/>
          <w:lang w:eastAsia="en-NZ"/>
        </w:rPr>
        <w:t xml:space="preserve"> </w:t>
      </w:r>
      <w:r w:rsidRPr="15C0C998">
        <w:rPr>
          <w:rFonts w:eastAsia="Times New Roman"/>
          <w:lang w:eastAsia="en-NZ"/>
        </w:rPr>
        <w:t>to</w:t>
      </w:r>
      <w:r w:rsidR="003D640C">
        <w:rPr>
          <w:rFonts w:eastAsia="Times New Roman"/>
          <w:lang w:eastAsia="en-NZ"/>
        </w:rPr>
        <w:t xml:space="preserve"> </w:t>
      </w:r>
      <w:r w:rsidRPr="15C0C998">
        <w:rPr>
          <w:rFonts w:eastAsia="Times New Roman"/>
          <w:lang w:eastAsia="en-NZ"/>
        </w:rPr>
        <w:t>change</w:t>
      </w:r>
      <w:r w:rsidR="003D640C">
        <w:rPr>
          <w:rFonts w:eastAsia="Times New Roman"/>
          <w:lang w:eastAsia="en-NZ"/>
        </w:rPr>
        <w:t xml:space="preserve"> </w:t>
      </w:r>
      <w:r w:rsidRPr="15C0C998">
        <w:rPr>
          <w:rFonts w:eastAsia="Times New Roman"/>
          <w:lang w:eastAsia="en-NZ"/>
        </w:rPr>
        <w:t>those</w:t>
      </w:r>
      <w:r w:rsidR="003D640C">
        <w:rPr>
          <w:rFonts w:eastAsia="Times New Roman"/>
          <w:lang w:eastAsia="en-NZ"/>
        </w:rPr>
        <w:t xml:space="preserve"> </w:t>
      </w:r>
      <w:r w:rsidRPr="15C0C998">
        <w:rPr>
          <w:rFonts w:eastAsia="Times New Roman"/>
          <w:lang w:eastAsia="en-NZ"/>
        </w:rPr>
        <w:t>in</w:t>
      </w:r>
      <w:r w:rsidR="003D640C">
        <w:rPr>
          <w:rFonts w:eastAsia="Times New Roman"/>
          <w:lang w:eastAsia="en-NZ"/>
        </w:rPr>
        <w:t xml:space="preserve"> </w:t>
      </w:r>
      <w:r w:rsidRPr="15C0C998">
        <w:rPr>
          <w:rFonts w:eastAsia="Times New Roman"/>
          <w:lang w:eastAsia="en-NZ"/>
        </w:rPr>
        <w:t>their</w:t>
      </w:r>
      <w:r w:rsidR="003D640C">
        <w:rPr>
          <w:rFonts w:eastAsia="Times New Roman"/>
          <w:lang w:eastAsia="en-NZ"/>
        </w:rPr>
        <w:t xml:space="preserve"> </w:t>
      </w:r>
      <w:r w:rsidRPr="15C0C998">
        <w:rPr>
          <w:rFonts w:eastAsia="Times New Roman"/>
          <w:lang w:eastAsia="en-NZ"/>
        </w:rPr>
        <w:t>care.</w:t>
      </w:r>
      <w:r w:rsidR="003D640C">
        <w:rPr>
          <w:rFonts w:eastAsia="Times New Roman"/>
          <w:lang w:eastAsia="en-NZ"/>
        </w:rPr>
        <w:t xml:space="preserve"> </w:t>
      </w:r>
      <w:r w:rsidRPr="15C0C998">
        <w:rPr>
          <w:rFonts w:eastAsia="Times New Roman"/>
          <w:lang w:eastAsia="en-NZ"/>
        </w:rPr>
        <w:t>We</w:t>
      </w:r>
      <w:r w:rsidR="003D640C">
        <w:rPr>
          <w:rFonts w:eastAsia="Times New Roman"/>
          <w:lang w:eastAsia="en-NZ"/>
        </w:rPr>
        <w:t xml:space="preserve"> </w:t>
      </w:r>
      <w:r w:rsidRPr="15C0C998">
        <w:rPr>
          <w:rFonts w:eastAsia="Times New Roman"/>
          <w:lang w:eastAsia="en-NZ"/>
        </w:rPr>
        <w:t>have</w:t>
      </w:r>
      <w:r w:rsidR="003D640C">
        <w:rPr>
          <w:rFonts w:eastAsia="Times New Roman"/>
          <w:lang w:eastAsia="en-NZ"/>
        </w:rPr>
        <w:t xml:space="preserve"> </w:t>
      </w:r>
      <w:r w:rsidRPr="15C0C998">
        <w:rPr>
          <w:rFonts w:eastAsia="Times New Roman"/>
          <w:lang w:eastAsia="en-NZ"/>
        </w:rPr>
        <w:t>not</w:t>
      </w:r>
      <w:r w:rsidR="003D640C">
        <w:rPr>
          <w:rFonts w:eastAsia="Times New Roman"/>
          <w:lang w:eastAsia="en-NZ"/>
        </w:rPr>
        <w:t xml:space="preserve"> </w:t>
      </w:r>
      <w:r w:rsidRPr="15C0C998">
        <w:rPr>
          <w:rFonts w:eastAsia="Times New Roman"/>
          <w:lang w:eastAsia="en-NZ"/>
        </w:rPr>
        <w:t>given</w:t>
      </w:r>
      <w:r w:rsidR="003D640C">
        <w:rPr>
          <w:rFonts w:eastAsia="Times New Roman"/>
          <w:lang w:eastAsia="en-NZ"/>
        </w:rPr>
        <w:t xml:space="preserve"> </w:t>
      </w:r>
      <w:r w:rsidRPr="15C0C998">
        <w:rPr>
          <w:rFonts w:eastAsia="Times New Roman"/>
          <w:lang w:eastAsia="en-NZ"/>
        </w:rPr>
        <w:t>space</w:t>
      </w:r>
      <w:r w:rsidR="003D640C">
        <w:rPr>
          <w:rFonts w:eastAsia="Times New Roman"/>
          <w:lang w:eastAsia="en-NZ"/>
        </w:rPr>
        <w:t xml:space="preserve"> </w:t>
      </w:r>
      <w:r w:rsidRPr="15C0C998">
        <w:rPr>
          <w:rFonts w:eastAsia="Times New Roman"/>
          <w:lang w:eastAsia="en-NZ"/>
        </w:rPr>
        <w:t>to</w:t>
      </w:r>
      <w:r w:rsidR="003D640C">
        <w:rPr>
          <w:rFonts w:eastAsia="Times New Roman"/>
          <w:lang w:eastAsia="en-NZ"/>
        </w:rPr>
        <w:t xml:space="preserve"> </w:t>
      </w:r>
      <w:r w:rsidRPr="15C0C998">
        <w:rPr>
          <w:rFonts w:eastAsia="Times New Roman"/>
          <w:lang w:eastAsia="en-NZ"/>
        </w:rPr>
        <w:t>those</w:t>
      </w:r>
      <w:r w:rsidR="003D640C">
        <w:rPr>
          <w:rFonts w:eastAsia="Times New Roman"/>
          <w:lang w:eastAsia="en-NZ"/>
        </w:rPr>
        <w:t xml:space="preserve"> </w:t>
      </w:r>
      <w:r w:rsidRPr="15C0C998">
        <w:rPr>
          <w:rFonts w:eastAsia="Times New Roman"/>
          <w:lang w:eastAsia="en-NZ"/>
        </w:rPr>
        <w:t>views</w:t>
      </w:r>
      <w:r w:rsidR="003D640C">
        <w:rPr>
          <w:rFonts w:eastAsia="Times New Roman"/>
          <w:lang w:eastAsia="en-NZ"/>
        </w:rPr>
        <w:t xml:space="preserve"> </w:t>
      </w:r>
      <w:r w:rsidRPr="15C0C998">
        <w:rPr>
          <w:rFonts w:eastAsia="Times New Roman"/>
          <w:lang w:eastAsia="en-NZ"/>
        </w:rPr>
        <w:t>in</w:t>
      </w:r>
      <w:r w:rsidR="003D640C">
        <w:rPr>
          <w:rFonts w:eastAsia="Times New Roman"/>
          <w:lang w:eastAsia="en-NZ"/>
        </w:rPr>
        <w:t xml:space="preserve"> </w:t>
      </w:r>
      <w:r w:rsidRPr="15C0C998">
        <w:rPr>
          <w:rFonts w:eastAsia="Times New Roman"/>
          <w:lang w:eastAsia="en-NZ"/>
        </w:rPr>
        <w:t>this</w:t>
      </w:r>
      <w:r w:rsidR="003D640C">
        <w:rPr>
          <w:rFonts w:eastAsia="Times New Roman"/>
          <w:lang w:eastAsia="en-NZ"/>
        </w:rPr>
        <w:t xml:space="preserve"> </w:t>
      </w:r>
      <w:r w:rsidRPr="15C0C998">
        <w:rPr>
          <w:rFonts w:eastAsia="Times New Roman"/>
          <w:lang w:eastAsia="en-NZ"/>
        </w:rPr>
        <w:t>report,</w:t>
      </w:r>
      <w:r w:rsidR="003D640C">
        <w:rPr>
          <w:rFonts w:eastAsia="Times New Roman"/>
          <w:lang w:eastAsia="en-NZ"/>
        </w:rPr>
        <w:t xml:space="preserve"> </w:t>
      </w:r>
      <w:r w:rsidRPr="15C0C998">
        <w:rPr>
          <w:rFonts w:eastAsia="Times New Roman"/>
          <w:lang w:eastAsia="en-NZ"/>
        </w:rPr>
        <w:t>not</w:t>
      </w:r>
      <w:r w:rsidR="003D640C">
        <w:rPr>
          <w:rFonts w:eastAsia="Times New Roman"/>
          <w:lang w:eastAsia="en-NZ"/>
        </w:rPr>
        <w:t xml:space="preserve"> </w:t>
      </w:r>
      <w:r w:rsidRPr="15C0C998">
        <w:rPr>
          <w:rFonts w:eastAsia="Times New Roman"/>
          <w:lang w:eastAsia="en-NZ"/>
        </w:rPr>
        <w:t>only</w:t>
      </w:r>
      <w:r w:rsidR="003D640C">
        <w:rPr>
          <w:rFonts w:eastAsia="Times New Roman"/>
          <w:lang w:eastAsia="en-NZ"/>
        </w:rPr>
        <w:t xml:space="preserve"> </w:t>
      </w:r>
      <w:r w:rsidRPr="15C0C998">
        <w:rPr>
          <w:rFonts w:eastAsia="Times New Roman"/>
          <w:lang w:eastAsia="en-NZ"/>
        </w:rPr>
        <w:t>because</w:t>
      </w:r>
      <w:r w:rsidR="003D640C">
        <w:rPr>
          <w:rFonts w:eastAsia="Times New Roman"/>
          <w:lang w:eastAsia="en-NZ"/>
        </w:rPr>
        <w:t xml:space="preserve"> </w:t>
      </w:r>
      <w:r w:rsidRPr="15C0C998">
        <w:rPr>
          <w:rFonts w:eastAsia="Times New Roman"/>
          <w:lang w:eastAsia="en-NZ"/>
        </w:rPr>
        <w:t>conversion</w:t>
      </w:r>
      <w:r w:rsidR="003D640C">
        <w:rPr>
          <w:rFonts w:eastAsia="Times New Roman"/>
          <w:lang w:eastAsia="en-NZ"/>
        </w:rPr>
        <w:t xml:space="preserve"> </w:t>
      </w:r>
      <w:r w:rsidRPr="15C0C998">
        <w:rPr>
          <w:rFonts w:eastAsia="Times New Roman"/>
          <w:lang w:eastAsia="en-NZ"/>
        </w:rPr>
        <w:t>practices</w:t>
      </w:r>
      <w:r w:rsidR="003D640C">
        <w:rPr>
          <w:rFonts w:eastAsia="Times New Roman"/>
          <w:lang w:eastAsia="en-NZ"/>
        </w:rPr>
        <w:t xml:space="preserve"> </w:t>
      </w:r>
      <w:r w:rsidRPr="15C0C998">
        <w:rPr>
          <w:rFonts w:eastAsia="Times New Roman"/>
          <w:lang w:eastAsia="en-NZ"/>
        </w:rPr>
        <w:t>are</w:t>
      </w:r>
      <w:r w:rsidR="003D640C">
        <w:rPr>
          <w:rFonts w:eastAsia="Times New Roman"/>
          <w:lang w:eastAsia="en-NZ"/>
        </w:rPr>
        <w:t xml:space="preserve"> </w:t>
      </w:r>
      <w:r w:rsidRPr="15C0C998">
        <w:rPr>
          <w:rFonts w:eastAsia="Times New Roman"/>
          <w:lang w:eastAsia="en-NZ"/>
        </w:rPr>
        <w:t>unlawful,</w:t>
      </w:r>
      <w:r w:rsidR="003D640C">
        <w:rPr>
          <w:rFonts w:eastAsia="Times New Roman"/>
          <w:lang w:eastAsia="en-NZ"/>
        </w:rPr>
        <w:t xml:space="preserve"> </w:t>
      </w:r>
      <w:r w:rsidRPr="15C0C998">
        <w:rPr>
          <w:rFonts w:eastAsia="Times New Roman"/>
          <w:lang w:eastAsia="en-NZ"/>
        </w:rPr>
        <w:t>but</w:t>
      </w:r>
      <w:r w:rsidR="003D640C">
        <w:rPr>
          <w:rFonts w:eastAsia="Times New Roman"/>
          <w:lang w:eastAsia="en-NZ"/>
        </w:rPr>
        <w:t xml:space="preserve"> </w:t>
      </w:r>
      <w:r w:rsidRPr="15C0C998">
        <w:rPr>
          <w:rFonts w:eastAsia="Times New Roman"/>
          <w:lang w:eastAsia="en-NZ"/>
        </w:rPr>
        <w:t>also</w:t>
      </w:r>
      <w:r w:rsidR="003D640C">
        <w:rPr>
          <w:rFonts w:eastAsia="Times New Roman"/>
          <w:lang w:eastAsia="en-NZ"/>
        </w:rPr>
        <w:t xml:space="preserve"> </w:t>
      </w:r>
      <w:r w:rsidRPr="15C0C998">
        <w:rPr>
          <w:rFonts w:eastAsia="Times New Roman"/>
          <w:lang w:eastAsia="en-NZ"/>
        </w:rPr>
        <w:t>because</w:t>
      </w:r>
      <w:r w:rsidR="003D640C">
        <w:rPr>
          <w:rFonts w:eastAsia="Times New Roman"/>
          <w:lang w:eastAsia="en-NZ"/>
        </w:rPr>
        <w:t xml:space="preserve"> </w:t>
      </w:r>
      <w:r w:rsidRPr="15C0C998">
        <w:rPr>
          <w:rFonts w:eastAsia="Times New Roman"/>
          <w:lang w:eastAsia="en-NZ"/>
        </w:rPr>
        <w:t>it</w:t>
      </w:r>
      <w:r w:rsidR="003D640C">
        <w:rPr>
          <w:rFonts w:eastAsia="Times New Roman"/>
          <w:lang w:eastAsia="en-NZ"/>
        </w:rPr>
        <w:t xml:space="preserve"> </w:t>
      </w:r>
      <w:r w:rsidRPr="15C0C998">
        <w:rPr>
          <w:rFonts w:eastAsia="Times New Roman"/>
          <w:lang w:eastAsia="en-NZ"/>
        </w:rPr>
        <w:t>ensures</w:t>
      </w:r>
      <w:r w:rsidR="003D640C">
        <w:rPr>
          <w:rFonts w:eastAsia="Times New Roman"/>
          <w:lang w:eastAsia="en-NZ"/>
        </w:rPr>
        <w:t xml:space="preserve"> </w:t>
      </w:r>
      <w:r w:rsidRPr="15C0C998">
        <w:rPr>
          <w:rFonts w:eastAsia="Times New Roman"/>
          <w:lang w:eastAsia="en-NZ"/>
        </w:rPr>
        <w:t>the</w:t>
      </w:r>
      <w:r w:rsidR="003D640C">
        <w:rPr>
          <w:rFonts w:eastAsia="Times New Roman"/>
          <w:lang w:eastAsia="en-NZ"/>
        </w:rPr>
        <w:t xml:space="preserve"> </w:t>
      </w:r>
      <w:r w:rsidRPr="15C0C998">
        <w:rPr>
          <w:rFonts w:eastAsia="Times New Roman"/>
          <w:lang w:eastAsia="en-NZ"/>
        </w:rPr>
        <w:t>voices</w:t>
      </w:r>
      <w:r w:rsidR="003D640C">
        <w:rPr>
          <w:rFonts w:eastAsia="Times New Roman"/>
          <w:lang w:eastAsia="en-NZ"/>
        </w:rPr>
        <w:t xml:space="preserve"> </w:t>
      </w:r>
      <w:r w:rsidRPr="15C0C998">
        <w:rPr>
          <w:rFonts w:eastAsia="Times New Roman"/>
          <w:lang w:eastAsia="en-NZ"/>
        </w:rPr>
        <w:t>and</w:t>
      </w:r>
      <w:r w:rsidR="003D640C">
        <w:rPr>
          <w:rFonts w:eastAsia="Times New Roman"/>
          <w:lang w:eastAsia="en-NZ"/>
        </w:rPr>
        <w:t xml:space="preserve"> </w:t>
      </w:r>
      <w:r w:rsidRPr="15C0C998">
        <w:rPr>
          <w:rFonts w:eastAsia="Times New Roman"/>
          <w:lang w:eastAsia="en-NZ"/>
        </w:rPr>
        <w:t>experiences</w:t>
      </w:r>
      <w:r w:rsidR="003D640C">
        <w:rPr>
          <w:rFonts w:eastAsia="Times New Roman"/>
          <w:lang w:eastAsia="en-NZ"/>
        </w:rPr>
        <w:t xml:space="preserve"> </w:t>
      </w:r>
      <w:r w:rsidRPr="15C0C998">
        <w:rPr>
          <w:rFonts w:eastAsia="Times New Roman"/>
          <w:lang w:eastAsia="en-NZ"/>
        </w:rPr>
        <w:t>of</w:t>
      </w:r>
      <w:r w:rsidR="003D640C">
        <w:rPr>
          <w:rFonts w:eastAsia="Times New Roman"/>
          <w:lang w:eastAsia="en-NZ"/>
        </w:rPr>
        <w:t xml:space="preserve"> </w:t>
      </w:r>
      <w:r w:rsidRPr="15C0C998">
        <w:rPr>
          <w:rFonts w:eastAsia="Times New Roman"/>
          <w:lang w:eastAsia="en-NZ"/>
        </w:rPr>
        <w:t>those</w:t>
      </w:r>
      <w:r w:rsidR="003D640C">
        <w:rPr>
          <w:rFonts w:eastAsia="Times New Roman"/>
          <w:lang w:eastAsia="en-NZ"/>
        </w:rPr>
        <w:t xml:space="preserve"> </w:t>
      </w:r>
      <w:r w:rsidRPr="15C0C998">
        <w:rPr>
          <w:rFonts w:eastAsia="Times New Roman"/>
          <w:lang w:eastAsia="en-NZ"/>
        </w:rPr>
        <w:t>who</w:t>
      </w:r>
      <w:r w:rsidR="003D640C">
        <w:rPr>
          <w:rFonts w:eastAsia="Times New Roman"/>
          <w:lang w:eastAsia="en-NZ"/>
        </w:rPr>
        <w:t xml:space="preserve"> </w:t>
      </w:r>
      <w:r w:rsidRPr="15C0C998">
        <w:rPr>
          <w:rFonts w:eastAsia="Times New Roman"/>
          <w:lang w:eastAsia="en-NZ"/>
        </w:rPr>
        <w:t>have</w:t>
      </w:r>
      <w:r w:rsidR="003D640C">
        <w:rPr>
          <w:rFonts w:eastAsia="Times New Roman"/>
          <w:lang w:eastAsia="en-NZ"/>
        </w:rPr>
        <w:t xml:space="preserve"> </w:t>
      </w:r>
      <w:r w:rsidRPr="15C0C998">
        <w:rPr>
          <w:rFonts w:eastAsia="Times New Roman"/>
          <w:lang w:eastAsia="en-NZ"/>
        </w:rPr>
        <w:t>experienced</w:t>
      </w:r>
      <w:r w:rsidR="003D640C">
        <w:rPr>
          <w:rFonts w:eastAsia="Times New Roman"/>
          <w:lang w:eastAsia="en-NZ"/>
        </w:rPr>
        <w:t xml:space="preserve"> </w:t>
      </w:r>
      <w:r w:rsidRPr="15C0C998">
        <w:rPr>
          <w:rFonts w:eastAsia="Times New Roman"/>
          <w:lang w:eastAsia="en-NZ"/>
        </w:rPr>
        <w:t>harm</w:t>
      </w:r>
      <w:r w:rsidR="003D640C">
        <w:rPr>
          <w:rFonts w:eastAsia="Times New Roman"/>
          <w:lang w:eastAsia="en-NZ"/>
        </w:rPr>
        <w:t xml:space="preserve"> </w:t>
      </w:r>
      <w:r w:rsidRPr="15C0C998">
        <w:rPr>
          <w:rFonts w:eastAsia="Times New Roman"/>
          <w:lang w:eastAsia="en-NZ"/>
        </w:rPr>
        <w:t>from</w:t>
      </w:r>
      <w:r w:rsidR="003D640C">
        <w:rPr>
          <w:rFonts w:eastAsia="Times New Roman"/>
          <w:lang w:eastAsia="en-NZ"/>
        </w:rPr>
        <w:t xml:space="preserve"> </w:t>
      </w:r>
      <w:r w:rsidRPr="15C0C998">
        <w:rPr>
          <w:rFonts w:eastAsia="Times New Roman"/>
          <w:lang w:eastAsia="en-NZ"/>
        </w:rPr>
        <w:t>them</w:t>
      </w:r>
      <w:r w:rsidR="003D640C">
        <w:rPr>
          <w:rFonts w:eastAsia="Times New Roman"/>
          <w:lang w:eastAsia="en-NZ"/>
        </w:rPr>
        <w:t xml:space="preserve"> </w:t>
      </w:r>
      <w:r w:rsidRPr="15C0C998">
        <w:rPr>
          <w:rFonts w:eastAsia="Times New Roman"/>
          <w:lang w:eastAsia="en-NZ"/>
        </w:rPr>
        <w:t>are</w:t>
      </w:r>
      <w:r w:rsidR="003D640C">
        <w:rPr>
          <w:rFonts w:eastAsia="Times New Roman"/>
          <w:lang w:eastAsia="en-NZ"/>
        </w:rPr>
        <w:t xml:space="preserve"> </w:t>
      </w:r>
      <w:r w:rsidRPr="15C0C998">
        <w:rPr>
          <w:rFonts w:eastAsia="Times New Roman"/>
          <w:lang w:eastAsia="en-NZ"/>
        </w:rPr>
        <w:t>at</w:t>
      </w:r>
      <w:r w:rsidR="003D640C">
        <w:rPr>
          <w:rFonts w:eastAsia="Times New Roman"/>
          <w:lang w:eastAsia="en-NZ"/>
        </w:rPr>
        <w:t xml:space="preserve"> </w:t>
      </w:r>
      <w:r w:rsidRPr="15C0C998">
        <w:rPr>
          <w:rFonts w:eastAsia="Times New Roman"/>
          <w:lang w:eastAsia="en-NZ"/>
        </w:rPr>
        <w:t>the</w:t>
      </w:r>
      <w:r w:rsidR="003D640C">
        <w:rPr>
          <w:rFonts w:eastAsia="Times New Roman"/>
          <w:lang w:eastAsia="en-NZ"/>
        </w:rPr>
        <w:t xml:space="preserve"> </w:t>
      </w:r>
      <w:r w:rsidRPr="15C0C998">
        <w:rPr>
          <w:rFonts w:eastAsia="Times New Roman"/>
          <w:lang w:eastAsia="en-NZ"/>
        </w:rPr>
        <w:t>centre</w:t>
      </w:r>
      <w:r w:rsidR="003D640C">
        <w:rPr>
          <w:rFonts w:eastAsia="Times New Roman"/>
          <w:lang w:eastAsia="en-NZ"/>
        </w:rPr>
        <w:t xml:space="preserve"> </w:t>
      </w:r>
      <w:r w:rsidRPr="15C0C998">
        <w:rPr>
          <w:rFonts w:eastAsia="Times New Roman"/>
          <w:lang w:eastAsia="en-NZ"/>
        </w:rPr>
        <w:t>of</w:t>
      </w:r>
      <w:r w:rsidR="003D640C">
        <w:rPr>
          <w:rFonts w:eastAsia="Times New Roman"/>
          <w:lang w:eastAsia="en-NZ"/>
        </w:rPr>
        <w:t xml:space="preserve"> </w:t>
      </w:r>
      <w:r w:rsidRPr="15C0C998">
        <w:rPr>
          <w:rFonts w:eastAsia="Times New Roman"/>
          <w:lang w:eastAsia="en-NZ"/>
        </w:rPr>
        <w:t>this</w:t>
      </w:r>
      <w:r w:rsidR="003D640C">
        <w:rPr>
          <w:rFonts w:eastAsia="Times New Roman"/>
          <w:lang w:eastAsia="en-NZ"/>
        </w:rPr>
        <w:t xml:space="preserve"> </w:t>
      </w:r>
      <w:r w:rsidRPr="15C0C998">
        <w:rPr>
          <w:rFonts w:eastAsia="Times New Roman"/>
          <w:lang w:eastAsia="en-NZ"/>
        </w:rPr>
        <w:t>report.</w:t>
      </w:r>
    </w:p>
    <w:p w14:paraId="23FBF454" w14:textId="77777777" w:rsidR="0078026B" w:rsidRDefault="0078026B">
      <w:pPr>
        <w:rPr>
          <w:rFonts w:eastAsia="Times New Roman"/>
          <w:lang w:eastAsia="en-NZ"/>
        </w:rPr>
      </w:pPr>
      <w:r>
        <w:rPr>
          <w:rFonts w:eastAsia="Times New Roman"/>
          <w:lang w:eastAsia="en-NZ"/>
        </w:rPr>
        <w:br w:type="page"/>
      </w:r>
    </w:p>
    <w:p w14:paraId="20DB6675" w14:textId="75DB9835" w:rsidR="00501068" w:rsidRDefault="009D7277" w:rsidP="00501BC4">
      <w:pPr>
        <w:pStyle w:val="Heading1"/>
      </w:pPr>
      <w:bookmarkStart w:id="53" w:name="_Toc167780576"/>
      <w:bookmarkStart w:id="54" w:name="_Ref168394124"/>
      <w:bookmarkStart w:id="55" w:name="_Toc223230144"/>
      <w:bookmarkStart w:id="56" w:name="_Toc174628634"/>
      <w:r w:rsidRPr="00BB6220">
        <w:lastRenderedPageBreak/>
        <w:t>What</w:t>
      </w:r>
      <w:r w:rsidR="003D640C">
        <w:t xml:space="preserve"> </w:t>
      </w:r>
      <w:r w:rsidRPr="00BB6220">
        <w:t>conversion</w:t>
      </w:r>
      <w:r w:rsidR="003D640C">
        <w:t xml:space="preserve"> </w:t>
      </w:r>
      <w:r w:rsidRPr="00BB6220">
        <w:t>practices</w:t>
      </w:r>
      <w:r w:rsidR="003D640C">
        <w:t xml:space="preserve"> </w:t>
      </w:r>
      <w:r w:rsidRPr="00BB6220">
        <w:t>are</w:t>
      </w:r>
      <w:bookmarkEnd w:id="53"/>
      <w:bookmarkEnd w:id="54"/>
      <w:bookmarkEnd w:id="55"/>
      <w:bookmarkEnd w:id="56"/>
    </w:p>
    <w:p w14:paraId="65B60FAA" w14:textId="5687552C" w:rsidR="009D7277" w:rsidRPr="00BB6220" w:rsidRDefault="009D7277" w:rsidP="009D7277">
      <w:r w:rsidRPr="00BB6220">
        <w:t>This</w:t>
      </w:r>
      <w:r w:rsidR="003D640C">
        <w:t xml:space="preserve"> </w:t>
      </w:r>
      <w:r w:rsidRPr="00BB6220">
        <w:t>chapter</w:t>
      </w:r>
      <w:r w:rsidR="003D640C">
        <w:t xml:space="preserve"> </w:t>
      </w:r>
      <w:r w:rsidRPr="00BB6220">
        <w:t>explains</w:t>
      </w:r>
      <w:r w:rsidR="003D640C">
        <w:t xml:space="preserve"> </w:t>
      </w:r>
      <w:r w:rsidRPr="00BB6220">
        <w:t>what</w:t>
      </w:r>
      <w:r w:rsidR="003D640C">
        <w:t xml:space="preserve"> </w:t>
      </w:r>
      <w:r w:rsidRPr="00BB6220">
        <w:t>conversion</w:t>
      </w:r>
      <w:r w:rsidR="003D640C">
        <w:t xml:space="preserve"> </w:t>
      </w:r>
      <w:r w:rsidRPr="00BB6220">
        <w:t>practices</w:t>
      </w:r>
      <w:r w:rsidR="003D640C">
        <w:t xml:space="preserve"> </w:t>
      </w:r>
      <w:r w:rsidRPr="00BB6220">
        <w:t>are,</w:t>
      </w:r>
      <w:r w:rsidR="003D640C">
        <w:t xml:space="preserve"> </w:t>
      </w:r>
      <w:r>
        <w:t>where</w:t>
      </w:r>
      <w:r w:rsidR="003D640C">
        <w:t xml:space="preserve"> </w:t>
      </w:r>
      <w:r>
        <w:t>they</w:t>
      </w:r>
      <w:r w:rsidR="003D640C">
        <w:t xml:space="preserve"> </w:t>
      </w:r>
      <w:r>
        <w:t>come</w:t>
      </w:r>
      <w:r w:rsidR="003D640C">
        <w:t xml:space="preserve"> </w:t>
      </w:r>
      <w:r>
        <w:t>from</w:t>
      </w:r>
      <w:r w:rsidRPr="00BB6220">
        <w:t>,</w:t>
      </w:r>
      <w:r w:rsidR="003D640C">
        <w:t xml:space="preserve"> </w:t>
      </w:r>
      <w:r w:rsidRPr="00BB6220">
        <w:t>what</w:t>
      </w:r>
      <w:r w:rsidR="003D640C">
        <w:t xml:space="preserve"> </w:t>
      </w:r>
      <w:r w:rsidRPr="00BB6220">
        <w:t>makes</w:t>
      </w:r>
      <w:r w:rsidR="003D640C">
        <w:t xml:space="preserve"> </w:t>
      </w:r>
      <w:r w:rsidRPr="00BB6220">
        <w:t>people</w:t>
      </w:r>
      <w:r w:rsidR="003D640C">
        <w:t xml:space="preserve"> </w:t>
      </w:r>
      <w:r w:rsidRPr="00BB6220">
        <w:t>participate</w:t>
      </w:r>
      <w:r w:rsidR="003D640C">
        <w:t xml:space="preserve"> </w:t>
      </w:r>
      <w:r w:rsidRPr="00BB6220">
        <w:t>in</w:t>
      </w:r>
      <w:r w:rsidR="003D640C">
        <w:t xml:space="preserve"> </w:t>
      </w:r>
      <w:r w:rsidRPr="00BB6220">
        <w:t>them,</w:t>
      </w:r>
      <w:r w:rsidR="003D640C">
        <w:t xml:space="preserve"> </w:t>
      </w:r>
      <w:r w:rsidRPr="00BB6220">
        <w:t>and</w:t>
      </w:r>
      <w:r w:rsidR="003D640C">
        <w:t xml:space="preserve"> </w:t>
      </w:r>
      <w:r>
        <w:t>what</w:t>
      </w:r>
      <w:r w:rsidR="003D640C">
        <w:t xml:space="preserve"> </w:t>
      </w:r>
      <w:r w:rsidRPr="00BB6220">
        <w:t>harm</w:t>
      </w:r>
      <w:r w:rsidR="003D640C">
        <w:t xml:space="preserve"> </w:t>
      </w:r>
      <w:r w:rsidRPr="00BB6220">
        <w:t>they</w:t>
      </w:r>
      <w:r w:rsidR="003D640C">
        <w:t xml:space="preserve"> </w:t>
      </w:r>
      <w:r w:rsidRPr="00BB6220">
        <w:t>cause.</w:t>
      </w:r>
    </w:p>
    <w:p w14:paraId="1483EC70" w14:textId="6CD3CCAA" w:rsidR="009D7277" w:rsidRPr="00BB6220" w:rsidRDefault="009D7277" w:rsidP="00393F8F">
      <w:pPr>
        <w:pStyle w:val="Heading2"/>
      </w:pPr>
      <w:bookmarkStart w:id="57" w:name="_Toc167780577"/>
      <w:bookmarkStart w:id="58" w:name="_Toc1899379168"/>
      <w:bookmarkStart w:id="59" w:name="_Toc174628635"/>
      <w:r w:rsidRPr="00BB6220">
        <w:t>Definition</w:t>
      </w:r>
      <w:r w:rsidR="003D640C">
        <w:t xml:space="preserve"> </w:t>
      </w:r>
      <w:r w:rsidRPr="00BB6220">
        <w:t>of</w:t>
      </w:r>
      <w:r w:rsidR="003D640C">
        <w:t xml:space="preserve"> </w:t>
      </w:r>
      <w:r w:rsidRPr="00BB6220">
        <w:t>conversion</w:t>
      </w:r>
      <w:r w:rsidR="003D640C">
        <w:t xml:space="preserve"> </w:t>
      </w:r>
      <w:r w:rsidRPr="00BB6220">
        <w:t>practices</w:t>
      </w:r>
      <w:bookmarkEnd w:id="57"/>
      <w:bookmarkEnd w:id="58"/>
      <w:bookmarkEnd w:id="59"/>
    </w:p>
    <w:p w14:paraId="24124BF2" w14:textId="10361FEC" w:rsidR="009D7277" w:rsidDel="001020D4" w:rsidRDefault="009D7277" w:rsidP="00393F8F">
      <w:r w:rsidRPr="00BB6220">
        <w:t>Conversion</w:t>
      </w:r>
      <w:r w:rsidR="003D640C">
        <w:t xml:space="preserve"> </w:t>
      </w:r>
      <w:r w:rsidRPr="00BB6220">
        <w:t>practices</w:t>
      </w:r>
      <w:r w:rsidR="003D640C">
        <w:t xml:space="preserve"> </w:t>
      </w:r>
      <w:r w:rsidRPr="00BB6220">
        <w:t>are</w:t>
      </w:r>
      <w:r w:rsidR="003D640C">
        <w:t xml:space="preserve"> </w:t>
      </w:r>
      <w:r w:rsidRPr="00BB6220">
        <w:t>defined</w:t>
      </w:r>
      <w:r w:rsidR="003D640C">
        <w:t xml:space="preserve"> </w:t>
      </w:r>
      <w:r w:rsidRPr="00BB6220">
        <w:t>in</w:t>
      </w:r>
      <w:r w:rsidR="003D640C">
        <w:t xml:space="preserve"> </w:t>
      </w:r>
      <w:r w:rsidR="00000792">
        <w:t>section 5</w:t>
      </w:r>
      <w:r w:rsidR="005F6668">
        <w:t>(1)</w:t>
      </w:r>
      <w:r w:rsidR="00000792">
        <w:t xml:space="preserve"> of </w:t>
      </w:r>
      <w:r w:rsidRPr="00BB6220">
        <w:t>the</w:t>
      </w:r>
      <w:r w:rsidR="003D640C">
        <w:t xml:space="preserve"> </w:t>
      </w:r>
      <w:r w:rsidRPr="00BB6220">
        <w:t>CPPLA</w:t>
      </w:r>
      <w:r w:rsidR="003D640C">
        <w:t xml:space="preserve"> </w:t>
      </w:r>
      <w:r w:rsidRPr="00BB6220">
        <w:t>as</w:t>
      </w:r>
      <w:r w:rsidR="003D640C">
        <w:t xml:space="preserve"> </w:t>
      </w:r>
      <w:r w:rsidRPr="00BB6220">
        <w:t>any</w:t>
      </w:r>
      <w:r w:rsidR="003D640C">
        <w:t xml:space="preserve"> </w:t>
      </w:r>
      <w:r w:rsidRPr="00BB6220">
        <w:t>“</w:t>
      </w:r>
      <w:r w:rsidR="001B6F39">
        <w:t>practice,</w:t>
      </w:r>
      <w:r w:rsidR="003D640C">
        <w:t xml:space="preserve"> </w:t>
      </w:r>
      <w:r w:rsidR="001B6F39">
        <w:t>sustained</w:t>
      </w:r>
      <w:r w:rsidR="003D640C">
        <w:t xml:space="preserve"> </w:t>
      </w:r>
      <w:r w:rsidR="001B6F39">
        <w:t>effort</w:t>
      </w:r>
      <w:r w:rsidR="00000792">
        <w:t>,</w:t>
      </w:r>
      <w:r w:rsidR="003D640C">
        <w:t xml:space="preserve"> </w:t>
      </w:r>
      <w:r w:rsidR="001B6F39">
        <w:t>or</w:t>
      </w:r>
      <w:r w:rsidR="003D640C">
        <w:t xml:space="preserve"> </w:t>
      </w:r>
      <w:r w:rsidR="001B6F39">
        <w:t>treatment</w:t>
      </w:r>
      <w:r w:rsidR="003D640C">
        <w:t xml:space="preserve"> </w:t>
      </w:r>
      <w:r w:rsidR="001B6F39">
        <w:t>that</w:t>
      </w:r>
      <w:r w:rsidR="003D640C">
        <w:t xml:space="preserve"> </w:t>
      </w:r>
      <w:r w:rsidR="00000792">
        <w:t xml:space="preserve">… </w:t>
      </w:r>
      <w:r w:rsidR="001B6F39">
        <w:t>is</w:t>
      </w:r>
      <w:r w:rsidR="003D640C">
        <w:t xml:space="preserve"> </w:t>
      </w:r>
      <w:r w:rsidRPr="00BB6220">
        <w:t>directed</w:t>
      </w:r>
      <w:r w:rsidR="003D640C">
        <w:t xml:space="preserve"> </w:t>
      </w:r>
      <w:r w:rsidRPr="00BB6220">
        <w:t>towards</w:t>
      </w:r>
      <w:r w:rsidR="003D640C">
        <w:t xml:space="preserve"> </w:t>
      </w:r>
      <w:r w:rsidRPr="00BB6220">
        <w:t>an</w:t>
      </w:r>
      <w:r w:rsidR="003D640C">
        <w:t xml:space="preserve"> </w:t>
      </w:r>
      <w:r w:rsidRPr="00BB6220">
        <w:t>individual</w:t>
      </w:r>
      <w:r w:rsidR="003D640C">
        <w:t xml:space="preserve"> </w:t>
      </w:r>
      <w:r w:rsidRPr="00BB6220">
        <w:t>because</w:t>
      </w:r>
      <w:r w:rsidR="003D640C">
        <w:t xml:space="preserve"> </w:t>
      </w:r>
      <w:r w:rsidRPr="00BB6220">
        <w:t>of</w:t>
      </w:r>
      <w:r w:rsidR="003D640C">
        <w:t xml:space="preserve"> </w:t>
      </w:r>
      <w:r w:rsidRPr="00BB6220">
        <w:t>the</w:t>
      </w:r>
      <w:r w:rsidR="003D640C">
        <w:t xml:space="preserve"> </w:t>
      </w:r>
      <w:r w:rsidRPr="00BB6220">
        <w:t>individual’s</w:t>
      </w:r>
      <w:r w:rsidR="003D640C">
        <w:t xml:space="preserve"> </w:t>
      </w:r>
      <w:r w:rsidRPr="00BB6220">
        <w:t>sexual</w:t>
      </w:r>
      <w:r w:rsidR="003D640C">
        <w:t xml:space="preserve"> </w:t>
      </w:r>
      <w:r w:rsidRPr="00BB6220">
        <w:t>orientation</w:t>
      </w:r>
      <w:r w:rsidR="00F57494">
        <w:t>,</w:t>
      </w:r>
      <w:r w:rsidR="003D640C">
        <w:t xml:space="preserve"> </w:t>
      </w:r>
      <w:r w:rsidRPr="00BB6220">
        <w:t>gender</w:t>
      </w:r>
      <w:r w:rsidR="003D640C">
        <w:t xml:space="preserve"> </w:t>
      </w:r>
      <w:r w:rsidRPr="00BB6220">
        <w:t>identity,</w:t>
      </w:r>
      <w:r w:rsidR="003D640C">
        <w:t xml:space="preserve"> </w:t>
      </w:r>
      <w:r w:rsidRPr="00BB6220">
        <w:t>or</w:t>
      </w:r>
      <w:r w:rsidR="003D640C">
        <w:t xml:space="preserve"> </w:t>
      </w:r>
      <w:r w:rsidRPr="00BB6220">
        <w:t>gender</w:t>
      </w:r>
      <w:r w:rsidR="003D640C">
        <w:t xml:space="preserve"> </w:t>
      </w:r>
      <w:r w:rsidRPr="00BB6220">
        <w:t>expression”</w:t>
      </w:r>
      <w:r w:rsidR="003D640C">
        <w:t xml:space="preserve"> </w:t>
      </w:r>
      <w:r w:rsidR="00000792">
        <w:t>that is</w:t>
      </w:r>
      <w:r w:rsidR="003D640C">
        <w:t xml:space="preserve"> </w:t>
      </w:r>
      <w:r w:rsidRPr="00BB6220">
        <w:t>done</w:t>
      </w:r>
      <w:r w:rsidR="003D640C">
        <w:t xml:space="preserve"> </w:t>
      </w:r>
      <w:r w:rsidRPr="00BB6220">
        <w:t>with</w:t>
      </w:r>
      <w:r w:rsidR="003D640C">
        <w:t xml:space="preserve"> </w:t>
      </w:r>
      <w:r w:rsidRPr="00BB6220">
        <w:t>“the</w:t>
      </w:r>
      <w:r w:rsidR="003D640C">
        <w:t xml:space="preserve"> </w:t>
      </w:r>
      <w:r w:rsidRPr="00BB6220">
        <w:t>intention</w:t>
      </w:r>
      <w:r w:rsidR="003D640C">
        <w:t xml:space="preserve"> </w:t>
      </w:r>
      <w:r w:rsidRPr="00BB6220">
        <w:t>of</w:t>
      </w:r>
      <w:r w:rsidR="003D640C">
        <w:t xml:space="preserve"> </w:t>
      </w:r>
      <w:r w:rsidRPr="00BB6220">
        <w:t>changing</w:t>
      </w:r>
      <w:r w:rsidR="003D640C">
        <w:t xml:space="preserve"> </w:t>
      </w:r>
      <w:r w:rsidRPr="00BB6220">
        <w:t>or</w:t>
      </w:r>
      <w:r w:rsidR="003D640C">
        <w:t xml:space="preserve"> </w:t>
      </w:r>
      <w:r w:rsidRPr="00BB6220">
        <w:t>suppressing</w:t>
      </w:r>
      <w:r w:rsidR="003D640C">
        <w:t xml:space="preserve"> </w:t>
      </w:r>
      <w:r w:rsidRPr="00BB6220">
        <w:t>their</w:t>
      </w:r>
      <w:r w:rsidR="003D640C">
        <w:t xml:space="preserve"> </w:t>
      </w:r>
      <w:r w:rsidRPr="00BB6220">
        <w:t>sexual</w:t>
      </w:r>
      <w:r w:rsidR="003D640C">
        <w:t xml:space="preserve"> </w:t>
      </w:r>
      <w:r w:rsidRPr="00BB6220">
        <w:t>orientation,</w:t>
      </w:r>
      <w:r w:rsidR="003D640C">
        <w:t xml:space="preserve"> </w:t>
      </w:r>
      <w:r w:rsidRPr="00BB6220">
        <w:t>gender</w:t>
      </w:r>
      <w:r w:rsidR="003D640C">
        <w:t xml:space="preserve"> </w:t>
      </w:r>
      <w:r w:rsidRPr="00BB6220">
        <w:t>identity</w:t>
      </w:r>
      <w:r w:rsidR="005F6668">
        <w:t>,</w:t>
      </w:r>
      <w:r w:rsidR="003D640C">
        <w:t xml:space="preserve"> </w:t>
      </w:r>
      <w:r w:rsidRPr="00BB6220">
        <w:t>or</w:t>
      </w:r>
      <w:r w:rsidR="003D640C">
        <w:t xml:space="preserve"> </w:t>
      </w:r>
      <w:r w:rsidRPr="00BB6220">
        <w:t>gender</w:t>
      </w:r>
      <w:r w:rsidR="003D640C">
        <w:t xml:space="preserve"> </w:t>
      </w:r>
      <w:r w:rsidRPr="00BB6220">
        <w:t>expression”</w:t>
      </w:r>
      <w:r w:rsidR="00000792">
        <w:t>.</w:t>
      </w:r>
      <w:r w:rsidR="003D640C">
        <w:t xml:space="preserve"> </w:t>
      </w:r>
    </w:p>
    <w:p w14:paraId="072A06B8" w14:textId="14C64CEA" w:rsidR="00EF6AE2" w:rsidRDefault="009D7277" w:rsidP="00393F8F">
      <w:r w:rsidRPr="00BB6220">
        <w:t>Such</w:t>
      </w:r>
      <w:r w:rsidR="003D640C">
        <w:t xml:space="preserve"> </w:t>
      </w:r>
      <w:r w:rsidRPr="00BB6220">
        <w:t>practices</w:t>
      </w:r>
      <w:r w:rsidR="003D640C">
        <w:t xml:space="preserve"> </w:t>
      </w:r>
      <w:r w:rsidRPr="00BB6220">
        <w:t>attempt</w:t>
      </w:r>
      <w:r w:rsidR="003D640C">
        <w:t xml:space="preserve"> </w:t>
      </w:r>
      <w:r w:rsidRPr="00BB6220">
        <w:t>to</w:t>
      </w:r>
      <w:r w:rsidR="003D640C">
        <w:t xml:space="preserve"> </w:t>
      </w:r>
      <w:r w:rsidRPr="00BB6220">
        <w:t>change</w:t>
      </w:r>
      <w:r w:rsidR="003D640C">
        <w:t xml:space="preserve"> </w:t>
      </w:r>
      <w:r w:rsidRPr="00BB6220">
        <w:t>an</w:t>
      </w:r>
      <w:r w:rsidR="003D640C">
        <w:t xml:space="preserve"> </w:t>
      </w:r>
      <w:r w:rsidRPr="00BB6220">
        <w:t>individual’s</w:t>
      </w:r>
      <w:r w:rsidR="003D640C">
        <w:t xml:space="preserve"> </w:t>
      </w:r>
      <w:r w:rsidRPr="00BB6220">
        <w:t>Rainbow,</w:t>
      </w:r>
      <w:r w:rsidR="003D640C">
        <w:t xml:space="preserve"> </w:t>
      </w:r>
      <w:r w:rsidRPr="00BB6220">
        <w:t>takatāpui</w:t>
      </w:r>
      <w:r w:rsidR="003D640C">
        <w:t xml:space="preserve"> </w:t>
      </w:r>
      <w:r w:rsidRPr="00BB6220">
        <w:t>or</w:t>
      </w:r>
      <w:r w:rsidR="003D640C">
        <w:t xml:space="preserve"> </w:t>
      </w:r>
      <w:r w:rsidRPr="00BB6220">
        <w:t>MVPFAFF+</w:t>
      </w:r>
      <w:r w:rsidR="003D640C">
        <w:t xml:space="preserve"> </w:t>
      </w:r>
      <w:r w:rsidRPr="00BB6220">
        <w:t>identity</w:t>
      </w:r>
      <w:r w:rsidR="003D640C">
        <w:t xml:space="preserve"> </w:t>
      </w:r>
      <w:r w:rsidRPr="00BB6220">
        <w:t>to</w:t>
      </w:r>
      <w:r w:rsidR="003D640C">
        <w:t xml:space="preserve"> </w:t>
      </w:r>
      <w:r w:rsidRPr="00BB6220">
        <w:t>be</w:t>
      </w:r>
      <w:r w:rsidR="003D640C">
        <w:t xml:space="preserve"> </w:t>
      </w:r>
      <w:r w:rsidRPr="00BB6220">
        <w:t>heterosexual</w:t>
      </w:r>
      <w:r w:rsidR="003D640C">
        <w:t xml:space="preserve"> </w:t>
      </w:r>
      <w:r w:rsidRPr="00BB6220">
        <w:t>and</w:t>
      </w:r>
      <w:r w:rsidR="003D640C">
        <w:t xml:space="preserve"> </w:t>
      </w:r>
      <w:r w:rsidRPr="00BB6220">
        <w:t>cisgender.</w:t>
      </w:r>
      <w:r w:rsidRPr="00BB6220">
        <w:rPr>
          <w:rStyle w:val="FootnoteReference"/>
        </w:rPr>
        <w:footnoteReference w:id="35"/>
      </w:r>
      <w:r w:rsidR="003D640C">
        <w:t xml:space="preserve"> </w:t>
      </w:r>
    </w:p>
    <w:p w14:paraId="6CF852C9" w14:textId="3A6F11CA" w:rsidR="009D7277" w:rsidRPr="00BB6220" w:rsidRDefault="009D7277" w:rsidP="00393F8F">
      <w:r w:rsidRPr="00BB6220" w:rsidDel="00EF6AE2">
        <w:t>We</w:t>
      </w:r>
      <w:r w:rsidR="003D640C">
        <w:t xml:space="preserve"> </w:t>
      </w:r>
      <w:r w:rsidRPr="00BB6220" w:rsidDel="00EF6AE2">
        <w:t>note,</w:t>
      </w:r>
      <w:r w:rsidR="003D640C">
        <w:t xml:space="preserve"> </w:t>
      </w:r>
      <w:r w:rsidRPr="00BB6220" w:rsidDel="00EF6AE2">
        <w:t>however,</w:t>
      </w:r>
      <w:r w:rsidR="003D640C">
        <w:t xml:space="preserve"> </w:t>
      </w:r>
      <w:r w:rsidRPr="00BB6220" w:rsidDel="00EF6AE2">
        <w:t>that</w:t>
      </w:r>
      <w:r w:rsidR="003D640C">
        <w:t xml:space="preserve"> </w:t>
      </w:r>
      <w:r w:rsidRPr="00BB6220" w:rsidDel="00EF6AE2">
        <w:t>the</w:t>
      </w:r>
      <w:r w:rsidR="003D640C">
        <w:t xml:space="preserve"> </w:t>
      </w:r>
      <w:r w:rsidRPr="00BB6220">
        <w:t>definition</w:t>
      </w:r>
      <w:r w:rsidR="003D640C">
        <w:t xml:space="preserve"> </w:t>
      </w:r>
      <w:r w:rsidRPr="00BB6220">
        <w:t>in</w:t>
      </w:r>
      <w:r w:rsidR="003D640C">
        <w:t xml:space="preserve"> </w:t>
      </w:r>
      <w:r w:rsidR="004D1330">
        <w:t xml:space="preserve">the </w:t>
      </w:r>
      <w:r w:rsidRPr="00BB6220">
        <w:t>CPPL</w:t>
      </w:r>
      <w:r>
        <w:t>A</w:t>
      </w:r>
      <w:r w:rsidR="003D640C">
        <w:t xml:space="preserve"> </w:t>
      </w:r>
      <w:r w:rsidRPr="00BB6220">
        <w:t>does</w:t>
      </w:r>
      <w:r w:rsidR="003D640C">
        <w:t xml:space="preserve"> </w:t>
      </w:r>
      <w:r w:rsidRPr="00BB6220">
        <w:t>not</w:t>
      </w:r>
      <w:r w:rsidR="003D640C">
        <w:t xml:space="preserve"> </w:t>
      </w:r>
      <w:r w:rsidRPr="00BB6220">
        <w:t>include</w:t>
      </w:r>
      <w:r w:rsidR="003D640C">
        <w:t xml:space="preserve"> </w:t>
      </w:r>
      <w:r w:rsidRPr="00BB6220">
        <w:t>medical</w:t>
      </w:r>
      <w:r w:rsidR="003D640C">
        <w:t xml:space="preserve"> </w:t>
      </w:r>
      <w:r w:rsidRPr="00BB6220">
        <w:t>or</w:t>
      </w:r>
      <w:r w:rsidR="003D640C">
        <w:t xml:space="preserve"> </w:t>
      </w:r>
      <w:r w:rsidRPr="00BB6220">
        <w:t>surgical</w:t>
      </w:r>
      <w:r w:rsidR="003D640C">
        <w:t xml:space="preserve"> </w:t>
      </w:r>
      <w:r w:rsidRPr="00BB6220">
        <w:t>interventions</w:t>
      </w:r>
      <w:r w:rsidR="003D640C">
        <w:t xml:space="preserve"> </w:t>
      </w:r>
      <w:r w:rsidRPr="00BB6220">
        <w:t>on</w:t>
      </w:r>
      <w:r w:rsidR="003D640C">
        <w:t xml:space="preserve"> </w:t>
      </w:r>
      <w:r w:rsidRPr="00BB6220">
        <w:t>people</w:t>
      </w:r>
      <w:r w:rsidR="003D640C">
        <w:t xml:space="preserve"> </w:t>
      </w:r>
      <w:r w:rsidR="00EF6AE2">
        <w:t>(including</w:t>
      </w:r>
      <w:r w:rsidR="003D640C">
        <w:t xml:space="preserve"> </w:t>
      </w:r>
      <w:r w:rsidR="00EF6AE2">
        <w:t>infants)</w:t>
      </w:r>
      <w:r w:rsidR="003D640C">
        <w:t xml:space="preserve"> </w:t>
      </w:r>
      <w:r>
        <w:t>with</w:t>
      </w:r>
      <w:r w:rsidR="003D640C">
        <w:t xml:space="preserve"> </w:t>
      </w:r>
      <w:r>
        <w:t>innate</w:t>
      </w:r>
      <w:r w:rsidR="003D640C">
        <w:t xml:space="preserve"> </w:t>
      </w:r>
      <w:r>
        <w:t>variations</w:t>
      </w:r>
      <w:r w:rsidR="003D640C">
        <w:t xml:space="preserve"> </w:t>
      </w:r>
      <w:r>
        <w:t>of</w:t>
      </w:r>
      <w:r w:rsidR="003D640C">
        <w:t xml:space="preserve"> </w:t>
      </w:r>
      <w:r>
        <w:t>sex</w:t>
      </w:r>
      <w:r w:rsidR="003D640C">
        <w:t xml:space="preserve"> </w:t>
      </w:r>
      <w:r>
        <w:t>characteristics,</w:t>
      </w:r>
      <w:r w:rsidR="003D640C">
        <w:t xml:space="preserve"> </w:t>
      </w:r>
      <w:r>
        <w:t>sometimes</w:t>
      </w:r>
      <w:r w:rsidR="003D640C">
        <w:t xml:space="preserve"> </w:t>
      </w:r>
      <w:r>
        <w:t>referred</w:t>
      </w:r>
      <w:r w:rsidR="003D640C">
        <w:t xml:space="preserve"> </w:t>
      </w:r>
      <w:r>
        <w:t>to</w:t>
      </w:r>
      <w:r w:rsidR="003D640C">
        <w:t xml:space="preserve"> </w:t>
      </w:r>
      <w:r>
        <w:t>as</w:t>
      </w:r>
      <w:r w:rsidR="003D640C">
        <w:t xml:space="preserve"> </w:t>
      </w:r>
      <w:r>
        <w:t>intersex</w:t>
      </w:r>
      <w:r w:rsidR="004B5E84">
        <w:t>,</w:t>
      </w:r>
      <w:r w:rsidR="003D640C">
        <w:t xml:space="preserve"> </w:t>
      </w:r>
      <w:r w:rsidR="004B5E84">
        <w:t>despite</w:t>
      </w:r>
      <w:r w:rsidR="003D640C">
        <w:t xml:space="preserve"> </w:t>
      </w:r>
      <w:r w:rsidR="004B5E84">
        <w:t>these</w:t>
      </w:r>
      <w:r w:rsidR="003D640C">
        <w:t xml:space="preserve"> </w:t>
      </w:r>
      <w:r w:rsidR="004B5E84">
        <w:t>being</w:t>
      </w:r>
      <w:r w:rsidR="003D640C">
        <w:t xml:space="preserve"> </w:t>
      </w:r>
      <w:r w:rsidR="004B5E84">
        <w:t>considered</w:t>
      </w:r>
      <w:r w:rsidR="003D640C">
        <w:t xml:space="preserve"> </w:t>
      </w:r>
      <w:r w:rsidR="00821E7A">
        <w:t>as</w:t>
      </w:r>
      <w:r w:rsidR="00B859F4">
        <w:t xml:space="preserve"> </w:t>
      </w:r>
      <w:r w:rsidRPr="00BB6220">
        <w:t>conversion</w:t>
      </w:r>
      <w:r w:rsidR="003D640C">
        <w:t xml:space="preserve"> </w:t>
      </w:r>
      <w:r w:rsidRPr="00BB6220">
        <w:t>practices</w:t>
      </w:r>
      <w:r w:rsidR="003D640C">
        <w:t xml:space="preserve"> </w:t>
      </w:r>
      <w:r w:rsidR="004B5E84">
        <w:t>by</w:t>
      </w:r>
      <w:r w:rsidR="003D640C">
        <w:t xml:space="preserve"> </w:t>
      </w:r>
      <w:r w:rsidR="004B5E84">
        <w:t>many</w:t>
      </w:r>
      <w:r w:rsidR="003D640C">
        <w:t xml:space="preserve"> </w:t>
      </w:r>
      <w:r w:rsidR="004B5E84">
        <w:t>interse</w:t>
      </w:r>
      <w:r w:rsidR="00162C0C">
        <w:t>x</w:t>
      </w:r>
      <w:r w:rsidR="003D640C">
        <w:t xml:space="preserve"> </w:t>
      </w:r>
      <w:r w:rsidR="004B5E84">
        <w:t>people,</w:t>
      </w:r>
      <w:r w:rsidR="003D640C">
        <w:t xml:space="preserve"> </w:t>
      </w:r>
      <w:r w:rsidR="004B5E84">
        <w:t>advocates</w:t>
      </w:r>
      <w:r w:rsidR="004D1330">
        <w:t>,</w:t>
      </w:r>
      <w:r w:rsidR="003D640C">
        <w:t xml:space="preserve"> </w:t>
      </w:r>
      <w:r w:rsidR="004B5E84">
        <w:t>and</w:t>
      </w:r>
      <w:r w:rsidR="003D640C">
        <w:t xml:space="preserve"> </w:t>
      </w:r>
      <w:r w:rsidR="004B5E84">
        <w:t>experts</w:t>
      </w:r>
      <w:r w:rsidRPr="00BB6220">
        <w:t>.</w:t>
      </w:r>
      <w:r w:rsidR="003D640C">
        <w:t xml:space="preserve"> </w:t>
      </w:r>
    </w:p>
    <w:p w14:paraId="0D8CDAFD" w14:textId="43BE174E" w:rsidR="009D7277" w:rsidRPr="00BB6220" w:rsidRDefault="004D1330" w:rsidP="00393F8F">
      <w:r>
        <w:t>Section 5 of the CPPLA gives examples of c</w:t>
      </w:r>
      <w:r w:rsidR="009D7277" w:rsidRPr="00BB6220">
        <w:t>onversion</w:t>
      </w:r>
      <w:r w:rsidR="003D640C">
        <w:t xml:space="preserve"> </w:t>
      </w:r>
      <w:r w:rsidR="009D7277" w:rsidRPr="00BB6220">
        <w:t>practices</w:t>
      </w:r>
      <w:r w:rsidR="006953F6">
        <w:t>.</w:t>
      </w:r>
      <w:r w:rsidR="003D640C">
        <w:t xml:space="preserve"> </w:t>
      </w:r>
    </w:p>
    <w:p w14:paraId="6FB9DA06" w14:textId="79FF1C64" w:rsidR="009D7277" w:rsidRPr="00BB6220" w:rsidRDefault="004D1330" w:rsidP="00393F8F">
      <w:pPr>
        <w:pStyle w:val="Bullet"/>
      </w:pPr>
      <w:r>
        <w:t>U</w:t>
      </w:r>
      <w:r w:rsidR="009D7277" w:rsidRPr="00BB6220">
        <w:t>sing</w:t>
      </w:r>
      <w:r w:rsidR="003D640C">
        <w:t xml:space="preserve"> </w:t>
      </w:r>
      <w:r w:rsidR="009D7277" w:rsidRPr="00BB6220">
        <w:t>shame,</w:t>
      </w:r>
      <w:r w:rsidR="003D640C">
        <w:t xml:space="preserve"> </w:t>
      </w:r>
      <w:r w:rsidR="009D7277" w:rsidRPr="00BB6220">
        <w:t>coercion,</w:t>
      </w:r>
      <w:r w:rsidR="003D640C">
        <w:t xml:space="preserve"> </w:t>
      </w:r>
      <w:r w:rsidR="009D7277" w:rsidRPr="00BB6220">
        <w:t>or</w:t>
      </w:r>
      <w:r w:rsidR="003D640C">
        <w:t xml:space="preserve"> </w:t>
      </w:r>
      <w:r w:rsidR="009D7277" w:rsidRPr="00BB6220">
        <w:t>other</w:t>
      </w:r>
      <w:r w:rsidR="003D640C">
        <w:t xml:space="preserve"> </w:t>
      </w:r>
      <w:r w:rsidR="009D7277" w:rsidRPr="00BB6220">
        <w:t>tactics</w:t>
      </w:r>
      <w:r w:rsidR="003D640C">
        <w:t xml:space="preserve"> </w:t>
      </w:r>
      <w:r w:rsidR="009D7277" w:rsidRPr="00BB6220">
        <w:t>to</w:t>
      </w:r>
      <w:r w:rsidR="003D640C">
        <w:t xml:space="preserve"> </w:t>
      </w:r>
      <w:r w:rsidR="009D7277" w:rsidRPr="00BB6220">
        <w:t>give</w:t>
      </w:r>
      <w:r w:rsidR="003D640C">
        <w:t xml:space="preserve"> </w:t>
      </w:r>
      <w:r w:rsidR="009D7277" w:rsidRPr="00BB6220">
        <w:t>someone</w:t>
      </w:r>
      <w:r w:rsidR="003D640C">
        <w:t xml:space="preserve"> </w:t>
      </w:r>
      <w:r w:rsidR="009D7277" w:rsidRPr="00BB6220">
        <w:t>an</w:t>
      </w:r>
      <w:r w:rsidR="003D640C">
        <w:t xml:space="preserve"> </w:t>
      </w:r>
      <w:r w:rsidR="009D7277" w:rsidRPr="00BB6220">
        <w:t>aversion</w:t>
      </w:r>
      <w:r w:rsidR="003D640C">
        <w:t xml:space="preserve"> </w:t>
      </w:r>
      <w:r w:rsidR="009D7277" w:rsidRPr="00BB6220">
        <w:t>to</w:t>
      </w:r>
      <w:r w:rsidR="003D640C">
        <w:t xml:space="preserve"> </w:t>
      </w:r>
      <w:r w:rsidR="009D7277" w:rsidRPr="00BB6220">
        <w:t>same-sex</w:t>
      </w:r>
      <w:r w:rsidR="003D640C">
        <w:t xml:space="preserve"> </w:t>
      </w:r>
      <w:r w:rsidR="009D7277" w:rsidRPr="00BB6220">
        <w:t>attractions</w:t>
      </w:r>
      <w:r w:rsidR="003D640C">
        <w:t xml:space="preserve"> </w:t>
      </w:r>
      <w:r w:rsidR="009D7277" w:rsidRPr="00BB6220">
        <w:t>or</w:t>
      </w:r>
      <w:r w:rsidR="003D640C">
        <w:t xml:space="preserve"> </w:t>
      </w:r>
      <w:r w:rsidR="009D7277" w:rsidRPr="00BB6220">
        <w:t>to</w:t>
      </w:r>
      <w:r w:rsidR="003D640C">
        <w:t xml:space="preserve"> </w:t>
      </w:r>
      <w:r w:rsidR="009D7277" w:rsidRPr="00BB6220">
        <w:t>encourage</w:t>
      </w:r>
      <w:r w:rsidR="003D640C">
        <w:t xml:space="preserve"> </w:t>
      </w:r>
      <w:r w:rsidR="009D7277" w:rsidRPr="00BB6220">
        <w:t>gender-conforming</w:t>
      </w:r>
      <w:r w:rsidR="003D640C">
        <w:t xml:space="preserve"> </w:t>
      </w:r>
      <w:r w:rsidR="009D7277" w:rsidRPr="00BB6220">
        <w:t>behaviour</w:t>
      </w:r>
      <w:r>
        <w:t>.</w:t>
      </w:r>
    </w:p>
    <w:p w14:paraId="47EE0846" w14:textId="2E9D9132" w:rsidR="009D7277" w:rsidRPr="00BB6220" w:rsidRDefault="004D1330" w:rsidP="00393F8F">
      <w:pPr>
        <w:pStyle w:val="Bullet"/>
      </w:pPr>
      <w:r>
        <w:t>E</w:t>
      </w:r>
      <w:r w:rsidR="009D7277" w:rsidRPr="00BB6220">
        <w:t>ncouraging</w:t>
      </w:r>
      <w:r w:rsidR="003D640C">
        <w:t xml:space="preserve"> </w:t>
      </w:r>
      <w:r w:rsidR="009D7277" w:rsidRPr="00BB6220">
        <w:t>someone</w:t>
      </w:r>
      <w:r w:rsidR="003D640C">
        <w:t xml:space="preserve"> </w:t>
      </w:r>
      <w:r w:rsidR="009D7277" w:rsidRPr="00BB6220">
        <w:t>to</w:t>
      </w:r>
      <w:r w:rsidR="003D640C">
        <w:t xml:space="preserve"> </w:t>
      </w:r>
      <w:r w:rsidR="009D7277" w:rsidRPr="00BB6220">
        <w:t>believe</w:t>
      </w:r>
      <w:r w:rsidR="003D640C">
        <w:t xml:space="preserve"> </w:t>
      </w:r>
      <w:r w:rsidR="009D7277" w:rsidRPr="00BB6220">
        <w:t>their</w:t>
      </w:r>
      <w:r w:rsidR="003D640C">
        <w:t xml:space="preserve"> </w:t>
      </w:r>
      <w:r w:rsidR="009D7277" w:rsidRPr="00BB6220">
        <w:t>sexual</w:t>
      </w:r>
      <w:r w:rsidR="003D640C">
        <w:t xml:space="preserve"> </w:t>
      </w:r>
      <w:r w:rsidR="009D7277" w:rsidRPr="00BB6220">
        <w:t>orientation</w:t>
      </w:r>
      <w:r w:rsidR="003D640C">
        <w:t xml:space="preserve"> </w:t>
      </w:r>
      <w:r w:rsidR="009D7277" w:rsidRPr="00BB6220">
        <w:t>or</w:t>
      </w:r>
      <w:r w:rsidR="003D640C">
        <w:t xml:space="preserve"> </w:t>
      </w:r>
      <w:r w:rsidR="009D7277" w:rsidRPr="00BB6220">
        <w:t>gender,</w:t>
      </w:r>
      <w:r w:rsidR="003D640C">
        <w:t xml:space="preserve"> </w:t>
      </w:r>
      <w:r w:rsidR="009D7277" w:rsidRPr="00BB6220">
        <w:t>or</w:t>
      </w:r>
      <w:r w:rsidR="003D640C">
        <w:t xml:space="preserve"> </w:t>
      </w:r>
      <w:r w:rsidR="009D7277" w:rsidRPr="00BB6220">
        <w:t>parts</w:t>
      </w:r>
      <w:r w:rsidR="003D640C">
        <w:t xml:space="preserve"> </w:t>
      </w:r>
      <w:r w:rsidR="009D7277">
        <w:t>there</w:t>
      </w:r>
      <w:r w:rsidR="009D7277" w:rsidRPr="00BB6220">
        <w:t>of,</w:t>
      </w:r>
      <w:r w:rsidR="003D640C">
        <w:t xml:space="preserve"> </w:t>
      </w:r>
      <w:r w:rsidR="009D7277" w:rsidRPr="00BB6220">
        <w:t>are</w:t>
      </w:r>
      <w:r w:rsidR="003D640C">
        <w:t xml:space="preserve"> </w:t>
      </w:r>
      <w:r w:rsidR="009D7277" w:rsidRPr="00BB6220">
        <w:t>defective</w:t>
      </w:r>
      <w:r w:rsidR="003D640C">
        <w:t xml:space="preserve"> </w:t>
      </w:r>
      <w:r w:rsidR="009D7277" w:rsidRPr="00BB6220">
        <w:t>or</w:t>
      </w:r>
      <w:r w:rsidR="003D640C">
        <w:t xml:space="preserve"> </w:t>
      </w:r>
      <w:r w:rsidR="009D7277" w:rsidRPr="00BB6220">
        <w:t>disordered</w:t>
      </w:r>
      <w:r>
        <w:t>.</w:t>
      </w:r>
    </w:p>
    <w:p w14:paraId="11C03515" w14:textId="63CCD5D4" w:rsidR="009D7277" w:rsidRPr="00BB6220" w:rsidRDefault="004D1330" w:rsidP="00393F8F">
      <w:pPr>
        <w:pStyle w:val="Bullet"/>
      </w:pPr>
      <w:r>
        <w:t>P</w:t>
      </w:r>
      <w:r w:rsidR="009D7277" w:rsidRPr="00BB6220">
        <w:t>erforming</w:t>
      </w:r>
      <w:r w:rsidR="003D640C">
        <w:t xml:space="preserve"> </w:t>
      </w:r>
      <w:r w:rsidR="009D7277" w:rsidRPr="00BB6220">
        <w:t>a</w:t>
      </w:r>
      <w:r w:rsidR="003D640C">
        <w:t xml:space="preserve"> </w:t>
      </w:r>
      <w:r w:rsidR="009D7277" w:rsidRPr="00BB6220">
        <w:t>deliverance,</w:t>
      </w:r>
      <w:r w:rsidR="003D640C">
        <w:t xml:space="preserve"> </w:t>
      </w:r>
      <w:r w:rsidR="009D7277" w:rsidRPr="00BB6220">
        <w:t>exorcism,</w:t>
      </w:r>
      <w:r w:rsidR="003D640C">
        <w:t xml:space="preserve"> </w:t>
      </w:r>
      <w:r w:rsidR="009D7277" w:rsidRPr="00BB6220">
        <w:t>or</w:t>
      </w:r>
      <w:r w:rsidR="003D640C">
        <w:t xml:space="preserve"> </w:t>
      </w:r>
      <w:r w:rsidR="009D7277" w:rsidRPr="00BB6220">
        <w:t>prayer-based</w:t>
      </w:r>
      <w:r w:rsidR="003D640C">
        <w:t xml:space="preserve"> </w:t>
      </w:r>
      <w:r w:rsidR="009D7277" w:rsidRPr="00BB6220">
        <w:t>practice</w:t>
      </w:r>
      <w:r w:rsidR="003D640C">
        <w:t xml:space="preserve"> </w:t>
      </w:r>
      <w:r w:rsidR="009D7277" w:rsidRPr="00BB6220">
        <w:t>intended</w:t>
      </w:r>
      <w:r w:rsidR="003D640C">
        <w:t xml:space="preserve"> </w:t>
      </w:r>
      <w:r w:rsidR="009D7277" w:rsidRPr="00BB6220">
        <w:t>to</w:t>
      </w:r>
      <w:r w:rsidR="003D640C">
        <w:t xml:space="preserve"> </w:t>
      </w:r>
      <w:r w:rsidR="009D7277" w:rsidRPr="00BB6220">
        <w:t>change</w:t>
      </w:r>
      <w:r w:rsidR="003D640C">
        <w:t xml:space="preserve"> </w:t>
      </w:r>
      <w:r w:rsidR="009D7277" w:rsidRPr="00BB6220">
        <w:t>or</w:t>
      </w:r>
      <w:r w:rsidR="003D640C">
        <w:t xml:space="preserve"> </w:t>
      </w:r>
      <w:r w:rsidR="009D7277" w:rsidRPr="00BB6220">
        <w:t>suppress</w:t>
      </w:r>
      <w:r w:rsidR="003D640C">
        <w:t xml:space="preserve"> </w:t>
      </w:r>
      <w:r w:rsidR="009D7277" w:rsidRPr="00BB6220">
        <w:t>a</w:t>
      </w:r>
      <w:r w:rsidR="003D640C">
        <w:t xml:space="preserve"> </w:t>
      </w:r>
      <w:r w:rsidR="009D7277" w:rsidRPr="00BB6220">
        <w:t>person</w:t>
      </w:r>
      <w:r w:rsidR="00CD3E06">
        <w:t>’</w:t>
      </w:r>
      <w:r w:rsidR="009D7277" w:rsidRPr="00BB6220">
        <w:t>s</w:t>
      </w:r>
      <w:r w:rsidR="003D640C">
        <w:t xml:space="preserve"> </w:t>
      </w:r>
      <w:r w:rsidR="009D7277" w:rsidRPr="00BB6220">
        <w:t>sexual</w:t>
      </w:r>
      <w:r w:rsidR="003D640C">
        <w:t xml:space="preserve"> </w:t>
      </w:r>
      <w:r w:rsidR="009D7277" w:rsidRPr="00BB6220">
        <w:t>orientation,</w:t>
      </w:r>
      <w:r w:rsidR="003D640C">
        <w:t xml:space="preserve"> </w:t>
      </w:r>
      <w:r w:rsidR="009D7277" w:rsidRPr="00BB6220">
        <w:t>gender</w:t>
      </w:r>
      <w:r w:rsidR="003D640C">
        <w:t xml:space="preserve"> </w:t>
      </w:r>
      <w:r w:rsidR="009D7277" w:rsidRPr="00BB6220">
        <w:t>expression</w:t>
      </w:r>
      <w:r>
        <w:t>,</w:t>
      </w:r>
      <w:r w:rsidR="003D640C">
        <w:t xml:space="preserve"> </w:t>
      </w:r>
      <w:r w:rsidR="009D7277" w:rsidRPr="00BB6220">
        <w:t>or</w:t>
      </w:r>
      <w:r w:rsidR="003D640C">
        <w:t xml:space="preserve"> </w:t>
      </w:r>
      <w:r w:rsidR="009D7277" w:rsidRPr="00BB6220">
        <w:t>gender</w:t>
      </w:r>
      <w:r w:rsidR="003D640C">
        <w:t xml:space="preserve"> </w:t>
      </w:r>
      <w:r w:rsidR="009D7277" w:rsidRPr="00BB6220">
        <w:t>identity</w:t>
      </w:r>
      <w:r>
        <w:t>.</w:t>
      </w:r>
      <w:r>
        <w:rPr>
          <w:rStyle w:val="CommentReference"/>
        </w:rPr>
        <w:t xml:space="preserve"> </w:t>
      </w:r>
    </w:p>
    <w:p w14:paraId="15C11D54" w14:textId="40C57187" w:rsidR="009D7277" w:rsidRPr="00BB6220" w:rsidRDefault="009D7277" w:rsidP="00393F8F">
      <w:r w:rsidRPr="00BB6220">
        <w:t>There</w:t>
      </w:r>
      <w:r w:rsidR="003D640C">
        <w:t xml:space="preserve"> </w:t>
      </w:r>
      <w:r w:rsidRPr="00BB6220">
        <w:t>is</w:t>
      </w:r>
      <w:r w:rsidR="003D640C">
        <w:t xml:space="preserve"> </w:t>
      </w:r>
      <w:r w:rsidRPr="00BB6220">
        <w:t>no</w:t>
      </w:r>
      <w:r w:rsidR="003D640C">
        <w:t xml:space="preserve"> </w:t>
      </w:r>
      <w:r w:rsidRPr="00BB6220">
        <w:t>evidence</w:t>
      </w:r>
      <w:r w:rsidR="003D640C">
        <w:t xml:space="preserve"> </w:t>
      </w:r>
      <w:r w:rsidRPr="00BB6220">
        <w:t>that</w:t>
      </w:r>
      <w:r w:rsidR="003D640C">
        <w:t xml:space="preserve"> </w:t>
      </w:r>
      <w:r w:rsidRPr="00BB6220">
        <w:t>conversion</w:t>
      </w:r>
      <w:r w:rsidR="003D640C">
        <w:t xml:space="preserve"> </w:t>
      </w:r>
      <w:r w:rsidRPr="00BB6220">
        <w:t>practices</w:t>
      </w:r>
      <w:r w:rsidR="003D640C">
        <w:t xml:space="preserve"> </w:t>
      </w:r>
      <w:r w:rsidRPr="00BB6220">
        <w:t>can</w:t>
      </w:r>
      <w:r w:rsidR="003D640C">
        <w:t xml:space="preserve"> </w:t>
      </w:r>
      <w:r w:rsidRPr="00BB6220">
        <w:t>change</w:t>
      </w:r>
      <w:r w:rsidR="003D640C">
        <w:t xml:space="preserve"> </w:t>
      </w:r>
      <w:r w:rsidRPr="00BB6220">
        <w:t>a</w:t>
      </w:r>
      <w:r w:rsidR="003D640C">
        <w:t xml:space="preserve"> </w:t>
      </w:r>
      <w:r w:rsidRPr="00BB6220">
        <w:t>person’s</w:t>
      </w:r>
      <w:r w:rsidR="003D640C">
        <w:t xml:space="preserve"> </w:t>
      </w:r>
      <w:r w:rsidRPr="00BB6220">
        <w:t>sexual</w:t>
      </w:r>
      <w:r w:rsidR="003D640C">
        <w:t xml:space="preserve"> </w:t>
      </w:r>
      <w:r w:rsidRPr="00BB6220">
        <w:t>orientation</w:t>
      </w:r>
      <w:r w:rsidR="003D640C">
        <w:t xml:space="preserve"> </w:t>
      </w:r>
      <w:r w:rsidRPr="00BB6220">
        <w:t>or</w:t>
      </w:r>
      <w:r w:rsidR="003D640C">
        <w:t xml:space="preserve"> </w:t>
      </w:r>
      <w:r w:rsidRPr="00BB6220">
        <w:t>gender.</w:t>
      </w:r>
      <w:r w:rsidR="003D640C">
        <w:t xml:space="preserve"> </w:t>
      </w:r>
      <w:r w:rsidRPr="00BB6220">
        <w:t>Conversely,</w:t>
      </w:r>
      <w:r w:rsidR="003D640C">
        <w:t xml:space="preserve"> </w:t>
      </w:r>
      <w:r w:rsidRPr="00BB6220">
        <w:t>numerous</w:t>
      </w:r>
      <w:r w:rsidR="003D640C">
        <w:t xml:space="preserve"> </w:t>
      </w:r>
      <w:r w:rsidRPr="00BB6220">
        <w:t>studies</w:t>
      </w:r>
      <w:r w:rsidR="003D640C">
        <w:t xml:space="preserve"> </w:t>
      </w:r>
      <w:r w:rsidRPr="00BB6220">
        <w:t>have</w:t>
      </w:r>
      <w:r w:rsidR="003D640C">
        <w:t xml:space="preserve"> </w:t>
      </w:r>
      <w:r w:rsidRPr="00BB6220">
        <w:t>shown</w:t>
      </w:r>
      <w:r w:rsidR="003D640C">
        <w:t xml:space="preserve"> </w:t>
      </w:r>
      <w:r w:rsidRPr="00BB6220">
        <w:t>conversion</w:t>
      </w:r>
      <w:r w:rsidR="003D640C">
        <w:t xml:space="preserve"> </w:t>
      </w:r>
      <w:r w:rsidRPr="00BB6220">
        <w:t>practices</w:t>
      </w:r>
      <w:r w:rsidR="003D640C">
        <w:t xml:space="preserve"> </w:t>
      </w:r>
      <w:r w:rsidRPr="00BB6220">
        <w:t>cause</w:t>
      </w:r>
      <w:r w:rsidR="003D640C">
        <w:t xml:space="preserve"> </w:t>
      </w:r>
      <w:r w:rsidRPr="00BB6220">
        <w:t>significant</w:t>
      </w:r>
      <w:r w:rsidR="003D640C">
        <w:t xml:space="preserve"> </w:t>
      </w:r>
      <w:r w:rsidRPr="00BB6220">
        <w:t>and</w:t>
      </w:r>
      <w:r w:rsidR="003D640C">
        <w:t xml:space="preserve"> </w:t>
      </w:r>
      <w:r w:rsidRPr="00BB6220">
        <w:t>long-lasting</w:t>
      </w:r>
      <w:r w:rsidR="003D640C">
        <w:t xml:space="preserve"> </w:t>
      </w:r>
      <w:r w:rsidRPr="00BB6220">
        <w:t>harm</w:t>
      </w:r>
      <w:r w:rsidR="00955F68">
        <w:t xml:space="preserve"> (see chapter </w:t>
      </w:r>
      <w:r w:rsidR="00B22E77">
        <w:fldChar w:fldCharType="begin"/>
      </w:r>
      <w:r w:rsidR="00B22E77">
        <w:instrText xml:space="preserve"> REF _Ref168394096 \r \h </w:instrText>
      </w:r>
      <w:r w:rsidR="00B22E77">
        <w:fldChar w:fldCharType="separate"/>
      </w:r>
      <w:r w:rsidR="00B22E77">
        <w:t>5</w:t>
      </w:r>
      <w:r w:rsidR="00B22E77">
        <w:fldChar w:fldCharType="end"/>
      </w:r>
      <w:r w:rsidR="00955F68">
        <w:t>)</w:t>
      </w:r>
      <w:r w:rsidRPr="00BB6220">
        <w:t>.</w:t>
      </w:r>
      <w:r w:rsidR="003D640C">
        <w:t xml:space="preserve"> </w:t>
      </w:r>
      <w:r w:rsidRPr="00BB6220">
        <w:t>Despite</w:t>
      </w:r>
      <w:r w:rsidR="003D640C">
        <w:t xml:space="preserve"> </w:t>
      </w:r>
      <w:r w:rsidRPr="00BB6220">
        <w:t>not</w:t>
      </w:r>
      <w:r w:rsidR="003D640C">
        <w:t xml:space="preserve"> </w:t>
      </w:r>
      <w:r w:rsidRPr="00BB6220">
        <w:t>working</w:t>
      </w:r>
      <w:r w:rsidR="003D640C">
        <w:t xml:space="preserve"> </w:t>
      </w:r>
      <w:r w:rsidRPr="00BB6220">
        <w:t>and</w:t>
      </w:r>
      <w:r w:rsidR="003D640C">
        <w:t xml:space="preserve"> </w:t>
      </w:r>
      <w:r w:rsidRPr="00BB6220">
        <w:t>having</w:t>
      </w:r>
      <w:r w:rsidR="003D640C">
        <w:t xml:space="preserve"> </w:t>
      </w:r>
      <w:r w:rsidRPr="00BB6220">
        <w:t>no</w:t>
      </w:r>
      <w:r w:rsidR="003D640C">
        <w:t xml:space="preserve"> </w:t>
      </w:r>
      <w:r w:rsidRPr="00BB6220">
        <w:t>therapeutic</w:t>
      </w:r>
      <w:r w:rsidR="003D640C">
        <w:t xml:space="preserve"> </w:t>
      </w:r>
      <w:r w:rsidRPr="00BB6220">
        <w:t>value,</w:t>
      </w:r>
      <w:r w:rsidR="003D640C">
        <w:t xml:space="preserve"> </w:t>
      </w:r>
      <w:r w:rsidRPr="00BB6220">
        <w:t>these</w:t>
      </w:r>
      <w:r w:rsidR="003D640C">
        <w:t xml:space="preserve"> </w:t>
      </w:r>
      <w:r w:rsidRPr="00BB6220">
        <w:t>practices</w:t>
      </w:r>
      <w:r w:rsidR="003D640C">
        <w:t xml:space="preserve"> </w:t>
      </w:r>
      <w:r w:rsidRPr="00BB6220">
        <w:t>are</w:t>
      </w:r>
      <w:r w:rsidR="003D640C">
        <w:t xml:space="preserve"> </w:t>
      </w:r>
      <w:r w:rsidRPr="00BB6220">
        <w:t>sometimes</w:t>
      </w:r>
      <w:r w:rsidR="003D640C">
        <w:t xml:space="preserve"> </w:t>
      </w:r>
      <w:r w:rsidRPr="00BB6220">
        <w:t>referred</w:t>
      </w:r>
      <w:r w:rsidR="003D640C">
        <w:t xml:space="preserve"> </w:t>
      </w:r>
      <w:r w:rsidRPr="00BB6220">
        <w:t>to</w:t>
      </w:r>
      <w:r w:rsidR="003D640C">
        <w:t xml:space="preserve"> </w:t>
      </w:r>
      <w:r w:rsidRPr="00BB6220">
        <w:t>as</w:t>
      </w:r>
      <w:r w:rsidR="003D640C">
        <w:t xml:space="preserve"> </w:t>
      </w:r>
      <w:r w:rsidRPr="00BB6220">
        <w:t>conversion</w:t>
      </w:r>
      <w:r w:rsidR="003D640C">
        <w:t xml:space="preserve"> </w:t>
      </w:r>
      <w:r w:rsidRPr="00BB6220">
        <w:t>‘therapy’.</w:t>
      </w:r>
      <w:r w:rsidR="003D640C">
        <w:t xml:space="preserve"> </w:t>
      </w:r>
      <w:r w:rsidRPr="00BB6220">
        <w:t>Calling</w:t>
      </w:r>
      <w:r w:rsidR="003D640C">
        <w:t xml:space="preserve"> </w:t>
      </w:r>
      <w:r w:rsidRPr="00BB6220">
        <w:t>them</w:t>
      </w:r>
      <w:r w:rsidR="003D640C">
        <w:t xml:space="preserve"> </w:t>
      </w:r>
      <w:r w:rsidRPr="00BB6220">
        <w:t>therapies</w:t>
      </w:r>
      <w:r w:rsidR="003D640C">
        <w:t xml:space="preserve"> </w:t>
      </w:r>
      <w:r w:rsidRPr="00BB6220">
        <w:t>is</w:t>
      </w:r>
      <w:r w:rsidR="003D640C">
        <w:t xml:space="preserve"> </w:t>
      </w:r>
      <w:r w:rsidRPr="00BB6220">
        <w:t>misleading</w:t>
      </w:r>
      <w:r w:rsidR="003D640C">
        <w:t xml:space="preserve"> </w:t>
      </w:r>
      <w:r w:rsidRPr="00BB6220">
        <w:t>and</w:t>
      </w:r>
      <w:r w:rsidR="003D640C">
        <w:t xml:space="preserve"> </w:t>
      </w:r>
      <w:r w:rsidRPr="00BB6220">
        <w:t>undermines</w:t>
      </w:r>
      <w:r w:rsidR="003D640C">
        <w:t xml:space="preserve"> </w:t>
      </w:r>
      <w:r w:rsidRPr="00BB6220">
        <w:t>other</w:t>
      </w:r>
      <w:r w:rsidR="003D640C">
        <w:t xml:space="preserve"> </w:t>
      </w:r>
      <w:r w:rsidRPr="00BB6220">
        <w:t>genuinely</w:t>
      </w:r>
      <w:r w:rsidR="003D640C">
        <w:t xml:space="preserve"> </w:t>
      </w:r>
      <w:r w:rsidRPr="00BB6220">
        <w:t>helpful</w:t>
      </w:r>
      <w:r w:rsidR="003D640C">
        <w:t xml:space="preserve"> </w:t>
      </w:r>
      <w:r w:rsidRPr="00BB6220">
        <w:t>therapies.</w:t>
      </w:r>
      <w:r w:rsidR="003D640C">
        <w:t xml:space="preserve"> </w:t>
      </w:r>
    </w:p>
    <w:p w14:paraId="01B0C460" w14:textId="491DE824" w:rsidR="009D7277" w:rsidRPr="00BB6220" w:rsidRDefault="009D7277" w:rsidP="00393F8F">
      <w:r w:rsidRPr="00BB6220">
        <w:t>Conversion</w:t>
      </w:r>
      <w:r w:rsidR="003D640C">
        <w:t xml:space="preserve"> </w:t>
      </w:r>
      <w:r w:rsidRPr="00BB6220">
        <w:t>practices</w:t>
      </w:r>
      <w:r w:rsidR="003D640C">
        <w:t xml:space="preserve"> </w:t>
      </w:r>
      <w:r w:rsidRPr="00BB6220">
        <w:t>are</w:t>
      </w:r>
      <w:r w:rsidR="003D640C">
        <w:t xml:space="preserve"> </w:t>
      </w:r>
      <w:r w:rsidRPr="00BB6220">
        <w:t>known</w:t>
      </w:r>
      <w:r w:rsidR="003D640C">
        <w:t xml:space="preserve"> </w:t>
      </w:r>
      <w:r w:rsidRPr="00BB6220">
        <w:t>by</w:t>
      </w:r>
      <w:r w:rsidR="003D640C">
        <w:t xml:space="preserve"> </w:t>
      </w:r>
      <w:r w:rsidRPr="00BB6220">
        <w:t>many</w:t>
      </w:r>
      <w:r w:rsidR="003D640C">
        <w:t xml:space="preserve"> </w:t>
      </w:r>
      <w:r w:rsidRPr="00BB6220">
        <w:t>names,</w:t>
      </w:r>
      <w:r w:rsidR="003D640C">
        <w:t xml:space="preserve"> </w:t>
      </w:r>
      <w:r w:rsidRPr="00BB6220">
        <w:t>which</w:t>
      </w:r>
      <w:r w:rsidR="003D640C">
        <w:t xml:space="preserve"> </w:t>
      </w:r>
      <w:r w:rsidRPr="00BB6220">
        <w:t>can</w:t>
      </w:r>
      <w:r w:rsidR="003D640C">
        <w:t xml:space="preserve"> </w:t>
      </w:r>
      <w:r w:rsidRPr="00BB6220">
        <w:t>disguise</w:t>
      </w:r>
      <w:r w:rsidR="003D640C">
        <w:t xml:space="preserve"> </w:t>
      </w:r>
      <w:r w:rsidRPr="00BB6220">
        <w:t>their</w:t>
      </w:r>
      <w:r w:rsidR="003D640C">
        <w:t xml:space="preserve"> </w:t>
      </w:r>
      <w:r w:rsidRPr="00BB6220">
        <w:t>true</w:t>
      </w:r>
      <w:r w:rsidR="003D640C">
        <w:t xml:space="preserve"> </w:t>
      </w:r>
      <w:r w:rsidRPr="00BB6220">
        <w:t>nature</w:t>
      </w:r>
      <w:r w:rsidR="003D640C">
        <w:t xml:space="preserve"> </w:t>
      </w:r>
      <w:r w:rsidRPr="00BB6220">
        <w:t>and</w:t>
      </w:r>
      <w:r w:rsidR="003D640C">
        <w:t xml:space="preserve"> </w:t>
      </w:r>
      <w:r w:rsidRPr="00BB6220">
        <w:t>mean</w:t>
      </w:r>
      <w:r w:rsidR="003D640C">
        <w:t xml:space="preserve"> </w:t>
      </w:r>
      <w:r w:rsidRPr="00BB6220">
        <w:t>people</w:t>
      </w:r>
      <w:r w:rsidR="003D640C">
        <w:t xml:space="preserve"> </w:t>
      </w:r>
      <w:r w:rsidRPr="00BB6220">
        <w:t>are</w:t>
      </w:r>
      <w:r w:rsidR="003D640C">
        <w:t xml:space="preserve"> </w:t>
      </w:r>
      <w:r w:rsidRPr="00BB6220">
        <w:t>sometimes</w:t>
      </w:r>
      <w:r w:rsidR="003D640C">
        <w:t xml:space="preserve"> </w:t>
      </w:r>
      <w:r w:rsidRPr="00BB6220">
        <w:t>unaware</w:t>
      </w:r>
      <w:r w:rsidR="003D640C">
        <w:t xml:space="preserve"> </w:t>
      </w:r>
      <w:r w:rsidRPr="00BB6220">
        <w:t>they</w:t>
      </w:r>
      <w:r w:rsidR="003D640C">
        <w:t xml:space="preserve"> </w:t>
      </w:r>
      <w:r w:rsidRPr="00BB6220">
        <w:t>are</w:t>
      </w:r>
      <w:r w:rsidR="003D640C">
        <w:t xml:space="preserve"> </w:t>
      </w:r>
      <w:r w:rsidRPr="00BB6220">
        <w:t>experiencing</w:t>
      </w:r>
      <w:r w:rsidR="003D640C">
        <w:t xml:space="preserve"> </w:t>
      </w:r>
      <w:r>
        <w:t>them</w:t>
      </w:r>
      <w:r w:rsidRPr="00BB6220">
        <w:t>.</w:t>
      </w:r>
      <w:r w:rsidR="003D640C">
        <w:t xml:space="preserve"> </w:t>
      </w:r>
      <w:r w:rsidRPr="00BB6220">
        <w:t>Names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can</w:t>
      </w:r>
      <w:r w:rsidR="003D640C">
        <w:t xml:space="preserve"> </w:t>
      </w:r>
      <w:r w:rsidRPr="00BB6220">
        <w:t>include</w:t>
      </w:r>
      <w:r w:rsidR="003D640C">
        <w:t xml:space="preserve"> </w:t>
      </w:r>
      <w:r w:rsidRPr="00BB6220">
        <w:t>but</w:t>
      </w:r>
      <w:r w:rsidR="003D640C">
        <w:t xml:space="preserve"> </w:t>
      </w:r>
      <w:r w:rsidRPr="00BB6220">
        <w:t>are</w:t>
      </w:r>
      <w:r w:rsidR="003D640C">
        <w:t xml:space="preserve"> </w:t>
      </w:r>
      <w:r w:rsidRPr="00BB6220">
        <w:t>not</w:t>
      </w:r>
      <w:r w:rsidR="003D640C">
        <w:t xml:space="preserve"> </w:t>
      </w:r>
      <w:r w:rsidRPr="00BB6220">
        <w:t>limited</w:t>
      </w:r>
      <w:r w:rsidR="003D640C">
        <w:t xml:space="preserve"> </w:t>
      </w:r>
      <w:r w:rsidRPr="00BB6220">
        <w:t>to:</w:t>
      </w:r>
      <w:r w:rsidR="003D640C">
        <w:t xml:space="preserve"> </w:t>
      </w:r>
    </w:p>
    <w:p w14:paraId="756A4ED8" w14:textId="6829DCD3" w:rsidR="009D7277" w:rsidRPr="00393F8F" w:rsidRDefault="009D7277" w:rsidP="00393F8F">
      <w:pPr>
        <w:pStyle w:val="Bullet"/>
      </w:pPr>
      <w:r w:rsidRPr="00393F8F">
        <w:t>ex-gay</w:t>
      </w:r>
      <w:r w:rsidR="003D640C" w:rsidRPr="00393F8F">
        <w:t xml:space="preserve"> </w:t>
      </w:r>
      <w:r w:rsidRPr="00393F8F">
        <w:t>or</w:t>
      </w:r>
      <w:r w:rsidR="003D640C" w:rsidRPr="00393F8F">
        <w:t xml:space="preserve"> </w:t>
      </w:r>
      <w:r w:rsidRPr="00393F8F">
        <w:t>ex-trans</w:t>
      </w:r>
      <w:r w:rsidR="003D640C" w:rsidRPr="00393F8F">
        <w:t xml:space="preserve"> </w:t>
      </w:r>
      <w:r w:rsidRPr="00393F8F">
        <w:t>ministries</w:t>
      </w:r>
    </w:p>
    <w:p w14:paraId="0A5FA89D" w14:textId="43D3E170" w:rsidR="009D7277" w:rsidRPr="00393F8F" w:rsidRDefault="009D7277" w:rsidP="00393F8F">
      <w:pPr>
        <w:pStyle w:val="Bullet"/>
      </w:pPr>
      <w:r w:rsidRPr="00393F8F">
        <w:t>healing</w:t>
      </w:r>
      <w:r w:rsidR="003D640C" w:rsidRPr="00393F8F">
        <w:t xml:space="preserve"> </w:t>
      </w:r>
      <w:r w:rsidRPr="00393F8F">
        <w:t>sexual</w:t>
      </w:r>
      <w:r w:rsidR="003D640C" w:rsidRPr="00393F8F">
        <w:t xml:space="preserve"> </w:t>
      </w:r>
      <w:r w:rsidRPr="00393F8F">
        <w:t>brokenness</w:t>
      </w:r>
    </w:p>
    <w:p w14:paraId="12D4480F" w14:textId="3884B37E" w:rsidR="009D7277" w:rsidRPr="00393F8F" w:rsidRDefault="009D7277" w:rsidP="00393F8F">
      <w:pPr>
        <w:pStyle w:val="Bullet"/>
      </w:pPr>
      <w:r w:rsidRPr="00393F8F">
        <w:t>sexual</w:t>
      </w:r>
      <w:r w:rsidR="003D640C" w:rsidRPr="00393F8F">
        <w:t xml:space="preserve"> </w:t>
      </w:r>
      <w:r w:rsidRPr="00393F8F">
        <w:t>orientation</w:t>
      </w:r>
      <w:r w:rsidR="003D640C" w:rsidRPr="00393F8F">
        <w:t xml:space="preserve"> </w:t>
      </w:r>
      <w:r w:rsidRPr="00393F8F">
        <w:t>or</w:t>
      </w:r>
      <w:r w:rsidR="003D640C" w:rsidRPr="00393F8F">
        <w:t xml:space="preserve"> </w:t>
      </w:r>
      <w:r w:rsidRPr="00393F8F">
        <w:t>gender</w:t>
      </w:r>
      <w:r w:rsidR="003D640C" w:rsidRPr="00393F8F">
        <w:t xml:space="preserve"> </w:t>
      </w:r>
      <w:r w:rsidRPr="00393F8F">
        <w:t>identity</w:t>
      </w:r>
      <w:r w:rsidR="003D640C" w:rsidRPr="00393F8F">
        <w:t xml:space="preserve"> </w:t>
      </w:r>
      <w:r w:rsidRPr="00393F8F">
        <w:t>change</w:t>
      </w:r>
      <w:r w:rsidR="003D640C" w:rsidRPr="00393F8F">
        <w:t xml:space="preserve"> </w:t>
      </w:r>
      <w:r w:rsidRPr="00393F8F">
        <w:t>efforts</w:t>
      </w:r>
      <w:r w:rsidRPr="00955F68">
        <w:rPr>
          <w:rStyle w:val="FootnoteReference"/>
        </w:rPr>
        <w:footnoteReference w:id="36"/>
      </w:r>
      <w:r w:rsidR="003D640C" w:rsidRPr="00393F8F">
        <w:t xml:space="preserve"> </w:t>
      </w:r>
    </w:p>
    <w:p w14:paraId="74DD23B0" w14:textId="4086D2E4" w:rsidR="009D7277" w:rsidRPr="00393F8F" w:rsidRDefault="009D7277" w:rsidP="00393F8F">
      <w:pPr>
        <w:pStyle w:val="Bullet"/>
      </w:pPr>
      <w:r w:rsidRPr="00393F8F">
        <w:t>reparative</w:t>
      </w:r>
      <w:r w:rsidR="003D640C" w:rsidRPr="00393F8F">
        <w:t xml:space="preserve"> </w:t>
      </w:r>
      <w:r w:rsidRPr="00393F8F">
        <w:t>therapy</w:t>
      </w:r>
    </w:p>
    <w:p w14:paraId="62AF18A3" w14:textId="4CBBAEB0" w:rsidR="009D7277" w:rsidRPr="00393F8F" w:rsidRDefault="009D7277" w:rsidP="00393F8F">
      <w:pPr>
        <w:pStyle w:val="Bullet"/>
      </w:pPr>
      <w:r w:rsidRPr="00393F8F">
        <w:t>overcoming</w:t>
      </w:r>
      <w:r w:rsidR="003D640C" w:rsidRPr="00393F8F">
        <w:t xml:space="preserve"> </w:t>
      </w:r>
      <w:r w:rsidRPr="00393F8F">
        <w:t>same-sex</w:t>
      </w:r>
      <w:r w:rsidR="003D640C" w:rsidRPr="00393F8F">
        <w:t xml:space="preserve"> </w:t>
      </w:r>
      <w:r w:rsidRPr="00393F8F">
        <w:t>attraction</w:t>
      </w:r>
      <w:r w:rsidR="00955F68">
        <w:t>.</w:t>
      </w:r>
    </w:p>
    <w:p w14:paraId="72510F3C" w14:textId="151C1F39" w:rsidR="009D7277" w:rsidRPr="00BB6220" w:rsidRDefault="009D7277" w:rsidP="00393F8F">
      <w:pPr>
        <w:pStyle w:val="Heading2"/>
      </w:pPr>
      <w:bookmarkStart w:id="60" w:name="_Toc167780578"/>
      <w:bookmarkStart w:id="61" w:name="_Toc478074777"/>
      <w:bookmarkStart w:id="62" w:name="_Toc174628636"/>
      <w:r w:rsidRPr="00BB6220">
        <w:lastRenderedPageBreak/>
        <w:t>Indoctrination</w:t>
      </w:r>
      <w:r w:rsidR="003D640C">
        <w:t xml:space="preserve"> </w:t>
      </w:r>
      <w:r w:rsidRPr="00BB6220">
        <w:t>and</w:t>
      </w:r>
      <w:r w:rsidR="003D640C">
        <w:t xml:space="preserve"> </w:t>
      </w:r>
      <w:r w:rsidRPr="00BB6220">
        <w:t>conversion</w:t>
      </w:r>
      <w:r w:rsidR="003D640C">
        <w:t xml:space="preserve"> </w:t>
      </w:r>
      <w:r w:rsidRPr="00BB6220">
        <w:t>ideology</w:t>
      </w:r>
      <w:bookmarkEnd w:id="60"/>
      <w:bookmarkEnd w:id="61"/>
      <w:bookmarkEnd w:id="62"/>
    </w:p>
    <w:p w14:paraId="2AC271D3" w14:textId="42C03607" w:rsidR="009D7277" w:rsidRPr="00BB6220" w:rsidRDefault="009D7277" w:rsidP="009D7277">
      <w:r w:rsidRPr="00BB6220">
        <w:t>Conversion</w:t>
      </w:r>
      <w:r w:rsidR="003D640C">
        <w:t xml:space="preserve"> </w:t>
      </w:r>
      <w:r w:rsidRPr="00BB6220">
        <w:t>practices</w:t>
      </w:r>
      <w:r w:rsidR="003D640C">
        <w:t xml:space="preserve"> </w:t>
      </w:r>
      <w:r w:rsidRPr="00BB6220">
        <w:t>are</w:t>
      </w:r>
      <w:r w:rsidR="003D640C">
        <w:t xml:space="preserve"> </w:t>
      </w:r>
      <w:r w:rsidRPr="00BB6220">
        <w:t>underpinned</w:t>
      </w:r>
      <w:r w:rsidR="003D640C">
        <w:t xml:space="preserve"> </w:t>
      </w:r>
      <w:r w:rsidRPr="00BB6220">
        <w:t>by</w:t>
      </w:r>
      <w:r w:rsidR="003D640C">
        <w:t xml:space="preserve"> </w:t>
      </w:r>
      <w:r w:rsidRPr="00BB6220">
        <w:t>a</w:t>
      </w:r>
      <w:r w:rsidR="003D640C">
        <w:t xml:space="preserve"> </w:t>
      </w:r>
      <w:r w:rsidRPr="00BB6220">
        <w:t>set</w:t>
      </w:r>
      <w:r w:rsidR="003D640C">
        <w:t xml:space="preserve"> </w:t>
      </w:r>
      <w:r w:rsidRPr="00BB6220">
        <w:t>of</w:t>
      </w:r>
      <w:r w:rsidR="003D640C">
        <w:t xml:space="preserve"> </w:t>
      </w:r>
      <w:r w:rsidRPr="00BB6220">
        <w:t>beliefs</w:t>
      </w:r>
      <w:r w:rsidR="003D640C">
        <w:t xml:space="preserve"> </w:t>
      </w:r>
      <w:r w:rsidR="00C902A3">
        <w:t xml:space="preserve">that </w:t>
      </w:r>
      <w:r w:rsidRPr="00BB6220">
        <w:t>can</w:t>
      </w:r>
      <w:r w:rsidR="003D640C">
        <w:t xml:space="preserve"> </w:t>
      </w:r>
      <w:r w:rsidRPr="00BB6220">
        <w:t>be</w:t>
      </w:r>
      <w:r w:rsidR="003D640C">
        <w:t xml:space="preserve"> </w:t>
      </w:r>
      <w:r w:rsidRPr="00BB6220">
        <w:t>broadly</w:t>
      </w:r>
      <w:r w:rsidR="003D640C">
        <w:t xml:space="preserve"> </w:t>
      </w:r>
      <w:r w:rsidRPr="00BB6220">
        <w:t>described</w:t>
      </w:r>
      <w:r w:rsidR="003D640C">
        <w:t xml:space="preserve"> </w:t>
      </w:r>
      <w:r w:rsidRPr="00BB6220">
        <w:t>as</w:t>
      </w:r>
      <w:r w:rsidR="003D640C">
        <w:t xml:space="preserve"> </w:t>
      </w:r>
      <w:r w:rsidRPr="00BB6220">
        <w:t>conversion</w:t>
      </w:r>
      <w:r w:rsidR="003D640C">
        <w:t xml:space="preserve"> </w:t>
      </w:r>
      <w:r w:rsidRPr="00BB6220">
        <w:t>ideology.</w:t>
      </w:r>
      <w:r w:rsidR="003D640C">
        <w:t xml:space="preserve"> </w:t>
      </w:r>
      <w:r>
        <w:t>This</w:t>
      </w:r>
      <w:r w:rsidR="003D640C">
        <w:t xml:space="preserve"> </w:t>
      </w:r>
      <w:r w:rsidRPr="00BB6220">
        <w:t>ideology</w:t>
      </w:r>
      <w:r w:rsidR="003D640C">
        <w:t xml:space="preserve"> </w:t>
      </w:r>
      <w:r w:rsidRPr="00BB6220">
        <w:t>asserts</w:t>
      </w:r>
      <w:r w:rsidR="003D640C">
        <w:t xml:space="preserve"> </w:t>
      </w:r>
      <w:r w:rsidRPr="00BB6220">
        <w:t>that</w:t>
      </w:r>
      <w:r w:rsidR="003D640C">
        <w:t xml:space="preserve"> </w:t>
      </w:r>
      <w:r w:rsidRPr="00BB6220">
        <w:t>being</w:t>
      </w:r>
      <w:r w:rsidR="003D640C">
        <w:t xml:space="preserve"> </w:t>
      </w:r>
      <w:r w:rsidRPr="00BB6220">
        <w:t>Rainbow,</w:t>
      </w:r>
      <w:r w:rsidR="003D640C">
        <w:t xml:space="preserve"> </w:t>
      </w:r>
      <w:r w:rsidRPr="00BB6220">
        <w:t>takatāpui</w:t>
      </w:r>
      <w:r w:rsidR="00C902A3">
        <w:t>,</w:t>
      </w:r>
      <w:r w:rsidR="003D640C">
        <w:t xml:space="preserve"> </w:t>
      </w:r>
      <w:r w:rsidRPr="00BB6220">
        <w:t>or</w:t>
      </w:r>
      <w:r w:rsidR="003D640C">
        <w:t xml:space="preserve"> </w:t>
      </w:r>
      <w:r w:rsidRPr="00BB6220">
        <w:t>MVPFAFF+</w:t>
      </w:r>
      <w:r w:rsidR="003D640C">
        <w:t xml:space="preserve"> </w:t>
      </w:r>
      <w:r w:rsidRPr="00BB6220">
        <w:t>is</w:t>
      </w:r>
      <w:r w:rsidR="003D640C">
        <w:t xml:space="preserve"> </w:t>
      </w:r>
      <w:r w:rsidRPr="00BB6220">
        <w:t>wrong</w:t>
      </w:r>
      <w:r w:rsidR="003D640C">
        <w:t xml:space="preserve"> </w:t>
      </w:r>
      <w:r w:rsidRPr="00BB6220">
        <w:t>or</w:t>
      </w:r>
      <w:r w:rsidR="003D640C">
        <w:t xml:space="preserve"> </w:t>
      </w:r>
      <w:r w:rsidRPr="00BB6220">
        <w:t>undesirable</w:t>
      </w:r>
      <w:r w:rsidR="003D640C">
        <w:t xml:space="preserve"> </w:t>
      </w:r>
      <w:r w:rsidRPr="00BB6220">
        <w:t>and</w:t>
      </w:r>
      <w:r w:rsidR="003D640C">
        <w:t xml:space="preserve"> </w:t>
      </w:r>
      <w:r w:rsidRPr="00BB6220">
        <w:t>that</w:t>
      </w:r>
      <w:r w:rsidR="003D640C">
        <w:t xml:space="preserve"> </w:t>
      </w:r>
      <w:r w:rsidRPr="00BB6220">
        <w:t>it</w:t>
      </w:r>
      <w:r w:rsidR="003D640C">
        <w:t xml:space="preserve"> </w:t>
      </w:r>
      <w:r w:rsidRPr="00BB6220">
        <w:t>can</w:t>
      </w:r>
      <w:r w:rsidR="003D640C">
        <w:t xml:space="preserve"> </w:t>
      </w:r>
      <w:r w:rsidRPr="00BB6220">
        <w:t>be</w:t>
      </w:r>
      <w:r w:rsidR="003D640C">
        <w:t xml:space="preserve"> </w:t>
      </w:r>
      <w:r w:rsidRPr="00BB6220">
        <w:t>changed.</w:t>
      </w:r>
      <w:r w:rsidR="003D640C">
        <w:t xml:space="preserve"> </w:t>
      </w:r>
      <w:r w:rsidRPr="00BB6220">
        <w:t>While</w:t>
      </w:r>
      <w:r w:rsidR="003D640C">
        <w:t xml:space="preserve"> </w:t>
      </w:r>
      <w:r w:rsidRPr="00BB6220">
        <w:t>this</w:t>
      </w:r>
      <w:r w:rsidR="003D640C">
        <w:t xml:space="preserve"> </w:t>
      </w:r>
      <w:r w:rsidRPr="00BB6220">
        <w:t>ideology</w:t>
      </w:r>
      <w:r w:rsidR="003D640C">
        <w:t xml:space="preserve"> </w:t>
      </w:r>
      <w:r w:rsidRPr="00BB6220">
        <w:t>is</w:t>
      </w:r>
      <w:r w:rsidR="003D640C">
        <w:t xml:space="preserve"> </w:t>
      </w:r>
      <w:r w:rsidRPr="00BB6220">
        <w:t>not</w:t>
      </w:r>
      <w:r w:rsidR="003D640C">
        <w:t xml:space="preserve"> </w:t>
      </w:r>
      <w:r w:rsidRPr="00BB6220">
        <w:t>unlawful</w:t>
      </w:r>
      <w:r w:rsidR="003D640C">
        <w:t xml:space="preserve"> </w:t>
      </w:r>
      <w:r w:rsidRPr="00BB6220">
        <w:t>in</w:t>
      </w:r>
      <w:r w:rsidR="003D640C">
        <w:t xml:space="preserve"> </w:t>
      </w:r>
      <w:r>
        <w:t>Aotearoa</w:t>
      </w:r>
      <w:r w:rsidRPr="00BB6220">
        <w:t>,</w:t>
      </w:r>
      <w:r w:rsidR="003D640C">
        <w:t xml:space="preserve"> </w:t>
      </w:r>
      <w:r w:rsidRPr="00BB6220" w:rsidDel="00B016D7">
        <w:t>eliminating</w:t>
      </w:r>
      <w:r w:rsidR="003D640C">
        <w:t xml:space="preserve"> </w:t>
      </w:r>
      <w:r w:rsidRPr="00BB6220" w:rsidDel="00B016D7">
        <w:t>conversion</w:t>
      </w:r>
      <w:r w:rsidR="003D640C">
        <w:t xml:space="preserve"> </w:t>
      </w:r>
      <w:r w:rsidRPr="00BB6220" w:rsidDel="00B016D7">
        <w:t>practices</w:t>
      </w:r>
      <w:r w:rsidR="003D640C">
        <w:t xml:space="preserve"> </w:t>
      </w:r>
      <w:r w:rsidRPr="00BB6220" w:rsidDel="00B016D7">
        <w:t>is</w:t>
      </w:r>
      <w:r w:rsidR="003D640C">
        <w:t xml:space="preserve"> </w:t>
      </w:r>
      <w:r w:rsidRPr="00BB6220" w:rsidDel="00B016D7">
        <w:t>almost</w:t>
      </w:r>
      <w:r w:rsidR="003D640C">
        <w:t xml:space="preserve"> </w:t>
      </w:r>
      <w:r w:rsidRPr="00BB6220" w:rsidDel="00B016D7">
        <w:t>impossible</w:t>
      </w:r>
      <w:r w:rsidR="003D640C">
        <w:t xml:space="preserve"> </w:t>
      </w:r>
      <w:r w:rsidRPr="00BB6220" w:rsidDel="00B016D7">
        <w:t>without</w:t>
      </w:r>
      <w:r w:rsidR="003D640C">
        <w:t xml:space="preserve"> </w:t>
      </w:r>
      <w:r w:rsidRPr="00BB6220" w:rsidDel="00B016D7">
        <w:t>addressing</w:t>
      </w:r>
      <w:r w:rsidR="003D640C">
        <w:t xml:space="preserve"> </w:t>
      </w:r>
      <w:r w:rsidRPr="00BB6220" w:rsidDel="00B016D7">
        <w:t>the</w:t>
      </w:r>
      <w:r w:rsidR="003667CA">
        <w:t xml:space="preserve"> underpinning</w:t>
      </w:r>
      <w:r w:rsidR="003D640C">
        <w:t xml:space="preserve"> </w:t>
      </w:r>
      <w:r w:rsidRPr="00BB6220" w:rsidDel="00B016D7">
        <w:t>root</w:t>
      </w:r>
      <w:r w:rsidR="003D640C">
        <w:t xml:space="preserve"> </w:t>
      </w:r>
      <w:r w:rsidDel="00B016D7">
        <w:t>beliefs</w:t>
      </w:r>
      <w:r w:rsidRPr="00BB6220" w:rsidDel="00B016D7">
        <w:t>.</w:t>
      </w:r>
      <w:r w:rsidR="00C902A3">
        <w:t xml:space="preserve"> These</w:t>
      </w:r>
      <w:r w:rsidR="003D640C">
        <w:t xml:space="preserve"> </w:t>
      </w:r>
      <w:r w:rsidR="00B016D7">
        <w:t>inaccurate</w:t>
      </w:r>
      <w:r w:rsidR="003D640C">
        <w:t xml:space="preserve"> </w:t>
      </w:r>
      <w:r w:rsidR="00B016D7">
        <w:t>premises</w:t>
      </w:r>
      <w:r w:rsidR="003D640C">
        <w:t xml:space="preserve"> </w:t>
      </w:r>
      <w:r w:rsidR="00B016D7">
        <w:t>and</w:t>
      </w:r>
      <w:r w:rsidR="003D640C">
        <w:t xml:space="preserve"> </w:t>
      </w:r>
      <w:r w:rsidR="00B016D7">
        <w:t>damaging</w:t>
      </w:r>
      <w:r w:rsidR="003D640C">
        <w:t xml:space="preserve"> </w:t>
      </w:r>
      <w:r w:rsidR="00B016D7">
        <w:t>impacts</w:t>
      </w:r>
      <w:r w:rsidR="003D640C">
        <w:t xml:space="preserve"> </w:t>
      </w:r>
      <w:r w:rsidR="00B016D7">
        <w:t>must</w:t>
      </w:r>
      <w:r w:rsidR="003D640C">
        <w:t xml:space="preserve"> </w:t>
      </w:r>
      <w:r w:rsidR="00B016D7">
        <w:t>be</w:t>
      </w:r>
      <w:r w:rsidR="003D640C">
        <w:t xml:space="preserve"> </w:t>
      </w:r>
      <w:r w:rsidR="00B016D7">
        <w:t>confronted.</w:t>
      </w:r>
      <w:r w:rsidR="003D640C">
        <w:t xml:space="preserve"> </w:t>
      </w:r>
    </w:p>
    <w:p w14:paraId="00957D67" w14:textId="4549C01A" w:rsidR="009D7277" w:rsidRPr="00BB6220" w:rsidRDefault="009D7277" w:rsidP="005B33A1">
      <w:r w:rsidRPr="00BB6220">
        <w:t>Conversion</w:t>
      </w:r>
      <w:r w:rsidR="003D640C">
        <w:t xml:space="preserve"> </w:t>
      </w:r>
      <w:r w:rsidRPr="00BB6220">
        <w:t>ideology</w:t>
      </w:r>
      <w:r w:rsidR="003D640C">
        <w:t xml:space="preserve"> </w:t>
      </w:r>
      <w:r w:rsidR="001D302D">
        <w:t>experienced</w:t>
      </w:r>
      <w:r w:rsidR="003D640C">
        <w:t xml:space="preserve"> </w:t>
      </w:r>
      <w:r w:rsidR="001D302D">
        <w:t>by</w:t>
      </w:r>
      <w:r w:rsidR="003D640C">
        <w:t xml:space="preserve"> </w:t>
      </w:r>
      <w:r w:rsidR="003248D9">
        <w:t xml:space="preserve">people </w:t>
      </w:r>
      <w:r w:rsidR="001D302D">
        <w:t>we</w:t>
      </w:r>
      <w:r w:rsidR="003D640C">
        <w:t xml:space="preserve"> </w:t>
      </w:r>
      <w:r w:rsidR="001D302D">
        <w:t>engaged</w:t>
      </w:r>
      <w:r w:rsidR="003D640C">
        <w:t xml:space="preserve"> </w:t>
      </w:r>
      <w:r w:rsidR="001D302D">
        <w:t>with</w:t>
      </w:r>
      <w:r w:rsidR="003D640C">
        <w:t xml:space="preserve"> </w:t>
      </w:r>
      <w:r w:rsidRPr="00BB6220">
        <w:t>encompasse</w:t>
      </w:r>
      <w:r w:rsidR="001D302D">
        <w:t>d</w:t>
      </w:r>
      <w:r w:rsidR="003D640C">
        <w:t xml:space="preserve"> </w:t>
      </w:r>
      <w:r>
        <w:t>the</w:t>
      </w:r>
      <w:r w:rsidR="003D640C">
        <w:t xml:space="preserve"> </w:t>
      </w:r>
      <w:r w:rsidR="00991C49">
        <w:t>following</w:t>
      </w:r>
      <w:r w:rsidR="003D640C">
        <w:t xml:space="preserve"> </w:t>
      </w:r>
      <w:r>
        <w:t>beliefs</w:t>
      </w:r>
      <w:r w:rsidR="006953F6">
        <w:t>.</w:t>
      </w:r>
    </w:p>
    <w:p w14:paraId="01F8926B" w14:textId="0B18EDA9" w:rsidR="009D7277" w:rsidRPr="00BB6220" w:rsidRDefault="00991C49" w:rsidP="00393F8F">
      <w:pPr>
        <w:pStyle w:val="Bullet"/>
      </w:pPr>
      <w:r>
        <w:t>A</w:t>
      </w:r>
      <w:r w:rsidR="009D7277" w:rsidRPr="00BB6220">
        <w:t>ll</w:t>
      </w:r>
      <w:r w:rsidR="003D640C">
        <w:t xml:space="preserve"> </w:t>
      </w:r>
      <w:r w:rsidR="009D7277" w:rsidRPr="00BB6220">
        <w:t>people</w:t>
      </w:r>
      <w:r w:rsidR="003D640C">
        <w:t xml:space="preserve"> </w:t>
      </w:r>
      <w:r w:rsidR="005F530F">
        <w:t>are</w:t>
      </w:r>
      <w:r w:rsidR="003D640C">
        <w:t xml:space="preserve"> </w:t>
      </w:r>
      <w:r w:rsidR="005F530F">
        <w:t>or</w:t>
      </w:r>
      <w:r w:rsidR="003D640C">
        <w:t xml:space="preserve"> </w:t>
      </w:r>
      <w:r w:rsidR="009D7277" w:rsidRPr="00BB6220">
        <w:t>should</w:t>
      </w:r>
      <w:r w:rsidR="003D640C">
        <w:t xml:space="preserve"> </w:t>
      </w:r>
      <w:r w:rsidR="009D7277" w:rsidRPr="00BB6220">
        <w:t>be</w:t>
      </w:r>
      <w:r w:rsidR="003D640C">
        <w:t xml:space="preserve"> </w:t>
      </w:r>
      <w:r w:rsidR="009D7277" w:rsidRPr="00BB6220">
        <w:t>heterosexual</w:t>
      </w:r>
      <w:r w:rsidR="001C3784">
        <w:t>,</w:t>
      </w:r>
      <w:r w:rsidR="003D640C">
        <w:t xml:space="preserve"> </w:t>
      </w:r>
      <w:r w:rsidR="001C3784">
        <w:t>cisgender</w:t>
      </w:r>
      <w:r w:rsidR="00C902A3">
        <w:t>,</w:t>
      </w:r>
      <w:r w:rsidR="003D640C">
        <w:t xml:space="preserve"> </w:t>
      </w:r>
      <w:r w:rsidR="001C3784">
        <w:t>and</w:t>
      </w:r>
      <w:r w:rsidR="003D640C">
        <w:t xml:space="preserve"> </w:t>
      </w:r>
      <w:r w:rsidR="001C3784">
        <w:t>gender</w:t>
      </w:r>
      <w:r w:rsidR="003D640C">
        <w:t xml:space="preserve"> </w:t>
      </w:r>
      <w:r w:rsidR="001C3784">
        <w:t>conforming</w:t>
      </w:r>
      <w:r w:rsidDel="001C3784">
        <w:t>.</w:t>
      </w:r>
      <w:r w:rsidR="003D640C">
        <w:t xml:space="preserve"> </w:t>
      </w:r>
    </w:p>
    <w:p w14:paraId="3815B69D" w14:textId="1D1BC6C0" w:rsidR="009D7277" w:rsidRPr="00BB6220" w:rsidDel="00765DA1" w:rsidRDefault="00991C49" w:rsidP="00C902A3">
      <w:pPr>
        <w:pStyle w:val="Bullet"/>
      </w:pPr>
      <w:r>
        <w:t>A</w:t>
      </w:r>
      <w:r w:rsidR="009D7277" w:rsidRPr="00BB6220">
        <w:t>nyone</w:t>
      </w:r>
      <w:r w:rsidR="003D640C">
        <w:t xml:space="preserve"> </w:t>
      </w:r>
      <w:r w:rsidR="009D7277" w:rsidRPr="00BB6220">
        <w:t>who</w:t>
      </w:r>
      <w:r w:rsidR="003D640C">
        <w:t xml:space="preserve"> </w:t>
      </w:r>
      <w:r w:rsidR="009D7277" w:rsidRPr="00BB6220">
        <w:t>is</w:t>
      </w:r>
      <w:r w:rsidR="003D640C">
        <w:t xml:space="preserve"> </w:t>
      </w:r>
      <w:r w:rsidR="009D7277" w:rsidRPr="00BB6220">
        <w:t>not</w:t>
      </w:r>
      <w:r w:rsidR="003D640C">
        <w:t xml:space="preserve"> </w:t>
      </w:r>
      <w:r w:rsidR="009D7277" w:rsidRPr="00BB6220">
        <w:t>heterosexual</w:t>
      </w:r>
      <w:r w:rsidR="001C3784">
        <w:t>,</w:t>
      </w:r>
      <w:r w:rsidR="003D640C">
        <w:t xml:space="preserve"> </w:t>
      </w:r>
      <w:r w:rsidR="001C3784">
        <w:t>cisgender</w:t>
      </w:r>
      <w:r w:rsidR="00C902A3">
        <w:t>,</w:t>
      </w:r>
      <w:r w:rsidR="003D640C">
        <w:t xml:space="preserve"> </w:t>
      </w:r>
      <w:r w:rsidR="001C3784">
        <w:t>and</w:t>
      </w:r>
      <w:r w:rsidR="003D640C">
        <w:t xml:space="preserve"> </w:t>
      </w:r>
      <w:r w:rsidR="001C3784">
        <w:t>gender</w:t>
      </w:r>
      <w:r w:rsidR="003D640C">
        <w:t xml:space="preserve"> </w:t>
      </w:r>
      <w:r w:rsidR="001C3784">
        <w:t>conforming</w:t>
      </w:r>
      <w:r w:rsidR="003D640C">
        <w:t xml:space="preserve"> </w:t>
      </w:r>
      <w:r w:rsidR="009D7277" w:rsidRPr="00BB6220">
        <w:t>has</w:t>
      </w:r>
      <w:r w:rsidR="003D640C">
        <w:t xml:space="preserve"> </w:t>
      </w:r>
      <w:r w:rsidR="009D7277" w:rsidRPr="00BB6220">
        <w:t>experienced</w:t>
      </w:r>
      <w:r w:rsidR="003D640C">
        <w:t xml:space="preserve"> </w:t>
      </w:r>
      <w:r w:rsidR="009D7277" w:rsidRPr="00BB6220">
        <w:t>some</w:t>
      </w:r>
      <w:r w:rsidR="003D640C">
        <w:t xml:space="preserve"> </w:t>
      </w:r>
      <w:r w:rsidR="009D7277" w:rsidRPr="00BB6220">
        <w:t>damage,</w:t>
      </w:r>
      <w:r w:rsidR="003D640C">
        <w:t xml:space="preserve"> </w:t>
      </w:r>
      <w:r w:rsidR="009D7277" w:rsidRPr="00BB6220">
        <w:t>neglect,</w:t>
      </w:r>
      <w:r w:rsidR="003D640C">
        <w:t xml:space="preserve"> </w:t>
      </w:r>
      <w:r w:rsidR="009D7277" w:rsidRPr="00BB6220">
        <w:t>abuse</w:t>
      </w:r>
      <w:r w:rsidR="00C902A3">
        <w:t>,</w:t>
      </w:r>
      <w:r w:rsidR="003D640C">
        <w:t xml:space="preserve"> </w:t>
      </w:r>
      <w:r w:rsidR="009D7277" w:rsidRPr="00BB6220">
        <w:t>or</w:t>
      </w:r>
      <w:r w:rsidR="003D640C">
        <w:t xml:space="preserve"> </w:t>
      </w:r>
      <w:r w:rsidR="009D7277" w:rsidRPr="00BB6220">
        <w:t>other</w:t>
      </w:r>
      <w:r w:rsidR="003D640C">
        <w:t xml:space="preserve"> </w:t>
      </w:r>
      <w:r w:rsidR="009D7277" w:rsidRPr="00BB6220">
        <w:t>inappropriate</w:t>
      </w:r>
      <w:r w:rsidR="003D640C">
        <w:t xml:space="preserve"> </w:t>
      </w:r>
      <w:r w:rsidR="009D7277" w:rsidRPr="00BB6220">
        <w:t>influence</w:t>
      </w:r>
      <w:r w:rsidR="003D640C">
        <w:t xml:space="preserve"> </w:t>
      </w:r>
      <w:r w:rsidR="009D7277" w:rsidRPr="00BB6220">
        <w:t>that</w:t>
      </w:r>
      <w:r w:rsidR="003D640C">
        <w:t xml:space="preserve"> </w:t>
      </w:r>
      <w:r w:rsidR="009D7277">
        <w:t>has</w:t>
      </w:r>
      <w:r w:rsidR="003D640C">
        <w:t xml:space="preserve"> </w:t>
      </w:r>
      <w:r w:rsidR="009D7277" w:rsidRPr="00BB6220">
        <w:t>affected</w:t>
      </w:r>
      <w:r w:rsidR="003D640C">
        <w:t xml:space="preserve"> </w:t>
      </w:r>
      <w:r w:rsidR="009D7277" w:rsidRPr="00BB6220">
        <w:t>their</w:t>
      </w:r>
      <w:r w:rsidR="003D640C">
        <w:t xml:space="preserve"> </w:t>
      </w:r>
      <w:r w:rsidR="009D7277" w:rsidRPr="00BB6220">
        <w:t>development.</w:t>
      </w:r>
      <w:r w:rsidR="003D640C">
        <w:t xml:space="preserve"> </w:t>
      </w:r>
      <w:r w:rsidR="00765DA1">
        <w:t>The</w:t>
      </w:r>
      <w:r w:rsidR="003D640C">
        <w:t xml:space="preserve"> </w:t>
      </w:r>
      <w:r w:rsidR="00765DA1">
        <w:t>belief</w:t>
      </w:r>
      <w:r w:rsidR="003D640C">
        <w:t xml:space="preserve"> </w:t>
      </w:r>
      <w:r w:rsidR="00765DA1">
        <w:t>that</w:t>
      </w:r>
      <w:r w:rsidR="003D640C">
        <w:t xml:space="preserve"> </w:t>
      </w:r>
      <w:r w:rsidR="00CC0F07">
        <w:t>R</w:t>
      </w:r>
      <w:r w:rsidR="00765DA1">
        <w:t>ainbow</w:t>
      </w:r>
      <w:r w:rsidR="003D640C">
        <w:t xml:space="preserve"> </w:t>
      </w:r>
      <w:r w:rsidR="00765DA1">
        <w:t>people</w:t>
      </w:r>
      <w:r w:rsidR="003D640C">
        <w:t xml:space="preserve"> </w:t>
      </w:r>
      <w:r w:rsidR="00765DA1">
        <w:t>may</w:t>
      </w:r>
      <w:r w:rsidR="003D640C">
        <w:t xml:space="preserve"> </w:t>
      </w:r>
      <w:r w:rsidR="00765DA1">
        <w:t>have</w:t>
      </w:r>
      <w:r w:rsidR="003D640C">
        <w:t xml:space="preserve"> </w:t>
      </w:r>
      <w:r w:rsidR="00765DA1">
        <w:t>an</w:t>
      </w:r>
      <w:r w:rsidR="003D640C">
        <w:t xml:space="preserve"> </w:t>
      </w:r>
      <w:r w:rsidR="00765DA1">
        <w:t>illness</w:t>
      </w:r>
      <w:r w:rsidR="003D640C">
        <w:t xml:space="preserve"> </w:t>
      </w:r>
      <w:r w:rsidR="00765DA1">
        <w:t>can</w:t>
      </w:r>
      <w:r w:rsidR="003D640C">
        <w:t xml:space="preserve"> </w:t>
      </w:r>
      <w:r w:rsidR="00765DA1">
        <w:t>extend</w:t>
      </w:r>
      <w:r w:rsidR="003D640C">
        <w:t xml:space="preserve"> </w:t>
      </w:r>
      <w:r w:rsidR="00765DA1">
        <w:t>into</w:t>
      </w:r>
      <w:r w:rsidR="003D640C">
        <w:t xml:space="preserve"> </w:t>
      </w:r>
      <w:r w:rsidR="00765DA1">
        <w:t>believing</w:t>
      </w:r>
      <w:r w:rsidR="003D640C">
        <w:t xml:space="preserve"> </w:t>
      </w:r>
      <w:r w:rsidR="00765DA1">
        <w:t>that</w:t>
      </w:r>
      <w:r w:rsidR="003D640C">
        <w:t xml:space="preserve"> </w:t>
      </w:r>
      <w:r w:rsidR="00765DA1">
        <w:t>this</w:t>
      </w:r>
      <w:r w:rsidR="003D640C">
        <w:t xml:space="preserve"> </w:t>
      </w:r>
      <w:r w:rsidR="00765DA1">
        <w:t>illness</w:t>
      </w:r>
      <w:r w:rsidR="003D640C">
        <w:t xml:space="preserve"> </w:t>
      </w:r>
      <w:r w:rsidR="00765DA1">
        <w:t>could</w:t>
      </w:r>
      <w:r w:rsidR="003D640C">
        <w:t xml:space="preserve"> </w:t>
      </w:r>
      <w:r w:rsidR="00765DA1">
        <w:t>be</w:t>
      </w:r>
      <w:r w:rsidR="003D640C">
        <w:t xml:space="preserve"> </w:t>
      </w:r>
      <w:r w:rsidR="00765DA1">
        <w:t>‘contagious’.</w:t>
      </w:r>
      <w:r w:rsidR="00C902A3">
        <w:t xml:space="preserve"> </w:t>
      </w:r>
    </w:p>
    <w:p w14:paraId="340B7CAA" w14:textId="1C227A5E" w:rsidR="009D7277" w:rsidRPr="00BB6220" w:rsidRDefault="00991C49" w:rsidP="00393F8F">
      <w:pPr>
        <w:pStyle w:val="Bullet"/>
      </w:pPr>
      <w:r>
        <w:t>I</w:t>
      </w:r>
      <w:r w:rsidR="009D7277" w:rsidRPr="00BB6220">
        <w:t>t</w:t>
      </w:r>
      <w:r w:rsidR="003D640C">
        <w:t xml:space="preserve"> </w:t>
      </w:r>
      <w:r w:rsidR="009D7277" w:rsidRPr="00BB6220">
        <w:t>is</w:t>
      </w:r>
      <w:r w:rsidR="003D640C">
        <w:t xml:space="preserve"> </w:t>
      </w:r>
      <w:r w:rsidR="009D7277" w:rsidRPr="00BB6220">
        <w:t>possible</w:t>
      </w:r>
      <w:r w:rsidR="003D640C">
        <w:t xml:space="preserve"> </w:t>
      </w:r>
      <w:r w:rsidR="009D7277" w:rsidRPr="00BB6220">
        <w:t>to</w:t>
      </w:r>
      <w:r w:rsidR="003D640C">
        <w:t xml:space="preserve"> </w:t>
      </w:r>
      <w:r w:rsidR="009D7277" w:rsidRPr="00BB6220">
        <w:t>stop</w:t>
      </w:r>
      <w:r w:rsidR="003D640C">
        <w:t xml:space="preserve"> </w:t>
      </w:r>
      <w:r w:rsidR="009D7277" w:rsidRPr="00BB6220">
        <w:t>being</w:t>
      </w:r>
      <w:r w:rsidR="003D640C">
        <w:t xml:space="preserve"> </w:t>
      </w:r>
      <w:r w:rsidR="009D7277" w:rsidRPr="00BB6220">
        <w:t>Rainbow</w:t>
      </w:r>
      <w:r w:rsidR="003D640C">
        <w:t xml:space="preserve"> </w:t>
      </w:r>
      <w:r w:rsidR="009D7277" w:rsidRPr="00BB6220">
        <w:t>through</w:t>
      </w:r>
      <w:r w:rsidR="003D640C">
        <w:t xml:space="preserve"> </w:t>
      </w:r>
      <w:r w:rsidR="009D7277" w:rsidRPr="00BB6220">
        <w:t>spiritual,</w:t>
      </w:r>
      <w:r w:rsidR="003D640C">
        <w:t xml:space="preserve"> </w:t>
      </w:r>
      <w:r w:rsidR="009D7277" w:rsidRPr="00BB6220">
        <w:t>psychological</w:t>
      </w:r>
      <w:r w:rsidR="00C902A3">
        <w:t>,</w:t>
      </w:r>
      <w:r w:rsidR="003D640C">
        <w:t xml:space="preserve"> </w:t>
      </w:r>
      <w:r w:rsidR="009D7277" w:rsidRPr="00BB6220">
        <w:t>or</w:t>
      </w:r>
      <w:r w:rsidR="003D640C">
        <w:t xml:space="preserve"> </w:t>
      </w:r>
      <w:r w:rsidR="009D7277" w:rsidRPr="00BB6220">
        <w:t>other</w:t>
      </w:r>
      <w:r w:rsidR="003D640C">
        <w:t xml:space="preserve"> </w:t>
      </w:r>
      <w:r w:rsidR="009D7277" w:rsidRPr="00BB6220">
        <w:t>intervention</w:t>
      </w:r>
      <w:r>
        <w:t>.</w:t>
      </w:r>
    </w:p>
    <w:p w14:paraId="37BA45E6" w14:textId="44032DAB" w:rsidR="009D7277" w:rsidRPr="00BB6220" w:rsidRDefault="00B97F68" w:rsidP="00393F8F">
      <w:pPr>
        <w:pStyle w:val="Bullet"/>
      </w:pPr>
      <w:r>
        <w:t>Ceasing</w:t>
      </w:r>
      <w:r w:rsidR="003D640C">
        <w:t xml:space="preserve"> </w:t>
      </w:r>
      <w:r>
        <w:t>to</w:t>
      </w:r>
      <w:r w:rsidR="003D640C">
        <w:t xml:space="preserve"> </w:t>
      </w:r>
      <w:r>
        <w:t>be</w:t>
      </w:r>
      <w:r w:rsidR="003D640C">
        <w:t xml:space="preserve"> </w:t>
      </w:r>
      <w:r>
        <w:t>Rainbow</w:t>
      </w:r>
      <w:r w:rsidR="003D640C">
        <w:t xml:space="preserve"> </w:t>
      </w:r>
      <w:r w:rsidR="009D7277" w:rsidRPr="00BB6220">
        <w:t>would</w:t>
      </w:r>
      <w:r w:rsidR="003D640C">
        <w:t xml:space="preserve"> </w:t>
      </w:r>
      <w:r w:rsidR="009D7277" w:rsidRPr="00BB6220">
        <w:t>be</w:t>
      </w:r>
      <w:r w:rsidR="003D640C">
        <w:t xml:space="preserve"> </w:t>
      </w:r>
      <w:r w:rsidR="009D7277" w:rsidRPr="00BB6220">
        <w:t>good</w:t>
      </w:r>
      <w:r w:rsidR="003D640C">
        <w:t xml:space="preserve"> </w:t>
      </w:r>
      <w:r w:rsidR="009D7277" w:rsidRPr="00BB6220">
        <w:t>for</w:t>
      </w:r>
      <w:r w:rsidR="003D640C">
        <w:t xml:space="preserve"> </w:t>
      </w:r>
      <w:r w:rsidR="009D7277" w:rsidRPr="00BB6220">
        <w:t>the</w:t>
      </w:r>
      <w:r w:rsidR="003D640C">
        <w:t xml:space="preserve"> </w:t>
      </w:r>
      <w:r w:rsidR="009D7277" w:rsidRPr="00BB6220">
        <w:t>individual,</w:t>
      </w:r>
      <w:r w:rsidR="003D640C">
        <w:t xml:space="preserve"> </w:t>
      </w:r>
      <w:r>
        <w:t>their</w:t>
      </w:r>
      <w:r w:rsidR="003D640C">
        <w:t xml:space="preserve"> </w:t>
      </w:r>
      <w:r w:rsidR="009D7277" w:rsidRPr="00BB6220">
        <w:t>family</w:t>
      </w:r>
      <w:r w:rsidR="00C902A3">
        <w:t>,</w:t>
      </w:r>
      <w:r w:rsidR="003D640C">
        <w:t xml:space="preserve"> </w:t>
      </w:r>
      <w:r w:rsidR="00E56BE8">
        <w:t>and</w:t>
      </w:r>
      <w:r w:rsidR="00C902A3">
        <w:t>/</w:t>
      </w:r>
      <w:r w:rsidR="009D7277" w:rsidRPr="00BB6220" w:rsidDel="00B97F68">
        <w:t>or</w:t>
      </w:r>
      <w:r w:rsidR="003D640C">
        <w:t xml:space="preserve"> </w:t>
      </w:r>
      <w:r w:rsidR="00C0115C">
        <w:t xml:space="preserve">their </w:t>
      </w:r>
      <w:r w:rsidR="009D7277" w:rsidRPr="00BB6220">
        <w:t>community</w:t>
      </w:r>
      <w:r w:rsidR="00C94C62">
        <w:t>.</w:t>
      </w:r>
      <w:r w:rsidR="003D640C">
        <w:t xml:space="preserve"> </w:t>
      </w:r>
      <w:r w:rsidR="00E56BE8">
        <w:t>This</w:t>
      </w:r>
      <w:r w:rsidR="003D640C">
        <w:t xml:space="preserve"> </w:t>
      </w:r>
      <w:r w:rsidR="00C94C62">
        <w:t>may</w:t>
      </w:r>
      <w:r w:rsidR="003D640C">
        <w:t xml:space="preserve"> </w:t>
      </w:r>
      <w:r w:rsidR="00C94C62">
        <w:t>be</w:t>
      </w:r>
      <w:r w:rsidR="003D640C">
        <w:t xml:space="preserve"> </w:t>
      </w:r>
      <w:r w:rsidR="009D7277" w:rsidRPr="00BB6220">
        <w:t>a</w:t>
      </w:r>
      <w:r w:rsidR="003D640C">
        <w:t xml:space="preserve"> </w:t>
      </w:r>
      <w:r w:rsidR="009D7277" w:rsidRPr="00BB6220">
        <w:t>condition</w:t>
      </w:r>
      <w:r w:rsidR="003D640C">
        <w:t xml:space="preserve"> </w:t>
      </w:r>
      <w:r w:rsidR="009D7277" w:rsidRPr="00BB6220">
        <w:t>for</w:t>
      </w:r>
      <w:r w:rsidR="003D640C">
        <w:t xml:space="preserve"> </w:t>
      </w:r>
      <w:r w:rsidR="009D7277" w:rsidRPr="00BB6220">
        <w:t>their</w:t>
      </w:r>
      <w:r w:rsidR="003D640C">
        <w:t xml:space="preserve"> </w:t>
      </w:r>
      <w:r w:rsidR="009D7277" w:rsidRPr="00BB6220">
        <w:t>full</w:t>
      </w:r>
      <w:r w:rsidR="003D640C">
        <w:t xml:space="preserve"> </w:t>
      </w:r>
      <w:r w:rsidR="009D7277" w:rsidRPr="00BB6220">
        <w:t>acceptance,</w:t>
      </w:r>
      <w:r w:rsidR="003D640C">
        <w:t xml:space="preserve"> </w:t>
      </w:r>
      <w:r w:rsidR="009D7277" w:rsidRPr="00BB6220">
        <w:t>affirmation</w:t>
      </w:r>
      <w:r w:rsidR="00C0115C">
        <w:t>,</w:t>
      </w:r>
      <w:r w:rsidR="003D640C">
        <w:t xml:space="preserve"> </w:t>
      </w:r>
      <w:r w:rsidR="009D7277" w:rsidRPr="00BB6220">
        <w:t>and</w:t>
      </w:r>
      <w:r w:rsidR="003D640C">
        <w:t xml:space="preserve"> </w:t>
      </w:r>
      <w:r w:rsidR="009D7277" w:rsidRPr="00BB6220">
        <w:t>inclusio</w:t>
      </w:r>
      <w:r w:rsidR="009D7277">
        <w:t>n</w:t>
      </w:r>
      <w:r w:rsidR="00991C49">
        <w:t>.</w:t>
      </w:r>
    </w:p>
    <w:p w14:paraId="00184E9E" w14:textId="4401DF4A" w:rsidR="009D7277" w:rsidRPr="00BB6220" w:rsidRDefault="00991C49" w:rsidP="00393F8F">
      <w:pPr>
        <w:pStyle w:val="Bullet"/>
      </w:pPr>
      <w:r>
        <w:t>B</w:t>
      </w:r>
      <w:r w:rsidR="009D7277" w:rsidRPr="00BB6220">
        <w:t>eing</w:t>
      </w:r>
      <w:r w:rsidR="003D640C">
        <w:t xml:space="preserve"> </w:t>
      </w:r>
      <w:r w:rsidR="009D7277" w:rsidRPr="00BB6220">
        <w:t>Rainbow</w:t>
      </w:r>
      <w:r w:rsidR="003D640C">
        <w:t xml:space="preserve"> </w:t>
      </w:r>
      <w:r w:rsidR="009D7277" w:rsidRPr="00BB6220">
        <w:t>is</w:t>
      </w:r>
      <w:r w:rsidR="003D640C">
        <w:t xml:space="preserve"> </w:t>
      </w:r>
      <w:r w:rsidR="009D7277" w:rsidRPr="00BB6220">
        <w:t>incompatible</w:t>
      </w:r>
      <w:r w:rsidR="003D640C">
        <w:t xml:space="preserve"> </w:t>
      </w:r>
      <w:r w:rsidR="009D7277" w:rsidRPr="00BB6220">
        <w:t>with</w:t>
      </w:r>
      <w:r w:rsidR="003D640C">
        <w:t xml:space="preserve"> </w:t>
      </w:r>
      <w:r w:rsidR="009D7277" w:rsidRPr="00BB6220">
        <w:t>a</w:t>
      </w:r>
      <w:r w:rsidR="003D640C">
        <w:t xml:space="preserve"> </w:t>
      </w:r>
      <w:r w:rsidR="009D7277" w:rsidRPr="00BB6220">
        <w:t>given</w:t>
      </w:r>
      <w:r w:rsidR="003D640C">
        <w:t xml:space="preserve"> </w:t>
      </w:r>
      <w:r w:rsidR="009D7277" w:rsidRPr="00BB6220">
        <w:t>faith,</w:t>
      </w:r>
      <w:r w:rsidR="003D640C">
        <w:t xml:space="preserve"> </w:t>
      </w:r>
      <w:r w:rsidR="009D7277" w:rsidRPr="00BB6220">
        <w:t>culture,</w:t>
      </w:r>
      <w:r w:rsidR="003D640C">
        <w:t xml:space="preserve"> </w:t>
      </w:r>
      <w:r w:rsidR="009D7277" w:rsidRPr="00BB6220">
        <w:t>community,</w:t>
      </w:r>
      <w:r w:rsidR="003D640C">
        <w:t xml:space="preserve"> </w:t>
      </w:r>
      <w:r w:rsidR="009D7277" w:rsidRPr="00BB6220">
        <w:t>or</w:t>
      </w:r>
      <w:r w:rsidR="003D640C">
        <w:t xml:space="preserve"> </w:t>
      </w:r>
      <w:r w:rsidR="009D7277" w:rsidRPr="00BB6220">
        <w:t>family</w:t>
      </w:r>
      <w:r w:rsidR="003D640C">
        <w:t xml:space="preserve"> </w:t>
      </w:r>
      <w:r w:rsidR="009D7277" w:rsidRPr="00BB6220">
        <w:t>value</w:t>
      </w:r>
      <w:r w:rsidR="003D640C">
        <w:t xml:space="preserve"> </w:t>
      </w:r>
      <w:r w:rsidR="009D7277" w:rsidRPr="00BB6220">
        <w:t>set,</w:t>
      </w:r>
      <w:r w:rsidR="003D640C">
        <w:t xml:space="preserve"> </w:t>
      </w:r>
      <w:r w:rsidR="009D7277" w:rsidRPr="00BB6220">
        <w:t>and</w:t>
      </w:r>
      <w:r w:rsidR="003D640C">
        <w:t xml:space="preserve"> </w:t>
      </w:r>
      <w:r w:rsidR="009D7277" w:rsidRPr="00BB6220">
        <w:t>it</w:t>
      </w:r>
      <w:r w:rsidR="003D640C">
        <w:t xml:space="preserve"> </w:t>
      </w:r>
      <w:r w:rsidR="009D7277" w:rsidRPr="00BB6220">
        <w:t>is</w:t>
      </w:r>
      <w:r w:rsidR="003D640C">
        <w:t xml:space="preserve"> </w:t>
      </w:r>
      <w:r w:rsidR="009D7277" w:rsidRPr="00BB6220">
        <w:t>a</w:t>
      </w:r>
      <w:r w:rsidR="003D640C">
        <w:t xml:space="preserve"> </w:t>
      </w:r>
      <w:r w:rsidR="009D7277" w:rsidRPr="00BB6220">
        <w:t>sin,</w:t>
      </w:r>
      <w:r w:rsidR="003D640C">
        <w:t xml:space="preserve"> </w:t>
      </w:r>
      <w:r w:rsidR="009D7277" w:rsidRPr="00BB6220">
        <w:t>deviant</w:t>
      </w:r>
      <w:r>
        <w:t>,</w:t>
      </w:r>
      <w:r w:rsidR="003D640C">
        <w:t xml:space="preserve"> </w:t>
      </w:r>
      <w:r w:rsidR="009D7277" w:rsidRPr="00BB6220">
        <w:t>or</w:t>
      </w:r>
      <w:r w:rsidR="003D640C">
        <w:t xml:space="preserve"> </w:t>
      </w:r>
      <w:r w:rsidR="009D7277" w:rsidRPr="00BB6220">
        <w:t>a</w:t>
      </w:r>
      <w:r w:rsidR="003D640C">
        <w:t xml:space="preserve"> </w:t>
      </w:r>
      <w:r w:rsidR="009D7277" w:rsidRPr="00BB6220">
        <w:t>spiritual</w:t>
      </w:r>
      <w:r w:rsidR="003D640C">
        <w:t xml:space="preserve"> </w:t>
      </w:r>
      <w:r w:rsidR="009D7277" w:rsidRPr="00BB6220">
        <w:t>problem</w:t>
      </w:r>
      <w:r>
        <w:t>.</w:t>
      </w:r>
    </w:p>
    <w:p w14:paraId="3F8CB081" w14:textId="44AA634B" w:rsidR="009D7277" w:rsidRPr="00BB6220" w:rsidRDefault="009B17B8" w:rsidP="00393F8F">
      <w:pPr>
        <w:pStyle w:val="Bullet"/>
      </w:pPr>
      <w:r>
        <w:t>T</w:t>
      </w:r>
      <w:r w:rsidR="001E0A1F">
        <w:t>he idea t</w:t>
      </w:r>
      <w:r>
        <w:t xml:space="preserve">hat </w:t>
      </w:r>
      <w:r w:rsidR="009D7277" w:rsidRPr="00BB6220">
        <w:t>Rainbow</w:t>
      </w:r>
      <w:r w:rsidR="003D640C">
        <w:t xml:space="preserve"> </w:t>
      </w:r>
      <w:r w:rsidR="009D7277" w:rsidRPr="00BB6220">
        <w:t>people</w:t>
      </w:r>
      <w:r w:rsidR="003D640C">
        <w:t xml:space="preserve"> </w:t>
      </w:r>
      <w:r>
        <w:t>attend activities and events with</w:t>
      </w:r>
      <w:r w:rsidR="003D640C">
        <w:t xml:space="preserve"> </w:t>
      </w:r>
      <w:r w:rsidR="009D7277" w:rsidRPr="00BB6220">
        <w:t>malevolent</w:t>
      </w:r>
      <w:r w:rsidR="003D640C">
        <w:t xml:space="preserve"> </w:t>
      </w:r>
      <w:r>
        <w:t xml:space="preserve">intentions to </w:t>
      </w:r>
      <w:r w:rsidR="00D80FB7">
        <w:t>recruit others to identify</w:t>
      </w:r>
      <w:r w:rsidR="003D640C">
        <w:t xml:space="preserve"> </w:t>
      </w:r>
      <w:r w:rsidR="009D7277" w:rsidRPr="00BB6220">
        <w:t>as</w:t>
      </w:r>
      <w:r w:rsidR="003D640C">
        <w:t xml:space="preserve"> </w:t>
      </w:r>
      <w:r w:rsidR="00D80FB7">
        <w:t>Rainbow</w:t>
      </w:r>
      <w:r w:rsidR="009D7277" w:rsidRPr="00BB6220">
        <w:t>.</w:t>
      </w:r>
    </w:p>
    <w:p w14:paraId="135C2C0B" w14:textId="2C332920" w:rsidR="009D7277" w:rsidRPr="00BB6220" w:rsidRDefault="009D7277" w:rsidP="009D7277">
      <w:r w:rsidRPr="00BB6220">
        <w:t>Any</w:t>
      </w:r>
      <w:r w:rsidR="003D640C">
        <w:t xml:space="preserve"> </w:t>
      </w:r>
      <w:r w:rsidRPr="00BB6220">
        <w:t>one</w:t>
      </w:r>
      <w:r w:rsidR="003D640C">
        <w:t xml:space="preserve"> </w:t>
      </w:r>
      <w:r w:rsidRPr="00BB6220">
        <w:t>of</w:t>
      </w:r>
      <w:r w:rsidR="003D640C">
        <w:t xml:space="preserve"> </w:t>
      </w:r>
      <w:r w:rsidRPr="00BB6220">
        <w:t>these</w:t>
      </w:r>
      <w:r w:rsidR="003D640C">
        <w:t xml:space="preserve"> </w:t>
      </w:r>
      <w:r w:rsidRPr="00BB6220">
        <w:t>beliefs</w:t>
      </w:r>
      <w:r w:rsidR="003D640C">
        <w:t xml:space="preserve"> </w:t>
      </w:r>
      <w:r w:rsidR="000E408B">
        <w:t>may</w:t>
      </w:r>
      <w:r w:rsidR="003D640C">
        <w:t xml:space="preserve"> </w:t>
      </w:r>
      <w:r w:rsidRPr="00BB6220">
        <w:t>constitute</w:t>
      </w:r>
      <w:r w:rsidR="003D640C">
        <w:t xml:space="preserve"> </w:t>
      </w:r>
      <w:r w:rsidRPr="00BB6220">
        <w:t>conversion</w:t>
      </w:r>
      <w:r w:rsidR="003D640C">
        <w:t xml:space="preserve"> </w:t>
      </w:r>
      <w:r w:rsidRPr="00BB6220">
        <w:t>ideology.</w:t>
      </w:r>
      <w:r w:rsidR="003D640C">
        <w:t xml:space="preserve"> </w:t>
      </w:r>
      <w:r w:rsidRPr="00BB6220">
        <w:t>When</w:t>
      </w:r>
      <w:r w:rsidR="003D640C">
        <w:t xml:space="preserve"> </w:t>
      </w:r>
      <w:r w:rsidRPr="00BB6220">
        <w:t>multiple</w:t>
      </w:r>
      <w:r w:rsidR="003D640C">
        <w:t xml:space="preserve"> </w:t>
      </w:r>
      <w:r w:rsidRPr="00BB6220">
        <w:t>beliefs</w:t>
      </w:r>
      <w:r w:rsidR="003D640C">
        <w:t xml:space="preserve"> </w:t>
      </w:r>
      <w:r w:rsidRPr="00BB6220">
        <w:t>exist</w:t>
      </w:r>
      <w:r w:rsidR="003D640C">
        <w:t xml:space="preserve"> </w:t>
      </w:r>
      <w:r w:rsidRPr="00BB6220">
        <w:t>within</w:t>
      </w:r>
      <w:r w:rsidR="003D640C">
        <w:t xml:space="preserve"> </w:t>
      </w:r>
      <w:r w:rsidRPr="00BB6220">
        <w:t>a</w:t>
      </w:r>
      <w:r w:rsidR="003D640C">
        <w:t xml:space="preserve"> </w:t>
      </w:r>
      <w:r w:rsidRPr="00BB6220">
        <w:t>community,</w:t>
      </w:r>
      <w:r w:rsidR="003D640C">
        <w:t xml:space="preserve"> </w:t>
      </w:r>
      <w:r>
        <w:t>Rainbow</w:t>
      </w:r>
      <w:r w:rsidR="003D640C">
        <w:t xml:space="preserve"> </w:t>
      </w:r>
      <w:r w:rsidRPr="00BB6220">
        <w:t>people,</w:t>
      </w:r>
      <w:r w:rsidR="003D640C">
        <w:t xml:space="preserve"> </w:t>
      </w:r>
      <w:r w:rsidRPr="00BB6220">
        <w:t>including</w:t>
      </w:r>
      <w:r w:rsidR="003D640C">
        <w:t xml:space="preserve"> </w:t>
      </w:r>
      <w:r w:rsidRPr="00BB6220">
        <w:t>those</w:t>
      </w:r>
      <w:r w:rsidR="003D640C">
        <w:t xml:space="preserve"> </w:t>
      </w:r>
      <w:r w:rsidRPr="00BB6220">
        <w:t>concealing</w:t>
      </w:r>
      <w:r w:rsidR="003D640C">
        <w:t xml:space="preserve"> </w:t>
      </w:r>
      <w:r w:rsidRPr="00BB6220">
        <w:t>their</w:t>
      </w:r>
      <w:r w:rsidR="003D640C">
        <w:t xml:space="preserve"> </w:t>
      </w:r>
      <w:r w:rsidRPr="00BB6220">
        <w:t>identity,</w:t>
      </w:r>
      <w:r w:rsidR="003D640C">
        <w:t xml:space="preserve"> </w:t>
      </w:r>
      <w:r w:rsidRPr="00BB6220">
        <w:t>are</w:t>
      </w:r>
      <w:r w:rsidR="003D640C">
        <w:t xml:space="preserve"> </w:t>
      </w:r>
      <w:r w:rsidRPr="00BB6220">
        <w:t>at</w:t>
      </w:r>
      <w:r w:rsidR="003D640C">
        <w:t xml:space="preserve"> </w:t>
      </w:r>
      <w:r w:rsidRPr="00BB6220">
        <w:t>risk.</w:t>
      </w:r>
      <w:r w:rsidR="003D640C">
        <w:t xml:space="preserve"> </w:t>
      </w:r>
      <w:r w:rsidRPr="00BB6220">
        <w:t>Different</w:t>
      </w:r>
      <w:r w:rsidR="003D640C">
        <w:t xml:space="preserve"> </w:t>
      </w:r>
      <w:r w:rsidRPr="00BB6220">
        <w:t>forms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can</w:t>
      </w:r>
      <w:r w:rsidR="003D640C">
        <w:t xml:space="preserve"> </w:t>
      </w:r>
      <w:r w:rsidRPr="00BB6220">
        <w:t>focus</w:t>
      </w:r>
      <w:r w:rsidR="003D640C">
        <w:t xml:space="preserve"> </w:t>
      </w:r>
      <w:r w:rsidRPr="00BB6220">
        <w:t>on</w:t>
      </w:r>
      <w:r w:rsidR="003D640C">
        <w:t xml:space="preserve"> </w:t>
      </w:r>
      <w:r w:rsidRPr="00BB6220">
        <w:t>different</w:t>
      </w:r>
      <w:r w:rsidR="003D640C">
        <w:t xml:space="preserve"> </w:t>
      </w:r>
      <w:r w:rsidRPr="00BB6220">
        <w:t>inaccurate,</w:t>
      </w:r>
      <w:r w:rsidR="003D640C">
        <w:t xml:space="preserve"> </w:t>
      </w:r>
      <w:r w:rsidRPr="00BB6220">
        <w:t>harmful,</w:t>
      </w:r>
      <w:r w:rsidR="003D640C">
        <w:t xml:space="preserve"> </w:t>
      </w:r>
      <w:r w:rsidRPr="00BB6220">
        <w:t>and</w:t>
      </w:r>
      <w:r w:rsidR="003D640C">
        <w:t xml:space="preserve"> </w:t>
      </w:r>
      <w:r w:rsidRPr="00BB6220">
        <w:t>stigmatising</w:t>
      </w:r>
      <w:r w:rsidR="003D640C">
        <w:t xml:space="preserve"> </w:t>
      </w:r>
      <w:r w:rsidRPr="00BB6220">
        <w:t>beliefs</w:t>
      </w:r>
      <w:r w:rsidR="003D640C">
        <w:t xml:space="preserve"> </w:t>
      </w:r>
      <w:r w:rsidRPr="00BB6220" w:rsidDel="00FD1876">
        <w:t>that</w:t>
      </w:r>
      <w:r w:rsidR="003D640C">
        <w:t xml:space="preserve"> </w:t>
      </w:r>
      <w:r w:rsidRPr="00BB6220" w:rsidDel="00FD1876">
        <w:t>these</w:t>
      </w:r>
      <w:r w:rsidR="003D640C">
        <w:t xml:space="preserve"> </w:t>
      </w:r>
      <w:r w:rsidRPr="00BB6220" w:rsidDel="00FD1876">
        <w:t>identities</w:t>
      </w:r>
      <w:r w:rsidR="003D640C">
        <w:t xml:space="preserve"> </w:t>
      </w:r>
      <w:r w:rsidRPr="00BB6220" w:rsidDel="00FD1876">
        <w:t>are</w:t>
      </w:r>
      <w:r w:rsidR="003D640C">
        <w:t xml:space="preserve"> </w:t>
      </w:r>
      <w:r w:rsidRPr="00BB6220" w:rsidDel="00FD1876">
        <w:t>not</w:t>
      </w:r>
      <w:r w:rsidR="003D640C">
        <w:t xml:space="preserve"> </w:t>
      </w:r>
      <w:r w:rsidRPr="00BB6220" w:rsidDel="00FD1876">
        <w:t>natural</w:t>
      </w:r>
      <w:r w:rsidRPr="00BB6220">
        <w:t>.</w:t>
      </w:r>
      <w:r w:rsidR="003D640C">
        <w:t xml:space="preserve"> </w:t>
      </w:r>
    </w:p>
    <w:p w14:paraId="521267AE" w14:textId="0741D4BE" w:rsidR="009D7277" w:rsidRPr="00BB6220" w:rsidRDefault="009D7277" w:rsidP="00FA0175">
      <w:pPr>
        <w:pStyle w:val="Quote"/>
      </w:pPr>
      <w:r w:rsidRPr="0078026B">
        <w:t>“I</w:t>
      </w:r>
      <w:r w:rsidR="003D640C" w:rsidRPr="0078026B">
        <w:t xml:space="preserve"> </w:t>
      </w:r>
      <w:r w:rsidRPr="0078026B">
        <w:t>was</w:t>
      </w:r>
      <w:r w:rsidR="003D640C" w:rsidRPr="0078026B">
        <w:t xml:space="preserve"> </w:t>
      </w:r>
      <w:r w:rsidRPr="0078026B">
        <w:t>told</w:t>
      </w:r>
      <w:r w:rsidR="003D640C" w:rsidRPr="0078026B">
        <w:t xml:space="preserve"> </w:t>
      </w:r>
      <w:r w:rsidRPr="0078026B">
        <w:t>there</w:t>
      </w:r>
      <w:r w:rsidR="003D640C" w:rsidRPr="0078026B">
        <w:t xml:space="preserve"> </w:t>
      </w:r>
      <w:r w:rsidRPr="0078026B">
        <w:t>was</w:t>
      </w:r>
      <w:r w:rsidR="003D640C" w:rsidRPr="0078026B">
        <w:t xml:space="preserve"> </w:t>
      </w:r>
      <w:r w:rsidRPr="0078026B">
        <w:t>fundamentally</w:t>
      </w:r>
      <w:r w:rsidR="003D640C" w:rsidRPr="0078026B">
        <w:t xml:space="preserve"> </w:t>
      </w:r>
      <w:r w:rsidRPr="0078026B">
        <w:t>something</w:t>
      </w:r>
      <w:r w:rsidR="003D640C" w:rsidRPr="0078026B">
        <w:t xml:space="preserve"> </w:t>
      </w:r>
      <w:r w:rsidRPr="0078026B">
        <w:t>wrong</w:t>
      </w:r>
      <w:r w:rsidR="003D640C" w:rsidRPr="0078026B">
        <w:t xml:space="preserve"> </w:t>
      </w:r>
      <w:r w:rsidRPr="0078026B">
        <w:t>with</w:t>
      </w:r>
      <w:r w:rsidR="003D640C" w:rsidRPr="0078026B">
        <w:t xml:space="preserve"> </w:t>
      </w:r>
      <w:r w:rsidRPr="0078026B">
        <w:t>me</w:t>
      </w:r>
      <w:r w:rsidR="003D640C" w:rsidRPr="0078026B">
        <w:t xml:space="preserve"> </w:t>
      </w:r>
      <w:r w:rsidRPr="0078026B">
        <w:t>and</w:t>
      </w:r>
      <w:r w:rsidR="003D640C" w:rsidRPr="0078026B">
        <w:t xml:space="preserve"> </w:t>
      </w:r>
      <w:r w:rsidRPr="0078026B">
        <w:t>that</w:t>
      </w:r>
      <w:r w:rsidR="00C0115C">
        <w:t>,</w:t>
      </w:r>
      <w:r w:rsidR="003D640C" w:rsidRPr="0078026B">
        <w:t xml:space="preserve"> </w:t>
      </w:r>
      <w:r w:rsidRPr="0078026B">
        <w:t>through</w:t>
      </w:r>
      <w:r w:rsidR="003D640C" w:rsidRPr="0078026B">
        <w:t xml:space="preserve"> </w:t>
      </w:r>
      <w:r w:rsidRPr="0078026B">
        <w:t>counselling</w:t>
      </w:r>
      <w:r w:rsidR="003D640C" w:rsidRPr="0078026B">
        <w:t xml:space="preserve"> </w:t>
      </w:r>
      <w:r w:rsidRPr="0078026B">
        <w:t>and</w:t>
      </w:r>
      <w:r w:rsidR="003D640C" w:rsidRPr="0078026B">
        <w:t xml:space="preserve"> </w:t>
      </w:r>
      <w:r w:rsidRPr="0078026B">
        <w:t>through</w:t>
      </w:r>
      <w:r w:rsidR="003D640C" w:rsidRPr="0078026B">
        <w:t xml:space="preserve"> </w:t>
      </w:r>
      <w:r w:rsidRPr="0078026B">
        <w:t>talking</w:t>
      </w:r>
      <w:r w:rsidR="003D640C" w:rsidRPr="0078026B">
        <w:t xml:space="preserve"> </w:t>
      </w:r>
      <w:r w:rsidRPr="0078026B">
        <w:t>through</w:t>
      </w:r>
      <w:r w:rsidR="003D640C" w:rsidRPr="0078026B">
        <w:t xml:space="preserve"> </w:t>
      </w:r>
      <w:r w:rsidRPr="0078026B">
        <w:t>the</w:t>
      </w:r>
      <w:r w:rsidR="003D640C" w:rsidRPr="0078026B">
        <w:t xml:space="preserve"> </w:t>
      </w:r>
      <w:r w:rsidRPr="0078026B">
        <w:t>issues</w:t>
      </w:r>
      <w:r w:rsidR="003D640C" w:rsidRPr="0078026B">
        <w:t xml:space="preserve"> </w:t>
      </w:r>
      <w:r w:rsidRPr="0078026B">
        <w:t>as</w:t>
      </w:r>
      <w:r w:rsidR="003D640C" w:rsidRPr="0078026B">
        <w:t xml:space="preserve"> </w:t>
      </w:r>
      <w:r w:rsidRPr="0078026B">
        <w:t>they</w:t>
      </w:r>
      <w:r w:rsidR="003D640C" w:rsidRPr="0078026B">
        <w:t xml:space="preserve"> </w:t>
      </w:r>
      <w:r w:rsidRPr="0078026B">
        <w:t>saw</w:t>
      </w:r>
      <w:r w:rsidR="003D640C" w:rsidRPr="0078026B">
        <w:t xml:space="preserve"> </w:t>
      </w:r>
      <w:r w:rsidRPr="0078026B">
        <w:t>them,</w:t>
      </w:r>
      <w:r w:rsidR="003D640C" w:rsidRPr="0078026B">
        <w:t xml:space="preserve"> </w:t>
      </w:r>
      <w:r w:rsidRPr="0078026B">
        <w:t>that</w:t>
      </w:r>
      <w:r w:rsidR="003D640C" w:rsidRPr="0078026B">
        <w:t xml:space="preserve"> </w:t>
      </w:r>
      <w:r w:rsidRPr="0078026B">
        <w:t>I</w:t>
      </w:r>
      <w:r w:rsidR="003D640C" w:rsidRPr="0078026B">
        <w:t xml:space="preserve"> </w:t>
      </w:r>
      <w:r w:rsidRPr="0078026B">
        <w:t>would</w:t>
      </w:r>
      <w:r w:rsidR="003D640C" w:rsidRPr="0078026B">
        <w:t xml:space="preserve"> </w:t>
      </w:r>
      <w:r w:rsidRPr="0078026B">
        <w:t>be</w:t>
      </w:r>
      <w:r w:rsidR="003D640C" w:rsidRPr="0078026B">
        <w:t xml:space="preserve"> </w:t>
      </w:r>
      <w:r w:rsidRPr="0078026B">
        <w:t>able</w:t>
      </w:r>
      <w:r w:rsidR="003D640C" w:rsidRPr="0078026B">
        <w:t xml:space="preserve"> </w:t>
      </w:r>
      <w:r w:rsidRPr="0078026B">
        <w:t>to</w:t>
      </w:r>
      <w:r w:rsidR="003D640C" w:rsidRPr="0078026B">
        <w:t xml:space="preserve"> </w:t>
      </w:r>
      <w:r w:rsidRPr="0078026B">
        <w:t>change</w:t>
      </w:r>
      <w:r w:rsidR="003D640C" w:rsidRPr="0078026B">
        <w:t xml:space="preserve"> </w:t>
      </w:r>
      <w:r w:rsidRPr="0078026B">
        <w:t>my</w:t>
      </w:r>
      <w:r w:rsidR="003D640C" w:rsidRPr="0078026B">
        <w:t xml:space="preserve"> </w:t>
      </w:r>
      <w:r w:rsidRPr="0078026B">
        <w:t>sexual</w:t>
      </w:r>
      <w:r w:rsidR="003D640C" w:rsidRPr="0078026B">
        <w:t xml:space="preserve"> </w:t>
      </w:r>
      <w:r w:rsidRPr="0078026B">
        <w:t>orientation.”</w:t>
      </w:r>
      <w:r w:rsidR="003D640C">
        <w:rPr>
          <w:color w:val="222222"/>
          <w:shd w:val="clear" w:color="auto" w:fill="FFFFFF"/>
        </w:rPr>
        <w:t xml:space="preserve"> </w:t>
      </w:r>
      <w:r w:rsidRPr="00BB6220">
        <w:rPr>
          <w:color w:val="222222"/>
          <w:shd w:val="clear" w:color="auto" w:fill="FFFFFF"/>
        </w:rPr>
        <w:t>Pākehā,</w:t>
      </w:r>
      <w:r w:rsidR="003D640C">
        <w:rPr>
          <w:color w:val="222222"/>
          <w:shd w:val="clear" w:color="auto" w:fill="FFFFFF"/>
        </w:rPr>
        <w:t xml:space="preserve"> </w:t>
      </w:r>
      <w:r w:rsidRPr="00BB6220">
        <w:rPr>
          <w:color w:val="222222"/>
          <w:shd w:val="clear" w:color="auto" w:fill="FFFFFF"/>
        </w:rPr>
        <w:t>male</w:t>
      </w:r>
      <w:r w:rsidRPr="00BB6220">
        <w:rPr>
          <w:rStyle w:val="FootnoteReference"/>
          <w:color w:val="222222"/>
          <w:shd w:val="clear" w:color="auto" w:fill="FFFFFF"/>
        </w:rPr>
        <w:footnoteReference w:id="37"/>
      </w:r>
    </w:p>
    <w:p w14:paraId="27205534" w14:textId="03014D7D" w:rsidR="009D7277" w:rsidRPr="00BB6220" w:rsidRDefault="009D7277" w:rsidP="009D7277">
      <w:r w:rsidRPr="00BB6220">
        <w:t>Conversion</w:t>
      </w:r>
      <w:r w:rsidR="003D640C">
        <w:t xml:space="preserve"> </w:t>
      </w:r>
      <w:r w:rsidRPr="00BB6220">
        <w:t>ideology</w:t>
      </w:r>
      <w:r w:rsidR="003D640C">
        <w:t xml:space="preserve"> </w:t>
      </w:r>
      <w:r w:rsidRPr="00BB6220">
        <w:t>becomes</w:t>
      </w:r>
      <w:r w:rsidR="003D640C">
        <w:t xml:space="preserve"> </w:t>
      </w:r>
      <w:r w:rsidRPr="00BB6220">
        <w:t>entrenched</w:t>
      </w:r>
      <w:r w:rsidR="003D640C">
        <w:t xml:space="preserve"> </w:t>
      </w:r>
      <w:r w:rsidRPr="00BB6220">
        <w:t>in</w:t>
      </w:r>
      <w:r w:rsidR="003D640C">
        <w:t xml:space="preserve"> </w:t>
      </w:r>
      <w:r w:rsidRPr="00BB6220">
        <w:t>environments</w:t>
      </w:r>
      <w:r w:rsidR="003D640C">
        <w:t xml:space="preserve"> </w:t>
      </w:r>
      <w:r w:rsidRPr="00BB6220">
        <w:t>where</w:t>
      </w:r>
      <w:r w:rsidR="003D640C">
        <w:t xml:space="preserve"> </w:t>
      </w:r>
      <w:r w:rsidR="00EE4EEF">
        <w:t>these</w:t>
      </w:r>
      <w:r w:rsidR="003D640C">
        <w:t xml:space="preserve"> </w:t>
      </w:r>
      <w:r w:rsidR="00EE4EEF">
        <w:t>types</w:t>
      </w:r>
      <w:r w:rsidR="003D640C">
        <w:t xml:space="preserve"> </w:t>
      </w:r>
      <w:r w:rsidR="00EE4EEF">
        <w:t>of</w:t>
      </w:r>
      <w:r w:rsidR="003D640C">
        <w:t xml:space="preserve"> </w:t>
      </w:r>
      <w:r w:rsidRPr="00BB6220">
        <w:t>beliefs</w:t>
      </w:r>
      <w:r w:rsidR="003D640C">
        <w:t xml:space="preserve"> </w:t>
      </w:r>
      <w:r w:rsidRPr="00BB6220">
        <w:t>are</w:t>
      </w:r>
      <w:r w:rsidR="003D640C">
        <w:t xml:space="preserve"> </w:t>
      </w:r>
      <w:r w:rsidRPr="00BB6220">
        <w:t>taught</w:t>
      </w:r>
      <w:r w:rsidR="003D640C">
        <w:t xml:space="preserve"> </w:t>
      </w:r>
      <w:r w:rsidRPr="00BB6220">
        <w:t>as</w:t>
      </w:r>
      <w:r w:rsidR="003D640C">
        <w:t xml:space="preserve"> </w:t>
      </w:r>
      <w:r w:rsidRPr="00BB6220">
        <w:t>fact</w:t>
      </w:r>
      <w:r w:rsidR="003D640C">
        <w:t xml:space="preserve"> </w:t>
      </w:r>
      <w:r w:rsidRPr="00BB6220">
        <w:t>and</w:t>
      </w:r>
      <w:r w:rsidR="003D640C">
        <w:t xml:space="preserve"> </w:t>
      </w:r>
      <w:r w:rsidRPr="00BB6220">
        <w:t>where</w:t>
      </w:r>
      <w:r w:rsidR="003D640C">
        <w:t xml:space="preserve"> </w:t>
      </w:r>
      <w:r w:rsidRPr="00BB6220">
        <w:t>testing</w:t>
      </w:r>
      <w:r w:rsidR="003D640C">
        <w:t xml:space="preserve"> </w:t>
      </w:r>
      <w:r w:rsidR="00EE4EEF">
        <w:t>these</w:t>
      </w:r>
      <w:r w:rsidR="003D640C">
        <w:t xml:space="preserve"> </w:t>
      </w:r>
      <w:r w:rsidRPr="00BB6220">
        <w:t>beliefs</w:t>
      </w:r>
      <w:r w:rsidR="003D640C">
        <w:t xml:space="preserve"> </w:t>
      </w:r>
      <w:r w:rsidRPr="00BB6220">
        <w:t>and</w:t>
      </w:r>
      <w:r w:rsidR="003D640C">
        <w:t xml:space="preserve"> </w:t>
      </w:r>
      <w:r w:rsidRPr="00BB6220">
        <w:t>other</w:t>
      </w:r>
      <w:r w:rsidR="003D640C">
        <w:t xml:space="preserve"> </w:t>
      </w:r>
      <w:r w:rsidRPr="00BB6220">
        <w:t>views</w:t>
      </w:r>
      <w:r w:rsidR="003D640C">
        <w:t xml:space="preserve"> </w:t>
      </w:r>
      <w:r w:rsidRPr="00BB6220">
        <w:t>is</w:t>
      </w:r>
      <w:r w:rsidR="003D640C">
        <w:t xml:space="preserve"> </w:t>
      </w:r>
      <w:r w:rsidRPr="00BB6220">
        <w:t>discouraged,</w:t>
      </w:r>
      <w:r w:rsidR="003D640C">
        <w:t xml:space="preserve"> </w:t>
      </w:r>
      <w:r w:rsidRPr="00BB6220">
        <w:t>generally</w:t>
      </w:r>
      <w:r w:rsidR="003D640C">
        <w:t xml:space="preserve"> </w:t>
      </w:r>
      <w:r w:rsidRPr="00BB6220">
        <w:t>by</w:t>
      </w:r>
      <w:r w:rsidR="003D640C">
        <w:t xml:space="preserve"> </w:t>
      </w:r>
      <w:r w:rsidRPr="00BB6220">
        <w:t>those</w:t>
      </w:r>
      <w:r w:rsidR="003D640C">
        <w:t xml:space="preserve"> </w:t>
      </w:r>
      <w:r w:rsidRPr="00BB6220">
        <w:t>in</w:t>
      </w:r>
      <w:r w:rsidR="003D640C">
        <w:t xml:space="preserve"> </w:t>
      </w:r>
      <w:r w:rsidRPr="00BB6220">
        <w:t>authority.</w:t>
      </w:r>
      <w:r w:rsidR="003D640C">
        <w:t xml:space="preserve"> </w:t>
      </w:r>
      <w:r w:rsidRPr="00BB6220">
        <w:t>Young</w:t>
      </w:r>
      <w:r w:rsidR="003D640C">
        <w:t xml:space="preserve"> </w:t>
      </w:r>
      <w:r w:rsidRPr="00BB6220">
        <w:t>people</w:t>
      </w:r>
      <w:r w:rsidR="003D640C">
        <w:t xml:space="preserve"> </w:t>
      </w:r>
      <w:r w:rsidRPr="00BB6220">
        <w:t>are</w:t>
      </w:r>
      <w:r w:rsidR="003D640C">
        <w:t xml:space="preserve"> </w:t>
      </w:r>
      <w:r w:rsidRPr="00BB6220">
        <w:t>particularly</w:t>
      </w:r>
      <w:r w:rsidR="003D640C">
        <w:t xml:space="preserve"> </w:t>
      </w:r>
      <w:r w:rsidRPr="00BB6220">
        <w:t>at</w:t>
      </w:r>
      <w:r w:rsidR="003D640C">
        <w:t xml:space="preserve"> </w:t>
      </w:r>
      <w:r w:rsidRPr="00BB6220">
        <w:t>risk</w:t>
      </w:r>
      <w:r w:rsidR="003D640C">
        <w:t xml:space="preserve"> </w:t>
      </w:r>
      <w:r w:rsidRPr="00BB6220">
        <w:t>in</w:t>
      </w:r>
      <w:r w:rsidR="003D640C">
        <w:t xml:space="preserve"> </w:t>
      </w:r>
      <w:r w:rsidRPr="00BB6220">
        <w:t>these</w:t>
      </w:r>
      <w:r w:rsidR="003D640C">
        <w:t xml:space="preserve"> </w:t>
      </w:r>
      <w:r w:rsidRPr="00BB6220">
        <w:t>indoctrinating</w:t>
      </w:r>
      <w:r w:rsidR="003D640C">
        <w:t xml:space="preserve"> </w:t>
      </w:r>
      <w:r w:rsidRPr="00BB6220">
        <w:t>environments</w:t>
      </w:r>
      <w:r w:rsidR="003D640C">
        <w:t xml:space="preserve"> </w:t>
      </w:r>
      <w:r w:rsidRPr="00BB6220">
        <w:t>because</w:t>
      </w:r>
      <w:r w:rsidR="003D640C">
        <w:t xml:space="preserve"> </w:t>
      </w:r>
      <w:r w:rsidRPr="00BB6220">
        <w:t>they</w:t>
      </w:r>
      <w:r w:rsidR="003D640C">
        <w:t xml:space="preserve"> </w:t>
      </w:r>
      <w:r w:rsidRPr="00BB6220">
        <w:t>are</w:t>
      </w:r>
      <w:r w:rsidR="003D640C">
        <w:t xml:space="preserve"> </w:t>
      </w:r>
      <w:r w:rsidRPr="00BB6220">
        <w:t>learning</w:t>
      </w:r>
      <w:r w:rsidR="003D640C">
        <w:t xml:space="preserve"> </w:t>
      </w:r>
      <w:r w:rsidRPr="00BB6220">
        <w:t>ideas</w:t>
      </w:r>
      <w:r w:rsidR="003D640C">
        <w:t xml:space="preserve"> </w:t>
      </w:r>
      <w:r w:rsidRPr="00BB6220">
        <w:t>and</w:t>
      </w:r>
      <w:r w:rsidR="003D640C">
        <w:t xml:space="preserve"> </w:t>
      </w:r>
      <w:r w:rsidRPr="00BB6220">
        <w:t>frameworks</w:t>
      </w:r>
      <w:r w:rsidR="003D640C">
        <w:t xml:space="preserve"> </w:t>
      </w:r>
      <w:r w:rsidRPr="00BB6220">
        <w:t>that</w:t>
      </w:r>
      <w:r w:rsidR="003D640C">
        <w:t xml:space="preserve"> </w:t>
      </w:r>
      <w:r w:rsidRPr="00BB6220">
        <w:t>will</w:t>
      </w:r>
      <w:r w:rsidR="003D640C">
        <w:t xml:space="preserve"> </w:t>
      </w:r>
      <w:r w:rsidRPr="00BB6220">
        <w:t>affect</w:t>
      </w:r>
      <w:r w:rsidR="003D640C">
        <w:t xml:space="preserve"> </w:t>
      </w:r>
      <w:r w:rsidRPr="00BB6220">
        <w:t>how</w:t>
      </w:r>
      <w:r w:rsidR="003D640C">
        <w:t xml:space="preserve"> </w:t>
      </w:r>
      <w:r w:rsidRPr="00BB6220">
        <w:t>they</w:t>
      </w:r>
      <w:r w:rsidR="003D640C">
        <w:t xml:space="preserve"> </w:t>
      </w:r>
      <w:r w:rsidRPr="00BB6220">
        <w:t>interpret</w:t>
      </w:r>
      <w:r w:rsidR="003D640C">
        <w:t xml:space="preserve"> </w:t>
      </w:r>
      <w:r w:rsidRPr="00BB6220">
        <w:t>and</w:t>
      </w:r>
      <w:r w:rsidR="003D640C">
        <w:t xml:space="preserve"> </w:t>
      </w:r>
      <w:r w:rsidRPr="00BB6220">
        <w:t>apply</w:t>
      </w:r>
      <w:r w:rsidR="003D640C">
        <w:t xml:space="preserve"> </w:t>
      </w:r>
      <w:r w:rsidRPr="00BB6220">
        <w:t>information</w:t>
      </w:r>
      <w:r w:rsidR="003D640C">
        <w:t xml:space="preserve"> </w:t>
      </w:r>
      <w:r w:rsidRPr="00BB6220">
        <w:t>throughout</w:t>
      </w:r>
      <w:r w:rsidR="003D640C">
        <w:t xml:space="preserve"> </w:t>
      </w:r>
      <w:r w:rsidRPr="00BB6220">
        <w:t>their</w:t>
      </w:r>
      <w:r w:rsidR="003D640C">
        <w:t xml:space="preserve"> </w:t>
      </w:r>
      <w:r w:rsidRPr="00BB6220">
        <w:t>life.</w:t>
      </w:r>
      <w:r w:rsidR="003D640C">
        <w:t xml:space="preserve"> </w:t>
      </w:r>
      <w:r w:rsidR="006E47E4">
        <w:t>In</w:t>
      </w:r>
      <w:r w:rsidR="003D640C">
        <w:t xml:space="preserve"> </w:t>
      </w:r>
      <w:r w:rsidR="006E47E4">
        <w:t>addition,</w:t>
      </w:r>
      <w:r w:rsidR="003D640C">
        <w:t xml:space="preserve"> </w:t>
      </w:r>
      <w:r w:rsidR="006162A7">
        <w:t>young</w:t>
      </w:r>
      <w:r w:rsidR="003D640C">
        <w:t xml:space="preserve"> </w:t>
      </w:r>
      <w:r w:rsidR="006162A7">
        <w:t>people</w:t>
      </w:r>
      <w:r w:rsidR="003D640C">
        <w:t xml:space="preserve"> </w:t>
      </w:r>
      <w:r w:rsidR="006162A7">
        <w:t>are</w:t>
      </w:r>
      <w:r w:rsidR="003D640C">
        <w:t xml:space="preserve"> </w:t>
      </w:r>
      <w:r w:rsidR="006162A7">
        <w:t>dependent</w:t>
      </w:r>
      <w:r w:rsidR="003D640C">
        <w:t xml:space="preserve"> </w:t>
      </w:r>
      <w:r w:rsidR="006162A7">
        <w:t>materially</w:t>
      </w:r>
      <w:r w:rsidR="003D640C">
        <w:t xml:space="preserve"> </w:t>
      </w:r>
      <w:r w:rsidR="006162A7">
        <w:t>and</w:t>
      </w:r>
      <w:r w:rsidR="003D640C">
        <w:t xml:space="preserve"> </w:t>
      </w:r>
      <w:r w:rsidR="006162A7">
        <w:t>for</w:t>
      </w:r>
      <w:r w:rsidR="003D640C">
        <w:t xml:space="preserve"> </w:t>
      </w:r>
      <w:r w:rsidR="006162A7">
        <w:t>nurture</w:t>
      </w:r>
      <w:r w:rsidR="003D640C">
        <w:t xml:space="preserve"> </w:t>
      </w:r>
      <w:r w:rsidR="006162A7">
        <w:t>and</w:t>
      </w:r>
      <w:r w:rsidR="003D640C">
        <w:t xml:space="preserve"> </w:t>
      </w:r>
      <w:r w:rsidR="006162A7">
        <w:t>affection</w:t>
      </w:r>
      <w:r w:rsidR="003D640C">
        <w:t xml:space="preserve"> </w:t>
      </w:r>
      <w:r w:rsidR="006162A7">
        <w:t>on</w:t>
      </w:r>
      <w:r w:rsidR="003D640C">
        <w:t xml:space="preserve"> </w:t>
      </w:r>
      <w:r w:rsidR="006162A7">
        <w:t>o</w:t>
      </w:r>
      <w:r w:rsidR="00565199">
        <w:t>lder</w:t>
      </w:r>
      <w:r w:rsidR="003D640C">
        <w:t xml:space="preserve"> </w:t>
      </w:r>
      <w:r w:rsidR="00565199">
        <w:t>people</w:t>
      </w:r>
      <w:r w:rsidR="003D640C">
        <w:t xml:space="preserve"> </w:t>
      </w:r>
      <w:r w:rsidR="00565199">
        <w:t>with</w:t>
      </w:r>
      <w:r w:rsidR="003D640C">
        <w:t xml:space="preserve"> </w:t>
      </w:r>
      <w:r w:rsidR="00565199">
        <w:t>power,</w:t>
      </w:r>
      <w:r w:rsidR="003D640C">
        <w:t xml:space="preserve"> </w:t>
      </w:r>
      <w:r w:rsidR="00565199">
        <w:t>particularly</w:t>
      </w:r>
      <w:r w:rsidR="003D640C">
        <w:t xml:space="preserve"> </w:t>
      </w:r>
      <w:r w:rsidR="00565199">
        <w:t>their</w:t>
      </w:r>
      <w:r w:rsidR="003D640C">
        <w:t xml:space="preserve"> </w:t>
      </w:r>
      <w:r w:rsidR="00565199">
        <w:t>parents/guardians.</w:t>
      </w:r>
    </w:p>
    <w:p w14:paraId="1E718150" w14:textId="46FEE7DD" w:rsidR="009D7277" w:rsidRPr="00BB6220" w:rsidRDefault="009D7277" w:rsidP="00FA0175">
      <w:pPr>
        <w:pStyle w:val="Quote"/>
      </w:pPr>
      <w:r w:rsidRPr="00BB6220">
        <w:rPr>
          <w:b/>
        </w:rPr>
        <w:t>Indoctrination</w:t>
      </w:r>
      <w:r w:rsidR="003D640C">
        <w:t xml:space="preserve"> </w:t>
      </w:r>
      <w:r w:rsidRPr="00BB6220">
        <w:t>is</w:t>
      </w:r>
      <w:r w:rsidR="003D640C">
        <w:t xml:space="preserve"> </w:t>
      </w:r>
      <w:r w:rsidRPr="00BB6220">
        <w:t>the</w:t>
      </w:r>
      <w:r w:rsidR="003D640C">
        <w:t xml:space="preserve"> </w:t>
      </w:r>
      <w:r w:rsidRPr="00BB6220">
        <w:t>process</w:t>
      </w:r>
      <w:r w:rsidR="003D640C">
        <w:t xml:space="preserve"> </w:t>
      </w:r>
      <w:r w:rsidRPr="00BB6220">
        <w:t>over</w:t>
      </w:r>
      <w:r w:rsidR="003D640C">
        <w:t xml:space="preserve"> </w:t>
      </w:r>
      <w:r w:rsidRPr="00BB6220">
        <w:t>time</w:t>
      </w:r>
      <w:r w:rsidR="003D640C">
        <w:t xml:space="preserve"> </w:t>
      </w:r>
      <w:r w:rsidRPr="00BB6220">
        <w:t>of</w:t>
      </w:r>
      <w:r w:rsidR="003D640C">
        <w:t xml:space="preserve"> </w:t>
      </w:r>
      <w:r w:rsidRPr="00BB6220">
        <w:t>repeatedly</w:t>
      </w:r>
      <w:r w:rsidR="003D640C">
        <w:t xml:space="preserve"> </w:t>
      </w:r>
      <w:r w:rsidRPr="00BB6220">
        <w:t>teaching</w:t>
      </w:r>
      <w:r w:rsidR="003D640C">
        <w:t xml:space="preserve"> </w:t>
      </w:r>
      <w:r w:rsidRPr="00BB6220">
        <w:t>a</w:t>
      </w:r>
      <w:r w:rsidR="003D640C">
        <w:t xml:space="preserve"> </w:t>
      </w:r>
      <w:r w:rsidRPr="00BB6220">
        <w:t>set</w:t>
      </w:r>
      <w:r w:rsidR="003D640C">
        <w:t xml:space="preserve"> </w:t>
      </w:r>
      <w:r w:rsidRPr="00BB6220">
        <w:t>of</w:t>
      </w:r>
      <w:r w:rsidR="003D640C">
        <w:t xml:space="preserve"> </w:t>
      </w:r>
      <w:r w:rsidRPr="00BB6220">
        <w:t>beliefs</w:t>
      </w:r>
      <w:r w:rsidR="003D640C">
        <w:t xml:space="preserve"> </w:t>
      </w:r>
      <w:r w:rsidRPr="00BB6220">
        <w:t>until</w:t>
      </w:r>
      <w:r w:rsidR="003D640C">
        <w:t xml:space="preserve"> </w:t>
      </w:r>
      <w:r w:rsidRPr="00BB6220">
        <w:t>they</w:t>
      </w:r>
      <w:r w:rsidR="003D640C">
        <w:t xml:space="preserve"> </w:t>
      </w:r>
      <w:r w:rsidRPr="00BB6220">
        <w:t>are</w:t>
      </w:r>
      <w:r w:rsidR="003D640C">
        <w:t xml:space="preserve"> </w:t>
      </w:r>
      <w:r w:rsidRPr="00BB6220">
        <w:t>accepted</w:t>
      </w:r>
      <w:r w:rsidR="003D640C">
        <w:t xml:space="preserve"> </w:t>
      </w:r>
      <w:r w:rsidRPr="00BB6220">
        <w:t>without</w:t>
      </w:r>
      <w:r w:rsidR="003D640C">
        <w:t xml:space="preserve"> </w:t>
      </w:r>
      <w:r w:rsidRPr="00BB6220">
        <w:t>question</w:t>
      </w:r>
      <w:r w:rsidR="003D640C">
        <w:t xml:space="preserve"> </w:t>
      </w:r>
      <w:r w:rsidRPr="00BB6220">
        <w:t>or</w:t>
      </w:r>
      <w:r w:rsidR="003D640C">
        <w:t xml:space="preserve"> </w:t>
      </w:r>
      <w:r w:rsidRPr="00BB6220">
        <w:t>criticism.</w:t>
      </w:r>
    </w:p>
    <w:p w14:paraId="037A903D" w14:textId="03D2EE16" w:rsidR="009D7277" w:rsidRPr="00BB6220" w:rsidRDefault="009D7277" w:rsidP="009D7277">
      <w:r w:rsidRPr="00BB6220">
        <w:lastRenderedPageBreak/>
        <w:t>Colonisation</w:t>
      </w:r>
      <w:r w:rsidR="003D640C">
        <w:t xml:space="preserve"> </w:t>
      </w:r>
      <w:r w:rsidRPr="00BB6220">
        <w:t>introduced</w:t>
      </w:r>
      <w:r w:rsidR="003D640C">
        <w:t xml:space="preserve"> </w:t>
      </w:r>
      <w:r w:rsidRPr="00BB6220">
        <w:t>conversion</w:t>
      </w:r>
      <w:r w:rsidR="003D640C">
        <w:t xml:space="preserve"> </w:t>
      </w:r>
      <w:r w:rsidRPr="00BB6220">
        <w:t>ideology</w:t>
      </w:r>
      <w:r w:rsidR="003D640C">
        <w:t xml:space="preserve"> </w:t>
      </w:r>
      <w:r w:rsidRPr="00BB6220">
        <w:t>to</w:t>
      </w:r>
      <w:r w:rsidR="003D640C">
        <w:t xml:space="preserve"> </w:t>
      </w:r>
      <w:r w:rsidRPr="00BB6220">
        <w:t>Aotearoa</w:t>
      </w:r>
      <w:r w:rsidR="003D4B29">
        <w:t>.</w:t>
      </w:r>
      <w:r w:rsidR="003D640C">
        <w:t xml:space="preserve"> </w:t>
      </w:r>
      <w:r w:rsidR="003D4B29">
        <w:t>P</w:t>
      </w:r>
      <w:r w:rsidRPr="00BB6220">
        <w:t>rior</w:t>
      </w:r>
      <w:r w:rsidR="003D640C">
        <w:t xml:space="preserve"> </w:t>
      </w:r>
      <w:r w:rsidRPr="00BB6220">
        <w:t>to</w:t>
      </w:r>
      <w:r w:rsidR="003D640C">
        <w:t xml:space="preserve"> </w:t>
      </w:r>
      <w:r w:rsidRPr="00BB6220">
        <w:t>European</w:t>
      </w:r>
      <w:r w:rsidR="003D640C">
        <w:t xml:space="preserve"> </w:t>
      </w:r>
      <w:r w:rsidRPr="00BB6220">
        <w:t>contact,</w:t>
      </w:r>
      <w:r w:rsidR="003D640C">
        <w:t xml:space="preserve"> </w:t>
      </w:r>
      <w:r>
        <w:t>evidence</w:t>
      </w:r>
      <w:r w:rsidR="003D640C">
        <w:t xml:space="preserve"> </w:t>
      </w:r>
      <w:r w:rsidR="00FE74EC">
        <w:t>suggests</w:t>
      </w:r>
      <w:r w:rsidR="003D640C">
        <w:t xml:space="preserve"> </w:t>
      </w:r>
      <w:r w:rsidRPr="00BB6220">
        <w:t>traditional</w:t>
      </w:r>
      <w:r w:rsidR="003D640C">
        <w:t xml:space="preserve"> </w:t>
      </w:r>
      <w:r w:rsidRPr="00BB6220">
        <w:t>Māori</w:t>
      </w:r>
      <w:r w:rsidR="003D640C">
        <w:t xml:space="preserve"> </w:t>
      </w:r>
      <w:r w:rsidRPr="00BB6220">
        <w:t>society</w:t>
      </w:r>
      <w:r w:rsidR="003D640C">
        <w:t xml:space="preserve"> </w:t>
      </w:r>
      <w:r w:rsidRPr="00BB6220">
        <w:t>viewed</w:t>
      </w:r>
      <w:r w:rsidR="003D640C">
        <w:t xml:space="preserve"> </w:t>
      </w:r>
      <w:r w:rsidRPr="00BB6220">
        <w:t>gender</w:t>
      </w:r>
      <w:r w:rsidR="003D640C">
        <w:t xml:space="preserve"> </w:t>
      </w:r>
      <w:r w:rsidRPr="00BB6220">
        <w:t>and</w:t>
      </w:r>
      <w:r w:rsidR="003D640C">
        <w:t xml:space="preserve"> </w:t>
      </w:r>
      <w:r w:rsidRPr="00BB6220">
        <w:t>sexuality</w:t>
      </w:r>
      <w:r w:rsidR="003D640C">
        <w:t xml:space="preserve"> </w:t>
      </w:r>
      <w:r w:rsidRPr="00BB6220">
        <w:t>as</w:t>
      </w:r>
      <w:r w:rsidR="003D640C">
        <w:t xml:space="preserve"> </w:t>
      </w:r>
      <w:r w:rsidRPr="00BB6220">
        <w:t>fluid.</w:t>
      </w:r>
      <w:r>
        <w:rPr>
          <w:rStyle w:val="FootnoteReference"/>
        </w:rPr>
        <w:footnoteReference w:id="38"/>
      </w:r>
      <w:r w:rsidR="003D640C">
        <w:t xml:space="preserve"> </w:t>
      </w:r>
      <w:r w:rsidRPr="00BB6220">
        <w:t>Like</w:t>
      </w:r>
      <w:r w:rsidR="003D640C">
        <w:t xml:space="preserve"> </w:t>
      </w:r>
      <w:r w:rsidRPr="00BB6220">
        <w:t>many</w:t>
      </w:r>
      <w:r w:rsidR="003D640C">
        <w:t xml:space="preserve"> </w:t>
      </w:r>
      <w:r w:rsidRPr="00BB6220">
        <w:t>other</w:t>
      </w:r>
      <w:r w:rsidR="003D640C">
        <w:t xml:space="preserve"> </w:t>
      </w:r>
      <w:r w:rsidRPr="00BB6220">
        <w:t>countries,</w:t>
      </w:r>
      <w:r w:rsidR="003D640C">
        <w:t xml:space="preserve"> </w:t>
      </w:r>
      <w:r w:rsidRPr="00BB6220">
        <w:t>Aotearoa</w:t>
      </w:r>
      <w:r w:rsidR="003D640C">
        <w:t xml:space="preserve"> </w:t>
      </w:r>
      <w:r w:rsidRPr="00BB6220">
        <w:t>has</w:t>
      </w:r>
      <w:r w:rsidR="003D640C">
        <w:t xml:space="preserve"> </w:t>
      </w:r>
      <w:r w:rsidRPr="00BB6220">
        <w:t>a</w:t>
      </w:r>
      <w:r w:rsidR="003D640C">
        <w:t xml:space="preserve"> </w:t>
      </w:r>
      <w:r w:rsidRPr="00BB6220">
        <w:t>history</w:t>
      </w:r>
      <w:r w:rsidR="003D640C">
        <w:t xml:space="preserve"> </w:t>
      </w:r>
      <w:r w:rsidRPr="00BB6220">
        <w:t>of</w:t>
      </w:r>
      <w:r w:rsidR="003D640C">
        <w:t xml:space="preserve"> </w:t>
      </w:r>
      <w:r w:rsidRPr="00BB6220">
        <w:t>homophobic</w:t>
      </w:r>
      <w:r w:rsidR="003D640C">
        <w:t xml:space="preserve"> </w:t>
      </w:r>
      <w:r w:rsidRPr="00BB6220">
        <w:t>and</w:t>
      </w:r>
      <w:r w:rsidR="003D640C">
        <w:t xml:space="preserve"> </w:t>
      </w:r>
      <w:r w:rsidRPr="00BB6220">
        <w:t>transphobic</w:t>
      </w:r>
      <w:r w:rsidR="003D640C">
        <w:t xml:space="preserve"> </w:t>
      </w:r>
      <w:r w:rsidRPr="00BB6220">
        <w:t>legislation,</w:t>
      </w:r>
      <w:r w:rsidR="003D640C">
        <w:t xml:space="preserve"> </w:t>
      </w:r>
      <w:r w:rsidRPr="00BB6220">
        <w:t>policies,</w:t>
      </w:r>
      <w:r w:rsidR="003D640C">
        <w:t xml:space="preserve"> </w:t>
      </w:r>
      <w:r>
        <w:t>attitudes</w:t>
      </w:r>
      <w:r w:rsidR="00B950FF">
        <w:t>,</w:t>
      </w:r>
      <w:r w:rsidR="003D640C">
        <w:t xml:space="preserve"> </w:t>
      </w:r>
      <w:r w:rsidRPr="00BB6220">
        <w:t>and</w:t>
      </w:r>
      <w:r w:rsidR="003D640C">
        <w:t xml:space="preserve"> </w:t>
      </w:r>
      <w:r w:rsidRPr="00BB6220">
        <w:t>medical</w:t>
      </w:r>
      <w:r w:rsidR="003D640C">
        <w:t xml:space="preserve"> </w:t>
      </w:r>
      <w:r w:rsidRPr="00BB6220">
        <w:t>practices</w:t>
      </w:r>
      <w:r w:rsidR="003D640C">
        <w:t xml:space="preserve"> </w:t>
      </w:r>
      <w:r w:rsidRPr="00BB6220">
        <w:t>that</w:t>
      </w:r>
      <w:r w:rsidR="003D640C">
        <w:t xml:space="preserve"> </w:t>
      </w:r>
      <w:r w:rsidRPr="00BB6220">
        <w:t>still</w:t>
      </w:r>
      <w:r w:rsidR="003D640C">
        <w:t xml:space="preserve"> </w:t>
      </w:r>
      <w:r w:rsidRPr="00BB6220">
        <w:t>hold</w:t>
      </w:r>
      <w:r w:rsidR="003D640C">
        <w:t xml:space="preserve"> </w:t>
      </w:r>
      <w:r w:rsidRPr="00BB6220">
        <w:t>influence</w:t>
      </w:r>
      <w:r w:rsidR="003D640C">
        <w:t xml:space="preserve"> </w:t>
      </w:r>
      <w:r w:rsidRPr="00BB6220">
        <w:t>on</w:t>
      </w:r>
      <w:r w:rsidR="003D640C">
        <w:t xml:space="preserve"> </w:t>
      </w:r>
      <w:r w:rsidRPr="00BB6220">
        <w:t>society.</w:t>
      </w:r>
      <w:r w:rsidR="003D640C">
        <w:t xml:space="preserve"> </w:t>
      </w:r>
    </w:p>
    <w:p w14:paraId="0FFC3427" w14:textId="01F56C2F" w:rsidR="009D7277" w:rsidRPr="00BB6220" w:rsidRDefault="009D7277" w:rsidP="00B50CCE">
      <w:pPr>
        <w:pStyle w:val="Heading2"/>
      </w:pPr>
      <w:bookmarkStart w:id="63" w:name="_Toc167780579"/>
      <w:bookmarkStart w:id="64" w:name="_Toc287816749"/>
      <w:bookmarkStart w:id="65" w:name="_Toc174628637"/>
      <w:r w:rsidRPr="00BB6220">
        <w:t>What</w:t>
      </w:r>
      <w:r w:rsidR="003D640C">
        <w:t xml:space="preserve"> </w:t>
      </w:r>
      <w:r w:rsidRPr="00BB6220">
        <w:t>makes</w:t>
      </w:r>
      <w:r w:rsidR="003D640C">
        <w:t xml:space="preserve"> </w:t>
      </w:r>
      <w:r w:rsidRPr="00BB6220">
        <w:t>people</w:t>
      </w:r>
      <w:r w:rsidR="003D640C">
        <w:t xml:space="preserve"> </w:t>
      </w:r>
      <w:r w:rsidRPr="00BB6220">
        <w:t>take</w:t>
      </w:r>
      <w:r w:rsidR="003D640C">
        <w:t xml:space="preserve"> </w:t>
      </w:r>
      <w:r w:rsidRPr="00BB6220">
        <w:t>part</w:t>
      </w:r>
      <w:r w:rsidR="003D640C">
        <w:t xml:space="preserve"> </w:t>
      </w:r>
      <w:r w:rsidRPr="00BB6220">
        <w:t>in</w:t>
      </w:r>
      <w:r w:rsidR="003D640C">
        <w:t xml:space="preserve"> </w:t>
      </w:r>
      <w:r w:rsidRPr="00BB6220">
        <w:t>conversion</w:t>
      </w:r>
      <w:r w:rsidR="003D640C">
        <w:t xml:space="preserve"> </w:t>
      </w:r>
      <w:r w:rsidRPr="00BB6220">
        <w:t>practices</w:t>
      </w:r>
      <w:bookmarkEnd w:id="63"/>
      <w:bookmarkEnd w:id="64"/>
      <w:bookmarkEnd w:id="65"/>
      <w:r w:rsidR="003D640C">
        <w:t xml:space="preserve"> </w:t>
      </w:r>
    </w:p>
    <w:p w14:paraId="5969744A" w14:textId="5AEE470F" w:rsidR="009D7277" w:rsidRPr="00BB6220" w:rsidRDefault="009D7277" w:rsidP="00B50CCE">
      <w:r w:rsidRPr="00BB6220">
        <w:t>While</w:t>
      </w:r>
      <w:r w:rsidR="003D640C">
        <w:t xml:space="preserve"> </w:t>
      </w:r>
      <w:r w:rsidRPr="00BB6220">
        <w:t>some</w:t>
      </w:r>
      <w:r w:rsidR="003D640C">
        <w:t xml:space="preserve"> </w:t>
      </w:r>
      <w:r w:rsidRPr="00BB6220">
        <w:t>people</w:t>
      </w:r>
      <w:r w:rsidR="003D640C">
        <w:t xml:space="preserve"> </w:t>
      </w:r>
      <w:r w:rsidRPr="00BB6220">
        <w:t>may</w:t>
      </w:r>
      <w:r w:rsidR="003D640C">
        <w:t xml:space="preserve"> </w:t>
      </w:r>
      <w:r w:rsidRPr="00BB6220">
        <w:t>be</w:t>
      </w:r>
      <w:r w:rsidR="003D640C">
        <w:t xml:space="preserve"> </w:t>
      </w:r>
      <w:r w:rsidRPr="00BB6220">
        <w:t>forced</w:t>
      </w:r>
      <w:r w:rsidR="003D640C">
        <w:t xml:space="preserve"> </w:t>
      </w:r>
      <w:r w:rsidRPr="00BB6220">
        <w:t>into</w:t>
      </w:r>
      <w:r w:rsidR="003D640C">
        <w:t xml:space="preserve"> </w:t>
      </w:r>
      <w:r w:rsidRPr="00BB6220">
        <w:t>conversion</w:t>
      </w:r>
      <w:r w:rsidR="003D640C">
        <w:t xml:space="preserve"> </w:t>
      </w:r>
      <w:r w:rsidRPr="00BB6220">
        <w:t>practices,</w:t>
      </w:r>
      <w:r w:rsidR="003D640C">
        <w:t xml:space="preserve"> </w:t>
      </w:r>
      <w:r w:rsidRPr="00BB6220">
        <w:t>others</w:t>
      </w:r>
      <w:r w:rsidR="003D640C">
        <w:t xml:space="preserve"> </w:t>
      </w:r>
      <w:r w:rsidRPr="00BB6220">
        <w:t>may</w:t>
      </w:r>
      <w:r w:rsidR="003D640C">
        <w:t xml:space="preserve"> </w:t>
      </w:r>
      <w:r w:rsidRPr="00BB6220">
        <w:t>seek</w:t>
      </w:r>
      <w:r w:rsidR="003D640C">
        <w:t xml:space="preserve"> </w:t>
      </w:r>
      <w:r w:rsidRPr="00BB6220">
        <w:t>them</w:t>
      </w:r>
      <w:r w:rsidR="003D640C">
        <w:t xml:space="preserve"> </w:t>
      </w:r>
      <w:r w:rsidRPr="00BB6220">
        <w:t>out</w:t>
      </w:r>
      <w:r w:rsidR="003D640C">
        <w:t xml:space="preserve"> </w:t>
      </w:r>
      <w:r w:rsidRPr="00BB6220">
        <w:t>for</w:t>
      </w:r>
      <w:r w:rsidR="003D640C">
        <w:t xml:space="preserve"> </w:t>
      </w:r>
      <w:r w:rsidRPr="00BB6220">
        <w:t>themselves.</w:t>
      </w:r>
      <w:r w:rsidR="003D640C">
        <w:t xml:space="preserve"> </w:t>
      </w:r>
      <w:r w:rsidRPr="00BB6220">
        <w:t>People</w:t>
      </w:r>
      <w:r w:rsidR="003D640C">
        <w:t xml:space="preserve"> </w:t>
      </w:r>
      <w:r w:rsidRPr="00BB6220">
        <w:t>are</w:t>
      </w:r>
      <w:r w:rsidR="003D640C">
        <w:t xml:space="preserve"> </w:t>
      </w:r>
      <w:r w:rsidRPr="00BB6220">
        <w:t>motivated</w:t>
      </w:r>
      <w:r w:rsidR="003D640C">
        <w:t xml:space="preserve"> </w:t>
      </w:r>
      <w:r w:rsidRPr="00BB6220">
        <w:t>to</w:t>
      </w:r>
      <w:r w:rsidR="003D640C">
        <w:t xml:space="preserve"> </w:t>
      </w:r>
      <w:r w:rsidRPr="00BB6220">
        <w:t>take</w:t>
      </w:r>
      <w:r w:rsidR="003D640C">
        <w:t xml:space="preserve"> </w:t>
      </w:r>
      <w:r w:rsidRPr="00BB6220">
        <w:t>part</w:t>
      </w:r>
      <w:r w:rsidR="003D640C">
        <w:t xml:space="preserve"> </w:t>
      </w:r>
      <w:r w:rsidRPr="00BB6220">
        <w:t>for</w:t>
      </w:r>
      <w:r w:rsidR="003D640C">
        <w:t xml:space="preserve"> </w:t>
      </w:r>
      <w:r w:rsidRPr="00BB6220">
        <w:t>several</w:t>
      </w:r>
      <w:r w:rsidR="003D640C">
        <w:t xml:space="preserve"> </w:t>
      </w:r>
      <w:r w:rsidRPr="00BB6220">
        <w:t>reasons</w:t>
      </w:r>
      <w:r w:rsidR="003D640C">
        <w:t xml:space="preserve"> </w:t>
      </w:r>
      <w:r w:rsidR="00B950FF">
        <w:t>such as</w:t>
      </w:r>
      <w:r w:rsidRPr="00BB6220">
        <w:t>:</w:t>
      </w:r>
    </w:p>
    <w:p w14:paraId="3D9F1698" w14:textId="5D37A5E8" w:rsidR="009D7277" w:rsidRPr="00BB6220" w:rsidRDefault="009D7277" w:rsidP="00B50CCE">
      <w:pPr>
        <w:pStyle w:val="Bullet"/>
      </w:pPr>
      <w:r>
        <w:t>p</w:t>
      </w:r>
      <w:r w:rsidRPr="00BB6220">
        <w:t>erceived</w:t>
      </w:r>
      <w:r w:rsidR="003D640C">
        <w:t xml:space="preserve"> </w:t>
      </w:r>
      <w:r w:rsidRPr="00BB6220">
        <w:t>incompatibility</w:t>
      </w:r>
      <w:r w:rsidR="003D640C">
        <w:t xml:space="preserve"> </w:t>
      </w:r>
      <w:r w:rsidRPr="00BB6220">
        <w:t>between</w:t>
      </w:r>
      <w:r w:rsidR="003D640C">
        <w:t xml:space="preserve"> </w:t>
      </w:r>
      <w:r w:rsidRPr="00BB6220">
        <w:t>their</w:t>
      </w:r>
      <w:r w:rsidR="003D640C">
        <w:t xml:space="preserve"> </w:t>
      </w:r>
      <w:r w:rsidRPr="00BB6220">
        <w:t>culture</w:t>
      </w:r>
      <w:r w:rsidR="003D640C">
        <w:t xml:space="preserve"> </w:t>
      </w:r>
      <w:r w:rsidRPr="00BB6220">
        <w:t>or</w:t>
      </w:r>
      <w:r w:rsidR="003D640C">
        <w:t xml:space="preserve"> </w:t>
      </w:r>
      <w:r w:rsidRPr="00BB6220">
        <w:t>faith</w:t>
      </w:r>
      <w:r w:rsidR="003D640C">
        <w:t xml:space="preserve"> </w:t>
      </w:r>
      <w:r>
        <w:t>and</w:t>
      </w:r>
      <w:r w:rsidR="003D640C">
        <w:t xml:space="preserve"> </w:t>
      </w:r>
      <w:r w:rsidRPr="00BB6220">
        <w:t>their</w:t>
      </w:r>
      <w:r w:rsidR="003D640C">
        <w:t xml:space="preserve"> </w:t>
      </w:r>
      <w:r w:rsidRPr="00BB6220">
        <w:t>sexual</w:t>
      </w:r>
      <w:r w:rsidR="003D640C">
        <w:t xml:space="preserve"> </w:t>
      </w:r>
      <w:r w:rsidRPr="00BB6220">
        <w:t>orientation,</w:t>
      </w:r>
      <w:r w:rsidR="003D640C">
        <w:t xml:space="preserve"> </w:t>
      </w:r>
      <w:r w:rsidRPr="00BB6220">
        <w:t>gender</w:t>
      </w:r>
      <w:r w:rsidR="003D640C">
        <w:t xml:space="preserve"> </w:t>
      </w:r>
      <w:r w:rsidRPr="00BB6220">
        <w:t>identity</w:t>
      </w:r>
      <w:r w:rsidR="00B950FF">
        <w:t>,</w:t>
      </w:r>
      <w:r w:rsidR="003D640C">
        <w:t xml:space="preserve"> </w:t>
      </w:r>
      <w:r w:rsidRPr="00BB6220">
        <w:t>or</w:t>
      </w:r>
      <w:r w:rsidR="003D640C">
        <w:t xml:space="preserve"> </w:t>
      </w:r>
      <w:r w:rsidRPr="00BB6220">
        <w:t>expression</w:t>
      </w:r>
    </w:p>
    <w:p w14:paraId="1B32ABA6" w14:textId="1CF50C88" w:rsidR="009D7277" w:rsidRPr="00BB6220" w:rsidRDefault="009D7277" w:rsidP="00B50CCE">
      <w:pPr>
        <w:pStyle w:val="Bullet"/>
      </w:pPr>
      <w:r>
        <w:t>a</w:t>
      </w:r>
      <w:r w:rsidR="003D640C">
        <w:t xml:space="preserve"> </w:t>
      </w:r>
      <w:r w:rsidRPr="00BB6220">
        <w:t>feeling</w:t>
      </w:r>
      <w:r w:rsidR="003D640C">
        <w:t xml:space="preserve"> </w:t>
      </w:r>
      <w:r w:rsidRPr="00BB6220">
        <w:t>of</w:t>
      </w:r>
      <w:r w:rsidR="003D640C">
        <w:t xml:space="preserve"> </w:t>
      </w:r>
      <w:r w:rsidRPr="00BB6220">
        <w:t>failing</w:t>
      </w:r>
      <w:r w:rsidR="003D640C">
        <w:t xml:space="preserve"> </w:t>
      </w:r>
      <w:r w:rsidRPr="00BB6220">
        <w:t>oneself</w:t>
      </w:r>
      <w:r w:rsidR="003D640C">
        <w:t xml:space="preserve"> </w:t>
      </w:r>
      <w:r w:rsidRPr="00BB6220">
        <w:t>or</w:t>
      </w:r>
      <w:r w:rsidR="003D640C">
        <w:t xml:space="preserve"> </w:t>
      </w:r>
      <w:r w:rsidRPr="00BB6220">
        <w:t>bringing</w:t>
      </w:r>
      <w:r w:rsidR="003D640C">
        <w:t xml:space="preserve"> </w:t>
      </w:r>
      <w:r w:rsidRPr="00BB6220">
        <w:t>dishonour</w:t>
      </w:r>
      <w:r w:rsidR="003D640C">
        <w:t xml:space="preserve"> </w:t>
      </w:r>
      <w:r w:rsidRPr="00BB6220">
        <w:t>and</w:t>
      </w:r>
      <w:r w:rsidR="003D640C">
        <w:t xml:space="preserve"> </w:t>
      </w:r>
      <w:r w:rsidRPr="00BB6220">
        <w:t>shame</w:t>
      </w:r>
      <w:r w:rsidR="003D640C">
        <w:t xml:space="preserve"> </w:t>
      </w:r>
      <w:r w:rsidRPr="00BB6220">
        <w:t>to</w:t>
      </w:r>
      <w:r w:rsidR="003D640C">
        <w:t xml:space="preserve"> </w:t>
      </w:r>
      <w:r w:rsidRPr="00BB6220">
        <w:t>their</w:t>
      </w:r>
      <w:r w:rsidR="003D640C">
        <w:t xml:space="preserve"> </w:t>
      </w:r>
      <w:r w:rsidRPr="00BB6220">
        <w:t>families</w:t>
      </w:r>
      <w:r w:rsidR="003D640C">
        <w:t xml:space="preserve"> </w:t>
      </w:r>
      <w:r w:rsidRPr="00BB6220">
        <w:t>or</w:t>
      </w:r>
      <w:r w:rsidR="003D640C">
        <w:t xml:space="preserve"> </w:t>
      </w:r>
      <w:r w:rsidRPr="00BB6220">
        <w:t>communities</w:t>
      </w:r>
      <w:r w:rsidR="003D640C">
        <w:t xml:space="preserve"> </w:t>
      </w:r>
      <w:r w:rsidRPr="00BB6220">
        <w:t>if</w:t>
      </w:r>
      <w:r w:rsidR="003D640C">
        <w:t xml:space="preserve"> </w:t>
      </w:r>
      <w:r w:rsidRPr="00BB6220">
        <w:t>they</w:t>
      </w:r>
      <w:r w:rsidR="003D640C">
        <w:t xml:space="preserve"> </w:t>
      </w:r>
      <w:r w:rsidRPr="00BB6220">
        <w:t>cannot</w:t>
      </w:r>
      <w:r w:rsidR="003D640C">
        <w:t xml:space="preserve"> </w:t>
      </w:r>
      <w:r w:rsidRPr="00BB6220">
        <w:t>conform</w:t>
      </w:r>
      <w:r w:rsidR="003D640C">
        <w:t xml:space="preserve"> </w:t>
      </w:r>
      <w:r w:rsidRPr="00BB6220">
        <w:t>to</w:t>
      </w:r>
      <w:r w:rsidR="003D640C">
        <w:t xml:space="preserve"> </w:t>
      </w:r>
      <w:r w:rsidRPr="00BB6220">
        <w:t>heterosexual</w:t>
      </w:r>
      <w:r w:rsidR="003D640C">
        <w:t xml:space="preserve"> </w:t>
      </w:r>
      <w:r w:rsidRPr="00BB6220">
        <w:t>and</w:t>
      </w:r>
      <w:r w:rsidR="003D640C">
        <w:t xml:space="preserve"> </w:t>
      </w:r>
      <w:r w:rsidRPr="00BB6220">
        <w:t>cisgender</w:t>
      </w:r>
      <w:r w:rsidR="003D640C">
        <w:t xml:space="preserve"> </w:t>
      </w:r>
      <w:r w:rsidRPr="00BB6220">
        <w:t>norms</w:t>
      </w:r>
      <w:r w:rsidR="003D640C">
        <w:t xml:space="preserve"> </w:t>
      </w:r>
    </w:p>
    <w:p w14:paraId="01EFBE66" w14:textId="1E93D1E4" w:rsidR="009D7277" w:rsidRPr="00BB6220" w:rsidRDefault="009D7277" w:rsidP="00B50CCE">
      <w:pPr>
        <w:pStyle w:val="Bullet"/>
      </w:pPr>
      <w:r>
        <w:t>f</w:t>
      </w:r>
      <w:r w:rsidRPr="00BB6220">
        <w:t>ear</w:t>
      </w:r>
      <w:r w:rsidR="003D640C">
        <w:t xml:space="preserve"> </w:t>
      </w:r>
      <w:r w:rsidRPr="00BB6220">
        <w:t>of</w:t>
      </w:r>
      <w:r w:rsidR="003D640C">
        <w:t xml:space="preserve"> </w:t>
      </w:r>
      <w:r w:rsidRPr="00BB6220">
        <w:t>rejection</w:t>
      </w:r>
      <w:r w:rsidR="003D640C">
        <w:t xml:space="preserve"> </w:t>
      </w:r>
      <w:r w:rsidRPr="00BB6220">
        <w:t>by</w:t>
      </w:r>
      <w:r w:rsidR="003D640C">
        <w:t xml:space="preserve"> </w:t>
      </w:r>
      <w:r w:rsidRPr="00BB6220">
        <w:t>their</w:t>
      </w:r>
      <w:r w:rsidR="003D640C">
        <w:t xml:space="preserve"> </w:t>
      </w:r>
      <w:r w:rsidRPr="00BB6220">
        <w:t>family</w:t>
      </w:r>
      <w:r w:rsidR="003D640C">
        <w:t xml:space="preserve"> </w:t>
      </w:r>
      <w:r w:rsidRPr="00BB6220">
        <w:t>or</w:t>
      </w:r>
      <w:r w:rsidR="003D640C">
        <w:t xml:space="preserve"> </w:t>
      </w:r>
      <w:r w:rsidRPr="00BB6220">
        <w:t>peers</w:t>
      </w:r>
    </w:p>
    <w:p w14:paraId="65680048" w14:textId="643A8F94" w:rsidR="009D7277" w:rsidRPr="00BB6220" w:rsidRDefault="009D7277" w:rsidP="00B50CCE">
      <w:pPr>
        <w:pStyle w:val="Bullet"/>
      </w:pPr>
      <w:r>
        <w:t>a</w:t>
      </w:r>
      <w:r w:rsidR="003D640C">
        <w:t xml:space="preserve"> </w:t>
      </w:r>
      <w:r w:rsidRPr="00BB6220">
        <w:t>desire</w:t>
      </w:r>
      <w:r w:rsidR="003D640C">
        <w:t xml:space="preserve"> </w:t>
      </w:r>
      <w:r w:rsidRPr="00BB6220">
        <w:t>to</w:t>
      </w:r>
      <w:r w:rsidR="003D640C">
        <w:t xml:space="preserve"> </w:t>
      </w:r>
      <w:r w:rsidRPr="00BB6220">
        <w:t>lead</w:t>
      </w:r>
      <w:r w:rsidR="003D640C">
        <w:t xml:space="preserve"> </w:t>
      </w:r>
      <w:r w:rsidRPr="00BB6220">
        <w:t>a</w:t>
      </w:r>
      <w:r w:rsidR="003D640C">
        <w:t xml:space="preserve"> </w:t>
      </w:r>
      <w:r w:rsidRPr="00BB6220">
        <w:t>‘normal’</w:t>
      </w:r>
      <w:r w:rsidR="003D640C">
        <w:t xml:space="preserve"> </w:t>
      </w:r>
      <w:r w:rsidRPr="00BB6220">
        <w:t>life,</w:t>
      </w:r>
      <w:r w:rsidR="003D640C">
        <w:t xml:space="preserve"> </w:t>
      </w:r>
      <w:r w:rsidRPr="00BB6220">
        <w:t>including</w:t>
      </w:r>
      <w:r w:rsidR="003D640C">
        <w:t xml:space="preserve"> </w:t>
      </w:r>
      <w:r w:rsidRPr="00BB6220">
        <w:t>having</w:t>
      </w:r>
      <w:r w:rsidR="003D640C">
        <w:t xml:space="preserve"> </w:t>
      </w:r>
      <w:r w:rsidRPr="00BB6220">
        <w:t>children</w:t>
      </w:r>
      <w:r w:rsidR="003D640C">
        <w:t xml:space="preserve"> </w:t>
      </w:r>
      <w:r w:rsidRPr="00BB6220">
        <w:t>and</w:t>
      </w:r>
      <w:r w:rsidR="003D640C">
        <w:t xml:space="preserve"> </w:t>
      </w:r>
      <w:r w:rsidRPr="00BB6220">
        <w:t>getting</w:t>
      </w:r>
      <w:r w:rsidR="003D640C">
        <w:t xml:space="preserve"> </w:t>
      </w:r>
      <w:r w:rsidRPr="00BB6220">
        <w:t>married</w:t>
      </w:r>
    </w:p>
    <w:p w14:paraId="61DFB0F5" w14:textId="0020298E" w:rsidR="009D7277" w:rsidRPr="00BB6220" w:rsidRDefault="009D7277" w:rsidP="00B50CCE">
      <w:pPr>
        <w:pStyle w:val="Bullet"/>
      </w:pPr>
      <w:r>
        <w:t>f</w:t>
      </w:r>
      <w:r w:rsidRPr="00BB6220">
        <w:t>inancial</w:t>
      </w:r>
      <w:r w:rsidR="003D640C">
        <w:t xml:space="preserve"> </w:t>
      </w:r>
      <w:r w:rsidRPr="00BB6220">
        <w:t>dependence</w:t>
      </w:r>
      <w:r w:rsidR="003D640C">
        <w:t xml:space="preserve"> </w:t>
      </w:r>
      <w:r w:rsidRPr="00BB6220">
        <w:t>on</w:t>
      </w:r>
      <w:r w:rsidR="003D640C">
        <w:t xml:space="preserve"> </w:t>
      </w:r>
      <w:r w:rsidRPr="00BB6220">
        <w:t>relatives</w:t>
      </w:r>
      <w:r w:rsidR="003D640C">
        <w:t xml:space="preserve"> </w:t>
      </w:r>
      <w:r w:rsidRPr="00BB6220">
        <w:t>or</w:t>
      </w:r>
      <w:r w:rsidR="003D640C">
        <w:t xml:space="preserve"> </w:t>
      </w:r>
      <w:r w:rsidRPr="00BB6220">
        <w:t>others</w:t>
      </w:r>
      <w:r w:rsidR="00B950FF">
        <w:t>.</w:t>
      </w:r>
    </w:p>
    <w:p w14:paraId="5D949FF0" w14:textId="79F9D4CE" w:rsidR="009D7277" w:rsidRPr="00BB6220" w:rsidRDefault="009D7277" w:rsidP="00FA0175">
      <w:pPr>
        <w:pStyle w:val="Quote"/>
      </w:pPr>
      <w:r w:rsidRPr="00BB6220">
        <w:t>“I</w:t>
      </w:r>
      <w:r w:rsidR="003D640C">
        <w:t xml:space="preserve"> </w:t>
      </w:r>
      <w:r w:rsidRPr="00BB6220">
        <w:t>wanted</w:t>
      </w:r>
      <w:r w:rsidR="003D640C">
        <w:t xml:space="preserve"> </w:t>
      </w:r>
      <w:r w:rsidRPr="00BB6220">
        <w:t>so</w:t>
      </w:r>
      <w:r w:rsidR="003D640C">
        <w:t xml:space="preserve"> </w:t>
      </w:r>
      <w:r w:rsidRPr="00BB6220">
        <w:t>desperately</w:t>
      </w:r>
      <w:r w:rsidR="003D640C">
        <w:t xml:space="preserve"> </w:t>
      </w:r>
      <w:r w:rsidRPr="00BB6220">
        <w:t>to</w:t>
      </w:r>
      <w:r w:rsidR="003D640C">
        <w:t xml:space="preserve"> </w:t>
      </w:r>
      <w:r w:rsidRPr="00BB6220">
        <w:t>feel</w:t>
      </w:r>
      <w:r w:rsidR="003D640C">
        <w:t xml:space="preserve"> </w:t>
      </w:r>
      <w:r w:rsidRPr="00BB6220">
        <w:t>normal</w:t>
      </w:r>
      <w:r w:rsidR="003D640C">
        <w:t xml:space="preserve"> </w:t>
      </w:r>
      <w:r w:rsidRPr="00BB6220">
        <w:t>that</w:t>
      </w:r>
      <w:r w:rsidR="003D640C">
        <w:t xml:space="preserve"> </w:t>
      </w:r>
      <w:r w:rsidRPr="00BB6220">
        <w:t>I</w:t>
      </w:r>
      <w:r w:rsidR="003D640C">
        <w:t xml:space="preserve"> </w:t>
      </w:r>
      <w:r w:rsidRPr="00BB6220">
        <w:t>was</w:t>
      </w:r>
      <w:r w:rsidR="003D640C">
        <w:t xml:space="preserve"> </w:t>
      </w:r>
      <w:r w:rsidRPr="00BB6220">
        <w:t>willing</w:t>
      </w:r>
      <w:r w:rsidR="003D640C">
        <w:t xml:space="preserve"> </w:t>
      </w:r>
      <w:r w:rsidRPr="00BB6220">
        <w:t>to</w:t>
      </w:r>
      <w:r w:rsidR="003D640C">
        <w:t xml:space="preserve"> </w:t>
      </w:r>
      <w:r w:rsidRPr="00BB6220">
        <w:t>try</w:t>
      </w:r>
      <w:r w:rsidR="003D640C">
        <w:t xml:space="preserve"> </w:t>
      </w:r>
      <w:r w:rsidRPr="00BB6220">
        <w:t>anything.”</w:t>
      </w:r>
      <w:r w:rsidR="003D640C">
        <w:t xml:space="preserve"> </w:t>
      </w:r>
      <w:r w:rsidRPr="00BB6220">
        <w:t>P</w:t>
      </w:r>
      <w:r w:rsidRPr="00BB6220">
        <w:rPr>
          <w:rFonts w:cstheme="minorHAnsi"/>
        </w:rPr>
        <w:t>ā</w:t>
      </w:r>
      <w:r w:rsidRPr="00BB6220">
        <w:t>keh</w:t>
      </w:r>
      <w:r w:rsidRPr="00BB6220">
        <w:rPr>
          <w:rFonts w:cstheme="minorHAnsi"/>
        </w:rPr>
        <w:t>ā</w:t>
      </w:r>
      <w:r w:rsidRPr="00BB6220">
        <w:t>,</w:t>
      </w:r>
      <w:r w:rsidR="003D640C">
        <w:t xml:space="preserve"> </w:t>
      </w:r>
      <w:r w:rsidRPr="00BB6220">
        <w:t>male</w:t>
      </w:r>
    </w:p>
    <w:p w14:paraId="29C89A79" w14:textId="28025EAB" w:rsidR="009D7277" w:rsidRDefault="009D7277" w:rsidP="00B50CCE">
      <w:r w:rsidRPr="00BB6220">
        <w:t>In</w:t>
      </w:r>
      <w:r w:rsidR="003D640C">
        <w:t xml:space="preserve"> </w:t>
      </w:r>
      <w:r w:rsidRPr="00BB6220">
        <w:t>some</w:t>
      </w:r>
      <w:r w:rsidR="003D640C">
        <w:t xml:space="preserve"> </w:t>
      </w:r>
      <w:r w:rsidRPr="00BB6220" w:rsidDel="00A148DF">
        <w:t>instances</w:t>
      </w:r>
      <w:r w:rsidR="00A66C93">
        <w:t>,</w:t>
      </w:r>
      <w:r w:rsidR="003D640C">
        <w:t xml:space="preserve"> </w:t>
      </w:r>
      <w:r w:rsidRPr="00BB6220">
        <w:t>family</w:t>
      </w:r>
      <w:r w:rsidR="003D640C">
        <w:t xml:space="preserve"> </w:t>
      </w:r>
      <w:r w:rsidRPr="00BB6220">
        <w:t>members</w:t>
      </w:r>
      <w:r w:rsidR="003D640C">
        <w:t xml:space="preserve"> </w:t>
      </w:r>
      <w:r w:rsidRPr="00BB6220">
        <w:t>will</w:t>
      </w:r>
      <w:r w:rsidR="003D640C">
        <w:t xml:space="preserve"> </w:t>
      </w:r>
      <w:r w:rsidRPr="00BB6220">
        <w:t>seek</w:t>
      </w:r>
      <w:r w:rsidR="003D640C">
        <w:t xml:space="preserve"> </w:t>
      </w:r>
      <w:r w:rsidRPr="00BB6220" w:rsidDel="006121E9">
        <w:t>c</w:t>
      </w:r>
      <w:r w:rsidRPr="00BB6220">
        <w:t>onversion</w:t>
      </w:r>
      <w:r w:rsidR="003D640C">
        <w:t xml:space="preserve"> </w:t>
      </w:r>
      <w:r w:rsidRPr="00BB6220">
        <w:t>practices</w:t>
      </w:r>
      <w:r w:rsidR="003D640C">
        <w:t xml:space="preserve"> </w:t>
      </w:r>
      <w:r w:rsidRPr="00BB6220">
        <w:t>for</w:t>
      </w:r>
      <w:r w:rsidR="003D640C">
        <w:t xml:space="preserve"> </w:t>
      </w:r>
      <w:r w:rsidRPr="00BB6220">
        <w:t>other</w:t>
      </w:r>
      <w:r w:rsidR="003D640C">
        <w:t xml:space="preserve"> </w:t>
      </w:r>
      <w:r w:rsidRPr="00BB6220">
        <w:t>family</w:t>
      </w:r>
      <w:r w:rsidR="003D640C">
        <w:t xml:space="preserve"> </w:t>
      </w:r>
      <w:r w:rsidRPr="00BB6220">
        <w:t>members</w:t>
      </w:r>
      <w:r w:rsidR="003D640C">
        <w:t xml:space="preserve"> </w:t>
      </w:r>
      <w:r w:rsidRPr="00BB6220">
        <w:t>due</w:t>
      </w:r>
      <w:r w:rsidR="003D640C">
        <w:t xml:space="preserve"> </w:t>
      </w:r>
      <w:r w:rsidRPr="00BB6220">
        <w:t>to</w:t>
      </w:r>
      <w:r w:rsidR="003D640C">
        <w:t xml:space="preserve"> </w:t>
      </w:r>
      <w:r w:rsidRPr="00BB6220">
        <w:t>the</w:t>
      </w:r>
      <w:r w:rsidR="003D640C">
        <w:t xml:space="preserve"> </w:t>
      </w:r>
      <w:r w:rsidRPr="00BB6220">
        <w:t>concern</w:t>
      </w:r>
      <w:r w:rsidR="003D640C">
        <w:t xml:space="preserve"> </w:t>
      </w:r>
      <w:r w:rsidRPr="00BB6220">
        <w:t>that</w:t>
      </w:r>
      <w:r w:rsidR="003D640C">
        <w:t xml:space="preserve"> </w:t>
      </w:r>
      <w:r w:rsidRPr="00BB6220">
        <w:t>being</w:t>
      </w:r>
      <w:r w:rsidR="003D640C">
        <w:t xml:space="preserve"> </w:t>
      </w:r>
      <w:r w:rsidRPr="00BB6220">
        <w:t>Rainbow,</w:t>
      </w:r>
      <w:r w:rsidR="003D640C">
        <w:t xml:space="preserve"> </w:t>
      </w:r>
      <w:r w:rsidRPr="00BB6220">
        <w:t>takatāpui</w:t>
      </w:r>
      <w:r w:rsidR="00B950FF">
        <w:t>,</w:t>
      </w:r>
      <w:r w:rsidR="003D640C">
        <w:t xml:space="preserve"> </w:t>
      </w:r>
      <w:r w:rsidRPr="00BB6220">
        <w:t>or</w:t>
      </w:r>
      <w:r w:rsidR="003D640C">
        <w:t xml:space="preserve"> </w:t>
      </w:r>
      <w:r w:rsidRPr="00BB6220">
        <w:t>MVPFAFF+</w:t>
      </w:r>
      <w:r w:rsidR="003D640C">
        <w:t xml:space="preserve"> </w:t>
      </w:r>
      <w:r w:rsidRPr="00BB6220">
        <w:t>will</w:t>
      </w:r>
      <w:r w:rsidR="003D640C">
        <w:t xml:space="preserve"> </w:t>
      </w:r>
      <w:r w:rsidRPr="00BB6220">
        <w:t>make</w:t>
      </w:r>
      <w:r w:rsidR="003D640C">
        <w:t xml:space="preserve"> </w:t>
      </w:r>
      <w:r w:rsidRPr="00BB6220">
        <w:t>th</w:t>
      </w:r>
      <w:r>
        <w:t>at</w:t>
      </w:r>
      <w:r w:rsidR="003D640C">
        <w:t xml:space="preserve"> </w:t>
      </w:r>
      <w:r w:rsidRPr="00BB6220">
        <w:t>person’s</w:t>
      </w:r>
      <w:r w:rsidR="003D640C">
        <w:t xml:space="preserve"> </w:t>
      </w:r>
      <w:r w:rsidRPr="00BB6220">
        <w:t>life</w:t>
      </w:r>
      <w:r w:rsidR="003D640C">
        <w:t xml:space="preserve"> </w:t>
      </w:r>
      <w:r w:rsidRPr="00BB6220">
        <w:t>difficult</w:t>
      </w:r>
      <w:r w:rsidR="003D640C">
        <w:t xml:space="preserve"> </w:t>
      </w:r>
      <w:r w:rsidRPr="00BB6220">
        <w:t>or</w:t>
      </w:r>
      <w:r w:rsidR="003D640C">
        <w:t xml:space="preserve"> </w:t>
      </w:r>
      <w:r w:rsidRPr="00BB6220">
        <w:t>unhappy.</w:t>
      </w:r>
      <w:r w:rsidR="003D640C">
        <w:t xml:space="preserve"> </w:t>
      </w:r>
    </w:p>
    <w:p w14:paraId="0FDAD719" w14:textId="643C5AA7" w:rsidR="009D7277" w:rsidRPr="00BB6220" w:rsidRDefault="009D7277" w:rsidP="00B50CCE">
      <w:pPr>
        <w:pStyle w:val="Heading2"/>
      </w:pPr>
      <w:bookmarkStart w:id="66" w:name="_Toc167780580"/>
      <w:bookmarkStart w:id="67" w:name="_Toc1840127491"/>
      <w:bookmarkStart w:id="68" w:name="_Toc174628638"/>
      <w:r w:rsidRPr="00BB6220">
        <w:t>Examples</w:t>
      </w:r>
      <w:r w:rsidR="003D640C">
        <w:t xml:space="preserve"> </w:t>
      </w:r>
      <w:r w:rsidRPr="00BB6220">
        <w:t>of</w:t>
      </w:r>
      <w:r w:rsidR="003D640C">
        <w:t xml:space="preserve"> </w:t>
      </w:r>
      <w:r w:rsidRPr="00BB6220">
        <w:t>conversion</w:t>
      </w:r>
      <w:r w:rsidR="003D640C">
        <w:t xml:space="preserve"> </w:t>
      </w:r>
      <w:r w:rsidRPr="00BB6220">
        <w:t>practices</w:t>
      </w:r>
      <w:bookmarkEnd w:id="66"/>
      <w:bookmarkEnd w:id="67"/>
      <w:bookmarkEnd w:id="68"/>
    </w:p>
    <w:p w14:paraId="597A83F7" w14:textId="61096FF7" w:rsidR="009D7277" w:rsidRPr="00BB6220" w:rsidRDefault="009D7277" w:rsidP="00B50CCE">
      <w:r w:rsidRPr="00BB6220">
        <w:t>Conversion</w:t>
      </w:r>
      <w:r w:rsidR="003D640C">
        <w:t xml:space="preserve"> </w:t>
      </w:r>
      <w:r w:rsidRPr="00BB6220">
        <w:t>practices</w:t>
      </w:r>
      <w:r w:rsidR="003D640C">
        <w:t xml:space="preserve"> </w:t>
      </w:r>
      <w:r w:rsidRPr="00BB6220">
        <w:t>take</w:t>
      </w:r>
      <w:r w:rsidR="003D640C">
        <w:t xml:space="preserve"> </w:t>
      </w:r>
      <w:r w:rsidRPr="00BB6220">
        <w:t>many</w:t>
      </w:r>
      <w:r w:rsidR="003D640C">
        <w:t xml:space="preserve"> </w:t>
      </w:r>
      <w:r w:rsidRPr="00BB6220">
        <w:t>different</w:t>
      </w:r>
      <w:r w:rsidR="003D640C">
        <w:t xml:space="preserve"> </w:t>
      </w:r>
      <w:r w:rsidRPr="00BB6220">
        <w:t>forms</w:t>
      </w:r>
      <w:r w:rsidR="003D640C">
        <w:t xml:space="preserve"> </w:t>
      </w:r>
      <w:r w:rsidRPr="00BB6220" w:rsidDel="009123B2">
        <w:t>and</w:t>
      </w:r>
      <w:r w:rsidR="003D640C">
        <w:t xml:space="preserve"> </w:t>
      </w:r>
      <w:r w:rsidRPr="00BB6220" w:rsidDel="009123B2">
        <w:t>can</w:t>
      </w:r>
      <w:r w:rsidR="003D640C">
        <w:t xml:space="preserve"> </w:t>
      </w:r>
      <w:r w:rsidDel="009123B2">
        <w:t>include</w:t>
      </w:r>
      <w:r w:rsidR="003D640C">
        <w:t xml:space="preserve"> </w:t>
      </w:r>
      <w:r w:rsidRPr="00BB6220" w:rsidDel="009123B2">
        <w:t>several</w:t>
      </w:r>
      <w:r w:rsidR="003D640C">
        <w:t xml:space="preserve"> </w:t>
      </w:r>
      <w:r w:rsidRPr="00BB6220" w:rsidDel="009123B2">
        <w:t>different</w:t>
      </w:r>
      <w:r w:rsidR="003D640C">
        <w:t xml:space="preserve"> </w:t>
      </w:r>
      <w:r w:rsidRPr="00BB6220" w:rsidDel="009123B2">
        <w:t>techniques</w:t>
      </w:r>
      <w:r w:rsidRPr="00BB6220">
        <w:t>.</w:t>
      </w:r>
      <w:r w:rsidR="003D640C">
        <w:t xml:space="preserve"> </w:t>
      </w:r>
      <w:r w:rsidRPr="00BB6220">
        <w:t>They</w:t>
      </w:r>
      <w:r w:rsidR="003D640C">
        <w:t xml:space="preserve"> </w:t>
      </w:r>
      <w:r w:rsidRPr="00BB6220">
        <w:t>can</w:t>
      </w:r>
      <w:r w:rsidR="003D640C">
        <w:t xml:space="preserve"> </w:t>
      </w:r>
      <w:r w:rsidRPr="00BB6220">
        <w:t>be</w:t>
      </w:r>
      <w:r w:rsidR="003D640C">
        <w:t xml:space="preserve"> </w:t>
      </w:r>
      <w:r w:rsidRPr="00BB6220">
        <w:t>formal</w:t>
      </w:r>
      <w:r w:rsidR="003D640C">
        <w:t xml:space="preserve"> </w:t>
      </w:r>
      <w:r w:rsidRPr="00BB6220">
        <w:t>and</w:t>
      </w:r>
      <w:r w:rsidR="003D640C">
        <w:t xml:space="preserve"> </w:t>
      </w:r>
      <w:r w:rsidRPr="00BB6220">
        <w:t>informal,</w:t>
      </w:r>
      <w:r w:rsidR="003D640C">
        <w:t xml:space="preserve"> </w:t>
      </w:r>
      <w:r w:rsidRPr="00BB6220">
        <w:t>and</w:t>
      </w:r>
      <w:r w:rsidR="003D640C">
        <w:t xml:space="preserve"> </w:t>
      </w:r>
      <w:r w:rsidRPr="00BB6220">
        <w:t>include</w:t>
      </w:r>
      <w:r w:rsidR="003D640C">
        <w:t xml:space="preserve"> </w:t>
      </w:r>
      <w:r w:rsidRPr="00BB6220">
        <w:t>practices</w:t>
      </w:r>
      <w:r w:rsidR="003D640C">
        <w:t xml:space="preserve"> </w:t>
      </w:r>
      <w:r w:rsidRPr="00BB6220">
        <w:t>directed</w:t>
      </w:r>
      <w:r w:rsidR="003D640C">
        <w:t xml:space="preserve"> </w:t>
      </w:r>
      <w:r w:rsidRPr="00BB6220">
        <w:t>by</w:t>
      </w:r>
      <w:r w:rsidR="003D640C">
        <w:t xml:space="preserve"> </w:t>
      </w:r>
      <w:r w:rsidRPr="00BB6220">
        <w:t>others</w:t>
      </w:r>
      <w:r w:rsidR="003D640C">
        <w:t xml:space="preserve"> </w:t>
      </w:r>
      <w:r w:rsidRPr="00BB6220">
        <w:t>or</w:t>
      </w:r>
      <w:r w:rsidR="003D640C">
        <w:t xml:space="preserve"> </w:t>
      </w:r>
      <w:r w:rsidRPr="00BB6220">
        <w:t>self-imposed.</w:t>
      </w:r>
      <w:r w:rsidR="003D640C">
        <w:t xml:space="preserve"> </w:t>
      </w:r>
      <w:r w:rsidRPr="00BB6220">
        <w:t>The</w:t>
      </w:r>
      <w:r w:rsidR="003D640C">
        <w:t xml:space="preserve"> </w:t>
      </w:r>
      <w:r w:rsidRPr="00BB6220">
        <w:t>common</w:t>
      </w:r>
      <w:r w:rsidR="003D640C">
        <w:t xml:space="preserve"> </w:t>
      </w:r>
      <w:r w:rsidRPr="00BB6220">
        <w:t>misunderstanding</w:t>
      </w:r>
      <w:r w:rsidR="003D640C">
        <w:t xml:space="preserve"> </w:t>
      </w:r>
      <w:r w:rsidRPr="00BB6220">
        <w:t>that</w:t>
      </w:r>
      <w:r w:rsidR="003D640C">
        <w:t xml:space="preserve"> </w:t>
      </w:r>
      <w:r w:rsidRPr="00BB6220">
        <w:t>conversion</w:t>
      </w:r>
      <w:r w:rsidR="003D640C">
        <w:t xml:space="preserve"> </w:t>
      </w:r>
      <w:r w:rsidRPr="00BB6220">
        <w:t>practices</w:t>
      </w:r>
      <w:r w:rsidR="003D640C">
        <w:t xml:space="preserve"> </w:t>
      </w:r>
      <w:r w:rsidRPr="00BB6220">
        <w:t>can</w:t>
      </w:r>
      <w:r w:rsidR="003D640C">
        <w:t xml:space="preserve"> </w:t>
      </w:r>
      <w:r w:rsidRPr="00BB6220">
        <w:t>only</w:t>
      </w:r>
      <w:r w:rsidR="003D640C">
        <w:t xml:space="preserve"> </w:t>
      </w:r>
      <w:r w:rsidRPr="00BB6220">
        <w:t>occur</w:t>
      </w:r>
      <w:r w:rsidR="003D640C">
        <w:t xml:space="preserve"> </w:t>
      </w:r>
      <w:r w:rsidRPr="00BB6220">
        <w:t>formally</w:t>
      </w:r>
      <w:r w:rsidR="003D640C">
        <w:t xml:space="preserve"> </w:t>
      </w:r>
      <w:r w:rsidRPr="00BB6220">
        <w:t>means</w:t>
      </w:r>
      <w:r w:rsidR="003D640C">
        <w:t xml:space="preserve"> </w:t>
      </w:r>
      <w:r w:rsidRPr="00BB6220">
        <w:t>survivors</w:t>
      </w:r>
      <w:r w:rsidR="003D640C">
        <w:t xml:space="preserve"> </w:t>
      </w:r>
      <w:r w:rsidRPr="00BB6220">
        <w:t>themselves</w:t>
      </w:r>
      <w:r w:rsidR="003D640C">
        <w:t xml:space="preserve"> </w:t>
      </w:r>
      <w:r w:rsidRPr="00BB6220">
        <w:t>may</w:t>
      </w:r>
      <w:r w:rsidR="003D640C">
        <w:t xml:space="preserve"> </w:t>
      </w:r>
      <w:r w:rsidRPr="00BB6220">
        <w:t>not</w:t>
      </w:r>
      <w:r w:rsidR="003D640C">
        <w:t xml:space="preserve"> </w:t>
      </w:r>
      <w:r w:rsidRPr="00BB6220">
        <w:t>recognise</w:t>
      </w:r>
      <w:r w:rsidR="003D640C">
        <w:t xml:space="preserve"> </w:t>
      </w:r>
      <w:r w:rsidRPr="00BB6220">
        <w:t>their</w:t>
      </w:r>
      <w:r w:rsidR="003D640C">
        <w:t xml:space="preserve"> </w:t>
      </w:r>
      <w:r w:rsidRPr="00BB6220">
        <w:t>experiences</w:t>
      </w:r>
      <w:r w:rsidR="003D640C">
        <w:t xml:space="preserve"> </w:t>
      </w:r>
      <w:r w:rsidRPr="00BB6220">
        <w:t>as</w:t>
      </w:r>
      <w:r w:rsidR="003D640C">
        <w:t xml:space="preserve"> </w:t>
      </w:r>
      <w:r w:rsidRPr="00BB6220">
        <w:t>conversion</w:t>
      </w:r>
      <w:r w:rsidR="003D640C">
        <w:t xml:space="preserve"> </w:t>
      </w:r>
      <w:r w:rsidRPr="00BB6220">
        <w:t>practices</w:t>
      </w:r>
      <w:r w:rsidR="003D640C">
        <w:t xml:space="preserve"> </w:t>
      </w:r>
      <w:r w:rsidRPr="00BB6220">
        <w:t>or</w:t>
      </w:r>
      <w:r w:rsidR="003D640C">
        <w:t xml:space="preserve"> </w:t>
      </w:r>
      <w:r w:rsidRPr="00BB6220">
        <w:t>have</w:t>
      </w:r>
      <w:r w:rsidR="003D640C">
        <w:t xml:space="preserve"> </w:t>
      </w:r>
      <w:r w:rsidRPr="00BB6220">
        <w:t>the</w:t>
      </w:r>
      <w:r w:rsidR="003D640C">
        <w:t xml:space="preserve"> </w:t>
      </w:r>
      <w:r w:rsidRPr="00BB6220">
        <w:t>language</w:t>
      </w:r>
      <w:r w:rsidR="003D640C">
        <w:t xml:space="preserve"> </w:t>
      </w:r>
      <w:r w:rsidRPr="00BB6220">
        <w:t>to</w:t>
      </w:r>
      <w:r w:rsidR="003D640C">
        <w:t xml:space="preserve"> </w:t>
      </w:r>
      <w:r w:rsidRPr="00BB6220">
        <w:t>clearly</w:t>
      </w:r>
      <w:r w:rsidR="003D640C">
        <w:t xml:space="preserve"> </w:t>
      </w:r>
      <w:r>
        <w:t>explain</w:t>
      </w:r>
      <w:r w:rsidR="003D640C">
        <w:t xml:space="preserve"> </w:t>
      </w:r>
      <w:r w:rsidRPr="00BB6220">
        <w:t>what</w:t>
      </w:r>
      <w:r w:rsidR="003D640C">
        <w:t xml:space="preserve"> </w:t>
      </w:r>
      <w:r w:rsidRPr="00BB6220">
        <w:t>happened</w:t>
      </w:r>
      <w:r w:rsidR="003D640C">
        <w:t xml:space="preserve"> </w:t>
      </w:r>
      <w:r w:rsidRPr="00BB6220">
        <w:t>to</w:t>
      </w:r>
      <w:r w:rsidR="003D640C">
        <w:t xml:space="preserve"> </w:t>
      </w:r>
      <w:r w:rsidRPr="00BB6220">
        <w:t>them.</w:t>
      </w:r>
      <w:r w:rsidR="003D640C">
        <w:t xml:space="preserve"> </w:t>
      </w:r>
    </w:p>
    <w:p w14:paraId="4C25892D" w14:textId="5DD8BC2D" w:rsidR="009D7277" w:rsidRPr="00BB6220" w:rsidRDefault="009D7277" w:rsidP="00B50CCE">
      <w:r w:rsidRPr="00BB6220">
        <w:t>Often</w:t>
      </w:r>
      <w:r w:rsidR="00B950FF">
        <w:t>,</w:t>
      </w:r>
      <w:r w:rsidR="003D640C">
        <w:t xml:space="preserve"> </w:t>
      </w:r>
      <w:r w:rsidRPr="00BB6220">
        <w:t>conversion</w:t>
      </w:r>
      <w:r w:rsidR="003D640C">
        <w:t xml:space="preserve"> </w:t>
      </w:r>
      <w:r w:rsidRPr="00BB6220">
        <w:t>practices</w:t>
      </w:r>
      <w:r w:rsidR="003D640C">
        <w:t xml:space="preserve"> </w:t>
      </w:r>
      <w:r w:rsidRPr="00BB6220">
        <w:t>are</w:t>
      </w:r>
      <w:r w:rsidR="003D640C">
        <w:t xml:space="preserve"> </w:t>
      </w:r>
      <w:r w:rsidRPr="00BB6220">
        <w:t>difficult</w:t>
      </w:r>
      <w:r w:rsidR="003D640C">
        <w:t xml:space="preserve"> </w:t>
      </w:r>
      <w:r w:rsidRPr="00BB6220">
        <w:t>to</w:t>
      </w:r>
      <w:r w:rsidR="003D640C">
        <w:t xml:space="preserve"> </w:t>
      </w:r>
      <w:r w:rsidRPr="00BB6220">
        <w:t>recognise</w:t>
      </w:r>
      <w:r w:rsidR="003D640C">
        <w:t xml:space="preserve"> </w:t>
      </w:r>
      <w:r w:rsidRPr="00BB6220">
        <w:t>because,</w:t>
      </w:r>
      <w:r w:rsidR="003D640C">
        <w:t xml:space="preserve"> </w:t>
      </w:r>
      <w:r w:rsidRPr="00BB6220">
        <w:t>at</w:t>
      </w:r>
      <w:r w:rsidR="003D640C">
        <w:t xml:space="preserve"> </w:t>
      </w:r>
      <w:r w:rsidRPr="00BB6220">
        <w:t>face</w:t>
      </w:r>
      <w:r w:rsidR="003D640C">
        <w:t xml:space="preserve"> </w:t>
      </w:r>
      <w:r w:rsidRPr="00BB6220">
        <w:t>value,</w:t>
      </w:r>
      <w:r w:rsidR="003D640C">
        <w:t xml:space="preserve"> </w:t>
      </w:r>
      <w:r w:rsidRPr="00BB6220">
        <w:t>the</w:t>
      </w:r>
      <w:r w:rsidR="003D640C">
        <w:t xml:space="preserve"> </w:t>
      </w:r>
      <w:r w:rsidRPr="00BB6220">
        <w:t>forms</w:t>
      </w:r>
      <w:r w:rsidR="003D640C">
        <w:t xml:space="preserve"> </w:t>
      </w:r>
      <w:r w:rsidRPr="00BB6220">
        <w:t>they</w:t>
      </w:r>
      <w:r w:rsidR="003D640C">
        <w:t xml:space="preserve"> </w:t>
      </w:r>
      <w:r w:rsidRPr="00BB6220">
        <w:t>take</w:t>
      </w:r>
      <w:r w:rsidR="003D640C">
        <w:t xml:space="preserve"> </w:t>
      </w:r>
      <w:r w:rsidRPr="00BB6220">
        <w:t>appear</w:t>
      </w:r>
      <w:r w:rsidR="003D640C">
        <w:t xml:space="preserve"> </w:t>
      </w:r>
      <w:r w:rsidRPr="00BB6220">
        <w:t>to</w:t>
      </w:r>
      <w:r w:rsidR="003D640C">
        <w:t xml:space="preserve"> </w:t>
      </w:r>
      <w:r w:rsidRPr="00BB6220">
        <w:t>be</w:t>
      </w:r>
      <w:r w:rsidR="003D640C">
        <w:t xml:space="preserve"> </w:t>
      </w:r>
      <w:r w:rsidRPr="00BB6220">
        <w:t>neutral</w:t>
      </w:r>
      <w:r w:rsidR="003D640C">
        <w:t xml:space="preserve"> </w:t>
      </w:r>
      <w:r w:rsidRPr="00BB6220">
        <w:t>and</w:t>
      </w:r>
      <w:r w:rsidR="003D640C">
        <w:t xml:space="preserve"> </w:t>
      </w:r>
      <w:r w:rsidRPr="00BB6220">
        <w:t>generally</w:t>
      </w:r>
      <w:r w:rsidR="003D640C">
        <w:t xml:space="preserve"> </w:t>
      </w:r>
      <w:r w:rsidRPr="00BB6220">
        <w:t>have</w:t>
      </w:r>
      <w:r w:rsidR="003D640C">
        <w:t xml:space="preserve"> </w:t>
      </w:r>
      <w:r w:rsidRPr="00BB6220">
        <w:t>positive</w:t>
      </w:r>
      <w:r w:rsidR="003D640C">
        <w:t xml:space="preserve"> </w:t>
      </w:r>
      <w:r w:rsidRPr="00BB6220">
        <w:t>associations</w:t>
      </w:r>
      <w:r w:rsidR="003D640C">
        <w:t xml:space="preserve"> </w:t>
      </w:r>
      <w:r w:rsidR="00B950FF">
        <w:t>such as</w:t>
      </w:r>
      <w:r w:rsidR="003D640C">
        <w:t xml:space="preserve"> </w:t>
      </w:r>
      <w:r w:rsidRPr="00BB6220">
        <w:t>group</w:t>
      </w:r>
      <w:r w:rsidR="003D640C">
        <w:t xml:space="preserve"> </w:t>
      </w:r>
      <w:r w:rsidRPr="00BB6220">
        <w:t>study,</w:t>
      </w:r>
      <w:r w:rsidR="003D640C">
        <w:t xml:space="preserve"> </w:t>
      </w:r>
      <w:r w:rsidRPr="00BB6220">
        <w:t>mentoring</w:t>
      </w:r>
      <w:r w:rsidR="003D640C">
        <w:t xml:space="preserve"> </w:t>
      </w:r>
      <w:r w:rsidRPr="00BB6220">
        <w:t>and</w:t>
      </w:r>
      <w:r w:rsidR="003D640C">
        <w:t xml:space="preserve"> </w:t>
      </w:r>
      <w:r w:rsidRPr="00BB6220">
        <w:t>counselling,</w:t>
      </w:r>
      <w:r w:rsidR="003D640C">
        <w:t xml:space="preserve"> </w:t>
      </w:r>
      <w:r w:rsidRPr="00BB6220">
        <w:t>or</w:t>
      </w:r>
      <w:r w:rsidR="003D640C">
        <w:t xml:space="preserve"> </w:t>
      </w:r>
      <w:r w:rsidRPr="00BB6220">
        <w:t>camps</w:t>
      </w:r>
      <w:r w:rsidR="003D640C">
        <w:t xml:space="preserve"> </w:t>
      </w:r>
      <w:r w:rsidRPr="00BB6220">
        <w:t>and</w:t>
      </w:r>
      <w:r w:rsidR="003D640C">
        <w:t xml:space="preserve"> </w:t>
      </w:r>
      <w:r w:rsidRPr="00BB6220">
        <w:t>courses.</w:t>
      </w:r>
      <w:r w:rsidR="003D640C">
        <w:t xml:space="preserve"> </w:t>
      </w:r>
    </w:p>
    <w:p w14:paraId="570C5325" w14:textId="18FAFBD4" w:rsidR="009D7277" w:rsidRPr="00BB6220" w:rsidRDefault="009D7277" w:rsidP="00B50CCE">
      <w:r w:rsidRPr="00BB6220">
        <w:t>Other</w:t>
      </w:r>
      <w:r w:rsidR="003D640C">
        <w:t xml:space="preserve"> </w:t>
      </w:r>
      <w:r w:rsidRPr="00BB6220">
        <w:t>forms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are</w:t>
      </w:r>
      <w:r w:rsidR="003D640C">
        <w:t xml:space="preserve"> </w:t>
      </w:r>
      <w:r>
        <w:t>easier</w:t>
      </w:r>
      <w:r w:rsidR="003D640C">
        <w:t xml:space="preserve"> </w:t>
      </w:r>
      <w:r>
        <w:t>to</w:t>
      </w:r>
      <w:r w:rsidR="003D640C">
        <w:t xml:space="preserve"> </w:t>
      </w:r>
      <w:r>
        <w:t>identify</w:t>
      </w:r>
      <w:r w:rsidR="003D640C">
        <w:t xml:space="preserve"> </w:t>
      </w:r>
      <w:r w:rsidRPr="00BB6220">
        <w:t>as</w:t>
      </w:r>
      <w:r w:rsidR="003D640C">
        <w:t xml:space="preserve"> </w:t>
      </w:r>
      <w:r w:rsidR="00B17215">
        <w:t>they</w:t>
      </w:r>
      <w:r w:rsidR="003D640C">
        <w:t xml:space="preserve"> </w:t>
      </w:r>
      <w:r w:rsidR="00B17215">
        <w:t>are</w:t>
      </w:r>
      <w:r w:rsidR="003D640C">
        <w:t xml:space="preserve"> </w:t>
      </w:r>
      <w:r w:rsidR="00B17215">
        <w:t>more</w:t>
      </w:r>
      <w:r w:rsidR="003D640C">
        <w:t xml:space="preserve"> </w:t>
      </w:r>
      <w:r w:rsidR="00B17215">
        <w:t>commonly</w:t>
      </w:r>
      <w:r w:rsidR="003D640C">
        <w:t xml:space="preserve"> </w:t>
      </w:r>
      <w:r w:rsidR="00B17215">
        <w:t>recognised</w:t>
      </w:r>
      <w:r w:rsidR="003D640C">
        <w:t xml:space="preserve"> </w:t>
      </w:r>
      <w:r w:rsidR="00B17215">
        <w:t>and</w:t>
      </w:r>
      <w:r w:rsidR="003D640C">
        <w:t xml:space="preserve"> </w:t>
      </w:r>
      <w:r w:rsidR="00B17215">
        <w:t>understood</w:t>
      </w:r>
      <w:r w:rsidR="003D640C">
        <w:t xml:space="preserve"> </w:t>
      </w:r>
      <w:r w:rsidR="00B17215">
        <w:t>forms</w:t>
      </w:r>
      <w:r w:rsidR="003D640C">
        <w:t xml:space="preserve"> </w:t>
      </w:r>
      <w:r w:rsidR="00B17215">
        <w:t>of</w:t>
      </w:r>
      <w:r w:rsidR="003D640C">
        <w:t xml:space="preserve"> </w:t>
      </w:r>
      <w:r w:rsidRPr="00BB6220">
        <w:t>abuse</w:t>
      </w:r>
      <w:r>
        <w:t>.</w:t>
      </w:r>
      <w:r w:rsidR="003D640C">
        <w:t xml:space="preserve"> </w:t>
      </w:r>
      <w:r>
        <w:t>Some</w:t>
      </w:r>
      <w:r w:rsidR="003D640C">
        <w:t xml:space="preserve"> </w:t>
      </w:r>
      <w:r>
        <w:t>examples</w:t>
      </w:r>
      <w:r w:rsidR="003D640C">
        <w:t xml:space="preserve"> </w:t>
      </w:r>
      <w:r>
        <w:t>of</w:t>
      </w:r>
      <w:r w:rsidR="003D640C">
        <w:t xml:space="preserve"> </w:t>
      </w:r>
      <w:r>
        <w:t>these</w:t>
      </w:r>
      <w:r w:rsidR="003D640C">
        <w:t xml:space="preserve"> </w:t>
      </w:r>
      <w:r>
        <w:t>practices</w:t>
      </w:r>
      <w:r w:rsidR="003D640C">
        <w:t xml:space="preserve"> </w:t>
      </w:r>
      <w:r>
        <w:t>include</w:t>
      </w:r>
      <w:r w:rsidR="003D640C">
        <w:t xml:space="preserve"> </w:t>
      </w:r>
      <w:r w:rsidRPr="00BB6220">
        <w:t>beatings,</w:t>
      </w:r>
      <w:r w:rsidR="003D640C">
        <w:t xml:space="preserve"> </w:t>
      </w:r>
      <w:r w:rsidRPr="00BB6220">
        <w:t>whippings,</w:t>
      </w:r>
      <w:r w:rsidR="003D640C">
        <w:t xml:space="preserve"> </w:t>
      </w:r>
      <w:r w:rsidRPr="00BB6220">
        <w:t>burnings,</w:t>
      </w:r>
      <w:r w:rsidR="003D640C">
        <w:t xml:space="preserve"> </w:t>
      </w:r>
      <w:r w:rsidRPr="00BB6220">
        <w:t>‘corrective’</w:t>
      </w:r>
      <w:r w:rsidR="003D640C">
        <w:t xml:space="preserve"> </w:t>
      </w:r>
      <w:r w:rsidRPr="00BB6220">
        <w:t>rape,</w:t>
      </w:r>
      <w:r w:rsidR="003D640C">
        <w:t xml:space="preserve"> </w:t>
      </w:r>
      <w:r w:rsidRPr="00BB6220">
        <w:t>electric</w:t>
      </w:r>
      <w:r w:rsidR="003D640C">
        <w:t xml:space="preserve"> </w:t>
      </w:r>
      <w:r w:rsidRPr="00BB6220">
        <w:t>shocks,</w:t>
      </w:r>
      <w:r w:rsidR="003D640C">
        <w:t xml:space="preserve"> </w:t>
      </w:r>
      <w:r w:rsidRPr="00BB6220">
        <w:t>nausea-inducing</w:t>
      </w:r>
      <w:r w:rsidR="003D640C">
        <w:t xml:space="preserve"> </w:t>
      </w:r>
      <w:r w:rsidRPr="00BB6220">
        <w:t>medication,</w:t>
      </w:r>
      <w:r w:rsidR="003D640C">
        <w:t xml:space="preserve"> </w:t>
      </w:r>
      <w:r w:rsidRPr="00BB6220">
        <w:t>castration,</w:t>
      </w:r>
      <w:r w:rsidR="003D640C">
        <w:t xml:space="preserve"> </w:t>
      </w:r>
      <w:r w:rsidRPr="00BB6220">
        <w:t>hormone</w:t>
      </w:r>
      <w:r w:rsidR="003D640C">
        <w:t xml:space="preserve"> </w:t>
      </w:r>
      <w:r w:rsidRPr="00BB6220">
        <w:t>therapy</w:t>
      </w:r>
      <w:r w:rsidR="003D640C">
        <w:t xml:space="preserve"> </w:t>
      </w:r>
      <w:r w:rsidRPr="00BB6220">
        <w:t>to</w:t>
      </w:r>
      <w:r w:rsidR="003D640C">
        <w:t xml:space="preserve"> </w:t>
      </w:r>
      <w:r w:rsidRPr="00BB6220">
        <w:t>reinforce</w:t>
      </w:r>
      <w:r w:rsidR="003D640C">
        <w:t xml:space="preserve"> </w:t>
      </w:r>
      <w:r w:rsidRPr="00BB6220">
        <w:t>sex</w:t>
      </w:r>
      <w:r w:rsidR="003D640C">
        <w:t xml:space="preserve"> </w:t>
      </w:r>
      <w:r w:rsidRPr="00BB6220">
        <w:t>assigned</w:t>
      </w:r>
      <w:r w:rsidR="003D640C">
        <w:t xml:space="preserve"> </w:t>
      </w:r>
      <w:r w:rsidRPr="00BB6220">
        <w:t>at</w:t>
      </w:r>
      <w:r w:rsidR="003D640C">
        <w:t xml:space="preserve"> </w:t>
      </w:r>
      <w:r w:rsidRPr="00BB6220">
        <w:t>birth,</w:t>
      </w:r>
      <w:r w:rsidR="003D640C">
        <w:t xml:space="preserve"> </w:t>
      </w:r>
      <w:r w:rsidRPr="00BB6220">
        <w:t>forced</w:t>
      </w:r>
      <w:r w:rsidR="003D640C">
        <w:t xml:space="preserve"> </w:t>
      </w:r>
      <w:r w:rsidRPr="00BB6220">
        <w:t>fasting,</w:t>
      </w:r>
      <w:r w:rsidR="003D640C">
        <w:t xml:space="preserve"> </w:t>
      </w:r>
      <w:r w:rsidRPr="00BB6220">
        <w:t>and</w:t>
      </w:r>
      <w:r w:rsidR="003D640C">
        <w:t xml:space="preserve"> </w:t>
      </w:r>
      <w:r w:rsidRPr="00BB6220">
        <w:t>abduction.</w:t>
      </w:r>
      <w:r w:rsidR="003D640C">
        <w:t xml:space="preserve"> </w:t>
      </w:r>
      <w:r w:rsidRPr="00BB6220">
        <w:t>Other</w:t>
      </w:r>
      <w:r w:rsidR="003D640C">
        <w:t xml:space="preserve"> </w:t>
      </w:r>
      <w:r w:rsidRPr="00BB6220">
        <w:t>forms</w:t>
      </w:r>
      <w:r w:rsidR="003D640C">
        <w:t xml:space="preserve"> </w:t>
      </w:r>
      <w:r w:rsidRPr="00BB6220">
        <w:t>can</w:t>
      </w:r>
      <w:r w:rsidR="003D640C">
        <w:t xml:space="preserve"> </w:t>
      </w:r>
      <w:r w:rsidRPr="00BB6220">
        <w:t>be</w:t>
      </w:r>
      <w:r w:rsidR="003D640C">
        <w:t xml:space="preserve"> </w:t>
      </w:r>
      <w:r w:rsidRPr="00BB6220">
        <w:t>associated</w:t>
      </w:r>
      <w:r w:rsidR="003D640C">
        <w:t xml:space="preserve"> </w:t>
      </w:r>
      <w:r w:rsidRPr="00BB6220">
        <w:t>with</w:t>
      </w:r>
      <w:r w:rsidR="003D640C">
        <w:t xml:space="preserve"> </w:t>
      </w:r>
      <w:r w:rsidRPr="00BB6220">
        <w:t>specific</w:t>
      </w:r>
      <w:r w:rsidR="003D640C">
        <w:t xml:space="preserve"> </w:t>
      </w:r>
      <w:r w:rsidRPr="00BB6220">
        <w:t>cultural</w:t>
      </w:r>
      <w:r w:rsidR="003D640C">
        <w:t xml:space="preserve"> </w:t>
      </w:r>
      <w:r w:rsidRPr="00BB6220">
        <w:t>or</w:t>
      </w:r>
      <w:r w:rsidR="003D640C">
        <w:t xml:space="preserve"> </w:t>
      </w:r>
      <w:r w:rsidRPr="00BB6220">
        <w:t>religious</w:t>
      </w:r>
      <w:r w:rsidR="003D640C">
        <w:t xml:space="preserve"> </w:t>
      </w:r>
      <w:r w:rsidRPr="00BB6220">
        <w:t>practices,</w:t>
      </w:r>
      <w:r w:rsidR="003D640C">
        <w:t xml:space="preserve"> </w:t>
      </w:r>
      <w:r w:rsidRPr="00BB6220">
        <w:t>such</w:t>
      </w:r>
      <w:r w:rsidR="003D640C">
        <w:t xml:space="preserve"> </w:t>
      </w:r>
      <w:r w:rsidRPr="00BB6220">
        <w:t>as</w:t>
      </w:r>
      <w:r w:rsidR="003D640C">
        <w:t xml:space="preserve"> </w:t>
      </w:r>
      <w:r w:rsidRPr="00BB6220">
        <w:t>exorcisms,</w:t>
      </w:r>
      <w:r w:rsidR="003D640C">
        <w:t xml:space="preserve"> </w:t>
      </w:r>
      <w:r w:rsidRPr="00BB6220">
        <w:t>‘black</w:t>
      </w:r>
      <w:r w:rsidR="003D640C">
        <w:t xml:space="preserve"> </w:t>
      </w:r>
      <w:r w:rsidRPr="00BB6220">
        <w:t>magic’,</w:t>
      </w:r>
      <w:r w:rsidR="003D640C">
        <w:t xml:space="preserve"> </w:t>
      </w:r>
      <w:r w:rsidRPr="00BB6220">
        <w:t>the</w:t>
      </w:r>
      <w:r w:rsidR="003D640C">
        <w:t xml:space="preserve"> </w:t>
      </w:r>
      <w:r w:rsidRPr="00BB6220">
        <w:t>use</w:t>
      </w:r>
      <w:r w:rsidR="003D640C">
        <w:t xml:space="preserve"> </w:t>
      </w:r>
      <w:r w:rsidRPr="00BB6220">
        <w:t>of</w:t>
      </w:r>
      <w:r w:rsidR="003D640C">
        <w:t xml:space="preserve"> </w:t>
      </w:r>
      <w:r w:rsidRPr="00BB6220">
        <w:t>talismans,</w:t>
      </w:r>
      <w:r w:rsidR="00B50CCE">
        <w:rPr>
          <w:rStyle w:val="FootnoteReference"/>
        </w:rPr>
        <w:footnoteReference w:id="39"/>
      </w:r>
      <w:r w:rsidR="003D640C">
        <w:t xml:space="preserve"> </w:t>
      </w:r>
      <w:r w:rsidRPr="00BB6220">
        <w:t>rituals,</w:t>
      </w:r>
      <w:r w:rsidR="003D640C">
        <w:t xml:space="preserve"> </w:t>
      </w:r>
      <w:r w:rsidRPr="00BB6220">
        <w:t>prayer,</w:t>
      </w:r>
      <w:r w:rsidR="003D640C">
        <w:t xml:space="preserve"> </w:t>
      </w:r>
      <w:r w:rsidRPr="00BB6220">
        <w:t>recitation</w:t>
      </w:r>
      <w:r w:rsidR="003D640C">
        <w:t xml:space="preserve"> </w:t>
      </w:r>
      <w:r w:rsidRPr="00BB6220">
        <w:t>of</w:t>
      </w:r>
      <w:r w:rsidR="003D640C">
        <w:t xml:space="preserve"> </w:t>
      </w:r>
      <w:r w:rsidRPr="00BB6220">
        <w:t>religious</w:t>
      </w:r>
      <w:r w:rsidR="003D640C">
        <w:t xml:space="preserve"> </w:t>
      </w:r>
      <w:r w:rsidRPr="00BB6220">
        <w:t>texts</w:t>
      </w:r>
      <w:r w:rsidR="003D640C">
        <w:t xml:space="preserve"> </w:t>
      </w:r>
      <w:r w:rsidRPr="00BB6220">
        <w:t>with</w:t>
      </w:r>
      <w:r w:rsidR="003D640C">
        <w:t xml:space="preserve"> </w:t>
      </w:r>
      <w:r w:rsidRPr="00BB6220">
        <w:t>some</w:t>
      </w:r>
      <w:r w:rsidR="003D640C">
        <w:t xml:space="preserve"> </w:t>
      </w:r>
      <w:r w:rsidRPr="00BB6220">
        <w:t>type</w:t>
      </w:r>
      <w:r w:rsidR="003D640C">
        <w:t xml:space="preserve"> </w:t>
      </w:r>
      <w:r w:rsidRPr="00BB6220">
        <w:t>of</w:t>
      </w:r>
      <w:r w:rsidR="003D640C">
        <w:t xml:space="preserve"> </w:t>
      </w:r>
      <w:r w:rsidRPr="00BB6220">
        <w:t>aversion</w:t>
      </w:r>
      <w:r w:rsidR="003D640C">
        <w:t xml:space="preserve"> </w:t>
      </w:r>
      <w:r w:rsidRPr="00BB6220">
        <w:t>component,</w:t>
      </w:r>
      <w:r w:rsidR="003D640C">
        <w:t xml:space="preserve"> </w:t>
      </w:r>
      <w:r w:rsidRPr="00BB6220">
        <w:t>and</w:t>
      </w:r>
      <w:r w:rsidR="003D640C">
        <w:t xml:space="preserve"> </w:t>
      </w:r>
      <w:r w:rsidRPr="00BB6220">
        <w:t>worship.</w:t>
      </w:r>
      <w:r w:rsidR="003D640C">
        <w:t xml:space="preserve"> </w:t>
      </w:r>
    </w:p>
    <w:p w14:paraId="0EDE9D71" w14:textId="55E63138" w:rsidR="009D7277" w:rsidRPr="00BB6220" w:rsidRDefault="009D7277" w:rsidP="00FA0175">
      <w:pPr>
        <w:pStyle w:val="Quote"/>
      </w:pPr>
      <w:r w:rsidRPr="00BB6220">
        <w:t>“I</w:t>
      </w:r>
      <w:r w:rsidR="003D640C">
        <w:t xml:space="preserve"> </w:t>
      </w:r>
      <w:r w:rsidRPr="00BB6220">
        <w:t>listened</w:t>
      </w:r>
      <w:r w:rsidR="003D640C">
        <w:t xml:space="preserve"> </w:t>
      </w:r>
      <w:r w:rsidRPr="00BB6220">
        <w:t>to</w:t>
      </w:r>
      <w:r w:rsidR="003D640C">
        <w:t xml:space="preserve"> </w:t>
      </w:r>
      <w:r w:rsidRPr="00BB6220">
        <w:t>sermons</w:t>
      </w:r>
      <w:r w:rsidR="003D640C">
        <w:t xml:space="preserve"> </w:t>
      </w:r>
      <w:r w:rsidRPr="00BB6220">
        <w:t>telling</w:t>
      </w:r>
      <w:r w:rsidR="003D640C">
        <w:t xml:space="preserve"> </w:t>
      </w:r>
      <w:r w:rsidRPr="00BB6220">
        <w:t>me</w:t>
      </w:r>
      <w:r w:rsidR="003D640C">
        <w:t xml:space="preserve"> </w:t>
      </w:r>
      <w:r w:rsidRPr="00BB6220">
        <w:t>that</w:t>
      </w:r>
      <w:r w:rsidR="003D640C">
        <w:t xml:space="preserve"> </w:t>
      </w:r>
      <w:r w:rsidRPr="00BB6220">
        <w:t>gay</w:t>
      </w:r>
      <w:r w:rsidR="003D640C">
        <w:t xml:space="preserve"> </w:t>
      </w:r>
      <w:r w:rsidRPr="00BB6220">
        <w:t>people</w:t>
      </w:r>
      <w:r w:rsidR="003D640C">
        <w:t xml:space="preserve"> </w:t>
      </w:r>
      <w:r w:rsidRPr="00BB6220">
        <w:t>needed</w:t>
      </w:r>
      <w:r w:rsidR="003D640C">
        <w:t xml:space="preserve"> </w:t>
      </w:r>
      <w:r w:rsidRPr="00BB6220">
        <w:t>to</w:t>
      </w:r>
      <w:r w:rsidR="003D640C">
        <w:t xml:space="preserve"> </w:t>
      </w:r>
      <w:r w:rsidRPr="00BB6220">
        <w:t>change</w:t>
      </w:r>
      <w:r w:rsidR="003D640C">
        <w:t xml:space="preserve"> </w:t>
      </w:r>
      <w:r w:rsidRPr="00BB6220">
        <w:t>who</w:t>
      </w:r>
      <w:r w:rsidR="003D640C">
        <w:t xml:space="preserve"> </w:t>
      </w:r>
      <w:r w:rsidRPr="00BB6220">
        <w:t>they</w:t>
      </w:r>
      <w:r w:rsidR="003D640C">
        <w:t xml:space="preserve"> </w:t>
      </w:r>
      <w:r w:rsidRPr="00BB6220">
        <w:t>were,</w:t>
      </w:r>
      <w:r w:rsidR="003D640C">
        <w:t xml:space="preserve"> </w:t>
      </w:r>
      <w:r w:rsidRPr="00BB6220">
        <w:t>remain</w:t>
      </w:r>
      <w:r w:rsidR="003D640C">
        <w:t xml:space="preserve"> </w:t>
      </w:r>
      <w:r w:rsidRPr="00BB6220">
        <w:t>celibate</w:t>
      </w:r>
      <w:r w:rsidR="00B950FF">
        <w:t>,</w:t>
      </w:r>
      <w:r w:rsidR="003D640C">
        <w:t xml:space="preserve"> </w:t>
      </w:r>
      <w:r w:rsidRPr="00BB6220">
        <w:t>or</w:t>
      </w:r>
      <w:r w:rsidR="003D640C">
        <w:t xml:space="preserve"> </w:t>
      </w:r>
      <w:r w:rsidRPr="00BB6220">
        <w:t>go</w:t>
      </w:r>
      <w:r w:rsidR="003D640C">
        <w:t xml:space="preserve"> </w:t>
      </w:r>
      <w:r w:rsidRPr="00BB6220">
        <w:t>to</w:t>
      </w:r>
      <w:r w:rsidR="003D640C">
        <w:t xml:space="preserve"> </w:t>
      </w:r>
      <w:r w:rsidRPr="00BB6220">
        <w:t>hell.</w:t>
      </w:r>
      <w:r w:rsidR="003D640C">
        <w:t xml:space="preserve"> </w:t>
      </w:r>
      <w:r w:rsidRPr="00BB6220">
        <w:t>I</w:t>
      </w:r>
      <w:r w:rsidR="003D640C">
        <w:t xml:space="preserve"> </w:t>
      </w:r>
      <w:r w:rsidRPr="00BB6220">
        <w:t>experienced</w:t>
      </w:r>
      <w:r w:rsidR="003D640C">
        <w:t xml:space="preserve"> </w:t>
      </w:r>
      <w:r w:rsidRPr="00BB6220">
        <w:t>sexual</w:t>
      </w:r>
      <w:r w:rsidR="003D640C">
        <w:t xml:space="preserve"> </w:t>
      </w:r>
      <w:r w:rsidRPr="00BB6220">
        <w:t>assault</w:t>
      </w:r>
      <w:r w:rsidR="003D640C">
        <w:t xml:space="preserve"> </w:t>
      </w:r>
      <w:r w:rsidRPr="00BB6220">
        <w:t>by</w:t>
      </w:r>
      <w:r w:rsidR="003D640C">
        <w:t xml:space="preserve"> </w:t>
      </w:r>
      <w:r w:rsidRPr="00BB6220">
        <w:t>someone</w:t>
      </w:r>
      <w:r w:rsidR="003D640C">
        <w:t xml:space="preserve"> </w:t>
      </w:r>
      <w:r w:rsidRPr="00BB6220">
        <w:t>who</w:t>
      </w:r>
      <w:r w:rsidR="003D640C">
        <w:t xml:space="preserve"> </w:t>
      </w:r>
      <w:r w:rsidRPr="00BB6220">
        <w:t>thought</w:t>
      </w:r>
      <w:r w:rsidR="003D640C">
        <w:t xml:space="preserve"> </w:t>
      </w:r>
      <w:r w:rsidRPr="00BB6220">
        <w:t>that</w:t>
      </w:r>
      <w:r w:rsidR="003D640C">
        <w:t xml:space="preserve"> </w:t>
      </w:r>
      <w:r w:rsidRPr="00BB6220">
        <w:t>was</w:t>
      </w:r>
      <w:r w:rsidR="003D640C">
        <w:t xml:space="preserve"> </w:t>
      </w:r>
      <w:r w:rsidRPr="00BB6220">
        <w:t>the</w:t>
      </w:r>
      <w:r w:rsidR="003D640C">
        <w:t xml:space="preserve"> </w:t>
      </w:r>
      <w:r w:rsidRPr="00BB6220">
        <w:t>way</w:t>
      </w:r>
      <w:r w:rsidR="003D640C">
        <w:t xml:space="preserve"> </w:t>
      </w:r>
      <w:r w:rsidRPr="00BB6220">
        <w:t>to</w:t>
      </w:r>
      <w:r w:rsidR="003D640C">
        <w:t xml:space="preserve"> </w:t>
      </w:r>
      <w:r w:rsidRPr="00BB6220">
        <w:t>change</w:t>
      </w:r>
      <w:r w:rsidR="003D640C">
        <w:t xml:space="preserve"> </w:t>
      </w:r>
      <w:r w:rsidRPr="00BB6220">
        <w:t>me</w:t>
      </w:r>
      <w:r w:rsidR="003D640C">
        <w:t xml:space="preserve"> </w:t>
      </w:r>
      <w:r w:rsidRPr="00BB6220">
        <w:t>to</w:t>
      </w:r>
      <w:r w:rsidR="003D640C">
        <w:t xml:space="preserve"> </w:t>
      </w:r>
      <w:r w:rsidRPr="00BB6220">
        <w:t>straight.”</w:t>
      </w:r>
      <w:r w:rsidR="003D640C">
        <w:t xml:space="preserve"> </w:t>
      </w:r>
      <w:r w:rsidRPr="00BB6220">
        <w:t>Pākehā,</w:t>
      </w:r>
      <w:r w:rsidR="003D640C">
        <w:t xml:space="preserve"> </w:t>
      </w:r>
      <w:r w:rsidRPr="00BB6220">
        <w:t>female</w:t>
      </w:r>
      <w:r w:rsidR="003D640C">
        <w:t xml:space="preserve"> </w:t>
      </w:r>
    </w:p>
    <w:p w14:paraId="70B9F770" w14:textId="6B252514" w:rsidR="009D7277" w:rsidRPr="00BB6220" w:rsidRDefault="009D7277" w:rsidP="00FA0175">
      <w:pPr>
        <w:pStyle w:val="Quote"/>
      </w:pPr>
      <w:r w:rsidRPr="00BB6220">
        <w:lastRenderedPageBreak/>
        <w:t>“I’d</w:t>
      </w:r>
      <w:r w:rsidR="003D640C">
        <w:t xml:space="preserve"> </w:t>
      </w:r>
      <w:r w:rsidRPr="00BB6220">
        <w:t>heard</w:t>
      </w:r>
      <w:r w:rsidR="003D640C">
        <w:t xml:space="preserve"> </w:t>
      </w:r>
      <w:r w:rsidRPr="00BB6220">
        <w:t>frightening</w:t>
      </w:r>
      <w:r w:rsidR="003D640C">
        <w:t xml:space="preserve"> </w:t>
      </w:r>
      <w:r w:rsidRPr="00BB6220">
        <w:t>stories</w:t>
      </w:r>
      <w:r w:rsidR="003D640C">
        <w:t xml:space="preserve"> </w:t>
      </w:r>
      <w:r w:rsidRPr="00BB6220">
        <w:t>about</w:t>
      </w:r>
      <w:r w:rsidR="003D640C">
        <w:t xml:space="preserve"> </w:t>
      </w:r>
      <w:r w:rsidRPr="00BB6220">
        <w:t>people</w:t>
      </w:r>
      <w:r w:rsidR="003D640C">
        <w:t xml:space="preserve"> </w:t>
      </w:r>
      <w:r w:rsidRPr="00BB6220">
        <w:t>screaming,</w:t>
      </w:r>
      <w:r w:rsidR="003D640C">
        <w:t xml:space="preserve"> </w:t>
      </w:r>
      <w:r w:rsidRPr="00BB6220">
        <w:t>contorting,</w:t>
      </w:r>
      <w:r w:rsidR="003D640C">
        <w:t xml:space="preserve"> </w:t>
      </w:r>
      <w:r w:rsidRPr="00BB6220">
        <w:t>and</w:t>
      </w:r>
      <w:r w:rsidR="003D640C">
        <w:t xml:space="preserve"> </w:t>
      </w:r>
      <w:r w:rsidRPr="00BB6220">
        <w:t>frothing</w:t>
      </w:r>
      <w:r w:rsidR="003D640C">
        <w:t xml:space="preserve"> </w:t>
      </w:r>
      <w:r w:rsidRPr="00BB6220">
        <w:t>at</w:t>
      </w:r>
      <w:r w:rsidR="003D640C">
        <w:t xml:space="preserve"> </w:t>
      </w:r>
      <w:r w:rsidRPr="00BB6220">
        <w:t>the</w:t>
      </w:r>
      <w:r w:rsidR="003D640C">
        <w:t xml:space="preserve"> </w:t>
      </w:r>
      <w:r w:rsidRPr="00BB6220">
        <w:t>mouth</w:t>
      </w:r>
      <w:r w:rsidR="003D640C">
        <w:t xml:space="preserve"> </w:t>
      </w:r>
      <w:r w:rsidRPr="00BB6220">
        <w:t>when</w:t>
      </w:r>
      <w:r w:rsidR="003D640C">
        <w:t xml:space="preserve"> </w:t>
      </w:r>
      <w:r w:rsidRPr="00BB6220">
        <w:t>devils</w:t>
      </w:r>
      <w:r w:rsidR="003D640C">
        <w:t xml:space="preserve"> </w:t>
      </w:r>
      <w:r w:rsidRPr="00BB6220">
        <w:t>were</w:t>
      </w:r>
      <w:r w:rsidR="003D640C">
        <w:t xml:space="preserve"> </w:t>
      </w:r>
      <w:r w:rsidRPr="00BB6220">
        <w:t>cast</w:t>
      </w:r>
      <w:r w:rsidR="003D640C">
        <w:t xml:space="preserve"> </w:t>
      </w:r>
      <w:r w:rsidRPr="00BB6220">
        <w:t>out</w:t>
      </w:r>
      <w:r w:rsidR="003D640C">
        <w:t xml:space="preserve"> </w:t>
      </w:r>
      <w:r w:rsidRPr="00BB6220">
        <w:t>of</w:t>
      </w:r>
      <w:r w:rsidR="003D640C">
        <w:t xml:space="preserve"> </w:t>
      </w:r>
      <w:r w:rsidRPr="00BB6220">
        <w:t>them,</w:t>
      </w:r>
      <w:r w:rsidR="003D640C">
        <w:t xml:space="preserve"> </w:t>
      </w:r>
      <w:r w:rsidRPr="00BB6220">
        <w:t>but</w:t>
      </w:r>
      <w:r w:rsidR="003D640C">
        <w:t xml:space="preserve"> </w:t>
      </w:r>
      <w:r w:rsidRPr="00BB6220">
        <w:t>whatever</w:t>
      </w:r>
      <w:r w:rsidR="003D640C">
        <w:t xml:space="preserve"> </w:t>
      </w:r>
      <w:r w:rsidRPr="00BB6220">
        <w:t>it</w:t>
      </w:r>
      <w:r w:rsidR="003D640C">
        <w:t xml:space="preserve"> </w:t>
      </w:r>
      <w:r w:rsidRPr="00BB6220">
        <w:t>took</w:t>
      </w:r>
      <w:r w:rsidR="003D640C">
        <w:t xml:space="preserve"> </w:t>
      </w:r>
      <w:r w:rsidRPr="00BB6220">
        <w:t>to</w:t>
      </w:r>
      <w:r w:rsidR="003D640C">
        <w:t xml:space="preserve"> </w:t>
      </w:r>
      <w:r w:rsidRPr="00BB6220">
        <w:t>get</w:t>
      </w:r>
      <w:r w:rsidR="003D640C">
        <w:t xml:space="preserve"> </w:t>
      </w:r>
      <w:r w:rsidRPr="00BB6220">
        <w:t>rid</w:t>
      </w:r>
      <w:r w:rsidR="003D640C">
        <w:t xml:space="preserve"> </w:t>
      </w:r>
      <w:r w:rsidRPr="00BB6220">
        <w:t>of</w:t>
      </w:r>
      <w:r w:rsidR="003D640C">
        <w:t xml:space="preserve"> </w:t>
      </w:r>
      <w:r w:rsidRPr="00BB6220">
        <w:t>these</w:t>
      </w:r>
      <w:r w:rsidR="003D640C">
        <w:t xml:space="preserve"> </w:t>
      </w:r>
      <w:r w:rsidRPr="00BB6220">
        <w:t>terrible</w:t>
      </w:r>
      <w:r w:rsidR="003D640C">
        <w:t xml:space="preserve"> </w:t>
      </w:r>
      <w:r w:rsidRPr="00BB6220">
        <w:t>thoughts</w:t>
      </w:r>
      <w:r w:rsidR="00B950FF">
        <w:t>,</w:t>
      </w:r>
      <w:r w:rsidR="003D640C">
        <w:t xml:space="preserve"> </w:t>
      </w:r>
      <w:r w:rsidRPr="00BB6220">
        <w:t>I</w:t>
      </w:r>
      <w:r w:rsidR="003D640C">
        <w:t xml:space="preserve"> </w:t>
      </w:r>
      <w:r w:rsidRPr="00BB6220">
        <w:t>wanted</w:t>
      </w:r>
      <w:r w:rsidR="003D640C">
        <w:t xml:space="preserve"> </w:t>
      </w:r>
      <w:r w:rsidRPr="00BB6220">
        <w:t>to</w:t>
      </w:r>
      <w:r w:rsidR="003D640C">
        <w:t xml:space="preserve"> </w:t>
      </w:r>
      <w:r w:rsidRPr="00BB6220">
        <w:t>do</w:t>
      </w:r>
      <w:r w:rsidR="003D640C">
        <w:t xml:space="preserve"> </w:t>
      </w:r>
      <w:r w:rsidRPr="00BB6220">
        <w:t>it.</w:t>
      </w:r>
      <w:r w:rsidR="003D640C">
        <w:t xml:space="preserve"> </w:t>
      </w:r>
      <w:r w:rsidRPr="00BB6220">
        <w:t>I</w:t>
      </w:r>
      <w:r w:rsidR="003D640C">
        <w:t xml:space="preserve"> </w:t>
      </w:r>
      <w:r w:rsidRPr="00BB6220">
        <w:t>wanted</w:t>
      </w:r>
      <w:r w:rsidR="003D640C">
        <w:t xml:space="preserve"> </w:t>
      </w:r>
      <w:r w:rsidRPr="00BB6220">
        <w:t>so</w:t>
      </w:r>
      <w:r w:rsidR="003D640C">
        <w:t xml:space="preserve"> </w:t>
      </w:r>
      <w:r w:rsidRPr="00BB6220">
        <w:t>desperately</w:t>
      </w:r>
      <w:r w:rsidR="003D640C">
        <w:t xml:space="preserve"> </w:t>
      </w:r>
      <w:r w:rsidRPr="00BB6220">
        <w:t>to</w:t>
      </w:r>
      <w:r w:rsidR="003D640C">
        <w:t xml:space="preserve"> </w:t>
      </w:r>
      <w:r w:rsidRPr="00BB6220">
        <w:t>feel</w:t>
      </w:r>
      <w:r w:rsidR="003D640C">
        <w:t xml:space="preserve"> </w:t>
      </w:r>
      <w:r w:rsidRPr="00BB6220">
        <w:t>normal</w:t>
      </w:r>
      <w:r w:rsidR="003D640C">
        <w:t xml:space="preserve"> </w:t>
      </w:r>
      <w:r w:rsidRPr="00BB6220">
        <w:t>that</w:t>
      </w:r>
      <w:r w:rsidR="003D640C">
        <w:t xml:space="preserve"> </w:t>
      </w:r>
      <w:r w:rsidRPr="00BB6220">
        <w:t>I</w:t>
      </w:r>
      <w:r w:rsidR="003D640C">
        <w:t xml:space="preserve"> </w:t>
      </w:r>
      <w:r w:rsidRPr="00BB6220">
        <w:t>was</w:t>
      </w:r>
      <w:r w:rsidR="003D640C">
        <w:t xml:space="preserve"> </w:t>
      </w:r>
      <w:r w:rsidRPr="00BB6220">
        <w:t>willing</w:t>
      </w:r>
      <w:r w:rsidR="003D640C">
        <w:t xml:space="preserve"> </w:t>
      </w:r>
      <w:r w:rsidRPr="00BB6220">
        <w:t>to</w:t>
      </w:r>
      <w:r w:rsidR="003D640C">
        <w:t xml:space="preserve"> </w:t>
      </w:r>
      <w:r w:rsidRPr="00BB6220">
        <w:t>try</w:t>
      </w:r>
      <w:r w:rsidR="003D640C">
        <w:t xml:space="preserve"> </w:t>
      </w:r>
      <w:r w:rsidRPr="00BB6220">
        <w:t>anything.</w:t>
      </w:r>
      <w:r w:rsidR="00B950FF">
        <w:t xml:space="preserve"> </w:t>
      </w:r>
      <w:r w:rsidRPr="00BB6220">
        <w:t>They</w:t>
      </w:r>
      <w:r w:rsidR="003D640C">
        <w:t xml:space="preserve"> </w:t>
      </w:r>
      <w:r w:rsidRPr="00BB6220">
        <w:t>shouted</w:t>
      </w:r>
      <w:r w:rsidR="00452886">
        <w:t>,</w:t>
      </w:r>
      <w:r w:rsidR="003D640C">
        <w:t xml:space="preserve"> </w:t>
      </w:r>
      <w:r w:rsidRPr="00BB6220">
        <w:t>‘Come</w:t>
      </w:r>
      <w:r w:rsidR="003D640C">
        <w:t xml:space="preserve"> </w:t>
      </w:r>
      <w:r w:rsidRPr="00BB6220">
        <w:t>out,</w:t>
      </w:r>
      <w:r w:rsidR="003D640C">
        <w:t xml:space="preserve"> </w:t>
      </w:r>
      <w:r w:rsidRPr="00BB6220">
        <w:t>come</w:t>
      </w:r>
      <w:r w:rsidR="003D640C">
        <w:t xml:space="preserve"> </w:t>
      </w:r>
      <w:r w:rsidRPr="00BB6220">
        <w:t>out,</w:t>
      </w:r>
      <w:r w:rsidR="003D640C">
        <w:t xml:space="preserve"> </w:t>
      </w:r>
      <w:r w:rsidRPr="00BB6220">
        <w:t>you</w:t>
      </w:r>
      <w:r w:rsidR="003D640C">
        <w:t xml:space="preserve"> </w:t>
      </w:r>
      <w:r w:rsidRPr="00BB6220">
        <w:t>unclean,</w:t>
      </w:r>
      <w:r w:rsidR="003D640C">
        <w:t xml:space="preserve"> </w:t>
      </w:r>
      <w:r w:rsidRPr="00BB6220">
        <w:t>foul</w:t>
      </w:r>
      <w:r w:rsidR="003D640C">
        <w:t xml:space="preserve"> </w:t>
      </w:r>
      <w:r w:rsidRPr="00BB6220">
        <w:t>spirit</w:t>
      </w:r>
      <w:r w:rsidR="003D640C">
        <w:t xml:space="preserve"> </w:t>
      </w:r>
      <w:r w:rsidRPr="00BB6220">
        <w:t>from</w:t>
      </w:r>
      <w:r w:rsidR="003D640C">
        <w:t xml:space="preserve"> </w:t>
      </w:r>
      <w:r w:rsidRPr="00BB6220">
        <w:t>the</w:t>
      </w:r>
      <w:r w:rsidR="003D640C">
        <w:t xml:space="preserve"> </w:t>
      </w:r>
      <w:r w:rsidRPr="00BB6220">
        <w:t>pit</w:t>
      </w:r>
      <w:r w:rsidR="003D640C">
        <w:t xml:space="preserve"> </w:t>
      </w:r>
      <w:r w:rsidRPr="00BB6220">
        <w:t>of</w:t>
      </w:r>
      <w:r w:rsidR="003D640C">
        <w:t xml:space="preserve"> </w:t>
      </w:r>
      <w:r w:rsidRPr="00BB6220">
        <w:t>hell!</w:t>
      </w:r>
      <w:r w:rsidR="003D640C">
        <w:t xml:space="preserve"> </w:t>
      </w:r>
      <w:r w:rsidRPr="00BB6220">
        <w:t>You</w:t>
      </w:r>
      <w:r w:rsidR="003D640C">
        <w:t xml:space="preserve"> </w:t>
      </w:r>
      <w:r w:rsidRPr="00BB6220">
        <w:t>have</w:t>
      </w:r>
      <w:r w:rsidR="003D640C">
        <w:t xml:space="preserve"> </w:t>
      </w:r>
      <w:r w:rsidRPr="00BB6220">
        <w:t>to</w:t>
      </w:r>
      <w:r w:rsidR="003D640C">
        <w:t xml:space="preserve"> </w:t>
      </w:r>
      <w:r w:rsidRPr="00BB6220">
        <w:t>obey</w:t>
      </w:r>
      <w:r w:rsidR="003D640C">
        <w:t xml:space="preserve"> </w:t>
      </w:r>
      <w:r w:rsidRPr="00BB6220">
        <w:t>us,</w:t>
      </w:r>
      <w:r w:rsidR="003D640C">
        <w:t xml:space="preserve"> </w:t>
      </w:r>
      <w:r w:rsidRPr="00BB6220">
        <w:t>we</w:t>
      </w:r>
      <w:r w:rsidR="003D640C">
        <w:t xml:space="preserve"> </w:t>
      </w:r>
      <w:r w:rsidRPr="00BB6220">
        <w:t>have</w:t>
      </w:r>
      <w:r w:rsidR="003D640C">
        <w:t xml:space="preserve"> </w:t>
      </w:r>
      <w:r w:rsidRPr="00BB6220">
        <w:t>the</w:t>
      </w:r>
      <w:r w:rsidR="003D640C">
        <w:t xml:space="preserve"> </w:t>
      </w:r>
      <w:r w:rsidRPr="00BB6220">
        <w:t>authority</w:t>
      </w:r>
      <w:r w:rsidR="003D640C">
        <w:t xml:space="preserve"> </w:t>
      </w:r>
      <w:r w:rsidRPr="00BB6220">
        <w:t>of</w:t>
      </w:r>
      <w:r w:rsidR="003D640C">
        <w:t xml:space="preserve"> </w:t>
      </w:r>
      <w:r w:rsidRPr="00BB6220">
        <w:t>Jesus</w:t>
      </w:r>
      <w:r w:rsidR="003D640C">
        <w:t xml:space="preserve"> </w:t>
      </w:r>
      <w:r w:rsidRPr="00BB6220">
        <w:t>Christ,</w:t>
      </w:r>
      <w:r w:rsidR="003D640C">
        <w:t xml:space="preserve"> </w:t>
      </w:r>
      <w:r w:rsidRPr="00BB6220">
        <w:t>the</w:t>
      </w:r>
      <w:r w:rsidR="003D640C">
        <w:t xml:space="preserve"> </w:t>
      </w:r>
      <w:r w:rsidRPr="00BB6220">
        <w:t>Son</w:t>
      </w:r>
      <w:r w:rsidR="003D640C">
        <w:t xml:space="preserve"> </w:t>
      </w:r>
      <w:r w:rsidRPr="00BB6220">
        <w:t>of</w:t>
      </w:r>
      <w:r w:rsidR="003D640C">
        <w:t xml:space="preserve"> </w:t>
      </w:r>
      <w:r w:rsidRPr="00BB6220">
        <w:t>God!</w:t>
      </w:r>
      <w:r w:rsidR="003D640C">
        <w:t xml:space="preserve"> </w:t>
      </w:r>
      <w:r w:rsidRPr="00BB6220">
        <w:t>Name</w:t>
      </w:r>
      <w:r w:rsidR="003D640C">
        <w:t xml:space="preserve"> </w:t>
      </w:r>
      <w:r w:rsidRPr="00BB6220">
        <w:t>yourself!’</w:t>
      </w:r>
      <w:r w:rsidR="00452886">
        <w:t xml:space="preserve"> </w:t>
      </w:r>
      <w:r w:rsidRPr="00BB6220">
        <w:t>I</w:t>
      </w:r>
      <w:r w:rsidR="003D640C">
        <w:t xml:space="preserve"> </w:t>
      </w:r>
      <w:r w:rsidRPr="00BB6220">
        <w:t>was</w:t>
      </w:r>
      <w:r w:rsidR="003D640C">
        <w:t xml:space="preserve"> </w:t>
      </w:r>
      <w:r w:rsidRPr="00BB6220">
        <w:t>so</w:t>
      </w:r>
      <w:r w:rsidR="003D640C">
        <w:t xml:space="preserve"> </w:t>
      </w:r>
      <w:r w:rsidRPr="00BB6220">
        <w:t>worked</w:t>
      </w:r>
      <w:r w:rsidR="003D640C">
        <w:t xml:space="preserve"> </w:t>
      </w:r>
      <w:r w:rsidRPr="00BB6220">
        <w:t>up</w:t>
      </w:r>
      <w:r w:rsidR="003D640C">
        <w:t xml:space="preserve"> </w:t>
      </w:r>
      <w:r w:rsidRPr="00BB6220">
        <w:t>[from</w:t>
      </w:r>
      <w:r w:rsidR="003D640C">
        <w:t xml:space="preserve"> </w:t>
      </w:r>
      <w:r w:rsidRPr="00BB6220">
        <w:t>the</w:t>
      </w:r>
      <w:r w:rsidR="003D640C">
        <w:t xml:space="preserve"> </w:t>
      </w:r>
      <w:r w:rsidRPr="00BB6220">
        <w:t>pressure</w:t>
      </w:r>
      <w:r w:rsidR="003D640C">
        <w:t xml:space="preserve"> </w:t>
      </w:r>
      <w:r w:rsidRPr="00BB6220">
        <w:t>I</w:t>
      </w:r>
      <w:r w:rsidR="003D640C">
        <w:t xml:space="preserve"> </w:t>
      </w:r>
      <w:r w:rsidRPr="00BB6220">
        <w:t>was</w:t>
      </w:r>
      <w:r w:rsidR="003D640C">
        <w:t xml:space="preserve"> </w:t>
      </w:r>
      <w:r w:rsidRPr="00BB6220">
        <w:t>under</w:t>
      </w:r>
      <w:r w:rsidR="003D640C">
        <w:t xml:space="preserve"> </w:t>
      </w:r>
      <w:r w:rsidRPr="00BB6220">
        <w:t>and</w:t>
      </w:r>
      <w:r w:rsidR="003D640C">
        <w:t xml:space="preserve"> </w:t>
      </w:r>
      <w:r w:rsidRPr="00BB6220">
        <w:t>all</w:t>
      </w:r>
      <w:r w:rsidR="003D640C">
        <w:t xml:space="preserve"> </w:t>
      </w:r>
      <w:r w:rsidRPr="00BB6220">
        <w:t>the</w:t>
      </w:r>
      <w:r w:rsidR="003D640C">
        <w:t xml:space="preserve"> </w:t>
      </w:r>
      <w:r w:rsidRPr="00BB6220">
        <w:t>yelling]</w:t>
      </w:r>
      <w:r w:rsidR="003D640C">
        <w:t xml:space="preserve"> </w:t>
      </w:r>
      <w:r w:rsidRPr="00BB6220">
        <w:t>that</w:t>
      </w:r>
      <w:r w:rsidR="003D640C">
        <w:t xml:space="preserve"> </w:t>
      </w:r>
      <w:r w:rsidRPr="00BB6220">
        <w:t>I</w:t>
      </w:r>
      <w:r w:rsidR="003D640C">
        <w:t xml:space="preserve"> </w:t>
      </w:r>
      <w:r w:rsidRPr="00BB6220">
        <w:t>coughed</w:t>
      </w:r>
      <w:r w:rsidR="003D640C">
        <w:t xml:space="preserve"> </w:t>
      </w:r>
      <w:r w:rsidRPr="00BB6220">
        <w:t>up</w:t>
      </w:r>
      <w:r w:rsidR="003D640C">
        <w:t xml:space="preserve"> </w:t>
      </w:r>
      <w:r w:rsidRPr="00BB6220">
        <w:t>phlegm</w:t>
      </w:r>
      <w:r w:rsidR="003D640C">
        <w:t xml:space="preserve"> </w:t>
      </w:r>
      <w:r w:rsidRPr="00BB6220">
        <w:t>and</w:t>
      </w:r>
      <w:r w:rsidR="003D640C">
        <w:t xml:space="preserve"> </w:t>
      </w:r>
      <w:r w:rsidRPr="00BB6220">
        <w:t>fell</w:t>
      </w:r>
      <w:r w:rsidR="003D640C">
        <w:t xml:space="preserve"> </w:t>
      </w:r>
      <w:r w:rsidRPr="00BB6220">
        <w:t>off</w:t>
      </w:r>
      <w:r w:rsidR="003D640C">
        <w:t xml:space="preserve"> </w:t>
      </w:r>
      <w:r w:rsidRPr="00BB6220">
        <w:t>the</w:t>
      </w:r>
      <w:r w:rsidR="003D640C">
        <w:t xml:space="preserve"> </w:t>
      </w:r>
      <w:r w:rsidRPr="00BB6220">
        <w:t>seat</w:t>
      </w:r>
      <w:r w:rsidR="003D640C">
        <w:t xml:space="preserve"> </w:t>
      </w:r>
      <w:r w:rsidRPr="00BB6220">
        <w:t>onto</w:t>
      </w:r>
      <w:r w:rsidR="003D640C">
        <w:t xml:space="preserve"> </w:t>
      </w:r>
      <w:r w:rsidRPr="00BB6220">
        <w:t>the</w:t>
      </w:r>
      <w:r w:rsidR="003D640C">
        <w:t xml:space="preserve"> </w:t>
      </w:r>
      <w:r w:rsidRPr="00BB6220">
        <w:t>floor</w:t>
      </w:r>
      <w:r>
        <w:t>.</w:t>
      </w:r>
      <w:r w:rsidRPr="00BB6220">
        <w:t>”</w:t>
      </w:r>
      <w:r w:rsidR="003D640C">
        <w:t xml:space="preserve"> </w:t>
      </w:r>
      <w:r w:rsidRPr="00BB6220">
        <w:t>Pākehā,</w:t>
      </w:r>
      <w:r w:rsidR="003D640C">
        <w:t xml:space="preserve"> </w:t>
      </w:r>
      <w:r w:rsidRPr="00BB6220">
        <w:t>male</w:t>
      </w:r>
    </w:p>
    <w:p w14:paraId="295674FB" w14:textId="7BEF86EA" w:rsidR="009D7277" w:rsidRPr="00BB6220" w:rsidRDefault="009D7277" w:rsidP="00B50CCE">
      <w:r w:rsidRPr="00BB6220">
        <w:t>The</w:t>
      </w:r>
      <w:r w:rsidR="003D640C">
        <w:t xml:space="preserve"> </w:t>
      </w:r>
      <w:r w:rsidRPr="00BB6220">
        <w:t>most</w:t>
      </w:r>
      <w:r w:rsidR="003D640C">
        <w:t xml:space="preserve"> </w:t>
      </w:r>
      <w:r w:rsidRPr="00BB6220">
        <w:t>common</w:t>
      </w:r>
      <w:r w:rsidR="003D640C">
        <w:t xml:space="preserve"> </w:t>
      </w:r>
      <w:r w:rsidRPr="00BB6220">
        <w:t>conversion</w:t>
      </w:r>
      <w:r w:rsidR="003D640C">
        <w:t xml:space="preserve"> </w:t>
      </w:r>
      <w:r w:rsidRPr="00BB6220">
        <w:t>practices</w:t>
      </w:r>
      <w:r w:rsidR="003D640C">
        <w:t xml:space="preserve"> </w:t>
      </w:r>
      <w:r w:rsidRPr="00BB6220">
        <w:t>use</w:t>
      </w:r>
      <w:r w:rsidR="003D640C">
        <w:t xml:space="preserve"> </w:t>
      </w:r>
      <w:r w:rsidRPr="00BB6220">
        <w:t>manipulative</w:t>
      </w:r>
      <w:r w:rsidR="003D640C">
        <w:t xml:space="preserve"> </w:t>
      </w:r>
      <w:r w:rsidRPr="00BB6220">
        <w:t>pseudo-scientific</w:t>
      </w:r>
      <w:r w:rsidR="003D640C">
        <w:t xml:space="preserve"> </w:t>
      </w:r>
      <w:r w:rsidRPr="00BB6220">
        <w:t>approaches</w:t>
      </w:r>
      <w:r w:rsidR="003D640C">
        <w:t xml:space="preserve"> </w:t>
      </w:r>
      <w:r w:rsidRPr="00BB6220">
        <w:t>disguised</w:t>
      </w:r>
      <w:r w:rsidR="003D640C">
        <w:t xml:space="preserve"> </w:t>
      </w:r>
      <w:r w:rsidRPr="00BB6220">
        <w:t>as</w:t>
      </w:r>
      <w:r w:rsidR="003D640C">
        <w:t xml:space="preserve"> </w:t>
      </w:r>
      <w:r w:rsidRPr="00BB6220">
        <w:t>psychology-based</w:t>
      </w:r>
      <w:r w:rsidR="003D640C">
        <w:t xml:space="preserve"> </w:t>
      </w:r>
      <w:r w:rsidRPr="00BB6220">
        <w:t>‘therapy’.</w:t>
      </w:r>
      <w:r w:rsidR="003D640C">
        <w:t xml:space="preserve"> </w:t>
      </w:r>
      <w:r w:rsidRPr="00BB6220">
        <w:t>These</w:t>
      </w:r>
      <w:r w:rsidR="003D640C">
        <w:t xml:space="preserve"> </w:t>
      </w:r>
      <w:r w:rsidRPr="00BB6220">
        <w:t>can</w:t>
      </w:r>
      <w:r w:rsidR="003D640C">
        <w:t xml:space="preserve"> </w:t>
      </w:r>
      <w:r w:rsidRPr="00BB6220">
        <w:t>include</w:t>
      </w:r>
      <w:r w:rsidR="003D640C">
        <w:t xml:space="preserve"> </w:t>
      </w:r>
      <w:r w:rsidRPr="00BB6220">
        <w:t>group</w:t>
      </w:r>
      <w:r w:rsidR="003D640C">
        <w:t xml:space="preserve"> </w:t>
      </w:r>
      <w:r w:rsidRPr="00BB6220">
        <w:t>therapies,</w:t>
      </w:r>
      <w:r w:rsidR="003D640C">
        <w:t xml:space="preserve"> </w:t>
      </w:r>
      <w:r w:rsidRPr="00BB6220">
        <w:t>counselling,</w:t>
      </w:r>
      <w:r w:rsidR="003D640C">
        <w:t xml:space="preserve"> </w:t>
      </w:r>
      <w:r w:rsidRPr="00BB6220">
        <w:t>camps</w:t>
      </w:r>
      <w:r w:rsidR="003D640C">
        <w:t xml:space="preserve"> </w:t>
      </w:r>
      <w:r w:rsidRPr="00BB6220">
        <w:t>and</w:t>
      </w:r>
      <w:r w:rsidR="003D640C">
        <w:t xml:space="preserve"> </w:t>
      </w:r>
      <w:r w:rsidRPr="00BB6220">
        <w:t>seminars,</w:t>
      </w:r>
      <w:r w:rsidR="003D640C">
        <w:t xml:space="preserve"> </w:t>
      </w:r>
      <w:r w:rsidRPr="00BB6220">
        <w:t>and</w:t>
      </w:r>
      <w:r w:rsidR="003D640C">
        <w:t xml:space="preserve"> </w:t>
      </w:r>
      <w:r w:rsidRPr="00BB6220">
        <w:t>cultivating</w:t>
      </w:r>
      <w:r w:rsidR="003D640C">
        <w:t xml:space="preserve"> </w:t>
      </w:r>
      <w:r w:rsidRPr="00BB6220">
        <w:t>‘normative’</w:t>
      </w:r>
      <w:r w:rsidR="003D640C">
        <w:t xml:space="preserve"> </w:t>
      </w:r>
      <w:r w:rsidRPr="00BB6220">
        <w:t>gender</w:t>
      </w:r>
      <w:r w:rsidR="003D640C">
        <w:t xml:space="preserve"> </w:t>
      </w:r>
      <w:r w:rsidRPr="00BB6220">
        <w:t>behaviour</w:t>
      </w:r>
      <w:r w:rsidR="003D640C">
        <w:t xml:space="preserve"> </w:t>
      </w:r>
      <w:r w:rsidRPr="00BB6220">
        <w:t>through</w:t>
      </w:r>
      <w:r w:rsidR="003D640C">
        <w:t xml:space="preserve"> </w:t>
      </w:r>
      <w:r w:rsidRPr="00BB6220">
        <w:t>behaviour</w:t>
      </w:r>
      <w:r w:rsidR="003D640C">
        <w:t xml:space="preserve"> </w:t>
      </w:r>
      <w:r w:rsidRPr="00BB6220">
        <w:t>modelling.</w:t>
      </w:r>
      <w:r w:rsidR="003D640C">
        <w:t xml:space="preserve"> </w:t>
      </w:r>
    </w:p>
    <w:p w14:paraId="74D28D3C" w14:textId="48AD8A03" w:rsidR="009D7277" w:rsidRPr="00BB6220" w:rsidRDefault="00A7731B" w:rsidP="00B50CCE">
      <w:r>
        <w:t>Through</w:t>
      </w:r>
      <w:r w:rsidR="003D640C">
        <w:t xml:space="preserve"> </w:t>
      </w:r>
      <w:r>
        <w:t>our</w:t>
      </w:r>
      <w:r w:rsidR="003D640C">
        <w:t xml:space="preserve"> </w:t>
      </w:r>
      <w:r>
        <w:t>engagement</w:t>
      </w:r>
      <w:r w:rsidR="003D640C">
        <w:t xml:space="preserve"> </w:t>
      </w:r>
      <w:r>
        <w:t>we</w:t>
      </w:r>
      <w:r w:rsidR="003D640C">
        <w:t xml:space="preserve"> </w:t>
      </w:r>
      <w:r>
        <w:t>found</w:t>
      </w:r>
      <w:r w:rsidR="003D640C">
        <w:t xml:space="preserve"> </w:t>
      </w:r>
      <w:r>
        <w:t>that</w:t>
      </w:r>
      <w:r w:rsidR="003D640C">
        <w:t xml:space="preserve"> </w:t>
      </w:r>
      <w:r>
        <w:t>p</w:t>
      </w:r>
      <w:r w:rsidR="009D7277" w:rsidRPr="00BB6220">
        <w:t>eople</w:t>
      </w:r>
      <w:r w:rsidR="003D640C">
        <w:t xml:space="preserve"> </w:t>
      </w:r>
      <w:r w:rsidR="009D7277" w:rsidRPr="00BB6220">
        <w:t>are</w:t>
      </w:r>
      <w:r w:rsidR="003D640C">
        <w:t xml:space="preserve"> </w:t>
      </w:r>
      <w:r w:rsidR="009D7277" w:rsidRPr="00BB6220">
        <w:t>also</w:t>
      </w:r>
      <w:r w:rsidR="003D640C">
        <w:t xml:space="preserve"> </w:t>
      </w:r>
      <w:r w:rsidR="009D7277" w:rsidRPr="00BB6220">
        <w:t>frequently</w:t>
      </w:r>
      <w:r w:rsidR="003D640C">
        <w:t xml:space="preserve"> </w:t>
      </w:r>
      <w:r w:rsidR="009D7277" w:rsidRPr="00BB6220">
        <w:t>coerced</w:t>
      </w:r>
      <w:r w:rsidR="003D640C">
        <w:t xml:space="preserve"> </w:t>
      </w:r>
      <w:r w:rsidR="009D7277" w:rsidRPr="00BB6220">
        <w:t>to</w:t>
      </w:r>
      <w:r w:rsidR="003D640C">
        <w:t xml:space="preserve"> </w:t>
      </w:r>
      <w:r w:rsidR="009D7277" w:rsidRPr="00BB6220">
        <w:t>perform</w:t>
      </w:r>
      <w:r w:rsidR="003D640C">
        <w:t xml:space="preserve"> </w:t>
      </w:r>
      <w:r w:rsidR="009D7277" w:rsidRPr="00BB6220">
        <w:t>conversion</w:t>
      </w:r>
      <w:r w:rsidR="003D640C">
        <w:t xml:space="preserve"> </w:t>
      </w:r>
      <w:r w:rsidR="009D7277" w:rsidRPr="00BB6220">
        <w:t>practices</w:t>
      </w:r>
      <w:r w:rsidR="003D640C">
        <w:t xml:space="preserve"> </w:t>
      </w:r>
      <w:r w:rsidR="009D7277" w:rsidRPr="00BB6220">
        <w:t>on</w:t>
      </w:r>
      <w:r w:rsidR="003D640C">
        <w:t xml:space="preserve"> </w:t>
      </w:r>
      <w:r w:rsidR="009D7277" w:rsidRPr="00BB6220">
        <w:t>themselves.</w:t>
      </w:r>
      <w:r w:rsidR="003D640C">
        <w:t xml:space="preserve"> </w:t>
      </w:r>
      <w:r w:rsidR="009D7277" w:rsidRPr="00BB6220">
        <w:t>These</w:t>
      </w:r>
      <w:r w:rsidR="003D640C">
        <w:t xml:space="preserve"> </w:t>
      </w:r>
      <w:r w:rsidR="009D7277" w:rsidRPr="00BB6220">
        <w:t>practices</w:t>
      </w:r>
      <w:r w:rsidR="003D640C">
        <w:t xml:space="preserve"> </w:t>
      </w:r>
      <w:r w:rsidR="009D7277" w:rsidRPr="00BB6220">
        <w:t>are</w:t>
      </w:r>
      <w:r w:rsidR="003D640C">
        <w:t xml:space="preserve"> </w:t>
      </w:r>
      <w:r w:rsidR="009D7277" w:rsidRPr="00BB6220">
        <w:t>usually</w:t>
      </w:r>
      <w:r w:rsidR="003D640C">
        <w:t xml:space="preserve"> </w:t>
      </w:r>
      <w:r w:rsidR="009D7277" w:rsidRPr="00BB6220">
        <w:t>accompanied</w:t>
      </w:r>
      <w:r w:rsidR="003D640C">
        <w:t xml:space="preserve"> </w:t>
      </w:r>
      <w:r w:rsidR="009D7277" w:rsidRPr="00BB6220">
        <w:t>by</w:t>
      </w:r>
      <w:r w:rsidR="003D640C">
        <w:t xml:space="preserve"> </w:t>
      </w:r>
      <w:r w:rsidR="009D7277" w:rsidRPr="00BB6220">
        <w:t>follow-up</w:t>
      </w:r>
      <w:r w:rsidR="003D640C">
        <w:t xml:space="preserve"> </w:t>
      </w:r>
      <w:r w:rsidR="009D7277" w:rsidRPr="00BB6220">
        <w:t>conversations</w:t>
      </w:r>
      <w:r w:rsidR="003D640C">
        <w:t xml:space="preserve"> </w:t>
      </w:r>
      <w:r w:rsidR="009D7277" w:rsidRPr="00BB6220">
        <w:t>with</w:t>
      </w:r>
      <w:r w:rsidR="003D640C">
        <w:t xml:space="preserve"> </w:t>
      </w:r>
      <w:r w:rsidR="009D7277" w:rsidRPr="00BB6220">
        <w:t>someone</w:t>
      </w:r>
      <w:r w:rsidR="003D640C">
        <w:t xml:space="preserve"> </w:t>
      </w:r>
      <w:r w:rsidR="009D7277" w:rsidRPr="00BB6220">
        <w:t>in</w:t>
      </w:r>
      <w:r w:rsidR="003D640C">
        <w:t xml:space="preserve"> </w:t>
      </w:r>
      <w:r w:rsidR="009D7277" w:rsidRPr="00BB6220">
        <w:t>a</w:t>
      </w:r>
      <w:r w:rsidR="003D640C">
        <w:t xml:space="preserve"> </w:t>
      </w:r>
      <w:r w:rsidR="009D7277" w:rsidRPr="00BB6220">
        <w:t>position</w:t>
      </w:r>
      <w:r w:rsidR="003D640C">
        <w:t xml:space="preserve"> </w:t>
      </w:r>
      <w:r w:rsidR="009D7277" w:rsidRPr="00BB6220">
        <w:t>of</w:t>
      </w:r>
      <w:r w:rsidR="003D640C">
        <w:t xml:space="preserve"> </w:t>
      </w:r>
      <w:r w:rsidR="009D7277" w:rsidRPr="00BB6220">
        <w:t>authority</w:t>
      </w:r>
      <w:r w:rsidR="003D640C">
        <w:t xml:space="preserve"> </w:t>
      </w:r>
      <w:r w:rsidR="009D7277" w:rsidRPr="00BB6220">
        <w:t>to</w:t>
      </w:r>
      <w:r w:rsidR="003D640C">
        <w:t xml:space="preserve"> </w:t>
      </w:r>
      <w:r w:rsidR="009D7277" w:rsidRPr="00BB6220">
        <w:t>report</w:t>
      </w:r>
      <w:r w:rsidR="003D640C">
        <w:t xml:space="preserve"> </w:t>
      </w:r>
      <w:r w:rsidR="009D7277" w:rsidRPr="00BB6220">
        <w:t>back</w:t>
      </w:r>
      <w:r w:rsidR="003D640C">
        <w:t xml:space="preserve"> </w:t>
      </w:r>
      <w:r w:rsidR="009D7277" w:rsidRPr="00BB6220">
        <w:t>on</w:t>
      </w:r>
      <w:r w:rsidR="003D640C">
        <w:t xml:space="preserve"> </w:t>
      </w:r>
      <w:r w:rsidR="009D7277" w:rsidRPr="00BB6220">
        <w:t>what</w:t>
      </w:r>
      <w:r w:rsidR="003D640C">
        <w:t xml:space="preserve"> </w:t>
      </w:r>
      <w:r w:rsidR="009D7277" w:rsidRPr="00BB6220">
        <w:t>has</w:t>
      </w:r>
      <w:r w:rsidR="003D640C">
        <w:t xml:space="preserve"> </w:t>
      </w:r>
      <w:r w:rsidR="009D7277" w:rsidRPr="00BB6220">
        <w:t>been</w:t>
      </w:r>
      <w:r w:rsidR="003D640C">
        <w:t xml:space="preserve"> </w:t>
      </w:r>
      <w:r w:rsidR="009D7277" w:rsidRPr="00BB6220">
        <w:t>done.</w:t>
      </w:r>
      <w:r w:rsidR="003D640C">
        <w:t xml:space="preserve"> </w:t>
      </w:r>
      <w:r w:rsidR="009D7277" w:rsidRPr="00BB6220">
        <w:t>Alternatively,</w:t>
      </w:r>
      <w:r w:rsidR="003D640C">
        <w:t xml:space="preserve"> </w:t>
      </w:r>
      <w:r w:rsidR="009D7277" w:rsidRPr="00BB6220">
        <w:t>a</w:t>
      </w:r>
      <w:r w:rsidR="003D640C">
        <w:t xml:space="preserve"> </w:t>
      </w:r>
      <w:r w:rsidR="009D7277" w:rsidRPr="00BB6220">
        <w:t>person</w:t>
      </w:r>
      <w:r w:rsidR="003D640C">
        <w:t xml:space="preserve"> </w:t>
      </w:r>
      <w:r w:rsidR="009D7277" w:rsidRPr="00BB6220">
        <w:t>may</w:t>
      </w:r>
      <w:r w:rsidR="003D640C">
        <w:t xml:space="preserve"> </w:t>
      </w:r>
      <w:r w:rsidR="009D7277" w:rsidRPr="00BB6220">
        <w:t>be</w:t>
      </w:r>
      <w:r w:rsidR="003D640C">
        <w:t xml:space="preserve"> </w:t>
      </w:r>
      <w:r w:rsidR="009D7277" w:rsidRPr="00BB6220">
        <w:t>required</w:t>
      </w:r>
      <w:r w:rsidR="003D640C">
        <w:t xml:space="preserve"> </w:t>
      </w:r>
      <w:r w:rsidR="009D7277" w:rsidRPr="00BB6220">
        <w:t>to</w:t>
      </w:r>
      <w:r w:rsidR="003D640C">
        <w:t xml:space="preserve"> </w:t>
      </w:r>
      <w:r w:rsidR="009D7277" w:rsidRPr="00BB6220">
        <w:t>publicly</w:t>
      </w:r>
      <w:r w:rsidR="003D640C">
        <w:t xml:space="preserve"> </w:t>
      </w:r>
      <w:r w:rsidR="009D7277" w:rsidRPr="00BB6220">
        <w:t>recount</w:t>
      </w:r>
      <w:r w:rsidR="003D640C">
        <w:t xml:space="preserve"> </w:t>
      </w:r>
      <w:r w:rsidR="009D7277" w:rsidRPr="00BB6220">
        <w:t>the</w:t>
      </w:r>
      <w:r w:rsidR="003D640C">
        <w:t xml:space="preserve"> </w:t>
      </w:r>
      <w:r w:rsidR="009D7277" w:rsidRPr="00BB6220">
        <w:t>details</w:t>
      </w:r>
      <w:r w:rsidR="003D640C">
        <w:t xml:space="preserve"> </w:t>
      </w:r>
      <w:r w:rsidR="009D7277" w:rsidRPr="00BB6220">
        <w:t>of</w:t>
      </w:r>
      <w:r w:rsidR="003D640C">
        <w:t xml:space="preserve"> </w:t>
      </w:r>
      <w:r w:rsidR="009D7277" w:rsidRPr="00BB6220">
        <w:t>their</w:t>
      </w:r>
      <w:r w:rsidR="003D640C">
        <w:t xml:space="preserve"> </w:t>
      </w:r>
      <w:r w:rsidR="009D7277" w:rsidRPr="00BB6220">
        <w:t>‘failings’,</w:t>
      </w:r>
      <w:r w:rsidR="003D640C">
        <w:t xml:space="preserve"> </w:t>
      </w:r>
      <w:r w:rsidR="009D7277" w:rsidRPr="00BB6220">
        <w:t>which</w:t>
      </w:r>
      <w:r w:rsidR="003D640C">
        <w:t xml:space="preserve"> </w:t>
      </w:r>
      <w:r w:rsidR="009D7277" w:rsidRPr="00BB6220">
        <w:t>might</w:t>
      </w:r>
      <w:r w:rsidR="003D640C">
        <w:t xml:space="preserve"> </w:t>
      </w:r>
      <w:r w:rsidR="009D7277" w:rsidRPr="00BB6220">
        <w:t>include</w:t>
      </w:r>
      <w:r w:rsidR="003D640C">
        <w:t xml:space="preserve"> </w:t>
      </w:r>
      <w:r w:rsidR="009D7277" w:rsidRPr="00BB6220">
        <w:t>masturbation,</w:t>
      </w:r>
      <w:r w:rsidR="003D640C">
        <w:t xml:space="preserve"> </w:t>
      </w:r>
      <w:r w:rsidR="009D7277" w:rsidRPr="00BB6220">
        <w:t>reading</w:t>
      </w:r>
      <w:r w:rsidR="003463C2">
        <w:t>,</w:t>
      </w:r>
      <w:r w:rsidR="003D640C">
        <w:t xml:space="preserve"> </w:t>
      </w:r>
      <w:r w:rsidR="009D7277" w:rsidRPr="00BB6220">
        <w:t>or</w:t>
      </w:r>
      <w:r w:rsidR="003D640C">
        <w:t xml:space="preserve"> </w:t>
      </w:r>
      <w:r w:rsidR="009D7277" w:rsidRPr="00BB6220">
        <w:t>looking</w:t>
      </w:r>
      <w:r w:rsidR="003D640C">
        <w:t xml:space="preserve"> </w:t>
      </w:r>
      <w:r w:rsidR="009D7277" w:rsidRPr="00BB6220">
        <w:t>at</w:t>
      </w:r>
      <w:r w:rsidR="003D640C">
        <w:t xml:space="preserve"> </w:t>
      </w:r>
      <w:r w:rsidR="009D7277" w:rsidRPr="00BB6220">
        <w:t>Rainbow</w:t>
      </w:r>
      <w:r w:rsidR="003D640C">
        <w:t xml:space="preserve"> </w:t>
      </w:r>
      <w:r w:rsidR="009D7277" w:rsidRPr="00BB6220">
        <w:t>content</w:t>
      </w:r>
      <w:r w:rsidR="003D640C">
        <w:t xml:space="preserve"> </w:t>
      </w:r>
      <w:r w:rsidR="009D7277" w:rsidRPr="00BB6220">
        <w:t>or</w:t>
      </w:r>
      <w:r w:rsidR="003D640C">
        <w:t xml:space="preserve"> </w:t>
      </w:r>
      <w:r w:rsidR="009D7277" w:rsidRPr="00BB6220">
        <w:t>thinking</w:t>
      </w:r>
      <w:r w:rsidR="003D640C">
        <w:t xml:space="preserve"> </w:t>
      </w:r>
      <w:r w:rsidR="009D7277" w:rsidRPr="00BB6220">
        <w:t>about</w:t>
      </w:r>
      <w:r w:rsidR="003D640C">
        <w:t xml:space="preserve"> </w:t>
      </w:r>
      <w:r w:rsidR="009D7277" w:rsidRPr="00BB6220">
        <w:t>acting</w:t>
      </w:r>
      <w:r w:rsidR="003D640C">
        <w:t xml:space="preserve"> </w:t>
      </w:r>
      <w:r w:rsidR="009D7277" w:rsidRPr="00BB6220">
        <w:t>on</w:t>
      </w:r>
      <w:r w:rsidR="003D640C">
        <w:t xml:space="preserve"> </w:t>
      </w:r>
      <w:r w:rsidR="009D7277" w:rsidRPr="00BB6220">
        <w:t>desires</w:t>
      </w:r>
      <w:r w:rsidR="003D640C">
        <w:t xml:space="preserve"> </w:t>
      </w:r>
      <w:r w:rsidR="009D7277" w:rsidRPr="00BB6220">
        <w:t>to</w:t>
      </w:r>
      <w:r w:rsidR="003D640C">
        <w:t xml:space="preserve"> </w:t>
      </w:r>
      <w:r w:rsidR="009D7277" w:rsidRPr="00BB6220">
        <w:t>live</w:t>
      </w:r>
      <w:r w:rsidR="003D640C">
        <w:t xml:space="preserve"> </w:t>
      </w:r>
      <w:r w:rsidR="009D7277" w:rsidRPr="00BB6220">
        <w:t>as</w:t>
      </w:r>
      <w:r w:rsidR="003D640C">
        <w:t xml:space="preserve"> </w:t>
      </w:r>
      <w:r w:rsidR="009D7277" w:rsidRPr="00BB6220">
        <w:t>a</w:t>
      </w:r>
      <w:r w:rsidR="003D640C">
        <w:t xml:space="preserve"> </w:t>
      </w:r>
      <w:r w:rsidR="009D7277" w:rsidRPr="00BB6220">
        <w:t>Rainbow</w:t>
      </w:r>
      <w:r w:rsidR="003D640C">
        <w:t xml:space="preserve"> </w:t>
      </w:r>
      <w:r w:rsidR="009D7277" w:rsidRPr="00BB6220">
        <w:t>person.</w:t>
      </w:r>
      <w:r w:rsidR="003D640C">
        <w:t xml:space="preserve"> </w:t>
      </w:r>
      <w:r w:rsidR="009D7277" w:rsidRPr="00BB6220">
        <w:t>It</w:t>
      </w:r>
      <w:r w:rsidR="003D640C">
        <w:t xml:space="preserve"> </w:t>
      </w:r>
      <w:r w:rsidR="009D7277" w:rsidRPr="00BB6220">
        <w:t>is</w:t>
      </w:r>
      <w:r w:rsidR="003D640C">
        <w:t xml:space="preserve"> </w:t>
      </w:r>
      <w:r w:rsidR="009D7277" w:rsidRPr="00BB6220">
        <w:t>also</w:t>
      </w:r>
      <w:r w:rsidR="003D640C">
        <w:t xml:space="preserve"> </w:t>
      </w:r>
      <w:r w:rsidR="009D7277" w:rsidRPr="00BB6220">
        <w:t>common</w:t>
      </w:r>
      <w:r w:rsidR="003D640C">
        <w:t xml:space="preserve"> </w:t>
      </w:r>
      <w:r w:rsidR="009D7277" w:rsidRPr="00BB6220">
        <w:t>in</w:t>
      </w:r>
      <w:r w:rsidR="003D640C">
        <w:t xml:space="preserve"> </w:t>
      </w:r>
      <w:r w:rsidR="009D7277" w:rsidRPr="00BB6220">
        <w:t>faith</w:t>
      </w:r>
      <w:r w:rsidR="003D640C">
        <w:t xml:space="preserve"> </w:t>
      </w:r>
      <w:r w:rsidR="009D7277" w:rsidRPr="00BB6220">
        <w:t>settings</w:t>
      </w:r>
      <w:r w:rsidR="003D640C">
        <w:t xml:space="preserve"> </w:t>
      </w:r>
      <w:r w:rsidR="00CE56C9">
        <w:t>that</w:t>
      </w:r>
      <w:r w:rsidR="003D640C">
        <w:t xml:space="preserve"> </w:t>
      </w:r>
      <w:r w:rsidR="003463C2">
        <w:t xml:space="preserve">are </w:t>
      </w:r>
      <w:r w:rsidR="00CE56C9">
        <w:t>practi</w:t>
      </w:r>
      <w:r w:rsidR="003463C2">
        <w:t>tioners of</w:t>
      </w:r>
      <w:r w:rsidR="003D640C">
        <w:t xml:space="preserve"> </w:t>
      </w:r>
      <w:r w:rsidR="00CE56C9">
        <w:t>conversion</w:t>
      </w:r>
      <w:r w:rsidR="003D640C">
        <w:t xml:space="preserve"> </w:t>
      </w:r>
      <w:r w:rsidR="00CE56C9">
        <w:t>practices</w:t>
      </w:r>
      <w:r w:rsidR="003D640C">
        <w:t xml:space="preserve"> </w:t>
      </w:r>
      <w:r w:rsidR="009D7277" w:rsidRPr="00BB6220">
        <w:t>for</w:t>
      </w:r>
      <w:r w:rsidR="003D640C">
        <w:t xml:space="preserve"> </w:t>
      </w:r>
      <w:r w:rsidR="009D7277" w:rsidRPr="00BB6220">
        <w:t>people</w:t>
      </w:r>
      <w:r w:rsidR="003D640C">
        <w:t xml:space="preserve"> </w:t>
      </w:r>
      <w:r w:rsidR="009D7277" w:rsidRPr="00BB6220">
        <w:t>in</w:t>
      </w:r>
      <w:r w:rsidR="003D640C">
        <w:t xml:space="preserve"> </w:t>
      </w:r>
      <w:r w:rsidR="009D7277" w:rsidRPr="00BB6220">
        <w:t>authority</w:t>
      </w:r>
      <w:r w:rsidR="003D640C">
        <w:t xml:space="preserve"> </w:t>
      </w:r>
      <w:r w:rsidR="009D7277" w:rsidRPr="00BB6220">
        <w:t>to</w:t>
      </w:r>
      <w:r w:rsidR="003D640C">
        <w:t xml:space="preserve"> </w:t>
      </w:r>
      <w:r w:rsidR="009D7277" w:rsidRPr="00BB6220">
        <w:t>either</w:t>
      </w:r>
      <w:r w:rsidR="003D640C">
        <w:t xml:space="preserve"> </w:t>
      </w:r>
      <w:r w:rsidR="009D7277" w:rsidRPr="00BB6220">
        <w:t>push</w:t>
      </w:r>
      <w:r w:rsidR="003D640C">
        <w:t xml:space="preserve"> </w:t>
      </w:r>
      <w:r w:rsidR="009D7277" w:rsidRPr="00BB6220">
        <w:t>people</w:t>
      </w:r>
      <w:r w:rsidR="003D640C">
        <w:t xml:space="preserve"> </w:t>
      </w:r>
      <w:r w:rsidR="009D7277" w:rsidRPr="00BB6220">
        <w:t>into</w:t>
      </w:r>
      <w:r w:rsidR="003D640C">
        <w:t xml:space="preserve"> </w:t>
      </w:r>
      <w:r w:rsidR="009D7277" w:rsidRPr="00BB6220">
        <w:t>marriage</w:t>
      </w:r>
      <w:r w:rsidR="003D640C">
        <w:t xml:space="preserve"> </w:t>
      </w:r>
      <w:r w:rsidR="009D7277" w:rsidRPr="00BB6220">
        <w:t>with</w:t>
      </w:r>
      <w:r w:rsidR="003D640C">
        <w:t xml:space="preserve"> </w:t>
      </w:r>
      <w:r w:rsidR="009D7277" w:rsidRPr="00BB6220">
        <w:t>a</w:t>
      </w:r>
      <w:r w:rsidR="003D640C">
        <w:t xml:space="preserve"> </w:t>
      </w:r>
      <w:r w:rsidR="009D7277" w:rsidRPr="00BB6220">
        <w:t>person</w:t>
      </w:r>
      <w:r w:rsidR="003D640C">
        <w:t xml:space="preserve"> </w:t>
      </w:r>
      <w:r w:rsidR="009D7277" w:rsidRPr="00BB6220">
        <w:t>of</w:t>
      </w:r>
      <w:r w:rsidR="003D640C">
        <w:t xml:space="preserve"> </w:t>
      </w:r>
      <w:r w:rsidR="009D7277" w:rsidRPr="00BB6220">
        <w:t>the</w:t>
      </w:r>
      <w:r w:rsidR="003D640C">
        <w:t xml:space="preserve"> </w:t>
      </w:r>
      <w:r w:rsidR="009D7277" w:rsidRPr="00BB6220">
        <w:t>opposite</w:t>
      </w:r>
      <w:r w:rsidR="003D640C">
        <w:t xml:space="preserve"> </w:t>
      </w:r>
      <w:r w:rsidR="009D7277" w:rsidRPr="00BB6220">
        <w:t>sex</w:t>
      </w:r>
      <w:r w:rsidR="003D640C">
        <w:t xml:space="preserve"> </w:t>
      </w:r>
      <w:r w:rsidR="009D7277" w:rsidRPr="00BB6220">
        <w:t>or</w:t>
      </w:r>
      <w:r w:rsidR="003D640C">
        <w:t xml:space="preserve"> </w:t>
      </w:r>
      <w:r w:rsidR="009D7277" w:rsidRPr="00BB6220">
        <w:t>to</w:t>
      </w:r>
      <w:r w:rsidR="003D640C">
        <w:t xml:space="preserve"> </w:t>
      </w:r>
      <w:r w:rsidR="009D7277" w:rsidRPr="00BB6220">
        <w:t>try</w:t>
      </w:r>
      <w:r w:rsidR="003D640C">
        <w:t xml:space="preserve"> </w:t>
      </w:r>
      <w:r w:rsidR="009D7277" w:rsidRPr="00BB6220">
        <w:t>and</w:t>
      </w:r>
      <w:r w:rsidR="003D640C">
        <w:t xml:space="preserve"> </w:t>
      </w:r>
      <w:r w:rsidR="009D7277" w:rsidRPr="00BB6220">
        <w:t>enforce</w:t>
      </w:r>
      <w:r w:rsidR="003D640C">
        <w:t xml:space="preserve"> </w:t>
      </w:r>
      <w:r w:rsidR="009D7277" w:rsidRPr="00BB6220">
        <w:t>celibacy.</w:t>
      </w:r>
    </w:p>
    <w:p w14:paraId="4C811EA6" w14:textId="4F996566" w:rsidR="009D7277" w:rsidRPr="00BB6220" w:rsidRDefault="00B942DA" w:rsidP="00B50CCE">
      <w:r w:rsidDel="002E1B24">
        <w:t>Through</w:t>
      </w:r>
      <w:r w:rsidR="003D640C">
        <w:t xml:space="preserve"> </w:t>
      </w:r>
      <w:r w:rsidDel="002E1B24">
        <w:t>our</w:t>
      </w:r>
      <w:r w:rsidR="003D640C">
        <w:t xml:space="preserve"> </w:t>
      </w:r>
      <w:r w:rsidDel="002E1B24">
        <w:t>engagement,</w:t>
      </w:r>
      <w:r w:rsidR="003D640C">
        <w:t xml:space="preserve"> </w:t>
      </w:r>
      <w:r w:rsidDel="002E1B24">
        <w:t>we</w:t>
      </w:r>
      <w:r w:rsidR="003D640C">
        <w:t xml:space="preserve"> </w:t>
      </w:r>
      <w:r w:rsidDel="002E1B24">
        <w:t>observed</w:t>
      </w:r>
      <w:r w:rsidR="003D640C">
        <w:t xml:space="preserve"> </w:t>
      </w:r>
      <w:r w:rsidDel="002E1B24">
        <w:t>that</w:t>
      </w:r>
      <w:r w:rsidR="003D640C">
        <w:t xml:space="preserve"> </w:t>
      </w:r>
      <w:r w:rsidDel="002E1B24">
        <w:t>p</w:t>
      </w:r>
      <w:r w:rsidR="00991388">
        <w:t>ractitioners</w:t>
      </w:r>
      <w:r w:rsidR="003D640C">
        <w:t xml:space="preserve"> </w:t>
      </w:r>
      <w:r w:rsidR="009D7277" w:rsidRPr="00BB6220">
        <w:t>of</w:t>
      </w:r>
      <w:r w:rsidR="003D640C">
        <w:t xml:space="preserve"> </w:t>
      </w:r>
      <w:r w:rsidR="009D7277" w:rsidRPr="00BB6220">
        <w:t>conversion</w:t>
      </w:r>
      <w:r w:rsidR="003D640C">
        <w:t xml:space="preserve"> </w:t>
      </w:r>
      <w:r w:rsidR="009D7277" w:rsidRPr="00BB6220">
        <w:t>practices</w:t>
      </w:r>
      <w:r w:rsidR="003D640C">
        <w:t xml:space="preserve"> </w:t>
      </w:r>
      <w:r w:rsidR="009D7277" w:rsidRPr="00BB6220">
        <w:t>are</w:t>
      </w:r>
      <w:r w:rsidR="003D640C">
        <w:t xml:space="preserve"> </w:t>
      </w:r>
      <w:r w:rsidR="009D7277" w:rsidRPr="00BB6220">
        <w:t>often</w:t>
      </w:r>
      <w:r w:rsidR="003D640C">
        <w:t xml:space="preserve"> </w:t>
      </w:r>
      <w:r w:rsidR="009D7277" w:rsidRPr="00BB6220">
        <w:t>people</w:t>
      </w:r>
      <w:r w:rsidR="003D640C">
        <w:t xml:space="preserve"> </w:t>
      </w:r>
      <w:r w:rsidR="009D7277" w:rsidRPr="00BB6220">
        <w:t>who</w:t>
      </w:r>
      <w:r w:rsidR="003D640C">
        <w:t xml:space="preserve"> </w:t>
      </w:r>
      <w:r w:rsidR="009D7277" w:rsidRPr="00BB6220">
        <w:t>hold</w:t>
      </w:r>
      <w:r w:rsidR="003D640C">
        <w:t xml:space="preserve"> </w:t>
      </w:r>
      <w:r w:rsidR="009D7277" w:rsidRPr="00BB6220">
        <w:t>positions</w:t>
      </w:r>
      <w:r w:rsidR="003D640C">
        <w:t xml:space="preserve"> </w:t>
      </w:r>
      <w:r w:rsidR="009D7277" w:rsidRPr="00BB6220">
        <w:t>of</w:t>
      </w:r>
      <w:r w:rsidR="003D640C">
        <w:t xml:space="preserve"> </w:t>
      </w:r>
      <w:r w:rsidR="009D7277" w:rsidRPr="00BB6220">
        <w:t>power</w:t>
      </w:r>
      <w:r w:rsidR="003D640C">
        <w:t xml:space="preserve"> </w:t>
      </w:r>
      <w:r w:rsidR="005A14B8">
        <w:t>in</w:t>
      </w:r>
      <w:r w:rsidR="003D640C">
        <w:t xml:space="preserve"> </w:t>
      </w:r>
      <w:r w:rsidR="005A14B8">
        <w:t>communities</w:t>
      </w:r>
      <w:r w:rsidR="009D7277" w:rsidRPr="00BB6220">
        <w:t>.</w:t>
      </w:r>
      <w:r w:rsidR="003D640C">
        <w:t xml:space="preserve"> </w:t>
      </w:r>
      <w:r w:rsidR="009D7277" w:rsidRPr="00BB6220">
        <w:t>They</w:t>
      </w:r>
      <w:r w:rsidR="003D640C">
        <w:t xml:space="preserve"> </w:t>
      </w:r>
      <w:r w:rsidR="009D7277" w:rsidRPr="00BB6220">
        <w:t>include</w:t>
      </w:r>
      <w:r w:rsidR="003D640C">
        <w:t xml:space="preserve"> </w:t>
      </w:r>
      <w:r w:rsidR="009D7277" w:rsidRPr="00BB6220">
        <w:t>family</w:t>
      </w:r>
      <w:r w:rsidR="003D640C">
        <w:t xml:space="preserve"> </w:t>
      </w:r>
      <w:r w:rsidR="009D7277" w:rsidRPr="00BB6220">
        <w:t>members,</w:t>
      </w:r>
      <w:r w:rsidR="003D640C">
        <w:t xml:space="preserve"> </w:t>
      </w:r>
      <w:r w:rsidR="009D7277" w:rsidRPr="00BB6220">
        <w:t>religious</w:t>
      </w:r>
      <w:r w:rsidR="003D640C">
        <w:t xml:space="preserve"> </w:t>
      </w:r>
      <w:r w:rsidR="009D7277" w:rsidRPr="00BB6220">
        <w:t>leaders</w:t>
      </w:r>
      <w:r w:rsidR="003D640C">
        <w:t xml:space="preserve"> </w:t>
      </w:r>
      <w:r w:rsidR="009D7277" w:rsidRPr="00BB6220">
        <w:t>or</w:t>
      </w:r>
      <w:r w:rsidR="003D640C">
        <w:t xml:space="preserve"> </w:t>
      </w:r>
      <w:r w:rsidR="009D7277" w:rsidRPr="00BB6220">
        <w:t>advisors,</w:t>
      </w:r>
      <w:r w:rsidR="003D640C">
        <w:t xml:space="preserve"> </w:t>
      </w:r>
      <w:r w:rsidR="009D7277" w:rsidRPr="00BB6220">
        <w:t>medical</w:t>
      </w:r>
      <w:r w:rsidR="003D640C">
        <w:t xml:space="preserve"> </w:t>
      </w:r>
      <w:r w:rsidR="009D7277" w:rsidRPr="00BB6220">
        <w:t>professionals,</w:t>
      </w:r>
      <w:r w:rsidR="003D640C">
        <w:t xml:space="preserve"> </w:t>
      </w:r>
      <w:r w:rsidR="009D7277" w:rsidRPr="00BB6220">
        <w:t>counsellors</w:t>
      </w:r>
      <w:r w:rsidR="003463C2">
        <w:t>,</w:t>
      </w:r>
      <w:r w:rsidR="003D640C">
        <w:t xml:space="preserve"> </w:t>
      </w:r>
      <w:r w:rsidR="009D7277" w:rsidRPr="00BB6220">
        <w:t>and</w:t>
      </w:r>
      <w:r w:rsidR="003D640C">
        <w:t xml:space="preserve"> </w:t>
      </w:r>
      <w:r w:rsidR="009D7277" w:rsidRPr="00BB6220">
        <w:t>cultural</w:t>
      </w:r>
      <w:r w:rsidR="003D640C">
        <w:t xml:space="preserve"> </w:t>
      </w:r>
      <w:r w:rsidR="009D7277" w:rsidRPr="00BB6220">
        <w:t>leaders.</w:t>
      </w:r>
      <w:r w:rsidR="003D640C">
        <w:t xml:space="preserve"> </w:t>
      </w:r>
    </w:p>
    <w:p w14:paraId="54ABBAE5" w14:textId="77777777" w:rsidR="00501068" w:rsidRDefault="009D7277" w:rsidP="00FA0175">
      <w:pPr>
        <w:pStyle w:val="Quote"/>
      </w:pPr>
      <w:r w:rsidRPr="00BB6220">
        <w:t>“People</w:t>
      </w:r>
      <w:r w:rsidR="003D640C">
        <w:t xml:space="preserve"> </w:t>
      </w:r>
      <w:r w:rsidRPr="00BB6220">
        <w:t>talked</w:t>
      </w:r>
      <w:r w:rsidR="003D640C">
        <w:t xml:space="preserve"> </w:t>
      </w:r>
      <w:r w:rsidRPr="00BB6220">
        <w:t>about</w:t>
      </w:r>
      <w:r w:rsidR="003D640C">
        <w:t xml:space="preserve"> </w:t>
      </w:r>
      <w:r w:rsidRPr="00BB6220">
        <w:t>intensive</w:t>
      </w:r>
      <w:r w:rsidR="003D640C">
        <w:t xml:space="preserve"> </w:t>
      </w:r>
      <w:r w:rsidRPr="00BB6220">
        <w:t>prayer</w:t>
      </w:r>
      <w:r w:rsidR="003D640C">
        <w:t xml:space="preserve"> </w:t>
      </w:r>
      <w:r w:rsidRPr="00BB6220">
        <w:t>sessions,</w:t>
      </w:r>
      <w:r w:rsidR="003D640C">
        <w:t xml:space="preserve"> </w:t>
      </w:r>
      <w:r w:rsidRPr="00BB6220">
        <w:t>exorcisms,</w:t>
      </w:r>
      <w:r w:rsidR="003D640C">
        <w:t xml:space="preserve"> </w:t>
      </w:r>
      <w:r w:rsidRPr="00BB6220">
        <w:t>reorientation</w:t>
      </w:r>
      <w:r w:rsidR="003D640C">
        <w:t xml:space="preserve"> </w:t>
      </w:r>
      <w:r w:rsidRPr="00BB6220">
        <w:t>education,</w:t>
      </w:r>
      <w:r w:rsidR="003D640C">
        <w:t xml:space="preserve"> </w:t>
      </w:r>
      <w:r w:rsidRPr="00BB6220">
        <w:t>boot</w:t>
      </w:r>
      <w:r w:rsidR="003D640C">
        <w:t xml:space="preserve"> </w:t>
      </w:r>
      <w:r w:rsidRPr="00BB6220">
        <w:t>camp</w:t>
      </w:r>
      <w:r w:rsidR="003D640C">
        <w:t xml:space="preserve"> </w:t>
      </w:r>
      <w:r w:rsidRPr="00BB6220">
        <w:t>kind</w:t>
      </w:r>
      <w:r w:rsidR="003D640C">
        <w:t xml:space="preserve"> </w:t>
      </w:r>
      <w:r w:rsidRPr="00BB6220">
        <w:t>of</w:t>
      </w:r>
      <w:r w:rsidR="003D640C">
        <w:t xml:space="preserve"> </w:t>
      </w:r>
      <w:r w:rsidRPr="00BB6220">
        <w:t>ideas.</w:t>
      </w:r>
      <w:r w:rsidR="003D640C">
        <w:t xml:space="preserve"> </w:t>
      </w:r>
      <w:r w:rsidRPr="00BB6220">
        <w:t>Other</w:t>
      </w:r>
      <w:r w:rsidR="003D640C">
        <w:t xml:space="preserve"> </w:t>
      </w:r>
      <w:r w:rsidRPr="00BB6220">
        <w:t>people</w:t>
      </w:r>
      <w:r w:rsidR="003D640C">
        <w:t xml:space="preserve"> </w:t>
      </w:r>
      <w:r w:rsidRPr="00BB6220">
        <w:t>talk</w:t>
      </w:r>
      <w:r w:rsidR="003D640C">
        <w:t xml:space="preserve"> </w:t>
      </w:r>
      <w:r w:rsidRPr="00BB6220">
        <w:t>about</w:t>
      </w:r>
      <w:r w:rsidR="003D640C">
        <w:t xml:space="preserve"> </w:t>
      </w:r>
      <w:r w:rsidRPr="00BB6220">
        <w:t>psychological</w:t>
      </w:r>
      <w:r w:rsidR="003D640C">
        <w:t xml:space="preserve"> </w:t>
      </w:r>
      <w:r w:rsidRPr="00BB6220">
        <w:t>tools</w:t>
      </w:r>
      <w:r w:rsidR="003D640C">
        <w:t xml:space="preserve"> </w:t>
      </w:r>
      <w:r w:rsidRPr="00BB6220">
        <w:t>like</w:t>
      </w:r>
      <w:r w:rsidR="003D640C">
        <w:t xml:space="preserve"> </w:t>
      </w:r>
      <w:r w:rsidRPr="00BB6220">
        <w:t>being</w:t>
      </w:r>
      <w:r w:rsidR="003D640C">
        <w:t xml:space="preserve"> </w:t>
      </w:r>
      <w:r w:rsidRPr="00BB6220">
        <w:t>asked</w:t>
      </w:r>
      <w:r w:rsidR="003D640C">
        <w:t xml:space="preserve"> </w:t>
      </w:r>
      <w:r w:rsidRPr="00BB6220">
        <w:t>to</w:t>
      </w:r>
      <w:r w:rsidR="003D640C">
        <w:t xml:space="preserve"> </w:t>
      </w:r>
      <w:r w:rsidRPr="00BB6220">
        <w:t>wear</w:t>
      </w:r>
      <w:r w:rsidR="003D640C">
        <w:t xml:space="preserve"> </w:t>
      </w:r>
      <w:r w:rsidRPr="00BB6220">
        <w:t>a</w:t>
      </w:r>
      <w:r w:rsidR="003D640C">
        <w:t xml:space="preserve"> </w:t>
      </w:r>
      <w:r w:rsidRPr="00BB6220">
        <w:t>rubber</w:t>
      </w:r>
      <w:r w:rsidR="003D640C">
        <w:t xml:space="preserve"> </w:t>
      </w:r>
      <w:r w:rsidRPr="00BB6220">
        <w:t>band</w:t>
      </w:r>
      <w:r w:rsidR="003D640C">
        <w:t xml:space="preserve"> </w:t>
      </w:r>
      <w:r w:rsidRPr="00BB6220">
        <w:t>and</w:t>
      </w:r>
      <w:r w:rsidR="003D640C">
        <w:t xml:space="preserve"> </w:t>
      </w:r>
      <w:r w:rsidRPr="00BB6220">
        <w:t>flick</w:t>
      </w:r>
      <w:r w:rsidR="003D640C">
        <w:t xml:space="preserve"> </w:t>
      </w:r>
      <w:r w:rsidRPr="00BB6220">
        <w:t>the</w:t>
      </w:r>
      <w:r w:rsidR="003D640C">
        <w:t xml:space="preserve"> </w:t>
      </w:r>
      <w:r w:rsidRPr="00BB6220">
        <w:t>rubber</w:t>
      </w:r>
      <w:r w:rsidR="003D640C">
        <w:t xml:space="preserve"> </w:t>
      </w:r>
      <w:r w:rsidRPr="00BB6220">
        <w:t>band</w:t>
      </w:r>
      <w:r w:rsidR="003D640C">
        <w:t xml:space="preserve"> </w:t>
      </w:r>
      <w:r w:rsidRPr="00BB6220">
        <w:t>whenever</w:t>
      </w:r>
      <w:r w:rsidR="003D640C">
        <w:t xml:space="preserve"> </w:t>
      </w:r>
      <w:r w:rsidRPr="00BB6220">
        <w:t>they</w:t>
      </w:r>
      <w:r w:rsidR="003D640C">
        <w:t xml:space="preserve"> </w:t>
      </w:r>
      <w:r w:rsidRPr="00BB6220">
        <w:t>had</w:t>
      </w:r>
      <w:r w:rsidR="003D640C">
        <w:t xml:space="preserve"> </w:t>
      </w:r>
      <w:r w:rsidRPr="00BB6220">
        <w:t>a</w:t>
      </w:r>
      <w:r w:rsidR="003D640C">
        <w:t xml:space="preserve"> </w:t>
      </w:r>
      <w:r w:rsidRPr="00BB6220">
        <w:t>bad</w:t>
      </w:r>
      <w:r w:rsidR="003D640C">
        <w:t xml:space="preserve"> </w:t>
      </w:r>
      <w:r w:rsidRPr="00BB6220">
        <w:t>thought.”</w:t>
      </w:r>
      <w:r w:rsidR="003D640C">
        <w:t xml:space="preserve"> </w:t>
      </w:r>
      <w:r w:rsidRPr="00BB6220">
        <w:t>New</w:t>
      </w:r>
      <w:r w:rsidR="003D640C">
        <w:t xml:space="preserve"> </w:t>
      </w:r>
      <w:r w:rsidRPr="00BB6220">
        <w:t>Zealand</w:t>
      </w:r>
      <w:r w:rsidR="003D640C">
        <w:t xml:space="preserve"> </w:t>
      </w:r>
      <w:r w:rsidRPr="00BB6220">
        <w:t>researcher</w:t>
      </w:r>
      <w:r w:rsidR="003D640C">
        <w:t xml:space="preserve"> </w:t>
      </w:r>
      <w:r w:rsidRPr="00BB6220">
        <w:t>recounting</w:t>
      </w:r>
      <w:r w:rsidR="003D640C">
        <w:t xml:space="preserve"> </w:t>
      </w:r>
      <w:r w:rsidRPr="00BB6220">
        <w:t>stories</w:t>
      </w:r>
      <w:r w:rsidR="003D640C">
        <w:t xml:space="preserve"> </w:t>
      </w:r>
      <w:r w:rsidRPr="00BB6220">
        <w:t>from</w:t>
      </w:r>
      <w:r w:rsidR="003D640C">
        <w:t xml:space="preserve"> </w:t>
      </w:r>
      <w:r w:rsidRPr="00BB6220">
        <w:t>survivors.</w:t>
      </w:r>
    </w:p>
    <w:p w14:paraId="06323CA4" w14:textId="1BA97C63" w:rsidR="00501068" w:rsidRDefault="009D7277" w:rsidP="00FA0175">
      <w:pPr>
        <w:pStyle w:val="Quote"/>
      </w:pPr>
      <w:r w:rsidRPr="00BB6220">
        <w:t>“For</w:t>
      </w:r>
      <w:r w:rsidR="003D640C">
        <w:t xml:space="preserve"> </w:t>
      </w:r>
      <w:r w:rsidRPr="00BB6220">
        <w:t>the</w:t>
      </w:r>
      <w:r w:rsidR="003D640C">
        <w:t xml:space="preserve"> </w:t>
      </w:r>
      <w:r w:rsidRPr="00BB6220">
        <w:t>first</w:t>
      </w:r>
      <w:r w:rsidR="003D640C">
        <w:t xml:space="preserve"> </w:t>
      </w:r>
      <w:r w:rsidRPr="00BB6220">
        <w:t>time,</w:t>
      </w:r>
      <w:r w:rsidR="003D640C">
        <w:t xml:space="preserve"> </w:t>
      </w:r>
      <w:r w:rsidRPr="00BB6220">
        <w:t>and</w:t>
      </w:r>
      <w:r w:rsidR="003D640C">
        <w:t xml:space="preserve"> </w:t>
      </w:r>
      <w:r w:rsidRPr="00BB6220">
        <w:t>even</w:t>
      </w:r>
      <w:r w:rsidR="003D640C">
        <w:t xml:space="preserve"> </w:t>
      </w:r>
      <w:r w:rsidRPr="00BB6220">
        <w:t>before</w:t>
      </w:r>
      <w:r w:rsidR="003D640C">
        <w:t xml:space="preserve"> </w:t>
      </w:r>
      <w:r w:rsidRPr="00BB6220">
        <w:t>I’d</w:t>
      </w:r>
      <w:r w:rsidR="003D640C">
        <w:t xml:space="preserve"> </w:t>
      </w:r>
      <w:r w:rsidRPr="00BB6220">
        <w:t>even</w:t>
      </w:r>
      <w:r w:rsidR="003D640C">
        <w:t xml:space="preserve"> </w:t>
      </w:r>
      <w:r w:rsidRPr="00BB6220">
        <w:t>had</w:t>
      </w:r>
      <w:r w:rsidR="003D640C">
        <w:t xml:space="preserve"> </w:t>
      </w:r>
      <w:r w:rsidRPr="00BB6220">
        <w:t>conversations</w:t>
      </w:r>
      <w:r w:rsidR="003D640C">
        <w:t xml:space="preserve"> </w:t>
      </w:r>
      <w:r w:rsidRPr="00BB6220">
        <w:t>with</w:t>
      </w:r>
      <w:r w:rsidR="003D640C">
        <w:t xml:space="preserve"> </w:t>
      </w:r>
      <w:r w:rsidRPr="00BB6220">
        <w:t>myself</w:t>
      </w:r>
      <w:r w:rsidR="003D640C">
        <w:t xml:space="preserve"> </w:t>
      </w:r>
      <w:r w:rsidRPr="00BB6220">
        <w:t>about</w:t>
      </w:r>
      <w:r w:rsidR="003D640C">
        <w:t xml:space="preserve"> </w:t>
      </w:r>
      <w:r w:rsidRPr="00BB6220">
        <w:t>it,</w:t>
      </w:r>
      <w:r w:rsidR="003D640C">
        <w:t xml:space="preserve"> </w:t>
      </w:r>
      <w:r w:rsidRPr="00BB6220">
        <w:t>I</w:t>
      </w:r>
      <w:r w:rsidR="003D640C">
        <w:t xml:space="preserve"> </w:t>
      </w:r>
      <w:r w:rsidRPr="00BB6220">
        <w:t>was</w:t>
      </w:r>
      <w:r w:rsidR="003D640C">
        <w:t xml:space="preserve"> </w:t>
      </w:r>
      <w:r w:rsidRPr="00BB6220">
        <w:t>telling</w:t>
      </w:r>
      <w:r w:rsidR="003D640C">
        <w:t xml:space="preserve"> </w:t>
      </w:r>
      <w:r w:rsidRPr="00BB6220">
        <w:t>an</w:t>
      </w:r>
      <w:r w:rsidR="003D640C">
        <w:t xml:space="preserve"> </w:t>
      </w:r>
      <w:r w:rsidRPr="00B50CCE">
        <w:t>adult</w:t>
      </w:r>
      <w:r w:rsidR="003D640C">
        <w:t xml:space="preserve"> </w:t>
      </w:r>
      <w:r w:rsidRPr="00BB6220">
        <w:t>who</w:t>
      </w:r>
      <w:r w:rsidR="003D640C">
        <w:t xml:space="preserve"> </w:t>
      </w:r>
      <w:r w:rsidRPr="00BB6220">
        <w:t>was</w:t>
      </w:r>
      <w:r w:rsidR="003D640C">
        <w:t xml:space="preserve"> </w:t>
      </w:r>
      <w:r w:rsidRPr="00BB6220">
        <w:t>in</w:t>
      </w:r>
      <w:r w:rsidR="003D640C">
        <w:t xml:space="preserve"> </w:t>
      </w:r>
      <w:r w:rsidRPr="00BB6220">
        <w:t>a</w:t>
      </w:r>
      <w:r w:rsidR="003D640C">
        <w:t xml:space="preserve"> </w:t>
      </w:r>
      <w:r w:rsidRPr="00BB6220">
        <w:t>position</w:t>
      </w:r>
      <w:r w:rsidR="003D640C">
        <w:t xml:space="preserve"> </w:t>
      </w:r>
      <w:r w:rsidRPr="00BB6220">
        <w:t>of</w:t>
      </w:r>
      <w:r w:rsidR="003D640C">
        <w:t xml:space="preserve"> </w:t>
      </w:r>
      <w:r w:rsidRPr="00BB6220">
        <w:t>power,</w:t>
      </w:r>
      <w:r w:rsidR="003D640C">
        <w:t xml:space="preserve"> </w:t>
      </w:r>
      <w:r w:rsidRPr="00BB6220">
        <w:t>who</w:t>
      </w:r>
      <w:r w:rsidR="003D640C">
        <w:t xml:space="preserve"> </w:t>
      </w:r>
      <w:r w:rsidRPr="00BB6220">
        <w:t>I</w:t>
      </w:r>
      <w:r w:rsidR="003D640C">
        <w:t xml:space="preserve"> </w:t>
      </w:r>
      <w:r w:rsidRPr="00BB6220">
        <w:t>didn’t</w:t>
      </w:r>
      <w:r w:rsidR="003D640C">
        <w:t xml:space="preserve"> </w:t>
      </w:r>
      <w:r w:rsidRPr="00BB6220">
        <w:t>really</w:t>
      </w:r>
      <w:r w:rsidR="003D640C">
        <w:t xml:space="preserve"> </w:t>
      </w:r>
      <w:r w:rsidRPr="00BB6220">
        <w:t>know</w:t>
      </w:r>
      <w:r w:rsidR="003D640C">
        <w:t xml:space="preserve"> </w:t>
      </w:r>
      <w:r w:rsidRPr="00BB6220">
        <w:t>and</w:t>
      </w:r>
      <w:r w:rsidR="003D640C">
        <w:t xml:space="preserve"> </w:t>
      </w:r>
      <w:r w:rsidRPr="00BB6220">
        <w:t>didn’t</w:t>
      </w:r>
      <w:r w:rsidR="003D640C">
        <w:t xml:space="preserve"> </w:t>
      </w:r>
      <w:r w:rsidRPr="00BB6220">
        <w:t>really</w:t>
      </w:r>
      <w:r w:rsidR="003D640C">
        <w:t xml:space="preserve"> </w:t>
      </w:r>
      <w:r w:rsidRPr="00BB6220">
        <w:t>trust,</w:t>
      </w:r>
      <w:r w:rsidR="003D640C">
        <w:t xml:space="preserve"> </w:t>
      </w:r>
      <w:r w:rsidRPr="00BB6220">
        <w:t>the</w:t>
      </w:r>
      <w:r w:rsidR="003D640C">
        <w:t xml:space="preserve"> </w:t>
      </w:r>
      <w:r w:rsidRPr="00BB6220">
        <w:t>most</w:t>
      </w:r>
      <w:r w:rsidR="003D640C">
        <w:t xml:space="preserve"> </w:t>
      </w:r>
      <w:r w:rsidRPr="00BB6220">
        <w:t>intimate</w:t>
      </w:r>
      <w:r w:rsidR="003D640C">
        <w:t xml:space="preserve"> </w:t>
      </w:r>
      <w:r w:rsidRPr="00BB6220">
        <w:t>detail</w:t>
      </w:r>
      <w:r w:rsidR="003D640C">
        <w:t xml:space="preserve"> </w:t>
      </w:r>
      <w:r w:rsidRPr="00BB6220">
        <w:t>of</w:t>
      </w:r>
      <w:r w:rsidR="003D640C">
        <w:t xml:space="preserve"> </w:t>
      </w:r>
      <w:r w:rsidRPr="00BB6220">
        <w:t>my</w:t>
      </w:r>
      <w:r w:rsidR="003D640C">
        <w:t xml:space="preserve"> </w:t>
      </w:r>
      <w:r w:rsidRPr="00BB6220">
        <w:t>life.</w:t>
      </w:r>
      <w:r w:rsidR="003D640C">
        <w:t xml:space="preserve"> </w:t>
      </w:r>
      <w:r w:rsidRPr="00BB6220">
        <w:t>That</w:t>
      </w:r>
      <w:r w:rsidR="003D640C">
        <w:t xml:space="preserve"> </w:t>
      </w:r>
      <w:r w:rsidRPr="00BB6220">
        <w:t>was</w:t>
      </w:r>
      <w:r w:rsidR="003D640C">
        <w:t xml:space="preserve"> </w:t>
      </w:r>
      <w:r w:rsidRPr="00BB6220">
        <w:t>how</w:t>
      </w:r>
      <w:r w:rsidR="003D640C">
        <w:t xml:space="preserve"> </w:t>
      </w:r>
      <w:r w:rsidRPr="00BB6220">
        <w:t>I</w:t>
      </w:r>
      <w:r w:rsidR="003D640C">
        <w:t xml:space="preserve"> </w:t>
      </w:r>
      <w:r w:rsidRPr="00BB6220">
        <w:t>came</w:t>
      </w:r>
      <w:r w:rsidR="003D640C">
        <w:t xml:space="preserve"> </w:t>
      </w:r>
      <w:r w:rsidRPr="00BB6220">
        <w:t>out</w:t>
      </w:r>
      <w:r w:rsidR="003D640C">
        <w:t xml:space="preserve"> </w:t>
      </w:r>
      <w:r w:rsidR="003463C2">
        <w:t>…</w:t>
      </w:r>
      <w:r w:rsidR="003D640C">
        <w:t xml:space="preserve"> </w:t>
      </w:r>
      <w:r w:rsidRPr="00BB6220">
        <w:t>I</w:t>
      </w:r>
      <w:r w:rsidR="003D640C">
        <w:t xml:space="preserve"> </w:t>
      </w:r>
      <w:r w:rsidRPr="00BB6220">
        <w:t>felt</w:t>
      </w:r>
      <w:r w:rsidR="003D640C">
        <w:t xml:space="preserve"> </w:t>
      </w:r>
      <w:r w:rsidRPr="00BB6220">
        <w:t>the</w:t>
      </w:r>
      <w:r w:rsidR="003D640C">
        <w:t xml:space="preserve"> </w:t>
      </w:r>
      <w:r w:rsidRPr="00BB6220">
        <w:t>need</w:t>
      </w:r>
      <w:r w:rsidR="003D640C">
        <w:t xml:space="preserve"> </w:t>
      </w:r>
      <w:r w:rsidRPr="00BB6220">
        <w:t>to</w:t>
      </w:r>
      <w:r w:rsidR="003D640C">
        <w:t xml:space="preserve"> </w:t>
      </w:r>
      <w:r w:rsidRPr="00BB6220">
        <w:t>sit</w:t>
      </w:r>
      <w:r w:rsidR="003D640C">
        <w:t xml:space="preserve"> </w:t>
      </w:r>
      <w:r w:rsidRPr="00BB6220">
        <w:t>away</w:t>
      </w:r>
      <w:r w:rsidR="003D640C">
        <w:t xml:space="preserve"> </w:t>
      </w:r>
      <w:r w:rsidRPr="00BB6220">
        <w:t>from</w:t>
      </w:r>
      <w:r w:rsidR="003D640C">
        <w:t xml:space="preserve"> </w:t>
      </w:r>
      <w:r w:rsidRPr="00BB6220">
        <w:t>my</w:t>
      </w:r>
      <w:r w:rsidR="003D640C">
        <w:t xml:space="preserve"> </w:t>
      </w:r>
      <w:r w:rsidRPr="00BB6220">
        <w:t>family</w:t>
      </w:r>
      <w:r w:rsidR="003D640C">
        <w:t xml:space="preserve"> </w:t>
      </w:r>
      <w:r w:rsidRPr="00BB6220">
        <w:t>because</w:t>
      </w:r>
      <w:r w:rsidR="003D640C">
        <w:t xml:space="preserve"> </w:t>
      </w:r>
      <w:r w:rsidRPr="00BB6220">
        <w:t>I</w:t>
      </w:r>
      <w:r w:rsidR="003D640C">
        <w:t xml:space="preserve"> </w:t>
      </w:r>
      <w:r w:rsidRPr="00BB6220">
        <w:t>didn’t</w:t>
      </w:r>
      <w:r w:rsidR="003D640C">
        <w:t xml:space="preserve"> </w:t>
      </w:r>
      <w:r w:rsidRPr="00BB6220">
        <w:t>want</w:t>
      </w:r>
      <w:r w:rsidR="003D640C">
        <w:t xml:space="preserve"> </w:t>
      </w:r>
      <w:r w:rsidRPr="00BB6220">
        <w:t>them</w:t>
      </w:r>
      <w:r w:rsidR="003D640C">
        <w:t xml:space="preserve"> </w:t>
      </w:r>
      <w:r w:rsidRPr="00BB6220">
        <w:t>to</w:t>
      </w:r>
      <w:r w:rsidR="003D640C">
        <w:t xml:space="preserve"> </w:t>
      </w:r>
      <w:r w:rsidRPr="00BB6220">
        <w:t>see</w:t>
      </w:r>
      <w:r w:rsidR="003D640C">
        <w:t xml:space="preserve"> </w:t>
      </w:r>
      <w:r w:rsidRPr="00BB6220">
        <w:t>me</w:t>
      </w:r>
      <w:r w:rsidR="003D640C">
        <w:t xml:space="preserve"> </w:t>
      </w:r>
      <w:r w:rsidRPr="00BB6220">
        <w:t>not</w:t>
      </w:r>
      <w:r w:rsidR="003D640C">
        <w:t xml:space="preserve"> </w:t>
      </w:r>
      <w:r w:rsidRPr="00BB6220">
        <w:t>taking</w:t>
      </w:r>
      <w:r w:rsidR="003D640C">
        <w:t xml:space="preserve"> </w:t>
      </w:r>
      <w:r w:rsidRPr="00BB6220">
        <w:t>the</w:t>
      </w:r>
      <w:r w:rsidR="003D640C">
        <w:t xml:space="preserve"> </w:t>
      </w:r>
      <w:r w:rsidRPr="00BB6220">
        <w:t>sacrament</w:t>
      </w:r>
      <w:r w:rsidR="003D640C">
        <w:t xml:space="preserve"> </w:t>
      </w:r>
      <w:r w:rsidRPr="00BB6220">
        <w:t>because</w:t>
      </w:r>
      <w:r w:rsidR="003D640C">
        <w:t xml:space="preserve"> </w:t>
      </w:r>
      <w:r w:rsidRPr="00BB6220">
        <w:t>I</w:t>
      </w:r>
      <w:r w:rsidR="003D640C">
        <w:t xml:space="preserve"> </w:t>
      </w:r>
      <w:r w:rsidRPr="00BB6220">
        <w:t>wasn’t</w:t>
      </w:r>
      <w:r w:rsidR="003D640C">
        <w:t xml:space="preserve"> </w:t>
      </w:r>
      <w:r w:rsidRPr="00BB6220">
        <w:t>worthy</w:t>
      </w:r>
      <w:r w:rsidR="003D640C">
        <w:t xml:space="preserve"> </w:t>
      </w:r>
      <w:r w:rsidRPr="00BB6220">
        <w:t>of</w:t>
      </w:r>
      <w:r w:rsidR="003D640C">
        <w:t xml:space="preserve"> </w:t>
      </w:r>
      <w:r w:rsidRPr="00BB6220">
        <w:t>it.</w:t>
      </w:r>
      <w:r w:rsidR="003D640C">
        <w:t xml:space="preserve"> </w:t>
      </w:r>
      <w:r w:rsidRPr="00BB6220">
        <w:t>I</w:t>
      </w:r>
      <w:r w:rsidR="003D640C">
        <w:t xml:space="preserve"> </w:t>
      </w:r>
      <w:r w:rsidRPr="00BB6220">
        <w:t>was</w:t>
      </w:r>
      <w:r w:rsidR="003D640C">
        <w:t xml:space="preserve"> </w:t>
      </w:r>
      <w:r w:rsidRPr="00BB6220">
        <w:t>just</w:t>
      </w:r>
      <w:r w:rsidR="003D640C">
        <w:t xml:space="preserve"> </w:t>
      </w:r>
      <w:r w:rsidRPr="00BB6220">
        <w:t>made</w:t>
      </w:r>
      <w:r w:rsidR="003D640C">
        <w:t xml:space="preserve"> </w:t>
      </w:r>
      <w:r w:rsidRPr="00BB6220">
        <w:t>to</w:t>
      </w:r>
      <w:r w:rsidR="003D640C">
        <w:t xml:space="preserve"> </w:t>
      </w:r>
      <w:r w:rsidRPr="00BB6220">
        <w:t>feel</w:t>
      </w:r>
      <w:r w:rsidR="003D640C">
        <w:t xml:space="preserve"> </w:t>
      </w:r>
      <w:r w:rsidRPr="00BB6220">
        <w:t>that</w:t>
      </w:r>
      <w:r w:rsidR="003D640C">
        <w:t xml:space="preserve"> </w:t>
      </w:r>
      <w:r w:rsidRPr="00BB6220">
        <w:t>there’d</w:t>
      </w:r>
      <w:r w:rsidR="003D640C">
        <w:t xml:space="preserve"> </w:t>
      </w:r>
      <w:r w:rsidRPr="00BB6220">
        <w:t>be</w:t>
      </w:r>
      <w:r w:rsidR="003D640C">
        <w:t xml:space="preserve"> </w:t>
      </w:r>
      <w:r w:rsidRPr="00BB6220">
        <w:t>a</w:t>
      </w:r>
      <w:r w:rsidR="003D640C">
        <w:t xml:space="preserve"> </w:t>
      </w:r>
      <w:r w:rsidRPr="00BB6220">
        <w:t>lot</w:t>
      </w:r>
      <w:r w:rsidR="003D640C">
        <w:t xml:space="preserve"> </w:t>
      </w:r>
      <w:r w:rsidRPr="00BB6220">
        <w:t>of</w:t>
      </w:r>
      <w:r w:rsidR="003D640C">
        <w:t xml:space="preserve"> </w:t>
      </w:r>
      <w:r w:rsidRPr="00BB6220">
        <w:t>shame,</w:t>
      </w:r>
      <w:r w:rsidR="003D640C">
        <w:t xml:space="preserve"> </w:t>
      </w:r>
      <w:r w:rsidRPr="00BB6220">
        <w:t>that</w:t>
      </w:r>
      <w:r w:rsidR="003D640C">
        <w:t xml:space="preserve"> </w:t>
      </w:r>
      <w:r w:rsidRPr="00BB6220">
        <w:t>there</w:t>
      </w:r>
      <w:r w:rsidR="003D640C">
        <w:t xml:space="preserve"> </w:t>
      </w:r>
      <w:r w:rsidRPr="00BB6220">
        <w:t>would</w:t>
      </w:r>
      <w:r w:rsidR="003D640C">
        <w:t xml:space="preserve"> </w:t>
      </w:r>
      <w:r w:rsidRPr="00BB6220">
        <w:t>be</w:t>
      </w:r>
      <w:r w:rsidR="003D640C">
        <w:t xml:space="preserve"> </w:t>
      </w:r>
      <w:r w:rsidRPr="00BB6220">
        <w:t>abandonment</w:t>
      </w:r>
      <w:r w:rsidR="001D1BF7">
        <w:t>,</w:t>
      </w:r>
      <w:r w:rsidR="003D640C">
        <w:t xml:space="preserve"> </w:t>
      </w:r>
      <w:r w:rsidRPr="00BB6220">
        <w:t>and</w:t>
      </w:r>
      <w:r w:rsidR="003D640C">
        <w:t xml:space="preserve"> </w:t>
      </w:r>
      <w:r w:rsidRPr="00BB6220">
        <w:t>that</w:t>
      </w:r>
      <w:r w:rsidR="003D640C">
        <w:t xml:space="preserve"> </w:t>
      </w:r>
      <w:r w:rsidRPr="00BB6220">
        <w:t>I</w:t>
      </w:r>
      <w:r w:rsidR="003D640C">
        <w:t xml:space="preserve"> </w:t>
      </w:r>
      <w:r w:rsidRPr="00BB6220">
        <w:t>wouldn’t</w:t>
      </w:r>
      <w:r w:rsidR="003D640C">
        <w:t xml:space="preserve"> </w:t>
      </w:r>
      <w:r w:rsidRPr="00BB6220">
        <w:t>belong</w:t>
      </w:r>
      <w:r w:rsidR="003D640C">
        <w:t xml:space="preserve"> </w:t>
      </w:r>
      <w:r w:rsidRPr="00BB6220">
        <w:t>to</w:t>
      </w:r>
      <w:r w:rsidR="003D640C">
        <w:t xml:space="preserve"> </w:t>
      </w:r>
      <w:r w:rsidRPr="00BB6220">
        <w:t>this</w:t>
      </w:r>
      <w:r w:rsidR="003D640C">
        <w:t xml:space="preserve"> </w:t>
      </w:r>
      <w:r w:rsidRPr="00BB6220">
        <w:t>unit</w:t>
      </w:r>
      <w:r w:rsidR="003D640C">
        <w:t xml:space="preserve"> </w:t>
      </w:r>
      <w:r w:rsidR="001D1BF7">
        <w:t>[</w:t>
      </w:r>
      <w:r w:rsidRPr="00BB6220">
        <w:t>my</w:t>
      </w:r>
      <w:r w:rsidR="003D640C">
        <w:t xml:space="preserve"> </w:t>
      </w:r>
      <w:r w:rsidRPr="00BB6220">
        <w:t>family</w:t>
      </w:r>
      <w:r w:rsidR="001D1BF7">
        <w:t>]</w:t>
      </w:r>
      <w:r w:rsidR="003D640C">
        <w:t xml:space="preserve"> </w:t>
      </w:r>
      <w:r w:rsidRPr="00BB6220">
        <w:t>any</w:t>
      </w:r>
      <w:r w:rsidR="001D1BF7">
        <w:t xml:space="preserve"> </w:t>
      </w:r>
      <w:r w:rsidRPr="00BB6220">
        <w:t>more.”</w:t>
      </w:r>
      <w:r w:rsidR="003D640C">
        <w:t xml:space="preserve"> </w:t>
      </w:r>
      <w:r w:rsidRPr="00BB6220">
        <w:t>Samoan,</w:t>
      </w:r>
      <w:r w:rsidR="003D640C">
        <w:t xml:space="preserve"> </w:t>
      </w:r>
      <w:r w:rsidRPr="00BB6220">
        <w:t>male</w:t>
      </w:r>
      <w:r w:rsidR="003D640C">
        <w:t xml:space="preserve"> </w:t>
      </w:r>
    </w:p>
    <w:p w14:paraId="37653752" w14:textId="710EF09E" w:rsidR="00501068" w:rsidRDefault="00CD3E06" w:rsidP="00FA0175">
      <w:pPr>
        <w:pStyle w:val="Quote"/>
      </w:pPr>
      <w:r>
        <w:t>“</w:t>
      </w:r>
      <w:r w:rsidR="009D7277" w:rsidRPr="00BB6220">
        <w:t>The</w:t>
      </w:r>
      <w:r w:rsidR="003D640C">
        <w:t xml:space="preserve"> </w:t>
      </w:r>
      <w:r w:rsidR="009D7277" w:rsidRPr="00BB6220">
        <w:t>shame</w:t>
      </w:r>
      <w:r w:rsidR="003D640C">
        <w:t xml:space="preserve"> </w:t>
      </w:r>
      <w:r w:rsidR="009D7277" w:rsidRPr="00BB6220">
        <w:t>and</w:t>
      </w:r>
      <w:r w:rsidR="003D640C">
        <w:t xml:space="preserve"> </w:t>
      </w:r>
      <w:r w:rsidR="009D7277" w:rsidRPr="00BB6220">
        <w:t>disgust</w:t>
      </w:r>
      <w:r w:rsidR="003D640C">
        <w:t xml:space="preserve"> </w:t>
      </w:r>
      <w:r w:rsidR="009D7277" w:rsidRPr="00BB6220">
        <w:t>in</w:t>
      </w:r>
      <w:r w:rsidR="003D640C">
        <w:t xml:space="preserve"> </w:t>
      </w:r>
      <w:r w:rsidR="009D7277" w:rsidRPr="00BB6220">
        <w:t>myself</w:t>
      </w:r>
      <w:r w:rsidR="003D640C">
        <w:t xml:space="preserve"> </w:t>
      </w:r>
      <w:r w:rsidR="009D7277" w:rsidRPr="00BB6220">
        <w:t>that</w:t>
      </w:r>
      <w:r w:rsidR="003D640C">
        <w:t xml:space="preserve"> </w:t>
      </w:r>
      <w:r w:rsidR="009D7277" w:rsidRPr="00BB6220">
        <w:t>I</w:t>
      </w:r>
      <w:r w:rsidR="003D640C">
        <w:t xml:space="preserve"> </w:t>
      </w:r>
      <w:r w:rsidR="009D7277" w:rsidRPr="00BB6220">
        <w:t>felt</w:t>
      </w:r>
      <w:r w:rsidR="003D640C">
        <w:t xml:space="preserve"> </w:t>
      </w:r>
      <w:r w:rsidR="009D7277" w:rsidRPr="00BB6220">
        <w:t>sitting</w:t>
      </w:r>
      <w:r w:rsidR="003D640C">
        <w:t xml:space="preserve"> </w:t>
      </w:r>
      <w:r w:rsidR="009D7277" w:rsidRPr="00BB6220">
        <w:t>in</w:t>
      </w:r>
      <w:r w:rsidR="003D640C">
        <w:t xml:space="preserve"> </w:t>
      </w:r>
      <w:r w:rsidR="009D7277" w:rsidRPr="00BB6220">
        <w:t>front</w:t>
      </w:r>
      <w:r w:rsidR="003D640C">
        <w:t xml:space="preserve"> </w:t>
      </w:r>
      <w:r w:rsidR="009D7277" w:rsidRPr="00BB6220">
        <w:t>of</w:t>
      </w:r>
      <w:r w:rsidR="003D640C">
        <w:t xml:space="preserve"> </w:t>
      </w:r>
      <w:r w:rsidR="009D7277" w:rsidRPr="00BB6220">
        <w:t>a</w:t>
      </w:r>
      <w:r w:rsidR="003D640C">
        <w:t xml:space="preserve"> </w:t>
      </w:r>
      <w:r w:rsidR="009D7277" w:rsidRPr="00BB6220">
        <w:t>room</w:t>
      </w:r>
      <w:r w:rsidR="003D640C">
        <w:t xml:space="preserve"> </w:t>
      </w:r>
      <w:r w:rsidR="009D7277" w:rsidRPr="00BB6220">
        <w:t>of</w:t>
      </w:r>
      <w:r w:rsidR="003D640C">
        <w:t xml:space="preserve"> </w:t>
      </w:r>
      <w:r w:rsidR="009D7277" w:rsidRPr="00BB6220">
        <w:t>elders,</w:t>
      </w:r>
      <w:r w:rsidR="003D640C">
        <w:t xml:space="preserve"> </w:t>
      </w:r>
      <w:r w:rsidR="009D7277" w:rsidRPr="00BB6220">
        <w:t>recounting</w:t>
      </w:r>
      <w:r w:rsidR="003D640C">
        <w:t xml:space="preserve"> </w:t>
      </w:r>
      <w:r w:rsidR="009D7277" w:rsidRPr="00BB6220">
        <w:t>my</w:t>
      </w:r>
      <w:r w:rsidR="003D640C">
        <w:t xml:space="preserve"> </w:t>
      </w:r>
      <w:r w:rsidR="009D7277" w:rsidRPr="00BB6220">
        <w:t>homosexual</w:t>
      </w:r>
      <w:r w:rsidR="003D640C">
        <w:t xml:space="preserve"> </w:t>
      </w:r>
      <w:r w:rsidR="009D7277" w:rsidRPr="00BB6220">
        <w:t>activities</w:t>
      </w:r>
      <w:r w:rsidR="003D640C">
        <w:t xml:space="preserve"> </w:t>
      </w:r>
      <w:r w:rsidR="009D7277" w:rsidRPr="00BB6220">
        <w:t>and</w:t>
      </w:r>
      <w:r w:rsidR="003D640C">
        <w:t xml:space="preserve"> </w:t>
      </w:r>
      <w:r w:rsidR="009D7277" w:rsidRPr="00BB6220">
        <w:t>being</w:t>
      </w:r>
      <w:r w:rsidR="003D640C">
        <w:t xml:space="preserve"> </w:t>
      </w:r>
      <w:r w:rsidR="009D7277" w:rsidRPr="00BB6220">
        <w:t>interrogated</w:t>
      </w:r>
      <w:r w:rsidR="003D640C">
        <w:t xml:space="preserve"> </w:t>
      </w:r>
      <w:r w:rsidR="009D7277" w:rsidRPr="00BB6220">
        <w:t>about</w:t>
      </w:r>
      <w:r w:rsidR="003D640C">
        <w:t xml:space="preserve"> </w:t>
      </w:r>
      <w:r w:rsidR="009D7277" w:rsidRPr="00BB6220">
        <w:t>a</w:t>
      </w:r>
      <w:r w:rsidR="003D640C">
        <w:t xml:space="preserve"> </w:t>
      </w:r>
      <w:r w:rsidR="009D7277" w:rsidRPr="00BB6220">
        <w:t>presumed</w:t>
      </w:r>
      <w:r w:rsidR="003D640C">
        <w:t xml:space="preserve"> </w:t>
      </w:r>
      <w:r w:rsidR="009D7277" w:rsidRPr="00BB6220">
        <w:t>sexual</w:t>
      </w:r>
      <w:r w:rsidR="003D640C">
        <w:t xml:space="preserve"> </w:t>
      </w:r>
      <w:r w:rsidR="009D7277" w:rsidRPr="00BB6220">
        <w:t>assault</w:t>
      </w:r>
      <w:r w:rsidR="003D640C">
        <w:t xml:space="preserve"> </w:t>
      </w:r>
      <w:r w:rsidR="009D7277" w:rsidRPr="00BB6220">
        <w:t>that</w:t>
      </w:r>
      <w:r w:rsidR="003D640C">
        <w:t xml:space="preserve"> </w:t>
      </w:r>
      <w:r w:rsidR="009D7277" w:rsidRPr="00BB6220">
        <w:t>caused</w:t>
      </w:r>
      <w:r w:rsidR="003D640C">
        <w:t xml:space="preserve"> </w:t>
      </w:r>
      <w:r w:rsidR="009D7277" w:rsidRPr="00BB6220">
        <w:t>such</w:t>
      </w:r>
      <w:r w:rsidR="003D640C">
        <w:t xml:space="preserve"> </w:t>
      </w:r>
      <w:r w:rsidR="009D7277" w:rsidRPr="00BB6220">
        <w:t>behaviours,</w:t>
      </w:r>
      <w:r w:rsidR="003D640C">
        <w:t xml:space="preserve"> </w:t>
      </w:r>
      <w:r w:rsidR="009D7277" w:rsidRPr="00BB6220">
        <w:t>is</w:t>
      </w:r>
      <w:r w:rsidR="003D640C">
        <w:t xml:space="preserve"> </w:t>
      </w:r>
      <w:r w:rsidR="009D7277" w:rsidRPr="00BB6220">
        <w:t>something</w:t>
      </w:r>
      <w:r w:rsidR="003D640C">
        <w:t xml:space="preserve"> </w:t>
      </w:r>
      <w:r w:rsidR="009D7277" w:rsidRPr="00BB6220">
        <w:t>that</w:t>
      </w:r>
      <w:r w:rsidR="003D640C">
        <w:t xml:space="preserve"> </w:t>
      </w:r>
      <w:r w:rsidR="009D7277" w:rsidRPr="00BB6220">
        <w:t>still</w:t>
      </w:r>
      <w:r w:rsidR="003D640C">
        <w:t xml:space="preserve"> </w:t>
      </w:r>
      <w:r w:rsidR="009D7277" w:rsidRPr="00BB6220">
        <w:t>hurts</w:t>
      </w:r>
      <w:r w:rsidR="003D640C">
        <w:t xml:space="preserve"> </w:t>
      </w:r>
      <w:r w:rsidR="009D7277" w:rsidRPr="00BB6220">
        <w:t>to</w:t>
      </w:r>
      <w:r w:rsidR="003D640C">
        <w:t xml:space="preserve"> </w:t>
      </w:r>
      <w:r w:rsidR="009D7277" w:rsidRPr="00BB6220">
        <w:t>think</w:t>
      </w:r>
      <w:r w:rsidR="003D640C">
        <w:t xml:space="preserve"> </w:t>
      </w:r>
      <w:r w:rsidR="009D7277" w:rsidRPr="00BB6220">
        <w:t>about.</w:t>
      </w:r>
      <w:r w:rsidR="003D640C">
        <w:t xml:space="preserve"> </w:t>
      </w:r>
      <w:r w:rsidR="009D7277" w:rsidRPr="00BB6220">
        <w:t>It</w:t>
      </w:r>
      <w:r w:rsidR="003D640C">
        <w:t xml:space="preserve"> </w:t>
      </w:r>
      <w:r w:rsidR="009D7277" w:rsidRPr="00BB6220">
        <w:t>was</w:t>
      </w:r>
      <w:r w:rsidR="003D640C">
        <w:t xml:space="preserve"> </w:t>
      </w:r>
      <w:r w:rsidR="009D7277" w:rsidRPr="00BB6220">
        <w:t>a</w:t>
      </w:r>
      <w:r w:rsidR="003D640C">
        <w:t xml:space="preserve"> </w:t>
      </w:r>
      <w:r w:rsidR="009D7277" w:rsidRPr="00BB6220">
        <w:t>huge</w:t>
      </w:r>
      <w:r w:rsidR="003D640C">
        <w:t xml:space="preserve"> </w:t>
      </w:r>
      <w:r w:rsidR="009D7277" w:rsidRPr="00BB6220">
        <w:t>contributor</w:t>
      </w:r>
      <w:r w:rsidR="003D640C">
        <w:t xml:space="preserve"> </w:t>
      </w:r>
      <w:r w:rsidR="009D7277" w:rsidRPr="00BB6220">
        <w:t>to</w:t>
      </w:r>
      <w:r w:rsidR="003D640C">
        <w:t xml:space="preserve"> </w:t>
      </w:r>
      <w:r w:rsidR="009D7277" w:rsidRPr="00BB6220">
        <w:t>my</w:t>
      </w:r>
      <w:r w:rsidR="003D640C">
        <w:t xml:space="preserve"> </w:t>
      </w:r>
      <w:r w:rsidR="009D7277" w:rsidRPr="00BB6220">
        <w:t>leaving</w:t>
      </w:r>
      <w:r w:rsidR="003D640C">
        <w:t xml:space="preserve"> </w:t>
      </w:r>
      <w:r w:rsidR="009D7277" w:rsidRPr="00BB6220">
        <w:t>the</w:t>
      </w:r>
      <w:r w:rsidR="003D640C">
        <w:t xml:space="preserve"> </w:t>
      </w:r>
      <w:r w:rsidR="009D7277" w:rsidRPr="00BB6220">
        <w:t>faith.</w:t>
      </w:r>
      <w:r w:rsidR="003D640C">
        <w:t xml:space="preserve"> </w:t>
      </w:r>
      <w:r w:rsidR="009D7277" w:rsidRPr="00BB6220">
        <w:t>The</w:t>
      </w:r>
      <w:r w:rsidR="003D640C">
        <w:t xml:space="preserve"> </w:t>
      </w:r>
      <w:r w:rsidR="009D7277" w:rsidRPr="00BB6220">
        <w:t>religion</w:t>
      </w:r>
      <w:r>
        <w:t>’</w:t>
      </w:r>
      <w:r w:rsidR="009D7277" w:rsidRPr="00BB6220">
        <w:t>s</w:t>
      </w:r>
      <w:r w:rsidR="003D640C">
        <w:t xml:space="preserve"> </w:t>
      </w:r>
      <w:r w:rsidR="009D7277" w:rsidRPr="00BB6220">
        <w:t>attitudes</w:t>
      </w:r>
      <w:r w:rsidR="003D640C">
        <w:t xml:space="preserve"> </w:t>
      </w:r>
      <w:r w:rsidR="009D7277" w:rsidRPr="00BB6220">
        <w:t>towards</w:t>
      </w:r>
      <w:r w:rsidR="003D640C">
        <w:t xml:space="preserve"> </w:t>
      </w:r>
      <w:r w:rsidR="009D7277" w:rsidRPr="00BB6220">
        <w:t>homosexuality,</w:t>
      </w:r>
      <w:r w:rsidR="003D640C">
        <w:t xml:space="preserve"> </w:t>
      </w:r>
      <w:r w:rsidR="009D7277" w:rsidRPr="00BB6220">
        <w:t>and</w:t>
      </w:r>
      <w:r w:rsidR="003D640C">
        <w:t xml:space="preserve"> </w:t>
      </w:r>
      <w:r w:rsidR="009D7277" w:rsidRPr="00BB6220">
        <w:t>teachings</w:t>
      </w:r>
      <w:r w:rsidR="003D640C">
        <w:t xml:space="preserve"> </w:t>
      </w:r>
      <w:r w:rsidR="009D7277" w:rsidRPr="00BB6220">
        <w:t>that</w:t>
      </w:r>
      <w:r w:rsidR="003D640C">
        <w:t xml:space="preserve"> </w:t>
      </w:r>
      <w:r w:rsidR="009D7277" w:rsidRPr="00BB6220">
        <w:t>frame</w:t>
      </w:r>
      <w:r w:rsidR="003D640C">
        <w:t xml:space="preserve"> </w:t>
      </w:r>
      <w:r w:rsidR="009D7277" w:rsidRPr="00BB6220">
        <w:t>queer</w:t>
      </w:r>
      <w:r w:rsidR="003D640C">
        <w:t xml:space="preserve"> </w:t>
      </w:r>
      <w:r w:rsidR="009D7277" w:rsidRPr="00BB6220">
        <w:t>identities</w:t>
      </w:r>
      <w:r w:rsidR="003D640C">
        <w:t xml:space="preserve"> </w:t>
      </w:r>
      <w:r w:rsidR="009D7277" w:rsidRPr="00BB6220">
        <w:t>as</w:t>
      </w:r>
      <w:r w:rsidR="003D640C">
        <w:t xml:space="preserve"> </w:t>
      </w:r>
      <w:r w:rsidR="009D7277" w:rsidRPr="00BB6220">
        <w:t>an</w:t>
      </w:r>
      <w:r w:rsidR="003D640C">
        <w:t xml:space="preserve"> </w:t>
      </w:r>
      <w:r w:rsidR="009D7277" w:rsidRPr="00BB6220">
        <w:t>abomination.</w:t>
      </w:r>
      <w:r w:rsidR="003D640C">
        <w:t xml:space="preserve"> </w:t>
      </w:r>
      <w:r w:rsidR="009D7277" w:rsidRPr="00BB6220">
        <w:t>Ex-communication</w:t>
      </w:r>
      <w:r w:rsidR="003D640C">
        <w:t xml:space="preserve"> </w:t>
      </w:r>
      <w:r w:rsidR="009D7277" w:rsidRPr="00BB6220">
        <w:t>interviews</w:t>
      </w:r>
      <w:r w:rsidR="003D640C">
        <w:t xml:space="preserve"> </w:t>
      </w:r>
      <w:r w:rsidR="009D7277" w:rsidRPr="00BB6220">
        <w:t>are</w:t>
      </w:r>
      <w:r w:rsidR="003D640C">
        <w:t xml:space="preserve"> </w:t>
      </w:r>
      <w:r w:rsidR="009D7277" w:rsidRPr="00BB6220">
        <w:t>enough</w:t>
      </w:r>
      <w:r w:rsidR="003D640C">
        <w:t xml:space="preserve"> </w:t>
      </w:r>
      <w:r w:rsidR="009D7277" w:rsidRPr="00BB6220">
        <w:t>of</w:t>
      </w:r>
      <w:r w:rsidR="003D640C">
        <w:t xml:space="preserve"> </w:t>
      </w:r>
      <w:r w:rsidR="009D7277" w:rsidRPr="00BB6220">
        <w:t>a</w:t>
      </w:r>
      <w:r w:rsidR="003D640C">
        <w:t xml:space="preserve"> </w:t>
      </w:r>
      <w:r w:rsidR="009D7277" w:rsidRPr="00BB6220">
        <w:t>barrier</w:t>
      </w:r>
      <w:r w:rsidR="003D640C">
        <w:t xml:space="preserve"> </w:t>
      </w:r>
      <w:r w:rsidR="009D7277" w:rsidRPr="00BB6220">
        <w:t>to</w:t>
      </w:r>
      <w:r w:rsidR="003D640C">
        <w:t xml:space="preserve"> </w:t>
      </w:r>
      <w:r w:rsidR="009D7277" w:rsidRPr="00BB6220">
        <w:t>overcome</w:t>
      </w:r>
      <w:r w:rsidR="003D640C">
        <w:t xml:space="preserve"> </w:t>
      </w:r>
      <w:r w:rsidR="009D7277">
        <w:t>–</w:t>
      </w:r>
      <w:r w:rsidR="003D640C">
        <w:t xml:space="preserve"> </w:t>
      </w:r>
      <w:r w:rsidR="009D7277" w:rsidRPr="00BB6220">
        <w:t>requiring</w:t>
      </w:r>
      <w:r w:rsidR="003D640C">
        <w:t xml:space="preserve"> </w:t>
      </w:r>
      <w:r w:rsidR="009D7277" w:rsidRPr="00BB6220">
        <w:t>young</w:t>
      </w:r>
      <w:r w:rsidR="003D640C">
        <w:t xml:space="preserve"> </w:t>
      </w:r>
      <w:r w:rsidR="009D7277" w:rsidRPr="00BB6220">
        <w:t>people</w:t>
      </w:r>
      <w:r w:rsidR="003D640C">
        <w:t xml:space="preserve"> </w:t>
      </w:r>
      <w:r w:rsidR="009D7277" w:rsidRPr="00BB6220">
        <w:t>to</w:t>
      </w:r>
      <w:r w:rsidR="003D640C">
        <w:t xml:space="preserve"> </w:t>
      </w:r>
      <w:r w:rsidR="009D7277" w:rsidRPr="00BB6220">
        <w:t>share</w:t>
      </w:r>
      <w:r w:rsidR="003D640C">
        <w:t xml:space="preserve"> </w:t>
      </w:r>
      <w:r w:rsidR="009D7277" w:rsidRPr="00BB6220">
        <w:t>deeply</w:t>
      </w:r>
      <w:r w:rsidR="003D640C">
        <w:t xml:space="preserve"> </w:t>
      </w:r>
      <w:r w:rsidR="009D7277" w:rsidRPr="00BB6220">
        <w:t>personal</w:t>
      </w:r>
      <w:r w:rsidR="003D640C">
        <w:t xml:space="preserve"> </w:t>
      </w:r>
      <w:r w:rsidR="009D7277" w:rsidRPr="00BB6220">
        <w:t>intimate</w:t>
      </w:r>
      <w:r w:rsidR="003D640C">
        <w:t xml:space="preserve"> </w:t>
      </w:r>
      <w:r w:rsidR="009D7277" w:rsidRPr="00BB6220">
        <w:t>experiences</w:t>
      </w:r>
      <w:r w:rsidR="003D640C">
        <w:t xml:space="preserve"> </w:t>
      </w:r>
      <w:r w:rsidR="009D7277" w:rsidRPr="00BB6220">
        <w:t>with</w:t>
      </w:r>
      <w:r w:rsidR="003D640C">
        <w:t xml:space="preserve"> </w:t>
      </w:r>
      <w:r w:rsidR="009D7277" w:rsidRPr="00BB6220">
        <w:t>church</w:t>
      </w:r>
      <w:r w:rsidR="003D640C">
        <w:t xml:space="preserve"> </w:t>
      </w:r>
      <w:r w:rsidR="009D7277" w:rsidRPr="00BB6220">
        <w:t>leaders</w:t>
      </w:r>
      <w:r w:rsidR="003D640C">
        <w:t xml:space="preserve"> </w:t>
      </w:r>
      <w:r w:rsidR="009D7277" w:rsidRPr="00BB6220">
        <w:t>is</w:t>
      </w:r>
      <w:r w:rsidR="003D640C">
        <w:t xml:space="preserve"> </w:t>
      </w:r>
      <w:r w:rsidR="009D7277" w:rsidRPr="00BB6220">
        <w:t>unnecessarily</w:t>
      </w:r>
      <w:r w:rsidR="003D640C">
        <w:t xml:space="preserve"> </w:t>
      </w:r>
      <w:r w:rsidR="009D7277" w:rsidRPr="00BB6220">
        <w:t>cruel</w:t>
      </w:r>
      <w:r w:rsidR="003D640C">
        <w:t xml:space="preserve"> </w:t>
      </w:r>
      <w:r w:rsidR="009D7277" w:rsidRPr="00BB6220">
        <w:t>and</w:t>
      </w:r>
      <w:r w:rsidR="003D640C">
        <w:t xml:space="preserve"> </w:t>
      </w:r>
      <w:r w:rsidR="009D7277" w:rsidRPr="00BB6220">
        <w:t>must</w:t>
      </w:r>
      <w:r w:rsidR="003D640C">
        <w:t xml:space="preserve"> </w:t>
      </w:r>
      <w:r w:rsidR="009D7277" w:rsidRPr="00BB6220">
        <w:t>be</w:t>
      </w:r>
      <w:r w:rsidR="003D640C">
        <w:t xml:space="preserve"> </w:t>
      </w:r>
      <w:r w:rsidR="009D7277" w:rsidRPr="00BB6220">
        <w:t>stopped.</w:t>
      </w:r>
      <w:r>
        <w:t>”</w:t>
      </w:r>
      <w:r w:rsidR="003D640C">
        <w:t xml:space="preserve"> </w:t>
      </w:r>
      <w:r w:rsidR="009D7277" w:rsidRPr="00BB6220">
        <w:t>Māori,</w:t>
      </w:r>
      <w:r w:rsidR="003D640C">
        <w:t xml:space="preserve"> </w:t>
      </w:r>
      <w:r w:rsidR="009D7277" w:rsidRPr="00BB6220">
        <w:t>male</w:t>
      </w:r>
      <w:r w:rsidR="003D640C">
        <w:t xml:space="preserve"> </w:t>
      </w:r>
    </w:p>
    <w:p w14:paraId="2BC5A8B5" w14:textId="504D0FD5" w:rsidR="009D7277" w:rsidRPr="00BB6220" w:rsidRDefault="009D7277" w:rsidP="001D1BF7">
      <w:pPr>
        <w:pStyle w:val="Heading2"/>
        <w:keepNext/>
      </w:pPr>
      <w:bookmarkStart w:id="69" w:name="_Toc167780581"/>
      <w:bookmarkStart w:id="70" w:name="_Toc445214532"/>
      <w:bookmarkStart w:id="71" w:name="_Toc174628639"/>
      <w:r>
        <w:t>C</w:t>
      </w:r>
      <w:r w:rsidRPr="00BB6220">
        <w:t>onversion</w:t>
      </w:r>
      <w:r w:rsidR="003D640C">
        <w:t xml:space="preserve"> </w:t>
      </w:r>
      <w:r w:rsidRPr="00BB6220">
        <w:t>practices</w:t>
      </w:r>
      <w:r w:rsidR="003D640C">
        <w:t xml:space="preserve"> </w:t>
      </w:r>
      <w:r>
        <w:t>are</w:t>
      </w:r>
      <w:r w:rsidR="003D640C">
        <w:t xml:space="preserve"> </w:t>
      </w:r>
      <w:r w:rsidRPr="00BB6220">
        <w:t>happening</w:t>
      </w:r>
      <w:r w:rsidR="003D640C">
        <w:t xml:space="preserve"> </w:t>
      </w:r>
      <w:r w:rsidRPr="00BB6220">
        <w:t>in</w:t>
      </w:r>
      <w:r w:rsidR="003D640C">
        <w:t xml:space="preserve"> </w:t>
      </w:r>
      <w:r w:rsidRPr="00BB6220">
        <w:t>Aotearoa</w:t>
      </w:r>
      <w:bookmarkEnd w:id="69"/>
      <w:bookmarkEnd w:id="70"/>
      <w:bookmarkEnd w:id="71"/>
    </w:p>
    <w:p w14:paraId="58E5F8FA" w14:textId="0E367A06" w:rsidR="009D7277" w:rsidRDefault="009D7277" w:rsidP="00B50CCE">
      <w:r>
        <w:t>Although</w:t>
      </w:r>
      <w:r w:rsidR="003D640C">
        <w:t xml:space="preserve"> </w:t>
      </w:r>
      <w:r>
        <w:t>the</w:t>
      </w:r>
      <w:r w:rsidR="003D640C">
        <w:t xml:space="preserve"> </w:t>
      </w:r>
      <w:r>
        <w:t>research</w:t>
      </w:r>
      <w:r w:rsidR="003D640C">
        <w:t xml:space="preserve"> </w:t>
      </w:r>
      <w:r>
        <w:t>base</w:t>
      </w:r>
      <w:r w:rsidR="003D640C">
        <w:t xml:space="preserve"> </w:t>
      </w:r>
      <w:r>
        <w:t>is</w:t>
      </w:r>
      <w:r w:rsidR="003D640C">
        <w:t xml:space="preserve"> </w:t>
      </w:r>
      <w:r>
        <w:t>small,</w:t>
      </w:r>
      <w:r w:rsidR="003D640C">
        <w:t xml:space="preserve"> </w:t>
      </w:r>
      <w:r>
        <w:t>we</w:t>
      </w:r>
      <w:r w:rsidR="003D640C">
        <w:t xml:space="preserve"> </w:t>
      </w:r>
      <w:r>
        <w:t>know</w:t>
      </w:r>
      <w:r w:rsidR="003D640C">
        <w:t xml:space="preserve"> </w:t>
      </w:r>
      <w:r>
        <w:t>from</w:t>
      </w:r>
      <w:r w:rsidR="003D640C">
        <w:t xml:space="preserve"> </w:t>
      </w:r>
      <w:r>
        <w:t>studies</w:t>
      </w:r>
      <w:r w:rsidR="003D640C">
        <w:t xml:space="preserve"> </w:t>
      </w:r>
      <w:r>
        <w:t>done</w:t>
      </w:r>
      <w:r w:rsidR="003D640C">
        <w:t xml:space="preserve"> </w:t>
      </w:r>
      <w:r>
        <w:t>since</w:t>
      </w:r>
      <w:r w:rsidR="003D640C">
        <w:t xml:space="preserve"> </w:t>
      </w:r>
      <w:r>
        <w:t>2020</w:t>
      </w:r>
      <w:r w:rsidR="003D640C">
        <w:t xml:space="preserve"> </w:t>
      </w:r>
      <w:r>
        <w:t>and</w:t>
      </w:r>
      <w:r w:rsidR="003D640C">
        <w:t xml:space="preserve"> </w:t>
      </w:r>
      <w:r>
        <w:t>our</w:t>
      </w:r>
      <w:r w:rsidR="003D640C">
        <w:t xml:space="preserve"> </w:t>
      </w:r>
      <w:r>
        <w:t>own</w:t>
      </w:r>
      <w:r w:rsidR="003D640C">
        <w:t xml:space="preserve"> </w:t>
      </w:r>
      <w:r>
        <w:t>engagement</w:t>
      </w:r>
      <w:r w:rsidR="003D640C">
        <w:t xml:space="preserve"> </w:t>
      </w:r>
      <w:r>
        <w:t>with</w:t>
      </w:r>
      <w:r w:rsidR="003D640C">
        <w:t xml:space="preserve"> </w:t>
      </w:r>
      <w:r>
        <w:t>survivors</w:t>
      </w:r>
      <w:r w:rsidR="003D640C">
        <w:t xml:space="preserve"> </w:t>
      </w:r>
      <w:r>
        <w:t>that</w:t>
      </w:r>
      <w:r w:rsidR="003D640C">
        <w:t xml:space="preserve"> </w:t>
      </w:r>
      <w:r>
        <w:t>conversion</w:t>
      </w:r>
      <w:r w:rsidR="003D640C">
        <w:t xml:space="preserve"> </w:t>
      </w:r>
      <w:r>
        <w:t>practices</w:t>
      </w:r>
      <w:r w:rsidR="003D640C">
        <w:t xml:space="preserve"> </w:t>
      </w:r>
      <w:r>
        <w:t>happen</w:t>
      </w:r>
      <w:r w:rsidR="003D640C">
        <w:t xml:space="preserve"> </w:t>
      </w:r>
      <w:r>
        <w:t>here</w:t>
      </w:r>
      <w:r w:rsidR="003D640C">
        <w:t xml:space="preserve"> </w:t>
      </w:r>
      <w:r>
        <w:t>and</w:t>
      </w:r>
      <w:r w:rsidR="003D640C">
        <w:t xml:space="preserve"> </w:t>
      </w:r>
      <w:r>
        <w:t>they</w:t>
      </w:r>
      <w:r w:rsidR="003D640C">
        <w:t xml:space="preserve"> </w:t>
      </w:r>
      <w:r>
        <w:t>have</w:t>
      </w:r>
      <w:r w:rsidR="003D640C">
        <w:t xml:space="preserve"> </w:t>
      </w:r>
      <w:r>
        <w:t>significant</w:t>
      </w:r>
      <w:r w:rsidR="003D640C">
        <w:t xml:space="preserve"> </w:t>
      </w:r>
      <w:r>
        <w:t>harmful</w:t>
      </w:r>
      <w:r w:rsidR="003D640C">
        <w:t xml:space="preserve"> </w:t>
      </w:r>
      <w:r>
        <w:t>impacts.</w:t>
      </w:r>
      <w:r w:rsidR="003D640C">
        <w:t xml:space="preserve"> </w:t>
      </w:r>
    </w:p>
    <w:p w14:paraId="098D64C4" w14:textId="76CC0633" w:rsidR="009D7277" w:rsidRDefault="009D7277" w:rsidP="00B50CCE">
      <w:r w:rsidRPr="00BB6220">
        <w:lastRenderedPageBreak/>
        <w:t>A</w:t>
      </w:r>
      <w:r w:rsidR="003D640C">
        <w:t xml:space="preserve"> </w:t>
      </w:r>
      <w:r>
        <w:t>2021</w:t>
      </w:r>
      <w:r w:rsidR="003D640C">
        <w:t xml:space="preserve"> </w:t>
      </w:r>
      <w:r w:rsidRPr="00BB6220">
        <w:t>study</w:t>
      </w:r>
      <w:r w:rsidR="003D640C">
        <w:t xml:space="preserve"> </w:t>
      </w:r>
      <w:r>
        <w:t>based</w:t>
      </w:r>
      <w:r w:rsidR="003D640C">
        <w:t xml:space="preserve"> </w:t>
      </w:r>
      <w:r>
        <w:t>on</w:t>
      </w:r>
      <w:r w:rsidR="003D640C">
        <w:t xml:space="preserve"> </w:t>
      </w:r>
      <w:r>
        <w:t>a</w:t>
      </w:r>
      <w:r w:rsidR="003D640C">
        <w:t xml:space="preserve"> </w:t>
      </w:r>
      <w:r>
        <w:t>survey</w:t>
      </w:r>
      <w:r w:rsidR="003D640C">
        <w:t xml:space="preserve"> </w:t>
      </w:r>
      <w:r>
        <w:t>of</w:t>
      </w:r>
      <w:r w:rsidR="003D640C">
        <w:t xml:space="preserve"> </w:t>
      </w:r>
      <w:r>
        <w:t>4,800</w:t>
      </w:r>
      <w:r w:rsidR="003D640C">
        <w:t xml:space="preserve"> </w:t>
      </w:r>
      <w:r w:rsidRPr="00BB6220">
        <w:t>Rainbow</w:t>
      </w:r>
      <w:r w:rsidR="003D640C">
        <w:t xml:space="preserve"> </w:t>
      </w:r>
      <w:r>
        <w:t>young</w:t>
      </w:r>
      <w:r w:rsidR="003D640C">
        <w:t xml:space="preserve"> </w:t>
      </w:r>
      <w:r>
        <w:t>people</w:t>
      </w:r>
      <w:r w:rsidR="001D1BF7">
        <w:t xml:space="preserve"> in Aotearoa</w:t>
      </w:r>
      <w:r w:rsidR="003D640C">
        <w:t xml:space="preserve"> </w:t>
      </w:r>
      <w:r>
        <w:t>aged</w:t>
      </w:r>
      <w:r w:rsidR="003D640C">
        <w:t xml:space="preserve"> </w:t>
      </w:r>
      <w:r>
        <w:t>14</w:t>
      </w:r>
      <w:r w:rsidR="00770461">
        <w:t>–</w:t>
      </w:r>
      <w:r>
        <w:t>26</w:t>
      </w:r>
      <w:r w:rsidR="003D640C">
        <w:t xml:space="preserve"> </w:t>
      </w:r>
      <w:r>
        <w:t>reported</w:t>
      </w:r>
      <w:r w:rsidR="003D640C">
        <w:t xml:space="preserve"> </w:t>
      </w:r>
      <w:r>
        <w:t>that</w:t>
      </w:r>
      <w:r w:rsidR="003D640C">
        <w:t xml:space="preserve"> </w:t>
      </w:r>
      <w:r w:rsidRPr="00BB6220">
        <w:t>3</w:t>
      </w:r>
      <w:r w:rsidR="001D1BF7">
        <w:t xml:space="preserve"> percent</w:t>
      </w:r>
      <w:r w:rsidR="003D640C">
        <w:t xml:space="preserve"> </w:t>
      </w:r>
      <w:r>
        <w:t>of</w:t>
      </w:r>
      <w:r w:rsidR="003D640C">
        <w:t xml:space="preserve"> </w:t>
      </w:r>
      <w:r>
        <w:t>those</w:t>
      </w:r>
      <w:r w:rsidR="003D640C">
        <w:t xml:space="preserve"> </w:t>
      </w:r>
      <w:r>
        <w:t>surveyed</w:t>
      </w:r>
      <w:r w:rsidR="003D640C">
        <w:t xml:space="preserve"> </w:t>
      </w:r>
      <w:r>
        <w:t>had</w:t>
      </w:r>
      <w:r w:rsidR="003D640C">
        <w:t xml:space="preserve"> </w:t>
      </w:r>
      <w:r>
        <w:t>experienced</w:t>
      </w:r>
      <w:r w:rsidR="003D640C">
        <w:t xml:space="preserve"> </w:t>
      </w:r>
      <w:r>
        <w:t>conversion</w:t>
      </w:r>
      <w:r w:rsidR="003D640C">
        <w:t xml:space="preserve"> </w:t>
      </w:r>
      <w:r>
        <w:t>practices.</w:t>
      </w:r>
      <w:r w:rsidR="003D640C">
        <w:t xml:space="preserve"> </w:t>
      </w:r>
      <w:r>
        <w:t>An</w:t>
      </w:r>
      <w:r w:rsidR="003D640C">
        <w:t xml:space="preserve"> </w:t>
      </w:r>
      <w:r>
        <w:t>additional</w:t>
      </w:r>
      <w:r w:rsidR="003D640C">
        <w:t xml:space="preserve"> </w:t>
      </w:r>
      <w:r>
        <w:t>4</w:t>
      </w:r>
      <w:r w:rsidR="001D1BF7">
        <w:t xml:space="preserve"> percent</w:t>
      </w:r>
      <w:r w:rsidR="003D640C">
        <w:t xml:space="preserve"> </w:t>
      </w:r>
      <w:r w:rsidRPr="00BB6220">
        <w:t>of</w:t>
      </w:r>
      <w:r w:rsidR="003D640C">
        <w:t xml:space="preserve"> </w:t>
      </w:r>
      <w:r>
        <w:t>survey</w:t>
      </w:r>
      <w:r w:rsidR="003D640C">
        <w:t xml:space="preserve"> </w:t>
      </w:r>
      <w:r w:rsidRPr="00BB6220">
        <w:t>participants</w:t>
      </w:r>
      <w:r w:rsidR="003D640C">
        <w:t xml:space="preserve"> </w:t>
      </w:r>
      <w:r>
        <w:t>reported</w:t>
      </w:r>
      <w:r w:rsidR="003D640C">
        <w:t xml:space="preserve"> </w:t>
      </w:r>
      <w:r>
        <w:t>that</w:t>
      </w:r>
      <w:r w:rsidR="003D640C">
        <w:t xml:space="preserve"> </w:t>
      </w:r>
      <w:r>
        <w:t>they</w:t>
      </w:r>
      <w:r w:rsidR="003D640C">
        <w:t xml:space="preserve"> </w:t>
      </w:r>
      <w:r>
        <w:t>were</w:t>
      </w:r>
      <w:r w:rsidR="003D640C">
        <w:t xml:space="preserve"> </w:t>
      </w:r>
      <w:r>
        <w:t>too</w:t>
      </w:r>
      <w:r w:rsidR="003D640C">
        <w:t xml:space="preserve"> </w:t>
      </w:r>
      <w:r>
        <w:t>upset</w:t>
      </w:r>
      <w:r w:rsidR="003D640C">
        <w:t xml:space="preserve"> </w:t>
      </w:r>
      <w:r>
        <w:t>to</w:t>
      </w:r>
      <w:r w:rsidR="003D640C">
        <w:t xml:space="preserve"> </w:t>
      </w:r>
      <w:r>
        <w:t>talk</w:t>
      </w:r>
      <w:r w:rsidR="003D640C">
        <w:t xml:space="preserve"> </w:t>
      </w:r>
      <w:r>
        <w:t>about</w:t>
      </w:r>
      <w:r w:rsidR="003D640C">
        <w:t xml:space="preserve"> </w:t>
      </w:r>
      <w:r>
        <w:t>it</w:t>
      </w:r>
      <w:r w:rsidRPr="00BB6220">
        <w:t>.</w:t>
      </w:r>
      <w:r w:rsidR="003D640C">
        <w:t xml:space="preserve"> </w:t>
      </w:r>
      <w:r w:rsidR="00335A78">
        <w:t>According to this</w:t>
      </w:r>
      <w:r w:rsidR="00245370">
        <w:t xml:space="preserve"> </w:t>
      </w:r>
      <w:r>
        <w:t>study</w:t>
      </w:r>
      <w:r w:rsidR="00335A78">
        <w:t>,</w:t>
      </w:r>
      <w:r w:rsidR="00245370">
        <w:t xml:space="preserve"> </w:t>
      </w:r>
      <w:r w:rsidDel="00FF1564">
        <w:t>a</w:t>
      </w:r>
      <w:r w:rsidR="003D640C">
        <w:t xml:space="preserve"> </w:t>
      </w:r>
      <w:r w:rsidR="00A45D8F">
        <w:t xml:space="preserve">more accurate </w:t>
      </w:r>
      <w:r w:rsidDel="00FF1564">
        <w:t>estimate</w:t>
      </w:r>
      <w:r w:rsidR="003D640C">
        <w:t xml:space="preserve"> </w:t>
      </w:r>
      <w:r w:rsidDel="00FF1564">
        <w:t>of</w:t>
      </w:r>
      <w:r w:rsidR="003D640C">
        <w:t xml:space="preserve"> </w:t>
      </w:r>
      <w:r>
        <w:t>the</w:t>
      </w:r>
      <w:r w:rsidR="003D640C">
        <w:t xml:space="preserve"> </w:t>
      </w:r>
      <w:r>
        <w:t>actual</w:t>
      </w:r>
      <w:r w:rsidR="003D640C">
        <w:t xml:space="preserve"> </w:t>
      </w:r>
      <w:r>
        <w:t>prevalence</w:t>
      </w:r>
      <w:r w:rsidR="003D640C">
        <w:t xml:space="preserve"> </w:t>
      </w:r>
      <w:r>
        <w:t>of</w:t>
      </w:r>
      <w:r w:rsidR="003D640C">
        <w:t xml:space="preserve"> </w:t>
      </w:r>
      <w:r>
        <w:t>conversion</w:t>
      </w:r>
      <w:r w:rsidR="003D640C">
        <w:t xml:space="preserve"> </w:t>
      </w:r>
      <w:r>
        <w:t>practices</w:t>
      </w:r>
      <w:r w:rsidR="003D640C">
        <w:t xml:space="preserve"> </w:t>
      </w:r>
      <w:r>
        <w:t>among</w:t>
      </w:r>
      <w:r w:rsidR="003D640C">
        <w:t xml:space="preserve"> </w:t>
      </w:r>
      <w:r>
        <w:t>young</w:t>
      </w:r>
      <w:r w:rsidR="003D640C">
        <w:t xml:space="preserve"> </w:t>
      </w:r>
      <w:r>
        <w:t>people</w:t>
      </w:r>
      <w:r w:rsidR="003D640C">
        <w:t xml:space="preserve"> </w:t>
      </w:r>
      <w:r w:rsidR="00FF1564">
        <w:t>may</w:t>
      </w:r>
      <w:r w:rsidR="003D640C">
        <w:t xml:space="preserve"> </w:t>
      </w:r>
      <w:r w:rsidR="00FF1564">
        <w:t>be</w:t>
      </w:r>
      <w:r w:rsidR="003D640C">
        <w:t xml:space="preserve"> </w:t>
      </w:r>
      <w:r>
        <w:t>7</w:t>
      </w:r>
      <w:r w:rsidR="001D1BF7">
        <w:t xml:space="preserve"> percent</w:t>
      </w:r>
      <w:r>
        <w:t>.</w:t>
      </w:r>
      <w:r w:rsidRPr="00BB6220">
        <w:rPr>
          <w:rStyle w:val="FootnoteReference"/>
        </w:rPr>
        <w:footnoteReference w:id="40"/>
      </w:r>
      <w:r w:rsidR="003D640C">
        <w:t xml:space="preserve"> </w:t>
      </w:r>
    </w:p>
    <w:p w14:paraId="105F73CB" w14:textId="765259E4" w:rsidR="009D7277" w:rsidRPr="00BB6220" w:rsidRDefault="009D7277" w:rsidP="00B50CCE">
      <w:r>
        <w:t>This</w:t>
      </w:r>
      <w:r w:rsidR="003D640C">
        <w:t xml:space="preserve"> </w:t>
      </w:r>
      <w:r>
        <w:t>study</w:t>
      </w:r>
      <w:r w:rsidR="003D640C">
        <w:t xml:space="preserve"> </w:t>
      </w:r>
      <w:r>
        <w:t>found</w:t>
      </w:r>
      <w:r w:rsidR="003D640C">
        <w:t xml:space="preserve"> </w:t>
      </w:r>
      <w:r>
        <w:t>that</w:t>
      </w:r>
      <w:r w:rsidR="00770461">
        <w:t>,</w:t>
      </w:r>
      <w:r w:rsidR="003D640C">
        <w:t xml:space="preserve"> </w:t>
      </w:r>
      <w:r>
        <w:t>amongst</w:t>
      </w:r>
      <w:r w:rsidR="003D640C">
        <w:t xml:space="preserve"> </w:t>
      </w:r>
      <w:r>
        <w:t>those</w:t>
      </w:r>
      <w:r w:rsidR="003D640C">
        <w:t xml:space="preserve"> </w:t>
      </w:r>
      <w:r w:rsidR="00160EE2">
        <w:t>who</w:t>
      </w:r>
      <w:r w:rsidR="003D640C">
        <w:t xml:space="preserve"> </w:t>
      </w:r>
      <w:r>
        <w:t>reported</w:t>
      </w:r>
      <w:r w:rsidR="003D640C">
        <w:t xml:space="preserve"> </w:t>
      </w:r>
      <w:r>
        <w:t>being</w:t>
      </w:r>
      <w:r w:rsidR="003D640C">
        <w:t xml:space="preserve"> </w:t>
      </w:r>
      <w:r>
        <w:t>exposed</w:t>
      </w:r>
      <w:r w:rsidR="003D640C">
        <w:t xml:space="preserve"> </w:t>
      </w:r>
      <w:r>
        <w:t>to</w:t>
      </w:r>
      <w:r w:rsidR="003D640C">
        <w:t xml:space="preserve"> </w:t>
      </w:r>
      <w:r>
        <w:t>conversion</w:t>
      </w:r>
      <w:r w:rsidR="003D640C">
        <w:t xml:space="preserve"> </w:t>
      </w:r>
      <w:r>
        <w:t>practices,</w:t>
      </w:r>
      <w:r w:rsidR="003D640C">
        <w:t xml:space="preserve"> </w:t>
      </w:r>
      <w:r>
        <w:t>a</w:t>
      </w:r>
      <w:r w:rsidR="003D640C">
        <w:t xml:space="preserve"> </w:t>
      </w:r>
      <w:r>
        <w:t>higher</w:t>
      </w:r>
      <w:r w:rsidR="003D640C">
        <w:t xml:space="preserve"> </w:t>
      </w:r>
      <w:r>
        <w:t>proportion</w:t>
      </w:r>
      <w:r w:rsidR="003D640C">
        <w:t xml:space="preserve"> </w:t>
      </w:r>
      <w:r w:rsidR="00770461">
        <w:t>of those</w:t>
      </w:r>
      <w:r w:rsidR="003D640C">
        <w:t xml:space="preserve"> </w:t>
      </w:r>
      <w:r w:rsidR="00770461">
        <w:t xml:space="preserve">aged </w:t>
      </w:r>
      <w:r>
        <w:t>19</w:t>
      </w:r>
      <w:r w:rsidR="00770461">
        <w:t>–</w:t>
      </w:r>
      <w:r>
        <w:t>26</w:t>
      </w:r>
      <w:r>
        <w:rPr>
          <w:rStyle w:val="FootnoteReference"/>
        </w:rPr>
        <w:footnoteReference w:id="41"/>
      </w:r>
      <w:r w:rsidR="003D640C">
        <w:t xml:space="preserve"> </w:t>
      </w:r>
      <w:r>
        <w:t>(</w:t>
      </w:r>
      <w:r w:rsidR="00DD7097">
        <w:t>compared</w:t>
      </w:r>
      <w:r w:rsidR="003D640C">
        <w:t xml:space="preserve"> </w:t>
      </w:r>
      <w:r w:rsidR="00770461">
        <w:t xml:space="preserve">to </w:t>
      </w:r>
      <w:r w:rsidR="00EB1BB1">
        <w:t>participants</w:t>
      </w:r>
      <w:r w:rsidR="00770461">
        <w:t xml:space="preserve"> aged </w:t>
      </w:r>
      <w:r>
        <w:t>14</w:t>
      </w:r>
      <w:r w:rsidR="00770461">
        <w:t>–</w:t>
      </w:r>
      <w:r>
        <w:t>18)</w:t>
      </w:r>
      <w:r w:rsidR="003D640C">
        <w:t xml:space="preserve"> </w:t>
      </w:r>
      <w:r>
        <w:t>were</w:t>
      </w:r>
      <w:r w:rsidR="003D640C">
        <w:t xml:space="preserve"> </w:t>
      </w:r>
      <w:r>
        <w:t>transgender,</w:t>
      </w:r>
      <w:r w:rsidR="003D640C">
        <w:t xml:space="preserve"> </w:t>
      </w:r>
      <w:r>
        <w:t>non-binary</w:t>
      </w:r>
      <w:r w:rsidR="00770461">
        <w:t>,</w:t>
      </w:r>
      <w:r w:rsidR="003D640C">
        <w:t xml:space="preserve"> </w:t>
      </w:r>
      <w:r>
        <w:t>or</w:t>
      </w:r>
      <w:r w:rsidR="003D640C">
        <w:t xml:space="preserve"> </w:t>
      </w:r>
      <w:r>
        <w:t>another</w:t>
      </w:r>
      <w:r w:rsidR="003D640C">
        <w:t xml:space="preserve"> </w:t>
      </w:r>
      <w:r>
        <w:t>non-cisgender</w:t>
      </w:r>
      <w:r w:rsidR="003D640C">
        <w:t xml:space="preserve"> </w:t>
      </w:r>
      <w:r>
        <w:t>identity</w:t>
      </w:r>
      <w:r w:rsidR="003D640C">
        <w:t xml:space="preserve"> </w:t>
      </w:r>
      <w:r w:rsidR="00E56957">
        <w:t>or</w:t>
      </w:r>
      <w:r w:rsidR="003D640C">
        <w:t xml:space="preserve"> </w:t>
      </w:r>
      <w:r>
        <w:t>were</w:t>
      </w:r>
      <w:r w:rsidR="003D640C">
        <w:t xml:space="preserve"> </w:t>
      </w:r>
      <w:r>
        <w:t>unsure/questioning</w:t>
      </w:r>
      <w:r w:rsidR="003D640C">
        <w:t xml:space="preserve"> </w:t>
      </w:r>
      <w:r w:rsidR="00C1121F">
        <w:t>their</w:t>
      </w:r>
      <w:r w:rsidR="003D640C">
        <w:t xml:space="preserve"> </w:t>
      </w:r>
      <w:r>
        <w:t>gender</w:t>
      </w:r>
      <w:r w:rsidR="003D640C">
        <w:t xml:space="preserve"> </w:t>
      </w:r>
      <w:r w:rsidR="00DE23CF">
        <w:t>(compared</w:t>
      </w:r>
      <w:r w:rsidR="003D640C">
        <w:t xml:space="preserve"> </w:t>
      </w:r>
      <w:r w:rsidR="00DE23CF">
        <w:t>with</w:t>
      </w:r>
      <w:r w:rsidR="003D640C">
        <w:t xml:space="preserve"> </w:t>
      </w:r>
      <w:r w:rsidR="00DE23CF">
        <w:t>cisgender)</w:t>
      </w:r>
      <w:r w:rsidR="003D640C">
        <w:t xml:space="preserve"> </w:t>
      </w:r>
      <w:r>
        <w:t>and</w:t>
      </w:r>
      <w:r w:rsidR="003D640C">
        <w:t xml:space="preserve"> </w:t>
      </w:r>
      <w:r>
        <w:t>reported</w:t>
      </w:r>
      <w:r w:rsidR="003D640C">
        <w:t xml:space="preserve"> </w:t>
      </w:r>
      <w:r>
        <w:t>severe</w:t>
      </w:r>
      <w:r w:rsidR="003D640C">
        <w:t xml:space="preserve"> </w:t>
      </w:r>
      <w:r w:rsidR="004626A4">
        <w:t>material</w:t>
      </w:r>
      <w:r w:rsidR="003D640C">
        <w:t xml:space="preserve"> </w:t>
      </w:r>
      <w:r>
        <w:t>deprivation</w:t>
      </w:r>
      <w:r w:rsidR="003D640C">
        <w:t xml:space="preserve"> </w:t>
      </w:r>
      <w:r w:rsidR="00C7433B">
        <w:t>(compared</w:t>
      </w:r>
      <w:r w:rsidR="003D640C">
        <w:t xml:space="preserve"> </w:t>
      </w:r>
      <w:r w:rsidR="00770461">
        <w:t>to</w:t>
      </w:r>
      <w:r w:rsidR="003D640C">
        <w:t xml:space="preserve"> </w:t>
      </w:r>
      <w:r w:rsidR="00C7433B">
        <w:t>those</w:t>
      </w:r>
      <w:r w:rsidR="003D640C">
        <w:t xml:space="preserve"> </w:t>
      </w:r>
      <w:r w:rsidR="00C7433B">
        <w:t>reporting</w:t>
      </w:r>
      <w:r w:rsidR="003D640C">
        <w:t xml:space="preserve"> </w:t>
      </w:r>
      <w:r w:rsidR="00C7433B">
        <w:t>no</w:t>
      </w:r>
      <w:r w:rsidR="003D640C">
        <w:t xml:space="preserve"> </w:t>
      </w:r>
      <w:r w:rsidR="00A8358A">
        <w:t>deprivation</w:t>
      </w:r>
      <w:r w:rsidR="003D640C">
        <w:t xml:space="preserve"> </w:t>
      </w:r>
      <w:r w:rsidR="00A8358A">
        <w:t>or</w:t>
      </w:r>
      <w:r w:rsidR="003D640C">
        <w:t xml:space="preserve"> </w:t>
      </w:r>
      <w:r w:rsidR="00A8358A">
        <w:t>mild</w:t>
      </w:r>
      <w:r w:rsidR="003D640C">
        <w:t xml:space="preserve"> </w:t>
      </w:r>
      <w:r w:rsidR="00A8358A">
        <w:t>deprivation)</w:t>
      </w:r>
      <w:r>
        <w:t>.</w:t>
      </w:r>
      <w:r w:rsidRPr="00BB6220">
        <w:rPr>
          <w:rStyle w:val="FootnoteReference"/>
        </w:rPr>
        <w:footnoteReference w:id="42"/>
      </w:r>
      <w:r w:rsidR="003D640C">
        <w:t xml:space="preserve"> </w:t>
      </w:r>
      <w:r>
        <w:t>Conversion</w:t>
      </w:r>
      <w:r w:rsidR="003D640C">
        <w:t xml:space="preserve"> </w:t>
      </w:r>
      <w:r>
        <w:t>practices</w:t>
      </w:r>
      <w:r w:rsidR="003D640C">
        <w:t xml:space="preserve"> </w:t>
      </w:r>
      <w:r>
        <w:t>were</w:t>
      </w:r>
      <w:r w:rsidR="003D640C">
        <w:t xml:space="preserve"> </w:t>
      </w:r>
      <w:r>
        <w:t>most</w:t>
      </w:r>
      <w:r w:rsidR="003D640C">
        <w:t xml:space="preserve"> </w:t>
      </w:r>
      <w:r>
        <w:t>commonly</w:t>
      </w:r>
      <w:r w:rsidR="003D640C">
        <w:t xml:space="preserve"> </w:t>
      </w:r>
      <w:r>
        <w:t>suggested</w:t>
      </w:r>
      <w:r w:rsidR="003D640C">
        <w:t xml:space="preserve"> </w:t>
      </w:r>
      <w:r>
        <w:t>by</w:t>
      </w:r>
      <w:r w:rsidR="003D640C">
        <w:t xml:space="preserve"> </w:t>
      </w:r>
      <w:r>
        <w:t>family/whānau</w:t>
      </w:r>
      <w:r w:rsidR="003D640C">
        <w:t xml:space="preserve"> </w:t>
      </w:r>
      <w:r>
        <w:t>members,</w:t>
      </w:r>
      <w:r w:rsidR="003D640C">
        <w:t xml:space="preserve"> </w:t>
      </w:r>
      <w:r>
        <w:t>followed</w:t>
      </w:r>
      <w:r w:rsidR="003D640C">
        <w:t xml:space="preserve"> </w:t>
      </w:r>
      <w:r>
        <w:t>by</w:t>
      </w:r>
      <w:r w:rsidR="003D640C">
        <w:t xml:space="preserve"> </w:t>
      </w:r>
      <w:r>
        <w:t>religious</w:t>
      </w:r>
      <w:r w:rsidR="003D640C">
        <w:t xml:space="preserve"> </w:t>
      </w:r>
      <w:r>
        <w:t>or</w:t>
      </w:r>
      <w:r w:rsidR="003D640C">
        <w:t xml:space="preserve"> </w:t>
      </w:r>
      <w:r>
        <w:t>spiritual</w:t>
      </w:r>
      <w:r w:rsidR="003D640C">
        <w:t xml:space="preserve"> </w:t>
      </w:r>
      <w:r>
        <w:t>leaders,</w:t>
      </w:r>
      <w:r w:rsidR="003D640C">
        <w:t xml:space="preserve"> </w:t>
      </w:r>
      <w:r>
        <w:t>the</w:t>
      </w:r>
      <w:r w:rsidR="003D640C">
        <w:t xml:space="preserve"> </w:t>
      </w:r>
      <w:r>
        <w:t>individual</w:t>
      </w:r>
      <w:r w:rsidR="003D640C">
        <w:t xml:space="preserve"> </w:t>
      </w:r>
      <w:r>
        <w:t>themselves,</w:t>
      </w:r>
      <w:r w:rsidR="003D640C">
        <w:t xml:space="preserve"> </w:t>
      </w:r>
      <w:r>
        <w:t>another</w:t>
      </w:r>
      <w:r w:rsidR="003D640C">
        <w:t xml:space="preserve"> </w:t>
      </w:r>
      <w:r>
        <w:t>person,</w:t>
      </w:r>
      <w:r w:rsidR="003D640C">
        <w:t xml:space="preserve"> </w:t>
      </w:r>
      <w:r>
        <w:t>and</w:t>
      </w:r>
      <w:r w:rsidR="003D640C">
        <w:t xml:space="preserve"> </w:t>
      </w:r>
      <w:r>
        <w:t>then</w:t>
      </w:r>
      <w:r w:rsidR="003D640C">
        <w:t xml:space="preserve"> </w:t>
      </w:r>
      <w:r>
        <w:t>medical</w:t>
      </w:r>
      <w:r w:rsidR="003D640C">
        <w:t xml:space="preserve"> </w:t>
      </w:r>
      <w:r>
        <w:t>professionals.</w:t>
      </w:r>
      <w:r w:rsidRPr="00BB6220">
        <w:rPr>
          <w:rStyle w:val="FootnoteReference"/>
        </w:rPr>
        <w:footnoteReference w:id="43"/>
      </w:r>
      <w:r w:rsidR="003D640C">
        <w:t xml:space="preserve"> </w:t>
      </w:r>
      <w:r>
        <w:t>Significantly,</w:t>
      </w:r>
      <w:r w:rsidR="003D640C">
        <w:t xml:space="preserve"> </w:t>
      </w:r>
      <w:r>
        <w:t>this</w:t>
      </w:r>
      <w:r w:rsidR="003D640C">
        <w:t xml:space="preserve"> </w:t>
      </w:r>
      <w:r>
        <w:t>study</w:t>
      </w:r>
      <w:r w:rsidR="003D640C">
        <w:t xml:space="preserve"> </w:t>
      </w:r>
      <w:r>
        <w:t>found</w:t>
      </w:r>
      <w:r w:rsidR="003D640C">
        <w:t xml:space="preserve"> </w:t>
      </w:r>
      <w:r>
        <w:t>that</w:t>
      </w:r>
      <w:r w:rsidR="003D640C">
        <w:t xml:space="preserve"> </w:t>
      </w:r>
      <w:r>
        <w:t>those</w:t>
      </w:r>
      <w:r w:rsidR="003D640C">
        <w:t xml:space="preserve"> </w:t>
      </w:r>
      <w:r>
        <w:t>who</w:t>
      </w:r>
      <w:r w:rsidR="003D640C">
        <w:t xml:space="preserve"> </w:t>
      </w:r>
      <w:r>
        <w:t>experienced</w:t>
      </w:r>
      <w:r w:rsidR="003D640C">
        <w:t xml:space="preserve"> </w:t>
      </w:r>
      <w:r>
        <w:t>conversion</w:t>
      </w:r>
      <w:r w:rsidR="003D640C">
        <w:t xml:space="preserve"> </w:t>
      </w:r>
      <w:r>
        <w:t>practices</w:t>
      </w:r>
      <w:r w:rsidR="003D640C">
        <w:t xml:space="preserve"> </w:t>
      </w:r>
      <w:r>
        <w:t>had</w:t>
      </w:r>
      <w:r w:rsidR="003D640C">
        <w:t xml:space="preserve"> </w:t>
      </w:r>
      <w:r>
        <w:t>a</w:t>
      </w:r>
      <w:r w:rsidR="003D640C">
        <w:t xml:space="preserve"> </w:t>
      </w:r>
      <w:r>
        <w:t>higher</w:t>
      </w:r>
      <w:r w:rsidR="003D640C">
        <w:t xml:space="preserve"> </w:t>
      </w:r>
      <w:r>
        <w:t>likelihood</w:t>
      </w:r>
      <w:r w:rsidR="003D640C">
        <w:t xml:space="preserve"> </w:t>
      </w:r>
      <w:r>
        <w:t>of</w:t>
      </w:r>
      <w:r w:rsidR="003D640C">
        <w:t xml:space="preserve"> </w:t>
      </w:r>
      <w:r>
        <w:t>reporting</w:t>
      </w:r>
      <w:r w:rsidR="003D640C">
        <w:t xml:space="preserve"> </w:t>
      </w:r>
      <w:r>
        <w:t>suicidal</w:t>
      </w:r>
      <w:r w:rsidR="003D640C">
        <w:t xml:space="preserve"> </w:t>
      </w:r>
      <w:r>
        <w:t>ideation,</w:t>
      </w:r>
      <w:r w:rsidR="003D640C">
        <w:t xml:space="preserve"> </w:t>
      </w:r>
      <w:r>
        <w:t>suicide</w:t>
      </w:r>
      <w:r w:rsidR="003D640C">
        <w:t xml:space="preserve"> </w:t>
      </w:r>
      <w:r>
        <w:t>planning</w:t>
      </w:r>
      <w:r w:rsidR="00957DED">
        <w:t>,</w:t>
      </w:r>
      <w:r w:rsidR="003D640C">
        <w:t xml:space="preserve"> </w:t>
      </w:r>
      <w:r>
        <w:t>and/or</w:t>
      </w:r>
      <w:r w:rsidR="003D640C">
        <w:t xml:space="preserve"> </w:t>
      </w:r>
      <w:r>
        <w:t>a</w:t>
      </w:r>
      <w:r w:rsidR="003D640C">
        <w:t xml:space="preserve"> </w:t>
      </w:r>
      <w:r>
        <w:t>suicide</w:t>
      </w:r>
      <w:r w:rsidR="003D640C">
        <w:t xml:space="preserve"> </w:t>
      </w:r>
      <w:r>
        <w:t>attempt</w:t>
      </w:r>
      <w:r w:rsidR="003D640C">
        <w:t xml:space="preserve"> </w:t>
      </w:r>
      <w:r w:rsidR="0084105F">
        <w:t>compared</w:t>
      </w:r>
      <w:r w:rsidR="003D640C">
        <w:t xml:space="preserve"> </w:t>
      </w:r>
      <w:r w:rsidR="00957DED">
        <w:t xml:space="preserve">to </w:t>
      </w:r>
      <w:r w:rsidR="0084105F">
        <w:t>those</w:t>
      </w:r>
      <w:r w:rsidR="003D640C">
        <w:t xml:space="preserve"> </w:t>
      </w:r>
      <w:r w:rsidR="0084105F">
        <w:t>who</w:t>
      </w:r>
      <w:r w:rsidR="003D640C">
        <w:t xml:space="preserve"> </w:t>
      </w:r>
      <w:r w:rsidR="0084105F">
        <w:t>had</w:t>
      </w:r>
      <w:r w:rsidR="003D640C">
        <w:t xml:space="preserve"> </w:t>
      </w:r>
      <w:r w:rsidR="0084105F">
        <w:t>not</w:t>
      </w:r>
      <w:r w:rsidR="003D640C">
        <w:t xml:space="preserve"> </w:t>
      </w:r>
      <w:r w:rsidR="0084105F">
        <w:t>experienced</w:t>
      </w:r>
      <w:r w:rsidR="003D640C">
        <w:t xml:space="preserve"> </w:t>
      </w:r>
      <w:r w:rsidR="0084105F">
        <w:t>conversion</w:t>
      </w:r>
      <w:r w:rsidR="003D640C">
        <w:t xml:space="preserve"> </w:t>
      </w:r>
      <w:r w:rsidR="0084105F">
        <w:t>practices</w:t>
      </w:r>
      <w:r>
        <w:t>.</w:t>
      </w:r>
      <w:r w:rsidR="003D640C">
        <w:t xml:space="preserve"> </w:t>
      </w:r>
      <w:r>
        <w:t>The</w:t>
      </w:r>
      <w:r w:rsidR="003D640C">
        <w:t xml:space="preserve"> </w:t>
      </w:r>
      <w:r>
        <w:t>study</w:t>
      </w:r>
      <w:r w:rsidR="003D640C">
        <w:t xml:space="preserve"> </w:t>
      </w:r>
      <w:r>
        <w:t>results</w:t>
      </w:r>
      <w:r w:rsidR="003D640C">
        <w:t xml:space="preserve"> </w:t>
      </w:r>
      <w:r>
        <w:t>confirm</w:t>
      </w:r>
      <w:r w:rsidR="003D640C">
        <w:t xml:space="preserve"> </w:t>
      </w:r>
      <w:r>
        <w:t>that</w:t>
      </w:r>
      <w:r w:rsidR="003D640C">
        <w:t xml:space="preserve"> </w:t>
      </w:r>
      <w:r>
        <w:t>conversion</w:t>
      </w:r>
      <w:r w:rsidR="003D640C">
        <w:t xml:space="preserve"> </w:t>
      </w:r>
      <w:r>
        <w:t>practices</w:t>
      </w:r>
      <w:r w:rsidR="003D640C">
        <w:t xml:space="preserve"> </w:t>
      </w:r>
      <w:r>
        <w:t>are</w:t>
      </w:r>
      <w:r w:rsidR="003D640C">
        <w:t xml:space="preserve"> </w:t>
      </w:r>
      <w:r>
        <w:t>occurring</w:t>
      </w:r>
      <w:r w:rsidR="003D640C">
        <w:t xml:space="preserve"> </w:t>
      </w:r>
      <w:r>
        <w:t>amongst</w:t>
      </w:r>
      <w:r w:rsidR="003D640C">
        <w:t xml:space="preserve"> </w:t>
      </w:r>
      <w:r>
        <w:t>a</w:t>
      </w:r>
      <w:r w:rsidR="003D640C">
        <w:t xml:space="preserve"> </w:t>
      </w:r>
      <w:r>
        <w:t>significant</w:t>
      </w:r>
      <w:r w:rsidR="003D640C">
        <w:t xml:space="preserve"> </w:t>
      </w:r>
      <w:r>
        <w:t>minority</w:t>
      </w:r>
      <w:r w:rsidR="003D640C">
        <w:t xml:space="preserve"> </w:t>
      </w:r>
      <w:r>
        <w:t>of</w:t>
      </w:r>
      <w:r w:rsidR="003D640C">
        <w:t xml:space="preserve"> </w:t>
      </w:r>
      <w:r>
        <w:t>young</w:t>
      </w:r>
      <w:r w:rsidR="003D640C">
        <w:t xml:space="preserve"> </w:t>
      </w:r>
      <w:r>
        <w:t>people</w:t>
      </w:r>
      <w:r w:rsidR="003D640C">
        <w:t xml:space="preserve"> </w:t>
      </w:r>
      <w:r>
        <w:t>and</w:t>
      </w:r>
      <w:r w:rsidR="003D640C">
        <w:t xml:space="preserve"> </w:t>
      </w:r>
      <w:r>
        <w:t>that</w:t>
      </w:r>
      <w:r w:rsidR="003D640C">
        <w:t xml:space="preserve"> </w:t>
      </w:r>
      <w:r>
        <w:t>they</w:t>
      </w:r>
      <w:r w:rsidR="003D640C">
        <w:t xml:space="preserve"> </w:t>
      </w:r>
      <w:r>
        <w:t>have</w:t>
      </w:r>
      <w:r w:rsidR="003D640C">
        <w:t xml:space="preserve"> </w:t>
      </w:r>
      <w:r>
        <w:t>harmful</w:t>
      </w:r>
      <w:r w:rsidR="003D640C">
        <w:t xml:space="preserve"> </w:t>
      </w:r>
      <w:r>
        <w:t>mental</w:t>
      </w:r>
      <w:r w:rsidR="003D640C">
        <w:t xml:space="preserve"> </w:t>
      </w:r>
      <w:r>
        <w:t>health</w:t>
      </w:r>
      <w:r w:rsidR="003D640C">
        <w:t xml:space="preserve"> </w:t>
      </w:r>
      <w:r>
        <w:t>impacts.</w:t>
      </w:r>
    </w:p>
    <w:p w14:paraId="38E9FC40" w14:textId="121B253F" w:rsidR="009D7277" w:rsidRPr="00BB6220" w:rsidRDefault="009D7277" w:rsidP="00B50CCE">
      <w:r w:rsidRPr="00BB6220">
        <w:t>A</w:t>
      </w:r>
      <w:r w:rsidR="003D640C">
        <w:t xml:space="preserve"> </w:t>
      </w:r>
      <w:r>
        <w:t>202</w:t>
      </w:r>
      <w:r w:rsidR="0007765D">
        <w:t>2</w:t>
      </w:r>
      <w:r w:rsidR="003D640C">
        <w:t xml:space="preserve"> </w:t>
      </w:r>
      <w:r w:rsidRPr="00BB6220">
        <w:t>study</w:t>
      </w:r>
      <w:r w:rsidR="003D640C">
        <w:t xml:space="preserve"> </w:t>
      </w:r>
      <w:r w:rsidRPr="00BB6220">
        <w:t>of</w:t>
      </w:r>
      <w:r w:rsidR="003D640C">
        <w:t xml:space="preserve"> </w:t>
      </w:r>
      <w:r w:rsidRPr="00BB6220">
        <w:t>the</w:t>
      </w:r>
      <w:r w:rsidR="003D640C">
        <w:t xml:space="preserve"> </w:t>
      </w:r>
      <w:r w:rsidRPr="00BB6220">
        <w:t>experiences</w:t>
      </w:r>
      <w:r w:rsidR="003D640C">
        <w:t xml:space="preserve"> </w:t>
      </w:r>
      <w:r w:rsidRPr="00BB6220">
        <w:t>of</w:t>
      </w:r>
      <w:r w:rsidR="003D640C">
        <w:t xml:space="preserve"> </w:t>
      </w:r>
      <w:r w:rsidRPr="00BB6220">
        <w:t>transgender</w:t>
      </w:r>
      <w:r w:rsidR="003D640C">
        <w:t xml:space="preserve"> </w:t>
      </w:r>
      <w:r w:rsidRPr="00BB6220">
        <w:t>and</w:t>
      </w:r>
      <w:r w:rsidR="003D640C">
        <w:t xml:space="preserve"> </w:t>
      </w:r>
      <w:r w:rsidRPr="00BB6220">
        <w:t>non-binary</w:t>
      </w:r>
      <w:r w:rsidR="003D640C">
        <w:t xml:space="preserve"> </w:t>
      </w:r>
      <w:r w:rsidRPr="00BB6220">
        <w:t>people</w:t>
      </w:r>
      <w:r w:rsidR="003D640C">
        <w:t xml:space="preserve"> </w:t>
      </w:r>
      <w:r w:rsidRPr="00BB6220">
        <w:t>of</w:t>
      </w:r>
      <w:r w:rsidR="003D640C">
        <w:t xml:space="preserve"> </w:t>
      </w:r>
      <w:r w:rsidRPr="00BB6220">
        <w:t>gender</w:t>
      </w:r>
      <w:r w:rsidR="003D640C">
        <w:t xml:space="preserve"> </w:t>
      </w:r>
      <w:r w:rsidRPr="00BB6220">
        <w:t>identity-related</w:t>
      </w:r>
      <w:r w:rsidR="003D640C">
        <w:t xml:space="preserve"> </w:t>
      </w:r>
      <w:r w:rsidRPr="00BB6220">
        <w:t>conversion</w:t>
      </w:r>
      <w:r w:rsidR="003D640C">
        <w:t xml:space="preserve"> </w:t>
      </w:r>
      <w:r w:rsidRPr="00BB6220">
        <w:t>practices</w:t>
      </w:r>
      <w:r w:rsidR="003D640C">
        <w:t xml:space="preserve"> </w:t>
      </w:r>
      <w:r w:rsidRPr="00BB6220">
        <w:t>in</w:t>
      </w:r>
      <w:r w:rsidR="003D640C">
        <w:t xml:space="preserve"> </w:t>
      </w:r>
      <w:r w:rsidRPr="00BB6220">
        <w:t>healthcare</w:t>
      </w:r>
      <w:r w:rsidR="003D640C">
        <w:t xml:space="preserve"> </w:t>
      </w:r>
      <w:r w:rsidRPr="00BB6220">
        <w:t>settings</w:t>
      </w:r>
      <w:r w:rsidR="003D640C">
        <w:t xml:space="preserve"> </w:t>
      </w:r>
      <w:r>
        <w:t>in</w:t>
      </w:r>
      <w:r w:rsidR="003D640C">
        <w:t xml:space="preserve"> </w:t>
      </w:r>
      <w:r>
        <w:t>Aotearoa</w:t>
      </w:r>
      <w:r w:rsidR="003D640C">
        <w:t xml:space="preserve"> </w:t>
      </w:r>
      <w:r>
        <w:t>found</w:t>
      </w:r>
      <w:r w:rsidR="003D640C">
        <w:t xml:space="preserve"> </w:t>
      </w:r>
      <w:r>
        <w:t>that</w:t>
      </w:r>
      <w:r w:rsidR="003D640C">
        <w:t xml:space="preserve"> </w:t>
      </w:r>
      <w:r w:rsidRPr="00BB6220">
        <w:t>20</w:t>
      </w:r>
      <w:r w:rsidR="001D1BF7">
        <w:t xml:space="preserve"> percent</w:t>
      </w:r>
      <w:r w:rsidR="003D640C">
        <w:t xml:space="preserve"> </w:t>
      </w:r>
      <w:r w:rsidRPr="00BB6220">
        <w:t>of</w:t>
      </w:r>
      <w:r w:rsidR="003D640C">
        <w:t xml:space="preserve"> </w:t>
      </w:r>
      <w:r w:rsidRPr="00BB6220">
        <w:t>participants</w:t>
      </w:r>
      <w:r w:rsidR="003D640C">
        <w:t xml:space="preserve"> </w:t>
      </w:r>
      <w:r w:rsidRPr="00BB6220">
        <w:t>had</w:t>
      </w:r>
      <w:r w:rsidR="003D640C">
        <w:t xml:space="preserve"> </w:t>
      </w:r>
      <w:r w:rsidRPr="00BB6220">
        <w:t>been</w:t>
      </w:r>
      <w:r w:rsidR="003D640C">
        <w:t xml:space="preserve"> </w:t>
      </w:r>
      <w:r w:rsidRPr="00BB6220">
        <w:t>exposed</w:t>
      </w:r>
      <w:r w:rsidR="003D640C">
        <w:t xml:space="preserve"> </w:t>
      </w:r>
      <w:r w:rsidRPr="00BB6220">
        <w:t>to</w:t>
      </w:r>
      <w:r w:rsidR="003D640C">
        <w:t xml:space="preserve"> </w:t>
      </w:r>
      <w:r w:rsidRPr="00BB6220">
        <w:t>conversion</w:t>
      </w:r>
      <w:r w:rsidR="003D640C">
        <w:t xml:space="preserve"> </w:t>
      </w:r>
      <w:r w:rsidRPr="00BB6220">
        <w:t>practices</w:t>
      </w:r>
      <w:r>
        <w:t>.</w:t>
      </w:r>
      <w:r w:rsidR="00AD483D" w:rsidRPr="00BB6220">
        <w:rPr>
          <w:rStyle w:val="FootnoteReference"/>
        </w:rPr>
        <w:footnoteReference w:id="44"/>
      </w:r>
      <w:r w:rsidR="003D640C">
        <w:t xml:space="preserve"> </w:t>
      </w:r>
      <w:r>
        <w:t>A</w:t>
      </w:r>
      <w:r w:rsidR="003D640C">
        <w:t xml:space="preserve"> </w:t>
      </w:r>
      <w:r w:rsidRPr="00BB6220">
        <w:t>further</w:t>
      </w:r>
      <w:r w:rsidR="003D640C">
        <w:t xml:space="preserve"> </w:t>
      </w:r>
      <w:r w:rsidRPr="00BB6220">
        <w:t>9</w:t>
      </w:r>
      <w:r w:rsidR="001D1BF7">
        <w:t xml:space="preserve"> percent</w:t>
      </w:r>
      <w:r w:rsidR="003D640C">
        <w:t xml:space="preserve"> </w:t>
      </w:r>
      <w:r>
        <w:t>did</w:t>
      </w:r>
      <w:r w:rsidR="003D640C">
        <w:t xml:space="preserve"> </w:t>
      </w:r>
      <w:r w:rsidRPr="00BB6220">
        <w:t>not</w:t>
      </w:r>
      <w:r w:rsidR="003D640C">
        <w:t xml:space="preserve"> </w:t>
      </w:r>
      <w:r w:rsidRPr="00BB6220">
        <w:t>know</w:t>
      </w:r>
      <w:r w:rsidR="003D640C">
        <w:t xml:space="preserve"> </w:t>
      </w:r>
      <w:r w:rsidRPr="00BB6220" w:rsidDel="00CF30B8">
        <w:t>if</w:t>
      </w:r>
      <w:r w:rsidR="003D640C">
        <w:t xml:space="preserve"> </w:t>
      </w:r>
      <w:r w:rsidRPr="00BB6220">
        <w:t>they</w:t>
      </w:r>
      <w:r w:rsidR="003D640C">
        <w:t xml:space="preserve"> </w:t>
      </w:r>
      <w:r w:rsidRPr="00BB6220">
        <w:t>had.</w:t>
      </w:r>
      <w:r w:rsidR="003D640C">
        <w:t xml:space="preserve"> </w:t>
      </w:r>
      <w:r>
        <w:t>Those</w:t>
      </w:r>
      <w:r w:rsidR="003D640C">
        <w:t xml:space="preserve"> </w:t>
      </w:r>
      <w:r>
        <w:t>with</w:t>
      </w:r>
      <w:r w:rsidR="003D640C">
        <w:t xml:space="preserve"> </w:t>
      </w:r>
      <w:r>
        <w:t>exposure</w:t>
      </w:r>
      <w:r w:rsidR="003D640C">
        <w:t xml:space="preserve"> </w:t>
      </w:r>
      <w:r>
        <w:t>to</w:t>
      </w:r>
      <w:r w:rsidR="003D640C">
        <w:t xml:space="preserve"> </w:t>
      </w:r>
      <w:r>
        <w:t>conversion</w:t>
      </w:r>
      <w:r w:rsidR="003D640C">
        <w:t xml:space="preserve"> </w:t>
      </w:r>
      <w:r>
        <w:t>practices</w:t>
      </w:r>
      <w:r w:rsidR="003D640C">
        <w:t xml:space="preserve"> </w:t>
      </w:r>
      <w:r>
        <w:t>were</w:t>
      </w:r>
      <w:r w:rsidR="003D640C">
        <w:t xml:space="preserve"> </w:t>
      </w:r>
      <w:r>
        <w:t>found</w:t>
      </w:r>
      <w:r w:rsidR="003D640C">
        <w:t xml:space="preserve"> </w:t>
      </w:r>
      <w:r>
        <w:t>to</w:t>
      </w:r>
      <w:r w:rsidR="003D640C">
        <w:t xml:space="preserve"> </w:t>
      </w:r>
      <w:r>
        <w:t>be</w:t>
      </w:r>
      <w:r w:rsidR="003D640C">
        <w:t xml:space="preserve"> </w:t>
      </w:r>
      <w:r>
        <w:t>more</w:t>
      </w:r>
      <w:r w:rsidR="003D640C">
        <w:t xml:space="preserve"> </w:t>
      </w:r>
      <w:r>
        <w:t>likely</w:t>
      </w:r>
      <w:r w:rsidR="003D640C">
        <w:t xml:space="preserve"> </w:t>
      </w:r>
      <w:r>
        <w:t>to</w:t>
      </w:r>
      <w:r w:rsidR="003D640C">
        <w:t xml:space="preserve"> </w:t>
      </w:r>
      <w:r>
        <w:t>report</w:t>
      </w:r>
      <w:r w:rsidR="003D640C">
        <w:t xml:space="preserve"> </w:t>
      </w:r>
      <w:r>
        <w:t>internalised</w:t>
      </w:r>
      <w:r w:rsidR="003D640C">
        <w:t xml:space="preserve"> </w:t>
      </w:r>
      <w:r>
        <w:t>transphobia,</w:t>
      </w:r>
      <w:r w:rsidR="003D640C">
        <w:t xml:space="preserve"> </w:t>
      </w:r>
      <w:r>
        <w:t>psychological</w:t>
      </w:r>
      <w:r w:rsidR="003D640C">
        <w:t xml:space="preserve"> </w:t>
      </w:r>
      <w:r>
        <w:t>distress,</w:t>
      </w:r>
      <w:r w:rsidR="003D640C">
        <w:t xml:space="preserve"> </w:t>
      </w:r>
      <w:r>
        <w:t>self-injury</w:t>
      </w:r>
      <w:r w:rsidR="00957DED">
        <w:t>,</w:t>
      </w:r>
      <w:r w:rsidR="003D640C">
        <w:t xml:space="preserve"> </w:t>
      </w:r>
      <w:r>
        <w:t>and</w:t>
      </w:r>
      <w:r w:rsidR="003D640C">
        <w:t xml:space="preserve"> </w:t>
      </w:r>
      <w:r>
        <w:t>suicide</w:t>
      </w:r>
      <w:r w:rsidR="003D640C">
        <w:t xml:space="preserve"> </w:t>
      </w:r>
      <w:r>
        <w:t>attempts.</w:t>
      </w:r>
      <w:r w:rsidR="003D640C">
        <w:t xml:space="preserve"> </w:t>
      </w:r>
      <w:r w:rsidR="001F1B03" w:rsidRPr="001F1B03">
        <w:t>This</w:t>
      </w:r>
      <w:r w:rsidR="003D640C">
        <w:t xml:space="preserve"> </w:t>
      </w:r>
      <w:r w:rsidR="001F1B03" w:rsidRPr="001F1B03">
        <w:t>study</w:t>
      </w:r>
      <w:r w:rsidR="003D640C">
        <w:t xml:space="preserve"> </w:t>
      </w:r>
      <w:r w:rsidR="001F1B03" w:rsidRPr="001F1B03">
        <w:t>also</w:t>
      </w:r>
      <w:r w:rsidR="003D640C">
        <w:t xml:space="preserve"> </w:t>
      </w:r>
      <w:r w:rsidR="001F1B03" w:rsidRPr="001F1B03">
        <w:t>confirmed</w:t>
      </w:r>
      <w:r w:rsidR="003D640C">
        <w:t xml:space="preserve"> </w:t>
      </w:r>
      <w:r w:rsidR="001F1B03" w:rsidRPr="001F1B03">
        <w:t>the</w:t>
      </w:r>
      <w:r w:rsidR="003D640C">
        <w:t xml:space="preserve"> </w:t>
      </w:r>
      <w:r w:rsidR="001F1B03" w:rsidRPr="001F1B03">
        <w:t>harmful</w:t>
      </w:r>
      <w:r w:rsidR="003D640C">
        <w:t xml:space="preserve"> </w:t>
      </w:r>
      <w:r w:rsidR="001F1B03" w:rsidRPr="001F1B03">
        <w:t>effects</w:t>
      </w:r>
      <w:r w:rsidR="003D640C">
        <w:t xml:space="preserve"> </w:t>
      </w:r>
      <w:r w:rsidR="001F1B03" w:rsidRPr="001F1B03">
        <w:t>of</w:t>
      </w:r>
      <w:r w:rsidR="003D640C">
        <w:t xml:space="preserve"> </w:t>
      </w:r>
      <w:r w:rsidR="001F1B03" w:rsidRPr="001F1B03">
        <w:t>these</w:t>
      </w:r>
      <w:r w:rsidR="003D640C">
        <w:t xml:space="preserve"> </w:t>
      </w:r>
      <w:r w:rsidR="001F1B03" w:rsidRPr="001F1B03">
        <w:t>practices.</w:t>
      </w:r>
    </w:p>
    <w:p w14:paraId="037F045C" w14:textId="7F27CDB2" w:rsidR="009D7277" w:rsidRPr="00BB6220" w:rsidRDefault="009D7277" w:rsidP="00B50CCE">
      <w:r>
        <w:t>The</w:t>
      </w:r>
      <w:r w:rsidR="003D640C">
        <w:t xml:space="preserve"> </w:t>
      </w:r>
      <w:r>
        <w:t>engagement</w:t>
      </w:r>
      <w:r w:rsidR="003D640C">
        <w:t xml:space="preserve"> </w:t>
      </w:r>
      <w:r>
        <w:t>we</w:t>
      </w:r>
      <w:r w:rsidR="003D640C">
        <w:t xml:space="preserve"> </w:t>
      </w:r>
      <w:r>
        <w:t>undertook</w:t>
      </w:r>
      <w:r w:rsidR="003D640C">
        <w:t xml:space="preserve"> </w:t>
      </w:r>
      <w:r>
        <w:t>as</w:t>
      </w:r>
      <w:r w:rsidR="003D640C">
        <w:t xml:space="preserve"> </w:t>
      </w:r>
      <w:r>
        <w:t>part</w:t>
      </w:r>
      <w:r w:rsidR="003D640C">
        <w:t xml:space="preserve"> </w:t>
      </w:r>
      <w:r>
        <w:t>of</w:t>
      </w:r>
      <w:r w:rsidR="003D640C">
        <w:t xml:space="preserve"> </w:t>
      </w:r>
      <w:r>
        <w:t>setting</w:t>
      </w:r>
      <w:r w:rsidR="003D640C">
        <w:t xml:space="preserve"> </w:t>
      </w:r>
      <w:r>
        <w:t>up</w:t>
      </w:r>
      <w:r w:rsidR="003D640C">
        <w:t xml:space="preserve"> </w:t>
      </w:r>
      <w:r>
        <w:t>the</w:t>
      </w:r>
      <w:r w:rsidR="003D640C">
        <w:t xml:space="preserve"> </w:t>
      </w:r>
      <w:r>
        <w:t>temporary</w:t>
      </w:r>
      <w:r w:rsidR="003D640C">
        <w:t xml:space="preserve"> </w:t>
      </w:r>
      <w:r>
        <w:t>response</w:t>
      </w:r>
      <w:r w:rsidR="003D640C">
        <w:t xml:space="preserve"> </w:t>
      </w:r>
      <w:r>
        <w:t>service</w:t>
      </w:r>
      <w:r w:rsidR="003D640C">
        <w:t xml:space="preserve"> </w:t>
      </w:r>
      <w:r>
        <w:t>further</w:t>
      </w:r>
      <w:r w:rsidR="003D640C">
        <w:t xml:space="preserve"> </w:t>
      </w:r>
      <w:r>
        <w:t>confirms</w:t>
      </w:r>
      <w:r w:rsidR="003D640C">
        <w:t xml:space="preserve"> </w:t>
      </w:r>
      <w:r>
        <w:t>the</w:t>
      </w:r>
      <w:r w:rsidR="003D640C">
        <w:t xml:space="preserve"> </w:t>
      </w:r>
      <w:r>
        <w:t>presence</w:t>
      </w:r>
      <w:r w:rsidR="003D640C">
        <w:t xml:space="preserve"> </w:t>
      </w:r>
      <w:r>
        <w:t>of</w:t>
      </w:r>
      <w:r w:rsidR="003D640C">
        <w:t xml:space="preserve"> </w:t>
      </w:r>
      <w:r>
        <w:t>conversion</w:t>
      </w:r>
      <w:r w:rsidR="003D640C">
        <w:t xml:space="preserve"> </w:t>
      </w:r>
      <w:r>
        <w:t>practices</w:t>
      </w:r>
      <w:r w:rsidR="003D640C">
        <w:t xml:space="preserve"> </w:t>
      </w:r>
      <w:r>
        <w:t>in</w:t>
      </w:r>
      <w:r w:rsidR="003D640C">
        <w:t xml:space="preserve"> </w:t>
      </w:r>
      <w:r>
        <w:t>Aotearoa.</w:t>
      </w:r>
      <w:r w:rsidR="003D640C">
        <w:t xml:space="preserve"> </w:t>
      </w:r>
      <w:r>
        <w:t>As</w:t>
      </w:r>
      <w:r w:rsidR="003D640C">
        <w:t xml:space="preserve"> </w:t>
      </w:r>
      <w:r>
        <w:t>part</w:t>
      </w:r>
      <w:r w:rsidR="003D640C">
        <w:t xml:space="preserve"> </w:t>
      </w:r>
      <w:r>
        <w:t>of</w:t>
      </w:r>
      <w:r w:rsidR="003D640C">
        <w:t xml:space="preserve"> </w:t>
      </w:r>
      <w:r>
        <w:t>this</w:t>
      </w:r>
      <w:r w:rsidR="003D640C">
        <w:t xml:space="preserve"> </w:t>
      </w:r>
      <w:r>
        <w:t>work,</w:t>
      </w:r>
      <w:r w:rsidR="003D640C">
        <w:t xml:space="preserve"> </w:t>
      </w:r>
      <w:r>
        <w:t>the</w:t>
      </w:r>
      <w:r w:rsidR="003D640C">
        <w:t xml:space="preserve"> </w:t>
      </w:r>
      <w:r>
        <w:t>Commission</w:t>
      </w:r>
      <w:r w:rsidR="003D640C">
        <w:t xml:space="preserve"> </w:t>
      </w:r>
      <w:r w:rsidRPr="00BB6220">
        <w:t>conducted</w:t>
      </w:r>
      <w:r w:rsidR="003D640C">
        <w:t xml:space="preserve"> </w:t>
      </w:r>
      <w:r>
        <w:t>a</w:t>
      </w:r>
      <w:r w:rsidR="003D640C">
        <w:t xml:space="preserve"> </w:t>
      </w:r>
      <w:r>
        <w:t>survey</w:t>
      </w:r>
      <w:r w:rsidR="003D640C">
        <w:t xml:space="preserve"> </w:t>
      </w:r>
      <w:r>
        <w:t>inviting</w:t>
      </w:r>
      <w:r w:rsidR="003D640C">
        <w:t xml:space="preserve"> </w:t>
      </w:r>
      <w:r>
        <w:t>participants</w:t>
      </w:r>
      <w:r w:rsidR="003D640C">
        <w:t xml:space="preserve"> </w:t>
      </w:r>
      <w:r>
        <w:t>at</w:t>
      </w:r>
      <w:r w:rsidR="003D640C">
        <w:t xml:space="preserve"> </w:t>
      </w:r>
      <w:r w:rsidRPr="00BB6220">
        <w:t>a</w:t>
      </w:r>
      <w:r w:rsidR="003D640C">
        <w:t xml:space="preserve"> </w:t>
      </w:r>
      <w:r w:rsidRPr="00BB6220">
        <w:t>2023</w:t>
      </w:r>
      <w:r w:rsidR="003D640C">
        <w:t xml:space="preserve"> </w:t>
      </w:r>
      <w:r w:rsidRPr="00BB6220">
        <w:t>conference</w:t>
      </w:r>
      <w:r w:rsidR="003D640C">
        <w:t xml:space="preserve"> </w:t>
      </w:r>
      <w:r w:rsidRPr="00BB6220">
        <w:t>for</w:t>
      </w:r>
      <w:r w:rsidR="003D640C">
        <w:t xml:space="preserve"> </w:t>
      </w:r>
      <w:r>
        <w:t>Rainbow</w:t>
      </w:r>
      <w:r w:rsidR="003D640C">
        <w:t xml:space="preserve"> </w:t>
      </w:r>
      <w:r w:rsidRPr="00BB6220">
        <w:t>people</w:t>
      </w:r>
      <w:r w:rsidR="003D640C">
        <w:t xml:space="preserve"> </w:t>
      </w:r>
      <w:r w:rsidRPr="00BB6220">
        <w:t>of</w:t>
      </w:r>
      <w:r w:rsidR="003D640C">
        <w:t xml:space="preserve"> </w:t>
      </w:r>
      <w:r w:rsidRPr="00BB6220">
        <w:t>faith</w:t>
      </w:r>
      <w:r w:rsidR="003D640C">
        <w:t xml:space="preserve"> </w:t>
      </w:r>
      <w:r>
        <w:t>to</w:t>
      </w:r>
      <w:r w:rsidR="003D640C">
        <w:t xml:space="preserve"> </w:t>
      </w:r>
      <w:r>
        <w:t>share</w:t>
      </w:r>
      <w:r w:rsidR="003D640C">
        <w:t xml:space="preserve"> </w:t>
      </w:r>
      <w:r>
        <w:t>their</w:t>
      </w:r>
      <w:r w:rsidR="003D640C">
        <w:t xml:space="preserve"> </w:t>
      </w:r>
      <w:r>
        <w:t>views</w:t>
      </w:r>
      <w:r w:rsidR="003D640C">
        <w:t xml:space="preserve"> </w:t>
      </w:r>
      <w:r>
        <w:t>on</w:t>
      </w:r>
      <w:r w:rsidR="003D640C">
        <w:t xml:space="preserve"> </w:t>
      </w:r>
      <w:r>
        <w:t>safe</w:t>
      </w:r>
      <w:r w:rsidR="003D640C">
        <w:t xml:space="preserve"> </w:t>
      </w:r>
      <w:r>
        <w:t>faith</w:t>
      </w:r>
      <w:r w:rsidR="003D640C">
        <w:t xml:space="preserve"> </w:t>
      </w:r>
      <w:r>
        <w:t>spaces</w:t>
      </w:r>
      <w:r w:rsidR="003D640C">
        <w:t xml:space="preserve"> </w:t>
      </w:r>
      <w:r>
        <w:t>and</w:t>
      </w:r>
      <w:r w:rsidR="003D640C">
        <w:t xml:space="preserve"> </w:t>
      </w:r>
      <w:r>
        <w:t>to</w:t>
      </w:r>
      <w:r w:rsidR="003D640C">
        <w:t xml:space="preserve"> </w:t>
      </w:r>
      <w:r>
        <w:t>help</w:t>
      </w:r>
      <w:r w:rsidR="003D640C">
        <w:t xml:space="preserve"> </w:t>
      </w:r>
      <w:r>
        <w:t>inform</w:t>
      </w:r>
      <w:r w:rsidR="003D640C">
        <w:t xml:space="preserve"> </w:t>
      </w:r>
      <w:r>
        <w:t>the</w:t>
      </w:r>
      <w:r w:rsidR="003D640C">
        <w:t xml:space="preserve"> </w:t>
      </w:r>
      <w:r>
        <w:t>development</w:t>
      </w:r>
      <w:r w:rsidR="003D640C">
        <w:t xml:space="preserve"> </w:t>
      </w:r>
      <w:r>
        <w:t>of</w:t>
      </w:r>
      <w:r w:rsidR="003D640C">
        <w:t xml:space="preserve"> </w:t>
      </w:r>
      <w:r>
        <w:t>the</w:t>
      </w:r>
      <w:r w:rsidR="003D640C">
        <w:t xml:space="preserve"> </w:t>
      </w:r>
      <w:r w:rsidR="00957DED">
        <w:t>c</w:t>
      </w:r>
      <w:r>
        <w:t>onversion</w:t>
      </w:r>
      <w:r w:rsidR="003D640C">
        <w:t xml:space="preserve"> </w:t>
      </w:r>
      <w:r w:rsidR="00957DED">
        <w:t>p</w:t>
      </w:r>
      <w:r>
        <w:t>ractices</w:t>
      </w:r>
      <w:r w:rsidR="003D640C">
        <w:t xml:space="preserve"> </w:t>
      </w:r>
      <w:r>
        <w:t>work</w:t>
      </w:r>
      <w:r w:rsidR="003D640C">
        <w:t xml:space="preserve"> </w:t>
      </w:r>
      <w:r>
        <w:t>programme.</w:t>
      </w:r>
      <w:r w:rsidR="003D640C">
        <w:t xml:space="preserve"> </w:t>
      </w:r>
      <w:r>
        <w:t>Of</w:t>
      </w:r>
      <w:r w:rsidR="003D640C">
        <w:t xml:space="preserve"> </w:t>
      </w:r>
      <w:r>
        <w:t>the</w:t>
      </w:r>
      <w:r w:rsidR="003D640C">
        <w:t xml:space="preserve"> </w:t>
      </w:r>
      <w:r>
        <w:t>26</w:t>
      </w:r>
      <w:r w:rsidR="003D640C">
        <w:t xml:space="preserve"> </w:t>
      </w:r>
      <w:r>
        <w:t>participants</w:t>
      </w:r>
      <w:r w:rsidR="003D640C">
        <w:t xml:space="preserve"> </w:t>
      </w:r>
      <w:r>
        <w:t>who</w:t>
      </w:r>
      <w:r w:rsidR="003D640C">
        <w:t xml:space="preserve"> </w:t>
      </w:r>
      <w:r>
        <w:t>completed</w:t>
      </w:r>
      <w:r w:rsidR="003D640C">
        <w:t xml:space="preserve"> </w:t>
      </w:r>
      <w:r>
        <w:t>the</w:t>
      </w:r>
      <w:r w:rsidR="003D640C">
        <w:t xml:space="preserve"> </w:t>
      </w:r>
      <w:r>
        <w:t>survey,</w:t>
      </w:r>
      <w:r w:rsidR="003D640C">
        <w:t xml:space="preserve"> </w:t>
      </w:r>
      <w:r w:rsidRPr="00BB6220">
        <w:t>35</w:t>
      </w:r>
      <w:r w:rsidR="001D1BF7">
        <w:t xml:space="preserve"> percent</w:t>
      </w:r>
      <w:r w:rsidR="003D640C">
        <w:t xml:space="preserve"> </w:t>
      </w:r>
      <w:r w:rsidRPr="00BB6220">
        <w:t>had</w:t>
      </w:r>
      <w:r w:rsidR="003D640C">
        <w:t xml:space="preserve"> </w:t>
      </w:r>
      <w:r w:rsidRPr="00BB6220">
        <w:t>experienced</w:t>
      </w:r>
      <w:r w:rsidR="003D640C">
        <w:t xml:space="preserve"> </w:t>
      </w:r>
      <w:r w:rsidRPr="00BB6220">
        <w:t>conversion</w:t>
      </w:r>
      <w:r w:rsidR="003D640C">
        <w:t xml:space="preserve"> </w:t>
      </w:r>
      <w:r w:rsidRPr="00BB6220">
        <w:t>practices</w:t>
      </w:r>
      <w:r>
        <w:t>.</w:t>
      </w:r>
      <w:r w:rsidR="003D640C">
        <w:t xml:space="preserve"> </w:t>
      </w:r>
      <w:r>
        <w:t>A</w:t>
      </w:r>
      <w:r w:rsidR="003D640C">
        <w:t xml:space="preserve"> </w:t>
      </w:r>
      <w:r w:rsidRPr="00BB6220">
        <w:t>further</w:t>
      </w:r>
      <w:r w:rsidR="003D640C">
        <w:t xml:space="preserve"> </w:t>
      </w:r>
      <w:r w:rsidRPr="00BB6220">
        <w:t>27</w:t>
      </w:r>
      <w:r w:rsidR="001D1BF7">
        <w:t xml:space="preserve"> percent</w:t>
      </w:r>
      <w:r w:rsidR="003D640C">
        <w:t xml:space="preserve"> </w:t>
      </w:r>
      <w:r>
        <w:t>were</w:t>
      </w:r>
      <w:r w:rsidR="003D640C">
        <w:t xml:space="preserve"> </w:t>
      </w:r>
      <w:r>
        <w:t>unsure</w:t>
      </w:r>
      <w:r w:rsidR="003D640C">
        <w:t xml:space="preserve"> </w:t>
      </w:r>
      <w:r>
        <w:t>if</w:t>
      </w:r>
      <w:r w:rsidR="003D640C">
        <w:t xml:space="preserve"> </w:t>
      </w:r>
      <w:r>
        <w:t>they</w:t>
      </w:r>
      <w:r w:rsidR="003D640C">
        <w:t xml:space="preserve"> </w:t>
      </w:r>
      <w:r>
        <w:t>had</w:t>
      </w:r>
      <w:r w:rsidR="003D640C">
        <w:t xml:space="preserve"> </w:t>
      </w:r>
      <w:r>
        <w:t>experienced</w:t>
      </w:r>
      <w:r w:rsidR="003D640C">
        <w:t xml:space="preserve"> </w:t>
      </w:r>
      <w:r>
        <w:t>conversion</w:t>
      </w:r>
      <w:r w:rsidR="003D640C">
        <w:t xml:space="preserve"> </w:t>
      </w:r>
      <w:r>
        <w:t>practices</w:t>
      </w:r>
      <w:r w:rsidR="00957DED">
        <w:t xml:space="preserve"> (s</w:t>
      </w:r>
      <w:r w:rsidRPr="00BB6220">
        <w:t>ee</w:t>
      </w:r>
      <w:r w:rsidR="003D640C">
        <w:t xml:space="preserve"> </w:t>
      </w:r>
      <w:r w:rsidR="001361A5">
        <w:fldChar w:fldCharType="begin"/>
      </w:r>
      <w:r w:rsidR="001361A5">
        <w:instrText xml:space="preserve"> REF _Ref168314494 \h </w:instrText>
      </w:r>
      <w:r w:rsidR="001361A5">
        <w:fldChar w:fldCharType="separate"/>
      </w:r>
      <w:r w:rsidR="001361A5" w:rsidRPr="007B527F">
        <w:t>Figure</w:t>
      </w:r>
      <w:r w:rsidR="001361A5">
        <w:t xml:space="preserve"> </w:t>
      </w:r>
      <w:r w:rsidR="001361A5" w:rsidRPr="007B527F">
        <w:t>1</w:t>
      </w:r>
      <w:r w:rsidR="001361A5">
        <w:fldChar w:fldCharType="end"/>
      </w:r>
      <w:r w:rsidR="00957DED">
        <w:rPr>
          <w:rStyle w:val="CommentReference"/>
          <w:sz w:val="22"/>
          <w:szCs w:val="22"/>
        </w:rPr>
        <w:t>)</w:t>
      </w:r>
      <w:r w:rsidRPr="00B1465F">
        <w:t>.</w:t>
      </w:r>
    </w:p>
    <w:p w14:paraId="3AD7007C" w14:textId="2B617AA8" w:rsidR="009D7277" w:rsidRPr="00B1465F" w:rsidRDefault="00723E3C" w:rsidP="00B50CCE">
      <w:r>
        <w:rPr>
          <w:noProof/>
        </w:rPr>
        <w:lastRenderedPageBreak/>
        <w:drawing>
          <wp:inline distT="0" distB="0" distL="0" distR="0" wp14:anchorId="07A17D45" wp14:editId="594F7C15">
            <wp:extent cx="4572000" cy="2743200"/>
            <wp:effectExtent l="0" t="0" r="0" b="0"/>
            <wp:docPr id="18033388" name="Chart 1">
              <a:extLst xmlns:a="http://schemas.openxmlformats.org/drawingml/2006/main">
                <a:ext uri="{FF2B5EF4-FFF2-40B4-BE49-F238E27FC236}">
                  <a16:creationId xmlns:a16="http://schemas.microsoft.com/office/drawing/2014/main" id="{57973CCC-E377-9269-3D2B-7265E0E1F7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D640C">
        <w:rPr>
          <w:noProof/>
        </w:rPr>
        <w:t xml:space="preserve"> </w:t>
      </w:r>
    </w:p>
    <w:p w14:paraId="653A5E53" w14:textId="088EFA4B" w:rsidR="009D7277" w:rsidRPr="00B1465F" w:rsidRDefault="007B527F" w:rsidP="007B527F">
      <w:pPr>
        <w:pStyle w:val="Caption"/>
      </w:pPr>
      <w:bookmarkStart w:id="72" w:name="_Ref168314494"/>
      <w:bookmarkStart w:id="73" w:name="_Toc174628728"/>
      <w:r w:rsidRPr="007B527F">
        <w:t>Figure</w:t>
      </w:r>
      <w:r w:rsidR="003D640C">
        <w:t xml:space="preserve"> </w:t>
      </w:r>
      <w:r w:rsidRPr="007B527F">
        <w:fldChar w:fldCharType="begin"/>
      </w:r>
      <w:r w:rsidRPr="007B527F">
        <w:instrText xml:space="preserve"> SEQ Figure \* ARABIC </w:instrText>
      </w:r>
      <w:r w:rsidRPr="007B527F">
        <w:fldChar w:fldCharType="separate"/>
      </w:r>
      <w:r w:rsidRPr="007B527F">
        <w:t>1</w:t>
      </w:r>
      <w:r w:rsidRPr="007B527F">
        <w:fldChar w:fldCharType="end"/>
      </w:r>
      <w:bookmarkEnd w:id="72"/>
      <w:r w:rsidRPr="007B527F">
        <w:t>:</w:t>
      </w:r>
      <w:r w:rsidR="003D640C">
        <w:t xml:space="preserve"> </w:t>
      </w:r>
      <w:r w:rsidR="00EB1BB1">
        <w:t xml:space="preserve">Prevalence </w:t>
      </w:r>
      <w:r w:rsidR="009D7277">
        <w:t>of</w:t>
      </w:r>
      <w:r w:rsidR="003D640C">
        <w:t xml:space="preserve"> </w:t>
      </w:r>
      <w:r w:rsidR="00EB1BB1">
        <w:t xml:space="preserve">experiencing </w:t>
      </w:r>
      <w:r w:rsidR="009D7277">
        <w:t>conversion</w:t>
      </w:r>
      <w:r w:rsidR="003D640C">
        <w:t xml:space="preserve"> </w:t>
      </w:r>
      <w:r w:rsidR="009D7277">
        <w:t>practices</w:t>
      </w:r>
      <w:r w:rsidR="009623B5">
        <w:t xml:space="preserve"> – s</w:t>
      </w:r>
      <w:r w:rsidR="009D7277" w:rsidRPr="00B1465F">
        <w:t>urvey</w:t>
      </w:r>
      <w:r w:rsidR="003D640C">
        <w:t xml:space="preserve"> </w:t>
      </w:r>
      <w:r w:rsidR="009D7277" w:rsidRPr="00B1465F">
        <w:t>results</w:t>
      </w:r>
      <w:r w:rsidR="003D640C">
        <w:t xml:space="preserve"> </w:t>
      </w:r>
      <w:r w:rsidR="009D7277" w:rsidRPr="00B1465F">
        <w:t>from</w:t>
      </w:r>
      <w:r w:rsidR="003D640C">
        <w:t xml:space="preserve"> </w:t>
      </w:r>
      <w:r w:rsidR="009D7277" w:rsidRPr="00B1465F">
        <w:t>Awaken</w:t>
      </w:r>
      <w:r w:rsidR="003D640C">
        <w:t xml:space="preserve"> </w:t>
      </w:r>
      <w:r w:rsidR="009D7277" w:rsidRPr="00B1465F">
        <w:t>|</w:t>
      </w:r>
      <w:r w:rsidR="003D640C">
        <w:t xml:space="preserve"> </w:t>
      </w:r>
      <w:r w:rsidR="009D7277" w:rsidRPr="00B1465F">
        <w:t>Maranga</w:t>
      </w:r>
      <w:r w:rsidR="003D640C">
        <w:t xml:space="preserve"> </w:t>
      </w:r>
      <w:r w:rsidR="009D7277" w:rsidRPr="00B1465F">
        <w:t>Mai</w:t>
      </w:r>
      <w:r w:rsidR="003D640C">
        <w:t xml:space="preserve"> </w:t>
      </w:r>
      <w:r w:rsidR="009D7277" w:rsidRPr="00B1465F">
        <w:t>conference</w:t>
      </w:r>
      <w:r w:rsidR="003D640C">
        <w:t xml:space="preserve"> </w:t>
      </w:r>
      <w:r w:rsidR="009D7277" w:rsidRPr="00B1465F">
        <w:t>2023</w:t>
      </w:r>
      <w:r w:rsidR="009623B5">
        <w:t>.</w:t>
      </w:r>
      <w:bookmarkEnd w:id="73"/>
    </w:p>
    <w:p w14:paraId="6C26CA44" w14:textId="705BB4C5" w:rsidR="009D7277" w:rsidRPr="00BB6220" w:rsidRDefault="009D7277" w:rsidP="00B50CCE">
      <w:r w:rsidRPr="00BB6220">
        <w:t>When</w:t>
      </w:r>
      <w:r w:rsidR="003D640C">
        <w:t xml:space="preserve"> </w:t>
      </w:r>
      <w:r w:rsidRPr="00BB6220">
        <w:t>asked</w:t>
      </w:r>
      <w:r w:rsidR="003D640C">
        <w:t xml:space="preserve"> </w:t>
      </w:r>
      <w:r w:rsidRPr="00BB6220">
        <w:t>who</w:t>
      </w:r>
      <w:r w:rsidR="003D640C">
        <w:t xml:space="preserve"> </w:t>
      </w:r>
      <w:r w:rsidRPr="00BB6220">
        <w:t>contributed</w:t>
      </w:r>
      <w:r w:rsidR="003D640C">
        <w:t xml:space="preserve"> </w:t>
      </w:r>
      <w:r w:rsidRPr="00BB6220">
        <w:t>to</w:t>
      </w:r>
      <w:r w:rsidR="003D640C">
        <w:t xml:space="preserve"> </w:t>
      </w:r>
      <w:r w:rsidRPr="00BB6220">
        <w:t>the</w:t>
      </w:r>
      <w:r w:rsidR="003D640C">
        <w:t xml:space="preserve"> </w:t>
      </w:r>
      <w:r w:rsidRPr="00BB6220">
        <w:t>practices,</w:t>
      </w:r>
      <w:r w:rsidR="003D640C">
        <w:t xml:space="preserve"> </w:t>
      </w:r>
      <w:r w:rsidRPr="00BB6220">
        <w:t>‘faith</w:t>
      </w:r>
      <w:r w:rsidR="003D640C">
        <w:t xml:space="preserve"> </w:t>
      </w:r>
      <w:r w:rsidRPr="00BB6220">
        <w:t>leader’</w:t>
      </w:r>
      <w:r w:rsidR="003D640C">
        <w:t xml:space="preserve"> </w:t>
      </w:r>
      <w:r w:rsidRPr="00BB6220">
        <w:t>was</w:t>
      </w:r>
      <w:r w:rsidR="003D640C">
        <w:t xml:space="preserve"> </w:t>
      </w:r>
      <w:r w:rsidRPr="00BB6220">
        <w:t>the</w:t>
      </w:r>
      <w:r w:rsidR="003D640C">
        <w:t xml:space="preserve"> </w:t>
      </w:r>
      <w:r w:rsidRPr="00BB6220">
        <w:t>most</w:t>
      </w:r>
      <w:r w:rsidR="003D640C">
        <w:t xml:space="preserve"> </w:t>
      </w:r>
      <w:r w:rsidRPr="00BB6220">
        <w:t>common</w:t>
      </w:r>
      <w:r w:rsidR="003D640C">
        <w:t xml:space="preserve"> </w:t>
      </w:r>
      <w:r w:rsidRPr="00BB6220">
        <w:t>response,</w:t>
      </w:r>
      <w:r w:rsidR="003D640C">
        <w:t xml:space="preserve"> </w:t>
      </w:r>
      <w:r w:rsidRPr="00BB6220">
        <w:t>followed</w:t>
      </w:r>
      <w:r w:rsidR="003D640C">
        <w:t xml:space="preserve"> </w:t>
      </w:r>
      <w:r w:rsidRPr="00BB6220">
        <w:t>by</w:t>
      </w:r>
      <w:r w:rsidR="003D640C">
        <w:t xml:space="preserve"> </w:t>
      </w:r>
      <w:r w:rsidRPr="00BB6220">
        <w:t>‘family</w:t>
      </w:r>
      <w:r w:rsidR="003D640C">
        <w:t xml:space="preserve"> </w:t>
      </w:r>
      <w:r w:rsidRPr="00BB6220">
        <w:t>member’,</w:t>
      </w:r>
      <w:r w:rsidR="003D640C">
        <w:t xml:space="preserve"> </w:t>
      </w:r>
      <w:r w:rsidRPr="00BB6220">
        <w:t>and</w:t>
      </w:r>
      <w:r w:rsidR="003D640C">
        <w:t xml:space="preserve"> </w:t>
      </w:r>
      <w:r w:rsidRPr="00BB6220">
        <w:t>‘being</w:t>
      </w:r>
      <w:r w:rsidR="003D640C">
        <w:t xml:space="preserve"> </w:t>
      </w:r>
      <w:r w:rsidRPr="00BB6220">
        <w:t>coerced</w:t>
      </w:r>
      <w:r w:rsidR="003D640C">
        <w:t xml:space="preserve"> </w:t>
      </w:r>
      <w:r w:rsidRPr="00BB6220">
        <w:t>to</w:t>
      </w:r>
      <w:r w:rsidR="003D640C">
        <w:t xml:space="preserve"> </w:t>
      </w:r>
      <w:r w:rsidRPr="00BB6220">
        <w:t>try</w:t>
      </w:r>
      <w:r w:rsidR="003D640C">
        <w:t xml:space="preserve"> </w:t>
      </w:r>
      <w:r w:rsidRPr="00BB6220">
        <w:t>to</w:t>
      </w:r>
      <w:r w:rsidR="003D640C">
        <w:t xml:space="preserve"> </w:t>
      </w:r>
      <w:r w:rsidRPr="00BB6220">
        <w:t>change</w:t>
      </w:r>
      <w:r w:rsidR="003D640C">
        <w:t xml:space="preserve"> </w:t>
      </w:r>
      <w:r w:rsidRPr="00BB6220">
        <w:t>themselves’</w:t>
      </w:r>
      <w:r w:rsidR="00424D66">
        <w:t xml:space="preserve"> (s</w:t>
      </w:r>
      <w:r w:rsidRPr="00BB6220">
        <w:t>ee</w:t>
      </w:r>
      <w:r w:rsidR="003D640C">
        <w:t xml:space="preserve"> </w:t>
      </w:r>
      <w:r w:rsidR="00424D66">
        <w:fldChar w:fldCharType="begin"/>
      </w:r>
      <w:r w:rsidR="00424D66">
        <w:instrText xml:space="preserve"> REF _Ref168315031 \h </w:instrText>
      </w:r>
      <w:r w:rsidR="00424D66">
        <w:fldChar w:fldCharType="separate"/>
      </w:r>
      <w:r w:rsidR="00424D66" w:rsidRPr="007B527F">
        <w:t>Figure</w:t>
      </w:r>
      <w:r w:rsidR="00424D66">
        <w:t xml:space="preserve"> </w:t>
      </w:r>
      <w:r w:rsidR="00424D66" w:rsidRPr="007B527F">
        <w:t>2</w:t>
      </w:r>
      <w:r w:rsidR="00424D66">
        <w:fldChar w:fldCharType="end"/>
      </w:r>
      <w:r w:rsidR="00424D66">
        <w:t>)</w:t>
      </w:r>
      <w:r w:rsidRPr="00BB6220">
        <w:t>.</w:t>
      </w:r>
    </w:p>
    <w:p w14:paraId="43433DE7" w14:textId="6F90D69F" w:rsidR="00D025FA" w:rsidRDefault="00645401" w:rsidP="00B50CCE">
      <w:r>
        <w:rPr>
          <w:noProof/>
        </w:rPr>
        <w:drawing>
          <wp:inline distT="0" distB="0" distL="0" distR="0" wp14:anchorId="22867E8F" wp14:editId="1CB203E6">
            <wp:extent cx="4572000" cy="2743200"/>
            <wp:effectExtent l="0" t="0" r="0" b="0"/>
            <wp:docPr id="984122743" name="Chart 1">
              <a:extLst xmlns:a="http://schemas.openxmlformats.org/drawingml/2006/main">
                <a:ext uri="{FF2B5EF4-FFF2-40B4-BE49-F238E27FC236}">
                  <a16:creationId xmlns:a16="http://schemas.microsoft.com/office/drawing/2014/main" id="{FD076B3B-1BCA-8BE1-45E7-62D5F4143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AC3E8D" w14:textId="2F49A5CA" w:rsidR="009D7277" w:rsidRPr="00B1465F" w:rsidRDefault="007B527F" w:rsidP="007B527F">
      <w:pPr>
        <w:pStyle w:val="Caption"/>
      </w:pPr>
      <w:bookmarkStart w:id="74" w:name="_Ref168315031"/>
      <w:bookmarkStart w:id="75" w:name="_Toc174628729"/>
      <w:r w:rsidRPr="007B527F">
        <w:t>Figure</w:t>
      </w:r>
      <w:r w:rsidR="003D640C">
        <w:t xml:space="preserve"> </w:t>
      </w:r>
      <w:r w:rsidRPr="007B527F">
        <w:fldChar w:fldCharType="begin"/>
      </w:r>
      <w:r w:rsidRPr="007B527F">
        <w:instrText xml:space="preserve"> SEQ Figure \* ARABIC </w:instrText>
      </w:r>
      <w:r w:rsidRPr="007B527F">
        <w:fldChar w:fldCharType="separate"/>
      </w:r>
      <w:r w:rsidRPr="007B527F">
        <w:t>2</w:t>
      </w:r>
      <w:r w:rsidRPr="007B527F">
        <w:fldChar w:fldCharType="end"/>
      </w:r>
      <w:bookmarkEnd w:id="74"/>
      <w:r w:rsidR="009D7277" w:rsidRPr="007B527F">
        <w:t>:</w:t>
      </w:r>
      <w:r w:rsidR="003D640C">
        <w:t xml:space="preserve"> </w:t>
      </w:r>
      <w:r w:rsidR="009D7277">
        <w:t>Contributors</w:t>
      </w:r>
      <w:r w:rsidR="003D640C">
        <w:t xml:space="preserve"> </w:t>
      </w:r>
      <w:r w:rsidR="009D7277">
        <w:t>to</w:t>
      </w:r>
      <w:r w:rsidR="003D640C">
        <w:t xml:space="preserve"> </w:t>
      </w:r>
      <w:r w:rsidR="009D7277">
        <w:t>conversion</w:t>
      </w:r>
      <w:r w:rsidR="003D640C">
        <w:t xml:space="preserve"> </w:t>
      </w:r>
      <w:r w:rsidR="009D7277">
        <w:t>practices</w:t>
      </w:r>
      <w:r w:rsidR="009623B5">
        <w:t xml:space="preserve"> – s</w:t>
      </w:r>
      <w:r w:rsidR="009D7277" w:rsidRPr="00B1465F">
        <w:t>urvey</w:t>
      </w:r>
      <w:r w:rsidR="003D640C">
        <w:t xml:space="preserve"> </w:t>
      </w:r>
      <w:r w:rsidR="009D7277" w:rsidRPr="00B1465F">
        <w:t>results</w:t>
      </w:r>
      <w:r w:rsidR="003D640C">
        <w:t xml:space="preserve"> </w:t>
      </w:r>
      <w:r w:rsidR="009D7277" w:rsidRPr="00B1465F">
        <w:t>from</w:t>
      </w:r>
      <w:r w:rsidR="003D640C">
        <w:t xml:space="preserve"> </w:t>
      </w:r>
      <w:r w:rsidR="009D7277" w:rsidRPr="00B1465F">
        <w:t>Awaken</w:t>
      </w:r>
      <w:r w:rsidR="003D640C">
        <w:t xml:space="preserve"> </w:t>
      </w:r>
      <w:r w:rsidR="009D7277" w:rsidRPr="00B1465F">
        <w:t>|</w:t>
      </w:r>
      <w:r w:rsidR="003D640C">
        <w:t xml:space="preserve"> </w:t>
      </w:r>
      <w:r w:rsidR="009D7277" w:rsidRPr="00B1465F">
        <w:t>Maranga</w:t>
      </w:r>
      <w:r w:rsidR="003D640C">
        <w:t xml:space="preserve"> </w:t>
      </w:r>
      <w:r w:rsidR="009D7277" w:rsidRPr="00B1465F">
        <w:t>Mai</w:t>
      </w:r>
      <w:r w:rsidR="003D640C">
        <w:t xml:space="preserve"> </w:t>
      </w:r>
      <w:r w:rsidR="009D7277" w:rsidRPr="00B1465F">
        <w:t>conference</w:t>
      </w:r>
      <w:r w:rsidR="003D640C">
        <w:t xml:space="preserve"> </w:t>
      </w:r>
      <w:r w:rsidR="009D7277" w:rsidRPr="00B1465F">
        <w:t>2023</w:t>
      </w:r>
      <w:r w:rsidR="00424D66">
        <w:t>.</w:t>
      </w:r>
      <w:bookmarkEnd w:id="75"/>
    </w:p>
    <w:p w14:paraId="7EE86EB3" w14:textId="7064DCD1" w:rsidR="009D7277" w:rsidRPr="00BB6220" w:rsidRDefault="009D7277" w:rsidP="00B50CCE">
      <w:r>
        <w:t>One</w:t>
      </w:r>
      <w:r w:rsidR="003D640C">
        <w:t xml:space="preserve"> </w:t>
      </w:r>
      <w:r>
        <w:t>participant</w:t>
      </w:r>
      <w:r w:rsidR="003D640C">
        <w:t xml:space="preserve"> </w:t>
      </w:r>
      <w:r>
        <w:t>at</w:t>
      </w:r>
      <w:r w:rsidR="003D640C">
        <w:t xml:space="preserve"> </w:t>
      </w:r>
      <w:r>
        <w:t>the</w:t>
      </w:r>
      <w:r w:rsidR="003D640C">
        <w:t xml:space="preserve"> </w:t>
      </w:r>
      <w:r>
        <w:t>Rainbow</w:t>
      </w:r>
      <w:r w:rsidR="003D640C">
        <w:t xml:space="preserve"> </w:t>
      </w:r>
      <w:r>
        <w:t>faith</w:t>
      </w:r>
      <w:r w:rsidR="003D640C">
        <w:t xml:space="preserve"> </w:t>
      </w:r>
      <w:r>
        <w:t>conference</w:t>
      </w:r>
      <w:r w:rsidR="00827CA2">
        <w:t xml:space="preserve"> – </w:t>
      </w:r>
      <w:r>
        <w:t>a</w:t>
      </w:r>
      <w:r w:rsidR="003D640C">
        <w:t xml:space="preserve"> </w:t>
      </w:r>
      <w:r>
        <w:t>Pākehā</w:t>
      </w:r>
      <w:r w:rsidR="003D640C">
        <w:t xml:space="preserve"> </w:t>
      </w:r>
      <w:r>
        <w:t>male</w:t>
      </w:r>
      <w:r w:rsidR="003D640C">
        <w:t xml:space="preserve"> </w:t>
      </w:r>
      <w:r>
        <w:t>community</w:t>
      </w:r>
      <w:r w:rsidR="003D640C">
        <w:t xml:space="preserve"> </w:t>
      </w:r>
      <w:r>
        <w:t>leader</w:t>
      </w:r>
      <w:r w:rsidR="003D640C">
        <w:t xml:space="preserve"> </w:t>
      </w:r>
      <w:r>
        <w:t>rather</w:t>
      </w:r>
      <w:r w:rsidR="003D640C">
        <w:t xml:space="preserve"> </w:t>
      </w:r>
      <w:r>
        <w:t>than</w:t>
      </w:r>
      <w:r w:rsidR="003D640C">
        <w:t xml:space="preserve"> </w:t>
      </w:r>
      <w:r>
        <w:t>a</w:t>
      </w:r>
      <w:r w:rsidR="003D640C">
        <w:t xml:space="preserve"> </w:t>
      </w:r>
      <w:r>
        <w:t>survivor</w:t>
      </w:r>
      <w:r w:rsidR="00827CA2">
        <w:t xml:space="preserve"> –</w:t>
      </w:r>
      <w:r w:rsidR="003D640C">
        <w:t xml:space="preserve"> </w:t>
      </w:r>
      <w:r>
        <w:t>observed,</w:t>
      </w:r>
      <w:r w:rsidR="003D640C">
        <w:t xml:space="preserve"> </w:t>
      </w:r>
      <w:r w:rsidRPr="00BB6220">
        <w:t>“I</w:t>
      </w:r>
      <w:r w:rsidR="003D640C">
        <w:t xml:space="preserve"> </w:t>
      </w:r>
      <w:r w:rsidRPr="00BB6220">
        <w:t>couldn’t</w:t>
      </w:r>
      <w:r w:rsidR="003D640C">
        <w:t xml:space="preserve"> </w:t>
      </w:r>
      <w:r w:rsidRPr="00BB6220">
        <w:t>believe</w:t>
      </w:r>
      <w:r w:rsidR="003D640C">
        <w:t xml:space="preserve"> </w:t>
      </w:r>
      <w:r w:rsidRPr="00BB6220">
        <w:t>that</w:t>
      </w:r>
      <w:r w:rsidR="003D640C">
        <w:t xml:space="preserve"> </w:t>
      </w:r>
      <w:r w:rsidRPr="00BB6220">
        <w:t>in</w:t>
      </w:r>
      <w:r w:rsidR="003D640C">
        <w:t xml:space="preserve"> </w:t>
      </w:r>
      <w:r w:rsidRPr="00BB6220">
        <w:t>a</w:t>
      </w:r>
      <w:r w:rsidR="003D640C">
        <w:t xml:space="preserve"> </w:t>
      </w:r>
      <w:r w:rsidRPr="00BB6220">
        <w:t>modern</w:t>
      </w:r>
      <w:r w:rsidR="003D640C">
        <w:t xml:space="preserve"> </w:t>
      </w:r>
      <w:r w:rsidRPr="00BB6220">
        <w:t>New</w:t>
      </w:r>
      <w:r w:rsidR="003D640C">
        <w:t xml:space="preserve"> </w:t>
      </w:r>
      <w:r w:rsidRPr="00BB6220">
        <w:t>Zealand</w:t>
      </w:r>
      <w:r w:rsidR="003D640C">
        <w:t xml:space="preserve"> </w:t>
      </w:r>
      <w:r w:rsidRPr="00BB6220">
        <w:t>a</w:t>
      </w:r>
      <w:r w:rsidR="003D640C">
        <w:t xml:space="preserve"> </w:t>
      </w:r>
      <w:r w:rsidRPr="00BB6220">
        <w:t>practice</w:t>
      </w:r>
      <w:r w:rsidR="003D640C">
        <w:t xml:space="preserve"> </w:t>
      </w:r>
      <w:r w:rsidRPr="00BB6220">
        <w:t>like</w:t>
      </w:r>
      <w:r w:rsidR="003D640C">
        <w:t xml:space="preserve"> </w:t>
      </w:r>
      <w:r w:rsidRPr="00BB6220">
        <w:t>that</w:t>
      </w:r>
      <w:r w:rsidR="003D640C">
        <w:t xml:space="preserve"> </w:t>
      </w:r>
      <w:r w:rsidRPr="00BB6220">
        <w:t>could</w:t>
      </w:r>
      <w:r w:rsidR="003D640C">
        <w:t xml:space="preserve"> </w:t>
      </w:r>
      <w:r w:rsidRPr="00BB6220">
        <w:t>actually</w:t>
      </w:r>
      <w:r w:rsidR="003D640C">
        <w:t xml:space="preserve"> </w:t>
      </w:r>
      <w:r w:rsidRPr="00BB6220">
        <w:t>be</w:t>
      </w:r>
      <w:r w:rsidR="003D640C">
        <w:t xml:space="preserve"> </w:t>
      </w:r>
      <w:r w:rsidRPr="00BB6220">
        <w:t>undertaken</w:t>
      </w:r>
      <w:r>
        <w:t>.</w:t>
      </w:r>
      <w:r w:rsidRPr="00BB6220">
        <w:t>”</w:t>
      </w:r>
      <w:r w:rsidR="003D640C">
        <w:t xml:space="preserve"> </w:t>
      </w:r>
    </w:p>
    <w:p w14:paraId="35EBD42C" w14:textId="6549E1B6" w:rsidR="009D7277" w:rsidRPr="00BB6220" w:rsidRDefault="009D7277" w:rsidP="00B50CCE">
      <w:pPr>
        <w:pStyle w:val="Heading2"/>
      </w:pPr>
      <w:bookmarkStart w:id="76" w:name="_Toc167780582"/>
      <w:bookmarkStart w:id="77" w:name="_Toc191699036"/>
      <w:bookmarkStart w:id="78" w:name="_Toc174628640"/>
      <w:r w:rsidRPr="00BB6220">
        <w:t>What</w:t>
      </w:r>
      <w:r w:rsidR="003D640C">
        <w:t xml:space="preserve"> </w:t>
      </w:r>
      <w:r w:rsidRPr="00BB6220">
        <w:t>is</w:t>
      </w:r>
      <w:r w:rsidR="003D640C">
        <w:t xml:space="preserve"> </w:t>
      </w:r>
      <w:r w:rsidRPr="00BB6220">
        <w:t>not</w:t>
      </w:r>
      <w:r w:rsidR="003D640C">
        <w:t xml:space="preserve"> </w:t>
      </w:r>
      <w:r w:rsidRPr="00BB6220">
        <w:t>a</w:t>
      </w:r>
      <w:r w:rsidR="003D640C">
        <w:t xml:space="preserve"> </w:t>
      </w:r>
      <w:r w:rsidR="00827CA2">
        <w:t>c</w:t>
      </w:r>
      <w:r w:rsidRPr="00BB6220">
        <w:t>onversion</w:t>
      </w:r>
      <w:r w:rsidR="003D640C">
        <w:t xml:space="preserve"> </w:t>
      </w:r>
      <w:r w:rsidR="00827CA2">
        <w:t>p</w:t>
      </w:r>
      <w:r w:rsidRPr="00BB6220">
        <w:t>ractice?</w:t>
      </w:r>
      <w:bookmarkEnd w:id="76"/>
      <w:bookmarkEnd w:id="77"/>
      <w:bookmarkEnd w:id="78"/>
      <w:r w:rsidR="003D640C">
        <w:t xml:space="preserve"> </w:t>
      </w:r>
    </w:p>
    <w:p w14:paraId="33375B4D" w14:textId="2F755FF9" w:rsidR="009D7277" w:rsidRPr="00BB6220" w:rsidRDefault="009D7277" w:rsidP="0002020B">
      <w:r w:rsidRPr="00BB6220">
        <w:t>Under</w:t>
      </w:r>
      <w:r w:rsidR="00827CA2">
        <w:t xml:space="preserve"> section 5(2)</w:t>
      </w:r>
      <w:r w:rsidR="003D640C">
        <w:t xml:space="preserve"> </w:t>
      </w:r>
      <w:r w:rsidR="00827CA2">
        <w:t xml:space="preserve">of </w:t>
      </w:r>
      <w:r w:rsidRPr="00BB6220">
        <w:t>the</w:t>
      </w:r>
      <w:r w:rsidR="003D640C">
        <w:t xml:space="preserve"> </w:t>
      </w:r>
      <w:r w:rsidRPr="00BB6220">
        <w:t>CPPLA,</w:t>
      </w:r>
      <w:r w:rsidR="003D640C">
        <w:t xml:space="preserve"> </w:t>
      </w:r>
      <w:r w:rsidRPr="00BB6220">
        <w:t>none</w:t>
      </w:r>
      <w:r w:rsidR="003D640C">
        <w:t xml:space="preserve"> </w:t>
      </w:r>
      <w:r w:rsidRPr="00BB6220">
        <w:t>of</w:t>
      </w:r>
      <w:r w:rsidR="003D640C">
        <w:t xml:space="preserve"> </w:t>
      </w:r>
      <w:r w:rsidRPr="00BB6220">
        <w:t>the</w:t>
      </w:r>
      <w:r w:rsidR="003D640C">
        <w:t xml:space="preserve"> </w:t>
      </w:r>
      <w:r w:rsidRPr="00BB6220">
        <w:t>following</w:t>
      </w:r>
      <w:r w:rsidR="003D640C">
        <w:t xml:space="preserve"> </w:t>
      </w:r>
      <w:r w:rsidRPr="00BB6220">
        <w:t>examples</w:t>
      </w:r>
      <w:r w:rsidR="003D640C">
        <w:t xml:space="preserve"> </w:t>
      </w:r>
      <w:r w:rsidRPr="00BB6220">
        <w:t>constitute</w:t>
      </w:r>
      <w:r w:rsidR="003D640C">
        <w:t xml:space="preserve"> </w:t>
      </w:r>
      <w:r w:rsidRPr="00BB6220">
        <w:t>a</w:t>
      </w:r>
      <w:r w:rsidR="003D640C">
        <w:t xml:space="preserve"> </w:t>
      </w:r>
      <w:r w:rsidRPr="00BB6220">
        <w:t>conversion</w:t>
      </w:r>
      <w:r w:rsidR="003D640C">
        <w:t xml:space="preserve"> </w:t>
      </w:r>
      <w:r w:rsidRPr="00BB6220">
        <w:t>practice,</w:t>
      </w:r>
      <w:r w:rsidR="003D640C">
        <w:t xml:space="preserve"> </w:t>
      </w:r>
      <w:r w:rsidRPr="00BB6220">
        <w:t>providing</w:t>
      </w:r>
      <w:r w:rsidR="003D640C">
        <w:t xml:space="preserve"> </w:t>
      </w:r>
      <w:r w:rsidRPr="00BB6220">
        <w:t>there</w:t>
      </w:r>
      <w:r w:rsidR="003D640C">
        <w:t xml:space="preserve"> </w:t>
      </w:r>
      <w:r w:rsidRPr="00BB6220">
        <w:t>is</w:t>
      </w:r>
      <w:r w:rsidR="003D640C">
        <w:t xml:space="preserve"> </w:t>
      </w:r>
      <w:r w:rsidRPr="00BB6220">
        <w:t>no</w:t>
      </w:r>
      <w:r w:rsidR="003D640C">
        <w:t xml:space="preserve"> </w:t>
      </w:r>
      <w:r w:rsidRPr="00BB6220">
        <w:t>intention</w:t>
      </w:r>
      <w:r w:rsidR="003D640C">
        <w:t xml:space="preserve"> </w:t>
      </w:r>
      <w:r w:rsidRPr="00BB6220">
        <w:t>to</w:t>
      </w:r>
      <w:r w:rsidR="003D640C">
        <w:t xml:space="preserve"> </w:t>
      </w:r>
      <w:r w:rsidRPr="00BB6220">
        <w:t>change</w:t>
      </w:r>
      <w:r w:rsidR="003D640C">
        <w:t xml:space="preserve"> </w:t>
      </w:r>
      <w:r w:rsidRPr="00BB6220">
        <w:t>or</w:t>
      </w:r>
      <w:r w:rsidR="003D640C">
        <w:t xml:space="preserve"> </w:t>
      </w:r>
      <w:r w:rsidRPr="00BB6220">
        <w:t>suppress</w:t>
      </w:r>
      <w:r w:rsidR="003D640C">
        <w:t xml:space="preserve"> </w:t>
      </w:r>
      <w:r w:rsidRPr="00BB6220">
        <w:t>an</w:t>
      </w:r>
      <w:r w:rsidR="003D640C">
        <w:t xml:space="preserve"> </w:t>
      </w:r>
      <w:r w:rsidRPr="00BB6220">
        <w:t>individual’s</w:t>
      </w:r>
      <w:r w:rsidR="003D640C">
        <w:t xml:space="preserve"> </w:t>
      </w:r>
      <w:r w:rsidRPr="00BB6220">
        <w:t>sexual</w:t>
      </w:r>
      <w:r w:rsidR="003D640C">
        <w:t xml:space="preserve"> </w:t>
      </w:r>
      <w:r w:rsidRPr="00BB6220">
        <w:t>orientation,</w:t>
      </w:r>
      <w:r w:rsidR="003D640C">
        <w:t xml:space="preserve"> </w:t>
      </w:r>
      <w:r w:rsidRPr="00BB6220">
        <w:t>gender</w:t>
      </w:r>
      <w:r w:rsidR="003D640C">
        <w:t xml:space="preserve"> </w:t>
      </w:r>
      <w:r w:rsidRPr="00BB6220">
        <w:t>identity</w:t>
      </w:r>
      <w:r w:rsidRPr="00BB6220">
        <w:rPr>
          <w:bCs/>
        </w:rPr>
        <w:t>,</w:t>
      </w:r>
      <w:r w:rsidR="003D640C">
        <w:t xml:space="preserve"> </w:t>
      </w:r>
      <w:r w:rsidRPr="00BB6220">
        <w:t>or</w:t>
      </w:r>
      <w:r w:rsidR="003D640C">
        <w:t xml:space="preserve"> </w:t>
      </w:r>
      <w:r w:rsidRPr="00BB6220">
        <w:t>gender</w:t>
      </w:r>
      <w:r w:rsidR="003D640C">
        <w:t xml:space="preserve"> </w:t>
      </w:r>
      <w:r w:rsidRPr="00BB6220">
        <w:t>expression</w:t>
      </w:r>
      <w:r w:rsidR="00CD5809">
        <w:t>.</w:t>
      </w:r>
    </w:p>
    <w:p w14:paraId="6DB65F1A" w14:textId="4F9BDA7E" w:rsidR="009D7277" w:rsidRPr="00BB6220" w:rsidRDefault="00827CA2" w:rsidP="0002020B">
      <w:pPr>
        <w:pStyle w:val="Bullet"/>
      </w:pPr>
      <w:r>
        <w:t>A</w:t>
      </w:r>
      <w:r w:rsidR="003D640C">
        <w:t xml:space="preserve"> </w:t>
      </w:r>
      <w:r w:rsidR="009D7277" w:rsidRPr="00BB6220">
        <w:t>religious</w:t>
      </w:r>
      <w:r w:rsidR="003D640C">
        <w:t xml:space="preserve"> </w:t>
      </w:r>
      <w:r w:rsidR="009D7277" w:rsidRPr="00BB6220">
        <w:t>leader</w:t>
      </w:r>
      <w:r w:rsidR="003D640C">
        <w:t xml:space="preserve"> </w:t>
      </w:r>
      <w:r w:rsidR="009D7277" w:rsidRPr="00BB6220">
        <w:t>preaching</w:t>
      </w:r>
      <w:r w:rsidR="003D640C">
        <w:t xml:space="preserve"> </w:t>
      </w:r>
      <w:r w:rsidR="009D7277" w:rsidRPr="00BB6220">
        <w:t>to</w:t>
      </w:r>
      <w:r w:rsidR="003D640C">
        <w:t xml:space="preserve"> </w:t>
      </w:r>
      <w:r w:rsidR="009D7277" w:rsidRPr="00BB6220">
        <w:t>or</w:t>
      </w:r>
      <w:r w:rsidR="003D640C">
        <w:t xml:space="preserve"> </w:t>
      </w:r>
      <w:r w:rsidR="009D7277" w:rsidRPr="00BB6220">
        <w:t>praying</w:t>
      </w:r>
      <w:r w:rsidR="003D640C">
        <w:t xml:space="preserve"> </w:t>
      </w:r>
      <w:r w:rsidR="009D7277" w:rsidRPr="00BB6220">
        <w:t>for</w:t>
      </w:r>
      <w:r w:rsidR="003D640C">
        <w:t xml:space="preserve"> </w:t>
      </w:r>
      <w:r w:rsidR="009D7277" w:rsidRPr="00BB6220">
        <w:t>their</w:t>
      </w:r>
      <w:r w:rsidR="003D640C">
        <w:t xml:space="preserve"> </w:t>
      </w:r>
      <w:r w:rsidR="009D7277" w:rsidRPr="00BB6220">
        <w:t>congregation</w:t>
      </w:r>
      <w:r>
        <w:t>.</w:t>
      </w:r>
    </w:p>
    <w:p w14:paraId="086B6940" w14:textId="1C9B1801" w:rsidR="009D7277" w:rsidRPr="00BB6220" w:rsidRDefault="00827CA2" w:rsidP="0002020B">
      <w:pPr>
        <w:pStyle w:val="Bullet"/>
      </w:pPr>
      <w:r>
        <w:lastRenderedPageBreak/>
        <w:t>A</w:t>
      </w:r>
      <w:r w:rsidR="003D640C">
        <w:t xml:space="preserve"> </w:t>
      </w:r>
      <w:r w:rsidR="009D7277" w:rsidRPr="00BB6220">
        <w:t>religious</w:t>
      </w:r>
      <w:r w:rsidR="003D640C">
        <w:t xml:space="preserve"> </w:t>
      </w:r>
      <w:r w:rsidR="009D7277" w:rsidRPr="00BB6220">
        <w:t>leader</w:t>
      </w:r>
      <w:r w:rsidR="003D640C">
        <w:t xml:space="preserve"> </w:t>
      </w:r>
      <w:r w:rsidR="009D7277" w:rsidRPr="00BB6220">
        <w:t>praying</w:t>
      </w:r>
      <w:r w:rsidR="003D640C">
        <w:t xml:space="preserve"> </w:t>
      </w:r>
      <w:r w:rsidR="009D7277" w:rsidRPr="00BB6220">
        <w:t>for</w:t>
      </w:r>
      <w:r w:rsidR="003D640C">
        <w:t xml:space="preserve"> </w:t>
      </w:r>
      <w:r w:rsidR="009D7277" w:rsidRPr="00BB6220">
        <w:t>or</w:t>
      </w:r>
      <w:r w:rsidR="003D640C">
        <w:t xml:space="preserve"> </w:t>
      </w:r>
      <w:r w:rsidR="009D7277" w:rsidRPr="00BB6220">
        <w:t>providing</w:t>
      </w:r>
      <w:r w:rsidR="003D640C">
        <w:t xml:space="preserve"> </w:t>
      </w:r>
      <w:r w:rsidR="009D7277" w:rsidRPr="00BB6220">
        <w:t>pastoral</w:t>
      </w:r>
      <w:r w:rsidR="003D640C">
        <w:t xml:space="preserve"> </w:t>
      </w:r>
      <w:r w:rsidR="009D7277" w:rsidRPr="00BB6220">
        <w:t>care</w:t>
      </w:r>
      <w:r w:rsidR="003D640C">
        <w:t xml:space="preserve"> </w:t>
      </w:r>
      <w:r w:rsidR="009D7277" w:rsidRPr="00BB6220">
        <w:t>for</w:t>
      </w:r>
      <w:r w:rsidR="003D640C">
        <w:t xml:space="preserve"> </w:t>
      </w:r>
      <w:r w:rsidR="009D7277" w:rsidRPr="00BB6220">
        <w:t>an</w:t>
      </w:r>
      <w:r w:rsidR="003D640C">
        <w:t xml:space="preserve"> </w:t>
      </w:r>
      <w:r w:rsidR="009D7277" w:rsidRPr="00BB6220">
        <w:t>individual</w:t>
      </w:r>
      <w:r>
        <w:t>.</w:t>
      </w:r>
    </w:p>
    <w:p w14:paraId="1BB17905" w14:textId="04F495F7" w:rsidR="009D7277" w:rsidRPr="00BB6220" w:rsidRDefault="00827CA2" w:rsidP="0002020B">
      <w:pPr>
        <w:pStyle w:val="Bullet"/>
      </w:pPr>
      <w:r>
        <w:t>A</w:t>
      </w:r>
      <w:r w:rsidR="003D640C">
        <w:t xml:space="preserve"> </w:t>
      </w:r>
      <w:r w:rsidR="009D7277" w:rsidRPr="00BB6220">
        <w:t>parent</w:t>
      </w:r>
      <w:r w:rsidR="003D640C">
        <w:t xml:space="preserve"> </w:t>
      </w:r>
      <w:r w:rsidR="009D7277" w:rsidRPr="00BB6220">
        <w:t>or</w:t>
      </w:r>
      <w:r w:rsidR="003D640C">
        <w:t xml:space="preserve"> </w:t>
      </w:r>
      <w:r w:rsidR="009D7277" w:rsidRPr="00BB6220">
        <w:t>guardian</w:t>
      </w:r>
      <w:r w:rsidR="003D640C">
        <w:t xml:space="preserve"> </w:t>
      </w:r>
      <w:r w:rsidR="009D7277" w:rsidRPr="00BB6220">
        <w:t>respectfully</w:t>
      </w:r>
      <w:r w:rsidR="003D640C">
        <w:t xml:space="preserve"> </w:t>
      </w:r>
      <w:r w:rsidR="009D7277" w:rsidRPr="00BB6220">
        <w:t>discussing</w:t>
      </w:r>
      <w:r w:rsidR="003D640C">
        <w:t xml:space="preserve"> </w:t>
      </w:r>
      <w:r w:rsidR="009D7277" w:rsidRPr="00BB6220">
        <w:t>sexual</w:t>
      </w:r>
      <w:r w:rsidR="003D640C">
        <w:t xml:space="preserve"> </w:t>
      </w:r>
      <w:r w:rsidR="009D7277" w:rsidRPr="00BB6220">
        <w:t>orientation</w:t>
      </w:r>
      <w:r w:rsidR="003D640C">
        <w:t xml:space="preserve"> </w:t>
      </w:r>
      <w:r w:rsidR="009D7277" w:rsidRPr="00BB6220">
        <w:t>or</w:t>
      </w:r>
      <w:r w:rsidR="003D640C">
        <w:t xml:space="preserve"> </w:t>
      </w:r>
      <w:r w:rsidR="009D7277" w:rsidRPr="00BB6220">
        <w:t>gender</w:t>
      </w:r>
      <w:r w:rsidR="003D640C">
        <w:t xml:space="preserve"> </w:t>
      </w:r>
      <w:r w:rsidR="009D7277" w:rsidRPr="00BB6220">
        <w:t>with</w:t>
      </w:r>
      <w:r w:rsidR="003D640C">
        <w:t xml:space="preserve"> </w:t>
      </w:r>
      <w:r w:rsidR="009D7277" w:rsidRPr="00BB6220">
        <w:t>their</w:t>
      </w:r>
      <w:r w:rsidR="003D640C">
        <w:t xml:space="preserve"> </w:t>
      </w:r>
      <w:r w:rsidR="009D7277" w:rsidRPr="00BB6220">
        <w:t>child</w:t>
      </w:r>
      <w:r w:rsidR="009D7277">
        <w:t>,</w:t>
      </w:r>
      <w:r w:rsidR="003D640C">
        <w:t xml:space="preserve"> </w:t>
      </w:r>
      <w:r w:rsidR="009D7277" w:rsidRPr="00BB6220">
        <w:t>including</w:t>
      </w:r>
      <w:r w:rsidR="003D640C">
        <w:t xml:space="preserve"> </w:t>
      </w:r>
      <w:r w:rsidR="009D7277" w:rsidRPr="00BB6220">
        <w:t>offering</w:t>
      </w:r>
      <w:r w:rsidR="003D640C">
        <w:t xml:space="preserve"> </w:t>
      </w:r>
      <w:r w:rsidR="009D7277" w:rsidRPr="00BB6220">
        <w:t>advice</w:t>
      </w:r>
      <w:r w:rsidR="003D640C">
        <w:t xml:space="preserve"> </w:t>
      </w:r>
      <w:r w:rsidR="009D7277" w:rsidRPr="00BB6220">
        <w:t>and</w:t>
      </w:r>
      <w:r w:rsidR="003D640C">
        <w:t xml:space="preserve"> </w:t>
      </w:r>
      <w:r w:rsidR="009D7277" w:rsidRPr="00BB6220">
        <w:t>guidance</w:t>
      </w:r>
      <w:r w:rsidR="003D640C">
        <w:t xml:space="preserve"> </w:t>
      </w:r>
      <w:r w:rsidR="009D7277" w:rsidRPr="00BB6220">
        <w:t>or</w:t>
      </w:r>
      <w:r w:rsidR="003D640C">
        <w:t xml:space="preserve"> </w:t>
      </w:r>
      <w:r w:rsidR="009D7277" w:rsidRPr="00BB6220">
        <w:t>expressing</w:t>
      </w:r>
      <w:r w:rsidR="003D640C">
        <w:t xml:space="preserve"> </w:t>
      </w:r>
      <w:r w:rsidR="009D7277" w:rsidRPr="00BB6220">
        <w:t>a</w:t>
      </w:r>
      <w:r w:rsidR="003D640C">
        <w:t xml:space="preserve"> </w:t>
      </w:r>
      <w:r w:rsidR="009D7277" w:rsidRPr="00BB6220">
        <w:t>belief</w:t>
      </w:r>
      <w:r w:rsidR="003D640C">
        <w:t xml:space="preserve"> </w:t>
      </w:r>
      <w:r w:rsidR="009D7277" w:rsidRPr="00BB6220">
        <w:t>or</w:t>
      </w:r>
      <w:r w:rsidR="003D640C">
        <w:t xml:space="preserve"> </w:t>
      </w:r>
      <w:r w:rsidR="009D7277" w:rsidRPr="00BB6220">
        <w:t>religious</w:t>
      </w:r>
      <w:r w:rsidR="003D640C">
        <w:t xml:space="preserve"> </w:t>
      </w:r>
      <w:r w:rsidR="009D7277" w:rsidRPr="00BB6220">
        <w:t>principle</w:t>
      </w:r>
      <w:r>
        <w:t>.</w:t>
      </w:r>
    </w:p>
    <w:p w14:paraId="027C7436" w14:textId="7E7E47F3" w:rsidR="009D7277" w:rsidRPr="00BB6220" w:rsidRDefault="00827CA2" w:rsidP="0002020B">
      <w:pPr>
        <w:pStyle w:val="Bullet"/>
      </w:pPr>
      <w:r>
        <w:t>A</w:t>
      </w:r>
      <w:r w:rsidR="003D640C">
        <w:t xml:space="preserve"> </w:t>
      </w:r>
      <w:r w:rsidR="009D7277" w:rsidRPr="00BB6220">
        <w:t>medical</w:t>
      </w:r>
      <w:r w:rsidR="003D640C">
        <w:t xml:space="preserve"> </w:t>
      </w:r>
      <w:r w:rsidR="009D7277" w:rsidRPr="00BB6220">
        <w:t>practitioner</w:t>
      </w:r>
      <w:r w:rsidR="003D640C">
        <w:t xml:space="preserve"> </w:t>
      </w:r>
      <w:r w:rsidR="009D7277" w:rsidRPr="00BB6220">
        <w:t>delaying</w:t>
      </w:r>
      <w:r w:rsidR="003D640C">
        <w:t xml:space="preserve"> </w:t>
      </w:r>
      <w:r w:rsidR="009D7277" w:rsidRPr="00BB6220">
        <w:t>hormone</w:t>
      </w:r>
      <w:r w:rsidR="003D640C">
        <w:t xml:space="preserve"> </w:t>
      </w:r>
      <w:r w:rsidR="009D7277" w:rsidRPr="00BB6220">
        <w:t>treatment</w:t>
      </w:r>
      <w:r w:rsidR="003D640C">
        <w:t xml:space="preserve"> </w:t>
      </w:r>
      <w:r w:rsidR="009D7277" w:rsidRPr="00BB6220">
        <w:t>to</w:t>
      </w:r>
      <w:r w:rsidR="003D640C">
        <w:t xml:space="preserve"> </w:t>
      </w:r>
      <w:r w:rsidR="009D7277" w:rsidRPr="00BB6220">
        <w:t>allow</w:t>
      </w:r>
      <w:r w:rsidR="003D640C">
        <w:t xml:space="preserve"> </w:t>
      </w:r>
      <w:r w:rsidR="009D7277" w:rsidRPr="00BB6220">
        <w:t>for</w:t>
      </w:r>
      <w:r w:rsidR="003D640C">
        <w:t xml:space="preserve"> </w:t>
      </w:r>
      <w:r w:rsidR="009D7277" w:rsidRPr="00BB6220">
        <w:t>the</w:t>
      </w:r>
      <w:r w:rsidR="003D640C">
        <w:t xml:space="preserve"> </w:t>
      </w:r>
      <w:r w:rsidR="009D7277" w:rsidRPr="00BB6220">
        <w:t>development</w:t>
      </w:r>
      <w:r w:rsidR="003D640C">
        <w:t xml:space="preserve"> </w:t>
      </w:r>
      <w:r w:rsidR="009D7277" w:rsidRPr="00BB6220">
        <w:t>of</w:t>
      </w:r>
      <w:r w:rsidR="003D640C">
        <w:t xml:space="preserve"> </w:t>
      </w:r>
      <w:r w:rsidR="009D7277" w:rsidRPr="00BB6220">
        <w:t>a</w:t>
      </w:r>
      <w:r w:rsidR="003D640C">
        <w:t xml:space="preserve"> </w:t>
      </w:r>
      <w:r w:rsidR="009D7277" w:rsidRPr="00BB6220">
        <w:t>plan</w:t>
      </w:r>
      <w:r w:rsidR="003D640C">
        <w:t xml:space="preserve"> </w:t>
      </w:r>
      <w:r w:rsidR="009D7277" w:rsidRPr="00BB6220">
        <w:t>for</w:t>
      </w:r>
      <w:r w:rsidR="003D640C">
        <w:t xml:space="preserve"> </w:t>
      </w:r>
      <w:r w:rsidR="009D7277" w:rsidRPr="00BB6220">
        <w:t>gender</w:t>
      </w:r>
      <w:r>
        <w:t>-</w:t>
      </w:r>
      <w:r w:rsidR="009D7277" w:rsidRPr="00BB6220">
        <w:t>affirming</w:t>
      </w:r>
      <w:r w:rsidR="003D640C">
        <w:t xml:space="preserve"> </w:t>
      </w:r>
      <w:r w:rsidR="009D7277" w:rsidRPr="00BB6220">
        <w:t>healthcare</w:t>
      </w:r>
      <w:r w:rsidR="003D640C">
        <w:t xml:space="preserve"> </w:t>
      </w:r>
      <w:r w:rsidR="009D7277" w:rsidRPr="00BB6220">
        <w:t>or</w:t>
      </w:r>
      <w:r w:rsidR="003D640C">
        <w:t xml:space="preserve"> </w:t>
      </w:r>
      <w:r w:rsidR="009D7277" w:rsidRPr="00BB6220">
        <w:t>for</w:t>
      </w:r>
      <w:r w:rsidR="003D640C">
        <w:t xml:space="preserve"> </w:t>
      </w:r>
      <w:r w:rsidR="009D7277" w:rsidRPr="00BB6220">
        <w:t>activities</w:t>
      </w:r>
      <w:r w:rsidR="003D640C">
        <w:t xml:space="preserve"> </w:t>
      </w:r>
      <w:r w:rsidR="009D7277" w:rsidRPr="00BB6220">
        <w:t>such</w:t>
      </w:r>
      <w:r w:rsidR="003D640C">
        <w:t xml:space="preserve"> </w:t>
      </w:r>
      <w:r w:rsidR="009D7277" w:rsidRPr="00BB6220">
        <w:t>as</w:t>
      </w:r>
      <w:r w:rsidR="003D640C">
        <w:t xml:space="preserve"> </w:t>
      </w:r>
      <w:r w:rsidR="009D7277" w:rsidRPr="00BB6220">
        <w:t>counselling.</w:t>
      </w:r>
      <w:r w:rsidR="003D640C">
        <w:t xml:space="preserve"> </w:t>
      </w:r>
      <w:r w:rsidR="009D7277" w:rsidRPr="00BB6220">
        <w:t>Practitioners</w:t>
      </w:r>
      <w:r w:rsidR="003D640C">
        <w:t xml:space="preserve"> </w:t>
      </w:r>
      <w:r w:rsidR="009D7277" w:rsidRPr="00BB6220">
        <w:t>need</w:t>
      </w:r>
      <w:r w:rsidR="003D640C">
        <w:t xml:space="preserve"> </w:t>
      </w:r>
      <w:r w:rsidR="009D7277" w:rsidRPr="00BB6220">
        <w:t>to</w:t>
      </w:r>
      <w:r w:rsidR="003D640C">
        <w:t xml:space="preserve"> </w:t>
      </w:r>
      <w:r w:rsidR="00CA4D7A">
        <w:t>comply</w:t>
      </w:r>
      <w:r w:rsidR="003D640C">
        <w:t xml:space="preserve"> </w:t>
      </w:r>
      <w:r w:rsidR="00CA4D7A">
        <w:t>with</w:t>
      </w:r>
      <w:r w:rsidR="003D640C">
        <w:t xml:space="preserve"> </w:t>
      </w:r>
      <w:r w:rsidR="00CA4D7A">
        <w:t>all</w:t>
      </w:r>
      <w:r w:rsidR="003D640C">
        <w:t xml:space="preserve"> </w:t>
      </w:r>
      <w:r w:rsidR="009D7277" w:rsidRPr="00BB6220">
        <w:t>legal,</w:t>
      </w:r>
      <w:r w:rsidR="003D640C">
        <w:t xml:space="preserve"> </w:t>
      </w:r>
      <w:r w:rsidR="009D7277" w:rsidRPr="00BB6220">
        <w:t>professional</w:t>
      </w:r>
      <w:r>
        <w:t>,</w:t>
      </w:r>
      <w:r w:rsidR="003D640C">
        <w:t xml:space="preserve"> </w:t>
      </w:r>
      <w:r w:rsidR="009D7277" w:rsidRPr="00BB6220">
        <w:t>and</w:t>
      </w:r>
      <w:r w:rsidR="003D640C">
        <w:t xml:space="preserve"> </w:t>
      </w:r>
      <w:r w:rsidR="009D7277" w:rsidRPr="00BB6220">
        <w:t>ethical</w:t>
      </w:r>
      <w:r w:rsidR="003D640C">
        <w:t xml:space="preserve"> </w:t>
      </w:r>
      <w:r w:rsidR="009D7277" w:rsidRPr="00BB6220">
        <w:t>standards</w:t>
      </w:r>
      <w:r w:rsidR="003D640C">
        <w:t xml:space="preserve"> </w:t>
      </w:r>
      <w:r w:rsidR="009D7277" w:rsidRPr="00BB6220">
        <w:t>and</w:t>
      </w:r>
      <w:r w:rsidR="003D640C">
        <w:t xml:space="preserve"> </w:t>
      </w:r>
      <w:r w:rsidR="009D7277" w:rsidRPr="00BB6220">
        <w:t>exercise</w:t>
      </w:r>
      <w:r w:rsidR="003D640C">
        <w:t xml:space="preserve"> </w:t>
      </w:r>
      <w:r w:rsidR="009D7277" w:rsidRPr="00BB6220">
        <w:t>reasonable</w:t>
      </w:r>
      <w:r w:rsidR="003D640C">
        <w:t xml:space="preserve"> </w:t>
      </w:r>
      <w:r w:rsidR="009D7277" w:rsidRPr="00BB6220">
        <w:t>professional</w:t>
      </w:r>
      <w:r w:rsidR="003D640C">
        <w:t xml:space="preserve"> </w:t>
      </w:r>
      <w:r w:rsidR="009D7277" w:rsidRPr="00BB6220">
        <w:t>judgement</w:t>
      </w:r>
      <w:r>
        <w:t>.</w:t>
      </w:r>
    </w:p>
    <w:p w14:paraId="7B82E25A" w14:textId="08A92EB6" w:rsidR="009D7277" w:rsidRPr="00BB6220" w:rsidRDefault="009D7277" w:rsidP="0002020B">
      <w:r w:rsidRPr="00BB6220">
        <w:t>It</w:t>
      </w:r>
      <w:r w:rsidR="003D640C">
        <w:t xml:space="preserve"> </w:t>
      </w:r>
      <w:r w:rsidRPr="00BB6220">
        <w:t>is</w:t>
      </w:r>
      <w:r w:rsidR="003D640C">
        <w:t xml:space="preserve"> </w:t>
      </w:r>
      <w:r w:rsidRPr="00BB6220">
        <w:t>important</w:t>
      </w:r>
      <w:r w:rsidR="003D640C">
        <w:t xml:space="preserve"> </w:t>
      </w:r>
      <w:r w:rsidRPr="00BB6220">
        <w:t>to</w:t>
      </w:r>
      <w:r w:rsidR="003D640C">
        <w:t xml:space="preserve"> </w:t>
      </w:r>
      <w:r w:rsidRPr="00BB6220">
        <w:t>bear</w:t>
      </w:r>
      <w:r w:rsidR="003D640C">
        <w:t xml:space="preserve"> </w:t>
      </w:r>
      <w:r w:rsidRPr="00BB6220">
        <w:t>in</w:t>
      </w:r>
      <w:r w:rsidR="003D640C">
        <w:t xml:space="preserve"> </w:t>
      </w:r>
      <w:r w:rsidRPr="00BB6220">
        <w:t>mind</w:t>
      </w:r>
      <w:r w:rsidR="003D640C">
        <w:t xml:space="preserve"> </w:t>
      </w:r>
      <w:r w:rsidRPr="00BB6220">
        <w:t>the</w:t>
      </w:r>
      <w:r w:rsidR="003D640C">
        <w:t xml:space="preserve"> </w:t>
      </w:r>
      <w:r w:rsidRPr="00BB6220">
        <w:t>distinction</w:t>
      </w:r>
      <w:r w:rsidR="003D640C">
        <w:t xml:space="preserve"> </w:t>
      </w:r>
      <w:r w:rsidRPr="00BB6220">
        <w:t>that,</w:t>
      </w:r>
      <w:r w:rsidR="003D640C">
        <w:t xml:space="preserve"> </w:t>
      </w:r>
      <w:r w:rsidRPr="00BB6220">
        <w:t>while</w:t>
      </w:r>
      <w:r w:rsidR="003D640C">
        <w:t xml:space="preserve"> </w:t>
      </w:r>
      <w:r w:rsidRPr="00BB6220">
        <w:t>these</w:t>
      </w:r>
      <w:r w:rsidR="003D640C">
        <w:t xml:space="preserve"> </w:t>
      </w:r>
      <w:r w:rsidRPr="00BB6220">
        <w:t>activities</w:t>
      </w:r>
      <w:r w:rsidR="003D640C">
        <w:t xml:space="preserve"> </w:t>
      </w:r>
      <w:r w:rsidRPr="00BB6220">
        <w:rPr>
          <w:i/>
          <w:iCs/>
        </w:rPr>
        <w:t>can</w:t>
      </w:r>
      <w:r w:rsidR="003D640C">
        <w:t xml:space="preserve"> </w:t>
      </w:r>
      <w:r w:rsidRPr="00BB6220">
        <w:t>be</w:t>
      </w:r>
      <w:r w:rsidR="003D640C">
        <w:t xml:space="preserve"> </w:t>
      </w:r>
      <w:r w:rsidRPr="00BB6220">
        <w:t>lawful,</w:t>
      </w:r>
      <w:r w:rsidR="003D640C">
        <w:t xml:space="preserve"> </w:t>
      </w:r>
      <w:r w:rsidRPr="00BB6220">
        <w:t>they</w:t>
      </w:r>
      <w:r w:rsidR="003D640C">
        <w:t xml:space="preserve"> </w:t>
      </w:r>
      <w:r w:rsidRPr="00BB6220">
        <w:t>are</w:t>
      </w:r>
      <w:r w:rsidR="003D640C">
        <w:t xml:space="preserve"> </w:t>
      </w:r>
      <w:r w:rsidRPr="00BB6220">
        <w:rPr>
          <w:i/>
        </w:rPr>
        <w:t>not</w:t>
      </w:r>
      <w:r w:rsidR="003D640C">
        <w:t xml:space="preserve"> </w:t>
      </w:r>
      <w:r w:rsidRPr="00BB6220">
        <w:t>lawful</w:t>
      </w:r>
      <w:r w:rsidR="003D640C">
        <w:t xml:space="preserve"> </w:t>
      </w:r>
      <w:r w:rsidRPr="00BB6220">
        <w:t>if</w:t>
      </w:r>
      <w:r w:rsidR="003D640C">
        <w:t xml:space="preserve"> </w:t>
      </w:r>
      <w:r w:rsidRPr="00BB6220">
        <w:t>they</w:t>
      </w:r>
      <w:r w:rsidR="003D640C">
        <w:t xml:space="preserve"> </w:t>
      </w:r>
      <w:r w:rsidRPr="00BB6220">
        <w:t>are</w:t>
      </w:r>
      <w:r w:rsidR="003D640C">
        <w:t xml:space="preserve"> </w:t>
      </w:r>
      <w:r w:rsidRPr="00BB6220">
        <w:t>done</w:t>
      </w:r>
      <w:r w:rsidR="003D640C">
        <w:t xml:space="preserve"> </w:t>
      </w:r>
      <w:r w:rsidRPr="00BB6220">
        <w:t>with</w:t>
      </w:r>
      <w:r w:rsidR="003D640C">
        <w:t xml:space="preserve"> </w:t>
      </w:r>
      <w:r w:rsidRPr="00BB6220">
        <w:t>the</w:t>
      </w:r>
      <w:r w:rsidR="003D640C">
        <w:t xml:space="preserve"> </w:t>
      </w:r>
      <w:r w:rsidRPr="00BB6220">
        <w:t>intention</w:t>
      </w:r>
      <w:r w:rsidR="003D640C">
        <w:t xml:space="preserve"> </w:t>
      </w:r>
      <w:r w:rsidRPr="00BB6220">
        <w:t>to</w:t>
      </w:r>
      <w:r w:rsidR="003D640C">
        <w:t xml:space="preserve"> </w:t>
      </w:r>
      <w:r w:rsidRPr="00BB6220">
        <w:t>change</w:t>
      </w:r>
      <w:r w:rsidR="003D640C">
        <w:t xml:space="preserve"> </w:t>
      </w:r>
      <w:r w:rsidRPr="00BB6220">
        <w:t>or</w:t>
      </w:r>
      <w:r w:rsidR="003D640C">
        <w:t xml:space="preserve"> </w:t>
      </w:r>
      <w:r w:rsidRPr="00BB6220">
        <w:t>suppress</w:t>
      </w:r>
      <w:r w:rsidR="003D640C">
        <w:t xml:space="preserve"> </w:t>
      </w:r>
      <w:r w:rsidRPr="00BB6220">
        <w:t>an</w:t>
      </w:r>
      <w:r w:rsidR="003D640C">
        <w:t xml:space="preserve"> </w:t>
      </w:r>
      <w:r w:rsidRPr="00BB6220">
        <w:t>individual’s</w:t>
      </w:r>
      <w:r w:rsidR="003D640C">
        <w:t xml:space="preserve"> </w:t>
      </w:r>
      <w:r w:rsidRPr="00BB6220">
        <w:t>sexual</w:t>
      </w:r>
      <w:r w:rsidR="003D640C">
        <w:t xml:space="preserve"> </w:t>
      </w:r>
      <w:r w:rsidRPr="00BB6220">
        <w:t>orientation,</w:t>
      </w:r>
      <w:r w:rsidR="003D640C">
        <w:t xml:space="preserve"> </w:t>
      </w:r>
      <w:r w:rsidRPr="00BB6220">
        <w:t>gender</w:t>
      </w:r>
      <w:r w:rsidR="003D640C">
        <w:t xml:space="preserve"> </w:t>
      </w:r>
      <w:r w:rsidRPr="00BB6220">
        <w:t>identity</w:t>
      </w:r>
      <w:r w:rsidR="00827CA2">
        <w:t>,</w:t>
      </w:r>
      <w:r w:rsidR="003D640C">
        <w:t xml:space="preserve"> </w:t>
      </w:r>
      <w:r w:rsidRPr="00BB6220">
        <w:t>or</w:t>
      </w:r>
      <w:r w:rsidR="003D640C">
        <w:t xml:space="preserve"> </w:t>
      </w:r>
      <w:r w:rsidRPr="00BB6220">
        <w:t>gender</w:t>
      </w:r>
      <w:r w:rsidR="003D640C">
        <w:t xml:space="preserve"> </w:t>
      </w:r>
      <w:r w:rsidRPr="00BB6220">
        <w:t>expression.</w:t>
      </w:r>
      <w:r w:rsidR="003D640C">
        <w:t xml:space="preserve"> </w:t>
      </w:r>
    </w:p>
    <w:p w14:paraId="67329360" w14:textId="550EB679" w:rsidR="009D7277" w:rsidRPr="00BB6220" w:rsidRDefault="009D7277" w:rsidP="0002020B">
      <w:r w:rsidRPr="00BB6220">
        <w:t>It</w:t>
      </w:r>
      <w:r w:rsidR="003D640C">
        <w:t xml:space="preserve"> </w:t>
      </w:r>
      <w:r w:rsidRPr="00BB6220">
        <w:t>is</w:t>
      </w:r>
      <w:r w:rsidR="003D640C">
        <w:t xml:space="preserve"> </w:t>
      </w:r>
      <w:r w:rsidRPr="00BB6220">
        <w:t>also</w:t>
      </w:r>
      <w:r w:rsidR="003D640C">
        <w:t xml:space="preserve"> </w:t>
      </w:r>
      <w:r w:rsidRPr="00BB6220">
        <w:t>not</w:t>
      </w:r>
      <w:r w:rsidR="003D640C">
        <w:t xml:space="preserve"> </w:t>
      </w:r>
      <w:r w:rsidRPr="00BB6220">
        <w:t>a</w:t>
      </w:r>
      <w:r w:rsidR="003D640C">
        <w:t xml:space="preserve"> </w:t>
      </w:r>
      <w:r w:rsidRPr="00BB6220">
        <w:t>conversion</w:t>
      </w:r>
      <w:r w:rsidR="003D640C">
        <w:t xml:space="preserve"> </w:t>
      </w:r>
      <w:r w:rsidRPr="00BB6220">
        <w:t>practice</w:t>
      </w:r>
      <w:r w:rsidR="003D640C">
        <w:t xml:space="preserve"> </w:t>
      </w:r>
      <w:r w:rsidRPr="00BB6220">
        <w:t>to:</w:t>
      </w:r>
      <w:r w:rsidR="003D640C">
        <w:t xml:space="preserve"> </w:t>
      </w:r>
    </w:p>
    <w:p w14:paraId="1A4CC463" w14:textId="6986E6C0" w:rsidR="009D7277" w:rsidRPr="00BB6220" w:rsidRDefault="009D7277" w:rsidP="0002020B">
      <w:pPr>
        <w:pStyle w:val="Bullet"/>
      </w:pPr>
      <w:r w:rsidRPr="00BB6220">
        <w:t>assist</w:t>
      </w:r>
      <w:r w:rsidR="003D640C">
        <w:t xml:space="preserve"> </w:t>
      </w:r>
      <w:r w:rsidRPr="00BB6220">
        <w:t>someone</w:t>
      </w:r>
      <w:r w:rsidR="003D640C">
        <w:t xml:space="preserve"> </w:t>
      </w:r>
      <w:r w:rsidRPr="00BB6220">
        <w:t>who</w:t>
      </w:r>
      <w:r w:rsidR="003D640C">
        <w:t xml:space="preserve"> </w:t>
      </w:r>
      <w:r w:rsidRPr="00BB6220">
        <w:t>is</w:t>
      </w:r>
      <w:r w:rsidR="003D640C">
        <w:t xml:space="preserve"> </w:t>
      </w:r>
      <w:r w:rsidRPr="00BB6220">
        <w:t>undergoing</w:t>
      </w:r>
      <w:r w:rsidR="003D640C">
        <w:t xml:space="preserve"> </w:t>
      </w:r>
      <w:r w:rsidRPr="00BB6220">
        <w:t>or</w:t>
      </w:r>
      <w:r w:rsidR="003D640C">
        <w:t xml:space="preserve"> </w:t>
      </w:r>
      <w:r w:rsidRPr="00BB6220">
        <w:t>considering</w:t>
      </w:r>
      <w:r w:rsidR="003D640C">
        <w:t xml:space="preserve"> </w:t>
      </w:r>
      <w:r w:rsidRPr="00BB6220">
        <w:t>undergoing</w:t>
      </w:r>
      <w:r w:rsidR="003D640C">
        <w:t xml:space="preserve"> </w:t>
      </w:r>
      <w:r w:rsidRPr="00BB6220">
        <w:t>a</w:t>
      </w:r>
      <w:r w:rsidR="003D640C">
        <w:t xml:space="preserve"> </w:t>
      </w:r>
      <w:r w:rsidRPr="00BB6220">
        <w:t>gender</w:t>
      </w:r>
      <w:r w:rsidR="003D640C">
        <w:t xml:space="preserve"> </w:t>
      </w:r>
      <w:r w:rsidRPr="00BB6220">
        <w:t>transition</w:t>
      </w:r>
      <w:r w:rsidR="003D640C">
        <w:t xml:space="preserve"> </w:t>
      </w:r>
    </w:p>
    <w:p w14:paraId="0E16BCC5" w14:textId="3C93FFAD" w:rsidR="009D7277" w:rsidRPr="00BB6220" w:rsidRDefault="009D7277" w:rsidP="0002020B">
      <w:pPr>
        <w:pStyle w:val="Bullet"/>
      </w:pPr>
      <w:r w:rsidRPr="00BB6220">
        <w:t>assist</w:t>
      </w:r>
      <w:r w:rsidR="003D640C">
        <w:t xml:space="preserve"> </w:t>
      </w:r>
      <w:r w:rsidRPr="00BB6220">
        <w:t>someone</w:t>
      </w:r>
      <w:r w:rsidR="003D640C">
        <w:t xml:space="preserve"> </w:t>
      </w:r>
      <w:r w:rsidRPr="00BB6220">
        <w:t>to</w:t>
      </w:r>
      <w:r w:rsidR="003D640C">
        <w:t xml:space="preserve"> </w:t>
      </w:r>
      <w:r w:rsidRPr="00BB6220">
        <w:t>express</w:t>
      </w:r>
      <w:r w:rsidR="003D640C">
        <w:t xml:space="preserve"> </w:t>
      </w:r>
      <w:r w:rsidRPr="00BB6220">
        <w:t>their</w:t>
      </w:r>
      <w:r w:rsidR="003D640C">
        <w:t xml:space="preserve"> </w:t>
      </w:r>
      <w:r w:rsidRPr="00BB6220">
        <w:t>gender</w:t>
      </w:r>
      <w:r w:rsidR="003D640C">
        <w:t xml:space="preserve"> </w:t>
      </w:r>
      <w:r w:rsidRPr="00BB6220">
        <w:t>or</w:t>
      </w:r>
      <w:r w:rsidR="003D640C">
        <w:t xml:space="preserve"> </w:t>
      </w:r>
      <w:r w:rsidRPr="00BB6220">
        <w:t>identity</w:t>
      </w:r>
      <w:r w:rsidR="003D640C">
        <w:t xml:space="preserve"> </w:t>
      </w:r>
    </w:p>
    <w:p w14:paraId="19548AE4" w14:textId="2FF1A2FE" w:rsidR="009D7277" w:rsidRPr="00BB6220" w:rsidRDefault="009D7277" w:rsidP="0002020B">
      <w:pPr>
        <w:pStyle w:val="Bullet"/>
      </w:pPr>
      <w:r w:rsidRPr="00BB6220">
        <w:t>provide</w:t>
      </w:r>
      <w:r w:rsidR="003D640C">
        <w:t xml:space="preserve"> </w:t>
      </w:r>
      <w:r w:rsidRPr="00BB6220">
        <w:t>acceptance,</w:t>
      </w:r>
      <w:r w:rsidR="003D640C">
        <w:t xml:space="preserve"> </w:t>
      </w:r>
      <w:r w:rsidRPr="00BB6220">
        <w:t>support</w:t>
      </w:r>
      <w:r w:rsidR="00767567">
        <w:t>,</w:t>
      </w:r>
      <w:r w:rsidR="003D640C">
        <w:t xml:space="preserve"> </w:t>
      </w:r>
      <w:r w:rsidRPr="00BB6220">
        <w:t>or</w:t>
      </w:r>
      <w:r w:rsidR="003D640C">
        <w:t xml:space="preserve"> </w:t>
      </w:r>
      <w:r w:rsidRPr="00BB6220">
        <w:t>understanding</w:t>
      </w:r>
      <w:r w:rsidR="003D640C">
        <w:t xml:space="preserve"> </w:t>
      </w:r>
      <w:r w:rsidRPr="00BB6220">
        <w:t>of</w:t>
      </w:r>
      <w:r w:rsidR="003D640C">
        <w:t xml:space="preserve"> </w:t>
      </w:r>
      <w:r w:rsidRPr="00BB6220">
        <w:t>an</w:t>
      </w:r>
      <w:r w:rsidR="003D640C">
        <w:t xml:space="preserve"> </w:t>
      </w:r>
      <w:r w:rsidRPr="00BB6220">
        <w:t>individual</w:t>
      </w:r>
      <w:r w:rsidR="003D640C">
        <w:t xml:space="preserve"> </w:t>
      </w:r>
    </w:p>
    <w:p w14:paraId="5B60FE94" w14:textId="774F5440" w:rsidR="009D7277" w:rsidRPr="00BB6220" w:rsidRDefault="009D7277" w:rsidP="0002020B">
      <w:pPr>
        <w:pStyle w:val="Bullet"/>
      </w:pPr>
      <w:r w:rsidRPr="00BB6220">
        <w:t>facilitate</w:t>
      </w:r>
      <w:r w:rsidR="003D640C">
        <w:t xml:space="preserve"> </w:t>
      </w:r>
      <w:r w:rsidRPr="00BB6220">
        <w:t>a</w:t>
      </w:r>
      <w:r w:rsidR="003D640C">
        <w:t xml:space="preserve"> </w:t>
      </w:r>
      <w:r w:rsidRPr="00BB6220">
        <w:t>person’s</w:t>
      </w:r>
      <w:r w:rsidR="003D640C">
        <w:t xml:space="preserve"> </w:t>
      </w:r>
      <w:r w:rsidRPr="00BB6220">
        <w:t>coping</w:t>
      </w:r>
      <w:r w:rsidR="003D640C">
        <w:t xml:space="preserve"> </w:t>
      </w:r>
      <w:r w:rsidRPr="00BB6220">
        <w:t>skills,</w:t>
      </w:r>
      <w:r w:rsidR="003D640C">
        <w:t xml:space="preserve"> </w:t>
      </w:r>
      <w:r w:rsidRPr="00BB6220">
        <w:t>development</w:t>
      </w:r>
      <w:r w:rsidR="00767567">
        <w:t>,</w:t>
      </w:r>
      <w:r w:rsidR="003D640C">
        <w:t xml:space="preserve"> </w:t>
      </w:r>
      <w:r w:rsidRPr="00BB6220">
        <w:t>or</w:t>
      </w:r>
      <w:r w:rsidR="003D640C">
        <w:t xml:space="preserve"> </w:t>
      </w:r>
      <w:r w:rsidRPr="00BB6220">
        <w:t>identity</w:t>
      </w:r>
      <w:r w:rsidR="003D640C">
        <w:t xml:space="preserve"> </w:t>
      </w:r>
      <w:r w:rsidRPr="00BB6220">
        <w:t>exploration</w:t>
      </w:r>
      <w:r w:rsidR="003D640C">
        <w:t xml:space="preserve"> </w:t>
      </w:r>
      <w:r w:rsidRPr="00BB6220">
        <w:t>or</w:t>
      </w:r>
      <w:r w:rsidR="003D640C">
        <w:t xml:space="preserve"> </w:t>
      </w:r>
      <w:r w:rsidRPr="00BB6220">
        <w:t>help</w:t>
      </w:r>
      <w:r w:rsidR="003D640C">
        <w:t xml:space="preserve"> </w:t>
      </w:r>
      <w:r w:rsidRPr="00BB6220">
        <w:t>with</w:t>
      </w:r>
      <w:r w:rsidR="003D640C">
        <w:t xml:space="preserve"> </w:t>
      </w:r>
      <w:r w:rsidRPr="00BB6220">
        <w:t>social</w:t>
      </w:r>
      <w:r w:rsidR="003D640C">
        <w:t xml:space="preserve"> </w:t>
      </w:r>
      <w:r w:rsidRPr="00BB6220">
        <w:t>support</w:t>
      </w:r>
      <w:r w:rsidR="00767567">
        <w:t>.</w:t>
      </w:r>
    </w:p>
    <w:p w14:paraId="331364FC" w14:textId="4379DF0C" w:rsidR="009D7277" w:rsidRDefault="009D7277" w:rsidP="0002020B">
      <w:r w:rsidRPr="00BB6220">
        <w:t>For</w:t>
      </w:r>
      <w:r w:rsidR="003D640C">
        <w:t xml:space="preserve"> </w:t>
      </w:r>
      <w:r w:rsidRPr="00BB6220">
        <w:t>further</w:t>
      </w:r>
      <w:r w:rsidR="003D640C">
        <w:t xml:space="preserve"> </w:t>
      </w:r>
      <w:r w:rsidRPr="00BB6220">
        <w:t>information</w:t>
      </w:r>
      <w:r w:rsidR="00767567">
        <w:t>,</w:t>
      </w:r>
      <w:r w:rsidR="003D640C">
        <w:t xml:space="preserve"> </w:t>
      </w:r>
      <w:r w:rsidRPr="00BB6220">
        <w:t>please</w:t>
      </w:r>
      <w:r w:rsidR="003D640C">
        <w:t xml:space="preserve"> </w:t>
      </w:r>
      <w:r w:rsidRPr="00BB6220">
        <w:t>see</w:t>
      </w:r>
      <w:r w:rsidR="003D640C">
        <w:t xml:space="preserve"> </w:t>
      </w:r>
      <w:r w:rsidRPr="00BB6220">
        <w:t>the</w:t>
      </w:r>
      <w:r w:rsidR="003D640C">
        <w:t xml:space="preserve"> </w:t>
      </w:r>
      <w:r w:rsidRPr="00BB6220">
        <w:t>Commission’s</w:t>
      </w:r>
      <w:r w:rsidR="003D640C">
        <w:t xml:space="preserve"> </w:t>
      </w:r>
      <w:r w:rsidRPr="00BB6220">
        <w:t>guidelines</w:t>
      </w:r>
      <w:r w:rsidR="003D640C">
        <w:t xml:space="preserve"> </w:t>
      </w:r>
      <w:r w:rsidRPr="00BB6220">
        <w:t>on</w:t>
      </w:r>
      <w:r w:rsidR="003D640C">
        <w:t xml:space="preserve"> </w:t>
      </w:r>
      <w:r w:rsidRPr="00BB6220">
        <w:t>conversion</w:t>
      </w:r>
      <w:r w:rsidR="003D640C">
        <w:t xml:space="preserve"> </w:t>
      </w:r>
      <w:r w:rsidRPr="00BB6220">
        <w:t>practices</w:t>
      </w:r>
      <w:r>
        <w:t>.</w:t>
      </w:r>
      <w:r w:rsidRPr="00B1465F">
        <w:rPr>
          <w:rStyle w:val="FootnoteReference"/>
        </w:rPr>
        <w:footnoteReference w:id="45"/>
      </w:r>
    </w:p>
    <w:p w14:paraId="58B03E81" w14:textId="2E2EF630" w:rsidR="004E48CB" w:rsidRDefault="004E48CB">
      <w:r>
        <w:br w:type="page"/>
      </w:r>
    </w:p>
    <w:p w14:paraId="73803412" w14:textId="6532FC21" w:rsidR="005E688C" w:rsidRPr="00BB6220" w:rsidRDefault="001C3549" w:rsidP="00501BC4">
      <w:pPr>
        <w:pStyle w:val="Heading1"/>
      </w:pPr>
      <w:bookmarkStart w:id="79" w:name="_Toc167780583"/>
      <w:bookmarkStart w:id="80" w:name="_Toc138325156"/>
      <w:bookmarkStart w:id="81" w:name="_Toc138343793"/>
      <w:bookmarkStart w:id="82" w:name="_Toc2047761959"/>
      <w:bookmarkStart w:id="83" w:name="_Toc174628641"/>
      <w:bookmarkEnd w:id="3"/>
      <w:bookmarkEnd w:id="4"/>
      <w:r w:rsidRPr="00501BC4">
        <w:lastRenderedPageBreak/>
        <w:t>C</w:t>
      </w:r>
      <w:r w:rsidR="003C099A" w:rsidRPr="00501BC4">
        <w:t>onversion</w:t>
      </w:r>
      <w:r w:rsidR="003D640C">
        <w:t xml:space="preserve"> </w:t>
      </w:r>
      <w:r w:rsidR="003C099A" w:rsidRPr="00BB6220">
        <w:t>practices</w:t>
      </w:r>
      <w:r w:rsidR="003D640C">
        <w:t xml:space="preserve"> </w:t>
      </w:r>
      <w:r w:rsidR="003C099A" w:rsidRPr="00BB6220">
        <w:t>are</w:t>
      </w:r>
      <w:r w:rsidR="003D640C">
        <w:t xml:space="preserve"> </w:t>
      </w:r>
      <w:r w:rsidR="003C099A" w:rsidRPr="00BB6220">
        <w:t>a</w:t>
      </w:r>
      <w:r w:rsidR="003D640C">
        <w:t xml:space="preserve"> </w:t>
      </w:r>
      <w:r w:rsidR="001548D2" w:rsidRPr="00BB6220">
        <w:t>breach</w:t>
      </w:r>
      <w:r w:rsidR="003D640C">
        <w:t xml:space="preserve"> </w:t>
      </w:r>
      <w:r w:rsidR="001548D2" w:rsidRPr="00BB6220">
        <w:t>of</w:t>
      </w:r>
      <w:r w:rsidR="003D640C">
        <w:t xml:space="preserve"> </w:t>
      </w:r>
      <w:r w:rsidR="003C099A" w:rsidRPr="00BB6220">
        <w:t>human</w:t>
      </w:r>
      <w:r w:rsidR="003D640C">
        <w:t xml:space="preserve"> </w:t>
      </w:r>
      <w:r w:rsidR="003C099A" w:rsidRPr="00BB6220">
        <w:t>rig</w:t>
      </w:r>
      <w:r w:rsidR="003C53A1" w:rsidRPr="00BB6220">
        <w:t>hts</w:t>
      </w:r>
      <w:bookmarkEnd w:id="79"/>
      <w:bookmarkEnd w:id="80"/>
      <w:bookmarkEnd w:id="81"/>
      <w:bookmarkEnd w:id="82"/>
      <w:bookmarkEnd w:id="83"/>
      <w:r w:rsidR="003D640C">
        <w:t xml:space="preserve"> </w:t>
      </w:r>
    </w:p>
    <w:p w14:paraId="6D4A1227" w14:textId="669F0C5E" w:rsidR="00501068" w:rsidRDefault="001C3549" w:rsidP="0002020B">
      <w:pPr>
        <w:rPr>
          <w:rFonts w:ascii="Segoe UI" w:hAnsi="Segoe UI" w:cs="Segoe UI"/>
          <w:sz w:val="20"/>
          <w:szCs w:val="20"/>
          <w:lang w:eastAsia="en-NZ"/>
        </w:rPr>
      </w:pPr>
      <w:r w:rsidRPr="00BB6220">
        <w:rPr>
          <w:lang w:eastAsia="en-NZ"/>
        </w:rPr>
        <w:t>Conversion</w:t>
      </w:r>
      <w:r w:rsidR="003D640C">
        <w:rPr>
          <w:lang w:eastAsia="en-NZ"/>
        </w:rPr>
        <w:t xml:space="preserve"> </w:t>
      </w:r>
      <w:r w:rsidR="4A33710D" w:rsidRPr="00BB6220">
        <w:rPr>
          <w:lang w:eastAsia="en-NZ"/>
        </w:rPr>
        <w:t>p</w:t>
      </w:r>
      <w:r w:rsidRPr="00BB6220">
        <w:rPr>
          <w:lang w:eastAsia="en-NZ"/>
        </w:rPr>
        <w:t>ractices</w:t>
      </w:r>
      <w:r w:rsidR="003D640C">
        <w:rPr>
          <w:lang w:eastAsia="en-NZ"/>
        </w:rPr>
        <w:t xml:space="preserve"> </w:t>
      </w:r>
      <w:r w:rsidRPr="00BB6220">
        <w:rPr>
          <w:lang w:eastAsia="en-NZ"/>
        </w:rPr>
        <w:t>breach</w:t>
      </w:r>
      <w:r w:rsidR="003D640C">
        <w:rPr>
          <w:lang w:eastAsia="en-NZ"/>
        </w:rPr>
        <w:t xml:space="preserve"> </w:t>
      </w:r>
      <w:r w:rsidRPr="00BB6220">
        <w:rPr>
          <w:lang w:eastAsia="en-NZ"/>
        </w:rPr>
        <w:t>human</w:t>
      </w:r>
      <w:r w:rsidR="003D640C">
        <w:rPr>
          <w:lang w:eastAsia="en-NZ"/>
        </w:rPr>
        <w:t xml:space="preserve"> </w:t>
      </w:r>
      <w:r w:rsidRPr="00BB6220">
        <w:rPr>
          <w:lang w:eastAsia="en-NZ"/>
        </w:rPr>
        <w:t>rights.</w:t>
      </w:r>
      <w:r w:rsidR="003D640C">
        <w:rPr>
          <w:lang w:eastAsia="en-NZ"/>
        </w:rPr>
        <w:t xml:space="preserve"> </w:t>
      </w:r>
      <w:r w:rsidR="009B39CD">
        <w:rPr>
          <w:lang w:eastAsia="en-NZ"/>
        </w:rPr>
        <w:t>The</w:t>
      </w:r>
      <w:r w:rsidR="003D640C">
        <w:rPr>
          <w:lang w:eastAsia="en-NZ"/>
        </w:rPr>
        <w:t xml:space="preserve"> </w:t>
      </w:r>
      <w:r w:rsidR="00820D38" w:rsidRPr="00BB6220">
        <w:rPr>
          <w:lang w:eastAsia="en-NZ"/>
        </w:rPr>
        <w:t>CPPLA</w:t>
      </w:r>
      <w:r w:rsidR="003D640C">
        <w:rPr>
          <w:lang w:eastAsia="en-NZ"/>
        </w:rPr>
        <w:t xml:space="preserve"> </w:t>
      </w:r>
      <w:r w:rsidRPr="00BB6220">
        <w:rPr>
          <w:lang w:eastAsia="en-NZ"/>
        </w:rPr>
        <w:t>made</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A35A35" w:rsidRPr="00BB6220">
        <w:rPr>
          <w:lang w:eastAsia="en-NZ"/>
        </w:rPr>
        <w:t>a</w:t>
      </w:r>
      <w:r w:rsidR="003D640C">
        <w:rPr>
          <w:lang w:eastAsia="en-NZ"/>
        </w:rPr>
        <w:t xml:space="preserve"> </w:t>
      </w:r>
      <w:r w:rsidR="00A35A35" w:rsidRPr="00BB6220">
        <w:rPr>
          <w:lang w:eastAsia="en-NZ"/>
        </w:rPr>
        <w:t>criminal</w:t>
      </w:r>
      <w:r w:rsidR="003D640C">
        <w:rPr>
          <w:lang w:eastAsia="en-NZ"/>
        </w:rPr>
        <w:t xml:space="preserve"> </w:t>
      </w:r>
      <w:r w:rsidR="00A35A35" w:rsidRPr="00BB6220">
        <w:rPr>
          <w:lang w:eastAsia="en-NZ"/>
        </w:rPr>
        <w:t>offence</w:t>
      </w:r>
      <w:r w:rsidR="003D640C">
        <w:rPr>
          <w:lang w:eastAsia="en-NZ"/>
        </w:rPr>
        <w:t xml:space="preserve"> </w:t>
      </w:r>
      <w:r w:rsidR="003709E1" w:rsidRPr="00BB6220">
        <w:rPr>
          <w:lang w:eastAsia="en-NZ"/>
        </w:rPr>
        <w:t>in</w:t>
      </w:r>
      <w:r w:rsidR="003D640C">
        <w:rPr>
          <w:lang w:eastAsia="en-NZ"/>
        </w:rPr>
        <w:t xml:space="preserve"> </w:t>
      </w:r>
      <w:r w:rsidR="003709E1" w:rsidRPr="00BB6220">
        <w:rPr>
          <w:lang w:eastAsia="en-NZ"/>
        </w:rPr>
        <w:t>Aotearoa</w:t>
      </w:r>
      <w:r w:rsidR="003D640C">
        <w:rPr>
          <w:lang w:eastAsia="en-NZ"/>
        </w:rPr>
        <w:t xml:space="preserve"> </w:t>
      </w:r>
      <w:r w:rsidR="003709E1" w:rsidRPr="00BB6220">
        <w:rPr>
          <w:lang w:eastAsia="en-NZ"/>
        </w:rPr>
        <w:t>New</w:t>
      </w:r>
      <w:r w:rsidR="003D640C">
        <w:rPr>
          <w:lang w:eastAsia="en-NZ"/>
        </w:rPr>
        <w:t xml:space="preserve"> </w:t>
      </w:r>
      <w:r w:rsidR="003709E1" w:rsidRPr="00BB6220">
        <w:rPr>
          <w:lang w:eastAsia="en-NZ"/>
        </w:rPr>
        <w:t>Zealand</w:t>
      </w:r>
      <w:r w:rsidR="003D640C">
        <w:rPr>
          <w:lang w:eastAsia="en-NZ"/>
        </w:rPr>
        <w:t xml:space="preserve"> </w:t>
      </w:r>
      <w:r w:rsidRPr="00BB6220">
        <w:rPr>
          <w:lang w:eastAsia="en-NZ"/>
        </w:rPr>
        <w:t>and</w:t>
      </w:r>
      <w:r w:rsidR="003D640C">
        <w:rPr>
          <w:lang w:eastAsia="en-NZ"/>
        </w:rPr>
        <w:t xml:space="preserve"> </w:t>
      </w:r>
      <w:r w:rsidR="008E6106">
        <w:rPr>
          <w:lang w:eastAsia="en-NZ"/>
        </w:rPr>
        <w:t xml:space="preserve">inserted section 63A in </w:t>
      </w:r>
      <w:r w:rsidR="009D54FA" w:rsidRPr="00BB6220">
        <w:rPr>
          <w:lang w:eastAsia="en-NZ"/>
        </w:rPr>
        <w:t>the</w:t>
      </w:r>
      <w:r w:rsidR="003D640C">
        <w:rPr>
          <w:lang w:eastAsia="en-NZ"/>
        </w:rPr>
        <w:t xml:space="preserve"> </w:t>
      </w:r>
      <w:r w:rsidRPr="00BB6220">
        <w:rPr>
          <w:lang w:eastAsia="en-NZ"/>
        </w:rPr>
        <w:t>Human</w:t>
      </w:r>
      <w:r w:rsidR="003D640C">
        <w:rPr>
          <w:lang w:eastAsia="en-NZ"/>
        </w:rPr>
        <w:t xml:space="preserve"> </w:t>
      </w:r>
      <w:r w:rsidRPr="00BB6220">
        <w:rPr>
          <w:lang w:eastAsia="en-NZ"/>
        </w:rPr>
        <w:t>Rights</w:t>
      </w:r>
      <w:r w:rsidR="003D640C">
        <w:rPr>
          <w:lang w:eastAsia="en-NZ"/>
        </w:rPr>
        <w:t xml:space="preserve"> </w:t>
      </w:r>
      <w:r w:rsidRPr="00BB6220">
        <w:rPr>
          <w:lang w:eastAsia="en-NZ"/>
        </w:rPr>
        <w:t>Act</w:t>
      </w:r>
      <w:r w:rsidR="003D640C">
        <w:rPr>
          <w:lang w:eastAsia="en-NZ"/>
        </w:rPr>
        <w:t xml:space="preserve"> </w:t>
      </w:r>
      <w:r w:rsidRPr="00BB6220">
        <w:rPr>
          <w:lang w:eastAsia="en-NZ"/>
        </w:rPr>
        <w:t>to</w:t>
      </w:r>
      <w:r w:rsidR="003D640C">
        <w:rPr>
          <w:lang w:eastAsia="en-NZ"/>
        </w:rPr>
        <w:t xml:space="preserve"> </w:t>
      </w:r>
      <w:r w:rsidR="00012E3A" w:rsidRPr="00BB6220">
        <w:rPr>
          <w:lang w:eastAsia="en-NZ"/>
        </w:rPr>
        <w:t>ma</w:t>
      </w:r>
      <w:r w:rsidR="007C20B2" w:rsidRPr="00BB6220">
        <w:rPr>
          <w:lang w:eastAsia="en-NZ"/>
        </w:rPr>
        <w:t>k</w:t>
      </w:r>
      <w:r w:rsidR="00012E3A" w:rsidRPr="00BB6220">
        <w:rPr>
          <w:lang w:eastAsia="en-NZ"/>
        </w:rPr>
        <w:t>e</w:t>
      </w:r>
      <w:r w:rsidR="003D640C">
        <w:rPr>
          <w:lang w:eastAsia="en-NZ"/>
        </w:rPr>
        <w:t xml:space="preserve"> </w:t>
      </w:r>
      <w:r w:rsidR="00C80506" w:rsidRPr="00BB6220">
        <w:rPr>
          <w:lang w:eastAsia="en-NZ"/>
        </w:rPr>
        <w:t>them</w:t>
      </w:r>
      <w:r w:rsidR="003D640C">
        <w:rPr>
          <w:lang w:eastAsia="en-NZ"/>
        </w:rPr>
        <w:t xml:space="preserve"> </w:t>
      </w:r>
      <w:r w:rsidR="00C80506" w:rsidRPr="00BB6220">
        <w:rPr>
          <w:lang w:eastAsia="en-NZ"/>
        </w:rPr>
        <w:t>a</w:t>
      </w:r>
      <w:r w:rsidR="003D640C">
        <w:rPr>
          <w:lang w:eastAsia="en-NZ"/>
        </w:rPr>
        <w:t xml:space="preserve"> </w:t>
      </w:r>
      <w:r w:rsidR="00C80506" w:rsidRPr="00BB6220">
        <w:rPr>
          <w:lang w:eastAsia="en-NZ"/>
        </w:rPr>
        <w:t>form</w:t>
      </w:r>
      <w:r w:rsidR="003D640C">
        <w:rPr>
          <w:lang w:eastAsia="en-NZ"/>
        </w:rPr>
        <w:t xml:space="preserve"> </w:t>
      </w:r>
      <w:r w:rsidR="00C80506" w:rsidRPr="00BB6220">
        <w:rPr>
          <w:lang w:eastAsia="en-NZ"/>
        </w:rPr>
        <w:t>of</w:t>
      </w:r>
      <w:r w:rsidR="003D640C">
        <w:rPr>
          <w:lang w:eastAsia="en-NZ"/>
        </w:rPr>
        <w:t xml:space="preserve"> </w:t>
      </w:r>
      <w:r w:rsidR="00E35DE8" w:rsidRPr="00BB6220">
        <w:rPr>
          <w:lang w:eastAsia="en-NZ"/>
        </w:rPr>
        <w:t>unlawful</w:t>
      </w:r>
      <w:r w:rsidR="003D640C">
        <w:rPr>
          <w:lang w:eastAsia="en-NZ"/>
        </w:rPr>
        <w:t xml:space="preserve"> </w:t>
      </w:r>
      <w:r w:rsidR="00C80506" w:rsidRPr="00BB6220">
        <w:rPr>
          <w:lang w:eastAsia="en-NZ"/>
        </w:rPr>
        <w:t>discrimination</w:t>
      </w:r>
      <w:r w:rsidR="003D640C">
        <w:rPr>
          <w:lang w:eastAsia="en-NZ"/>
        </w:rPr>
        <w:t xml:space="preserve"> </w:t>
      </w:r>
      <w:r w:rsidR="00012E3A" w:rsidRPr="00BB6220">
        <w:rPr>
          <w:lang w:eastAsia="en-NZ"/>
        </w:rPr>
        <w:t>under</w:t>
      </w:r>
      <w:r w:rsidR="003D640C">
        <w:rPr>
          <w:lang w:eastAsia="en-NZ"/>
        </w:rPr>
        <w:t xml:space="preserve"> </w:t>
      </w:r>
      <w:r w:rsidR="00012E3A" w:rsidRPr="00BB6220">
        <w:rPr>
          <w:lang w:eastAsia="en-NZ"/>
        </w:rPr>
        <w:t>the</w:t>
      </w:r>
      <w:r w:rsidR="003D640C">
        <w:rPr>
          <w:lang w:eastAsia="en-NZ"/>
        </w:rPr>
        <w:t xml:space="preserve"> </w:t>
      </w:r>
      <w:r w:rsidR="00012E3A" w:rsidRPr="00BB6220">
        <w:rPr>
          <w:lang w:eastAsia="en-NZ"/>
        </w:rPr>
        <w:t>civil</w:t>
      </w:r>
      <w:r w:rsidR="003D640C">
        <w:rPr>
          <w:lang w:eastAsia="en-NZ"/>
        </w:rPr>
        <w:t xml:space="preserve"> </w:t>
      </w:r>
      <w:r w:rsidR="00012E3A" w:rsidRPr="00BB6220">
        <w:rPr>
          <w:lang w:eastAsia="en-NZ"/>
        </w:rPr>
        <w:t>law</w:t>
      </w:r>
      <w:r w:rsidRPr="00BB6220">
        <w:rPr>
          <w:lang w:eastAsia="en-NZ"/>
        </w:rPr>
        <w:t>.</w:t>
      </w:r>
      <w:r w:rsidR="003D640C">
        <w:rPr>
          <w:lang w:eastAsia="en-NZ"/>
        </w:rPr>
        <w:t xml:space="preserve"> </w:t>
      </w:r>
      <w:r w:rsidRPr="00BB6220">
        <w:rPr>
          <w:lang w:eastAsia="en-NZ"/>
        </w:rPr>
        <w:t>The</w:t>
      </w:r>
      <w:r w:rsidR="003D640C">
        <w:rPr>
          <w:lang w:eastAsia="en-NZ"/>
        </w:rPr>
        <w:t xml:space="preserve"> </w:t>
      </w:r>
      <w:r w:rsidR="00065016" w:rsidRPr="00BB6220">
        <w:rPr>
          <w:lang w:eastAsia="en-NZ"/>
        </w:rPr>
        <w:t>CPPLA</w:t>
      </w:r>
      <w:r w:rsidR="003D640C">
        <w:rPr>
          <w:lang w:eastAsia="en-NZ"/>
        </w:rPr>
        <w:t xml:space="preserve"> </w:t>
      </w:r>
      <w:r w:rsidRPr="00BB6220">
        <w:rPr>
          <w:lang w:eastAsia="en-NZ"/>
        </w:rPr>
        <w:t>sits</w:t>
      </w:r>
      <w:r w:rsidR="003D640C">
        <w:rPr>
          <w:lang w:eastAsia="en-NZ"/>
        </w:rPr>
        <w:t xml:space="preserve"> </w:t>
      </w:r>
      <w:r w:rsidRPr="00BB6220">
        <w:rPr>
          <w:lang w:eastAsia="en-NZ"/>
        </w:rPr>
        <w:t>within</w:t>
      </w:r>
      <w:r w:rsidR="003D640C">
        <w:rPr>
          <w:lang w:eastAsia="en-NZ"/>
        </w:rPr>
        <w:t xml:space="preserve"> </w:t>
      </w:r>
      <w:r w:rsidRPr="00BB6220">
        <w:rPr>
          <w:lang w:eastAsia="en-NZ"/>
        </w:rPr>
        <w:t>a</w:t>
      </w:r>
      <w:r w:rsidR="003D640C">
        <w:rPr>
          <w:lang w:eastAsia="en-NZ"/>
        </w:rPr>
        <w:t xml:space="preserve"> </w:t>
      </w:r>
      <w:r w:rsidRPr="00BB6220">
        <w:rPr>
          <w:lang w:eastAsia="en-NZ"/>
        </w:rPr>
        <w:t>broader</w:t>
      </w:r>
      <w:r w:rsidR="003D640C">
        <w:rPr>
          <w:lang w:eastAsia="en-NZ"/>
        </w:rPr>
        <w:t xml:space="preserve"> </w:t>
      </w:r>
      <w:r w:rsidRPr="00BB6220">
        <w:rPr>
          <w:lang w:eastAsia="en-NZ"/>
        </w:rPr>
        <w:t>domestic</w:t>
      </w:r>
      <w:r w:rsidR="003D640C">
        <w:rPr>
          <w:lang w:eastAsia="en-NZ"/>
        </w:rPr>
        <w:t xml:space="preserve"> </w:t>
      </w:r>
      <w:r w:rsidRPr="00BB6220">
        <w:rPr>
          <w:lang w:eastAsia="en-NZ"/>
        </w:rPr>
        <w:t>and</w:t>
      </w:r>
      <w:r w:rsidR="003D640C">
        <w:rPr>
          <w:lang w:eastAsia="en-NZ"/>
        </w:rPr>
        <w:t xml:space="preserve"> </w:t>
      </w:r>
      <w:r w:rsidRPr="00BB6220">
        <w:rPr>
          <w:lang w:eastAsia="en-NZ"/>
        </w:rPr>
        <w:t>international</w:t>
      </w:r>
      <w:r w:rsidR="003D640C">
        <w:rPr>
          <w:lang w:eastAsia="en-NZ"/>
        </w:rPr>
        <w:t xml:space="preserve"> </w:t>
      </w:r>
      <w:r w:rsidRPr="00BB6220">
        <w:rPr>
          <w:lang w:eastAsia="en-NZ"/>
        </w:rPr>
        <w:t>legal</w:t>
      </w:r>
      <w:r w:rsidR="003D640C">
        <w:rPr>
          <w:lang w:eastAsia="en-NZ"/>
        </w:rPr>
        <w:t xml:space="preserve"> </w:t>
      </w:r>
      <w:r w:rsidR="008F15E5" w:rsidRPr="00BB6220">
        <w:rPr>
          <w:lang w:eastAsia="en-NZ"/>
        </w:rPr>
        <w:t>and</w:t>
      </w:r>
      <w:r w:rsidR="003D640C">
        <w:rPr>
          <w:lang w:eastAsia="en-NZ"/>
        </w:rPr>
        <w:t xml:space="preserve"> </w:t>
      </w:r>
      <w:r w:rsidR="008F15E5" w:rsidRPr="00BB6220">
        <w:rPr>
          <w:lang w:eastAsia="en-NZ"/>
        </w:rPr>
        <w:t>human</w:t>
      </w:r>
      <w:r w:rsidR="003D640C">
        <w:rPr>
          <w:lang w:eastAsia="en-NZ"/>
        </w:rPr>
        <w:t xml:space="preserve"> </w:t>
      </w:r>
      <w:r w:rsidR="008F15E5" w:rsidRPr="00BB6220">
        <w:rPr>
          <w:lang w:eastAsia="en-NZ"/>
        </w:rPr>
        <w:t>rights</w:t>
      </w:r>
      <w:r w:rsidR="003D640C">
        <w:rPr>
          <w:lang w:eastAsia="en-NZ"/>
        </w:rPr>
        <w:t xml:space="preserve"> </w:t>
      </w:r>
      <w:r w:rsidRPr="00BB6220">
        <w:rPr>
          <w:lang w:eastAsia="en-NZ"/>
        </w:rPr>
        <w:t>framework</w:t>
      </w:r>
      <w:r w:rsidR="003D640C">
        <w:rPr>
          <w:lang w:eastAsia="en-NZ"/>
        </w:rPr>
        <w:t xml:space="preserve"> </w:t>
      </w:r>
      <w:r w:rsidRPr="00BB6220">
        <w:rPr>
          <w:lang w:eastAsia="en-NZ"/>
        </w:rPr>
        <w:t>that</w:t>
      </w:r>
      <w:r w:rsidR="003D640C">
        <w:rPr>
          <w:lang w:eastAsia="en-NZ"/>
        </w:rPr>
        <w:t xml:space="preserve"> </w:t>
      </w:r>
      <w:r w:rsidRPr="00BB6220">
        <w:rPr>
          <w:lang w:eastAsia="en-NZ"/>
        </w:rPr>
        <w:t>protects</w:t>
      </w:r>
      <w:r w:rsidR="003D640C">
        <w:rPr>
          <w:lang w:eastAsia="en-NZ"/>
        </w:rPr>
        <w:t xml:space="preserve"> </w:t>
      </w:r>
      <w:r w:rsidRPr="00BB6220">
        <w:rPr>
          <w:lang w:eastAsia="en-NZ"/>
        </w:rPr>
        <w:t>the</w:t>
      </w:r>
      <w:r w:rsidR="003D640C">
        <w:rPr>
          <w:lang w:eastAsia="en-NZ"/>
        </w:rPr>
        <w:t xml:space="preserve"> </w:t>
      </w:r>
      <w:r w:rsidRPr="00BB6220">
        <w:rPr>
          <w:lang w:eastAsia="en-NZ"/>
        </w:rPr>
        <w:t>enjoyment</w:t>
      </w:r>
      <w:r w:rsidR="003D640C">
        <w:rPr>
          <w:lang w:eastAsia="en-NZ"/>
        </w:rPr>
        <w:t xml:space="preserve"> </w:t>
      </w:r>
      <w:r w:rsidRPr="00BB6220">
        <w:rPr>
          <w:lang w:eastAsia="en-NZ"/>
        </w:rPr>
        <w:t>of</w:t>
      </w:r>
      <w:r w:rsidR="003D640C">
        <w:rPr>
          <w:lang w:eastAsia="en-NZ"/>
        </w:rPr>
        <w:t xml:space="preserve"> </w:t>
      </w:r>
      <w:r w:rsidRPr="00BB6220">
        <w:rPr>
          <w:lang w:eastAsia="en-NZ"/>
        </w:rPr>
        <w:t>rights</w:t>
      </w:r>
      <w:r w:rsidR="003D640C">
        <w:rPr>
          <w:lang w:eastAsia="en-NZ"/>
        </w:rPr>
        <w:t xml:space="preserve"> </w:t>
      </w:r>
      <w:r w:rsidR="006637CB" w:rsidRPr="00BB6220">
        <w:rPr>
          <w:lang w:eastAsia="en-NZ"/>
        </w:rPr>
        <w:t>breached</w:t>
      </w:r>
      <w:r w:rsidR="003D640C">
        <w:rPr>
          <w:lang w:eastAsia="en-NZ"/>
        </w:rPr>
        <w:t xml:space="preserve"> </w:t>
      </w:r>
      <w:r w:rsidR="006637CB" w:rsidRPr="00BB6220">
        <w:rPr>
          <w:lang w:eastAsia="en-NZ"/>
        </w:rPr>
        <w:t>by</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p>
    <w:p w14:paraId="270BA3FE" w14:textId="77777777" w:rsidR="00501068" w:rsidRDefault="001C3549" w:rsidP="0002020B">
      <w:pPr>
        <w:rPr>
          <w:lang w:eastAsia="en-NZ"/>
        </w:rPr>
      </w:pPr>
      <w:r w:rsidRPr="00BB6220">
        <w:rPr>
          <w:lang w:eastAsia="en-NZ"/>
        </w:rPr>
        <w:t>All</w:t>
      </w:r>
      <w:r w:rsidR="003D640C">
        <w:rPr>
          <w:lang w:eastAsia="en-NZ"/>
        </w:rPr>
        <w:t xml:space="preserve"> </w:t>
      </w:r>
      <w:r w:rsidRPr="00BB6220">
        <w:rPr>
          <w:lang w:eastAsia="en-NZ"/>
        </w:rPr>
        <w:t>people</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sidR="003D640C">
        <w:rPr>
          <w:lang w:eastAsia="en-NZ"/>
        </w:rPr>
        <w:t xml:space="preserve"> </w:t>
      </w:r>
      <w:r w:rsidRPr="00BB6220">
        <w:rPr>
          <w:lang w:eastAsia="en-NZ"/>
        </w:rPr>
        <w:t>have</w:t>
      </w:r>
      <w:r w:rsidR="003D640C">
        <w:rPr>
          <w:lang w:eastAsia="en-NZ"/>
        </w:rPr>
        <w:t xml:space="preserve"> </w:t>
      </w:r>
      <w:r w:rsidRPr="00BB6220">
        <w:rPr>
          <w:lang w:eastAsia="en-NZ"/>
        </w:rPr>
        <w:t>the</w:t>
      </w:r>
      <w:r w:rsidR="003D640C">
        <w:rPr>
          <w:lang w:eastAsia="en-NZ"/>
        </w:rPr>
        <w:t xml:space="preserve"> </w:t>
      </w:r>
      <w:r w:rsidRPr="00BB6220">
        <w:rPr>
          <w:lang w:eastAsia="en-NZ"/>
        </w:rPr>
        <w:t>right</w:t>
      </w:r>
      <w:r w:rsidR="003D640C">
        <w:rPr>
          <w:lang w:eastAsia="en-NZ"/>
        </w:rPr>
        <w:t xml:space="preserve"> </w:t>
      </w:r>
      <w:r w:rsidRPr="00BB6220">
        <w:rPr>
          <w:lang w:eastAsia="en-NZ"/>
        </w:rPr>
        <w:t>to</w:t>
      </w:r>
      <w:r w:rsidR="003D640C">
        <w:rPr>
          <w:lang w:eastAsia="en-NZ"/>
        </w:rPr>
        <w:t xml:space="preserve"> </w:t>
      </w:r>
      <w:r w:rsidRPr="00BB6220">
        <w:rPr>
          <w:lang w:eastAsia="en-NZ"/>
        </w:rPr>
        <w:t>equality,</w:t>
      </w:r>
      <w:r w:rsidR="003D640C">
        <w:rPr>
          <w:lang w:eastAsia="en-NZ"/>
        </w:rPr>
        <w:t xml:space="preserve"> </w:t>
      </w:r>
      <w:r w:rsidRPr="00BB6220">
        <w:rPr>
          <w:lang w:eastAsia="en-NZ"/>
        </w:rPr>
        <w:t>dignity</w:t>
      </w:r>
      <w:r w:rsidR="0D994DED"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respect.</w:t>
      </w:r>
      <w:r w:rsidR="003D640C">
        <w:rPr>
          <w:lang w:eastAsia="en-NZ"/>
        </w:rPr>
        <w:t xml:space="preserve"> </w:t>
      </w:r>
      <w:r w:rsidR="00D71082" w:rsidRPr="00BB6220">
        <w:rPr>
          <w:lang w:eastAsia="en-NZ"/>
        </w:rPr>
        <w:t>Conversion</w:t>
      </w:r>
      <w:r w:rsidR="003D640C">
        <w:rPr>
          <w:lang w:eastAsia="en-NZ"/>
        </w:rPr>
        <w:t xml:space="preserve"> </w:t>
      </w:r>
      <w:r w:rsidR="00D71082" w:rsidRPr="00BB6220">
        <w:rPr>
          <w:lang w:eastAsia="en-NZ"/>
        </w:rPr>
        <w:t>practices</w:t>
      </w:r>
      <w:r w:rsidR="003D640C">
        <w:rPr>
          <w:lang w:eastAsia="en-NZ"/>
        </w:rPr>
        <w:t xml:space="preserve"> </w:t>
      </w:r>
      <w:r w:rsidR="00FB27E7">
        <w:rPr>
          <w:lang w:eastAsia="en-NZ"/>
        </w:rPr>
        <w:t>can</w:t>
      </w:r>
      <w:r w:rsidR="003D640C">
        <w:rPr>
          <w:lang w:eastAsia="en-NZ"/>
        </w:rPr>
        <w:t xml:space="preserve"> </w:t>
      </w:r>
      <w:r w:rsidR="00842014">
        <w:rPr>
          <w:lang w:eastAsia="en-NZ"/>
        </w:rPr>
        <w:t>interfere</w:t>
      </w:r>
      <w:r w:rsidR="003D640C">
        <w:rPr>
          <w:lang w:eastAsia="en-NZ"/>
        </w:rPr>
        <w:t xml:space="preserve"> </w:t>
      </w:r>
      <w:r w:rsidR="00842014">
        <w:rPr>
          <w:lang w:eastAsia="en-NZ"/>
        </w:rPr>
        <w:t>with</w:t>
      </w:r>
      <w:r w:rsidR="003D640C">
        <w:rPr>
          <w:lang w:eastAsia="en-NZ"/>
        </w:rPr>
        <w:t xml:space="preserve"> </w:t>
      </w:r>
      <w:r w:rsidR="00F63937" w:rsidRPr="00BB6220">
        <w:rPr>
          <w:lang w:eastAsia="en-NZ"/>
        </w:rPr>
        <w:t>rights</w:t>
      </w:r>
      <w:r w:rsidR="003D640C">
        <w:rPr>
          <w:lang w:eastAsia="en-NZ"/>
        </w:rPr>
        <w:t xml:space="preserve"> </w:t>
      </w:r>
      <w:r w:rsidR="00F63937" w:rsidRPr="00BB6220">
        <w:rPr>
          <w:lang w:eastAsia="en-NZ"/>
        </w:rPr>
        <w:t>set</w:t>
      </w:r>
      <w:r w:rsidR="003D640C">
        <w:rPr>
          <w:lang w:eastAsia="en-NZ"/>
        </w:rPr>
        <w:t xml:space="preserve"> </w:t>
      </w:r>
      <w:r w:rsidR="00F63937" w:rsidRPr="00BB6220">
        <w:rPr>
          <w:lang w:eastAsia="en-NZ"/>
        </w:rPr>
        <w:t>out</w:t>
      </w:r>
      <w:r w:rsidR="003D640C">
        <w:rPr>
          <w:lang w:eastAsia="en-NZ"/>
        </w:rPr>
        <w:t xml:space="preserve"> </w:t>
      </w:r>
      <w:r w:rsidR="00F63937" w:rsidRPr="00BB6220">
        <w:rPr>
          <w:lang w:eastAsia="en-NZ"/>
        </w:rPr>
        <w:t>in</w:t>
      </w:r>
      <w:r w:rsidR="003D640C">
        <w:rPr>
          <w:lang w:eastAsia="en-NZ"/>
        </w:rPr>
        <w:t xml:space="preserve"> </w:t>
      </w:r>
      <w:r w:rsidR="00D71082" w:rsidRPr="00BB6220">
        <w:rPr>
          <w:lang w:eastAsia="en-NZ"/>
        </w:rPr>
        <w:t>international</w:t>
      </w:r>
      <w:r w:rsidR="003D640C">
        <w:rPr>
          <w:lang w:eastAsia="en-NZ"/>
        </w:rPr>
        <w:t xml:space="preserve"> </w:t>
      </w:r>
      <w:r w:rsidR="526CC9D5" w:rsidRPr="00BB6220">
        <w:rPr>
          <w:lang w:eastAsia="en-NZ"/>
        </w:rPr>
        <w:t>and</w:t>
      </w:r>
      <w:r w:rsidR="003D640C">
        <w:rPr>
          <w:lang w:eastAsia="en-NZ"/>
        </w:rPr>
        <w:t xml:space="preserve"> </w:t>
      </w:r>
      <w:r w:rsidR="526CC9D5" w:rsidRPr="00BB6220">
        <w:rPr>
          <w:lang w:eastAsia="en-NZ"/>
        </w:rPr>
        <w:t>domestic</w:t>
      </w:r>
      <w:r w:rsidR="003D640C">
        <w:rPr>
          <w:lang w:eastAsia="en-NZ"/>
        </w:rPr>
        <w:t xml:space="preserve"> </w:t>
      </w:r>
      <w:r w:rsidR="00D71082" w:rsidRPr="00BB6220">
        <w:rPr>
          <w:lang w:eastAsia="en-NZ"/>
        </w:rPr>
        <w:t>human</w:t>
      </w:r>
      <w:r w:rsidR="003D640C">
        <w:rPr>
          <w:lang w:eastAsia="en-NZ"/>
        </w:rPr>
        <w:t xml:space="preserve"> </w:t>
      </w:r>
      <w:r w:rsidR="00D71082" w:rsidRPr="00BB6220">
        <w:rPr>
          <w:lang w:eastAsia="en-NZ"/>
        </w:rPr>
        <w:t>rights</w:t>
      </w:r>
      <w:r w:rsidR="003D640C">
        <w:rPr>
          <w:lang w:eastAsia="en-NZ"/>
        </w:rPr>
        <w:t xml:space="preserve"> </w:t>
      </w:r>
      <w:r w:rsidR="688008DC" w:rsidRPr="00BB6220">
        <w:rPr>
          <w:lang w:eastAsia="en-NZ"/>
        </w:rPr>
        <w:t>law</w:t>
      </w:r>
      <w:r w:rsidR="004206E1" w:rsidRPr="00BB6220">
        <w:rPr>
          <w:lang w:eastAsia="en-NZ"/>
        </w:rPr>
        <w:t>,</w:t>
      </w:r>
      <w:r w:rsidR="003D640C">
        <w:rPr>
          <w:lang w:eastAsia="en-NZ"/>
        </w:rPr>
        <w:t xml:space="preserve"> </w:t>
      </w:r>
      <w:r w:rsidR="004206E1" w:rsidRPr="00BB6220">
        <w:rPr>
          <w:lang w:eastAsia="en-NZ"/>
        </w:rPr>
        <w:t>including:</w:t>
      </w:r>
      <w:r w:rsidR="003D640C">
        <w:rPr>
          <w:lang w:eastAsia="en-NZ"/>
        </w:rPr>
        <w:t xml:space="preserve"> </w:t>
      </w:r>
    </w:p>
    <w:p w14:paraId="31795F0E" w14:textId="4DA75243" w:rsidR="004206E1" w:rsidRPr="00BB6220" w:rsidRDefault="00455116" w:rsidP="0002020B">
      <w:pPr>
        <w:pStyle w:val="Bullet"/>
      </w:pPr>
      <w:r w:rsidRPr="00BB6220">
        <w:t>the</w:t>
      </w:r>
      <w:r w:rsidR="003D640C">
        <w:t xml:space="preserve"> </w:t>
      </w:r>
      <w:r w:rsidR="004206E1" w:rsidRPr="00BB6220">
        <w:t>right</w:t>
      </w:r>
      <w:r w:rsidR="003D640C">
        <w:t xml:space="preserve"> </w:t>
      </w:r>
      <w:r w:rsidR="004206E1" w:rsidRPr="00BB6220">
        <w:t>to</w:t>
      </w:r>
      <w:r w:rsidR="003D640C">
        <w:t xml:space="preserve"> </w:t>
      </w:r>
      <w:r w:rsidR="004206E1" w:rsidRPr="00BB6220">
        <w:t>freedom</w:t>
      </w:r>
      <w:r w:rsidR="003D640C">
        <w:t xml:space="preserve"> </w:t>
      </w:r>
      <w:r w:rsidR="004206E1" w:rsidRPr="00BB6220">
        <w:t>from</w:t>
      </w:r>
      <w:r w:rsidR="003D640C">
        <w:t xml:space="preserve"> </w:t>
      </w:r>
      <w:r w:rsidR="004206E1" w:rsidRPr="00BB6220">
        <w:t>discrimination</w:t>
      </w:r>
      <w:r w:rsidR="003D640C">
        <w:t xml:space="preserve"> </w:t>
      </w:r>
    </w:p>
    <w:p w14:paraId="0A323B70" w14:textId="776E4D60" w:rsidR="001C3549" w:rsidRPr="00BB6220" w:rsidRDefault="00455116" w:rsidP="0002020B">
      <w:pPr>
        <w:pStyle w:val="Bullet"/>
      </w:pPr>
      <w:r w:rsidRPr="00BB6220">
        <w:t>the</w:t>
      </w:r>
      <w:r w:rsidR="003D640C">
        <w:t xml:space="preserve"> </w:t>
      </w:r>
      <w:r w:rsidR="00FE3CC6" w:rsidRPr="00BB6220">
        <w:t>right</w:t>
      </w:r>
      <w:r w:rsidR="003D640C">
        <w:t xml:space="preserve"> </w:t>
      </w:r>
      <w:r w:rsidR="00FC4B05" w:rsidRPr="00BB6220">
        <w:t>not</w:t>
      </w:r>
      <w:r w:rsidR="003D640C">
        <w:t xml:space="preserve"> </w:t>
      </w:r>
      <w:r w:rsidR="04C6D434" w:rsidRPr="00BB6220">
        <w:t>to</w:t>
      </w:r>
      <w:r w:rsidR="003D640C">
        <w:t xml:space="preserve"> </w:t>
      </w:r>
      <w:r w:rsidR="00FC4B05" w:rsidRPr="00BB6220">
        <w:t>be</w:t>
      </w:r>
      <w:r w:rsidR="003D640C">
        <w:t xml:space="preserve"> </w:t>
      </w:r>
      <w:r w:rsidR="00FC4B05" w:rsidRPr="00BB6220">
        <w:t>deprived</w:t>
      </w:r>
      <w:r w:rsidR="003D640C">
        <w:t xml:space="preserve"> </w:t>
      </w:r>
      <w:r w:rsidR="00FC4B05" w:rsidRPr="00BB6220">
        <w:t>of</w:t>
      </w:r>
      <w:r w:rsidR="003D640C">
        <w:t xml:space="preserve"> </w:t>
      </w:r>
      <w:r w:rsidR="001C3549" w:rsidRPr="00BB6220">
        <w:t>life</w:t>
      </w:r>
      <w:r w:rsidR="003D640C">
        <w:t xml:space="preserve"> </w:t>
      </w:r>
    </w:p>
    <w:p w14:paraId="741EBA2C" w14:textId="4A8366E7" w:rsidR="001C3549" w:rsidRPr="00BB6220" w:rsidRDefault="002A1505" w:rsidP="0002020B">
      <w:pPr>
        <w:pStyle w:val="Bullet"/>
      </w:pPr>
      <w:r w:rsidRPr="00BB6220">
        <w:t>the</w:t>
      </w:r>
      <w:r w:rsidR="003D640C">
        <w:t xml:space="preserve"> </w:t>
      </w:r>
      <w:r w:rsidR="004206E1" w:rsidRPr="00BB6220">
        <w:t>right</w:t>
      </w:r>
      <w:r w:rsidR="003D640C">
        <w:t xml:space="preserve"> </w:t>
      </w:r>
      <w:r w:rsidR="001C3549" w:rsidRPr="00BB6220">
        <w:t>to</w:t>
      </w:r>
      <w:r w:rsidR="003D640C">
        <w:t xml:space="preserve"> </w:t>
      </w:r>
      <w:r w:rsidR="001C3549" w:rsidRPr="00BB6220">
        <w:t>freedom</w:t>
      </w:r>
      <w:r w:rsidR="003D640C">
        <w:t xml:space="preserve"> </w:t>
      </w:r>
      <w:r w:rsidR="001C3549" w:rsidRPr="00BB6220">
        <w:t>of</w:t>
      </w:r>
      <w:r w:rsidR="003D640C">
        <w:t xml:space="preserve"> </w:t>
      </w:r>
      <w:r w:rsidR="001C3549" w:rsidRPr="00BB6220">
        <w:t>expression</w:t>
      </w:r>
      <w:r w:rsidR="003D640C">
        <w:t xml:space="preserve"> </w:t>
      </w:r>
    </w:p>
    <w:p w14:paraId="5A718509" w14:textId="39399D8F" w:rsidR="001C3549" w:rsidRPr="00BB6220" w:rsidRDefault="002A1505" w:rsidP="0002020B">
      <w:pPr>
        <w:pStyle w:val="Bullet"/>
      </w:pPr>
      <w:r w:rsidRPr="00BB6220">
        <w:t>the</w:t>
      </w:r>
      <w:r w:rsidR="003D640C">
        <w:t xml:space="preserve"> </w:t>
      </w:r>
      <w:r w:rsidR="004206E1" w:rsidRPr="00BB6220">
        <w:t>right</w:t>
      </w:r>
      <w:r w:rsidR="003D640C">
        <w:t xml:space="preserve"> </w:t>
      </w:r>
      <w:r w:rsidR="00C477F0" w:rsidRPr="00BB6220">
        <w:t>to</w:t>
      </w:r>
      <w:r w:rsidR="003D640C">
        <w:t xml:space="preserve"> </w:t>
      </w:r>
      <w:r w:rsidR="001C3549" w:rsidRPr="00BB6220">
        <w:t>health</w:t>
      </w:r>
      <w:r w:rsidR="003D640C">
        <w:t xml:space="preserve"> </w:t>
      </w:r>
    </w:p>
    <w:p w14:paraId="42F8591E" w14:textId="3CEEB068" w:rsidR="00030DCB" w:rsidRPr="00BB6220" w:rsidRDefault="00FA5ECE" w:rsidP="0002020B">
      <w:pPr>
        <w:pStyle w:val="Bullet"/>
      </w:pPr>
      <w:r w:rsidRPr="00BB6220">
        <w:t>the</w:t>
      </w:r>
      <w:r w:rsidR="003D640C">
        <w:t xml:space="preserve"> </w:t>
      </w:r>
      <w:r w:rsidRPr="00BB6220">
        <w:t>right</w:t>
      </w:r>
      <w:r w:rsidR="003D640C">
        <w:t xml:space="preserve"> </w:t>
      </w:r>
      <w:r w:rsidRPr="00BB6220">
        <w:t>to</w:t>
      </w:r>
      <w:r w:rsidR="003D640C">
        <w:t xml:space="preserve"> </w:t>
      </w:r>
      <w:r w:rsidRPr="00BB6220">
        <w:t>be</w:t>
      </w:r>
      <w:r w:rsidR="003D640C">
        <w:t xml:space="preserve"> </w:t>
      </w:r>
      <w:r w:rsidRPr="00BB6220">
        <w:t>free</w:t>
      </w:r>
      <w:r w:rsidR="003D640C">
        <w:t xml:space="preserve"> </w:t>
      </w:r>
      <w:r w:rsidRPr="00BB6220">
        <w:t>from</w:t>
      </w:r>
      <w:r w:rsidR="003D640C">
        <w:t xml:space="preserve"> </w:t>
      </w:r>
      <w:r w:rsidR="001C3549" w:rsidRPr="00BB6220">
        <w:t>torture</w:t>
      </w:r>
      <w:r w:rsidR="003D640C">
        <w:t xml:space="preserve"> </w:t>
      </w:r>
      <w:r w:rsidR="004D36B8" w:rsidRPr="00BB6220">
        <w:t>or</w:t>
      </w:r>
      <w:r w:rsidR="003D640C">
        <w:t xml:space="preserve"> </w:t>
      </w:r>
      <w:r w:rsidR="004D36B8" w:rsidRPr="00BB6220">
        <w:t>other</w:t>
      </w:r>
      <w:r w:rsidR="003D640C">
        <w:t xml:space="preserve"> </w:t>
      </w:r>
      <w:r w:rsidRPr="00BB6220">
        <w:t>cruel,</w:t>
      </w:r>
      <w:r w:rsidR="003D640C">
        <w:t xml:space="preserve"> </w:t>
      </w:r>
      <w:r w:rsidRPr="00BB6220">
        <w:t>inhumane</w:t>
      </w:r>
      <w:r w:rsidR="008E6106">
        <w:t>,</w:t>
      </w:r>
      <w:r w:rsidR="003D640C">
        <w:t xml:space="preserve"> </w:t>
      </w:r>
      <w:r w:rsidRPr="00BB6220">
        <w:t>or</w:t>
      </w:r>
      <w:r w:rsidR="003D640C">
        <w:t xml:space="preserve"> </w:t>
      </w:r>
      <w:r w:rsidRPr="00BB6220">
        <w:t>degrading</w:t>
      </w:r>
      <w:r w:rsidR="003D640C">
        <w:t xml:space="preserve"> </w:t>
      </w:r>
      <w:r w:rsidRPr="00BB6220">
        <w:t>treatment</w:t>
      </w:r>
    </w:p>
    <w:p w14:paraId="4314CBD7" w14:textId="655BF7A6" w:rsidR="00030DCB" w:rsidRPr="00BB6220" w:rsidRDefault="002A1505" w:rsidP="0002020B">
      <w:pPr>
        <w:pStyle w:val="Bullet"/>
      </w:pPr>
      <w:r w:rsidRPr="00BB6220">
        <w:t>the</w:t>
      </w:r>
      <w:r w:rsidR="003D640C">
        <w:t xml:space="preserve"> </w:t>
      </w:r>
      <w:r w:rsidR="00030DCB" w:rsidRPr="00BB6220">
        <w:t>rights</w:t>
      </w:r>
      <w:r w:rsidR="003D640C">
        <w:t xml:space="preserve"> </w:t>
      </w:r>
      <w:r w:rsidR="00030DCB" w:rsidRPr="00BB6220">
        <w:t>of</w:t>
      </w:r>
      <w:r w:rsidR="003D640C">
        <w:t xml:space="preserve"> </w:t>
      </w:r>
      <w:r w:rsidR="00030DCB" w:rsidRPr="00BB6220">
        <w:t>Indigenous</w:t>
      </w:r>
      <w:r w:rsidR="003D640C">
        <w:t xml:space="preserve"> </w:t>
      </w:r>
      <w:r w:rsidR="00105EB8">
        <w:t>p</w:t>
      </w:r>
      <w:r w:rsidR="00030DCB" w:rsidRPr="00BB6220">
        <w:t>eoples</w:t>
      </w:r>
      <w:r w:rsidR="003D640C">
        <w:t xml:space="preserve"> </w:t>
      </w:r>
    </w:p>
    <w:p w14:paraId="0FDCC675" w14:textId="3FF06CA5" w:rsidR="00030DCB" w:rsidRPr="00BB6220" w:rsidRDefault="002A1505" w:rsidP="0002020B">
      <w:pPr>
        <w:pStyle w:val="Bullet"/>
      </w:pPr>
      <w:r w:rsidRPr="00BB6220">
        <w:t>the</w:t>
      </w:r>
      <w:r w:rsidR="003D640C">
        <w:t xml:space="preserve"> </w:t>
      </w:r>
      <w:r w:rsidR="00030DCB" w:rsidRPr="00BB6220">
        <w:t>rights</w:t>
      </w:r>
      <w:r w:rsidR="003D640C">
        <w:t xml:space="preserve"> </w:t>
      </w:r>
      <w:r w:rsidR="00030DCB" w:rsidRPr="00BB6220">
        <w:t>of</w:t>
      </w:r>
      <w:r w:rsidR="003D640C">
        <w:t xml:space="preserve"> </w:t>
      </w:r>
      <w:r w:rsidR="00030DCB" w:rsidRPr="00BB6220">
        <w:t>the</w:t>
      </w:r>
      <w:r w:rsidR="003D640C">
        <w:t xml:space="preserve"> </w:t>
      </w:r>
      <w:r w:rsidR="00030DCB" w:rsidRPr="00BB6220">
        <w:t>child</w:t>
      </w:r>
    </w:p>
    <w:p w14:paraId="628203DC" w14:textId="77777777" w:rsidR="00501068" w:rsidRDefault="00AE2B98" w:rsidP="0002020B">
      <w:pPr>
        <w:pStyle w:val="Bullet"/>
      </w:pPr>
      <w:r>
        <w:t>the</w:t>
      </w:r>
      <w:r w:rsidR="003D640C">
        <w:t xml:space="preserve"> </w:t>
      </w:r>
      <w:r>
        <w:t>rights</w:t>
      </w:r>
      <w:r w:rsidR="003D640C">
        <w:t xml:space="preserve"> </w:t>
      </w:r>
      <w:r>
        <w:t>of</w:t>
      </w:r>
      <w:r w:rsidR="003D640C">
        <w:t xml:space="preserve"> </w:t>
      </w:r>
      <w:r>
        <w:t>disabled</w:t>
      </w:r>
      <w:r w:rsidR="003D640C">
        <w:t xml:space="preserve"> </w:t>
      </w:r>
      <w:r>
        <w:t>people</w:t>
      </w:r>
    </w:p>
    <w:p w14:paraId="3A6FBFD5" w14:textId="7EC5E3C6" w:rsidR="003C53A1" w:rsidRPr="00BB6220" w:rsidRDefault="001C3549" w:rsidP="0002020B">
      <w:pPr>
        <w:pStyle w:val="Heading2"/>
        <w:rPr>
          <w:rFonts w:ascii="Segoe UI" w:hAnsi="Segoe UI" w:cs="Segoe UI"/>
          <w:sz w:val="18"/>
          <w:szCs w:val="18"/>
        </w:rPr>
      </w:pPr>
      <w:bookmarkStart w:id="84" w:name="_Toc138325158"/>
      <w:bookmarkStart w:id="85" w:name="_Toc138343795"/>
      <w:bookmarkStart w:id="86" w:name="_Toc167780584"/>
      <w:bookmarkStart w:id="87" w:name="_Toc1122333844"/>
      <w:bookmarkStart w:id="88" w:name="_Toc174628642"/>
      <w:r w:rsidRPr="00BB6220">
        <w:t>Recognition</w:t>
      </w:r>
      <w:r w:rsidR="003D640C">
        <w:t xml:space="preserve"> </w:t>
      </w:r>
      <w:r w:rsidRPr="00BB6220">
        <w:t>of</w:t>
      </w:r>
      <w:r w:rsidR="003D640C">
        <w:t xml:space="preserve"> </w:t>
      </w:r>
      <w:r w:rsidRPr="00BB6220">
        <w:t>gender</w:t>
      </w:r>
      <w:r w:rsidR="003D640C">
        <w:t xml:space="preserve"> </w:t>
      </w:r>
      <w:r w:rsidRPr="00BB6220">
        <w:t>and</w:t>
      </w:r>
      <w:r w:rsidR="003D640C">
        <w:t xml:space="preserve"> </w:t>
      </w:r>
      <w:r w:rsidRPr="00BB6220">
        <w:t>sex</w:t>
      </w:r>
      <w:bookmarkEnd w:id="84"/>
      <w:bookmarkEnd w:id="85"/>
      <w:r w:rsidR="003D640C">
        <w:t xml:space="preserve"> </w:t>
      </w:r>
      <w:r w:rsidR="002374B1" w:rsidRPr="00BB6220">
        <w:t>in</w:t>
      </w:r>
      <w:r w:rsidR="003D640C">
        <w:t xml:space="preserve"> </w:t>
      </w:r>
      <w:r w:rsidR="002374B1" w:rsidRPr="00BB6220">
        <w:t>human</w:t>
      </w:r>
      <w:r w:rsidR="003D640C">
        <w:t xml:space="preserve"> </w:t>
      </w:r>
      <w:r w:rsidR="002374B1" w:rsidRPr="00BB6220">
        <w:t>rights</w:t>
      </w:r>
      <w:r w:rsidR="003D640C">
        <w:t xml:space="preserve"> </w:t>
      </w:r>
      <w:r w:rsidR="002374B1" w:rsidRPr="00BB6220">
        <w:t>laws</w:t>
      </w:r>
      <w:bookmarkEnd w:id="86"/>
      <w:bookmarkEnd w:id="87"/>
      <w:bookmarkEnd w:id="88"/>
      <w:r w:rsidR="003D640C">
        <w:t xml:space="preserve"> </w:t>
      </w:r>
    </w:p>
    <w:p w14:paraId="5B3F9A11" w14:textId="1068EC04" w:rsidR="00501068" w:rsidRDefault="001C3549" w:rsidP="0002020B">
      <w:pPr>
        <w:rPr>
          <w:lang w:eastAsia="en-NZ"/>
        </w:rPr>
      </w:pPr>
      <w:r w:rsidRPr="00BB6220">
        <w:rPr>
          <w:lang w:eastAsia="en-NZ"/>
        </w:rPr>
        <w:t>The</w:t>
      </w:r>
      <w:r w:rsidR="003D640C">
        <w:rPr>
          <w:lang w:eastAsia="en-NZ"/>
        </w:rPr>
        <w:t xml:space="preserve"> </w:t>
      </w:r>
      <w:r w:rsidRPr="00BB6220">
        <w:rPr>
          <w:lang w:eastAsia="en-NZ"/>
        </w:rPr>
        <w:t>Yogyakarta</w:t>
      </w:r>
      <w:r w:rsidR="003D640C">
        <w:rPr>
          <w:lang w:eastAsia="en-NZ"/>
        </w:rPr>
        <w:t xml:space="preserve"> </w:t>
      </w:r>
      <w:r w:rsidRPr="00BB6220">
        <w:rPr>
          <w:lang w:eastAsia="en-NZ"/>
        </w:rPr>
        <w:t>Principles</w:t>
      </w:r>
      <w:r w:rsidR="006A2733" w:rsidRPr="00BB6220">
        <w:rPr>
          <w:rStyle w:val="FootnoteReference"/>
          <w:rFonts w:ascii="Calibri" w:eastAsia="Times New Roman" w:hAnsi="Calibri" w:cs="Calibri"/>
          <w:lang w:eastAsia="en-NZ"/>
        </w:rPr>
        <w:footnoteReference w:id="46"/>
      </w:r>
      <w:r w:rsidR="003D640C">
        <w:rPr>
          <w:lang w:eastAsia="en-NZ"/>
        </w:rPr>
        <w:t xml:space="preserve"> </w:t>
      </w:r>
      <w:r w:rsidR="00842014">
        <w:rPr>
          <w:lang w:eastAsia="en-NZ"/>
        </w:rPr>
        <w:t>apply</w:t>
      </w:r>
      <w:r w:rsidR="003D640C">
        <w:rPr>
          <w:lang w:eastAsia="en-NZ"/>
        </w:rPr>
        <w:t xml:space="preserve"> </w:t>
      </w:r>
      <w:r w:rsidR="00842014">
        <w:rPr>
          <w:lang w:eastAsia="en-NZ"/>
        </w:rPr>
        <w:t>binding</w:t>
      </w:r>
      <w:r w:rsidR="003D640C">
        <w:rPr>
          <w:lang w:eastAsia="en-NZ"/>
        </w:rPr>
        <w:t xml:space="preserve"> </w:t>
      </w:r>
      <w:r w:rsidR="002A323A" w:rsidRPr="00BB6220">
        <w:rPr>
          <w:lang w:eastAsia="en-NZ"/>
        </w:rPr>
        <w:t>international</w:t>
      </w:r>
      <w:r w:rsidR="003D640C">
        <w:rPr>
          <w:lang w:eastAsia="en-NZ"/>
        </w:rPr>
        <w:t xml:space="preserve"> </w:t>
      </w:r>
      <w:r w:rsidR="00600B74" w:rsidRPr="00BB6220">
        <w:rPr>
          <w:lang w:eastAsia="en-NZ"/>
        </w:rPr>
        <w:t>human</w:t>
      </w:r>
      <w:r w:rsidR="003D640C">
        <w:rPr>
          <w:lang w:eastAsia="en-NZ"/>
        </w:rPr>
        <w:t xml:space="preserve"> </w:t>
      </w:r>
      <w:r w:rsidR="00600B74" w:rsidRPr="00BB6220">
        <w:rPr>
          <w:lang w:eastAsia="en-NZ"/>
        </w:rPr>
        <w:t>rights</w:t>
      </w:r>
      <w:r w:rsidR="003D640C">
        <w:rPr>
          <w:lang w:eastAsia="en-NZ"/>
        </w:rPr>
        <w:t xml:space="preserve"> </w:t>
      </w:r>
      <w:r w:rsidR="00443108">
        <w:rPr>
          <w:lang w:eastAsia="en-NZ"/>
        </w:rPr>
        <w:t>law</w:t>
      </w:r>
      <w:r w:rsidR="003D640C">
        <w:rPr>
          <w:lang w:eastAsia="en-NZ"/>
        </w:rPr>
        <w:t xml:space="preserve"> </w:t>
      </w:r>
      <w:r w:rsidR="002B462E" w:rsidRPr="00BB6220">
        <w:rPr>
          <w:lang w:eastAsia="en-NZ"/>
        </w:rPr>
        <w:t>to</w:t>
      </w:r>
      <w:r w:rsidR="003D640C">
        <w:rPr>
          <w:lang w:eastAsia="en-NZ"/>
        </w:rPr>
        <w:t xml:space="preserve"> </w:t>
      </w:r>
      <w:r w:rsidR="002B462E" w:rsidRPr="00BB6220">
        <w:rPr>
          <w:lang w:eastAsia="en-NZ"/>
        </w:rPr>
        <w:t>sexual</w:t>
      </w:r>
      <w:r w:rsidR="003D640C">
        <w:rPr>
          <w:lang w:eastAsia="en-NZ"/>
        </w:rPr>
        <w:t xml:space="preserve"> </w:t>
      </w:r>
      <w:r w:rsidR="002B462E" w:rsidRPr="00BB6220">
        <w:rPr>
          <w:lang w:eastAsia="en-NZ"/>
        </w:rPr>
        <w:t>orientation</w:t>
      </w:r>
      <w:r w:rsidR="0074307F" w:rsidRPr="00BB6220">
        <w:rPr>
          <w:lang w:eastAsia="en-NZ"/>
        </w:rPr>
        <w:t>,</w:t>
      </w:r>
      <w:r w:rsidR="003D640C">
        <w:rPr>
          <w:lang w:eastAsia="en-NZ"/>
        </w:rPr>
        <w:t xml:space="preserve"> </w:t>
      </w:r>
      <w:r w:rsidR="002B462E" w:rsidRPr="00BB6220">
        <w:rPr>
          <w:lang w:eastAsia="en-NZ"/>
        </w:rPr>
        <w:t>gender</w:t>
      </w:r>
      <w:r w:rsidR="003D640C">
        <w:rPr>
          <w:lang w:eastAsia="en-NZ"/>
        </w:rPr>
        <w:t xml:space="preserve"> </w:t>
      </w:r>
      <w:r w:rsidR="002B462E" w:rsidRPr="00BB6220">
        <w:rPr>
          <w:lang w:eastAsia="en-NZ"/>
        </w:rPr>
        <w:t>identity</w:t>
      </w:r>
      <w:r w:rsidR="0074307F" w:rsidRPr="00BB6220">
        <w:rPr>
          <w:lang w:eastAsia="en-NZ"/>
        </w:rPr>
        <w:t>,</w:t>
      </w:r>
      <w:r w:rsidR="003D640C">
        <w:rPr>
          <w:lang w:eastAsia="en-NZ"/>
        </w:rPr>
        <w:t xml:space="preserve"> </w:t>
      </w:r>
      <w:r w:rsidR="0074307F" w:rsidRPr="00BB6220">
        <w:rPr>
          <w:lang w:eastAsia="en-NZ"/>
        </w:rPr>
        <w:t>gender</w:t>
      </w:r>
      <w:r w:rsidR="003D640C">
        <w:rPr>
          <w:lang w:eastAsia="en-NZ"/>
        </w:rPr>
        <w:t xml:space="preserve"> </w:t>
      </w:r>
      <w:r w:rsidR="0074307F" w:rsidRPr="00BB6220">
        <w:rPr>
          <w:lang w:eastAsia="en-NZ"/>
        </w:rPr>
        <w:t>expression,</w:t>
      </w:r>
      <w:r w:rsidR="003D640C">
        <w:rPr>
          <w:lang w:eastAsia="en-NZ"/>
        </w:rPr>
        <w:t xml:space="preserve"> </w:t>
      </w:r>
      <w:r w:rsidR="0074307F" w:rsidRPr="00BB6220">
        <w:rPr>
          <w:lang w:eastAsia="en-NZ"/>
        </w:rPr>
        <w:t>and</w:t>
      </w:r>
      <w:r w:rsidR="003D640C">
        <w:rPr>
          <w:lang w:eastAsia="en-NZ"/>
        </w:rPr>
        <w:t xml:space="preserve"> </w:t>
      </w:r>
      <w:r w:rsidR="0074307F" w:rsidRPr="00BB6220">
        <w:rPr>
          <w:lang w:eastAsia="en-NZ"/>
        </w:rPr>
        <w:t>sex</w:t>
      </w:r>
      <w:r w:rsidR="003D640C">
        <w:rPr>
          <w:lang w:eastAsia="en-NZ"/>
        </w:rPr>
        <w:t xml:space="preserve"> </w:t>
      </w:r>
      <w:r w:rsidR="0074307F" w:rsidRPr="00BB6220">
        <w:rPr>
          <w:lang w:eastAsia="en-NZ"/>
        </w:rPr>
        <w:t>characteristics</w:t>
      </w:r>
      <w:r w:rsidR="003D640C">
        <w:rPr>
          <w:lang w:eastAsia="en-NZ"/>
        </w:rPr>
        <w:t xml:space="preserve"> </w:t>
      </w:r>
      <w:r w:rsidR="00AC2045" w:rsidRPr="00BB6220">
        <w:rPr>
          <w:lang w:eastAsia="en-NZ"/>
        </w:rPr>
        <w:t>(SOGIESC)</w:t>
      </w:r>
      <w:r w:rsidR="002A323A" w:rsidRPr="00BB6220">
        <w:rPr>
          <w:lang w:eastAsia="en-NZ"/>
        </w:rPr>
        <w:t>.</w:t>
      </w:r>
      <w:r w:rsidR="00C4209F" w:rsidRPr="00BB6220">
        <w:rPr>
          <w:rStyle w:val="FootnoteReference"/>
          <w:rFonts w:ascii="Calibri" w:eastAsia="Times New Roman" w:hAnsi="Calibri" w:cs="Calibri"/>
          <w:lang w:eastAsia="en-NZ"/>
        </w:rPr>
        <w:footnoteReference w:id="47"/>
      </w:r>
      <w:r w:rsidR="003D640C">
        <w:rPr>
          <w:lang w:eastAsia="en-NZ"/>
        </w:rPr>
        <w:t xml:space="preserve"> </w:t>
      </w:r>
      <w:r w:rsidRPr="00BB6220">
        <w:rPr>
          <w:lang w:eastAsia="en-NZ"/>
        </w:rPr>
        <w:t>The</w:t>
      </w:r>
      <w:r w:rsidR="003D640C">
        <w:rPr>
          <w:lang w:eastAsia="en-NZ"/>
        </w:rPr>
        <w:t xml:space="preserve"> </w:t>
      </w:r>
      <w:r w:rsidR="00A24180">
        <w:rPr>
          <w:lang w:eastAsia="en-NZ"/>
        </w:rPr>
        <w:t>principles</w:t>
      </w:r>
      <w:r w:rsidR="003D640C">
        <w:rPr>
          <w:lang w:eastAsia="en-NZ"/>
        </w:rPr>
        <w:t xml:space="preserve"> </w:t>
      </w:r>
      <w:r w:rsidRPr="00BB6220">
        <w:rPr>
          <w:lang w:eastAsia="en-NZ"/>
        </w:rPr>
        <w:t>state</w:t>
      </w:r>
      <w:r w:rsidR="003D640C">
        <w:rPr>
          <w:lang w:eastAsia="en-NZ"/>
        </w:rPr>
        <w:t xml:space="preserve"> </w:t>
      </w:r>
      <w:r w:rsidRPr="00BB6220">
        <w:rPr>
          <w:lang w:eastAsia="en-NZ"/>
        </w:rPr>
        <w:t>that</w:t>
      </w:r>
      <w:r w:rsidR="003D640C">
        <w:rPr>
          <w:lang w:eastAsia="en-NZ"/>
        </w:rPr>
        <w:t xml:space="preserve"> </w:t>
      </w:r>
      <w:r w:rsidRPr="00BB6220">
        <w:rPr>
          <w:lang w:eastAsia="en-NZ"/>
        </w:rPr>
        <w:t>all</w:t>
      </w:r>
      <w:r w:rsidR="003D640C">
        <w:rPr>
          <w:lang w:eastAsia="en-NZ"/>
        </w:rPr>
        <w:t xml:space="preserve"> </w:t>
      </w:r>
      <w:r w:rsidRPr="00BB6220">
        <w:rPr>
          <w:lang w:eastAsia="en-NZ"/>
        </w:rPr>
        <w:t>people,</w:t>
      </w:r>
      <w:r w:rsidR="003D640C">
        <w:rPr>
          <w:lang w:eastAsia="en-NZ"/>
        </w:rPr>
        <w:t xml:space="preserve"> </w:t>
      </w:r>
      <w:r w:rsidRPr="00BB6220">
        <w:rPr>
          <w:lang w:eastAsia="en-NZ"/>
        </w:rPr>
        <w:t>regardless</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00AC2045" w:rsidRPr="00BB6220">
        <w:rPr>
          <w:lang w:eastAsia="en-NZ"/>
        </w:rPr>
        <w:t>SOGIESC</w:t>
      </w:r>
      <w:r w:rsidRPr="00BB6220">
        <w:rPr>
          <w:lang w:eastAsia="en-NZ"/>
        </w:rPr>
        <w:t>,</w:t>
      </w:r>
      <w:r w:rsidR="003D640C">
        <w:rPr>
          <w:lang w:eastAsia="en-NZ"/>
        </w:rPr>
        <w:t xml:space="preserve"> </w:t>
      </w:r>
      <w:r w:rsidRPr="00BB6220">
        <w:rPr>
          <w:lang w:eastAsia="en-NZ"/>
        </w:rPr>
        <w:t>have</w:t>
      </w:r>
      <w:r w:rsidR="003D640C">
        <w:rPr>
          <w:lang w:eastAsia="en-NZ"/>
        </w:rPr>
        <w:t xml:space="preserve"> </w:t>
      </w:r>
      <w:r w:rsidRPr="00BB6220">
        <w:rPr>
          <w:lang w:eastAsia="en-NZ"/>
        </w:rPr>
        <w:t>the</w:t>
      </w:r>
      <w:r w:rsidR="003D640C">
        <w:rPr>
          <w:lang w:eastAsia="en-NZ"/>
        </w:rPr>
        <w:t xml:space="preserve"> </w:t>
      </w:r>
      <w:r w:rsidRPr="00BB6220">
        <w:rPr>
          <w:lang w:eastAsia="en-NZ"/>
        </w:rPr>
        <w:t>same</w:t>
      </w:r>
      <w:r w:rsidR="003D640C">
        <w:rPr>
          <w:lang w:eastAsia="en-NZ"/>
        </w:rPr>
        <w:t xml:space="preserve"> </w:t>
      </w:r>
      <w:r w:rsidR="009712D9" w:rsidRPr="00BB6220">
        <w:rPr>
          <w:lang w:eastAsia="en-NZ"/>
        </w:rPr>
        <w:t>human</w:t>
      </w:r>
      <w:r w:rsidR="003D640C">
        <w:rPr>
          <w:lang w:eastAsia="en-NZ"/>
        </w:rPr>
        <w:t xml:space="preserve"> </w:t>
      </w:r>
      <w:r w:rsidRPr="00BB6220">
        <w:rPr>
          <w:lang w:eastAsia="en-NZ"/>
        </w:rPr>
        <w:t>rights</w:t>
      </w:r>
      <w:r w:rsidR="003D640C">
        <w:rPr>
          <w:lang w:eastAsia="en-NZ"/>
        </w:rPr>
        <w:t xml:space="preserve"> </w:t>
      </w:r>
      <w:r w:rsidRPr="00BB6220">
        <w:rPr>
          <w:lang w:eastAsia="en-NZ"/>
        </w:rPr>
        <w:t>and</w:t>
      </w:r>
      <w:r w:rsidR="003D640C">
        <w:rPr>
          <w:lang w:eastAsia="en-NZ"/>
        </w:rPr>
        <w:t xml:space="preserve"> </w:t>
      </w:r>
      <w:r w:rsidRPr="00BB6220">
        <w:rPr>
          <w:lang w:eastAsia="en-NZ"/>
        </w:rPr>
        <w:t>freedoms.</w:t>
      </w:r>
      <w:r w:rsidR="003D640C">
        <w:rPr>
          <w:lang w:eastAsia="en-NZ"/>
        </w:rPr>
        <w:t xml:space="preserve"> </w:t>
      </w:r>
      <w:r w:rsidR="00FB4251">
        <w:rPr>
          <w:lang w:eastAsia="en-NZ"/>
        </w:rPr>
        <w:t>A</w:t>
      </w:r>
      <w:r w:rsidR="00FB4251" w:rsidRPr="00BB6220">
        <w:rPr>
          <w:lang w:eastAsia="en-NZ"/>
        </w:rPr>
        <w:t>ll</w:t>
      </w:r>
      <w:r w:rsidR="003D640C">
        <w:rPr>
          <w:lang w:eastAsia="en-NZ"/>
        </w:rPr>
        <w:t xml:space="preserve"> </w:t>
      </w:r>
      <w:r w:rsidR="00FB4251" w:rsidRPr="00BB6220">
        <w:rPr>
          <w:lang w:eastAsia="en-NZ"/>
        </w:rPr>
        <w:t>States</w:t>
      </w:r>
      <w:r w:rsidR="003D640C">
        <w:rPr>
          <w:lang w:eastAsia="en-NZ"/>
        </w:rPr>
        <w:t xml:space="preserve"> </w:t>
      </w:r>
      <w:r w:rsidR="00FB4251" w:rsidRPr="00BB6220">
        <w:rPr>
          <w:lang w:eastAsia="en-NZ"/>
        </w:rPr>
        <w:t>must</w:t>
      </w:r>
      <w:r w:rsidR="003D640C">
        <w:rPr>
          <w:lang w:eastAsia="en-NZ"/>
        </w:rPr>
        <w:t xml:space="preserve"> </w:t>
      </w:r>
      <w:r w:rsidR="00FB4251" w:rsidRPr="00BB6220">
        <w:rPr>
          <w:lang w:eastAsia="en-NZ"/>
        </w:rPr>
        <w:t>comply</w:t>
      </w:r>
      <w:r w:rsidR="003D640C">
        <w:rPr>
          <w:lang w:eastAsia="en-NZ"/>
        </w:rPr>
        <w:t xml:space="preserve"> </w:t>
      </w:r>
      <w:r w:rsidR="00FB4251">
        <w:rPr>
          <w:lang w:eastAsia="en-NZ"/>
        </w:rPr>
        <w:t>with</w:t>
      </w:r>
      <w:r w:rsidR="003D640C">
        <w:rPr>
          <w:lang w:eastAsia="en-NZ"/>
        </w:rPr>
        <w:t xml:space="preserve"> </w:t>
      </w:r>
      <w:r w:rsidR="00FB4251">
        <w:rPr>
          <w:lang w:eastAsia="en-NZ"/>
        </w:rPr>
        <w:t>the</w:t>
      </w:r>
      <w:r w:rsidR="00FB4251" w:rsidDel="001729C2">
        <w:rPr>
          <w:lang w:eastAsia="en-NZ"/>
        </w:rPr>
        <w:t>se</w:t>
      </w:r>
      <w:r w:rsidR="003D640C">
        <w:rPr>
          <w:lang w:eastAsia="en-NZ"/>
        </w:rPr>
        <w:t xml:space="preserve"> </w:t>
      </w:r>
      <w:r w:rsidR="00A8735B" w:rsidRPr="00BB6220" w:rsidDel="001729C2">
        <w:rPr>
          <w:lang w:eastAsia="en-NZ"/>
        </w:rPr>
        <w:t>i</w:t>
      </w:r>
      <w:r w:rsidR="00A8735B">
        <w:rPr>
          <w:lang w:eastAsia="en-NZ"/>
        </w:rPr>
        <w:t>n</w:t>
      </w:r>
      <w:r w:rsidR="00A8735B" w:rsidRPr="00BB6220">
        <w:rPr>
          <w:lang w:eastAsia="en-NZ"/>
        </w:rPr>
        <w:t>ternational</w:t>
      </w:r>
      <w:r w:rsidR="003D640C">
        <w:rPr>
          <w:lang w:eastAsia="en-NZ"/>
        </w:rPr>
        <w:t xml:space="preserve"> </w:t>
      </w:r>
      <w:r w:rsidR="00FB4251" w:rsidRPr="00BB6220">
        <w:rPr>
          <w:lang w:eastAsia="en-NZ"/>
        </w:rPr>
        <w:t>legal</w:t>
      </w:r>
      <w:r w:rsidR="003D640C">
        <w:rPr>
          <w:lang w:eastAsia="en-NZ"/>
        </w:rPr>
        <w:t xml:space="preserve"> </w:t>
      </w:r>
      <w:r w:rsidR="001729C2">
        <w:rPr>
          <w:lang w:eastAsia="en-NZ"/>
        </w:rPr>
        <w:t>obligations.</w:t>
      </w:r>
    </w:p>
    <w:p w14:paraId="3C5C55BB" w14:textId="5597C627" w:rsidR="00501068" w:rsidRDefault="000D651F" w:rsidP="0002020B">
      <w:pPr>
        <w:rPr>
          <w:rFonts w:ascii="Segoe UI" w:hAnsi="Segoe UI" w:cs="Segoe UI"/>
          <w:sz w:val="20"/>
          <w:szCs w:val="20"/>
          <w:lang w:eastAsia="en-NZ"/>
        </w:rPr>
      </w:pPr>
      <w:r>
        <w:rPr>
          <w:lang w:eastAsia="en-NZ"/>
        </w:rPr>
        <w:t xml:space="preserve">Section 21 of </w:t>
      </w:r>
      <w:r w:rsidR="00906385">
        <w:rPr>
          <w:lang w:eastAsia="en-NZ"/>
        </w:rPr>
        <w:t>New</w:t>
      </w:r>
      <w:r w:rsidR="003D640C">
        <w:rPr>
          <w:lang w:eastAsia="en-NZ"/>
        </w:rPr>
        <w:t xml:space="preserve"> </w:t>
      </w:r>
      <w:r w:rsidR="00906385">
        <w:rPr>
          <w:lang w:eastAsia="en-NZ"/>
        </w:rPr>
        <w:t>Zealand’s</w:t>
      </w:r>
      <w:r w:rsidR="003D640C">
        <w:rPr>
          <w:lang w:eastAsia="en-NZ"/>
        </w:rPr>
        <w:t xml:space="preserve"> </w:t>
      </w:r>
      <w:r w:rsidR="33187861" w:rsidRPr="00BB6220">
        <w:rPr>
          <w:lang w:eastAsia="en-NZ"/>
        </w:rPr>
        <w:t>H</w:t>
      </w:r>
      <w:r w:rsidR="00906385">
        <w:rPr>
          <w:lang w:eastAsia="en-NZ"/>
        </w:rPr>
        <w:t>uman</w:t>
      </w:r>
      <w:r w:rsidR="003D640C">
        <w:rPr>
          <w:lang w:eastAsia="en-NZ"/>
        </w:rPr>
        <w:t xml:space="preserve"> </w:t>
      </w:r>
      <w:r w:rsidR="33187861" w:rsidRPr="00BB6220">
        <w:rPr>
          <w:lang w:eastAsia="en-NZ"/>
        </w:rPr>
        <w:t>R</w:t>
      </w:r>
      <w:r w:rsidR="00906385">
        <w:rPr>
          <w:lang w:eastAsia="en-NZ"/>
        </w:rPr>
        <w:t>ights</w:t>
      </w:r>
      <w:r w:rsidR="003D640C">
        <w:rPr>
          <w:lang w:eastAsia="en-NZ"/>
        </w:rPr>
        <w:t xml:space="preserve"> </w:t>
      </w:r>
      <w:r w:rsidR="33187861" w:rsidRPr="00BB6220">
        <w:rPr>
          <w:lang w:eastAsia="en-NZ"/>
        </w:rPr>
        <w:t>A</w:t>
      </w:r>
      <w:r w:rsidR="00906385">
        <w:rPr>
          <w:lang w:eastAsia="en-NZ"/>
        </w:rPr>
        <w:t>ct</w:t>
      </w:r>
      <w:r w:rsidR="003D640C">
        <w:rPr>
          <w:lang w:eastAsia="en-NZ"/>
        </w:rPr>
        <w:t xml:space="preserve"> </w:t>
      </w:r>
      <w:r w:rsidR="00CF4AE5" w:rsidRPr="00BB6220">
        <w:rPr>
          <w:lang w:eastAsia="en-NZ"/>
        </w:rPr>
        <w:t>prohibits</w:t>
      </w:r>
      <w:r w:rsidR="003D640C">
        <w:rPr>
          <w:lang w:eastAsia="en-NZ"/>
        </w:rPr>
        <w:t xml:space="preserve"> </w:t>
      </w:r>
      <w:r w:rsidR="00CF4AE5" w:rsidRPr="00BB6220">
        <w:rPr>
          <w:lang w:eastAsia="en-NZ"/>
        </w:rPr>
        <w:t>discrimination</w:t>
      </w:r>
      <w:r w:rsidR="003D640C">
        <w:rPr>
          <w:lang w:eastAsia="en-NZ"/>
        </w:rPr>
        <w:t xml:space="preserve"> </w:t>
      </w:r>
      <w:r w:rsidR="0016103A" w:rsidRPr="00BB6220">
        <w:rPr>
          <w:lang w:eastAsia="en-NZ"/>
        </w:rPr>
        <w:t>on</w:t>
      </w:r>
      <w:r w:rsidR="003D640C">
        <w:rPr>
          <w:lang w:eastAsia="en-NZ"/>
        </w:rPr>
        <w:t xml:space="preserve"> </w:t>
      </w:r>
      <w:r w:rsidR="0016103A" w:rsidRPr="00BB6220">
        <w:rPr>
          <w:lang w:eastAsia="en-NZ"/>
        </w:rPr>
        <w:t>13</w:t>
      </w:r>
      <w:r w:rsidR="003D640C">
        <w:rPr>
          <w:lang w:eastAsia="en-NZ"/>
        </w:rPr>
        <w:t xml:space="preserve"> </w:t>
      </w:r>
      <w:r w:rsidR="009579D6" w:rsidRPr="00BB6220">
        <w:rPr>
          <w:lang w:eastAsia="en-NZ"/>
        </w:rPr>
        <w:t>grounds,</w:t>
      </w:r>
      <w:r w:rsidR="003D640C">
        <w:rPr>
          <w:lang w:eastAsia="en-NZ"/>
        </w:rPr>
        <w:t xml:space="preserve"> </w:t>
      </w:r>
      <w:r w:rsidR="009579D6" w:rsidRPr="00BB6220">
        <w:rPr>
          <w:lang w:eastAsia="en-NZ"/>
        </w:rPr>
        <w:t>including</w:t>
      </w:r>
      <w:r w:rsidR="003D640C">
        <w:rPr>
          <w:lang w:eastAsia="en-NZ"/>
        </w:rPr>
        <w:t xml:space="preserve"> </w:t>
      </w:r>
      <w:r w:rsidR="001C3549" w:rsidRPr="00BB6220">
        <w:rPr>
          <w:lang w:eastAsia="en-NZ"/>
        </w:rPr>
        <w:t>sex</w:t>
      </w:r>
      <w:r w:rsidR="003D640C">
        <w:rPr>
          <w:lang w:eastAsia="en-NZ"/>
        </w:rPr>
        <w:t xml:space="preserve"> </w:t>
      </w:r>
      <w:r w:rsidR="009579D6" w:rsidRPr="00BB6220">
        <w:rPr>
          <w:lang w:eastAsia="en-NZ"/>
        </w:rPr>
        <w:t>and</w:t>
      </w:r>
      <w:r w:rsidR="003D640C">
        <w:rPr>
          <w:lang w:eastAsia="en-NZ"/>
        </w:rPr>
        <w:t xml:space="preserve"> </w:t>
      </w:r>
      <w:r w:rsidR="009579D6" w:rsidRPr="00BB6220">
        <w:rPr>
          <w:lang w:eastAsia="en-NZ"/>
        </w:rPr>
        <w:t>sexual</w:t>
      </w:r>
      <w:r w:rsidR="003D640C">
        <w:rPr>
          <w:lang w:eastAsia="en-NZ"/>
        </w:rPr>
        <w:t xml:space="preserve"> </w:t>
      </w:r>
      <w:r w:rsidR="009579D6" w:rsidRPr="00BB6220">
        <w:rPr>
          <w:lang w:eastAsia="en-NZ"/>
        </w:rPr>
        <w:t>orientation</w:t>
      </w:r>
      <w:r w:rsidR="001C3549" w:rsidRPr="00BB6220">
        <w:rPr>
          <w:lang w:eastAsia="en-NZ"/>
        </w:rPr>
        <w:t>.</w:t>
      </w:r>
      <w:r w:rsidR="003D640C">
        <w:rPr>
          <w:lang w:eastAsia="en-NZ"/>
        </w:rPr>
        <w:t xml:space="preserve"> </w:t>
      </w:r>
      <w:r w:rsidR="00457548" w:rsidRPr="00BB6220">
        <w:rPr>
          <w:lang w:eastAsia="en-NZ"/>
        </w:rPr>
        <w:t>T</w:t>
      </w:r>
      <w:r w:rsidR="7911B5A5" w:rsidRPr="00BB6220">
        <w:rPr>
          <w:lang w:eastAsia="en-NZ"/>
        </w:rPr>
        <w:t>he</w:t>
      </w:r>
      <w:r w:rsidR="003D640C">
        <w:rPr>
          <w:lang w:eastAsia="en-NZ"/>
        </w:rPr>
        <w:t xml:space="preserve"> </w:t>
      </w:r>
      <w:r w:rsidR="00457548" w:rsidRPr="00BB6220">
        <w:rPr>
          <w:lang w:eastAsia="en-NZ"/>
        </w:rPr>
        <w:t>Commission</w:t>
      </w:r>
      <w:r w:rsidR="003D640C">
        <w:rPr>
          <w:lang w:eastAsia="en-NZ"/>
        </w:rPr>
        <w:t xml:space="preserve"> </w:t>
      </w:r>
      <w:r w:rsidR="001C3549" w:rsidRPr="00BB6220">
        <w:rPr>
          <w:lang w:eastAsia="en-NZ"/>
        </w:rPr>
        <w:t>has</w:t>
      </w:r>
      <w:r w:rsidR="003D640C">
        <w:rPr>
          <w:lang w:eastAsia="en-NZ"/>
        </w:rPr>
        <w:t xml:space="preserve"> </w:t>
      </w:r>
      <w:r w:rsidR="001C3549" w:rsidRPr="00BB6220">
        <w:rPr>
          <w:lang w:eastAsia="en-NZ"/>
        </w:rPr>
        <w:t>interpreted</w:t>
      </w:r>
      <w:r w:rsidR="003D640C">
        <w:rPr>
          <w:lang w:eastAsia="en-NZ"/>
        </w:rPr>
        <w:t xml:space="preserve"> </w:t>
      </w:r>
      <w:r w:rsidR="007D6E63" w:rsidRPr="00BB6220">
        <w:rPr>
          <w:lang w:eastAsia="en-NZ"/>
        </w:rPr>
        <w:t>sex</w:t>
      </w:r>
      <w:r w:rsidR="003D640C">
        <w:rPr>
          <w:lang w:eastAsia="en-NZ"/>
        </w:rPr>
        <w:t xml:space="preserve"> </w:t>
      </w:r>
      <w:r w:rsidR="001C3549" w:rsidRPr="00BB6220">
        <w:rPr>
          <w:lang w:eastAsia="en-NZ"/>
        </w:rPr>
        <w:t>to</w:t>
      </w:r>
      <w:r w:rsidR="003D640C">
        <w:rPr>
          <w:lang w:eastAsia="en-NZ"/>
        </w:rPr>
        <w:t xml:space="preserve"> </w:t>
      </w:r>
      <w:r w:rsidR="001C3549" w:rsidRPr="00BB6220">
        <w:rPr>
          <w:lang w:eastAsia="en-NZ"/>
        </w:rPr>
        <w:t>include</w:t>
      </w:r>
      <w:r w:rsidR="003D640C">
        <w:rPr>
          <w:lang w:eastAsia="en-NZ"/>
        </w:rPr>
        <w:t xml:space="preserve"> </w:t>
      </w:r>
      <w:r w:rsidR="001C3549" w:rsidRPr="00BB6220">
        <w:rPr>
          <w:lang w:eastAsia="en-NZ"/>
        </w:rPr>
        <w:t>gender</w:t>
      </w:r>
      <w:r w:rsidR="003D640C">
        <w:rPr>
          <w:lang w:eastAsia="en-NZ"/>
        </w:rPr>
        <w:t xml:space="preserve"> </w:t>
      </w:r>
      <w:r w:rsidR="001C3549" w:rsidRPr="00BB6220">
        <w:rPr>
          <w:lang w:eastAsia="en-NZ"/>
        </w:rPr>
        <w:t>identity</w:t>
      </w:r>
      <w:r w:rsidR="003D640C">
        <w:rPr>
          <w:lang w:eastAsia="en-NZ"/>
        </w:rPr>
        <w:t xml:space="preserve"> </w:t>
      </w:r>
      <w:r w:rsidR="001C3549" w:rsidRPr="00BB6220">
        <w:rPr>
          <w:lang w:eastAsia="en-NZ"/>
        </w:rPr>
        <w:t>since</w:t>
      </w:r>
      <w:r w:rsidR="003D640C">
        <w:rPr>
          <w:lang w:eastAsia="en-NZ"/>
        </w:rPr>
        <w:t xml:space="preserve"> </w:t>
      </w:r>
      <w:r w:rsidR="001C3549" w:rsidRPr="00BB6220">
        <w:rPr>
          <w:lang w:eastAsia="en-NZ"/>
        </w:rPr>
        <w:t>at</w:t>
      </w:r>
      <w:r w:rsidR="003D640C">
        <w:rPr>
          <w:lang w:eastAsia="en-NZ"/>
        </w:rPr>
        <w:t xml:space="preserve"> </w:t>
      </w:r>
      <w:r w:rsidR="001C3549" w:rsidRPr="00BB6220">
        <w:rPr>
          <w:lang w:eastAsia="en-NZ"/>
        </w:rPr>
        <w:t>least</w:t>
      </w:r>
      <w:r w:rsidR="003D640C">
        <w:rPr>
          <w:lang w:eastAsia="en-NZ"/>
        </w:rPr>
        <w:t xml:space="preserve"> </w:t>
      </w:r>
      <w:r w:rsidR="001C3549" w:rsidRPr="00BB6220">
        <w:rPr>
          <w:lang w:eastAsia="en-NZ"/>
        </w:rPr>
        <w:t>2005.</w:t>
      </w:r>
      <w:r w:rsidR="00DF29A4">
        <w:rPr>
          <w:rStyle w:val="FootnoteReference"/>
          <w:lang w:eastAsia="en-NZ"/>
        </w:rPr>
        <w:footnoteReference w:id="48"/>
      </w:r>
      <w:r w:rsidR="003D640C">
        <w:rPr>
          <w:lang w:eastAsia="en-NZ"/>
        </w:rPr>
        <w:t xml:space="preserve"> </w:t>
      </w:r>
      <w:r w:rsidR="001C3549" w:rsidRPr="00BB6220">
        <w:rPr>
          <w:lang w:eastAsia="en-NZ"/>
        </w:rPr>
        <w:t>In</w:t>
      </w:r>
      <w:r w:rsidR="003D640C">
        <w:rPr>
          <w:lang w:eastAsia="en-NZ"/>
        </w:rPr>
        <w:t xml:space="preserve"> </w:t>
      </w:r>
      <w:r w:rsidR="001C3549" w:rsidRPr="00BB6220">
        <w:rPr>
          <w:lang w:eastAsia="en-NZ"/>
        </w:rPr>
        <w:t>2006,</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acting</w:t>
      </w:r>
      <w:r w:rsidR="003D640C">
        <w:rPr>
          <w:lang w:eastAsia="en-NZ"/>
        </w:rPr>
        <w:t xml:space="preserve"> </w:t>
      </w:r>
      <w:r w:rsidR="001C3549" w:rsidRPr="00BB6220">
        <w:rPr>
          <w:lang w:eastAsia="en-NZ"/>
        </w:rPr>
        <w:t>Solicitor-General</w:t>
      </w:r>
      <w:r w:rsidR="003D640C">
        <w:rPr>
          <w:lang w:eastAsia="en-NZ"/>
        </w:rPr>
        <w:t xml:space="preserve"> </w:t>
      </w:r>
      <w:r w:rsidR="001C3549" w:rsidRPr="00BB6220">
        <w:rPr>
          <w:lang w:eastAsia="en-NZ"/>
        </w:rPr>
        <w:t>wrote</w:t>
      </w:r>
      <w:r w:rsidR="003D640C">
        <w:rPr>
          <w:lang w:eastAsia="en-NZ"/>
        </w:rPr>
        <w:t xml:space="preserve"> </w:t>
      </w:r>
      <w:r w:rsidR="001C3549" w:rsidRPr="00BB6220">
        <w:rPr>
          <w:lang w:eastAsia="en-NZ"/>
        </w:rPr>
        <w:t>a</w:t>
      </w:r>
      <w:r w:rsidR="003D640C">
        <w:rPr>
          <w:lang w:eastAsia="en-NZ"/>
        </w:rPr>
        <w:t xml:space="preserve"> </w:t>
      </w:r>
      <w:r w:rsidR="001C3549" w:rsidRPr="00BB6220">
        <w:rPr>
          <w:lang w:eastAsia="en-NZ"/>
        </w:rPr>
        <w:t>legal</w:t>
      </w:r>
      <w:r w:rsidR="003D640C">
        <w:rPr>
          <w:lang w:eastAsia="en-NZ"/>
        </w:rPr>
        <w:t xml:space="preserve"> </w:t>
      </w:r>
      <w:r w:rsidR="001C3549" w:rsidRPr="00BB6220">
        <w:rPr>
          <w:lang w:eastAsia="en-NZ"/>
        </w:rPr>
        <w:t>opinion</w:t>
      </w:r>
      <w:r w:rsidR="003D640C">
        <w:rPr>
          <w:lang w:eastAsia="en-NZ"/>
        </w:rPr>
        <w:t xml:space="preserve"> </w:t>
      </w:r>
      <w:r w:rsidR="001C3549" w:rsidRPr="00BB6220">
        <w:rPr>
          <w:lang w:eastAsia="en-NZ"/>
        </w:rPr>
        <w:t>concluding</w:t>
      </w:r>
      <w:r w:rsidR="003D640C">
        <w:rPr>
          <w:lang w:eastAsia="en-NZ"/>
        </w:rPr>
        <w:t xml:space="preserve"> </w:t>
      </w:r>
      <w:r w:rsidR="001C3549" w:rsidRPr="00BB6220">
        <w:rPr>
          <w:lang w:eastAsia="en-NZ"/>
        </w:rPr>
        <w:t>that</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prohibition</w:t>
      </w:r>
      <w:r w:rsidR="003D640C">
        <w:rPr>
          <w:lang w:eastAsia="en-NZ"/>
        </w:rPr>
        <w:t xml:space="preserve"> </w:t>
      </w:r>
      <w:r w:rsidR="001C3549" w:rsidRPr="00BB6220">
        <w:rPr>
          <w:lang w:eastAsia="en-NZ"/>
        </w:rPr>
        <w:t>of</w:t>
      </w:r>
      <w:r w:rsidR="003D640C">
        <w:rPr>
          <w:lang w:eastAsia="en-NZ"/>
        </w:rPr>
        <w:t xml:space="preserve"> </w:t>
      </w:r>
      <w:r w:rsidR="001C3549" w:rsidRPr="00BB6220">
        <w:rPr>
          <w:lang w:eastAsia="en-NZ"/>
        </w:rPr>
        <w:t>discrimination</w:t>
      </w:r>
      <w:r w:rsidR="003D640C">
        <w:rPr>
          <w:lang w:eastAsia="en-NZ"/>
        </w:rPr>
        <w:t xml:space="preserve"> </w:t>
      </w:r>
      <w:r w:rsidR="001C3549" w:rsidRPr="00BB6220">
        <w:rPr>
          <w:lang w:eastAsia="en-NZ"/>
        </w:rPr>
        <w:t>on</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ground</w:t>
      </w:r>
      <w:r w:rsidR="003D640C">
        <w:rPr>
          <w:lang w:eastAsia="en-NZ"/>
        </w:rPr>
        <w:t xml:space="preserve"> </w:t>
      </w:r>
      <w:r w:rsidR="001C3549" w:rsidRPr="00BB6220">
        <w:rPr>
          <w:lang w:eastAsia="en-NZ"/>
        </w:rPr>
        <w:t>of</w:t>
      </w:r>
      <w:r w:rsidR="003D640C">
        <w:rPr>
          <w:lang w:eastAsia="en-NZ"/>
        </w:rPr>
        <w:t xml:space="preserve"> </w:t>
      </w:r>
      <w:r w:rsidR="001C3549" w:rsidRPr="00BB6220">
        <w:rPr>
          <w:lang w:eastAsia="en-NZ"/>
        </w:rPr>
        <w:t>sex</w:t>
      </w:r>
      <w:r w:rsidR="003D640C">
        <w:rPr>
          <w:lang w:eastAsia="en-NZ"/>
        </w:rPr>
        <w:t xml:space="preserve"> </w:t>
      </w:r>
      <w:r w:rsidR="001C3549" w:rsidRPr="00BB6220">
        <w:rPr>
          <w:lang w:eastAsia="en-NZ"/>
        </w:rPr>
        <w:t>includes</w:t>
      </w:r>
      <w:r w:rsidR="003D640C">
        <w:rPr>
          <w:lang w:eastAsia="en-NZ"/>
        </w:rPr>
        <w:t xml:space="preserve"> </w:t>
      </w:r>
      <w:r w:rsidR="001C3549" w:rsidRPr="00BB6220">
        <w:rPr>
          <w:lang w:eastAsia="en-NZ"/>
        </w:rPr>
        <w:t>prohibition</w:t>
      </w:r>
      <w:r w:rsidR="003D640C">
        <w:rPr>
          <w:lang w:eastAsia="en-NZ"/>
        </w:rPr>
        <w:t xml:space="preserve"> </w:t>
      </w:r>
      <w:r w:rsidR="001C3549" w:rsidRPr="00BB6220">
        <w:rPr>
          <w:lang w:eastAsia="en-NZ"/>
        </w:rPr>
        <w:t>on</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ground</w:t>
      </w:r>
      <w:r w:rsidR="003D640C">
        <w:rPr>
          <w:lang w:eastAsia="en-NZ"/>
        </w:rPr>
        <w:t xml:space="preserve"> </w:t>
      </w:r>
      <w:r w:rsidR="001C3549" w:rsidRPr="00BB6220">
        <w:rPr>
          <w:lang w:eastAsia="en-NZ"/>
        </w:rPr>
        <w:t>of</w:t>
      </w:r>
      <w:r w:rsidR="003D640C">
        <w:rPr>
          <w:lang w:eastAsia="en-NZ"/>
        </w:rPr>
        <w:t xml:space="preserve"> </w:t>
      </w:r>
      <w:r w:rsidR="001C3549" w:rsidRPr="00BB6220">
        <w:rPr>
          <w:lang w:eastAsia="en-NZ"/>
        </w:rPr>
        <w:t>gender</w:t>
      </w:r>
      <w:r w:rsidR="003D640C">
        <w:rPr>
          <w:lang w:eastAsia="en-NZ"/>
        </w:rPr>
        <w:t xml:space="preserve"> </w:t>
      </w:r>
      <w:r w:rsidR="001C3549" w:rsidRPr="00BB6220">
        <w:rPr>
          <w:lang w:eastAsia="en-NZ"/>
        </w:rPr>
        <w:t>identity,</w:t>
      </w:r>
      <w:r w:rsidR="003D640C">
        <w:rPr>
          <w:lang w:eastAsia="en-NZ"/>
        </w:rPr>
        <w:t xml:space="preserve"> </w:t>
      </w:r>
      <w:r w:rsidR="001C3549" w:rsidRPr="00BB6220">
        <w:rPr>
          <w:lang w:eastAsia="en-NZ"/>
        </w:rPr>
        <w:t>even</w:t>
      </w:r>
      <w:r w:rsidR="003D640C">
        <w:rPr>
          <w:lang w:eastAsia="en-NZ"/>
        </w:rPr>
        <w:t xml:space="preserve"> </w:t>
      </w:r>
      <w:r w:rsidR="001C3549" w:rsidRPr="00BB6220">
        <w:rPr>
          <w:lang w:eastAsia="en-NZ"/>
        </w:rPr>
        <w:t>without</w:t>
      </w:r>
      <w:r w:rsidR="003D640C">
        <w:rPr>
          <w:lang w:eastAsia="en-NZ"/>
        </w:rPr>
        <w:t xml:space="preserve"> </w:t>
      </w:r>
      <w:r w:rsidR="001C3549" w:rsidRPr="00BB6220">
        <w:rPr>
          <w:lang w:eastAsia="en-NZ"/>
        </w:rPr>
        <w:t>its</w:t>
      </w:r>
      <w:r w:rsidR="003D640C">
        <w:rPr>
          <w:lang w:eastAsia="en-NZ"/>
        </w:rPr>
        <w:t xml:space="preserve"> </w:t>
      </w:r>
      <w:r w:rsidR="001C3549" w:rsidRPr="00BB6220">
        <w:rPr>
          <w:lang w:eastAsia="en-NZ"/>
        </w:rPr>
        <w:t>express</w:t>
      </w:r>
      <w:r w:rsidR="003D640C">
        <w:rPr>
          <w:lang w:eastAsia="en-NZ"/>
        </w:rPr>
        <w:t xml:space="preserve"> </w:t>
      </w:r>
      <w:r w:rsidR="001C3549" w:rsidRPr="00BB6220">
        <w:rPr>
          <w:lang w:eastAsia="en-NZ"/>
        </w:rPr>
        <w:t>inclusion.</w:t>
      </w:r>
      <w:r w:rsidR="002A323A" w:rsidRPr="00BB6220">
        <w:rPr>
          <w:rStyle w:val="FootnoteReference"/>
          <w:rFonts w:ascii="Calibri" w:eastAsia="Times New Roman" w:hAnsi="Calibri" w:cs="Calibri"/>
          <w:lang w:eastAsia="en-NZ"/>
        </w:rPr>
        <w:footnoteReference w:id="49"/>
      </w:r>
      <w:r w:rsidR="003D640C">
        <w:rPr>
          <w:lang w:eastAsia="en-NZ"/>
        </w:rPr>
        <w:t xml:space="preserve"> </w:t>
      </w:r>
    </w:p>
    <w:p w14:paraId="05FE0ADA" w14:textId="44229936" w:rsidR="00501068" w:rsidRDefault="002218DD" w:rsidP="0002020B">
      <w:pPr>
        <w:rPr>
          <w:lang w:eastAsia="en-NZ"/>
        </w:rPr>
      </w:pPr>
      <w:r w:rsidRPr="00BB6220">
        <w:rPr>
          <w:lang w:eastAsia="en-NZ"/>
        </w:rPr>
        <w:t>T</w:t>
      </w:r>
      <w:r w:rsidR="001C3549" w:rsidRPr="00BB6220">
        <w:rPr>
          <w:lang w:eastAsia="en-NZ"/>
        </w:rPr>
        <w:t>he</w:t>
      </w:r>
      <w:r w:rsidR="003D640C">
        <w:rPr>
          <w:lang w:eastAsia="en-NZ"/>
        </w:rPr>
        <w:t xml:space="preserve"> </w:t>
      </w:r>
      <w:bookmarkStart w:id="89" w:name="_Hlk168383334"/>
      <w:r w:rsidR="001C3549" w:rsidRPr="00BB6220" w:rsidDel="002374B1">
        <w:rPr>
          <w:lang w:eastAsia="en-NZ"/>
        </w:rPr>
        <w:t>New</w:t>
      </w:r>
      <w:r w:rsidR="003D640C">
        <w:rPr>
          <w:lang w:eastAsia="en-NZ"/>
        </w:rPr>
        <w:t xml:space="preserve"> </w:t>
      </w:r>
      <w:r w:rsidR="001C3549" w:rsidRPr="00BB6220" w:rsidDel="002374B1">
        <w:rPr>
          <w:lang w:eastAsia="en-NZ"/>
        </w:rPr>
        <w:t>Zealand</w:t>
      </w:r>
      <w:r w:rsidR="003D640C">
        <w:rPr>
          <w:lang w:eastAsia="en-NZ"/>
        </w:rPr>
        <w:t xml:space="preserve"> </w:t>
      </w:r>
      <w:r w:rsidR="001C3549" w:rsidRPr="00BB6220" w:rsidDel="002374B1">
        <w:rPr>
          <w:lang w:eastAsia="en-NZ"/>
        </w:rPr>
        <w:t>Bill</w:t>
      </w:r>
      <w:r w:rsidR="003D640C">
        <w:rPr>
          <w:lang w:eastAsia="en-NZ"/>
        </w:rPr>
        <w:t xml:space="preserve"> </w:t>
      </w:r>
      <w:r w:rsidR="001C3549" w:rsidRPr="00BB6220" w:rsidDel="002374B1">
        <w:rPr>
          <w:lang w:eastAsia="en-NZ"/>
        </w:rPr>
        <w:t>of</w:t>
      </w:r>
      <w:r w:rsidR="003D640C">
        <w:rPr>
          <w:lang w:eastAsia="en-NZ"/>
        </w:rPr>
        <w:t xml:space="preserve"> </w:t>
      </w:r>
      <w:r w:rsidR="001C3549" w:rsidRPr="00BB6220" w:rsidDel="002374B1">
        <w:rPr>
          <w:lang w:eastAsia="en-NZ"/>
        </w:rPr>
        <w:t>Rights</w:t>
      </w:r>
      <w:r w:rsidR="003D640C">
        <w:rPr>
          <w:lang w:eastAsia="en-NZ"/>
        </w:rPr>
        <w:t xml:space="preserve"> </w:t>
      </w:r>
      <w:r w:rsidR="001C3549" w:rsidRPr="00BB6220" w:rsidDel="002374B1">
        <w:rPr>
          <w:lang w:eastAsia="en-NZ"/>
        </w:rPr>
        <w:t>Act</w:t>
      </w:r>
      <w:r w:rsidR="003D640C">
        <w:rPr>
          <w:lang w:eastAsia="en-NZ"/>
        </w:rPr>
        <w:t xml:space="preserve"> </w:t>
      </w:r>
      <w:r w:rsidR="001C3549" w:rsidRPr="00BB6220" w:rsidDel="002374B1">
        <w:rPr>
          <w:lang w:eastAsia="en-NZ"/>
        </w:rPr>
        <w:t>1990</w:t>
      </w:r>
      <w:r w:rsidR="003D640C">
        <w:rPr>
          <w:lang w:eastAsia="en-NZ"/>
        </w:rPr>
        <w:t xml:space="preserve"> </w:t>
      </w:r>
      <w:bookmarkEnd w:id="89"/>
      <w:r w:rsidR="009E3764" w:rsidRPr="00BB6220" w:rsidDel="002374B1">
        <w:rPr>
          <w:lang w:eastAsia="en-NZ"/>
        </w:rPr>
        <w:t>(</w:t>
      </w:r>
      <w:r w:rsidR="009E3764" w:rsidRPr="00BB6220">
        <w:rPr>
          <w:lang w:eastAsia="en-NZ"/>
        </w:rPr>
        <w:t>NZBORA</w:t>
      </w:r>
      <w:r w:rsidR="005824C6" w:rsidRPr="00BB6220">
        <w:rPr>
          <w:lang w:eastAsia="en-NZ"/>
        </w:rPr>
        <w:t>)</w:t>
      </w:r>
      <w:r w:rsidR="003D640C">
        <w:rPr>
          <w:lang w:eastAsia="en-NZ"/>
        </w:rPr>
        <w:t xml:space="preserve"> </w:t>
      </w:r>
      <w:r w:rsidR="00F31BCE" w:rsidRPr="00BB6220">
        <w:rPr>
          <w:lang w:eastAsia="en-NZ"/>
        </w:rPr>
        <w:t>sets</w:t>
      </w:r>
      <w:r w:rsidR="003D640C">
        <w:rPr>
          <w:lang w:eastAsia="en-NZ"/>
        </w:rPr>
        <w:t xml:space="preserve"> </w:t>
      </w:r>
      <w:r w:rsidR="00F31BCE" w:rsidRPr="00BB6220">
        <w:rPr>
          <w:lang w:eastAsia="en-NZ"/>
        </w:rPr>
        <w:t>out</w:t>
      </w:r>
      <w:r w:rsidR="003D640C">
        <w:rPr>
          <w:lang w:eastAsia="en-NZ"/>
        </w:rPr>
        <w:t xml:space="preserve"> </w:t>
      </w:r>
      <w:r w:rsidR="00CE1FAA" w:rsidRPr="00BB6220">
        <w:rPr>
          <w:lang w:eastAsia="en-NZ"/>
        </w:rPr>
        <w:t>a</w:t>
      </w:r>
      <w:r w:rsidR="003D640C">
        <w:rPr>
          <w:lang w:eastAsia="en-NZ"/>
        </w:rPr>
        <w:t xml:space="preserve"> </w:t>
      </w:r>
      <w:r w:rsidR="00CE1FAA" w:rsidRPr="00BB6220">
        <w:rPr>
          <w:lang w:eastAsia="en-NZ"/>
        </w:rPr>
        <w:t>range</w:t>
      </w:r>
      <w:r w:rsidR="003D640C">
        <w:rPr>
          <w:lang w:eastAsia="en-NZ"/>
        </w:rPr>
        <w:t xml:space="preserve"> </w:t>
      </w:r>
      <w:r w:rsidR="00CE1FAA" w:rsidRPr="00BB6220">
        <w:rPr>
          <w:lang w:eastAsia="en-NZ"/>
        </w:rPr>
        <w:t>of</w:t>
      </w:r>
      <w:r w:rsidR="003D640C">
        <w:rPr>
          <w:lang w:eastAsia="en-NZ"/>
        </w:rPr>
        <w:t xml:space="preserve"> </w:t>
      </w:r>
      <w:r w:rsidR="00CE1FAA" w:rsidRPr="00BB6220">
        <w:rPr>
          <w:lang w:eastAsia="en-NZ"/>
        </w:rPr>
        <w:t>civil</w:t>
      </w:r>
      <w:r w:rsidR="003D640C">
        <w:rPr>
          <w:lang w:eastAsia="en-NZ"/>
        </w:rPr>
        <w:t xml:space="preserve"> </w:t>
      </w:r>
      <w:r w:rsidR="00CE1FAA" w:rsidRPr="00BB6220">
        <w:rPr>
          <w:lang w:eastAsia="en-NZ"/>
        </w:rPr>
        <w:t>and</w:t>
      </w:r>
      <w:r w:rsidR="003D640C">
        <w:rPr>
          <w:lang w:eastAsia="en-NZ"/>
        </w:rPr>
        <w:t xml:space="preserve"> </w:t>
      </w:r>
      <w:r w:rsidR="00CE1FAA" w:rsidRPr="00BB6220">
        <w:rPr>
          <w:lang w:eastAsia="en-NZ"/>
        </w:rPr>
        <w:t>political</w:t>
      </w:r>
      <w:r w:rsidR="003D640C">
        <w:rPr>
          <w:lang w:eastAsia="en-NZ"/>
        </w:rPr>
        <w:t xml:space="preserve"> </w:t>
      </w:r>
      <w:r w:rsidR="00CE1FAA" w:rsidRPr="00BB6220">
        <w:rPr>
          <w:lang w:eastAsia="en-NZ"/>
        </w:rPr>
        <w:t>rights</w:t>
      </w:r>
      <w:r w:rsidR="003D640C">
        <w:rPr>
          <w:lang w:eastAsia="en-NZ"/>
        </w:rPr>
        <w:t xml:space="preserve"> </w:t>
      </w:r>
      <w:r w:rsidR="002E2C92">
        <w:rPr>
          <w:lang w:eastAsia="en-NZ"/>
        </w:rPr>
        <w:t>and</w:t>
      </w:r>
      <w:r w:rsidR="003D640C">
        <w:rPr>
          <w:lang w:eastAsia="en-NZ"/>
        </w:rPr>
        <w:t xml:space="preserve"> </w:t>
      </w:r>
      <w:r w:rsidR="00BA0AD4">
        <w:rPr>
          <w:lang w:eastAsia="en-NZ"/>
        </w:rPr>
        <w:t>require</w:t>
      </w:r>
      <w:r w:rsidR="002E2C92">
        <w:rPr>
          <w:lang w:eastAsia="en-NZ"/>
        </w:rPr>
        <w:t>s</w:t>
      </w:r>
      <w:r w:rsidR="003D640C">
        <w:rPr>
          <w:lang w:eastAsia="en-NZ"/>
        </w:rPr>
        <w:t xml:space="preserve"> </w:t>
      </w:r>
      <w:r w:rsidR="00FC403E" w:rsidRPr="00FC403E">
        <w:rPr>
          <w:lang w:eastAsia="en-NZ"/>
        </w:rPr>
        <w:t>the</w:t>
      </w:r>
      <w:r w:rsidR="003D640C">
        <w:rPr>
          <w:lang w:eastAsia="en-NZ"/>
        </w:rPr>
        <w:t xml:space="preserve"> </w:t>
      </w:r>
      <w:r w:rsidR="00FC403E" w:rsidRPr="00FC403E">
        <w:rPr>
          <w:lang w:eastAsia="en-NZ"/>
        </w:rPr>
        <w:t>government</w:t>
      </w:r>
      <w:r w:rsidR="003D640C">
        <w:rPr>
          <w:lang w:eastAsia="en-NZ"/>
        </w:rPr>
        <w:t xml:space="preserve"> </w:t>
      </w:r>
      <w:r w:rsidR="00FC403E" w:rsidRPr="00FC403E">
        <w:rPr>
          <w:lang w:eastAsia="en-NZ"/>
        </w:rPr>
        <w:t>and</w:t>
      </w:r>
      <w:r w:rsidR="003D640C">
        <w:rPr>
          <w:lang w:eastAsia="en-NZ"/>
        </w:rPr>
        <w:t xml:space="preserve"> </w:t>
      </w:r>
      <w:r w:rsidR="00FC403E" w:rsidRPr="00FC403E">
        <w:rPr>
          <w:lang w:eastAsia="en-NZ"/>
        </w:rPr>
        <w:t>anyone</w:t>
      </w:r>
      <w:r w:rsidR="003D640C">
        <w:rPr>
          <w:lang w:eastAsia="en-NZ"/>
        </w:rPr>
        <w:t xml:space="preserve"> </w:t>
      </w:r>
      <w:r w:rsidR="00FC403E" w:rsidRPr="00FC403E">
        <w:rPr>
          <w:lang w:eastAsia="en-NZ"/>
        </w:rPr>
        <w:t>carrying</w:t>
      </w:r>
      <w:r w:rsidR="003D640C">
        <w:rPr>
          <w:lang w:eastAsia="en-NZ"/>
        </w:rPr>
        <w:t xml:space="preserve"> </w:t>
      </w:r>
      <w:r w:rsidR="00FC403E" w:rsidRPr="00FC403E">
        <w:rPr>
          <w:lang w:eastAsia="en-NZ"/>
        </w:rPr>
        <w:t>out</w:t>
      </w:r>
      <w:r w:rsidR="003D640C">
        <w:rPr>
          <w:lang w:eastAsia="en-NZ"/>
        </w:rPr>
        <w:t xml:space="preserve"> </w:t>
      </w:r>
      <w:r w:rsidR="00FC403E" w:rsidRPr="00FC403E">
        <w:rPr>
          <w:lang w:eastAsia="en-NZ"/>
        </w:rPr>
        <w:t>a</w:t>
      </w:r>
      <w:r w:rsidR="003D640C">
        <w:rPr>
          <w:lang w:eastAsia="en-NZ"/>
        </w:rPr>
        <w:t xml:space="preserve"> </w:t>
      </w:r>
      <w:r w:rsidR="00FC403E" w:rsidRPr="00FC403E">
        <w:rPr>
          <w:lang w:eastAsia="en-NZ"/>
        </w:rPr>
        <w:t>public</w:t>
      </w:r>
      <w:r w:rsidR="003D640C">
        <w:rPr>
          <w:lang w:eastAsia="en-NZ"/>
        </w:rPr>
        <w:t xml:space="preserve"> </w:t>
      </w:r>
      <w:r w:rsidR="00FC403E" w:rsidRPr="00FC403E">
        <w:rPr>
          <w:lang w:eastAsia="en-NZ"/>
        </w:rPr>
        <w:t>function</w:t>
      </w:r>
      <w:r w:rsidR="003D640C">
        <w:rPr>
          <w:lang w:eastAsia="en-NZ"/>
        </w:rPr>
        <w:t xml:space="preserve"> </w:t>
      </w:r>
      <w:r w:rsidR="00FC403E" w:rsidRPr="00FC403E">
        <w:rPr>
          <w:lang w:eastAsia="en-NZ"/>
        </w:rPr>
        <w:t>to</w:t>
      </w:r>
      <w:r w:rsidR="003D640C">
        <w:rPr>
          <w:lang w:eastAsia="en-NZ"/>
        </w:rPr>
        <w:t xml:space="preserve"> </w:t>
      </w:r>
      <w:r w:rsidR="00FC403E" w:rsidRPr="00FC403E">
        <w:rPr>
          <w:lang w:eastAsia="en-NZ"/>
        </w:rPr>
        <w:t>observe</w:t>
      </w:r>
      <w:r w:rsidR="003D640C">
        <w:rPr>
          <w:lang w:eastAsia="en-NZ"/>
        </w:rPr>
        <w:t xml:space="preserve"> </w:t>
      </w:r>
      <w:r w:rsidR="00FC403E" w:rsidRPr="00FC403E">
        <w:rPr>
          <w:lang w:eastAsia="en-NZ"/>
        </w:rPr>
        <w:t>these</w:t>
      </w:r>
      <w:r w:rsidR="003D640C">
        <w:rPr>
          <w:lang w:eastAsia="en-NZ"/>
        </w:rPr>
        <w:t xml:space="preserve"> </w:t>
      </w:r>
      <w:r w:rsidR="00FC403E" w:rsidRPr="00FC403E">
        <w:rPr>
          <w:lang w:eastAsia="en-NZ"/>
        </w:rPr>
        <w:t>rights</w:t>
      </w:r>
      <w:r w:rsidR="003D640C">
        <w:rPr>
          <w:lang w:eastAsia="en-NZ"/>
        </w:rPr>
        <w:t xml:space="preserve"> </w:t>
      </w:r>
      <w:r w:rsidR="00FC403E" w:rsidRPr="00FC403E">
        <w:rPr>
          <w:lang w:eastAsia="en-NZ"/>
        </w:rPr>
        <w:t>and</w:t>
      </w:r>
      <w:r w:rsidR="003D640C">
        <w:rPr>
          <w:lang w:eastAsia="en-NZ"/>
        </w:rPr>
        <w:t xml:space="preserve"> </w:t>
      </w:r>
      <w:r w:rsidR="00FC403E" w:rsidRPr="00FC403E">
        <w:rPr>
          <w:lang w:eastAsia="en-NZ"/>
        </w:rPr>
        <w:t>to</w:t>
      </w:r>
      <w:r w:rsidR="003D640C">
        <w:rPr>
          <w:lang w:eastAsia="en-NZ"/>
        </w:rPr>
        <w:t xml:space="preserve"> </w:t>
      </w:r>
      <w:r w:rsidR="00FC403E" w:rsidRPr="00FC403E">
        <w:rPr>
          <w:lang w:eastAsia="en-NZ"/>
        </w:rPr>
        <w:t>justify</w:t>
      </w:r>
      <w:r w:rsidR="003D640C">
        <w:rPr>
          <w:lang w:eastAsia="en-NZ"/>
        </w:rPr>
        <w:t xml:space="preserve"> </w:t>
      </w:r>
      <w:r w:rsidR="00FC403E" w:rsidRPr="00FC403E">
        <w:rPr>
          <w:lang w:eastAsia="en-NZ"/>
        </w:rPr>
        <w:t>any</w:t>
      </w:r>
      <w:r w:rsidR="003D640C">
        <w:rPr>
          <w:lang w:eastAsia="en-NZ"/>
        </w:rPr>
        <w:t xml:space="preserve"> </w:t>
      </w:r>
      <w:r w:rsidR="00FC403E" w:rsidRPr="00FC403E">
        <w:rPr>
          <w:lang w:eastAsia="en-NZ"/>
        </w:rPr>
        <w:t>limits</w:t>
      </w:r>
      <w:r w:rsidR="003D640C">
        <w:rPr>
          <w:lang w:eastAsia="en-NZ"/>
        </w:rPr>
        <w:t xml:space="preserve"> </w:t>
      </w:r>
      <w:r w:rsidR="00FC403E" w:rsidRPr="00FC403E">
        <w:rPr>
          <w:lang w:eastAsia="en-NZ"/>
        </w:rPr>
        <w:t>placed</w:t>
      </w:r>
      <w:r w:rsidR="003D640C">
        <w:rPr>
          <w:lang w:eastAsia="en-NZ"/>
        </w:rPr>
        <w:t xml:space="preserve"> </w:t>
      </w:r>
      <w:r w:rsidR="00FC403E" w:rsidRPr="00FC403E">
        <w:rPr>
          <w:lang w:eastAsia="en-NZ"/>
        </w:rPr>
        <w:t>on</w:t>
      </w:r>
      <w:r w:rsidR="003D640C">
        <w:rPr>
          <w:lang w:eastAsia="en-NZ"/>
        </w:rPr>
        <w:t xml:space="preserve"> </w:t>
      </w:r>
      <w:r w:rsidR="00FC403E" w:rsidRPr="00FC403E">
        <w:rPr>
          <w:lang w:eastAsia="en-NZ"/>
        </w:rPr>
        <w:t>them</w:t>
      </w:r>
      <w:r w:rsidR="002F377D" w:rsidRPr="00BB6220">
        <w:rPr>
          <w:lang w:eastAsia="en-NZ"/>
        </w:rPr>
        <w:t>.</w:t>
      </w:r>
      <w:r w:rsidR="003D640C">
        <w:rPr>
          <w:lang w:eastAsia="en-NZ"/>
        </w:rPr>
        <w:t xml:space="preserve"> </w:t>
      </w:r>
      <w:r w:rsidR="0069535E">
        <w:rPr>
          <w:lang w:eastAsia="en-NZ"/>
        </w:rPr>
        <w:t xml:space="preserve">The </w:t>
      </w:r>
      <w:r w:rsidR="002A323A" w:rsidRPr="00BB6220">
        <w:rPr>
          <w:lang w:eastAsia="en-NZ"/>
        </w:rPr>
        <w:t>NZBORA</w:t>
      </w:r>
      <w:r w:rsidR="003D640C">
        <w:rPr>
          <w:lang w:eastAsia="en-NZ"/>
        </w:rPr>
        <w:t xml:space="preserve"> </w:t>
      </w:r>
      <w:r w:rsidR="002A323A" w:rsidRPr="00BB6220">
        <w:rPr>
          <w:lang w:eastAsia="en-NZ"/>
        </w:rPr>
        <w:t>includes</w:t>
      </w:r>
      <w:r w:rsidR="003D640C">
        <w:rPr>
          <w:lang w:eastAsia="en-NZ"/>
        </w:rPr>
        <w:t xml:space="preserve"> </w:t>
      </w:r>
      <w:r w:rsidR="002A323A" w:rsidRPr="00BB6220">
        <w:rPr>
          <w:lang w:eastAsia="en-NZ"/>
        </w:rPr>
        <w:t>nearly</w:t>
      </w:r>
      <w:r w:rsidR="003D640C">
        <w:rPr>
          <w:lang w:eastAsia="en-NZ"/>
        </w:rPr>
        <w:t xml:space="preserve"> </w:t>
      </w:r>
      <w:r w:rsidR="002A323A" w:rsidRPr="00BB6220">
        <w:rPr>
          <w:lang w:eastAsia="en-NZ"/>
        </w:rPr>
        <w:t>all</w:t>
      </w:r>
      <w:r w:rsidR="003D640C">
        <w:rPr>
          <w:lang w:eastAsia="en-NZ"/>
        </w:rPr>
        <w:t xml:space="preserve"> </w:t>
      </w:r>
      <w:r w:rsidR="002A323A" w:rsidRPr="00BB6220">
        <w:rPr>
          <w:lang w:eastAsia="en-NZ"/>
        </w:rPr>
        <w:t>the</w:t>
      </w:r>
      <w:r w:rsidR="003D640C">
        <w:rPr>
          <w:lang w:eastAsia="en-NZ"/>
        </w:rPr>
        <w:t xml:space="preserve"> </w:t>
      </w:r>
      <w:r w:rsidR="002A323A" w:rsidRPr="00BB6220">
        <w:rPr>
          <w:lang w:eastAsia="en-NZ"/>
        </w:rPr>
        <w:t>rights</w:t>
      </w:r>
      <w:r w:rsidR="003D640C">
        <w:rPr>
          <w:lang w:eastAsia="en-NZ"/>
        </w:rPr>
        <w:t xml:space="preserve"> </w:t>
      </w:r>
      <w:r w:rsidR="002A323A" w:rsidRPr="00BB6220">
        <w:rPr>
          <w:lang w:eastAsia="en-NZ"/>
        </w:rPr>
        <w:t>set</w:t>
      </w:r>
      <w:r w:rsidR="003D640C">
        <w:rPr>
          <w:lang w:eastAsia="en-NZ"/>
        </w:rPr>
        <w:t xml:space="preserve"> </w:t>
      </w:r>
      <w:r w:rsidR="002A323A" w:rsidRPr="00BB6220">
        <w:rPr>
          <w:lang w:eastAsia="en-NZ"/>
        </w:rPr>
        <w:t>out</w:t>
      </w:r>
      <w:r w:rsidR="003D640C">
        <w:rPr>
          <w:lang w:eastAsia="en-NZ"/>
        </w:rPr>
        <w:t xml:space="preserve"> </w:t>
      </w:r>
      <w:r w:rsidR="002A323A" w:rsidRPr="00BB6220">
        <w:rPr>
          <w:lang w:eastAsia="en-NZ"/>
        </w:rPr>
        <w:t>in</w:t>
      </w:r>
      <w:r w:rsidR="003D640C">
        <w:rPr>
          <w:lang w:eastAsia="en-NZ"/>
        </w:rPr>
        <w:t xml:space="preserve"> </w:t>
      </w:r>
      <w:r w:rsidR="00857AC7" w:rsidRPr="00BB6220">
        <w:rPr>
          <w:lang w:eastAsia="en-NZ"/>
        </w:rPr>
        <w:t>the</w:t>
      </w:r>
      <w:r w:rsidR="003D640C">
        <w:rPr>
          <w:lang w:eastAsia="en-NZ"/>
        </w:rPr>
        <w:t xml:space="preserve"> </w:t>
      </w:r>
      <w:bookmarkStart w:id="90" w:name="_Hlk168383170"/>
      <w:r w:rsidR="00857AC7" w:rsidRPr="00BB6220">
        <w:rPr>
          <w:lang w:eastAsia="en-NZ"/>
        </w:rPr>
        <w:t>International</w:t>
      </w:r>
      <w:r w:rsidR="003D640C">
        <w:rPr>
          <w:lang w:eastAsia="en-NZ"/>
        </w:rPr>
        <w:t xml:space="preserve"> </w:t>
      </w:r>
      <w:r w:rsidR="00857AC7" w:rsidRPr="00BB6220">
        <w:rPr>
          <w:lang w:eastAsia="en-NZ"/>
        </w:rPr>
        <w:t>Covenant</w:t>
      </w:r>
      <w:r w:rsidR="003D640C">
        <w:rPr>
          <w:lang w:eastAsia="en-NZ"/>
        </w:rPr>
        <w:t xml:space="preserve"> </w:t>
      </w:r>
      <w:r w:rsidR="00857AC7" w:rsidRPr="00BB6220">
        <w:rPr>
          <w:lang w:eastAsia="en-NZ"/>
        </w:rPr>
        <w:t>for</w:t>
      </w:r>
      <w:r w:rsidR="003D640C">
        <w:rPr>
          <w:lang w:eastAsia="en-NZ"/>
        </w:rPr>
        <w:t xml:space="preserve"> </w:t>
      </w:r>
      <w:r w:rsidR="00857AC7" w:rsidRPr="00BB6220">
        <w:rPr>
          <w:lang w:eastAsia="en-NZ"/>
        </w:rPr>
        <w:t>Civil</w:t>
      </w:r>
      <w:r w:rsidR="003D640C">
        <w:rPr>
          <w:lang w:eastAsia="en-NZ"/>
        </w:rPr>
        <w:t xml:space="preserve"> </w:t>
      </w:r>
      <w:r w:rsidR="00857AC7" w:rsidRPr="00BB6220">
        <w:rPr>
          <w:lang w:eastAsia="en-NZ"/>
        </w:rPr>
        <w:t>and</w:t>
      </w:r>
      <w:r w:rsidR="003D640C">
        <w:rPr>
          <w:lang w:eastAsia="en-NZ"/>
        </w:rPr>
        <w:t xml:space="preserve"> </w:t>
      </w:r>
      <w:r w:rsidR="00857AC7" w:rsidRPr="00BB6220">
        <w:rPr>
          <w:lang w:eastAsia="en-NZ"/>
        </w:rPr>
        <w:t>Political</w:t>
      </w:r>
      <w:r w:rsidR="003D640C">
        <w:rPr>
          <w:lang w:eastAsia="en-NZ"/>
        </w:rPr>
        <w:t xml:space="preserve"> </w:t>
      </w:r>
      <w:r w:rsidR="00857AC7" w:rsidRPr="00BB6220">
        <w:rPr>
          <w:lang w:eastAsia="en-NZ"/>
        </w:rPr>
        <w:t>Right</w:t>
      </w:r>
      <w:r w:rsidR="002F377D" w:rsidRPr="00BB6220">
        <w:rPr>
          <w:lang w:eastAsia="en-NZ"/>
        </w:rPr>
        <w:t>s</w:t>
      </w:r>
      <w:r w:rsidR="003D640C">
        <w:rPr>
          <w:lang w:eastAsia="en-NZ"/>
        </w:rPr>
        <w:t xml:space="preserve"> </w:t>
      </w:r>
      <w:bookmarkEnd w:id="90"/>
      <w:r w:rsidR="00A94479" w:rsidRPr="00BB6220">
        <w:rPr>
          <w:lang w:eastAsia="en-NZ"/>
        </w:rPr>
        <w:t>(ICCPR)</w:t>
      </w:r>
      <w:r w:rsidR="002A323A" w:rsidRPr="00BB6220">
        <w:rPr>
          <w:lang w:eastAsia="en-NZ"/>
        </w:rPr>
        <w:t>,</w:t>
      </w:r>
      <w:r w:rsidR="00E4289F" w:rsidRPr="00BB6220">
        <w:rPr>
          <w:rStyle w:val="FootnoteReference"/>
          <w:rFonts w:ascii="Calibri" w:eastAsia="Times New Roman" w:hAnsi="Calibri" w:cs="Calibri"/>
          <w:lang w:eastAsia="en-NZ"/>
        </w:rPr>
        <w:footnoteReference w:id="50"/>
      </w:r>
      <w:r w:rsidR="003D640C">
        <w:rPr>
          <w:lang w:eastAsia="en-NZ"/>
        </w:rPr>
        <w:t xml:space="preserve"> </w:t>
      </w:r>
      <w:r w:rsidR="002A323A" w:rsidRPr="00BB6220">
        <w:rPr>
          <w:lang w:eastAsia="en-NZ"/>
        </w:rPr>
        <w:t>which</w:t>
      </w:r>
      <w:r w:rsidR="003D640C">
        <w:rPr>
          <w:lang w:eastAsia="en-NZ"/>
        </w:rPr>
        <w:t xml:space="preserve"> </w:t>
      </w:r>
      <w:r w:rsidR="002A323A" w:rsidRPr="00BB6220">
        <w:rPr>
          <w:lang w:eastAsia="en-NZ"/>
        </w:rPr>
        <w:t>New</w:t>
      </w:r>
      <w:r w:rsidR="003D640C">
        <w:rPr>
          <w:lang w:eastAsia="en-NZ"/>
        </w:rPr>
        <w:t xml:space="preserve"> </w:t>
      </w:r>
      <w:r w:rsidR="002A323A" w:rsidRPr="00BB6220">
        <w:rPr>
          <w:lang w:eastAsia="en-NZ"/>
        </w:rPr>
        <w:t>Zealand</w:t>
      </w:r>
      <w:r w:rsidR="003D640C">
        <w:rPr>
          <w:lang w:eastAsia="en-NZ"/>
        </w:rPr>
        <w:t xml:space="preserve"> </w:t>
      </w:r>
      <w:r w:rsidR="002A323A" w:rsidRPr="00BB6220">
        <w:rPr>
          <w:lang w:eastAsia="en-NZ"/>
        </w:rPr>
        <w:t>has</w:t>
      </w:r>
      <w:r w:rsidR="003D640C">
        <w:rPr>
          <w:lang w:eastAsia="en-NZ"/>
        </w:rPr>
        <w:t xml:space="preserve"> </w:t>
      </w:r>
      <w:r w:rsidR="002A323A" w:rsidRPr="00BB6220">
        <w:rPr>
          <w:lang w:eastAsia="en-NZ"/>
        </w:rPr>
        <w:t>ratified.</w:t>
      </w:r>
      <w:r w:rsidR="007A1F29">
        <w:rPr>
          <w:lang w:eastAsia="en-NZ"/>
        </w:rPr>
        <w:br/>
      </w:r>
      <w:r w:rsidR="00D427FD">
        <w:rPr>
          <w:lang w:eastAsia="en-NZ"/>
        </w:rPr>
        <w:lastRenderedPageBreak/>
        <w:t xml:space="preserve">Like </w:t>
      </w:r>
      <w:r w:rsidR="00CF70BB">
        <w:rPr>
          <w:lang w:eastAsia="en-NZ"/>
        </w:rPr>
        <w:t>the</w:t>
      </w:r>
      <w:r w:rsidR="003D640C">
        <w:rPr>
          <w:lang w:eastAsia="en-NZ"/>
        </w:rPr>
        <w:t xml:space="preserve"> </w:t>
      </w:r>
      <w:r w:rsidR="002A323A" w:rsidRPr="00BB6220">
        <w:rPr>
          <w:lang w:eastAsia="en-NZ"/>
        </w:rPr>
        <w:t>ICCPR</w:t>
      </w:r>
      <w:r w:rsidR="0069535E">
        <w:rPr>
          <w:lang w:eastAsia="en-NZ"/>
        </w:rPr>
        <w:t>, the</w:t>
      </w:r>
      <w:r w:rsidR="003D640C">
        <w:rPr>
          <w:lang w:eastAsia="en-NZ"/>
        </w:rPr>
        <w:t xml:space="preserve"> </w:t>
      </w:r>
      <w:r w:rsidR="002A323A" w:rsidRPr="00BB6220">
        <w:rPr>
          <w:lang w:eastAsia="en-NZ"/>
        </w:rPr>
        <w:t>NZBORA</w:t>
      </w:r>
      <w:r w:rsidR="003D640C">
        <w:rPr>
          <w:lang w:eastAsia="en-NZ"/>
        </w:rPr>
        <w:t xml:space="preserve"> </w:t>
      </w:r>
      <w:r w:rsidR="002139EC" w:rsidRPr="00BB6220">
        <w:rPr>
          <w:lang w:eastAsia="en-NZ"/>
        </w:rPr>
        <w:t>include</w:t>
      </w:r>
      <w:r w:rsidR="00D427FD">
        <w:rPr>
          <w:lang w:eastAsia="en-NZ"/>
        </w:rPr>
        <w:t>s</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right</w:t>
      </w:r>
      <w:r w:rsidR="003D640C">
        <w:rPr>
          <w:lang w:eastAsia="en-NZ"/>
        </w:rPr>
        <w:t xml:space="preserve"> </w:t>
      </w:r>
      <w:r w:rsidR="001C3549" w:rsidRPr="00BB6220">
        <w:rPr>
          <w:lang w:eastAsia="en-NZ"/>
        </w:rPr>
        <w:t>to</w:t>
      </w:r>
      <w:r w:rsidR="003D640C">
        <w:rPr>
          <w:lang w:eastAsia="en-NZ"/>
        </w:rPr>
        <w:t xml:space="preserve"> </w:t>
      </w:r>
      <w:r w:rsidR="001C3549" w:rsidRPr="00BB6220">
        <w:rPr>
          <w:lang w:eastAsia="en-NZ"/>
        </w:rPr>
        <w:t>freedom</w:t>
      </w:r>
      <w:r w:rsidR="003D640C">
        <w:rPr>
          <w:lang w:eastAsia="en-NZ"/>
        </w:rPr>
        <w:t xml:space="preserve"> </w:t>
      </w:r>
      <w:r w:rsidR="001C3549" w:rsidRPr="00BB6220">
        <w:rPr>
          <w:lang w:eastAsia="en-NZ"/>
        </w:rPr>
        <w:t>from</w:t>
      </w:r>
      <w:r w:rsidR="003D640C">
        <w:rPr>
          <w:lang w:eastAsia="en-NZ"/>
        </w:rPr>
        <w:t xml:space="preserve"> </w:t>
      </w:r>
      <w:r w:rsidR="001C3549" w:rsidRPr="00BB6220" w:rsidDel="005824C6">
        <w:rPr>
          <w:lang w:eastAsia="en-NZ"/>
        </w:rPr>
        <w:t>discrimination</w:t>
      </w:r>
      <w:r w:rsidR="00D427FD">
        <w:rPr>
          <w:lang w:eastAsia="en-NZ"/>
        </w:rPr>
        <w:t xml:space="preserve"> (section 19)</w:t>
      </w:r>
      <w:r w:rsidR="003D640C">
        <w:rPr>
          <w:lang w:eastAsia="en-NZ"/>
        </w:rPr>
        <w:t xml:space="preserve"> </w:t>
      </w:r>
      <w:r w:rsidR="00952D73" w:rsidRPr="00BB6220">
        <w:rPr>
          <w:lang w:eastAsia="en-NZ"/>
        </w:rPr>
        <w:t>and</w:t>
      </w:r>
      <w:r w:rsidR="003D640C">
        <w:rPr>
          <w:lang w:eastAsia="en-NZ"/>
        </w:rPr>
        <w:t xml:space="preserve"> </w:t>
      </w:r>
      <w:r w:rsidR="00952D73" w:rsidRPr="00BB6220">
        <w:rPr>
          <w:lang w:eastAsia="en-NZ"/>
        </w:rPr>
        <w:t>the</w:t>
      </w:r>
      <w:r w:rsidR="003D640C">
        <w:rPr>
          <w:lang w:eastAsia="en-NZ"/>
        </w:rPr>
        <w:t xml:space="preserve"> </w:t>
      </w:r>
      <w:r w:rsidR="00952D73" w:rsidRPr="00BB6220">
        <w:rPr>
          <w:lang w:eastAsia="en-NZ"/>
        </w:rPr>
        <w:t>rights</w:t>
      </w:r>
      <w:r w:rsidR="003D640C">
        <w:rPr>
          <w:lang w:eastAsia="en-NZ"/>
        </w:rPr>
        <w:t xml:space="preserve"> </w:t>
      </w:r>
      <w:r w:rsidR="00952D73" w:rsidRPr="00BB6220">
        <w:rPr>
          <w:lang w:eastAsia="en-NZ"/>
        </w:rPr>
        <w:t>to</w:t>
      </w:r>
      <w:r w:rsidR="003D640C">
        <w:rPr>
          <w:lang w:eastAsia="en-NZ"/>
        </w:rPr>
        <w:t xml:space="preserve"> </w:t>
      </w:r>
      <w:r w:rsidR="001C3549" w:rsidRPr="00BB6220">
        <w:rPr>
          <w:lang w:eastAsia="en-NZ"/>
        </w:rPr>
        <w:t>freedom</w:t>
      </w:r>
      <w:r w:rsidR="003D640C">
        <w:rPr>
          <w:lang w:eastAsia="en-NZ"/>
        </w:rPr>
        <w:t xml:space="preserve"> </w:t>
      </w:r>
      <w:r w:rsidR="001C3549" w:rsidRPr="00BB6220">
        <w:rPr>
          <w:lang w:eastAsia="en-NZ"/>
        </w:rPr>
        <w:t>of</w:t>
      </w:r>
      <w:r w:rsidR="003D640C">
        <w:rPr>
          <w:lang w:eastAsia="en-NZ"/>
        </w:rPr>
        <w:t xml:space="preserve"> </w:t>
      </w:r>
      <w:r w:rsidR="001C3549" w:rsidRPr="00BB6220">
        <w:rPr>
          <w:lang w:eastAsia="en-NZ"/>
        </w:rPr>
        <w:t>expression</w:t>
      </w:r>
      <w:r w:rsidR="00D427FD">
        <w:rPr>
          <w:lang w:eastAsia="en-NZ"/>
        </w:rPr>
        <w:t xml:space="preserve"> (section 14)</w:t>
      </w:r>
      <w:r w:rsidR="003D640C">
        <w:rPr>
          <w:lang w:eastAsia="en-NZ"/>
        </w:rPr>
        <w:t xml:space="preserve"> </w:t>
      </w:r>
      <w:r w:rsidR="002F377D" w:rsidRPr="00BB6220">
        <w:rPr>
          <w:lang w:eastAsia="en-NZ"/>
        </w:rPr>
        <w:t>and</w:t>
      </w:r>
      <w:r w:rsidR="003D640C">
        <w:rPr>
          <w:lang w:eastAsia="en-NZ"/>
        </w:rPr>
        <w:t xml:space="preserve"> </w:t>
      </w:r>
      <w:r w:rsidR="002F377D" w:rsidRPr="00BB6220">
        <w:rPr>
          <w:lang w:eastAsia="en-NZ"/>
        </w:rPr>
        <w:t>religious</w:t>
      </w:r>
      <w:r w:rsidR="003D640C">
        <w:rPr>
          <w:lang w:eastAsia="en-NZ"/>
        </w:rPr>
        <w:t xml:space="preserve"> </w:t>
      </w:r>
      <w:r w:rsidR="002F377D" w:rsidRPr="00BB6220">
        <w:rPr>
          <w:lang w:eastAsia="en-NZ"/>
        </w:rPr>
        <w:t>belief</w:t>
      </w:r>
      <w:r w:rsidR="00D427FD">
        <w:rPr>
          <w:lang w:eastAsia="en-NZ"/>
        </w:rPr>
        <w:t xml:space="preserve"> (section 13)</w:t>
      </w:r>
      <w:r w:rsidR="001C3549" w:rsidRPr="00BB6220">
        <w:rPr>
          <w:lang w:eastAsia="en-NZ"/>
        </w:rPr>
        <w:t>.</w:t>
      </w:r>
      <w:r w:rsidR="003D640C">
        <w:rPr>
          <w:lang w:eastAsia="en-NZ"/>
        </w:rPr>
        <w:t xml:space="preserve"> </w:t>
      </w:r>
    </w:p>
    <w:p w14:paraId="0CDDAE1B" w14:textId="3D51CBA3" w:rsidR="00065FBE" w:rsidRPr="00BB6220" w:rsidRDefault="001C3549" w:rsidP="0002020B">
      <w:pPr>
        <w:rPr>
          <w:lang w:eastAsia="en-NZ"/>
        </w:rPr>
      </w:pPr>
      <w:r w:rsidRPr="00BB6220">
        <w:rPr>
          <w:lang w:eastAsia="en-NZ"/>
        </w:rPr>
        <w:t>Conversion</w:t>
      </w:r>
      <w:r w:rsidR="003D640C">
        <w:rPr>
          <w:lang w:eastAsia="en-NZ"/>
        </w:rPr>
        <w:t xml:space="preserve"> </w:t>
      </w:r>
      <w:r w:rsidR="00832577" w:rsidRPr="00BB6220">
        <w:rPr>
          <w:lang w:eastAsia="en-NZ"/>
        </w:rPr>
        <w:t>p</w:t>
      </w:r>
      <w:r w:rsidRPr="00BB6220">
        <w:rPr>
          <w:lang w:eastAsia="en-NZ"/>
        </w:rPr>
        <w:t>ractices</w:t>
      </w:r>
      <w:r w:rsidR="003D640C">
        <w:rPr>
          <w:lang w:eastAsia="en-NZ"/>
        </w:rPr>
        <w:t xml:space="preserve"> </w:t>
      </w:r>
      <w:r w:rsidRPr="00BB6220">
        <w:rPr>
          <w:lang w:eastAsia="en-NZ"/>
        </w:rPr>
        <w:t>discriminate</w:t>
      </w:r>
      <w:r w:rsidR="003D640C">
        <w:rPr>
          <w:lang w:eastAsia="en-NZ"/>
        </w:rPr>
        <w:t xml:space="preserve"> </w:t>
      </w:r>
      <w:r w:rsidRPr="00BB6220">
        <w:rPr>
          <w:lang w:eastAsia="en-NZ"/>
        </w:rPr>
        <w:t>against</w:t>
      </w:r>
      <w:r w:rsidR="003D640C">
        <w:rPr>
          <w:lang w:eastAsia="en-NZ"/>
        </w:rPr>
        <w:t xml:space="preserve"> </w:t>
      </w:r>
      <w:r w:rsidR="002A323A" w:rsidRPr="00BB6220">
        <w:rPr>
          <w:lang w:eastAsia="en-NZ"/>
        </w:rPr>
        <w:t>Rainbow</w:t>
      </w:r>
      <w:r w:rsidR="003D640C">
        <w:rPr>
          <w:lang w:eastAsia="en-NZ"/>
        </w:rPr>
        <w:t xml:space="preserve"> </w:t>
      </w:r>
      <w:r w:rsidRPr="00BB6220">
        <w:rPr>
          <w:lang w:eastAsia="en-NZ"/>
        </w:rPr>
        <w:t>people</w:t>
      </w:r>
      <w:r w:rsidR="003D640C">
        <w:rPr>
          <w:lang w:eastAsia="en-NZ"/>
        </w:rPr>
        <w:t xml:space="preserve"> </w:t>
      </w:r>
      <w:r w:rsidRPr="00BB6220">
        <w:rPr>
          <w:lang w:eastAsia="en-NZ"/>
        </w:rPr>
        <w:t>and</w:t>
      </w:r>
      <w:r w:rsidR="003D640C">
        <w:rPr>
          <w:lang w:eastAsia="en-NZ"/>
        </w:rPr>
        <w:t xml:space="preserve"> </w:t>
      </w:r>
      <w:r w:rsidRPr="00BB6220">
        <w:rPr>
          <w:lang w:eastAsia="en-NZ"/>
        </w:rPr>
        <w:t>limit</w:t>
      </w:r>
      <w:r w:rsidR="003D640C">
        <w:rPr>
          <w:lang w:eastAsia="en-NZ"/>
        </w:rPr>
        <w:t xml:space="preserve"> </w:t>
      </w:r>
      <w:r w:rsidRPr="00BB6220">
        <w:rPr>
          <w:lang w:eastAsia="en-NZ"/>
        </w:rPr>
        <w:t>their</w:t>
      </w:r>
      <w:r w:rsidR="003D640C">
        <w:rPr>
          <w:lang w:eastAsia="en-NZ"/>
        </w:rPr>
        <w:t xml:space="preserve"> </w:t>
      </w:r>
      <w:r w:rsidRPr="00BB6220">
        <w:rPr>
          <w:lang w:eastAsia="en-NZ"/>
        </w:rPr>
        <w:t>freedom</w:t>
      </w:r>
      <w:r w:rsidR="003D640C">
        <w:rPr>
          <w:lang w:eastAsia="en-NZ"/>
        </w:rPr>
        <w:t xml:space="preserve"> </w:t>
      </w:r>
      <w:r w:rsidRPr="00BB6220">
        <w:rPr>
          <w:lang w:eastAsia="en-NZ"/>
        </w:rPr>
        <w:t>of</w:t>
      </w:r>
      <w:r w:rsidR="003D640C">
        <w:rPr>
          <w:lang w:eastAsia="en-NZ"/>
        </w:rPr>
        <w:t xml:space="preserve"> </w:t>
      </w:r>
      <w:r w:rsidRPr="00BB6220">
        <w:rPr>
          <w:lang w:eastAsia="en-NZ"/>
        </w:rPr>
        <w:t>expression</w:t>
      </w:r>
      <w:r w:rsidR="003D640C">
        <w:rPr>
          <w:lang w:eastAsia="en-NZ"/>
        </w:rPr>
        <w:t xml:space="preserve"> </w:t>
      </w:r>
      <w:r w:rsidRPr="00BB6220">
        <w:rPr>
          <w:lang w:eastAsia="en-NZ"/>
        </w:rPr>
        <w:t>based</w:t>
      </w:r>
      <w:r w:rsidR="003D640C">
        <w:rPr>
          <w:lang w:eastAsia="en-NZ"/>
        </w:rPr>
        <w:t xml:space="preserve"> </w:t>
      </w:r>
      <w:r w:rsidRPr="00BB6220">
        <w:rPr>
          <w:lang w:eastAsia="en-NZ"/>
        </w:rPr>
        <w:t>on</w:t>
      </w:r>
      <w:r w:rsidR="003D640C">
        <w:rPr>
          <w:lang w:eastAsia="en-NZ"/>
        </w:rPr>
        <w:t xml:space="preserve"> </w:t>
      </w:r>
      <w:r w:rsidRPr="00BB6220">
        <w:rPr>
          <w:lang w:eastAsia="en-NZ"/>
        </w:rPr>
        <w:t>their</w:t>
      </w:r>
      <w:r w:rsidR="003D640C">
        <w:rPr>
          <w:lang w:eastAsia="en-NZ"/>
        </w:rPr>
        <w:t xml:space="preserve"> </w:t>
      </w:r>
      <w:r w:rsidRPr="00BB6220">
        <w:rPr>
          <w:lang w:eastAsia="en-NZ"/>
        </w:rPr>
        <w:t>gender</w:t>
      </w:r>
      <w:r w:rsidR="003D640C">
        <w:rPr>
          <w:lang w:eastAsia="en-NZ"/>
        </w:rPr>
        <w:t xml:space="preserve"> </w:t>
      </w:r>
      <w:r w:rsidRPr="00BB6220">
        <w:rPr>
          <w:lang w:eastAsia="en-NZ"/>
        </w:rPr>
        <w:t>and</w:t>
      </w:r>
      <w:r w:rsidR="003D640C">
        <w:rPr>
          <w:lang w:eastAsia="en-NZ"/>
        </w:rPr>
        <w:t xml:space="preserve"> </w:t>
      </w:r>
      <w:r w:rsidRPr="00BB6220">
        <w:rPr>
          <w:lang w:eastAsia="en-NZ"/>
        </w:rPr>
        <w:t>sexual</w:t>
      </w:r>
      <w:r w:rsidR="003D640C">
        <w:rPr>
          <w:lang w:eastAsia="en-NZ"/>
        </w:rPr>
        <w:t xml:space="preserve"> </w:t>
      </w:r>
      <w:r w:rsidR="00166AB5" w:rsidRPr="00BB6220">
        <w:rPr>
          <w:lang w:eastAsia="en-NZ"/>
        </w:rPr>
        <w:t>orientati</w:t>
      </w:r>
      <w:r w:rsidR="002A323A" w:rsidRPr="00BB6220">
        <w:rPr>
          <w:lang w:eastAsia="en-NZ"/>
        </w:rPr>
        <w:t>on</w:t>
      </w:r>
      <w:r w:rsidR="009B39CD">
        <w:rPr>
          <w:lang w:eastAsia="en-NZ"/>
        </w:rPr>
        <w:t>.</w:t>
      </w:r>
      <w:r w:rsidR="003D640C">
        <w:rPr>
          <w:lang w:eastAsia="en-NZ"/>
        </w:rPr>
        <w:t xml:space="preserve"> </w:t>
      </w:r>
      <w:r w:rsidR="009B39CD">
        <w:rPr>
          <w:lang w:eastAsia="en-NZ"/>
        </w:rPr>
        <w:t>This</w:t>
      </w:r>
      <w:r w:rsidR="003D640C">
        <w:rPr>
          <w:lang w:eastAsia="en-NZ"/>
        </w:rPr>
        <w:t xml:space="preserve"> </w:t>
      </w:r>
      <w:r w:rsidR="009B39CD">
        <w:rPr>
          <w:lang w:eastAsia="en-NZ"/>
        </w:rPr>
        <w:t>is</w:t>
      </w:r>
      <w:r w:rsidR="003D640C">
        <w:rPr>
          <w:lang w:eastAsia="en-NZ"/>
        </w:rPr>
        <w:t xml:space="preserve"> </w:t>
      </w:r>
      <w:r w:rsidR="009B39CD">
        <w:rPr>
          <w:lang w:eastAsia="en-NZ"/>
        </w:rPr>
        <w:t>a</w:t>
      </w:r>
      <w:r w:rsidR="003D640C">
        <w:rPr>
          <w:lang w:eastAsia="en-NZ"/>
        </w:rPr>
        <w:t xml:space="preserve"> </w:t>
      </w:r>
      <w:r w:rsidR="009B39CD">
        <w:rPr>
          <w:lang w:eastAsia="en-NZ"/>
        </w:rPr>
        <w:t>breach</w:t>
      </w:r>
      <w:r w:rsidR="003D640C">
        <w:rPr>
          <w:lang w:eastAsia="en-NZ"/>
        </w:rPr>
        <w:t xml:space="preserve"> </w:t>
      </w:r>
      <w:r w:rsidR="009B39CD">
        <w:rPr>
          <w:lang w:eastAsia="en-NZ"/>
        </w:rPr>
        <w:t>of</w:t>
      </w:r>
      <w:r w:rsidR="003D640C">
        <w:rPr>
          <w:lang w:eastAsia="en-NZ"/>
        </w:rPr>
        <w:t xml:space="preserve"> </w:t>
      </w:r>
      <w:r w:rsidR="002A323A" w:rsidRPr="00BB6220">
        <w:rPr>
          <w:lang w:eastAsia="en-NZ"/>
        </w:rPr>
        <w:t>their</w:t>
      </w:r>
      <w:r w:rsidR="003D640C">
        <w:rPr>
          <w:lang w:eastAsia="en-NZ"/>
        </w:rPr>
        <w:t xml:space="preserve"> </w:t>
      </w:r>
      <w:r w:rsidR="00BA4F4B" w:rsidRPr="00BB6220">
        <w:rPr>
          <w:lang w:eastAsia="en-NZ"/>
        </w:rPr>
        <w:t>human</w:t>
      </w:r>
      <w:r w:rsidR="003D640C">
        <w:rPr>
          <w:lang w:eastAsia="en-NZ"/>
        </w:rPr>
        <w:t xml:space="preserve"> </w:t>
      </w:r>
      <w:r w:rsidR="00BA4F4B" w:rsidRPr="00BB6220">
        <w:rPr>
          <w:lang w:eastAsia="en-NZ"/>
        </w:rPr>
        <w:t>rights</w:t>
      </w:r>
      <w:r w:rsidRPr="00BB6220">
        <w:rPr>
          <w:lang w:eastAsia="en-NZ"/>
        </w:rPr>
        <w:t>.</w:t>
      </w:r>
    </w:p>
    <w:p w14:paraId="70CC1CDE" w14:textId="626340F7" w:rsidR="00501068" w:rsidRDefault="001C3549" w:rsidP="0002020B">
      <w:pPr>
        <w:pStyle w:val="Heading2"/>
        <w:rPr>
          <w:rFonts w:ascii="Segoe UI" w:hAnsi="Segoe UI" w:cs="Segoe UI"/>
          <w:sz w:val="18"/>
          <w:szCs w:val="18"/>
        </w:rPr>
      </w:pPr>
      <w:bookmarkStart w:id="92" w:name="_Toc138325159"/>
      <w:bookmarkStart w:id="93" w:name="_Toc138343796"/>
      <w:bookmarkStart w:id="94" w:name="_Toc167780585"/>
      <w:bookmarkStart w:id="95" w:name="_Toc740375542"/>
      <w:bookmarkStart w:id="96" w:name="_Toc174628643"/>
      <w:r w:rsidRPr="007B3744" w:rsidDel="00832577">
        <w:t>T</w:t>
      </w:r>
      <w:r w:rsidRPr="007B3744">
        <w:t>e</w:t>
      </w:r>
      <w:r w:rsidR="003D640C">
        <w:t xml:space="preserve"> </w:t>
      </w:r>
      <w:r w:rsidRPr="007B3744">
        <w:t>Tiriti</w:t>
      </w:r>
      <w:r w:rsidR="003D640C">
        <w:t xml:space="preserve"> </w:t>
      </w:r>
      <w:r w:rsidR="00832577" w:rsidRPr="007B3744">
        <w:t>o</w:t>
      </w:r>
      <w:r w:rsidR="003D640C">
        <w:t xml:space="preserve"> </w:t>
      </w:r>
      <w:r w:rsidR="00832577" w:rsidRPr="007B3744">
        <w:t>Waitangi</w:t>
      </w:r>
      <w:r w:rsidR="003D640C">
        <w:t xml:space="preserve"> </w:t>
      </w:r>
      <w:r w:rsidRPr="007B3744">
        <w:t>and</w:t>
      </w:r>
      <w:r w:rsidR="003D640C">
        <w:t xml:space="preserve"> </w:t>
      </w:r>
      <w:bookmarkEnd w:id="92"/>
      <w:bookmarkEnd w:id="93"/>
      <w:r w:rsidR="002A323A" w:rsidRPr="007B3744">
        <w:t>the</w:t>
      </w:r>
      <w:r w:rsidR="003D640C">
        <w:t xml:space="preserve"> </w:t>
      </w:r>
      <w:r w:rsidR="002A323A" w:rsidRPr="007B3744">
        <w:t>rights</w:t>
      </w:r>
      <w:r w:rsidR="003D640C">
        <w:t xml:space="preserve"> </w:t>
      </w:r>
      <w:r w:rsidR="002A323A" w:rsidRPr="007B3744">
        <w:t>of</w:t>
      </w:r>
      <w:r w:rsidR="003D640C">
        <w:t xml:space="preserve"> </w:t>
      </w:r>
      <w:r w:rsidR="002A323A" w:rsidRPr="007B3744">
        <w:t>Indigenous</w:t>
      </w:r>
      <w:r w:rsidR="003D640C">
        <w:t xml:space="preserve"> </w:t>
      </w:r>
      <w:r w:rsidR="00023A28">
        <w:t>p</w:t>
      </w:r>
      <w:r w:rsidR="002A323A" w:rsidRPr="007B3744">
        <w:t>eoples</w:t>
      </w:r>
      <w:bookmarkEnd w:id="94"/>
      <w:bookmarkEnd w:id="95"/>
      <w:bookmarkEnd w:id="96"/>
    </w:p>
    <w:p w14:paraId="46343D83" w14:textId="2C53C4DE" w:rsidR="00AD4CEB" w:rsidRPr="007B3744" w:rsidRDefault="00AD4CEB" w:rsidP="0002020B">
      <w:pPr>
        <w:rPr>
          <w:lang w:eastAsia="en-NZ"/>
        </w:rPr>
      </w:pPr>
      <w:r w:rsidRPr="007B3744">
        <w:rPr>
          <w:lang w:eastAsia="en-NZ"/>
        </w:rPr>
        <w:t>Signed</w:t>
      </w:r>
      <w:r w:rsidR="003D640C">
        <w:rPr>
          <w:lang w:eastAsia="en-NZ"/>
        </w:rPr>
        <w:t xml:space="preserve"> </w:t>
      </w:r>
      <w:r w:rsidRPr="007B3744">
        <w:rPr>
          <w:lang w:eastAsia="en-GB"/>
        </w:rPr>
        <w:t>between</w:t>
      </w:r>
      <w:r w:rsidR="003D640C">
        <w:rPr>
          <w:lang w:eastAsia="en-GB"/>
        </w:rPr>
        <w:t xml:space="preserve"> </w:t>
      </w:r>
      <w:r w:rsidRPr="007B3744">
        <w:rPr>
          <w:lang w:eastAsia="en-GB"/>
        </w:rPr>
        <w:t>over</w:t>
      </w:r>
      <w:r w:rsidR="003D640C">
        <w:rPr>
          <w:lang w:eastAsia="en-GB"/>
        </w:rPr>
        <w:t xml:space="preserve"> </w:t>
      </w:r>
      <w:r w:rsidRPr="007B3744">
        <w:rPr>
          <w:lang w:eastAsia="en-GB"/>
        </w:rPr>
        <w:t>500</w:t>
      </w:r>
      <w:r w:rsidR="003D640C">
        <w:rPr>
          <w:lang w:eastAsia="en-GB"/>
        </w:rPr>
        <w:t xml:space="preserve"> </w:t>
      </w:r>
      <w:r w:rsidR="00023A28">
        <w:rPr>
          <w:lang w:eastAsia="en-GB"/>
        </w:rPr>
        <w:t>r</w:t>
      </w:r>
      <w:r w:rsidRPr="007B3744">
        <w:rPr>
          <w:lang w:eastAsia="en-GB"/>
        </w:rPr>
        <w:t>angatira</w:t>
      </w:r>
      <w:r w:rsidR="003D640C">
        <w:rPr>
          <w:lang w:eastAsia="en-GB"/>
        </w:rPr>
        <w:t xml:space="preserve"> </w:t>
      </w:r>
      <w:r w:rsidRPr="007B3744">
        <w:rPr>
          <w:lang w:eastAsia="en-GB"/>
        </w:rPr>
        <w:t>and</w:t>
      </w:r>
      <w:r w:rsidR="003D640C">
        <w:rPr>
          <w:lang w:eastAsia="en-GB"/>
        </w:rPr>
        <w:t xml:space="preserve"> </w:t>
      </w:r>
      <w:r w:rsidRPr="007B3744">
        <w:rPr>
          <w:lang w:eastAsia="en-GB"/>
        </w:rPr>
        <w:t>representatives</w:t>
      </w:r>
      <w:r w:rsidR="003D640C">
        <w:rPr>
          <w:lang w:eastAsia="en-GB"/>
        </w:rPr>
        <w:t xml:space="preserve"> </w:t>
      </w:r>
      <w:r w:rsidRPr="007B3744">
        <w:rPr>
          <w:lang w:eastAsia="en-GB"/>
        </w:rPr>
        <w:t>of</w:t>
      </w:r>
      <w:r w:rsidR="003D640C">
        <w:rPr>
          <w:lang w:eastAsia="en-GB"/>
        </w:rPr>
        <w:t xml:space="preserve"> </w:t>
      </w:r>
      <w:r w:rsidRPr="007B3744">
        <w:rPr>
          <w:lang w:eastAsia="en-GB"/>
        </w:rPr>
        <w:t>the</w:t>
      </w:r>
      <w:r w:rsidR="003D640C">
        <w:rPr>
          <w:lang w:eastAsia="en-GB"/>
        </w:rPr>
        <w:t xml:space="preserve"> </w:t>
      </w:r>
      <w:r w:rsidRPr="007B3744">
        <w:rPr>
          <w:lang w:eastAsia="en-GB"/>
        </w:rPr>
        <w:t>British</w:t>
      </w:r>
      <w:r w:rsidR="003D640C">
        <w:rPr>
          <w:lang w:eastAsia="en-GB"/>
        </w:rPr>
        <w:t xml:space="preserve"> </w:t>
      </w:r>
      <w:r w:rsidRPr="007B3744">
        <w:rPr>
          <w:lang w:eastAsia="en-GB"/>
        </w:rPr>
        <w:t>Crown</w:t>
      </w:r>
      <w:r w:rsidR="003D640C">
        <w:rPr>
          <w:lang w:eastAsia="en-GB"/>
        </w:rPr>
        <w:t xml:space="preserve"> </w:t>
      </w:r>
      <w:r w:rsidRPr="007B3744">
        <w:rPr>
          <w:lang w:eastAsia="en-GB"/>
        </w:rPr>
        <w:t>in</w:t>
      </w:r>
      <w:r w:rsidR="003D640C">
        <w:rPr>
          <w:lang w:eastAsia="en-GB"/>
        </w:rPr>
        <w:t xml:space="preserve"> </w:t>
      </w:r>
      <w:r w:rsidRPr="007B3744">
        <w:rPr>
          <w:lang w:eastAsia="en-GB"/>
        </w:rPr>
        <w:t>1840,</w:t>
      </w:r>
      <w:r w:rsidR="003D640C">
        <w:rPr>
          <w:lang w:eastAsia="en-GB"/>
        </w:rPr>
        <w:t xml:space="preserve"> </w:t>
      </w:r>
      <w:r w:rsidR="00023A28">
        <w:rPr>
          <w:lang w:eastAsia="en-GB"/>
        </w:rPr>
        <w:t>t</w:t>
      </w:r>
      <w:r w:rsidRPr="007B3744">
        <w:rPr>
          <w:lang w:eastAsia="en-GB"/>
        </w:rPr>
        <w:t>e</w:t>
      </w:r>
      <w:r w:rsidR="003D640C">
        <w:rPr>
          <w:lang w:eastAsia="en-GB"/>
        </w:rPr>
        <w:t xml:space="preserve"> </w:t>
      </w:r>
      <w:r w:rsidRPr="007B3744">
        <w:rPr>
          <w:lang w:eastAsia="en-GB"/>
        </w:rPr>
        <w:t>Tiriti</w:t>
      </w:r>
      <w:r w:rsidR="003D640C">
        <w:rPr>
          <w:lang w:eastAsia="en-GB"/>
        </w:rPr>
        <w:t xml:space="preserve"> </w:t>
      </w:r>
      <w:r w:rsidRPr="007B3744">
        <w:rPr>
          <w:lang w:eastAsia="en-GB"/>
        </w:rPr>
        <w:t>o</w:t>
      </w:r>
      <w:r w:rsidR="003D640C">
        <w:rPr>
          <w:lang w:eastAsia="en-GB"/>
        </w:rPr>
        <w:t xml:space="preserve"> </w:t>
      </w:r>
      <w:r w:rsidRPr="007B3744">
        <w:rPr>
          <w:lang w:eastAsia="en-GB"/>
        </w:rPr>
        <w:t>Waitangi</w:t>
      </w:r>
      <w:r w:rsidR="003D640C">
        <w:rPr>
          <w:lang w:eastAsia="en-GB"/>
        </w:rPr>
        <w:t xml:space="preserve"> </w:t>
      </w:r>
      <w:r w:rsidRPr="007B3744">
        <w:rPr>
          <w:lang w:eastAsia="en-GB"/>
        </w:rPr>
        <w:t>is</w:t>
      </w:r>
      <w:r w:rsidR="003D640C">
        <w:rPr>
          <w:lang w:eastAsia="en-GB"/>
        </w:rPr>
        <w:t xml:space="preserve"> </w:t>
      </w:r>
      <w:r w:rsidR="002A323A" w:rsidRPr="007B3744">
        <w:rPr>
          <w:lang w:eastAsia="en-GB"/>
        </w:rPr>
        <w:t>both</w:t>
      </w:r>
      <w:r w:rsidR="003D640C">
        <w:rPr>
          <w:lang w:eastAsia="en-GB"/>
        </w:rPr>
        <w:t xml:space="preserve"> </w:t>
      </w:r>
      <w:r w:rsidRPr="007B3744">
        <w:rPr>
          <w:lang w:eastAsia="en-GB"/>
        </w:rPr>
        <w:t>the</w:t>
      </w:r>
      <w:r w:rsidR="003D640C">
        <w:rPr>
          <w:lang w:eastAsia="en-GB"/>
        </w:rPr>
        <w:t xml:space="preserve"> </w:t>
      </w:r>
      <w:r w:rsidRPr="007B3744">
        <w:rPr>
          <w:lang w:eastAsia="en-GB"/>
        </w:rPr>
        <w:t>founding</w:t>
      </w:r>
      <w:r w:rsidR="003D640C">
        <w:rPr>
          <w:lang w:eastAsia="en-GB"/>
        </w:rPr>
        <w:t xml:space="preserve"> </w:t>
      </w:r>
      <w:r w:rsidRPr="007B3744">
        <w:rPr>
          <w:lang w:eastAsia="en-GB"/>
        </w:rPr>
        <w:t>document</w:t>
      </w:r>
      <w:r w:rsidR="003D640C">
        <w:rPr>
          <w:lang w:eastAsia="en-GB"/>
        </w:rPr>
        <w:t xml:space="preserve"> </w:t>
      </w:r>
      <w:r w:rsidRPr="007B3744">
        <w:rPr>
          <w:lang w:eastAsia="en-GB"/>
        </w:rPr>
        <w:t>of</w:t>
      </w:r>
      <w:r w:rsidR="003D640C">
        <w:rPr>
          <w:lang w:eastAsia="en-GB"/>
        </w:rPr>
        <w:t xml:space="preserve"> </w:t>
      </w:r>
      <w:r w:rsidRPr="007B3744">
        <w:rPr>
          <w:lang w:eastAsia="en-GB"/>
        </w:rPr>
        <w:t>Aotearoa</w:t>
      </w:r>
      <w:r w:rsidR="003D640C">
        <w:rPr>
          <w:lang w:eastAsia="en-GB"/>
        </w:rPr>
        <w:t xml:space="preserve"> </w:t>
      </w:r>
      <w:r w:rsidRPr="007B3744">
        <w:rPr>
          <w:lang w:eastAsia="en-GB"/>
        </w:rPr>
        <w:t>New</w:t>
      </w:r>
      <w:r w:rsidR="003D640C">
        <w:rPr>
          <w:lang w:eastAsia="en-GB"/>
        </w:rPr>
        <w:t xml:space="preserve"> </w:t>
      </w:r>
      <w:r w:rsidRPr="007B3744">
        <w:rPr>
          <w:lang w:eastAsia="en-GB"/>
        </w:rPr>
        <w:t>Zealand</w:t>
      </w:r>
      <w:r w:rsidR="003D640C">
        <w:rPr>
          <w:lang w:eastAsia="en-GB"/>
        </w:rPr>
        <w:t xml:space="preserve"> </w:t>
      </w:r>
      <w:r w:rsidR="002A323A" w:rsidRPr="007B3744">
        <w:rPr>
          <w:lang w:eastAsia="en-GB"/>
        </w:rPr>
        <w:t>and</w:t>
      </w:r>
      <w:r w:rsidR="003D640C">
        <w:rPr>
          <w:lang w:eastAsia="en-GB"/>
        </w:rPr>
        <w:t xml:space="preserve"> </w:t>
      </w:r>
      <w:r w:rsidR="003709AD" w:rsidRPr="00866999">
        <w:rPr>
          <w:lang w:eastAsia="en-GB"/>
        </w:rPr>
        <w:t>our</w:t>
      </w:r>
      <w:r w:rsidR="003D640C">
        <w:rPr>
          <w:lang w:eastAsia="en-GB"/>
        </w:rPr>
        <w:t xml:space="preserve"> </w:t>
      </w:r>
      <w:r w:rsidR="002A323A" w:rsidRPr="007B3744">
        <w:rPr>
          <w:lang w:eastAsia="en-GB"/>
        </w:rPr>
        <w:t>own</w:t>
      </w:r>
      <w:r w:rsidR="003D640C">
        <w:rPr>
          <w:lang w:eastAsia="en-GB"/>
        </w:rPr>
        <w:t xml:space="preserve"> </w:t>
      </w:r>
      <w:r w:rsidR="002A323A" w:rsidRPr="007B3744">
        <w:rPr>
          <w:lang w:eastAsia="en-GB"/>
        </w:rPr>
        <w:t>unique</w:t>
      </w:r>
      <w:r w:rsidR="003D640C">
        <w:rPr>
          <w:lang w:eastAsia="en-GB"/>
        </w:rPr>
        <w:t xml:space="preserve"> </w:t>
      </w:r>
      <w:r w:rsidR="002A323A" w:rsidRPr="007B3744">
        <w:rPr>
          <w:lang w:eastAsia="en-GB"/>
        </w:rPr>
        <w:t>statement</w:t>
      </w:r>
      <w:r w:rsidR="003D640C">
        <w:rPr>
          <w:lang w:eastAsia="en-GB"/>
        </w:rPr>
        <w:t xml:space="preserve"> </w:t>
      </w:r>
      <w:r w:rsidR="002A323A" w:rsidRPr="007B3744">
        <w:rPr>
          <w:lang w:eastAsia="en-GB"/>
        </w:rPr>
        <w:t>of</w:t>
      </w:r>
      <w:r w:rsidR="003D640C">
        <w:rPr>
          <w:lang w:eastAsia="en-GB"/>
        </w:rPr>
        <w:t xml:space="preserve"> </w:t>
      </w:r>
      <w:r w:rsidR="002A323A" w:rsidRPr="007B3744">
        <w:rPr>
          <w:lang w:eastAsia="en-GB"/>
        </w:rPr>
        <w:t>human</w:t>
      </w:r>
      <w:r w:rsidR="003D640C">
        <w:rPr>
          <w:lang w:eastAsia="en-GB"/>
        </w:rPr>
        <w:t xml:space="preserve"> </w:t>
      </w:r>
      <w:r w:rsidR="002A323A" w:rsidRPr="007B3744">
        <w:rPr>
          <w:lang w:eastAsia="en-GB"/>
        </w:rPr>
        <w:t>rights.</w:t>
      </w:r>
      <w:r w:rsidR="003D640C">
        <w:rPr>
          <w:lang w:eastAsia="en-GB"/>
        </w:rPr>
        <w:t xml:space="preserve"> </w:t>
      </w:r>
      <w:r w:rsidRPr="007B3744">
        <w:rPr>
          <w:lang w:eastAsia="en-GB"/>
        </w:rPr>
        <w:t>Te</w:t>
      </w:r>
      <w:r w:rsidR="003D640C">
        <w:rPr>
          <w:lang w:eastAsia="en-GB"/>
        </w:rPr>
        <w:t xml:space="preserve"> </w:t>
      </w:r>
      <w:r w:rsidRPr="007B3744">
        <w:rPr>
          <w:lang w:eastAsia="en-GB"/>
        </w:rPr>
        <w:t>Tiriti</w:t>
      </w:r>
      <w:r w:rsidR="003D640C">
        <w:rPr>
          <w:lang w:eastAsia="en-GB"/>
        </w:rPr>
        <w:t xml:space="preserve"> </w:t>
      </w:r>
      <w:r w:rsidRPr="007B3744">
        <w:rPr>
          <w:lang w:eastAsia="en-GB"/>
        </w:rPr>
        <w:t>reaffirms</w:t>
      </w:r>
      <w:r w:rsidR="003D640C">
        <w:rPr>
          <w:lang w:eastAsia="en-GB"/>
        </w:rPr>
        <w:t xml:space="preserve"> </w:t>
      </w:r>
      <w:r w:rsidRPr="007B3744">
        <w:rPr>
          <w:lang w:eastAsia="en-GB"/>
        </w:rPr>
        <w:t>the</w:t>
      </w:r>
      <w:r w:rsidR="003D640C">
        <w:rPr>
          <w:lang w:eastAsia="en-GB"/>
        </w:rPr>
        <w:t xml:space="preserve"> </w:t>
      </w:r>
      <w:r w:rsidRPr="007B3744">
        <w:rPr>
          <w:lang w:eastAsia="en-GB"/>
        </w:rPr>
        <w:t>pre-existing</w:t>
      </w:r>
      <w:r w:rsidR="003D640C">
        <w:rPr>
          <w:lang w:eastAsia="en-GB"/>
        </w:rPr>
        <w:t xml:space="preserve"> </w:t>
      </w:r>
      <w:r w:rsidRPr="007B3744">
        <w:rPr>
          <w:lang w:eastAsia="en-GB"/>
        </w:rPr>
        <w:t>rights</w:t>
      </w:r>
      <w:r w:rsidR="003D640C">
        <w:rPr>
          <w:lang w:eastAsia="en-GB"/>
        </w:rPr>
        <w:t xml:space="preserve"> </w:t>
      </w:r>
      <w:r w:rsidRPr="007B3744">
        <w:rPr>
          <w:lang w:eastAsia="en-GB"/>
        </w:rPr>
        <w:t>and</w:t>
      </w:r>
      <w:r w:rsidR="003D640C">
        <w:rPr>
          <w:lang w:eastAsia="en-GB"/>
        </w:rPr>
        <w:t xml:space="preserve"> </w:t>
      </w:r>
      <w:r w:rsidRPr="007B3744">
        <w:rPr>
          <w:lang w:eastAsia="en-GB"/>
        </w:rPr>
        <w:t>rangatiratanga</w:t>
      </w:r>
      <w:r w:rsidR="003D640C">
        <w:rPr>
          <w:lang w:eastAsia="en-GB"/>
        </w:rPr>
        <w:t xml:space="preserve"> </w:t>
      </w:r>
      <w:r w:rsidRPr="007B3744">
        <w:rPr>
          <w:lang w:eastAsia="en-GB"/>
        </w:rPr>
        <w:t>of</w:t>
      </w:r>
      <w:r w:rsidR="003D640C">
        <w:rPr>
          <w:lang w:eastAsia="en-GB"/>
        </w:rPr>
        <w:t xml:space="preserve"> </w:t>
      </w:r>
      <w:r w:rsidRPr="007B3744">
        <w:rPr>
          <w:lang w:eastAsia="en-GB"/>
        </w:rPr>
        <w:t>Tangata</w:t>
      </w:r>
      <w:r w:rsidR="003D640C">
        <w:rPr>
          <w:lang w:eastAsia="en-GB"/>
        </w:rPr>
        <w:t xml:space="preserve"> </w:t>
      </w:r>
      <w:r w:rsidRPr="007B3744">
        <w:rPr>
          <w:lang w:eastAsia="en-GB"/>
        </w:rPr>
        <w:t>Whenua</w:t>
      </w:r>
      <w:r w:rsidR="00866999">
        <w:rPr>
          <w:lang w:eastAsia="en-GB"/>
        </w:rPr>
        <w:t>.</w:t>
      </w:r>
    </w:p>
    <w:p w14:paraId="0B89A49E" w14:textId="53E3DBD4" w:rsidR="00AD4CEB" w:rsidRPr="007B3744" w:rsidRDefault="00F4715A" w:rsidP="0002020B">
      <w:pPr>
        <w:rPr>
          <w:lang w:eastAsia="en-GB"/>
        </w:rPr>
      </w:pPr>
      <w:r>
        <w:rPr>
          <w:lang w:eastAsia="en-GB"/>
        </w:rPr>
        <w:t>In</w:t>
      </w:r>
      <w:r w:rsidR="003D640C">
        <w:rPr>
          <w:lang w:eastAsia="en-GB"/>
        </w:rPr>
        <w:t xml:space="preserve"> </w:t>
      </w:r>
      <w:r w:rsidR="003E78E9" w:rsidRPr="00866999">
        <w:rPr>
          <w:lang w:eastAsia="en-GB"/>
        </w:rPr>
        <w:t>Article</w:t>
      </w:r>
      <w:r w:rsidR="003D640C">
        <w:rPr>
          <w:lang w:eastAsia="en-GB"/>
        </w:rPr>
        <w:t xml:space="preserve"> </w:t>
      </w:r>
      <w:r w:rsidR="003E78E9" w:rsidRPr="00866999">
        <w:rPr>
          <w:lang w:eastAsia="en-GB"/>
        </w:rPr>
        <w:t>One</w:t>
      </w:r>
      <w:r w:rsidR="003D640C">
        <w:rPr>
          <w:lang w:eastAsia="en-GB"/>
        </w:rPr>
        <w:t xml:space="preserve"> </w:t>
      </w:r>
      <w:r w:rsidR="004E2EF1" w:rsidRPr="00866999">
        <w:rPr>
          <w:lang w:eastAsia="en-GB"/>
        </w:rPr>
        <w:t>of</w:t>
      </w:r>
      <w:r w:rsidR="003D640C">
        <w:rPr>
          <w:lang w:eastAsia="en-GB"/>
        </w:rPr>
        <w:t xml:space="preserve"> </w:t>
      </w:r>
      <w:r w:rsidR="00023A28">
        <w:rPr>
          <w:lang w:eastAsia="en-GB"/>
        </w:rPr>
        <w:t>t</w:t>
      </w:r>
      <w:r w:rsidR="00AD4CEB" w:rsidRPr="007B3744">
        <w:rPr>
          <w:lang w:eastAsia="en-GB"/>
        </w:rPr>
        <w:t>e</w:t>
      </w:r>
      <w:r w:rsidR="003D640C">
        <w:rPr>
          <w:lang w:eastAsia="en-GB"/>
        </w:rPr>
        <w:t xml:space="preserve"> </w:t>
      </w:r>
      <w:r w:rsidR="00AD4CEB" w:rsidRPr="007B3744">
        <w:rPr>
          <w:lang w:eastAsia="en-GB"/>
        </w:rPr>
        <w:t>Tiriti</w:t>
      </w:r>
      <w:r>
        <w:rPr>
          <w:lang w:eastAsia="en-GB"/>
        </w:rPr>
        <w:t>,</w:t>
      </w:r>
      <w:r w:rsidR="003D640C">
        <w:rPr>
          <w:lang w:eastAsia="en-GB"/>
        </w:rPr>
        <w:t xml:space="preserve"> </w:t>
      </w:r>
      <w:r w:rsidR="00AD4CEB" w:rsidRPr="007B3744">
        <w:rPr>
          <w:lang w:eastAsia="en-GB"/>
        </w:rPr>
        <w:t>Māori</w:t>
      </w:r>
      <w:r w:rsidR="003D640C">
        <w:rPr>
          <w:lang w:eastAsia="en-GB"/>
        </w:rPr>
        <w:t xml:space="preserve"> </w:t>
      </w:r>
      <w:r w:rsidR="00AD4CEB" w:rsidRPr="007B3744">
        <w:rPr>
          <w:lang w:eastAsia="en-GB"/>
        </w:rPr>
        <w:t>g</w:t>
      </w:r>
      <w:r w:rsidR="00E41CB3" w:rsidRPr="007B3744">
        <w:rPr>
          <w:lang w:eastAsia="en-GB"/>
        </w:rPr>
        <w:t>ave</w:t>
      </w:r>
      <w:r w:rsidR="003D640C">
        <w:rPr>
          <w:lang w:eastAsia="en-GB"/>
        </w:rPr>
        <w:t xml:space="preserve"> </w:t>
      </w:r>
      <w:r w:rsidR="00AD4CEB" w:rsidRPr="007B3744">
        <w:rPr>
          <w:lang w:eastAsia="en-GB"/>
        </w:rPr>
        <w:t>the</w:t>
      </w:r>
      <w:r w:rsidR="003D640C">
        <w:rPr>
          <w:lang w:eastAsia="en-GB"/>
        </w:rPr>
        <w:t xml:space="preserve"> </w:t>
      </w:r>
      <w:r w:rsidR="00AD4CEB" w:rsidRPr="007B3744">
        <w:rPr>
          <w:lang w:eastAsia="en-GB"/>
        </w:rPr>
        <w:t>Crown</w:t>
      </w:r>
      <w:r w:rsidR="003D640C">
        <w:rPr>
          <w:lang w:eastAsia="en-GB"/>
        </w:rPr>
        <w:t xml:space="preserve"> </w:t>
      </w:r>
      <w:r w:rsidR="00AD4CEB" w:rsidRPr="007B3744">
        <w:rPr>
          <w:lang w:eastAsia="en-GB"/>
        </w:rPr>
        <w:t>kāwanatanga</w:t>
      </w:r>
      <w:r w:rsidR="003D640C">
        <w:rPr>
          <w:lang w:eastAsia="en-GB"/>
        </w:rPr>
        <w:t xml:space="preserve"> </w:t>
      </w:r>
      <w:r w:rsidR="00E41CB3" w:rsidRPr="007B3744">
        <w:rPr>
          <w:lang w:eastAsia="en-GB"/>
        </w:rPr>
        <w:t>or</w:t>
      </w:r>
      <w:r w:rsidR="003D640C">
        <w:rPr>
          <w:lang w:eastAsia="en-GB"/>
        </w:rPr>
        <w:t xml:space="preserve"> </w:t>
      </w:r>
      <w:r w:rsidR="00AD4CEB" w:rsidRPr="007B3744">
        <w:rPr>
          <w:lang w:eastAsia="en-GB"/>
        </w:rPr>
        <w:t>governorshi</w:t>
      </w:r>
      <w:r w:rsidR="00E41CB3" w:rsidRPr="007B3744">
        <w:rPr>
          <w:lang w:eastAsia="en-GB"/>
        </w:rPr>
        <w:t>p</w:t>
      </w:r>
      <w:r w:rsidR="00AD4CEB" w:rsidRPr="007B3744">
        <w:rPr>
          <w:lang w:eastAsia="en-GB"/>
        </w:rPr>
        <w:t>.</w:t>
      </w:r>
      <w:r w:rsidR="003D640C">
        <w:rPr>
          <w:lang w:eastAsia="en-GB"/>
        </w:rPr>
        <w:t xml:space="preserve"> </w:t>
      </w:r>
      <w:r w:rsidR="00AD4CEB" w:rsidRPr="007B3744">
        <w:rPr>
          <w:lang w:eastAsia="en-GB"/>
        </w:rPr>
        <w:t>In</w:t>
      </w:r>
      <w:r w:rsidR="003D640C">
        <w:rPr>
          <w:lang w:eastAsia="en-GB"/>
        </w:rPr>
        <w:t xml:space="preserve"> </w:t>
      </w:r>
      <w:r w:rsidR="00AD4CEB" w:rsidRPr="007B3744">
        <w:rPr>
          <w:lang w:eastAsia="en-GB"/>
        </w:rPr>
        <w:t>return,</w:t>
      </w:r>
      <w:r w:rsidR="003D640C">
        <w:rPr>
          <w:lang w:eastAsia="en-GB"/>
        </w:rPr>
        <w:t xml:space="preserve"> </w:t>
      </w:r>
      <w:r w:rsidR="00431213" w:rsidRPr="00866999">
        <w:rPr>
          <w:lang w:eastAsia="en-GB"/>
        </w:rPr>
        <w:t>Māori</w:t>
      </w:r>
      <w:r w:rsidR="003D640C">
        <w:rPr>
          <w:lang w:eastAsia="en-GB"/>
        </w:rPr>
        <w:t xml:space="preserve"> </w:t>
      </w:r>
      <w:r w:rsidR="00AD4CEB" w:rsidRPr="007B3744">
        <w:rPr>
          <w:lang w:eastAsia="en-GB"/>
        </w:rPr>
        <w:t>were</w:t>
      </w:r>
      <w:r w:rsidR="003D640C">
        <w:rPr>
          <w:lang w:eastAsia="en-GB"/>
        </w:rPr>
        <w:t xml:space="preserve"> </w:t>
      </w:r>
      <w:r w:rsidR="00AD4CEB" w:rsidRPr="007B3744">
        <w:rPr>
          <w:lang w:eastAsia="en-GB"/>
        </w:rPr>
        <w:t>guaranteed</w:t>
      </w:r>
      <w:r w:rsidR="003D640C">
        <w:rPr>
          <w:lang w:eastAsia="en-GB"/>
        </w:rPr>
        <w:t xml:space="preserve"> </w:t>
      </w:r>
      <w:r w:rsidR="00AD4CEB" w:rsidRPr="007B3744">
        <w:rPr>
          <w:lang w:eastAsia="en-GB"/>
        </w:rPr>
        <w:t>tino</w:t>
      </w:r>
      <w:r w:rsidR="003D640C">
        <w:rPr>
          <w:lang w:eastAsia="en-GB"/>
        </w:rPr>
        <w:t xml:space="preserve"> </w:t>
      </w:r>
      <w:r w:rsidR="00AD4CEB" w:rsidRPr="007B3744">
        <w:rPr>
          <w:lang w:eastAsia="en-GB"/>
        </w:rPr>
        <w:t>rangatiratanga</w:t>
      </w:r>
      <w:r w:rsidR="003D640C">
        <w:rPr>
          <w:lang w:eastAsia="en-GB"/>
        </w:rPr>
        <w:t xml:space="preserve"> </w:t>
      </w:r>
      <w:r w:rsidR="00023A28">
        <w:rPr>
          <w:lang w:eastAsia="en-GB"/>
        </w:rPr>
        <w:t>–</w:t>
      </w:r>
      <w:r w:rsidR="003D640C">
        <w:rPr>
          <w:lang w:eastAsia="en-GB"/>
        </w:rPr>
        <w:t xml:space="preserve"> </w:t>
      </w:r>
      <w:r w:rsidR="00AD4CEB" w:rsidRPr="007B3744">
        <w:rPr>
          <w:lang w:eastAsia="en-GB"/>
        </w:rPr>
        <w:t>the</w:t>
      </w:r>
      <w:r w:rsidR="003D640C">
        <w:rPr>
          <w:lang w:eastAsia="en-GB"/>
        </w:rPr>
        <w:t xml:space="preserve"> </w:t>
      </w:r>
      <w:r w:rsidR="00AD4CEB" w:rsidRPr="007B3744">
        <w:rPr>
          <w:lang w:eastAsia="en-GB"/>
        </w:rPr>
        <w:t>unqualified</w:t>
      </w:r>
      <w:r w:rsidR="003D640C">
        <w:rPr>
          <w:lang w:eastAsia="en-GB"/>
        </w:rPr>
        <w:t xml:space="preserve"> </w:t>
      </w:r>
      <w:r w:rsidR="00AD4CEB" w:rsidRPr="007B3744">
        <w:rPr>
          <w:lang w:eastAsia="en-GB"/>
        </w:rPr>
        <w:t>exercise</w:t>
      </w:r>
      <w:r w:rsidR="003D640C">
        <w:rPr>
          <w:lang w:eastAsia="en-GB"/>
        </w:rPr>
        <w:t xml:space="preserve"> </w:t>
      </w:r>
      <w:r w:rsidR="00AD4CEB" w:rsidRPr="007B3744">
        <w:rPr>
          <w:lang w:eastAsia="en-GB"/>
        </w:rPr>
        <w:t>of</w:t>
      </w:r>
      <w:r w:rsidR="003D640C">
        <w:rPr>
          <w:lang w:eastAsia="en-GB"/>
        </w:rPr>
        <w:t xml:space="preserve"> </w:t>
      </w:r>
      <w:r w:rsidR="00AD4CEB" w:rsidRPr="007B3744">
        <w:rPr>
          <w:lang w:eastAsia="en-GB"/>
        </w:rPr>
        <w:t>chieftainship</w:t>
      </w:r>
      <w:r w:rsidR="003D640C">
        <w:rPr>
          <w:lang w:eastAsia="en-GB"/>
        </w:rPr>
        <w:t xml:space="preserve"> </w:t>
      </w:r>
      <w:r w:rsidR="00AD4CEB" w:rsidRPr="007B3744">
        <w:rPr>
          <w:lang w:eastAsia="en-GB"/>
        </w:rPr>
        <w:t>over</w:t>
      </w:r>
      <w:r w:rsidR="003D640C">
        <w:rPr>
          <w:lang w:eastAsia="en-GB"/>
        </w:rPr>
        <w:t xml:space="preserve"> </w:t>
      </w:r>
      <w:r w:rsidR="00AD4CEB" w:rsidRPr="007B3744">
        <w:rPr>
          <w:lang w:eastAsia="en-GB"/>
        </w:rPr>
        <w:t>their</w:t>
      </w:r>
      <w:r w:rsidR="003D640C">
        <w:rPr>
          <w:lang w:eastAsia="en-GB"/>
        </w:rPr>
        <w:t xml:space="preserve"> </w:t>
      </w:r>
      <w:r w:rsidR="00AD4CEB" w:rsidRPr="007B3744">
        <w:rPr>
          <w:lang w:eastAsia="en-GB"/>
        </w:rPr>
        <w:t>lands,</w:t>
      </w:r>
      <w:r w:rsidR="003D640C">
        <w:rPr>
          <w:lang w:eastAsia="en-GB"/>
        </w:rPr>
        <w:t xml:space="preserve"> </w:t>
      </w:r>
      <w:r w:rsidR="00AD4CEB" w:rsidRPr="007B3744">
        <w:rPr>
          <w:lang w:eastAsia="en-GB"/>
        </w:rPr>
        <w:t>dwelling</w:t>
      </w:r>
      <w:r w:rsidR="003D640C">
        <w:rPr>
          <w:lang w:eastAsia="en-GB"/>
        </w:rPr>
        <w:t xml:space="preserve"> </w:t>
      </w:r>
      <w:r w:rsidR="00AD4CEB" w:rsidRPr="007B3744">
        <w:rPr>
          <w:lang w:eastAsia="en-GB"/>
        </w:rPr>
        <w:t>places,</w:t>
      </w:r>
      <w:r w:rsidR="003D640C">
        <w:rPr>
          <w:lang w:eastAsia="en-GB"/>
        </w:rPr>
        <w:t xml:space="preserve"> </w:t>
      </w:r>
      <w:r w:rsidR="00AD4CEB" w:rsidRPr="007B3744">
        <w:rPr>
          <w:lang w:eastAsia="en-GB"/>
        </w:rPr>
        <w:t>and</w:t>
      </w:r>
      <w:r w:rsidR="003D640C">
        <w:rPr>
          <w:lang w:eastAsia="en-GB"/>
        </w:rPr>
        <w:t xml:space="preserve"> </w:t>
      </w:r>
      <w:r w:rsidR="00AD4CEB" w:rsidRPr="007B3744">
        <w:rPr>
          <w:lang w:eastAsia="en-GB"/>
        </w:rPr>
        <w:t>all</w:t>
      </w:r>
      <w:r w:rsidR="003D640C">
        <w:rPr>
          <w:lang w:eastAsia="en-GB"/>
        </w:rPr>
        <w:t xml:space="preserve"> </w:t>
      </w:r>
      <w:r w:rsidR="00AD4CEB" w:rsidRPr="007B3744">
        <w:rPr>
          <w:lang w:eastAsia="en-GB"/>
        </w:rPr>
        <w:t>other</w:t>
      </w:r>
      <w:r w:rsidR="003D640C">
        <w:rPr>
          <w:lang w:eastAsia="en-GB"/>
        </w:rPr>
        <w:t xml:space="preserve"> </w:t>
      </w:r>
      <w:r w:rsidR="00AD4CEB" w:rsidRPr="007B3744">
        <w:rPr>
          <w:lang w:eastAsia="en-GB"/>
        </w:rPr>
        <w:t>taonga</w:t>
      </w:r>
      <w:r w:rsidR="003D640C">
        <w:rPr>
          <w:lang w:eastAsia="en-GB"/>
        </w:rPr>
        <w:t xml:space="preserve"> </w:t>
      </w:r>
      <w:r w:rsidR="00AD4CEB" w:rsidRPr="007B3744">
        <w:rPr>
          <w:lang w:eastAsia="en-GB"/>
        </w:rPr>
        <w:t>or</w:t>
      </w:r>
      <w:r w:rsidR="003D640C">
        <w:rPr>
          <w:lang w:eastAsia="en-GB"/>
        </w:rPr>
        <w:t xml:space="preserve"> </w:t>
      </w:r>
      <w:r w:rsidR="00AD4CEB" w:rsidRPr="007B3744">
        <w:rPr>
          <w:lang w:eastAsia="en-GB"/>
        </w:rPr>
        <w:t>treasures</w:t>
      </w:r>
      <w:r w:rsidR="00023A28">
        <w:rPr>
          <w:lang w:eastAsia="en-GB"/>
        </w:rPr>
        <w:t xml:space="preserve"> –</w:t>
      </w:r>
      <w:r w:rsidR="003D640C">
        <w:rPr>
          <w:lang w:eastAsia="en-GB"/>
        </w:rPr>
        <w:t xml:space="preserve"> </w:t>
      </w:r>
      <w:r w:rsidR="00AD4CEB" w:rsidRPr="007B3744">
        <w:rPr>
          <w:lang w:eastAsia="en-GB"/>
        </w:rPr>
        <w:t>in</w:t>
      </w:r>
      <w:r w:rsidR="003D640C">
        <w:rPr>
          <w:lang w:eastAsia="en-GB"/>
        </w:rPr>
        <w:t xml:space="preserve"> </w:t>
      </w:r>
      <w:r w:rsidR="00AD4CEB" w:rsidRPr="007B3744">
        <w:rPr>
          <w:lang w:eastAsia="en-GB"/>
        </w:rPr>
        <w:t>Article</w:t>
      </w:r>
      <w:r w:rsidR="003D640C">
        <w:rPr>
          <w:lang w:eastAsia="en-GB"/>
        </w:rPr>
        <w:t xml:space="preserve"> </w:t>
      </w:r>
      <w:r w:rsidR="00AD4CEB" w:rsidRPr="007B3744">
        <w:rPr>
          <w:lang w:eastAsia="en-GB"/>
        </w:rPr>
        <w:t>Two.</w:t>
      </w:r>
      <w:r w:rsidR="003D640C">
        <w:rPr>
          <w:lang w:eastAsia="en-GB"/>
        </w:rPr>
        <w:t xml:space="preserve"> </w:t>
      </w:r>
      <w:r w:rsidR="00AD4CEB" w:rsidRPr="007B3744">
        <w:rPr>
          <w:lang w:eastAsia="en-GB"/>
        </w:rPr>
        <w:t>This</w:t>
      </w:r>
      <w:r w:rsidR="003D640C">
        <w:rPr>
          <w:lang w:eastAsia="en-GB"/>
        </w:rPr>
        <w:t xml:space="preserve"> </w:t>
      </w:r>
      <w:r w:rsidR="00AD4CEB" w:rsidRPr="007B3744">
        <w:rPr>
          <w:lang w:eastAsia="en-GB"/>
        </w:rPr>
        <w:t>guarantee</w:t>
      </w:r>
      <w:r w:rsidR="003D640C">
        <w:rPr>
          <w:lang w:eastAsia="en-GB"/>
        </w:rPr>
        <w:t xml:space="preserve"> </w:t>
      </w:r>
      <w:r w:rsidR="00AD4CEB" w:rsidRPr="007B3744">
        <w:rPr>
          <w:lang w:eastAsia="en-GB"/>
        </w:rPr>
        <w:t>includes</w:t>
      </w:r>
      <w:r w:rsidR="003D640C">
        <w:rPr>
          <w:lang w:eastAsia="en-GB"/>
        </w:rPr>
        <w:t xml:space="preserve"> </w:t>
      </w:r>
      <w:r w:rsidR="00AD4CEB" w:rsidRPr="007B3744">
        <w:rPr>
          <w:lang w:eastAsia="en-GB"/>
        </w:rPr>
        <w:t>both</w:t>
      </w:r>
      <w:r w:rsidR="003D640C">
        <w:rPr>
          <w:lang w:eastAsia="en-GB"/>
        </w:rPr>
        <w:t xml:space="preserve"> </w:t>
      </w:r>
      <w:r w:rsidR="00AD4CEB" w:rsidRPr="007B3744">
        <w:rPr>
          <w:lang w:eastAsia="en-GB"/>
        </w:rPr>
        <w:t>material</w:t>
      </w:r>
      <w:r w:rsidR="003D640C">
        <w:rPr>
          <w:lang w:eastAsia="en-GB"/>
        </w:rPr>
        <w:t xml:space="preserve"> </w:t>
      </w:r>
      <w:r w:rsidR="00AD4CEB" w:rsidRPr="007B3744">
        <w:rPr>
          <w:lang w:eastAsia="en-GB"/>
        </w:rPr>
        <w:t>taonga</w:t>
      </w:r>
      <w:r w:rsidR="003D640C">
        <w:rPr>
          <w:lang w:eastAsia="en-GB"/>
        </w:rPr>
        <w:t xml:space="preserve"> </w:t>
      </w:r>
      <w:r w:rsidR="00AD4CEB" w:rsidRPr="007B3744">
        <w:rPr>
          <w:lang w:eastAsia="en-GB"/>
        </w:rPr>
        <w:t>like</w:t>
      </w:r>
      <w:r w:rsidR="003D640C">
        <w:rPr>
          <w:lang w:eastAsia="en-GB"/>
        </w:rPr>
        <w:t xml:space="preserve"> </w:t>
      </w:r>
      <w:r w:rsidR="00AD4CEB" w:rsidRPr="007B3744">
        <w:rPr>
          <w:lang w:eastAsia="en-GB"/>
        </w:rPr>
        <w:t>forests</w:t>
      </w:r>
      <w:r w:rsidR="003D640C">
        <w:rPr>
          <w:lang w:eastAsia="en-GB"/>
        </w:rPr>
        <w:t xml:space="preserve"> </w:t>
      </w:r>
      <w:r w:rsidR="00AD4CEB" w:rsidRPr="007B3744">
        <w:rPr>
          <w:lang w:eastAsia="en-GB"/>
        </w:rPr>
        <w:t>and</w:t>
      </w:r>
      <w:r w:rsidR="003D640C">
        <w:rPr>
          <w:lang w:eastAsia="en-GB"/>
        </w:rPr>
        <w:t xml:space="preserve"> </w:t>
      </w:r>
      <w:r w:rsidR="00AD4CEB" w:rsidRPr="007B3744">
        <w:rPr>
          <w:lang w:eastAsia="en-GB"/>
        </w:rPr>
        <w:t>fisheries</w:t>
      </w:r>
      <w:r w:rsidR="003D640C">
        <w:rPr>
          <w:lang w:eastAsia="en-GB"/>
        </w:rPr>
        <w:t xml:space="preserve"> </w:t>
      </w:r>
      <w:r w:rsidR="00AD4CEB" w:rsidRPr="007B3744">
        <w:rPr>
          <w:lang w:eastAsia="en-GB"/>
        </w:rPr>
        <w:t>and</w:t>
      </w:r>
      <w:r w:rsidR="003D640C">
        <w:rPr>
          <w:lang w:eastAsia="en-GB"/>
        </w:rPr>
        <w:t xml:space="preserve"> </w:t>
      </w:r>
      <w:r w:rsidR="00AD4CEB" w:rsidRPr="007B3744">
        <w:rPr>
          <w:lang w:eastAsia="en-GB"/>
        </w:rPr>
        <w:t>intangible</w:t>
      </w:r>
      <w:r w:rsidR="003D640C">
        <w:rPr>
          <w:lang w:eastAsia="en-GB"/>
        </w:rPr>
        <w:t xml:space="preserve"> </w:t>
      </w:r>
      <w:r w:rsidR="00AD4CEB" w:rsidRPr="007B3744">
        <w:rPr>
          <w:lang w:eastAsia="en-GB"/>
        </w:rPr>
        <w:t>taonga</w:t>
      </w:r>
      <w:r w:rsidR="003D640C">
        <w:rPr>
          <w:lang w:eastAsia="en-GB"/>
        </w:rPr>
        <w:t xml:space="preserve"> </w:t>
      </w:r>
      <w:r w:rsidR="00AD4CEB" w:rsidRPr="007B3744">
        <w:rPr>
          <w:lang w:eastAsia="en-GB"/>
        </w:rPr>
        <w:t>like</w:t>
      </w:r>
      <w:r w:rsidR="003D640C">
        <w:rPr>
          <w:lang w:eastAsia="en-GB"/>
        </w:rPr>
        <w:t xml:space="preserve"> </w:t>
      </w:r>
      <w:r w:rsidR="00AD4CEB" w:rsidRPr="007B3744">
        <w:rPr>
          <w:lang w:eastAsia="en-GB"/>
        </w:rPr>
        <w:t>language</w:t>
      </w:r>
      <w:r w:rsidR="003D640C">
        <w:rPr>
          <w:lang w:eastAsia="en-GB"/>
        </w:rPr>
        <w:t xml:space="preserve"> </w:t>
      </w:r>
      <w:r w:rsidR="009B39CD" w:rsidRPr="007B3744">
        <w:rPr>
          <w:lang w:eastAsia="en-GB"/>
        </w:rPr>
        <w:t>and</w:t>
      </w:r>
      <w:r w:rsidR="003D640C">
        <w:rPr>
          <w:lang w:eastAsia="en-GB"/>
        </w:rPr>
        <w:t xml:space="preserve"> </w:t>
      </w:r>
      <w:r w:rsidR="004E275C">
        <w:rPr>
          <w:lang w:eastAsia="en-GB"/>
        </w:rPr>
        <w:t>tikanga</w:t>
      </w:r>
      <w:r w:rsidR="00910928">
        <w:rPr>
          <w:lang w:eastAsia="en-GB"/>
        </w:rPr>
        <w:t>.</w:t>
      </w:r>
      <w:r w:rsidR="003D640C">
        <w:rPr>
          <w:lang w:eastAsia="en-GB"/>
        </w:rPr>
        <w:t xml:space="preserve"> </w:t>
      </w:r>
    </w:p>
    <w:p w14:paraId="7663655B" w14:textId="5029E6DD" w:rsidR="00AD4CEB" w:rsidRPr="007B3744" w:rsidRDefault="00AD4CEB" w:rsidP="0002020B">
      <w:pPr>
        <w:rPr>
          <w:rFonts w:ascii="Times New Roman" w:hAnsi="Times New Roman" w:cs="Times New Roman"/>
          <w:sz w:val="24"/>
          <w:szCs w:val="24"/>
          <w:lang w:eastAsia="en-GB"/>
        </w:rPr>
      </w:pPr>
      <w:r w:rsidRPr="007B3744">
        <w:rPr>
          <w:rFonts w:ascii="Calibri" w:hAnsi="Calibri" w:cs="Calibri"/>
          <w:lang w:eastAsia="en-NZ"/>
        </w:rPr>
        <w:t>Tino</w:t>
      </w:r>
      <w:r w:rsidR="003D640C">
        <w:rPr>
          <w:rFonts w:ascii="Calibri" w:hAnsi="Calibri" w:cs="Calibri"/>
          <w:lang w:eastAsia="en-NZ"/>
        </w:rPr>
        <w:t xml:space="preserve"> </w:t>
      </w:r>
      <w:r w:rsidRPr="007B3744">
        <w:rPr>
          <w:rFonts w:ascii="Calibri" w:hAnsi="Calibri" w:cs="Calibri"/>
          <w:lang w:eastAsia="en-NZ"/>
        </w:rPr>
        <w:t>rangatiratanga</w:t>
      </w:r>
      <w:r w:rsidR="003D640C">
        <w:rPr>
          <w:rFonts w:ascii="Calibri" w:hAnsi="Calibri" w:cs="Calibri"/>
          <w:lang w:eastAsia="en-NZ"/>
        </w:rPr>
        <w:t xml:space="preserve"> </w:t>
      </w:r>
      <w:r w:rsidRPr="007B3744">
        <w:rPr>
          <w:rFonts w:ascii="Calibri" w:hAnsi="Calibri" w:cs="Calibri"/>
          <w:lang w:eastAsia="en-NZ"/>
        </w:rPr>
        <w:t>stems</w:t>
      </w:r>
      <w:r w:rsidR="003D640C">
        <w:rPr>
          <w:rFonts w:ascii="Calibri" w:hAnsi="Calibri" w:cs="Calibri"/>
          <w:lang w:eastAsia="en-NZ"/>
        </w:rPr>
        <w:t xml:space="preserve"> </w:t>
      </w:r>
      <w:r w:rsidRPr="007B3744">
        <w:rPr>
          <w:rFonts w:ascii="Calibri" w:hAnsi="Calibri" w:cs="Calibri"/>
          <w:lang w:eastAsia="en-NZ"/>
        </w:rPr>
        <w:t>from</w:t>
      </w:r>
      <w:r w:rsidR="003D640C">
        <w:rPr>
          <w:rFonts w:ascii="Calibri" w:hAnsi="Calibri" w:cs="Calibri"/>
          <w:lang w:eastAsia="en-NZ"/>
        </w:rPr>
        <w:t xml:space="preserve"> </w:t>
      </w:r>
      <w:r w:rsidRPr="007B3744">
        <w:rPr>
          <w:rFonts w:ascii="Calibri" w:hAnsi="Calibri" w:cs="Calibri"/>
          <w:lang w:eastAsia="en-NZ"/>
        </w:rPr>
        <w:t>inherent</w:t>
      </w:r>
      <w:r w:rsidR="003D640C">
        <w:rPr>
          <w:rFonts w:ascii="Calibri" w:hAnsi="Calibri" w:cs="Calibri"/>
          <w:lang w:eastAsia="en-NZ"/>
        </w:rPr>
        <w:t xml:space="preserve"> </w:t>
      </w:r>
      <w:r w:rsidRPr="007B3744">
        <w:rPr>
          <w:rFonts w:ascii="Calibri" w:hAnsi="Calibri" w:cs="Calibri"/>
          <w:lang w:eastAsia="en-NZ"/>
        </w:rPr>
        <w:t>pre-existing</w:t>
      </w:r>
      <w:r w:rsidR="003D640C">
        <w:rPr>
          <w:rFonts w:ascii="Calibri" w:hAnsi="Calibri" w:cs="Calibri"/>
          <w:lang w:eastAsia="en-NZ"/>
        </w:rPr>
        <w:t xml:space="preserve"> </w:t>
      </w:r>
      <w:r w:rsidRPr="007B3744">
        <w:rPr>
          <w:rFonts w:ascii="Calibri" w:hAnsi="Calibri" w:cs="Calibri"/>
          <w:lang w:eastAsia="en-NZ"/>
        </w:rPr>
        <w:t>rights</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whakapapa</w:t>
      </w:r>
      <w:r w:rsidR="003D640C">
        <w:rPr>
          <w:rFonts w:ascii="Calibri" w:hAnsi="Calibri" w:cs="Calibri"/>
          <w:lang w:eastAsia="en-NZ"/>
        </w:rPr>
        <w:t xml:space="preserve"> </w:t>
      </w:r>
      <w:r w:rsidRPr="007B3744">
        <w:rPr>
          <w:rFonts w:ascii="Calibri" w:hAnsi="Calibri" w:cs="Calibri"/>
          <w:lang w:eastAsia="en-NZ"/>
        </w:rPr>
        <w:t>connections</w:t>
      </w:r>
      <w:r w:rsidR="003D640C">
        <w:rPr>
          <w:rFonts w:ascii="Calibri" w:hAnsi="Calibri" w:cs="Calibri"/>
          <w:lang w:eastAsia="en-NZ"/>
        </w:rPr>
        <w:t xml:space="preserve"> </w:t>
      </w:r>
      <w:r w:rsidR="00E41CB3" w:rsidRPr="007B3744">
        <w:rPr>
          <w:rFonts w:ascii="Calibri" w:hAnsi="Calibri" w:cs="Calibri"/>
          <w:lang w:eastAsia="en-NZ"/>
        </w:rPr>
        <w:t>that</w:t>
      </w:r>
      <w:r w:rsidR="003D640C">
        <w:rPr>
          <w:rFonts w:ascii="Calibri" w:hAnsi="Calibri" w:cs="Calibri"/>
          <w:lang w:eastAsia="en-NZ"/>
        </w:rPr>
        <w:t xml:space="preserve"> </w:t>
      </w:r>
      <w:r w:rsidRPr="007B3744">
        <w:rPr>
          <w:rFonts w:ascii="Calibri" w:hAnsi="Calibri" w:cs="Calibri"/>
          <w:lang w:eastAsia="en-NZ"/>
        </w:rPr>
        <w:t>Māori</w:t>
      </w:r>
      <w:r w:rsidR="003D640C">
        <w:rPr>
          <w:rFonts w:ascii="Calibri" w:hAnsi="Calibri" w:cs="Calibri"/>
          <w:lang w:eastAsia="en-NZ"/>
        </w:rPr>
        <w:t xml:space="preserve"> </w:t>
      </w:r>
      <w:r w:rsidRPr="007B3744">
        <w:rPr>
          <w:rFonts w:ascii="Calibri" w:hAnsi="Calibri" w:cs="Calibri"/>
          <w:lang w:eastAsia="en-NZ"/>
        </w:rPr>
        <w:t>have</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land</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natural</w:t>
      </w:r>
      <w:r w:rsidR="003D640C">
        <w:rPr>
          <w:rFonts w:ascii="Calibri" w:hAnsi="Calibri" w:cs="Calibri"/>
          <w:lang w:eastAsia="en-NZ"/>
        </w:rPr>
        <w:t xml:space="preserve"> </w:t>
      </w:r>
      <w:r w:rsidRPr="007B3744">
        <w:rPr>
          <w:rFonts w:ascii="Calibri" w:hAnsi="Calibri" w:cs="Calibri"/>
          <w:lang w:eastAsia="en-NZ"/>
        </w:rPr>
        <w:t>environment.</w:t>
      </w:r>
      <w:r w:rsidR="003D640C">
        <w:rPr>
          <w:rFonts w:ascii="Calibri" w:hAnsi="Calibri" w:cs="Calibri"/>
          <w:lang w:eastAsia="en-NZ"/>
        </w:rPr>
        <w:t xml:space="preserve"> </w:t>
      </w:r>
      <w:r w:rsidRPr="007B3744">
        <w:rPr>
          <w:rFonts w:ascii="Calibri" w:hAnsi="Calibri" w:cs="Calibri"/>
          <w:lang w:eastAsia="en-NZ"/>
        </w:rPr>
        <w:t>It</w:t>
      </w:r>
      <w:r w:rsidR="003D640C">
        <w:rPr>
          <w:rFonts w:ascii="Calibri" w:hAnsi="Calibri" w:cs="Calibri"/>
          <w:lang w:eastAsia="en-NZ"/>
        </w:rPr>
        <w:t xml:space="preserve"> </w:t>
      </w:r>
      <w:r w:rsidR="000F56F7" w:rsidRPr="007B3744">
        <w:rPr>
          <w:rFonts w:ascii="Calibri" w:hAnsi="Calibri" w:cs="Calibri"/>
          <w:lang w:eastAsia="en-NZ"/>
        </w:rPr>
        <w:t>gives</w:t>
      </w:r>
      <w:r w:rsidR="003D640C">
        <w:rPr>
          <w:rFonts w:ascii="Calibri" w:hAnsi="Calibri" w:cs="Calibri"/>
          <w:lang w:eastAsia="en-NZ"/>
        </w:rPr>
        <w:t xml:space="preserve"> </w:t>
      </w:r>
      <w:r w:rsidRPr="007B3744">
        <w:rPr>
          <w:rFonts w:ascii="Calibri" w:hAnsi="Calibri" w:cs="Calibri"/>
          <w:lang w:eastAsia="en-NZ"/>
        </w:rPr>
        <w:t>M</w:t>
      </w:r>
      <w:r w:rsidRPr="001108DC">
        <w:rPr>
          <w:rFonts w:ascii="Calibri" w:hAnsi="Calibri" w:cs="Calibri"/>
          <w:lang w:eastAsia="en-NZ"/>
        </w:rPr>
        <w:t>āori</w:t>
      </w:r>
      <w:r w:rsidR="003D640C">
        <w:rPr>
          <w:rFonts w:ascii="Calibri" w:hAnsi="Calibri" w:cs="Calibri"/>
          <w:lang w:eastAsia="en-NZ"/>
        </w:rPr>
        <w:t xml:space="preserve"> </w:t>
      </w:r>
      <w:r w:rsidRPr="001108DC">
        <w:rPr>
          <w:rFonts w:ascii="Calibri" w:hAnsi="Calibri" w:cs="Calibri"/>
          <w:lang w:eastAsia="en-NZ"/>
        </w:rPr>
        <w:t>the</w:t>
      </w:r>
      <w:r w:rsidR="003D640C">
        <w:rPr>
          <w:rFonts w:ascii="Calibri" w:hAnsi="Calibri" w:cs="Calibri"/>
          <w:lang w:eastAsia="en-NZ"/>
        </w:rPr>
        <w:t xml:space="preserve"> </w:t>
      </w:r>
      <w:r w:rsidRPr="001108DC">
        <w:rPr>
          <w:rFonts w:ascii="Calibri" w:hAnsi="Calibri" w:cs="Calibri"/>
          <w:lang w:eastAsia="en-NZ"/>
        </w:rPr>
        <w:t>authority</w:t>
      </w:r>
      <w:r w:rsidR="003D640C">
        <w:rPr>
          <w:rFonts w:ascii="Calibri" w:hAnsi="Calibri" w:cs="Calibri"/>
          <w:lang w:eastAsia="en-NZ"/>
        </w:rPr>
        <w:t xml:space="preserve"> </w:t>
      </w:r>
      <w:r w:rsidRPr="001108DC">
        <w:rPr>
          <w:rFonts w:ascii="Calibri" w:hAnsi="Calibri" w:cs="Calibri"/>
          <w:lang w:eastAsia="en-NZ"/>
        </w:rPr>
        <w:t>and</w:t>
      </w:r>
      <w:r w:rsidR="003D640C">
        <w:rPr>
          <w:rFonts w:ascii="Calibri" w:hAnsi="Calibri" w:cs="Calibri"/>
          <w:lang w:eastAsia="en-NZ"/>
        </w:rPr>
        <w:t xml:space="preserve"> </w:t>
      </w:r>
      <w:r w:rsidRPr="001108DC">
        <w:rPr>
          <w:rFonts w:ascii="Calibri" w:hAnsi="Calibri" w:cs="Calibri"/>
          <w:lang w:eastAsia="en-NZ"/>
        </w:rPr>
        <w:t>autonomy</w:t>
      </w:r>
      <w:r w:rsidR="003D640C">
        <w:rPr>
          <w:rFonts w:ascii="Calibri" w:hAnsi="Calibri" w:cs="Calibri"/>
          <w:lang w:eastAsia="en-NZ"/>
        </w:rPr>
        <w:t xml:space="preserve"> </w:t>
      </w:r>
      <w:r w:rsidRPr="001108DC">
        <w:rPr>
          <w:rFonts w:ascii="Calibri" w:hAnsi="Calibri" w:cs="Calibri"/>
          <w:lang w:eastAsia="en-NZ"/>
        </w:rPr>
        <w:t>to</w:t>
      </w:r>
      <w:r w:rsidR="003D640C">
        <w:rPr>
          <w:rFonts w:ascii="Calibri" w:hAnsi="Calibri" w:cs="Calibri"/>
          <w:lang w:eastAsia="en-NZ"/>
        </w:rPr>
        <w:t xml:space="preserve"> </w:t>
      </w:r>
      <w:r w:rsidRPr="001108DC">
        <w:rPr>
          <w:rFonts w:ascii="Calibri" w:hAnsi="Calibri" w:cs="Calibri"/>
          <w:lang w:eastAsia="en-NZ"/>
        </w:rPr>
        <w:t>understand</w:t>
      </w:r>
      <w:r w:rsidR="003D640C">
        <w:rPr>
          <w:rFonts w:ascii="Calibri" w:hAnsi="Calibri" w:cs="Calibri"/>
          <w:lang w:eastAsia="en-NZ"/>
        </w:rPr>
        <w:t xml:space="preserve"> </w:t>
      </w:r>
      <w:r w:rsidRPr="001108DC">
        <w:rPr>
          <w:rFonts w:ascii="Calibri" w:hAnsi="Calibri" w:cs="Calibri"/>
          <w:lang w:eastAsia="en-NZ"/>
        </w:rPr>
        <w:t>and</w:t>
      </w:r>
      <w:r w:rsidR="003D640C">
        <w:rPr>
          <w:rFonts w:ascii="Calibri" w:hAnsi="Calibri" w:cs="Calibri"/>
          <w:lang w:eastAsia="en-NZ"/>
        </w:rPr>
        <w:t xml:space="preserve"> </w:t>
      </w:r>
      <w:r w:rsidRPr="001108DC">
        <w:rPr>
          <w:rFonts w:ascii="Calibri" w:hAnsi="Calibri" w:cs="Calibri"/>
          <w:lang w:eastAsia="en-NZ"/>
        </w:rPr>
        <w:t>build</w:t>
      </w:r>
      <w:r w:rsidR="003D640C">
        <w:rPr>
          <w:rFonts w:ascii="Calibri" w:hAnsi="Calibri" w:cs="Calibri"/>
          <w:lang w:eastAsia="en-NZ"/>
        </w:rPr>
        <w:t xml:space="preserve"> </w:t>
      </w:r>
      <w:r w:rsidRPr="001108DC">
        <w:rPr>
          <w:rFonts w:ascii="Calibri" w:hAnsi="Calibri" w:cs="Calibri"/>
          <w:lang w:eastAsia="en-NZ"/>
        </w:rPr>
        <w:t>on</w:t>
      </w:r>
      <w:r w:rsidR="003D640C">
        <w:rPr>
          <w:rFonts w:ascii="Calibri" w:hAnsi="Calibri" w:cs="Calibri"/>
          <w:lang w:eastAsia="en-NZ"/>
        </w:rPr>
        <w:t xml:space="preserve"> </w:t>
      </w:r>
      <w:r w:rsidRPr="001108DC">
        <w:rPr>
          <w:rFonts w:ascii="Calibri" w:hAnsi="Calibri" w:cs="Calibri"/>
          <w:lang w:eastAsia="en-NZ"/>
        </w:rPr>
        <w:t>their</w:t>
      </w:r>
      <w:r w:rsidR="003D640C">
        <w:rPr>
          <w:rFonts w:ascii="Calibri" w:hAnsi="Calibri" w:cs="Calibri"/>
          <w:lang w:eastAsia="en-NZ"/>
        </w:rPr>
        <w:t xml:space="preserve"> </w:t>
      </w:r>
      <w:r w:rsidRPr="001108DC">
        <w:rPr>
          <w:rFonts w:ascii="Calibri" w:hAnsi="Calibri" w:cs="Calibri"/>
          <w:lang w:eastAsia="en-NZ"/>
        </w:rPr>
        <w:t>own</w:t>
      </w:r>
      <w:r w:rsidR="003D640C">
        <w:rPr>
          <w:rFonts w:ascii="Calibri" w:hAnsi="Calibri" w:cs="Calibri"/>
          <w:lang w:eastAsia="en-NZ"/>
        </w:rPr>
        <w:t xml:space="preserve"> </w:t>
      </w:r>
      <w:r w:rsidRPr="001108DC">
        <w:rPr>
          <w:rFonts w:ascii="Calibri" w:hAnsi="Calibri" w:cs="Calibri"/>
          <w:lang w:eastAsia="en-NZ"/>
        </w:rPr>
        <w:t>inclusive</w:t>
      </w:r>
      <w:r w:rsidR="003D640C">
        <w:rPr>
          <w:rFonts w:ascii="Calibri" w:hAnsi="Calibri" w:cs="Calibri"/>
          <w:lang w:eastAsia="en-NZ"/>
        </w:rPr>
        <w:t xml:space="preserve"> </w:t>
      </w:r>
      <w:r w:rsidRPr="001108DC">
        <w:rPr>
          <w:rFonts w:ascii="Calibri" w:hAnsi="Calibri" w:cs="Calibri"/>
          <w:lang w:eastAsia="en-NZ"/>
        </w:rPr>
        <w:t>views</w:t>
      </w:r>
      <w:r w:rsidR="003D640C">
        <w:rPr>
          <w:rFonts w:ascii="Calibri" w:hAnsi="Calibri" w:cs="Calibri"/>
          <w:lang w:eastAsia="en-NZ"/>
        </w:rPr>
        <w:t xml:space="preserve"> </w:t>
      </w:r>
      <w:r w:rsidRPr="001108DC">
        <w:rPr>
          <w:rFonts w:ascii="Calibri" w:hAnsi="Calibri" w:cs="Calibri"/>
          <w:lang w:eastAsia="en-NZ"/>
        </w:rPr>
        <w:t>of</w:t>
      </w:r>
      <w:r w:rsidR="003D640C">
        <w:rPr>
          <w:rFonts w:ascii="Calibri" w:hAnsi="Calibri" w:cs="Calibri"/>
          <w:lang w:eastAsia="en-NZ"/>
        </w:rPr>
        <w:t xml:space="preserve"> </w:t>
      </w:r>
      <w:r w:rsidRPr="001108DC">
        <w:rPr>
          <w:rFonts w:ascii="Calibri" w:hAnsi="Calibri" w:cs="Calibri"/>
          <w:lang w:eastAsia="en-NZ"/>
        </w:rPr>
        <w:t>sexual</w:t>
      </w:r>
      <w:r w:rsidR="003D640C">
        <w:rPr>
          <w:rFonts w:ascii="Calibri" w:hAnsi="Calibri" w:cs="Calibri"/>
          <w:lang w:eastAsia="en-NZ"/>
        </w:rPr>
        <w:t xml:space="preserve"> </w:t>
      </w:r>
      <w:r w:rsidRPr="001108DC">
        <w:rPr>
          <w:rFonts w:ascii="Calibri" w:hAnsi="Calibri" w:cs="Calibri"/>
          <w:lang w:eastAsia="en-NZ"/>
        </w:rPr>
        <w:t>orientation,</w:t>
      </w:r>
      <w:r w:rsidR="003D640C">
        <w:rPr>
          <w:rFonts w:ascii="Calibri" w:hAnsi="Calibri" w:cs="Calibri"/>
          <w:lang w:eastAsia="en-NZ"/>
        </w:rPr>
        <w:t xml:space="preserve"> </w:t>
      </w:r>
      <w:r w:rsidRPr="001108DC">
        <w:rPr>
          <w:rFonts w:ascii="Calibri" w:hAnsi="Calibri" w:cs="Calibri"/>
          <w:lang w:eastAsia="en-NZ"/>
        </w:rPr>
        <w:t>gender</w:t>
      </w:r>
      <w:r w:rsidR="003D640C">
        <w:rPr>
          <w:rFonts w:ascii="Calibri" w:hAnsi="Calibri" w:cs="Calibri"/>
          <w:lang w:eastAsia="en-NZ"/>
        </w:rPr>
        <w:t xml:space="preserve"> </w:t>
      </w:r>
      <w:r w:rsidRPr="001108DC">
        <w:rPr>
          <w:rFonts w:ascii="Calibri" w:hAnsi="Calibri" w:cs="Calibri"/>
          <w:lang w:eastAsia="en-NZ"/>
        </w:rPr>
        <w:t>identity,</w:t>
      </w:r>
      <w:r w:rsidR="003D640C">
        <w:rPr>
          <w:rFonts w:ascii="Calibri" w:hAnsi="Calibri" w:cs="Calibri"/>
          <w:lang w:eastAsia="en-NZ"/>
        </w:rPr>
        <w:t xml:space="preserve"> </w:t>
      </w:r>
      <w:r w:rsidRPr="001108DC">
        <w:rPr>
          <w:rFonts w:ascii="Calibri" w:hAnsi="Calibri" w:cs="Calibri"/>
          <w:lang w:eastAsia="en-NZ"/>
        </w:rPr>
        <w:t>gender</w:t>
      </w:r>
      <w:r w:rsidR="003D640C">
        <w:rPr>
          <w:rFonts w:ascii="Calibri" w:hAnsi="Calibri" w:cs="Calibri"/>
          <w:lang w:eastAsia="en-NZ"/>
        </w:rPr>
        <w:t xml:space="preserve"> </w:t>
      </w:r>
      <w:r w:rsidRPr="001108DC">
        <w:rPr>
          <w:rFonts w:ascii="Calibri" w:hAnsi="Calibri" w:cs="Calibri"/>
          <w:lang w:eastAsia="en-NZ"/>
        </w:rPr>
        <w:t>express</w:t>
      </w:r>
      <w:r w:rsidR="001826B1" w:rsidRPr="001108DC">
        <w:rPr>
          <w:rFonts w:ascii="Calibri" w:hAnsi="Calibri" w:cs="Calibri"/>
          <w:lang w:eastAsia="en-NZ"/>
        </w:rPr>
        <w:t>ion</w:t>
      </w:r>
      <w:r w:rsidR="00023A28">
        <w:rPr>
          <w:rFonts w:ascii="Calibri" w:hAnsi="Calibri" w:cs="Calibri"/>
          <w:lang w:eastAsia="en-NZ"/>
        </w:rPr>
        <w:t>,</w:t>
      </w:r>
      <w:r w:rsidR="003D640C">
        <w:rPr>
          <w:rFonts w:ascii="Calibri" w:hAnsi="Calibri" w:cs="Calibri"/>
          <w:lang w:eastAsia="en-NZ"/>
        </w:rPr>
        <w:t xml:space="preserve"> </w:t>
      </w:r>
      <w:r w:rsidRPr="001108DC">
        <w:rPr>
          <w:rFonts w:ascii="Calibri" w:hAnsi="Calibri" w:cs="Calibri"/>
          <w:lang w:eastAsia="en-NZ"/>
        </w:rPr>
        <w:t>and</w:t>
      </w:r>
      <w:r w:rsidR="003D640C">
        <w:rPr>
          <w:rFonts w:ascii="Calibri" w:hAnsi="Calibri" w:cs="Calibri"/>
          <w:lang w:eastAsia="en-NZ"/>
        </w:rPr>
        <w:t xml:space="preserve"> </w:t>
      </w:r>
      <w:r w:rsidRPr="001108DC">
        <w:rPr>
          <w:rFonts w:ascii="Calibri" w:hAnsi="Calibri" w:cs="Calibri"/>
          <w:lang w:eastAsia="en-NZ"/>
        </w:rPr>
        <w:t>sex</w:t>
      </w:r>
      <w:r w:rsidR="003D640C">
        <w:rPr>
          <w:rFonts w:ascii="Calibri" w:hAnsi="Calibri" w:cs="Calibri"/>
          <w:lang w:eastAsia="en-NZ"/>
        </w:rPr>
        <w:t xml:space="preserve"> </w:t>
      </w:r>
      <w:r w:rsidRPr="001108DC">
        <w:rPr>
          <w:rFonts w:ascii="Calibri" w:hAnsi="Calibri" w:cs="Calibri"/>
          <w:lang w:eastAsia="en-NZ"/>
        </w:rPr>
        <w:t>characteristics</w:t>
      </w:r>
      <w:r w:rsidR="003D640C">
        <w:rPr>
          <w:rFonts w:ascii="Calibri" w:hAnsi="Calibri" w:cs="Calibri"/>
          <w:lang w:eastAsia="en-NZ"/>
        </w:rPr>
        <w:t xml:space="preserve"> </w:t>
      </w:r>
      <w:r w:rsidRPr="001108DC">
        <w:rPr>
          <w:rFonts w:ascii="Calibri" w:hAnsi="Calibri" w:cs="Calibri"/>
          <w:lang w:eastAsia="en-NZ"/>
        </w:rPr>
        <w:t>that</w:t>
      </w:r>
      <w:r w:rsidR="003D640C">
        <w:rPr>
          <w:rFonts w:ascii="Calibri" w:hAnsi="Calibri" w:cs="Calibri"/>
          <w:lang w:eastAsia="en-NZ"/>
        </w:rPr>
        <w:t xml:space="preserve"> </w:t>
      </w:r>
      <w:r w:rsidRPr="001108DC">
        <w:rPr>
          <w:rFonts w:ascii="Calibri" w:hAnsi="Calibri" w:cs="Calibri"/>
          <w:lang w:eastAsia="en-NZ"/>
        </w:rPr>
        <w:t>are</w:t>
      </w:r>
      <w:r w:rsidR="003D640C">
        <w:rPr>
          <w:rFonts w:ascii="Calibri" w:hAnsi="Calibri" w:cs="Calibri"/>
          <w:lang w:eastAsia="en-NZ"/>
        </w:rPr>
        <w:t xml:space="preserve"> </w:t>
      </w:r>
      <w:r w:rsidRPr="001108DC">
        <w:rPr>
          <w:rFonts w:ascii="Calibri" w:hAnsi="Calibri" w:cs="Calibri"/>
          <w:lang w:eastAsia="en-NZ"/>
        </w:rPr>
        <w:t>centred</w:t>
      </w:r>
      <w:r w:rsidR="003D640C">
        <w:rPr>
          <w:rFonts w:ascii="Calibri" w:hAnsi="Calibri" w:cs="Calibri"/>
          <w:lang w:eastAsia="en-NZ"/>
        </w:rPr>
        <w:t xml:space="preserve"> </w:t>
      </w:r>
      <w:r w:rsidRPr="001108DC">
        <w:rPr>
          <w:rFonts w:ascii="Calibri" w:hAnsi="Calibri" w:cs="Calibri"/>
          <w:lang w:eastAsia="en-NZ"/>
        </w:rPr>
        <w:t>around</w:t>
      </w:r>
      <w:r w:rsidR="003D640C">
        <w:rPr>
          <w:rFonts w:ascii="Calibri" w:hAnsi="Calibri" w:cs="Calibri"/>
          <w:lang w:eastAsia="en-NZ"/>
        </w:rPr>
        <w:t xml:space="preserve"> </w:t>
      </w:r>
      <w:r w:rsidRPr="001108DC">
        <w:rPr>
          <w:rFonts w:ascii="Calibri" w:hAnsi="Calibri" w:cs="Calibri"/>
          <w:lang w:eastAsia="en-NZ"/>
        </w:rPr>
        <w:t>mātauranga</w:t>
      </w:r>
      <w:r w:rsidR="003D640C">
        <w:rPr>
          <w:rFonts w:ascii="Calibri" w:hAnsi="Calibri" w:cs="Calibri"/>
          <w:lang w:eastAsia="en-NZ"/>
        </w:rPr>
        <w:t xml:space="preserve"> </w:t>
      </w:r>
      <w:r w:rsidRPr="001108DC">
        <w:rPr>
          <w:rFonts w:ascii="Calibri" w:hAnsi="Calibri" w:cs="Calibri"/>
          <w:lang w:eastAsia="en-NZ"/>
        </w:rPr>
        <w:t>Māori</w:t>
      </w:r>
      <w:r w:rsidR="003D640C">
        <w:rPr>
          <w:rFonts w:ascii="Calibri" w:hAnsi="Calibri" w:cs="Calibri"/>
          <w:lang w:eastAsia="en-NZ"/>
        </w:rPr>
        <w:t xml:space="preserve"> </w:t>
      </w:r>
      <w:r w:rsidRPr="001108DC">
        <w:rPr>
          <w:rFonts w:ascii="Calibri" w:hAnsi="Calibri" w:cs="Calibri"/>
          <w:lang w:eastAsia="en-NZ"/>
        </w:rPr>
        <w:t>and</w:t>
      </w:r>
      <w:r w:rsidR="003D640C">
        <w:rPr>
          <w:rFonts w:ascii="Calibri" w:hAnsi="Calibri" w:cs="Calibri"/>
          <w:lang w:eastAsia="en-NZ"/>
        </w:rPr>
        <w:t xml:space="preserve"> </w:t>
      </w:r>
      <w:r w:rsidRPr="001108DC">
        <w:rPr>
          <w:rFonts w:ascii="Calibri" w:hAnsi="Calibri" w:cs="Calibri"/>
          <w:lang w:eastAsia="en-NZ"/>
        </w:rPr>
        <w:t>tikanga.</w:t>
      </w:r>
      <w:r w:rsidR="003D640C">
        <w:rPr>
          <w:rFonts w:ascii="Calibri" w:hAnsi="Calibri" w:cs="Calibri"/>
          <w:lang w:eastAsia="en-NZ"/>
        </w:rPr>
        <w:t xml:space="preserve"> </w:t>
      </w:r>
      <w:r w:rsidRPr="001108DC">
        <w:rPr>
          <w:rFonts w:ascii="Calibri" w:hAnsi="Calibri" w:cs="Calibri"/>
          <w:lang w:eastAsia="en-NZ"/>
        </w:rPr>
        <w:t>Tino</w:t>
      </w:r>
      <w:r w:rsidR="003D640C">
        <w:rPr>
          <w:rFonts w:ascii="Calibri" w:hAnsi="Calibri" w:cs="Calibri"/>
          <w:lang w:eastAsia="en-NZ"/>
        </w:rPr>
        <w:t xml:space="preserve"> </w:t>
      </w:r>
      <w:r w:rsidRPr="001108DC">
        <w:rPr>
          <w:rFonts w:ascii="Calibri" w:hAnsi="Calibri" w:cs="Calibri"/>
          <w:lang w:eastAsia="en-NZ"/>
        </w:rPr>
        <w:t>rangatiratanga</w:t>
      </w:r>
      <w:r w:rsidR="003D640C">
        <w:rPr>
          <w:rFonts w:ascii="Calibri" w:hAnsi="Calibri" w:cs="Calibri"/>
          <w:lang w:eastAsia="en-NZ"/>
        </w:rPr>
        <w:t xml:space="preserve"> </w:t>
      </w:r>
      <w:r w:rsidRPr="001108DC">
        <w:rPr>
          <w:rFonts w:ascii="Calibri" w:hAnsi="Calibri" w:cs="Calibri"/>
          <w:lang w:eastAsia="en-NZ"/>
        </w:rPr>
        <w:t>also</w:t>
      </w:r>
      <w:r w:rsidR="003D640C">
        <w:rPr>
          <w:rFonts w:ascii="Calibri" w:hAnsi="Calibri" w:cs="Calibri"/>
          <w:lang w:eastAsia="en-NZ"/>
        </w:rPr>
        <w:t xml:space="preserve"> </w:t>
      </w:r>
      <w:r w:rsidRPr="001108DC">
        <w:rPr>
          <w:rFonts w:ascii="Calibri" w:hAnsi="Calibri" w:cs="Calibri"/>
          <w:lang w:eastAsia="en-NZ"/>
        </w:rPr>
        <w:t>includes</w:t>
      </w:r>
      <w:r w:rsidR="003D640C">
        <w:rPr>
          <w:rFonts w:ascii="Calibri" w:hAnsi="Calibri" w:cs="Calibri"/>
          <w:lang w:eastAsia="en-NZ"/>
        </w:rPr>
        <w:t xml:space="preserve"> </w:t>
      </w:r>
      <w:r w:rsidRPr="007B3744">
        <w:rPr>
          <w:rFonts w:ascii="Calibri" w:hAnsi="Calibri" w:cs="Calibri"/>
          <w:lang w:eastAsia="en-NZ"/>
        </w:rPr>
        <w:t>obligations</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manaaki</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tiaki</w:t>
      </w:r>
      <w:r w:rsidR="003D640C">
        <w:rPr>
          <w:rFonts w:ascii="Calibri" w:hAnsi="Calibri" w:cs="Calibri"/>
          <w:lang w:eastAsia="en-NZ"/>
        </w:rPr>
        <w:t xml:space="preserve"> </w:t>
      </w:r>
      <w:r w:rsidRPr="007B3744">
        <w:rPr>
          <w:rFonts w:ascii="Calibri" w:hAnsi="Calibri" w:cs="Calibri"/>
          <w:lang w:eastAsia="en-NZ"/>
        </w:rPr>
        <w:t>te</w:t>
      </w:r>
      <w:r w:rsidR="003D640C">
        <w:rPr>
          <w:rFonts w:ascii="Calibri" w:hAnsi="Calibri" w:cs="Calibri"/>
          <w:lang w:eastAsia="en-NZ"/>
        </w:rPr>
        <w:t xml:space="preserve"> </w:t>
      </w:r>
      <w:r w:rsidRPr="007B3744">
        <w:rPr>
          <w:rFonts w:ascii="Calibri" w:hAnsi="Calibri" w:cs="Calibri"/>
          <w:lang w:eastAsia="en-NZ"/>
        </w:rPr>
        <w:t>ao</w:t>
      </w:r>
      <w:r w:rsidR="003D640C">
        <w:rPr>
          <w:rFonts w:ascii="Calibri" w:hAnsi="Calibri" w:cs="Calibri"/>
          <w:lang w:eastAsia="en-NZ"/>
        </w:rPr>
        <w:t xml:space="preserve"> </w:t>
      </w:r>
      <w:r w:rsidRPr="007B3744">
        <w:rPr>
          <w:rFonts w:ascii="Calibri" w:hAnsi="Calibri" w:cs="Calibri"/>
          <w:lang w:eastAsia="en-NZ"/>
        </w:rPr>
        <w:t>Māori,</w:t>
      </w:r>
      <w:r w:rsidR="003D640C">
        <w:rPr>
          <w:rFonts w:ascii="Calibri" w:hAnsi="Calibri" w:cs="Calibri"/>
          <w:lang w:eastAsia="en-NZ"/>
        </w:rPr>
        <w:t xml:space="preserve"> </w:t>
      </w:r>
      <w:r w:rsidRPr="007B3744">
        <w:rPr>
          <w:rFonts w:ascii="Calibri" w:hAnsi="Calibri" w:cs="Calibri"/>
          <w:lang w:eastAsia="en-NZ"/>
        </w:rPr>
        <w:t>including</w:t>
      </w:r>
      <w:r w:rsidR="003D640C">
        <w:rPr>
          <w:rFonts w:ascii="Calibri" w:hAnsi="Calibri" w:cs="Calibri"/>
          <w:lang w:eastAsia="en-NZ"/>
        </w:rPr>
        <w:t xml:space="preserve"> </w:t>
      </w:r>
      <w:r w:rsidRPr="007B3744">
        <w:rPr>
          <w:rFonts w:ascii="Calibri" w:hAnsi="Calibri" w:cs="Calibri"/>
          <w:lang w:eastAsia="en-NZ"/>
        </w:rPr>
        <w:t>whānau,</w:t>
      </w:r>
      <w:r w:rsidR="003D640C">
        <w:rPr>
          <w:rFonts w:ascii="Calibri" w:hAnsi="Calibri" w:cs="Calibri"/>
          <w:lang w:eastAsia="en-NZ"/>
        </w:rPr>
        <w:t xml:space="preserve"> </w:t>
      </w:r>
      <w:r w:rsidRPr="007B3744">
        <w:rPr>
          <w:rFonts w:ascii="Calibri" w:hAnsi="Calibri" w:cs="Calibri"/>
          <w:lang w:eastAsia="en-NZ"/>
        </w:rPr>
        <w:t>hapū,</w:t>
      </w:r>
      <w:r w:rsidR="003D640C">
        <w:rPr>
          <w:rFonts w:ascii="Calibri" w:hAnsi="Calibri" w:cs="Calibri"/>
          <w:lang w:eastAsia="en-NZ"/>
        </w:rPr>
        <w:t xml:space="preserve"> </w:t>
      </w:r>
      <w:r w:rsidRPr="007B3744">
        <w:rPr>
          <w:rFonts w:ascii="Calibri" w:hAnsi="Calibri" w:cs="Calibri"/>
          <w:lang w:eastAsia="en-NZ"/>
        </w:rPr>
        <w:t>iwi,</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communities.</w:t>
      </w:r>
      <w:r w:rsidR="003D640C">
        <w:rPr>
          <w:rFonts w:ascii="Calibri" w:hAnsi="Calibri" w:cs="Calibri"/>
          <w:lang w:eastAsia="en-NZ"/>
        </w:rPr>
        <w:t xml:space="preserve"> </w:t>
      </w:r>
      <w:r w:rsidRPr="007B3744">
        <w:rPr>
          <w:rFonts w:ascii="Calibri" w:hAnsi="Calibri" w:cs="Calibri"/>
          <w:lang w:eastAsia="en-NZ"/>
        </w:rPr>
        <w:t>Takatāpui</w:t>
      </w:r>
      <w:r w:rsidR="00EC4E79">
        <w:rPr>
          <w:rFonts w:ascii="Calibri" w:hAnsi="Calibri" w:cs="Calibri"/>
          <w:lang w:eastAsia="en-NZ"/>
        </w:rPr>
        <w:t xml:space="preserve"> </w:t>
      </w:r>
      <w:r w:rsidRPr="007B3744">
        <w:rPr>
          <w:rFonts w:ascii="Calibri" w:hAnsi="Calibri" w:cs="Calibri"/>
          <w:lang w:eastAsia="en-NZ"/>
        </w:rPr>
        <w:t>identities,</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traditional</w:t>
      </w:r>
      <w:r w:rsidR="003D640C">
        <w:rPr>
          <w:rFonts w:ascii="Calibri" w:hAnsi="Calibri" w:cs="Calibri"/>
          <w:lang w:eastAsia="en-NZ"/>
        </w:rPr>
        <w:t xml:space="preserve"> </w:t>
      </w:r>
      <w:r w:rsidRPr="007B3744">
        <w:rPr>
          <w:rFonts w:ascii="Calibri" w:hAnsi="Calibri" w:cs="Calibri"/>
          <w:lang w:eastAsia="en-NZ"/>
        </w:rPr>
        <w:t>values</w:t>
      </w:r>
      <w:r w:rsidR="003D640C">
        <w:rPr>
          <w:rFonts w:ascii="Calibri" w:hAnsi="Calibri" w:cs="Calibri"/>
          <w:lang w:eastAsia="en-NZ"/>
        </w:rPr>
        <w:t xml:space="preserve"> </w:t>
      </w:r>
      <w:r w:rsidRPr="007B3744">
        <w:rPr>
          <w:rFonts w:ascii="Calibri" w:hAnsi="Calibri" w:cs="Calibri"/>
          <w:lang w:eastAsia="en-NZ"/>
        </w:rPr>
        <w:t>around</w:t>
      </w:r>
      <w:r w:rsidR="003D640C">
        <w:rPr>
          <w:rFonts w:ascii="Calibri" w:hAnsi="Calibri" w:cs="Calibri"/>
          <w:lang w:eastAsia="en-NZ"/>
        </w:rPr>
        <w:t xml:space="preserve"> </w:t>
      </w:r>
      <w:r w:rsidRPr="007B3744">
        <w:rPr>
          <w:rFonts w:ascii="Calibri" w:hAnsi="Calibri" w:cs="Calibri"/>
          <w:lang w:eastAsia="en-NZ"/>
        </w:rPr>
        <w:t>sexual</w:t>
      </w:r>
      <w:r w:rsidR="003D640C">
        <w:rPr>
          <w:rFonts w:ascii="Calibri" w:hAnsi="Calibri" w:cs="Calibri"/>
          <w:lang w:eastAsia="en-NZ"/>
        </w:rPr>
        <w:t xml:space="preserve"> </w:t>
      </w:r>
      <w:r w:rsidRPr="007B3744">
        <w:rPr>
          <w:rFonts w:ascii="Calibri" w:hAnsi="Calibri" w:cs="Calibri"/>
          <w:lang w:eastAsia="en-NZ"/>
        </w:rPr>
        <w:t>orientation</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gender</w:t>
      </w:r>
      <w:r w:rsidR="00473EF8">
        <w:rPr>
          <w:rFonts w:ascii="Calibri" w:hAnsi="Calibri" w:cs="Calibri"/>
          <w:lang w:eastAsia="en-NZ"/>
        </w:rPr>
        <w:t>,</w:t>
      </w:r>
      <w:r w:rsidR="003D640C">
        <w:rPr>
          <w:rFonts w:ascii="Calibri" w:hAnsi="Calibri" w:cs="Calibri"/>
          <w:lang w:eastAsia="en-NZ"/>
        </w:rPr>
        <w:t xml:space="preserve"> </w:t>
      </w:r>
      <w:r w:rsidRPr="007B3744">
        <w:rPr>
          <w:rFonts w:ascii="Calibri" w:hAnsi="Calibri" w:cs="Calibri"/>
          <w:lang w:eastAsia="en-NZ"/>
        </w:rPr>
        <w:t>are</w:t>
      </w:r>
      <w:r w:rsidR="003D640C">
        <w:rPr>
          <w:rFonts w:ascii="Calibri" w:hAnsi="Calibri" w:cs="Calibri"/>
          <w:lang w:eastAsia="en-NZ"/>
        </w:rPr>
        <w:t xml:space="preserve"> </w:t>
      </w:r>
      <w:r w:rsidRPr="007B3744">
        <w:rPr>
          <w:rFonts w:ascii="Calibri" w:hAnsi="Calibri" w:cs="Calibri"/>
          <w:lang w:eastAsia="en-NZ"/>
        </w:rPr>
        <w:t>taong</w:t>
      </w:r>
      <w:r w:rsidR="00ED4E01" w:rsidRPr="007B3744">
        <w:rPr>
          <w:rFonts w:ascii="Calibri" w:hAnsi="Calibri" w:cs="Calibri"/>
          <w:lang w:eastAsia="en-NZ"/>
        </w:rPr>
        <w:t>a</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be</w:t>
      </w:r>
      <w:r w:rsidR="003D640C">
        <w:rPr>
          <w:rFonts w:ascii="Calibri" w:hAnsi="Calibri" w:cs="Calibri"/>
          <w:lang w:eastAsia="en-NZ"/>
        </w:rPr>
        <w:t xml:space="preserve"> </w:t>
      </w:r>
      <w:r w:rsidRPr="007B3744">
        <w:rPr>
          <w:rFonts w:ascii="Calibri" w:hAnsi="Calibri" w:cs="Calibri"/>
          <w:lang w:eastAsia="en-NZ"/>
        </w:rPr>
        <w:t>cared</w:t>
      </w:r>
      <w:r w:rsidR="003D640C">
        <w:rPr>
          <w:rFonts w:ascii="Calibri" w:hAnsi="Calibri" w:cs="Calibri"/>
          <w:lang w:eastAsia="en-NZ"/>
        </w:rPr>
        <w:t xml:space="preserve"> </w:t>
      </w:r>
      <w:r w:rsidRPr="007B3744">
        <w:rPr>
          <w:rFonts w:ascii="Calibri" w:hAnsi="Calibri" w:cs="Calibri"/>
          <w:lang w:eastAsia="en-NZ"/>
        </w:rPr>
        <w:t>for</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protected</w:t>
      </w:r>
      <w:r w:rsidR="003D640C">
        <w:rPr>
          <w:rFonts w:ascii="Calibri" w:hAnsi="Calibri" w:cs="Calibri"/>
          <w:lang w:eastAsia="en-NZ"/>
        </w:rPr>
        <w:t xml:space="preserve"> </w:t>
      </w:r>
      <w:r w:rsidRPr="007B3744">
        <w:rPr>
          <w:rFonts w:ascii="Calibri" w:hAnsi="Calibri" w:cs="Calibri"/>
          <w:lang w:eastAsia="en-NZ"/>
        </w:rPr>
        <w:t>from</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harms</w:t>
      </w:r>
      <w:r w:rsidR="003D640C">
        <w:rPr>
          <w:rFonts w:ascii="Calibri" w:hAnsi="Calibri" w:cs="Calibri"/>
          <w:lang w:eastAsia="en-NZ"/>
        </w:rPr>
        <w:t xml:space="preserve"> </w:t>
      </w:r>
      <w:r w:rsidRPr="007B3744">
        <w:rPr>
          <w:rFonts w:ascii="Calibri" w:hAnsi="Calibri" w:cs="Calibri"/>
          <w:lang w:eastAsia="en-NZ"/>
        </w:rPr>
        <w:t>of</w:t>
      </w:r>
      <w:r w:rsidR="003D640C">
        <w:rPr>
          <w:rFonts w:ascii="Calibri" w:hAnsi="Calibri" w:cs="Calibri"/>
          <w:lang w:eastAsia="en-NZ"/>
        </w:rPr>
        <w:t xml:space="preserve"> </w:t>
      </w:r>
      <w:r w:rsidRPr="007B3744">
        <w:rPr>
          <w:rFonts w:ascii="Calibri" w:hAnsi="Calibri" w:cs="Calibri"/>
          <w:lang w:eastAsia="en-NZ"/>
        </w:rPr>
        <w:t>conversion</w:t>
      </w:r>
      <w:r w:rsidR="003D640C">
        <w:rPr>
          <w:rFonts w:ascii="Calibri" w:hAnsi="Calibri" w:cs="Calibri"/>
          <w:lang w:eastAsia="en-NZ"/>
        </w:rPr>
        <w:t xml:space="preserve"> </w:t>
      </w:r>
      <w:r w:rsidRPr="007B3744">
        <w:rPr>
          <w:rFonts w:ascii="Calibri" w:hAnsi="Calibri" w:cs="Calibri"/>
          <w:lang w:eastAsia="en-NZ"/>
        </w:rPr>
        <w:t>practices.</w:t>
      </w:r>
      <w:r w:rsidR="003D640C">
        <w:rPr>
          <w:rFonts w:ascii="Calibri" w:hAnsi="Calibri" w:cs="Calibri"/>
          <w:lang w:eastAsia="en-NZ"/>
        </w:rPr>
        <w:t xml:space="preserve"> </w:t>
      </w:r>
    </w:p>
    <w:p w14:paraId="7A1F99B0" w14:textId="1C69EDAB" w:rsidR="00501068" w:rsidRDefault="00AD4CEB" w:rsidP="0002020B">
      <w:pPr>
        <w:rPr>
          <w:rFonts w:ascii="Calibri" w:hAnsi="Calibri" w:cs="Calibri"/>
          <w:lang w:eastAsia="en-NZ"/>
        </w:rPr>
      </w:pPr>
      <w:r w:rsidRPr="007B3744">
        <w:rPr>
          <w:lang w:eastAsia="en-GB"/>
        </w:rPr>
        <w:t>Article</w:t>
      </w:r>
      <w:r w:rsidR="003D640C">
        <w:rPr>
          <w:lang w:eastAsia="en-GB"/>
        </w:rPr>
        <w:t xml:space="preserve"> </w:t>
      </w:r>
      <w:r w:rsidR="000F56F7" w:rsidRPr="007B3744">
        <w:rPr>
          <w:lang w:eastAsia="en-GB"/>
        </w:rPr>
        <w:t>Three</w:t>
      </w:r>
      <w:r w:rsidR="003D640C">
        <w:rPr>
          <w:lang w:eastAsia="en-GB"/>
        </w:rPr>
        <w:t xml:space="preserve"> </w:t>
      </w:r>
      <w:r w:rsidR="009B39CD" w:rsidRPr="007B3744">
        <w:rPr>
          <w:lang w:eastAsia="en-GB"/>
        </w:rPr>
        <w:t>of</w:t>
      </w:r>
      <w:r w:rsidR="003D640C">
        <w:rPr>
          <w:lang w:eastAsia="en-GB"/>
        </w:rPr>
        <w:t xml:space="preserve"> </w:t>
      </w:r>
      <w:r w:rsidR="00081DD1">
        <w:rPr>
          <w:lang w:eastAsia="en-GB"/>
        </w:rPr>
        <w:t>t</w:t>
      </w:r>
      <w:r w:rsidR="009B39CD" w:rsidRPr="007B3744">
        <w:rPr>
          <w:lang w:eastAsia="en-GB"/>
        </w:rPr>
        <w:t>e</w:t>
      </w:r>
      <w:r w:rsidR="003D640C">
        <w:rPr>
          <w:lang w:eastAsia="en-GB"/>
        </w:rPr>
        <w:t xml:space="preserve"> </w:t>
      </w:r>
      <w:r w:rsidR="009B39CD" w:rsidRPr="007B3744">
        <w:rPr>
          <w:lang w:eastAsia="en-GB"/>
        </w:rPr>
        <w:t>Tiriti</w:t>
      </w:r>
      <w:r w:rsidR="003D640C">
        <w:rPr>
          <w:lang w:eastAsia="en-GB"/>
        </w:rPr>
        <w:t xml:space="preserve"> </w:t>
      </w:r>
      <w:r w:rsidRPr="007B3744">
        <w:rPr>
          <w:lang w:eastAsia="en-GB"/>
        </w:rPr>
        <w:t>promises</w:t>
      </w:r>
      <w:r w:rsidR="003D640C">
        <w:rPr>
          <w:lang w:eastAsia="en-GB"/>
        </w:rPr>
        <w:t xml:space="preserve"> </w:t>
      </w:r>
      <w:r w:rsidRPr="007B3744">
        <w:rPr>
          <w:lang w:eastAsia="en-GB"/>
        </w:rPr>
        <w:t>Māori</w:t>
      </w:r>
      <w:r w:rsidR="003D640C">
        <w:rPr>
          <w:lang w:eastAsia="en-GB"/>
        </w:rPr>
        <w:t xml:space="preserve"> </w:t>
      </w:r>
      <w:r w:rsidRPr="007B3744">
        <w:rPr>
          <w:lang w:eastAsia="en-GB"/>
        </w:rPr>
        <w:t>equal</w:t>
      </w:r>
      <w:r w:rsidR="003D640C">
        <w:rPr>
          <w:lang w:eastAsia="en-GB"/>
        </w:rPr>
        <w:t xml:space="preserve"> </w:t>
      </w:r>
      <w:r w:rsidRPr="007B3744">
        <w:rPr>
          <w:lang w:eastAsia="en-GB"/>
        </w:rPr>
        <w:t>enjoyment</w:t>
      </w:r>
      <w:r w:rsidR="003D640C">
        <w:rPr>
          <w:lang w:eastAsia="en-GB"/>
        </w:rPr>
        <w:t xml:space="preserve"> </w:t>
      </w:r>
      <w:r w:rsidRPr="007B3744">
        <w:rPr>
          <w:lang w:eastAsia="en-GB"/>
        </w:rPr>
        <w:t>of</w:t>
      </w:r>
      <w:r w:rsidR="003D640C">
        <w:rPr>
          <w:lang w:eastAsia="en-GB"/>
        </w:rPr>
        <w:t xml:space="preserve"> </w:t>
      </w:r>
      <w:r w:rsidRPr="007B3744">
        <w:rPr>
          <w:lang w:eastAsia="en-GB"/>
        </w:rPr>
        <w:t>citizenship</w:t>
      </w:r>
      <w:r w:rsidR="003D640C">
        <w:rPr>
          <w:lang w:eastAsia="en-GB"/>
        </w:rPr>
        <w:t xml:space="preserve"> </w:t>
      </w:r>
      <w:r w:rsidRPr="007B3744">
        <w:rPr>
          <w:lang w:eastAsia="en-GB"/>
        </w:rPr>
        <w:t>rights,</w:t>
      </w:r>
      <w:r w:rsidR="003D640C">
        <w:rPr>
          <w:lang w:eastAsia="en-GB"/>
        </w:rPr>
        <w:t xml:space="preserve"> </w:t>
      </w:r>
      <w:r w:rsidRPr="007B3744">
        <w:rPr>
          <w:lang w:eastAsia="en-GB"/>
        </w:rPr>
        <w:t>placing</w:t>
      </w:r>
      <w:r w:rsidR="003D640C">
        <w:rPr>
          <w:lang w:eastAsia="en-GB"/>
        </w:rPr>
        <w:t xml:space="preserve"> </w:t>
      </w:r>
      <w:r w:rsidRPr="007B3744">
        <w:rPr>
          <w:lang w:eastAsia="en-GB"/>
        </w:rPr>
        <w:t>obligations</w:t>
      </w:r>
      <w:r w:rsidR="003D640C">
        <w:rPr>
          <w:lang w:eastAsia="en-GB"/>
        </w:rPr>
        <w:t xml:space="preserve"> </w:t>
      </w:r>
      <w:r w:rsidRPr="007B3744">
        <w:rPr>
          <w:lang w:eastAsia="en-GB"/>
        </w:rPr>
        <w:t>on</w:t>
      </w:r>
      <w:r w:rsidR="003D640C">
        <w:rPr>
          <w:lang w:eastAsia="en-GB"/>
        </w:rPr>
        <w:t xml:space="preserve"> </w:t>
      </w:r>
      <w:r w:rsidRPr="007B3744">
        <w:rPr>
          <w:lang w:eastAsia="en-GB"/>
        </w:rPr>
        <w:t>the</w:t>
      </w:r>
      <w:r w:rsidR="003D640C">
        <w:rPr>
          <w:lang w:eastAsia="en-GB"/>
        </w:rPr>
        <w:t xml:space="preserve"> </w:t>
      </w:r>
      <w:r w:rsidRPr="007B3744">
        <w:rPr>
          <w:lang w:eastAsia="en-GB"/>
        </w:rPr>
        <w:t>Crown</w:t>
      </w:r>
      <w:r w:rsidR="003D640C">
        <w:rPr>
          <w:lang w:eastAsia="en-GB"/>
        </w:rPr>
        <w:t xml:space="preserve"> </w:t>
      </w:r>
      <w:r w:rsidRPr="007B3744">
        <w:rPr>
          <w:lang w:eastAsia="en-GB"/>
        </w:rPr>
        <w:t>to</w:t>
      </w:r>
      <w:r w:rsidR="003D640C">
        <w:rPr>
          <w:lang w:eastAsia="en-GB"/>
        </w:rPr>
        <w:t xml:space="preserve"> </w:t>
      </w:r>
      <w:r w:rsidRPr="007B3744">
        <w:rPr>
          <w:lang w:eastAsia="en-GB"/>
        </w:rPr>
        <w:t>ensure</w:t>
      </w:r>
      <w:r w:rsidR="003D640C">
        <w:rPr>
          <w:lang w:eastAsia="en-GB"/>
        </w:rPr>
        <w:t xml:space="preserve"> </w:t>
      </w:r>
      <w:r w:rsidRPr="007B3744">
        <w:rPr>
          <w:lang w:eastAsia="en-GB"/>
        </w:rPr>
        <w:t>equity</w:t>
      </w:r>
      <w:r w:rsidR="003D640C">
        <w:rPr>
          <w:lang w:eastAsia="en-GB"/>
        </w:rPr>
        <w:t xml:space="preserve"> </w:t>
      </w:r>
      <w:r w:rsidRPr="007B3744">
        <w:rPr>
          <w:lang w:eastAsia="en-GB"/>
        </w:rPr>
        <w:t>for</w:t>
      </w:r>
      <w:r w:rsidR="003D640C">
        <w:rPr>
          <w:lang w:eastAsia="en-GB"/>
        </w:rPr>
        <w:t xml:space="preserve"> </w:t>
      </w:r>
      <w:r w:rsidRPr="007B3744">
        <w:rPr>
          <w:lang w:eastAsia="en-GB"/>
        </w:rPr>
        <w:t>Māori</w:t>
      </w:r>
      <w:r w:rsidR="003D640C">
        <w:rPr>
          <w:lang w:eastAsia="en-GB"/>
        </w:rPr>
        <w:t xml:space="preserve"> </w:t>
      </w:r>
      <w:r w:rsidRPr="007B3744">
        <w:rPr>
          <w:lang w:eastAsia="en-GB"/>
        </w:rPr>
        <w:t>alongside</w:t>
      </w:r>
      <w:r w:rsidR="003D640C">
        <w:rPr>
          <w:lang w:eastAsia="en-GB"/>
        </w:rPr>
        <w:t xml:space="preserve"> </w:t>
      </w:r>
      <w:r w:rsidRPr="007B3744">
        <w:rPr>
          <w:lang w:eastAsia="en-GB"/>
        </w:rPr>
        <w:t>other</w:t>
      </w:r>
      <w:r w:rsidR="003D640C">
        <w:rPr>
          <w:lang w:eastAsia="en-GB"/>
        </w:rPr>
        <w:t xml:space="preserve"> </w:t>
      </w:r>
      <w:r w:rsidRPr="007B3744">
        <w:rPr>
          <w:lang w:eastAsia="en-GB"/>
        </w:rPr>
        <w:t>New</w:t>
      </w:r>
      <w:r w:rsidR="003D640C">
        <w:rPr>
          <w:lang w:eastAsia="en-GB"/>
        </w:rPr>
        <w:t xml:space="preserve"> </w:t>
      </w:r>
      <w:r w:rsidRPr="007B3744">
        <w:rPr>
          <w:lang w:eastAsia="en-GB"/>
        </w:rPr>
        <w:t>Zealanders,</w:t>
      </w:r>
      <w:r w:rsidR="003D640C">
        <w:rPr>
          <w:lang w:eastAsia="en-GB"/>
        </w:rPr>
        <w:t xml:space="preserve"> </w:t>
      </w:r>
      <w:r w:rsidRPr="007B3744">
        <w:rPr>
          <w:lang w:eastAsia="en-GB"/>
        </w:rPr>
        <w:t>including</w:t>
      </w:r>
      <w:r w:rsidR="003D640C">
        <w:rPr>
          <w:lang w:eastAsia="en-GB"/>
        </w:rPr>
        <w:t xml:space="preserve"> </w:t>
      </w:r>
      <w:r w:rsidRPr="007B3744">
        <w:rPr>
          <w:lang w:eastAsia="en-GB"/>
        </w:rPr>
        <w:t>equity</w:t>
      </w:r>
      <w:r w:rsidR="003D640C">
        <w:rPr>
          <w:lang w:eastAsia="en-GB"/>
        </w:rPr>
        <w:t xml:space="preserve"> </w:t>
      </w:r>
      <w:r w:rsidRPr="007B3744">
        <w:rPr>
          <w:lang w:eastAsia="en-GB"/>
        </w:rPr>
        <w:t>of</w:t>
      </w:r>
      <w:r w:rsidR="003D640C">
        <w:rPr>
          <w:lang w:eastAsia="en-GB"/>
        </w:rPr>
        <w:t xml:space="preserve"> </w:t>
      </w:r>
      <w:r w:rsidRPr="007B3744">
        <w:rPr>
          <w:lang w:eastAsia="en-GB"/>
        </w:rPr>
        <w:t>access.</w:t>
      </w:r>
      <w:r w:rsidR="003D640C">
        <w:rPr>
          <w:lang w:eastAsia="en-GB"/>
        </w:rPr>
        <w:t xml:space="preserve"> </w:t>
      </w:r>
      <w:r w:rsidR="000F56F7" w:rsidRPr="007B3744">
        <w:rPr>
          <w:lang w:eastAsia="en-GB"/>
        </w:rPr>
        <w:t>This</w:t>
      </w:r>
      <w:r w:rsidR="003D640C">
        <w:rPr>
          <w:lang w:eastAsia="en-GB"/>
        </w:rPr>
        <w:t xml:space="preserve"> </w:t>
      </w:r>
      <w:r w:rsidR="000F56F7" w:rsidRPr="007B3744">
        <w:rPr>
          <w:lang w:eastAsia="en-GB"/>
        </w:rPr>
        <w:t>article</w:t>
      </w:r>
      <w:r w:rsidR="003D640C">
        <w:rPr>
          <w:lang w:eastAsia="en-GB"/>
        </w:rPr>
        <w:t xml:space="preserve"> </w:t>
      </w:r>
      <w:r w:rsidR="00A070CE" w:rsidRPr="007B3744">
        <w:rPr>
          <w:lang w:eastAsia="en-GB"/>
        </w:rPr>
        <w:t>protects</w:t>
      </w:r>
      <w:r w:rsidR="003D640C">
        <w:rPr>
          <w:lang w:eastAsia="en-GB"/>
        </w:rPr>
        <w:t xml:space="preserve"> </w:t>
      </w:r>
      <w:r w:rsidR="000F56F7" w:rsidRPr="007B3744">
        <w:rPr>
          <w:lang w:eastAsia="en-GB"/>
        </w:rPr>
        <w:t>the</w:t>
      </w:r>
      <w:r w:rsidR="003D640C">
        <w:rPr>
          <w:lang w:eastAsia="en-GB"/>
        </w:rPr>
        <w:t xml:space="preserve"> </w:t>
      </w:r>
      <w:r w:rsidR="000F56F7" w:rsidRPr="007B3744">
        <w:rPr>
          <w:lang w:eastAsia="en-GB"/>
        </w:rPr>
        <w:t>right</w:t>
      </w:r>
      <w:r w:rsidR="003D640C">
        <w:rPr>
          <w:lang w:eastAsia="en-GB"/>
        </w:rPr>
        <w:t xml:space="preserve"> </w:t>
      </w:r>
      <w:r w:rsidR="000F56F7" w:rsidRPr="007B3744">
        <w:rPr>
          <w:lang w:eastAsia="en-GB"/>
        </w:rPr>
        <w:t>to</w:t>
      </w:r>
      <w:r w:rsidR="003D640C">
        <w:rPr>
          <w:lang w:eastAsia="en-GB"/>
        </w:rPr>
        <w:t xml:space="preserve"> </w:t>
      </w:r>
      <w:r w:rsidR="000F56F7" w:rsidRPr="007B3744">
        <w:rPr>
          <w:lang w:eastAsia="en-GB"/>
        </w:rPr>
        <w:t>be</w:t>
      </w:r>
      <w:r w:rsidR="003D640C">
        <w:rPr>
          <w:lang w:eastAsia="en-GB"/>
        </w:rPr>
        <w:t xml:space="preserve"> </w:t>
      </w:r>
      <w:r w:rsidR="000F56F7" w:rsidRPr="007B3744">
        <w:rPr>
          <w:lang w:eastAsia="en-GB"/>
        </w:rPr>
        <w:t>free</w:t>
      </w:r>
      <w:r w:rsidR="003D640C">
        <w:rPr>
          <w:lang w:eastAsia="en-GB"/>
        </w:rPr>
        <w:t xml:space="preserve"> </w:t>
      </w:r>
      <w:r w:rsidR="000F56F7" w:rsidRPr="007B3744">
        <w:rPr>
          <w:lang w:eastAsia="en-GB"/>
        </w:rPr>
        <w:t>from</w:t>
      </w:r>
      <w:r w:rsidR="003D640C">
        <w:rPr>
          <w:lang w:eastAsia="en-GB"/>
        </w:rPr>
        <w:t xml:space="preserve"> </w:t>
      </w:r>
      <w:r w:rsidR="000F56F7" w:rsidRPr="007B3744">
        <w:rPr>
          <w:lang w:eastAsia="en-GB"/>
        </w:rPr>
        <w:t>discrim</w:t>
      </w:r>
      <w:r w:rsidR="00162C94" w:rsidRPr="007B3744">
        <w:rPr>
          <w:lang w:eastAsia="en-GB"/>
        </w:rPr>
        <w:t>in</w:t>
      </w:r>
      <w:r w:rsidR="000F56F7" w:rsidRPr="007B3744">
        <w:rPr>
          <w:lang w:eastAsia="en-GB"/>
        </w:rPr>
        <w:t>ation,</w:t>
      </w:r>
      <w:r w:rsidR="003D640C">
        <w:rPr>
          <w:lang w:eastAsia="en-GB"/>
        </w:rPr>
        <w:t xml:space="preserve"> </w:t>
      </w:r>
      <w:r w:rsidR="000F56F7" w:rsidRPr="007B3744">
        <w:rPr>
          <w:lang w:eastAsia="en-GB"/>
        </w:rPr>
        <w:t>including</w:t>
      </w:r>
      <w:r w:rsidR="003D640C">
        <w:rPr>
          <w:lang w:eastAsia="en-GB"/>
        </w:rPr>
        <w:t xml:space="preserve"> </w:t>
      </w:r>
      <w:r w:rsidR="000F56F7" w:rsidRPr="007B3744">
        <w:rPr>
          <w:lang w:eastAsia="en-GB"/>
        </w:rPr>
        <w:t>discrimination</w:t>
      </w:r>
      <w:r w:rsidR="003D640C">
        <w:rPr>
          <w:lang w:eastAsia="en-GB"/>
        </w:rPr>
        <w:t xml:space="preserve"> </w:t>
      </w:r>
      <w:r w:rsidR="000F56F7" w:rsidRPr="007B3744">
        <w:rPr>
          <w:lang w:eastAsia="en-GB"/>
        </w:rPr>
        <w:t>on</w:t>
      </w:r>
      <w:r w:rsidR="003D640C">
        <w:rPr>
          <w:lang w:eastAsia="en-GB"/>
        </w:rPr>
        <w:t xml:space="preserve"> </w:t>
      </w:r>
      <w:r w:rsidR="000F56F7" w:rsidRPr="007B3744">
        <w:rPr>
          <w:lang w:eastAsia="en-GB"/>
        </w:rPr>
        <w:t>the</w:t>
      </w:r>
      <w:r w:rsidR="003D640C">
        <w:rPr>
          <w:lang w:eastAsia="en-GB"/>
        </w:rPr>
        <w:t xml:space="preserve"> </w:t>
      </w:r>
      <w:r w:rsidR="000F56F7" w:rsidRPr="007B3744">
        <w:rPr>
          <w:lang w:eastAsia="en-GB"/>
        </w:rPr>
        <w:t>basis</w:t>
      </w:r>
      <w:r w:rsidR="003D640C">
        <w:rPr>
          <w:lang w:eastAsia="en-GB"/>
        </w:rPr>
        <w:t xml:space="preserve"> </w:t>
      </w:r>
      <w:r w:rsidR="000F56F7" w:rsidRPr="007B3744">
        <w:rPr>
          <w:lang w:eastAsia="en-GB"/>
        </w:rPr>
        <w:t>of</w:t>
      </w:r>
      <w:r w:rsidR="003D640C">
        <w:rPr>
          <w:lang w:eastAsia="en-GB"/>
        </w:rPr>
        <w:t xml:space="preserve"> </w:t>
      </w:r>
      <w:r w:rsidR="000F56F7" w:rsidRPr="007B3744">
        <w:rPr>
          <w:lang w:eastAsia="en-GB"/>
        </w:rPr>
        <w:t>sexual</w:t>
      </w:r>
      <w:r w:rsidR="003D640C">
        <w:rPr>
          <w:lang w:eastAsia="en-GB"/>
        </w:rPr>
        <w:t xml:space="preserve"> </w:t>
      </w:r>
      <w:r w:rsidR="000F56F7" w:rsidRPr="007B3744">
        <w:rPr>
          <w:lang w:eastAsia="en-GB"/>
        </w:rPr>
        <w:t>orientation</w:t>
      </w:r>
      <w:r w:rsidR="003D640C">
        <w:rPr>
          <w:lang w:eastAsia="en-GB"/>
        </w:rPr>
        <w:t xml:space="preserve"> </w:t>
      </w:r>
      <w:r w:rsidR="000F56F7" w:rsidRPr="007B3744">
        <w:rPr>
          <w:lang w:eastAsia="en-GB"/>
        </w:rPr>
        <w:t>and</w:t>
      </w:r>
      <w:r w:rsidR="003D640C">
        <w:rPr>
          <w:lang w:eastAsia="en-GB"/>
        </w:rPr>
        <w:t xml:space="preserve"> </w:t>
      </w:r>
      <w:r w:rsidR="000F56F7" w:rsidRPr="007B3744">
        <w:rPr>
          <w:lang w:eastAsia="en-GB"/>
        </w:rPr>
        <w:t>gender</w:t>
      </w:r>
      <w:r w:rsidR="003D640C">
        <w:rPr>
          <w:lang w:eastAsia="en-GB"/>
        </w:rPr>
        <w:t xml:space="preserve"> </w:t>
      </w:r>
      <w:r w:rsidR="000F56F7" w:rsidRPr="007B3744">
        <w:rPr>
          <w:lang w:eastAsia="en-GB"/>
        </w:rPr>
        <w:t>identity.</w:t>
      </w:r>
    </w:p>
    <w:p w14:paraId="7C60701A" w14:textId="01B93666" w:rsidR="000F56F7" w:rsidRPr="007B3744" w:rsidRDefault="009B39CD" w:rsidP="0002020B">
      <w:pPr>
        <w:rPr>
          <w:rFonts w:ascii="Calibri" w:hAnsi="Calibri" w:cs="Calibri"/>
          <w:lang w:eastAsia="en-NZ"/>
        </w:rPr>
      </w:pPr>
      <w:r w:rsidRPr="007B3744">
        <w:rPr>
          <w:rFonts w:ascii="Calibri" w:hAnsi="Calibri" w:cs="Calibri"/>
          <w:lang w:eastAsia="en-NZ"/>
        </w:rPr>
        <w:t>The</w:t>
      </w:r>
      <w:r w:rsidR="003D640C">
        <w:rPr>
          <w:rFonts w:ascii="Calibri" w:hAnsi="Calibri" w:cs="Calibri"/>
          <w:lang w:eastAsia="en-NZ"/>
        </w:rPr>
        <w:t xml:space="preserve"> </w:t>
      </w:r>
      <w:r w:rsidR="001C3549" w:rsidRPr="007B3744">
        <w:rPr>
          <w:rFonts w:ascii="Calibri" w:hAnsi="Calibri" w:cs="Calibri"/>
          <w:lang w:eastAsia="en-NZ"/>
        </w:rPr>
        <w:t>oral</w:t>
      </w:r>
      <w:r w:rsidR="003D640C">
        <w:rPr>
          <w:rFonts w:ascii="Calibri" w:hAnsi="Calibri" w:cs="Calibri"/>
          <w:lang w:eastAsia="en-NZ"/>
        </w:rPr>
        <w:t xml:space="preserve"> </w:t>
      </w:r>
      <w:r w:rsidRPr="007B3744">
        <w:rPr>
          <w:rFonts w:ascii="Calibri" w:hAnsi="Calibri" w:cs="Calibri"/>
          <w:lang w:eastAsia="en-NZ"/>
        </w:rPr>
        <w:t>fourth</w:t>
      </w:r>
      <w:r w:rsidR="003D640C">
        <w:rPr>
          <w:rFonts w:ascii="Calibri" w:hAnsi="Calibri" w:cs="Calibri"/>
          <w:lang w:eastAsia="en-NZ"/>
        </w:rPr>
        <w:t xml:space="preserve"> </w:t>
      </w:r>
      <w:r w:rsidRPr="007B3744">
        <w:rPr>
          <w:rFonts w:ascii="Calibri" w:hAnsi="Calibri" w:cs="Calibri"/>
          <w:lang w:eastAsia="en-NZ"/>
        </w:rPr>
        <w:t>a</w:t>
      </w:r>
      <w:r w:rsidR="001C3549" w:rsidRPr="007B3744">
        <w:rPr>
          <w:rFonts w:ascii="Calibri" w:hAnsi="Calibri" w:cs="Calibri"/>
          <w:lang w:eastAsia="en-NZ"/>
        </w:rPr>
        <w:t>rticle</w:t>
      </w:r>
      <w:r w:rsidR="003D640C">
        <w:rPr>
          <w:rFonts w:ascii="Calibri" w:hAnsi="Calibri" w:cs="Calibri"/>
          <w:lang w:eastAsia="en-NZ"/>
        </w:rPr>
        <w:t xml:space="preserve"> </w:t>
      </w:r>
      <w:r w:rsidR="001C3549" w:rsidRPr="007B3744">
        <w:rPr>
          <w:rFonts w:ascii="Calibri" w:hAnsi="Calibri" w:cs="Calibri"/>
          <w:lang w:eastAsia="en-NZ"/>
        </w:rPr>
        <w:t>of</w:t>
      </w:r>
      <w:r w:rsidR="003D640C">
        <w:rPr>
          <w:rFonts w:ascii="Calibri" w:hAnsi="Calibri" w:cs="Calibri"/>
          <w:lang w:eastAsia="en-NZ"/>
        </w:rPr>
        <w:t xml:space="preserve"> </w:t>
      </w:r>
      <w:r w:rsidR="00E953D7" w:rsidRPr="007B3744">
        <w:rPr>
          <w:rFonts w:ascii="Calibri" w:hAnsi="Calibri" w:cs="Calibri"/>
          <w:lang w:eastAsia="en-NZ"/>
        </w:rPr>
        <w:t>t</w:t>
      </w:r>
      <w:r w:rsidR="001C3549" w:rsidRPr="007B3744">
        <w:rPr>
          <w:rFonts w:ascii="Calibri" w:hAnsi="Calibri" w:cs="Calibri"/>
          <w:lang w:eastAsia="en-NZ"/>
        </w:rPr>
        <w:t>e</w:t>
      </w:r>
      <w:r w:rsidR="003D640C">
        <w:rPr>
          <w:rFonts w:ascii="Calibri" w:hAnsi="Calibri" w:cs="Calibri"/>
          <w:lang w:eastAsia="en-NZ"/>
        </w:rPr>
        <w:t xml:space="preserve"> </w:t>
      </w:r>
      <w:r w:rsidR="001C3549" w:rsidRPr="007B3744">
        <w:rPr>
          <w:rFonts w:ascii="Calibri" w:hAnsi="Calibri" w:cs="Calibri"/>
          <w:lang w:eastAsia="en-NZ"/>
        </w:rPr>
        <w:t>Tiriti</w:t>
      </w:r>
      <w:r w:rsidR="003D640C">
        <w:rPr>
          <w:rFonts w:ascii="Calibri" w:hAnsi="Calibri" w:cs="Calibri"/>
          <w:lang w:eastAsia="en-NZ"/>
        </w:rPr>
        <w:t xml:space="preserve"> </w:t>
      </w:r>
      <w:r w:rsidR="003D0F77" w:rsidRPr="007B3744">
        <w:rPr>
          <w:rFonts w:ascii="Calibri" w:hAnsi="Calibri" w:cs="Calibri"/>
          <w:lang w:eastAsia="en-NZ"/>
        </w:rPr>
        <w:t>guaranteed</w:t>
      </w:r>
      <w:r w:rsidR="003D640C">
        <w:rPr>
          <w:rFonts w:ascii="Calibri" w:hAnsi="Calibri" w:cs="Calibri"/>
          <w:lang w:eastAsia="en-NZ"/>
        </w:rPr>
        <w:t xml:space="preserve"> </w:t>
      </w:r>
      <w:r w:rsidR="003D0F77" w:rsidRPr="007B3744">
        <w:rPr>
          <w:rFonts w:ascii="Calibri" w:hAnsi="Calibri" w:cs="Calibri"/>
          <w:lang w:eastAsia="en-NZ"/>
        </w:rPr>
        <w:t>the</w:t>
      </w:r>
      <w:r w:rsidR="003D640C">
        <w:rPr>
          <w:rFonts w:ascii="Calibri" w:hAnsi="Calibri" w:cs="Calibri"/>
          <w:lang w:eastAsia="en-NZ"/>
        </w:rPr>
        <w:t xml:space="preserve"> </w:t>
      </w:r>
      <w:r w:rsidR="003D0F77" w:rsidRPr="007B3744">
        <w:rPr>
          <w:rFonts w:ascii="Calibri" w:hAnsi="Calibri" w:cs="Calibri"/>
          <w:lang w:eastAsia="en-NZ"/>
        </w:rPr>
        <w:t>protection</w:t>
      </w:r>
      <w:r w:rsidR="003D640C">
        <w:rPr>
          <w:rFonts w:ascii="Calibri" w:hAnsi="Calibri" w:cs="Calibri"/>
          <w:lang w:eastAsia="en-NZ"/>
        </w:rPr>
        <w:t xml:space="preserve"> </w:t>
      </w:r>
      <w:r w:rsidR="003D0F77" w:rsidRPr="007B3744">
        <w:rPr>
          <w:rFonts w:ascii="Calibri" w:hAnsi="Calibri" w:cs="Calibri"/>
          <w:lang w:eastAsia="en-NZ"/>
        </w:rPr>
        <w:t>of</w:t>
      </w:r>
      <w:r w:rsidR="003D640C">
        <w:rPr>
          <w:rFonts w:ascii="Calibri" w:hAnsi="Calibri" w:cs="Calibri"/>
          <w:lang w:eastAsia="en-NZ"/>
        </w:rPr>
        <w:t xml:space="preserve"> </w:t>
      </w:r>
      <w:r w:rsidR="003D0F77" w:rsidRPr="007B3744">
        <w:rPr>
          <w:rFonts w:ascii="Calibri" w:hAnsi="Calibri" w:cs="Calibri"/>
          <w:lang w:eastAsia="en-NZ"/>
        </w:rPr>
        <w:t>religious</w:t>
      </w:r>
      <w:r w:rsidR="003D640C">
        <w:rPr>
          <w:rFonts w:ascii="Calibri" w:hAnsi="Calibri" w:cs="Calibri"/>
          <w:lang w:eastAsia="en-NZ"/>
        </w:rPr>
        <w:t xml:space="preserve"> </w:t>
      </w:r>
      <w:r w:rsidR="003D0F77" w:rsidRPr="007B3744">
        <w:rPr>
          <w:rFonts w:ascii="Calibri" w:hAnsi="Calibri" w:cs="Calibri"/>
          <w:lang w:eastAsia="en-NZ"/>
        </w:rPr>
        <w:t>and</w:t>
      </w:r>
      <w:r w:rsidR="003D640C">
        <w:rPr>
          <w:rFonts w:ascii="Calibri" w:hAnsi="Calibri" w:cs="Calibri"/>
          <w:lang w:eastAsia="en-NZ"/>
        </w:rPr>
        <w:t xml:space="preserve"> </w:t>
      </w:r>
      <w:r w:rsidR="003D0F77" w:rsidRPr="007B3744">
        <w:rPr>
          <w:rFonts w:ascii="Calibri" w:hAnsi="Calibri" w:cs="Calibri"/>
          <w:lang w:eastAsia="en-NZ"/>
        </w:rPr>
        <w:t>spiritual</w:t>
      </w:r>
      <w:r w:rsidR="003D640C">
        <w:rPr>
          <w:rFonts w:ascii="Calibri" w:hAnsi="Calibri" w:cs="Calibri"/>
          <w:lang w:eastAsia="en-NZ"/>
        </w:rPr>
        <w:t xml:space="preserve"> </w:t>
      </w:r>
      <w:r w:rsidR="003D0F77" w:rsidRPr="007B3744">
        <w:rPr>
          <w:rFonts w:ascii="Calibri" w:hAnsi="Calibri" w:cs="Calibri"/>
          <w:lang w:eastAsia="en-NZ"/>
        </w:rPr>
        <w:t>traditions,</w:t>
      </w:r>
      <w:r w:rsidR="003D640C">
        <w:rPr>
          <w:rFonts w:ascii="Calibri" w:hAnsi="Calibri" w:cs="Calibri"/>
          <w:lang w:eastAsia="en-NZ"/>
        </w:rPr>
        <w:t xml:space="preserve"> </w:t>
      </w:r>
      <w:r w:rsidR="003D0F77" w:rsidRPr="007B3744">
        <w:rPr>
          <w:rFonts w:ascii="Calibri" w:hAnsi="Calibri" w:cs="Calibri"/>
          <w:lang w:eastAsia="en-NZ"/>
        </w:rPr>
        <w:t>including</w:t>
      </w:r>
      <w:r w:rsidR="003D640C">
        <w:rPr>
          <w:rFonts w:ascii="Calibri" w:hAnsi="Calibri" w:cs="Calibri"/>
          <w:lang w:eastAsia="en-NZ"/>
        </w:rPr>
        <w:t xml:space="preserve"> </w:t>
      </w:r>
      <w:r w:rsidR="003D0F77" w:rsidRPr="007B3744">
        <w:rPr>
          <w:rFonts w:ascii="Calibri" w:hAnsi="Calibri" w:cs="Calibri"/>
          <w:lang w:eastAsia="en-NZ"/>
        </w:rPr>
        <w:t>“Māori</w:t>
      </w:r>
      <w:r w:rsidR="003D640C">
        <w:rPr>
          <w:rFonts w:ascii="Calibri" w:hAnsi="Calibri" w:cs="Calibri"/>
          <w:lang w:eastAsia="en-NZ"/>
        </w:rPr>
        <w:t xml:space="preserve"> </w:t>
      </w:r>
      <w:r w:rsidR="003D0F77" w:rsidRPr="007B3744">
        <w:rPr>
          <w:rFonts w:ascii="Calibri" w:hAnsi="Calibri" w:cs="Calibri"/>
          <w:lang w:eastAsia="en-NZ"/>
        </w:rPr>
        <w:t>custom</w:t>
      </w:r>
      <w:r w:rsidR="001D3AD5">
        <w:rPr>
          <w:rFonts w:ascii="Calibri" w:hAnsi="Calibri" w:cs="Calibri"/>
          <w:lang w:eastAsia="en-NZ"/>
        </w:rPr>
        <w:t>.</w:t>
      </w:r>
      <w:r w:rsidR="003D0F77" w:rsidRPr="007B3744">
        <w:rPr>
          <w:rFonts w:ascii="Calibri" w:hAnsi="Calibri" w:cs="Calibri"/>
          <w:lang w:eastAsia="en-NZ"/>
        </w:rPr>
        <w:t>”</w:t>
      </w:r>
      <w:r w:rsidR="003D640C">
        <w:rPr>
          <w:rFonts w:ascii="Calibri" w:hAnsi="Calibri" w:cs="Calibri"/>
          <w:lang w:eastAsia="en-NZ"/>
        </w:rPr>
        <w:t xml:space="preserve"> </w:t>
      </w:r>
      <w:r w:rsidR="003D0F77" w:rsidRPr="007B3744">
        <w:rPr>
          <w:rFonts w:ascii="Calibri" w:hAnsi="Calibri" w:cs="Calibri"/>
          <w:lang w:eastAsia="en-NZ"/>
        </w:rPr>
        <w:t>Whaea</w:t>
      </w:r>
      <w:r w:rsidR="003D640C">
        <w:rPr>
          <w:rFonts w:ascii="Calibri" w:hAnsi="Calibri" w:cs="Calibri"/>
          <w:lang w:eastAsia="en-NZ"/>
        </w:rPr>
        <w:t xml:space="preserve"> </w:t>
      </w:r>
      <w:r w:rsidR="003D0F77" w:rsidRPr="007B3744">
        <w:rPr>
          <w:rFonts w:ascii="Calibri" w:hAnsi="Calibri" w:cs="Calibri"/>
          <w:lang w:eastAsia="en-NZ"/>
        </w:rPr>
        <w:t>Merimeri</w:t>
      </w:r>
      <w:r w:rsidR="003D640C">
        <w:rPr>
          <w:rFonts w:ascii="Calibri" w:hAnsi="Calibri" w:cs="Calibri"/>
          <w:lang w:eastAsia="en-NZ"/>
        </w:rPr>
        <w:t xml:space="preserve"> </w:t>
      </w:r>
      <w:r w:rsidR="003D0F77" w:rsidRPr="007B3744">
        <w:rPr>
          <w:rFonts w:ascii="Calibri" w:hAnsi="Calibri" w:cs="Calibri"/>
          <w:lang w:eastAsia="en-NZ"/>
        </w:rPr>
        <w:t>Penfold</w:t>
      </w:r>
      <w:r w:rsidR="003D640C">
        <w:rPr>
          <w:rFonts w:ascii="Calibri" w:hAnsi="Calibri" w:cs="Calibri"/>
          <w:lang w:eastAsia="en-NZ"/>
        </w:rPr>
        <w:t xml:space="preserve"> </w:t>
      </w:r>
      <w:r w:rsidR="003D0F77" w:rsidRPr="007B3744">
        <w:rPr>
          <w:rFonts w:ascii="Calibri" w:hAnsi="Calibri" w:cs="Calibri"/>
          <w:lang w:eastAsia="en-NZ"/>
        </w:rPr>
        <w:t>has</w:t>
      </w:r>
      <w:r w:rsidR="003D640C">
        <w:rPr>
          <w:rFonts w:ascii="Calibri" w:hAnsi="Calibri" w:cs="Calibri"/>
          <w:lang w:eastAsia="en-NZ"/>
        </w:rPr>
        <w:t xml:space="preserve"> </w:t>
      </w:r>
      <w:r w:rsidR="003D0F77" w:rsidRPr="007B3744">
        <w:rPr>
          <w:rFonts w:ascii="Calibri" w:hAnsi="Calibri" w:cs="Calibri"/>
          <w:lang w:eastAsia="en-NZ"/>
        </w:rPr>
        <w:t>observed</w:t>
      </w:r>
      <w:r w:rsidR="003D640C">
        <w:rPr>
          <w:rFonts w:ascii="Calibri" w:hAnsi="Calibri" w:cs="Calibri"/>
          <w:lang w:eastAsia="en-NZ"/>
        </w:rPr>
        <w:t xml:space="preserve"> </w:t>
      </w:r>
      <w:r w:rsidR="003D0F77" w:rsidRPr="007B3744">
        <w:rPr>
          <w:rFonts w:ascii="Calibri" w:hAnsi="Calibri" w:cs="Calibri"/>
          <w:lang w:eastAsia="en-NZ"/>
        </w:rPr>
        <w:t>that</w:t>
      </w:r>
      <w:r w:rsidR="003D640C">
        <w:rPr>
          <w:rFonts w:ascii="Calibri" w:hAnsi="Calibri" w:cs="Calibri"/>
          <w:lang w:eastAsia="en-NZ"/>
        </w:rPr>
        <w:t xml:space="preserve"> </w:t>
      </w:r>
      <w:r w:rsidR="003D0F77" w:rsidRPr="007B3744">
        <w:rPr>
          <w:rFonts w:ascii="Calibri" w:hAnsi="Calibri" w:cs="Calibri"/>
          <w:lang w:eastAsia="en-NZ"/>
        </w:rPr>
        <w:t>this</w:t>
      </w:r>
      <w:r w:rsidR="003D640C">
        <w:rPr>
          <w:rFonts w:ascii="Calibri" w:hAnsi="Calibri" w:cs="Calibri"/>
          <w:lang w:eastAsia="en-NZ"/>
        </w:rPr>
        <w:t xml:space="preserve"> </w:t>
      </w:r>
      <w:r w:rsidR="003D0F77" w:rsidRPr="007B3744">
        <w:rPr>
          <w:rFonts w:ascii="Calibri" w:hAnsi="Calibri" w:cs="Calibri"/>
          <w:lang w:eastAsia="en-NZ"/>
        </w:rPr>
        <w:t>article</w:t>
      </w:r>
      <w:r w:rsidR="003D640C">
        <w:rPr>
          <w:rFonts w:ascii="Calibri" w:hAnsi="Calibri" w:cs="Calibri"/>
          <w:lang w:eastAsia="en-NZ"/>
        </w:rPr>
        <w:t xml:space="preserve"> </w:t>
      </w:r>
      <w:r w:rsidR="003D0F77" w:rsidRPr="007B3744">
        <w:rPr>
          <w:rFonts w:ascii="Calibri" w:hAnsi="Calibri" w:cs="Calibri"/>
          <w:lang w:eastAsia="en-NZ"/>
        </w:rPr>
        <w:t>provides</w:t>
      </w:r>
      <w:r w:rsidR="003D640C">
        <w:rPr>
          <w:rFonts w:ascii="Calibri" w:hAnsi="Calibri" w:cs="Calibri"/>
          <w:lang w:eastAsia="en-NZ"/>
        </w:rPr>
        <w:t xml:space="preserve"> </w:t>
      </w:r>
      <w:r w:rsidR="003D0F77" w:rsidRPr="007B3744">
        <w:rPr>
          <w:rFonts w:ascii="Calibri" w:hAnsi="Calibri" w:cs="Calibri"/>
          <w:lang w:eastAsia="en-NZ"/>
        </w:rPr>
        <w:t>the</w:t>
      </w:r>
      <w:r w:rsidR="003D640C">
        <w:rPr>
          <w:rFonts w:ascii="Calibri" w:hAnsi="Calibri" w:cs="Calibri"/>
          <w:lang w:eastAsia="en-NZ"/>
        </w:rPr>
        <w:t xml:space="preserve"> </w:t>
      </w:r>
      <w:r w:rsidR="003D0F77" w:rsidRPr="007B3744">
        <w:rPr>
          <w:rFonts w:ascii="Calibri" w:hAnsi="Calibri" w:cs="Calibri"/>
          <w:lang w:eastAsia="en-NZ"/>
        </w:rPr>
        <w:t>“Mana</w:t>
      </w:r>
      <w:r w:rsidR="003D640C">
        <w:rPr>
          <w:rFonts w:ascii="Calibri" w:hAnsi="Calibri" w:cs="Calibri"/>
          <w:lang w:eastAsia="en-NZ"/>
        </w:rPr>
        <w:t xml:space="preserve"> </w:t>
      </w:r>
      <w:r w:rsidR="003D0F77" w:rsidRPr="007B3744">
        <w:rPr>
          <w:rFonts w:ascii="Calibri" w:hAnsi="Calibri" w:cs="Calibri"/>
          <w:lang w:eastAsia="en-NZ"/>
        </w:rPr>
        <w:t>Atua</w:t>
      </w:r>
      <w:r w:rsidR="003D640C">
        <w:rPr>
          <w:rFonts w:ascii="Calibri" w:hAnsi="Calibri" w:cs="Calibri"/>
          <w:lang w:eastAsia="en-NZ"/>
        </w:rPr>
        <w:t xml:space="preserve"> </w:t>
      </w:r>
      <w:r w:rsidR="003D0F77" w:rsidRPr="007B3744">
        <w:rPr>
          <w:rFonts w:ascii="Calibri" w:hAnsi="Calibri" w:cs="Calibri"/>
          <w:lang w:eastAsia="en-NZ"/>
        </w:rPr>
        <w:t>(spirituality)</w:t>
      </w:r>
      <w:r w:rsidR="003D640C">
        <w:rPr>
          <w:rFonts w:ascii="Calibri" w:hAnsi="Calibri" w:cs="Calibri"/>
          <w:lang w:eastAsia="en-NZ"/>
        </w:rPr>
        <w:t xml:space="preserve"> </w:t>
      </w:r>
      <w:r w:rsidR="003D0F77" w:rsidRPr="007B3744">
        <w:rPr>
          <w:rFonts w:ascii="Calibri" w:hAnsi="Calibri" w:cs="Calibri"/>
          <w:lang w:eastAsia="en-NZ"/>
        </w:rPr>
        <w:t>dimension</w:t>
      </w:r>
      <w:r w:rsidR="003D640C">
        <w:rPr>
          <w:rFonts w:ascii="Calibri" w:hAnsi="Calibri" w:cs="Calibri"/>
          <w:lang w:eastAsia="en-NZ"/>
        </w:rPr>
        <w:t xml:space="preserve"> </w:t>
      </w:r>
      <w:r w:rsidR="003D0F77" w:rsidRPr="007B3744">
        <w:rPr>
          <w:rFonts w:ascii="Calibri" w:hAnsi="Calibri" w:cs="Calibri"/>
          <w:lang w:eastAsia="en-NZ"/>
        </w:rPr>
        <w:t>that</w:t>
      </w:r>
      <w:r w:rsidR="003D640C">
        <w:rPr>
          <w:rFonts w:ascii="Calibri" w:hAnsi="Calibri" w:cs="Calibri"/>
          <w:lang w:eastAsia="en-NZ"/>
        </w:rPr>
        <w:t xml:space="preserve"> </w:t>
      </w:r>
      <w:r w:rsidR="003D0F77" w:rsidRPr="007B3744">
        <w:rPr>
          <w:rFonts w:ascii="Calibri" w:hAnsi="Calibri" w:cs="Calibri"/>
          <w:lang w:eastAsia="en-NZ"/>
        </w:rPr>
        <w:t>makes</w:t>
      </w:r>
      <w:r w:rsidR="003D640C">
        <w:rPr>
          <w:rFonts w:ascii="Calibri" w:hAnsi="Calibri" w:cs="Calibri"/>
          <w:lang w:eastAsia="en-NZ"/>
        </w:rPr>
        <w:t xml:space="preserve"> </w:t>
      </w:r>
      <w:r w:rsidR="003D0F77" w:rsidRPr="007B3744">
        <w:rPr>
          <w:rFonts w:ascii="Calibri" w:hAnsi="Calibri" w:cs="Calibri"/>
          <w:lang w:eastAsia="en-NZ"/>
        </w:rPr>
        <w:t>sense</w:t>
      </w:r>
      <w:r w:rsidR="003D640C">
        <w:rPr>
          <w:rFonts w:ascii="Calibri" w:hAnsi="Calibri" w:cs="Calibri"/>
          <w:lang w:eastAsia="en-NZ"/>
        </w:rPr>
        <w:t xml:space="preserve"> </w:t>
      </w:r>
      <w:r w:rsidR="003D0F77" w:rsidRPr="007B3744">
        <w:rPr>
          <w:rFonts w:ascii="Calibri" w:hAnsi="Calibri" w:cs="Calibri"/>
          <w:lang w:eastAsia="en-NZ"/>
        </w:rPr>
        <w:t>to</w:t>
      </w:r>
      <w:r w:rsidR="003D640C">
        <w:rPr>
          <w:rFonts w:ascii="Calibri" w:hAnsi="Calibri" w:cs="Calibri"/>
          <w:lang w:eastAsia="en-NZ"/>
        </w:rPr>
        <w:t xml:space="preserve"> </w:t>
      </w:r>
      <w:r w:rsidR="003D0F77" w:rsidRPr="007B3744">
        <w:rPr>
          <w:rFonts w:ascii="Calibri" w:hAnsi="Calibri" w:cs="Calibri"/>
          <w:lang w:eastAsia="en-NZ"/>
        </w:rPr>
        <w:t>Tangata</w:t>
      </w:r>
      <w:r w:rsidR="003D640C">
        <w:rPr>
          <w:rFonts w:ascii="Calibri" w:hAnsi="Calibri" w:cs="Calibri"/>
          <w:lang w:eastAsia="en-NZ"/>
        </w:rPr>
        <w:t xml:space="preserve"> </w:t>
      </w:r>
      <w:r w:rsidR="003D0F77" w:rsidRPr="007B3744">
        <w:rPr>
          <w:rFonts w:ascii="Calibri" w:hAnsi="Calibri" w:cs="Calibri"/>
          <w:lang w:eastAsia="en-NZ"/>
        </w:rPr>
        <w:t>Whenua</w:t>
      </w:r>
      <w:r w:rsidR="003D640C">
        <w:rPr>
          <w:rFonts w:ascii="Calibri" w:hAnsi="Calibri" w:cs="Calibri"/>
          <w:lang w:eastAsia="en-NZ"/>
        </w:rPr>
        <w:t xml:space="preserve"> </w:t>
      </w:r>
      <w:r w:rsidR="003D0F77" w:rsidRPr="007B3744">
        <w:rPr>
          <w:rFonts w:ascii="Calibri" w:hAnsi="Calibri" w:cs="Calibri"/>
          <w:lang w:eastAsia="en-NZ"/>
        </w:rPr>
        <w:t>values</w:t>
      </w:r>
      <w:r w:rsidR="003D640C">
        <w:rPr>
          <w:rFonts w:ascii="Calibri" w:hAnsi="Calibri" w:cs="Calibri"/>
          <w:lang w:eastAsia="en-NZ"/>
        </w:rPr>
        <w:t xml:space="preserve"> </w:t>
      </w:r>
      <w:r w:rsidR="003D0F77" w:rsidRPr="007B3744">
        <w:rPr>
          <w:rFonts w:ascii="Calibri" w:hAnsi="Calibri" w:cs="Calibri"/>
          <w:lang w:eastAsia="en-NZ"/>
        </w:rPr>
        <w:t>and</w:t>
      </w:r>
      <w:r w:rsidR="003D640C">
        <w:rPr>
          <w:rFonts w:ascii="Calibri" w:hAnsi="Calibri" w:cs="Calibri"/>
          <w:lang w:eastAsia="en-NZ"/>
        </w:rPr>
        <w:t xml:space="preserve"> </w:t>
      </w:r>
      <w:r w:rsidR="003D0F77" w:rsidRPr="007B3744">
        <w:rPr>
          <w:rFonts w:ascii="Calibri" w:hAnsi="Calibri" w:cs="Calibri"/>
          <w:lang w:eastAsia="en-NZ"/>
        </w:rPr>
        <w:t>practices”</w:t>
      </w:r>
      <w:r w:rsidR="0099715A">
        <w:rPr>
          <w:rFonts w:ascii="Calibri" w:hAnsi="Calibri" w:cs="Calibri"/>
          <w:lang w:eastAsia="en-NZ"/>
        </w:rPr>
        <w:t>.</w:t>
      </w:r>
      <w:r w:rsidR="003D0F77" w:rsidRPr="007B3744">
        <w:rPr>
          <w:rStyle w:val="FootnoteReference"/>
          <w:rFonts w:ascii="Calibri" w:eastAsia="Times New Roman" w:hAnsi="Calibri" w:cs="Calibri"/>
          <w:lang w:eastAsia="en-NZ"/>
        </w:rPr>
        <w:footnoteReference w:id="51"/>
      </w:r>
      <w:r w:rsidR="003D640C">
        <w:rPr>
          <w:rFonts w:ascii="Calibri" w:hAnsi="Calibri" w:cs="Calibri"/>
          <w:lang w:eastAsia="en-NZ"/>
        </w:rPr>
        <w:t xml:space="preserve"> </w:t>
      </w:r>
      <w:r w:rsidR="003D0F77" w:rsidRPr="007B3744">
        <w:rPr>
          <w:rFonts w:ascii="Calibri" w:hAnsi="Calibri" w:cs="Calibri"/>
          <w:lang w:eastAsia="en-NZ"/>
        </w:rPr>
        <w:t>In</w:t>
      </w:r>
      <w:r w:rsidR="003D640C">
        <w:rPr>
          <w:rFonts w:ascii="Calibri" w:hAnsi="Calibri" w:cs="Calibri"/>
          <w:lang w:eastAsia="en-NZ"/>
        </w:rPr>
        <w:t xml:space="preserve"> </w:t>
      </w:r>
      <w:r w:rsidR="003D0F77" w:rsidRPr="007B3744">
        <w:rPr>
          <w:rFonts w:ascii="Calibri" w:hAnsi="Calibri" w:cs="Calibri"/>
          <w:lang w:eastAsia="en-NZ"/>
        </w:rPr>
        <w:t>protecting</w:t>
      </w:r>
      <w:r w:rsidR="003D640C">
        <w:rPr>
          <w:rFonts w:ascii="Calibri" w:hAnsi="Calibri" w:cs="Calibri"/>
          <w:lang w:eastAsia="en-NZ"/>
        </w:rPr>
        <w:t xml:space="preserve"> </w:t>
      </w:r>
      <w:r w:rsidR="003D0F77" w:rsidRPr="007B3744">
        <w:rPr>
          <w:rFonts w:ascii="Calibri" w:hAnsi="Calibri" w:cs="Calibri"/>
          <w:lang w:eastAsia="en-NZ"/>
        </w:rPr>
        <w:t>Māori</w:t>
      </w:r>
      <w:r w:rsidR="003D640C">
        <w:rPr>
          <w:rFonts w:ascii="Calibri" w:hAnsi="Calibri" w:cs="Calibri"/>
          <w:lang w:eastAsia="en-NZ"/>
        </w:rPr>
        <w:t xml:space="preserve"> </w:t>
      </w:r>
      <w:r w:rsidR="00B4323E" w:rsidRPr="007B3744">
        <w:rPr>
          <w:rFonts w:ascii="Calibri" w:hAnsi="Calibri" w:cs="Calibri"/>
          <w:lang w:eastAsia="en-NZ"/>
        </w:rPr>
        <w:t>spiritual</w:t>
      </w:r>
      <w:r w:rsidR="003D640C">
        <w:rPr>
          <w:rFonts w:ascii="Calibri" w:hAnsi="Calibri" w:cs="Calibri"/>
          <w:lang w:eastAsia="en-NZ"/>
        </w:rPr>
        <w:t xml:space="preserve"> </w:t>
      </w:r>
      <w:r w:rsidR="00B4323E" w:rsidRPr="007B3744">
        <w:rPr>
          <w:rFonts w:ascii="Calibri" w:hAnsi="Calibri" w:cs="Calibri"/>
          <w:lang w:eastAsia="en-NZ"/>
        </w:rPr>
        <w:t>customs</w:t>
      </w:r>
      <w:r w:rsidR="003D0F77" w:rsidRPr="007B3744">
        <w:rPr>
          <w:rFonts w:ascii="Calibri" w:hAnsi="Calibri" w:cs="Calibri"/>
          <w:lang w:eastAsia="en-NZ"/>
        </w:rPr>
        <w:t>,</w:t>
      </w:r>
      <w:r w:rsidR="003D640C">
        <w:rPr>
          <w:rFonts w:ascii="Calibri" w:hAnsi="Calibri" w:cs="Calibri"/>
          <w:lang w:eastAsia="en-NZ"/>
        </w:rPr>
        <w:t xml:space="preserve"> </w:t>
      </w:r>
      <w:r w:rsidR="003D0F77" w:rsidRPr="007B3744">
        <w:rPr>
          <w:rFonts w:ascii="Calibri" w:hAnsi="Calibri" w:cs="Calibri"/>
          <w:lang w:eastAsia="en-NZ"/>
        </w:rPr>
        <w:t>this</w:t>
      </w:r>
      <w:r w:rsidR="003D640C">
        <w:rPr>
          <w:rFonts w:ascii="Calibri" w:hAnsi="Calibri" w:cs="Calibri"/>
          <w:lang w:eastAsia="en-NZ"/>
        </w:rPr>
        <w:t xml:space="preserve"> </w:t>
      </w:r>
      <w:r w:rsidR="003D0F77" w:rsidRPr="007B3744">
        <w:rPr>
          <w:rFonts w:ascii="Calibri" w:hAnsi="Calibri" w:cs="Calibri"/>
          <w:lang w:eastAsia="en-NZ"/>
        </w:rPr>
        <w:t>article</w:t>
      </w:r>
      <w:r w:rsidR="003D640C">
        <w:rPr>
          <w:rFonts w:ascii="Calibri" w:hAnsi="Calibri" w:cs="Calibri"/>
          <w:lang w:eastAsia="en-NZ"/>
        </w:rPr>
        <w:t xml:space="preserve"> </w:t>
      </w:r>
      <w:r w:rsidR="003D0F77" w:rsidRPr="007B3744">
        <w:rPr>
          <w:rFonts w:ascii="Calibri" w:hAnsi="Calibri" w:cs="Calibri"/>
          <w:lang w:eastAsia="en-NZ"/>
        </w:rPr>
        <w:t>includes</w:t>
      </w:r>
      <w:r w:rsidR="003D640C">
        <w:rPr>
          <w:rFonts w:ascii="Calibri" w:hAnsi="Calibri" w:cs="Calibri"/>
          <w:lang w:eastAsia="en-NZ"/>
        </w:rPr>
        <w:t xml:space="preserve"> </w:t>
      </w:r>
      <w:r w:rsidR="003D0F77" w:rsidRPr="007B3744">
        <w:rPr>
          <w:rFonts w:ascii="Calibri" w:hAnsi="Calibri" w:cs="Calibri"/>
          <w:lang w:eastAsia="en-NZ"/>
        </w:rPr>
        <w:t>protection</w:t>
      </w:r>
      <w:r w:rsidR="003D640C">
        <w:rPr>
          <w:rFonts w:ascii="Calibri" w:hAnsi="Calibri" w:cs="Calibri"/>
          <w:lang w:eastAsia="en-NZ"/>
        </w:rPr>
        <w:t xml:space="preserve"> </w:t>
      </w:r>
      <w:r w:rsidR="003D0F77" w:rsidRPr="007B3744">
        <w:rPr>
          <w:rFonts w:ascii="Calibri" w:hAnsi="Calibri" w:cs="Calibri"/>
          <w:lang w:eastAsia="en-NZ"/>
        </w:rPr>
        <w:t>for</w:t>
      </w:r>
      <w:r w:rsidR="003D640C">
        <w:rPr>
          <w:rFonts w:ascii="Calibri" w:hAnsi="Calibri" w:cs="Calibri"/>
          <w:lang w:eastAsia="en-NZ"/>
        </w:rPr>
        <w:t xml:space="preserve"> </w:t>
      </w:r>
      <w:r w:rsidR="00B4323E" w:rsidRPr="007B3744">
        <w:rPr>
          <w:rFonts w:ascii="Calibri" w:hAnsi="Calibri" w:cs="Calibri"/>
          <w:lang w:eastAsia="en-NZ"/>
        </w:rPr>
        <w:t>takatāpui</w:t>
      </w:r>
      <w:r w:rsidR="003D640C">
        <w:rPr>
          <w:rFonts w:ascii="Calibri" w:hAnsi="Calibri" w:cs="Calibri"/>
          <w:lang w:eastAsia="en-NZ"/>
        </w:rPr>
        <w:t xml:space="preserve"> </w:t>
      </w:r>
      <w:r w:rsidR="003D0F77" w:rsidRPr="007B3744">
        <w:rPr>
          <w:rFonts w:ascii="Calibri" w:hAnsi="Calibri" w:cs="Calibri"/>
          <w:lang w:eastAsia="en-NZ"/>
        </w:rPr>
        <w:t>and</w:t>
      </w:r>
      <w:r w:rsidR="003D640C">
        <w:rPr>
          <w:rFonts w:ascii="Calibri" w:hAnsi="Calibri" w:cs="Calibri"/>
          <w:lang w:eastAsia="en-NZ"/>
        </w:rPr>
        <w:t xml:space="preserve"> </w:t>
      </w:r>
      <w:r w:rsidR="003D0F77" w:rsidRPr="007B3744">
        <w:rPr>
          <w:rFonts w:ascii="Calibri" w:hAnsi="Calibri" w:cs="Calibri"/>
          <w:lang w:eastAsia="en-NZ"/>
        </w:rPr>
        <w:t>their</w:t>
      </w:r>
      <w:r w:rsidR="003D640C">
        <w:rPr>
          <w:rFonts w:ascii="Calibri" w:hAnsi="Calibri" w:cs="Calibri"/>
          <w:lang w:eastAsia="en-NZ"/>
        </w:rPr>
        <w:t xml:space="preserve"> </w:t>
      </w:r>
      <w:r w:rsidR="003D0F77" w:rsidRPr="007B3744">
        <w:rPr>
          <w:rFonts w:ascii="Calibri" w:hAnsi="Calibri" w:cs="Calibri"/>
          <w:lang w:eastAsia="en-NZ"/>
        </w:rPr>
        <w:t>spiritual</w:t>
      </w:r>
      <w:r w:rsidR="003D640C">
        <w:rPr>
          <w:rFonts w:ascii="Calibri" w:hAnsi="Calibri" w:cs="Calibri"/>
          <w:lang w:eastAsia="en-NZ"/>
        </w:rPr>
        <w:t xml:space="preserve"> </w:t>
      </w:r>
      <w:r w:rsidR="003D0F77" w:rsidRPr="007B3744">
        <w:rPr>
          <w:rFonts w:ascii="Calibri" w:hAnsi="Calibri" w:cs="Calibri"/>
          <w:lang w:eastAsia="en-NZ"/>
        </w:rPr>
        <w:t>roles</w:t>
      </w:r>
      <w:r w:rsidR="003D640C">
        <w:rPr>
          <w:rFonts w:ascii="Calibri" w:hAnsi="Calibri" w:cs="Calibri"/>
          <w:lang w:eastAsia="en-NZ"/>
        </w:rPr>
        <w:t xml:space="preserve"> </w:t>
      </w:r>
      <w:r w:rsidR="003D0F77" w:rsidRPr="007B3744">
        <w:rPr>
          <w:rFonts w:ascii="Calibri" w:hAnsi="Calibri" w:cs="Calibri"/>
          <w:lang w:eastAsia="en-NZ"/>
        </w:rPr>
        <w:t>within</w:t>
      </w:r>
      <w:r w:rsidR="003D640C">
        <w:rPr>
          <w:rFonts w:ascii="Calibri" w:hAnsi="Calibri" w:cs="Calibri"/>
          <w:lang w:eastAsia="en-NZ"/>
        </w:rPr>
        <w:t xml:space="preserve"> </w:t>
      </w:r>
      <w:r w:rsidR="003D0F77" w:rsidRPr="007B3744">
        <w:rPr>
          <w:rFonts w:ascii="Calibri" w:hAnsi="Calibri" w:cs="Calibri"/>
          <w:lang w:eastAsia="en-NZ"/>
        </w:rPr>
        <w:t>Māori</w:t>
      </w:r>
      <w:r w:rsidR="003D640C">
        <w:rPr>
          <w:rFonts w:ascii="Calibri" w:hAnsi="Calibri" w:cs="Calibri"/>
          <w:lang w:eastAsia="en-NZ"/>
        </w:rPr>
        <w:t xml:space="preserve"> </w:t>
      </w:r>
      <w:r w:rsidR="003D0F77" w:rsidRPr="007B3744">
        <w:rPr>
          <w:rFonts w:ascii="Calibri" w:hAnsi="Calibri" w:cs="Calibri"/>
          <w:lang w:eastAsia="en-NZ"/>
        </w:rPr>
        <w:t>communities.</w:t>
      </w:r>
      <w:r w:rsidR="003D640C">
        <w:rPr>
          <w:rFonts w:ascii="Calibri" w:hAnsi="Calibri" w:cs="Calibri"/>
          <w:lang w:eastAsia="en-NZ"/>
        </w:rPr>
        <w:t xml:space="preserve"> </w:t>
      </w:r>
    </w:p>
    <w:p w14:paraId="2A95C398" w14:textId="4DA00C7F" w:rsidR="00501068" w:rsidRDefault="00984B78" w:rsidP="0002020B">
      <w:pPr>
        <w:rPr>
          <w:rFonts w:ascii="Calibri" w:hAnsi="Calibri" w:cs="Calibri"/>
          <w:lang w:eastAsia="en-NZ"/>
        </w:rPr>
      </w:pPr>
      <w:r w:rsidRPr="007B3744">
        <w:rPr>
          <w:rFonts w:ascii="Calibri" w:hAnsi="Calibri" w:cs="Calibri"/>
          <w:lang w:eastAsia="en-NZ"/>
        </w:rPr>
        <w:t>Te</w:t>
      </w:r>
      <w:r w:rsidR="003D640C">
        <w:rPr>
          <w:rFonts w:ascii="Calibri" w:hAnsi="Calibri" w:cs="Calibri"/>
          <w:lang w:eastAsia="en-NZ"/>
        </w:rPr>
        <w:t xml:space="preserve"> </w:t>
      </w:r>
      <w:r w:rsidRPr="007B3744">
        <w:rPr>
          <w:rFonts w:ascii="Calibri" w:hAnsi="Calibri" w:cs="Calibri"/>
          <w:lang w:eastAsia="en-NZ"/>
        </w:rPr>
        <w:t>Tiriti</w:t>
      </w:r>
      <w:r w:rsidR="003D640C">
        <w:rPr>
          <w:rFonts w:ascii="Calibri" w:hAnsi="Calibri" w:cs="Calibri"/>
          <w:lang w:eastAsia="en-NZ"/>
        </w:rPr>
        <w:t xml:space="preserve"> </w:t>
      </w:r>
      <w:r w:rsidRPr="007B3744">
        <w:rPr>
          <w:rFonts w:ascii="Calibri" w:hAnsi="Calibri" w:cs="Calibri"/>
          <w:lang w:eastAsia="en-NZ"/>
        </w:rPr>
        <w:t>is</w:t>
      </w:r>
      <w:r w:rsidR="003D640C">
        <w:rPr>
          <w:rFonts w:ascii="Calibri" w:hAnsi="Calibri" w:cs="Calibri"/>
          <w:lang w:eastAsia="en-NZ"/>
        </w:rPr>
        <w:t xml:space="preserve"> </w:t>
      </w:r>
      <w:r w:rsidRPr="007B3744">
        <w:rPr>
          <w:rFonts w:ascii="Calibri" w:hAnsi="Calibri" w:cs="Calibri"/>
          <w:lang w:eastAsia="en-NZ"/>
        </w:rPr>
        <w:t>supported</w:t>
      </w:r>
      <w:r w:rsidR="003D640C">
        <w:rPr>
          <w:rFonts w:ascii="Calibri" w:hAnsi="Calibri" w:cs="Calibri"/>
          <w:lang w:eastAsia="en-NZ"/>
        </w:rPr>
        <w:t xml:space="preserve"> </w:t>
      </w:r>
      <w:r w:rsidRPr="007B3744">
        <w:rPr>
          <w:rFonts w:ascii="Calibri" w:hAnsi="Calibri" w:cs="Calibri"/>
          <w:lang w:eastAsia="en-NZ"/>
        </w:rPr>
        <w:t>by</w:t>
      </w:r>
      <w:r w:rsidR="003D640C">
        <w:rPr>
          <w:rFonts w:ascii="Calibri" w:hAnsi="Calibri" w:cs="Calibri"/>
          <w:lang w:eastAsia="en-NZ"/>
        </w:rPr>
        <w:t xml:space="preserve"> </w:t>
      </w:r>
      <w:r w:rsidR="000F56F7" w:rsidRPr="007B3744">
        <w:rPr>
          <w:rFonts w:ascii="Calibri" w:hAnsi="Calibri" w:cs="Calibri"/>
          <w:lang w:eastAsia="en-NZ"/>
        </w:rPr>
        <w:t>international</w:t>
      </w:r>
      <w:r w:rsidR="003D640C">
        <w:rPr>
          <w:rFonts w:ascii="Calibri" w:hAnsi="Calibri" w:cs="Calibri"/>
          <w:lang w:eastAsia="en-NZ"/>
        </w:rPr>
        <w:t xml:space="preserve"> </w:t>
      </w:r>
      <w:r w:rsidR="000F56F7" w:rsidRPr="007B3744">
        <w:rPr>
          <w:rFonts w:ascii="Calibri" w:hAnsi="Calibri" w:cs="Calibri"/>
          <w:lang w:eastAsia="en-NZ"/>
        </w:rPr>
        <w:t>human</w:t>
      </w:r>
      <w:r w:rsidR="003D640C">
        <w:rPr>
          <w:rFonts w:ascii="Calibri" w:hAnsi="Calibri" w:cs="Calibri"/>
          <w:lang w:eastAsia="en-NZ"/>
        </w:rPr>
        <w:t xml:space="preserve"> </w:t>
      </w:r>
      <w:r w:rsidR="000F56F7" w:rsidRPr="007B3744">
        <w:rPr>
          <w:rFonts w:ascii="Calibri" w:hAnsi="Calibri" w:cs="Calibri"/>
          <w:lang w:eastAsia="en-NZ"/>
        </w:rPr>
        <w:t>ri</w:t>
      </w:r>
      <w:r w:rsidR="00E41CB3" w:rsidRPr="007B3744">
        <w:rPr>
          <w:rFonts w:ascii="Calibri" w:hAnsi="Calibri" w:cs="Calibri"/>
          <w:lang w:eastAsia="en-NZ"/>
        </w:rPr>
        <w:t>ghts</w:t>
      </w:r>
      <w:r w:rsidR="003D640C">
        <w:rPr>
          <w:rFonts w:ascii="Calibri" w:hAnsi="Calibri" w:cs="Calibri"/>
          <w:lang w:eastAsia="en-NZ"/>
        </w:rPr>
        <w:t xml:space="preserve"> </w:t>
      </w:r>
      <w:r w:rsidR="00E41CB3" w:rsidRPr="007B3744">
        <w:rPr>
          <w:rFonts w:ascii="Calibri" w:hAnsi="Calibri" w:cs="Calibri"/>
          <w:lang w:eastAsia="en-NZ"/>
        </w:rPr>
        <w:t>instruments</w:t>
      </w:r>
      <w:r w:rsidR="000F56F7" w:rsidRPr="007B3744">
        <w:rPr>
          <w:rFonts w:ascii="Calibri" w:hAnsi="Calibri" w:cs="Calibri"/>
          <w:lang w:eastAsia="en-NZ"/>
        </w:rPr>
        <w:t>,</w:t>
      </w:r>
      <w:r w:rsidR="003D640C">
        <w:rPr>
          <w:rFonts w:ascii="Calibri" w:hAnsi="Calibri" w:cs="Calibri"/>
          <w:lang w:eastAsia="en-NZ"/>
        </w:rPr>
        <w:t xml:space="preserve"> </w:t>
      </w:r>
      <w:r w:rsidR="000F56F7" w:rsidRPr="007B3744">
        <w:rPr>
          <w:rFonts w:ascii="Calibri" w:hAnsi="Calibri" w:cs="Calibri"/>
          <w:lang w:eastAsia="en-NZ"/>
        </w:rPr>
        <w:t>particularly</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bookmarkStart w:id="97" w:name="_Hlk168383119"/>
      <w:r w:rsidRPr="007B3744">
        <w:rPr>
          <w:rFonts w:ascii="Calibri" w:hAnsi="Calibri" w:cs="Calibri"/>
          <w:lang w:eastAsia="en-NZ"/>
        </w:rPr>
        <w:t>United</w:t>
      </w:r>
      <w:r w:rsidR="003D640C">
        <w:rPr>
          <w:rFonts w:ascii="Calibri" w:hAnsi="Calibri" w:cs="Calibri"/>
          <w:lang w:eastAsia="en-NZ"/>
        </w:rPr>
        <w:t xml:space="preserve"> </w:t>
      </w:r>
      <w:r w:rsidRPr="007B3744">
        <w:rPr>
          <w:rFonts w:ascii="Calibri" w:hAnsi="Calibri" w:cs="Calibri"/>
          <w:lang w:eastAsia="en-NZ"/>
        </w:rPr>
        <w:t>Nations</w:t>
      </w:r>
      <w:r w:rsidR="003D640C">
        <w:rPr>
          <w:rFonts w:ascii="Calibri" w:hAnsi="Calibri" w:cs="Calibri"/>
          <w:lang w:eastAsia="en-NZ"/>
        </w:rPr>
        <w:t xml:space="preserve"> </w:t>
      </w:r>
      <w:r w:rsidRPr="007B3744">
        <w:rPr>
          <w:rFonts w:ascii="Calibri" w:hAnsi="Calibri" w:cs="Calibri"/>
          <w:lang w:eastAsia="en-NZ"/>
        </w:rPr>
        <w:t>Declaration</w:t>
      </w:r>
      <w:r w:rsidR="003D640C">
        <w:rPr>
          <w:rFonts w:ascii="Calibri" w:hAnsi="Calibri" w:cs="Calibri"/>
          <w:lang w:eastAsia="en-NZ"/>
        </w:rPr>
        <w:t xml:space="preserve"> </w:t>
      </w:r>
      <w:r w:rsidRPr="007B3744">
        <w:rPr>
          <w:rFonts w:ascii="Calibri" w:hAnsi="Calibri" w:cs="Calibri"/>
          <w:lang w:eastAsia="en-NZ"/>
        </w:rPr>
        <w:t>on</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Rights</w:t>
      </w:r>
      <w:r w:rsidR="003D640C">
        <w:rPr>
          <w:rFonts w:ascii="Calibri" w:hAnsi="Calibri" w:cs="Calibri"/>
          <w:lang w:eastAsia="en-NZ"/>
        </w:rPr>
        <w:t xml:space="preserve"> </w:t>
      </w:r>
      <w:r w:rsidRPr="007B3744">
        <w:rPr>
          <w:rFonts w:ascii="Calibri" w:hAnsi="Calibri" w:cs="Calibri"/>
          <w:lang w:eastAsia="en-NZ"/>
        </w:rPr>
        <w:t>of</w:t>
      </w:r>
      <w:r w:rsidR="003D640C">
        <w:rPr>
          <w:rFonts w:ascii="Calibri" w:hAnsi="Calibri" w:cs="Calibri"/>
          <w:lang w:eastAsia="en-NZ"/>
        </w:rPr>
        <w:t xml:space="preserve"> </w:t>
      </w:r>
      <w:r w:rsidRPr="007B3744">
        <w:rPr>
          <w:rFonts w:ascii="Calibri" w:hAnsi="Calibri" w:cs="Calibri"/>
          <w:lang w:eastAsia="en-NZ"/>
        </w:rPr>
        <w:t>Indigenous</w:t>
      </w:r>
      <w:r w:rsidR="003D640C">
        <w:rPr>
          <w:rFonts w:ascii="Calibri" w:hAnsi="Calibri" w:cs="Calibri"/>
          <w:lang w:eastAsia="en-NZ"/>
        </w:rPr>
        <w:t xml:space="preserve"> </w:t>
      </w:r>
      <w:r w:rsidRPr="007B3744">
        <w:rPr>
          <w:rFonts w:ascii="Calibri" w:hAnsi="Calibri" w:cs="Calibri"/>
          <w:lang w:eastAsia="en-NZ"/>
        </w:rPr>
        <w:t>Peoples</w:t>
      </w:r>
      <w:r w:rsidR="003D640C">
        <w:rPr>
          <w:rFonts w:ascii="Calibri" w:hAnsi="Calibri" w:cs="Calibri"/>
          <w:lang w:eastAsia="en-NZ"/>
        </w:rPr>
        <w:t xml:space="preserve"> </w:t>
      </w:r>
      <w:bookmarkEnd w:id="97"/>
      <w:r w:rsidRPr="007B3744">
        <w:rPr>
          <w:rFonts w:ascii="Calibri" w:hAnsi="Calibri" w:cs="Calibri"/>
          <w:lang w:eastAsia="en-NZ"/>
        </w:rPr>
        <w:t>(UNDRIP),</w:t>
      </w:r>
      <w:r w:rsidR="003D640C">
        <w:rPr>
          <w:rFonts w:ascii="Calibri" w:hAnsi="Calibri" w:cs="Calibri"/>
          <w:lang w:eastAsia="en-NZ"/>
        </w:rPr>
        <w:t xml:space="preserve"> </w:t>
      </w:r>
      <w:r w:rsidRPr="007B3744">
        <w:rPr>
          <w:rFonts w:ascii="Calibri" w:hAnsi="Calibri" w:cs="Calibri"/>
          <w:lang w:eastAsia="en-NZ"/>
        </w:rPr>
        <w:t>which</w:t>
      </w:r>
      <w:r w:rsidR="003D640C">
        <w:rPr>
          <w:rFonts w:ascii="Calibri" w:hAnsi="Calibri" w:cs="Calibri"/>
          <w:lang w:eastAsia="en-NZ"/>
        </w:rPr>
        <w:t xml:space="preserve"> </w:t>
      </w:r>
      <w:r w:rsidRPr="007B3744">
        <w:rPr>
          <w:rFonts w:ascii="Calibri" w:hAnsi="Calibri" w:cs="Calibri"/>
          <w:lang w:eastAsia="en-NZ"/>
        </w:rPr>
        <w:t>was</w:t>
      </w:r>
      <w:r w:rsidR="003D640C">
        <w:rPr>
          <w:rFonts w:ascii="Calibri" w:hAnsi="Calibri" w:cs="Calibri"/>
          <w:lang w:eastAsia="en-NZ"/>
        </w:rPr>
        <w:t xml:space="preserve"> </w:t>
      </w:r>
      <w:r w:rsidRPr="007B3744">
        <w:rPr>
          <w:rFonts w:ascii="Calibri" w:hAnsi="Calibri" w:cs="Calibri"/>
          <w:lang w:eastAsia="en-NZ"/>
        </w:rPr>
        <w:t>adopted</w:t>
      </w:r>
      <w:r w:rsidR="003D640C">
        <w:rPr>
          <w:rFonts w:ascii="Calibri" w:hAnsi="Calibri" w:cs="Calibri"/>
          <w:lang w:eastAsia="en-NZ"/>
        </w:rPr>
        <w:t xml:space="preserve"> </w:t>
      </w:r>
      <w:r w:rsidRPr="007B3744">
        <w:rPr>
          <w:rFonts w:ascii="Calibri" w:hAnsi="Calibri" w:cs="Calibri"/>
          <w:lang w:eastAsia="en-NZ"/>
        </w:rPr>
        <w:t>by</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United</w:t>
      </w:r>
      <w:r w:rsidR="003D640C">
        <w:rPr>
          <w:rFonts w:ascii="Calibri" w:hAnsi="Calibri" w:cs="Calibri"/>
          <w:lang w:eastAsia="en-NZ"/>
        </w:rPr>
        <w:t xml:space="preserve"> </w:t>
      </w:r>
      <w:r w:rsidRPr="007B3744">
        <w:rPr>
          <w:rFonts w:ascii="Calibri" w:hAnsi="Calibri" w:cs="Calibri"/>
          <w:lang w:eastAsia="en-NZ"/>
        </w:rPr>
        <w:t>Nations</w:t>
      </w:r>
      <w:r w:rsidR="003D640C">
        <w:rPr>
          <w:rFonts w:ascii="Calibri" w:hAnsi="Calibri" w:cs="Calibri"/>
          <w:lang w:eastAsia="en-NZ"/>
        </w:rPr>
        <w:t xml:space="preserve"> </w:t>
      </w:r>
      <w:r w:rsidRPr="007B3744">
        <w:rPr>
          <w:rFonts w:ascii="Calibri" w:hAnsi="Calibri" w:cs="Calibri"/>
          <w:lang w:eastAsia="en-NZ"/>
        </w:rPr>
        <w:t>in</w:t>
      </w:r>
      <w:r w:rsidR="003D640C">
        <w:rPr>
          <w:rFonts w:ascii="Calibri" w:hAnsi="Calibri" w:cs="Calibri"/>
          <w:lang w:eastAsia="en-NZ"/>
        </w:rPr>
        <w:t xml:space="preserve"> </w:t>
      </w:r>
      <w:r w:rsidRPr="007B3744">
        <w:rPr>
          <w:rFonts w:ascii="Calibri" w:hAnsi="Calibri" w:cs="Calibri"/>
          <w:lang w:eastAsia="en-NZ"/>
        </w:rPr>
        <w:t>2007</w:t>
      </w:r>
      <w:r w:rsidR="003D640C">
        <w:rPr>
          <w:rFonts w:ascii="Calibri" w:hAnsi="Calibri" w:cs="Calibri"/>
          <w:lang w:eastAsia="en-NZ"/>
        </w:rPr>
        <w:t xml:space="preserve"> </w:t>
      </w:r>
      <w:r w:rsidR="00C72C41">
        <w:rPr>
          <w:rFonts w:ascii="Calibri" w:hAnsi="Calibri" w:cs="Calibri"/>
          <w:lang w:eastAsia="en-NZ"/>
        </w:rPr>
        <w:t>and</w:t>
      </w:r>
      <w:r w:rsidR="003D640C">
        <w:rPr>
          <w:rFonts w:ascii="Calibri" w:hAnsi="Calibri" w:cs="Calibri"/>
          <w:lang w:eastAsia="en-NZ"/>
        </w:rPr>
        <w:t xml:space="preserve"> </w:t>
      </w:r>
      <w:r w:rsidR="00C72C41">
        <w:rPr>
          <w:rFonts w:ascii="Calibri" w:hAnsi="Calibri" w:cs="Calibri"/>
          <w:lang w:eastAsia="en-NZ"/>
        </w:rPr>
        <w:t>ratified</w:t>
      </w:r>
      <w:r w:rsidR="003D640C">
        <w:rPr>
          <w:rFonts w:ascii="Calibri" w:hAnsi="Calibri" w:cs="Calibri"/>
          <w:lang w:eastAsia="en-NZ"/>
        </w:rPr>
        <w:t xml:space="preserve"> </w:t>
      </w:r>
      <w:r w:rsidR="00C72C41">
        <w:rPr>
          <w:rFonts w:ascii="Calibri" w:hAnsi="Calibri" w:cs="Calibri"/>
          <w:lang w:eastAsia="en-NZ"/>
        </w:rPr>
        <w:t>in</w:t>
      </w:r>
      <w:r w:rsidR="003D640C">
        <w:rPr>
          <w:rFonts w:ascii="Calibri" w:hAnsi="Calibri" w:cs="Calibri"/>
          <w:lang w:eastAsia="en-NZ"/>
        </w:rPr>
        <w:t xml:space="preserve"> </w:t>
      </w:r>
      <w:r w:rsidR="00C72C41">
        <w:rPr>
          <w:rFonts w:ascii="Calibri" w:hAnsi="Calibri" w:cs="Calibri"/>
          <w:lang w:eastAsia="en-NZ"/>
        </w:rPr>
        <w:t>Aotearoa</w:t>
      </w:r>
      <w:r w:rsidR="003D640C">
        <w:rPr>
          <w:rFonts w:ascii="Calibri" w:hAnsi="Calibri" w:cs="Calibri"/>
          <w:lang w:eastAsia="en-NZ"/>
        </w:rPr>
        <w:t xml:space="preserve"> </w:t>
      </w:r>
      <w:r w:rsidR="00C72C41">
        <w:rPr>
          <w:rFonts w:ascii="Calibri" w:hAnsi="Calibri" w:cs="Calibri"/>
          <w:lang w:eastAsia="en-NZ"/>
        </w:rPr>
        <w:t>New</w:t>
      </w:r>
      <w:r w:rsidR="003D640C">
        <w:rPr>
          <w:rFonts w:ascii="Calibri" w:hAnsi="Calibri" w:cs="Calibri"/>
          <w:lang w:eastAsia="en-NZ"/>
        </w:rPr>
        <w:t xml:space="preserve"> </w:t>
      </w:r>
      <w:r w:rsidR="00C72C41">
        <w:rPr>
          <w:rFonts w:ascii="Calibri" w:hAnsi="Calibri" w:cs="Calibri"/>
          <w:lang w:eastAsia="en-NZ"/>
        </w:rPr>
        <w:t>Zealand</w:t>
      </w:r>
      <w:r w:rsidR="003D640C">
        <w:rPr>
          <w:rFonts w:ascii="Calibri" w:hAnsi="Calibri" w:cs="Calibri"/>
          <w:lang w:eastAsia="en-NZ"/>
        </w:rPr>
        <w:t xml:space="preserve"> </w:t>
      </w:r>
      <w:r w:rsidR="00C72C41">
        <w:rPr>
          <w:rFonts w:ascii="Calibri" w:hAnsi="Calibri" w:cs="Calibri"/>
          <w:lang w:eastAsia="en-NZ"/>
        </w:rPr>
        <w:t>in</w:t>
      </w:r>
      <w:r w:rsidR="003D640C">
        <w:rPr>
          <w:rFonts w:ascii="Calibri" w:hAnsi="Calibri" w:cs="Calibri"/>
          <w:lang w:eastAsia="en-NZ"/>
        </w:rPr>
        <w:t xml:space="preserve"> </w:t>
      </w:r>
      <w:r w:rsidR="00C72C41">
        <w:rPr>
          <w:rFonts w:ascii="Calibri" w:hAnsi="Calibri" w:cs="Calibri"/>
          <w:lang w:eastAsia="en-NZ"/>
        </w:rPr>
        <w:t>2010</w:t>
      </w:r>
      <w:r w:rsidRPr="007B3744">
        <w:rPr>
          <w:rFonts w:ascii="Calibri" w:hAnsi="Calibri" w:cs="Calibri"/>
          <w:lang w:eastAsia="en-NZ"/>
        </w:rPr>
        <w:t>.</w:t>
      </w:r>
      <w:r w:rsidR="003D640C">
        <w:rPr>
          <w:rFonts w:ascii="Calibri" w:hAnsi="Calibri" w:cs="Calibri"/>
          <w:lang w:eastAsia="en-NZ"/>
        </w:rPr>
        <w:t xml:space="preserve"> </w:t>
      </w:r>
      <w:r w:rsidRPr="007B3744">
        <w:rPr>
          <w:rFonts w:ascii="Calibri" w:hAnsi="Calibri" w:cs="Calibri"/>
          <w:lang w:eastAsia="en-NZ"/>
        </w:rPr>
        <w:t>Affirming</w:t>
      </w:r>
      <w:r w:rsidR="003D640C">
        <w:rPr>
          <w:rFonts w:ascii="Calibri" w:hAnsi="Calibri" w:cs="Calibri"/>
          <w:lang w:eastAsia="en-NZ"/>
        </w:rPr>
        <w:t xml:space="preserve"> </w:t>
      </w:r>
      <w:r w:rsidR="006F7AF3">
        <w:rPr>
          <w:rFonts w:ascii="Calibri" w:hAnsi="Calibri" w:cs="Calibri"/>
          <w:lang w:eastAsia="en-NZ"/>
        </w:rPr>
        <w:t>(</w:t>
      </w:r>
      <w:r w:rsidR="005C529B">
        <w:rPr>
          <w:rFonts w:ascii="Calibri" w:hAnsi="Calibri" w:cs="Calibri"/>
          <w:lang w:eastAsia="en-NZ"/>
        </w:rPr>
        <w:t>in</w:t>
      </w:r>
      <w:r w:rsidR="003D640C">
        <w:rPr>
          <w:rFonts w:ascii="Calibri" w:hAnsi="Calibri" w:cs="Calibri"/>
          <w:lang w:eastAsia="en-NZ"/>
        </w:rPr>
        <w:t xml:space="preserve"> </w:t>
      </w:r>
      <w:r w:rsidR="006F7AF3">
        <w:rPr>
          <w:rFonts w:ascii="Calibri" w:hAnsi="Calibri" w:cs="Calibri"/>
          <w:lang w:eastAsia="en-NZ"/>
        </w:rPr>
        <w:t>Article</w:t>
      </w:r>
      <w:r w:rsidR="003D640C">
        <w:rPr>
          <w:rFonts w:ascii="Calibri" w:hAnsi="Calibri" w:cs="Calibri"/>
          <w:lang w:eastAsia="en-NZ"/>
        </w:rPr>
        <w:t xml:space="preserve"> </w:t>
      </w:r>
      <w:r w:rsidR="006F7AF3">
        <w:rPr>
          <w:rFonts w:ascii="Calibri" w:hAnsi="Calibri" w:cs="Calibri"/>
          <w:lang w:eastAsia="en-NZ"/>
        </w:rPr>
        <w:t>37)</w:t>
      </w:r>
      <w:r w:rsidR="003D640C">
        <w:rPr>
          <w:rFonts w:ascii="Calibri" w:hAnsi="Calibri" w:cs="Calibri"/>
          <w:lang w:eastAsia="en-NZ"/>
        </w:rPr>
        <w:t xml:space="preserve"> </w:t>
      </w:r>
      <w:r w:rsidRPr="007B3744">
        <w:rPr>
          <w:rFonts w:ascii="Calibri" w:hAnsi="Calibri" w:cs="Calibri"/>
          <w:lang w:eastAsia="en-NZ"/>
        </w:rPr>
        <w:t>that</w:t>
      </w:r>
      <w:r w:rsidR="003D640C">
        <w:rPr>
          <w:rFonts w:ascii="Calibri" w:hAnsi="Calibri" w:cs="Calibri"/>
          <w:lang w:eastAsia="en-NZ"/>
        </w:rPr>
        <w:t xml:space="preserve"> </w:t>
      </w:r>
      <w:r w:rsidRPr="007B3744">
        <w:rPr>
          <w:rFonts w:ascii="Calibri" w:hAnsi="Calibri" w:cs="Calibri"/>
          <w:lang w:eastAsia="en-NZ"/>
        </w:rPr>
        <w:t>Indigenous</w:t>
      </w:r>
      <w:r w:rsidR="003D640C">
        <w:rPr>
          <w:rFonts w:ascii="Calibri" w:hAnsi="Calibri" w:cs="Calibri"/>
          <w:lang w:eastAsia="en-NZ"/>
        </w:rPr>
        <w:t xml:space="preserve"> </w:t>
      </w:r>
      <w:r w:rsidR="00173657">
        <w:rPr>
          <w:rFonts w:ascii="Calibri" w:hAnsi="Calibri" w:cs="Calibri"/>
          <w:lang w:eastAsia="en-NZ"/>
        </w:rPr>
        <w:t>p</w:t>
      </w:r>
      <w:r w:rsidRPr="007B3744">
        <w:rPr>
          <w:rFonts w:ascii="Calibri" w:hAnsi="Calibri" w:cs="Calibri"/>
          <w:lang w:eastAsia="en-NZ"/>
        </w:rPr>
        <w:t>eoples</w:t>
      </w:r>
      <w:r w:rsidR="003D640C">
        <w:rPr>
          <w:rFonts w:ascii="Calibri" w:hAnsi="Calibri" w:cs="Calibri"/>
          <w:lang w:eastAsia="en-NZ"/>
        </w:rPr>
        <w:t xml:space="preserve"> </w:t>
      </w:r>
      <w:r w:rsidRPr="007B3744">
        <w:rPr>
          <w:rFonts w:ascii="Calibri" w:hAnsi="Calibri" w:cs="Calibri"/>
          <w:lang w:eastAsia="en-NZ"/>
        </w:rPr>
        <w:t>such</w:t>
      </w:r>
      <w:r w:rsidR="003D640C">
        <w:rPr>
          <w:rFonts w:ascii="Calibri" w:hAnsi="Calibri" w:cs="Calibri"/>
          <w:lang w:eastAsia="en-NZ"/>
        </w:rPr>
        <w:t xml:space="preserve"> </w:t>
      </w:r>
      <w:r w:rsidRPr="007B3744">
        <w:rPr>
          <w:rFonts w:ascii="Calibri" w:hAnsi="Calibri" w:cs="Calibri"/>
          <w:lang w:eastAsia="en-NZ"/>
        </w:rPr>
        <w:t>as</w:t>
      </w:r>
      <w:r w:rsidR="003D640C">
        <w:rPr>
          <w:rFonts w:ascii="Calibri" w:hAnsi="Calibri" w:cs="Calibri"/>
          <w:lang w:eastAsia="en-NZ"/>
        </w:rPr>
        <w:t xml:space="preserve"> </w:t>
      </w:r>
      <w:r w:rsidRPr="007B3744">
        <w:rPr>
          <w:rFonts w:ascii="Calibri" w:hAnsi="Calibri" w:cs="Calibri"/>
          <w:lang w:eastAsia="en-NZ"/>
        </w:rPr>
        <w:t>Māori</w:t>
      </w:r>
      <w:r w:rsidR="003D640C">
        <w:rPr>
          <w:rFonts w:ascii="Calibri" w:hAnsi="Calibri" w:cs="Calibri"/>
          <w:lang w:eastAsia="en-NZ"/>
        </w:rPr>
        <w:t xml:space="preserve"> </w:t>
      </w:r>
      <w:r w:rsidRPr="007B3744">
        <w:rPr>
          <w:rFonts w:ascii="Calibri" w:hAnsi="Calibri" w:cs="Calibri"/>
          <w:lang w:eastAsia="en-NZ"/>
        </w:rPr>
        <w:t>have</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right</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recognition,</w:t>
      </w:r>
      <w:r w:rsidR="003D640C">
        <w:rPr>
          <w:rFonts w:ascii="Calibri" w:hAnsi="Calibri" w:cs="Calibri"/>
          <w:lang w:eastAsia="en-NZ"/>
        </w:rPr>
        <w:t xml:space="preserve"> </w:t>
      </w:r>
      <w:r w:rsidRPr="007B3744">
        <w:rPr>
          <w:rFonts w:ascii="Calibri" w:hAnsi="Calibri" w:cs="Calibri"/>
          <w:lang w:eastAsia="en-NZ"/>
        </w:rPr>
        <w:t>observation</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enforcement</w:t>
      </w:r>
      <w:r w:rsidR="003D640C">
        <w:rPr>
          <w:rFonts w:ascii="Calibri" w:hAnsi="Calibri" w:cs="Calibri"/>
          <w:lang w:eastAsia="en-NZ"/>
        </w:rPr>
        <w:t xml:space="preserve"> </w:t>
      </w:r>
      <w:r w:rsidRPr="007B3744">
        <w:rPr>
          <w:rFonts w:ascii="Calibri" w:hAnsi="Calibri" w:cs="Calibri"/>
          <w:lang w:eastAsia="en-NZ"/>
        </w:rPr>
        <w:t>of</w:t>
      </w:r>
      <w:r w:rsidR="003D640C">
        <w:rPr>
          <w:rFonts w:ascii="Calibri" w:hAnsi="Calibri" w:cs="Calibri"/>
          <w:lang w:eastAsia="en-NZ"/>
        </w:rPr>
        <w:t xml:space="preserve"> </w:t>
      </w:r>
      <w:r w:rsidRPr="007B3744">
        <w:rPr>
          <w:rFonts w:ascii="Calibri" w:hAnsi="Calibri" w:cs="Calibri"/>
          <w:lang w:eastAsia="en-NZ"/>
        </w:rPr>
        <w:t>treaties,</w:t>
      </w:r>
      <w:r w:rsidR="003D640C">
        <w:rPr>
          <w:rFonts w:ascii="Calibri" w:hAnsi="Calibri" w:cs="Calibri"/>
          <w:lang w:eastAsia="en-NZ"/>
        </w:rPr>
        <w:t xml:space="preserve"> </w:t>
      </w:r>
      <w:r w:rsidRPr="007B3744">
        <w:rPr>
          <w:rFonts w:ascii="Calibri" w:hAnsi="Calibri" w:cs="Calibri"/>
          <w:lang w:eastAsia="en-NZ"/>
        </w:rPr>
        <w:t>UNDRIP</w:t>
      </w:r>
      <w:r w:rsidR="003D640C">
        <w:rPr>
          <w:rFonts w:ascii="Calibri" w:hAnsi="Calibri" w:cs="Calibri"/>
          <w:lang w:eastAsia="en-NZ"/>
        </w:rPr>
        <w:t xml:space="preserve"> </w:t>
      </w:r>
      <w:r w:rsidRPr="007B3744">
        <w:rPr>
          <w:rFonts w:ascii="Calibri" w:hAnsi="Calibri" w:cs="Calibri"/>
          <w:lang w:eastAsia="en-NZ"/>
        </w:rPr>
        <w:t>upholds</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reinforces</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rights</w:t>
      </w:r>
      <w:r w:rsidR="003D640C">
        <w:rPr>
          <w:rFonts w:ascii="Calibri" w:hAnsi="Calibri" w:cs="Calibri"/>
          <w:lang w:eastAsia="en-NZ"/>
        </w:rPr>
        <w:t xml:space="preserve"> </w:t>
      </w:r>
      <w:r w:rsidRPr="007B3744">
        <w:rPr>
          <w:rFonts w:ascii="Calibri" w:hAnsi="Calibri" w:cs="Calibri"/>
          <w:lang w:eastAsia="en-NZ"/>
        </w:rPr>
        <w:t>set</w:t>
      </w:r>
      <w:r w:rsidR="003D640C">
        <w:rPr>
          <w:rFonts w:ascii="Calibri" w:hAnsi="Calibri" w:cs="Calibri"/>
          <w:lang w:eastAsia="en-NZ"/>
        </w:rPr>
        <w:t xml:space="preserve"> </w:t>
      </w:r>
      <w:r w:rsidRPr="007B3744">
        <w:rPr>
          <w:rFonts w:ascii="Calibri" w:hAnsi="Calibri" w:cs="Calibri"/>
          <w:lang w:eastAsia="en-NZ"/>
        </w:rPr>
        <w:t>out</w:t>
      </w:r>
      <w:r w:rsidR="003D640C">
        <w:rPr>
          <w:rFonts w:ascii="Calibri" w:hAnsi="Calibri" w:cs="Calibri"/>
          <w:lang w:eastAsia="en-NZ"/>
        </w:rPr>
        <w:t xml:space="preserve"> </w:t>
      </w:r>
      <w:r w:rsidRPr="007B3744">
        <w:rPr>
          <w:rFonts w:ascii="Calibri" w:hAnsi="Calibri" w:cs="Calibri"/>
          <w:lang w:eastAsia="en-NZ"/>
        </w:rPr>
        <w:t>in</w:t>
      </w:r>
      <w:r w:rsidR="003D640C">
        <w:rPr>
          <w:rFonts w:ascii="Calibri" w:hAnsi="Calibri" w:cs="Calibri"/>
          <w:lang w:eastAsia="en-NZ"/>
        </w:rPr>
        <w:t xml:space="preserve"> </w:t>
      </w:r>
      <w:r w:rsidRPr="007B3744">
        <w:rPr>
          <w:rFonts w:ascii="Calibri" w:hAnsi="Calibri" w:cs="Calibri"/>
          <w:lang w:eastAsia="en-NZ"/>
        </w:rPr>
        <w:t>te</w:t>
      </w:r>
      <w:r w:rsidR="003D640C">
        <w:rPr>
          <w:rFonts w:ascii="Calibri" w:hAnsi="Calibri" w:cs="Calibri"/>
          <w:lang w:eastAsia="en-NZ"/>
        </w:rPr>
        <w:t xml:space="preserve"> </w:t>
      </w:r>
      <w:r w:rsidRPr="007B3744">
        <w:rPr>
          <w:rFonts w:ascii="Calibri" w:hAnsi="Calibri" w:cs="Calibri"/>
          <w:lang w:eastAsia="en-NZ"/>
        </w:rPr>
        <w:t>Tiriti.</w:t>
      </w:r>
    </w:p>
    <w:p w14:paraId="3B06F091" w14:textId="55CCF67A" w:rsidR="00501068" w:rsidRDefault="00984B78" w:rsidP="0002020B">
      <w:pPr>
        <w:rPr>
          <w:rFonts w:ascii="Calibri" w:hAnsi="Calibri" w:cs="Calibri"/>
          <w:lang w:eastAsia="en-NZ"/>
        </w:rPr>
      </w:pPr>
      <w:r w:rsidRPr="007B3744">
        <w:rPr>
          <w:rFonts w:ascii="Calibri" w:hAnsi="Calibri" w:cs="Calibri"/>
          <w:lang w:eastAsia="en-NZ"/>
        </w:rPr>
        <w:t>UNDRIP</w:t>
      </w:r>
      <w:r w:rsidR="003D640C">
        <w:rPr>
          <w:rFonts w:ascii="Calibri" w:hAnsi="Calibri" w:cs="Calibri"/>
          <w:lang w:eastAsia="en-NZ"/>
        </w:rPr>
        <w:t xml:space="preserve"> </w:t>
      </w:r>
      <w:r w:rsidRPr="007B3744">
        <w:rPr>
          <w:rFonts w:ascii="Calibri" w:hAnsi="Calibri" w:cs="Calibri"/>
          <w:lang w:eastAsia="en-NZ"/>
        </w:rPr>
        <w:t>protects</w:t>
      </w:r>
      <w:r w:rsidR="003D640C">
        <w:rPr>
          <w:rFonts w:ascii="Calibri" w:hAnsi="Calibri" w:cs="Calibri"/>
          <w:lang w:eastAsia="en-NZ"/>
        </w:rPr>
        <w:t xml:space="preserve"> </w:t>
      </w:r>
      <w:r w:rsidRPr="007B3744">
        <w:rPr>
          <w:rFonts w:ascii="Calibri" w:hAnsi="Calibri" w:cs="Calibri"/>
          <w:lang w:eastAsia="en-NZ"/>
        </w:rPr>
        <w:t>Indigenous</w:t>
      </w:r>
      <w:r w:rsidR="003D640C">
        <w:rPr>
          <w:rFonts w:ascii="Calibri" w:hAnsi="Calibri" w:cs="Calibri"/>
          <w:lang w:eastAsia="en-NZ"/>
        </w:rPr>
        <w:t xml:space="preserve"> </w:t>
      </w:r>
      <w:r w:rsidR="006D74C8">
        <w:rPr>
          <w:rFonts w:ascii="Calibri" w:hAnsi="Calibri" w:cs="Calibri"/>
          <w:lang w:eastAsia="en-NZ"/>
        </w:rPr>
        <w:t>p</w:t>
      </w:r>
      <w:r w:rsidRPr="007B3744">
        <w:rPr>
          <w:rFonts w:ascii="Calibri" w:hAnsi="Calibri" w:cs="Calibri"/>
          <w:lang w:eastAsia="en-NZ"/>
        </w:rPr>
        <w:t>eoples’</w:t>
      </w:r>
      <w:r w:rsidR="003D640C">
        <w:rPr>
          <w:rFonts w:ascii="Calibri" w:hAnsi="Calibri" w:cs="Calibri"/>
          <w:lang w:eastAsia="en-NZ"/>
        </w:rPr>
        <w:t xml:space="preserve"> </w:t>
      </w:r>
      <w:r w:rsidRPr="007B3744">
        <w:rPr>
          <w:rFonts w:ascii="Calibri" w:hAnsi="Calibri" w:cs="Calibri"/>
          <w:lang w:eastAsia="en-NZ"/>
        </w:rPr>
        <w:t>right</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their</w:t>
      </w:r>
      <w:r w:rsidR="003D640C">
        <w:rPr>
          <w:rFonts w:ascii="Calibri" w:hAnsi="Calibri" w:cs="Calibri"/>
          <w:lang w:eastAsia="en-NZ"/>
        </w:rPr>
        <w:t xml:space="preserve"> </w:t>
      </w:r>
      <w:r w:rsidRPr="007B3744">
        <w:rPr>
          <w:rFonts w:ascii="Calibri" w:hAnsi="Calibri" w:cs="Calibri"/>
          <w:lang w:eastAsia="en-NZ"/>
        </w:rPr>
        <w:t>own</w:t>
      </w:r>
      <w:r w:rsidR="003D640C">
        <w:rPr>
          <w:rFonts w:ascii="Calibri" w:hAnsi="Calibri" w:cs="Calibri"/>
          <w:lang w:eastAsia="en-NZ"/>
        </w:rPr>
        <w:t xml:space="preserve"> </w:t>
      </w:r>
      <w:r w:rsidRPr="007B3744">
        <w:rPr>
          <w:rFonts w:ascii="Calibri" w:hAnsi="Calibri" w:cs="Calibri"/>
          <w:lang w:eastAsia="en-NZ"/>
        </w:rPr>
        <w:t>identity</w:t>
      </w:r>
      <w:r w:rsidR="003D640C">
        <w:rPr>
          <w:rFonts w:ascii="Calibri" w:hAnsi="Calibri" w:cs="Calibri"/>
          <w:lang w:eastAsia="en-NZ"/>
        </w:rPr>
        <w:t xml:space="preserve"> </w:t>
      </w:r>
      <w:r w:rsidRPr="007B3744">
        <w:rPr>
          <w:rFonts w:ascii="Calibri" w:hAnsi="Calibri" w:cs="Calibri"/>
          <w:lang w:eastAsia="en-NZ"/>
        </w:rPr>
        <w:t>in</w:t>
      </w:r>
      <w:r w:rsidR="003D640C">
        <w:rPr>
          <w:rFonts w:ascii="Calibri" w:hAnsi="Calibri" w:cs="Calibri"/>
          <w:lang w:eastAsia="en-NZ"/>
        </w:rPr>
        <w:t xml:space="preserve"> </w:t>
      </w:r>
      <w:r w:rsidRPr="007B3744">
        <w:rPr>
          <w:rFonts w:ascii="Calibri" w:hAnsi="Calibri" w:cs="Calibri"/>
          <w:lang w:eastAsia="en-NZ"/>
        </w:rPr>
        <w:t>accordance</w:t>
      </w:r>
      <w:r w:rsidR="003D640C">
        <w:rPr>
          <w:rFonts w:ascii="Calibri" w:hAnsi="Calibri" w:cs="Calibri"/>
          <w:lang w:eastAsia="en-NZ"/>
        </w:rPr>
        <w:t xml:space="preserve"> </w:t>
      </w:r>
      <w:r w:rsidRPr="007B3744">
        <w:rPr>
          <w:rFonts w:ascii="Calibri" w:hAnsi="Calibri" w:cs="Calibri"/>
          <w:lang w:eastAsia="en-NZ"/>
        </w:rPr>
        <w:t>with</w:t>
      </w:r>
      <w:r w:rsidR="003D640C">
        <w:rPr>
          <w:rFonts w:ascii="Calibri" w:hAnsi="Calibri" w:cs="Calibri"/>
          <w:lang w:eastAsia="en-NZ"/>
        </w:rPr>
        <w:t xml:space="preserve"> </w:t>
      </w:r>
      <w:r w:rsidRPr="007B3744">
        <w:rPr>
          <w:rFonts w:ascii="Calibri" w:hAnsi="Calibri" w:cs="Calibri"/>
          <w:lang w:eastAsia="en-NZ"/>
        </w:rPr>
        <w:t>their</w:t>
      </w:r>
      <w:r w:rsidR="003D640C">
        <w:rPr>
          <w:rFonts w:ascii="Calibri" w:hAnsi="Calibri" w:cs="Calibri"/>
          <w:lang w:eastAsia="en-NZ"/>
        </w:rPr>
        <w:t xml:space="preserve"> </w:t>
      </w:r>
      <w:r w:rsidRPr="007B3744">
        <w:rPr>
          <w:rFonts w:ascii="Calibri" w:hAnsi="Calibri" w:cs="Calibri"/>
          <w:lang w:eastAsia="en-NZ"/>
        </w:rPr>
        <w:t>customs</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traditions,</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right</w:t>
      </w:r>
      <w:r w:rsidR="003D640C">
        <w:rPr>
          <w:rFonts w:ascii="Calibri" w:hAnsi="Calibri" w:cs="Calibri"/>
          <w:lang w:eastAsia="en-NZ"/>
        </w:rPr>
        <w:t xml:space="preserve"> </w:t>
      </w:r>
      <w:r w:rsidRPr="007B3744">
        <w:rPr>
          <w:rFonts w:ascii="Calibri" w:hAnsi="Calibri" w:cs="Calibri"/>
          <w:lang w:eastAsia="en-NZ"/>
        </w:rPr>
        <w:t>not</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be</w:t>
      </w:r>
      <w:r w:rsidR="003D640C">
        <w:rPr>
          <w:rFonts w:ascii="Calibri" w:hAnsi="Calibri" w:cs="Calibri"/>
          <w:lang w:eastAsia="en-NZ"/>
        </w:rPr>
        <w:t xml:space="preserve"> </w:t>
      </w:r>
      <w:r w:rsidRPr="007B3744">
        <w:rPr>
          <w:rFonts w:ascii="Calibri" w:hAnsi="Calibri" w:cs="Calibri"/>
          <w:lang w:eastAsia="en-NZ"/>
        </w:rPr>
        <w:t>subjected</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destruction</w:t>
      </w:r>
      <w:r w:rsidR="003D640C">
        <w:rPr>
          <w:rFonts w:ascii="Calibri" w:hAnsi="Calibri" w:cs="Calibri"/>
          <w:lang w:eastAsia="en-NZ"/>
        </w:rPr>
        <w:t xml:space="preserve"> </w:t>
      </w:r>
      <w:r w:rsidRPr="007B3744">
        <w:rPr>
          <w:rFonts w:ascii="Calibri" w:hAnsi="Calibri" w:cs="Calibri"/>
          <w:lang w:eastAsia="en-NZ"/>
        </w:rPr>
        <w:t>of</w:t>
      </w:r>
      <w:r w:rsidR="003D640C">
        <w:rPr>
          <w:rFonts w:ascii="Calibri" w:hAnsi="Calibri" w:cs="Calibri"/>
          <w:lang w:eastAsia="en-NZ"/>
        </w:rPr>
        <w:t xml:space="preserve"> </w:t>
      </w:r>
      <w:r w:rsidRPr="007B3744">
        <w:rPr>
          <w:rFonts w:ascii="Calibri" w:hAnsi="Calibri" w:cs="Calibri"/>
          <w:lang w:eastAsia="en-NZ"/>
        </w:rPr>
        <w:t>their</w:t>
      </w:r>
      <w:r w:rsidR="003D640C">
        <w:rPr>
          <w:rFonts w:ascii="Calibri" w:hAnsi="Calibri" w:cs="Calibri"/>
          <w:lang w:eastAsia="en-NZ"/>
        </w:rPr>
        <w:t xml:space="preserve"> </w:t>
      </w:r>
      <w:r w:rsidRPr="007B3744">
        <w:rPr>
          <w:rFonts w:ascii="Calibri" w:hAnsi="Calibri" w:cs="Calibri"/>
          <w:lang w:eastAsia="en-NZ"/>
        </w:rPr>
        <w:t>culture,</w:t>
      </w:r>
      <w:r w:rsidR="003D640C">
        <w:rPr>
          <w:rFonts w:ascii="Calibri" w:hAnsi="Calibri" w:cs="Calibri"/>
          <w:lang w:eastAsia="en-NZ"/>
        </w:rPr>
        <w:t xml:space="preserve"> </w:t>
      </w:r>
      <w:r w:rsidR="00787777" w:rsidRPr="007B3744">
        <w:rPr>
          <w:rFonts w:ascii="Calibri" w:hAnsi="Calibri" w:cs="Calibri"/>
          <w:lang w:eastAsia="en-NZ"/>
        </w:rPr>
        <w:t>the</w:t>
      </w:r>
      <w:r w:rsidR="003D640C">
        <w:rPr>
          <w:rFonts w:ascii="Calibri" w:hAnsi="Calibri" w:cs="Calibri"/>
          <w:lang w:eastAsia="en-NZ"/>
        </w:rPr>
        <w:t xml:space="preserve"> </w:t>
      </w:r>
      <w:r w:rsidR="00787777" w:rsidRPr="007B3744">
        <w:rPr>
          <w:rFonts w:ascii="Calibri" w:hAnsi="Calibri" w:cs="Calibri"/>
          <w:lang w:eastAsia="en-NZ"/>
        </w:rPr>
        <w:t>right</w:t>
      </w:r>
      <w:r w:rsidR="003D640C">
        <w:rPr>
          <w:rFonts w:ascii="Calibri" w:hAnsi="Calibri" w:cs="Calibri"/>
          <w:lang w:eastAsia="en-NZ"/>
        </w:rPr>
        <w:t xml:space="preserve"> </w:t>
      </w:r>
      <w:r w:rsidR="00787777" w:rsidRPr="007B3744">
        <w:rPr>
          <w:rFonts w:ascii="Calibri" w:hAnsi="Calibri" w:cs="Calibri"/>
          <w:lang w:eastAsia="en-NZ"/>
        </w:rPr>
        <w:t>to</w:t>
      </w:r>
      <w:r w:rsidR="003D640C">
        <w:rPr>
          <w:rFonts w:ascii="Calibri" w:hAnsi="Calibri" w:cs="Calibri"/>
          <w:lang w:eastAsia="en-NZ"/>
        </w:rPr>
        <w:t xml:space="preserve"> </w:t>
      </w:r>
      <w:r w:rsidR="00787777" w:rsidRPr="007B3744">
        <w:rPr>
          <w:rFonts w:ascii="Calibri" w:hAnsi="Calibri" w:cs="Calibri"/>
          <w:lang w:eastAsia="en-NZ"/>
        </w:rPr>
        <w:t>their</w:t>
      </w:r>
      <w:r w:rsidR="003D640C">
        <w:rPr>
          <w:rFonts w:ascii="Calibri" w:hAnsi="Calibri" w:cs="Calibri"/>
          <w:lang w:eastAsia="en-NZ"/>
        </w:rPr>
        <w:t xml:space="preserve"> </w:t>
      </w:r>
      <w:r w:rsidR="00787777" w:rsidRPr="007B3744">
        <w:rPr>
          <w:rFonts w:ascii="Calibri" w:hAnsi="Calibri" w:cs="Calibri"/>
          <w:lang w:eastAsia="en-NZ"/>
        </w:rPr>
        <w:t>spiritual</w:t>
      </w:r>
      <w:r w:rsidR="003D640C">
        <w:rPr>
          <w:rFonts w:ascii="Calibri" w:hAnsi="Calibri" w:cs="Calibri"/>
          <w:lang w:eastAsia="en-NZ"/>
        </w:rPr>
        <w:t xml:space="preserve"> </w:t>
      </w:r>
      <w:r w:rsidR="00787777" w:rsidRPr="007B3744">
        <w:rPr>
          <w:rFonts w:ascii="Calibri" w:hAnsi="Calibri" w:cs="Calibri"/>
          <w:lang w:eastAsia="en-NZ"/>
        </w:rPr>
        <w:t>and</w:t>
      </w:r>
      <w:r w:rsidR="003D640C">
        <w:rPr>
          <w:rFonts w:ascii="Calibri" w:hAnsi="Calibri" w:cs="Calibri"/>
          <w:lang w:eastAsia="en-NZ"/>
        </w:rPr>
        <w:t xml:space="preserve"> </w:t>
      </w:r>
      <w:r w:rsidR="00787777" w:rsidRPr="007B3744">
        <w:rPr>
          <w:rFonts w:ascii="Calibri" w:hAnsi="Calibri" w:cs="Calibri"/>
          <w:lang w:eastAsia="en-NZ"/>
        </w:rPr>
        <w:t>religious</w:t>
      </w:r>
      <w:r w:rsidR="003D640C">
        <w:rPr>
          <w:rFonts w:ascii="Calibri" w:hAnsi="Calibri" w:cs="Calibri"/>
          <w:lang w:eastAsia="en-NZ"/>
        </w:rPr>
        <w:t xml:space="preserve"> </w:t>
      </w:r>
      <w:r w:rsidR="00787777" w:rsidRPr="007B3744">
        <w:rPr>
          <w:rFonts w:ascii="Calibri" w:hAnsi="Calibri" w:cs="Calibri"/>
          <w:lang w:eastAsia="en-NZ"/>
        </w:rPr>
        <w:t>traditions,</w:t>
      </w:r>
      <w:r w:rsidR="003D640C">
        <w:rPr>
          <w:rFonts w:ascii="Calibri" w:hAnsi="Calibri" w:cs="Calibri"/>
          <w:lang w:eastAsia="en-NZ"/>
        </w:rPr>
        <w:t xml:space="preserve"> </w:t>
      </w:r>
      <w:r w:rsidRPr="007B3744">
        <w:rPr>
          <w:rFonts w:ascii="Calibri" w:hAnsi="Calibri" w:cs="Calibri"/>
          <w:lang w:eastAsia="en-NZ"/>
        </w:rPr>
        <w:t>and</w:t>
      </w:r>
      <w:r w:rsidR="003D640C">
        <w:rPr>
          <w:rFonts w:ascii="Calibri" w:hAnsi="Calibri" w:cs="Calibri"/>
          <w:lang w:eastAsia="en-NZ"/>
        </w:rPr>
        <w:t xml:space="preserve"> </w:t>
      </w:r>
      <w:r w:rsidRPr="007B3744">
        <w:rPr>
          <w:rFonts w:ascii="Calibri" w:hAnsi="Calibri" w:cs="Calibri"/>
          <w:lang w:eastAsia="en-NZ"/>
        </w:rPr>
        <w:t>the</w:t>
      </w:r>
      <w:r w:rsidR="003D640C">
        <w:rPr>
          <w:rFonts w:ascii="Calibri" w:hAnsi="Calibri" w:cs="Calibri"/>
          <w:lang w:eastAsia="en-NZ"/>
        </w:rPr>
        <w:t xml:space="preserve"> </w:t>
      </w:r>
      <w:r w:rsidRPr="007B3744">
        <w:rPr>
          <w:rFonts w:ascii="Calibri" w:hAnsi="Calibri" w:cs="Calibri"/>
          <w:lang w:eastAsia="en-NZ"/>
        </w:rPr>
        <w:t>right</w:t>
      </w:r>
      <w:r w:rsidR="003D640C">
        <w:rPr>
          <w:rFonts w:ascii="Calibri" w:hAnsi="Calibri" w:cs="Calibri"/>
          <w:lang w:eastAsia="en-NZ"/>
        </w:rPr>
        <w:t xml:space="preserve"> </w:t>
      </w:r>
      <w:r w:rsidRPr="007B3744">
        <w:rPr>
          <w:rFonts w:ascii="Calibri" w:hAnsi="Calibri" w:cs="Calibri"/>
          <w:lang w:eastAsia="en-NZ"/>
        </w:rPr>
        <w:t>to</w:t>
      </w:r>
      <w:r w:rsidR="003D640C">
        <w:rPr>
          <w:rFonts w:ascii="Calibri" w:hAnsi="Calibri" w:cs="Calibri"/>
          <w:lang w:eastAsia="en-NZ"/>
        </w:rPr>
        <w:t xml:space="preserve"> </w:t>
      </w:r>
      <w:r w:rsidRPr="007B3744">
        <w:rPr>
          <w:rFonts w:ascii="Calibri" w:hAnsi="Calibri" w:cs="Calibri"/>
          <w:lang w:eastAsia="en-NZ"/>
        </w:rPr>
        <w:t>develop</w:t>
      </w:r>
      <w:r w:rsidR="003D640C">
        <w:rPr>
          <w:rFonts w:ascii="Calibri" w:hAnsi="Calibri" w:cs="Calibri"/>
          <w:lang w:eastAsia="en-NZ"/>
        </w:rPr>
        <w:t xml:space="preserve"> </w:t>
      </w:r>
      <w:r w:rsidRPr="007B3744">
        <w:rPr>
          <w:rFonts w:ascii="Calibri" w:hAnsi="Calibri" w:cs="Calibri"/>
          <w:lang w:eastAsia="en-NZ"/>
        </w:rPr>
        <w:t>future</w:t>
      </w:r>
      <w:r w:rsidR="003D640C">
        <w:rPr>
          <w:rFonts w:ascii="Calibri" w:hAnsi="Calibri" w:cs="Calibri"/>
          <w:lang w:eastAsia="en-NZ"/>
        </w:rPr>
        <w:t xml:space="preserve"> </w:t>
      </w:r>
      <w:r w:rsidRPr="007B3744">
        <w:rPr>
          <w:rFonts w:ascii="Calibri" w:hAnsi="Calibri" w:cs="Calibri"/>
          <w:lang w:eastAsia="en-NZ"/>
        </w:rPr>
        <w:t>manifestations</w:t>
      </w:r>
      <w:r w:rsidR="003D640C">
        <w:rPr>
          <w:rFonts w:ascii="Calibri" w:hAnsi="Calibri" w:cs="Calibri"/>
          <w:lang w:eastAsia="en-NZ"/>
        </w:rPr>
        <w:t xml:space="preserve"> </w:t>
      </w:r>
      <w:r w:rsidRPr="007B3744">
        <w:rPr>
          <w:rFonts w:ascii="Calibri" w:hAnsi="Calibri" w:cs="Calibri"/>
          <w:lang w:eastAsia="en-NZ"/>
        </w:rPr>
        <w:t>of</w:t>
      </w:r>
      <w:r w:rsidR="003D640C">
        <w:rPr>
          <w:rFonts w:ascii="Calibri" w:hAnsi="Calibri" w:cs="Calibri"/>
          <w:lang w:eastAsia="en-NZ"/>
        </w:rPr>
        <w:t xml:space="preserve"> </w:t>
      </w:r>
      <w:r w:rsidRPr="007B3744">
        <w:rPr>
          <w:rFonts w:ascii="Calibri" w:hAnsi="Calibri" w:cs="Calibri"/>
          <w:lang w:eastAsia="en-NZ"/>
        </w:rPr>
        <w:t>their</w:t>
      </w:r>
      <w:r w:rsidR="003D640C">
        <w:rPr>
          <w:rFonts w:ascii="Calibri" w:hAnsi="Calibri" w:cs="Calibri"/>
          <w:lang w:eastAsia="en-NZ"/>
        </w:rPr>
        <w:t xml:space="preserve"> </w:t>
      </w:r>
      <w:r w:rsidRPr="007B3744">
        <w:rPr>
          <w:rFonts w:ascii="Calibri" w:hAnsi="Calibri" w:cs="Calibri"/>
          <w:lang w:eastAsia="en-NZ"/>
        </w:rPr>
        <w:t>culture</w:t>
      </w:r>
      <w:r w:rsidR="003D640C">
        <w:rPr>
          <w:rFonts w:ascii="Calibri" w:hAnsi="Calibri" w:cs="Calibri"/>
          <w:lang w:eastAsia="en-NZ"/>
        </w:rPr>
        <w:t xml:space="preserve"> </w:t>
      </w:r>
      <w:r w:rsidR="00787777" w:rsidRPr="007B3744">
        <w:rPr>
          <w:rFonts w:ascii="Calibri" w:hAnsi="Calibri" w:cs="Calibri"/>
          <w:lang w:eastAsia="en-NZ"/>
        </w:rPr>
        <w:t>(</w:t>
      </w:r>
      <w:r w:rsidR="00B37575">
        <w:rPr>
          <w:rFonts w:ascii="Calibri" w:hAnsi="Calibri" w:cs="Calibri"/>
          <w:lang w:eastAsia="en-NZ"/>
        </w:rPr>
        <w:t>A</w:t>
      </w:r>
      <w:r w:rsidR="00787777" w:rsidRPr="007B3744">
        <w:rPr>
          <w:rFonts w:ascii="Calibri" w:hAnsi="Calibri" w:cs="Calibri"/>
          <w:lang w:eastAsia="en-NZ"/>
        </w:rPr>
        <w:t>rticles</w:t>
      </w:r>
      <w:r w:rsidR="003D640C">
        <w:rPr>
          <w:rFonts w:ascii="Calibri" w:hAnsi="Calibri" w:cs="Calibri"/>
          <w:lang w:eastAsia="en-NZ"/>
        </w:rPr>
        <w:t xml:space="preserve"> </w:t>
      </w:r>
      <w:r w:rsidR="00787777" w:rsidRPr="007B3744">
        <w:rPr>
          <w:rFonts w:ascii="Calibri" w:hAnsi="Calibri" w:cs="Calibri"/>
          <w:lang w:eastAsia="en-NZ"/>
        </w:rPr>
        <w:t>2,</w:t>
      </w:r>
      <w:r w:rsidR="003D640C">
        <w:rPr>
          <w:rFonts w:ascii="Calibri" w:hAnsi="Calibri" w:cs="Calibri"/>
          <w:lang w:eastAsia="en-NZ"/>
        </w:rPr>
        <w:t xml:space="preserve"> </w:t>
      </w:r>
      <w:r w:rsidR="00787777" w:rsidRPr="007B3744">
        <w:rPr>
          <w:rFonts w:ascii="Calibri" w:hAnsi="Calibri" w:cs="Calibri"/>
          <w:lang w:eastAsia="en-NZ"/>
        </w:rPr>
        <w:t>8,</w:t>
      </w:r>
      <w:r w:rsidR="003D640C">
        <w:rPr>
          <w:rFonts w:ascii="Calibri" w:hAnsi="Calibri" w:cs="Calibri"/>
          <w:lang w:eastAsia="en-NZ"/>
        </w:rPr>
        <w:t xml:space="preserve"> </w:t>
      </w:r>
      <w:r w:rsidR="00787777" w:rsidRPr="007B3744">
        <w:rPr>
          <w:rFonts w:ascii="Calibri" w:hAnsi="Calibri" w:cs="Calibri"/>
          <w:lang w:eastAsia="en-NZ"/>
        </w:rPr>
        <w:t>12,</w:t>
      </w:r>
      <w:r w:rsidR="003D640C">
        <w:rPr>
          <w:rFonts w:ascii="Calibri" w:hAnsi="Calibri" w:cs="Calibri"/>
          <w:lang w:eastAsia="en-NZ"/>
        </w:rPr>
        <w:t xml:space="preserve"> </w:t>
      </w:r>
      <w:r w:rsidR="00787777" w:rsidRPr="007B3744">
        <w:rPr>
          <w:rFonts w:ascii="Calibri" w:hAnsi="Calibri" w:cs="Calibri"/>
          <w:lang w:eastAsia="en-NZ"/>
        </w:rPr>
        <w:t>13)</w:t>
      </w:r>
      <w:r w:rsidRPr="007B3744">
        <w:rPr>
          <w:rFonts w:ascii="Calibri" w:hAnsi="Calibri" w:cs="Calibri"/>
          <w:lang w:eastAsia="en-NZ"/>
        </w:rPr>
        <w:t>.</w:t>
      </w:r>
      <w:r w:rsidR="003D640C">
        <w:rPr>
          <w:rFonts w:ascii="Calibri" w:hAnsi="Calibri" w:cs="Calibri"/>
          <w:lang w:eastAsia="en-NZ"/>
        </w:rPr>
        <w:t xml:space="preserve"> </w:t>
      </w:r>
      <w:r w:rsidR="00787777" w:rsidRPr="007B3744">
        <w:rPr>
          <w:rFonts w:ascii="Calibri" w:hAnsi="Calibri" w:cs="Calibri"/>
          <w:lang w:eastAsia="en-NZ"/>
        </w:rPr>
        <w:t>For</w:t>
      </w:r>
      <w:r w:rsidR="003D640C">
        <w:rPr>
          <w:rFonts w:ascii="Calibri" w:hAnsi="Calibri" w:cs="Calibri"/>
          <w:lang w:eastAsia="en-NZ"/>
        </w:rPr>
        <w:t xml:space="preserve"> </w:t>
      </w:r>
      <w:r w:rsidR="00787777" w:rsidRPr="007B3744">
        <w:rPr>
          <w:rFonts w:ascii="Calibri" w:hAnsi="Calibri" w:cs="Calibri"/>
          <w:lang w:eastAsia="en-NZ"/>
        </w:rPr>
        <w:t>Māori</w:t>
      </w:r>
      <w:r w:rsidR="003D640C">
        <w:rPr>
          <w:rFonts w:ascii="Calibri" w:hAnsi="Calibri" w:cs="Calibri"/>
          <w:lang w:eastAsia="en-NZ"/>
        </w:rPr>
        <w:t xml:space="preserve"> </w:t>
      </w:r>
      <w:r w:rsidR="00787777" w:rsidRPr="007B3744">
        <w:rPr>
          <w:rFonts w:ascii="Calibri" w:hAnsi="Calibri" w:cs="Calibri"/>
          <w:lang w:eastAsia="en-NZ"/>
        </w:rPr>
        <w:t>in</w:t>
      </w:r>
      <w:r w:rsidR="003D640C">
        <w:rPr>
          <w:rFonts w:ascii="Calibri" w:hAnsi="Calibri" w:cs="Calibri"/>
          <w:lang w:eastAsia="en-NZ"/>
        </w:rPr>
        <w:t xml:space="preserve"> </w:t>
      </w:r>
      <w:r w:rsidR="00787777" w:rsidRPr="007B3744">
        <w:rPr>
          <w:rFonts w:ascii="Calibri" w:hAnsi="Calibri" w:cs="Calibri"/>
          <w:lang w:eastAsia="en-NZ"/>
        </w:rPr>
        <w:t>Aotearoa,</w:t>
      </w:r>
      <w:r w:rsidR="003D640C">
        <w:rPr>
          <w:rFonts w:ascii="Calibri" w:hAnsi="Calibri" w:cs="Calibri"/>
          <w:lang w:eastAsia="en-NZ"/>
        </w:rPr>
        <w:t xml:space="preserve"> </w:t>
      </w:r>
      <w:r w:rsidR="00787777" w:rsidRPr="007B3744">
        <w:rPr>
          <w:rFonts w:ascii="Calibri" w:hAnsi="Calibri" w:cs="Calibri"/>
          <w:lang w:eastAsia="en-NZ"/>
        </w:rPr>
        <w:t>this</w:t>
      </w:r>
      <w:r w:rsidR="003D640C">
        <w:rPr>
          <w:rFonts w:ascii="Calibri" w:hAnsi="Calibri" w:cs="Calibri"/>
          <w:lang w:eastAsia="en-NZ"/>
        </w:rPr>
        <w:t xml:space="preserve"> </w:t>
      </w:r>
      <w:r w:rsidR="00787777" w:rsidRPr="007B3744">
        <w:rPr>
          <w:rFonts w:ascii="Calibri" w:hAnsi="Calibri" w:cs="Calibri"/>
          <w:lang w:eastAsia="en-NZ"/>
        </w:rPr>
        <w:t>provides</w:t>
      </w:r>
      <w:r w:rsidR="003D640C">
        <w:rPr>
          <w:rFonts w:ascii="Calibri" w:hAnsi="Calibri" w:cs="Calibri"/>
          <w:lang w:eastAsia="en-NZ"/>
        </w:rPr>
        <w:t xml:space="preserve"> </w:t>
      </w:r>
      <w:r w:rsidR="00787777" w:rsidRPr="007B3744">
        <w:rPr>
          <w:rFonts w:ascii="Calibri" w:hAnsi="Calibri" w:cs="Calibri"/>
          <w:lang w:eastAsia="en-NZ"/>
        </w:rPr>
        <w:t>the</w:t>
      </w:r>
      <w:r w:rsidR="003D640C">
        <w:rPr>
          <w:rFonts w:ascii="Calibri" w:hAnsi="Calibri" w:cs="Calibri"/>
          <w:lang w:eastAsia="en-NZ"/>
        </w:rPr>
        <w:t xml:space="preserve"> </w:t>
      </w:r>
      <w:r w:rsidR="00787777" w:rsidRPr="007B3744">
        <w:rPr>
          <w:rFonts w:ascii="Calibri" w:hAnsi="Calibri" w:cs="Calibri"/>
          <w:lang w:eastAsia="en-NZ"/>
        </w:rPr>
        <w:t>right</w:t>
      </w:r>
      <w:r w:rsidR="003D640C">
        <w:rPr>
          <w:rFonts w:ascii="Calibri" w:hAnsi="Calibri" w:cs="Calibri"/>
          <w:lang w:eastAsia="en-NZ"/>
        </w:rPr>
        <w:t xml:space="preserve"> </w:t>
      </w:r>
      <w:r w:rsidR="00787777" w:rsidRPr="007B3744">
        <w:rPr>
          <w:rFonts w:ascii="Calibri" w:hAnsi="Calibri" w:cs="Calibri"/>
          <w:lang w:eastAsia="en-NZ"/>
        </w:rPr>
        <w:t>to</w:t>
      </w:r>
      <w:r w:rsidR="003D640C">
        <w:rPr>
          <w:rFonts w:ascii="Calibri" w:hAnsi="Calibri" w:cs="Calibri"/>
          <w:lang w:eastAsia="en-NZ"/>
        </w:rPr>
        <w:t xml:space="preserve"> </w:t>
      </w:r>
      <w:r w:rsidR="00787777" w:rsidRPr="007B3744">
        <w:rPr>
          <w:rFonts w:ascii="Calibri" w:hAnsi="Calibri" w:cs="Calibri"/>
          <w:lang w:eastAsia="en-NZ"/>
        </w:rPr>
        <w:t>embrace</w:t>
      </w:r>
      <w:r w:rsidR="003D640C">
        <w:rPr>
          <w:rFonts w:ascii="Calibri" w:hAnsi="Calibri" w:cs="Calibri"/>
          <w:lang w:eastAsia="en-NZ"/>
        </w:rPr>
        <w:t xml:space="preserve"> </w:t>
      </w:r>
      <w:r w:rsidR="00787777" w:rsidRPr="007B3744">
        <w:rPr>
          <w:rFonts w:ascii="Calibri" w:hAnsi="Calibri" w:cs="Calibri"/>
          <w:lang w:eastAsia="en-NZ"/>
        </w:rPr>
        <w:t>the</w:t>
      </w:r>
      <w:r w:rsidR="003D640C">
        <w:rPr>
          <w:rFonts w:ascii="Calibri" w:hAnsi="Calibri" w:cs="Calibri"/>
          <w:lang w:eastAsia="en-NZ"/>
        </w:rPr>
        <w:t xml:space="preserve"> </w:t>
      </w:r>
      <w:r w:rsidR="00787777" w:rsidRPr="007B3744">
        <w:rPr>
          <w:rFonts w:ascii="Calibri" w:hAnsi="Calibri" w:cs="Calibri"/>
          <w:lang w:eastAsia="en-NZ"/>
        </w:rPr>
        <w:t>affirming</w:t>
      </w:r>
      <w:r w:rsidR="003D640C">
        <w:rPr>
          <w:rFonts w:ascii="Calibri" w:hAnsi="Calibri" w:cs="Calibri"/>
          <w:lang w:eastAsia="en-NZ"/>
        </w:rPr>
        <w:t xml:space="preserve"> </w:t>
      </w:r>
      <w:r w:rsidR="00787777" w:rsidRPr="007B3744">
        <w:rPr>
          <w:rFonts w:ascii="Calibri" w:hAnsi="Calibri" w:cs="Calibri"/>
          <w:lang w:eastAsia="en-NZ"/>
        </w:rPr>
        <w:t>and</w:t>
      </w:r>
      <w:r w:rsidR="003D640C">
        <w:rPr>
          <w:rFonts w:ascii="Calibri" w:hAnsi="Calibri" w:cs="Calibri"/>
          <w:lang w:eastAsia="en-NZ"/>
        </w:rPr>
        <w:t xml:space="preserve"> </w:t>
      </w:r>
      <w:r w:rsidR="00787777" w:rsidRPr="007B3744">
        <w:rPr>
          <w:rFonts w:ascii="Calibri" w:hAnsi="Calibri" w:cs="Calibri"/>
          <w:lang w:eastAsia="en-NZ"/>
        </w:rPr>
        <w:t>inclusive</w:t>
      </w:r>
      <w:r w:rsidR="003D640C">
        <w:rPr>
          <w:rFonts w:ascii="Calibri" w:hAnsi="Calibri" w:cs="Calibri"/>
          <w:lang w:eastAsia="en-NZ"/>
        </w:rPr>
        <w:t xml:space="preserve"> </w:t>
      </w:r>
      <w:r w:rsidR="00787777" w:rsidRPr="007B3744">
        <w:rPr>
          <w:rFonts w:ascii="Calibri" w:hAnsi="Calibri" w:cs="Calibri"/>
          <w:lang w:eastAsia="en-NZ"/>
        </w:rPr>
        <w:t>attitudes</w:t>
      </w:r>
      <w:r w:rsidR="003D640C">
        <w:rPr>
          <w:rFonts w:ascii="Calibri" w:hAnsi="Calibri" w:cs="Calibri"/>
          <w:lang w:eastAsia="en-NZ"/>
        </w:rPr>
        <w:t xml:space="preserve"> </w:t>
      </w:r>
      <w:r w:rsidR="00787777" w:rsidRPr="007B3744">
        <w:rPr>
          <w:rFonts w:ascii="Calibri" w:hAnsi="Calibri" w:cs="Calibri"/>
          <w:lang w:eastAsia="en-NZ"/>
        </w:rPr>
        <w:t>they</w:t>
      </w:r>
      <w:r w:rsidR="003D640C">
        <w:rPr>
          <w:rFonts w:ascii="Calibri" w:hAnsi="Calibri" w:cs="Calibri"/>
          <w:lang w:eastAsia="en-NZ"/>
        </w:rPr>
        <w:t xml:space="preserve"> </w:t>
      </w:r>
      <w:r w:rsidR="00787777" w:rsidRPr="007B3744">
        <w:rPr>
          <w:rFonts w:ascii="Calibri" w:hAnsi="Calibri" w:cs="Calibri"/>
          <w:lang w:eastAsia="en-NZ"/>
        </w:rPr>
        <w:t>have</w:t>
      </w:r>
      <w:r w:rsidR="003D640C">
        <w:rPr>
          <w:rFonts w:ascii="Calibri" w:hAnsi="Calibri" w:cs="Calibri"/>
          <w:lang w:eastAsia="en-NZ"/>
        </w:rPr>
        <w:t xml:space="preserve"> </w:t>
      </w:r>
      <w:r w:rsidR="00787777" w:rsidRPr="007B3744">
        <w:rPr>
          <w:rFonts w:ascii="Calibri" w:hAnsi="Calibri" w:cs="Calibri"/>
          <w:lang w:eastAsia="en-NZ"/>
        </w:rPr>
        <w:t>historically</w:t>
      </w:r>
      <w:r w:rsidR="003D640C">
        <w:rPr>
          <w:rFonts w:ascii="Calibri" w:hAnsi="Calibri" w:cs="Calibri"/>
          <w:lang w:eastAsia="en-NZ"/>
        </w:rPr>
        <w:t xml:space="preserve"> </w:t>
      </w:r>
      <w:r w:rsidR="00787777" w:rsidRPr="007B3744">
        <w:rPr>
          <w:rFonts w:ascii="Calibri" w:hAnsi="Calibri" w:cs="Calibri"/>
          <w:lang w:eastAsia="en-NZ"/>
        </w:rPr>
        <w:t>had</w:t>
      </w:r>
      <w:r w:rsidR="003D640C">
        <w:rPr>
          <w:rFonts w:ascii="Calibri" w:hAnsi="Calibri" w:cs="Calibri"/>
          <w:lang w:eastAsia="en-NZ"/>
        </w:rPr>
        <w:t xml:space="preserve"> </w:t>
      </w:r>
      <w:r w:rsidR="00787777" w:rsidRPr="007B3744">
        <w:rPr>
          <w:rFonts w:ascii="Calibri" w:hAnsi="Calibri" w:cs="Calibri"/>
          <w:lang w:eastAsia="en-NZ"/>
        </w:rPr>
        <w:t>towards</w:t>
      </w:r>
      <w:r w:rsidR="003D640C">
        <w:rPr>
          <w:rFonts w:ascii="Calibri" w:hAnsi="Calibri" w:cs="Calibri"/>
          <w:lang w:eastAsia="en-NZ"/>
        </w:rPr>
        <w:t xml:space="preserve"> </w:t>
      </w:r>
      <w:r w:rsidR="00787777" w:rsidRPr="007B3744">
        <w:rPr>
          <w:rFonts w:ascii="Calibri" w:hAnsi="Calibri" w:cs="Calibri"/>
          <w:lang w:eastAsia="en-NZ"/>
        </w:rPr>
        <w:t>gender</w:t>
      </w:r>
      <w:r w:rsidR="003D640C">
        <w:rPr>
          <w:rFonts w:ascii="Calibri" w:hAnsi="Calibri" w:cs="Calibri"/>
          <w:lang w:eastAsia="en-NZ"/>
        </w:rPr>
        <w:t xml:space="preserve"> </w:t>
      </w:r>
      <w:r w:rsidR="00787777" w:rsidRPr="007B3744">
        <w:rPr>
          <w:rFonts w:ascii="Calibri" w:hAnsi="Calibri" w:cs="Calibri"/>
          <w:lang w:eastAsia="en-NZ"/>
        </w:rPr>
        <w:t>identity</w:t>
      </w:r>
      <w:r w:rsidR="003D640C">
        <w:rPr>
          <w:rFonts w:ascii="Calibri" w:hAnsi="Calibri" w:cs="Calibri"/>
          <w:lang w:eastAsia="en-NZ"/>
        </w:rPr>
        <w:t xml:space="preserve"> </w:t>
      </w:r>
      <w:r w:rsidR="00787777" w:rsidRPr="007B3744">
        <w:rPr>
          <w:rFonts w:ascii="Calibri" w:hAnsi="Calibri" w:cs="Calibri"/>
          <w:lang w:eastAsia="en-NZ"/>
        </w:rPr>
        <w:t>and</w:t>
      </w:r>
      <w:r w:rsidR="003D640C">
        <w:rPr>
          <w:rFonts w:ascii="Calibri" w:hAnsi="Calibri" w:cs="Calibri"/>
          <w:lang w:eastAsia="en-NZ"/>
        </w:rPr>
        <w:t xml:space="preserve"> </w:t>
      </w:r>
      <w:r w:rsidR="00787777" w:rsidRPr="007B3744">
        <w:rPr>
          <w:rFonts w:ascii="Calibri" w:hAnsi="Calibri" w:cs="Calibri"/>
          <w:lang w:eastAsia="en-NZ"/>
        </w:rPr>
        <w:t>sexual</w:t>
      </w:r>
      <w:r w:rsidR="003D640C">
        <w:rPr>
          <w:rFonts w:ascii="Calibri" w:hAnsi="Calibri" w:cs="Calibri"/>
          <w:lang w:eastAsia="en-NZ"/>
        </w:rPr>
        <w:t xml:space="preserve"> </w:t>
      </w:r>
      <w:r w:rsidR="00787777" w:rsidRPr="007B3744">
        <w:rPr>
          <w:rFonts w:ascii="Calibri" w:hAnsi="Calibri" w:cs="Calibri"/>
          <w:lang w:eastAsia="en-NZ"/>
        </w:rPr>
        <w:t>orientation</w:t>
      </w:r>
      <w:r w:rsidR="003D640C">
        <w:rPr>
          <w:rFonts w:ascii="Calibri" w:hAnsi="Calibri" w:cs="Calibri"/>
          <w:lang w:eastAsia="en-NZ"/>
        </w:rPr>
        <w:t xml:space="preserve"> </w:t>
      </w:r>
      <w:r w:rsidR="00787777" w:rsidRPr="007B3744">
        <w:rPr>
          <w:rFonts w:ascii="Calibri" w:hAnsi="Calibri" w:cs="Calibri"/>
          <w:lang w:eastAsia="en-NZ"/>
        </w:rPr>
        <w:t>as</w:t>
      </w:r>
      <w:r w:rsidR="003D640C">
        <w:rPr>
          <w:rFonts w:ascii="Calibri" w:hAnsi="Calibri" w:cs="Calibri"/>
          <w:lang w:eastAsia="en-NZ"/>
        </w:rPr>
        <w:t xml:space="preserve"> </w:t>
      </w:r>
      <w:r w:rsidR="00787777" w:rsidRPr="007B3744">
        <w:rPr>
          <w:rFonts w:ascii="Calibri" w:hAnsi="Calibri" w:cs="Calibri"/>
          <w:lang w:eastAsia="en-NZ"/>
        </w:rPr>
        <w:t>well</w:t>
      </w:r>
      <w:r w:rsidR="003D640C">
        <w:rPr>
          <w:rFonts w:ascii="Calibri" w:hAnsi="Calibri" w:cs="Calibri"/>
          <w:lang w:eastAsia="en-NZ"/>
        </w:rPr>
        <w:t xml:space="preserve"> </w:t>
      </w:r>
      <w:r w:rsidR="00787777" w:rsidRPr="007B3744">
        <w:rPr>
          <w:rFonts w:ascii="Calibri" w:hAnsi="Calibri" w:cs="Calibri"/>
          <w:lang w:eastAsia="en-NZ"/>
        </w:rPr>
        <w:t>as</w:t>
      </w:r>
      <w:r w:rsidR="003D640C">
        <w:rPr>
          <w:rFonts w:ascii="Calibri" w:hAnsi="Calibri" w:cs="Calibri"/>
          <w:lang w:eastAsia="en-NZ"/>
        </w:rPr>
        <w:t xml:space="preserve"> </w:t>
      </w:r>
      <w:r w:rsidR="00787777" w:rsidRPr="007B3744">
        <w:rPr>
          <w:rFonts w:ascii="Calibri" w:hAnsi="Calibri" w:cs="Calibri"/>
          <w:lang w:eastAsia="en-NZ"/>
        </w:rPr>
        <w:t>to</w:t>
      </w:r>
      <w:r w:rsidR="003D640C">
        <w:rPr>
          <w:rFonts w:ascii="Calibri" w:hAnsi="Calibri" w:cs="Calibri"/>
          <w:lang w:eastAsia="en-NZ"/>
        </w:rPr>
        <w:t xml:space="preserve"> </w:t>
      </w:r>
      <w:r w:rsidR="00787777" w:rsidRPr="007B3744">
        <w:rPr>
          <w:rFonts w:ascii="Calibri" w:hAnsi="Calibri" w:cs="Calibri"/>
          <w:lang w:eastAsia="en-NZ"/>
        </w:rPr>
        <w:t>the</w:t>
      </w:r>
      <w:r w:rsidR="003D640C">
        <w:rPr>
          <w:rFonts w:ascii="Calibri" w:hAnsi="Calibri" w:cs="Calibri"/>
          <w:lang w:eastAsia="en-NZ"/>
        </w:rPr>
        <w:t xml:space="preserve"> </w:t>
      </w:r>
      <w:r w:rsidR="00787777" w:rsidRPr="007B3744">
        <w:rPr>
          <w:rFonts w:ascii="Calibri" w:hAnsi="Calibri" w:cs="Calibri"/>
          <w:lang w:eastAsia="en-NZ"/>
        </w:rPr>
        <w:t>reclamation</w:t>
      </w:r>
      <w:r w:rsidR="003D640C">
        <w:rPr>
          <w:rFonts w:ascii="Calibri" w:hAnsi="Calibri" w:cs="Calibri"/>
          <w:lang w:eastAsia="en-NZ"/>
        </w:rPr>
        <w:t xml:space="preserve"> </w:t>
      </w:r>
      <w:r w:rsidR="00787777" w:rsidRPr="007B3744">
        <w:rPr>
          <w:rFonts w:ascii="Calibri" w:hAnsi="Calibri" w:cs="Calibri"/>
          <w:lang w:eastAsia="en-NZ"/>
        </w:rPr>
        <w:t>of</w:t>
      </w:r>
      <w:r w:rsidR="003D640C">
        <w:rPr>
          <w:rFonts w:ascii="Calibri" w:hAnsi="Calibri" w:cs="Calibri"/>
          <w:lang w:eastAsia="en-NZ"/>
        </w:rPr>
        <w:t xml:space="preserve"> </w:t>
      </w:r>
      <w:r w:rsidR="00787777" w:rsidRPr="007B3744">
        <w:rPr>
          <w:rFonts w:ascii="Calibri" w:hAnsi="Calibri" w:cs="Calibri"/>
          <w:lang w:eastAsia="en-NZ"/>
        </w:rPr>
        <w:t>takatāpui</w:t>
      </w:r>
      <w:r w:rsidR="003D640C">
        <w:rPr>
          <w:rFonts w:ascii="Calibri" w:hAnsi="Calibri" w:cs="Calibri"/>
          <w:lang w:eastAsia="en-NZ"/>
        </w:rPr>
        <w:t xml:space="preserve"> </w:t>
      </w:r>
      <w:r w:rsidR="00787777" w:rsidRPr="007B3744">
        <w:rPr>
          <w:rFonts w:ascii="Calibri" w:hAnsi="Calibri" w:cs="Calibri"/>
          <w:lang w:eastAsia="en-NZ"/>
        </w:rPr>
        <w:t>as</w:t>
      </w:r>
      <w:r w:rsidR="003D640C">
        <w:rPr>
          <w:rFonts w:ascii="Calibri" w:hAnsi="Calibri" w:cs="Calibri"/>
          <w:lang w:eastAsia="en-NZ"/>
        </w:rPr>
        <w:t xml:space="preserve"> </w:t>
      </w:r>
      <w:r w:rsidR="00787777" w:rsidRPr="007B3744">
        <w:rPr>
          <w:rFonts w:ascii="Calibri" w:hAnsi="Calibri" w:cs="Calibri"/>
          <w:lang w:eastAsia="en-NZ"/>
        </w:rPr>
        <w:t>an</w:t>
      </w:r>
      <w:r w:rsidR="003D640C">
        <w:rPr>
          <w:rFonts w:ascii="Calibri" w:hAnsi="Calibri" w:cs="Calibri"/>
          <w:lang w:eastAsia="en-NZ"/>
        </w:rPr>
        <w:t xml:space="preserve"> </w:t>
      </w:r>
      <w:r w:rsidR="00787777" w:rsidRPr="007B3744">
        <w:rPr>
          <w:rFonts w:ascii="Calibri" w:hAnsi="Calibri" w:cs="Calibri"/>
          <w:lang w:eastAsia="en-NZ"/>
        </w:rPr>
        <w:t>identity.</w:t>
      </w:r>
      <w:r w:rsidR="003D640C">
        <w:rPr>
          <w:rFonts w:ascii="Calibri" w:hAnsi="Calibri" w:cs="Calibri"/>
          <w:lang w:eastAsia="en-NZ"/>
        </w:rPr>
        <w:t xml:space="preserve"> </w:t>
      </w:r>
    </w:p>
    <w:p w14:paraId="1B1F17A4" w14:textId="263576F2" w:rsidR="00286198" w:rsidRDefault="001F606A" w:rsidP="0002020B">
      <w:r>
        <w:lastRenderedPageBreak/>
        <w:t xml:space="preserve">A concept note regarding item 8 of the </w:t>
      </w:r>
      <w:r w:rsidR="00276B56">
        <w:t>16</w:t>
      </w:r>
      <w:r w:rsidR="00276B56" w:rsidRPr="00276B56">
        <w:t>th</w:t>
      </w:r>
      <w:r w:rsidR="00276B56">
        <w:t xml:space="preserve"> session of the </w:t>
      </w:r>
      <w:r w:rsidR="00162C94" w:rsidRPr="007B3744">
        <w:t>UN</w:t>
      </w:r>
      <w:r w:rsidR="003D640C">
        <w:t xml:space="preserve"> </w:t>
      </w:r>
      <w:r w:rsidR="00162C94" w:rsidRPr="007B3744">
        <w:t>Expert</w:t>
      </w:r>
      <w:r w:rsidR="003D640C">
        <w:t xml:space="preserve"> </w:t>
      </w:r>
      <w:r w:rsidR="00162C94" w:rsidRPr="007B3744">
        <w:t>Mechanism</w:t>
      </w:r>
      <w:r w:rsidR="003D640C">
        <w:t xml:space="preserve"> </w:t>
      </w:r>
      <w:r w:rsidR="00162C94" w:rsidRPr="007B3744">
        <w:t>on</w:t>
      </w:r>
      <w:r w:rsidR="003D640C">
        <w:t xml:space="preserve"> </w:t>
      </w:r>
      <w:r w:rsidR="00162C94" w:rsidRPr="007B3744">
        <w:t>the</w:t>
      </w:r>
      <w:r w:rsidR="003D640C">
        <w:t xml:space="preserve"> </w:t>
      </w:r>
      <w:r w:rsidR="00162C94" w:rsidRPr="007B3744">
        <w:t>Rights</w:t>
      </w:r>
      <w:r w:rsidR="003D640C">
        <w:t xml:space="preserve"> </w:t>
      </w:r>
      <w:r w:rsidR="00162C94" w:rsidRPr="007B3744">
        <w:t>of</w:t>
      </w:r>
      <w:r w:rsidR="003D640C">
        <w:t xml:space="preserve"> </w:t>
      </w:r>
      <w:r w:rsidR="00162C94" w:rsidRPr="007B3744">
        <w:t>Indigenous</w:t>
      </w:r>
      <w:r w:rsidR="003D640C">
        <w:t xml:space="preserve"> </w:t>
      </w:r>
      <w:r w:rsidR="00162C94" w:rsidRPr="007B3744">
        <w:t>Peoples</w:t>
      </w:r>
      <w:r w:rsidR="003D640C">
        <w:t xml:space="preserve"> </w:t>
      </w:r>
      <w:r w:rsidR="00162C94" w:rsidRPr="007B3744">
        <w:t>(EMRIP)</w:t>
      </w:r>
      <w:r w:rsidR="003D640C">
        <w:t xml:space="preserve"> </w:t>
      </w:r>
      <w:r>
        <w:t>i</w:t>
      </w:r>
      <w:r w:rsidRPr="007B3744">
        <w:t>n</w:t>
      </w:r>
      <w:r>
        <w:t xml:space="preserve"> </w:t>
      </w:r>
      <w:r w:rsidRPr="007B3744">
        <w:t>July</w:t>
      </w:r>
      <w:r>
        <w:t xml:space="preserve"> </w:t>
      </w:r>
      <w:r w:rsidRPr="007B3744">
        <w:t>2023</w:t>
      </w:r>
      <w:r>
        <w:t xml:space="preserve"> state</w:t>
      </w:r>
      <w:r w:rsidR="00994047">
        <w:t>s</w:t>
      </w:r>
      <w:r w:rsidR="00286198">
        <w:t>:</w:t>
      </w:r>
      <w:r>
        <w:t xml:space="preserve"> </w:t>
      </w:r>
    </w:p>
    <w:p w14:paraId="1EDDBE0D" w14:textId="47A1B013" w:rsidR="00501068" w:rsidRDefault="00162C94" w:rsidP="0050381E">
      <w:pPr>
        <w:pStyle w:val="Quote"/>
      </w:pPr>
      <w:r w:rsidRPr="007B3744">
        <w:t>Article</w:t>
      </w:r>
      <w:r w:rsidR="003D640C">
        <w:t xml:space="preserve"> </w:t>
      </w:r>
      <w:r w:rsidRPr="007B3744">
        <w:t>2</w:t>
      </w:r>
      <w:r w:rsidR="003D640C">
        <w:t xml:space="preserve"> </w:t>
      </w:r>
      <w:r w:rsidR="00286198">
        <w:t>[</w:t>
      </w:r>
      <w:r w:rsidRPr="007B3744">
        <w:t>of</w:t>
      </w:r>
      <w:r w:rsidR="003D640C">
        <w:t xml:space="preserve"> </w:t>
      </w:r>
      <w:r w:rsidRPr="007B3744">
        <w:t>UNDRIP</w:t>
      </w:r>
      <w:r w:rsidR="00286198">
        <w:t>]</w:t>
      </w:r>
      <w:r w:rsidR="003D640C">
        <w:t xml:space="preserve"> </w:t>
      </w:r>
      <w:r w:rsidRPr="007B3744">
        <w:t>affirms</w:t>
      </w:r>
      <w:r w:rsidR="003D640C">
        <w:t xml:space="preserve"> </w:t>
      </w:r>
      <w:r w:rsidRPr="007B3744">
        <w:t>that</w:t>
      </w:r>
      <w:r w:rsidR="003D640C">
        <w:t xml:space="preserve"> </w:t>
      </w:r>
      <w:r w:rsidRPr="007B3744">
        <w:t>Indigenous</w:t>
      </w:r>
      <w:r w:rsidR="003D640C">
        <w:t xml:space="preserve"> </w:t>
      </w:r>
      <w:r w:rsidRPr="007B3744">
        <w:t>Peoples,</w:t>
      </w:r>
      <w:r w:rsidR="003D640C">
        <w:t xml:space="preserve"> </w:t>
      </w:r>
      <w:r w:rsidRPr="007B3744">
        <w:t>including</w:t>
      </w:r>
      <w:r w:rsidR="003D640C">
        <w:t xml:space="preserve"> </w:t>
      </w:r>
      <w:r w:rsidRPr="007B3744">
        <w:t>LGBTQIA+</w:t>
      </w:r>
      <w:r w:rsidR="003D640C">
        <w:t xml:space="preserve"> </w:t>
      </w:r>
      <w:r w:rsidRPr="007B3744">
        <w:t>people,</w:t>
      </w:r>
      <w:r w:rsidR="003D640C">
        <w:t xml:space="preserve"> </w:t>
      </w:r>
      <w:r w:rsidRPr="007B3744">
        <w:t>are</w:t>
      </w:r>
      <w:r w:rsidR="003D640C">
        <w:t xml:space="preserve"> </w:t>
      </w:r>
      <w:r w:rsidRPr="007B3744">
        <w:t>free</w:t>
      </w:r>
      <w:r w:rsidR="003D640C">
        <w:t xml:space="preserve"> </w:t>
      </w:r>
      <w:r w:rsidRPr="007B3744">
        <w:t>and</w:t>
      </w:r>
      <w:r w:rsidR="003D640C">
        <w:t xml:space="preserve"> </w:t>
      </w:r>
      <w:r w:rsidRPr="007B3744">
        <w:t>equal</w:t>
      </w:r>
      <w:r w:rsidR="003D640C">
        <w:t xml:space="preserve"> </w:t>
      </w:r>
      <w:r w:rsidRPr="007B3744">
        <w:t>to</w:t>
      </w:r>
      <w:r w:rsidR="003D640C">
        <w:t xml:space="preserve"> </w:t>
      </w:r>
      <w:r w:rsidRPr="007B3744">
        <w:t>all</w:t>
      </w:r>
      <w:r w:rsidR="003D640C">
        <w:t xml:space="preserve"> </w:t>
      </w:r>
      <w:r w:rsidRPr="007B3744">
        <w:t>other</w:t>
      </w:r>
      <w:r w:rsidR="003D640C">
        <w:t xml:space="preserve"> </w:t>
      </w:r>
      <w:r w:rsidRPr="007B3744">
        <w:t>peoples</w:t>
      </w:r>
      <w:r w:rsidR="003D640C">
        <w:t xml:space="preserve"> </w:t>
      </w:r>
      <w:r w:rsidRPr="007B3744">
        <w:t>and</w:t>
      </w:r>
      <w:r w:rsidR="003D640C">
        <w:t xml:space="preserve"> </w:t>
      </w:r>
      <w:r w:rsidRPr="007B3744">
        <w:t>individuals</w:t>
      </w:r>
      <w:r w:rsidR="003D640C">
        <w:t xml:space="preserve"> </w:t>
      </w:r>
      <w:r w:rsidRPr="007B3744">
        <w:t>and</w:t>
      </w:r>
      <w:r w:rsidR="003D640C">
        <w:t xml:space="preserve"> </w:t>
      </w:r>
      <w:r w:rsidRPr="007B3744">
        <w:t>have</w:t>
      </w:r>
      <w:r w:rsidR="003D640C">
        <w:t xml:space="preserve"> </w:t>
      </w:r>
      <w:r w:rsidRPr="007B3744">
        <w:t>the</w:t>
      </w:r>
      <w:r w:rsidR="003D640C">
        <w:t xml:space="preserve"> </w:t>
      </w:r>
      <w:r w:rsidRPr="007B3744">
        <w:t>right</w:t>
      </w:r>
      <w:r w:rsidR="003D640C">
        <w:t xml:space="preserve"> </w:t>
      </w:r>
      <w:r w:rsidRPr="007B3744">
        <w:t>to</w:t>
      </w:r>
      <w:r w:rsidR="003D640C">
        <w:t xml:space="preserve"> </w:t>
      </w:r>
      <w:r w:rsidRPr="007B3744">
        <w:t>be</w:t>
      </w:r>
      <w:r w:rsidR="003D640C">
        <w:t xml:space="preserve"> </w:t>
      </w:r>
      <w:r w:rsidRPr="007B3744">
        <w:t>free</w:t>
      </w:r>
      <w:r w:rsidR="003D640C">
        <w:t xml:space="preserve"> </w:t>
      </w:r>
      <w:r w:rsidRPr="007B3744">
        <w:t>from</w:t>
      </w:r>
      <w:r w:rsidR="003D640C">
        <w:t xml:space="preserve"> </w:t>
      </w:r>
      <w:r w:rsidRPr="007B3744">
        <w:t>any</w:t>
      </w:r>
      <w:r w:rsidR="003D640C">
        <w:t xml:space="preserve"> </w:t>
      </w:r>
      <w:r w:rsidRPr="007B3744">
        <w:t>kind</w:t>
      </w:r>
      <w:r w:rsidR="003D640C">
        <w:t xml:space="preserve"> </w:t>
      </w:r>
      <w:r w:rsidRPr="007B3744">
        <w:t>of</w:t>
      </w:r>
      <w:r w:rsidR="003D640C">
        <w:t xml:space="preserve"> </w:t>
      </w:r>
      <w:r w:rsidRPr="007B3744">
        <w:t>discrimination</w:t>
      </w:r>
      <w:r w:rsidR="003D640C">
        <w:t xml:space="preserve"> </w:t>
      </w:r>
      <w:r w:rsidRPr="007B3744">
        <w:t>in</w:t>
      </w:r>
      <w:r w:rsidR="003D640C">
        <w:t xml:space="preserve"> </w:t>
      </w:r>
      <w:r w:rsidRPr="007B3744">
        <w:t>the</w:t>
      </w:r>
      <w:r w:rsidR="003D640C">
        <w:t xml:space="preserve"> </w:t>
      </w:r>
      <w:r w:rsidRPr="007B3744">
        <w:t>exercise</w:t>
      </w:r>
      <w:r w:rsidR="003D640C">
        <w:t xml:space="preserve"> </w:t>
      </w:r>
      <w:r w:rsidRPr="007B3744">
        <w:t>of</w:t>
      </w:r>
      <w:r w:rsidR="003D640C">
        <w:t xml:space="preserve"> </w:t>
      </w:r>
      <w:r w:rsidRPr="007B3744">
        <w:t>their</w:t>
      </w:r>
      <w:r w:rsidR="003D640C">
        <w:t xml:space="preserve"> </w:t>
      </w:r>
      <w:r w:rsidRPr="007B3744">
        <w:t>rights</w:t>
      </w:r>
      <w:r w:rsidR="001F606A">
        <w:t>.</w:t>
      </w:r>
      <w:r w:rsidR="003D640C">
        <w:t xml:space="preserve"> </w:t>
      </w:r>
      <w:r w:rsidRPr="007B3744">
        <w:t>This</w:t>
      </w:r>
      <w:r w:rsidR="003D640C">
        <w:t xml:space="preserve"> </w:t>
      </w:r>
      <w:r w:rsidRPr="007B3744">
        <w:t>includes</w:t>
      </w:r>
      <w:r w:rsidR="003D640C">
        <w:t xml:space="preserve"> </w:t>
      </w:r>
      <w:r w:rsidRPr="007B3744">
        <w:t>the</w:t>
      </w:r>
      <w:r w:rsidR="003D640C">
        <w:t xml:space="preserve"> </w:t>
      </w:r>
      <w:r w:rsidRPr="007B3744">
        <w:t>right</w:t>
      </w:r>
      <w:r w:rsidR="003D640C">
        <w:t xml:space="preserve"> </w:t>
      </w:r>
      <w:r w:rsidRPr="007B3744">
        <w:t>to</w:t>
      </w:r>
      <w:r w:rsidR="003D640C">
        <w:t xml:space="preserve"> </w:t>
      </w:r>
      <w:r w:rsidRPr="007B3744">
        <w:t>express</w:t>
      </w:r>
      <w:r w:rsidR="003D640C">
        <w:t xml:space="preserve"> </w:t>
      </w:r>
      <w:r w:rsidRPr="007B3744">
        <w:t>themselves,</w:t>
      </w:r>
      <w:r w:rsidR="003D640C">
        <w:t xml:space="preserve"> </w:t>
      </w:r>
      <w:r w:rsidRPr="007B3744">
        <w:t>based</w:t>
      </w:r>
      <w:r w:rsidR="003D640C">
        <w:t xml:space="preserve"> </w:t>
      </w:r>
      <w:r w:rsidRPr="007B3744">
        <w:t>on</w:t>
      </w:r>
      <w:r w:rsidR="003D640C">
        <w:t xml:space="preserve"> </w:t>
      </w:r>
      <w:r w:rsidRPr="007B3744">
        <w:t>their</w:t>
      </w:r>
      <w:r w:rsidR="003D640C">
        <w:t xml:space="preserve"> </w:t>
      </w:r>
      <w:r w:rsidRPr="007B3744">
        <w:t>Indigenous</w:t>
      </w:r>
      <w:r w:rsidR="003D640C">
        <w:t xml:space="preserve"> </w:t>
      </w:r>
      <w:r w:rsidRPr="007B3744">
        <w:t>origin</w:t>
      </w:r>
      <w:r w:rsidR="003D640C">
        <w:t xml:space="preserve"> </w:t>
      </w:r>
      <w:r w:rsidRPr="007B3744">
        <w:t>and</w:t>
      </w:r>
      <w:r w:rsidR="003D640C">
        <w:t xml:space="preserve"> </w:t>
      </w:r>
      <w:r w:rsidRPr="007B3744">
        <w:t>identity,</w:t>
      </w:r>
      <w:r w:rsidR="003D640C">
        <w:t xml:space="preserve"> </w:t>
      </w:r>
      <w:r w:rsidRPr="007B3744">
        <w:t>without</w:t>
      </w:r>
      <w:r w:rsidR="003D640C">
        <w:t xml:space="preserve"> </w:t>
      </w:r>
      <w:r w:rsidRPr="007B3744">
        <w:t>discrimination</w:t>
      </w:r>
      <w:r w:rsidR="0050381E">
        <w:t xml:space="preserve"> … </w:t>
      </w:r>
      <w:r w:rsidRPr="007B3744">
        <w:t>States</w:t>
      </w:r>
      <w:r w:rsidR="003D640C">
        <w:t xml:space="preserve"> </w:t>
      </w:r>
      <w:r w:rsidR="0050381E">
        <w:t>must</w:t>
      </w:r>
      <w:r w:rsidR="003D640C">
        <w:t xml:space="preserve"> </w:t>
      </w:r>
      <w:r w:rsidRPr="007B3744">
        <w:t>take</w:t>
      </w:r>
      <w:r w:rsidR="003D640C">
        <w:t xml:space="preserve"> </w:t>
      </w:r>
      <w:r w:rsidRPr="007B3744">
        <w:t>measures,</w:t>
      </w:r>
      <w:r w:rsidR="003D640C">
        <w:t xml:space="preserve"> </w:t>
      </w:r>
      <w:r w:rsidRPr="007B3744">
        <w:t>in</w:t>
      </w:r>
      <w:r w:rsidR="003D640C">
        <w:t xml:space="preserve"> </w:t>
      </w:r>
      <w:r w:rsidRPr="007B3744">
        <w:t>conjunction</w:t>
      </w:r>
      <w:r w:rsidR="003D640C">
        <w:t xml:space="preserve"> </w:t>
      </w:r>
      <w:r w:rsidRPr="007B3744">
        <w:t>with</w:t>
      </w:r>
      <w:r w:rsidR="003D640C">
        <w:t xml:space="preserve"> </w:t>
      </w:r>
      <w:r w:rsidRPr="007B3744">
        <w:t>Indigenous</w:t>
      </w:r>
      <w:r w:rsidR="003D640C">
        <w:t xml:space="preserve"> </w:t>
      </w:r>
      <w:r w:rsidR="00E50759">
        <w:t>p</w:t>
      </w:r>
      <w:r w:rsidRPr="007B3744">
        <w:t>eoples,</w:t>
      </w:r>
      <w:r w:rsidR="003D640C">
        <w:t xml:space="preserve"> </w:t>
      </w:r>
      <w:r w:rsidRPr="007B3744">
        <w:t>“to</w:t>
      </w:r>
      <w:r w:rsidR="003D640C">
        <w:t xml:space="preserve"> </w:t>
      </w:r>
      <w:r w:rsidRPr="007B3744">
        <w:t>ensure</w:t>
      </w:r>
      <w:r w:rsidR="003D640C">
        <w:t xml:space="preserve"> </w:t>
      </w:r>
      <w:r w:rsidRPr="007B3744">
        <w:t>that</w:t>
      </w:r>
      <w:r w:rsidR="003D640C">
        <w:t xml:space="preserve"> </w:t>
      </w:r>
      <w:r w:rsidRPr="007B3744">
        <w:t>LGBTQIA+</w:t>
      </w:r>
      <w:r w:rsidR="003D640C">
        <w:t xml:space="preserve"> </w:t>
      </w:r>
      <w:r w:rsidRPr="007B3744">
        <w:t>members</w:t>
      </w:r>
      <w:r w:rsidR="003D640C">
        <w:t xml:space="preserve"> </w:t>
      </w:r>
      <w:r w:rsidRPr="007B3744">
        <w:t>of</w:t>
      </w:r>
      <w:r w:rsidR="003D640C">
        <w:t xml:space="preserve"> </w:t>
      </w:r>
      <w:r w:rsidRPr="007B3744">
        <w:t>Indigenous</w:t>
      </w:r>
      <w:r w:rsidR="003D640C">
        <w:t xml:space="preserve"> </w:t>
      </w:r>
      <w:r w:rsidRPr="007B3744">
        <w:t>Peoples</w:t>
      </w:r>
      <w:r w:rsidR="003D640C">
        <w:t xml:space="preserve"> </w:t>
      </w:r>
      <w:r w:rsidRPr="007B3744">
        <w:t>enjoy</w:t>
      </w:r>
      <w:r w:rsidR="003D640C">
        <w:t xml:space="preserve"> </w:t>
      </w:r>
      <w:r w:rsidRPr="007B3744">
        <w:t>the</w:t>
      </w:r>
      <w:r w:rsidR="003D640C">
        <w:t xml:space="preserve"> </w:t>
      </w:r>
      <w:r w:rsidRPr="007B3744">
        <w:t>full</w:t>
      </w:r>
      <w:r w:rsidR="003D640C">
        <w:t xml:space="preserve"> </w:t>
      </w:r>
      <w:r w:rsidRPr="007B3744">
        <w:t>protection</w:t>
      </w:r>
      <w:r w:rsidR="003D640C">
        <w:t xml:space="preserve"> </w:t>
      </w:r>
      <w:r w:rsidRPr="007B3744">
        <w:t>and</w:t>
      </w:r>
      <w:r w:rsidR="003D640C">
        <w:t xml:space="preserve"> </w:t>
      </w:r>
      <w:r w:rsidRPr="007B3744">
        <w:t>guarantees</w:t>
      </w:r>
      <w:r w:rsidR="003D640C">
        <w:t xml:space="preserve"> </w:t>
      </w:r>
      <w:r w:rsidRPr="007B3744">
        <w:t>against</w:t>
      </w:r>
      <w:r w:rsidR="003D640C">
        <w:t xml:space="preserve"> </w:t>
      </w:r>
      <w:r w:rsidRPr="007B3744">
        <w:t>all</w:t>
      </w:r>
      <w:r w:rsidR="003D640C">
        <w:t xml:space="preserve"> </w:t>
      </w:r>
      <w:r w:rsidRPr="007B3744">
        <w:t>forms</w:t>
      </w:r>
      <w:r w:rsidR="003D640C">
        <w:t xml:space="preserve"> </w:t>
      </w:r>
      <w:r w:rsidRPr="007B3744">
        <w:t>of</w:t>
      </w:r>
      <w:r w:rsidR="003D640C">
        <w:t xml:space="preserve"> </w:t>
      </w:r>
      <w:r w:rsidRPr="007B3744">
        <w:t>violence</w:t>
      </w:r>
      <w:r w:rsidR="003D640C">
        <w:t xml:space="preserve"> </w:t>
      </w:r>
      <w:r w:rsidRPr="007B3744">
        <w:t>and</w:t>
      </w:r>
      <w:r w:rsidR="003D640C">
        <w:t xml:space="preserve"> </w:t>
      </w:r>
      <w:r w:rsidRPr="007B3744">
        <w:t>discrimination</w:t>
      </w:r>
      <w:r w:rsidR="0050381E">
        <w:t>.</w:t>
      </w:r>
      <w:r w:rsidR="003D640C">
        <w:t xml:space="preserve"> </w:t>
      </w:r>
    </w:p>
    <w:p w14:paraId="530B686D" w14:textId="0C5C3105" w:rsidR="00501068" w:rsidRDefault="00162C94" w:rsidP="007B139B">
      <w:pPr>
        <w:pStyle w:val="Quote"/>
      </w:pPr>
      <w:r w:rsidRPr="007B3744">
        <w:t>Article</w:t>
      </w:r>
      <w:r w:rsidR="003D640C">
        <w:t xml:space="preserve"> </w:t>
      </w:r>
      <w:r w:rsidRPr="007B3744">
        <w:t>8</w:t>
      </w:r>
      <w:r w:rsidR="003D640C">
        <w:t xml:space="preserve"> </w:t>
      </w:r>
      <w:r w:rsidRPr="007B3744">
        <w:t>affirms</w:t>
      </w:r>
      <w:r w:rsidR="003D640C">
        <w:t xml:space="preserve"> </w:t>
      </w:r>
      <w:r w:rsidRPr="007B3744">
        <w:t>that</w:t>
      </w:r>
      <w:r w:rsidR="003D640C">
        <w:t xml:space="preserve"> </w:t>
      </w:r>
      <w:r w:rsidRPr="007B3744">
        <w:t>Indigenous</w:t>
      </w:r>
      <w:r w:rsidR="003D640C">
        <w:t xml:space="preserve"> </w:t>
      </w:r>
      <w:r w:rsidRPr="007B3744">
        <w:t>Peoples</w:t>
      </w:r>
      <w:r w:rsidR="003D640C">
        <w:t xml:space="preserve"> </w:t>
      </w:r>
      <w:r w:rsidRPr="007B3744">
        <w:t>and</w:t>
      </w:r>
      <w:r w:rsidR="003D640C">
        <w:t xml:space="preserve"> </w:t>
      </w:r>
      <w:r w:rsidRPr="007B3744">
        <w:t>individuals,</w:t>
      </w:r>
      <w:r w:rsidR="003D640C">
        <w:t xml:space="preserve"> </w:t>
      </w:r>
      <w:r w:rsidRPr="007B3744">
        <w:t>including</w:t>
      </w:r>
      <w:r w:rsidR="003D640C">
        <w:t xml:space="preserve"> </w:t>
      </w:r>
      <w:r w:rsidR="00994047" w:rsidRPr="007B3744">
        <w:t>LGBTQIA+</w:t>
      </w:r>
      <w:r w:rsidR="00994047">
        <w:t xml:space="preserve"> </w:t>
      </w:r>
      <w:r w:rsidRPr="007B3744">
        <w:t>people,</w:t>
      </w:r>
      <w:r w:rsidR="003D640C">
        <w:t xml:space="preserve"> </w:t>
      </w:r>
      <w:r w:rsidRPr="007B3744">
        <w:t>have</w:t>
      </w:r>
      <w:r w:rsidR="003D640C">
        <w:t xml:space="preserve"> </w:t>
      </w:r>
      <w:r w:rsidRPr="007B3744">
        <w:t>the</w:t>
      </w:r>
      <w:r w:rsidR="003D640C">
        <w:t xml:space="preserve"> </w:t>
      </w:r>
      <w:r w:rsidRPr="007B3744">
        <w:t>right</w:t>
      </w:r>
      <w:r w:rsidR="003D640C">
        <w:t xml:space="preserve"> </w:t>
      </w:r>
      <w:r w:rsidRPr="007B3744">
        <w:t>not</w:t>
      </w:r>
      <w:r w:rsidR="003D640C">
        <w:t xml:space="preserve"> </w:t>
      </w:r>
      <w:r w:rsidRPr="007B3744">
        <w:t>to</w:t>
      </w:r>
      <w:r w:rsidR="003D640C">
        <w:t xml:space="preserve"> </w:t>
      </w:r>
      <w:r w:rsidRPr="007B3744">
        <w:t>be</w:t>
      </w:r>
      <w:r w:rsidR="003D640C">
        <w:t xml:space="preserve"> </w:t>
      </w:r>
      <w:r w:rsidRPr="007B3744">
        <w:t>subjected</w:t>
      </w:r>
      <w:r w:rsidR="003D640C">
        <w:t xml:space="preserve"> </w:t>
      </w:r>
      <w:r w:rsidRPr="007B3744">
        <w:t>to</w:t>
      </w:r>
      <w:r w:rsidR="003D640C">
        <w:t xml:space="preserve"> </w:t>
      </w:r>
      <w:r w:rsidRPr="007B3744">
        <w:t>forced</w:t>
      </w:r>
      <w:r w:rsidR="003D640C">
        <w:t xml:space="preserve"> </w:t>
      </w:r>
      <w:r w:rsidRPr="007B3744">
        <w:t>assimilation</w:t>
      </w:r>
      <w:r w:rsidR="003D640C">
        <w:t xml:space="preserve"> </w:t>
      </w:r>
      <w:r w:rsidRPr="007B3744">
        <w:t>or</w:t>
      </w:r>
      <w:r w:rsidR="003D640C">
        <w:t xml:space="preserve"> </w:t>
      </w:r>
      <w:r w:rsidRPr="007B3744">
        <w:t>destruction</w:t>
      </w:r>
      <w:r w:rsidR="003D640C">
        <w:t xml:space="preserve"> </w:t>
      </w:r>
      <w:r w:rsidRPr="007B3744">
        <w:t>of</w:t>
      </w:r>
      <w:r w:rsidR="003D640C">
        <w:t xml:space="preserve"> </w:t>
      </w:r>
      <w:r w:rsidRPr="007B3744">
        <w:t>their</w:t>
      </w:r>
      <w:r w:rsidR="003D640C">
        <w:t xml:space="preserve"> </w:t>
      </w:r>
      <w:r w:rsidRPr="007B3744">
        <w:t>culture.</w:t>
      </w:r>
      <w:r w:rsidR="003D640C">
        <w:t xml:space="preserve"> </w:t>
      </w:r>
      <w:r w:rsidRPr="007B3744">
        <w:t>This</w:t>
      </w:r>
      <w:r w:rsidR="003D640C">
        <w:t xml:space="preserve"> </w:t>
      </w:r>
      <w:r w:rsidRPr="007B3744">
        <w:t>includes</w:t>
      </w:r>
      <w:r w:rsidR="00994047">
        <w:t xml:space="preserve"> …</w:t>
      </w:r>
      <w:r w:rsidR="003D640C">
        <w:t xml:space="preserve"> </w:t>
      </w:r>
      <w:r w:rsidRPr="007B3744">
        <w:t>violence</w:t>
      </w:r>
      <w:r w:rsidR="003D640C">
        <w:t xml:space="preserve"> </w:t>
      </w:r>
      <w:r w:rsidRPr="007B3744">
        <w:t>and</w:t>
      </w:r>
      <w:r w:rsidR="003D640C">
        <w:t xml:space="preserve"> </w:t>
      </w:r>
      <w:r w:rsidRPr="007B3744">
        <w:t>discrimination</w:t>
      </w:r>
      <w:r w:rsidR="003D640C">
        <w:t xml:space="preserve"> </w:t>
      </w:r>
      <w:r w:rsidRPr="007B3744">
        <w:t>based</w:t>
      </w:r>
      <w:r w:rsidR="003D640C">
        <w:t xml:space="preserve"> </w:t>
      </w:r>
      <w:r w:rsidRPr="007B3744">
        <w:t>on</w:t>
      </w:r>
      <w:r w:rsidR="003D640C">
        <w:t xml:space="preserve"> </w:t>
      </w:r>
      <w:r w:rsidRPr="007B3744">
        <w:t>sexual</w:t>
      </w:r>
      <w:r w:rsidR="003D640C">
        <w:t xml:space="preserve"> </w:t>
      </w:r>
      <w:r w:rsidRPr="007B3744">
        <w:t>orientation,</w:t>
      </w:r>
      <w:r w:rsidR="003D640C">
        <w:t xml:space="preserve"> </w:t>
      </w:r>
      <w:r w:rsidRPr="007B3744">
        <w:t>gender</w:t>
      </w:r>
      <w:r w:rsidR="003D640C">
        <w:t xml:space="preserve"> </w:t>
      </w:r>
      <w:r w:rsidRPr="007B3744">
        <w:t>identity,</w:t>
      </w:r>
      <w:r w:rsidR="003D640C">
        <w:t xml:space="preserve"> </w:t>
      </w:r>
      <w:r w:rsidRPr="007B3744">
        <w:t>gender</w:t>
      </w:r>
      <w:r w:rsidR="003D640C">
        <w:t xml:space="preserve"> </w:t>
      </w:r>
      <w:r w:rsidRPr="007B3744">
        <w:t>expression</w:t>
      </w:r>
      <w:r w:rsidR="003D640C">
        <w:t xml:space="preserve"> </w:t>
      </w:r>
      <w:r w:rsidRPr="007B3744">
        <w:t>and</w:t>
      </w:r>
      <w:r w:rsidR="003D640C">
        <w:t xml:space="preserve"> </w:t>
      </w:r>
      <w:r w:rsidRPr="007B3744">
        <w:t>sex</w:t>
      </w:r>
      <w:r w:rsidR="003D640C">
        <w:t xml:space="preserve"> </w:t>
      </w:r>
      <w:r w:rsidRPr="007B3744">
        <w:t>characteristics,</w:t>
      </w:r>
      <w:r w:rsidR="003D640C">
        <w:t xml:space="preserve"> </w:t>
      </w:r>
      <w:r w:rsidRPr="007B3744">
        <w:t>which</w:t>
      </w:r>
      <w:r w:rsidR="003D640C">
        <w:t xml:space="preserve"> </w:t>
      </w:r>
      <w:r w:rsidR="00D337C0">
        <w:t xml:space="preserve">also </w:t>
      </w:r>
      <w:r w:rsidRPr="007B3744">
        <w:t>affects</w:t>
      </w:r>
      <w:r w:rsidR="003D640C">
        <w:t xml:space="preserve"> </w:t>
      </w:r>
      <w:r w:rsidR="00D337C0" w:rsidRPr="007B3744">
        <w:t>LGBTQIA+</w:t>
      </w:r>
      <w:r w:rsidR="00D337C0">
        <w:t xml:space="preserve"> </w:t>
      </w:r>
      <w:r w:rsidR="00D337C0" w:rsidRPr="007B3744">
        <w:t>members</w:t>
      </w:r>
      <w:r w:rsidR="00D337C0">
        <w:t xml:space="preserve"> </w:t>
      </w:r>
      <w:r w:rsidR="00D337C0" w:rsidRPr="007B3744">
        <w:t>of</w:t>
      </w:r>
      <w:r w:rsidR="00D337C0">
        <w:t xml:space="preserve"> </w:t>
      </w:r>
      <w:r w:rsidR="00D337C0" w:rsidRPr="007B3744">
        <w:t>Indigenous</w:t>
      </w:r>
      <w:r w:rsidR="00D337C0">
        <w:t xml:space="preserve"> </w:t>
      </w:r>
      <w:r w:rsidR="00D337C0" w:rsidRPr="007B3744">
        <w:t>Peoples</w:t>
      </w:r>
      <w:r w:rsidR="003D640C">
        <w:t xml:space="preserve"> </w:t>
      </w:r>
      <w:r w:rsidR="00D337C0">
        <w:t>…</w:t>
      </w:r>
      <w:r w:rsidR="003D640C">
        <w:t xml:space="preserve"> </w:t>
      </w:r>
      <w:r w:rsidRPr="007B3744">
        <w:t>States</w:t>
      </w:r>
      <w:r w:rsidR="003D640C">
        <w:t xml:space="preserve"> </w:t>
      </w:r>
      <w:r w:rsidRPr="007B3744">
        <w:t>must</w:t>
      </w:r>
      <w:r w:rsidR="003D640C">
        <w:t xml:space="preserve"> </w:t>
      </w:r>
      <w:r w:rsidRPr="007B3744">
        <w:t>take</w:t>
      </w:r>
      <w:r w:rsidR="003D640C">
        <w:t xml:space="preserve"> </w:t>
      </w:r>
      <w:r w:rsidRPr="007B3744">
        <w:t>measures,</w:t>
      </w:r>
      <w:r w:rsidR="003D640C">
        <w:t xml:space="preserve"> </w:t>
      </w:r>
      <w:r w:rsidRPr="007B3744">
        <w:t>in</w:t>
      </w:r>
      <w:r w:rsidR="003D640C">
        <w:t xml:space="preserve"> </w:t>
      </w:r>
      <w:r w:rsidRPr="007B3744">
        <w:t>conjunction</w:t>
      </w:r>
      <w:r w:rsidR="003D640C">
        <w:t xml:space="preserve"> </w:t>
      </w:r>
      <w:r w:rsidRPr="007B3744">
        <w:t>with</w:t>
      </w:r>
      <w:r w:rsidR="003D640C">
        <w:t xml:space="preserve"> </w:t>
      </w:r>
      <w:r w:rsidRPr="007B3744">
        <w:t>Indigenous</w:t>
      </w:r>
      <w:r w:rsidR="003D640C">
        <w:t xml:space="preserve"> </w:t>
      </w:r>
      <w:r w:rsidR="00D337C0">
        <w:t>P</w:t>
      </w:r>
      <w:r w:rsidRPr="007B3744">
        <w:t>eoples,</w:t>
      </w:r>
      <w:r w:rsidR="003D640C">
        <w:t xml:space="preserve"> </w:t>
      </w:r>
      <w:r w:rsidRPr="007B3744">
        <w:t>to</w:t>
      </w:r>
      <w:r w:rsidR="003D640C">
        <w:t xml:space="preserve"> </w:t>
      </w:r>
      <w:r w:rsidRPr="007B3744">
        <w:t>prevent</w:t>
      </w:r>
      <w:r w:rsidR="003D640C">
        <w:t xml:space="preserve"> </w:t>
      </w:r>
      <w:r w:rsidRPr="007B3744">
        <w:t>any</w:t>
      </w:r>
      <w:r w:rsidR="003D640C">
        <w:t xml:space="preserve"> </w:t>
      </w:r>
      <w:r w:rsidRPr="007B3744">
        <w:t>action</w:t>
      </w:r>
      <w:r w:rsidR="003D640C">
        <w:t xml:space="preserve"> </w:t>
      </w:r>
      <w:r w:rsidRPr="007B3744">
        <w:t>which</w:t>
      </w:r>
      <w:r w:rsidR="003D640C">
        <w:t xml:space="preserve"> </w:t>
      </w:r>
      <w:r w:rsidRPr="007B3744">
        <w:t>has</w:t>
      </w:r>
      <w:r w:rsidR="003D640C">
        <w:t xml:space="preserve"> </w:t>
      </w:r>
      <w:r w:rsidRPr="007B3744">
        <w:t>the</w:t>
      </w:r>
      <w:r w:rsidR="003D640C">
        <w:t xml:space="preserve"> </w:t>
      </w:r>
      <w:r w:rsidRPr="007B3744">
        <w:t>aim</w:t>
      </w:r>
      <w:r w:rsidR="003D640C">
        <w:t xml:space="preserve"> </w:t>
      </w:r>
      <w:r w:rsidRPr="007B3744">
        <w:t>or</w:t>
      </w:r>
      <w:r w:rsidR="003D640C">
        <w:t xml:space="preserve"> </w:t>
      </w:r>
      <w:r w:rsidRPr="007B3744">
        <w:t>effect</w:t>
      </w:r>
      <w:r w:rsidR="003D640C">
        <w:t xml:space="preserve"> </w:t>
      </w:r>
      <w:r w:rsidRPr="007B3744">
        <w:t>of</w:t>
      </w:r>
      <w:r w:rsidR="003D640C">
        <w:t xml:space="preserve"> </w:t>
      </w:r>
      <w:r w:rsidRPr="007B3744">
        <w:t>depriving</w:t>
      </w:r>
      <w:r w:rsidR="003D640C">
        <w:t xml:space="preserve"> </w:t>
      </w:r>
      <w:r w:rsidRPr="007B3744">
        <w:t>LGBTQIA+</w:t>
      </w:r>
      <w:r w:rsidR="003D640C">
        <w:t xml:space="preserve"> </w:t>
      </w:r>
      <w:r w:rsidRPr="007B3744">
        <w:t>members</w:t>
      </w:r>
      <w:r w:rsidR="003D640C">
        <w:t xml:space="preserve"> </w:t>
      </w:r>
      <w:r w:rsidRPr="007B3744">
        <w:t>of</w:t>
      </w:r>
      <w:r w:rsidR="003D640C">
        <w:t xml:space="preserve"> </w:t>
      </w:r>
      <w:r w:rsidRPr="007B3744">
        <w:t>Indigenous</w:t>
      </w:r>
      <w:r w:rsidR="003D640C">
        <w:t xml:space="preserve"> </w:t>
      </w:r>
      <w:r w:rsidRPr="007B3744">
        <w:t>Peoples</w:t>
      </w:r>
      <w:r w:rsidR="003D640C">
        <w:t xml:space="preserve"> </w:t>
      </w:r>
      <w:r w:rsidRPr="007B3744">
        <w:t>of</w:t>
      </w:r>
      <w:r w:rsidR="003D640C">
        <w:t xml:space="preserve"> </w:t>
      </w:r>
      <w:r w:rsidRPr="007B3744">
        <w:t>their</w:t>
      </w:r>
      <w:r w:rsidR="003D640C">
        <w:t xml:space="preserve"> </w:t>
      </w:r>
      <w:r w:rsidRPr="007B3744">
        <w:t>integrity</w:t>
      </w:r>
      <w:r w:rsidR="003D640C">
        <w:t xml:space="preserve"> </w:t>
      </w:r>
      <w:r w:rsidRPr="007B3744">
        <w:t>as</w:t>
      </w:r>
      <w:r w:rsidR="003D640C">
        <w:t xml:space="preserve"> </w:t>
      </w:r>
      <w:r w:rsidRPr="007B3744">
        <w:t>distinct</w:t>
      </w:r>
      <w:r w:rsidR="003D640C">
        <w:t xml:space="preserve"> </w:t>
      </w:r>
      <w:r w:rsidRPr="007B3744">
        <w:t>peoples,</w:t>
      </w:r>
      <w:r w:rsidR="003D640C">
        <w:t xml:space="preserve"> </w:t>
      </w:r>
      <w:r w:rsidRPr="007B3744">
        <w:t>or</w:t>
      </w:r>
      <w:r w:rsidR="003D640C">
        <w:t xml:space="preserve"> </w:t>
      </w:r>
      <w:r w:rsidRPr="007B3744">
        <w:t>of</w:t>
      </w:r>
      <w:r w:rsidR="003D640C">
        <w:t xml:space="preserve"> </w:t>
      </w:r>
      <w:r w:rsidRPr="007B3744">
        <w:t>their</w:t>
      </w:r>
      <w:r w:rsidR="003D640C">
        <w:t xml:space="preserve"> </w:t>
      </w:r>
      <w:r w:rsidRPr="007B3744">
        <w:t>cultural</w:t>
      </w:r>
      <w:r w:rsidR="003D640C">
        <w:t xml:space="preserve"> </w:t>
      </w:r>
      <w:r w:rsidRPr="007B3744">
        <w:t>values</w:t>
      </w:r>
      <w:r w:rsidR="003D640C">
        <w:t xml:space="preserve"> </w:t>
      </w:r>
      <w:r w:rsidRPr="007B3744">
        <w:t>or</w:t>
      </w:r>
      <w:r w:rsidR="003D640C">
        <w:t xml:space="preserve"> </w:t>
      </w:r>
      <w:r w:rsidRPr="007B3744">
        <w:t>ethnic</w:t>
      </w:r>
      <w:r w:rsidR="003D640C">
        <w:t xml:space="preserve"> </w:t>
      </w:r>
      <w:r w:rsidRPr="007B3744">
        <w:t>identities</w:t>
      </w:r>
      <w:r w:rsidR="003F204C">
        <w:t>.</w:t>
      </w:r>
      <w:r w:rsidR="0040555D">
        <w:t>”</w:t>
      </w:r>
      <w:r w:rsidR="00D337C0" w:rsidRPr="007B3744">
        <w:rPr>
          <w:rStyle w:val="FootnoteReference"/>
        </w:rPr>
        <w:footnoteReference w:id="52"/>
      </w:r>
    </w:p>
    <w:p w14:paraId="7F051893" w14:textId="5FE160FE" w:rsidR="00E8751C" w:rsidRDefault="00162C94" w:rsidP="0002020B">
      <w:r w:rsidRPr="007B3744">
        <w:t>Discussion</w:t>
      </w:r>
      <w:r w:rsidR="003D640C">
        <w:t xml:space="preserve"> </w:t>
      </w:r>
      <w:r w:rsidRPr="007B3744">
        <w:t>on</w:t>
      </w:r>
      <w:r w:rsidR="003D640C">
        <w:t xml:space="preserve"> </w:t>
      </w:r>
      <w:r w:rsidRPr="007B3744">
        <w:t>the</w:t>
      </w:r>
      <w:r w:rsidR="003D640C">
        <w:t xml:space="preserve"> </w:t>
      </w:r>
      <w:r w:rsidRPr="007B3744">
        <w:t>topic</w:t>
      </w:r>
      <w:r w:rsidR="003D640C">
        <w:t xml:space="preserve"> </w:t>
      </w:r>
      <w:r w:rsidRPr="007B3744">
        <w:t>at</w:t>
      </w:r>
      <w:r w:rsidR="003D640C">
        <w:t xml:space="preserve"> </w:t>
      </w:r>
      <w:r w:rsidR="005C77E2">
        <w:t>the</w:t>
      </w:r>
      <w:r w:rsidR="003D640C">
        <w:t xml:space="preserve"> </w:t>
      </w:r>
      <w:r w:rsidR="005C77E2">
        <w:t>annual</w:t>
      </w:r>
      <w:r w:rsidR="003D640C">
        <w:t xml:space="preserve"> </w:t>
      </w:r>
      <w:r w:rsidRPr="007B3744">
        <w:t>EMRIP</w:t>
      </w:r>
      <w:r w:rsidR="003D640C">
        <w:t xml:space="preserve"> </w:t>
      </w:r>
      <w:r w:rsidR="005C77E2">
        <w:t>session</w:t>
      </w:r>
      <w:r w:rsidR="003D640C">
        <w:t xml:space="preserve"> </w:t>
      </w:r>
      <w:r w:rsidRPr="007B3744">
        <w:t>in</w:t>
      </w:r>
      <w:r w:rsidR="003D640C">
        <w:t xml:space="preserve"> </w:t>
      </w:r>
      <w:r w:rsidRPr="007B3744">
        <w:t>July</w:t>
      </w:r>
      <w:r w:rsidR="003D640C">
        <w:t xml:space="preserve"> </w:t>
      </w:r>
      <w:r w:rsidRPr="007B3744">
        <w:t>2023</w:t>
      </w:r>
      <w:r w:rsidR="003D640C">
        <w:t xml:space="preserve"> </w:t>
      </w:r>
      <w:r w:rsidRPr="007B3744">
        <w:t>noted</w:t>
      </w:r>
      <w:r w:rsidR="003D640C">
        <w:t xml:space="preserve"> </w:t>
      </w:r>
      <w:r w:rsidRPr="007B3744">
        <w:t>that</w:t>
      </w:r>
      <w:r w:rsidR="003D640C">
        <w:t xml:space="preserve"> </w:t>
      </w:r>
      <w:r w:rsidRPr="007B3744">
        <w:t>“colonial</w:t>
      </w:r>
      <w:r w:rsidR="003D640C">
        <w:t xml:space="preserve"> </w:t>
      </w:r>
      <w:r w:rsidRPr="007B3744">
        <w:t>heritages</w:t>
      </w:r>
      <w:r w:rsidR="003D640C">
        <w:t xml:space="preserve"> </w:t>
      </w:r>
      <w:r w:rsidRPr="007B3744">
        <w:t>continue</w:t>
      </w:r>
      <w:r w:rsidR="003D640C">
        <w:t xml:space="preserve"> </w:t>
      </w:r>
      <w:r w:rsidRPr="007B3744">
        <w:t>to</w:t>
      </w:r>
      <w:r w:rsidR="003D640C">
        <w:t xml:space="preserve"> </w:t>
      </w:r>
      <w:r w:rsidRPr="007B3744">
        <w:t>play</w:t>
      </w:r>
      <w:r w:rsidR="003D640C">
        <w:t xml:space="preserve"> </w:t>
      </w:r>
      <w:r w:rsidRPr="007B3744">
        <w:t>an</w:t>
      </w:r>
      <w:r w:rsidR="003D640C">
        <w:t xml:space="preserve"> </w:t>
      </w:r>
      <w:r w:rsidRPr="007B3744">
        <w:t>active</w:t>
      </w:r>
      <w:r w:rsidR="003D640C">
        <w:t xml:space="preserve"> </w:t>
      </w:r>
      <w:r w:rsidRPr="007B3744">
        <w:t>role</w:t>
      </w:r>
      <w:r w:rsidR="003D640C">
        <w:t xml:space="preserve"> </w:t>
      </w:r>
      <w:r w:rsidRPr="007B3744">
        <w:t>in</w:t>
      </w:r>
      <w:r w:rsidR="003D640C">
        <w:t xml:space="preserve"> </w:t>
      </w:r>
      <w:r w:rsidRPr="007B3744">
        <w:t>fomenting</w:t>
      </w:r>
      <w:r w:rsidR="003D640C">
        <w:t xml:space="preserve"> </w:t>
      </w:r>
      <w:r w:rsidRPr="007B3744">
        <w:t>lack</w:t>
      </w:r>
      <w:r w:rsidR="003D640C">
        <w:t xml:space="preserve"> </w:t>
      </w:r>
      <w:r w:rsidRPr="007B3744">
        <w:t>of</w:t>
      </w:r>
      <w:r w:rsidR="003D640C">
        <w:t xml:space="preserve"> </w:t>
      </w:r>
      <w:r w:rsidRPr="007B3744">
        <w:t>acceptance</w:t>
      </w:r>
      <w:r w:rsidR="003D640C">
        <w:t xml:space="preserve"> </w:t>
      </w:r>
      <w:r w:rsidRPr="007B3744">
        <w:t>and</w:t>
      </w:r>
      <w:r w:rsidR="003D640C">
        <w:t xml:space="preserve"> </w:t>
      </w:r>
      <w:r w:rsidRPr="007B3744">
        <w:t>violence”</w:t>
      </w:r>
      <w:r w:rsidR="003D640C">
        <w:t xml:space="preserve"> </w:t>
      </w:r>
      <w:r w:rsidRPr="007B3744">
        <w:t>towards</w:t>
      </w:r>
      <w:r w:rsidR="003D640C">
        <w:t xml:space="preserve"> </w:t>
      </w:r>
      <w:r w:rsidRPr="007B3744">
        <w:t>Indigenous</w:t>
      </w:r>
      <w:r w:rsidR="003D640C">
        <w:t xml:space="preserve"> </w:t>
      </w:r>
      <w:r w:rsidRPr="007B3744">
        <w:t>Rainbow</w:t>
      </w:r>
      <w:r w:rsidR="003D640C">
        <w:t xml:space="preserve"> </w:t>
      </w:r>
      <w:r w:rsidRPr="007B3744">
        <w:t>people.</w:t>
      </w:r>
      <w:r w:rsidR="003D640C">
        <w:t xml:space="preserve"> </w:t>
      </w:r>
      <w:r w:rsidRPr="007B3744">
        <w:t>Participants</w:t>
      </w:r>
      <w:r w:rsidR="003D640C">
        <w:t xml:space="preserve"> </w:t>
      </w:r>
      <w:r w:rsidRPr="007B3744">
        <w:t>noted</w:t>
      </w:r>
      <w:r w:rsidR="003D640C">
        <w:t xml:space="preserve"> </w:t>
      </w:r>
      <w:r w:rsidRPr="007B3744">
        <w:t>that</w:t>
      </w:r>
      <w:r w:rsidR="00081BCF">
        <w:t>,</w:t>
      </w:r>
      <w:r w:rsidR="003D640C">
        <w:t xml:space="preserve"> </w:t>
      </w:r>
      <w:r w:rsidRPr="007B3744">
        <w:t>within</w:t>
      </w:r>
      <w:r w:rsidR="003D640C">
        <w:t xml:space="preserve"> </w:t>
      </w:r>
      <w:r w:rsidRPr="007B3744">
        <w:t>traditional</w:t>
      </w:r>
      <w:r w:rsidR="003D640C">
        <w:t xml:space="preserve"> </w:t>
      </w:r>
      <w:r w:rsidRPr="007B3744">
        <w:t>Indigenous</w:t>
      </w:r>
      <w:r w:rsidR="003D640C">
        <w:t xml:space="preserve"> </w:t>
      </w:r>
      <w:r w:rsidR="007D50A1">
        <w:t>s</w:t>
      </w:r>
      <w:r w:rsidRPr="007B3744">
        <w:t>ocieties,</w:t>
      </w:r>
      <w:r w:rsidR="003D640C">
        <w:t xml:space="preserve"> </w:t>
      </w:r>
      <w:r w:rsidRPr="007B3744">
        <w:t>Rainbow</w:t>
      </w:r>
      <w:r w:rsidR="003D640C">
        <w:t xml:space="preserve"> </w:t>
      </w:r>
      <w:r w:rsidRPr="007B3744">
        <w:t>people</w:t>
      </w:r>
      <w:r w:rsidR="003D640C">
        <w:t xml:space="preserve"> </w:t>
      </w:r>
      <w:r w:rsidRPr="007B3744">
        <w:t>often</w:t>
      </w:r>
      <w:r w:rsidR="003D640C">
        <w:t xml:space="preserve"> </w:t>
      </w:r>
      <w:r w:rsidRPr="007B3744">
        <w:t>performed</w:t>
      </w:r>
      <w:r w:rsidR="003D640C">
        <w:t xml:space="preserve"> </w:t>
      </w:r>
      <w:r w:rsidRPr="007B3744">
        <w:t>important</w:t>
      </w:r>
      <w:r w:rsidR="003D640C">
        <w:t xml:space="preserve"> </w:t>
      </w:r>
      <w:r w:rsidRPr="007B3744">
        <w:t>cultural</w:t>
      </w:r>
      <w:r w:rsidR="003D640C">
        <w:t xml:space="preserve"> </w:t>
      </w:r>
      <w:r w:rsidRPr="007B3744">
        <w:t>and</w:t>
      </w:r>
      <w:r w:rsidR="003D640C">
        <w:t xml:space="preserve"> </w:t>
      </w:r>
      <w:r w:rsidRPr="007B3744">
        <w:t>religious</w:t>
      </w:r>
      <w:r w:rsidR="003D640C">
        <w:t xml:space="preserve"> </w:t>
      </w:r>
      <w:r w:rsidRPr="007B3744">
        <w:t>roles</w:t>
      </w:r>
      <w:r w:rsidR="003D640C">
        <w:t xml:space="preserve"> </w:t>
      </w:r>
      <w:r w:rsidRPr="007B3744">
        <w:t>with</w:t>
      </w:r>
      <w:r w:rsidR="003D640C">
        <w:t xml:space="preserve"> </w:t>
      </w:r>
      <w:r w:rsidRPr="007B3744">
        <w:t>their</w:t>
      </w:r>
      <w:r w:rsidR="003D640C">
        <w:t xml:space="preserve"> </w:t>
      </w:r>
      <w:r w:rsidRPr="007B3744">
        <w:t>sexual</w:t>
      </w:r>
      <w:r w:rsidR="003D640C">
        <w:t xml:space="preserve"> </w:t>
      </w:r>
      <w:r w:rsidRPr="007B3744">
        <w:t>identity</w:t>
      </w:r>
      <w:r w:rsidR="003D640C">
        <w:t xml:space="preserve"> </w:t>
      </w:r>
      <w:r w:rsidRPr="007B3744">
        <w:t>“often</w:t>
      </w:r>
      <w:r w:rsidR="003D640C">
        <w:t xml:space="preserve"> </w:t>
      </w:r>
      <w:r w:rsidRPr="007B3744">
        <w:t>spring[ing]</w:t>
      </w:r>
      <w:r w:rsidR="003D640C">
        <w:t xml:space="preserve"> </w:t>
      </w:r>
      <w:r w:rsidRPr="007B3744">
        <w:t>from</w:t>
      </w:r>
      <w:r w:rsidR="003D640C">
        <w:t xml:space="preserve"> </w:t>
      </w:r>
      <w:r w:rsidRPr="007B3744">
        <w:t>the</w:t>
      </w:r>
      <w:r w:rsidR="003D640C">
        <w:t xml:space="preserve"> </w:t>
      </w:r>
      <w:r w:rsidRPr="007B3744">
        <w:t>divine”</w:t>
      </w:r>
      <w:r w:rsidR="00081BCF">
        <w:t>.</w:t>
      </w:r>
      <w:r w:rsidR="003D640C">
        <w:t xml:space="preserve"> </w:t>
      </w:r>
      <w:r w:rsidRPr="007B3744">
        <w:t>Participants</w:t>
      </w:r>
      <w:r w:rsidR="003D640C">
        <w:t xml:space="preserve"> </w:t>
      </w:r>
      <w:r w:rsidRPr="007B3744">
        <w:t>expressed</w:t>
      </w:r>
      <w:r w:rsidR="003D640C">
        <w:t xml:space="preserve"> </w:t>
      </w:r>
      <w:r w:rsidRPr="007B3744">
        <w:t>the</w:t>
      </w:r>
      <w:r w:rsidR="003D640C">
        <w:t xml:space="preserve"> </w:t>
      </w:r>
      <w:r w:rsidRPr="007B3744">
        <w:t>hope</w:t>
      </w:r>
      <w:r w:rsidR="003D640C">
        <w:t xml:space="preserve"> </w:t>
      </w:r>
      <w:r w:rsidRPr="007B3744">
        <w:t>that</w:t>
      </w:r>
      <w:r w:rsidR="003D640C">
        <w:t xml:space="preserve"> </w:t>
      </w:r>
      <w:r w:rsidRPr="007B3744">
        <w:t>greater</w:t>
      </w:r>
      <w:r w:rsidR="003D640C">
        <w:t xml:space="preserve"> </w:t>
      </w:r>
      <w:r w:rsidRPr="007B3744">
        <w:t>awareness</w:t>
      </w:r>
      <w:r w:rsidR="003D640C">
        <w:t xml:space="preserve"> </w:t>
      </w:r>
      <w:r w:rsidRPr="007B3744">
        <w:t>on</w:t>
      </w:r>
      <w:r w:rsidR="003D640C">
        <w:t xml:space="preserve"> </w:t>
      </w:r>
      <w:r w:rsidRPr="007B3744">
        <w:t>this</w:t>
      </w:r>
      <w:r w:rsidR="003D640C">
        <w:t xml:space="preserve"> </w:t>
      </w:r>
      <w:r w:rsidRPr="007B3744">
        <w:t>topic</w:t>
      </w:r>
      <w:r w:rsidR="003D640C">
        <w:t xml:space="preserve"> </w:t>
      </w:r>
      <w:r w:rsidRPr="007B3744">
        <w:t>would</w:t>
      </w:r>
      <w:r w:rsidR="003D640C">
        <w:t xml:space="preserve"> </w:t>
      </w:r>
      <w:r w:rsidRPr="007B3744">
        <w:t>help</w:t>
      </w:r>
      <w:r w:rsidR="003D640C">
        <w:t xml:space="preserve"> </w:t>
      </w:r>
      <w:r w:rsidRPr="007B3744">
        <w:t>decolonise</w:t>
      </w:r>
      <w:r w:rsidR="003D640C">
        <w:t xml:space="preserve"> </w:t>
      </w:r>
      <w:r w:rsidRPr="007B3744">
        <w:t>sexuality</w:t>
      </w:r>
      <w:r w:rsidR="003D640C">
        <w:t xml:space="preserve"> </w:t>
      </w:r>
      <w:r w:rsidRPr="007B3744">
        <w:t>and</w:t>
      </w:r>
      <w:r w:rsidR="003D640C">
        <w:t xml:space="preserve"> </w:t>
      </w:r>
      <w:r w:rsidRPr="007B3744">
        <w:t>gender.</w:t>
      </w:r>
      <w:r w:rsidRPr="007B3744">
        <w:rPr>
          <w:rStyle w:val="FootnoteReference"/>
        </w:rPr>
        <w:footnoteReference w:id="53"/>
      </w:r>
      <w:r w:rsidR="003D640C">
        <w:t xml:space="preserve"> </w:t>
      </w:r>
    </w:p>
    <w:p w14:paraId="031AA218" w14:textId="5F46CF26" w:rsidR="00501068" w:rsidRDefault="00DA414E" w:rsidP="0002020B">
      <w:pPr>
        <w:rPr>
          <w:rFonts w:ascii="Calibri" w:hAnsi="Calibri" w:cs="Calibri"/>
          <w:lang w:eastAsia="en-NZ"/>
        </w:rPr>
      </w:pPr>
      <w:r w:rsidRPr="00C72C41">
        <w:rPr>
          <w:rFonts w:ascii="Calibri" w:hAnsi="Calibri" w:cs="Calibri"/>
          <w:lang w:eastAsia="en-NZ"/>
        </w:rPr>
        <w:t>A</w:t>
      </w:r>
      <w:r w:rsidR="003D640C">
        <w:rPr>
          <w:rFonts w:ascii="Calibri" w:hAnsi="Calibri" w:cs="Calibri"/>
          <w:lang w:eastAsia="en-NZ"/>
        </w:rPr>
        <w:t xml:space="preserve"> </w:t>
      </w:r>
      <w:r w:rsidRPr="00C72C41">
        <w:rPr>
          <w:rFonts w:ascii="Calibri" w:hAnsi="Calibri" w:cs="Calibri"/>
          <w:lang w:eastAsia="en-NZ"/>
        </w:rPr>
        <w:t>2023</w:t>
      </w:r>
      <w:r w:rsidR="003D640C">
        <w:rPr>
          <w:rFonts w:ascii="Calibri" w:hAnsi="Calibri" w:cs="Calibri"/>
          <w:lang w:eastAsia="en-NZ"/>
        </w:rPr>
        <w:t xml:space="preserve"> </w:t>
      </w:r>
      <w:r w:rsidRPr="00C72C41">
        <w:rPr>
          <w:rFonts w:ascii="Calibri" w:hAnsi="Calibri" w:cs="Calibri"/>
          <w:lang w:eastAsia="en-NZ"/>
        </w:rPr>
        <w:t>report</w:t>
      </w:r>
      <w:r w:rsidR="003D640C">
        <w:rPr>
          <w:rFonts w:ascii="Calibri" w:hAnsi="Calibri" w:cs="Calibri"/>
          <w:lang w:eastAsia="en-NZ"/>
        </w:rPr>
        <w:t xml:space="preserve"> </w:t>
      </w:r>
      <w:r w:rsidR="005C480E">
        <w:rPr>
          <w:rFonts w:ascii="Calibri" w:hAnsi="Calibri" w:cs="Calibri"/>
          <w:lang w:eastAsia="en-NZ"/>
        </w:rPr>
        <w:t>to the United Nations General Assembly</w:t>
      </w:r>
      <w:r w:rsidR="003D640C">
        <w:rPr>
          <w:rFonts w:ascii="Calibri" w:hAnsi="Calibri" w:cs="Calibri"/>
          <w:lang w:eastAsia="en-NZ"/>
        </w:rPr>
        <w:t xml:space="preserve"> </w:t>
      </w:r>
      <w:r w:rsidRPr="00C72C41">
        <w:rPr>
          <w:rFonts w:ascii="Calibri" w:hAnsi="Calibri" w:cs="Calibri"/>
          <w:lang w:eastAsia="en-NZ"/>
        </w:rPr>
        <w:t>discusses</w:t>
      </w:r>
      <w:r w:rsidR="003D640C">
        <w:rPr>
          <w:rFonts w:ascii="Calibri" w:hAnsi="Calibri" w:cs="Calibri"/>
          <w:lang w:eastAsia="en-NZ"/>
        </w:rPr>
        <w:t xml:space="preserve"> </w:t>
      </w:r>
      <w:r w:rsidRPr="00C72C41">
        <w:t>the</w:t>
      </w:r>
      <w:r w:rsidR="003D640C">
        <w:t xml:space="preserve"> </w:t>
      </w:r>
      <w:r w:rsidRPr="00C72C41">
        <w:t>impact</w:t>
      </w:r>
      <w:r w:rsidR="003D640C">
        <w:t xml:space="preserve"> </w:t>
      </w:r>
      <w:r w:rsidRPr="00C72C41">
        <w:t>of</w:t>
      </w:r>
      <w:r w:rsidR="003D640C">
        <w:t xml:space="preserve"> </w:t>
      </w:r>
      <w:r w:rsidRPr="00C72C41">
        <w:t>colonialism</w:t>
      </w:r>
      <w:r w:rsidR="003D640C">
        <w:t xml:space="preserve"> </w:t>
      </w:r>
      <w:r w:rsidRPr="00C72C41">
        <w:t>on</w:t>
      </w:r>
      <w:r w:rsidR="003D640C">
        <w:t xml:space="preserve"> </w:t>
      </w:r>
      <w:r w:rsidRPr="00C72C41">
        <w:t>social</w:t>
      </w:r>
      <w:r w:rsidR="003D640C">
        <w:t xml:space="preserve"> </w:t>
      </w:r>
      <w:r w:rsidRPr="00C72C41">
        <w:t>values</w:t>
      </w:r>
      <w:r w:rsidR="003D640C">
        <w:t xml:space="preserve"> </w:t>
      </w:r>
      <w:r w:rsidRPr="00C72C41">
        <w:t>regarding</w:t>
      </w:r>
      <w:r w:rsidR="003D640C">
        <w:t xml:space="preserve"> </w:t>
      </w:r>
      <w:r w:rsidRPr="00C72C41">
        <w:t>sexual</w:t>
      </w:r>
      <w:r w:rsidR="003D640C">
        <w:t xml:space="preserve"> </w:t>
      </w:r>
      <w:r w:rsidRPr="00C72C41">
        <w:t>identity,</w:t>
      </w:r>
      <w:r w:rsidR="003D640C">
        <w:t xml:space="preserve"> </w:t>
      </w:r>
      <w:r w:rsidRPr="00C72C41">
        <w:t>focusing</w:t>
      </w:r>
      <w:r w:rsidR="003D640C">
        <w:t xml:space="preserve"> </w:t>
      </w:r>
      <w:r w:rsidRPr="00C72C41">
        <w:t>on</w:t>
      </w:r>
      <w:r w:rsidR="003D640C">
        <w:t xml:space="preserve"> </w:t>
      </w:r>
      <w:r w:rsidRPr="00C72C41">
        <w:t>the</w:t>
      </w:r>
      <w:r w:rsidR="003D640C">
        <w:t xml:space="preserve"> </w:t>
      </w:r>
      <w:r w:rsidRPr="00C72C41">
        <w:t>fact</w:t>
      </w:r>
      <w:r w:rsidR="003D640C">
        <w:t xml:space="preserve"> </w:t>
      </w:r>
      <w:r w:rsidRPr="00C72C41">
        <w:t>that</w:t>
      </w:r>
      <w:r w:rsidR="003D640C">
        <w:t xml:space="preserve"> </w:t>
      </w:r>
      <w:r w:rsidRPr="00C72C41">
        <w:t>sexual</w:t>
      </w:r>
      <w:r w:rsidR="003D640C">
        <w:t xml:space="preserve"> </w:t>
      </w:r>
      <w:r w:rsidRPr="00C72C41">
        <w:t>diversity</w:t>
      </w:r>
      <w:r w:rsidR="003D640C">
        <w:t xml:space="preserve"> </w:t>
      </w:r>
      <w:r w:rsidRPr="00C72C41">
        <w:t>has</w:t>
      </w:r>
      <w:r w:rsidR="003D640C">
        <w:t xml:space="preserve"> </w:t>
      </w:r>
      <w:r w:rsidRPr="00C72C41">
        <w:t>been</w:t>
      </w:r>
      <w:r w:rsidR="003D640C">
        <w:t xml:space="preserve"> </w:t>
      </w:r>
      <w:r w:rsidRPr="00C72C41">
        <w:t>present</w:t>
      </w:r>
      <w:r w:rsidR="003D640C">
        <w:t xml:space="preserve"> </w:t>
      </w:r>
      <w:r w:rsidRPr="00C72C41">
        <w:t>throughout</w:t>
      </w:r>
      <w:r w:rsidR="003D640C">
        <w:t xml:space="preserve"> </w:t>
      </w:r>
      <w:r w:rsidRPr="00C72C41">
        <w:t>history</w:t>
      </w:r>
      <w:r w:rsidR="003D640C">
        <w:t xml:space="preserve"> </w:t>
      </w:r>
      <w:r w:rsidRPr="00C72C41">
        <w:t>and</w:t>
      </w:r>
      <w:r w:rsidR="003D640C">
        <w:t xml:space="preserve"> </w:t>
      </w:r>
      <w:r w:rsidRPr="00C72C41">
        <w:t>the</w:t>
      </w:r>
      <w:r w:rsidR="003D640C">
        <w:t xml:space="preserve"> </w:t>
      </w:r>
      <w:r w:rsidRPr="00C72C41">
        <w:t>ways</w:t>
      </w:r>
      <w:r w:rsidR="003D640C">
        <w:t xml:space="preserve"> </w:t>
      </w:r>
      <w:r w:rsidRPr="00C72C41">
        <w:t>in</w:t>
      </w:r>
      <w:r w:rsidR="003D640C">
        <w:t xml:space="preserve"> </w:t>
      </w:r>
      <w:r w:rsidRPr="00C72C41">
        <w:t>which</w:t>
      </w:r>
      <w:r w:rsidR="003D640C">
        <w:t xml:space="preserve"> </w:t>
      </w:r>
      <w:r w:rsidRPr="00C72C41">
        <w:t>colonial</w:t>
      </w:r>
      <w:r w:rsidR="003D640C">
        <w:t xml:space="preserve"> </w:t>
      </w:r>
      <w:r w:rsidRPr="00C72C41">
        <w:t>policies</w:t>
      </w:r>
      <w:r w:rsidR="003D640C">
        <w:t xml:space="preserve"> </w:t>
      </w:r>
      <w:r w:rsidRPr="00C72C41">
        <w:t>on</w:t>
      </w:r>
      <w:r w:rsidR="003D640C">
        <w:t xml:space="preserve"> </w:t>
      </w:r>
      <w:r w:rsidRPr="00C72C41">
        <w:t>gender</w:t>
      </w:r>
      <w:r w:rsidR="003D640C">
        <w:t xml:space="preserve"> </w:t>
      </w:r>
      <w:r w:rsidRPr="00C72C41">
        <w:t>and</w:t>
      </w:r>
      <w:r w:rsidR="003D640C">
        <w:t xml:space="preserve"> </w:t>
      </w:r>
      <w:r w:rsidRPr="00C72C41">
        <w:t>sexuality</w:t>
      </w:r>
      <w:r w:rsidR="003D640C">
        <w:t xml:space="preserve"> </w:t>
      </w:r>
      <w:r w:rsidRPr="00C72C41">
        <w:t>have</w:t>
      </w:r>
      <w:r w:rsidR="003D640C">
        <w:t xml:space="preserve"> </w:t>
      </w:r>
      <w:r w:rsidRPr="00C72C41">
        <w:t>affected</w:t>
      </w:r>
      <w:r w:rsidR="003D640C">
        <w:t xml:space="preserve"> </w:t>
      </w:r>
      <w:r w:rsidRPr="00C72C41">
        <w:t>Indigenous</w:t>
      </w:r>
      <w:r w:rsidR="003D640C">
        <w:t xml:space="preserve"> </w:t>
      </w:r>
      <w:r w:rsidR="00B82875">
        <w:t>p</w:t>
      </w:r>
      <w:r w:rsidRPr="00C72C41">
        <w:t>eople</w:t>
      </w:r>
      <w:r w:rsidR="00B82875">
        <w:t>s</w:t>
      </w:r>
      <w:r>
        <w:t>.</w:t>
      </w:r>
      <w:r w:rsidR="00465B12">
        <w:rPr>
          <w:rStyle w:val="FootnoteReference"/>
        </w:rPr>
        <w:footnoteReference w:id="54"/>
      </w:r>
    </w:p>
    <w:p w14:paraId="52B41EDF" w14:textId="52D2C011" w:rsidR="00501068" w:rsidRDefault="00E41CB3" w:rsidP="0002020B">
      <w:pPr>
        <w:rPr>
          <w:rFonts w:ascii="Calibri" w:eastAsia="Times New Roman" w:hAnsi="Calibri" w:cs="Calibri"/>
          <w:lang w:eastAsia="en-NZ"/>
        </w:rPr>
      </w:pPr>
      <w:r>
        <w:rPr>
          <w:rFonts w:ascii="Calibri" w:eastAsia="Times New Roman" w:hAnsi="Calibri" w:cs="Calibri"/>
          <w:lang w:eastAsia="en-NZ"/>
        </w:rPr>
        <w:t>Within</w:t>
      </w:r>
      <w:r w:rsidR="003D640C">
        <w:rPr>
          <w:rFonts w:ascii="Calibri" w:eastAsia="Times New Roman" w:hAnsi="Calibri" w:cs="Calibri"/>
          <w:lang w:eastAsia="en-NZ"/>
        </w:rPr>
        <w:t xml:space="preserve"> </w:t>
      </w:r>
      <w:r>
        <w:rPr>
          <w:rFonts w:ascii="Calibri" w:eastAsia="Times New Roman" w:hAnsi="Calibri" w:cs="Calibri"/>
          <w:lang w:eastAsia="en-NZ"/>
        </w:rPr>
        <w:t>their</w:t>
      </w:r>
      <w:r w:rsidR="003D640C">
        <w:rPr>
          <w:rFonts w:ascii="Calibri" w:eastAsia="Times New Roman" w:hAnsi="Calibri" w:cs="Calibri"/>
          <w:lang w:eastAsia="en-NZ"/>
        </w:rPr>
        <w:t xml:space="preserve"> </w:t>
      </w:r>
      <w:r>
        <w:rPr>
          <w:rFonts w:ascii="Calibri" w:eastAsia="Times New Roman" w:hAnsi="Calibri" w:cs="Calibri"/>
          <w:lang w:eastAsia="en-NZ"/>
        </w:rPr>
        <w:t>homelands,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Pacific</w:t>
      </w:r>
      <w:r w:rsidR="003D640C">
        <w:rPr>
          <w:rFonts w:ascii="Calibri" w:eastAsia="Times New Roman" w:hAnsi="Calibri" w:cs="Calibri"/>
          <w:lang w:eastAsia="en-NZ"/>
        </w:rPr>
        <w:t xml:space="preserve"> </w:t>
      </w:r>
      <w:r w:rsidR="00E2692E">
        <w:rPr>
          <w:rFonts w:ascii="Calibri" w:eastAsia="Times New Roman" w:hAnsi="Calibri" w:cs="Calibri"/>
          <w:lang w:eastAsia="en-NZ"/>
        </w:rPr>
        <w:t>p</w:t>
      </w:r>
      <w:r w:rsidR="001C3549" w:rsidRPr="00BB6220">
        <w:rPr>
          <w:rFonts w:ascii="Calibri" w:eastAsia="Times New Roman" w:hAnsi="Calibri" w:cs="Calibri"/>
          <w:lang w:eastAsia="en-NZ"/>
        </w:rPr>
        <w:t>eoples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6E6483" w:rsidRPr="00BB6220">
        <w:rPr>
          <w:rFonts w:ascii="Calibri" w:eastAsia="Times New Roman" w:hAnsi="Calibri" w:cs="Calibri"/>
          <w:lang w:eastAsia="en-NZ"/>
        </w:rPr>
        <w:t>many</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ethnic</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communities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who</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005A7DEF" w:rsidRPr="00BB6220">
        <w:rPr>
          <w:rFonts w:ascii="Calibri" w:eastAsia="Times New Roman" w:hAnsi="Calibri" w:cs="Calibri"/>
          <w:lang w:eastAsia="en-NZ"/>
        </w:rPr>
        <w:t>experie</w:t>
      </w:r>
      <w:r w:rsidR="00CA11CA" w:rsidRPr="00BB6220">
        <w:rPr>
          <w:rFonts w:ascii="Calibri" w:eastAsia="Times New Roman" w:hAnsi="Calibri" w:cs="Calibri"/>
          <w:lang w:eastAsia="en-NZ"/>
        </w:rPr>
        <w:t>nced</w:t>
      </w:r>
      <w:r w:rsidR="003D640C">
        <w:rPr>
          <w:rFonts w:ascii="Calibri" w:eastAsia="Times New Roman" w:hAnsi="Calibri" w:cs="Calibri"/>
          <w:lang w:eastAsia="en-NZ"/>
        </w:rPr>
        <w:t xml:space="preserve"> </w:t>
      </w:r>
      <w:r w:rsidR="00CA11CA"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CA11CA" w:rsidRPr="00BB6220">
        <w:rPr>
          <w:rFonts w:ascii="Calibri" w:eastAsia="Times New Roman" w:hAnsi="Calibri" w:cs="Calibri"/>
          <w:lang w:eastAsia="en-NZ"/>
        </w:rPr>
        <w:t>impact</w:t>
      </w:r>
      <w:r w:rsidR="003D640C">
        <w:rPr>
          <w:rFonts w:ascii="Calibri" w:eastAsia="Times New Roman" w:hAnsi="Calibri" w:cs="Calibri"/>
          <w:lang w:eastAsia="en-NZ"/>
        </w:rPr>
        <w:t xml:space="preserve"> </w:t>
      </w:r>
      <w:r w:rsidR="00CA11CA"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colon</w:t>
      </w:r>
      <w:r w:rsidR="00CA11CA" w:rsidRPr="00BB6220">
        <w:rPr>
          <w:rFonts w:ascii="Calibri" w:eastAsia="Times New Roman" w:hAnsi="Calibri" w:cs="Calibri"/>
          <w:lang w:eastAsia="en-NZ"/>
        </w:rPr>
        <w:t>isation</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also</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historically</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embraced</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diverse</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genders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sexualities.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For</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example,</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MVPFAFF+</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identities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are</w:t>
      </w:r>
      <w:r w:rsidR="003D640C">
        <w:rPr>
          <w:rFonts w:ascii="Calibri" w:eastAsia="Times New Roman" w:hAnsi="Calibri" w:cs="Calibri"/>
          <w:lang w:eastAsia="en-NZ"/>
        </w:rPr>
        <w:t xml:space="preserve"> </w:t>
      </w:r>
      <w:r w:rsidR="00581EBB" w:rsidRPr="00BB6220">
        <w:rPr>
          <w:rFonts w:ascii="Calibri" w:eastAsia="Times New Roman" w:hAnsi="Calibri" w:cs="Calibri"/>
          <w:lang w:eastAsia="en-NZ"/>
        </w:rPr>
        <w:t>I</w:t>
      </w:r>
      <w:r w:rsidR="001C3549" w:rsidRPr="00BB6220">
        <w:rPr>
          <w:rFonts w:ascii="Calibri" w:eastAsia="Times New Roman" w:hAnsi="Calibri" w:cs="Calibri"/>
          <w:lang w:eastAsia="en-NZ"/>
        </w:rPr>
        <w:t>ndigenous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identities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across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Pacific</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that</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unique</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histories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places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society.</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Perhaps</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overlooked</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traditional</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reading</w:t>
      </w:r>
      <w:r w:rsidR="003D640C">
        <w:rPr>
          <w:rFonts w:ascii="Calibri" w:eastAsia="Times New Roman" w:hAnsi="Calibri" w:cs="Calibri"/>
          <w:lang w:eastAsia="en-NZ"/>
        </w:rPr>
        <w:t xml:space="preserve"> </w:t>
      </w:r>
      <w:r w:rsidR="008971AF"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section</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20</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of</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the</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NZBORA</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is</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that</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l</w:t>
      </w:r>
      <w:r w:rsidR="001C3549" w:rsidRPr="00BB6220">
        <w:rPr>
          <w:rFonts w:ascii="Calibri" w:eastAsia="Times New Roman" w:hAnsi="Calibri" w:cs="Calibri"/>
          <w:lang w:eastAsia="en-NZ"/>
        </w:rPr>
        <w:t>aws</w:t>
      </w:r>
      <w:r w:rsidR="003D640C">
        <w:rPr>
          <w:rFonts w:ascii="Calibri" w:eastAsia="Times New Roman" w:hAnsi="Calibri" w:cs="Calibri"/>
          <w:lang w:eastAsia="en-NZ"/>
        </w:rPr>
        <w:t xml:space="preserve"> </w:t>
      </w:r>
      <w:r w:rsidR="0057012D"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0057012D" w:rsidRPr="00BB6220">
        <w:rPr>
          <w:rFonts w:ascii="Calibri" w:eastAsia="Times New Roman" w:hAnsi="Calibri" w:cs="Calibri"/>
          <w:lang w:eastAsia="en-NZ"/>
        </w:rPr>
        <w:t>Aotearoa</w:t>
      </w:r>
      <w:r w:rsidR="003D640C">
        <w:rPr>
          <w:rFonts w:ascii="Calibri" w:eastAsia="Times New Roman" w:hAnsi="Calibri" w:cs="Calibri"/>
          <w:lang w:eastAsia="en-NZ"/>
        </w:rPr>
        <w:t xml:space="preserve"> </w:t>
      </w:r>
      <w:r w:rsidR="00C61156" w:rsidRPr="00B1465F">
        <w:rPr>
          <w:rFonts w:ascii="Calibri" w:eastAsia="Times New Roman" w:hAnsi="Calibri" w:cs="Calibri"/>
          <w:lang w:eastAsia="en-NZ"/>
        </w:rPr>
        <w:t>also</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offer</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specific</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protection</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these</w:t>
      </w:r>
      <w:r w:rsidR="003D640C">
        <w:rPr>
          <w:rFonts w:ascii="Calibri" w:eastAsia="Times New Roman" w:hAnsi="Calibri" w:cs="Calibri"/>
          <w:lang w:eastAsia="en-NZ"/>
        </w:rPr>
        <w:t xml:space="preserve"> </w:t>
      </w:r>
      <w:r w:rsidR="00491C35">
        <w:rPr>
          <w:rFonts w:ascii="Calibri" w:eastAsia="Times New Roman" w:hAnsi="Calibri" w:cs="Calibri"/>
          <w:lang w:eastAsia="en-NZ"/>
        </w:rPr>
        <w:t>I</w:t>
      </w:r>
      <w:r w:rsidR="008971AF" w:rsidRPr="00B1465F">
        <w:rPr>
          <w:rFonts w:ascii="Calibri" w:eastAsia="Times New Roman" w:hAnsi="Calibri" w:cs="Calibri"/>
          <w:lang w:eastAsia="en-NZ"/>
        </w:rPr>
        <w:t>ndigenous</w:t>
      </w:r>
      <w:r w:rsidR="003D640C">
        <w:rPr>
          <w:rFonts w:ascii="Calibri" w:eastAsia="Times New Roman" w:hAnsi="Calibri" w:cs="Calibri"/>
          <w:lang w:eastAsia="en-NZ"/>
        </w:rPr>
        <w:t xml:space="preserve"> </w:t>
      </w:r>
      <w:r w:rsidR="008971AF" w:rsidRPr="00B1465F">
        <w:rPr>
          <w:rFonts w:ascii="Calibri" w:eastAsia="Times New Roman" w:hAnsi="Calibri" w:cs="Calibri"/>
          <w:lang w:eastAsia="en-NZ"/>
        </w:rPr>
        <w:t>identities</w:t>
      </w:r>
      <w:r w:rsidR="003D640C">
        <w:rPr>
          <w:rFonts w:ascii="Calibri" w:eastAsia="Times New Roman" w:hAnsi="Calibri" w:cs="Calibri"/>
          <w:lang w:eastAsia="en-NZ"/>
        </w:rPr>
        <w:t xml:space="preserve"> </w:t>
      </w:r>
      <w:r w:rsidR="00DB46DF" w:rsidRPr="00B1465F">
        <w:rPr>
          <w:rFonts w:ascii="Calibri" w:eastAsia="Times New Roman" w:hAnsi="Calibri" w:cs="Calibri"/>
          <w:lang w:eastAsia="en-NZ"/>
        </w:rPr>
        <w:t>and</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communities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by</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protecting</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their</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rights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as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minorities</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enjoy</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their</w:t>
      </w:r>
      <w:r w:rsidR="003D640C">
        <w:rPr>
          <w:rFonts w:ascii="Calibri" w:eastAsia="Times New Roman" w:hAnsi="Calibri" w:cs="Calibri"/>
          <w:lang w:eastAsia="en-NZ"/>
        </w:rPr>
        <w:t xml:space="preserve"> </w:t>
      </w:r>
      <w:r w:rsidR="001C3549" w:rsidRPr="00BB6220">
        <w:rPr>
          <w:rFonts w:ascii="Calibri" w:eastAsia="Times New Roman" w:hAnsi="Calibri" w:cs="Calibri"/>
          <w:lang w:eastAsia="en-NZ"/>
        </w:rPr>
        <w:t>culture</w:t>
      </w:r>
      <w:r w:rsidR="00620BDE" w:rsidRPr="00BB6220">
        <w:rPr>
          <w:rFonts w:ascii="Calibri" w:eastAsia="Times New Roman" w:hAnsi="Calibri" w:cs="Calibri"/>
          <w:lang w:eastAsia="en-NZ"/>
        </w:rPr>
        <w:t>.</w:t>
      </w:r>
    </w:p>
    <w:p w14:paraId="0C170AD5" w14:textId="2FC92599" w:rsidR="002F38B5" w:rsidRPr="00057694" w:rsidRDefault="00CA6684" w:rsidP="0002020B">
      <w:pPr>
        <w:pStyle w:val="Heading2"/>
        <w:rPr>
          <w:rFonts w:ascii="Segoe UI" w:hAnsi="Segoe UI" w:cs="Segoe UI"/>
          <w:sz w:val="18"/>
          <w:szCs w:val="18"/>
        </w:rPr>
      </w:pPr>
      <w:bookmarkStart w:id="98" w:name="_Toc138325160"/>
      <w:bookmarkStart w:id="99" w:name="_Toc138343797"/>
      <w:bookmarkStart w:id="100" w:name="_Toc1348518011"/>
      <w:bookmarkStart w:id="101" w:name="_Toc174628644"/>
      <w:bookmarkStart w:id="102" w:name="_Toc167780586"/>
      <w:r>
        <w:t>The</w:t>
      </w:r>
      <w:r w:rsidR="003D640C">
        <w:t xml:space="preserve"> </w:t>
      </w:r>
      <w:r>
        <w:t>r</w:t>
      </w:r>
      <w:r w:rsidR="001C3549" w:rsidRPr="00BB6220">
        <w:t>ight</w:t>
      </w:r>
      <w:r w:rsidR="003D640C">
        <w:t xml:space="preserve"> </w:t>
      </w:r>
      <w:r w:rsidR="001C3549" w:rsidRPr="00BB6220">
        <w:t>not</w:t>
      </w:r>
      <w:r w:rsidR="003D640C">
        <w:t xml:space="preserve"> </w:t>
      </w:r>
      <w:r w:rsidR="001C3549" w:rsidRPr="00BB6220">
        <w:t>to</w:t>
      </w:r>
      <w:r w:rsidR="003D640C">
        <w:t xml:space="preserve"> </w:t>
      </w:r>
      <w:r w:rsidR="001C3549" w:rsidRPr="00BB6220">
        <w:t>be</w:t>
      </w:r>
      <w:r w:rsidR="003D640C">
        <w:t xml:space="preserve"> </w:t>
      </w:r>
      <w:r w:rsidR="001C3549" w:rsidRPr="00BB6220">
        <w:t>subjected</w:t>
      </w:r>
      <w:r w:rsidR="003D640C">
        <w:t xml:space="preserve"> </w:t>
      </w:r>
      <w:r w:rsidR="001C3549" w:rsidRPr="00BB6220">
        <w:t>to</w:t>
      </w:r>
      <w:r w:rsidR="003D640C">
        <w:t xml:space="preserve"> </w:t>
      </w:r>
      <w:r w:rsidR="001C3549" w:rsidRPr="00BB6220">
        <w:t>torture</w:t>
      </w:r>
      <w:r w:rsidR="003D640C">
        <w:t xml:space="preserve"> </w:t>
      </w:r>
      <w:r w:rsidR="001C3549" w:rsidRPr="00BB6220">
        <w:t>or</w:t>
      </w:r>
      <w:r w:rsidR="003D640C">
        <w:t xml:space="preserve"> </w:t>
      </w:r>
      <w:r w:rsidR="001C3549" w:rsidRPr="00BB6220">
        <w:t>cruel</w:t>
      </w:r>
      <w:r w:rsidR="003D640C">
        <w:t xml:space="preserve"> </w:t>
      </w:r>
      <w:r w:rsidR="001C3549" w:rsidRPr="00BB6220">
        <w:t>treatment</w:t>
      </w:r>
      <w:bookmarkEnd w:id="98"/>
      <w:bookmarkEnd w:id="99"/>
      <w:bookmarkEnd w:id="100"/>
      <w:bookmarkEnd w:id="101"/>
      <w:r w:rsidR="003D640C">
        <w:t xml:space="preserve"> </w:t>
      </w:r>
      <w:bookmarkEnd w:id="102"/>
    </w:p>
    <w:p w14:paraId="27380141" w14:textId="3617F4BD" w:rsidR="00501068" w:rsidRDefault="00D13055" w:rsidP="0002020B">
      <w:pPr>
        <w:rPr>
          <w:rFonts w:ascii="Segoe UI" w:hAnsi="Segoe UI" w:cs="Segoe UI"/>
          <w:sz w:val="20"/>
          <w:szCs w:val="20"/>
          <w:lang w:eastAsia="en-NZ"/>
        </w:rPr>
      </w:pPr>
      <w:r>
        <w:rPr>
          <w:lang w:eastAsia="en-NZ"/>
        </w:rPr>
        <w:t>Torture</w:t>
      </w:r>
      <w:r w:rsidR="00EF5AE4">
        <w:rPr>
          <w:lang w:eastAsia="en-NZ"/>
        </w:rPr>
        <w:t>,</w:t>
      </w:r>
      <w:r w:rsidR="003D640C">
        <w:rPr>
          <w:lang w:eastAsia="en-NZ"/>
        </w:rPr>
        <w:t xml:space="preserve"> </w:t>
      </w:r>
      <w:r>
        <w:rPr>
          <w:lang w:eastAsia="en-NZ"/>
        </w:rPr>
        <w:t>cruel,</w:t>
      </w:r>
      <w:r w:rsidR="003D640C">
        <w:rPr>
          <w:lang w:eastAsia="en-NZ"/>
        </w:rPr>
        <w:t xml:space="preserve"> </w:t>
      </w:r>
      <w:r>
        <w:rPr>
          <w:lang w:eastAsia="en-NZ"/>
        </w:rPr>
        <w:t>inhuman</w:t>
      </w:r>
      <w:r w:rsidR="00E16198">
        <w:rPr>
          <w:lang w:eastAsia="en-NZ"/>
        </w:rPr>
        <w:t>,</w:t>
      </w:r>
      <w:r w:rsidR="003D640C">
        <w:rPr>
          <w:lang w:eastAsia="en-NZ"/>
        </w:rPr>
        <w:t xml:space="preserve"> </w:t>
      </w:r>
      <w:r>
        <w:rPr>
          <w:lang w:eastAsia="en-NZ"/>
        </w:rPr>
        <w:t>and</w:t>
      </w:r>
      <w:r w:rsidR="003D640C">
        <w:rPr>
          <w:lang w:eastAsia="en-NZ"/>
        </w:rPr>
        <w:t xml:space="preserve"> </w:t>
      </w:r>
      <w:r>
        <w:rPr>
          <w:lang w:eastAsia="en-NZ"/>
        </w:rPr>
        <w:t>degrading</w:t>
      </w:r>
      <w:r w:rsidR="003D640C">
        <w:rPr>
          <w:lang w:eastAsia="en-NZ"/>
        </w:rPr>
        <w:t xml:space="preserve"> </w:t>
      </w:r>
      <w:r w:rsidR="00D47E79">
        <w:rPr>
          <w:lang w:eastAsia="en-NZ"/>
        </w:rPr>
        <w:t>treatment</w:t>
      </w:r>
      <w:r w:rsidR="003D640C">
        <w:rPr>
          <w:lang w:eastAsia="en-NZ"/>
        </w:rPr>
        <w:t xml:space="preserve"> </w:t>
      </w:r>
      <w:r w:rsidR="00D47E79">
        <w:rPr>
          <w:lang w:eastAsia="en-NZ"/>
        </w:rPr>
        <w:t>or</w:t>
      </w:r>
      <w:r w:rsidR="003D640C">
        <w:rPr>
          <w:lang w:eastAsia="en-NZ"/>
        </w:rPr>
        <w:t xml:space="preserve"> </w:t>
      </w:r>
      <w:r w:rsidR="00D47E79">
        <w:rPr>
          <w:lang w:eastAsia="en-NZ"/>
        </w:rPr>
        <w:t>punishment</w:t>
      </w:r>
      <w:r w:rsidR="003D640C">
        <w:rPr>
          <w:lang w:eastAsia="en-NZ"/>
        </w:rPr>
        <w:t xml:space="preserve"> </w:t>
      </w:r>
      <w:r>
        <w:rPr>
          <w:lang w:eastAsia="en-NZ"/>
        </w:rPr>
        <w:t>are</w:t>
      </w:r>
      <w:r w:rsidR="003D640C">
        <w:rPr>
          <w:lang w:eastAsia="en-NZ"/>
        </w:rPr>
        <w:t xml:space="preserve"> </w:t>
      </w:r>
      <w:r>
        <w:rPr>
          <w:lang w:eastAsia="en-NZ"/>
        </w:rPr>
        <w:t>prohibited</w:t>
      </w:r>
      <w:r w:rsidR="003D640C">
        <w:rPr>
          <w:lang w:eastAsia="en-NZ"/>
        </w:rPr>
        <w:t xml:space="preserve"> </w:t>
      </w:r>
      <w:r>
        <w:rPr>
          <w:lang w:eastAsia="en-NZ"/>
        </w:rPr>
        <w:t>under</w:t>
      </w:r>
      <w:r w:rsidR="003D640C">
        <w:rPr>
          <w:lang w:eastAsia="en-NZ"/>
        </w:rPr>
        <w:t xml:space="preserve"> </w:t>
      </w:r>
      <w:r w:rsidR="000322F4">
        <w:rPr>
          <w:lang w:eastAsia="en-NZ"/>
        </w:rPr>
        <w:t>international</w:t>
      </w:r>
      <w:r w:rsidR="003D640C">
        <w:rPr>
          <w:lang w:eastAsia="en-NZ"/>
        </w:rPr>
        <w:t xml:space="preserve"> </w:t>
      </w:r>
      <w:r w:rsidR="000322F4">
        <w:rPr>
          <w:lang w:eastAsia="en-NZ"/>
        </w:rPr>
        <w:t>and</w:t>
      </w:r>
      <w:r w:rsidR="003D640C">
        <w:rPr>
          <w:lang w:eastAsia="en-NZ"/>
        </w:rPr>
        <w:t xml:space="preserve"> </w:t>
      </w:r>
      <w:r w:rsidR="000322F4">
        <w:rPr>
          <w:lang w:eastAsia="en-NZ"/>
        </w:rPr>
        <w:t>domestic</w:t>
      </w:r>
      <w:r w:rsidR="003D640C">
        <w:rPr>
          <w:lang w:eastAsia="en-NZ"/>
        </w:rPr>
        <w:t xml:space="preserve"> </w:t>
      </w:r>
      <w:r w:rsidR="000322F4">
        <w:rPr>
          <w:lang w:eastAsia="en-NZ"/>
        </w:rPr>
        <w:t>law.</w:t>
      </w:r>
      <w:r w:rsidR="003D640C">
        <w:rPr>
          <w:lang w:eastAsia="en-NZ"/>
        </w:rPr>
        <w:t xml:space="preserve"> </w:t>
      </w:r>
    </w:p>
    <w:p w14:paraId="2BEF204B" w14:textId="7E2701F8" w:rsidR="00501068" w:rsidRDefault="3CE97572" w:rsidP="0002020B">
      <w:pPr>
        <w:rPr>
          <w:sz w:val="24"/>
          <w:szCs w:val="24"/>
          <w:lang w:eastAsia="en-NZ"/>
        </w:rPr>
      </w:pPr>
      <w:r w:rsidRPr="00BB6220">
        <w:rPr>
          <w:rFonts w:eastAsiaTheme="minorEastAsia"/>
        </w:rPr>
        <w:t>The</w:t>
      </w:r>
      <w:r w:rsidR="003D640C">
        <w:rPr>
          <w:rFonts w:eastAsiaTheme="minorEastAsia"/>
        </w:rPr>
        <w:t xml:space="preserve"> </w:t>
      </w:r>
      <w:r w:rsidRPr="00BB6220">
        <w:rPr>
          <w:rFonts w:eastAsiaTheme="minorEastAsia"/>
        </w:rPr>
        <w:t>most</w:t>
      </w:r>
      <w:r w:rsidR="003D640C">
        <w:rPr>
          <w:rFonts w:eastAsiaTheme="minorEastAsia"/>
        </w:rPr>
        <w:t xml:space="preserve"> </w:t>
      </w:r>
      <w:r w:rsidRPr="00BB6220">
        <w:rPr>
          <w:rFonts w:eastAsiaTheme="minorEastAsia"/>
        </w:rPr>
        <w:t>comprehensive</w:t>
      </w:r>
      <w:r w:rsidR="003D640C">
        <w:rPr>
          <w:rFonts w:eastAsiaTheme="minorEastAsia"/>
        </w:rPr>
        <w:t xml:space="preserve"> </w:t>
      </w:r>
      <w:r w:rsidRPr="00BB6220">
        <w:rPr>
          <w:rFonts w:eastAsiaTheme="minorEastAsia"/>
        </w:rPr>
        <w:t>and</w:t>
      </w:r>
      <w:r w:rsidR="003D640C">
        <w:rPr>
          <w:rFonts w:eastAsiaTheme="minorEastAsia"/>
        </w:rPr>
        <w:t xml:space="preserve"> </w:t>
      </w:r>
      <w:r w:rsidRPr="00BB6220">
        <w:rPr>
          <w:rFonts w:eastAsiaTheme="minorEastAsia"/>
        </w:rPr>
        <w:t>widely</w:t>
      </w:r>
      <w:r w:rsidR="003D640C">
        <w:rPr>
          <w:rFonts w:eastAsiaTheme="minorEastAsia"/>
        </w:rPr>
        <w:t xml:space="preserve"> </w:t>
      </w:r>
      <w:r w:rsidRPr="00BB6220">
        <w:rPr>
          <w:rFonts w:eastAsiaTheme="minorEastAsia"/>
        </w:rPr>
        <w:t>recogni</w:t>
      </w:r>
      <w:r w:rsidR="00F43177" w:rsidRPr="00BB6220">
        <w:rPr>
          <w:rFonts w:eastAsiaTheme="minorEastAsia"/>
        </w:rPr>
        <w:t>s</w:t>
      </w:r>
      <w:r w:rsidRPr="00BB6220">
        <w:rPr>
          <w:rFonts w:eastAsiaTheme="minorEastAsia"/>
        </w:rPr>
        <w:t>ed</w:t>
      </w:r>
      <w:r w:rsidR="003D640C">
        <w:rPr>
          <w:rFonts w:eastAsiaTheme="minorEastAsia"/>
        </w:rPr>
        <w:t xml:space="preserve"> </w:t>
      </w:r>
      <w:r w:rsidR="002F38B5">
        <w:rPr>
          <w:rFonts w:eastAsiaTheme="minorEastAsia"/>
        </w:rPr>
        <w:t>international</w:t>
      </w:r>
      <w:r w:rsidR="003D640C">
        <w:rPr>
          <w:rFonts w:eastAsiaTheme="minorEastAsia"/>
        </w:rPr>
        <w:t xml:space="preserve"> </w:t>
      </w:r>
      <w:r w:rsidR="00A32B3D">
        <w:rPr>
          <w:rFonts w:eastAsiaTheme="minorEastAsia"/>
        </w:rPr>
        <w:t>human</w:t>
      </w:r>
      <w:r w:rsidR="003D640C">
        <w:rPr>
          <w:rFonts w:eastAsiaTheme="minorEastAsia"/>
        </w:rPr>
        <w:t xml:space="preserve"> </w:t>
      </w:r>
      <w:r w:rsidR="00A32B3D">
        <w:rPr>
          <w:rFonts w:eastAsiaTheme="minorEastAsia"/>
        </w:rPr>
        <w:t>rights</w:t>
      </w:r>
      <w:r w:rsidR="003D640C">
        <w:rPr>
          <w:rFonts w:eastAsiaTheme="minorEastAsia"/>
        </w:rPr>
        <w:t xml:space="preserve"> </w:t>
      </w:r>
      <w:r w:rsidRPr="00BB6220">
        <w:rPr>
          <w:rFonts w:eastAsiaTheme="minorEastAsia"/>
        </w:rPr>
        <w:t>instrument</w:t>
      </w:r>
      <w:r w:rsidR="003D640C">
        <w:rPr>
          <w:rFonts w:eastAsiaTheme="minorEastAsia"/>
        </w:rPr>
        <w:t xml:space="preserve"> </w:t>
      </w:r>
      <w:r w:rsidRPr="00BB6220">
        <w:rPr>
          <w:rFonts w:eastAsiaTheme="minorEastAsia"/>
        </w:rPr>
        <w:t>relating</w:t>
      </w:r>
      <w:r w:rsidR="003D640C">
        <w:rPr>
          <w:rFonts w:eastAsiaTheme="minorEastAsia"/>
        </w:rPr>
        <w:t xml:space="preserve"> </w:t>
      </w:r>
      <w:r w:rsidRPr="00BB6220">
        <w:rPr>
          <w:rFonts w:eastAsiaTheme="minorEastAsia"/>
        </w:rPr>
        <w:t>to</w:t>
      </w:r>
      <w:r w:rsidR="003D640C">
        <w:rPr>
          <w:rFonts w:eastAsiaTheme="minorEastAsia"/>
        </w:rPr>
        <w:t xml:space="preserve"> </w:t>
      </w:r>
      <w:r w:rsidRPr="00BB6220">
        <w:rPr>
          <w:rFonts w:eastAsiaTheme="minorEastAsia"/>
        </w:rPr>
        <w:t>the</w:t>
      </w:r>
      <w:r w:rsidR="003D640C">
        <w:rPr>
          <w:rFonts w:eastAsiaTheme="minorEastAsia"/>
        </w:rPr>
        <w:t xml:space="preserve"> </w:t>
      </w:r>
      <w:r w:rsidRPr="00BB6220">
        <w:rPr>
          <w:rFonts w:eastAsiaTheme="minorEastAsia"/>
        </w:rPr>
        <w:t>prohibition</w:t>
      </w:r>
      <w:r w:rsidR="003D640C">
        <w:rPr>
          <w:rFonts w:eastAsiaTheme="minorEastAsia"/>
        </w:rPr>
        <w:t xml:space="preserve"> </w:t>
      </w:r>
      <w:r w:rsidRPr="00BB6220">
        <w:rPr>
          <w:rFonts w:eastAsiaTheme="minorEastAsia"/>
        </w:rPr>
        <w:t>of</w:t>
      </w:r>
      <w:r w:rsidR="003D640C">
        <w:rPr>
          <w:rFonts w:eastAsiaTheme="minorEastAsia"/>
        </w:rPr>
        <w:t xml:space="preserve"> </w:t>
      </w:r>
      <w:r w:rsidRPr="00BB6220">
        <w:rPr>
          <w:rFonts w:eastAsiaTheme="minorEastAsia"/>
        </w:rPr>
        <w:t>torture</w:t>
      </w:r>
      <w:r w:rsidR="003D640C">
        <w:rPr>
          <w:rFonts w:eastAsiaTheme="minorEastAsia"/>
        </w:rPr>
        <w:t xml:space="preserve"> </w:t>
      </w:r>
      <w:r w:rsidRPr="00BB6220">
        <w:rPr>
          <w:rFonts w:eastAsiaTheme="minorEastAsia"/>
        </w:rPr>
        <w:t>is</w:t>
      </w:r>
      <w:r w:rsidR="003D640C">
        <w:rPr>
          <w:rFonts w:eastAsiaTheme="minorEastAsia"/>
        </w:rPr>
        <w:t xml:space="preserve"> </w:t>
      </w:r>
      <w:r w:rsidRPr="00BB6220">
        <w:rPr>
          <w:rFonts w:eastAsiaTheme="minorEastAsia"/>
        </w:rPr>
        <w:t>the</w:t>
      </w:r>
      <w:r w:rsidR="003D640C">
        <w:rPr>
          <w:rFonts w:eastAsiaTheme="minorEastAsia"/>
        </w:rPr>
        <w:t xml:space="preserve"> </w:t>
      </w:r>
      <w:r w:rsidRPr="00BB6220">
        <w:rPr>
          <w:rFonts w:eastAsiaTheme="minorEastAsia"/>
        </w:rPr>
        <w:t>United</w:t>
      </w:r>
      <w:r w:rsidR="003D640C">
        <w:rPr>
          <w:rFonts w:eastAsiaTheme="minorEastAsia"/>
        </w:rPr>
        <w:t xml:space="preserve"> </w:t>
      </w:r>
      <w:r w:rsidRPr="00BB6220">
        <w:rPr>
          <w:rFonts w:eastAsiaTheme="minorEastAsia"/>
        </w:rPr>
        <w:t>Nations</w:t>
      </w:r>
      <w:r w:rsidR="003D640C">
        <w:rPr>
          <w:rFonts w:eastAsiaTheme="minorEastAsia"/>
        </w:rPr>
        <w:t xml:space="preserve"> </w:t>
      </w:r>
      <w:r w:rsidRPr="00BB6220">
        <w:rPr>
          <w:rFonts w:eastAsiaTheme="minorEastAsia"/>
        </w:rPr>
        <w:t>Convention</w:t>
      </w:r>
      <w:r w:rsidR="003D640C">
        <w:rPr>
          <w:rFonts w:eastAsiaTheme="minorEastAsia"/>
        </w:rPr>
        <w:t xml:space="preserve"> </w:t>
      </w:r>
      <w:r w:rsidR="001C3549" w:rsidRPr="00BB6220">
        <w:rPr>
          <w:rFonts w:eastAsiaTheme="minorEastAsia"/>
        </w:rPr>
        <w:t>Against</w:t>
      </w:r>
      <w:r w:rsidR="003D640C">
        <w:rPr>
          <w:rFonts w:eastAsiaTheme="minorEastAsia"/>
        </w:rPr>
        <w:t xml:space="preserve"> </w:t>
      </w:r>
      <w:r w:rsidRPr="00BB6220">
        <w:rPr>
          <w:rFonts w:eastAsiaTheme="minorEastAsia"/>
        </w:rPr>
        <w:t>Torture</w:t>
      </w:r>
      <w:r w:rsidR="003D640C">
        <w:rPr>
          <w:rFonts w:eastAsiaTheme="minorEastAsia"/>
        </w:rPr>
        <w:t xml:space="preserve"> </w:t>
      </w:r>
      <w:r w:rsidRPr="00BB6220">
        <w:rPr>
          <w:rFonts w:eastAsiaTheme="minorEastAsia"/>
        </w:rPr>
        <w:t>and</w:t>
      </w:r>
      <w:r w:rsidR="003D640C">
        <w:rPr>
          <w:rFonts w:eastAsiaTheme="minorEastAsia"/>
        </w:rPr>
        <w:t xml:space="preserve"> </w:t>
      </w:r>
      <w:r w:rsidRPr="00BB6220">
        <w:rPr>
          <w:rFonts w:eastAsiaTheme="minorEastAsia"/>
        </w:rPr>
        <w:t>Other</w:t>
      </w:r>
      <w:r w:rsidR="003D640C">
        <w:rPr>
          <w:rFonts w:eastAsiaTheme="minorEastAsia"/>
        </w:rPr>
        <w:t xml:space="preserve"> </w:t>
      </w:r>
      <w:r w:rsidRPr="00BB6220">
        <w:rPr>
          <w:rFonts w:eastAsiaTheme="minorEastAsia"/>
        </w:rPr>
        <w:t>Cruel,</w:t>
      </w:r>
      <w:r w:rsidR="003D640C">
        <w:rPr>
          <w:rFonts w:eastAsiaTheme="minorEastAsia"/>
        </w:rPr>
        <w:t xml:space="preserve"> </w:t>
      </w:r>
      <w:r w:rsidRPr="00BB6220">
        <w:rPr>
          <w:rFonts w:eastAsiaTheme="minorEastAsia"/>
        </w:rPr>
        <w:t>Inhuman</w:t>
      </w:r>
      <w:r w:rsidR="003D640C">
        <w:rPr>
          <w:rFonts w:eastAsiaTheme="minorEastAsia"/>
        </w:rPr>
        <w:t xml:space="preserve"> </w:t>
      </w:r>
      <w:r w:rsidRPr="00BB6220">
        <w:rPr>
          <w:rFonts w:eastAsiaTheme="minorEastAsia"/>
        </w:rPr>
        <w:t>or</w:t>
      </w:r>
      <w:r w:rsidR="003D640C">
        <w:rPr>
          <w:rFonts w:eastAsiaTheme="minorEastAsia"/>
        </w:rPr>
        <w:t xml:space="preserve"> </w:t>
      </w:r>
      <w:r w:rsidRPr="00BB6220">
        <w:rPr>
          <w:rFonts w:eastAsiaTheme="minorEastAsia"/>
        </w:rPr>
        <w:t>Degrading</w:t>
      </w:r>
      <w:r w:rsidR="003D640C">
        <w:rPr>
          <w:rFonts w:eastAsiaTheme="minorEastAsia"/>
        </w:rPr>
        <w:t xml:space="preserve"> </w:t>
      </w:r>
      <w:r w:rsidRPr="00BB6220">
        <w:rPr>
          <w:rFonts w:eastAsiaTheme="minorEastAsia"/>
        </w:rPr>
        <w:t>Treatment</w:t>
      </w:r>
      <w:r w:rsidR="003D640C">
        <w:rPr>
          <w:rFonts w:eastAsiaTheme="minorEastAsia"/>
        </w:rPr>
        <w:t xml:space="preserve"> </w:t>
      </w:r>
      <w:r w:rsidRPr="00BB6220">
        <w:rPr>
          <w:rFonts w:eastAsiaTheme="minorEastAsia"/>
        </w:rPr>
        <w:t>or</w:t>
      </w:r>
      <w:r w:rsidR="003D640C">
        <w:rPr>
          <w:rFonts w:eastAsiaTheme="minorEastAsia"/>
        </w:rPr>
        <w:t xml:space="preserve"> </w:t>
      </w:r>
      <w:r w:rsidRPr="00BB6220">
        <w:rPr>
          <w:rFonts w:eastAsiaTheme="minorEastAsia"/>
        </w:rPr>
        <w:t>Punishment</w:t>
      </w:r>
      <w:r w:rsidR="003D640C">
        <w:rPr>
          <w:rFonts w:eastAsiaTheme="minorEastAsia"/>
        </w:rPr>
        <w:t xml:space="preserve"> </w:t>
      </w:r>
      <w:r w:rsidR="00653ECF" w:rsidRPr="00BB6220">
        <w:rPr>
          <w:rFonts w:eastAsiaTheme="minorEastAsia"/>
        </w:rPr>
        <w:t>(</w:t>
      </w:r>
      <w:r w:rsidRPr="00BB6220">
        <w:rPr>
          <w:rFonts w:eastAsiaTheme="minorEastAsia"/>
        </w:rPr>
        <w:t>CAT).</w:t>
      </w:r>
      <w:r w:rsidR="00CF391C">
        <w:rPr>
          <w:rFonts w:eastAsiaTheme="minorEastAsia"/>
        </w:rPr>
        <w:t xml:space="preserve"> </w:t>
      </w:r>
      <w:r w:rsidRPr="00BB6220">
        <w:rPr>
          <w:rFonts w:eastAsiaTheme="minorEastAsia"/>
        </w:rPr>
        <w:t>CAT</w:t>
      </w:r>
      <w:r w:rsidR="003D640C">
        <w:rPr>
          <w:rFonts w:eastAsiaTheme="minorEastAsia"/>
        </w:rPr>
        <w:t xml:space="preserve"> </w:t>
      </w:r>
      <w:r w:rsidRPr="00BB6220">
        <w:rPr>
          <w:rFonts w:eastAsiaTheme="minorEastAsia"/>
        </w:rPr>
        <w:t>defines</w:t>
      </w:r>
      <w:r w:rsidR="003D640C">
        <w:rPr>
          <w:rFonts w:eastAsiaTheme="minorEastAsia"/>
        </w:rPr>
        <w:t xml:space="preserve"> </w:t>
      </w:r>
      <w:r w:rsidRPr="00BB6220">
        <w:rPr>
          <w:rFonts w:eastAsiaTheme="minorEastAsia"/>
        </w:rPr>
        <w:t>torture</w:t>
      </w:r>
      <w:r w:rsidR="003D640C">
        <w:rPr>
          <w:rFonts w:eastAsiaTheme="minorEastAsia"/>
        </w:rPr>
        <w:t xml:space="preserve"> </w:t>
      </w:r>
      <w:r w:rsidRPr="00BB6220">
        <w:rPr>
          <w:rFonts w:eastAsiaTheme="minorEastAsia"/>
        </w:rPr>
        <w:t>as</w:t>
      </w:r>
      <w:r w:rsidR="003D640C">
        <w:rPr>
          <w:rFonts w:eastAsiaTheme="minorEastAsia"/>
        </w:rPr>
        <w:t xml:space="preserve"> </w:t>
      </w:r>
      <w:r w:rsidRPr="00BB6220">
        <w:rPr>
          <w:rFonts w:eastAsiaTheme="minorEastAsia"/>
        </w:rPr>
        <w:t>the</w:t>
      </w:r>
      <w:r w:rsidR="003D640C">
        <w:rPr>
          <w:rFonts w:eastAsiaTheme="minorEastAsia"/>
        </w:rPr>
        <w:t xml:space="preserve"> </w:t>
      </w:r>
      <w:r w:rsidR="00491C35">
        <w:rPr>
          <w:rFonts w:eastAsiaTheme="minorEastAsia"/>
        </w:rPr>
        <w:t>“</w:t>
      </w:r>
      <w:r w:rsidRPr="00BB6220">
        <w:rPr>
          <w:rFonts w:eastAsiaTheme="minorEastAsia"/>
        </w:rPr>
        <w:t>intentional</w:t>
      </w:r>
      <w:r w:rsidR="003D640C">
        <w:rPr>
          <w:rFonts w:eastAsiaTheme="minorEastAsia"/>
        </w:rPr>
        <w:t xml:space="preserve"> </w:t>
      </w:r>
      <w:r w:rsidRPr="00BB6220">
        <w:rPr>
          <w:rFonts w:eastAsiaTheme="minorEastAsia"/>
        </w:rPr>
        <w:lastRenderedPageBreak/>
        <w:t>infliction</w:t>
      </w:r>
      <w:r w:rsidR="003D640C">
        <w:rPr>
          <w:rFonts w:eastAsiaTheme="minorEastAsia"/>
        </w:rPr>
        <w:t xml:space="preserve"> </w:t>
      </w:r>
      <w:r w:rsidRPr="00BB6220">
        <w:rPr>
          <w:rFonts w:eastAsiaTheme="minorEastAsia"/>
        </w:rPr>
        <w:t>of</w:t>
      </w:r>
      <w:r w:rsidR="003D640C">
        <w:rPr>
          <w:rFonts w:eastAsiaTheme="minorEastAsia"/>
        </w:rPr>
        <w:t xml:space="preserve"> </w:t>
      </w:r>
      <w:r w:rsidRPr="00BB6220">
        <w:rPr>
          <w:rFonts w:eastAsiaTheme="minorEastAsia"/>
        </w:rPr>
        <w:t>severe</w:t>
      </w:r>
      <w:r w:rsidR="003D640C">
        <w:rPr>
          <w:rFonts w:eastAsiaTheme="minorEastAsia"/>
        </w:rPr>
        <w:t xml:space="preserve"> </w:t>
      </w:r>
      <w:r w:rsidRPr="00BB6220">
        <w:rPr>
          <w:rFonts w:eastAsiaTheme="minorEastAsia"/>
        </w:rPr>
        <w:t>physical</w:t>
      </w:r>
      <w:r w:rsidR="003D640C">
        <w:rPr>
          <w:rFonts w:eastAsiaTheme="minorEastAsia"/>
        </w:rPr>
        <w:t xml:space="preserve"> </w:t>
      </w:r>
      <w:r w:rsidRPr="00BB6220">
        <w:rPr>
          <w:rFonts w:eastAsiaTheme="minorEastAsia"/>
        </w:rPr>
        <w:t>or</w:t>
      </w:r>
      <w:r w:rsidR="003D640C">
        <w:rPr>
          <w:rFonts w:eastAsiaTheme="minorEastAsia"/>
        </w:rPr>
        <w:t xml:space="preserve"> </w:t>
      </w:r>
      <w:r w:rsidRPr="00BB6220">
        <w:rPr>
          <w:rFonts w:eastAsiaTheme="minorEastAsia"/>
        </w:rPr>
        <w:t>mental</w:t>
      </w:r>
      <w:r w:rsidR="003D640C">
        <w:rPr>
          <w:rFonts w:eastAsiaTheme="minorEastAsia"/>
        </w:rPr>
        <w:t xml:space="preserve"> </w:t>
      </w:r>
      <w:r w:rsidRPr="00BB6220">
        <w:rPr>
          <w:rFonts w:eastAsiaTheme="minorEastAsia"/>
        </w:rPr>
        <w:t>pain</w:t>
      </w:r>
      <w:r w:rsidR="003D640C">
        <w:rPr>
          <w:rFonts w:eastAsiaTheme="minorEastAsia"/>
        </w:rPr>
        <w:t xml:space="preserve"> </w:t>
      </w:r>
      <w:r w:rsidRPr="00BB6220">
        <w:rPr>
          <w:rFonts w:eastAsiaTheme="minorEastAsia"/>
        </w:rPr>
        <w:t>or</w:t>
      </w:r>
      <w:r w:rsidR="003D640C">
        <w:rPr>
          <w:rFonts w:eastAsiaTheme="minorEastAsia"/>
        </w:rPr>
        <w:t xml:space="preserve"> </w:t>
      </w:r>
      <w:r w:rsidRPr="00BB6220">
        <w:rPr>
          <w:rFonts w:eastAsiaTheme="minorEastAsia"/>
        </w:rPr>
        <w:t>suffering</w:t>
      </w:r>
      <w:r w:rsidR="003D640C">
        <w:rPr>
          <w:rFonts w:eastAsiaTheme="minorEastAsia"/>
        </w:rPr>
        <w:t xml:space="preserve"> </w:t>
      </w:r>
      <w:r w:rsidRPr="00BB6220">
        <w:rPr>
          <w:rFonts w:eastAsiaTheme="minorEastAsia"/>
        </w:rPr>
        <w:t>for</w:t>
      </w:r>
      <w:r w:rsidR="003D640C">
        <w:rPr>
          <w:rFonts w:eastAsiaTheme="minorEastAsia"/>
        </w:rPr>
        <w:t xml:space="preserve"> </w:t>
      </w:r>
      <w:r w:rsidRPr="00BB6220">
        <w:rPr>
          <w:rFonts w:eastAsiaTheme="minorEastAsia"/>
        </w:rPr>
        <w:t>specific</w:t>
      </w:r>
      <w:r w:rsidR="003D640C">
        <w:rPr>
          <w:rFonts w:eastAsiaTheme="minorEastAsia"/>
        </w:rPr>
        <w:t xml:space="preserve"> </w:t>
      </w:r>
      <w:r w:rsidRPr="00BB6220">
        <w:rPr>
          <w:rFonts w:eastAsiaTheme="minorEastAsia"/>
        </w:rPr>
        <w:t>purposes,</w:t>
      </w:r>
      <w:r w:rsidR="003D640C">
        <w:rPr>
          <w:rFonts w:eastAsiaTheme="minorEastAsia"/>
        </w:rPr>
        <w:t xml:space="preserve"> </w:t>
      </w:r>
      <w:r w:rsidR="00C57028" w:rsidRPr="00BB6220">
        <w:rPr>
          <w:rFonts w:eastAsiaTheme="minorEastAsia"/>
        </w:rPr>
        <w:t>which</w:t>
      </w:r>
      <w:r w:rsidR="003D640C">
        <w:rPr>
          <w:rFonts w:eastAsiaTheme="minorEastAsia"/>
        </w:rPr>
        <w:t xml:space="preserve"> </w:t>
      </w:r>
      <w:r w:rsidR="00C57028" w:rsidRPr="00BB6220">
        <w:rPr>
          <w:rFonts w:eastAsiaTheme="minorEastAsia"/>
        </w:rPr>
        <w:t>include</w:t>
      </w:r>
      <w:r w:rsidR="79C877F0" w:rsidRPr="00BB6220">
        <w:rPr>
          <w:rFonts w:eastAsiaTheme="minorEastAsia"/>
        </w:rPr>
        <w:t>s</w:t>
      </w:r>
      <w:r w:rsidR="003D640C">
        <w:rPr>
          <w:rFonts w:eastAsiaTheme="minorEastAsia"/>
        </w:rPr>
        <w:t xml:space="preserve"> </w:t>
      </w:r>
      <w:r w:rsidRPr="00BB6220">
        <w:rPr>
          <w:rFonts w:eastAsiaTheme="minorEastAsia"/>
        </w:rPr>
        <w:t>coercion</w:t>
      </w:r>
      <w:r w:rsidR="00491C35">
        <w:rPr>
          <w:rFonts w:eastAsiaTheme="minorEastAsia"/>
        </w:rPr>
        <w:t>”</w:t>
      </w:r>
      <w:r w:rsidR="00CF391C">
        <w:rPr>
          <w:rFonts w:eastAsiaTheme="minorEastAsia"/>
        </w:rPr>
        <w:t>.</w:t>
      </w:r>
      <w:r w:rsidR="003D640C">
        <w:rPr>
          <w:rStyle w:val="FootnoteReference"/>
          <w:rFonts w:eastAsiaTheme="minorEastAsia"/>
        </w:rPr>
        <w:t xml:space="preserve"> </w:t>
      </w:r>
      <w:r w:rsidR="00CA1533" w:rsidRPr="00BB6220">
        <w:rPr>
          <w:rFonts w:eastAsiaTheme="minorEastAsia"/>
        </w:rPr>
        <w:t>As</w:t>
      </w:r>
      <w:r w:rsidR="003D640C">
        <w:rPr>
          <w:rFonts w:eastAsiaTheme="minorEastAsia"/>
        </w:rPr>
        <w:t xml:space="preserve"> </w:t>
      </w:r>
      <w:r w:rsidR="00CA1533" w:rsidRPr="00BB6220">
        <w:rPr>
          <w:rFonts w:eastAsiaTheme="minorEastAsia"/>
        </w:rPr>
        <w:t>well</w:t>
      </w:r>
      <w:r w:rsidR="003D640C">
        <w:rPr>
          <w:rFonts w:eastAsiaTheme="minorEastAsia"/>
        </w:rPr>
        <w:t xml:space="preserve"> </w:t>
      </w:r>
      <w:r w:rsidR="00CA1533" w:rsidRPr="00BB6220">
        <w:rPr>
          <w:rFonts w:eastAsiaTheme="minorEastAsia"/>
        </w:rPr>
        <w:t>as</w:t>
      </w:r>
      <w:r w:rsidR="003D640C">
        <w:rPr>
          <w:rFonts w:eastAsiaTheme="minorEastAsia"/>
        </w:rPr>
        <w:t xml:space="preserve"> </w:t>
      </w:r>
      <w:r w:rsidR="00377DF9" w:rsidRPr="00BB6220">
        <w:rPr>
          <w:rFonts w:eastAsiaTheme="minorEastAsia"/>
        </w:rPr>
        <w:t>CAT</w:t>
      </w:r>
      <w:r w:rsidR="003D640C">
        <w:rPr>
          <w:rFonts w:eastAsiaTheme="minorEastAsia"/>
        </w:rPr>
        <w:t xml:space="preserve"> </w:t>
      </w:r>
      <w:r w:rsidR="00377DF9" w:rsidRPr="00BB6220">
        <w:rPr>
          <w:rFonts w:eastAsiaTheme="minorEastAsia"/>
        </w:rPr>
        <w:t>and</w:t>
      </w:r>
      <w:r w:rsidR="003D640C">
        <w:rPr>
          <w:rFonts w:eastAsiaTheme="minorEastAsia"/>
        </w:rPr>
        <w:t xml:space="preserve"> </w:t>
      </w:r>
      <w:r w:rsidR="00CA1533" w:rsidRPr="00BB6220">
        <w:rPr>
          <w:rFonts w:eastAsiaTheme="minorEastAsia"/>
        </w:rPr>
        <w:t>the</w:t>
      </w:r>
      <w:r w:rsidR="003D640C">
        <w:rPr>
          <w:rFonts w:eastAsiaTheme="minorEastAsia"/>
        </w:rPr>
        <w:t xml:space="preserve"> </w:t>
      </w:r>
      <w:r w:rsidR="00CA674C" w:rsidRPr="00BB6220">
        <w:rPr>
          <w:rFonts w:eastAsiaTheme="minorEastAsia"/>
        </w:rPr>
        <w:t>ICCPR,</w:t>
      </w:r>
      <w:r w:rsidR="003D640C">
        <w:rPr>
          <w:rFonts w:eastAsiaTheme="minorEastAsia"/>
        </w:rPr>
        <w:t xml:space="preserve"> </w:t>
      </w:r>
      <w:r w:rsidR="00CA674C" w:rsidRPr="00BB6220">
        <w:rPr>
          <w:rFonts w:eastAsiaTheme="minorEastAsia"/>
        </w:rPr>
        <w:t>t</w:t>
      </w:r>
      <w:r w:rsidRPr="00BB6220">
        <w:rPr>
          <w:rFonts w:eastAsiaTheme="minorEastAsia"/>
        </w:rPr>
        <w:t>he</w:t>
      </w:r>
      <w:r w:rsidR="003D640C">
        <w:rPr>
          <w:rFonts w:eastAsiaTheme="minorEastAsia"/>
        </w:rPr>
        <w:t xml:space="preserve"> </w:t>
      </w:r>
      <w:r w:rsidR="5F992F08" w:rsidRPr="00BB6220">
        <w:rPr>
          <w:rFonts w:eastAsiaTheme="minorEastAsia"/>
        </w:rPr>
        <w:t>prohibition</w:t>
      </w:r>
      <w:r w:rsidR="003D640C">
        <w:rPr>
          <w:rFonts w:eastAsiaTheme="minorEastAsia"/>
        </w:rPr>
        <w:t xml:space="preserve"> </w:t>
      </w:r>
      <w:r w:rsidRPr="00BB6220">
        <w:rPr>
          <w:rFonts w:eastAsiaTheme="minorEastAsia"/>
        </w:rPr>
        <w:t>of</w:t>
      </w:r>
      <w:r w:rsidR="003D640C">
        <w:rPr>
          <w:rFonts w:eastAsiaTheme="minorEastAsia"/>
        </w:rPr>
        <w:t xml:space="preserve"> </w:t>
      </w:r>
      <w:r w:rsidRPr="00BB6220">
        <w:rPr>
          <w:rFonts w:eastAsiaTheme="minorEastAsia"/>
        </w:rPr>
        <w:t>torture</w:t>
      </w:r>
      <w:r w:rsidR="003D640C">
        <w:rPr>
          <w:rFonts w:eastAsiaTheme="minorEastAsia"/>
        </w:rPr>
        <w:t xml:space="preserve"> </w:t>
      </w:r>
      <w:r w:rsidRPr="00BB6220">
        <w:rPr>
          <w:rFonts w:eastAsiaTheme="minorEastAsia"/>
        </w:rPr>
        <w:t>is</w:t>
      </w:r>
      <w:r w:rsidR="003D640C">
        <w:rPr>
          <w:rFonts w:eastAsiaTheme="minorEastAsia"/>
        </w:rPr>
        <w:t xml:space="preserve"> </w:t>
      </w:r>
      <w:r w:rsidRPr="00BB6220">
        <w:rPr>
          <w:rFonts w:eastAsiaTheme="minorEastAsia"/>
        </w:rPr>
        <w:t>also</w:t>
      </w:r>
      <w:r w:rsidR="003D640C">
        <w:rPr>
          <w:rFonts w:eastAsiaTheme="minorEastAsia"/>
        </w:rPr>
        <w:t xml:space="preserve"> </w:t>
      </w:r>
      <w:r w:rsidRPr="00BB6220">
        <w:rPr>
          <w:rFonts w:eastAsiaTheme="minorEastAsia"/>
        </w:rPr>
        <w:t>enshrined</w:t>
      </w:r>
      <w:r w:rsidR="003D640C">
        <w:rPr>
          <w:rFonts w:eastAsiaTheme="minorEastAsia"/>
        </w:rPr>
        <w:t xml:space="preserve"> </w:t>
      </w:r>
      <w:r w:rsidRPr="00BB6220">
        <w:rPr>
          <w:rFonts w:eastAsiaTheme="minorEastAsia"/>
        </w:rPr>
        <w:t>in</w:t>
      </w:r>
      <w:r w:rsidR="003D640C">
        <w:rPr>
          <w:rFonts w:eastAsiaTheme="minorEastAsia"/>
        </w:rPr>
        <w:t xml:space="preserve"> </w:t>
      </w:r>
      <w:r w:rsidRPr="00BB6220">
        <w:rPr>
          <w:rFonts w:eastAsiaTheme="minorEastAsia"/>
        </w:rPr>
        <w:t>the</w:t>
      </w:r>
      <w:r w:rsidR="003D640C">
        <w:rPr>
          <w:rFonts w:eastAsiaTheme="minorEastAsia"/>
        </w:rPr>
        <w:t xml:space="preserve"> </w:t>
      </w:r>
      <w:r w:rsidR="4C45EC84" w:rsidRPr="00BB6220">
        <w:rPr>
          <w:rFonts w:eastAsiaTheme="minorEastAsia"/>
        </w:rPr>
        <w:t>Universal</w:t>
      </w:r>
      <w:r w:rsidR="003D640C">
        <w:rPr>
          <w:rFonts w:eastAsiaTheme="minorEastAsia"/>
        </w:rPr>
        <w:t xml:space="preserve"> </w:t>
      </w:r>
      <w:r w:rsidRPr="00BB6220">
        <w:rPr>
          <w:rFonts w:eastAsiaTheme="minorEastAsia"/>
        </w:rPr>
        <w:t>Declaration</w:t>
      </w:r>
      <w:r w:rsidR="003D640C">
        <w:rPr>
          <w:rFonts w:eastAsiaTheme="minorEastAsia"/>
        </w:rPr>
        <w:t xml:space="preserve"> </w:t>
      </w:r>
      <w:r w:rsidRPr="00BB6220">
        <w:rPr>
          <w:rFonts w:eastAsiaTheme="minorEastAsia"/>
        </w:rPr>
        <w:t>of</w:t>
      </w:r>
      <w:r w:rsidR="003D640C">
        <w:rPr>
          <w:rFonts w:eastAsiaTheme="minorEastAsia"/>
        </w:rPr>
        <w:t xml:space="preserve"> </w:t>
      </w:r>
      <w:r w:rsidRPr="00BB6220">
        <w:rPr>
          <w:rFonts w:eastAsiaTheme="minorEastAsia"/>
        </w:rPr>
        <w:t>Human</w:t>
      </w:r>
      <w:r w:rsidR="003D640C">
        <w:rPr>
          <w:rFonts w:eastAsiaTheme="minorEastAsia"/>
        </w:rPr>
        <w:t xml:space="preserve"> </w:t>
      </w:r>
      <w:r w:rsidR="32370C98" w:rsidRPr="00BB6220">
        <w:rPr>
          <w:rFonts w:eastAsiaTheme="minorEastAsia"/>
        </w:rPr>
        <w:t>Rights</w:t>
      </w:r>
      <w:r w:rsidR="00653ECF" w:rsidRPr="00BB6220">
        <w:rPr>
          <w:rFonts w:eastAsiaTheme="minorEastAsia"/>
        </w:rPr>
        <w:t>,</w:t>
      </w:r>
      <w:r w:rsidR="003D640C">
        <w:rPr>
          <w:rFonts w:eastAsiaTheme="minorEastAsia"/>
          <w:lang w:eastAsia="en-NZ"/>
        </w:rPr>
        <w:t xml:space="preserve"> </w:t>
      </w:r>
      <w:r w:rsidR="001C3549" w:rsidRPr="00BB6220">
        <w:rPr>
          <w:rFonts w:eastAsiaTheme="minorEastAsia"/>
          <w:lang w:eastAsia="en-NZ"/>
        </w:rPr>
        <w:t>the</w:t>
      </w:r>
      <w:r w:rsidR="003D640C">
        <w:rPr>
          <w:rFonts w:eastAsiaTheme="minorEastAsia"/>
          <w:lang w:eastAsia="en-NZ"/>
        </w:rPr>
        <w:t xml:space="preserve"> </w:t>
      </w:r>
      <w:r w:rsidR="001C3549" w:rsidRPr="00BB6220">
        <w:rPr>
          <w:rFonts w:eastAsiaTheme="minorEastAsia"/>
          <w:lang w:eastAsia="en-NZ"/>
        </w:rPr>
        <w:t>United</w:t>
      </w:r>
      <w:r w:rsidR="003D640C">
        <w:rPr>
          <w:rFonts w:eastAsiaTheme="minorEastAsia"/>
          <w:lang w:eastAsia="en-NZ"/>
        </w:rPr>
        <w:t xml:space="preserve"> </w:t>
      </w:r>
      <w:r w:rsidR="001C3549" w:rsidRPr="00BB6220">
        <w:rPr>
          <w:rFonts w:eastAsiaTheme="minorEastAsia"/>
          <w:lang w:eastAsia="en-NZ"/>
        </w:rPr>
        <w:t>Nations</w:t>
      </w:r>
      <w:r w:rsidR="003D640C">
        <w:rPr>
          <w:rFonts w:eastAsiaTheme="minorEastAsia"/>
          <w:lang w:eastAsia="en-NZ"/>
        </w:rPr>
        <w:t xml:space="preserve"> </w:t>
      </w:r>
      <w:r w:rsidR="001C3549" w:rsidRPr="00BB6220">
        <w:rPr>
          <w:rFonts w:eastAsiaTheme="minorEastAsia"/>
          <w:lang w:eastAsia="en-NZ"/>
        </w:rPr>
        <w:t>Convention</w:t>
      </w:r>
      <w:r w:rsidR="003D640C">
        <w:rPr>
          <w:rFonts w:eastAsiaTheme="minorEastAsia"/>
          <w:lang w:eastAsia="en-NZ"/>
        </w:rPr>
        <w:t xml:space="preserve"> </w:t>
      </w:r>
      <w:r w:rsidR="001C3549" w:rsidRPr="00BB6220">
        <w:rPr>
          <w:rFonts w:eastAsiaTheme="minorEastAsia"/>
          <w:lang w:eastAsia="en-NZ"/>
        </w:rPr>
        <w:t>on</w:t>
      </w:r>
      <w:r w:rsidR="003D640C">
        <w:rPr>
          <w:rFonts w:eastAsiaTheme="minorEastAsia"/>
          <w:lang w:eastAsia="en-NZ"/>
        </w:rPr>
        <w:t xml:space="preserve"> </w:t>
      </w:r>
      <w:r w:rsidR="001C3549" w:rsidRPr="00BB6220">
        <w:rPr>
          <w:rFonts w:eastAsiaTheme="minorEastAsia"/>
          <w:lang w:eastAsia="en-NZ"/>
        </w:rPr>
        <w:t>the</w:t>
      </w:r>
      <w:r w:rsidR="003D640C">
        <w:rPr>
          <w:rFonts w:eastAsiaTheme="minorEastAsia"/>
          <w:lang w:eastAsia="en-NZ"/>
        </w:rPr>
        <w:t xml:space="preserve"> </w:t>
      </w:r>
      <w:r w:rsidR="001C3549" w:rsidRPr="00BB6220">
        <w:rPr>
          <w:rFonts w:eastAsiaTheme="minorEastAsia"/>
          <w:lang w:eastAsia="en-NZ"/>
        </w:rPr>
        <w:t>Rights</w:t>
      </w:r>
      <w:r w:rsidR="003D640C">
        <w:rPr>
          <w:rFonts w:eastAsiaTheme="minorEastAsia"/>
          <w:lang w:eastAsia="en-NZ"/>
        </w:rPr>
        <w:t xml:space="preserve"> </w:t>
      </w:r>
      <w:r w:rsidR="001C3549" w:rsidRPr="00BB6220">
        <w:rPr>
          <w:rFonts w:eastAsiaTheme="minorEastAsia"/>
          <w:lang w:eastAsia="en-NZ"/>
        </w:rPr>
        <w:t>of</w:t>
      </w:r>
      <w:r w:rsidR="003D640C">
        <w:rPr>
          <w:rFonts w:eastAsiaTheme="minorEastAsia"/>
          <w:lang w:eastAsia="en-NZ"/>
        </w:rPr>
        <w:t xml:space="preserve"> </w:t>
      </w:r>
      <w:r w:rsidR="001C3549" w:rsidRPr="00BB6220">
        <w:rPr>
          <w:rFonts w:eastAsiaTheme="minorEastAsia"/>
          <w:lang w:eastAsia="en-NZ"/>
        </w:rPr>
        <w:t>the</w:t>
      </w:r>
      <w:r w:rsidR="003D640C">
        <w:rPr>
          <w:rFonts w:eastAsiaTheme="minorEastAsia"/>
          <w:lang w:eastAsia="en-NZ"/>
        </w:rPr>
        <w:t xml:space="preserve"> </w:t>
      </w:r>
      <w:r w:rsidR="001C3549" w:rsidRPr="00BB6220">
        <w:rPr>
          <w:rFonts w:eastAsiaTheme="minorEastAsia"/>
          <w:lang w:eastAsia="en-NZ"/>
        </w:rPr>
        <w:t>Child</w:t>
      </w:r>
      <w:r w:rsidR="00653ECF" w:rsidRPr="00BB6220">
        <w:rPr>
          <w:rFonts w:eastAsiaTheme="minorEastAsia"/>
          <w:lang w:eastAsia="en-NZ"/>
        </w:rPr>
        <w:t>,</w:t>
      </w:r>
      <w:r w:rsidR="003D640C">
        <w:rPr>
          <w:rFonts w:eastAsiaTheme="minorEastAsia"/>
          <w:lang w:eastAsia="en-NZ"/>
        </w:rPr>
        <w:t xml:space="preserve"> </w:t>
      </w:r>
      <w:r w:rsidR="00653ECF" w:rsidRPr="00BB6220">
        <w:rPr>
          <w:rFonts w:eastAsiaTheme="minorEastAsia"/>
          <w:lang w:eastAsia="en-NZ"/>
        </w:rPr>
        <w:t>and</w:t>
      </w:r>
      <w:r w:rsidR="003D640C">
        <w:rPr>
          <w:rFonts w:eastAsiaTheme="minorEastAsia"/>
          <w:lang w:eastAsia="en-NZ"/>
        </w:rPr>
        <w:t xml:space="preserve"> </w:t>
      </w:r>
      <w:r w:rsidR="00653ECF" w:rsidRPr="00BB6220">
        <w:rPr>
          <w:rFonts w:eastAsiaTheme="minorEastAsia"/>
          <w:lang w:eastAsia="en-NZ"/>
        </w:rPr>
        <w:t>the</w:t>
      </w:r>
      <w:r w:rsidR="003D640C">
        <w:rPr>
          <w:rFonts w:eastAsiaTheme="minorEastAsia"/>
          <w:lang w:eastAsia="en-NZ"/>
        </w:rPr>
        <w:t xml:space="preserve"> </w:t>
      </w:r>
      <w:r w:rsidR="00653ECF" w:rsidRPr="00BB6220">
        <w:rPr>
          <w:rFonts w:eastAsiaTheme="minorEastAsia"/>
          <w:lang w:eastAsia="en-NZ"/>
        </w:rPr>
        <w:t>United</w:t>
      </w:r>
      <w:r w:rsidR="003D640C">
        <w:rPr>
          <w:rFonts w:eastAsiaTheme="minorEastAsia"/>
          <w:lang w:eastAsia="en-NZ"/>
        </w:rPr>
        <w:t xml:space="preserve"> </w:t>
      </w:r>
      <w:r w:rsidR="00653ECF" w:rsidRPr="00BB6220">
        <w:rPr>
          <w:rFonts w:eastAsiaTheme="minorEastAsia"/>
          <w:lang w:eastAsia="en-NZ"/>
        </w:rPr>
        <w:t>Nations</w:t>
      </w:r>
      <w:r w:rsidR="003D640C">
        <w:rPr>
          <w:rFonts w:eastAsiaTheme="minorEastAsia"/>
          <w:lang w:eastAsia="en-NZ"/>
        </w:rPr>
        <w:t xml:space="preserve"> </w:t>
      </w:r>
      <w:r w:rsidR="00653ECF" w:rsidRPr="00BB6220">
        <w:rPr>
          <w:rFonts w:eastAsiaTheme="minorEastAsia"/>
          <w:lang w:eastAsia="en-NZ"/>
        </w:rPr>
        <w:t>Convention</w:t>
      </w:r>
      <w:r w:rsidR="003D640C">
        <w:rPr>
          <w:rFonts w:eastAsiaTheme="minorEastAsia"/>
          <w:lang w:eastAsia="en-NZ"/>
        </w:rPr>
        <w:t xml:space="preserve"> </w:t>
      </w:r>
      <w:r w:rsidR="00653ECF" w:rsidRPr="00BB6220">
        <w:rPr>
          <w:rFonts w:eastAsiaTheme="minorEastAsia"/>
          <w:lang w:eastAsia="en-NZ"/>
        </w:rPr>
        <w:t>on</w:t>
      </w:r>
      <w:r w:rsidR="003D640C">
        <w:rPr>
          <w:rFonts w:eastAsiaTheme="minorEastAsia"/>
          <w:lang w:eastAsia="en-NZ"/>
        </w:rPr>
        <w:t xml:space="preserve"> </w:t>
      </w:r>
      <w:r w:rsidR="00653ECF" w:rsidRPr="00BB6220">
        <w:rPr>
          <w:rFonts w:eastAsiaTheme="minorEastAsia"/>
          <w:lang w:eastAsia="en-NZ"/>
        </w:rPr>
        <w:t>the</w:t>
      </w:r>
      <w:r w:rsidR="003D640C">
        <w:rPr>
          <w:rFonts w:eastAsiaTheme="minorEastAsia"/>
          <w:lang w:eastAsia="en-NZ"/>
        </w:rPr>
        <w:t xml:space="preserve"> </w:t>
      </w:r>
      <w:r w:rsidR="00653ECF" w:rsidRPr="00BB6220">
        <w:rPr>
          <w:rFonts w:eastAsiaTheme="minorEastAsia"/>
          <w:lang w:eastAsia="en-NZ"/>
        </w:rPr>
        <w:t>Rights</w:t>
      </w:r>
      <w:r w:rsidR="003D640C">
        <w:rPr>
          <w:rFonts w:eastAsiaTheme="minorEastAsia"/>
          <w:lang w:eastAsia="en-NZ"/>
        </w:rPr>
        <w:t xml:space="preserve"> </w:t>
      </w:r>
      <w:r w:rsidR="00653ECF" w:rsidRPr="00BB6220">
        <w:rPr>
          <w:rFonts w:eastAsiaTheme="minorEastAsia"/>
          <w:lang w:eastAsia="en-NZ"/>
        </w:rPr>
        <w:t>of</w:t>
      </w:r>
      <w:r w:rsidR="003D640C">
        <w:rPr>
          <w:rFonts w:eastAsiaTheme="minorEastAsia"/>
          <w:lang w:eastAsia="en-NZ"/>
        </w:rPr>
        <w:t xml:space="preserve"> </w:t>
      </w:r>
      <w:r w:rsidR="00653ECF" w:rsidRPr="00BB6220">
        <w:rPr>
          <w:rFonts w:eastAsiaTheme="minorEastAsia"/>
          <w:lang w:eastAsia="en-NZ"/>
        </w:rPr>
        <w:t>Persons</w:t>
      </w:r>
      <w:r w:rsidR="003D640C">
        <w:rPr>
          <w:rFonts w:eastAsiaTheme="minorEastAsia"/>
          <w:lang w:eastAsia="en-NZ"/>
        </w:rPr>
        <w:t xml:space="preserve"> </w:t>
      </w:r>
      <w:r w:rsidR="00653ECF" w:rsidRPr="00BB6220">
        <w:rPr>
          <w:rFonts w:eastAsiaTheme="minorEastAsia"/>
          <w:lang w:eastAsia="en-NZ"/>
        </w:rPr>
        <w:t>with</w:t>
      </w:r>
      <w:r w:rsidR="003D640C">
        <w:rPr>
          <w:rFonts w:eastAsiaTheme="minorEastAsia"/>
          <w:lang w:eastAsia="en-NZ"/>
        </w:rPr>
        <w:t xml:space="preserve"> </w:t>
      </w:r>
      <w:r w:rsidR="00653ECF" w:rsidRPr="00BB6220">
        <w:rPr>
          <w:rFonts w:eastAsiaTheme="minorEastAsia"/>
          <w:lang w:eastAsia="en-NZ"/>
        </w:rPr>
        <w:t>Disabilities.</w:t>
      </w:r>
    </w:p>
    <w:p w14:paraId="6D5E9266" w14:textId="764E75FF" w:rsidR="00501068" w:rsidRDefault="5EF0E9C3" w:rsidP="0002020B">
      <w:pPr>
        <w:rPr>
          <w:rFonts w:eastAsia="Calibri"/>
        </w:rPr>
      </w:pPr>
      <w:r w:rsidRPr="00BB6220">
        <w:rPr>
          <w:lang w:eastAsia="en-NZ"/>
        </w:rPr>
        <w:t>United</w:t>
      </w:r>
      <w:r w:rsidR="003D640C">
        <w:rPr>
          <w:lang w:eastAsia="en-NZ"/>
        </w:rPr>
        <w:t xml:space="preserve"> </w:t>
      </w:r>
      <w:r w:rsidRPr="00BB6220">
        <w:rPr>
          <w:lang w:eastAsia="en-NZ"/>
        </w:rPr>
        <w:t>Nations</w:t>
      </w:r>
      <w:r w:rsidR="003D640C">
        <w:rPr>
          <w:lang w:eastAsia="en-NZ"/>
        </w:rPr>
        <w:t xml:space="preserve"> </w:t>
      </w:r>
      <w:r w:rsidR="00491C35">
        <w:rPr>
          <w:lang w:eastAsia="en-NZ"/>
        </w:rPr>
        <w:t>treaty</w:t>
      </w:r>
      <w:r w:rsidR="003D640C">
        <w:rPr>
          <w:lang w:eastAsia="en-NZ"/>
        </w:rPr>
        <w:t xml:space="preserve"> </w:t>
      </w:r>
      <w:r w:rsidR="00491C35">
        <w:rPr>
          <w:lang w:eastAsia="en-NZ"/>
        </w:rPr>
        <w:t>bodies</w:t>
      </w:r>
      <w:r w:rsidR="003D640C">
        <w:rPr>
          <w:lang w:eastAsia="en-NZ"/>
        </w:rPr>
        <w:t xml:space="preserve"> </w:t>
      </w:r>
      <w:r w:rsidRPr="00BB6220">
        <w:rPr>
          <w:lang w:eastAsia="en-NZ"/>
        </w:rPr>
        <w:t>and</w:t>
      </w:r>
      <w:r w:rsidR="003D640C">
        <w:rPr>
          <w:lang w:eastAsia="en-NZ"/>
        </w:rPr>
        <w:t xml:space="preserve"> </w:t>
      </w:r>
      <w:r w:rsidRPr="00BB6220">
        <w:rPr>
          <w:lang w:eastAsia="en-NZ"/>
        </w:rPr>
        <w:t>human</w:t>
      </w:r>
      <w:r w:rsidR="003D640C">
        <w:rPr>
          <w:lang w:eastAsia="en-NZ"/>
        </w:rPr>
        <w:t xml:space="preserve"> </w:t>
      </w:r>
      <w:r w:rsidRPr="00BB6220">
        <w:rPr>
          <w:lang w:eastAsia="en-NZ"/>
        </w:rPr>
        <w:t>rights</w:t>
      </w:r>
      <w:r w:rsidR="003D640C">
        <w:rPr>
          <w:lang w:eastAsia="en-NZ"/>
        </w:rPr>
        <w:t xml:space="preserve"> </w:t>
      </w:r>
      <w:r w:rsidR="00C57028" w:rsidRPr="00BB6220" w:rsidDel="007115AA">
        <w:rPr>
          <w:lang w:eastAsia="en-NZ"/>
        </w:rPr>
        <w:t>leaders</w:t>
      </w:r>
      <w:r w:rsidR="003D640C">
        <w:rPr>
          <w:lang w:eastAsia="en-NZ"/>
        </w:rPr>
        <w:t xml:space="preserve"> </w:t>
      </w:r>
      <w:r w:rsidR="00763FBD">
        <w:rPr>
          <w:lang w:eastAsia="en-NZ"/>
        </w:rPr>
        <w:t>and</w:t>
      </w:r>
      <w:r w:rsidR="003D640C">
        <w:rPr>
          <w:lang w:eastAsia="en-NZ"/>
        </w:rPr>
        <w:t xml:space="preserve"> </w:t>
      </w:r>
      <w:r w:rsidR="007115AA">
        <w:rPr>
          <w:lang w:eastAsia="en-NZ"/>
        </w:rPr>
        <w:t>experts</w:t>
      </w:r>
      <w:r w:rsidR="003D640C">
        <w:rPr>
          <w:lang w:eastAsia="en-NZ"/>
        </w:rPr>
        <w:t xml:space="preserve"> </w:t>
      </w:r>
      <w:r w:rsidR="00C57028" w:rsidRPr="00BB6220">
        <w:rPr>
          <w:lang w:eastAsia="en-NZ"/>
        </w:rPr>
        <w:t>globally</w:t>
      </w:r>
      <w:r w:rsidR="003D640C">
        <w:rPr>
          <w:lang w:eastAsia="en-NZ"/>
        </w:rPr>
        <w:t xml:space="preserve"> </w:t>
      </w:r>
      <w:r w:rsidR="001C3549" w:rsidRPr="00BB6220">
        <w:rPr>
          <w:lang w:eastAsia="en-NZ"/>
        </w:rPr>
        <w:t>have</w:t>
      </w:r>
      <w:r w:rsidR="003D640C">
        <w:rPr>
          <w:lang w:eastAsia="en-NZ"/>
        </w:rPr>
        <w:t xml:space="preserve"> </w:t>
      </w:r>
      <w:r w:rsidRPr="00BB6220">
        <w:rPr>
          <w:lang w:eastAsia="en-NZ"/>
        </w:rPr>
        <w:t>expressed</w:t>
      </w:r>
      <w:r w:rsidR="003D640C">
        <w:rPr>
          <w:lang w:eastAsia="en-NZ"/>
        </w:rPr>
        <w:t xml:space="preserve"> </w:t>
      </w:r>
      <w:r w:rsidRPr="00BB6220">
        <w:rPr>
          <w:lang w:eastAsia="en-NZ"/>
        </w:rPr>
        <w:t>concern</w:t>
      </w:r>
      <w:r w:rsidR="003D640C">
        <w:rPr>
          <w:lang w:eastAsia="en-NZ"/>
        </w:rPr>
        <w:t xml:space="preserve"> </w:t>
      </w:r>
      <w:r w:rsidR="001C3549" w:rsidRPr="00BB6220">
        <w:rPr>
          <w:lang w:eastAsia="en-NZ"/>
        </w:rPr>
        <w:t>that</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amount</w:t>
      </w:r>
      <w:r w:rsidR="003D640C">
        <w:rPr>
          <w:lang w:eastAsia="en-NZ"/>
        </w:rPr>
        <w:t xml:space="preserve"> </w:t>
      </w:r>
      <w:r w:rsidRPr="00BB6220">
        <w:rPr>
          <w:lang w:eastAsia="en-NZ"/>
        </w:rPr>
        <w:t>to</w:t>
      </w:r>
      <w:r w:rsidR="003D640C">
        <w:rPr>
          <w:lang w:eastAsia="en-NZ"/>
        </w:rPr>
        <w:t xml:space="preserve"> </w:t>
      </w:r>
      <w:r w:rsidRPr="00BB6220">
        <w:rPr>
          <w:lang w:eastAsia="en-NZ"/>
        </w:rPr>
        <w:t>torture,</w:t>
      </w:r>
      <w:r w:rsidR="003D640C">
        <w:rPr>
          <w:lang w:eastAsia="en-NZ"/>
        </w:rPr>
        <w:t xml:space="preserve"> </w:t>
      </w:r>
      <w:r w:rsidRPr="00BB6220">
        <w:rPr>
          <w:lang w:eastAsia="en-NZ"/>
        </w:rPr>
        <w:t>cruel,</w:t>
      </w:r>
      <w:r w:rsidR="003D640C">
        <w:rPr>
          <w:lang w:eastAsia="en-NZ"/>
        </w:rPr>
        <w:t xml:space="preserve"> </w:t>
      </w:r>
      <w:r w:rsidRPr="00BB6220">
        <w:rPr>
          <w:lang w:eastAsia="en-NZ"/>
        </w:rPr>
        <w:t>inhuman</w:t>
      </w:r>
      <w:r w:rsidR="0069535E">
        <w:rPr>
          <w:lang w:eastAsia="en-NZ"/>
        </w:rPr>
        <w:t>,</w:t>
      </w:r>
      <w:r w:rsidR="003D640C">
        <w:rPr>
          <w:lang w:eastAsia="en-NZ"/>
        </w:rPr>
        <w:t xml:space="preserve"> </w:t>
      </w:r>
      <w:r w:rsidRPr="00BB6220">
        <w:rPr>
          <w:lang w:eastAsia="en-NZ"/>
        </w:rPr>
        <w:t>or</w:t>
      </w:r>
      <w:r w:rsidR="003D640C">
        <w:rPr>
          <w:lang w:eastAsia="en-NZ"/>
        </w:rPr>
        <w:t xml:space="preserve"> </w:t>
      </w:r>
      <w:r w:rsidRPr="00BB6220">
        <w:rPr>
          <w:lang w:eastAsia="en-NZ"/>
        </w:rPr>
        <w:t>degrading</w:t>
      </w:r>
      <w:r w:rsidR="003D640C">
        <w:rPr>
          <w:lang w:eastAsia="en-NZ"/>
        </w:rPr>
        <w:t xml:space="preserve"> </w:t>
      </w:r>
      <w:r w:rsidRPr="00BB6220">
        <w:rPr>
          <w:lang w:eastAsia="en-NZ"/>
        </w:rPr>
        <w:t>treatment.</w:t>
      </w:r>
      <w:r w:rsidR="003D640C">
        <w:rPr>
          <w:lang w:eastAsia="en-NZ"/>
        </w:rPr>
        <w:t xml:space="preserve"> </w:t>
      </w:r>
      <w:r w:rsidR="00C57028" w:rsidRPr="00BB6220">
        <w:rPr>
          <w:rFonts w:eastAsia="Calibri"/>
        </w:rPr>
        <w:t>United</w:t>
      </w:r>
      <w:r w:rsidR="003D640C">
        <w:rPr>
          <w:rFonts w:eastAsia="Calibri"/>
        </w:rPr>
        <w:t xml:space="preserve"> </w:t>
      </w:r>
      <w:r w:rsidR="00C57028" w:rsidRPr="00BB6220">
        <w:rPr>
          <w:rFonts w:eastAsia="Calibri"/>
        </w:rPr>
        <w:t>Nations</w:t>
      </w:r>
      <w:r w:rsidR="003D640C">
        <w:rPr>
          <w:rFonts w:eastAsia="Calibri"/>
        </w:rPr>
        <w:t xml:space="preserve"> </w:t>
      </w:r>
      <w:r w:rsidR="00C57028" w:rsidRPr="00BB6220">
        <w:rPr>
          <w:rFonts w:eastAsia="Calibri"/>
        </w:rPr>
        <w:t>human</w:t>
      </w:r>
      <w:r w:rsidR="003D640C">
        <w:rPr>
          <w:rFonts w:eastAsia="Calibri"/>
        </w:rPr>
        <w:t xml:space="preserve"> </w:t>
      </w:r>
      <w:r w:rsidR="00C57028" w:rsidRPr="00BB6220">
        <w:rPr>
          <w:rFonts w:eastAsia="Calibri"/>
        </w:rPr>
        <w:t>rights</w:t>
      </w:r>
      <w:r w:rsidR="003D640C">
        <w:rPr>
          <w:rFonts w:eastAsia="Calibri"/>
        </w:rPr>
        <w:t xml:space="preserve"> </w:t>
      </w:r>
      <w:r w:rsidR="00C57028" w:rsidRPr="00BB6220">
        <w:rPr>
          <w:rFonts w:eastAsia="Calibri"/>
        </w:rPr>
        <w:t>mechanisms</w:t>
      </w:r>
      <w:r w:rsidR="003D640C">
        <w:rPr>
          <w:rFonts w:eastAsia="Calibri"/>
        </w:rPr>
        <w:t xml:space="preserve"> </w:t>
      </w:r>
      <w:r w:rsidR="00C57028" w:rsidRPr="00BB6220">
        <w:rPr>
          <w:rFonts w:eastAsia="Calibri"/>
        </w:rPr>
        <w:t>have</w:t>
      </w:r>
      <w:r w:rsidR="003D640C">
        <w:rPr>
          <w:rFonts w:eastAsia="Calibri"/>
        </w:rPr>
        <w:t xml:space="preserve"> </w:t>
      </w:r>
      <w:r w:rsidR="00C57028" w:rsidRPr="00BB6220">
        <w:rPr>
          <w:rFonts w:eastAsia="Calibri"/>
        </w:rPr>
        <w:t>concluded</w:t>
      </w:r>
      <w:r w:rsidR="003D640C">
        <w:rPr>
          <w:rFonts w:eastAsia="Calibri"/>
        </w:rPr>
        <w:t xml:space="preserve"> </w:t>
      </w:r>
      <w:r w:rsidR="00C57028" w:rsidRPr="00BB6220">
        <w:rPr>
          <w:rFonts w:eastAsia="Calibri"/>
        </w:rPr>
        <w:t>that</w:t>
      </w:r>
      <w:r w:rsidR="003D640C">
        <w:rPr>
          <w:rFonts w:eastAsia="Calibri"/>
        </w:rPr>
        <w:t xml:space="preserve"> </w:t>
      </w:r>
      <w:r w:rsidR="00C57028" w:rsidRPr="00BB6220">
        <w:rPr>
          <w:rFonts w:eastAsia="Calibri"/>
        </w:rPr>
        <w:t>conversion</w:t>
      </w:r>
      <w:r w:rsidR="003D640C">
        <w:rPr>
          <w:rFonts w:eastAsia="Calibri"/>
        </w:rPr>
        <w:t xml:space="preserve"> </w:t>
      </w:r>
      <w:r w:rsidR="00C57028" w:rsidRPr="00BB6220">
        <w:rPr>
          <w:rFonts w:eastAsia="Calibri"/>
        </w:rPr>
        <w:t>practices</w:t>
      </w:r>
      <w:r w:rsidR="003D640C">
        <w:rPr>
          <w:rFonts w:eastAsia="Calibri"/>
        </w:rPr>
        <w:t xml:space="preserve"> </w:t>
      </w:r>
      <w:r w:rsidR="00C57028" w:rsidRPr="00BB6220">
        <w:rPr>
          <w:rFonts w:eastAsia="Calibri"/>
        </w:rPr>
        <w:t>are</w:t>
      </w:r>
      <w:r w:rsidR="003D640C">
        <w:rPr>
          <w:rFonts w:eastAsia="Calibri"/>
        </w:rPr>
        <w:t xml:space="preserve"> </w:t>
      </w:r>
      <w:r w:rsidR="00C57028" w:rsidRPr="00BB6220">
        <w:rPr>
          <w:rFonts w:eastAsia="Calibri"/>
        </w:rPr>
        <w:t>contrary</w:t>
      </w:r>
      <w:r w:rsidR="003D640C">
        <w:rPr>
          <w:rFonts w:eastAsia="Calibri"/>
        </w:rPr>
        <w:t xml:space="preserve"> </w:t>
      </w:r>
      <w:r w:rsidR="00C57028" w:rsidRPr="00BB6220">
        <w:rPr>
          <w:rFonts w:eastAsia="Calibri"/>
        </w:rPr>
        <w:t>to</w:t>
      </w:r>
      <w:r w:rsidR="003D640C">
        <w:rPr>
          <w:rFonts w:eastAsia="Calibri"/>
        </w:rPr>
        <w:t xml:space="preserve"> </w:t>
      </w:r>
      <w:r w:rsidR="00C57028" w:rsidRPr="00BB6220">
        <w:rPr>
          <w:rFonts w:eastAsia="Calibri"/>
        </w:rPr>
        <w:t>international</w:t>
      </w:r>
      <w:r w:rsidR="003D640C">
        <w:rPr>
          <w:rFonts w:eastAsia="Calibri"/>
        </w:rPr>
        <w:t xml:space="preserve"> </w:t>
      </w:r>
      <w:r w:rsidR="00C57028" w:rsidRPr="00BB6220">
        <w:rPr>
          <w:rFonts w:eastAsia="Calibri"/>
        </w:rPr>
        <w:t>human</w:t>
      </w:r>
      <w:r w:rsidR="003D640C">
        <w:rPr>
          <w:rFonts w:eastAsia="Calibri"/>
        </w:rPr>
        <w:t xml:space="preserve"> </w:t>
      </w:r>
      <w:r w:rsidR="00C57028" w:rsidRPr="00BB6220">
        <w:rPr>
          <w:rFonts w:eastAsia="Calibri"/>
        </w:rPr>
        <w:t>rights</w:t>
      </w:r>
      <w:r w:rsidR="003D640C">
        <w:rPr>
          <w:rFonts w:eastAsia="Calibri"/>
        </w:rPr>
        <w:t xml:space="preserve"> </w:t>
      </w:r>
      <w:r w:rsidR="00C57028" w:rsidRPr="00BB6220">
        <w:rPr>
          <w:rFonts w:eastAsia="Calibri"/>
        </w:rPr>
        <w:t>law</w:t>
      </w:r>
      <w:r w:rsidR="003D640C">
        <w:rPr>
          <w:rFonts w:eastAsia="Calibri"/>
        </w:rPr>
        <w:t xml:space="preserve"> </w:t>
      </w:r>
      <w:r w:rsidR="00C57028" w:rsidRPr="00BB6220">
        <w:rPr>
          <w:rFonts w:eastAsia="Calibri"/>
        </w:rPr>
        <w:t>and</w:t>
      </w:r>
      <w:r w:rsidR="003D640C">
        <w:rPr>
          <w:rFonts w:eastAsia="Calibri"/>
        </w:rPr>
        <w:t xml:space="preserve"> </w:t>
      </w:r>
      <w:r w:rsidR="00C57028" w:rsidRPr="00BB6220">
        <w:rPr>
          <w:rFonts w:eastAsia="Calibri"/>
        </w:rPr>
        <w:t>have</w:t>
      </w:r>
      <w:r w:rsidR="003D640C">
        <w:rPr>
          <w:rFonts w:eastAsia="Calibri"/>
        </w:rPr>
        <w:t xml:space="preserve"> </w:t>
      </w:r>
      <w:r w:rsidR="00C57028" w:rsidRPr="00BB6220">
        <w:rPr>
          <w:rFonts w:eastAsia="Calibri"/>
        </w:rPr>
        <w:t>urged</w:t>
      </w:r>
      <w:r w:rsidR="003D640C">
        <w:rPr>
          <w:rFonts w:eastAsia="Calibri"/>
        </w:rPr>
        <w:t xml:space="preserve"> </w:t>
      </w:r>
      <w:r w:rsidR="00C57028" w:rsidRPr="00BB6220">
        <w:rPr>
          <w:rFonts w:eastAsia="Calibri"/>
        </w:rPr>
        <w:t>States</w:t>
      </w:r>
      <w:r w:rsidR="003D640C">
        <w:rPr>
          <w:rFonts w:eastAsia="Calibri"/>
        </w:rPr>
        <w:t xml:space="preserve"> </w:t>
      </w:r>
      <w:r w:rsidR="00C57028" w:rsidRPr="00BB6220">
        <w:rPr>
          <w:rFonts w:eastAsia="Calibri"/>
        </w:rPr>
        <w:t>to</w:t>
      </w:r>
      <w:r w:rsidR="003D640C">
        <w:rPr>
          <w:rFonts w:eastAsia="Calibri"/>
        </w:rPr>
        <w:t xml:space="preserve"> </w:t>
      </w:r>
      <w:r w:rsidR="00C57028" w:rsidRPr="00BB6220">
        <w:rPr>
          <w:rFonts w:eastAsia="Calibri"/>
        </w:rPr>
        <w:t>ban</w:t>
      </w:r>
      <w:r w:rsidR="003D640C">
        <w:rPr>
          <w:rFonts w:eastAsia="Calibri"/>
        </w:rPr>
        <w:t xml:space="preserve"> </w:t>
      </w:r>
      <w:r w:rsidR="00C57028" w:rsidRPr="00BB6220">
        <w:rPr>
          <w:rFonts w:eastAsia="Calibri"/>
        </w:rPr>
        <w:t>them.</w:t>
      </w:r>
      <w:r w:rsidR="00E37B4B" w:rsidRPr="00BB6220">
        <w:rPr>
          <w:rStyle w:val="FootnoteReference"/>
          <w:rFonts w:ascii="Calibri" w:eastAsia="Times New Roman" w:hAnsi="Calibri" w:cs="Calibri"/>
          <w:lang w:eastAsia="en-NZ"/>
        </w:rPr>
        <w:footnoteReference w:id="55"/>
      </w:r>
      <w:r w:rsidR="003D640C">
        <w:rPr>
          <w:rFonts w:eastAsia="Calibri"/>
        </w:rPr>
        <w:t xml:space="preserve"> </w:t>
      </w:r>
    </w:p>
    <w:p w14:paraId="4297A6D4" w14:textId="40240D6E" w:rsidR="00501068" w:rsidRDefault="006F214F" w:rsidP="0002020B">
      <w:pPr>
        <w:rPr>
          <w:lang w:eastAsia="en-NZ"/>
        </w:rPr>
      </w:pPr>
      <w:r>
        <w:rPr>
          <w:rFonts w:eastAsia="Calibri"/>
        </w:rPr>
        <w:t>In</w:t>
      </w:r>
      <w:r w:rsidR="003D640C">
        <w:rPr>
          <w:rFonts w:eastAsia="Calibri"/>
        </w:rPr>
        <w:t xml:space="preserve"> </w:t>
      </w:r>
      <w:r>
        <w:rPr>
          <w:rFonts w:eastAsia="Calibri"/>
        </w:rPr>
        <w:t>New</w:t>
      </w:r>
      <w:r w:rsidR="003D640C">
        <w:rPr>
          <w:rFonts w:eastAsia="Calibri"/>
        </w:rPr>
        <w:t xml:space="preserve"> </w:t>
      </w:r>
      <w:r>
        <w:rPr>
          <w:rFonts w:eastAsia="Calibri"/>
        </w:rPr>
        <w:t>Zealand</w:t>
      </w:r>
      <w:r w:rsidR="003D640C">
        <w:rPr>
          <w:rFonts w:eastAsia="Calibri"/>
        </w:rPr>
        <w:t xml:space="preserve"> </w:t>
      </w:r>
      <w:r>
        <w:rPr>
          <w:rFonts w:eastAsia="Calibri"/>
        </w:rPr>
        <w:t>law,</w:t>
      </w:r>
      <w:r w:rsidR="003D640C">
        <w:rPr>
          <w:rFonts w:eastAsia="Calibri"/>
        </w:rPr>
        <w:t xml:space="preserve"> </w:t>
      </w:r>
      <w:r>
        <w:rPr>
          <w:lang w:eastAsia="en-NZ"/>
        </w:rPr>
        <w:t>section</w:t>
      </w:r>
      <w:r w:rsidR="003D640C">
        <w:rPr>
          <w:lang w:eastAsia="en-NZ"/>
        </w:rPr>
        <w:t xml:space="preserve"> </w:t>
      </w:r>
      <w:r>
        <w:rPr>
          <w:lang w:eastAsia="en-NZ"/>
        </w:rPr>
        <w:t>9</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NZBORA</w:t>
      </w:r>
      <w:r w:rsidR="003D640C">
        <w:rPr>
          <w:lang w:eastAsia="en-NZ"/>
        </w:rPr>
        <w:t xml:space="preserve"> </w:t>
      </w:r>
      <w:r w:rsidRPr="00BB6220">
        <w:rPr>
          <w:lang w:eastAsia="en-NZ"/>
        </w:rPr>
        <w:t>provides</w:t>
      </w:r>
      <w:r w:rsidR="003D640C">
        <w:rPr>
          <w:lang w:eastAsia="en-NZ"/>
        </w:rPr>
        <w:t xml:space="preserve"> </w:t>
      </w:r>
      <w:r w:rsidRPr="00BB6220">
        <w:rPr>
          <w:lang w:eastAsia="en-NZ"/>
        </w:rPr>
        <w:t>that</w:t>
      </w:r>
      <w:r w:rsidR="003D640C">
        <w:rPr>
          <w:lang w:eastAsia="en-NZ"/>
        </w:rPr>
        <w:t xml:space="preserve"> </w:t>
      </w:r>
      <w:r w:rsidRPr="00BB6220">
        <w:rPr>
          <w:lang w:eastAsia="en-NZ"/>
        </w:rPr>
        <w:t>“</w:t>
      </w:r>
      <w:r>
        <w:rPr>
          <w:lang w:eastAsia="en-NZ"/>
        </w:rPr>
        <w:t>e</w:t>
      </w:r>
      <w:r w:rsidRPr="00BB6220">
        <w:rPr>
          <w:lang w:eastAsia="en-NZ"/>
        </w:rPr>
        <w:t>veryone</w:t>
      </w:r>
      <w:r w:rsidR="003D640C">
        <w:rPr>
          <w:lang w:eastAsia="en-NZ"/>
        </w:rPr>
        <w:t xml:space="preserve"> </w:t>
      </w:r>
      <w:r w:rsidRPr="00BB6220">
        <w:rPr>
          <w:lang w:eastAsia="en-NZ"/>
        </w:rPr>
        <w:t>has</w:t>
      </w:r>
      <w:r w:rsidR="003D640C">
        <w:rPr>
          <w:lang w:eastAsia="en-NZ"/>
        </w:rPr>
        <w:t xml:space="preserve"> </w:t>
      </w:r>
      <w:r w:rsidRPr="00BB6220">
        <w:rPr>
          <w:lang w:eastAsia="en-NZ"/>
        </w:rPr>
        <w:t>the</w:t>
      </w:r>
      <w:r w:rsidR="003D640C">
        <w:rPr>
          <w:lang w:eastAsia="en-NZ"/>
        </w:rPr>
        <w:t xml:space="preserve"> </w:t>
      </w:r>
      <w:r w:rsidRPr="00BB6220">
        <w:rPr>
          <w:lang w:eastAsia="en-NZ"/>
        </w:rPr>
        <w:t>right</w:t>
      </w:r>
      <w:r w:rsidR="003D640C">
        <w:rPr>
          <w:lang w:eastAsia="en-NZ"/>
        </w:rPr>
        <w:t xml:space="preserve"> </w:t>
      </w:r>
      <w:r w:rsidRPr="00BB6220">
        <w:rPr>
          <w:lang w:eastAsia="en-NZ"/>
        </w:rPr>
        <w:t>not</w:t>
      </w:r>
      <w:r w:rsidR="003D640C">
        <w:rPr>
          <w:lang w:eastAsia="en-NZ"/>
        </w:rPr>
        <w:t xml:space="preserve"> </w:t>
      </w:r>
      <w:r w:rsidRPr="00BB6220">
        <w:rPr>
          <w:lang w:eastAsia="en-NZ"/>
        </w:rPr>
        <w:t>to</w:t>
      </w:r>
      <w:r w:rsidR="003D640C">
        <w:rPr>
          <w:lang w:eastAsia="en-NZ"/>
        </w:rPr>
        <w:t xml:space="preserve"> </w:t>
      </w:r>
      <w:r w:rsidRPr="00BB6220">
        <w:rPr>
          <w:lang w:eastAsia="en-NZ"/>
        </w:rPr>
        <w:t>be</w:t>
      </w:r>
      <w:r w:rsidR="003D640C">
        <w:rPr>
          <w:lang w:eastAsia="en-NZ"/>
        </w:rPr>
        <w:t xml:space="preserve"> </w:t>
      </w:r>
      <w:r w:rsidRPr="00BB6220">
        <w:rPr>
          <w:lang w:eastAsia="en-NZ"/>
        </w:rPr>
        <w:t>subjected</w:t>
      </w:r>
      <w:r w:rsidR="003D640C">
        <w:rPr>
          <w:lang w:eastAsia="en-NZ"/>
        </w:rPr>
        <w:t xml:space="preserve"> </w:t>
      </w:r>
      <w:r w:rsidRPr="00BB6220">
        <w:rPr>
          <w:lang w:eastAsia="en-NZ"/>
        </w:rPr>
        <w:t>to</w:t>
      </w:r>
      <w:r w:rsidR="003D640C">
        <w:rPr>
          <w:lang w:eastAsia="en-NZ"/>
        </w:rPr>
        <w:t xml:space="preserve"> </w:t>
      </w:r>
      <w:r w:rsidRPr="00BB6220">
        <w:rPr>
          <w:lang w:eastAsia="en-NZ"/>
        </w:rPr>
        <w:t>torture</w:t>
      </w:r>
      <w:r w:rsidR="003D640C">
        <w:rPr>
          <w:lang w:eastAsia="en-NZ"/>
        </w:rPr>
        <w:t xml:space="preserve"> </w:t>
      </w:r>
      <w:r w:rsidRPr="00BB6220">
        <w:rPr>
          <w:lang w:eastAsia="en-NZ"/>
        </w:rPr>
        <w:t>or</w:t>
      </w:r>
      <w:r w:rsidR="003D640C">
        <w:rPr>
          <w:lang w:eastAsia="en-NZ"/>
        </w:rPr>
        <w:t xml:space="preserve"> </w:t>
      </w:r>
      <w:r w:rsidRPr="00BB6220">
        <w:rPr>
          <w:lang w:eastAsia="en-NZ"/>
        </w:rPr>
        <w:t>to</w:t>
      </w:r>
      <w:r w:rsidR="003D640C">
        <w:rPr>
          <w:lang w:eastAsia="en-NZ"/>
        </w:rPr>
        <w:t xml:space="preserve"> </w:t>
      </w:r>
      <w:r w:rsidRPr="00BB6220">
        <w:rPr>
          <w:lang w:eastAsia="en-NZ"/>
        </w:rPr>
        <w:t>cruel,</w:t>
      </w:r>
      <w:r w:rsidR="003D640C">
        <w:rPr>
          <w:lang w:eastAsia="en-NZ"/>
        </w:rPr>
        <w:t xml:space="preserve"> </w:t>
      </w:r>
      <w:r w:rsidRPr="00BB6220">
        <w:rPr>
          <w:lang w:eastAsia="en-NZ"/>
        </w:rPr>
        <w:t>degrading,</w:t>
      </w:r>
      <w:r w:rsidR="003D640C">
        <w:rPr>
          <w:lang w:eastAsia="en-NZ"/>
        </w:rPr>
        <w:t xml:space="preserve"> </w:t>
      </w:r>
      <w:r w:rsidRPr="00BB6220">
        <w:rPr>
          <w:lang w:eastAsia="en-NZ"/>
        </w:rPr>
        <w:t>or</w:t>
      </w:r>
      <w:r w:rsidR="003D640C">
        <w:rPr>
          <w:lang w:eastAsia="en-NZ"/>
        </w:rPr>
        <w:t xml:space="preserve"> </w:t>
      </w:r>
      <w:r w:rsidRPr="00BB6220">
        <w:rPr>
          <w:lang w:eastAsia="en-NZ"/>
        </w:rPr>
        <w:t>disproportionately</w:t>
      </w:r>
      <w:r w:rsidR="003D640C">
        <w:rPr>
          <w:lang w:eastAsia="en-NZ"/>
        </w:rPr>
        <w:t xml:space="preserve"> </w:t>
      </w:r>
      <w:r w:rsidRPr="00BB6220">
        <w:rPr>
          <w:lang w:eastAsia="en-NZ"/>
        </w:rPr>
        <w:t>severe</w:t>
      </w:r>
      <w:r w:rsidR="003D640C">
        <w:rPr>
          <w:lang w:eastAsia="en-NZ"/>
        </w:rPr>
        <w:t xml:space="preserve"> </w:t>
      </w:r>
      <w:r w:rsidRPr="00BB6220">
        <w:rPr>
          <w:lang w:eastAsia="en-NZ"/>
        </w:rPr>
        <w:t>treatment</w:t>
      </w:r>
      <w:r w:rsidR="003D640C">
        <w:rPr>
          <w:lang w:eastAsia="en-NZ"/>
        </w:rPr>
        <w:t xml:space="preserve"> </w:t>
      </w:r>
      <w:r w:rsidRPr="00BB6220">
        <w:rPr>
          <w:lang w:eastAsia="en-NZ"/>
        </w:rPr>
        <w:t>or</w:t>
      </w:r>
      <w:r w:rsidR="003D640C">
        <w:rPr>
          <w:lang w:eastAsia="en-NZ"/>
        </w:rPr>
        <w:t xml:space="preserve"> </w:t>
      </w:r>
      <w:r w:rsidRPr="00BB6220">
        <w:rPr>
          <w:lang w:eastAsia="en-NZ"/>
        </w:rPr>
        <w:t>punishment”</w:t>
      </w:r>
      <w:r w:rsidR="00847F86">
        <w:rPr>
          <w:lang w:eastAsia="en-NZ"/>
        </w:rPr>
        <w:t>.</w:t>
      </w:r>
      <w:r w:rsidR="003D640C">
        <w:rPr>
          <w:lang w:eastAsia="en-NZ"/>
        </w:rPr>
        <w:t xml:space="preserve"> </w:t>
      </w:r>
      <w:r w:rsidR="00057694" w:rsidRPr="00BB6220">
        <w:rPr>
          <w:lang w:eastAsia="en-NZ"/>
        </w:rPr>
        <w:t>In</w:t>
      </w:r>
      <w:r w:rsidR="003D640C">
        <w:rPr>
          <w:lang w:eastAsia="en-NZ"/>
        </w:rPr>
        <w:t xml:space="preserve"> </w:t>
      </w:r>
      <w:r w:rsidR="00057694" w:rsidRPr="00BB6220">
        <w:rPr>
          <w:lang w:eastAsia="en-NZ"/>
        </w:rPr>
        <w:t>addition</w:t>
      </w:r>
      <w:r w:rsidR="003D640C">
        <w:rPr>
          <w:lang w:eastAsia="en-NZ"/>
        </w:rPr>
        <w:t xml:space="preserve"> </w:t>
      </w:r>
      <w:r w:rsidR="00057694" w:rsidRPr="00BB6220">
        <w:rPr>
          <w:lang w:eastAsia="en-NZ"/>
        </w:rPr>
        <w:t>to</w:t>
      </w:r>
      <w:r w:rsidR="003D640C">
        <w:rPr>
          <w:lang w:eastAsia="en-NZ"/>
        </w:rPr>
        <w:t xml:space="preserve"> </w:t>
      </w:r>
      <w:r w:rsidR="00057694" w:rsidRPr="00BB6220">
        <w:rPr>
          <w:lang w:eastAsia="en-NZ"/>
        </w:rPr>
        <w:t>being</w:t>
      </w:r>
      <w:r w:rsidR="003D640C">
        <w:rPr>
          <w:lang w:eastAsia="en-NZ"/>
        </w:rPr>
        <w:t xml:space="preserve"> </w:t>
      </w:r>
      <w:r w:rsidR="00057694" w:rsidRPr="00BB6220">
        <w:rPr>
          <w:lang w:eastAsia="en-NZ"/>
        </w:rPr>
        <w:t>recognised</w:t>
      </w:r>
      <w:r w:rsidR="003D640C">
        <w:rPr>
          <w:lang w:eastAsia="en-NZ"/>
        </w:rPr>
        <w:t xml:space="preserve"> </w:t>
      </w:r>
      <w:r w:rsidR="00057694" w:rsidRPr="00BB6220">
        <w:rPr>
          <w:lang w:eastAsia="en-NZ"/>
        </w:rPr>
        <w:t>as</w:t>
      </w:r>
      <w:r w:rsidR="003D640C">
        <w:rPr>
          <w:lang w:eastAsia="en-NZ"/>
        </w:rPr>
        <w:t xml:space="preserve"> </w:t>
      </w:r>
      <w:r w:rsidR="00057694" w:rsidRPr="00BB6220">
        <w:rPr>
          <w:lang w:eastAsia="en-NZ"/>
        </w:rPr>
        <w:t>crimes</w:t>
      </w:r>
      <w:r w:rsidR="003D640C">
        <w:rPr>
          <w:lang w:eastAsia="en-NZ"/>
        </w:rPr>
        <w:t xml:space="preserve"> </w:t>
      </w:r>
      <w:r w:rsidR="00057694" w:rsidRPr="00BB6220">
        <w:rPr>
          <w:lang w:eastAsia="en-NZ"/>
        </w:rPr>
        <w:t>in</w:t>
      </w:r>
      <w:r w:rsidR="003D640C">
        <w:rPr>
          <w:lang w:eastAsia="en-NZ"/>
        </w:rPr>
        <w:t xml:space="preserve"> </w:t>
      </w:r>
      <w:r w:rsidR="00057694" w:rsidRPr="00BB6220">
        <w:rPr>
          <w:lang w:eastAsia="en-NZ"/>
        </w:rPr>
        <w:t>their</w:t>
      </w:r>
      <w:r w:rsidR="003D640C">
        <w:rPr>
          <w:lang w:eastAsia="en-NZ"/>
        </w:rPr>
        <w:t xml:space="preserve"> </w:t>
      </w:r>
      <w:r w:rsidR="00057694" w:rsidRPr="00BB6220">
        <w:rPr>
          <w:lang w:eastAsia="en-NZ"/>
        </w:rPr>
        <w:t>own</w:t>
      </w:r>
      <w:r w:rsidR="003D640C">
        <w:rPr>
          <w:lang w:eastAsia="en-NZ"/>
        </w:rPr>
        <w:t xml:space="preserve"> </w:t>
      </w:r>
      <w:r w:rsidR="00057694" w:rsidRPr="00BB6220">
        <w:rPr>
          <w:lang w:eastAsia="en-NZ"/>
        </w:rPr>
        <w:t>right,</w:t>
      </w:r>
      <w:r w:rsidR="003D640C">
        <w:rPr>
          <w:lang w:eastAsia="en-NZ"/>
        </w:rPr>
        <w:t xml:space="preserve"> </w:t>
      </w:r>
      <w:r w:rsidR="00057694" w:rsidRPr="00BB6220">
        <w:rPr>
          <w:lang w:eastAsia="en-NZ"/>
        </w:rPr>
        <w:t>some</w:t>
      </w:r>
      <w:r w:rsidR="003D640C">
        <w:rPr>
          <w:lang w:eastAsia="en-NZ"/>
        </w:rPr>
        <w:t xml:space="preserve"> </w:t>
      </w:r>
      <w:r w:rsidR="00057694">
        <w:rPr>
          <w:lang w:eastAsia="en-NZ"/>
        </w:rPr>
        <w:t>specific</w:t>
      </w:r>
      <w:r w:rsidR="003D640C">
        <w:rPr>
          <w:lang w:eastAsia="en-NZ"/>
        </w:rPr>
        <w:t xml:space="preserve"> </w:t>
      </w:r>
      <w:r w:rsidR="00057694">
        <w:rPr>
          <w:lang w:eastAsia="en-NZ"/>
        </w:rPr>
        <w:t>conversion</w:t>
      </w:r>
      <w:r w:rsidR="003D640C">
        <w:rPr>
          <w:lang w:eastAsia="en-NZ"/>
        </w:rPr>
        <w:t xml:space="preserve"> </w:t>
      </w:r>
      <w:r w:rsidR="00057694">
        <w:rPr>
          <w:lang w:eastAsia="en-NZ"/>
        </w:rPr>
        <w:t>practices</w:t>
      </w:r>
      <w:r w:rsidR="003D640C">
        <w:rPr>
          <w:lang w:eastAsia="en-NZ"/>
        </w:rPr>
        <w:t xml:space="preserve"> </w:t>
      </w:r>
      <w:r w:rsidR="00057694" w:rsidRPr="00BB6220" w:rsidDel="00321610">
        <w:rPr>
          <w:lang w:eastAsia="en-NZ"/>
        </w:rPr>
        <w:t>may</w:t>
      </w:r>
      <w:r w:rsidR="003D640C">
        <w:rPr>
          <w:lang w:eastAsia="en-NZ"/>
        </w:rPr>
        <w:t xml:space="preserve"> </w:t>
      </w:r>
      <w:r w:rsidR="00057694" w:rsidRPr="00BB6220">
        <w:rPr>
          <w:lang w:eastAsia="en-NZ"/>
        </w:rPr>
        <w:t>amount</w:t>
      </w:r>
      <w:r w:rsidR="003D640C">
        <w:rPr>
          <w:lang w:eastAsia="en-NZ"/>
        </w:rPr>
        <w:t xml:space="preserve"> </w:t>
      </w:r>
      <w:r w:rsidR="00057694" w:rsidRPr="00BB6220">
        <w:rPr>
          <w:lang w:eastAsia="en-NZ"/>
        </w:rPr>
        <w:t>to</w:t>
      </w:r>
      <w:r w:rsidR="003D640C">
        <w:rPr>
          <w:lang w:eastAsia="en-NZ"/>
        </w:rPr>
        <w:t xml:space="preserve"> </w:t>
      </w:r>
      <w:r w:rsidR="00057694" w:rsidRPr="00BB6220">
        <w:rPr>
          <w:lang w:eastAsia="en-NZ"/>
        </w:rPr>
        <w:t>torture</w:t>
      </w:r>
      <w:r w:rsidR="003D640C">
        <w:rPr>
          <w:lang w:eastAsia="en-NZ"/>
        </w:rPr>
        <w:t xml:space="preserve"> </w:t>
      </w:r>
      <w:r w:rsidR="00057694">
        <w:rPr>
          <w:lang w:eastAsia="en-NZ"/>
        </w:rPr>
        <w:t>or</w:t>
      </w:r>
      <w:r w:rsidR="003D640C">
        <w:rPr>
          <w:lang w:eastAsia="en-NZ"/>
        </w:rPr>
        <w:t xml:space="preserve"> </w:t>
      </w:r>
      <w:r w:rsidR="00057694">
        <w:rPr>
          <w:lang w:eastAsia="en-NZ"/>
        </w:rPr>
        <w:t>degrading</w:t>
      </w:r>
      <w:r w:rsidR="003D640C">
        <w:rPr>
          <w:lang w:eastAsia="en-NZ"/>
        </w:rPr>
        <w:t xml:space="preserve"> </w:t>
      </w:r>
      <w:r w:rsidR="00057694">
        <w:rPr>
          <w:lang w:eastAsia="en-NZ"/>
        </w:rPr>
        <w:t>treatment</w:t>
      </w:r>
      <w:r w:rsidR="003D640C">
        <w:rPr>
          <w:lang w:eastAsia="en-NZ"/>
        </w:rPr>
        <w:t xml:space="preserve"> </w:t>
      </w:r>
      <w:r w:rsidR="00057694" w:rsidRPr="00BB6220">
        <w:rPr>
          <w:lang w:eastAsia="en-NZ"/>
        </w:rPr>
        <w:t>such</w:t>
      </w:r>
      <w:r w:rsidR="003D640C">
        <w:rPr>
          <w:lang w:eastAsia="en-NZ"/>
        </w:rPr>
        <w:t xml:space="preserve"> </w:t>
      </w:r>
      <w:r w:rsidR="00057694">
        <w:rPr>
          <w:lang w:eastAsia="en-NZ"/>
        </w:rPr>
        <w:t>as</w:t>
      </w:r>
      <w:r w:rsidR="003D640C">
        <w:rPr>
          <w:lang w:eastAsia="en-NZ"/>
        </w:rPr>
        <w:t xml:space="preserve"> </w:t>
      </w:r>
      <w:r w:rsidR="00057694" w:rsidRPr="00BB6220">
        <w:rPr>
          <w:lang w:eastAsia="en-NZ"/>
        </w:rPr>
        <w:t>involuntary</w:t>
      </w:r>
      <w:r w:rsidR="003D640C">
        <w:rPr>
          <w:lang w:eastAsia="en-NZ"/>
        </w:rPr>
        <w:t xml:space="preserve"> </w:t>
      </w:r>
      <w:r w:rsidR="00057694" w:rsidRPr="00BB6220">
        <w:rPr>
          <w:lang w:eastAsia="en-NZ"/>
        </w:rPr>
        <w:t>confinement</w:t>
      </w:r>
      <w:r w:rsidR="003D640C">
        <w:rPr>
          <w:lang w:eastAsia="en-NZ"/>
        </w:rPr>
        <w:t xml:space="preserve"> </w:t>
      </w:r>
      <w:r w:rsidR="00057694" w:rsidRPr="00BB6220">
        <w:rPr>
          <w:lang w:eastAsia="en-NZ"/>
        </w:rPr>
        <w:t>and</w:t>
      </w:r>
      <w:r w:rsidR="003D640C">
        <w:rPr>
          <w:lang w:eastAsia="en-NZ"/>
        </w:rPr>
        <w:t xml:space="preserve"> </w:t>
      </w:r>
      <w:r w:rsidR="00057694" w:rsidRPr="00BB6220">
        <w:rPr>
          <w:lang w:eastAsia="en-NZ"/>
        </w:rPr>
        <w:t>forced</w:t>
      </w:r>
      <w:r w:rsidR="003D640C">
        <w:rPr>
          <w:lang w:eastAsia="en-NZ"/>
        </w:rPr>
        <w:t xml:space="preserve"> </w:t>
      </w:r>
      <w:r w:rsidR="00057694" w:rsidRPr="00BB6220">
        <w:rPr>
          <w:lang w:eastAsia="en-NZ"/>
        </w:rPr>
        <w:t>treatment</w:t>
      </w:r>
      <w:r w:rsidR="003D640C">
        <w:rPr>
          <w:lang w:eastAsia="en-NZ"/>
        </w:rPr>
        <w:t xml:space="preserve"> </w:t>
      </w:r>
      <w:r w:rsidR="00057694" w:rsidRPr="00BB6220">
        <w:rPr>
          <w:lang w:eastAsia="en-NZ"/>
        </w:rPr>
        <w:t>on</w:t>
      </w:r>
      <w:r w:rsidR="003D640C">
        <w:rPr>
          <w:lang w:eastAsia="en-NZ"/>
        </w:rPr>
        <w:t xml:space="preserve"> </w:t>
      </w:r>
      <w:r w:rsidR="00057694" w:rsidRPr="00BB6220">
        <w:rPr>
          <w:lang w:eastAsia="en-NZ"/>
        </w:rPr>
        <w:t>the</w:t>
      </w:r>
      <w:r w:rsidR="003D640C">
        <w:rPr>
          <w:lang w:eastAsia="en-NZ"/>
        </w:rPr>
        <w:t xml:space="preserve"> </w:t>
      </w:r>
      <w:r w:rsidR="00057694" w:rsidRPr="00BB6220">
        <w:rPr>
          <w:lang w:eastAsia="en-NZ"/>
        </w:rPr>
        <w:t>grounds</w:t>
      </w:r>
      <w:r w:rsidR="003D640C">
        <w:rPr>
          <w:lang w:eastAsia="en-NZ"/>
        </w:rPr>
        <w:t xml:space="preserve"> </w:t>
      </w:r>
      <w:r w:rsidR="00057694" w:rsidRPr="00BB6220">
        <w:rPr>
          <w:lang w:eastAsia="en-NZ"/>
        </w:rPr>
        <w:t>of</w:t>
      </w:r>
      <w:r w:rsidR="003D640C">
        <w:rPr>
          <w:lang w:eastAsia="en-NZ"/>
        </w:rPr>
        <w:t xml:space="preserve"> </w:t>
      </w:r>
      <w:r w:rsidR="00057694" w:rsidRPr="00BB6220">
        <w:rPr>
          <w:lang w:eastAsia="en-NZ"/>
        </w:rPr>
        <w:t>sexual</w:t>
      </w:r>
      <w:r w:rsidR="003D640C">
        <w:rPr>
          <w:lang w:eastAsia="en-NZ"/>
        </w:rPr>
        <w:t xml:space="preserve"> </w:t>
      </w:r>
      <w:r w:rsidR="00057694" w:rsidRPr="00BB6220">
        <w:rPr>
          <w:lang w:eastAsia="en-NZ"/>
        </w:rPr>
        <w:t>orientation</w:t>
      </w:r>
      <w:r w:rsidR="003D640C">
        <w:rPr>
          <w:lang w:eastAsia="en-NZ"/>
        </w:rPr>
        <w:t xml:space="preserve"> </w:t>
      </w:r>
      <w:r w:rsidR="00057694" w:rsidRPr="00BB6220">
        <w:rPr>
          <w:lang w:eastAsia="en-NZ"/>
        </w:rPr>
        <w:t>or</w:t>
      </w:r>
      <w:r w:rsidR="003D640C">
        <w:rPr>
          <w:lang w:eastAsia="en-NZ"/>
        </w:rPr>
        <w:t xml:space="preserve"> </w:t>
      </w:r>
      <w:r w:rsidR="00057694" w:rsidRPr="00BB6220">
        <w:rPr>
          <w:lang w:eastAsia="en-NZ"/>
        </w:rPr>
        <w:t>gender</w:t>
      </w:r>
      <w:r w:rsidR="003D640C">
        <w:rPr>
          <w:lang w:eastAsia="en-NZ"/>
        </w:rPr>
        <w:t xml:space="preserve"> </w:t>
      </w:r>
      <w:r w:rsidR="00057694" w:rsidRPr="00BB6220">
        <w:rPr>
          <w:lang w:eastAsia="en-NZ"/>
        </w:rPr>
        <w:t>identity,</w:t>
      </w:r>
      <w:r w:rsidR="003D640C">
        <w:rPr>
          <w:lang w:eastAsia="en-NZ"/>
        </w:rPr>
        <w:t xml:space="preserve"> </w:t>
      </w:r>
      <w:r w:rsidR="00057694" w:rsidRPr="00BB6220">
        <w:rPr>
          <w:lang w:eastAsia="en-NZ"/>
        </w:rPr>
        <w:t>electric</w:t>
      </w:r>
      <w:r w:rsidR="003D640C">
        <w:rPr>
          <w:lang w:eastAsia="en-NZ"/>
        </w:rPr>
        <w:t xml:space="preserve"> </w:t>
      </w:r>
      <w:r w:rsidR="00057694" w:rsidRPr="00BB6220">
        <w:rPr>
          <w:lang w:eastAsia="en-NZ"/>
        </w:rPr>
        <w:t>shock</w:t>
      </w:r>
      <w:r w:rsidR="003D640C">
        <w:rPr>
          <w:lang w:eastAsia="en-NZ"/>
        </w:rPr>
        <w:t xml:space="preserve"> </w:t>
      </w:r>
      <w:r w:rsidR="00057694" w:rsidRPr="00BB6220">
        <w:rPr>
          <w:lang w:eastAsia="en-NZ"/>
        </w:rPr>
        <w:t>or</w:t>
      </w:r>
      <w:r w:rsidR="003D640C">
        <w:rPr>
          <w:lang w:eastAsia="en-NZ"/>
        </w:rPr>
        <w:t xml:space="preserve"> </w:t>
      </w:r>
      <w:r w:rsidR="00057694" w:rsidRPr="00BB6220">
        <w:rPr>
          <w:lang w:eastAsia="en-NZ"/>
        </w:rPr>
        <w:t>other</w:t>
      </w:r>
      <w:r w:rsidR="003D640C">
        <w:rPr>
          <w:lang w:eastAsia="en-NZ"/>
        </w:rPr>
        <w:t xml:space="preserve"> </w:t>
      </w:r>
      <w:r w:rsidR="00057694" w:rsidRPr="00BB6220">
        <w:rPr>
          <w:lang w:eastAsia="en-NZ"/>
        </w:rPr>
        <w:t>aversion</w:t>
      </w:r>
      <w:r w:rsidR="003D640C">
        <w:rPr>
          <w:lang w:eastAsia="en-NZ"/>
        </w:rPr>
        <w:t xml:space="preserve"> </w:t>
      </w:r>
      <w:r w:rsidR="00057694" w:rsidRPr="00BB6220">
        <w:rPr>
          <w:lang w:eastAsia="en-NZ"/>
        </w:rPr>
        <w:t>therapies,</w:t>
      </w:r>
      <w:r w:rsidR="003D640C">
        <w:rPr>
          <w:lang w:eastAsia="en-NZ"/>
        </w:rPr>
        <w:t xml:space="preserve"> </w:t>
      </w:r>
      <w:r w:rsidR="00057694" w:rsidRPr="00BB6220">
        <w:rPr>
          <w:lang w:eastAsia="en-NZ"/>
        </w:rPr>
        <w:t>and</w:t>
      </w:r>
      <w:r w:rsidR="003D640C">
        <w:rPr>
          <w:lang w:eastAsia="en-NZ"/>
        </w:rPr>
        <w:t xml:space="preserve"> </w:t>
      </w:r>
      <w:r w:rsidR="00057694" w:rsidRPr="00BB6220">
        <w:rPr>
          <w:lang w:eastAsia="en-NZ"/>
        </w:rPr>
        <w:t>sexual</w:t>
      </w:r>
      <w:r w:rsidR="003D640C">
        <w:rPr>
          <w:lang w:eastAsia="en-NZ"/>
        </w:rPr>
        <w:t xml:space="preserve"> </w:t>
      </w:r>
      <w:r w:rsidR="00057694" w:rsidRPr="00BB6220">
        <w:rPr>
          <w:lang w:eastAsia="en-NZ"/>
        </w:rPr>
        <w:t>abuse</w:t>
      </w:r>
      <w:r w:rsidR="00847F86">
        <w:rPr>
          <w:lang w:eastAsia="en-NZ"/>
        </w:rPr>
        <w:t>.</w:t>
      </w:r>
      <w:r w:rsidR="003D640C">
        <w:rPr>
          <w:lang w:eastAsia="en-NZ"/>
        </w:rPr>
        <w:t xml:space="preserve"> </w:t>
      </w:r>
    </w:p>
    <w:p w14:paraId="33FA6DC6" w14:textId="7A08863F" w:rsidR="00501068" w:rsidRDefault="00376D71" w:rsidP="0002020B">
      <w:pPr>
        <w:rPr>
          <w:lang w:eastAsia="en-NZ"/>
        </w:rPr>
      </w:pPr>
      <w:r>
        <w:rPr>
          <w:lang w:eastAsia="en-NZ"/>
        </w:rPr>
        <w:t>The</w:t>
      </w:r>
      <w:r w:rsidR="003D640C">
        <w:rPr>
          <w:lang w:eastAsia="en-NZ"/>
        </w:rPr>
        <w:t xml:space="preserve"> </w:t>
      </w:r>
      <w:r w:rsidR="00AE1D33">
        <w:rPr>
          <w:lang w:eastAsia="en-NZ"/>
        </w:rPr>
        <w:t>Abuse</w:t>
      </w:r>
      <w:r w:rsidR="003D640C">
        <w:rPr>
          <w:lang w:eastAsia="en-NZ"/>
        </w:rPr>
        <w:t xml:space="preserve"> </w:t>
      </w:r>
      <w:r w:rsidR="00AE1D33">
        <w:rPr>
          <w:lang w:eastAsia="en-NZ"/>
        </w:rPr>
        <w:t>in</w:t>
      </w:r>
      <w:r w:rsidR="003D640C">
        <w:rPr>
          <w:lang w:eastAsia="en-NZ"/>
        </w:rPr>
        <w:t xml:space="preserve"> </w:t>
      </w:r>
      <w:r w:rsidR="00AE1D33">
        <w:rPr>
          <w:lang w:eastAsia="en-NZ"/>
        </w:rPr>
        <w:t>Care</w:t>
      </w:r>
      <w:r w:rsidR="003D640C">
        <w:rPr>
          <w:lang w:eastAsia="en-NZ"/>
        </w:rPr>
        <w:t xml:space="preserve"> </w:t>
      </w:r>
      <w:r>
        <w:rPr>
          <w:lang w:eastAsia="en-NZ"/>
        </w:rPr>
        <w:t>Royal</w:t>
      </w:r>
      <w:r w:rsidR="003D640C">
        <w:rPr>
          <w:lang w:eastAsia="en-NZ"/>
        </w:rPr>
        <w:t xml:space="preserve"> </w:t>
      </w:r>
      <w:r>
        <w:rPr>
          <w:lang w:eastAsia="en-NZ"/>
        </w:rPr>
        <w:t>Commission</w:t>
      </w:r>
      <w:r w:rsidR="003D640C">
        <w:rPr>
          <w:lang w:eastAsia="en-NZ"/>
        </w:rPr>
        <w:t xml:space="preserve"> </w:t>
      </w:r>
      <w:r>
        <w:rPr>
          <w:lang w:eastAsia="en-NZ"/>
        </w:rPr>
        <w:t>of</w:t>
      </w:r>
      <w:r w:rsidR="003D640C">
        <w:rPr>
          <w:lang w:eastAsia="en-NZ"/>
        </w:rPr>
        <w:t xml:space="preserve"> </w:t>
      </w:r>
      <w:r>
        <w:rPr>
          <w:lang w:eastAsia="en-NZ"/>
        </w:rPr>
        <w:t>Inquiry</w:t>
      </w:r>
      <w:r w:rsidR="003D640C">
        <w:rPr>
          <w:lang w:eastAsia="en-NZ"/>
        </w:rPr>
        <w:t xml:space="preserve"> </w:t>
      </w:r>
      <w:r w:rsidR="00246E9E">
        <w:rPr>
          <w:lang w:eastAsia="en-NZ"/>
        </w:rPr>
        <w:t>has</w:t>
      </w:r>
      <w:r w:rsidR="003D640C">
        <w:rPr>
          <w:lang w:eastAsia="en-NZ"/>
        </w:rPr>
        <w:t xml:space="preserve"> </w:t>
      </w:r>
      <w:r w:rsidR="003A2A6E">
        <w:rPr>
          <w:lang w:eastAsia="en-NZ"/>
        </w:rPr>
        <w:t>reported</w:t>
      </w:r>
      <w:r w:rsidR="003D640C">
        <w:rPr>
          <w:lang w:eastAsia="en-NZ"/>
        </w:rPr>
        <w:t xml:space="preserve"> </w:t>
      </w:r>
      <w:r w:rsidR="003A2A6E">
        <w:rPr>
          <w:lang w:eastAsia="en-NZ"/>
        </w:rPr>
        <w:t>on</w:t>
      </w:r>
      <w:r w:rsidR="003D640C">
        <w:rPr>
          <w:lang w:eastAsia="en-NZ"/>
        </w:rPr>
        <w:t xml:space="preserve"> </w:t>
      </w:r>
      <w:r w:rsidR="00AC5D62">
        <w:rPr>
          <w:lang w:eastAsia="en-NZ"/>
        </w:rPr>
        <w:t>the</w:t>
      </w:r>
      <w:r w:rsidR="003D640C">
        <w:rPr>
          <w:lang w:eastAsia="en-NZ"/>
        </w:rPr>
        <w:t xml:space="preserve"> </w:t>
      </w:r>
      <w:r w:rsidR="00AC5D62">
        <w:rPr>
          <w:lang w:eastAsia="en-NZ"/>
        </w:rPr>
        <w:t>transphobic</w:t>
      </w:r>
      <w:r w:rsidR="003D640C">
        <w:rPr>
          <w:lang w:eastAsia="en-NZ"/>
        </w:rPr>
        <w:t xml:space="preserve"> </w:t>
      </w:r>
      <w:r w:rsidR="00AC5D62">
        <w:rPr>
          <w:lang w:eastAsia="en-NZ"/>
        </w:rPr>
        <w:t>and</w:t>
      </w:r>
      <w:r w:rsidR="003D640C">
        <w:rPr>
          <w:lang w:eastAsia="en-NZ"/>
        </w:rPr>
        <w:t xml:space="preserve"> </w:t>
      </w:r>
      <w:r w:rsidR="00AC5D62">
        <w:rPr>
          <w:lang w:eastAsia="en-NZ"/>
        </w:rPr>
        <w:t>homophobic</w:t>
      </w:r>
      <w:r w:rsidR="003D640C">
        <w:rPr>
          <w:lang w:eastAsia="en-NZ"/>
        </w:rPr>
        <w:t xml:space="preserve"> </w:t>
      </w:r>
      <w:r w:rsidR="00AC5D62">
        <w:rPr>
          <w:lang w:eastAsia="en-NZ"/>
        </w:rPr>
        <w:t>abuse</w:t>
      </w:r>
      <w:r w:rsidR="003D640C">
        <w:rPr>
          <w:lang w:eastAsia="en-NZ"/>
        </w:rPr>
        <w:t xml:space="preserve"> </w:t>
      </w:r>
      <w:r w:rsidR="00B63416">
        <w:rPr>
          <w:lang w:eastAsia="en-NZ"/>
        </w:rPr>
        <w:t>inflicted</w:t>
      </w:r>
      <w:r w:rsidR="003D640C">
        <w:rPr>
          <w:lang w:eastAsia="en-NZ"/>
        </w:rPr>
        <w:t xml:space="preserve"> </w:t>
      </w:r>
      <w:r w:rsidR="00B63416">
        <w:rPr>
          <w:lang w:eastAsia="en-NZ"/>
        </w:rPr>
        <w:t>on</w:t>
      </w:r>
      <w:r w:rsidR="003D640C">
        <w:rPr>
          <w:lang w:eastAsia="en-NZ"/>
        </w:rPr>
        <w:t xml:space="preserve"> </w:t>
      </w:r>
      <w:r w:rsidR="00B63416">
        <w:rPr>
          <w:lang w:eastAsia="en-NZ"/>
        </w:rPr>
        <w:t>patients</w:t>
      </w:r>
      <w:r w:rsidR="003D640C">
        <w:rPr>
          <w:lang w:eastAsia="en-NZ"/>
        </w:rPr>
        <w:t xml:space="preserve"> </w:t>
      </w:r>
      <w:r w:rsidR="00AC5D62">
        <w:rPr>
          <w:lang w:eastAsia="en-NZ"/>
        </w:rPr>
        <w:t>at</w:t>
      </w:r>
      <w:r w:rsidR="003D640C">
        <w:rPr>
          <w:lang w:eastAsia="en-NZ"/>
        </w:rPr>
        <w:t xml:space="preserve"> </w:t>
      </w:r>
      <w:r w:rsidR="00AC5D62">
        <w:rPr>
          <w:lang w:eastAsia="en-NZ"/>
        </w:rPr>
        <w:t>Lake</w:t>
      </w:r>
      <w:r w:rsidR="003D640C">
        <w:rPr>
          <w:lang w:eastAsia="en-NZ"/>
        </w:rPr>
        <w:t xml:space="preserve"> </w:t>
      </w:r>
      <w:r w:rsidR="00AC5D62">
        <w:rPr>
          <w:lang w:eastAsia="en-NZ"/>
        </w:rPr>
        <w:t>Alice</w:t>
      </w:r>
      <w:r w:rsidR="003D640C">
        <w:rPr>
          <w:rFonts w:ascii="Arial" w:hAnsi="Arial" w:cs="Times New Roman"/>
          <w:sz w:val="24"/>
          <w:szCs w:val="24"/>
        </w:rPr>
        <w:t xml:space="preserve"> </w:t>
      </w:r>
      <w:r w:rsidR="009776BE" w:rsidRPr="009776BE">
        <w:rPr>
          <w:lang w:eastAsia="en-NZ"/>
        </w:rPr>
        <w:t>Hospital</w:t>
      </w:r>
      <w:r w:rsidR="003D640C">
        <w:rPr>
          <w:lang w:eastAsia="en-NZ"/>
        </w:rPr>
        <w:t xml:space="preserve"> </w:t>
      </w:r>
      <w:r w:rsidR="009776BE" w:rsidRPr="009776BE">
        <w:rPr>
          <w:lang w:eastAsia="en-NZ"/>
        </w:rPr>
        <w:t>child</w:t>
      </w:r>
      <w:r w:rsidR="003D640C">
        <w:rPr>
          <w:lang w:eastAsia="en-NZ"/>
        </w:rPr>
        <w:t xml:space="preserve"> </w:t>
      </w:r>
      <w:r w:rsidR="009776BE" w:rsidRPr="009776BE">
        <w:rPr>
          <w:lang w:eastAsia="en-NZ"/>
        </w:rPr>
        <w:t>and</w:t>
      </w:r>
      <w:r w:rsidR="003D640C">
        <w:rPr>
          <w:lang w:eastAsia="en-NZ"/>
        </w:rPr>
        <w:t xml:space="preserve"> </w:t>
      </w:r>
      <w:r w:rsidR="009776BE" w:rsidRPr="009776BE">
        <w:rPr>
          <w:lang w:eastAsia="en-NZ"/>
        </w:rPr>
        <w:t>adolescent</w:t>
      </w:r>
      <w:r w:rsidR="003D640C">
        <w:rPr>
          <w:lang w:eastAsia="en-NZ"/>
        </w:rPr>
        <w:t xml:space="preserve"> </w:t>
      </w:r>
      <w:r w:rsidR="009776BE" w:rsidRPr="009776BE">
        <w:rPr>
          <w:lang w:eastAsia="en-NZ"/>
        </w:rPr>
        <w:t>unit</w:t>
      </w:r>
      <w:r w:rsidR="000B013A">
        <w:rPr>
          <w:lang w:eastAsia="en-NZ"/>
        </w:rPr>
        <w:t>.</w:t>
      </w:r>
      <w:r w:rsidR="003D640C">
        <w:rPr>
          <w:lang w:eastAsia="en-NZ"/>
        </w:rPr>
        <w:t xml:space="preserve"> </w:t>
      </w:r>
      <w:r w:rsidR="000B013A">
        <w:rPr>
          <w:lang w:eastAsia="en-NZ"/>
        </w:rPr>
        <w:t>C</w:t>
      </w:r>
      <w:r w:rsidR="00A61F48">
        <w:rPr>
          <w:lang w:eastAsia="en-NZ"/>
        </w:rPr>
        <w:t>onversion</w:t>
      </w:r>
      <w:r w:rsidR="003D640C">
        <w:rPr>
          <w:lang w:eastAsia="en-NZ"/>
        </w:rPr>
        <w:t xml:space="preserve"> </w:t>
      </w:r>
      <w:r w:rsidR="00A61F48">
        <w:rPr>
          <w:lang w:eastAsia="en-NZ"/>
        </w:rPr>
        <w:t>practices</w:t>
      </w:r>
      <w:r w:rsidR="003D640C">
        <w:rPr>
          <w:lang w:eastAsia="en-NZ"/>
        </w:rPr>
        <w:t xml:space="preserve"> </w:t>
      </w:r>
      <w:r w:rsidR="007920D4">
        <w:rPr>
          <w:lang w:eastAsia="en-NZ"/>
        </w:rPr>
        <w:t>and</w:t>
      </w:r>
      <w:r w:rsidR="003D640C">
        <w:rPr>
          <w:lang w:eastAsia="en-NZ"/>
        </w:rPr>
        <w:t xml:space="preserve"> </w:t>
      </w:r>
      <w:r w:rsidR="007920D4">
        <w:rPr>
          <w:lang w:eastAsia="en-NZ"/>
        </w:rPr>
        <w:t>punishments</w:t>
      </w:r>
      <w:r w:rsidR="003D640C">
        <w:rPr>
          <w:lang w:eastAsia="en-NZ"/>
        </w:rPr>
        <w:t xml:space="preserve"> </w:t>
      </w:r>
      <w:r w:rsidR="00113833">
        <w:rPr>
          <w:lang w:eastAsia="en-NZ"/>
        </w:rPr>
        <w:t>for</w:t>
      </w:r>
      <w:r w:rsidR="003D640C">
        <w:rPr>
          <w:lang w:eastAsia="en-NZ"/>
        </w:rPr>
        <w:t xml:space="preserve"> </w:t>
      </w:r>
      <w:r w:rsidR="00113833" w:rsidRPr="00113833">
        <w:rPr>
          <w:lang w:eastAsia="en-NZ"/>
        </w:rPr>
        <w:t>behaviour</w:t>
      </w:r>
      <w:r w:rsidR="003D640C">
        <w:rPr>
          <w:lang w:eastAsia="en-NZ"/>
        </w:rPr>
        <w:t xml:space="preserve"> </w:t>
      </w:r>
      <w:r w:rsidR="00113833" w:rsidRPr="00113833">
        <w:rPr>
          <w:lang w:eastAsia="en-NZ"/>
        </w:rPr>
        <w:t>that</w:t>
      </w:r>
      <w:r w:rsidR="003D640C">
        <w:rPr>
          <w:lang w:eastAsia="en-NZ"/>
        </w:rPr>
        <w:t xml:space="preserve"> </w:t>
      </w:r>
      <w:r w:rsidR="00113833" w:rsidRPr="00113833">
        <w:rPr>
          <w:lang w:eastAsia="en-NZ"/>
        </w:rPr>
        <w:t>staff</w:t>
      </w:r>
      <w:r w:rsidR="003D640C">
        <w:rPr>
          <w:lang w:eastAsia="en-NZ"/>
        </w:rPr>
        <w:t xml:space="preserve"> </w:t>
      </w:r>
      <w:r w:rsidR="00113833" w:rsidRPr="00113833">
        <w:rPr>
          <w:lang w:eastAsia="en-NZ"/>
        </w:rPr>
        <w:t>considered</w:t>
      </w:r>
      <w:r w:rsidR="003D640C">
        <w:rPr>
          <w:lang w:eastAsia="en-NZ"/>
        </w:rPr>
        <w:t xml:space="preserve"> </w:t>
      </w:r>
      <w:r w:rsidR="00113833" w:rsidRPr="00113833">
        <w:rPr>
          <w:lang w:eastAsia="en-NZ"/>
        </w:rPr>
        <w:t>‘homosexual’</w:t>
      </w:r>
      <w:r w:rsidR="003D640C">
        <w:rPr>
          <w:lang w:eastAsia="en-NZ"/>
        </w:rPr>
        <w:t xml:space="preserve"> </w:t>
      </w:r>
      <w:r w:rsidR="00113833" w:rsidRPr="00113833">
        <w:rPr>
          <w:lang w:eastAsia="en-NZ"/>
        </w:rPr>
        <w:t>and</w:t>
      </w:r>
      <w:r w:rsidR="003D640C">
        <w:rPr>
          <w:lang w:eastAsia="en-NZ"/>
        </w:rPr>
        <w:t xml:space="preserve"> </w:t>
      </w:r>
      <w:r w:rsidR="00113833" w:rsidRPr="00113833">
        <w:rPr>
          <w:lang w:eastAsia="en-NZ"/>
        </w:rPr>
        <w:t>failing</w:t>
      </w:r>
      <w:r w:rsidR="003D640C">
        <w:rPr>
          <w:lang w:eastAsia="en-NZ"/>
        </w:rPr>
        <w:t xml:space="preserve"> </w:t>
      </w:r>
      <w:r w:rsidR="00113833" w:rsidRPr="00113833">
        <w:rPr>
          <w:lang w:eastAsia="en-NZ"/>
        </w:rPr>
        <w:t>to</w:t>
      </w:r>
      <w:r w:rsidR="003D640C">
        <w:rPr>
          <w:lang w:eastAsia="en-NZ"/>
        </w:rPr>
        <w:t xml:space="preserve"> </w:t>
      </w:r>
      <w:r w:rsidR="00113833" w:rsidRPr="00113833">
        <w:rPr>
          <w:lang w:eastAsia="en-NZ"/>
        </w:rPr>
        <w:t>conform</w:t>
      </w:r>
      <w:r w:rsidR="003D640C">
        <w:rPr>
          <w:lang w:eastAsia="en-NZ"/>
        </w:rPr>
        <w:t xml:space="preserve"> </w:t>
      </w:r>
      <w:r w:rsidR="00113833" w:rsidRPr="00113833">
        <w:rPr>
          <w:lang w:eastAsia="en-NZ"/>
        </w:rPr>
        <w:t>to</w:t>
      </w:r>
      <w:r w:rsidR="003D640C">
        <w:rPr>
          <w:lang w:eastAsia="en-NZ"/>
        </w:rPr>
        <w:t xml:space="preserve"> </w:t>
      </w:r>
      <w:r w:rsidR="00113833" w:rsidRPr="00113833">
        <w:rPr>
          <w:lang w:eastAsia="en-NZ"/>
        </w:rPr>
        <w:t>traditional</w:t>
      </w:r>
      <w:r w:rsidR="003D640C">
        <w:rPr>
          <w:lang w:eastAsia="en-NZ"/>
        </w:rPr>
        <w:t xml:space="preserve"> </w:t>
      </w:r>
      <w:r w:rsidR="00113833" w:rsidRPr="00113833">
        <w:rPr>
          <w:lang w:eastAsia="en-NZ"/>
        </w:rPr>
        <w:t>gender</w:t>
      </w:r>
      <w:r w:rsidR="003D640C">
        <w:rPr>
          <w:lang w:eastAsia="en-NZ"/>
        </w:rPr>
        <w:t xml:space="preserve"> </w:t>
      </w:r>
      <w:r w:rsidR="00113833" w:rsidRPr="00113833">
        <w:rPr>
          <w:lang w:eastAsia="en-NZ"/>
        </w:rPr>
        <w:t>norms</w:t>
      </w:r>
      <w:r w:rsidR="003D640C">
        <w:rPr>
          <w:lang w:eastAsia="en-NZ"/>
        </w:rPr>
        <w:t xml:space="preserve"> </w:t>
      </w:r>
      <w:r w:rsidR="00A61F48">
        <w:rPr>
          <w:lang w:eastAsia="en-NZ"/>
        </w:rPr>
        <w:t>in</w:t>
      </w:r>
      <w:r w:rsidR="000B013A">
        <w:rPr>
          <w:lang w:eastAsia="en-NZ"/>
        </w:rPr>
        <w:t>cluded</w:t>
      </w:r>
      <w:r w:rsidR="003D640C">
        <w:rPr>
          <w:lang w:eastAsia="en-NZ"/>
        </w:rPr>
        <w:t xml:space="preserve"> </w:t>
      </w:r>
      <w:r w:rsidR="00802786">
        <w:rPr>
          <w:lang w:eastAsia="en-NZ"/>
        </w:rPr>
        <w:t>electric</w:t>
      </w:r>
      <w:r w:rsidR="003D640C">
        <w:rPr>
          <w:lang w:eastAsia="en-NZ"/>
        </w:rPr>
        <w:t xml:space="preserve"> </w:t>
      </w:r>
      <w:r w:rsidR="00A61F48">
        <w:rPr>
          <w:lang w:eastAsia="en-NZ"/>
        </w:rPr>
        <w:t>shock</w:t>
      </w:r>
      <w:r w:rsidR="003D640C">
        <w:rPr>
          <w:lang w:eastAsia="en-NZ"/>
        </w:rPr>
        <w:t xml:space="preserve"> </w:t>
      </w:r>
      <w:r w:rsidR="00EF4036">
        <w:rPr>
          <w:lang w:eastAsia="en-NZ"/>
        </w:rPr>
        <w:t>(including</w:t>
      </w:r>
      <w:r w:rsidR="003D640C">
        <w:rPr>
          <w:lang w:eastAsia="en-NZ"/>
        </w:rPr>
        <w:t xml:space="preserve"> </w:t>
      </w:r>
      <w:r w:rsidR="003E42CC">
        <w:rPr>
          <w:lang w:eastAsia="en-NZ"/>
        </w:rPr>
        <w:t>administration</w:t>
      </w:r>
      <w:r w:rsidR="003D640C">
        <w:rPr>
          <w:lang w:eastAsia="en-NZ"/>
        </w:rPr>
        <w:t xml:space="preserve"> </w:t>
      </w:r>
      <w:r w:rsidR="00EF4036">
        <w:rPr>
          <w:lang w:eastAsia="en-NZ"/>
        </w:rPr>
        <w:t>to</w:t>
      </w:r>
      <w:r w:rsidR="003D640C">
        <w:rPr>
          <w:lang w:eastAsia="en-NZ"/>
        </w:rPr>
        <w:t xml:space="preserve"> </w:t>
      </w:r>
      <w:r w:rsidR="00EF4036">
        <w:rPr>
          <w:lang w:eastAsia="en-NZ"/>
        </w:rPr>
        <w:t>the</w:t>
      </w:r>
      <w:r w:rsidR="003D640C">
        <w:rPr>
          <w:lang w:eastAsia="en-NZ"/>
        </w:rPr>
        <w:t xml:space="preserve"> </w:t>
      </w:r>
      <w:r w:rsidR="00EF4036">
        <w:rPr>
          <w:lang w:eastAsia="en-NZ"/>
        </w:rPr>
        <w:t>genitals)</w:t>
      </w:r>
      <w:r w:rsidR="00847F86">
        <w:rPr>
          <w:lang w:eastAsia="en-NZ"/>
        </w:rPr>
        <w:t>,</w:t>
      </w:r>
      <w:r w:rsidR="003D640C">
        <w:rPr>
          <w:lang w:eastAsia="en-NZ"/>
        </w:rPr>
        <w:t xml:space="preserve"> </w:t>
      </w:r>
      <w:r w:rsidR="00B510D1">
        <w:rPr>
          <w:lang w:eastAsia="en-NZ"/>
        </w:rPr>
        <w:t>non-</w:t>
      </w:r>
      <w:r w:rsidR="00B63416">
        <w:rPr>
          <w:lang w:eastAsia="en-NZ"/>
        </w:rPr>
        <w:t>consensual</w:t>
      </w:r>
      <w:r w:rsidR="003D640C">
        <w:rPr>
          <w:lang w:eastAsia="en-NZ"/>
        </w:rPr>
        <w:t xml:space="preserve"> </w:t>
      </w:r>
      <w:r w:rsidR="001279FB">
        <w:rPr>
          <w:lang w:eastAsia="en-NZ"/>
        </w:rPr>
        <w:t>sedating</w:t>
      </w:r>
      <w:r w:rsidR="003D640C">
        <w:rPr>
          <w:lang w:eastAsia="en-NZ"/>
        </w:rPr>
        <w:t xml:space="preserve"> </w:t>
      </w:r>
      <w:r w:rsidR="00B510D1">
        <w:rPr>
          <w:lang w:eastAsia="en-NZ"/>
        </w:rPr>
        <w:t>medication</w:t>
      </w:r>
      <w:r w:rsidR="003D640C">
        <w:rPr>
          <w:lang w:eastAsia="en-NZ"/>
        </w:rPr>
        <w:t xml:space="preserve"> </w:t>
      </w:r>
      <w:r w:rsidR="00514B55">
        <w:rPr>
          <w:lang w:eastAsia="en-NZ"/>
        </w:rPr>
        <w:t>(</w:t>
      </w:r>
      <w:r w:rsidR="00230DD4">
        <w:rPr>
          <w:lang w:eastAsia="en-NZ"/>
        </w:rPr>
        <w:t>injection</w:t>
      </w:r>
      <w:r w:rsidR="003D640C">
        <w:rPr>
          <w:lang w:eastAsia="en-NZ"/>
        </w:rPr>
        <w:t xml:space="preserve"> </w:t>
      </w:r>
      <w:r w:rsidR="00230DD4">
        <w:rPr>
          <w:lang w:eastAsia="en-NZ"/>
        </w:rPr>
        <w:t>of</w:t>
      </w:r>
      <w:r w:rsidR="003D640C">
        <w:rPr>
          <w:lang w:eastAsia="en-NZ"/>
        </w:rPr>
        <w:t xml:space="preserve"> </w:t>
      </w:r>
      <w:r w:rsidR="00514B55" w:rsidRPr="003F5BEC">
        <w:rPr>
          <w:lang w:eastAsia="en-NZ"/>
        </w:rPr>
        <w:t>paraldehyde</w:t>
      </w:r>
      <w:r w:rsidR="00514B55">
        <w:rPr>
          <w:lang w:eastAsia="en-NZ"/>
        </w:rPr>
        <w:t>)</w:t>
      </w:r>
      <w:r w:rsidR="00847F86">
        <w:rPr>
          <w:lang w:eastAsia="en-NZ"/>
        </w:rPr>
        <w:t>,</w:t>
      </w:r>
      <w:r w:rsidR="003D640C">
        <w:rPr>
          <w:lang w:eastAsia="en-NZ"/>
        </w:rPr>
        <w:t xml:space="preserve"> </w:t>
      </w:r>
      <w:r w:rsidR="00113833">
        <w:rPr>
          <w:lang w:eastAsia="en-NZ"/>
        </w:rPr>
        <w:t>and</w:t>
      </w:r>
      <w:r w:rsidR="003D640C">
        <w:rPr>
          <w:lang w:eastAsia="en-NZ"/>
        </w:rPr>
        <w:t xml:space="preserve"> </w:t>
      </w:r>
      <w:r w:rsidR="00A61F48">
        <w:rPr>
          <w:lang w:eastAsia="en-NZ"/>
        </w:rPr>
        <w:t>solitary</w:t>
      </w:r>
      <w:r w:rsidR="003D640C">
        <w:rPr>
          <w:lang w:eastAsia="en-NZ"/>
        </w:rPr>
        <w:t xml:space="preserve"> </w:t>
      </w:r>
      <w:r w:rsidR="00A61F48">
        <w:rPr>
          <w:lang w:eastAsia="en-NZ"/>
        </w:rPr>
        <w:t>confinement</w:t>
      </w:r>
      <w:r w:rsidR="00113833">
        <w:rPr>
          <w:lang w:eastAsia="en-NZ"/>
        </w:rPr>
        <w:t>.</w:t>
      </w:r>
      <w:r w:rsidR="003D640C">
        <w:rPr>
          <w:lang w:eastAsia="en-NZ"/>
        </w:rPr>
        <w:t xml:space="preserve"> </w:t>
      </w:r>
      <w:r w:rsidR="003E42CC">
        <w:rPr>
          <w:lang w:eastAsia="en-NZ"/>
        </w:rPr>
        <w:t>The</w:t>
      </w:r>
      <w:r w:rsidR="003D640C">
        <w:rPr>
          <w:lang w:eastAsia="en-NZ"/>
        </w:rPr>
        <w:t xml:space="preserve"> </w:t>
      </w:r>
      <w:r w:rsidR="003E42CC">
        <w:rPr>
          <w:lang w:eastAsia="en-NZ"/>
        </w:rPr>
        <w:t>Inquiry</w:t>
      </w:r>
      <w:r w:rsidR="003D640C">
        <w:rPr>
          <w:lang w:eastAsia="en-NZ"/>
        </w:rPr>
        <w:t xml:space="preserve"> </w:t>
      </w:r>
      <w:r w:rsidR="003E42CC">
        <w:rPr>
          <w:lang w:eastAsia="en-NZ"/>
        </w:rPr>
        <w:t>concluded</w:t>
      </w:r>
      <w:r w:rsidR="003D640C">
        <w:rPr>
          <w:lang w:eastAsia="en-NZ"/>
        </w:rPr>
        <w:t xml:space="preserve"> </w:t>
      </w:r>
      <w:r w:rsidR="003E42CC">
        <w:rPr>
          <w:lang w:eastAsia="en-NZ"/>
        </w:rPr>
        <w:t>that</w:t>
      </w:r>
      <w:r w:rsidR="003D640C">
        <w:rPr>
          <w:lang w:eastAsia="en-NZ"/>
        </w:rPr>
        <w:t xml:space="preserve"> </w:t>
      </w:r>
      <w:r w:rsidR="003F5BEC">
        <w:rPr>
          <w:lang w:eastAsia="en-NZ"/>
        </w:rPr>
        <w:t>t</w:t>
      </w:r>
      <w:r w:rsidR="003F5BEC" w:rsidRPr="003F5BEC">
        <w:rPr>
          <w:lang w:eastAsia="en-NZ"/>
        </w:rPr>
        <w:t>he</w:t>
      </w:r>
      <w:r w:rsidR="003D640C">
        <w:rPr>
          <w:lang w:eastAsia="en-NZ"/>
        </w:rPr>
        <w:t xml:space="preserve"> </w:t>
      </w:r>
      <w:r w:rsidR="003F5BEC" w:rsidRPr="003F5BEC">
        <w:rPr>
          <w:lang w:eastAsia="en-NZ"/>
        </w:rPr>
        <w:t>use</w:t>
      </w:r>
      <w:r w:rsidR="003D640C">
        <w:rPr>
          <w:lang w:eastAsia="en-NZ"/>
        </w:rPr>
        <w:t xml:space="preserve"> </w:t>
      </w:r>
      <w:r w:rsidR="003F5BEC" w:rsidRPr="003F5BEC">
        <w:rPr>
          <w:lang w:eastAsia="en-NZ"/>
        </w:rPr>
        <w:t>of</w:t>
      </w:r>
      <w:r w:rsidR="003D640C">
        <w:rPr>
          <w:lang w:eastAsia="en-NZ"/>
        </w:rPr>
        <w:t xml:space="preserve"> </w:t>
      </w:r>
      <w:r w:rsidR="003F5BEC" w:rsidRPr="003F5BEC">
        <w:rPr>
          <w:lang w:eastAsia="en-NZ"/>
        </w:rPr>
        <w:t>electric</w:t>
      </w:r>
      <w:r w:rsidR="003D640C">
        <w:rPr>
          <w:lang w:eastAsia="en-NZ"/>
        </w:rPr>
        <w:t xml:space="preserve"> </w:t>
      </w:r>
      <w:r w:rsidR="003F5BEC" w:rsidRPr="003F5BEC">
        <w:rPr>
          <w:lang w:eastAsia="en-NZ"/>
        </w:rPr>
        <w:t>shocks</w:t>
      </w:r>
      <w:r w:rsidR="003D640C">
        <w:rPr>
          <w:lang w:eastAsia="en-NZ"/>
        </w:rPr>
        <w:t xml:space="preserve"> </w:t>
      </w:r>
      <w:r w:rsidR="003F5BEC" w:rsidRPr="003F5BEC">
        <w:rPr>
          <w:lang w:eastAsia="en-NZ"/>
        </w:rPr>
        <w:t>and</w:t>
      </w:r>
      <w:r w:rsidR="003D640C">
        <w:rPr>
          <w:lang w:eastAsia="en-NZ"/>
        </w:rPr>
        <w:t xml:space="preserve"> </w:t>
      </w:r>
      <w:r w:rsidR="003F5BEC" w:rsidRPr="003F5BEC">
        <w:rPr>
          <w:lang w:eastAsia="en-NZ"/>
        </w:rPr>
        <w:t>paraldehyde</w:t>
      </w:r>
      <w:r w:rsidR="003D640C">
        <w:rPr>
          <w:lang w:eastAsia="en-NZ"/>
        </w:rPr>
        <w:t xml:space="preserve"> </w:t>
      </w:r>
      <w:r w:rsidR="003F5BEC" w:rsidRPr="003F5BEC">
        <w:rPr>
          <w:lang w:eastAsia="en-NZ"/>
        </w:rPr>
        <w:t>to</w:t>
      </w:r>
      <w:r w:rsidR="003D640C">
        <w:rPr>
          <w:lang w:eastAsia="en-NZ"/>
        </w:rPr>
        <w:t xml:space="preserve"> </w:t>
      </w:r>
      <w:r w:rsidR="003F5BEC" w:rsidRPr="003F5BEC">
        <w:rPr>
          <w:lang w:eastAsia="en-NZ"/>
        </w:rPr>
        <w:t>punish</w:t>
      </w:r>
      <w:r w:rsidR="003D640C">
        <w:rPr>
          <w:lang w:eastAsia="en-NZ"/>
        </w:rPr>
        <w:t xml:space="preserve"> </w:t>
      </w:r>
      <w:r w:rsidR="003F5BEC" w:rsidRPr="003F5BEC">
        <w:rPr>
          <w:lang w:eastAsia="en-NZ"/>
        </w:rPr>
        <w:t>met</w:t>
      </w:r>
      <w:r w:rsidR="003D640C">
        <w:rPr>
          <w:lang w:eastAsia="en-NZ"/>
        </w:rPr>
        <w:t xml:space="preserve"> </w:t>
      </w:r>
      <w:r w:rsidR="003F5BEC" w:rsidRPr="003F5BEC">
        <w:rPr>
          <w:lang w:eastAsia="en-NZ"/>
        </w:rPr>
        <w:t>the</w:t>
      </w:r>
      <w:r w:rsidR="003D640C">
        <w:rPr>
          <w:lang w:eastAsia="en-NZ"/>
        </w:rPr>
        <w:t xml:space="preserve"> </w:t>
      </w:r>
      <w:r w:rsidR="003F5BEC" w:rsidRPr="003F5BEC">
        <w:rPr>
          <w:lang w:eastAsia="en-NZ"/>
        </w:rPr>
        <w:t>definition</w:t>
      </w:r>
      <w:r w:rsidR="003D640C">
        <w:rPr>
          <w:lang w:eastAsia="en-NZ"/>
        </w:rPr>
        <w:t xml:space="preserve"> </w:t>
      </w:r>
      <w:r w:rsidR="003F5BEC" w:rsidRPr="003F5BEC">
        <w:rPr>
          <w:lang w:eastAsia="en-NZ"/>
        </w:rPr>
        <w:t>of</w:t>
      </w:r>
      <w:r w:rsidR="003D640C">
        <w:rPr>
          <w:lang w:eastAsia="en-NZ"/>
        </w:rPr>
        <w:t xml:space="preserve"> </w:t>
      </w:r>
      <w:r w:rsidR="003F5BEC" w:rsidRPr="003F5BEC">
        <w:rPr>
          <w:lang w:eastAsia="en-NZ"/>
        </w:rPr>
        <w:t>torture</w:t>
      </w:r>
      <w:r w:rsidR="003D640C">
        <w:rPr>
          <w:lang w:eastAsia="en-NZ"/>
        </w:rPr>
        <w:t xml:space="preserve"> </w:t>
      </w:r>
      <w:r w:rsidR="003F5BEC" w:rsidRPr="003F5BEC">
        <w:rPr>
          <w:lang w:eastAsia="en-NZ"/>
        </w:rPr>
        <w:t>as</w:t>
      </w:r>
      <w:r w:rsidR="003D640C">
        <w:rPr>
          <w:lang w:eastAsia="en-NZ"/>
        </w:rPr>
        <w:t xml:space="preserve"> </w:t>
      </w:r>
      <w:r w:rsidR="003F5BEC" w:rsidRPr="003F5BEC">
        <w:rPr>
          <w:lang w:eastAsia="en-NZ"/>
        </w:rPr>
        <w:t>outlined</w:t>
      </w:r>
      <w:r w:rsidR="003D640C">
        <w:rPr>
          <w:lang w:eastAsia="en-NZ"/>
        </w:rPr>
        <w:t xml:space="preserve"> </w:t>
      </w:r>
      <w:r w:rsidR="003F5BEC" w:rsidRPr="003F5BEC">
        <w:rPr>
          <w:lang w:eastAsia="en-NZ"/>
        </w:rPr>
        <w:t>by</w:t>
      </w:r>
      <w:r w:rsidR="003D640C">
        <w:rPr>
          <w:lang w:eastAsia="en-NZ"/>
        </w:rPr>
        <w:t xml:space="preserve"> </w:t>
      </w:r>
      <w:r w:rsidR="003F5BEC" w:rsidRPr="003F5BEC">
        <w:rPr>
          <w:lang w:eastAsia="en-NZ"/>
        </w:rPr>
        <w:t>the</w:t>
      </w:r>
      <w:r w:rsidR="003D640C">
        <w:rPr>
          <w:lang w:eastAsia="en-NZ"/>
        </w:rPr>
        <w:t xml:space="preserve"> </w:t>
      </w:r>
      <w:r w:rsidR="003F5BEC" w:rsidRPr="003F5BEC">
        <w:rPr>
          <w:lang w:eastAsia="en-NZ"/>
        </w:rPr>
        <w:t>Solicitor-General.</w:t>
      </w:r>
      <w:r w:rsidR="00B45497">
        <w:rPr>
          <w:rStyle w:val="FootnoteReference"/>
          <w:rFonts w:ascii="Calibri" w:eastAsia="Times New Roman" w:hAnsi="Calibri" w:cs="Calibri"/>
          <w:lang w:eastAsia="en-NZ"/>
        </w:rPr>
        <w:footnoteReference w:id="56"/>
      </w:r>
      <w:r w:rsidR="003D640C">
        <w:rPr>
          <w:lang w:eastAsia="en-NZ"/>
        </w:rPr>
        <w:t xml:space="preserve"> </w:t>
      </w:r>
    </w:p>
    <w:p w14:paraId="08C5D080" w14:textId="4EE7F6F8" w:rsidR="001C3549" w:rsidRPr="00BB6220" w:rsidRDefault="001C3549" w:rsidP="0002020B">
      <w:pPr>
        <w:pStyle w:val="Heading2"/>
        <w:rPr>
          <w:rFonts w:ascii="Segoe UI" w:hAnsi="Segoe UI" w:cs="Segoe UI"/>
          <w:sz w:val="18"/>
          <w:szCs w:val="18"/>
        </w:rPr>
      </w:pPr>
      <w:bookmarkStart w:id="103" w:name="_Toc138325161"/>
      <w:bookmarkStart w:id="104" w:name="_Toc138343798"/>
      <w:bookmarkStart w:id="105" w:name="_Toc167780587"/>
      <w:bookmarkStart w:id="106" w:name="_Toc1339586932"/>
      <w:bookmarkStart w:id="107" w:name="_Toc174628645"/>
      <w:r w:rsidRPr="00BB6220">
        <w:t>Rights</w:t>
      </w:r>
      <w:r w:rsidR="003D640C">
        <w:t xml:space="preserve"> </w:t>
      </w:r>
      <w:r w:rsidRPr="00BB6220">
        <w:t>of</w:t>
      </w:r>
      <w:r w:rsidR="003D640C">
        <w:t xml:space="preserve"> </w:t>
      </w:r>
      <w:r w:rsidRPr="00BB6220">
        <w:t>the</w:t>
      </w:r>
      <w:r w:rsidR="003D640C">
        <w:t xml:space="preserve"> </w:t>
      </w:r>
      <w:bookmarkEnd w:id="103"/>
      <w:bookmarkEnd w:id="104"/>
      <w:r w:rsidR="00A54C8A" w:rsidRPr="00BB6220">
        <w:t>c</w:t>
      </w:r>
      <w:r w:rsidRPr="00BB6220">
        <w:t>hild</w:t>
      </w:r>
      <w:bookmarkEnd w:id="105"/>
      <w:bookmarkEnd w:id="106"/>
      <w:bookmarkEnd w:id="107"/>
      <w:r w:rsidR="003D640C">
        <w:t xml:space="preserve"> </w:t>
      </w:r>
    </w:p>
    <w:p w14:paraId="4B7F3F40" w14:textId="31E4C711" w:rsidR="00501068" w:rsidRDefault="00BC295E" w:rsidP="0002020B">
      <w:r w:rsidRPr="00094317">
        <w:t>Aotearoa</w:t>
      </w:r>
      <w:r w:rsidR="003D640C">
        <w:t xml:space="preserve"> </w:t>
      </w:r>
      <w:r w:rsidRPr="00094317">
        <w:t>New</w:t>
      </w:r>
      <w:r w:rsidR="003D640C">
        <w:t xml:space="preserve"> </w:t>
      </w:r>
      <w:r w:rsidRPr="00094317">
        <w:t>Zealand</w:t>
      </w:r>
      <w:r w:rsidR="003D640C">
        <w:t xml:space="preserve"> </w:t>
      </w:r>
      <w:r w:rsidRPr="00094317">
        <w:t>ratified</w:t>
      </w:r>
      <w:r w:rsidR="003D640C">
        <w:t xml:space="preserve"> </w:t>
      </w:r>
      <w:r w:rsidRPr="00094317">
        <w:t>the</w:t>
      </w:r>
      <w:r w:rsidR="003D640C">
        <w:t xml:space="preserve"> </w:t>
      </w:r>
      <w:r w:rsidRPr="00094317">
        <w:t>United</w:t>
      </w:r>
      <w:r w:rsidR="003D640C">
        <w:t xml:space="preserve"> </w:t>
      </w:r>
      <w:r w:rsidRPr="00094317">
        <w:t>Nations</w:t>
      </w:r>
      <w:r w:rsidR="003D640C">
        <w:t xml:space="preserve"> </w:t>
      </w:r>
      <w:r w:rsidRPr="00094317">
        <w:t>Convention</w:t>
      </w:r>
      <w:r w:rsidR="003D640C">
        <w:t xml:space="preserve"> </w:t>
      </w:r>
      <w:r w:rsidRPr="00094317">
        <w:t>on</w:t>
      </w:r>
      <w:r w:rsidR="003D640C">
        <w:t xml:space="preserve"> </w:t>
      </w:r>
      <w:r w:rsidRPr="00094317">
        <w:t>the</w:t>
      </w:r>
      <w:r w:rsidR="003D640C">
        <w:t xml:space="preserve"> </w:t>
      </w:r>
      <w:r w:rsidRPr="00094317">
        <w:t>Rights</w:t>
      </w:r>
      <w:r w:rsidR="003D640C">
        <w:t xml:space="preserve"> </w:t>
      </w:r>
      <w:r w:rsidRPr="00094317">
        <w:t>of</w:t>
      </w:r>
      <w:r w:rsidR="003D640C">
        <w:t xml:space="preserve"> </w:t>
      </w:r>
      <w:r w:rsidRPr="00094317">
        <w:t>the</w:t>
      </w:r>
      <w:r w:rsidR="003D640C">
        <w:t xml:space="preserve"> </w:t>
      </w:r>
      <w:r w:rsidRPr="00094317">
        <w:t>Child</w:t>
      </w:r>
      <w:r w:rsidR="003D640C">
        <w:t xml:space="preserve"> </w:t>
      </w:r>
      <w:r w:rsidRPr="00094317">
        <w:t>(CRC)</w:t>
      </w:r>
      <w:r w:rsidR="003D640C">
        <w:t xml:space="preserve"> </w:t>
      </w:r>
      <w:r w:rsidRPr="00094317">
        <w:t>in</w:t>
      </w:r>
      <w:r w:rsidR="003D640C">
        <w:t xml:space="preserve"> </w:t>
      </w:r>
      <w:r w:rsidRPr="00094317">
        <w:t>1993.</w:t>
      </w:r>
      <w:r w:rsidR="003D640C">
        <w:t xml:space="preserve"> </w:t>
      </w:r>
      <w:r w:rsidR="00AB52CB">
        <w:t>Article 1 of t</w:t>
      </w:r>
      <w:r w:rsidRPr="00094317">
        <w:t>he</w:t>
      </w:r>
      <w:r w:rsidR="003D640C">
        <w:t xml:space="preserve"> </w:t>
      </w:r>
      <w:r w:rsidRPr="00094317">
        <w:t>CRC</w:t>
      </w:r>
      <w:r w:rsidR="003D640C">
        <w:t xml:space="preserve"> </w:t>
      </w:r>
      <w:r w:rsidRPr="00094317">
        <w:t>guarantees</w:t>
      </w:r>
      <w:r w:rsidR="003D640C">
        <w:t xml:space="preserve"> </w:t>
      </w:r>
      <w:r w:rsidRPr="00094317">
        <w:t>basic</w:t>
      </w:r>
      <w:r w:rsidR="003D640C">
        <w:t xml:space="preserve"> </w:t>
      </w:r>
      <w:r w:rsidRPr="00094317">
        <w:t>and</w:t>
      </w:r>
      <w:r w:rsidR="003D640C">
        <w:t xml:space="preserve"> </w:t>
      </w:r>
      <w:r w:rsidRPr="00094317">
        <w:t>fundamental</w:t>
      </w:r>
      <w:r w:rsidR="003D640C">
        <w:t xml:space="preserve"> </w:t>
      </w:r>
      <w:r w:rsidRPr="00094317">
        <w:t>rights</w:t>
      </w:r>
      <w:r w:rsidR="003D640C">
        <w:t xml:space="preserve"> </w:t>
      </w:r>
      <w:r w:rsidRPr="00094317">
        <w:t>to</w:t>
      </w:r>
      <w:r w:rsidR="003D640C">
        <w:t xml:space="preserve"> </w:t>
      </w:r>
      <w:r w:rsidRPr="00094317">
        <w:t>all</w:t>
      </w:r>
      <w:r w:rsidR="003D640C">
        <w:t xml:space="preserve"> </w:t>
      </w:r>
      <w:r w:rsidRPr="00094317">
        <w:t>children</w:t>
      </w:r>
      <w:r w:rsidR="003D640C">
        <w:t xml:space="preserve"> </w:t>
      </w:r>
      <w:r w:rsidRPr="00094317">
        <w:t>and</w:t>
      </w:r>
      <w:r w:rsidR="003D640C">
        <w:t xml:space="preserve"> </w:t>
      </w:r>
      <w:r w:rsidRPr="00094317">
        <w:t>young</w:t>
      </w:r>
      <w:r w:rsidR="003D640C">
        <w:t xml:space="preserve"> </w:t>
      </w:r>
      <w:r w:rsidRPr="00094317">
        <w:t>people</w:t>
      </w:r>
      <w:r w:rsidR="003D640C">
        <w:t xml:space="preserve"> </w:t>
      </w:r>
      <w:r w:rsidRPr="00094317">
        <w:t>up</w:t>
      </w:r>
      <w:r w:rsidR="003D640C">
        <w:t xml:space="preserve"> </w:t>
      </w:r>
      <w:r w:rsidRPr="00094317">
        <w:t>to</w:t>
      </w:r>
      <w:r w:rsidR="003D640C">
        <w:t xml:space="preserve"> </w:t>
      </w:r>
      <w:r w:rsidRPr="00094317">
        <w:t>the</w:t>
      </w:r>
      <w:r w:rsidR="003D640C">
        <w:t xml:space="preserve"> </w:t>
      </w:r>
      <w:r w:rsidRPr="00094317">
        <w:t>age</w:t>
      </w:r>
      <w:r w:rsidR="003D640C">
        <w:t xml:space="preserve"> </w:t>
      </w:r>
      <w:r w:rsidRPr="00094317">
        <w:t>of</w:t>
      </w:r>
      <w:r w:rsidR="003D640C">
        <w:t xml:space="preserve"> </w:t>
      </w:r>
      <w:r w:rsidRPr="00094317">
        <w:t>18</w:t>
      </w:r>
      <w:r w:rsidR="003D640C">
        <w:t xml:space="preserve"> </w:t>
      </w:r>
      <w:r w:rsidRPr="00094317">
        <w:t>and</w:t>
      </w:r>
      <w:r w:rsidR="003D640C">
        <w:t xml:space="preserve"> </w:t>
      </w:r>
      <w:r w:rsidRPr="00094317">
        <w:t>establishes</w:t>
      </w:r>
      <w:r w:rsidR="003D640C">
        <w:t xml:space="preserve"> </w:t>
      </w:r>
      <w:r w:rsidRPr="00094317">
        <w:t>the</w:t>
      </w:r>
      <w:r w:rsidR="003D640C">
        <w:t xml:space="preserve"> </w:t>
      </w:r>
      <w:r w:rsidRPr="00094317">
        <w:t>human</w:t>
      </w:r>
      <w:r w:rsidR="003D640C">
        <w:t xml:space="preserve"> </w:t>
      </w:r>
      <w:r w:rsidRPr="00094317">
        <w:t>rights</w:t>
      </w:r>
      <w:r w:rsidR="003D640C">
        <w:t xml:space="preserve"> </w:t>
      </w:r>
      <w:r w:rsidRPr="00094317">
        <w:t>standards</w:t>
      </w:r>
      <w:r w:rsidR="003D640C">
        <w:t xml:space="preserve"> </w:t>
      </w:r>
      <w:r w:rsidRPr="00094317">
        <w:t>for</w:t>
      </w:r>
      <w:r w:rsidR="003D640C">
        <w:t xml:space="preserve"> </w:t>
      </w:r>
      <w:r w:rsidRPr="00094317">
        <w:t>their</w:t>
      </w:r>
      <w:r w:rsidR="003D640C">
        <w:t xml:space="preserve"> </w:t>
      </w:r>
      <w:r w:rsidRPr="00094317">
        <w:t>treatment.</w:t>
      </w:r>
      <w:r w:rsidR="003D640C">
        <w:t xml:space="preserve"> </w:t>
      </w:r>
      <w:r w:rsidRPr="00094317">
        <w:t>The</w:t>
      </w:r>
      <w:r w:rsidR="003D640C">
        <w:t xml:space="preserve"> </w:t>
      </w:r>
      <w:r w:rsidRPr="00094317">
        <w:t>CRC’s</w:t>
      </w:r>
      <w:r w:rsidR="003D640C">
        <w:t xml:space="preserve"> </w:t>
      </w:r>
      <w:r w:rsidRPr="00094317">
        <w:t>preamble</w:t>
      </w:r>
      <w:r w:rsidR="003D640C">
        <w:t xml:space="preserve"> </w:t>
      </w:r>
      <w:r w:rsidRPr="00094317">
        <w:t>notes</w:t>
      </w:r>
      <w:r w:rsidR="003D640C">
        <w:t xml:space="preserve"> </w:t>
      </w:r>
      <w:r w:rsidRPr="00094317">
        <w:t>that</w:t>
      </w:r>
      <w:r w:rsidR="003D640C">
        <w:t xml:space="preserve"> </w:t>
      </w:r>
      <w:r w:rsidRPr="00094317">
        <w:t>children</w:t>
      </w:r>
      <w:r w:rsidR="003D640C">
        <w:t xml:space="preserve"> </w:t>
      </w:r>
      <w:r w:rsidRPr="00094317">
        <w:t>and</w:t>
      </w:r>
      <w:r w:rsidR="003D640C">
        <w:t xml:space="preserve"> </w:t>
      </w:r>
      <w:r w:rsidRPr="00094317">
        <w:t>young</w:t>
      </w:r>
      <w:r w:rsidR="003D640C">
        <w:t xml:space="preserve"> </w:t>
      </w:r>
      <w:r w:rsidRPr="00094317">
        <w:t>people</w:t>
      </w:r>
      <w:r w:rsidR="003D640C">
        <w:t xml:space="preserve"> </w:t>
      </w:r>
      <w:r w:rsidRPr="00094317">
        <w:t>require</w:t>
      </w:r>
      <w:r w:rsidR="003D640C">
        <w:t xml:space="preserve"> </w:t>
      </w:r>
      <w:r w:rsidRPr="00094317">
        <w:t>“special</w:t>
      </w:r>
      <w:r w:rsidR="003D640C">
        <w:t xml:space="preserve"> </w:t>
      </w:r>
      <w:r w:rsidRPr="00094317">
        <w:t>safeguards</w:t>
      </w:r>
      <w:r w:rsidR="003D640C">
        <w:t xml:space="preserve"> </w:t>
      </w:r>
      <w:r w:rsidRPr="00094317">
        <w:t>and</w:t>
      </w:r>
      <w:r w:rsidR="003D640C">
        <w:t xml:space="preserve"> </w:t>
      </w:r>
      <w:r w:rsidRPr="00094317">
        <w:t>care,</w:t>
      </w:r>
      <w:r w:rsidR="003D640C">
        <w:t xml:space="preserve"> </w:t>
      </w:r>
      <w:r w:rsidRPr="00094317">
        <w:t>including</w:t>
      </w:r>
      <w:r w:rsidR="003D640C">
        <w:t xml:space="preserve"> </w:t>
      </w:r>
      <w:r w:rsidRPr="00094317">
        <w:t>appropriate</w:t>
      </w:r>
      <w:r w:rsidR="003D640C">
        <w:t xml:space="preserve"> </w:t>
      </w:r>
      <w:r w:rsidRPr="00094317">
        <w:t>legal</w:t>
      </w:r>
      <w:r w:rsidR="003D640C">
        <w:t xml:space="preserve"> </w:t>
      </w:r>
      <w:r w:rsidRPr="00094317">
        <w:t>protection.”</w:t>
      </w:r>
      <w:r w:rsidR="003D640C">
        <w:t xml:space="preserve"> </w:t>
      </w:r>
    </w:p>
    <w:p w14:paraId="56EE6E21" w14:textId="2BC90273" w:rsidR="00BC295E" w:rsidRPr="00094317" w:rsidRDefault="00BC295E" w:rsidP="0002020B">
      <w:pPr>
        <w:rPr>
          <w:lang w:eastAsia="en-NZ"/>
        </w:rPr>
      </w:pPr>
      <w:r w:rsidRPr="00094317">
        <w:rPr>
          <w:lang w:eastAsia="en-NZ"/>
        </w:rPr>
        <w:t>The</w:t>
      </w:r>
      <w:r w:rsidR="003D640C">
        <w:rPr>
          <w:lang w:eastAsia="en-NZ"/>
        </w:rPr>
        <w:t xml:space="preserve"> </w:t>
      </w:r>
      <w:r w:rsidRPr="00094317">
        <w:rPr>
          <w:lang w:eastAsia="en-NZ"/>
        </w:rPr>
        <w:t>CRC</w:t>
      </w:r>
      <w:r w:rsidR="003D640C">
        <w:rPr>
          <w:lang w:eastAsia="en-NZ"/>
        </w:rPr>
        <w:t xml:space="preserve"> </w:t>
      </w:r>
      <w:r w:rsidRPr="00094317">
        <w:rPr>
          <w:lang w:eastAsia="en-NZ"/>
        </w:rPr>
        <w:t>is</w:t>
      </w:r>
      <w:r w:rsidR="003D640C">
        <w:rPr>
          <w:lang w:eastAsia="en-NZ"/>
        </w:rPr>
        <w:t xml:space="preserve"> </w:t>
      </w:r>
      <w:r w:rsidRPr="00094317">
        <w:rPr>
          <w:lang w:eastAsia="en-NZ"/>
        </w:rPr>
        <w:t>based</w:t>
      </w:r>
      <w:r w:rsidR="003D640C">
        <w:rPr>
          <w:lang w:eastAsia="en-NZ"/>
        </w:rPr>
        <w:t xml:space="preserve"> </w:t>
      </w:r>
      <w:r w:rsidRPr="00094317">
        <w:rPr>
          <w:lang w:eastAsia="en-NZ"/>
        </w:rPr>
        <w:t>on</w:t>
      </w:r>
      <w:r w:rsidR="003D640C">
        <w:rPr>
          <w:lang w:eastAsia="en-NZ"/>
        </w:rPr>
        <w:t xml:space="preserve"> </w:t>
      </w:r>
      <w:r w:rsidRPr="00094317">
        <w:rPr>
          <w:lang w:eastAsia="en-NZ"/>
        </w:rPr>
        <w:t>four</w:t>
      </w:r>
      <w:r w:rsidR="003D640C">
        <w:rPr>
          <w:lang w:eastAsia="en-NZ"/>
        </w:rPr>
        <w:t xml:space="preserve"> </w:t>
      </w:r>
      <w:r w:rsidRPr="00094317">
        <w:rPr>
          <w:lang w:eastAsia="en-NZ"/>
        </w:rPr>
        <w:t>general</w:t>
      </w:r>
      <w:r w:rsidR="003D640C">
        <w:rPr>
          <w:lang w:eastAsia="en-NZ"/>
        </w:rPr>
        <w:t xml:space="preserve"> </w:t>
      </w:r>
      <w:r w:rsidRPr="00094317">
        <w:rPr>
          <w:lang w:eastAsia="en-NZ"/>
        </w:rPr>
        <w:t>principles</w:t>
      </w:r>
      <w:r w:rsidR="00CD5809">
        <w:rPr>
          <w:lang w:eastAsia="en-NZ"/>
        </w:rPr>
        <w:t>.</w:t>
      </w:r>
    </w:p>
    <w:p w14:paraId="1403DF6D" w14:textId="435B7A8F" w:rsidR="00BC295E" w:rsidRPr="00094317" w:rsidRDefault="00BC295E" w:rsidP="0002020B">
      <w:pPr>
        <w:pStyle w:val="Bullet"/>
        <w:rPr>
          <w:lang w:eastAsia="en-NZ"/>
        </w:rPr>
      </w:pPr>
      <w:r w:rsidRPr="00094317">
        <w:rPr>
          <w:lang w:eastAsia="en-NZ"/>
        </w:rPr>
        <w:t>Article</w:t>
      </w:r>
      <w:r w:rsidR="003D640C">
        <w:rPr>
          <w:lang w:eastAsia="en-NZ"/>
        </w:rPr>
        <w:t xml:space="preserve"> </w:t>
      </w:r>
      <w:r w:rsidRPr="00094317">
        <w:rPr>
          <w:lang w:eastAsia="en-NZ"/>
        </w:rPr>
        <w:t>2:</w:t>
      </w:r>
      <w:r w:rsidR="003D640C">
        <w:rPr>
          <w:lang w:eastAsia="en-NZ"/>
        </w:rPr>
        <w:t xml:space="preserve"> </w:t>
      </w:r>
      <w:r w:rsidRPr="00094317">
        <w:rPr>
          <w:lang w:eastAsia="en-NZ"/>
        </w:rPr>
        <w:t>the</w:t>
      </w:r>
      <w:r w:rsidR="003D640C">
        <w:rPr>
          <w:lang w:eastAsia="en-NZ"/>
        </w:rPr>
        <w:t xml:space="preserve"> </w:t>
      </w:r>
      <w:r w:rsidRPr="00094317">
        <w:rPr>
          <w:lang w:eastAsia="en-NZ"/>
        </w:rPr>
        <w:t>obligation</w:t>
      </w:r>
      <w:r w:rsidR="003D640C">
        <w:rPr>
          <w:lang w:eastAsia="en-NZ"/>
        </w:rPr>
        <w:t xml:space="preserve"> </w:t>
      </w:r>
      <w:r w:rsidRPr="00094317">
        <w:rPr>
          <w:lang w:eastAsia="en-NZ"/>
        </w:rPr>
        <w:t>of</w:t>
      </w:r>
      <w:r w:rsidR="003D640C">
        <w:rPr>
          <w:lang w:eastAsia="en-NZ"/>
        </w:rPr>
        <w:t xml:space="preserve"> </w:t>
      </w:r>
      <w:r w:rsidRPr="00094317">
        <w:rPr>
          <w:lang w:eastAsia="en-NZ"/>
        </w:rPr>
        <w:t>States</w:t>
      </w:r>
      <w:r w:rsidR="003D640C">
        <w:rPr>
          <w:lang w:eastAsia="en-NZ"/>
        </w:rPr>
        <w:t xml:space="preserve"> </w:t>
      </w:r>
      <w:r w:rsidRPr="00094317">
        <w:rPr>
          <w:lang w:eastAsia="en-NZ"/>
        </w:rPr>
        <w:t>to</w:t>
      </w:r>
      <w:r w:rsidR="003D640C">
        <w:rPr>
          <w:lang w:eastAsia="en-NZ"/>
        </w:rPr>
        <w:t xml:space="preserve"> </w:t>
      </w:r>
      <w:r w:rsidRPr="00094317">
        <w:rPr>
          <w:lang w:eastAsia="en-NZ"/>
        </w:rPr>
        <w:t>respect</w:t>
      </w:r>
      <w:r w:rsidR="003D640C">
        <w:rPr>
          <w:lang w:eastAsia="en-NZ"/>
        </w:rPr>
        <w:t xml:space="preserve"> </w:t>
      </w:r>
      <w:r w:rsidRPr="00094317">
        <w:rPr>
          <w:lang w:eastAsia="en-NZ"/>
        </w:rPr>
        <w:t>and</w:t>
      </w:r>
      <w:r w:rsidR="003D640C">
        <w:rPr>
          <w:lang w:eastAsia="en-NZ"/>
        </w:rPr>
        <w:t xml:space="preserve"> </w:t>
      </w:r>
      <w:r w:rsidRPr="00094317">
        <w:rPr>
          <w:lang w:eastAsia="en-NZ"/>
        </w:rPr>
        <w:t>ensure</w:t>
      </w:r>
      <w:r w:rsidR="003D640C">
        <w:rPr>
          <w:lang w:eastAsia="en-NZ"/>
        </w:rPr>
        <w:t xml:space="preserve"> </w:t>
      </w:r>
      <w:r w:rsidRPr="00094317">
        <w:rPr>
          <w:lang w:eastAsia="en-NZ"/>
        </w:rPr>
        <w:t>the</w:t>
      </w:r>
      <w:r w:rsidR="003D640C">
        <w:rPr>
          <w:lang w:eastAsia="en-NZ"/>
        </w:rPr>
        <w:t xml:space="preserve"> </w:t>
      </w:r>
      <w:r w:rsidRPr="00094317">
        <w:rPr>
          <w:lang w:eastAsia="en-NZ"/>
        </w:rPr>
        <w:t>rights</w:t>
      </w:r>
      <w:r w:rsidR="003D640C">
        <w:rPr>
          <w:lang w:eastAsia="en-NZ"/>
        </w:rPr>
        <w:t xml:space="preserve"> </w:t>
      </w:r>
      <w:r w:rsidRPr="00094317">
        <w:rPr>
          <w:lang w:eastAsia="en-NZ"/>
        </w:rPr>
        <w:t>to</w:t>
      </w:r>
      <w:r w:rsidR="003D640C">
        <w:rPr>
          <w:lang w:eastAsia="en-NZ"/>
        </w:rPr>
        <w:t xml:space="preserve"> </w:t>
      </w:r>
      <w:r w:rsidRPr="00094317">
        <w:rPr>
          <w:lang w:eastAsia="en-NZ"/>
        </w:rPr>
        <w:t>each</w:t>
      </w:r>
      <w:r w:rsidR="003D640C">
        <w:rPr>
          <w:lang w:eastAsia="en-NZ"/>
        </w:rPr>
        <w:t xml:space="preserve"> </w:t>
      </w:r>
      <w:r w:rsidRPr="00094317">
        <w:rPr>
          <w:lang w:eastAsia="en-NZ"/>
        </w:rPr>
        <w:t>child</w:t>
      </w:r>
      <w:r w:rsidR="003D640C">
        <w:rPr>
          <w:lang w:eastAsia="en-NZ"/>
        </w:rPr>
        <w:t xml:space="preserve"> </w:t>
      </w:r>
      <w:r w:rsidRPr="00094317">
        <w:rPr>
          <w:lang w:eastAsia="en-NZ"/>
        </w:rPr>
        <w:t>without</w:t>
      </w:r>
      <w:r w:rsidR="003D640C">
        <w:rPr>
          <w:lang w:eastAsia="en-NZ"/>
        </w:rPr>
        <w:t xml:space="preserve"> </w:t>
      </w:r>
      <w:r w:rsidRPr="00094317">
        <w:rPr>
          <w:lang w:eastAsia="en-NZ"/>
        </w:rPr>
        <w:t>discrimination</w:t>
      </w:r>
      <w:r w:rsidR="003D640C">
        <w:rPr>
          <w:lang w:eastAsia="en-NZ"/>
        </w:rPr>
        <w:t xml:space="preserve"> </w:t>
      </w:r>
      <w:r w:rsidRPr="00094317">
        <w:rPr>
          <w:lang w:eastAsia="en-NZ"/>
        </w:rPr>
        <w:t>of</w:t>
      </w:r>
      <w:r w:rsidR="003D640C">
        <w:rPr>
          <w:lang w:eastAsia="en-NZ"/>
        </w:rPr>
        <w:t xml:space="preserve"> </w:t>
      </w:r>
      <w:r w:rsidRPr="00094317">
        <w:rPr>
          <w:lang w:eastAsia="en-NZ"/>
        </w:rPr>
        <w:t>any</w:t>
      </w:r>
      <w:r w:rsidR="003D640C">
        <w:rPr>
          <w:lang w:eastAsia="en-NZ"/>
        </w:rPr>
        <w:t xml:space="preserve"> </w:t>
      </w:r>
      <w:r w:rsidRPr="00094317">
        <w:rPr>
          <w:lang w:eastAsia="en-NZ"/>
        </w:rPr>
        <w:t>kind.</w:t>
      </w:r>
    </w:p>
    <w:p w14:paraId="739F209A" w14:textId="1F65EEE0" w:rsidR="00BC295E" w:rsidRPr="00094317" w:rsidRDefault="00BC295E" w:rsidP="0002020B">
      <w:pPr>
        <w:pStyle w:val="Bullet"/>
        <w:rPr>
          <w:lang w:eastAsia="en-NZ"/>
        </w:rPr>
      </w:pPr>
      <w:r w:rsidRPr="00094317">
        <w:rPr>
          <w:lang w:eastAsia="en-NZ"/>
        </w:rPr>
        <w:t>Article</w:t>
      </w:r>
      <w:r w:rsidR="003D640C">
        <w:rPr>
          <w:lang w:eastAsia="en-NZ"/>
        </w:rPr>
        <w:t xml:space="preserve"> </w:t>
      </w:r>
      <w:r w:rsidRPr="00094317">
        <w:rPr>
          <w:lang w:eastAsia="en-NZ"/>
        </w:rPr>
        <w:t>3</w:t>
      </w:r>
      <w:r w:rsidR="003D640C">
        <w:rPr>
          <w:lang w:eastAsia="en-NZ"/>
        </w:rPr>
        <w:t xml:space="preserve"> </w:t>
      </w:r>
      <w:r w:rsidRPr="00094317">
        <w:rPr>
          <w:lang w:eastAsia="en-NZ"/>
        </w:rPr>
        <w:t>(1):</w:t>
      </w:r>
      <w:r w:rsidR="003D640C">
        <w:rPr>
          <w:lang w:eastAsia="en-NZ"/>
        </w:rPr>
        <w:t xml:space="preserve"> </w:t>
      </w:r>
      <w:r w:rsidRPr="00094317">
        <w:rPr>
          <w:lang w:eastAsia="en-NZ"/>
        </w:rPr>
        <w:t>the</w:t>
      </w:r>
      <w:r w:rsidR="003D640C">
        <w:rPr>
          <w:lang w:eastAsia="en-NZ"/>
        </w:rPr>
        <w:t xml:space="preserve"> </w:t>
      </w:r>
      <w:r w:rsidRPr="00094317">
        <w:rPr>
          <w:lang w:eastAsia="en-NZ"/>
        </w:rPr>
        <w:t>best</w:t>
      </w:r>
      <w:r w:rsidR="003D640C">
        <w:rPr>
          <w:lang w:eastAsia="en-NZ"/>
        </w:rPr>
        <w:t xml:space="preserve"> </w:t>
      </w:r>
      <w:r w:rsidRPr="00094317">
        <w:rPr>
          <w:lang w:eastAsia="en-NZ"/>
        </w:rPr>
        <w:t>interests</w:t>
      </w:r>
      <w:r w:rsidR="003D640C">
        <w:rPr>
          <w:lang w:eastAsia="en-NZ"/>
        </w:rPr>
        <w:t xml:space="preserve"> </w:t>
      </w:r>
      <w:r w:rsidRPr="00094317">
        <w:rPr>
          <w:lang w:eastAsia="en-NZ"/>
        </w:rPr>
        <w:t>of</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as</w:t>
      </w:r>
      <w:r w:rsidR="003D640C">
        <w:rPr>
          <w:lang w:eastAsia="en-NZ"/>
        </w:rPr>
        <w:t xml:space="preserve"> </w:t>
      </w:r>
      <w:r w:rsidRPr="00094317">
        <w:rPr>
          <w:lang w:eastAsia="en-NZ"/>
        </w:rPr>
        <w:t>a</w:t>
      </w:r>
      <w:r w:rsidR="003D640C">
        <w:rPr>
          <w:lang w:eastAsia="en-NZ"/>
        </w:rPr>
        <w:t xml:space="preserve"> </w:t>
      </w:r>
      <w:r w:rsidRPr="00094317">
        <w:rPr>
          <w:lang w:eastAsia="en-NZ"/>
        </w:rPr>
        <w:t>primary</w:t>
      </w:r>
      <w:r w:rsidR="003D640C">
        <w:rPr>
          <w:lang w:eastAsia="en-NZ"/>
        </w:rPr>
        <w:t xml:space="preserve"> </w:t>
      </w:r>
      <w:r w:rsidRPr="00094317">
        <w:rPr>
          <w:lang w:eastAsia="en-NZ"/>
        </w:rPr>
        <w:t>consideration</w:t>
      </w:r>
      <w:r w:rsidR="003D640C">
        <w:rPr>
          <w:lang w:eastAsia="en-NZ"/>
        </w:rPr>
        <w:t xml:space="preserve"> </w:t>
      </w:r>
      <w:r w:rsidRPr="00094317">
        <w:rPr>
          <w:lang w:eastAsia="en-NZ"/>
        </w:rPr>
        <w:t>in</w:t>
      </w:r>
      <w:r w:rsidR="003D640C">
        <w:rPr>
          <w:lang w:eastAsia="en-NZ"/>
        </w:rPr>
        <w:t xml:space="preserve"> </w:t>
      </w:r>
      <w:r w:rsidRPr="00094317">
        <w:rPr>
          <w:lang w:eastAsia="en-NZ"/>
        </w:rPr>
        <w:t>all</w:t>
      </w:r>
      <w:r w:rsidR="003D640C">
        <w:rPr>
          <w:lang w:eastAsia="en-NZ"/>
        </w:rPr>
        <w:t xml:space="preserve"> </w:t>
      </w:r>
      <w:r w:rsidRPr="00094317">
        <w:rPr>
          <w:lang w:eastAsia="en-NZ"/>
        </w:rPr>
        <w:t>actions</w:t>
      </w:r>
      <w:r w:rsidR="003D640C">
        <w:rPr>
          <w:lang w:eastAsia="en-NZ"/>
        </w:rPr>
        <w:t xml:space="preserve"> </w:t>
      </w:r>
      <w:r w:rsidRPr="00094317">
        <w:rPr>
          <w:lang w:eastAsia="en-NZ"/>
        </w:rPr>
        <w:t>concerning</w:t>
      </w:r>
      <w:r w:rsidR="003D640C">
        <w:rPr>
          <w:lang w:eastAsia="en-NZ"/>
        </w:rPr>
        <w:t xml:space="preserve"> </w:t>
      </w:r>
      <w:r w:rsidRPr="00094317">
        <w:rPr>
          <w:lang w:eastAsia="en-NZ"/>
        </w:rPr>
        <w:t>children.</w:t>
      </w:r>
    </w:p>
    <w:p w14:paraId="3AB2A324" w14:textId="5FA7DE15" w:rsidR="00BC295E" w:rsidRPr="00094317" w:rsidRDefault="00BC295E" w:rsidP="0002020B">
      <w:pPr>
        <w:pStyle w:val="Bullet"/>
        <w:rPr>
          <w:lang w:eastAsia="en-NZ"/>
        </w:rPr>
      </w:pPr>
      <w:r w:rsidRPr="00094317">
        <w:rPr>
          <w:lang w:eastAsia="en-NZ"/>
        </w:rPr>
        <w:t>Article</w:t>
      </w:r>
      <w:r w:rsidR="003D640C">
        <w:rPr>
          <w:lang w:eastAsia="en-NZ"/>
        </w:rPr>
        <w:t xml:space="preserve"> </w:t>
      </w:r>
      <w:r w:rsidRPr="00094317">
        <w:rPr>
          <w:lang w:eastAsia="en-NZ"/>
        </w:rPr>
        <w:t>6:</w:t>
      </w:r>
      <w:r w:rsidR="003D640C">
        <w:rPr>
          <w:lang w:eastAsia="en-NZ"/>
        </w:rPr>
        <w:t xml:space="preserve"> </w:t>
      </w:r>
      <w:r w:rsidRPr="00094317">
        <w:rPr>
          <w:lang w:eastAsia="en-NZ"/>
        </w:rPr>
        <w:t>the</w:t>
      </w:r>
      <w:r w:rsidR="003D640C">
        <w:rPr>
          <w:lang w:eastAsia="en-NZ"/>
        </w:rPr>
        <w:t xml:space="preserve"> </w:t>
      </w:r>
      <w:r w:rsidRPr="00094317">
        <w:rPr>
          <w:lang w:eastAsia="en-NZ"/>
        </w:rPr>
        <w:t>child’s</w:t>
      </w:r>
      <w:r w:rsidR="003D640C">
        <w:rPr>
          <w:lang w:eastAsia="en-NZ"/>
        </w:rPr>
        <w:t xml:space="preserve"> </w:t>
      </w:r>
      <w:r w:rsidRPr="00094317">
        <w:rPr>
          <w:lang w:eastAsia="en-NZ"/>
        </w:rPr>
        <w:t>inherent</w:t>
      </w:r>
      <w:r w:rsidR="003D640C">
        <w:rPr>
          <w:lang w:eastAsia="en-NZ"/>
        </w:rPr>
        <w:t xml:space="preserve"> </w:t>
      </w:r>
      <w:r w:rsidRPr="00094317">
        <w:rPr>
          <w:lang w:eastAsia="en-NZ"/>
        </w:rPr>
        <w:t>right</w:t>
      </w:r>
      <w:r w:rsidR="003D640C">
        <w:rPr>
          <w:lang w:eastAsia="en-NZ"/>
        </w:rPr>
        <w:t xml:space="preserve"> </w:t>
      </w:r>
      <w:r w:rsidRPr="00094317">
        <w:rPr>
          <w:lang w:eastAsia="en-NZ"/>
        </w:rPr>
        <w:t>to</w:t>
      </w:r>
      <w:r w:rsidR="003D640C">
        <w:rPr>
          <w:lang w:eastAsia="en-NZ"/>
        </w:rPr>
        <w:t xml:space="preserve"> </w:t>
      </w:r>
      <w:r w:rsidRPr="00094317">
        <w:rPr>
          <w:lang w:eastAsia="en-NZ"/>
        </w:rPr>
        <w:t>life</w:t>
      </w:r>
      <w:r w:rsidR="003D640C">
        <w:rPr>
          <w:lang w:eastAsia="en-NZ"/>
        </w:rPr>
        <w:t xml:space="preserve"> </w:t>
      </w:r>
      <w:r w:rsidRPr="00094317">
        <w:rPr>
          <w:lang w:eastAsia="en-NZ"/>
        </w:rPr>
        <w:t>and</w:t>
      </w:r>
      <w:r w:rsidR="003D640C">
        <w:rPr>
          <w:lang w:eastAsia="en-NZ"/>
        </w:rPr>
        <w:t xml:space="preserve"> </w:t>
      </w:r>
      <w:r w:rsidRPr="00094317">
        <w:rPr>
          <w:lang w:eastAsia="en-NZ"/>
        </w:rPr>
        <w:t>States</w:t>
      </w:r>
      <w:r w:rsidR="003D640C">
        <w:rPr>
          <w:lang w:eastAsia="en-NZ"/>
        </w:rPr>
        <w:t xml:space="preserve"> </w:t>
      </w:r>
      <w:r w:rsidRPr="00094317">
        <w:rPr>
          <w:lang w:eastAsia="en-NZ"/>
        </w:rPr>
        <w:t>parties’</w:t>
      </w:r>
      <w:r w:rsidR="003D640C">
        <w:rPr>
          <w:lang w:eastAsia="en-NZ"/>
        </w:rPr>
        <w:t xml:space="preserve"> </w:t>
      </w:r>
      <w:r w:rsidRPr="00094317">
        <w:rPr>
          <w:lang w:eastAsia="en-NZ"/>
        </w:rPr>
        <w:t>obligation</w:t>
      </w:r>
      <w:r w:rsidR="003D640C">
        <w:rPr>
          <w:lang w:eastAsia="en-NZ"/>
        </w:rPr>
        <w:t xml:space="preserve"> </w:t>
      </w:r>
      <w:r w:rsidRPr="00094317">
        <w:rPr>
          <w:lang w:eastAsia="en-NZ"/>
        </w:rPr>
        <w:t>to</w:t>
      </w:r>
      <w:r w:rsidR="003D640C">
        <w:rPr>
          <w:lang w:eastAsia="en-NZ"/>
        </w:rPr>
        <w:t xml:space="preserve"> </w:t>
      </w:r>
      <w:r w:rsidRPr="00094317">
        <w:rPr>
          <w:lang w:eastAsia="en-NZ"/>
        </w:rPr>
        <w:t>ensure</w:t>
      </w:r>
      <w:r w:rsidR="003D640C">
        <w:rPr>
          <w:lang w:eastAsia="en-NZ"/>
        </w:rPr>
        <w:t xml:space="preserve"> </w:t>
      </w:r>
      <w:r w:rsidRPr="00094317">
        <w:rPr>
          <w:lang w:eastAsia="en-NZ"/>
        </w:rPr>
        <w:t>to</w:t>
      </w:r>
      <w:r w:rsidR="003D640C">
        <w:rPr>
          <w:lang w:eastAsia="en-NZ"/>
        </w:rPr>
        <w:t xml:space="preserve"> </w:t>
      </w:r>
      <w:r w:rsidRPr="00094317">
        <w:rPr>
          <w:lang w:eastAsia="en-NZ"/>
        </w:rPr>
        <w:t>the</w:t>
      </w:r>
      <w:r w:rsidR="003D640C">
        <w:rPr>
          <w:lang w:eastAsia="en-NZ"/>
        </w:rPr>
        <w:t xml:space="preserve"> </w:t>
      </w:r>
      <w:r w:rsidRPr="00094317">
        <w:rPr>
          <w:lang w:eastAsia="en-NZ"/>
        </w:rPr>
        <w:t>maximum</w:t>
      </w:r>
      <w:r w:rsidR="003D640C">
        <w:rPr>
          <w:lang w:eastAsia="en-NZ"/>
        </w:rPr>
        <w:t xml:space="preserve"> </w:t>
      </w:r>
      <w:r w:rsidRPr="00094317">
        <w:rPr>
          <w:lang w:eastAsia="en-NZ"/>
        </w:rPr>
        <w:t>extent</w:t>
      </w:r>
      <w:r w:rsidR="003D640C">
        <w:rPr>
          <w:lang w:eastAsia="en-NZ"/>
        </w:rPr>
        <w:t xml:space="preserve"> </w:t>
      </w:r>
      <w:r w:rsidRPr="00094317">
        <w:rPr>
          <w:lang w:eastAsia="en-NZ"/>
        </w:rPr>
        <w:t>possible</w:t>
      </w:r>
      <w:r w:rsidR="003D640C">
        <w:rPr>
          <w:lang w:eastAsia="en-NZ"/>
        </w:rPr>
        <w:t xml:space="preserve"> </w:t>
      </w:r>
      <w:r w:rsidRPr="00094317">
        <w:rPr>
          <w:lang w:eastAsia="en-NZ"/>
        </w:rPr>
        <w:t>the</w:t>
      </w:r>
      <w:r w:rsidR="003D640C">
        <w:rPr>
          <w:lang w:eastAsia="en-NZ"/>
        </w:rPr>
        <w:t xml:space="preserve"> </w:t>
      </w:r>
      <w:r w:rsidRPr="00094317">
        <w:rPr>
          <w:lang w:eastAsia="en-NZ"/>
        </w:rPr>
        <w:t>survival</w:t>
      </w:r>
      <w:r w:rsidR="003D640C">
        <w:rPr>
          <w:lang w:eastAsia="en-NZ"/>
        </w:rPr>
        <w:t xml:space="preserve"> </w:t>
      </w:r>
      <w:r w:rsidRPr="00094317">
        <w:rPr>
          <w:lang w:eastAsia="en-NZ"/>
        </w:rPr>
        <w:t>and</w:t>
      </w:r>
      <w:r w:rsidR="003D640C">
        <w:rPr>
          <w:lang w:eastAsia="en-NZ"/>
        </w:rPr>
        <w:t xml:space="preserve"> </w:t>
      </w:r>
      <w:r w:rsidRPr="00094317">
        <w:rPr>
          <w:lang w:eastAsia="en-NZ"/>
        </w:rPr>
        <w:t>development</w:t>
      </w:r>
      <w:r w:rsidR="003D640C">
        <w:rPr>
          <w:lang w:eastAsia="en-NZ"/>
        </w:rPr>
        <w:t xml:space="preserve"> </w:t>
      </w:r>
      <w:r w:rsidRPr="00094317">
        <w:rPr>
          <w:lang w:eastAsia="en-NZ"/>
        </w:rPr>
        <w:t>of</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00AB52CB">
        <w:rPr>
          <w:lang w:eastAsia="en-NZ"/>
        </w:rPr>
        <w:t>–</w:t>
      </w:r>
      <w:r w:rsidR="003D640C">
        <w:rPr>
          <w:lang w:eastAsia="en-NZ"/>
        </w:rPr>
        <w:t xml:space="preserve"> </w:t>
      </w:r>
      <w:r w:rsidRPr="00094317">
        <w:rPr>
          <w:lang w:eastAsia="en-NZ"/>
        </w:rPr>
        <w:t>embracing</w:t>
      </w:r>
      <w:r w:rsidR="003D640C">
        <w:rPr>
          <w:lang w:eastAsia="en-NZ"/>
        </w:rPr>
        <w:t xml:space="preserve"> </w:t>
      </w:r>
      <w:r w:rsidRPr="00094317">
        <w:rPr>
          <w:lang w:eastAsia="en-NZ"/>
        </w:rPr>
        <w:t>the</w:t>
      </w:r>
      <w:r w:rsidR="003D640C">
        <w:rPr>
          <w:lang w:eastAsia="en-NZ"/>
        </w:rPr>
        <w:t xml:space="preserve"> </w:t>
      </w:r>
      <w:r w:rsidRPr="00094317">
        <w:rPr>
          <w:lang w:eastAsia="en-NZ"/>
        </w:rPr>
        <w:t>child’s</w:t>
      </w:r>
      <w:r w:rsidR="003D640C">
        <w:rPr>
          <w:lang w:eastAsia="en-NZ"/>
        </w:rPr>
        <w:t xml:space="preserve"> </w:t>
      </w:r>
      <w:r w:rsidRPr="00094317">
        <w:rPr>
          <w:lang w:eastAsia="en-NZ"/>
        </w:rPr>
        <w:t>physical,</w:t>
      </w:r>
      <w:r w:rsidR="003D640C">
        <w:rPr>
          <w:lang w:eastAsia="en-NZ"/>
        </w:rPr>
        <w:t xml:space="preserve"> </w:t>
      </w:r>
      <w:r w:rsidRPr="00094317">
        <w:rPr>
          <w:lang w:eastAsia="en-NZ"/>
        </w:rPr>
        <w:t>mental,</w:t>
      </w:r>
      <w:r w:rsidR="003D640C">
        <w:rPr>
          <w:lang w:eastAsia="en-NZ"/>
        </w:rPr>
        <w:t xml:space="preserve"> </w:t>
      </w:r>
      <w:r w:rsidRPr="00094317">
        <w:rPr>
          <w:lang w:eastAsia="en-NZ"/>
        </w:rPr>
        <w:t>spiritual,</w:t>
      </w:r>
      <w:r w:rsidR="003D640C">
        <w:rPr>
          <w:lang w:eastAsia="en-NZ"/>
        </w:rPr>
        <w:t xml:space="preserve"> </w:t>
      </w:r>
      <w:r w:rsidRPr="00094317">
        <w:rPr>
          <w:lang w:eastAsia="en-NZ"/>
        </w:rPr>
        <w:t>moral,</w:t>
      </w:r>
      <w:r w:rsidR="003D640C">
        <w:rPr>
          <w:lang w:eastAsia="en-NZ"/>
        </w:rPr>
        <w:t xml:space="preserve"> </w:t>
      </w:r>
      <w:r w:rsidRPr="00094317">
        <w:rPr>
          <w:lang w:eastAsia="en-NZ"/>
        </w:rPr>
        <w:t>psychological</w:t>
      </w:r>
      <w:r w:rsidR="00D5564A">
        <w:rPr>
          <w:lang w:eastAsia="en-NZ"/>
        </w:rPr>
        <w:t>,</w:t>
      </w:r>
      <w:r w:rsidR="003D640C">
        <w:rPr>
          <w:lang w:eastAsia="en-NZ"/>
        </w:rPr>
        <w:t xml:space="preserve"> </w:t>
      </w:r>
      <w:r w:rsidRPr="00094317">
        <w:rPr>
          <w:lang w:eastAsia="en-NZ"/>
        </w:rPr>
        <w:t>and</w:t>
      </w:r>
      <w:r w:rsidR="003D640C">
        <w:rPr>
          <w:lang w:eastAsia="en-NZ"/>
        </w:rPr>
        <w:t xml:space="preserve"> </w:t>
      </w:r>
      <w:r w:rsidRPr="00094317">
        <w:rPr>
          <w:lang w:eastAsia="en-NZ"/>
        </w:rPr>
        <w:t>social</w:t>
      </w:r>
      <w:r w:rsidR="003D640C">
        <w:rPr>
          <w:lang w:eastAsia="en-NZ"/>
        </w:rPr>
        <w:t xml:space="preserve"> </w:t>
      </w:r>
      <w:r w:rsidRPr="00094317">
        <w:rPr>
          <w:lang w:eastAsia="en-NZ"/>
        </w:rPr>
        <w:t>development.</w:t>
      </w:r>
    </w:p>
    <w:p w14:paraId="01CA5820" w14:textId="45FFA3F8" w:rsidR="00501068" w:rsidRDefault="00BC295E" w:rsidP="0002020B">
      <w:pPr>
        <w:pStyle w:val="Bullet"/>
        <w:rPr>
          <w:lang w:eastAsia="en-NZ"/>
        </w:rPr>
      </w:pPr>
      <w:r w:rsidRPr="00094317">
        <w:rPr>
          <w:lang w:eastAsia="en-NZ"/>
        </w:rPr>
        <w:lastRenderedPageBreak/>
        <w:t>Article</w:t>
      </w:r>
      <w:r w:rsidR="003D640C">
        <w:rPr>
          <w:lang w:eastAsia="en-NZ"/>
        </w:rPr>
        <w:t xml:space="preserve"> </w:t>
      </w:r>
      <w:r w:rsidRPr="00094317">
        <w:rPr>
          <w:lang w:eastAsia="en-NZ"/>
        </w:rPr>
        <w:t>12:</w:t>
      </w:r>
      <w:r w:rsidR="003D640C">
        <w:rPr>
          <w:lang w:eastAsia="en-NZ"/>
        </w:rPr>
        <w:t xml:space="preserve"> </w:t>
      </w:r>
      <w:r w:rsidRPr="00094317">
        <w:rPr>
          <w:lang w:eastAsia="en-NZ"/>
        </w:rPr>
        <w:t>the</w:t>
      </w:r>
      <w:r w:rsidR="003D640C">
        <w:rPr>
          <w:lang w:eastAsia="en-NZ"/>
        </w:rPr>
        <w:t xml:space="preserve"> </w:t>
      </w:r>
      <w:r w:rsidRPr="00094317">
        <w:rPr>
          <w:lang w:eastAsia="en-NZ"/>
        </w:rPr>
        <w:t>child’s</w:t>
      </w:r>
      <w:r w:rsidR="003D640C">
        <w:rPr>
          <w:lang w:eastAsia="en-NZ"/>
        </w:rPr>
        <w:t xml:space="preserve"> </w:t>
      </w:r>
      <w:r w:rsidRPr="00094317">
        <w:rPr>
          <w:lang w:eastAsia="en-NZ"/>
        </w:rPr>
        <w:t>right</w:t>
      </w:r>
      <w:r w:rsidR="003D640C">
        <w:rPr>
          <w:lang w:eastAsia="en-NZ"/>
        </w:rPr>
        <w:t xml:space="preserve"> </w:t>
      </w:r>
      <w:r w:rsidRPr="00094317">
        <w:rPr>
          <w:lang w:eastAsia="en-NZ"/>
        </w:rPr>
        <w:t>to</w:t>
      </w:r>
      <w:r w:rsidR="003D640C">
        <w:rPr>
          <w:lang w:eastAsia="en-NZ"/>
        </w:rPr>
        <w:t xml:space="preserve"> </w:t>
      </w:r>
      <w:r w:rsidRPr="00094317">
        <w:rPr>
          <w:lang w:eastAsia="en-NZ"/>
        </w:rPr>
        <w:t>express</w:t>
      </w:r>
      <w:r w:rsidR="003D640C">
        <w:rPr>
          <w:lang w:eastAsia="en-NZ"/>
        </w:rPr>
        <w:t xml:space="preserve"> </w:t>
      </w:r>
      <w:r w:rsidRPr="00094317">
        <w:rPr>
          <w:lang w:eastAsia="en-NZ"/>
        </w:rPr>
        <w:t>his</w:t>
      </w:r>
      <w:r w:rsidR="003D640C">
        <w:rPr>
          <w:lang w:eastAsia="en-NZ"/>
        </w:rPr>
        <w:t xml:space="preserve"> </w:t>
      </w:r>
      <w:r w:rsidRPr="00094317">
        <w:rPr>
          <w:lang w:eastAsia="en-NZ"/>
        </w:rPr>
        <w:t>or</w:t>
      </w:r>
      <w:r w:rsidR="003D640C">
        <w:rPr>
          <w:lang w:eastAsia="en-NZ"/>
        </w:rPr>
        <w:t xml:space="preserve"> </w:t>
      </w:r>
      <w:r w:rsidRPr="00094317">
        <w:rPr>
          <w:lang w:eastAsia="en-NZ"/>
        </w:rPr>
        <w:t>her</w:t>
      </w:r>
      <w:r w:rsidR="003D640C">
        <w:rPr>
          <w:lang w:eastAsia="en-NZ"/>
        </w:rPr>
        <w:t xml:space="preserve"> </w:t>
      </w:r>
      <w:r w:rsidRPr="00094317">
        <w:rPr>
          <w:lang w:eastAsia="en-NZ"/>
        </w:rPr>
        <w:t>views</w:t>
      </w:r>
      <w:r w:rsidR="003D640C">
        <w:rPr>
          <w:lang w:eastAsia="en-NZ"/>
        </w:rPr>
        <w:t xml:space="preserve"> </w:t>
      </w:r>
      <w:r w:rsidRPr="00094317">
        <w:rPr>
          <w:lang w:eastAsia="en-NZ"/>
        </w:rPr>
        <w:t>freely</w:t>
      </w:r>
      <w:r w:rsidR="003D640C">
        <w:rPr>
          <w:lang w:eastAsia="en-NZ"/>
        </w:rPr>
        <w:t xml:space="preserve"> </w:t>
      </w:r>
      <w:r w:rsidRPr="00094317">
        <w:rPr>
          <w:lang w:eastAsia="en-NZ"/>
        </w:rPr>
        <w:t>in</w:t>
      </w:r>
      <w:r w:rsidR="003D640C">
        <w:rPr>
          <w:lang w:eastAsia="en-NZ"/>
        </w:rPr>
        <w:t xml:space="preserve"> </w:t>
      </w:r>
      <w:r w:rsidRPr="00094317">
        <w:rPr>
          <w:lang w:eastAsia="en-NZ"/>
        </w:rPr>
        <w:t>“all</w:t>
      </w:r>
      <w:r w:rsidR="003D640C">
        <w:rPr>
          <w:lang w:eastAsia="en-NZ"/>
        </w:rPr>
        <w:t xml:space="preserve"> </w:t>
      </w:r>
      <w:r w:rsidRPr="00094317">
        <w:rPr>
          <w:lang w:eastAsia="en-NZ"/>
        </w:rPr>
        <w:t>matters</w:t>
      </w:r>
      <w:r w:rsidR="003D640C">
        <w:rPr>
          <w:lang w:eastAsia="en-NZ"/>
        </w:rPr>
        <w:t xml:space="preserve"> </w:t>
      </w:r>
      <w:r w:rsidRPr="00094317">
        <w:rPr>
          <w:lang w:eastAsia="en-NZ"/>
        </w:rPr>
        <w:t>affecting</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D5564A">
        <w:rPr>
          <w:lang w:eastAsia="en-NZ"/>
        </w:rPr>
        <w:t>,</w:t>
      </w:r>
      <w:r w:rsidRPr="00094317">
        <w:rPr>
          <w:lang w:eastAsia="en-NZ"/>
        </w:rPr>
        <w:t>”</w:t>
      </w:r>
      <w:r w:rsidR="003D640C">
        <w:rPr>
          <w:lang w:eastAsia="en-NZ"/>
        </w:rPr>
        <w:t xml:space="preserve"> </w:t>
      </w:r>
      <w:r w:rsidRPr="00094317">
        <w:rPr>
          <w:lang w:eastAsia="en-NZ"/>
        </w:rPr>
        <w:t>those</w:t>
      </w:r>
      <w:r w:rsidR="003D640C">
        <w:rPr>
          <w:lang w:eastAsia="en-NZ"/>
        </w:rPr>
        <w:t xml:space="preserve"> </w:t>
      </w:r>
      <w:r w:rsidRPr="00094317">
        <w:rPr>
          <w:lang w:eastAsia="en-NZ"/>
        </w:rPr>
        <w:t>views</w:t>
      </w:r>
      <w:r w:rsidR="003D640C">
        <w:rPr>
          <w:lang w:eastAsia="en-NZ"/>
        </w:rPr>
        <w:t xml:space="preserve"> </w:t>
      </w:r>
      <w:r w:rsidRPr="00094317">
        <w:rPr>
          <w:lang w:eastAsia="en-NZ"/>
        </w:rPr>
        <w:t>being</w:t>
      </w:r>
      <w:r w:rsidR="003D640C">
        <w:rPr>
          <w:lang w:eastAsia="en-NZ"/>
        </w:rPr>
        <w:t xml:space="preserve"> </w:t>
      </w:r>
      <w:r w:rsidRPr="00094317">
        <w:rPr>
          <w:lang w:eastAsia="en-NZ"/>
        </w:rPr>
        <w:t>given</w:t>
      </w:r>
      <w:r w:rsidR="003D640C">
        <w:rPr>
          <w:lang w:eastAsia="en-NZ"/>
        </w:rPr>
        <w:t xml:space="preserve"> </w:t>
      </w:r>
      <w:r w:rsidRPr="00094317">
        <w:rPr>
          <w:lang w:eastAsia="en-NZ"/>
        </w:rPr>
        <w:t>due</w:t>
      </w:r>
      <w:r w:rsidR="003D640C">
        <w:rPr>
          <w:lang w:eastAsia="en-NZ"/>
        </w:rPr>
        <w:t xml:space="preserve"> </w:t>
      </w:r>
      <w:r w:rsidRPr="00094317">
        <w:rPr>
          <w:lang w:eastAsia="en-NZ"/>
        </w:rPr>
        <w:t>weight.</w:t>
      </w:r>
      <w:r w:rsidR="005E1DAF">
        <w:rPr>
          <w:rStyle w:val="FootnoteReference"/>
          <w:rFonts w:eastAsia="Times New Roman" w:cstheme="minorHAnsi"/>
          <w:lang w:eastAsia="en-NZ"/>
        </w:rPr>
        <w:footnoteReference w:id="57"/>
      </w:r>
    </w:p>
    <w:p w14:paraId="7AD540DC" w14:textId="480FBA28" w:rsidR="00501068" w:rsidRDefault="00BC295E" w:rsidP="0002020B">
      <w:pPr>
        <w:rPr>
          <w:lang w:eastAsia="en-NZ"/>
        </w:rPr>
      </w:pPr>
      <w:r w:rsidRPr="00094317">
        <w:rPr>
          <w:lang w:eastAsia="en-NZ"/>
        </w:rPr>
        <w:t>Article</w:t>
      </w:r>
      <w:r w:rsidR="003D640C">
        <w:rPr>
          <w:lang w:eastAsia="en-NZ"/>
        </w:rPr>
        <w:t xml:space="preserve"> </w:t>
      </w:r>
      <w:r w:rsidRPr="00094317">
        <w:rPr>
          <w:lang w:eastAsia="en-NZ"/>
        </w:rPr>
        <w:t>8</w:t>
      </w:r>
      <w:r w:rsidR="003D640C">
        <w:rPr>
          <w:lang w:eastAsia="en-NZ"/>
        </w:rPr>
        <w:t xml:space="preserve"> </w:t>
      </w:r>
      <w:r w:rsidRPr="00094317">
        <w:rPr>
          <w:lang w:eastAsia="en-NZ"/>
        </w:rPr>
        <w:t>of</w:t>
      </w:r>
      <w:r w:rsidR="003D640C">
        <w:rPr>
          <w:lang w:eastAsia="en-NZ"/>
        </w:rPr>
        <w:t xml:space="preserve"> </w:t>
      </w:r>
      <w:r w:rsidR="00DA4F55">
        <w:rPr>
          <w:lang w:eastAsia="en-NZ"/>
        </w:rPr>
        <w:t>the</w:t>
      </w:r>
      <w:r w:rsidR="003D640C">
        <w:rPr>
          <w:lang w:eastAsia="en-NZ"/>
        </w:rPr>
        <w:t xml:space="preserve"> </w:t>
      </w:r>
      <w:r w:rsidRPr="00094317">
        <w:rPr>
          <w:lang w:eastAsia="en-NZ"/>
        </w:rPr>
        <w:t>CRC</w:t>
      </w:r>
      <w:r w:rsidR="003D640C">
        <w:rPr>
          <w:lang w:eastAsia="en-NZ"/>
        </w:rPr>
        <w:t xml:space="preserve"> </w:t>
      </w:r>
      <w:r w:rsidRPr="00094317">
        <w:rPr>
          <w:lang w:eastAsia="en-NZ"/>
        </w:rPr>
        <w:t>also</w:t>
      </w:r>
      <w:r w:rsidR="003D640C">
        <w:rPr>
          <w:lang w:eastAsia="en-NZ"/>
        </w:rPr>
        <w:t xml:space="preserve"> </w:t>
      </w:r>
      <w:r w:rsidRPr="00094317">
        <w:rPr>
          <w:lang w:eastAsia="en-NZ"/>
        </w:rPr>
        <w:t>affirms</w:t>
      </w:r>
      <w:r w:rsidR="003D640C">
        <w:rPr>
          <w:lang w:eastAsia="en-NZ"/>
        </w:rPr>
        <w:t xml:space="preserve"> </w:t>
      </w:r>
      <w:r w:rsidRPr="00094317">
        <w:rPr>
          <w:lang w:eastAsia="en-NZ"/>
        </w:rPr>
        <w:t>the</w:t>
      </w:r>
      <w:r w:rsidR="003D640C">
        <w:rPr>
          <w:lang w:eastAsia="en-NZ"/>
        </w:rPr>
        <w:t xml:space="preserve"> </w:t>
      </w:r>
      <w:r w:rsidRPr="00094317">
        <w:rPr>
          <w:lang w:eastAsia="en-NZ"/>
        </w:rPr>
        <w:t>rights</w:t>
      </w:r>
      <w:r w:rsidR="003D640C">
        <w:rPr>
          <w:lang w:eastAsia="en-NZ"/>
        </w:rPr>
        <w:t xml:space="preserve"> </w:t>
      </w:r>
      <w:r w:rsidRPr="00094317">
        <w:rPr>
          <w:lang w:eastAsia="en-NZ"/>
        </w:rPr>
        <w:t>of</w:t>
      </w:r>
      <w:r w:rsidR="003D640C">
        <w:rPr>
          <w:lang w:eastAsia="en-NZ"/>
        </w:rPr>
        <w:t xml:space="preserve"> </w:t>
      </w:r>
      <w:r w:rsidRPr="00094317">
        <w:rPr>
          <w:lang w:eastAsia="en-NZ"/>
        </w:rPr>
        <w:t>all</w:t>
      </w:r>
      <w:r w:rsidR="003D640C">
        <w:rPr>
          <w:lang w:eastAsia="en-NZ"/>
        </w:rPr>
        <w:t xml:space="preserve"> </w:t>
      </w:r>
      <w:r w:rsidRPr="00094317">
        <w:rPr>
          <w:lang w:eastAsia="en-NZ"/>
        </w:rPr>
        <w:t>children</w:t>
      </w:r>
      <w:r w:rsidR="003D640C">
        <w:rPr>
          <w:lang w:eastAsia="en-NZ"/>
        </w:rPr>
        <w:t xml:space="preserve"> </w:t>
      </w:r>
      <w:r w:rsidRPr="00094317">
        <w:rPr>
          <w:lang w:eastAsia="en-NZ"/>
        </w:rPr>
        <w:t>to</w:t>
      </w:r>
      <w:r w:rsidR="003D640C">
        <w:rPr>
          <w:lang w:eastAsia="en-NZ"/>
        </w:rPr>
        <w:t xml:space="preserve"> </w:t>
      </w:r>
      <w:r w:rsidRPr="00094317">
        <w:rPr>
          <w:lang w:eastAsia="en-NZ"/>
        </w:rPr>
        <w:t>have</w:t>
      </w:r>
      <w:r w:rsidR="003D640C">
        <w:rPr>
          <w:lang w:eastAsia="en-NZ"/>
        </w:rPr>
        <w:t xml:space="preserve"> </w:t>
      </w:r>
      <w:r w:rsidRPr="00094317">
        <w:rPr>
          <w:lang w:eastAsia="en-NZ"/>
        </w:rPr>
        <w:t>their</w:t>
      </w:r>
      <w:r w:rsidR="003D640C">
        <w:rPr>
          <w:lang w:eastAsia="en-NZ"/>
        </w:rPr>
        <w:t xml:space="preserve"> </w:t>
      </w:r>
      <w:r w:rsidRPr="00094317">
        <w:rPr>
          <w:lang w:eastAsia="en-NZ"/>
        </w:rPr>
        <w:t>identity</w:t>
      </w:r>
      <w:r w:rsidR="003D640C">
        <w:rPr>
          <w:lang w:eastAsia="en-NZ"/>
        </w:rPr>
        <w:t xml:space="preserve"> </w:t>
      </w:r>
      <w:r w:rsidRPr="00094317">
        <w:rPr>
          <w:lang w:eastAsia="en-NZ"/>
        </w:rPr>
        <w:t>respected.</w:t>
      </w:r>
      <w:r w:rsidR="003D640C">
        <w:rPr>
          <w:lang w:eastAsia="en-NZ"/>
        </w:rPr>
        <w:t xml:space="preserve"> </w:t>
      </w:r>
      <w:r w:rsidRPr="00094317">
        <w:rPr>
          <w:lang w:eastAsia="en-NZ"/>
        </w:rPr>
        <w:t>The</w:t>
      </w:r>
      <w:r w:rsidR="003D640C">
        <w:rPr>
          <w:lang w:eastAsia="en-NZ"/>
        </w:rPr>
        <w:t xml:space="preserve"> </w:t>
      </w:r>
      <w:r w:rsidR="00AE41B0">
        <w:rPr>
          <w:lang w:eastAsia="en-NZ"/>
        </w:rPr>
        <w:t xml:space="preserve">United Nations </w:t>
      </w:r>
      <w:r w:rsidRPr="00094317">
        <w:rPr>
          <w:lang w:eastAsia="en-NZ"/>
        </w:rPr>
        <w:t>Committee</w:t>
      </w:r>
      <w:r w:rsidR="003D640C">
        <w:rPr>
          <w:lang w:eastAsia="en-NZ"/>
        </w:rPr>
        <w:t xml:space="preserve"> </w:t>
      </w:r>
      <w:r w:rsidRPr="00094317">
        <w:rPr>
          <w:lang w:eastAsia="en-NZ"/>
        </w:rPr>
        <w:t>on</w:t>
      </w:r>
      <w:r w:rsidR="003D640C">
        <w:rPr>
          <w:lang w:eastAsia="en-NZ"/>
        </w:rPr>
        <w:t xml:space="preserve"> </w:t>
      </w:r>
      <w:r w:rsidRPr="00094317">
        <w:rPr>
          <w:lang w:eastAsia="en-NZ"/>
        </w:rPr>
        <w:t>the</w:t>
      </w:r>
      <w:r w:rsidR="003D640C">
        <w:rPr>
          <w:lang w:eastAsia="en-NZ"/>
        </w:rPr>
        <w:t xml:space="preserve"> </w:t>
      </w:r>
      <w:r w:rsidRPr="00094317">
        <w:rPr>
          <w:lang w:eastAsia="en-NZ"/>
        </w:rPr>
        <w:t>Rights</w:t>
      </w:r>
      <w:r w:rsidR="003D640C">
        <w:rPr>
          <w:lang w:eastAsia="en-NZ"/>
        </w:rPr>
        <w:t xml:space="preserve"> </w:t>
      </w:r>
      <w:r w:rsidRPr="00094317">
        <w:rPr>
          <w:lang w:eastAsia="en-NZ"/>
        </w:rPr>
        <w:t>of</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has</w:t>
      </w:r>
      <w:r w:rsidR="003D640C">
        <w:rPr>
          <w:lang w:eastAsia="en-NZ"/>
        </w:rPr>
        <w:t xml:space="preserve"> </w:t>
      </w:r>
      <w:r w:rsidRPr="00094317">
        <w:rPr>
          <w:lang w:eastAsia="en-NZ"/>
        </w:rPr>
        <w:t>confirmed</w:t>
      </w:r>
      <w:r w:rsidR="003D640C">
        <w:rPr>
          <w:lang w:eastAsia="en-NZ"/>
        </w:rPr>
        <w:t xml:space="preserve"> </w:t>
      </w:r>
      <w:r w:rsidRPr="00094317">
        <w:rPr>
          <w:lang w:eastAsia="en-NZ"/>
        </w:rPr>
        <w:t>that</w:t>
      </w:r>
      <w:r w:rsidR="003D640C">
        <w:rPr>
          <w:lang w:eastAsia="en-NZ"/>
        </w:rPr>
        <w:t xml:space="preserve"> </w:t>
      </w:r>
      <w:r w:rsidRPr="00094317">
        <w:rPr>
          <w:lang w:eastAsia="en-NZ"/>
        </w:rPr>
        <w:t>this</w:t>
      </w:r>
      <w:r w:rsidR="003D640C">
        <w:rPr>
          <w:lang w:eastAsia="en-NZ"/>
        </w:rPr>
        <w:t xml:space="preserve"> </w:t>
      </w:r>
      <w:r w:rsidRPr="00094317">
        <w:rPr>
          <w:lang w:eastAsia="en-NZ"/>
        </w:rPr>
        <w:t>right</w:t>
      </w:r>
      <w:r w:rsidR="003D640C">
        <w:rPr>
          <w:lang w:eastAsia="en-NZ"/>
        </w:rPr>
        <w:t xml:space="preserve"> </w:t>
      </w:r>
      <w:r w:rsidRPr="00094317">
        <w:rPr>
          <w:lang w:eastAsia="en-NZ"/>
        </w:rPr>
        <w:t>encompasses</w:t>
      </w:r>
      <w:r w:rsidR="003D640C">
        <w:rPr>
          <w:lang w:eastAsia="en-NZ"/>
        </w:rPr>
        <w:t xml:space="preserve"> </w:t>
      </w:r>
      <w:r w:rsidRPr="00094317">
        <w:rPr>
          <w:lang w:eastAsia="en-NZ"/>
        </w:rPr>
        <w:t>sexual</w:t>
      </w:r>
      <w:r w:rsidR="003D640C">
        <w:rPr>
          <w:lang w:eastAsia="en-NZ"/>
        </w:rPr>
        <w:t xml:space="preserve"> </w:t>
      </w:r>
      <w:r w:rsidRPr="00094317">
        <w:rPr>
          <w:lang w:eastAsia="en-NZ"/>
        </w:rPr>
        <w:t>orientation</w:t>
      </w:r>
      <w:r w:rsidR="003D640C">
        <w:rPr>
          <w:lang w:eastAsia="en-NZ"/>
        </w:rPr>
        <w:t xml:space="preserve"> </w:t>
      </w:r>
      <w:r w:rsidRPr="00094317">
        <w:rPr>
          <w:lang w:eastAsia="en-NZ"/>
        </w:rPr>
        <w:t>and</w:t>
      </w:r>
      <w:r w:rsidR="003D640C">
        <w:rPr>
          <w:lang w:eastAsia="en-NZ"/>
        </w:rPr>
        <w:t xml:space="preserve"> </w:t>
      </w:r>
      <w:r w:rsidRPr="00094317">
        <w:rPr>
          <w:lang w:eastAsia="en-NZ"/>
        </w:rPr>
        <w:t>gender</w:t>
      </w:r>
      <w:r w:rsidR="003D640C">
        <w:rPr>
          <w:lang w:eastAsia="en-NZ"/>
        </w:rPr>
        <w:t xml:space="preserve"> </w:t>
      </w:r>
      <w:r w:rsidRPr="00094317">
        <w:rPr>
          <w:lang w:eastAsia="en-NZ"/>
        </w:rPr>
        <w:t>identity</w:t>
      </w:r>
      <w:r w:rsidR="00AE41B0">
        <w:rPr>
          <w:lang w:eastAsia="en-NZ"/>
        </w:rPr>
        <w:t>,</w:t>
      </w:r>
      <w:r w:rsidR="003D640C">
        <w:rPr>
          <w:lang w:eastAsia="en-NZ"/>
        </w:rPr>
        <w:t xml:space="preserve"> </w:t>
      </w:r>
      <w:r w:rsidRPr="00094317">
        <w:rPr>
          <w:lang w:eastAsia="en-NZ"/>
        </w:rPr>
        <w:t>which</w:t>
      </w:r>
      <w:r w:rsidR="003D640C">
        <w:rPr>
          <w:lang w:eastAsia="en-NZ"/>
        </w:rPr>
        <w:t xml:space="preserve"> </w:t>
      </w:r>
      <w:r w:rsidRPr="00094317">
        <w:rPr>
          <w:lang w:eastAsia="en-NZ"/>
        </w:rPr>
        <w:t>must</w:t>
      </w:r>
      <w:r w:rsidR="003D640C">
        <w:rPr>
          <w:lang w:eastAsia="en-NZ"/>
        </w:rPr>
        <w:t xml:space="preserve"> </w:t>
      </w:r>
      <w:r w:rsidRPr="00094317">
        <w:rPr>
          <w:lang w:eastAsia="en-NZ"/>
        </w:rPr>
        <w:t>be</w:t>
      </w:r>
      <w:r w:rsidR="003D640C">
        <w:rPr>
          <w:lang w:eastAsia="en-NZ"/>
        </w:rPr>
        <w:t xml:space="preserve"> </w:t>
      </w:r>
      <w:r w:rsidRPr="00094317">
        <w:rPr>
          <w:lang w:eastAsia="en-NZ"/>
        </w:rPr>
        <w:t>taken</w:t>
      </w:r>
      <w:r w:rsidR="003D640C">
        <w:rPr>
          <w:lang w:eastAsia="en-NZ"/>
        </w:rPr>
        <w:t xml:space="preserve"> </w:t>
      </w:r>
      <w:r w:rsidRPr="00094317">
        <w:rPr>
          <w:lang w:eastAsia="en-NZ"/>
        </w:rPr>
        <w:t>into</w:t>
      </w:r>
      <w:r w:rsidR="003D640C">
        <w:rPr>
          <w:lang w:eastAsia="en-NZ"/>
        </w:rPr>
        <w:t xml:space="preserve"> </w:t>
      </w:r>
      <w:r w:rsidRPr="00094317">
        <w:rPr>
          <w:lang w:eastAsia="en-NZ"/>
        </w:rPr>
        <w:t>consideration</w:t>
      </w:r>
      <w:r w:rsidR="003D640C">
        <w:rPr>
          <w:lang w:eastAsia="en-NZ"/>
        </w:rPr>
        <w:t xml:space="preserve"> </w:t>
      </w:r>
      <w:r w:rsidRPr="00094317">
        <w:rPr>
          <w:lang w:eastAsia="en-NZ"/>
        </w:rPr>
        <w:t>when</w:t>
      </w:r>
      <w:r w:rsidR="003D640C">
        <w:rPr>
          <w:lang w:eastAsia="en-NZ"/>
        </w:rPr>
        <w:t xml:space="preserve"> </w:t>
      </w:r>
      <w:r w:rsidRPr="00094317">
        <w:rPr>
          <w:lang w:eastAsia="en-NZ"/>
        </w:rPr>
        <w:t>assessing</w:t>
      </w:r>
      <w:r w:rsidR="003D640C">
        <w:rPr>
          <w:lang w:eastAsia="en-NZ"/>
        </w:rPr>
        <w:t xml:space="preserve"> </w:t>
      </w:r>
      <w:r w:rsidRPr="00094317">
        <w:rPr>
          <w:lang w:eastAsia="en-NZ"/>
        </w:rPr>
        <w:t>a</w:t>
      </w:r>
      <w:r w:rsidR="003D640C">
        <w:rPr>
          <w:lang w:eastAsia="en-NZ"/>
        </w:rPr>
        <w:t xml:space="preserve"> </w:t>
      </w:r>
      <w:r w:rsidRPr="00094317">
        <w:rPr>
          <w:lang w:eastAsia="en-NZ"/>
        </w:rPr>
        <w:t>child’s</w:t>
      </w:r>
      <w:r w:rsidR="003D640C">
        <w:rPr>
          <w:lang w:eastAsia="en-NZ"/>
        </w:rPr>
        <w:t xml:space="preserve"> </w:t>
      </w:r>
      <w:r w:rsidRPr="00094317">
        <w:rPr>
          <w:lang w:eastAsia="en-NZ"/>
        </w:rPr>
        <w:t>best</w:t>
      </w:r>
      <w:r w:rsidR="003D640C">
        <w:rPr>
          <w:lang w:eastAsia="en-NZ"/>
        </w:rPr>
        <w:t xml:space="preserve"> </w:t>
      </w:r>
      <w:r w:rsidRPr="00094317">
        <w:rPr>
          <w:lang w:eastAsia="en-NZ"/>
        </w:rPr>
        <w:t>interests.</w:t>
      </w:r>
      <w:r w:rsidR="00AC092A">
        <w:rPr>
          <w:rStyle w:val="FootnoteReference"/>
          <w:rFonts w:eastAsia="Times New Roman" w:cstheme="minorHAnsi"/>
          <w:lang w:eastAsia="en-NZ"/>
        </w:rPr>
        <w:footnoteReference w:id="58"/>
      </w:r>
    </w:p>
    <w:p w14:paraId="6E4FA070" w14:textId="1727C983" w:rsidR="00501068" w:rsidRDefault="00BC295E" w:rsidP="0002020B">
      <w:pPr>
        <w:rPr>
          <w:lang w:eastAsia="en-NZ"/>
        </w:rPr>
      </w:pPr>
      <w:r w:rsidRPr="00094317">
        <w:rPr>
          <w:lang w:eastAsia="en-NZ"/>
        </w:rPr>
        <w:t>These</w:t>
      </w:r>
      <w:r w:rsidR="003D640C">
        <w:rPr>
          <w:lang w:eastAsia="en-NZ"/>
        </w:rPr>
        <w:t xml:space="preserve"> </w:t>
      </w:r>
      <w:r w:rsidRPr="00094317">
        <w:rPr>
          <w:lang w:eastAsia="en-NZ"/>
        </w:rPr>
        <w:t>rights</w:t>
      </w:r>
      <w:r w:rsidR="003D640C">
        <w:rPr>
          <w:lang w:eastAsia="en-NZ"/>
        </w:rPr>
        <w:t xml:space="preserve"> </w:t>
      </w:r>
      <w:r w:rsidRPr="00094317">
        <w:rPr>
          <w:lang w:eastAsia="en-NZ"/>
        </w:rPr>
        <w:t>and</w:t>
      </w:r>
      <w:r w:rsidR="003D640C">
        <w:rPr>
          <w:lang w:eastAsia="en-NZ"/>
        </w:rPr>
        <w:t xml:space="preserve"> </w:t>
      </w:r>
      <w:r w:rsidRPr="00094317">
        <w:rPr>
          <w:lang w:eastAsia="en-NZ"/>
        </w:rPr>
        <w:t>standards</w:t>
      </w:r>
      <w:r w:rsidR="003D640C">
        <w:rPr>
          <w:lang w:eastAsia="en-NZ"/>
        </w:rPr>
        <w:t xml:space="preserve"> </w:t>
      </w:r>
      <w:r w:rsidRPr="00094317">
        <w:rPr>
          <w:lang w:eastAsia="en-NZ"/>
        </w:rPr>
        <w:t>are</w:t>
      </w:r>
      <w:r w:rsidR="003D640C">
        <w:rPr>
          <w:lang w:eastAsia="en-NZ"/>
        </w:rPr>
        <w:t xml:space="preserve"> </w:t>
      </w:r>
      <w:r w:rsidRPr="00094317">
        <w:rPr>
          <w:lang w:eastAsia="en-NZ"/>
        </w:rPr>
        <w:t>incorporated</w:t>
      </w:r>
      <w:r w:rsidR="003D640C">
        <w:rPr>
          <w:lang w:eastAsia="en-NZ"/>
        </w:rPr>
        <w:t xml:space="preserve"> </w:t>
      </w:r>
      <w:r w:rsidRPr="00094317">
        <w:rPr>
          <w:lang w:eastAsia="en-NZ"/>
        </w:rPr>
        <w:t>in</w:t>
      </w:r>
      <w:r w:rsidR="003D640C">
        <w:rPr>
          <w:lang w:eastAsia="en-NZ"/>
        </w:rPr>
        <w:t xml:space="preserve"> </w:t>
      </w:r>
      <w:r w:rsidR="00DA4F55">
        <w:rPr>
          <w:lang w:eastAsia="en-NZ"/>
        </w:rPr>
        <w:t>New</w:t>
      </w:r>
      <w:r w:rsidR="003D640C">
        <w:rPr>
          <w:lang w:eastAsia="en-NZ"/>
        </w:rPr>
        <w:t xml:space="preserve"> </w:t>
      </w:r>
      <w:r w:rsidR="00DA4F55">
        <w:rPr>
          <w:lang w:eastAsia="en-NZ"/>
        </w:rPr>
        <w:t>Zealand</w:t>
      </w:r>
      <w:r w:rsidR="003D640C">
        <w:rPr>
          <w:lang w:eastAsia="en-NZ"/>
        </w:rPr>
        <w:t xml:space="preserve"> </w:t>
      </w:r>
      <w:r w:rsidRPr="00094317">
        <w:rPr>
          <w:lang w:eastAsia="en-NZ"/>
        </w:rPr>
        <w:t>legislation</w:t>
      </w:r>
      <w:r w:rsidR="00DA4F55">
        <w:rPr>
          <w:lang w:eastAsia="en-NZ"/>
        </w:rPr>
        <w:t>,</w:t>
      </w:r>
      <w:r w:rsidR="003D640C">
        <w:rPr>
          <w:lang w:eastAsia="en-NZ"/>
        </w:rPr>
        <w:t xml:space="preserve"> </w:t>
      </w:r>
      <w:r w:rsidRPr="00094317">
        <w:rPr>
          <w:lang w:eastAsia="en-NZ"/>
        </w:rPr>
        <w:t>including</w:t>
      </w:r>
      <w:r w:rsidR="003D640C">
        <w:rPr>
          <w:lang w:eastAsia="en-NZ"/>
        </w:rPr>
        <w:t xml:space="preserve"> </w:t>
      </w:r>
      <w:r w:rsidRPr="00094317">
        <w:rPr>
          <w:lang w:eastAsia="en-NZ"/>
        </w:rPr>
        <w:t>in</w:t>
      </w:r>
      <w:r w:rsidR="003D640C">
        <w:rPr>
          <w:lang w:eastAsia="en-NZ"/>
        </w:rPr>
        <w:t xml:space="preserve"> </w:t>
      </w:r>
      <w:r w:rsidRPr="00094317">
        <w:rPr>
          <w:lang w:eastAsia="en-NZ"/>
        </w:rPr>
        <w:t>section</w:t>
      </w:r>
      <w:r w:rsidR="003D640C">
        <w:rPr>
          <w:lang w:eastAsia="en-NZ"/>
        </w:rPr>
        <w:t xml:space="preserve"> </w:t>
      </w:r>
      <w:r w:rsidRPr="00094317">
        <w:rPr>
          <w:lang w:eastAsia="en-NZ"/>
        </w:rPr>
        <w:t>4</w:t>
      </w:r>
      <w:r w:rsidR="003D640C">
        <w:rPr>
          <w:lang w:eastAsia="en-NZ"/>
        </w:rPr>
        <w:t xml:space="preserve"> </w:t>
      </w:r>
      <w:r w:rsidRPr="00094317">
        <w:rPr>
          <w:lang w:eastAsia="en-NZ"/>
        </w:rPr>
        <w:t>of</w:t>
      </w:r>
      <w:r w:rsidR="003D640C">
        <w:rPr>
          <w:lang w:eastAsia="en-NZ"/>
        </w:rPr>
        <w:t xml:space="preserve"> </w:t>
      </w:r>
      <w:r w:rsidRPr="00094317">
        <w:rPr>
          <w:lang w:eastAsia="en-NZ"/>
        </w:rPr>
        <w:t>the</w:t>
      </w:r>
      <w:r w:rsidR="003D640C">
        <w:rPr>
          <w:lang w:eastAsia="en-NZ"/>
        </w:rPr>
        <w:t xml:space="preserve"> </w:t>
      </w:r>
      <w:r w:rsidRPr="00094317">
        <w:rPr>
          <w:lang w:eastAsia="en-NZ"/>
        </w:rPr>
        <w:t>Care</w:t>
      </w:r>
      <w:r w:rsidR="003D640C">
        <w:rPr>
          <w:lang w:eastAsia="en-NZ"/>
        </w:rPr>
        <w:t xml:space="preserve"> </w:t>
      </w:r>
      <w:r w:rsidRPr="00094317">
        <w:rPr>
          <w:lang w:eastAsia="en-NZ"/>
        </w:rPr>
        <w:t>of</w:t>
      </w:r>
      <w:r w:rsidR="003D640C">
        <w:rPr>
          <w:lang w:eastAsia="en-NZ"/>
        </w:rPr>
        <w:t xml:space="preserve"> </w:t>
      </w:r>
      <w:r w:rsidRPr="00094317">
        <w:rPr>
          <w:lang w:eastAsia="en-NZ"/>
        </w:rPr>
        <w:t>Children</w:t>
      </w:r>
      <w:r w:rsidR="003D640C">
        <w:rPr>
          <w:lang w:eastAsia="en-NZ"/>
        </w:rPr>
        <w:t xml:space="preserve"> </w:t>
      </w:r>
      <w:r w:rsidRPr="00094317">
        <w:rPr>
          <w:lang w:eastAsia="en-NZ"/>
        </w:rPr>
        <w:t>Act</w:t>
      </w:r>
      <w:r w:rsidR="003D640C">
        <w:rPr>
          <w:lang w:eastAsia="en-NZ"/>
        </w:rPr>
        <w:t xml:space="preserve"> </w:t>
      </w:r>
      <w:r w:rsidRPr="00094317">
        <w:rPr>
          <w:lang w:eastAsia="en-NZ"/>
        </w:rPr>
        <w:t>(COCA)</w:t>
      </w:r>
      <w:r w:rsidR="008E6A08">
        <w:rPr>
          <w:lang w:eastAsia="en-NZ"/>
        </w:rPr>
        <w:t>,</w:t>
      </w:r>
      <w:r w:rsidR="003D640C">
        <w:rPr>
          <w:lang w:eastAsia="en-NZ"/>
        </w:rPr>
        <w:t xml:space="preserve"> </w:t>
      </w:r>
      <w:r w:rsidRPr="00094317">
        <w:rPr>
          <w:lang w:eastAsia="en-NZ"/>
        </w:rPr>
        <w:t>which</w:t>
      </w:r>
      <w:r w:rsidR="003D640C">
        <w:rPr>
          <w:lang w:eastAsia="en-NZ"/>
        </w:rPr>
        <w:t xml:space="preserve"> </w:t>
      </w:r>
      <w:r w:rsidRPr="00094317">
        <w:rPr>
          <w:lang w:eastAsia="en-NZ"/>
        </w:rPr>
        <w:t>states</w:t>
      </w:r>
      <w:r w:rsidR="003D640C">
        <w:rPr>
          <w:lang w:eastAsia="en-NZ"/>
        </w:rPr>
        <w:t xml:space="preserve"> </w:t>
      </w:r>
      <w:r w:rsidRPr="00094317">
        <w:rPr>
          <w:lang w:eastAsia="en-NZ"/>
        </w:rPr>
        <w:t>that</w:t>
      </w:r>
      <w:r w:rsidR="003D640C">
        <w:rPr>
          <w:lang w:eastAsia="en-NZ"/>
        </w:rPr>
        <w:t xml:space="preserve"> </w:t>
      </w:r>
      <w:r w:rsidR="008E6A08">
        <w:rPr>
          <w:lang w:eastAsia="en-NZ"/>
        </w:rPr>
        <w:t>“</w:t>
      </w:r>
      <w:r w:rsidRPr="00094317">
        <w:rPr>
          <w:lang w:eastAsia="en-NZ"/>
        </w:rPr>
        <w:t>the</w:t>
      </w:r>
      <w:r w:rsidR="003D640C">
        <w:rPr>
          <w:lang w:eastAsia="en-NZ"/>
        </w:rPr>
        <w:t xml:space="preserve"> </w:t>
      </w:r>
      <w:r w:rsidRPr="00094317">
        <w:rPr>
          <w:lang w:eastAsia="en-NZ"/>
        </w:rPr>
        <w:t>welfare</w:t>
      </w:r>
      <w:r w:rsidR="003D640C">
        <w:rPr>
          <w:lang w:eastAsia="en-NZ"/>
        </w:rPr>
        <w:t xml:space="preserve"> </w:t>
      </w:r>
      <w:r w:rsidRPr="00094317">
        <w:rPr>
          <w:lang w:eastAsia="en-NZ"/>
        </w:rPr>
        <w:t>and</w:t>
      </w:r>
      <w:r w:rsidR="003D640C">
        <w:rPr>
          <w:lang w:eastAsia="en-NZ"/>
        </w:rPr>
        <w:t xml:space="preserve"> </w:t>
      </w:r>
      <w:r w:rsidRPr="00094317">
        <w:rPr>
          <w:lang w:eastAsia="en-NZ"/>
        </w:rPr>
        <w:t>best</w:t>
      </w:r>
      <w:r w:rsidR="003D640C">
        <w:rPr>
          <w:lang w:eastAsia="en-NZ"/>
        </w:rPr>
        <w:t xml:space="preserve"> </w:t>
      </w:r>
      <w:r w:rsidRPr="00094317">
        <w:rPr>
          <w:lang w:eastAsia="en-NZ"/>
        </w:rPr>
        <w:t>interests</w:t>
      </w:r>
      <w:r w:rsidR="003D640C">
        <w:rPr>
          <w:lang w:eastAsia="en-NZ"/>
        </w:rPr>
        <w:t xml:space="preserve"> </w:t>
      </w:r>
      <w:r w:rsidRPr="00094317">
        <w:rPr>
          <w:lang w:eastAsia="en-NZ"/>
        </w:rPr>
        <w:t>of</w:t>
      </w:r>
      <w:r w:rsidR="003D640C">
        <w:rPr>
          <w:lang w:eastAsia="en-NZ"/>
        </w:rPr>
        <w:t xml:space="preserve"> </w:t>
      </w:r>
      <w:r w:rsidRPr="00094317">
        <w:rPr>
          <w:lang w:eastAsia="en-NZ"/>
        </w:rPr>
        <w:t>a</w:t>
      </w:r>
      <w:r w:rsidR="003D640C">
        <w:rPr>
          <w:lang w:eastAsia="en-NZ"/>
        </w:rPr>
        <w:t xml:space="preserve"> </w:t>
      </w:r>
      <w:r w:rsidRPr="00094317">
        <w:rPr>
          <w:lang w:eastAsia="en-NZ"/>
        </w:rPr>
        <w:t>child</w:t>
      </w:r>
      <w:r w:rsidR="003D640C">
        <w:rPr>
          <w:lang w:eastAsia="en-NZ"/>
        </w:rPr>
        <w:t xml:space="preserve"> </w:t>
      </w:r>
      <w:r w:rsidRPr="00094317">
        <w:rPr>
          <w:lang w:eastAsia="en-NZ"/>
        </w:rPr>
        <w:t>in</w:t>
      </w:r>
      <w:r w:rsidR="003D640C">
        <w:rPr>
          <w:lang w:eastAsia="en-NZ"/>
        </w:rPr>
        <w:t xml:space="preserve"> </w:t>
      </w:r>
      <w:r w:rsidRPr="00094317">
        <w:rPr>
          <w:lang w:eastAsia="en-NZ"/>
        </w:rPr>
        <w:t>his</w:t>
      </w:r>
      <w:r w:rsidR="003D640C">
        <w:rPr>
          <w:lang w:eastAsia="en-NZ"/>
        </w:rPr>
        <w:t xml:space="preserve"> </w:t>
      </w:r>
      <w:r w:rsidRPr="00094317">
        <w:rPr>
          <w:lang w:eastAsia="en-NZ"/>
        </w:rPr>
        <w:t>or</w:t>
      </w:r>
      <w:r w:rsidR="003D640C">
        <w:rPr>
          <w:lang w:eastAsia="en-NZ"/>
        </w:rPr>
        <w:t xml:space="preserve"> </w:t>
      </w:r>
      <w:r w:rsidRPr="00094317">
        <w:rPr>
          <w:lang w:eastAsia="en-NZ"/>
        </w:rPr>
        <w:t>her</w:t>
      </w:r>
      <w:r w:rsidR="003D640C">
        <w:rPr>
          <w:lang w:eastAsia="en-NZ"/>
        </w:rPr>
        <w:t xml:space="preserve"> </w:t>
      </w:r>
      <w:r w:rsidRPr="00094317">
        <w:rPr>
          <w:lang w:eastAsia="en-NZ"/>
        </w:rPr>
        <w:t>particular</w:t>
      </w:r>
      <w:r w:rsidR="003D640C">
        <w:rPr>
          <w:lang w:eastAsia="en-NZ"/>
        </w:rPr>
        <w:t xml:space="preserve"> </w:t>
      </w:r>
      <w:r w:rsidRPr="00094317">
        <w:rPr>
          <w:lang w:eastAsia="en-NZ"/>
        </w:rPr>
        <w:t>circumstances</w:t>
      </w:r>
      <w:r w:rsidR="003D640C">
        <w:rPr>
          <w:lang w:eastAsia="en-NZ"/>
        </w:rPr>
        <w:t xml:space="preserve"> </w:t>
      </w:r>
      <w:r w:rsidRPr="00094317">
        <w:rPr>
          <w:lang w:eastAsia="en-NZ"/>
        </w:rPr>
        <w:t>must</w:t>
      </w:r>
      <w:r w:rsidR="003D640C">
        <w:rPr>
          <w:lang w:eastAsia="en-NZ"/>
        </w:rPr>
        <w:t xml:space="preserve"> </w:t>
      </w:r>
      <w:r w:rsidRPr="00094317">
        <w:rPr>
          <w:lang w:eastAsia="en-NZ"/>
        </w:rPr>
        <w:t>be</w:t>
      </w:r>
      <w:r w:rsidR="003D640C">
        <w:rPr>
          <w:lang w:eastAsia="en-NZ"/>
        </w:rPr>
        <w:t xml:space="preserve"> </w:t>
      </w:r>
      <w:r w:rsidRPr="00094317">
        <w:rPr>
          <w:lang w:eastAsia="en-NZ"/>
        </w:rPr>
        <w:t>the</w:t>
      </w:r>
      <w:r w:rsidR="003D640C">
        <w:rPr>
          <w:lang w:eastAsia="en-NZ"/>
        </w:rPr>
        <w:t xml:space="preserve"> </w:t>
      </w:r>
      <w:r w:rsidRPr="00094317">
        <w:rPr>
          <w:lang w:eastAsia="en-NZ"/>
        </w:rPr>
        <w:t>first</w:t>
      </w:r>
      <w:r w:rsidR="003D640C">
        <w:rPr>
          <w:lang w:eastAsia="en-NZ"/>
        </w:rPr>
        <w:t xml:space="preserve"> </w:t>
      </w:r>
      <w:r w:rsidRPr="00094317">
        <w:rPr>
          <w:lang w:eastAsia="en-NZ"/>
        </w:rPr>
        <w:t>and</w:t>
      </w:r>
      <w:r w:rsidR="003D640C">
        <w:rPr>
          <w:lang w:eastAsia="en-NZ"/>
        </w:rPr>
        <w:t xml:space="preserve"> </w:t>
      </w:r>
      <w:r w:rsidRPr="00094317">
        <w:rPr>
          <w:lang w:eastAsia="en-NZ"/>
        </w:rPr>
        <w:t>paramount</w:t>
      </w:r>
      <w:r w:rsidR="003D640C">
        <w:rPr>
          <w:lang w:eastAsia="en-NZ"/>
        </w:rPr>
        <w:t xml:space="preserve"> </w:t>
      </w:r>
      <w:r w:rsidRPr="00094317">
        <w:rPr>
          <w:lang w:eastAsia="en-NZ"/>
        </w:rPr>
        <w:t>consideration</w:t>
      </w:r>
      <w:r w:rsidR="008E6A08">
        <w:rPr>
          <w:lang w:eastAsia="en-NZ"/>
        </w:rPr>
        <w:t>”</w:t>
      </w:r>
      <w:r w:rsidRPr="00094317">
        <w:rPr>
          <w:lang w:eastAsia="en-NZ"/>
        </w:rPr>
        <w:t>.</w:t>
      </w:r>
      <w:r w:rsidR="003D640C">
        <w:rPr>
          <w:lang w:eastAsia="en-NZ"/>
        </w:rPr>
        <w:t xml:space="preserve"> </w:t>
      </w:r>
      <w:r w:rsidRPr="00094317">
        <w:rPr>
          <w:lang w:eastAsia="en-NZ"/>
        </w:rPr>
        <w:t>The</w:t>
      </w:r>
      <w:r w:rsidR="003D640C">
        <w:rPr>
          <w:lang w:eastAsia="en-NZ"/>
        </w:rPr>
        <w:t xml:space="preserve"> </w:t>
      </w:r>
      <w:r w:rsidRPr="00094317">
        <w:rPr>
          <w:lang w:eastAsia="en-NZ"/>
        </w:rPr>
        <w:t>Oranga</w:t>
      </w:r>
      <w:r w:rsidR="003D640C">
        <w:rPr>
          <w:lang w:eastAsia="en-NZ"/>
        </w:rPr>
        <w:t xml:space="preserve"> </w:t>
      </w:r>
      <w:r w:rsidRPr="00094317">
        <w:rPr>
          <w:lang w:eastAsia="en-NZ"/>
        </w:rPr>
        <w:t>Tamariki</w:t>
      </w:r>
      <w:r w:rsidR="003D640C">
        <w:rPr>
          <w:lang w:eastAsia="en-NZ"/>
        </w:rPr>
        <w:t xml:space="preserve"> </w:t>
      </w:r>
      <w:r w:rsidRPr="00094317">
        <w:rPr>
          <w:lang w:eastAsia="en-NZ"/>
        </w:rPr>
        <w:t>Act</w:t>
      </w:r>
      <w:r w:rsidR="003D640C">
        <w:rPr>
          <w:lang w:eastAsia="en-NZ"/>
        </w:rPr>
        <w:t xml:space="preserve"> </w:t>
      </w:r>
      <w:r w:rsidRPr="00094317">
        <w:rPr>
          <w:lang w:eastAsia="en-NZ"/>
        </w:rPr>
        <w:t>1989</w:t>
      </w:r>
      <w:r w:rsidR="003D640C">
        <w:rPr>
          <w:lang w:eastAsia="en-NZ"/>
        </w:rPr>
        <w:t xml:space="preserve"> </w:t>
      </w:r>
      <w:r w:rsidRPr="00094317">
        <w:rPr>
          <w:lang w:eastAsia="en-NZ"/>
        </w:rPr>
        <w:t>also</w:t>
      </w:r>
      <w:r w:rsidR="003D640C">
        <w:rPr>
          <w:lang w:eastAsia="en-NZ"/>
        </w:rPr>
        <w:t xml:space="preserve"> </w:t>
      </w:r>
      <w:r w:rsidRPr="00094317">
        <w:rPr>
          <w:lang w:eastAsia="en-NZ"/>
        </w:rPr>
        <w:t>recognises</w:t>
      </w:r>
      <w:r w:rsidR="003D640C">
        <w:rPr>
          <w:lang w:eastAsia="en-NZ"/>
        </w:rPr>
        <w:t xml:space="preserve"> </w:t>
      </w:r>
      <w:r w:rsidRPr="00094317">
        <w:rPr>
          <w:lang w:eastAsia="en-NZ"/>
        </w:rPr>
        <w:t>that</w:t>
      </w:r>
      <w:r w:rsidR="003D640C">
        <w:rPr>
          <w:lang w:eastAsia="en-NZ"/>
        </w:rPr>
        <w:t xml:space="preserve"> </w:t>
      </w:r>
      <w:r w:rsidRPr="00094317">
        <w:rPr>
          <w:lang w:eastAsia="en-NZ"/>
        </w:rPr>
        <w:t>upholding</w:t>
      </w:r>
      <w:r w:rsidR="003D640C">
        <w:rPr>
          <w:lang w:eastAsia="en-NZ"/>
        </w:rPr>
        <w:t xml:space="preserve"> </w:t>
      </w:r>
      <w:r w:rsidRPr="00094317">
        <w:rPr>
          <w:lang w:eastAsia="en-NZ"/>
        </w:rPr>
        <w:t>the</w:t>
      </w:r>
      <w:r w:rsidR="003D640C">
        <w:rPr>
          <w:lang w:eastAsia="en-NZ"/>
        </w:rPr>
        <w:t xml:space="preserve"> </w:t>
      </w:r>
      <w:r w:rsidRPr="00094317">
        <w:rPr>
          <w:lang w:eastAsia="en-NZ"/>
        </w:rPr>
        <w:t>wellbeing</w:t>
      </w:r>
      <w:r w:rsidR="003D640C">
        <w:rPr>
          <w:lang w:eastAsia="en-NZ"/>
        </w:rPr>
        <w:t xml:space="preserve"> </w:t>
      </w:r>
      <w:r w:rsidRPr="00094317">
        <w:rPr>
          <w:lang w:eastAsia="en-NZ"/>
        </w:rPr>
        <w:t>of</w:t>
      </w:r>
      <w:r w:rsidR="003D640C">
        <w:rPr>
          <w:lang w:eastAsia="en-NZ"/>
        </w:rPr>
        <w:t xml:space="preserve"> </w:t>
      </w:r>
      <w:r w:rsidRPr="00094317">
        <w:rPr>
          <w:lang w:eastAsia="en-NZ"/>
        </w:rPr>
        <w:t>a</w:t>
      </w:r>
      <w:r w:rsidR="003D640C">
        <w:rPr>
          <w:lang w:eastAsia="en-NZ"/>
        </w:rPr>
        <w:t xml:space="preserve"> </w:t>
      </w:r>
      <w:r w:rsidRPr="00094317">
        <w:rPr>
          <w:lang w:eastAsia="en-NZ"/>
        </w:rPr>
        <w:t>child</w:t>
      </w:r>
      <w:r w:rsidR="003D640C">
        <w:rPr>
          <w:lang w:eastAsia="en-NZ"/>
        </w:rPr>
        <w:t xml:space="preserve"> </w:t>
      </w:r>
      <w:r w:rsidRPr="00094317">
        <w:rPr>
          <w:lang w:eastAsia="en-NZ"/>
        </w:rPr>
        <w:t>in</w:t>
      </w:r>
      <w:r w:rsidR="003D640C">
        <w:rPr>
          <w:lang w:eastAsia="en-NZ"/>
        </w:rPr>
        <w:t xml:space="preserve"> </w:t>
      </w:r>
      <w:r w:rsidRPr="00094317">
        <w:rPr>
          <w:lang w:eastAsia="en-NZ"/>
        </w:rPr>
        <w:t>accordance</w:t>
      </w:r>
      <w:r w:rsidR="003D640C">
        <w:rPr>
          <w:lang w:eastAsia="en-NZ"/>
        </w:rPr>
        <w:t xml:space="preserve"> </w:t>
      </w:r>
      <w:r w:rsidRPr="00094317">
        <w:rPr>
          <w:lang w:eastAsia="en-NZ"/>
        </w:rPr>
        <w:t>with</w:t>
      </w:r>
      <w:r w:rsidR="003D640C">
        <w:rPr>
          <w:lang w:eastAsia="en-NZ"/>
        </w:rPr>
        <w:t xml:space="preserve"> </w:t>
      </w:r>
      <w:r w:rsidRPr="00094317">
        <w:rPr>
          <w:lang w:eastAsia="en-NZ"/>
        </w:rPr>
        <w:t>the</w:t>
      </w:r>
      <w:r w:rsidR="003D640C">
        <w:rPr>
          <w:lang w:eastAsia="en-NZ"/>
        </w:rPr>
        <w:t xml:space="preserve"> </w:t>
      </w:r>
      <w:r w:rsidRPr="00094317">
        <w:rPr>
          <w:lang w:eastAsia="en-NZ"/>
        </w:rPr>
        <w:t>CRC</w:t>
      </w:r>
      <w:r w:rsidR="003D640C">
        <w:rPr>
          <w:lang w:eastAsia="en-NZ"/>
        </w:rPr>
        <w:t xml:space="preserve"> </w:t>
      </w:r>
      <w:r w:rsidRPr="00094317">
        <w:rPr>
          <w:lang w:eastAsia="en-NZ"/>
        </w:rPr>
        <w:t>requires</w:t>
      </w:r>
      <w:r w:rsidR="003D640C">
        <w:rPr>
          <w:lang w:eastAsia="en-NZ"/>
        </w:rPr>
        <w:t xml:space="preserve"> </w:t>
      </w:r>
      <w:r w:rsidRPr="00094317">
        <w:rPr>
          <w:lang w:eastAsia="en-NZ"/>
        </w:rPr>
        <w:t>a</w:t>
      </w:r>
      <w:r w:rsidR="003D640C">
        <w:rPr>
          <w:lang w:eastAsia="en-NZ"/>
        </w:rPr>
        <w:t xml:space="preserve"> </w:t>
      </w:r>
      <w:r w:rsidRPr="00094317">
        <w:rPr>
          <w:lang w:eastAsia="en-NZ"/>
        </w:rPr>
        <w:t>“holistic</w:t>
      </w:r>
      <w:r w:rsidR="003D640C">
        <w:rPr>
          <w:lang w:eastAsia="en-NZ"/>
        </w:rPr>
        <w:t xml:space="preserve"> </w:t>
      </w:r>
      <w:r w:rsidRPr="00094317">
        <w:rPr>
          <w:lang w:eastAsia="en-NZ"/>
        </w:rPr>
        <w:t>approach”</w:t>
      </w:r>
      <w:r w:rsidR="003D640C">
        <w:rPr>
          <w:lang w:eastAsia="en-NZ"/>
        </w:rPr>
        <w:t xml:space="preserve"> </w:t>
      </w:r>
      <w:r w:rsidRPr="00094317">
        <w:rPr>
          <w:lang w:eastAsia="en-NZ"/>
        </w:rPr>
        <w:t>that</w:t>
      </w:r>
      <w:r w:rsidR="003D640C">
        <w:rPr>
          <w:lang w:eastAsia="en-NZ"/>
        </w:rPr>
        <w:t xml:space="preserve"> </w:t>
      </w:r>
      <w:r w:rsidRPr="00094317">
        <w:rPr>
          <w:lang w:eastAsia="en-NZ"/>
        </w:rPr>
        <w:t>“sees</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or</w:t>
      </w:r>
      <w:r w:rsidR="003D640C">
        <w:rPr>
          <w:lang w:eastAsia="en-NZ"/>
        </w:rPr>
        <w:t xml:space="preserve"> </w:t>
      </w:r>
      <w:r w:rsidRPr="00094317">
        <w:rPr>
          <w:lang w:eastAsia="en-NZ"/>
        </w:rPr>
        <w:t>young</w:t>
      </w:r>
      <w:r w:rsidR="003D640C">
        <w:rPr>
          <w:lang w:eastAsia="en-NZ"/>
        </w:rPr>
        <w:t xml:space="preserve"> </w:t>
      </w:r>
      <w:r w:rsidRPr="00094317">
        <w:rPr>
          <w:lang w:eastAsia="en-NZ"/>
        </w:rPr>
        <w:t>person</w:t>
      </w:r>
      <w:r w:rsidR="003D640C">
        <w:rPr>
          <w:lang w:eastAsia="en-NZ"/>
        </w:rPr>
        <w:t xml:space="preserve"> </w:t>
      </w:r>
      <w:r w:rsidRPr="00094317">
        <w:rPr>
          <w:lang w:eastAsia="en-NZ"/>
        </w:rPr>
        <w:t>as</w:t>
      </w:r>
      <w:r w:rsidR="003D640C">
        <w:rPr>
          <w:lang w:eastAsia="en-NZ"/>
        </w:rPr>
        <w:t xml:space="preserve"> </w:t>
      </w:r>
      <w:r w:rsidRPr="00094317">
        <w:rPr>
          <w:lang w:eastAsia="en-NZ"/>
        </w:rPr>
        <w:t>a</w:t>
      </w:r>
      <w:r w:rsidR="003D640C">
        <w:rPr>
          <w:lang w:eastAsia="en-NZ"/>
        </w:rPr>
        <w:t xml:space="preserve"> </w:t>
      </w:r>
      <w:r w:rsidRPr="00094317">
        <w:rPr>
          <w:lang w:eastAsia="en-NZ"/>
        </w:rPr>
        <w:t>whole</w:t>
      </w:r>
      <w:r w:rsidR="003D640C">
        <w:rPr>
          <w:lang w:eastAsia="en-NZ"/>
        </w:rPr>
        <w:t xml:space="preserve"> </w:t>
      </w:r>
      <w:r w:rsidRPr="00094317">
        <w:rPr>
          <w:lang w:eastAsia="en-NZ"/>
        </w:rPr>
        <w:t>person</w:t>
      </w:r>
      <w:r w:rsidR="003D640C">
        <w:rPr>
          <w:lang w:eastAsia="en-NZ"/>
        </w:rPr>
        <w:t xml:space="preserve"> </w:t>
      </w:r>
      <w:r w:rsidRPr="00094317">
        <w:rPr>
          <w:lang w:eastAsia="en-NZ"/>
        </w:rPr>
        <w:t>which</w:t>
      </w:r>
      <w:r w:rsidR="003D640C">
        <w:rPr>
          <w:lang w:eastAsia="en-NZ"/>
        </w:rPr>
        <w:t xml:space="preserve"> </w:t>
      </w:r>
      <w:r w:rsidRPr="00094317">
        <w:rPr>
          <w:lang w:eastAsia="en-NZ"/>
        </w:rPr>
        <w:t>includes,</w:t>
      </w:r>
      <w:r w:rsidR="003D640C">
        <w:rPr>
          <w:lang w:eastAsia="en-NZ"/>
        </w:rPr>
        <w:t xml:space="preserve"> </w:t>
      </w:r>
      <w:r w:rsidRPr="00094317">
        <w:rPr>
          <w:lang w:eastAsia="en-NZ"/>
        </w:rPr>
        <w:t>but</w:t>
      </w:r>
      <w:r w:rsidR="003D640C">
        <w:rPr>
          <w:lang w:eastAsia="en-NZ"/>
        </w:rPr>
        <w:t xml:space="preserve"> </w:t>
      </w:r>
      <w:r w:rsidRPr="00094317">
        <w:rPr>
          <w:lang w:eastAsia="en-NZ"/>
        </w:rPr>
        <w:t>is</w:t>
      </w:r>
      <w:r w:rsidR="003D640C">
        <w:rPr>
          <w:lang w:eastAsia="en-NZ"/>
        </w:rPr>
        <w:t xml:space="preserve"> </w:t>
      </w:r>
      <w:r w:rsidRPr="00094317">
        <w:rPr>
          <w:lang w:eastAsia="en-NZ"/>
        </w:rPr>
        <w:t>not</w:t>
      </w:r>
      <w:r w:rsidR="003D640C">
        <w:rPr>
          <w:lang w:eastAsia="en-NZ"/>
        </w:rPr>
        <w:t xml:space="preserve"> </w:t>
      </w:r>
      <w:r w:rsidRPr="00094317">
        <w:rPr>
          <w:lang w:eastAsia="en-NZ"/>
        </w:rPr>
        <w:t>limited</w:t>
      </w:r>
      <w:r w:rsidR="003D640C">
        <w:rPr>
          <w:lang w:eastAsia="en-NZ"/>
        </w:rPr>
        <w:t xml:space="preserve"> </w:t>
      </w:r>
      <w:r w:rsidRPr="00094317">
        <w:rPr>
          <w:lang w:eastAsia="en-NZ"/>
        </w:rPr>
        <w:t>to,</w:t>
      </w:r>
      <w:r w:rsidR="003D640C">
        <w:rPr>
          <w:lang w:eastAsia="en-NZ"/>
        </w:rPr>
        <w:t xml:space="preserve"> </w:t>
      </w:r>
      <w:r w:rsidRPr="00094317">
        <w:rPr>
          <w:lang w:eastAsia="en-NZ"/>
        </w:rPr>
        <w:t>the</w:t>
      </w:r>
      <w:r w:rsidR="003D640C">
        <w:rPr>
          <w:lang w:eastAsia="en-NZ"/>
        </w:rPr>
        <w:t xml:space="preserve"> </w:t>
      </w:r>
      <w:r w:rsidRPr="00094317">
        <w:rPr>
          <w:lang w:eastAsia="en-NZ"/>
        </w:rPr>
        <w:t>child’s</w:t>
      </w:r>
      <w:r w:rsidR="003D640C">
        <w:rPr>
          <w:lang w:eastAsia="en-NZ"/>
        </w:rPr>
        <w:t xml:space="preserve"> </w:t>
      </w:r>
      <w:r w:rsidRPr="00094317">
        <w:rPr>
          <w:lang w:eastAsia="en-NZ"/>
        </w:rPr>
        <w:t>or</w:t>
      </w:r>
      <w:r w:rsidR="003D640C">
        <w:rPr>
          <w:lang w:eastAsia="en-NZ"/>
        </w:rPr>
        <w:t xml:space="preserve"> </w:t>
      </w:r>
      <w:r w:rsidRPr="00094317">
        <w:rPr>
          <w:lang w:eastAsia="en-NZ"/>
        </w:rPr>
        <w:t>young</w:t>
      </w:r>
      <w:r w:rsidR="003D640C">
        <w:rPr>
          <w:lang w:eastAsia="en-NZ"/>
        </w:rPr>
        <w:t xml:space="preserve"> </w:t>
      </w:r>
      <w:r w:rsidRPr="00094317">
        <w:rPr>
          <w:lang w:eastAsia="en-NZ"/>
        </w:rPr>
        <w:t>person’s</w:t>
      </w:r>
      <w:r w:rsidR="000F6C55">
        <w:rPr>
          <w:lang w:eastAsia="en-NZ"/>
        </w:rPr>
        <w:t xml:space="preserve"> </w:t>
      </w:r>
      <w:r w:rsidRPr="00094317">
        <w:rPr>
          <w:lang w:eastAsia="en-NZ"/>
        </w:rPr>
        <w:t>…</w:t>
      </w:r>
      <w:r w:rsidR="003D640C">
        <w:rPr>
          <w:lang w:eastAsia="en-NZ"/>
        </w:rPr>
        <w:t xml:space="preserve"> </w:t>
      </w:r>
      <w:r w:rsidRPr="00094317">
        <w:rPr>
          <w:lang w:eastAsia="en-NZ"/>
        </w:rPr>
        <w:t>gender</w:t>
      </w:r>
      <w:r w:rsidR="003D640C">
        <w:rPr>
          <w:lang w:eastAsia="en-NZ"/>
        </w:rPr>
        <w:t xml:space="preserve"> </w:t>
      </w:r>
      <w:r w:rsidRPr="00094317">
        <w:rPr>
          <w:lang w:eastAsia="en-NZ"/>
        </w:rPr>
        <w:t>identity;</w:t>
      </w:r>
      <w:r w:rsidR="003D640C">
        <w:rPr>
          <w:lang w:eastAsia="en-NZ"/>
        </w:rPr>
        <w:t xml:space="preserve"> </w:t>
      </w:r>
      <w:r w:rsidRPr="00094317">
        <w:rPr>
          <w:lang w:eastAsia="en-NZ"/>
        </w:rPr>
        <w:t>and</w:t>
      </w:r>
      <w:r w:rsidR="003D640C">
        <w:rPr>
          <w:lang w:eastAsia="en-NZ"/>
        </w:rPr>
        <w:t xml:space="preserve"> </w:t>
      </w:r>
      <w:r w:rsidRPr="00094317">
        <w:rPr>
          <w:lang w:eastAsia="en-NZ"/>
        </w:rPr>
        <w:t>sexual</w:t>
      </w:r>
      <w:r w:rsidR="003D640C">
        <w:rPr>
          <w:lang w:eastAsia="en-NZ"/>
        </w:rPr>
        <w:t xml:space="preserve"> </w:t>
      </w:r>
      <w:r w:rsidRPr="00094317">
        <w:rPr>
          <w:lang w:eastAsia="en-NZ"/>
        </w:rPr>
        <w:t>orientation</w:t>
      </w:r>
      <w:r w:rsidR="000F6C55">
        <w:rPr>
          <w:lang w:eastAsia="en-NZ"/>
        </w:rPr>
        <w:t>”</w:t>
      </w:r>
      <w:r w:rsidRPr="00094317">
        <w:rPr>
          <w:lang w:eastAsia="en-NZ"/>
        </w:rPr>
        <w:t>.</w:t>
      </w:r>
    </w:p>
    <w:p w14:paraId="54E09E5F" w14:textId="7929C512" w:rsidR="00BC295E" w:rsidRPr="00094317" w:rsidRDefault="001C3549" w:rsidP="0002020B">
      <w:pPr>
        <w:rPr>
          <w:lang w:eastAsia="en-NZ"/>
        </w:rPr>
      </w:pPr>
      <w:r w:rsidRPr="00094317">
        <w:rPr>
          <w:lang w:eastAsia="en-NZ"/>
        </w:rPr>
        <w:t>Children</w:t>
      </w:r>
      <w:r w:rsidR="003D640C">
        <w:rPr>
          <w:lang w:eastAsia="en-NZ"/>
        </w:rPr>
        <w:t xml:space="preserve"> </w:t>
      </w:r>
      <w:r w:rsidRPr="00094317">
        <w:rPr>
          <w:lang w:eastAsia="en-NZ"/>
        </w:rPr>
        <w:t>can</w:t>
      </w:r>
      <w:r w:rsidR="003D640C">
        <w:rPr>
          <w:lang w:eastAsia="en-NZ"/>
        </w:rPr>
        <w:t xml:space="preserve"> </w:t>
      </w:r>
      <w:r w:rsidRPr="00094317">
        <w:rPr>
          <w:lang w:eastAsia="en-NZ"/>
        </w:rPr>
        <w:t>be</w:t>
      </w:r>
      <w:r w:rsidR="003D640C">
        <w:rPr>
          <w:lang w:eastAsia="en-NZ"/>
        </w:rPr>
        <w:t xml:space="preserve"> </w:t>
      </w:r>
      <w:r w:rsidRPr="00094317">
        <w:rPr>
          <w:lang w:eastAsia="en-NZ"/>
        </w:rPr>
        <w:t>especially</w:t>
      </w:r>
      <w:r w:rsidR="003D640C">
        <w:rPr>
          <w:lang w:eastAsia="en-NZ"/>
        </w:rPr>
        <w:t xml:space="preserve"> </w:t>
      </w:r>
      <w:r w:rsidRPr="00094317">
        <w:rPr>
          <w:lang w:eastAsia="en-NZ"/>
        </w:rPr>
        <w:t>vulnerable</w:t>
      </w:r>
      <w:r w:rsidR="003D640C">
        <w:rPr>
          <w:lang w:eastAsia="en-NZ"/>
        </w:rPr>
        <w:t xml:space="preserve"> </w:t>
      </w:r>
      <w:r w:rsidRPr="00094317">
        <w:rPr>
          <w:lang w:eastAsia="en-NZ"/>
        </w:rPr>
        <w:t>to</w:t>
      </w:r>
      <w:r w:rsidR="003D640C">
        <w:rPr>
          <w:lang w:eastAsia="en-NZ"/>
        </w:rPr>
        <w:t xml:space="preserve"> </w:t>
      </w:r>
      <w:r w:rsidRPr="00094317">
        <w:rPr>
          <w:lang w:eastAsia="en-NZ"/>
        </w:rPr>
        <w:t>conversion</w:t>
      </w:r>
      <w:r w:rsidR="003D640C">
        <w:rPr>
          <w:lang w:eastAsia="en-NZ"/>
        </w:rPr>
        <w:t xml:space="preserve"> </w:t>
      </w:r>
      <w:r w:rsidRPr="00094317">
        <w:rPr>
          <w:lang w:eastAsia="en-NZ"/>
        </w:rPr>
        <w:t>practices</w:t>
      </w:r>
      <w:r w:rsidR="003D640C">
        <w:rPr>
          <w:lang w:eastAsia="en-NZ"/>
        </w:rPr>
        <w:t xml:space="preserve"> </w:t>
      </w:r>
      <w:r w:rsidRPr="00094317">
        <w:rPr>
          <w:lang w:eastAsia="en-NZ"/>
        </w:rPr>
        <w:t>and</w:t>
      </w:r>
      <w:r w:rsidR="003D640C">
        <w:rPr>
          <w:lang w:eastAsia="en-NZ"/>
        </w:rPr>
        <w:t xml:space="preserve"> </w:t>
      </w:r>
      <w:r w:rsidRPr="00094317">
        <w:rPr>
          <w:lang w:eastAsia="en-NZ"/>
        </w:rPr>
        <w:t>their</w:t>
      </w:r>
      <w:r w:rsidR="003D640C">
        <w:rPr>
          <w:lang w:eastAsia="en-NZ"/>
        </w:rPr>
        <w:t xml:space="preserve"> </w:t>
      </w:r>
      <w:r w:rsidRPr="00094317">
        <w:rPr>
          <w:lang w:eastAsia="en-NZ"/>
        </w:rPr>
        <w:t>harms.</w:t>
      </w:r>
      <w:r w:rsidR="003D640C">
        <w:rPr>
          <w:lang w:eastAsia="en-NZ"/>
        </w:rPr>
        <w:t xml:space="preserve"> </w:t>
      </w:r>
      <w:r w:rsidRPr="22AA7641">
        <w:rPr>
          <w:lang w:eastAsia="en-NZ"/>
        </w:rPr>
        <w:t>Proactive</w:t>
      </w:r>
      <w:r w:rsidR="003D640C">
        <w:rPr>
          <w:lang w:eastAsia="en-NZ"/>
        </w:rPr>
        <w:t xml:space="preserve"> </w:t>
      </w:r>
      <w:r w:rsidRPr="22AA7641">
        <w:rPr>
          <w:lang w:eastAsia="en-NZ"/>
        </w:rPr>
        <w:t>protection</w:t>
      </w:r>
      <w:r w:rsidR="003D640C">
        <w:rPr>
          <w:lang w:eastAsia="en-NZ"/>
        </w:rPr>
        <w:t xml:space="preserve"> </w:t>
      </w:r>
      <w:r w:rsidRPr="22AA7641">
        <w:rPr>
          <w:lang w:eastAsia="en-NZ"/>
        </w:rPr>
        <w:t>of</w:t>
      </w:r>
      <w:r w:rsidR="003D640C">
        <w:rPr>
          <w:lang w:eastAsia="en-NZ"/>
        </w:rPr>
        <w:t xml:space="preserve"> </w:t>
      </w:r>
      <w:r w:rsidRPr="22AA7641">
        <w:rPr>
          <w:lang w:eastAsia="en-NZ"/>
        </w:rPr>
        <w:t>their</w:t>
      </w:r>
      <w:r w:rsidR="003D640C">
        <w:rPr>
          <w:lang w:eastAsia="en-NZ"/>
        </w:rPr>
        <w:t xml:space="preserve"> </w:t>
      </w:r>
      <w:r w:rsidRPr="22AA7641">
        <w:rPr>
          <w:lang w:eastAsia="en-NZ"/>
        </w:rPr>
        <w:t>rights</w:t>
      </w:r>
      <w:r w:rsidR="003D640C">
        <w:rPr>
          <w:lang w:eastAsia="en-NZ"/>
        </w:rPr>
        <w:t xml:space="preserve"> </w:t>
      </w:r>
      <w:r w:rsidRPr="22AA7641">
        <w:rPr>
          <w:lang w:eastAsia="en-NZ"/>
        </w:rPr>
        <w:t>require</w:t>
      </w:r>
      <w:r w:rsidR="00B925EA" w:rsidRPr="22AA7641">
        <w:rPr>
          <w:lang w:eastAsia="en-NZ"/>
        </w:rPr>
        <w:t>s</w:t>
      </w:r>
      <w:r w:rsidR="003D640C">
        <w:rPr>
          <w:lang w:eastAsia="en-NZ"/>
        </w:rPr>
        <w:t xml:space="preserve"> </w:t>
      </w:r>
      <w:r w:rsidRPr="22AA7641">
        <w:rPr>
          <w:lang w:eastAsia="en-NZ"/>
        </w:rPr>
        <w:t>additional</w:t>
      </w:r>
      <w:r w:rsidR="003D640C">
        <w:rPr>
          <w:lang w:eastAsia="en-NZ"/>
        </w:rPr>
        <w:t xml:space="preserve"> </w:t>
      </w:r>
      <w:r w:rsidR="000F6C55">
        <w:rPr>
          <w:lang w:eastAsia="en-NZ"/>
        </w:rPr>
        <w:t>g</w:t>
      </w:r>
      <w:r w:rsidRPr="22AA7641">
        <w:rPr>
          <w:lang w:eastAsia="en-NZ"/>
        </w:rPr>
        <w:t>overnment</w:t>
      </w:r>
      <w:r w:rsidR="003D640C">
        <w:rPr>
          <w:lang w:eastAsia="en-NZ"/>
        </w:rPr>
        <w:t xml:space="preserve"> </w:t>
      </w:r>
      <w:r w:rsidRPr="22AA7641">
        <w:rPr>
          <w:lang w:eastAsia="en-NZ"/>
        </w:rPr>
        <w:t>intervention.</w:t>
      </w:r>
      <w:r w:rsidR="003D640C">
        <w:rPr>
          <w:lang w:eastAsia="en-NZ"/>
        </w:rPr>
        <w:t xml:space="preserve"> </w:t>
      </w:r>
      <w:r w:rsidRPr="00094317">
        <w:rPr>
          <w:lang w:eastAsia="en-NZ"/>
        </w:rPr>
        <w:t>The</w:t>
      </w:r>
      <w:r w:rsidR="003D640C">
        <w:rPr>
          <w:lang w:eastAsia="en-NZ"/>
        </w:rPr>
        <w:t xml:space="preserve"> </w:t>
      </w:r>
      <w:r w:rsidRPr="00094317">
        <w:rPr>
          <w:lang w:eastAsia="en-NZ"/>
        </w:rPr>
        <w:t>best</w:t>
      </w:r>
      <w:r w:rsidR="003D640C">
        <w:rPr>
          <w:lang w:eastAsia="en-NZ"/>
        </w:rPr>
        <w:t xml:space="preserve"> </w:t>
      </w:r>
      <w:r w:rsidRPr="00094317">
        <w:rPr>
          <w:lang w:eastAsia="en-NZ"/>
        </w:rPr>
        <w:t>interests</w:t>
      </w:r>
      <w:r w:rsidR="003D640C">
        <w:rPr>
          <w:lang w:eastAsia="en-NZ"/>
        </w:rPr>
        <w:t xml:space="preserve"> </w:t>
      </w:r>
      <w:r w:rsidRPr="00094317">
        <w:rPr>
          <w:lang w:eastAsia="en-NZ"/>
        </w:rPr>
        <w:t>of</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must</w:t>
      </w:r>
      <w:r w:rsidR="003D640C">
        <w:rPr>
          <w:lang w:eastAsia="en-NZ"/>
        </w:rPr>
        <w:t xml:space="preserve"> </w:t>
      </w:r>
      <w:r w:rsidRPr="00094317">
        <w:rPr>
          <w:lang w:eastAsia="en-NZ"/>
        </w:rPr>
        <w:t>allow</w:t>
      </w:r>
      <w:r w:rsidR="003D640C">
        <w:rPr>
          <w:lang w:eastAsia="en-NZ"/>
        </w:rPr>
        <w:t xml:space="preserve"> </w:t>
      </w:r>
      <w:r w:rsidRPr="00094317">
        <w:rPr>
          <w:lang w:eastAsia="en-NZ"/>
        </w:rPr>
        <w:t>for</w:t>
      </w:r>
      <w:r w:rsidR="003D640C">
        <w:rPr>
          <w:lang w:eastAsia="en-NZ"/>
        </w:rPr>
        <w:t xml:space="preserve"> </w:t>
      </w:r>
      <w:r w:rsidRPr="00094317">
        <w:rPr>
          <w:lang w:eastAsia="en-NZ"/>
        </w:rPr>
        <w:t>their</w:t>
      </w:r>
      <w:r w:rsidR="003D640C">
        <w:rPr>
          <w:lang w:eastAsia="en-NZ"/>
        </w:rPr>
        <w:t xml:space="preserve"> </w:t>
      </w:r>
      <w:r w:rsidRPr="00094317">
        <w:rPr>
          <w:lang w:eastAsia="en-NZ"/>
        </w:rPr>
        <w:t>freedom</w:t>
      </w:r>
      <w:r w:rsidR="003D640C">
        <w:rPr>
          <w:lang w:eastAsia="en-NZ"/>
        </w:rPr>
        <w:t xml:space="preserve"> </w:t>
      </w:r>
      <w:r w:rsidRPr="00094317">
        <w:rPr>
          <w:lang w:eastAsia="en-NZ"/>
        </w:rPr>
        <w:t>of</w:t>
      </w:r>
      <w:r w:rsidR="003D640C">
        <w:rPr>
          <w:lang w:eastAsia="en-NZ"/>
        </w:rPr>
        <w:t xml:space="preserve"> </w:t>
      </w:r>
      <w:r w:rsidRPr="00094317">
        <w:rPr>
          <w:lang w:eastAsia="en-NZ"/>
        </w:rPr>
        <w:t>expression</w:t>
      </w:r>
      <w:r w:rsidR="003D640C">
        <w:rPr>
          <w:lang w:eastAsia="en-NZ"/>
        </w:rPr>
        <w:t xml:space="preserve"> </w:t>
      </w:r>
      <w:r w:rsidRPr="00094317">
        <w:rPr>
          <w:lang w:eastAsia="en-NZ"/>
        </w:rPr>
        <w:t>and</w:t>
      </w:r>
      <w:r w:rsidR="003D640C">
        <w:rPr>
          <w:lang w:eastAsia="en-NZ"/>
        </w:rPr>
        <w:t xml:space="preserve"> </w:t>
      </w:r>
      <w:r w:rsidRPr="00094317">
        <w:rPr>
          <w:lang w:eastAsia="en-NZ"/>
        </w:rPr>
        <w:t>respect</w:t>
      </w:r>
      <w:r w:rsidR="003D640C">
        <w:rPr>
          <w:lang w:eastAsia="en-NZ"/>
        </w:rPr>
        <w:t xml:space="preserve"> </w:t>
      </w:r>
      <w:r w:rsidRPr="00094317">
        <w:rPr>
          <w:lang w:eastAsia="en-NZ"/>
        </w:rPr>
        <w:t>for</w:t>
      </w:r>
      <w:r w:rsidR="003D640C">
        <w:rPr>
          <w:lang w:eastAsia="en-NZ"/>
        </w:rPr>
        <w:t xml:space="preserve"> </w:t>
      </w:r>
      <w:r w:rsidRPr="00094317">
        <w:rPr>
          <w:lang w:eastAsia="en-NZ"/>
        </w:rPr>
        <w:t>their</w:t>
      </w:r>
      <w:r w:rsidR="003D640C">
        <w:rPr>
          <w:lang w:eastAsia="en-NZ"/>
        </w:rPr>
        <w:t xml:space="preserve"> </w:t>
      </w:r>
      <w:r w:rsidRPr="00094317">
        <w:rPr>
          <w:lang w:eastAsia="en-NZ"/>
        </w:rPr>
        <w:t>physical</w:t>
      </w:r>
      <w:r w:rsidR="003D640C">
        <w:rPr>
          <w:lang w:eastAsia="en-NZ"/>
        </w:rPr>
        <w:t xml:space="preserve"> </w:t>
      </w:r>
      <w:r w:rsidRPr="00094317">
        <w:rPr>
          <w:lang w:eastAsia="en-NZ"/>
        </w:rPr>
        <w:t>and</w:t>
      </w:r>
      <w:r w:rsidR="003D640C">
        <w:rPr>
          <w:lang w:eastAsia="en-NZ"/>
        </w:rPr>
        <w:t xml:space="preserve"> </w:t>
      </w:r>
      <w:r w:rsidRPr="00094317">
        <w:rPr>
          <w:lang w:eastAsia="en-NZ"/>
        </w:rPr>
        <w:t>psychological</w:t>
      </w:r>
      <w:r w:rsidR="003D640C">
        <w:rPr>
          <w:lang w:eastAsia="en-NZ"/>
        </w:rPr>
        <w:t xml:space="preserve"> </w:t>
      </w:r>
      <w:r w:rsidRPr="00094317">
        <w:rPr>
          <w:lang w:eastAsia="en-NZ"/>
        </w:rPr>
        <w:t>integrity.</w:t>
      </w:r>
      <w:r w:rsidR="003D640C">
        <w:rPr>
          <w:lang w:eastAsia="en-NZ"/>
        </w:rPr>
        <w:t xml:space="preserve"> </w:t>
      </w:r>
      <w:r w:rsidRPr="00094317">
        <w:rPr>
          <w:lang w:eastAsia="en-NZ"/>
        </w:rPr>
        <w:t>Conversion</w:t>
      </w:r>
      <w:r w:rsidR="003D640C">
        <w:rPr>
          <w:lang w:eastAsia="en-NZ"/>
        </w:rPr>
        <w:t xml:space="preserve"> </w:t>
      </w:r>
      <w:r w:rsidR="00535DB3" w:rsidRPr="00094317">
        <w:rPr>
          <w:lang w:eastAsia="en-NZ"/>
        </w:rPr>
        <w:t>p</w:t>
      </w:r>
      <w:r w:rsidRPr="00094317">
        <w:rPr>
          <w:lang w:eastAsia="en-NZ"/>
        </w:rPr>
        <w:t>ractices</w:t>
      </w:r>
      <w:r w:rsidR="003D640C">
        <w:rPr>
          <w:lang w:eastAsia="en-NZ"/>
        </w:rPr>
        <w:t xml:space="preserve"> </w:t>
      </w:r>
      <w:r w:rsidRPr="00094317">
        <w:rPr>
          <w:lang w:eastAsia="en-NZ"/>
        </w:rPr>
        <w:t>are</w:t>
      </w:r>
      <w:r w:rsidR="003D640C">
        <w:rPr>
          <w:lang w:eastAsia="en-NZ"/>
        </w:rPr>
        <w:t xml:space="preserve"> </w:t>
      </w:r>
      <w:r w:rsidRPr="00094317">
        <w:rPr>
          <w:lang w:eastAsia="en-NZ"/>
        </w:rPr>
        <w:t>in</w:t>
      </w:r>
      <w:r w:rsidR="003D640C">
        <w:rPr>
          <w:lang w:eastAsia="en-NZ"/>
        </w:rPr>
        <w:t xml:space="preserve"> </w:t>
      </w:r>
      <w:r w:rsidRPr="00094317">
        <w:rPr>
          <w:lang w:eastAsia="en-NZ"/>
        </w:rPr>
        <w:t>direct</w:t>
      </w:r>
      <w:r w:rsidR="003D640C">
        <w:rPr>
          <w:lang w:eastAsia="en-NZ"/>
        </w:rPr>
        <w:t xml:space="preserve"> </w:t>
      </w:r>
      <w:r w:rsidRPr="00094317">
        <w:rPr>
          <w:lang w:eastAsia="en-NZ"/>
        </w:rPr>
        <w:t>opposition</w:t>
      </w:r>
      <w:r w:rsidR="003D640C">
        <w:rPr>
          <w:lang w:eastAsia="en-NZ"/>
        </w:rPr>
        <w:t xml:space="preserve"> </w:t>
      </w:r>
      <w:r w:rsidRPr="00094317">
        <w:rPr>
          <w:lang w:eastAsia="en-NZ"/>
        </w:rPr>
        <w:t>to</w:t>
      </w:r>
      <w:r w:rsidR="003D640C">
        <w:rPr>
          <w:lang w:eastAsia="en-NZ"/>
        </w:rPr>
        <w:t xml:space="preserve"> </w:t>
      </w:r>
      <w:r w:rsidRPr="00094317">
        <w:rPr>
          <w:lang w:eastAsia="en-NZ"/>
        </w:rPr>
        <w:t>the</w:t>
      </w:r>
      <w:r w:rsidR="003D640C">
        <w:rPr>
          <w:lang w:eastAsia="en-NZ"/>
        </w:rPr>
        <w:t xml:space="preserve"> </w:t>
      </w:r>
      <w:r w:rsidRPr="00094317">
        <w:rPr>
          <w:lang w:eastAsia="en-NZ"/>
        </w:rPr>
        <w:t>best</w:t>
      </w:r>
      <w:r w:rsidR="003D640C">
        <w:rPr>
          <w:lang w:eastAsia="en-NZ"/>
        </w:rPr>
        <w:t xml:space="preserve"> </w:t>
      </w:r>
      <w:r w:rsidRPr="00094317">
        <w:rPr>
          <w:lang w:eastAsia="en-NZ"/>
        </w:rPr>
        <w:t>interest</w:t>
      </w:r>
      <w:r w:rsidR="003D640C">
        <w:rPr>
          <w:lang w:eastAsia="en-NZ"/>
        </w:rPr>
        <w:t xml:space="preserve"> </w:t>
      </w:r>
      <w:r w:rsidRPr="00094317">
        <w:rPr>
          <w:lang w:eastAsia="en-NZ"/>
        </w:rPr>
        <w:t>of</w:t>
      </w:r>
      <w:r w:rsidR="003D640C">
        <w:rPr>
          <w:lang w:eastAsia="en-NZ"/>
        </w:rPr>
        <w:t xml:space="preserve"> </w:t>
      </w:r>
      <w:r w:rsidRPr="00094317">
        <w:rPr>
          <w:lang w:eastAsia="en-NZ"/>
        </w:rPr>
        <w:t>child</w:t>
      </w:r>
      <w:r w:rsidR="00FB4B62" w:rsidRPr="00094317">
        <w:rPr>
          <w:lang w:eastAsia="en-NZ"/>
        </w:rPr>
        <w:t>ren</w:t>
      </w:r>
      <w:r w:rsidR="003D640C">
        <w:rPr>
          <w:lang w:eastAsia="en-NZ"/>
        </w:rPr>
        <w:t xml:space="preserve"> </w:t>
      </w:r>
      <w:r w:rsidRPr="00094317">
        <w:rPr>
          <w:lang w:eastAsia="en-NZ"/>
        </w:rPr>
        <w:t>as</w:t>
      </w:r>
      <w:r w:rsidR="003D640C">
        <w:rPr>
          <w:lang w:eastAsia="en-NZ"/>
        </w:rPr>
        <w:t xml:space="preserve"> </w:t>
      </w:r>
      <w:r w:rsidRPr="00094317">
        <w:rPr>
          <w:lang w:eastAsia="en-NZ"/>
        </w:rPr>
        <w:t>they</w:t>
      </w:r>
      <w:r w:rsidR="003D640C">
        <w:rPr>
          <w:lang w:eastAsia="en-NZ"/>
        </w:rPr>
        <w:t xml:space="preserve"> </w:t>
      </w:r>
      <w:r w:rsidR="004B63D8" w:rsidRPr="00094317">
        <w:rPr>
          <w:lang w:eastAsia="en-NZ"/>
        </w:rPr>
        <w:t>can</w:t>
      </w:r>
      <w:r w:rsidR="003D640C">
        <w:rPr>
          <w:lang w:eastAsia="en-NZ"/>
        </w:rPr>
        <w:t xml:space="preserve"> </w:t>
      </w:r>
      <w:r w:rsidRPr="00094317">
        <w:rPr>
          <w:lang w:eastAsia="en-NZ"/>
        </w:rPr>
        <w:t>cause</w:t>
      </w:r>
      <w:r w:rsidR="003D640C">
        <w:rPr>
          <w:lang w:eastAsia="en-NZ"/>
        </w:rPr>
        <w:t xml:space="preserve"> </w:t>
      </w:r>
      <w:r w:rsidRPr="00094317">
        <w:rPr>
          <w:lang w:eastAsia="en-NZ"/>
        </w:rPr>
        <w:t>psychological</w:t>
      </w:r>
      <w:r w:rsidR="003D640C">
        <w:rPr>
          <w:lang w:eastAsia="en-NZ"/>
        </w:rPr>
        <w:t xml:space="preserve"> </w:t>
      </w:r>
      <w:r w:rsidRPr="00094317">
        <w:rPr>
          <w:lang w:eastAsia="en-NZ"/>
        </w:rPr>
        <w:t>distress,</w:t>
      </w:r>
      <w:r w:rsidR="003D640C">
        <w:rPr>
          <w:lang w:eastAsia="en-NZ"/>
        </w:rPr>
        <w:t xml:space="preserve"> </w:t>
      </w:r>
      <w:r w:rsidRPr="00094317">
        <w:rPr>
          <w:lang w:eastAsia="en-NZ"/>
        </w:rPr>
        <w:t>can</w:t>
      </w:r>
      <w:r w:rsidR="003D640C">
        <w:rPr>
          <w:lang w:eastAsia="en-NZ"/>
        </w:rPr>
        <w:t xml:space="preserve"> </w:t>
      </w:r>
      <w:r w:rsidRPr="00094317">
        <w:rPr>
          <w:lang w:eastAsia="en-NZ"/>
        </w:rPr>
        <w:t>harm</w:t>
      </w:r>
      <w:r w:rsidR="003D640C">
        <w:rPr>
          <w:lang w:eastAsia="en-NZ"/>
        </w:rPr>
        <w:t xml:space="preserve"> </w:t>
      </w:r>
      <w:r w:rsidRPr="00094317">
        <w:rPr>
          <w:lang w:eastAsia="en-NZ"/>
        </w:rPr>
        <w:t>children</w:t>
      </w:r>
      <w:r w:rsidR="003D640C">
        <w:rPr>
          <w:lang w:eastAsia="en-NZ"/>
        </w:rPr>
        <w:t xml:space="preserve"> </w:t>
      </w:r>
      <w:r w:rsidRPr="00094317">
        <w:rPr>
          <w:lang w:eastAsia="en-NZ"/>
        </w:rPr>
        <w:t>physically</w:t>
      </w:r>
      <w:r w:rsidR="003D640C">
        <w:rPr>
          <w:lang w:eastAsia="en-NZ"/>
        </w:rPr>
        <w:t xml:space="preserve"> </w:t>
      </w:r>
      <w:r w:rsidRPr="00094317">
        <w:rPr>
          <w:lang w:eastAsia="en-NZ"/>
        </w:rPr>
        <w:t>or</w:t>
      </w:r>
      <w:r w:rsidR="003D640C">
        <w:rPr>
          <w:lang w:eastAsia="en-NZ"/>
        </w:rPr>
        <w:t xml:space="preserve"> </w:t>
      </w:r>
      <w:r w:rsidRPr="00094317">
        <w:rPr>
          <w:lang w:eastAsia="en-NZ"/>
        </w:rPr>
        <w:t>cause</w:t>
      </w:r>
      <w:r w:rsidR="003D640C">
        <w:rPr>
          <w:lang w:eastAsia="en-NZ"/>
        </w:rPr>
        <w:t xml:space="preserve"> </w:t>
      </w:r>
      <w:r w:rsidRPr="00094317">
        <w:rPr>
          <w:lang w:eastAsia="en-NZ"/>
        </w:rPr>
        <w:t>them</w:t>
      </w:r>
      <w:r w:rsidR="003D640C">
        <w:rPr>
          <w:lang w:eastAsia="en-NZ"/>
        </w:rPr>
        <w:t xml:space="preserve"> </w:t>
      </w:r>
      <w:r w:rsidRPr="00094317">
        <w:rPr>
          <w:lang w:eastAsia="en-NZ"/>
        </w:rPr>
        <w:t>to</w:t>
      </w:r>
      <w:r w:rsidR="003D640C">
        <w:rPr>
          <w:lang w:eastAsia="en-NZ"/>
        </w:rPr>
        <w:t xml:space="preserve"> </w:t>
      </w:r>
      <w:r w:rsidRPr="00094317">
        <w:rPr>
          <w:lang w:eastAsia="en-NZ"/>
        </w:rPr>
        <w:t>harm</w:t>
      </w:r>
      <w:r w:rsidR="003D640C">
        <w:rPr>
          <w:lang w:eastAsia="en-NZ"/>
        </w:rPr>
        <w:t xml:space="preserve"> </w:t>
      </w:r>
      <w:r w:rsidRPr="00094317">
        <w:rPr>
          <w:lang w:eastAsia="en-NZ"/>
        </w:rPr>
        <w:t>themselves</w:t>
      </w:r>
      <w:r w:rsidR="003D640C">
        <w:rPr>
          <w:lang w:eastAsia="en-NZ"/>
        </w:rPr>
        <w:t xml:space="preserve"> </w:t>
      </w:r>
      <w:r w:rsidRPr="00094317">
        <w:rPr>
          <w:lang w:eastAsia="en-NZ"/>
        </w:rPr>
        <w:t>physically,</w:t>
      </w:r>
      <w:r w:rsidR="003D640C">
        <w:rPr>
          <w:lang w:eastAsia="en-NZ"/>
        </w:rPr>
        <w:t xml:space="preserve"> </w:t>
      </w:r>
      <w:r w:rsidRPr="00094317">
        <w:rPr>
          <w:lang w:eastAsia="en-NZ"/>
        </w:rPr>
        <w:t>and</w:t>
      </w:r>
      <w:r w:rsidR="003D640C">
        <w:rPr>
          <w:lang w:eastAsia="en-NZ"/>
        </w:rPr>
        <w:t xml:space="preserve"> </w:t>
      </w:r>
      <w:r w:rsidRPr="00094317">
        <w:rPr>
          <w:lang w:eastAsia="en-NZ"/>
        </w:rPr>
        <w:t>suppress</w:t>
      </w:r>
      <w:r w:rsidR="003D640C">
        <w:rPr>
          <w:lang w:eastAsia="en-NZ"/>
        </w:rPr>
        <w:t xml:space="preserve"> </w:t>
      </w:r>
      <w:r w:rsidRPr="00094317">
        <w:rPr>
          <w:lang w:eastAsia="en-NZ"/>
        </w:rPr>
        <w:t>their</w:t>
      </w:r>
      <w:r w:rsidR="003D640C">
        <w:rPr>
          <w:lang w:eastAsia="en-NZ"/>
        </w:rPr>
        <w:t xml:space="preserve"> </w:t>
      </w:r>
      <w:r w:rsidRPr="00094317">
        <w:rPr>
          <w:lang w:eastAsia="en-NZ"/>
        </w:rPr>
        <w:t>freedom</w:t>
      </w:r>
      <w:r w:rsidR="003D640C">
        <w:rPr>
          <w:lang w:eastAsia="en-NZ"/>
        </w:rPr>
        <w:t xml:space="preserve"> </w:t>
      </w:r>
      <w:r w:rsidRPr="00094317">
        <w:rPr>
          <w:lang w:eastAsia="en-NZ"/>
        </w:rPr>
        <w:t>of</w:t>
      </w:r>
      <w:r w:rsidR="003D640C">
        <w:rPr>
          <w:lang w:eastAsia="en-NZ"/>
        </w:rPr>
        <w:t xml:space="preserve"> </w:t>
      </w:r>
      <w:r w:rsidRPr="00094317">
        <w:rPr>
          <w:lang w:eastAsia="en-NZ"/>
        </w:rPr>
        <w:t>expression.</w:t>
      </w:r>
      <w:r w:rsidR="003D640C">
        <w:rPr>
          <w:lang w:eastAsia="en-NZ"/>
        </w:rPr>
        <w:t xml:space="preserve"> </w:t>
      </w:r>
    </w:p>
    <w:p w14:paraId="235B86EC" w14:textId="503712E1" w:rsidR="00501068" w:rsidRDefault="00BC295E" w:rsidP="0002020B">
      <w:pPr>
        <w:rPr>
          <w:lang w:eastAsia="en-NZ"/>
        </w:rPr>
      </w:pPr>
      <w:r w:rsidRPr="00094317">
        <w:rPr>
          <w:lang w:eastAsia="en-NZ"/>
        </w:rPr>
        <w:t>Under</w:t>
      </w:r>
      <w:r w:rsidR="003D640C">
        <w:rPr>
          <w:lang w:eastAsia="en-NZ"/>
        </w:rPr>
        <w:t xml:space="preserve"> </w:t>
      </w:r>
      <w:r w:rsidRPr="00094317">
        <w:rPr>
          <w:lang w:eastAsia="en-NZ"/>
        </w:rPr>
        <w:t>various</w:t>
      </w:r>
      <w:r w:rsidR="003D640C">
        <w:rPr>
          <w:lang w:eastAsia="en-NZ"/>
        </w:rPr>
        <w:t xml:space="preserve"> </w:t>
      </w:r>
      <w:r w:rsidRPr="00094317">
        <w:rPr>
          <w:lang w:eastAsia="en-NZ"/>
        </w:rPr>
        <w:t>domestic</w:t>
      </w:r>
      <w:r w:rsidR="003D640C">
        <w:rPr>
          <w:lang w:eastAsia="en-NZ"/>
        </w:rPr>
        <w:t xml:space="preserve"> </w:t>
      </w:r>
      <w:r w:rsidRPr="00094317">
        <w:rPr>
          <w:lang w:eastAsia="en-NZ"/>
        </w:rPr>
        <w:t>laws,</w:t>
      </w:r>
      <w:r w:rsidR="003D640C">
        <w:rPr>
          <w:lang w:eastAsia="en-NZ"/>
        </w:rPr>
        <w:t xml:space="preserve"> </w:t>
      </w:r>
      <w:r w:rsidRPr="00094317">
        <w:rPr>
          <w:lang w:eastAsia="en-NZ"/>
        </w:rPr>
        <w:t>parents</w:t>
      </w:r>
      <w:r w:rsidR="003D640C">
        <w:rPr>
          <w:lang w:eastAsia="en-NZ"/>
        </w:rPr>
        <w:t xml:space="preserve"> </w:t>
      </w:r>
      <w:r w:rsidRPr="00094317">
        <w:rPr>
          <w:lang w:eastAsia="en-NZ"/>
        </w:rPr>
        <w:t>have</w:t>
      </w:r>
      <w:r w:rsidR="003D640C">
        <w:rPr>
          <w:lang w:eastAsia="en-NZ"/>
        </w:rPr>
        <w:t xml:space="preserve"> </w:t>
      </w:r>
      <w:r w:rsidRPr="00094317">
        <w:rPr>
          <w:lang w:eastAsia="en-NZ"/>
        </w:rPr>
        <w:t>a</w:t>
      </w:r>
      <w:r w:rsidR="003D640C">
        <w:rPr>
          <w:lang w:eastAsia="en-NZ"/>
        </w:rPr>
        <w:t xml:space="preserve"> </w:t>
      </w:r>
      <w:r w:rsidRPr="00094317">
        <w:rPr>
          <w:lang w:eastAsia="en-NZ"/>
        </w:rPr>
        <w:t>responsibility</w:t>
      </w:r>
      <w:r w:rsidR="003D640C">
        <w:rPr>
          <w:lang w:eastAsia="en-NZ"/>
        </w:rPr>
        <w:t xml:space="preserve"> </w:t>
      </w:r>
      <w:r w:rsidRPr="00094317">
        <w:rPr>
          <w:lang w:eastAsia="en-NZ"/>
        </w:rPr>
        <w:t>to</w:t>
      </w:r>
      <w:r w:rsidR="003D640C">
        <w:rPr>
          <w:lang w:eastAsia="en-NZ"/>
        </w:rPr>
        <w:t xml:space="preserve"> </w:t>
      </w:r>
      <w:r w:rsidRPr="00094317">
        <w:rPr>
          <w:lang w:eastAsia="en-NZ"/>
        </w:rPr>
        <w:t>uphold</w:t>
      </w:r>
      <w:r w:rsidR="003D640C">
        <w:rPr>
          <w:lang w:eastAsia="en-NZ"/>
        </w:rPr>
        <w:t xml:space="preserve"> </w:t>
      </w:r>
      <w:r w:rsidRPr="00094317">
        <w:rPr>
          <w:lang w:eastAsia="en-NZ"/>
        </w:rPr>
        <w:t>these</w:t>
      </w:r>
      <w:r w:rsidR="003D640C">
        <w:rPr>
          <w:lang w:eastAsia="en-NZ"/>
        </w:rPr>
        <w:t xml:space="preserve"> </w:t>
      </w:r>
      <w:r w:rsidRPr="00094317">
        <w:rPr>
          <w:lang w:eastAsia="en-NZ"/>
        </w:rPr>
        <w:t>rights.</w:t>
      </w:r>
      <w:r w:rsidR="003D640C">
        <w:rPr>
          <w:lang w:eastAsia="en-NZ"/>
        </w:rPr>
        <w:t xml:space="preserve"> </w:t>
      </w:r>
      <w:r w:rsidRPr="00094317">
        <w:rPr>
          <w:lang w:eastAsia="en-NZ"/>
        </w:rPr>
        <w:t>Section</w:t>
      </w:r>
      <w:r w:rsidR="003D640C">
        <w:rPr>
          <w:lang w:eastAsia="en-NZ"/>
        </w:rPr>
        <w:t xml:space="preserve"> </w:t>
      </w:r>
      <w:r w:rsidRPr="00094317">
        <w:rPr>
          <w:lang w:eastAsia="en-NZ"/>
        </w:rPr>
        <w:t>16</w:t>
      </w:r>
      <w:r w:rsidR="003D640C">
        <w:rPr>
          <w:lang w:eastAsia="en-NZ"/>
        </w:rPr>
        <w:t xml:space="preserve"> </w:t>
      </w:r>
      <w:r w:rsidRPr="00094317">
        <w:rPr>
          <w:lang w:eastAsia="en-NZ"/>
        </w:rPr>
        <w:t>of</w:t>
      </w:r>
      <w:r w:rsidR="003D640C">
        <w:rPr>
          <w:lang w:eastAsia="en-NZ"/>
        </w:rPr>
        <w:t xml:space="preserve"> </w:t>
      </w:r>
      <w:r w:rsidR="000F6C55">
        <w:rPr>
          <w:lang w:eastAsia="en-NZ"/>
        </w:rPr>
        <w:t xml:space="preserve">the </w:t>
      </w:r>
      <w:r w:rsidRPr="00094317">
        <w:rPr>
          <w:lang w:eastAsia="en-NZ"/>
        </w:rPr>
        <w:t>COCA</w:t>
      </w:r>
      <w:r w:rsidR="003D640C">
        <w:rPr>
          <w:lang w:eastAsia="en-NZ"/>
        </w:rPr>
        <w:t xml:space="preserve"> </w:t>
      </w:r>
      <w:r w:rsidRPr="00094317">
        <w:rPr>
          <w:lang w:eastAsia="en-NZ"/>
        </w:rPr>
        <w:t>provides</w:t>
      </w:r>
      <w:r w:rsidR="003D640C">
        <w:rPr>
          <w:lang w:eastAsia="en-NZ"/>
        </w:rPr>
        <w:t xml:space="preserve"> </w:t>
      </w:r>
      <w:r w:rsidRPr="00094317">
        <w:rPr>
          <w:lang w:eastAsia="en-NZ"/>
        </w:rPr>
        <w:t>that</w:t>
      </w:r>
      <w:r w:rsidR="003D640C">
        <w:rPr>
          <w:lang w:eastAsia="en-NZ"/>
        </w:rPr>
        <w:t xml:space="preserve"> </w:t>
      </w:r>
      <w:r w:rsidRPr="00094317">
        <w:rPr>
          <w:lang w:eastAsia="en-NZ"/>
        </w:rPr>
        <w:t>guardians</w:t>
      </w:r>
      <w:r w:rsidR="003D640C">
        <w:rPr>
          <w:lang w:eastAsia="en-NZ"/>
        </w:rPr>
        <w:t xml:space="preserve"> </w:t>
      </w:r>
      <w:r w:rsidRPr="00094317">
        <w:rPr>
          <w:lang w:eastAsia="en-NZ"/>
        </w:rPr>
        <w:t>have</w:t>
      </w:r>
      <w:r w:rsidR="003D640C">
        <w:rPr>
          <w:lang w:eastAsia="en-NZ"/>
        </w:rPr>
        <w:t xml:space="preserve"> </w:t>
      </w:r>
      <w:r w:rsidRPr="00094317">
        <w:rPr>
          <w:lang w:eastAsia="en-NZ"/>
        </w:rPr>
        <w:t>a</w:t>
      </w:r>
      <w:r w:rsidR="003D640C">
        <w:rPr>
          <w:lang w:eastAsia="en-NZ"/>
        </w:rPr>
        <w:t xml:space="preserve"> </w:t>
      </w:r>
      <w:r w:rsidRPr="00094317">
        <w:rPr>
          <w:lang w:eastAsia="en-NZ"/>
        </w:rPr>
        <w:t>responsibility</w:t>
      </w:r>
      <w:r w:rsidR="003D640C">
        <w:rPr>
          <w:lang w:eastAsia="en-NZ"/>
        </w:rPr>
        <w:t xml:space="preserve"> </w:t>
      </w:r>
      <w:r w:rsidRPr="00094317">
        <w:rPr>
          <w:lang w:eastAsia="en-NZ"/>
        </w:rPr>
        <w:t>and</w:t>
      </w:r>
      <w:r w:rsidR="003D640C">
        <w:rPr>
          <w:lang w:eastAsia="en-NZ"/>
        </w:rPr>
        <w:t xml:space="preserve"> </w:t>
      </w:r>
      <w:r w:rsidRPr="00094317">
        <w:rPr>
          <w:lang w:eastAsia="en-NZ"/>
        </w:rPr>
        <w:t>duty</w:t>
      </w:r>
      <w:r w:rsidR="003D640C">
        <w:rPr>
          <w:lang w:eastAsia="en-NZ"/>
        </w:rPr>
        <w:t xml:space="preserve"> </w:t>
      </w:r>
      <w:r w:rsidRPr="00094317">
        <w:rPr>
          <w:lang w:eastAsia="en-NZ"/>
        </w:rPr>
        <w:t>in</w:t>
      </w:r>
      <w:r w:rsidR="003D640C">
        <w:rPr>
          <w:lang w:eastAsia="en-NZ"/>
        </w:rPr>
        <w:t xml:space="preserve"> </w:t>
      </w:r>
      <w:r w:rsidRPr="00094317">
        <w:rPr>
          <w:lang w:eastAsia="en-NZ"/>
        </w:rPr>
        <w:t>“contributing</w:t>
      </w:r>
      <w:r w:rsidR="003D640C">
        <w:rPr>
          <w:lang w:eastAsia="en-NZ"/>
        </w:rPr>
        <w:t xml:space="preserve"> </w:t>
      </w:r>
      <w:r w:rsidRPr="00094317">
        <w:rPr>
          <w:lang w:eastAsia="en-NZ"/>
        </w:rPr>
        <w:t>to</w:t>
      </w:r>
      <w:r w:rsidR="003D640C">
        <w:rPr>
          <w:lang w:eastAsia="en-NZ"/>
        </w:rPr>
        <w:t xml:space="preserve"> </w:t>
      </w:r>
      <w:r w:rsidRPr="00094317">
        <w:rPr>
          <w:lang w:eastAsia="en-NZ"/>
        </w:rPr>
        <w:t>the</w:t>
      </w:r>
      <w:r w:rsidR="003D640C">
        <w:rPr>
          <w:lang w:eastAsia="en-NZ"/>
        </w:rPr>
        <w:t xml:space="preserve"> </w:t>
      </w:r>
      <w:r w:rsidRPr="00094317">
        <w:rPr>
          <w:lang w:eastAsia="en-NZ"/>
        </w:rPr>
        <w:t>child’s</w:t>
      </w:r>
      <w:r w:rsidR="003D640C">
        <w:rPr>
          <w:lang w:eastAsia="en-NZ"/>
        </w:rPr>
        <w:t xml:space="preserve"> </w:t>
      </w:r>
      <w:r w:rsidRPr="00094317">
        <w:rPr>
          <w:lang w:eastAsia="en-NZ"/>
        </w:rPr>
        <w:t>intellectual,</w:t>
      </w:r>
      <w:r w:rsidR="003D640C">
        <w:rPr>
          <w:lang w:eastAsia="en-NZ"/>
        </w:rPr>
        <w:t xml:space="preserve"> </w:t>
      </w:r>
      <w:r w:rsidRPr="00094317">
        <w:rPr>
          <w:lang w:eastAsia="en-NZ"/>
        </w:rPr>
        <w:t>emotional,</w:t>
      </w:r>
      <w:r w:rsidR="003D640C">
        <w:rPr>
          <w:lang w:eastAsia="en-NZ"/>
        </w:rPr>
        <w:t xml:space="preserve"> </w:t>
      </w:r>
      <w:r w:rsidRPr="00094317">
        <w:rPr>
          <w:lang w:eastAsia="en-NZ"/>
        </w:rPr>
        <w:t>physical,</w:t>
      </w:r>
      <w:r w:rsidR="003D640C">
        <w:rPr>
          <w:lang w:eastAsia="en-NZ"/>
        </w:rPr>
        <w:t xml:space="preserve"> </w:t>
      </w:r>
      <w:r w:rsidRPr="00094317">
        <w:rPr>
          <w:lang w:eastAsia="en-NZ"/>
        </w:rPr>
        <w:t>social,</w:t>
      </w:r>
      <w:r w:rsidR="003D640C">
        <w:rPr>
          <w:lang w:eastAsia="en-NZ"/>
        </w:rPr>
        <w:t xml:space="preserve"> </w:t>
      </w:r>
      <w:r w:rsidRPr="00094317">
        <w:rPr>
          <w:lang w:eastAsia="en-NZ"/>
        </w:rPr>
        <w:t>cultural</w:t>
      </w:r>
      <w:r w:rsidR="003D640C">
        <w:rPr>
          <w:lang w:eastAsia="en-NZ"/>
        </w:rPr>
        <w:t xml:space="preserve"> </w:t>
      </w:r>
      <w:r w:rsidRPr="00094317">
        <w:rPr>
          <w:lang w:eastAsia="en-NZ"/>
        </w:rPr>
        <w:t>and</w:t>
      </w:r>
      <w:r w:rsidR="003D640C">
        <w:rPr>
          <w:lang w:eastAsia="en-NZ"/>
        </w:rPr>
        <w:t xml:space="preserve"> </w:t>
      </w:r>
      <w:r w:rsidRPr="00094317">
        <w:rPr>
          <w:lang w:eastAsia="en-NZ"/>
        </w:rPr>
        <w:t>other</w:t>
      </w:r>
      <w:r w:rsidR="003D640C">
        <w:rPr>
          <w:lang w:eastAsia="en-NZ"/>
        </w:rPr>
        <w:t xml:space="preserve"> </w:t>
      </w:r>
      <w:r w:rsidRPr="00094317">
        <w:rPr>
          <w:lang w:eastAsia="en-NZ"/>
        </w:rPr>
        <w:t>personal</w:t>
      </w:r>
      <w:r w:rsidR="003D640C">
        <w:rPr>
          <w:lang w:eastAsia="en-NZ"/>
        </w:rPr>
        <w:t xml:space="preserve"> </w:t>
      </w:r>
      <w:r w:rsidRPr="00094317">
        <w:rPr>
          <w:lang w:eastAsia="en-NZ"/>
        </w:rPr>
        <w:t>development”</w:t>
      </w:r>
      <w:r w:rsidR="003D640C">
        <w:rPr>
          <w:lang w:eastAsia="en-NZ"/>
        </w:rPr>
        <w:t xml:space="preserve"> </w:t>
      </w:r>
      <w:r w:rsidRPr="00094317">
        <w:rPr>
          <w:lang w:eastAsia="en-NZ"/>
        </w:rPr>
        <w:t>and</w:t>
      </w:r>
      <w:r w:rsidR="003D640C">
        <w:rPr>
          <w:lang w:eastAsia="en-NZ"/>
        </w:rPr>
        <w:t xml:space="preserve"> </w:t>
      </w:r>
      <w:r w:rsidRPr="00094317">
        <w:rPr>
          <w:lang w:eastAsia="en-NZ"/>
        </w:rPr>
        <w:t>in</w:t>
      </w:r>
      <w:r w:rsidR="003D640C">
        <w:rPr>
          <w:lang w:eastAsia="en-NZ"/>
        </w:rPr>
        <w:t xml:space="preserve"> </w:t>
      </w:r>
      <w:r w:rsidRPr="00094317">
        <w:rPr>
          <w:lang w:eastAsia="en-NZ"/>
        </w:rPr>
        <w:t>“determining</w:t>
      </w:r>
      <w:r w:rsidR="003D640C">
        <w:rPr>
          <w:lang w:eastAsia="en-NZ"/>
        </w:rPr>
        <w:t xml:space="preserve"> </w:t>
      </w:r>
      <w:r w:rsidRPr="00094317">
        <w:rPr>
          <w:lang w:eastAsia="en-NZ"/>
        </w:rPr>
        <w:t>for</w:t>
      </w:r>
      <w:r w:rsidR="003D640C">
        <w:rPr>
          <w:lang w:eastAsia="en-NZ"/>
        </w:rPr>
        <w:t xml:space="preserve"> </w:t>
      </w:r>
      <w:r w:rsidRPr="00094317">
        <w:rPr>
          <w:lang w:eastAsia="en-NZ"/>
        </w:rPr>
        <w:t>or</w:t>
      </w:r>
      <w:r w:rsidR="003D640C">
        <w:rPr>
          <w:lang w:eastAsia="en-NZ"/>
        </w:rPr>
        <w:t xml:space="preserve"> </w:t>
      </w:r>
      <w:r w:rsidRPr="00094317">
        <w:rPr>
          <w:lang w:eastAsia="en-NZ"/>
        </w:rPr>
        <w:t>with</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or</w:t>
      </w:r>
      <w:r w:rsidR="003D640C">
        <w:rPr>
          <w:lang w:eastAsia="en-NZ"/>
        </w:rPr>
        <w:t xml:space="preserve"> </w:t>
      </w:r>
      <w:r w:rsidRPr="00094317">
        <w:rPr>
          <w:lang w:eastAsia="en-NZ"/>
        </w:rPr>
        <w:t>helping</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to</w:t>
      </w:r>
      <w:r w:rsidR="003D640C">
        <w:rPr>
          <w:lang w:eastAsia="en-NZ"/>
        </w:rPr>
        <w:t xml:space="preserve"> </w:t>
      </w:r>
      <w:r w:rsidRPr="00094317">
        <w:rPr>
          <w:lang w:eastAsia="en-NZ"/>
        </w:rPr>
        <w:t>determine,</w:t>
      </w:r>
      <w:r w:rsidR="003D640C">
        <w:rPr>
          <w:lang w:eastAsia="en-NZ"/>
        </w:rPr>
        <w:t xml:space="preserve"> </w:t>
      </w:r>
      <w:r w:rsidRPr="00094317">
        <w:rPr>
          <w:lang w:eastAsia="en-NZ"/>
        </w:rPr>
        <w:t>questions</w:t>
      </w:r>
      <w:r w:rsidR="003D640C">
        <w:rPr>
          <w:lang w:eastAsia="en-NZ"/>
        </w:rPr>
        <w:t xml:space="preserve"> </w:t>
      </w:r>
      <w:r w:rsidRPr="00094317">
        <w:rPr>
          <w:lang w:eastAsia="en-NZ"/>
        </w:rPr>
        <w:t>about</w:t>
      </w:r>
      <w:r w:rsidR="003D640C">
        <w:rPr>
          <w:lang w:eastAsia="en-NZ"/>
        </w:rPr>
        <w:t xml:space="preserve"> </w:t>
      </w:r>
      <w:r w:rsidRPr="00094317">
        <w:rPr>
          <w:lang w:eastAsia="en-NZ"/>
        </w:rPr>
        <w:t>important</w:t>
      </w:r>
      <w:r w:rsidR="003D640C">
        <w:rPr>
          <w:lang w:eastAsia="en-NZ"/>
        </w:rPr>
        <w:t xml:space="preserve"> </w:t>
      </w:r>
      <w:r w:rsidRPr="00094317">
        <w:rPr>
          <w:lang w:eastAsia="en-NZ"/>
        </w:rPr>
        <w:t>matters</w:t>
      </w:r>
      <w:r w:rsidR="003D640C">
        <w:rPr>
          <w:lang w:eastAsia="en-NZ"/>
        </w:rPr>
        <w:t xml:space="preserve"> </w:t>
      </w:r>
      <w:r w:rsidRPr="00094317">
        <w:rPr>
          <w:lang w:eastAsia="en-NZ"/>
        </w:rPr>
        <w:t>affecting</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4E301B">
        <w:rPr>
          <w:lang w:eastAsia="en-NZ"/>
        </w:rPr>
        <w:t>.</w:t>
      </w:r>
      <w:r w:rsidR="003D640C">
        <w:rPr>
          <w:lang w:eastAsia="en-NZ"/>
        </w:rPr>
        <w:t xml:space="preserve"> </w:t>
      </w:r>
      <w:r w:rsidR="00B61340">
        <w:rPr>
          <w:lang w:eastAsia="en-NZ"/>
        </w:rPr>
        <w:t>S</w:t>
      </w:r>
      <w:r w:rsidRPr="00094317">
        <w:rPr>
          <w:lang w:eastAsia="en-NZ"/>
        </w:rPr>
        <w:t>ection</w:t>
      </w:r>
      <w:r w:rsidR="003D640C">
        <w:rPr>
          <w:lang w:eastAsia="en-NZ"/>
        </w:rPr>
        <w:t xml:space="preserve"> </w:t>
      </w:r>
      <w:r w:rsidRPr="00094317">
        <w:rPr>
          <w:lang w:eastAsia="en-NZ"/>
        </w:rPr>
        <w:t>5</w:t>
      </w:r>
      <w:r w:rsidR="003D640C">
        <w:rPr>
          <w:lang w:eastAsia="en-NZ"/>
        </w:rPr>
        <w:t xml:space="preserve"> </w:t>
      </w:r>
      <w:r w:rsidRPr="00094317">
        <w:rPr>
          <w:lang w:eastAsia="en-NZ"/>
        </w:rPr>
        <w:t>of</w:t>
      </w:r>
      <w:r w:rsidR="003D640C">
        <w:rPr>
          <w:lang w:eastAsia="en-NZ"/>
        </w:rPr>
        <w:t xml:space="preserve"> </w:t>
      </w:r>
      <w:r w:rsidR="000F6C55">
        <w:rPr>
          <w:lang w:eastAsia="en-NZ"/>
        </w:rPr>
        <w:t xml:space="preserve">the </w:t>
      </w:r>
      <w:r w:rsidRPr="00094317">
        <w:rPr>
          <w:lang w:eastAsia="en-NZ"/>
        </w:rPr>
        <w:t>COCA</w:t>
      </w:r>
      <w:r w:rsidR="003D640C">
        <w:rPr>
          <w:lang w:eastAsia="en-NZ"/>
        </w:rPr>
        <w:t xml:space="preserve"> </w:t>
      </w:r>
      <w:r w:rsidRPr="00094317">
        <w:rPr>
          <w:lang w:eastAsia="en-NZ"/>
        </w:rPr>
        <w:t>provides</w:t>
      </w:r>
      <w:r w:rsidR="003D640C">
        <w:rPr>
          <w:lang w:eastAsia="en-NZ"/>
        </w:rPr>
        <w:t xml:space="preserve"> </w:t>
      </w:r>
      <w:r w:rsidRPr="00094317">
        <w:rPr>
          <w:lang w:eastAsia="en-NZ"/>
        </w:rPr>
        <w:t>that</w:t>
      </w:r>
      <w:r w:rsidR="003D640C">
        <w:rPr>
          <w:lang w:eastAsia="en-NZ"/>
        </w:rPr>
        <w:t xml:space="preserve"> </w:t>
      </w:r>
      <w:r w:rsidR="004E301B">
        <w:rPr>
          <w:lang w:eastAsia="en-NZ"/>
        </w:rPr>
        <w:t>“</w:t>
      </w:r>
      <w:r w:rsidRPr="00094317">
        <w:rPr>
          <w:lang w:eastAsia="en-NZ"/>
        </w:rPr>
        <w:t>a</w:t>
      </w:r>
      <w:r w:rsidR="003D640C">
        <w:rPr>
          <w:lang w:eastAsia="en-NZ"/>
        </w:rPr>
        <w:t xml:space="preserve"> </w:t>
      </w:r>
      <w:r w:rsidRPr="00094317">
        <w:rPr>
          <w:lang w:eastAsia="en-NZ"/>
        </w:rPr>
        <w:t>child</w:t>
      </w:r>
      <w:r w:rsidR="00CD3E06">
        <w:rPr>
          <w:lang w:eastAsia="en-NZ"/>
        </w:rPr>
        <w:t>’</w:t>
      </w:r>
      <w:r w:rsidRPr="00094317">
        <w:rPr>
          <w:lang w:eastAsia="en-NZ"/>
        </w:rPr>
        <w:t>s</w:t>
      </w:r>
      <w:r w:rsidR="003D640C">
        <w:rPr>
          <w:lang w:eastAsia="en-NZ"/>
        </w:rPr>
        <w:t xml:space="preserve"> </w:t>
      </w:r>
      <w:r w:rsidRPr="00094317">
        <w:rPr>
          <w:lang w:eastAsia="en-NZ"/>
        </w:rPr>
        <w:t>care,</w:t>
      </w:r>
      <w:r w:rsidR="003D640C">
        <w:rPr>
          <w:lang w:eastAsia="en-NZ"/>
        </w:rPr>
        <w:t xml:space="preserve"> </w:t>
      </w:r>
      <w:r w:rsidRPr="00094317">
        <w:rPr>
          <w:lang w:eastAsia="en-NZ"/>
        </w:rPr>
        <w:t>development,</w:t>
      </w:r>
      <w:r w:rsidR="003D640C">
        <w:rPr>
          <w:lang w:eastAsia="en-NZ"/>
        </w:rPr>
        <w:t xml:space="preserve"> </w:t>
      </w:r>
      <w:r w:rsidRPr="00094317">
        <w:rPr>
          <w:lang w:eastAsia="en-NZ"/>
        </w:rPr>
        <w:t>and</w:t>
      </w:r>
      <w:r w:rsidR="003D640C">
        <w:rPr>
          <w:lang w:eastAsia="en-NZ"/>
        </w:rPr>
        <w:t xml:space="preserve"> </w:t>
      </w:r>
      <w:r w:rsidRPr="00094317">
        <w:rPr>
          <w:lang w:eastAsia="en-NZ"/>
        </w:rPr>
        <w:t>upbringing</w:t>
      </w:r>
      <w:r w:rsidR="003D640C">
        <w:rPr>
          <w:lang w:eastAsia="en-NZ"/>
        </w:rPr>
        <w:t xml:space="preserve"> </w:t>
      </w:r>
      <w:r w:rsidRPr="00094317">
        <w:rPr>
          <w:lang w:eastAsia="en-NZ"/>
        </w:rPr>
        <w:t>should</w:t>
      </w:r>
      <w:r w:rsidR="003D640C">
        <w:rPr>
          <w:lang w:eastAsia="en-NZ"/>
        </w:rPr>
        <w:t xml:space="preserve"> </w:t>
      </w:r>
      <w:r w:rsidRPr="00094317">
        <w:rPr>
          <w:lang w:eastAsia="en-NZ"/>
        </w:rPr>
        <w:t>be</w:t>
      </w:r>
      <w:r w:rsidR="003D640C">
        <w:rPr>
          <w:lang w:eastAsia="en-NZ"/>
        </w:rPr>
        <w:t xml:space="preserve"> </w:t>
      </w:r>
      <w:r w:rsidRPr="00094317">
        <w:rPr>
          <w:lang w:eastAsia="en-NZ"/>
        </w:rPr>
        <w:t>primarily</w:t>
      </w:r>
      <w:r w:rsidR="003D640C">
        <w:rPr>
          <w:lang w:eastAsia="en-NZ"/>
        </w:rPr>
        <w:t xml:space="preserve"> </w:t>
      </w:r>
      <w:r w:rsidRPr="00094317">
        <w:rPr>
          <w:lang w:eastAsia="en-NZ"/>
        </w:rPr>
        <w:t>the</w:t>
      </w:r>
      <w:r w:rsidR="003D640C">
        <w:rPr>
          <w:lang w:eastAsia="en-NZ"/>
        </w:rPr>
        <w:t xml:space="preserve"> </w:t>
      </w:r>
      <w:r w:rsidRPr="00094317">
        <w:rPr>
          <w:lang w:eastAsia="en-NZ"/>
        </w:rPr>
        <w:t>responsibility</w:t>
      </w:r>
      <w:r w:rsidR="003D640C">
        <w:rPr>
          <w:lang w:eastAsia="en-NZ"/>
        </w:rPr>
        <w:t xml:space="preserve"> </w:t>
      </w:r>
      <w:r w:rsidRPr="00094317">
        <w:rPr>
          <w:lang w:eastAsia="en-NZ"/>
        </w:rPr>
        <w:t>of</w:t>
      </w:r>
      <w:r w:rsidR="003D640C">
        <w:rPr>
          <w:lang w:eastAsia="en-NZ"/>
        </w:rPr>
        <w:t xml:space="preserve"> </w:t>
      </w:r>
      <w:r w:rsidRPr="00094317">
        <w:rPr>
          <w:lang w:eastAsia="en-NZ"/>
        </w:rPr>
        <w:t>[their]</w:t>
      </w:r>
      <w:r w:rsidR="003D640C">
        <w:rPr>
          <w:lang w:eastAsia="en-NZ"/>
        </w:rPr>
        <w:t xml:space="preserve"> </w:t>
      </w:r>
      <w:r w:rsidRPr="00094317">
        <w:rPr>
          <w:lang w:eastAsia="en-NZ"/>
        </w:rPr>
        <w:t>parents</w:t>
      </w:r>
      <w:r w:rsidR="003D640C">
        <w:rPr>
          <w:lang w:eastAsia="en-NZ"/>
        </w:rPr>
        <w:t xml:space="preserve"> </w:t>
      </w:r>
      <w:r w:rsidRPr="00094317">
        <w:rPr>
          <w:lang w:eastAsia="en-NZ"/>
        </w:rPr>
        <w:t>or</w:t>
      </w:r>
      <w:r w:rsidR="003D640C">
        <w:rPr>
          <w:lang w:eastAsia="en-NZ"/>
        </w:rPr>
        <w:t xml:space="preserve"> </w:t>
      </w:r>
      <w:r w:rsidRPr="00094317">
        <w:rPr>
          <w:lang w:eastAsia="en-NZ"/>
        </w:rPr>
        <w:t>guardians</w:t>
      </w:r>
      <w:r w:rsidR="004E301B">
        <w:rPr>
          <w:lang w:eastAsia="en-NZ"/>
        </w:rPr>
        <w:t>”</w:t>
      </w:r>
      <w:r w:rsidRPr="00094317">
        <w:rPr>
          <w:lang w:eastAsia="en-NZ"/>
        </w:rPr>
        <w:t>.</w:t>
      </w:r>
      <w:r w:rsidR="003D640C">
        <w:rPr>
          <w:lang w:eastAsia="en-NZ"/>
        </w:rPr>
        <w:t xml:space="preserve"> </w:t>
      </w:r>
      <w:r w:rsidRPr="00094317">
        <w:rPr>
          <w:lang w:eastAsia="en-NZ"/>
        </w:rPr>
        <w:t>However,</w:t>
      </w:r>
      <w:r w:rsidR="003D640C">
        <w:rPr>
          <w:lang w:eastAsia="en-NZ"/>
        </w:rPr>
        <w:t xml:space="preserve"> </w:t>
      </w:r>
      <w:r w:rsidRPr="00094317">
        <w:rPr>
          <w:lang w:eastAsia="en-NZ"/>
        </w:rPr>
        <w:t>these</w:t>
      </w:r>
      <w:r w:rsidR="003D640C">
        <w:rPr>
          <w:lang w:eastAsia="en-NZ"/>
        </w:rPr>
        <w:t xml:space="preserve"> </w:t>
      </w:r>
      <w:r w:rsidRPr="00094317">
        <w:rPr>
          <w:lang w:eastAsia="en-NZ"/>
        </w:rPr>
        <w:t>responsibilities</w:t>
      </w:r>
      <w:r w:rsidR="003D640C">
        <w:rPr>
          <w:lang w:eastAsia="en-NZ"/>
        </w:rPr>
        <w:t xml:space="preserve"> </w:t>
      </w:r>
      <w:r w:rsidRPr="00094317">
        <w:rPr>
          <w:lang w:eastAsia="en-NZ"/>
        </w:rPr>
        <w:t>are</w:t>
      </w:r>
      <w:r w:rsidR="003D640C">
        <w:rPr>
          <w:lang w:eastAsia="en-NZ"/>
        </w:rPr>
        <w:t xml:space="preserve"> </w:t>
      </w:r>
      <w:r w:rsidRPr="00094317">
        <w:rPr>
          <w:lang w:eastAsia="en-NZ"/>
        </w:rPr>
        <w:t>limited</w:t>
      </w:r>
      <w:r w:rsidR="003D640C">
        <w:rPr>
          <w:lang w:eastAsia="en-NZ"/>
        </w:rPr>
        <w:t xml:space="preserve"> </w:t>
      </w:r>
      <w:r w:rsidRPr="00094317">
        <w:rPr>
          <w:lang w:eastAsia="en-NZ"/>
        </w:rPr>
        <w:t>in</w:t>
      </w:r>
      <w:r w:rsidR="003D640C">
        <w:rPr>
          <w:lang w:eastAsia="en-NZ"/>
        </w:rPr>
        <w:t xml:space="preserve"> </w:t>
      </w:r>
      <w:r w:rsidRPr="00094317">
        <w:rPr>
          <w:lang w:eastAsia="en-NZ"/>
        </w:rPr>
        <w:t>several</w:t>
      </w:r>
      <w:r w:rsidR="003D640C">
        <w:rPr>
          <w:lang w:eastAsia="en-NZ"/>
        </w:rPr>
        <w:t xml:space="preserve"> </w:t>
      </w:r>
      <w:r w:rsidRPr="00094317">
        <w:rPr>
          <w:lang w:eastAsia="en-NZ"/>
        </w:rPr>
        <w:t>ways.</w:t>
      </w:r>
      <w:r w:rsidR="003D640C">
        <w:rPr>
          <w:lang w:eastAsia="en-NZ"/>
        </w:rPr>
        <w:t xml:space="preserve"> </w:t>
      </w:r>
      <w:r w:rsidRPr="00094317">
        <w:rPr>
          <w:lang w:eastAsia="en-NZ"/>
        </w:rPr>
        <w:t>They</w:t>
      </w:r>
      <w:r w:rsidR="003D640C">
        <w:rPr>
          <w:lang w:eastAsia="en-NZ"/>
        </w:rPr>
        <w:t xml:space="preserve"> </w:t>
      </w:r>
      <w:r w:rsidRPr="00094317">
        <w:rPr>
          <w:lang w:eastAsia="en-NZ"/>
        </w:rPr>
        <w:t>must</w:t>
      </w:r>
      <w:r w:rsidR="003D640C">
        <w:rPr>
          <w:lang w:eastAsia="en-NZ"/>
        </w:rPr>
        <w:t xml:space="preserve"> </w:t>
      </w:r>
      <w:r w:rsidRPr="00094317">
        <w:rPr>
          <w:lang w:eastAsia="en-NZ"/>
        </w:rPr>
        <w:t>be</w:t>
      </w:r>
      <w:r w:rsidR="003D640C">
        <w:rPr>
          <w:lang w:eastAsia="en-NZ"/>
        </w:rPr>
        <w:t xml:space="preserve"> </w:t>
      </w:r>
      <w:r w:rsidRPr="00094317">
        <w:rPr>
          <w:lang w:eastAsia="en-NZ"/>
        </w:rPr>
        <w:t>exercised</w:t>
      </w:r>
      <w:r w:rsidR="003D640C">
        <w:rPr>
          <w:lang w:eastAsia="en-NZ"/>
        </w:rPr>
        <w:t xml:space="preserve"> </w:t>
      </w:r>
      <w:r w:rsidRPr="00094317">
        <w:rPr>
          <w:lang w:eastAsia="en-NZ"/>
        </w:rPr>
        <w:t>in</w:t>
      </w:r>
      <w:r w:rsidR="003D640C">
        <w:rPr>
          <w:lang w:eastAsia="en-NZ"/>
        </w:rPr>
        <w:t xml:space="preserve"> </w:t>
      </w:r>
      <w:r w:rsidRPr="00094317">
        <w:rPr>
          <w:lang w:eastAsia="en-NZ"/>
        </w:rPr>
        <w:t>accordance</w:t>
      </w:r>
      <w:r w:rsidR="003D640C">
        <w:rPr>
          <w:lang w:eastAsia="en-NZ"/>
        </w:rPr>
        <w:t xml:space="preserve"> </w:t>
      </w:r>
      <w:r w:rsidRPr="00094317">
        <w:rPr>
          <w:lang w:eastAsia="en-NZ"/>
        </w:rPr>
        <w:t>with</w:t>
      </w:r>
      <w:r w:rsidR="003D640C">
        <w:rPr>
          <w:lang w:eastAsia="en-NZ"/>
        </w:rPr>
        <w:t xml:space="preserve"> </w:t>
      </w:r>
      <w:r w:rsidRPr="00094317">
        <w:rPr>
          <w:lang w:eastAsia="en-NZ"/>
        </w:rPr>
        <w:t>the</w:t>
      </w:r>
      <w:r w:rsidR="003D640C">
        <w:rPr>
          <w:lang w:eastAsia="en-NZ"/>
        </w:rPr>
        <w:t xml:space="preserve"> </w:t>
      </w:r>
      <w:r w:rsidRPr="00094317">
        <w:rPr>
          <w:lang w:eastAsia="en-NZ"/>
        </w:rPr>
        <w:t>core</w:t>
      </w:r>
      <w:r w:rsidR="003D640C">
        <w:rPr>
          <w:lang w:eastAsia="en-NZ"/>
        </w:rPr>
        <w:t xml:space="preserve"> </w:t>
      </w:r>
      <w:r w:rsidRPr="00094317">
        <w:rPr>
          <w:lang w:eastAsia="en-NZ"/>
        </w:rPr>
        <w:t>principle</w:t>
      </w:r>
      <w:r w:rsidR="003D640C">
        <w:rPr>
          <w:lang w:eastAsia="en-NZ"/>
        </w:rPr>
        <w:t xml:space="preserve"> </w:t>
      </w:r>
      <w:r w:rsidRPr="00094317">
        <w:rPr>
          <w:lang w:eastAsia="en-NZ"/>
        </w:rPr>
        <w:t>that</w:t>
      </w:r>
      <w:r w:rsidR="003D640C">
        <w:rPr>
          <w:lang w:eastAsia="en-NZ"/>
        </w:rPr>
        <w:t xml:space="preserve"> </w:t>
      </w:r>
      <w:r w:rsidRPr="00094317">
        <w:rPr>
          <w:lang w:eastAsia="en-NZ"/>
        </w:rPr>
        <w:t>the</w:t>
      </w:r>
      <w:r w:rsidR="003D640C">
        <w:rPr>
          <w:lang w:eastAsia="en-NZ"/>
        </w:rPr>
        <w:t xml:space="preserve"> </w:t>
      </w:r>
      <w:r w:rsidRPr="00094317">
        <w:rPr>
          <w:lang w:eastAsia="en-NZ"/>
        </w:rPr>
        <w:t>welfare</w:t>
      </w:r>
      <w:r w:rsidR="003D640C">
        <w:rPr>
          <w:lang w:eastAsia="en-NZ"/>
        </w:rPr>
        <w:t xml:space="preserve"> </w:t>
      </w:r>
      <w:r w:rsidRPr="00094317">
        <w:rPr>
          <w:lang w:eastAsia="en-NZ"/>
        </w:rPr>
        <w:t>and</w:t>
      </w:r>
      <w:r w:rsidR="003D640C">
        <w:rPr>
          <w:lang w:eastAsia="en-NZ"/>
        </w:rPr>
        <w:t xml:space="preserve"> </w:t>
      </w:r>
      <w:r w:rsidRPr="00094317">
        <w:rPr>
          <w:lang w:eastAsia="en-NZ"/>
        </w:rPr>
        <w:t>interest</w:t>
      </w:r>
      <w:r w:rsidR="003D640C">
        <w:rPr>
          <w:lang w:eastAsia="en-NZ"/>
        </w:rPr>
        <w:t xml:space="preserve"> </w:t>
      </w:r>
      <w:r w:rsidRPr="00094317">
        <w:rPr>
          <w:lang w:eastAsia="en-NZ"/>
        </w:rPr>
        <w:t>of</w:t>
      </w:r>
      <w:r w:rsidR="003D640C">
        <w:rPr>
          <w:lang w:eastAsia="en-NZ"/>
        </w:rPr>
        <w:t xml:space="preserve"> </w:t>
      </w:r>
      <w:r w:rsidRPr="00094317">
        <w:rPr>
          <w:lang w:eastAsia="en-NZ"/>
        </w:rPr>
        <w:t>the</w:t>
      </w:r>
      <w:r w:rsidR="003D640C">
        <w:rPr>
          <w:lang w:eastAsia="en-NZ"/>
        </w:rPr>
        <w:t xml:space="preserve"> </w:t>
      </w:r>
      <w:r w:rsidRPr="00094317">
        <w:rPr>
          <w:lang w:eastAsia="en-NZ"/>
        </w:rPr>
        <w:t>child</w:t>
      </w:r>
      <w:r w:rsidR="003D640C">
        <w:rPr>
          <w:lang w:eastAsia="en-NZ"/>
        </w:rPr>
        <w:t xml:space="preserve"> </w:t>
      </w:r>
      <w:r w:rsidRPr="00094317">
        <w:rPr>
          <w:lang w:eastAsia="en-NZ"/>
        </w:rPr>
        <w:t>are</w:t>
      </w:r>
      <w:r w:rsidR="003D640C">
        <w:rPr>
          <w:lang w:eastAsia="en-NZ"/>
        </w:rPr>
        <w:t xml:space="preserve"> </w:t>
      </w:r>
      <w:r w:rsidRPr="00094317">
        <w:rPr>
          <w:lang w:eastAsia="en-NZ"/>
        </w:rPr>
        <w:t>paramount</w:t>
      </w:r>
      <w:r w:rsidR="003D640C">
        <w:rPr>
          <w:lang w:eastAsia="en-NZ"/>
        </w:rPr>
        <w:t xml:space="preserve"> </w:t>
      </w:r>
      <w:r w:rsidRPr="00094317">
        <w:rPr>
          <w:lang w:eastAsia="en-NZ"/>
        </w:rPr>
        <w:t>and</w:t>
      </w:r>
      <w:r w:rsidR="003D640C">
        <w:rPr>
          <w:lang w:eastAsia="en-NZ"/>
        </w:rPr>
        <w:t xml:space="preserve"> </w:t>
      </w:r>
      <w:r w:rsidRPr="00094317">
        <w:rPr>
          <w:lang w:eastAsia="en-NZ"/>
        </w:rPr>
        <w:t>that</w:t>
      </w:r>
      <w:r w:rsidR="003D640C">
        <w:rPr>
          <w:lang w:eastAsia="en-NZ"/>
        </w:rPr>
        <w:t xml:space="preserve"> </w:t>
      </w:r>
      <w:r w:rsidRPr="00094317">
        <w:rPr>
          <w:lang w:eastAsia="en-NZ"/>
        </w:rPr>
        <w:t>they</w:t>
      </w:r>
      <w:r w:rsidR="003D640C">
        <w:rPr>
          <w:lang w:eastAsia="en-NZ"/>
        </w:rPr>
        <w:t xml:space="preserve"> </w:t>
      </w:r>
      <w:r w:rsidR="004E301B">
        <w:rPr>
          <w:lang w:eastAsia="en-NZ"/>
        </w:rPr>
        <w:t>“</w:t>
      </w:r>
      <w:r w:rsidRPr="00094317">
        <w:rPr>
          <w:lang w:eastAsia="en-NZ"/>
        </w:rPr>
        <w:t>must</w:t>
      </w:r>
      <w:r w:rsidR="003D640C">
        <w:rPr>
          <w:lang w:eastAsia="en-NZ"/>
        </w:rPr>
        <w:t xml:space="preserve"> </w:t>
      </w:r>
      <w:r w:rsidRPr="00094317">
        <w:rPr>
          <w:lang w:eastAsia="en-NZ"/>
        </w:rPr>
        <w:t>be</w:t>
      </w:r>
      <w:r w:rsidR="003D640C">
        <w:rPr>
          <w:lang w:eastAsia="en-NZ"/>
        </w:rPr>
        <w:t xml:space="preserve"> </w:t>
      </w:r>
      <w:r w:rsidRPr="00094317">
        <w:rPr>
          <w:lang w:eastAsia="en-NZ"/>
        </w:rPr>
        <w:t>given</w:t>
      </w:r>
      <w:r w:rsidR="003D640C">
        <w:rPr>
          <w:lang w:eastAsia="en-NZ"/>
        </w:rPr>
        <w:t xml:space="preserve"> </w:t>
      </w:r>
      <w:r w:rsidRPr="00094317">
        <w:rPr>
          <w:lang w:eastAsia="en-NZ"/>
        </w:rPr>
        <w:t>reasonable</w:t>
      </w:r>
      <w:r w:rsidR="003D640C">
        <w:rPr>
          <w:lang w:eastAsia="en-NZ"/>
        </w:rPr>
        <w:t xml:space="preserve"> </w:t>
      </w:r>
      <w:r w:rsidRPr="00094317">
        <w:rPr>
          <w:lang w:eastAsia="en-NZ"/>
        </w:rPr>
        <w:t>opportunities</w:t>
      </w:r>
      <w:r w:rsidR="003D640C">
        <w:rPr>
          <w:lang w:eastAsia="en-NZ"/>
        </w:rPr>
        <w:t xml:space="preserve"> </w:t>
      </w:r>
      <w:r w:rsidRPr="00094317">
        <w:rPr>
          <w:lang w:eastAsia="en-NZ"/>
        </w:rPr>
        <w:t>to</w:t>
      </w:r>
      <w:r w:rsidR="003D640C">
        <w:rPr>
          <w:lang w:eastAsia="en-NZ"/>
        </w:rPr>
        <w:t xml:space="preserve"> </w:t>
      </w:r>
      <w:r w:rsidRPr="00094317">
        <w:rPr>
          <w:lang w:eastAsia="en-NZ"/>
        </w:rPr>
        <w:t>participate</w:t>
      </w:r>
      <w:r w:rsidR="003D640C">
        <w:rPr>
          <w:lang w:eastAsia="en-NZ"/>
        </w:rPr>
        <w:t xml:space="preserve"> </w:t>
      </w:r>
      <w:r w:rsidRPr="00094317">
        <w:rPr>
          <w:lang w:eastAsia="en-NZ"/>
        </w:rPr>
        <w:t>in</w:t>
      </w:r>
      <w:r w:rsidR="003D640C">
        <w:rPr>
          <w:lang w:eastAsia="en-NZ"/>
        </w:rPr>
        <w:t xml:space="preserve"> </w:t>
      </w:r>
      <w:r w:rsidRPr="00094317">
        <w:rPr>
          <w:lang w:eastAsia="en-NZ"/>
        </w:rPr>
        <w:t>decisions</w:t>
      </w:r>
      <w:r w:rsidR="003D640C">
        <w:rPr>
          <w:lang w:eastAsia="en-NZ"/>
        </w:rPr>
        <w:t xml:space="preserve"> </w:t>
      </w:r>
      <w:r w:rsidRPr="00094317">
        <w:rPr>
          <w:lang w:eastAsia="en-NZ"/>
        </w:rPr>
        <w:t>affecting</w:t>
      </w:r>
      <w:r w:rsidR="003D640C">
        <w:rPr>
          <w:lang w:eastAsia="en-NZ"/>
        </w:rPr>
        <w:t xml:space="preserve"> </w:t>
      </w:r>
      <w:r w:rsidRPr="00094317">
        <w:rPr>
          <w:lang w:eastAsia="en-NZ"/>
        </w:rPr>
        <w:t>them</w:t>
      </w:r>
      <w:r w:rsidR="004E301B">
        <w:rPr>
          <w:lang w:eastAsia="en-NZ"/>
        </w:rPr>
        <w:t>”</w:t>
      </w:r>
      <w:r w:rsidRPr="00094317">
        <w:rPr>
          <w:lang w:eastAsia="en-NZ"/>
        </w:rPr>
        <w:t>.</w:t>
      </w:r>
      <w:r w:rsidR="003D640C">
        <w:rPr>
          <w:lang w:eastAsia="en-NZ"/>
        </w:rPr>
        <w:t xml:space="preserve"> </w:t>
      </w:r>
    </w:p>
    <w:p w14:paraId="15E333B1" w14:textId="5107BBE5" w:rsidR="00BC295E" w:rsidRPr="00094317" w:rsidRDefault="00BC295E" w:rsidP="0002020B">
      <w:pPr>
        <w:rPr>
          <w:lang w:eastAsia="en-NZ"/>
        </w:rPr>
      </w:pPr>
      <w:r w:rsidRPr="00094317">
        <w:rPr>
          <w:lang w:eastAsia="en-NZ"/>
        </w:rPr>
        <w:t>The</w:t>
      </w:r>
      <w:r w:rsidR="003D640C">
        <w:rPr>
          <w:lang w:eastAsia="en-NZ"/>
        </w:rPr>
        <w:t xml:space="preserve"> </w:t>
      </w:r>
      <w:r w:rsidRPr="00094317">
        <w:rPr>
          <w:lang w:eastAsia="en-NZ"/>
        </w:rPr>
        <w:t>CPPLA</w:t>
      </w:r>
      <w:r w:rsidR="003D640C">
        <w:rPr>
          <w:lang w:eastAsia="en-NZ"/>
        </w:rPr>
        <w:t xml:space="preserve"> </w:t>
      </w:r>
      <w:r w:rsidRPr="00094317">
        <w:rPr>
          <w:lang w:eastAsia="en-NZ"/>
        </w:rPr>
        <w:t>does</w:t>
      </w:r>
      <w:r w:rsidR="003D640C">
        <w:rPr>
          <w:lang w:eastAsia="en-NZ"/>
        </w:rPr>
        <w:t xml:space="preserve"> </w:t>
      </w:r>
      <w:r w:rsidRPr="00094317">
        <w:rPr>
          <w:lang w:eastAsia="en-NZ"/>
        </w:rPr>
        <w:t>not</w:t>
      </w:r>
      <w:r w:rsidR="003D640C">
        <w:rPr>
          <w:lang w:eastAsia="en-NZ"/>
        </w:rPr>
        <w:t xml:space="preserve"> </w:t>
      </w:r>
      <w:r w:rsidRPr="00094317">
        <w:rPr>
          <w:lang w:eastAsia="en-NZ"/>
        </w:rPr>
        <w:t>make</w:t>
      </w:r>
      <w:r w:rsidR="003D640C">
        <w:rPr>
          <w:lang w:eastAsia="en-NZ"/>
        </w:rPr>
        <w:t xml:space="preserve"> </w:t>
      </w:r>
      <w:r w:rsidR="00D35A83">
        <w:rPr>
          <w:lang w:eastAsia="en-NZ"/>
        </w:rPr>
        <w:t xml:space="preserve">unlawful </w:t>
      </w:r>
      <w:r w:rsidRPr="00BC295E">
        <w:t>respectful</w:t>
      </w:r>
      <w:r w:rsidR="003D640C">
        <w:t xml:space="preserve"> </w:t>
      </w:r>
      <w:r w:rsidRPr="00BC295E">
        <w:t>discussi</w:t>
      </w:r>
      <w:r w:rsidR="00D35A83">
        <w:t>on</w:t>
      </w:r>
      <w:r w:rsidR="00AE6C65">
        <w:t xml:space="preserve"> of</w:t>
      </w:r>
      <w:r w:rsidR="003D640C">
        <w:t xml:space="preserve"> </w:t>
      </w:r>
      <w:r w:rsidRPr="00BC295E">
        <w:t>sexual</w:t>
      </w:r>
      <w:r w:rsidR="003D640C">
        <w:t xml:space="preserve"> </w:t>
      </w:r>
      <w:r w:rsidRPr="00BC295E">
        <w:t>orientation</w:t>
      </w:r>
      <w:r w:rsidR="003D640C">
        <w:t xml:space="preserve"> </w:t>
      </w:r>
      <w:r w:rsidRPr="00BC295E">
        <w:t>or</w:t>
      </w:r>
      <w:r w:rsidR="003D640C">
        <w:t xml:space="preserve"> </w:t>
      </w:r>
      <w:r w:rsidRPr="00BC295E">
        <w:t>gender</w:t>
      </w:r>
      <w:r w:rsidR="003D640C">
        <w:t xml:space="preserve"> </w:t>
      </w:r>
      <w:r w:rsidRPr="00BC295E">
        <w:t>with</w:t>
      </w:r>
      <w:r w:rsidR="003D640C">
        <w:t xml:space="preserve"> </w:t>
      </w:r>
      <w:r w:rsidRPr="00BC295E">
        <w:t>their</w:t>
      </w:r>
      <w:r w:rsidR="003D640C">
        <w:t xml:space="preserve"> </w:t>
      </w:r>
      <w:r w:rsidRPr="00BC295E">
        <w:t>child,</w:t>
      </w:r>
      <w:r w:rsidR="003D640C">
        <w:t xml:space="preserve"> </w:t>
      </w:r>
      <w:r w:rsidRPr="00BC295E">
        <w:t>including</w:t>
      </w:r>
      <w:r w:rsidR="003D640C">
        <w:t xml:space="preserve"> </w:t>
      </w:r>
      <w:r w:rsidRPr="00BC295E">
        <w:t>offering</w:t>
      </w:r>
      <w:r w:rsidR="003D640C">
        <w:t xml:space="preserve"> </w:t>
      </w:r>
      <w:r w:rsidRPr="00BC295E">
        <w:t>advice</w:t>
      </w:r>
      <w:r w:rsidR="003D640C">
        <w:t xml:space="preserve"> </w:t>
      </w:r>
      <w:r w:rsidRPr="00BC295E">
        <w:t>and</w:t>
      </w:r>
      <w:r w:rsidR="003D640C">
        <w:t xml:space="preserve"> </w:t>
      </w:r>
      <w:r w:rsidRPr="00BC295E">
        <w:t>guidance</w:t>
      </w:r>
      <w:r w:rsidR="003D640C">
        <w:t xml:space="preserve"> </w:t>
      </w:r>
      <w:r w:rsidRPr="00BC295E">
        <w:t>or</w:t>
      </w:r>
      <w:r w:rsidR="003D640C">
        <w:t xml:space="preserve"> </w:t>
      </w:r>
      <w:r w:rsidRPr="00BC295E">
        <w:t>expressing</w:t>
      </w:r>
      <w:r w:rsidR="003D640C">
        <w:t xml:space="preserve"> </w:t>
      </w:r>
      <w:r w:rsidRPr="00BC295E">
        <w:t>a</w:t>
      </w:r>
      <w:r w:rsidR="003D640C">
        <w:t xml:space="preserve"> </w:t>
      </w:r>
      <w:r w:rsidRPr="00BC295E">
        <w:t>belief</w:t>
      </w:r>
      <w:r w:rsidR="003D640C">
        <w:t xml:space="preserve"> </w:t>
      </w:r>
      <w:r w:rsidRPr="00BC295E">
        <w:t>or</w:t>
      </w:r>
      <w:r w:rsidR="003D640C">
        <w:t xml:space="preserve"> </w:t>
      </w:r>
      <w:r w:rsidRPr="00BC295E">
        <w:t>religious</w:t>
      </w:r>
      <w:r w:rsidR="003D640C">
        <w:t xml:space="preserve"> </w:t>
      </w:r>
      <w:r w:rsidRPr="00BC295E">
        <w:t>principle</w:t>
      </w:r>
      <w:r w:rsidR="001677A6">
        <w:t>,</w:t>
      </w:r>
      <w:r w:rsidR="003D640C">
        <w:t xml:space="preserve"> </w:t>
      </w:r>
      <w:r w:rsidRPr="00BC295E">
        <w:t>providing</w:t>
      </w:r>
      <w:r w:rsidR="003D640C">
        <w:t xml:space="preserve"> </w:t>
      </w:r>
      <w:r w:rsidRPr="00BC295E">
        <w:t>there</w:t>
      </w:r>
      <w:r w:rsidR="003D640C">
        <w:t xml:space="preserve"> </w:t>
      </w:r>
      <w:r w:rsidRPr="00BC295E">
        <w:t>is</w:t>
      </w:r>
      <w:r w:rsidR="003D640C">
        <w:t xml:space="preserve"> </w:t>
      </w:r>
      <w:r w:rsidRPr="00BC295E">
        <w:t>no</w:t>
      </w:r>
      <w:r w:rsidR="003D640C">
        <w:t xml:space="preserve"> </w:t>
      </w:r>
      <w:r w:rsidRPr="00BC295E">
        <w:t>intention</w:t>
      </w:r>
      <w:r w:rsidR="003D640C">
        <w:t xml:space="preserve"> </w:t>
      </w:r>
      <w:r w:rsidRPr="00BC295E">
        <w:t>to</w:t>
      </w:r>
      <w:r w:rsidR="003D640C">
        <w:t xml:space="preserve"> </w:t>
      </w:r>
      <w:r w:rsidRPr="00BC295E">
        <w:t>change</w:t>
      </w:r>
      <w:r w:rsidR="003D640C">
        <w:t xml:space="preserve"> </w:t>
      </w:r>
      <w:r w:rsidRPr="00BC295E">
        <w:t>or</w:t>
      </w:r>
      <w:r w:rsidR="003D640C">
        <w:t xml:space="preserve"> </w:t>
      </w:r>
      <w:r w:rsidRPr="00BC295E">
        <w:t>suppress</w:t>
      </w:r>
      <w:r w:rsidR="003D640C">
        <w:t xml:space="preserve"> </w:t>
      </w:r>
      <w:r w:rsidRPr="00BC295E">
        <w:t>an</w:t>
      </w:r>
      <w:r w:rsidR="003D640C">
        <w:t xml:space="preserve"> </w:t>
      </w:r>
      <w:r w:rsidRPr="00BC295E">
        <w:t>individual’s</w:t>
      </w:r>
      <w:r w:rsidR="003D640C">
        <w:t xml:space="preserve"> </w:t>
      </w:r>
      <w:r w:rsidRPr="00BC295E">
        <w:t>sexual</w:t>
      </w:r>
      <w:r w:rsidR="003D640C">
        <w:t xml:space="preserve"> </w:t>
      </w:r>
      <w:r w:rsidRPr="00BC295E">
        <w:t>orientation,</w:t>
      </w:r>
      <w:r w:rsidR="003D640C">
        <w:t xml:space="preserve"> </w:t>
      </w:r>
      <w:r w:rsidRPr="00BC295E">
        <w:t>gender</w:t>
      </w:r>
      <w:r w:rsidR="003D640C">
        <w:t xml:space="preserve"> </w:t>
      </w:r>
      <w:r w:rsidRPr="00BC295E">
        <w:t>identity,</w:t>
      </w:r>
      <w:r w:rsidR="003D640C">
        <w:t xml:space="preserve"> </w:t>
      </w:r>
      <w:r w:rsidRPr="00BC295E">
        <w:t>or</w:t>
      </w:r>
      <w:r w:rsidR="003D640C">
        <w:t xml:space="preserve"> </w:t>
      </w:r>
      <w:r w:rsidRPr="00BC295E">
        <w:t>gender</w:t>
      </w:r>
      <w:r w:rsidR="003D640C">
        <w:t xml:space="preserve"> </w:t>
      </w:r>
      <w:r w:rsidRPr="007D18C8">
        <w:t>expression.</w:t>
      </w:r>
      <w:r w:rsidR="003D640C" w:rsidRPr="007D18C8">
        <w:t xml:space="preserve"> </w:t>
      </w:r>
      <w:r w:rsidRPr="007D18C8">
        <w:rPr>
          <w:lang w:eastAsia="en-NZ"/>
        </w:rPr>
        <w:t>Inst</w:t>
      </w:r>
      <w:r w:rsidRPr="00094317">
        <w:rPr>
          <w:lang w:eastAsia="en-NZ"/>
        </w:rPr>
        <w:t>ead,</w:t>
      </w:r>
      <w:r w:rsidR="003D640C">
        <w:rPr>
          <w:lang w:eastAsia="en-NZ"/>
        </w:rPr>
        <w:t xml:space="preserve"> </w:t>
      </w:r>
      <w:r w:rsidRPr="00094317">
        <w:rPr>
          <w:lang w:eastAsia="en-NZ"/>
        </w:rPr>
        <w:t>it</w:t>
      </w:r>
      <w:r w:rsidR="003D640C">
        <w:rPr>
          <w:lang w:eastAsia="en-NZ"/>
        </w:rPr>
        <w:t xml:space="preserve"> </w:t>
      </w:r>
      <w:r w:rsidRPr="00094317">
        <w:rPr>
          <w:lang w:eastAsia="en-NZ"/>
        </w:rPr>
        <w:t>is</w:t>
      </w:r>
      <w:r w:rsidR="003D640C">
        <w:rPr>
          <w:lang w:eastAsia="en-NZ"/>
        </w:rPr>
        <w:t xml:space="preserve"> </w:t>
      </w:r>
      <w:r w:rsidRPr="00094317">
        <w:rPr>
          <w:lang w:eastAsia="en-NZ"/>
        </w:rPr>
        <w:t>aimed</w:t>
      </w:r>
      <w:r w:rsidR="003D640C">
        <w:rPr>
          <w:lang w:eastAsia="en-NZ"/>
        </w:rPr>
        <w:t xml:space="preserve"> </w:t>
      </w:r>
      <w:r w:rsidRPr="00094317">
        <w:rPr>
          <w:lang w:eastAsia="en-NZ"/>
        </w:rPr>
        <w:t>at</w:t>
      </w:r>
      <w:r w:rsidR="003D640C">
        <w:rPr>
          <w:lang w:eastAsia="en-NZ"/>
        </w:rPr>
        <w:t xml:space="preserve"> </w:t>
      </w:r>
      <w:r w:rsidRPr="00094317">
        <w:rPr>
          <w:lang w:eastAsia="en-NZ"/>
        </w:rPr>
        <w:t>specific</w:t>
      </w:r>
      <w:r w:rsidR="003D640C">
        <w:rPr>
          <w:lang w:eastAsia="en-NZ"/>
        </w:rPr>
        <w:t xml:space="preserve"> </w:t>
      </w:r>
      <w:r w:rsidRPr="00094317">
        <w:rPr>
          <w:lang w:eastAsia="en-NZ"/>
        </w:rPr>
        <w:t>harmful</w:t>
      </w:r>
      <w:r w:rsidR="003D640C">
        <w:rPr>
          <w:lang w:eastAsia="en-NZ"/>
        </w:rPr>
        <w:t xml:space="preserve"> </w:t>
      </w:r>
      <w:r w:rsidRPr="00094317">
        <w:rPr>
          <w:lang w:eastAsia="en-NZ"/>
        </w:rPr>
        <w:t>practices</w:t>
      </w:r>
      <w:r w:rsidR="003D640C">
        <w:rPr>
          <w:lang w:eastAsia="en-NZ"/>
        </w:rPr>
        <w:t xml:space="preserve"> </w:t>
      </w:r>
      <w:r w:rsidRPr="00094317">
        <w:rPr>
          <w:lang w:eastAsia="en-NZ"/>
        </w:rPr>
        <w:t>and</w:t>
      </w:r>
      <w:r w:rsidR="003D640C">
        <w:rPr>
          <w:lang w:eastAsia="en-NZ"/>
        </w:rPr>
        <w:t xml:space="preserve"> </w:t>
      </w:r>
      <w:r w:rsidRPr="00094317">
        <w:rPr>
          <w:lang w:eastAsia="en-NZ"/>
        </w:rPr>
        <w:t>sustained</w:t>
      </w:r>
      <w:r w:rsidR="003D640C">
        <w:rPr>
          <w:lang w:eastAsia="en-NZ"/>
        </w:rPr>
        <w:t xml:space="preserve"> </w:t>
      </w:r>
      <w:r w:rsidRPr="00094317">
        <w:rPr>
          <w:lang w:eastAsia="en-NZ"/>
        </w:rPr>
        <w:t>effort</w:t>
      </w:r>
      <w:r w:rsidR="003D640C">
        <w:rPr>
          <w:lang w:eastAsia="en-NZ"/>
        </w:rPr>
        <w:t xml:space="preserve"> </w:t>
      </w:r>
      <w:r w:rsidRPr="00094317">
        <w:rPr>
          <w:lang w:eastAsia="en-NZ"/>
        </w:rPr>
        <w:t>or</w:t>
      </w:r>
      <w:r w:rsidR="003D640C">
        <w:rPr>
          <w:lang w:eastAsia="en-NZ"/>
        </w:rPr>
        <w:t xml:space="preserve"> </w:t>
      </w:r>
      <w:r w:rsidRPr="00094317">
        <w:rPr>
          <w:lang w:eastAsia="en-NZ"/>
        </w:rPr>
        <w:t>treatments</w:t>
      </w:r>
      <w:r w:rsidR="003D640C">
        <w:rPr>
          <w:lang w:eastAsia="en-NZ"/>
        </w:rPr>
        <w:t xml:space="preserve"> </w:t>
      </w:r>
      <w:r w:rsidRPr="00094317">
        <w:rPr>
          <w:lang w:eastAsia="en-NZ"/>
        </w:rPr>
        <w:t>that</w:t>
      </w:r>
      <w:r w:rsidR="003D640C">
        <w:rPr>
          <w:lang w:eastAsia="en-NZ"/>
        </w:rPr>
        <w:t xml:space="preserve"> </w:t>
      </w:r>
      <w:r w:rsidRPr="00094317">
        <w:rPr>
          <w:lang w:eastAsia="en-NZ"/>
        </w:rPr>
        <w:t>try</w:t>
      </w:r>
      <w:r w:rsidR="003D640C">
        <w:rPr>
          <w:lang w:eastAsia="en-NZ"/>
        </w:rPr>
        <w:t xml:space="preserve"> </w:t>
      </w:r>
      <w:r w:rsidRPr="00094317">
        <w:rPr>
          <w:lang w:eastAsia="en-NZ"/>
        </w:rPr>
        <w:t>to</w:t>
      </w:r>
      <w:r w:rsidR="003D640C">
        <w:rPr>
          <w:lang w:eastAsia="en-NZ"/>
        </w:rPr>
        <w:t xml:space="preserve"> </w:t>
      </w:r>
      <w:r w:rsidRPr="00094317">
        <w:rPr>
          <w:lang w:eastAsia="en-NZ"/>
        </w:rPr>
        <w:t>change</w:t>
      </w:r>
      <w:r w:rsidR="003D640C">
        <w:rPr>
          <w:lang w:eastAsia="en-NZ"/>
        </w:rPr>
        <w:t xml:space="preserve"> </w:t>
      </w:r>
      <w:r w:rsidR="0042773F">
        <w:rPr>
          <w:lang w:eastAsia="en-NZ"/>
        </w:rPr>
        <w:t>a</w:t>
      </w:r>
      <w:r w:rsidR="003D640C">
        <w:rPr>
          <w:lang w:eastAsia="en-NZ"/>
        </w:rPr>
        <w:t xml:space="preserve"> </w:t>
      </w:r>
      <w:r w:rsidRPr="00094317">
        <w:rPr>
          <w:lang w:eastAsia="en-NZ"/>
        </w:rPr>
        <w:t>child’s</w:t>
      </w:r>
      <w:r w:rsidR="003D640C">
        <w:rPr>
          <w:lang w:eastAsia="en-NZ"/>
        </w:rPr>
        <w:t xml:space="preserve"> </w:t>
      </w:r>
      <w:r w:rsidRPr="00094317">
        <w:rPr>
          <w:lang w:eastAsia="en-NZ"/>
        </w:rPr>
        <w:t>gender</w:t>
      </w:r>
      <w:r w:rsidR="003D640C">
        <w:rPr>
          <w:lang w:eastAsia="en-NZ"/>
        </w:rPr>
        <w:t xml:space="preserve"> </w:t>
      </w:r>
      <w:r w:rsidRPr="00094317">
        <w:rPr>
          <w:lang w:eastAsia="en-NZ"/>
        </w:rPr>
        <w:t>or</w:t>
      </w:r>
      <w:r w:rsidR="003D640C">
        <w:rPr>
          <w:lang w:eastAsia="en-NZ"/>
        </w:rPr>
        <w:t xml:space="preserve"> </w:t>
      </w:r>
      <w:r w:rsidRPr="00094317">
        <w:rPr>
          <w:lang w:eastAsia="en-NZ"/>
        </w:rPr>
        <w:t>sexual</w:t>
      </w:r>
      <w:r w:rsidR="003D640C">
        <w:rPr>
          <w:lang w:eastAsia="en-NZ"/>
        </w:rPr>
        <w:t xml:space="preserve"> </w:t>
      </w:r>
      <w:r w:rsidRPr="00094317">
        <w:rPr>
          <w:lang w:eastAsia="en-NZ"/>
        </w:rPr>
        <w:t>orientation.</w:t>
      </w:r>
      <w:r w:rsidR="003D640C">
        <w:rPr>
          <w:lang w:eastAsia="en-NZ"/>
        </w:rPr>
        <w:t xml:space="preserve"> </w:t>
      </w:r>
    </w:p>
    <w:p w14:paraId="43C7E584" w14:textId="16483C57" w:rsidR="00BC295E" w:rsidRPr="00094317" w:rsidRDefault="00BC295E" w:rsidP="0002020B">
      <w:pPr>
        <w:rPr>
          <w:lang w:eastAsia="en-NZ"/>
        </w:rPr>
      </w:pPr>
      <w:r w:rsidRPr="00094317">
        <w:rPr>
          <w:lang w:eastAsia="en-NZ"/>
        </w:rPr>
        <w:t>Some</w:t>
      </w:r>
      <w:r w:rsidR="003D640C">
        <w:rPr>
          <w:lang w:eastAsia="en-NZ"/>
        </w:rPr>
        <w:t xml:space="preserve"> </w:t>
      </w:r>
      <w:r w:rsidRPr="00094317">
        <w:rPr>
          <w:lang w:eastAsia="en-NZ"/>
        </w:rPr>
        <w:t>submitters</w:t>
      </w:r>
      <w:r w:rsidR="003D640C">
        <w:rPr>
          <w:lang w:eastAsia="en-NZ"/>
        </w:rPr>
        <w:t xml:space="preserve"> </w:t>
      </w:r>
      <w:r w:rsidRPr="00094317">
        <w:rPr>
          <w:lang w:eastAsia="en-NZ"/>
        </w:rPr>
        <w:t>at</w:t>
      </w:r>
      <w:r w:rsidR="003D640C">
        <w:rPr>
          <w:lang w:eastAsia="en-NZ"/>
        </w:rPr>
        <w:t xml:space="preserve"> </w:t>
      </w:r>
      <w:r w:rsidRPr="00094317">
        <w:rPr>
          <w:lang w:eastAsia="en-NZ"/>
        </w:rPr>
        <w:t>Select</w:t>
      </w:r>
      <w:r w:rsidR="003D640C">
        <w:rPr>
          <w:lang w:eastAsia="en-NZ"/>
        </w:rPr>
        <w:t xml:space="preserve"> </w:t>
      </w:r>
      <w:r w:rsidRPr="00094317">
        <w:rPr>
          <w:lang w:eastAsia="en-NZ"/>
        </w:rPr>
        <w:t>Committee</w:t>
      </w:r>
      <w:r w:rsidR="003D640C">
        <w:rPr>
          <w:lang w:eastAsia="en-NZ"/>
        </w:rPr>
        <w:t xml:space="preserve"> </w:t>
      </w:r>
      <w:r w:rsidRPr="00094317">
        <w:rPr>
          <w:lang w:eastAsia="en-NZ"/>
        </w:rPr>
        <w:t>were</w:t>
      </w:r>
      <w:r w:rsidR="003D640C">
        <w:rPr>
          <w:lang w:eastAsia="en-NZ"/>
        </w:rPr>
        <w:t xml:space="preserve"> </w:t>
      </w:r>
      <w:r w:rsidRPr="00094317">
        <w:rPr>
          <w:lang w:eastAsia="en-NZ"/>
        </w:rPr>
        <w:t>concerned</w:t>
      </w:r>
      <w:r w:rsidR="003D640C">
        <w:rPr>
          <w:lang w:eastAsia="en-NZ"/>
        </w:rPr>
        <w:t xml:space="preserve"> </w:t>
      </w:r>
      <w:r w:rsidRPr="00094317">
        <w:rPr>
          <w:lang w:eastAsia="en-NZ"/>
        </w:rPr>
        <w:t>about</w:t>
      </w:r>
      <w:r w:rsidR="003D640C">
        <w:rPr>
          <w:lang w:eastAsia="en-NZ"/>
        </w:rPr>
        <w:t xml:space="preserve"> </w:t>
      </w:r>
      <w:r w:rsidRPr="00094317">
        <w:rPr>
          <w:lang w:eastAsia="en-NZ"/>
        </w:rPr>
        <w:t>the</w:t>
      </w:r>
      <w:r w:rsidR="003D640C">
        <w:rPr>
          <w:lang w:eastAsia="en-NZ"/>
        </w:rPr>
        <w:t xml:space="preserve"> </w:t>
      </w:r>
      <w:r w:rsidRPr="00094317">
        <w:rPr>
          <w:lang w:eastAsia="en-NZ"/>
        </w:rPr>
        <w:t>potential</w:t>
      </w:r>
      <w:r w:rsidR="003D640C">
        <w:rPr>
          <w:lang w:eastAsia="en-NZ"/>
        </w:rPr>
        <w:t xml:space="preserve"> </w:t>
      </w:r>
      <w:r w:rsidRPr="00094317">
        <w:rPr>
          <w:lang w:eastAsia="en-NZ"/>
        </w:rPr>
        <w:t>impact</w:t>
      </w:r>
      <w:r w:rsidR="003D640C">
        <w:rPr>
          <w:lang w:eastAsia="en-NZ"/>
        </w:rPr>
        <w:t xml:space="preserve"> </w:t>
      </w:r>
      <w:r w:rsidRPr="00094317">
        <w:rPr>
          <w:lang w:eastAsia="en-NZ"/>
        </w:rPr>
        <w:t>on</w:t>
      </w:r>
      <w:r w:rsidR="003D640C">
        <w:rPr>
          <w:lang w:eastAsia="en-NZ"/>
        </w:rPr>
        <w:t xml:space="preserve"> </w:t>
      </w:r>
      <w:r w:rsidRPr="00094317">
        <w:rPr>
          <w:lang w:eastAsia="en-NZ"/>
        </w:rPr>
        <w:t>legitimate</w:t>
      </w:r>
      <w:r w:rsidR="003D640C">
        <w:rPr>
          <w:lang w:eastAsia="en-NZ"/>
        </w:rPr>
        <w:t xml:space="preserve"> </w:t>
      </w:r>
      <w:r w:rsidRPr="00094317">
        <w:rPr>
          <w:lang w:eastAsia="en-NZ"/>
        </w:rPr>
        <w:t>expressions</w:t>
      </w:r>
      <w:r w:rsidR="003D640C">
        <w:rPr>
          <w:lang w:eastAsia="en-NZ"/>
        </w:rPr>
        <w:t xml:space="preserve"> </w:t>
      </w:r>
      <w:r w:rsidRPr="00094317">
        <w:rPr>
          <w:lang w:eastAsia="en-NZ"/>
        </w:rPr>
        <w:t>of</w:t>
      </w:r>
      <w:r w:rsidR="003D640C">
        <w:rPr>
          <w:lang w:eastAsia="en-NZ"/>
        </w:rPr>
        <w:t xml:space="preserve"> </w:t>
      </w:r>
      <w:r w:rsidRPr="00094317">
        <w:rPr>
          <w:lang w:eastAsia="en-NZ"/>
        </w:rPr>
        <w:t>opinion</w:t>
      </w:r>
      <w:r w:rsidR="003D640C">
        <w:rPr>
          <w:lang w:eastAsia="en-NZ"/>
        </w:rPr>
        <w:t xml:space="preserve"> </w:t>
      </w:r>
      <w:r w:rsidRPr="00094317">
        <w:rPr>
          <w:lang w:eastAsia="en-NZ"/>
        </w:rPr>
        <w:t>within</w:t>
      </w:r>
      <w:r w:rsidR="003D640C">
        <w:rPr>
          <w:lang w:eastAsia="en-NZ"/>
        </w:rPr>
        <w:t xml:space="preserve"> </w:t>
      </w:r>
      <w:r w:rsidRPr="00094317">
        <w:rPr>
          <w:lang w:eastAsia="en-NZ"/>
        </w:rPr>
        <w:t>families/whānau</w:t>
      </w:r>
      <w:r w:rsidR="003D640C">
        <w:rPr>
          <w:lang w:eastAsia="en-NZ"/>
        </w:rPr>
        <w:t xml:space="preserve"> </w:t>
      </w:r>
      <w:r w:rsidRPr="00094317">
        <w:rPr>
          <w:lang w:eastAsia="en-NZ"/>
        </w:rPr>
        <w:t>about</w:t>
      </w:r>
      <w:r w:rsidR="003D640C">
        <w:rPr>
          <w:lang w:eastAsia="en-NZ"/>
        </w:rPr>
        <w:t xml:space="preserve"> </w:t>
      </w:r>
      <w:r w:rsidRPr="00094317">
        <w:rPr>
          <w:lang w:eastAsia="en-NZ"/>
        </w:rPr>
        <w:t>sexuality</w:t>
      </w:r>
      <w:r w:rsidR="003D640C">
        <w:rPr>
          <w:lang w:eastAsia="en-NZ"/>
        </w:rPr>
        <w:t xml:space="preserve"> </w:t>
      </w:r>
      <w:r w:rsidRPr="00094317">
        <w:rPr>
          <w:lang w:eastAsia="en-NZ"/>
        </w:rPr>
        <w:t>and</w:t>
      </w:r>
      <w:r w:rsidR="003D640C">
        <w:rPr>
          <w:lang w:eastAsia="en-NZ"/>
        </w:rPr>
        <w:t xml:space="preserve"> </w:t>
      </w:r>
      <w:r w:rsidRPr="00094317">
        <w:rPr>
          <w:lang w:eastAsia="en-NZ"/>
        </w:rPr>
        <w:t>gender.</w:t>
      </w:r>
      <w:r w:rsidR="003D640C">
        <w:rPr>
          <w:lang w:eastAsia="en-NZ"/>
        </w:rPr>
        <w:t xml:space="preserve"> </w:t>
      </w:r>
      <w:r w:rsidR="004A5BE2">
        <w:rPr>
          <w:lang w:eastAsia="en-NZ"/>
        </w:rPr>
        <w:t>I</w:t>
      </w:r>
      <w:r w:rsidRPr="00094317">
        <w:rPr>
          <w:lang w:eastAsia="en-NZ"/>
        </w:rPr>
        <w:t>n</w:t>
      </w:r>
      <w:r w:rsidR="003D640C">
        <w:rPr>
          <w:lang w:eastAsia="en-NZ"/>
        </w:rPr>
        <w:t xml:space="preserve"> </w:t>
      </w:r>
      <w:r w:rsidRPr="00094317">
        <w:rPr>
          <w:lang w:eastAsia="en-NZ"/>
        </w:rPr>
        <w:t>assessing</w:t>
      </w:r>
      <w:r w:rsidR="003D640C">
        <w:rPr>
          <w:lang w:eastAsia="en-NZ"/>
        </w:rPr>
        <w:t xml:space="preserve"> </w:t>
      </w:r>
      <w:r w:rsidRPr="00094317">
        <w:rPr>
          <w:lang w:eastAsia="en-NZ"/>
        </w:rPr>
        <w:t>the</w:t>
      </w:r>
      <w:r w:rsidR="003D640C">
        <w:rPr>
          <w:lang w:eastAsia="en-NZ"/>
        </w:rPr>
        <w:t xml:space="preserve"> </w:t>
      </w:r>
      <w:r w:rsidRPr="00094317">
        <w:rPr>
          <w:lang w:eastAsia="en-NZ"/>
        </w:rPr>
        <w:t>Bill</w:t>
      </w:r>
      <w:r w:rsidR="003D640C">
        <w:rPr>
          <w:lang w:eastAsia="en-NZ"/>
        </w:rPr>
        <w:t xml:space="preserve"> </w:t>
      </w:r>
      <w:r w:rsidRPr="00094317">
        <w:rPr>
          <w:lang w:eastAsia="en-NZ"/>
        </w:rPr>
        <w:t>against</w:t>
      </w:r>
      <w:r w:rsidR="003D640C">
        <w:rPr>
          <w:lang w:eastAsia="en-NZ"/>
        </w:rPr>
        <w:t xml:space="preserve"> </w:t>
      </w:r>
      <w:r w:rsidRPr="00094317">
        <w:rPr>
          <w:lang w:eastAsia="en-NZ"/>
        </w:rPr>
        <w:t>the</w:t>
      </w:r>
      <w:r w:rsidR="003D640C">
        <w:rPr>
          <w:lang w:eastAsia="en-NZ"/>
        </w:rPr>
        <w:t xml:space="preserve"> </w:t>
      </w:r>
      <w:r w:rsidRPr="00094317">
        <w:rPr>
          <w:lang w:eastAsia="en-NZ"/>
        </w:rPr>
        <w:t>NZBORA,</w:t>
      </w:r>
      <w:r w:rsidR="003D640C">
        <w:rPr>
          <w:lang w:eastAsia="en-NZ"/>
        </w:rPr>
        <w:t xml:space="preserve"> </w:t>
      </w:r>
      <w:r w:rsidRPr="00094317">
        <w:rPr>
          <w:lang w:eastAsia="en-NZ"/>
        </w:rPr>
        <w:t>the</w:t>
      </w:r>
      <w:r w:rsidR="003D640C">
        <w:rPr>
          <w:lang w:eastAsia="en-NZ"/>
        </w:rPr>
        <w:t xml:space="preserve"> </w:t>
      </w:r>
      <w:r w:rsidRPr="00094317">
        <w:rPr>
          <w:lang w:eastAsia="en-NZ"/>
        </w:rPr>
        <w:t>Crown</w:t>
      </w:r>
      <w:r w:rsidR="003D640C">
        <w:rPr>
          <w:lang w:eastAsia="en-NZ"/>
        </w:rPr>
        <w:t xml:space="preserve"> </w:t>
      </w:r>
      <w:r w:rsidRPr="00094317">
        <w:rPr>
          <w:lang w:eastAsia="en-NZ"/>
        </w:rPr>
        <w:t>Law</w:t>
      </w:r>
      <w:r w:rsidR="003D640C">
        <w:rPr>
          <w:lang w:eastAsia="en-NZ"/>
        </w:rPr>
        <w:t xml:space="preserve"> </w:t>
      </w:r>
      <w:r w:rsidRPr="00094317">
        <w:rPr>
          <w:lang w:eastAsia="en-NZ"/>
        </w:rPr>
        <w:t>Office</w:t>
      </w:r>
      <w:r w:rsidR="003D640C">
        <w:rPr>
          <w:lang w:eastAsia="en-NZ"/>
        </w:rPr>
        <w:t xml:space="preserve"> </w:t>
      </w:r>
      <w:r w:rsidRPr="00094317">
        <w:rPr>
          <w:lang w:eastAsia="en-NZ"/>
        </w:rPr>
        <w:t>considered</w:t>
      </w:r>
      <w:r w:rsidR="003D640C">
        <w:rPr>
          <w:lang w:eastAsia="en-NZ"/>
        </w:rPr>
        <w:t xml:space="preserve"> </w:t>
      </w:r>
      <w:r w:rsidRPr="00094317">
        <w:rPr>
          <w:lang w:eastAsia="en-NZ"/>
        </w:rPr>
        <w:t>the</w:t>
      </w:r>
      <w:r w:rsidR="003D640C">
        <w:rPr>
          <w:lang w:eastAsia="en-NZ"/>
        </w:rPr>
        <w:t xml:space="preserve"> </w:t>
      </w:r>
      <w:r w:rsidRPr="00094317">
        <w:rPr>
          <w:lang w:eastAsia="en-NZ"/>
        </w:rPr>
        <w:t>risk</w:t>
      </w:r>
      <w:r w:rsidR="003D640C">
        <w:rPr>
          <w:lang w:eastAsia="en-NZ"/>
        </w:rPr>
        <w:t xml:space="preserve"> </w:t>
      </w:r>
      <w:r w:rsidRPr="00094317">
        <w:rPr>
          <w:lang w:eastAsia="en-NZ"/>
        </w:rPr>
        <w:t>of</w:t>
      </w:r>
      <w:r w:rsidR="003D640C">
        <w:rPr>
          <w:lang w:eastAsia="en-NZ"/>
        </w:rPr>
        <w:t xml:space="preserve"> </w:t>
      </w:r>
      <w:r w:rsidRPr="00094317">
        <w:rPr>
          <w:lang w:eastAsia="en-NZ"/>
        </w:rPr>
        <w:t>this</w:t>
      </w:r>
      <w:r w:rsidR="003D640C">
        <w:rPr>
          <w:lang w:eastAsia="en-NZ"/>
        </w:rPr>
        <w:t xml:space="preserve"> </w:t>
      </w:r>
      <w:r w:rsidRPr="00094317">
        <w:rPr>
          <w:lang w:eastAsia="en-NZ"/>
        </w:rPr>
        <w:t>impact</w:t>
      </w:r>
      <w:r w:rsidR="003D640C">
        <w:rPr>
          <w:lang w:eastAsia="en-NZ"/>
        </w:rPr>
        <w:t xml:space="preserve"> </w:t>
      </w:r>
      <w:r w:rsidRPr="00094317">
        <w:rPr>
          <w:lang w:eastAsia="en-NZ"/>
        </w:rPr>
        <w:t>to</w:t>
      </w:r>
      <w:r w:rsidR="003D640C">
        <w:rPr>
          <w:lang w:eastAsia="en-NZ"/>
        </w:rPr>
        <w:t xml:space="preserve"> </w:t>
      </w:r>
      <w:r w:rsidRPr="00094317">
        <w:rPr>
          <w:lang w:eastAsia="en-NZ"/>
        </w:rPr>
        <w:t>be</w:t>
      </w:r>
      <w:r w:rsidR="003D640C">
        <w:rPr>
          <w:lang w:eastAsia="en-NZ"/>
        </w:rPr>
        <w:t xml:space="preserve"> </w:t>
      </w:r>
      <w:r w:rsidRPr="00094317">
        <w:rPr>
          <w:lang w:eastAsia="en-NZ"/>
        </w:rPr>
        <w:t>mitigated</w:t>
      </w:r>
      <w:r w:rsidR="003D640C">
        <w:rPr>
          <w:lang w:eastAsia="en-NZ"/>
        </w:rPr>
        <w:t xml:space="preserve"> </w:t>
      </w:r>
      <w:r w:rsidRPr="00094317">
        <w:rPr>
          <w:lang w:eastAsia="en-NZ"/>
        </w:rPr>
        <w:t>by</w:t>
      </w:r>
      <w:r w:rsidR="003D640C">
        <w:rPr>
          <w:lang w:eastAsia="en-NZ"/>
        </w:rPr>
        <w:t xml:space="preserve"> </w:t>
      </w:r>
      <w:r w:rsidRPr="00094317">
        <w:rPr>
          <w:lang w:eastAsia="en-NZ"/>
        </w:rPr>
        <w:t>three</w:t>
      </w:r>
      <w:r w:rsidR="003D640C">
        <w:rPr>
          <w:lang w:eastAsia="en-NZ"/>
        </w:rPr>
        <w:t xml:space="preserve"> </w:t>
      </w:r>
      <w:r w:rsidRPr="00094317">
        <w:rPr>
          <w:lang w:eastAsia="en-NZ"/>
        </w:rPr>
        <w:t>provisions</w:t>
      </w:r>
      <w:r w:rsidR="00CD5809">
        <w:rPr>
          <w:lang w:eastAsia="en-NZ"/>
        </w:rPr>
        <w:t>.</w:t>
      </w:r>
    </w:p>
    <w:p w14:paraId="7687B50D" w14:textId="7F1CD332" w:rsidR="00BC295E" w:rsidRPr="00094317" w:rsidRDefault="00BC295E" w:rsidP="00B2336B">
      <w:pPr>
        <w:pStyle w:val="Bullet"/>
        <w:rPr>
          <w:rFonts w:cstheme="minorHAnsi"/>
        </w:rPr>
      </w:pPr>
      <w:r w:rsidRPr="00094317">
        <w:rPr>
          <w:rFonts w:cstheme="minorHAnsi"/>
        </w:rPr>
        <w:t>The</w:t>
      </w:r>
      <w:r w:rsidR="003D640C">
        <w:rPr>
          <w:rFonts w:cstheme="minorHAnsi"/>
        </w:rPr>
        <w:t xml:space="preserve"> </w:t>
      </w:r>
      <w:r w:rsidRPr="00094317">
        <w:rPr>
          <w:rFonts w:cstheme="minorHAnsi"/>
        </w:rPr>
        <w:t>Bill</w:t>
      </w:r>
      <w:r w:rsidR="003D640C">
        <w:rPr>
          <w:rFonts w:cstheme="minorHAnsi"/>
        </w:rPr>
        <w:t xml:space="preserve"> </w:t>
      </w:r>
      <w:r w:rsidRPr="00094317">
        <w:rPr>
          <w:rFonts w:cstheme="minorHAnsi"/>
        </w:rPr>
        <w:t>is</w:t>
      </w:r>
      <w:r w:rsidR="003D640C">
        <w:rPr>
          <w:rFonts w:cstheme="minorHAnsi"/>
        </w:rPr>
        <w:t xml:space="preserve"> </w:t>
      </w:r>
      <w:r w:rsidRPr="00094317">
        <w:rPr>
          <w:rFonts w:cstheme="minorHAnsi"/>
        </w:rPr>
        <w:t>clearly</w:t>
      </w:r>
      <w:r w:rsidR="003D640C">
        <w:rPr>
          <w:rFonts w:cstheme="minorHAnsi"/>
        </w:rPr>
        <w:t xml:space="preserve"> </w:t>
      </w:r>
      <w:r w:rsidRPr="00094317">
        <w:rPr>
          <w:rFonts w:cstheme="minorHAnsi"/>
        </w:rPr>
        <w:t>expressed</w:t>
      </w:r>
      <w:r w:rsidR="003D640C">
        <w:rPr>
          <w:rFonts w:cstheme="minorHAnsi"/>
        </w:rPr>
        <w:t xml:space="preserve"> </w:t>
      </w:r>
      <w:r w:rsidRPr="00094317">
        <w:rPr>
          <w:rFonts w:cstheme="minorHAnsi"/>
        </w:rPr>
        <w:t>to</w:t>
      </w:r>
      <w:r w:rsidR="003D640C">
        <w:rPr>
          <w:rFonts w:cstheme="minorHAnsi"/>
        </w:rPr>
        <w:t xml:space="preserve"> </w:t>
      </w:r>
      <w:r w:rsidRPr="00094317">
        <w:rPr>
          <w:rFonts w:cstheme="minorHAnsi"/>
        </w:rPr>
        <w:t>ban</w:t>
      </w:r>
      <w:r w:rsidR="003D640C">
        <w:rPr>
          <w:rFonts w:cstheme="minorHAnsi"/>
        </w:rPr>
        <w:t xml:space="preserve"> </w:t>
      </w:r>
      <w:r w:rsidRPr="00094317">
        <w:rPr>
          <w:rFonts w:cstheme="minorHAnsi"/>
        </w:rPr>
        <w:t>only</w:t>
      </w:r>
      <w:r w:rsidR="003D640C">
        <w:rPr>
          <w:rFonts w:cstheme="minorHAnsi"/>
        </w:rPr>
        <w:t xml:space="preserve"> </w:t>
      </w:r>
      <w:r w:rsidRPr="00094317">
        <w:rPr>
          <w:rFonts w:cstheme="minorHAnsi"/>
        </w:rPr>
        <w:t>practices</w:t>
      </w:r>
      <w:r w:rsidR="003D640C">
        <w:rPr>
          <w:rFonts w:cstheme="minorHAnsi"/>
        </w:rPr>
        <w:t xml:space="preserve"> </w:t>
      </w:r>
      <w:r w:rsidRPr="00094317">
        <w:rPr>
          <w:rFonts w:cstheme="minorHAnsi"/>
        </w:rPr>
        <w:t>that</w:t>
      </w:r>
      <w:r w:rsidR="003D640C">
        <w:rPr>
          <w:rFonts w:cstheme="minorHAnsi"/>
        </w:rPr>
        <w:t xml:space="preserve"> </w:t>
      </w:r>
      <w:r w:rsidRPr="00094317">
        <w:rPr>
          <w:rFonts w:cstheme="minorHAnsi"/>
        </w:rPr>
        <w:t>are</w:t>
      </w:r>
      <w:r w:rsidR="003D640C">
        <w:rPr>
          <w:rFonts w:cstheme="minorHAnsi"/>
        </w:rPr>
        <w:t xml:space="preserve"> </w:t>
      </w:r>
      <w:r w:rsidRPr="00094317">
        <w:rPr>
          <w:rFonts w:cstheme="minorHAnsi"/>
        </w:rPr>
        <w:t>intended</w:t>
      </w:r>
      <w:r w:rsidR="003D640C">
        <w:rPr>
          <w:rFonts w:cstheme="minorHAnsi"/>
        </w:rPr>
        <w:t xml:space="preserve"> </w:t>
      </w:r>
      <w:r w:rsidRPr="00094317">
        <w:rPr>
          <w:rFonts w:cstheme="minorHAnsi"/>
        </w:rPr>
        <w:t>to</w:t>
      </w:r>
      <w:r w:rsidR="003D640C">
        <w:rPr>
          <w:rFonts w:cstheme="minorHAnsi"/>
        </w:rPr>
        <w:t xml:space="preserve"> </w:t>
      </w:r>
      <w:r w:rsidRPr="00094317">
        <w:rPr>
          <w:rFonts w:cstheme="minorHAnsi"/>
        </w:rPr>
        <w:t>change</w:t>
      </w:r>
      <w:r w:rsidR="003D640C">
        <w:rPr>
          <w:rFonts w:cstheme="minorHAnsi"/>
        </w:rPr>
        <w:t xml:space="preserve"> </w:t>
      </w:r>
      <w:r w:rsidRPr="00094317">
        <w:rPr>
          <w:rFonts w:cstheme="minorHAnsi"/>
        </w:rPr>
        <w:t>or</w:t>
      </w:r>
      <w:r w:rsidR="003D640C">
        <w:rPr>
          <w:rFonts w:cstheme="minorHAnsi"/>
        </w:rPr>
        <w:t xml:space="preserve"> </w:t>
      </w:r>
      <w:r w:rsidRPr="00094317">
        <w:rPr>
          <w:rFonts w:cstheme="minorHAnsi"/>
        </w:rPr>
        <w:t>suppress</w:t>
      </w:r>
      <w:r w:rsidR="003D640C">
        <w:rPr>
          <w:rFonts w:cstheme="minorHAnsi"/>
        </w:rPr>
        <w:t xml:space="preserve"> </w:t>
      </w:r>
      <w:r w:rsidRPr="00094317">
        <w:rPr>
          <w:rFonts w:cstheme="minorHAnsi"/>
        </w:rPr>
        <w:t>rather</w:t>
      </w:r>
      <w:r w:rsidR="003D640C">
        <w:rPr>
          <w:rFonts w:cstheme="minorHAnsi"/>
        </w:rPr>
        <w:t xml:space="preserve"> </w:t>
      </w:r>
      <w:r w:rsidRPr="00094317">
        <w:rPr>
          <w:rFonts w:cstheme="minorHAnsi"/>
        </w:rPr>
        <w:t>than</w:t>
      </w:r>
      <w:r w:rsidR="003D640C">
        <w:rPr>
          <w:rFonts w:cstheme="minorHAnsi"/>
        </w:rPr>
        <w:t xml:space="preserve"> </w:t>
      </w:r>
      <w:r w:rsidRPr="00094317">
        <w:rPr>
          <w:rFonts w:cstheme="minorHAnsi"/>
        </w:rPr>
        <w:t>merely</w:t>
      </w:r>
      <w:r w:rsidR="003D640C">
        <w:rPr>
          <w:rFonts w:cstheme="minorHAnsi"/>
        </w:rPr>
        <w:t xml:space="preserve"> </w:t>
      </w:r>
      <w:r w:rsidRPr="00094317">
        <w:rPr>
          <w:rFonts w:cstheme="minorHAnsi"/>
        </w:rPr>
        <w:t>confront</w:t>
      </w:r>
      <w:r w:rsidR="003D640C">
        <w:rPr>
          <w:rFonts w:cstheme="minorHAnsi"/>
        </w:rPr>
        <w:t xml:space="preserve"> </w:t>
      </w:r>
      <w:r w:rsidRPr="00094317">
        <w:rPr>
          <w:rFonts w:cstheme="minorHAnsi"/>
        </w:rPr>
        <w:t>or</w:t>
      </w:r>
      <w:r w:rsidR="003D640C">
        <w:rPr>
          <w:rFonts w:cstheme="minorHAnsi"/>
        </w:rPr>
        <w:t xml:space="preserve"> </w:t>
      </w:r>
      <w:r w:rsidRPr="00094317">
        <w:rPr>
          <w:rFonts w:cstheme="minorHAnsi"/>
        </w:rPr>
        <w:t>reject</w:t>
      </w:r>
      <w:r w:rsidR="003D640C">
        <w:rPr>
          <w:rFonts w:cstheme="minorHAnsi"/>
        </w:rPr>
        <w:t xml:space="preserve"> </w:t>
      </w:r>
      <w:r w:rsidRPr="00094317">
        <w:rPr>
          <w:rFonts w:cstheme="minorHAnsi"/>
        </w:rPr>
        <w:t>the</w:t>
      </w:r>
      <w:r w:rsidR="003D640C">
        <w:rPr>
          <w:rFonts w:cstheme="minorHAnsi"/>
        </w:rPr>
        <w:t xml:space="preserve"> </w:t>
      </w:r>
      <w:r w:rsidRPr="00094317">
        <w:rPr>
          <w:rFonts w:cstheme="minorHAnsi"/>
        </w:rPr>
        <w:t>individual’s</w:t>
      </w:r>
      <w:r w:rsidR="003D640C">
        <w:rPr>
          <w:rFonts w:cstheme="minorHAnsi"/>
        </w:rPr>
        <w:t xml:space="preserve"> </w:t>
      </w:r>
      <w:r w:rsidRPr="00094317">
        <w:rPr>
          <w:rFonts w:cstheme="minorHAnsi"/>
        </w:rPr>
        <w:t>sexual</w:t>
      </w:r>
      <w:r w:rsidR="003D640C">
        <w:rPr>
          <w:rFonts w:cstheme="minorHAnsi"/>
        </w:rPr>
        <w:t xml:space="preserve"> </w:t>
      </w:r>
      <w:r w:rsidRPr="00094317">
        <w:rPr>
          <w:rFonts w:cstheme="minorHAnsi"/>
        </w:rPr>
        <w:t>orientation,</w:t>
      </w:r>
      <w:r w:rsidR="003D640C">
        <w:rPr>
          <w:rFonts w:cstheme="minorHAnsi"/>
        </w:rPr>
        <w:t xml:space="preserve"> </w:t>
      </w:r>
      <w:r w:rsidRPr="00094317">
        <w:rPr>
          <w:rFonts w:cstheme="minorHAnsi"/>
        </w:rPr>
        <w:t>gender</w:t>
      </w:r>
      <w:r w:rsidR="003D640C">
        <w:rPr>
          <w:rFonts w:cstheme="minorHAnsi"/>
        </w:rPr>
        <w:t xml:space="preserve"> </w:t>
      </w:r>
      <w:r w:rsidRPr="00094317">
        <w:rPr>
          <w:rFonts w:cstheme="minorHAnsi"/>
        </w:rPr>
        <w:t>identity</w:t>
      </w:r>
      <w:r w:rsidR="007D18C8">
        <w:rPr>
          <w:rFonts w:cstheme="minorHAnsi"/>
        </w:rPr>
        <w:t>,</w:t>
      </w:r>
      <w:r w:rsidR="003D640C">
        <w:rPr>
          <w:rFonts w:cstheme="minorHAnsi"/>
        </w:rPr>
        <w:t xml:space="preserve"> </w:t>
      </w:r>
      <w:r w:rsidRPr="00094317">
        <w:rPr>
          <w:rFonts w:cstheme="minorHAnsi"/>
        </w:rPr>
        <w:t>or</w:t>
      </w:r>
      <w:r w:rsidR="003D640C">
        <w:rPr>
          <w:rFonts w:cstheme="minorHAnsi"/>
        </w:rPr>
        <w:t xml:space="preserve"> </w:t>
      </w:r>
      <w:r w:rsidRPr="00094317">
        <w:rPr>
          <w:rFonts w:cstheme="minorHAnsi"/>
        </w:rPr>
        <w:t>gender</w:t>
      </w:r>
      <w:r w:rsidR="003D640C">
        <w:rPr>
          <w:rFonts w:cstheme="minorHAnsi"/>
        </w:rPr>
        <w:t xml:space="preserve"> </w:t>
      </w:r>
      <w:r w:rsidRPr="00094317">
        <w:rPr>
          <w:rFonts w:cstheme="minorHAnsi"/>
        </w:rPr>
        <w:t>expression.</w:t>
      </w:r>
      <w:r w:rsidR="003D640C">
        <w:rPr>
          <w:rFonts w:cstheme="minorHAnsi"/>
        </w:rPr>
        <w:t xml:space="preserve"> </w:t>
      </w:r>
    </w:p>
    <w:p w14:paraId="4F39A9BC" w14:textId="0DBCC555" w:rsidR="00BC295E" w:rsidRPr="00094317" w:rsidRDefault="00BC295E" w:rsidP="00B2336B">
      <w:pPr>
        <w:pStyle w:val="Bullet"/>
        <w:rPr>
          <w:rFonts w:cstheme="minorHAnsi"/>
        </w:rPr>
      </w:pPr>
      <w:r w:rsidRPr="00094317">
        <w:rPr>
          <w:rFonts w:cstheme="minorHAnsi"/>
        </w:rPr>
        <w:lastRenderedPageBreak/>
        <w:t>One</w:t>
      </w:r>
      <w:r w:rsidR="003D640C">
        <w:rPr>
          <w:rFonts w:cstheme="minorHAnsi"/>
        </w:rPr>
        <w:t xml:space="preserve"> </w:t>
      </w:r>
      <w:r w:rsidRPr="00094317">
        <w:rPr>
          <w:rFonts w:cstheme="minorHAnsi"/>
        </w:rPr>
        <w:t>of</w:t>
      </w:r>
      <w:r w:rsidR="003D640C">
        <w:rPr>
          <w:rFonts w:cstheme="minorHAnsi"/>
        </w:rPr>
        <w:t xml:space="preserve"> </w:t>
      </w:r>
      <w:r w:rsidRPr="00094317">
        <w:rPr>
          <w:rFonts w:cstheme="minorHAnsi"/>
        </w:rPr>
        <w:t>the</w:t>
      </w:r>
      <w:r w:rsidR="003D640C">
        <w:rPr>
          <w:rFonts w:cstheme="minorHAnsi"/>
        </w:rPr>
        <w:t xml:space="preserve"> </w:t>
      </w:r>
      <w:r w:rsidRPr="00094317">
        <w:rPr>
          <w:rFonts w:cstheme="minorHAnsi"/>
        </w:rPr>
        <w:t>purposes</w:t>
      </w:r>
      <w:r w:rsidR="003D640C">
        <w:rPr>
          <w:rFonts w:cstheme="minorHAnsi"/>
        </w:rPr>
        <w:t xml:space="preserve"> </w:t>
      </w:r>
      <w:r w:rsidRPr="00094317">
        <w:rPr>
          <w:rFonts w:cstheme="minorHAnsi"/>
        </w:rPr>
        <w:t>of</w:t>
      </w:r>
      <w:r w:rsidR="003D640C">
        <w:rPr>
          <w:rFonts w:cstheme="minorHAnsi"/>
        </w:rPr>
        <w:t xml:space="preserve"> </w:t>
      </w:r>
      <w:r w:rsidRPr="00094317">
        <w:rPr>
          <w:rFonts w:cstheme="minorHAnsi"/>
        </w:rPr>
        <w:t>the</w:t>
      </w:r>
      <w:r w:rsidR="003D640C">
        <w:rPr>
          <w:rFonts w:cstheme="minorHAnsi"/>
        </w:rPr>
        <w:t xml:space="preserve"> </w:t>
      </w:r>
      <w:r w:rsidRPr="00094317">
        <w:rPr>
          <w:rFonts w:cstheme="minorHAnsi"/>
        </w:rPr>
        <w:t>Bill</w:t>
      </w:r>
      <w:r w:rsidR="003D640C">
        <w:rPr>
          <w:rFonts w:cstheme="minorHAnsi"/>
        </w:rPr>
        <w:t xml:space="preserve"> </w:t>
      </w:r>
      <w:r w:rsidRPr="00094317">
        <w:rPr>
          <w:rFonts w:cstheme="minorHAnsi"/>
        </w:rPr>
        <w:t>is</w:t>
      </w:r>
      <w:r w:rsidR="003D640C">
        <w:rPr>
          <w:rFonts w:cstheme="minorHAnsi"/>
        </w:rPr>
        <w:t xml:space="preserve"> </w:t>
      </w:r>
      <w:r w:rsidRPr="00094317">
        <w:rPr>
          <w:rFonts w:cstheme="minorHAnsi"/>
        </w:rPr>
        <w:t>expressed</w:t>
      </w:r>
      <w:r w:rsidR="003D640C">
        <w:rPr>
          <w:rFonts w:cstheme="minorHAnsi"/>
        </w:rPr>
        <w:t xml:space="preserve"> </w:t>
      </w:r>
      <w:r w:rsidRPr="00094317">
        <w:rPr>
          <w:rFonts w:cstheme="minorHAnsi"/>
        </w:rPr>
        <w:t>to</w:t>
      </w:r>
      <w:r w:rsidR="003D640C">
        <w:rPr>
          <w:rFonts w:cstheme="minorHAnsi"/>
        </w:rPr>
        <w:t xml:space="preserve"> </w:t>
      </w:r>
      <w:r w:rsidRPr="00094317">
        <w:rPr>
          <w:rFonts w:cstheme="minorHAnsi"/>
        </w:rPr>
        <w:t>be</w:t>
      </w:r>
      <w:r w:rsidR="003D640C">
        <w:rPr>
          <w:rFonts w:cstheme="minorHAnsi"/>
        </w:rPr>
        <w:t xml:space="preserve"> </w:t>
      </w:r>
      <w:r w:rsidRPr="00094317">
        <w:rPr>
          <w:rFonts w:cstheme="minorHAnsi"/>
        </w:rPr>
        <w:t>the</w:t>
      </w:r>
      <w:r w:rsidR="003D640C">
        <w:rPr>
          <w:rFonts w:cstheme="minorHAnsi"/>
        </w:rPr>
        <w:t xml:space="preserve"> </w:t>
      </w:r>
      <w:r w:rsidRPr="00094317">
        <w:rPr>
          <w:rFonts w:cstheme="minorHAnsi"/>
        </w:rPr>
        <w:t>promotion</w:t>
      </w:r>
      <w:r w:rsidR="003D640C">
        <w:rPr>
          <w:rFonts w:cstheme="minorHAnsi"/>
        </w:rPr>
        <w:t xml:space="preserve"> </w:t>
      </w:r>
      <w:r w:rsidRPr="00094317">
        <w:rPr>
          <w:rFonts w:cstheme="minorHAnsi"/>
        </w:rPr>
        <w:t>of</w:t>
      </w:r>
      <w:r w:rsidR="003D640C">
        <w:rPr>
          <w:rFonts w:cstheme="minorHAnsi"/>
        </w:rPr>
        <w:t xml:space="preserve"> </w:t>
      </w:r>
      <w:r w:rsidRPr="00094317">
        <w:rPr>
          <w:rFonts w:cstheme="minorHAnsi"/>
        </w:rPr>
        <w:t>respectful</w:t>
      </w:r>
      <w:r w:rsidR="003D640C">
        <w:rPr>
          <w:rFonts w:cstheme="minorHAnsi"/>
        </w:rPr>
        <w:t xml:space="preserve"> </w:t>
      </w:r>
      <w:r w:rsidRPr="00094317">
        <w:rPr>
          <w:rFonts w:cstheme="minorHAnsi"/>
        </w:rPr>
        <w:t>and</w:t>
      </w:r>
      <w:r w:rsidR="003D640C">
        <w:rPr>
          <w:rFonts w:cstheme="minorHAnsi"/>
        </w:rPr>
        <w:t xml:space="preserve"> </w:t>
      </w:r>
      <w:r w:rsidRPr="00094317">
        <w:rPr>
          <w:rFonts w:cstheme="minorHAnsi"/>
        </w:rPr>
        <w:t>open</w:t>
      </w:r>
      <w:r w:rsidR="003D640C">
        <w:rPr>
          <w:rFonts w:cstheme="minorHAnsi"/>
        </w:rPr>
        <w:t xml:space="preserve"> </w:t>
      </w:r>
      <w:r w:rsidRPr="00094317">
        <w:rPr>
          <w:rFonts w:cstheme="minorHAnsi"/>
        </w:rPr>
        <w:t>discussions</w:t>
      </w:r>
      <w:r w:rsidR="003D640C">
        <w:rPr>
          <w:rFonts w:cstheme="minorHAnsi"/>
        </w:rPr>
        <w:t xml:space="preserve"> </w:t>
      </w:r>
      <w:r w:rsidRPr="00094317">
        <w:rPr>
          <w:rFonts w:cstheme="minorHAnsi"/>
        </w:rPr>
        <w:t>regarding</w:t>
      </w:r>
      <w:r w:rsidR="003D640C">
        <w:rPr>
          <w:rFonts w:cstheme="minorHAnsi"/>
        </w:rPr>
        <w:t xml:space="preserve"> </w:t>
      </w:r>
      <w:r w:rsidRPr="00094317">
        <w:rPr>
          <w:rFonts w:cstheme="minorHAnsi"/>
        </w:rPr>
        <w:t>sexuality</w:t>
      </w:r>
      <w:r w:rsidR="003D640C">
        <w:rPr>
          <w:rFonts w:cstheme="minorHAnsi"/>
        </w:rPr>
        <w:t xml:space="preserve"> </w:t>
      </w:r>
      <w:r w:rsidRPr="00094317">
        <w:rPr>
          <w:rFonts w:cstheme="minorHAnsi"/>
        </w:rPr>
        <w:t>and</w:t>
      </w:r>
      <w:r w:rsidR="003D640C">
        <w:rPr>
          <w:rFonts w:cstheme="minorHAnsi"/>
        </w:rPr>
        <w:t xml:space="preserve"> </w:t>
      </w:r>
      <w:r w:rsidRPr="00094317">
        <w:rPr>
          <w:rFonts w:cstheme="minorHAnsi"/>
        </w:rPr>
        <w:t>gender.</w:t>
      </w:r>
      <w:r w:rsidR="003D640C">
        <w:rPr>
          <w:rFonts w:cstheme="minorHAnsi"/>
        </w:rPr>
        <w:t xml:space="preserve"> </w:t>
      </w:r>
    </w:p>
    <w:p w14:paraId="72316E6E" w14:textId="1C542C5A" w:rsidR="00BC295E" w:rsidRPr="00094317" w:rsidRDefault="00BC295E" w:rsidP="00B2336B">
      <w:pPr>
        <w:pStyle w:val="Bullet"/>
      </w:pPr>
      <w:r w:rsidRPr="00094317">
        <w:rPr>
          <w:rFonts w:cstheme="minorHAnsi"/>
        </w:rPr>
        <w:t>Attorney-General</w:t>
      </w:r>
      <w:r w:rsidR="003D640C">
        <w:rPr>
          <w:rFonts w:cstheme="minorHAnsi"/>
        </w:rPr>
        <w:t xml:space="preserve"> </w:t>
      </w:r>
      <w:r w:rsidRPr="00094317">
        <w:rPr>
          <w:rFonts w:cstheme="minorHAnsi"/>
        </w:rPr>
        <w:t>consent</w:t>
      </w:r>
      <w:r w:rsidR="003D640C">
        <w:rPr>
          <w:rFonts w:cstheme="minorHAnsi"/>
        </w:rPr>
        <w:t xml:space="preserve"> </w:t>
      </w:r>
      <w:r w:rsidRPr="00094317">
        <w:rPr>
          <w:rFonts w:cstheme="minorHAnsi"/>
        </w:rPr>
        <w:t>is</w:t>
      </w:r>
      <w:r w:rsidR="003D640C">
        <w:rPr>
          <w:rFonts w:cstheme="minorHAnsi"/>
        </w:rPr>
        <w:t xml:space="preserve"> </w:t>
      </w:r>
      <w:r w:rsidRPr="00094317">
        <w:rPr>
          <w:rFonts w:cstheme="minorHAnsi"/>
        </w:rPr>
        <w:t>required</w:t>
      </w:r>
      <w:r w:rsidR="003D640C">
        <w:rPr>
          <w:rFonts w:cstheme="minorHAnsi"/>
        </w:rPr>
        <w:t xml:space="preserve"> </w:t>
      </w:r>
      <w:r w:rsidRPr="00094317">
        <w:rPr>
          <w:rFonts w:cstheme="minorHAnsi"/>
        </w:rPr>
        <w:t>for</w:t>
      </w:r>
      <w:r w:rsidR="003D640C">
        <w:rPr>
          <w:rFonts w:cstheme="minorHAnsi"/>
        </w:rPr>
        <w:t xml:space="preserve"> </w:t>
      </w:r>
      <w:r w:rsidRPr="00094317">
        <w:rPr>
          <w:rFonts w:cstheme="minorHAnsi"/>
        </w:rPr>
        <w:t>any</w:t>
      </w:r>
      <w:r w:rsidR="003D640C">
        <w:rPr>
          <w:rFonts w:cstheme="minorHAnsi"/>
        </w:rPr>
        <w:t xml:space="preserve"> </w:t>
      </w:r>
      <w:r w:rsidRPr="00094317">
        <w:rPr>
          <w:rFonts w:cstheme="minorHAnsi"/>
        </w:rPr>
        <w:t>prosecution.</w:t>
      </w:r>
      <w:r w:rsidRPr="00094317">
        <w:rPr>
          <w:rStyle w:val="FootnoteReference"/>
          <w:rFonts w:cstheme="minorHAnsi"/>
        </w:rPr>
        <w:footnoteReference w:id="59"/>
      </w:r>
      <w:r w:rsidR="003D640C" w:rsidRPr="0078026B">
        <w:t xml:space="preserve"> </w:t>
      </w:r>
    </w:p>
    <w:p w14:paraId="6D6669B2" w14:textId="477F04ED" w:rsidR="00BC295E" w:rsidRPr="00094317" w:rsidRDefault="00BC295E" w:rsidP="0002020B">
      <w:pPr>
        <w:rPr>
          <w:lang w:eastAsia="en-NZ"/>
        </w:rPr>
      </w:pPr>
      <w:r w:rsidRPr="00094317">
        <w:rPr>
          <w:lang w:eastAsia="en-NZ"/>
        </w:rPr>
        <w:t>Th</w:t>
      </w:r>
      <w:r w:rsidR="00A66408">
        <w:rPr>
          <w:lang w:eastAsia="en-NZ"/>
        </w:rPr>
        <w:t>e</w:t>
      </w:r>
      <w:r w:rsidR="00917B0F">
        <w:rPr>
          <w:lang w:eastAsia="en-NZ"/>
        </w:rPr>
        <w:t>se</w:t>
      </w:r>
      <w:r w:rsidR="003D640C">
        <w:rPr>
          <w:lang w:eastAsia="en-NZ"/>
        </w:rPr>
        <w:t xml:space="preserve"> </w:t>
      </w:r>
      <w:r w:rsidRPr="00094317">
        <w:rPr>
          <w:lang w:eastAsia="en-NZ"/>
        </w:rPr>
        <w:t>provision</w:t>
      </w:r>
      <w:r w:rsidR="00917B0F">
        <w:rPr>
          <w:lang w:eastAsia="en-NZ"/>
        </w:rPr>
        <w:t>s</w:t>
      </w:r>
      <w:r w:rsidR="003D640C">
        <w:rPr>
          <w:lang w:eastAsia="en-NZ"/>
        </w:rPr>
        <w:t xml:space="preserve"> </w:t>
      </w:r>
      <w:r w:rsidRPr="00094317">
        <w:rPr>
          <w:lang w:eastAsia="en-NZ"/>
        </w:rPr>
        <w:t>w</w:t>
      </w:r>
      <w:r w:rsidR="00844AAD">
        <w:rPr>
          <w:lang w:eastAsia="en-NZ"/>
        </w:rPr>
        <w:t>ere</w:t>
      </w:r>
      <w:r w:rsidR="003D640C">
        <w:rPr>
          <w:lang w:eastAsia="en-NZ"/>
        </w:rPr>
        <w:t xml:space="preserve"> </w:t>
      </w:r>
      <w:r w:rsidRPr="00094317">
        <w:rPr>
          <w:lang w:eastAsia="en-NZ"/>
        </w:rPr>
        <w:t>retained</w:t>
      </w:r>
      <w:r w:rsidR="003D640C">
        <w:rPr>
          <w:lang w:eastAsia="en-NZ"/>
        </w:rPr>
        <w:t xml:space="preserve"> </w:t>
      </w:r>
      <w:r w:rsidRPr="00094317">
        <w:rPr>
          <w:lang w:eastAsia="en-NZ"/>
        </w:rPr>
        <w:t>in</w:t>
      </w:r>
      <w:r w:rsidR="003D640C">
        <w:rPr>
          <w:lang w:eastAsia="en-NZ"/>
        </w:rPr>
        <w:t xml:space="preserve"> </w:t>
      </w:r>
      <w:r w:rsidRPr="00094317">
        <w:rPr>
          <w:lang w:eastAsia="en-NZ"/>
        </w:rPr>
        <w:t>the</w:t>
      </w:r>
      <w:r w:rsidR="003D640C">
        <w:rPr>
          <w:lang w:eastAsia="en-NZ"/>
        </w:rPr>
        <w:t xml:space="preserve"> </w:t>
      </w:r>
      <w:r w:rsidRPr="00094317">
        <w:rPr>
          <w:lang w:eastAsia="en-NZ"/>
        </w:rPr>
        <w:t>CPPLA</w:t>
      </w:r>
      <w:r w:rsidR="003D640C">
        <w:rPr>
          <w:lang w:eastAsia="en-NZ"/>
        </w:rPr>
        <w:t xml:space="preserve"> </w:t>
      </w:r>
      <w:r w:rsidRPr="00094317">
        <w:rPr>
          <w:lang w:eastAsia="en-NZ"/>
        </w:rPr>
        <w:t>when</w:t>
      </w:r>
      <w:r w:rsidR="003D640C">
        <w:rPr>
          <w:lang w:eastAsia="en-NZ"/>
        </w:rPr>
        <w:t xml:space="preserve"> </w:t>
      </w:r>
      <w:r w:rsidRPr="00094317">
        <w:rPr>
          <w:lang w:eastAsia="en-NZ"/>
        </w:rPr>
        <w:t>it</w:t>
      </w:r>
      <w:r w:rsidR="003D640C">
        <w:rPr>
          <w:lang w:eastAsia="en-NZ"/>
        </w:rPr>
        <w:t xml:space="preserve"> </w:t>
      </w:r>
      <w:r w:rsidRPr="00094317">
        <w:rPr>
          <w:lang w:eastAsia="en-NZ"/>
        </w:rPr>
        <w:t>was</w:t>
      </w:r>
      <w:r w:rsidR="003D640C">
        <w:rPr>
          <w:lang w:eastAsia="en-NZ"/>
        </w:rPr>
        <w:t xml:space="preserve"> </w:t>
      </w:r>
      <w:r w:rsidRPr="00094317">
        <w:rPr>
          <w:lang w:eastAsia="en-NZ"/>
        </w:rPr>
        <w:t>passed.</w:t>
      </w:r>
      <w:r w:rsidR="003D640C">
        <w:rPr>
          <w:lang w:eastAsia="en-NZ"/>
        </w:rPr>
        <w:t xml:space="preserve"> </w:t>
      </w:r>
      <w:r w:rsidR="00844AAD">
        <w:rPr>
          <w:lang w:eastAsia="en-NZ"/>
        </w:rPr>
        <w:t>Of</w:t>
      </w:r>
      <w:r w:rsidR="003D640C">
        <w:rPr>
          <w:lang w:eastAsia="en-NZ"/>
        </w:rPr>
        <w:t xml:space="preserve"> </w:t>
      </w:r>
      <w:r w:rsidR="00844AAD">
        <w:rPr>
          <w:lang w:eastAsia="en-NZ"/>
        </w:rPr>
        <w:t>these,</w:t>
      </w:r>
      <w:r w:rsidR="003D640C">
        <w:rPr>
          <w:lang w:eastAsia="en-NZ"/>
        </w:rPr>
        <w:t xml:space="preserve"> </w:t>
      </w:r>
      <w:r w:rsidR="00844AAD">
        <w:rPr>
          <w:lang w:eastAsia="en-NZ"/>
        </w:rPr>
        <w:t>t</w:t>
      </w:r>
      <w:r w:rsidRPr="00094317">
        <w:rPr>
          <w:lang w:eastAsia="en-NZ"/>
        </w:rPr>
        <w:t>he</w:t>
      </w:r>
      <w:r w:rsidR="003D640C">
        <w:rPr>
          <w:lang w:eastAsia="en-NZ"/>
        </w:rPr>
        <w:t xml:space="preserve"> </w:t>
      </w:r>
      <w:r w:rsidRPr="00094317">
        <w:rPr>
          <w:lang w:eastAsia="en-NZ"/>
        </w:rPr>
        <w:t>Commission</w:t>
      </w:r>
      <w:r w:rsidR="003D640C">
        <w:rPr>
          <w:lang w:eastAsia="en-NZ"/>
        </w:rPr>
        <w:t xml:space="preserve"> </w:t>
      </w:r>
      <w:r w:rsidRPr="00094317">
        <w:rPr>
          <w:lang w:eastAsia="en-NZ"/>
        </w:rPr>
        <w:t>recommends</w:t>
      </w:r>
      <w:r w:rsidR="003D640C">
        <w:rPr>
          <w:lang w:eastAsia="en-NZ"/>
        </w:rPr>
        <w:t xml:space="preserve"> </w:t>
      </w:r>
      <w:r w:rsidRPr="00094317">
        <w:rPr>
          <w:lang w:eastAsia="en-NZ"/>
        </w:rPr>
        <w:t>that</w:t>
      </w:r>
      <w:r w:rsidR="003D640C">
        <w:rPr>
          <w:lang w:eastAsia="en-NZ"/>
        </w:rPr>
        <w:t xml:space="preserve"> </w:t>
      </w:r>
      <w:r w:rsidR="00844AAD">
        <w:rPr>
          <w:lang w:eastAsia="en-NZ"/>
        </w:rPr>
        <w:t>the</w:t>
      </w:r>
      <w:r w:rsidR="003D640C">
        <w:rPr>
          <w:lang w:eastAsia="en-NZ"/>
        </w:rPr>
        <w:t xml:space="preserve"> </w:t>
      </w:r>
      <w:r w:rsidR="00844AAD">
        <w:rPr>
          <w:lang w:eastAsia="en-NZ"/>
        </w:rPr>
        <w:t>Attorney-General</w:t>
      </w:r>
      <w:r w:rsidR="003D640C">
        <w:rPr>
          <w:lang w:eastAsia="en-NZ"/>
        </w:rPr>
        <w:t xml:space="preserve"> </w:t>
      </w:r>
      <w:r w:rsidR="00844AAD">
        <w:rPr>
          <w:lang w:eastAsia="en-NZ"/>
        </w:rPr>
        <w:t>consent</w:t>
      </w:r>
      <w:r w:rsidR="003D640C">
        <w:rPr>
          <w:lang w:eastAsia="en-NZ"/>
        </w:rPr>
        <w:t xml:space="preserve"> </w:t>
      </w:r>
      <w:r w:rsidRPr="00094317">
        <w:rPr>
          <w:lang w:eastAsia="en-NZ"/>
        </w:rPr>
        <w:t>requirement</w:t>
      </w:r>
      <w:r w:rsidR="003D640C">
        <w:rPr>
          <w:lang w:eastAsia="en-NZ"/>
        </w:rPr>
        <w:t xml:space="preserve"> </w:t>
      </w:r>
      <w:r w:rsidRPr="00094317">
        <w:rPr>
          <w:lang w:eastAsia="en-NZ"/>
        </w:rPr>
        <w:t>is</w:t>
      </w:r>
      <w:r w:rsidR="003D640C">
        <w:rPr>
          <w:lang w:eastAsia="en-NZ"/>
        </w:rPr>
        <w:t xml:space="preserve"> </w:t>
      </w:r>
      <w:r w:rsidRPr="00094317">
        <w:rPr>
          <w:lang w:eastAsia="en-NZ"/>
        </w:rPr>
        <w:t>repealed.</w:t>
      </w:r>
      <w:r w:rsidR="003D640C">
        <w:rPr>
          <w:lang w:eastAsia="en-NZ"/>
        </w:rPr>
        <w:t xml:space="preserve"> </w:t>
      </w:r>
      <w:r w:rsidRPr="00094317">
        <w:rPr>
          <w:lang w:eastAsia="en-NZ"/>
        </w:rPr>
        <w:t>The</w:t>
      </w:r>
      <w:r w:rsidR="003D640C">
        <w:rPr>
          <w:lang w:eastAsia="en-NZ"/>
        </w:rPr>
        <w:t xml:space="preserve"> </w:t>
      </w:r>
      <w:r w:rsidRPr="00094317">
        <w:rPr>
          <w:lang w:eastAsia="en-NZ"/>
        </w:rPr>
        <w:t>Attorney-General’s</w:t>
      </w:r>
      <w:r w:rsidR="003D640C">
        <w:rPr>
          <w:lang w:eastAsia="en-NZ"/>
        </w:rPr>
        <w:t xml:space="preserve"> </w:t>
      </w:r>
      <w:r w:rsidRPr="00094317">
        <w:rPr>
          <w:lang w:eastAsia="en-NZ"/>
        </w:rPr>
        <w:t>consent</w:t>
      </w:r>
      <w:r w:rsidR="003D640C">
        <w:rPr>
          <w:lang w:eastAsia="en-NZ"/>
        </w:rPr>
        <w:t xml:space="preserve"> </w:t>
      </w:r>
      <w:r w:rsidRPr="00094317">
        <w:rPr>
          <w:lang w:eastAsia="en-NZ"/>
        </w:rPr>
        <w:t>for</w:t>
      </w:r>
      <w:r w:rsidR="003D640C">
        <w:rPr>
          <w:lang w:eastAsia="en-NZ"/>
        </w:rPr>
        <w:t xml:space="preserve"> </w:t>
      </w:r>
      <w:r w:rsidRPr="00094317">
        <w:rPr>
          <w:lang w:eastAsia="en-NZ"/>
        </w:rPr>
        <w:t>prosecution</w:t>
      </w:r>
      <w:r w:rsidR="003D640C">
        <w:rPr>
          <w:lang w:eastAsia="en-NZ"/>
        </w:rPr>
        <w:t xml:space="preserve"> </w:t>
      </w:r>
      <w:r w:rsidRPr="00094317">
        <w:rPr>
          <w:lang w:eastAsia="en-NZ"/>
        </w:rPr>
        <w:t>is</w:t>
      </w:r>
      <w:r w:rsidR="003D640C">
        <w:rPr>
          <w:lang w:eastAsia="en-NZ"/>
        </w:rPr>
        <w:t xml:space="preserve"> </w:t>
      </w:r>
      <w:r w:rsidRPr="00094317">
        <w:rPr>
          <w:lang w:eastAsia="en-NZ"/>
        </w:rPr>
        <w:t>required</w:t>
      </w:r>
      <w:r w:rsidR="003D640C">
        <w:rPr>
          <w:lang w:eastAsia="en-NZ"/>
        </w:rPr>
        <w:t xml:space="preserve"> </w:t>
      </w:r>
      <w:r w:rsidRPr="00094317">
        <w:rPr>
          <w:lang w:eastAsia="en-NZ"/>
        </w:rPr>
        <w:t>in</w:t>
      </w:r>
      <w:r w:rsidR="003D640C">
        <w:rPr>
          <w:lang w:eastAsia="en-NZ"/>
        </w:rPr>
        <w:t xml:space="preserve"> </w:t>
      </w:r>
      <w:r w:rsidR="00737307">
        <w:rPr>
          <w:lang w:eastAsia="en-NZ"/>
        </w:rPr>
        <w:t>some</w:t>
      </w:r>
      <w:r w:rsidR="003D640C">
        <w:rPr>
          <w:lang w:eastAsia="en-NZ"/>
        </w:rPr>
        <w:t xml:space="preserve"> </w:t>
      </w:r>
      <w:r w:rsidRPr="00094317">
        <w:rPr>
          <w:lang w:eastAsia="en-NZ"/>
        </w:rPr>
        <w:t>cases</w:t>
      </w:r>
      <w:r w:rsidR="003D640C">
        <w:rPr>
          <w:lang w:eastAsia="en-NZ"/>
        </w:rPr>
        <w:t xml:space="preserve"> </w:t>
      </w:r>
      <w:r w:rsidRPr="00094317">
        <w:rPr>
          <w:lang w:eastAsia="en-NZ"/>
        </w:rPr>
        <w:t>requiring</w:t>
      </w:r>
      <w:r w:rsidR="003D640C">
        <w:rPr>
          <w:lang w:eastAsia="en-NZ"/>
        </w:rPr>
        <w:t xml:space="preserve"> </w:t>
      </w:r>
      <w:r w:rsidRPr="00094317">
        <w:rPr>
          <w:lang w:eastAsia="en-NZ"/>
        </w:rPr>
        <w:t>complex</w:t>
      </w:r>
      <w:r w:rsidR="003D640C">
        <w:rPr>
          <w:lang w:eastAsia="en-NZ"/>
        </w:rPr>
        <w:t xml:space="preserve"> </w:t>
      </w:r>
      <w:r w:rsidRPr="00094317">
        <w:rPr>
          <w:lang w:eastAsia="en-NZ"/>
        </w:rPr>
        <w:t>human</w:t>
      </w:r>
      <w:r w:rsidR="003D640C">
        <w:rPr>
          <w:lang w:eastAsia="en-NZ"/>
        </w:rPr>
        <w:t xml:space="preserve"> </w:t>
      </w:r>
      <w:r w:rsidRPr="00094317">
        <w:rPr>
          <w:lang w:eastAsia="en-NZ"/>
        </w:rPr>
        <w:t>rights</w:t>
      </w:r>
      <w:r w:rsidR="003D640C">
        <w:rPr>
          <w:lang w:eastAsia="en-NZ"/>
        </w:rPr>
        <w:t xml:space="preserve"> </w:t>
      </w:r>
      <w:r w:rsidRPr="00094317">
        <w:rPr>
          <w:lang w:eastAsia="en-NZ"/>
        </w:rPr>
        <w:t>considerations</w:t>
      </w:r>
      <w:r w:rsidR="007D18C8">
        <w:rPr>
          <w:lang w:eastAsia="en-NZ"/>
        </w:rPr>
        <w:t>. H</w:t>
      </w:r>
      <w:r w:rsidRPr="00094317">
        <w:rPr>
          <w:lang w:eastAsia="en-NZ"/>
        </w:rPr>
        <w:t>owever</w:t>
      </w:r>
      <w:r w:rsidR="007D18C8">
        <w:rPr>
          <w:lang w:eastAsia="en-NZ"/>
        </w:rPr>
        <w:t>,</w:t>
      </w:r>
      <w:r w:rsidR="003D640C">
        <w:rPr>
          <w:lang w:eastAsia="en-NZ"/>
        </w:rPr>
        <w:t xml:space="preserve"> </w:t>
      </w:r>
      <w:r w:rsidRPr="00094317">
        <w:rPr>
          <w:lang w:eastAsia="en-NZ"/>
        </w:rPr>
        <w:t>in</w:t>
      </w:r>
      <w:r w:rsidR="003D640C">
        <w:rPr>
          <w:lang w:eastAsia="en-NZ"/>
        </w:rPr>
        <w:t xml:space="preserve"> </w:t>
      </w:r>
      <w:r w:rsidRPr="00094317">
        <w:rPr>
          <w:lang w:eastAsia="en-NZ"/>
        </w:rPr>
        <w:t>this</w:t>
      </w:r>
      <w:r w:rsidR="003D640C">
        <w:rPr>
          <w:lang w:eastAsia="en-NZ"/>
        </w:rPr>
        <w:t xml:space="preserve"> </w:t>
      </w:r>
      <w:r w:rsidRPr="00094317">
        <w:rPr>
          <w:lang w:eastAsia="en-NZ"/>
        </w:rPr>
        <w:t>context</w:t>
      </w:r>
      <w:r w:rsidR="007D18C8">
        <w:rPr>
          <w:lang w:eastAsia="en-NZ"/>
        </w:rPr>
        <w:t>,</w:t>
      </w:r>
      <w:r w:rsidR="003D640C">
        <w:rPr>
          <w:lang w:eastAsia="en-NZ"/>
        </w:rPr>
        <w:t xml:space="preserve"> </w:t>
      </w:r>
      <w:r w:rsidRPr="00094317">
        <w:rPr>
          <w:lang w:eastAsia="en-NZ"/>
        </w:rPr>
        <w:t>the</w:t>
      </w:r>
      <w:r w:rsidR="003D640C">
        <w:rPr>
          <w:lang w:eastAsia="en-NZ"/>
        </w:rPr>
        <w:t xml:space="preserve"> </w:t>
      </w:r>
      <w:r w:rsidRPr="00094317">
        <w:rPr>
          <w:lang w:eastAsia="en-NZ"/>
        </w:rPr>
        <w:t>Commission</w:t>
      </w:r>
      <w:r w:rsidR="003D640C">
        <w:rPr>
          <w:lang w:eastAsia="en-NZ"/>
        </w:rPr>
        <w:t xml:space="preserve"> </w:t>
      </w:r>
      <w:r w:rsidRPr="00094317">
        <w:rPr>
          <w:lang w:eastAsia="en-NZ"/>
        </w:rPr>
        <w:t>believes</w:t>
      </w:r>
      <w:r w:rsidR="003D640C">
        <w:rPr>
          <w:lang w:eastAsia="en-NZ"/>
        </w:rPr>
        <w:t xml:space="preserve"> </w:t>
      </w:r>
      <w:r w:rsidRPr="00094317">
        <w:rPr>
          <w:lang w:eastAsia="en-NZ"/>
        </w:rPr>
        <w:t>such</w:t>
      </w:r>
      <w:r w:rsidR="003D640C">
        <w:rPr>
          <w:lang w:eastAsia="en-NZ"/>
        </w:rPr>
        <w:t xml:space="preserve"> </w:t>
      </w:r>
      <w:r w:rsidRPr="00094317">
        <w:rPr>
          <w:lang w:eastAsia="en-NZ"/>
        </w:rPr>
        <w:t>oversight</w:t>
      </w:r>
      <w:r w:rsidR="003D640C">
        <w:rPr>
          <w:lang w:eastAsia="en-NZ"/>
        </w:rPr>
        <w:t xml:space="preserve"> </w:t>
      </w:r>
      <w:r w:rsidRPr="00094317">
        <w:rPr>
          <w:lang w:eastAsia="en-NZ"/>
        </w:rPr>
        <w:t>is</w:t>
      </w:r>
      <w:r w:rsidR="003D640C">
        <w:rPr>
          <w:lang w:eastAsia="en-NZ"/>
        </w:rPr>
        <w:t xml:space="preserve"> </w:t>
      </w:r>
      <w:r w:rsidRPr="00094317">
        <w:rPr>
          <w:lang w:eastAsia="en-NZ"/>
        </w:rPr>
        <w:t>not</w:t>
      </w:r>
      <w:r w:rsidR="003D640C">
        <w:rPr>
          <w:lang w:eastAsia="en-NZ"/>
        </w:rPr>
        <w:t xml:space="preserve"> </w:t>
      </w:r>
      <w:r w:rsidRPr="00094317">
        <w:rPr>
          <w:lang w:eastAsia="en-NZ"/>
        </w:rPr>
        <w:t>required</w:t>
      </w:r>
      <w:r w:rsidR="003D640C">
        <w:rPr>
          <w:lang w:eastAsia="en-NZ"/>
        </w:rPr>
        <w:t xml:space="preserve"> </w:t>
      </w:r>
      <w:r w:rsidR="003A2CFC">
        <w:rPr>
          <w:lang w:eastAsia="en-NZ"/>
        </w:rPr>
        <w:t>given</w:t>
      </w:r>
      <w:r w:rsidR="003D640C">
        <w:rPr>
          <w:lang w:eastAsia="en-NZ"/>
        </w:rPr>
        <w:t xml:space="preserve"> </w:t>
      </w:r>
      <w:r w:rsidR="003A2CFC">
        <w:rPr>
          <w:lang w:eastAsia="en-NZ"/>
        </w:rPr>
        <w:t>the</w:t>
      </w:r>
      <w:r w:rsidR="003D640C">
        <w:rPr>
          <w:lang w:eastAsia="en-NZ"/>
        </w:rPr>
        <w:t xml:space="preserve"> </w:t>
      </w:r>
      <w:r w:rsidR="003A2CFC">
        <w:rPr>
          <w:lang w:eastAsia="en-NZ"/>
        </w:rPr>
        <w:t>other</w:t>
      </w:r>
      <w:r w:rsidR="003D640C">
        <w:rPr>
          <w:lang w:eastAsia="en-NZ"/>
        </w:rPr>
        <w:t xml:space="preserve"> </w:t>
      </w:r>
      <w:r w:rsidR="003A2CFC">
        <w:rPr>
          <w:lang w:eastAsia="en-NZ"/>
        </w:rPr>
        <w:t>safe</w:t>
      </w:r>
      <w:r w:rsidR="002827DA">
        <w:rPr>
          <w:lang w:eastAsia="en-NZ"/>
        </w:rPr>
        <w:t>guards</w:t>
      </w:r>
      <w:r w:rsidR="003D640C">
        <w:rPr>
          <w:lang w:eastAsia="en-NZ"/>
        </w:rPr>
        <w:t xml:space="preserve"> </w:t>
      </w:r>
      <w:r w:rsidRPr="00094317">
        <w:rPr>
          <w:lang w:eastAsia="en-NZ"/>
        </w:rPr>
        <w:t>and</w:t>
      </w:r>
      <w:r w:rsidR="003D640C">
        <w:rPr>
          <w:lang w:eastAsia="en-NZ"/>
        </w:rPr>
        <w:t xml:space="preserve"> </w:t>
      </w:r>
      <w:r w:rsidRPr="00094317">
        <w:rPr>
          <w:lang w:eastAsia="en-NZ"/>
        </w:rPr>
        <w:t>can</w:t>
      </w:r>
      <w:r w:rsidR="003D640C">
        <w:rPr>
          <w:lang w:eastAsia="en-NZ"/>
        </w:rPr>
        <w:t xml:space="preserve"> </w:t>
      </w:r>
      <w:r w:rsidRPr="00094317">
        <w:rPr>
          <w:lang w:eastAsia="en-NZ"/>
        </w:rPr>
        <w:t>instead</w:t>
      </w:r>
      <w:r w:rsidR="003D640C">
        <w:rPr>
          <w:lang w:eastAsia="en-NZ"/>
        </w:rPr>
        <w:t xml:space="preserve"> </w:t>
      </w:r>
      <w:r w:rsidRPr="00094317">
        <w:rPr>
          <w:lang w:eastAsia="en-NZ"/>
        </w:rPr>
        <w:t>create</w:t>
      </w:r>
      <w:r w:rsidR="003D640C">
        <w:rPr>
          <w:lang w:eastAsia="en-NZ"/>
        </w:rPr>
        <w:t xml:space="preserve"> </w:t>
      </w:r>
      <w:r w:rsidRPr="00094317">
        <w:rPr>
          <w:lang w:eastAsia="en-NZ"/>
        </w:rPr>
        <w:t>a</w:t>
      </w:r>
      <w:r w:rsidR="003D640C">
        <w:rPr>
          <w:lang w:eastAsia="en-NZ"/>
        </w:rPr>
        <w:t xml:space="preserve"> </w:t>
      </w:r>
      <w:r w:rsidRPr="00094317">
        <w:rPr>
          <w:lang w:eastAsia="en-NZ"/>
        </w:rPr>
        <w:t>barrier</w:t>
      </w:r>
      <w:r w:rsidR="003D640C">
        <w:rPr>
          <w:lang w:eastAsia="en-NZ"/>
        </w:rPr>
        <w:t xml:space="preserve"> </w:t>
      </w:r>
      <w:r w:rsidRPr="00094317">
        <w:rPr>
          <w:lang w:eastAsia="en-NZ"/>
        </w:rPr>
        <w:t>to</w:t>
      </w:r>
      <w:r w:rsidR="003D640C">
        <w:rPr>
          <w:lang w:eastAsia="en-NZ"/>
        </w:rPr>
        <w:t xml:space="preserve"> </w:t>
      </w:r>
      <w:r w:rsidRPr="00094317">
        <w:rPr>
          <w:lang w:eastAsia="en-NZ"/>
        </w:rPr>
        <w:t>justice.</w:t>
      </w:r>
      <w:r w:rsidRPr="00094317">
        <w:rPr>
          <w:rStyle w:val="FootnoteReference"/>
          <w:rFonts w:eastAsia="Times New Roman" w:cstheme="minorHAnsi"/>
          <w:lang w:eastAsia="en-NZ"/>
        </w:rPr>
        <w:footnoteReference w:id="60"/>
      </w:r>
    </w:p>
    <w:p w14:paraId="157C335B" w14:textId="2BA9CD20" w:rsidR="001C3549" w:rsidRPr="00BB6220" w:rsidRDefault="001C3549" w:rsidP="00B2336B">
      <w:pPr>
        <w:pStyle w:val="Heading2"/>
        <w:rPr>
          <w:rFonts w:ascii="Segoe UI" w:hAnsi="Segoe UI" w:cs="Segoe UI"/>
          <w:sz w:val="18"/>
          <w:szCs w:val="18"/>
        </w:rPr>
      </w:pPr>
      <w:bookmarkStart w:id="108" w:name="_Toc138325162"/>
      <w:bookmarkStart w:id="109" w:name="_Toc138343799"/>
      <w:bookmarkStart w:id="110" w:name="_Toc167780588"/>
      <w:bookmarkStart w:id="111" w:name="_Toc804236094"/>
      <w:bookmarkStart w:id="112" w:name="_Toc174628646"/>
      <w:r w:rsidRPr="00BB6220">
        <w:t>The</w:t>
      </w:r>
      <w:r w:rsidR="003D640C">
        <w:t xml:space="preserve"> </w:t>
      </w:r>
      <w:bookmarkEnd w:id="108"/>
      <w:bookmarkEnd w:id="109"/>
      <w:r w:rsidR="00A070CE" w:rsidRPr="00BB6220">
        <w:t>right</w:t>
      </w:r>
      <w:r w:rsidR="003D640C">
        <w:t xml:space="preserve"> </w:t>
      </w:r>
      <w:r w:rsidR="00A070CE" w:rsidRPr="00BB6220">
        <w:t>to</w:t>
      </w:r>
      <w:r w:rsidR="003D640C">
        <w:t xml:space="preserve"> </w:t>
      </w:r>
      <w:r w:rsidR="00A070CE" w:rsidRPr="00BB6220">
        <w:t>health</w:t>
      </w:r>
      <w:bookmarkEnd w:id="110"/>
      <w:bookmarkEnd w:id="111"/>
      <w:bookmarkEnd w:id="112"/>
    </w:p>
    <w:p w14:paraId="719295F8" w14:textId="3DA2BEAA" w:rsidR="00501068" w:rsidRDefault="001C3549" w:rsidP="00B2336B">
      <w:pPr>
        <w:rPr>
          <w:rFonts w:ascii="Segoe UI" w:hAnsi="Segoe UI" w:cs="Segoe UI"/>
          <w:sz w:val="20"/>
          <w:szCs w:val="20"/>
          <w:lang w:eastAsia="en-NZ"/>
        </w:rPr>
      </w:pPr>
      <w:r w:rsidRPr="00BB6220">
        <w:rPr>
          <w:lang w:eastAsia="en-NZ"/>
        </w:rPr>
        <w:t>Article</w:t>
      </w:r>
      <w:r w:rsidR="003D640C">
        <w:rPr>
          <w:lang w:eastAsia="en-NZ"/>
        </w:rPr>
        <w:t xml:space="preserve"> </w:t>
      </w:r>
      <w:r w:rsidRPr="00BB6220">
        <w:rPr>
          <w:lang w:eastAsia="en-NZ"/>
        </w:rPr>
        <w:t>12</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International</w:t>
      </w:r>
      <w:r w:rsidR="003D640C">
        <w:rPr>
          <w:lang w:eastAsia="en-NZ"/>
        </w:rPr>
        <w:t xml:space="preserve"> </w:t>
      </w:r>
      <w:r w:rsidRPr="00BB6220">
        <w:rPr>
          <w:lang w:eastAsia="en-NZ"/>
        </w:rPr>
        <w:t>Covenant</w:t>
      </w:r>
      <w:r w:rsidR="003D640C">
        <w:rPr>
          <w:lang w:eastAsia="en-NZ"/>
        </w:rPr>
        <w:t xml:space="preserve"> </w:t>
      </w:r>
      <w:r w:rsidRPr="00BB6220">
        <w:rPr>
          <w:lang w:eastAsia="en-NZ"/>
        </w:rPr>
        <w:t>on</w:t>
      </w:r>
      <w:r w:rsidR="003D640C">
        <w:rPr>
          <w:lang w:eastAsia="en-NZ"/>
        </w:rPr>
        <w:t xml:space="preserve"> </w:t>
      </w:r>
      <w:r w:rsidRPr="00BB6220">
        <w:rPr>
          <w:lang w:eastAsia="en-NZ"/>
        </w:rPr>
        <w:t>Economic</w:t>
      </w:r>
      <w:r w:rsidR="006E4C5D" w:rsidRPr="00BB6220">
        <w:rPr>
          <w:lang w:eastAsia="en-NZ"/>
        </w:rPr>
        <w:t>,</w:t>
      </w:r>
      <w:r w:rsidR="003D640C">
        <w:rPr>
          <w:lang w:eastAsia="en-NZ"/>
        </w:rPr>
        <w:t xml:space="preserve"> </w:t>
      </w:r>
      <w:r w:rsidRPr="00BB6220">
        <w:rPr>
          <w:lang w:eastAsia="en-NZ"/>
        </w:rPr>
        <w:t>Social</w:t>
      </w:r>
      <w:r w:rsidR="003D640C">
        <w:rPr>
          <w:lang w:eastAsia="en-NZ"/>
        </w:rPr>
        <w:t xml:space="preserve"> </w:t>
      </w:r>
      <w:r w:rsidRPr="00BB6220">
        <w:rPr>
          <w:lang w:eastAsia="en-NZ"/>
        </w:rPr>
        <w:t>and</w:t>
      </w:r>
      <w:r w:rsidR="003D640C">
        <w:rPr>
          <w:lang w:eastAsia="en-NZ"/>
        </w:rPr>
        <w:t xml:space="preserve"> </w:t>
      </w:r>
      <w:r w:rsidRPr="00BB6220">
        <w:rPr>
          <w:lang w:eastAsia="en-NZ"/>
        </w:rPr>
        <w:t>Cultural</w:t>
      </w:r>
      <w:r w:rsidR="003D640C">
        <w:rPr>
          <w:lang w:eastAsia="en-NZ"/>
        </w:rPr>
        <w:t xml:space="preserve"> </w:t>
      </w:r>
      <w:r w:rsidRPr="00BB6220">
        <w:rPr>
          <w:lang w:eastAsia="en-NZ"/>
        </w:rPr>
        <w:t>Rights</w:t>
      </w:r>
      <w:r w:rsidR="00402D6E" w:rsidRPr="00BB6220">
        <w:rPr>
          <w:lang w:eastAsia="en-NZ"/>
        </w:rPr>
        <w:t>,</w:t>
      </w:r>
      <w:r w:rsidR="003D640C">
        <w:rPr>
          <w:lang w:eastAsia="en-NZ"/>
        </w:rPr>
        <w:t xml:space="preserve"> </w:t>
      </w:r>
      <w:r w:rsidR="003D0674" w:rsidRPr="00BB6220">
        <w:rPr>
          <w:lang w:eastAsia="en-NZ"/>
        </w:rPr>
        <w:t>which</w:t>
      </w:r>
      <w:r w:rsidR="003D640C">
        <w:rPr>
          <w:lang w:eastAsia="en-NZ"/>
        </w:rPr>
        <w:t xml:space="preserve"> </w:t>
      </w:r>
      <w:r w:rsidR="00F002A5">
        <w:rPr>
          <w:lang w:eastAsia="en-NZ"/>
        </w:rPr>
        <w:t>N</w:t>
      </w:r>
      <w:r w:rsidR="003D0674" w:rsidRPr="00BB6220">
        <w:rPr>
          <w:lang w:eastAsia="en-NZ"/>
        </w:rPr>
        <w:t>ew</w:t>
      </w:r>
      <w:r w:rsidR="003D640C">
        <w:rPr>
          <w:lang w:eastAsia="en-NZ"/>
        </w:rPr>
        <w:t xml:space="preserve"> </w:t>
      </w:r>
      <w:r w:rsidR="003D0674" w:rsidRPr="00BB6220">
        <w:rPr>
          <w:lang w:eastAsia="en-NZ"/>
        </w:rPr>
        <w:t>Zealand</w:t>
      </w:r>
      <w:r w:rsidR="003D640C">
        <w:rPr>
          <w:lang w:eastAsia="en-NZ"/>
        </w:rPr>
        <w:t xml:space="preserve"> </w:t>
      </w:r>
      <w:r w:rsidR="003D0674" w:rsidRPr="00BB6220">
        <w:rPr>
          <w:lang w:eastAsia="en-NZ"/>
        </w:rPr>
        <w:t>has</w:t>
      </w:r>
      <w:r w:rsidR="003D640C">
        <w:rPr>
          <w:lang w:eastAsia="en-NZ"/>
        </w:rPr>
        <w:t xml:space="preserve"> </w:t>
      </w:r>
      <w:r w:rsidR="003D0674" w:rsidRPr="00BB6220">
        <w:rPr>
          <w:lang w:eastAsia="en-NZ"/>
        </w:rPr>
        <w:t>ratified</w:t>
      </w:r>
      <w:r w:rsidR="003D640C">
        <w:rPr>
          <w:lang w:eastAsia="en-NZ"/>
        </w:rPr>
        <w:t xml:space="preserve"> </w:t>
      </w:r>
      <w:r w:rsidR="00076185">
        <w:rPr>
          <w:lang w:eastAsia="en-NZ"/>
        </w:rPr>
        <w:t>and</w:t>
      </w:r>
      <w:r w:rsidR="003D640C">
        <w:rPr>
          <w:lang w:eastAsia="en-NZ"/>
        </w:rPr>
        <w:t xml:space="preserve"> </w:t>
      </w:r>
      <w:r w:rsidR="00076185">
        <w:rPr>
          <w:lang w:eastAsia="en-NZ"/>
        </w:rPr>
        <w:t>is</w:t>
      </w:r>
      <w:r w:rsidR="003D640C">
        <w:rPr>
          <w:lang w:eastAsia="en-NZ"/>
        </w:rPr>
        <w:t xml:space="preserve"> </w:t>
      </w:r>
      <w:r w:rsidR="00076185">
        <w:rPr>
          <w:lang w:eastAsia="en-NZ"/>
        </w:rPr>
        <w:t>therefore</w:t>
      </w:r>
      <w:r w:rsidR="003D640C">
        <w:rPr>
          <w:lang w:eastAsia="en-NZ"/>
        </w:rPr>
        <w:t xml:space="preserve"> </w:t>
      </w:r>
      <w:r w:rsidR="00076185">
        <w:rPr>
          <w:lang w:eastAsia="en-NZ"/>
        </w:rPr>
        <w:t>legally</w:t>
      </w:r>
      <w:r w:rsidR="003D640C">
        <w:rPr>
          <w:lang w:eastAsia="en-NZ"/>
        </w:rPr>
        <w:t xml:space="preserve"> </w:t>
      </w:r>
      <w:r w:rsidR="00076185">
        <w:rPr>
          <w:lang w:eastAsia="en-NZ"/>
        </w:rPr>
        <w:t>binding</w:t>
      </w:r>
      <w:r w:rsidR="003D0674" w:rsidRPr="00BB6220">
        <w:rPr>
          <w:lang w:eastAsia="en-NZ"/>
        </w:rPr>
        <w:t>,</w:t>
      </w:r>
      <w:r w:rsidR="003D640C">
        <w:rPr>
          <w:lang w:eastAsia="en-NZ"/>
        </w:rPr>
        <w:t xml:space="preserve"> </w:t>
      </w:r>
      <w:r w:rsidRPr="00BB6220">
        <w:rPr>
          <w:lang w:eastAsia="en-NZ"/>
        </w:rPr>
        <w:t>recognises</w:t>
      </w:r>
      <w:r w:rsidR="003D640C">
        <w:rPr>
          <w:lang w:eastAsia="en-NZ"/>
        </w:rPr>
        <w:t xml:space="preserve"> </w:t>
      </w:r>
      <w:r w:rsidRPr="00BB6220">
        <w:rPr>
          <w:lang w:eastAsia="en-NZ"/>
        </w:rPr>
        <w:t>“the</w:t>
      </w:r>
      <w:r w:rsidR="003D640C">
        <w:rPr>
          <w:lang w:eastAsia="en-NZ"/>
        </w:rPr>
        <w:t xml:space="preserve"> </w:t>
      </w:r>
      <w:r w:rsidRPr="00BB6220">
        <w:rPr>
          <w:lang w:eastAsia="en-NZ"/>
        </w:rPr>
        <w:t>right</w:t>
      </w:r>
      <w:r w:rsidR="003D640C">
        <w:rPr>
          <w:lang w:eastAsia="en-NZ"/>
        </w:rPr>
        <w:t xml:space="preserve"> </w:t>
      </w:r>
      <w:r w:rsidRPr="00BB6220">
        <w:rPr>
          <w:lang w:eastAsia="en-NZ"/>
        </w:rPr>
        <w:t>of</w:t>
      </w:r>
      <w:r w:rsidR="003D640C">
        <w:rPr>
          <w:lang w:eastAsia="en-NZ"/>
        </w:rPr>
        <w:t xml:space="preserve"> </w:t>
      </w:r>
      <w:r w:rsidRPr="00BB6220">
        <w:rPr>
          <w:lang w:eastAsia="en-NZ"/>
        </w:rPr>
        <w:t>everyone</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enjoyment</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highest</w:t>
      </w:r>
      <w:r w:rsidR="003D640C">
        <w:rPr>
          <w:lang w:eastAsia="en-NZ"/>
        </w:rPr>
        <w:t xml:space="preserve"> </w:t>
      </w:r>
      <w:r w:rsidRPr="00BB6220">
        <w:rPr>
          <w:lang w:eastAsia="en-NZ"/>
        </w:rPr>
        <w:t>attainable</w:t>
      </w:r>
      <w:r w:rsidR="003D640C">
        <w:rPr>
          <w:lang w:eastAsia="en-NZ"/>
        </w:rPr>
        <w:t xml:space="preserve"> </w:t>
      </w:r>
      <w:r w:rsidRPr="00BB6220">
        <w:rPr>
          <w:lang w:eastAsia="en-NZ"/>
        </w:rPr>
        <w:t>standard</w:t>
      </w:r>
      <w:r w:rsidR="003D640C">
        <w:rPr>
          <w:lang w:eastAsia="en-NZ"/>
        </w:rPr>
        <w:t xml:space="preserve"> </w:t>
      </w:r>
      <w:r w:rsidRPr="00BB6220">
        <w:rPr>
          <w:lang w:eastAsia="en-NZ"/>
        </w:rPr>
        <w:t>of</w:t>
      </w:r>
      <w:r w:rsidR="003D640C">
        <w:rPr>
          <w:lang w:eastAsia="en-NZ"/>
        </w:rPr>
        <w:t xml:space="preserve"> </w:t>
      </w:r>
      <w:r w:rsidRPr="00BB6220">
        <w:rPr>
          <w:lang w:eastAsia="en-NZ"/>
        </w:rPr>
        <w:t>physical</w:t>
      </w:r>
      <w:r w:rsidR="003D640C">
        <w:rPr>
          <w:lang w:eastAsia="en-NZ"/>
        </w:rPr>
        <w:t xml:space="preserve"> </w:t>
      </w:r>
      <w:r w:rsidRPr="00BB6220">
        <w:rPr>
          <w:lang w:eastAsia="en-NZ"/>
        </w:rPr>
        <w:t>and</w:t>
      </w:r>
      <w:r w:rsidR="003D640C">
        <w:rPr>
          <w:lang w:eastAsia="en-NZ"/>
        </w:rPr>
        <w:t xml:space="preserve"> </w:t>
      </w:r>
      <w:r w:rsidRPr="00BB6220">
        <w:rPr>
          <w:lang w:eastAsia="en-NZ"/>
        </w:rPr>
        <w:t>mental</w:t>
      </w:r>
      <w:r w:rsidR="003D640C">
        <w:rPr>
          <w:lang w:eastAsia="en-NZ"/>
        </w:rPr>
        <w:t xml:space="preserve"> </w:t>
      </w:r>
      <w:r w:rsidRPr="00BB6220">
        <w:rPr>
          <w:lang w:eastAsia="en-NZ"/>
        </w:rPr>
        <w:t>health”</w:t>
      </w:r>
      <w:r w:rsidR="00975952">
        <w:rPr>
          <w:lang w:eastAsia="en-NZ"/>
        </w:rPr>
        <w:t>.</w:t>
      </w:r>
      <w:r w:rsidR="003D640C">
        <w:rPr>
          <w:rStyle w:val="FootnoteReference"/>
          <w:rFonts w:ascii="Calibri" w:eastAsia="Times New Roman" w:hAnsi="Calibri" w:cs="Calibri"/>
          <w:lang w:eastAsia="en-NZ"/>
        </w:rPr>
        <w:t xml:space="preserve"> </w:t>
      </w:r>
      <w:r w:rsidR="00F9547C" w:rsidRPr="00F9547C">
        <w:rPr>
          <w:lang w:eastAsia="en-NZ"/>
        </w:rPr>
        <w:t>An</w:t>
      </w:r>
      <w:r w:rsidR="003D640C">
        <w:rPr>
          <w:lang w:eastAsia="en-NZ"/>
        </w:rPr>
        <w:t xml:space="preserve"> </w:t>
      </w:r>
      <w:r w:rsidR="00F9547C" w:rsidRPr="00F9547C">
        <w:rPr>
          <w:lang w:eastAsia="en-NZ"/>
        </w:rPr>
        <w:t>integral</w:t>
      </w:r>
      <w:r w:rsidR="003D640C">
        <w:rPr>
          <w:lang w:eastAsia="en-NZ"/>
        </w:rPr>
        <w:t xml:space="preserve"> </w:t>
      </w:r>
      <w:r w:rsidR="00F9547C" w:rsidRPr="00F9547C">
        <w:rPr>
          <w:lang w:eastAsia="en-NZ"/>
        </w:rPr>
        <w:t>part</w:t>
      </w:r>
      <w:r w:rsidR="003D640C">
        <w:rPr>
          <w:lang w:eastAsia="en-NZ"/>
        </w:rPr>
        <w:t xml:space="preserve"> </w:t>
      </w:r>
      <w:r w:rsidR="00F9547C" w:rsidRPr="00F9547C">
        <w:rPr>
          <w:lang w:eastAsia="en-NZ"/>
        </w:rPr>
        <w:t>of</w:t>
      </w:r>
      <w:r w:rsidR="003D640C">
        <w:rPr>
          <w:lang w:eastAsia="en-NZ"/>
        </w:rPr>
        <w:t xml:space="preserve"> </w:t>
      </w:r>
      <w:r w:rsidR="00F9547C" w:rsidRPr="00F9547C">
        <w:rPr>
          <w:lang w:eastAsia="en-NZ"/>
        </w:rPr>
        <w:t>this</w:t>
      </w:r>
      <w:r w:rsidR="003D640C">
        <w:rPr>
          <w:lang w:eastAsia="en-NZ"/>
        </w:rPr>
        <w:t xml:space="preserve"> </w:t>
      </w:r>
      <w:r w:rsidR="00F9547C" w:rsidRPr="00F9547C">
        <w:rPr>
          <w:lang w:eastAsia="en-NZ"/>
        </w:rPr>
        <w:t>right</w:t>
      </w:r>
      <w:r w:rsidR="003D640C">
        <w:rPr>
          <w:lang w:eastAsia="en-NZ"/>
        </w:rPr>
        <w:t xml:space="preserve"> </w:t>
      </w:r>
      <w:r w:rsidR="00F9547C" w:rsidRPr="00F9547C">
        <w:rPr>
          <w:lang w:eastAsia="en-NZ"/>
        </w:rPr>
        <w:t>is</w:t>
      </w:r>
      <w:r w:rsidR="003D640C">
        <w:rPr>
          <w:lang w:eastAsia="en-NZ"/>
        </w:rPr>
        <w:t xml:space="preserve"> </w:t>
      </w:r>
      <w:r w:rsidR="00F9547C" w:rsidRPr="00F9547C">
        <w:rPr>
          <w:lang w:eastAsia="en-NZ"/>
        </w:rPr>
        <w:t>sexual</w:t>
      </w:r>
      <w:r w:rsidR="003D640C">
        <w:rPr>
          <w:lang w:eastAsia="en-NZ"/>
        </w:rPr>
        <w:t xml:space="preserve"> </w:t>
      </w:r>
      <w:r w:rsidR="00F9547C" w:rsidRPr="00F9547C">
        <w:rPr>
          <w:lang w:eastAsia="en-NZ"/>
        </w:rPr>
        <w:t>and</w:t>
      </w:r>
      <w:r w:rsidR="003D640C">
        <w:rPr>
          <w:lang w:eastAsia="en-NZ"/>
        </w:rPr>
        <w:t xml:space="preserve"> </w:t>
      </w:r>
      <w:r w:rsidR="00F9547C" w:rsidRPr="00F9547C">
        <w:rPr>
          <w:lang w:eastAsia="en-NZ"/>
        </w:rPr>
        <w:t>reproductive</w:t>
      </w:r>
      <w:r w:rsidR="003D640C">
        <w:rPr>
          <w:lang w:eastAsia="en-NZ"/>
        </w:rPr>
        <w:t xml:space="preserve"> </w:t>
      </w:r>
      <w:r w:rsidR="00F9547C" w:rsidRPr="00F9547C">
        <w:rPr>
          <w:lang w:eastAsia="en-NZ"/>
        </w:rPr>
        <w:t>health,</w:t>
      </w:r>
      <w:r w:rsidR="003D640C">
        <w:rPr>
          <w:lang w:eastAsia="en-NZ"/>
        </w:rPr>
        <w:t xml:space="preserve"> </w:t>
      </w:r>
      <w:r w:rsidR="00F9547C" w:rsidRPr="00F9547C">
        <w:rPr>
          <w:lang w:eastAsia="en-NZ"/>
        </w:rPr>
        <w:t>which</w:t>
      </w:r>
      <w:r w:rsidR="003D640C">
        <w:rPr>
          <w:lang w:eastAsia="en-NZ"/>
        </w:rPr>
        <w:t xml:space="preserve"> </w:t>
      </w:r>
      <w:r w:rsidR="00F9547C" w:rsidRPr="00F9547C">
        <w:rPr>
          <w:lang w:eastAsia="en-NZ"/>
        </w:rPr>
        <w:t>encompasses</w:t>
      </w:r>
      <w:r w:rsidR="003D640C">
        <w:rPr>
          <w:lang w:eastAsia="en-NZ"/>
        </w:rPr>
        <w:t xml:space="preserve"> </w:t>
      </w:r>
      <w:r w:rsidR="00F9547C" w:rsidRPr="00F9547C">
        <w:rPr>
          <w:lang w:eastAsia="en-NZ"/>
        </w:rPr>
        <w:t>the</w:t>
      </w:r>
      <w:r w:rsidR="003D640C">
        <w:rPr>
          <w:lang w:eastAsia="en-NZ"/>
        </w:rPr>
        <w:t xml:space="preserve"> </w:t>
      </w:r>
      <w:r w:rsidR="00F9547C" w:rsidRPr="00F9547C">
        <w:rPr>
          <w:lang w:eastAsia="en-NZ"/>
        </w:rPr>
        <w:t>right</w:t>
      </w:r>
      <w:r w:rsidR="003D640C">
        <w:rPr>
          <w:lang w:eastAsia="en-NZ"/>
        </w:rPr>
        <w:t xml:space="preserve"> </w:t>
      </w:r>
      <w:r w:rsidR="00F9547C" w:rsidRPr="00F9547C">
        <w:rPr>
          <w:lang w:eastAsia="en-NZ"/>
        </w:rPr>
        <w:t>of</w:t>
      </w:r>
      <w:r w:rsidR="003D640C">
        <w:rPr>
          <w:lang w:eastAsia="en-NZ"/>
        </w:rPr>
        <w:t xml:space="preserve"> </w:t>
      </w:r>
      <w:r w:rsidR="00F9547C" w:rsidRPr="00F9547C">
        <w:rPr>
          <w:lang w:eastAsia="en-NZ"/>
        </w:rPr>
        <w:t>persons</w:t>
      </w:r>
      <w:r w:rsidR="003D640C">
        <w:rPr>
          <w:lang w:eastAsia="en-NZ"/>
        </w:rPr>
        <w:t xml:space="preserve"> </w:t>
      </w:r>
      <w:r w:rsidR="00F9547C" w:rsidRPr="00F9547C">
        <w:rPr>
          <w:lang w:eastAsia="en-NZ"/>
        </w:rPr>
        <w:t>to</w:t>
      </w:r>
      <w:r w:rsidR="003D640C">
        <w:rPr>
          <w:lang w:eastAsia="en-NZ"/>
        </w:rPr>
        <w:t xml:space="preserve"> </w:t>
      </w:r>
      <w:r w:rsidR="00F9547C" w:rsidRPr="00F9547C">
        <w:rPr>
          <w:lang w:eastAsia="en-NZ"/>
        </w:rPr>
        <w:t>be</w:t>
      </w:r>
      <w:r w:rsidR="003D640C">
        <w:rPr>
          <w:lang w:eastAsia="en-NZ"/>
        </w:rPr>
        <w:t xml:space="preserve"> </w:t>
      </w:r>
      <w:r w:rsidR="00F9547C" w:rsidRPr="00F9547C">
        <w:rPr>
          <w:lang w:eastAsia="en-NZ"/>
        </w:rPr>
        <w:t>fully</w:t>
      </w:r>
      <w:r w:rsidR="003D640C">
        <w:rPr>
          <w:lang w:eastAsia="en-NZ"/>
        </w:rPr>
        <w:t xml:space="preserve"> </w:t>
      </w:r>
      <w:r w:rsidR="00F9547C" w:rsidRPr="00F9547C">
        <w:rPr>
          <w:lang w:eastAsia="en-NZ"/>
        </w:rPr>
        <w:t>respected</w:t>
      </w:r>
      <w:r w:rsidR="003D640C">
        <w:rPr>
          <w:lang w:eastAsia="en-NZ"/>
        </w:rPr>
        <w:t xml:space="preserve"> </w:t>
      </w:r>
      <w:r w:rsidR="00F9547C" w:rsidRPr="00F9547C">
        <w:rPr>
          <w:lang w:eastAsia="en-NZ"/>
        </w:rPr>
        <w:t>for</w:t>
      </w:r>
      <w:r w:rsidR="003D640C">
        <w:rPr>
          <w:lang w:eastAsia="en-NZ"/>
        </w:rPr>
        <w:t xml:space="preserve"> </w:t>
      </w:r>
      <w:r w:rsidR="00F9547C" w:rsidRPr="00F9547C">
        <w:rPr>
          <w:lang w:eastAsia="en-NZ"/>
        </w:rPr>
        <w:t>their</w:t>
      </w:r>
      <w:r w:rsidR="003D640C">
        <w:rPr>
          <w:lang w:eastAsia="en-NZ"/>
        </w:rPr>
        <w:t xml:space="preserve"> </w:t>
      </w:r>
      <w:r w:rsidR="00F9547C" w:rsidRPr="00F9547C">
        <w:rPr>
          <w:lang w:eastAsia="en-NZ"/>
        </w:rPr>
        <w:t>sexual</w:t>
      </w:r>
      <w:r w:rsidR="003D640C">
        <w:rPr>
          <w:lang w:eastAsia="en-NZ"/>
        </w:rPr>
        <w:t xml:space="preserve"> </w:t>
      </w:r>
      <w:r w:rsidR="00F9547C" w:rsidRPr="00F9547C">
        <w:rPr>
          <w:lang w:eastAsia="en-NZ"/>
        </w:rPr>
        <w:t>orientation</w:t>
      </w:r>
      <w:r w:rsidR="003D640C">
        <w:rPr>
          <w:lang w:eastAsia="en-NZ"/>
        </w:rPr>
        <w:t xml:space="preserve"> </w:t>
      </w:r>
      <w:r w:rsidR="00F9547C" w:rsidRPr="00F9547C">
        <w:rPr>
          <w:lang w:eastAsia="en-NZ"/>
        </w:rPr>
        <w:t>and</w:t>
      </w:r>
      <w:r w:rsidR="003D640C">
        <w:rPr>
          <w:lang w:eastAsia="en-NZ"/>
        </w:rPr>
        <w:t xml:space="preserve"> </w:t>
      </w:r>
      <w:r w:rsidR="00F9547C" w:rsidRPr="00F9547C">
        <w:rPr>
          <w:lang w:eastAsia="en-NZ"/>
        </w:rPr>
        <w:t>gender</w:t>
      </w:r>
      <w:r w:rsidR="003D640C">
        <w:rPr>
          <w:lang w:eastAsia="en-NZ"/>
        </w:rPr>
        <w:t xml:space="preserve"> </w:t>
      </w:r>
      <w:r w:rsidR="00F9547C" w:rsidRPr="00F9547C">
        <w:rPr>
          <w:lang w:eastAsia="en-NZ"/>
        </w:rPr>
        <w:t>identity</w:t>
      </w:r>
      <w:r w:rsidR="00F9547C">
        <w:rPr>
          <w:lang w:eastAsia="en-NZ"/>
        </w:rPr>
        <w:t>.</w:t>
      </w:r>
      <w:r w:rsidR="00090097">
        <w:rPr>
          <w:rStyle w:val="FootnoteReference"/>
          <w:rFonts w:ascii="Calibri" w:eastAsia="Times New Roman" w:hAnsi="Calibri" w:cs="Calibri"/>
          <w:lang w:eastAsia="en-NZ"/>
        </w:rPr>
        <w:footnoteReference w:id="61"/>
      </w:r>
      <w:r w:rsidR="003D640C">
        <w:rPr>
          <w:lang w:eastAsia="en-NZ"/>
        </w:rPr>
        <w:t xml:space="preserve"> </w:t>
      </w:r>
      <w:r w:rsidR="00C328D8" w:rsidRPr="00BB6220">
        <w:rPr>
          <w:lang w:eastAsia="en-NZ"/>
        </w:rPr>
        <w:t>The</w:t>
      </w:r>
      <w:r w:rsidR="003D640C">
        <w:rPr>
          <w:lang w:eastAsia="en-NZ"/>
        </w:rPr>
        <w:t xml:space="preserve"> </w:t>
      </w:r>
      <w:r w:rsidR="00C328D8" w:rsidRPr="00BB6220">
        <w:rPr>
          <w:lang w:eastAsia="en-NZ"/>
        </w:rPr>
        <w:t>Government</w:t>
      </w:r>
      <w:r w:rsidR="003D640C">
        <w:rPr>
          <w:lang w:eastAsia="en-NZ"/>
        </w:rPr>
        <w:t xml:space="preserve"> </w:t>
      </w:r>
      <w:r w:rsidR="00261646">
        <w:rPr>
          <w:lang w:eastAsia="en-NZ"/>
        </w:rPr>
        <w:t>is</w:t>
      </w:r>
      <w:r w:rsidR="003D640C">
        <w:rPr>
          <w:lang w:eastAsia="en-NZ"/>
        </w:rPr>
        <w:t xml:space="preserve"> </w:t>
      </w:r>
      <w:r w:rsidR="00261646">
        <w:rPr>
          <w:lang w:eastAsia="en-NZ"/>
        </w:rPr>
        <w:t>legally</w:t>
      </w:r>
      <w:r w:rsidR="003D640C">
        <w:rPr>
          <w:lang w:eastAsia="en-NZ"/>
        </w:rPr>
        <w:t xml:space="preserve"> </w:t>
      </w:r>
      <w:r w:rsidR="00261646">
        <w:rPr>
          <w:lang w:eastAsia="en-NZ"/>
        </w:rPr>
        <w:t>obliged</w:t>
      </w:r>
      <w:r w:rsidR="003D640C">
        <w:rPr>
          <w:lang w:eastAsia="en-NZ"/>
        </w:rPr>
        <w:t xml:space="preserve"> </w:t>
      </w:r>
      <w:r w:rsidR="00261646">
        <w:rPr>
          <w:lang w:eastAsia="en-NZ"/>
        </w:rPr>
        <w:t>to</w:t>
      </w:r>
      <w:r w:rsidR="003D640C">
        <w:rPr>
          <w:lang w:eastAsia="en-NZ"/>
        </w:rPr>
        <w:t xml:space="preserve"> </w:t>
      </w:r>
      <w:r w:rsidR="00C328D8" w:rsidRPr="00BB6220">
        <w:rPr>
          <w:lang w:eastAsia="en-NZ"/>
        </w:rPr>
        <w:t>take</w:t>
      </w:r>
      <w:r w:rsidR="003D640C">
        <w:rPr>
          <w:lang w:eastAsia="en-NZ"/>
        </w:rPr>
        <w:t xml:space="preserve"> </w:t>
      </w:r>
      <w:r w:rsidR="00C328D8" w:rsidRPr="00BB6220">
        <w:rPr>
          <w:lang w:eastAsia="en-NZ"/>
        </w:rPr>
        <w:t>steps</w:t>
      </w:r>
      <w:r w:rsidR="003D640C">
        <w:rPr>
          <w:lang w:eastAsia="en-NZ"/>
        </w:rPr>
        <w:t xml:space="preserve"> </w:t>
      </w:r>
      <w:r w:rsidR="00C328D8" w:rsidRPr="00BB6220">
        <w:rPr>
          <w:lang w:eastAsia="en-NZ"/>
        </w:rPr>
        <w:t>to</w:t>
      </w:r>
      <w:r w:rsidR="003D640C">
        <w:rPr>
          <w:lang w:eastAsia="en-NZ"/>
        </w:rPr>
        <w:t xml:space="preserve"> </w:t>
      </w:r>
      <w:r w:rsidR="00C328D8" w:rsidRPr="00BB6220">
        <w:rPr>
          <w:lang w:eastAsia="en-NZ"/>
        </w:rPr>
        <w:t>achieve</w:t>
      </w:r>
      <w:r w:rsidR="003D640C">
        <w:rPr>
          <w:lang w:eastAsia="en-NZ"/>
        </w:rPr>
        <w:t xml:space="preserve"> </w:t>
      </w:r>
      <w:r w:rsidR="00C328D8" w:rsidRPr="00BB6220">
        <w:rPr>
          <w:lang w:eastAsia="en-NZ"/>
        </w:rPr>
        <w:t>the</w:t>
      </w:r>
      <w:r w:rsidR="003D640C">
        <w:rPr>
          <w:lang w:eastAsia="en-NZ"/>
        </w:rPr>
        <w:t xml:space="preserve"> </w:t>
      </w:r>
      <w:r w:rsidR="00C328D8" w:rsidRPr="00BB6220">
        <w:rPr>
          <w:lang w:eastAsia="en-NZ"/>
        </w:rPr>
        <w:t>full</w:t>
      </w:r>
      <w:r w:rsidR="003D640C">
        <w:rPr>
          <w:lang w:eastAsia="en-NZ"/>
        </w:rPr>
        <w:t xml:space="preserve"> </w:t>
      </w:r>
      <w:r w:rsidR="00203B3C">
        <w:rPr>
          <w:lang w:eastAsia="en-NZ"/>
        </w:rPr>
        <w:t>enjoyment</w:t>
      </w:r>
      <w:r w:rsidR="003D640C">
        <w:rPr>
          <w:lang w:eastAsia="en-NZ"/>
        </w:rPr>
        <w:t xml:space="preserve"> </w:t>
      </w:r>
      <w:r w:rsidR="00C328D8" w:rsidRPr="00BB6220">
        <w:rPr>
          <w:lang w:eastAsia="en-NZ"/>
        </w:rPr>
        <w:t>of</w:t>
      </w:r>
      <w:r w:rsidR="003D640C">
        <w:rPr>
          <w:lang w:eastAsia="en-NZ"/>
        </w:rPr>
        <w:t xml:space="preserve"> </w:t>
      </w:r>
      <w:r w:rsidR="00C328D8" w:rsidRPr="00BB6220">
        <w:rPr>
          <w:lang w:eastAsia="en-NZ"/>
        </w:rPr>
        <w:t>this</w:t>
      </w:r>
      <w:r w:rsidR="003D640C">
        <w:rPr>
          <w:lang w:eastAsia="en-NZ"/>
        </w:rPr>
        <w:t xml:space="preserve"> </w:t>
      </w:r>
      <w:r w:rsidR="00C328D8" w:rsidRPr="00BB6220">
        <w:rPr>
          <w:lang w:eastAsia="en-NZ"/>
        </w:rPr>
        <w:t>right</w:t>
      </w:r>
      <w:r w:rsidR="003D640C">
        <w:rPr>
          <w:lang w:eastAsia="en-NZ"/>
        </w:rPr>
        <w:t xml:space="preserve"> </w:t>
      </w:r>
      <w:r w:rsidR="00995D15">
        <w:rPr>
          <w:lang w:eastAsia="en-NZ"/>
        </w:rPr>
        <w:t>on</w:t>
      </w:r>
      <w:r w:rsidR="003D640C">
        <w:rPr>
          <w:lang w:eastAsia="en-NZ"/>
        </w:rPr>
        <w:t xml:space="preserve"> </w:t>
      </w:r>
      <w:r w:rsidR="00995D15">
        <w:rPr>
          <w:lang w:eastAsia="en-NZ"/>
        </w:rPr>
        <w:t>the</w:t>
      </w:r>
      <w:r w:rsidR="003D640C">
        <w:rPr>
          <w:lang w:eastAsia="en-NZ"/>
        </w:rPr>
        <w:t xml:space="preserve"> </w:t>
      </w:r>
      <w:r w:rsidR="00995D15">
        <w:rPr>
          <w:lang w:eastAsia="en-NZ"/>
        </w:rPr>
        <w:t>basis</w:t>
      </w:r>
      <w:r w:rsidR="003D640C">
        <w:rPr>
          <w:lang w:eastAsia="en-NZ"/>
        </w:rPr>
        <w:t xml:space="preserve"> </w:t>
      </w:r>
      <w:r w:rsidR="00995D15">
        <w:rPr>
          <w:lang w:eastAsia="en-NZ"/>
        </w:rPr>
        <w:t>of</w:t>
      </w:r>
      <w:r w:rsidR="003D640C">
        <w:rPr>
          <w:lang w:eastAsia="en-NZ"/>
        </w:rPr>
        <w:t xml:space="preserve"> </w:t>
      </w:r>
      <w:r w:rsidR="00995D15">
        <w:rPr>
          <w:lang w:eastAsia="en-NZ"/>
        </w:rPr>
        <w:t>equality</w:t>
      </w:r>
      <w:r w:rsidR="003D640C">
        <w:rPr>
          <w:lang w:eastAsia="en-NZ"/>
        </w:rPr>
        <w:t xml:space="preserve"> </w:t>
      </w:r>
      <w:r w:rsidR="00995D15">
        <w:rPr>
          <w:lang w:eastAsia="en-NZ"/>
        </w:rPr>
        <w:t>and</w:t>
      </w:r>
      <w:r w:rsidR="003D640C">
        <w:rPr>
          <w:lang w:eastAsia="en-NZ"/>
        </w:rPr>
        <w:t xml:space="preserve"> </w:t>
      </w:r>
      <w:r w:rsidR="00995D15">
        <w:rPr>
          <w:lang w:eastAsia="en-NZ"/>
        </w:rPr>
        <w:t>non-discrimination.</w:t>
      </w:r>
      <w:r w:rsidR="003D640C">
        <w:rPr>
          <w:lang w:eastAsia="en-NZ"/>
        </w:rPr>
        <w:t xml:space="preserve"> </w:t>
      </w:r>
      <w:r w:rsidR="00995D15">
        <w:rPr>
          <w:lang w:eastAsia="en-NZ"/>
        </w:rPr>
        <w:t>This</w:t>
      </w:r>
      <w:r w:rsidR="003D640C">
        <w:rPr>
          <w:lang w:eastAsia="en-NZ"/>
        </w:rPr>
        <w:t xml:space="preserve"> </w:t>
      </w:r>
      <w:r w:rsidR="00C328D8" w:rsidRPr="00BB6220">
        <w:rPr>
          <w:lang w:eastAsia="en-NZ"/>
        </w:rPr>
        <w:t>includes</w:t>
      </w:r>
      <w:r w:rsidR="003D640C">
        <w:rPr>
          <w:lang w:eastAsia="en-NZ"/>
        </w:rPr>
        <w:t xml:space="preserve"> </w:t>
      </w:r>
      <w:r w:rsidR="00C328D8" w:rsidRPr="00BB6220">
        <w:rPr>
          <w:lang w:eastAsia="en-NZ"/>
        </w:rPr>
        <w:t>ensuring</w:t>
      </w:r>
      <w:r w:rsidR="003D640C">
        <w:rPr>
          <w:lang w:eastAsia="en-NZ"/>
        </w:rPr>
        <w:t xml:space="preserve"> </w:t>
      </w:r>
      <w:r w:rsidR="00C328D8" w:rsidRPr="00BB6220">
        <w:rPr>
          <w:lang w:eastAsia="en-NZ"/>
        </w:rPr>
        <w:t>acceptable</w:t>
      </w:r>
      <w:r w:rsidR="003D640C">
        <w:rPr>
          <w:lang w:eastAsia="en-NZ"/>
        </w:rPr>
        <w:t xml:space="preserve"> </w:t>
      </w:r>
      <w:r w:rsidR="00C328D8" w:rsidRPr="00BB6220">
        <w:rPr>
          <w:lang w:eastAsia="en-NZ"/>
        </w:rPr>
        <w:t>and</w:t>
      </w:r>
      <w:r w:rsidR="003D640C">
        <w:rPr>
          <w:lang w:eastAsia="en-NZ"/>
        </w:rPr>
        <w:t xml:space="preserve"> </w:t>
      </w:r>
      <w:r w:rsidR="00C328D8" w:rsidRPr="00BB6220">
        <w:rPr>
          <w:lang w:eastAsia="en-NZ"/>
        </w:rPr>
        <w:t>quality</w:t>
      </w:r>
      <w:r w:rsidR="003D640C">
        <w:rPr>
          <w:lang w:eastAsia="en-NZ"/>
        </w:rPr>
        <w:t xml:space="preserve"> </w:t>
      </w:r>
      <w:r w:rsidR="00C328D8" w:rsidRPr="00BB6220">
        <w:rPr>
          <w:lang w:eastAsia="en-NZ"/>
        </w:rPr>
        <w:t>healthcare</w:t>
      </w:r>
      <w:r w:rsidR="003D640C">
        <w:rPr>
          <w:lang w:eastAsia="en-NZ"/>
        </w:rPr>
        <w:t xml:space="preserve"> </w:t>
      </w:r>
      <w:r w:rsidR="00C328D8" w:rsidRPr="00BB6220">
        <w:rPr>
          <w:lang w:eastAsia="en-NZ"/>
        </w:rPr>
        <w:t>for</w:t>
      </w:r>
      <w:r w:rsidR="003D640C">
        <w:rPr>
          <w:lang w:eastAsia="en-NZ"/>
        </w:rPr>
        <w:t xml:space="preserve"> </w:t>
      </w:r>
      <w:r w:rsidR="00491C35">
        <w:rPr>
          <w:lang w:eastAsia="en-NZ"/>
        </w:rPr>
        <w:t>Rainbow</w:t>
      </w:r>
      <w:r w:rsidR="003D640C">
        <w:rPr>
          <w:lang w:eastAsia="en-NZ"/>
        </w:rPr>
        <w:t xml:space="preserve"> </w:t>
      </w:r>
      <w:r w:rsidR="00C328D8" w:rsidRPr="00BB6220">
        <w:rPr>
          <w:lang w:eastAsia="en-NZ"/>
        </w:rPr>
        <w:t>people</w:t>
      </w:r>
      <w:r w:rsidR="003D640C">
        <w:rPr>
          <w:lang w:eastAsia="en-NZ"/>
        </w:rPr>
        <w:t xml:space="preserve"> </w:t>
      </w:r>
      <w:r w:rsidR="00804E1A" w:rsidRPr="00BB6220">
        <w:rPr>
          <w:lang w:eastAsia="en-NZ"/>
        </w:rPr>
        <w:t>in</w:t>
      </w:r>
      <w:r w:rsidR="003D640C">
        <w:rPr>
          <w:lang w:eastAsia="en-NZ"/>
        </w:rPr>
        <w:t xml:space="preserve"> </w:t>
      </w:r>
      <w:r w:rsidR="00C328D8" w:rsidRPr="00BB6220">
        <w:rPr>
          <w:lang w:eastAsia="en-NZ"/>
        </w:rPr>
        <w:t>Aotearoa.</w:t>
      </w:r>
      <w:r w:rsidR="003D640C">
        <w:rPr>
          <w:lang w:eastAsia="en-NZ"/>
        </w:rPr>
        <w:t xml:space="preserve"> </w:t>
      </w:r>
      <w:r w:rsidRPr="00BB6220">
        <w:rPr>
          <w:lang w:eastAsia="en-NZ"/>
        </w:rPr>
        <w:t>Conversion</w:t>
      </w:r>
      <w:r w:rsidR="003D640C">
        <w:rPr>
          <w:lang w:eastAsia="en-NZ"/>
        </w:rPr>
        <w:t xml:space="preserve"> </w:t>
      </w:r>
      <w:r w:rsidR="00240BCF" w:rsidRPr="00BB6220">
        <w:rPr>
          <w:lang w:eastAsia="en-NZ"/>
        </w:rPr>
        <w:t>p</w:t>
      </w:r>
      <w:r w:rsidRPr="00BB6220">
        <w:rPr>
          <w:lang w:eastAsia="en-NZ"/>
        </w:rPr>
        <w:t>ractices</w:t>
      </w:r>
      <w:r w:rsidR="003D640C">
        <w:rPr>
          <w:lang w:eastAsia="en-NZ"/>
        </w:rPr>
        <w:t xml:space="preserve"> </w:t>
      </w:r>
      <w:r w:rsidRPr="00BB6220">
        <w:rPr>
          <w:lang w:eastAsia="en-NZ"/>
        </w:rPr>
        <w:t>undermine</w:t>
      </w:r>
      <w:r w:rsidR="003D640C">
        <w:rPr>
          <w:lang w:eastAsia="en-NZ"/>
        </w:rPr>
        <w:t xml:space="preserve"> </w:t>
      </w:r>
      <w:r w:rsidRPr="00BB6220">
        <w:rPr>
          <w:lang w:eastAsia="en-NZ"/>
        </w:rPr>
        <w:t>this</w:t>
      </w:r>
      <w:r w:rsidR="003D640C">
        <w:rPr>
          <w:lang w:eastAsia="en-NZ"/>
        </w:rPr>
        <w:t xml:space="preserve"> </w:t>
      </w:r>
      <w:r w:rsidRPr="00BB6220">
        <w:rPr>
          <w:lang w:eastAsia="en-NZ"/>
        </w:rPr>
        <w:t>right</w:t>
      </w:r>
      <w:r w:rsidR="003D640C">
        <w:rPr>
          <w:lang w:eastAsia="en-NZ"/>
        </w:rPr>
        <w:t xml:space="preserve"> </w:t>
      </w:r>
      <w:r w:rsidR="00ED20FA" w:rsidRPr="00BB6220">
        <w:rPr>
          <w:lang w:eastAsia="en-NZ"/>
        </w:rPr>
        <w:t>by</w:t>
      </w:r>
      <w:r w:rsidR="003D640C">
        <w:rPr>
          <w:lang w:eastAsia="en-NZ"/>
        </w:rPr>
        <w:t xml:space="preserve"> </w:t>
      </w:r>
      <w:r w:rsidR="002B3976" w:rsidRPr="00BB6220">
        <w:rPr>
          <w:lang w:eastAsia="en-NZ"/>
        </w:rPr>
        <w:t>making</w:t>
      </w:r>
      <w:r w:rsidR="003D640C">
        <w:rPr>
          <w:lang w:eastAsia="en-NZ"/>
        </w:rPr>
        <w:t xml:space="preserve"> </w:t>
      </w:r>
      <w:r w:rsidRPr="00BB6220">
        <w:rPr>
          <w:lang w:eastAsia="en-NZ"/>
        </w:rPr>
        <w:t>people</w:t>
      </w:r>
      <w:r w:rsidR="003D640C">
        <w:rPr>
          <w:lang w:eastAsia="en-NZ"/>
        </w:rPr>
        <w:t xml:space="preserve"> </w:t>
      </w:r>
      <w:r w:rsidRPr="00BB6220">
        <w:rPr>
          <w:lang w:eastAsia="en-NZ"/>
        </w:rPr>
        <w:t>vulnerable</w:t>
      </w:r>
      <w:r w:rsidR="003D640C">
        <w:rPr>
          <w:lang w:eastAsia="en-NZ"/>
        </w:rPr>
        <w:t xml:space="preserve"> </w:t>
      </w:r>
      <w:r w:rsidRPr="00BB6220">
        <w:rPr>
          <w:lang w:eastAsia="en-NZ"/>
        </w:rPr>
        <w:t>to</w:t>
      </w:r>
      <w:r w:rsidR="003D640C">
        <w:rPr>
          <w:lang w:eastAsia="en-NZ"/>
        </w:rPr>
        <w:t xml:space="preserve"> </w:t>
      </w:r>
      <w:r w:rsidR="00B108FC">
        <w:rPr>
          <w:lang w:eastAsia="en-NZ"/>
        </w:rPr>
        <w:t>psychological</w:t>
      </w:r>
      <w:r w:rsidR="003D640C">
        <w:rPr>
          <w:lang w:eastAsia="en-NZ"/>
        </w:rPr>
        <w:t xml:space="preserve"> </w:t>
      </w:r>
      <w:r w:rsidR="00B108FC">
        <w:rPr>
          <w:lang w:eastAsia="en-NZ"/>
        </w:rPr>
        <w:t>and</w:t>
      </w:r>
      <w:r w:rsidR="003D640C">
        <w:rPr>
          <w:lang w:eastAsia="en-NZ"/>
        </w:rPr>
        <w:t xml:space="preserve"> </w:t>
      </w:r>
      <w:r w:rsidR="00B108FC">
        <w:rPr>
          <w:lang w:eastAsia="en-NZ"/>
        </w:rPr>
        <w:t>physical</w:t>
      </w:r>
      <w:r w:rsidR="003D640C">
        <w:rPr>
          <w:lang w:eastAsia="en-NZ"/>
        </w:rPr>
        <w:t xml:space="preserve"> </w:t>
      </w:r>
      <w:r w:rsidRPr="00BB6220">
        <w:rPr>
          <w:lang w:eastAsia="en-NZ"/>
        </w:rPr>
        <w:t>harm</w:t>
      </w:r>
      <w:r w:rsidR="00F57BB9">
        <w:rPr>
          <w:lang w:eastAsia="en-NZ"/>
        </w:rPr>
        <w:t>,</w:t>
      </w:r>
      <w:r w:rsidR="003D640C">
        <w:rPr>
          <w:lang w:eastAsia="en-NZ"/>
        </w:rPr>
        <w:t xml:space="preserve"> </w:t>
      </w:r>
      <w:r w:rsidRPr="00BB6220">
        <w:rPr>
          <w:lang w:eastAsia="en-NZ"/>
        </w:rPr>
        <w:t>stigmatisation</w:t>
      </w:r>
      <w:r w:rsidR="1F04B0C9"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experimentation</w:t>
      </w:r>
      <w:r w:rsidR="003D640C">
        <w:rPr>
          <w:lang w:eastAsia="en-NZ"/>
        </w:rPr>
        <w:t xml:space="preserve"> </w:t>
      </w:r>
      <w:r w:rsidR="00052F2A">
        <w:rPr>
          <w:lang w:eastAsia="en-NZ"/>
        </w:rPr>
        <w:t>by</w:t>
      </w:r>
      <w:r w:rsidR="003D640C">
        <w:rPr>
          <w:lang w:eastAsia="en-NZ"/>
        </w:rPr>
        <w:t xml:space="preserve"> </w:t>
      </w:r>
      <w:r w:rsidR="00052F2A">
        <w:rPr>
          <w:lang w:eastAsia="en-NZ"/>
        </w:rPr>
        <w:t>conversion</w:t>
      </w:r>
      <w:r w:rsidR="003D640C">
        <w:rPr>
          <w:lang w:eastAsia="en-NZ"/>
        </w:rPr>
        <w:t xml:space="preserve"> </w:t>
      </w:r>
      <w:r w:rsidR="00052F2A">
        <w:rPr>
          <w:lang w:eastAsia="en-NZ"/>
        </w:rPr>
        <w:t>practitioners</w:t>
      </w:r>
      <w:r w:rsidR="003D640C">
        <w:rPr>
          <w:lang w:eastAsia="en-NZ"/>
        </w:rPr>
        <w:t xml:space="preserve"> </w:t>
      </w:r>
      <w:r w:rsidR="00052F2A">
        <w:rPr>
          <w:lang w:eastAsia="en-NZ"/>
        </w:rPr>
        <w:t>attempting</w:t>
      </w:r>
      <w:r w:rsidR="003D640C">
        <w:rPr>
          <w:lang w:eastAsia="en-NZ"/>
        </w:rPr>
        <w:t xml:space="preserve"> </w:t>
      </w:r>
      <w:r w:rsidR="00052F2A">
        <w:rPr>
          <w:lang w:eastAsia="en-NZ"/>
        </w:rPr>
        <w:t>various</w:t>
      </w:r>
      <w:r w:rsidR="003D640C">
        <w:rPr>
          <w:lang w:eastAsia="en-NZ"/>
        </w:rPr>
        <w:t xml:space="preserve"> </w:t>
      </w:r>
      <w:r w:rsidR="005F12BB">
        <w:rPr>
          <w:lang w:eastAsia="en-NZ"/>
        </w:rPr>
        <w:t>approaches</w:t>
      </w:r>
      <w:r w:rsidR="003D640C">
        <w:rPr>
          <w:lang w:eastAsia="en-NZ"/>
        </w:rPr>
        <w:t xml:space="preserve"> </w:t>
      </w:r>
      <w:r w:rsidR="005F12BB">
        <w:rPr>
          <w:lang w:eastAsia="en-NZ"/>
        </w:rPr>
        <w:t>to</w:t>
      </w:r>
      <w:r w:rsidR="003D640C">
        <w:rPr>
          <w:lang w:eastAsia="en-NZ"/>
        </w:rPr>
        <w:t xml:space="preserve"> </w:t>
      </w:r>
      <w:r w:rsidR="0097148D">
        <w:rPr>
          <w:lang w:eastAsia="en-NZ"/>
        </w:rPr>
        <w:t>conversion</w:t>
      </w:r>
      <w:r w:rsidR="003D640C">
        <w:rPr>
          <w:lang w:eastAsia="en-NZ"/>
        </w:rPr>
        <w:t xml:space="preserve"> </w:t>
      </w:r>
      <w:r w:rsidR="0097148D">
        <w:rPr>
          <w:lang w:eastAsia="en-NZ"/>
        </w:rPr>
        <w:t>practices</w:t>
      </w:r>
      <w:r w:rsidRPr="00BB6220">
        <w:rPr>
          <w:lang w:eastAsia="en-NZ"/>
        </w:rPr>
        <w:t>.</w:t>
      </w:r>
      <w:r w:rsidR="003D640C">
        <w:rPr>
          <w:lang w:eastAsia="en-NZ"/>
        </w:rPr>
        <w:t xml:space="preserve"> </w:t>
      </w:r>
    </w:p>
    <w:p w14:paraId="7B4E6ABD" w14:textId="3771AB10" w:rsidR="00BE03BD" w:rsidRPr="00BB6220" w:rsidRDefault="001C3549" w:rsidP="00B2336B">
      <w:pPr>
        <w:rPr>
          <w:lang w:eastAsia="en-NZ"/>
        </w:rPr>
      </w:pPr>
      <w:r w:rsidRPr="00BB6220">
        <w:rPr>
          <w:lang w:eastAsia="en-NZ"/>
        </w:rPr>
        <w:t>The</w:t>
      </w:r>
      <w:r w:rsidR="003D640C">
        <w:rPr>
          <w:lang w:eastAsia="en-NZ"/>
        </w:rPr>
        <w:t xml:space="preserve"> </w:t>
      </w:r>
      <w:bookmarkStart w:id="113" w:name="_Hlk168384739"/>
      <w:r w:rsidRPr="00BB6220">
        <w:rPr>
          <w:lang w:eastAsia="en-NZ"/>
        </w:rPr>
        <w:t>Code</w:t>
      </w:r>
      <w:r w:rsidR="003D640C">
        <w:rPr>
          <w:lang w:eastAsia="en-NZ"/>
        </w:rPr>
        <w:t xml:space="preserve"> </w:t>
      </w:r>
      <w:r w:rsidRPr="00BB6220">
        <w:rPr>
          <w:lang w:eastAsia="en-NZ"/>
        </w:rPr>
        <w:t>of</w:t>
      </w:r>
      <w:r w:rsidR="003D640C">
        <w:rPr>
          <w:lang w:eastAsia="en-NZ"/>
        </w:rPr>
        <w:t xml:space="preserve"> </w:t>
      </w:r>
      <w:r w:rsidRPr="00BB6220">
        <w:rPr>
          <w:lang w:eastAsia="en-NZ"/>
        </w:rPr>
        <w:t>Health</w:t>
      </w:r>
      <w:r w:rsidR="003D640C">
        <w:rPr>
          <w:lang w:eastAsia="en-NZ"/>
        </w:rPr>
        <w:t xml:space="preserve"> </w:t>
      </w:r>
      <w:r w:rsidRPr="00BB6220">
        <w:rPr>
          <w:lang w:eastAsia="en-NZ"/>
        </w:rPr>
        <w:t>and</w:t>
      </w:r>
      <w:r w:rsidR="003D640C">
        <w:rPr>
          <w:lang w:eastAsia="en-NZ"/>
        </w:rPr>
        <w:t xml:space="preserve"> </w:t>
      </w:r>
      <w:r w:rsidRPr="00BB6220">
        <w:rPr>
          <w:lang w:eastAsia="en-NZ"/>
        </w:rPr>
        <w:t>Disability</w:t>
      </w:r>
      <w:r w:rsidR="003D640C">
        <w:rPr>
          <w:lang w:eastAsia="en-NZ"/>
        </w:rPr>
        <w:t xml:space="preserve"> </w:t>
      </w:r>
      <w:r w:rsidRPr="00BB6220">
        <w:rPr>
          <w:lang w:eastAsia="en-NZ"/>
        </w:rPr>
        <w:t>Services</w:t>
      </w:r>
      <w:r w:rsidR="003D640C">
        <w:rPr>
          <w:lang w:eastAsia="en-NZ"/>
        </w:rPr>
        <w:t xml:space="preserve"> </w:t>
      </w:r>
      <w:r w:rsidRPr="00BB6220">
        <w:rPr>
          <w:lang w:eastAsia="en-NZ"/>
        </w:rPr>
        <w:t>Consumers’</w:t>
      </w:r>
      <w:r w:rsidR="003D640C">
        <w:rPr>
          <w:lang w:eastAsia="en-NZ"/>
        </w:rPr>
        <w:t xml:space="preserve"> </w:t>
      </w:r>
      <w:r w:rsidRPr="00BB6220">
        <w:rPr>
          <w:lang w:eastAsia="en-NZ"/>
        </w:rPr>
        <w:t>Rights</w:t>
      </w:r>
      <w:bookmarkEnd w:id="113"/>
      <w:r w:rsidR="003D640C">
        <w:rPr>
          <w:lang w:eastAsia="en-NZ"/>
        </w:rPr>
        <w:t xml:space="preserve"> </w:t>
      </w:r>
      <w:r w:rsidRPr="00BB6220">
        <w:rPr>
          <w:lang w:eastAsia="en-NZ"/>
        </w:rPr>
        <w:t>(Code</w:t>
      </w:r>
      <w:r w:rsidR="003D640C">
        <w:rPr>
          <w:lang w:eastAsia="en-NZ"/>
        </w:rPr>
        <w:t xml:space="preserve"> </w:t>
      </w:r>
      <w:r w:rsidRPr="00BB6220">
        <w:rPr>
          <w:lang w:eastAsia="en-NZ"/>
        </w:rPr>
        <w:t>of</w:t>
      </w:r>
      <w:r w:rsidR="003D640C">
        <w:rPr>
          <w:lang w:eastAsia="en-NZ"/>
        </w:rPr>
        <w:t xml:space="preserve"> </w:t>
      </w:r>
      <w:r w:rsidRPr="00BB6220">
        <w:rPr>
          <w:lang w:eastAsia="en-NZ"/>
        </w:rPr>
        <w:t>Rights)</w:t>
      </w:r>
      <w:r w:rsidR="003D640C">
        <w:rPr>
          <w:lang w:eastAsia="en-NZ"/>
        </w:rPr>
        <w:t xml:space="preserve"> </w:t>
      </w:r>
      <w:r w:rsidR="00DE440E">
        <w:rPr>
          <w:lang w:eastAsia="en-NZ"/>
        </w:rPr>
        <w:t>sets</w:t>
      </w:r>
      <w:r w:rsidR="003D640C">
        <w:rPr>
          <w:lang w:eastAsia="en-NZ"/>
        </w:rPr>
        <w:t xml:space="preserve"> </w:t>
      </w:r>
      <w:r w:rsidR="00DE440E">
        <w:rPr>
          <w:lang w:eastAsia="en-NZ"/>
        </w:rPr>
        <w:t>out</w:t>
      </w:r>
      <w:r w:rsidR="003D640C">
        <w:rPr>
          <w:lang w:eastAsia="en-NZ"/>
        </w:rPr>
        <w:t xml:space="preserve"> </w:t>
      </w:r>
      <w:r w:rsidR="092DB7D6" w:rsidRPr="00BB6220">
        <w:rPr>
          <w:lang w:eastAsia="en-NZ"/>
        </w:rPr>
        <w:t>the</w:t>
      </w:r>
      <w:r w:rsidR="003D640C">
        <w:rPr>
          <w:lang w:eastAsia="en-NZ"/>
        </w:rPr>
        <w:t xml:space="preserve"> </w:t>
      </w:r>
      <w:r w:rsidR="092DB7D6" w:rsidRPr="00BB6220">
        <w:rPr>
          <w:lang w:eastAsia="en-NZ"/>
        </w:rPr>
        <w:t>rights</w:t>
      </w:r>
      <w:r w:rsidR="003D640C">
        <w:rPr>
          <w:lang w:eastAsia="en-NZ"/>
        </w:rPr>
        <w:t xml:space="preserve"> </w:t>
      </w:r>
      <w:r w:rsidR="092DB7D6" w:rsidRPr="00BB6220">
        <w:rPr>
          <w:lang w:eastAsia="en-NZ"/>
        </w:rPr>
        <w:t>of</w:t>
      </w:r>
      <w:r w:rsidR="003D640C">
        <w:rPr>
          <w:lang w:eastAsia="en-NZ"/>
        </w:rPr>
        <w:t xml:space="preserve"> </w:t>
      </w:r>
      <w:r w:rsidR="092DB7D6" w:rsidRPr="00BB6220">
        <w:rPr>
          <w:lang w:eastAsia="en-NZ"/>
        </w:rPr>
        <w:t>people</w:t>
      </w:r>
      <w:r w:rsidR="003D640C">
        <w:rPr>
          <w:lang w:eastAsia="en-NZ"/>
        </w:rPr>
        <w:t xml:space="preserve"> </w:t>
      </w:r>
      <w:r w:rsidR="092DB7D6" w:rsidRPr="00BB6220">
        <w:rPr>
          <w:lang w:eastAsia="en-NZ"/>
        </w:rPr>
        <w:t>using</w:t>
      </w:r>
      <w:r w:rsidR="003D640C">
        <w:rPr>
          <w:lang w:eastAsia="en-NZ"/>
        </w:rPr>
        <w:t xml:space="preserve"> </w:t>
      </w:r>
      <w:r w:rsidR="092DB7D6" w:rsidRPr="00BB6220">
        <w:rPr>
          <w:lang w:eastAsia="en-NZ"/>
        </w:rPr>
        <w:t>health</w:t>
      </w:r>
      <w:r w:rsidR="003D640C">
        <w:rPr>
          <w:lang w:eastAsia="en-NZ"/>
        </w:rPr>
        <w:t xml:space="preserve"> </w:t>
      </w:r>
      <w:r w:rsidR="092DB7D6" w:rsidRPr="00BB6220">
        <w:rPr>
          <w:lang w:eastAsia="en-NZ"/>
        </w:rPr>
        <w:t>and</w:t>
      </w:r>
      <w:r w:rsidR="003D640C">
        <w:rPr>
          <w:lang w:eastAsia="en-NZ"/>
        </w:rPr>
        <w:t xml:space="preserve"> </w:t>
      </w:r>
      <w:r w:rsidR="092DB7D6" w:rsidRPr="00BB6220">
        <w:rPr>
          <w:lang w:eastAsia="en-NZ"/>
        </w:rPr>
        <w:t>disability</w:t>
      </w:r>
      <w:r w:rsidR="003D640C">
        <w:rPr>
          <w:lang w:eastAsia="en-NZ"/>
        </w:rPr>
        <w:t xml:space="preserve"> </w:t>
      </w:r>
      <w:r w:rsidR="092DB7D6" w:rsidRPr="00BB6220">
        <w:rPr>
          <w:lang w:eastAsia="en-NZ"/>
        </w:rPr>
        <w:t>services</w:t>
      </w:r>
      <w:r w:rsidR="003D640C">
        <w:rPr>
          <w:lang w:eastAsia="en-NZ"/>
        </w:rPr>
        <w:t xml:space="preserve"> </w:t>
      </w:r>
      <w:r w:rsidR="092DB7D6" w:rsidRPr="00BB6220">
        <w:rPr>
          <w:lang w:eastAsia="en-NZ"/>
        </w:rPr>
        <w:t>and</w:t>
      </w:r>
      <w:r w:rsidR="003D640C">
        <w:rPr>
          <w:lang w:eastAsia="en-NZ"/>
        </w:rPr>
        <w:t xml:space="preserve"> </w:t>
      </w:r>
      <w:r w:rsidR="092DB7D6" w:rsidRPr="00BB6220">
        <w:rPr>
          <w:lang w:eastAsia="en-NZ"/>
        </w:rPr>
        <w:t>the</w:t>
      </w:r>
      <w:r w:rsidR="003D640C">
        <w:rPr>
          <w:lang w:eastAsia="en-NZ"/>
        </w:rPr>
        <w:t xml:space="preserve"> </w:t>
      </w:r>
      <w:r w:rsidR="092DB7D6" w:rsidRPr="00BB6220">
        <w:rPr>
          <w:lang w:eastAsia="en-NZ"/>
        </w:rPr>
        <w:t>obligations</w:t>
      </w:r>
      <w:r w:rsidR="003D640C">
        <w:rPr>
          <w:lang w:eastAsia="en-NZ"/>
        </w:rPr>
        <w:t xml:space="preserve"> </w:t>
      </w:r>
      <w:r w:rsidR="092DB7D6" w:rsidRPr="00BB6220">
        <w:rPr>
          <w:lang w:eastAsia="en-NZ"/>
        </w:rPr>
        <w:t>and</w:t>
      </w:r>
      <w:r w:rsidR="003D640C">
        <w:rPr>
          <w:lang w:eastAsia="en-NZ"/>
        </w:rPr>
        <w:t xml:space="preserve"> </w:t>
      </w:r>
      <w:r w:rsidR="092DB7D6" w:rsidRPr="00BB6220">
        <w:rPr>
          <w:lang w:eastAsia="en-NZ"/>
        </w:rPr>
        <w:t>duties</w:t>
      </w:r>
      <w:r w:rsidR="003D640C">
        <w:rPr>
          <w:lang w:eastAsia="en-NZ"/>
        </w:rPr>
        <w:t xml:space="preserve"> </w:t>
      </w:r>
      <w:r w:rsidR="092DB7D6" w:rsidRPr="00BB6220">
        <w:rPr>
          <w:lang w:eastAsia="en-NZ"/>
        </w:rPr>
        <w:t>of</w:t>
      </w:r>
      <w:r w:rsidR="003D640C">
        <w:rPr>
          <w:lang w:eastAsia="en-NZ"/>
        </w:rPr>
        <w:t xml:space="preserve"> </w:t>
      </w:r>
      <w:r w:rsidR="092DB7D6" w:rsidRPr="00BB6220">
        <w:rPr>
          <w:lang w:eastAsia="en-NZ"/>
        </w:rPr>
        <w:t>providers</w:t>
      </w:r>
      <w:r w:rsidR="003D640C">
        <w:rPr>
          <w:lang w:eastAsia="en-NZ"/>
        </w:rPr>
        <w:t xml:space="preserve"> </w:t>
      </w:r>
      <w:r w:rsidR="092DB7D6" w:rsidRPr="00BB6220">
        <w:rPr>
          <w:lang w:eastAsia="en-NZ"/>
        </w:rPr>
        <w:t>to</w:t>
      </w:r>
      <w:r w:rsidR="003D640C">
        <w:rPr>
          <w:lang w:eastAsia="en-NZ"/>
        </w:rPr>
        <w:t xml:space="preserve"> </w:t>
      </w:r>
      <w:r w:rsidR="092DB7D6" w:rsidRPr="00BB6220">
        <w:rPr>
          <w:lang w:eastAsia="en-NZ"/>
        </w:rPr>
        <w:t>comply</w:t>
      </w:r>
      <w:r w:rsidR="003D640C">
        <w:rPr>
          <w:lang w:eastAsia="en-NZ"/>
        </w:rPr>
        <w:t xml:space="preserve"> </w:t>
      </w:r>
      <w:r w:rsidR="092DB7D6" w:rsidRPr="00BB6220">
        <w:rPr>
          <w:lang w:eastAsia="en-NZ"/>
        </w:rPr>
        <w:t>with</w:t>
      </w:r>
      <w:r w:rsidR="003D640C">
        <w:rPr>
          <w:lang w:eastAsia="en-NZ"/>
        </w:rPr>
        <w:t xml:space="preserve"> </w:t>
      </w:r>
      <w:r w:rsidR="092DB7D6" w:rsidRPr="00BB6220">
        <w:rPr>
          <w:lang w:eastAsia="en-NZ"/>
        </w:rPr>
        <w:t>the</w:t>
      </w:r>
      <w:r w:rsidR="003D640C">
        <w:rPr>
          <w:lang w:eastAsia="en-NZ"/>
        </w:rPr>
        <w:t xml:space="preserve"> </w:t>
      </w:r>
      <w:r w:rsidR="092DB7D6" w:rsidRPr="00BB6220">
        <w:rPr>
          <w:lang w:eastAsia="en-NZ"/>
        </w:rPr>
        <w:t>Code</w:t>
      </w:r>
      <w:r w:rsidR="0056166A">
        <w:rPr>
          <w:lang w:eastAsia="en-NZ"/>
        </w:rPr>
        <w:t xml:space="preserve"> of Rights</w:t>
      </w:r>
      <w:r w:rsidR="092DB7D6" w:rsidRPr="00BB6220">
        <w:rPr>
          <w:lang w:eastAsia="en-NZ"/>
        </w:rPr>
        <w:t>.</w:t>
      </w:r>
      <w:r w:rsidR="003D640C">
        <w:rPr>
          <w:lang w:eastAsia="en-NZ"/>
        </w:rPr>
        <w:t xml:space="preserve"> </w:t>
      </w:r>
      <w:r w:rsidR="092DB7D6" w:rsidRPr="00BB6220">
        <w:rPr>
          <w:lang w:eastAsia="en-NZ"/>
        </w:rPr>
        <w:t>It</w:t>
      </w:r>
      <w:r w:rsidR="003D640C">
        <w:rPr>
          <w:lang w:eastAsia="en-NZ"/>
        </w:rPr>
        <w:t xml:space="preserve"> </w:t>
      </w:r>
      <w:r w:rsidRPr="00BB6220">
        <w:rPr>
          <w:lang w:eastAsia="en-NZ"/>
        </w:rPr>
        <w:t>provide</w:t>
      </w:r>
      <w:r w:rsidR="00507803" w:rsidRPr="00BB6220">
        <w:rPr>
          <w:lang w:eastAsia="en-NZ"/>
        </w:rPr>
        <w:t>s</w:t>
      </w:r>
      <w:r w:rsidR="003D640C">
        <w:rPr>
          <w:lang w:eastAsia="en-NZ"/>
        </w:rPr>
        <w:t xml:space="preserve"> </w:t>
      </w:r>
      <w:r w:rsidRPr="00BB6220">
        <w:rPr>
          <w:lang w:eastAsia="en-NZ"/>
        </w:rPr>
        <w:t>the</w:t>
      </w:r>
      <w:r w:rsidR="003D640C">
        <w:rPr>
          <w:lang w:eastAsia="en-NZ"/>
        </w:rPr>
        <w:t xml:space="preserve"> </w:t>
      </w:r>
      <w:r w:rsidRPr="00BB6220">
        <w:rPr>
          <w:lang w:eastAsia="en-NZ"/>
        </w:rPr>
        <w:t>right</w:t>
      </w:r>
      <w:r w:rsidR="003D640C">
        <w:rPr>
          <w:lang w:eastAsia="en-NZ"/>
        </w:rPr>
        <w:t xml:space="preserve"> </w:t>
      </w:r>
      <w:r w:rsidRPr="00BB6220">
        <w:rPr>
          <w:lang w:eastAsia="en-NZ"/>
        </w:rPr>
        <w:t>for</w:t>
      </w:r>
      <w:r w:rsidR="003D640C">
        <w:rPr>
          <w:lang w:eastAsia="en-NZ"/>
        </w:rPr>
        <w:t xml:space="preserve"> </w:t>
      </w:r>
      <w:r w:rsidRPr="00BB6220">
        <w:rPr>
          <w:lang w:eastAsia="en-NZ"/>
        </w:rPr>
        <w:t>consumers</w:t>
      </w:r>
      <w:r w:rsidR="00BE03BD" w:rsidRPr="00BB6220">
        <w:rPr>
          <w:lang w:eastAsia="en-NZ"/>
        </w:rPr>
        <w:t>:</w:t>
      </w:r>
    </w:p>
    <w:p w14:paraId="0D5F9842" w14:textId="1EBC5D9B" w:rsidR="00BE03BD" w:rsidRPr="00BB6220" w:rsidRDefault="006F487E" w:rsidP="00B2336B">
      <w:pPr>
        <w:pStyle w:val="Bullet"/>
        <w:rPr>
          <w:lang w:eastAsia="en-NZ"/>
        </w:rPr>
      </w:pPr>
      <w:r>
        <w:rPr>
          <w:lang w:eastAsia="en-NZ"/>
        </w:rPr>
        <w:t>t</w:t>
      </w:r>
      <w:r w:rsidR="001C3549" w:rsidRPr="00BB6220">
        <w:rPr>
          <w:lang w:eastAsia="en-NZ"/>
        </w:rPr>
        <w:t>o</w:t>
      </w:r>
      <w:r w:rsidR="003D640C">
        <w:rPr>
          <w:lang w:eastAsia="en-NZ"/>
        </w:rPr>
        <w:t xml:space="preserve"> </w:t>
      </w:r>
      <w:r w:rsidR="001C3549" w:rsidRPr="00BB6220">
        <w:rPr>
          <w:lang w:eastAsia="en-NZ"/>
        </w:rPr>
        <w:t>receive</w:t>
      </w:r>
      <w:r w:rsidR="003D640C">
        <w:rPr>
          <w:lang w:eastAsia="en-NZ"/>
        </w:rPr>
        <w:t xml:space="preserve"> </w:t>
      </w:r>
      <w:r w:rsidR="001C3549" w:rsidRPr="00BB6220">
        <w:rPr>
          <w:lang w:eastAsia="en-NZ"/>
        </w:rPr>
        <w:t>services</w:t>
      </w:r>
      <w:r w:rsidR="003D640C">
        <w:rPr>
          <w:lang w:eastAsia="en-NZ"/>
        </w:rPr>
        <w:t xml:space="preserve"> </w:t>
      </w:r>
      <w:r w:rsidR="001C3549" w:rsidRPr="00BB6220">
        <w:rPr>
          <w:lang w:eastAsia="en-NZ"/>
        </w:rPr>
        <w:t>free</w:t>
      </w:r>
      <w:r w:rsidR="003D640C">
        <w:rPr>
          <w:lang w:eastAsia="en-NZ"/>
        </w:rPr>
        <w:t xml:space="preserve"> </w:t>
      </w:r>
      <w:r w:rsidR="001C3549" w:rsidRPr="00BB6220">
        <w:rPr>
          <w:lang w:eastAsia="en-NZ"/>
        </w:rPr>
        <w:t>from</w:t>
      </w:r>
      <w:r w:rsidR="003D640C">
        <w:rPr>
          <w:lang w:eastAsia="en-NZ"/>
        </w:rPr>
        <w:t xml:space="preserve"> </w:t>
      </w:r>
      <w:r w:rsidR="001C3549" w:rsidRPr="00BB6220">
        <w:rPr>
          <w:lang w:eastAsia="en-NZ"/>
        </w:rPr>
        <w:t>coercion</w:t>
      </w:r>
      <w:r w:rsidR="003D640C">
        <w:rPr>
          <w:lang w:eastAsia="en-NZ"/>
        </w:rPr>
        <w:t xml:space="preserve"> </w:t>
      </w:r>
      <w:r w:rsidR="001C3549" w:rsidRPr="00BB6220">
        <w:rPr>
          <w:lang w:eastAsia="en-NZ"/>
        </w:rPr>
        <w:t>(Right</w:t>
      </w:r>
      <w:r w:rsidR="003D640C">
        <w:rPr>
          <w:lang w:eastAsia="en-NZ"/>
        </w:rPr>
        <w:t xml:space="preserve"> </w:t>
      </w:r>
      <w:r w:rsidR="001C3549" w:rsidRPr="00BB6220">
        <w:rPr>
          <w:lang w:eastAsia="en-NZ"/>
        </w:rPr>
        <w:t>2)</w:t>
      </w:r>
      <w:r w:rsidR="003D640C">
        <w:rPr>
          <w:lang w:eastAsia="en-NZ"/>
        </w:rPr>
        <w:t xml:space="preserve"> </w:t>
      </w:r>
    </w:p>
    <w:p w14:paraId="657FA49F" w14:textId="3B5FC027" w:rsidR="00711AC7" w:rsidRPr="00BB6220" w:rsidRDefault="006F487E" w:rsidP="00B2336B">
      <w:pPr>
        <w:pStyle w:val="Bullet"/>
        <w:rPr>
          <w:lang w:eastAsia="en-NZ"/>
        </w:rPr>
      </w:pPr>
      <w:r>
        <w:rPr>
          <w:lang w:eastAsia="en-NZ"/>
        </w:rPr>
        <w:t>t</w:t>
      </w:r>
      <w:r w:rsidR="00BE03BD" w:rsidRPr="00BB6220">
        <w:rPr>
          <w:lang w:eastAsia="en-NZ"/>
        </w:rPr>
        <w:t>o</w:t>
      </w:r>
      <w:r w:rsidR="003D640C">
        <w:rPr>
          <w:lang w:eastAsia="en-NZ"/>
        </w:rPr>
        <w:t xml:space="preserve"> </w:t>
      </w:r>
      <w:r w:rsidR="00BE03BD" w:rsidRPr="00BB6220">
        <w:rPr>
          <w:lang w:eastAsia="en-NZ"/>
        </w:rPr>
        <w:t>receive</w:t>
      </w:r>
      <w:r w:rsidR="003D640C">
        <w:rPr>
          <w:lang w:eastAsia="en-NZ"/>
        </w:rPr>
        <w:t xml:space="preserve"> </w:t>
      </w:r>
      <w:r w:rsidR="00BE03BD" w:rsidRPr="00BB6220">
        <w:rPr>
          <w:lang w:eastAsia="en-NZ"/>
        </w:rPr>
        <w:t>services</w:t>
      </w:r>
      <w:r w:rsidR="003D640C">
        <w:rPr>
          <w:lang w:eastAsia="en-NZ"/>
        </w:rPr>
        <w:t xml:space="preserve"> </w:t>
      </w:r>
      <w:r w:rsidR="00BE03BD" w:rsidRPr="00BB6220">
        <w:rPr>
          <w:lang w:eastAsia="en-NZ"/>
        </w:rPr>
        <w:t>of</w:t>
      </w:r>
      <w:r w:rsidR="003D640C">
        <w:rPr>
          <w:lang w:eastAsia="en-NZ"/>
        </w:rPr>
        <w:t xml:space="preserve"> </w:t>
      </w:r>
      <w:r w:rsidR="001C3549" w:rsidRPr="00BB6220">
        <w:rPr>
          <w:lang w:eastAsia="en-NZ"/>
        </w:rPr>
        <w:t>an</w:t>
      </w:r>
      <w:r w:rsidR="003D640C">
        <w:rPr>
          <w:lang w:eastAsia="en-NZ"/>
        </w:rPr>
        <w:t xml:space="preserve"> </w:t>
      </w:r>
      <w:r w:rsidR="001C3549" w:rsidRPr="00BB6220">
        <w:rPr>
          <w:lang w:eastAsia="en-NZ"/>
        </w:rPr>
        <w:t>appropriate</w:t>
      </w:r>
      <w:r w:rsidR="003D640C">
        <w:rPr>
          <w:lang w:eastAsia="en-NZ"/>
        </w:rPr>
        <w:t xml:space="preserve"> </w:t>
      </w:r>
      <w:r w:rsidR="001C3549" w:rsidRPr="00BB6220">
        <w:rPr>
          <w:lang w:eastAsia="en-NZ"/>
        </w:rPr>
        <w:t>standard</w:t>
      </w:r>
      <w:r w:rsidR="003D640C">
        <w:rPr>
          <w:lang w:eastAsia="en-NZ"/>
        </w:rPr>
        <w:t xml:space="preserve"> </w:t>
      </w:r>
      <w:r w:rsidR="001C3549" w:rsidRPr="00BB6220">
        <w:rPr>
          <w:lang w:eastAsia="en-NZ"/>
        </w:rPr>
        <w:t>(Right</w:t>
      </w:r>
      <w:r w:rsidR="003D640C">
        <w:rPr>
          <w:lang w:eastAsia="en-NZ"/>
        </w:rPr>
        <w:t xml:space="preserve"> </w:t>
      </w:r>
      <w:r w:rsidR="001C3549" w:rsidRPr="00BB6220">
        <w:rPr>
          <w:lang w:eastAsia="en-NZ"/>
        </w:rPr>
        <w:t>4)</w:t>
      </w:r>
    </w:p>
    <w:p w14:paraId="1350D47C" w14:textId="635B5E86" w:rsidR="00BE03BD" w:rsidRPr="00BB6220" w:rsidRDefault="006F487E" w:rsidP="00B2336B">
      <w:pPr>
        <w:pStyle w:val="Bullet"/>
        <w:rPr>
          <w:lang w:eastAsia="en-NZ"/>
        </w:rPr>
      </w:pPr>
      <w:r>
        <w:rPr>
          <w:lang w:eastAsia="en-NZ"/>
        </w:rPr>
        <w:t>t</w:t>
      </w:r>
      <w:r w:rsidR="001C3549" w:rsidRPr="00BB6220">
        <w:rPr>
          <w:lang w:eastAsia="en-NZ"/>
        </w:rPr>
        <w:t>o</w:t>
      </w:r>
      <w:r w:rsidR="003D640C">
        <w:rPr>
          <w:lang w:eastAsia="en-NZ"/>
        </w:rPr>
        <w:t xml:space="preserve"> </w:t>
      </w:r>
      <w:r w:rsidR="001C3549" w:rsidRPr="00BB6220">
        <w:rPr>
          <w:lang w:eastAsia="en-NZ"/>
        </w:rPr>
        <w:t>be</w:t>
      </w:r>
      <w:r w:rsidR="003D640C">
        <w:rPr>
          <w:lang w:eastAsia="en-NZ"/>
        </w:rPr>
        <w:t xml:space="preserve"> </w:t>
      </w:r>
      <w:r w:rsidR="001C3549" w:rsidRPr="00BB6220">
        <w:rPr>
          <w:lang w:eastAsia="en-NZ"/>
        </w:rPr>
        <w:t>fully</w:t>
      </w:r>
      <w:r w:rsidR="003D640C">
        <w:rPr>
          <w:lang w:eastAsia="en-NZ"/>
        </w:rPr>
        <w:t xml:space="preserve"> </w:t>
      </w:r>
      <w:r w:rsidR="001C3549" w:rsidRPr="00BB6220">
        <w:rPr>
          <w:lang w:eastAsia="en-NZ"/>
        </w:rPr>
        <w:t>informed</w:t>
      </w:r>
      <w:r w:rsidR="003D640C">
        <w:rPr>
          <w:lang w:eastAsia="en-NZ"/>
        </w:rPr>
        <w:t xml:space="preserve"> </w:t>
      </w:r>
      <w:r w:rsidR="001C3549" w:rsidRPr="00BB6220">
        <w:rPr>
          <w:lang w:eastAsia="en-NZ"/>
        </w:rPr>
        <w:t>(Right</w:t>
      </w:r>
      <w:r w:rsidR="003D640C">
        <w:rPr>
          <w:lang w:eastAsia="en-NZ"/>
        </w:rPr>
        <w:t xml:space="preserve"> </w:t>
      </w:r>
      <w:r w:rsidR="001C3549" w:rsidRPr="00BB6220">
        <w:rPr>
          <w:lang w:eastAsia="en-NZ"/>
        </w:rPr>
        <w:t>6)</w:t>
      </w:r>
    </w:p>
    <w:p w14:paraId="7CE7BCE3" w14:textId="62783922" w:rsidR="00501068" w:rsidRDefault="006F487E" w:rsidP="00B2336B">
      <w:pPr>
        <w:pStyle w:val="Bullet"/>
        <w:rPr>
          <w:lang w:eastAsia="en-NZ"/>
        </w:rPr>
      </w:pPr>
      <w:r>
        <w:rPr>
          <w:lang w:eastAsia="en-NZ"/>
        </w:rPr>
        <w:t>t</w:t>
      </w:r>
      <w:r w:rsidR="001C3549" w:rsidRPr="00BB6220">
        <w:rPr>
          <w:lang w:eastAsia="en-NZ"/>
        </w:rPr>
        <w:t>o</w:t>
      </w:r>
      <w:r w:rsidR="003D640C">
        <w:rPr>
          <w:lang w:eastAsia="en-NZ"/>
        </w:rPr>
        <w:t xml:space="preserve"> </w:t>
      </w:r>
      <w:r w:rsidR="001C3549" w:rsidRPr="00BB6220">
        <w:rPr>
          <w:lang w:eastAsia="en-NZ"/>
        </w:rPr>
        <w:t>make</w:t>
      </w:r>
      <w:r w:rsidR="003D640C">
        <w:rPr>
          <w:lang w:eastAsia="en-NZ"/>
        </w:rPr>
        <w:t xml:space="preserve"> </w:t>
      </w:r>
      <w:r w:rsidR="001C3549" w:rsidRPr="00BB6220">
        <w:rPr>
          <w:lang w:eastAsia="en-NZ"/>
        </w:rPr>
        <w:t>an</w:t>
      </w:r>
      <w:r w:rsidR="003D640C">
        <w:rPr>
          <w:lang w:eastAsia="en-NZ"/>
        </w:rPr>
        <w:t xml:space="preserve"> </w:t>
      </w:r>
      <w:r w:rsidR="001C3549" w:rsidRPr="00BB6220">
        <w:rPr>
          <w:lang w:eastAsia="en-NZ"/>
        </w:rPr>
        <w:t>informed</w:t>
      </w:r>
      <w:r w:rsidR="003D640C">
        <w:rPr>
          <w:lang w:eastAsia="en-NZ"/>
        </w:rPr>
        <w:t xml:space="preserve"> </w:t>
      </w:r>
      <w:r w:rsidR="001C3549" w:rsidRPr="00BB6220">
        <w:rPr>
          <w:lang w:eastAsia="en-NZ"/>
        </w:rPr>
        <w:t>choice</w:t>
      </w:r>
      <w:r w:rsidR="003D640C">
        <w:rPr>
          <w:lang w:eastAsia="en-NZ"/>
        </w:rPr>
        <w:t xml:space="preserve"> </w:t>
      </w:r>
      <w:r w:rsidR="001C3549" w:rsidRPr="00BB6220">
        <w:rPr>
          <w:lang w:eastAsia="en-NZ"/>
        </w:rPr>
        <w:t>and</w:t>
      </w:r>
      <w:r w:rsidR="003D640C">
        <w:rPr>
          <w:lang w:eastAsia="en-NZ"/>
        </w:rPr>
        <w:t xml:space="preserve"> </w:t>
      </w:r>
      <w:r w:rsidR="001C3549" w:rsidRPr="00BB6220">
        <w:rPr>
          <w:lang w:eastAsia="en-NZ"/>
        </w:rPr>
        <w:t>give</w:t>
      </w:r>
      <w:r w:rsidR="003D640C">
        <w:rPr>
          <w:lang w:eastAsia="en-NZ"/>
        </w:rPr>
        <w:t xml:space="preserve"> </w:t>
      </w:r>
      <w:r w:rsidR="001C3549" w:rsidRPr="00BB6220">
        <w:rPr>
          <w:lang w:eastAsia="en-NZ"/>
        </w:rPr>
        <w:t>informed</w:t>
      </w:r>
      <w:r w:rsidR="003D640C">
        <w:rPr>
          <w:lang w:eastAsia="en-NZ"/>
        </w:rPr>
        <w:t xml:space="preserve"> </w:t>
      </w:r>
      <w:r w:rsidR="001C3549" w:rsidRPr="00BB6220">
        <w:rPr>
          <w:lang w:eastAsia="en-NZ"/>
        </w:rPr>
        <w:t>consent</w:t>
      </w:r>
      <w:r w:rsidR="003D640C">
        <w:rPr>
          <w:lang w:eastAsia="en-NZ"/>
        </w:rPr>
        <w:t xml:space="preserve"> </w:t>
      </w:r>
      <w:r w:rsidR="001C3549" w:rsidRPr="00BB6220">
        <w:rPr>
          <w:lang w:eastAsia="en-NZ"/>
        </w:rPr>
        <w:t>(Right</w:t>
      </w:r>
      <w:r w:rsidR="003D640C">
        <w:rPr>
          <w:lang w:eastAsia="en-NZ"/>
        </w:rPr>
        <w:t xml:space="preserve"> </w:t>
      </w:r>
      <w:r w:rsidR="001C3549" w:rsidRPr="00BB6220">
        <w:rPr>
          <w:lang w:eastAsia="en-NZ"/>
        </w:rPr>
        <w:t>7)</w:t>
      </w:r>
      <w:r w:rsidR="0056166A">
        <w:rPr>
          <w:lang w:eastAsia="en-NZ"/>
        </w:rPr>
        <w:t>.</w:t>
      </w:r>
    </w:p>
    <w:p w14:paraId="630FD097" w14:textId="3EC07464" w:rsidR="00501068" w:rsidRDefault="0056166A" w:rsidP="00B2336B">
      <w:pPr>
        <w:rPr>
          <w:lang w:eastAsia="en-NZ"/>
        </w:rPr>
      </w:pPr>
      <w:r>
        <w:rPr>
          <w:lang w:eastAsia="en-NZ"/>
        </w:rPr>
        <w:t>Section 5 of t</w:t>
      </w:r>
      <w:r w:rsidR="00FF55D8">
        <w:rPr>
          <w:lang w:eastAsia="en-NZ"/>
        </w:rPr>
        <w:t>he</w:t>
      </w:r>
      <w:r w:rsidR="003D640C">
        <w:rPr>
          <w:lang w:eastAsia="en-NZ"/>
        </w:rPr>
        <w:t xml:space="preserve"> </w:t>
      </w:r>
      <w:r w:rsidR="00FF55D8">
        <w:rPr>
          <w:lang w:eastAsia="en-NZ"/>
        </w:rPr>
        <w:t>CPPLA</w:t>
      </w:r>
      <w:r w:rsidR="003D640C">
        <w:rPr>
          <w:lang w:eastAsia="en-NZ"/>
        </w:rPr>
        <w:t xml:space="preserve"> </w:t>
      </w:r>
      <w:r w:rsidR="00FF55D8">
        <w:rPr>
          <w:lang w:eastAsia="en-NZ"/>
        </w:rPr>
        <w:t>affirms</w:t>
      </w:r>
      <w:r w:rsidR="003D640C">
        <w:rPr>
          <w:lang w:eastAsia="en-NZ"/>
        </w:rPr>
        <w:t xml:space="preserve"> </w:t>
      </w:r>
      <w:r w:rsidR="00FF55D8">
        <w:rPr>
          <w:lang w:eastAsia="en-NZ"/>
        </w:rPr>
        <w:t>the</w:t>
      </w:r>
      <w:r w:rsidR="003D640C">
        <w:rPr>
          <w:lang w:eastAsia="en-NZ"/>
        </w:rPr>
        <w:t xml:space="preserve"> </w:t>
      </w:r>
      <w:r w:rsidR="00FF55D8">
        <w:rPr>
          <w:lang w:eastAsia="en-NZ"/>
        </w:rPr>
        <w:t>ability</w:t>
      </w:r>
      <w:r w:rsidR="003D640C">
        <w:rPr>
          <w:lang w:eastAsia="en-NZ"/>
        </w:rPr>
        <w:t xml:space="preserve"> </w:t>
      </w:r>
      <w:r w:rsidR="00FF55D8">
        <w:rPr>
          <w:lang w:eastAsia="en-NZ"/>
        </w:rPr>
        <w:t>for</w:t>
      </w:r>
      <w:r w:rsidR="003D640C">
        <w:rPr>
          <w:lang w:eastAsia="en-NZ"/>
        </w:rPr>
        <w:t xml:space="preserve"> </w:t>
      </w:r>
      <w:r w:rsidR="00FF55D8">
        <w:rPr>
          <w:lang w:eastAsia="en-NZ"/>
        </w:rPr>
        <w:t>health</w:t>
      </w:r>
      <w:r w:rsidR="003D640C">
        <w:rPr>
          <w:lang w:eastAsia="en-NZ"/>
        </w:rPr>
        <w:t xml:space="preserve"> </w:t>
      </w:r>
      <w:r w:rsidR="00FF55D8">
        <w:rPr>
          <w:lang w:eastAsia="en-NZ"/>
        </w:rPr>
        <w:t>practitioners</w:t>
      </w:r>
      <w:r w:rsidR="003D640C">
        <w:rPr>
          <w:lang w:eastAsia="en-NZ"/>
        </w:rPr>
        <w:t xml:space="preserve"> </w:t>
      </w:r>
      <w:r w:rsidR="00FF55D8" w:rsidRPr="005A73E6">
        <w:rPr>
          <w:lang w:eastAsia="en-NZ"/>
        </w:rPr>
        <w:t>to</w:t>
      </w:r>
      <w:r w:rsidR="003D640C">
        <w:rPr>
          <w:lang w:eastAsia="en-NZ"/>
        </w:rPr>
        <w:t xml:space="preserve"> </w:t>
      </w:r>
      <w:r w:rsidR="00FF55D8" w:rsidRPr="005A73E6">
        <w:rPr>
          <w:lang w:eastAsia="en-NZ"/>
        </w:rPr>
        <w:t>act</w:t>
      </w:r>
      <w:r w:rsidR="003D640C">
        <w:rPr>
          <w:lang w:eastAsia="en-NZ"/>
        </w:rPr>
        <w:t xml:space="preserve"> </w:t>
      </w:r>
      <w:r w:rsidR="00FF55D8" w:rsidRPr="005A73E6">
        <w:rPr>
          <w:lang w:eastAsia="en-NZ"/>
        </w:rPr>
        <w:t>within</w:t>
      </w:r>
      <w:r w:rsidR="003D640C">
        <w:rPr>
          <w:lang w:eastAsia="en-NZ"/>
        </w:rPr>
        <w:t xml:space="preserve"> </w:t>
      </w:r>
      <w:r w:rsidR="00FF55D8">
        <w:rPr>
          <w:lang w:eastAsia="en-NZ"/>
        </w:rPr>
        <w:t>their</w:t>
      </w:r>
      <w:r w:rsidR="003D640C">
        <w:rPr>
          <w:lang w:eastAsia="en-NZ"/>
        </w:rPr>
        <w:t xml:space="preserve"> </w:t>
      </w:r>
      <w:r w:rsidR="00FF55D8" w:rsidRPr="005A73E6">
        <w:rPr>
          <w:lang w:eastAsia="en-NZ"/>
        </w:rPr>
        <w:t>reasonable</w:t>
      </w:r>
      <w:r w:rsidR="003D640C">
        <w:rPr>
          <w:lang w:eastAsia="en-NZ"/>
        </w:rPr>
        <w:t xml:space="preserve"> </w:t>
      </w:r>
      <w:r w:rsidR="00FF55D8" w:rsidRPr="005A73E6">
        <w:rPr>
          <w:lang w:eastAsia="en-NZ"/>
        </w:rPr>
        <w:t>professional</w:t>
      </w:r>
      <w:r w:rsidR="003D640C">
        <w:rPr>
          <w:lang w:eastAsia="en-NZ"/>
        </w:rPr>
        <w:t xml:space="preserve"> </w:t>
      </w:r>
      <w:r w:rsidR="00FF55D8" w:rsidRPr="005A73E6">
        <w:rPr>
          <w:lang w:eastAsia="en-NZ"/>
        </w:rPr>
        <w:t>judgement</w:t>
      </w:r>
      <w:r w:rsidR="003D640C">
        <w:rPr>
          <w:lang w:eastAsia="en-NZ"/>
        </w:rPr>
        <w:t xml:space="preserve"> </w:t>
      </w:r>
      <w:r w:rsidR="00FF55D8" w:rsidRPr="005A73E6">
        <w:rPr>
          <w:lang w:eastAsia="en-NZ"/>
        </w:rPr>
        <w:t>where</w:t>
      </w:r>
      <w:r w:rsidR="003D640C">
        <w:rPr>
          <w:lang w:eastAsia="en-NZ"/>
        </w:rPr>
        <w:t xml:space="preserve"> </w:t>
      </w:r>
      <w:r w:rsidR="00FF55D8" w:rsidRPr="005A73E6">
        <w:rPr>
          <w:lang w:eastAsia="en-NZ"/>
        </w:rPr>
        <w:t>that</w:t>
      </w:r>
      <w:r w:rsidR="003D640C">
        <w:rPr>
          <w:lang w:eastAsia="en-NZ"/>
        </w:rPr>
        <w:t xml:space="preserve"> </w:t>
      </w:r>
      <w:r w:rsidR="00FF55D8" w:rsidRPr="005A73E6">
        <w:rPr>
          <w:lang w:eastAsia="en-NZ"/>
        </w:rPr>
        <w:t>complies</w:t>
      </w:r>
      <w:r w:rsidR="003D640C">
        <w:rPr>
          <w:lang w:eastAsia="en-NZ"/>
        </w:rPr>
        <w:t xml:space="preserve"> </w:t>
      </w:r>
      <w:r w:rsidR="00FF55D8" w:rsidRPr="005A73E6">
        <w:rPr>
          <w:lang w:eastAsia="en-NZ"/>
        </w:rPr>
        <w:t>with</w:t>
      </w:r>
      <w:r w:rsidR="003D640C">
        <w:rPr>
          <w:lang w:eastAsia="en-NZ"/>
        </w:rPr>
        <w:t xml:space="preserve"> </w:t>
      </w:r>
      <w:r w:rsidR="00FF55D8" w:rsidRPr="005A73E6">
        <w:rPr>
          <w:lang w:eastAsia="en-NZ"/>
        </w:rPr>
        <w:t>all</w:t>
      </w:r>
      <w:r w:rsidR="003D640C">
        <w:rPr>
          <w:lang w:eastAsia="en-NZ"/>
        </w:rPr>
        <w:t xml:space="preserve"> </w:t>
      </w:r>
      <w:r w:rsidR="00FF55D8" w:rsidRPr="005A73E6">
        <w:rPr>
          <w:lang w:eastAsia="en-NZ"/>
        </w:rPr>
        <w:t>legal,</w:t>
      </w:r>
      <w:r w:rsidR="003D640C">
        <w:rPr>
          <w:lang w:eastAsia="en-NZ"/>
        </w:rPr>
        <w:t xml:space="preserve"> </w:t>
      </w:r>
      <w:r w:rsidR="00FF55D8" w:rsidRPr="005A73E6">
        <w:rPr>
          <w:lang w:eastAsia="en-NZ"/>
        </w:rPr>
        <w:t>professional,</w:t>
      </w:r>
      <w:r w:rsidR="003D640C">
        <w:rPr>
          <w:lang w:eastAsia="en-NZ"/>
        </w:rPr>
        <w:t xml:space="preserve"> </w:t>
      </w:r>
      <w:r w:rsidR="00FF55D8" w:rsidRPr="005A73E6">
        <w:rPr>
          <w:lang w:eastAsia="en-NZ"/>
        </w:rPr>
        <w:t>and</w:t>
      </w:r>
      <w:r w:rsidR="003D640C">
        <w:rPr>
          <w:lang w:eastAsia="en-NZ"/>
        </w:rPr>
        <w:t xml:space="preserve"> </w:t>
      </w:r>
      <w:r w:rsidR="00FF55D8" w:rsidRPr="005A73E6">
        <w:rPr>
          <w:lang w:eastAsia="en-NZ"/>
        </w:rPr>
        <w:t>ethical</w:t>
      </w:r>
      <w:r w:rsidR="003D640C">
        <w:rPr>
          <w:lang w:eastAsia="en-NZ"/>
        </w:rPr>
        <w:t xml:space="preserve"> </w:t>
      </w:r>
      <w:r w:rsidR="00FF55D8" w:rsidRPr="005A73E6">
        <w:rPr>
          <w:lang w:eastAsia="en-NZ"/>
        </w:rPr>
        <w:t>standards</w:t>
      </w:r>
      <w:r w:rsidR="00FF55D8">
        <w:rPr>
          <w:lang w:eastAsia="en-NZ"/>
        </w:rPr>
        <w:t>.</w:t>
      </w:r>
      <w:r w:rsidR="003D640C">
        <w:rPr>
          <w:lang w:eastAsia="en-NZ"/>
        </w:rPr>
        <w:t xml:space="preserve"> </w:t>
      </w:r>
      <w:r w:rsidR="00FF55D8">
        <w:rPr>
          <w:lang w:eastAsia="en-NZ"/>
        </w:rPr>
        <w:t>Alongside</w:t>
      </w:r>
      <w:r w:rsidR="003D640C">
        <w:rPr>
          <w:lang w:eastAsia="en-NZ"/>
        </w:rPr>
        <w:t xml:space="preserve"> </w:t>
      </w:r>
      <w:r w:rsidR="00FF55D8">
        <w:rPr>
          <w:lang w:eastAsia="en-NZ"/>
        </w:rPr>
        <w:t>the</w:t>
      </w:r>
      <w:r w:rsidR="003D640C">
        <w:rPr>
          <w:lang w:eastAsia="en-NZ"/>
        </w:rPr>
        <w:t xml:space="preserve"> </w:t>
      </w:r>
      <w:r w:rsidR="00FF55D8">
        <w:rPr>
          <w:lang w:eastAsia="en-NZ"/>
        </w:rPr>
        <w:t>rights</w:t>
      </w:r>
      <w:r w:rsidR="003D640C">
        <w:rPr>
          <w:lang w:eastAsia="en-NZ"/>
        </w:rPr>
        <w:t xml:space="preserve"> </w:t>
      </w:r>
      <w:r w:rsidR="00FF55D8">
        <w:rPr>
          <w:lang w:eastAsia="en-NZ"/>
        </w:rPr>
        <w:t>outlined</w:t>
      </w:r>
      <w:r w:rsidR="003D640C">
        <w:rPr>
          <w:lang w:eastAsia="en-NZ"/>
        </w:rPr>
        <w:t xml:space="preserve"> </w:t>
      </w:r>
      <w:r w:rsidR="00FF55D8">
        <w:rPr>
          <w:lang w:eastAsia="en-NZ"/>
        </w:rPr>
        <w:t>above,</w:t>
      </w:r>
      <w:r w:rsidR="003D640C">
        <w:rPr>
          <w:lang w:eastAsia="en-NZ"/>
        </w:rPr>
        <w:t xml:space="preserve"> </w:t>
      </w:r>
      <w:r>
        <w:t xml:space="preserve">Rights 1, 2 and 4 of </w:t>
      </w:r>
      <w:r w:rsidR="00FF55D8">
        <w:rPr>
          <w:lang w:eastAsia="en-NZ"/>
        </w:rPr>
        <w:t>the</w:t>
      </w:r>
      <w:r w:rsidR="003D640C">
        <w:rPr>
          <w:lang w:eastAsia="en-NZ"/>
        </w:rPr>
        <w:t xml:space="preserve"> </w:t>
      </w:r>
      <w:r w:rsidR="00FF55D8">
        <w:rPr>
          <w:lang w:eastAsia="en-NZ"/>
        </w:rPr>
        <w:t>Code</w:t>
      </w:r>
      <w:r w:rsidR="003D640C">
        <w:rPr>
          <w:lang w:eastAsia="en-NZ"/>
        </w:rPr>
        <w:t xml:space="preserve"> </w:t>
      </w:r>
      <w:r w:rsidR="00FF55D8">
        <w:rPr>
          <w:lang w:eastAsia="en-NZ"/>
        </w:rPr>
        <w:t>of</w:t>
      </w:r>
      <w:r w:rsidR="003D640C">
        <w:rPr>
          <w:lang w:eastAsia="en-NZ"/>
        </w:rPr>
        <w:t xml:space="preserve"> </w:t>
      </w:r>
      <w:r w:rsidR="00FF55D8">
        <w:rPr>
          <w:lang w:eastAsia="en-NZ"/>
        </w:rPr>
        <w:t>Rights</w:t>
      </w:r>
      <w:r w:rsidR="003D640C">
        <w:rPr>
          <w:lang w:eastAsia="en-NZ"/>
        </w:rPr>
        <w:t xml:space="preserve"> </w:t>
      </w:r>
      <w:r w:rsidR="00FF55D8">
        <w:rPr>
          <w:lang w:eastAsia="en-NZ"/>
        </w:rPr>
        <w:t>specif</w:t>
      </w:r>
      <w:r>
        <w:rPr>
          <w:lang w:eastAsia="en-NZ"/>
        </w:rPr>
        <w:t>y</w:t>
      </w:r>
      <w:r w:rsidR="003D640C">
        <w:rPr>
          <w:lang w:eastAsia="en-NZ"/>
        </w:rPr>
        <w:t xml:space="preserve"> </w:t>
      </w:r>
      <w:r w:rsidR="00FF55D8">
        <w:rPr>
          <w:lang w:eastAsia="en-NZ"/>
        </w:rPr>
        <w:t>that</w:t>
      </w:r>
      <w:r w:rsidR="003D640C">
        <w:rPr>
          <w:lang w:eastAsia="en-NZ"/>
        </w:rPr>
        <w:t xml:space="preserve"> </w:t>
      </w:r>
      <w:r w:rsidR="00FF55D8">
        <w:rPr>
          <w:lang w:eastAsia="en-NZ"/>
        </w:rPr>
        <w:t>h</w:t>
      </w:r>
      <w:r w:rsidR="00FF55D8" w:rsidRPr="007C7347">
        <w:rPr>
          <w:lang w:eastAsia="en-NZ"/>
        </w:rPr>
        <w:t>ealthcare</w:t>
      </w:r>
      <w:r w:rsidR="003D640C">
        <w:rPr>
          <w:lang w:eastAsia="en-NZ"/>
        </w:rPr>
        <w:t xml:space="preserve"> </w:t>
      </w:r>
      <w:r w:rsidR="00FF55D8" w:rsidRPr="007C7347">
        <w:rPr>
          <w:lang w:eastAsia="en-NZ"/>
        </w:rPr>
        <w:t>providers</w:t>
      </w:r>
      <w:r w:rsidR="003D640C">
        <w:rPr>
          <w:lang w:eastAsia="en-NZ"/>
        </w:rPr>
        <w:t xml:space="preserve"> </w:t>
      </w:r>
      <w:r w:rsidR="00FF55D8">
        <w:rPr>
          <w:lang w:eastAsia="en-NZ"/>
        </w:rPr>
        <w:t>must</w:t>
      </w:r>
      <w:r w:rsidR="003D640C">
        <w:rPr>
          <w:lang w:eastAsia="en-NZ"/>
        </w:rPr>
        <w:t xml:space="preserve"> </w:t>
      </w:r>
      <w:r w:rsidR="00FF55D8" w:rsidRPr="007C7347">
        <w:rPr>
          <w:lang w:eastAsia="en-NZ"/>
        </w:rPr>
        <w:t>provide</w:t>
      </w:r>
      <w:r w:rsidR="003D640C">
        <w:rPr>
          <w:lang w:eastAsia="en-NZ"/>
        </w:rPr>
        <w:t xml:space="preserve"> </w:t>
      </w:r>
      <w:r w:rsidR="00FF55D8" w:rsidRPr="007C7347">
        <w:rPr>
          <w:lang w:eastAsia="en-NZ"/>
        </w:rPr>
        <w:t>services</w:t>
      </w:r>
      <w:r w:rsidR="003D640C">
        <w:rPr>
          <w:lang w:eastAsia="en-NZ"/>
        </w:rPr>
        <w:t xml:space="preserve"> </w:t>
      </w:r>
      <w:r w:rsidR="00FF55D8" w:rsidRPr="007C7347">
        <w:rPr>
          <w:lang w:eastAsia="en-NZ"/>
        </w:rPr>
        <w:t>of</w:t>
      </w:r>
      <w:r w:rsidR="003D640C">
        <w:rPr>
          <w:lang w:eastAsia="en-NZ"/>
        </w:rPr>
        <w:t xml:space="preserve"> </w:t>
      </w:r>
      <w:r w:rsidR="00FF55D8" w:rsidRPr="007C7347">
        <w:rPr>
          <w:lang w:eastAsia="en-NZ"/>
        </w:rPr>
        <w:t>an</w:t>
      </w:r>
      <w:r w:rsidR="003D640C">
        <w:rPr>
          <w:lang w:eastAsia="en-NZ"/>
        </w:rPr>
        <w:t xml:space="preserve"> </w:t>
      </w:r>
      <w:r w:rsidR="00FF55D8" w:rsidRPr="007C7347">
        <w:rPr>
          <w:lang w:eastAsia="en-NZ"/>
        </w:rPr>
        <w:t>appropriate</w:t>
      </w:r>
      <w:r w:rsidR="003D640C">
        <w:rPr>
          <w:lang w:eastAsia="en-NZ"/>
        </w:rPr>
        <w:t xml:space="preserve"> </w:t>
      </w:r>
      <w:r w:rsidR="00FF55D8" w:rsidRPr="007C7347">
        <w:rPr>
          <w:lang w:eastAsia="en-NZ"/>
        </w:rPr>
        <w:t>quality</w:t>
      </w:r>
      <w:r w:rsidR="003D640C">
        <w:rPr>
          <w:lang w:eastAsia="en-NZ"/>
        </w:rPr>
        <w:t xml:space="preserve"> </w:t>
      </w:r>
      <w:r w:rsidR="00FF55D8" w:rsidRPr="007C7347">
        <w:rPr>
          <w:lang w:eastAsia="en-NZ"/>
        </w:rPr>
        <w:t>and</w:t>
      </w:r>
      <w:r w:rsidR="003D640C">
        <w:rPr>
          <w:lang w:eastAsia="en-NZ"/>
        </w:rPr>
        <w:t xml:space="preserve"> </w:t>
      </w:r>
      <w:r w:rsidR="00FF55D8" w:rsidRPr="007C7347">
        <w:rPr>
          <w:lang w:eastAsia="en-NZ"/>
        </w:rPr>
        <w:t>standard</w:t>
      </w:r>
      <w:r w:rsidR="003D640C">
        <w:rPr>
          <w:lang w:eastAsia="en-NZ"/>
        </w:rPr>
        <w:t xml:space="preserve"> </w:t>
      </w:r>
      <w:r w:rsidR="00FF55D8">
        <w:rPr>
          <w:lang w:eastAsia="en-NZ"/>
        </w:rPr>
        <w:t>that</w:t>
      </w:r>
      <w:r w:rsidR="003D640C">
        <w:rPr>
          <w:lang w:eastAsia="en-NZ"/>
        </w:rPr>
        <w:t xml:space="preserve"> </w:t>
      </w:r>
      <w:r w:rsidR="00FF55D8">
        <w:rPr>
          <w:lang w:eastAsia="en-NZ"/>
        </w:rPr>
        <w:t>respond</w:t>
      </w:r>
      <w:r w:rsidR="003D640C">
        <w:rPr>
          <w:lang w:eastAsia="en-NZ"/>
        </w:rPr>
        <w:t xml:space="preserve"> </w:t>
      </w:r>
      <w:r w:rsidR="00FF55D8">
        <w:rPr>
          <w:lang w:eastAsia="en-NZ"/>
        </w:rPr>
        <w:t>to</w:t>
      </w:r>
      <w:r w:rsidR="003D640C">
        <w:rPr>
          <w:lang w:eastAsia="en-NZ"/>
        </w:rPr>
        <w:t xml:space="preserve"> </w:t>
      </w:r>
      <w:r w:rsidR="00FF55D8">
        <w:rPr>
          <w:lang w:eastAsia="en-NZ"/>
        </w:rPr>
        <w:t>the</w:t>
      </w:r>
      <w:r w:rsidR="003D640C">
        <w:rPr>
          <w:lang w:eastAsia="en-NZ"/>
        </w:rPr>
        <w:t xml:space="preserve"> </w:t>
      </w:r>
      <w:r w:rsidR="00FF55D8">
        <w:rPr>
          <w:lang w:eastAsia="en-NZ"/>
        </w:rPr>
        <w:t>diverse</w:t>
      </w:r>
      <w:r w:rsidR="003D640C">
        <w:rPr>
          <w:lang w:eastAsia="en-NZ"/>
        </w:rPr>
        <w:t xml:space="preserve"> </w:t>
      </w:r>
      <w:r w:rsidR="00FF55D8">
        <w:rPr>
          <w:lang w:eastAsia="en-NZ"/>
        </w:rPr>
        <w:t>needs</w:t>
      </w:r>
      <w:r w:rsidR="003D640C">
        <w:rPr>
          <w:lang w:eastAsia="en-NZ"/>
        </w:rPr>
        <w:t xml:space="preserve"> </w:t>
      </w:r>
      <w:r w:rsidR="00FF55D8">
        <w:rPr>
          <w:lang w:eastAsia="en-NZ"/>
        </w:rPr>
        <w:t>of</w:t>
      </w:r>
      <w:r w:rsidR="003D640C">
        <w:rPr>
          <w:lang w:eastAsia="en-NZ"/>
        </w:rPr>
        <w:t xml:space="preserve"> </w:t>
      </w:r>
      <w:r w:rsidR="00FF55D8">
        <w:rPr>
          <w:lang w:eastAsia="en-NZ"/>
        </w:rPr>
        <w:t>their</w:t>
      </w:r>
      <w:r w:rsidR="003D640C">
        <w:rPr>
          <w:lang w:eastAsia="en-NZ"/>
        </w:rPr>
        <w:t xml:space="preserve"> </w:t>
      </w:r>
      <w:r w:rsidR="00FF55D8">
        <w:rPr>
          <w:lang w:eastAsia="en-NZ"/>
        </w:rPr>
        <w:t>clients</w:t>
      </w:r>
      <w:r w:rsidR="003D640C">
        <w:rPr>
          <w:lang w:eastAsia="en-NZ"/>
        </w:rPr>
        <w:t xml:space="preserve"> </w:t>
      </w:r>
      <w:r w:rsidR="00FF55D8" w:rsidRPr="00D762E9">
        <w:rPr>
          <w:lang w:eastAsia="en-NZ"/>
        </w:rPr>
        <w:t>with</w:t>
      </w:r>
      <w:r w:rsidR="003D640C">
        <w:rPr>
          <w:lang w:eastAsia="en-NZ"/>
        </w:rPr>
        <w:t xml:space="preserve"> </w:t>
      </w:r>
      <w:r w:rsidR="00FF55D8" w:rsidRPr="00D762E9">
        <w:rPr>
          <w:lang w:eastAsia="en-NZ"/>
        </w:rPr>
        <w:t>respect</w:t>
      </w:r>
      <w:r w:rsidR="003D640C">
        <w:rPr>
          <w:lang w:eastAsia="en-NZ"/>
        </w:rPr>
        <w:t xml:space="preserve"> </w:t>
      </w:r>
      <w:r w:rsidR="00FF55D8" w:rsidRPr="00D762E9">
        <w:rPr>
          <w:lang w:eastAsia="en-NZ"/>
        </w:rPr>
        <w:t>and</w:t>
      </w:r>
      <w:r w:rsidR="003D640C">
        <w:rPr>
          <w:lang w:eastAsia="en-NZ"/>
        </w:rPr>
        <w:t xml:space="preserve"> </w:t>
      </w:r>
      <w:r w:rsidR="00FF55D8" w:rsidRPr="00D762E9">
        <w:rPr>
          <w:lang w:eastAsia="en-NZ"/>
        </w:rPr>
        <w:t>without</w:t>
      </w:r>
      <w:r w:rsidR="003D640C">
        <w:rPr>
          <w:lang w:eastAsia="en-NZ"/>
        </w:rPr>
        <w:t xml:space="preserve"> </w:t>
      </w:r>
      <w:r w:rsidR="00FF55D8" w:rsidRPr="00D762E9">
        <w:rPr>
          <w:lang w:eastAsia="en-NZ"/>
        </w:rPr>
        <w:t>discrimination.</w:t>
      </w:r>
      <w:r w:rsidR="003D640C">
        <w:rPr>
          <w:lang w:eastAsia="en-NZ"/>
        </w:rPr>
        <w:t xml:space="preserve"> </w:t>
      </w:r>
    </w:p>
    <w:p w14:paraId="632911E8" w14:textId="634B3002" w:rsidR="00501068" w:rsidRDefault="005545D0" w:rsidP="00B2336B">
      <w:pPr>
        <w:rPr>
          <w:lang w:eastAsia="en-NZ"/>
        </w:rPr>
      </w:pPr>
      <w:r>
        <w:rPr>
          <w:lang w:eastAsia="en-NZ"/>
        </w:rPr>
        <w:t>The</w:t>
      </w:r>
      <w:r w:rsidR="003D640C">
        <w:rPr>
          <w:lang w:eastAsia="en-NZ"/>
        </w:rPr>
        <w:t xml:space="preserve"> </w:t>
      </w:r>
      <w:r>
        <w:rPr>
          <w:lang w:eastAsia="en-NZ"/>
        </w:rPr>
        <w:t>right</w:t>
      </w:r>
      <w:r w:rsidR="003D640C">
        <w:rPr>
          <w:lang w:eastAsia="en-NZ"/>
        </w:rPr>
        <w:t xml:space="preserve"> </w:t>
      </w:r>
      <w:r>
        <w:rPr>
          <w:lang w:eastAsia="en-NZ"/>
        </w:rPr>
        <w:t>to</w:t>
      </w:r>
      <w:r w:rsidR="003D640C">
        <w:rPr>
          <w:lang w:eastAsia="en-NZ"/>
        </w:rPr>
        <w:t xml:space="preserve"> </w:t>
      </w:r>
      <w:r>
        <w:rPr>
          <w:lang w:eastAsia="en-NZ"/>
        </w:rPr>
        <w:t>the</w:t>
      </w:r>
      <w:r w:rsidR="003D640C">
        <w:rPr>
          <w:lang w:eastAsia="en-NZ"/>
        </w:rPr>
        <w:t xml:space="preserve"> </w:t>
      </w:r>
      <w:r>
        <w:rPr>
          <w:lang w:eastAsia="en-NZ"/>
        </w:rPr>
        <w:t>highest</w:t>
      </w:r>
      <w:r w:rsidR="003D640C">
        <w:rPr>
          <w:lang w:eastAsia="en-NZ"/>
        </w:rPr>
        <w:t xml:space="preserve"> </w:t>
      </w:r>
      <w:r>
        <w:rPr>
          <w:lang w:eastAsia="en-NZ"/>
        </w:rPr>
        <w:t>attainable</w:t>
      </w:r>
      <w:r w:rsidR="003D640C">
        <w:rPr>
          <w:lang w:eastAsia="en-NZ"/>
        </w:rPr>
        <w:t xml:space="preserve"> </w:t>
      </w:r>
      <w:r>
        <w:rPr>
          <w:lang w:eastAsia="en-NZ"/>
        </w:rPr>
        <w:t>standard</w:t>
      </w:r>
      <w:r w:rsidR="003D640C">
        <w:rPr>
          <w:lang w:eastAsia="en-NZ"/>
        </w:rPr>
        <w:t xml:space="preserve"> </w:t>
      </w:r>
      <w:r>
        <w:rPr>
          <w:lang w:eastAsia="en-NZ"/>
        </w:rPr>
        <w:t>of</w:t>
      </w:r>
      <w:r w:rsidR="003D640C">
        <w:rPr>
          <w:lang w:eastAsia="en-NZ"/>
        </w:rPr>
        <w:t xml:space="preserve"> </w:t>
      </w:r>
      <w:r>
        <w:rPr>
          <w:lang w:eastAsia="en-NZ"/>
        </w:rPr>
        <w:t>physical</w:t>
      </w:r>
      <w:r w:rsidR="003D640C">
        <w:rPr>
          <w:lang w:eastAsia="en-NZ"/>
        </w:rPr>
        <w:t xml:space="preserve"> </w:t>
      </w:r>
      <w:r>
        <w:rPr>
          <w:lang w:eastAsia="en-NZ"/>
        </w:rPr>
        <w:t>and</w:t>
      </w:r>
      <w:r w:rsidR="003D640C">
        <w:rPr>
          <w:lang w:eastAsia="en-NZ"/>
        </w:rPr>
        <w:t xml:space="preserve"> </w:t>
      </w:r>
      <w:r>
        <w:rPr>
          <w:lang w:eastAsia="en-NZ"/>
        </w:rPr>
        <w:t>mental</w:t>
      </w:r>
      <w:r w:rsidR="003D640C">
        <w:rPr>
          <w:lang w:eastAsia="en-NZ"/>
        </w:rPr>
        <w:t xml:space="preserve"> </w:t>
      </w:r>
      <w:r>
        <w:rPr>
          <w:lang w:eastAsia="en-NZ"/>
        </w:rPr>
        <w:t>health</w:t>
      </w:r>
      <w:r w:rsidR="003D640C">
        <w:rPr>
          <w:lang w:eastAsia="en-NZ"/>
        </w:rPr>
        <w:t xml:space="preserve"> </w:t>
      </w:r>
      <w:r>
        <w:rPr>
          <w:lang w:eastAsia="en-NZ"/>
        </w:rPr>
        <w:t>is</w:t>
      </w:r>
      <w:r w:rsidR="003D640C">
        <w:rPr>
          <w:lang w:eastAsia="en-NZ"/>
        </w:rPr>
        <w:t xml:space="preserve"> </w:t>
      </w:r>
      <w:r>
        <w:rPr>
          <w:lang w:eastAsia="en-NZ"/>
        </w:rPr>
        <w:t>fundamental</w:t>
      </w:r>
      <w:r w:rsidR="003D640C">
        <w:rPr>
          <w:lang w:eastAsia="en-NZ"/>
        </w:rPr>
        <w:t xml:space="preserve"> </w:t>
      </w:r>
      <w:r>
        <w:rPr>
          <w:lang w:eastAsia="en-NZ"/>
        </w:rPr>
        <w:t>for</w:t>
      </w:r>
      <w:r w:rsidR="003D640C">
        <w:rPr>
          <w:lang w:eastAsia="en-NZ"/>
        </w:rPr>
        <w:t xml:space="preserve"> </w:t>
      </w:r>
      <w:r>
        <w:rPr>
          <w:lang w:eastAsia="en-NZ"/>
        </w:rPr>
        <w:t>Rainbow</w:t>
      </w:r>
      <w:r w:rsidR="003D640C">
        <w:rPr>
          <w:lang w:eastAsia="en-NZ"/>
        </w:rPr>
        <w:t xml:space="preserve"> </w:t>
      </w:r>
      <w:r>
        <w:rPr>
          <w:lang w:eastAsia="en-NZ"/>
        </w:rPr>
        <w:t>people’s</w:t>
      </w:r>
      <w:r w:rsidR="003D640C">
        <w:rPr>
          <w:lang w:eastAsia="en-NZ"/>
        </w:rPr>
        <w:t xml:space="preserve"> </w:t>
      </w:r>
      <w:r>
        <w:rPr>
          <w:lang w:eastAsia="en-NZ"/>
        </w:rPr>
        <w:t>physical,</w:t>
      </w:r>
      <w:r w:rsidR="003D640C">
        <w:rPr>
          <w:lang w:eastAsia="en-NZ"/>
        </w:rPr>
        <w:t xml:space="preserve"> </w:t>
      </w:r>
      <w:r>
        <w:rPr>
          <w:lang w:eastAsia="en-NZ"/>
        </w:rPr>
        <w:t>mental</w:t>
      </w:r>
      <w:r w:rsidR="003A6B24">
        <w:rPr>
          <w:lang w:eastAsia="en-NZ"/>
        </w:rPr>
        <w:t>,</w:t>
      </w:r>
      <w:r w:rsidR="003D640C">
        <w:rPr>
          <w:lang w:eastAsia="en-NZ"/>
        </w:rPr>
        <w:t xml:space="preserve"> </w:t>
      </w:r>
      <w:r>
        <w:rPr>
          <w:lang w:eastAsia="en-NZ"/>
        </w:rPr>
        <w:t>and</w:t>
      </w:r>
      <w:r w:rsidR="003D640C">
        <w:rPr>
          <w:lang w:eastAsia="en-NZ"/>
        </w:rPr>
        <w:t xml:space="preserve"> </w:t>
      </w:r>
      <w:r>
        <w:rPr>
          <w:lang w:eastAsia="en-NZ"/>
        </w:rPr>
        <w:t>emotional</w:t>
      </w:r>
      <w:r w:rsidR="003D640C">
        <w:rPr>
          <w:lang w:eastAsia="en-NZ"/>
        </w:rPr>
        <w:t xml:space="preserve"> </w:t>
      </w:r>
      <w:r>
        <w:rPr>
          <w:lang w:eastAsia="en-NZ"/>
        </w:rPr>
        <w:t>wellbeing.</w:t>
      </w:r>
      <w:r w:rsidR="003D640C">
        <w:rPr>
          <w:lang w:eastAsia="en-NZ"/>
        </w:rPr>
        <w:t xml:space="preserve"> </w:t>
      </w:r>
      <w:r w:rsidR="00D93BCD">
        <w:rPr>
          <w:lang w:eastAsia="en-NZ"/>
        </w:rPr>
        <w:t>Ensuring</w:t>
      </w:r>
      <w:r w:rsidR="003D640C">
        <w:rPr>
          <w:lang w:eastAsia="en-NZ"/>
        </w:rPr>
        <w:t xml:space="preserve"> </w:t>
      </w:r>
      <w:r w:rsidR="00D93BCD">
        <w:rPr>
          <w:lang w:eastAsia="en-NZ"/>
        </w:rPr>
        <w:t>the</w:t>
      </w:r>
      <w:r w:rsidR="003D640C">
        <w:rPr>
          <w:lang w:eastAsia="en-NZ"/>
        </w:rPr>
        <w:t xml:space="preserve"> </w:t>
      </w:r>
      <w:r w:rsidR="00D93BCD">
        <w:rPr>
          <w:lang w:eastAsia="en-NZ"/>
        </w:rPr>
        <w:t>right</w:t>
      </w:r>
      <w:r w:rsidR="003D640C">
        <w:rPr>
          <w:lang w:eastAsia="en-NZ"/>
        </w:rPr>
        <w:t xml:space="preserve"> </w:t>
      </w:r>
      <w:r w:rsidR="00D93BCD">
        <w:rPr>
          <w:lang w:eastAsia="en-NZ"/>
        </w:rPr>
        <w:t>to</w:t>
      </w:r>
      <w:r w:rsidR="003D640C">
        <w:rPr>
          <w:lang w:eastAsia="en-NZ"/>
        </w:rPr>
        <w:t xml:space="preserve"> </w:t>
      </w:r>
      <w:r w:rsidR="00D93BCD">
        <w:rPr>
          <w:lang w:eastAsia="en-NZ"/>
        </w:rPr>
        <w:t>health</w:t>
      </w:r>
      <w:r w:rsidR="003D640C">
        <w:rPr>
          <w:lang w:eastAsia="en-NZ"/>
        </w:rPr>
        <w:t xml:space="preserve"> </w:t>
      </w:r>
      <w:r w:rsidR="00D93BCD">
        <w:rPr>
          <w:lang w:eastAsia="en-NZ"/>
        </w:rPr>
        <w:t>requires</w:t>
      </w:r>
      <w:r w:rsidR="003D640C">
        <w:rPr>
          <w:lang w:eastAsia="en-NZ"/>
        </w:rPr>
        <w:t xml:space="preserve"> </w:t>
      </w:r>
      <w:r w:rsidR="00D93BCD">
        <w:rPr>
          <w:lang w:eastAsia="en-NZ"/>
        </w:rPr>
        <w:t>healthcare</w:t>
      </w:r>
      <w:r w:rsidR="003D640C">
        <w:rPr>
          <w:lang w:eastAsia="en-NZ"/>
        </w:rPr>
        <w:t xml:space="preserve"> </w:t>
      </w:r>
      <w:r w:rsidR="00D93BCD">
        <w:rPr>
          <w:lang w:eastAsia="en-NZ"/>
        </w:rPr>
        <w:t>services</w:t>
      </w:r>
      <w:r w:rsidR="003D640C">
        <w:rPr>
          <w:lang w:eastAsia="en-NZ"/>
        </w:rPr>
        <w:t xml:space="preserve"> </w:t>
      </w:r>
      <w:r w:rsidR="00D93BCD">
        <w:rPr>
          <w:lang w:eastAsia="en-NZ"/>
        </w:rPr>
        <w:t>to</w:t>
      </w:r>
      <w:r w:rsidR="003D640C">
        <w:rPr>
          <w:lang w:eastAsia="en-NZ"/>
        </w:rPr>
        <w:t xml:space="preserve"> </w:t>
      </w:r>
      <w:r w:rsidR="00D93BCD">
        <w:rPr>
          <w:lang w:eastAsia="en-NZ"/>
        </w:rPr>
        <w:t>meet</w:t>
      </w:r>
      <w:r w:rsidR="003D640C">
        <w:rPr>
          <w:lang w:eastAsia="en-NZ"/>
        </w:rPr>
        <w:t xml:space="preserve"> </w:t>
      </w:r>
      <w:r w:rsidR="00D93BCD">
        <w:rPr>
          <w:lang w:eastAsia="en-NZ"/>
        </w:rPr>
        <w:t>four</w:t>
      </w:r>
      <w:r w:rsidR="003D640C">
        <w:rPr>
          <w:lang w:eastAsia="en-NZ"/>
        </w:rPr>
        <w:t xml:space="preserve"> </w:t>
      </w:r>
      <w:r w:rsidR="00D93BCD">
        <w:rPr>
          <w:lang w:eastAsia="en-NZ"/>
        </w:rPr>
        <w:t>essential</w:t>
      </w:r>
      <w:r w:rsidR="003D640C">
        <w:rPr>
          <w:lang w:eastAsia="en-NZ"/>
        </w:rPr>
        <w:t xml:space="preserve"> </w:t>
      </w:r>
      <w:r w:rsidR="00D93BCD">
        <w:rPr>
          <w:lang w:eastAsia="en-NZ"/>
        </w:rPr>
        <w:t>standards:</w:t>
      </w:r>
      <w:r w:rsidR="003D640C">
        <w:rPr>
          <w:lang w:eastAsia="en-NZ"/>
        </w:rPr>
        <w:t xml:space="preserve"> </w:t>
      </w:r>
      <w:r w:rsidR="0056166A">
        <w:rPr>
          <w:lang w:eastAsia="en-NZ"/>
        </w:rPr>
        <w:t>a</w:t>
      </w:r>
      <w:r w:rsidR="00D93BCD">
        <w:rPr>
          <w:lang w:eastAsia="en-NZ"/>
        </w:rPr>
        <w:t>vailability,</w:t>
      </w:r>
      <w:r w:rsidR="003D640C">
        <w:rPr>
          <w:lang w:eastAsia="en-NZ"/>
        </w:rPr>
        <w:t xml:space="preserve"> </w:t>
      </w:r>
      <w:r w:rsidR="0056166A">
        <w:rPr>
          <w:lang w:eastAsia="en-NZ"/>
        </w:rPr>
        <w:t>a</w:t>
      </w:r>
      <w:r w:rsidR="00D93BCD">
        <w:rPr>
          <w:lang w:eastAsia="en-NZ"/>
        </w:rPr>
        <w:t>ccessibility,</w:t>
      </w:r>
      <w:r w:rsidR="003D640C">
        <w:rPr>
          <w:lang w:eastAsia="en-NZ"/>
        </w:rPr>
        <w:t xml:space="preserve"> </w:t>
      </w:r>
      <w:r w:rsidR="0056166A">
        <w:rPr>
          <w:lang w:eastAsia="en-NZ"/>
        </w:rPr>
        <w:t>a</w:t>
      </w:r>
      <w:r w:rsidR="00D93BCD">
        <w:rPr>
          <w:lang w:eastAsia="en-NZ"/>
        </w:rPr>
        <w:t>cceptability</w:t>
      </w:r>
      <w:r w:rsidR="0056166A">
        <w:rPr>
          <w:lang w:eastAsia="en-NZ"/>
        </w:rPr>
        <w:t>,</w:t>
      </w:r>
      <w:r w:rsidR="003D640C">
        <w:rPr>
          <w:lang w:eastAsia="en-NZ"/>
        </w:rPr>
        <w:t xml:space="preserve"> </w:t>
      </w:r>
      <w:r w:rsidR="00D93BCD">
        <w:rPr>
          <w:lang w:eastAsia="en-NZ"/>
        </w:rPr>
        <w:t>and</w:t>
      </w:r>
      <w:r w:rsidR="003D640C">
        <w:rPr>
          <w:lang w:eastAsia="en-NZ"/>
        </w:rPr>
        <w:t xml:space="preserve"> </w:t>
      </w:r>
      <w:r w:rsidR="00905F4D">
        <w:rPr>
          <w:lang w:eastAsia="en-NZ"/>
        </w:rPr>
        <w:t>q</w:t>
      </w:r>
      <w:r w:rsidR="00D93BCD">
        <w:rPr>
          <w:lang w:eastAsia="en-NZ"/>
        </w:rPr>
        <w:t>uality</w:t>
      </w:r>
      <w:r w:rsidR="003D640C">
        <w:rPr>
          <w:lang w:eastAsia="en-NZ"/>
        </w:rPr>
        <w:t xml:space="preserve"> </w:t>
      </w:r>
      <w:r w:rsidR="00C4585F">
        <w:rPr>
          <w:lang w:eastAsia="en-NZ"/>
        </w:rPr>
        <w:t>–</w:t>
      </w:r>
      <w:r w:rsidR="003D640C">
        <w:rPr>
          <w:lang w:eastAsia="en-NZ"/>
        </w:rPr>
        <w:t xml:space="preserve"> </w:t>
      </w:r>
      <w:r w:rsidR="00D93BCD">
        <w:rPr>
          <w:lang w:eastAsia="en-NZ"/>
        </w:rPr>
        <w:t>referred</w:t>
      </w:r>
      <w:r w:rsidR="003D640C">
        <w:rPr>
          <w:lang w:eastAsia="en-NZ"/>
        </w:rPr>
        <w:t xml:space="preserve"> </w:t>
      </w:r>
      <w:r w:rsidR="00D93BCD">
        <w:rPr>
          <w:lang w:eastAsia="en-NZ"/>
        </w:rPr>
        <w:t>to</w:t>
      </w:r>
      <w:r w:rsidR="003D640C">
        <w:rPr>
          <w:lang w:eastAsia="en-NZ"/>
        </w:rPr>
        <w:t xml:space="preserve"> </w:t>
      </w:r>
      <w:r w:rsidR="00D93BCD">
        <w:rPr>
          <w:lang w:eastAsia="en-NZ"/>
        </w:rPr>
        <w:t>as</w:t>
      </w:r>
      <w:r w:rsidR="003D640C">
        <w:rPr>
          <w:lang w:eastAsia="en-NZ"/>
        </w:rPr>
        <w:t xml:space="preserve"> </w:t>
      </w:r>
      <w:r w:rsidR="00D93BCD">
        <w:rPr>
          <w:lang w:eastAsia="en-NZ"/>
        </w:rPr>
        <w:t>the</w:t>
      </w:r>
      <w:r w:rsidR="003D640C">
        <w:rPr>
          <w:lang w:eastAsia="en-NZ"/>
        </w:rPr>
        <w:t xml:space="preserve"> </w:t>
      </w:r>
      <w:r w:rsidR="00D93BCD">
        <w:rPr>
          <w:lang w:eastAsia="en-NZ"/>
        </w:rPr>
        <w:t>AAAQ</w:t>
      </w:r>
      <w:r w:rsidR="003D640C">
        <w:rPr>
          <w:lang w:eastAsia="en-NZ"/>
        </w:rPr>
        <w:t xml:space="preserve"> </w:t>
      </w:r>
      <w:r w:rsidR="00D93BCD">
        <w:rPr>
          <w:lang w:eastAsia="en-NZ"/>
        </w:rPr>
        <w:t>Framework.</w:t>
      </w:r>
      <w:r w:rsidR="003D640C">
        <w:rPr>
          <w:lang w:eastAsia="en-NZ"/>
        </w:rPr>
        <w:t xml:space="preserve"> </w:t>
      </w:r>
      <w:r w:rsidR="00134ED4">
        <w:rPr>
          <w:lang w:eastAsia="en-NZ"/>
        </w:rPr>
        <w:t>These</w:t>
      </w:r>
      <w:r w:rsidR="003D640C">
        <w:rPr>
          <w:lang w:eastAsia="en-NZ"/>
        </w:rPr>
        <w:t xml:space="preserve"> </w:t>
      </w:r>
      <w:r w:rsidR="0035535F">
        <w:rPr>
          <w:lang w:eastAsia="en-NZ"/>
        </w:rPr>
        <w:t>standards</w:t>
      </w:r>
      <w:r w:rsidR="003D640C">
        <w:rPr>
          <w:lang w:eastAsia="en-NZ"/>
        </w:rPr>
        <w:t xml:space="preserve"> </w:t>
      </w:r>
      <w:r w:rsidR="00134ED4">
        <w:rPr>
          <w:lang w:eastAsia="en-NZ"/>
        </w:rPr>
        <w:t>must</w:t>
      </w:r>
      <w:r w:rsidR="003D640C">
        <w:rPr>
          <w:lang w:eastAsia="en-NZ"/>
        </w:rPr>
        <w:t xml:space="preserve"> </w:t>
      </w:r>
      <w:r w:rsidR="00134ED4">
        <w:rPr>
          <w:lang w:eastAsia="en-NZ"/>
        </w:rPr>
        <w:t>be</w:t>
      </w:r>
      <w:r w:rsidR="003D640C">
        <w:rPr>
          <w:lang w:eastAsia="en-NZ"/>
        </w:rPr>
        <w:t xml:space="preserve"> </w:t>
      </w:r>
      <w:r w:rsidR="00134ED4">
        <w:rPr>
          <w:lang w:eastAsia="en-NZ"/>
        </w:rPr>
        <w:t>met</w:t>
      </w:r>
      <w:r w:rsidR="003D640C">
        <w:rPr>
          <w:lang w:eastAsia="en-NZ"/>
        </w:rPr>
        <w:t xml:space="preserve"> </w:t>
      </w:r>
      <w:r w:rsidR="00282D2F">
        <w:rPr>
          <w:lang w:eastAsia="en-NZ"/>
        </w:rPr>
        <w:t>without</w:t>
      </w:r>
      <w:r w:rsidR="003D640C">
        <w:rPr>
          <w:lang w:eastAsia="en-NZ"/>
        </w:rPr>
        <w:t xml:space="preserve"> </w:t>
      </w:r>
      <w:r w:rsidR="00282D2F">
        <w:rPr>
          <w:lang w:eastAsia="en-NZ"/>
        </w:rPr>
        <w:t>discrimination</w:t>
      </w:r>
      <w:r w:rsidR="003D640C">
        <w:rPr>
          <w:lang w:eastAsia="en-NZ"/>
        </w:rPr>
        <w:t xml:space="preserve"> </w:t>
      </w:r>
      <w:r w:rsidR="000868B6">
        <w:rPr>
          <w:lang w:eastAsia="en-NZ"/>
        </w:rPr>
        <w:t>and</w:t>
      </w:r>
      <w:r w:rsidR="003D640C">
        <w:rPr>
          <w:lang w:eastAsia="en-NZ"/>
        </w:rPr>
        <w:t xml:space="preserve"> </w:t>
      </w:r>
      <w:r w:rsidR="000868B6">
        <w:rPr>
          <w:lang w:eastAsia="en-NZ"/>
        </w:rPr>
        <w:t>the</w:t>
      </w:r>
      <w:r w:rsidR="003D640C">
        <w:rPr>
          <w:lang w:eastAsia="en-NZ"/>
        </w:rPr>
        <w:t xml:space="preserve"> </w:t>
      </w:r>
      <w:r w:rsidR="000868B6">
        <w:rPr>
          <w:lang w:eastAsia="en-NZ"/>
        </w:rPr>
        <w:t>needs</w:t>
      </w:r>
      <w:r w:rsidR="003D640C">
        <w:rPr>
          <w:lang w:eastAsia="en-NZ"/>
        </w:rPr>
        <w:t xml:space="preserve"> </w:t>
      </w:r>
      <w:r w:rsidR="00C867E3">
        <w:rPr>
          <w:lang w:eastAsia="en-NZ"/>
        </w:rPr>
        <w:t>of</w:t>
      </w:r>
      <w:r w:rsidR="003D640C">
        <w:rPr>
          <w:lang w:eastAsia="en-NZ"/>
        </w:rPr>
        <w:t xml:space="preserve"> </w:t>
      </w:r>
      <w:r w:rsidR="00C867E3">
        <w:rPr>
          <w:lang w:eastAsia="en-NZ"/>
        </w:rPr>
        <w:t>the</w:t>
      </w:r>
      <w:r w:rsidR="003D640C">
        <w:rPr>
          <w:lang w:eastAsia="en-NZ"/>
        </w:rPr>
        <w:t xml:space="preserve"> </w:t>
      </w:r>
      <w:r w:rsidR="00C867E3">
        <w:rPr>
          <w:lang w:eastAsia="en-NZ"/>
        </w:rPr>
        <w:t>most</w:t>
      </w:r>
      <w:r w:rsidR="003D640C">
        <w:rPr>
          <w:lang w:eastAsia="en-NZ"/>
        </w:rPr>
        <w:t xml:space="preserve"> </w:t>
      </w:r>
      <w:r w:rsidR="00C867E3">
        <w:rPr>
          <w:lang w:eastAsia="en-NZ"/>
        </w:rPr>
        <w:t>marginalised</w:t>
      </w:r>
      <w:r w:rsidR="003D640C">
        <w:rPr>
          <w:lang w:eastAsia="en-NZ"/>
        </w:rPr>
        <w:t xml:space="preserve"> </w:t>
      </w:r>
      <w:r w:rsidR="00C867E3">
        <w:rPr>
          <w:lang w:eastAsia="en-NZ"/>
        </w:rPr>
        <w:t>populations</w:t>
      </w:r>
      <w:r w:rsidR="003D640C">
        <w:rPr>
          <w:lang w:eastAsia="en-NZ"/>
        </w:rPr>
        <w:t xml:space="preserve"> </w:t>
      </w:r>
      <w:r w:rsidR="00C867E3">
        <w:rPr>
          <w:lang w:eastAsia="en-NZ"/>
        </w:rPr>
        <w:t>prioritised</w:t>
      </w:r>
      <w:r w:rsidR="000A0DC2">
        <w:rPr>
          <w:lang w:eastAsia="en-NZ"/>
        </w:rPr>
        <w:t>.</w:t>
      </w:r>
      <w:r w:rsidR="003D640C">
        <w:rPr>
          <w:lang w:eastAsia="en-NZ"/>
        </w:rPr>
        <w:t xml:space="preserve"> </w:t>
      </w:r>
      <w:r w:rsidR="002A4D53">
        <w:rPr>
          <w:lang w:eastAsia="en-NZ"/>
        </w:rPr>
        <w:t>Treatment</w:t>
      </w:r>
      <w:r w:rsidR="003D640C">
        <w:rPr>
          <w:lang w:eastAsia="en-NZ"/>
        </w:rPr>
        <w:t xml:space="preserve"> </w:t>
      </w:r>
      <w:r w:rsidR="002A4D53">
        <w:rPr>
          <w:lang w:eastAsia="en-NZ"/>
        </w:rPr>
        <w:t>and</w:t>
      </w:r>
      <w:r w:rsidR="003D640C">
        <w:rPr>
          <w:lang w:eastAsia="en-NZ"/>
        </w:rPr>
        <w:t xml:space="preserve"> </w:t>
      </w:r>
      <w:r w:rsidR="002A4D53">
        <w:rPr>
          <w:lang w:eastAsia="en-NZ"/>
        </w:rPr>
        <w:t>knowledge</w:t>
      </w:r>
      <w:r w:rsidR="003D640C">
        <w:rPr>
          <w:lang w:eastAsia="en-NZ"/>
        </w:rPr>
        <w:t xml:space="preserve"> </w:t>
      </w:r>
      <w:r w:rsidR="002A4D53">
        <w:rPr>
          <w:lang w:eastAsia="en-NZ"/>
        </w:rPr>
        <w:t>cannot</w:t>
      </w:r>
      <w:r w:rsidR="003D640C">
        <w:rPr>
          <w:lang w:eastAsia="en-NZ"/>
        </w:rPr>
        <w:t xml:space="preserve"> </w:t>
      </w:r>
      <w:r w:rsidR="002A4D53">
        <w:rPr>
          <w:lang w:eastAsia="en-NZ"/>
        </w:rPr>
        <w:t>be</w:t>
      </w:r>
      <w:r w:rsidR="003D640C">
        <w:rPr>
          <w:lang w:eastAsia="en-NZ"/>
        </w:rPr>
        <w:t xml:space="preserve"> </w:t>
      </w:r>
      <w:r w:rsidR="002A4D53">
        <w:rPr>
          <w:lang w:eastAsia="en-NZ"/>
        </w:rPr>
        <w:t>withheld</w:t>
      </w:r>
      <w:r w:rsidR="003D640C">
        <w:rPr>
          <w:lang w:eastAsia="en-NZ"/>
        </w:rPr>
        <w:t xml:space="preserve"> </w:t>
      </w:r>
      <w:r w:rsidR="002A4D53">
        <w:rPr>
          <w:lang w:eastAsia="en-NZ"/>
        </w:rPr>
        <w:t>with</w:t>
      </w:r>
      <w:r w:rsidR="003D640C">
        <w:rPr>
          <w:lang w:eastAsia="en-NZ"/>
        </w:rPr>
        <w:t xml:space="preserve"> </w:t>
      </w:r>
      <w:r w:rsidR="002A4D53">
        <w:rPr>
          <w:lang w:eastAsia="en-NZ"/>
        </w:rPr>
        <w:t>the</w:t>
      </w:r>
      <w:r w:rsidR="003D640C">
        <w:rPr>
          <w:lang w:eastAsia="en-NZ"/>
        </w:rPr>
        <w:t xml:space="preserve"> </w:t>
      </w:r>
      <w:r w:rsidR="002A4D53">
        <w:rPr>
          <w:lang w:eastAsia="en-NZ"/>
        </w:rPr>
        <w:t>intention</w:t>
      </w:r>
      <w:r w:rsidR="003D640C">
        <w:rPr>
          <w:lang w:eastAsia="en-NZ"/>
        </w:rPr>
        <w:t xml:space="preserve"> </w:t>
      </w:r>
      <w:r w:rsidR="002A4D53">
        <w:rPr>
          <w:lang w:eastAsia="en-NZ"/>
        </w:rPr>
        <w:t>of</w:t>
      </w:r>
      <w:r w:rsidR="003D640C">
        <w:rPr>
          <w:lang w:eastAsia="en-NZ"/>
        </w:rPr>
        <w:t xml:space="preserve"> </w:t>
      </w:r>
      <w:r w:rsidR="00987CBB">
        <w:rPr>
          <w:lang w:eastAsia="en-NZ"/>
        </w:rPr>
        <w:t>changing</w:t>
      </w:r>
      <w:r w:rsidR="003D640C">
        <w:rPr>
          <w:lang w:eastAsia="en-NZ"/>
        </w:rPr>
        <w:t xml:space="preserve"> </w:t>
      </w:r>
      <w:r w:rsidR="00987CBB">
        <w:rPr>
          <w:lang w:eastAsia="en-NZ"/>
        </w:rPr>
        <w:t>or</w:t>
      </w:r>
      <w:r w:rsidR="003D640C">
        <w:rPr>
          <w:lang w:eastAsia="en-NZ"/>
        </w:rPr>
        <w:t xml:space="preserve"> </w:t>
      </w:r>
      <w:r w:rsidR="00987CBB">
        <w:rPr>
          <w:lang w:eastAsia="en-NZ"/>
        </w:rPr>
        <w:t>suppressing</w:t>
      </w:r>
      <w:r w:rsidR="003D640C">
        <w:rPr>
          <w:lang w:eastAsia="en-NZ"/>
        </w:rPr>
        <w:t xml:space="preserve"> </w:t>
      </w:r>
      <w:r w:rsidR="00987CBB">
        <w:rPr>
          <w:lang w:eastAsia="en-NZ"/>
        </w:rPr>
        <w:t>someone’s</w:t>
      </w:r>
      <w:r w:rsidR="003D640C">
        <w:rPr>
          <w:lang w:eastAsia="en-NZ"/>
        </w:rPr>
        <w:t xml:space="preserve"> </w:t>
      </w:r>
      <w:r w:rsidR="00987CBB">
        <w:rPr>
          <w:lang w:eastAsia="en-NZ"/>
        </w:rPr>
        <w:t>sexual</w:t>
      </w:r>
      <w:r w:rsidR="003D640C">
        <w:rPr>
          <w:lang w:eastAsia="en-NZ"/>
        </w:rPr>
        <w:t xml:space="preserve"> </w:t>
      </w:r>
      <w:r w:rsidR="00987CBB">
        <w:rPr>
          <w:lang w:eastAsia="en-NZ"/>
        </w:rPr>
        <w:t>orientation,</w:t>
      </w:r>
      <w:r w:rsidR="003D640C">
        <w:rPr>
          <w:lang w:eastAsia="en-NZ"/>
        </w:rPr>
        <w:t xml:space="preserve"> </w:t>
      </w:r>
      <w:r w:rsidR="00987CBB">
        <w:rPr>
          <w:lang w:eastAsia="en-NZ"/>
        </w:rPr>
        <w:t>gender</w:t>
      </w:r>
      <w:r w:rsidR="003D640C">
        <w:rPr>
          <w:lang w:eastAsia="en-NZ"/>
        </w:rPr>
        <w:t xml:space="preserve"> </w:t>
      </w:r>
      <w:r w:rsidR="00987CBB">
        <w:rPr>
          <w:lang w:eastAsia="en-NZ"/>
        </w:rPr>
        <w:lastRenderedPageBreak/>
        <w:t>identity</w:t>
      </w:r>
      <w:r w:rsidR="00772CF7">
        <w:rPr>
          <w:lang w:eastAsia="en-NZ"/>
        </w:rPr>
        <w:t>,</w:t>
      </w:r>
      <w:r w:rsidR="003D640C">
        <w:rPr>
          <w:lang w:eastAsia="en-NZ"/>
        </w:rPr>
        <w:t xml:space="preserve"> </w:t>
      </w:r>
      <w:r w:rsidR="00987CBB">
        <w:rPr>
          <w:lang w:eastAsia="en-NZ"/>
        </w:rPr>
        <w:t>or</w:t>
      </w:r>
      <w:r w:rsidR="003D640C">
        <w:rPr>
          <w:lang w:eastAsia="en-NZ"/>
        </w:rPr>
        <w:t xml:space="preserve"> </w:t>
      </w:r>
      <w:r w:rsidR="00987CBB">
        <w:rPr>
          <w:lang w:eastAsia="en-NZ"/>
        </w:rPr>
        <w:t>gender</w:t>
      </w:r>
      <w:r w:rsidR="003D640C">
        <w:rPr>
          <w:lang w:eastAsia="en-NZ"/>
        </w:rPr>
        <w:t xml:space="preserve"> </w:t>
      </w:r>
      <w:r w:rsidR="00987CBB">
        <w:rPr>
          <w:lang w:eastAsia="en-NZ"/>
        </w:rPr>
        <w:t>expression,</w:t>
      </w:r>
      <w:r w:rsidR="003D640C">
        <w:rPr>
          <w:lang w:eastAsia="en-NZ"/>
        </w:rPr>
        <w:t xml:space="preserve"> </w:t>
      </w:r>
      <w:r w:rsidR="00987CBB">
        <w:rPr>
          <w:lang w:eastAsia="en-NZ"/>
        </w:rPr>
        <w:t>regardless</w:t>
      </w:r>
      <w:r w:rsidR="003D640C">
        <w:rPr>
          <w:lang w:eastAsia="en-NZ"/>
        </w:rPr>
        <w:t xml:space="preserve"> </w:t>
      </w:r>
      <w:r w:rsidR="00987CBB">
        <w:rPr>
          <w:lang w:eastAsia="en-NZ"/>
        </w:rPr>
        <w:t>of</w:t>
      </w:r>
      <w:r w:rsidR="003D640C">
        <w:rPr>
          <w:lang w:eastAsia="en-NZ"/>
        </w:rPr>
        <w:t xml:space="preserve"> </w:t>
      </w:r>
      <w:r w:rsidR="00987CBB">
        <w:rPr>
          <w:lang w:eastAsia="en-NZ"/>
        </w:rPr>
        <w:t>the</w:t>
      </w:r>
      <w:r w:rsidR="003D640C">
        <w:rPr>
          <w:lang w:eastAsia="en-NZ"/>
        </w:rPr>
        <w:t xml:space="preserve"> </w:t>
      </w:r>
      <w:r w:rsidR="00987CBB">
        <w:rPr>
          <w:lang w:eastAsia="en-NZ"/>
        </w:rPr>
        <w:t>age</w:t>
      </w:r>
      <w:r w:rsidR="003D640C">
        <w:rPr>
          <w:lang w:eastAsia="en-NZ"/>
        </w:rPr>
        <w:t xml:space="preserve"> </w:t>
      </w:r>
      <w:r w:rsidR="00987CBB">
        <w:rPr>
          <w:lang w:eastAsia="en-NZ"/>
        </w:rPr>
        <w:t>of</w:t>
      </w:r>
      <w:r w:rsidR="003D640C">
        <w:rPr>
          <w:lang w:eastAsia="en-NZ"/>
        </w:rPr>
        <w:t xml:space="preserve"> </w:t>
      </w:r>
      <w:r w:rsidR="00987CBB">
        <w:rPr>
          <w:lang w:eastAsia="en-NZ"/>
        </w:rPr>
        <w:t>the</w:t>
      </w:r>
      <w:r w:rsidR="003D640C">
        <w:rPr>
          <w:lang w:eastAsia="en-NZ"/>
        </w:rPr>
        <w:t xml:space="preserve"> </w:t>
      </w:r>
      <w:r w:rsidR="00987CBB">
        <w:rPr>
          <w:lang w:eastAsia="en-NZ"/>
        </w:rPr>
        <w:t>individual.</w:t>
      </w:r>
      <w:r w:rsidR="003D640C">
        <w:rPr>
          <w:lang w:eastAsia="en-NZ"/>
        </w:rPr>
        <w:t xml:space="preserve"> </w:t>
      </w:r>
      <w:r w:rsidR="00987CBB" w:rsidRPr="00987CBB">
        <w:rPr>
          <w:lang w:eastAsia="en-NZ"/>
        </w:rPr>
        <w:t>In</w:t>
      </w:r>
      <w:r w:rsidR="003D640C">
        <w:rPr>
          <w:lang w:eastAsia="en-NZ"/>
        </w:rPr>
        <w:t xml:space="preserve"> </w:t>
      </w:r>
      <w:r w:rsidR="00987CBB" w:rsidRPr="00987CBB">
        <w:rPr>
          <w:lang w:eastAsia="en-NZ"/>
        </w:rPr>
        <w:t>relation</w:t>
      </w:r>
      <w:r w:rsidR="003D640C">
        <w:rPr>
          <w:lang w:eastAsia="en-NZ"/>
        </w:rPr>
        <w:t xml:space="preserve"> </w:t>
      </w:r>
      <w:r w:rsidR="00987CBB" w:rsidRPr="00987CBB">
        <w:rPr>
          <w:lang w:eastAsia="en-NZ"/>
        </w:rPr>
        <w:t>to</w:t>
      </w:r>
      <w:r w:rsidR="003D640C">
        <w:rPr>
          <w:lang w:eastAsia="en-NZ"/>
        </w:rPr>
        <w:t xml:space="preserve"> </w:t>
      </w:r>
      <w:r w:rsidR="00987CBB" w:rsidRPr="00987CBB">
        <w:rPr>
          <w:lang w:eastAsia="en-NZ"/>
        </w:rPr>
        <w:t>trans</w:t>
      </w:r>
      <w:r w:rsidR="003D640C">
        <w:rPr>
          <w:lang w:eastAsia="en-NZ"/>
        </w:rPr>
        <w:t xml:space="preserve"> </w:t>
      </w:r>
      <w:r w:rsidR="00987CBB" w:rsidRPr="00987CBB">
        <w:rPr>
          <w:lang w:eastAsia="en-NZ"/>
        </w:rPr>
        <w:t>people,</w:t>
      </w:r>
      <w:r w:rsidR="003D640C">
        <w:rPr>
          <w:lang w:eastAsia="en-NZ"/>
        </w:rPr>
        <w:t xml:space="preserve"> </w:t>
      </w:r>
      <w:r w:rsidR="00987CBB" w:rsidRPr="00987CBB">
        <w:rPr>
          <w:lang w:eastAsia="en-NZ"/>
        </w:rPr>
        <w:t>all</w:t>
      </w:r>
      <w:r w:rsidR="003D640C">
        <w:rPr>
          <w:lang w:eastAsia="en-NZ"/>
        </w:rPr>
        <w:t xml:space="preserve"> </w:t>
      </w:r>
      <w:r w:rsidR="00987CBB" w:rsidRPr="00987CBB">
        <w:rPr>
          <w:lang w:eastAsia="en-NZ"/>
        </w:rPr>
        <w:t>healthcare</w:t>
      </w:r>
      <w:r w:rsidR="003D640C">
        <w:rPr>
          <w:lang w:eastAsia="en-NZ"/>
        </w:rPr>
        <w:t xml:space="preserve"> </w:t>
      </w:r>
      <w:r w:rsidR="00987CBB" w:rsidRPr="00B2336B">
        <w:t>professionals</w:t>
      </w:r>
      <w:r w:rsidR="003D640C" w:rsidRPr="00B2336B">
        <w:t xml:space="preserve"> </w:t>
      </w:r>
      <w:r w:rsidR="00987CBB" w:rsidRPr="00B2336B">
        <w:t>have</w:t>
      </w:r>
      <w:r w:rsidR="003D640C" w:rsidRPr="00B2336B">
        <w:t xml:space="preserve"> </w:t>
      </w:r>
      <w:r w:rsidR="00987CBB" w:rsidRPr="00B2336B">
        <w:t>a</w:t>
      </w:r>
      <w:r w:rsidR="003D640C" w:rsidRPr="00B2336B">
        <w:t xml:space="preserve"> </w:t>
      </w:r>
      <w:r w:rsidR="00987CBB" w:rsidRPr="00B2336B">
        <w:t>duty</w:t>
      </w:r>
      <w:r w:rsidR="003D640C" w:rsidRPr="00B2336B">
        <w:t xml:space="preserve"> </w:t>
      </w:r>
      <w:r w:rsidR="00987CBB" w:rsidRPr="00B2336B">
        <w:t>to</w:t>
      </w:r>
      <w:r w:rsidR="003D640C" w:rsidRPr="00B2336B">
        <w:t xml:space="preserve"> </w:t>
      </w:r>
      <w:r w:rsidR="00987CBB" w:rsidRPr="00B2336B">
        <w:t>provide</w:t>
      </w:r>
      <w:r w:rsidR="003D640C" w:rsidRPr="00B2336B">
        <w:t xml:space="preserve"> </w:t>
      </w:r>
      <w:r w:rsidR="00987CBB" w:rsidRPr="00B2336B">
        <w:t>gender</w:t>
      </w:r>
      <w:r w:rsidR="00827CA2">
        <w:t>-</w:t>
      </w:r>
      <w:r w:rsidR="00987CBB" w:rsidRPr="00B2336B">
        <w:t>affirming</w:t>
      </w:r>
      <w:r w:rsidR="003D640C" w:rsidRPr="00B2336B">
        <w:t xml:space="preserve"> </w:t>
      </w:r>
      <w:r w:rsidR="00987CBB" w:rsidRPr="00B2336B">
        <w:t>care</w:t>
      </w:r>
      <w:r w:rsidR="003D640C" w:rsidRPr="00B2336B">
        <w:t xml:space="preserve"> </w:t>
      </w:r>
      <w:r w:rsidR="00987CBB" w:rsidRPr="00B2336B">
        <w:t>within</w:t>
      </w:r>
      <w:r w:rsidR="003D640C">
        <w:rPr>
          <w:lang w:eastAsia="en-NZ"/>
        </w:rPr>
        <w:t xml:space="preserve"> </w:t>
      </w:r>
      <w:r w:rsidR="00987CBB" w:rsidRPr="00987CBB">
        <w:rPr>
          <w:lang w:eastAsia="en-NZ"/>
        </w:rPr>
        <w:t>their</w:t>
      </w:r>
      <w:r w:rsidR="003D640C">
        <w:rPr>
          <w:lang w:eastAsia="en-NZ"/>
        </w:rPr>
        <w:t xml:space="preserve"> </w:t>
      </w:r>
      <w:r w:rsidR="00987CBB" w:rsidRPr="00987CBB">
        <w:rPr>
          <w:lang w:eastAsia="en-NZ"/>
        </w:rPr>
        <w:t>scope</w:t>
      </w:r>
      <w:r w:rsidR="003D640C">
        <w:rPr>
          <w:lang w:eastAsia="en-NZ"/>
        </w:rPr>
        <w:t xml:space="preserve"> </w:t>
      </w:r>
      <w:r w:rsidR="00987CBB" w:rsidRPr="00987CBB">
        <w:rPr>
          <w:lang w:eastAsia="en-NZ"/>
        </w:rPr>
        <w:t>of</w:t>
      </w:r>
      <w:r w:rsidR="003D640C">
        <w:rPr>
          <w:lang w:eastAsia="en-NZ"/>
        </w:rPr>
        <w:t xml:space="preserve"> </w:t>
      </w:r>
      <w:r w:rsidR="00987CBB" w:rsidRPr="00987CBB">
        <w:rPr>
          <w:lang w:eastAsia="en-NZ"/>
        </w:rPr>
        <w:t>practice.</w:t>
      </w:r>
    </w:p>
    <w:p w14:paraId="6B0FD9BD" w14:textId="316BB5E8" w:rsidR="00501068" w:rsidRDefault="00FF55D8" w:rsidP="00B2336B">
      <w:pPr>
        <w:rPr>
          <w:rFonts w:ascii="Segoe UI" w:eastAsia="Times New Roman" w:hAnsi="Segoe UI" w:cs="Segoe UI"/>
          <w:sz w:val="20"/>
          <w:szCs w:val="20"/>
          <w:lang w:eastAsia="en-NZ"/>
        </w:rPr>
      </w:pPr>
      <w:r w:rsidRPr="00B2336B">
        <w:t>Timely</w:t>
      </w:r>
      <w:r w:rsidR="003D640C" w:rsidRPr="00B2336B">
        <w:t xml:space="preserve"> </w:t>
      </w:r>
      <w:r w:rsidRPr="00B2336B">
        <w:t>provision</w:t>
      </w:r>
      <w:r w:rsidR="003D640C" w:rsidRPr="00B2336B">
        <w:t xml:space="preserve"> </w:t>
      </w:r>
      <w:r w:rsidRPr="00B2336B">
        <w:t>of</w:t>
      </w:r>
      <w:r w:rsidR="003D640C" w:rsidRPr="00B2336B">
        <w:t xml:space="preserve"> </w:t>
      </w:r>
      <w:r w:rsidRPr="00B2336B">
        <w:t>gender-affirming</w:t>
      </w:r>
      <w:r w:rsidR="003D640C" w:rsidRPr="00B2336B">
        <w:t xml:space="preserve"> </w:t>
      </w:r>
      <w:r w:rsidRPr="00B2336B">
        <w:t>healthcare</w:t>
      </w:r>
      <w:r w:rsidR="003D640C" w:rsidRPr="00B2336B">
        <w:t xml:space="preserve"> </w:t>
      </w:r>
      <w:r w:rsidRPr="00B2336B">
        <w:t>is</w:t>
      </w:r>
      <w:r w:rsidR="003D640C" w:rsidRPr="00B2336B">
        <w:t xml:space="preserve"> </w:t>
      </w:r>
      <w:r w:rsidRPr="00B2336B">
        <w:t>the</w:t>
      </w:r>
      <w:r w:rsidR="003D640C" w:rsidRPr="00B2336B">
        <w:t xml:space="preserve"> </w:t>
      </w:r>
      <w:r w:rsidRPr="00B2336B">
        <w:t>expected</w:t>
      </w:r>
      <w:r w:rsidR="003D640C" w:rsidRPr="00B2336B">
        <w:t xml:space="preserve"> </w:t>
      </w:r>
      <w:r w:rsidRPr="00B2336B">
        <w:t>norm</w:t>
      </w:r>
      <w:r w:rsidR="003D640C" w:rsidRPr="00B2336B">
        <w:t xml:space="preserve"> </w:t>
      </w:r>
      <w:r w:rsidRPr="00B2336B">
        <w:t>in</w:t>
      </w:r>
      <w:r w:rsidR="003D640C" w:rsidRPr="00B2336B">
        <w:t xml:space="preserve"> </w:t>
      </w:r>
      <w:r w:rsidRPr="00B2336B">
        <w:t>Aotearoa</w:t>
      </w:r>
      <w:r w:rsidRPr="00772CF7">
        <w:rPr>
          <w:vertAlign w:val="superscript"/>
        </w:rPr>
        <w:footnoteReference w:id="62"/>
      </w:r>
      <w:r w:rsidR="003D640C" w:rsidRPr="00B2336B">
        <w:t xml:space="preserve"> </w:t>
      </w:r>
      <w:r w:rsidRPr="00B2336B">
        <w:t>as</w:t>
      </w:r>
      <w:r w:rsidR="003D640C" w:rsidRPr="00B2336B">
        <w:t xml:space="preserve"> </w:t>
      </w:r>
      <w:r w:rsidRPr="00B2336B">
        <w:t>has</w:t>
      </w:r>
      <w:r w:rsidR="003D640C" w:rsidRPr="00B2336B">
        <w:t xml:space="preserve"> </w:t>
      </w:r>
      <w:r w:rsidRPr="00B2336B">
        <w:t>been</w:t>
      </w:r>
      <w:r w:rsidR="003D640C" w:rsidRPr="00B2336B">
        <w:t xml:space="preserve"> </w:t>
      </w:r>
      <w:r w:rsidRPr="00B2336B">
        <w:t>endorsed</w:t>
      </w:r>
      <w:r w:rsidR="003D640C" w:rsidRPr="00B2336B">
        <w:t xml:space="preserve"> </w:t>
      </w:r>
      <w:r w:rsidRPr="00B2336B">
        <w:t>by</w:t>
      </w:r>
      <w:r w:rsidR="003D640C" w:rsidRPr="00B2336B">
        <w:t xml:space="preserve"> </w:t>
      </w:r>
      <w:r w:rsidRPr="00B2336B">
        <w:t>professional</w:t>
      </w:r>
      <w:r w:rsidR="003D640C" w:rsidRPr="00B2336B">
        <w:t xml:space="preserve"> </w:t>
      </w:r>
      <w:r w:rsidRPr="00B2336B">
        <w:t>medical</w:t>
      </w:r>
      <w:r w:rsidR="003D640C" w:rsidRPr="00B2336B">
        <w:t xml:space="preserve"> </w:t>
      </w:r>
      <w:r w:rsidRPr="00B2336B">
        <w:t>and</w:t>
      </w:r>
      <w:r w:rsidR="003D640C" w:rsidRPr="00B2336B">
        <w:t xml:space="preserve"> </w:t>
      </w:r>
      <w:r w:rsidRPr="00B2336B">
        <w:t>psychological</w:t>
      </w:r>
      <w:r w:rsidR="003D640C" w:rsidRPr="00B2336B">
        <w:t xml:space="preserve"> </w:t>
      </w:r>
      <w:r w:rsidRPr="00B2336B">
        <w:t>associations.</w:t>
      </w:r>
      <w:r w:rsidRPr="00772CF7">
        <w:rPr>
          <w:vertAlign w:val="superscript"/>
        </w:rPr>
        <w:footnoteReference w:id="63"/>
      </w:r>
      <w:r w:rsidR="003D640C" w:rsidRPr="00B2336B">
        <w:t xml:space="preserve"> </w:t>
      </w:r>
      <w:r w:rsidRPr="00B2336B">
        <w:t>Therefore,</w:t>
      </w:r>
      <w:r w:rsidR="003D640C" w:rsidRPr="00B2336B">
        <w:t xml:space="preserve"> </w:t>
      </w:r>
      <w:r w:rsidRPr="00B2336B">
        <w:t>withholding</w:t>
      </w:r>
      <w:r w:rsidR="003D640C" w:rsidRPr="00B2336B">
        <w:t xml:space="preserve"> </w:t>
      </w:r>
      <w:r w:rsidRPr="00B2336B">
        <w:t>gender-affirming</w:t>
      </w:r>
      <w:r w:rsidR="003D640C" w:rsidRPr="00B2336B">
        <w:t xml:space="preserve"> </w:t>
      </w:r>
      <w:r w:rsidRPr="00B2336B">
        <w:t>healthcare</w:t>
      </w:r>
      <w:r w:rsidR="003D640C" w:rsidRPr="00B2336B">
        <w:t xml:space="preserve"> </w:t>
      </w:r>
      <w:r w:rsidRPr="00B2336B">
        <w:t>may</w:t>
      </w:r>
      <w:r w:rsidR="003D640C" w:rsidRPr="00B2336B">
        <w:t xml:space="preserve"> </w:t>
      </w:r>
      <w:r w:rsidRPr="00B2336B">
        <w:t>be</w:t>
      </w:r>
      <w:r w:rsidR="003D640C" w:rsidRPr="00B2336B">
        <w:t xml:space="preserve"> </w:t>
      </w:r>
      <w:r w:rsidRPr="00B2336B">
        <w:t>considered</w:t>
      </w:r>
      <w:r w:rsidR="003D640C" w:rsidRPr="00B2336B">
        <w:t xml:space="preserve"> </w:t>
      </w:r>
      <w:r w:rsidRPr="00B2336B">
        <w:t>a</w:t>
      </w:r>
      <w:r w:rsidR="003D640C" w:rsidRPr="00B2336B">
        <w:t xml:space="preserve"> </w:t>
      </w:r>
      <w:r w:rsidRPr="00B2336B">
        <w:t>conversion</w:t>
      </w:r>
      <w:r w:rsidR="003D640C" w:rsidRPr="00B2336B">
        <w:t xml:space="preserve"> </w:t>
      </w:r>
      <w:r w:rsidRPr="00B2336B">
        <w:t>practice</w:t>
      </w:r>
      <w:r w:rsidR="003D640C" w:rsidRPr="00B2336B">
        <w:t xml:space="preserve"> </w:t>
      </w:r>
      <w:r w:rsidRPr="00B2336B">
        <w:t>if</w:t>
      </w:r>
      <w:r w:rsidR="003D640C" w:rsidRPr="00B2336B">
        <w:t xml:space="preserve"> </w:t>
      </w:r>
      <w:r w:rsidRPr="00B2336B">
        <w:t>the</w:t>
      </w:r>
      <w:r w:rsidR="003D640C" w:rsidRPr="00B2336B">
        <w:t xml:space="preserve"> </w:t>
      </w:r>
      <w:r w:rsidRPr="00B2336B">
        <w:t>health</w:t>
      </w:r>
      <w:r w:rsidR="003D640C" w:rsidRPr="00B2336B">
        <w:t xml:space="preserve"> </w:t>
      </w:r>
      <w:r w:rsidRPr="00B2336B">
        <w:t>practitioner</w:t>
      </w:r>
      <w:r w:rsidR="003D640C" w:rsidRPr="00B2336B">
        <w:t xml:space="preserve"> </w:t>
      </w:r>
      <w:r w:rsidRPr="00B2336B">
        <w:t>does</w:t>
      </w:r>
      <w:r w:rsidR="003D640C" w:rsidRPr="00B2336B">
        <w:t xml:space="preserve"> </w:t>
      </w:r>
      <w:r w:rsidRPr="00B2336B">
        <w:t>so</w:t>
      </w:r>
      <w:r w:rsidR="003D640C" w:rsidRPr="00B2336B">
        <w:t xml:space="preserve"> </w:t>
      </w:r>
      <w:r w:rsidRPr="00B2336B">
        <w:t>with</w:t>
      </w:r>
      <w:r w:rsidR="003D640C" w:rsidRPr="00B2336B">
        <w:t xml:space="preserve"> </w:t>
      </w:r>
      <w:r w:rsidRPr="00B2336B">
        <w:t>the</w:t>
      </w:r>
      <w:r w:rsidR="003D640C" w:rsidRPr="00B2336B">
        <w:t xml:space="preserve"> </w:t>
      </w:r>
      <w:r w:rsidRPr="00B2336B">
        <w:t>intention</w:t>
      </w:r>
      <w:r w:rsidR="003D640C" w:rsidRPr="00B2336B">
        <w:t xml:space="preserve"> </w:t>
      </w:r>
      <w:r w:rsidRPr="00B2336B">
        <w:t>to</w:t>
      </w:r>
      <w:r w:rsidR="003D640C" w:rsidRPr="00B2336B">
        <w:t xml:space="preserve"> </w:t>
      </w:r>
      <w:r w:rsidRPr="00B2336B">
        <w:t>suppress</w:t>
      </w:r>
      <w:r w:rsidR="003D640C" w:rsidRPr="00B2336B">
        <w:t xml:space="preserve"> </w:t>
      </w:r>
      <w:r w:rsidRPr="00B2336B">
        <w:t>or</w:t>
      </w:r>
      <w:r w:rsidR="003D640C" w:rsidRPr="00B2336B">
        <w:t xml:space="preserve"> </w:t>
      </w:r>
      <w:r w:rsidRPr="00B2336B">
        <w:t>change</w:t>
      </w:r>
      <w:r w:rsidR="003D640C">
        <w:rPr>
          <w:rFonts w:ascii="Calibri" w:eastAsia="Times New Roman" w:hAnsi="Calibri" w:cs="Calibri"/>
          <w:lang w:eastAsia="en-NZ"/>
        </w:rPr>
        <w:t xml:space="preserve"> </w:t>
      </w:r>
      <w:r w:rsidRPr="00FB5C67">
        <w:rPr>
          <w:rFonts w:ascii="Calibri" w:eastAsia="Times New Roman" w:hAnsi="Calibri" w:cs="Calibri"/>
          <w:lang w:eastAsia="en-NZ"/>
        </w:rPr>
        <w:t>someone’s</w:t>
      </w:r>
      <w:r w:rsidR="003D640C">
        <w:rPr>
          <w:rFonts w:ascii="Calibri" w:eastAsia="Times New Roman" w:hAnsi="Calibri" w:cs="Calibri"/>
          <w:lang w:eastAsia="en-NZ"/>
        </w:rPr>
        <w:t xml:space="preserve"> </w:t>
      </w:r>
      <w:r w:rsidRPr="00FB5C67">
        <w:rPr>
          <w:rFonts w:ascii="Calibri" w:eastAsia="Times New Roman" w:hAnsi="Calibri" w:cs="Calibri"/>
          <w:lang w:eastAsia="en-NZ"/>
        </w:rPr>
        <w:t>gender</w:t>
      </w:r>
      <w:r w:rsidR="003D640C">
        <w:rPr>
          <w:rFonts w:ascii="Calibri" w:eastAsia="Times New Roman" w:hAnsi="Calibri" w:cs="Calibri"/>
          <w:lang w:eastAsia="en-NZ"/>
        </w:rPr>
        <w:t xml:space="preserve"> </w:t>
      </w:r>
      <w:r w:rsidRPr="00FB5C67">
        <w:rPr>
          <w:rFonts w:ascii="Calibri" w:eastAsia="Times New Roman" w:hAnsi="Calibri" w:cs="Calibri"/>
          <w:lang w:eastAsia="en-NZ"/>
        </w:rPr>
        <w:t>identity</w:t>
      </w:r>
      <w:r w:rsidR="003D640C">
        <w:rPr>
          <w:rFonts w:ascii="Calibri" w:eastAsia="Times New Roman" w:hAnsi="Calibri" w:cs="Calibri"/>
          <w:lang w:eastAsia="en-NZ"/>
        </w:rPr>
        <w:t xml:space="preserve"> </w:t>
      </w:r>
      <w:r w:rsidRPr="00FB5C67">
        <w:rPr>
          <w:rFonts w:ascii="Calibri" w:eastAsia="Times New Roman" w:hAnsi="Calibri" w:cs="Calibri"/>
          <w:lang w:eastAsia="en-NZ"/>
        </w:rPr>
        <w:t>or</w:t>
      </w:r>
      <w:r w:rsidR="003D640C">
        <w:rPr>
          <w:rFonts w:ascii="Calibri" w:eastAsia="Times New Roman" w:hAnsi="Calibri" w:cs="Calibri"/>
          <w:lang w:eastAsia="en-NZ"/>
        </w:rPr>
        <w:t xml:space="preserve"> </w:t>
      </w:r>
      <w:r w:rsidRPr="00FB5C67">
        <w:rPr>
          <w:rFonts w:ascii="Calibri" w:eastAsia="Times New Roman" w:hAnsi="Calibri" w:cs="Calibri"/>
          <w:lang w:eastAsia="en-NZ"/>
        </w:rPr>
        <w:t>gender</w:t>
      </w:r>
      <w:r w:rsidR="003D640C">
        <w:rPr>
          <w:rFonts w:ascii="Calibri" w:eastAsia="Times New Roman" w:hAnsi="Calibri" w:cs="Calibri"/>
          <w:lang w:eastAsia="en-NZ"/>
        </w:rPr>
        <w:t xml:space="preserve"> </w:t>
      </w:r>
      <w:r w:rsidRPr="00FB5C67">
        <w:rPr>
          <w:rFonts w:ascii="Calibri" w:eastAsia="Times New Roman" w:hAnsi="Calibri" w:cs="Calibri"/>
          <w:lang w:eastAsia="en-NZ"/>
        </w:rPr>
        <w:t>expression.</w:t>
      </w:r>
    </w:p>
    <w:p w14:paraId="69604F26" w14:textId="03BAC693" w:rsidR="001C3549" w:rsidRPr="00B2336B" w:rsidRDefault="003D0674" w:rsidP="00B2336B">
      <w:pPr>
        <w:pStyle w:val="Heading2"/>
      </w:pPr>
      <w:bookmarkStart w:id="114" w:name="_Toc138325163"/>
      <w:bookmarkStart w:id="115" w:name="_Toc138343800"/>
      <w:bookmarkStart w:id="116" w:name="_Toc167780589"/>
      <w:bookmarkStart w:id="117" w:name="_Toc975141427"/>
      <w:bookmarkStart w:id="118" w:name="_Toc174628647"/>
      <w:r w:rsidRPr="00BB6220">
        <w:t>The</w:t>
      </w:r>
      <w:r w:rsidR="003D640C">
        <w:t xml:space="preserve"> </w:t>
      </w:r>
      <w:r w:rsidRPr="00BB6220">
        <w:t>right</w:t>
      </w:r>
      <w:r w:rsidR="003D640C">
        <w:t xml:space="preserve"> </w:t>
      </w:r>
      <w:r w:rsidRPr="00BB6220">
        <w:t>to</w:t>
      </w:r>
      <w:r w:rsidR="003D640C">
        <w:t xml:space="preserve"> </w:t>
      </w:r>
      <w:r w:rsidRPr="00BB6220">
        <w:t>f</w:t>
      </w:r>
      <w:r w:rsidR="001C3549" w:rsidRPr="00BB6220">
        <w:t>reedom</w:t>
      </w:r>
      <w:r w:rsidR="003D640C">
        <w:t xml:space="preserve"> </w:t>
      </w:r>
      <w:r w:rsidR="001C3549" w:rsidRPr="00BB6220">
        <w:t>of</w:t>
      </w:r>
      <w:r w:rsidR="003D640C">
        <w:t xml:space="preserve"> </w:t>
      </w:r>
      <w:r w:rsidR="005106FF" w:rsidRPr="00B2336B">
        <w:t>r</w:t>
      </w:r>
      <w:r w:rsidR="001C3549" w:rsidRPr="00B2336B">
        <w:t>eligion</w:t>
      </w:r>
      <w:bookmarkEnd w:id="114"/>
      <w:bookmarkEnd w:id="115"/>
      <w:bookmarkEnd w:id="116"/>
      <w:bookmarkEnd w:id="117"/>
      <w:bookmarkEnd w:id="118"/>
    </w:p>
    <w:p w14:paraId="428AB77C" w14:textId="254FE8C8" w:rsidR="00501068" w:rsidRDefault="0065269B" w:rsidP="00B2336B">
      <w:pPr>
        <w:rPr>
          <w:lang w:eastAsia="en-NZ"/>
        </w:rPr>
      </w:pPr>
      <w:r>
        <w:rPr>
          <w:lang w:eastAsia="en-NZ"/>
        </w:rPr>
        <w:t>Everyone</w:t>
      </w:r>
      <w:r w:rsidR="003D640C">
        <w:rPr>
          <w:lang w:eastAsia="en-NZ"/>
        </w:rPr>
        <w:t xml:space="preserve"> </w:t>
      </w:r>
      <w:r>
        <w:rPr>
          <w:lang w:eastAsia="en-NZ"/>
        </w:rPr>
        <w:t>has</w:t>
      </w:r>
      <w:r w:rsidR="003D640C">
        <w:rPr>
          <w:lang w:eastAsia="en-NZ"/>
        </w:rPr>
        <w:t xml:space="preserve"> </w:t>
      </w:r>
      <w:r>
        <w:rPr>
          <w:lang w:eastAsia="en-NZ"/>
        </w:rPr>
        <w:t>the</w:t>
      </w:r>
      <w:r w:rsidR="003D640C">
        <w:rPr>
          <w:lang w:eastAsia="en-NZ"/>
        </w:rPr>
        <w:t xml:space="preserve"> </w:t>
      </w:r>
      <w:r>
        <w:rPr>
          <w:lang w:eastAsia="en-NZ"/>
        </w:rPr>
        <w:t>right</w:t>
      </w:r>
      <w:r w:rsidR="003D640C">
        <w:rPr>
          <w:lang w:eastAsia="en-NZ"/>
        </w:rPr>
        <w:t xml:space="preserve"> </w:t>
      </w:r>
      <w:r>
        <w:rPr>
          <w:lang w:eastAsia="en-NZ"/>
        </w:rPr>
        <w:t>to</w:t>
      </w:r>
      <w:r w:rsidR="003D640C">
        <w:rPr>
          <w:lang w:eastAsia="en-NZ"/>
        </w:rPr>
        <w:t xml:space="preserve"> </w:t>
      </w:r>
      <w:r>
        <w:rPr>
          <w:lang w:eastAsia="en-NZ"/>
        </w:rPr>
        <w:t>freedom</w:t>
      </w:r>
      <w:r w:rsidR="003D640C">
        <w:rPr>
          <w:lang w:eastAsia="en-NZ"/>
        </w:rPr>
        <w:t xml:space="preserve"> </w:t>
      </w:r>
      <w:r>
        <w:rPr>
          <w:lang w:eastAsia="en-NZ"/>
        </w:rPr>
        <w:t>of</w:t>
      </w:r>
      <w:r w:rsidR="003D640C">
        <w:rPr>
          <w:lang w:eastAsia="en-NZ"/>
        </w:rPr>
        <w:t xml:space="preserve"> </w:t>
      </w:r>
      <w:r>
        <w:rPr>
          <w:lang w:eastAsia="en-NZ"/>
        </w:rPr>
        <w:t>religion</w:t>
      </w:r>
      <w:r w:rsidR="003D640C">
        <w:rPr>
          <w:lang w:eastAsia="en-NZ"/>
        </w:rPr>
        <w:t xml:space="preserve"> </w:t>
      </w:r>
      <w:r w:rsidR="00814184">
        <w:rPr>
          <w:lang w:eastAsia="en-NZ"/>
        </w:rPr>
        <w:t>or</w:t>
      </w:r>
      <w:r w:rsidR="003D640C">
        <w:rPr>
          <w:lang w:eastAsia="en-NZ"/>
        </w:rPr>
        <w:t xml:space="preserve"> </w:t>
      </w:r>
      <w:r w:rsidR="00814184">
        <w:rPr>
          <w:lang w:eastAsia="en-NZ"/>
        </w:rPr>
        <w:t>belief</w:t>
      </w:r>
      <w:r w:rsidR="00712B98">
        <w:rPr>
          <w:lang w:eastAsia="en-NZ"/>
        </w:rPr>
        <w:t>.</w:t>
      </w:r>
      <w:r w:rsidR="003D640C">
        <w:rPr>
          <w:lang w:eastAsia="en-NZ"/>
        </w:rPr>
        <w:t xml:space="preserve"> </w:t>
      </w:r>
      <w:r w:rsidR="00712B98">
        <w:rPr>
          <w:lang w:eastAsia="en-NZ"/>
        </w:rPr>
        <w:t>This</w:t>
      </w:r>
      <w:r w:rsidR="003D640C">
        <w:rPr>
          <w:lang w:eastAsia="en-NZ"/>
        </w:rPr>
        <w:t xml:space="preserve"> </w:t>
      </w:r>
      <w:r w:rsidR="00A8407C">
        <w:rPr>
          <w:lang w:eastAsia="en-NZ"/>
        </w:rPr>
        <w:t>right</w:t>
      </w:r>
      <w:r w:rsidR="003D640C">
        <w:rPr>
          <w:lang w:eastAsia="en-NZ"/>
        </w:rPr>
        <w:t xml:space="preserve"> </w:t>
      </w:r>
      <w:r w:rsidR="00712B98">
        <w:rPr>
          <w:lang w:eastAsia="en-NZ"/>
        </w:rPr>
        <w:t>is</w:t>
      </w:r>
      <w:r w:rsidR="003D640C">
        <w:rPr>
          <w:lang w:eastAsia="en-NZ"/>
        </w:rPr>
        <w:t xml:space="preserve"> </w:t>
      </w:r>
      <w:r w:rsidR="00712B98">
        <w:rPr>
          <w:lang w:eastAsia="en-NZ"/>
        </w:rPr>
        <w:t>protected</w:t>
      </w:r>
      <w:r w:rsidR="003D640C">
        <w:rPr>
          <w:lang w:eastAsia="en-NZ"/>
        </w:rPr>
        <w:t xml:space="preserve"> </w:t>
      </w:r>
      <w:r w:rsidR="00484307">
        <w:rPr>
          <w:lang w:eastAsia="en-NZ"/>
        </w:rPr>
        <w:t>under</w:t>
      </w:r>
      <w:r w:rsidR="003D640C">
        <w:rPr>
          <w:lang w:eastAsia="en-NZ"/>
        </w:rPr>
        <w:t xml:space="preserve"> </w:t>
      </w:r>
      <w:r w:rsidR="00484307">
        <w:rPr>
          <w:lang w:eastAsia="en-NZ"/>
        </w:rPr>
        <w:t>a</w:t>
      </w:r>
      <w:r w:rsidR="003D0674" w:rsidRPr="00BB6220">
        <w:rPr>
          <w:lang w:eastAsia="en-NZ"/>
        </w:rPr>
        <w:t>rticle</w:t>
      </w:r>
      <w:r w:rsidR="003D640C">
        <w:rPr>
          <w:lang w:eastAsia="en-NZ"/>
        </w:rPr>
        <w:t xml:space="preserve"> </w:t>
      </w:r>
      <w:r w:rsidR="003D0674" w:rsidRPr="00BB6220">
        <w:rPr>
          <w:lang w:eastAsia="en-NZ"/>
        </w:rPr>
        <w:t>18</w:t>
      </w:r>
      <w:r w:rsidR="003D640C">
        <w:rPr>
          <w:lang w:eastAsia="en-NZ"/>
        </w:rPr>
        <w:t xml:space="preserve"> </w:t>
      </w:r>
      <w:r w:rsidR="003D0674" w:rsidRPr="00BB6220">
        <w:rPr>
          <w:lang w:eastAsia="en-NZ"/>
        </w:rPr>
        <w:t>of</w:t>
      </w:r>
      <w:r w:rsidR="003D640C">
        <w:rPr>
          <w:lang w:eastAsia="en-NZ"/>
        </w:rPr>
        <w:t xml:space="preserve"> </w:t>
      </w:r>
      <w:r w:rsidR="003D0674" w:rsidRPr="00BB6220">
        <w:rPr>
          <w:lang w:eastAsia="en-NZ"/>
        </w:rPr>
        <w:t>the</w:t>
      </w:r>
      <w:r w:rsidR="003D640C">
        <w:rPr>
          <w:lang w:eastAsia="en-NZ"/>
        </w:rPr>
        <w:t xml:space="preserve"> </w:t>
      </w:r>
      <w:r w:rsidR="008D3407">
        <w:rPr>
          <w:lang w:eastAsia="en-NZ"/>
        </w:rPr>
        <w:t>Universal</w:t>
      </w:r>
      <w:r w:rsidR="003D640C">
        <w:rPr>
          <w:lang w:eastAsia="en-NZ"/>
        </w:rPr>
        <w:t xml:space="preserve"> </w:t>
      </w:r>
      <w:r w:rsidR="008D3407">
        <w:rPr>
          <w:lang w:eastAsia="en-NZ"/>
        </w:rPr>
        <w:t>Declaration</w:t>
      </w:r>
      <w:r w:rsidR="003D640C">
        <w:rPr>
          <w:lang w:eastAsia="en-NZ"/>
        </w:rPr>
        <w:t xml:space="preserve"> </w:t>
      </w:r>
      <w:r w:rsidR="008D3407">
        <w:rPr>
          <w:lang w:eastAsia="en-NZ"/>
        </w:rPr>
        <w:t>of</w:t>
      </w:r>
      <w:r w:rsidR="003D640C">
        <w:rPr>
          <w:lang w:eastAsia="en-NZ"/>
        </w:rPr>
        <w:t xml:space="preserve"> </w:t>
      </w:r>
      <w:r w:rsidR="008D3407">
        <w:rPr>
          <w:lang w:eastAsia="en-NZ"/>
        </w:rPr>
        <w:t>Human</w:t>
      </w:r>
      <w:r w:rsidR="003D640C">
        <w:rPr>
          <w:lang w:eastAsia="en-NZ"/>
        </w:rPr>
        <w:t xml:space="preserve"> </w:t>
      </w:r>
      <w:r w:rsidR="008D3407">
        <w:rPr>
          <w:lang w:eastAsia="en-NZ"/>
        </w:rPr>
        <w:t>Rights,</w:t>
      </w:r>
      <w:r w:rsidR="003D640C">
        <w:rPr>
          <w:lang w:eastAsia="en-NZ"/>
        </w:rPr>
        <w:t xml:space="preserve"> </w:t>
      </w:r>
      <w:r w:rsidR="008D3407">
        <w:rPr>
          <w:lang w:eastAsia="en-NZ"/>
        </w:rPr>
        <w:t>article</w:t>
      </w:r>
      <w:r w:rsidR="003D640C">
        <w:rPr>
          <w:lang w:eastAsia="en-NZ"/>
        </w:rPr>
        <w:t xml:space="preserve"> </w:t>
      </w:r>
      <w:r w:rsidR="008D3407">
        <w:rPr>
          <w:lang w:eastAsia="en-NZ"/>
        </w:rPr>
        <w:t>18</w:t>
      </w:r>
      <w:r w:rsidR="003D640C">
        <w:rPr>
          <w:lang w:eastAsia="en-NZ"/>
        </w:rPr>
        <w:t xml:space="preserve"> </w:t>
      </w:r>
      <w:r w:rsidR="008D3407">
        <w:rPr>
          <w:lang w:eastAsia="en-NZ"/>
        </w:rPr>
        <w:t>of</w:t>
      </w:r>
      <w:r w:rsidR="003D640C">
        <w:rPr>
          <w:lang w:eastAsia="en-NZ"/>
        </w:rPr>
        <w:t xml:space="preserve"> </w:t>
      </w:r>
      <w:r w:rsidR="008D3407">
        <w:rPr>
          <w:lang w:eastAsia="en-NZ"/>
        </w:rPr>
        <w:t>the</w:t>
      </w:r>
      <w:r w:rsidR="003D640C">
        <w:rPr>
          <w:lang w:eastAsia="en-NZ"/>
        </w:rPr>
        <w:t xml:space="preserve"> </w:t>
      </w:r>
      <w:r w:rsidR="008D3407">
        <w:rPr>
          <w:lang w:eastAsia="en-NZ"/>
        </w:rPr>
        <w:t>ICCPR</w:t>
      </w:r>
      <w:r w:rsidR="006A2ED6">
        <w:rPr>
          <w:lang w:eastAsia="en-NZ"/>
        </w:rPr>
        <w:t>,</w:t>
      </w:r>
      <w:r w:rsidR="003D640C">
        <w:rPr>
          <w:lang w:eastAsia="en-NZ"/>
        </w:rPr>
        <w:t xml:space="preserve"> </w:t>
      </w:r>
      <w:r w:rsidR="00484307">
        <w:rPr>
          <w:lang w:eastAsia="en-NZ"/>
        </w:rPr>
        <w:t>and</w:t>
      </w:r>
      <w:r w:rsidR="003D640C">
        <w:rPr>
          <w:lang w:eastAsia="en-NZ"/>
        </w:rPr>
        <w:t xml:space="preserve"> </w:t>
      </w:r>
      <w:r w:rsidR="00484307">
        <w:rPr>
          <w:lang w:eastAsia="en-NZ"/>
        </w:rPr>
        <w:t>domestically</w:t>
      </w:r>
      <w:r w:rsidR="003D640C">
        <w:rPr>
          <w:lang w:eastAsia="en-NZ"/>
        </w:rPr>
        <w:t xml:space="preserve"> </w:t>
      </w:r>
      <w:r w:rsidR="00484307">
        <w:rPr>
          <w:lang w:eastAsia="en-NZ"/>
        </w:rPr>
        <w:t>under</w:t>
      </w:r>
      <w:r w:rsidR="003D640C">
        <w:rPr>
          <w:lang w:eastAsia="en-NZ"/>
        </w:rPr>
        <w:t xml:space="preserve"> </w:t>
      </w:r>
      <w:r w:rsidR="00484307">
        <w:rPr>
          <w:lang w:eastAsia="en-NZ"/>
        </w:rPr>
        <w:t>section</w:t>
      </w:r>
      <w:r w:rsidR="003D640C">
        <w:rPr>
          <w:lang w:eastAsia="en-NZ"/>
        </w:rPr>
        <w:t xml:space="preserve"> </w:t>
      </w:r>
      <w:r w:rsidR="00FD6557" w:rsidRPr="00BB6220">
        <w:rPr>
          <w:lang w:eastAsia="en-NZ"/>
        </w:rPr>
        <w:t>13</w:t>
      </w:r>
      <w:r w:rsidR="003D640C">
        <w:rPr>
          <w:lang w:eastAsia="en-NZ"/>
        </w:rPr>
        <w:t xml:space="preserve"> </w:t>
      </w:r>
      <w:r w:rsidR="00253C13" w:rsidRPr="00BB6220">
        <w:rPr>
          <w:lang w:eastAsia="en-NZ"/>
        </w:rPr>
        <w:t>of</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NZ</w:t>
      </w:r>
      <w:r w:rsidR="00C404F8" w:rsidRPr="00BB6220">
        <w:rPr>
          <w:lang w:eastAsia="en-NZ"/>
        </w:rPr>
        <w:t>BORA</w:t>
      </w:r>
      <w:r w:rsidR="003D640C">
        <w:rPr>
          <w:lang w:eastAsia="en-NZ"/>
        </w:rPr>
        <w:t xml:space="preserve"> </w:t>
      </w:r>
      <w:r w:rsidR="00A74E5D">
        <w:rPr>
          <w:lang w:eastAsia="en-NZ"/>
        </w:rPr>
        <w:t>and</w:t>
      </w:r>
      <w:r w:rsidR="003D640C">
        <w:rPr>
          <w:lang w:eastAsia="en-NZ"/>
        </w:rPr>
        <w:t xml:space="preserve"> </w:t>
      </w:r>
      <w:r w:rsidR="00A74E5D">
        <w:rPr>
          <w:lang w:eastAsia="en-NZ"/>
        </w:rPr>
        <w:t>section</w:t>
      </w:r>
      <w:r w:rsidR="003D640C">
        <w:rPr>
          <w:lang w:eastAsia="en-NZ"/>
        </w:rPr>
        <w:t xml:space="preserve"> </w:t>
      </w:r>
      <w:r w:rsidR="00A74E5D">
        <w:rPr>
          <w:lang w:eastAsia="en-NZ"/>
        </w:rPr>
        <w:t>21</w:t>
      </w:r>
      <w:r w:rsidR="003D640C">
        <w:rPr>
          <w:lang w:eastAsia="en-NZ"/>
        </w:rPr>
        <w:t xml:space="preserve"> </w:t>
      </w:r>
      <w:r w:rsidR="00A74E5D">
        <w:rPr>
          <w:lang w:eastAsia="en-NZ"/>
        </w:rPr>
        <w:t>of</w:t>
      </w:r>
      <w:r w:rsidR="003D640C">
        <w:rPr>
          <w:lang w:eastAsia="en-NZ"/>
        </w:rPr>
        <w:t xml:space="preserve"> </w:t>
      </w:r>
      <w:r w:rsidR="00A74E5D">
        <w:rPr>
          <w:lang w:eastAsia="en-NZ"/>
        </w:rPr>
        <w:t>the</w:t>
      </w:r>
      <w:r w:rsidR="003D640C">
        <w:rPr>
          <w:lang w:eastAsia="en-NZ"/>
        </w:rPr>
        <w:t xml:space="preserve"> </w:t>
      </w:r>
      <w:r w:rsidR="00A74E5D">
        <w:rPr>
          <w:lang w:eastAsia="en-NZ"/>
        </w:rPr>
        <w:t>Human</w:t>
      </w:r>
      <w:r w:rsidR="003D640C">
        <w:rPr>
          <w:lang w:eastAsia="en-NZ"/>
        </w:rPr>
        <w:t xml:space="preserve"> </w:t>
      </w:r>
      <w:r w:rsidR="00A74E5D">
        <w:rPr>
          <w:lang w:eastAsia="en-NZ"/>
        </w:rPr>
        <w:t>Rights</w:t>
      </w:r>
      <w:r w:rsidR="003D640C">
        <w:rPr>
          <w:lang w:eastAsia="en-NZ"/>
        </w:rPr>
        <w:t xml:space="preserve"> </w:t>
      </w:r>
      <w:r w:rsidR="00A74E5D">
        <w:rPr>
          <w:lang w:eastAsia="en-NZ"/>
        </w:rPr>
        <w:t>Act</w:t>
      </w:r>
      <w:r w:rsidR="001C3549" w:rsidRPr="00BB6220">
        <w:rPr>
          <w:lang w:eastAsia="en-NZ"/>
        </w:rPr>
        <w:t>.</w:t>
      </w:r>
      <w:r w:rsidR="003D640C">
        <w:rPr>
          <w:lang w:eastAsia="en-NZ"/>
        </w:rPr>
        <w:t xml:space="preserve"> </w:t>
      </w:r>
      <w:r w:rsidR="00EC56D9">
        <w:rPr>
          <w:lang w:eastAsia="en-NZ"/>
        </w:rPr>
        <w:t>Article</w:t>
      </w:r>
      <w:r w:rsidR="003D640C">
        <w:rPr>
          <w:lang w:eastAsia="en-NZ"/>
        </w:rPr>
        <w:t xml:space="preserve"> </w:t>
      </w:r>
      <w:r w:rsidR="00EC56D9">
        <w:rPr>
          <w:lang w:eastAsia="en-NZ"/>
        </w:rPr>
        <w:t>14</w:t>
      </w:r>
      <w:r w:rsidR="003D640C">
        <w:rPr>
          <w:lang w:eastAsia="en-NZ"/>
        </w:rPr>
        <w:t xml:space="preserve"> </w:t>
      </w:r>
      <w:r w:rsidR="0002750E">
        <w:rPr>
          <w:lang w:eastAsia="en-NZ"/>
        </w:rPr>
        <w:t>of</w:t>
      </w:r>
      <w:r w:rsidR="003D640C">
        <w:rPr>
          <w:lang w:eastAsia="en-NZ"/>
        </w:rPr>
        <w:t xml:space="preserve"> </w:t>
      </w:r>
      <w:r w:rsidR="0002750E">
        <w:rPr>
          <w:lang w:eastAsia="en-NZ"/>
        </w:rPr>
        <w:t>the</w:t>
      </w:r>
      <w:r w:rsidR="003D640C">
        <w:rPr>
          <w:lang w:eastAsia="en-NZ"/>
        </w:rPr>
        <w:t xml:space="preserve"> </w:t>
      </w:r>
      <w:r w:rsidR="0002750E">
        <w:rPr>
          <w:lang w:eastAsia="en-NZ"/>
        </w:rPr>
        <w:t>Convention</w:t>
      </w:r>
      <w:r w:rsidR="003D640C">
        <w:rPr>
          <w:lang w:eastAsia="en-NZ"/>
        </w:rPr>
        <w:t xml:space="preserve"> </w:t>
      </w:r>
      <w:r w:rsidR="0002750E">
        <w:rPr>
          <w:lang w:eastAsia="en-NZ"/>
        </w:rPr>
        <w:t>on</w:t>
      </w:r>
      <w:r w:rsidR="003D640C">
        <w:rPr>
          <w:lang w:eastAsia="en-NZ"/>
        </w:rPr>
        <w:t xml:space="preserve"> </w:t>
      </w:r>
      <w:r w:rsidR="0002750E">
        <w:rPr>
          <w:lang w:eastAsia="en-NZ"/>
        </w:rPr>
        <w:t>the</w:t>
      </w:r>
      <w:r w:rsidR="003D640C">
        <w:rPr>
          <w:lang w:eastAsia="en-NZ"/>
        </w:rPr>
        <w:t xml:space="preserve"> </w:t>
      </w:r>
      <w:r w:rsidR="00753036">
        <w:rPr>
          <w:lang w:eastAsia="en-NZ"/>
        </w:rPr>
        <w:t>Rights</w:t>
      </w:r>
      <w:r w:rsidR="003D640C">
        <w:rPr>
          <w:lang w:eastAsia="en-NZ"/>
        </w:rPr>
        <w:t xml:space="preserve"> </w:t>
      </w:r>
      <w:r w:rsidR="00753036">
        <w:rPr>
          <w:lang w:eastAsia="en-NZ"/>
        </w:rPr>
        <w:t>of</w:t>
      </w:r>
      <w:r w:rsidR="003D640C">
        <w:rPr>
          <w:lang w:eastAsia="en-NZ"/>
        </w:rPr>
        <w:t xml:space="preserve"> </w:t>
      </w:r>
      <w:r w:rsidR="00753036">
        <w:rPr>
          <w:lang w:eastAsia="en-NZ"/>
        </w:rPr>
        <w:t>the</w:t>
      </w:r>
      <w:r w:rsidR="003D640C">
        <w:rPr>
          <w:lang w:eastAsia="en-NZ"/>
        </w:rPr>
        <w:t xml:space="preserve"> </w:t>
      </w:r>
      <w:r w:rsidR="00753036">
        <w:rPr>
          <w:lang w:eastAsia="en-NZ"/>
        </w:rPr>
        <w:t>Chil</w:t>
      </w:r>
      <w:r w:rsidR="00DE7568">
        <w:rPr>
          <w:lang w:eastAsia="en-NZ"/>
        </w:rPr>
        <w:t>d</w:t>
      </w:r>
      <w:r w:rsidR="003D640C">
        <w:rPr>
          <w:lang w:eastAsia="en-NZ"/>
        </w:rPr>
        <w:t xml:space="preserve"> </w:t>
      </w:r>
      <w:r w:rsidR="004905B3">
        <w:rPr>
          <w:lang w:eastAsia="en-NZ"/>
        </w:rPr>
        <w:t>recognises</w:t>
      </w:r>
      <w:r w:rsidR="003D640C">
        <w:rPr>
          <w:lang w:eastAsia="en-NZ"/>
        </w:rPr>
        <w:t xml:space="preserve"> </w:t>
      </w:r>
      <w:r w:rsidR="00462464">
        <w:rPr>
          <w:lang w:eastAsia="en-NZ"/>
        </w:rPr>
        <w:t>that</w:t>
      </w:r>
      <w:r w:rsidR="003D640C">
        <w:rPr>
          <w:lang w:eastAsia="en-NZ"/>
        </w:rPr>
        <w:t xml:space="preserve"> </w:t>
      </w:r>
      <w:r w:rsidR="00462464">
        <w:rPr>
          <w:lang w:eastAsia="en-NZ"/>
        </w:rPr>
        <w:t>children</w:t>
      </w:r>
      <w:r w:rsidR="003D640C">
        <w:rPr>
          <w:lang w:eastAsia="en-NZ"/>
        </w:rPr>
        <w:t xml:space="preserve"> </w:t>
      </w:r>
      <w:r w:rsidR="00462464">
        <w:rPr>
          <w:lang w:eastAsia="en-NZ"/>
        </w:rPr>
        <w:t>also</w:t>
      </w:r>
      <w:r w:rsidR="003D640C">
        <w:rPr>
          <w:lang w:eastAsia="en-NZ"/>
        </w:rPr>
        <w:t xml:space="preserve"> </w:t>
      </w:r>
      <w:r w:rsidR="00462464">
        <w:rPr>
          <w:lang w:eastAsia="en-NZ"/>
        </w:rPr>
        <w:t>have</w:t>
      </w:r>
      <w:r w:rsidR="003D640C">
        <w:rPr>
          <w:lang w:eastAsia="en-NZ"/>
        </w:rPr>
        <w:t xml:space="preserve"> </w:t>
      </w:r>
      <w:r w:rsidR="00462464">
        <w:rPr>
          <w:lang w:eastAsia="en-NZ"/>
        </w:rPr>
        <w:t>this</w:t>
      </w:r>
      <w:r w:rsidR="003D640C">
        <w:rPr>
          <w:lang w:eastAsia="en-NZ"/>
        </w:rPr>
        <w:t xml:space="preserve"> </w:t>
      </w:r>
      <w:r w:rsidR="00462464">
        <w:rPr>
          <w:lang w:eastAsia="en-NZ"/>
        </w:rPr>
        <w:t>right</w:t>
      </w:r>
      <w:r w:rsidR="0083177B">
        <w:rPr>
          <w:lang w:eastAsia="en-NZ"/>
        </w:rPr>
        <w:t>.</w:t>
      </w:r>
      <w:r w:rsidR="003D640C">
        <w:rPr>
          <w:lang w:eastAsia="en-NZ"/>
        </w:rPr>
        <w:t xml:space="preserve"> </w:t>
      </w:r>
      <w:r w:rsidR="0083177B">
        <w:rPr>
          <w:lang w:eastAsia="en-NZ"/>
        </w:rPr>
        <w:t>Article</w:t>
      </w:r>
      <w:r w:rsidR="003D640C">
        <w:rPr>
          <w:lang w:eastAsia="en-NZ"/>
        </w:rPr>
        <w:t xml:space="preserve"> </w:t>
      </w:r>
      <w:r w:rsidR="0083177B">
        <w:rPr>
          <w:lang w:eastAsia="en-NZ"/>
        </w:rPr>
        <w:t>14(2)</w:t>
      </w:r>
      <w:r w:rsidR="003D640C">
        <w:rPr>
          <w:lang w:eastAsia="en-NZ"/>
        </w:rPr>
        <w:t xml:space="preserve"> </w:t>
      </w:r>
      <w:r w:rsidR="009B72BB">
        <w:rPr>
          <w:lang w:eastAsia="en-NZ"/>
        </w:rPr>
        <w:t>requires</w:t>
      </w:r>
      <w:r w:rsidR="003D640C">
        <w:rPr>
          <w:lang w:eastAsia="en-NZ"/>
        </w:rPr>
        <w:t xml:space="preserve"> </w:t>
      </w:r>
      <w:r w:rsidR="009B72BB">
        <w:rPr>
          <w:lang w:eastAsia="en-NZ"/>
        </w:rPr>
        <w:t>States</w:t>
      </w:r>
      <w:r w:rsidR="003D640C">
        <w:rPr>
          <w:lang w:eastAsia="en-NZ"/>
        </w:rPr>
        <w:t xml:space="preserve"> </w:t>
      </w:r>
      <w:r w:rsidR="009B72BB">
        <w:rPr>
          <w:lang w:eastAsia="en-NZ"/>
        </w:rPr>
        <w:t>to</w:t>
      </w:r>
      <w:r w:rsidR="003D640C">
        <w:rPr>
          <w:lang w:eastAsia="en-NZ"/>
        </w:rPr>
        <w:t xml:space="preserve"> </w:t>
      </w:r>
      <w:r w:rsidR="009B72BB">
        <w:rPr>
          <w:lang w:eastAsia="en-NZ"/>
        </w:rPr>
        <w:t>respect</w:t>
      </w:r>
      <w:r w:rsidR="003D640C">
        <w:rPr>
          <w:lang w:eastAsia="en-NZ"/>
        </w:rPr>
        <w:t xml:space="preserve"> </w:t>
      </w:r>
      <w:r w:rsidR="009B72BB">
        <w:rPr>
          <w:lang w:eastAsia="en-NZ"/>
        </w:rPr>
        <w:t>the</w:t>
      </w:r>
      <w:r w:rsidR="003D640C">
        <w:rPr>
          <w:lang w:eastAsia="en-NZ"/>
        </w:rPr>
        <w:t xml:space="preserve"> </w:t>
      </w:r>
      <w:r w:rsidR="00E91214">
        <w:rPr>
          <w:lang w:eastAsia="en-NZ"/>
        </w:rPr>
        <w:t>rights</w:t>
      </w:r>
      <w:r w:rsidR="003D640C">
        <w:rPr>
          <w:lang w:eastAsia="en-NZ"/>
        </w:rPr>
        <w:t xml:space="preserve"> </w:t>
      </w:r>
      <w:r w:rsidR="00E91214">
        <w:rPr>
          <w:lang w:eastAsia="en-NZ"/>
        </w:rPr>
        <w:t>and</w:t>
      </w:r>
      <w:r w:rsidR="003D640C">
        <w:rPr>
          <w:lang w:eastAsia="en-NZ"/>
        </w:rPr>
        <w:t xml:space="preserve"> </w:t>
      </w:r>
      <w:r w:rsidR="00E91214">
        <w:rPr>
          <w:lang w:eastAsia="en-NZ"/>
        </w:rPr>
        <w:t>duties</w:t>
      </w:r>
      <w:r w:rsidR="003D640C">
        <w:rPr>
          <w:lang w:eastAsia="en-NZ"/>
        </w:rPr>
        <w:t xml:space="preserve"> </w:t>
      </w:r>
      <w:r w:rsidR="00E91214">
        <w:rPr>
          <w:lang w:eastAsia="en-NZ"/>
        </w:rPr>
        <w:t>of</w:t>
      </w:r>
      <w:r w:rsidR="003D640C">
        <w:rPr>
          <w:lang w:eastAsia="en-NZ"/>
        </w:rPr>
        <w:t xml:space="preserve"> </w:t>
      </w:r>
      <w:r w:rsidR="00E91214">
        <w:rPr>
          <w:lang w:eastAsia="en-NZ"/>
        </w:rPr>
        <w:t>parents</w:t>
      </w:r>
      <w:r w:rsidR="003D640C">
        <w:rPr>
          <w:lang w:eastAsia="en-NZ"/>
        </w:rPr>
        <w:t xml:space="preserve"> </w:t>
      </w:r>
      <w:r w:rsidR="00E91214">
        <w:rPr>
          <w:lang w:eastAsia="en-NZ"/>
        </w:rPr>
        <w:t>and</w:t>
      </w:r>
      <w:r w:rsidR="003D640C">
        <w:rPr>
          <w:lang w:eastAsia="en-NZ"/>
        </w:rPr>
        <w:t xml:space="preserve"> </w:t>
      </w:r>
      <w:r w:rsidR="00E91214">
        <w:rPr>
          <w:lang w:eastAsia="en-NZ"/>
        </w:rPr>
        <w:t>legal</w:t>
      </w:r>
      <w:r w:rsidR="003D640C">
        <w:rPr>
          <w:lang w:eastAsia="en-NZ"/>
        </w:rPr>
        <w:t xml:space="preserve"> </w:t>
      </w:r>
      <w:r w:rsidR="00E91214">
        <w:rPr>
          <w:lang w:eastAsia="en-NZ"/>
        </w:rPr>
        <w:t>guardians</w:t>
      </w:r>
      <w:r w:rsidR="003D640C">
        <w:rPr>
          <w:lang w:eastAsia="en-NZ"/>
        </w:rPr>
        <w:t xml:space="preserve"> </w:t>
      </w:r>
      <w:r w:rsidR="00E91214">
        <w:rPr>
          <w:lang w:eastAsia="en-NZ"/>
        </w:rPr>
        <w:t>to</w:t>
      </w:r>
      <w:r w:rsidR="003D640C">
        <w:rPr>
          <w:lang w:eastAsia="en-NZ"/>
        </w:rPr>
        <w:t xml:space="preserve"> </w:t>
      </w:r>
      <w:r w:rsidR="00350D22" w:rsidRPr="00350D22">
        <w:rPr>
          <w:lang w:eastAsia="en-NZ"/>
        </w:rPr>
        <w:t>provide</w:t>
      </w:r>
      <w:r w:rsidR="003D640C">
        <w:rPr>
          <w:lang w:eastAsia="en-NZ"/>
        </w:rPr>
        <w:t xml:space="preserve"> </w:t>
      </w:r>
      <w:r w:rsidR="00E37100">
        <w:rPr>
          <w:lang w:eastAsia="en-NZ"/>
        </w:rPr>
        <w:t>children</w:t>
      </w:r>
      <w:r w:rsidR="003D640C">
        <w:rPr>
          <w:lang w:eastAsia="en-NZ"/>
        </w:rPr>
        <w:t xml:space="preserve"> </w:t>
      </w:r>
      <w:r w:rsidR="00E37100">
        <w:rPr>
          <w:lang w:eastAsia="en-NZ"/>
        </w:rPr>
        <w:t>with</w:t>
      </w:r>
      <w:r w:rsidR="003D640C">
        <w:rPr>
          <w:lang w:eastAsia="en-NZ"/>
        </w:rPr>
        <w:t xml:space="preserve"> </w:t>
      </w:r>
      <w:r w:rsidR="00350D22" w:rsidRPr="00350D22">
        <w:rPr>
          <w:lang w:eastAsia="en-NZ"/>
        </w:rPr>
        <w:t>direction</w:t>
      </w:r>
      <w:r w:rsidR="003D640C">
        <w:rPr>
          <w:lang w:eastAsia="en-NZ"/>
        </w:rPr>
        <w:t xml:space="preserve"> </w:t>
      </w:r>
      <w:r w:rsidR="00E37100">
        <w:rPr>
          <w:lang w:eastAsia="en-NZ"/>
        </w:rPr>
        <w:t>about</w:t>
      </w:r>
      <w:r w:rsidR="003D640C">
        <w:rPr>
          <w:lang w:eastAsia="en-NZ"/>
        </w:rPr>
        <w:t xml:space="preserve"> </w:t>
      </w:r>
      <w:r w:rsidR="00E37100">
        <w:rPr>
          <w:lang w:eastAsia="en-NZ"/>
        </w:rPr>
        <w:t>this</w:t>
      </w:r>
      <w:r w:rsidR="003D640C">
        <w:rPr>
          <w:lang w:eastAsia="en-NZ"/>
        </w:rPr>
        <w:t xml:space="preserve"> </w:t>
      </w:r>
      <w:r w:rsidR="00350D22" w:rsidRPr="00350D22">
        <w:rPr>
          <w:lang w:eastAsia="en-NZ"/>
        </w:rPr>
        <w:t>right</w:t>
      </w:r>
      <w:r w:rsidR="003D640C">
        <w:rPr>
          <w:lang w:eastAsia="en-NZ"/>
        </w:rPr>
        <w:t xml:space="preserve"> </w:t>
      </w:r>
      <w:r w:rsidR="00943398">
        <w:rPr>
          <w:lang w:eastAsia="en-NZ"/>
        </w:rPr>
        <w:t>“</w:t>
      </w:r>
      <w:r w:rsidR="00350D22" w:rsidRPr="00350D22">
        <w:rPr>
          <w:lang w:eastAsia="en-NZ"/>
        </w:rPr>
        <w:t>in</w:t>
      </w:r>
      <w:r w:rsidR="003D640C">
        <w:rPr>
          <w:lang w:eastAsia="en-NZ"/>
        </w:rPr>
        <w:t xml:space="preserve"> </w:t>
      </w:r>
      <w:r w:rsidR="00350D22" w:rsidRPr="00350D22">
        <w:rPr>
          <w:lang w:eastAsia="en-NZ"/>
        </w:rPr>
        <w:t>a</w:t>
      </w:r>
      <w:r w:rsidR="003D640C">
        <w:rPr>
          <w:lang w:eastAsia="en-NZ"/>
        </w:rPr>
        <w:t xml:space="preserve"> </w:t>
      </w:r>
      <w:r w:rsidR="00350D22" w:rsidRPr="00350D22">
        <w:rPr>
          <w:lang w:eastAsia="en-NZ"/>
        </w:rPr>
        <w:t>manner</w:t>
      </w:r>
      <w:r w:rsidR="003D640C">
        <w:rPr>
          <w:lang w:eastAsia="en-NZ"/>
        </w:rPr>
        <w:t xml:space="preserve"> </w:t>
      </w:r>
      <w:r w:rsidR="00350D22" w:rsidRPr="00350D22">
        <w:rPr>
          <w:lang w:eastAsia="en-NZ"/>
        </w:rPr>
        <w:t>consistent</w:t>
      </w:r>
      <w:r w:rsidR="003D640C">
        <w:rPr>
          <w:lang w:eastAsia="en-NZ"/>
        </w:rPr>
        <w:t xml:space="preserve"> </w:t>
      </w:r>
      <w:r w:rsidR="00350D22" w:rsidRPr="00350D22">
        <w:rPr>
          <w:lang w:eastAsia="en-NZ"/>
        </w:rPr>
        <w:t>with</w:t>
      </w:r>
      <w:r w:rsidR="003D640C">
        <w:rPr>
          <w:lang w:eastAsia="en-NZ"/>
        </w:rPr>
        <w:t xml:space="preserve"> </w:t>
      </w:r>
      <w:r w:rsidR="00350D22" w:rsidRPr="00350D22">
        <w:rPr>
          <w:lang w:eastAsia="en-NZ"/>
        </w:rPr>
        <w:t>the</w:t>
      </w:r>
      <w:r w:rsidR="003D640C">
        <w:rPr>
          <w:lang w:eastAsia="en-NZ"/>
        </w:rPr>
        <w:t xml:space="preserve"> </w:t>
      </w:r>
      <w:r w:rsidR="00350D22" w:rsidRPr="00350D22">
        <w:rPr>
          <w:lang w:eastAsia="en-NZ"/>
        </w:rPr>
        <w:t>evolving</w:t>
      </w:r>
      <w:r w:rsidR="003D640C">
        <w:rPr>
          <w:lang w:eastAsia="en-NZ"/>
        </w:rPr>
        <w:t xml:space="preserve"> </w:t>
      </w:r>
      <w:r w:rsidR="00350D22" w:rsidRPr="00350D22">
        <w:rPr>
          <w:lang w:eastAsia="en-NZ"/>
        </w:rPr>
        <w:t>capacities</w:t>
      </w:r>
      <w:r w:rsidR="003D640C">
        <w:rPr>
          <w:lang w:eastAsia="en-NZ"/>
        </w:rPr>
        <w:t xml:space="preserve"> </w:t>
      </w:r>
      <w:r w:rsidR="00350D22" w:rsidRPr="00350D22">
        <w:rPr>
          <w:lang w:eastAsia="en-NZ"/>
        </w:rPr>
        <w:t>of</w:t>
      </w:r>
      <w:r w:rsidR="003D640C">
        <w:rPr>
          <w:lang w:eastAsia="en-NZ"/>
        </w:rPr>
        <w:t xml:space="preserve"> </w:t>
      </w:r>
      <w:r w:rsidR="00350D22" w:rsidRPr="00350D22">
        <w:rPr>
          <w:lang w:eastAsia="en-NZ"/>
        </w:rPr>
        <w:t>the</w:t>
      </w:r>
      <w:r w:rsidR="003D640C">
        <w:rPr>
          <w:lang w:eastAsia="en-NZ"/>
        </w:rPr>
        <w:t xml:space="preserve"> </w:t>
      </w:r>
      <w:r w:rsidR="00350D22" w:rsidRPr="00350D22">
        <w:rPr>
          <w:lang w:eastAsia="en-NZ"/>
        </w:rPr>
        <w:t>child</w:t>
      </w:r>
      <w:r w:rsidR="00943398">
        <w:rPr>
          <w:lang w:eastAsia="en-NZ"/>
        </w:rPr>
        <w:t>”.</w:t>
      </w:r>
    </w:p>
    <w:p w14:paraId="43AD07C0" w14:textId="05A1F722" w:rsidR="00EA6488" w:rsidRDefault="006A2ED6" w:rsidP="00B2336B">
      <w:pPr>
        <w:rPr>
          <w:lang w:eastAsia="en-NZ"/>
        </w:rPr>
      </w:pPr>
      <w:r>
        <w:rPr>
          <w:lang w:eastAsia="en-NZ"/>
        </w:rPr>
        <w:t>Section 5 of t</w:t>
      </w:r>
      <w:r w:rsidR="007B738A">
        <w:rPr>
          <w:lang w:eastAsia="en-NZ"/>
        </w:rPr>
        <w:t>he</w:t>
      </w:r>
      <w:r w:rsidR="003D640C">
        <w:rPr>
          <w:lang w:eastAsia="en-NZ"/>
        </w:rPr>
        <w:t xml:space="preserve"> </w:t>
      </w:r>
      <w:r w:rsidR="00CA44BA">
        <w:rPr>
          <w:lang w:eastAsia="en-NZ"/>
        </w:rPr>
        <w:t>CPPLA</w:t>
      </w:r>
      <w:r w:rsidR="003D640C">
        <w:rPr>
          <w:lang w:eastAsia="en-NZ"/>
        </w:rPr>
        <w:t xml:space="preserve"> </w:t>
      </w:r>
      <w:r w:rsidR="006079B3">
        <w:rPr>
          <w:lang w:eastAsia="en-NZ"/>
        </w:rPr>
        <w:t>respects</w:t>
      </w:r>
      <w:r w:rsidR="003D640C">
        <w:rPr>
          <w:lang w:eastAsia="en-NZ"/>
        </w:rPr>
        <w:t xml:space="preserve"> </w:t>
      </w:r>
      <w:r w:rsidR="006079B3">
        <w:rPr>
          <w:lang w:eastAsia="en-NZ"/>
        </w:rPr>
        <w:t>this</w:t>
      </w:r>
      <w:r w:rsidR="003D640C">
        <w:rPr>
          <w:lang w:eastAsia="en-NZ"/>
        </w:rPr>
        <w:t xml:space="preserve"> </w:t>
      </w:r>
      <w:r w:rsidR="006079B3">
        <w:rPr>
          <w:lang w:eastAsia="en-NZ"/>
        </w:rPr>
        <w:t>right</w:t>
      </w:r>
      <w:r w:rsidR="003D640C">
        <w:rPr>
          <w:lang w:eastAsia="en-NZ"/>
        </w:rPr>
        <w:t xml:space="preserve"> </w:t>
      </w:r>
      <w:r w:rsidR="004F3319">
        <w:rPr>
          <w:lang w:eastAsia="en-NZ"/>
        </w:rPr>
        <w:t>by</w:t>
      </w:r>
      <w:r w:rsidR="003D640C">
        <w:rPr>
          <w:lang w:eastAsia="en-NZ"/>
        </w:rPr>
        <w:t xml:space="preserve"> </w:t>
      </w:r>
      <w:r w:rsidR="00DF768E">
        <w:rPr>
          <w:lang w:eastAsia="en-NZ"/>
        </w:rPr>
        <w:t>applying</w:t>
      </w:r>
      <w:r w:rsidR="003D640C">
        <w:rPr>
          <w:lang w:eastAsia="en-NZ"/>
        </w:rPr>
        <w:t xml:space="preserve"> </w:t>
      </w:r>
      <w:r w:rsidR="00140447">
        <w:rPr>
          <w:lang w:eastAsia="en-NZ"/>
        </w:rPr>
        <w:t>prohibitions</w:t>
      </w:r>
      <w:r w:rsidR="003D640C">
        <w:rPr>
          <w:lang w:eastAsia="en-NZ"/>
        </w:rPr>
        <w:t xml:space="preserve"> </w:t>
      </w:r>
      <w:r w:rsidR="00BD407B">
        <w:rPr>
          <w:lang w:eastAsia="en-NZ"/>
        </w:rPr>
        <w:t>only</w:t>
      </w:r>
      <w:r w:rsidR="003D640C">
        <w:rPr>
          <w:lang w:eastAsia="en-NZ"/>
        </w:rPr>
        <w:t xml:space="preserve"> </w:t>
      </w:r>
      <w:r w:rsidR="00BD407B">
        <w:rPr>
          <w:lang w:eastAsia="en-NZ"/>
        </w:rPr>
        <w:t>to</w:t>
      </w:r>
      <w:r w:rsidR="003D640C">
        <w:rPr>
          <w:lang w:eastAsia="en-NZ"/>
        </w:rPr>
        <w:t xml:space="preserve"> </w:t>
      </w:r>
      <w:r w:rsidR="00BD407B">
        <w:rPr>
          <w:lang w:eastAsia="en-NZ"/>
        </w:rPr>
        <w:t>actions</w:t>
      </w:r>
      <w:r w:rsidR="003D640C">
        <w:rPr>
          <w:lang w:eastAsia="en-NZ"/>
        </w:rPr>
        <w:t xml:space="preserve"> </w:t>
      </w:r>
      <w:r w:rsidR="00D845CF" w:rsidRPr="00D845CF">
        <w:rPr>
          <w:lang w:eastAsia="en-NZ"/>
        </w:rPr>
        <w:t>taken</w:t>
      </w:r>
      <w:r w:rsidR="003D640C">
        <w:rPr>
          <w:lang w:eastAsia="en-NZ"/>
        </w:rPr>
        <w:t xml:space="preserve"> </w:t>
      </w:r>
      <w:r w:rsidR="00D845CF" w:rsidRPr="00D845CF">
        <w:rPr>
          <w:lang w:eastAsia="en-NZ"/>
        </w:rPr>
        <w:t>towards</w:t>
      </w:r>
      <w:r w:rsidR="003D640C">
        <w:rPr>
          <w:lang w:eastAsia="en-NZ"/>
        </w:rPr>
        <w:t xml:space="preserve"> </w:t>
      </w:r>
      <w:r w:rsidR="00D845CF" w:rsidRPr="00D845CF">
        <w:rPr>
          <w:lang w:eastAsia="en-NZ"/>
        </w:rPr>
        <w:t>an</w:t>
      </w:r>
      <w:r w:rsidR="003D640C">
        <w:rPr>
          <w:lang w:eastAsia="en-NZ"/>
        </w:rPr>
        <w:t xml:space="preserve"> </w:t>
      </w:r>
      <w:r w:rsidR="00D845CF" w:rsidRPr="00D845CF">
        <w:rPr>
          <w:lang w:eastAsia="en-NZ"/>
        </w:rPr>
        <w:t>individual</w:t>
      </w:r>
      <w:r w:rsidR="003D640C">
        <w:rPr>
          <w:lang w:eastAsia="en-NZ"/>
        </w:rPr>
        <w:t xml:space="preserve"> </w:t>
      </w:r>
      <w:r w:rsidR="00D845CF" w:rsidRPr="00D845CF">
        <w:rPr>
          <w:lang w:eastAsia="en-NZ"/>
        </w:rPr>
        <w:t>with</w:t>
      </w:r>
      <w:r w:rsidR="003D640C">
        <w:rPr>
          <w:lang w:eastAsia="en-NZ"/>
        </w:rPr>
        <w:t xml:space="preserve"> </w:t>
      </w:r>
      <w:r w:rsidR="00D845CF" w:rsidRPr="00D845CF">
        <w:rPr>
          <w:lang w:eastAsia="en-NZ"/>
        </w:rPr>
        <w:t>the</w:t>
      </w:r>
      <w:r w:rsidR="003D640C">
        <w:rPr>
          <w:lang w:eastAsia="en-NZ"/>
        </w:rPr>
        <w:t xml:space="preserve"> </w:t>
      </w:r>
      <w:r w:rsidR="00D845CF" w:rsidRPr="00D845CF">
        <w:rPr>
          <w:lang w:eastAsia="en-NZ"/>
        </w:rPr>
        <w:t>intention</w:t>
      </w:r>
      <w:r w:rsidR="003D640C">
        <w:rPr>
          <w:lang w:eastAsia="en-NZ"/>
        </w:rPr>
        <w:t xml:space="preserve"> </w:t>
      </w:r>
      <w:r w:rsidR="00D845CF" w:rsidRPr="00D845CF">
        <w:rPr>
          <w:lang w:eastAsia="en-NZ"/>
        </w:rPr>
        <w:t>of</w:t>
      </w:r>
      <w:r w:rsidR="003D640C">
        <w:rPr>
          <w:lang w:eastAsia="en-NZ"/>
        </w:rPr>
        <w:t xml:space="preserve"> </w:t>
      </w:r>
      <w:r w:rsidR="00D845CF" w:rsidRPr="00D845CF">
        <w:rPr>
          <w:lang w:eastAsia="en-NZ"/>
        </w:rPr>
        <w:t>changing</w:t>
      </w:r>
      <w:r w:rsidR="003D640C">
        <w:rPr>
          <w:lang w:eastAsia="en-NZ"/>
        </w:rPr>
        <w:t xml:space="preserve"> </w:t>
      </w:r>
      <w:r w:rsidR="00D845CF" w:rsidRPr="00D845CF">
        <w:rPr>
          <w:lang w:eastAsia="en-NZ"/>
        </w:rPr>
        <w:t>or</w:t>
      </w:r>
      <w:r w:rsidR="003D640C">
        <w:rPr>
          <w:lang w:eastAsia="en-NZ"/>
        </w:rPr>
        <w:t xml:space="preserve"> </w:t>
      </w:r>
      <w:r w:rsidR="00D845CF" w:rsidRPr="00D845CF">
        <w:rPr>
          <w:lang w:eastAsia="en-NZ"/>
        </w:rPr>
        <w:t>suppressing</w:t>
      </w:r>
      <w:r w:rsidR="003D640C">
        <w:rPr>
          <w:lang w:eastAsia="en-NZ"/>
        </w:rPr>
        <w:t xml:space="preserve"> </w:t>
      </w:r>
      <w:r w:rsidR="00D845CF" w:rsidRPr="00D845CF">
        <w:rPr>
          <w:lang w:eastAsia="en-NZ"/>
        </w:rPr>
        <w:t>their</w:t>
      </w:r>
      <w:r w:rsidR="003D640C">
        <w:rPr>
          <w:lang w:eastAsia="en-NZ"/>
        </w:rPr>
        <w:t xml:space="preserve"> </w:t>
      </w:r>
      <w:r w:rsidR="00D845CF" w:rsidRPr="00D845CF">
        <w:rPr>
          <w:lang w:eastAsia="en-NZ"/>
        </w:rPr>
        <w:t>sexual</w:t>
      </w:r>
      <w:r w:rsidR="003D640C">
        <w:rPr>
          <w:lang w:eastAsia="en-NZ"/>
        </w:rPr>
        <w:t xml:space="preserve"> </w:t>
      </w:r>
      <w:r w:rsidR="00D845CF" w:rsidRPr="00D845CF">
        <w:rPr>
          <w:lang w:eastAsia="en-NZ"/>
        </w:rPr>
        <w:t>orientation,</w:t>
      </w:r>
      <w:r w:rsidR="003D640C">
        <w:rPr>
          <w:lang w:eastAsia="en-NZ"/>
        </w:rPr>
        <w:t xml:space="preserve"> </w:t>
      </w:r>
      <w:r w:rsidR="00D845CF" w:rsidRPr="00D845CF">
        <w:rPr>
          <w:lang w:eastAsia="en-NZ"/>
        </w:rPr>
        <w:t>gender</w:t>
      </w:r>
      <w:r w:rsidR="003D640C">
        <w:rPr>
          <w:lang w:eastAsia="en-NZ"/>
        </w:rPr>
        <w:t xml:space="preserve"> </w:t>
      </w:r>
      <w:r w:rsidR="00D845CF" w:rsidRPr="00D845CF">
        <w:rPr>
          <w:lang w:eastAsia="en-NZ"/>
        </w:rPr>
        <w:t>identity,</w:t>
      </w:r>
      <w:r w:rsidR="003D640C">
        <w:rPr>
          <w:lang w:eastAsia="en-NZ"/>
        </w:rPr>
        <w:t xml:space="preserve"> </w:t>
      </w:r>
      <w:r w:rsidR="00D845CF" w:rsidRPr="00D845CF">
        <w:rPr>
          <w:lang w:eastAsia="en-NZ"/>
        </w:rPr>
        <w:t>or</w:t>
      </w:r>
      <w:r w:rsidR="003D640C">
        <w:rPr>
          <w:lang w:eastAsia="en-NZ"/>
        </w:rPr>
        <w:t xml:space="preserve"> </w:t>
      </w:r>
      <w:r w:rsidR="00D845CF" w:rsidRPr="00D845CF">
        <w:rPr>
          <w:lang w:eastAsia="en-NZ"/>
        </w:rPr>
        <w:t>gender</w:t>
      </w:r>
      <w:r w:rsidR="003D640C">
        <w:rPr>
          <w:lang w:eastAsia="en-NZ"/>
        </w:rPr>
        <w:t xml:space="preserve"> </w:t>
      </w:r>
      <w:r w:rsidR="00D845CF" w:rsidRPr="00D845CF">
        <w:rPr>
          <w:lang w:eastAsia="en-NZ"/>
        </w:rPr>
        <w:t>expression</w:t>
      </w:r>
      <w:r w:rsidR="001D7591">
        <w:rPr>
          <w:lang w:eastAsia="en-NZ"/>
        </w:rPr>
        <w:t>.</w:t>
      </w:r>
    </w:p>
    <w:p w14:paraId="4FD02833" w14:textId="4D041860" w:rsidR="00501068" w:rsidRDefault="00353A4B" w:rsidP="00B2336B">
      <w:pPr>
        <w:rPr>
          <w:rFonts w:eastAsiaTheme="minorEastAsia"/>
          <w:color w:val="000000" w:themeColor="text1"/>
        </w:rPr>
      </w:pPr>
      <w:r>
        <w:rPr>
          <w:rFonts w:eastAsiaTheme="minorEastAsia"/>
          <w:color w:val="000000" w:themeColor="text1"/>
        </w:rPr>
        <w:t>To</w:t>
      </w:r>
      <w:r w:rsidR="003D640C">
        <w:rPr>
          <w:rFonts w:eastAsiaTheme="minorEastAsia"/>
          <w:color w:val="000000" w:themeColor="text1"/>
        </w:rPr>
        <w:t xml:space="preserve"> </w:t>
      </w:r>
      <w:r>
        <w:rPr>
          <w:rFonts w:eastAsiaTheme="minorEastAsia"/>
          <w:color w:val="000000" w:themeColor="text1"/>
        </w:rPr>
        <w:t>further</w:t>
      </w:r>
      <w:r w:rsidR="003D640C">
        <w:rPr>
          <w:rFonts w:eastAsiaTheme="minorEastAsia"/>
          <w:color w:val="000000" w:themeColor="text1"/>
        </w:rPr>
        <w:t xml:space="preserve"> </w:t>
      </w:r>
      <w:r>
        <w:rPr>
          <w:rFonts w:eastAsiaTheme="minorEastAsia"/>
          <w:color w:val="000000" w:themeColor="text1"/>
        </w:rPr>
        <w:t>support</w:t>
      </w:r>
      <w:r w:rsidR="003D640C">
        <w:rPr>
          <w:rFonts w:eastAsiaTheme="minorEastAsia"/>
          <w:color w:val="000000" w:themeColor="text1"/>
        </w:rPr>
        <w:t xml:space="preserve"> </w:t>
      </w:r>
      <w:r>
        <w:rPr>
          <w:rFonts w:eastAsiaTheme="minorEastAsia"/>
          <w:color w:val="000000" w:themeColor="text1"/>
        </w:rPr>
        <w:t>religious</w:t>
      </w:r>
      <w:r w:rsidR="003D640C">
        <w:rPr>
          <w:rFonts w:eastAsiaTheme="minorEastAsia"/>
          <w:color w:val="000000" w:themeColor="text1"/>
        </w:rPr>
        <w:t xml:space="preserve"> </w:t>
      </w:r>
      <w:r>
        <w:rPr>
          <w:rFonts w:eastAsiaTheme="minorEastAsia"/>
          <w:color w:val="000000" w:themeColor="text1"/>
        </w:rPr>
        <w:t>and</w:t>
      </w:r>
      <w:r w:rsidR="003D640C">
        <w:rPr>
          <w:rFonts w:eastAsiaTheme="minorEastAsia"/>
          <w:color w:val="000000" w:themeColor="text1"/>
        </w:rPr>
        <w:t xml:space="preserve"> </w:t>
      </w:r>
      <w:r>
        <w:rPr>
          <w:rFonts w:eastAsiaTheme="minorEastAsia"/>
          <w:color w:val="000000" w:themeColor="text1"/>
        </w:rPr>
        <w:t>faith</w:t>
      </w:r>
      <w:r w:rsidR="003D640C">
        <w:rPr>
          <w:rFonts w:eastAsiaTheme="minorEastAsia"/>
          <w:color w:val="000000" w:themeColor="text1"/>
        </w:rPr>
        <w:t xml:space="preserve"> </w:t>
      </w:r>
      <w:r>
        <w:rPr>
          <w:rFonts w:eastAsiaTheme="minorEastAsia"/>
          <w:color w:val="000000" w:themeColor="text1"/>
        </w:rPr>
        <w:t>communities</w:t>
      </w:r>
      <w:r w:rsidR="003D640C">
        <w:rPr>
          <w:rFonts w:eastAsiaTheme="minorEastAsia"/>
          <w:color w:val="000000" w:themeColor="text1"/>
        </w:rPr>
        <w:t xml:space="preserve"> </w:t>
      </w:r>
      <w:r w:rsidR="009626C1">
        <w:rPr>
          <w:rFonts w:eastAsiaTheme="minorEastAsia"/>
          <w:color w:val="000000" w:themeColor="text1"/>
        </w:rPr>
        <w:t>to</w:t>
      </w:r>
      <w:r w:rsidR="003D640C">
        <w:rPr>
          <w:rFonts w:eastAsiaTheme="minorEastAsia"/>
          <w:color w:val="000000" w:themeColor="text1"/>
        </w:rPr>
        <w:t xml:space="preserve"> </w:t>
      </w:r>
      <w:r w:rsidR="009626C1">
        <w:rPr>
          <w:rFonts w:eastAsiaTheme="minorEastAsia"/>
          <w:color w:val="000000" w:themeColor="text1"/>
        </w:rPr>
        <w:t>understand</w:t>
      </w:r>
      <w:r w:rsidR="003D640C">
        <w:rPr>
          <w:rFonts w:eastAsiaTheme="minorEastAsia"/>
          <w:color w:val="000000" w:themeColor="text1"/>
        </w:rPr>
        <w:t xml:space="preserve"> </w:t>
      </w:r>
      <w:r w:rsidR="009626C1">
        <w:rPr>
          <w:rFonts w:eastAsiaTheme="minorEastAsia"/>
          <w:color w:val="000000" w:themeColor="text1"/>
        </w:rPr>
        <w:t>the</w:t>
      </w:r>
      <w:r w:rsidR="003D640C">
        <w:rPr>
          <w:rFonts w:eastAsiaTheme="minorEastAsia"/>
          <w:color w:val="000000" w:themeColor="text1"/>
        </w:rPr>
        <w:t xml:space="preserve"> </w:t>
      </w:r>
      <w:r w:rsidR="009626C1">
        <w:rPr>
          <w:rFonts w:eastAsiaTheme="minorEastAsia"/>
          <w:color w:val="000000" w:themeColor="text1"/>
        </w:rPr>
        <w:t>legal</w:t>
      </w:r>
      <w:r w:rsidR="003D640C">
        <w:rPr>
          <w:rFonts w:eastAsiaTheme="minorEastAsia"/>
          <w:color w:val="000000" w:themeColor="text1"/>
        </w:rPr>
        <w:t xml:space="preserve"> </w:t>
      </w:r>
      <w:r w:rsidR="009626C1">
        <w:rPr>
          <w:rFonts w:eastAsiaTheme="minorEastAsia"/>
          <w:color w:val="000000" w:themeColor="text1"/>
        </w:rPr>
        <w:t>requirements,</w:t>
      </w:r>
      <w:r w:rsidR="003D640C">
        <w:rPr>
          <w:rFonts w:eastAsiaTheme="minorEastAsia"/>
          <w:color w:val="000000" w:themeColor="text1"/>
        </w:rPr>
        <w:t xml:space="preserve"> </w:t>
      </w:r>
      <w:r w:rsidR="006A2ED6">
        <w:rPr>
          <w:rFonts w:eastAsiaTheme="minorEastAsia"/>
          <w:color w:val="000000" w:themeColor="text1"/>
        </w:rPr>
        <w:t xml:space="preserve">section 5 of </w:t>
      </w:r>
      <w:r w:rsidR="009626C1">
        <w:rPr>
          <w:rFonts w:eastAsiaTheme="minorEastAsia"/>
          <w:color w:val="000000" w:themeColor="text1"/>
        </w:rPr>
        <w:t>t</w:t>
      </w:r>
      <w:r w:rsidR="003D1392">
        <w:rPr>
          <w:rFonts w:eastAsiaTheme="minorEastAsia"/>
          <w:color w:val="000000" w:themeColor="text1"/>
        </w:rPr>
        <w:t>he</w:t>
      </w:r>
      <w:r w:rsidR="003D640C">
        <w:rPr>
          <w:rFonts w:eastAsiaTheme="minorEastAsia"/>
          <w:color w:val="000000" w:themeColor="text1"/>
        </w:rPr>
        <w:t xml:space="preserve"> </w:t>
      </w:r>
      <w:r w:rsidR="003D1392">
        <w:rPr>
          <w:rFonts w:eastAsiaTheme="minorEastAsia"/>
          <w:color w:val="000000" w:themeColor="text1"/>
        </w:rPr>
        <w:t>CPPLA</w:t>
      </w:r>
      <w:r w:rsidR="003D640C">
        <w:rPr>
          <w:rFonts w:eastAsiaTheme="minorEastAsia"/>
          <w:color w:val="000000" w:themeColor="text1"/>
        </w:rPr>
        <w:t xml:space="preserve"> </w:t>
      </w:r>
      <w:r w:rsidR="5CDFF3B4" w:rsidRPr="00BB6220">
        <w:rPr>
          <w:rFonts w:eastAsiaTheme="minorEastAsia"/>
          <w:color w:val="000000" w:themeColor="text1"/>
        </w:rPr>
        <w:t>provide</w:t>
      </w:r>
      <w:r w:rsidR="009626C1">
        <w:rPr>
          <w:rFonts w:eastAsiaTheme="minorEastAsia"/>
          <w:color w:val="000000" w:themeColor="text1"/>
        </w:rPr>
        <w:t>s</w:t>
      </w:r>
      <w:r w:rsidR="003D640C">
        <w:rPr>
          <w:rFonts w:eastAsiaTheme="minorEastAsia"/>
          <w:color w:val="000000" w:themeColor="text1"/>
        </w:rPr>
        <w:t xml:space="preserve"> </w:t>
      </w:r>
      <w:r w:rsidR="5CDFF3B4" w:rsidRPr="00BB6220">
        <w:rPr>
          <w:rFonts w:eastAsiaTheme="minorEastAsia"/>
          <w:color w:val="000000" w:themeColor="text1"/>
        </w:rPr>
        <w:t>examples</w:t>
      </w:r>
      <w:r w:rsidR="003D640C">
        <w:rPr>
          <w:rFonts w:eastAsiaTheme="minorEastAsia"/>
          <w:color w:val="000000" w:themeColor="text1"/>
        </w:rPr>
        <w:t xml:space="preserve"> </w:t>
      </w:r>
      <w:r w:rsidR="5CDFF3B4" w:rsidRPr="00BB6220">
        <w:rPr>
          <w:rFonts w:eastAsiaTheme="minorEastAsia"/>
          <w:color w:val="000000" w:themeColor="text1"/>
        </w:rPr>
        <w:t>of</w:t>
      </w:r>
      <w:r w:rsidR="003D640C">
        <w:rPr>
          <w:rFonts w:eastAsiaTheme="minorEastAsia"/>
          <w:color w:val="000000" w:themeColor="text1"/>
        </w:rPr>
        <w:t xml:space="preserve"> </w:t>
      </w:r>
      <w:r w:rsidR="00CA2043">
        <w:rPr>
          <w:rFonts w:eastAsiaTheme="minorEastAsia"/>
          <w:color w:val="000000" w:themeColor="text1"/>
        </w:rPr>
        <w:t>what</w:t>
      </w:r>
      <w:r w:rsidR="003D640C">
        <w:rPr>
          <w:rFonts w:eastAsiaTheme="minorEastAsia"/>
          <w:color w:val="000000" w:themeColor="text1"/>
        </w:rPr>
        <w:t xml:space="preserve"> </w:t>
      </w:r>
      <w:r w:rsidR="00E3224F">
        <w:rPr>
          <w:rFonts w:eastAsiaTheme="minorEastAsia"/>
          <w:color w:val="000000" w:themeColor="text1"/>
        </w:rPr>
        <w:t>could</w:t>
      </w:r>
      <w:r w:rsidR="003D640C">
        <w:rPr>
          <w:rFonts w:eastAsiaTheme="minorEastAsia"/>
          <w:color w:val="000000" w:themeColor="text1"/>
        </w:rPr>
        <w:t xml:space="preserve"> </w:t>
      </w:r>
      <w:r w:rsidR="00E3224F">
        <w:rPr>
          <w:rFonts w:eastAsiaTheme="minorEastAsia"/>
          <w:color w:val="000000" w:themeColor="text1"/>
        </w:rPr>
        <w:t>qualify</w:t>
      </w:r>
      <w:r w:rsidR="003D640C">
        <w:rPr>
          <w:rFonts w:eastAsiaTheme="minorEastAsia"/>
          <w:color w:val="000000" w:themeColor="text1"/>
        </w:rPr>
        <w:t xml:space="preserve"> </w:t>
      </w:r>
      <w:r w:rsidR="00E3224F">
        <w:rPr>
          <w:rFonts w:eastAsiaTheme="minorEastAsia"/>
          <w:color w:val="000000" w:themeColor="text1"/>
        </w:rPr>
        <w:t>as</w:t>
      </w:r>
      <w:r w:rsidR="003D640C">
        <w:rPr>
          <w:rFonts w:eastAsiaTheme="minorEastAsia"/>
          <w:color w:val="000000" w:themeColor="text1"/>
        </w:rPr>
        <w:t xml:space="preserve"> </w:t>
      </w:r>
      <w:r w:rsidR="5CDFF3B4" w:rsidRPr="00BB6220">
        <w:rPr>
          <w:rFonts w:eastAsiaTheme="minorEastAsia"/>
          <w:color w:val="000000" w:themeColor="text1"/>
        </w:rPr>
        <w:t>conversion</w:t>
      </w:r>
      <w:r w:rsidR="003D640C">
        <w:rPr>
          <w:rFonts w:eastAsiaTheme="minorEastAsia"/>
          <w:color w:val="000000" w:themeColor="text1"/>
        </w:rPr>
        <w:t xml:space="preserve"> </w:t>
      </w:r>
      <w:r w:rsidR="5CDFF3B4" w:rsidRPr="00BB6220">
        <w:rPr>
          <w:rFonts w:eastAsiaTheme="minorEastAsia"/>
          <w:color w:val="000000" w:themeColor="text1"/>
        </w:rPr>
        <w:t>practices</w:t>
      </w:r>
      <w:r w:rsidR="007005A7">
        <w:rPr>
          <w:rFonts w:eastAsiaTheme="minorEastAsia"/>
          <w:color w:val="000000" w:themeColor="text1"/>
        </w:rPr>
        <w:t>.</w:t>
      </w:r>
      <w:r w:rsidR="003D640C">
        <w:rPr>
          <w:rFonts w:eastAsiaTheme="minorEastAsia"/>
          <w:color w:val="000000" w:themeColor="text1"/>
        </w:rPr>
        <w:t xml:space="preserve"> </w:t>
      </w:r>
      <w:r w:rsidR="66846764" w:rsidRPr="00BB6220">
        <w:rPr>
          <w:rFonts w:eastAsiaTheme="minorEastAsia"/>
          <w:color w:val="000000" w:themeColor="text1"/>
        </w:rPr>
        <w:t>One</w:t>
      </w:r>
      <w:r w:rsidR="003D640C">
        <w:rPr>
          <w:rFonts w:eastAsiaTheme="minorEastAsia"/>
          <w:color w:val="000000" w:themeColor="text1"/>
        </w:rPr>
        <w:t xml:space="preserve"> </w:t>
      </w:r>
      <w:r w:rsidR="5FEDCE36" w:rsidRPr="00BB6220">
        <w:rPr>
          <w:rFonts w:eastAsiaTheme="minorEastAsia"/>
          <w:color w:val="000000" w:themeColor="text1"/>
        </w:rPr>
        <w:t>of</w:t>
      </w:r>
      <w:r w:rsidR="003D640C">
        <w:rPr>
          <w:rFonts w:eastAsiaTheme="minorEastAsia"/>
          <w:color w:val="000000" w:themeColor="text1"/>
        </w:rPr>
        <w:t xml:space="preserve"> </w:t>
      </w:r>
      <w:r w:rsidR="5FEDCE36" w:rsidRPr="00BB6220">
        <w:rPr>
          <w:rFonts w:eastAsiaTheme="minorEastAsia"/>
          <w:color w:val="000000" w:themeColor="text1"/>
        </w:rPr>
        <w:t>the</w:t>
      </w:r>
      <w:r w:rsidR="003D640C">
        <w:rPr>
          <w:rFonts w:eastAsiaTheme="minorEastAsia"/>
          <w:color w:val="000000" w:themeColor="text1"/>
        </w:rPr>
        <w:t xml:space="preserve"> </w:t>
      </w:r>
      <w:r w:rsidR="003D0674" w:rsidRPr="00BB6220">
        <w:rPr>
          <w:rFonts w:eastAsiaTheme="minorEastAsia"/>
          <w:color w:val="000000" w:themeColor="text1"/>
        </w:rPr>
        <w:t>examples</w:t>
      </w:r>
      <w:r w:rsidR="003D640C">
        <w:rPr>
          <w:rFonts w:eastAsiaTheme="minorEastAsia"/>
          <w:color w:val="000000" w:themeColor="text1"/>
        </w:rPr>
        <w:t xml:space="preserve"> </w:t>
      </w:r>
      <w:r w:rsidR="003D0674" w:rsidRPr="00BB6220">
        <w:rPr>
          <w:rFonts w:eastAsiaTheme="minorEastAsia"/>
          <w:color w:val="000000" w:themeColor="text1"/>
        </w:rPr>
        <w:t>focuses</w:t>
      </w:r>
      <w:r w:rsidR="003D640C">
        <w:rPr>
          <w:rFonts w:eastAsiaTheme="minorEastAsia"/>
          <w:color w:val="000000" w:themeColor="text1"/>
        </w:rPr>
        <w:t xml:space="preserve"> </w:t>
      </w:r>
      <w:r w:rsidR="003D0674" w:rsidRPr="00BB6220">
        <w:rPr>
          <w:rFonts w:eastAsiaTheme="minorEastAsia"/>
          <w:color w:val="000000" w:themeColor="text1"/>
        </w:rPr>
        <w:t>on</w:t>
      </w:r>
      <w:r w:rsidR="003D640C">
        <w:rPr>
          <w:rFonts w:eastAsiaTheme="minorEastAsia"/>
          <w:color w:val="000000" w:themeColor="text1"/>
        </w:rPr>
        <w:t xml:space="preserve"> </w:t>
      </w:r>
      <w:r w:rsidR="003D0674" w:rsidRPr="00BB6220">
        <w:rPr>
          <w:rFonts w:eastAsiaTheme="minorEastAsia"/>
          <w:color w:val="000000" w:themeColor="text1"/>
        </w:rPr>
        <w:t>religious</w:t>
      </w:r>
      <w:r w:rsidR="003D640C">
        <w:rPr>
          <w:rFonts w:eastAsiaTheme="minorEastAsia"/>
          <w:color w:val="000000" w:themeColor="text1"/>
        </w:rPr>
        <w:t xml:space="preserve"> </w:t>
      </w:r>
      <w:r w:rsidR="003D0674" w:rsidRPr="00BB6220">
        <w:rPr>
          <w:rFonts w:eastAsiaTheme="minorEastAsia"/>
          <w:color w:val="000000" w:themeColor="text1"/>
        </w:rPr>
        <w:t>practices,</w:t>
      </w:r>
      <w:r w:rsidR="003D640C">
        <w:rPr>
          <w:rFonts w:eastAsiaTheme="minorEastAsia"/>
          <w:color w:val="000000" w:themeColor="text1"/>
        </w:rPr>
        <w:t xml:space="preserve"> </w:t>
      </w:r>
      <w:r w:rsidR="003D0674" w:rsidRPr="00BB6220">
        <w:rPr>
          <w:rFonts w:eastAsiaTheme="minorEastAsia"/>
          <w:color w:val="000000" w:themeColor="text1"/>
        </w:rPr>
        <w:t>including</w:t>
      </w:r>
      <w:r w:rsidR="003D640C">
        <w:rPr>
          <w:rFonts w:eastAsiaTheme="minorEastAsia"/>
          <w:color w:val="000000" w:themeColor="text1"/>
        </w:rPr>
        <w:t xml:space="preserve"> </w:t>
      </w:r>
      <w:r w:rsidR="49C9D9CB" w:rsidRPr="00BB6220">
        <w:rPr>
          <w:rFonts w:eastAsiaTheme="minorEastAsia"/>
          <w:color w:val="000000" w:themeColor="text1"/>
        </w:rPr>
        <w:t>“carrying</w:t>
      </w:r>
      <w:r w:rsidR="003D640C">
        <w:rPr>
          <w:rFonts w:eastAsiaTheme="minorEastAsia"/>
          <w:color w:val="000000" w:themeColor="text1"/>
        </w:rPr>
        <w:t xml:space="preserve"> </w:t>
      </w:r>
      <w:r w:rsidR="49C9D9CB" w:rsidRPr="00BB6220">
        <w:rPr>
          <w:rFonts w:eastAsiaTheme="minorEastAsia"/>
          <w:color w:val="000000" w:themeColor="text1"/>
        </w:rPr>
        <w:t>out</w:t>
      </w:r>
      <w:r w:rsidR="003D640C">
        <w:rPr>
          <w:rFonts w:eastAsiaTheme="minorEastAsia"/>
          <w:color w:val="000000" w:themeColor="text1"/>
        </w:rPr>
        <w:t xml:space="preserve"> </w:t>
      </w:r>
      <w:r w:rsidR="49C9D9CB" w:rsidRPr="00BB6220">
        <w:rPr>
          <w:rFonts w:eastAsiaTheme="minorEastAsia"/>
          <w:color w:val="000000" w:themeColor="text1"/>
        </w:rPr>
        <w:t>a</w:t>
      </w:r>
      <w:r w:rsidR="003D640C">
        <w:rPr>
          <w:rFonts w:eastAsiaTheme="minorEastAsia"/>
          <w:color w:val="000000" w:themeColor="text1"/>
        </w:rPr>
        <w:t xml:space="preserve"> </w:t>
      </w:r>
      <w:r w:rsidR="49C9D9CB" w:rsidRPr="00BB6220">
        <w:rPr>
          <w:rFonts w:eastAsiaTheme="minorEastAsia"/>
          <w:color w:val="000000" w:themeColor="text1"/>
        </w:rPr>
        <w:t>prayer-based</w:t>
      </w:r>
      <w:r w:rsidR="003D640C">
        <w:rPr>
          <w:rFonts w:eastAsiaTheme="minorEastAsia"/>
          <w:color w:val="000000" w:themeColor="text1"/>
        </w:rPr>
        <w:t xml:space="preserve"> </w:t>
      </w:r>
      <w:r w:rsidR="49C9D9CB" w:rsidRPr="00BB6220">
        <w:rPr>
          <w:rFonts w:eastAsiaTheme="minorEastAsia"/>
          <w:color w:val="000000" w:themeColor="text1"/>
        </w:rPr>
        <w:t>practice,</w:t>
      </w:r>
      <w:r w:rsidR="003D640C">
        <w:rPr>
          <w:rFonts w:eastAsiaTheme="minorEastAsia"/>
          <w:color w:val="000000" w:themeColor="text1"/>
        </w:rPr>
        <w:t xml:space="preserve"> </w:t>
      </w:r>
      <w:r w:rsidR="49C9D9CB" w:rsidRPr="00BB6220">
        <w:rPr>
          <w:rFonts w:eastAsiaTheme="minorEastAsia"/>
          <w:color w:val="000000" w:themeColor="text1"/>
        </w:rPr>
        <w:t>a</w:t>
      </w:r>
      <w:r w:rsidR="003D640C">
        <w:rPr>
          <w:rFonts w:eastAsiaTheme="minorEastAsia"/>
          <w:color w:val="000000" w:themeColor="text1"/>
        </w:rPr>
        <w:t xml:space="preserve"> </w:t>
      </w:r>
      <w:r w:rsidR="49C9D9CB" w:rsidRPr="00BB6220">
        <w:rPr>
          <w:rFonts w:eastAsiaTheme="minorEastAsia"/>
          <w:color w:val="000000" w:themeColor="text1"/>
        </w:rPr>
        <w:t>deliverance</w:t>
      </w:r>
      <w:r w:rsidR="003D640C">
        <w:rPr>
          <w:rFonts w:eastAsiaTheme="minorEastAsia"/>
          <w:color w:val="000000" w:themeColor="text1"/>
        </w:rPr>
        <w:t xml:space="preserve"> </w:t>
      </w:r>
      <w:r w:rsidR="49C9D9CB" w:rsidRPr="00BB6220">
        <w:rPr>
          <w:rFonts w:eastAsiaTheme="minorEastAsia"/>
          <w:color w:val="000000" w:themeColor="text1"/>
        </w:rPr>
        <w:t>practice,</w:t>
      </w:r>
      <w:r w:rsidR="003D640C">
        <w:rPr>
          <w:rFonts w:eastAsiaTheme="minorEastAsia"/>
          <w:color w:val="000000" w:themeColor="text1"/>
        </w:rPr>
        <w:t xml:space="preserve"> </w:t>
      </w:r>
      <w:r w:rsidR="49C9D9CB" w:rsidRPr="00BB6220">
        <w:rPr>
          <w:rFonts w:eastAsiaTheme="minorEastAsia"/>
          <w:color w:val="000000" w:themeColor="text1"/>
        </w:rPr>
        <w:t>or</w:t>
      </w:r>
      <w:r w:rsidR="003D640C">
        <w:rPr>
          <w:rFonts w:eastAsiaTheme="minorEastAsia"/>
          <w:color w:val="000000" w:themeColor="text1"/>
        </w:rPr>
        <w:t xml:space="preserve"> </w:t>
      </w:r>
      <w:r w:rsidR="49C9D9CB" w:rsidRPr="00BB6220">
        <w:rPr>
          <w:rFonts w:eastAsiaTheme="minorEastAsia"/>
          <w:color w:val="000000" w:themeColor="text1"/>
        </w:rPr>
        <w:t>an</w:t>
      </w:r>
      <w:r w:rsidR="003D640C">
        <w:rPr>
          <w:rFonts w:eastAsiaTheme="minorEastAsia"/>
          <w:color w:val="000000" w:themeColor="text1"/>
        </w:rPr>
        <w:t xml:space="preserve"> </w:t>
      </w:r>
      <w:r w:rsidR="49C9D9CB" w:rsidRPr="00BB6220">
        <w:rPr>
          <w:rFonts w:eastAsiaTheme="minorEastAsia"/>
          <w:color w:val="000000" w:themeColor="text1"/>
        </w:rPr>
        <w:t>exorcism</w:t>
      </w:r>
      <w:r w:rsidR="003D640C">
        <w:rPr>
          <w:rFonts w:eastAsiaTheme="minorEastAsia"/>
          <w:color w:val="000000" w:themeColor="text1"/>
        </w:rPr>
        <w:t xml:space="preserve"> </w:t>
      </w:r>
      <w:r w:rsidR="49C9D9CB" w:rsidRPr="00BB6220">
        <w:rPr>
          <w:rFonts w:eastAsiaTheme="minorEastAsia"/>
          <w:color w:val="000000" w:themeColor="text1"/>
        </w:rPr>
        <w:t>intending</w:t>
      </w:r>
      <w:r w:rsidR="003D640C">
        <w:rPr>
          <w:rFonts w:eastAsiaTheme="minorEastAsia"/>
          <w:color w:val="000000" w:themeColor="text1"/>
        </w:rPr>
        <w:t xml:space="preserve"> </w:t>
      </w:r>
      <w:r w:rsidR="49C9D9CB" w:rsidRPr="00BB6220">
        <w:rPr>
          <w:rFonts w:eastAsiaTheme="minorEastAsia"/>
          <w:color w:val="000000" w:themeColor="text1"/>
        </w:rPr>
        <w:t>to</w:t>
      </w:r>
      <w:r w:rsidR="003D640C">
        <w:rPr>
          <w:rFonts w:eastAsiaTheme="minorEastAsia"/>
          <w:color w:val="000000" w:themeColor="text1"/>
        </w:rPr>
        <w:t xml:space="preserve"> </w:t>
      </w:r>
      <w:r w:rsidR="49C9D9CB" w:rsidRPr="00BB6220">
        <w:rPr>
          <w:rFonts w:eastAsiaTheme="minorEastAsia"/>
          <w:color w:val="000000" w:themeColor="text1"/>
        </w:rPr>
        <w:t>change</w:t>
      </w:r>
      <w:r w:rsidR="003D640C">
        <w:rPr>
          <w:rFonts w:eastAsiaTheme="minorEastAsia"/>
          <w:color w:val="000000" w:themeColor="text1"/>
        </w:rPr>
        <w:t xml:space="preserve"> </w:t>
      </w:r>
      <w:r w:rsidR="49C9D9CB" w:rsidRPr="00BB6220">
        <w:rPr>
          <w:rFonts w:eastAsiaTheme="minorEastAsia"/>
          <w:color w:val="000000" w:themeColor="text1"/>
        </w:rPr>
        <w:t>or</w:t>
      </w:r>
      <w:r w:rsidR="003D640C">
        <w:rPr>
          <w:rFonts w:eastAsiaTheme="minorEastAsia"/>
          <w:color w:val="000000" w:themeColor="text1"/>
        </w:rPr>
        <w:t xml:space="preserve"> </w:t>
      </w:r>
      <w:r w:rsidR="49C9D9CB" w:rsidRPr="00BB6220">
        <w:rPr>
          <w:rFonts w:eastAsiaTheme="minorEastAsia"/>
          <w:color w:val="000000" w:themeColor="text1"/>
        </w:rPr>
        <w:t>suppress</w:t>
      </w:r>
      <w:r w:rsidR="003D640C">
        <w:rPr>
          <w:rFonts w:eastAsiaTheme="minorEastAsia"/>
          <w:color w:val="000000" w:themeColor="text1"/>
        </w:rPr>
        <w:t xml:space="preserve"> </w:t>
      </w:r>
      <w:r w:rsidR="49C9D9CB" w:rsidRPr="00BB6220">
        <w:rPr>
          <w:rFonts w:eastAsiaTheme="minorEastAsia"/>
          <w:color w:val="000000" w:themeColor="text1"/>
        </w:rPr>
        <w:t>an</w:t>
      </w:r>
      <w:r w:rsidR="003D640C">
        <w:rPr>
          <w:rFonts w:eastAsiaTheme="minorEastAsia"/>
          <w:color w:val="000000" w:themeColor="text1"/>
        </w:rPr>
        <w:t xml:space="preserve"> </w:t>
      </w:r>
      <w:r w:rsidR="49C9D9CB" w:rsidRPr="00BB6220">
        <w:rPr>
          <w:rFonts w:eastAsiaTheme="minorEastAsia"/>
          <w:color w:val="000000" w:themeColor="text1"/>
        </w:rPr>
        <w:t>individual’s</w:t>
      </w:r>
      <w:r w:rsidR="003D640C">
        <w:rPr>
          <w:rFonts w:eastAsiaTheme="minorEastAsia"/>
          <w:color w:val="000000" w:themeColor="text1"/>
        </w:rPr>
        <w:t xml:space="preserve"> </w:t>
      </w:r>
      <w:r w:rsidR="49C9D9CB" w:rsidRPr="00BB6220">
        <w:rPr>
          <w:rFonts w:eastAsiaTheme="minorEastAsia"/>
          <w:color w:val="000000" w:themeColor="text1"/>
        </w:rPr>
        <w:t>sexual</w:t>
      </w:r>
      <w:r w:rsidR="003D640C">
        <w:rPr>
          <w:rFonts w:eastAsiaTheme="minorEastAsia"/>
          <w:color w:val="000000" w:themeColor="text1"/>
        </w:rPr>
        <w:t xml:space="preserve"> </w:t>
      </w:r>
      <w:r w:rsidR="49C9D9CB" w:rsidRPr="00BB6220">
        <w:rPr>
          <w:rFonts w:eastAsiaTheme="minorEastAsia"/>
          <w:color w:val="000000" w:themeColor="text1"/>
        </w:rPr>
        <w:t>orientation,</w:t>
      </w:r>
      <w:r w:rsidR="003D640C">
        <w:rPr>
          <w:rFonts w:eastAsiaTheme="minorEastAsia"/>
          <w:color w:val="000000" w:themeColor="text1"/>
        </w:rPr>
        <w:t xml:space="preserve"> </w:t>
      </w:r>
      <w:r w:rsidR="49C9D9CB" w:rsidRPr="00BB6220">
        <w:rPr>
          <w:rFonts w:eastAsiaTheme="minorEastAsia"/>
          <w:color w:val="000000" w:themeColor="text1"/>
        </w:rPr>
        <w:t>gender</w:t>
      </w:r>
      <w:r w:rsidR="003D640C">
        <w:rPr>
          <w:rFonts w:eastAsiaTheme="minorEastAsia"/>
          <w:color w:val="000000" w:themeColor="text1"/>
        </w:rPr>
        <w:t xml:space="preserve"> </w:t>
      </w:r>
      <w:r w:rsidR="49C9D9CB" w:rsidRPr="00BB6220">
        <w:rPr>
          <w:rFonts w:eastAsiaTheme="minorEastAsia"/>
          <w:color w:val="000000" w:themeColor="text1"/>
        </w:rPr>
        <w:t>identity,</w:t>
      </w:r>
      <w:r w:rsidR="003D640C">
        <w:rPr>
          <w:rFonts w:eastAsiaTheme="minorEastAsia"/>
          <w:color w:val="000000" w:themeColor="text1"/>
        </w:rPr>
        <w:t xml:space="preserve"> </w:t>
      </w:r>
      <w:r w:rsidR="49C9D9CB" w:rsidRPr="00BB6220">
        <w:rPr>
          <w:rFonts w:eastAsiaTheme="minorEastAsia"/>
          <w:color w:val="000000" w:themeColor="text1"/>
        </w:rPr>
        <w:t>or</w:t>
      </w:r>
      <w:r w:rsidR="003D640C">
        <w:rPr>
          <w:rFonts w:eastAsiaTheme="minorEastAsia"/>
          <w:color w:val="000000" w:themeColor="text1"/>
        </w:rPr>
        <w:t xml:space="preserve"> </w:t>
      </w:r>
      <w:r w:rsidR="49C9D9CB" w:rsidRPr="00BB6220">
        <w:rPr>
          <w:rFonts w:eastAsiaTheme="minorEastAsia"/>
          <w:color w:val="000000" w:themeColor="text1"/>
        </w:rPr>
        <w:t>gender</w:t>
      </w:r>
      <w:r w:rsidR="003D640C">
        <w:rPr>
          <w:rFonts w:eastAsiaTheme="minorEastAsia"/>
          <w:color w:val="000000" w:themeColor="text1"/>
        </w:rPr>
        <w:t xml:space="preserve"> </w:t>
      </w:r>
      <w:r w:rsidR="49C9D9CB" w:rsidRPr="00BB6220">
        <w:rPr>
          <w:rFonts w:eastAsiaTheme="minorEastAsia"/>
          <w:color w:val="000000" w:themeColor="text1"/>
        </w:rPr>
        <w:t>expression</w:t>
      </w:r>
      <w:r w:rsidR="5D3748F2" w:rsidRPr="00BB6220">
        <w:rPr>
          <w:rFonts w:eastAsiaTheme="minorEastAsia"/>
          <w:color w:val="000000" w:themeColor="text1"/>
        </w:rPr>
        <w:t>”</w:t>
      </w:r>
      <w:r w:rsidR="006A2ED6">
        <w:rPr>
          <w:rFonts w:eastAsiaTheme="minorEastAsia"/>
          <w:color w:val="000000" w:themeColor="text1"/>
        </w:rPr>
        <w:t>.</w:t>
      </w:r>
    </w:p>
    <w:p w14:paraId="2B49808E" w14:textId="77E785BE" w:rsidR="00501068" w:rsidRDefault="00253C13" w:rsidP="00B2336B">
      <w:pPr>
        <w:rPr>
          <w:lang w:eastAsia="en-NZ"/>
        </w:rPr>
      </w:pPr>
      <w:r w:rsidRPr="00BB6220">
        <w:rPr>
          <w:lang w:eastAsia="en-NZ"/>
        </w:rPr>
        <w:t>T</w:t>
      </w:r>
      <w:r w:rsidR="00E25E3B" w:rsidRPr="00BB6220">
        <w:rPr>
          <w:lang w:eastAsia="en-NZ"/>
        </w:rPr>
        <w:t>he</w:t>
      </w:r>
      <w:r w:rsidR="003D640C">
        <w:rPr>
          <w:lang w:eastAsia="en-NZ"/>
        </w:rPr>
        <w:t xml:space="preserve"> </w:t>
      </w:r>
      <w:r w:rsidR="00E25E3B" w:rsidRPr="00BB6220">
        <w:rPr>
          <w:lang w:eastAsia="en-NZ"/>
        </w:rPr>
        <w:t>Commission</w:t>
      </w:r>
      <w:r w:rsidR="003D640C">
        <w:rPr>
          <w:lang w:eastAsia="en-NZ"/>
        </w:rPr>
        <w:t xml:space="preserve"> </w:t>
      </w:r>
      <w:r w:rsidR="001C3549" w:rsidRPr="00BB6220">
        <w:rPr>
          <w:lang w:eastAsia="en-NZ"/>
        </w:rPr>
        <w:t>has</w:t>
      </w:r>
      <w:r w:rsidR="003D640C">
        <w:rPr>
          <w:lang w:eastAsia="en-NZ"/>
        </w:rPr>
        <w:t xml:space="preserve"> </w:t>
      </w:r>
      <w:r w:rsidR="001C3549" w:rsidRPr="00BB6220">
        <w:rPr>
          <w:lang w:eastAsia="en-NZ"/>
        </w:rPr>
        <w:t>heard</w:t>
      </w:r>
      <w:r w:rsidR="003D640C">
        <w:rPr>
          <w:lang w:eastAsia="en-NZ"/>
        </w:rPr>
        <w:t xml:space="preserve"> </w:t>
      </w:r>
      <w:r w:rsidR="001C3549" w:rsidRPr="00BB6220">
        <w:rPr>
          <w:lang w:eastAsia="en-NZ"/>
        </w:rPr>
        <w:t>from</w:t>
      </w:r>
      <w:r w:rsidR="003D640C">
        <w:rPr>
          <w:lang w:eastAsia="en-NZ"/>
        </w:rPr>
        <w:t xml:space="preserve"> </w:t>
      </w:r>
      <w:r w:rsidR="003D0674" w:rsidRPr="00BB6220">
        <w:rPr>
          <w:lang w:eastAsia="en-NZ"/>
        </w:rPr>
        <w:t>several</w:t>
      </w:r>
      <w:r w:rsidR="003D640C">
        <w:rPr>
          <w:lang w:eastAsia="en-NZ"/>
        </w:rPr>
        <w:t xml:space="preserve"> </w:t>
      </w:r>
      <w:r w:rsidR="007B206B" w:rsidRPr="00BB6220">
        <w:rPr>
          <w:lang w:eastAsia="en-NZ"/>
        </w:rPr>
        <w:t>conversion</w:t>
      </w:r>
      <w:r w:rsidR="003D640C">
        <w:rPr>
          <w:lang w:eastAsia="en-NZ"/>
        </w:rPr>
        <w:t xml:space="preserve"> </w:t>
      </w:r>
      <w:r w:rsidR="007B206B" w:rsidRPr="00BB6220">
        <w:rPr>
          <w:lang w:eastAsia="en-NZ"/>
        </w:rPr>
        <w:t>practice</w:t>
      </w:r>
      <w:r w:rsidR="003D640C">
        <w:rPr>
          <w:lang w:eastAsia="en-NZ"/>
        </w:rPr>
        <w:t xml:space="preserve"> </w:t>
      </w:r>
      <w:r w:rsidR="001C3549" w:rsidRPr="00BB6220">
        <w:rPr>
          <w:lang w:eastAsia="en-NZ"/>
        </w:rPr>
        <w:t>survivors</w:t>
      </w:r>
      <w:r w:rsidR="003D640C">
        <w:rPr>
          <w:lang w:eastAsia="en-NZ"/>
        </w:rPr>
        <w:t xml:space="preserve"> </w:t>
      </w:r>
      <w:r w:rsidR="001C3549" w:rsidRPr="00BB6220">
        <w:rPr>
          <w:lang w:eastAsia="en-NZ"/>
        </w:rPr>
        <w:t>who</w:t>
      </w:r>
      <w:r w:rsidR="003D640C">
        <w:rPr>
          <w:lang w:eastAsia="en-NZ"/>
        </w:rPr>
        <w:t xml:space="preserve"> </w:t>
      </w:r>
      <w:r w:rsidR="001C3549" w:rsidRPr="00BB6220">
        <w:rPr>
          <w:lang w:eastAsia="en-NZ"/>
        </w:rPr>
        <w:t>do</w:t>
      </w:r>
      <w:r w:rsidR="003D640C">
        <w:rPr>
          <w:lang w:eastAsia="en-NZ"/>
        </w:rPr>
        <w:t xml:space="preserve"> </w:t>
      </w:r>
      <w:r w:rsidR="001C3549" w:rsidRPr="00BB6220">
        <w:rPr>
          <w:lang w:eastAsia="en-NZ"/>
        </w:rPr>
        <w:t>not</w:t>
      </w:r>
      <w:r w:rsidR="003D640C">
        <w:rPr>
          <w:lang w:eastAsia="en-NZ"/>
        </w:rPr>
        <w:t xml:space="preserve"> </w:t>
      </w:r>
      <w:r w:rsidR="001C3549" w:rsidRPr="00BB6220">
        <w:rPr>
          <w:lang w:eastAsia="en-NZ"/>
        </w:rPr>
        <w:t>want</w:t>
      </w:r>
      <w:r w:rsidR="003D640C">
        <w:rPr>
          <w:lang w:eastAsia="en-NZ"/>
        </w:rPr>
        <w:t xml:space="preserve"> </w:t>
      </w:r>
      <w:r w:rsidR="001C3549" w:rsidRPr="00BB6220">
        <w:rPr>
          <w:lang w:eastAsia="en-NZ"/>
        </w:rPr>
        <w:t>to</w:t>
      </w:r>
      <w:r w:rsidR="003D640C">
        <w:rPr>
          <w:lang w:eastAsia="en-NZ"/>
        </w:rPr>
        <w:t xml:space="preserve"> </w:t>
      </w:r>
      <w:r w:rsidR="001C3549" w:rsidRPr="00BB6220">
        <w:rPr>
          <w:lang w:eastAsia="en-NZ"/>
        </w:rPr>
        <w:t>leave</w:t>
      </w:r>
      <w:r w:rsidR="003D640C">
        <w:rPr>
          <w:lang w:eastAsia="en-NZ"/>
        </w:rPr>
        <w:t xml:space="preserve"> </w:t>
      </w:r>
      <w:r w:rsidR="001C3549" w:rsidRPr="00BB6220">
        <w:rPr>
          <w:lang w:eastAsia="en-NZ"/>
        </w:rPr>
        <w:t>their</w:t>
      </w:r>
      <w:r w:rsidR="003D640C">
        <w:rPr>
          <w:lang w:eastAsia="en-NZ"/>
        </w:rPr>
        <w:t xml:space="preserve"> </w:t>
      </w:r>
      <w:r w:rsidR="001C3549" w:rsidRPr="00BB6220">
        <w:rPr>
          <w:lang w:eastAsia="en-NZ"/>
        </w:rPr>
        <w:t>religions</w:t>
      </w:r>
      <w:r w:rsidR="006A2ED6">
        <w:rPr>
          <w:lang w:eastAsia="en-NZ"/>
        </w:rPr>
        <w:t>.</w:t>
      </w:r>
      <w:r w:rsidR="003D640C">
        <w:rPr>
          <w:lang w:eastAsia="en-NZ"/>
        </w:rPr>
        <w:t xml:space="preserve"> </w:t>
      </w:r>
      <w:r w:rsidR="006A2ED6">
        <w:rPr>
          <w:lang w:eastAsia="en-NZ"/>
        </w:rPr>
        <w:t>S</w:t>
      </w:r>
      <w:r w:rsidR="003D0674" w:rsidRPr="00BB6220">
        <w:rPr>
          <w:lang w:eastAsia="en-NZ"/>
        </w:rPr>
        <w:t>ome</w:t>
      </w:r>
      <w:r w:rsidR="003D640C">
        <w:rPr>
          <w:lang w:eastAsia="en-NZ"/>
        </w:rPr>
        <w:t xml:space="preserve"> </w:t>
      </w:r>
      <w:r w:rsidR="003D0674" w:rsidRPr="00BB6220">
        <w:rPr>
          <w:lang w:eastAsia="en-NZ"/>
        </w:rPr>
        <w:t>of</w:t>
      </w:r>
      <w:r w:rsidR="003D640C">
        <w:rPr>
          <w:lang w:eastAsia="en-NZ"/>
        </w:rPr>
        <w:t xml:space="preserve"> </w:t>
      </w:r>
      <w:r w:rsidR="003D0674" w:rsidRPr="00BB6220">
        <w:rPr>
          <w:lang w:eastAsia="en-NZ"/>
        </w:rPr>
        <w:t>these</w:t>
      </w:r>
      <w:r w:rsidR="003D640C">
        <w:rPr>
          <w:lang w:eastAsia="en-NZ"/>
        </w:rPr>
        <w:t xml:space="preserve"> </w:t>
      </w:r>
      <w:r w:rsidR="003D0674" w:rsidRPr="00BB6220">
        <w:rPr>
          <w:lang w:eastAsia="en-NZ"/>
        </w:rPr>
        <w:t>survivors</w:t>
      </w:r>
      <w:r w:rsidR="003D640C">
        <w:rPr>
          <w:lang w:eastAsia="en-NZ"/>
        </w:rPr>
        <w:t xml:space="preserve"> </w:t>
      </w:r>
      <w:r w:rsidR="003D0674" w:rsidRPr="00BB6220">
        <w:rPr>
          <w:lang w:eastAsia="en-NZ"/>
        </w:rPr>
        <w:t>instead</w:t>
      </w:r>
      <w:r w:rsidR="003D640C">
        <w:rPr>
          <w:lang w:eastAsia="en-NZ"/>
        </w:rPr>
        <w:t xml:space="preserve"> </w:t>
      </w:r>
      <w:r w:rsidR="001C3549" w:rsidRPr="00BB6220">
        <w:rPr>
          <w:lang w:eastAsia="en-NZ"/>
        </w:rPr>
        <w:t>seek</w:t>
      </w:r>
      <w:r w:rsidR="003D640C">
        <w:rPr>
          <w:lang w:eastAsia="en-NZ"/>
        </w:rPr>
        <w:t xml:space="preserve"> </w:t>
      </w:r>
      <w:r w:rsidR="003D0674" w:rsidRPr="00BB6220">
        <w:rPr>
          <w:lang w:eastAsia="en-NZ"/>
        </w:rPr>
        <w:t>Rainbow-</w:t>
      </w:r>
      <w:r w:rsidR="001C3549" w:rsidRPr="00BB6220">
        <w:rPr>
          <w:lang w:eastAsia="en-NZ"/>
        </w:rPr>
        <w:t>affirming</w:t>
      </w:r>
      <w:r w:rsidR="003D640C">
        <w:rPr>
          <w:lang w:eastAsia="en-NZ"/>
        </w:rPr>
        <w:t xml:space="preserve"> </w:t>
      </w:r>
      <w:r w:rsidR="001C3549" w:rsidRPr="00BB6220">
        <w:rPr>
          <w:lang w:eastAsia="en-NZ"/>
        </w:rPr>
        <w:t>religious</w:t>
      </w:r>
      <w:r w:rsidR="003D640C">
        <w:rPr>
          <w:lang w:eastAsia="en-NZ"/>
        </w:rPr>
        <w:t xml:space="preserve"> </w:t>
      </w:r>
      <w:r w:rsidR="001C3549" w:rsidRPr="00BB6220">
        <w:rPr>
          <w:lang w:eastAsia="en-NZ"/>
        </w:rPr>
        <w:t>spaces.</w:t>
      </w:r>
      <w:r w:rsidR="003D640C">
        <w:rPr>
          <w:lang w:eastAsia="en-NZ"/>
        </w:rPr>
        <w:t xml:space="preserve"> </w:t>
      </w:r>
      <w:r w:rsidR="001E2BDB" w:rsidRPr="00BB6220">
        <w:rPr>
          <w:lang w:eastAsia="en-NZ"/>
        </w:rPr>
        <w:t>D</w:t>
      </w:r>
      <w:r w:rsidR="001C3549" w:rsidRPr="00BB6220">
        <w:rPr>
          <w:lang w:eastAsia="en-NZ"/>
        </w:rPr>
        <w:t>uring</w:t>
      </w:r>
      <w:r w:rsidR="003D640C">
        <w:rPr>
          <w:lang w:eastAsia="en-NZ"/>
        </w:rPr>
        <w:t xml:space="preserve"> </w:t>
      </w:r>
      <w:r w:rsidR="001C3549" w:rsidRPr="00BB6220">
        <w:rPr>
          <w:lang w:eastAsia="en-NZ"/>
        </w:rPr>
        <w:t>the</w:t>
      </w:r>
      <w:r w:rsidR="003D640C">
        <w:rPr>
          <w:lang w:eastAsia="en-NZ"/>
        </w:rPr>
        <w:t xml:space="preserve"> </w:t>
      </w:r>
      <w:r w:rsidR="003D0674" w:rsidRPr="00BB6220">
        <w:rPr>
          <w:lang w:eastAsia="en-NZ"/>
        </w:rPr>
        <w:t>public</w:t>
      </w:r>
      <w:r w:rsidR="003D640C">
        <w:rPr>
          <w:lang w:eastAsia="en-NZ"/>
        </w:rPr>
        <w:t xml:space="preserve"> </w:t>
      </w:r>
      <w:r w:rsidR="003D0674" w:rsidRPr="00BB6220">
        <w:rPr>
          <w:lang w:eastAsia="en-NZ"/>
        </w:rPr>
        <w:t>consultation</w:t>
      </w:r>
      <w:r w:rsidR="003D640C">
        <w:rPr>
          <w:lang w:eastAsia="en-NZ"/>
        </w:rPr>
        <w:t xml:space="preserve"> </w:t>
      </w:r>
      <w:r w:rsidR="003D0674" w:rsidRPr="00BB6220">
        <w:rPr>
          <w:lang w:eastAsia="en-NZ"/>
        </w:rPr>
        <w:t>phase</w:t>
      </w:r>
      <w:r w:rsidR="003D640C">
        <w:rPr>
          <w:lang w:eastAsia="en-NZ"/>
        </w:rPr>
        <w:t xml:space="preserve"> </w:t>
      </w:r>
      <w:r w:rsidR="003D0674" w:rsidRPr="00BB6220">
        <w:rPr>
          <w:lang w:eastAsia="en-NZ"/>
        </w:rPr>
        <w:t>of</w:t>
      </w:r>
      <w:r w:rsidR="003D640C">
        <w:rPr>
          <w:lang w:eastAsia="en-NZ"/>
        </w:rPr>
        <w:t xml:space="preserve"> </w:t>
      </w:r>
      <w:r w:rsidR="003D0674" w:rsidRPr="00BB6220">
        <w:rPr>
          <w:lang w:eastAsia="en-NZ"/>
        </w:rPr>
        <w:t>the</w:t>
      </w:r>
      <w:r w:rsidR="003D640C">
        <w:rPr>
          <w:lang w:eastAsia="en-NZ"/>
        </w:rPr>
        <w:t xml:space="preserve"> </w:t>
      </w:r>
      <w:r w:rsidR="00491C35">
        <w:rPr>
          <w:lang w:eastAsia="en-NZ"/>
        </w:rPr>
        <w:t>B</w:t>
      </w:r>
      <w:r w:rsidR="003D0674" w:rsidRPr="00BB6220">
        <w:rPr>
          <w:lang w:eastAsia="en-NZ"/>
        </w:rPr>
        <w:t>ill</w:t>
      </w:r>
      <w:r w:rsidR="003D640C">
        <w:rPr>
          <w:lang w:eastAsia="en-NZ"/>
        </w:rPr>
        <w:t xml:space="preserve"> </w:t>
      </w:r>
      <w:r w:rsidR="001C3549" w:rsidRPr="00BB6220">
        <w:rPr>
          <w:lang w:eastAsia="en-NZ"/>
        </w:rPr>
        <w:t>and</w:t>
      </w:r>
      <w:r w:rsidR="003D640C">
        <w:rPr>
          <w:lang w:eastAsia="en-NZ"/>
        </w:rPr>
        <w:t xml:space="preserve"> </w:t>
      </w:r>
      <w:r w:rsidR="001C3549" w:rsidRPr="00BB6220">
        <w:rPr>
          <w:lang w:eastAsia="en-NZ"/>
        </w:rPr>
        <w:t>throughout</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Commission’s</w:t>
      </w:r>
      <w:r w:rsidR="003D640C">
        <w:rPr>
          <w:lang w:eastAsia="en-NZ"/>
        </w:rPr>
        <w:t xml:space="preserve"> </w:t>
      </w:r>
      <w:r w:rsidR="001C3549" w:rsidRPr="00BB6220">
        <w:rPr>
          <w:lang w:eastAsia="en-NZ"/>
        </w:rPr>
        <w:t>engagement,</w:t>
      </w:r>
      <w:r w:rsidR="003D640C">
        <w:rPr>
          <w:lang w:eastAsia="en-NZ"/>
        </w:rPr>
        <w:t xml:space="preserve"> </w:t>
      </w:r>
      <w:r w:rsidR="0FA100CC" w:rsidRPr="00BB6220">
        <w:rPr>
          <w:lang w:eastAsia="en-NZ"/>
        </w:rPr>
        <w:t>some</w:t>
      </w:r>
      <w:r w:rsidR="003D640C">
        <w:rPr>
          <w:lang w:eastAsia="en-NZ"/>
        </w:rPr>
        <w:t xml:space="preserve"> </w:t>
      </w:r>
      <w:r w:rsidR="001C3549" w:rsidRPr="00BB6220">
        <w:rPr>
          <w:lang w:eastAsia="en-NZ"/>
        </w:rPr>
        <w:t>religious</w:t>
      </w:r>
      <w:r w:rsidR="003D640C">
        <w:rPr>
          <w:lang w:eastAsia="en-NZ"/>
        </w:rPr>
        <w:t xml:space="preserve"> </w:t>
      </w:r>
      <w:r w:rsidR="00E144FC">
        <w:rPr>
          <w:lang w:eastAsia="en-NZ"/>
        </w:rPr>
        <w:t>instit</w:t>
      </w:r>
      <w:r w:rsidR="001134AF">
        <w:rPr>
          <w:lang w:eastAsia="en-NZ"/>
        </w:rPr>
        <w:t>utions</w:t>
      </w:r>
      <w:r w:rsidR="003D640C">
        <w:rPr>
          <w:lang w:eastAsia="en-NZ"/>
        </w:rPr>
        <w:t xml:space="preserve"> </w:t>
      </w:r>
      <w:r w:rsidR="001C3549" w:rsidRPr="00BB6220">
        <w:rPr>
          <w:lang w:eastAsia="en-NZ"/>
        </w:rPr>
        <w:t>were</w:t>
      </w:r>
      <w:r w:rsidR="003D640C">
        <w:rPr>
          <w:lang w:eastAsia="en-NZ"/>
        </w:rPr>
        <w:t xml:space="preserve"> </w:t>
      </w:r>
      <w:r w:rsidR="001C3549" w:rsidRPr="00BB6220">
        <w:rPr>
          <w:lang w:eastAsia="en-NZ"/>
        </w:rPr>
        <w:t>supportive</w:t>
      </w:r>
      <w:r w:rsidR="003D640C">
        <w:rPr>
          <w:lang w:eastAsia="en-NZ"/>
        </w:rPr>
        <w:t xml:space="preserve"> </w:t>
      </w:r>
      <w:r w:rsidR="001C3549" w:rsidRPr="00BB6220">
        <w:rPr>
          <w:lang w:eastAsia="en-NZ"/>
        </w:rPr>
        <w:t>of</w:t>
      </w:r>
      <w:r w:rsidR="003D640C">
        <w:rPr>
          <w:lang w:eastAsia="en-NZ"/>
        </w:rPr>
        <w:t xml:space="preserve"> </w:t>
      </w:r>
      <w:r w:rsidR="001C3549" w:rsidRPr="00BB6220">
        <w:rPr>
          <w:lang w:eastAsia="en-NZ"/>
        </w:rPr>
        <w:t>the</w:t>
      </w:r>
      <w:r w:rsidR="003D640C">
        <w:rPr>
          <w:lang w:eastAsia="en-NZ"/>
        </w:rPr>
        <w:t xml:space="preserve"> </w:t>
      </w:r>
      <w:r w:rsidR="00F33482">
        <w:rPr>
          <w:lang w:eastAsia="en-NZ"/>
        </w:rPr>
        <w:t>proposed</w:t>
      </w:r>
      <w:r w:rsidR="003D640C">
        <w:rPr>
          <w:lang w:eastAsia="en-NZ"/>
        </w:rPr>
        <w:t xml:space="preserve"> </w:t>
      </w:r>
      <w:r w:rsidR="00F33482">
        <w:rPr>
          <w:lang w:eastAsia="en-NZ"/>
        </w:rPr>
        <w:t>law</w:t>
      </w:r>
      <w:r w:rsidR="003D640C">
        <w:rPr>
          <w:lang w:eastAsia="en-NZ"/>
        </w:rPr>
        <w:t xml:space="preserve"> </w:t>
      </w:r>
      <w:r w:rsidR="001C3549" w:rsidRPr="00BB6220">
        <w:rPr>
          <w:lang w:eastAsia="en-NZ"/>
        </w:rPr>
        <w:t>and</w:t>
      </w:r>
      <w:r w:rsidR="003D640C">
        <w:rPr>
          <w:lang w:eastAsia="en-NZ"/>
        </w:rPr>
        <w:t xml:space="preserve"> </w:t>
      </w:r>
      <w:r w:rsidR="001C3549" w:rsidRPr="00BB6220">
        <w:rPr>
          <w:lang w:eastAsia="en-NZ"/>
        </w:rPr>
        <w:t>wanted</w:t>
      </w:r>
      <w:r w:rsidR="003D640C">
        <w:rPr>
          <w:lang w:eastAsia="en-NZ"/>
        </w:rPr>
        <w:t xml:space="preserve"> </w:t>
      </w:r>
      <w:r w:rsidR="001C3549" w:rsidRPr="00BB6220">
        <w:rPr>
          <w:lang w:eastAsia="en-NZ"/>
        </w:rPr>
        <w:t>to</w:t>
      </w:r>
      <w:r w:rsidR="003D640C">
        <w:rPr>
          <w:lang w:eastAsia="en-NZ"/>
        </w:rPr>
        <w:t xml:space="preserve"> </w:t>
      </w:r>
      <w:r w:rsidR="001C3549" w:rsidRPr="00BB6220">
        <w:rPr>
          <w:lang w:eastAsia="en-NZ"/>
        </w:rPr>
        <w:t>remove</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religious</w:t>
      </w:r>
      <w:r w:rsidR="003D640C">
        <w:rPr>
          <w:lang w:eastAsia="en-NZ"/>
        </w:rPr>
        <w:t xml:space="preserve"> </w:t>
      </w:r>
      <w:r w:rsidR="001C3549" w:rsidRPr="00BB6220">
        <w:rPr>
          <w:lang w:eastAsia="en-NZ"/>
        </w:rPr>
        <w:t>exception</w:t>
      </w:r>
      <w:r w:rsidR="003D640C">
        <w:rPr>
          <w:lang w:eastAsia="en-NZ"/>
        </w:rPr>
        <w:t xml:space="preserve"> </w:t>
      </w:r>
      <w:r w:rsidR="001C3549" w:rsidRPr="00BB6220">
        <w:rPr>
          <w:lang w:eastAsia="en-NZ"/>
        </w:rPr>
        <w:t>within</w:t>
      </w:r>
      <w:r w:rsidR="003D640C">
        <w:rPr>
          <w:lang w:eastAsia="en-NZ"/>
        </w:rPr>
        <w:t xml:space="preserve"> </w:t>
      </w:r>
      <w:r w:rsidR="001C3549" w:rsidRPr="00BB6220">
        <w:rPr>
          <w:lang w:eastAsia="en-NZ"/>
        </w:rPr>
        <w:t>the</w:t>
      </w:r>
      <w:r w:rsidR="003D640C">
        <w:rPr>
          <w:lang w:eastAsia="en-NZ"/>
        </w:rPr>
        <w:t xml:space="preserve"> </w:t>
      </w:r>
      <w:r w:rsidR="007C47D8">
        <w:rPr>
          <w:lang w:eastAsia="en-NZ"/>
        </w:rPr>
        <w:t>Bill</w:t>
      </w:r>
      <w:r w:rsidR="001C3549" w:rsidRPr="00BB6220">
        <w:rPr>
          <w:lang w:eastAsia="en-NZ"/>
        </w:rPr>
        <w:t>.</w:t>
      </w:r>
      <w:r w:rsidR="003F08CC">
        <w:rPr>
          <w:rStyle w:val="FootnoteReference"/>
          <w:rFonts w:ascii="Calibri" w:eastAsia="Times New Roman" w:hAnsi="Calibri" w:cs="Calibri"/>
          <w:lang w:eastAsia="en-NZ"/>
        </w:rPr>
        <w:footnoteReference w:id="64"/>
      </w:r>
      <w:r w:rsidR="003D640C">
        <w:rPr>
          <w:lang w:eastAsia="en-NZ"/>
        </w:rPr>
        <w:t xml:space="preserve"> </w:t>
      </w:r>
    </w:p>
    <w:p w14:paraId="4714AA7A" w14:textId="77777777" w:rsidR="00501068" w:rsidRDefault="00A74288" w:rsidP="006A2ED6">
      <w:pPr>
        <w:pStyle w:val="Quote"/>
        <w:rPr>
          <w:lang w:val="mi-NZ"/>
        </w:rPr>
      </w:pPr>
      <w:r w:rsidRPr="00BB6220">
        <w:t>“</w:t>
      </w:r>
      <w:r w:rsidR="0031173C" w:rsidRPr="0078026B">
        <w:t>I</w:t>
      </w:r>
      <w:r w:rsidR="003D640C" w:rsidRPr="0078026B">
        <w:t xml:space="preserve"> </w:t>
      </w:r>
      <w:r w:rsidR="0031173C" w:rsidRPr="0078026B">
        <w:t>think</w:t>
      </w:r>
      <w:r w:rsidR="003D640C" w:rsidRPr="0078026B">
        <w:t xml:space="preserve"> </w:t>
      </w:r>
      <w:r w:rsidR="0031173C" w:rsidRPr="0078026B">
        <w:t>the</w:t>
      </w:r>
      <w:r w:rsidR="003D640C" w:rsidRPr="0078026B">
        <w:t xml:space="preserve"> </w:t>
      </w:r>
      <w:r w:rsidR="0031173C" w:rsidRPr="0078026B">
        <w:t>most</w:t>
      </w:r>
      <w:r w:rsidR="003D640C" w:rsidRPr="0078026B">
        <w:t xml:space="preserve"> </w:t>
      </w:r>
      <w:r w:rsidR="0031173C" w:rsidRPr="0078026B">
        <w:t>unexpected</w:t>
      </w:r>
      <w:r w:rsidR="003D640C" w:rsidRPr="0078026B">
        <w:t xml:space="preserve"> </w:t>
      </w:r>
      <w:r w:rsidR="0031173C" w:rsidRPr="0078026B">
        <w:t>allies</w:t>
      </w:r>
      <w:r w:rsidR="003D640C" w:rsidRPr="0078026B">
        <w:t xml:space="preserve"> </w:t>
      </w:r>
      <w:r w:rsidR="0031173C" w:rsidRPr="0078026B">
        <w:t>for</w:t>
      </w:r>
      <w:r w:rsidR="003D640C" w:rsidRPr="0078026B">
        <w:t xml:space="preserve"> </w:t>
      </w:r>
      <w:r w:rsidR="0031173C" w:rsidRPr="0078026B">
        <w:t>me</w:t>
      </w:r>
      <w:r w:rsidR="003D640C" w:rsidRPr="0078026B">
        <w:t xml:space="preserve"> </w:t>
      </w:r>
      <w:r w:rsidR="0031173C" w:rsidRPr="0078026B">
        <w:t>were</w:t>
      </w:r>
      <w:r w:rsidR="003D640C" w:rsidRPr="0078026B">
        <w:t xml:space="preserve"> </w:t>
      </w:r>
      <w:r w:rsidR="0031173C" w:rsidRPr="0078026B">
        <w:t>all</w:t>
      </w:r>
      <w:r w:rsidR="003D640C" w:rsidRPr="0078026B">
        <w:t xml:space="preserve"> </w:t>
      </w:r>
      <w:r w:rsidR="0031173C" w:rsidRPr="0078026B">
        <w:t>of</w:t>
      </w:r>
      <w:r w:rsidR="003D640C" w:rsidRPr="0078026B">
        <w:t xml:space="preserve"> </w:t>
      </w:r>
      <w:r w:rsidR="0031173C" w:rsidRPr="0078026B">
        <w:t>the</w:t>
      </w:r>
      <w:r w:rsidR="003D640C" w:rsidRPr="0078026B">
        <w:t xml:space="preserve"> </w:t>
      </w:r>
      <w:r w:rsidR="0031173C" w:rsidRPr="0078026B">
        <w:t>churches</w:t>
      </w:r>
      <w:r w:rsidR="003D640C" w:rsidRPr="0078026B">
        <w:t xml:space="preserve"> </w:t>
      </w:r>
      <w:r w:rsidR="0031173C" w:rsidRPr="0078026B">
        <w:t>that</w:t>
      </w:r>
      <w:r w:rsidR="003D640C" w:rsidRPr="0078026B">
        <w:t xml:space="preserve"> </w:t>
      </w:r>
      <w:r w:rsidR="0031173C" w:rsidRPr="0078026B">
        <w:t>made</w:t>
      </w:r>
      <w:r w:rsidR="003D640C" w:rsidRPr="0078026B">
        <w:t xml:space="preserve"> </w:t>
      </w:r>
      <w:r w:rsidR="0031173C" w:rsidRPr="0078026B">
        <w:t>it</w:t>
      </w:r>
      <w:r w:rsidR="003D640C" w:rsidRPr="0078026B">
        <w:t xml:space="preserve"> </w:t>
      </w:r>
      <w:r w:rsidR="0031173C" w:rsidRPr="0078026B">
        <w:t>very</w:t>
      </w:r>
      <w:r w:rsidR="003D640C" w:rsidRPr="0078026B">
        <w:t xml:space="preserve"> </w:t>
      </w:r>
      <w:r w:rsidR="0031173C" w:rsidRPr="0078026B">
        <w:t>clear</w:t>
      </w:r>
      <w:r w:rsidR="003D640C" w:rsidRPr="0078026B">
        <w:t xml:space="preserve"> </w:t>
      </w:r>
      <w:r w:rsidR="0031173C" w:rsidRPr="0078026B">
        <w:t>that</w:t>
      </w:r>
      <w:r w:rsidR="003D640C" w:rsidRPr="0078026B">
        <w:t xml:space="preserve"> </w:t>
      </w:r>
      <w:r w:rsidR="0031173C" w:rsidRPr="0078026B">
        <w:t>concerns</w:t>
      </w:r>
      <w:r w:rsidR="003D640C" w:rsidRPr="0078026B">
        <w:t xml:space="preserve"> </w:t>
      </w:r>
      <w:r w:rsidR="0031173C" w:rsidRPr="0078026B">
        <w:t>about</w:t>
      </w:r>
      <w:r w:rsidR="003D640C" w:rsidRPr="0078026B">
        <w:t xml:space="preserve"> </w:t>
      </w:r>
      <w:r w:rsidR="0031173C" w:rsidRPr="0078026B">
        <w:t>religious</w:t>
      </w:r>
      <w:r w:rsidR="003D640C" w:rsidRPr="0078026B">
        <w:t xml:space="preserve"> </w:t>
      </w:r>
      <w:r w:rsidR="0031173C" w:rsidRPr="0078026B">
        <w:t>freedom</w:t>
      </w:r>
      <w:r w:rsidR="003D640C" w:rsidRPr="0078026B">
        <w:t xml:space="preserve"> </w:t>
      </w:r>
      <w:r w:rsidR="0031173C" w:rsidRPr="0078026B">
        <w:t>were</w:t>
      </w:r>
      <w:r w:rsidR="003D640C" w:rsidRPr="0078026B">
        <w:t xml:space="preserve"> </w:t>
      </w:r>
      <w:r w:rsidR="0031173C" w:rsidRPr="0078026B">
        <w:t>not</w:t>
      </w:r>
      <w:r w:rsidR="003D640C" w:rsidRPr="0078026B">
        <w:t xml:space="preserve"> </w:t>
      </w:r>
      <w:r w:rsidR="0031173C" w:rsidRPr="0078026B">
        <w:t>compromised</w:t>
      </w:r>
      <w:r w:rsidR="003D640C" w:rsidRPr="0078026B">
        <w:t xml:space="preserve"> </w:t>
      </w:r>
      <w:r w:rsidR="0031173C" w:rsidRPr="0078026B">
        <w:t>at</w:t>
      </w:r>
      <w:r w:rsidR="003D640C" w:rsidRPr="0078026B">
        <w:t xml:space="preserve"> </w:t>
      </w:r>
      <w:r w:rsidR="0031173C" w:rsidRPr="0078026B">
        <w:t>all</w:t>
      </w:r>
      <w:r w:rsidR="003D640C" w:rsidRPr="0078026B">
        <w:t xml:space="preserve"> </w:t>
      </w:r>
      <w:r w:rsidR="0031173C" w:rsidRPr="0078026B">
        <w:t>by</w:t>
      </w:r>
      <w:r w:rsidR="003D640C" w:rsidRPr="0078026B">
        <w:t xml:space="preserve"> </w:t>
      </w:r>
      <w:r w:rsidR="0031173C" w:rsidRPr="0078026B">
        <w:t>this</w:t>
      </w:r>
      <w:r w:rsidR="003D640C" w:rsidRPr="0078026B">
        <w:t xml:space="preserve"> </w:t>
      </w:r>
      <w:r w:rsidR="0031173C" w:rsidRPr="0078026B">
        <w:t>Bill.”</w:t>
      </w:r>
      <w:r w:rsidR="003D640C" w:rsidRPr="0078026B">
        <w:t xml:space="preserve"> </w:t>
      </w:r>
      <w:r w:rsidR="00096D4F" w:rsidRPr="0078026B">
        <w:t>Māori,</w:t>
      </w:r>
      <w:r w:rsidR="003D640C" w:rsidRPr="0078026B">
        <w:t xml:space="preserve"> </w:t>
      </w:r>
      <w:r w:rsidR="00986E32" w:rsidRPr="0078026B">
        <w:t>takatāpui,</w:t>
      </w:r>
      <w:r w:rsidR="003D640C" w:rsidRPr="0078026B">
        <w:t xml:space="preserve"> </w:t>
      </w:r>
      <w:r w:rsidR="00986E32" w:rsidRPr="0078026B">
        <w:t>community</w:t>
      </w:r>
      <w:r w:rsidR="003D640C" w:rsidRPr="0078026B">
        <w:t xml:space="preserve"> </w:t>
      </w:r>
      <w:r w:rsidR="00986E32" w:rsidRPr="0078026B">
        <w:t>leader</w:t>
      </w:r>
    </w:p>
    <w:p w14:paraId="7BFE80FE" w14:textId="2A7CCDD2" w:rsidR="00501068" w:rsidRDefault="624F3630" w:rsidP="00B2336B">
      <w:pPr>
        <w:rPr>
          <w:lang w:eastAsia="en-NZ"/>
        </w:rPr>
      </w:pPr>
      <w:r w:rsidRPr="00BB6220">
        <w:rPr>
          <w:lang w:eastAsia="en-NZ"/>
        </w:rPr>
        <w:t>The</w:t>
      </w:r>
      <w:r w:rsidR="003D640C">
        <w:rPr>
          <w:lang w:eastAsia="en-NZ"/>
        </w:rPr>
        <w:t xml:space="preserve"> </w:t>
      </w:r>
      <w:r w:rsidR="00980B2E" w:rsidRPr="00BB6220">
        <w:rPr>
          <w:lang w:eastAsia="en-NZ"/>
        </w:rPr>
        <w:t>United</w:t>
      </w:r>
      <w:r w:rsidR="003D640C">
        <w:rPr>
          <w:lang w:eastAsia="en-NZ"/>
        </w:rPr>
        <w:t xml:space="preserve"> </w:t>
      </w:r>
      <w:r w:rsidR="00980B2E" w:rsidRPr="00BB6220">
        <w:rPr>
          <w:lang w:eastAsia="en-NZ"/>
        </w:rPr>
        <w:t>Nations</w:t>
      </w:r>
      <w:r w:rsidR="003D640C">
        <w:rPr>
          <w:lang w:eastAsia="en-NZ"/>
        </w:rPr>
        <w:t xml:space="preserve"> </w:t>
      </w:r>
      <w:r w:rsidRPr="00BB6220">
        <w:rPr>
          <w:lang w:eastAsia="en-NZ"/>
        </w:rPr>
        <w:t>Independent</w:t>
      </w:r>
      <w:r w:rsidR="003D640C">
        <w:rPr>
          <w:lang w:eastAsia="en-NZ"/>
        </w:rPr>
        <w:t xml:space="preserve"> </w:t>
      </w:r>
      <w:r w:rsidRPr="00BB6220">
        <w:rPr>
          <w:lang w:eastAsia="en-NZ"/>
        </w:rPr>
        <w:t>Expert</w:t>
      </w:r>
      <w:r w:rsidR="003D640C">
        <w:rPr>
          <w:lang w:eastAsia="en-NZ"/>
        </w:rPr>
        <w:t xml:space="preserve"> </w:t>
      </w:r>
      <w:r w:rsidR="7CE95736" w:rsidRPr="00BB6220">
        <w:rPr>
          <w:rFonts w:eastAsia="Calibri"/>
        </w:rPr>
        <w:t>on</w:t>
      </w:r>
      <w:r w:rsidR="003D640C">
        <w:rPr>
          <w:rFonts w:eastAsia="Calibri"/>
        </w:rPr>
        <w:t xml:space="preserve"> </w:t>
      </w:r>
      <w:r w:rsidR="00EA68A9">
        <w:rPr>
          <w:rFonts w:eastAsia="Calibri"/>
        </w:rPr>
        <w:t>P</w:t>
      </w:r>
      <w:r w:rsidR="7CE95736" w:rsidRPr="00BB6220">
        <w:rPr>
          <w:rFonts w:eastAsia="Calibri"/>
        </w:rPr>
        <w:t>rotection</w:t>
      </w:r>
      <w:r w:rsidR="003D640C">
        <w:rPr>
          <w:rFonts w:eastAsia="Calibri"/>
        </w:rPr>
        <w:t xml:space="preserve"> </w:t>
      </w:r>
      <w:r w:rsidR="00024866">
        <w:rPr>
          <w:rFonts w:eastAsia="Calibri"/>
        </w:rPr>
        <w:t>a</w:t>
      </w:r>
      <w:r w:rsidR="7CE95736" w:rsidRPr="00BB6220">
        <w:rPr>
          <w:rFonts w:eastAsia="Calibri"/>
        </w:rPr>
        <w:t>gainst</w:t>
      </w:r>
      <w:r w:rsidR="003D640C">
        <w:rPr>
          <w:rFonts w:eastAsia="Calibri"/>
        </w:rPr>
        <w:t xml:space="preserve"> </w:t>
      </w:r>
      <w:r w:rsidR="00EA68A9">
        <w:rPr>
          <w:rFonts w:eastAsia="Calibri"/>
        </w:rPr>
        <w:t>V</w:t>
      </w:r>
      <w:r w:rsidR="7CE95736" w:rsidRPr="00BB6220">
        <w:rPr>
          <w:rFonts w:eastAsia="Calibri"/>
        </w:rPr>
        <w:t>iolence</w:t>
      </w:r>
      <w:r w:rsidR="003D640C">
        <w:rPr>
          <w:rFonts w:eastAsia="Calibri"/>
        </w:rPr>
        <w:t xml:space="preserve"> </w:t>
      </w:r>
      <w:r w:rsidR="7CE95736" w:rsidRPr="00BB6220">
        <w:rPr>
          <w:rFonts w:eastAsia="Calibri"/>
        </w:rPr>
        <w:t>and</w:t>
      </w:r>
      <w:r w:rsidR="003D640C">
        <w:rPr>
          <w:rFonts w:eastAsia="Calibri"/>
        </w:rPr>
        <w:t xml:space="preserve"> </w:t>
      </w:r>
      <w:r w:rsidR="00EA68A9">
        <w:rPr>
          <w:rFonts w:eastAsia="Calibri"/>
        </w:rPr>
        <w:t>D</w:t>
      </w:r>
      <w:r w:rsidR="7CE95736" w:rsidRPr="00BB6220">
        <w:rPr>
          <w:rFonts w:eastAsia="Calibri"/>
        </w:rPr>
        <w:t>iscrimination</w:t>
      </w:r>
      <w:r w:rsidR="003D640C">
        <w:rPr>
          <w:rFonts w:eastAsia="Calibri"/>
        </w:rPr>
        <w:t xml:space="preserve"> </w:t>
      </w:r>
      <w:r w:rsidR="00024866">
        <w:rPr>
          <w:rFonts w:eastAsia="Calibri"/>
        </w:rPr>
        <w:t>b</w:t>
      </w:r>
      <w:r w:rsidR="7CE95736" w:rsidRPr="00BB6220">
        <w:rPr>
          <w:rFonts w:eastAsia="Calibri"/>
        </w:rPr>
        <w:t>ased</w:t>
      </w:r>
      <w:r w:rsidR="003D640C">
        <w:rPr>
          <w:rFonts w:eastAsia="Calibri"/>
        </w:rPr>
        <w:t xml:space="preserve"> </w:t>
      </w:r>
      <w:r w:rsidR="7CE95736" w:rsidRPr="00BB6220">
        <w:rPr>
          <w:rFonts w:eastAsia="Calibri"/>
        </w:rPr>
        <w:t>on</w:t>
      </w:r>
      <w:r w:rsidR="003D640C">
        <w:rPr>
          <w:rFonts w:eastAsia="Calibri"/>
        </w:rPr>
        <w:t xml:space="preserve"> </w:t>
      </w:r>
      <w:r w:rsidR="00491C35">
        <w:rPr>
          <w:rFonts w:eastAsia="Calibri"/>
        </w:rPr>
        <w:t>S</w:t>
      </w:r>
      <w:r w:rsidR="7CE95736" w:rsidRPr="00BB6220">
        <w:rPr>
          <w:rFonts w:eastAsia="Calibri"/>
        </w:rPr>
        <w:t>exual</w:t>
      </w:r>
      <w:r w:rsidR="003D640C">
        <w:rPr>
          <w:rFonts w:eastAsia="Calibri"/>
        </w:rPr>
        <w:t xml:space="preserve"> </w:t>
      </w:r>
      <w:r w:rsidR="00491C35">
        <w:rPr>
          <w:rFonts w:eastAsia="Calibri"/>
        </w:rPr>
        <w:t>O</w:t>
      </w:r>
      <w:r w:rsidR="7CE95736" w:rsidRPr="00BB6220">
        <w:rPr>
          <w:rFonts w:eastAsia="Calibri"/>
        </w:rPr>
        <w:t>rientation</w:t>
      </w:r>
      <w:r w:rsidR="003D640C">
        <w:rPr>
          <w:rFonts w:eastAsia="Calibri"/>
        </w:rPr>
        <w:t xml:space="preserve"> </w:t>
      </w:r>
      <w:r w:rsidR="7CE95736" w:rsidRPr="00BB6220">
        <w:rPr>
          <w:rFonts w:eastAsia="Calibri"/>
        </w:rPr>
        <w:t>and</w:t>
      </w:r>
      <w:r w:rsidR="003D640C">
        <w:rPr>
          <w:rFonts w:eastAsia="Calibri"/>
        </w:rPr>
        <w:t xml:space="preserve"> </w:t>
      </w:r>
      <w:r w:rsidR="00491C35">
        <w:rPr>
          <w:rFonts w:eastAsia="Calibri"/>
        </w:rPr>
        <w:t>G</w:t>
      </w:r>
      <w:r w:rsidR="7CE95736" w:rsidRPr="00BB6220">
        <w:rPr>
          <w:rFonts w:eastAsia="Calibri"/>
        </w:rPr>
        <w:t>ender</w:t>
      </w:r>
      <w:r w:rsidR="003D640C">
        <w:rPr>
          <w:rFonts w:eastAsia="Calibri"/>
        </w:rPr>
        <w:t xml:space="preserve"> </w:t>
      </w:r>
      <w:r w:rsidR="00491C35">
        <w:rPr>
          <w:rFonts w:eastAsia="Calibri"/>
        </w:rPr>
        <w:t>I</w:t>
      </w:r>
      <w:r w:rsidR="7CE95736" w:rsidRPr="00BB6220">
        <w:rPr>
          <w:rFonts w:eastAsia="Calibri"/>
        </w:rPr>
        <w:t>dentity</w:t>
      </w:r>
      <w:r w:rsidR="003D640C">
        <w:rPr>
          <w:lang w:eastAsia="en-NZ"/>
        </w:rPr>
        <w:t xml:space="preserve"> </w:t>
      </w:r>
      <w:r w:rsidRPr="00BB6220">
        <w:rPr>
          <w:lang w:eastAsia="en-NZ"/>
        </w:rPr>
        <w:t>made</w:t>
      </w:r>
      <w:r w:rsidR="003D640C">
        <w:rPr>
          <w:lang w:eastAsia="en-NZ"/>
        </w:rPr>
        <w:t xml:space="preserve"> </w:t>
      </w:r>
      <w:r w:rsidRPr="00BB6220">
        <w:rPr>
          <w:lang w:eastAsia="en-NZ"/>
        </w:rPr>
        <w:t>similar</w:t>
      </w:r>
      <w:r w:rsidR="003D640C">
        <w:rPr>
          <w:lang w:eastAsia="en-NZ"/>
        </w:rPr>
        <w:t xml:space="preserve"> </w:t>
      </w:r>
      <w:r w:rsidRPr="00BB6220">
        <w:rPr>
          <w:lang w:eastAsia="en-NZ"/>
        </w:rPr>
        <w:t>observations</w:t>
      </w:r>
      <w:r w:rsidR="003D640C">
        <w:rPr>
          <w:lang w:eastAsia="en-NZ"/>
        </w:rPr>
        <w:t xml:space="preserve"> </w:t>
      </w:r>
      <w:r w:rsidR="00980B2E" w:rsidRPr="00BB6220">
        <w:rPr>
          <w:lang w:eastAsia="en-NZ"/>
        </w:rPr>
        <w:t>in</w:t>
      </w:r>
      <w:r w:rsidR="003D640C">
        <w:rPr>
          <w:lang w:eastAsia="en-NZ"/>
        </w:rPr>
        <w:t xml:space="preserve"> </w:t>
      </w:r>
      <w:r w:rsidR="00980B2E" w:rsidRPr="00BB6220">
        <w:rPr>
          <w:lang w:eastAsia="en-NZ"/>
        </w:rPr>
        <w:t>2020</w:t>
      </w:r>
      <w:r w:rsidR="004A1D2A">
        <w:rPr>
          <w:lang w:eastAsia="en-NZ"/>
        </w:rPr>
        <w:t>.</w:t>
      </w:r>
      <w:r w:rsidR="003D640C">
        <w:rPr>
          <w:lang w:eastAsia="en-NZ"/>
        </w:rPr>
        <w:t xml:space="preserve"> </w:t>
      </w:r>
      <w:r w:rsidR="004A1D2A">
        <w:rPr>
          <w:lang w:eastAsia="en-NZ"/>
        </w:rPr>
        <w:t>Stating</w:t>
      </w:r>
      <w:r w:rsidR="003D640C">
        <w:rPr>
          <w:lang w:eastAsia="en-NZ"/>
        </w:rPr>
        <w:t xml:space="preserve"> </w:t>
      </w:r>
      <w:r w:rsidRPr="00BB6220">
        <w:rPr>
          <w:lang w:eastAsia="en-NZ"/>
        </w:rPr>
        <w:t>that</w:t>
      </w:r>
      <w:r w:rsidR="003D640C">
        <w:rPr>
          <w:lang w:eastAsia="en-NZ"/>
        </w:rPr>
        <w:t xml:space="preserve"> </w:t>
      </w:r>
      <w:r w:rsidRPr="00BB6220">
        <w:rPr>
          <w:lang w:eastAsia="en-NZ"/>
        </w:rPr>
        <w:t>“there</w:t>
      </w:r>
      <w:r w:rsidR="003D640C">
        <w:rPr>
          <w:lang w:eastAsia="en-NZ"/>
        </w:rPr>
        <w:t xml:space="preserve"> </w:t>
      </w:r>
      <w:r w:rsidRPr="00BB6220">
        <w:rPr>
          <w:lang w:eastAsia="en-NZ"/>
        </w:rPr>
        <w:t>is</w:t>
      </w:r>
      <w:r w:rsidR="003D640C">
        <w:rPr>
          <w:lang w:eastAsia="en-NZ"/>
        </w:rPr>
        <w:t xml:space="preserve"> </w:t>
      </w:r>
      <w:r w:rsidRPr="00BB6220">
        <w:rPr>
          <w:lang w:eastAsia="en-NZ"/>
        </w:rPr>
        <w:t>no</w:t>
      </w:r>
      <w:r w:rsidR="003D640C">
        <w:rPr>
          <w:lang w:eastAsia="en-NZ"/>
        </w:rPr>
        <w:t xml:space="preserve"> </w:t>
      </w:r>
      <w:r w:rsidRPr="00BB6220">
        <w:rPr>
          <w:lang w:eastAsia="en-NZ"/>
        </w:rPr>
        <w:t>direct</w:t>
      </w:r>
      <w:r w:rsidR="003D640C">
        <w:rPr>
          <w:lang w:eastAsia="en-NZ"/>
        </w:rPr>
        <w:t xml:space="preserve"> </w:t>
      </w:r>
      <w:r w:rsidRPr="00BB6220">
        <w:rPr>
          <w:lang w:eastAsia="en-NZ"/>
        </w:rPr>
        <w:t>correlation</w:t>
      </w:r>
      <w:r w:rsidR="003D640C">
        <w:rPr>
          <w:lang w:eastAsia="en-NZ"/>
        </w:rPr>
        <w:t xml:space="preserve"> </w:t>
      </w:r>
      <w:r w:rsidRPr="00BB6220">
        <w:rPr>
          <w:lang w:eastAsia="en-NZ"/>
        </w:rPr>
        <w:t>between</w:t>
      </w:r>
      <w:r w:rsidR="003D640C">
        <w:rPr>
          <w:lang w:eastAsia="en-NZ"/>
        </w:rPr>
        <w:t xml:space="preserve"> </w:t>
      </w:r>
      <w:r w:rsidRPr="00BB6220">
        <w:rPr>
          <w:lang w:eastAsia="en-NZ"/>
        </w:rPr>
        <w:t>religion</w:t>
      </w:r>
      <w:r w:rsidR="003D640C">
        <w:rPr>
          <w:lang w:eastAsia="en-NZ"/>
        </w:rPr>
        <w:t xml:space="preserve"> </w:t>
      </w:r>
      <w:r w:rsidRPr="00BB6220">
        <w:rPr>
          <w:lang w:eastAsia="en-NZ"/>
        </w:rPr>
        <w:t>and</w:t>
      </w:r>
      <w:r w:rsidR="003D640C">
        <w:rPr>
          <w:lang w:eastAsia="en-NZ"/>
        </w:rPr>
        <w:t xml:space="preserve"> </w:t>
      </w:r>
      <w:r w:rsidRPr="00BB6220">
        <w:rPr>
          <w:lang w:eastAsia="en-NZ"/>
        </w:rPr>
        <w:t>exclusion</w:t>
      </w:r>
      <w:r w:rsidR="003D640C">
        <w:rPr>
          <w:lang w:eastAsia="en-NZ"/>
        </w:rPr>
        <w:t xml:space="preserve"> </w:t>
      </w:r>
      <w:r w:rsidRPr="00BB6220">
        <w:rPr>
          <w:lang w:eastAsia="en-NZ"/>
        </w:rPr>
        <w:t>of</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and/or</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0E30CB">
        <w:rPr>
          <w:lang w:eastAsia="en-NZ"/>
        </w:rPr>
        <w:t xml:space="preserve"> … [and]</w:t>
      </w:r>
      <w:r w:rsidR="003D640C">
        <w:rPr>
          <w:lang w:eastAsia="en-NZ"/>
        </w:rPr>
        <w:t xml:space="preserve"> </w:t>
      </w:r>
      <w:r w:rsidR="00980B2E" w:rsidRPr="00BB6220">
        <w:rPr>
          <w:lang w:eastAsia="en-NZ"/>
        </w:rPr>
        <w:t>he</w:t>
      </w:r>
      <w:r w:rsidR="003D640C">
        <w:rPr>
          <w:lang w:eastAsia="en-NZ"/>
        </w:rPr>
        <w:t xml:space="preserve"> </w:t>
      </w:r>
      <w:r w:rsidR="00980B2E" w:rsidRPr="00BB6220">
        <w:rPr>
          <w:lang w:eastAsia="en-NZ"/>
        </w:rPr>
        <w:t>ha</w:t>
      </w:r>
      <w:r w:rsidR="000E30CB">
        <w:rPr>
          <w:lang w:eastAsia="en-NZ"/>
        </w:rPr>
        <w:t>s</w:t>
      </w:r>
      <w:r w:rsidR="003D640C">
        <w:rPr>
          <w:lang w:eastAsia="en-NZ"/>
        </w:rPr>
        <w:t xml:space="preserve"> </w:t>
      </w:r>
      <w:r w:rsidRPr="00BB6220">
        <w:rPr>
          <w:lang w:eastAsia="en-NZ"/>
        </w:rPr>
        <w:t>been</w:t>
      </w:r>
      <w:r w:rsidR="003D640C">
        <w:rPr>
          <w:lang w:eastAsia="en-NZ"/>
        </w:rPr>
        <w:t xml:space="preserve"> </w:t>
      </w:r>
      <w:r w:rsidRPr="00BB6220">
        <w:rPr>
          <w:lang w:eastAsia="en-NZ"/>
        </w:rPr>
        <w:t>encouraged</w:t>
      </w:r>
      <w:r w:rsidR="003D640C">
        <w:rPr>
          <w:lang w:eastAsia="en-NZ"/>
        </w:rPr>
        <w:t xml:space="preserve"> </w:t>
      </w:r>
      <w:r w:rsidRPr="00BB6220">
        <w:rPr>
          <w:lang w:eastAsia="en-NZ"/>
        </w:rPr>
        <w:t>to</w:t>
      </w:r>
      <w:r w:rsidR="003D640C">
        <w:rPr>
          <w:lang w:eastAsia="en-NZ"/>
        </w:rPr>
        <w:t xml:space="preserve"> </w:t>
      </w:r>
      <w:r w:rsidRPr="00BB6220">
        <w:rPr>
          <w:lang w:eastAsia="en-NZ"/>
        </w:rPr>
        <w:t>see</w:t>
      </w:r>
      <w:r w:rsidR="003D640C">
        <w:rPr>
          <w:lang w:eastAsia="en-NZ"/>
        </w:rPr>
        <w:t xml:space="preserve"> </w:t>
      </w:r>
      <w:r w:rsidRPr="00BB6220">
        <w:rPr>
          <w:lang w:eastAsia="en-NZ"/>
        </w:rPr>
        <w:t>that</w:t>
      </w:r>
      <w:r w:rsidR="003D640C">
        <w:rPr>
          <w:lang w:eastAsia="en-NZ"/>
        </w:rPr>
        <w:t xml:space="preserve"> </w:t>
      </w:r>
      <w:r w:rsidRPr="00BB6220">
        <w:rPr>
          <w:lang w:eastAsia="en-NZ"/>
        </w:rPr>
        <w:t>some</w:t>
      </w:r>
      <w:r w:rsidR="003D640C">
        <w:rPr>
          <w:lang w:eastAsia="en-NZ"/>
        </w:rPr>
        <w:t xml:space="preserve"> </w:t>
      </w:r>
      <w:r w:rsidRPr="00BB6220">
        <w:rPr>
          <w:lang w:eastAsia="en-NZ"/>
        </w:rPr>
        <w:t>churches</w:t>
      </w:r>
      <w:r w:rsidR="003D640C">
        <w:rPr>
          <w:lang w:eastAsia="en-NZ"/>
        </w:rPr>
        <w:t xml:space="preserve"> </w:t>
      </w:r>
      <w:r w:rsidRPr="00BB6220">
        <w:rPr>
          <w:lang w:eastAsia="en-NZ"/>
        </w:rPr>
        <w:t>and</w:t>
      </w:r>
      <w:r w:rsidR="003D640C">
        <w:rPr>
          <w:lang w:eastAsia="en-NZ"/>
        </w:rPr>
        <w:t xml:space="preserve"> </w:t>
      </w:r>
      <w:r w:rsidRPr="00BB6220">
        <w:rPr>
          <w:lang w:eastAsia="en-NZ"/>
        </w:rPr>
        <w:t>religious</w:t>
      </w:r>
      <w:r w:rsidR="003D640C">
        <w:rPr>
          <w:lang w:eastAsia="en-NZ"/>
        </w:rPr>
        <w:t xml:space="preserve"> </w:t>
      </w:r>
      <w:r w:rsidRPr="00BB6220">
        <w:rPr>
          <w:lang w:eastAsia="en-NZ"/>
        </w:rPr>
        <w:t>communities</w:t>
      </w:r>
      <w:r w:rsidR="003D640C">
        <w:rPr>
          <w:lang w:eastAsia="en-NZ"/>
        </w:rPr>
        <w:t xml:space="preserve"> </w:t>
      </w:r>
      <w:r w:rsidRPr="00BB6220">
        <w:rPr>
          <w:lang w:eastAsia="en-NZ"/>
        </w:rPr>
        <w:t>adopt</w:t>
      </w:r>
      <w:r w:rsidR="003D640C">
        <w:rPr>
          <w:lang w:eastAsia="en-NZ"/>
        </w:rPr>
        <w:t xml:space="preserve"> </w:t>
      </w:r>
      <w:r w:rsidRPr="00BB6220">
        <w:rPr>
          <w:lang w:eastAsia="en-NZ"/>
        </w:rPr>
        <w:t>an</w:t>
      </w:r>
      <w:r w:rsidR="003D640C">
        <w:rPr>
          <w:lang w:eastAsia="en-NZ"/>
        </w:rPr>
        <w:t xml:space="preserve"> </w:t>
      </w:r>
      <w:r w:rsidRPr="00BB6220">
        <w:rPr>
          <w:lang w:eastAsia="en-NZ"/>
        </w:rPr>
        <w:lastRenderedPageBreak/>
        <w:t>inclusive</w:t>
      </w:r>
      <w:r w:rsidR="003D640C">
        <w:rPr>
          <w:lang w:eastAsia="en-NZ"/>
        </w:rPr>
        <w:t xml:space="preserve"> </w:t>
      </w:r>
      <w:r w:rsidRPr="00BB6220">
        <w:rPr>
          <w:lang w:eastAsia="en-NZ"/>
        </w:rPr>
        <w:t>interpretation</w:t>
      </w:r>
      <w:r w:rsidR="003D640C">
        <w:rPr>
          <w:lang w:eastAsia="en-NZ"/>
        </w:rPr>
        <w:t xml:space="preserve"> </w:t>
      </w:r>
      <w:r w:rsidR="7F719288" w:rsidRPr="00BB6220">
        <w:rPr>
          <w:lang w:eastAsia="en-NZ"/>
        </w:rPr>
        <w:t>of</w:t>
      </w:r>
      <w:r w:rsidR="003D640C">
        <w:rPr>
          <w:lang w:eastAsia="en-NZ"/>
        </w:rPr>
        <w:t xml:space="preserve"> </w:t>
      </w:r>
      <w:r w:rsidR="7F719288" w:rsidRPr="00BB6220">
        <w:rPr>
          <w:lang w:eastAsia="en-NZ"/>
        </w:rPr>
        <w:t>religion</w:t>
      </w:r>
      <w:r w:rsidR="003D640C">
        <w:rPr>
          <w:lang w:eastAsia="en-NZ"/>
        </w:rPr>
        <w:t xml:space="preserve"> </w:t>
      </w:r>
      <w:r w:rsidR="7F719288" w:rsidRPr="00BB6220">
        <w:rPr>
          <w:lang w:eastAsia="en-NZ"/>
        </w:rPr>
        <w:t>and</w:t>
      </w:r>
      <w:r w:rsidR="003D640C">
        <w:rPr>
          <w:lang w:eastAsia="en-NZ"/>
        </w:rPr>
        <w:t xml:space="preserve"> </w:t>
      </w:r>
      <w:r w:rsidR="7F719288" w:rsidRPr="00BB6220">
        <w:rPr>
          <w:lang w:eastAsia="en-NZ"/>
        </w:rPr>
        <w:t>embrace</w:t>
      </w:r>
      <w:r w:rsidR="003D640C">
        <w:rPr>
          <w:lang w:eastAsia="en-NZ"/>
        </w:rPr>
        <w:t xml:space="preserve"> </w:t>
      </w:r>
      <w:r w:rsidR="7F719288" w:rsidRPr="00BB6220">
        <w:rPr>
          <w:lang w:eastAsia="en-NZ"/>
        </w:rPr>
        <w:t>the</w:t>
      </w:r>
      <w:r w:rsidR="003D640C">
        <w:rPr>
          <w:lang w:eastAsia="en-NZ"/>
        </w:rPr>
        <w:t xml:space="preserve"> </w:t>
      </w:r>
      <w:r w:rsidR="7F719288" w:rsidRPr="00BB6220">
        <w:rPr>
          <w:lang w:eastAsia="en-NZ"/>
        </w:rPr>
        <w:t>value</w:t>
      </w:r>
      <w:r w:rsidR="003D640C">
        <w:rPr>
          <w:lang w:eastAsia="en-NZ"/>
        </w:rPr>
        <w:t xml:space="preserve"> </w:t>
      </w:r>
      <w:r w:rsidR="7F719288" w:rsidRPr="00BB6220">
        <w:rPr>
          <w:lang w:eastAsia="en-NZ"/>
        </w:rPr>
        <w:t>of</w:t>
      </w:r>
      <w:r w:rsidR="003D640C">
        <w:rPr>
          <w:lang w:eastAsia="en-NZ"/>
        </w:rPr>
        <w:t xml:space="preserve"> </w:t>
      </w:r>
      <w:r w:rsidR="7F719288" w:rsidRPr="00BB6220">
        <w:rPr>
          <w:lang w:eastAsia="en-NZ"/>
        </w:rPr>
        <w:t>diversity</w:t>
      </w:r>
      <w:r w:rsidR="003D640C">
        <w:rPr>
          <w:lang w:eastAsia="en-NZ"/>
        </w:rPr>
        <w:t xml:space="preserve"> </w:t>
      </w:r>
      <w:r w:rsidR="7F719288" w:rsidRPr="00BB6220">
        <w:rPr>
          <w:lang w:eastAsia="en-NZ"/>
        </w:rPr>
        <w:t>and</w:t>
      </w:r>
      <w:r w:rsidR="003D640C">
        <w:rPr>
          <w:lang w:eastAsia="en-NZ"/>
        </w:rPr>
        <w:t xml:space="preserve"> </w:t>
      </w:r>
      <w:r w:rsidR="7F719288" w:rsidRPr="00BB6220">
        <w:rPr>
          <w:lang w:eastAsia="en-NZ"/>
        </w:rPr>
        <w:t>welcome</w:t>
      </w:r>
      <w:r w:rsidR="003D640C">
        <w:rPr>
          <w:lang w:eastAsia="en-NZ"/>
        </w:rPr>
        <w:t xml:space="preserve"> </w:t>
      </w:r>
      <w:r w:rsidR="000E30CB">
        <w:rPr>
          <w:lang w:eastAsia="en-NZ"/>
        </w:rPr>
        <w:t>[</w:t>
      </w:r>
      <w:r w:rsidR="00491C35">
        <w:rPr>
          <w:lang w:eastAsia="en-NZ"/>
        </w:rPr>
        <w:t>Rainbow</w:t>
      </w:r>
      <w:r w:rsidR="003D640C">
        <w:rPr>
          <w:lang w:eastAsia="en-NZ"/>
        </w:rPr>
        <w:t xml:space="preserve"> </w:t>
      </w:r>
      <w:r w:rsidR="7F719288" w:rsidRPr="00BB6220">
        <w:rPr>
          <w:lang w:eastAsia="en-NZ"/>
        </w:rPr>
        <w:t>people</w:t>
      </w:r>
      <w:r w:rsidR="000E30CB">
        <w:rPr>
          <w:lang w:eastAsia="en-NZ"/>
        </w:rPr>
        <w:t>]”</w:t>
      </w:r>
      <w:r w:rsidR="7F719288" w:rsidRPr="00BB6220">
        <w:rPr>
          <w:lang w:eastAsia="en-NZ"/>
        </w:rPr>
        <w:t>.</w:t>
      </w:r>
      <w:r w:rsidRPr="00BB6220">
        <w:rPr>
          <w:rStyle w:val="FootnoteReference"/>
          <w:rFonts w:ascii="Calibri" w:eastAsia="Times New Roman" w:hAnsi="Calibri" w:cs="Calibri"/>
          <w:lang w:eastAsia="en-NZ"/>
        </w:rPr>
        <w:footnoteReference w:id="65"/>
      </w:r>
      <w:r w:rsidR="003D640C">
        <w:rPr>
          <w:lang w:eastAsia="en-NZ"/>
        </w:rPr>
        <w:t xml:space="preserve"> </w:t>
      </w:r>
      <w:r w:rsidR="003D640C">
        <w:t xml:space="preserve"> </w:t>
      </w:r>
    </w:p>
    <w:p w14:paraId="6CC78A14" w14:textId="7EDCE9B3" w:rsidR="001C3549" w:rsidRPr="00BB6220" w:rsidRDefault="001C3549" w:rsidP="00B2336B">
      <w:pPr>
        <w:pStyle w:val="Heading2"/>
        <w:rPr>
          <w:rFonts w:ascii="Segoe UI" w:hAnsi="Segoe UI" w:cs="Segoe UI"/>
          <w:sz w:val="18"/>
          <w:szCs w:val="18"/>
        </w:rPr>
      </w:pPr>
      <w:bookmarkStart w:id="119" w:name="_Toc138325164"/>
      <w:bookmarkStart w:id="120" w:name="_Toc138343801"/>
      <w:bookmarkStart w:id="121" w:name="_Toc167780590"/>
      <w:bookmarkStart w:id="122" w:name="_Toc1615921024"/>
      <w:bookmarkStart w:id="123" w:name="_Toc174628648"/>
      <w:r w:rsidRPr="00BB6220">
        <w:t>The</w:t>
      </w:r>
      <w:r w:rsidR="003D640C">
        <w:t xml:space="preserve"> </w:t>
      </w:r>
      <w:r w:rsidRPr="00BB6220">
        <w:t>balancing</w:t>
      </w:r>
      <w:r w:rsidR="003D640C">
        <w:t xml:space="preserve"> </w:t>
      </w:r>
      <w:r w:rsidRPr="00BB6220">
        <w:t>of</w:t>
      </w:r>
      <w:r w:rsidR="003D640C">
        <w:t xml:space="preserve"> </w:t>
      </w:r>
      <w:r w:rsidRPr="00BB6220">
        <w:t>rights</w:t>
      </w:r>
      <w:r w:rsidR="003D640C">
        <w:t xml:space="preserve"> </w:t>
      </w:r>
      <w:r w:rsidRPr="00BB6220">
        <w:t>in</w:t>
      </w:r>
      <w:r w:rsidR="003D640C">
        <w:t xml:space="preserve"> </w:t>
      </w:r>
      <w:r w:rsidRPr="00BB6220">
        <w:t>Aotearoa</w:t>
      </w:r>
      <w:bookmarkEnd w:id="119"/>
      <w:bookmarkEnd w:id="120"/>
      <w:bookmarkEnd w:id="121"/>
      <w:bookmarkEnd w:id="122"/>
      <w:bookmarkEnd w:id="123"/>
      <w:r w:rsidR="003D640C">
        <w:t xml:space="preserve"> </w:t>
      </w:r>
    </w:p>
    <w:p w14:paraId="3518F8C7" w14:textId="24299B18" w:rsidR="00292B02" w:rsidRPr="00094317" w:rsidRDefault="00E4227D" w:rsidP="00B2336B">
      <w:r w:rsidRPr="00E4227D">
        <w:rPr>
          <w:rFonts w:cstheme="minorHAnsi"/>
        </w:rPr>
        <w:t>Human</w:t>
      </w:r>
      <w:r w:rsidR="003D640C">
        <w:rPr>
          <w:rFonts w:cstheme="minorHAnsi"/>
        </w:rPr>
        <w:t xml:space="preserve"> </w:t>
      </w:r>
      <w:r w:rsidRPr="00E4227D">
        <w:rPr>
          <w:rFonts w:cstheme="minorHAnsi"/>
        </w:rPr>
        <w:t>rights</w:t>
      </w:r>
      <w:r w:rsidR="003D640C">
        <w:rPr>
          <w:rFonts w:cstheme="minorHAnsi"/>
        </w:rPr>
        <w:t xml:space="preserve"> </w:t>
      </w:r>
      <w:r w:rsidRPr="00E4227D">
        <w:rPr>
          <w:rFonts w:cstheme="minorHAnsi"/>
        </w:rPr>
        <w:t>are</w:t>
      </w:r>
      <w:r w:rsidR="003D640C">
        <w:rPr>
          <w:rFonts w:cstheme="minorHAnsi"/>
        </w:rPr>
        <w:t xml:space="preserve"> </w:t>
      </w:r>
      <w:r w:rsidRPr="008E1C42">
        <w:rPr>
          <w:rFonts w:cstheme="minorHAnsi"/>
          <w:b/>
          <w:bCs/>
        </w:rPr>
        <w:t>universal</w:t>
      </w:r>
      <w:r w:rsidR="003D640C">
        <w:rPr>
          <w:rFonts w:cstheme="minorHAnsi"/>
        </w:rPr>
        <w:t xml:space="preserve"> </w:t>
      </w:r>
      <w:r w:rsidR="000E30CB">
        <w:rPr>
          <w:rFonts w:cstheme="minorHAnsi"/>
        </w:rPr>
        <w:t>(</w:t>
      </w:r>
      <w:r w:rsidRPr="00E4227D">
        <w:rPr>
          <w:rFonts w:cstheme="minorHAnsi"/>
        </w:rPr>
        <w:t>inherent</w:t>
      </w:r>
      <w:r w:rsidR="003D640C">
        <w:rPr>
          <w:rFonts w:cstheme="minorHAnsi"/>
        </w:rPr>
        <w:t xml:space="preserve"> </w:t>
      </w:r>
      <w:r w:rsidRPr="00E4227D">
        <w:rPr>
          <w:rFonts w:cstheme="minorHAnsi"/>
        </w:rPr>
        <w:t>to</w:t>
      </w:r>
      <w:r w:rsidR="003D640C">
        <w:rPr>
          <w:rFonts w:cstheme="minorHAnsi"/>
        </w:rPr>
        <w:t xml:space="preserve"> </w:t>
      </w:r>
      <w:r w:rsidRPr="00E4227D">
        <w:rPr>
          <w:rFonts w:cstheme="minorHAnsi"/>
        </w:rPr>
        <w:t>every</w:t>
      </w:r>
      <w:r w:rsidR="003D640C">
        <w:rPr>
          <w:rFonts w:cstheme="minorHAnsi"/>
        </w:rPr>
        <w:t xml:space="preserve"> </w:t>
      </w:r>
      <w:r w:rsidRPr="00E4227D">
        <w:rPr>
          <w:rFonts w:cstheme="minorHAnsi"/>
        </w:rPr>
        <w:t>individual</w:t>
      </w:r>
      <w:r w:rsidR="003D640C">
        <w:rPr>
          <w:rFonts w:cstheme="minorHAnsi"/>
        </w:rPr>
        <w:t xml:space="preserve"> </w:t>
      </w:r>
      <w:r w:rsidRPr="00E4227D">
        <w:rPr>
          <w:rFonts w:cstheme="minorHAnsi"/>
        </w:rPr>
        <w:t>without</w:t>
      </w:r>
      <w:r w:rsidR="003D640C">
        <w:rPr>
          <w:rFonts w:cstheme="minorHAnsi"/>
        </w:rPr>
        <w:t xml:space="preserve"> </w:t>
      </w:r>
      <w:r w:rsidRPr="00E4227D">
        <w:rPr>
          <w:rFonts w:cstheme="minorHAnsi"/>
        </w:rPr>
        <w:t>discrimination</w:t>
      </w:r>
      <w:r w:rsidR="000E30CB">
        <w:rPr>
          <w:rFonts w:cstheme="minorHAnsi"/>
        </w:rPr>
        <w:t>),</w:t>
      </w:r>
      <w:r w:rsidR="003D640C">
        <w:rPr>
          <w:rFonts w:cstheme="minorHAnsi"/>
        </w:rPr>
        <w:t xml:space="preserve"> </w:t>
      </w:r>
      <w:r w:rsidRPr="00094317">
        <w:rPr>
          <w:rFonts w:cstheme="minorHAnsi"/>
          <w:b/>
          <w:bCs/>
        </w:rPr>
        <w:t>inalienable</w:t>
      </w:r>
      <w:r w:rsidR="003D640C">
        <w:rPr>
          <w:rFonts w:cstheme="minorHAnsi"/>
        </w:rPr>
        <w:t xml:space="preserve"> </w:t>
      </w:r>
      <w:r w:rsidR="000E30CB">
        <w:rPr>
          <w:rFonts w:cstheme="minorHAnsi"/>
        </w:rPr>
        <w:t>(</w:t>
      </w:r>
      <w:r w:rsidRPr="00E4227D">
        <w:rPr>
          <w:rFonts w:cstheme="minorHAnsi"/>
        </w:rPr>
        <w:t>no</w:t>
      </w:r>
      <w:r w:rsidR="003D640C">
        <w:rPr>
          <w:rFonts w:cstheme="minorHAnsi"/>
        </w:rPr>
        <w:t xml:space="preserve"> </w:t>
      </w:r>
      <w:r w:rsidRPr="00E4227D">
        <w:rPr>
          <w:rFonts w:cstheme="minorHAnsi"/>
        </w:rPr>
        <w:t>one</w:t>
      </w:r>
      <w:r w:rsidR="003D640C">
        <w:rPr>
          <w:rFonts w:cstheme="minorHAnsi"/>
        </w:rPr>
        <w:t xml:space="preserve"> </w:t>
      </w:r>
      <w:r w:rsidRPr="00E4227D">
        <w:rPr>
          <w:rFonts w:cstheme="minorHAnsi"/>
        </w:rPr>
        <w:t>can</w:t>
      </w:r>
      <w:r w:rsidR="003D640C">
        <w:rPr>
          <w:rFonts w:cstheme="minorHAnsi"/>
        </w:rPr>
        <w:t xml:space="preserve"> </w:t>
      </w:r>
      <w:r w:rsidRPr="00E4227D">
        <w:rPr>
          <w:rFonts w:cstheme="minorHAnsi"/>
        </w:rPr>
        <w:t>take</w:t>
      </w:r>
      <w:r w:rsidR="003D640C">
        <w:rPr>
          <w:rFonts w:cstheme="minorHAnsi"/>
        </w:rPr>
        <w:t xml:space="preserve"> </w:t>
      </w:r>
      <w:r w:rsidRPr="00E4227D">
        <w:rPr>
          <w:rFonts w:cstheme="minorHAnsi"/>
        </w:rPr>
        <w:t>them</w:t>
      </w:r>
      <w:r w:rsidR="003D640C">
        <w:rPr>
          <w:rFonts w:cstheme="minorHAnsi"/>
        </w:rPr>
        <w:t xml:space="preserve"> </w:t>
      </w:r>
      <w:r w:rsidRPr="00E4227D">
        <w:rPr>
          <w:rFonts w:cstheme="minorHAnsi"/>
        </w:rPr>
        <w:t>away</w:t>
      </w:r>
      <w:r w:rsidR="000E30CB">
        <w:rPr>
          <w:rFonts w:cstheme="minorHAnsi"/>
        </w:rPr>
        <w:t>),</w:t>
      </w:r>
      <w:r w:rsidR="003D640C">
        <w:rPr>
          <w:rFonts w:cstheme="minorHAnsi"/>
        </w:rPr>
        <w:t xml:space="preserve"> </w:t>
      </w:r>
      <w:r w:rsidRPr="00094317">
        <w:rPr>
          <w:rFonts w:cstheme="minorHAnsi"/>
          <w:b/>
          <w:bCs/>
        </w:rPr>
        <w:t>indivisible</w:t>
      </w:r>
      <w:r w:rsidR="000E30CB">
        <w:rPr>
          <w:rFonts w:cstheme="minorHAnsi"/>
        </w:rPr>
        <w:t xml:space="preserve">, </w:t>
      </w:r>
      <w:r w:rsidRPr="00E4227D">
        <w:rPr>
          <w:rFonts w:cstheme="minorHAnsi"/>
        </w:rPr>
        <w:t>and</w:t>
      </w:r>
      <w:r w:rsidR="003D640C">
        <w:rPr>
          <w:rFonts w:cstheme="minorHAnsi"/>
        </w:rPr>
        <w:t xml:space="preserve"> </w:t>
      </w:r>
      <w:r w:rsidRPr="00094317">
        <w:rPr>
          <w:rFonts w:cstheme="minorHAnsi"/>
          <w:b/>
          <w:bCs/>
        </w:rPr>
        <w:t>interrelated</w:t>
      </w:r>
      <w:r w:rsidRPr="00E4227D">
        <w:rPr>
          <w:rFonts w:cstheme="minorHAnsi"/>
        </w:rPr>
        <w:t>,</w:t>
      </w:r>
      <w:r w:rsidR="003D640C">
        <w:rPr>
          <w:rFonts w:cstheme="minorHAnsi"/>
        </w:rPr>
        <w:t xml:space="preserve"> </w:t>
      </w:r>
      <w:r w:rsidRPr="00E4227D">
        <w:rPr>
          <w:rFonts w:cstheme="minorHAnsi"/>
        </w:rPr>
        <w:t>with</w:t>
      </w:r>
      <w:r w:rsidR="003D640C">
        <w:rPr>
          <w:rFonts w:cstheme="minorHAnsi"/>
        </w:rPr>
        <w:t xml:space="preserve"> </w:t>
      </w:r>
      <w:r w:rsidRPr="00E4227D">
        <w:rPr>
          <w:rFonts w:cstheme="minorHAnsi"/>
        </w:rPr>
        <w:t>all</w:t>
      </w:r>
      <w:r w:rsidR="003D640C">
        <w:rPr>
          <w:rFonts w:cstheme="minorHAnsi"/>
        </w:rPr>
        <w:t xml:space="preserve"> </w:t>
      </w:r>
      <w:r w:rsidRPr="00E4227D">
        <w:rPr>
          <w:rFonts w:cstheme="minorHAnsi"/>
        </w:rPr>
        <w:t>rights</w:t>
      </w:r>
      <w:r w:rsidR="003D640C">
        <w:rPr>
          <w:rFonts w:cstheme="minorHAnsi"/>
        </w:rPr>
        <w:t xml:space="preserve"> </w:t>
      </w:r>
      <w:r w:rsidRPr="00E4227D">
        <w:rPr>
          <w:rFonts w:cstheme="minorHAnsi"/>
        </w:rPr>
        <w:t>having</w:t>
      </w:r>
      <w:r w:rsidR="003D640C">
        <w:rPr>
          <w:rFonts w:cstheme="minorHAnsi"/>
        </w:rPr>
        <w:t xml:space="preserve"> </w:t>
      </w:r>
      <w:r w:rsidRPr="00E4227D">
        <w:rPr>
          <w:rFonts w:cstheme="minorHAnsi"/>
        </w:rPr>
        <w:t>equal</w:t>
      </w:r>
      <w:r w:rsidR="003D640C">
        <w:rPr>
          <w:rFonts w:cstheme="minorHAnsi"/>
        </w:rPr>
        <w:t xml:space="preserve"> </w:t>
      </w:r>
      <w:r w:rsidRPr="00E4227D">
        <w:rPr>
          <w:rFonts w:cstheme="minorHAnsi"/>
        </w:rPr>
        <w:t>status</w:t>
      </w:r>
      <w:r w:rsidR="003D640C">
        <w:rPr>
          <w:rFonts w:cstheme="minorHAnsi"/>
        </w:rPr>
        <w:t xml:space="preserve"> </w:t>
      </w:r>
      <w:r w:rsidRPr="00E4227D">
        <w:rPr>
          <w:rFonts w:cstheme="minorHAnsi"/>
        </w:rPr>
        <w:t>and</w:t>
      </w:r>
      <w:r w:rsidR="003D640C">
        <w:rPr>
          <w:rFonts w:cstheme="minorHAnsi"/>
        </w:rPr>
        <w:t xml:space="preserve"> </w:t>
      </w:r>
      <w:r w:rsidRPr="00E4227D">
        <w:rPr>
          <w:rFonts w:cstheme="minorHAnsi"/>
        </w:rPr>
        <w:t>being</w:t>
      </w:r>
      <w:r w:rsidR="003D640C">
        <w:rPr>
          <w:rFonts w:cstheme="minorHAnsi"/>
        </w:rPr>
        <w:t xml:space="preserve"> </w:t>
      </w:r>
      <w:r w:rsidRPr="00E4227D">
        <w:rPr>
          <w:rFonts w:cstheme="minorHAnsi"/>
        </w:rPr>
        <w:t>necessary</w:t>
      </w:r>
      <w:r w:rsidR="003D640C">
        <w:rPr>
          <w:rFonts w:cstheme="minorHAnsi"/>
        </w:rPr>
        <w:t xml:space="preserve"> </w:t>
      </w:r>
      <w:r w:rsidRPr="00E4227D">
        <w:rPr>
          <w:rFonts w:cstheme="minorHAnsi"/>
        </w:rPr>
        <w:t>to</w:t>
      </w:r>
      <w:r w:rsidR="003D640C">
        <w:rPr>
          <w:rFonts w:cstheme="minorHAnsi"/>
        </w:rPr>
        <w:t xml:space="preserve"> </w:t>
      </w:r>
      <w:r w:rsidRPr="00E4227D">
        <w:rPr>
          <w:rFonts w:cstheme="minorHAnsi"/>
        </w:rPr>
        <w:t>protect</w:t>
      </w:r>
      <w:r w:rsidR="003D640C">
        <w:rPr>
          <w:rFonts w:cstheme="minorHAnsi"/>
        </w:rPr>
        <w:t xml:space="preserve"> </w:t>
      </w:r>
      <w:r w:rsidRPr="00E4227D">
        <w:rPr>
          <w:rFonts w:cstheme="minorHAnsi"/>
        </w:rPr>
        <w:t>human</w:t>
      </w:r>
      <w:r w:rsidR="003D640C">
        <w:rPr>
          <w:rFonts w:cstheme="minorHAnsi"/>
        </w:rPr>
        <w:t xml:space="preserve"> </w:t>
      </w:r>
      <w:r w:rsidRPr="00E4227D">
        <w:rPr>
          <w:rFonts w:cstheme="minorHAnsi"/>
        </w:rPr>
        <w:t>dignity</w:t>
      </w:r>
      <w:r w:rsidR="00292B02" w:rsidRPr="00094317">
        <w:rPr>
          <w:rFonts w:cstheme="minorHAnsi"/>
        </w:rPr>
        <w:t>.</w:t>
      </w:r>
      <w:r w:rsidR="003D640C">
        <w:rPr>
          <w:rFonts w:cstheme="minorHAnsi"/>
        </w:rPr>
        <w:t xml:space="preserve"> </w:t>
      </w:r>
      <w:r w:rsidR="00D94CDF" w:rsidRPr="00D94CDF">
        <w:rPr>
          <w:rFonts w:cstheme="minorHAnsi"/>
        </w:rPr>
        <w:t>Some</w:t>
      </w:r>
      <w:r w:rsidR="003D640C">
        <w:rPr>
          <w:rFonts w:cstheme="minorHAnsi"/>
        </w:rPr>
        <w:t xml:space="preserve"> </w:t>
      </w:r>
      <w:r w:rsidR="00D94CDF" w:rsidRPr="00D94CDF">
        <w:rPr>
          <w:rFonts w:cstheme="minorHAnsi"/>
        </w:rPr>
        <w:t>rights</w:t>
      </w:r>
      <w:r w:rsidR="003D640C">
        <w:rPr>
          <w:rFonts w:cstheme="minorHAnsi"/>
        </w:rPr>
        <w:t xml:space="preserve"> </w:t>
      </w:r>
      <w:r w:rsidR="00D94CDF" w:rsidRPr="00D94CDF">
        <w:rPr>
          <w:rFonts w:cstheme="minorHAnsi"/>
        </w:rPr>
        <w:t>compete</w:t>
      </w:r>
      <w:r w:rsidR="003D640C">
        <w:rPr>
          <w:rFonts w:cstheme="minorHAnsi"/>
        </w:rPr>
        <w:t xml:space="preserve"> </w:t>
      </w:r>
      <w:r w:rsidR="00D94CDF" w:rsidRPr="00D94CDF">
        <w:rPr>
          <w:rFonts w:cstheme="minorHAnsi"/>
        </w:rPr>
        <w:t>with</w:t>
      </w:r>
      <w:r w:rsidR="003D640C">
        <w:rPr>
          <w:rFonts w:cstheme="minorHAnsi"/>
        </w:rPr>
        <w:t xml:space="preserve"> </w:t>
      </w:r>
      <w:r w:rsidR="00D94CDF" w:rsidRPr="00D94CDF">
        <w:rPr>
          <w:rFonts w:cstheme="minorHAnsi"/>
        </w:rPr>
        <w:t>other</w:t>
      </w:r>
      <w:r w:rsidR="003D640C">
        <w:rPr>
          <w:rFonts w:cstheme="minorHAnsi"/>
        </w:rPr>
        <w:t xml:space="preserve"> </w:t>
      </w:r>
      <w:r w:rsidR="00D94CDF" w:rsidRPr="00D94CDF">
        <w:rPr>
          <w:rFonts w:cstheme="minorHAnsi"/>
        </w:rPr>
        <w:t>rights,</w:t>
      </w:r>
      <w:r w:rsidR="003D640C">
        <w:rPr>
          <w:rFonts w:cstheme="minorHAnsi"/>
        </w:rPr>
        <w:t xml:space="preserve"> </w:t>
      </w:r>
      <w:r w:rsidR="00D94CDF" w:rsidRPr="00D94CDF">
        <w:rPr>
          <w:rFonts w:cstheme="minorHAnsi"/>
        </w:rPr>
        <w:t>and</w:t>
      </w:r>
      <w:r w:rsidR="003D640C">
        <w:rPr>
          <w:rFonts w:cstheme="minorHAnsi"/>
        </w:rPr>
        <w:t xml:space="preserve"> </w:t>
      </w:r>
      <w:r w:rsidR="00D94CDF" w:rsidRPr="00D94CDF">
        <w:rPr>
          <w:rFonts w:cstheme="minorHAnsi"/>
        </w:rPr>
        <w:t>fair</w:t>
      </w:r>
      <w:r w:rsidR="003D640C">
        <w:rPr>
          <w:rFonts w:cstheme="minorHAnsi"/>
        </w:rPr>
        <w:t xml:space="preserve"> </w:t>
      </w:r>
      <w:r w:rsidR="00D94CDF" w:rsidRPr="00D94CDF">
        <w:rPr>
          <w:rFonts w:cstheme="minorHAnsi"/>
        </w:rPr>
        <w:t>balances</w:t>
      </w:r>
      <w:r w:rsidR="003D640C">
        <w:rPr>
          <w:rFonts w:cstheme="minorHAnsi"/>
        </w:rPr>
        <w:t xml:space="preserve"> </w:t>
      </w:r>
      <w:r w:rsidR="00D94CDF" w:rsidRPr="00D94CDF">
        <w:rPr>
          <w:rFonts w:cstheme="minorHAnsi"/>
        </w:rPr>
        <w:t>have</w:t>
      </w:r>
      <w:r w:rsidR="003D640C">
        <w:rPr>
          <w:rFonts w:cstheme="minorHAnsi"/>
        </w:rPr>
        <w:t xml:space="preserve"> </w:t>
      </w:r>
      <w:r w:rsidR="00D94CDF" w:rsidRPr="00D94CDF">
        <w:rPr>
          <w:rFonts w:cstheme="minorHAnsi"/>
        </w:rPr>
        <w:t>to</w:t>
      </w:r>
      <w:r w:rsidR="003D640C">
        <w:rPr>
          <w:rFonts w:cstheme="minorHAnsi"/>
        </w:rPr>
        <w:t xml:space="preserve"> </w:t>
      </w:r>
      <w:r w:rsidR="00D94CDF" w:rsidRPr="00D94CDF">
        <w:rPr>
          <w:rFonts w:cstheme="minorHAnsi"/>
        </w:rPr>
        <w:t>be</w:t>
      </w:r>
      <w:r w:rsidR="003D640C">
        <w:rPr>
          <w:rFonts w:cstheme="minorHAnsi"/>
        </w:rPr>
        <w:t xml:space="preserve"> </w:t>
      </w:r>
      <w:r w:rsidR="00D94CDF" w:rsidRPr="00D94CDF">
        <w:rPr>
          <w:rFonts w:cstheme="minorHAnsi"/>
        </w:rPr>
        <w:t>struck</w:t>
      </w:r>
      <w:r w:rsidR="003D640C">
        <w:rPr>
          <w:rFonts w:cstheme="minorHAnsi"/>
        </w:rPr>
        <w:t xml:space="preserve"> </w:t>
      </w:r>
      <w:r w:rsidR="00D94CDF" w:rsidRPr="00D94CDF">
        <w:rPr>
          <w:rFonts w:cstheme="minorHAnsi"/>
        </w:rPr>
        <w:t>between</w:t>
      </w:r>
      <w:r w:rsidR="003D640C">
        <w:rPr>
          <w:rFonts w:cstheme="minorHAnsi"/>
        </w:rPr>
        <w:t xml:space="preserve"> </w:t>
      </w:r>
      <w:r w:rsidR="00D94CDF" w:rsidRPr="00D94CDF">
        <w:rPr>
          <w:rFonts w:cstheme="minorHAnsi"/>
        </w:rPr>
        <w:t>them</w:t>
      </w:r>
      <w:r w:rsidR="00D94CDF">
        <w:rPr>
          <w:rFonts w:cstheme="minorHAnsi"/>
        </w:rPr>
        <w:t>.</w:t>
      </w:r>
      <w:r w:rsidR="003D640C">
        <w:rPr>
          <w:rFonts w:cstheme="minorHAnsi"/>
        </w:rPr>
        <w:t xml:space="preserve"> </w:t>
      </w:r>
      <w:r w:rsidR="00424ABD">
        <w:rPr>
          <w:rFonts w:cstheme="minorHAnsi"/>
        </w:rPr>
        <w:t>The</w:t>
      </w:r>
      <w:r w:rsidR="003D640C">
        <w:rPr>
          <w:rFonts w:cstheme="minorHAnsi"/>
        </w:rPr>
        <w:t xml:space="preserve"> </w:t>
      </w:r>
      <w:r w:rsidR="00424ABD">
        <w:rPr>
          <w:rFonts w:cstheme="minorHAnsi"/>
        </w:rPr>
        <w:t>balancing</w:t>
      </w:r>
      <w:r w:rsidR="003D640C">
        <w:rPr>
          <w:rFonts w:cstheme="minorHAnsi"/>
        </w:rPr>
        <w:t xml:space="preserve"> </w:t>
      </w:r>
      <w:r w:rsidR="00424ABD">
        <w:rPr>
          <w:rFonts w:cstheme="minorHAnsi"/>
        </w:rPr>
        <w:t>of</w:t>
      </w:r>
      <w:r w:rsidR="003D640C">
        <w:rPr>
          <w:rFonts w:cstheme="minorHAnsi"/>
        </w:rPr>
        <w:t xml:space="preserve"> </w:t>
      </w:r>
      <w:r w:rsidR="004E6AA7">
        <w:rPr>
          <w:rFonts w:cstheme="minorHAnsi"/>
        </w:rPr>
        <w:t>rights</w:t>
      </w:r>
      <w:r w:rsidR="003D640C">
        <w:rPr>
          <w:rFonts w:cstheme="minorHAnsi"/>
        </w:rPr>
        <w:t xml:space="preserve"> </w:t>
      </w:r>
      <w:r w:rsidR="004E6AA7">
        <w:rPr>
          <w:rFonts w:cstheme="minorHAnsi"/>
        </w:rPr>
        <w:t>is</w:t>
      </w:r>
      <w:r w:rsidR="003D640C">
        <w:rPr>
          <w:rFonts w:cstheme="minorHAnsi"/>
        </w:rPr>
        <w:t xml:space="preserve"> </w:t>
      </w:r>
      <w:r w:rsidR="004E6AA7">
        <w:rPr>
          <w:rFonts w:cstheme="minorHAnsi"/>
        </w:rPr>
        <w:t>an</w:t>
      </w:r>
      <w:r w:rsidR="003D640C">
        <w:rPr>
          <w:rFonts w:cstheme="minorHAnsi"/>
        </w:rPr>
        <w:t xml:space="preserve"> </w:t>
      </w:r>
      <w:r w:rsidR="004E6AA7">
        <w:rPr>
          <w:rFonts w:cstheme="minorHAnsi"/>
        </w:rPr>
        <w:t>ongoing</w:t>
      </w:r>
      <w:r w:rsidR="003D640C">
        <w:rPr>
          <w:rFonts w:cstheme="minorHAnsi"/>
        </w:rPr>
        <w:t xml:space="preserve"> </w:t>
      </w:r>
      <w:r w:rsidR="004E6AA7">
        <w:rPr>
          <w:rFonts w:cstheme="minorHAnsi"/>
        </w:rPr>
        <w:t>exe</w:t>
      </w:r>
      <w:r w:rsidR="000D08C2">
        <w:rPr>
          <w:rFonts w:cstheme="minorHAnsi"/>
        </w:rPr>
        <w:t>rcise</w:t>
      </w:r>
      <w:r w:rsidR="00123B43">
        <w:rPr>
          <w:rFonts w:cstheme="minorHAnsi"/>
        </w:rPr>
        <w:t>,</w:t>
      </w:r>
      <w:r w:rsidR="003D640C">
        <w:rPr>
          <w:rFonts w:cstheme="minorHAnsi"/>
        </w:rPr>
        <w:t xml:space="preserve"> </w:t>
      </w:r>
      <w:r w:rsidR="00F93A2C">
        <w:rPr>
          <w:rFonts w:cstheme="minorHAnsi"/>
        </w:rPr>
        <w:t>and</w:t>
      </w:r>
      <w:r w:rsidR="003D640C">
        <w:rPr>
          <w:rFonts w:cstheme="minorHAnsi"/>
        </w:rPr>
        <w:t xml:space="preserve"> </w:t>
      </w:r>
      <w:r w:rsidR="00F93A2C">
        <w:rPr>
          <w:rFonts w:cstheme="minorHAnsi"/>
        </w:rPr>
        <w:t>new</w:t>
      </w:r>
      <w:r w:rsidR="003D640C">
        <w:rPr>
          <w:rFonts w:cstheme="minorHAnsi"/>
        </w:rPr>
        <w:t xml:space="preserve"> </w:t>
      </w:r>
      <w:r w:rsidR="00F93A2C">
        <w:rPr>
          <w:rFonts w:cstheme="minorHAnsi"/>
        </w:rPr>
        <w:t>balances</w:t>
      </w:r>
      <w:r w:rsidR="003D640C">
        <w:rPr>
          <w:rFonts w:cstheme="minorHAnsi"/>
        </w:rPr>
        <w:t xml:space="preserve"> </w:t>
      </w:r>
      <w:r w:rsidR="00F93A2C">
        <w:rPr>
          <w:rFonts w:cstheme="minorHAnsi"/>
        </w:rPr>
        <w:t>are</w:t>
      </w:r>
      <w:r w:rsidR="003D640C">
        <w:rPr>
          <w:rFonts w:cstheme="minorHAnsi"/>
        </w:rPr>
        <w:t xml:space="preserve"> </w:t>
      </w:r>
      <w:r w:rsidR="0039658E">
        <w:rPr>
          <w:rFonts w:cstheme="minorHAnsi"/>
        </w:rPr>
        <w:t>often</w:t>
      </w:r>
      <w:r w:rsidR="003D640C">
        <w:rPr>
          <w:rFonts w:cstheme="minorHAnsi"/>
        </w:rPr>
        <w:t xml:space="preserve"> </w:t>
      </w:r>
      <w:r w:rsidR="005A23AE">
        <w:rPr>
          <w:rFonts w:cstheme="minorHAnsi"/>
        </w:rPr>
        <w:t>struck</w:t>
      </w:r>
      <w:r w:rsidR="003D640C">
        <w:rPr>
          <w:rFonts w:cstheme="minorHAnsi"/>
        </w:rPr>
        <w:t xml:space="preserve"> </w:t>
      </w:r>
      <w:r w:rsidR="00F93A2C">
        <w:rPr>
          <w:rFonts w:cstheme="minorHAnsi"/>
        </w:rPr>
        <w:t>and</w:t>
      </w:r>
      <w:r w:rsidR="003D640C">
        <w:rPr>
          <w:rFonts w:cstheme="minorHAnsi"/>
        </w:rPr>
        <w:t xml:space="preserve"> </w:t>
      </w:r>
      <w:r w:rsidR="00F93A2C">
        <w:rPr>
          <w:rFonts w:cstheme="minorHAnsi"/>
        </w:rPr>
        <w:t>restruck</w:t>
      </w:r>
      <w:r w:rsidR="003D640C">
        <w:rPr>
          <w:rFonts w:cstheme="minorHAnsi"/>
        </w:rPr>
        <w:t xml:space="preserve"> </w:t>
      </w:r>
      <w:r w:rsidR="00F93A2C">
        <w:rPr>
          <w:rFonts w:cstheme="minorHAnsi"/>
        </w:rPr>
        <w:t>by</w:t>
      </w:r>
      <w:r w:rsidR="003D640C">
        <w:rPr>
          <w:rFonts w:cstheme="minorHAnsi"/>
        </w:rPr>
        <w:t xml:space="preserve"> </w:t>
      </w:r>
      <w:r w:rsidR="00F93A2C">
        <w:rPr>
          <w:rFonts w:cstheme="minorHAnsi"/>
        </w:rPr>
        <w:t>decision</w:t>
      </w:r>
      <w:r w:rsidR="003D640C">
        <w:rPr>
          <w:rFonts w:cstheme="minorHAnsi"/>
        </w:rPr>
        <w:t xml:space="preserve"> </w:t>
      </w:r>
      <w:r w:rsidR="00F93A2C">
        <w:rPr>
          <w:rFonts w:cstheme="minorHAnsi"/>
        </w:rPr>
        <w:t>makers</w:t>
      </w:r>
      <w:r w:rsidR="003D640C">
        <w:rPr>
          <w:rFonts w:cstheme="minorHAnsi"/>
        </w:rPr>
        <w:t xml:space="preserve"> </w:t>
      </w:r>
      <w:r w:rsidR="00F93A2C">
        <w:rPr>
          <w:rFonts w:cstheme="minorHAnsi"/>
        </w:rPr>
        <w:t>as</w:t>
      </w:r>
      <w:r w:rsidR="003D640C">
        <w:rPr>
          <w:rFonts w:cstheme="minorHAnsi"/>
        </w:rPr>
        <w:t xml:space="preserve"> </w:t>
      </w:r>
      <w:r w:rsidR="001A2046">
        <w:rPr>
          <w:rFonts w:cstheme="minorHAnsi"/>
        </w:rPr>
        <w:t>new</w:t>
      </w:r>
      <w:r w:rsidR="003D640C">
        <w:rPr>
          <w:rFonts w:cstheme="minorHAnsi"/>
        </w:rPr>
        <w:t xml:space="preserve"> </w:t>
      </w:r>
      <w:r w:rsidR="001A2046">
        <w:rPr>
          <w:rFonts w:cstheme="minorHAnsi"/>
        </w:rPr>
        <w:t>information</w:t>
      </w:r>
      <w:r w:rsidR="003D640C">
        <w:rPr>
          <w:rFonts w:cstheme="minorHAnsi"/>
        </w:rPr>
        <w:t xml:space="preserve"> </w:t>
      </w:r>
      <w:r w:rsidR="001A2046">
        <w:rPr>
          <w:rFonts w:cstheme="minorHAnsi"/>
        </w:rPr>
        <w:t>and</w:t>
      </w:r>
      <w:r w:rsidR="003D640C">
        <w:rPr>
          <w:rFonts w:cstheme="minorHAnsi"/>
        </w:rPr>
        <w:t xml:space="preserve"> </w:t>
      </w:r>
      <w:r w:rsidR="001A2046">
        <w:rPr>
          <w:rFonts w:cstheme="minorHAnsi"/>
        </w:rPr>
        <w:t>evidence</w:t>
      </w:r>
      <w:r w:rsidR="003D640C">
        <w:rPr>
          <w:rFonts w:cstheme="minorHAnsi"/>
        </w:rPr>
        <w:t xml:space="preserve"> </w:t>
      </w:r>
      <w:r w:rsidR="00956363">
        <w:rPr>
          <w:rFonts w:cstheme="minorHAnsi"/>
        </w:rPr>
        <w:t>emerges</w:t>
      </w:r>
      <w:r w:rsidR="003D640C">
        <w:rPr>
          <w:rFonts w:cstheme="minorHAnsi"/>
        </w:rPr>
        <w:t xml:space="preserve"> </w:t>
      </w:r>
      <w:r w:rsidR="0039658E">
        <w:rPr>
          <w:rFonts w:cstheme="minorHAnsi"/>
        </w:rPr>
        <w:t>and</w:t>
      </w:r>
      <w:r w:rsidR="003D640C">
        <w:rPr>
          <w:rFonts w:cstheme="minorHAnsi"/>
        </w:rPr>
        <w:t xml:space="preserve"> </w:t>
      </w:r>
      <w:r w:rsidR="0039658E">
        <w:rPr>
          <w:rFonts w:cstheme="minorHAnsi"/>
        </w:rPr>
        <w:t>our</w:t>
      </w:r>
      <w:r w:rsidR="003D640C">
        <w:rPr>
          <w:rFonts w:cstheme="minorHAnsi"/>
        </w:rPr>
        <w:t xml:space="preserve"> </w:t>
      </w:r>
      <w:r w:rsidR="0039658E">
        <w:rPr>
          <w:rFonts w:cstheme="minorHAnsi"/>
        </w:rPr>
        <w:t>understanding</w:t>
      </w:r>
      <w:r w:rsidR="003D640C">
        <w:rPr>
          <w:rFonts w:cstheme="minorHAnsi"/>
        </w:rPr>
        <w:t xml:space="preserve"> </w:t>
      </w:r>
      <w:r w:rsidR="0039658E">
        <w:rPr>
          <w:rFonts w:cstheme="minorHAnsi"/>
        </w:rPr>
        <w:t>of</w:t>
      </w:r>
      <w:r w:rsidR="003D640C">
        <w:rPr>
          <w:rFonts w:cstheme="minorHAnsi"/>
        </w:rPr>
        <w:t xml:space="preserve"> </w:t>
      </w:r>
      <w:r w:rsidR="0039658E">
        <w:rPr>
          <w:rFonts w:cstheme="minorHAnsi"/>
        </w:rPr>
        <w:t>issues</w:t>
      </w:r>
      <w:r w:rsidR="003D640C">
        <w:rPr>
          <w:rFonts w:cstheme="minorHAnsi"/>
        </w:rPr>
        <w:t xml:space="preserve"> </w:t>
      </w:r>
      <w:r w:rsidR="0039658E">
        <w:rPr>
          <w:rFonts w:cstheme="minorHAnsi"/>
        </w:rPr>
        <w:t>change</w:t>
      </w:r>
      <w:r w:rsidR="00F97401">
        <w:rPr>
          <w:rFonts w:cstheme="minorHAnsi"/>
        </w:rPr>
        <w:t>s</w:t>
      </w:r>
      <w:r w:rsidR="003D640C">
        <w:rPr>
          <w:rFonts w:cstheme="minorHAnsi"/>
        </w:rPr>
        <w:t xml:space="preserve"> </w:t>
      </w:r>
      <w:r w:rsidR="0039658E">
        <w:rPr>
          <w:rFonts w:cstheme="minorHAnsi"/>
        </w:rPr>
        <w:t>and</w:t>
      </w:r>
      <w:r w:rsidR="003D640C">
        <w:rPr>
          <w:rFonts w:cstheme="minorHAnsi"/>
        </w:rPr>
        <w:t xml:space="preserve"> </w:t>
      </w:r>
      <w:r w:rsidR="0039658E">
        <w:rPr>
          <w:rFonts w:cstheme="minorHAnsi"/>
        </w:rPr>
        <w:t>develop</w:t>
      </w:r>
      <w:r w:rsidR="00F97401">
        <w:rPr>
          <w:rFonts w:cstheme="minorHAnsi"/>
        </w:rPr>
        <w:t>s</w:t>
      </w:r>
      <w:r w:rsidR="005A23AE">
        <w:rPr>
          <w:rFonts w:cstheme="minorHAnsi"/>
        </w:rPr>
        <w:t>.</w:t>
      </w:r>
      <w:r w:rsidR="003D640C">
        <w:rPr>
          <w:rFonts w:cstheme="minorHAnsi"/>
        </w:rPr>
        <w:t xml:space="preserve"> </w:t>
      </w:r>
    </w:p>
    <w:p w14:paraId="5097E77B" w14:textId="5247EDD5" w:rsidR="00501068" w:rsidRDefault="00531AF3" w:rsidP="00B2336B">
      <w:pPr>
        <w:rPr>
          <w:lang w:eastAsia="en-NZ"/>
        </w:rPr>
      </w:pPr>
      <w:r>
        <w:rPr>
          <w:lang w:eastAsia="en-NZ"/>
        </w:rPr>
        <w:t>The</w:t>
      </w:r>
      <w:r w:rsidR="003D640C">
        <w:rPr>
          <w:lang w:eastAsia="en-NZ"/>
        </w:rPr>
        <w:t xml:space="preserve"> </w:t>
      </w:r>
      <w:r>
        <w:rPr>
          <w:lang w:eastAsia="en-NZ"/>
        </w:rPr>
        <w:t>NZBORA</w:t>
      </w:r>
      <w:r w:rsidR="003D640C">
        <w:rPr>
          <w:lang w:eastAsia="en-NZ"/>
        </w:rPr>
        <w:t xml:space="preserve"> </w:t>
      </w:r>
      <w:r>
        <w:rPr>
          <w:lang w:eastAsia="en-NZ"/>
        </w:rPr>
        <w:t>affirms</w:t>
      </w:r>
      <w:r w:rsidR="003D640C">
        <w:rPr>
          <w:lang w:eastAsia="en-NZ"/>
        </w:rPr>
        <w:t xml:space="preserve"> </w:t>
      </w:r>
      <w:r>
        <w:rPr>
          <w:lang w:eastAsia="en-NZ"/>
        </w:rPr>
        <w:t>the</w:t>
      </w:r>
      <w:r w:rsidR="003D640C">
        <w:rPr>
          <w:lang w:eastAsia="en-NZ"/>
        </w:rPr>
        <w:t xml:space="preserve"> </w:t>
      </w:r>
      <w:r w:rsidRPr="00BB6220">
        <w:rPr>
          <w:lang w:eastAsia="en-NZ"/>
        </w:rPr>
        <w:t>right</w:t>
      </w:r>
      <w:r w:rsidR="003D640C">
        <w:rPr>
          <w:lang w:eastAsia="en-NZ"/>
        </w:rPr>
        <w:t xml:space="preserve"> </w:t>
      </w:r>
      <w:r w:rsidRPr="00BB6220">
        <w:rPr>
          <w:lang w:eastAsia="en-NZ"/>
        </w:rPr>
        <w:t>to</w:t>
      </w:r>
      <w:r w:rsidR="003D640C">
        <w:rPr>
          <w:lang w:eastAsia="en-NZ"/>
        </w:rPr>
        <w:t xml:space="preserve"> </w:t>
      </w:r>
      <w:r w:rsidRPr="00BB6220">
        <w:rPr>
          <w:lang w:eastAsia="en-NZ"/>
        </w:rPr>
        <w:t>freedom</w:t>
      </w:r>
      <w:r w:rsidR="003D640C">
        <w:rPr>
          <w:lang w:eastAsia="en-NZ"/>
        </w:rPr>
        <w:t xml:space="preserve"> </w:t>
      </w:r>
      <w:r w:rsidRPr="00BB6220">
        <w:rPr>
          <w:lang w:eastAsia="en-NZ"/>
        </w:rPr>
        <w:t>of</w:t>
      </w:r>
      <w:r w:rsidR="003D640C">
        <w:rPr>
          <w:lang w:eastAsia="en-NZ"/>
        </w:rPr>
        <w:t xml:space="preserve"> </w:t>
      </w:r>
      <w:r w:rsidRPr="00BB6220">
        <w:rPr>
          <w:lang w:eastAsia="en-NZ"/>
        </w:rPr>
        <w:t>religion</w:t>
      </w:r>
      <w:r w:rsidR="003D640C">
        <w:rPr>
          <w:lang w:eastAsia="en-NZ"/>
        </w:rPr>
        <w:t xml:space="preserve"> </w:t>
      </w:r>
      <w:r>
        <w:rPr>
          <w:lang w:eastAsia="en-NZ"/>
        </w:rPr>
        <w:t>and</w:t>
      </w:r>
      <w:r w:rsidR="003D640C">
        <w:rPr>
          <w:lang w:eastAsia="en-NZ"/>
        </w:rPr>
        <w:t xml:space="preserve"> </w:t>
      </w:r>
      <w:r>
        <w:rPr>
          <w:lang w:eastAsia="en-NZ"/>
        </w:rPr>
        <w:t>belief</w:t>
      </w:r>
      <w:r w:rsidR="003D640C">
        <w:rPr>
          <w:lang w:eastAsia="en-NZ"/>
        </w:rPr>
        <w:t xml:space="preserve"> </w:t>
      </w:r>
      <w:r>
        <w:rPr>
          <w:lang w:eastAsia="en-NZ"/>
        </w:rPr>
        <w:t>for</w:t>
      </w:r>
      <w:r w:rsidR="003D640C">
        <w:rPr>
          <w:lang w:eastAsia="en-NZ"/>
        </w:rPr>
        <w:t xml:space="preserve"> </w:t>
      </w:r>
      <w:r>
        <w:rPr>
          <w:lang w:eastAsia="en-NZ"/>
        </w:rPr>
        <w:t>everyone</w:t>
      </w:r>
      <w:r w:rsidR="003D640C">
        <w:rPr>
          <w:lang w:eastAsia="en-NZ"/>
        </w:rPr>
        <w:t xml:space="preserve"> </w:t>
      </w:r>
      <w:r>
        <w:rPr>
          <w:lang w:eastAsia="en-NZ"/>
        </w:rPr>
        <w:t>in</w:t>
      </w:r>
      <w:r w:rsidR="003D640C">
        <w:rPr>
          <w:lang w:eastAsia="en-NZ"/>
        </w:rPr>
        <w:t xml:space="preserve"> </w:t>
      </w:r>
      <w:r>
        <w:rPr>
          <w:lang w:eastAsia="en-NZ"/>
        </w:rPr>
        <w:t>Aotearoa</w:t>
      </w:r>
      <w:r w:rsidRPr="00BB6220">
        <w:rPr>
          <w:lang w:eastAsia="en-NZ"/>
        </w:rPr>
        <w:t>.</w:t>
      </w:r>
      <w:r w:rsidR="003D640C">
        <w:rPr>
          <w:lang w:eastAsia="en-NZ"/>
        </w:rPr>
        <w:t xml:space="preserve"> </w:t>
      </w:r>
      <w:r w:rsidR="00C701E4" w:rsidRPr="00C701E4">
        <w:rPr>
          <w:lang w:eastAsia="en-NZ"/>
        </w:rPr>
        <w:t>Freedom</w:t>
      </w:r>
      <w:r w:rsidR="003D640C">
        <w:rPr>
          <w:lang w:eastAsia="en-NZ"/>
        </w:rPr>
        <w:t xml:space="preserve"> </w:t>
      </w:r>
      <w:r w:rsidR="00C701E4" w:rsidRPr="00C701E4">
        <w:rPr>
          <w:lang w:eastAsia="en-NZ"/>
        </w:rPr>
        <w:t>of</w:t>
      </w:r>
      <w:r w:rsidR="003D640C">
        <w:rPr>
          <w:lang w:eastAsia="en-NZ"/>
        </w:rPr>
        <w:t xml:space="preserve"> </w:t>
      </w:r>
      <w:r w:rsidR="00C701E4" w:rsidRPr="00C701E4">
        <w:rPr>
          <w:lang w:eastAsia="en-NZ"/>
        </w:rPr>
        <w:t>religion</w:t>
      </w:r>
      <w:r w:rsidR="003D640C">
        <w:rPr>
          <w:lang w:eastAsia="en-NZ"/>
        </w:rPr>
        <w:t xml:space="preserve"> </w:t>
      </w:r>
      <w:r w:rsidR="00C701E4" w:rsidRPr="00C701E4">
        <w:rPr>
          <w:lang w:eastAsia="en-NZ"/>
        </w:rPr>
        <w:t>or</w:t>
      </w:r>
      <w:r w:rsidR="003D640C">
        <w:rPr>
          <w:lang w:eastAsia="en-NZ"/>
        </w:rPr>
        <w:t xml:space="preserve"> </w:t>
      </w:r>
      <w:r w:rsidR="00C701E4" w:rsidRPr="00C701E4">
        <w:rPr>
          <w:lang w:eastAsia="en-NZ"/>
        </w:rPr>
        <w:t>belief</w:t>
      </w:r>
      <w:r w:rsidR="003D640C">
        <w:rPr>
          <w:lang w:eastAsia="en-NZ"/>
        </w:rPr>
        <w:t xml:space="preserve"> </w:t>
      </w:r>
      <w:r w:rsidR="00C701E4" w:rsidRPr="00C701E4">
        <w:rPr>
          <w:lang w:eastAsia="en-NZ"/>
        </w:rPr>
        <w:t>has</w:t>
      </w:r>
      <w:r w:rsidR="003D640C">
        <w:rPr>
          <w:lang w:eastAsia="en-NZ"/>
        </w:rPr>
        <w:t xml:space="preserve"> </w:t>
      </w:r>
      <w:r w:rsidR="00C701E4" w:rsidRPr="00C701E4">
        <w:rPr>
          <w:lang w:eastAsia="en-NZ"/>
        </w:rPr>
        <w:t>many</w:t>
      </w:r>
      <w:r w:rsidR="003D640C">
        <w:rPr>
          <w:lang w:eastAsia="en-NZ"/>
        </w:rPr>
        <w:t xml:space="preserve"> </w:t>
      </w:r>
      <w:r w:rsidR="00C701E4" w:rsidRPr="00C701E4">
        <w:rPr>
          <w:lang w:eastAsia="en-NZ"/>
        </w:rPr>
        <w:t>dimensions</w:t>
      </w:r>
      <w:r w:rsidR="00D013A9">
        <w:rPr>
          <w:lang w:eastAsia="en-NZ"/>
        </w:rPr>
        <w:t>,</w:t>
      </w:r>
      <w:r w:rsidR="003D640C">
        <w:rPr>
          <w:lang w:eastAsia="en-NZ"/>
        </w:rPr>
        <w:t xml:space="preserve"> </w:t>
      </w:r>
      <w:r w:rsidR="00C701E4" w:rsidRPr="00C701E4">
        <w:rPr>
          <w:lang w:eastAsia="en-NZ"/>
        </w:rPr>
        <w:t>and</w:t>
      </w:r>
      <w:r w:rsidR="003D640C">
        <w:rPr>
          <w:lang w:eastAsia="en-NZ"/>
        </w:rPr>
        <w:t xml:space="preserve"> </w:t>
      </w:r>
      <w:r w:rsidR="00C701E4" w:rsidRPr="00C701E4">
        <w:rPr>
          <w:lang w:eastAsia="en-NZ"/>
        </w:rPr>
        <w:t>it</w:t>
      </w:r>
      <w:r w:rsidR="003D640C">
        <w:rPr>
          <w:lang w:eastAsia="en-NZ"/>
        </w:rPr>
        <w:t xml:space="preserve"> </w:t>
      </w:r>
      <w:r w:rsidR="00C701E4" w:rsidRPr="00C701E4">
        <w:rPr>
          <w:lang w:eastAsia="en-NZ"/>
        </w:rPr>
        <w:t>intersects</w:t>
      </w:r>
      <w:r w:rsidR="003D640C">
        <w:rPr>
          <w:lang w:eastAsia="en-NZ"/>
        </w:rPr>
        <w:t xml:space="preserve"> </w:t>
      </w:r>
      <w:r w:rsidR="00C701E4" w:rsidRPr="00C701E4">
        <w:rPr>
          <w:lang w:eastAsia="en-NZ"/>
        </w:rPr>
        <w:t>with</w:t>
      </w:r>
      <w:r w:rsidR="003D640C">
        <w:rPr>
          <w:lang w:eastAsia="en-NZ"/>
        </w:rPr>
        <w:t xml:space="preserve"> </w:t>
      </w:r>
      <w:r w:rsidR="00C701E4" w:rsidRPr="00C701E4">
        <w:rPr>
          <w:lang w:eastAsia="en-NZ"/>
        </w:rPr>
        <w:t>other</w:t>
      </w:r>
      <w:r w:rsidR="003D640C">
        <w:rPr>
          <w:lang w:eastAsia="en-NZ"/>
        </w:rPr>
        <w:t xml:space="preserve"> </w:t>
      </w:r>
      <w:r w:rsidR="00C701E4" w:rsidRPr="00C701E4">
        <w:rPr>
          <w:lang w:eastAsia="en-NZ"/>
        </w:rPr>
        <w:t>human</w:t>
      </w:r>
      <w:r w:rsidR="003D640C">
        <w:rPr>
          <w:lang w:eastAsia="en-NZ"/>
        </w:rPr>
        <w:t xml:space="preserve"> </w:t>
      </w:r>
      <w:r w:rsidR="00C701E4" w:rsidRPr="00C701E4">
        <w:rPr>
          <w:lang w:eastAsia="en-NZ"/>
        </w:rPr>
        <w:t>rights</w:t>
      </w:r>
      <w:r w:rsidR="005A23AE">
        <w:rPr>
          <w:lang w:eastAsia="en-NZ"/>
        </w:rPr>
        <w:t>.</w:t>
      </w:r>
      <w:r w:rsidR="003D640C">
        <w:rPr>
          <w:lang w:eastAsia="en-NZ"/>
        </w:rPr>
        <w:t xml:space="preserve"> </w:t>
      </w:r>
      <w:r w:rsidR="005A23AE">
        <w:rPr>
          <w:lang w:eastAsia="en-NZ"/>
        </w:rPr>
        <w:t>I</w:t>
      </w:r>
      <w:r w:rsidR="001E313B">
        <w:rPr>
          <w:lang w:eastAsia="en-NZ"/>
        </w:rPr>
        <w:t>n</w:t>
      </w:r>
      <w:r w:rsidR="003D640C">
        <w:rPr>
          <w:lang w:eastAsia="en-NZ"/>
        </w:rPr>
        <w:t xml:space="preserve"> </w:t>
      </w:r>
      <w:r w:rsidR="001E313B">
        <w:rPr>
          <w:lang w:eastAsia="en-NZ"/>
        </w:rPr>
        <w:t>this</w:t>
      </w:r>
      <w:r w:rsidR="003D640C">
        <w:rPr>
          <w:lang w:eastAsia="en-NZ"/>
        </w:rPr>
        <w:t xml:space="preserve"> </w:t>
      </w:r>
      <w:r w:rsidR="00D013A9">
        <w:rPr>
          <w:lang w:eastAsia="en-NZ"/>
        </w:rPr>
        <w:t>context</w:t>
      </w:r>
      <w:r w:rsidR="001E313B">
        <w:rPr>
          <w:lang w:eastAsia="en-NZ"/>
        </w:rPr>
        <w:t>,</w:t>
      </w:r>
      <w:r w:rsidR="003D640C">
        <w:rPr>
          <w:lang w:eastAsia="en-NZ"/>
        </w:rPr>
        <w:t xml:space="preserve"> </w:t>
      </w:r>
      <w:r w:rsidR="00D013A9">
        <w:rPr>
          <w:lang w:eastAsia="en-NZ"/>
        </w:rPr>
        <w:t>it</w:t>
      </w:r>
      <w:r w:rsidR="003D640C">
        <w:rPr>
          <w:lang w:eastAsia="en-NZ"/>
        </w:rPr>
        <w:t xml:space="preserve"> </w:t>
      </w:r>
      <w:r w:rsidR="00D013A9">
        <w:rPr>
          <w:lang w:eastAsia="en-NZ"/>
        </w:rPr>
        <w:t>intersects</w:t>
      </w:r>
      <w:r w:rsidR="003D640C">
        <w:rPr>
          <w:lang w:eastAsia="en-NZ"/>
        </w:rPr>
        <w:t xml:space="preserve"> </w:t>
      </w:r>
      <w:r w:rsidR="00D013A9">
        <w:rPr>
          <w:lang w:eastAsia="en-NZ"/>
        </w:rPr>
        <w:t>with</w:t>
      </w:r>
      <w:r w:rsidR="003D640C">
        <w:rPr>
          <w:lang w:eastAsia="en-NZ"/>
        </w:rPr>
        <w:t xml:space="preserve"> </w:t>
      </w:r>
      <w:r w:rsidR="001E313B">
        <w:rPr>
          <w:lang w:eastAsia="en-NZ"/>
        </w:rPr>
        <w:t>the</w:t>
      </w:r>
      <w:r w:rsidR="003D640C">
        <w:rPr>
          <w:lang w:eastAsia="en-NZ"/>
        </w:rPr>
        <w:t xml:space="preserve"> </w:t>
      </w:r>
      <w:r w:rsidR="001E313B">
        <w:rPr>
          <w:lang w:eastAsia="en-NZ"/>
        </w:rPr>
        <w:t>right</w:t>
      </w:r>
      <w:r w:rsidR="003D640C">
        <w:rPr>
          <w:lang w:eastAsia="en-NZ"/>
        </w:rPr>
        <w:t xml:space="preserve"> </w:t>
      </w:r>
      <w:r w:rsidR="001E313B">
        <w:rPr>
          <w:lang w:eastAsia="en-NZ"/>
        </w:rPr>
        <w:t>of</w:t>
      </w:r>
      <w:r w:rsidR="003D640C">
        <w:rPr>
          <w:lang w:eastAsia="en-NZ"/>
        </w:rPr>
        <w:t xml:space="preserve"> </w:t>
      </w:r>
      <w:r w:rsidR="001E313B">
        <w:rPr>
          <w:lang w:eastAsia="en-NZ"/>
        </w:rPr>
        <w:t>Rainbow</w:t>
      </w:r>
      <w:r w:rsidR="003D640C">
        <w:rPr>
          <w:lang w:eastAsia="en-NZ"/>
        </w:rPr>
        <w:t xml:space="preserve"> </w:t>
      </w:r>
      <w:r w:rsidR="001E313B">
        <w:rPr>
          <w:lang w:eastAsia="en-NZ"/>
        </w:rPr>
        <w:t>people</w:t>
      </w:r>
      <w:r w:rsidR="003D640C">
        <w:rPr>
          <w:lang w:eastAsia="en-NZ"/>
        </w:rPr>
        <w:t xml:space="preserve"> </w:t>
      </w:r>
      <w:r w:rsidR="001E313B">
        <w:rPr>
          <w:lang w:eastAsia="en-NZ"/>
        </w:rPr>
        <w:t>to</w:t>
      </w:r>
      <w:r w:rsidR="003D640C">
        <w:rPr>
          <w:lang w:eastAsia="en-NZ"/>
        </w:rPr>
        <w:t xml:space="preserve"> </w:t>
      </w:r>
      <w:r w:rsidR="001E313B">
        <w:rPr>
          <w:lang w:eastAsia="en-NZ"/>
        </w:rPr>
        <w:t>be</w:t>
      </w:r>
      <w:r w:rsidR="003D640C">
        <w:rPr>
          <w:lang w:eastAsia="en-NZ"/>
        </w:rPr>
        <w:t xml:space="preserve"> </w:t>
      </w:r>
      <w:r w:rsidR="001E313B">
        <w:rPr>
          <w:lang w:eastAsia="en-NZ"/>
        </w:rPr>
        <w:t>free</w:t>
      </w:r>
      <w:r w:rsidR="003D640C">
        <w:rPr>
          <w:lang w:eastAsia="en-NZ"/>
        </w:rPr>
        <w:t xml:space="preserve"> </w:t>
      </w:r>
      <w:r w:rsidR="001E313B">
        <w:rPr>
          <w:lang w:eastAsia="en-NZ"/>
        </w:rPr>
        <w:t>from</w:t>
      </w:r>
      <w:r w:rsidR="003D640C">
        <w:rPr>
          <w:lang w:eastAsia="en-NZ"/>
        </w:rPr>
        <w:t xml:space="preserve"> </w:t>
      </w:r>
      <w:r w:rsidR="001E313B">
        <w:rPr>
          <w:lang w:eastAsia="en-NZ"/>
        </w:rPr>
        <w:t>discrimination</w:t>
      </w:r>
      <w:r w:rsidR="00C701E4">
        <w:rPr>
          <w:lang w:eastAsia="en-NZ"/>
        </w:rPr>
        <w:t>.</w:t>
      </w:r>
      <w:r w:rsidR="003D640C">
        <w:rPr>
          <w:lang w:eastAsia="en-NZ"/>
        </w:rPr>
        <w:t xml:space="preserve"> </w:t>
      </w:r>
      <w:r w:rsidR="001C3549" w:rsidRPr="00BB6220">
        <w:rPr>
          <w:lang w:eastAsia="en-NZ"/>
        </w:rPr>
        <w:t>The</w:t>
      </w:r>
      <w:r w:rsidR="003D640C">
        <w:rPr>
          <w:lang w:eastAsia="en-NZ"/>
        </w:rPr>
        <w:t xml:space="preserve"> </w:t>
      </w:r>
      <w:r w:rsidR="00986E32" w:rsidRPr="00BB6220">
        <w:rPr>
          <w:lang w:eastAsia="en-NZ"/>
        </w:rPr>
        <w:t>CPPLA</w:t>
      </w:r>
      <w:r w:rsidR="003D640C">
        <w:rPr>
          <w:lang w:eastAsia="en-NZ"/>
        </w:rPr>
        <w:t xml:space="preserve"> </w:t>
      </w:r>
      <w:r w:rsidR="005110D2">
        <w:rPr>
          <w:lang w:eastAsia="en-NZ"/>
        </w:rPr>
        <w:t>balances</w:t>
      </w:r>
      <w:r w:rsidR="003D640C">
        <w:rPr>
          <w:lang w:eastAsia="en-NZ"/>
        </w:rPr>
        <w:t xml:space="preserve"> </w:t>
      </w:r>
      <w:r w:rsidR="005110D2">
        <w:rPr>
          <w:lang w:eastAsia="en-NZ"/>
        </w:rPr>
        <w:t>these</w:t>
      </w:r>
      <w:r w:rsidR="003D640C">
        <w:rPr>
          <w:lang w:eastAsia="en-NZ"/>
        </w:rPr>
        <w:t xml:space="preserve"> </w:t>
      </w:r>
      <w:r w:rsidR="005110D2">
        <w:rPr>
          <w:lang w:eastAsia="en-NZ"/>
        </w:rPr>
        <w:t>rights</w:t>
      </w:r>
      <w:r w:rsidR="003D640C">
        <w:rPr>
          <w:lang w:eastAsia="en-NZ"/>
        </w:rPr>
        <w:t xml:space="preserve"> </w:t>
      </w:r>
      <w:r w:rsidR="005110D2">
        <w:rPr>
          <w:lang w:eastAsia="en-NZ"/>
        </w:rPr>
        <w:t>by</w:t>
      </w:r>
      <w:r w:rsidR="003D640C">
        <w:rPr>
          <w:lang w:eastAsia="en-NZ"/>
        </w:rPr>
        <w:t xml:space="preserve"> </w:t>
      </w:r>
      <w:r w:rsidR="001C3549" w:rsidRPr="00BB6220">
        <w:rPr>
          <w:lang w:eastAsia="en-NZ"/>
        </w:rPr>
        <w:t>provid</w:t>
      </w:r>
      <w:r w:rsidR="005110D2">
        <w:rPr>
          <w:lang w:eastAsia="en-NZ"/>
        </w:rPr>
        <w:t>ing</w:t>
      </w:r>
      <w:r w:rsidR="003D640C">
        <w:rPr>
          <w:lang w:eastAsia="en-NZ"/>
        </w:rPr>
        <w:t xml:space="preserve"> </w:t>
      </w:r>
      <w:r w:rsidR="001C3549" w:rsidRPr="00BB6220" w:rsidDel="009A2256">
        <w:rPr>
          <w:lang w:eastAsia="en-NZ"/>
        </w:rPr>
        <w:t>a</w:t>
      </w:r>
      <w:r w:rsidR="003D640C">
        <w:rPr>
          <w:lang w:eastAsia="en-NZ"/>
        </w:rPr>
        <w:t xml:space="preserve"> </w:t>
      </w:r>
      <w:r w:rsidR="001C3549" w:rsidRPr="00BB6220">
        <w:rPr>
          <w:lang w:eastAsia="en-NZ"/>
        </w:rPr>
        <w:t>proportionate</w:t>
      </w:r>
      <w:r w:rsidR="003D640C">
        <w:rPr>
          <w:lang w:eastAsia="en-NZ"/>
        </w:rPr>
        <w:t xml:space="preserve"> </w:t>
      </w:r>
      <w:r w:rsidR="001C3549" w:rsidRPr="00BB6220">
        <w:rPr>
          <w:lang w:eastAsia="en-NZ"/>
        </w:rPr>
        <w:t>way</w:t>
      </w:r>
      <w:r w:rsidR="003D640C">
        <w:rPr>
          <w:lang w:eastAsia="en-NZ"/>
        </w:rPr>
        <w:t xml:space="preserve"> </w:t>
      </w:r>
      <w:r w:rsidR="009A2256" w:rsidRPr="00BB6220">
        <w:rPr>
          <w:lang w:eastAsia="en-NZ"/>
        </w:rPr>
        <w:t>to</w:t>
      </w:r>
      <w:r w:rsidR="003D640C">
        <w:rPr>
          <w:lang w:eastAsia="en-NZ"/>
        </w:rPr>
        <w:t xml:space="preserve"> </w:t>
      </w:r>
      <w:r w:rsidR="009A2256" w:rsidRPr="00BB6220">
        <w:rPr>
          <w:lang w:eastAsia="en-NZ"/>
        </w:rPr>
        <w:t>protect</w:t>
      </w:r>
      <w:r w:rsidR="003D640C">
        <w:rPr>
          <w:lang w:eastAsia="en-NZ"/>
        </w:rPr>
        <w:t xml:space="preserve"> </w:t>
      </w:r>
      <w:r w:rsidR="001C5701">
        <w:rPr>
          <w:lang w:eastAsia="en-NZ"/>
        </w:rPr>
        <w:t>Rainbow</w:t>
      </w:r>
      <w:r w:rsidR="003D640C">
        <w:rPr>
          <w:lang w:eastAsia="en-NZ"/>
        </w:rPr>
        <w:t xml:space="preserve"> </w:t>
      </w:r>
      <w:r w:rsidR="000A7036" w:rsidRPr="00BB6220">
        <w:rPr>
          <w:lang w:eastAsia="en-NZ"/>
        </w:rPr>
        <w:t>people</w:t>
      </w:r>
      <w:r w:rsidR="003D640C">
        <w:rPr>
          <w:lang w:eastAsia="en-NZ"/>
        </w:rPr>
        <w:t xml:space="preserve"> </w:t>
      </w:r>
      <w:r w:rsidR="000A7036" w:rsidRPr="00BB6220">
        <w:rPr>
          <w:lang w:eastAsia="en-NZ"/>
        </w:rPr>
        <w:t>from</w:t>
      </w:r>
      <w:r w:rsidR="003D640C">
        <w:rPr>
          <w:lang w:eastAsia="en-NZ"/>
        </w:rPr>
        <w:t xml:space="preserve"> </w:t>
      </w:r>
      <w:r w:rsidR="001C3549" w:rsidRPr="00BB6220">
        <w:rPr>
          <w:lang w:eastAsia="en-NZ"/>
        </w:rPr>
        <w:t>the</w:t>
      </w:r>
      <w:r w:rsidR="003D640C">
        <w:rPr>
          <w:lang w:eastAsia="en-NZ"/>
        </w:rPr>
        <w:t xml:space="preserve"> </w:t>
      </w:r>
      <w:r w:rsidR="001C3549" w:rsidRPr="00BB6220">
        <w:rPr>
          <w:lang w:eastAsia="en-NZ"/>
        </w:rPr>
        <w:t>proven</w:t>
      </w:r>
      <w:r w:rsidR="003D640C">
        <w:rPr>
          <w:lang w:eastAsia="en-NZ"/>
        </w:rPr>
        <w:t xml:space="preserve"> </w:t>
      </w:r>
      <w:r w:rsidR="001C3549" w:rsidRPr="00BB6220">
        <w:rPr>
          <w:lang w:eastAsia="en-NZ"/>
        </w:rPr>
        <w:t>harms</w:t>
      </w:r>
      <w:r w:rsidR="003D640C">
        <w:rPr>
          <w:lang w:eastAsia="en-NZ"/>
        </w:rPr>
        <w:t xml:space="preserve"> </w:t>
      </w:r>
      <w:r w:rsidR="001C3549" w:rsidRPr="00BB6220">
        <w:rPr>
          <w:lang w:eastAsia="en-NZ"/>
        </w:rPr>
        <w:t>of</w:t>
      </w:r>
      <w:r w:rsidR="003D640C">
        <w:rPr>
          <w:lang w:eastAsia="en-NZ"/>
        </w:rPr>
        <w:t xml:space="preserve"> </w:t>
      </w:r>
      <w:r w:rsidR="001C3549" w:rsidRPr="00BB6220">
        <w:rPr>
          <w:lang w:eastAsia="en-NZ"/>
        </w:rPr>
        <w:t>conversion</w:t>
      </w:r>
      <w:r w:rsidR="003D640C">
        <w:rPr>
          <w:lang w:eastAsia="en-NZ"/>
        </w:rPr>
        <w:t xml:space="preserve"> </w:t>
      </w:r>
      <w:r w:rsidR="001C3549" w:rsidRPr="00BB6220">
        <w:rPr>
          <w:lang w:eastAsia="en-NZ"/>
        </w:rPr>
        <w:t>practices</w:t>
      </w:r>
      <w:r w:rsidR="003D640C">
        <w:rPr>
          <w:lang w:eastAsia="en-NZ"/>
        </w:rPr>
        <w:t xml:space="preserve"> </w:t>
      </w:r>
      <w:r w:rsidR="003418A8">
        <w:rPr>
          <w:lang w:eastAsia="en-NZ"/>
        </w:rPr>
        <w:t>while</w:t>
      </w:r>
      <w:r w:rsidR="003D640C">
        <w:rPr>
          <w:lang w:eastAsia="en-NZ"/>
        </w:rPr>
        <w:t xml:space="preserve"> </w:t>
      </w:r>
      <w:r w:rsidR="003418A8">
        <w:rPr>
          <w:lang w:eastAsia="en-NZ"/>
        </w:rPr>
        <w:t>respecting</w:t>
      </w:r>
      <w:r w:rsidR="003D640C">
        <w:rPr>
          <w:lang w:eastAsia="en-NZ"/>
        </w:rPr>
        <w:t xml:space="preserve"> </w:t>
      </w:r>
      <w:r w:rsidR="003418A8">
        <w:rPr>
          <w:lang w:eastAsia="en-NZ"/>
        </w:rPr>
        <w:t>the</w:t>
      </w:r>
      <w:r w:rsidR="003D640C">
        <w:rPr>
          <w:lang w:eastAsia="en-NZ"/>
        </w:rPr>
        <w:t xml:space="preserve"> </w:t>
      </w:r>
      <w:r w:rsidR="003418A8">
        <w:rPr>
          <w:lang w:eastAsia="en-NZ"/>
        </w:rPr>
        <w:t>right</w:t>
      </w:r>
      <w:r w:rsidR="003D640C">
        <w:rPr>
          <w:lang w:eastAsia="en-NZ"/>
        </w:rPr>
        <w:t xml:space="preserve"> </w:t>
      </w:r>
      <w:r w:rsidR="001C5701">
        <w:rPr>
          <w:lang w:eastAsia="en-NZ"/>
        </w:rPr>
        <w:t>for</w:t>
      </w:r>
      <w:r w:rsidR="003D640C">
        <w:rPr>
          <w:lang w:eastAsia="en-NZ"/>
        </w:rPr>
        <w:t xml:space="preserve"> </w:t>
      </w:r>
      <w:r w:rsidR="001C5701">
        <w:rPr>
          <w:lang w:eastAsia="en-NZ"/>
        </w:rPr>
        <w:t>someone</w:t>
      </w:r>
      <w:r w:rsidR="003D640C">
        <w:rPr>
          <w:lang w:eastAsia="en-NZ"/>
        </w:rPr>
        <w:t xml:space="preserve"> </w:t>
      </w:r>
      <w:r w:rsidR="001C5701">
        <w:rPr>
          <w:lang w:eastAsia="en-NZ"/>
        </w:rPr>
        <w:t>to</w:t>
      </w:r>
      <w:r w:rsidR="003D640C">
        <w:rPr>
          <w:lang w:eastAsia="en-NZ"/>
        </w:rPr>
        <w:t xml:space="preserve"> </w:t>
      </w:r>
      <w:r w:rsidR="00BF116D">
        <w:rPr>
          <w:lang w:eastAsia="en-NZ"/>
        </w:rPr>
        <w:t>practi</w:t>
      </w:r>
      <w:r w:rsidR="00443377">
        <w:rPr>
          <w:lang w:eastAsia="en-NZ"/>
        </w:rPr>
        <w:t>s</w:t>
      </w:r>
      <w:r w:rsidR="00BF116D">
        <w:rPr>
          <w:lang w:eastAsia="en-NZ"/>
        </w:rPr>
        <w:t>e</w:t>
      </w:r>
      <w:r w:rsidR="003D640C">
        <w:rPr>
          <w:lang w:eastAsia="en-NZ"/>
        </w:rPr>
        <w:t xml:space="preserve"> </w:t>
      </w:r>
      <w:r w:rsidR="001C5701">
        <w:rPr>
          <w:lang w:eastAsia="en-NZ"/>
        </w:rPr>
        <w:t>their</w:t>
      </w:r>
      <w:r w:rsidR="003D640C">
        <w:rPr>
          <w:lang w:eastAsia="en-NZ"/>
        </w:rPr>
        <w:t xml:space="preserve"> </w:t>
      </w:r>
      <w:r w:rsidR="00AB3FF8">
        <w:rPr>
          <w:lang w:eastAsia="en-NZ"/>
        </w:rPr>
        <w:t>religion</w:t>
      </w:r>
      <w:r w:rsidR="001C3549" w:rsidRPr="00BB6220">
        <w:rPr>
          <w:lang w:eastAsia="en-NZ"/>
        </w:rPr>
        <w:t>.</w:t>
      </w:r>
      <w:r w:rsidR="003D640C">
        <w:rPr>
          <w:lang w:eastAsia="en-NZ"/>
        </w:rPr>
        <w:t xml:space="preserve"> </w:t>
      </w:r>
      <w:r w:rsidR="001C5701">
        <w:rPr>
          <w:lang w:eastAsia="en-NZ"/>
        </w:rPr>
        <w:t>The</w:t>
      </w:r>
      <w:r w:rsidR="003D640C">
        <w:rPr>
          <w:lang w:eastAsia="en-NZ"/>
        </w:rPr>
        <w:t xml:space="preserve"> </w:t>
      </w:r>
      <w:r w:rsidR="001C5701">
        <w:rPr>
          <w:lang w:eastAsia="en-NZ"/>
        </w:rPr>
        <w:t>CPPLA</w:t>
      </w:r>
      <w:r w:rsidR="003D640C">
        <w:rPr>
          <w:lang w:eastAsia="en-NZ"/>
        </w:rPr>
        <w:t xml:space="preserve"> </w:t>
      </w:r>
      <w:r w:rsidR="001C3549" w:rsidRPr="00BB6220">
        <w:rPr>
          <w:lang w:eastAsia="en-NZ"/>
        </w:rPr>
        <w:t>does</w:t>
      </w:r>
      <w:r w:rsidR="003D640C">
        <w:rPr>
          <w:lang w:eastAsia="en-NZ"/>
        </w:rPr>
        <w:t xml:space="preserve"> </w:t>
      </w:r>
      <w:r w:rsidR="001C3549" w:rsidRPr="00BB6220">
        <w:rPr>
          <w:lang w:eastAsia="en-NZ"/>
        </w:rPr>
        <w:t>not</w:t>
      </w:r>
      <w:r w:rsidR="003D640C">
        <w:rPr>
          <w:lang w:eastAsia="en-NZ"/>
        </w:rPr>
        <w:t xml:space="preserve"> </w:t>
      </w:r>
      <w:r w:rsidR="001C3549" w:rsidRPr="00BB6220">
        <w:rPr>
          <w:lang w:eastAsia="en-NZ"/>
        </w:rPr>
        <w:t>interfere</w:t>
      </w:r>
      <w:r w:rsidR="003D640C">
        <w:rPr>
          <w:lang w:eastAsia="en-NZ"/>
        </w:rPr>
        <w:t xml:space="preserve"> </w:t>
      </w:r>
      <w:r w:rsidR="001C3549" w:rsidRPr="00BB6220">
        <w:rPr>
          <w:lang w:eastAsia="en-NZ"/>
        </w:rPr>
        <w:t>with</w:t>
      </w:r>
      <w:r w:rsidR="003D640C">
        <w:rPr>
          <w:lang w:eastAsia="en-NZ"/>
        </w:rPr>
        <w:t xml:space="preserve"> </w:t>
      </w:r>
      <w:r w:rsidR="006E09DC">
        <w:rPr>
          <w:lang w:eastAsia="en-NZ"/>
        </w:rPr>
        <w:t>the</w:t>
      </w:r>
      <w:r w:rsidR="003D640C">
        <w:rPr>
          <w:lang w:eastAsia="en-NZ"/>
        </w:rPr>
        <w:t xml:space="preserve"> </w:t>
      </w:r>
      <w:r w:rsidR="006E09DC">
        <w:rPr>
          <w:lang w:eastAsia="en-NZ"/>
        </w:rPr>
        <w:t>right</w:t>
      </w:r>
      <w:r w:rsidR="003D640C">
        <w:rPr>
          <w:lang w:eastAsia="en-NZ"/>
        </w:rPr>
        <w:t xml:space="preserve"> </w:t>
      </w:r>
      <w:r w:rsidR="006E09DC">
        <w:rPr>
          <w:lang w:eastAsia="en-NZ"/>
        </w:rPr>
        <w:t>to</w:t>
      </w:r>
      <w:r w:rsidR="003D640C">
        <w:rPr>
          <w:lang w:eastAsia="en-NZ"/>
        </w:rPr>
        <w:t xml:space="preserve"> </w:t>
      </w:r>
      <w:r w:rsidR="006E09DC">
        <w:rPr>
          <w:lang w:eastAsia="en-NZ"/>
        </w:rPr>
        <w:t>hold</w:t>
      </w:r>
      <w:r w:rsidR="003D640C">
        <w:rPr>
          <w:lang w:eastAsia="en-NZ"/>
        </w:rPr>
        <w:t xml:space="preserve"> </w:t>
      </w:r>
      <w:r w:rsidR="006E09DC">
        <w:rPr>
          <w:lang w:eastAsia="en-NZ"/>
        </w:rPr>
        <w:t>a</w:t>
      </w:r>
      <w:r w:rsidR="003D640C">
        <w:rPr>
          <w:lang w:eastAsia="en-NZ"/>
        </w:rPr>
        <w:t xml:space="preserve"> </w:t>
      </w:r>
      <w:r w:rsidR="001C3549" w:rsidRPr="00BB6220">
        <w:rPr>
          <w:lang w:eastAsia="en-NZ"/>
        </w:rPr>
        <w:t>religious</w:t>
      </w:r>
      <w:r w:rsidR="003D640C">
        <w:rPr>
          <w:lang w:eastAsia="en-NZ"/>
        </w:rPr>
        <w:t xml:space="preserve"> </w:t>
      </w:r>
      <w:r w:rsidR="001C3549" w:rsidRPr="00BB6220">
        <w:rPr>
          <w:lang w:eastAsia="en-NZ"/>
        </w:rPr>
        <w:t>belief</w:t>
      </w:r>
      <w:r w:rsidR="003D640C">
        <w:rPr>
          <w:lang w:eastAsia="en-NZ"/>
        </w:rPr>
        <w:t xml:space="preserve"> </w:t>
      </w:r>
      <w:r w:rsidR="001C3549" w:rsidRPr="00BB6220">
        <w:rPr>
          <w:lang w:eastAsia="en-NZ"/>
        </w:rPr>
        <w:t>but</w:t>
      </w:r>
      <w:r w:rsidR="003D640C">
        <w:rPr>
          <w:lang w:eastAsia="en-NZ"/>
        </w:rPr>
        <w:t xml:space="preserve"> </w:t>
      </w:r>
      <w:r w:rsidR="001C3549" w:rsidRPr="00BB6220">
        <w:rPr>
          <w:lang w:eastAsia="en-NZ"/>
        </w:rPr>
        <w:t>puts</w:t>
      </w:r>
      <w:r w:rsidR="003D640C">
        <w:rPr>
          <w:lang w:eastAsia="en-NZ"/>
        </w:rPr>
        <w:t xml:space="preserve"> </w:t>
      </w:r>
      <w:r w:rsidR="001C3549" w:rsidRPr="00BB6220">
        <w:rPr>
          <w:lang w:eastAsia="en-NZ"/>
        </w:rPr>
        <w:t>limit</w:t>
      </w:r>
      <w:r w:rsidR="4BA4B8B6" w:rsidRPr="00BB6220">
        <w:rPr>
          <w:lang w:eastAsia="en-NZ"/>
        </w:rPr>
        <w:t>s</w:t>
      </w:r>
      <w:r w:rsidR="003D640C">
        <w:rPr>
          <w:lang w:eastAsia="en-NZ"/>
        </w:rPr>
        <w:t xml:space="preserve"> </w:t>
      </w:r>
      <w:r w:rsidR="001C3549" w:rsidRPr="00BB6220">
        <w:rPr>
          <w:lang w:eastAsia="en-NZ"/>
        </w:rPr>
        <w:t>on</w:t>
      </w:r>
      <w:r w:rsidR="003D640C">
        <w:rPr>
          <w:lang w:eastAsia="en-NZ"/>
        </w:rPr>
        <w:t xml:space="preserve"> </w:t>
      </w:r>
      <w:r w:rsidR="001C3549" w:rsidRPr="00BB6220">
        <w:rPr>
          <w:lang w:eastAsia="en-NZ"/>
        </w:rPr>
        <w:t>how</w:t>
      </w:r>
      <w:r w:rsidR="003D640C">
        <w:rPr>
          <w:lang w:eastAsia="en-NZ"/>
        </w:rPr>
        <w:t xml:space="preserve"> </w:t>
      </w:r>
      <w:r w:rsidR="001C3549" w:rsidRPr="00BB6220">
        <w:rPr>
          <w:lang w:eastAsia="en-NZ"/>
        </w:rPr>
        <w:t>that</w:t>
      </w:r>
      <w:r w:rsidR="003D640C">
        <w:rPr>
          <w:lang w:eastAsia="en-NZ"/>
        </w:rPr>
        <w:t xml:space="preserve"> </w:t>
      </w:r>
      <w:r w:rsidR="001C3549" w:rsidRPr="00BB6220">
        <w:rPr>
          <w:lang w:eastAsia="en-NZ"/>
        </w:rPr>
        <w:t>belief</w:t>
      </w:r>
      <w:r w:rsidR="003D640C">
        <w:rPr>
          <w:lang w:eastAsia="en-NZ"/>
        </w:rPr>
        <w:t xml:space="preserve"> </w:t>
      </w:r>
      <w:r w:rsidR="001C3549" w:rsidRPr="00BB6220">
        <w:rPr>
          <w:lang w:eastAsia="en-NZ"/>
        </w:rPr>
        <w:t>is</w:t>
      </w:r>
      <w:r w:rsidR="003D640C">
        <w:rPr>
          <w:lang w:eastAsia="en-NZ"/>
        </w:rPr>
        <w:t xml:space="preserve"> </w:t>
      </w:r>
      <w:r w:rsidR="00820CF8" w:rsidRPr="00BB6220">
        <w:rPr>
          <w:lang w:eastAsia="en-NZ"/>
        </w:rPr>
        <w:t>put</w:t>
      </w:r>
      <w:r w:rsidR="003D640C">
        <w:rPr>
          <w:lang w:eastAsia="en-NZ"/>
        </w:rPr>
        <w:t xml:space="preserve"> </w:t>
      </w:r>
      <w:r w:rsidR="00820CF8" w:rsidRPr="00BB6220">
        <w:rPr>
          <w:lang w:eastAsia="en-NZ"/>
        </w:rPr>
        <w:t>into</w:t>
      </w:r>
      <w:r w:rsidR="003D640C">
        <w:rPr>
          <w:lang w:eastAsia="en-NZ"/>
        </w:rPr>
        <w:t xml:space="preserve"> </w:t>
      </w:r>
      <w:r w:rsidR="00820CF8" w:rsidRPr="00BB6220">
        <w:rPr>
          <w:lang w:eastAsia="en-NZ"/>
        </w:rPr>
        <w:t>action</w:t>
      </w:r>
      <w:r w:rsidR="003D640C">
        <w:rPr>
          <w:lang w:eastAsia="en-NZ"/>
        </w:rPr>
        <w:t xml:space="preserve"> </w:t>
      </w:r>
      <w:r w:rsidR="00EF4CF9">
        <w:rPr>
          <w:lang w:eastAsia="en-NZ"/>
        </w:rPr>
        <w:t>in</w:t>
      </w:r>
      <w:r w:rsidR="003D640C">
        <w:rPr>
          <w:lang w:eastAsia="en-NZ"/>
        </w:rPr>
        <w:t xml:space="preserve"> </w:t>
      </w:r>
      <w:r w:rsidR="00EF4CF9">
        <w:rPr>
          <w:lang w:eastAsia="en-NZ"/>
        </w:rPr>
        <w:t>relation</w:t>
      </w:r>
      <w:r w:rsidR="003D640C">
        <w:rPr>
          <w:lang w:eastAsia="en-NZ"/>
        </w:rPr>
        <w:t xml:space="preserve"> </w:t>
      </w:r>
      <w:r w:rsidR="00EF4CF9">
        <w:rPr>
          <w:lang w:eastAsia="en-NZ"/>
        </w:rPr>
        <w:t>to</w:t>
      </w:r>
      <w:r w:rsidR="003D640C">
        <w:rPr>
          <w:lang w:eastAsia="en-NZ"/>
        </w:rPr>
        <w:t xml:space="preserve"> </w:t>
      </w:r>
      <w:r w:rsidR="00EF4CF9">
        <w:rPr>
          <w:lang w:eastAsia="en-NZ"/>
        </w:rPr>
        <w:t>other</w:t>
      </w:r>
      <w:r w:rsidR="003D640C">
        <w:rPr>
          <w:lang w:eastAsia="en-NZ"/>
        </w:rPr>
        <w:t xml:space="preserve"> </w:t>
      </w:r>
      <w:r w:rsidR="00EF4CF9">
        <w:rPr>
          <w:lang w:eastAsia="en-NZ"/>
        </w:rPr>
        <w:t>people</w:t>
      </w:r>
      <w:r w:rsidR="001C3549" w:rsidRPr="00BB6220">
        <w:rPr>
          <w:lang w:eastAsia="en-NZ"/>
        </w:rPr>
        <w:t>.</w:t>
      </w:r>
      <w:r w:rsidR="003D640C">
        <w:rPr>
          <w:lang w:eastAsia="en-NZ"/>
        </w:rPr>
        <w:t xml:space="preserve"> </w:t>
      </w:r>
    </w:p>
    <w:p w14:paraId="601FEBCC" w14:textId="32C24E45" w:rsidR="00501068" w:rsidRDefault="000E30CB" w:rsidP="00B2336B">
      <w:pPr>
        <w:rPr>
          <w:lang w:eastAsia="en-NZ"/>
        </w:rPr>
      </w:pPr>
      <w:r>
        <w:rPr>
          <w:lang w:eastAsia="en-NZ"/>
        </w:rPr>
        <w:t>Section 5 of t</w:t>
      </w:r>
      <w:r w:rsidR="6CE34FE4" w:rsidRPr="75632CB6">
        <w:rPr>
          <w:lang w:eastAsia="en-NZ"/>
        </w:rPr>
        <w:t>he</w:t>
      </w:r>
      <w:r w:rsidR="003D640C">
        <w:rPr>
          <w:lang w:eastAsia="en-NZ"/>
        </w:rPr>
        <w:t xml:space="preserve"> </w:t>
      </w:r>
      <w:r w:rsidR="6CE34FE4" w:rsidRPr="75632CB6">
        <w:rPr>
          <w:lang w:eastAsia="en-NZ"/>
        </w:rPr>
        <w:t>NZBORA</w:t>
      </w:r>
      <w:r w:rsidR="003D640C">
        <w:rPr>
          <w:lang w:eastAsia="en-NZ"/>
        </w:rPr>
        <w:t xml:space="preserve"> </w:t>
      </w:r>
      <w:r w:rsidR="6CE34FE4" w:rsidRPr="75632CB6">
        <w:rPr>
          <w:lang w:eastAsia="en-NZ"/>
        </w:rPr>
        <w:t>justifies</w:t>
      </w:r>
      <w:r w:rsidR="003D640C">
        <w:rPr>
          <w:lang w:eastAsia="en-NZ"/>
        </w:rPr>
        <w:t xml:space="preserve"> </w:t>
      </w:r>
      <w:r w:rsidR="6CE34FE4" w:rsidRPr="75632CB6">
        <w:rPr>
          <w:lang w:eastAsia="en-NZ"/>
        </w:rPr>
        <w:t>limitations</w:t>
      </w:r>
      <w:r w:rsidR="003D640C">
        <w:rPr>
          <w:lang w:eastAsia="en-NZ"/>
        </w:rPr>
        <w:t xml:space="preserve"> </w:t>
      </w:r>
      <w:r w:rsidR="6CE34FE4" w:rsidRPr="75632CB6">
        <w:rPr>
          <w:lang w:eastAsia="en-NZ"/>
        </w:rPr>
        <w:t>on</w:t>
      </w:r>
      <w:r w:rsidR="003D640C">
        <w:rPr>
          <w:lang w:eastAsia="en-NZ"/>
        </w:rPr>
        <w:t xml:space="preserve"> </w:t>
      </w:r>
      <w:r w:rsidR="6CE34FE4" w:rsidRPr="75632CB6">
        <w:rPr>
          <w:lang w:eastAsia="en-NZ"/>
        </w:rPr>
        <w:t>rights</w:t>
      </w:r>
      <w:r w:rsidR="003D640C">
        <w:rPr>
          <w:lang w:eastAsia="en-NZ"/>
        </w:rPr>
        <w:t xml:space="preserve"> </w:t>
      </w:r>
      <w:r w:rsidR="6CE34FE4" w:rsidRPr="75632CB6">
        <w:rPr>
          <w:lang w:eastAsia="en-NZ"/>
        </w:rPr>
        <w:t>and</w:t>
      </w:r>
      <w:r w:rsidR="003D640C">
        <w:rPr>
          <w:lang w:eastAsia="en-NZ"/>
        </w:rPr>
        <w:t xml:space="preserve"> </w:t>
      </w:r>
      <w:r w:rsidR="6CE34FE4" w:rsidRPr="75632CB6">
        <w:rPr>
          <w:lang w:eastAsia="en-NZ"/>
        </w:rPr>
        <w:t>freedoms</w:t>
      </w:r>
      <w:r w:rsidR="003D640C">
        <w:rPr>
          <w:lang w:eastAsia="en-NZ"/>
        </w:rPr>
        <w:t xml:space="preserve"> </w:t>
      </w:r>
      <w:r w:rsidR="6CE34FE4" w:rsidRPr="75632CB6">
        <w:rPr>
          <w:lang w:eastAsia="en-NZ"/>
        </w:rPr>
        <w:t>to</w:t>
      </w:r>
      <w:r w:rsidR="003D640C">
        <w:rPr>
          <w:lang w:eastAsia="en-NZ"/>
        </w:rPr>
        <w:t xml:space="preserve"> </w:t>
      </w:r>
      <w:r w:rsidR="00443377">
        <w:rPr>
          <w:lang w:eastAsia="en-NZ"/>
        </w:rPr>
        <w:t>“</w:t>
      </w:r>
      <w:r w:rsidR="6CE34FE4" w:rsidRPr="75632CB6">
        <w:rPr>
          <w:lang w:eastAsia="en-NZ"/>
        </w:rPr>
        <w:t>reasonable</w:t>
      </w:r>
      <w:r w:rsidR="003D640C">
        <w:rPr>
          <w:lang w:eastAsia="en-NZ"/>
        </w:rPr>
        <w:t xml:space="preserve"> </w:t>
      </w:r>
      <w:r w:rsidR="6CE34FE4" w:rsidRPr="75632CB6">
        <w:rPr>
          <w:lang w:eastAsia="en-NZ"/>
        </w:rPr>
        <w:t>limits</w:t>
      </w:r>
      <w:r w:rsidR="00443377">
        <w:rPr>
          <w:lang w:eastAsia="en-NZ"/>
        </w:rPr>
        <w:t>”</w:t>
      </w:r>
      <w:r w:rsidR="003D640C">
        <w:rPr>
          <w:lang w:eastAsia="en-NZ"/>
        </w:rPr>
        <w:t xml:space="preserve"> </w:t>
      </w:r>
      <w:r w:rsidR="6CE34FE4" w:rsidRPr="75632CB6">
        <w:rPr>
          <w:lang w:eastAsia="en-NZ"/>
        </w:rPr>
        <w:t>as</w:t>
      </w:r>
      <w:r w:rsidR="003D640C">
        <w:rPr>
          <w:lang w:eastAsia="en-NZ"/>
        </w:rPr>
        <w:t xml:space="preserve"> </w:t>
      </w:r>
      <w:r w:rsidR="6CE34FE4" w:rsidRPr="75632CB6">
        <w:rPr>
          <w:lang w:eastAsia="en-NZ"/>
        </w:rPr>
        <w:t>prescribed</w:t>
      </w:r>
      <w:r w:rsidR="003D640C">
        <w:rPr>
          <w:lang w:eastAsia="en-NZ"/>
        </w:rPr>
        <w:t xml:space="preserve"> </w:t>
      </w:r>
      <w:r w:rsidR="6CE34FE4" w:rsidRPr="75632CB6">
        <w:rPr>
          <w:lang w:eastAsia="en-NZ"/>
        </w:rPr>
        <w:t>by</w:t>
      </w:r>
      <w:r w:rsidR="003D640C">
        <w:rPr>
          <w:lang w:eastAsia="en-NZ"/>
        </w:rPr>
        <w:t xml:space="preserve"> </w:t>
      </w:r>
      <w:r w:rsidR="6CE34FE4" w:rsidRPr="75632CB6">
        <w:rPr>
          <w:lang w:eastAsia="en-NZ"/>
        </w:rPr>
        <w:t>law</w:t>
      </w:r>
      <w:r w:rsidR="003D640C">
        <w:rPr>
          <w:lang w:eastAsia="en-NZ"/>
        </w:rPr>
        <w:t xml:space="preserve"> </w:t>
      </w:r>
      <w:r w:rsidR="6CE34FE4" w:rsidRPr="75632CB6">
        <w:rPr>
          <w:lang w:eastAsia="en-NZ"/>
        </w:rPr>
        <w:t>in</w:t>
      </w:r>
      <w:r w:rsidR="003D640C">
        <w:rPr>
          <w:lang w:eastAsia="en-NZ"/>
        </w:rPr>
        <w:t xml:space="preserve"> </w:t>
      </w:r>
      <w:r w:rsidR="6CE34FE4" w:rsidRPr="75632CB6">
        <w:rPr>
          <w:lang w:eastAsia="en-NZ"/>
        </w:rPr>
        <w:t>a</w:t>
      </w:r>
      <w:r w:rsidR="003D640C">
        <w:rPr>
          <w:lang w:eastAsia="en-NZ"/>
        </w:rPr>
        <w:t xml:space="preserve"> </w:t>
      </w:r>
      <w:r w:rsidR="6CE34FE4" w:rsidRPr="75632CB6">
        <w:rPr>
          <w:lang w:eastAsia="en-NZ"/>
        </w:rPr>
        <w:t>free</w:t>
      </w:r>
      <w:r w:rsidR="003D640C">
        <w:rPr>
          <w:lang w:eastAsia="en-NZ"/>
        </w:rPr>
        <w:t xml:space="preserve"> </w:t>
      </w:r>
      <w:r w:rsidR="6CE34FE4" w:rsidRPr="75632CB6">
        <w:rPr>
          <w:lang w:eastAsia="en-NZ"/>
        </w:rPr>
        <w:t>and</w:t>
      </w:r>
      <w:r w:rsidR="003D640C">
        <w:rPr>
          <w:lang w:eastAsia="en-NZ"/>
        </w:rPr>
        <w:t xml:space="preserve"> </w:t>
      </w:r>
      <w:r w:rsidR="6CE34FE4" w:rsidRPr="75632CB6">
        <w:rPr>
          <w:lang w:eastAsia="en-NZ"/>
        </w:rPr>
        <w:t>democratic</w:t>
      </w:r>
      <w:r w:rsidR="003D640C">
        <w:rPr>
          <w:lang w:eastAsia="en-NZ"/>
        </w:rPr>
        <w:t xml:space="preserve"> </w:t>
      </w:r>
      <w:r w:rsidR="6CE34FE4" w:rsidRPr="75632CB6">
        <w:rPr>
          <w:lang w:eastAsia="en-NZ"/>
        </w:rPr>
        <w:t>society</w:t>
      </w:r>
      <w:r w:rsidR="6CE34FE4" w:rsidRPr="75632CB6">
        <w:rPr>
          <w:rFonts w:eastAsiaTheme="minorEastAsia"/>
          <w:color w:val="000000" w:themeColor="text1"/>
        </w:rPr>
        <w:t>.</w:t>
      </w:r>
      <w:r w:rsidR="003D640C">
        <w:rPr>
          <w:lang w:eastAsia="en-NZ"/>
        </w:rPr>
        <w:t xml:space="preserve"> </w:t>
      </w:r>
      <w:r w:rsidR="194C274D" w:rsidRPr="75632CB6">
        <w:rPr>
          <w:lang w:eastAsia="en-NZ"/>
        </w:rPr>
        <w:t>There</w:t>
      </w:r>
      <w:r w:rsidR="003D640C">
        <w:rPr>
          <w:lang w:eastAsia="en-NZ"/>
        </w:rPr>
        <w:t xml:space="preserve"> </w:t>
      </w:r>
      <w:r w:rsidR="194C274D" w:rsidRPr="75632CB6">
        <w:rPr>
          <w:lang w:eastAsia="en-NZ"/>
        </w:rPr>
        <w:t>are</w:t>
      </w:r>
      <w:r w:rsidR="003D640C">
        <w:rPr>
          <w:lang w:eastAsia="en-NZ"/>
        </w:rPr>
        <w:t xml:space="preserve"> </w:t>
      </w:r>
      <w:r w:rsidR="194C274D" w:rsidRPr="75632CB6">
        <w:rPr>
          <w:lang w:eastAsia="en-NZ"/>
        </w:rPr>
        <w:t>other</w:t>
      </w:r>
      <w:r w:rsidR="003D640C">
        <w:rPr>
          <w:lang w:eastAsia="en-NZ"/>
        </w:rPr>
        <w:t xml:space="preserve"> </w:t>
      </w:r>
      <w:r w:rsidR="4B4AB817" w:rsidRPr="75632CB6">
        <w:rPr>
          <w:lang w:eastAsia="en-NZ"/>
        </w:rPr>
        <w:t>examples</w:t>
      </w:r>
      <w:r w:rsidR="003D640C">
        <w:rPr>
          <w:lang w:eastAsia="en-NZ"/>
        </w:rPr>
        <w:t xml:space="preserve"> </w:t>
      </w:r>
      <w:r w:rsidR="4B4AB817" w:rsidRPr="75632CB6">
        <w:rPr>
          <w:lang w:eastAsia="en-NZ"/>
        </w:rPr>
        <w:t>of</w:t>
      </w:r>
      <w:r w:rsidR="003D640C">
        <w:rPr>
          <w:lang w:eastAsia="en-NZ"/>
        </w:rPr>
        <w:t xml:space="preserve"> </w:t>
      </w:r>
      <w:r w:rsidR="77ABB557" w:rsidRPr="75632CB6">
        <w:rPr>
          <w:lang w:eastAsia="en-NZ"/>
        </w:rPr>
        <w:t>legislation</w:t>
      </w:r>
      <w:r w:rsidR="003D640C">
        <w:rPr>
          <w:lang w:eastAsia="en-NZ"/>
        </w:rPr>
        <w:t xml:space="preserve"> </w:t>
      </w:r>
      <w:r w:rsidR="77ABB557" w:rsidRPr="75632CB6">
        <w:rPr>
          <w:lang w:eastAsia="en-NZ"/>
        </w:rPr>
        <w:t>in</w:t>
      </w:r>
      <w:r w:rsidR="003D640C">
        <w:rPr>
          <w:lang w:eastAsia="en-NZ"/>
        </w:rPr>
        <w:t xml:space="preserve"> </w:t>
      </w:r>
      <w:r w:rsidR="77ABB557" w:rsidRPr="75632CB6">
        <w:rPr>
          <w:lang w:eastAsia="en-NZ"/>
        </w:rPr>
        <w:t>Aotearoa</w:t>
      </w:r>
      <w:r w:rsidR="003D640C">
        <w:rPr>
          <w:lang w:eastAsia="en-NZ"/>
        </w:rPr>
        <w:t xml:space="preserve"> </w:t>
      </w:r>
      <w:r w:rsidR="00443377">
        <w:rPr>
          <w:lang w:eastAsia="en-NZ"/>
        </w:rPr>
        <w:t xml:space="preserve">that </w:t>
      </w:r>
      <w:r w:rsidR="77ABB557" w:rsidRPr="75632CB6">
        <w:rPr>
          <w:lang w:eastAsia="en-NZ"/>
        </w:rPr>
        <w:t>place</w:t>
      </w:r>
      <w:r w:rsidR="003D640C">
        <w:rPr>
          <w:lang w:eastAsia="en-NZ"/>
        </w:rPr>
        <w:t xml:space="preserve"> </w:t>
      </w:r>
      <w:r w:rsidR="77ABB557" w:rsidRPr="75632CB6">
        <w:rPr>
          <w:lang w:eastAsia="en-NZ"/>
        </w:rPr>
        <w:t>limits</w:t>
      </w:r>
      <w:r w:rsidR="003D640C">
        <w:rPr>
          <w:lang w:eastAsia="en-NZ"/>
        </w:rPr>
        <w:t xml:space="preserve"> </w:t>
      </w:r>
      <w:r w:rsidR="77ABB557" w:rsidRPr="75632CB6">
        <w:rPr>
          <w:lang w:eastAsia="en-NZ"/>
        </w:rPr>
        <w:t>on</w:t>
      </w:r>
      <w:r w:rsidR="003D640C">
        <w:rPr>
          <w:lang w:eastAsia="en-NZ"/>
        </w:rPr>
        <w:t xml:space="preserve"> </w:t>
      </w:r>
      <w:r w:rsidR="4B4AB817" w:rsidRPr="75632CB6">
        <w:rPr>
          <w:lang w:eastAsia="en-NZ"/>
        </w:rPr>
        <w:t>certain</w:t>
      </w:r>
      <w:r w:rsidR="003D640C">
        <w:rPr>
          <w:lang w:eastAsia="en-NZ"/>
        </w:rPr>
        <w:t xml:space="preserve"> </w:t>
      </w:r>
      <w:r w:rsidR="77ABB557" w:rsidRPr="75632CB6">
        <w:rPr>
          <w:lang w:eastAsia="en-NZ"/>
        </w:rPr>
        <w:t>rights</w:t>
      </w:r>
      <w:r w:rsidR="003D640C">
        <w:rPr>
          <w:lang w:eastAsia="en-NZ"/>
        </w:rPr>
        <w:t xml:space="preserve"> </w:t>
      </w:r>
      <w:r w:rsidR="77ABB557" w:rsidRPr="75632CB6">
        <w:rPr>
          <w:lang w:eastAsia="en-NZ"/>
        </w:rPr>
        <w:t>to</w:t>
      </w:r>
      <w:r w:rsidR="003D640C">
        <w:rPr>
          <w:lang w:eastAsia="en-NZ"/>
        </w:rPr>
        <w:t xml:space="preserve"> </w:t>
      </w:r>
      <w:r w:rsidR="77ABB557" w:rsidRPr="75632CB6">
        <w:rPr>
          <w:lang w:eastAsia="en-NZ"/>
        </w:rPr>
        <w:t>prevent</w:t>
      </w:r>
      <w:r w:rsidR="003D640C">
        <w:rPr>
          <w:lang w:eastAsia="en-NZ"/>
        </w:rPr>
        <w:t xml:space="preserve"> </w:t>
      </w:r>
      <w:r w:rsidR="77ABB557" w:rsidRPr="75632CB6">
        <w:rPr>
          <w:lang w:eastAsia="en-NZ"/>
        </w:rPr>
        <w:t>harm.</w:t>
      </w:r>
      <w:r w:rsidR="009B0BA9">
        <w:rPr>
          <w:rStyle w:val="FootnoteReference"/>
          <w:rFonts w:ascii="Calibri" w:eastAsia="Times New Roman" w:hAnsi="Calibri" w:cs="Calibri"/>
          <w:lang w:eastAsia="en-NZ"/>
        </w:rPr>
        <w:footnoteReference w:id="66"/>
      </w:r>
      <w:r w:rsidR="003D640C">
        <w:rPr>
          <w:lang w:eastAsia="en-NZ"/>
        </w:rPr>
        <w:t xml:space="preserve"> </w:t>
      </w:r>
    </w:p>
    <w:p w14:paraId="4E726F64" w14:textId="5EF881CA" w:rsidR="00501068" w:rsidRDefault="005977AD" w:rsidP="00B2336B">
      <w:r>
        <w:rPr>
          <w:rFonts w:eastAsiaTheme="minorEastAsia"/>
          <w:lang w:eastAsia="en-NZ"/>
        </w:rPr>
        <w:t>The</w:t>
      </w:r>
      <w:r w:rsidR="003D640C">
        <w:rPr>
          <w:rFonts w:eastAsiaTheme="minorEastAsia"/>
          <w:lang w:eastAsia="en-NZ"/>
        </w:rPr>
        <w:t xml:space="preserve"> </w:t>
      </w:r>
      <w:r>
        <w:rPr>
          <w:rFonts w:eastAsiaTheme="minorEastAsia"/>
          <w:lang w:eastAsia="en-NZ"/>
        </w:rPr>
        <w:t>ICCPR</w:t>
      </w:r>
      <w:r w:rsidR="003D640C">
        <w:rPr>
          <w:rFonts w:eastAsiaTheme="minorEastAsia"/>
          <w:lang w:eastAsia="en-NZ"/>
        </w:rPr>
        <w:t xml:space="preserve"> </w:t>
      </w:r>
      <w:r>
        <w:rPr>
          <w:rFonts w:eastAsiaTheme="minorEastAsia"/>
          <w:lang w:eastAsia="en-NZ"/>
        </w:rPr>
        <w:t>also</w:t>
      </w:r>
      <w:r w:rsidR="003D640C">
        <w:rPr>
          <w:rFonts w:eastAsiaTheme="minorEastAsia"/>
          <w:lang w:eastAsia="en-NZ"/>
        </w:rPr>
        <w:t xml:space="preserve"> </w:t>
      </w:r>
      <w:r w:rsidR="00491C35">
        <w:rPr>
          <w:rFonts w:eastAsiaTheme="minorEastAsia"/>
          <w:lang w:eastAsia="en-NZ"/>
        </w:rPr>
        <w:t>provide</w:t>
      </w:r>
      <w:r>
        <w:rPr>
          <w:rFonts w:eastAsiaTheme="minorEastAsia"/>
          <w:lang w:eastAsia="en-NZ"/>
        </w:rPr>
        <w:t>s</w:t>
      </w:r>
      <w:r w:rsidR="003D640C">
        <w:rPr>
          <w:rFonts w:eastAsiaTheme="minorEastAsia"/>
          <w:lang w:eastAsia="en-NZ"/>
        </w:rPr>
        <w:t xml:space="preserve"> </w:t>
      </w:r>
      <w:r w:rsidR="00491C35">
        <w:rPr>
          <w:rFonts w:eastAsiaTheme="minorEastAsia"/>
          <w:lang w:eastAsia="en-NZ"/>
        </w:rPr>
        <w:t>further</w:t>
      </w:r>
      <w:r w:rsidR="003D640C">
        <w:rPr>
          <w:rFonts w:eastAsiaTheme="minorEastAsia"/>
          <w:lang w:eastAsia="en-NZ"/>
        </w:rPr>
        <w:t xml:space="preserve"> </w:t>
      </w:r>
      <w:r w:rsidR="00491C35">
        <w:rPr>
          <w:rFonts w:eastAsiaTheme="minorEastAsia"/>
          <w:lang w:eastAsia="en-NZ"/>
        </w:rPr>
        <w:t>context</w:t>
      </w:r>
      <w:r w:rsidR="003D640C">
        <w:rPr>
          <w:rFonts w:eastAsiaTheme="minorEastAsia"/>
          <w:lang w:eastAsia="en-NZ"/>
        </w:rPr>
        <w:t xml:space="preserve"> </w:t>
      </w:r>
      <w:r w:rsidR="00491C35">
        <w:rPr>
          <w:rFonts w:eastAsiaTheme="minorEastAsia"/>
          <w:lang w:eastAsia="en-NZ"/>
        </w:rPr>
        <w:t>for</w:t>
      </w:r>
      <w:r w:rsidR="003D640C">
        <w:rPr>
          <w:rFonts w:eastAsiaTheme="minorEastAsia"/>
          <w:lang w:eastAsia="en-NZ"/>
        </w:rPr>
        <w:t xml:space="preserve"> </w:t>
      </w:r>
      <w:r w:rsidR="00491C35">
        <w:rPr>
          <w:rFonts w:eastAsiaTheme="minorEastAsia"/>
          <w:lang w:eastAsia="en-NZ"/>
        </w:rPr>
        <w:t>when</w:t>
      </w:r>
      <w:r w:rsidR="003D640C">
        <w:rPr>
          <w:rFonts w:eastAsiaTheme="minorEastAsia"/>
          <w:lang w:eastAsia="en-NZ"/>
        </w:rPr>
        <w:t xml:space="preserve"> </w:t>
      </w:r>
      <w:r w:rsidR="00491C35">
        <w:rPr>
          <w:rFonts w:eastAsiaTheme="minorEastAsia"/>
          <w:lang w:eastAsia="en-NZ"/>
        </w:rPr>
        <w:t>rights</w:t>
      </w:r>
      <w:r w:rsidR="003D640C">
        <w:rPr>
          <w:rFonts w:eastAsiaTheme="minorEastAsia"/>
          <w:lang w:eastAsia="en-NZ"/>
        </w:rPr>
        <w:t xml:space="preserve"> </w:t>
      </w:r>
      <w:r w:rsidR="00491C35">
        <w:rPr>
          <w:rFonts w:eastAsiaTheme="minorEastAsia"/>
          <w:lang w:eastAsia="en-NZ"/>
        </w:rPr>
        <w:t>may</w:t>
      </w:r>
      <w:r w:rsidR="003D640C">
        <w:rPr>
          <w:rFonts w:eastAsiaTheme="minorEastAsia"/>
          <w:lang w:eastAsia="en-NZ"/>
        </w:rPr>
        <w:t xml:space="preserve"> </w:t>
      </w:r>
      <w:r w:rsidR="00491C35">
        <w:rPr>
          <w:rFonts w:eastAsiaTheme="minorEastAsia"/>
          <w:lang w:eastAsia="en-NZ"/>
        </w:rPr>
        <w:t>be</w:t>
      </w:r>
      <w:r w:rsidR="003D640C">
        <w:rPr>
          <w:rFonts w:eastAsiaTheme="minorEastAsia"/>
          <w:lang w:eastAsia="en-NZ"/>
        </w:rPr>
        <w:t xml:space="preserve"> </w:t>
      </w:r>
      <w:r w:rsidR="00491C35">
        <w:rPr>
          <w:rFonts w:eastAsiaTheme="minorEastAsia"/>
          <w:lang w:eastAsia="en-NZ"/>
        </w:rPr>
        <w:t>limited.</w:t>
      </w:r>
      <w:r w:rsidR="003D640C">
        <w:rPr>
          <w:rFonts w:eastAsiaTheme="minorEastAsia"/>
          <w:lang w:eastAsia="en-NZ"/>
        </w:rPr>
        <w:t xml:space="preserve"> </w:t>
      </w:r>
      <w:r w:rsidR="00DE4546" w:rsidRPr="00BB6220">
        <w:rPr>
          <w:rFonts w:eastAsiaTheme="minorEastAsia"/>
          <w:lang w:eastAsia="en-NZ"/>
        </w:rPr>
        <w:t>The</w:t>
      </w:r>
      <w:r w:rsidR="003D640C">
        <w:rPr>
          <w:rFonts w:eastAsiaTheme="minorEastAsia"/>
          <w:lang w:eastAsia="en-NZ"/>
        </w:rPr>
        <w:t xml:space="preserve"> </w:t>
      </w:r>
      <w:r w:rsidR="00DE4546" w:rsidRPr="00BB6220">
        <w:rPr>
          <w:rFonts w:eastAsiaTheme="minorEastAsia"/>
          <w:lang w:eastAsia="en-NZ"/>
        </w:rPr>
        <w:t>relevant</w:t>
      </w:r>
      <w:r w:rsidR="003D640C">
        <w:rPr>
          <w:rFonts w:eastAsiaTheme="minorEastAsia"/>
          <w:lang w:eastAsia="en-NZ"/>
        </w:rPr>
        <w:t xml:space="preserve"> </w:t>
      </w:r>
      <w:r w:rsidR="00DE4546" w:rsidRPr="00BB6220">
        <w:rPr>
          <w:rFonts w:eastAsiaTheme="minorEastAsia"/>
          <w:lang w:eastAsia="en-NZ"/>
        </w:rPr>
        <w:t>provision</w:t>
      </w:r>
      <w:r w:rsidR="003D640C">
        <w:rPr>
          <w:rFonts w:eastAsiaTheme="minorEastAsia"/>
          <w:lang w:eastAsia="en-NZ"/>
        </w:rPr>
        <w:t xml:space="preserve"> </w:t>
      </w:r>
      <w:r w:rsidR="4EE650D3" w:rsidRPr="00BB6220">
        <w:rPr>
          <w:rFonts w:eastAsiaTheme="minorEastAsia"/>
          <w:lang w:eastAsia="en-NZ"/>
        </w:rPr>
        <w:t>states</w:t>
      </w:r>
      <w:r w:rsidR="003D640C">
        <w:rPr>
          <w:rFonts w:eastAsiaTheme="minorEastAsia"/>
          <w:lang w:eastAsia="en-NZ"/>
        </w:rPr>
        <w:t xml:space="preserve"> </w:t>
      </w:r>
      <w:r w:rsidR="4EE650D3" w:rsidRPr="00BB6220">
        <w:rPr>
          <w:rFonts w:eastAsiaTheme="minorEastAsia"/>
          <w:lang w:eastAsia="en-NZ"/>
        </w:rPr>
        <w:t>that</w:t>
      </w:r>
      <w:r w:rsidR="003D640C">
        <w:rPr>
          <w:rFonts w:eastAsiaTheme="minorEastAsia"/>
          <w:lang w:eastAsia="en-NZ"/>
        </w:rPr>
        <w:t xml:space="preserve"> </w:t>
      </w:r>
      <w:r w:rsidR="4EE650D3" w:rsidRPr="00BB6220">
        <w:rPr>
          <w:rFonts w:eastAsiaTheme="minorEastAsia"/>
          <w:lang w:eastAsia="en-NZ"/>
        </w:rPr>
        <w:t>expression</w:t>
      </w:r>
      <w:r w:rsidR="003D640C">
        <w:rPr>
          <w:rFonts w:eastAsiaTheme="minorEastAsia"/>
          <w:lang w:eastAsia="en-NZ"/>
        </w:rPr>
        <w:t xml:space="preserve"> </w:t>
      </w:r>
      <w:r w:rsidR="4EE650D3" w:rsidRPr="00BB6220">
        <w:rPr>
          <w:rFonts w:eastAsiaTheme="minorEastAsia"/>
          <w:lang w:eastAsia="en-NZ"/>
        </w:rPr>
        <w:t>of</w:t>
      </w:r>
      <w:r w:rsidR="003D640C">
        <w:rPr>
          <w:rFonts w:eastAsiaTheme="minorEastAsia"/>
          <w:lang w:eastAsia="en-NZ"/>
        </w:rPr>
        <w:t xml:space="preserve"> </w:t>
      </w:r>
      <w:r w:rsidR="4EE650D3" w:rsidRPr="00BB6220">
        <w:rPr>
          <w:rFonts w:eastAsiaTheme="minorEastAsia"/>
          <w:lang w:eastAsia="en-NZ"/>
        </w:rPr>
        <w:t>religious</w:t>
      </w:r>
      <w:r w:rsidR="003D640C">
        <w:rPr>
          <w:rFonts w:eastAsiaTheme="minorEastAsia"/>
          <w:lang w:eastAsia="en-NZ"/>
        </w:rPr>
        <w:t xml:space="preserve"> </w:t>
      </w:r>
      <w:r w:rsidR="4EE650D3" w:rsidRPr="00BB6220">
        <w:rPr>
          <w:rFonts w:eastAsiaTheme="minorEastAsia"/>
          <w:lang w:eastAsia="en-NZ"/>
        </w:rPr>
        <w:t>belief</w:t>
      </w:r>
      <w:r w:rsidR="003D640C">
        <w:rPr>
          <w:rFonts w:eastAsiaTheme="minorEastAsia"/>
          <w:lang w:eastAsia="en-NZ"/>
        </w:rPr>
        <w:t xml:space="preserve"> </w:t>
      </w:r>
      <w:r w:rsidR="4EE650D3" w:rsidRPr="00BB6220">
        <w:rPr>
          <w:rFonts w:eastAsiaTheme="minorEastAsia"/>
          <w:lang w:eastAsia="en-NZ"/>
        </w:rPr>
        <w:t>can</w:t>
      </w:r>
      <w:r w:rsidR="003D640C">
        <w:rPr>
          <w:rFonts w:eastAsiaTheme="minorEastAsia"/>
          <w:lang w:eastAsia="en-NZ"/>
        </w:rPr>
        <w:t xml:space="preserve"> </w:t>
      </w:r>
      <w:r w:rsidR="4EE650D3" w:rsidRPr="00BB6220">
        <w:rPr>
          <w:rFonts w:eastAsiaTheme="minorEastAsia"/>
          <w:lang w:eastAsia="en-NZ"/>
        </w:rPr>
        <w:t>be</w:t>
      </w:r>
      <w:r w:rsidR="003D640C">
        <w:rPr>
          <w:rFonts w:eastAsiaTheme="minorEastAsia"/>
          <w:lang w:eastAsia="en-NZ"/>
        </w:rPr>
        <w:t xml:space="preserve"> </w:t>
      </w:r>
      <w:r w:rsidR="4EE650D3" w:rsidRPr="00BB6220">
        <w:rPr>
          <w:rFonts w:eastAsiaTheme="minorEastAsia"/>
          <w:lang w:eastAsia="en-NZ"/>
        </w:rPr>
        <w:t>limited</w:t>
      </w:r>
      <w:r w:rsidR="003D640C">
        <w:rPr>
          <w:rFonts w:eastAsiaTheme="minorEastAsia"/>
          <w:lang w:eastAsia="en-NZ"/>
        </w:rPr>
        <w:t xml:space="preserve"> </w:t>
      </w:r>
      <w:r w:rsidR="4EE650D3" w:rsidRPr="00BB6220">
        <w:rPr>
          <w:rFonts w:eastAsiaTheme="minorEastAsia"/>
          <w:lang w:eastAsia="en-NZ"/>
        </w:rPr>
        <w:t>only</w:t>
      </w:r>
      <w:r w:rsidR="003D640C">
        <w:rPr>
          <w:rFonts w:eastAsiaTheme="minorEastAsia"/>
          <w:lang w:eastAsia="en-NZ"/>
        </w:rPr>
        <w:t xml:space="preserve"> </w:t>
      </w:r>
      <w:r w:rsidR="4EE650D3" w:rsidRPr="00BB6220">
        <w:rPr>
          <w:rFonts w:eastAsiaTheme="minorEastAsia"/>
          <w:lang w:eastAsia="en-NZ"/>
        </w:rPr>
        <w:t>where</w:t>
      </w:r>
      <w:r w:rsidR="003D640C">
        <w:rPr>
          <w:rFonts w:eastAsiaTheme="minorEastAsia"/>
          <w:lang w:eastAsia="en-NZ"/>
        </w:rPr>
        <w:t xml:space="preserve"> </w:t>
      </w:r>
      <w:r w:rsidR="4EE650D3" w:rsidRPr="00BB6220">
        <w:rPr>
          <w:rFonts w:eastAsiaTheme="minorEastAsia"/>
          <w:lang w:eastAsia="en-NZ"/>
        </w:rPr>
        <w:t>the</w:t>
      </w:r>
      <w:r w:rsidR="003D640C">
        <w:rPr>
          <w:rFonts w:eastAsiaTheme="minorEastAsia"/>
          <w:lang w:eastAsia="en-NZ"/>
        </w:rPr>
        <w:t xml:space="preserve"> </w:t>
      </w:r>
      <w:r w:rsidR="00DE4546" w:rsidRPr="00BB6220">
        <w:rPr>
          <w:rFonts w:eastAsiaTheme="minorEastAsia"/>
          <w:lang w:eastAsia="en-NZ"/>
        </w:rPr>
        <w:t>rights</w:t>
      </w:r>
      <w:r w:rsidR="003D640C">
        <w:rPr>
          <w:rFonts w:eastAsiaTheme="minorEastAsia"/>
          <w:lang w:eastAsia="en-NZ"/>
        </w:rPr>
        <w:t xml:space="preserve"> </w:t>
      </w:r>
      <w:r w:rsidR="4EE650D3" w:rsidRPr="00BB6220">
        <w:rPr>
          <w:rFonts w:eastAsiaTheme="minorEastAsia"/>
          <w:lang w:eastAsia="en-NZ"/>
        </w:rPr>
        <w:t>are</w:t>
      </w:r>
      <w:r w:rsidR="003D640C">
        <w:rPr>
          <w:rFonts w:eastAsiaTheme="minorEastAsia"/>
          <w:lang w:eastAsia="en-NZ"/>
        </w:rPr>
        <w:t xml:space="preserve"> </w:t>
      </w:r>
      <w:r w:rsidR="4EE650D3" w:rsidRPr="00BB6220">
        <w:rPr>
          <w:rFonts w:eastAsiaTheme="minorEastAsia"/>
          <w:lang w:eastAsia="en-NZ"/>
        </w:rPr>
        <w:t>prescribed</w:t>
      </w:r>
      <w:r w:rsidR="003D640C">
        <w:rPr>
          <w:rFonts w:eastAsiaTheme="minorEastAsia"/>
          <w:lang w:eastAsia="en-NZ"/>
        </w:rPr>
        <w:t xml:space="preserve"> </w:t>
      </w:r>
      <w:r w:rsidR="4EE650D3" w:rsidRPr="00BB6220">
        <w:rPr>
          <w:rFonts w:eastAsiaTheme="minorEastAsia"/>
          <w:lang w:eastAsia="en-NZ"/>
        </w:rPr>
        <w:t>by</w:t>
      </w:r>
      <w:r w:rsidR="003D640C">
        <w:rPr>
          <w:rFonts w:eastAsiaTheme="minorEastAsia"/>
          <w:lang w:eastAsia="en-NZ"/>
        </w:rPr>
        <w:t xml:space="preserve"> </w:t>
      </w:r>
      <w:r w:rsidR="4EE650D3" w:rsidRPr="00BB6220">
        <w:rPr>
          <w:rFonts w:eastAsiaTheme="minorEastAsia"/>
          <w:lang w:eastAsia="en-NZ"/>
        </w:rPr>
        <w:t>law</w:t>
      </w:r>
      <w:r w:rsidR="003D640C">
        <w:rPr>
          <w:rFonts w:eastAsiaTheme="minorEastAsia"/>
          <w:lang w:eastAsia="en-NZ"/>
        </w:rPr>
        <w:t xml:space="preserve"> </w:t>
      </w:r>
      <w:r w:rsidR="4EE650D3" w:rsidRPr="00BB6220">
        <w:rPr>
          <w:rFonts w:eastAsiaTheme="minorEastAsia"/>
          <w:lang w:eastAsia="en-NZ"/>
        </w:rPr>
        <w:t>and</w:t>
      </w:r>
      <w:r w:rsidR="003D640C">
        <w:rPr>
          <w:rFonts w:eastAsiaTheme="minorEastAsia"/>
          <w:lang w:eastAsia="en-NZ"/>
        </w:rPr>
        <w:t xml:space="preserve"> </w:t>
      </w:r>
      <w:r w:rsidR="4EE650D3" w:rsidRPr="00BB6220">
        <w:rPr>
          <w:rFonts w:eastAsiaTheme="minorEastAsia"/>
          <w:lang w:eastAsia="en-NZ"/>
        </w:rPr>
        <w:t>are</w:t>
      </w:r>
      <w:r w:rsidR="003D640C">
        <w:rPr>
          <w:rFonts w:eastAsiaTheme="minorEastAsia"/>
          <w:lang w:eastAsia="en-NZ"/>
        </w:rPr>
        <w:t xml:space="preserve"> </w:t>
      </w:r>
      <w:r w:rsidR="4EE650D3" w:rsidRPr="00BB6220">
        <w:rPr>
          <w:rFonts w:eastAsiaTheme="minorEastAsia"/>
          <w:lang w:eastAsia="en-NZ"/>
        </w:rPr>
        <w:t>necessary</w:t>
      </w:r>
      <w:r w:rsidR="003D640C">
        <w:rPr>
          <w:rFonts w:eastAsiaTheme="minorEastAsia"/>
          <w:lang w:eastAsia="en-NZ"/>
        </w:rPr>
        <w:t xml:space="preserve"> </w:t>
      </w:r>
      <w:r w:rsidR="4EE650D3" w:rsidRPr="00BB6220">
        <w:rPr>
          <w:rFonts w:eastAsiaTheme="minorEastAsia"/>
          <w:lang w:eastAsia="en-NZ"/>
        </w:rPr>
        <w:t>to</w:t>
      </w:r>
      <w:r w:rsidR="003D640C">
        <w:rPr>
          <w:rFonts w:eastAsiaTheme="minorEastAsia"/>
          <w:lang w:eastAsia="en-NZ"/>
        </w:rPr>
        <w:t xml:space="preserve"> </w:t>
      </w:r>
      <w:r w:rsidR="4EE650D3" w:rsidRPr="00BB6220">
        <w:rPr>
          <w:rFonts w:eastAsiaTheme="minorEastAsia"/>
          <w:lang w:eastAsia="en-NZ"/>
        </w:rPr>
        <w:t>protect</w:t>
      </w:r>
      <w:r w:rsidR="003D640C">
        <w:rPr>
          <w:rFonts w:eastAsiaTheme="minorEastAsia"/>
          <w:lang w:eastAsia="en-NZ"/>
        </w:rPr>
        <w:t xml:space="preserve"> </w:t>
      </w:r>
      <w:r w:rsidR="4EE650D3" w:rsidRPr="00BB6220">
        <w:rPr>
          <w:rFonts w:eastAsiaTheme="minorEastAsia"/>
          <w:lang w:eastAsia="en-NZ"/>
        </w:rPr>
        <w:t>public</w:t>
      </w:r>
      <w:r w:rsidR="003D640C">
        <w:rPr>
          <w:rFonts w:eastAsiaTheme="minorEastAsia"/>
          <w:lang w:eastAsia="en-NZ"/>
        </w:rPr>
        <w:t xml:space="preserve"> </w:t>
      </w:r>
      <w:r w:rsidR="4EE650D3" w:rsidRPr="00BB6220">
        <w:rPr>
          <w:rFonts w:eastAsiaTheme="minorEastAsia"/>
          <w:lang w:eastAsia="en-NZ"/>
        </w:rPr>
        <w:t>safety,</w:t>
      </w:r>
      <w:r w:rsidR="003D640C">
        <w:rPr>
          <w:rFonts w:eastAsiaTheme="minorEastAsia"/>
          <w:lang w:eastAsia="en-NZ"/>
        </w:rPr>
        <w:t xml:space="preserve"> </w:t>
      </w:r>
      <w:r w:rsidR="4EE650D3" w:rsidRPr="00BB6220">
        <w:rPr>
          <w:rFonts w:eastAsiaTheme="minorEastAsia"/>
          <w:lang w:eastAsia="en-NZ"/>
        </w:rPr>
        <w:t>order,</w:t>
      </w:r>
      <w:r w:rsidR="003D640C">
        <w:rPr>
          <w:rFonts w:eastAsiaTheme="minorEastAsia"/>
          <w:lang w:eastAsia="en-NZ"/>
        </w:rPr>
        <w:t xml:space="preserve"> </w:t>
      </w:r>
      <w:r w:rsidR="4EE650D3" w:rsidRPr="00BB6220">
        <w:rPr>
          <w:rFonts w:eastAsiaTheme="minorEastAsia"/>
          <w:lang w:eastAsia="en-NZ"/>
        </w:rPr>
        <w:t>health,</w:t>
      </w:r>
      <w:r w:rsidR="003D640C">
        <w:rPr>
          <w:rFonts w:eastAsiaTheme="minorEastAsia"/>
          <w:lang w:eastAsia="en-NZ"/>
        </w:rPr>
        <w:t xml:space="preserve"> </w:t>
      </w:r>
      <w:r w:rsidR="4EE650D3" w:rsidRPr="00BB6220">
        <w:rPr>
          <w:rFonts w:eastAsiaTheme="minorEastAsia"/>
          <w:lang w:eastAsia="en-NZ"/>
        </w:rPr>
        <w:t>morals</w:t>
      </w:r>
      <w:r w:rsidR="627F36F7" w:rsidRPr="00BB6220">
        <w:rPr>
          <w:rFonts w:eastAsiaTheme="minorEastAsia"/>
          <w:lang w:eastAsia="en-NZ"/>
        </w:rPr>
        <w:t>,</w:t>
      </w:r>
      <w:r w:rsidR="003D640C">
        <w:rPr>
          <w:rFonts w:eastAsiaTheme="minorEastAsia"/>
          <w:lang w:eastAsia="en-NZ"/>
        </w:rPr>
        <w:t xml:space="preserve"> </w:t>
      </w:r>
      <w:r w:rsidR="4EE650D3" w:rsidRPr="00BB6220">
        <w:rPr>
          <w:rFonts w:eastAsiaTheme="minorEastAsia"/>
          <w:lang w:eastAsia="en-NZ"/>
        </w:rPr>
        <w:t>or</w:t>
      </w:r>
      <w:r w:rsidR="003D640C">
        <w:rPr>
          <w:lang w:eastAsia="en-NZ"/>
        </w:rPr>
        <w:t xml:space="preserve"> </w:t>
      </w:r>
      <w:r w:rsidR="4EE650D3" w:rsidRPr="00BB6220">
        <w:rPr>
          <w:lang w:eastAsia="en-NZ"/>
        </w:rPr>
        <w:t>the</w:t>
      </w:r>
      <w:r w:rsidR="003D640C">
        <w:rPr>
          <w:lang w:eastAsia="en-NZ"/>
        </w:rPr>
        <w:t xml:space="preserve"> </w:t>
      </w:r>
      <w:r w:rsidR="4EE650D3" w:rsidRPr="00BB6220">
        <w:rPr>
          <w:lang w:eastAsia="en-NZ"/>
        </w:rPr>
        <w:t>fundamental</w:t>
      </w:r>
      <w:r w:rsidR="003D640C">
        <w:rPr>
          <w:lang w:eastAsia="en-NZ"/>
        </w:rPr>
        <w:t xml:space="preserve"> </w:t>
      </w:r>
      <w:r w:rsidR="4EE650D3" w:rsidRPr="00BB6220">
        <w:rPr>
          <w:lang w:eastAsia="en-NZ"/>
        </w:rPr>
        <w:t>rights</w:t>
      </w:r>
      <w:r w:rsidR="003D640C">
        <w:rPr>
          <w:lang w:eastAsia="en-NZ"/>
        </w:rPr>
        <w:t xml:space="preserve"> </w:t>
      </w:r>
      <w:r w:rsidR="4EE650D3" w:rsidRPr="00BB6220">
        <w:rPr>
          <w:lang w:eastAsia="en-NZ"/>
        </w:rPr>
        <w:t>and</w:t>
      </w:r>
      <w:r w:rsidR="003D640C">
        <w:rPr>
          <w:lang w:eastAsia="en-NZ"/>
        </w:rPr>
        <w:t xml:space="preserve"> </w:t>
      </w:r>
      <w:r w:rsidR="4EE650D3" w:rsidRPr="00BB6220">
        <w:rPr>
          <w:lang w:eastAsia="en-NZ"/>
        </w:rPr>
        <w:t>freedoms</w:t>
      </w:r>
      <w:r w:rsidR="003D640C">
        <w:rPr>
          <w:lang w:eastAsia="en-NZ"/>
        </w:rPr>
        <w:t xml:space="preserve"> </w:t>
      </w:r>
      <w:r w:rsidR="4EE650D3" w:rsidRPr="00BB6220">
        <w:rPr>
          <w:lang w:eastAsia="en-NZ"/>
        </w:rPr>
        <w:t>of</w:t>
      </w:r>
      <w:r w:rsidR="003D640C">
        <w:rPr>
          <w:lang w:eastAsia="en-NZ"/>
        </w:rPr>
        <w:t xml:space="preserve"> </w:t>
      </w:r>
      <w:r w:rsidR="4EE650D3" w:rsidRPr="00BB6220">
        <w:rPr>
          <w:lang w:eastAsia="en-NZ"/>
        </w:rPr>
        <w:t>others.</w:t>
      </w:r>
      <w:r w:rsidR="003D640C">
        <w:t xml:space="preserve"> </w:t>
      </w:r>
      <w:r w:rsidR="00FE1791" w:rsidRPr="00FE1791">
        <w:t>The</w:t>
      </w:r>
      <w:r w:rsidR="003D640C">
        <w:t xml:space="preserve"> </w:t>
      </w:r>
      <w:r w:rsidR="00FE1791" w:rsidRPr="00FE1791">
        <w:t>limits</w:t>
      </w:r>
      <w:r w:rsidR="003D640C">
        <w:t xml:space="preserve"> </w:t>
      </w:r>
      <w:r w:rsidR="00FE1791" w:rsidRPr="00FE1791">
        <w:t>put</w:t>
      </w:r>
      <w:r w:rsidR="003D640C">
        <w:t xml:space="preserve"> </w:t>
      </w:r>
      <w:r w:rsidR="00FE1791" w:rsidRPr="00FE1791">
        <w:t>in</w:t>
      </w:r>
      <w:r w:rsidR="003D640C">
        <w:t xml:space="preserve"> </w:t>
      </w:r>
      <w:r w:rsidR="00FE1791" w:rsidRPr="00FE1791">
        <w:t>place</w:t>
      </w:r>
      <w:r w:rsidR="003D640C">
        <w:t xml:space="preserve"> </w:t>
      </w:r>
      <w:r w:rsidR="00FE1791" w:rsidRPr="00FE1791">
        <w:t>by</w:t>
      </w:r>
      <w:r w:rsidR="003D640C">
        <w:t xml:space="preserve"> </w:t>
      </w:r>
      <w:r w:rsidR="00FE1791" w:rsidRPr="00FE1791">
        <w:t>the</w:t>
      </w:r>
      <w:r w:rsidR="003D640C">
        <w:t xml:space="preserve"> </w:t>
      </w:r>
      <w:r w:rsidR="00FE1791" w:rsidRPr="00FE1791">
        <w:t>CPPLA</w:t>
      </w:r>
      <w:r w:rsidR="003D640C">
        <w:t xml:space="preserve"> </w:t>
      </w:r>
      <w:r w:rsidR="00FE1791" w:rsidRPr="00FE1791">
        <w:t>do</w:t>
      </w:r>
      <w:r w:rsidR="003D640C">
        <w:t xml:space="preserve"> </w:t>
      </w:r>
      <w:r w:rsidR="00FE1791" w:rsidRPr="00FE1791">
        <w:t>not</w:t>
      </w:r>
      <w:r w:rsidR="003D640C">
        <w:t xml:space="preserve"> </w:t>
      </w:r>
      <w:r w:rsidR="00FE1791" w:rsidRPr="00FE1791">
        <w:t>prevent</w:t>
      </w:r>
      <w:r w:rsidR="003D640C">
        <w:t xml:space="preserve"> </w:t>
      </w:r>
      <w:r w:rsidR="00FE1791" w:rsidRPr="00FE1791">
        <w:t>all</w:t>
      </w:r>
      <w:r w:rsidR="003D640C">
        <w:t xml:space="preserve"> </w:t>
      </w:r>
      <w:r w:rsidR="00FE1791" w:rsidRPr="00FE1791">
        <w:t>harm</w:t>
      </w:r>
      <w:r w:rsidR="003D640C">
        <w:t xml:space="preserve"> </w:t>
      </w:r>
      <w:r w:rsidR="00FE1791" w:rsidRPr="00FE1791">
        <w:t>experienced</w:t>
      </w:r>
      <w:r w:rsidR="003D640C">
        <w:t xml:space="preserve"> </w:t>
      </w:r>
      <w:r w:rsidR="00FE1791" w:rsidRPr="00FE1791">
        <w:t>by</w:t>
      </w:r>
      <w:r w:rsidR="003D640C">
        <w:t xml:space="preserve"> </w:t>
      </w:r>
      <w:r w:rsidR="00FE1791" w:rsidRPr="00FE1791">
        <w:t>Rainbow</w:t>
      </w:r>
      <w:r w:rsidR="003D640C">
        <w:t xml:space="preserve"> </w:t>
      </w:r>
      <w:r w:rsidR="00FE1791" w:rsidRPr="00FE1791">
        <w:t>people</w:t>
      </w:r>
      <w:r w:rsidR="003D640C">
        <w:t xml:space="preserve"> </w:t>
      </w:r>
      <w:r w:rsidR="00FE1791" w:rsidRPr="00FE1791">
        <w:t>caused</w:t>
      </w:r>
      <w:r w:rsidR="003D640C">
        <w:t xml:space="preserve"> </w:t>
      </w:r>
      <w:r w:rsidR="00FE1791" w:rsidRPr="00FE1791">
        <w:t>by</w:t>
      </w:r>
      <w:r w:rsidR="003D640C">
        <w:t xml:space="preserve"> </w:t>
      </w:r>
      <w:r w:rsidR="00FE1791" w:rsidRPr="00FE1791">
        <w:t>religious</w:t>
      </w:r>
      <w:r w:rsidR="003D640C">
        <w:t xml:space="preserve"> </w:t>
      </w:r>
      <w:r w:rsidR="00FE1791" w:rsidRPr="00FE1791">
        <w:t>or</w:t>
      </w:r>
      <w:r w:rsidR="003D640C">
        <w:t xml:space="preserve"> </w:t>
      </w:r>
      <w:r w:rsidR="00FE1791" w:rsidRPr="00FE1791">
        <w:t>belief</w:t>
      </w:r>
      <w:r w:rsidR="003D640C">
        <w:t xml:space="preserve"> </w:t>
      </w:r>
      <w:r w:rsidR="00FE1791" w:rsidRPr="00FE1791">
        <w:t>practices</w:t>
      </w:r>
      <w:r w:rsidR="003D640C">
        <w:t xml:space="preserve"> </w:t>
      </w:r>
      <w:r w:rsidR="00FE1791" w:rsidRPr="00FE1791">
        <w:t>but</w:t>
      </w:r>
      <w:r w:rsidR="003D640C">
        <w:t xml:space="preserve"> </w:t>
      </w:r>
      <w:r w:rsidR="00FE1791" w:rsidRPr="00FE1791">
        <w:t>instead</w:t>
      </w:r>
      <w:r w:rsidR="003D640C">
        <w:t xml:space="preserve"> </w:t>
      </w:r>
      <w:r w:rsidR="00FE1791" w:rsidRPr="00FE1791">
        <w:t>focus</w:t>
      </w:r>
      <w:r w:rsidR="003D640C">
        <w:t xml:space="preserve"> </w:t>
      </w:r>
      <w:r w:rsidR="00FE1791" w:rsidRPr="00FE1791">
        <w:t>on</w:t>
      </w:r>
      <w:r w:rsidR="003D640C">
        <w:t xml:space="preserve"> </w:t>
      </w:r>
      <w:r w:rsidR="00FE1791" w:rsidRPr="00FE1791">
        <w:t>actions</w:t>
      </w:r>
      <w:r w:rsidR="003D640C">
        <w:t xml:space="preserve"> </w:t>
      </w:r>
      <w:r w:rsidR="00FE1791" w:rsidRPr="00FE1791">
        <w:t>directed</w:t>
      </w:r>
      <w:r w:rsidR="003D640C">
        <w:t xml:space="preserve"> </w:t>
      </w:r>
      <w:r w:rsidR="00FE1791" w:rsidRPr="00FE1791">
        <w:t>at</w:t>
      </w:r>
      <w:r w:rsidR="003D640C">
        <w:t xml:space="preserve"> </w:t>
      </w:r>
      <w:r w:rsidR="00FE1791" w:rsidRPr="00FE1791">
        <w:t>Rainbow</w:t>
      </w:r>
      <w:r w:rsidR="003D640C">
        <w:t xml:space="preserve"> </w:t>
      </w:r>
      <w:r w:rsidR="00FE1791" w:rsidRPr="00FE1791">
        <w:t>individuals</w:t>
      </w:r>
      <w:r w:rsidR="003D640C">
        <w:t xml:space="preserve"> </w:t>
      </w:r>
      <w:r w:rsidR="00FE1791" w:rsidRPr="00FE1791">
        <w:t>with</w:t>
      </w:r>
      <w:r w:rsidR="003D640C">
        <w:t xml:space="preserve"> </w:t>
      </w:r>
      <w:r w:rsidR="00FE1791" w:rsidRPr="00FE1791">
        <w:t>the</w:t>
      </w:r>
      <w:r w:rsidR="003D640C">
        <w:t xml:space="preserve"> </w:t>
      </w:r>
      <w:r w:rsidR="00FE1791" w:rsidRPr="00FE1791">
        <w:t>intention</w:t>
      </w:r>
      <w:r w:rsidR="003D640C">
        <w:t xml:space="preserve"> </w:t>
      </w:r>
      <w:r w:rsidR="00FE1791" w:rsidRPr="00FE1791">
        <w:t>of</w:t>
      </w:r>
      <w:r w:rsidR="003D640C">
        <w:t xml:space="preserve"> </w:t>
      </w:r>
      <w:r w:rsidR="00FE1791" w:rsidRPr="00FE1791">
        <w:t>changing</w:t>
      </w:r>
      <w:r w:rsidR="003D640C">
        <w:t xml:space="preserve"> </w:t>
      </w:r>
      <w:r w:rsidR="00FE1791" w:rsidRPr="00FE1791">
        <w:t>or</w:t>
      </w:r>
      <w:r w:rsidR="003D640C">
        <w:t xml:space="preserve"> </w:t>
      </w:r>
      <w:r w:rsidR="00FE1791" w:rsidRPr="00FE1791">
        <w:t>suppressing</w:t>
      </w:r>
      <w:r w:rsidR="003D640C">
        <w:t xml:space="preserve"> </w:t>
      </w:r>
      <w:r w:rsidR="00FE1791" w:rsidRPr="00FE1791">
        <w:t>their</w:t>
      </w:r>
      <w:r w:rsidR="003D640C">
        <w:t xml:space="preserve"> </w:t>
      </w:r>
      <w:r w:rsidR="00FE1791" w:rsidRPr="00FE1791">
        <w:t>Rainbow</w:t>
      </w:r>
      <w:r w:rsidR="003D640C">
        <w:t xml:space="preserve"> </w:t>
      </w:r>
      <w:r w:rsidR="00FE1791" w:rsidRPr="00FE1791">
        <w:t>identity.</w:t>
      </w:r>
      <w:r w:rsidR="003D640C">
        <w:t xml:space="preserve"> </w:t>
      </w:r>
    </w:p>
    <w:p w14:paraId="42A1B964" w14:textId="43A5E5EC" w:rsidR="001C3549" w:rsidRPr="00BB6220" w:rsidRDefault="00491C35" w:rsidP="00B2336B">
      <w:pPr>
        <w:pStyle w:val="Heading2"/>
      </w:pPr>
      <w:bookmarkStart w:id="124" w:name="_Toc138325165"/>
      <w:bookmarkStart w:id="125" w:name="_Toc138343802"/>
      <w:bookmarkStart w:id="126" w:name="_Toc167780591"/>
      <w:bookmarkStart w:id="127" w:name="_Toc1459693539"/>
      <w:bookmarkStart w:id="128" w:name="_Toc174628649"/>
      <w:r>
        <w:t>The</w:t>
      </w:r>
      <w:r w:rsidR="003D640C">
        <w:t xml:space="preserve"> </w:t>
      </w:r>
      <w:r w:rsidR="001C3549" w:rsidRPr="00BB6220">
        <w:t>C</w:t>
      </w:r>
      <w:r w:rsidR="00B9377D" w:rsidRPr="00BB6220">
        <w:t>ommission</w:t>
      </w:r>
      <w:r>
        <w:t>’s</w:t>
      </w:r>
      <w:r w:rsidR="003D640C">
        <w:t xml:space="preserve"> </w:t>
      </w:r>
      <w:r w:rsidR="00B9377D" w:rsidRPr="00BB6220">
        <w:t>civil</w:t>
      </w:r>
      <w:r w:rsidR="003D640C">
        <w:t xml:space="preserve"> </w:t>
      </w:r>
      <w:r w:rsidR="00B9377D" w:rsidRPr="00BB6220">
        <w:t>redress</w:t>
      </w:r>
      <w:r w:rsidR="003D640C">
        <w:t xml:space="preserve"> </w:t>
      </w:r>
      <w:r w:rsidR="00B9377D" w:rsidRPr="00BB6220">
        <w:t>role</w:t>
      </w:r>
      <w:bookmarkEnd w:id="124"/>
      <w:bookmarkEnd w:id="125"/>
      <w:bookmarkEnd w:id="126"/>
      <w:bookmarkEnd w:id="127"/>
      <w:bookmarkEnd w:id="128"/>
      <w:r w:rsidR="003D640C">
        <w:t xml:space="preserve"> </w:t>
      </w:r>
    </w:p>
    <w:p w14:paraId="7C91D357" w14:textId="04195F2B" w:rsidR="00501068" w:rsidRDefault="005A6B7A" w:rsidP="00B2336B">
      <w:pPr>
        <w:rPr>
          <w:lang w:eastAsia="en-NZ"/>
        </w:rPr>
      </w:pPr>
      <w:r w:rsidRPr="00BB6220">
        <w:rPr>
          <w:lang w:eastAsia="en-NZ"/>
        </w:rPr>
        <w:t>Where</w:t>
      </w:r>
      <w:r w:rsidR="003D640C">
        <w:rPr>
          <w:lang w:eastAsia="en-NZ"/>
        </w:rPr>
        <w:t xml:space="preserve"> </w:t>
      </w:r>
      <w:r w:rsidRPr="00BB6220">
        <w:rPr>
          <w:lang w:eastAsia="en-NZ"/>
        </w:rPr>
        <w:t>the</w:t>
      </w:r>
      <w:r w:rsidR="003D640C">
        <w:rPr>
          <w:lang w:eastAsia="en-NZ"/>
        </w:rPr>
        <w:t xml:space="preserve"> </w:t>
      </w:r>
      <w:r w:rsidRPr="00BB6220">
        <w:rPr>
          <w:lang w:eastAsia="en-NZ"/>
        </w:rPr>
        <w:t>balancing</w:t>
      </w:r>
      <w:r w:rsidR="003D640C">
        <w:rPr>
          <w:lang w:eastAsia="en-NZ"/>
        </w:rPr>
        <w:t xml:space="preserve"> </w:t>
      </w:r>
      <w:r w:rsidRPr="00BB6220">
        <w:rPr>
          <w:lang w:eastAsia="en-NZ"/>
        </w:rPr>
        <w:t>of</w:t>
      </w:r>
      <w:r w:rsidR="003D640C">
        <w:rPr>
          <w:lang w:eastAsia="en-NZ"/>
        </w:rPr>
        <w:t xml:space="preserve"> </w:t>
      </w:r>
      <w:r w:rsidRPr="00BB6220">
        <w:rPr>
          <w:lang w:eastAsia="en-NZ"/>
        </w:rPr>
        <w:t>rig</w:t>
      </w:r>
      <w:r w:rsidR="00C4099C" w:rsidRPr="00BB6220">
        <w:rPr>
          <w:lang w:eastAsia="en-NZ"/>
        </w:rPr>
        <w:t>hts</w:t>
      </w:r>
      <w:r w:rsidR="003D640C">
        <w:rPr>
          <w:lang w:eastAsia="en-NZ"/>
        </w:rPr>
        <w:t xml:space="preserve"> </w:t>
      </w:r>
      <w:r w:rsidR="00C4099C" w:rsidRPr="00BB6220">
        <w:rPr>
          <w:lang w:eastAsia="en-NZ"/>
        </w:rPr>
        <w:t>is</w:t>
      </w:r>
      <w:r w:rsidR="003D640C">
        <w:rPr>
          <w:lang w:eastAsia="en-NZ"/>
        </w:rPr>
        <w:t xml:space="preserve"> </w:t>
      </w:r>
      <w:r w:rsidR="00C4099C" w:rsidRPr="00BB6220">
        <w:rPr>
          <w:lang w:eastAsia="en-NZ"/>
        </w:rPr>
        <w:t>in</w:t>
      </w:r>
      <w:r w:rsidR="003D640C">
        <w:rPr>
          <w:lang w:eastAsia="en-NZ"/>
        </w:rPr>
        <w:t xml:space="preserve"> </w:t>
      </w:r>
      <w:r w:rsidR="00C4099C" w:rsidRPr="00BB6220">
        <w:rPr>
          <w:lang w:eastAsia="en-NZ"/>
        </w:rPr>
        <w:t>question</w:t>
      </w:r>
      <w:r w:rsidR="003D640C">
        <w:rPr>
          <w:lang w:eastAsia="en-NZ"/>
        </w:rPr>
        <w:t xml:space="preserve"> </w:t>
      </w:r>
      <w:r w:rsidR="00C4099C" w:rsidRPr="00BB6220">
        <w:rPr>
          <w:lang w:eastAsia="en-NZ"/>
        </w:rPr>
        <w:t>or</w:t>
      </w:r>
      <w:r w:rsidR="003D640C">
        <w:rPr>
          <w:lang w:eastAsia="en-NZ"/>
        </w:rPr>
        <w:t xml:space="preserve"> </w:t>
      </w:r>
      <w:r w:rsidR="00C4099C" w:rsidRPr="00BB6220">
        <w:rPr>
          <w:lang w:eastAsia="en-NZ"/>
        </w:rPr>
        <w:t>if</w:t>
      </w:r>
      <w:r w:rsidR="003D640C">
        <w:rPr>
          <w:lang w:eastAsia="en-NZ"/>
        </w:rPr>
        <w:t xml:space="preserve"> </w:t>
      </w:r>
      <w:r w:rsidR="00C4099C" w:rsidRPr="00BB6220">
        <w:rPr>
          <w:lang w:eastAsia="en-NZ"/>
        </w:rPr>
        <w:t>conversion</w:t>
      </w:r>
      <w:r w:rsidR="003D640C">
        <w:rPr>
          <w:lang w:eastAsia="en-NZ"/>
        </w:rPr>
        <w:t xml:space="preserve"> </w:t>
      </w:r>
      <w:r w:rsidR="00C4099C" w:rsidRPr="00BB6220">
        <w:rPr>
          <w:lang w:eastAsia="en-NZ"/>
        </w:rPr>
        <w:t>practice</w:t>
      </w:r>
      <w:r w:rsidR="00EF6AB2" w:rsidRPr="00BB6220">
        <w:rPr>
          <w:lang w:eastAsia="en-NZ"/>
        </w:rPr>
        <w:t>s</w:t>
      </w:r>
      <w:r w:rsidR="003D640C">
        <w:rPr>
          <w:lang w:eastAsia="en-NZ"/>
        </w:rPr>
        <w:t xml:space="preserve"> </w:t>
      </w:r>
      <w:r w:rsidR="00EF6AB2" w:rsidRPr="00BB6220">
        <w:rPr>
          <w:lang w:eastAsia="en-NZ"/>
        </w:rPr>
        <w:t>may</w:t>
      </w:r>
      <w:r w:rsidR="003D640C">
        <w:rPr>
          <w:lang w:eastAsia="en-NZ"/>
        </w:rPr>
        <w:t xml:space="preserve"> </w:t>
      </w:r>
      <w:r w:rsidR="00EF6AB2" w:rsidRPr="00BB6220">
        <w:rPr>
          <w:lang w:eastAsia="en-NZ"/>
        </w:rPr>
        <w:t>be</w:t>
      </w:r>
      <w:r w:rsidR="003D640C">
        <w:rPr>
          <w:lang w:eastAsia="en-NZ"/>
        </w:rPr>
        <w:t xml:space="preserve"> </w:t>
      </w:r>
      <w:r w:rsidR="00EF6AB2" w:rsidRPr="00BB6220">
        <w:rPr>
          <w:lang w:eastAsia="en-NZ"/>
        </w:rPr>
        <w:t>happening,</w:t>
      </w:r>
      <w:r w:rsidR="003D640C">
        <w:rPr>
          <w:lang w:eastAsia="en-NZ"/>
        </w:rPr>
        <w:t xml:space="preserve"> </w:t>
      </w:r>
      <w:r w:rsidR="00EF6AB2" w:rsidRPr="00BB6220">
        <w:rPr>
          <w:lang w:eastAsia="en-NZ"/>
        </w:rPr>
        <w:t>the</w:t>
      </w:r>
      <w:r w:rsidR="003D640C">
        <w:rPr>
          <w:lang w:eastAsia="en-NZ"/>
        </w:rPr>
        <w:t xml:space="preserve"> </w:t>
      </w:r>
      <w:r w:rsidR="00EF6AB2" w:rsidRPr="00BB6220">
        <w:rPr>
          <w:lang w:eastAsia="en-NZ"/>
        </w:rPr>
        <w:t>Commission</w:t>
      </w:r>
      <w:r w:rsidR="003D640C">
        <w:rPr>
          <w:lang w:eastAsia="en-NZ"/>
        </w:rPr>
        <w:t xml:space="preserve"> </w:t>
      </w:r>
      <w:r w:rsidR="00EF6AB2" w:rsidRPr="00BB6220">
        <w:rPr>
          <w:lang w:eastAsia="en-NZ"/>
        </w:rPr>
        <w:t>can</w:t>
      </w:r>
      <w:r w:rsidR="003D640C">
        <w:rPr>
          <w:lang w:eastAsia="en-NZ"/>
        </w:rPr>
        <w:t xml:space="preserve"> </w:t>
      </w:r>
      <w:r w:rsidR="00F90C6F">
        <w:rPr>
          <w:lang w:eastAsia="en-NZ"/>
        </w:rPr>
        <w:t>assist</w:t>
      </w:r>
      <w:r w:rsidR="003C3499">
        <w:rPr>
          <w:lang w:eastAsia="en-NZ"/>
        </w:rPr>
        <w:t>.</w:t>
      </w:r>
      <w:r w:rsidR="003D640C">
        <w:rPr>
          <w:lang w:eastAsia="en-NZ"/>
        </w:rPr>
        <w:t xml:space="preserve"> </w:t>
      </w:r>
      <w:r w:rsidR="003C3499">
        <w:rPr>
          <w:lang w:eastAsia="en-NZ"/>
        </w:rPr>
        <w:t>We</w:t>
      </w:r>
      <w:r w:rsidR="003D640C">
        <w:rPr>
          <w:lang w:eastAsia="en-NZ"/>
        </w:rPr>
        <w:t xml:space="preserve"> </w:t>
      </w:r>
      <w:r w:rsidR="003C3499">
        <w:rPr>
          <w:lang w:eastAsia="en-NZ"/>
        </w:rPr>
        <w:t>can</w:t>
      </w:r>
      <w:r w:rsidR="003D640C">
        <w:rPr>
          <w:lang w:eastAsia="en-NZ"/>
        </w:rPr>
        <w:t xml:space="preserve"> </w:t>
      </w:r>
      <w:r w:rsidR="003C3499">
        <w:rPr>
          <w:lang w:eastAsia="en-NZ"/>
        </w:rPr>
        <w:t>answer</w:t>
      </w:r>
      <w:r w:rsidR="003D640C">
        <w:rPr>
          <w:lang w:eastAsia="en-NZ"/>
        </w:rPr>
        <w:t xml:space="preserve"> </w:t>
      </w:r>
      <w:r w:rsidR="003C3499">
        <w:rPr>
          <w:lang w:eastAsia="en-NZ"/>
        </w:rPr>
        <w:t>questions,</w:t>
      </w:r>
      <w:r w:rsidR="003D640C">
        <w:rPr>
          <w:lang w:eastAsia="en-NZ"/>
        </w:rPr>
        <w:t xml:space="preserve"> </w:t>
      </w:r>
      <w:r w:rsidR="003C3499">
        <w:rPr>
          <w:lang w:eastAsia="en-NZ"/>
        </w:rPr>
        <w:t>provide</w:t>
      </w:r>
      <w:r w:rsidR="003D640C">
        <w:rPr>
          <w:lang w:eastAsia="en-NZ"/>
        </w:rPr>
        <w:t xml:space="preserve"> </w:t>
      </w:r>
      <w:r w:rsidR="003C3499">
        <w:rPr>
          <w:lang w:eastAsia="en-NZ"/>
        </w:rPr>
        <w:t>information,</w:t>
      </w:r>
      <w:r w:rsidR="003D640C">
        <w:rPr>
          <w:lang w:eastAsia="en-NZ"/>
        </w:rPr>
        <w:t xml:space="preserve"> </w:t>
      </w:r>
      <w:r w:rsidR="003C3499">
        <w:rPr>
          <w:lang w:eastAsia="en-NZ"/>
        </w:rPr>
        <w:t>and</w:t>
      </w:r>
      <w:r w:rsidR="003D640C">
        <w:rPr>
          <w:lang w:eastAsia="en-NZ"/>
        </w:rPr>
        <w:t xml:space="preserve"> </w:t>
      </w:r>
      <w:r w:rsidR="003C3499">
        <w:rPr>
          <w:lang w:eastAsia="en-NZ"/>
        </w:rPr>
        <w:t>refer</w:t>
      </w:r>
      <w:r w:rsidR="003D640C">
        <w:rPr>
          <w:lang w:eastAsia="en-NZ"/>
        </w:rPr>
        <w:t xml:space="preserve"> </w:t>
      </w:r>
      <w:r w:rsidR="00443377">
        <w:rPr>
          <w:lang w:eastAsia="en-NZ"/>
        </w:rPr>
        <w:t>people</w:t>
      </w:r>
      <w:r w:rsidR="003D640C">
        <w:rPr>
          <w:lang w:eastAsia="en-NZ"/>
        </w:rPr>
        <w:t xml:space="preserve"> </w:t>
      </w:r>
      <w:r w:rsidR="003C3499">
        <w:rPr>
          <w:lang w:eastAsia="en-NZ"/>
        </w:rPr>
        <w:t>to</w:t>
      </w:r>
      <w:r w:rsidR="003D640C">
        <w:rPr>
          <w:lang w:eastAsia="en-NZ"/>
        </w:rPr>
        <w:t xml:space="preserve"> </w:t>
      </w:r>
      <w:r w:rsidR="003C3499">
        <w:rPr>
          <w:lang w:eastAsia="en-NZ"/>
        </w:rPr>
        <w:t>a</w:t>
      </w:r>
      <w:r w:rsidR="003D640C">
        <w:rPr>
          <w:lang w:eastAsia="en-NZ"/>
        </w:rPr>
        <w:t xml:space="preserve"> </w:t>
      </w:r>
      <w:r w:rsidR="003C3499">
        <w:rPr>
          <w:lang w:eastAsia="en-NZ"/>
        </w:rPr>
        <w:t>variety</w:t>
      </w:r>
      <w:r w:rsidR="003D640C">
        <w:rPr>
          <w:lang w:eastAsia="en-NZ"/>
        </w:rPr>
        <w:t xml:space="preserve"> </w:t>
      </w:r>
      <w:r w:rsidR="003C3499">
        <w:rPr>
          <w:lang w:eastAsia="en-NZ"/>
        </w:rPr>
        <w:t>of</w:t>
      </w:r>
      <w:r w:rsidR="003D640C">
        <w:rPr>
          <w:lang w:eastAsia="en-NZ"/>
        </w:rPr>
        <w:t xml:space="preserve"> </w:t>
      </w:r>
      <w:r w:rsidR="003C3499">
        <w:rPr>
          <w:lang w:eastAsia="en-NZ"/>
        </w:rPr>
        <w:t>support</w:t>
      </w:r>
      <w:r w:rsidR="003D640C">
        <w:rPr>
          <w:lang w:eastAsia="en-NZ"/>
        </w:rPr>
        <w:t xml:space="preserve"> </w:t>
      </w:r>
      <w:r w:rsidR="003C3499">
        <w:rPr>
          <w:lang w:eastAsia="en-NZ"/>
        </w:rPr>
        <w:t>resources</w:t>
      </w:r>
      <w:r w:rsidR="003D640C">
        <w:rPr>
          <w:lang w:eastAsia="en-NZ"/>
        </w:rPr>
        <w:t xml:space="preserve"> </w:t>
      </w:r>
      <w:r w:rsidR="003C3499">
        <w:rPr>
          <w:lang w:eastAsia="en-NZ"/>
        </w:rPr>
        <w:t>and</w:t>
      </w:r>
      <w:r w:rsidR="003D640C">
        <w:rPr>
          <w:lang w:eastAsia="en-NZ"/>
        </w:rPr>
        <w:t xml:space="preserve"> </w:t>
      </w:r>
      <w:r w:rsidR="003C3499">
        <w:rPr>
          <w:lang w:eastAsia="en-NZ"/>
        </w:rPr>
        <w:t>agencies</w:t>
      </w:r>
      <w:r w:rsidR="00633499" w:rsidRPr="00BB6220">
        <w:rPr>
          <w:lang w:eastAsia="en-NZ"/>
        </w:rPr>
        <w:t>.</w:t>
      </w:r>
      <w:r w:rsidR="003D640C">
        <w:rPr>
          <w:lang w:eastAsia="en-NZ"/>
        </w:rPr>
        <w:t xml:space="preserve"> </w:t>
      </w:r>
      <w:r w:rsidR="007106AA">
        <w:rPr>
          <w:lang w:eastAsia="en-NZ"/>
        </w:rPr>
        <w:t>In</w:t>
      </w:r>
      <w:r w:rsidR="003D640C">
        <w:rPr>
          <w:lang w:eastAsia="en-NZ"/>
        </w:rPr>
        <w:t xml:space="preserve"> </w:t>
      </w:r>
      <w:r w:rsidR="007106AA">
        <w:rPr>
          <w:lang w:eastAsia="en-NZ"/>
        </w:rPr>
        <w:t>some</w:t>
      </w:r>
      <w:r w:rsidR="003D640C">
        <w:rPr>
          <w:lang w:eastAsia="en-NZ"/>
        </w:rPr>
        <w:t xml:space="preserve"> </w:t>
      </w:r>
      <w:r w:rsidR="007106AA">
        <w:rPr>
          <w:lang w:eastAsia="en-NZ"/>
        </w:rPr>
        <w:t>cases,</w:t>
      </w:r>
      <w:r w:rsidR="003D640C">
        <w:rPr>
          <w:lang w:eastAsia="en-NZ"/>
        </w:rPr>
        <w:t xml:space="preserve"> </w:t>
      </w:r>
      <w:r w:rsidR="007106AA">
        <w:rPr>
          <w:lang w:eastAsia="en-NZ"/>
        </w:rPr>
        <w:t>we</w:t>
      </w:r>
      <w:r w:rsidR="003D640C">
        <w:rPr>
          <w:lang w:eastAsia="en-NZ"/>
        </w:rPr>
        <w:t xml:space="preserve"> </w:t>
      </w:r>
      <w:r w:rsidR="007106AA">
        <w:rPr>
          <w:lang w:eastAsia="en-NZ"/>
        </w:rPr>
        <w:t>can</w:t>
      </w:r>
      <w:r w:rsidR="003D640C">
        <w:rPr>
          <w:lang w:eastAsia="en-NZ"/>
        </w:rPr>
        <w:t xml:space="preserve"> </w:t>
      </w:r>
      <w:r w:rsidR="007106AA">
        <w:rPr>
          <w:lang w:eastAsia="en-NZ"/>
        </w:rPr>
        <w:t>offer</w:t>
      </w:r>
      <w:r w:rsidR="003D640C">
        <w:rPr>
          <w:lang w:eastAsia="en-NZ"/>
        </w:rPr>
        <w:t xml:space="preserve"> </w:t>
      </w:r>
      <w:r w:rsidR="007106AA">
        <w:rPr>
          <w:lang w:eastAsia="en-NZ"/>
        </w:rPr>
        <w:t>a</w:t>
      </w:r>
      <w:r w:rsidR="003D640C">
        <w:rPr>
          <w:lang w:eastAsia="en-NZ"/>
        </w:rPr>
        <w:t xml:space="preserve"> </w:t>
      </w:r>
      <w:r w:rsidR="007106AA">
        <w:rPr>
          <w:lang w:eastAsia="en-NZ"/>
        </w:rPr>
        <w:t>dispute</w:t>
      </w:r>
      <w:r w:rsidR="003D640C">
        <w:rPr>
          <w:lang w:eastAsia="en-NZ"/>
        </w:rPr>
        <w:t xml:space="preserve"> </w:t>
      </w:r>
      <w:r w:rsidR="007106AA">
        <w:rPr>
          <w:lang w:eastAsia="en-NZ"/>
        </w:rPr>
        <w:t>resolution</w:t>
      </w:r>
      <w:r w:rsidR="003D640C">
        <w:rPr>
          <w:lang w:eastAsia="en-NZ"/>
        </w:rPr>
        <w:t xml:space="preserve"> </w:t>
      </w:r>
      <w:r w:rsidR="007106AA">
        <w:rPr>
          <w:lang w:eastAsia="en-NZ"/>
        </w:rPr>
        <w:t>process</w:t>
      </w:r>
      <w:r w:rsidR="003D640C">
        <w:rPr>
          <w:lang w:eastAsia="en-NZ"/>
        </w:rPr>
        <w:t xml:space="preserve"> </w:t>
      </w:r>
      <w:r w:rsidR="007106AA">
        <w:rPr>
          <w:lang w:eastAsia="en-NZ"/>
        </w:rPr>
        <w:t>for</w:t>
      </w:r>
      <w:r w:rsidR="003D640C">
        <w:rPr>
          <w:lang w:eastAsia="en-NZ"/>
        </w:rPr>
        <w:t xml:space="preserve"> </w:t>
      </w:r>
      <w:r w:rsidR="007106AA">
        <w:rPr>
          <w:lang w:eastAsia="en-NZ"/>
        </w:rPr>
        <w:t>complaints</w:t>
      </w:r>
      <w:r w:rsidR="003D640C">
        <w:rPr>
          <w:lang w:eastAsia="en-NZ"/>
        </w:rPr>
        <w:t xml:space="preserve"> </w:t>
      </w:r>
      <w:r w:rsidR="007106AA">
        <w:rPr>
          <w:lang w:eastAsia="en-NZ"/>
        </w:rPr>
        <w:t>covered</w:t>
      </w:r>
      <w:r w:rsidR="003D640C">
        <w:rPr>
          <w:lang w:eastAsia="en-NZ"/>
        </w:rPr>
        <w:t xml:space="preserve"> </w:t>
      </w:r>
      <w:r w:rsidR="007106AA">
        <w:rPr>
          <w:lang w:eastAsia="en-NZ"/>
        </w:rPr>
        <w:t>by</w:t>
      </w:r>
      <w:r w:rsidR="003D640C">
        <w:rPr>
          <w:lang w:eastAsia="en-NZ"/>
        </w:rPr>
        <w:t xml:space="preserve"> </w:t>
      </w:r>
      <w:r w:rsidR="007106AA">
        <w:rPr>
          <w:lang w:eastAsia="en-NZ"/>
        </w:rPr>
        <w:t>the</w:t>
      </w:r>
      <w:r w:rsidR="003D640C">
        <w:rPr>
          <w:lang w:eastAsia="en-NZ"/>
        </w:rPr>
        <w:t xml:space="preserve"> </w:t>
      </w:r>
      <w:r w:rsidR="007106AA">
        <w:rPr>
          <w:lang w:eastAsia="en-NZ"/>
        </w:rPr>
        <w:t>Human</w:t>
      </w:r>
      <w:r w:rsidR="003D640C">
        <w:rPr>
          <w:lang w:eastAsia="en-NZ"/>
        </w:rPr>
        <w:t xml:space="preserve"> </w:t>
      </w:r>
      <w:r w:rsidR="007106AA">
        <w:rPr>
          <w:lang w:eastAsia="en-NZ"/>
        </w:rPr>
        <w:t>Rights</w:t>
      </w:r>
      <w:r w:rsidR="003D640C">
        <w:rPr>
          <w:lang w:eastAsia="en-NZ"/>
        </w:rPr>
        <w:t xml:space="preserve"> </w:t>
      </w:r>
      <w:r w:rsidR="007106AA">
        <w:rPr>
          <w:lang w:eastAsia="en-NZ"/>
        </w:rPr>
        <w:t>Act.</w:t>
      </w:r>
      <w:r w:rsidR="003D640C">
        <w:rPr>
          <w:lang w:eastAsia="en-NZ"/>
        </w:rPr>
        <w:t xml:space="preserve"> </w:t>
      </w:r>
      <w:r w:rsidR="00DE4546" w:rsidRPr="00BB6220">
        <w:rPr>
          <w:lang w:eastAsia="en-NZ"/>
        </w:rPr>
        <w:t>The</w:t>
      </w:r>
      <w:r w:rsidR="003D640C">
        <w:rPr>
          <w:lang w:eastAsia="en-NZ"/>
        </w:rPr>
        <w:t xml:space="preserve"> </w:t>
      </w:r>
      <w:r w:rsidR="00DE4546" w:rsidRPr="00BB6220">
        <w:rPr>
          <w:lang w:eastAsia="en-NZ"/>
        </w:rPr>
        <w:t>Commission’s</w:t>
      </w:r>
      <w:r w:rsidR="003D640C">
        <w:rPr>
          <w:lang w:eastAsia="en-NZ"/>
        </w:rPr>
        <w:t xml:space="preserve"> </w:t>
      </w:r>
      <w:r w:rsidR="007106AA">
        <w:rPr>
          <w:lang w:eastAsia="en-NZ"/>
        </w:rPr>
        <w:t>service</w:t>
      </w:r>
      <w:r w:rsidR="003D640C">
        <w:rPr>
          <w:lang w:eastAsia="en-NZ"/>
        </w:rPr>
        <w:t xml:space="preserve"> </w:t>
      </w:r>
      <w:r w:rsidR="00633499" w:rsidRPr="00BB6220">
        <w:rPr>
          <w:lang w:eastAsia="en-NZ"/>
        </w:rPr>
        <w:t>is</w:t>
      </w:r>
      <w:r w:rsidR="003D640C">
        <w:rPr>
          <w:lang w:eastAsia="en-NZ"/>
        </w:rPr>
        <w:t xml:space="preserve"> </w:t>
      </w:r>
      <w:r w:rsidR="00633499" w:rsidRPr="00BB6220">
        <w:rPr>
          <w:lang w:eastAsia="en-NZ"/>
        </w:rPr>
        <w:t>free</w:t>
      </w:r>
      <w:r w:rsidR="00443377">
        <w:rPr>
          <w:lang w:eastAsia="en-NZ"/>
        </w:rPr>
        <w:t xml:space="preserve"> and</w:t>
      </w:r>
      <w:r w:rsidR="003D640C">
        <w:rPr>
          <w:lang w:eastAsia="en-NZ"/>
        </w:rPr>
        <w:t xml:space="preserve"> </w:t>
      </w:r>
      <w:r w:rsidR="00633499" w:rsidRPr="00BB6220">
        <w:rPr>
          <w:lang w:eastAsia="en-NZ"/>
        </w:rPr>
        <w:t>confidential</w:t>
      </w:r>
      <w:r w:rsidR="003D640C">
        <w:rPr>
          <w:lang w:eastAsia="en-NZ"/>
        </w:rPr>
        <w:t xml:space="preserve"> </w:t>
      </w:r>
      <w:r w:rsidR="00633499" w:rsidRPr="00BB6220">
        <w:rPr>
          <w:lang w:eastAsia="en-NZ"/>
        </w:rPr>
        <w:t>and</w:t>
      </w:r>
      <w:r w:rsidR="003D640C">
        <w:rPr>
          <w:lang w:eastAsia="en-NZ"/>
        </w:rPr>
        <w:t xml:space="preserve"> </w:t>
      </w:r>
      <w:r w:rsidR="00633499" w:rsidRPr="00BB6220">
        <w:rPr>
          <w:lang w:eastAsia="en-NZ"/>
        </w:rPr>
        <w:t>protects</w:t>
      </w:r>
      <w:r w:rsidR="003D640C">
        <w:rPr>
          <w:lang w:eastAsia="en-NZ"/>
        </w:rPr>
        <w:t xml:space="preserve"> </w:t>
      </w:r>
      <w:r w:rsidR="00633499" w:rsidRPr="00BB6220">
        <w:rPr>
          <w:lang w:eastAsia="en-NZ"/>
        </w:rPr>
        <w:t>the</w:t>
      </w:r>
      <w:r w:rsidR="003D640C">
        <w:rPr>
          <w:lang w:eastAsia="en-NZ"/>
        </w:rPr>
        <w:t xml:space="preserve"> </w:t>
      </w:r>
      <w:r w:rsidR="00633499" w:rsidRPr="00BB6220">
        <w:rPr>
          <w:lang w:eastAsia="en-NZ"/>
        </w:rPr>
        <w:t>rights</w:t>
      </w:r>
      <w:r w:rsidR="003D640C">
        <w:rPr>
          <w:lang w:eastAsia="en-NZ"/>
        </w:rPr>
        <w:t xml:space="preserve"> </w:t>
      </w:r>
      <w:r w:rsidR="00633499" w:rsidRPr="00BB6220">
        <w:rPr>
          <w:lang w:eastAsia="en-NZ"/>
        </w:rPr>
        <w:t>of</w:t>
      </w:r>
      <w:r w:rsidR="003D640C">
        <w:rPr>
          <w:lang w:eastAsia="en-NZ"/>
        </w:rPr>
        <w:t xml:space="preserve"> </w:t>
      </w:r>
      <w:r w:rsidR="00633499" w:rsidRPr="00BB6220">
        <w:rPr>
          <w:lang w:eastAsia="en-NZ"/>
        </w:rPr>
        <w:t>everyone</w:t>
      </w:r>
      <w:r w:rsidR="003D640C">
        <w:rPr>
          <w:lang w:eastAsia="en-NZ"/>
        </w:rPr>
        <w:t xml:space="preserve"> </w:t>
      </w:r>
      <w:r w:rsidR="00633499" w:rsidRPr="00BB6220">
        <w:rPr>
          <w:lang w:eastAsia="en-NZ"/>
        </w:rPr>
        <w:t>involved.</w:t>
      </w:r>
      <w:r w:rsidR="003D640C">
        <w:rPr>
          <w:lang w:eastAsia="en-NZ"/>
        </w:rPr>
        <w:t xml:space="preserve"> </w:t>
      </w:r>
      <w:r w:rsidR="008F51E5">
        <w:rPr>
          <w:lang w:eastAsia="en-NZ"/>
        </w:rPr>
        <w:t>Our</w:t>
      </w:r>
      <w:r w:rsidR="003D640C">
        <w:rPr>
          <w:lang w:eastAsia="en-NZ"/>
        </w:rPr>
        <w:t xml:space="preserve"> </w:t>
      </w:r>
      <w:r w:rsidR="008F51E5">
        <w:rPr>
          <w:lang w:eastAsia="en-NZ"/>
        </w:rPr>
        <w:t>service</w:t>
      </w:r>
      <w:r w:rsidR="003D640C">
        <w:rPr>
          <w:lang w:eastAsia="en-NZ"/>
        </w:rPr>
        <w:t xml:space="preserve"> </w:t>
      </w:r>
      <w:r w:rsidR="008F51E5">
        <w:rPr>
          <w:lang w:eastAsia="en-NZ"/>
        </w:rPr>
        <w:t>is</w:t>
      </w:r>
      <w:r w:rsidR="003D640C">
        <w:rPr>
          <w:lang w:eastAsia="en-NZ"/>
        </w:rPr>
        <w:t xml:space="preserve"> </w:t>
      </w:r>
      <w:r w:rsidR="008F51E5">
        <w:rPr>
          <w:lang w:eastAsia="en-NZ"/>
        </w:rPr>
        <w:t>guided</w:t>
      </w:r>
      <w:r w:rsidR="003D640C">
        <w:rPr>
          <w:lang w:eastAsia="en-NZ"/>
        </w:rPr>
        <w:t xml:space="preserve"> </w:t>
      </w:r>
      <w:r w:rsidR="008F51E5">
        <w:rPr>
          <w:lang w:eastAsia="en-NZ"/>
        </w:rPr>
        <w:t>by</w:t>
      </w:r>
      <w:r w:rsidR="003D640C">
        <w:rPr>
          <w:lang w:eastAsia="en-NZ"/>
        </w:rPr>
        <w:t xml:space="preserve"> </w:t>
      </w:r>
      <w:r w:rsidR="00633499" w:rsidRPr="00BB6220">
        <w:rPr>
          <w:lang w:eastAsia="en-NZ"/>
        </w:rPr>
        <w:t>tikanga</w:t>
      </w:r>
      <w:r w:rsidR="003D640C">
        <w:rPr>
          <w:lang w:eastAsia="en-NZ"/>
        </w:rPr>
        <w:t xml:space="preserve"> </w:t>
      </w:r>
      <w:r w:rsidR="008F51E5">
        <w:rPr>
          <w:lang w:eastAsia="en-NZ"/>
        </w:rPr>
        <w:t>and</w:t>
      </w:r>
      <w:r w:rsidR="003D640C">
        <w:rPr>
          <w:lang w:eastAsia="en-NZ"/>
        </w:rPr>
        <w:t xml:space="preserve"> </w:t>
      </w:r>
      <w:r w:rsidR="008F51E5">
        <w:rPr>
          <w:lang w:eastAsia="en-NZ"/>
        </w:rPr>
        <w:t>aims</w:t>
      </w:r>
      <w:r w:rsidR="003D640C">
        <w:rPr>
          <w:lang w:eastAsia="en-NZ"/>
        </w:rPr>
        <w:t xml:space="preserve"> </w:t>
      </w:r>
      <w:r w:rsidR="008F51E5">
        <w:rPr>
          <w:lang w:eastAsia="en-NZ"/>
        </w:rPr>
        <w:t>to</w:t>
      </w:r>
      <w:r w:rsidR="003D640C">
        <w:rPr>
          <w:lang w:eastAsia="en-NZ"/>
        </w:rPr>
        <w:t xml:space="preserve"> </w:t>
      </w:r>
      <w:r w:rsidR="008F51E5">
        <w:rPr>
          <w:lang w:eastAsia="en-NZ"/>
        </w:rPr>
        <w:t>be</w:t>
      </w:r>
      <w:r w:rsidR="003D640C">
        <w:rPr>
          <w:lang w:eastAsia="en-NZ"/>
        </w:rPr>
        <w:t xml:space="preserve"> </w:t>
      </w:r>
      <w:r w:rsidR="008F51E5">
        <w:rPr>
          <w:lang w:eastAsia="en-NZ"/>
        </w:rPr>
        <w:t>accessible</w:t>
      </w:r>
      <w:r w:rsidR="003D640C">
        <w:rPr>
          <w:lang w:eastAsia="en-NZ"/>
        </w:rPr>
        <w:t xml:space="preserve"> </w:t>
      </w:r>
      <w:r w:rsidR="008F51E5">
        <w:rPr>
          <w:lang w:eastAsia="en-NZ"/>
        </w:rPr>
        <w:t>to</w:t>
      </w:r>
      <w:r w:rsidR="003D640C">
        <w:rPr>
          <w:lang w:eastAsia="en-NZ"/>
        </w:rPr>
        <w:t xml:space="preserve"> </w:t>
      </w:r>
      <w:r w:rsidR="008F51E5">
        <w:rPr>
          <w:lang w:eastAsia="en-NZ"/>
        </w:rPr>
        <w:t>everyone</w:t>
      </w:r>
      <w:r w:rsidR="003D640C">
        <w:rPr>
          <w:lang w:eastAsia="en-NZ"/>
        </w:rPr>
        <w:t xml:space="preserve"> </w:t>
      </w:r>
      <w:r w:rsidR="008F51E5">
        <w:rPr>
          <w:lang w:eastAsia="en-NZ"/>
        </w:rPr>
        <w:t>in</w:t>
      </w:r>
      <w:r w:rsidR="003D640C">
        <w:rPr>
          <w:lang w:eastAsia="en-NZ"/>
        </w:rPr>
        <w:t xml:space="preserve"> </w:t>
      </w:r>
      <w:r w:rsidR="008F51E5">
        <w:rPr>
          <w:lang w:eastAsia="en-NZ"/>
        </w:rPr>
        <w:t>Aotearoa</w:t>
      </w:r>
      <w:r w:rsidR="003D640C">
        <w:rPr>
          <w:lang w:eastAsia="en-NZ"/>
        </w:rPr>
        <w:t xml:space="preserve"> </w:t>
      </w:r>
      <w:r w:rsidR="008F51E5">
        <w:rPr>
          <w:lang w:eastAsia="en-NZ"/>
        </w:rPr>
        <w:t>New</w:t>
      </w:r>
      <w:r w:rsidR="003D640C">
        <w:rPr>
          <w:lang w:eastAsia="en-NZ"/>
        </w:rPr>
        <w:t xml:space="preserve"> </w:t>
      </w:r>
      <w:r w:rsidR="008F51E5">
        <w:rPr>
          <w:lang w:eastAsia="en-NZ"/>
        </w:rPr>
        <w:t>Zealand</w:t>
      </w:r>
      <w:r w:rsidR="00633499" w:rsidRPr="00BB6220">
        <w:rPr>
          <w:lang w:eastAsia="en-NZ"/>
        </w:rPr>
        <w:t>.</w:t>
      </w:r>
      <w:r w:rsidR="003D640C">
        <w:rPr>
          <w:lang w:eastAsia="en-NZ"/>
        </w:rPr>
        <w:t xml:space="preserve"> </w:t>
      </w:r>
      <w:r w:rsidR="000843FA" w:rsidRPr="00BB6220">
        <w:rPr>
          <w:lang w:eastAsia="en-NZ"/>
        </w:rPr>
        <w:t>More</w:t>
      </w:r>
      <w:r w:rsidR="003D640C">
        <w:rPr>
          <w:lang w:eastAsia="en-NZ"/>
        </w:rPr>
        <w:t xml:space="preserve"> </w:t>
      </w:r>
      <w:r w:rsidR="000843FA" w:rsidRPr="00BB6220">
        <w:rPr>
          <w:lang w:eastAsia="en-NZ"/>
        </w:rPr>
        <w:t>information</w:t>
      </w:r>
      <w:r w:rsidR="003D640C">
        <w:rPr>
          <w:lang w:eastAsia="en-NZ"/>
        </w:rPr>
        <w:t xml:space="preserve"> </w:t>
      </w:r>
      <w:r w:rsidR="000843FA" w:rsidRPr="00BB6220">
        <w:rPr>
          <w:lang w:eastAsia="en-NZ"/>
        </w:rPr>
        <w:t>is</w:t>
      </w:r>
      <w:r w:rsidR="003D640C">
        <w:rPr>
          <w:lang w:eastAsia="en-NZ"/>
        </w:rPr>
        <w:t xml:space="preserve"> </w:t>
      </w:r>
      <w:r w:rsidR="000843FA" w:rsidRPr="00BB6220">
        <w:rPr>
          <w:lang w:eastAsia="en-NZ"/>
        </w:rPr>
        <w:t>available</w:t>
      </w:r>
      <w:r w:rsidR="003D640C">
        <w:rPr>
          <w:lang w:eastAsia="en-NZ"/>
        </w:rPr>
        <w:t xml:space="preserve"> </w:t>
      </w:r>
      <w:r w:rsidR="000843FA" w:rsidRPr="00BB6220">
        <w:rPr>
          <w:lang w:eastAsia="en-NZ"/>
        </w:rPr>
        <w:t>on</w:t>
      </w:r>
      <w:r w:rsidR="003D640C">
        <w:rPr>
          <w:lang w:eastAsia="en-NZ"/>
        </w:rPr>
        <w:t xml:space="preserve"> </w:t>
      </w:r>
      <w:r w:rsidR="00124C16">
        <w:rPr>
          <w:lang w:eastAsia="en-NZ"/>
        </w:rPr>
        <w:t>the</w:t>
      </w:r>
      <w:r w:rsidR="003D640C">
        <w:rPr>
          <w:lang w:eastAsia="en-NZ"/>
        </w:rPr>
        <w:t xml:space="preserve"> </w:t>
      </w:r>
      <w:r w:rsidR="00124C16">
        <w:rPr>
          <w:lang w:eastAsia="en-NZ"/>
        </w:rPr>
        <w:t>Commission’s</w:t>
      </w:r>
      <w:r w:rsidR="003D640C">
        <w:rPr>
          <w:lang w:eastAsia="en-NZ"/>
        </w:rPr>
        <w:t xml:space="preserve"> </w:t>
      </w:r>
      <w:r w:rsidR="000843FA" w:rsidRPr="00BB6220">
        <w:rPr>
          <w:lang w:eastAsia="en-NZ"/>
        </w:rPr>
        <w:t>website</w:t>
      </w:r>
      <w:r w:rsidR="00DE4546" w:rsidRPr="00BB6220">
        <w:rPr>
          <w:lang w:eastAsia="en-NZ"/>
        </w:rPr>
        <w:t>.</w:t>
      </w:r>
      <w:r w:rsidR="003A3DC9" w:rsidRPr="00BB6220">
        <w:rPr>
          <w:rStyle w:val="FootnoteReference"/>
          <w:rFonts w:ascii="Calibri" w:eastAsia="Times New Roman" w:hAnsi="Calibri" w:cs="Calibri"/>
          <w:lang w:eastAsia="en-NZ"/>
        </w:rPr>
        <w:footnoteReference w:id="67"/>
      </w:r>
    </w:p>
    <w:p w14:paraId="32DB625D" w14:textId="25C72F9B" w:rsidR="00501068" w:rsidRDefault="006C34A1" w:rsidP="00B2336B">
      <w:pPr>
        <w:rPr>
          <w:lang w:eastAsia="en-NZ"/>
        </w:rPr>
      </w:pPr>
      <w:r w:rsidRPr="006C34A1">
        <w:rPr>
          <w:lang w:eastAsia="en-NZ"/>
        </w:rPr>
        <w:t>Our</w:t>
      </w:r>
      <w:r w:rsidR="003D640C">
        <w:rPr>
          <w:lang w:eastAsia="en-NZ"/>
        </w:rPr>
        <w:t xml:space="preserve"> </w:t>
      </w:r>
      <w:r w:rsidRPr="006C34A1">
        <w:rPr>
          <w:lang w:eastAsia="en-NZ"/>
        </w:rPr>
        <w:t>dispute</w:t>
      </w:r>
      <w:r w:rsidR="003D640C">
        <w:rPr>
          <w:lang w:eastAsia="en-NZ"/>
        </w:rPr>
        <w:t xml:space="preserve"> </w:t>
      </w:r>
      <w:r w:rsidRPr="006C34A1">
        <w:rPr>
          <w:lang w:eastAsia="en-NZ"/>
        </w:rPr>
        <w:t>resolution</w:t>
      </w:r>
      <w:r w:rsidR="003D640C">
        <w:rPr>
          <w:lang w:eastAsia="en-NZ"/>
        </w:rPr>
        <w:t xml:space="preserve"> </w:t>
      </w:r>
      <w:r w:rsidRPr="006C34A1">
        <w:rPr>
          <w:lang w:eastAsia="en-NZ"/>
        </w:rPr>
        <w:t>process</w:t>
      </w:r>
      <w:r w:rsidR="003D640C">
        <w:rPr>
          <w:lang w:eastAsia="en-NZ"/>
        </w:rPr>
        <w:t xml:space="preserve"> </w:t>
      </w:r>
      <w:r w:rsidRPr="006C34A1">
        <w:rPr>
          <w:lang w:eastAsia="en-NZ"/>
        </w:rPr>
        <w:t>involves</w:t>
      </w:r>
      <w:r w:rsidR="003D640C">
        <w:rPr>
          <w:lang w:eastAsia="en-NZ"/>
        </w:rPr>
        <w:t xml:space="preserve"> </w:t>
      </w:r>
      <w:r w:rsidRPr="006C34A1">
        <w:rPr>
          <w:lang w:eastAsia="en-NZ"/>
        </w:rPr>
        <w:t>a</w:t>
      </w:r>
      <w:r w:rsidR="003D640C">
        <w:rPr>
          <w:lang w:eastAsia="en-NZ"/>
        </w:rPr>
        <w:t xml:space="preserve"> </w:t>
      </w:r>
      <w:r w:rsidRPr="006C34A1">
        <w:rPr>
          <w:lang w:eastAsia="en-NZ"/>
        </w:rPr>
        <w:t>mediator</w:t>
      </w:r>
      <w:r w:rsidR="003D640C">
        <w:rPr>
          <w:lang w:eastAsia="en-NZ"/>
        </w:rPr>
        <w:t xml:space="preserve"> </w:t>
      </w:r>
      <w:r w:rsidRPr="006C34A1">
        <w:rPr>
          <w:lang w:eastAsia="en-NZ"/>
        </w:rPr>
        <w:t>helping</w:t>
      </w:r>
      <w:r w:rsidR="003D640C">
        <w:rPr>
          <w:lang w:eastAsia="en-NZ"/>
        </w:rPr>
        <w:t xml:space="preserve"> </w:t>
      </w:r>
      <w:r w:rsidRPr="006C34A1">
        <w:rPr>
          <w:lang w:eastAsia="en-NZ"/>
        </w:rPr>
        <w:t>people</w:t>
      </w:r>
      <w:r w:rsidR="003D640C">
        <w:rPr>
          <w:lang w:eastAsia="en-NZ"/>
        </w:rPr>
        <w:t xml:space="preserve"> </w:t>
      </w:r>
      <w:r w:rsidRPr="006C34A1">
        <w:rPr>
          <w:lang w:eastAsia="en-NZ"/>
        </w:rPr>
        <w:t>safely</w:t>
      </w:r>
      <w:r w:rsidR="003D640C">
        <w:rPr>
          <w:lang w:eastAsia="en-NZ"/>
        </w:rPr>
        <w:t xml:space="preserve"> </w:t>
      </w:r>
      <w:r w:rsidRPr="006C34A1">
        <w:rPr>
          <w:lang w:eastAsia="en-NZ"/>
        </w:rPr>
        <w:t>communicate</w:t>
      </w:r>
      <w:r w:rsidR="003D640C">
        <w:rPr>
          <w:lang w:eastAsia="en-NZ"/>
        </w:rPr>
        <w:t xml:space="preserve"> </w:t>
      </w:r>
      <w:r w:rsidRPr="006C34A1">
        <w:rPr>
          <w:lang w:eastAsia="en-NZ"/>
        </w:rPr>
        <w:t>with</w:t>
      </w:r>
      <w:r w:rsidR="003D640C">
        <w:rPr>
          <w:lang w:eastAsia="en-NZ"/>
        </w:rPr>
        <w:t xml:space="preserve"> </w:t>
      </w:r>
      <w:r w:rsidRPr="006C34A1">
        <w:rPr>
          <w:lang w:eastAsia="en-NZ"/>
        </w:rPr>
        <w:t>each</w:t>
      </w:r>
      <w:r w:rsidR="003D640C">
        <w:rPr>
          <w:lang w:eastAsia="en-NZ"/>
        </w:rPr>
        <w:t xml:space="preserve"> </w:t>
      </w:r>
      <w:r w:rsidRPr="006C34A1">
        <w:rPr>
          <w:lang w:eastAsia="en-NZ"/>
        </w:rPr>
        <w:t>other</w:t>
      </w:r>
      <w:r w:rsidR="003D640C">
        <w:rPr>
          <w:lang w:eastAsia="en-NZ"/>
        </w:rPr>
        <w:t xml:space="preserve"> </w:t>
      </w:r>
      <w:r w:rsidRPr="006C34A1">
        <w:rPr>
          <w:lang w:eastAsia="en-NZ"/>
        </w:rPr>
        <w:t>and</w:t>
      </w:r>
      <w:r w:rsidR="003D640C">
        <w:rPr>
          <w:lang w:eastAsia="en-NZ"/>
        </w:rPr>
        <w:t xml:space="preserve"> </w:t>
      </w:r>
      <w:r w:rsidRPr="006C34A1">
        <w:rPr>
          <w:lang w:eastAsia="en-NZ"/>
        </w:rPr>
        <w:t>agree</w:t>
      </w:r>
      <w:r w:rsidR="003D640C">
        <w:rPr>
          <w:lang w:eastAsia="en-NZ"/>
        </w:rPr>
        <w:t xml:space="preserve"> </w:t>
      </w:r>
      <w:r w:rsidRPr="006C34A1">
        <w:rPr>
          <w:lang w:eastAsia="en-NZ"/>
        </w:rPr>
        <w:t>on</w:t>
      </w:r>
      <w:r w:rsidR="003D640C">
        <w:rPr>
          <w:lang w:eastAsia="en-NZ"/>
        </w:rPr>
        <w:t xml:space="preserve"> </w:t>
      </w:r>
      <w:r w:rsidRPr="006C34A1">
        <w:rPr>
          <w:lang w:eastAsia="en-NZ"/>
        </w:rPr>
        <w:t>outcomes</w:t>
      </w:r>
      <w:r w:rsidR="003D640C">
        <w:rPr>
          <w:lang w:eastAsia="en-NZ"/>
        </w:rPr>
        <w:t xml:space="preserve"> </w:t>
      </w:r>
      <w:r w:rsidRPr="006C34A1">
        <w:rPr>
          <w:lang w:eastAsia="en-NZ"/>
        </w:rPr>
        <w:t>without</w:t>
      </w:r>
      <w:r w:rsidR="003D640C">
        <w:rPr>
          <w:lang w:eastAsia="en-NZ"/>
        </w:rPr>
        <w:t xml:space="preserve"> </w:t>
      </w:r>
      <w:r w:rsidRPr="006C34A1">
        <w:rPr>
          <w:lang w:eastAsia="en-NZ"/>
        </w:rPr>
        <w:t>a</w:t>
      </w:r>
      <w:r w:rsidR="003D640C">
        <w:rPr>
          <w:lang w:eastAsia="en-NZ"/>
        </w:rPr>
        <w:t xml:space="preserve"> </w:t>
      </w:r>
      <w:r w:rsidRPr="006C34A1">
        <w:rPr>
          <w:lang w:eastAsia="en-NZ"/>
        </w:rPr>
        <w:t>judge</w:t>
      </w:r>
      <w:r w:rsidR="003D640C">
        <w:rPr>
          <w:lang w:eastAsia="en-NZ"/>
        </w:rPr>
        <w:t xml:space="preserve"> </w:t>
      </w:r>
      <w:r w:rsidRPr="006C34A1">
        <w:rPr>
          <w:lang w:eastAsia="en-NZ"/>
        </w:rPr>
        <w:t>or</w:t>
      </w:r>
      <w:r w:rsidR="003D640C">
        <w:rPr>
          <w:lang w:eastAsia="en-NZ"/>
        </w:rPr>
        <w:t xml:space="preserve"> </w:t>
      </w:r>
      <w:r w:rsidRPr="006C34A1">
        <w:rPr>
          <w:lang w:eastAsia="en-NZ"/>
        </w:rPr>
        <w:t>decision</w:t>
      </w:r>
      <w:r w:rsidR="00EE05A1">
        <w:rPr>
          <w:lang w:eastAsia="en-NZ"/>
        </w:rPr>
        <w:t xml:space="preserve"> </w:t>
      </w:r>
      <w:r w:rsidRPr="006C34A1">
        <w:rPr>
          <w:lang w:eastAsia="en-NZ"/>
        </w:rPr>
        <w:t>maker</w:t>
      </w:r>
      <w:r w:rsidR="003D640C">
        <w:rPr>
          <w:lang w:eastAsia="en-NZ"/>
        </w:rPr>
        <w:t xml:space="preserve"> </w:t>
      </w:r>
      <w:r w:rsidRPr="006C34A1">
        <w:rPr>
          <w:lang w:eastAsia="en-NZ"/>
        </w:rPr>
        <w:t>being</w:t>
      </w:r>
      <w:r w:rsidR="003D640C">
        <w:rPr>
          <w:lang w:eastAsia="en-NZ"/>
        </w:rPr>
        <w:t xml:space="preserve"> </w:t>
      </w:r>
      <w:r w:rsidRPr="006C34A1">
        <w:rPr>
          <w:lang w:eastAsia="en-NZ"/>
        </w:rPr>
        <w:t>involved.</w:t>
      </w:r>
      <w:r w:rsidR="003D640C">
        <w:rPr>
          <w:lang w:eastAsia="en-NZ"/>
        </w:rPr>
        <w:t xml:space="preserve"> </w:t>
      </w:r>
      <w:r w:rsidR="003F7F71">
        <w:rPr>
          <w:lang w:eastAsia="en-NZ"/>
        </w:rPr>
        <w:t>Potential</w:t>
      </w:r>
      <w:r w:rsidR="003D640C">
        <w:rPr>
          <w:lang w:eastAsia="en-NZ"/>
        </w:rPr>
        <w:t xml:space="preserve"> </w:t>
      </w:r>
      <w:r w:rsidRPr="006C34A1">
        <w:rPr>
          <w:lang w:eastAsia="en-NZ"/>
        </w:rPr>
        <w:t>outcomes</w:t>
      </w:r>
      <w:r w:rsidR="003D640C">
        <w:rPr>
          <w:lang w:eastAsia="en-NZ"/>
        </w:rPr>
        <w:t xml:space="preserve"> </w:t>
      </w:r>
      <w:r w:rsidRPr="006C34A1">
        <w:rPr>
          <w:lang w:eastAsia="en-NZ"/>
        </w:rPr>
        <w:t>can</w:t>
      </w:r>
      <w:r w:rsidR="003D640C">
        <w:rPr>
          <w:lang w:eastAsia="en-NZ"/>
        </w:rPr>
        <w:t xml:space="preserve"> </w:t>
      </w:r>
      <w:r w:rsidRPr="006C34A1">
        <w:rPr>
          <w:lang w:eastAsia="en-NZ"/>
        </w:rPr>
        <w:t>include</w:t>
      </w:r>
      <w:r w:rsidR="003D640C">
        <w:rPr>
          <w:lang w:eastAsia="en-NZ"/>
        </w:rPr>
        <w:t xml:space="preserve"> </w:t>
      </w:r>
      <w:r w:rsidRPr="006C34A1">
        <w:rPr>
          <w:lang w:eastAsia="en-NZ"/>
        </w:rPr>
        <w:t>an</w:t>
      </w:r>
      <w:r w:rsidR="003D640C">
        <w:rPr>
          <w:lang w:eastAsia="en-NZ"/>
        </w:rPr>
        <w:t xml:space="preserve"> </w:t>
      </w:r>
      <w:r w:rsidRPr="006C34A1">
        <w:rPr>
          <w:lang w:eastAsia="en-NZ"/>
        </w:rPr>
        <w:t>apology,</w:t>
      </w:r>
      <w:r w:rsidR="003D640C">
        <w:rPr>
          <w:lang w:eastAsia="en-NZ"/>
        </w:rPr>
        <w:t xml:space="preserve"> </w:t>
      </w:r>
      <w:r w:rsidRPr="006C34A1">
        <w:rPr>
          <w:lang w:eastAsia="en-NZ"/>
        </w:rPr>
        <w:t>an</w:t>
      </w:r>
      <w:r w:rsidR="003D640C">
        <w:rPr>
          <w:lang w:eastAsia="en-NZ"/>
        </w:rPr>
        <w:t xml:space="preserve"> </w:t>
      </w:r>
      <w:r w:rsidRPr="006C34A1">
        <w:rPr>
          <w:lang w:eastAsia="en-NZ"/>
        </w:rPr>
        <w:t>acknowledgement</w:t>
      </w:r>
      <w:r w:rsidR="003D640C">
        <w:rPr>
          <w:lang w:eastAsia="en-NZ"/>
        </w:rPr>
        <w:t xml:space="preserve"> </w:t>
      </w:r>
      <w:r w:rsidRPr="006C34A1">
        <w:rPr>
          <w:lang w:eastAsia="en-NZ"/>
        </w:rPr>
        <w:t>of</w:t>
      </w:r>
      <w:r w:rsidR="003D640C">
        <w:rPr>
          <w:lang w:eastAsia="en-NZ"/>
        </w:rPr>
        <w:t xml:space="preserve"> </w:t>
      </w:r>
      <w:r w:rsidRPr="006C34A1">
        <w:rPr>
          <w:lang w:eastAsia="en-NZ"/>
        </w:rPr>
        <w:t>the</w:t>
      </w:r>
      <w:r w:rsidR="003D640C">
        <w:rPr>
          <w:lang w:eastAsia="en-NZ"/>
        </w:rPr>
        <w:t xml:space="preserve"> </w:t>
      </w:r>
      <w:r w:rsidRPr="006C34A1">
        <w:rPr>
          <w:lang w:eastAsia="en-NZ"/>
        </w:rPr>
        <w:t>impact</w:t>
      </w:r>
      <w:r w:rsidR="003D640C">
        <w:rPr>
          <w:lang w:eastAsia="en-NZ"/>
        </w:rPr>
        <w:t xml:space="preserve"> </w:t>
      </w:r>
      <w:r w:rsidRPr="006C34A1">
        <w:rPr>
          <w:lang w:eastAsia="en-NZ"/>
        </w:rPr>
        <w:t>of</w:t>
      </w:r>
      <w:r w:rsidR="003D640C">
        <w:rPr>
          <w:lang w:eastAsia="en-NZ"/>
        </w:rPr>
        <w:t xml:space="preserve"> </w:t>
      </w:r>
      <w:r w:rsidRPr="006C34A1">
        <w:rPr>
          <w:lang w:eastAsia="en-NZ"/>
        </w:rPr>
        <w:t>the</w:t>
      </w:r>
      <w:r w:rsidR="003D640C">
        <w:rPr>
          <w:lang w:eastAsia="en-NZ"/>
        </w:rPr>
        <w:t xml:space="preserve"> </w:t>
      </w:r>
      <w:r w:rsidRPr="006C34A1">
        <w:rPr>
          <w:lang w:eastAsia="en-NZ"/>
        </w:rPr>
        <w:t>behaviour,</w:t>
      </w:r>
      <w:r w:rsidR="003D640C">
        <w:rPr>
          <w:lang w:eastAsia="en-NZ"/>
        </w:rPr>
        <w:t xml:space="preserve"> </w:t>
      </w:r>
      <w:r w:rsidRPr="006C34A1">
        <w:rPr>
          <w:lang w:eastAsia="en-NZ"/>
        </w:rPr>
        <w:t>agreement</w:t>
      </w:r>
      <w:r w:rsidR="003D640C">
        <w:rPr>
          <w:lang w:eastAsia="en-NZ"/>
        </w:rPr>
        <w:t xml:space="preserve"> </w:t>
      </w:r>
      <w:r w:rsidRPr="006C34A1">
        <w:rPr>
          <w:lang w:eastAsia="en-NZ"/>
        </w:rPr>
        <w:t>not</w:t>
      </w:r>
      <w:r w:rsidR="003D640C">
        <w:rPr>
          <w:lang w:eastAsia="en-NZ"/>
        </w:rPr>
        <w:t xml:space="preserve"> </w:t>
      </w:r>
      <w:r w:rsidRPr="006C34A1">
        <w:rPr>
          <w:lang w:eastAsia="en-NZ"/>
        </w:rPr>
        <w:t>to</w:t>
      </w:r>
      <w:r w:rsidR="003D640C">
        <w:rPr>
          <w:lang w:eastAsia="en-NZ"/>
        </w:rPr>
        <w:t xml:space="preserve"> </w:t>
      </w:r>
      <w:r w:rsidRPr="006C34A1">
        <w:rPr>
          <w:lang w:eastAsia="en-NZ"/>
        </w:rPr>
        <w:t>do</w:t>
      </w:r>
      <w:r w:rsidR="003D640C">
        <w:rPr>
          <w:lang w:eastAsia="en-NZ"/>
        </w:rPr>
        <w:t xml:space="preserve"> </w:t>
      </w:r>
      <w:r w:rsidRPr="006C34A1">
        <w:rPr>
          <w:lang w:eastAsia="en-NZ"/>
        </w:rPr>
        <w:lastRenderedPageBreak/>
        <w:t>the</w:t>
      </w:r>
      <w:r w:rsidR="003D640C">
        <w:rPr>
          <w:lang w:eastAsia="en-NZ"/>
        </w:rPr>
        <w:t xml:space="preserve"> </w:t>
      </w:r>
      <w:r w:rsidRPr="006C34A1">
        <w:rPr>
          <w:lang w:eastAsia="en-NZ"/>
        </w:rPr>
        <w:t>same</w:t>
      </w:r>
      <w:r w:rsidR="003D640C">
        <w:rPr>
          <w:lang w:eastAsia="en-NZ"/>
        </w:rPr>
        <w:t xml:space="preserve"> </w:t>
      </w:r>
      <w:r w:rsidRPr="006C34A1">
        <w:rPr>
          <w:lang w:eastAsia="en-NZ"/>
        </w:rPr>
        <w:t>thing</w:t>
      </w:r>
      <w:r w:rsidR="003D640C">
        <w:rPr>
          <w:lang w:eastAsia="en-NZ"/>
        </w:rPr>
        <w:t xml:space="preserve"> </w:t>
      </w:r>
      <w:r w:rsidRPr="006C34A1">
        <w:rPr>
          <w:lang w:eastAsia="en-NZ"/>
        </w:rPr>
        <w:t>in</w:t>
      </w:r>
      <w:r w:rsidR="003D640C">
        <w:rPr>
          <w:lang w:eastAsia="en-NZ"/>
        </w:rPr>
        <w:t xml:space="preserve"> </w:t>
      </w:r>
      <w:r w:rsidRPr="006C34A1">
        <w:rPr>
          <w:lang w:eastAsia="en-NZ"/>
        </w:rPr>
        <w:t>future,</w:t>
      </w:r>
      <w:r w:rsidR="003D640C">
        <w:rPr>
          <w:lang w:eastAsia="en-NZ"/>
        </w:rPr>
        <w:t xml:space="preserve"> </w:t>
      </w:r>
      <w:r w:rsidRPr="006C34A1">
        <w:rPr>
          <w:lang w:eastAsia="en-NZ"/>
        </w:rPr>
        <w:t>a</w:t>
      </w:r>
      <w:r w:rsidR="003D640C">
        <w:rPr>
          <w:lang w:eastAsia="en-NZ"/>
        </w:rPr>
        <w:t xml:space="preserve"> </w:t>
      </w:r>
      <w:r w:rsidRPr="006C34A1">
        <w:rPr>
          <w:lang w:eastAsia="en-NZ"/>
        </w:rPr>
        <w:t>training</w:t>
      </w:r>
      <w:r w:rsidR="003D640C">
        <w:rPr>
          <w:lang w:eastAsia="en-NZ"/>
        </w:rPr>
        <w:t xml:space="preserve"> </w:t>
      </w:r>
      <w:r w:rsidRPr="006C34A1">
        <w:rPr>
          <w:lang w:eastAsia="en-NZ"/>
        </w:rPr>
        <w:t>programme,</w:t>
      </w:r>
      <w:r w:rsidR="003D640C">
        <w:rPr>
          <w:lang w:eastAsia="en-NZ"/>
        </w:rPr>
        <w:t xml:space="preserve"> </w:t>
      </w:r>
      <w:r w:rsidRPr="006C34A1">
        <w:rPr>
          <w:lang w:eastAsia="en-NZ"/>
        </w:rPr>
        <w:t>or</w:t>
      </w:r>
      <w:r w:rsidR="003D640C">
        <w:rPr>
          <w:lang w:eastAsia="en-NZ"/>
        </w:rPr>
        <w:t xml:space="preserve"> </w:t>
      </w:r>
      <w:r w:rsidRPr="006C34A1">
        <w:rPr>
          <w:lang w:eastAsia="en-NZ"/>
        </w:rPr>
        <w:t>financial</w:t>
      </w:r>
      <w:r w:rsidR="003D640C">
        <w:rPr>
          <w:lang w:eastAsia="en-NZ"/>
        </w:rPr>
        <w:t xml:space="preserve"> </w:t>
      </w:r>
      <w:r w:rsidRPr="006C34A1">
        <w:rPr>
          <w:lang w:eastAsia="en-NZ"/>
        </w:rPr>
        <w:t>compensation.</w:t>
      </w:r>
      <w:r w:rsidR="003D640C">
        <w:rPr>
          <w:lang w:eastAsia="en-NZ"/>
        </w:rPr>
        <w:t xml:space="preserve"> </w:t>
      </w:r>
      <w:r w:rsidRPr="006C34A1">
        <w:rPr>
          <w:lang w:eastAsia="en-NZ"/>
        </w:rPr>
        <w:t>If</w:t>
      </w:r>
      <w:r w:rsidR="003D640C">
        <w:rPr>
          <w:lang w:eastAsia="en-NZ"/>
        </w:rPr>
        <w:t xml:space="preserve"> </w:t>
      </w:r>
      <w:r w:rsidRPr="006C34A1">
        <w:rPr>
          <w:lang w:eastAsia="en-NZ"/>
        </w:rPr>
        <w:t>dispute</w:t>
      </w:r>
      <w:r w:rsidR="003D640C">
        <w:rPr>
          <w:lang w:eastAsia="en-NZ"/>
        </w:rPr>
        <w:t xml:space="preserve"> </w:t>
      </w:r>
      <w:r w:rsidRPr="006C34A1">
        <w:rPr>
          <w:lang w:eastAsia="en-NZ"/>
        </w:rPr>
        <w:t>resolution</w:t>
      </w:r>
      <w:r w:rsidR="003D640C">
        <w:rPr>
          <w:lang w:eastAsia="en-NZ"/>
        </w:rPr>
        <w:t xml:space="preserve"> </w:t>
      </w:r>
      <w:r w:rsidRPr="006C34A1">
        <w:rPr>
          <w:lang w:eastAsia="en-NZ"/>
        </w:rPr>
        <w:t>is</w:t>
      </w:r>
      <w:r w:rsidR="003D640C">
        <w:rPr>
          <w:lang w:eastAsia="en-NZ"/>
        </w:rPr>
        <w:t xml:space="preserve"> </w:t>
      </w:r>
      <w:r w:rsidRPr="006C34A1">
        <w:rPr>
          <w:lang w:eastAsia="en-NZ"/>
        </w:rPr>
        <w:t>not</w:t>
      </w:r>
      <w:r w:rsidR="003D640C">
        <w:rPr>
          <w:lang w:eastAsia="en-NZ"/>
        </w:rPr>
        <w:t xml:space="preserve"> </w:t>
      </w:r>
      <w:r w:rsidRPr="006C34A1">
        <w:rPr>
          <w:lang w:eastAsia="en-NZ"/>
        </w:rPr>
        <w:t>appropriate</w:t>
      </w:r>
      <w:r w:rsidR="003D640C">
        <w:rPr>
          <w:lang w:eastAsia="en-NZ"/>
        </w:rPr>
        <w:t xml:space="preserve"> </w:t>
      </w:r>
      <w:r w:rsidRPr="006C34A1">
        <w:rPr>
          <w:lang w:eastAsia="en-NZ"/>
        </w:rPr>
        <w:t>or</w:t>
      </w:r>
      <w:r w:rsidR="003D640C">
        <w:rPr>
          <w:lang w:eastAsia="en-NZ"/>
        </w:rPr>
        <w:t xml:space="preserve"> </w:t>
      </w:r>
      <w:r w:rsidRPr="006C34A1">
        <w:rPr>
          <w:lang w:eastAsia="en-NZ"/>
        </w:rPr>
        <w:t>does</w:t>
      </w:r>
      <w:r w:rsidR="003D640C">
        <w:rPr>
          <w:lang w:eastAsia="en-NZ"/>
        </w:rPr>
        <w:t xml:space="preserve"> </w:t>
      </w:r>
      <w:r w:rsidRPr="006C34A1">
        <w:rPr>
          <w:lang w:eastAsia="en-NZ"/>
        </w:rPr>
        <w:t>not</w:t>
      </w:r>
      <w:r w:rsidR="003D640C">
        <w:rPr>
          <w:lang w:eastAsia="en-NZ"/>
        </w:rPr>
        <w:t xml:space="preserve"> </w:t>
      </w:r>
      <w:r w:rsidRPr="006C34A1">
        <w:rPr>
          <w:lang w:eastAsia="en-NZ"/>
        </w:rPr>
        <w:t>result</w:t>
      </w:r>
      <w:r w:rsidR="003D640C">
        <w:rPr>
          <w:lang w:eastAsia="en-NZ"/>
        </w:rPr>
        <w:t xml:space="preserve"> </w:t>
      </w:r>
      <w:r w:rsidRPr="006C34A1">
        <w:rPr>
          <w:lang w:eastAsia="en-NZ"/>
        </w:rPr>
        <w:t>in</w:t>
      </w:r>
      <w:r w:rsidR="003D640C">
        <w:rPr>
          <w:lang w:eastAsia="en-NZ"/>
        </w:rPr>
        <w:t xml:space="preserve"> </w:t>
      </w:r>
      <w:r w:rsidRPr="006C34A1">
        <w:rPr>
          <w:lang w:eastAsia="en-NZ"/>
        </w:rPr>
        <w:t>a</w:t>
      </w:r>
      <w:r w:rsidR="003D640C">
        <w:rPr>
          <w:lang w:eastAsia="en-NZ"/>
        </w:rPr>
        <w:t xml:space="preserve"> </w:t>
      </w:r>
      <w:r w:rsidRPr="006C34A1">
        <w:rPr>
          <w:lang w:eastAsia="en-NZ"/>
        </w:rPr>
        <w:t>satisfactory</w:t>
      </w:r>
      <w:r w:rsidR="003D640C">
        <w:rPr>
          <w:lang w:eastAsia="en-NZ"/>
        </w:rPr>
        <w:t xml:space="preserve"> </w:t>
      </w:r>
      <w:r w:rsidRPr="006C34A1">
        <w:rPr>
          <w:lang w:eastAsia="en-NZ"/>
        </w:rPr>
        <w:t>outcome,</w:t>
      </w:r>
      <w:r w:rsidR="003D640C">
        <w:rPr>
          <w:lang w:eastAsia="en-NZ"/>
        </w:rPr>
        <w:t xml:space="preserve"> </w:t>
      </w:r>
      <w:r w:rsidR="005E6E64">
        <w:rPr>
          <w:lang w:eastAsia="en-NZ"/>
        </w:rPr>
        <w:t xml:space="preserve">there </w:t>
      </w:r>
      <w:r w:rsidRPr="006C34A1">
        <w:rPr>
          <w:lang w:eastAsia="en-NZ"/>
        </w:rPr>
        <w:t>may</w:t>
      </w:r>
      <w:r w:rsidR="003D640C">
        <w:rPr>
          <w:lang w:eastAsia="en-NZ"/>
        </w:rPr>
        <w:t xml:space="preserve"> </w:t>
      </w:r>
      <w:r w:rsidR="005E6E64">
        <w:rPr>
          <w:lang w:eastAsia="en-NZ"/>
        </w:rPr>
        <w:t xml:space="preserve">be </w:t>
      </w:r>
      <w:r w:rsidRPr="006C34A1">
        <w:rPr>
          <w:lang w:eastAsia="en-NZ"/>
        </w:rPr>
        <w:t>the</w:t>
      </w:r>
      <w:r w:rsidR="003D640C">
        <w:rPr>
          <w:lang w:eastAsia="en-NZ"/>
        </w:rPr>
        <w:t xml:space="preserve"> </w:t>
      </w:r>
      <w:r w:rsidRPr="006C34A1">
        <w:rPr>
          <w:lang w:eastAsia="en-NZ"/>
        </w:rPr>
        <w:t>option</w:t>
      </w:r>
      <w:r w:rsidR="003D640C">
        <w:rPr>
          <w:lang w:eastAsia="en-NZ"/>
        </w:rPr>
        <w:t xml:space="preserve"> </w:t>
      </w:r>
      <w:r w:rsidRPr="006C34A1">
        <w:rPr>
          <w:lang w:eastAsia="en-NZ"/>
        </w:rPr>
        <w:t>of</w:t>
      </w:r>
      <w:r w:rsidR="003D640C">
        <w:rPr>
          <w:lang w:eastAsia="en-NZ"/>
        </w:rPr>
        <w:t xml:space="preserve"> </w:t>
      </w:r>
      <w:r w:rsidRPr="006C34A1">
        <w:rPr>
          <w:lang w:eastAsia="en-NZ"/>
        </w:rPr>
        <w:t>taking</w:t>
      </w:r>
      <w:r w:rsidR="003D640C">
        <w:rPr>
          <w:lang w:eastAsia="en-NZ"/>
        </w:rPr>
        <w:t xml:space="preserve"> </w:t>
      </w:r>
      <w:r w:rsidRPr="006C34A1">
        <w:rPr>
          <w:lang w:eastAsia="en-NZ"/>
        </w:rPr>
        <w:t>the</w:t>
      </w:r>
      <w:r w:rsidR="003D640C">
        <w:rPr>
          <w:lang w:eastAsia="en-NZ"/>
        </w:rPr>
        <w:t xml:space="preserve"> </w:t>
      </w:r>
      <w:r w:rsidRPr="006C34A1">
        <w:rPr>
          <w:lang w:eastAsia="en-NZ"/>
        </w:rPr>
        <w:t>complaint</w:t>
      </w:r>
      <w:r w:rsidR="003D640C">
        <w:rPr>
          <w:lang w:eastAsia="en-NZ"/>
        </w:rPr>
        <w:t xml:space="preserve"> </w:t>
      </w:r>
      <w:r w:rsidRPr="006C34A1">
        <w:rPr>
          <w:lang w:eastAsia="en-NZ"/>
        </w:rPr>
        <w:t>to</w:t>
      </w:r>
      <w:r w:rsidR="003D640C">
        <w:rPr>
          <w:lang w:eastAsia="en-NZ"/>
        </w:rPr>
        <w:t xml:space="preserve"> </w:t>
      </w:r>
      <w:r w:rsidRPr="006C34A1">
        <w:rPr>
          <w:lang w:eastAsia="en-NZ"/>
        </w:rPr>
        <w:t>the</w:t>
      </w:r>
      <w:r w:rsidR="003D640C">
        <w:rPr>
          <w:lang w:eastAsia="en-NZ"/>
        </w:rPr>
        <w:t xml:space="preserve"> </w:t>
      </w:r>
      <w:r w:rsidRPr="006C34A1">
        <w:rPr>
          <w:lang w:eastAsia="en-NZ"/>
        </w:rPr>
        <w:t>Human</w:t>
      </w:r>
      <w:r w:rsidR="003D640C">
        <w:rPr>
          <w:lang w:eastAsia="en-NZ"/>
        </w:rPr>
        <w:t xml:space="preserve"> </w:t>
      </w:r>
      <w:r w:rsidRPr="006C34A1">
        <w:rPr>
          <w:lang w:eastAsia="en-NZ"/>
        </w:rPr>
        <w:t>Rights</w:t>
      </w:r>
      <w:r w:rsidR="003D640C">
        <w:rPr>
          <w:lang w:eastAsia="en-NZ"/>
        </w:rPr>
        <w:t xml:space="preserve"> </w:t>
      </w:r>
      <w:r w:rsidRPr="006C34A1">
        <w:rPr>
          <w:lang w:eastAsia="en-NZ"/>
        </w:rPr>
        <w:t>Review</w:t>
      </w:r>
      <w:r w:rsidR="003D640C">
        <w:rPr>
          <w:lang w:eastAsia="en-NZ"/>
        </w:rPr>
        <w:t xml:space="preserve"> </w:t>
      </w:r>
      <w:r w:rsidRPr="006C34A1">
        <w:rPr>
          <w:lang w:eastAsia="en-NZ"/>
        </w:rPr>
        <w:t>Tribunal.</w:t>
      </w:r>
      <w:r w:rsidR="003D640C">
        <w:rPr>
          <w:lang w:eastAsia="en-NZ"/>
        </w:rPr>
        <w:t xml:space="preserve"> </w:t>
      </w:r>
      <w:r w:rsidRPr="006C34A1">
        <w:rPr>
          <w:lang w:eastAsia="en-NZ"/>
        </w:rPr>
        <w:t>The</w:t>
      </w:r>
      <w:r w:rsidR="003D640C">
        <w:rPr>
          <w:lang w:eastAsia="en-NZ"/>
        </w:rPr>
        <w:t xml:space="preserve"> </w:t>
      </w:r>
      <w:r w:rsidRPr="006C34A1">
        <w:rPr>
          <w:lang w:eastAsia="en-NZ"/>
        </w:rPr>
        <w:t>Tribunal</w:t>
      </w:r>
      <w:r w:rsidR="003D640C">
        <w:rPr>
          <w:lang w:eastAsia="en-NZ"/>
        </w:rPr>
        <w:t xml:space="preserve"> </w:t>
      </w:r>
      <w:r w:rsidRPr="006C34A1">
        <w:rPr>
          <w:lang w:eastAsia="en-NZ"/>
        </w:rPr>
        <w:t>can</w:t>
      </w:r>
      <w:r w:rsidR="003D640C">
        <w:rPr>
          <w:lang w:eastAsia="en-NZ"/>
        </w:rPr>
        <w:t xml:space="preserve"> </w:t>
      </w:r>
      <w:r w:rsidRPr="006C34A1">
        <w:rPr>
          <w:lang w:eastAsia="en-NZ"/>
        </w:rPr>
        <w:t>hear</w:t>
      </w:r>
      <w:r w:rsidR="003D640C">
        <w:rPr>
          <w:lang w:eastAsia="en-NZ"/>
        </w:rPr>
        <w:t xml:space="preserve"> </w:t>
      </w:r>
      <w:r w:rsidRPr="006C34A1">
        <w:rPr>
          <w:lang w:eastAsia="en-NZ"/>
        </w:rPr>
        <w:t>complaints</w:t>
      </w:r>
      <w:r w:rsidR="003D640C">
        <w:rPr>
          <w:lang w:eastAsia="en-NZ"/>
        </w:rPr>
        <w:t xml:space="preserve"> </w:t>
      </w:r>
      <w:r w:rsidRPr="006C34A1">
        <w:rPr>
          <w:lang w:eastAsia="en-NZ"/>
        </w:rPr>
        <w:t>about</w:t>
      </w:r>
      <w:r w:rsidR="003D640C">
        <w:rPr>
          <w:lang w:eastAsia="en-NZ"/>
        </w:rPr>
        <w:t xml:space="preserve"> </w:t>
      </w:r>
      <w:r w:rsidRPr="006C34A1">
        <w:rPr>
          <w:lang w:eastAsia="en-NZ"/>
        </w:rPr>
        <w:t>breaches</w:t>
      </w:r>
      <w:r w:rsidR="003D640C">
        <w:rPr>
          <w:lang w:eastAsia="en-NZ"/>
        </w:rPr>
        <w:t xml:space="preserve"> </w:t>
      </w:r>
      <w:r w:rsidRPr="006C34A1">
        <w:rPr>
          <w:lang w:eastAsia="en-NZ"/>
        </w:rPr>
        <w:t>of</w:t>
      </w:r>
      <w:r w:rsidR="003D640C">
        <w:rPr>
          <w:lang w:eastAsia="en-NZ"/>
        </w:rPr>
        <w:t xml:space="preserve"> </w:t>
      </w:r>
      <w:r w:rsidRPr="006C34A1">
        <w:rPr>
          <w:lang w:eastAsia="en-NZ"/>
        </w:rPr>
        <w:t>the</w:t>
      </w:r>
      <w:r w:rsidR="003D640C">
        <w:rPr>
          <w:lang w:eastAsia="en-NZ"/>
        </w:rPr>
        <w:t xml:space="preserve"> </w:t>
      </w:r>
      <w:r w:rsidRPr="006C34A1">
        <w:rPr>
          <w:lang w:eastAsia="en-NZ"/>
        </w:rPr>
        <w:t>Human</w:t>
      </w:r>
      <w:r w:rsidR="003D640C">
        <w:rPr>
          <w:lang w:eastAsia="en-NZ"/>
        </w:rPr>
        <w:t xml:space="preserve"> </w:t>
      </w:r>
      <w:r w:rsidRPr="006C34A1">
        <w:rPr>
          <w:lang w:eastAsia="en-NZ"/>
        </w:rPr>
        <w:t>Rights</w:t>
      </w:r>
      <w:r w:rsidR="003D640C">
        <w:rPr>
          <w:lang w:eastAsia="en-NZ"/>
        </w:rPr>
        <w:t xml:space="preserve"> </w:t>
      </w:r>
      <w:r w:rsidRPr="006C34A1">
        <w:rPr>
          <w:lang w:eastAsia="en-NZ"/>
        </w:rPr>
        <w:t>Act</w:t>
      </w:r>
      <w:r w:rsidR="003D640C">
        <w:rPr>
          <w:lang w:eastAsia="en-NZ"/>
        </w:rPr>
        <w:t xml:space="preserve"> </w:t>
      </w:r>
      <w:r w:rsidRPr="006C34A1">
        <w:rPr>
          <w:lang w:eastAsia="en-NZ"/>
        </w:rPr>
        <w:t>and</w:t>
      </w:r>
      <w:r w:rsidR="003D640C">
        <w:rPr>
          <w:lang w:eastAsia="en-NZ"/>
        </w:rPr>
        <w:t xml:space="preserve"> </w:t>
      </w:r>
      <w:r w:rsidRPr="006C34A1">
        <w:rPr>
          <w:lang w:eastAsia="en-NZ"/>
        </w:rPr>
        <w:t>make</w:t>
      </w:r>
      <w:r w:rsidR="003D640C">
        <w:rPr>
          <w:lang w:eastAsia="en-NZ"/>
        </w:rPr>
        <w:t xml:space="preserve"> </w:t>
      </w:r>
      <w:r w:rsidRPr="006C34A1">
        <w:rPr>
          <w:lang w:eastAsia="en-NZ"/>
        </w:rPr>
        <w:t>findings</w:t>
      </w:r>
      <w:r w:rsidR="003D640C">
        <w:rPr>
          <w:lang w:eastAsia="en-NZ"/>
        </w:rPr>
        <w:t xml:space="preserve"> </w:t>
      </w:r>
      <w:r w:rsidRPr="006C34A1">
        <w:rPr>
          <w:lang w:eastAsia="en-NZ"/>
        </w:rPr>
        <w:t>and</w:t>
      </w:r>
      <w:r w:rsidR="003D640C">
        <w:rPr>
          <w:lang w:eastAsia="en-NZ"/>
        </w:rPr>
        <w:t xml:space="preserve"> </w:t>
      </w:r>
      <w:r w:rsidRPr="006C34A1">
        <w:rPr>
          <w:lang w:eastAsia="en-NZ"/>
        </w:rPr>
        <w:t>orders.</w:t>
      </w:r>
      <w:r w:rsidR="003D640C">
        <w:rPr>
          <w:lang w:eastAsia="en-NZ"/>
        </w:rPr>
        <w:t xml:space="preserve"> </w:t>
      </w:r>
      <w:r>
        <w:rPr>
          <w:lang w:eastAsia="en-NZ"/>
        </w:rPr>
        <w:t>You</w:t>
      </w:r>
      <w:r w:rsidR="003D640C">
        <w:rPr>
          <w:lang w:eastAsia="en-NZ"/>
        </w:rPr>
        <w:t xml:space="preserve"> </w:t>
      </w:r>
      <w:r>
        <w:rPr>
          <w:lang w:eastAsia="en-NZ"/>
        </w:rPr>
        <w:t>can</w:t>
      </w:r>
      <w:r w:rsidR="003D640C">
        <w:rPr>
          <w:lang w:eastAsia="en-NZ"/>
        </w:rPr>
        <w:t xml:space="preserve"> </w:t>
      </w:r>
      <w:r>
        <w:rPr>
          <w:lang w:eastAsia="en-NZ"/>
        </w:rPr>
        <w:t>appl</w:t>
      </w:r>
      <w:r w:rsidR="00BC23B6">
        <w:rPr>
          <w:lang w:eastAsia="en-NZ"/>
        </w:rPr>
        <w:t>y</w:t>
      </w:r>
      <w:r w:rsidR="003D640C">
        <w:rPr>
          <w:lang w:eastAsia="en-NZ"/>
        </w:rPr>
        <w:t xml:space="preserve"> </w:t>
      </w:r>
      <w:r w:rsidR="005739F9" w:rsidRPr="00BB6220">
        <w:rPr>
          <w:lang w:eastAsia="en-NZ"/>
        </w:rPr>
        <w:t>to</w:t>
      </w:r>
      <w:r w:rsidR="003D640C">
        <w:rPr>
          <w:lang w:eastAsia="en-NZ"/>
        </w:rPr>
        <w:t xml:space="preserve"> </w:t>
      </w:r>
      <w:r w:rsidR="005739F9" w:rsidRPr="00BB6220">
        <w:rPr>
          <w:lang w:eastAsia="en-NZ"/>
        </w:rPr>
        <w:t>the</w:t>
      </w:r>
      <w:r w:rsidR="003D640C">
        <w:rPr>
          <w:lang w:eastAsia="en-NZ"/>
        </w:rPr>
        <w:t xml:space="preserve"> </w:t>
      </w:r>
      <w:r w:rsidR="005739F9" w:rsidRPr="00BB6220">
        <w:rPr>
          <w:lang w:eastAsia="en-NZ"/>
        </w:rPr>
        <w:t>Office</w:t>
      </w:r>
      <w:r w:rsidR="003D640C">
        <w:rPr>
          <w:lang w:eastAsia="en-NZ"/>
        </w:rPr>
        <w:t xml:space="preserve"> </w:t>
      </w:r>
      <w:r w:rsidR="005739F9" w:rsidRPr="00BB6220">
        <w:rPr>
          <w:lang w:eastAsia="en-NZ"/>
        </w:rPr>
        <w:t>of</w:t>
      </w:r>
      <w:r w:rsidR="003D640C">
        <w:rPr>
          <w:lang w:eastAsia="en-NZ"/>
        </w:rPr>
        <w:t xml:space="preserve"> </w:t>
      </w:r>
      <w:r w:rsidR="005739F9" w:rsidRPr="00BB6220">
        <w:rPr>
          <w:lang w:eastAsia="en-NZ"/>
        </w:rPr>
        <w:t>Human</w:t>
      </w:r>
      <w:r w:rsidR="003D640C">
        <w:rPr>
          <w:lang w:eastAsia="en-NZ"/>
        </w:rPr>
        <w:t xml:space="preserve"> </w:t>
      </w:r>
      <w:r w:rsidR="005739F9" w:rsidRPr="00BB6220">
        <w:rPr>
          <w:lang w:eastAsia="en-NZ"/>
        </w:rPr>
        <w:t>Rights</w:t>
      </w:r>
      <w:r w:rsidR="003D640C">
        <w:rPr>
          <w:lang w:eastAsia="en-NZ"/>
        </w:rPr>
        <w:t xml:space="preserve"> </w:t>
      </w:r>
      <w:r w:rsidR="005739F9" w:rsidRPr="00BB6220">
        <w:rPr>
          <w:lang w:eastAsia="en-NZ"/>
        </w:rPr>
        <w:t>Proceedings</w:t>
      </w:r>
      <w:r w:rsidR="003D640C">
        <w:rPr>
          <w:lang w:eastAsia="en-NZ"/>
        </w:rPr>
        <w:t xml:space="preserve"> </w:t>
      </w:r>
      <w:r w:rsidR="005739F9" w:rsidRPr="00BB6220">
        <w:rPr>
          <w:lang w:eastAsia="en-NZ"/>
        </w:rPr>
        <w:t>for</w:t>
      </w:r>
      <w:r w:rsidR="003D640C">
        <w:rPr>
          <w:lang w:eastAsia="en-NZ"/>
        </w:rPr>
        <w:t xml:space="preserve"> </w:t>
      </w:r>
      <w:r w:rsidR="005739F9" w:rsidRPr="00BB6220">
        <w:rPr>
          <w:lang w:eastAsia="en-NZ"/>
        </w:rPr>
        <w:t>free</w:t>
      </w:r>
      <w:r w:rsidR="003D640C">
        <w:rPr>
          <w:lang w:eastAsia="en-NZ"/>
        </w:rPr>
        <w:t xml:space="preserve"> </w:t>
      </w:r>
      <w:r w:rsidR="005739F9" w:rsidRPr="00BB6220">
        <w:rPr>
          <w:lang w:eastAsia="en-NZ"/>
        </w:rPr>
        <w:t>legal</w:t>
      </w:r>
      <w:r w:rsidR="003D640C">
        <w:rPr>
          <w:lang w:eastAsia="en-NZ"/>
        </w:rPr>
        <w:t xml:space="preserve"> </w:t>
      </w:r>
      <w:r w:rsidR="00013C20">
        <w:rPr>
          <w:lang w:eastAsia="en-NZ"/>
        </w:rPr>
        <w:t>representation</w:t>
      </w:r>
      <w:r w:rsidR="003D640C">
        <w:rPr>
          <w:lang w:eastAsia="en-NZ"/>
        </w:rPr>
        <w:t xml:space="preserve"> </w:t>
      </w:r>
      <w:r w:rsidR="00013C20">
        <w:rPr>
          <w:lang w:eastAsia="en-NZ"/>
        </w:rPr>
        <w:t>at</w:t>
      </w:r>
      <w:r w:rsidR="003D640C">
        <w:rPr>
          <w:lang w:eastAsia="en-NZ"/>
        </w:rPr>
        <w:t xml:space="preserve"> </w:t>
      </w:r>
      <w:r w:rsidR="00013C20">
        <w:rPr>
          <w:lang w:eastAsia="en-NZ"/>
        </w:rPr>
        <w:t>the</w:t>
      </w:r>
      <w:r w:rsidR="003D640C">
        <w:rPr>
          <w:lang w:eastAsia="en-NZ"/>
        </w:rPr>
        <w:t xml:space="preserve"> </w:t>
      </w:r>
      <w:r w:rsidR="00013C20">
        <w:rPr>
          <w:lang w:eastAsia="en-NZ"/>
        </w:rPr>
        <w:t>Tribunal</w:t>
      </w:r>
      <w:r w:rsidR="006C01C7">
        <w:rPr>
          <w:lang w:eastAsia="en-NZ"/>
        </w:rPr>
        <w:t>.</w:t>
      </w:r>
      <w:r w:rsidR="00DE4546" w:rsidRPr="00BB6220">
        <w:rPr>
          <w:rStyle w:val="FootnoteReference"/>
          <w:rFonts w:ascii="Calibri" w:eastAsia="Times New Roman" w:hAnsi="Calibri" w:cs="Calibri"/>
          <w:lang w:eastAsia="en-NZ"/>
        </w:rPr>
        <w:footnoteReference w:id="68"/>
      </w:r>
      <w:r w:rsidR="003D640C">
        <w:rPr>
          <w:lang w:eastAsia="en-NZ"/>
        </w:rPr>
        <w:t xml:space="preserve"> </w:t>
      </w:r>
    </w:p>
    <w:p w14:paraId="70FC720C" w14:textId="2599E93F" w:rsidR="00501068" w:rsidRDefault="00F3281B" w:rsidP="00B2336B">
      <w:pPr>
        <w:rPr>
          <w:lang w:eastAsia="en-NZ"/>
        </w:rPr>
      </w:pPr>
      <w:r>
        <w:t>The</w:t>
      </w:r>
      <w:r w:rsidR="003D640C">
        <w:t xml:space="preserve"> </w:t>
      </w:r>
      <w:r>
        <w:t>Commission</w:t>
      </w:r>
      <w:r w:rsidR="003D640C">
        <w:t xml:space="preserve"> </w:t>
      </w:r>
      <w:r>
        <w:t>also</w:t>
      </w:r>
      <w:r w:rsidR="003D640C">
        <w:t xml:space="preserve"> </w:t>
      </w:r>
      <w:r>
        <w:t>has</w:t>
      </w:r>
      <w:r w:rsidR="003D640C">
        <w:t xml:space="preserve"> </w:t>
      </w:r>
      <w:r>
        <w:t>a</w:t>
      </w:r>
      <w:r w:rsidR="003D640C">
        <w:t xml:space="preserve"> </w:t>
      </w:r>
      <w:r>
        <w:t>role</w:t>
      </w:r>
      <w:r w:rsidR="003D640C">
        <w:t xml:space="preserve"> </w:t>
      </w:r>
      <w:r>
        <w:t>to</w:t>
      </w:r>
      <w:r w:rsidR="003D640C">
        <w:t xml:space="preserve"> </w:t>
      </w:r>
      <w:r>
        <w:t>help</w:t>
      </w:r>
      <w:r w:rsidR="003D640C">
        <w:t xml:space="preserve"> </w:t>
      </w:r>
      <w:r>
        <w:t>prevent</w:t>
      </w:r>
      <w:r w:rsidR="003D640C">
        <w:t xml:space="preserve"> </w:t>
      </w:r>
      <w:r>
        <w:t>conversion</w:t>
      </w:r>
      <w:r w:rsidR="003D640C">
        <w:t xml:space="preserve"> </w:t>
      </w:r>
      <w:r>
        <w:t>practices</w:t>
      </w:r>
      <w:r w:rsidR="003D640C">
        <w:t xml:space="preserve"> </w:t>
      </w:r>
      <w:r>
        <w:t>through</w:t>
      </w:r>
      <w:r w:rsidR="003D640C">
        <w:t xml:space="preserve"> </w:t>
      </w:r>
      <w:r>
        <w:t>education</w:t>
      </w:r>
      <w:r w:rsidR="003D640C">
        <w:t xml:space="preserve"> </w:t>
      </w:r>
      <w:r>
        <w:t>and</w:t>
      </w:r>
      <w:r w:rsidR="003D640C">
        <w:t xml:space="preserve"> </w:t>
      </w:r>
      <w:r>
        <w:t>awareness</w:t>
      </w:r>
      <w:r w:rsidR="005E6E64">
        <w:t xml:space="preserve"> </w:t>
      </w:r>
      <w:r>
        <w:t>raising.</w:t>
      </w:r>
      <w:r w:rsidR="003D640C">
        <w:t xml:space="preserve"> </w:t>
      </w:r>
      <w:r w:rsidR="00DE4546" w:rsidRPr="00BB6220">
        <w:rPr>
          <w:lang w:eastAsia="en-NZ"/>
        </w:rPr>
        <w:t>We</w:t>
      </w:r>
      <w:r w:rsidR="003D640C">
        <w:rPr>
          <w:lang w:eastAsia="en-NZ"/>
        </w:rPr>
        <w:t xml:space="preserve"> </w:t>
      </w:r>
      <w:r w:rsidR="00735FFD" w:rsidRPr="00BB6220">
        <w:rPr>
          <w:lang w:eastAsia="en-NZ"/>
        </w:rPr>
        <w:t>can</w:t>
      </w:r>
      <w:r w:rsidR="003D640C">
        <w:rPr>
          <w:lang w:eastAsia="en-NZ"/>
        </w:rPr>
        <w:t xml:space="preserve"> </w:t>
      </w:r>
      <w:r w:rsidR="00735FFD" w:rsidRPr="00BB6220">
        <w:rPr>
          <w:lang w:eastAsia="en-NZ"/>
        </w:rPr>
        <w:t>provide</w:t>
      </w:r>
      <w:r w:rsidR="003D640C">
        <w:rPr>
          <w:lang w:eastAsia="en-NZ"/>
        </w:rPr>
        <w:t xml:space="preserve"> </w:t>
      </w:r>
      <w:r w:rsidR="00735FFD" w:rsidRPr="00BB6220">
        <w:rPr>
          <w:lang w:eastAsia="en-NZ"/>
        </w:rPr>
        <w:t>support</w:t>
      </w:r>
      <w:r w:rsidR="003D640C">
        <w:rPr>
          <w:lang w:eastAsia="en-NZ"/>
        </w:rPr>
        <w:t xml:space="preserve"> </w:t>
      </w:r>
      <w:r w:rsidR="00735FFD" w:rsidRPr="00BB6220">
        <w:rPr>
          <w:lang w:eastAsia="en-NZ"/>
        </w:rPr>
        <w:t>and</w:t>
      </w:r>
      <w:r w:rsidR="003D640C">
        <w:rPr>
          <w:lang w:eastAsia="en-NZ"/>
        </w:rPr>
        <w:t xml:space="preserve"> </w:t>
      </w:r>
      <w:r w:rsidR="00735FFD" w:rsidRPr="00BB6220">
        <w:rPr>
          <w:lang w:eastAsia="en-NZ"/>
        </w:rPr>
        <w:t>information</w:t>
      </w:r>
      <w:r w:rsidR="003D640C">
        <w:rPr>
          <w:lang w:eastAsia="en-NZ"/>
        </w:rPr>
        <w:t xml:space="preserve"> </w:t>
      </w:r>
      <w:r w:rsidR="00735FFD" w:rsidRPr="00BB6220">
        <w:rPr>
          <w:lang w:eastAsia="en-NZ"/>
        </w:rPr>
        <w:t>to</w:t>
      </w:r>
      <w:r w:rsidR="003D640C">
        <w:rPr>
          <w:lang w:eastAsia="en-NZ"/>
        </w:rPr>
        <w:t xml:space="preserve"> </w:t>
      </w:r>
      <w:r w:rsidR="00735FFD" w:rsidRPr="00BB6220">
        <w:rPr>
          <w:lang w:eastAsia="en-NZ"/>
        </w:rPr>
        <w:t>survivors</w:t>
      </w:r>
      <w:r w:rsidR="003D640C">
        <w:rPr>
          <w:lang w:eastAsia="en-NZ"/>
        </w:rPr>
        <w:t xml:space="preserve"> </w:t>
      </w:r>
      <w:r w:rsidR="00735FFD" w:rsidRPr="00BB6220">
        <w:rPr>
          <w:lang w:eastAsia="en-NZ"/>
        </w:rPr>
        <w:t>and</w:t>
      </w:r>
      <w:r w:rsidR="003D640C">
        <w:rPr>
          <w:lang w:eastAsia="en-NZ"/>
        </w:rPr>
        <w:t xml:space="preserve"> </w:t>
      </w:r>
      <w:r w:rsidR="00735FFD" w:rsidRPr="00BB6220">
        <w:rPr>
          <w:lang w:eastAsia="en-NZ"/>
        </w:rPr>
        <w:t>to</w:t>
      </w:r>
      <w:r w:rsidR="003D640C">
        <w:rPr>
          <w:lang w:eastAsia="en-NZ"/>
        </w:rPr>
        <w:t xml:space="preserve"> </w:t>
      </w:r>
      <w:r w:rsidR="00735FFD" w:rsidRPr="00BB6220">
        <w:rPr>
          <w:lang w:eastAsia="en-NZ"/>
        </w:rPr>
        <w:t>those</w:t>
      </w:r>
      <w:r w:rsidR="003D640C">
        <w:rPr>
          <w:lang w:eastAsia="en-NZ"/>
        </w:rPr>
        <w:t xml:space="preserve"> </w:t>
      </w:r>
      <w:r w:rsidR="00735FFD" w:rsidRPr="00BB6220">
        <w:rPr>
          <w:lang w:eastAsia="en-NZ"/>
        </w:rPr>
        <w:t>who</w:t>
      </w:r>
      <w:r w:rsidR="003D640C">
        <w:rPr>
          <w:lang w:eastAsia="en-NZ"/>
        </w:rPr>
        <w:t xml:space="preserve"> </w:t>
      </w:r>
      <w:r w:rsidR="00735FFD" w:rsidRPr="00BB6220">
        <w:rPr>
          <w:lang w:eastAsia="en-NZ"/>
        </w:rPr>
        <w:t>are</w:t>
      </w:r>
      <w:r w:rsidR="003D640C">
        <w:rPr>
          <w:lang w:eastAsia="en-NZ"/>
        </w:rPr>
        <w:t xml:space="preserve"> </w:t>
      </w:r>
      <w:r w:rsidR="00735FFD" w:rsidRPr="00BB6220">
        <w:rPr>
          <w:lang w:eastAsia="en-NZ"/>
        </w:rPr>
        <w:t>consciously</w:t>
      </w:r>
      <w:r w:rsidR="003D640C">
        <w:rPr>
          <w:lang w:eastAsia="en-NZ"/>
        </w:rPr>
        <w:t xml:space="preserve"> </w:t>
      </w:r>
      <w:r w:rsidR="00735FFD" w:rsidRPr="00BB6220">
        <w:rPr>
          <w:lang w:eastAsia="en-NZ"/>
        </w:rPr>
        <w:t>or</w:t>
      </w:r>
      <w:r w:rsidR="003D640C">
        <w:rPr>
          <w:lang w:eastAsia="en-NZ"/>
        </w:rPr>
        <w:t xml:space="preserve"> </w:t>
      </w:r>
      <w:r w:rsidR="00735FFD" w:rsidRPr="00BB6220">
        <w:rPr>
          <w:lang w:eastAsia="en-NZ"/>
        </w:rPr>
        <w:t>unconsciously</w:t>
      </w:r>
      <w:r w:rsidR="003D640C">
        <w:rPr>
          <w:lang w:eastAsia="en-NZ"/>
        </w:rPr>
        <w:t xml:space="preserve"> </w:t>
      </w:r>
      <w:r w:rsidR="00735FFD" w:rsidRPr="00BB6220">
        <w:rPr>
          <w:lang w:eastAsia="en-NZ"/>
        </w:rPr>
        <w:t>contributing</w:t>
      </w:r>
      <w:r w:rsidR="003D640C">
        <w:rPr>
          <w:lang w:eastAsia="en-NZ"/>
        </w:rPr>
        <w:t xml:space="preserve"> </w:t>
      </w:r>
      <w:r w:rsidR="00735FFD" w:rsidRPr="00BB6220">
        <w:rPr>
          <w:lang w:eastAsia="en-NZ"/>
        </w:rPr>
        <w:t>to</w:t>
      </w:r>
      <w:r w:rsidR="003D640C">
        <w:rPr>
          <w:lang w:eastAsia="en-NZ"/>
        </w:rPr>
        <w:t xml:space="preserve"> </w:t>
      </w:r>
      <w:r w:rsidR="00735FFD" w:rsidRPr="00BB6220">
        <w:rPr>
          <w:lang w:eastAsia="en-NZ"/>
        </w:rPr>
        <w:t>conversion</w:t>
      </w:r>
      <w:r w:rsidR="003D640C">
        <w:rPr>
          <w:lang w:eastAsia="en-NZ"/>
        </w:rPr>
        <w:t xml:space="preserve"> </w:t>
      </w:r>
      <w:r w:rsidR="00735FFD" w:rsidRPr="00BB6220">
        <w:rPr>
          <w:lang w:eastAsia="en-NZ"/>
        </w:rPr>
        <w:t>practices.</w:t>
      </w:r>
      <w:r w:rsidR="003D640C">
        <w:rPr>
          <w:lang w:eastAsia="en-NZ"/>
        </w:rPr>
        <w:t xml:space="preserve"> </w:t>
      </w:r>
    </w:p>
    <w:p w14:paraId="69643D16" w14:textId="77777777" w:rsidR="00B2336B" w:rsidRDefault="00B2336B">
      <w:pPr>
        <w:rPr>
          <w:rFonts w:asciiTheme="majorHAnsi" w:eastAsiaTheme="majorEastAsia" w:hAnsiTheme="majorHAnsi" w:cstheme="majorBidi"/>
          <w:b/>
          <w:bCs/>
          <w:color w:val="2F5496" w:themeColor="accent1" w:themeShade="BF"/>
          <w:sz w:val="40"/>
          <w:szCs w:val="40"/>
        </w:rPr>
      </w:pPr>
      <w:bookmarkStart w:id="129" w:name="_Toc167780592"/>
      <w:r>
        <w:br w:type="page"/>
      </w:r>
    </w:p>
    <w:p w14:paraId="69A33EF7" w14:textId="01788594" w:rsidR="00D05424" w:rsidRPr="00BB6220" w:rsidRDefault="00D05424" w:rsidP="00501BC4">
      <w:pPr>
        <w:pStyle w:val="Heading1"/>
      </w:pPr>
      <w:bookmarkStart w:id="130" w:name="_Toc138325167"/>
      <w:bookmarkStart w:id="131" w:name="_Toc138343804"/>
      <w:bookmarkStart w:id="132" w:name="_Toc917842809"/>
      <w:bookmarkStart w:id="133" w:name="_Toc174628650"/>
      <w:r w:rsidRPr="00BB6220">
        <w:lastRenderedPageBreak/>
        <w:t>Settings</w:t>
      </w:r>
      <w:r w:rsidR="003D640C">
        <w:t xml:space="preserve"> </w:t>
      </w:r>
      <w:r w:rsidRPr="00BB6220">
        <w:t>for</w:t>
      </w:r>
      <w:r w:rsidR="003D640C">
        <w:t xml:space="preserve"> </w:t>
      </w:r>
      <w:r w:rsidRPr="00BB6220">
        <w:t>conversion</w:t>
      </w:r>
      <w:r w:rsidR="003D640C">
        <w:t xml:space="preserve"> </w:t>
      </w:r>
      <w:r w:rsidRPr="00BB6220">
        <w:t>practices</w:t>
      </w:r>
      <w:bookmarkEnd w:id="129"/>
      <w:bookmarkEnd w:id="130"/>
      <w:bookmarkEnd w:id="131"/>
      <w:bookmarkEnd w:id="132"/>
      <w:bookmarkEnd w:id="133"/>
    </w:p>
    <w:p w14:paraId="77FDDB0E" w14:textId="6DC37C20" w:rsidR="00062DD5" w:rsidRDefault="006A7BD1" w:rsidP="00B2336B">
      <w:r>
        <w:t>An i</w:t>
      </w:r>
      <w:r w:rsidR="00062DD5">
        <w:t>nternational</w:t>
      </w:r>
      <w:r w:rsidR="003D640C">
        <w:t xml:space="preserve"> </w:t>
      </w:r>
      <w:r w:rsidR="00062DD5">
        <w:t>evidence</w:t>
      </w:r>
      <w:r w:rsidR="003D640C">
        <w:t xml:space="preserve"> </w:t>
      </w:r>
      <w:r w:rsidR="00062DD5">
        <w:t>scan</w:t>
      </w:r>
      <w:r w:rsidR="003D640C">
        <w:t xml:space="preserve"> </w:t>
      </w:r>
      <w:r w:rsidR="00062DD5">
        <w:t>found</w:t>
      </w:r>
      <w:r w:rsidR="003D640C">
        <w:t xml:space="preserve"> </w:t>
      </w:r>
      <w:r w:rsidR="00062DD5">
        <w:t>that</w:t>
      </w:r>
      <w:r w:rsidR="003D640C">
        <w:t xml:space="preserve"> </w:t>
      </w:r>
      <w:r w:rsidR="00062DD5">
        <w:t>conversion</w:t>
      </w:r>
      <w:r w:rsidR="003D640C">
        <w:t xml:space="preserve"> </w:t>
      </w:r>
      <w:r w:rsidR="00062DD5">
        <w:t>practices</w:t>
      </w:r>
      <w:r w:rsidR="003D640C">
        <w:t xml:space="preserve"> </w:t>
      </w:r>
      <w:r w:rsidR="00062DD5">
        <w:t>take</w:t>
      </w:r>
      <w:r w:rsidR="003D640C">
        <w:t xml:space="preserve"> </w:t>
      </w:r>
      <w:r w:rsidR="00062DD5">
        <w:t>place</w:t>
      </w:r>
      <w:r w:rsidR="003D640C">
        <w:t xml:space="preserve"> </w:t>
      </w:r>
      <w:r w:rsidR="00062DD5">
        <w:t>in</w:t>
      </w:r>
      <w:r w:rsidR="003D640C">
        <w:t xml:space="preserve"> </w:t>
      </w:r>
      <w:r w:rsidR="00062DD5">
        <w:t>a</w:t>
      </w:r>
      <w:r w:rsidR="003D640C">
        <w:t xml:space="preserve"> </w:t>
      </w:r>
      <w:r w:rsidR="00062DD5">
        <w:t>range</w:t>
      </w:r>
      <w:r w:rsidR="003D640C">
        <w:t xml:space="preserve"> </w:t>
      </w:r>
      <w:r w:rsidR="00062DD5">
        <w:t>of</w:t>
      </w:r>
      <w:r w:rsidR="003D640C">
        <w:t xml:space="preserve"> </w:t>
      </w:r>
      <w:r w:rsidR="00062DD5">
        <w:t>settings,</w:t>
      </w:r>
      <w:r w:rsidR="003D640C">
        <w:t xml:space="preserve"> </w:t>
      </w:r>
      <w:r w:rsidR="00062DD5">
        <w:t>typically</w:t>
      </w:r>
      <w:r w:rsidR="003D640C">
        <w:t xml:space="preserve"> </w:t>
      </w:r>
      <w:r w:rsidR="00062DD5">
        <w:t>by</w:t>
      </w:r>
      <w:r w:rsidR="003D640C">
        <w:t xml:space="preserve"> </w:t>
      </w:r>
      <w:r w:rsidR="00062DD5">
        <w:t>religious</w:t>
      </w:r>
      <w:r w:rsidR="003D640C">
        <w:t xml:space="preserve"> </w:t>
      </w:r>
      <w:r w:rsidR="00062DD5">
        <w:t>people</w:t>
      </w:r>
      <w:r w:rsidR="003D640C">
        <w:t xml:space="preserve"> </w:t>
      </w:r>
      <w:r w:rsidR="00062DD5">
        <w:t>or</w:t>
      </w:r>
      <w:r w:rsidR="003D640C">
        <w:t xml:space="preserve"> </w:t>
      </w:r>
      <w:r w:rsidR="00062DD5">
        <w:t>organisations,</w:t>
      </w:r>
      <w:r w:rsidR="003D640C">
        <w:t xml:space="preserve"> </w:t>
      </w:r>
      <w:r w:rsidR="00062DD5">
        <w:t>but</w:t>
      </w:r>
      <w:r w:rsidR="003D640C">
        <w:t xml:space="preserve"> </w:t>
      </w:r>
      <w:r w:rsidR="00062DD5">
        <w:t>not</w:t>
      </w:r>
      <w:r w:rsidR="003D640C">
        <w:t xml:space="preserve"> </w:t>
      </w:r>
      <w:r w:rsidR="00062DD5">
        <w:t>exclusively.</w:t>
      </w:r>
      <w:r w:rsidR="00062DD5">
        <w:rPr>
          <w:rStyle w:val="FootnoteReference"/>
        </w:rPr>
        <w:footnoteReference w:id="69"/>
      </w:r>
      <w:r w:rsidR="003D640C">
        <w:t xml:space="preserve"> </w:t>
      </w:r>
      <w:r w:rsidR="00062DD5">
        <w:t>The</w:t>
      </w:r>
      <w:r w:rsidR="003D640C">
        <w:t xml:space="preserve"> </w:t>
      </w:r>
      <w:r w:rsidR="00062DD5">
        <w:t>settings</w:t>
      </w:r>
      <w:r w:rsidR="003D640C">
        <w:t xml:space="preserve"> </w:t>
      </w:r>
      <w:r w:rsidR="00062DD5">
        <w:t>where</w:t>
      </w:r>
      <w:r w:rsidR="003D640C">
        <w:t xml:space="preserve"> </w:t>
      </w:r>
      <w:r w:rsidR="00062DD5">
        <w:t>conversion</w:t>
      </w:r>
      <w:r w:rsidR="003D640C">
        <w:t xml:space="preserve"> </w:t>
      </w:r>
      <w:r w:rsidR="00062DD5">
        <w:t>practices</w:t>
      </w:r>
      <w:r w:rsidR="003D640C">
        <w:t xml:space="preserve"> </w:t>
      </w:r>
      <w:r w:rsidR="00062DD5">
        <w:t>take</w:t>
      </w:r>
      <w:r w:rsidR="003D640C">
        <w:t xml:space="preserve"> </w:t>
      </w:r>
      <w:r w:rsidR="00062DD5">
        <w:t>place</w:t>
      </w:r>
      <w:r w:rsidR="003D640C">
        <w:t xml:space="preserve"> </w:t>
      </w:r>
      <w:r w:rsidR="00062DD5">
        <w:t>in</w:t>
      </w:r>
      <w:r w:rsidR="003D640C">
        <w:t xml:space="preserve"> </w:t>
      </w:r>
      <w:r w:rsidR="00062DD5">
        <w:t>Aotearoa</w:t>
      </w:r>
      <w:r w:rsidR="003D640C">
        <w:t xml:space="preserve"> </w:t>
      </w:r>
      <w:r w:rsidR="00062DD5">
        <w:t>New</w:t>
      </w:r>
      <w:r w:rsidR="003D640C">
        <w:t xml:space="preserve"> </w:t>
      </w:r>
      <w:r w:rsidR="00062DD5">
        <w:t>Zealand</w:t>
      </w:r>
      <w:r w:rsidR="003D640C">
        <w:t xml:space="preserve"> </w:t>
      </w:r>
      <w:r w:rsidR="00062DD5">
        <w:t>likely</w:t>
      </w:r>
      <w:r w:rsidR="003D640C">
        <w:t xml:space="preserve"> </w:t>
      </w:r>
      <w:r w:rsidR="00062DD5">
        <w:t>mirror</w:t>
      </w:r>
      <w:r w:rsidR="003D640C">
        <w:t xml:space="preserve"> </w:t>
      </w:r>
      <w:r w:rsidR="00062DD5">
        <w:t>those</w:t>
      </w:r>
      <w:r w:rsidR="003D640C">
        <w:t xml:space="preserve"> </w:t>
      </w:r>
      <w:r w:rsidR="00062DD5">
        <w:t>of</w:t>
      </w:r>
      <w:r w:rsidR="003D640C">
        <w:t xml:space="preserve"> </w:t>
      </w:r>
      <w:r w:rsidR="00062DD5">
        <w:t>elsewhere</w:t>
      </w:r>
      <w:r w:rsidR="003D640C">
        <w:t xml:space="preserve"> </w:t>
      </w:r>
      <w:r w:rsidR="00062DD5">
        <w:t>and</w:t>
      </w:r>
      <w:r w:rsidR="003D640C">
        <w:t xml:space="preserve"> </w:t>
      </w:r>
      <w:r w:rsidR="00062DD5">
        <w:t>include</w:t>
      </w:r>
      <w:r w:rsidR="003D640C">
        <w:t xml:space="preserve"> </w:t>
      </w:r>
      <w:r w:rsidR="00062DD5">
        <w:t>religious,</w:t>
      </w:r>
      <w:r w:rsidR="003D640C">
        <w:t xml:space="preserve"> </w:t>
      </w:r>
      <w:r w:rsidR="00062DD5">
        <w:t>education,</w:t>
      </w:r>
      <w:r w:rsidR="003D640C">
        <w:t xml:space="preserve"> </w:t>
      </w:r>
      <w:r w:rsidR="00062DD5">
        <w:t>healthcare</w:t>
      </w:r>
      <w:r w:rsidR="00426254">
        <w:t>,</w:t>
      </w:r>
      <w:r w:rsidR="003D640C">
        <w:t xml:space="preserve"> </w:t>
      </w:r>
      <w:r w:rsidR="00062DD5">
        <w:t>and</w:t>
      </w:r>
      <w:r w:rsidR="003D640C">
        <w:t xml:space="preserve"> </w:t>
      </w:r>
      <w:r w:rsidR="00062DD5">
        <w:t>family</w:t>
      </w:r>
      <w:r w:rsidR="003D640C">
        <w:t xml:space="preserve"> </w:t>
      </w:r>
      <w:r w:rsidR="00062DD5">
        <w:t>settings.</w:t>
      </w:r>
      <w:r w:rsidR="003D640C">
        <w:t xml:space="preserve"> </w:t>
      </w:r>
      <w:r w:rsidR="00062DD5">
        <w:t>The</w:t>
      </w:r>
      <w:r w:rsidR="003D640C">
        <w:t xml:space="preserve"> </w:t>
      </w:r>
      <w:r w:rsidR="00062DD5" w:rsidRPr="007730BC">
        <w:t>attitudes</w:t>
      </w:r>
      <w:r w:rsidR="003D640C">
        <w:t xml:space="preserve"> </w:t>
      </w:r>
      <w:r w:rsidR="00062DD5" w:rsidRPr="007730BC">
        <w:t>of</w:t>
      </w:r>
      <w:r w:rsidR="003D640C">
        <w:t xml:space="preserve"> </w:t>
      </w:r>
      <w:r w:rsidR="00062DD5" w:rsidRPr="007730BC">
        <w:t>general</w:t>
      </w:r>
      <w:r w:rsidR="003D640C">
        <w:t xml:space="preserve"> </w:t>
      </w:r>
      <w:r w:rsidR="00062DD5" w:rsidRPr="007730BC">
        <w:t>society</w:t>
      </w:r>
      <w:r w:rsidR="003D640C">
        <w:t xml:space="preserve"> </w:t>
      </w:r>
      <w:r w:rsidR="00062DD5" w:rsidRPr="007730BC">
        <w:t>and</w:t>
      </w:r>
      <w:r w:rsidR="003D640C">
        <w:t xml:space="preserve"> </w:t>
      </w:r>
      <w:r w:rsidR="00062DD5" w:rsidRPr="007730BC">
        <w:t>some</w:t>
      </w:r>
      <w:r w:rsidR="003D640C">
        <w:t xml:space="preserve"> </w:t>
      </w:r>
      <w:r w:rsidR="00062DD5" w:rsidRPr="007730BC">
        <w:t>religious</w:t>
      </w:r>
      <w:r w:rsidR="003D640C">
        <w:t xml:space="preserve"> </w:t>
      </w:r>
      <w:r w:rsidR="00062DD5" w:rsidRPr="007730BC">
        <w:t>communities</w:t>
      </w:r>
      <w:r w:rsidR="003D640C">
        <w:t xml:space="preserve"> </w:t>
      </w:r>
      <w:r w:rsidR="00062DD5" w:rsidRPr="007730BC">
        <w:t>in</w:t>
      </w:r>
      <w:r w:rsidR="003D640C">
        <w:t xml:space="preserve"> </w:t>
      </w:r>
      <w:r w:rsidR="00062DD5" w:rsidRPr="007730BC">
        <w:t>Aotearoa</w:t>
      </w:r>
      <w:r w:rsidR="003D640C">
        <w:t xml:space="preserve"> </w:t>
      </w:r>
      <w:r w:rsidR="00062DD5" w:rsidRPr="007730BC">
        <w:t>have</w:t>
      </w:r>
      <w:r w:rsidR="003D640C">
        <w:t xml:space="preserve"> </w:t>
      </w:r>
      <w:r w:rsidR="00062DD5" w:rsidRPr="007730BC">
        <w:t>shifted</w:t>
      </w:r>
      <w:r w:rsidR="003D640C">
        <w:t xml:space="preserve"> </w:t>
      </w:r>
      <w:r w:rsidR="00062DD5" w:rsidRPr="007730BC">
        <w:t>to</w:t>
      </w:r>
      <w:r w:rsidR="003D640C">
        <w:t xml:space="preserve"> </w:t>
      </w:r>
      <w:r w:rsidR="00062DD5" w:rsidRPr="007730BC">
        <w:t>become</w:t>
      </w:r>
      <w:r w:rsidR="003D640C">
        <w:t xml:space="preserve"> </w:t>
      </w:r>
      <w:r w:rsidR="00062DD5" w:rsidRPr="007730BC">
        <w:t>more</w:t>
      </w:r>
      <w:r w:rsidR="003D640C">
        <w:t xml:space="preserve"> </w:t>
      </w:r>
      <w:r w:rsidR="00062DD5" w:rsidRPr="007730BC">
        <w:t>accepting,</w:t>
      </w:r>
      <w:r w:rsidR="003D640C">
        <w:t xml:space="preserve"> </w:t>
      </w:r>
      <w:r w:rsidR="00062DD5" w:rsidRPr="007730BC">
        <w:t>inclusive,</w:t>
      </w:r>
      <w:r w:rsidR="003D640C">
        <w:t xml:space="preserve"> </w:t>
      </w:r>
      <w:r w:rsidR="00062DD5" w:rsidRPr="007730BC">
        <w:t>and</w:t>
      </w:r>
      <w:r w:rsidR="003D640C">
        <w:t xml:space="preserve"> </w:t>
      </w:r>
      <w:r w:rsidR="00062DD5" w:rsidRPr="007730BC">
        <w:t>celebratory</w:t>
      </w:r>
      <w:r w:rsidR="003D640C">
        <w:t xml:space="preserve"> </w:t>
      </w:r>
      <w:r w:rsidR="00062DD5" w:rsidRPr="007730BC">
        <w:t>of</w:t>
      </w:r>
      <w:r w:rsidR="003D640C">
        <w:t xml:space="preserve"> </w:t>
      </w:r>
      <w:r w:rsidR="00062DD5" w:rsidRPr="007730BC">
        <w:t>Rainbow</w:t>
      </w:r>
      <w:r w:rsidR="003D640C">
        <w:t xml:space="preserve"> </w:t>
      </w:r>
      <w:r w:rsidR="00062DD5" w:rsidRPr="007730BC">
        <w:t>people</w:t>
      </w:r>
      <w:r w:rsidR="003D640C">
        <w:t xml:space="preserve"> </w:t>
      </w:r>
      <w:r w:rsidR="00062DD5" w:rsidRPr="007730BC">
        <w:t>and</w:t>
      </w:r>
      <w:r w:rsidR="003D640C">
        <w:t xml:space="preserve"> </w:t>
      </w:r>
      <w:r w:rsidR="00062DD5" w:rsidRPr="007730BC">
        <w:t>their</w:t>
      </w:r>
      <w:r w:rsidR="003D640C">
        <w:t xml:space="preserve"> </w:t>
      </w:r>
      <w:r w:rsidR="00062DD5" w:rsidRPr="007730BC">
        <w:t>experiences.</w:t>
      </w:r>
      <w:r w:rsidR="003D640C">
        <w:t xml:space="preserve"> </w:t>
      </w:r>
      <w:r w:rsidR="00062DD5" w:rsidRPr="007730BC">
        <w:t>However,</w:t>
      </w:r>
      <w:r w:rsidR="003D640C">
        <w:t xml:space="preserve"> </w:t>
      </w:r>
      <w:r w:rsidR="00062DD5" w:rsidRPr="007730BC">
        <w:t>homophobic</w:t>
      </w:r>
      <w:r w:rsidR="003D640C">
        <w:t xml:space="preserve"> </w:t>
      </w:r>
      <w:r w:rsidR="00062DD5" w:rsidRPr="007730BC">
        <w:t>and</w:t>
      </w:r>
      <w:r w:rsidR="003D640C">
        <w:t xml:space="preserve"> </w:t>
      </w:r>
      <w:r w:rsidR="00062DD5" w:rsidRPr="007730BC">
        <w:t>transphobic</w:t>
      </w:r>
      <w:r w:rsidR="003D640C">
        <w:t xml:space="preserve"> </w:t>
      </w:r>
      <w:r w:rsidR="00062DD5" w:rsidRPr="007730BC">
        <w:t>views</w:t>
      </w:r>
      <w:r w:rsidR="003D640C">
        <w:t xml:space="preserve"> </w:t>
      </w:r>
      <w:r w:rsidR="00062DD5" w:rsidRPr="007730BC">
        <w:t>are</w:t>
      </w:r>
      <w:r w:rsidR="003D640C">
        <w:t xml:space="preserve"> </w:t>
      </w:r>
      <w:r w:rsidR="00062DD5" w:rsidRPr="007730BC">
        <w:t>still</w:t>
      </w:r>
      <w:r w:rsidR="003D640C">
        <w:t xml:space="preserve"> </w:t>
      </w:r>
      <w:r w:rsidR="00062DD5" w:rsidRPr="007730BC">
        <w:t>common</w:t>
      </w:r>
      <w:r w:rsidR="00426254">
        <w:t>,</w:t>
      </w:r>
      <w:r w:rsidR="003D640C">
        <w:t xml:space="preserve"> </w:t>
      </w:r>
      <w:r w:rsidR="00062DD5" w:rsidRPr="007730BC">
        <w:t>and</w:t>
      </w:r>
      <w:r w:rsidR="003D640C">
        <w:t xml:space="preserve"> </w:t>
      </w:r>
      <w:r w:rsidR="00F46B59">
        <w:t xml:space="preserve">our engagement suggests that </w:t>
      </w:r>
      <w:r w:rsidR="00062DD5" w:rsidRPr="007730BC">
        <w:t>religious</w:t>
      </w:r>
      <w:r w:rsidR="003D640C">
        <w:t xml:space="preserve"> </w:t>
      </w:r>
      <w:r w:rsidR="00062DD5" w:rsidRPr="007730BC">
        <w:t>communities</w:t>
      </w:r>
      <w:r w:rsidR="003D640C">
        <w:t xml:space="preserve"> </w:t>
      </w:r>
      <w:r w:rsidR="00062DD5" w:rsidRPr="007730BC">
        <w:t>are</w:t>
      </w:r>
      <w:r w:rsidR="003D640C">
        <w:t xml:space="preserve"> </w:t>
      </w:r>
      <w:r w:rsidR="00062DD5" w:rsidRPr="007730BC">
        <w:t>one</w:t>
      </w:r>
      <w:r w:rsidR="003D640C">
        <w:t xml:space="preserve"> </w:t>
      </w:r>
      <w:r w:rsidR="00062DD5" w:rsidRPr="007730BC">
        <w:t>of</w:t>
      </w:r>
      <w:r w:rsidR="003D640C">
        <w:t xml:space="preserve"> </w:t>
      </w:r>
      <w:r w:rsidR="00062DD5" w:rsidRPr="007730BC">
        <w:t>the</w:t>
      </w:r>
      <w:r w:rsidR="003D640C">
        <w:t xml:space="preserve"> </w:t>
      </w:r>
      <w:r w:rsidR="00062DD5" w:rsidRPr="007730BC">
        <w:t>most</w:t>
      </w:r>
      <w:r w:rsidR="003D640C">
        <w:t xml:space="preserve"> </w:t>
      </w:r>
      <w:r w:rsidR="00062DD5" w:rsidRPr="007730BC">
        <w:t>frequent</w:t>
      </w:r>
      <w:r w:rsidR="003D640C">
        <w:t xml:space="preserve"> </w:t>
      </w:r>
      <w:r w:rsidR="00062DD5" w:rsidRPr="007730BC">
        <w:t>settings</w:t>
      </w:r>
      <w:r w:rsidR="003D640C">
        <w:t xml:space="preserve"> </w:t>
      </w:r>
      <w:r w:rsidR="00062DD5" w:rsidRPr="007730BC">
        <w:t>for</w:t>
      </w:r>
      <w:r w:rsidR="003D640C">
        <w:t xml:space="preserve"> </w:t>
      </w:r>
      <w:r w:rsidR="00062DD5" w:rsidRPr="007730BC">
        <w:t>conversion</w:t>
      </w:r>
      <w:r w:rsidR="003D640C">
        <w:t xml:space="preserve"> </w:t>
      </w:r>
      <w:r w:rsidR="00062DD5" w:rsidRPr="007730BC">
        <w:t>practices.</w:t>
      </w:r>
      <w:r w:rsidR="003D640C">
        <w:t xml:space="preserve"> </w:t>
      </w:r>
    </w:p>
    <w:p w14:paraId="60C99B2D" w14:textId="6303C16A" w:rsidR="00062DD5" w:rsidRDefault="3FA62AF1" w:rsidP="00B2336B">
      <w:pPr>
        <w:rPr>
          <w:rFonts w:ascii="Calibri" w:eastAsia="Calibri" w:hAnsi="Calibri" w:cs="Calibri"/>
          <w:color w:val="000000" w:themeColor="text1"/>
        </w:rPr>
      </w:pPr>
      <w:r w:rsidRPr="30ECBFB6">
        <w:rPr>
          <w:rFonts w:ascii="Calibri" w:eastAsia="Calibri" w:hAnsi="Calibri" w:cs="Calibri"/>
          <w:color w:val="000000" w:themeColor="text1"/>
        </w:rPr>
        <w:t>Across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all</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groups,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people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wanting</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leave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often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face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sudden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absence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support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networks.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Intersectionality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factor</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creating</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higher</w:t>
      </w:r>
      <w:r w:rsidR="00426254">
        <w:rPr>
          <w:rFonts w:ascii="Calibri" w:eastAsia="Calibri" w:hAnsi="Calibri" w:cs="Calibri"/>
          <w:color w:val="000000" w:themeColor="text1"/>
        </w:rPr>
        <w:t>-</w:t>
      </w:r>
      <w:r w:rsidRPr="30ECBFB6">
        <w:rPr>
          <w:rFonts w:ascii="Calibri" w:eastAsia="Calibri" w:hAnsi="Calibri" w:cs="Calibri"/>
          <w:color w:val="000000" w:themeColor="text1"/>
        </w:rPr>
        <w:t>risk</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situations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for</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those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who</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experience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multiple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forms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oppression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from</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society.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Families</w:t>
      </w:r>
      <w:r w:rsidR="005D71EE">
        <w:rPr>
          <w:rFonts w:ascii="Calibri" w:eastAsia="Calibri" w:hAnsi="Calibri" w:cs="Calibri"/>
          <w:color w:val="000000" w:themeColor="text1"/>
        </w:rPr>
        <w:t>,</w:t>
      </w:r>
      <w:r w:rsidR="00426254">
        <w:rPr>
          <w:rFonts w:ascii="Calibri" w:eastAsia="Calibri" w:hAnsi="Calibri" w:cs="Calibri"/>
          <w:color w:val="000000" w:themeColor="text1"/>
        </w:rPr>
        <w:t xml:space="preserve"> 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faith</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ethnic</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communities</w:t>
      </w:r>
      <w:r w:rsidR="005525A8">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can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be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particularly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important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sources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solidarity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support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for</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people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who</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experience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widespread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systemic</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interpersonal</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discrimination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racism</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socioeconomic</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marginalisation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such</w:t>
      </w:r>
      <w:r w:rsidR="003D640C">
        <w:rPr>
          <w:rFonts w:ascii="Calibri" w:eastAsia="Calibri" w:hAnsi="Calibri" w:cs="Calibri"/>
          <w:color w:val="000000" w:themeColor="text1"/>
        </w:rPr>
        <w:t xml:space="preserve"> </w:t>
      </w:r>
      <w:r w:rsidR="370702AA" w:rsidRPr="30ECBFB6">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Māori,</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Pacific</w:t>
      </w:r>
      <w:r w:rsidR="00426254">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minority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ethnic,</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migrant</w:t>
      </w:r>
      <w:r w:rsidR="00426254">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refugee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communities</w:t>
      </w:r>
      <w:r w:rsidR="004264F2">
        <w:rPr>
          <w:rFonts w:ascii="Calibri" w:eastAsia="Calibri" w:hAnsi="Calibri" w:cs="Calibri"/>
          <w:color w:val="000000" w:themeColor="text1"/>
        </w:rPr>
        <w:t>,</w:t>
      </w:r>
      <w:r w:rsidR="00062DD5">
        <w:rPr>
          <w:rStyle w:val="FootnoteReference"/>
          <w:rFonts w:ascii="Calibri" w:eastAsia="Calibri" w:hAnsi="Calibri" w:cs="Calibri"/>
          <w:color w:val="000000" w:themeColor="text1"/>
        </w:rPr>
        <w:footnoteReference w:id="70"/>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disabled</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people</w:t>
      </w:r>
      <w:r w:rsidRPr="30ECBFB6">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This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can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have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serious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implications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for</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Rainbow</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individuals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if</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communities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they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rely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for</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support</w:t>
      </w:r>
      <w:r w:rsidR="401FC07E" w:rsidRPr="30ECBFB6">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care</w:t>
      </w:r>
      <w:r w:rsidR="004264F2">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sense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belonging</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simultaneously</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become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sources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harm</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through</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ideologies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00AA3576">
        <w:rPr>
          <w:rFonts w:ascii="Calibri" w:eastAsia="Calibri" w:hAnsi="Calibri" w:cs="Calibri"/>
          <w:color w:val="000000" w:themeColor="text1"/>
        </w:rPr>
        <w:t>This</w:t>
      </w:r>
      <w:r w:rsidR="003D640C">
        <w:rPr>
          <w:rFonts w:ascii="Calibri" w:eastAsia="Calibri" w:hAnsi="Calibri" w:cs="Calibri"/>
          <w:color w:val="000000" w:themeColor="text1"/>
        </w:rPr>
        <w:t xml:space="preserve"> </w:t>
      </w:r>
      <w:r w:rsidR="00AA3576">
        <w:rPr>
          <w:rFonts w:ascii="Calibri" w:eastAsia="Calibri" w:hAnsi="Calibri" w:cs="Calibri"/>
          <w:color w:val="000000" w:themeColor="text1"/>
        </w:rPr>
        <w:t>can</w:t>
      </w:r>
      <w:r w:rsidR="003D640C">
        <w:rPr>
          <w:rFonts w:ascii="Calibri" w:eastAsia="Calibri" w:hAnsi="Calibri" w:cs="Calibri"/>
          <w:color w:val="000000" w:themeColor="text1"/>
        </w:rPr>
        <w:t xml:space="preserve"> </w:t>
      </w:r>
      <w:r w:rsidR="00AA3576">
        <w:rPr>
          <w:rFonts w:ascii="Calibri" w:eastAsia="Calibri" w:hAnsi="Calibri" w:cs="Calibri"/>
          <w:color w:val="000000" w:themeColor="text1"/>
        </w:rPr>
        <w:t>diminish</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Rainbow</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people’s</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access</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other</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perspectives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information</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about</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diverse</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sexualities</w:t>
      </w:r>
      <w:r w:rsidR="003D640C">
        <w:rPr>
          <w:rFonts w:ascii="Calibri" w:eastAsia="Calibri" w:hAnsi="Calibri" w:cs="Calibri"/>
          <w:color w:val="000000" w:themeColor="text1"/>
        </w:rPr>
        <w:t xml:space="preserve"> </w:t>
      </w:r>
      <w:r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gender</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identity</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401FC07E" w:rsidRPr="30ECBFB6">
        <w:rPr>
          <w:rFonts w:ascii="Calibri" w:eastAsia="Calibri" w:hAnsi="Calibri" w:cs="Calibri"/>
          <w:color w:val="000000" w:themeColor="text1"/>
        </w:rPr>
        <w:t>expression</w:t>
      </w:r>
      <w:r w:rsidR="004264F2">
        <w:rPr>
          <w:rFonts w:ascii="Calibri" w:eastAsia="Calibri" w:hAnsi="Calibri" w:cs="Calibri"/>
          <w:color w:val="000000" w:themeColor="text1"/>
        </w:rPr>
        <w:t xml:space="preserve"> and</w:t>
      </w:r>
      <w:r w:rsidR="004264F2" w:rsidRPr="004264F2">
        <w:rPr>
          <w:rFonts w:ascii="Calibri" w:eastAsia="Calibri" w:hAnsi="Calibri" w:cs="Calibri"/>
          <w:color w:val="000000" w:themeColor="text1"/>
        </w:rPr>
        <w:t xml:space="preserve"> </w:t>
      </w:r>
      <w:r w:rsidR="004264F2" w:rsidRPr="30ECBFB6">
        <w:rPr>
          <w:rFonts w:ascii="Calibri" w:eastAsia="Calibri" w:hAnsi="Calibri" w:cs="Calibri"/>
          <w:color w:val="000000" w:themeColor="text1"/>
        </w:rPr>
        <w:t>increas</w:t>
      </w:r>
      <w:r w:rsidR="004264F2">
        <w:rPr>
          <w:rFonts w:ascii="Calibri" w:eastAsia="Calibri" w:hAnsi="Calibri" w:cs="Calibri"/>
          <w:color w:val="000000" w:themeColor="text1"/>
        </w:rPr>
        <w:t xml:space="preserve">e </w:t>
      </w:r>
      <w:r w:rsidR="004264F2" w:rsidRPr="30ECBFB6">
        <w:rPr>
          <w:rFonts w:ascii="Calibri" w:eastAsia="Calibri" w:hAnsi="Calibri" w:cs="Calibri"/>
          <w:color w:val="000000" w:themeColor="text1"/>
        </w:rPr>
        <w:t>their</w:t>
      </w:r>
      <w:r w:rsidR="004264F2">
        <w:rPr>
          <w:rFonts w:ascii="Calibri" w:eastAsia="Calibri" w:hAnsi="Calibri" w:cs="Calibri"/>
          <w:color w:val="000000" w:themeColor="text1"/>
        </w:rPr>
        <w:t xml:space="preserve"> </w:t>
      </w:r>
      <w:r w:rsidR="004264F2" w:rsidRPr="30ECBFB6">
        <w:rPr>
          <w:rFonts w:ascii="Calibri" w:eastAsia="Calibri" w:hAnsi="Calibri" w:cs="Calibri"/>
          <w:color w:val="000000" w:themeColor="text1"/>
        </w:rPr>
        <w:t>biases</w:t>
      </w:r>
      <w:r w:rsidR="004264F2">
        <w:rPr>
          <w:rFonts w:ascii="Calibri" w:eastAsia="Calibri" w:hAnsi="Calibri" w:cs="Calibri"/>
          <w:color w:val="000000" w:themeColor="text1"/>
        </w:rPr>
        <w:t xml:space="preserve"> </w:t>
      </w:r>
      <w:r w:rsidR="004264F2" w:rsidRPr="30ECBFB6">
        <w:rPr>
          <w:rFonts w:ascii="Calibri" w:eastAsia="Calibri" w:hAnsi="Calibri" w:cs="Calibri"/>
          <w:color w:val="000000" w:themeColor="text1"/>
        </w:rPr>
        <w:t>against</w:t>
      </w:r>
      <w:r w:rsidR="004264F2">
        <w:rPr>
          <w:rFonts w:ascii="Calibri" w:eastAsia="Calibri" w:hAnsi="Calibri" w:cs="Calibri"/>
          <w:color w:val="000000" w:themeColor="text1"/>
        </w:rPr>
        <w:t xml:space="preserve"> these</w:t>
      </w:r>
      <w:r w:rsidRPr="30ECBFB6">
        <w:rPr>
          <w:rFonts w:ascii="Calibri" w:eastAsia="Calibri" w:hAnsi="Calibri" w:cs="Calibri"/>
          <w:color w:val="000000" w:themeColor="text1"/>
        </w:rPr>
        <w:t>.</w:t>
      </w:r>
      <w:r w:rsidR="003D640C">
        <w:rPr>
          <w:rFonts w:ascii="Calibri" w:eastAsia="Calibri" w:hAnsi="Calibri" w:cs="Calibri"/>
          <w:color w:val="000000" w:themeColor="text1"/>
        </w:rPr>
        <w:t xml:space="preserve"> </w:t>
      </w:r>
    </w:p>
    <w:p w14:paraId="3152E730" w14:textId="523860AF" w:rsidR="00062DD5" w:rsidRPr="00BB6220" w:rsidRDefault="00062DD5" w:rsidP="00B2336B">
      <w:pPr>
        <w:rPr>
          <w:rFonts w:ascii="Calibri" w:eastAsia="Calibri" w:hAnsi="Calibri" w:cs="Calibri"/>
          <w:color w:val="000000" w:themeColor="text1"/>
        </w:rPr>
      </w:pPr>
      <w:r w:rsidRPr="00BB6220">
        <w:rPr>
          <w:rFonts w:ascii="Calibri" w:eastAsia="Calibri" w:hAnsi="Calibri" w:cs="Calibri"/>
          <w:color w:val="000000" w:themeColor="text1"/>
        </w:rPr>
        <w:t>Outside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family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community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networks,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professional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support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services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such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mental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medical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healthcare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have</w:t>
      </w:r>
      <w:r w:rsidR="003D640C">
        <w:rPr>
          <w:rFonts w:ascii="Calibri" w:eastAsia="Calibri" w:hAnsi="Calibri" w:cs="Calibri"/>
          <w:color w:val="000000" w:themeColor="text1"/>
        </w:rPr>
        <w:t xml:space="preserve"> </w:t>
      </w:r>
      <w:r>
        <w:rPr>
          <w:rFonts w:ascii="Calibri" w:eastAsia="Calibri" w:hAnsi="Calibri" w:cs="Calibri"/>
          <w:color w:val="000000" w:themeColor="text1"/>
        </w:rPr>
        <w:t>also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been</w:t>
      </w:r>
      <w:r w:rsidR="003D640C">
        <w:rPr>
          <w:rFonts w:ascii="Calibri" w:eastAsia="Calibri" w:hAnsi="Calibri" w:cs="Calibri"/>
          <w:color w:val="000000" w:themeColor="text1"/>
        </w:rPr>
        <w:t xml:space="preserve"> </w:t>
      </w:r>
      <w:r>
        <w:rPr>
          <w:rFonts w:ascii="Calibri" w:eastAsia="Calibri" w:hAnsi="Calibri" w:cs="Calibri"/>
          <w:color w:val="000000" w:themeColor="text1"/>
        </w:rPr>
        <w:t>settings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associated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with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001054A7">
        <w:rPr>
          <w:rFonts w:ascii="Calibri" w:eastAsia="Calibri" w:hAnsi="Calibri" w:cs="Calibri"/>
          <w:color w:val="000000" w:themeColor="text1"/>
        </w:rPr>
        <w:t>often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when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practitioner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informed</w:t>
      </w:r>
      <w:r w:rsidR="003D640C">
        <w:rPr>
          <w:rFonts w:ascii="Calibri" w:eastAsia="Calibri" w:hAnsi="Calibri" w:cs="Calibri"/>
          <w:color w:val="000000" w:themeColor="text1"/>
        </w:rPr>
        <w:t xml:space="preserve"> </w:t>
      </w:r>
      <w:r w:rsidRPr="00E82C3E">
        <w:rPr>
          <w:rFonts w:eastAsia="Calibri" w:cstheme="minorHAnsi"/>
          <w:color w:val="000000" w:themeColor="text1"/>
        </w:rPr>
        <w:t>by</w:t>
      </w:r>
      <w:r w:rsidR="003D640C">
        <w:rPr>
          <w:rFonts w:eastAsia="Calibri" w:cstheme="minorHAnsi"/>
          <w:color w:val="000000" w:themeColor="text1"/>
        </w:rPr>
        <w:t xml:space="preserve"> </w:t>
      </w:r>
      <w:r w:rsidRPr="00E82C3E">
        <w:rPr>
          <w:rFonts w:eastAsia="Calibri" w:cstheme="minorHAnsi"/>
          <w:color w:val="000000" w:themeColor="text1"/>
        </w:rPr>
        <w:t>Christian</w:t>
      </w:r>
      <w:r w:rsidR="003D640C">
        <w:rPr>
          <w:rFonts w:eastAsia="Calibri" w:cstheme="minorHAnsi"/>
          <w:color w:val="000000" w:themeColor="text1"/>
        </w:rPr>
        <w:t xml:space="preserve"> </w:t>
      </w:r>
      <w:r w:rsidRPr="00E82C3E">
        <w:rPr>
          <w:rFonts w:eastAsia="Calibri" w:cstheme="minorHAnsi"/>
          <w:color w:val="000000" w:themeColor="text1"/>
        </w:rPr>
        <w:t>principles</w:t>
      </w:r>
      <w:r w:rsidR="003D640C">
        <w:rPr>
          <w:rFonts w:eastAsia="Calibri" w:cstheme="minorHAnsi"/>
          <w:color w:val="000000" w:themeColor="text1"/>
        </w:rPr>
        <w:t xml:space="preserve"> </w:t>
      </w:r>
      <w:r w:rsidRPr="00E82C3E">
        <w:rPr>
          <w:rFonts w:eastAsia="Calibri" w:cstheme="minorHAnsi"/>
          <w:color w:val="000000" w:themeColor="text1"/>
        </w:rPr>
        <w:t>or</w:t>
      </w:r>
      <w:r w:rsidR="003D640C">
        <w:rPr>
          <w:rFonts w:eastAsia="Calibri" w:cstheme="minorHAnsi"/>
          <w:color w:val="000000" w:themeColor="text1"/>
        </w:rPr>
        <w:t xml:space="preserve"> </w:t>
      </w:r>
      <w:r w:rsidRPr="00E82C3E">
        <w:rPr>
          <w:rFonts w:eastAsia="Calibri" w:cstheme="minorHAnsi"/>
          <w:color w:val="000000" w:themeColor="text1"/>
        </w:rPr>
        <w:t>closely</w:t>
      </w:r>
      <w:r w:rsidR="003D640C">
        <w:rPr>
          <w:rFonts w:eastAsia="Calibri" w:cstheme="minorHAnsi"/>
          <w:color w:val="000000" w:themeColor="text1"/>
        </w:rPr>
        <w:t xml:space="preserve"> </w:t>
      </w:r>
      <w:r w:rsidRPr="00E82C3E">
        <w:rPr>
          <w:rFonts w:eastAsia="Calibri" w:cstheme="minorHAnsi"/>
          <w:color w:val="000000" w:themeColor="text1"/>
        </w:rPr>
        <w:t>tied</w:t>
      </w:r>
      <w:r w:rsidR="003D640C">
        <w:rPr>
          <w:rFonts w:eastAsia="Calibri" w:cstheme="minorHAnsi"/>
          <w:color w:val="000000" w:themeColor="text1"/>
        </w:rPr>
        <w:t xml:space="preserve"> </w:t>
      </w:r>
      <w:r w:rsidRPr="00E82C3E">
        <w:rPr>
          <w:rFonts w:eastAsia="Calibri" w:cstheme="minorHAnsi"/>
          <w:color w:val="000000" w:themeColor="text1"/>
        </w:rPr>
        <w:t>with</w:t>
      </w:r>
      <w:r w:rsidR="003D640C">
        <w:rPr>
          <w:rFonts w:eastAsia="Calibri" w:cstheme="minorHAnsi"/>
          <w:color w:val="000000" w:themeColor="text1"/>
        </w:rPr>
        <w:t xml:space="preserve"> </w:t>
      </w:r>
      <w:r w:rsidRPr="00E82C3E">
        <w:rPr>
          <w:rFonts w:eastAsia="Calibri" w:cstheme="minorHAnsi"/>
          <w:color w:val="000000" w:themeColor="text1"/>
        </w:rPr>
        <w:t>communities</w:t>
      </w:r>
      <w:r w:rsidR="003D640C">
        <w:rPr>
          <w:rFonts w:eastAsia="Calibri" w:cstheme="minorHAnsi"/>
          <w:color w:val="000000" w:themeColor="text1"/>
        </w:rPr>
        <w:t xml:space="preserve"> </w:t>
      </w:r>
      <w:r w:rsidRPr="00E82C3E">
        <w:rPr>
          <w:rFonts w:eastAsia="Calibri" w:cstheme="minorHAnsi"/>
          <w:color w:val="000000" w:themeColor="text1"/>
        </w:rPr>
        <w:t>that</w:t>
      </w:r>
      <w:r w:rsidR="003D640C">
        <w:rPr>
          <w:rFonts w:eastAsia="Calibri" w:cstheme="minorHAnsi"/>
          <w:color w:val="000000" w:themeColor="text1"/>
        </w:rPr>
        <w:t xml:space="preserve"> </w:t>
      </w:r>
      <w:r w:rsidRPr="00E82C3E">
        <w:rPr>
          <w:rFonts w:eastAsia="Calibri" w:cstheme="minorHAnsi"/>
          <w:color w:val="000000" w:themeColor="text1"/>
        </w:rPr>
        <w:t>subscribe</w:t>
      </w:r>
      <w:r w:rsidR="003D640C">
        <w:rPr>
          <w:rFonts w:eastAsia="Calibri" w:cstheme="minorHAnsi"/>
          <w:color w:val="000000" w:themeColor="text1"/>
        </w:rPr>
        <w:t xml:space="preserve"> </w:t>
      </w:r>
      <w:r w:rsidRPr="00E82C3E">
        <w:rPr>
          <w:rFonts w:eastAsia="Calibri" w:cstheme="minorHAnsi"/>
          <w:color w:val="000000" w:themeColor="text1"/>
        </w:rPr>
        <w:t>to</w:t>
      </w:r>
      <w:r w:rsidR="003D640C">
        <w:rPr>
          <w:rFonts w:eastAsia="Calibri" w:cstheme="minorHAnsi"/>
          <w:color w:val="000000" w:themeColor="text1"/>
        </w:rPr>
        <w:t xml:space="preserve"> </w:t>
      </w:r>
      <w:r w:rsidRPr="00E82C3E">
        <w:rPr>
          <w:rFonts w:eastAsia="Calibri" w:cstheme="minorHAnsi"/>
          <w:color w:val="000000" w:themeColor="text1"/>
        </w:rPr>
        <w:t>conversion</w:t>
      </w:r>
      <w:r w:rsidR="003D640C">
        <w:rPr>
          <w:rFonts w:eastAsia="Calibri" w:cstheme="minorHAnsi"/>
          <w:color w:val="000000" w:themeColor="text1"/>
        </w:rPr>
        <w:t xml:space="preserve"> </w:t>
      </w:r>
      <w:r w:rsidRPr="00E82C3E">
        <w:rPr>
          <w:rFonts w:eastAsia="Calibri" w:cstheme="minorHAnsi"/>
          <w:color w:val="000000" w:themeColor="text1"/>
        </w:rPr>
        <w:t>ideology.</w:t>
      </w:r>
      <w:r w:rsidR="003D640C">
        <w:rPr>
          <w:rFonts w:eastAsia="Calibri" w:cstheme="minorHAnsi"/>
          <w:color w:val="000000" w:themeColor="text1"/>
        </w:rPr>
        <w:t xml:space="preserve"> </w:t>
      </w:r>
      <w:r>
        <w:rPr>
          <w:rFonts w:eastAsia="Calibri" w:cstheme="minorHAnsi"/>
          <w:color w:val="000000" w:themeColor="text1"/>
        </w:rPr>
        <w:t>These</w:t>
      </w:r>
      <w:r w:rsidR="003D640C">
        <w:rPr>
          <w:rFonts w:eastAsia="Calibri" w:cstheme="minorHAnsi"/>
          <w:color w:val="000000" w:themeColor="text1"/>
        </w:rPr>
        <w:t xml:space="preserve"> </w:t>
      </w:r>
      <w:r>
        <w:rPr>
          <w:rFonts w:eastAsia="Calibri" w:cstheme="minorHAnsi"/>
          <w:color w:val="000000" w:themeColor="text1"/>
        </w:rPr>
        <w:t>can</w:t>
      </w:r>
      <w:r w:rsidR="003D640C">
        <w:rPr>
          <w:rFonts w:eastAsia="Calibri" w:cstheme="minorHAnsi"/>
          <w:color w:val="000000" w:themeColor="text1"/>
        </w:rPr>
        <w:t xml:space="preserve"> </w:t>
      </w:r>
      <w:r>
        <w:rPr>
          <w:rFonts w:eastAsia="Calibri" w:cstheme="minorHAnsi"/>
          <w:color w:val="000000" w:themeColor="text1"/>
        </w:rPr>
        <w:t>include</w:t>
      </w:r>
      <w:r w:rsidR="003D640C">
        <w:rPr>
          <w:rFonts w:eastAsia="Calibri" w:cstheme="minorHAnsi"/>
          <w:color w:val="000000" w:themeColor="text1"/>
        </w:rPr>
        <w:t xml:space="preserve"> </w:t>
      </w:r>
      <w:r>
        <w:rPr>
          <w:rFonts w:eastAsia="Calibri" w:cstheme="minorHAnsi"/>
          <w:color w:val="000000" w:themeColor="text1"/>
        </w:rPr>
        <w:t>primary</w:t>
      </w:r>
      <w:r w:rsidR="003D640C">
        <w:rPr>
          <w:rFonts w:eastAsia="Calibri" w:cstheme="minorHAnsi"/>
          <w:color w:val="000000" w:themeColor="text1"/>
        </w:rPr>
        <w:t xml:space="preserve"> </w:t>
      </w:r>
      <w:r>
        <w:rPr>
          <w:rFonts w:eastAsia="Calibri" w:cstheme="minorHAnsi"/>
          <w:color w:val="000000" w:themeColor="text1"/>
        </w:rPr>
        <w:t>healthcare,</w:t>
      </w:r>
      <w:r w:rsidR="003D640C">
        <w:rPr>
          <w:rFonts w:eastAsia="Calibri" w:cstheme="minorHAnsi"/>
          <w:color w:val="000000" w:themeColor="text1"/>
        </w:rPr>
        <w:t xml:space="preserve"> </w:t>
      </w:r>
      <w:r>
        <w:rPr>
          <w:rFonts w:eastAsia="Calibri" w:cstheme="minorHAnsi"/>
          <w:color w:val="000000" w:themeColor="text1"/>
        </w:rPr>
        <w:t>paediatrics</w:t>
      </w:r>
      <w:r w:rsidR="003D640C">
        <w:rPr>
          <w:rFonts w:eastAsia="Calibri" w:cstheme="minorHAnsi"/>
          <w:color w:val="000000" w:themeColor="text1"/>
        </w:rPr>
        <w:t xml:space="preserve"> </w:t>
      </w:r>
      <w:r>
        <w:rPr>
          <w:rFonts w:eastAsia="Calibri" w:cstheme="minorHAnsi"/>
          <w:color w:val="000000" w:themeColor="text1"/>
        </w:rPr>
        <w:t>and</w:t>
      </w:r>
      <w:r w:rsidR="003D640C">
        <w:rPr>
          <w:rFonts w:eastAsia="Calibri" w:cstheme="minorHAnsi"/>
          <w:color w:val="000000" w:themeColor="text1"/>
        </w:rPr>
        <w:t xml:space="preserve"> </w:t>
      </w:r>
      <w:r>
        <w:rPr>
          <w:rFonts w:eastAsia="Calibri" w:cstheme="minorHAnsi"/>
          <w:color w:val="000000" w:themeColor="text1"/>
        </w:rPr>
        <w:t>mental</w:t>
      </w:r>
      <w:r w:rsidR="003D640C">
        <w:rPr>
          <w:rFonts w:eastAsia="Calibri" w:cstheme="minorHAnsi"/>
          <w:color w:val="000000" w:themeColor="text1"/>
        </w:rPr>
        <w:t xml:space="preserve"> </w:t>
      </w:r>
      <w:r>
        <w:rPr>
          <w:rFonts w:eastAsia="Calibri" w:cstheme="minorHAnsi"/>
          <w:color w:val="000000" w:themeColor="text1"/>
        </w:rPr>
        <w:t>healthcare,</w:t>
      </w:r>
      <w:r w:rsidR="003D640C">
        <w:rPr>
          <w:rFonts w:eastAsia="Calibri" w:cstheme="minorHAnsi"/>
          <w:color w:val="000000" w:themeColor="text1"/>
        </w:rPr>
        <w:t xml:space="preserve"> </w:t>
      </w:r>
      <w:r>
        <w:rPr>
          <w:rFonts w:eastAsia="Calibri" w:cstheme="minorHAnsi"/>
          <w:color w:val="000000" w:themeColor="text1"/>
        </w:rPr>
        <w:t>community-based</w:t>
      </w:r>
      <w:r w:rsidR="003D640C">
        <w:rPr>
          <w:rFonts w:eastAsia="Calibri" w:cstheme="minorHAnsi"/>
          <w:color w:val="000000" w:themeColor="text1"/>
        </w:rPr>
        <w:t xml:space="preserve"> </w:t>
      </w:r>
      <w:r>
        <w:rPr>
          <w:rFonts w:eastAsia="Calibri" w:cstheme="minorHAnsi"/>
          <w:color w:val="000000" w:themeColor="text1"/>
        </w:rPr>
        <w:t>counselling</w:t>
      </w:r>
      <w:r w:rsidR="004264F2">
        <w:rPr>
          <w:rFonts w:eastAsia="Calibri" w:cstheme="minorHAnsi"/>
          <w:color w:val="000000" w:themeColor="text1"/>
        </w:rPr>
        <w:t>,</w:t>
      </w:r>
      <w:r w:rsidR="003D640C">
        <w:rPr>
          <w:rFonts w:eastAsia="Calibri" w:cstheme="minorHAnsi"/>
          <w:color w:val="000000" w:themeColor="text1"/>
        </w:rPr>
        <w:t xml:space="preserve"> </w:t>
      </w:r>
      <w:r>
        <w:rPr>
          <w:rFonts w:eastAsia="Calibri" w:cstheme="minorHAnsi"/>
          <w:color w:val="000000" w:themeColor="text1"/>
        </w:rPr>
        <w:t>and</w:t>
      </w:r>
      <w:r w:rsidR="003D640C">
        <w:rPr>
          <w:rFonts w:eastAsia="Calibri" w:cstheme="minorHAnsi"/>
          <w:color w:val="000000" w:themeColor="text1"/>
        </w:rPr>
        <w:t xml:space="preserve"> </w:t>
      </w:r>
      <w:r>
        <w:rPr>
          <w:rFonts w:eastAsia="Calibri" w:cstheme="minorHAnsi"/>
          <w:color w:val="000000" w:themeColor="text1"/>
        </w:rPr>
        <w:t>alternative</w:t>
      </w:r>
      <w:r w:rsidR="003D640C">
        <w:rPr>
          <w:rFonts w:eastAsia="Calibri" w:cstheme="minorHAnsi"/>
          <w:color w:val="000000" w:themeColor="text1"/>
        </w:rPr>
        <w:t xml:space="preserve"> </w:t>
      </w:r>
      <w:r>
        <w:rPr>
          <w:rFonts w:eastAsia="Calibri" w:cstheme="minorHAnsi"/>
          <w:color w:val="000000" w:themeColor="text1"/>
        </w:rPr>
        <w:t>and</w:t>
      </w:r>
      <w:r w:rsidR="003D640C">
        <w:rPr>
          <w:rFonts w:eastAsia="Calibri" w:cstheme="minorHAnsi"/>
          <w:color w:val="000000" w:themeColor="text1"/>
        </w:rPr>
        <w:t xml:space="preserve"> </w:t>
      </w:r>
      <w:r>
        <w:rPr>
          <w:rFonts w:eastAsia="Calibri" w:cstheme="minorHAnsi"/>
          <w:color w:val="000000" w:themeColor="text1"/>
        </w:rPr>
        <w:t>complementary</w:t>
      </w:r>
      <w:r w:rsidR="003D640C">
        <w:rPr>
          <w:rFonts w:eastAsia="Calibri" w:cstheme="minorHAnsi"/>
          <w:color w:val="000000" w:themeColor="text1"/>
        </w:rPr>
        <w:t xml:space="preserve"> </w:t>
      </w:r>
      <w:r>
        <w:rPr>
          <w:rFonts w:eastAsia="Calibri" w:cstheme="minorHAnsi"/>
          <w:color w:val="000000" w:themeColor="text1"/>
        </w:rPr>
        <w:t>healthcare</w:t>
      </w:r>
      <w:r w:rsidR="003D640C">
        <w:rPr>
          <w:rFonts w:eastAsia="Calibri" w:cstheme="minorHAnsi"/>
          <w:color w:val="000000" w:themeColor="text1"/>
        </w:rPr>
        <w:t xml:space="preserve"> </w:t>
      </w:r>
      <w:r>
        <w:rPr>
          <w:rFonts w:eastAsia="Calibri" w:cstheme="minorHAnsi"/>
          <w:color w:val="000000" w:themeColor="text1"/>
        </w:rPr>
        <w:t>settings.</w:t>
      </w:r>
      <w:r w:rsidR="003D640C">
        <w:rPr>
          <w:rFonts w:eastAsia="Calibri" w:cstheme="minorHAnsi"/>
          <w:color w:val="000000" w:themeColor="text1"/>
        </w:rPr>
        <w:t xml:space="preserve"> </w:t>
      </w:r>
      <w:r w:rsidRPr="00E82C3E">
        <w:rPr>
          <w:rFonts w:cstheme="minorHAnsi"/>
        </w:rPr>
        <w:t>Survivors</w:t>
      </w:r>
      <w:r w:rsidR="003D640C">
        <w:rPr>
          <w:rFonts w:cstheme="minorHAnsi"/>
        </w:rPr>
        <w:t xml:space="preserve"> </w:t>
      </w:r>
      <w:r w:rsidRPr="00E82C3E">
        <w:rPr>
          <w:rFonts w:cstheme="minorHAnsi"/>
        </w:rPr>
        <w:t>reported</w:t>
      </w:r>
      <w:r w:rsidR="003D640C">
        <w:rPr>
          <w:rFonts w:cstheme="minorHAnsi"/>
        </w:rPr>
        <w:t xml:space="preserve"> </w:t>
      </w:r>
      <w:r w:rsidRPr="00E82C3E">
        <w:rPr>
          <w:rFonts w:cstheme="minorHAnsi"/>
        </w:rPr>
        <w:t>that</w:t>
      </w:r>
      <w:r w:rsidR="003D640C">
        <w:rPr>
          <w:rFonts w:cstheme="minorHAnsi"/>
        </w:rPr>
        <w:t xml:space="preserve"> </w:t>
      </w:r>
      <w:r w:rsidRPr="00E82C3E">
        <w:rPr>
          <w:rFonts w:cstheme="minorHAnsi"/>
        </w:rPr>
        <w:t>close-knit</w:t>
      </w:r>
      <w:r w:rsidR="003D640C">
        <w:rPr>
          <w:rFonts w:cstheme="minorHAnsi"/>
        </w:rPr>
        <w:t xml:space="preserve"> </w:t>
      </w:r>
      <w:r w:rsidRPr="00E82C3E">
        <w:rPr>
          <w:rFonts w:cstheme="minorHAnsi"/>
        </w:rPr>
        <w:t>community</w:t>
      </w:r>
      <w:r w:rsidR="003D640C">
        <w:rPr>
          <w:rFonts w:cstheme="minorHAnsi"/>
        </w:rPr>
        <w:t xml:space="preserve"> </w:t>
      </w:r>
      <w:r w:rsidRPr="00E82C3E">
        <w:rPr>
          <w:rFonts w:cstheme="minorHAnsi"/>
        </w:rPr>
        <w:t>dynamics</w:t>
      </w:r>
      <w:r w:rsidR="003D640C">
        <w:rPr>
          <w:rFonts w:cstheme="minorHAnsi"/>
        </w:rPr>
        <w:t xml:space="preserve"> </w:t>
      </w:r>
      <w:r w:rsidRPr="00E82C3E">
        <w:rPr>
          <w:rFonts w:cstheme="minorHAnsi"/>
        </w:rPr>
        <w:t>undermined</w:t>
      </w:r>
      <w:r w:rsidR="003D640C">
        <w:rPr>
          <w:rFonts w:cstheme="minorHAnsi"/>
        </w:rPr>
        <w:t xml:space="preserve"> </w:t>
      </w:r>
      <w:r w:rsidRPr="00E82C3E">
        <w:rPr>
          <w:rFonts w:cstheme="minorHAnsi"/>
        </w:rPr>
        <w:t>confidentiality</w:t>
      </w:r>
      <w:r w:rsidR="003D640C">
        <w:rPr>
          <w:rFonts w:cstheme="minorHAnsi"/>
        </w:rPr>
        <w:t xml:space="preserve"> </w:t>
      </w:r>
      <w:r w:rsidRPr="00E82C3E">
        <w:rPr>
          <w:rFonts w:cstheme="minorHAnsi"/>
        </w:rPr>
        <w:t>and</w:t>
      </w:r>
      <w:r w:rsidR="003D640C">
        <w:rPr>
          <w:rFonts w:cstheme="minorHAnsi"/>
        </w:rPr>
        <w:t xml:space="preserve"> </w:t>
      </w:r>
      <w:r w:rsidRPr="00E82C3E">
        <w:rPr>
          <w:rFonts w:cstheme="minorHAnsi"/>
        </w:rPr>
        <w:t>exaggerated</w:t>
      </w:r>
      <w:r w:rsidR="003D640C">
        <w:rPr>
          <w:rFonts w:cstheme="minorHAnsi"/>
        </w:rPr>
        <w:t xml:space="preserve"> </w:t>
      </w:r>
      <w:r w:rsidRPr="00E82C3E">
        <w:rPr>
          <w:rFonts w:cstheme="minorHAnsi"/>
        </w:rPr>
        <w:t>power</w:t>
      </w:r>
      <w:r w:rsidR="003D640C">
        <w:rPr>
          <w:rFonts w:cstheme="minorHAnsi"/>
        </w:rPr>
        <w:t xml:space="preserve"> </w:t>
      </w:r>
      <w:r w:rsidRPr="00E82C3E">
        <w:rPr>
          <w:rFonts w:cstheme="minorHAnsi"/>
        </w:rPr>
        <w:t>dynamics,</w:t>
      </w:r>
      <w:r w:rsidR="003D640C">
        <w:rPr>
          <w:rFonts w:cstheme="minorHAnsi"/>
        </w:rPr>
        <w:t xml:space="preserve"> </w:t>
      </w:r>
      <w:r w:rsidRPr="00E82C3E">
        <w:rPr>
          <w:rFonts w:cstheme="minorHAnsi"/>
        </w:rPr>
        <w:t>allowing</w:t>
      </w:r>
      <w:r w:rsidR="003D640C">
        <w:rPr>
          <w:rFonts w:cstheme="minorHAnsi"/>
        </w:rPr>
        <w:t xml:space="preserve"> </w:t>
      </w:r>
      <w:r w:rsidRPr="00E82C3E">
        <w:rPr>
          <w:rFonts w:cstheme="minorHAnsi"/>
        </w:rPr>
        <w:t>conversion</w:t>
      </w:r>
      <w:r w:rsidR="003D640C">
        <w:rPr>
          <w:rFonts w:cstheme="minorHAnsi"/>
        </w:rPr>
        <w:t xml:space="preserve"> </w:t>
      </w:r>
      <w:r w:rsidRPr="00E82C3E">
        <w:rPr>
          <w:rFonts w:cstheme="minorHAnsi"/>
        </w:rPr>
        <w:t>practices</w:t>
      </w:r>
      <w:r w:rsidR="003D640C">
        <w:rPr>
          <w:rFonts w:cstheme="minorHAnsi"/>
        </w:rPr>
        <w:t xml:space="preserve"> </w:t>
      </w:r>
      <w:r w:rsidRPr="00E82C3E">
        <w:rPr>
          <w:rFonts w:cstheme="minorHAnsi"/>
        </w:rPr>
        <w:t>to</w:t>
      </w:r>
      <w:r w:rsidR="003D640C">
        <w:rPr>
          <w:rFonts w:cstheme="minorHAnsi"/>
        </w:rPr>
        <w:t xml:space="preserve"> </w:t>
      </w:r>
      <w:r w:rsidRPr="00E82C3E">
        <w:rPr>
          <w:rFonts w:cstheme="minorHAnsi"/>
        </w:rPr>
        <w:t>proliferate</w:t>
      </w:r>
      <w:r w:rsidR="003D640C">
        <w:rPr>
          <w:rFonts w:cstheme="minorHAnsi"/>
        </w:rPr>
        <w:t xml:space="preserve"> </w:t>
      </w:r>
      <w:r>
        <w:rPr>
          <w:rFonts w:cstheme="minorHAnsi"/>
        </w:rPr>
        <w:t>in</w:t>
      </w:r>
      <w:r w:rsidR="003D640C">
        <w:rPr>
          <w:rFonts w:cstheme="minorHAnsi"/>
        </w:rPr>
        <w:t xml:space="preserve"> </w:t>
      </w:r>
      <w:r>
        <w:rPr>
          <w:rFonts w:cstheme="minorHAnsi"/>
        </w:rPr>
        <w:t>medical</w:t>
      </w:r>
      <w:r w:rsidR="003D640C">
        <w:rPr>
          <w:rFonts w:cstheme="minorHAnsi"/>
        </w:rPr>
        <w:t xml:space="preserve"> </w:t>
      </w:r>
      <w:r>
        <w:rPr>
          <w:rFonts w:cstheme="minorHAnsi"/>
        </w:rPr>
        <w:t>settings</w:t>
      </w:r>
      <w:r w:rsidRPr="00E82C3E">
        <w:rPr>
          <w:rFonts w:cstheme="minorHAnsi"/>
        </w:rPr>
        <w:t>,</w:t>
      </w:r>
      <w:r w:rsidR="003D640C">
        <w:rPr>
          <w:rFonts w:cstheme="minorHAnsi"/>
        </w:rPr>
        <w:t xml:space="preserve"> </w:t>
      </w:r>
      <w:r w:rsidRPr="00E82C3E">
        <w:rPr>
          <w:rFonts w:cstheme="minorHAnsi"/>
        </w:rPr>
        <w:t>sometimes</w:t>
      </w:r>
      <w:r w:rsidR="003D640C">
        <w:rPr>
          <w:rFonts w:cstheme="minorHAnsi"/>
        </w:rPr>
        <w:t xml:space="preserve"> </w:t>
      </w:r>
      <w:r w:rsidRPr="00E82C3E">
        <w:rPr>
          <w:rFonts w:cstheme="minorHAnsi"/>
        </w:rPr>
        <w:t>unrecognised.</w:t>
      </w:r>
      <w:r w:rsidR="003D640C">
        <w:rPr>
          <w:rFonts w:ascii="Segoe UI" w:hAnsi="Segoe UI" w:cs="Segoe UI"/>
          <w:sz w:val="18"/>
          <w:szCs w:val="18"/>
        </w:rPr>
        <w:t xml:space="preserve"> </w:t>
      </w:r>
    </w:p>
    <w:p w14:paraId="43349619" w14:textId="57E1FBF4" w:rsidR="00501068" w:rsidRDefault="00062DD5" w:rsidP="00B2336B">
      <w:pPr>
        <w:rPr>
          <w:rFonts w:ascii="Calibri" w:eastAsia="Calibri" w:hAnsi="Calibri" w:cs="Calibri"/>
          <w:color w:val="000000" w:themeColor="text1"/>
        </w:rPr>
      </w:pPr>
      <w:r>
        <w:rPr>
          <w:rFonts w:ascii="Calibri" w:eastAsia="Calibri" w:hAnsi="Calibri" w:cs="Calibri"/>
          <w:color w:val="000000" w:themeColor="text1"/>
        </w:rPr>
        <w:t>Education</w:t>
      </w:r>
      <w:r w:rsidR="003D640C">
        <w:rPr>
          <w:rFonts w:ascii="Calibri" w:eastAsia="Calibri" w:hAnsi="Calibri" w:cs="Calibri"/>
          <w:color w:val="000000" w:themeColor="text1"/>
        </w:rPr>
        <w:t xml:space="preserve"> </w:t>
      </w:r>
      <w:r>
        <w:rPr>
          <w:rFonts w:ascii="Calibri" w:eastAsia="Calibri" w:hAnsi="Calibri" w:cs="Calibri"/>
          <w:color w:val="000000" w:themeColor="text1"/>
        </w:rPr>
        <w:t>and</w:t>
      </w:r>
      <w:r w:rsidR="003D640C">
        <w:rPr>
          <w:rFonts w:ascii="Calibri" w:eastAsia="Calibri" w:hAnsi="Calibri" w:cs="Calibri"/>
          <w:color w:val="000000" w:themeColor="text1"/>
        </w:rPr>
        <w:t xml:space="preserve"> </w:t>
      </w:r>
      <w:r>
        <w:rPr>
          <w:rFonts w:ascii="Calibri" w:eastAsia="Calibri" w:hAnsi="Calibri" w:cs="Calibri"/>
          <w:color w:val="000000" w:themeColor="text1"/>
        </w:rPr>
        <w:t>youth</w:t>
      </w:r>
      <w:r w:rsidR="003D640C">
        <w:rPr>
          <w:rFonts w:ascii="Calibri" w:eastAsia="Calibri" w:hAnsi="Calibri" w:cs="Calibri"/>
          <w:color w:val="000000" w:themeColor="text1"/>
        </w:rPr>
        <w:t xml:space="preserve"> </w:t>
      </w:r>
      <w:r>
        <w:rPr>
          <w:rFonts w:ascii="Calibri" w:eastAsia="Calibri" w:hAnsi="Calibri" w:cs="Calibri"/>
          <w:color w:val="000000" w:themeColor="text1"/>
        </w:rPr>
        <w:t>work</w:t>
      </w:r>
      <w:r w:rsidR="003D640C">
        <w:rPr>
          <w:rFonts w:ascii="Calibri" w:eastAsia="Calibri" w:hAnsi="Calibri" w:cs="Calibri"/>
          <w:color w:val="000000" w:themeColor="text1"/>
        </w:rPr>
        <w:t xml:space="preserve"> </w:t>
      </w:r>
      <w:r>
        <w:rPr>
          <w:rFonts w:ascii="Calibri" w:eastAsia="Calibri" w:hAnsi="Calibri" w:cs="Calibri"/>
          <w:color w:val="000000" w:themeColor="text1"/>
        </w:rPr>
        <w:t>settings</w:t>
      </w:r>
      <w:r w:rsidR="003D640C">
        <w:rPr>
          <w:rFonts w:ascii="Calibri" w:eastAsia="Calibri" w:hAnsi="Calibri" w:cs="Calibri"/>
          <w:color w:val="000000" w:themeColor="text1"/>
        </w:rPr>
        <w:t xml:space="preserve"> </w:t>
      </w:r>
      <w:r>
        <w:rPr>
          <w:rFonts w:ascii="Calibri" w:eastAsia="Calibri" w:hAnsi="Calibri" w:cs="Calibri"/>
          <w:color w:val="000000" w:themeColor="text1"/>
        </w:rPr>
        <w:t>can</w:t>
      </w:r>
      <w:r w:rsidR="003D640C">
        <w:rPr>
          <w:rFonts w:ascii="Calibri" w:eastAsia="Calibri" w:hAnsi="Calibri" w:cs="Calibri"/>
          <w:color w:val="000000" w:themeColor="text1"/>
        </w:rPr>
        <w:t xml:space="preserve"> </w:t>
      </w:r>
      <w:r>
        <w:rPr>
          <w:rFonts w:ascii="Calibri" w:eastAsia="Calibri" w:hAnsi="Calibri" w:cs="Calibri"/>
          <w:color w:val="000000" w:themeColor="text1"/>
        </w:rPr>
        <w:t>be</w:t>
      </w:r>
      <w:r w:rsidR="003D640C">
        <w:rPr>
          <w:rFonts w:ascii="Calibri" w:eastAsia="Calibri" w:hAnsi="Calibri" w:cs="Calibri"/>
          <w:color w:val="000000" w:themeColor="text1"/>
        </w:rPr>
        <w:t xml:space="preserve"> </w:t>
      </w:r>
      <w:r>
        <w:rPr>
          <w:rFonts w:ascii="Calibri" w:eastAsia="Calibri" w:hAnsi="Calibri" w:cs="Calibri"/>
          <w:color w:val="000000" w:themeColor="text1"/>
        </w:rPr>
        <w:t>settings</w:t>
      </w:r>
      <w:r w:rsidR="003D640C">
        <w:rPr>
          <w:rFonts w:ascii="Calibri" w:eastAsia="Calibri" w:hAnsi="Calibri" w:cs="Calibri"/>
          <w:color w:val="000000" w:themeColor="text1"/>
        </w:rPr>
        <w:t xml:space="preserve"> </w:t>
      </w:r>
      <w:r>
        <w:rPr>
          <w:rFonts w:ascii="Calibri" w:eastAsia="Calibri" w:hAnsi="Calibri" w:cs="Calibri"/>
          <w:color w:val="000000" w:themeColor="text1"/>
        </w:rPr>
        <w:t>for</w:t>
      </w:r>
      <w:r w:rsidR="003D640C">
        <w:rPr>
          <w:rFonts w:ascii="Calibri" w:eastAsia="Calibri" w:hAnsi="Calibri" w:cs="Calibri"/>
          <w:color w:val="000000" w:themeColor="text1"/>
        </w:rPr>
        <w:t xml:space="preserve"> </w:t>
      </w:r>
      <w:r>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Pr>
          <w:rFonts w:ascii="Calibri" w:eastAsia="Calibri" w:hAnsi="Calibri" w:cs="Calibri"/>
          <w:color w:val="000000" w:themeColor="text1"/>
        </w:rPr>
        <w:t>particularly</w:t>
      </w:r>
      <w:r w:rsidR="003D640C">
        <w:rPr>
          <w:rFonts w:ascii="Calibri" w:eastAsia="Calibri" w:hAnsi="Calibri" w:cs="Calibri"/>
          <w:color w:val="000000" w:themeColor="text1"/>
        </w:rPr>
        <w:t xml:space="preserve"> </w:t>
      </w:r>
      <w:r>
        <w:rPr>
          <w:rFonts w:ascii="Calibri" w:eastAsia="Calibri" w:hAnsi="Calibri" w:cs="Calibri"/>
          <w:color w:val="000000" w:themeColor="text1"/>
        </w:rPr>
        <w:t>those</w:t>
      </w:r>
      <w:r w:rsidR="003D640C">
        <w:rPr>
          <w:rFonts w:ascii="Calibri" w:eastAsia="Calibri" w:hAnsi="Calibri" w:cs="Calibri"/>
          <w:color w:val="000000" w:themeColor="text1"/>
        </w:rPr>
        <w:t xml:space="preserve"> </w:t>
      </w:r>
      <w:r>
        <w:rPr>
          <w:rFonts w:ascii="Calibri" w:eastAsia="Calibri" w:hAnsi="Calibri" w:cs="Calibri"/>
          <w:color w:val="000000" w:themeColor="text1"/>
        </w:rPr>
        <w:t>with</w:t>
      </w:r>
      <w:r w:rsidR="003D640C">
        <w:rPr>
          <w:rFonts w:ascii="Calibri" w:eastAsia="Calibri" w:hAnsi="Calibri" w:cs="Calibri"/>
          <w:color w:val="000000" w:themeColor="text1"/>
        </w:rPr>
        <w:t xml:space="preserve"> </w:t>
      </w:r>
      <w:r>
        <w:rPr>
          <w:rFonts w:ascii="Calibri" w:eastAsia="Calibri" w:hAnsi="Calibri" w:cs="Calibri"/>
          <w:color w:val="000000" w:themeColor="text1"/>
        </w:rPr>
        <w:t>a</w:t>
      </w:r>
      <w:r w:rsidR="003D640C">
        <w:rPr>
          <w:rFonts w:ascii="Calibri" w:eastAsia="Calibri" w:hAnsi="Calibri" w:cs="Calibri"/>
          <w:color w:val="000000" w:themeColor="text1"/>
        </w:rPr>
        <w:t xml:space="preserve"> </w:t>
      </w:r>
      <w:r>
        <w:rPr>
          <w:rFonts w:ascii="Calibri" w:eastAsia="Calibri" w:hAnsi="Calibri" w:cs="Calibri"/>
          <w:color w:val="000000" w:themeColor="text1"/>
        </w:rPr>
        <w:t>religious</w:t>
      </w:r>
      <w:r w:rsidR="003D640C">
        <w:rPr>
          <w:rFonts w:ascii="Calibri" w:eastAsia="Calibri" w:hAnsi="Calibri" w:cs="Calibri"/>
          <w:color w:val="000000" w:themeColor="text1"/>
        </w:rPr>
        <w:t xml:space="preserve"> </w:t>
      </w:r>
      <w:r>
        <w:rPr>
          <w:rFonts w:ascii="Calibri" w:eastAsia="Calibri" w:hAnsi="Calibri" w:cs="Calibri"/>
          <w:color w:val="000000" w:themeColor="text1"/>
        </w:rPr>
        <w:t>dimension.</w:t>
      </w:r>
      <w:r w:rsidR="003D640C">
        <w:rPr>
          <w:rFonts w:ascii="Calibri" w:eastAsia="Calibri" w:hAnsi="Calibri" w:cs="Calibri"/>
          <w:color w:val="000000" w:themeColor="text1"/>
        </w:rPr>
        <w:t xml:space="preserve"> </w:t>
      </w:r>
      <w:r>
        <w:rPr>
          <w:rFonts w:ascii="Calibri" w:eastAsia="Calibri" w:hAnsi="Calibri" w:cs="Calibri"/>
          <w:color w:val="000000" w:themeColor="text1"/>
        </w:rPr>
        <w:t>R</w:t>
      </w:r>
      <w:r w:rsidRPr="00BB6220">
        <w:rPr>
          <w:rFonts w:ascii="Calibri" w:eastAsia="Calibri" w:hAnsi="Calibri" w:cs="Calibri"/>
          <w:color w:val="000000" w:themeColor="text1"/>
        </w:rPr>
        <w:t>eligious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special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character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schools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have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protected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status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law</w:t>
      </w:r>
      <w:r w:rsidR="004264F2">
        <w:rPr>
          <w:rFonts w:ascii="Calibri" w:eastAsia="Calibri" w:hAnsi="Calibri" w:cs="Calibri"/>
          <w:color w:val="000000" w:themeColor="text1"/>
        </w:rPr>
        <w:t xml:space="preserve"> under Schedule 6 section 29 of the Education and Training Act 2020</w:t>
      </w:r>
      <w:r w:rsidRPr="00BB6220">
        <w:rPr>
          <w:rFonts w:ascii="Calibri" w:eastAsia="Calibri" w:hAnsi="Calibri" w:cs="Calibri"/>
          <w:color w:val="000000" w:themeColor="text1"/>
        </w:rPr>
        <w:t>.</w:t>
      </w:r>
      <w:r w:rsidR="003D640C">
        <w:rPr>
          <w:rFonts w:ascii="Calibri" w:eastAsia="Calibri" w:hAnsi="Calibri" w:cs="Calibri"/>
          <w:color w:val="000000" w:themeColor="text1"/>
        </w:rPr>
        <w:t xml:space="preserve"> </w:t>
      </w:r>
      <w:r>
        <w:rPr>
          <w:rFonts w:ascii="Calibri" w:eastAsia="Calibri" w:hAnsi="Calibri" w:cs="Calibri"/>
          <w:color w:val="000000" w:themeColor="text1"/>
        </w:rPr>
        <w:t>This</w:t>
      </w:r>
      <w:r w:rsidR="003D640C">
        <w:rPr>
          <w:rFonts w:ascii="Calibri" w:eastAsia="Calibri" w:hAnsi="Calibri" w:cs="Calibri"/>
          <w:color w:val="000000" w:themeColor="text1"/>
        </w:rPr>
        <w:t xml:space="preserve"> </w:t>
      </w:r>
      <w:r>
        <w:rPr>
          <w:rFonts w:ascii="Calibri" w:eastAsia="Calibri" w:hAnsi="Calibri" w:cs="Calibri"/>
          <w:color w:val="000000" w:themeColor="text1"/>
        </w:rPr>
        <w:t>can</w:t>
      </w:r>
      <w:r w:rsidR="003D640C">
        <w:rPr>
          <w:rFonts w:ascii="Calibri" w:eastAsia="Calibri" w:hAnsi="Calibri" w:cs="Calibri"/>
          <w:color w:val="000000" w:themeColor="text1"/>
        </w:rPr>
        <w:t xml:space="preserve"> </w:t>
      </w:r>
      <w:r>
        <w:rPr>
          <w:rFonts w:ascii="Calibri" w:eastAsia="Calibri" w:hAnsi="Calibri" w:cs="Calibri"/>
          <w:color w:val="000000" w:themeColor="text1"/>
        </w:rPr>
        <w:t>make</w:t>
      </w:r>
      <w:r w:rsidR="003D640C">
        <w:rPr>
          <w:rFonts w:ascii="Calibri" w:eastAsia="Calibri" w:hAnsi="Calibri" w:cs="Calibri"/>
          <w:color w:val="000000" w:themeColor="text1"/>
        </w:rPr>
        <w:t xml:space="preserve"> </w:t>
      </w:r>
      <w:r>
        <w:rPr>
          <w:rFonts w:ascii="Calibri" w:eastAsia="Calibri" w:hAnsi="Calibri" w:cs="Calibri"/>
          <w:color w:val="000000" w:themeColor="text1"/>
        </w:rPr>
        <w:t>them</w:t>
      </w:r>
      <w:r w:rsidR="003D640C">
        <w:rPr>
          <w:rFonts w:ascii="Calibri" w:eastAsia="Calibri" w:hAnsi="Calibri" w:cs="Calibri"/>
          <w:color w:val="000000" w:themeColor="text1"/>
        </w:rPr>
        <w:t xml:space="preserve"> </w:t>
      </w:r>
      <w:r>
        <w:rPr>
          <w:rFonts w:ascii="Calibri" w:eastAsia="Calibri" w:hAnsi="Calibri" w:cs="Calibri"/>
          <w:color w:val="000000" w:themeColor="text1"/>
        </w:rPr>
        <w:t>settings</w:t>
      </w:r>
      <w:r w:rsidR="003D640C">
        <w:rPr>
          <w:rFonts w:ascii="Calibri" w:eastAsia="Calibri" w:hAnsi="Calibri" w:cs="Calibri"/>
          <w:color w:val="000000" w:themeColor="text1"/>
        </w:rPr>
        <w:t xml:space="preserve"> </w:t>
      </w:r>
      <w:r>
        <w:rPr>
          <w:rFonts w:ascii="Calibri" w:eastAsia="Calibri" w:hAnsi="Calibri" w:cs="Calibri"/>
          <w:color w:val="000000" w:themeColor="text1"/>
        </w:rPr>
        <w:t>where</w:t>
      </w:r>
      <w:r w:rsidR="003D640C">
        <w:rPr>
          <w:rFonts w:ascii="Calibri" w:eastAsia="Calibri" w:hAnsi="Calibri" w:cs="Calibri"/>
          <w:color w:val="000000" w:themeColor="text1"/>
        </w:rPr>
        <w:t xml:space="preserve"> </w:t>
      </w:r>
      <w:r>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Pr>
          <w:rFonts w:ascii="Calibri" w:eastAsia="Calibri" w:hAnsi="Calibri" w:cs="Calibri"/>
          <w:color w:val="000000" w:themeColor="text1"/>
        </w:rPr>
        <w:t>ideology</w:t>
      </w:r>
      <w:r w:rsidR="003D640C">
        <w:rPr>
          <w:rFonts w:ascii="Calibri" w:eastAsia="Calibri" w:hAnsi="Calibri" w:cs="Calibri"/>
          <w:color w:val="000000" w:themeColor="text1"/>
        </w:rPr>
        <w:t xml:space="preserve"> </w:t>
      </w:r>
      <w:r>
        <w:rPr>
          <w:rFonts w:ascii="Calibri" w:eastAsia="Calibri" w:hAnsi="Calibri" w:cs="Calibri"/>
          <w:color w:val="000000" w:themeColor="text1"/>
        </w:rPr>
        <w:t>is</w:t>
      </w:r>
      <w:r w:rsidR="003D640C">
        <w:rPr>
          <w:rFonts w:ascii="Calibri" w:eastAsia="Calibri" w:hAnsi="Calibri" w:cs="Calibri"/>
          <w:color w:val="000000" w:themeColor="text1"/>
        </w:rPr>
        <w:t xml:space="preserve"> </w:t>
      </w:r>
      <w:r>
        <w:rPr>
          <w:rFonts w:ascii="Calibri" w:eastAsia="Calibri" w:hAnsi="Calibri" w:cs="Calibri"/>
          <w:color w:val="000000" w:themeColor="text1"/>
        </w:rPr>
        <w:t>common,</w:t>
      </w:r>
      <w:r w:rsidR="003D640C">
        <w:rPr>
          <w:rFonts w:ascii="Calibri" w:eastAsia="Calibri" w:hAnsi="Calibri" w:cs="Calibri"/>
          <w:color w:val="000000" w:themeColor="text1"/>
        </w:rPr>
        <w:t xml:space="preserve"> </w:t>
      </w:r>
      <w:r>
        <w:rPr>
          <w:rFonts w:ascii="Calibri" w:eastAsia="Calibri" w:hAnsi="Calibri" w:cs="Calibri"/>
          <w:color w:val="000000" w:themeColor="text1"/>
        </w:rPr>
        <w:t>whether</w:t>
      </w:r>
      <w:r w:rsidR="003D640C">
        <w:rPr>
          <w:rFonts w:ascii="Calibri" w:eastAsia="Calibri" w:hAnsi="Calibri" w:cs="Calibri"/>
          <w:color w:val="000000" w:themeColor="text1"/>
        </w:rPr>
        <w:t xml:space="preserve"> </w:t>
      </w:r>
      <w:r>
        <w:rPr>
          <w:rFonts w:ascii="Calibri" w:eastAsia="Calibri" w:hAnsi="Calibri" w:cs="Calibri"/>
          <w:color w:val="000000" w:themeColor="text1"/>
        </w:rPr>
        <w:t>intentional</w:t>
      </w:r>
      <w:r w:rsidR="003D640C">
        <w:rPr>
          <w:rFonts w:ascii="Calibri" w:eastAsia="Calibri" w:hAnsi="Calibri" w:cs="Calibri"/>
          <w:color w:val="000000" w:themeColor="text1"/>
        </w:rPr>
        <w:t xml:space="preserve"> </w:t>
      </w:r>
      <w:r>
        <w:rPr>
          <w:rFonts w:ascii="Calibri" w:eastAsia="Calibri" w:hAnsi="Calibri" w:cs="Calibri"/>
          <w:color w:val="000000" w:themeColor="text1"/>
        </w:rPr>
        <w:t>or</w:t>
      </w:r>
      <w:r w:rsidR="003D640C">
        <w:rPr>
          <w:rFonts w:ascii="Calibri" w:eastAsia="Calibri" w:hAnsi="Calibri" w:cs="Calibri"/>
          <w:color w:val="000000" w:themeColor="text1"/>
        </w:rPr>
        <w:t xml:space="preserve"> </w:t>
      </w:r>
      <w:r>
        <w:rPr>
          <w:rFonts w:ascii="Calibri" w:eastAsia="Calibri" w:hAnsi="Calibri" w:cs="Calibri"/>
          <w:color w:val="000000" w:themeColor="text1"/>
        </w:rPr>
        <w:t>not.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Commission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heard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from</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survivors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occur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some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educational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settings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these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motivated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ideology.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particular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concern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when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occur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settings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such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these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are</w:t>
      </w:r>
      <w:r w:rsidR="003D640C">
        <w:rPr>
          <w:rFonts w:ascii="Calibri" w:eastAsia="Calibri" w:hAnsi="Calibri" w:cs="Calibri"/>
          <w:color w:val="000000" w:themeColor="text1"/>
        </w:rPr>
        <w:t xml:space="preserve"> </w:t>
      </w:r>
      <w:r>
        <w:rPr>
          <w:rFonts w:ascii="Calibri" w:eastAsia="Calibri" w:hAnsi="Calibri" w:cs="Calibri"/>
          <w:color w:val="000000" w:themeColor="text1"/>
        </w:rPr>
        <w:t>obliged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support</w:t>
      </w:r>
      <w:r w:rsidR="003D640C">
        <w:rPr>
          <w:rFonts w:ascii="Calibri" w:eastAsia="Calibri" w:hAnsi="Calibri" w:cs="Calibri"/>
          <w:color w:val="000000" w:themeColor="text1"/>
        </w:rPr>
        <w:t xml:space="preserve"> </w:t>
      </w:r>
      <w:r>
        <w:rPr>
          <w:rFonts w:ascii="Calibri" w:eastAsia="Calibri" w:hAnsi="Calibri" w:cs="Calibri"/>
          <w:color w:val="000000" w:themeColor="text1"/>
        </w:rPr>
        <w:t>the</w:t>
      </w:r>
      <w:r w:rsidR="003D640C">
        <w:rPr>
          <w:rFonts w:ascii="Calibri" w:eastAsia="Calibri" w:hAnsi="Calibri" w:cs="Calibri"/>
          <w:color w:val="000000" w:themeColor="text1"/>
        </w:rPr>
        <w:t xml:space="preserve"> </w:t>
      </w:r>
      <w:r>
        <w:rPr>
          <w:rFonts w:ascii="Calibri" w:eastAsia="Calibri" w:hAnsi="Calibri" w:cs="Calibri"/>
          <w:color w:val="000000" w:themeColor="text1"/>
        </w:rPr>
        <w:t>health,</w:t>
      </w:r>
      <w:r w:rsidR="003D640C">
        <w:rPr>
          <w:rFonts w:ascii="Calibri" w:eastAsia="Calibri" w:hAnsi="Calibri" w:cs="Calibri"/>
          <w:color w:val="000000" w:themeColor="text1"/>
        </w:rPr>
        <w:t xml:space="preserve"> </w:t>
      </w:r>
      <w:r>
        <w:rPr>
          <w:rFonts w:ascii="Calibri" w:eastAsia="Calibri" w:hAnsi="Calibri" w:cs="Calibri"/>
          <w:color w:val="000000" w:themeColor="text1"/>
        </w:rPr>
        <w:t>safety</w:t>
      </w:r>
      <w:r w:rsidR="000371F4">
        <w:rPr>
          <w:rFonts w:ascii="Calibri" w:eastAsia="Calibri" w:hAnsi="Calibri" w:cs="Calibri"/>
          <w:color w:val="000000" w:themeColor="text1"/>
        </w:rPr>
        <w:t>,</w:t>
      </w:r>
      <w:r w:rsidR="003D640C">
        <w:rPr>
          <w:rFonts w:ascii="Calibri" w:eastAsia="Calibri" w:hAnsi="Calibri" w:cs="Calibri"/>
          <w:color w:val="000000" w:themeColor="text1"/>
        </w:rPr>
        <w:t xml:space="preserve"> </w:t>
      </w:r>
      <w:r>
        <w:rPr>
          <w:rFonts w:ascii="Calibri" w:eastAsia="Calibri" w:hAnsi="Calibri" w:cs="Calibri"/>
          <w:color w:val="000000" w:themeColor="text1"/>
        </w:rPr>
        <w:t>and</w:t>
      </w:r>
      <w:r w:rsidR="003D640C">
        <w:rPr>
          <w:rFonts w:ascii="Calibri" w:eastAsia="Calibri" w:hAnsi="Calibri" w:cs="Calibri"/>
          <w:color w:val="000000" w:themeColor="text1"/>
        </w:rPr>
        <w:t xml:space="preserve"> </w:t>
      </w:r>
      <w:r>
        <w:rPr>
          <w:rFonts w:ascii="Calibri" w:eastAsia="Calibri" w:hAnsi="Calibri" w:cs="Calibri"/>
          <w:color w:val="000000" w:themeColor="text1"/>
        </w:rPr>
        <w:t>wellbeing</w:t>
      </w:r>
      <w:r w:rsidR="003D640C">
        <w:rPr>
          <w:rFonts w:ascii="Calibri" w:eastAsia="Calibri" w:hAnsi="Calibri" w:cs="Calibri"/>
          <w:color w:val="000000" w:themeColor="text1"/>
        </w:rPr>
        <w:t xml:space="preserve"> </w:t>
      </w:r>
      <w:r>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children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young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people.</w:t>
      </w:r>
    </w:p>
    <w:p w14:paraId="48CBF552" w14:textId="1FB022D2" w:rsidR="00062DD5" w:rsidRDefault="006E1908" w:rsidP="00B2336B">
      <w:pPr>
        <w:pStyle w:val="Heading2"/>
      </w:pPr>
      <w:bookmarkStart w:id="134" w:name="_Toc733903300"/>
      <w:bookmarkStart w:id="135" w:name="_Toc174628651"/>
      <w:r>
        <w:t>Conversion</w:t>
      </w:r>
      <w:r w:rsidR="003D640C">
        <w:t xml:space="preserve"> </w:t>
      </w:r>
      <w:r>
        <w:t>practices</w:t>
      </w:r>
      <w:r w:rsidR="003D640C">
        <w:t xml:space="preserve"> </w:t>
      </w:r>
      <w:r>
        <w:t>in</w:t>
      </w:r>
      <w:r w:rsidR="003D640C">
        <w:t xml:space="preserve"> </w:t>
      </w:r>
      <w:r>
        <w:t>the</w:t>
      </w:r>
      <w:r w:rsidR="003D640C">
        <w:t xml:space="preserve"> </w:t>
      </w:r>
      <w:r>
        <w:t>context</w:t>
      </w:r>
      <w:r w:rsidR="003D640C">
        <w:t xml:space="preserve"> </w:t>
      </w:r>
      <w:r>
        <w:t>of</w:t>
      </w:r>
      <w:r w:rsidR="003D640C">
        <w:t xml:space="preserve"> </w:t>
      </w:r>
      <w:r>
        <w:t>a</w:t>
      </w:r>
      <w:r w:rsidR="003D640C">
        <w:t xml:space="preserve"> </w:t>
      </w:r>
      <w:r>
        <w:t>settler</w:t>
      </w:r>
      <w:r w:rsidR="003D640C">
        <w:t xml:space="preserve"> </w:t>
      </w:r>
      <w:r>
        <w:t>colonial</w:t>
      </w:r>
      <w:r w:rsidR="003D640C">
        <w:t xml:space="preserve"> </w:t>
      </w:r>
      <w:r>
        <w:t>state</w:t>
      </w:r>
      <w:bookmarkEnd w:id="134"/>
      <w:bookmarkEnd w:id="135"/>
    </w:p>
    <w:p w14:paraId="004F37B0" w14:textId="7117C11A" w:rsidR="00491C35" w:rsidRDefault="006E1908" w:rsidP="00C2162C">
      <w:r>
        <w:t>In</w:t>
      </w:r>
      <w:r w:rsidR="003D640C">
        <w:t xml:space="preserve"> </w:t>
      </w:r>
      <w:r>
        <w:t>describing</w:t>
      </w:r>
      <w:r w:rsidR="003D640C">
        <w:t xml:space="preserve"> </w:t>
      </w:r>
      <w:r>
        <w:t>the</w:t>
      </w:r>
      <w:r w:rsidR="003D640C">
        <w:t xml:space="preserve"> </w:t>
      </w:r>
      <w:r>
        <w:t>settings</w:t>
      </w:r>
      <w:r w:rsidR="003D640C">
        <w:t xml:space="preserve"> </w:t>
      </w:r>
      <w:r>
        <w:t>for</w:t>
      </w:r>
      <w:r w:rsidR="003D640C">
        <w:t xml:space="preserve"> </w:t>
      </w:r>
      <w:r>
        <w:t>conversion</w:t>
      </w:r>
      <w:r w:rsidR="003D640C">
        <w:t xml:space="preserve"> </w:t>
      </w:r>
      <w:r>
        <w:t>practices</w:t>
      </w:r>
      <w:r w:rsidR="003D640C">
        <w:t xml:space="preserve"> </w:t>
      </w:r>
      <w:r>
        <w:t>in</w:t>
      </w:r>
      <w:r w:rsidR="003D640C">
        <w:t xml:space="preserve"> </w:t>
      </w:r>
      <w:r>
        <w:t>Aotearoa</w:t>
      </w:r>
      <w:r w:rsidR="003D640C">
        <w:t xml:space="preserve"> </w:t>
      </w:r>
      <w:r>
        <w:t>New</w:t>
      </w:r>
      <w:r w:rsidR="003D640C">
        <w:t xml:space="preserve"> </w:t>
      </w:r>
      <w:r>
        <w:t>Zealand,</w:t>
      </w:r>
      <w:r w:rsidR="003D640C">
        <w:t xml:space="preserve"> </w:t>
      </w:r>
      <w:r>
        <w:t>its</w:t>
      </w:r>
      <w:r w:rsidR="003D640C">
        <w:t xml:space="preserve"> </w:t>
      </w:r>
      <w:r>
        <w:t>status</w:t>
      </w:r>
      <w:r w:rsidR="003D640C">
        <w:t xml:space="preserve"> </w:t>
      </w:r>
      <w:r>
        <w:t>as</w:t>
      </w:r>
      <w:r w:rsidR="003D640C">
        <w:t xml:space="preserve"> </w:t>
      </w:r>
      <w:r>
        <w:t>a</w:t>
      </w:r>
      <w:r w:rsidR="003D640C">
        <w:t xml:space="preserve"> </w:t>
      </w:r>
      <w:r>
        <w:t>settler</w:t>
      </w:r>
      <w:r w:rsidR="003D640C">
        <w:t xml:space="preserve"> </w:t>
      </w:r>
      <w:r>
        <w:t>colonial</w:t>
      </w:r>
      <w:r w:rsidR="003D640C">
        <w:t xml:space="preserve"> </w:t>
      </w:r>
      <w:r>
        <w:t>state</w:t>
      </w:r>
      <w:r w:rsidR="003D640C">
        <w:t xml:space="preserve"> </w:t>
      </w:r>
      <w:r>
        <w:t>is</w:t>
      </w:r>
      <w:r w:rsidR="003D640C">
        <w:t xml:space="preserve"> </w:t>
      </w:r>
      <w:r>
        <w:t>relevant.</w:t>
      </w:r>
      <w:r w:rsidR="003D640C">
        <w:t xml:space="preserve"> </w:t>
      </w:r>
      <w:r w:rsidR="72A3202B" w:rsidRPr="00BB6220">
        <w:t>Historically,</w:t>
      </w:r>
      <w:r w:rsidR="003D640C">
        <w:t xml:space="preserve"> </w:t>
      </w:r>
      <w:r w:rsidR="64FC8AEC" w:rsidRPr="00BB6220">
        <w:t>I</w:t>
      </w:r>
      <w:r w:rsidR="72A3202B" w:rsidRPr="00BB6220">
        <w:t>ndigenous</w:t>
      </w:r>
      <w:r w:rsidR="003D640C">
        <w:t xml:space="preserve"> </w:t>
      </w:r>
      <w:r w:rsidR="72A3202B" w:rsidRPr="00BB6220">
        <w:t>communities</w:t>
      </w:r>
      <w:r w:rsidR="003D640C">
        <w:t xml:space="preserve"> </w:t>
      </w:r>
      <w:r w:rsidR="72A3202B" w:rsidRPr="00BB6220">
        <w:t>in</w:t>
      </w:r>
      <w:r w:rsidR="003D640C">
        <w:t xml:space="preserve"> </w:t>
      </w:r>
      <w:r w:rsidR="72A3202B" w:rsidRPr="00BB6220">
        <w:t>Aotearoa</w:t>
      </w:r>
      <w:r w:rsidR="003D640C">
        <w:t xml:space="preserve"> </w:t>
      </w:r>
      <w:r w:rsidR="72A3202B" w:rsidRPr="00BB6220">
        <w:t>and</w:t>
      </w:r>
      <w:r w:rsidR="003D640C">
        <w:t xml:space="preserve"> </w:t>
      </w:r>
      <w:r w:rsidR="322FDA29" w:rsidRPr="00BB6220">
        <w:t>across</w:t>
      </w:r>
      <w:r w:rsidR="003D640C">
        <w:t xml:space="preserve"> </w:t>
      </w:r>
      <w:r w:rsidR="72A3202B" w:rsidRPr="00BB6220">
        <w:t>the</w:t>
      </w:r>
      <w:r w:rsidR="003D640C">
        <w:t xml:space="preserve"> </w:t>
      </w:r>
      <w:r w:rsidR="72A3202B" w:rsidRPr="00BB6220">
        <w:t>Pacific</w:t>
      </w:r>
      <w:r w:rsidR="003D640C">
        <w:t xml:space="preserve"> </w:t>
      </w:r>
      <w:r w:rsidR="72A3202B" w:rsidRPr="00BB6220">
        <w:t>embraced</w:t>
      </w:r>
      <w:r w:rsidR="003D640C">
        <w:t xml:space="preserve"> </w:t>
      </w:r>
      <w:r w:rsidR="42B7C465" w:rsidRPr="00BB6220">
        <w:t>fluid</w:t>
      </w:r>
      <w:r w:rsidR="003D640C">
        <w:t xml:space="preserve"> </w:t>
      </w:r>
      <w:r w:rsidR="64513145" w:rsidRPr="00BB6220">
        <w:t>sexual</w:t>
      </w:r>
      <w:r w:rsidR="003D640C">
        <w:t xml:space="preserve"> </w:t>
      </w:r>
      <w:r w:rsidR="64513145" w:rsidRPr="00BB6220">
        <w:t>orientation</w:t>
      </w:r>
      <w:r w:rsidR="003D640C">
        <w:t xml:space="preserve"> </w:t>
      </w:r>
      <w:r w:rsidR="72A3202B" w:rsidRPr="00BB6220">
        <w:t>and</w:t>
      </w:r>
      <w:r w:rsidR="003D640C">
        <w:t xml:space="preserve"> </w:t>
      </w:r>
      <w:r w:rsidR="72A3202B" w:rsidRPr="00BB6220">
        <w:t>gender</w:t>
      </w:r>
      <w:r w:rsidR="003D640C">
        <w:t xml:space="preserve"> </w:t>
      </w:r>
      <w:r w:rsidR="151253F4" w:rsidRPr="00BB6220">
        <w:t>and</w:t>
      </w:r>
      <w:r w:rsidR="003D640C">
        <w:t xml:space="preserve"> </w:t>
      </w:r>
      <w:r w:rsidR="72A3202B" w:rsidRPr="00BB6220">
        <w:t>us</w:t>
      </w:r>
      <w:r w:rsidR="151253F4" w:rsidRPr="00BB6220">
        <w:t>ed</w:t>
      </w:r>
      <w:r w:rsidR="003D640C">
        <w:t xml:space="preserve"> </w:t>
      </w:r>
      <w:r w:rsidR="72A3202B" w:rsidRPr="00BB6220">
        <w:t>specific</w:t>
      </w:r>
      <w:r w:rsidR="003D640C">
        <w:t xml:space="preserve"> </w:t>
      </w:r>
      <w:r w:rsidR="72A3202B" w:rsidRPr="00BB6220">
        <w:t>terms</w:t>
      </w:r>
      <w:r w:rsidR="003D640C">
        <w:t xml:space="preserve"> </w:t>
      </w:r>
      <w:r w:rsidR="696980A9" w:rsidRPr="00BB6220">
        <w:t>for</w:t>
      </w:r>
      <w:r w:rsidR="003D640C">
        <w:t xml:space="preserve"> </w:t>
      </w:r>
      <w:r w:rsidR="72A3202B" w:rsidRPr="00BB6220">
        <w:t>significant</w:t>
      </w:r>
      <w:r w:rsidR="003D640C">
        <w:t xml:space="preserve"> </w:t>
      </w:r>
      <w:r w:rsidR="72A3202B" w:rsidRPr="00BB6220">
        <w:t>spiritual</w:t>
      </w:r>
      <w:r w:rsidR="003D640C">
        <w:t xml:space="preserve"> </w:t>
      </w:r>
      <w:r w:rsidR="72A3202B" w:rsidRPr="00BB6220">
        <w:t>and</w:t>
      </w:r>
      <w:r w:rsidR="003D640C">
        <w:t xml:space="preserve"> </w:t>
      </w:r>
      <w:r w:rsidR="72A3202B" w:rsidRPr="00BB6220">
        <w:lastRenderedPageBreak/>
        <w:t>cultural</w:t>
      </w:r>
      <w:r w:rsidR="003D640C">
        <w:t xml:space="preserve"> </w:t>
      </w:r>
      <w:r w:rsidR="72A3202B" w:rsidRPr="00BB6220">
        <w:t>roles</w:t>
      </w:r>
      <w:r w:rsidR="000E73A5">
        <w:t>.</w:t>
      </w:r>
      <w:r w:rsidR="0094033D">
        <w:rPr>
          <w:rStyle w:val="FootnoteReference"/>
        </w:rPr>
        <w:footnoteReference w:id="71"/>
      </w:r>
      <w:r w:rsidR="003D640C">
        <w:t xml:space="preserve"> </w:t>
      </w:r>
      <w:r w:rsidR="25624F07">
        <w:t>The</w:t>
      </w:r>
      <w:r w:rsidR="003D640C">
        <w:t xml:space="preserve"> </w:t>
      </w:r>
      <w:r w:rsidR="25624F07">
        <w:t>introduction</w:t>
      </w:r>
      <w:r w:rsidR="003D640C">
        <w:t xml:space="preserve"> </w:t>
      </w:r>
      <w:r w:rsidR="25624F07">
        <w:t>of</w:t>
      </w:r>
      <w:r w:rsidR="003D640C">
        <w:t xml:space="preserve"> </w:t>
      </w:r>
      <w:r w:rsidR="25624F07">
        <w:t>Christianity</w:t>
      </w:r>
      <w:r w:rsidR="003D640C">
        <w:t xml:space="preserve"> </w:t>
      </w:r>
      <w:r w:rsidR="25624F07">
        <w:t>in</w:t>
      </w:r>
      <w:r w:rsidR="003D640C">
        <w:t xml:space="preserve"> </w:t>
      </w:r>
      <w:r w:rsidR="25624F07">
        <w:t>Aotearoa</w:t>
      </w:r>
      <w:r w:rsidR="003D640C">
        <w:t xml:space="preserve"> </w:t>
      </w:r>
      <w:r w:rsidR="25624F07">
        <w:t>by</w:t>
      </w:r>
      <w:r w:rsidR="003D640C">
        <w:t xml:space="preserve"> </w:t>
      </w:r>
      <w:r w:rsidR="6065F66C" w:rsidRPr="00BB6220">
        <w:t>European</w:t>
      </w:r>
      <w:r w:rsidR="003D640C">
        <w:t xml:space="preserve"> </w:t>
      </w:r>
      <w:r w:rsidR="6065F66C" w:rsidRPr="00BB6220">
        <w:t>m</w:t>
      </w:r>
      <w:r w:rsidR="72A3202B" w:rsidRPr="00BB6220">
        <w:t>issionaries</w:t>
      </w:r>
      <w:r w:rsidR="003D640C">
        <w:t xml:space="preserve"> </w:t>
      </w:r>
      <w:r w:rsidR="72A3202B" w:rsidRPr="00BB6220">
        <w:t>in</w:t>
      </w:r>
      <w:r w:rsidR="003D640C">
        <w:t xml:space="preserve"> </w:t>
      </w:r>
      <w:r w:rsidR="72A3202B" w:rsidRPr="00BB6220">
        <w:t>the</w:t>
      </w:r>
      <w:r w:rsidR="003D640C">
        <w:t xml:space="preserve"> </w:t>
      </w:r>
      <w:r w:rsidR="72A3202B" w:rsidRPr="00BB6220">
        <w:t>19</w:t>
      </w:r>
      <w:r w:rsidR="451E77EE" w:rsidRPr="007B139B">
        <w:t>th</w:t>
      </w:r>
      <w:r w:rsidR="003D640C">
        <w:rPr>
          <w:vertAlign w:val="superscript"/>
        </w:rPr>
        <w:t xml:space="preserve"> </w:t>
      </w:r>
      <w:r w:rsidR="72A3202B" w:rsidRPr="00BB6220">
        <w:t>century</w:t>
      </w:r>
      <w:r w:rsidR="003D640C">
        <w:t xml:space="preserve"> </w:t>
      </w:r>
      <w:r w:rsidR="72A3202B" w:rsidRPr="00BB6220">
        <w:t>brought</w:t>
      </w:r>
      <w:r w:rsidR="003D640C">
        <w:t xml:space="preserve"> </w:t>
      </w:r>
      <w:r w:rsidR="72A3202B" w:rsidRPr="00BB6220">
        <w:t>with</w:t>
      </w:r>
      <w:r w:rsidR="003D640C">
        <w:t xml:space="preserve"> </w:t>
      </w:r>
      <w:r w:rsidR="72A3202B" w:rsidRPr="00BB6220">
        <w:t>it</w:t>
      </w:r>
      <w:r w:rsidR="003D640C">
        <w:t xml:space="preserve"> </w:t>
      </w:r>
      <w:r w:rsidR="72A3202B" w:rsidRPr="00BB6220">
        <w:t>concepts</w:t>
      </w:r>
      <w:r w:rsidR="003D640C">
        <w:t xml:space="preserve"> </w:t>
      </w:r>
      <w:r w:rsidR="72A3202B" w:rsidRPr="00BB6220">
        <w:t>of</w:t>
      </w:r>
      <w:r w:rsidR="003D640C">
        <w:t xml:space="preserve"> </w:t>
      </w:r>
      <w:r w:rsidR="72A3202B" w:rsidRPr="00BB6220">
        <w:t>binary</w:t>
      </w:r>
      <w:r w:rsidR="003D640C">
        <w:t xml:space="preserve"> </w:t>
      </w:r>
      <w:r w:rsidR="72A3202B" w:rsidRPr="00BB6220">
        <w:t>gender,</w:t>
      </w:r>
      <w:r w:rsidR="003D640C">
        <w:t xml:space="preserve"> </w:t>
      </w:r>
      <w:r w:rsidR="72A3202B" w:rsidRPr="00BB6220">
        <w:t>monogamy</w:t>
      </w:r>
      <w:r w:rsidR="00F86F46">
        <w:t>,</w:t>
      </w:r>
      <w:r w:rsidR="003D640C">
        <w:t xml:space="preserve"> </w:t>
      </w:r>
      <w:r w:rsidR="72A3202B" w:rsidRPr="00BB6220">
        <w:t>and</w:t>
      </w:r>
      <w:r w:rsidR="003D640C">
        <w:t xml:space="preserve"> </w:t>
      </w:r>
      <w:r w:rsidR="72A3202B" w:rsidRPr="00BB6220">
        <w:t>heteronormativity,</w:t>
      </w:r>
      <w:r w:rsidR="003D640C">
        <w:t xml:space="preserve"> </w:t>
      </w:r>
      <w:r w:rsidR="72A3202B" w:rsidRPr="00BB6220">
        <w:t>which</w:t>
      </w:r>
      <w:r w:rsidR="003D640C">
        <w:t xml:space="preserve"> </w:t>
      </w:r>
      <w:r w:rsidR="72A3202B" w:rsidRPr="00BB6220">
        <w:t>influenced</w:t>
      </w:r>
      <w:r w:rsidR="003D640C">
        <w:t xml:space="preserve"> </w:t>
      </w:r>
      <w:r w:rsidR="6065F66C" w:rsidRPr="00BB6220">
        <w:t>and</w:t>
      </w:r>
      <w:r w:rsidR="003D640C">
        <w:t xml:space="preserve"> </w:t>
      </w:r>
      <w:r w:rsidR="6065F66C" w:rsidRPr="00BB6220">
        <w:t>altered</w:t>
      </w:r>
      <w:r w:rsidR="003D640C">
        <w:t xml:space="preserve"> </w:t>
      </w:r>
      <w:r w:rsidR="72A3202B" w:rsidRPr="00BB6220">
        <w:t>attitudes</w:t>
      </w:r>
      <w:r w:rsidR="003D640C">
        <w:t xml:space="preserve"> </w:t>
      </w:r>
      <w:r w:rsidR="72A3202B" w:rsidRPr="00BB6220">
        <w:t>towards</w:t>
      </w:r>
      <w:r w:rsidR="003D640C">
        <w:t xml:space="preserve"> </w:t>
      </w:r>
      <w:r w:rsidR="64513145" w:rsidRPr="00BB6220">
        <w:t>sexual</w:t>
      </w:r>
      <w:r w:rsidR="003D640C">
        <w:t xml:space="preserve"> </w:t>
      </w:r>
      <w:r w:rsidR="64513145" w:rsidRPr="00BB6220">
        <w:t>orientation</w:t>
      </w:r>
      <w:r w:rsidR="003D640C">
        <w:t xml:space="preserve"> </w:t>
      </w:r>
      <w:r w:rsidR="72A3202B" w:rsidRPr="00BB6220">
        <w:t>and</w:t>
      </w:r>
      <w:r w:rsidR="003D640C">
        <w:t xml:space="preserve"> </w:t>
      </w:r>
      <w:r w:rsidR="72A3202B" w:rsidRPr="00BB6220">
        <w:t>gender</w:t>
      </w:r>
      <w:r w:rsidR="003D640C">
        <w:t xml:space="preserve"> </w:t>
      </w:r>
      <w:r w:rsidR="05EFF812">
        <w:t>that</w:t>
      </w:r>
      <w:r w:rsidR="003D640C">
        <w:t xml:space="preserve"> </w:t>
      </w:r>
      <w:r w:rsidR="05EFF812">
        <w:t>largely</w:t>
      </w:r>
      <w:r w:rsidR="003D640C">
        <w:t xml:space="preserve"> </w:t>
      </w:r>
      <w:r w:rsidR="05EFF812">
        <w:t>remain</w:t>
      </w:r>
      <w:r w:rsidR="003D640C">
        <w:t xml:space="preserve"> </w:t>
      </w:r>
      <w:r w:rsidR="05EFF812">
        <w:t>today</w:t>
      </w:r>
      <w:r w:rsidR="72A3202B" w:rsidRPr="00BB6220">
        <w:t>.</w:t>
      </w:r>
      <w:r w:rsidR="003D640C">
        <w:t xml:space="preserve"> </w:t>
      </w:r>
    </w:p>
    <w:p w14:paraId="6A0573ED" w14:textId="0CD07E43" w:rsidR="00501068" w:rsidRDefault="00D05424" w:rsidP="00C2162C">
      <w:r w:rsidRPr="00BB6220">
        <w:t>As</w:t>
      </w:r>
      <w:r w:rsidR="003D640C">
        <w:t xml:space="preserve"> </w:t>
      </w:r>
      <w:r w:rsidRPr="00BB6220">
        <w:t>a</w:t>
      </w:r>
      <w:r w:rsidR="003D640C">
        <w:t xml:space="preserve"> </w:t>
      </w:r>
      <w:r w:rsidRPr="00BB6220">
        <w:t>result,</w:t>
      </w:r>
      <w:r w:rsidR="003D640C">
        <w:t xml:space="preserve"> </w:t>
      </w:r>
      <w:r w:rsidR="00DE4546" w:rsidRPr="00BB6220">
        <w:t>Indigenous</w:t>
      </w:r>
      <w:r w:rsidR="003D640C">
        <w:t xml:space="preserve"> </w:t>
      </w:r>
      <w:r w:rsidR="00DE4546" w:rsidRPr="00BB6220">
        <w:t>communities’</w:t>
      </w:r>
      <w:r w:rsidR="003D640C">
        <w:t xml:space="preserve"> </w:t>
      </w:r>
      <w:r w:rsidRPr="00BB6220">
        <w:t>traditional</w:t>
      </w:r>
      <w:r w:rsidR="003D640C">
        <w:t xml:space="preserve"> </w:t>
      </w:r>
      <w:r w:rsidRPr="00BB6220">
        <w:t>inclusion</w:t>
      </w:r>
      <w:r w:rsidR="003D640C">
        <w:t xml:space="preserve"> </w:t>
      </w:r>
      <w:r w:rsidRPr="00BB6220">
        <w:t>of</w:t>
      </w:r>
      <w:r w:rsidR="003D640C">
        <w:t xml:space="preserve"> </w:t>
      </w:r>
      <w:r w:rsidRPr="00BB6220">
        <w:t>diverse</w:t>
      </w:r>
      <w:r w:rsidR="003D640C">
        <w:t xml:space="preserve"> </w:t>
      </w:r>
      <w:r w:rsidRPr="00BB6220">
        <w:t>expressions</w:t>
      </w:r>
      <w:r w:rsidR="003D640C">
        <w:t xml:space="preserve"> </w:t>
      </w:r>
      <w:r w:rsidRPr="00BB6220">
        <w:t>of</w:t>
      </w:r>
      <w:r w:rsidR="003D640C">
        <w:t xml:space="preserve"> </w:t>
      </w:r>
      <w:r w:rsidR="00404B18" w:rsidRPr="00BB6220">
        <w:t>sexual</w:t>
      </w:r>
      <w:r w:rsidR="003D640C">
        <w:t xml:space="preserve"> </w:t>
      </w:r>
      <w:r w:rsidR="00404B18" w:rsidRPr="00BB6220">
        <w:t>orientation</w:t>
      </w:r>
      <w:r w:rsidR="003D640C">
        <w:t xml:space="preserve"> </w:t>
      </w:r>
      <w:r w:rsidRPr="00BB6220">
        <w:t>and</w:t>
      </w:r>
      <w:r w:rsidR="003D640C">
        <w:t xml:space="preserve"> </w:t>
      </w:r>
      <w:r w:rsidRPr="00BB6220">
        <w:t>gender</w:t>
      </w:r>
      <w:r w:rsidR="003D640C">
        <w:t xml:space="preserve"> </w:t>
      </w:r>
      <w:r w:rsidRPr="00BB6220">
        <w:t>fluidity</w:t>
      </w:r>
      <w:r w:rsidR="003D640C">
        <w:t xml:space="preserve"> </w:t>
      </w:r>
      <w:r w:rsidR="00DE4546" w:rsidRPr="00BB6220">
        <w:t>was</w:t>
      </w:r>
      <w:r w:rsidR="003D640C">
        <w:t xml:space="preserve"> </w:t>
      </w:r>
      <w:r w:rsidR="00DE4546" w:rsidRPr="00BB6220">
        <w:t>reduced</w:t>
      </w:r>
      <w:r w:rsidR="004B1720" w:rsidRPr="00BB6220">
        <w:t>.</w:t>
      </w:r>
      <w:r w:rsidR="003D640C">
        <w:t xml:space="preserve"> </w:t>
      </w:r>
      <w:r w:rsidR="00DE4546" w:rsidRPr="00BB6220">
        <w:t>Those</w:t>
      </w:r>
      <w:r w:rsidR="003D640C">
        <w:t xml:space="preserve"> </w:t>
      </w:r>
      <w:r w:rsidR="00DE4546" w:rsidRPr="00BB6220">
        <w:t>individuals</w:t>
      </w:r>
      <w:r w:rsidR="003D640C">
        <w:t xml:space="preserve"> </w:t>
      </w:r>
      <w:r w:rsidR="00DE4546" w:rsidRPr="00BB6220">
        <w:t>who</w:t>
      </w:r>
      <w:r w:rsidR="003D640C">
        <w:t xml:space="preserve"> </w:t>
      </w:r>
      <w:r w:rsidR="00DE4546" w:rsidRPr="00BB6220">
        <w:t>did</w:t>
      </w:r>
      <w:r w:rsidR="003D640C">
        <w:t xml:space="preserve"> </w:t>
      </w:r>
      <w:r w:rsidR="00DE4546" w:rsidRPr="00BB6220">
        <w:t>not</w:t>
      </w:r>
      <w:r w:rsidR="003D640C">
        <w:t xml:space="preserve"> </w:t>
      </w:r>
      <w:r w:rsidR="00DE4546" w:rsidRPr="00BB6220">
        <w:t>conform</w:t>
      </w:r>
      <w:r w:rsidR="003D640C">
        <w:t xml:space="preserve"> </w:t>
      </w:r>
      <w:r w:rsidR="00DE4546" w:rsidRPr="00BB6220">
        <w:t>to</w:t>
      </w:r>
      <w:r w:rsidR="003D640C">
        <w:t xml:space="preserve"> </w:t>
      </w:r>
      <w:r w:rsidR="00DE4546" w:rsidRPr="00BB6220">
        <w:t>new</w:t>
      </w:r>
      <w:r w:rsidR="003D640C">
        <w:t xml:space="preserve"> </w:t>
      </w:r>
      <w:r w:rsidR="00B20E63" w:rsidRPr="00BB6220">
        <w:t>colonial</w:t>
      </w:r>
      <w:r w:rsidR="003D640C">
        <w:t xml:space="preserve"> </w:t>
      </w:r>
      <w:r w:rsidR="009C21F4">
        <w:t>interpretations</w:t>
      </w:r>
      <w:r w:rsidR="003D640C">
        <w:t xml:space="preserve"> </w:t>
      </w:r>
      <w:r w:rsidR="00DE4546" w:rsidRPr="00BB6220">
        <w:t>of</w:t>
      </w:r>
      <w:r w:rsidR="003D640C">
        <w:t xml:space="preserve"> </w:t>
      </w:r>
      <w:r w:rsidR="00DE4546" w:rsidRPr="00BB6220">
        <w:t>sexual</w:t>
      </w:r>
      <w:r w:rsidR="003D640C">
        <w:t xml:space="preserve"> </w:t>
      </w:r>
      <w:r w:rsidR="00DE4546" w:rsidRPr="00BB6220">
        <w:t>orientation</w:t>
      </w:r>
      <w:r w:rsidR="003D640C">
        <w:t xml:space="preserve"> </w:t>
      </w:r>
      <w:r w:rsidR="00DE4546" w:rsidRPr="00BB6220">
        <w:t>and</w:t>
      </w:r>
      <w:r w:rsidR="003D640C">
        <w:t xml:space="preserve"> </w:t>
      </w:r>
      <w:r w:rsidR="00DE4546" w:rsidRPr="00BB6220">
        <w:t>gender</w:t>
      </w:r>
      <w:r w:rsidR="003D640C">
        <w:t xml:space="preserve"> </w:t>
      </w:r>
      <w:r w:rsidR="003E2625" w:rsidRPr="00BB6220">
        <w:t>were</w:t>
      </w:r>
      <w:r w:rsidR="003D640C">
        <w:t xml:space="preserve"> </w:t>
      </w:r>
      <w:r w:rsidR="00A43B2D" w:rsidRPr="00BB6220">
        <w:t>marginalised</w:t>
      </w:r>
      <w:r w:rsidR="003D640C">
        <w:t xml:space="preserve"> </w:t>
      </w:r>
      <w:r w:rsidR="003E2625" w:rsidRPr="00BB6220">
        <w:t>and</w:t>
      </w:r>
      <w:r w:rsidR="003D640C">
        <w:t xml:space="preserve"> </w:t>
      </w:r>
      <w:r w:rsidR="003E2625" w:rsidRPr="00BB6220">
        <w:t>stigmatised</w:t>
      </w:r>
      <w:r w:rsidRPr="00BB6220">
        <w:t>.</w:t>
      </w:r>
      <w:r w:rsidR="003D640C">
        <w:t xml:space="preserve"> </w:t>
      </w:r>
      <w:r w:rsidR="00B20E63" w:rsidRPr="00BB6220">
        <w:t>Concepts</w:t>
      </w:r>
      <w:r w:rsidR="003D640C">
        <w:t xml:space="preserve"> </w:t>
      </w:r>
      <w:r w:rsidR="00B20E63" w:rsidRPr="00BB6220">
        <w:t>of</w:t>
      </w:r>
      <w:r w:rsidR="003D640C">
        <w:t xml:space="preserve"> </w:t>
      </w:r>
      <w:r w:rsidR="00B20E63" w:rsidRPr="00BB6220">
        <w:t>binary</w:t>
      </w:r>
      <w:r w:rsidR="003D640C">
        <w:t xml:space="preserve"> </w:t>
      </w:r>
      <w:r w:rsidR="00B20E63" w:rsidRPr="00BB6220">
        <w:t>gender</w:t>
      </w:r>
      <w:r w:rsidR="00491C35">
        <w:t>,</w:t>
      </w:r>
      <w:r w:rsidR="003D640C">
        <w:t xml:space="preserve"> </w:t>
      </w:r>
      <w:r w:rsidR="00B20E63" w:rsidRPr="00BB6220">
        <w:t>monogamy</w:t>
      </w:r>
      <w:r w:rsidR="00F86F46">
        <w:t>,</w:t>
      </w:r>
      <w:r w:rsidR="003D640C">
        <w:t xml:space="preserve"> </w:t>
      </w:r>
      <w:r w:rsidR="00B20E63" w:rsidRPr="00BB6220">
        <w:t>and</w:t>
      </w:r>
      <w:r w:rsidR="003D640C">
        <w:t xml:space="preserve"> </w:t>
      </w:r>
      <w:r w:rsidR="00B20E63" w:rsidRPr="00BB6220">
        <w:t>heteronormativity</w:t>
      </w:r>
      <w:r w:rsidR="003D640C">
        <w:t xml:space="preserve"> </w:t>
      </w:r>
      <w:r w:rsidR="00B20E63" w:rsidRPr="00BB6220">
        <w:t>–</w:t>
      </w:r>
      <w:r w:rsidR="003D640C">
        <w:t xml:space="preserve"> </w:t>
      </w:r>
      <w:r w:rsidR="00B20E63" w:rsidRPr="00BB6220">
        <w:t>and</w:t>
      </w:r>
      <w:r w:rsidR="003D640C">
        <w:t xml:space="preserve"> </w:t>
      </w:r>
      <w:r w:rsidR="00B20E63" w:rsidRPr="00BB6220">
        <w:t>the</w:t>
      </w:r>
      <w:r w:rsidR="003D640C">
        <w:t xml:space="preserve"> </w:t>
      </w:r>
      <w:r w:rsidR="00B20E63" w:rsidRPr="00BB6220">
        <w:t>marginalisation</w:t>
      </w:r>
      <w:r w:rsidR="003D640C">
        <w:t xml:space="preserve"> </w:t>
      </w:r>
      <w:r w:rsidR="00B20E63" w:rsidRPr="00BB6220">
        <w:t>of</w:t>
      </w:r>
      <w:r w:rsidR="003D640C">
        <w:t xml:space="preserve"> </w:t>
      </w:r>
      <w:r w:rsidR="00B20E63" w:rsidRPr="00BB6220">
        <w:t>those</w:t>
      </w:r>
      <w:r w:rsidR="003D640C">
        <w:t xml:space="preserve"> </w:t>
      </w:r>
      <w:r w:rsidR="00B20E63" w:rsidRPr="00BB6220">
        <w:t>who</w:t>
      </w:r>
      <w:r w:rsidR="003D640C">
        <w:t xml:space="preserve"> </w:t>
      </w:r>
      <w:r w:rsidR="00B20E63" w:rsidRPr="00BB6220">
        <w:t>did</w:t>
      </w:r>
      <w:r w:rsidR="003D640C">
        <w:t xml:space="preserve"> </w:t>
      </w:r>
      <w:r w:rsidR="00B20E63" w:rsidRPr="00BB6220">
        <w:t>not</w:t>
      </w:r>
      <w:r w:rsidR="003D640C">
        <w:t xml:space="preserve"> </w:t>
      </w:r>
      <w:r w:rsidR="00B20E63" w:rsidRPr="00BB6220">
        <w:t>conform</w:t>
      </w:r>
      <w:r w:rsidR="003D640C">
        <w:t xml:space="preserve"> </w:t>
      </w:r>
      <w:r w:rsidR="00B20E63" w:rsidRPr="00BB6220">
        <w:t>to</w:t>
      </w:r>
      <w:r w:rsidR="003D640C">
        <w:t xml:space="preserve"> </w:t>
      </w:r>
      <w:r w:rsidR="00B20E63" w:rsidRPr="00BB6220">
        <w:t>them</w:t>
      </w:r>
      <w:r w:rsidR="003D640C">
        <w:t xml:space="preserve"> </w:t>
      </w:r>
      <w:r w:rsidR="00B20E63" w:rsidRPr="00BB6220">
        <w:t>–</w:t>
      </w:r>
      <w:r w:rsidR="003D640C">
        <w:t xml:space="preserve"> </w:t>
      </w:r>
      <w:r w:rsidRPr="00BB6220">
        <w:t>came</w:t>
      </w:r>
      <w:r w:rsidR="003D640C">
        <w:t xml:space="preserve"> </w:t>
      </w:r>
      <w:r w:rsidRPr="00BB6220">
        <w:t>to</w:t>
      </w:r>
      <w:r w:rsidR="003D640C">
        <w:t xml:space="preserve"> </w:t>
      </w:r>
      <w:r w:rsidRPr="00BB6220">
        <w:t>underpin</w:t>
      </w:r>
      <w:r w:rsidR="003D640C">
        <w:t xml:space="preserve"> </w:t>
      </w:r>
      <w:r w:rsidRPr="00BB6220">
        <w:t>the</w:t>
      </w:r>
      <w:r w:rsidR="003D640C">
        <w:t xml:space="preserve"> </w:t>
      </w:r>
      <w:r w:rsidRPr="00BB6220">
        <w:t>social,</w:t>
      </w:r>
      <w:r w:rsidR="003D640C">
        <w:t xml:space="preserve"> </w:t>
      </w:r>
      <w:r w:rsidRPr="00BB6220">
        <w:t>education,</w:t>
      </w:r>
      <w:r w:rsidR="003D640C">
        <w:t xml:space="preserve"> </w:t>
      </w:r>
      <w:r w:rsidRPr="00BB6220">
        <w:t>and</w:t>
      </w:r>
      <w:r w:rsidR="003D640C">
        <w:t xml:space="preserve"> </w:t>
      </w:r>
      <w:r w:rsidRPr="00BB6220">
        <w:t>health</w:t>
      </w:r>
      <w:r w:rsidR="003D640C">
        <w:t xml:space="preserve"> </w:t>
      </w:r>
      <w:r w:rsidRPr="00BB6220">
        <w:t>sectors</w:t>
      </w:r>
      <w:r w:rsidR="003D640C">
        <w:t xml:space="preserve"> </w:t>
      </w:r>
      <w:r w:rsidRPr="00BB6220">
        <w:t>of</w:t>
      </w:r>
      <w:r w:rsidR="003D640C">
        <w:t xml:space="preserve"> </w:t>
      </w:r>
      <w:r w:rsidRPr="00BB6220">
        <w:t>Aotearoa.</w:t>
      </w:r>
      <w:r w:rsidR="003D640C">
        <w:t xml:space="preserve"> </w:t>
      </w:r>
    </w:p>
    <w:p w14:paraId="3F7EC628" w14:textId="2B34164F" w:rsidR="00501068" w:rsidRDefault="00D05424" w:rsidP="00C2162C">
      <w:pPr>
        <w:pBdr>
          <w:top w:val="single" w:sz="4" w:space="1" w:color="auto"/>
          <w:left w:val="single" w:sz="4" w:space="4" w:color="auto"/>
          <w:bottom w:val="single" w:sz="4" w:space="1" w:color="auto"/>
          <w:right w:val="single" w:sz="4" w:space="4" w:color="auto"/>
        </w:pBdr>
        <w:shd w:val="clear" w:color="auto" w:fill="EDEDED"/>
      </w:pPr>
      <w:r w:rsidRPr="00BB6220">
        <w:rPr>
          <w:b/>
          <w:bCs/>
        </w:rPr>
        <w:t>[Sidebar]</w:t>
      </w:r>
      <w:r w:rsidR="003D640C">
        <w:t xml:space="preserve"> </w:t>
      </w:r>
      <w:r w:rsidRPr="00BB6220">
        <w:t>In</w:t>
      </w:r>
      <w:r w:rsidR="003D640C">
        <w:t xml:space="preserve"> </w:t>
      </w:r>
      <w:r w:rsidRPr="00BB6220">
        <w:t>recent</w:t>
      </w:r>
      <w:r w:rsidR="003D640C">
        <w:t xml:space="preserve"> </w:t>
      </w:r>
      <w:r w:rsidRPr="00BB6220">
        <w:t>years</w:t>
      </w:r>
      <w:r w:rsidR="00F86F46">
        <w:t>,</w:t>
      </w:r>
      <w:r w:rsidR="003D640C">
        <w:t xml:space="preserve"> </w:t>
      </w:r>
      <w:r w:rsidRPr="00BB6220">
        <w:t>there</w:t>
      </w:r>
      <w:r w:rsidR="003D640C">
        <w:t xml:space="preserve"> </w:t>
      </w:r>
      <w:r w:rsidRPr="00BB6220">
        <w:t>has</w:t>
      </w:r>
      <w:r w:rsidR="003D640C">
        <w:t xml:space="preserve"> </w:t>
      </w:r>
      <w:r w:rsidRPr="00BB6220">
        <w:t>been</w:t>
      </w:r>
      <w:r w:rsidR="003D640C">
        <w:t xml:space="preserve"> </w:t>
      </w:r>
      <w:r w:rsidRPr="00BB6220">
        <w:t>a</w:t>
      </w:r>
      <w:r w:rsidR="003D640C">
        <w:t xml:space="preserve"> </w:t>
      </w:r>
      <w:r w:rsidRPr="00BB6220">
        <w:t>growing</w:t>
      </w:r>
      <w:r w:rsidR="003D640C">
        <w:t xml:space="preserve"> </w:t>
      </w:r>
      <w:r w:rsidRPr="00BB6220">
        <w:t>recognition</w:t>
      </w:r>
      <w:r w:rsidR="003D640C">
        <w:t xml:space="preserve"> </w:t>
      </w:r>
      <w:r w:rsidRPr="00BB6220">
        <w:t>and</w:t>
      </w:r>
      <w:r w:rsidR="003D640C">
        <w:t xml:space="preserve"> </w:t>
      </w:r>
      <w:r w:rsidRPr="00BB6220">
        <w:t>revitalisation</w:t>
      </w:r>
      <w:r w:rsidR="003D640C">
        <w:t xml:space="preserve"> </w:t>
      </w:r>
      <w:r w:rsidRPr="00BB6220">
        <w:t>of</w:t>
      </w:r>
      <w:r w:rsidR="003D640C">
        <w:t xml:space="preserve"> </w:t>
      </w:r>
      <w:r w:rsidR="00125988" w:rsidRPr="00BB6220">
        <w:t>I</w:t>
      </w:r>
      <w:r w:rsidRPr="00BB6220">
        <w:t>ndigenous</w:t>
      </w:r>
      <w:r w:rsidR="003D640C">
        <w:t xml:space="preserve"> </w:t>
      </w:r>
      <w:r w:rsidRPr="00BB6220">
        <w:t>perspectives</w:t>
      </w:r>
      <w:r w:rsidR="003D640C">
        <w:t xml:space="preserve"> </w:t>
      </w:r>
      <w:r w:rsidRPr="00BB6220">
        <w:t>on</w:t>
      </w:r>
      <w:r w:rsidR="003D640C">
        <w:t xml:space="preserve"> </w:t>
      </w:r>
      <w:r w:rsidRPr="00BB6220">
        <w:t>gender</w:t>
      </w:r>
      <w:r w:rsidR="003D640C">
        <w:t xml:space="preserve"> </w:t>
      </w:r>
      <w:r w:rsidRPr="00BB6220">
        <w:t>and</w:t>
      </w:r>
      <w:r w:rsidR="003D640C">
        <w:t xml:space="preserve"> </w:t>
      </w:r>
      <w:r w:rsidR="00404B18" w:rsidRPr="00BB6220">
        <w:t>sexual</w:t>
      </w:r>
      <w:r w:rsidR="003D640C">
        <w:t xml:space="preserve"> </w:t>
      </w:r>
      <w:r w:rsidR="00404B18" w:rsidRPr="00BB6220">
        <w:t>orientation</w:t>
      </w:r>
      <w:r w:rsidR="003D640C">
        <w:t xml:space="preserve"> </w:t>
      </w:r>
      <w:r w:rsidRPr="00BB6220">
        <w:t>in</w:t>
      </w:r>
      <w:r w:rsidR="003D640C">
        <w:t xml:space="preserve"> </w:t>
      </w:r>
      <w:r w:rsidRPr="00BB6220">
        <w:t>Aotearoa</w:t>
      </w:r>
      <w:r w:rsidR="00096182" w:rsidRPr="00BB6220">
        <w:t>.</w:t>
      </w:r>
      <w:r w:rsidR="00686353">
        <w:rPr>
          <w:rStyle w:val="FootnoteReference"/>
        </w:rPr>
        <w:footnoteReference w:id="72"/>
      </w:r>
      <w:r w:rsidR="003D640C">
        <w:t xml:space="preserve"> </w:t>
      </w:r>
      <w:r w:rsidR="00096182" w:rsidRPr="00BB6220">
        <w:t>E</w:t>
      </w:r>
      <w:r w:rsidRPr="00BB6220">
        <w:t>fforts</w:t>
      </w:r>
      <w:r w:rsidR="003D640C">
        <w:t xml:space="preserve"> </w:t>
      </w:r>
      <w:r w:rsidRPr="00BB6220">
        <w:t>are</w:t>
      </w:r>
      <w:r w:rsidR="003D640C">
        <w:t xml:space="preserve"> </w:t>
      </w:r>
      <w:r w:rsidR="00096182" w:rsidRPr="00BB6220">
        <w:t>being</w:t>
      </w:r>
      <w:r w:rsidR="003D640C">
        <w:t xml:space="preserve"> </w:t>
      </w:r>
      <w:r w:rsidRPr="00BB6220">
        <w:t>made</w:t>
      </w:r>
      <w:r w:rsidR="003D640C">
        <w:t xml:space="preserve"> </w:t>
      </w:r>
      <w:r w:rsidRPr="00BB6220">
        <w:t>to</w:t>
      </w:r>
      <w:r w:rsidR="003D640C">
        <w:t xml:space="preserve"> </w:t>
      </w:r>
      <w:r w:rsidRPr="00BB6220">
        <w:t>reclaim</w:t>
      </w:r>
      <w:r w:rsidR="003D640C">
        <w:t xml:space="preserve"> </w:t>
      </w:r>
      <w:r w:rsidRPr="00BB6220">
        <w:t>and</w:t>
      </w:r>
      <w:r w:rsidR="003D640C">
        <w:t xml:space="preserve"> </w:t>
      </w:r>
      <w:r w:rsidRPr="00BB6220">
        <w:t>celebrate</w:t>
      </w:r>
      <w:r w:rsidR="003D640C">
        <w:t xml:space="preserve"> </w:t>
      </w:r>
      <w:r w:rsidRPr="00BB6220">
        <w:t>the</w:t>
      </w:r>
      <w:r w:rsidR="003D640C">
        <w:t xml:space="preserve"> </w:t>
      </w:r>
      <w:r w:rsidRPr="00BB6220">
        <w:t>rich</w:t>
      </w:r>
      <w:r w:rsidR="003D640C">
        <w:t xml:space="preserve"> </w:t>
      </w:r>
      <w:r w:rsidRPr="00BB6220">
        <w:t>diversity</w:t>
      </w:r>
      <w:r w:rsidR="003D640C">
        <w:t xml:space="preserve"> </w:t>
      </w:r>
      <w:r w:rsidRPr="00BB6220">
        <w:t>and</w:t>
      </w:r>
      <w:r w:rsidR="003D640C">
        <w:t xml:space="preserve"> </w:t>
      </w:r>
      <w:r w:rsidRPr="00BB6220">
        <w:t>cultural</w:t>
      </w:r>
      <w:r w:rsidR="003D640C">
        <w:t xml:space="preserve"> </w:t>
      </w:r>
      <w:r w:rsidRPr="00BB6220">
        <w:t>heritage</w:t>
      </w:r>
      <w:r w:rsidR="003D640C">
        <w:t xml:space="preserve"> </w:t>
      </w:r>
      <w:r w:rsidRPr="00BB6220">
        <w:t>that</w:t>
      </w:r>
      <w:r w:rsidR="003D640C">
        <w:t xml:space="preserve"> </w:t>
      </w:r>
      <w:r w:rsidRPr="00BB6220">
        <w:t>ha</w:t>
      </w:r>
      <w:r w:rsidR="0098034F" w:rsidRPr="00BB6220">
        <w:t>s</w:t>
      </w:r>
      <w:r w:rsidR="003D640C">
        <w:t xml:space="preserve"> </w:t>
      </w:r>
      <w:r w:rsidRPr="00BB6220">
        <w:t>been</w:t>
      </w:r>
      <w:r w:rsidR="003D640C">
        <w:t xml:space="preserve"> </w:t>
      </w:r>
      <w:r w:rsidRPr="00BB6220">
        <w:t>suppressed</w:t>
      </w:r>
      <w:r w:rsidR="003D640C">
        <w:t xml:space="preserve"> </w:t>
      </w:r>
      <w:r w:rsidRPr="00BB6220">
        <w:t>or</w:t>
      </w:r>
      <w:r w:rsidR="003D640C">
        <w:t xml:space="preserve"> </w:t>
      </w:r>
      <w:r w:rsidRPr="00BB6220">
        <w:t>forgotten.</w:t>
      </w:r>
      <w:r w:rsidR="003D640C">
        <w:t xml:space="preserve"> </w:t>
      </w:r>
      <w:r w:rsidR="007E3517" w:rsidRPr="00BB6220">
        <w:t>For</w:t>
      </w:r>
      <w:r w:rsidR="003D640C">
        <w:t xml:space="preserve"> </w:t>
      </w:r>
      <w:r w:rsidR="007E3517" w:rsidRPr="00BB6220">
        <w:t>example</w:t>
      </w:r>
      <w:r w:rsidR="14B27A95" w:rsidRPr="00BB6220">
        <w:t>,</w:t>
      </w:r>
      <w:r w:rsidR="003D640C">
        <w:t xml:space="preserve"> </w:t>
      </w:r>
      <w:r w:rsidR="007E3517" w:rsidRPr="00BB6220">
        <w:t>t</w:t>
      </w:r>
      <w:r w:rsidRPr="00BB6220">
        <w:t>he</w:t>
      </w:r>
      <w:r w:rsidR="003D640C">
        <w:t xml:space="preserve"> </w:t>
      </w:r>
      <w:r w:rsidRPr="00BB6220">
        <w:t>term</w:t>
      </w:r>
      <w:r w:rsidR="003D640C">
        <w:t xml:space="preserve"> </w:t>
      </w:r>
      <w:r w:rsidR="00A87072">
        <w:t>‘</w:t>
      </w:r>
      <w:r w:rsidRPr="00BB6220">
        <w:t>takatāpui</w:t>
      </w:r>
      <w:r w:rsidR="00A87072">
        <w:t>’</w:t>
      </w:r>
      <w:r w:rsidR="003D640C">
        <w:t xml:space="preserve"> </w:t>
      </w:r>
      <w:r w:rsidRPr="00BB6220">
        <w:t>has</w:t>
      </w:r>
      <w:r w:rsidR="003D640C">
        <w:t xml:space="preserve"> </w:t>
      </w:r>
      <w:r w:rsidRPr="00BB6220">
        <w:t>been</w:t>
      </w:r>
      <w:r w:rsidR="003D640C">
        <w:t xml:space="preserve"> </w:t>
      </w:r>
      <w:r w:rsidRPr="00BB6220">
        <w:t>reclaimed</w:t>
      </w:r>
      <w:r w:rsidR="003D640C">
        <w:t xml:space="preserve"> </w:t>
      </w:r>
      <w:r w:rsidRPr="00BB6220">
        <w:t>as</w:t>
      </w:r>
      <w:r w:rsidR="003D640C">
        <w:t xml:space="preserve"> </w:t>
      </w:r>
      <w:r w:rsidRPr="00BB6220">
        <w:t>an</w:t>
      </w:r>
      <w:r w:rsidR="003D640C">
        <w:t xml:space="preserve"> </w:t>
      </w:r>
      <w:r w:rsidRPr="00BB6220">
        <w:t>inclusive</w:t>
      </w:r>
      <w:r w:rsidR="003D640C">
        <w:t xml:space="preserve"> </w:t>
      </w:r>
      <w:r w:rsidRPr="00BB6220">
        <w:t>and</w:t>
      </w:r>
      <w:r w:rsidR="003D640C">
        <w:t xml:space="preserve"> </w:t>
      </w:r>
      <w:r w:rsidRPr="00BB6220">
        <w:t>culturally</w:t>
      </w:r>
      <w:r w:rsidR="003D640C">
        <w:t xml:space="preserve"> </w:t>
      </w:r>
      <w:r w:rsidRPr="00BB6220">
        <w:t>specific</w:t>
      </w:r>
      <w:r w:rsidR="003D640C">
        <w:t xml:space="preserve"> </w:t>
      </w:r>
      <w:r w:rsidRPr="00BB6220">
        <w:t>term</w:t>
      </w:r>
      <w:r w:rsidR="003D640C">
        <w:t xml:space="preserve"> </w:t>
      </w:r>
      <w:r w:rsidR="00EF6E3C" w:rsidRPr="00BB6220">
        <w:t>for</w:t>
      </w:r>
      <w:r w:rsidR="003D640C">
        <w:t xml:space="preserve"> </w:t>
      </w:r>
      <w:r w:rsidRPr="00BB6220">
        <w:t>Māori.</w:t>
      </w:r>
      <w:r w:rsidR="003D640C">
        <w:t xml:space="preserve"> </w:t>
      </w:r>
      <w:r w:rsidR="0080417C" w:rsidRPr="00BB6220">
        <w:t>It</w:t>
      </w:r>
      <w:r w:rsidR="003D640C">
        <w:t xml:space="preserve"> </w:t>
      </w:r>
      <w:r w:rsidRPr="00BB6220">
        <w:t>refers</w:t>
      </w:r>
      <w:r w:rsidR="003D640C">
        <w:t xml:space="preserve"> </w:t>
      </w:r>
      <w:r w:rsidRPr="00BB6220">
        <w:t>to</w:t>
      </w:r>
      <w:r w:rsidR="003D640C">
        <w:t xml:space="preserve"> </w:t>
      </w:r>
      <w:r w:rsidRPr="00BB6220">
        <w:t>individuals</w:t>
      </w:r>
      <w:r w:rsidR="003D640C">
        <w:t xml:space="preserve"> </w:t>
      </w:r>
      <w:r w:rsidRPr="00BB6220">
        <w:t>who</w:t>
      </w:r>
      <w:r w:rsidR="003D640C">
        <w:t xml:space="preserve"> </w:t>
      </w:r>
      <w:r w:rsidRPr="00BB6220">
        <w:t>embrace</w:t>
      </w:r>
      <w:r w:rsidR="003D640C">
        <w:t xml:space="preserve"> </w:t>
      </w:r>
      <w:r w:rsidRPr="00BB6220">
        <w:t>diverse</w:t>
      </w:r>
      <w:r w:rsidR="003D640C">
        <w:t xml:space="preserve"> </w:t>
      </w:r>
      <w:r w:rsidRPr="00BB6220">
        <w:t>sexual</w:t>
      </w:r>
      <w:r w:rsidR="003D640C">
        <w:t xml:space="preserve"> </w:t>
      </w:r>
      <w:r w:rsidRPr="00BB6220">
        <w:t>orientations,</w:t>
      </w:r>
      <w:r w:rsidR="003D640C">
        <w:t xml:space="preserve"> </w:t>
      </w:r>
      <w:r w:rsidRPr="00BB6220">
        <w:t>gender</w:t>
      </w:r>
      <w:r w:rsidR="003D640C">
        <w:t xml:space="preserve"> </w:t>
      </w:r>
      <w:r w:rsidRPr="00BB6220">
        <w:t>identities</w:t>
      </w:r>
      <w:r w:rsidR="003D640C">
        <w:t xml:space="preserve"> </w:t>
      </w:r>
      <w:r w:rsidRPr="00BB6220">
        <w:t>and</w:t>
      </w:r>
      <w:r w:rsidR="003D640C">
        <w:t xml:space="preserve"> </w:t>
      </w:r>
      <w:r w:rsidRPr="00BB6220">
        <w:t>expressions</w:t>
      </w:r>
      <w:r w:rsidR="006776B2" w:rsidRPr="00BB6220">
        <w:t>,</w:t>
      </w:r>
      <w:r w:rsidR="003D640C">
        <w:t xml:space="preserve"> </w:t>
      </w:r>
      <w:r w:rsidR="006776B2" w:rsidRPr="00BB6220">
        <w:t>and</w:t>
      </w:r>
      <w:r w:rsidR="003D640C">
        <w:t xml:space="preserve"> </w:t>
      </w:r>
      <w:r w:rsidR="006776B2" w:rsidRPr="00BB6220">
        <w:t>sex</w:t>
      </w:r>
      <w:r w:rsidR="003D640C">
        <w:t xml:space="preserve"> </w:t>
      </w:r>
      <w:r w:rsidR="006776B2" w:rsidRPr="00BB6220">
        <w:t>characteristics</w:t>
      </w:r>
      <w:r w:rsidR="003D640C">
        <w:t xml:space="preserve"> </w:t>
      </w:r>
      <w:r w:rsidRPr="00BB6220">
        <w:t>within</w:t>
      </w:r>
      <w:r w:rsidR="003D640C">
        <w:t xml:space="preserve"> </w:t>
      </w:r>
      <w:r w:rsidRPr="00BB6220">
        <w:t>an</w:t>
      </w:r>
      <w:r w:rsidR="003D640C">
        <w:t xml:space="preserve"> </w:t>
      </w:r>
      <w:r w:rsidR="00806EBE" w:rsidRPr="00BB6220">
        <w:t>I</w:t>
      </w:r>
      <w:r w:rsidRPr="00BB6220">
        <w:t>ndigenous</w:t>
      </w:r>
      <w:r w:rsidR="003D640C">
        <w:t xml:space="preserve"> </w:t>
      </w:r>
      <w:r w:rsidRPr="00BB6220">
        <w:t>Māori</w:t>
      </w:r>
      <w:r w:rsidR="003D640C">
        <w:t xml:space="preserve"> </w:t>
      </w:r>
      <w:r w:rsidRPr="00BB6220">
        <w:t>context</w:t>
      </w:r>
      <w:r w:rsidR="00270ED8" w:rsidRPr="00BB6220">
        <w:t>.</w:t>
      </w:r>
      <w:r w:rsidR="003D640C">
        <w:t xml:space="preserve"> </w:t>
      </w:r>
      <w:r w:rsidR="00270ED8" w:rsidRPr="00BB6220">
        <w:t>It</w:t>
      </w:r>
      <w:r w:rsidR="003D640C">
        <w:t xml:space="preserve"> </w:t>
      </w:r>
      <w:r w:rsidRPr="00BB6220">
        <w:t>acknowledges</w:t>
      </w:r>
      <w:r w:rsidR="003D640C">
        <w:t xml:space="preserve"> </w:t>
      </w:r>
      <w:r w:rsidRPr="00BB6220">
        <w:t>and</w:t>
      </w:r>
      <w:r w:rsidR="003D640C">
        <w:t xml:space="preserve"> </w:t>
      </w:r>
      <w:r w:rsidRPr="00BB6220">
        <w:t>affirms</w:t>
      </w:r>
      <w:r w:rsidR="003D640C">
        <w:t xml:space="preserve"> </w:t>
      </w:r>
      <w:r w:rsidRPr="00BB6220">
        <w:t>the</w:t>
      </w:r>
      <w:r w:rsidR="003D640C">
        <w:t xml:space="preserve"> </w:t>
      </w:r>
      <w:r w:rsidRPr="00BB6220">
        <w:t>unique</w:t>
      </w:r>
      <w:r w:rsidR="003D640C">
        <w:t xml:space="preserve"> </w:t>
      </w:r>
      <w:r w:rsidRPr="00BB6220">
        <w:t>spiritual</w:t>
      </w:r>
      <w:r w:rsidR="003D640C">
        <w:t xml:space="preserve"> </w:t>
      </w:r>
      <w:r w:rsidRPr="00BB6220">
        <w:t>and</w:t>
      </w:r>
      <w:r w:rsidR="003D640C">
        <w:t xml:space="preserve"> </w:t>
      </w:r>
      <w:r w:rsidRPr="00BB6220">
        <w:t>cultural</w:t>
      </w:r>
      <w:r w:rsidR="003D640C">
        <w:t xml:space="preserve"> </w:t>
      </w:r>
      <w:r w:rsidRPr="00BB6220">
        <w:t>roles</w:t>
      </w:r>
      <w:r w:rsidR="003D640C">
        <w:t xml:space="preserve"> </w:t>
      </w:r>
      <w:r w:rsidRPr="00BB6220">
        <w:t>these</w:t>
      </w:r>
      <w:r w:rsidR="003D640C">
        <w:t xml:space="preserve"> </w:t>
      </w:r>
      <w:r w:rsidRPr="00BB6220">
        <w:t>individuals</w:t>
      </w:r>
      <w:r w:rsidR="003D640C">
        <w:t xml:space="preserve"> </w:t>
      </w:r>
      <w:r w:rsidRPr="00BB6220">
        <w:t>embody.</w:t>
      </w:r>
      <w:r w:rsidRPr="00BB6220">
        <w:rPr>
          <w:rStyle w:val="FootnoteReference"/>
          <w:rFonts w:ascii="Calibri" w:eastAsia="Calibri" w:hAnsi="Calibri" w:cs="Calibri"/>
          <w:color w:val="000000" w:themeColor="text1"/>
        </w:rPr>
        <w:footnoteReference w:id="73"/>
      </w:r>
      <w:r w:rsidR="003D640C">
        <w:t xml:space="preserve"> </w:t>
      </w:r>
      <w:r w:rsidR="00656724" w:rsidRPr="00BB6220">
        <w:t>See</w:t>
      </w:r>
      <w:r w:rsidR="003D640C">
        <w:t xml:space="preserve"> </w:t>
      </w:r>
      <w:r w:rsidR="00656724" w:rsidRPr="00BB6220">
        <w:t>chapter</w:t>
      </w:r>
      <w:r w:rsidR="003D640C">
        <w:t xml:space="preserve"> </w:t>
      </w:r>
      <w:r w:rsidR="00B22E77">
        <w:fldChar w:fldCharType="begin"/>
      </w:r>
      <w:r w:rsidR="00B22E77">
        <w:instrText xml:space="preserve"> REF _Ref168394108 \r \h </w:instrText>
      </w:r>
      <w:r w:rsidR="00B22E77">
        <w:fldChar w:fldCharType="separate"/>
      </w:r>
      <w:r w:rsidR="00B22E77">
        <w:t>6</w:t>
      </w:r>
      <w:r w:rsidR="00B22E77">
        <w:fldChar w:fldCharType="end"/>
      </w:r>
      <w:r w:rsidR="003D640C">
        <w:t xml:space="preserve"> </w:t>
      </w:r>
      <w:r w:rsidR="00015D6E" w:rsidRPr="00BB6220">
        <w:t>for</w:t>
      </w:r>
      <w:r w:rsidR="003D640C">
        <w:t xml:space="preserve"> </w:t>
      </w:r>
      <w:r w:rsidR="00015D6E" w:rsidRPr="00BB6220">
        <w:t>more</w:t>
      </w:r>
      <w:r w:rsidR="003D640C">
        <w:t xml:space="preserve"> </w:t>
      </w:r>
      <w:r w:rsidR="005F21A3" w:rsidRPr="00BB6220">
        <w:t>information</w:t>
      </w:r>
      <w:r w:rsidR="003D640C">
        <w:t xml:space="preserve"> </w:t>
      </w:r>
      <w:r w:rsidR="005F21A3" w:rsidRPr="00BB6220">
        <w:t>on</w:t>
      </w:r>
      <w:r w:rsidR="003D640C">
        <w:t xml:space="preserve"> </w:t>
      </w:r>
      <w:r w:rsidR="005F21A3" w:rsidRPr="00BB6220">
        <w:t>this.</w:t>
      </w:r>
    </w:p>
    <w:p w14:paraId="157B34AB" w14:textId="7C513ED9" w:rsidR="00D05424" w:rsidRPr="00BB6220" w:rsidRDefault="00D05424" w:rsidP="00C2162C">
      <w:pPr>
        <w:pStyle w:val="Heading2"/>
        <w:rPr>
          <w:rFonts w:ascii="Calibri" w:eastAsia="Calibri" w:hAnsi="Calibri" w:cs="Calibri"/>
          <w:color w:val="000000" w:themeColor="text1"/>
          <w:sz w:val="22"/>
          <w:szCs w:val="22"/>
        </w:rPr>
      </w:pPr>
      <w:bookmarkStart w:id="136" w:name="_Toc138325169"/>
      <w:bookmarkStart w:id="137" w:name="_Toc138343806"/>
      <w:bookmarkStart w:id="138" w:name="_Toc167780593"/>
      <w:bookmarkStart w:id="139" w:name="_Toc46033545"/>
      <w:bookmarkStart w:id="140" w:name="_Toc174628652"/>
      <w:r w:rsidRPr="00BB6220">
        <w:t>Religious</w:t>
      </w:r>
      <w:r w:rsidR="003D640C">
        <w:t xml:space="preserve"> </w:t>
      </w:r>
      <w:r w:rsidRPr="00BB6220">
        <w:t>and</w:t>
      </w:r>
      <w:r w:rsidR="003D640C">
        <w:t xml:space="preserve"> </w:t>
      </w:r>
      <w:r w:rsidRPr="00BB6220">
        <w:t>faith-based</w:t>
      </w:r>
      <w:r w:rsidR="003D640C">
        <w:t xml:space="preserve"> </w:t>
      </w:r>
      <w:r w:rsidRPr="00BB6220">
        <w:t>settings</w:t>
      </w:r>
      <w:bookmarkEnd w:id="136"/>
      <w:bookmarkEnd w:id="137"/>
      <w:bookmarkEnd w:id="138"/>
      <w:bookmarkEnd w:id="139"/>
      <w:bookmarkEnd w:id="140"/>
    </w:p>
    <w:p w14:paraId="32A02FF5" w14:textId="1FF39EFC" w:rsidR="00D05424" w:rsidRPr="00BB6220" w:rsidRDefault="72A3202B" w:rsidP="00C2162C">
      <w:pPr>
        <w:pBdr>
          <w:top w:val="single" w:sz="4" w:space="1" w:color="auto"/>
          <w:left w:val="single" w:sz="4" w:space="4" w:color="auto"/>
          <w:bottom w:val="single" w:sz="4" w:space="1" w:color="auto"/>
          <w:right w:val="single" w:sz="4" w:space="4" w:color="auto"/>
        </w:pBdr>
        <w:shd w:val="clear" w:color="auto" w:fill="EDEDED"/>
        <w:rPr>
          <w:rFonts w:eastAsia="Calibri"/>
          <w:color w:val="000000" w:themeColor="text1"/>
        </w:rPr>
      </w:pPr>
      <w:r w:rsidRPr="00BB6220">
        <w:rPr>
          <w:rFonts w:eastAsia="Calibri"/>
          <w:b/>
          <w:bCs/>
          <w:color w:val="000000" w:themeColor="text1"/>
        </w:rPr>
        <w:t>[Sidebar]</w:t>
      </w:r>
      <w:r w:rsidR="003D640C">
        <w:rPr>
          <w:rFonts w:eastAsia="Calibri"/>
          <w:color w:val="000000" w:themeColor="text1"/>
        </w:rPr>
        <w:t xml:space="preserve"> </w:t>
      </w:r>
      <w:r w:rsidRPr="00BB6220">
        <w:rPr>
          <w:rFonts w:eastAsia="Calibri"/>
          <w:color w:val="000000" w:themeColor="text1"/>
        </w:rPr>
        <w:t>Conversion</w:t>
      </w:r>
      <w:r w:rsidR="003D640C">
        <w:rPr>
          <w:rFonts w:eastAsia="Calibri"/>
          <w:color w:val="000000" w:themeColor="text1"/>
        </w:rPr>
        <w:t xml:space="preserve"> </w:t>
      </w:r>
      <w:r w:rsidRPr="00BB6220">
        <w:rPr>
          <w:rFonts w:eastAsia="Calibri"/>
          <w:color w:val="000000" w:themeColor="text1"/>
        </w:rPr>
        <w:t>practices</w:t>
      </w:r>
      <w:r w:rsidR="003D640C">
        <w:rPr>
          <w:rFonts w:eastAsia="Calibri"/>
          <w:color w:val="000000" w:themeColor="text1"/>
        </w:rPr>
        <w:t xml:space="preserve"> </w:t>
      </w:r>
      <w:r w:rsidRPr="00BB6220">
        <w:rPr>
          <w:rFonts w:eastAsia="Calibri"/>
          <w:color w:val="000000" w:themeColor="text1"/>
        </w:rPr>
        <w:t>are</w:t>
      </w:r>
      <w:r w:rsidR="003D640C">
        <w:rPr>
          <w:rFonts w:eastAsia="Calibri"/>
          <w:color w:val="000000" w:themeColor="text1"/>
        </w:rPr>
        <w:t xml:space="preserve"> </w:t>
      </w:r>
      <w:r w:rsidRPr="00BB6220">
        <w:rPr>
          <w:rFonts w:eastAsia="Calibri"/>
          <w:color w:val="000000" w:themeColor="text1"/>
        </w:rPr>
        <w:t>rooted</w:t>
      </w:r>
      <w:r w:rsidR="003D640C">
        <w:rPr>
          <w:rFonts w:eastAsia="Calibri"/>
          <w:color w:val="000000" w:themeColor="text1"/>
        </w:rPr>
        <w:t xml:space="preserve"> </w:t>
      </w:r>
      <w:r w:rsidRPr="00BB6220">
        <w:rPr>
          <w:rFonts w:eastAsia="Calibri"/>
          <w:color w:val="000000" w:themeColor="text1"/>
        </w:rPr>
        <w:t>in</w:t>
      </w:r>
      <w:r w:rsidR="003D640C">
        <w:rPr>
          <w:rFonts w:eastAsia="Calibri"/>
          <w:color w:val="000000" w:themeColor="text1"/>
        </w:rPr>
        <w:t xml:space="preserve"> </w:t>
      </w:r>
      <w:r w:rsidRPr="00BB6220">
        <w:rPr>
          <w:rFonts w:eastAsia="Calibri"/>
          <w:color w:val="000000" w:themeColor="text1"/>
        </w:rPr>
        <w:t>and</w:t>
      </w:r>
      <w:r w:rsidR="003D640C">
        <w:rPr>
          <w:rFonts w:eastAsia="Calibri"/>
          <w:color w:val="000000" w:themeColor="text1"/>
        </w:rPr>
        <w:t xml:space="preserve"> </w:t>
      </w:r>
      <w:r w:rsidRPr="00BB6220">
        <w:rPr>
          <w:rFonts w:eastAsia="Calibri"/>
          <w:color w:val="000000" w:themeColor="text1"/>
        </w:rPr>
        <w:t>motivated</w:t>
      </w:r>
      <w:r w:rsidR="003D640C">
        <w:rPr>
          <w:rFonts w:eastAsia="Calibri"/>
          <w:color w:val="000000" w:themeColor="text1"/>
        </w:rPr>
        <w:t xml:space="preserve"> </w:t>
      </w:r>
      <w:r w:rsidRPr="00BB6220">
        <w:rPr>
          <w:rFonts w:eastAsia="Calibri"/>
          <w:color w:val="000000" w:themeColor="text1"/>
        </w:rPr>
        <w:t>by</w:t>
      </w:r>
      <w:r w:rsidR="003D640C">
        <w:rPr>
          <w:rFonts w:eastAsia="Calibri"/>
          <w:color w:val="000000" w:themeColor="text1"/>
        </w:rPr>
        <w:t xml:space="preserve"> </w:t>
      </w:r>
      <w:r w:rsidRPr="00BB6220">
        <w:rPr>
          <w:rFonts w:eastAsia="Calibri"/>
          <w:color w:val="000000" w:themeColor="text1"/>
        </w:rPr>
        <w:t>conversion</w:t>
      </w:r>
      <w:r w:rsidR="003D640C">
        <w:rPr>
          <w:rFonts w:eastAsia="Calibri"/>
          <w:color w:val="000000" w:themeColor="text1"/>
        </w:rPr>
        <w:t xml:space="preserve"> </w:t>
      </w:r>
      <w:r w:rsidRPr="00BB6220">
        <w:rPr>
          <w:rFonts w:eastAsia="Calibri"/>
          <w:color w:val="000000" w:themeColor="text1"/>
        </w:rPr>
        <w:t>ideology.</w:t>
      </w:r>
      <w:r w:rsidR="003D640C">
        <w:rPr>
          <w:rFonts w:eastAsia="Calibri"/>
          <w:color w:val="000000" w:themeColor="text1"/>
        </w:rPr>
        <w:t xml:space="preserve"> </w:t>
      </w:r>
      <w:r w:rsidRPr="0078026B">
        <w:t>This</w:t>
      </w:r>
      <w:r w:rsidR="003D640C" w:rsidRPr="0078026B">
        <w:t xml:space="preserve"> </w:t>
      </w:r>
      <w:r w:rsidRPr="0078026B">
        <w:t>ideology</w:t>
      </w:r>
      <w:r w:rsidR="003D640C" w:rsidRPr="0078026B">
        <w:t xml:space="preserve"> </w:t>
      </w:r>
      <w:r w:rsidR="21B6A57B" w:rsidRPr="0078026B">
        <w:t>is</w:t>
      </w:r>
      <w:r w:rsidR="003D640C" w:rsidRPr="0078026B">
        <w:t xml:space="preserve"> </w:t>
      </w:r>
      <w:r w:rsidR="7D710A75" w:rsidRPr="0078026B">
        <w:t>supported</w:t>
      </w:r>
      <w:r w:rsidR="003D640C" w:rsidRPr="0078026B">
        <w:t xml:space="preserve"> </w:t>
      </w:r>
      <w:r w:rsidR="7D710A75" w:rsidRPr="0078026B">
        <w:t>in</w:t>
      </w:r>
      <w:r w:rsidR="003D640C" w:rsidRPr="0078026B">
        <w:t xml:space="preserve"> </w:t>
      </w:r>
      <w:r w:rsidR="7D710A75" w:rsidRPr="0078026B">
        <w:t>environments</w:t>
      </w:r>
      <w:r w:rsidR="003D640C" w:rsidRPr="0078026B">
        <w:t xml:space="preserve"> </w:t>
      </w:r>
      <w:r w:rsidR="7D710A75" w:rsidRPr="0078026B">
        <w:t>where</w:t>
      </w:r>
      <w:r w:rsidR="003D640C" w:rsidRPr="0078026B">
        <w:t xml:space="preserve"> </w:t>
      </w:r>
      <w:r w:rsidR="026A7147" w:rsidRPr="0078026B">
        <w:t>certain</w:t>
      </w:r>
      <w:r w:rsidR="003D640C" w:rsidRPr="0078026B">
        <w:t xml:space="preserve"> </w:t>
      </w:r>
      <w:r w:rsidR="7D710A75" w:rsidRPr="0078026B">
        <w:t>beliefs</w:t>
      </w:r>
      <w:r w:rsidR="003D640C" w:rsidRPr="0078026B">
        <w:t xml:space="preserve"> </w:t>
      </w:r>
      <w:r w:rsidR="7D710A75" w:rsidRPr="0078026B">
        <w:t>are</w:t>
      </w:r>
      <w:r w:rsidR="003D640C" w:rsidRPr="0078026B">
        <w:t xml:space="preserve"> </w:t>
      </w:r>
      <w:r w:rsidR="7D710A75" w:rsidRPr="0078026B">
        <w:t>taught</w:t>
      </w:r>
      <w:r w:rsidR="003D640C" w:rsidRPr="0078026B">
        <w:t xml:space="preserve"> </w:t>
      </w:r>
      <w:r w:rsidR="7D710A75" w:rsidRPr="0078026B">
        <w:t>as</w:t>
      </w:r>
      <w:r w:rsidR="003D640C" w:rsidRPr="0078026B">
        <w:t xml:space="preserve"> </w:t>
      </w:r>
      <w:r w:rsidR="7D710A75" w:rsidRPr="0078026B">
        <w:t>fact</w:t>
      </w:r>
      <w:r w:rsidR="003D640C" w:rsidRPr="0078026B">
        <w:t xml:space="preserve"> </w:t>
      </w:r>
      <w:r w:rsidR="7D710A75" w:rsidRPr="0078026B">
        <w:t>and</w:t>
      </w:r>
      <w:r w:rsidR="003D640C" w:rsidRPr="0078026B">
        <w:t xml:space="preserve"> </w:t>
      </w:r>
      <w:r w:rsidR="7D710A75" w:rsidRPr="0078026B">
        <w:t>where</w:t>
      </w:r>
      <w:r w:rsidR="003D640C" w:rsidRPr="0078026B">
        <w:t xml:space="preserve"> </w:t>
      </w:r>
      <w:r w:rsidR="7D710A75" w:rsidRPr="0078026B">
        <w:t>questioning</w:t>
      </w:r>
      <w:r w:rsidR="003D640C" w:rsidRPr="0078026B">
        <w:t xml:space="preserve"> </w:t>
      </w:r>
      <w:r w:rsidR="7D710A75" w:rsidRPr="0078026B">
        <w:t>and</w:t>
      </w:r>
      <w:r w:rsidR="003D640C" w:rsidRPr="0078026B">
        <w:t xml:space="preserve"> </w:t>
      </w:r>
      <w:r w:rsidR="7D710A75" w:rsidRPr="0078026B">
        <w:t>testing</w:t>
      </w:r>
      <w:r w:rsidR="003D640C" w:rsidRPr="0078026B">
        <w:t xml:space="preserve"> </w:t>
      </w:r>
      <w:r w:rsidR="0CA34144" w:rsidRPr="0078026B">
        <w:t>those</w:t>
      </w:r>
      <w:r w:rsidR="003D640C" w:rsidRPr="0078026B">
        <w:t xml:space="preserve"> </w:t>
      </w:r>
      <w:r w:rsidR="7D710A75" w:rsidRPr="0078026B">
        <w:t>beliefs</w:t>
      </w:r>
      <w:r w:rsidR="003D640C" w:rsidRPr="0078026B">
        <w:t xml:space="preserve"> </w:t>
      </w:r>
      <w:r w:rsidR="339483D4" w:rsidRPr="0078026B">
        <w:t>are</w:t>
      </w:r>
      <w:r w:rsidR="003D640C" w:rsidRPr="0078026B">
        <w:t xml:space="preserve"> </w:t>
      </w:r>
      <w:r w:rsidR="7D710A75" w:rsidRPr="0078026B">
        <w:t>discouraged</w:t>
      </w:r>
      <w:r w:rsidR="003D640C" w:rsidRPr="0078026B">
        <w:t xml:space="preserve"> </w:t>
      </w:r>
      <w:r w:rsidR="7D710A75" w:rsidRPr="0078026B">
        <w:t>by</w:t>
      </w:r>
      <w:r w:rsidR="003D640C" w:rsidRPr="0078026B">
        <w:t xml:space="preserve"> </w:t>
      </w:r>
      <w:r w:rsidR="7D710A75" w:rsidRPr="0078026B">
        <w:t>people</w:t>
      </w:r>
      <w:r w:rsidR="003D640C" w:rsidRPr="0078026B">
        <w:t xml:space="preserve"> </w:t>
      </w:r>
      <w:r w:rsidR="7D710A75" w:rsidRPr="0078026B">
        <w:t>in</w:t>
      </w:r>
      <w:r w:rsidR="003D640C" w:rsidRPr="0078026B">
        <w:t xml:space="preserve"> </w:t>
      </w:r>
      <w:r w:rsidR="7D710A75" w:rsidRPr="0078026B">
        <w:t>authority</w:t>
      </w:r>
      <w:r w:rsidR="38502110" w:rsidRPr="0078026B">
        <w:t>.</w:t>
      </w:r>
      <w:r w:rsidR="003D640C" w:rsidRPr="0078026B">
        <w:t xml:space="preserve"> </w:t>
      </w:r>
      <w:r w:rsidR="38502110" w:rsidRPr="0078026B">
        <w:t>It</w:t>
      </w:r>
      <w:r w:rsidR="003D640C" w:rsidRPr="0078026B">
        <w:t xml:space="preserve"> </w:t>
      </w:r>
      <w:r w:rsidR="38502110" w:rsidRPr="0078026B">
        <w:t>is</w:t>
      </w:r>
      <w:r w:rsidR="003D640C" w:rsidRPr="0078026B">
        <w:t xml:space="preserve"> </w:t>
      </w:r>
      <w:r w:rsidR="38502110" w:rsidRPr="0078026B">
        <w:t>often</w:t>
      </w:r>
      <w:r w:rsidR="003D640C" w:rsidRPr="0078026B">
        <w:t xml:space="preserve"> </w:t>
      </w:r>
      <w:r w:rsidRPr="0078026B">
        <w:t>pr</w:t>
      </w:r>
      <w:r w:rsidRPr="00BB6220">
        <w:rPr>
          <w:rFonts w:eastAsia="Calibri"/>
          <w:color w:val="000000" w:themeColor="text1"/>
        </w:rPr>
        <w:t>esent</w:t>
      </w:r>
      <w:r w:rsidR="003D640C">
        <w:rPr>
          <w:rFonts w:eastAsia="Calibri"/>
          <w:color w:val="000000" w:themeColor="text1"/>
        </w:rPr>
        <w:t xml:space="preserve"> </w:t>
      </w:r>
      <w:r w:rsidRPr="00BB6220">
        <w:rPr>
          <w:rFonts w:eastAsia="Calibri"/>
          <w:color w:val="000000" w:themeColor="text1"/>
        </w:rPr>
        <w:t>in</w:t>
      </w:r>
      <w:r w:rsidR="003D640C">
        <w:rPr>
          <w:rFonts w:eastAsia="Calibri"/>
          <w:color w:val="000000" w:themeColor="text1"/>
        </w:rPr>
        <w:t xml:space="preserve"> </w:t>
      </w:r>
      <w:r w:rsidRPr="00BB6220">
        <w:rPr>
          <w:rFonts w:eastAsia="Calibri"/>
          <w:color w:val="000000" w:themeColor="text1"/>
        </w:rPr>
        <w:t>communities</w:t>
      </w:r>
      <w:r w:rsidR="003D640C">
        <w:rPr>
          <w:rFonts w:eastAsia="Calibri"/>
          <w:color w:val="000000" w:themeColor="text1"/>
        </w:rPr>
        <w:t xml:space="preserve"> </w:t>
      </w:r>
      <w:r w:rsidRPr="00BB6220">
        <w:rPr>
          <w:rFonts w:eastAsia="Calibri"/>
          <w:color w:val="000000" w:themeColor="text1"/>
        </w:rPr>
        <w:t>that</w:t>
      </w:r>
      <w:r w:rsidR="003D640C">
        <w:rPr>
          <w:rFonts w:eastAsia="Calibri"/>
          <w:color w:val="000000" w:themeColor="text1"/>
        </w:rPr>
        <w:t xml:space="preserve"> </w:t>
      </w:r>
      <w:r w:rsidR="4A72621F" w:rsidRPr="00BB6220">
        <w:rPr>
          <w:rFonts w:eastAsia="Calibri"/>
          <w:color w:val="000000" w:themeColor="text1"/>
        </w:rPr>
        <w:t>adhere</w:t>
      </w:r>
      <w:r w:rsidR="003D640C">
        <w:rPr>
          <w:rFonts w:eastAsia="Calibri"/>
          <w:color w:val="000000" w:themeColor="text1"/>
        </w:rPr>
        <w:t xml:space="preserve"> </w:t>
      </w:r>
      <w:r w:rsidR="4A72621F" w:rsidRPr="00BB6220">
        <w:rPr>
          <w:rFonts w:eastAsia="Calibri"/>
          <w:color w:val="000000" w:themeColor="text1"/>
        </w:rPr>
        <w:t>to</w:t>
      </w:r>
      <w:r w:rsidR="003D640C">
        <w:rPr>
          <w:rFonts w:eastAsia="Calibri"/>
          <w:color w:val="000000" w:themeColor="text1"/>
        </w:rPr>
        <w:t xml:space="preserve"> </w:t>
      </w:r>
      <w:r w:rsidR="4A72621F" w:rsidRPr="00BB6220">
        <w:rPr>
          <w:rFonts w:eastAsia="Calibri"/>
          <w:color w:val="000000" w:themeColor="text1"/>
        </w:rPr>
        <w:t>‘traditional’</w:t>
      </w:r>
      <w:r w:rsidR="003D640C">
        <w:rPr>
          <w:rFonts w:eastAsia="Calibri"/>
          <w:color w:val="000000" w:themeColor="text1"/>
        </w:rPr>
        <w:t xml:space="preserve"> </w:t>
      </w:r>
      <w:r w:rsidR="4A72621F" w:rsidRPr="00BB6220">
        <w:rPr>
          <w:rFonts w:eastAsia="Calibri"/>
          <w:color w:val="000000" w:themeColor="text1"/>
        </w:rPr>
        <w:t>heteronormative</w:t>
      </w:r>
      <w:r w:rsidR="003D640C">
        <w:rPr>
          <w:rFonts w:eastAsia="Calibri"/>
          <w:color w:val="000000" w:themeColor="text1"/>
        </w:rPr>
        <w:t xml:space="preserve"> </w:t>
      </w:r>
      <w:r w:rsidR="4A72621F" w:rsidRPr="00BB6220">
        <w:rPr>
          <w:rFonts w:eastAsia="Calibri"/>
          <w:color w:val="000000" w:themeColor="text1"/>
        </w:rPr>
        <w:t>gender</w:t>
      </w:r>
      <w:r w:rsidR="003D640C">
        <w:rPr>
          <w:rFonts w:eastAsia="Calibri"/>
          <w:color w:val="000000" w:themeColor="text1"/>
        </w:rPr>
        <w:t xml:space="preserve"> </w:t>
      </w:r>
      <w:r w:rsidR="4A72621F" w:rsidRPr="00BB6220">
        <w:rPr>
          <w:rFonts w:eastAsia="Calibri"/>
          <w:color w:val="000000" w:themeColor="text1"/>
        </w:rPr>
        <w:t>roles</w:t>
      </w:r>
      <w:r w:rsidR="003D640C">
        <w:rPr>
          <w:rFonts w:eastAsia="Calibri"/>
          <w:color w:val="000000" w:themeColor="text1"/>
        </w:rPr>
        <w:t xml:space="preserve"> </w:t>
      </w:r>
      <w:r w:rsidR="4A72621F" w:rsidRPr="00BB6220">
        <w:rPr>
          <w:rFonts w:eastAsia="Calibri"/>
          <w:color w:val="000000" w:themeColor="text1"/>
        </w:rPr>
        <w:t>and</w:t>
      </w:r>
      <w:r w:rsidR="003D640C">
        <w:rPr>
          <w:rFonts w:eastAsia="Calibri"/>
          <w:color w:val="000000" w:themeColor="text1"/>
        </w:rPr>
        <w:t xml:space="preserve"> </w:t>
      </w:r>
      <w:r w:rsidR="5C3EBBE8" w:rsidRPr="00BB6220">
        <w:rPr>
          <w:rFonts w:eastAsia="Calibri"/>
          <w:color w:val="000000" w:themeColor="text1"/>
        </w:rPr>
        <w:t>either</w:t>
      </w:r>
      <w:r w:rsidR="003D640C">
        <w:rPr>
          <w:rFonts w:eastAsia="Calibri"/>
          <w:color w:val="000000" w:themeColor="text1"/>
        </w:rPr>
        <w:t xml:space="preserve"> </w:t>
      </w:r>
      <w:r w:rsidR="5C3EBBE8" w:rsidRPr="00BB6220">
        <w:rPr>
          <w:rFonts w:eastAsia="Calibri"/>
          <w:color w:val="000000" w:themeColor="text1"/>
        </w:rPr>
        <w:t>consciously</w:t>
      </w:r>
      <w:r w:rsidR="003D640C">
        <w:rPr>
          <w:rFonts w:eastAsia="Calibri"/>
          <w:color w:val="000000" w:themeColor="text1"/>
        </w:rPr>
        <w:t xml:space="preserve"> </w:t>
      </w:r>
      <w:r w:rsidR="5C3EBBE8" w:rsidRPr="00BB6220">
        <w:rPr>
          <w:rFonts w:eastAsia="Calibri"/>
          <w:color w:val="000000" w:themeColor="text1"/>
        </w:rPr>
        <w:t>or</w:t>
      </w:r>
      <w:r w:rsidR="003D640C">
        <w:rPr>
          <w:rFonts w:eastAsia="Calibri"/>
          <w:color w:val="000000" w:themeColor="text1"/>
        </w:rPr>
        <w:t xml:space="preserve"> </w:t>
      </w:r>
      <w:r w:rsidR="5C3EBBE8" w:rsidRPr="00BB6220">
        <w:rPr>
          <w:rFonts w:eastAsia="Calibri"/>
          <w:color w:val="000000" w:themeColor="text1"/>
        </w:rPr>
        <w:t>unconsciously</w:t>
      </w:r>
      <w:r w:rsidR="003D640C">
        <w:rPr>
          <w:rFonts w:eastAsia="Calibri"/>
          <w:color w:val="000000" w:themeColor="text1"/>
        </w:rPr>
        <w:t xml:space="preserve"> </w:t>
      </w:r>
      <w:r w:rsidR="5C3EBBE8" w:rsidRPr="00BB6220">
        <w:rPr>
          <w:rFonts w:eastAsia="Calibri"/>
          <w:color w:val="000000" w:themeColor="text1"/>
        </w:rPr>
        <w:t>h</w:t>
      </w:r>
      <w:r w:rsidR="00816B0E">
        <w:rPr>
          <w:rFonts w:eastAsia="Calibri"/>
          <w:color w:val="000000" w:themeColor="text1"/>
        </w:rPr>
        <w:t>o</w:t>
      </w:r>
      <w:r w:rsidR="5C3EBBE8" w:rsidRPr="00BB6220">
        <w:rPr>
          <w:rFonts w:eastAsia="Calibri"/>
          <w:color w:val="000000" w:themeColor="text1"/>
        </w:rPr>
        <w:t>ld</w:t>
      </w:r>
      <w:r w:rsidR="003D640C">
        <w:rPr>
          <w:rFonts w:eastAsia="Calibri"/>
          <w:color w:val="000000" w:themeColor="text1"/>
        </w:rPr>
        <w:t xml:space="preserve"> </w:t>
      </w:r>
      <w:r w:rsidRPr="00BB6220">
        <w:rPr>
          <w:rFonts w:eastAsia="Calibri"/>
          <w:color w:val="000000" w:themeColor="text1"/>
        </w:rPr>
        <w:t>homophobic</w:t>
      </w:r>
      <w:r w:rsidR="003D640C">
        <w:rPr>
          <w:rFonts w:eastAsia="Calibri"/>
          <w:color w:val="000000" w:themeColor="text1"/>
        </w:rPr>
        <w:t xml:space="preserve"> </w:t>
      </w:r>
      <w:r w:rsidRPr="00BB6220">
        <w:rPr>
          <w:rFonts w:eastAsia="Calibri"/>
          <w:color w:val="000000" w:themeColor="text1"/>
        </w:rPr>
        <w:t>and</w:t>
      </w:r>
      <w:r w:rsidR="003D640C">
        <w:rPr>
          <w:rFonts w:eastAsia="Calibri"/>
          <w:color w:val="000000" w:themeColor="text1"/>
        </w:rPr>
        <w:t xml:space="preserve"> </w:t>
      </w:r>
      <w:r w:rsidRPr="00BB6220">
        <w:rPr>
          <w:rFonts w:eastAsia="Calibri"/>
          <w:color w:val="000000" w:themeColor="text1"/>
        </w:rPr>
        <w:t>transphobic</w:t>
      </w:r>
      <w:r w:rsidR="003D640C">
        <w:rPr>
          <w:rFonts w:eastAsia="Calibri"/>
          <w:color w:val="000000" w:themeColor="text1"/>
        </w:rPr>
        <w:t xml:space="preserve"> </w:t>
      </w:r>
      <w:r w:rsidRPr="00BB6220">
        <w:rPr>
          <w:rFonts w:eastAsia="Calibri"/>
          <w:color w:val="000000" w:themeColor="text1"/>
        </w:rPr>
        <w:t>views.</w:t>
      </w:r>
      <w:r w:rsidR="003D640C">
        <w:rPr>
          <w:rFonts w:eastAsia="Calibri"/>
          <w:color w:val="000000" w:themeColor="text1"/>
        </w:rPr>
        <w:t xml:space="preserve"> </w:t>
      </w:r>
      <w:r w:rsidR="713C72D3" w:rsidRPr="00BB6220">
        <w:rPr>
          <w:rFonts w:eastAsia="Calibri"/>
          <w:color w:val="000000" w:themeColor="text1"/>
        </w:rPr>
        <w:t>While</w:t>
      </w:r>
      <w:r w:rsidR="003D640C">
        <w:rPr>
          <w:rFonts w:eastAsia="Calibri"/>
          <w:color w:val="000000" w:themeColor="text1"/>
        </w:rPr>
        <w:t xml:space="preserve"> </w:t>
      </w:r>
      <w:r w:rsidR="713C72D3" w:rsidRPr="00BB6220">
        <w:rPr>
          <w:rFonts w:eastAsia="Calibri"/>
          <w:color w:val="000000" w:themeColor="text1"/>
        </w:rPr>
        <w:t>the</w:t>
      </w:r>
      <w:r w:rsidR="003D640C">
        <w:rPr>
          <w:rFonts w:eastAsia="Calibri"/>
          <w:color w:val="000000" w:themeColor="text1"/>
        </w:rPr>
        <w:t xml:space="preserve"> </w:t>
      </w:r>
      <w:r w:rsidR="713C72D3" w:rsidRPr="00BB6220">
        <w:rPr>
          <w:rFonts w:eastAsia="Calibri"/>
          <w:color w:val="000000" w:themeColor="text1"/>
        </w:rPr>
        <w:t>right</w:t>
      </w:r>
      <w:r w:rsidR="003D640C">
        <w:rPr>
          <w:rFonts w:eastAsia="Calibri"/>
          <w:color w:val="000000" w:themeColor="text1"/>
        </w:rPr>
        <w:t xml:space="preserve"> </w:t>
      </w:r>
      <w:r w:rsidR="713C72D3" w:rsidRPr="00BB6220">
        <w:rPr>
          <w:rFonts w:eastAsia="Calibri"/>
          <w:color w:val="000000" w:themeColor="text1"/>
        </w:rPr>
        <w:t>to</w:t>
      </w:r>
      <w:r w:rsidR="003D640C">
        <w:rPr>
          <w:rFonts w:eastAsia="Calibri"/>
          <w:color w:val="000000" w:themeColor="text1"/>
        </w:rPr>
        <w:t xml:space="preserve"> </w:t>
      </w:r>
      <w:r w:rsidR="713C72D3" w:rsidRPr="00BB6220">
        <w:rPr>
          <w:rFonts w:eastAsia="Calibri"/>
          <w:color w:val="000000" w:themeColor="text1"/>
        </w:rPr>
        <w:t>freedom</w:t>
      </w:r>
      <w:r w:rsidR="003D640C">
        <w:rPr>
          <w:rFonts w:eastAsia="Calibri"/>
          <w:color w:val="000000" w:themeColor="text1"/>
        </w:rPr>
        <w:t xml:space="preserve"> </w:t>
      </w:r>
      <w:r w:rsidR="713C72D3" w:rsidRPr="00BB6220">
        <w:rPr>
          <w:rFonts w:eastAsia="Calibri"/>
          <w:color w:val="000000" w:themeColor="text1"/>
        </w:rPr>
        <w:t>of</w:t>
      </w:r>
      <w:r w:rsidR="003D640C">
        <w:rPr>
          <w:rFonts w:eastAsia="Calibri"/>
          <w:color w:val="000000" w:themeColor="text1"/>
        </w:rPr>
        <w:t xml:space="preserve"> </w:t>
      </w:r>
      <w:r w:rsidR="713C72D3" w:rsidRPr="00BB6220">
        <w:rPr>
          <w:rFonts w:eastAsia="Calibri"/>
          <w:color w:val="000000" w:themeColor="text1"/>
        </w:rPr>
        <w:t>religion</w:t>
      </w:r>
      <w:r w:rsidR="003D640C">
        <w:rPr>
          <w:rFonts w:eastAsia="Calibri"/>
          <w:color w:val="000000" w:themeColor="text1"/>
        </w:rPr>
        <w:t xml:space="preserve"> </w:t>
      </w:r>
      <w:r w:rsidR="713C72D3" w:rsidRPr="00BB6220">
        <w:rPr>
          <w:rFonts w:eastAsia="Calibri"/>
          <w:color w:val="000000" w:themeColor="text1"/>
        </w:rPr>
        <w:t>and</w:t>
      </w:r>
      <w:r w:rsidR="003D640C">
        <w:rPr>
          <w:rFonts w:eastAsia="Calibri"/>
          <w:color w:val="000000" w:themeColor="text1"/>
        </w:rPr>
        <w:t xml:space="preserve"> </w:t>
      </w:r>
      <w:r w:rsidR="713C72D3" w:rsidRPr="00BB6220">
        <w:rPr>
          <w:rFonts w:eastAsia="Calibri"/>
          <w:color w:val="000000" w:themeColor="text1"/>
        </w:rPr>
        <w:t>belief</w:t>
      </w:r>
      <w:r w:rsidR="003D640C">
        <w:rPr>
          <w:rFonts w:eastAsia="Calibri"/>
          <w:color w:val="000000" w:themeColor="text1"/>
        </w:rPr>
        <w:t xml:space="preserve"> </w:t>
      </w:r>
      <w:r w:rsidR="713C72D3" w:rsidRPr="00BB6220">
        <w:rPr>
          <w:rFonts w:eastAsia="Calibri"/>
          <w:color w:val="000000" w:themeColor="text1"/>
        </w:rPr>
        <w:t>allows</w:t>
      </w:r>
      <w:r w:rsidR="003D640C">
        <w:rPr>
          <w:rFonts w:eastAsia="Calibri"/>
          <w:color w:val="000000" w:themeColor="text1"/>
        </w:rPr>
        <w:t xml:space="preserve"> </w:t>
      </w:r>
      <w:r w:rsidR="713C72D3" w:rsidRPr="00BB6220">
        <w:rPr>
          <w:rFonts w:eastAsia="Calibri"/>
          <w:color w:val="000000" w:themeColor="text1"/>
        </w:rPr>
        <w:t>for</w:t>
      </w:r>
      <w:r w:rsidR="003D640C">
        <w:rPr>
          <w:rFonts w:eastAsia="Calibri"/>
          <w:color w:val="000000" w:themeColor="text1"/>
        </w:rPr>
        <w:t xml:space="preserve"> </w:t>
      </w:r>
      <w:r w:rsidR="713C72D3" w:rsidRPr="00BB6220">
        <w:rPr>
          <w:rFonts w:eastAsia="Calibri"/>
          <w:color w:val="000000" w:themeColor="text1"/>
        </w:rPr>
        <w:t>people</w:t>
      </w:r>
      <w:r w:rsidR="003D640C">
        <w:rPr>
          <w:rFonts w:eastAsia="Calibri"/>
          <w:color w:val="000000" w:themeColor="text1"/>
        </w:rPr>
        <w:t xml:space="preserve"> </w:t>
      </w:r>
      <w:r w:rsidR="713C72D3" w:rsidRPr="00BB6220">
        <w:rPr>
          <w:rFonts w:eastAsia="Calibri"/>
          <w:color w:val="000000" w:themeColor="text1"/>
        </w:rPr>
        <w:t>to</w:t>
      </w:r>
      <w:r w:rsidR="003D640C">
        <w:rPr>
          <w:rFonts w:eastAsia="Calibri"/>
          <w:color w:val="000000" w:themeColor="text1"/>
        </w:rPr>
        <w:t xml:space="preserve"> </w:t>
      </w:r>
      <w:r w:rsidR="713C72D3" w:rsidRPr="00BB6220">
        <w:rPr>
          <w:rFonts w:eastAsia="Calibri"/>
          <w:color w:val="000000" w:themeColor="text1"/>
        </w:rPr>
        <w:t>hold</w:t>
      </w:r>
      <w:r w:rsidR="003D640C">
        <w:rPr>
          <w:rFonts w:eastAsia="Calibri"/>
          <w:color w:val="000000" w:themeColor="text1"/>
        </w:rPr>
        <w:t xml:space="preserve"> </w:t>
      </w:r>
      <w:r w:rsidR="713C72D3" w:rsidRPr="00BB6220">
        <w:rPr>
          <w:rFonts w:eastAsia="Calibri"/>
          <w:color w:val="000000" w:themeColor="text1"/>
        </w:rPr>
        <w:t>such</w:t>
      </w:r>
      <w:r w:rsidR="003D640C">
        <w:rPr>
          <w:rFonts w:eastAsia="Calibri"/>
          <w:color w:val="000000" w:themeColor="text1"/>
        </w:rPr>
        <w:t xml:space="preserve"> </w:t>
      </w:r>
      <w:r w:rsidR="713C72D3" w:rsidRPr="00BB6220">
        <w:rPr>
          <w:rFonts w:eastAsia="Calibri"/>
          <w:color w:val="000000" w:themeColor="text1"/>
        </w:rPr>
        <w:t>beliefs,</w:t>
      </w:r>
      <w:r w:rsidR="003D640C">
        <w:rPr>
          <w:rFonts w:eastAsia="Calibri"/>
          <w:color w:val="000000" w:themeColor="text1"/>
        </w:rPr>
        <w:t xml:space="preserve"> </w:t>
      </w:r>
      <w:r w:rsidR="713C72D3" w:rsidRPr="00BB6220">
        <w:rPr>
          <w:rFonts w:eastAsia="Calibri"/>
          <w:color w:val="000000" w:themeColor="text1"/>
        </w:rPr>
        <w:t>they</w:t>
      </w:r>
      <w:r w:rsidR="003D640C">
        <w:rPr>
          <w:rFonts w:eastAsia="Calibri"/>
          <w:color w:val="000000" w:themeColor="text1"/>
        </w:rPr>
        <w:t xml:space="preserve"> </w:t>
      </w:r>
      <w:r w:rsidR="713C72D3" w:rsidRPr="00BB6220">
        <w:rPr>
          <w:rFonts w:eastAsia="Calibri"/>
          <w:color w:val="000000" w:themeColor="text1"/>
        </w:rPr>
        <w:t>must</w:t>
      </w:r>
      <w:r w:rsidR="003D640C">
        <w:rPr>
          <w:rFonts w:eastAsia="Calibri"/>
          <w:color w:val="000000" w:themeColor="text1"/>
        </w:rPr>
        <w:t xml:space="preserve"> </w:t>
      </w:r>
      <w:r w:rsidR="713C72D3" w:rsidRPr="00BB6220">
        <w:rPr>
          <w:rFonts w:eastAsia="Calibri"/>
          <w:color w:val="000000" w:themeColor="text1"/>
        </w:rPr>
        <w:t>take</w:t>
      </w:r>
      <w:r w:rsidR="003D640C">
        <w:rPr>
          <w:rFonts w:eastAsia="Calibri"/>
          <w:color w:val="000000" w:themeColor="text1"/>
        </w:rPr>
        <w:t xml:space="preserve"> </w:t>
      </w:r>
      <w:r w:rsidR="713C72D3" w:rsidRPr="00BB6220">
        <w:rPr>
          <w:rFonts w:eastAsia="Calibri"/>
          <w:color w:val="000000" w:themeColor="text1"/>
        </w:rPr>
        <w:t>care</w:t>
      </w:r>
      <w:r w:rsidR="003D640C">
        <w:rPr>
          <w:rFonts w:eastAsia="Calibri"/>
          <w:color w:val="000000" w:themeColor="text1"/>
        </w:rPr>
        <w:t xml:space="preserve"> </w:t>
      </w:r>
      <w:r w:rsidR="713C72D3" w:rsidRPr="00BB6220">
        <w:rPr>
          <w:rFonts w:eastAsia="Calibri"/>
          <w:color w:val="000000" w:themeColor="text1"/>
        </w:rPr>
        <w:t>that</w:t>
      </w:r>
      <w:r w:rsidR="003D640C">
        <w:rPr>
          <w:rFonts w:eastAsia="Calibri"/>
          <w:color w:val="000000" w:themeColor="text1"/>
        </w:rPr>
        <w:t xml:space="preserve"> </w:t>
      </w:r>
      <w:r w:rsidR="713C72D3" w:rsidRPr="00BB6220">
        <w:rPr>
          <w:rFonts w:eastAsia="Calibri"/>
          <w:color w:val="000000" w:themeColor="text1"/>
        </w:rPr>
        <w:t>they</w:t>
      </w:r>
      <w:r w:rsidR="003D640C">
        <w:rPr>
          <w:rFonts w:eastAsia="Calibri"/>
          <w:color w:val="000000" w:themeColor="text1"/>
        </w:rPr>
        <w:t xml:space="preserve"> </w:t>
      </w:r>
      <w:r w:rsidR="713C72D3" w:rsidRPr="00BB6220">
        <w:rPr>
          <w:rFonts w:eastAsia="Calibri"/>
          <w:color w:val="000000" w:themeColor="text1"/>
        </w:rPr>
        <w:t>do</w:t>
      </w:r>
      <w:r w:rsidR="003D640C">
        <w:rPr>
          <w:rFonts w:eastAsia="Calibri"/>
          <w:color w:val="000000" w:themeColor="text1"/>
        </w:rPr>
        <w:t xml:space="preserve"> </w:t>
      </w:r>
      <w:r w:rsidR="713C72D3" w:rsidRPr="00BB6220">
        <w:rPr>
          <w:rFonts w:eastAsia="Calibri"/>
          <w:color w:val="000000" w:themeColor="text1"/>
        </w:rPr>
        <w:t>not</w:t>
      </w:r>
      <w:r w:rsidR="003D640C">
        <w:rPr>
          <w:rFonts w:eastAsia="Calibri"/>
          <w:color w:val="000000" w:themeColor="text1"/>
        </w:rPr>
        <w:t xml:space="preserve"> </w:t>
      </w:r>
      <w:r w:rsidR="713C72D3" w:rsidRPr="00BB6220">
        <w:rPr>
          <w:rFonts w:eastAsia="Calibri"/>
          <w:color w:val="000000" w:themeColor="text1"/>
        </w:rPr>
        <w:t>engage</w:t>
      </w:r>
      <w:r w:rsidR="003D640C">
        <w:rPr>
          <w:rFonts w:eastAsia="Calibri"/>
          <w:color w:val="000000" w:themeColor="text1"/>
        </w:rPr>
        <w:t xml:space="preserve"> </w:t>
      </w:r>
      <w:r w:rsidR="713C72D3" w:rsidRPr="00BB6220">
        <w:rPr>
          <w:rFonts w:eastAsia="Calibri"/>
          <w:color w:val="000000" w:themeColor="text1"/>
        </w:rPr>
        <w:t>in</w:t>
      </w:r>
      <w:r w:rsidR="003D640C">
        <w:rPr>
          <w:rFonts w:eastAsia="Calibri"/>
          <w:color w:val="000000" w:themeColor="text1"/>
        </w:rPr>
        <w:t xml:space="preserve"> </w:t>
      </w:r>
      <w:r w:rsidR="713C72D3" w:rsidRPr="00BB6220">
        <w:rPr>
          <w:rFonts w:eastAsia="Calibri"/>
          <w:color w:val="000000" w:themeColor="text1"/>
        </w:rPr>
        <w:t>conversion</w:t>
      </w:r>
      <w:r w:rsidR="003D640C">
        <w:rPr>
          <w:rFonts w:eastAsia="Calibri"/>
          <w:color w:val="000000" w:themeColor="text1"/>
        </w:rPr>
        <w:t xml:space="preserve"> </w:t>
      </w:r>
      <w:r w:rsidR="713C72D3" w:rsidRPr="00BB6220">
        <w:rPr>
          <w:rFonts w:eastAsia="Calibri"/>
          <w:color w:val="000000" w:themeColor="text1"/>
        </w:rPr>
        <w:t>practices</w:t>
      </w:r>
      <w:r w:rsidR="003D640C">
        <w:rPr>
          <w:rFonts w:eastAsia="Calibri"/>
          <w:color w:val="000000" w:themeColor="text1"/>
        </w:rPr>
        <w:t xml:space="preserve"> </w:t>
      </w:r>
      <w:r w:rsidR="713C72D3" w:rsidRPr="00BB6220">
        <w:rPr>
          <w:rFonts w:eastAsia="Calibri"/>
          <w:color w:val="000000" w:themeColor="text1"/>
        </w:rPr>
        <w:t>by</w:t>
      </w:r>
      <w:r w:rsidR="003D640C">
        <w:rPr>
          <w:rFonts w:eastAsia="Calibri"/>
          <w:color w:val="000000" w:themeColor="text1"/>
        </w:rPr>
        <w:t xml:space="preserve"> </w:t>
      </w:r>
      <w:r w:rsidR="021FCFEC" w:rsidRPr="00BB6220">
        <w:rPr>
          <w:rFonts w:eastAsia="Calibri"/>
          <w:color w:val="000000" w:themeColor="text1"/>
        </w:rPr>
        <w:t>taking</w:t>
      </w:r>
      <w:r w:rsidR="003D640C">
        <w:rPr>
          <w:rFonts w:eastAsia="Calibri"/>
          <w:color w:val="000000" w:themeColor="text1"/>
        </w:rPr>
        <w:t xml:space="preserve"> </w:t>
      </w:r>
      <w:r w:rsidR="021FCFEC" w:rsidRPr="00BB6220">
        <w:rPr>
          <w:rFonts w:eastAsia="Calibri"/>
          <w:color w:val="000000" w:themeColor="text1"/>
        </w:rPr>
        <w:t>action</w:t>
      </w:r>
      <w:r w:rsidR="003D640C">
        <w:rPr>
          <w:rFonts w:eastAsia="Calibri"/>
          <w:color w:val="000000" w:themeColor="text1"/>
        </w:rPr>
        <w:t xml:space="preserve"> </w:t>
      </w:r>
      <w:r w:rsidR="021FCFEC" w:rsidRPr="00BB6220">
        <w:rPr>
          <w:rFonts w:eastAsia="Calibri"/>
          <w:color w:val="000000" w:themeColor="text1"/>
        </w:rPr>
        <w:t>to</w:t>
      </w:r>
      <w:r w:rsidR="003D640C">
        <w:rPr>
          <w:rFonts w:eastAsia="Calibri"/>
          <w:color w:val="000000" w:themeColor="text1"/>
        </w:rPr>
        <w:t xml:space="preserve"> </w:t>
      </w:r>
      <w:r w:rsidR="021FCFEC" w:rsidRPr="00BB6220">
        <w:rPr>
          <w:rFonts w:eastAsia="Calibri"/>
          <w:color w:val="000000" w:themeColor="text1"/>
        </w:rPr>
        <w:t>suppress</w:t>
      </w:r>
      <w:r w:rsidR="003D640C">
        <w:rPr>
          <w:rFonts w:eastAsia="Calibri"/>
          <w:color w:val="000000" w:themeColor="text1"/>
        </w:rPr>
        <w:t xml:space="preserve"> </w:t>
      </w:r>
      <w:r w:rsidR="021FCFEC" w:rsidRPr="00BB6220">
        <w:rPr>
          <w:rFonts w:eastAsia="Calibri"/>
          <w:color w:val="000000" w:themeColor="text1"/>
        </w:rPr>
        <w:t>or</w:t>
      </w:r>
      <w:r w:rsidR="003D640C">
        <w:rPr>
          <w:rFonts w:eastAsia="Calibri"/>
          <w:color w:val="000000" w:themeColor="text1"/>
        </w:rPr>
        <w:t xml:space="preserve"> </w:t>
      </w:r>
      <w:r w:rsidR="021FCFEC" w:rsidRPr="00BB6220">
        <w:rPr>
          <w:rFonts w:eastAsia="Calibri"/>
          <w:color w:val="000000" w:themeColor="text1"/>
        </w:rPr>
        <w:t>change</w:t>
      </w:r>
      <w:r w:rsidR="003D640C">
        <w:rPr>
          <w:rFonts w:eastAsia="Calibri"/>
          <w:color w:val="000000" w:themeColor="text1"/>
        </w:rPr>
        <w:t xml:space="preserve"> </w:t>
      </w:r>
      <w:r w:rsidR="021FCFEC" w:rsidRPr="00BB6220">
        <w:rPr>
          <w:rFonts w:eastAsia="Calibri"/>
          <w:color w:val="000000" w:themeColor="text1"/>
        </w:rPr>
        <w:t>someone’s</w:t>
      </w:r>
      <w:r w:rsidR="003D640C">
        <w:rPr>
          <w:rFonts w:eastAsia="Calibri"/>
          <w:color w:val="000000" w:themeColor="text1"/>
        </w:rPr>
        <w:t xml:space="preserve"> </w:t>
      </w:r>
      <w:r w:rsidR="6EE86DE7" w:rsidRPr="00BB6220">
        <w:rPr>
          <w:rFonts w:eastAsia="Calibri"/>
          <w:color w:val="000000" w:themeColor="text1"/>
        </w:rPr>
        <w:t>Rainbow</w:t>
      </w:r>
      <w:r w:rsidR="003D640C">
        <w:rPr>
          <w:rFonts w:eastAsia="Calibri"/>
          <w:color w:val="000000" w:themeColor="text1"/>
        </w:rPr>
        <w:t xml:space="preserve"> </w:t>
      </w:r>
      <w:r w:rsidR="6EE86DE7" w:rsidRPr="00BB6220">
        <w:rPr>
          <w:rFonts w:eastAsia="Calibri"/>
          <w:color w:val="000000" w:themeColor="text1"/>
        </w:rPr>
        <w:t>identity</w:t>
      </w:r>
      <w:r w:rsidR="003D640C">
        <w:rPr>
          <w:rFonts w:eastAsia="Calibri"/>
          <w:color w:val="000000" w:themeColor="text1"/>
        </w:rPr>
        <w:t xml:space="preserve"> </w:t>
      </w:r>
      <w:r w:rsidR="2EC771E6" w:rsidRPr="00BB6220">
        <w:rPr>
          <w:rFonts w:eastAsia="Calibri"/>
          <w:color w:val="000000" w:themeColor="text1"/>
        </w:rPr>
        <w:t>because</w:t>
      </w:r>
      <w:r w:rsidR="003D640C">
        <w:rPr>
          <w:rFonts w:eastAsia="Calibri"/>
          <w:color w:val="000000" w:themeColor="text1"/>
        </w:rPr>
        <w:t xml:space="preserve"> </w:t>
      </w:r>
      <w:r w:rsidR="2EC771E6" w:rsidRPr="00BB6220">
        <w:rPr>
          <w:rFonts w:eastAsia="Calibri"/>
          <w:color w:val="000000" w:themeColor="text1"/>
        </w:rPr>
        <w:t>of</w:t>
      </w:r>
      <w:r w:rsidR="003D640C">
        <w:rPr>
          <w:rFonts w:eastAsia="Calibri"/>
          <w:color w:val="000000" w:themeColor="text1"/>
        </w:rPr>
        <w:t xml:space="preserve"> </w:t>
      </w:r>
      <w:r w:rsidR="6EE86DE7" w:rsidRPr="00BB6220">
        <w:rPr>
          <w:rFonts w:eastAsia="Calibri"/>
          <w:color w:val="000000" w:themeColor="text1"/>
        </w:rPr>
        <w:t>those</w:t>
      </w:r>
      <w:r w:rsidR="003D640C">
        <w:rPr>
          <w:rFonts w:eastAsia="Calibri"/>
          <w:color w:val="000000" w:themeColor="text1"/>
        </w:rPr>
        <w:t xml:space="preserve"> </w:t>
      </w:r>
      <w:r w:rsidR="6EE86DE7" w:rsidRPr="00BB6220">
        <w:rPr>
          <w:rFonts w:eastAsia="Calibri"/>
          <w:color w:val="000000" w:themeColor="text1"/>
        </w:rPr>
        <w:t>views</w:t>
      </w:r>
      <w:r w:rsidR="780A4B6C" w:rsidRPr="00BB6220">
        <w:rPr>
          <w:rFonts w:eastAsia="Calibri"/>
          <w:color w:val="000000" w:themeColor="text1"/>
        </w:rPr>
        <w:t>.</w:t>
      </w:r>
    </w:p>
    <w:p w14:paraId="0064DE73" w14:textId="3A396082" w:rsidR="00FB2ABF" w:rsidRDefault="00EE7626" w:rsidP="00C2162C">
      <w:r w:rsidRPr="00BB6220">
        <w:t>R</w:t>
      </w:r>
      <w:r w:rsidR="00D05424" w:rsidRPr="00BB6220">
        <w:t>eligious</w:t>
      </w:r>
      <w:r w:rsidR="003D640C">
        <w:t xml:space="preserve"> </w:t>
      </w:r>
      <w:r w:rsidRPr="00BB6220">
        <w:t>and</w:t>
      </w:r>
      <w:r w:rsidR="003D640C">
        <w:t xml:space="preserve"> </w:t>
      </w:r>
      <w:r w:rsidRPr="00BB6220">
        <w:t>faith</w:t>
      </w:r>
      <w:r w:rsidR="003D640C">
        <w:t xml:space="preserve"> </w:t>
      </w:r>
      <w:r w:rsidR="00D05424" w:rsidRPr="00BB6220">
        <w:t>settings</w:t>
      </w:r>
      <w:r w:rsidR="003D640C">
        <w:t xml:space="preserve"> </w:t>
      </w:r>
      <w:r w:rsidR="00D05424" w:rsidRPr="00BB6220">
        <w:t>can</w:t>
      </w:r>
      <w:r w:rsidR="003D640C">
        <w:t xml:space="preserve"> </w:t>
      </w:r>
      <w:r w:rsidR="002046B1" w:rsidRPr="00BB6220">
        <w:t>be</w:t>
      </w:r>
      <w:r w:rsidR="003D640C">
        <w:t xml:space="preserve"> </w:t>
      </w:r>
      <w:r w:rsidR="00D05424" w:rsidRPr="00BB6220">
        <w:t>environments</w:t>
      </w:r>
      <w:r w:rsidR="003D640C">
        <w:t xml:space="preserve"> </w:t>
      </w:r>
      <w:r w:rsidR="00287C33">
        <w:t>that</w:t>
      </w:r>
      <w:r w:rsidR="003D640C">
        <w:t xml:space="preserve"> </w:t>
      </w:r>
      <w:r w:rsidR="00C70888">
        <w:t>foster</w:t>
      </w:r>
      <w:r w:rsidR="003D640C">
        <w:t xml:space="preserve"> </w:t>
      </w:r>
      <w:r w:rsidR="00D05424" w:rsidRPr="00BB6220">
        <w:t>conversion</w:t>
      </w:r>
      <w:r w:rsidR="003D640C">
        <w:t xml:space="preserve"> </w:t>
      </w:r>
      <w:r w:rsidR="00D05424" w:rsidRPr="00BB6220">
        <w:t>ideology</w:t>
      </w:r>
      <w:r w:rsidR="001232AD">
        <w:t xml:space="preserve"> (see chapter </w:t>
      </w:r>
      <w:r w:rsidR="00B22E77">
        <w:fldChar w:fldCharType="begin"/>
      </w:r>
      <w:r w:rsidR="00B22E77">
        <w:instrText xml:space="preserve"> REF _Ref168394124 \r \h </w:instrText>
      </w:r>
      <w:r w:rsidR="00B22E77">
        <w:fldChar w:fldCharType="separate"/>
      </w:r>
      <w:r w:rsidR="00B22E77">
        <w:t>2</w:t>
      </w:r>
      <w:r w:rsidR="00B22E77">
        <w:fldChar w:fldCharType="end"/>
      </w:r>
      <w:r w:rsidR="001232AD">
        <w:t>)</w:t>
      </w:r>
      <w:r w:rsidR="00FB2ABF">
        <w:t>.</w:t>
      </w:r>
      <w:r w:rsidR="003D640C">
        <w:t xml:space="preserve"> </w:t>
      </w:r>
      <w:r w:rsidR="00D05424" w:rsidRPr="00BB6220">
        <w:t>The</w:t>
      </w:r>
      <w:r w:rsidR="003D640C">
        <w:t xml:space="preserve"> </w:t>
      </w:r>
      <w:r w:rsidR="00D05424" w:rsidRPr="00BB6220">
        <w:t>close</w:t>
      </w:r>
      <w:r w:rsidR="00230865" w:rsidRPr="00BB6220">
        <w:t>-</w:t>
      </w:r>
      <w:r w:rsidR="00D05424" w:rsidRPr="00BB6220">
        <w:t>knit</w:t>
      </w:r>
      <w:r w:rsidR="003D640C">
        <w:t xml:space="preserve"> </w:t>
      </w:r>
      <w:r w:rsidR="00D05424" w:rsidRPr="00BB6220">
        <w:t>nature</w:t>
      </w:r>
      <w:r w:rsidR="003D640C">
        <w:t xml:space="preserve"> </w:t>
      </w:r>
      <w:r w:rsidR="00D05424" w:rsidRPr="00BB6220">
        <w:t>of</w:t>
      </w:r>
      <w:r w:rsidR="003D640C">
        <w:t xml:space="preserve"> </w:t>
      </w:r>
      <w:r w:rsidR="00913E74">
        <w:t>some</w:t>
      </w:r>
      <w:r w:rsidR="003D640C">
        <w:t xml:space="preserve"> </w:t>
      </w:r>
      <w:r w:rsidR="00076805" w:rsidRPr="00BB6220">
        <w:t>religious</w:t>
      </w:r>
      <w:r w:rsidR="003D640C">
        <w:t xml:space="preserve"> </w:t>
      </w:r>
      <w:r w:rsidR="00D05424" w:rsidRPr="00BB6220">
        <w:t>communities</w:t>
      </w:r>
      <w:r w:rsidR="003D640C">
        <w:t xml:space="preserve"> </w:t>
      </w:r>
      <w:r w:rsidR="00D05424" w:rsidRPr="00BB6220">
        <w:t>can</w:t>
      </w:r>
      <w:r w:rsidR="003D640C">
        <w:t xml:space="preserve"> </w:t>
      </w:r>
      <w:r w:rsidR="00D05424" w:rsidRPr="00BB6220">
        <w:t>mak</w:t>
      </w:r>
      <w:r w:rsidR="00230865" w:rsidRPr="00BB6220">
        <w:t>e</w:t>
      </w:r>
      <w:r w:rsidR="003D640C">
        <w:t xml:space="preserve"> </w:t>
      </w:r>
      <w:r w:rsidR="00D05424" w:rsidRPr="00BB6220">
        <w:t>it</w:t>
      </w:r>
      <w:r w:rsidR="003D640C">
        <w:t xml:space="preserve"> </w:t>
      </w:r>
      <w:r w:rsidR="00230865" w:rsidRPr="00BB6220">
        <w:t>difficult</w:t>
      </w:r>
      <w:r w:rsidR="003D640C">
        <w:t xml:space="preserve"> </w:t>
      </w:r>
      <w:r w:rsidR="00D05424" w:rsidRPr="00BB6220">
        <w:t>for</w:t>
      </w:r>
      <w:r w:rsidR="003D640C">
        <w:t xml:space="preserve"> </w:t>
      </w:r>
      <w:r w:rsidR="00D05424" w:rsidRPr="00BB6220">
        <w:t>individuals</w:t>
      </w:r>
      <w:r w:rsidR="003D640C">
        <w:t xml:space="preserve"> </w:t>
      </w:r>
      <w:r w:rsidR="00D05424" w:rsidRPr="00BB6220">
        <w:t>to</w:t>
      </w:r>
      <w:r w:rsidR="003D640C">
        <w:t xml:space="preserve"> </w:t>
      </w:r>
      <w:r w:rsidR="00D05424" w:rsidRPr="00BB6220">
        <w:t>challenge</w:t>
      </w:r>
      <w:r w:rsidR="003D640C">
        <w:t xml:space="preserve"> </w:t>
      </w:r>
      <w:r w:rsidR="00D05424" w:rsidRPr="00BB6220">
        <w:t>or</w:t>
      </w:r>
      <w:r w:rsidR="003D640C">
        <w:t xml:space="preserve"> </w:t>
      </w:r>
      <w:r w:rsidR="00D05424" w:rsidRPr="00BB6220">
        <w:t>question</w:t>
      </w:r>
      <w:r w:rsidR="003D640C">
        <w:t xml:space="preserve"> </w:t>
      </w:r>
      <w:r w:rsidR="00D05424" w:rsidRPr="00BB6220">
        <w:t>beliefs</w:t>
      </w:r>
      <w:r w:rsidR="003D640C">
        <w:t xml:space="preserve"> </w:t>
      </w:r>
      <w:r w:rsidR="00D05424" w:rsidRPr="00BB6220">
        <w:t>without</w:t>
      </w:r>
      <w:r w:rsidR="003D640C">
        <w:t xml:space="preserve"> </w:t>
      </w:r>
      <w:r w:rsidR="00D05424" w:rsidRPr="00BB6220">
        <w:t>fear</w:t>
      </w:r>
      <w:r w:rsidR="003D640C">
        <w:t xml:space="preserve"> </w:t>
      </w:r>
      <w:r w:rsidR="00D05424" w:rsidRPr="00BB6220">
        <w:t>of</w:t>
      </w:r>
      <w:r w:rsidR="003D640C">
        <w:t xml:space="preserve"> </w:t>
      </w:r>
      <w:r w:rsidR="00D05424" w:rsidRPr="00BB6220">
        <w:t>rejection</w:t>
      </w:r>
      <w:r w:rsidR="003D640C">
        <w:t xml:space="preserve"> </w:t>
      </w:r>
      <w:r w:rsidR="00D05424" w:rsidRPr="00BB6220">
        <w:t>or</w:t>
      </w:r>
      <w:r w:rsidR="003D640C">
        <w:t xml:space="preserve"> </w:t>
      </w:r>
      <w:r w:rsidR="00D05424" w:rsidRPr="00BB6220">
        <w:t>isolation.</w:t>
      </w:r>
      <w:r w:rsidR="00D05424" w:rsidRPr="00BB6220" w:rsidDel="008E1CCA">
        <w:t xml:space="preserve"> </w:t>
      </w:r>
      <w:r w:rsidR="00B20E63" w:rsidRPr="00BB6220">
        <w:t>R</w:t>
      </w:r>
      <w:r w:rsidR="00016B46" w:rsidRPr="00BB6220">
        <w:t>eligious</w:t>
      </w:r>
      <w:r w:rsidR="003D640C">
        <w:t xml:space="preserve"> </w:t>
      </w:r>
      <w:r w:rsidR="00D23EA2" w:rsidRPr="00BB6220">
        <w:t>leaders</w:t>
      </w:r>
      <w:r w:rsidR="003D640C">
        <w:t xml:space="preserve"> </w:t>
      </w:r>
      <w:r w:rsidR="0030765D" w:rsidRPr="00BB6220">
        <w:t>are</w:t>
      </w:r>
      <w:r w:rsidR="003D640C">
        <w:t xml:space="preserve"> </w:t>
      </w:r>
      <w:r w:rsidR="0030765D" w:rsidRPr="00BB6220">
        <w:t>assumed</w:t>
      </w:r>
      <w:r w:rsidR="003D640C">
        <w:t xml:space="preserve"> </w:t>
      </w:r>
      <w:r w:rsidR="00D05424" w:rsidRPr="00BB6220">
        <w:t>spiritual</w:t>
      </w:r>
      <w:r w:rsidR="003D640C">
        <w:t xml:space="preserve"> </w:t>
      </w:r>
      <w:r w:rsidR="00D05424" w:rsidRPr="00BB6220">
        <w:t>authorit</w:t>
      </w:r>
      <w:r w:rsidR="00B20E63" w:rsidRPr="00BB6220">
        <w:t>ies</w:t>
      </w:r>
      <w:r w:rsidR="003D640C">
        <w:t xml:space="preserve"> </w:t>
      </w:r>
      <w:r w:rsidR="0030765D" w:rsidRPr="00BB6220">
        <w:t>and</w:t>
      </w:r>
      <w:r w:rsidR="003D640C">
        <w:t xml:space="preserve"> </w:t>
      </w:r>
      <w:r w:rsidR="0030765D" w:rsidRPr="00BB6220">
        <w:t>can</w:t>
      </w:r>
      <w:r w:rsidR="003D640C">
        <w:t xml:space="preserve"> </w:t>
      </w:r>
      <w:r w:rsidR="0030765D" w:rsidRPr="00BB6220">
        <w:t>therefore</w:t>
      </w:r>
      <w:r w:rsidR="003D640C">
        <w:t xml:space="preserve"> </w:t>
      </w:r>
      <w:r w:rsidR="00D05424" w:rsidRPr="00BB6220">
        <w:t>influence</w:t>
      </w:r>
      <w:r w:rsidR="003D640C">
        <w:t xml:space="preserve"> </w:t>
      </w:r>
      <w:r w:rsidR="00657994" w:rsidRPr="00BB6220">
        <w:t>attitudes</w:t>
      </w:r>
      <w:r w:rsidR="003D640C">
        <w:t xml:space="preserve"> </w:t>
      </w:r>
      <w:r w:rsidR="00657994" w:rsidRPr="00BB6220">
        <w:t>and</w:t>
      </w:r>
      <w:r w:rsidR="003D640C">
        <w:t xml:space="preserve"> </w:t>
      </w:r>
      <w:r w:rsidR="00657994" w:rsidRPr="00BB6220">
        <w:t>beliefs</w:t>
      </w:r>
      <w:r w:rsidR="003D640C">
        <w:t xml:space="preserve"> </w:t>
      </w:r>
      <w:r w:rsidR="00657994" w:rsidRPr="00BB6220">
        <w:t>towards</w:t>
      </w:r>
      <w:r w:rsidR="003D640C">
        <w:t xml:space="preserve"> </w:t>
      </w:r>
      <w:r w:rsidR="00A25324" w:rsidRPr="00BB6220">
        <w:t>groups</w:t>
      </w:r>
      <w:r w:rsidR="003D640C">
        <w:t xml:space="preserve"> </w:t>
      </w:r>
      <w:r w:rsidR="00A25324" w:rsidRPr="00BB6220">
        <w:t>and</w:t>
      </w:r>
      <w:r w:rsidR="003D640C">
        <w:t xml:space="preserve"> </w:t>
      </w:r>
      <w:r w:rsidR="00D05424" w:rsidRPr="00BB6220">
        <w:t>individuals</w:t>
      </w:r>
      <w:r w:rsidR="00B20E63" w:rsidRPr="00BB6220">
        <w:t>.</w:t>
      </w:r>
      <w:r w:rsidR="003D640C">
        <w:t xml:space="preserve"> </w:t>
      </w:r>
      <w:r w:rsidR="00B20E63" w:rsidRPr="00BB6220">
        <w:t>This</w:t>
      </w:r>
      <w:r w:rsidR="003D640C">
        <w:t xml:space="preserve"> </w:t>
      </w:r>
      <w:r w:rsidR="00B20E63" w:rsidRPr="00BB6220">
        <w:t>can</w:t>
      </w:r>
      <w:r w:rsidR="003D640C">
        <w:t xml:space="preserve"> </w:t>
      </w:r>
      <w:r w:rsidR="00B20E63" w:rsidRPr="00BB6220">
        <w:t>impact</w:t>
      </w:r>
      <w:r w:rsidR="003D640C">
        <w:t xml:space="preserve"> </w:t>
      </w:r>
      <w:r w:rsidR="00B20E63" w:rsidRPr="00BB6220">
        <w:t>the</w:t>
      </w:r>
      <w:r w:rsidR="003D640C">
        <w:t xml:space="preserve"> </w:t>
      </w:r>
      <w:r w:rsidR="00B20E63" w:rsidRPr="00BB6220">
        <w:t>ways</w:t>
      </w:r>
      <w:r w:rsidR="003D640C">
        <w:t xml:space="preserve"> </w:t>
      </w:r>
      <w:r w:rsidR="00B20E63" w:rsidRPr="00BB6220">
        <w:t>in</w:t>
      </w:r>
      <w:r w:rsidR="003D640C">
        <w:t xml:space="preserve"> </w:t>
      </w:r>
      <w:r w:rsidR="00B20E63" w:rsidRPr="00BB6220">
        <w:t>which</w:t>
      </w:r>
      <w:r w:rsidR="003D640C">
        <w:t xml:space="preserve"> </w:t>
      </w:r>
      <w:r w:rsidR="00B20E63" w:rsidRPr="00BB6220">
        <w:t>Rainbow</w:t>
      </w:r>
      <w:r w:rsidR="003D640C">
        <w:t xml:space="preserve"> </w:t>
      </w:r>
      <w:r w:rsidR="009717A0" w:rsidRPr="00BB6220">
        <w:t>people</w:t>
      </w:r>
      <w:r w:rsidR="003D640C">
        <w:t xml:space="preserve"> </w:t>
      </w:r>
      <w:r w:rsidR="00827C02" w:rsidRPr="00BB6220">
        <w:t>are</w:t>
      </w:r>
      <w:r w:rsidR="003D640C">
        <w:t xml:space="preserve"> </w:t>
      </w:r>
      <w:r w:rsidR="00827C02" w:rsidRPr="00BB6220">
        <w:t>perceived</w:t>
      </w:r>
      <w:r w:rsidR="003D640C">
        <w:t xml:space="preserve"> </w:t>
      </w:r>
      <w:r w:rsidR="001232AD">
        <w:t>–</w:t>
      </w:r>
      <w:r w:rsidR="003D640C">
        <w:t xml:space="preserve"> </w:t>
      </w:r>
      <w:r w:rsidR="00DE2BAF" w:rsidRPr="00BB6220">
        <w:t>positively</w:t>
      </w:r>
      <w:r w:rsidR="003D640C">
        <w:t xml:space="preserve"> </w:t>
      </w:r>
      <w:r w:rsidR="00DE2BAF" w:rsidRPr="00BB6220">
        <w:t>or</w:t>
      </w:r>
      <w:r w:rsidR="003D640C">
        <w:t xml:space="preserve"> </w:t>
      </w:r>
      <w:r w:rsidR="00DE2BAF" w:rsidRPr="00BB6220">
        <w:t>negatively</w:t>
      </w:r>
      <w:r w:rsidR="006C12E1" w:rsidRPr="00BB6220">
        <w:t>.</w:t>
      </w:r>
      <w:r w:rsidR="003D640C">
        <w:t xml:space="preserve"> </w:t>
      </w:r>
    </w:p>
    <w:p w14:paraId="2D70E4E8" w14:textId="65D60C6C" w:rsidR="00D05424" w:rsidRPr="00BB6220" w:rsidRDefault="00B20E63" w:rsidP="00C2162C">
      <w:r w:rsidRPr="00BB6220">
        <w:t>L</w:t>
      </w:r>
      <w:r w:rsidR="00C12071" w:rsidRPr="00BB6220">
        <w:t>eaders</w:t>
      </w:r>
      <w:r w:rsidR="003D640C">
        <w:t xml:space="preserve"> </w:t>
      </w:r>
      <w:r w:rsidR="00F448B8" w:rsidRPr="00BB6220">
        <w:t>in</w:t>
      </w:r>
      <w:r w:rsidR="003D640C">
        <w:t xml:space="preserve"> </w:t>
      </w:r>
      <w:r w:rsidR="00F448B8" w:rsidRPr="00BB6220">
        <w:t>religious</w:t>
      </w:r>
      <w:r w:rsidR="003D640C">
        <w:t xml:space="preserve"> </w:t>
      </w:r>
      <w:r w:rsidR="00F448B8" w:rsidRPr="00BB6220">
        <w:t>settings</w:t>
      </w:r>
      <w:r w:rsidR="003D640C">
        <w:t xml:space="preserve"> </w:t>
      </w:r>
      <w:r w:rsidRPr="00BB6220">
        <w:t>therefore</w:t>
      </w:r>
      <w:r w:rsidR="003D640C">
        <w:t xml:space="preserve"> </w:t>
      </w:r>
      <w:r w:rsidR="00F448B8" w:rsidRPr="00BB6220">
        <w:t>play</w:t>
      </w:r>
      <w:r w:rsidR="003D640C">
        <w:t xml:space="preserve"> </w:t>
      </w:r>
      <w:r w:rsidR="00F448B8" w:rsidRPr="00BB6220">
        <w:t>an</w:t>
      </w:r>
      <w:r w:rsidR="003D640C">
        <w:t xml:space="preserve"> </w:t>
      </w:r>
      <w:r w:rsidR="00F448B8" w:rsidRPr="00BB6220">
        <w:t>important</w:t>
      </w:r>
      <w:r w:rsidR="003D640C">
        <w:t xml:space="preserve"> </w:t>
      </w:r>
      <w:r w:rsidR="00F448B8" w:rsidRPr="00BB6220">
        <w:t>role</w:t>
      </w:r>
      <w:r w:rsidR="003D640C">
        <w:t xml:space="preserve"> </w:t>
      </w:r>
      <w:r w:rsidR="007A6A10" w:rsidRPr="00BB6220">
        <w:t>in</w:t>
      </w:r>
      <w:r w:rsidR="003D640C">
        <w:t xml:space="preserve"> </w:t>
      </w:r>
      <w:r w:rsidR="00A0438E" w:rsidRPr="00BB6220">
        <w:t>whether</w:t>
      </w:r>
      <w:r w:rsidR="003D640C">
        <w:t xml:space="preserve"> </w:t>
      </w:r>
      <w:r w:rsidR="00A0438E" w:rsidRPr="00BB6220">
        <w:t>conversion</w:t>
      </w:r>
      <w:r w:rsidR="003D640C">
        <w:t xml:space="preserve"> </w:t>
      </w:r>
      <w:r w:rsidR="009E5081" w:rsidRPr="00BB6220">
        <w:t>ideology</w:t>
      </w:r>
      <w:r w:rsidR="003D640C">
        <w:t xml:space="preserve"> </w:t>
      </w:r>
      <w:r w:rsidR="00A12F47">
        <w:t>and</w:t>
      </w:r>
      <w:r w:rsidR="003D640C">
        <w:t xml:space="preserve"> </w:t>
      </w:r>
      <w:r w:rsidR="00A12F47">
        <w:t>practices</w:t>
      </w:r>
      <w:r w:rsidR="003D640C">
        <w:t xml:space="preserve"> </w:t>
      </w:r>
      <w:r w:rsidR="00A12F47">
        <w:t>are</w:t>
      </w:r>
      <w:r w:rsidR="003D640C">
        <w:t xml:space="preserve"> </w:t>
      </w:r>
      <w:r w:rsidR="009E5081" w:rsidRPr="00BB6220">
        <w:t>encouraged</w:t>
      </w:r>
      <w:r w:rsidR="003D640C">
        <w:t xml:space="preserve"> </w:t>
      </w:r>
      <w:r w:rsidR="009E5081" w:rsidRPr="00BB6220">
        <w:t>or</w:t>
      </w:r>
      <w:r w:rsidR="003D640C">
        <w:t xml:space="preserve"> </w:t>
      </w:r>
      <w:r w:rsidR="009E5081" w:rsidRPr="00BB6220">
        <w:t>not.</w:t>
      </w:r>
      <w:r w:rsidR="003D640C">
        <w:t xml:space="preserve"> </w:t>
      </w:r>
      <w:r w:rsidR="006C12E1" w:rsidRPr="00BB6220">
        <w:t>R</w:t>
      </w:r>
      <w:r w:rsidR="00D05424" w:rsidRPr="00BB6220">
        <w:t>esearch</w:t>
      </w:r>
      <w:r w:rsidR="003D640C">
        <w:t xml:space="preserve"> </w:t>
      </w:r>
      <w:r w:rsidR="00D05424" w:rsidRPr="00BB6220">
        <w:t>has</w:t>
      </w:r>
      <w:r w:rsidR="003D640C">
        <w:t xml:space="preserve"> </w:t>
      </w:r>
      <w:r w:rsidR="00D05424" w:rsidRPr="00BB6220">
        <w:t>shown</w:t>
      </w:r>
      <w:r w:rsidR="003D640C">
        <w:t xml:space="preserve"> </w:t>
      </w:r>
      <w:r w:rsidR="00D05424" w:rsidRPr="00BB6220">
        <w:t>that</w:t>
      </w:r>
      <w:r w:rsidR="003D640C">
        <w:t xml:space="preserve"> </w:t>
      </w:r>
      <w:r w:rsidR="00D05424" w:rsidRPr="00BB6220">
        <w:t>harm</w:t>
      </w:r>
      <w:r w:rsidR="003D640C">
        <w:t xml:space="preserve"> </w:t>
      </w:r>
      <w:r w:rsidR="00D05424" w:rsidRPr="00BB6220">
        <w:t>to</w:t>
      </w:r>
      <w:r w:rsidR="003D640C">
        <w:t xml:space="preserve"> </w:t>
      </w:r>
      <w:r w:rsidR="00D05424" w:rsidRPr="00BB6220">
        <w:t>an</w:t>
      </w:r>
      <w:r w:rsidR="003D640C">
        <w:t xml:space="preserve"> </w:t>
      </w:r>
      <w:r w:rsidR="00D05424" w:rsidRPr="00BB6220">
        <w:t>individual</w:t>
      </w:r>
      <w:r w:rsidR="003D640C">
        <w:t xml:space="preserve"> </w:t>
      </w:r>
      <w:r w:rsidR="00D05424" w:rsidRPr="00BB6220">
        <w:t>associated</w:t>
      </w:r>
      <w:r w:rsidR="003D640C">
        <w:t xml:space="preserve"> </w:t>
      </w:r>
      <w:r w:rsidR="00D05424" w:rsidRPr="00BB6220">
        <w:t>with</w:t>
      </w:r>
      <w:r w:rsidR="003D640C">
        <w:t xml:space="preserve"> </w:t>
      </w:r>
      <w:r w:rsidR="00D05424" w:rsidRPr="00BB6220">
        <w:t>conversion</w:t>
      </w:r>
      <w:r w:rsidR="003D640C">
        <w:t xml:space="preserve"> </w:t>
      </w:r>
      <w:r w:rsidR="00D05424" w:rsidRPr="00BB6220">
        <w:t>practices</w:t>
      </w:r>
      <w:r w:rsidR="003D640C">
        <w:t xml:space="preserve"> </w:t>
      </w:r>
      <w:r w:rsidR="00D05424" w:rsidRPr="00BB6220">
        <w:t>is</w:t>
      </w:r>
      <w:r w:rsidR="003D640C">
        <w:t xml:space="preserve"> </w:t>
      </w:r>
      <w:r w:rsidR="00D05424" w:rsidRPr="00BB6220">
        <w:t>increased</w:t>
      </w:r>
      <w:r w:rsidR="003D640C">
        <w:t xml:space="preserve"> </w:t>
      </w:r>
      <w:r w:rsidR="00D05424" w:rsidRPr="00BB6220">
        <w:t>when</w:t>
      </w:r>
      <w:r w:rsidR="003D640C">
        <w:t xml:space="preserve"> </w:t>
      </w:r>
      <w:r w:rsidR="00D05424" w:rsidRPr="00BB6220">
        <w:t>the</w:t>
      </w:r>
      <w:r w:rsidR="003D640C">
        <w:t xml:space="preserve"> </w:t>
      </w:r>
      <w:r w:rsidR="00D31699" w:rsidRPr="00BB6220">
        <w:t>practices</w:t>
      </w:r>
      <w:r w:rsidR="003D640C">
        <w:t xml:space="preserve"> </w:t>
      </w:r>
      <w:r w:rsidR="00D05424" w:rsidRPr="00BB6220">
        <w:t>are</w:t>
      </w:r>
      <w:r w:rsidR="003D640C">
        <w:t xml:space="preserve"> </w:t>
      </w:r>
      <w:r w:rsidR="00D05424" w:rsidRPr="00BB6220">
        <w:t>suggested</w:t>
      </w:r>
      <w:r w:rsidR="003D640C">
        <w:t xml:space="preserve"> </w:t>
      </w:r>
      <w:r w:rsidR="00D05424" w:rsidRPr="00BB6220">
        <w:t>by</w:t>
      </w:r>
      <w:r w:rsidR="003D640C">
        <w:t xml:space="preserve"> </w:t>
      </w:r>
      <w:r w:rsidR="00D05424" w:rsidRPr="00BB6220">
        <w:t>a</w:t>
      </w:r>
      <w:r w:rsidR="003D640C">
        <w:t xml:space="preserve"> </w:t>
      </w:r>
      <w:r w:rsidR="00D05424" w:rsidRPr="00BB6220">
        <w:t>religious</w:t>
      </w:r>
      <w:r w:rsidR="003D640C">
        <w:t xml:space="preserve"> </w:t>
      </w:r>
      <w:r w:rsidR="00D05424" w:rsidRPr="00BB6220">
        <w:t>leader.</w:t>
      </w:r>
      <w:r w:rsidR="00D05424" w:rsidRPr="00BB6220">
        <w:rPr>
          <w:rStyle w:val="FootnoteReference"/>
          <w:rFonts w:ascii="Calibri" w:eastAsia="Calibri" w:hAnsi="Calibri" w:cs="Calibri"/>
          <w:color w:val="000000" w:themeColor="text1"/>
        </w:rPr>
        <w:footnoteReference w:id="74"/>
      </w:r>
    </w:p>
    <w:p w14:paraId="5F0A71F8" w14:textId="1181A44E" w:rsidR="00D05424" w:rsidRPr="00BB6220" w:rsidRDefault="00D05424" w:rsidP="00FA0175">
      <w:pPr>
        <w:pStyle w:val="Quote"/>
      </w:pPr>
      <w:r w:rsidRPr="00BB6220">
        <w:t>“</w:t>
      </w:r>
      <w:r w:rsidR="00264398" w:rsidRPr="00BB6220">
        <w:t>My</w:t>
      </w:r>
      <w:r w:rsidR="003D640C">
        <w:t xml:space="preserve"> </w:t>
      </w:r>
      <w:r w:rsidR="00264398" w:rsidRPr="00BB6220">
        <w:t>understanding</w:t>
      </w:r>
      <w:r w:rsidR="003D640C">
        <w:t xml:space="preserve"> </w:t>
      </w:r>
      <w:r w:rsidR="00264398" w:rsidRPr="00BB6220">
        <w:t>of</w:t>
      </w:r>
      <w:r w:rsidR="003D640C">
        <w:t xml:space="preserve"> </w:t>
      </w:r>
      <w:r w:rsidR="00264398" w:rsidRPr="00BB6220">
        <w:t>the</w:t>
      </w:r>
      <w:r w:rsidR="003D640C">
        <w:t xml:space="preserve"> </w:t>
      </w:r>
      <w:r w:rsidR="00264398" w:rsidRPr="00BB6220">
        <w:t>queer</w:t>
      </w:r>
      <w:r w:rsidR="003D640C">
        <w:t xml:space="preserve"> </w:t>
      </w:r>
      <w:r w:rsidR="00264398" w:rsidRPr="00BB6220">
        <w:t>community,</w:t>
      </w:r>
      <w:r w:rsidR="003D640C">
        <w:t xml:space="preserve"> </w:t>
      </w:r>
      <w:r w:rsidR="00264398" w:rsidRPr="00BB6220">
        <w:t>my</w:t>
      </w:r>
      <w:r w:rsidR="003D640C">
        <w:t xml:space="preserve"> </w:t>
      </w:r>
      <w:r w:rsidR="00264398" w:rsidRPr="00BB6220">
        <w:t>community,</w:t>
      </w:r>
      <w:r w:rsidR="003D640C">
        <w:t xml:space="preserve"> </w:t>
      </w:r>
      <w:r w:rsidR="00264398" w:rsidRPr="00BB6220">
        <w:t>grew</w:t>
      </w:r>
      <w:r w:rsidR="003D640C">
        <w:t xml:space="preserve"> </w:t>
      </w:r>
      <w:r w:rsidR="00264398" w:rsidRPr="00BB6220">
        <w:t>from</w:t>
      </w:r>
      <w:r w:rsidR="003D640C">
        <w:t xml:space="preserve"> </w:t>
      </w:r>
      <w:r w:rsidR="00264398" w:rsidRPr="00BB6220">
        <w:t>the</w:t>
      </w:r>
      <w:r w:rsidR="003D640C">
        <w:t xml:space="preserve"> </w:t>
      </w:r>
      <w:r w:rsidR="00264398" w:rsidRPr="00BB6220">
        <w:t>aggressively</w:t>
      </w:r>
      <w:r w:rsidR="003D640C">
        <w:t xml:space="preserve"> </w:t>
      </w:r>
      <w:r w:rsidR="00264398" w:rsidRPr="00BB6220">
        <w:t>heteronormative,</w:t>
      </w:r>
      <w:r w:rsidR="003D640C">
        <w:t xml:space="preserve"> </w:t>
      </w:r>
      <w:r w:rsidR="00FE555D">
        <w:t>E</w:t>
      </w:r>
      <w:r w:rsidR="00264398" w:rsidRPr="00BB6220">
        <w:t>urocentric,</w:t>
      </w:r>
      <w:r w:rsidR="003D640C">
        <w:t xml:space="preserve"> </w:t>
      </w:r>
      <w:r w:rsidR="00264398" w:rsidRPr="00BB6220">
        <w:t>homophobic,</w:t>
      </w:r>
      <w:r w:rsidR="003D640C">
        <w:t xml:space="preserve"> </w:t>
      </w:r>
      <w:r w:rsidR="00264398" w:rsidRPr="00BB6220">
        <w:t>transphobic</w:t>
      </w:r>
      <w:r w:rsidR="003D640C">
        <w:t xml:space="preserve"> </w:t>
      </w:r>
      <w:r w:rsidR="00264398" w:rsidRPr="00BB6220">
        <w:t>ideologies</w:t>
      </w:r>
      <w:r w:rsidR="003D640C">
        <w:t xml:space="preserve"> </w:t>
      </w:r>
      <w:r w:rsidR="00264398" w:rsidRPr="00BB6220">
        <w:t>I</w:t>
      </w:r>
      <w:r w:rsidR="003D640C">
        <w:t xml:space="preserve"> </w:t>
      </w:r>
      <w:r w:rsidR="00264398" w:rsidRPr="00BB6220">
        <w:t>learned</w:t>
      </w:r>
      <w:r w:rsidR="003D640C">
        <w:t xml:space="preserve"> </w:t>
      </w:r>
      <w:r w:rsidR="00264398" w:rsidRPr="00BB6220">
        <w:t>in</w:t>
      </w:r>
      <w:r w:rsidR="003D640C">
        <w:t xml:space="preserve"> </w:t>
      </w:r>
      <w:r w:rsidR="00264398" w:rsidRPr="00BB6220">
        <w:t>the</w:t>
      </w:r>
      <w:r w:rsidR="003D640C">
        <w:t xml:space="preserve"> </w:t>
      </w:r>
      <w:r w:rsidR="00264398" w:rsidRPr="00BB6220">
        <w:t>church.</w:t>
      </w:r>
      <w:r w:rsidR="003D640C">
        <w:t xml:space="preserve"> </w:t>
      </w:r>
      <w:r w:rsidR="00264398" w:rsidRPr="00BB6220">
        <w:t>I</w:t>
      </w:r>
      <w:r w:rsidR="003D640C">
        <w:t xml:space="preserve"> </w:t>
      </w:r>
      <w:r w:rsidR="00264398" w:rsidRPr="00BB6220">
        <w:t>am</w:t>
      </w:r>
      <w:r w:rsidR="003D640C">
        <w:t xml:space="preserve"> </w:t>
      </w:r>
      <w:r w:rsidR="00264398" w:rsidRPr="00BB6220">
        <w:t>a</w:t>
      </w:r>
      <w:r w:rsidR="003D640C">
        <w:t xml:space="preserve"> </w:t>
      </w:r>
      <w:r w:rsidR="00264398" w:rsidRPr="00BB6220">
        <w:t>takatāpui</w:t>
      </w:r>
      <w:r w:rsidR="003D640C">
        <w:t xml:space="preserve"> </w:t>
      </w:r>
      <w:r w:rsidR="00264398" w:rsidRPr="00BB6220">
        <w:t>person</w:t>
      </w:r>
      <w:r w:rsidR="003D640C">
        <w:t xml:space="preserve"> </w:t>
      </w:r>
      <w:r w:rsidR="00264398" w:rsidRPr="00BB6220">
        <w:t>who</w:t>
      </w:r>
      <w:r w:rsidR="003D640C">
        <w:t xml:space="preserve"> </w:t>
      </w:r>
      <w:r w:rsidR="00264398" w:rsidRPr="00BB6220">
        <w:t>spent</w:t>
      </w:r>
      <w:r w:rsidR="003D640C">
        <w:t xml:space="preserve"> </w:t>
      </w:r>
      <w:r w:rsidR="00264398" w:rsidRPr="00BB6220">
        <w:t>years</w:t>
      </w:r>
      <w:r w:rsidR="003D640C">
        <w:t xml:space="preserve"> </w:t>
      </w:r>
      <w:r w:rsidR="00264398" w:rsidRPr="00BB6220">
        <w:t>trying</w:t>
      </w:r>
      <w:r w:rsidR="003D640C">
        <w:t xml:space="preserve"> </w:t>
      </w:r>
      <w:r w:rsidR="00264398" w:rsidRPr="00BB6220">
        <w:t>to</w:t>
      </w:r>
      <w:r w:rsidR="003D640C">
        <w:t xml:space="preserve"> </w:t>
      </w:r>
      <w:r w:rsidR="00264398" w:rsidRPr="00BB6220">
        <w:t>be</w:t>
      </w:r>
      <w:r w:rsidR="003D640C">
        <w:t xml:space="preserve"> </w:t>
      </w:r>
      <w:r w:rsidR="00264398" w:rsidRPr="00BB6220">
        <w:t>straight</w:t>
      </w:r>
      <w:r w:rsidR="003D640C">
        <w:t xml:space="preserve"> </w:t>
      </w:r>
      <w:r w:rsidR="00264398" w:rsidRPr="00BB6220">
        <w:t>without</w:t>
      </w:r>
      <w:r w:rsidR="003D640C">
        <w:t xml:space="preserve"> </w:t>
      </w:r>
      <w:r w:rsidR="00264398" w:rsidRPr="00BB6220">
        <w:t>success</w:t>
      </w:r>
      <w:r w:rsidR="00AC2C5F" w:rsidRPr="00BB6220">
        <w:t>.</w:t>
      </w:r>
      <w:r w:rsidR="006F6FF3">
        <w:t xml:space="preserve"> </w:t>
      </w:r>
      <w:r w:rsidRPr="00BB6220">
        <w:t>It</w:t>
      </w:r>
      <w:r w:rsidR="003D640C">
        <w:t xml:space="preserve"> </w:t>
      </w:r>
      <w:r w:rsidRPr="00BB6220">
        <w:t>was</w:t>
      </w:r>
      <w:r w:rsidR="003D640C">
        <w:t xml:space="preserve"> </w:t>
      </w:r>
      <w:r w:rsidRPr="00BB6220">
        <w:t>common</w:t>
      </w:r>
      <w:r w:rsidR="003D640C">
        <w:t xml:space="preserve"> </w:t>
      </w:r>
      <w:r w:rsidRPr="00BB6220">
        <w:t>for</w:t>
      </w:r>
      <w:r w:rsidR="003D640C">
        <w:t xml:space="preserve"> </w:t>
      </w:r>
      <w:r w:rsidRPr="00BB6220">
        <w:t>the</w:t>
      </w:r>
      <w:r w:rsidR="003D640C">
        <w:t xml:space="preserve"> </w:t>
      </w:r>
      <w:r w:rsidRPr="00BB6220">
        <w:t>pastor</w:t>
      </w:r>
      <w:r w:rsidR="003D640C">
        <w:t xml:space="preserve"> </w:t>
      </w:r>
      <w:r w:rsidRPr="00BB6220">
        <w:t>to</w:t>
      </w:r>
      <w:r w:rsidR="003D640C">
        <w:t xml:space="preserve"> </w:t>
      </w:r>
      <w:r w:rsidRPr="00BB6220">
        <w:t>pray</w:t>
      </w:r>
      <w:r w:rsidR="003D640C">
        <w:t xml:space="preserve"> </w:t>
      </w:r>
      <w:r w:rsidRPr="00BB6220">
        <w:t>demons</w:t>
      </w:r>
      <w:r w:rsidR="003D640C">
        <w:t xml:space="preserve"> </w:t>
      </w:r>
      <w:r w:rsidRPr="00BB6220">
        <w:t>out</w:t>
      </w:r>
      <w:r w:rsidR="003D640C">
        <w:t xml:space="preserve"> </w:t>
      </w:r>
      <w:r w:rsidRPr="00BB6220">
        <w:t>of</w:t>
      </w:r>
      <w:r w:rsidR="003D640C">
        <w:t xml:space="preserve"> </w:t>
      </w:r>
      <w:r w:rsidRPr="00BB6220">
        <w:t>the</w:t>
      </w:r>
      <w:r w:rsidR="003D640C">
        <w:t xml:space="preserve"> </w:t>
      </w:r>
      <w:r w:rsidRPr="00BB6220">
        <w:t>outwardly</w:t>
      </w:r>
      <w:r w:rsidR="003D640C">
        <w:t xml:space="preserve"> </w:t>
      </w:r>
      <w:r w:rsidRPr="00BB6220">
        <w:t>gay</w:t>
      </w:r>
      <w:r w:rsidR="003D640C">
        <w:t xml:space="preserve"> </w:t>
      </w:r>
      <w:r w:rsidRPr="00BB6220">
        <w:t>kids.</w:t>
      </w:r>
      <w:r w:rsidR="003D640C">
        <w:t xml:space="preserve"> </w:t>
      </w:r>
      <w:r w:rsidRPr="00BB6220">
        <w:t>I</w:t>
      </w:r>
      <w:r w:rsidR="003D640C">
        <w:t xml:space="preserve"> </w:t>
      </w:r>
      <w:r w:rsidRPr="00BB6220">
        <w:t>remember</w:t>
      </w:r>
      <w:r w:rsidR="003D640C">
        <w:t xml:space="preserve"> </w:t>
      </w:r>
      <w:r w:rsidRPr="00BB6220">
        <w:t>looking</w:t>
      </w:r>
      <w:r w:rsidR="003D640C">
        <w:t xml:space="preserve"> </w:t>
      </w:r>
      <w:r w:rsidRPr="00BB6220">
        <w:t>on</w:t>
      </w:r>
      <w:r w:rsidR="003D640C">
        <w:t xml:space="preserve"> </w:t>
      </w:r>
      <w:r w:rsidRPr="00BB6220">
        <w:t>as</w:t>
      </w:r>
      <w:r w:rsidR="003D640C">
        <w:t xml:space="preserve"> </w:t>
      </w:r>
      <w:r w:rsidRPr="00BB6220">
        <w:t>this</w:t>
      </w:r>
      <w:r w:rsidR="003D640C">
        <w:t xml:space="preserve"> </w:t>
      </w:r>
      <w:r w:rsidRPr="00BB6220">
        <w:t>was</w:t>
      </w:r>
      <w:r w:rsidR="003D640C">
        <w:t xml:space="preserve"> </w:t>
      </w:r>
      <w:r w:rsidRPr="00BB6220">
        <w:t>happening</w:t>
      </w:r>
      <w:r w:rsidR="003D640C">
        <w:t xml:space="preserve"> </w:t>
      </w:r>
      <w:r w:rsidRPr="00BB6220">
        <w:t>one</w:t>
      </w:r>
      <w:r w:rsidR="003D640C">
        <w:t xml:space="preserve"> </w:t>
      </w:r>
      <w:r w:rsidRPr="00BB6220">
        <w:t>time</w:t>
      </w:r>
      <w:r w:rsidR="003D640C">
        <w:t xml:space="preserve"> </w:t>
      </w:r>
      <w:r w:rsidR="006F6FF3">
        <w:t>–</w:t>
      </w:r>
      <w:r w:rsidR="003D640C">
        <w:t xml:space="preserve"> </w:t>
      </w:r>
      <w:r w:rsidRPr="00BB6220">
        <w:t>this</w:t>
      </w:r>
      <w:r w:rsidR="003D640C">
        <w:t xml:space="preserve"> </w:t>
      </w:r>
      <w:r w:rsidRPr="00BB6220">
        <w:t>boy</w:t>
      </w:r>
      <w:r w:rsidR="003D640C">
        <w:t xml:space="preserve"> </w:t>
      </w:r>
      <w:r w:rsidRPr="00BB6220">
        <w:t>was</w:t>
      </w:r>
      <w:r w:rsidR="003D640C">
        <w:t xml:space="preserve"> </w:t>
      </w:r>
      <w:r w:rsidRPr="00BB6220">
        <w:t>bent</w:t>
      </w:r>
      <w:r w:rsidR="003D640C">
        <w:t xml:space="preserve"> </w:t>
      </w:r>
      <w:r w:rsidRPr="00BB6220">
        <w:t>over</w:t>
      </w:r>
      <w:r w:rsidR="003D640C">
        <w:t xml:space="preserve"> </w:t>
      </w:r>
      <w:r w:rsidRPr="00BB6220">
        <w:t>and</w:t>
      </w:r>
      <w:r w:rsidR="003D640C">
        <w:t xml:space="preserve"> </w:t>
      </w:r>
      <w:r w:rsidRPr="00BB6220">
        <w:t>crying</w:t>
      </w:r>
      <w:r w:rsidR="003D640C">
        <w:t xml:space="preserve"> </w:t>
      </w:r>
      <w:r w:rsidRPr="00BB6220">
        <w:t>as</w:t>
      </w:r>
      <w:r w:rsidR="003D640C">
        <w:t xml:space="preserve"> </w:t>
      </w:r>
      <w:r w:rsidRPr="00BB6220">
        <w:t>the</w:t>
      </w:r>
      <w:r w:rsidR="003D640C">
        <w:t xml:space="preserve"> </w:t>
      </w:r>
      <w:r w:rsidRPr="00BB6220">
        <w:t>pastor</w:t>
      </w:r>
      <w:r w:rsidR="003D640C">
        <w:t xml:space="preserve"> </w:t>
      </w:r>
      <w:r w:rsidRPr="00BB6220">
        <w:t>screamed</w:t>
      </w:r>
      <w:r w:rsidR="003D640C">
        <w:t xml:space="preserve"> </w:t>
      </w:r>
      <w:r w:rsidRPr="00BB6220">
        <w:t>for</w:t>
      </w:r>
      <w:r w:rsidR="003D640C">
        <w:t xml:space="preserve"> </w:t>
      </w:r>
      <w:r w:rsidRPr="00BB6220">
        <w:t>the</w:t>
      </w:r>
      <w:r w:rsidR="003D640C">
        <w:t xml:space="preserve"> </w:t>
      </w:r>
      <w:r w:rsidRPr="00BB6220">
        <w:t>demons</w:t>
      </w:r>
      <w:r w:rsidR="003D640C">
        <w:t xml:space="preserve"> </w:t>
      </w:r>
      <w:r w:rsidRPr="00BB6220">
        <w:t>to</w:t>
      </w:r>
      <w:r w:rsidR="003D640C">
        <w:t xml:space="preserve"> </w:t>
      </w:r>
      <w:r w:rsidRPr="00BB6220">
        <w:t>come</w:t>
      </w:r>
      <w:r w:rsidR="003D640C">
        <w:t xml:space="preserve"> </w:t>
      </w:r>
      <w:r w:rsidRPr="00BB6220">
        <w:t>out</w:t>
      </w:r>
      <w:r w:rsidR="003D640C">
        <w:t xml:space="preserve"> </w:t>
      </w:r>
      <w:r w:rsidRPr="00BB6220">
        <w:t>of</w:t>
      </w:r>
      <w:r w:rsidR="003D640C">
        <w:t xml:space="preserve"> </w:t>
      </w:r>
      <w:r w:rsidRPr="00BB6220">
        <w:t>him.</w:t>
      </w:r>
      <w:r w:rsidR="003D640C">
        <w:t xml:space="preserve"> </w:t>
      </w:r>
      <w:r w:rsidRPr="00BB6220">
        <w:t>I</w:t>
      </w:r>
      <w:r w:rsidR="003D640C">
        <w:t xml:space="preserve"> </w:t>
      </w:r>
      <w:r w:rsidRPr="00BB6220">
        <w:t>felt</w:t>
      </w:r>
      <w:r w:rsidR="003D640C">
        <w:t xml:space="preserve"> </w:t>
      </w:r>
      <w:r w:rsidRPr="00BB6220">
        <w:t>so</w:t>
      </w:r>
      <w:r w:rsidR="003D640C">
        <w:t xml:space="preserve"> </w:t>
      </w:r>
      <w:r w:rsidRPr="00BB6220">
        <w:t>sorry</w:t>
      </w:r>
      <w:r w:rsidR="003D640C">
        <w:t xml:space="preserve"> </w:t>
      </w:r>
      <w:r w:rsidRPr="00BB6220">
        <w:t>for</w:t>
      </w:r>
      <w:r w:rsidR="003D640C">
        <w:t xml:space="preserve"> </w:t>
      </w:r>
      <w:r w:rsidRPr="00BB6220">
        <w:t>him.</w:t>
      </w:r>
      <w:r w:rsidR="003D640C">
        <w:t xml:space="preserve"> </w:t>
      </w:r>
      <w:r w:rsidRPr="00BB6220">
        <w:t>I</w:t>
      </w:r>
      <w:r w:rsidR="003D640C">
        <w:t xml:space="preserve"> </w:t>
      </w:r>
      <w:r w:rsidRPr="00BB6220">
        <w:t>knew</w:t>
      </w:r>
      <w:r w:rsidR="003D640C">
        <w:t xml:space="preserve"> </w:t>
      </w:r>
      <w:r w:rsidRPr="00BB6220">
        <w:t>if</w:t>
      </w:r>
      <w:r w:rsidR="003D640C">
        <w:t xml:space="preserve"> </w:t>
      </w:r>
      <w:r w:rsidRPr="00BB6220">
        <w:t>I</w:t>
      </w:r>
      <w:r w:rsidR="003D640C">
        <w:t xml:space="preserve"> </w:t>
      </w:r>
      <w:r w:rsidRPr="00BB6220">
        <w:t>acknowledged</w:t>
      </w:r>
      <w:r w:rsidR="003D640C">
        <w:t xml:space="preserve"> </w:t>
      </w:r>
      <w:r w:rsidRPr="00BB6220">
        <w:t>I</w:t>
      </w:r>
      <w:r w:rsidR="003D640C">
        <w:t xml:space="preserve"> </w:t>
      </w:r>
      <w:r w:rsidRPr="00BB6220">
        <w:t>was</w:t>
      </w:r>
      <w:r w:rsidR="003D640C">
        <w:t xml:space="preserve"> </w:t>
      </w:r>
      <w:r w:rsidRPr="00BB6220">
        <w:t>takatāpui,</w:t>
      </w:r>
      <w:r w:rsidR="003D640C">
        <w:t xml:space="preserve"> </w:t>
      </w:r>
      <w:r w:rsidRPr="00BB6220">
        <w:t>that</w:t>
      </w:r>
      <w:r w:rsidR="003D640C">
        <w:t xml:space="preserve"> </w:t>
      </w:r>
      <w:r w:rsidRPr="00BB6220">
        <w:t>would</w:t>
      </w:r>
      <w:r w:rsidR="003D640C">
        <w:t xml:space="preserve"> </w:t>
      </w:r>
      <w:r w:rsidRPr="00BB6220">
        <w:t>be</w:t>
      </w:r>
      <w:r w:rsidR="003D640C">
        <w:t xml:space="preserve"> </w:t>
      </w:r>
      <w:r w:rsidRPr="00BB6220">
        <w:t>me,</w:t>
      </w:r>
      <w:r w:rsidR="003D640C">
        <w:t xml:space="preserve"> </w:t>
      </w:r>
      <w:r w:rsidRPr="00BB6220">
        <w:t>so</w:t>
      </w:r>
      <w:r w:rsidR="003D640C">
        <w:t xml:space="preserve"> </w:t>
      </w:r>
      <w:r w:rsidRPr="00BB6220">
        <w:t>I</w:t>
      </w:r>
      <w:r w:rsidR="003D640C">
        <w:t xml:space="preserve"> </w:t>
      </w:r>
      <w:r w:rsidRPr="00BB6220">
        <w:t>stayed</w:t>
      </w:r>
      <w:r w:rsidR="003D640C">
        <w:t xml:space="preserve"> </w:t>
      </w:r>
      <w:r w:rsidRPr="00BB6220">
        <w:t>right</w:t>
      </w:r>
      <w:r w:rsidR="003D640C">
        <w:t xml:space="preserve"> </w:t>
      </w:r>
      <w:r w:rsidRPr="00BB6220">
        <w:t>in</w:t>
      </w:r>
      <w:r w:rsidR="003D640C">
        <w:t xml:space="preserve"> </w:t>
      </w:r>
      <w:r w:rsidRPr="00BB6220">
        <w:t>the</w:t>
      </w:r>
      <w:r w:rsidR="003D640C">
        <w:t xml:space="preserve"> </w:t>
      </w:r>
      <w:r w:rsidRPr="00BB6220">
        <w:t>closet.</w:t>
      </w:r>
      <w:r w:rsidR="003D640C">
        <w:t xml:space="preserve"> </w:t>
      </w:r>
      <w:r w:rsidRPr="00BB6220">
        <w:t>It</w:t>
      </w:r>
      <w:r w:rsidR="003D640C">
        <w:t xml:space="preserve"> </w:t>
      </w:r>
      <w:r w:rsidRPr="00BB6220">
        <w:t>may</w:t>
      </w:r>
      <w:r w:rsidR="003D640C">
        <w:t xml:space="preserve"> </w:t>
      </w:r>
      <w:r w:rsidRPr="00BB6220">
        <w:t>as</w:t>
      </w:r>
      <w:r w:rsidR="003D640C">
        <w:t xml:space="preserve"> </w:t>
      </w:r>
      <w:r w:rsidRPr="00BB6220">
        <w:t>well</w:t>
      </w:r>
      <w:r w:rsidR="003D640C">
        <w:t xml:space="preserve"> </w:t>
      </w:r>
      <w:r w:rsidRPr="00BB6220">
        <w:t>have</w:t>
      </w:r>
      <w:r w:rsidR="003D640C">
        <w:t xml:space="preserve"> </w:t>
      </w:r>
      <w:r w:rsidRPr="00BB6220">
        <w:t>been</w:t>
      </w:r>
      <w:r w:rsidR="003D640C">
        <w:t xml:space="preserve"> </w:t>
      </w:r>
      <w:r w:rsidRPr="00BB6220">
        <w:t>my</w:t>
      </w:r>
      <w:r w:rsidR="003D640C">
        <w:t xml:space="preserve"> </w:t>
      </w:r>
      <w:r w:rsidRPr="00BB6220">
        <w:t>tūpāpaku</w:t>
      </w:r>
      <w:r w:rsidR="003D640C">
        <w:t xml:space="preserve"> </w:t>
      </w:r>
      <w:r w:rsidRPr="00BB6220">
        <w:lastRenderedPageBreak/>
        <w:t>though.</w:t>
      </w:r>
      <w:r w:rsidR="006F6FF3">
        <w:t xml:space="preserve"> </w:t>
      </w:r>
      <w:r w:rsidR="00BC0B3F" w:rsidRPr="088DE653">
        <w:t>They</w:t>
      </w:r>
      <w:r w:rsidR="003D640C">
        <w:t xml:space="preserve"> </w:t>
      </w:r>
      <w:r w:rsidR="00BC0B3F" w:rsidRPr="088DE653">
        <w:t>usually</w:t>
      </w:r>
      <w:r w:rsidR="003D640C">
        <w:t xml:space="preserve"> </w:t>
      </w:r>
      <w:r w:rsidR="00BC0B3F" w:rsidRPr="088DE653">
        <w:t>said</w:t>
      </w:r>
      <w:r w:rsidR="003D640C">
        <w:t xml:space="preserve"> </w:t>
      </w:r>
      <w:r w:rsidR="00BC0B3F" w:rsidRPr="088DE653">
        <w:t>things</w:t>
      </w:r>
      <w:r w:rsidR="003D640C">
        <w:t xml:space="preserve"> </w:t>
      </w:r>
      <w:r w:rsidR="00BC0B3F" w:rsidRPr="088DE653">
        <w:t>like,</w:t>
      </w:r>
      <w:r w:rsidR="003D640C">
        <w:t xml:space="preserve"> </w:t>
      </w:r>
      <w:r w:rsidR="002767ED" w:rsidRPr="088DE653">
        <w:t>‘</w:t>
      </w:r>
      <w:r w:rsidR="00BC0B3F" w:rsidRPr="088DE653">
        <w:t>His</w:t>
      </w:r>
      <w:r w:rsidR="003D640C">
        <w:t xml:space="preserve"> </w:t>
      </w:r>
      <w:r w:rsidR="00BC0B3F" w:rsidRPr="088DE653">
        <w:t>love</w:t>
      </w:r>
      <w:r w:rsidR="003D640C">
        <w:t xml:space="preserve"> </w:t>
      </w:r>
      <w:r w:rsidR="00BC0B3F" w:rsidRPr="088DE653">
        <w:t>will</w:t>
      </w:r>
      <w:r w:rsidR="003D640C">
        <w:t xml:space="preserve"> </w:t>
      </w:r>
      <w:r w:rsidR="00BC0B3F" w:rsidRPr="088DE653">
        <w:t>heal</w:t>
      </w:r>
      <w:r w:rsidR="003D640C">
        <w:t xml:space="preserve"> </w:t>
      </w:r>
      <w:r w:rsidR="00BC0B3F" w:rsidRPr="088DE653">
        <w:t>your</w:t>
      </w:r>
      <w:r w:rsidR="003D640C">
        <w:t xml:space="preserve"> </w:t>
      </w:r>
      <w:r w:rsidR="00BC0B3F" w:rsidRPr="088DE653">
        <w:t>brokenness</w:t>
      </w:r>
      <w:r w:rsidR="002767ED" w:rsidRPr="088DE653">
        <w:t>’</w:t>
      </w:r>
      <w:r w:rsidR="003D640C">
        <w:t xml:space="preserve"> </w:t>
      </w:r>
      <w:r w:rsidR="00BC0B3F" w:rsidRPr="088DE653">
        <w:t>(read:</w:t>
      </w:r>
      <w:r w:rsidR="003D640C">
        <w:t xml:space="preserve"> </w:t>
      </w:r>
      <w:r w:rsidR="00BC0B3F" w:rsidRPr="088DE653">
        <w:t>your</w:t>
      </w:r>
      <w:r w:rsidR="003D640C">
        <w:t xml:space="preserve"> </w:t>
      </w:r>
      <w:r w:rsidR="00BC0B3F" w:rsidRPr="088DE653">
        <w:t>orientation),</w:t>
      </w:r>
      <w:r w:rsidR="003D640C">
        <w:t xml:space="preserve"> </w:t>
      </w:r>
      <w:r w:rsidR="00594505" w:rsidRPr="088DE653">
        <w:t>’</w:t>
      </w:r>
      <w:r w:rsidR="00BC0B3F" w:rsidRPr="088DE653">
        <w:t>It’s</w:t>
      </w:r>
      <w:r w:rsidR="003D640C">
        <w:t xml:space="preserve"> </w:t>
      </w:r>
      <w:r w:rsidR="00BC0B3F" w:rsidRPr="088DE653">
        <w:t>a</w:t>
      </w:r>
      <w:r w:rsidR="003D640C">
        <w:t xml:space="preserve"> </w:t>
      </w:r>
      <w:r w:rsidR="00BC0B3F" w:rsidRPr="088DE653">
        <w:t>behaviour</w:t>
      </w:r>
      <w:r w:rsidR="003D640C">
        <w:t xml:space="preserve"> </w:t>
      </w:r>
      <w:r w:rsidR="00BC0B3F" w:rsidRPr="088DE653">
        <w:t>pattern,</w:t>
      </w:r>
      <w:r w:rsidR="003D640C">
        <w:t xml:space="preserve"> </w:t>
      </w:r>
      <w:r w:rsidR="00BC0B3F" w:rsidRPr="088DE653">
        <w:t>no</w:t>
      </w:r>
      <w:r w:rsidR="003D640C">
        <w:t xml:space="preserve"> </w:t>
      </w:r>
      <w:r w:rsidR="00BC0B3F" w:rsidRPr="088DE653">
        <w:t>one</w:t>
      </w:r>
      <w:r w:rsidR="003D640C">
        <w:t xml:space="preserve"> </w:t>
      </w:r>
      <w:r w:rsidR="00BC0B3F" w:rsidRPr="088DE653">
        <w:t>is</w:t>
      </w:r>
      <w:r w:rsidR="003D640C">
        <w:t xml:space="preserve"> </w:t>
      </w:r>
      <w:r w:rsidR="00BC0B3F" w:rsidRPr="088DE653">
        <w:t>born</w:t>
      </w:r>
      <w:r w:rsidR="003D640C">
        <w:t xml:space="preserve"> </w:t>
      </w:r>
      <w:r w:rsidR="00BC0B3F" w:rsidRPr="088DE653">
        <w:t>homosexual</w:t>
      </w:r>
      <w:r w:rsidR="00594505" w:rsidRPr="088DE653">
        <w:t>’</w:t>
      </w:r>
      <w:r w:rsidR="00BC0B3F" w:rsidRPr="088DE653">
        <w:t>,</w:t>
      </w:r>
      <w:r w:rsidR="003D640C">
        <w:t xml:space="preserve"> </w:t>
      </w:r>
      <w:r w:rsidR="006F6FF3">
        <w:t>‘</w:t>
      </w:r>
      <w:r w:rsidR="00BC0B3F" w:rsidRPr="088DE653">
        <w:t>People</w:t>
      </w:r>
      <w:r w:rsidR="003D640C">
        <w:t xml:space="preserve"> </w:t>
      </w:r>
      <w:r w:rsidR="00BC0B3F" w:rsidRPr="088DE653">
        <w:t>who</w:t>
      </w:r>
      <w:r w:rsidR="003D640C">
        <w:t xml:space="preserve"> </w:t>
      </w:r>
      <w:r w:rsidR="00BC0B3F" w:rsidRPr="088DE653">
        <w:t>attempt</w:t>
      </w:r>
      <w:r w:rsidR="003D640C">
        <w:t xml:space="preserve"> </w:t>
      </w:r>
      <w:r w:rsidR="00BC0B3F" w:rsidRPr="088DE653">
        <w:t>to</w:t>
      </w:r>
      <w:r w:rsidR="003D640C">
        <w:t xml:space="preserve"> </w:t>
      </w:r>
      <w:r w:rsidR="00BC0B3F" w:rsidRPr="088DE653">
        <w:t>change</w:t>
      </w:r>
      <w:r w:rsidR="003D640C">
        <w:t xml:space="preserve"> </w:t>
      </w:r>
      <w:r w:rsidR="00BC0B3F" w:rsidRPr="088DE653">
        <w:t>their</w:t>
      </w:r>
      <w:r w:rsidR="003D640C">
        <w:t xml:space="preserve"> </w:t>
      </w:r>
      <w:r w:rsidR="00BC0B3F" w:rsidRPr="088DE653">
        <w:t>gender</w:t>
      </w:r>
      <w:r w:rsidR="003D640C">
        <w:t xml:space="preserve"> </w:t>
      </w:r>
      <w:r w:rsidR="00BC0B3F" w:rsidRPr="088DE653">
        <w:t>are</w:t>
      </w:r>
      <w:r w:rsidR="003D640C">
        <w:t xml:space="preserve"> </w:t>
      </w:r>
      <w:r w:rsidR="00BC0B3F" w:rsidRPr="088DE653">
        <w:t>just</w:t>
      </w:r>
      <w:r w:rsidR="003D640C">
        <w:t xml:space="preserve"> </w:t>
      </w:r>
      <w:r w:rsidR="00BC0B3F" w:rsidRPr="088DE653">
        <w:t>confused</w:t>
      </w:r>
      <w:r w:rsidR="00412011">
        <w:t>,</w:t>
      </w:r>
      <w:r w:rsidR="00A344FF" w:rsidRPr="088DE653">
        <w:t>’</w:t>
      </w:r>
      <w:r w:rsidR="003D640C">
        <w:t xml:space="preserve"> </w:t>
      </w:r>
      <w:r w:rsidR="00BC0B3F" w:rsidRPr="088DE653">
        <w:t>or</w:t>
      </w:r>
      <w:r w:rsidR="003D640C">
        <w:t xml:space="preserve"> </w:t>
      </w:r>
      <w:r w:rsidR="00BC0B3F" w:rsidRPr="088DE653">
        <w:t>rhetoric</w:t>
      </w:r>
      <w:r w:rsidR="003D640C">
        <w:t xml:space="preserve"> </w:t>
      </w:r>
      <w:r w:rsidR="00BC0B3F" w:rsidRPr="088DE653">
        <w:t>along</w:t>
      </w:r>
      <w:r w:rsidR="003D640C">
        <w:t xml:space="preserve"> </w:t>
      </w:r>
      <w:r w:rsidR="00BC0B3F" w:rsidRPr="088DE653">
        <w:t>those</w:t>
      </w:r>
      <w:r w:rsidR="003D640C">
        <w:t xml:space="preserve"> </w:t>
      </w:r>
      <w:r w:rsidR="00BC0B3F" w:rsidRPr="088DE653">
        <w:t>lines.</w:t>
      </w:r>
      <w:r w:rsidR="00BC0B3F" w:rsidRPr="088DE653" w:rsidDel="008E1CCA">
        <w:t xml:space="preserve"> </w:t>
      </w:r>
      <w:r w:rsidR="00A344FF" w:rsidRPr="00BB6220">
        <w:t>W</w:t>
      </w:r>
      <w:r w:rsidR="00BC0B3F" w:rsidRPr="00BB6220">
        <w:t>e</w:t>
      </w:r>
      <w:r w:rsidR="003D640C">
        <w:t xml:space="preserve"> </w:t>
      </w:r>
      <w:r w:rsidR="00BC0B3F" w:rsidRPr="00BB6220">
        <w:t>were</w:t>
      </w:r>
      <w:r w:rsidR="003D640C">
        <w:t xml:space="preserve"> </w:t>
      </w:r>
      <w:r w:rsidR="00BC0B3F" w:rsidRPr="00BB6220">
        <w:t>all</w:t>
      </w:r>
      <w:r w:rsidR="003D640C">
        <w:t xml:space="preserve"> </w:t>
      </w:r>
      <w:r w:rsidR="00BC0B3F" w:rsidRPr="00BB6220">
        <w:t>products</w:t>
      </w:r>
      <w:r w:rsidR="003D640C">
        <w:t xml:space="preserve"> </w:t>
      </w:r>
      <w:r w:rsidR="00BC0B3F" w:rsidRPr="00BB6220">
        <w:t>of</w:t>
      </w:r>
      <w:r w:rsidR="003D640C">
        <w:t xml:space="preserve"> </w:t>
      </w:r>
      <w:r w:rsidR="00BC0B3F" w:rsidRPr="00BB6220">
        <w:t>the</w:t>
      </w:r>
      <w:r w:rsidR="003D640C">
        <w:t xml:space="preserve"> </w:t>
      </w:r>
      <w:r w:rsidR="00BC0B3F" w:rsidRPr="00BB6220">
        <w:t>Christian</w:t>
      </w:r>
      <w:r w:rsidR="003D640C">
        <w:t xml:space="preserve"> </w:t>
      </w:r>
      <w:r w:rsidR="00BC0B3F" w:rsidRPr="00BB6220">
        <w:t>doctrine</w:t>
      </w:r>
      <w:r w:rsidR="003D640C">
        <w:t xml:space="preserve"> </w:t>
      </w:r>
      <w:r w:rsidR="00BC0B3F" w:rsidRPr="00BB6220">
        <w:t>to</w:t>
      </w:r>
      <w:r w:rsidR="003D640C">
        <w:t xml:space="preserve"> </w:t>
      </w:r>
      <w:r w:rsidR="00BC0B3F" w:rsidRPr="00BB6220">
        <w:t>lesser</w:t>
      </w:r>
      <w:r w:rsidR="003D640C">
        <w:t xml:space="preserve"> </w:t>
      </w:r>
      <w:r w:rsidR="00BC0B3F" w:rsidRPr="00BB6220">
        <w:t>or</w:t>
      </w:r>
      <w:r w:rsidR="003D640C">
        <w:t xml:space="preserve"> </w:t>
      </w:r>
      <w:r w:rsidR="00BC0B3F" w:rsidRPr="00BB6220">
        <w:t>greater</w:t>
      </w:r>
      <w:r w:rsidR="003D640C">
        <w:t xml:space="preserve"> </w:t>
      </w:r>
      <w:r w:rsidR="00BC0B3F" w:rsidRPr="00BB6220">
        <w:t>degrees</w:t>
      </w:r>
      <w:r w:rsidR="003D640C">
        <w:t xml:space="preserve"> </w:t>
      </w:r>
      <w:r w:rsidR="00BC0B3F" w:rsidRPr="00BB6220">
        <w:t>and</w:t>
      </w:r>
      <w:r w:rsidR="003D640C">
        <w:t xml:space="preserve"> </w:t>
      </w:r>
      <w:r w:rsidR="00BC0B3F" w:rsidRPr="00BB6220">
        <w:t>understood</w:t>
      </w:r>
      <w:r w:rsidR="003D640C">
        <w:t xml:space="preserve"> </w:t>
      </w:r>
      <w:r w:rsidR="00404B18" w:rsidRPr="00BB6220">
        <w:t>sexual</w:t>
      </w:r>
      <w:r w:rsidR="003D640C">
        <w:t xml:space="preserve"> </w:t>
      </w:r>
      <w:r w:rsidR="00404B18" w:rsidRPr="00BB6220">
        <w:t>orientation</w:t>
      </w:r>
      <w:r w:rsidR="003D640C">
        <w:t xml:space="preserve"> </w:t>
      </w:r>
      <w:r w:rsidR="00BC0B3F" w:rsidRPr="00BB6220">
        <w:t>in</w:t>
      </w:r>
      <w:r w:rsidR="003D640C">
        <w:t xml:space="preserve"> </w:t>
      </w:r>
      <w:r w:rsidR="00BC0B3F" w:rsidRPr="00BB6220">
        <w:t>the</w:t>
      </w:r>
      <w:r w:rsidR="003D640C">
        <w:t xml:space="preserve"> </w:t>
      </w:r>
      <w:r w:rsidR="00BC0B3F" w:rsidRPr="00BB6220">
        <w:t>same</w:t>
      </w:r>
      <w:r w:rsidR="003D640C">
        <w:t xml:space="preserve"> </w:t>
      </w:r>
      <w:r w:rsidR="00BC0B3F" w:rsidRPr="00BB6220">
        <w:t>way</w:t>
      </w:r>
      <w:r w:rsidR="003D640C">
        <w:t xml:space="preserve"> </w:t>
      </w:r>
      <w:r w:rsidR="00BC0B3F" w:rsidRPr="00BB6220">
        <w:t>as</w:t>
      </w:r>
      <w:r w:rsidR="003D640C">
        <w:t xml:space="preserve"> </w:t>
      </w:r>
      <w:r w:rsidR="00BC0B3F" w:rsidRPr="00BB6220">
        <w:t>the</w:t>
      </w:r>
      <w:r w:rsidR="003D640C">
        <w:t xml:space="preserve"> </w:t>
      </w:r>
      <w:r w:rsidR="00BC0B3F" w:rsidRPr="00BB6220">
        <w:t>churches</w:t>
      </w:r>
      <w:r w:rsidR="003D640C">
        <w:t xml:space="preserve"> </w:t>
      </w:r>
      <w:r w:rsidR="00BC0B3F" w:rsidRPr="00BB6220">
        <w:t>we</w:t>
      </w:r>
      <w:r w:rsidR="003D640C">
        <w:t xml:space="preserve"> </w:t>
      </w:r>
      <w:r w:rsidR="00BC0B3F" w:rsidRPr="00BB6220">
        <w:t>attended</w:t>
      </w:r>
      <w:r w:rsidR="003D640C">
        <w:t xml:space="preserve"> </w:t>
      </w:r>
      <w:r w:rsidR="006F6FF3">
        <w:t>–</w:t>
      </w:r>
      <w:r w:rsidR="003D640C">
        <w:t xml:space="preserve"> </w:t>
      </w:r>
      <w:r w:rsidR="00BC0B3F" w:rsidRPr="00BB6220">
        <w:t>‘</w:t>
      </w:r>
      <w:r w:rsidR="001E7AD2" w:rsidRPr="00BB6220">
        <w:t>B</w:t>
      </w:r>
      <w:r w:rsidR="00BC0B3F" w:rsidRPr="00BB6220">
        <w:t>eing</w:t>
      </w:r>
      <w:r w:rsidR="003D640C">
        <w:t xml:space="preserve"> </w:t>
      </w:r>
      <w:r w:rsidR="00BC0B3F" w:rsidRPr="00BB6220">
        <w:t>queer</w:t>
      </w:r>
      <w:r w:rsidR="003D640C">
        <w:t xml:space="preserve"> </w:t>
      </w:r>
      <w:r w:rsidR="00BC0B3F" w:rsidRPr="00BB6220">
        <w:t>is</w:t>
      </w:r>
      <w:r w:rsidR="003D640C">
        <w:t xml:space="preserve"> </w:t>
      </w:r>
      <w:r w:rsidR="00BC0B3F" w:rsidRPr="00BB6220">
        <w:t>a</w:t>
      </w:r>
      <w:r w:rsidR="003D640C">
        <w:t xml:space="preserve"> </w:t>
      </w:r>
      <w:r w:rsidR="00BC0B3F" w:rsidRPr="00BB6220">
        <w:t>defective</w:t>
      </w:r>
      <w:r w:rsidR="003D640C">
        <w:t xml:space="preserve"> </w:t>
      </w:r>
      <w:r w:rsidR="00BC0B3F" w:rsidRPr="00BB6220">
        <w:t>sexual</w:t>
      </w:r>
      <w:r w:rsidR="003D640C">
        <w:t xml:space="preserve"> </w:t>
      </w:r>
      <w:r w:rsidR="00BC0B3F" w:rsidRPr="00BB6220">
        <w:t>expression,</w:t>
      </w:r>
      <w:r w:rsidR="003D640C">
        <w:t xml:space="preserve"> </w:t>
      </w:r>
      <w:r w:rsidR="00BC0B3F" w:rsidRPr="00BB6220">
        <w:t>I</w:t>
      </w:r>
      <w:r w:rsidR="003D640C">
        <w:t xml:space="preserve"> </w:t>
      </w:r>
      <w:r w:rsidR="00BC0B3F" w:rsidRPr="00BB6220">
        <w:t>will</w:t>
      </w:r>
      <w:r w:rsidR="003D640C">
        <w:t xml:space="preserve"> </w:t>
      </w:r>
      <w:r w:rsidR="00BC0B3F" w:rsidRPr="00BB6220">
        <w:t>have</w:t>
      </w:r>
      <w:r w:rsidR="003D640C">
        <w:t xml:space="preserve"> </w:t>
      </w:r>
      <w:r w:rsidR="00BC0B3F" w:rsidRPr="00BB6220">
        <w:t>grace</w:t>
      </w:r>
      <w:r w:rsidR="003D640C">
        <w:t xml:space="preserve"> </w:t>
      </w:r>
      <w:r w:rsidR="00BC0B3F" w:rsidRPr="00BB6220">
        <w:t>for</w:t>
      </w:r>
      <w:r w:rsidR="003D640C">
        <w:t xml:space="preserve"> </w:t>
      </w:r>
      <w:r w:rsidR="00BC0B3F" w:rsidRPr="00BB6220">
        <w:t>you</w:t>
      </w:r>
      <w:r w:rsidR="003D640C">
        <w:t xml:space="preserve"> </w:t>
      </w:r>
      <w:r w:rsidR="00BC0B3F" w:rsidRPr="00BB6220">
        <w:t>and</w:t>
      </w:r>
      <w:r w:rsidR="003D640C">
        <w:t xml:space="preserve"> </w:t>
      </w:r>
      <w:r w:rsidR="00BC0B3F" w:rsidRPr="00BB6220">
        <w:t>tolerate</w:t>
      </w:r>
      <w:r w:rsidR="003D640C">
        <w:t xml:space="preserve"> </w:t>
      </w:r>
      <w:r w:rsidR="00BC0B3F" w:rsidRPr="00BB6220">
        <w:t>where</w:t>
      </w:r>
      <w:r w:rsidR="003D640C">
        <w:t xml:space="preserve"> </w:t>
      </w:r>
      <w:r w:rsidR="00BC0B3F" w:rsidRPr="00BB6220">
        <w:t>you’re</w:t>
      </w:r>
      <w:r w:rsidR="003D640C">
        <w:t xml:space="preserve"> </w:t>
      </w:r>
      <w:r w:rsidR="00BC0B3F" w:rsidRPr="00BB6220">
        <w:t>at</w:t>
      </w:r>
      <w:r w:rsidR="003D640C">
        <w:t xml:space="preserve"> </w:t>
      </w:r>
      <w:r w:rsidR="00BC0B3F" w:rsidRPr="00BB6220">
        <w:t>but</w:t>
      </w:r>
      <w:r w:rsidR="003D640C">
        <w:t xml:space="preserve"> </w:t>
      </w:r>
      <w:r w:rsidR="00BC0B3F" w:rsidRPr="00BB6220">
        <w:t>the</w:t>
      </w:r>
      <w:r w:rsidR="003D640C">
        <w:t xml:space="preserve"> </w:t>
      </w:r>
      <w:r w:rsidR="00BC0B3F" w:rsidRPr="00BB6220">
        <w:t>end</w:t>
      </w:r>
      <w:r w:rsidR="003D640C">
        <w:t xml:space="preserve"> </w:t>
      </w:r>
      <w:r w:rsidR="00BC0B3F" w:rsidRPr="00BB6220">
        <w:t>goal</w:t>
      </w:r>
      <w:r w:rsidR="003D640C">
        <w:t xml:space="preserve"> </w:t>
      </w:r>
      <w:r w:rsidR="00BC0B3F" w:rsidRPr="00BB6220">
        <w:t>will</w:t>
      </w:r>
      <w:r w:rsidR="003D640C">
        <w:t xml:space="preserve"> </w:t>
      </w:r>
      <w:r w:rsidR="00BC0B3F" w:rsidRPr="00BB6220">
        <w:t>always</w:t>
      </w:r>
      <w:r w:rsidR="003D640C">
        <w:t xml:space="preserve"> </w:t>
      </w:r>
      <w:r w:rsidR="00BC0B3F" w:rsidRPr="00BB6220">
        <w:t>be</w:t>
      </w:r>
      <w:r w:rsidR="003D640C">
        <w:t xml:space="preserve"> </w:t>
      </w:r>
      <w:r w:rsidR="00BC0B3F" w:rsidRPr="00BB6220">
        <w:t>for</w:t>
      </w:r>
      <w:r w:rsidR="003D640C">
        <w:t xml:space="preserve"> </w:t>
      </w:r>
      <w:r w:rsidR="00BC0B3F" w:rsidRPr="00BB6220">
        <w:t>you</w:t>
      </w:r>
      <w:r w:rsidR="003D640C">
        <w:t xml:space="preserve"> </w:t>
      </w:r>
      <w:r w:rsidR="00BC0B3F" w:rsidRPr="00BB6220">
        <w:t>to</w:t>
      </w:r>
      <w:r w:rsidR="003D640C">
        <w:t xml:space="preserve"> </w:t>
      </w:r>
      <w:r w:rsidR="00BC0B3F" w:rsidRPr="00BB6220">
        <w:t>become</w:t>
      </w:r>
      <w:r w:rsidR="003D640C">
        <w:t xml:space="preserve"> </w:t>
      </w:r>
      <w:r w:rsidR="00BC0B3F" w:rsidRPr="00BB6220">
        <w:t>heterosexual.’</w:t>
      </w:r>
      <w:r w:rsidR="003D640C">
        <w:t xml:space="preserve"> </w:t>
      </w:r>
      <w:r w:rsidR="00C726D6" w:rsidRPr="00BB6220">
        <w:t>I</w:t>
      </w:r>
      <w:r w:rsidR="003D640C">
        <w:t xml:space="preserve"> </w:t>
      </w:r>
      <w:r w:rsidR="00C726D6" w:rsidRPr="00BB6220">
        <w:t>was</w:t>
      </w:r>
      <w:r w:rsidR="003D640C">
        <w:t xml:space="preserve"> </w:t>
      </w:r>
      <w:r w:rsidR="00C726D6" w:rsidRPr="00BB6220">
        <w:t>told</w:t>
      </w:r>
      <w:r w:rsidR="0060380F" w:rsidRPr="00BB6220">
        <w:t>,</w:t>
      </w:r>
      <w:r w:rsidR="003D640C">
        <w:t xml:space="preserve"> </w:t>
      </w:r>
      <w:r w:rsidR="00CD3E06">
        <w:t>‘</w:t>
      </w:r>
      <w:r w:rsidR="0060380F" w:rsidRPr="00BB6220">
        <w:t>T</w:t>
      </w:r>
      <w:r w:rsidR="00BC0B3F" w:rsidRPr="00BB6220">
        <w:t>his</w:t>
      </w:r>
      <w:r w:rsidR="003D640C">
        <w:t xml:space="preserve"> </w:t>
      </w:r>
      <w:r w:rsidR="00BC0B3F" w:rsidRPr="00BB6220">
        <w:t>is</w:t>
      </w:r>
      <w:r w:rsidR="003D640C">
        <w:t xml:space="preserve"> </w:t>
      </w:r>
      <w:r w:rsidR="00BC0B3F" w:rsidRPr="00BB6220">
        <w:t>a</w:t>
      </w:r>
      <w:r w:rsidR="003D640C">
        <w:t xml:space="preserve"> </w:t>
      </w:r>
      <w:r w:rsidR="00BC0B3F" w:rsidRPr="00BB6220">
        <w:t>consequence</w:t>
      </w:r>
      <w:r w:rsidR="003D640C">
        <w:t xml:space="preserve"> </w:t>
      </w:r>
      <w:r w:rsidR="00BC0B3F" w:rsidRPr="00BB6220">
        <w:t>of</w:t>
      </w:r>
      <w:r w:rsidR="003D640C">
        <w:t xml:space="preserve"> </w:t>
      </w:r>
      <w:r w:rsidR="00BC0B3F" w:rsidRPr="00BB6220">
        <w:t>acting</w:t>
      </w:r>
      <w:r w:rsidR="003D640C">
        <w:t xml:space="preserve"> </w:t>
      </w:r>
      <w:r w:rsidR="00BC0B3F" w:rsidRPr="00BB6220">
        <w:t>on</w:t>
      </w:r>
      <w:r w:rsidR="003D640C">
        <w:t xml:space="preserve"> </w:t>
      </w:r>
      <w:r w:rsidR="00BC0B3F" w:rsidRPr="00BB6220">
        <w:t>your</w:t>
      </w:r>
      <w:r w:rsidR="003D640C">
        <w:t xml:space="preserve"> </w:t>
      </w:r>
      <w:r w:rsidR="00BC0B3F" w:rsidRPr="00BB6220">
        <w:t>attraction</w:t>
      </w:r>
      <w:r w:rsidR="003D640C">
        <w:t xml:space="preserve"> </w:t>
      </w:r>
      <w:r w:rsidR="00BC0B3F" w:rsidRPr="00BB6220">
        <w:t>with</w:t>
      </w:r>
      <w:r w:rsidR="003D640C">
        <w:t xml:space="preserve"> </w:t>
      </w:r>
      <w:r w:rsidR="00BC0B3F" w:rsidRPr="00BB6220">
        <w:t>that</w:t>
      </w:r>
      <w:r w:rsidR="003D640C">
        <w:t xml:space="preserve"> </w:t>
      </w:r>
      <w:r w:rsidR="00BC0B3F" w:rsidRPr="00BB6220">
        <w:t>girl</w:t>
      </w:r>
      <w:r w:rsidR="003D640C">
        <w:t xml:space="preserve"> </w:t>
      </w:r>
      <w:r w:rsidR="00BC0B3F" w:rsidRPr="00BB6220">
        <w:t>last</w:t>
      </w:r>
      <w:r w:rsidR="003D640C">
        <w:t xml:space="preserve"> </w:t>
      </w:r>
      <w:r w:rsidR="00BC0B3F" w:rsidRPr="00BB6220">
        <w:t>week;</w:t>
      </w:r>
      <w:r w:rsidR="003D640C">
        <w:t xml:space="preserve"> </w:t>
      </w:r>
      <w:r w:rsidR="00BC0B3F" w:rsidRPr="00BB6220">
        <w:t>you</w:t>
      </w:r>
      <w:r w:rsidR="003D640C">
        <w:t xml:space="preserve"> </w:t>
      </w:r>
      <w:r w:rsidR="00BC0B3F" w:rsidRPr="00BB6220">
        <w:t>gave</w:t>
      </w:r>
      <w:r w:rsidR="003D640C">
        <w:t xml:space="preserve"> </w:t>
      </w:r>
      <w:r w:rsidR="00BC0B3F" w:rsidRPr="00BB6220">
        <w:t>the</w:t>
      </w:r>
      <w:r w:rsidR="003D640C">
        <w:t xml:space="preserve"> </w:t>
      </w:r>
      <w:r w:rsidR="00BC0B3F" w:rsidRPr="00BB6220">
        <w:t>devil</w:t>
      </w:r>
      <w:r w:rsidR="003D640C">
        <w:t xml:space="preserve"> </w:t>
      </w:r>
      <w:r w:rsidR="00BC0B3F" w:rsidRPr="00BB6220">
        <w:t>a</w:t>
      </w:r>
      <w:r w:rsidR="003D640C">
        <w:t xml:space="preserve"> </w:t>
      </w:r>
      <w:r w:rsidR="00BC0B3F" w:rsidRPr="00BB6220">
        <w:t>foothold</w:t>
      </w:r>
      <w:r w:rsidR="003D640C">
        <w:t xml:space="preserve"> </w:t>
      </w:r>
      <w:r w:rsidR="00BC0B3F" w:rsidRPr="00BB6220">
        <w:t>and</w:t>
      </w:r>
      <w:r w:rsidR="003D640C">
        <w:t xml:space="preserve"> </w:t>
      </w:r>
      <w:r w:rsidR="00BC0B3F" w:rsidRPr="00BB6220">
        <w:t>now</w:t>
      </w:r>
      <w:r w:rsidR="003D640C">
        <w:t xml:space="preserve"> </w:t>
      </w:r>
      <w:r w:rsidR="00BC0B3F" w:rsidRPr="00BB6220">
        <w:t>Satan</w:t>
      </w:r>
      <w:r w:rsidR="003D640C">
        <w:t xml:space="preserve"> </w:t>
      </w:r>
      <w:r w:rsidR="00BC0B3F" w:rsidRPr="00BB6220">
        <w:t>is</w:t>
      </w:r>
      <w:r w:rsidR="003D640C">
        <w:t xml:space="preserve"> </w:t>
      </w:r>
      <w:r w:rsidR="00BC0B3F" w:rsidRPr="00BB6220">
        <w:t>trying</w:t>
      </w:r>
      <w:r w:rsidR="003D640C">
        <w:t xml:space="preserve"> </w:t>
      </w:r>
      <w:r w:rsidR="00BC0B3F" w:rsidRPr="00BB6220">
        <w:t>to</w:t>
      </w:r>
      <w:r w:rsidR="003D640C">
        <w:t xml:space="preserve"> </w:t>
      </w:r>
      <w:r w:rsidR="00BC0B3F" w:rsidRPr="00BB6220">
        <w:t>reach</w:t>
      </w:r>
      <w:r w:rsidR="003D640C">
        <w:t xml:space="preserve"> </w:t>
      </w:r>
      <w:r w:rsidR="00BC0B3F" w:rsidRPr="00BB6220">
        <w:t>further</w:t>
      </w:r>
      <w:r w:rsidR="003D640C">
        <w:t xml:space="preserve"> </w:t>
      </w:r>
      <w:r w:rsidR="00BC0B3F" w:rsidRPr="00BB6220">
        <w:t>into</w:t>
      </w:r>
      <w:r w:rsidR="003D640C">
        <w:t xml:space="preserve"> </w:t>
      </w:r>
      <w:r w:rsidR="00BC0B3F" w:rsidRPr="00BB6220">
        <w:t>your</w:t>
      </w:r>
      <w:r w:rsidR="003D640C">
        <w:t xml:space="preserve"> </w:t>
      </w:r>
      <w:r w:rsidR="00BC0B3F" w:rsidRPr="00BB6220">
        <w:t>life.</w:t>
      </w:r>
      <w:r w:rsidR="003D640C">
        <w:t xml:space="preserve"> </w:t>
      </w:r>
      <w:r w:rsidR="00BC0B3F" w:rsidRPr="00BB6220">
        <w:t>When</w:t>
      </w:r>
      <w:r w:rsidR="003D640C">
        <w:t xml:space="preserve"> </w:t>
      </w:r>
      <w:r w:rsidR="00BC0B3F" w:rsidRPr="00BB6220">
        <w:t>was</w:t>
      </w:r>
      <w:r w:rsidR="003D640C">
        <w:t xml:space="preserve"> </w:t>
      </w:r>
      <w:r w:rsidR="00BC0B3F" w:rsidRPr="00BB6220">
        <w:t>the</w:t>
      </w:r>
      <w:r w:rsidR="003D640C">
        <w:t xml:space="preserve"> </w:t>
      </w:r>
      <w:r w:rsidR="00BC0B3F" w:rsidRPr="00BB6220">
        <w:t>last</w:t>
      </w:r>
      <w:r w:rsidR="003D640C">
        <w:t xml:space="preserve"> </w:t>
      </w:r>
      <w:r w:rsidR="00BC0B3F" w:rsidRPr="00BB6220">
        <w:t>time</w:t>
      </w:r>
      <w:r w:rsidR="003D640C">
        <w:t xml:space="preserve"> </w:t>
      </w:r>
      <w:r w:rsidR="00BC0B3F" w:rsidRPr="00BB6220">
        <w:t>you</w:t>
      </w:r>
      <w:r w:rsidR="003D640C">
        <w:t xml:space="preserve"> </w:t>
      </w:r>
      <w:r w:rsidR="00BC0B3F" w:rsidRPr="00BB6220">
        <w:t>prayed</w:t>
      </w:r>
      <w:r w:rsidR="003D640C">
        <w:t xml:space="preserve"> </w:t>
      </w:r>
      <w:r w:rsidR="00BC0B3F" w:rsidRPr="00BB6220">
        <w:t>for</w:t>
      </w:r>
      <w:r w:rsidR="003D640C">
        <w:t xml:space="preserve"> </w:t>
      </w:r>
      <w:r w:rsidR="00BC0B3F" w:rsidRPr="00BB6220">
        <w:t>forgiveness?’</w:t>
      </w:r>
      <w:r w:rsidR="006F6FF3">
        <w:t xml:space="preserve"> </w:t>
      </w:r>
      <w:r w:rsidR="00BC0B3F" w:rsidRPr="00BB6220">
        <w:t>I</w:t>
      </w:r>
      <w:r w:rsidR="003D640C">
        <w:t xml:space="preserve"> </w:t>
      </w:r>
      <w:r w:rsidR="00BC0B3F" w:rsidRPr="00BB6220">
        <w:t>wanted</w:t>
      </w:r>
      <w:r w:rsidR="003D640C">
        <w:t xml:space="preserve"> </w:t>
      </w:r>
      <w:r w:rsidR="00BC0B3F" w:rsidRPr="00BB6220">
        <w:t>to</w:t>
      </w:r>
      <w:r w:rsidR="003D640C">
        <w:t xml:space="preserve"> </w:t>
      </w:r>
      <w:r w:rsidR="00BC0B3F" w:rsidRPr="00BB6220">
        <w:t>be</w:t>
      </w:r>
      <w:r w:rsidR="003D640C">
        <w:t xml:space="preserve"> </w:t>
      </w:r>
      <w:r w:rsidR="00BC0B3F" w:rsidRPr="00BB6220">
        <w:t>straight</w:t>
      </w:r>
      <w:r w:rsidR="003D640C">
        <w:t xml:space="preserve"> </w:t>
      </w:r>
      <w:r w:rsidR="00BC0B3F" w:rsidRPr="00BB6220">
        <w:t>so</w:t>
      </w:r>
      <w:r w:rsidR="003D640C">
        <w:t xml:space="preserve"> </w:t>
      </w:r>
      <w:r w:rsidR="00BC0B3F" w:rsidRPr="00BB6220">
        <w:t>badly.</w:t>
      </w:r>
      <w:r w:rsidR="006F6FF3">
        <w:t xml:space="preserve"> </w:t>
      </w:r>
      <w:r w:rsidR="00BC0B3F" w:rsidRPr="00BB6220">
        <w:t>I</w:t>
      </w:r>
      <w:r w:rsidR="003D640C">
        <w:t xml:space="preserve"> </w:t>
      </w:r>
      <w:r w:rsidR="00BC0B3F" w:rsidRPr="00BB6220">
        <w:t>was</w:t>
      </w:r>
      <w:r w:rsidR="003D640C">
        <w:t xml:space="preserve"> </w:t>
      </w:r>
      <w:r w:rsidR="00BC0B3F" w:rsidRPr="00BB6220">
        <w:t>at</w:t>
      </w:r>
      <w:r w:rsidR="003D640C">
        <w:t xml:space="preserve"> </w:t>
      </w:r>
      <w:r w:rsidR="00BC0B3F" w:rsidRPr="00BB6220">
        <w:t>the</w:t>
      </w:r>
      <w:r w:rsidR="003D640C">
        <w:t xml:space="preserve"> </w:t>
      </w:r>
      <w:r w:rsidR="00BC0B3F" w:rsidRPr="00BB6220">
        <w:t>train</w:t>
      </w:r>
      <w:r w:rsidR="003D640C">
        <w:t xml:space="preserve"> </w:t>
      </w:r>
      <w:r w:rsidR="00BC0B3F" w:rsidRPr="00BB6220">
        <w:t>station</w:t>
      </w:r>
      <w:r w:rsidR="003D640C">
        <w:t xml:space="preserve"> </w:t>
      </w:r>
      <w:r w:rsidR="00BC0B3F" w:rsidRPr="00BB6220">
        <w:t>one</w:t>
      </w:r>
      <w:r w:rsidR="003D640C">
        <w:t xml:space="preserve"> </w:t>
      </w:r>
      <w:r w:rsidR="00BC0B3F" w:rsidRPr="00BB6220">
        <w:t>day</w:t>
      </w:r>
      <w:r w:rsidR="003D640C">
        <w:t xml:space="preserve"> </w:t>
      </w:r>
      <w:r w:rsidR="00BC0B3F" w:rsidRPr="00BB6220">
        <w:t>watching</w:t>
      </w:r>
      <w:r w:rsidR="003D640C">
        <w:t xml:space="preserve"> </w:t>
      </w:r>
      <w:r w:rsidR="00BC0B3F" w:rsidRPr="00BB6220">
        <w:t>the</w:t>
      </w:r>
      <w:r w:rsidR="003D640C">
        <w:t xml:space="preserve"> </w:t>
      </w:r>
      <w:r w:rsidR="00BC0B3F" w:rsidRPr="00BB6220">
        <w:t>trains</w:t>
      </w:r>
      <w:r w:rsidR="003D640C">
        <w:t xml:space="preserve"> </w:t>
      </w:r>
      <w:r w:rsidR="00BC0B3F" w:rsidRPr="00BB6220">
        <w:t>and</w:t>
      </w:r>
      <w:r w:rsidR="003D640C">
        <w:t xml:space="preserve"> </w:t>
      </w:r>
      <w:r w:rsidR="00BC0B3F" w:rsidRPr="00BB6220">
        <w:t>thinking,</w:t>
      </w:r>
      <w:r w:rsidR="003D640C">
        <w:t xml:space="preserve"> </w:t>
      </w:r>
      <w:r w:rsidR="006F6FF3">
        <w:t>‘</w:t>
      </w:r>
      <w:r w:rsidR="00BC0B3F" w:rsidRPr="00BB6220">
        <w:t>It</w:t>
      </w:r>
      <w:r w:rsidR="003D640C">
        <w:t xml:space="preserve"> </w:t>
      </w:r>
      <w:r w:rsidR="00BC0B3F" w:rsidRPr="00BB6220">
        <w:t>would</w:t>
      </w:r>
      <w:r w:rsidR="003D640C">
        <w:t xml:space="preserve"> </w:t>
      </w:r>
      <w:r w:rsidR="00BC0B3F" w:rsidRPr="00BB6220">
        <w:t>be</w:t>
      </w:r>
      <w:r w:rsidR="003D640C">
        <w:t xml:space="preserve"> </w:t>
      </w:r>
      <w:r w:rsidR="00BC0B3F" w:rsidRPr="00BB6220">
        <w:t>so</w:t>
      </w:r>
      <w:r w:rsidR="003D640C">
        <w:t xml:space="preserve"> </w:t>
      </w:r>
      <w:r w:rsidR="00BC0B3F" w:rsidRPr="00BB6220">
        <w:t>easy</w:t>
      </w:r>
      <w:r w:rsidR="003D640C">
        <w:t xml:space="preserve"> </w:t>
      </w:r>
      <w:r w:rsidR="00BC0B3F" w:rsidRPr="00BB6220">
        <w:t>for</w:t>
      </w:r>
      <w:r w:rsidR="003D640C">
        <w:t xml:space="preserve"> </w:t>
      </w:r>
      <w:r w:rsidR="00BC0B3F" w:rsidRPr="00BB6220">
        <w:t>it</w:t>
      </w:r>
      <w:r w:rsidR="003D640C">
        <w:t xml:space="preserve"> </w:t>
      </w:r>
      <w:r w:rsidR="00BC0B3F" w:rsidRPr="00BB6220">
        <w:t>all</w:t>
      </w:r>
      <w:r w:rsidR="003D640C">
        <w:t xml:space="preserve"> </w:t>
      </w:r>
      <w:r w:rsidR="00BC0B3F" w:rsidRPr="00BB6220">
        <w:t>to</w:t>
      </w:r>
      <w:r w:rsidR="003D640C">
        <w:t xml:space="preserve"> </w:t>
      </w:r>
      <w:r w:rsidR="00BC0B3F" w:rsidRPr="00BB6220">
        <w:t>just</w:t>
      </w:r>
      <w:r w:rsidR="003D640C">
        <w:t xml:space="preserve"> </w:t>
      </w:r>
      <w:r w:rsidR="00BC0B3F" w:rsidRPr="00BB6220">
        <w:t>be</w:t>
      </w:r>
      <w:r w:rsidR="003D640C">
        <w:t xml:space="preserve"> </w:t>
      </w:r>
      <w:r w:rsidR="00BC0B3F" w:rsidRPr="00BB6220">
        <w:t>over.</w:t>
      </w:r>
      <w:r w:rsidR="00643B18" w:rsidRPr="00BB6220">
        <w:t>’</w:t>
      </w:r>
      <w:r w:rsidR="003D640C">
        <w:t xml:space="preserve"> </w:t>
      </w:r>
      <w:r w:rsidR="00643B18" w:rsidRPr="00BB6220">
        <w:t>But</w:t>
      </w:r>
      <w:r w:rsidR="003D640C">
        <w:t xml:space="preserve"> </w:t>
      </w:r>
      <w:r w:rsidR="00BC0B3F" w:rsidRPr="00BB6220">
        <w:t>I</w:t>
      </w:r>
      <w:r w:rsidR="003D640C">
        <w:t xml:space="preserve"> </w:t>
      </w:r>
      <w:r w:rsidR="00BC0B3F" w:rsidRPr="00BB6220">
        <w:t>remember</w:t>
      </w:r>
      <w:r w:rsidR="003D640C">
        <w:t xml:space="preserve"> </w:t>
      </w:r>
      <w:r w:rsidR="00BC0B3F" w:rsidRPr="00BB6220">
        <w:t>a</w:t>
      </w:r>
      <w:r w:rsidR="003D640C">
        <w:t xml:space="preserve"> </w:t>
      </w:r>
      <w:r w:rsidR="00BC0B3F" w:rsidRPr="00BB6220">
        <w:t>high</w:t>
      </w:r>
      <w:r w:rsidR="003D640C">
        <w:t xml:space="preserve"> </w:t>
      </w:r>
      <w:r w:rsidR="00BC0B3F" w:rsidRPr="00BB6220">
        <w:t>pitch</w:t>
      </w:r>
      <w:r w:rsidR="003D640C">
        <w:t xml:space="preserve"> </w:t>
      </w:r>
      <w:r w:rsidR="00BC0B3F" w:rsidRPr="00BB6220">
        <w:t>whine</w:t>
      </w:r>
      <w:r w:rsidR="003D640C">
        <w:t xml:space="preserve"> </w:t>
      </w:r>
      <w:r w:rsidR="00BC0B3F" w:rsidRPr="00BB6220">
        <w:t>in</w:t>
      </w:r>
      <w:r w:rsidR="003D640C">
        <w:t xml:space="preserve"> </w:t>
      </w:r>
      <w:r w:rsidR="00BC0B3F" w:rsidRPr="00BB6220">
        <w:t>my</w:t>
      </w:r>
      <w:r w:rsidR="003D640C">
        <w:t xml:space="preserve"> </w:t>
      </w:r>
      <w:r w:rsidR="00BC0B3F" w:rsidRPr="00BB6220">
        <w:t>ears</w:t>
      </w:r>
      <w:r w:rsidR="003D640C">
        <w:t xml:space="preserve"> </w:t>
      </w:r>
      <w:r w:rsidR="00BC0B3F" w:rsidRPr="00BB6220">
        <w:t>and</w:t>
      </w:r>
      <w:r w:rsidR="003D640C">
        <w:t xml:space="preserve"> </w:t>
      </w:r>
      <w:r w:rsidR="00BC0B3F" w:rsidRPr="00BB6220">
        <w:t>the</w:t>
      </w:r>
      <w:r w:rsidR="003D640C">
        <w:t xml:space="preserve"> </w:t>
      </w:r>
      <w:r w:rsidR="00BC0B3F" w:rsidRPr="00BB6220">
        <w:t>chant,</w:t>
      </w:r>
      <w:r w:rsidR="003D640C">
        <w:t xml:space="preserve"> </w:t>
      </w:r>
      <w:r w:rsidR="00412011">
        <w:t>‘</w:t>
      </w:r>
      <w:r w:rsidR="00BC0B3F" w:rsidRPr="00BB6220">
        <w:t>ka</w:t>
      </w:r>
      <w:r w:rsidR="003D640C">
        <w:t xml:space="preserve"> </w:t>
      </w:r>
      <w:r w:rsidR="00BC0B3F" w:rsidRPr="00BB6220">
        <w:t>mate,</w:t>
      </w:r>
      <w:r w:rsidR="003D640C">
        <w:t xml:space="preserve"> </w:t>
      </w:r>
      <w:r w:rsidR="00BC0B3F" w:rsidRPr="00BB6220">
        <w:t>ka</w:t>
      </w:r>
      <w:r w:rsidR="003D640C">
        <w:t xml:space="preserve"> </w:t>
      </w:r>
      <w:r w:rsidR="00BC0B3F" w:rsidRPr="00BB6220">
        <w:t>mate,</w:t>
      </w:r>
      <w:r w:rsidR="003D640C">
        <w:t xml:space="preserve"> </w:t>
      </w:r>
      <w:r w:rsidR="00BC0B3F" w:rsidRPr="00BB6220">
        <w:t>ka</w:t>
      </w:r>
      <w:r w:rsidR="003D640C">
        <w:t xml:space="preserve"> </w:t>
      </w:r>
      <w:r w:rsidR="00BC0B3F" w:rsidRPr="00BB6220">
        <w:t>ora,</w:t>
      </w:r>
      <w:r w:rsidR="003D640C">
        <w:t xml:space="preserve"> </w:t>
      </w:r>
      <w:r w:rsidR="00BC0B3F" w:rsidRPr="00BB6220">
        <w:t>ka</w:t>
      </w:r>
      <w:r w:rsidR="003D640C">
        <w:t xml:space="preserve"> </w:t>
      </w:r>
      <w:r w:rsidR="00BC0B3F" w:rsidRPr="00BB6220">
        <w:t>ora,</w:t>
      </w:r>
      <w:r w:rsidR="00D03A63" w:rsidRPr="00BB6220">
        <w:t>’</w:t>
      </w:r>
      <w:r w:rsidR="003D640C">
        <w:t xml:space="preserve"> </w:t>
      </w:r>
      <w:r w:rsidR="00BC0B3F" w:rsidRPr="00BB6220">
        <w:t>from</w:t>
      </w:r>
      <w:r w:rsidR="003D640C">
        <w:t xml:space="preserve"> </w:t>
      </w:r>
      <w:r w:rsidR="00BC0B3F" w:rsidRPr="00BB6220">
        <w:t>the</w:t>
      </w:r>
      <w:r w:rsidR="003D640C">
        <w:t xml:space="preserve"> </w:t>
      </w:r>
      <w:r w:rsidR="00BC0B3F" w:rsidRPr="00BB6220">
        <w:t>haka</w:t>
      </w:r>
      <w:r w:rsidR="003D640C">
        <w:t xml:space="preserve"> </w:t>
      </w:r>
      <w:r w:rsidR="00BC0B3F" w:rsidRPr="00BB6220">
        <w:t>reverberating</w:t>
      </w:r>
      <w:r w:rsidR="003D640C">
        <w:t xml:space="preserve"> </w:t>
      </w:r>
      <w:r w:rsidR="00BC0B3F" w:rsidRPr="00BB6220">
        <w:t>through</w:t>
      </w:r>
      <w:r w:rsidR="003D640C">
        <w:t xml:space="preserve"> </w:t>
      </w:r>
      <w:r w:rsidR="00BC0B3F" w:rsidRPr="00BB6220">
        <w:t>my</w:t>
      </w:r>
      <w:r w:rsidR="003D640C">
        <w:t xml:space="preserve"> </w:t>
      </w:r>
      <w:r w:rsidR="00BC0B3F" w:rsidRPr="00BB6220">
        <w:t>body</w:t>
      </w:r>
      <w:r w:rsidR="003D640C">
        <w:t xml:space="preserve"> </w:t>
      </w:r>
      <w:r w:rsidR="00BC0B3F" w:rsidRPr="00BB6220">
        <w:t>on</w:t>
      </w:r>
      <w:r w:rsidR="003D640C">
        <w:t xml:space="preserve"> </w:t>
      </w:r>
      <w:r w:rsidR="00BC0B3F" w:rsidRPr="00BB6220">
        <w:t>repeat.</w:t>
      </w:r>
      <w:r w:rsidR="003D640C">
        <w:t xml:space="preserve"> </w:t>
      </w:r>
      <w:r w:rsidR="00BC0B3F" w:rsidRPr="00BB6220">
        <w:t>My</w:t>
      </w:r>
      <w:r w:rsidR="003D640C">
        <w:t xml:space="preserve"> </w:t>
      </w:r>
      <w:r w:rsidR="00BC0B3F" w:rsidRPr="00BB6220">
        <w:t>tīpuna</w:t>
      </w:r>
      <w:r w:rsidR="003D640C">
        <w:t xml:space="preserve"> </w:t>
      </w:r>
      <w:r w:rsidR="00BC0B3F" w:rsidRPr="00BB6220">
        <w:t>knew</w:t>
      </w:r>
      <w:r w:rsidR="003D640C">
        <w:t xml:space="preserve"> </w:t>
      </w:r>
      <w:r w:rsidR="00BC0B3F" w:rsidRPr="00BB6220">
        <w:t>I</w:t>
      </w:r>
      <w:r w:rsidR="003D640C">
        <w:t xml:space="preserve"> </w:t>
      </w:r>
      <w:r w:rsidR="00BC0B3F" w:rsidRPr="00BB6220">
        <w:t>was</w:t>
      </w:r>
      <w:r w:rsidR="003D640C">
        <w:t xml:space="preserve"> </w:t>
      </w:r>
      <w:r w:rsidR="00BC0B3F" w:rsidRPr="00BB6220">
        <w:t>at</w:t>
      </w:r>
      <w:r w:rsidR="003D640C">
        <w:t xml:space="preserve"> </w:t>
      </w:r>
      <w:r w:rsidR="00BC0B3F" w:rsidRPr="00BB6220">
        <w:t>the</w:t>
      </w:r>
      <w:r w:rsidR="003D640C">
        <w:t xml:space="preserve"> </w:t>
      </w:r>
      <w:r w:rsidR="00BC0B3F" w:rsidRPr="00BB6220">
        <w:t>edge</w:t>
      </w:r>
      <w:r w:rsidR="004920AA" w:rsidRPr="00BB6220">
        <w:t>.</w:t>
      </w:r>
      <w:r w:rsidRPr="00BB6220">
        <w:t>”</w:t>
      </w:r>
      <w:r w:rsidR="003D640C">
        <w:t xml:space="preserve"> </w:t>
      </w:r>
      <w:r w:rsidR="00123E3C" w:rsidRPr="00BB6220">
        <w:t>Māori</w:t>
      </w:r>
      <w:r w:rsidR="0004739A" w:rsidRPr="00BB6220">
        <w:t>,</w:t>
      </w:r>
      <w:r w:rsidR="003D640C">
        <w:t xml:space="preserve"> </w:t>
      </w:r>
      <w:r w:rsidR="0004739A" w:rsidRPr="00BB6220">
        <w:t>takatāpui</w:t>
      </w:r>
    </w:p>
    <w:p w14:paraId="47FA3655" w14:textId="35890DFE" w:rsidR="00AB0174" w:rsidRPr="00BB6220" w:rsidRDefault="00D05424" w:rsidP="00C2162C">
      <w:r w:rsidRPr="00BB6220">
        <w:t>Christian</w:t>
      </w:r>
      <w:r w:rsidR="003D640C">
        <w:t xml:space="preserve"> </w:t>
      </w:r>
      <w:r w:rsidR="00555D24" w:rsidRPr="00BB6220">
        <w:t>religions</w:t>
      </w:r>
      <w:r w:rsidR="003D640C">
        <w:t xml:space="preserve"> </w:t>
      </w:r>
      <w:r w:rsidR="00555D24" w:rsidRPr="00BB6220">
        <w:t>are</w:t>
      </w:r>
      <w:r w:rsidR="003D640C">
        <w:t xml:space="preserve"> </w:t>
      </w:r>
      <w:r w:rsidRPr="00BB6220">
        <w:t>common</w:t>
      </w:r>
      <w:r w:rsidR="003D640C">
        <w:t xml:space="preserve"> </w:t>
      </w:r>
      <w:r w:rsidRPr="00BB6220">
        <w:t>setting</w:t>
      </w:r>
      <w:r w:rsidR="00555D24" w:rsidRPr="00BB6220">
        <w:t>s</w:t>
      </w:r>
      <w:r w:rsidR="003D640C">
        <w:t xml:space="preserve"> </w:t>
      </w:r>
      <w:r w:rsidRPr="00BB6220">
        <w:t>for</w:t>
      </w:r>
      <w:r w:rsidR="003D640C">
        <w:t xml:space="preserve"> </w:t>
      </w:r>
      <w:r w:rsidRPr="00BB6220">
        <w:t>conversion</w:t>
      </w:r>
      <w:r w:rsidR="003D640C">
        <w:t xml:space="preserve"> </w:t>
      </w:r>
      <w:r w:rsidRPr="00BB6220">
        <w:t>practices.</w:t>
      </w:r>
      <w:r w:rsidRPr="00BB6220">
        <w:rPr>
          <w:rStyle w:val="FootnoteReference"/>
          <w:rFonts w:ascii="Calibri" w:eastAsia="Calibri" w:hAnsi="Calibri" w:cs="Calibri"/>
          <w:color w:val="000000" w:themeColor="text1"/>
        </w:rPr>
        <w:footnoteReference w:id="75"/>
      </w:r>
      <w:r w:rsidR="003D640C">
        <w:t xml:space="preserve"> </w:t>
      </w:r>
      <w:r w:rsidR="006C263B" w:rsidRPr="00BB6220">
        <w:t>Conversion</w:t>
      </w:r>
      <w:r w:rsidR="003D640C">
        <w:t xml:space="preserve"> </w:t>
      </w:r>
      <w:r w:rsidR="006C263B" w:rsidRPr="00BB6220">
        <w:t>ideology</w:t>
      </w:r>
      <w:r w:rsidR="003D640C">
        <w:t xml:space="preserve"> </w:t>
      </w:r>
      <w:r w:rsidR="00A430F7" w:rsidRPr="00BB6220">
        <w:t>can</w:t>
      </w:r>
      <w:r w:rsidR="003D640C">
        <w:t xml:space="preserve"> </w:t>
      </w:r>
      <w:r w:rsidR="00650214" w:rsidRPr="00BB6220">
        <w:t>co-</w:t>
      </w:r>
      <w:r w:rsidR="00B21139" w:rsidRPr="00BB6220">
        <w:t>exist</w:t>
      </w:r>
      <w:r w:rsidR="003D640C">
        <w:t xml:space="preserve"> </w:t>
      </w:r>
      <w:r w:rsidR="00FB2ABF">
        <w:t>with</w:t>
      </w:r>
      <w:r w:rsidR="003D640C">
        <w:t xml:space="preserve"> </w:t>
      </w:r>
      <w:r w:rsidR="001807E2" w:rsidRPr="00BB6220">
        <w:t>a</w:t>
      </w:r>
      <w:r w:rsidR="003D640C">
        <w:t xml:space="preserve"> </w:t>
      </w:r>
      <w:r w:rsidR="00062175" w:rsidRPr="00BB6220">
        <w:t>religious</w:t>
      </w:r>
      <w:r w:rsidR="003D640C">
        <w:t xml:space="preserve"> </w:t>
      </w:r>
      <w:r w:rsidR="00062175" w:rsidRPr="00BB6220">
        <w:t>belief</w:t>
      </w:r>
      <w:r w:rsidR="003D640C">
        <w:t xml:space="preserve"> </w:t>
      </w:r>
      <w:r w:rsidR="00062175" w:rsidRPr="00BB6220">
        <w:t>that</w:t>
      </w:r>
      <w:r w:rsidR="003D640C">
        <w:t xml:space="preserve"> </w:t>
      </w:r>
      <w:r w:rsidRPr="00BB6220">
        <w:t>humans</w:t>
      </w:r>
      <w:r w:rsidR="003D640C">
        <w:t xml:space="preserve"> </w:t>
      </w:r>
      <w:r w:rsidRPr="00BB6220">
        <w:t>are</w:t>
      </w:r>
      <w:r w:rsidR="003D640C">
        <w:t xml:space="preserve"> </w:t>
      </w:r>
      <w:r w:rsidRPr="00BB6220">
        <w:t>sinful</w:t>
      </w:r>
      <w:r w:rsidR="003D640C">
        <w:t xml:space="preserve"> </w:t>
      </w:r>
      <w:r w:rsidRPr="00BB6220">
        <w:t>and</w:t>
      </w:r>
      <w:r w:rsidR="003D640C">
        <w:t xml:space="preserve"> </w:t>
      </w:r>
      <w:bookmarkStart w:id="141" w:name="_Int_0Kw9MmFi"/>
      <w:r w:rsidR="005617E4" w:rsidRPr="00BB6220">
        <w:t>are</w:t>
      </w:r>
      <w:r w:rsidR="003D640C">
        <w:t xml:space="preserve"> </w:t>
      </w:r>
      <w:r w:rsidR="005617E4" w:rsidRPr="00BB6220">
        <w:t>in</w:t>
      </w:r>
      <w:r w:rsidR="003D640C">
        <w:t xml:space="preserve"> </w:t>
      </w:r>
      <w:r w:rsidR="005617E4" w:rsidRPr="00BB6220">
        <w:t>need</w:t>
      </w:r>
      <w:r w:rsidR="003D640C">
        <w:t xml:space="preserve"> </w:t>
      </w:r>
      <w:r w:rsidR="005617E4" w:rsidRPr="00BB6220">
        <w:t>of</w:t>
      </w:r>
      <w:bookmarkEnd w:id="141"/>
      <w:r w:rsidR="003D640C">
        <w:t xml:space="preserve"> </w:t>
      </w:r>
      <w:r w:rsidRPr="00BB6220">
        <w:t>be</w:t>
      </w:r>
      <w:r w:rsidR="005617E4" w:rsidRPr="00BB6220">
        <w:t>ing</w:t>
      </w:r>
      <w:r w:rsidR="003D640C">
        <w:t xml:space="preserve"> </w:t>
      </w:r>
      <w:r w:rsidR="00CD3E06">
        <w:t>‘</w:t>
      </w:r>
      <w:r w:rsidRPr="00BB6220">
        <w:t>saved</w:t>
      </w:r>
      <w:r w:rsidR="002A7B26">
        <w:t>.</w:t>
      </w:r>
      <w:r w:rsidR="00CD3E06">
        <w:t>’</w:t>
      </w:r>
      <w:r w:rsidR="003D640C">
        <w:t xml:space="preserve"> </w:t>
      </w:r>
      <w:r w:rsidR="000D2199" w:rsidRPr="00BB6220">
        <w:t>In</w:t>
      </w:r>
      <w:r w:rsidR="003D640C">
        <w:t xml:space="preserve"> </w:t>
      </w:r>
      <w:r w:rsidR="000D2199" w:rsidRPr="00BB6220">
        <w:t>these</w:t>
      </w:r>
      <w:r w:rsidR="003D640C">
        <w:t xml:space="preserve"> </w:t>
      </w:r>
      <w:r w:rsidR="00EE0ED0" w:rsidRPr="00BB6220">
        <w:t>contexts,</w:t>
      </w:r>
      <w:r w:rsidR="003D640C">
        <w:t xml:space="preserve"> </w:t>
      </w:r>
      <w:r w:rsidR="00C601F8" w:rsidRPr="00BB6220">
        <w:t>there</w:t>
      </w:r>
      <w:r w:rsidR="003D640C">
        <w:t xml:space="preserve"> </w:t>
      </w:r>
      <w:r w:rsidR="00C601F8" w:rsidRPr="00BB6220">
        <w:t>is</w:t>
      </w:r>
      <w:r w:rsidR="003D640C">
        <w:t xml:space="preserve"> </w:t>
      </w:r>
      <w:r w:rsidR="00C601F8" w:rsidRPr="00BB6220">
        <w:t>a</w:t>
      </w:r>
      <w:r w:rsidR="003D640C">
        <w:t xml:space="preserve"> </w:t>
      </w:r>
      <w:r w:rsidR="00C601F8" w:rsidRPr="00BB6220">
        <w:t>tendency</w:t>
      </w:r>
      <w:r w:rsidR="003D640C">
        <w:t xml:space="preserve"> </w:t>
      </w:r>
      <w:r w:rsidR="00C601F8" w:rsidRPr="00BB6220">
        <w:t>to</w:t>
      </w:r>
      <w:r w:rsidR="003D640C">
        <w:t xml:space="preserve"> </w:t>
      </w:r>
      <w:r w:rsidR="00645DB7" w:rsidRPr="00BB6220">
        <w:t>classify</w:t>
      </w:r>
      <w:r w:rsidR="003D640C">
        <w:t xml:space="preserve"> </w:t>
      </w:r>
      <w:r w:rsidR="00FF78DE" w:rsidRPr="00BB6220">
        <w:t>identities</w:t>
      </w:r>
      <w:r w:rsidR="003D640C">
        <w:t xml:space="preserve"> </w:t>
      </w:r>
      <w:r w:rsidR="00FF78DE" w:rsidRPr="00BB6220">
        <w:t>or</w:t>
      </w:r>
      <w:r w:rsidR="003D640C">
        <w:t xml:space="preserve"> </w:t>
      </w:r>
      <w:r w:rsidR="00FF78DE" w:rsidRPr="00BB6220">
        <w:t>experiences</w:t>
      </w:r>
      <w:r w:rsidR="003D640C">
        <w:t xml:space="preserve"> </w:t>
      </w:r>
      <w:r w:rsidR="00FF78DE" w:rsidRPr="00BB6220">
        <w:t>that</w:t>
      </w:r>
      <w:r w:rsidR="003D640C">
        <w:t xml:space="preserve"> </w:t>
      </w:r>
      <w:r w:rsidR="00FF78DE" w:rsidRPr="00BB6220">
        <w:t>differ</w:t>
      </w:r>
      <w:r w:rsidR="003D640C">
        <w:t xml:space="preserve"> </w:t>
      </w:r>
      <w:r w:rsidR="00FF78DE" w:rsidRPr="00BB6220">
        <w:t>from</w:t>
      </w:r>
      <w:r w:rsidR="003D640C">
        <w:t xml:space="preserve"> </w:t>
      </w:r>
      <w:r w:rsidRPr="00BB6220">
        <w:t>heterosexual</w:t>
      </w:r>
      <w:r w:rsidR="003D640C">
        <w:t xml:space="preserve"> </w:t>
      </w:r>
      <w:r w:rsidR="00120D2B" w:rsidRPr="00BB6220">
        <w:t>or</w:t>
      </w:r>
      <w:r w:rsidR="003D640C">
        <w:t xml:space="preserve"> </w:t>
      </w:r>
      <w:r w:rsidRPr="00BB6220">
        <w:t>cisgender</w:t>
      </w:r>
      <w:r w:rsidR="003D640C">
        <w:t xml:space="preserve"> </w:t>
      </w:r>
      <w:r w:rsidR="009870E4" w:rsidRPr="00BB6220">
        <w:t>norms</w:t>
      </w:r>
      <w:r w:rsidR="003D640C">
        <w:t xml:space="preserve"> </w:t>
      </w:r>
      <w:r w:rsidRPr="00BB6220">
        <w:t>as</w:t>
      </w:r>
      <w:r w:rsidR="003D640C">
        <w:t xml:space="preserve"> </w:t>
      </w:r>
      <w:r w:rsidR="008E60ED" w:rsidRPr="00BB6220">
        <w:t>deviations</w:t>
      </w:r>
      <w:r w:rsidR="003D640C">
        <w:t xml:space="preserve"> </w:t>
      </w:r>
      <w:r w:rsidR="008E60ED" w:rsidRPr="00BB6220">
        <w:t>(</w:t>
      </w:r>
      <w:r w:rsidR="005B4D26" w:rsidRPr="00BB6220">
        <w:t>or</w:t>
      </w:r>
      <w:r w:rsidR="006F6FF3">
        <w:t>,</w:t>
      </w:r>
      <w:r w:rsidR="003D640C">
        <w:t xml:space="preserve"> </w:t>
      </w:r>
      <w:r w:rsidR="005B4D26" w:rsidRPr="00BB6220">
        <w:t>at</w:t>
      </w:r>
      <w:r w:rsidR="003D640C">
        <w:t xml:space="preserve"> </w:t>
      </w:r>
      <w:r w:rsidR="005B4D26" w:rsidRPr="00BB6220">
        <w:t>the</w:t>
      </w:r>
      <w:r w:rsidR="003D640C">
        <w:t xml:space="preserve"> </w:t>
      </w:r>
      <w:r w:rsidR="005B4D26" w:rsidRPr="00BB6220">
        <w:t>more</w:t>
      </w:r>
      <w:r w:rsidR="003D640C">
        <w:t xml:space="preserve"> </w:t>
      </w:r>
      <w:r w:rsidR="005B4D26" w:rsidRPr="00BB6220">
        <w:t>harmful</w:t>
      </w:r>
      <w:r w:rsidR="003D640C">
        <w:t xml:space="preserve"> </w:t>
      </w:r>
      <w:r w:rsidR="005B4D26" w:rsidRPr="00BB6220">
        <w:t>end</w:t>
      </w:r>
      <w:r w:rsidR="003D4A64" w:rsidRPr="00BB6220">
        <w:t>,</w:t>
      </w:r>
      <w:r w:rsidR="003D640C">
        <w:t xml:space="preserve"> </w:t>
      </w:r>
      <w:r w:rsidRPr="00BB6220">
        <w:t>perversions</w:t>
      </w:r>
      <w:r w:rsidR="003D4A64" w:rsidRPr="00BB6220">
        <w:t>)</w:t>
      </w:r>
      <w:r w:rsidR="003D640C">
        <w:t xml:space="preserve"> </w:t>
      </w:r>
      <w:r w:rsidRPr="00BB6220">
        <w:t>that</w:t>
      </w:r>
      <w:r w:rsidR="003D640C">
        <w:t xml:space="preserve"> </w:t>
      </w:r>
      <w:r w:rsidRPr="00BB6220">
        <w:t>must</w:t>
      </w:r>
      <w:r w:rsidR="003D640C">
        <w:t xml:space="preserve"> </w:t>
      </w:r>
      <w:r w:rsidRPr="00BB6220">
        <w:t>be</w:t>
      </w:r>
      <w:r w:rsidR="003D640C">
        <w:t xml:space="preserve"> </w:t>
      </w:r>
      <w:r w:rsidRPr="00BB6220">
        <w:t>remedied.</w:t>
      </w:r>
      <w:r w:rsidR="003D640C">
        <w:t xml:space="preserve"> </w:t>
      </w:r>
    </w:p>
    <w:p w14:paraId="2EC32132" w14:textId="65EA91F4" w:rsidR="00D05424" w:rsidRPr="00BB6220" w:rsidRDefault="00D05424" w:rsidP="00C2162C">
      <w:r w:rsidRPr="00BB6220">
        <w:t>Research</w:t>
      </w:r>
      <w:r w:rsidR="003D640C">
        <w:t xml:space="preserve"> </w:t>
      </w:r>
      <w:r w:rsidRPr="00BB6220">
        <w:t>suggests</w:t>
      </w:r>
      <w:r w:rsidR="003D640C">
        <w:t xml:space="preserve"> </w:t>
      </w:r>
      <w:r w:rsidRPr="00BB6220">
        <w:t>that</w:t>
      </w:r>
      <w:r w:rsidR="006F6FF3">
        <w:t>,</w:t>
      </w:r>
      <w:r w:rsidR="003D640C">
        <w:t xml:space="preserve"> </w:t>
      </w:r>
      <w:r w:rsidRPr="00BB6220">
        <w:t>although</w:t>
      </w:r>
      <w:r w:rsidR="003D640C">
        <w:t xml:space="preserve"> </w:t>
      </w:r>
      <w:r w:rsidRPr="00BB6220">
        <w:t>Roman</w:t>
      </w:r>
      <w:r w:rsidR="003D640C">
        <w:t xml:space="preserve"> </w:t>
      </w:r>
      <w:r w:rsidRPr="00BB6220">
        <w:t>Catholic</w:t>
      </w:r>
      <w:r w:rsidR="003D640C">
        <w:t xml:space="preserve"> </w:t>
      </w:r>
      <w:r w:rsidRPr="00BB6220">
        <w:t>groups</w:t>
      </w:r>
      <w:r w:rsidR="003D640C">
        <w:t xml:space="preserve"> </w:t>
      </w:r>
      <w:r w:rsidRPr="00BB6220">
        <w:t>typically</w:t>
      </w:r>
      <w:r w:rsidR="003D640C">
        <w:t xml:space="preserve"> </w:t>
      </w:r>
      <w:r w:rsidRPr="00BB6220">
        <w:t>do</w:t>
      </w:r>
      <w:r w:rsidR="003D640C">
        <w:t xml:space="preserve"> </w:t>
      </w:r>
      <w:r w:rsidRPr="00BB6220">
        <w:t>not</w:t>
      </w:r>
      <w:r w:rsidR="003D640C">
        <w:t xml:space="preserve"> </w:t>
      </w:r>
      <w:r w:rsidR="00611977">
        <w:t>participate</w:t>
      </w:r>
      <w:r w:rsidR="003D640C">
        <w:t xml:space="preserve"> </w:t>
      </w:r>
      <w:r w:rsidR="00FB2ABF">
        <w:t>in</w:t>
      </w:r>
      <w:r w:rsidR="003D640C">
        <w:t xml:space="preserve"> </w:t>
      </w:r>
      <w:r w:rsidRPr="00BB6220">
        <w:t>conversion</w:t>
      </w:r>
      <w:r w:rsidR="003D640C">
        <w:t xml:space="preserve"> </w:t>
      </w:r>
      <w:r w:rsidRPr="00BB6220">
        <w:t>practices,</w:t>
      </w:r>
      <w:r w:rsidR="003D640C">
        <w:t xml:space="preserve"> </w:t>
      </w:r>
      <w:r w:rsidR="00555D24" w:rsidRPr="00BB6220">
        <w:t>they</w:t>
      </w:r>
      <w:r w:rsidR="003D640C">
        <w:t xml:space="preserve"> </w:t>
      </w:r>
      <w:r w:rsidR="00555D24" w:rsidRPr="00BB6220">
        <w:t>are</w:t>
      </w:r>
      <w:r w:rsidR="003D640C">
        <w:t xml:space="preserve"> </w:t>
      </w:r>
      <w:r w:rsidR="00555D24" w:rsidRPr="00BB6220">
        <w:t>not</w:t>
      </w:r>
      <w:r w:rsidR="003D640C">
        <w:t xml:space="preserve"> </w:t>
      </w:r>
      <w:r w:rsidR="00555D24" w:rsidRPr="00BB6220">
        <w:t>entirely</w:t>
      </w:r>
      <w:r w:rsidR="003D640C">
        <w:t xml:space="preserve"> </w:t>
      </w:r>
      <w:r w:rsidR="00555D24" w:rsidRPr="00BB6220">
        <w:t>opposed</w:t>
      </w:r>
      <w:r w:rsidR="003D640C">
        <w:t xml:space="preserve"> </w:t>
      </w:r>
      <w:r w:rsidR="00555D24" w:rsidRPr="00BB6220">
        <w:t>to</w:t>
      </w:r>
      <w:r w:rsidR="003D640C">
        <w:t xml:space="preserve"> </w:t>
      </w:r>
      <w:r w:rsidR="00555D24" w:rsidRPr="00BB6220">
        <w:t>them</w:t>
      </w:r>
      <w:r w:rsidR="006F6FF3">
        <w:t>.</w:t>
      </w:r>
      <w:r w:rsidR="00613B69">
        <w:rPr>
          <w:rStyle w:val="FootnoteReference"/>
          <w:rFonts w:ascii="Calibri" w:eastAsia="Calibri" w:hAnsi="Calibri" w:cs="Calibri"/>
          <w:color w:val="000000" w:themeColor="text1"/>
        </w:rPr>
        <w:footnoteReference w:id="76"/>
      </w:r>
      <w:r w:rsidR="003D640C">
        <w:t xml:space="preserve"> </w:t>
      </w:r>
      <w:r w:rsidR="00555D24" w:rsidRPr="00BB6220">
        <w:t>Instead,</w:t>
      </w:r>
      <w:r w:rsidR="003D640C">
        <w:t xml:space="preserve"> </w:t>
      </w:r>
      <w:r w:rsidR="00555D24" w:rsidRPr="00BB6220">
        <w:t>Catholic</w:t>
      </w:r>
      <w:r w:rsidR="003D640C">
        <w:t xml:space="preserve"> </w:t>
      </w:r>
      <w:r w:rsidR="00555D24" w:rsidRPr="00BB6220">
        <w:t>leaders</w:t>
      </w:r>
      <w:r w:rsidR="003D640C">
        <w:t xml:space="preserve"> </w:t>
      </w:r>
      <w:r w:rsidR="00555D24" w:rsidRPr="00BB6220">
        <w:t>recommend</w:t>
      </w:r>
      <w:r w:rsidR="003D640C">
        <w:t xml:space="preserve"> </w:t>
      </w:r>
      <w:r w:rsidR="00555D24" w:rsidRPr="00BB6220">
        <w:t>c</w:t>
      </w:r>
      <w:r w:rsidRPr="00BB6220">
        <w:t>elibacy</w:t>
      </w:r>
      <w:r w:rsidR="003D640C">
        <w:t xml:space="preserve"> </w:t>
      </w:r>
      <w:r w:rsidR="00555D24" w:rsidRPr="00BB6220">
        <w:t>as</w:t>
      </w:r>
      <w:r w:rsidR="003D640C">
        <w:t xml:space="preserve"> </w:t>
      </w:r>
      <w:r w:rsidR="00555D24" w:rsidRPr="00BB6220">
        <w:t>the</w:t>
      </w:r>
      <w:r w:rsidR="003D640C">
        <w:t xml:space="preserve"> </w:t>
      </w:r>
      <w:r w:rsidR="00555D24" w:rsidRPr="00BB6220">
        <w:t>path</w:t>
      </w:r>
      <w:r w:rsidR="003D640C">
        <w:t xml:space="preserve"> </w:t>
      </w:r>
      <w:r w:rsidR="00052B40">
        <w:t>for</w:t>
      </w:r>
      <w:r w:rsidR="003D640C">
        <w:t xml:space="preserve"> </w:t>
      </w:r>
      <w:r w:rsidRPr="00BB6220">
        <w:t>those</w:t>
      </w:r>
      <w:r w:rsidR="003D640C">
        <w:t xml:space="preserve"> </w:t>
      </w:r>
      <w:r w:rsidRPr="00BB6220">
        <w:t>with</w:t>
      </w:r>
      <w:r w:rsidR="003D640C">
        <w:t xml:space="preserve"> </w:t>
      </w:r>
      <w:r w:rsidRPr="00BB6220">
        <w:t>diverse</w:t>
      </w:r>
      <w:r w:rsidR="003D640C">
        <w:t xml:space="preserve"> </w:t>
      </w:r>
      <w:r w:rsidRPr="00BB6220">
        <w:t>sexualities</w:t>
      </w:r>
      <w:r w:rsidR="005834C9" w:rsidRPr="00BB6220">
        <w:t>.</w:t>
      </w:r>
      <w:r w:rsidR="003D640C">
        <w:t xml:space="preserve"> </w:t>
      </w:r>
      <w:r w:rsidR="005A1AD5" w:rsidRPr="00BB6220">
        <w:t>This</w:t>
      </w:r>
      <w:r w:rsidR="003D640C">
        <w:t xml:space="preserve"> </w:t>
      </w:r>
      <w:r w:rsidR="005A1AD5" w:rsidRPr="00BB6220">
        <w:t>is</w:t>
      </w:r>
      <w:r w:rsidR="003D640C">
        <w:t xml:space="preserve"> </w:t>
      </w:r>
      <w:r w:rsidR="00555D24" w:rsidRPr="00BB6220">
        <w:t>still,</w:t>
      </w:r>
      <w:r w:rsidR="003D640C">
        <w:t xml:space="preserve"> </w:t>
      </w:r>
      <w:r w:rsidR="00555D24" w:rsidRPr="00BB6220">
        <w:t>however,</w:t>
      </w:r>
      <w:r w:rsidR="003D640C">
        <w:t xml:space="preserve"> </w:t>
      </w:r>
      <w:r w:rsidR="005A1AD5" w:rsidRPr="00BB6220">
        <w:t>a</w:t>
      </w:r>
      <w:r w:rsidR="003D640C">
        <w:t xml:space="preserve"> </w:t>
      </w:r>
      <w:r w:rsidR="005A1AD5" w:rsidRPr="00BB6220">
        <w:t>form</w:t>
      </w:r>
      <w:r w:rsidR="003D640C">
        <w:t xml:space="preserve"> </w:t>
      </w:r>
      <w:r w:rsidR="005A1AD5" w:rsidRPr="00BB6220">
        <w:t>of</w:t>
      </w:r>
      <w:r w:rsidR="003D640C">
        <w:t xml:space="preserve"> </w:t>
      </w:r>
      <w:r w:rsidR="005A1AD5" w:rsidRPr="00BB6220">
        <w:t>suppression</w:t>
      </w:r>
      <w:r w:rsidR="003D640C">
        <w:t xml:space="preserve"> </w:t>
      </w:r>
      <w:r w:rsidR="00016D7B" w:rsidRPr="00BB6220">
        <w:t>of</w:t>
      </w:r>
      <w:r w:rsidR="003D640C">
        <w:t xml:space="preserve"> </w:t>
      </w:r>
      <w:r w:rsidR="00555D24" w:rsidRPr="00BB6220">
        <w:t>Rainbow</w:t>
      </w:r>
      <w:r w:rsidR="003D640C">
        <w:t xml:space="preserve"> </w:t>
      </w:r>
      <w:r w:rsidR="00F14B8C" w:rsidRPr="00BB6220">
        <w:t>people</w:t>
      </w:r>
      <w:r w:rsidR="003D640C">
        <w:t xml:space="preserve"> </w:t>
      </w:r>
      <w:r w:rsidR="00F14B8C" w:rsidRPr="00BB6220">
        <w:t>and</w:t>
      </w:r>
      <w:r w:rsidR="003D640C">
        <w:t xml:space="preserve"> </w:t>
      </w:r>
      <w:r w:rsidR="00F14B8C" w:rsidRPr="00BB6220">
        <w:t>may</w:t>
      </w:r>
      <w:r w:rsidR="00902246">
        <w:t>,</w:t>
      </w:r>
      <w:r w:rsidR="003D640C">
        <w:t xml:space="preserve"> </w:t>
      </w:r>
      <w:r w:rsidR="00902246">
        <w:t>in</w:t>
      </w:r>
      <w:r w:rsidR="003D640C">
        <w:t xml:space="preserve"> </w:t>
      </w:r>
      <w:r w:rsidR="00902246">
        <w:t>some</w:t>
      </w:r>
      <w:r w:rsidR="003D640C">
        <w:t xml:space="preserve"> </w:t>
      </w:r>
      <w:r w:rsidR="00902246">
        <w:t>cases,</w:t>
      </w:r>
      <w:r w:rsidR="003D640C">
        <w:t xml:space="preserve"> </w:t>
      </w:r>
      <w:r w:rsidR="00902246">
        <w:t>constitute</w:t>
      </w:r>
      <w:r w:rsidR="003D640C">
        <w:t xml:space="preserve"> </w:t>
      </w:r>
      <w:r w:rsidR="00F14B8C" w:rsidRPr="00BB6220">
        <w:t>a</w:t>
      </w:r>
      <w:r w:rsidR="003D640C">
        <w:t xml:space="preserve"> </w:t>
      </w:r>
      <w:r w:rsidR="00F14B8C" w:rsidRPr="00BB6220">
        <w:t>conversion</w:t>
      </w:r>
      <w:r w:rsidR="003D640C">
        <w:t xml:space="preserve"> </w:t>
      </w:r>
      <w:r w:rsidR="00F14B8C" w:rsidRPr="00BB6220">
        <w:t>practice.</w:t>
      </w:r>
      <w:r w:rsidR="003D640C">
        <w:t xml:space="preserve"> </w:t>
      </w:r>
      <w:r w:rsidR="005834C9" w:rsidRPr="00BB6220">
        <w:t>Conversion</w:t>
      </w:r>
      <w:r w:rsidR="003D640C">
        <w:t xml:space="preserve"> </w:t>
      </w:r>
      <w:r w:rsidR="005834C9" w:rsidRPr="00BB6220">
        <w:t>practices</w:t>
      </w:r>
      <w:r w:rsidR="003D640C">
        <w:t xml:space="preserve"> </w:t>
      </w:r>
      <w:r w:rsidR="00555D24" w:rsidRPr="00BB6220">
        <w:t>are</w:t>
      </w:r>
      <w:r w:rsidR="003D640C">
        <w:t xml:space="preserve"> </w:t>
      </w:r>
      <w:r w:rsidR="00555D24" w:rsidRPr="00BB6220">
        <w:t>generally</w:t>
      </w:r>
      <w:r w:rsidR="003D640C">
        <w:t xml:space="preserve"> </w:t>
      </w:r>
      <w:r w:rsidR="00293455" w:rsidRPr="00BB6220">
        <w:t>more</w:t>
      </w:r>
      <w:r w:rsidR="003D640C">
        <w:t xml:space="preserve"> </w:t>
      </w:r>
      <w:r w:rsidR="00293455" w:rsidRPr="00BB6220">
        <w:t>commonly</w:t>
      </w:r>
      <w:r w:rsidR="003D640C">
        <w:t xml:space="preserve"> </w:t>
      </w:r>
      <w:r w:rsidR="00293455" w:rsidRPr="00BB6220">
        <w:t>found</w:t>
      </w:r>
      <w:r w:rsidR="003D640C">
        <w:t xml:space="preserve"> </w:t>
      </w:r>
      <w:r w:rsidR="00293455" w:rsidRPr="00BB6220">
        <w:t>in</w:t>
      </w:r>
      <w:r w:rsidR="003D640C">
        <w:t xml:space="preserve"> </w:t>
      </w:r>
      <w:r w:rsidRPr="00BB6220">
        <w:t>Protestant</w:t>
      </w:r>
      <w:r w:rsidR="003D640C">
        <w:t xml:space="preserve"> </w:t>
      </w:r>
      <w:r w:rsidR="000512C3">
        <w:t>Christian</w:t>
      </w:r>
      <w:r w:rsidR="003D640C">
        <w:t xml:space="preserve"> </w:t>
      </w:r>
      <w:r w:rsidR="00FF78DE" w:rsidRPr="00BB6220">
        <w:t>settings</w:t>
      </w:r>
      <w:r w:rsidR="003D640C">
        <w:t xml:space="preserve"> </w:t>
      </w:r>
      <w:r w:rsidR="00555D24" w:rsidRPr="00BB6220">
        <w:t>such</w:t>
      </w:r>
      <w:r w:rsidR="003D640C">
        <w:t xml:space="preserve"> </w:t>
      </w:r>
      <w:r w:rsidR="00555D24" w:rsidRPr="00BB6220">
        <w:t>as</w:t>
      </w:r>
      <w:r w:rsidR="003D640C">
        <w:t xml:space="preserve"> </w:t>
      </w:r>
      <w:r w:rsidRPr="00BB6220">
        <w:t>Methodist</w:t>
      </w:r>
      <w:r w:rsidR="003D640C">
        <w:t xml:space="preserve"> </w:t>
      </w:r>
      <w:r w:rsidRPr="00BB6220">
        <w:t>traditions.</w:t>
      </w:r>
      <w:r w:rsidRPr="00BB6220">
        <w:rPr>
          <w:rStyle w:val="FootnoteReference"/>
          <w:rFonts w:ascii="Calibri" w:eastAsia="Calibri" w:hAnsi="Calibri" w:cs="Calibri"/>
          <w:color w:val="000000" w:themeColor="text1"/>
        </w:rPr>
        <w:footnoteReference w:id="77"/>
      </w:r>
    </w:p>
    <w:p w14:paraId="3E37AAEA" w14:textId="0EC3AEF1" w:rsidR="00555D24" w:rsidRPr="00BB6220" w:rsidRDefault="00555D24" w:rsidP="00FA0175">
      <w:pPr>
        <w:pStyle w:val="Quote"/>
      </w:pPr>
      <w:r w:rsidRPr="00BB6220">
        <w:t>“I</w:t>
      </w:r>
      <w:r w:rsidR="003D640C">
        <w:t xml:space="preserve"> </w:t>
      </w:r>
      <w:r w:rsidRPr="00BB6220">
        <w:t>see</w:t>
      </w:r>
      <w:r w:rsidR="003D640C">
        <w:t xml:space="preserve"> </w:t>
      </w:r>
      <w:r w:rsidRPr="00BB6220">
        <w:t>just</w:t>
      </w:r>
      <w:r w:rsidR="003D640C">
        <w:t xml:space="preserve"> </w:t>
      </w:r>
      <w:r w:rsidRPr="00BB6220">
        <w:t>a</w:t>
      </w:r>
      <w:r w:rsidR="003D640C">
        <w:t xml:space="preserve"> </w:t>
      </w:r>
      <w:r w:rsidRPr="00BB6220">
        <w:t>trail</w:t>
      </w:r>
      <w:r w:rsidR="003D640C">
        <w:t xml:space="preserve"> </w:t>
      </w:r>
      <w:r w:rsidRPr="00BB6220">
        <w:t>of</w:t>
      </w:r>
      <w:r w:rsidR="003D640C">
        <w:t xml:space="preserve"> </w:t>
      </w:r>
      <w:r w:rsidRPr="00BB6220">
        <w:t>wreckage</w:t>
      </w:r>
      <w:r w:rsidR="003D640C">
        <w:t xml:space="preserve"> </w:t>
      </w:r>
      <w:r w:rsidRPr="00BB6220">
        <w:t>and</w:t>
      </w:r>
      <w:r w:rsidR="003D640C">
        <w:t xml:space="preserve"> </w:t>
      </w:r>
      <w:r w:rsidRPr="00BB6220">
        <w:t>broken</w:t>
      </w:r>
      <w:r w:rsidR="003D640C">
        <w:t xml:space="preserve"> </w:t>
      </w:r>
      <w:r w:rsidRPr="00BB6220">
        <w:t>lives</w:t>
      </w:r>
      <w:r w:rsidR="003D640C">
        <w:t xml:space="preserve"> </w:t>
      </w:r>
      <w:r w:rsidRPr="00BB6220">
        <w:t>as</w:t>
      </w:r>
      <w:r w:rsidR="003D640C">
        <w:t xml:space="preserve"> </w:t>
      </w:r>
      <w:r w:rsidRPr="00BB6220">
        <w:t>a</w:t>
      </w:r>
      <w:r w:rsidR="003D640C">
        <w:t xml:space="preserve"> </w:t>
      </w:r>
      <w:r w:rsidRPr="00BB6220">
        <w:t>result</w:t>
      </w:r>
      <w:r w:rsidR="003D640C">
        <w:t xml:space="preserve"> </w:t>
      </w:r>
      <w:r w:rsidRPr="00BB6220">
        <w:t>of</w:t>
      </w:r>
      <w:r w:rsidR="003D640C">
        <w:t xml:space="preserve"> </w:t>
      </w:r>
      <w:r w:rsidRPr="00BB6220">
        <w:t>the</w:t>
      </w:r>
      <w:r w:rsidR="003D640C">
        <w:t xml:space="preserve"> </w:t>
      </w:r>
      <w:r w:rsidRPr="00BB6220">
        <w:t>church’s</w:t>
      </w:r>
      <w:r w:rsidR="003D640C">
        <w:t xml:space="preserve"> </w:t>
      </w:r>
      <w:r w:rsidRPr="00BB6220">
        <w:t>attempts</w:t>
      </w:r>
      <w:r w:rsidR="003D640C">
        <w:t xml:space="preserve"> </w:t>
      </w:r>
      <w:r w:rsidRPr="00BB6220">
        <w:t>to</w:t>
      </w:r>
      <w:r w:rsidR="003D640C">
        <w:t xml:space="preserve"> </w:t>
      </w:r>
      <w:r w:rsidRPr="00BB6220">
        <w:t>suppress</w:t>
      </w:r>
      <w:r w:rsidR="003D640C">
        <w:t xml:space="preserve"> </w:t>
      </w:r>
      <w:r w:rsidRPr="00BB6220">
        <w:t>or</w:t>
      </w:r>
      <w:r w:rsidR="003D640C">
        <w:t xml:space="preserve"> </w:t>
      </w:r>
      <w:r w:rsidRPr="00BB6220">
        <w:t>change</w:t>
      </w:r>
      <w:r w:rsidR="003D640C">
        <w:t xml:space="preserve"> </w:t>
      </w:r>
      <w:r w:rsidRPr="00BB6220">
        <w:t>peoples’</w:t>
      </w:r>
      <w:r w:rsidR="003D640C">
        <w:t xml:space="preserve"> </w:t>
      </w:r>
      <w:r w:rsidRPr="00BB6220">
        <w:t>sexual</w:t>
      </w:r>
      <w:r w:rsidR="003D640C">
        <w:t xml:space="preserve"> </w:t>
      </w:r>
      <w:r w:rsidRPr="00BB6220">
        <w:t>orientation.”</w:t>
      </w:r>
      <w:r w:rsidR="003D640C">
        <w:t xml:space="preserve"> </w:t>
      </w:r>
      <w:r w:rsidRPr="00BB6220">
        <w:t>Pākehā,</w:t>
      </w:r>
      <w:r w:rsidR="003D640C">
        <w:t xml:space="preserve"> </w:t>
      </w:r>
      <w:r w:rsidRPr="00BB6220">
        <w:t>male</w:t>
      </w:r>
    </w:p>
    <w:p w14:paraId="25B4D39E" w14:textId="2BF01678" w:rsidR="00EA78F9" w:rsidRPr="00BB6220" w:rsidRDefault="00D05424" w:rsidP="00C2162C">
      <w:pPr>
        <w:rPr>
          <w:color w:val="000000" w:themeColor="text1"/>
          <w:lang w:val="en-US"/>
        </w:rPr>
      </w:pPr>
      <w:r w:rsidRPr="00BB6220">
        <w:t>Although</w:t>
      </w:r>
      <w:r w:rsidR="003D640C">
        <w:t xml:space="preserve"> </w:t>
      </w:r>
      <w:r w:rsidR="00B14125" w:rsidRPr="00BB6220">
        <w:t>evidence</w:t>
      </w:r>
      <w:r w:rsidR="003D640C">
        <w:t xml:space="preserve"> </w:t>
      </w:r>
      <w:r w:rsidRPr="00BB6220">
        <w:t>about</w:t>
      </w:r>
      <w:r w:rsidR="003D640C">
        <w:t xml:space="preserve"> </w:t>
      </w:r>
      <w:r w:rsidRPr="00BB6220">
        <w:t>the</w:t>
      </w:r>
      <w:r w:rsidR="003D640C">
        <w:t xml:space="preserve"> </w:t>
      </w:r>
      <w:r w:rsidRPr="00BB6220">
        <w:t>prevalence</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in</w:t>
      </w:r>
      <w:r w:rsidR="003D640C">
        <w:t xml:space="preserve"> </w:t>
      </w:r>
      <w:r w:rsidRPr="00BB6220">
        <w:t>other</w:t>
      </w:r>
      <w:r w:rsidR="003D640C">
        <w:t xml:space="preserve"> </w:t>
      </w:r>
      <w:r w:rsidRPr="00BB6220">
        <w:t>spiritual</w:t>
      </w:r>
      <w:r w:rsidR="003D640C">
        <w:t xml:space="preserve"> </w:t>
      </w:r>
      <w:r w:rsidRPr="00BB6220">
        <w:t>or</w:t>
      </w:r>
      <w:r w:rsidR="003D640C">
        <w:t xml:space="preserve"> </w:t>
      </w:r>
      <w:r w:rsidRPr="00BB6220">
        <w:t>faith</w:t>
      </w:r>
      <w:r w:rsidR="003D640C">
        <w:t xml:space="preserve"> </w:t>
      </w:r>
      <w:r w:rsidRPr="00BB6220">
        <w:t>communities</w:t>
      </w:r>
      <w:r w:rsidR="003D640C">
        <w:t xml:space="preserve"> </w:t>
      </w:r>
      <w:r w:rsidRPr="00BB6220">
        <w:t>in</w:t>
      </w:r>
      <w:r w:rsidR="003D640C">
        <w:t xml:space="preserve"> </w:t>
      </w:r>
      <w:r w:rsidRPr="00BB6220">
        <w:t>Aotearoa</w:t>
      </w:r>
      <w:r w:rsidR="003D640C">
        <w:t xml:space="preserve"> </w:t>
      </w:r>
      <w:r w:rsidRPr="00BB6220">
        <w:t>is</w:t>
      </w:r>
      <w:r w:rsidR="003D640C">
        <w:t xml:space="preserve"> </w:t>
      </w:r>
      <w:r w:rsidRPr="00BB6220">
        <w:t>lacking,</w:t>
      </w:r>
      <w:r w:rsidR="003D640C">
        <w:t xml:space="preserve"> </w:t>
      </w:r>
      <w:r w:rsidRPr="00BB6220">
        <w:t>international</w:t>
      </w:r>
      <w:r w:rsidR="003D640C">
        <w:t xml:space="preserve"> </w:t>
      </w:r>
      <w:r w:rsidRPr="00BB6220">
        <w:t>evidence</w:t>
      </w:r>
      <w:r w:rsidR="003D640C">
        <w:t xml:space="preserve"> </w:t>
      </w:r>
      <w:r w:rsidRPr="00BB6220">
        <w:t>cites</w:t>
      </w:r>
      <w:r w:rsidR="003D640C">
        <w:t xml:space="preserve"> </w:t>
      </w:r>
      <w:r w:rsidRPr="00BB6220">
        <w:t>these</w:t>
      </w:r>
      <w:r w:rsidR="003D640C">
        <w:t xml:space="preserve"> </w:t>
      </w:r>
      <w:r w:rsidRPr="00BB6220">
        <w:t>practices</w:t>
      </w:r>
      <w:r w:rsidR="003D640C">
        <w:t xml:space="preserve"> </w:t>
      </w:r>
      <w:r w:rsidRPr="00BB6220">
        <w:t>occurring</w:t>
      </w:r>
      <w:r w:rsidR="003D640C">
        <w:t xml:space="preserve"> </w:t>
      </w:r>
      <w:r w:rsidRPr="00BB6220">
        <w:t>in</w:t>
      </w:r>
      <w:r w:rsidR="003D640C">
        <w:t xml:space="preserve"> </w:t>
      </w:r>
      <w:r w:rsidRPr="00BB6220">
        <w:t>Mormon,</w:t>
      </w:r>
      <w:r w:rsidR="003D640C">
        <w:t xml:space="preserve"> </w:t>
      </w:r>
      <w:r w:rsidRPr="00BB6220">
        <w:t>conservative</w:t>
      </w:r>
      <w:r w:rsidR="003D640C">
        <w:t xml:space="preserve"> </w:t>
      </w:r>
      <w:r w:rsidRPr="00BB6220">
        <w:t>Jewish,</w:t>
      </w:r>
      <w:r w:rsidR="003D640C">
        <w:t xml:space="preserve"> </w:t>
      </w:r>
      <w:r w:rsidRPr="00BB6220">
        <w:t>Hindu,</w:t>
      </w:r>
      <w:r w:rsidR="003D640C">
        <w:t xml:space="preserve"> </w:t>
      </w:r>
      <w:r w:rsidRPr="00BB6220">
        <w:t>Buddhist</w:t>
      </w:r>
      <w:r w:rsidR="315AC7D3" w:rsidRPr="00BB6220">
        <w:t>,</w:t>
      </w:r>
      <w:r w:rsidR="003D640C">
        <w:t xml:space="preserve"> </w:t>
      </w:r>
      <w:r w:rsidRPr="00BB6220">
        <w:t>and</w:t>
      </w:r>
      <w:r w:rsidR="003D640C">
        <w:t xml:space="preserve"> </w:t>
      </w:r>
      <w:r w:rsidRPr="00BB6220">
        <w:t>Muslim</w:t>
      </w:r>
      <w:r w:rsidR="003D640C">
        <w:t xml:space="preserve"> </w:t>
      </w:r>
      <w:r w:rsidRPr="00BB6220">
        <w:t>communities.</w:t>
      </w:r>
      <w:r w:rsidRPr="00BB6220">
        <w:rPr>
          <w:rStyle w:val="FootnoteReference"/>
          <w:rFonts w:ascii="Calibri" w:eastAsia="Calibri" w:hAnsi="Calibri" w:cs="Calibri"/>
        </w:rPr>
        <w:footnoteReference w:id="78"/>
      </w:r>
    </w:p>
    <w:p w14:paraId="19E44445" w14:textId="7540F235" w:rsidR="00D05424" w:rsidRPr="00BB6220" w:rsidRDefault="00D05424" w:rsidP="00C2162C">
      <w:r w:rsidRPr="00BB6220">
        <w:t>In</w:t>
      </w:r>
      <w:r w:rsidR="003D640C">
        <w:t xml:space="preserve"> </w:t>
      </w:r>
      <w:r w:rsidRPr="00BB6220">
        <w:t>Aotearoa,</w:t>
      </w:r>
      <w:r w:rsidR="003D640C">
        <w:t xml:space="preserve"> </w:t>
      </w:r>
      <w:r w:rsidRPr="00BB6220">
        <w:t>conversion</w:t>
      </w:r>
      <w:r w:rsidR="003D640C">
        <w:t xml:space="preserve"> </w:t>
      </w:r>
      <w:r w:rsidRPr="00BB6220">
        <w:t>practices</w:t>
      </w:r>
      <w:r w:rsidR="003D640C">
        <w:t xml:space="preserve"> </w:t>
      </w:r>
      <w:r w:rsidRPr="00BB6220">
        <w:t>in</w:t>
      </w:r>
      <w:r w:rsidR="003D640C">
        <w:t xml:space="preserve"> </w:t>
      </w:r>
      <w:r w:rsidRPr="00BB6220">
        <w:t>faith</w:t>
      </w:r>
      <w:r w:rsidR="003D640C">
        <w:t xml:space="preserve"> </w:t>
      </w:r>
      <w:r w:rsidRPr="00BB6220">
        <w:t>settings</w:t>
      </w:r>
      <w:r w:rsidR="003D640C">
        <w:t xml:space="preserve"> </w:t>
      </w:r>
      <w:r w:rsidRPr="00BB6220">
        <w:t>take</w:t>
      </w:r>
      <w:r w:rsidR="003D640C">
        <w:t xml:space="preserve"> </w:t>
      </w:r>
      <w:r w:rsidRPr="00BB6220">
        <w:t>a</w:t>
      </w:r>
      <w:r w:rsidR="003D640C">
        <w:t xml:space="preserve"> </w:t>
      </w:r>
      <w:r w:rsidRPr="00BB6220">
        <w:t>variety</w:t>
      </w:r>
      <w:r w:rsidR="003D640C">
        <w:t xml:space="preserve"> </w:t>
      </w:r>
      <w:r w:rsidRPr="00BB6220">
        <w:t>of</w:t>
      </w:r>
      <w:r w:rsidR="003D640C">
        <w:t xml:space="preserve"> </w:t>
      </w:r>
      <w:r w:rsidRPr="00BB6220">
        <w:t>forms.</w:t>
      </w:r>
      <w:r w:rsidR="003D640C">
        <w:t xml:space="preserve"> </w:t>
      </w:r>
      <w:r w:rsidRPr="00BB6220">
        <w:t>In</w:t>
      </w:r>
      <w:r w:rsidR="003D640C">
        <w:t xml:space="preserve"> </w:t>
      </w:r>
      <w:r w:rsidRPr="00BB6220">
        <w:t>some</w:t>
      </w:r>
      <w:r w:rsidR="003D640C">
        <w:t xml:space="preserve"> </w:t>
      </w:r>
      <w:r w:rsidRPr="00BB6220">
        <w:t>communities,</w:t>
      </w:r>
      <w:r w:rsidR="003D640C">
        <w:t xml:space="preserve"> </w:t>
      </w:r>
      <w:r w:rsidRPr="00BB6220">
        <w:t>conversion</w:t>
      </w:r>
      <w:r w:rsidR="003D640C">
        <w:t xml:space="preserve"> </w:t>
      </w:r>
      <w:r w:rsidRPr="00BB6220">
        <w:t>practices</w:t>
      </w:r>
      <w:r w:rsidR="003D640C">
        <w:t xml:space="preserve"> </w:t>
      </w:r>
      <w:r w:rsidRPr="00BB6220">
        <w:t>exist</w:t>
      </w:r>
      <w:r w:rsidR="003D640C">
        <w:t xml:space="preserve"> </w:t>
      </w:r>
      <w:r w:rsidRPr="00BB6220">
        <w:t>in</w:t>
      </w:r>
      <w:r w:rsidR="003D640C">
        <w:t xml:space="preserve"> </w:t>
      </w:r>
      <w:r w:rsidRPr="00BB6220">
        <w:t>programmes</w:t>
      </w:r>
      <w:r w:rsidR="003D640C">
        <w:t xml:space="preserve"> </w:t>
      </w:r>
      <w:r w:rsidRPr="00BB6220">
        <w:t>that</w:t>
      </w:r>
      <w:r w:rsidR="003D640C">
        <w:t xml:space="preserve"> </w:t>
      </w:r>
      <w:r w:rsidRPr="00BB6220">
        <w:t>use</w:t>
      </w:r>
      <w:r w:rsidR="003D640C">
        <w:t xml:space="preserve"> </w:t>
      </w:r>
      <w:r w:rsidRPr="00BB6220">
        <w:t>words</w:t>
      </w:r>
      <w:r w:rsidR="003D640C">
        <w:t xml:space="preserve"> </w:t>
      </w:r>
      <w:r w:rsidRPr="00BB6220">
        <w:t>like</w:t>
      </w:r>
      <w:r w:rsidR="003D640C">
        <w:t xml:space="preserve"> </w:t>
      </w:r>
      <w:r w:rsidR="00555D24" w:rsidRPr="00BB6220">
        <w:t>‘</w:t>
      </w:r>
      <w:r w:rsidRPr="00BB6220">
        <w:t>healing</w:t>
      </w:r>
      <w:r w:rsidR="003D640C">
        <w:t xml:space="preserve"> </w:t>
      </w:r>
      <w:r w:rsidRPr="00BB6220">
        <w:t>ministry</w:t>
      </w:r>
      <w:r w:rsidR="002A7B26">
        <w:t>,</w:t>
      </w:r>
      <w:r w:rsidR="00555D24" w:rsidRPr="00BB6220">
        <w:t>’</w:t>
      </w:r>
      <w:r w:rsidR="003D640C">
        <w:t xml:space="preserve"> </w:t>
      </w:r>
      <w:r w:rsidR="00555D24" w:rsidRPr="00BB6220">
        <w:t>‘</w:t>
      </w:r>
      <w:r w:rsidRPr="00BB6220">
        <w:t>recovery</w:t>
      </w:r>
      <w:r w:rsidR="002A7B26">
        <w:t>,</w:t>
      </w:r>
      <w:r w:rsidR="00555D24" w:rsidRPr="00BB6220">
        <w:t>’</w:t>
      </w:r>
      <w:r w:rsidR="003D640C">
        <w:t xml:space="preserve"> </w:t>
      </w:r>
      <w:r w:rsidR="00555D24" w:rsidRPr="00BB6220">
        <w:t>‘</w:t>
      </w:r>
      <w:r w:rsidRPr="00BB6220">
        <w:t>brokenness</w:t>
      </w:r>
      <w:r w:rsidR="002A7B26">
        <w:t>,</w:t>
      </w:r>
      <w:r w:rsidR="00555D24" w:rsidRPr="00BB6220">
        <w:t>’</w:t>
      </w:r>
      <w:r w:rsidR="003D640C">
        <w:t xml:space="preserve"> </w:t>
      </w:r>
      <w:r w:rsidR="00555D24" w:rsidRPr="00BB6220">
        <w:t>‘</w:t>
      </w:r>
      <w:r w:rsidRPr="00BB6220">
        <w:t>reparative</w:t>
      </w:r>
      <w:r w:rsidR="003D640C">
        <w:t xml:space="preserve"> </w:t>
      </w:r>
      <w:r w:rsidRPr="00BB6220">
        <w:t>therapy</w:t>
      </w:r>
      <w:r w:rsidR="002A7B26">
        <w:t>,</w:t>
      </w:r>
      <w:r w:rsidR="00555D24" w:rsidRPr="00BB6220">
        <w:t>’</w:t>
      </w:r>
      <w:r w:rsidR="003D640C">
        <w:t xml:space="preserve"> </w:t>
      </w:r>
      <w:r w:rsidR="00555D24" w:rsidRPr="00BB6220">
        <w:t>‘</w:t>
      </w:r>
      <w:r w:rsidRPr="00BB6220">
        <w:t>purity</w:t>
      </w:r>
      <w:r w:rsidR="002A7B26">
        <w:t>,’</w:t>
      </w:r>
      <w:r w:rsidR="003D640C">
        <w:t xml:space="preserve"> </w:t>
      </w:r>
      <w:r w:rsidRPr="00BB6220">
        <w:t>or</w:t>
      </w:r>
      <w:r w:rsidR="003D640C">
        <w:t xml:space="preserve"> </w:t>
      </w:r>
      <w:r w:rsidR="00555D24" w:rsidRPr="00BB6220">
        <w:t>‘</w:t>
      </w:r>
      <w:r w:rsidRPr="00BB6220">
        <w:t>spiritual</w:t>
      </w:r>
      <w:r w:rsidR="003D640C">
        <w:t xml:space="preserve"> </w:t>
      </w:r>
      <w:r w:rsidRPr="00BB6220">
        <w:t>accountability</w:t>
      </w:r>
      <w:r w:rsidR="002A7B26">
        <w:t>.</w:t>
      </w:r>
      <w:r w:rsidR="00555D24" w:rsidRPr="00BB6220">
        <w:t>’</w:t>
      </w:r>
      <w:r w:rsidR="003D640C">
        <w:t xml:space="preserve"> </w:t>
      </w:r>
      <w:r w:rsidRPr="00BB6220">
        <w:t>These</w:t>
      </w:r>
      <w:r w:rsidR="003D640C">
        <w:t xml:space="preserve"> </w:t>
      </w:r>
      <w:r w:rsidRPr="00BB6220">
        <w:t>programmes</w:t>
      </w:r>
      <w:r w:rsidR="003D640C">
        <w:t xml:space="preserve"> </w:t>
      </w:r>
      <w:r w:rsidRPr="00BB6220">
        <w:t>have</w:t>
      </w:r>
      <w:r w:rsidR="003D640C">
        <w:t xml:space="preserve"> </w:t>
      </w:r>
      <w:r w:rsidRPr="00BB6220">
        <w:t>gained</w:t>
      </w:r>
      <w:r w:rsidR="003D640C">
        <w:t xml:space="preserve"> </w:t>
      </w:r>
      <w:r w:rsidRPr="00BB6220">
        <w:t>traction</w:t>
      </w:r>
      <w:r w:rsidR="003D640C">
        <w:t xml:space="preserve"> </w:t>
      </w:r>
      <w:r w:rsidRPr="00BB6220">
        <w:t>under</w:t>
      </w:r>
      <w:r w:rsidR="003D640C">
        <w:t xml:space="preserve"> </w:t>
      </w:r>
      <w:r w:rsidRPr="00BB6220">
        <w:t>the</w:t>
      </w:r>
      <w:r w:rsidR="003D640C">
        <w:t xml:space="preserve"> </w:t>
      </w:r>
      <w:r w:rsidRPr="00BB6220">
        <w:t>umbrella</w:t>
      </w:r>
      <w:r w:rsidR="003D640C">
        <w:t xml:space="preserve"> </w:t>
      </w:r>
      <w:r w:rsidRPr="00BB6220">
        <w:t>of</w:t>
      </w:r>
      <w:r w:rsidR="003D640C">
        <w:t xml:space="preserve"> </w:t>
      </w:r>
      <w:r w:rsidRPr="00BB6220">
        <w:t>public</w:t>
      </w:r>
      <w:r w:rsidR="003D640C">
        <w:t xml:space="preserve"> </w:t>
      </w:r>
      <w:r w:rsidR="004B71EC" w:rsidRPr="00BB6220">
        <w:t>‘</w:t>
      </w:r>
      <w:r w:rsidRPr="00BB6220">
        <w:t>ex-gay</w:t>
      </w:r>
      <w:r w:rsidR="002A7B26">
        <w:t>,</w:t>
      </w:r>
      <w:r w:rsidR="004B71EC" w:rsidRPr="00BB6220">
        <w:t>’</w:t>
      </w:r>
      <w:r w:rsidR="003D640C">
        <w:t xml:space="preserve"> </w:t>
      </w:r>
      <w:r w:rsidR="004B71EC" w:rsidRPr="00BB6220">
        <w:t>‘</w:t>
      </w:r>
      <w:r w:rsidRPr="00BB6220">
        <w:t>ex-trans</w:t>
      </w:r>
      <w:r w:rsidR="002A7B26">
        <w:t>,</w:t>
      </w:r>
      <w:r w:rsidR="004B71EC" w:rsidRPr="00BB6220">
        <w:t>’</w:t>
      </w:r>
      <w:r w:rsidR="003D640C">
        <w:t xml:space="preserve"> </w:t>
      </w:r>
      <w:r w:rsidRPr="00BB6220">
        <w:t>and</w:t>
      </w:r>
      <w:r w:rsidR="003D640C">
        <w:t xml:space="preserve"> </w:t>
      </w:r>
      <w:r w:rsidR="00EC7376" w:rsidRPr="00BB6220">
        <w:t>‘detransition’</w:t>
      </w:r>
      <w:r w:rsidR="003D640C">
        <w:t xml:space="preserve"> </w:t>
      </w:r>
      <w:r w:rsidRPr="00BB6220">
        <w:t>movements</w:t>
      </w:r>
      <w:r w:rsidR="003D640C">
        <w:t xml:space="preserve"> </w:t>
      </w:r>
      <w:r w:rsidR="00555D24" w:rsidRPr="00BB6220">
        <w:t>that</w:t>
      </w:r>
      <w:r w:rsidR="003D640C">
        <w:t xml:space="preserve"> </w:t>
      </w:r>
      <w:r w:rsidR="00523B47" w:rsidRPr="00BB6220">
        <w:t>mostly</w:t>
      </w:r>
      <w:r w:rsidR="003D640C">
        <w:t xml:space="preserve"> </w:t>
      </w:r>
      <w:r w:rsidRPr="00BB6220">
        <w:t>originat</w:t>
      </w:r>
      <w:r w:rsidR="00555D24" w:rsidRPr="00BB6220">
        <w:t>e</w:t>
      </w:r>
      <w:r w:rsidR="003D640C">
        <w:t xml:space="preserve"> </w:t>
      </w:r>
      <w:r w:rsidRPr="00BB6220">
        <w:t>in</w:t>
      </w:r>
      <w:r w:rsidR="003D640C">
        <w:t xml:space="preserve"> </w:t>
      </w:r>
      <w:r w:rsidRPr="00BB6220">
        <w:t>the</w:t>
      </w:r>
      <w:r w:rsidR="003D640C">
        <w:t xml:space="preserve"> </w:t>
      </w:r>
      <w:r w:rsidRPr="00BB6220">
        <w:t>United</w:t>
      </w:r>
      <w:r w:rsidR="003D640C">
        <w:t xml:space="preserve"> </w:t>
      </w:r>
      <w:r w:rsidRPr="00BB6220">
        <w:t>States.</w:t>
      </w:r>
    </w:p>
    <w:p w14:paraId="651BD9E4" w14:textId="2A59041F" w:rsidR="00D05424" w:rsidRPr="00BB6220" w:rsidRDefault="00D05424" w:rsidP="00C2162C">
      <w:r w:rsidRPr="00BB6220">
        <w:t>In</w:t>
      </w:r>
      <w:r w:rsidR="003D640C">
        <w:t xml:space="preserve"> </w:t>
      </w:r>
      <w:r w:rsidRPr="00BB6220">
        <w:t>2018,</w:t>
      </w:r>
      <w:r w:rsidR="003D640C">
        <w:t xml:space="preserve"> </w:t>
      </w:r>
      <w:r w:rsidR="00401DEA">
        <w:t>a</w:t>
      </w:r>
      <w:r w:rsidR="003D640C">
        <w:t xml:space="preserve"> </w:t>
      </w:r>
      <w:r w:rsidR="00401DEA">
        <w:t>study</w:t>
      </w:r>
      <w:r w:rsidR="003D640C">
        <w:t xml:space="preserve"> </w:t>
      </w:r>
      <w:r w:rsidR="00401DEA">
        <w:t>undertaken</w:t>
      </w:r>
      <w:r w:rsidR="003D640C">
        <w:t xml:space="preserve"> </w:t>
      </w:r>
      <w:r w:rsidR="00401DEA">
        <w:t>by</w:t>
      </w:r>
      <w:r w:rsidR="003D640C">
        <w:t xml:space="preserve"> </w:t>
      </w:r>
      <w:r w:rsidR="00401DEA">
        <w:t>academics</w:t>
      </w:r>
      <w:r w:rsidR="003D640C">
        <w:t xml:space="preserve"> </w:t>
      </w:r>
      <w:r w:rsidR="00401DEA">
        <w:t>at</w:t>
      </w:r>
      <w:r w:rsidR="003D640C">
        <w:t xml:space="preserve"> </w:t>
      </w:r>
      <w:r w:rsidRPr="00BB6220">
        <w:t>La</w:t>
      </w:r>
      <w:r w:rsidR="003D640C">
        <w:t xml:space="preserve"> </w:t>
      </w:r>
      <w:r w:rsidRPr="00BB6220">
        <w:t>Trobe</w:t>
      </w:r>
      <w:r w:rsidR="003D640C">
        <w:t xml:space="preserve"> </w:t>
      </w:r>
      <w:r w:rsidRPr="00BB6220">
        <w:t>University</w:t>
      </w:r>
      <w:r w:rsidR="003D640C">
        <w:t xml:space="preserve"> </w:t>
      </w:r>
      <w:r w:rsidR="00555D24" w:rsidRPr="00BB6220">
        <w:t>in</w:t>
      </w:r>
      <w:r w:rsidR="003D640C">
        <w:t xml:space="preserve"> </w:t>
      </w:r>
      <w:r w:rsidR="00555D24" w:rsidRPr="00BB6220">
        <w:t>Australia</w:t>
      </w:r>
      <w:r w:rsidR="003D640C">
        <w:t xml:space="preserve"> </w:t>
      </w:r>
      <w:r w:rsidRPr="00BB6220">
        <w:t>reported</w:t>
      </w:r>
      <w:r w:rsidR="003D640C">
        <w:t xml:space="preserve"> </w:t>
      </w:r>
      <w:r w:rsidRPr="00BB6220">
        <w:t>there</w:t>
      </w:r>
      <w:r w:rsidR="003D640C">
        <w:t xml:space="preserve"> </w:t>
      </w:r>
      <w:r w:rsidRPr="00BB6220">
        <w:t>were</w:t>
      </w:r>
      <w:r w:rsidR="003D640C">
        <w:t xml:space="preserve"> </w:t>
      </w:r>
      <w:r w:rsidRPr="00BB6220">
        <w:t>at</w:t>
      </w:r>
      <w:r w:rsidR="003D640C">
        <w:t xml:space="preserve"> </w:t>
      </w:r>
      <w:r w:rsidRPr="00BB6220">
        <w:t>least</w:t>
      </w:r>
      <w:r w:rsidR="003D640C">
        <w:t xml:space="preserve"> </w:t>
      </w:r>
      <w:r w:rsidR="009A6E14">
        <w:t>10</w:t>
      </w:r>
      <w:r w:rsidR="003D640C">
        <w:t xml:space="preserve"> </w:t>
      </w:r>
      <w:r w:rsidRPr="00BB6220">
        <w:t>organisations</w:t>
      </w:r>
      <w:r w:rsidR="003D640C">
        <w:t xml:space="preserve"> </w:t>
      </w:r>
      <w:r w:rsidRPr="00BB6220">
        <w:t>publicly</w:t>
      </w:r>
      <w:r w:rsidR="003D640C">
        <w:t xml:space="preserve"> </w:t>
      </w:r>
      <w:r w:rsidRPr="00BB6220">
        <w:t>advertising</w:t>
      </w:r>
      <w:r w:rsidR="003D640C">
        <w:t xml:space="preserve"> </w:t>
      </w:r>
      <w:r w:rsidRPr="00BB6220">
        <w:t>the</w:t>
      </w:r>
      <w:r w:rsidR="003D640C">
        <w:t xml:space="preserve"> </w:t>
      </w:r>
      <w:r w:rsidRPr="00BB6220">
        <w:t>provision</w:t>
      </w:r>
      <w:r w:rsidR="003D640C">
        <w:t xml:space="preserve"> </w:t>
      </w:r>
      <w:r w:rsidRPr="00BB6220">
        <w:t>of</w:t>
      </w:r>
      <w:r w:rsidR="003D640C">
        <w:t xml:space="preserve"> </w:t>
      </w:r>
      <w:r w:rsidRPr="00BB6220">
        <w:t>ex-gay</w:t>
      </w:r>
      <w:r w:rsidR="003D640C">
        <w:t xml:space="preserve"> </w:t>
      </w:r>
      <w:r w:rsidRPr="00BB6220">
        <w:t>and</w:t>
      </w:r>
      <w:r w:rsidR="003D640C">
        <w:t xml:space="preserve"> </w:t>
      </w:r>
      <w:r w:rsidRPr="00BB6220">
        <w:t>ex-trans</w:t>
      </w:r>
      <w:r w:rsidR="003D640C">
        <w:t xml:space="preserve"> </w:t>
      </w:r>
      <w:r w:rsidRPr="00BB6220">
        <w:t>therapies</w:t>
      </w:r>
      <w:r w:rsidR="003D640C">
        <w:t xml:space="preserve"> </w:t>
      </w:r>
      <w:r w:rsidRPr="00BB6220">
        <w:t>in</w:t>
      </w:r>
      <w:r w:rsidR="003D640C">
        <w:t xml:space="preserve"> </w:t>
      </w:r>
      <w:r w:rsidRPr="00BB6220">
        <w:t>Australia</w:t>
      </w:r>
      <w:r w:rsidR="003D640C">
        <w:t xml:space="preserve"> </w:t>
      </w:r>
      <w:r w:rsidRPr="00BB6220">
        <w:t>and</w:t>
      </w:r>
      <w:r w:rsidR="003D640C">
        <w:t xml:space="preserve"> </w:t>
      </w:r>
      <w:r w:rsidRPr="00BB6220">
        <w:t>New</w:t>
      </w:r>
      <w:r w:rsidR="003D640C">
        <w:t xml:space="preserve"> </w:t>
      </w:r>
      <w:r w:rsidRPr="00BB6220">
        <w:t>Zealand</w:t>
      </w:r>
      <w:r w:rsidR="003D640C">
        <w:t xml:space="preserve"> </w:t>
      </w:r>
      <w:r w:rsidRPr="00BB6220">
        <w:t>with</w:t>
      </w:r>
      <w:r w:rsidR="003D640C">
        <w:t xml:space="preserve"> </w:t>
      </w:r>
      <w:r w:rsidRPr="00BB6220">
        <w:t>overarching</w:t>
      </w:r>
      <w:r w:rsidR="003D640C">
        <w:t xml:space="preserve"> </w:t>
      </w:r>
      <w:r w:rsidRPr="00BB6220">
        <w:t>networks</w:t>
      </w:r>
      <w:r w:rsidR="003D640C">
        <w:t xml:space="preserve"> </w:t>
      </w:r>
      <w:r w:rsidRPr="00BB6220">
        <w:t>offering</w:t>
      </w:r>
      <w:r w:rsidR="003D640C">
        <w:t xml:space="preserve"> </w:t>
      </w:r>
      <w:r w:rsidRPr="00BB6220">
        <w:t>referral</w:t>
      </w:r>
      <w:r w:rsidR="003D640C">
        <w:t xml:space="preserve"> </w:t>
      </w:r>
      <w:r w:rsidRPr="00BB6220">
        <w:t>services</w:t>
      </w:r>
      <w:r w:rsidR="003D640C">
        <w:t xml:space="preserve"> </w:t>
      </w:r>
      <w:r w:rsidRPr="00BB6220">
        <w:t>to</w:t>
      </w:r>
      <w:r w:rsidR="003D640C">
        <w:t xml:space="preserve"> </w:t>
      </w:r>
      <w:r w:rsidRPr="00BB6220">
        <w:t>conversion</w:t>
      </w:r>
      <w:r w:rsidR="003D640C">
        <w:t xml:space="preserve"> </w:t>
      </w:r>
      <w:r w:rsidRPr="00BB6220">
        <w:t>practices</w:t>
      </w:r>
      <w:r w:rsidR="003D640C">
        <w:t xml:space="preserve"> </w:t>
      </w:r>
      <w:r w:rsidRPr="00BB6220">
        <w:lastRenderedPageBreak/>
        <w:t>through</w:t>
      </w:r>
      <w:r w:rsidR="003D640C">
        <w:t xml:space="preserve"> </w:t>
      </w:r>
      <w:r w:rsidRPr="00BB6220">
        <w:t>counselling.</w:t>
      </w:r>
      <w:r w:rsidRPr="00BB6220">
        <w:rPr>
          <w:rStyle w:val="FootnoteReference"/>
        </w:rPr>
        <w:footnoteReference w:id="79"/>
      </w:r>
      <w:r w:rsidR="003D640C">
        <w:t xml:space="preserve"> </w:t>
      </w:r>
      <w:r w:rsidRPr="00BB6220">
        <w:t>Since</w:t>
      </w:r>
      <w:r w:rsidR="003D640C">
        <w:t xml:space="preserve"> </w:t>
      </w:r>
      <w:r w:rsidRPr="00BB6220">
        <w:t>then,</w:t>
      </w:r>
      <w:r w:rsidR="003D640C">
        <w:t xml:space="preserve"> </w:t>
      </w:r>
      <w:r w:rsidRPr="00BB6220">
        <w:t>conversion</w:t>
      </w:r>
      <w:r w:rsidR="003D640C">
        <w:t xml:space="preserve"> </w:t>
      </w:r>
      <w:r w:rsidRPr="00BB6220">
        <w:t>practices</w:t>
      </w:r>
      <w:r w:rsidR="003D640C">
        <w:t xml:space="preserve"> </w:t>
      </w:r>
      <w:r w:rsidRPr="00BB6220">
        <w:t>have</w:t>
      </w:r>
      <w:r w:rsidR="003D640C">
        <w:t xml:space="preserve"> </w:t>
      </w:r>
      <w:r w:rsidRPr="00BB6220">
        <w:t>been</w:t>
      </w:r>
      <w:r w:rsidR="003D640C">
        <w:t xml:space="preserve"> </w:t>
      </w:r>
      <w:r w:rsidRPr="00BB6220">
        <w:t>made</w:t>
      </w:r>
      <w:r w:rsidR="003D640C">
        <w:t xml:space="preserve"> </w:t>
      </w:r>
      <w:r w:rsidRPr="00BB6220">
        <w:t>unlawful</w:t>
      </w:r>
      <w:r w:rsidR="003D640C">
        <w:t xml:space="preserve"> </w:t>
      </w:r>
      <w:r w:rsidRPr="00BB6220">
        <w:t>in</w:t>
      </w:r>
      <w:r w:rsidR="003D640C">
        <w:t xml:space="preserve"> </w:t>
      </w:r>
      <w:r w:rsidRPr="00BB6220">
        <w:t>Aotearoa</w:t>
      </w:r>
      <w:r w:rsidR="003D640C">
        <w:t xml:space="preserve"> </w:t>
      </w:r>
      <w:r w:rsidRPr="00BB6220">
        <w:t>and</w:t>
      </w:r>
      <w:r w:rsidR="003D640C">
        <w:t xml:space="preserve"> </w:t>
      </w:r>
      <w:r w:rsidRPr="00BB6220">
        <w:t>the</w:t>
      </w:r>
      <w:r w:rsidR="003D640C">
        <w:t xml:space="preserve"> </w:t>
      </w:r>
      <w:r w:rsidRPr="00BB6220">
        <w:t>Australian</w:t>
      </w:r>
      <w:r w:rsidR="003D640C">
        <w:t xml:space="preserve"> </w:t>
      </w:r>
      <w:r w:rsidRPr="00BB6220">
        <w:t>states</w:t>
      </w:r>
      <w:r w:rsidR="003D640C">
        <w:t xml:space="preserve"> </w:t>
      </w:r>
      <w:r w:rsidRPr="00BB6220">
        <w:t>of</w:t>
      </w:r>
      <w:r w:rsidR="003D640C">
        <w:t xml:space="preserve"> </w:t>
      </w:r>
      <w:r w:rsidRPr="00BB6220">
        <w:t>Queensland</w:t>
      </w:r>
      <w:r w:rsidR="00CF3301">
        <w:t>,</w:t>
      </w:r>
      <w:r w:rsidR="002954CA" w:rsidRPr="00BB6220">
        <w:rPr>
          <w:rStyle w:val="FootnoteReference"/>
        </w:rPr>
        <w:footnoteReference w:id="80"/>
      </w:r>
      <w:r w:rsidR="003D640C">
        <w:t xml:space="preserve"> </w:t>
      </w:r>
      <w:r w:rsidR="00B60DEF" w:rsidRPr="00BB6220">
        <w:t>Victoria</w:t>
      </w:r>
      <w:r w:rsidR="00CF3301">
        <w:t>,</w:t>
      </w:r>
      <w:r w:rsidR="002954CA" w:rsidRPr="00BB6220">
        <w:rPr>
          <w:rStyle w:val="FootnoteReference"/>
        </w:rPr>
        <w:footnoteReference w:id="81"/>
      </w:r>
      <w:r w:rsidR="003D640C">
        <w:t xml:space="preserve"> </w:t>
      </w:r>
      <w:r w:rsidR="00B60DEF" w:rsidRPr="00BB6220">
        <w:t>and</w:t>
      </w:r>
      <w:r w:rsidR="003D640C">
        <w:t xml:space="preserve"> </w:t>
      </w:r>
      <w:r w:rsidRPr="00BB6220">
        <w:t>the</w:t>
      </w:r>
      <w:r w:rsidR="003D640C">
        <w:t xml:space="preserve"> </w:t>
      </w:r>
      <w:r w:rsidRPr="00BB6220">
        <w:t>Australian</w:t>
      </w:r>
      <w:r w:rsidR="003D640C">
        <w:t xml:space="preserve"> </w:t>
      </w:r>
      <w:r w:rsidRPr="00BB6220">
        <w:t>Capital</w:t>
      </w:r>
      <w:r w:rsidR="003D640C">
        <w:t xml:space="preserve"> </w:t>
      </w:r>
      <w:r w:rsidRPr="00BB6220">
        <w:t>Territory</w:t>
      </w:r>
      <w:r w:rsidR="00555D24" w:rsidRPr="00BB6220">
        <w:t>.</w:t>
      </w:r>
      <w:r w:rsidR="002954CA" w:rsidRPr="00BB6220">
        <w:rPr>
          <w:rStyle w:val="FootnoteReference"/>
        </w:rPr>
        <w:footnoteReference w:id="82"/>
      </w:r>
    </w:p>
    <w:p w14:paraId="0B36314B" w14:textId="33FFF3C7" w:rsidR="00E77949" w:rsidRDefault="00E77949" w:rsidP="00C2162C">
      <w:r w:rsidRPr="00BB6220">
        <w:t>Leaders</w:t>
      </w:r>
      <w:r w:rsidR="003D640C">
        <w:t xml:space="preserve"> </w:t>
      </w:r>
      <w:r w:rsidRPr="00BB6220">
        <w:t>of</w:t>
      </w:r>
      <w:r w:rsidR="003D640C">
        <w:t xml:space="preserve"> </w:t>
      </w:r>
      <w:r w:rsidRPr="00BB6220">
        <w:t>Exodus</w:t>
      </w:r>
      <w:r w:rsidR="003D640C">
        <w:t xml:space="preserve"> </w:t>
      </w:r>
      <w:r w:rsidRPr="00BB6220">
        <w:t>International,</w:t>
      </w:r>
      <w:r w:rsidR="003D640C">
        <w:t xml:space="preserve"> </w:t>
      </w:r>
      <w:r w:rsidRPr="00BB6220">
        <w:t>once</w:t>
      </w:r>
      <w:r w:rsidR="003D640C">
        <w:t xml:space="preserve"> </w:t>
      </w:r>
      <w:r w:rsidRPr="00BB6220">
        <w:t>the</w:t>
      </w:r>
      <w:r w:rsidR="003D640C">
        <w:t xml:space="preserve"> </w:t>
      </w:r>
      <w:r w:rsidRPr="00BB6220">
        <w:t>largest</w:t>
      </w:r>
      <w:r w:rsidR="003D640C">
        <w:t xml:space="preserve"> </w:t>
      </w:r>
      <w:r w:rsidRPr="00BB6220">
        <w:t>‘ex-gay’</w:t>
      </w:r>
      <w:r w:rsidR="003D640C">
        <w:t xml:space="preserve"> </w:t>
      </w:r>
      <w:r w:rsidRPr="00BB6220">
        <w:t>group</w:t>
      </w:r>
      <w:r w:rsidR="003D640C">
        <w:t xml:space="preserve"> </w:t>
      </w:r>
      <w:r w:rsidR="00555D24" w:rsidRPr="00BB6220">
        <w:t>in</w:t>
      </w:r>
      <w:r w:rsidR="003D640C">
        <w:t xml:space="preserve"> </w:t>
      </w:r>
      <w:r w:rsidR="00555D24" w:rsidRPr="00BB6220">
        <w:t>the</w:t>
      </w:r>
      <w:r w:rsidR="003D640C">
        <w:t xml:space="preserve"> </w:t>
      </w:r>
      <w:r w:rsidR="00555D24" w:rsidRPr="00BB6220">
        <w:t>world</w:t>
      </w:r>
      <w:r w:rsidRPr="00BB6220">
        <w:t>,</w:t>
      </w:r>
      <w:r w:rsidR="003D640C">
        <w:t xml:space="preserve"> </w:t>
      </w:r>
      <w:r w:rsidRPr="00BB6220">
        <w:t>have</w:t>
      </w:r>
      <w:r w:rsidR="003D640C">
        <w:t xml:space="preserve"> </w:t>
      </w:r>
      <w:r w:rsidRPr="00BB6220">
        <w:t>publicly</w:t>
      </w:r>
      <w:r w:rsidR="003D640C">
        <w:t xml:space="preserve"> </w:t>
      </w:r>
      <w:r w:rsidRPr="00BB6220">
        <w:t>denounced</w:t>
      </w:r>
      <w:r w:rsidR="003D640C">
        <w:t xml:space="preserve"> </w:t>
      </w:r>
      <w:r w:rsidRPr="00BB6220">
        <w:t>conversion</w:t>
      </w:r>
      <w:r w:rsidR="003D640C">
        <w:t xml:space="preserve"> </w:t>
      </w:r>
      <w:r w:rsidRPr="00BB6220">
        <w:t>practices,</w:t>
      </w:r>
      <w:r w:rsidR="003D640C">
        <w:t xml:space="preserve"> </w:t>
      </w:r>
      <w:r w:rsidRPr="00BB6220">
        <w:t>acknowledged</w:t>
      </w:r>
      <w:r w:rsidR="003D640C">
        <w:t xml:space="preserve"> </w:t>
      </w:r>
      <w:r w:rsidRPr="00BB6220">
        <w:t>the</w:t>
      </w:r>
      <w:r w:rsidR="003D640C">
        <w:t xml:space="preserve"> </w:t>
      </w:r>
      <w:r w:rsidRPr="00BB6220">
        <w:t>harm</w:t>
      </w:r>
      <w:r w:rsidR="003D640C">
        <w:t xml:space="preserve"> </w:t>
      </w:r>
      <w:r w:rsidRPr="00BB6220">
        <w:t>their</w:t>
      </w:r>
      <w:r w:rsidR="003D640C">
        <w:t xml:space="preserve"> </w:t>
      </w:r>
      <w:r w:rsidRPr="00BB6220">
        <w:t>work</w:t>
      </w:r>
      <w:r w:rsidR="003D640C">
        <w:t xml:space="preserve"> </w:t>
      </w:r>
      <w:r w:rsidRPr="00BB6220">
        <w:t>caused,</w:t>
      </w:r>
      <w:r w:rsidR="003D640C">
        <w:t xml:space="preserve"> </w:t>
      </w:r>
      <w:r w:rsidRPr="00BB6220">
        <w:t>and</w:t>
      </w:r>
      <w:r w:rsidR="003D640C">
        <w:t xml:space="preserve"> </w:t>
      </w:r>
      <w:r w:rsidRPr="00BB6220">
        <w:t>apologised</w:t>
      </w:r>
      <w:r w:rsidR="00FB2ABF">
        <w:t>,</w:t>
      </w:r>
      <w:r w:rsidRPr="00BB6220">
        <w:rPr>
          <w:rStyle w:val="FootnoteReference"/>
          <w:rFonts w:ascii="Calibri" w:eastAsia="Calibri" w:hAnsi="Calibri" w:cs="Calibri"/>
        </w:rPr>
        <w:footnoteReference w:id="83"/>
      </w:r>
      <w:r w:rsidR="003D640C">
        <w:t xml:space="preserve"> </w:t>
      </w:r>
      <w:r w:rsidRPr="00BB6220">
        <w:t>as</w:t>
      </w:r>
      <w:r w:rsidR="003D640C">
        <w:t xml:space="preserve"> </w:t>
      </w:r>
      <w:r w:rsidRPr="00BB6220">
        <w:t>have</w:t>
      </w:r>
      <w:r w:rsidR="003D640C">
        <w:t xml:space="preserve"> </w:t>
      </w:r>
      <w:r w:rsidRPr="00BB6220">
        <w:t>many</w:t>
      </w:r>
      <w:r w:rsidR="003D640C">
        <w:t xml:space="preserve"> </w:t>
      </w:r>
      <w:r w:rsidRPr="00BB6220">
        <w:t>of</w:t>
      </w:r>
      <w:r w:rsidR="003D640C">
        <w:t xml:space="preserve"> </w:t>
      </w:r>
      <w:r w:rsidRPr="00BB6220">
        <w:t>their</w:t>
      </w:r>
      <w:r w:rsidR="003D640C">
        <w:t xml:space="preserve"> </w:t>
      </w:r>
      <w:r w:rsidRPr="00BB6220">
        <w:t>former</w:t>
      </w:r>
      <w:r w:rsidR="003D640C">
        <w:t xml:space="preserve"> </w:t>
      </w:r>
      <w:r w:rsidRPr="00BB6220">
        <w:t>leaders</w:t>
      </w:r>
      <w:r w:rsidR="003D640C">
        <w:t xml:space="preserve"> </w:t>
      </w:r>
      <w:r w:rsidRPr="00BB6220">
        <w:t>and</w:t>
      </w:r>
      <w:r w:rsidR="003D640C">
        <w:t xml:space="preserve"> </w:t>
      </w:r>
      <w:r w:rsidRPr="00BB6220">
        <w:t>member</w:t>
      </w:r>
      <w:r w:rsidR="003D640C">
        <w:t xml:space="preserve"> </w:t>
      </w:r>
      <w:r w:rsidRPr="00BB6220">
        <w:t>organisations.</w:t>
      </w:r>
      <w:r w:rsidR="003D640C">
        <w:t xml:space="preserve"> </w:t>
      </w:r>
      <w:r w:rsidRPr="00BB6220">
        <w:t>In</w:t>
      </w:r>
      <w:r w:rsidR="003D640C">
        <w:t xml:space="preserve"> </w:t>
      </w:r>
      <w:r w:rsidRPr="00BB6220">
        <w:t>doing</w:t>
      </w:r>
      <w:r w:rsidR="003D640C">
        <w:t xml:space="preserve"> </w:t>
      </w:r>
      <w:r w:rsidRPr="00BB6220">
        <w:t>so,</w:t>
      </w:r>
      <w:r w:rsidR="003D640C">
        <w:t xml:space="preserve"> </w:t>
      </w:r>
      <w:r w:rsidRPr="00BB6220">
        <w:t>they</w:t>
      </w:r>
      <w:r w:rsidR="003D640C">
        <w:t xml:space="preserve"> </w:t>
      </w:r>
      <w:r w:rsidRPr="00BB6220">
        <w:t>acknowledged</w:t>
      </w:r>
      <w:r w:rsidR="003D640C">
        <w:t xml:space="preserve"> </w:t>
      </w:r>
      <w:r w:rsidRPr="00BB6220">
        <w:t>that</w:t>
      </w:r>
      <w:r w:rsidR="003D640C">
        <w:t xml:space="preserve"> </w:t>
      </w:r>
      <w:r w:rsidRPr="00BB6220">
        <w:t>people</w:t>
      </w:r>
      <w:r w:rsidR="003D640C">
        <w:t xml:space="preserve"> </w:t>
      </w:r>
      <w:r w:rsidR="006164F1" w:rsidRPr="00BB6220">
        <w:t>could</w:t>
      </w:r>
      <w:r w:rsidR="003D640C">
        <w:t xml:space="preserve"> </w:t>
      </w:r>
      <w:r w:rsidRPr="00BB6220">
        <w:t>not</w:t>
      </w:r>
      <w:r w:rsidR="003D640C">
        <w:t xml:space="preserve"> </w:t>
      </w:r>
      <w:r w:rsidR="0038304A" w:rsidRPr="00BB6220">
        <w:t>successfully</w:t>
      </w:r>
      <w:r w:rsidR="003D640C">
        <w:t xml:space="preserve"> </w:t>
      </w:r>
      <w:bookmarkStart w:id="142" w:name="_Int_V16oL94e"/>
      <w:r w:rsidR="0038304A" w:rsidRPr="00BB6220">
        <w:t>suppress</w:t>
      </w:r>
      <w:bookmarkEnd w:id="142"/>
      <w:r w:rsidR="003D640C">
        <w:t xml:space="preserve"> </w:t>
      </w:r>
      <w:r w:rsidR="0038304A" w:rsidRPr="00BB6220">
        <w:t>or</w:t>
      </w:r>
      <w:r w:rsidR="003D640C">
        <w:t xml:space="preserve"> </w:t>
      </w:r>
      <w:r w:rsidRPr="00BB6220">
        <w:t>change</w:t>
      </w:r>
      <w:r w:rsidR="003D640C">
        <w:t xml:space="preserve"> </w:t>
      </w:r>
      <w:r w:rsidR="00C52DB8" w:rsidRPr="00BB6220">
        <w:t>their</w:t>
      </w:r>
      <w:r w:rsidR="003D640C">
        <w:t xml:space="preserve"> </w:t>
      </w:r>
      <w:r w:rsidR="00555D24" w:rsidRPr="00BB6220">
        <w:t>Rainbow</w:t>
      </w:r>
      <w:r w:rsidR="003D640C">
        <w:t xml:space="preserve"> </w:t>
      </w:r>
      <w:r w:rsidR="00C52DB8" w:rsidRPr="00BB6220">
        <w:t>identity</w:t>
      </w:r>
      <w:r w:rsidR="003D640C">
        <w:t xml:space="preserve"> </w:t>
      </w:r>
      <w:r w:rsidRPr="00BB6220">
        <w:t>as</w:t>
      </w:r>
      <w:r w:rsidR="003D640C">
        <w:t xml:space="preserve"> </w:t>
      </w:r>
      <w:r w:rsidRPr="00BB6220">
        <w:t>a</w:t>
      </w:r>
      <w:r w:rsidR="003D640C">
        <w:t xml:space="preserve"> </w:t>
      </w:r>
      <w:r w:rsidRPr="00BB6220">
        <w:t>result</w:t>
      </w:r>
      <w:r w:rsidR="003D640C">
        <w:t xml:space="preserve"> </w:t>
      </w:r>
      <w:r w:rsidRPr="00BB6220">
        <w:t>of</w:t>
      </w:r>
      <w:r w:rsidR="003D640C">
        <w:t xml:space="preserve"> </w:t>
      </w:r>
      <w:r w:rsidRPr="00BB6220">
        <w:t>conversion</w:t>
      </w:r>
      <w:r w:rsidR="003D640C">
        <w:t xml:space="preserve"> </w:t>
      </w:r>
      <w:r w:rsidRPr="00BB6220">
        <w:t>practices.</w:t>
      </w:r>
      <w:r w:rsidRPr="00BB6220" w:rsidDel="008E1CCA">
        <w:t xml:space="preserve"> </w:t>
      </w:r>
    </w:p>
    <w:p w14:paraId="7B24EDE1" w14:textId="170A9194" w:rsidR="006C3875" w:rsidRPr="00BB6220" w:rsidRDefault="006C3875" w:rsidP="00C2162C">
      <w:r w:rsidRPr="00BB6220">
        <w:t>At</w:t>
      </w:r>
      <w:r w:rsidR="003D640C">
        <w:t xml:space="preserve"> </w:t>
      </w:r>
      <w:r w:rsidRPr="00BB6220">
        <w:t>the</w:t>
      </w:r>
      <w:r w:rsidR="003D640C">
        <w:t xml:space="preserve"> </w:t>
      </w:r>
      <w:r w:rsidRPr="007B139B">
        <w:t>Awaken</w:t>
      </w:r>
      <w:r w:rsidR="003D640C" w:rsidRPr="007B139B">
        <w:t xml:space="preserve"> </w:t>
      </w:r>
      <w:r w:rsidRPr="007B139B">
        <w:t>|</w:t>
      </w:r>
      <w:r w:rsidR="003D640C" w:rsidRPr="007B139B">
        <w:t xml:space="preserve"> </w:t>
      </w:r>
      <w:r w:rsidRPr="007B139B">
        <w:t>Maranga</w:t>
      </w:r>
      <w:r w:rsidR="003D640C" w:rsidRPr="007B139B">
        <w:t xml:space="preserve"> </w:t>
      </w:r>
      <w:r w:rsidRPr="007B139B">
        <w:t>Mai</w:t>
      </w:r>
      <w:r w:rsidR="003D640C" w:rsidRPr="007B139B">
        <w:t xml:space="preserve"> </w:t>
      </w:r>
      <w:r w:rsidRPr="007B139B">
        <w:t>2023</w:t>
      </w:r>
      <w:r w:rsidR="003D640C">
        <w:rPr>
          <w:i/>
          <w:iCs/>
        </w:rPr>
        <w:t xml:space="preserve"> </w:t>
      </w:r>
      <w:r w:rsidRPr="00BB6220">
        <w:t>conference</w:t>
      </w:r>
      <w:r w:rsidR="003D640C">
        <w:t xml:space="preserve"> </w:t>
      </w:r>
      <w:r w:rsidRPr="00BB6220">
        <w:t>for</w:t>
      </w:r>
      <w:r w:rsidR="003D640C">
        <w:t xml:space="preserve"> </w:t>
      </w:r>
      <w:r w:rsidRPr="00BB6220">
        <w:t>Rainbow</w:t>
      </w:r>
      <w:r w:rsidR="003D640C">
        <w:t xml:space="preserve"> </w:t>
      </w:r>
      <w:r w:rsidRPr="00BB6220">
        <w:t>people</w:t>
      </w:r>
      <w:r w:rsidR="003D640C">
        <w:t xml:space="preserve"> </w:t>
      </w:r>
      <w:r w:rsidRPr="00BB6220">
        <w:t>of</w:t>
      </w:r>
      <w:r w:rsidR="003D640C">
        <w:t xml:space="preserve"> </w:t>
      </w:r>
      <w:r w:rsidRPr="00BB6220">
        <w:t>faith,</w:t>
      </w:r>
      <w:r w:rsidR="003D640C">
        <w:t xml:space="preserve"> </w:t>
      </w:r>
      <w:r w:rsidRPr="00BB6220">
        <w:t>the</w:t>
      </w:r>
      <w:r w:rsidR="003D640C">
        <w:t xml:space="preserve"> </w:t>
      </w:r>
      <w:r w:rsidRPr="00BB6220">
        <w:t>Commission</w:t>
      </w:r>
      <w:r w:rsidR="003D640C">
        <w:t xml:space="preserve"> </w:t>
      </w:r>
      <w:r w:rsidRPr="00BB6220">
        <w:t>ran</w:t>
      </w:r>
      <w:r w:rsidR="003D640C">
        <w:t xml:space="preserve"> </w:t>
      </w:r>
      <w:r w:rsidRPr="00BB6220">
        <w:t>two</w:t>
      </w:r>
      <w:r w:rsidR="003D640C">
        <w:t xml:space="preserve"> </w:t>
      </w:r>
      <w:r w:rsidRPr="00BB6220">
        <w:t>workshops</w:t>
      </w:r>
      <w:r w:rsidR="003D640C">
        <w:t xml:space="preserve"> </w:t>
      </w:r>
      <w:r w:rsidRPr="00BB6220">
        <w:t>and</w:t>
      </w:r>
      <w:r w:rsidR="003D640C">
        <w:t xml:space="preserve"> </w:t>
      </w:r>
      <w:r>
        <w:t>conducted</w:t>
      </w:r>
      <w:r w:rsidR="003D640C">
        <w:t xml:space="preserve"> </w:t>
      </w:r>
      <w:r w:rsidRPr="00BB6220">
        <w:t>a</w:t>
      </w:r>
      <w:r w:rsidR="003D640C">
        <w:t xml:space="preserve"> </w:t>
      </w:r>
      <w:r w:rsidRPr="00BB6220">
        <w:t>survey</w:t>
      </w:r>
      <w:r w:rsidR="003D640C">
        <w:t xml:space="preserve"> </w:t>
      </w:r>
      <w:r w:rsidRPr="00BB6220">
        <w:t>of</w:t>
      </w:r>
      <w:r w:rsidR="003D640C">
        <w:t xml:space="preserve"> </w:t>
      </w:r>
      <w:r w:rsidRPr="00BB6220">
        <w:t>attendees’</w:t>
      </w:r>
      <w:r w:rsidR="003D640C">
        <w:t xml:space="preserve"> </w:t>
      </w:r>
      <w:r w:rsidRPr="00BB6220">
        <w:t>experiences</w:t>
      </w:r>
      <w:r w:rsidR="003D640C">
        <w:t xml:space="preserve"> </w:t>
      </w:r>
      <w:r w:rsidRPr="00BB6220">
        <w:t>in</w:t>
      </w:r>
      <w:r w:rsidR="003D640C">
        <w:t xml:space="preserve"> </w:t>
      </w:r>
      <w:r w:rsidRPr="00BB6220">
        <w:t>faith</w:t>
      </w:r>
      <w:r w:rsidR="003D640C">
        <w:t xml:space="preserve"> </w:t>
      </w:r>
      <w:r w:rsidRPr="00BB6220">
        <w:t>settings</w:t>
      </w:r>
      <w:r w:rsidR="003D640C">
        <w:t xml:space="preserve"> </w:t>
      </w:r>
      <w:r>
        <w:t>(see</w:t>
      </w:r>
      <w:r w:rsidR="003D640C">
        <w:t xml:space="preserve"> </w:t>
      </w:r>
      <w:r>
        <w:t>Figures</w:t>
      </w:r>
      <w:r w:rsidR="003D640C">
        <w:t xml:space="preserve"> </w:t>
      </w:r>
      <w:r>
        <w:t>3</w:t>
      </w:r>
      <w:r w:rsidR="006509D1">
        <w:t>–</w:t>
      </w:r>
      <w:r w:rsidR="009B216D">
        <w:t>5</w:t>
      </w:r>
      <w:r>
        <w:t>)</w:t>
      </w:r>
      <w:r w:rsidRPr="00BB6220">
        <w:t>.</w:t>
      </w:r>
    </w:p>
    <w:p w14:paraId="52C6C4E0" w14:textId="2D3B31C5" w:rsidR="006C3875" w:rsidRPr="00BB6220" w:rsidRDefault="006C3875" w:rsidP="00C2162C">
      <w:r w:rsidRPr="00BB6220">
        <w:t>When</w:t>
      </w:r>
      <w:r w:rsidR="003D640C">
        <w:t xml:space="preserve"> </w:t>
      </w:r>
      <w:r w:rsidRPr="00BB6220">
        <w:t>asked</w:t>
      </w:r>
      <w:r w:rsidR="003D640C">
        <w:t xml:space="preserve"> </w:t>
      </w:r>
      <w:r w:rsidRPr="00BB6220">
        <w:t>what</w:t>
      </w:r>
      <w:r w:rsidR="003D640C">
        <w:t xml:space="preserve"> </w:t>
      </w:r>
      <w:r w:rsidRPr="00BB6220">
        <w:t>their</w:t>
      </w:r>
      <w:r w:rsidR="003D640C">
        <w:t xml:space="preserve"> </w:t>
      </w:r>
      <w:r w:rsidRPr="00BB6220">
        <w:t>level</w:t>
      </w:r>
      <w:r w:rsidR="003D640C">
        <w:t xml:space="preserve"> </w:t>
      </w:r>
      <w:r w:rsidRPr="00BB6220">
        <w:t>of</w:t>
      </w:r>
      <w:r w:rsidR="003D640C">
        <w:t xml:space="preserve"> </w:t>
      </w:r>
      <w:r w:rsidRPr="00BB6220">
        <w:t>comfort</w:t>
      </w:r>
      <w:r w:rsidR="003D640C">
        <w:t xml:space="preserve"> </w:t>
      </w:r>
      <w:r w:rsidRPr="00BB6220">
        <w:t>was</w:t>
      </w:r>
      <w:r w:rsidR="003D640C">
        <w:t xml:space="preserve"> </w:t>
      </w:r>
      <w:r w:rsidRPr="00BB6220">
        <w:t>in</w:t>
      </w:r>
      <w:r w:rsidR="003D640C">
        <w:t xml:space="preserve"> </w:t>
      </w:r>
      <w:r w:rsidRPr="00BB6220">
        <w:t>faith</w:t>
      </w:r>
      <w:r w:rsidR="003D640C">
        <w:t xml:space="preserve"> </w:t>
      </w:r>
      <w:r w:rsidRPr="00BB6220">
        <w:t>settings,</w:t>
      </w:r>
      <w:r w:rsidR="003D640C">
        <w:t xml:space="preserve"> </w:t>
      </w:r>
      <w:r w:rsidRPr="00BB6220">
        <w:t>39</w:t>
      </w:r>
      <w:r w:rsidR="001D1BF7">
        <w:t xml:space="preserve"> percent</w:t>
      </w:r>
      <w:r w:rsidR="003D640C">
        <w:t xml:space="preserve"> </w:t>
      </w:r>
      <w:r w:rsidRPr="00BB6220">
        <w:t>said</w:t>
      </w:r>
      <w:r w:rsidR="003D640C">
        <w:t xml:space="preserve"> </w:t>
      </w:r>
      <w:r w:rsidRPr="00BB6220">
        <w:t>they</w:t>
      </w:r>
      <w:r w:rsidR="003D640C">
        <w:t xml:space="preserve"> </w:t>
      </w:r>
      <w:r w:rsidRPr="00BB6220">
        <w:t>were</w:t>
      </w:r>
      <w:r w:rsidR="003D640C">
        <w:t xml:space="preserve"> </w:t>
      </w:r>
      <w:r w:rsidRPr="00BB6220">
        <w:t>only</w:t>
      </w:r>
      <w:r w:rsidR="003D640C">
        <w:t xml:space="preserve"> </w:t>
      </w:r>
      <w:r w:rsidRPr="00BB6220">
        <w:t>comfortable</w:t>
      </w:r>
      <w:r w:rsidR="003D640C">
        <w:t xml:space="preserve"> </w:t>
      </w:r>
      <w:r w:rsidRPr="00BB6220">
        <w:t>in</w:t>
      </w:r>
      <w:r w:rsidR="003D640C">
        <w:t xml:space="preserve"> </w:t>
      </w:r>
      <w:r w:rsidRPr="00BB6220">
        <w:t>faith</w:t>
      </w:r>
      <w:r w:rsidR="003D640C">
        <w:t xml:space="preserve"> </w:t>
      </w:r>
      <w:r w:rsidRPr="00BB6220">
        <w:t>settings</w:t>
      </w:r>
      <w:r w:rsidR="003D640C">
        <w:t xml:space="preserve"> </w:t>
      </w:r>
      <w:r w:rsidRPr="00BB6220">
        <w:t>they</w:t>
      </w:r>
      <w:r w:rsidR="003D640C">
        <w:t xml:space="preserve"> </w:t>
      </w:r>
      <w:r w:rsidRPr="00BB6220">
        <w:t>knew</w:t>
      </w:r>
      <w:r w:rsidR="003D640C">
        <w:t xml:space="preserve"> </w:t>
      </w:r>
      <w:r w:rsidRPr="00BB6220">
        <w:t>well</w:t>
      </w:r>
      <w:r w:rsidR="003D640C">
        <w:t xml:space="preserve"> </w:t>
      </w:r>
      <w:r w:rsidRPr="00BB6220">
        <w:t>or</w:t>
      </w:r>
      <w:r w:rsidR="003D640C">
        <w:t xml:space="preserve"> </w:t>
      </w:r>
      <w:r w:rsidRPr="00BB6220">
        <w:t>that</w:t>
      </w:r>
      <w:r w:rsidR="003D640C">
        <w:t xml:space="preserve"> </w:t>
      </w:r>
      <w:r w:rsidRPr="00BB6220">
        <w:t>explicitly</w:t>
      </w:r>
      <w:r w:rsidR="003D640C">
        <w:t xml:space="preserve"> </w:t>
      </w:r>
      <w:r w:rsidRPr="00BB6220">
        <w:t>affirmed</w:t>
      </w:r>
      <w:r w:rsidR="003D640C">
        <w:t xml:space="preserve"> </w:t>
      </w:r>
      <w:r w:rsidRPr="00BB6220">
        <w:t>Rainbow</w:t>
      </w:r>
      <w:r w:rsidR="003D640C">
        <w:t xml:space="preserve"> </w:t>
      </w:r>
      <w:r w:rsidRPr="00BB6220">
        <w:t>people.</w:t>
      </w:r>
      <w:r w:rsidR="003D640C">
        <w:t xml:space="preserve"> </w:t>
      </w:r>
      <w:r w:rsidRPr="00BB6220">
        <w:t>A</w:t>
      </w:r>
      <w:r w:rsidR="003D640C">
        <w:t xml:space="preserve"> </w:t>
      </w:r>
      <w:r w:rsidRPr="00BB6220">
        <w:t>further</w:t>
      </w:r>
      <w:r w:rsidR="003D640C">
        <w:t xml:space="preserve"> </w:t>
      </w:r>
      <w:r w:rsidRPr="00BB6220">
        <w:t>31</w:t>
      </w:r>
      <w:r w:rsidR="001D1BF7">
        <w:t xml:space="preserve"> percent</w:t>
      </w:r>
      <w:r w:rsidR="003D640C">
        <w:t xml:space="preserve"> </w:t>
      </w:r>
      <w:r w:rsidRPr="00BB6220">
        <w:t>said</w:t>
      </w:r>
      <w:r w:rsidR="003D640C">
        <w:t xml:space="preserve"> </w:t>
      </w:r>
      <w:r w:rsidRPr="00BB6220">
        <w:t>they</w:t>
      </w:r>
      <w:r w:rsidR="003D640C">
        <w:t xml:space="preserve"> </w:t>
      </w:r>
      <w:r w:rsidRPr="00BB6220">
        <w:t>were</w:t>
      </w:r>
      <w:r w:rsidR="003D640C">
        <w:t xml:space="preserve"> </w:t>
      </w:r>
      <w:r w:rsidRPr="00BB6220">
        <w:t>either</w:t>
      </w:r>
      <w:r w:rsidR="003D640C">
        <w:t xml:space="preserve"> </w:t>
      </w:r>
      <w:r w:rsidRPr="00BB6220">
        <w:t>uncomfortable</w:t>
      </w:r>
      <w:r w:rsidR="003D640C">
        <w:t xml:space="preserve"> </w:t>
      </w:r>
      <w:r w:rsidRPr="00BB6220">
        <w:t>in</w:t>
      </w:r>
      <w:r w:rsidR="003D640C">
        <w:t xml:space="preserve"> </w:t>
      </w:r>
      <w:r w:rsidRPr="00BB6220">
        <w:t>faith</w:t>
      </w:r>
      <w:r w:rsidR="003D640C">
        <w:t xml:space="preserve"> </w:t>
      </w:r>
      <w:r w:rsidRPr="00BB6220">
        <w:t>settings,</w:t>
      </w:r>
      <w:r w:rsidR="003D640C">
        <w:t xml:space="preserve"> </w:t>
      </w:r>
      <w:r w:rsidRPr="00BB6220">
        <w:t>have</w:t>
      </w:r>
      <w:r w:rsidR="003D640C">
        <w:t xml:space="preserve"> </w:t>
      </w:r>
      <w:r w:rsidRPr="00BB6220">
        <w:t>chosen</w:t>
      </w:r>
      <w:r w:rsidR="003D640C">
        <w:t xml:space="preserve"> </w:t>
      </w:r>
      <w:r w:rsidRPr="00BB6220">
        <w:t>to</w:t>
      </w:r>
      <w:r w:rsidR="003D640C">
        <w:t xml:space="preserve"> </w:t>
      </w:r>
      <w:r w:rsidRPr="00BB6220">
        <w:t>stay</w:t>
      </w:r>
      <w:r w:rsidR="003D640C">
        <w:t xml:space="preserve"> </w:t>
      </w:r>
      <w:r w:rsidRPr="00BB6220">
        <w:t>away,</w:t>
      </w:r>
      <w:r w:rsidR="003D640C">
        <w:t xml:space="preserve"> </w:t>
      </w:r>
      <w:r w:rsidRPr="00BB6220">
        <w:t>or</w:t>
      </w:r>
      <w:r w:rsidR="003D640C">
        <w:t xml:space="preserve"> </w:t>
      </w:r>
      <w:r w:rsidRPr="00BB6220">
        <w:t>only</w:t>
      </w:r>
      <w:r w:rsidR="003D640C">
        <w:t xml:space="preserve"> </w:t>
      </w:r>
      <w:r w:rsidRPr="00BB6220">
        <w:t>go</w:t>
      </w:r>
      <w:r w:rsidR="003D640C">
        <w:t xml:space="preserve"> </w:t>
      </w:r>
      <w:r w:rsidRPr="00BB6220">
        <w:t>into</w:t>
      </w:r>
      <w:r w:rsidR="003D640C">
        <w:t xml:space="preserve"> </w:t>
      </w:r>
      <w:r w:rsidRPr="00BB6220">
        <w:t>faith</w:t>
      </w:r>
      <w:r w:rsidR="003D640C">
        <w:t xml:space="preserve"> </w:t>
      </w:r>
      <w:r w:rsidRPr="00BB6220">
        <w:t>spaces</w:t>
      </w:r>
      <w:r w:rsidR="003D640C">
        <w:t xml:space="preserve"> </w:t>
      </w:r>
      <w:r w:rsidRPr="00BB6220">
        <w:t>where</w:t>
      </w:r>
      <w:r w:rsidR="003D640C">
        <w:t xml:space="preserve"> </w:t>
      </w:r>
      <w:r w:rsidRPr="00BB6220">
        <w:t>they</w:t>
      </w:r>
      <w:r w:rsidR="003D640C">
        <w:t xml:space="preserve"> </w:t>
      </w:r>
      <w:r w:rsidRPr="00BB6220">
        <w:t>can</w:t>
      </w:r>
      <w:r w:rsidR="003D640C">
        <w:t xml:space="preserve"> </w:t>
      </w:r>
      <w:r w:rsidRPr="00BB6220">
        <w:t>remain</w:t>
      </w:r>
      <w:r w:rsidR="003D640C">
        <w:t xml:space="preserve"> </w:t>
      </w:r>
      <w:r w:rsidRPr="00BB6220">
        <w:t>closeted</w:t>
      </w:r>
      <w:bookmarkStart w:id="143" w:name="_Int_k8w4PaL6"/>
      <w:r w:rsidRPr="00BB6220">
        <w:t>.</w:t>
      </w:r>
      <w:r w:rsidRPr="00BB6220" w:rsidDel="008E1CCA">
        <w:t xml:space="preserve"> </w:t>
      </w:r>
      <w:bookmarkEnd w:id="143"/>
    </w:p>
    <w:p w14:paraId="4E08B2B6" w14:textId="7B75E6E3" w:rsidR="00965AD6" w:rsidRDefault="00327640" w:rsidP="00C2162C">
      <w:r>
        <w:rPr>
          <w:noProof/>
        </w:rPr>
        <w:drawing>
          <wp:inline distT="0" distB="0" distL="0" distR="0" wp14:anchorId="75279DC1" wp14:editId="0BDBE8BB">
            <wp:extent cx="5476875" cy="3871913"/>
            <wp:effectExtent l="0" t="0" r="9525" b="14605"/>
            <wp:docPr id="839260739" name="Chart 1">
              <a:extLst xmlns:a="http://schemas.openxmlformats.org/drawingml/2006/main">
                <a:ext uri="{FF2B5EF4-FFF2-40B4-BE49-F238E27FC236}">
                  <a16:creationId xmlns:a16="http://schemas.microsoft.com/office/drawing/2014/main" id="{6C7C539B-8908-8E09-FCB1-BD098AE70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FDF8DF" w14:textId="0ABBC168" w:rsidR="006509D1" w:rsidRDefault="007B527F" w:rsidP="007B527F">
      <w:pPr>
        <w:pStyle w:val="Caption"/>
      </w:pPr>
      <w:bookmarkStart w:id="144" w:name="_Toc174628730"/>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3</w:t>
      </w:r>
      <w:r w:rsidRPr="007B527F">
        <w:fldChar w:fldCharType="end"/>
      </w:r>
      <w:r w:rsidRPr="007B527F">
        <w:t>:</w:t>
      </w:r>
      <w:r w:rsidR="003D640C">
        <w:t xml:space="preserve"> </w:t>
      </w:r>
      <w:r w:rsidR="00F639BB" w:rsidRPr="00F639BB">
        <w:t>Level</w:t>
      </w:r>
      <w:r w:rsidR="003D640C">
        <w:t xml:space="preserve"> </w:t>
      </w:r>
      <w:r w:rsidR="00F639BB" w:rsidRPr="00F639BB">
        <w:t>of</w:t>
      </w:r>
      <w:r w:rsidR="003D640C">
        <w:t xml:space="preserve"> </w:t>
      </w:r>
      <w:r w:rsidR="00F639BB" w:rsidRPr="00F639BB">
        <w:t>Rainbow</w:t>
      </w:r>
      <w:r w:rsidR="003D640C">
        <w:t xml:space="preserve"> </w:t>
      </w:r>
      <w:r w:rsidR="00F639BB" w:rsidRPr="00F639BB">
        <w:t>comfort</w:t>
      </w:r>
      <w:r w:rsidR="003D640C">
        <w:t xml:space="preserve"> </w:t>
      </w:r>
      <w:r w:rsidR="00F639BB" w:rsidRPr="00F639BB">
        <w:t>in</w:t>
      </w:r>
      <w:r w:rsidR="003D640C">
        <w:t xml:space="preserve"> </w:t>
      </w:r>
      <w:r w:rsidR="00F639BB" w:rsidRPr="00F639BB">
        <w:t>faith</w:t>
      </w:r>
      <w:r w:rsidR="003D640C">
        <w:t xml:space="preserve"> </w:t>
      </w:r>
      <w:r w:rsidR="00F639BB" w:rsidRPr="00F639BB">
        <w:t>settings</w:t>
      </w:r>
      <w:r w:rsidR="009623B5">
        <w:t xml:space="preserve"> – </w:t>
      </w:r>
      <w:r w:rsidR="00F639BB" w:rsidRPr="00F639BB" w:rsidDel="006509D1">
        <w:t>s</w:t>
      </w:r>
      <w:r w:rsidR="00F639BB" w:rsidRPr="00F639BB">
        <w:t>urvey</w:t>
      </w:r>
      <w:r w:rsidR="003D640C">
        <w:t xml:space="preserve"> </w:t>
      </w:r>
      <w:r w:rsidR="00F639BB" w:rsidRPr="00F639BB">
        <w:t>results</w:t>
      </w:r>
      <w:r w:rsidR="003D640C">
        <w:t xml:space="preserve"> </w:t>
      </w:r>
      <w:r w:rsidR="00F639BB" w:rsidRPr="00F639BB">
        <w:t>from</w:t>
      </w:r>
      <w:r w:rsidR="003D640C">
        <w:t xml:space="preserve"> </w:t>
      </w:r>
      <w:r w:rsidR="00F639BB" w:rsidRPr="00F639BB">
        <w:t>Awaken</w:t>
      </w:r>
      <w:r w:rsidR="003D640C">
        <w:t xml:space="preserve"> </w:t>
      </w:r>
      <w:r w:rsidR="00F639BB" w:rsidRPr="00F639BB">
        <w:t>|</w:t>
      </w:r>
      <w:r w:rsidR="003D640C">
        <w:t xml:space="preserve"> </w:t>
      </w:r>
      <w:r w:rsidR="00F639BB" w:rsidRPr="00F639BB">
        <w:t>Maranga</w:t>
      </w:r>
      <w:r w:rsidR="003D640C">
        <w:t xml:space="preserve"> </w:t>
      </w:r>
      <w:r w:rsidR="00F639BB" w:rsidRPr="00F639BB">
        <w:t>Mai</w:t>
      </w:r>
      <w:r w:rsidR="003D640C">
        <w:t xml:space="preserve"> </w:t>
      </w:r>
      <w:r w:rsidR="00F639BB" w:rsidRPr="00F639BB">
        <w:t>conference</w:t>
      </w:r>
      <w:r w:rsidR="003D640C">
        <w:t xml:space="preserve"> </w:t>
      </w:r>
      <w:r w:rsidR="00F639BB" w:rsidRPr="00F639BB">
        <w:t>2023</w:t>
      </w:r>
      <w:r w:rsidR="009623B5">
        <w:t>.</w:t>
      </w:r>
      <w:bookmarkEnd w:id="144"/>
    </w:p>
    <w:p w14:paraId="6725D9ED" w14:textId="71DFA351" w:rsidR="00501068" w:rsidRDefault="006C3875" w:rsidP="006509D1">
      <w:r w:rsidRPr="00BB6220">
        <w:lastRenderedPageBreak/>
        <w:t>When</w:t>
      </w:r>
      <w:r w:rsidR="003D640C">
        <w:t xml:space="preserve"> </w:t>
      </w:r>
      <w:r w:rsidRPr="00BB6220">
        <w:t>asked</w:t>
      </w:r>
      <w:r w:rsidR="003D640C">
        <w:t xml:space="preserve"> </w:t>
      </w:r>
      <w:r w:rsidRPr="00BB6220">
        <w:t>which</w:t>
      </w:r>
      <w:r w:rsidR="003D640C">
        <w:t xml:space="preserve"> </w:t>
      </w:r>
      <w:r w:rsidRPr="00BB6220">
        <w:t>aspects</w:t>
      </w:r>
      <w:r w:rsidR="003D640C">
        <w:t xml:space="preserve"> </w:t>
      </w:r>
      <w:r w:rsidRPr="00BB6220">
        <w:t>of</w:t>
      </w:r>
      <w:r w:rsidR="003D640C">
        <w:t xml:space="preserve"> </w:t>
      </w:r>
      <w:r w:rsidRPr="00BB6220">
        <w:t>faith</w:t>
      </w:r>
      <w:r w:rsidR="003D640C">
        <w:t xml:space="preserve"> </w:t>
      </w:r>
      <w:r w:rsidRPr="00BB6220">
        <w:t>environments</w:t>
      </w:r>
      <w:r w:rsidR="003D640C">
        <w:t xml:space="preserve"> </w:t>
      </w:r>
      <w:r w:rsidRPr="00BB6220">
        <w:t>are</w:t>
      </w:r>
      <w:r w:rsidR="003D640C">
        <w:t xml:space="preserve"> </w:t>
      </w:r>
      <w:r w:rsidRPr="00BB6220">
        <w:t>most</w:t>
      </w:r>
      <w:r w:rsidR="003D640C">
        <w:t xml:space="preserve"> </w:t>
      </w:r>
      <w:r w:rsidRPr="00BB6220">
        <w:t>challenging,</w:t>
      </w:r>
      <w:r w:rsidR="003D640C">
        <w:t xml:space="preserve"> </w:t>
      </w:r>
      <w:r w:rsidRPr="00BB6220">
        <w:t>54</w:t>
      </w:r>
      <w:r w:rsidR="001D1BF7">
        <w:t xml:space="preserve"> percent</w:t>
      </w:r>
      <w:r w:rsidR="003D640C">
        <w:t xml:space="preserve"> </w:t>
      </w:r>
      <w:r w:rsidRPr="00BB6220">
        <w:t>o</w:t>
      </w:r>
      <w:r w:rsidR="0072581C">
        <w:t>f</w:t>
      </w:r>
      <w:r w:rsidR="003D640C">
        <w:t xml:space="preserve"> </w:t>
      </w:r>
      <w:r w:rsidRPr="00BB6220">
        <w:t>conference</w:t>
      </w:r>
      <w:r w:rsidR="003D640C">
        <w:t xml:space="preserve"> </w:t>
      </w:r>
      <w:r w:rsidRPr="00BB6220">
        <w:t>attendees</w:t>
      </w:r>
      <w:r w:rsidR="003D640C">
        <w:t xml:space="preserve"> </w:t>
      </w:r>
      <w:r w:rsidRPr="00BB6220">
        <w:t>cited</w:t>
      </w:r>
      <w:r w:rsidR="003D640C">
        <w:t xml:space="preserve"> </w:t>
      </w:r>
      <w:r w:rsidRPr="00BB6220">
        <w:t>preaching,</w:t>
      </w:r>
      <w:r w:rsidR="003D640C">
        <w:t xml:space="preserve"> </w:t>
      </w:r>
      <w:r w:rsidRPr="00BB6220">
        <w:t>42</w:t>
      </w:r>
      <w:r w:rsidR="001D1BF7">
        <w:t xml:space="preserve"> percent</w:t>
      </w:r>
      <w:r w:rsidR="003D640C">
        <w:t xml:space="preserve"> </w:t>
      </w:r>
      <w:r w:rsidRPr="00BB6220">
        <w:t>worship,</w:t>
      </w:r>
      <w:r w:rsidR="003D640C">
        <w:t xml:space="preserve"> </w:t>
      </w:r>
      <w:r w:rsidRPr="00BB6220">
        <w:t>and</w:t>
      </w:r>
      <w:r w:rsidR="003D640C">
        <w:t xml:space="preserve"> </w:t>
      </w:r>
      <w:r w:rsidRPr="00BB6220">
        <w:t>39</w:t>
      </w:r>
      <w:r w:rsidR="001D1BF7">
        <w:t xml:space="preserve"> percent</w:t>
      </w:r>
      <w:r w:rsidR="003D640C">
        <w:t xml:space="preserve"> </w:t>
      </w:r>
      <w:r w:rsidRPr="00BB6220">
        <w:t>being</w:t>
      </w:r>
      <w:r w:rsidR="003D640C">
        <w:t xml:space="preserve"> </w:t>
      </w:r>
      <w:r w:rsidRPr="00BB6220">
        <w:t>around</w:t>
      </w:r>
      <w:r w:rsidR="003D640C">
        <w:t xml:space="preserve"> </w:t>
      </w:r>
      <w:r w:rsidRPr="00BB6220">
        <w:t>faith</w:t>
      </w:r>
      <w:r w:rsidR="003D640C">
        <w:t xml:space="preserve"> </w:t>
      </w:r>
      <w:r w:rsidRPr="00BB6220">
        <w:t>leaders.</w:t>
      </w:r>
    </w:p>
    <w:p w14:paraId="664B3499" w14:textId="5E0C6C99" w:rsidR="00AB756C" w:rsidRPr="00BB6220" w:rsidRDefault="00612569" w:rsidP="00C2162C">
      <w:r>
        <w:rPr>
          <w:noProof/>
        </w:rPr>
        <w:drawing>
          <wp:inline distT="0" distB="0" distL="0" distR="0" wp14:anchorId="1DAF09B8" wp14:editId="5F148D0B">
            <wp:extent cx="4572000" cy="2743200"/>
            <wp:effectExtent l="0" t="0" r="0" b="0"/>
            <wp:docPr id="584757866" name="Chart 1">
              <a:extLst xmlns:a="http://schemas.openxmlformats.org/drawingml/2006/main">
                <a:ext uri="{FF2B5EF4-FFF2-40B4-BE49-F238E27FC236}">
                  <a16:creationId xmlns:a16="http://schemas.microsoft.com/office/drawing/2014/main" id="{0791243F-0F6B-74F5-BF77-73C35ACDBB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183385" w14:textId="6830B0CE" w:rsidR="00CA1258" w:rsidRDefault="007B527F" w:rsidP="00C2162C">
      <w:pPr>
        <w:pStyle w:val="Caption"/>
        <w:rPr>
          <w:rFonts w:ascii="Calibri" w:eastAsia="Calibri" w:hAnsi="Calibri" w:cs="Calibri"/>
        </w:rPr>
      </w:pPr>
      <w:bookmarkStart w:id="145" w:name="_Toc174628731"/>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4</w:t>
      </w:r>
      <w:r w:rsidRPr="007B527F">
        <w:fldChar w:fldCharType="end"/>
      </w:r>
      <w:r w:rsidRPr="007B527F">
        <w:t>:</w:t>
      </w:r>
      <w:r w:rsidR="00CA1258" w:rsidRPr="00B1465F" w:rsidDel="008E1CCA">
        <w:rPr>
          <w:rFonts w:ascii="Calibri" w:eastAsia="Calibri" w:hAnsi="Calibri" w:cs="Calibri"/>
        </w:rPr>
        <w:t xml:space="preserve"> </w:t>
      </w:r>
      <w:r w:rsidR="00CA1258">
        <w:rPr>
          <w:rFonts w:ascii="Calibri" w:eastAsia="Calibri" w:hAnsi="Calibri" w:cs="Calibri"/>
        </w:rPr>
        <w:t>Aspects</w:t>
      </w:r>
      <w:r w:rsidR="003D640C">
        <w:rPr>
          <w:rFonts w:ascii="Calibri" w:eastAsia="Calibri" w:hAnsi="Calibri" w:cs="Calibri"/>
        </w:rPr>
        <w:t xml:space="preserve"> </w:t>
      </w:r>
      <w:r w:rsidR="00CA1258">
        <w:rPr>
          <w:rFonts w:ascii="Calibri" w:eastAsia="Calibri" w:hAnsi="Calibri" w:cs="Calibri"/>
        </w:rPr>
        <w:t>of</w:t>
      </w:r>
      <w:r w:rsidR="003D640C">
        <w:rPr>
          <w:rFonts w:ascii="Calibri" w:eastAsia="Calibri" w:hAnsi="Calibri" w:cs="Calibri"/>
        </w:rPr>
        <w:t xml:space="preserve"> </w:t>
      </w:r>
      <w:r w:rsidR="00CA1258">
        <w:rPr>
          <w:rFonts w:ascii="Calibri" w:eastAsia="Calibri" w:hAnsi="Calibri" w:cs="Calibri"/>
        </w:rPr>
        <w:t>faith</w:t>
      </w:r>
      <w:r w:rsidR="003D640C">
        <w:rPr>
          <w:rFonts w:ascii="Calibri" w:eastAsia="Calibri" w:hAnsi="Calibri" w:cs="Calibri"/>
        </w:rPr>
        <w:t xml:space="preserve"> </w:t>
      </w:r>
      <w:r w:rsidR="00CA1258">
        <w:rPr>
          <w:rFonts w:ascii="Calibri" w:eastAsia="Calibri" w:hAnsi="Calibri" w:cs="Calibri"/>
        </w:rPr>
        <w:t>settings</w:t>
      </w:r>
      <w:r w:rsidR="003D640C">
        <w:rPr>
          <w:rFonts w:ascii="Calibri" w:eastAsia="Calibri" w:hAnsi="Calibri" w:cs="Calibri"/>
        </w:rPr>
        <w:t xml:space="preserve"> </w:t>
      </w:r>
      <w:r w:rsidR="00CA1258">
        <w:rPr>
          <w:rFonts w:ascii="Calibri" w:eastAsia="Calibri" w:hAnsi="Calibri" w:cs="Calibri"/>
        </w:rPr>
        <w:t>that</w:t>
      </w:r>
      <w:r w:rsidR="003D640C">
        <w:rPr>
          <w:rFonts w:ascii="Calibri" w:eastAsia="Calibri" w:hAnsi="Calibri" w:cs="Calibri"/>
        </w:rPr>
        <w:t xml:space="preserve"> </w:t>
      </w:r>
      <w:r w:rsidR="00CA1258">
        <w:rPr>
          <w:rFonts w:ascii="Calibri" w:eastAsia="Calibri" w:hAnsi="Calibri" w:cs="Calibri"/>
        </w:rPr>
        <w:t>bring</w:t>
      </w:r>
      <w:r w:rsidR="003D640C">
        <w:rPr>
          <w:rFonts w:ascii="Calibri" w:eastAsia="Calibri" w:hAnsi="Calibri" w:cs="Calibri"/>
        </w:rPr>
        <w:t xml:space="preserve"> </w:t>
      </w:r>
      <w:r w:rsidR="00CA1258">
        <w:rPr>
          <w:rFonts w:ascii="Calibri" w:eastAsia="Calibri" w:hAnsi="Calibri" w:cs="Calibri"/>
        </w:rPr>
        <w:t>up</w:t>
      </w:r>
      <w:r w:rsidR="003D640C">
        <w:rPr>
          <w:rFonts w:ascii="Calibri" w:eastAsia="Calibri" w:hAnsi="Calibri" w:cs="Calibri"/>
        </w:rPr>
        <w:t xml:space="preserve"> </w:t>
      </w:r>
      <w:r w:rsidR="00CA1258">
        <w:rPr>
          <w:rFonts w:ascii="Calibri" w:eastAsia="Calibri" w:hAnsi="Calibri" w:cs="Calibri"/>
        </w:rPr>
        <w:t>bad</w:t>
      </w:r>
      <w:r w:rsidR="003D640C">
        <w:rPr>
          <w:rFonts w:ascii="Calibri" w:eastAsia="Calibri" w:hAnsi="Calibri" w:cs="Calibri"/>
        </w:rPr>
        <w:t xml:space="preserve"> </w:t>
      </w:r>
      <w:r w:rsidR="00CA1258">
        <w:rPr>
          <w:rFonts w:ascii="Calibri" w:eastAsia="Calibri" w:hAnsi="Calibri" w:cs="Calibri"/>
        </w:rPr>
        <w:t>memories</w:t>
      </w:r>
      <w:r w:rsidR="003D640C">
        <w:rPr>
          <w:rFonts w:ascii="Calibri" w:eastAsia="Calibri" w:hAnsi="Calibri" w:cs="Calibri"/>
        </w:rPr>
        <w:t xml:space="preserve"> </w:t>
      </w:r>
      <w:r w:rsidR="009623B5">
        <w:rPr>
          <w:rFonts w:ascii="Calibri" w:eastAsia="Calibri" w:hAnsi="Calibri" w:cs="Calibri"/>
        </w:rPr>
        <w:t>–</w:t>
      </w:r>
      <w:r w:rsidR="003D640C">
        <w:rPr>
          <w:rFonts w:ascii="Calibri" w:eastAsia="Calibri" w:hAnsi="Calibri" w:cs="Calibri"/>
        </w:rPr>
        <w:t xml:space="preserve"> </w:t>
      </w:r>
      <w:r w:rsidR="00CA1258" w:rsidRPr="00B1465F">
        <w:t>survey</w:t>
      </w:r>
      <w:r w:rsidR="003D640C">
        <w:t xml:space="preserve"> </w:t>
      </w:r>
      <w:r w:rsidR="00CA1258" w:rsidRPr="00B1465F">
        <w:t>results</w:t>
      </w:r>
      <w:r w:rsidR="003D640C">
        <w:t xml:space="preserve"> </w:t>
      </w:r>
      <w:r w:rsidR="00CA1258" w:rsidRPr="00B1465F">
        <w:t>from</w:t>
      </w:r>
      <w:r w:rsidR="003D640C">
        <w:t xml:space="preserve"> </w:t>
      </w:r>
      <w:r w:rsidR="00CA1258" w:rsidRPr="00B1465F">
        <w:t>Awaken</w:t>
      </w:r>
      <w:r w:rsidR="003D640C">
        <w:t xml:space="preserve"> </w:t>
      </w:r>
      <w:r w:rsidR="00CA1258" w:rsidRPr="00B1465F">
        <w:t>|</w:t>
      </w:r>
      <w:r w:rsidR="003D640C">
        <w:t xml:space="preserve"> </w:t>
      </w:r>
      <w:r w:rsidR="00CA1258" w:rsidRPr="00B1465F">
        <w:t>Maranga</w:t>
      </w:r>
      <w:r w:rsidR="003D640C">
        <w:t xml:space="preserve"> </w:t>
      </w:r>
      <w:r w:rsidR="00CA1258" w:rsidRPr="00B1465F">
        <w:t>Mai</w:t>
      </w:r>
      <w:r w:rsidR="003D640C">
        <w:t xml:space="preserve"> </w:t>
      </w:r>
      <w:r w:rsidR="00CA1258" w:rsidRPr="00B1465F">
        <w:t>conference</w:t>
      </w:r>
      <w:r w:rsidR="003D640C">
        <w:t xml:space="preserve"> </w:t>
      </w:r>
      <w:r w:rsidR="00CA1258" w:rsidRPr="00B1465F">
        <w:t>2023</w:t>
      </w:r>
      <w:r w:rsidR="009F5D78">
        <w:t>,</w:t>
      </w:r>
      <w:r w:rsidR="005D780A">
        <w:t xml:space="preserve"> (up to 4 answers possible).</w:t>
      </w:r>
      <w:bookmarkEnd w:id="145"/>
    </w:p>
    <w:p w14:paraId="0EA624A0" w14:textId="143F061B" w:rsidR="00A93DA3" w:rsidRDefault="00B950E6" w:rsidP="00C2162C">
      <w:r w:rsidRPr="00BB6220">
        <w:t>When</w:t>
      </w:r>
      <w:r w:rsidR="003D640C">
        <w:t xml:space="preserve"> </w:t>
      </w:r>
      <w:r w:rsidRPr="00BB6220">
        <w:t>asked</w:t>
      </w:r>
      <w:r w:rsidR="003D640C">
        <w:t xml:space="preserve"> </w:t>
      </w:r>
      <w:r w:rsidRPr="00BB6220">
        <w:t>what</w:t>
      </w:r>
      <w:r w:rsidR="003D640C">
        <w:t xml:space="preserve"> </w:t>
      </w:r>
      <w:r w:rsidRPr="00BB6220">
        <w:t>would</w:t>
      </w:r>
      <w:r w:rsidR="003D640C">
        <w:t xml:space="preserve"> </w:t>
      </w:r>
      <w:r w:rsidRPr="00BB6220">
        <w:t>help</w:t>
      </w:r>
      <w:r w:rsidR="003D640C">
        <w:t xml:space="preserve"> </w:t>
      </w:r>
      <w:r w:rsidRPr="00BB6220">
        <w:t>faith</w:t>
      </w:r>
      <w:r w:rsidR="003D640C">
        <w:t xml:space="preserve"> </w:t>
      </w:r>
      <w:r w:rsidRPr="00BB6220">
        <w:t>settings</w:t>
      </w:r>
      <w:r w:rsidR="003D640C">
        <w:t xml:space="preserve"> </w:t>
      </w:r>
      <w:r w:rsidRPr="00BB6220">
        <w:t>feel</w:t>
      </w:r>
      <w:r w:rsidR="003D640C">
        <w:t xml:space="preserve"> </w:t>
      </w:r>
      <w:r w:rsidRPr="00BB6220">
        <w:t>safer,</w:t>
      </w:r>
      <w:r w:rsidR="003D640C">
        <w:t xml:space="preserve"> </w:t>
      </w:r>
      <w:r w:rsidRPr="00BB6220">
        <w:t>the</w:t>
      </w:r>
      <w:r w:rsidR="003D640C">
        <w:t xml:space="preserve"> </w:t>
      </w:r>
      <w:r w:rsidRPr="00BB6220">
        <w:t>overwhelming</w:t>
      </w:r>
      <w:r w:rsidR="003D640C">
        <w:t xml:space="preserve"> </w:t>
      </w:r>
      <w:r w:rsidRPr="00BB6220">
        <w:t>response</w:t>
      </w:r>
      <w:r w:rsidR="003D640C">
        <w:t xml:space="preserve"> </w:t>
      </w:r>
      <w:r w:rsidRPr="00BB6220">
        <w:t>was</w:t>
      </w:r>
      <w:r w:rsidR="003D640C">
        <w:t xml:space="preserve"> </w:t>
      </w:r>
      <w:r w:rsidRPr="00BB6220">
        <w:t>seeing</w:t>
      </w:r>
      <w:r w:rsidR="003D640C">
        <w:t xml:space="preserve"> </w:t>
      </w:r>
      <w:r w:rsidRPr="00BB6220">
        <w:t>Rainbow</w:t>
      </w:r>
      <w:r w:rsidR="003D640C">
        <w:t xml:space="preserve"> </w:t>
      </w:r>
      <w:r w:rsidRPr="00BB6220">
        <w:t>people</w:t>
      </w:r>
      <w:r w:rsidR="003D640C">
        <w:t xml:space="preserve"> </w:t>
      </w:r>
      <w:r w:rsidRPr="00BB6220">
        <w:t>in</w:t>
      </w:r>
      <w:r w:rsidR="003D640C">
        <w:t xml:space="preserve"> </w:t>
      </w:r>
      <w:r w:rsidRPr="00BB6220">
        <w:t>leadership</w:t>
      </w:r>
      <w:r w:rsidR="003D640C">
        <w:t xml:space="preserve"> </w:t>
      </w:r>
      <w:r w:rsidRPr="00BB6220">
        <w:t>roles</w:t>
      </w:r>
      <w:r w:rsidR="003D640C">
        <w:t xml:space="preserve"> </w:t>
      </w:r>
      <w:r w:rsidRPr="00BB6220">
        <w:t>(77</w:t>
      </w:r>
      <w:r w:rsidR="001D1BF7">
        <w:t xml:space="preserve"> percent</w:t>
      </w:r>
      <w:r w:rsidRPr="00BB6220">
        <w:t>)</w:t>
      </w:r>
      <w:r w:rsidR="003D640C">
        <w:t xml:space="preserve"> </w:t>
      </w:r>
      <w:r w:rsidRPr="00BB6220">
        <w:t>and</w:t>
      </w:r>
      <w:r w:rsidR="003D640C">
        <w:t xml:space="preserve"> </w:t>
      </w:r>
      <w:r w:rsidRPr="00BB6220">
        <w:t>seeing</w:t>
      </w:r>
      <w:r w:rsidR="003D640C">
        <w:t xml:space="preserve"> </w:t>
      </w:r>
      <w:r w:rsidRPr="00BB6220">
        <w:t>explicit</w:t>
      </w:r>
      <w:r w:rsidR="003D640C">
        <w:t xml:space="preserve"> </w:t>
      </w:r>
      <w:r w:rsidRPr="00BB6220">
        <w:t>evidence</w:t>
      </w:r>
      <w:r w:rsidR="003D640C">
        <w:t xml:space="preserve"> </w:t>
      </w:r>
      <w:r w:rsidRPr="00BB6220">
        <w:t>such</w:t>
      </w:r>
      <w:r w:rsidR="003D640C">
        <w:t xml:space="preserve"> </w:t>
      </w:r>
      <w:r w:rsidRPr="00BB6220">
        <w:t>as</w:t>
      </w:r>
      <w:r w:rsidR="003D640C">
        <w:t xml:space="preserve"> </w:t>
      </w:r>
      <w:r w:rsidRPr="00BB6220">
        <w:t>published</w:t>
      </w:r>
      <w:r w:rsidR="003D640C">
        <w:t xml:space="preserve"> </w:t>
      </w:r>
      <w:r w:rsidRPr="00BB6220">
        <w:t>statements</w:t>
      </w:r>
      <w:r w:rsidR="003D640C">
        <w:t xml:space="preserve"> </w:t>
      </w:r>
      <w:r w:rsidRPr="00BB6220">
        <w:t>that</w:t>
      </w:r>
      <w:r w:rsidR="003D640C">
        <w:t xml:space="preserve"> </w:t>
      </w:r>
      <w:r w:rsidRPr="00BB6220">
        <w:t>Rainbow</w:t>
      </w:r>
      <w:r w:rsidR="003D640C">
        <w:t xml:space="preserve"> </w:t>
      </w:r>
      <w:r w:rsidRPr="00BB6220">
        <w:t>people</w:t>
      </w:r>
      <w:r w:rsidR="003D640C">
        <w:t xml:space="preserve"> </w:t>
      </w:r>
      <w:r w:rsidRPr="00BB6220">
        <w:t>are</w:t>
      </w:r>
      <w:r w:rsidR="003D640C">
        <w:t xml:space="preserve"> </w:t>
      </w:r>
      <w:r w:rsidRPr="00BB6220">
        <w:t>affirmed</w:t>
      </w:r>
      <w:r w:rsidR="003D640C">
        <w:t xml:space="preserve"> </w:t>
      </w:r>
      <w:r w:rsidRPr="00BB6220">
        <w:t>(69</w:t>
      </w:r>
      <w:r w:rsidR="001D1BF7">
        <w:t xml:space="preserve"> percent</w:t>
      </w:r>
      <w:r w:rsidRPr="00BB6220">
        <w:t>).</w:t>
      </w:r>
    </w:p>
    <w:p w14:paraId="665C052C" w14:textId="09B903EE" w:rsidR="00C2162C" w:rsidRPr="00B1465F" w:rsidRDefault="00C80233" w:rsidP="00C2162C">
      <w:r>
        <w:rPr>
          <w:noProof/>
        </w:rPr>
        <w:lastRenderedPageBreak/>
        <w:drawing>
          <wp:inline distT="0" distB="0" distL="0" distR="0" wp14:anchorId="18CEFED6" wp14:editId="3981CBE1">
            <wp:extent cx="4600575" cy="5005388"/>
            <wp:effectExtent l="0" t="0" r="6350" b="13335"/>
            <wp:docPr id="905215521" name="Chart 1">
              <a:extLst xmlns:a="http://schemas.openxmlformats.org/drawingml/2006/main">
                <a:ext uri="{FF2B5EF4-FFF2-40B4-BE49-F238E27FC236}">
                  <a16:creationId xmlns:a16="http://schemas.microsoft.com/office/drawing/2014/main" id="{F5D134A8-E8FE-B03B-74AF-433F02922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F8566F" w14:textId="5F0632CC" w:rsidR="00B950E6" w:rsidRPr="00B1465F" w:rsidRDefault="007B527F" w:rsidP="007B527F">
      <w:pPr>
        <w:pStyle w:val="Caption"/>
        <w:rPr>
          <w:rFonts w:ascii="Calibri" w:eastAsia="Calibri" w:hAnsi="Calibri" w:cs="Calibri"/>
        </w:rPr>
      </w:pPr>
      <w:bookmarkStart w:id="146" w:name="_Toc174628732"/>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5</w:t>
      </w:r>
      <w:r w:rsidRPr="007B527F">
        <w:fldChar w:fldCharType="end"/>
      </w:r>
      <w:r w:rsidR="00B950E6" w:rsidRPr="00B1465F">
        <w:rPr>
          <w:rFonts w:ascii="Calibri" w:eastAsia="Calibri" w:hAnsi="Calibri" w:cs="Calibri"/>
        </w:rPr>
        <w:t>:</w:t>
      </w:r>
      <w:r w:rsidR="003D640C">
        <w:rPr>
          <w:rFonts w:ascii="Calibri" w:eastAsia="Calibri" w:hAnsi="Calibri" w:cs="Calibri"/>
        </w:rPr>
        <w:t xml:space="preserve"> </w:t>
      </w:r>
      <w:r w:rsidR="00B950E6" w:rsidRPr="00B1465F">
        <w:rPr>
          <w:rFonts w:ascii="Calibri" w:eastAsia="Calibri" w:hAnsi="Calibri" w:cs="Calibri"/>
        </w:rPr>
        <w:t>Ways</w:t>
      </w:r>
      <w:r w:rsidR="003D640C">
        <w:rPr>
          <w:rFonts w:ascii="Calibri" w:eastAsia="Calibri" w:hAnsi="Calibri" w:cs="Calibri"/>
        </w:rPr>
        <w:t xml:space="preserve"> </w:t>
      </w:r>
      <w:r w:rsidR="00B950E6" w:rsidRPr="00B1465F">
        <w:rPr>
          <w:rFonts w:ascii="Calibri" w:eastAsia="Calibri" w:hAnsi="Calibri" w:cs="Calibri"/>
        </w:rPr>
        <w:t>to</w:t>
      </w:r>
      <w:r w:rsidR="003D640C">
        <w:rPr>
          <w:rFonts w:ascii="Calibri" w:eastAsia="Calibri" w:hAnsi="Calibri" w:cs="Calibri"/>
        </w:rPr>
        <w:t xml:space="preserve"> </w:t>
      </w:r>
      <w:r w:rsidR="00B950E6" w:rsidRPr="00B1465F">
        <w:rPr>
          <w:rFonts w:ascii="Calibri" w:eastAsia="Calibri" w:hAnsi="Calibri" w:cs="Calibri"/>
        </w:rPr>
        <w:t>make</w:t>
      </w:r>
      <w:r w:rsidR="003D640C">
        <w:rPr>
          <w:rFonts w:ascii="Calibri" w:eastAsia="Calibri" w:hAnsi="Calibri" w:cs="Calibri"/>
        </w:rPr>
        <w:t xml:space="preserve"> </w:t>
      </w:r>
      <w:r w:rsidR="00B950E6" w:rsidRPr="00B1465F">
        <w:rPr>
          <w:rFonts w:ascii="Calibri" w:eastAsia="Calibri" w:hAnsi="Calibri" w:cs="Calibri"/>
        </w:rPr>
        <w:t>faith</w:t>
      </w:r>
      <w:r w:rsidR="003D640C">
        <w:rPr>
          <w:rFonts w:ascii="Calibri" w:eastAsia="Calibri" w:hAnsi="Calibri" w:cs="Calibri"/>
        </w:rPr>
        <w:t xml:space="preserve"> </w:t>
      </w:r>
      <w:r w:rsidR="00B950E6" w:rsidRPr="00B1465F">
        <w:rPr>
          <w:rFonts w:ascii="Calibri" w:eastAsia="Calibri" w:hAnsi="Calibri" w:cs="Calibri"/>
        </w:rPr>
        <w:t>settings</w:t>
      </w:r>
      <w:r w:rsidR="003D640C">
        <w:rPr>
          <w:rFonts w:ascii="Calibri" w:eastAsia="Calibri" w:hAnsi="Calibri" w:cs="Calibri"/>
        </w:rPr>
        <w:t xml:space="preserve"> </w:t>
      </w:r>
      <w:r w:rsidR="00B950E6" w:rsidRPr="00B1465F">
        <w:rPr>
          <w:rFonts w:ascii="Calibri" w:eastAsia="Calibri" w:hAnsi="Calibri" w:cs="Calibri"/>
        </w:rPr>
        <w:t>feel</w:t>
      </w:r>
      <w:r w:rsidR="003D640C">
        <w:rPr>
          <w:rFonts w:ascii="Calibri" w:eastAsia="Calibri" w:hAnsi="Calibri" w:cs="Calibri"/>
        </w:rPr>
        <w:t xml:space="preserve"> </w:t>
      </w:r>
      <w:r w:rsidR="00B950E6" w:rsidRPr="00B1465F">
        <w:rPr>
          <w:rFonts w:ascii="Calibri" w:eastAsia="Calibri" w:hAnsi="Calibri" w:cs="Calibri"/>
        </w:rPr>
        <w:t>safer</w:t>
      </w:r>
      <w:r w:rsidR="003D640C">
        <w:rPr>
          <w:rFonts w:ascii="Calibri" w:eastAsia="Calibri" w:hAnsi="Calibri" w:cs="Calibri"/>
        </w:rPr>
        <w:t xml:space="preserve"> </w:t>
      </w:r>
      <w:r w:rsidR="00B950E6" w:rsidRPr="00B1465F">
        <w:rPr>
          <w:rFonts w:ascii="Calibri" w:eastAsia="Calibri" w:hAnsi="Calibri" w:cs="Calibri"/>
        </w:rPr>
        <w:t>for</w:t>
      </w:r>
      <w:r w:rsidR="003D640C">
        <w:rPr>
          <w:rFonts w:ascii="Calibri" w:eastAsia="Calibri" w:hAnsi="Calibri" w:cs="Calibri"/>
        </w:rPr>
        <w:t xml:space="preserve"> </w:t>
      </w:r>
      <w:r w:rsidR="00B950E6" w:rsidRPr="00B1465F">
        <w:rPr>
          <w:rFonts w:ascii="Calibri" w:eastAsia="Calibri" w:hAnsi="Calibri" w:cs="Calibri"/>
        </w:rPr>
        <w:t>Rainbow</w:t>
      </w:r>
      <w:r w:rsidR="003D640C">
        <w:rPr>
          <w:rFonts w:ascii="Calibri" w:eastAsia="Calibri" w:hAnsi="Calibri" w:cs="Calibri"/>
        </w:rPr>
        <w:t xml:space="preserve"> </w:t>
      </w:r>
      <w:r w:rsidR="00B950E6" w:rsidRPr="00B1465F">
        <w:rPr>
          <w:rFonts w:ascii="Calibri" w:eastAsia="Calibri" w:hAnsi="Calibri" w:cs="Calibri"/>
        </w:rPr>
        <w:t>people</w:t>
      </w:r>
      <w:r w:rsidR="003D640C">
        <w:rPr>
          <w:rFonts w:ascii="Calibri" w:eastAsia="Calibri" w:hAnsi="Calibri" w:cs="Calibri"/>
        </w:rPr>
        <w:t xml:space="preserve"> </w:t>
      </w:r>
      <w:r w:rsidR="009623B5">
        <w:rPr>
          <w:rFonts w:ascii="Calibri" w:eastAsia="Calibri" w:hAnsi="Calibri" w:cs="Calibri"/>
        </w:rPr>
        <w:t xml:space="preserve">– </w:t>
      </w:r>
      <w:r w:rsidR="00391CCA" w:rsidRPr="00B1465F">
        <w:t>survey</w:t>
      </w:r>
      <w:r w:rsidR="003D640C">
        <w:t xml:space="preserve"> </w:t>
      </w:r>
      <w:r w:rsidR="00391CCA" w:rsidRPr="00B1465F">
        <w:t>results</w:t>
      </w:r>
      <w:r w:rsidR="003D640C">
        <w:t xml:space="preserve"> </w:t>
      </w:r>
      <w:r w:rsidR="00391CCA" w:rsidRPr="00B1465F">
        <w:t>from</w:t>
      </w:r>
      <w:r w:rsidR="003D640C">
        <w:t xml:space="preserve"> </w:t>
      </w:r>
      <w:r w:rsidR="00391CCA" w:rsidRPr="00B1465F">
        <w:t>Awaken</w:t>
      </w:r>
      <w:r w:rsidR="003D640C">
        <w:t xml:space="preserve"> </w:t>
      </w:r>
      <w:r w:rsidR="00391CCA" w:rsidRPr="00B1465F">
        <w:t>|</w:t>
      </w:r>
      <w:r w:rsidR="003D640C">
        <w:t xml:space="preserve"> </w:t>
      </w:r>
      <w:r w:rsidR="00391CCA" w:rsidRPr="00B1465F">
        <w:t>Maranga</w:t>
      </w:r>
      <w:r w:rsidR="003D640C">
        <w:t xml:space="preserve"> </w:t>
      </w:r>
      <w:r w:rsidR="00391CCA" w:rsidRPr="00B1465F">
        <w:t>Mai</w:t>
      </w:r>
      <w:r w:rsidR="003D640C">
        <w:t xml:space="preserve"> </w:t>
      </w:r>
      <w:r w:rsidR="00391CCA" w:rsidRPr="00B1465F">
        <w:t>conference</w:t>
      </w:r>
      <w:r w:rsidR="003D640C">
        <w:t xml:space="preserve"> </w:t>
      </w:r>
      <w:r w:rsidR="00391CCA" w:rsidRPr="00B1465F">
        <w:t>2023</w:t>
      </w:r>
      <w:r w:rsidR="006F733A">
        <w:t xml:space="preserve">, </w:t>
      </w:r>
      <w:r w:rsidR="00325B3F">
        <w:t>(</w:t>
      </w:r>
      <w:r w:rsidR="006F733A">
        <w:t>up to 5 answers possible)</w:t>
      </w:r>
      <w:r w:rsidR="009623B5">
        <w:t>.</w:t>
      </w:r>
      <w:bookmarkEnd w:id="146"/>
    </w:p>
    <w:p w14:paraId="51A5D6F9" w14:textId="6B763D04" w:rsidR="008B7517" w:rsidRPr="00BB6220" w:rsidRDefault="008A7047" w:rsidP="00C2162C">
      <w:r w:rsidRPr="00BB6220">
        <w:t>C</w:t>
      </w:r>
      <w:r w:rsidR="00D05424" w:rsidRPr="00BB6220">
        <w:t>onversion</w:t>
      </w:r>
      <w:r w:rsidR="003D640C">
        <w:t xml:space="preserve"> </w:t>
      </w:r>
      <w:r w:rsidR="00D05424" w:rsidRPr="00BB6220">
        <w:t>practices</w:t>
      </w:r>
      <w:r w:rsidR="003D640C">
        <w:t xml:space="preserve"> </w:t>
      </w:r>
      <w:r w:rsidR="00D05424" w:rsidRPr="00BB6220">
        <w:t>in</w:t>
      </w:r>
      <w:r w:rsidR="003D640C">
        <w:t xml:space="preserve"> </w:t>
      </w:r>
      <w:r w:rsidR="00D05424" w:rsidRPr="00BB6220">
        <w:t>faith</w:t>
      </w:r>
      <w:r w:rsidR="003D640C">
        <w:t xml:space="preserve"> </w:t>
      </w:r>
      <w:r w:rsidR="00D05424" w:rsidRPr="00BB6220">
        <w:t>settings</w:t>
      </w:r>
      <w:r w:rsidR="003D640C">
        <w:t xml:space="preserve"> </w:t>
      </w:r>
      <w:r w:rsidR="00D05424" w:rsidRPr="00BB6220">
        <w:t>can</w:t>
      </w:r>
      <w:r w:rsidR="003D640C">
        <w:t xml:space="preserve"> </w:t>
      </w:r>
      <w:r w:rsidR="00E77949" w:rsidRPr="00BB6220">
        <w:t>also</w:t>
      </w:r>
      <w:r w:rsidR="003D640C">
        <w:t xml:space="preserve"> </w:t>
      </w:r>
      <w:r w:rsidRPr="00BB6220">
        <w:t>take</w:t>
      </w:r>
      <w:r w:rsidR="003D640C">
        <w:t xml:space="preserve"> </w:t>
      </w:r>
      <w:r w:rsidR="00D40260">
        <w:t>non-</w:t>
      </w:r>
      <w:r w:rsidR="00D05424" w:rsidRPr="00BB6220">
        <w:t>obvious</w:t>
      </w:r>
      <w:r w:rsidR="003D640C">
        <w:t xml:space="preserve"> </w:t>
      </w:r>
      <w:r w:rsidR="00D05424" w:rsidRPr="00BB6220">
        <w:t>forms</w:t>
      </w:r>
      <w:r w:rsidR="003D640C">
        <w:t xml:space="preserve"> </w:t>
      </w:r>
      <w:r w:rsidR="00D05424" w:rsidRPr="00BB6220">
        <w:t>such</w:t>
      </w:r>
      <w:r w:rsidR="003D640C">
        <w:t xml:space="preserve"> </w:t>
      </w:r>
      <w:r w:rsidR="00D05424" w:rsidRPr="00BB6220">
        <w:t>as</w:t>
      </w:r>
      <w:r w:rsidR="003D640C">
        <w:t xml:space="preserve"> </w:t>
      </w:r>
      <w:r w:rsidR="00D05424" w:rsidRPr="00BB6220">
        <w:t>study</w:t>
      </w:r>
      <w:r w:rsidR="003D640C">
        <w:t xml:space="preserve"> </w:t>
      </w:r>
      <w:r w:rsidR="00D05424" w:rsidRPr="00BB6220">
        <w:t>groups,</w:t>
      </w:r>
      <w:r w:rsidR="003D640C">
        <w:t xml:space="preserve"> </w:t>
      </w:r>
      <w:r w:rsidR="00D05424" w:rsidRPr="00BB6220">
        <w:t>prayer,</w:t>
      </w:r>
      <w:r w:rsidR="003D640C">
        <w:t xml:space="preserve"> </w:t>
      </w:r>
      <w:r w:rsidR="00D05424" w:rsidRPr="00BB6220">
        <w:t>mentoring,</w:t>
      </w:r>
      <w:r w:rsidR="003D640C">
        <w:t xml:space="preserve"> </w:t>
      </w:r>
      <w:r w:rsidR="00D05424" w:rsidRPr="00BB6220">
        <w:t>or</w:t>
      </w:r>
      <w:r w:rsidR="003D640C">
        <w:t xml:space="preserve"> </w:t>
      </w:r>
      <w:r w:rsidR="00D05424" w:rsidRPr="00BB6220">
        <w:t>informal</w:t>
      </w:r>
      <w:r w:rsidR="003D640C">
        <w:t xml:space="preserve"> </w:t>
      </w:r>
      <w:r w:rsidR="00D05424" w:rsidRPr="00BB6220">
        <w:t>conversations.</w:t>
      </w:r>
      <w:r w:rsidR="003D640C">
        <w:t xml:space="preserve"> </w:t>
      </w:r>
      <w:r w:rsidR="008B7517" w:rsidRPr="00BB6220">
        <w:t>They</w:t>
      </w:r>
      <w:r w:rsidR="003D640C">
        <w:t xml:space="preserve"> </w:t>
      </w:r>
      <w:r w:rsidR="008B7517" w:rsidRPr="00BB6220">
        <w:t>can</w:t>
      </w:r>
      <w:r w:rsidR="003D640C">
        <w:t xml:space="preserve"> </w:t>
      </w:r>
      <w:r w:rsidR="008B7517" w:rsidRPr="00BB6220">
        <w:t>be</w:t>
      </w:r>
      <w:r w:rsidR="003D640C">
        <w:t xml:space="preserve"> </w:t>
      </w:r>
      <w:r w:rsidR="00F67C33">
        <w:t>disguised</w:t>
      </w:r>
      <w:r w:rsidR="003D640C">
        <w:t xml:space="preserve"> </w:t>
      </w:r>
      <w:r w:rsidR="008B7517" w:rsidRPr="00BB6220">
        <w:t>or</w:t>
      </w:r>
      <w:r w:rsidR="003D640C">
        <w:t xml:space="preserve"> </w:t>
      </w:r>
      <w:r w:rsidR="008B7517" w:rsidRPr="00BB6220">
        <w:t>portrayed</w:t>
      </w:r>
      <w:r w:rsidR="003D640C">
        <w:t xml:space="preserve"> </w:t>
      </w:r>
      <w:r w:rsidR="008B7517" w:rsidRPr="00BB6220">
        <w:t>as</w:t>
      </w:r>
      <w:r w:rsidR="003D640C">
        <w:t xml:space="preserve"> </w:t>
      </w:r>
      <w:r w:rsidR="008B7517" w:rsidRPr="00BB6220">
        <w:t>pastoral</w:t>
      </w:r>
      <w:r w:rsidR="003D640C">
        <w:t xml:space="preserve"> </w:t>
      </w:r>
      <w:r w:rsidR="008B7517" w:rsidRPr="00BB6220">
        <w:t>support.</w:t>
      </w:r>
      <w:r w:rsidR="003D640C">
        <w:t xml:space="preserve"> </w:t>
      </w:r>
      <w:r w:rsidR="008B7517" w:rsidRPr="00BB6220">
        <w:t>Survivor</w:t>
      </w:r>
      <w:r w:rsidR="003D640C">
        <w:t xml:space="preserve"> </w:t>
      </w:r>
      <w:r w:rsidR="008B7517" w:rsidRPr="00BB6220">
        <w:t>accounts</w:t>
      </w:r>
      <w:r w:rsidR="003D640C">
        <w:t xml:space="preserve"> </w:t>
      </w:r>
      <w:r w:rsidR="008B7517" w:rsidRPr="00BB6220">
        <w:t>suggest</w:t>
      </w:r>
      <w:r w:rsidR="003D640C">
        <w:t xml:space="preserve"> </w:t>
      </w:r>
      <w:r w:rsidR="008B7517" w:rsidRPr="00BB6220">
        <w:t>that</w:t>
      </w:r>
      <w:r w:rsidR="003C6A61">
        <w:t>,</w:t>
      </w:r>
      <w:r w:rsidR="003D640C">
        <w:t xml:space="preserve"> </w:t>
      </w:r>
      <w:r w:rsidR="008B7517" w:rsidRPr="00BB6220">
        <w:t>because</w:t>
      </w:r>
      <w:r w:rsidR="003D640C">
        <w:t xml:space="preserve"> </w:t>
      </w:r>
      <w:r w:rsidR="008B7517" w:rsidRPr="00BB6220">
        <w:t>of</w:t>
      </w:r>
      <w:r w:rsidR="003D640C">
        <w:t xml:space="preserve"> </w:t>
      </w:r>
      <w:r w:rsidR="008B7517" w:rsidRPr="00BB6220">
        <w:t>this,</w:t>
      </w:r>
      <w:r w:rsidR="003D640C">
        <w:t xml:space="preserve"> </w:t>
      </w:r>
      <w:r w:rsidR="008B7517" w:rsidRPr="00BB6220">
        <w:t>people</w:t>
      </w:r>
      <w:r w:rsidR="003D640C">
        <w:t xml:space="preserve"> </w:t>
      </w:r>
      <w:r w:rsidR="008B7517" w:rsidRPr="00BB6220">
        <w:t>who</w:t>
      </w:r>
      <w:r w:rsidR="003D640C">
        <w:t xml:space="preserve"> </w:t>
      </w:r>
      <w:r w:rsidR="008B7517" w:rsidRPr="00BB6220">
        <w:t>have</w:t>
      </w:r>
      <w:r w:rsidR="003D640C">
        <w:t xml:space="preserve"> </w:t>
      </w:r>
      <w:r w:rsidR="008B7517" w:rsidRPr="00BB6220">
        <w:t>experienced</w:t>
      </w:r>
      <w:r w:rsidR="003D640C">
        <w:t xml:space="preserve"> </w:t>
      </w:r>
      <w:r w:rsidR="008B7517" w:rsidRPr="00BB6220">
        <w:t>conversion</w:t>
      </w:r>
      <w:r w:rsidR="003D640C">
        <w:t xml:space="preserve"> </w:t>
      </w:r>
      <w:r w:rsidR="008B7517" w:rsidRPr="00BB6220">
        <w:t>practices</w:t>
      </w:r>
      <w:r w:rsidR="003D640C">
        <w:t xml:space="preserve"> </w:t>
      </w:r>
      <w:r w:rsidR="008B7517" w:rsidRPr="00BB6220">
        <w:t>in</w:t>
      </w:r>
      <w:r w:rsidR="003D640C">
        <w:t xml:space="preserve"> </w:t>
      </w:r>
      <w:r w:rsidR="008B7517" w:rsidRPr="00BB6220">
        <w:t>these</w:t>
      </w:r>
      <w:r w:rsidR="003D640C">
        <w:t xml:space="preserve"> </w:t>
      </w:r>
      <w:r w:rsidR="008B7517" w:rsidRPr="00BB6220">
        <w:t>forms</w:t>
      </w:r>
      <w:r w:rsidR="003D640C">
        <w:t xml:space="preserve"> </w:t>
      </w:r>
      <w:r w:rsidR="008B7517" w:rsidRPr="00BB6220">
        <w:t>may</w:t>
      </w:r>
      <w:r w:rsidR="003D640C">
        <w:t xml:space="preserve"> </w:t>
      </w:r>
      <w:r w:rsidR="008B7517" w:rsidRPr="00BB6220">
        <w:t>have</w:t>
      </w:r>
      <w:r w:rsidR="003D640C">
        <w:t xml:space="preserve"> </w:t>
      </w:r>
      <w:r w:rsidR="008B7517" w:rsidRPr="00BB6220">
        <w:t>difficulty</w:t>
      </w:r>
      <w:r w:rsidR="003D640C">
        <w:t xml:space="preserve"> </w:t>
      </w:r>
      <w:r w:rsidR="008B7517" w:rsidRPr="00BB6220">
        <w:t>recognising</w:t>
      </w:r>
      <w:r w:rsidR="003D640C">
        <w:t xml:space="preserve"> </w:t>
      </w:r>
      <w:r w:rsidR="008B7517" w:rsidRPr="00BB6220">
        <w:t>or</w:t>
      </w:r>
      <w:r w:rsidR="003D640C">
        <w:t xml:space="preserve"> </w:t>
      </w:r>
      <w:r w:rsidR="008B7517" w:rsidRPr="00BB6220">
        <w:t>being</w:t>
      </w:r>
      <w:r w:rsidR="003D640C">
        <w:t xml:space="preserve"> </w:t>
      </w:r>
      <w:r w:rsidR="008B7517" w:rsidRPr="00BB6220">
        <w:t>able</w:t>
      </w:r>
      <w:r w:rsidR="003D640C">
        <w:t xml:space="preserve"> </w:t>
      </w:r>
      <w:r w:rsidR="008B7517" w:rsidRPr="00BB6220">
        <w:t>to</w:t>
      </w:r>
      <w:r w:rsidR="003D640C">
        <w:t xml:space="preserve"> </w:t>
      </w:r>
      <w:r w:rsidR="008B7517" w:rsidRPr="00BB6220">
        <w:t>explain</w:t>
      </w:r>
      <w:r w:rsidR="003D640C">
        <w:t xml:space="preserve"> </w:t>
      </w:r>
      <w:r w:rsidR="008B7517" w:rsidRPr="00BB6220">
        <w:t>what</w:t>
      </w:r>
      <w:r w:rsidR="003D640C">
        <w:t xml:space="preserve"> </w:t>
      </w:r>
      <w:r w:rsidR="008B7517" w:rsidRPr="00BB6220">
        <w:t>has</w:t>
      </w:r>
      <w:r w:rsidR="003D640C">
        <w:t xml:space="preserve"> </w:t>
      </w:r>
      <w:r w:rsidR="008B7517" w:rsidRPr="00BB6220">
        <w:t>happened</w:t>
      </w:r>
      <w:r w:rsidR="003D640C">
        <w:t xml:space="preserve"> </w:t>
      </w:r>
      <w:r w:rsidR="008B7517" w:rsidRPr="00BB6220">
        <w:t>to</w:t>
      </w:r>
      <w:r w:rsidR="003D640C">
        <w:t xml:space="preserve"> </w:t>
      </w:r>
      <w:r w:rsidR="008B7517" w:rsidRPr="00BB6220">
        <w:t>them.</w:t>
      </w:r>
    </w:p>
    <w:p w14:paraId="14F87F39" w14:textId="4BEEC74B" w:rsidR="006D516A" w:rsidRPr="00BB6220" w:rsidRDefault="006D516A" w:rsidP="00FA0175">
      <w:pPr>
        <w:pStyle w:val="Quote"/>
      </w:pPr>
      <w:r w:rsidRPr="00BB6220">
        <w:t>“From</w:t>
      </w:r>
      <w:r w:rsidR="003D640C">
        <w:t xml:space="preserve"> </w:t>
      </w:r>
      <w:r w:rsidRPr="00BB6220">
        <w:t>a</w:t>
      </w:r>
      <w:r w:rsidR="003D640C">
        <w:t xml:space="preserve"> </w:t>
      </w:r>
      <w:r w:rsidRPr="00BB6220">
        <w:t>religious</w:t>
      </w:r>
      <w:r w:rsidR="003D640C">
        <w:t xml:space="preserve"> </w:t>
      </w:r>
      <w:r w:rsidRPr="00BB6220">
        <w:t>point</w:t>
      </w:r>
      <w:r w:rsidR="003C6A61">
        <w:t xml:space="preserve"> </w:t>
      </w:r>
      <w:r w:rsidRPr="00BB6220">
        <w:t>of</w:t>
      </w:r>
      <w:r w:rsidR="003C6A61">
        <w:t xml:space="preserve"> </w:t>
      </w:r>
      <w:r w:rsidRPr="00BB6220">
        <w:t>view</w:t>
      </w:r>
      <w:r w:rsidR="003C6A61">
        <w:t>,</w:t>
      </w:r>
      <w:r w:rsidR="003D640C">
        <w:t xml:space="preserve"> </w:t>
      </w:r>
      <w:r w:rsidRPr="00BB6220">
        <w:t>it’s</w:t>
      </w:r>
      <w:r w:rsidR="003D640C">
        <w:t xml:space="preserve"> </w:t>
      </w:r>
      <w:r w:rsidRPr="00BB6220">
        <w:t>mostly</w:t>
      </w:r>
      <w:r w:rsidR="003D640C">
        <w:t xml:space="preserve"> </w:t>
      </w:r>
      <w:r w:rsidRPr="00BB6220">
        <w:t>about</w:t>
      </w:r>
      <w:r w:rsidR="003D640C">
        <w:t xml:space="preserve"> </w:t>
      </w:r>
      <w:r w:rsidRPr="00BB6220">
        <w:t>encouraging</w:t>
      </w:r>
      <w:r w:rsidR="003D640C">
        <w:t xml:space="preserve"> </w:t>
      </w:r>
      <w:r w:rsidRPr="00BB6220">
        <w:t>people</w:t>
      </w:r>
      <w:r w:rsidR="003D640C">
        <w:t xml:space="preserve"> </w:t>
      </w:r>
      <w:r w:rsidRPr="00BB6220">
        <w:t>to</w:t>
      </w:r>
      <w:r w:rsidR="003D640C">
        <w:t xml:space="preserve"> </w:t>
      </w:r>
      <w:r w:rsidRPr="00BB6220">
        <w:t>think</w:t>
      </w:r>
      <w:r w:rsidR="003D640C">
        <w:t xml:space="preserve"> </w:t>
      </w:r>
      <w:r w:rsidRPr="00BB6220">
        <w:t>that</w:t>
      </w:r>
      <w:r w:rsidR="003D640C">
        <w:t xml:space="preserve"> </w:t>
      </w:r>
      <w:r w:rsidRPr="00BB6220">
        <w:t>God</w:t>
      </w:r>
      <w:r w:rsidR="003D640C">
        <w:t xml:space="preserve"> </w:t>
      </w:r>
      <w:r w:rsidRPr="00BB6220">
        <w:t>wants</w:t>
      </w:r>
      <w:r w:rsidR="003D640C">
        <w:t xml:space="preserve"> </w:t>
      </w:r>
      <w:r w:rsidRPr="00BB6220">
        <w:t>them</w:t>
      </w:r>
      <w:r w:rsidR="003D640C">
        <w:t xml:space="preserve"> </w:t>
      </w:r>
      <w:r w:rsidRPr="00BB6220">
        <w:t>to</w:t>
      </w:r>
      <w:r w:rsidR="003D640C">
        <w:t xml:space="preserve"> </w:t>
      </w:r>
      <w:r w:rsidRPr="00BB6220">
        <w:t>change,</w:t>
      </w:r>
      <w:r w:rsidR="003D640C">
        <w:t xml:space="preserve"> </w:t>
      </w:r>
      <w:r w:rsidRPr="00BB6220">
        <w:t>sort</w:t>
      </w:r>
      <w:r w:rsidR="003D640C">
        <w:t xml:space="preserve"> </w:t>
      </w:r>
      <w:r w:rsidRPr="00BB6220">
        <w:t>of</w:t>
      </w:r>
      <w:r w:rsidR="003D640C">
        <w:t xml:space="preserve"> </w:t>
      </w:r>
      <w:r w:rsidRPr="00BB6220">
        <w:t>forcing</w:t>
      </w:r>
      <w:r w:rsidR="003D640C">
        <w:t xml:space="preserve"> </w:t>
      </w:r>
      <w:r w:rsidRPr="00BB6220">
        <w:t>that</w:t>
      </w:r>
      <w:r w:rsidR="003D640C">
        <w:t xml:space="preserve"> </w:t>
      </w:r>
      <w:r w:rsidRPr="00BB6220">
        <w:t>idea</w:t>
      </w:r>
      <w:r w:rsidR="003D640C">
        <w:t xml:space="preserve"> </w:t>
      </w:r>
      <w:r w:rsidRPr="00BB6220">
        <w:t>on</w:t>
      </w:r>
      <w:r w:rsidR="003D640C">
        <w:t xml:space="preserve"> </w:t>
      </w:r>
      <w:r w:rsidRPr="00BB6220">
        <w:t>them.”</w:t>
      </w:r>
      <w:r w:rsidR="003D640C">
        <w:t xml:space="preserve"> </w:t>
      </w:r>
      <w:r w:rsidRPr="00BB6220">
        <w:rPr>
          <w:rFonts w:ascii="Calibri" w:eastAsia="Calibri" w:hAnsi="Calibri" w:cs="Calibri"/>
          <w:color w:val="000000" w:themeColor="text1"/>
        </w:rPr>
        <w:t>Pākehā,</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female</w:t>
      </w:r>
    </w:p>
    <w:p w14:paraId="70A5096A" w14:textId="433C6F28" w:rsidR="008835F8" w:rsidRDefault="72A3202B" w:rsidP="00C2162C">
      <w:r w:rsidRPr="30ECBFB6">
        <w:t>If</w:t>
      </w:r>
      <w:r w:rsidR="003D640C">
        <w:t xml:space="preserve"> </w:t>
      </w:r>
      <w:r w:rsidRPr="30ECBFB6">
        <w:t>done</w:t>
      </w:r>
      <w:r w:rsidR="003D640C">
        <w:t xml:space="preserve"> </w:t>
      </w:r>
      <w:r w:rsidR="00775B60">
        <w:t>as</w:t>
      </w:r>
      <w:r w:rsidR="003D640C">
        <w:t xml:space="preserve"> </w:t>
      </w:r>
      <w:r w:rsidR="00775B60">
        <w:t>part</w:t>
      </w:r>
      <w:r w:rsidR="003D640C">
        <w:t xml:space="preserve"> </w:t>
      </w:r>
      <w:r w:rsidR="00775B60">
        <w:t>of</w:t>
      </w:r>
      <w:r w:rsidR="003D640C">
        <w:t xml:space="preserve"> </w:t>
      </w:r>
      <w:r w:rsidR="00775B60">
        <w:t>a</w:t>
      </w:r>
      <w:r w:rsidR="003D640C">
        <w:t xml:space="preserve"> </w:t>
      </w:r>
      <w:r w:rsidR="00775B60">
        <w:t>sustained</w:t>
      </w:r>
      <w:r w:rsidR="003D640C">
        <w:t xml:space="preserve"> </w:t>
      </w:r>
      <w:r w:rsidR="00775B60">
        <w:t>effo</w:t>
      </w:r>
      <w:r w:rsidR="004D5CDB">
        <w:t>rt</w:t>
      </w:r>
      <w:r w:rsidR="003D640C">
        <w:t xml:space="preserve"> </w:t>
      </w:r>
      <w:r w:rsidR="0010430C">
        <w:t>and</w:t>
      </w:r>
      <w:r w:rsidR="003D640C">
        <w:t xml:space="preserve"> </w:t>
      </w:r>
      <w:r w:rsidRPr="30ECBFB6">
        <w:t>with</w:t>
      </w:r>
      <w:r w:rsidR="003D640C">
        <w:t xml:space="preserve"> </w:t>
      </w:r>
      <w:r w:rsidRPr="30ECBFB6">
        <w:t>the</w:t>
      </w:r>
      <w:r w:rsidR="003D640C">
        <w:t xml:space="preserve"> </w:t>
      </w:r>
      <w:r w:rsidRPr="30ECBFB6">
        <w:t>intention</w:t>
      </w:r>
      <w:r w:rsidR="003D640C">
        <w:t xml:space="preserve"> </w:t>
      </w:r>
      <w:r w:rsidRPr="30ECBFB6">
        <w:t>of</w:t>
      </w:r>
      <w:r w:rsidR="003D640C">
        <w:t xml:space="preserve"> </w:t>
      </w:r>
      <w:r w:rsidRPr="30ECBFB6">
        <w:t>changing</w:t>
      </w:r>
      <w:r w:rsidR="003D640C">
        <w:t xml:space="preserve"> </w:t>
      </w:r>
      <w:r w:rsidRPr="30ECBFB6">
        <w:t>or</w:t>
      </w:r>
      <w:r w:rsidR="003D640C">
        <w:t xml:space="preserve"> </w:t>
      </w:r>
      <w:r w:rsidRPr="30ECBFB6">
        <w:t>suppressing</w:t>
      </w:r>
      <w:r w:rsidR="003D640C">
        <w:t xml:space="preserve"> </w:t>
      </w:r>
      <w:r w:rsidRPr="30ECBFB6">
        <w:t>someone’s</w:t>
      </w:r>
      <w:r w:rsidR="003D640C">
        <w:rPr>
          <w:rFonts w:ascii="Times New Roman" w:eastAsia="Times New Roman" w:hAnsi="Times New Roman" w:cs="Times New Roman"/>
          <w:sz w:val="24"/>
          <w:szCs w:val="24"/>
        </w:rPr>
        <w:t xml:space="preserve"> </w:t>
      </w:r>
      <w:r w:rsidRPr="30ECBFB6">
        <w:t>sexual</w:t>
      </w:r>
      <w:r w:rsidR="003D640C">
        <w:t xml:space="preserve"> </w:t>
      </w:r>
      <w:r w:rsidRPr="30ECBFB6">
        <w:t>orientation,</w:t>
      </w:r>
      <w:r w:rsidR="003D640C">
        <w:t xml:space="preserve"> </w:t>
      </w:r>
      <w:r w:rsidRPr="30ECBFB6">
        <w:t>gender</w:t>
      </w:r>
      <w:r w:rsidR="003D640C">
        <w:t xml:space="preserve"> </w:t>
      </w:r>
      <w:r w:rsidRPr="30ECBFB6">
        <w:t>identity</w:t>
      </w:r>
      <w:r w:rsidR="003C6A61">
        <w:t>,</w:t>
      </w:r>
      <w:r w:rsidR="003D640C">
        <w:t xml:space="preserve"> </w:t>
      </w:r>
      <w:r w:rsidRPr="30ECBFB6">
        <w:t>or</w:t>
      </w:r>
      <w:r w:rsidR="003D640C">
        <w:t xml:space="preserve"> </w:t>
      </w:r>
      <w:r w:rsidRPr="30ECBFB6">
        <w:t>gender</w:t>
      </w:r>
      <w:r w:rsidR="003D640C">
        <w:t xml:space="preserve"> </w:t>
      </w:r>
      <w:r w:rsidRPr="30ECBFB6">
        <w:t>expression,</w:t>
      </w:r>
      <w:r w:rsidR="003D640C">
        <w:t xml:space="preserve"> </w:t>
      </w:r>
      <w:r w:rsidR="004D5CDB">
        <w:t>conduct</w:t>
      </w:r>
      <w:r w:rsidR="003D640C">
        <w:t xml:space="preserve"> </w:t>
      </w:r>
      <w:r w:rsidR="003C6A61">
        <w:t xml:space="preserve">such as </w:t>
      </w:r>
      <w:r w:rsidRPr="30ECBFB6">
        <w:t>sending</w:t>
      </w:r>
      <w:r w:rsidR="003D640C">
        <w:t xml:space="preserve"> </w:t>
      </w:r>
      <w:r w:rsidRPr="30ECBFB6">
        <w:t>someone</w:t>
      </w:r>
      <w:r w:rsidR="003D640C">
        <w:t xml:space="preserve"> </w:t>
      </w:r>
      <w:r w:rsidRPr="30ECBFB6">
        <w:t>to</w:t>
      </w:r>
      <w:r w:rsidR="003D640C">
        <w:t xml:space="preserve"> </w:t>
      </w:r>
      <w:r w:rsidRPr="30ECBFB6">
        <w:t>a</w:t>
      </w:r>
      <w:r w:rsidR="003D640C">
        <w:t xml:space="preserve"> </w:t>
      </w:r>
      <w:r w:rsidRPr="30ECBFB6">
        <w:t>spiritual</w:t>
      </w:r>
      <w:r w:rsidR="003D640C">
        <w:t xml:space="preserve"> </w:t>
      </w:r>
      <w:r w:rsidRPr="30ECBFB6">
        <w:t>leader</w:t>
      </w:r>
      <w:r w:rsidR="003D640C">
        <w:t xml:space="preserve"> </w:t>
      </w:r>
      <w:r w:rsidRPr="30ECBFB6">
        <w:t>for</w:t>
      </w:r>
      <w:r w:rsidR="003D640C">
        <w:t xml:space="preserve"> </w:t>
      </w:r>
      <w:r w:rsidRPr="30ECBFB6">
        <w:t>guidance</w:t>
      </w:r>
      <w:r w:rsidR="003D640C">
        <w:t xml:space="preserve"> </w:t>
      </w:r>
      <w:r w:rsidR="00551CB9">
        <w:t>and</w:t>
      </w:r>
      <w:r w:rsidR="003D640C">
        <w:t xml:space="preserve"> </w:t>
      </w:r>
      <w:r w:rsidRPr="30ECBFB6">
        <w:t>telling</w:t>
      </w:r>
      <w:r w:rsidR="003D640C">
        <w:t xml:space="preserve"> </w:t>
      </w:r>
      <w:r w:rsidRPr="30ECBFB6">
        <w:t>them</w:t>
      </w:r>
      <w:r w:rsidR="003D640C">
        <w:t xml:space="preserve"> </w:t>
      </w:r>
      <w:r w:rsidRPr="30ECBFB6">
        <w:t>that</w:t>
      </w:r>
      <w:r w:rsidR="003D640C">
        <w:t xml:space="preserve"> </w:t>
      </w:r>
      <w:r w:rsidRPr="30ECBFB6">
        <w:t>participation</w:t>
      </w:r>
      <w:r w:rsidR="003D640C">
        <w:t xml:space="preserve"> </w:t>
      </w:r>
      <w:r w:rsidRPr="30ECBFB6">
        <w:t>in</w:t>
      </w:r>
      <w:r w:rsidR="003D640C">
        <w:t xml:space="preserve"> </w:t>
      </w:r>
      <w:r w:rsidRPr="30ECBFB6">
        <w:t>spiritual</w:t>
      </w:r>
      <w:r w:rsidR="003D640C">
        <w:t xml:space="preserve"> </w:t>
      </w:r>
      <w:r w:rsidRPr="30ECBFB6">
        <w:t>activities</w:t>
      </w:r>
      <w:r w:rsidR="003D640C">
        <w:t xml:space="preserve"> </w:t>
      </w:r>
      <w:r w:rsidRPr="30ECBFB6">
        <w:t>will</w:t>
      </w:r>
      <w:r w:rsidR="003D640C">
        <w:t xml:space="preserve"> </w:t>
      </w:r>
      <w:r w:rsidR="0F252AF0" w:rsidRPr="30ECBFB6">
        <w:t>‘help</w:t>
      </w:r>
      <w:r w:rsidR="003D640C">
        <w:t xml:space="preserve"> </w:t>
      </w:r>
      <w:r w:rsidR="0F252AF0" w:rsidRPr="30ECBFB6">
        <w:t>their</w:t>
      </w:r>
      <w:r w:rsidR="003D640C">
        <w:t xml:space="preserve"> </w:t>
      </w:r>
      <w:r w:rsidR="0F252AF0" w:rsidRPr="30ECBFB6">
        <w:t>struggle’</w:t>
      </w:r>
      <w:r w:rsidR="003D640C">
        <w:t xml:space="preserve"> </w:t>
      </w:r>
      <w:r w:rsidR="59BEF9D6" w:rsidRPr="30ECBFB6">
        <w:t>or</w:t>
      </w:r>
      <w:r w:rsidR="003D640C">
        <w:t xml:space="preserve"> </w:t>
      </w:r>
      <w:r w:rsidRPr="30ECBFB6">
        <w:t>stop</w:t>
      </w:r>
      <w:r w:rsidR="003D640C">
        <w:t xml:space="preserve"> </w:t>
      </w:r>
      <w:r w:rsidRPr="30ECBFB6">
        <w:t>them</w:t>
      </w:r>
      <w:r w:rsidR="003D640C">
        <w:t xml:space="preserve"> </w:t>
      </w:r>
      <w:r w:rsidRPr="30ECBFB6">
        <w:t>being</w:t>
      </w:r>
      <w:r w:rsidR="003D640C">
        <w:t xml:space="preserve"> </w:t>
      </w:r>
      <w:r w:rsidRPr="30ECBFB6">
        <w:t>‘different’</w:t>
      </w:r>
      <w:r w:rsidR="003D640C">
        <w:t xml:space="preserve"> </w:t>
      </w:r>
      <w:r w:rsidR="77D70BA6" w:rsidRPr="30ECBFB6">
        <w:t>may</w:t>
      </w:r>
      <w:r w:rsidR="003D640C">
        <w:t xml:space="preserve"> </w:t>
      </w:r>
      <w:r w:rsidR="10E1D374" w:rsidRPr="30ECBFB6">
        <w:t>constitute</w:t>
      </w:r>
      <w:r w:rsidR="003D640C">
        <w:t xml:space="preserve"> </w:t>
      </w:r>
      <w:r w:rsidRPr="30ECBFB6">
        <w:t>a</w:t>
      </w:r>
      <w:r w:rsidR="003D640C">
        <w:t xml:space="preserve"> </w:t>
      </w:r>
      <w:r w:rsidRPr="30ECBFB6">
        <w:t>conversion</w:t>
      </w:r>
      <w:r w:rsidR="003D640C">
        <w:t xml:space="preserve"> </w:t>
      </w:r>
      <w:r w:rsidRPr="30ECBFB6">
        <w:t>practice</w:t>
      </w:r>
      <w:r w:rsidR="003D640C">
        <w:t xml:space="preserve"> </w:t>
      </w:r>
      <w:r w:rsidRPr="30ECBFB6">
        <w:t>under</w:t>
      </w:r>
      <w:r w:rsidR="003D640C">
        <w:t xml:space="preserve"> </w:t>
      </w:r>
      <w:r w:rsidRPr="30ECBFB6">
        <w:t>the</w:t>
      </w:r>
      <w:r w:rsidR="003D640C">
        <w:t xml:space="preserve"> </w:t>
      </w:r>
      <w:r w:rsidR="5FA83499" w:rsidRPr="30ECBFB6">
        <w:t>CPPLA</w:t>
      </w:r>
      <w:r w:rsidR="085A3C08" w:rsidRPr="30ECBFB6">
        <w:t>.</w:t>
      </w:r>
      <w:r w:rsidR="003D640C">
        <w:t xml:space="preserve"> </w:t>
      </w:r>
    </w:p>
    <w:p w14:paraId="35A716E9" w14:textId="04F5F61B" w:rsidR="00B72C11" w:rsidRPr="000F5C53" w:rsidRDefault="00573F44" w:rsidP="00C2162C">
      <w:r>
        <w:t>It</w:t>
      </w:r>
      <w:r w:rsidR="003D640C">
        <w:t xml:space="preserve"> </w:t>
      </w:r>
      <w:r>
        <w:t>is</w:t>
      </w:r>
      <w:r w:rsidR="003D640C">
        <w:t xml:space="preserve"> </w:t>
      </w:r>
      <w:r>
        <w:t>important</w:t>
      </w:r>
      <w:r w:rsidR="003D640C">
        <w:t xml:space="preserve"> </w:t>
      </w:r>
      <w:r>
        <w:t>to</w:t>
      </w:r>
      <w:r w:rsidR="003D640C">
        <w:t xml:space="preserve"> </w:t>
      </w:r>
      <w:r>
        <w:t>eliminate</w:t>
      </w:r>
      <w:r w:rsidR="003D640C">
        <w:t xml:space="preserve"> </w:t>
      </w:r>
      <w:r>
        <w:t>conversion</w:t>
      </w:r>
      <w:r w:rsidR="003D640C">
        <w:t xml:space="preserve"> </w:t>
      </w:r>
      <w:r>
        <w:t>practices</w:t>
      </w:r>
      <w:r w:rsidR="003D640C">
        <w:t xml:space="preserve"> </w:t>
      </w:r>
      <w:r>
        <w:t>in</w:t>
      </w:r>
      <w:r w:rsidR="003D640C">
        <w:t xml:space="preserve"> </w:t>
      </w:r>
      <w:r>
        <w:t>all</w:t>
      </w:r>
      <w:r w:rsidR="003D640C">
        <w:t xml:space="preserve"> </w:t>
      </w:r>
      <w:r>
        <w:t>settings</w:t>
      </w:r>
      <w:r w:rsidR="00D11C1F">
        <w:t xml:space="preserve"> –</w:t>
      </w:r>
      <w:r w:rsidR="003D640C">
        <w:t xml:space="preserve"> </w:t>
      </w:r>
      <w:r>
        <w:t>within</w:t>
      </w:r>
      <w:r w:rsidR="003D640C">
        <w:t xml:space="preserve"> </w:t>
      </w:r>
      <w:r>
        <w:t>religious</w:t>
      </w:r>
      <w:r w:rsidR="003D640C">
        <w:t xml:space="preserve"> </w:t>
      </w:r>
      <w:r>
        <w:t>faith</w:t>
      </w:r>
      <w:r w:rsidR="003D640C">
        <w:t xml:space="preserve"> </w:t>
      </w:r>
      <w:r>
        <w:t>communities</w:t>
      </w:r>
      <w:r w:rsidR="003D640C">
        <w:t xml:space="preserve"> </w:t>
      </w:r>
      <w:r w:rsidR="002367C4">
        <w:t>and</w:t>
      </w:r>
      <w:r w:rsidR="003D640C">
        <w:t xml:space="preserve"> </w:t>
      </w:r>
      <w:r w:rsidR="002367C4">
        <w:t>families/whānau</w:t>
      </w:r>
      <w:r w:rsidR="003D640C">
        <w:t xml:space="preserve"> </w:t>
      </w:r>
      <w:r>
        <w:t>but</w:t>
      </w:r>
      <w:r w:rsidR="003D640C">
        <w:t xml:space="preserve"> </w:t>
      </w:r>
      <w:r>
        <w:t>also</w:t>
      </w:r>
      <w:r w:rsidR="003D640C">
        <w:t xml:space="preserve"> </w:t>
      </w:r>
      <w:r>
        <w:t>medical,</w:t>
      </w:r>
      <w:r w:rsidR="003D640C">
        <w:t xml:space="preserve"> </w:t>
      </w:r>
      <w:r>
        <w:t>health</w:t>
      </w:r>
      <w:r w:rsidR="00D11C1F">
        <w:t>,</w:t>
      </w:r>
      <w:r w:rsidR="003D640C">
        <w:t xml:space="preserve"> </w:t>
      </w:r>
      <w:r>
        <w:t>and</w:t>
      </w:r>
      <w:r w:rsidR="003D640C">
        <w:t xml:space="preserve"> </w:t>
      </w:r>
      <w:r>
        <w:t>non-religious</w:t>
      </w:r>
      <w:r w:rsidR="003D640C">
        <w:t xml:space="preserve"> </w:t>
      </w:r>
      <w:r>
        <w:t>community/family</w:t>
      </w:r>
      <w:r w:rsidR="003D640C">
        <w:t xml:space="preserve"> </w:t>
      </w:r>
      <w:r>
        <w:t>settings.</w:t>
      </w:r>
      <w:r w:rsidR="003D640C">
        <w:t xml:space="preserve"> </w:t>
      </w:r>
      <w:r w:rsidR="009750C5">
        <w:t>This</w:t>
      </w:r>
      <w:r w:rsidR="003D640C">
        <w:t xml:space="preserve"> </w:t>
      </w:r>
      <w:r w:rsidR="009750C5">
        <w:t>requires</w:t>
      </w:r>
      <w:r w:rsidR="003D640C">
        <w:t xml:space="preserve"> </w:t>
      </w:r>
      <w:r w:rsidR="00D05424" w:rsidRPr="00BB6220">
        <w:t>strong</w:t>
      </w:r>
      <w:r w:rsidR="003D640C">
        <w:t xml:space="preserve"> </w:t>
      </w:r>
      <w:r w:rsidR="00D05424" w:rsidRPr="00BB6220">
        <w:t>leadership</w:t>
      </w:r>
      <w:r w:rsidR="003D640C">
        <w:t xml:space="preserve"> </w:t>
      </w:r>
      <w:r w:rsidR="00D05424" w:rsidRPr="00BB6220">
        <w:t>and</w:t>
      </w:r>
      <w:r w:rsidR="003D640C">
        <w:t xml:space="preserve"> </w:t>
      </w:r>
      <w:r w:rsidR="00D05424" w:rsidRPr="00BB6220">
        <w:t>prioritisation</w:t>
      </w:r>
      <w:r w:rsidR="003D640C">
        <w:t xml:space="preserve"> </w:t>
      </w:r>
      <w:r w:rsidR="00D05424" w:rsidRPr="00BB6220">
        <w:t>of</w:t>
      </w:r>
      <w:r w:rsidR="003D640C">
        <w:t xml:space="preserve"> </w:t>
      </w:r>
      <w:r w:rsidR="00D05424" w:rsidRPr="00BB6220">
        <w:t>education</w:t>
      </w:r>
      <w:r w:rsidR="003D640C">
        <w:t xml:space="preserve"> </w:t>
      </w:r>
      <w:r w:rsidR="00D05424" w:rsidRPr="00BB6220">
        <w:t>as</w:t>
      </w:r>
      <w:r w:rsidR="003D640C">
        <w:t xml:space="preserve"> </w:t>
      </w:r>
      <w:r w:rsidR="00D05424" w:rsidRPr="00BB6220">
        <w:t>well</w:t>
      </w:r>
      <w:r w:rsidR="003D640C">
        <w:t xml:space="preserve"> </w:t>
      </w:r>
      <w:r w:rsidR="00D05424" w:rsidRPr="00BB6220">
        <w:t>as</w:t>
      </w:r>
      <w:r w:rsidR="003D640C">
        <w:t xml:space="preserve"> </w:t>
      </w:r>
      <w:r w:rsidR="00D05424" w:rsidRPr="00BB6220">
        <w:t>deliberate</w:t>
      </w:r>
      <w:r w:rsidR="003D640C">
        <w:t xml:space="preserve"> </w:t>
      </w:r>
      <w:r w:rsidR="00D05424" w:rsidRPr="00BB6220">
        <w:t>efforts</w:t>
      </w:r>
      <w:r w:rsidR="003D640C">
        <w:t xml:space="preserve"> </w:t>
      </w:r>
      <w:r w:rsidR="00D05424" w:rsidRPr="00BB6220">
        <w:t>to</w:t>
      </w:r>
      <w:r w:rsidR="003D640C">
        <w:t xml:space="preserve"> </w:t>
      </w:r>
      <w:r w:rsidR="00D05424" w:rsidRPr="00BB6220">
        <w:t>authentically</w:t>
      </w:r>
      <w:r w:rsidR="003D640C">
        <w:t xml:space="preserve"> </w:t>
      </w:r>
      <w:r w:rsidR="00D05424" w:rsidRPr="00BB6220">
        <w:t>include</w:t>
      </w:r>
      <w:r w:rsidR="003D640C">
        <w:t xml:space="preserve"> </w:t>
      </w:r>
      <w:r w:rsidR="00FB2ABF">
        <w:t>Rainbow</w:t>
      </w:r>
      <w:r w:rsidR="003D640C">
        <w:t xml:space="preserve"> </w:t>
      </w:r>
      <w:r w:rsidR="00D05424" w:rsidRPr="00BB6220">
        <w:t>people</w:t>
      </w:r>
      <w:r w:rsidR="003D640C">
        <w:t xml:space="preserve"> </w:t>
      </w:r>
      <w:r w:rsidR="00D05424" w:rsidRPr="00BB6220">
        <w:t>in</w:t>
      </w:r>
      <w:r w:rsidR="003D640C">
        <w:t xml:space="preserve"> </w:t>
      </w:r>
      <w:r w:rsidR="00D05424" w:rsidRPr="00BB6220">
        <w:t>those</w:t>
      </w:r>
      <w:r w:rsidR="003D640C">
        <w:t xml:space="preserve"> </w:t>
      </w:r>
      <w:r w:rsidR="00D05424" w:rsidRPr="00BB6220">
        <w:t>communities</w:t>
      </w:r>
      <w:r w:rsidR="0097273A">
        <w:t>.</w:t>
      </w:r>
      <w:r w:rsidR="000F5C53">
        <w:t xml:space="preserve"> </w:t>
      </w:r>
      <w:r w:rsidR="00D05424" w:rsidRPr="000F5C53">
        <w:t>See</w:t>
      </w:r>
      <w:r w:rsidR="003D640C" w:rsidRPr="000F5C53">
        <w:t xml:space="preserve"> </w:t>
      </w:r>
      <w:r w:rsidR="00D05424" w:rsidRPr="000F5C53">
        <w:t>recommendations</w:t>
      </w:r>
      <w:r w:rsidR="003D640C" w:rsidRPr="000F5C53">
        <w:t xml:space="preserve"> </w:t>
      </w:r>
      <w:r w:rsidR="0015398D" w:rsidRPr="000F5C53">
        <w:t>16</w:t>
      </w:r>
      <w:r w:rsidR="000F5C53">
        <w:t>–</w:t>
      </w:r>
      <w:r w:rsidR="0071214F">
        <w:t>20</w:t>
      </w:r>
      <w:r w:rsidR="003D640C" w:rsidRPr="000F5C53">
        <w:t xml:space="preserve"> </w:t>
      </w:r>
      <w:r w:rsidR="00FB2ABF" w:rsidRPr="000F5C53">
        <w:t>in</w:t>
      </w:r>
      <w:r w:rsidR="003D640C" w:rsidRPr="000F5C53">
        <w:t xml:space="preserve"> </w:t>
      </w:r>
      <w:r w:rsidR="00FB2ABF" w:rsidRPr="000F5C53">
        <w:t>chapter</w:t>
      </w:r>
      <w:r w:rsidR="003D640C" w:rsidRPr="000F5C53" w:rsidDel="0097273A">
        <w:t xml:space="preserve"> </w:t>
      </w:r>
      <w:r w:rsidR="0071214F">
        <w:t>9</w:t>
      </w:r>
      <w:r w:rsidR="0015398D" w:rsidRPr="000F5C53">
        <w:t>.</w:t>
      </w:r>
    </w:p>
    <w:p w14:paraId="1FFCC083" w14:textId="6B815476" w:rsidR="00C2162C" w:rsidRDefault="00B72C11">
      <w:r>
        <w:lastRenderedPageBreak/>
        <w:t>The</w:t>
      </w:r>
      <w:r w:rsidR="003D640C">
        <w:t xml:space="preserve"> </w:t>
      </w:r>
      <w:r>
        <w:t>Commission</w:t>
      </w:r>
      <w:r w:rsidR="003D640C">
        <w:t xml:space="preserve"> </w:t>
      </w:r>
      <w:r>
        <w:t>has</w:t>
      </w:r>
      <w:r w:rsidR="003D640C">
        <w:t xml:space="preserve"> </w:t>
      </w:r>
      <w:r>
        <w:t>produced</w:t>
      </w:r>
      <w:r w:rsidR="003D640C">
        <w:t xml:space="preserve"> </w:t>
      </w:r>
      <w:r>
        <w:t>guidance</w:t>
      </w:r>
      <w:r w:rsidR="003D640C">
        <w:t xml:space="preserve"> </w:t>
      </w:r>
      <w:r>
        <w:t>for</w:t>
      </w:r>
      <w:r w:rsidR="003D640C">
        <w:t xml:space="preserve"> </w:t>
      </w:r>
      <w:r>
        <w:t>those</w:t>
      </w:r>
      <w:r w:rsidR="003D640C">
        <w:t xml:space="preserve"> </w:t>
      </w:r>
      <w:r w:rsidR="00577D50">
        <w:t>in</w:t>
      </w:r>
      <w:r w:rsidR="003D640C">
        <w:t xml:space="preserve"> </w:t>
      </w:r>
      <w:r w:rsidR="00577D50">
        <w:t>religious</w:t>
      </w:r>
      <w:r w:rsidR="003D640C">
        <w:t xml:space="preserve"> </w:t>
      </w:r>
      <w:r>
        <w:t>settings</w:t>
      </w:r>
      <w:r w:rsidR="00B22E77">
        <w:t>.</w:t>
      </w:r>
      <w:r w:rsidR="00B22E77">
        <w:rPr>
          <w:rStyle w:val="FootnoteReference"/>
        </w:rPr>
        <w:footnoteReference w:id="84"/>
      </w:r>
      <w:r w:rsidR="003D640C">
        <w:t xml:space="preserve"> </w:t>
      </w:r>
      <w:bookmarkStart w:id="147" w:name="_Toc138325171"/>
      <w:bookmarkStart w:id="148" w:name="_Toc138343808"/>
    </w:p>
    <w:p w14:paraId="780A9C47" w14:textId="1EE32FFA" w:rsidR="00D05424" w:rsidRPr="00BB6220" w:rsidRDefault="00D05424" w:rsidP="00501068">
      <w:pPr>
        <w:pStyle w:val="Heading2"/>
      </w:pPr>
      <w:bookmarkStart w:id="149" w:name="_Toc167780594"/>
      <w:bookmarkStart w:id="150" w:name="_Toc992678912"/>
      <w:bookmarkStart w:id="151" w:name="_Toc174628653"/>
      <w:r w:rsidRPr="00BB6220">
        <w:t>Medical</w:t>
      </w:r>
      <w:r w:rsidR="003D640C">
        <w:t xml:space="preserve"> </w:t>
      </w:r>
      <w:r w:rsidRPr="00BB6220">
        <w:t>and</w:t>
      </w:r>
      <w:r w:rsidR="003D640C">
        <w:t xml:space="preserve"> </w:t>
      </w:r>
      <w:r w:rsidRPr="00BB6220">
        <w:t>healthcare</w:t>
      </w:r>
      <w:r w:rsidR="003D640C">
        <w:t xml:space="preserve"> </w:t>
      </w:r>
      <w:r w:rsidR="00FF5E58">
        <w:t>services</w:t>
      </w:r>
      <w:r w:rsidR="003D640C">
        <w:t xml:space="preserve"> </w:t>
      </w:r>
      <w:r w:rsidR="00FF5E58">
        <w:t>and</w:t>
      </w:r>
      <w:r w:rsidR="003D640C">
        <w:t xml:space="preserve"> </w:t>
      </w:r>
      <w:r w:rsidRPr="00BB6220">
        <w:t>settings</w:t>
      </w:r>
      <w:bookmarkEnd w:id="147"/>
      <w:bookmarkEnd w:id="148"/>
      <w:bookmarkEnd w:id="149"/>
      <w:bookmarkEnd w:id="150"/>
      <w:bookmarkEnd w:id="151"/>
    </w:p>
    <w:p w14:paraId="4A1A3E50" w14:textId="52C8F40A" w:rsidR="00D05424" w:rsidRPr="00BB6220" w:rsidRDefault="00D05424" w:rsidP="00FA0175">
      <w:pPr>
        <w:pBdr>
          <w:top w:val="single" w:sz="4" w:space="1" w:color="auto"/>
          <w:left w:val="single" w:sz="4" w:space="4" w:color="auto"/>
          <w:bottom w:val="single" w:sz="4" w:space="1" w:color="auto"/>
          <w:right w:val="single" w:sz="4" w:space="4" w:color="auto"/>
        </w:pBdr>
        <w:shd w:val="clear" w:color="auto" w:fill="EDEDED"/>
      </w:pPr>
      <w:r w:rsidRPr="00BB6220">
        <w:rPr>
          <w:b/>
          <w:bCs/>
        </w:rPr>
        <w:t>[Sidebar]</w:t>
      </w:r>
      <w:r w:rsidR="003D640C">
        <w:t xml:space="preserve"> </w:t>
      </w:r>
      <w:r w:rsidRPr="00BB6220">
        <w:t>Gender-affirming</w:t>
      </w:r>
      <w:r w:rsidR="003D640C">
        <w:t xml:space="preserve"> </w:t>
      </w:r>
      <w:r w:rsidRPr="00BB6220">
        <w:t>healthcare</w:t>
      </w:r>
      <w:r w:rsidR="003D640C">
        <w:t xml:space="preserve"> </w:t>
      </w:r>
      <w:r w:rsidRPr="00BB6220">
        <w:t>is</w:t>
      </w:r>
      <w:r w:rsidR="003D640C">
        <w:t xml:space="preserve"> </w:t>
      </w:r>
      <w:r w:rsidR="00BA433F">
        <w:t>healthcare</w:t>
      </w:r>
      <w:r w:rsidR="003D640C">
        <w:t xml:space="preserve"> </w:t>
      </w:r>
      <w:r w:rsidRPr="00BB6220">
        <w:t>that</w:t>
      </w:r>
      <w:r w:rsidR="003D640C">
        <w:t xml:space="preserve"> </w:t>
      </w:r>
      <w:r w:rsidRPr="00BB6220">
        <w:t>facilitates</w:t>
      </w:r>
      <w:r w:rsidR="003D640C">
        <w:t xml:space="preserve"> </w:t>
      </w:r>
      <w:r w:rsidRPr="00BB6220">
        <w:t>people’s</w:t>
      </w:r>
      <w:r w:rsidR="003D640C">
        <w:t xml:space="preserve"> </w:t>
      </w:r>
      <w:r w:rsidRPr="00BB6220">
        <w:t>abilities</w:t>
      </w:r>
      <w:r w:rsidR="003D640C">
        <w:t xml:space="preserve"> </w:t>
      </w:r>
      <w:r w:rsidRPr="00BB6220">
        <w:t>to</w:t>
      </w:r>
      <w:r w:rsidR="003D640C">
        <w:t xml:space="preserve"> </w:t>
      </w:r>
      <w:r w:rsidR="004B01BB" w:rsidRPr="00BB6220">
        <w:t>“</w:t>
      </w:r>
      <w:r w:rsidRPr="00BB6220">
        <w:t>embody,</w:t>
      </w:r>
      <w:r w:rsidR="003D640C">
        <w:t xml:space="preserve"> </w:t>
      </w:r>
      <w:r w:rsidRPr="00BB6220">
        <w:t>express</w:t>
      </w:r>
      <w:r w:rsidR="003D640C">
        <w:t xml:space="preserve"> </w:t>
      </w:r>
      <w:r w:rsidRPr="00BB6220">
        <w:t>and</w:t>
      </w:r>
      <w:r w:rsidR="003D640C">
        <w:t xml:space="preserve"> </w:t>
      </w:r>
      <w:r w:rsidRPr="00BB6220">
        <w:t>live</w:t>
      </w:r>
      <w:r w:rsidR="003D640C">
        <w:t xml:space="preserve"> </w:t>
      </w:r>
      <w:r w:rsidRPr="00BB6220">
        <w:t>their</w:t>
      </w:r>
      <w:r w:rsidR="003D640C">
        <w:t xml:space="preserve"> </w:t>
      </w:r>
      <w:r w:rsidRPr="00BB6220">
        <w:t>gender”</w:t>
      </w:r>
      <w:r w:rsidR="00B22E77">
        <w:t>.</w:t>
      </w:r>
      <w:r w:rsidRPr="00BB6220">
        <w:rPr>
          <w:rStyle w:val="FootnoteReference"/>
        </w:rPr>
        <w:footnoteReference w:id="85"/>
      </w:r>
      <w:r w:rsidR="003D640C">
        <w:t xml:space="preserve"> </w:t>
      </w:r>
      <w:r w:rsidRPr="00BB6220">
        <w:t>Gender-affirming</w:t>
      </w:r>
      <w:r w:rsidR="003D640C">
        <w:t xml:space="preserve"> </w:t>
      </w:r>
      <w:r w:rsidRPr="00BB6220">
        <w:t>healthcare</w:t>
      </w:r>
      <w:r w:rsidR="003D640C">
        <w:t xml:space="preserve"> </w:t>
      </w:r>
      <w:r w:rsidRPr="00BB6220">
        <w:t>can</w:t>
      </w:r>
      <w:r w:rsidR="003D640C">
        <w:t xml:space="preserve"> </w:t>
      </w:r>
      <w:r w:rsidRPr="00BB6220">
        <w:t>include</w:t>
      </w:r>
      <w:r w:rsidR="003D640C">
        <w:t xml:space="preserve"> </w:t>
      </w:r>
      <w:r w:rsidR="00637358">
        <w:t>counselling, peer support, hair removal, voice therapy, puberty blockers,</w:t>
      </w:r>
      <w:r w:rsidR="00637358" w:rsidRPr="00BB6220">
        <w:t xml:space="preserve"> </w:t>
      </w:r>
      <w:r w:rsidRPr="00BB6220">
        <w:t>hormone</w:t>
      </w:r>
      <w:r w:rsidR="00637358">
        <w:t>s</w:t>
      </w:r>
      <w:r w:rsidRPr="00BB6220">
        <w:t>,</w:t>
      </w:r>
      <w:r w:rsidR="003D640C">
        <w:t xml:space="preserve"> </w:t>
      </w:r>
      <w:r w:rsidRPr="00BB6220">
        <w:t>surgeries,</w:t>
      </w:r>
      <w:r w:rsidR="003D640C">
        <w:t xml:space="preserve"> </w:t>
      </w:r>
      <w:r w:rsidRPr="00BB6220">
        <w:t>or</w:t>
      </w:r>
      <w:r w:rsidR="003D640C">
        <w:t xml:space="preserve"> </w:t>
      </w:r>
      <w:r w:rsidRPr="00BB6220">
        <w:t>other</w:t>
      </w:r>
      <w:r w:rsidR="003D640C">
        <w:t xml:space="preserve"> </w:t>
      </w:r>
      <w:r w:rsidRPr="00BB6220">
        <w:t>treatments</w:t>
      </w:r>
      <w:r w:rsidR="003D640C">
        <w:t xml:space="preserve"> </w:t>
      </w:r>
      <w:r w:rsidRPr="00BB6220">
        <w:t>that</w:t>
      </w:r>
      <w:r w:rsidR="003D640C">
        <w:t xml:space="preserve"> </w:t>
      </w:r>
      <w:r w:rsidRPr="00BB6220">
        <w:t>help</w:t>
      </w:r>
      <w:r w:rsidR="003D640C">
        <w:t xml:space="preserve"> </w:t>
      </w:r>
      <w:r w:rsidRPr="00BB6220">
        <w:t>someone</w:t>
      </w:r>
      <w:r w:rsidR="003D640C">
        <w:t xml:space="preserve"> </w:t>
      </w:r>
      <w:r w:rsidRPr="00BB6220">
        <w:t>to</w:t>
      </w:r>
      <w:r w:rsidR="003D640C">
        <w:t xml:space="preserve"> </w:t>
      </w:r>
      <w:r w:rsidRPr="00BB6220">
        <w:t>express</w:t>
      </w:r>
      <w:r w:rsidR="003D640C">
        <w:t xml:space="preserve"> </w:t>
      </w:r>
      <w:r w:rsidRPr="00BB6220">
        <w:t>their</w:t>
      </w:r>
      <w:r w:rsidR="003D640C">
        <w:t xml:space="preserve"> </w:t>
      </w:r>
      <w:r w:rsidRPr="00BB6220">
        <w:t>gender.</w:t>
      </w:r>
      <w:r w:rsidR="003D640C">
        <w:t xml:space="preserve"> </w:t>
      </w:r>
      <w:r w:rsidRPr="00BB6220">
        <w:t>Non-affirming</w:t>
      </w:r>
      <w:r w:rsidR="003D640C">
        <w:t xml:space="preserve"> </w:t>
      </w:r>
      <w:r w:rsidRPr="00BB6220">
        <w:t>practices</w:t>
      </w:r>
      <w:r w:rsidR="003D640C">
        <w:t xml:space="preserve"> </w:t>
      </w:r>
      <w:r w:rsidRPr="00BB6220">
        <w:t>or</w:t>
      </w:r>
      <w:r w:rsidR="003D640C">
        <w:t xml:space="preserve"> </w:t>
      </w:r>
      <w:r w:rsidRPr="00BB6220">
        <w:t>services</w:t>
      </w:r>
      <w:r w:rsidR="003D640C">
        <w:t xml:space="preserve"> </w:t>
      </w:r>
      <w:r w:rsidR="00583EC3">
        <w:t xml:space="preserve">can </w:t>
      </w:r>
      <w:r w:rsidRPr="00BB6220">
        <w:t>deny</w:t>
      </w:r>
      <w:r w:rsidR="003D640C">
        <w:t xml:space="preserve"> </w:t>
      </w:r>
      <w:r w:rsidRPr="00BB6220">
        <w:t>an</w:t>
      </w:r>
      <w:r w:rsidR="003D640C">
        <w:t xml:space="preserve"> </w:t>
      </w:r>
      <w:r w:rsidRPr="00BB6220">
        <w:t>individual</w:t>
      </w:r>
      <w:r w:rsidR="003D640C">
        <w:t xml:space="preserve"> </w:t>
      </w:r>
      <w:r w:rsidRPr="00BB6220">
        <w:t>the</w:t>
      </w:r>
      <w:r w:rsidR="003D640C">
        <w:t xml:space="preserve"> </w:t>
      </w:r>
      <w:r w:rsidRPr="00BB6220">
        <w:t>true</w:t>
      </w:r>
      <w:r w:rsidR="003D640C">
        <w:t xml:space="preserve"> </w:t>
      </w:r>
      <w:r w:rsidRPr="00BB6220">
        <w:t>realisation</w:t>
      </w:r>
      <w:r w:rsidR="003D640C">
        <w:t xml:space="preserve"> </w:t>
      </w:r>
      <w:r w:rsidRPr="00BB6220">
        <w:t>or</w:t>
      </w:r>
      <w:r w:rsidR="003D640C">
        <w:t xml:space="preserve"> </w:t>
      </w:r>
      <w:r w:rsidRPr="00BB6220">
        <w:t>expression</w:t>
      </w:r>
      <w:r w:rsidR="003D640C">
        <w:t xml:space="preserve"> </w:t>
      </w:r>
      <w:r w:rsidRPr="00BB6220">
        <w:t>of</w:t>
      </w:r>
      <w:r w:rsidR="003D640C">
        <w:t xml:space="preserve"> </w:t>
      </w:r>
      <w:r w:rsidRPr="00BB6220">
        <w:t>their</w:t>
      </w:r>
      <w:r w:rsidR="003D640C">
        <w:t xml:space="preserve"> </w:t>
      </w:r>
      <w:r w:rsidRPr="00BB6220">
        <w:t>identity</w:t>
      </w:r>
      <w:r w:rsidR="003D640C">
        <w:t xml:space="preserve"> </w:t>
      </w:r>
      <w:r w:rsidRPr="00BB6220">
        <w:t>and</w:t>
      </w:r>
      <w:r w:rsidR="003D640C">
        <w:t xml:space="preserve"> </w:t>
      </w:r>
      <w:r w:rsidRPr="00BB6220">
        <w:t>therefore</w:t>
      </w:r>
      <w:r w:rsidR="003D640C">
        <w:t xml:space="preserve"> </w:t>
      </w:r>
      <w:r w:rsidRPr="00BB6220">
        <w:t>deny</w:t>
      </w:r>
      <w:r w:rsidR="003D640C">
        <w:t xml:space="preserve"> </w:t>
      </w:r>
      <w:r w:rsidRPr="00BB6220">
        <w:t>them</w:t>
      </w:r>
      <w:r w:rsidR="003D640C">
        <w:t xml:space="preserve"> </w:t>
      </w:r>
      <w:r w:rsidRPr="00BB6220">
        <w:t>their</w:t>
      </w:r>
      <w:r w:rsidR="003D640C">
        <w:t xml:space="preserve"> </w:t>
      </w:r>
      <w:r w:rsidR="007D6D02" w:rsidRPr="00BB6220">
        <w:t>protected</w:t>
      </w:r>
      <w:r w:rsidR="003D640C">
        <w:t xml:space="preserve"> </w:t>
      </w:r>
      <w:r w:rsidR="007D6D02" w:rsidRPr="00BB6220">
        <w:t>human</w:t>
      </w:r>
      <w:r w:rsidR="003D640C">
        <w:t xml:space="preserve"> </w:t>
      </w:r>
      <w:r w:rsidRPr="00BB6220">
        <w:t>rights.</w:t>
      </w:r>
    </w:p>
    <w:p w14:paraId="6BD559E7" w14:textId="220B7378" w:rsidR="00D05424" w:rsidRPr="00BB6220" w:rsidRDefault="00D05424" w:rsidP="00FA0175">
      <w:r w:rsidRPr="00BB6220">
        <w:t>Conversion</w:t>
      </w:r>
      <w:r w:rsidR="003D640C">
        <w:t xml:space="preserve"> </w:t>
      </w:r>
      <w:r w:rsidRPr="00BB6220">
        <w:t>practices</w:t>
      </w:r>
      <w:r w:rsidR="003D640C">
        <w:t xml:space="preserve"> </w:t>
      </w:r>
      <w:r w:rsidRPr="00BB6220">
        <w:t>in</w:t>
      </w:r>
      <w:r w:rsidR="003D640C">
        <w:t xml:space="preserve"> </w:t>
      </w:r>
      <w:r w:rsidRPr="00BB6220">
        <w:t>medical</w:t>
      </w:r>
      <w:r w:rsidR="003D640C">
        <w:t xml:space="preserve"> </w:t>
      </w:r>
      <w:r w:rsidRPr="00BB6220">
        <w:t>and</w:t>
      </w:r>
      <w:r w:rsidR="003D640C">
        <w:t xml:space="preserve"> </w:t>
      </w:r>
      <w:r w:rsidRPr="00BB6220">
        <w:t>healthcare</w:t>
      </w:r>
      <w:r w:rsidR="003D640C">
        <w:t xml:space="preserve"> </w:t>
      </w:r>
      <w:r w:rsidRPr="00BB6220">
        <w:t>settings</w:t>
      </w:r>
      <w:r w:rsidR="003D640C">
        <w:t xml:space="preserve"> </w:t>
      </w:r>
      <w:r w:rsidR="008072AA">
        <w:t>can</w:t>
      </w:r>
      <w:r w:rsidR="003D640C">
        <w:t xml:space="preserve"> </w:t>
      </w:r>
      <w:r w:rsidR="008072AA">
        <w:t>involve</w:t>
      </w:r>
      <w:r w:rsidR="003D640C">
        <w:t xml:space="preserve"> </w:t>
      </w:r>
      <w:r w:rsidRPr="00BB6220">
        <w:t>non-affirming</w:t>
      </w:r>
      <w:r w:rsidR="003D640C">
        <w:t xml:space="preserve"> </w:t>
      </w:r>
      <w:r w:rsidRPr="00BB6220">
        <w:t>practices</w:t>
      </w:r>
      <w:r w:rsidR="003D640C">
        <w:t xml:space="preserve"> </w:t>
      </w:r>
      <w:r w:rsidRPr="00BB6220">
        <w:t>directed</w:t>
      </w:r>
      <w:r w:rsidR="003D640C">
        <w:t xml:space="preserve"> </w:t>
      </w:r>
      <w:r w:rsidR="00D60C8C" w:rsidRPr="00BB6220">
        <w:t>at</w:t>
      </w:r>
      <w:r w:rsidR="003D640C">
        <w:t xml:space="preserve"> </w:t>
      </w:r>
      <w:r w:rsidRPr="00BB6220">
        <w:t>an</w:t>
      </w:r>
      <w:r w:rsidR="003D640C">
        <w:t xml:space="preserve"> </w:t>
      </w:r>
      <w:r w:rsidRPr="00BB6220">
        <w:t>individual</w:t>
      </w:r>
      <w:r w:rsidR="003D640C">
        <w:t xml:space="preserve"> </w:t>
      </w:r>
      <w:r w:rsidRPr="00BB6220">
        <w:t>because</w:t>
      </w:r>
      <w:r w:rsidR="003D640C">
        <w:t xml:space="preserve"> </w:t>
      </w:r>
      <w:r w:rsidRPr="00BB6220">
        <w:t>of</w:t>
      </w:r>
      <w:r w:rsidR="003D640C">
        <w:t xml:space="preserve"> </w:t>
      </w:r>
      <w:r w:rsidRPr="00BB6220">
        <w:t>their</w:t>
      </w:r>
      <w:r w:rsidR="003D640C">
        <w:t xml:space="preserve"> </w:t>
      </w:r>
      <w:r w:rsidR="00CB13CE">
        <w:t>sexual</w:t>
      </w:r>
      <w:r w:rsidR="003D640C">
        <w:t xml:space="preserve"> </w:t>
      </w:r>
      <w:r w:rsidR="00CB13CE">
        <w:t>orientation,</w:t>
      </w:r>
      <w:r w:rsidR="003D640C">
        <w:t xml:space="preserve"> </w:t>
      </w:r>
      <w:r w:rsidRPr="00BB6220">
        <w:t>gender</w:t>
      </w:r>
      <w:r w:rsidR="003D640C">
        <w:t xml:space="preserve"> </w:t>
      </w:r>
      <w:r w:rsidRPr="00BB6220">
        <w:t>identity</w:t>
      </w:r>
      <w:r w:rsidR="00884A3C">
        <w:t>,</w:t>
      </w:r>
      <w:r w:rsidR="003D640C">
        <w:t xml:space="preserve"> </w:t>
      </w:r>
      <w:r w:rsidRPr="00BB6220">
        <w:t>or</w:t>
      </w:r>
      <w:r w:rsidR="003D640C">
        <w:t xml:space="preserve"> </w:t>
      </w:r>
      <w:r w:rsidRPr="00BB6220">
        <w:t>gender</w:t>
      </w:r>
      <w:r w:rsidR="003D640C">
        <w:t xml:space="preserve"> </w:t>
      </w:r>
      <w:r w:rsidRPr="00BB6220">
        <w:t>expression.</w:t>
      </w:r>
      <w:r w:rsidR="003D640C">
        <w:t xml:space="preserve"> </w:t>
      </w:r>
      <w:r w:rsidR="003F324D">
        <w:t>In</w:t>
      </w:r>
      <w:r w:rsidR="003D640C">
        <w:t xml:space="preserve"> </w:t>
      </w:r>
      <w:r w:rsidR="003F324D">
        <w:t>relation</w:t>
      </w:r>
      <w:r w:rsidR="003D640C">
        <w:t xml:space="preserve"> </w:t>
      </w:r>
      <w:r w:rsidR="003F324D">
        <w:t>to</w:t>
      </w:r>
      <w:r w:rsidR="003D640C">
        <w:t xml:space="preserve"> </w:t>
      </w:r>
      <w:r w:rsidR="001D09E6">
        <w:t>g</w:t>
      </w:r>
      <w:r w:rsidR="003F324D">
        <w:t>ender</w:t>
      </w:r>
      <w:r w:rsidR="003D640C">
        <w:t xml:space="preserve"> </w:t>
      </w:r>
      <w:r w:rsidR="003F324D">
        <w:t>identity,</w:t>
      </w:r>
      <w:r w:rsidR="003D640C">
        <w:t xml:space="preserve"> </w:t>
      </w:r>
      <w:r w:rsidR="003F324D">
        <w:t>t</w:t>
      </w:r>
      <w:r w:rsidRPr="00BB6220">
        <w:t>hese</w:t>
      </w:r>
      <w:r w:rsidR="003D640C">
        <w:t xml:space="preserve"> </w:t>
      </w:r>
      <w:r w:rsidRPr="00BB6220">
        <w:t>could</w:t>
      </w:r>
      <w:r w:rsidR="003D640C">
        <w:t xml:space="preserve"> </w:t>
      </w:r>
      <w:r w:rsidRPr="00BB6220">
        <w:t>look</w:t>
      </w:r>
      <w:r w:rsidR="003D640C">
        <w:t xml:space="preserve"> </w:t>
      </w:r>
      <w:r w:rsidRPr="00BB6220">
        <w:t>like:</w:t>
      </w:r>
    </w:p>
    <w:p w14:paraId="72E6E0C3" w14:textId="31061483" w:rsidR="00D05424" w:rsidRPr="00BB6220" w:rsidRDefault="00D05424" w:rsidP="00FA0175">
      <w:pPr>
        <w:pStyle w:val="Bullet"/>
      </w:pPr>
      <w:r w:rsidRPr="00BB6220">
        <w:t>using</w:t>
      </w:r>
      <w:r w:rsidR="003D640C">
        <w:t xml:space="preserve"> </w:t>
      </w:r>
      <w:r w:rsidRPr="00BB6220">
        <w:t>shame</w:t>
      </w:r>
      <w:r w:rsidR="003D640C">
        <w:t xml:space="preserve"> </w:t>
      </w:r>
      <w:r w:rsidRPr="00BB6220">
        <w:t>or</w:t>
      </w:r>
      <w:r w:rsidR="003D640C">
        <w:t xml:space="preserve"> </w:t>
      </w:r>
      <w:r w:rsidRPr="00BB6220">
        <w:t>coercion</w:t>
      </w:r>
      <w:r w:rsidR="003D640C">
        <w:t xml:space="preserve"> </w:t>
      </w:r>
      <w:r w:rsidRPr="00BB6220">
        <w:t>to</w:t>
      </w:r>
      <w:r w:rsidR="003D640C">
        <w:t xml:space="preserve"> </w:t>
      </w:r>
      <w:r w:rsidRPr="00BB6220">
        <w:t>discourage</w:t>
      </w:r>
      <w:r w:rsidR="003D640C">
        <w:t xml:space="preserve"> </w:t>
      </w:r>
      <w:r w:rsidRPr="00BB6220">
        <w:t>someone</w:t>
      </w:r>
      <w:r w:rsidR="003D640C">
        <w:t xml:space="preserve"> </w:t>
      </w:r>
      <w:r w:rsidRPr="00BB6220">
        <w:t>from</w:t>
      </w:r>
      <w:r w:rsidR="003D640C">
        <w:t xml:space="preserve"> </w:t>
      </w:r>
      <w:r w:rsidRPr="00BB6220">
        <w:t>seeking</w:t>
      </w:r>
      <w:r w:rsidR="003D640C">
        <w:t xml:space="preserve"> </w:t>
      </w:r>
      <w:r w:rsidRPr="00BB6220">
        <w:t>gender-affirming</w:t>
      </w:r>
      <w:r w:rsidR="003D640C">
        <w:t xml:space="preserve"> </w:t>
      </w:r>
      <w:r w:rsidRPr="00BB6220">
        <w:t>healthcare</w:t>
      </w:r>
    </w:p>
    <w:p w14:paraId="1E497DC5" w14:textId="11D642C1" w:rsidR="00D05424" w:rsidRPr="00BB6220" w:rsidRDefault="00D05424" w:rsidP="00FA0175">
      <w:pPr>
        <w:pStyle w:val="Bullet"/>
      </w:pPr>
      <w:r w:rsidRPr="00BB6220">
        <w:t>expressing</w:t>
      </w:r>
      <w:r w:rsidR="003D640C">
        <w:t xml:space="preserve"> </w:t>
      </w:r>
      <w:r w:rsidRPr="00BB6220">
        <w:t>the</w:t>
      </w:r>
      <w:r w:rsidR="003D640C">
        <w:t xml:space="preserve"> </w:t>
      </w:r>
      <w:r w:rsidRPr="00BB6220">
        <w:t>belief</w:t>
      </w:r>
      <w:r w:rsidR="003D640C">
        <w:t xml:space="preserve"> </w:t>
      </w:r>
      <w:r w:rsidRPr="00BB6220">
        <w:t>that</w:t>
      </w:r>
      <w:r w:rsidR="003D640C">
        <w:t xml:space="preserve"> </w:t>
      </w:r>
      <w:r w:rsidRPr="00BB6220">
        <w:t>being</w:t>
      </w:r>
      <w:r w:rsidR="003D640C">
        <w:t xml:space="preserve"> </w:t>
      </w:r>
      <w:r w:rsidRPr="00BB6220">
        <w:t>transgender</w:t>
      </w:r>
      <w:r w:rsidR="003D640C">
        <w:t xml:space="preserve"> </w:t>
      </w:r>
      <w:r w:rsidRPr="00BB6220">
        <w:t>is</w:t>
      </w:r>
      <w:r w:rsidR="003D640C">
        <w:t xml:space="preserve"> </w:t>
      </w:r>
      <w:r w:rsidRPr="00BB6220">
        <w:t>an</w:t>
      </w:r>
      <w:r w:rsidR="003D640C">
        <w:t xml:space="preserve"> </w:t>
      </w:r>
      <w:r w:rsidRPr="00BB6220">
        <w:t>illness</w:t>
      </w:r>
      <w:r w:rsidR="003D640C">
        <w:t xml:space="preserve"> </w:t>
      </w:r>
      <w:r w:rsidRPr="00BB6220">
        <w:t>and</w:t>
      </w:r>
      <w:r w:rsidR="003D640C">
        <w:t xml:space="preserve"> </w:t>
      </w:r>
      <w:r w:rsidRPr="00BB6220">
        <w:t>suggesting</w:t>
      </w:r>
      <w:r w:rsidR="003D640C">
        <w:t xml:space="preserve"> </w:t>
      </w:r>
      <w:r w:rsidRPr="00BB6220">
        <w:t>counselling</w:t>
      </w:r>
      <w:r w:rsidR="003D640C">
        <w:t xml:space="preserve"> </w:t>
      </w:r>
      <w:r w:rsidRPr="00BB6220">
        <w:t>to</w:t>
      </w:r>
      <w:r w:rsidR="003D640C">
        <w:t xml:space="preserve"> </w:t>
      </w:r>
      <w:r w:rsidRPr="00BB6220">
        <w:t>‘fix</w:t>
      </w:r>
      <w:r w:rsidR="003D640C">
        <w:t xml:space="preserve"> </w:t>
      </w:r>
      <w:r w:rsidRPr="00BB6220">
        <w:t>it’</w:t>
      </w:r>
    </w:p>
    <w:p w14:paraId="046ABBD2" w14:textId="15F302E2" w:rsidR="00D05424" w:rsidRPr="00BB6220" w:rsidRDefault="00D05424" w:rsidP="00FA0175">
      <w:pPr>
        <w:pStyle w:val="Bullet"/>
      </w:pPr>
      <w:r w:rsidRPr="00BB6220">
        <w:t>creating</w:t>
      </w:r>
      <w:r w:rsidR="003D640C">
        <w:t xml:space="preserve"> </w:t>
      </w:r>
      <w:r w:rsidR="000741E2">
        <w:t>delays</w:t>
      </w:r>
      <w:r w:rsidR="003D640C">
        <w:t xml:space="preserve"> </w:t>
      </w:r>
      <w:r w:rsidR="000741E2">
        <w:t>to</w:t>
      </w:r>
      <w:r w:rsidR="003D640C">
        <w:t xml:space="preserve"> </w:t>
      </w:r>
      <w:r w:rsidR="000741E2">
        <w:t>obstruct</w:t>
      </w:r>
      <w:r w:rsidR="003D640C">
        <w:t xml:space="preserve"> </w:t>
      </w:r>
      <w:r w:rsidR="000741E2">
        <w:t>access</w:t>
      </w:r>
      <w:r w:rsidR="003D640C">
        <w:t xml:space="preserve"> </w:t>
      </w:r>
      <w:r w:rsidR="000741E2">
        <w:t>to</w:t>
      </w:r>
      <w:r w:rsidR="003D640C">
        <w:t xml:space="preserve"> </w:t>
      </w:r>
      <w:r w:rsidRPr="00BB6220">
        <w:t>gender-affirming</w:t>
      </w:r>
      <w:r w:rsidR="003D640C">
        <w:t xml:space="preserve"> </w:t>
      </w:r>
      <w:r w:rsidR="00B5535C" w:rsidRPr="00BB6220">
        <w:t>health</w:t>
      </w:r>
      <w:r w:rsidRPr="00BB6220">
        <w:t>care</w:t>
      </w:r>
    </w:p>
    <w:p w14:paraId="0DB4252F" w14:textId="5F2318B9" w:rsidR="00D05424" w:rsidRPr="00BB6220" w:rsidRDefault="00D05424" w:rsidP="00FA0175">
      <w:pPr>
        <w:pStyle w:val="Bullet"/>
      </w:pPr>
      <w:r w:rsidRPr="00BB6220">
        <w:t>knowingly</w:t>
      </w:r>
      <w:r w:rsidR="003D640C">
        <w:t xml:space="preserve"> </w:t>
      </w:r>
      <w:r w:rsidRPr="00BB6220">
        <w:t>referring</w:t>
      </w:r>
      <w:r w:rsidR="003D640C">
        <w:t xml:space="preserve"> </w:t>
      </w:r>
      <w:r w:rsidRPr="00BB6220">
        <w:t>someone</w:t>
      </w:r>
      <w:r w:rsidR="003D640C">
        <w:t xml:space="preserve"> </w:t>
      </w:r>
      <w:r w:rsidRPr="00BB6220">
        <w:t>to</w:t>
      </w:r>
      <w:r w:rsidR="003D640C">
        <w:t xml:space="preserve"> </w:t>
      </w:r>
      <w:r w:rsidRPr="00BB6220">
        <w:t>a</w:t>
      </w:r>
      <w:r w:rsidR="003D640C">
        <w:t xml:space="preserve"> </w:t>
      </w:r>
      <w:r w:rsidRPr="00BB6220">
        <w:t>non-affirming</w:t>
      </w:r>
      <w:r w:rsidR="003D640C">
        <w:t xml:space="preserve"> </w:t>
      </w:r>
      <w:r w:rsidRPr="00BB6220">
        <w:t>healthcare</w:t>
      </w:r>
      <w:r w:rsidR="003D640C">
        <w:t xml:space="preserve"> </w:t>
      </w:r>
      <w:r w:rsidRPr="00BB6220">
        <w:t>provider</w:t>
      </w:r>
      <w:r w:rsidR="00884A3C">
        <w:t>.</w:t>
      </w:r>
    </w:p>
    <w:p w14:paraId="530330E6" w14:textId="7A6BB43A" w:rsidR="00D05424" w:rsidRPr="00BB6220" w:rsidRDefault="009C7424" w:rsidP="00FA0175">
      <w:r>
        <w:t>Healthcare</w:t>
      </w:r>
      <w:r w:rsidR="003D640C">
        <w:t xml:space="preserve"> </w:t>
      </w:r>
      <w:r>
        <w:t>professionals</w:t>
      </w:r>
      <w:r w:rsidR="003D640C">
        <w:t xml:space="preserve"> </w:t>
      </w:r>
      <w:r w:rsidR="00BA60B3" w:rsidRPr="00BB6220">
        <w:t>who</w:t>
      </w:r>
      <w:r w:rsidR="003D640C">
        <w:t xml:space="preserve"> </w:t>
      </w:r>
      <w:r w:rsidR="00BA60B3" w:rsidRPr="00BB6220">
        <w:t>might</w:t>
      </w:r>
      <w:r w:rsidR="003D640C">
        <w:t xml:space="preserve"> </w:t>
      </w:r>
      <w:r w:rsidR="00BA60B3" w:rsidRPr="00BB6220">
        <w:t>practi</w:t>
      </w:r>
      <w:r w:rsidR="00884A3C">
        <w:t>s</w:t>
      </w:r>
      <w:r w:rsidR="00BA60B3" w:rsidRPr="00BB6220">
        <w:t>e</w:t>
      </w:r>
      <w:r w:rsidR="003D640C">
        <w:t xml:space="preserve"> </w:t>
      </w:r>
      <w:r w:rsidR="00D05424" w:rsidRPr="00BB6220">
        <w:t>conversion</w:t>
      </w:r>
      <w:r w:rsidR="003D640C">
        <w:t xml:space="preserve"> </w:t>
      </w:r>
      <w:r w:rsidR="00D05424" w:rsidRPr="00BB6220">
        <w:t>practices</w:t>
      </w:r>
      <w:r w:rsidR="003D640C">
        <w:t xml:space="preserve"> </w:t>
      </w:r>
      <w:r w:rsidR="00D05424" w:rsidRPr="00BB6220">
        <w:t>in</w:t>
      </w:r>
      <w:r w:rsidR="003D640C">
        <w:t xml:space="preserve"> </w:t>
      </w:r>
      <w:r w:rsidR="00D05424" w:rsidRPr="00BB6220">
        <w:t>these</w:t>
      </w:r>
      <w:r w:rsidR="003D640C">
        <w:t xml:space="preserve"> </w:t>
      </w:r>
      <w:r w:rsidR="00D05424" w:rsidRPr="00BB6220">
        <w:t>settings</w:t>
      </w:r>
      <w:r w:rsidR="003D640C">
        <w:t xml:space="preserve"> </w:t>
      </w:r>
      <w:r w:rsidR="36B8A39A" w:rsidRPr="00BB6220">
        <w:t>could</w:t>
      </w:r>
      <w:r w:rsidR="003D640C">
        <w:t xml:space="preserve"> </w:t>
      </w:r>
      <w:r w:rsidR="00373050" w:rsidRPr="00BB6220">
        <w:t>have</w:t>
      </w:r>
      <w:r w:rsidR="003D640C">
        <w:t xml:space="preserve"> </w:t>
      </w:r>
      <w:r w:rsidR="00D3275B" w:rsidRPr="00BB6220">
        <w:t>a</w:t>
      </w:r>
      <w:r w:rsidR="003D640C">
        <w:t xml:space="preserve"> </w:t>
      </w:r>
      <w:r w:rsidR="00D3275B" w:rsidRPr="00BB6220">
        <w:t>religious</w:t>
      </w:r>
      <w:r w:rsidR="003D640C">
        <w:t xml:space="preserve"> </w:t>
      </w:r>
      <w:r w:rsidR="00D3275B" w:rsidRPr="00BB6220">
        <w:t>motivation.</w:t>
      </w:r>
      <w:r w:rsidR="003D640C">
        <w:t xml:space="preserve"> </w:t>
      </w:r>
      <w:r w:rsidR="009E0476" w:rsidRPr="00BB6220">
        <w:t>I</w:t>
      </w:r>
      <w:r w:rsidR="00D05424" w:rsidRPr="00BB6220">
        <w:t>t</w:t>
      </w:r>
      <w:r w:rsidR="003D640C">
        <w:t xml:space="preserve"> </w:t>
      </w:r>
      <w:r w:rsidR="00D05424" w:rsidRPr="00BB6220">
        <w:t>is</w:t>
      </w:r>
      <w:r w:rsidR="003D640C">
        <w:t xml:space="preserve"> </w:t>
      </w:r>
      <w:r w:rsidR="00177965" w:rsidRPr="00BB6220">
        <w:t>not</w:t>
      </w:r>
      <w:r w:rsidR="003D640C">
        <w:t xml:space="preserve"> </w:t>
      </w:r>
      <w:r w:rsidR="00177965" w:rsidRPr="00BB6220">
        <w:t>un</w:t>
      </w:r>
      <w:r w:rsidR="00D05424" w:rsidRPr="00BB6220">
        <w:t>common</w:t>
      </w:r>
      <w:r w:rsidR="003D640C">
        <w:t xml:space="preserve"> </w:t>
      </w:r>
      <w:r w:rsidR="00D05424" w:rsidRPr="00BB6220">
        <w:t>for</w:t>
      </w:r>
      <w:r w:rsidR="003D640C">
        <w:t xml:space="preserve"> </w:t>
      </w:r>
      <w:r w:rsidR="00D05424" w:rsidRPr="00BB6220">
        <w:t>individuals</w:t>
      </w:r>
      <w:r w:rsidR="003D640C">
        <w:t xml:space="preserve"> </w:t>
      </w:r>
      <w:r w:rsidR="00D05424" w:rsidRPr="00BB6220">
        <w:t>to</w:t>
      </w:r>
      <w:r w:rsidR="003D640C">
        <w:t xml:space="preserve"> </w:t>
      </w:r>
      <w:r w:rsidR="00D05424" w:rsidRPr="00BB6220">
        <w:t>be</w:t>
      </w:r>
      <w:r w:rsidR="003D640C">
        <w:t xml:space="preserve"> </w:t>
      </w:r>
      <w:r w:rsidR="00D05424" w:rsidRPr="00BB6220">
        <w:t>deliberately</w:t>
      </w:r>
      <w:r w:rsidR="003D640C">
        <w:t xml:space="preserve"> </w:t>
      </w:r>
      <w:r w:rsidR="00D05424" w:rsidRPr="00BB6220">
        <w:t>referred</w:t>
      </w:r>
      <w:r w:rsidR="003D640C">
        <w:t xml:space="preserve"> </w:t>
      </w:r>
      <w:r w:rsidR="00D05424" w:rsidRPr="00BB6220">
        <w:t>by</w:t>
      </w:r>
      <w:r w:rsidR="003D640C">
        <w:t xml:space="preserve"> </w:t>
      </w:r>
      <w:r w:rsidR="00D05424" w:rsidRPr="00BB6220">
        <w:t>someone</w:t>
      </w:r>
      <w:r w:rsidR="003D640C">
        <w:t xml:space="preserve"> </w:t>
      </w:r>
      <w:r w:rsidR="00D05424" w:rsidRPr="00BB6220">
        <w:t>from</w:t>
      </w:r>
      <w:r w:rsidR="003D640C">
        <w:t xml:space="preserve"> </w:t>
      </w:r>
      <w:r w:rsidR="00931ED7">
        <w:t>a</w:t>
      </w:r>
      <w:r w:rsidR="003D640C">
        <w:t xml:space="preserve"> </w:t>
      </w:r>
      <w:r w:rsidR="00D05424" w:rsidRPr="00BB6220">
        <w:t>community</w:t>
      </w:r>
      <w:r w:rsidR="003D640C">
        <w:t xml:space="preserve"> </w:t>
      </w:r>
      <w:r w:rsidR="00931ED7">
        <w:t>promoting</w:t>
      </w:r>
      <w:r w:rsidR="003D640C">
        <w:t xml:space="preserve"> </w:t>
      </w:r>
      <w:r w:rsidR="00931ED7">
        <w:t>conversion</w:t>
      </w:r>
      <w:r w:rsidR="003D640C">
        <w:t xml:space="preserve"> </w:t>
      </w:r>
      <w:r w:rsidR="00931ED7">
        <w:t>practices</w:t>
      </w:r>
      <w:r w:rsidR="003D640C">
        <w:t xml:space="preserve"> </w:t>
      </w:r>
      <w:r w:rsidR="00702FDC" w:rsidRPr="00BB6220">
        <w:t>and</w:t>
      </w:r>
      <w:r w:rsidR="003D640C">
        <w:t xml:space="preserve"> </w:t>
      </w:r>
      <w:r w:rsidR="00D05424" w:rsidRPr="00BB6220">
        <w:t>for</w:t>
      </w:r>
      <w:r w:rsidR="003D640C">
        <w:t xml:space="preserve"> </w:t>
      </w:r>
      <w:r w:rsidR="00D05424" w:rsidRPr="00BB6220">
        <w:t>the</w:t>
      </w:r>
      <w:r w:rsidR="003D640C">
        <w:t xml:space="preserve"> </w:t>
      </w:r>
      <w:r w:rsidR="00D05424" w:rsidRPr="00BB6220">
        <w:t>healthcare</w:t>
      </w:r>
      <w:r w:rsidR="003D640C">
        <w:t xml:space="preserve"> </w:t>
      </w:r>
      <w:r w:rsidR="00D05424" w:rsidRPr="00BB6220">
        <w:t>practitioner</w:t>
      </w:r>
      <w:r w:rsidR="003D640C">
        <w:t xml:space="preserve"> </w:t>
      </w:r>
      <w:r w:rsidR="00D05424" w:rsidRPr="00BB6220">
        <w:t>offering</w:t>
      </w:r>
      <w:r w:rsidR="003D640C">
        <w:t xml:space="preserve"> </w:t>
      </w:r>
      <w:r w:rsidR="00D05424" w:rsidRPr="00BB6220">
        <w:t>these</w:t>
      </w:r>
      <w:r w:rsidR="003D640C">
        <w:t xml:space="preserve"> </w:t>
      </w:r>
      <w:r w:rsidR="00D05424" w:rsidRPr="00BB6220">
        <w:t>practices</w:t>
      </w:r>
      <w:r w:rsidR="003D640C">
        <w:t xml:space="preserve"> </w:t>
      </w:r>
      <w:r w:rsidR="00D05424" w:rsidRPr="00BB6220">
        <w:t>to</w:t>
      </w:r>
      <w:r w:rsidR="003D640C">
        <w:t xml:space="preserve"> </w:t>
      </w:r>
      <w:r w:rsidR="00D05424" w:rsidRPr="00BB6220">
        <w:t>belong</w:t>
      </w:r>
      <w:r w:rsidR="003D640C">
        <w:t xml:space="preserve"> </w:t>
      </w:r>
      <w:r w:rsidR="00D05424" w:rsidRPr="00BB6220">
        <w:t>to</w:t>
      </w:r>
      <w:r w:rsidR="003D640C">
        <w:t xml:space="preserve"> </w:t>
      </w:r>
      <w:r w:rsidR="00D05424" w:rsidRPr="00BB6220">
        <w:t>th</w:t>
      </w:r>
      <w:r w:rsidR="005B4DC9" w:rsidRPr="00BB6220">
        <w:t>at</w:t>
      </w:r>
      <w:r w:rsidR="003D640C">
        <w:t xml:space="preserve"> </w:t>
      </w:r>
      <w:r w:rsidR="00052ACC" w:rsidRPr="00BB6220">
        <w:t>same</w:t>
      </w:r>
      <w:r w:rsidR="003D640C">
        <w:t xml:space="preserve"> </w:t>
      </w:r>
      <w:r w:rsidR="00D05424" w:rsidRPr="00BB6220">
        <w:t>community.</w:t>
      </w:r>
    </w:p>
    <w:p w14:paraId="7AF7F500" w14:textId="134527C5" w:rsidR="00D05424" w:rsidRPr="00BB6220" w:rsidRDefault="00D05424" w:rsidP="00FA0175">
      <w:pPr>
        <w:pStyle w:val="Quote"/>
      </w:pPr>
      <w:r w:rsidRPr="00BB6220">
        <w:t>“I</w:t>
      </w:r>
      <w:r w:rsidR="003D640C">
        <w:t xml:space="preserve"> </w:t>
      </w:r>
      <w:r w:rsidRPr="00BB6220">
        <w:t>remembered</w:t>
      </w:r>
      <w:r w:rsidR="003D640C">
        <w:t xml:space="preserve"> </w:t>
      </w:r>
      <w:r w:rsidRPr="00BB6220">
        <w:t>being</w:t>
      </w:r>
      <w:r w:rsidR="003D640C">
        <w:t xml:space="preserve"> </w:t>
      </w:r>
      <w:r w:rsidRPr="00BB6220">
        <w:t>referred</w:t>
      </w:r>
      <w:r w:rsidR="003D640C">
        <w:t xml:space="preserve"> </w:t>
      </w:r>
      <w:r w:rsidRPr="00BB6220">
        <w:t>to</w:t>
      </w:r>
      <w:r w:rsidR="003D640C">
        <w:t xml:space="preserve"> </w:t>
      </w:r>
      <w:r w:rsidRPr="00BB6220">
        <w:t>a</w:t>
      </w:r>
      <w:r w:rsidR="003D640C">
        <w:t xml:space="preserve"> </w:t>
      </w:r>
      <w:r w:rsidRPr="00BB6220">
        <w:t>coun</w:t>
      </w:r>
      <w:r w:rsidR="00052ACC" w:rsidRPr="00BB6220">
        <w:t>sellor</w:t>
      </w:r>
      <w:r w:rsidR="003D640C">
        <w:t xml:space="preserve"> </w:t>
      </w:r>
      <w:r w:rsidRPr="00BB6220">
        <w:t>who</w:t>
      </w:r>
      <w:r w:rsidR="003D640C">
        <w:t xml:space="preserve"> </w:t>
      </w:r>
      <w:r w:rsidRPr="00BB6220">
        <w:t>came</w:t>
      </w:r>
      <w:r w:rsidR="003D640C">
        <w:t xml:space="preserve"> </w:t>
      </w:r>
      <w:r w:rsidRPr="00BB6220">
        <w:t>from</w:t>
      </w:r>
      <w:r w:rsidR="003D640C">
        <w:t xml:space="preserve"> </w:t>
      </w:r>
      <w:r w:rsidRPr="00BB6220">
        <w:t>the</w:t>
      </w:r>
      <w:r w:rsidR="003D640C">
        <w:t xml:space="preserve"> </w:t>
      </w:r>
      <w:r w:rsidRPr="00BB6220">
        <w:t>same</w:t>
      </w:r>
      <w:r w:rsidR="003D640C">
        <w:t xml:space="preserve"> </w:t>
      </w:r>
      <w:r w:rsidRPr="00BB6220">
        <w:t>country</w:t>
      </w:r>
      <w:r w:rsidR="003D640C">
        <w:t xml:space="preserve"> </w:t>
      </w:r>
      <w:r w:rsidRPr="00BB6220">
        <w:t>as</w:t>
      </w:r>
      <w:r w:rsidR="003D640C">
        <w:t xml:space="preserve"> </w:t>
      </w:r>
      <w:r w:rsidRPr="00BB6220">
        <w:t>I</w:t>
      </w:r>
      <w:r w:rsidR="003D640C">
        <w:t xml:space="preserve"> </w:t>
      </w:r>
      <w:r w:rsidRPr="00BB6220">
        <w:t>did,</w:t>
      </w:r>
      <w:r w:rsidR="003D640C">
        <w:t xml:space="preserve"> </w:t>
      </w:r>
      <w:r w:rsidRPr="00BB6220">
        <w:t>and</w:t>
      </w:r>
      <w:r w:rsidR="003D640C">
        <w:t xml:space="preserve"> </w:t>
      </w:r>
      <w:r w:rsidRPr="00BB6220">
        <w:t>I</w:t>
      </w:r>
      <w:r w:rsidR="003D640C">
        <w:t xml:space="preserve"> </w:t>
      </w:r>
      <w:r w:rsidRPr="00BB6220">
        <w:t>was</w:t>
      </w:r>
      <w:r w:rsidR="003D640C">
        <w:t xml:space="preserve"> </w:t>
      </w:r>
      <w:r w:rsidRPr="00BB6220">
        <w:t>so</w:t>
      </w:r>
      <w:r w:rsidR="003D640C">
        <w:t xml:space="preserve"> </w:t>
      </w:r>
      <w:r w:rsidRPr="00BB6220">
        <w:t>excited!</w:t>
      </w:r>
      <w:r w:rsidR="003D640C">
        <w:t xml:space="preserve"> </w:t>
      </w:r>
      <w:r w:rsidRPr="00BB6220">
        <w:t>But</w:t>
      </w:r>
      <w:r w:rsidR="003D640C">
        <w:t xml:space="preserve"> </w:t>
      </w:r>
      <w:r w:rsidRPr="00BB6220">
        <w:t>during</w:t>
      </w:r>
      <w:r w:rsidR="003D640C">
        <w:t xml:space="preserve"> </w:t>
      </w:r>
      <w:r w:rsidRPr="00BB6220">
        <w:t>the</w:t>
      </w:r>
      <w:r w:rsidR="003D640C">
        <w:t xml:space="preserve"> </w:t>
      </w:r>
      <w:r w:rsidRPr="00BB6220">
        <w:t>session</w:t>
      </w:r>
      <w:r w:rsidR="00884A3C">
        <w:t>,</w:t>
      </w:r>
      <w:r w:rsidR="003D640C">
        <w:t xml:space="preserve"> </w:t>
      </w:r>
      <w:r w:rsidRPr="00BB6220">
        <w:t>he</w:t>
      </w:r>
      <w:r w:rsidR="003D640C">
        <w:t xml:space="preserve"> </w:t>
      </w:r>
      <w:r w:rsidRPr="00BB6220">
        <w:t>asked</w:t>
      </w:r>
      <w:r w:rsidR="003D640C">
        <w:t xml:space="preserve"> </w:t>
      </w:r>
      <w:r w:rsidRPr="00BB6220">
        <w:t>me</w:t>
      </w:r>
      <w:r w:rsidR="003D640C">
        <w:t xml:space="preserve"> </w:t>
      </w:r>
      <w:r w:rsidRPr="00BB6220">
        <w:t>if</w:t>
      </w:r>
      <w:r w:rsidR="003D640C">
        <w:t xml:space="preserve"> </w:t>
      </w:r>
      <w:r w:rsidRPr="00BB6220">
        <w:t>I</w:t>
      </w:r>
      <w:r w:rsidR="003D640C">
        <w:t xml:space="preserve"> </w:t>
      </w:r>
      <w:r w:rsidR="00EC3A8A" w:rsidRPr="00BB6220">
        <w:t>was</w:t>
      </w:r>
      <w:r w:rsidR="003D640C">
        <w:t xml:space="preserve"> </w:t>
      </w:r>
      <w:r w:rsidRPr="00BB6220">
        <w:t>sure</w:t>
      </w:r>
      <w:r w:rsidR="003D640C">
        <w:t xml:space="preserve"> </w:t>
      </w:r>
      <w:r w:rsidRPr="00BB6220">
        <w:t>I</w:t>
      </w:r>
      <w:r w:rsidR="003D640C">
        <w:t xml:space="preserve"> </w:t>
      </w:r>
      <w:r w:rsidR="00AE0A36" w:rsidRPr="00BB6220">
        <w:t>was</w:t>
      </w:r>
      <w:r w:rsidR="003D640C">
        <w:t xml:space="preserve"> </w:t>
      </w:r>
      <w:r w:rsidRPr="00BB6220">
        <w:t>gay</w:t>
      </w:r>
      <w:r w:rsidR="003D640C">
        <w:t xml:space="preserve"> </w:t>
      </w:r>
      <w:r w:rsidRPr="00BB6220">
        <w:t>and</w:t>
      </w:r>
      <w:r w:rsidR="003D640C">
        <w:t xml:space="preserve"> </w:t>
      </w:r>
      <w:r w:rsidRPr="00BB6220">
        <w:t>that</w:t>
      </w:r>
      <w:r w:rsidR="003D640C">
        <w:t xml:space="preserve"> </w:t>
      </w:r>
      <w:r w:rsidRPr="00BB6220">
        <w:t>just</w:t>
      </w:r>
      <w:r w:rsidR="003D640C">
        <w:t xml:space="preserve"> </w:t>
      </w:r>
      <w:r w:rsidRPr="00BB6220">
        <w:t>dismantled</w:t>
      </w:r>
      <w:r w:rsidR="003D640C">
        <w:t xml:space="preserve"> </w:t>
      </w:r>
      <w:r w:rsidRPr="00BB6220">
        <w:t>everything</w:t>
      </w:r>
      <w:r w:rsidR="003D640C">
        <w:t xml:space="preserve"> </w:t>
      </w:r>
      <w:r w:rsidRPr="00BB6220">
        <w:t>I</w:t>
      </w:r>
      <w:r w:rsidR="003D640C">
        <w:t xml:space="preserve"> </w:t>
      </w:r>
      <w:r w:rsidRPr="00BB6220">
        <w:t>had</w:t>
      </w:r>
      <w:r w:rsidR="003D640C">
        <w:t xml:space="preserve"> </w:t>
      </w:r>
      <w:r w:rsidRPr="00BB6220">
        <w:t>worked</w:t>
      </w:r>
      <w:r w:rsidR="003D640C">
        <w:t xml:space="preserve"> </w:t>
      </w:r>
      <w:r w:rsidRPr="00BB6220">
        <w:t>on</w:t>
      </w:r>
      <w:r w:rsidR="003D640C">
        <w:t xml:space="preserve"> </w:t>
      </w:r>
      <w:r w:rsidRPr="00BB6220">
        <w:t>myself</w:t>
      </w:r>
      <w:r w:rsidR="003D640C">
        <w:t xml:space="preserve"> </w:t>
      </w:r>
      <w:r w:rsidRPr="00BB6220">
        <w:t>up</w:t>
      </w:r>
      <w:r w:rsidR="003D640C">
        <w:t xml:space="preserve"> </w:t>
      </w:r>
      <w:r w:rsidRPr="00BB6220">
        <w:t>to</w:t>
      </w:r>
      <w:r w:rsidR="003D640C">
        <w:t xml:space="preserve"> </w:t>
      </w:r>
      <w:r w:rsidRPr="00BB6220">
        <w:t>that</w:t>
      </w:r>
      <w:r w:rsidR="003D640C">
        <w:t xml:space="preserve"> </w:t>
      </w:r>
      <w:r w:rsidRPr="00BB6220">
        <w:t>point</w:t>
      </w:r>
      <w:r w:rsidR="003D640C">
        <w:t xml:space="preserve"> </w:t>
      </w:r>
      <w:r w:rsidR="003463C2">
        <w:t>…</w:t>
      </w:r>
      <w:r w:rsidR="003D640C">
        <w:t xml:space="preserve"> </w:t>
      </w:r>
      <w:r w:rsidRPr="00BB6220">
        <w:t>it</w:t>
      </w:r>
      <w:r w:rsidR="003D640C">
        <w:t xml:space="preserve"> </w:t>
      </w:r>
      <w:r w:rsidRPr="00BB6220">
        <w:t>was</w:t>
      </w:r>
      <w:r w:rsidR="003D640C">
        <w:t xml:space="preserve"> </w:t>
      </w:r>
      <w:r w:rsidRPr="00BB6220">
        <w:t>because</w:t>
      </w:r>
      <w:r w:rsidR="003D640C">
        <w:t xml:space="preserve"> </w:t>
      </w:r>
      <w:r w:rsidRPr="00BB6220">
        <w:t>I</w:t>
      </w:r>
      <w:r w:rsidR="003D640C">
        <w:t xml:space="preserve"> </w:t>
      </w:r>
      <w:r w:rsidRPr="00BB6220">
        <w:t>had</w:t>
      </w:r>
      <w:r w:rsidR="003D640C">
        <w:t xml:space="preserve"> </w:t>
      </w:r>
      <w:r w:rsidRPr="00BB6220">
        <w:t>placed</w:t>
      </w:r>
      <w:r w:rsidR="003D640C">
        <w:t xml:space="preserve"> </w:t>
      </w:r>
      <w:r w:rsidRPr="00BB6220">
        <w:t>so</w:t>
      </w:r>
      <w:r w:rsidR="003D640C">
        <w:t xml:space="preserve"> </w:t>
      </w:r>
      <w:r w:rsidRPr="00BB6220">
        <w:t>much</w:t>
      </w:r>
      <w:r w:rsidR="003D640C">
        <w:t xml:space="preserve"> </w:t>
      </w:r>
      <w:r w:rsidRPr="00BB6220">
        <w:t>trust</w:t>
      </w:r>
      <w:r w:rsidR="003D640C">
        <w:t xml:space="preserve"> </w:t>
      </w:r>
      <w:r w:rsidRPr="00BB6220">
        <w:t>in</w:t>
      </w:r>
      <w:r w:rsidR="003D640C">
        <w:t xml:space="preserve"> </w:t>
      </w:r>
      <w:r w:rsidRPr="00BB6220">
        <w:t>the</w:t>
      </w:r>
      <w:r w:rsidR="003D640C">
        <w:t xml:space="preserve"> </w:t>
      </w:r>
      <w:r w:rsidRPr="00BB6220">
        <w:t>health</w:t>
      </w:r>
      <w:r w:rsidR="003D640C">
        <w:t xml:space="preserve"> </w:t>
      </w:r>
      <w:r w:rsidRPr="00BB6220">
        <w:t>system</w:t>
      </w:r>
      <w:r w:rsidR="369E8C1F" w:rsidRPr="00BB6220">
        <w:t>.</w:t>
      </w:r>
      <w:r w:rsidRPr="00BB6220">
        <w:t>”</w:t>
      </w:r>
      <w:r w:rsidR="003D640C">
        <w:t xml:space="preserve"> </w:t>
      </w:r>
      <w:r w:rsidRPr="00BB6220">
        <w:t>South</w:t>
      </w:r>
      <w:r w:rsidR="003D640C">
        <w:t xml:space="preserve"> </w:t>
      </w:r>
      <w:r w:rsidRPr="00BB6220">
        <w:t>Asian,</w:t>
      </w:r>
      <w:r w:rsidR="003D640C">
        <w:t xml:space="preserve"> </w:t>
      </w:r>
      <w:r w:rsidRPr="00BB6220">
        <w:t>non-</w:t>
      </w:r>
      <w:r w:rsidRPr="00FA0175">
        <w:t>binary</w:t>
      </w:r>
    </w:p>
    <w:p w14:paraId="157E9FAB" w14:textId="47E6D5DE" w:rsidR="00D05424" w:rsidRPr="00BB6220" w:rsidRDefault="00D05424" w:rsidP="0097274F">
      <w:r w:rsidRPr="00BB6220">
        <w:t>Notably,</w:t>
      </w:r>
      <w:r w:rsidR="003D640C">
        <w:t xml:space="preserve"> </w:t>
      </w:r>
      <w:r w:rsidRPr="00BB6220">
        <w:t>in</w:t>
      </w:r>
      <w:r w:rsidR="003D640C">
        <w:t xml:space="preserve"> </w:t>
      </w:r>
      <w:r w:rsidRPr="00BB6220">
        <w:t>the</w:t>
      </w:r>
      <w:r w:rsidR="003D640C">
        <w:t xml:space="preserve"> </w:t>
      </w:r>
      <w:r w:rsidRPr="00BB6220">
        <w:t>context</w:t>
      </w:r>
      <w:r w:rsidR="003D640C">
        <w:t xml:space="preserve"> </w:t>
      </w:r>
      <w:r w:rsidRPr="00BB6220">
        <w:t>of</w:t>
      </w:r>
      <w:r w:rsidR="003D640C">
        <w:t xml:space="preserve"> </w:t>
      </w:r>
      <w:r w:rsidRPr="00BB6220">
        <w:t>providing</w:t>
      </w:r>
      <w:r w:rsidR="003D640C">
        <w:t xml:space="preserve"> </w:t>
      </w:r>
      <w:r w:rsidRPr="00BB6220">
        <w:t>gender-affirming</w:t>
      </w:r>
      <w:r w:rsidR="003D640C">
        <w:t xml:space="preserve"> </w:t>
      </w:r>
      <w:r w:rsidRPr="00BB6220">
        <w:t>healthcare</w:t>
      </w:r>
      <w:r w:rsidR="003D640C">
        <w:t xml:space="preserve"> </w:t>
      </w:r>
      <w:r w:rsidRPr="00BB6220">
        <w:t>to</w:t>
      </w:r>
      <w:r w:rsidR="003D640C">
        <w:t xml:space="preserve"> </w:t>
      </w:r>
      <w:r w:rsidRPr="00BB6220">
        <w:t>adults</w:t>
      </w:r>
      <w:r w:rsidR="003D640C">
        <w:t xml:space="preserve"> </w:t>
      </w:r>
      <w:r w:rsidRPr="00BB6220">
        <w:t>and</w:t>
      </w:r>
      <w:r w:rsidR="003D640C">
        <w:t xml:space="preserve"> </w:t>
      </w:r>
      <w:r w:rsidRPr="00BB6220">
        <w:t>those</w:t>
      </w:r>
      <w:r w:rsidR="003D640C">
        <w:t xml:space="preserve"> </w:t>
      </w:r>
      <w:r w:rsidRPr="00BB6220">
        <w:t>able</w:t>
      </w:r>
      <w:r w:rsidR="003D640C">
        <w:t xml:space="preserve"> </w:t>
      </w:r>
      <w:r w:rsidRPr="00BB6220">
        <w:t>to</w:t>
      </w:r>
      <w:r w:rsidR="003D640C">
        <w:t xml:space="preserve"> </w:t>
      </w:r>
      <w:r w:rsidRPr="00BB6220">
        <w:t>consent,</w:t>
      </w:r>
      <w:r w:rsidR="003D640C">
        <w:t xml:space="preserve"> </w:t>
      </w:r>
      <w:r w:rsidRPr="00BB6220">
        <w:t>the</w:t>
      </w:r>
      <w:r w:rsidR="003D640C">
        <w:t xml:space="preserve"> </w:t>
      </w:r>
      <w:r w:rsidRPr="00BB6220">
        <w:t>pace</w:t>
      </w:r>
      <w:r w:rsidR="003D640C">
        <w:t xml:space="preserve"> </w:t>
      </w:r>
      <w:r w:rsidRPr="00BB6220">
        <w:t>of</w:t>
      </w:r>
      <w:r w:rsidR="003D640C">
        <w:t xml:space="preserve"> </w:t>
      </w:r>
      <w:r w:rsidR="00CE3DA3" w:rsidRPr="00BB6220">
        <w:t>healthcare</w:t>
      </w:r>
      <w:r w:rsidR="003D640C">
        <w:t xml:space="preserve"> </w:t>
      </w:r>
      <w:r w:rsidRPr="00BB6220">
        <w:t>provision</w:t>
      </w:r>
      <w:r w:rsidR="003D640C">
        <w:t xml:space="preserve"> </w:t>
      </w:r>
      <w:r w:rsidRPr="00BB6220">
        <w:t>is</w:t>
      </w:r>
      <w:r w:rsidR="003D640C">
        <w:t xml:space="preserve"> </w:t>
      </w:r>
      <w:r w:rsidRPr="00BB6220">
        <w:t>of</w:t>
      </w:r>
      <w:r w:rsidR="003D640C">
        <w:t xml:space="preserve"> </w:t>
      </w:r>
      <w:r w:rsidRPr="00BB6220">
        <w:t>particular</w:t>
      </w:r>
      <w:r w:rsidR="003D640C">
        <w:t xml:space="preserve"> </w:t>
      </w:r>
      <w:r w:rsidRPr="00BB6220">
        <w:t>importance.</w:t>
      </w:r>
      <w:r w:rsidR="003D640C">
        <w:t xml:space="preserve"> </w:t>
      </w:r>
      <w:r w:rsidRPr="00BB6220">
        <w:t>While</w:t>
      </w:r>
      <w:r w:rsidR="003D640C">
        <w:t xml:space="preserve"> </w:t>
      </w:r>
      <w:r w:rsidRPr="00BB6220">
        <w:t>this</w:t>
      </w:r>
      <w:r w:rsidR="003D640C">
        <w:t xml:space="preserve"> </w:t>
      </w:r>
      <w:r w:rsidRPr="00BB6220">
        <w:t>pace</w:t>
      </w:r>
      <w:r w:rsidR="003D640C">
        <w:t xml:space="preserve"> </w:t>
      </w:r>
      <w:r w:rsidRPr="00BB6220">
        <w:t>is</w:t>
      </w:r>
      <w:r w:rsidR="003D640C">
        <w:t xml:space="preserve"> </w:t>
      </w:r>
      <w:r w:rsidRPr="00BB6220">
        <w:t>subject</w:t>
      </w:r>
      <w:r w:rsidR="003D640C">
        <w:t xml:space="preserve"> </w:t>
      </w:r>
      <w:r w:rsidR="00FB2ABF">
        <w:t>to</w:t>
      </w:r>
      <w:r w:rsidR="003D640C">
        <w:t xml:space="preserve"> </w:t>
      </w:r>
      <w:r w:rsidRPr="00BB6220">
        <w:t>professional</w:t>
      </w:r>
      <w:r w:rsidR="003D640C">
        <w:t xml:space="preserve"> </w:t>
      </w:r>
      <w:r w:rsidRPr="00BB6220">
        <w:t>judgement,</w:t>
      </w:r>
      <w:r w:rsidR="003D640C">
        <w:t xml:space="preserve"> </w:t>
      </w:r>
      <w:r w:rsidRPr="00BB6220">
        <w:t>if</w:t>
      </w:r>
      <w:r w:rsidR="003D640C">
        <w:t xml:space="preserve"> </w:t>
      </w:r>
      <w:r w:rsidR="00FB2ABF">
        <w:t>healthcare</w:t>
      </w:r>
      <w:r w:rsidR="003D640C">
        <w:t xml:space="preserve"> </w:t>
      </w:r>
      <w:r w:rsidRPr="00BB6220">
        <w:t>provision</w:t>
      </w:r>
      <w:r w:rsidR="003D640C">
        <w:t xml:space="preserve"> </w:t>
      </w:r>
      <w:r w:rsidRPr="00BB6220">
        <w:t>is</w:t>
      </w:r>
      <w:r w:rsidR="003D640C">
        <w:t xml:space="preserve"> </w:t>
      </w:r>
      <w:r w:rsidRPr="00BB6220">
        <w:t>hindered</w:t>
      </w:r>
      <w:r w:rsidR="003D640C">
        <w:t xml:space="preserve"> </w:t>
      </w:r>
      <w:r w:rsidRPr="00BB6220">
        <w:t>by</w:t>
      </w:r>
      <w:r w:rsidR="003D640C">
        <w:t xml:space="preserve"> </w:t>
      </w:r>
      <w:r w:rsidRPr="00BB6220">
        <w:t>a</w:t>
      </w:r>
      <w:r w:rsidR="003D640C">
        <w:t xml:space="preserve"> </w:t>
      </w:r>
      <w:r w:rsidRPr="00BB6220">
        <w:t>belief</w:t>
      </w:r>
      <w:r w:rsidR="003D640C">
        <w:t xml:space="preserve"> </w:t>
      </w:r>
      <w:r w:rsidRPr="00BB6220">
        <w:t>that</w:t>
      </w:r>
      <w:r w:rsidR="003D640C">
        <w:t xml:space="preserve"> </w:t>
      </w:r>
      <w:r w:rsidRPr="00BB6220">
        <w:t>having</w:t>
      </w:r>
      <w:r w:rsidR="003D640C">
        <w:t xml:space="preserve"> </w:t>
      </w:r>
      <w:r w:rsidRPr="00BB6220">
        <w:t>a</w:t>
      </w:r>
      <w:r w:rsidR="003D640C">
        <w:t xml:space="preserve"> </w:t>
      </w:r>
      <w:r w:rsidRPr="00BB6220">
        <w:t>minority</w:t>
      </w:r>
      <w:r w:rsidR="003D640C">
        <w:t xml:space="preserve"> </w:t>
      </w:r>
      <w:r w:rsidRPr="00BB6220">
        <w:t>sexual</w:t>
      </w:r>
      <w:r w:rsidR="003D640C">
        <w:t xml:space="preserve"> </w:t>
      </w:r>
      <w:r w:rsidRPr="00BB6220">
        <w:t>orientation,</w:t>
      </w:r>
      <w:r w:rsidR="003D640C">
        <w:t xml:space="preserve"> </w:t>
      </w:r>
      <w:r w:rsidRPr="00BB6220">
        <w:t>gender</w:t>
      </w:r>
      <w:r w:rsidR="003D640C">
        <w:t xml:space="preserve"> </w:t>
      </w:r>
      <w:r w:rsidRPr="00BB6220">
        <w:t>identity</w:t>
      </w:r>
      <w:r w:rsidR="00884A3C">
        <w:t>,</w:t>
      </w:r>
      <w:r w:rsidR="003D640C">
        <w:t xml:space="preserve"> </w:t>
      </w:r>
      <w:r w:rsidRPr="00BB6220">
        <w:t>or</w:t>
      </w:r>
      <w:r w:rsidR="003D640C">
        <w:t xml:space="preserve"> </w:t>
      </w:r>
      <w:r w:rsidRPr="00BB6220">
        <w:t>gender</w:t>
      </w:r>
      <w:r w:rsidR="003D640C">
        <w:t xml:space="preserve"> </w:t>
      </w:r>
      <w:r w:rsidRPr="00BB6220">
        <w:t>expression</w:t>
      </w:r>
      <w:r w:rsidR="003D640C">
        <w:t xml:space="preserve"> </w:t>
      </w:r>
      <w:r w:rsidRPr="00BB6220">
        <w:t>is</w:t>
      </w:r>
      <w:r w:rsidR="003D640C">
        <w:t xml:space="preserve"> </w:t>
      </w:r>
      <w:r w:rsidRPr="00BB6220">
        <w:t>wrong</w:t>
      </w:r>
      <w:r w:rsidR="003D640C">
        <w:t xml:space="preserve"> </w:t>
      </w:r>
      <w:r w:rsidR="00C16A12">
        <w:t>and</w:t>
      </w:r>
      <w:r w:rsidR="003D640C">
        <w:t xml:space="preserve"> </w:t>
      </w:r>
      <w:r w:rsidR="00C16A12">
        <w:t>needs</w:t>
      </w:r>
      <w:r w:rsidR="003D640C">
        <w:t xml:space="preserve"> </w:t>
      </w:r>
      <w:r w:rsidR="00C16A12">
        <w:t>‘healing</w:t>
      </w:r>
      <w:r w:rsidR="00637358">
        <w:t>,</w:t>
      </w:r>
      <w:r w:rsidR="00C16A12">
        <w:t>’</w:t>
      </w:r>
      <w:r w:rsidR="003D640C">
        <w:t xml:space="preserve"> </w:t>
      </w:r>
      <w:r w:rsidRPr="00BB6220">
        <w:t>it</w:t>
      </w:r>
      <w:r w:rsidR="003D640C">
        <w:t xml:space="preserve"> </w:t>
      </w:r>
      <w:r w:rsidR="00F728FA">
        <w:t>may</w:t>
      </w:r>
      <w:r w:rsidR="003D640C">
        <w:t xml:space="preserve"> </w:t>
      </w:r>
      <w:r w:rsidRPr="00BB6220">
        <w:t>be</w:t>
      </w:r>
      <w:r w:rsidR="003D640C">
        <w:t xml:space="preserve"> </w:t>
      </w:r>
      <w:r w:rsidRPr="00BB6220">
        <w:t>a</w:t>
      </w:r>
      <w:r w:rsidR="003D640C">
        <w:t xml:space="preserve"> </w:t>
      </w:r>
      <w:r w:rsidRPr="00BB6220">
        <w:t>conversion</w:t>
      </w:r>
      <w:r w:rsidR="003D640C">
        <w:t xml:space="preserve"> </w:t>
      </w:r>
      <w:r w:rsidRPr="00BB6220">
        <w:t>practice.</w:t>
      </w:r>
    </w:p>
    <w:p w14:paraId="35C0297B" w14:textId="1407F403" w:rsidR="00D05424" w:rsidRPr="00BB6220" w:rsidRDefault="00491A62" w:rsidP="0097274F">
      <w:pPr>
        <w:rPr>
          <w:rFonts w:ascii="Calibri" w:eastAsia="Calibri" w:hAnsi="Calibri" w:cs="Calibri"/>
          <w:color w:val="000000" w:themeColor="text1"/>
        </w:rPr>
      </w:pPr>
      <w:r w:rsidRPr="00BB6220">
        <w:t>The</w:t>
      </w:r>
      <w:r w:rsidR="003D640C">
        <w:t xml:space="preserve"> </w:t>
      </w:r>
      <w:r w:rsidRPr="00BB6220">
        <w:t>Rainbow</w:t>
      </w:r>
      <w:r w:rsidR="003D640C">
        <w:t xml:space="preserve"> </w:t>
      </w:r>
      <w:r w:rsidRPr="00BB6220">
        <w:t>community</w:t>
      </w:r>
      <w:r w:rsidR="003D640C">
        <w:t xml:space="preserve"> </w:t>
      </w:r>
      <w:r w:rsidRPr="00BB6220">
        <w:t>experiences</w:t>
      </w:r>
      <w:r w:rsidR="003D640C">
        <w:t xml:space="preserve"> </w:t>
      </w:r>
      <w:r w:rsidR="009C5843">
        <w:t xml:space="preserve">poorer </w:t>
      </w:r>
      <w:r w:rsidRPr="00BB6220">
        <w:t>mental</w:t>
      </w:r>
      <w:r w:rsidR="003D640C">
        <w:t xml:space="preserve"> </w:t>
      </w:r>
      <w:r w:rsidRPr="00BB6220">
        <w:t>health</w:t>
      </w:r>
      <w:r w:rsidR="003D640C">
        <w:t xml:space="preserve"> </w:t>
      </w:r>
      <w:r w:rsidRPr="00BB6220">
        <w:t>outcomes</w:t>
      </w:r>
      <w:r w:rsidR="003D640C">
        <w:t xml:space="preserve"> </w:t>
      </w:r>
      <w:r w:rsidR="006752C8">
        <w:t>(</w:t>
      </w:r>
      <w:r w:rsidR="00884A3C">
        <w:t>such as</w:t>
      </w:r>
      <w:r w:rsidR="003D640C">
        <w:t xml:space="preserve"> </w:t>
      </w:r>
      <w:r w:rsidR="006752C8">
        <w:t>daily</w:t>
      </w:r>
      <w:r w:rsidR="003D640C">
        <w:t xml:space="preserve"> </w:t>
      </w:r>
      <w:r w:rsidR="002F4120">
        <w:t>feelings</w:t>
      </w:r>
      <w:r w:rsidR="003D640C">
        <w:t xml:space="preserve"> </w:t>
      </w:r>
      <w:r w:rsidR="002F4120">
        <w:t>of</w:t>
      </w:r>
      <w:r w:rsidR="003D640C">
        <w:t xml:space="preserve"> </w:t>
      </w:r>
      <w:r w:rsidR="002F4120">
        <w:t>depression)</w:t>
      </w:r>
      <w:r w:rsidR="003D640C">
        <w:t xml:space="preserve"> </w:t>
      </w:r>
      <w:r w:rsidR="002F4120">
        <w:t>compared</w:t>
      </w:r>
      <w:r w:rsidR="003D640C">
        <w:t xml:space="preserve"> </w:t>
      </w:r>
      <w:r w:rsidR="00957DED">
        <w:t xml:space="preserve">to </w:t>
      </w:r>
      <w:r w:rsidR="00386F76">
        <w:t>non-Rainbow</w:t>
      </w:r>
      <w:r w:rsidR="003D640C">
        <w:t xml:space="preserve"> </w:t>
      </w:r>
      <w:r w:rsidR="00386F76">
        <w:t>people</w:t>
      </w:r>
      <w:r w:rsidRPr="00BB6220">
        <w:t>.</w:t>
      </w:r>
      <w:r w:rsidRPr="00BB6220">
        <w:rPr>
          <w:rStyle w:val="FootnoteReference"/>
        </w:rPr>
        <w:footnoteReference w:id="86"/>
      </w:r>
      <w:r w:rsidR="003D640C">
        <w:rPr>
          <w:rFonts w:ascii="Calibri" w:eastAsia="Calibri" w:hAnsi="Calibri" w:cs="Calibri"/>
          <w:color w:val="000000" w:themeColor="text1"/>
        </w:rPr>
        <w:t xml:space="preserve"> </w:t>
      </w:r>
      <w:r w:rsidR="00D33E1B" w:rsidRPr="001B2821">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00D33E1B" w:rsidRPr="001B2821">
        <w:rPr>
          <w:rFonts w:ascii="Calibri" w:eastAsia="Calibri" w:hAnsi="Calibri" w:cs="Calibri"/>
          <w:color w:val="000000" w:themeColor="text1"/>
        </w:rPr>
        <w:t>addition</w:t>
      </w:r>
      <w:r w:rsidR="00D05424" w:rsidRPr="001B2821">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transgender,</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non-binary,</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gender</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diverse</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people</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Aotearoa</w:t>
      </w:r>
      <w:r w:rsidR="003D640C">
        <w:rPr>
          <w:rFonts w:ascii="Calibri" w:eastAsia="Calibri" w:hAnsi="Calibri" w:cs="Calibri"/>
          <w:color w:val="000000" w:themeColor="text1"/>
        </w:rPr>
        <w:t xml:space="preserve"> </w:t>
      </w:r>
      <w:r w:rsidR="00CC0D5B" w:rsidRPr="00E82C3E">
        <w:rPr>
          <w:rFonts w:ascii="Calibri" w:eastAsia="Calibri" w:hAnsi="Calibri" w:cs="Calibri"/>
          <w:color w:val="000000" w:themeColor="text1"/>
        </w:rPr>
        <w:t>are</w:t>
      </w:r>
      <w:r w:rsidR="003D640C">
        <w:rPr>
          <w:rFonts w:ascii="Calibri" w:eastAsia="Calibri" w:hAnsi="Calibri" w:cs="Calibri"/>
          <w:color w:val="000000" w:themeColor="text1"/>
        </w:rPr>
        <w:t xml:space="preserve"> </w:t>
      </w:r>
      <w:r w:rsidR="00CC0D5B" w:rsidRPr="00E82C3E">
        <w:rPr>
          <w:rFonts w:ascii="Calibri" w:eastAsia="Calibri" w:hAnsi="Calibri" w:cs="Calibri"/>
          <w:color w:val="000000" w:themeColor="text1"/>
        </w:rPr>
        <w:t>exposed</w:t>
      </w:r>
      <w:r w:rsidR="003D640C">
        <w:rPr>
          <w:rFonts w:ascii="Calibri" w:eastAsia="Calibri" w:hAnsi="Calibri" w:cs="Calibri"/>
          <w:color w:val="000000" w:themeColor="text1"/>
        </w:rPr>
        <w:t xml:space="preserve"> </w:t>
      </w:r>
      <w:r w:rsidR="00CC0D5B" w:rsidRPr="00E82C3E">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00D05424" w:rsidRPr="001B2821">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00CB7D90" w:rsidRPr="00E82C3E">
        <w:rPr>
          <w:rFonts w:ascii="Calibri" w:eastAsia="Calibri" w:hAnsi="Calibri" w:cs="Calibri"/>
          <w:color w:val="000000" w:themeColor="text1"/>
        </w:rPr>
        <w:t>and</w:t>
      </w:r>
      <w:r w:rsidR="000D14F2" w:rsidRPr="00E82C3E">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result,</w:t>
      </w:r>
      <w:r w:rsidR="003D640C">
        <w:rPr>
          <w:rFonts w:ascii="Calibri" w:eastAsia="Calibri" w:hAnsi="Calibri" w:cs="Calibri"/>
          <w:color w:val="000000" w:themeColor="text1"/>
        </w:rPr>
        <w:t xml:space="preserve"> </w:t>
      </w:r>
      <w:r w:rsidR="009C5843">
        <w:rPr>
          <w:rFonts w:ascii="Calibri" w:eastAsia="Calibri" w:hAnsi="Calibri" w:cs="Calibri"/>
          <w:color w:val="000000" w:themeColor="text1"/>
        </w:rPr>
        <w:t xml:space="preserve">may </w:t>
      </w:r>
      <w:r w:rsidR="00CC0D5B" w:rsidRPr="00E82C3E">
        <w:rPr>
          <w:rFonts w:ascii="Calibri" w:eastAsia="Calibri" w:hAnsi="Calibri" w:cs="Calibri"/>
          <w:color w:val="000000" w:themeColor="text1"/>
        </w:rPr>
        <w:t>experience</w:t>
      </w:r>
      <w:r w:rsidR="003D640C">
        <w:rPr>
          <w:rFonts w:ascii="Calibri" w:eastAsia="Calibri" w:hAnsi="Calibri" w:cs="Calibri"/>
          <w:color w:val="000000" w:themeColor="text1"/>
        </w:rPr>
        <w:t xml:space="preserve"> </w:t>
      </w:r>
      <w:r w:rsidR="009C5843">
        <w:rPr>
          <w:rFonts w:ascii="Calibri" w:eastAsia="Calibri" w:hAnsi="Calibri" w:cs="Calibri"/>
          <w:color w:val="000000" w:themeColor="text1"/>
        </w:rPr>
        <w:t xml:space="preserve">further </w:t>
      </w:r>
      <w:r w:rsidR="003D2F8B" w:rsidRPr="00E82C3E">
        <w:rPr>
          <w:rFonts w:ascii="Calibri" w:eastAsia="Calibri" w:hAnsi="Calibri" w:cs="Calibri"/>
          <w:color w:val="000000" w:themeColor="text1"/>
        </w:rPr>
        <w:t>harm</w:t>
      </w:r>
      <w:r w:rsidR="000D14F2" w:rsidRPr="00E82C3E">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such</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self-injury</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000D14F2" w:rsidRPr="00E82C3E">
        <w:rPr>
          <w:rFonts w:ascii="Calibri" w:eastAsia="Calibri" w:hAnsi="Calibri" w:cs="Calibri"/>
          <w:color w:val="000000" w:themeColor="text1"/>
        </w:rPr>
        <w:t>suicidality</w:t>
      </w:r>
      <w:r w:rsidR="00D05424" w:rsidRPr="001B2821">
        <w:rPr>
          <w:rFonts w:ascii="Calibri" w:eastAsia="Calibri" w:hAnsi="Calibri" w:cs="Calibri"/>
          <w:color w:val="000000" w:themeColor="text1"/>
        </w:rPr>
        <w:t>.</w:t>
      </w:r>
      <w:r w:rsidR="00D05424" w:rsidRPr="001B2821">
        <w:rPr>
          <w:rStyle w:val="FootnoteReference"/>
          <w:rFonts w:ascii="Calibri" w:eastAsia="Calibri" w:hAnsi="Calibri" w:cs="Calibri"/>
          <w:color w:val="000000" w:themeColor="text1"/>
        </w:rPr>
        <w:footnoteReference w:id="87"/>
      </w:r>
      <w:r w:rsidR="003D640C">
        <w:rPr>
          <w:rFonts w:ascii="Calibri" w:eastAsia="Calibri" w:hAnsi="Calibri" w:cs="Calibri"/>
          <w:color w:val="000000" w:themeColor="text1"/>
        </w:rPr>
        <w:t xml:space="preserve"> </w:t>
      </w:r>
      <w:r w:rsidR="008A6A44" w:rsidRPr="001B2821">
        <w:rPr>
          <w:rFonts w:ascii="Calibri" w:eastAsia="Calibri" w:hAnsi="Calibri" w:cs="Calibri"/>
          <w:color w:val="000000" w:themeColor="text1"/>
        </w:rPr>
        <w:t>We</w:t>
      </w:r>
      <w:r w:rsidR="003D640C">
        <w:rPr>
          <w:rFonts w:ascii="Calibri" w:eastAsia="Calibri" w:hAnsi="Calibri" w:cs="Calibri"/>
          <w:color w:val="000000" w:themeColor="text1"/>
        </w:rPr>
        <w:t xml:space="preserve"> </w:t>
      </w:r>
      <w:r w:rsidR="008A6A44" w:rsidRPr="001B2821">
        <w:rPr>
          <w:rFonts w:ascii="Calibri" w:eastAsia="Calibri" w:hAnsi="Calibri" w:cs="Calibri"/>
          <w:color w:val="000000" w:themeColor="text1"/>
        </w:rPr>
        <w:t>discuss</w:t>
      </w:r>
      <w:r w:rsidR="003D640C">
        <w:rPr>
          <w:rFonts w:ascii="Calibri" w:eastAsia="Calibri" w:hAnsi="Calibri" w:cs="Calibri"/>
          <w:color w:val="000000" w:themeColor="text1"/>
        </w:rPr>
        <w:t xml:space="preserve"> </w:t>
      </w:r>
      <w:r w:rsidR="008A6A44" w:rsidRPr="001B2821">
        <w:rPr>
          <w:rFonts w:ascii="Calibri" w:eastAsia="Calibri" w:hAnsi="Calibri" w:cs="Calibri"/>
          <w:color w:val="000000" w:themeColor="text1"/>
        </w:rPr>
        <w:t>this</w:t>
      </w:r>
      <w:r w:rsidR="003D640C">
        <w:rPr>
          <w:rFonts w:ascii="Calibri" w:eastAsia="Calibri" w:hAnsi="Calibri" w:cs="Calibri"/>
          <w:color w:val="000000" w:themeColor="text1"/>
        </w:rPr>
        <w:t xml:space="preserve"> </w:t>
      </w:r>
      <w:r w:rsidR="008A6A44" w:rsidRPr="001B2821">
        <w:rPr>
          <w:rFonts w:ascii="Calibri" w:eastAsia="Calibri" w:hAnsi="Calibri" w:cs="Calibri"/>
          <w:color w:val="000000" w:themeColor="text1"/>
        </w:rPr>
        <w:t>more</w:t>
      </w:r>
      <w:r w:rsidR="003D640C">
        <w:rPr>
          <w:rFonts w:ascii="Calibri" w:eastAsia="Calibri" w:hAnsi="Calibri" w:cs="Calibri"/>
          <w:color w:val="000000" w:themeColor="text1"/>
        </w:rPr>
        <w:t xml:space="preserve"> </w:t>
      </w:r>
      <w:r w:rsidR="008A6A44" w:rsidRPr="001B2821">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0010077C" w:rsidRPr="001B2821">
        <w:rPr>
          <w:rFonts w:ascii="Calibri" w:eastAsia="Calibri" w:hAnsi="Calibri" w:cs="Calibri"/>
          <w:color w:val="000000" w:themeColor="text1"/>
        </w:rPr>
        <w:t>chapter</w:t>
      </w:r>
      <w:r w:rsidR="003D640C">
        <w:rPr>
          <w:rFonts w:ascii="Calibri" w:eastAsia="Calibri" w:hAnsi="Calibri" w:cs="Calibri"/>
          <w:color w:val="000000" w:themeColor="text1"/>
        </w:rPr>
        <w:t xml:space="preserve"> </w:t>
      </w:r>
      <w:r w:rsidR="004134C1">
        <w:rPr>
          <w:rFonts w:ascii="Calibri" w:eastAsia="Calibri" w:hAnsi="Calibri" w:cs="Calibri"/>
          <w:color w:val="000000" w:themeColor="text1"/>
        </w:rPr>
        <w:fldChar w:fldCharType="begin"/>
      </w:r>
      <w:r w:rsidR="004134C1">
        <w:rPr>
          <w:rFonts w:ascii="Calibri" w:eastAsia="Calibri" w:hAnsi="Calibri" w:cs="Calibri"/>
          <w:color w:val="000000" w:themeColor="text1"/>
        </w:rPr>
        <w:instrText xml:space="preserve"> REF _Ref168393905 \r \h </w:instrText>
      </w:r>
      <w:r w:rsidR="004134C1">
        <w:rPr>
          <w:rFonts w:ascii="Calibri" w:eastAsia="Calibri" w:hAnsi="Calibri" w:cs="Calibri"/>
          <w:color w:val="000000" w:themeColor="text1"/>
        </w:rPr>
      </w:r>
      <w:r w:rsidR="004134C1">
        <w:rPr>
          <w:rFonts w:ascii="Calibri" w:eastAsia="Calibri" w:hAnsi="Calibri" w:cs="Calibri"/>
          <w:color w:val="000000" w:themeColor="text1"/>
        </w:rPr>
        <w:fldChar w:fldCharType="separate"/>
      </w:r>
      <w:r w:rsidR="004134C1">
        <w:rPr>
          <w:rFonts w:ascii="Calibri" w:eastAsia="Calibri" w:hAnsi="Calibri" w:cs="Calibri"/>
          <w:color w:val="000000" w:themeColor="text1"/>
        </w:rPr>
        <w:t>5</w:t>
      </w:r>
      <w:r w:rsidR="004134C1">
        <w:rPr>
          <w:rFonts w:ascii="Calibri" w:eastAsia="Calibri" w:hAnsi="Calibri" w:cs="Calibri"/>
          <w:color w:val="000000" w:themeColor="text1"/>
        </w:rPr>
        <w:fldChar w:fldCharType="end"/>
      </w:r>
      <w:r w:rsidR="0010077C" w:rsidRPr="001B2821">
        <w:rPr>
          <w:rFonts w:ascii="Calibri" w:eastAsia="Calibri" w:hAnsi="Calibri" w:cs="Calibri"/>
          <w:color w:val="000000" w:themeColor="text1"/>
        </w:rPr>
        <w:t>.</w:t>
      </w:r>
      <w:r w:rsidR="003D640C">
        <w:rPr>
          <w:rFonts w:ascii="Calibri" w:eastAsia="Calibri" w:hAnsi="Calibri" w:cs="Calibri"/>
          <w:color w:val="000000" w:themeColor="text1"/>
        </w:rPr>
        <w:t xml:space="preserve"> </w:t>
      </w:r>
    </w:p>
    <w:p w14:paraId="35288F0D" w14:textId="51468951" w:rsidR="005252B9" w:rsidRPr="00BB6220" w:rsidRDefault="00D05424" w:rsidP="0097274F">
      <w:pPr>
        <w:rPr>
          <w:rFonts w:ascii="Calibri" w:eastAsia="Calibri" w:hAnsi="Calibri" w:cs="Calibri"/>
          <w:color w:val="000000" w:themeColor="text1"/>
        </w:rPr>
      </w:pPr>
      <w:bookmarkStart w:id="152" w:name="_Int_UDbQyBW2"/>
      <w:r w:rsidRPr="00BB6220">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light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of</w:t>
      </w:r>
      <w:bookmarkEnd w:id="152"/>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education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about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vital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for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healthcare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sector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professional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direction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from</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governing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bodies.</w:t>
      </w:r>
      <w:r w:rsidR="003D640C">
        <w:rPr>
          <w:rFonts w:ascii="Calibri" w:eastAsia="Calibri" w:hAnsi="Calibri" w:cs="Calibri"/>
          <w:color w:val="000000" w:themeColor="text1"/>
        </w:rPr>
        <w:t xml:space="preserve"> </w:t>
      </w:r>
      <w:r w:rsidRPr="007B139B">
        <w:rPr>
          <w:rFonts w:ascii="Calibri" w:eastAsia="Calibri" w:hAnsi="Calibri" w:cs="Calibri"/>
          <w:color w:val="000000" w:themeColor="text1"/>
        </w:rPr>
        <w:t>See</w:t>
      </w:r>
      <w:r w:rsidR="003D640C" w:rsidRPr="007B139B">
        <w:rPr>
          <w:rFonts w:ascii="Calibri" w:eastAsia="Calibri" w:hAnsi="Calibri" w:cs="Calibri"/>
          <w:color w:val="000000" w:themeColor="text1"/>
        </w:rPr>
        <w:t xml:space="preserve"> </w:t>
      </w:r>
      <w:r w:rsidRPr="007B139B">
        <w:rPr>
          <w:rFonts w:ascii="Calibri" w:eastAsia="Calibri" w:hAnsi="Calibri" w:cs="Calibri"/>
          <w:color w:val="000000" w:themeColor="text1"/>
        </w:rPr>
        <w:t>recommendations</w:t>
      </w:r>
      <w:r w:rsidR="003D640C" w:rsidRPr="007B139B">
        <w:rPr>
          <w:rFonts w:ascii="Calibri" w:eastAsia="Calibri" w:hAnsi="Calibri" w:cs="Calibri"/>
          <w:color w:val="000000" w:themeColor="text1"/>
        </w:rPr>
        <w:t xml:space="preserve"> </w:t>
      </w:r>
      <w:r w:rsidRPr="007B139B">
        <w:rPr>
          <w:rFonts w:ascii="Calibri" w:eastAsia="Calibri" w:hAnsi="Calibri" w:cs="Calibri"/>
          <w:color w:val="000000" w:themeColor="text1"/>
        </w:rPr>
        <w:t>2</w:t>
      </w:r>
      <w:r w:rsidR="00A54CE4">
        <w:rPr>
          <w:rFonts w:ascii="Calibri" w:eastAsia="Calibri" w:hAnsi="Calibri" w:cs="Calibri"/>
          <w:color w:val="000000" w:themeColor="text1"/>
        </w:rPr>
        <w:t>1</w:t>
      </w:r>
      <w:r w:rsidR="0097273A">
        <w:rPr>
          <w:rFonts w:ascii="Calibri" w:eastAsia="Calibri" w:hAnsi="Calibri" w:cs="Calibri"/>
          <w:color w:val="000000" w:themeColor="text1"/>
        </w:rPr>
        <w:t>–</w:t>
      </w:r>
      <w:r w:rsidR="0015398D" w:rsidRPr="007B139B">
        <w:rPr>
          <w:rFonts w:ascii="Calibri" w:eastAsia="Calibri" w:hAnsi="Calibri" w:cs="Calibri"/>
          <w:color w:val="000000" w:themeColor="text1"/>
        </w:rPr>
        <w:t>2</w:t>
      </w:r>
      <w:r w:rsidR="00A54CE4">
        <w:rPr>
          <w:rFonts w:ascii="Calibri" w:eastAsia="Calibri" w:hAnsi="Calibri" w:cs="Calibri"/>
          <w:color w:val="000000" w:themeColor="text1"/>
        </w:rPr>
        <w:t>3</w:t>
      </w:r>
      <w:r w:rsidR="003D640C" w:rsidRPr="007B139B">
        <w:rPr>
          <w:rFonts w:ascii="Calibri" w:eastAsia="Calibri" w:hAnsi="Calibri" w:cs="Calibri"/>
          <w:color w:val="000000" w:themeColor="text1"/>
        </w:rPr>
        <w:t xml:space="preserve"> </w:t>
      </w:r>
      <w:r w:rsidR="00FB2ABF" w:rsidRPr="007B139B">
        <w:rPr>
          <w:rFonts w:ascii="Calibri" w:eastAsia="Calibri" w:hAnsi="Calibri" w:cs="Calibri"/>
          <w:color w:val="000000" w:themeColor="text1"/>
        </w:rPr>
        <w:t>in</w:t>
      </w:r>
      <w:r w:rsidR="003D640C" w:rsidRPr="007B139B">
        <w:rPr>
          <w:rFonts w:ascii="Calibri" w:eastAsia="Calibri" w:hAnsi="Calibri" w:cs="Calibri"/>
          <w:color w:val="000000" w:themeColor="text1"/>
        </w:rPr>
        <w:t xml:space="preserve"> </w:t>
      </w:r>
      <w:r w:rsidR="00FB2ABF" w:rsidRPr="007B139B">
        <w:rPr>
          <w:rFonts w:ascii="Calibri" w:eastAsia="Calibri" w:hAnsi="Calibri" w:cs="Calibri"/>
          <w:color w:val="000000" w:themeColor="text1"/>
        </w:rPr>
        <w:t>chapter</w:t>
      </w:r>
      <w:r w:rsidR="003D640C" w:rsidRPr="007B139B">
        <w:rPr>
          <w:rFonts w:ascii="Calibri" w:eastAsia="Calibri" w:hAnsi="Calibri" w:cs="Calibri"/>
          <w:color w:val="000000" w:themeColor="text1"/>
        </w:rPr>
        <w:t xml:space="preserve"> </w:t>
      </w:r>
      <w:r w:rsidR="00A54CE4">
        <w:rPr>
          <w:rFonts w:ascii="Calibri" w:eastAsia="Calibri" w:hAnsi="Calibri" w:cs="Calibri"/>
          <w:color w:val="000000" w:themeColor="text1"/>
        </w:rPr>
        <w:t>9</w:t>
      </w:r>
      <w:r w:rsidRPr="00BB6220">
        <w:rPr>
          <w:rFonts w:ascii="Calibri" w:eastAsia="Calibri" w:hAnsi="Calibri" w:cs="Calibri"/>
          <w:i/>
          <w:iCs/>
          <w:color w:val="000000" w:themeColor="text1"/>
        </w:rPr>
        <w:t>.</w:t>
      </w:r>
      <w:r w:rsidR="003D640C">
        <w:rPr>
          <w:rFonts w:ascii="Calibri" w:eastAsia="Calibri" w:hAnsi="Calibri" w:cs="Calibri"/>
          <w:color w:val="000000" w:themeColor="text1"/>
        </w:rPr>
        <w:t xml:space="preserve"> </w:t>
      </w:r>
    </w:p>
    <w:p w14:paraId="28041CAA" w14:textId="0A80BCBD" w:rsidR="00D05424" w:rsidRPr="00BB6220" w:rsidRDefault="00D05424" w:rsidP="0097274F">
      <w:pPr>
        <w:rPr>
          <w:rFonts w:ascii="Calibri" w:eastAsia="Calibri" w:hAnsi="Calibri" w:cs="Calibri"/>
          <w:color w:val="000000" w:themeColor="text1"/>
        </w:rPr>
      </w:pPr>
      <w:r w:rsidRPr="00BB6220">
        <w:rPr>
          <w:rFonts w:ascii="Calibri" w:eastAsia="Calibri" w:hAnsi="Calibri" w:cs="Calibri"/>
          <w:color w:val="000000" w:themeColor="text1"/>
        </w:rPr>
        <w:t>Evidence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shows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access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healthcare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professionals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who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educated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about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practices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how</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harm</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survivors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can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key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00101A5A">
        <w:rPr>
          <w:rFonts w:ascii="Calibri" w:eastAsia="Calibri" w:hAnsi="Calibri" w:cs="Calibri"/>
          <w:color w:val="000000" w:themeColor="text1"/>
        </w:rPr>
        <w:t>enabling</w:t>
      </w:r>
      <w:r w:rsidR="003D640C">
        <w:rPr>
          <w:rFonts w:ascii="Calibri" w:eastAsia="Calibri" w:hAnsi="Calibri" w:cs="Calibri"/>
          <w:color w:val="000000" w:themeColor="text1"/>
        </w:rPr>
        <w:t xml:space="preserve"> </w:t>
      </w:r>
      <w:r w:rsidR="00A731B8">
        <w:rPr>
          <w:rFonts w:ascii="Calibri" w:eastAsia="Calibri" w:hAnsi="Calibri" w:cs="Calibri"/>
          <w:color w:val="000000" w:themeColor="text1"/>
        </w:rPr>
        <w:t>survivors</w:t>
      </w:r>
      <w:r w:rsidR="003D640C">
        <w:rPr>
          <w:rFonts w:ascii="Calibri" w:eastAsia="Calibri" w:hAnsi="Calibri" w:cs="Calibri"/>
          <w:color w:val="000000" w:themeColor="text1"/>
        </w:rPr>
        <w:t xml:space="preserve"> </w:t>
      </w:r>
      <w:r w:rsidR="006B23C7">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recover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from</w:t>
      </w:r>
      <w:r w:rsidR="003D640C">
        <w:rPr>
          <w:rFonts w:ascii="Calibri" w:eastAsia="Calibri" w:hAnsi="Calibri" w:cs="Calibri"/>
          <w:color w:val="000000" w:themeColor="text1"/>
        </w:rPr>
        <w:t xml:space="preserve"> </w:t>
      </w:r>
      <w:r w:rsidR="006B23C7">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006B23C7">
        <w:rPr>
          <w:rFonts w:ascii="Calibri" w:eastAsia="Calibri" w:hAnsi="Calibri" w:cs="Calibri"/>
          <w:color w:val="000000" w:themeColor="text1"/>
        </w:rPr>
        <w:t>harms</w:t>
      </w:r>
      <w:r w:rsidR="003D640C">
        <w:rPr>
          <w:rFonts w:ascii="Calibri" w:eastAsia="Calibri" w:hAnsi="Calibri" w:cs="Calibri"/>
          <w:color w:val="000000" w:themeColor="text1"/>
        </w:rPr>
        <w:t xml:space="preserve"> </w:t>
      </w:r>
      <w:r w:rsidR="006B23C7">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lastRenderedPageBreak/>
        <w:t>conversion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practices.</w:t>
      </w:r>
      <w:r w:rsidRPr="00BB6220">
        <w:rPr>
          <w:rStyle w:val="FootnoteReference"/>
          <w:rFonts w:ascii="Calibri" w:eastAsia="Calibri" w:hAnsi="Calibri" w:cs="Calibri"/>
          <w:color w:val="000000" w:themeColor="text1"/>
        </w:rPr>
        <w:footnoteReference w:id="88"/>
      </w:r>
      <w:r w:rsidR="003D640C">
        <w:rPr>
          <w:rFonts w:ascii="Calibri" w:eastAsia="Calibri" w:hAnsi="Calibri" w:cs="Calibri"/>
          <w:color w:val="000000" w:themeColor="text1"/>
        </w:rPr>
        <w:t xml:space="preserve"> </w:t>
      </w:r>
      <w:r w:rsidR="006D516A" w:rsidRPr="00BB6220">
        <w:rPr>
          <w:rFonts w:ascii="Calibri" w:eastAsia="Calibri" w:hAnsi="Calibri" w:cs="Calibri"/>
          <w:color w:val="000000" w:themeColor="text1"/>
        </w:rPr>
        <w:t>We</w:t>
      </w:r>
      <w:r w:rsidR="003D640C">
        <w:rPr>
          <w:rFonts w:ascii="Calibri" w:eastAsia="Calibri" w:hAnsi="Calibri" w:cs="Calibri"/>
          <w:color w:val="000000" w:themeColor="text1"/>
        </w:rPr>
        <w:t xml:space="preserve"> </w:t>
      </w:r>
      <w:r w:rsidR="006D516A" w:rsidRPr="00BB6220">
        <w:rPr>
          <w:rFonts w:ascii="Calibri" w:eastAsia="Calibri" w:hAnsi="Calibri" w:cs="Calibri"/>
          <w:color w:val="000000" w:themeColor="text1"/>
        </w:rPr>
        <w:t>know</w:t>
      </w:r>
      <w:r w:rsidR="003D640C">
        <w:rPr>
          <w:rFonts w:ascii="Calibri" w:eastAsia="Calibri" w:hAnsi="Calibri" w:cs="Calibri"/>
          <w:color w:val="000000" w:themeColor="text1"/>
        </w:rPr>
        <w:t xml:space="preserve"> </w:t>
      </w:r>
      <w:r w:rsidR="006D516A"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transgender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people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who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have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supportive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affirming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primary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doctors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have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lower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psychological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distress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less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likely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attempt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suicide</w:t>
      </w:r>
      <w:r w:rsidR="005A1326">
        <w:rPr>
          <w:rFonts w:ascii="Calibri" w:eastAsia="Calibri" w:hAnsi="Calibri" w:cs="Calibri"/>
          <w:color w:val="000000" w:themeColor="text1"/>
        </w:rPr>
        <w:t xml:space="preserve"> than those without this support</w:t>
      </w:r>
      <w:r w:rsidRPr="00BB6220">
        <w:rPr>
          <w:rFonts w:ascii="Calibri" w:eastAsia="Calibri" w:hAnsi="Calibri" w:cs="Calibri"/>
          <w:color w:val="000000" w:themeColor="text1"/>
        </w:rPr>
        <w:t>.</w:t>
      </w:r>
      <w:r w:rsidRPr="00BB6220">
        <w:rPr>
          <w:rStyle w:val="FootnoteReference"/>
          <w:rFonts w:ascii="Calibri" w:eastAsia="Calibri" w:hAnsi="Calibri" w:cs="Calibri"/>
          <w:color w:val="000000" w:themeColor="text1"/>
        </w:rPr>
        <w:footnoteReference w:id="89"/>
      </w:r>
    </w:p>
    <w:p w14:paraId="082E5E18" w14:textId="7BB52459" w:rsidR="005145E5" w:rsidRPr="00BB6220" w:rsidRDefault="00FB2A84" w:rsidP="0097274F">
      <w:r>
        <w:t xml:space="preserve">Under the Code of </w:t>
      </w:r>
      <w:r w:rsidRPr="00E80C61">
        <w:rPr>
          <w:rFonts w:ascii="Calibri" w:eastAsia="Calibri" w:hAnsi="Calibri" w:cs="Calibri"/>
        </w:rPr>
        <w:t>Health and Disability Services Consumers’ Rights</w:t>
      </w:r>
      <w:r>
        <w:rPr>
          <w:rFonts w:ascii="Calibri" w:eastAsia="Calibri" w:hAnsi="Calibri" w:cs="Calibri"/>
        </w:rPr>
        <w:t xml:space="preserve">, </w:t>
      </w:r>
      <w:r w:rsidR="008F4BC8" w:rsidRPr="008F4BC8">
        <w:t>clinicians</w:t>
      </w:r>
      <w:r>
        <w:t xml:space="preserve"> in Aotearoa</w:t>
      </w:r>
      <w:r w:rsidR="003D640C">
        <w:t xml:space="preserve"> </w:t>
      </w:r>
      <w:r w:rsidR="008F4BC8" w:rsidRPr="008F4BC8">
        <w:t>have</w:t>
      </w:r>
      <w:r w:rsidR="003D640C">
        <w:t xml:space="preserve"> </w:t>
      </w:r>
      <w:r w:rsidR="008F4BC8" w:rsidRPr="008F4BC8">
        <w:t>a</w:t>
      </w:r>
      <w:r w:rsidR="003D640C">
        <w:t xml:space="preserve"> </w:t>
      </w:r>
      <w:r w:rsidR="008F4BC8" w:rsidRPr="008F4BC8">
        <w:t>responsibility</w:t>
      </w:r>
      <w:r w:rsidR="003D640C">
        <w:t xml:space="preserve"> </w:t>
      </w:r>
      <w:r w:rsidR="008F4BC8" w:rsidRPr="008F4BC8">
        <w:t>to</w:t>
      </w:r>
      <w:r w:rsidR="003D640C">
        <w:t xml:space="preserve"> </w:t>
      </w:r>
      <w:r w:rsidR="008F4BC8" w:rsidRPr="008F4BC8">
        <w:t>ensure</w:t>
      </w:r>
      <w:r w:rsidR="003D640C">
        <w:t xml:space="preserve"> </w:t>
      </w:r>
      <w:r w:rsidR="008F4BC8" w:rsidRPr="008F4BC8">
        <w:t>that</w:t>
      </w:r>
      <w:r w:rsidR="003D640C">
        <w:t xml:space="preserve"> </w:t>
      </w:r>
      <w:r w:rsidR="008F4BC8" w:rsidRPr="008F4BC8">
        <w:t>their</w:t>
      </w:r>
      <w:r w:rsidR="003D640C">
        <w:t xml:space="preserve"> </w:t>
      </w:r>
      <w:r w:rsidR="008F4BC8" w:rsidRPr="008F4BC8">
        <w:t>services</w:t>
      </w:r>
      <w:r w:rsidR="003D640C">
        <w:t xml:space="preserve"> </w:t>
      </w:r>
      <w:r w:rsidR="008F4BC8" w:rsidRPr="008F4BC8">
        <w:t>are</w:t>
      </w:r>
      <w:r w:rsidR="003D640C">
        <w:t xml:space="preserve"> </w:t>
      </w:r>
      <w:r w:rsidR="008F4BC8" w:rsidRPr="008F4BC8">
        <w:t>provided</w:t>
      </w:r>
      <w:r w:rsidR="003D640C">
        <w:t xml:space="preserve"> </w:t>
      </w:r>
      <w:r w:rsidR="008F4BC8" w:rsidRPr="008F4BC8">
        <w:t>free</w:t>
      </w:r>
      <w:r w:rsidR="003D640C">
        <w:t xml:space="preserve"> </w:t>
      </w:r>
      <w:r w:rsidR="008F4BC8" w:rsidRPr="008F4BC8">
        <w:t>from</w:t>
      </w:r>
      <w:r w:rsidR="003D640C">
        <w:t xml:space="preserve"> </w:t>
      </w:r>
      <w:r w:rsidR="008F4BC8" w:rsidRPr="008F4BC8">
        <w:t>coercion</w:t>
      </w:r>
      <w:r>
        <w:t xml:space="preserve"> </w:t>
      </w:r>
      <w:r>
        <w:rPr>
          <w:rFonts w:ascii="Calibri" w:eastAsia="Calibri" w:hAnsi="Calibri" w:cs="Calibri"/>
        </w:rPr>
        <w:t>(</w:t>
      </w:r>
      <w:r w:rsidRPr="007B5AE3">
        <w:rPr>
          <w:rFonts w:ascii="Calibri" w:eastAsia="Calibri" w:hAnsi="Calibri" w:cs="Calibri"/>
        </w:rPr>
        <w:t>Right</w:t>
      </w:r>
      <w:r>
        <w:rPr>
          <w:rFonts w:ascii="Calibri" w:eastAsia="Calibri" w:hAnsi="Calibri" w:cs="Calibri"/>
        </w:rPr>
        <w:t xml:space="preserve"> </w:t>
      </w:r>
      <w:r w:rsidRPr="007B5AE3">
        <w:rPr>
          <w:rFonts w:ascii="Calibri" w:eastAsia="Calibri" w:hAnsi="Calibri" w:cs="Calibri"/>
        </w:rPr>
        <w:t>2</w:t>
      </w:r>
      <w:r>
        <w:rPr>
          <w:rFonts w:ascii="Calibri" w:eastAsia="Calibri" w:hAnsi="Calibri" w:cs="Calibri"/>
        </w:rPr>
        <w:t>)</w:t>
      </w:r>
      <w:r w:rsidR="003D640C">
        <w:t xml:space="preserve"> </w:t>
      </w:r>
      <w:r>
        <w:t xml:space="preserve">and </w:t>
      </w:r>
      <w:r w:rsidR="00D05424" w:rsidRPr="00BB6220">
        <w:t>must</w:t>
      </w:r>
      <w:r w:rsidR="003D640C">
        <w:t xml:space="preserve"> </w:t>
      </w:r>
      <w:r w:rsidR="00D05424" w:rsidRPr="00BB6220">
        <w:t>minimise</w:t>
      </w:r>
      <w:r w:rsidR="003D640C">
        <w:t xml:space="preserve"> </w:t>
      </w:r>
      <w:r w:rsidR="00D05424" w:rsidRPr="00BB6220">
        <w:t>the</w:t>
      </w:r>
      <w:r w:rsidR="003D640C">
        <w:t xml:space="preserve"> </w:t>
      </w:r>
      <w:r w:rsidR="00D05424" w:rsidRPr="00BB6220">
        <w:t>potential</w:t>
      </w:r>
      <w:r w:rsidR="003D640C">
        <w:t xml:space="preserve"> </w:t>
      </w:r>
      <w:r w:rsidR="00D05424" w:rsidRPr="00BB6220">
        <w:t>harm</w:t>
      </w:r>
      <w:r w:rsidR="003D640C">
        <w:t xml:space="preserve"> </w:t>
      </w:r>
      <w:r w:rsidR="00D05424" w:rsidRPr="00BB6220">
        <w:t>to</w:t>
      </w:r>
      <w:r w:rsidR="003D640C">
        <w:t xml:space="preserve"> </w:t>
      </w:r>
      <w:r w:rsidR="00D05424" w:rsidRPr="00BB6220">
        <w:t>and</w:t>
      </w:r>
      <w:r w:rsidR="003D640C">
        <w:t xml:space="preserve"> </w:t>
      </w:r>
      <w:r w:rsidR="00D05424" w:rsidRPr="00BB6220">
        <w:t>optimise</w:t>
      </w:r>
      <w:r w:rsidR="003D640C">
        <w:t xml:space="preserve"> </w:t>
      </w:r>
      <w:r w:rsidR="00D05424" w:rsidRPr="00BB6220">
        <w:t>the</w:t>
      </w:r>
      <w:r w:rsidR="003D640C">
        <w:t xml:space="preserve"> </w:t>
      </w:r>
      <w:r w:rsidR="00D05424" w:rsidRPr="00BB6220">
        <w:t>quality</w:t>
      </w:r>
      <w:r w:rsidR="003D640C">
        <w:t xml:space="preserve"> </w:t>
      </w:r>
      <w:r w:rsidR="00D05424" w:rsidRPr="00BB6220">
        <w:t>of</w:t>
      </w:r>
      <w:r w:rsidR="003D640C">
        <w:t xml:space="preserve"> </w:t>
      </w:r>
      <w:r w:rsidR="00D05424" w:rsidRPr="00BB6220">
        <w:t>life</w:t>
      </w:r>
      <w:r w:rsidR="003D640C">
        <w:t xml:space="preserve"> </w:t>
      </w:r>
      <w:r w:rsidR="00D05424" w:rsidRPr="00BB6220">
        <w:t>of</w:t>
      </w:r>
      <w:r w:rsidR="003D640C">
        <w:t xml:space="preserve"> </w:t>
      </w:r>
      <w:r w:rsidR="00D05424" w:rsidRPr="00BB6220">
        <w:t>each</w:t>
      </w:r>
      <w:r w:rsidR="003D640C">
        <w:t xml:space="preserve"> </w:t>
      </w:r>
      <w:r w:rsidR="00D05424" w:rsidRPr="00BB6220">
        <w:t>patient</w:t>
      </w:r>
      <w:r>
        <w:t xml:space="preserve"> (Right 4(4))</w:t>
      </w:r>
      <w:r w:rsidR="00D05424" w:rsidRPr="00BB6220">
        <w:t>.</w:t>
      </w:r>
      <w:r w:rsidR="003D640C">
        <w:t xml:space="preserve"> </w:t>
      </w:r>
      <w:r w:rsidR="00D05424" w:rsidRPr="00BB6220">
        <w:t>The</w:t>
      </w:r>
      <w:r w:rsidR="003D640C">
        <w:t xml:space="preserve"> </w:t>
      </w:r>
      <w:r w:rsidR="00D05424" w:rsidRPr="00BB6220">
        <w:t>Royal</w:t>
      </w:r>
      <w:r w:rsidR="003D640C">
        <w:t xml:space="preserve"> </w:t>
      </w:r>
      <w:r w:rsidR="00D05424" w:rsidRPr="00BB6220">
        <w:t>New</w:t>
      </w:r>
      <w:r w:rsidR="003D640C">
        <w:t xml:space="preserve"> </w:t>
      </w:r>
      <w:r w:rsidR="00D05424" w:rsidRPr="00BB6220">
        <w:t>Zealand</w:t>
      </w:r>
      <w:r w:rsidR="003D640C">
        <w:t xml:space="preserve"> </w:t>
      </w:r>
      <w:r w:rsidR="00D05424" w:rsidRPr="00BB6220">
        <w:t>College</w:t>
      </w:r>
      <w:r w:rsidR="003D640C">
        <w:t xml:space="preserve"> </w:t>
      </w:r>
      <w:r w:rsidR="00D05424" w:rsidRPr="00BB6220">
        <w:t>of</w:t>
      </w:r>
      <w:r w:rsidR="003D640C">
        <w:t xml:space="preserve"> </w:t>
      </w:r>
      <w:r w:rsidR="00D05424" w:rsidRPr="00BB6220">
        <w:t>General</w:t>
      </w:r>
      <w:r w:rsidR="003D640C">
        <w:t xml:space="preserve"> </w:t>
      </w:r>
      <w:r w:rsidR="00D05424" w:rsidRPr="00BB6220">
        <w:t>Practitioners</w:t>
      </w:r>
      <w:r w:rsidR="003D640C">
        <w:t xml:space="preserve"> </w:t>
      </w:r>
      <w:r w:rsidR="00D05424" w:rsidRPr="00BB6220">
        <w:t>has</w:t>
      </w:r>
      <w:r w:rsidR="003D640C">
        <w:t xml:space="preserve"> </w:t>
      </w:r>
      <w:r w:rsidR="00D05424" w:rsidRPr="00BB6220">
        <w:t>publicly</w:t>
      </w:r>
      <w:r w:rsidR="003D640C">
        <w:t xml:space="preserve"> </w:t>
      </w:r>
      <w:r w:rsidR="00D05424" w:rsidRPr="00BB6220">
        <w:t>condemned</w:t>
      </w:r>
      <w:r w:rsidR="003D640C">
        <w:t xml:space="preserve"> </w:t>
      </w:r>
      <w:r w:rsidR="00D05424" w:rsidRPr="00BB6220">
        <w:t>conversion</w:t>
      </w:r>
      <w:r w:rsidR="003D640C">
        <w:t xml:space="preserve"> </w:t>
      </w:r>
      <w:r w:rsidR="00D05424" w:rsidRPr="00BB6220">
        <w:t>practices</w:t>
      </w:r>
      <w:r w:rsidR="00D05424" w:rsidRPr="00BB6220">
        <w:rPr>
          <w:rStyle w:val="FootnoteReference"/>
          <w:rFonts w:ascii="Calibri" w:eastAsia="Calibri" w:hAnsi="Calibri" w:cs="Calibri"/>
          <w:color w:val="000000" w:themeColor="text1"/>
        </w:rPr>
        <w:footnoteReference w:id="90"/>
      </w:r>
      <w:r w:rsidR="003D640C">
        <w:t xml:space="preserve"> </w:t>
      </w:r>
      <w:r w:rsidR="00140933" w:rsidRPr="00BB6220">
        <w:t>as</w:t>
      </w:r>
      <w:r w:rsidR="003D640C">
        <w:t xml:space="preserve"> </w:t>
      </w:r>
      <w:r w:rsidR="00140933" w:rsidRPr="00BB6220">
        <w:t>has</w:t>
      </w:r>
      <w:r w:rsidR="003D640C">
        <w:t xml:space="preserve"> </w:t>
      </w:r>
      <w:r w:rsidR="00B040D6" w:rsidRPr="00BB6220">
        <w:t>the</w:t>
      </w:r>
      <w:r w:rsidR="003D640C">
        <w:t xml:space="preserve"> </w:t>
      </w:r>
      <w:r w:rsidR="00B040D6" w:rsidRPr="00BB6220">
        <w:t>Professional</w:t>
      </w:r>
      <w:r w:rsidR="003D640C">
        <w:t xml:space="preserve"> </w:t>
      </w:r>
      <w:r w:rsidR="00B040D6" w:rsidRPr="00BB6220">
        <w:t>Association</w:t>
      </w:r>
      <w:r w:rsidR="003D640C">
        <w:t xml:space="preserve"> </w:t>
      </w:r>
      <w:r w:rsidR="008F059A" w:rsidRPr="00BB6220">
        <w:t>for</w:t>
      </w:r>
      <w:r w:rsidR="003D640C">
        <w:t xml:space="preserve"> </w:t>
      </w:r>
      <w:r w:rsidR="008F059A" w:rsidRPr="00BB6220">
        <w:t>Transgender</w:t>
      </w:r>
      <w:r w:rsidR="003D640C">
        <w:t xml:space="preserve"> </w:t>
      </w:r>
      <w:r w:rsidR="008F059A" w:rsidRPr="00BB6220">
        <w:t>Health</w:t>
      </w:r>
      <w:r w:rsidR="003D640C">
        <w:t xml:space="preserve"> </w:t>
      </w:r>
      <w:r w:rsidR="008F059A" w:rsidRPr="00BB6220">
        <w:t>Aotearoa</w:t>
      </w:r>
      <w:r w:rsidR="008F059A" w:rsidRPr="00BB6220">
        <w:rPr>
          <w:rStyle w:val="FootnoteReference"/>
          <w:rFonts w:ascii="Calibri" w:eastAsia="Calibri" w:hAnsi="Calibri" w:cs="Calibri"/>
          <w:color w:val="000000" w:themeColor="text1"/>
        </w:rPr>
        <w:footnoteReference w:id="91"/>
      </w:r>
      <w:r w:rsidR="003D640C">
        <w:t xml:space="preserve"> </w:t>
      </w:r>
      <w:r w:rsidR="00A12F28" w:rsidRPr="00BB6220">
        <w:t>and</w:t>
      </w:r>
      <w:r w:rsidR="003D640C">
        <w:t xml:space="preserve"> </w:t>
      </w:r>
      <w:r w:rsidR="00A12F28" w:rsidRPr="00BB6220">
        <w:t>other</w:t>
      </w:r>
      <w:r w:rsidR="003D640C">
        <w:t xml:space="preserve"> </w:t>
      </w:r>
      <w:r w:rsidR="0099656E">
        <w:t>healthcare</w:t>
      </w:r>
      <w:r w:rsidR="003D640C">
        <w:t xml:space="preserve"> </w:t>
      </w:r>
      <w:r w:rsidR="00BA0B32" w:rsidRPr="00BB6220">
        <w:t>oversight</w:t>
      </w:r>
      <w:r w:rsidR="003D640C">
        <w:t xml:space="preserve"> </w:t>
      </w:r>
      <w:r w:rsidR="00BA0B32" w:rsidRPr="00BB6220">
        <w:t>bodies.</w:t>
      </w:r>
    </w:p>
    <w:p w14:paraId="191B9E99" w14:textId="6F0127AA" w:rsidR="002513D5" w:rsidRPr="00BB6220" w:rsidRDefault="002513D5" w:rsidP="0097274F">
      <w:pPr>
        <w:pStyle w:val="Heading2"/>
      </w:pPr>
      <w:bookmarkStart w:id="153" w:name="_Toc167780595"/>
      <w:bookmarkStart w:id="154" w:name="_Toc1659248258"/>
      <w:bookmarkStart w:id="155" w:name="_Toc174628654"/>
      <w:r w:rsidRPr="00BB6220">
        <w:t>Conversion</w:t>
      </w:r>
      <w:r w:rsidR="003D640C">
        <w:t xml:space="preserve"> </w:t>
      </w:r>
      <w:r w:rsidRPr="00BB6220">
        <w:t>practices</w:t>
      </w:r>
      <w:r w:rsidR="003D640C">
        <w:t xml:space="preserve"> </w:t>
      </w:r>
      <w:r w:rsidRPr="00BB6220">
        <w:t>and</w:t>
      </w:r>
      <w:r w:rsidR="003D640C">
        <w:t xml:space="preserve"> </w:t>
      </w:r>
      <w:r w:rsidRPr="00BB6220">
        <w:t>ira</w:t>
      </w:r>
      <w:r w:rsidR="003D640C">
        <w:t xml:space="preserve"> </w:t>
      </w:r>
      <w:r w:rsidRPr="00BB6220">
        <w:t>tangata</w:t>
      </w:r>
      <w:r w:rsidR="003D640C">
        <w:t xml:space="preserve"> </w:t>
      </w:r>
      <w:r w:rsidRPr="00BB6220">
        <w:t>(intersex</w:t>
      </w:r>
      <w:r w:rsidR="003D640C">
        <w:t xml:space="preserve"> </w:t>
      </w:r>
      <w:r w:rsidRPr="00BB6220">
        <w:t>people)</w:t>
      </w:r>
      <w:bookmarkEnd w:id="153"/>
      <w:bookmarkEnd w:id="154"/>
      <w:bookmarkEnd w:id="155"/>
    </w:p>
    <w:p w14:paraId="4E48F8F7" w14:textId="707FE77C" w:rsidR="00901DF2" w:rsidRPr="00901DF2" w:rsidRDefault="00901DF2" w:rsidP="0097274F">
      <w:pPr>
        <w:rPr>
          <w:lang w:val="en-US"/>
        </w:rPr>
      </w:pPr>
      <w:r w:rsidRPr="00B1465F">
        <w:rPr>
          <w:lang w:val="en-US"/>
        </w:rPr>
        <w:t>People</w:t>
      </w:r>
      <w:r w:rsidR="003D640C">
        <w:rPr>
          <w:lang w:val="en-US"/>
        </w:rPr>
        <w:t xml:space="preserve"> </w:t>
      </w:r>
      <w:r w:rsidR="0081252E">
        <w:rPr>
          <w:lang w:val="en-US"/>
        </w:rPr>
        <w:t>born</w:t>
      </w:r>
      <w:r w:rsidR="003D640C">
        <w:rPr>
          <w:lang w:val="en-US"/>
        </w:rPr>
        <w:t xml:space="preserve"> </w:t>
      </w:r>
      <w:r w:rsidRPr="00B1465F">
        <w:rPr>
          <w:lang w:val="en-US"/>
        </w:rPr>
        <w:t>with</w:t>
      </w:r>
      <w:r w:rsidR="003D640C">
        <w:rPr>
          <w:lang w:val="en-US"/>
        </w:rPr>
        <w:t xml:space="preserve"> </w:t>
      </w:r>
      <w:r w:rsidRPr="00B1465F">
        <w:rPr>
          <w:lang w:val="en-US"/>
        </w:rPr>
        <w:t>innate</w:t>
      </w:r>
      <w:r w:rsidR="003D640C">
        <w:rPr>
          <w:lang w:val="en-US"/>
        </w:rPr>
        <w:t xml:space="preserve"> </w:t>
      </w:r>
      <w:r w:rsidRPr="00B1465F">
        <w:rPr>
          <w:lang w:val="en-US"/>
        </w:rPr>
        <w:t>variations</w:t>
      </w:r>
      <w:r w:rsidR="003D640C">
        <w:rPr>
          <w:lang w:val="en-US"/>
        </w:rPr>
        <w:t xml:space="preserve"> </w:t>
      </w:r>
      <w:r w:rsidRPr="00B1465F">
        <w:rPr>
          <w:lang w:val="en-US"/>
        </w:rPr>
        <w:t>of</w:t>
      </w:r>
      <w:r w:rsidR="003D640C">
        <w:rPr>
          <w:lang w:val="en-US"/>
        </w:rPr>
        <w:t xml:space="preserve"> </w:t>
      </w:r>
      <w:r w:rsidRPr="00B1465F">
        <w:rPr>
          <w:lang w:val="en-US"/>
        </w:rPr>
        <w:t>sex</w:t>
      </w:r>
      <w:r w:rsidR="003D640C">
        <w:rPr>
          <w:lang w:val="en-US"/>
        </w:rPr>
        <w:t xml:space="preserve"> </w:t>
      </w:r>
      <w:r w:rsidRPr="00B1465F">
        <w:rPr>
          <w:lang w:val="en-US"/>
        </w:rPr>
        <w:t>characteristics</w:t>
      </w:r>
      <w:r w:rsidR="003D640C">
        <w:rPr>
          <w:lang w:val="en-US"/>
        </w:rPr>
        <w:t xml:space="preserve"> </w:t>
      </w:r>
      <w:r w:rsidRPr="00B1465F">
        <w:rPr>
          <w:lang w:val="en-US"/>
        </w:rPr>
        <w:t>sometimes</w:t>
      </w:r>
      <w:r w:rsidR="003D640C">
        <w:rPr>
          <w:lang w:val="en-US"/>
        </w:rPr>
        <w:t xml:space="preserve"> </w:t>
      </w:r>
      <w:r w:rsidR="00584801">
        <w:rPr>
          <w:lang w:val="en-US"/>
        </w:rPr>
        <w:t>use</w:t>
      </w:r>
      <w:r w:rsidR="003D640C">
        <w:rPr>
          <w:lang w:val="en-US"/>
        </w:rPr>
        <w:t xml:space="preserve"> </w:t>
      </w:r>
      <w:r w:rsidR="00584801">
        <w:rPr>
          <w:lang w:val="en-US"/>
        </w:rPr>
        <w:t>the</w:t>
      </w:r>
      <w:r w:rsidR="003D640C">
        <w:rPr>
          <w:lang w:val="en-US"/>
        </w:rPr>
        <w:t xml:space="preserve"> </w:t>
      </w:r>
      <w:r w:rsidR="00584801">
        <w:rPr>
          <w:lang w:val="en-US"/>
        </w:rPr>
        <w:t>term</w:t>
      </w:r>
      <w:r w:rsidR="003D640C">
        <w:rPr>
          <w:lang w:val="en-US"/>
        </w:rPr>
        <w:t xml:space="preserve"> </w:t>
      </w:r>
      <w:r w:rsidR="00A87072">
        <w:rPr>
          <w:lang w:val="en-US"/>
        </w:rPr>
        <w:t>‘</w:t>
      </w:r>
      <w:r w:rsidRPr="00B1465F">
        <w:rPr>
          <w:lang w:val="en-US"/>
        </w:rPr>
        <w:t>intersex</w:t>
      </w:r>
      <w:r w:rsidR="00A87072">
        <w:rPr>
          <w:lang w:val="en-US"/>
        </w:rPr>
        <w:t>’</w:t>
      </w:r>
      <w:r w:rsidR="003D640C">
        <w:rPr>
          <w:lang w:val="en-US"/>
        </w:rPr>
        <w:t xml:space="preserve"> </w:t>
      </w:r>
      <w:r w:rsidR="00584801">
        <w:rPr>
          <w:lang w:val="en-US"/>
        </w:rPr>
        <w:t>to</w:t>
      </w:r>
      <w:r w:rsidR="003D640C">
        <w:rPr>
          <w:lang w:val="en-US"/>
        </w:rPr>
        <w:t xml:space="preserve"> </w:t>
      </w:r>
      <w:r w:rsidR="00584801">
        <w:rPr>
          <w:lang w:val="en-US"/>
        </w:rPr>
        <w:t>describe</w:t>
      </w:r>
      <w:r w:rsidR="003D640C">
        <w:rPr>
          <w:lang w:val="en-US"/>
        </w:rPr>
        <w:t xml:space="preserve"> </w:t>
      </w:r>
      <w:r w:rsidR="00584801">
        <w:rPr>
          <w:lang w:val="en-US"/>
        </w:rPr>
        <w:t>themselves</w:t>
      </w:r>
      <w:r w:rsidRPr="00B1465F">
        <w:rPr>
          <w:lang w:val="en-US"/>
        </w:rPr>
        <w:t>.</w:t>
      </w:r>
      <w:r w:rsidR="003D640C">
        <w:rPr>
          <w:lang w:val="en-US"/>
        </w:rPr>
        <w:t xml:space="preserve"> </w:t>
      </w:r>
      <w:r w:rsidRPr="00B1465F">
        <w:rPr>
          <w:lang w:val="en-US"/>
        </w:rPr>
        <w:t>In</w:t>
      </w:r>
      <w:r w:rsidR="003D640C">
        <w:rPr>
          <w:lang w:val="en-US"/>
        </w:rPr>
        <w:t xml:space="preserve"> </w:t>
      </w:r>
      <w:r w:rsidRPr="00B1465F">
        <w:rPr>
          <w:lang w:val="en-US"/>
        </w:rPr>
        <w:t>te</w:t>
      </w:r>
      <w:r w:rsidR="003D640C">
        <w:rPr>
          <w:lang w:val="en-US"/>
        </w:rPr>
        <w:t xml:space="preserve"> </w:t>
      </w:r>
      <w:r w:rsidRPr="00B1465F">
        <w:rPr>
          <w:lang w:val="en-US"/>
        </w:rPr>
        <w:t>reo</w:t>
      </w:r>
      <w:r w:rsidR="003D640C">
        <w:rPr>
          <w:lang w:val="en-US"/>
        </w:rPr>
        <w:t xml:space="preserve"> </w:t>
      </w:r>
      <w:r w:rsidRPr="00B1465F">
        <w:rPr>
          <w:lang w:val="en-US"/>
        </w:rPr>
        <w:t>Māori,</w:t>
      </w:r>
      <w:r w:rsidR="003D640C">
        <w:rPr>
          <w:lang w:val="en-US"/>
        </w:rPr>
        <w:t xml:space="preserve"> </w:t>
      </w:r>
      <w:r w:rsidRPr="00B1465F">
        <w:rPr>
          <w:lang w:val="en-US"/>
        </w:rPr>
        <w:t>the</w:t>
      </w:r>
      <w:r w:rsidR="003D640C">
        <w:rPr>
          <w:lang w:val="en-US"/>
        </w:rPr>
        <w:t xml:space="preserve"> </w:t>
      </w:r>
      <w:r w:rsidRPr="00B1465F">
        <w:rPr>
          <w:lang w:val="en-US"/>
        </w:rPr>
        <w:t>term</w:t>
      </w:r>
      <w:r w:rsidR="003D640C">
        <w:rPr>
          <w:lang w:val="en-US"/>
        </w:rPr>
        <w:t xml:space="preserve"> </w:t>
      </w:r>
      <w:r w:rsidRPr="00B1465F">
        <w:rPr>
          <w:lang w:val="en-US"/>
        </w:rPr>
        <w:t>‘ira</w:t>
      </w:r>
      <w:r w:rsidR="003D640C">
        <w:rPr>
          <w:lang w:val="en-US"/>
        </w:rPr>
        <w:t xml:space="preserve"> </w:t>
      </w:r>
      <w:r w:rsidRPr="00B1465F">
        <w:rPr>
          <w:lang w:val="en-US"/>
        </w:rPr>
        <w:t>t</w:t>
      </w:r>
      <w:r w:rsidR="00D2596A">
        <w:rPr>
          <w:lang w:val="en-US"/>
        </w:rPr>
        <w:t>a</w:t>
      </w:r>
      <w:r w:rsidRPr="00B1465F">
        <w:rPr>
          <w:lang w:val="en-US"/>
        </w:rPr>
        <w:t>ngata’</w:t>
      </w:r>
      <w:r w:rsidR="003D640C">
        <w:rPr>
          <w:lang w:val="en-US"/>
        </w:rPr>
        <w:t xml:space="preserve"> </w:t>
      </w:r>
      <w:r w:rsidRPr="00B1465F">
        <w:rPr>
          <w:lang w:val="en-US"/>
        </w:rPr>
        <w:t>refers</w:t>
      </w:r>
      <w:r w:rsidR="003D640C">
        <w:rPr>
          <w:lang w:val="en-US"/>
        </w:rPr>
        <w:t xml:space="preserve"> </w:t>
      </w:r>
      <w:r w:rsidRPr="00B1465F">
        <w:rPr>
          <w:lang w:val="en-US"/>
        </w:rPr>
        <w:t>to</w:t>
      </w:r>
      <w:r w:rsidR="003D640C">
        <w:rPr>
          <w:lang w:val="en-US"/>
        </w:rPr>
        <w:t xml:space="preserve"> </w:t>
      </w:r>
      <w:r w:rsidRPr="00B1465F">
        <w:rPr>
          <w:lang w:val="en-US"/>
        </w:rPr>
        <w:t>genetics/whakapapa</w:t>
      </w:r>
      <w:r w:rsidR="003D640C">
        <w:rPr>
          <w:lang w:val="en-US"/>
        </w:rPr>
        <w:t xml:space="preserve"> </w:t>
      </w:r>
      <w:r w:rsidRPr="00B1465F">
        <w:rPr>
          <w:lang w:val="en-US"/>
        </w:rPr>
        <w:t>and</w:t>
      </w:r>
      <w:r w:rsidR="003D640C">
        <w:rPr>
          <w:lang w:val="en-US"/>
        </w:rPr>
        <w:t xml:space="preserve"> </w:t>
      </w:r>
      <w:r w:rsidRPr="00B1465F">
        <w:rPr>
          <w:lang w:val="en-US"/>
        </w:rPr>
        <w:t>person/hood</w:t>
      </w:r>
      <w:r w:rsidR="001242AC">
        <w:rPr>
          <w:lang w:val="en-US"/>
        </w:rPr>
        <w:t>,</w:t>
      </w:r>
      <w:r w:rsidR="003D640C">
        <w:rPr>
          <w:lang w:val="en-US"/>
        </w:rPr>
        <w:t xml:space="preserve"> </w:t>
      </w:r>
      <w:r w:rsidRPr="00B1465F">
        <w:rPr>
          <w:lang w:val="en-US"/>
        </w:rPr>
        <w:t>and</w:t>
      </w:r>
      <w:r w:rsidR="003D640C">
        <w:rPr>
          <w:lang w:val="en-US"/>
        </w:rPr>
        <w:t xml:space="preserve"> </w:t>
      </w:r>
      <w:r w:rsidRPr="00B1465F">
        <w:rPr>
          <w:lang w:val="en-US"/>
        </w:rPr>
        <w:t>is</w:t>
      </w:r>
      <w:r w:rsidR="003D640C">
        <w:rPr>
          <w:lang w:val="en-US"/>
        </w:rPr>
        <w:t xml:space="preserve"> </w:t>
      </w:r>
      <w:r w:rsidRPr="00B1465F">
        <w:rPr>
          <w:lang w:val="en-US"/>
        </w:rPr>
        <w:t>used</w:t>
      </w:r>
      <w:r w:rsidR="003D640C">
        <w:rPr>
          <w:lang w:val="en-US"/>
        </w:rPr>
        <w:t xml:space="preserve"> </w:t>
      </w:r>
      <w:r w:rsidRPr="00B1465F">
        <w:rPr>
          <w:lang w:val="en-US"/>
        </w:rPr>
        <w:t>for</w:t>
      </w:r>
      <w:r w:rsidR="003D640C">
        <w:rPr>
          <w:lang w:val="en-US"/>
        </w:rPr>
        <w:t xml:space="preserve"> </w:t>
      </w:r>
      <w:r w:rsidRPr="00B1465F">
        <w:rPr>
          <w:lang w:val="en-US"/>
        </w:rPr>
        <w:t>intersex</w:t>
      </w:r>
      <w:r w:rsidR="003D640C">
        <w:rPr>
          <w:lang w:val="en-US"/>
        </w:rPr>
        <w:t xml:space="preserve"> </w:t>
      </w:r>
      <w:r w:rsidRPr="00B1465F">
        <w:rPr>
          <w:lang w:val="en-US"/>
        </w:rPr>
        <w:t>people.</w:t>
      </w:r>
      <w:r w:rsidR="003D640C">
        <w:rPr>
          <w:lang w:val="en-US"/>
        </w:rPr>
        <w:t xml:space="preserve"> </w:t>
      </w:r>
      <w:r w:rsidRPr="00B1465F">
        <w:rPr>
          <w:lang w:val="en-US"/>
        </w:rPr>
        <w:t>This</w:t>
      </w:r>
      <w:r w:rsidR="003D640C">
        <w:rPr>
          <w:lang w:val="en-US"/>
        </w:rPr>
        <w:t xml:space="preserve"> </w:t>
      </w:r>
      <w:r w:rsidRPr="00B1465F">
        <w:rPr>
          <w:lang w:val="en-US"/>
        </w:rPr>
        <w:t>term</w:t>
      </w:r>
      <w:r w:rsidR="003D640C">
        <w:rPr>
          <w:lang w:val="en-US"/>
        </w:rPr>
        <w:t xml:space="preserve"> </w:t>
      </w:r>
      <w:r w:rsidRPr="00B1465F">
        <w:rPr>
          <w:lang w:val="en-US"/>
        </w:rPr>
        <w:t>acknowledges</w:t>
      </w:r>
      <w:r w:rsidR="003D640C">
        <w:rPr>
          <w:lang w:val="en-US"/>
        </w:rPr>
        <w:t xml:space="preserve"> </w:t>
      </w:r>
      <w:r w:rsidRPr="00B1465F">
        <w:rPr>
          <w:lang w:val="en-US"/>
        </w:rPr>
        <w:t>in</w:t>
      </w:r>
      <w:r w:rsidR="003D640C">
        <w:rPr>
          <w:lang w:val="en-US"/>
        </w:rPr>
        <w:t xml:space="preserve"> </w:t>
      </w:r>
      <w:r w:rsidRPr="00B1465F">
        <w:rPr>
          <w:lang w:val="en-US"/>
        </w:rPr>
        <w:t>te</w:t>
      </w:r>
      <w:r w:rsidR="003D640C">
        <w:rPr>
          <w:lang w:val="en-US"/>
        </w:rPr>
        <w:t xml:space="preserve"> </w:t>
      </w:r>
      <w:r w:rsidRPr="00B1465F">
        <w:rPr>
          <w:lang w:val="en-US"/>
        </w:rPr>
        <w:t>reo</w:t>
      </w:r>
      <w:r w:rsidR="003D640C">
        <w:rPr>
          <w:lang w:val="en-US"/>
        </w:rPr>
        <w:t xml:space="preserve"> </w:t>
      </w:r>
      <w:r w:rsidRPr="00B1465F">
        <w:rPr>
          <w:lang w:val="en-US"/>
        </w:rPr>
        <w:t>that</w:t>
      </w:r>
      <w:r w:rsidR="003D640C">
        <w:rPr>
          <w:lang w:val="en-US"/>
        </w:rPr>
        <w:t xml:space="preserve"> </w:t>
      </w:r>
      <w:r w:rsidRPr="00B1465F">
        <w:rPr>
          <w:lang w:val="en-US"/>
        </w:rPr>
        <w:t>Māori</w:t>
      </w:r>
      <w:r w:rsidR="003D640C">
        <w:rPr>
          <w:lang w:val="en-US"/>
        </w:rPr>
        <w:t xml:space="preserve"> </w:t>
      </w:r>
      <w:r w:rsidRPr="00B1465F">
        <w:rPr>
          <w:lang w:val="en-US"/>
        </w:rPr>
        <w:t>are</w:t>
      </w:r>
      <w:r w:rsidR="003D640C">
        <w:rPr>
          <w:lang w:val="en-US"/>
        </w:rPr>
        <w:t xml:space="preserve"> </w:t>
      </w:r>
      <w:r w:rsidR="001B2821">
        <w:rPr>
          <w:lang w:val="en-US"/>
        </w:rPr>
        <w:t>Māo</w:t>
      </w:r>
      <w:r w:rsidR="007853E8">
        <w:rPr>
          <w:lang w:val="en-US"/>
        </w:rPr>
        <w:t>ri</w:t>
      </w:r>
      <w:r w:rsidR="003D640C">
        <w:rPr>
          <w:lang w:val="en-US"/>
        </w:rPr>
        <w:t xml:space="preserve"> </w:t>
      </w:r>
      <w:r w:rsidRPr="00B1465F">
        <w:rPr>
          <w:lang w:val="en-US"/>
        </w:rPr>
        <w:t>first</w:t>
      </w:r>
      <w:r w:rsidR="003D640C">
        <w:rPr>
          <w:lang w:val="en-US"/>
        </w:rPr>
        <w:t xml:space="preserve"> </w:t>
      </w:r>
      <w:r w:rsidRPr="00B1465F">
        <w:rPr>
          <w:lang w:val="en-US"/>
        </w:rPr>
        <w:t>and</w:t>
      </w:r>
      <w:r w:rsidR="003D640C">
        <w:rPr>
          <w:lang w:val="en-US"/>
        </w:rPr>
        <w:t xml:space="preserve"> </w:t>
      </w:r>
      <w:r w:rsidRPr="00B1465F">
        <w:rPr>
          <w:lang w:val="en-US"/>
        </w:rPr>
        <w:t>are</w:t>
      </w:r>
      <w:r w:rsidR="003D640C">
        <w:rPr>
          <w:lang w:val="en-US"/>
        </w:rPr>
        <w:t xml:space="preserve"> </w:t>
      </w:r>
      <w:r w:rsidRPr="00B1465F">
        <w:rPr>
          <w:lang w:val="en-US"/>
        </w:rPr>
        <w:t>not</w:t>
      </w:r>
      <w:r w:rsidR="003D640C">
        <w:rPr>
          <w:lang w:val="en-US"/>
        </w:rPr>
        <w:t xml:space="preserve"> </w:t>
      </w:r>
      <w:r w:rsidRPr="00B1465F">
        <w:rPr>
          <w:lang w:val="en-US"/>
        </w:rPr>
        <w:t>defined</w:t>
      </w:r>
      <w:r w:rsidR="003D640C">
        <w:rPr>
          <w:lang w:val="en-US"/>
        </w:rPr>
        <w:t xml:space="preserve"> </w:t>
      </w:r>
      <w:r w:rsidRPr="00B1465F">
        <w:rPr>
          <w:lang w:val="en-US"/>
        </w:rPr>
        <w:t>by</w:t>
      </w:r>
      <w:r w:rsidR="003D640C">
        <w:rPr>
          <w:lang w:val="en-US"/>
        </w:rPr>
        <w:t xml:space="preserve"> </w:t>
      </w:r>
      <w:r w:rsidRPr="00B1465F">
        <w:rPr>
          <w:lang w:val="en-US"/>
        </w:rPr>
        <w:t>any</w:t>
      </w:r>
      <w:r w:rsidR="003D640C">
        <w:rPr>
          <w:lang w:val="en-US"/>
        </w:rPr>
        <w:t xml:space="preserve"> </w:t>
      </w:r>
      <w:r w:rsidRPr="00B1465F">
        <w:rPr>
          <w:lang w:val="en-US"/>
        </w:rPr>
        <w:t>single</w:t>
      </w:r>
      <w:r w:rsidR="003D640C">
        <w:rPr>
          <w:lang w:val="en-US"/>
        </w:rPr>
        <w:t xml:space="preserve"> </w:t>
      </w:r>
      <w:r w:rsidRPr="00B1465F">
        <w:rPr>
          <w:lang w:val="en-US"/>
        </w:rPr>
        <w:t>characteristic</w:t>
      </w:r>
      <w:r w:rsidR="003D640C">
        <w:rPr>
          <w:lang w:val="en-US"/>
        </w:rPr>
        <w:t xml:space="preserve"> </w:t>
      </w:r>
      <w:r w:rsidRPr="00B1465F">
        <w:rPr>
          <w:lang w:val="en-US"/>
        </w:rPr>
        <w:t>or</w:t>
      </w:r>
      <w:r w:rsidR="003D640C">
        <w:rPr>
          <w:lang w:val="en-US"/>
        </w:rPr>
        <w:t xml:space="preserve"> </w:t>
      </w:r>
      <w:r w:rsidRPr="00B1465F">
        <w:rPr>
          <w:lang w:val="en-US"/>
        </w:rPr>
        <w:t>variation.</w:t>
      </w:r>
    </w:p>
    <w:p w14:paraId="6083EE00" w14:textId="5841F466" w:rsidR="00901DF2" w:rsidRPr="00B1465F" w:rsidRDefault="00901DF2" w:rsidP="0097274F">
      <w:pPr>
        <w:rPr>
          <w:rFonts w:ascii="Calibri" w:eastAsia="Calibri" w:hAnsi="Calibri" w:cs="Calibri"/>
        </w:rPr>
      </w:pPr>
      <w:r w:rsidRPr="00B1465F">
        <w:rPr>
          <w:rFonts w:ascii="Calibri" w:eastAsia="Calibri" w:hAnsi="Calibri" w:cs="Calibri"/>
        </w:rPr>
        <w:t>Ira</w:t>
      </w:r>
      <w:r w:rsidR="003D640C">
        <w:rPr>
          <w:rFonts w:ascii="Calibri" w:eastAsia="Calibri" w:hAnsi="Calibri" w:cs="Calibri"/>
        </w:rPr>
        <w:t xml:space="preserve"> </w:t>
      </w:r>
      <w:r w:rsidRPr="00B1465F">
        <w:rPr>
          <w:rFonts w:ascii="Calibri" w:eastAsia="Calibri" w:hAnsi="Calibri" w:cs="Calibri"/>
        </w:rPr>
        <w:t>t</w:t>
      </w:r>
      <w:r w:rsidR="00D2596A">
        <w:rPr>
          <w:rFonts w:ascii="Calibri" w:eastAsia="Calibri" w:hAnsi="Calibri" w:cs="Calibri"/>
        </w:rPr>
        <w:t>a</w:t>
      </w:r>
      <w:r w:rsidRPr="00B1465F">
        <w:rPr>
          <w:rFonts w:ascii="Calibri" w:eastAsia="Calibri" w:hAnsi="Calibri" w:cs="Calibri"/>
        </w:rPr>
        <w:t>ngata</w:t>
      </w:r>
      <w:r w:rsidR="003D640C">
        <w:rPr>
          <w:rFonts w:ascii="Calibri" w:eastAsia="Calibri" w:hAnsi="Calibri" w:cs="Calibri"/>
        </w:rPr>
        <w:t xml:space="preserve"> </w:t>
      </w:r>
      <w:r w:rsidRPr="00B1465F">
        <w:rPr>
          <w:rFonts w:ascii="Calibri" w:eastAsia="Calibri" w:hAnsi="Calibri" w:cs="Calibri"/>
        </w:rPr>
        <w:t>may</w:t>
      </w:r>
      <w:r w:rsidR="003D640C">
        <w:rPr>
          <w:rFonts w:ascii="Calibri" w:eastAsia="Calibri" w:hAnsi="Calibri" w:cs="Calibri"/>
        </w:rPr>
        <w:t xml:space="preserve"> </w:t>
      </w:r>
      <w:r w:rsidRPr="00B1465F">
        <w:rPr>
          <w:rFonts w:ascii="Calibri" w:eastAsia="Calibri" w:hAnsi="Calibri" w:cs="Calibri"/>
        </w:rPr>
        <w:t>experience</w:t>
      </w:r>
      <w:r w:rsidR="003D640C">
        <w:rPr>
          <w:rFonts w:ascii="Calibri" w:eastAsia="Calibri" w:hAnsi="Calibri" w:cs="Calibri"/>
        </w:rPr>
        <w:t xml:space="preserve"> </w:t>
      </w:r>
      <w:r w:rsidRPr="00B1465F">
        <w:rPr>
          <w:rFonts w:ascii="Calibri" w:eastAsia="Calibri" w:hAnsi="Calibri" w:cs="Calibri"/>
        </w:rPr>
        <w:t>medical</w:t>
      </w:r>
      <w:r w:rsidR="003D640C">
        <w:rPr>
          <w:rFonts w:ascii="Calibri" w:eastAsia="Calibri" w:hAnsi="Calibri" w:cs="Calibri"/>
        </w:rPr>
        <w:t xml:space="preserve"> </w:t>
      </w:r>
      <w:r w:rsidRPr="00B1465F">
        <w:rPr>
          <w:rFonts w:ascii="Calibri" w:eastAsia="Calibri" w:hAnsi="Calibri" w:cs="Calibri"/>
        </w:rPr>
        <w:t>or</w:t>
      </w:r>
      <w:r w:rsidR="003D640C">
        <w:rPr>
          <w:rFonts w:ascii="Calibri" w:eastAsia="Calibri" w:hAnsi="Calibri" w:cs="Calibri"/>
        </w:rPr>
        <w:t xml:space="preserve"> </w:t>
      </w:r>
      <w:r w:rsidRPr="00B1465F">
        <w:rPr>
          <w:rFonts w:ascii="Calibri" w:eastAsia="Calibri" w:hAnsi="Calibri" w:cs="Calibri"/>
        </w:rPr>
        <w:t>surgical</w:t>
      </w:r>
      <w:r w:rsidR="003D640C">
        <w:rPr>
          <w:rFonts w:ascii="Calibri" w:eastAsia="Calibri" w:hAnsi="Calibri" w:cs="Calibri"/>
        </w:rPr>
        <w:t xml:space="preserve"> </w:t>
      </w:r>
      <w:r w:rsidRPr="00B1465F">
        <w:rPr>
          <w:rFonts w:ascii="Calibri" w:eastAsia="Calibri" w:hAnsi="Calibri" w:cs="Calibri"/>
        </w:rPr>
        <w:t>intervention</w:t>
      </w:r>
      <w:r w:rsidR="003D640C">
        <w:rPr>
          <w:rFonts w:ascii="Calibri" w:eastAsia="Calibri" w:hAnsi="Calibri" w:cs="Calibri"/>
        </w:rPr>
        <w:t xml:space="preserve"> </w:t>
      </w:r>
      <w:r w:rsidRPr="00B1465F">
        <w:rPr>
          <w:rFonts w:ascii="Calibri" w:eastAsia="Calibri" w:hAnsi="Calibri" w:cs="Calibri"/>
        </w:rPr>
        <w:t>considered</w:t>
      </w:r>
      <w:r w:rsidR="003D640C">
        <w:rPr>
          <w:rFonts w:ascii="Calibri" w:eastAsia="Calibri" w:hAnsi="Calibri" w:cs="Calibri"/>
        </w:rPr>
        <w:t xml:space="preserve"> </w:t>
      </w:r>
      <w:r w:rsidRPr="00B1465F">
        <w:rPr>
          <w:rFonts w:ascii="Calibri" w:eastAsia="Calibri" w:hAnsi="Calibri" w:cs="Calibri"/>
        </w:rPr>
        <w:t>deferable</w:t>
      </w:r>
      <w:r w:rsidR="003D640C">
        <w:rPr>
          <w:rFonts w:ascii="Calibri" w:eastAsia="Calibri" w:hAnsi="Calibri" w:cs="Calibri"/>
        </w:rPr>
        <w:t xml:space="preserve"> </w:t>
      </w:r>
      <w:r w:rsidRPr="00B1465F">
        <w:rPr>
          <w:rFonts w:ascii="Calibri" w:eastAsia="Calibri" w:hAnsi="Calibri" w:cs="Calibri"/>
        </w:rPr>
        <w:t>or</w:t>
      </w:r>
      <w:r w:rsidR="003D640C">
        <w:rPr>
          <w:rFonts w:ascii="Calibri" w:eastAsia="Calibri" w:hAnsi="Calibri" w:cs="Calibri"/>
        </w:rPr>
        <w:t xml:space="preserve"> </w:t>
      </w:r>
      <w:r w:rsidRPr="00B1465F">
        <w:rPr>
          <w:rFonts w:ascii="Calibri" w:eastAsia="Calibri" w:hAnsi="Calibri" w:cs="Calibri"/>
        </w:rPr>
        <w:t>medically</w:t>
      </w:r>
      <w:r w:rsidR="003D640C">
        <w:rPr>
          <w:rFonts w:ascii="Calibri" w:eastAsia="Calibri" w:hAnsi="Calibri" w:cs="Calibri"/>
        </w:rPr>
        <w:t xml:space="preserve"> </w:t>
      </w:r>
      <w:r w:rsidRPr="00B1465F">
        <w:rPr>
          <w:rFonts w:ascii="Calibri" w:eastAsia="Calibri" w:hAnsi="Calibri" w:cs="Calibri"/>
        </w:rPr>
        <w:t>unnecessary.</w:t>
      </w:r>
      <w:r w:rsidRPr="00B1465F">
        <w:rPr>
          <w:rStyle w:val="FootnoteReference"/>
          <w:rFonts w:ascii="Calibri" w:eastAsia="Calibri" w:hAnsi="Calibri" w:cs="Calibri"/>
          <w:color w:val="000000" w:themeColor="text1"/>
        </w:rPr>
        <w:footnoteReference w:id="92"/>
      </w:r>
      <w:r w:rsidR="003D640C">
        <w:rPr>
          <w:rFonts w:ascii="Calibri" w:eastAsia="Calibri" w:hAnsi="Calibri" w:cs="Calibri"/>
        </w:rPr>
        <w:t xml:space="preserve"> </w:t>
      </w:r>
      <w:r w:rsidRPr="00B1465F">
        <w:rPr>
          <w:rFonts w:ascii="Calibri" w:eastAsia="Calibri" w:hAnsi="Calibri" w:cs="Calibri"/>
        </w:rPr>
        <w:t>These</w:t>
      </w:r>
      <w:r w:rsidR="003D640C">
        <w:rPr>
          <w:rFonts w:ascii="Calibri" w:eastAsia="Calibri" w:hAnsi="Calibri" w:cs="Calibri"/>
        </w:rPr>
        <w:t xml:space="preserve"> </w:t>
      </w:r>
      <w:r w:rsidRPr="00B1465F">
        <w:rPr>
          <w:rFonts w:ascii="Calibri" w:eastAsia="Calibri" w:hAnsi="Calibri" w:cs="Calibri"/>
        </w:rPr>
        <w:t>interventions</w:t>
      </w:r>
      <w:r w:rsidR="003D640C">
        <w:rPr>
          <w:rFonts w:ascii="Calibri" w:eastAsia="Calibri" w:hAnsi="Calibri" w:cs="Calibri"/>
        </w:rPr>
        <w:t xml:space="preserve"> </w:t>
      </w:r>
      <w:r w:rsidRPr="00B1465F">
        <w:rPr>
          <w:rFonts w:ascii="Calibri" w:eastAsia="Calibri" w:hAnsi="Calibri" w:cs="Calibri"/>
        </w:rPr>
        <w:t>are</w:t>
      </w:r>
      <w:r w:rsidR="003D640C">
        <w:rPr>
          <w:rFonts w:ascii="Calibri" w:eastAsia="Calibri" w:hAnsi="Calibri" w:cs="Calibri"/>
        </w:rPr>
        <w:t xml:space="preserve"> </w:t>
      </w:r>
      <w:r w:rsidRPr="00B1465F">
        <w:rPr>
          <w:rFonts w:ascii="Calibri" w:eastAsia="Calibri" w:hAnsi="Calibri" w:cs="Calibri"/>
        </w:rPr>
        <w:t>intended</w:t>
      </w:r>
      <w:r w:rsidR="003D640C">
        <w:rPr>
          <w:rFonts w:ascii="Calibri" w:eastAsia="Calibri" w:hAnsi="Calibri" w:cs="Calibri"/>
        </w:rPr>
        <w:t xml:space="preserve"> </w:t>
      </w:r>
      <w:r w:rsidRPr="00B1465F">
        <w:rPr>
          <w:rFonts w:ascii="Calibri" w:eastAsia="Calibri" w:hAnsi="Calibri" w:cs="Calibri"/>
        </w:rPr>
        <w:t>to</w:t>
      </w:r>
      <w:r w:rsidR="003D640C">
        <w:rPr>
          <w:rFonts w:ascii="Calibri" w:eastAsia="Calibri" w:hAnsi="Calibri" w:cs="Calibri"/>
        </w:rPr>
        <w:t xml:space="preserve"> </w:t>
      </w:r>
      <w:r w:rsidRPr="00B1465F">
        <w:rPr>
          <w:rFonts w:ascii="Calibri" w:eastAsia="Calibri" w:hAnsi="Calibri" w:cs="Calibri"/>
        </w:rPr>
        <w:t>‘correct’</w:t>
      </w:r>
      <w:r w:rsidR="003D640C">
        <w:rPr>
          <w:rFonts w:ascii="Calibri" w:eastAsia="Calibri" w:hAnsi="Calibri" w:cs="Calibri"/>
        </w:rPr>
        <w:t xml:space="preserve"> </w:t>
      </w:r>
      <w:r w:rsidRPr="00B1465F">
        <w:rPr>
          <w:rFonts w:ascii="Calibri" w:eastAsia="Calibri" w:hAnsi="Calibri" w:cs="Calibri"/>
        </w:rPr>
        <w:t>a</w:t>
      </w:r>
      <w:r w:rsidR="003D640C">
        <w:rPr>
          <w:rFonts w:ascii="Calibri" w:eastAsia="Calibri" w:hAnsi="Calibri" w:cs="Calibri"/>
        </w:rPr>
        <w:t xml:space="preserve"> </w:t>
      </w:r>
      <w:r w:rsidRPr="00B1465F">
        <w:rPr>
          <w:rFonts w:ascii="Calibri" w:eastAsia="Calibri" w:hAnsi="Calibri" w:cs="Calibri"/>
        </w:rPr>
        <w:t>variation</w:t>
      </w:r>
      <w:r w:rsidR="003D640C">
        <w:rPr>
          <w:rFonts w:ascii="Calibri" w:eastAsia="Calibri" w:hAnsi="Calibri" w:cs="Calibri"/>
        </w:rPr>
        <w:t xml:space="preserve"> </w:t>
      </w:r>
      <w:r w:rsidRPr="00B1465F">
        <w:rPr>
          <w:rFonts w:ascii="Calibri" w:eastAsia="Calibri" w:hAnsi="Calibri" w:cs="Calibri"/>
        </w:rPr>
        <w:t>of</w:t>
      </w:r>
      <w:r w:rsidR="003D640C">
        <w:rPr>
          <w:rFonts w:ascii="Calibri" w:eastAsia="Calibri" w:hAnsi="Calibri" w:cs="Calibri"/>
        </w:rPr>
        <w:t xml:space="preserve"> </w:t>
      </w:r>
      <w:r w:rsidRPr="00B1465F">
        <w:rPr>
          <w:rFonts w:ascii="Calibri" w:eastAsia="Calibri" w:hAnsi="Calibri" w:cs="Calibri"/>
        </w:rPr>
        <w:t>sex</w:t>
      </w:r>
      <w:r w:rsidR="003D640C">
        <w:rPr>
          <w:rFonts w:ascii="Calibri" w:eastAsia="Calibri" w:hAnsi="Calibri" w:cs="Calibri"/>
        </w:rPr>
        <w:t xml:space="preserve"> </w:t>
      </w:r>
      <w:r w:rsidRPr="00B1465F">
        <w:rPr>
          <w:rFonts w:ascii="Calibri" w:eastAsia="Calibri" w:hAnsi="Calibri" w:cs="Calibri"/>
        </w:rPr>
        <w:t>characteristics</w:t>
      </w:r>
      <w:r w:rsidR="003D640C">
        <w:rPr>
          <w:rFonts w:ascii="Calibri" w:eastAsia="Calibri" w:hAnsi="Calibri" w:cs="Calibri"/>
        </w:rPr>
        <w:t xml:space="preserve"> </w:t>
      </w:r>
      <w:r w:rsidRPr="00B1465F">
        <w:rPr>
          <w:rFonts w:ascii="Calibri" w:eastAsia="Calibri" w:hAnsi="Calibri" w:cs="Calibri"/>
        </w:rPr>
        <w:t>based</w:t>
      </w:r>
      <w:r w:rsidR="003D640C">
        <w:rPr>
          <w:rFonts w:ascii="Calibri" w:eastAsia="Calibri" w:hAnsi="Calibri" w:cs="Calibri"/>
        </w:rPr>
        <w:t xml:space="preserve"> </w:t>
      </w:r>
      <w:r w:rsidRPr="00B1465F">
        <w:rPr>
          <w:rFonts w:ascii="Calibri" w:eastAsia="Calibri" w:hAnsi="Calibri" w:cs="Calibri"/>
        </w:rPr>
        <w:t>on</w:t>
      </w:r>
      <w:r w:rsidR="003D640C">
        <w:rPr>
          <w:rFonts w:ascii="Calibri" w:eastAsia="Calibri" w:hAnsi="Calibri" w:cs="Calibri"/>
        </w:rPr>
        <w:t xml:space="preserve"> </w:t>
      </w:r>
      <w:r w:rsidRPr="00B1465F">
        <w:rPr>
          <w:rFonts w:ascii="Calibri" w:eastAsia="Calibri" w:hAnsi="Calibri" w:cs="Calibri"/>
        </w:rPr>
        <w:t>binary</w:t>
      </w:r>
      <w:r w:rsidR="003D640C">
        <w:rPr>
          <w:rFonts w:ascii="Calibri" w:eastAsia="Calibri" w:hAnsi="Calibri" w:cs="Calibri"/>
        </w:rPr>
        <w:t xml:space="preserve"> </w:t>
      </w:r>
      <w:r w:rsidRPr="00B1465F">
        <w:rPr>
          <w:rFonts w:ascii="Calibri" w:eastAsia="Calibri" w:hAnsi="Calibri" w:cs="Calibri"/>
        </w:rPr>
        <w:t>notions</w:t>
      </w:r>
      <w:r w:rsidR="003D640C">
        <w:rPr>
          <w:rFonts w:ascii="Calibri" w:eastAsia="Calibri" w:hAnsi="Calibri" w:cs="Calibri"/>
        </w:rPr>
        <w:t xml:space="preserve"> </w:t>
      </w:r>
      <w:r w:rsidRPr="00B1465F">
        <w:rPr>
          <w:rFonts w:ascii="Calibri" w:eastAsia="Calibri" w:hAnsi="Calibri" w:cs="Calibri"/>
        </w:rPr>
        <w:t>of</w:t>
      </w:r>
      <w:r w:rsidR="003D640C">
        <w:rPr>
          <w:rFonts w:ascii="Calibri" w:eastAsia="Calibri" w:hAnsi="Calibri" w:cs="Calibri"/>
        </w:rPr>
        <w:t xml:space="preserve"> </w:t>
      </w:r>
      <w:r w:rsidRPr="00B1465F">
        <w:rPr>
          <w:rFonts w:ascii="Calibri" w:eastAsia="Calibri" w:hAnsi="Calibri" w:cs="Calibri"/>
        </w:rPr>
        <w:t>sex</w:t>
      </w:r>
      <w:r w:rsidR="003D640C">
        <w:rPr>
          <w:rFonts w:ascii="Calibri" w:eastAsia="Calibri" w:hAnsi="Calibri" w:cs="Calibri"/>
        </w:rPr>
        <w:t xml:space="preserve"> </w:t>
      </w:r>
      <w:r w:rsidRPr="00B1465F">
        <w:rPr>
          <w:rFonts w:ascii="Calibri" w:eastAsia="Calibri" w:hAnsi="Calibri" w:cs="Calibri"/>
        </w:rPr>
        <w:t>and</w:t>
      </w:r>
      <w:r w:rsidR="003D640C">
        <w:rPr>
          <w:rFonts w:ascii="Calibri" w:eastAsia="Calibri" w:hAnsi="Calibri" w:cs="Calibri"/>
        </w:rPr>
        <w:t xml:space="preserve"> </w:t>
      </w:r>
      <w:r w:rsidRPr="00B1465F">
        <w:rPr>
          <w:rFonts w:ascii="Calibri" w:eastAsia="Calibri" w:hAnsi="Calibri" w:cs="Calibri"/>
        </w:rPr>
        <w:t>the</w:t>
      </w:r>
      <w:r w:rsidR="003D640C">
        <w:rPr>
          <w:rFonts w:ascii="Calibri" w:eastAsia="Calibri" w:hAnsi="Calibri" w:cs="Calibri"/>
        </w:rPr>
        <w:t xml:space="preserve"> </w:t>
      </w:r>
      <w:r w:rsidRPr="00B1465F">
        <w:rPr>
          <w:rFonts w:ascii="Calibri" w:eastAsia="Calibri" w:hAnsi="Calibri" w:cs="Calibri"/>
        </w:rPr>
        <w:t>idea</w:t>
      </w:r>
      <w:r w:rsidR="003D640C">
        <w:rPr>
          <w:rFonts w:ascii="Calibri" w:eastAsia="Calibri" w:hAnsi="Calibri" w:cs="Calibri"/>
        </w:rPr>
        <w:t xml:space="preserve"> </w:t>
      </w:r>
      <w:r w:rsidRPr="00B1465F">
        <w:rPr>
          <w:rFonts w:ascii="Calibri" w:eastAsia="Calibri" w:hAnsi="Calibri" w:cs="Calibri"/>
        </w:rPr>
        <w:t>that</w:t>
      </w:r>
      <w:r w:rsidR="003D640C">
        <w:rPr>
          <w:rFonts w:ascii="Calibri" w:eastAsia="Calibri" w:hAnsi="Calibri" w:cs="Calibri"/>
        </w:rPr>
        <w:t xml:space="preserve"> </w:t>
      </w:r>
      <w:r w:rsidRPr="00B1465F">
        <w:rPr>
          <w:rFonts w:ascii="Calibri" w:eastAsia="Calibri" w:hAnsi="Calibri" w:cs="Calibri"/>
        </w:rPr>
        <w:t>natural</w:t>
      </w:r>
      <w:r w:rsidR="003D640C">
        <w:rPr>
          <w:rFonts w:ascii="Calibri" w:eastAsia="Calibri" w:hAnsi="Calibri" w:cs="Calibri"/>
        </w:rPr>
        <w:t xml:space="preserve"> </w:t>
      </w:r>
      <w:r w:rsidRPr="00B1465F">
        <w:rPr>
          <w:rFonts w:ascii="Calibri" w:eastAsia="Calibri" w:hAnsi="Calibri" w:cs="Calibri"/>
        </w:rPr>
        <w:t>variations</w:t>
      </w:r>
      <w:r w:rsidR="003D640C">
        <w:rPr>
          <w:rFonts w:ascii="Calibri" w:eastAsia="Calibri" w:hAnsi="Calibri" w:cs="Calibri"/>
        </w:rPr>
        <w:t xml:space="preserve"> </w:t>
      </w:r>
      <w:r w:rsidRPr="00B1465F">
        <w:rPr>
          <w:rFonts w:ascii="Calibri" w:eastAsia="Calibri" w:hAnsi="Calibri" w:cs="Calibri"/>
        </w:rPr>
        <w:t>need</w:t>
      </w:r>
      <w:r w:rsidR="003D640C">
        <w:rPr>
          <w:rFonts w:ascii="Calibri" w:eastAsia="Calibri" w:hAnsi="Calibri" w:cs="Calibri"/>
        </w:rPr>
        <w:t xml:space="preserve"> </w:t>
      </w:r>
      <w:r w:rsidRPr="00B1465F">
        <w:rPr>
          <w:rFonts w:ascii="Calibri" w:eastAsia="Calibri" w:hAnsi="Calibri" w:cs="Calibri"/>
        </w:rPr>
        <w:t>‘fixing’</w:t>
      </w:r>
      <w:r w:rsidR="00192123">
        <w:rPr>
          <w:rFonts w:ascii="Calibri" w:eastAsia="Calibri" w:hAnsi="Calibri" w:cs="Calibri"/>
        </w:rPr>
        <w:t>.</w:t>
      </w:r>
      <w:r w:rsidR="00DF22BD">
        <w:rPr>
          <w:rStyle w:val="FootnoteReference"/>
          <w:rFonts w:ascii="Calibri" w:eastAsia="Calibri" w:hAnsi="Calibri" w:cs="Calibri"/>
          <w:color w:val="000000" w:themeColor="text1"/>
        </w:rPr>
        <w:footnoteReference w:id="93"/>
      </w:r>
    </w:p>
    <w:p w14:paraId="01F60260" w14:textId="16F6E04A" w:rsidR="002513D5" w:rsidRPr="00901DF2" w:rsidRDefault="00C53AD7" w:rsidP="0097274F">
      <w:pPr>
        <w:rPr>
          <w:rFonts w:ascii="Calibri" w:eastAsia="Calibri" w:hAnsi="Calibri" w:cs="Calibri"/>
        </w:rPr>
      </w:pPr>
      <w:r w:rsidRPr="00901DF2">
        <w:rPr>
          <w:rFonts w:ascii="Calibri" w:eastAsia="Calibri" w:hAnsi="Calibri" w:cs="Calibri"/>
        </w:rPr>
        <w:t>For</w:t>
      </w:r>
      <w:r w:rsidR="003D640C">
        <w:rPr>
          <w:rFonts w:ascii="Calibri" w:eastAsia="Calibri" w:hAnsi="Calibri" w:cs="Calibri"/>
        </w:rPr>
        <w:t xml:space="preserve"> </w:t>
      </w:r>
      <w:r w:rsidRPr="00901DF2">
        <w:rPr>
          <w:rFonts w:ascii="Calibri" w:eastAsia="Calibri" w:hAnsi="Calibri" w:cs="Calibri"/>
        </w:rPr>
        <w:t>most</w:t>
      </w:r>
      <w:r w:rsidR="003D640C">
        <w:rPr>
          <w:rFonts w:ascii="Calibri" w:eastAsia="Calibri" w:hAnsi="Calibri" w:cs="Calibri"/>
        </w:rPr>
        <w:t xml:space="preserve"> </w:t>
      </w:r>
      <w:r w:rsidR="00B76A1D">
        <w:rPr>
          <w:rFonts w:ascii="Calibri" w:eastAsia="Calibri" w:hAnsi="Calibri" w:cs="Calibri"/>
        </w:rPr>
        <w:t>variations</w:t>
      </w:r>
      <w:r w:rsidR="003D640C">
        <w:rPr>
          <w:rFonts w:ascii="Calibri" w:eastAsia="Calibri" w:hAnsi="Calibri" w:cs="Calibri"/>
        </w:rPr>
        <w:t xml:space="preserve"> </w:t>
      </w:r>
      <w:r w:rsidR="00B76A1D">
        <w:rPr>
          <w:rFonts w:ascii="Calibri" w:eastAsia="Calibri" w:hAnsi="Calibri" w:cs="Calibri"/>
        </w:rPr>
        <w:t>of</w:t>
      </w:r>
      <w:r w:rsidR="003D640C">
        <w:rPr>
          <w:rFonts w:ascii="Calibri" w:eastAsia="Calibri" w:hAnsi="Calibri" w:cs="Calibri"/>
        </w:rPr>
        <w:t xml:space="preserve"> </w:t>
      </w:r>
      <w:r w:rsidR="00B76A1D">
        <w:rPr>
          <w:rFonts w:ascii="Calibri" w:eastAsia="Calibri" w:hAnsi="Calibri" w:cs="Calibri"/>
        </w:rPr>
        <w:t>sex</w:t>
      </w:r>
      <w:r w:rsidR="003D640C">
        <w:rPr>
          <w:rFonts w:ascii="Calibri" w:eastAsia="Calibri" w:hAnsi="Calibri" w:cs="Calibri"/>
        </w:rPr>
        <w:t xml:space="preserve"> </w:t>
      </w:r>
      <w:r w:rsidR="00B76A1D">
        <w:rPr>
          <w:rFonts w:ascii="Calibri" w:eastAsia="Calibri" w:hAnsi="Calibri" w:cs="Calibri"/>
        </w:rPr>
        <w:t>characteristics,</w:t>
      </w:r>
      <w:r w:rsidR="003D640C">
        <w:rPr>
          <w:rFonts w:ascii="Calibri" w:eastAsia="Calibri" w:hAnsi="Calibri" w:cs="Calibri"/>
        </w:rPr>
        <w:t xml:space="preserve"> </w:t>
      </w:r>
      <w:r w:rsidR="00685D0C">
        <w:rPr>
          <w:rFonts w:ascii="Calibri" w:eastAsia="Calibri" w:hAnsi="Calibri" w:cs="Calibri"/>
        </w:rPr>
        <w:t>medical</w:t>
      </w:r>
      <w:r w:rsidR="003D640C">
        <w:rPr>
          <w:rFonts w:ascii="Calibri" w:eastAsia="Calibri" w:hAnsi="Calibri" w:cs="Calibri"/>
        </w:rPr>
        <w:t xml:space="preserve"> </w:t>
      </w:r>
      <w:r w:rsidR="00685D0C">
        <w:rPr>
          <w:rFonts w:ascii="Calibri" w:eastAsia="Calibri" w:hAnsi="Calibri" w:cs="Calibri"/>
        </w:rPr>
        <w:t>intervention</w:t>
      </w:r>
      <w:r w:rsidR="003D640C">
        <w:rPr>
          <w:rFonts w:ascii="Calibri" w:eastAsia="Calibri" w:hAnsi="Calibri" w:cs="Calibri"/>
        </w:rPr>
        <w:t xml:space="preserve"> </w:t>
      </w:r>
      <w:r w:rsidR="00685D0C">
        <w:rPr>
          <w:rFonts w:ascii="Calibri" w:eastAsia="Calibri" w:hAnsi="Calibri" w:cs="Calibri"/>
        </w:rPr>
        <w:t>to</w:t>
      </w:r>
      <w:r w:rsidR="003D640C">
        <w:rPr>
          <w:rFonts w:ascii="Calibri" w:eastAsia="Calibri" w:hAnsi="Calibri" w:cs="Calibri"/>
        </w:rPr>
        <w:t xml:space="preserve"> </w:t>
      </w:r>
      <w:r w:rsidR="00685D0C">
        <w:rPr>
          <w:rFonts w:ascii="Calibri" w:eastAsia="Calibri" w:hAnsi="Calibri" w:cs="Calibri"/>
        </w:rPr>
        <w:t>create</w:t>
      </w:r>
      <w:r w:rsidR="003D640C">
        <w:rPr>
          <w:rFonts w:ascii="Calibri" w:eastAsia="Calibri" w:hAnsi="Calibri" w:cs="Calibri"/>
        </w:rPr>
        <w:t xml:space="preserve"> </w:t>
      </w:r>
      <w:r w:rsidR="00685D0C">
        <w:rPr>
          <w:rFonts w:ascii="Calibri" w:eastAsia="Calibri" w:hAnsi="Calibri" w:cs="Calibri"/>
        </w:rPr>
        <w:t>a</w:t>
      </w:r>
      <w:r w:rsidR="003D640C">
        <w:rPr>
          <w:rFonts w:ascii="Calibri" w:eastAsia="Calibri" w:hAnsi="Calibri" w:cs="Calibri"/>
        </w:rPr>
        <w:t xml:space="preserve"> </w:t>
      </w:r>
      <w:r w:rsidR="00685D0C">
        <w:rPr>
          <w:rFonts w:ascii="Calibri" w:eastAsia="Calibri" w:hAnsi="Calibri" w:cs="Calibri"/>
        </w:rPr>
        <w:t>gender</w:t>
      </w:r>
      <w:r w:rsidR="003D640C">
        <w:rPr>
          <w:rFonts w:ascii="Calibri" w:eastAsia="Calibri" w:hAnsi="Calibri" w:cs="Calibri"/>
        </w:rPr>
        <w:t xml:space="preserve"> </w:t>
      </w:r>
      <w:r w:rsidR="00685D0C">
        <w:rPr>
          <w:rFonts w:ascii="Calibri" w:eastAsia="Calibri" w:hAnsi="Calibri" w:cs="Calibri"/>
        </w:rPr>
        <w:t>conforming</w:t>
      </w:r>
      <w:r w:rsidR="003D640C">
        <w:rPr>
          <w:rFonts w:ascii="Calibri" w:eastAsia="Calibri" w:hAnsi="Calibri" w:cs="Calibri"/>
        </w:rPr>
        <w:t xml:space="preserve"> </w:t>
      </w:r>
      <w:r w:rsidR="00685D0C">
        <w:rPr>
          <w:rFonts w:ascii="Calibri" w:eastAsia="Calibri" w:hAnsi="Calibri" w:cs="Calibri"/>
        </w:rPr>
        <w:t>appearance</w:t>
      </w:r>
      <w:r w:rsidR="003D640C">
        <w:rPr>
          <w:rFonts w:ascii="Calibri" w:eastAsia="Calibri" w:hAnsi="Calibri" w:cs="Calibri"/>
        </w:rPr>
        <w:t xml:space="preserve"> </w:t>
      </w:r>
      <w:r w:rsidR="002513D5" w:rsidRPr="00901DF2">
        <w:rPr>
          <w:rFonts w:ascii="Calibri" w:eastAsia="Calibri" w:hAnsi="Calibri" w:cs="Calibri"/>
        </w:rPr>
        <w:t>are</w:t>
      </w:r>
      <w:r w:rsidR="003D640C">
        <w:rPr>
          <w:rFonts w:ascii="Calibri" w:eastAsia="Calibri" w:hAnsi="Calibri" w:cs="Calibri"/>
        </w:rPr>
        <w:t xml:space="preserve"> </w:t>
      </w:r>
      <w:r w:rsidR="00545120">
        <w:rPr>
          <w:rFonts w:ascii="Calibri" w:eastAsia="Calibri" w:hAnsi="Calibri" w:cs="Calibri"/>
        </w:rPr>
        <w:t xml:space="preserve">not </w:t>
      </w:r>
      <w:r w:rsidR="002513D5" w:rsidRPr="00901DF2">
        <w:rPr>
          <w:rFonts w:ascii="Calibri" w:eastAsia="Calibri" w:hAnsi="Calibri" w:cs="Calibri"/>
        </w:rPr>
        <w:t>medically</w:t>
      </w:r>
      <w:r w:rsidR="003D640C">
        <w:rPr>
          <w:rFonts w:ascii="Calibri" w:eastAsia="Calibri" w:hAnsi="Calibri" w:cs="Calibri"/>
        </w:rPr>
        <w:t xml:space="preserve"> </w:t>
      </w:r>
      <w:r w:rsidR="00795B05">
        <w:rPr>
          <w:rFonts w:ascii="Calibri" w:eastAsia="Calibri" w:hAnsi="Calibri" w:cs="Calibri"/>
        </w:rPr>
        <w:t>nece</w:t>
      </w:r>
      <w:r w:rsidR="00E3033F">
        <w:rPr>
          <w:rFonts w:ascii="Calibri" w:eastAsia="Calibri" w:hAnsi="Calibri" w:cs="Calibri"/>
        </w:rPr>
        <w:t>s</w:t>
      </w:r>
      <w:r w:rsidR="00795B05">
        <w:rPr>
          <w:rFonts w:ascii="Calibri" w:eastAsia="Calibri" w:hAnsi="Calibri" w:cs="Calibri"/>
        </w:rPr>
        <w:t>sary</w:t>
      </w:r>
      <w:r w:rsidR="003D640C">
        <w:rPr>
          <w:rFonts w:ascii="Calibri" w:eastAsia="Calibri" w:hAnsi="Calibri" w:cs="Calibri"/>
        </w:rPr>
        <w:t xml:space="preserve"> </w:t>
      </w:r>
      <w:r w:rsidR="007B1BD5">
        <w:rPr>
          <w:rFonts w:ascii="Calibri" w:eastAsia="Calibri" w:hAnsi="Calibri" w:cs="Calibri"/>
        </w:rPr>
        <w:t>and</w:t>
      </w:r>
      <w:r w:rsidR="003D640C">
        <w:rPr>
          <w:rFonts w:ascii="Calibri" w:eastAsia="Calibri" w:hAnsi="Calibri" w:cs="Calibri"/>
        </w:rPr>
        <w:t xml:space="preserve"> </w:t>
      </w:r>
      <w:r w:rsidR="00545120">
        <w:rPr>
          <w:rFonts w:ascii="Calibri" w:eastAsia="Calibri" w:hAnsi="Calibri" w:cs="Calibri"/>
        </w:rPr>
        <w:t xml:space="preserve">may constitute </w:t>
      </w:r>
      <w:r w:rsidR="007B1BD5">
        <w:rPr>
          <w:rFonts w:ascii="Calibri" w:eastAsia="Calibri" w:hAnsi="Calibri" w:cs="Calibri"/>
        </w:rPr>
        <w:t>a</w:t>
      </w:r>
      <w:r w:rsidR="003D640C">
        <w:rPr>
          <w:rFonts w:ascii="Calibri" w:eastAsia="Calibri" w:hAnsi="Calibri" w:cs="Calibri"/>
        </w:rPr>
        <w:t xml:space="preserve"> </w:t>
      </w:r>
      <w:r w:rsidR="007B1BD5">
        <w:rPr>
          <w:rFonts w:ascii="Calibri" w:eastAsia="Calibri" w:hAnsi="Calibri" w:cs="Calibri"/>
        </w:rPr>
        <w:t>violation</w:t>
      </w:r>
      <w:r w:rsidR="003D640C">
        <w:rPr>
          <w:rFonts w:ascii="Calibri" w:eastAsia="Calibri" w:hAnsi="Calibri" w:cs="Calibri"/>
        </w:rPr>
        <w:t xml:space="preserve"> </w:t>
      </w:r>
      <w:r w:rsidR="007B1BD5">
        <w:rPr>
          <w:rFonts w:ascii="Calibri" w:eastAsia="Calibri" w:hAnsi="Calibri" w:cs="Calibri"/>
        </w:rPr>
        <w:t>of</w:t>
      </w:r>
      <w:r w:rsidR="003D640C">
        <w:rPr>
          <w:rFonts w:ascii="Calibri" w:eastAsia="Calibri" w:hAnsi="Calibri" w:cs="Calibri"/>
        </w:rPr>
        <w:t xml:space="preserve"> </w:t>
      </w:r>
      <w:r w:rsidR="007B1BD5">
        <w:rPr>
          <w:rFonts w:ascii="Calibri" w:eastAsia="Calibri" w:hAnsi="Calibri" w:cs="Calibri"/>
        </w:rPr>
        <w:t>the</w:t>
      </w:r>
      <w:r w:rsidR="003D640C">
        <w:rPr>
          <w:rFonts w:ascii="Calibri" w:eastAsia="Calibri" w:hAnsi="Calibri" w:cs="Calibri"/>
        </w:rPr>
        <w:t xml:space="preserve"> </w:t>
      </w:r>
      <w:r w:rsidR="007B1BD5">
        <w:rPr>
          <w:rFonts w:ascii="Calibri" w:eastAsia="Calibri" w:hAnsi="Calibri" w:cs="Calibri"/>
        </w:rPr>
        <w:t>individual’s</w:t>
      </w:r>
      <w:r w:rsidR="003D640C">
        <w:rPr>
          <w:rFonts w:ascii="Calibri" w:eastAsia="Calibri" w:hAnsi="Calibri" w:cs="Calibri"/>
        </w:rPr>
        <w:t xml:space="preserve"> </w:t>
      </w:r>
      <w:r w:rsidR="007B1BD5">
        <w:rPr>
          <w:rFonts w:ascii="Calibri" w:eastAsia="Calibri" w:hAnsi="Calibri" w:cs="Calibri"/>
        </w:rPr>
        <w:t>inherent</w:t>
      </w:r>
      <w:r w:rsidR="003D640C">
        <w:rPr>
          <w:rFonts w:ascii="Calibri" w:eastAsia="Calibri" w:hAnsi="Calibri" w:cs="Calibri"/>
        </w:rPr>
        <w:t xml:space="preserve"> </w:t>
      </w:r>
      <w:r w:rsidR="007B1BD5">
        <w:rPr>
          <w:rFonts w:ascii="Calibri" w:eastAsia="Calibri" w:hAnsi="Calibri" w:cs="Calibri"/>
        </w:rPr>
        <w:t>right</w:t>
      </w:r>
      <w:r w:rsidR="003D640C">
        <w:rPr>
          <w:rFonts w:ascii="Calibri" w:eastAsia="Calibri" w:hAnsi="Calibri" w:cs="Calibri"/>
        </w:rPr>
        <w:t xml:space="preserve"> </w:t>
      </w:r>
      <w:r w:rsidR="007B1BD5">
        <w:rPr>
          <w:rFonts w:ascii="Calibri" w:eastAsia="Calibri" w:hAnsi="Calibri" w:cs="Calibri"/>
        </w:rPr>
        <w:t>to</w:t>
      </w:r>
      <w:r w:rsidR="003D640C">
        <w:rPr>
          <w:rFonts w:ascii="Calibri" w:eastAsia="Calibri" w:hAnsi="Calibri" w:cs="Calibri"/>
        </w:rPr>
        <w:t xml:space="preserve"> </w:t>
      </w:r>
      <w:r w:rsidR="007B1BD5">
        <w:rPr>
          <w:rFonts w:ascii="Calibri" w:eastAsia="Calibri" w:hAnsi="Calibri" w:cs="Calibri"/>
        </w:rPr>
        <w:t>bodily</w:t>
      </w:r>
      <w:r w:rsidR="003D640C">
        <w:rPr>
          <w:rFonts w:ascii="Calibri" w:eastAsia="Calibri" w:hAnsi="Calibri" w:cs="Calibri"/>
        </w:rPr>
        <w:t xml:space="preserve"> </w:t>
      </w:r>
      <w:r w:rsidR="007B1BD5">
        <w:rPr>
          <w:rFonts w:ascii="Calibri" w:eastAsia="Calibri" w:hAnsi="Calibri" w:cs="Calibri"/>
        </w:rPr>
        <w:t>integrity</w:t>
      </w:r>
      <w:r w:rsidR="00596955">
        <w:rPr>
          <w:rFonts w:ascii="Calibri" w:eastAsia="Calibri" w:hAnsi="Calibri" w:cs="Calibri"/>
        </w:rPr>
        <w:t>.</w:t>
      </w:r>
      <w:r w:rsidR="002513D5" w:rsidRPr="00901DF2">
        <w:rPr>
          <w:rStyle w:val="FootnoteReference"/>
          <w:rFonts w:ascii="Calibri" w:eastAsia="Calibri" w:hAnsi="Calibri" w:cs="Calibri"/>
          <w:color w:val="000000" w:themeColor="text1"/>
        </w:rPr>
        <w:footnoteReference w:id="94"/>
      </w:r>
      <w:r w:rsidR="003D640C">
        <w:rPr>
          <w:rFonts w:ascii="Calibri" w:eastAsia="Calibri" w:hAnsi="Calibri" w:cs="Calibri"/>
        </w:rPr>
        <w:t xml:space="preserve"> </w:t>
      </w:r>
      <w:r w:rsidR="00622D29">
        <w:rPr>
          <w:rFonts w:ascii="Calibri" w:eastAsia="Calibri" w:hAnsi="Calibri" w:cs="Calibri"/>
        </w:rPr>
        <w:t>Where</w:t>
      </w:r>
      <w:r w:rsidR="003D640C">
        <w:rPr>
          <w:rFonts w:ascii="Calibri" w:eastAsia="Calibri" w:hAnsi="Calibri" w:cs="Calibri"/>
        </w:rPr>
        <w:t xml:space="preserve"> </w:t>
      </w:r>
      <w:r w:rsidR="00622D29">
        <w:rPr>
          <w:rFonts w:ascii="Calibri" w:eastAsia="Calibri" w:hAnsi="Calibri" w:cs="Calibri"/>
        </w:rPr>
        <w:t>they</w:t>
      </w:r>
      <w:r w:rsidR="003D640C">
        <w:rPr>
          <w:rFonts w:ascii="Calibri" w:eastAsia="Calibri" w:hAnsi="Calibri" w:cs="Calibri"/>
        </w:rPr>
        <w:t xml:space="preserve"> </w:t>
      </w:r>
      <w:r w:rsidR="00622D29">
        <w:rPr>
          <w:rFonts w:ascii="Calibri" w:eastAsia="Calibri" w:hAnsi="Calibri" w:cs="Calibri"/>
        </w:rPr>
        <w:t>are</w:t>
      </w:r>
      <w:r w:rsidR="003D640C">
        <w:rPr>
          <w:rFonts w:ascii="Calibri" w:eastAsia="Calibri" w:hAnsi="Calibri" w:cs="Calibri"/>
        </w:rPr>
        <w:t xml:space="preserve"> </w:t>
      </w:r>
      <w:r w:rsidR="00622D29">
        <w:rPr>
          <w:rFonts w:ascii="Calibri" w:eastAsia="Calibri" w:hAnsi="Calibri" w:cs="Calibri"/>
        </w:rPr>
        <w:t>not</w:t>
      </w:r>
      <w:r w:rsidR="003D640C">
        <w:rPr>
          <w:rFonts w:ascii="Calibri" w:eastAsia="Calibri" w:hAnsi="Calibri" w:cs="Calibri"/>
        </w:rPr>
        <w:t xml:space="preserve"> </w:t>
      </w:r>
      <w:r w:rsidR="00622D29">
        <w:rPr>
          <w:rFonts w:ascii="Calibri" w:eastAsia="Calibri" w:hAnsi="Calibri" w:cs="Calibri"/>
        </w:rPr>
        <w:t>necessary</w:t>
      </w:r>
      <w:r w:rsidR="003D640C">
        <w:rPr>
          <w:rFonts w:ascii="Calibri" w:eastAsia="Calibri" w:hAnsi="Calibri" w:cs="Calibri"/>
        </w:rPr>
        <w:t xml:space="preserve"> </w:t>
      </w:r>
      <w:r w:rsidR="00622D29">
        <w:rPr>
          <w:rFonts w:ascii="Calibri" w:eastAsia="Calibri" w:hAnsi="Calibri" w:cs="Calibri"/>
        </w:rPr>
        <w:t>for</w:t>
      </w:r>
      <w:r w:rsidR="003D640C">
        <w:rPr>
          <w:rFonts w:ascii="Calibri" w:eastAsia="Calibri" w:hAnsi="Calibri" w:cs="Calibri"/>
        </w:rPr>
        <w:t xml:space="preserve"> </w:t>
      </w:r>
      <w:r w:rsidR="00622D29">
        <w:rPr>
          <w:rFonts w:ascii="Calibri" w:eastAsia="Calibri" w:hAnsi="Calibri" w:cs="Calibri"/>
        </w:rPr>
        <w:t>the</w:t>
      </w:r>
      <w:r w:rsidR="003D640C">
        <w:rPr>
          <w:rFonts w:ascii="Calibri" w:eastAsia="Calibri" w:hAnsi="Calibri" w:cs="Calibri"/>
        </w:rPr>
        <w:t xml:space="preserve"> </w:t>
      </w:r>
      <w:r w:rsidR="00622D29">
        <w:rPr>
          <w:rFonts w:ascii="Calibri" w:eastAsia="Calibri" w:hAnsi="Calibri" w:cs="Calibri"/>
        </w:rPr>
        <w:t>immediate</w:t>
      </w:r>
      <w:r w:rsidR="003D640C">
        <w:rPr>
          <w:rFonts w:ascii="Calibri" w:eastAsia="Calibri" w:hAnsi="Calibri" w:cs="Calibri"/>
        </w:rPr>
        <w:t xml:space="preserve"> </w:t>
      </w:r>
      <w:r w:rsidR="00622D29">
        <w:rPr>
          <w:rFonts w:ascii="Calibri" w:eastAsia="Calibri" w:hAnsi="Calibri" w:cs="Calibri"/>
        </w:rPr>
        <w:t>preservation</w:t>
      </w:r>
      <w:r w:rsidR="003D640C">
        <w:rPr>
          <w:rFonts w:ascii="Calibri" w:eastAsia="Calibri" w:hAnsi="Calibri" w:cs="Calibri"/>
        </w:rPr>
        <w:t xml:space="preserve"> </w:t>
      </w:r>
      <w:r w:rsidR="00622D29">
        <w:rPr>
          <w:rFonts w:ascii="Calibri" w:eastAsia="Calibri" w:hAnsi="Calibri" w:cs="Calibri"/>
        </w:rPr>
        <w:t>of</w:t>
      </w:r>
      <w:r w:rsidR="003D640C">
        <w:rPr>
          <w:rFonts w:ascii="Calibri" w:eastAsia="Calibri" w:hAnsi="Calibri" w:cs="Calibri"/>
        </w:rPr>
        <w:t xml:space="preserve"> </w:t>
      </w:r>
      <w:r w:rsidR="00622D29">
        <w:rPr>
          <w:rFonts w:ascii="Calibri" w:eastAsia="Calibri" w:hAnsi="Calibri" w:cs="Calibri"/>
        </w:rPr>
        <w:t>li</w:t>
      </w:r>
      <w:r w:rsidR="009E2788">
        <w:rPr>
          <w:rFonts w:ascii="Calibri" w:eastAsia="Calibri" w:hAnsi="Calibri" w:cs="Calibri"/>
        </w:rPr>
        <w:t>f</w:t>
      </w:r>
      <w:r w:rsidR="00622D29">
        <w:rPr>
          <w:rFonts w:ascii="Calibri" w:eastAsia="Calibri" w:hAnsi="Calibri" w:cs="Calibri"/>
        </w:rPr>
        <w:t>e,</w:t>
      </w:r>
      <w:r w:rsidR="003D640C">
        <w:rPr>
          <w:rFonts w:ascii="Calibri" w:eastAsia="Calibri" w:hAnsi="Calibri" w:cs="Calibri"/>
        </w:rPr>
        <w:t xml:space="preserve"> </w:t>
      </w:r>
      <w:r w:rsidR="00622D29">
        <w:rPr>
          <w:rFonts w:ascii="Calibri" w:eastAsia="Calibri" w:hAnsi="Calibri" w:cs="Calibri"/>
        </w:rPr>
        <w:t>d</w:t>
      </w:r>
      <w:r w:rsidR="00901DF2" w:rsidRPr="00901DF2">
        <w:rPr>
          <w:rFonts w:ascii="Calibri" w:eastAsia="Calibri" w:hAnsi="Calibri" w:cs="Calibri"/>
        </w:rPr>
        <w:t>eferring</w:t>
      </w:r>
      <w:r w:rsidR="003D640C">
        <w:rPr>
          <w:rFonts w:ascii="Calibri" w:eastAsia="Calibri" w:hAnsi="Calibri" w:cs="Calibri"/>
        </w:rPr>
        <w:t xml:space="preserve"> </w:t>
      </w:r>
      <w:r w:rsidR="00901DF2" w:rsidRPr="00901DF2">
        <w:rPr>
          <w:rFonts w:ascii="Calibri" w:eastAsia="Calibri" w:hAnsi="Calibri" w:cs="Calibri"/>
        </w:rPr>
        <w:t>such</w:t>
      </w:r>
      <w:r w:rsidR="003D640C">
        <w:rPr>
          <w:rFonts w:ascii="Calibri" w:eastAsia="Calibri" w:hAnsi="Calibri" w:cs="Calibri"/>
        </w:rPr>
        <w:t xml:space="preserve"> </w:t>
      </w:r>
      <w:r w:rsidR="00901DF2" w:rsidRPr="00901DF2">
        <w:rPr>
          <w:rFonts w:ascii="Calibri" w:eastAsia="Calibri" w:hAnsi="Calibri" w:cs="Calibri"/>
        </w:rPr>
        <w:t>surgeries</w:t>
      </w:r>
      <w:r w:rsidR="003D640C">
        <w:rPr>
          <w:rFonts w:ascii="Calibri" w:eastAsia="Calibri" w:hAnsi="Calibri" w:cs="Calibri"/>
        </w:rPr>
        <w:t xml:space="preserve"> </w:t>
      </w:r>
      <w:r w:rsidR="00901DF2" w:rsidRPr="00901DF2">
        <w:rPr>
          <w:rFonts w:ascii="Calibri" w:eastAsia="Calibri" w:hAnsi="Calibri" w:cs="Calibri"/>
        </w:rPr>
        <w:t>is</w:t>
      </w:r>
      <w:r w:rsidR="003D640C">
        <w:rPr>
          <w:rFonts w:ascii="Calibri" w:eastAsia="Calibri" w:hAnsi="Calibri" w:cs="Calibri"/>
        </w:rPr>
        <w:t xml:space="preserve"> </w:t>
      </w:r>
      <w:r w:rsidR="00901DF2" w:rsidRPr="00901DF2">
        <w:rPr>
          <w:rFonts w:ascii="Calibri" w:eastAsia="Calibri" w:hAnsi="Calibri" w:cs="Calibri"/>
        </w:rPr>
        <w:t>necessary</w:t>
      </w:r>
      <w:r w:rsidR="003D640C">
        <w:rPr>
          <w:rFonts w:ascii="Calibri" w:eastAsia="Calibri" w:hAnsi="Calibri" w:cs="Calibri"/>
        </w:rPr>
        <w:t xml:space="preserve"> </w:t>
      </w:r>
      <w:r w:rsidR="00901DF2" w:rsidRPr="00901DF2">
        <w:rPr>
          <w:rFonts w:ascii="Calibri" w:eastAsia="Calibri" w:hAnsi="Calibri" w:cs="Calibri"/>
        </w:rPr>
        <w:t>until</w:t>
      </w:r>
      <w:r w:rsidR="003D640C">
        <w:rPr>
          <w:rFonts w:ascii="Calibri" w:eastAsia="Calibri" w:hAnsi="Calibri" w:cs="Calibri"/>
        </w:rPr>
        <w:t xml:space="preserve"> </w:t>
      </w:r>
      <w:r w:rsidR="00901DF2" w:rsidRPr="00901DF2">
        <w:rPr>
          <w:rFonts w:ascii="Calibri" w:eastAsia="Calibri" w:hAnsi="Calibri" w:cs="Calibri"/>
        </w:rPr>
        <w:t>the</w:t>
      </w:r>
      <w:r w:rsidR="003D640C">
        <w:rPr>
          <w:rFonts w:ascii="Calibri" w:eastAsia="Calibri" w:hAnsi="Calibri" w:cs="Calibri"/>
        </w:rPr>
        <w:t xml:space="preserve"> </w:t>
      </w:r>
      <w:r w:rsidR="00901DF2" w:rsidRPr="00901DF2">
        <w:rPr>
          <w:rFonts w:ascii="Calibri" w:eastAsia="Calibri" w:hAnsi="Calibri" w:cs="Calibri"/>
        </w:rPr>
        <w:t>individual</w:t>
      </w:r>
      <w:r w:rsidR="003D640C">
        <w:rPr>
          <w:rFonts w:ascii="Calibri" w:eastAsia="Calibri" w:hAnsi="Calibri" w:cs="Calibri"/>
        </w:rPr>
        <w:t xml:space="preserve"> </w:t>
      </w:r>
      <w:r w:rsidR="00901DF2" w:rsidRPr="00901DF2">
        <w:rPr>
          <w:rFonts w:ascii="Calibri" w:eastAsia="Calibri" w:hAnsi="Calibri" w:cs="Calibri"/>
        </w:rPr>
        <w:t>is</w:t>
      </w:r>
      <w:r w:rsidR="003D640C">
        <w:rPr>
          <w:rFonts w:ascii="Calibri" w:eastAsia="Calibri" w:hAnsi="Calibri" w:cs="Calibri"/>
        </w:rPr>
        <w:t xml:space="preserve"> </w:t>
      </w:r>
      <w:r w:rsidR="00901DF2" w:rsidRPr="00901DF2">
        <w:rPr>
          <w:rFonts w:ascii="Calibri" w:eastAsia="Calibri" w:hAnsi="Calibri" w:cs="Calibri"/>
        </w:rPr>
        <w:t>old</w:t>
      </w:r>
      <w:r w:rsidR="003D640C">
        <w:rPr>
          <w:rFonts w:ascii="Calibri" w:eastAsia="Calibri" w:hAnsi="Calibri" w:cs="Calibri"/>
        </w:rPr>
        <w:t xml:space="preserve"> </w:t>
      </w:r>
      <w:r w:rsidR="00901DF2" w:rsidRPr="00901DF2">
        <w:rPr>
          <w:rFonts w:ascii="Calibri" w:eastAsia="Calibri" w:hAnsi="Calibri" w:cs="Calibri"/>
        </w:rPr>
        <w:t>enough</w:t>
      </w:r>
      <w:r w:rsidR="003D640C">
        <w:rPr>
          <w:rFonts w:ascii="Calibri" w:eastAsia="Calibri" w:hAnsi="Calibri" w:cs="Calibri"/>
        </w:rPr>
        <w:t xml:space="preserve"> </w:t>
      </w:r>
      <w:r w:rsidR="00901DF2" w:rsidRPr="00901DF2">
        <w:rPr>
          <w:rFonts w:ascii="Calibri" w:eastAsia="Calibri" w:hAnsi="Calibri" w:cs="Calibri"/>
        </w:rPr>
        <w:t>to</w:t>
      </w:r>
      <w:r w:rsidR="003D640C">
        <w:rPr>
          <w:rFonts w:ascii="Calibri" w:eastAsia="Calibri" w:hAnsi="Calibri" w:cs="Calibri"/>
        </w:rPr>
        <w:t xml:space="preserve"> </w:t>
      </w:r>
      <w:r w:rsidR="00901DF2" w:rsidRPr="00901DF2">
        <w:rPr>
          <w:rFonts w:ascii="Calibri" w:eastAsia="Calibri" w:hAnsi="Calibri" w:cs="Calibri"/>
        </w:rPr>
        <w:t>understand</w:t>
      </w:r>
      <w:r w:rsidR="003D640C">
        <w:rPr>
          <w:rFonts w:ascii="Calibri" w:eastAsia="Calibri" w:hAnsi="Calibri" w:cs="Calibri"/>
        </w:rPr>
        <w:t xml:space="preserve"> </w:t>
      </w:r>
      <w:r w:rsidR="00901DF2" w:rsidRPr="00901DF2">
        <w:rPr>
          <w:rFonts w:ascii="Calibri" w:eastAsia="Calibri" w:hAnsi="Calibri" w:cs="Calibri"/>
        </w:rPr>
        <w:t>and</w:t>
      </w:r>
      <w:r w:rsidR="003D640C">
        <w:rPr>
          <w:rFonts w:ascii="Calibri" w:eastAsia="Calibri" w:hAnsi="Calibri" w:cs="Calibri"/>
        </w:rPr>
        <w:t xml:space="preserve"> </w:t>
      </w:r>
      <w:r w:rsidR="00901DF2" w:rsidRPr="00901DF2">
        <w:rPr>
          <w:rFonts w:ascii="Calibri" w:eastAsia="Calibri" w:hAnsi="Calibri" w:cs="Calibri"/>
        </w:rPr>
        <w:t>provide</w:t>
      </w:r>
      <w:r w:rsidR="003D640C">
        <w:rPr>
          <w:rFonts w:ascii="Calibri" w:eastAsia="Calibri" w:hAnsi="Calibri" w:cs="Calibri"/>
        </w:rPr>
        <w:t xml:space="preserve"> </w:t>
      </w:r>
      <w:r w:rsidR="00901DF2" w:rsidRPr="00901DF2">
        <w:rPr>
          <w:rFonts w:ascii="Calibri" w:eastAsia="Calibri" w:hAnsi="Calibri" w:cs="Calibri"/>
        </w:rPr>
        <w:t>fully</w:t>
      </w:r>
      <w:r w:rsidR="00C75AA3">
        <w:rPr>
          <w:rFonts w:ascii="Calibri" w:eastAsia="Calibri" w:hAnsi="Calibri" w:cs="Calibri"/>
        </w:rPr>
        <w:t xml:space="preserve"> </w:t>
      </w:r>
      <w:r w:rsidR="00901DF2" w:rsidRPr="00901DF2">
        <w:rPr>
          <w:rFonts w:ascii="Calibri" w:eastAsia="Calibri" w:hAnsi="Calibri" w:cs="Calibri"/>
        </w:rPr>
        <w:t>informed</w:t>
      </w:r>
      <w:r w:rsidR="003D640C">
        <w:rPr>
          <w:rFonts w:ascii="Calibri" w:eastAsia="Calibri" w:hAnsi="Calibri" w:cs="Calibri"/>
        </w:rPr>
        <w:t xml:space="preserve"> </w:t>
      </w:r>
      <w:r w:rsidR="00901DF2" w:rsidRPr="00901DF2">
        <w:rPr>
          <w:rFonts w:ascii="Calibri" w:eastAsia="Calibri" w:hAnsi="Calibri" w:cs="Calibri"/>
        </w:rPr>
        <w:t>consent</w:t>
      </w:r>
      <w:r w:rsidR="003D640C">
        <w:rPr>
          <w:rFonts w:ascii="Calibri" w:eastAsia="Calibri" w:hAnsi="Calibri" w:cs="Calibri"/>
        </w:rPr>
        <w:t xml:space="preserve"> </w:t>
      </w:r>
      <w:r w:rsidR="00901DF2" w:rsidRPr="00901DF2">
        <w:rPr>
          <w:rFonts w:ascii="Calibri" w:eastAsia="Calibri" w:hAnsi="Calibri" w:cs="Calibri"/>
        </w:rPr>
        <w:t>should</w:t>
      </w:r>
      <w:r w:rsidR="003D640C">
        <w:rPr>
          <w:rFonts w:ascii="Calibri" w:eastAsia="Calibri" w:hAnsi="Calibri" w:cs="Calibri"/>
        </w:rPr>
        <w:t xml:space="preserve"> </w:t>
      </w:r>
      <w:r w:rsidR="00901DF2" w:rsidRPr="00901DF2">
        <w:rPr>
          <w:rFonts w:ascii="Calibri" w:eastAsia="Calibri" w:hAnsi="Calibri" w:cs="Calibri"/>
        </w:rPr>
        <w:t>they</w:t>
      </w:r>
      <w:r w:rsidR="003D640C">
        <w:rPr>
          <w:rFonts w:ascii="Calibri" w:eastAsia="Calibri" w:hAnsi="Calibri" w:cs="Calibri"/>
        </w:rPr>
        <w:t xml:space="preserve"> </w:t>
      </w:r>
      <w:r w:rsidR="00901DF2" w:rsidRPr="00901DF2">
        <w:rPr>
          <w:rFonts w:ascii="Calibri" w:eastAsia="Calibri" w:hAnsi="Calibri" w:cs="Calibri"/>
        </w:rPr>
        <w:t>wish</w:t>
      </w:r>
      <w:r w:rsidR="003D640C">
        <w:rPr>
          <w:rFonts w:ascii="Calibri" w:eastAsia="Calibri" w:hAnsi="Calibri" w:cs="Calibri"/>
        </w:rPr>
        <w:t xml:space="preserve"> </w:t>
      </w:r>
      <w:r w:rsidR="00901DF2" w:rsidRPr="00901DF2">
        <w:rPr>
          <w:rFonts w:ascii="Calibri" w:eastAsia="Calibri" w:hAnsi="Calibri" w:cs="Calibri"/>
        </w:rPr>
        <w:t>to</w:t>
      </w:r>
      <w:r w:rsidR="003D640C">
        <w:rPr>
          <w:rFonts w:ascii="Calibri" w:eastAsia="Calibri" w:hAnsi="Calibri" w:cs="Calibri"/>
        </w:rPr>
        <w:t xml:space="preserve"> </w:t>
      </w:r>
      <w:r w:rsidR="00901DF2" w:rsidRPr="00901DF2">
        <w:rPr>
          <w:rFonts w:ascii="Calibri" w:eastAsia="Calibri" w:hAnsi="Calibri" w:cs="Calibri"/>
        </w:rPr>
        <w:t>do</w:t>
      </w:r>
      <w:r w:rsidR="003D640C">
        <w:rPr>
          <w:rFonts w:ascii="Calibri" w:eastAsia="Calibri" w:hAnsi="Calibri" w:cs="Calibri"/>
        </w:rPr>
        <w:t xml:space="preserve"> </w:t>
      </w:r>
      <w:r w:rsidR="00901DF2" w:rsidRPr="00901DF2">
        <w:rPr>
          <w:rFonts w:ascii="Calibri" w:eastAsia="Calibri" w:hAnsi="Calibri" w:cs="Calibri"/>
        </w:rPr>
        <w:t>so</w:t>
      </w:r>
      <w:r w:rsidR="002513D5" w:rsidRPr="00901DF2">
        <w:rPr>
          <w:rFonts w:ascii="Calibri" w:eastAsia="Calibri" w:hAnsi="Calibri" w:cs="Calibri"/>
        </w:rPr>
        <w:t>.</w:t>
      </w:r>
    </w:p>
    <w:p w14:paraId="3B3F9091" w14:textId="3240DEE0" w:rsidR="00814860" w:rsidRDefault="00901DF2" w:rsidP="0097274F">
      <w:pPr>
        <w:rPr>
          <w:rFonts w:ascii="Calibri" w:eastAsia="Calibri" w:hAnsi="Calibri" w:cs="Calibri"/>
        </w:rPr>
      </w:pPr>
      <w:r w:rsidRPr="00B1465F">
        <w:rPr>
          <w:rFonts w:ascii="Calibri" w:eastAsia="Calibri" w:hAnsi="Calibri" w:cs="Calibri"/>
        </w:rPr>
        <w:t>The</w:t>
      </w:r>
      <w:r w:rsidR="003D640C">
        <w:rPr>
          <w:rFonts w:ascii="Calibri" w:eastAsia="Calibri" w:hAnsi="Calibri" w:cs="Calibri"/>
        </w:rPr>
        <w:t xml:space="preserve"> </w:t>
      </w:r>
      <w:r w:rsidRPr="00B1465F">
        <w:rPr>
          <w:rFonts w:ascii="Calibri" w:eastAsia="Calibri" w:hAnsi="Calibri" w:cs="Calibri"/>
        </w:rPr>
        <w:t>definition</w:t>
      </w:r>
      <w:r w:rsidR="003D640C">
        <w:rPr>
          <w:rFonts w:ascii="Calibri" w:eastAsia="Calibri" w:hAnsi="Calibri" w:cs="Calibri"/>
        </w:rPr>
        <w:t xml:space="preserve"> </w:t>
      </w:r>
      <w:r w:rsidRPr="00B1465F">
        <w:rPr>
          <w:rFonts w:ascii="Calibri" w:eastAsia="Calibri" w:hAnsi="Calibri" w:cs="Calibri"/>
        </w:rPr>
        <w:t>of</w:t>
      </w:r>
      <w:r w:rsidR="003D640C">
        <w:rPr>
          <w:rFonts w:ascii="Calibri" w:eastAsia="Calibri" w:hAnsi="Calibri" w:cs="Calibri"/>
        </w:rPr>
        <w:t xml:space="preserve"> </w:t>
      </w:r>
      <w:r w:rsidRPr="00B1465F">
        <w:rPr>
          <w:rFonts w:ascii="Calibri" w:eastAsia="Calibri" w:hAnsi="Calibri" w:cs="Calibri"/>
        </w:rPr>
        <w:t>conversion</w:t>
      </w:r>
      <w:r w:rsidR="003D640C">
        <w:rPr>
          <w:rFonts w:ascii="Calibri" w:eastAsia="Calibri" w:hAnsi="Calibri" w:cs="Calibri"/>
        </w:rPr>
        <w:t xml:space="preserve"> </w:t>
      </w:r>
      <w:r w:rsidRPr="00B1465F">
        <w:rPr>
          <w:rFonts w:ascii="Calibri" w:eastAsia="Calibri" w:hAnsi="Calibri" w:cs="Calibri"/>
        </w:rPr>
        <w:t>practices</w:t>
      </w:r>
      <w:r w:rsidR="003D640C">
        <w:rPr>
          <w:rFonts w:ascii="Calibri" w:eastAsia="Calibri" w:hAnsi="Calibri" w:cs="Calibri"/>
        </w:rPr>
        <w:t xml:space="preserve"> </w:t>
      </w:r>
      <w:r w:rsidRPr="00B1465F">
        <w:rPr>
          <w:rFonts w:ascii="Calibri" w:eastAsia="Calibri" w:hAnsi="Calibri" w:cs="Calibri"/>
        </w:rPr>
        <w:t>in</w:t>
      </w:r>
      <w:r w:rsidR="003D640C">
        <w:rPr>
          <w:rFonts w:ascii="Calibri" w:eastAsia="Calibri" w:hAnsi="Calibri" w:cs="Calibri"/>
        </w:rPr>
        <w:t xml:space="preserve"> </w:t>
      </w:r>
      <w:r w:rsidRPr="00B1465F">
        <w:rPr>
          <w:rFonts w:ascii="Calibri" w:eastAsia="Calibri" w:hAnsi="Calibri" w:cs="Calibri"/>
        </w:rPr>
        <w:t>the</w:t>
      </w:r>
      <w:r w:rsidR="003D640C">
        <w:rPr>
          <w:rFonts w:ascii="Calibri" w:eastAsia="Calibri" w:hAnsi="Calibri" w:cs="Calibri"/>
        </w:rPr>
        <w:t xml:space="preserve"> </w:t>
      </w:r>
      <w:r w:rsidR="00D2596A">
        <w:t>CPPLA</w:t>
      </w:r>
      <w:r w:rsidR="00D2596A" w:rsidRPr="00B1465F" w:rsidDel="00D2596A">
        <w:rPr>
          <w:rFonts w:ascii="Calibri" w:eastAsia="Calibri" w:hAnsi="Calibri" w:cs="Calibri"/>
        </w:rPr>
        <w:t xml:space="preserve"> </w:t>
      </w:r>
      <w:r w:rsidRPr="00B1465F">
        <w:rPr>
          <w:rFonts w:ascii="Calibri" w:eastAsia="Calibri" w:hAnsi="Calibri" w:cs="Calibri"/>
        </w:rPr>
        <w:t>does</w:t>
      </w:r>
      <w:r w:rsidR="003D640C">
        <w:rPr>
          <w:rFonts w:ascii="Calibri" w:eastAsia="Calibri" w:hAnsi="Calibri" w:cs="Calibri"/>
        </w:rPr>
        <w:t xml:space="preserve"> </w:t>
      </w:r>
      <w:r w:rsidRPr="00B1465F">
        <w:rPr>
          <w:rFonts w:ascii="Calibri" w:eastAsia="Calibri" w:hAnsi="Calibri" w:cs="Calibri"/>
        </w:rPr>
        <w:t>not</w:t>
      </w:r>
      <w:r w:rsidR="003D640C">
        <w:rPr>
          <w:rFonts w:ascii="Calibri" w:eastAsia="Calibri" w:hAnsi="Calibri" w:cs="Calibri"/>
        </w:rPr>
        <w:t xml:space="preserve"> </w:t>
      </w:r>
      <w:r w:rsidR="001B163E">
        <w:rPr>
          <w:rFonts w:ascii="Calibri" w:eastAsia="Calibri" w:hAnsi="Calibri" w:cs="Calibri"/>
        </w:rPr>
        <w:t>extend</w:t>
      </w:r>
      <w:r w:rsidR="003D640C">
        <w:rPr>
          <w:rFonts w:ascii="Calibri" w:eastAsia="Calibri" w:hAnsi="Calibri" w:cs="Calibri"/>
        </w:rPr>
        <w:t xml:space="preserve"> </w:t>
      </w:r>
      <w:r w:rsidR="001B163E">
        <w:rPr>
          <w:rFonts w:ascii="Calibri" w:eastAsia="Calibri" w:hAnsi="Calibri" w:cs="Calibri"/>
        </w:rPr>
        <w:t>to</w:t>
      </w:r>
      <w:r w:rsidR="003D640C">
        <w:rPr>
          <w:rFonts w:ascii="Calibri" w:eastAsia="Calibri" w:hAnsi="Calibri" w:cs="Calibri"/>
        </w:rPr>
        <w:t xml:space="preserve"> </w:t>
      </w:r>
      <w:r w:rsidR="00B82A05">
        <w:rPr>
          <w:rFonts w:ascii="Calibri" w:eastAsia="Calibri" w:hAnsi="Calibri" w:cs="Calibri"/>
        </w:rPr>
        <w:t>ira</w:t>
      </w:r>
      <w:r w:rsidR="003D640C">
        <w:rPr>
          <w:rFonts w:ascii="Calibri" w:eastAsia="Calibri" w:hAnsi="Calibri" w:cs="Calibri"/>
        </w:rPr>
        <w:t xml:space="preserve"> </w:t>
      </w:r>
      <w:r w:rsidR="00B82A05">
        <w:rPr>
          <w:rFonts w:ascii="Calibri" w:eastAsia="Calibri" w:hAnsi="Calibri" w:cs="Calibri"/>
        </w:rPr>
        <w:t>t</w:t>
      </w:r>
      <w:r w:rsidR="00D2596A">
        <w:rPr>
          <w:rFonts w:ascii="Calibri" w:eastAsia="Calibri" w:hAnsi="Calibri" w:cs="Calibri"/>
        </w:rPr>
        <w:t>a</w:t>
      </w:r>
      <w:r w:rsidR="00B82A05">
        <w:rPr>
          <w:rFonts w:ascii="Calibri" w:eastAsia="Calibri" w:hAnsi="Calibri" w:cs="Calibri"/>
        </w:rPr>
        <w:t>ngata</w:t>
      </w:r>
      <w:r w:rsidR="003D640C">
        <w:rPr>
          <w:rFonts w:ascii="Calibri" w:eastAsia="Calibri" w:hAnsi="Calibri" w:cs="Calibri"/>
        </w:rPr>
        <w:t xml:space="preserve"> </w:t>
      </w:r>
      <w:r w:rsidR="00FB134C">
        <w:rPr>
          <w:rFonts w:ascii="Calibri" w:eastAsia="Calibri" w:hAnsi="Calibri" w:cs="Calibri"/>
        </w:rPr>
        <w:t>or</w:t>
      </w:r>
      <w:r w:rsidR="003D640C">
        <w:rPr>
          <w:rFonts w:ascii="Calibri" w:eastAsia="Calibri" w:hAnsi="Calibri" w:cs="Calibri"/>
        </w:rPr>
        <w:t xml:space="preserve"> </w:t>
      </w:r>
      <w:r w:rsidR="002B65BB">
        <w:rPr>
          <w:rFonts w:ascii="Calibri" w:eastAsia="Calibri" w:hAnsi="Calibri" w:cs="Calibri"/>
        </w:rPr>
        <w:t>interventions</w:t>
      </w:r>
      <w:r w:rsidR="003D640C">
        <w:rPr>
          <w:rFonts w:ascii="Calibri" w:eastAsia="Calibri" w:hAnsi="Calibri" w:cs="Calibri"/>
        </w:rPr>
        <w:t xml:space="preserve"> </w:t>
      </w:r>
      <w:r w:rsidR="002B65BB">
        <w:rPr>
          <w:rFonts w:ascii="Calibri" w:eastAsia="Calibri" w:hAnsi="Calibri" w:cs="Calibri"/>
        </w:rPr>
        <w:t>directed</w:t>
      </w:r>
      <w:r w:rsidR="003D640C">
        <w:rPr>
          <w:rFonts w:ascii="Calibri" w:eastAsia="Calibri" w:hAnsi="Calibri" w:cs="Calibri"/>
        </w:rPr>
        <w:t xml:space="preserve"> </w:t>
      </w:r>
      <w:r w:rsidR="002B65BB">
        <w:rPr>
          <w:rFonts w:ascii="Calibri" w:eastAsia="Calibri" w:hAnsi="Calibri" w:cs="Calibri"/>
        </w:rPr>
        <w:t>at</w:t>
      </w:r>
      <w:r w:rsidR="003D640C">
        <w:rPr>
          <w:rFonts w:ascii="Calibri" w:eastAsia="Calibri" w:hAnsi="Calibri" w:cs="Calibri"/>
        </w:rPr>
        <w:t xml:space="preserve"> </w:t>
      </w:r>
      <w:r w:rsidR="002B65BB">
        <w:rPr>
          <w:rFonts w:ascii="Calibri" w:eastAsia="Calibri" w:hAnsi="Calibri" w:cs="Calibri"/>
        </w:rPr>
        <w:t>them</w:t>
      </w:r>
      <w:r w:rsidR="003D640C">
        <w:rPr>
          <w:rFonts w:ascii="Calibri" w:eastAsia="Calibri" w:hAnsi="Calibri" w:cs="Calibri"/>
        </w:rPr>
        <w:t xml:space="preserve"> </w:t>
      </w:r>
      <w:r w:rsidR="002B65BB">
        <w:rPr>
          <w:rFonts w:ascii="Calibri" w:eastAsia="Calibri" w:hAnsi="Calibri" w:cs="Calibri"/>
        </w:rPr>
        <w:t>based</w:t>
      </w:r>
      <w:r w:rsidR="003D640C">
        <w:rPr>
          <w:rFonts w:ascii="Calibri" w:eastAsia="Calibri" w:hAnsi="Calibri" w:cs="Calibri"/>
        </w:rPr>
        <w:t xml:space="preserve"> </w:t>
      </w:r>
      <w:r w:rsidR="002B65BB">
        <w:rPr>
          <w:rFonts w:ascii="Calibri" w:eastAsia="Calibri" w:hAnsi="Calibri" w:cs="Calibri"/>
        </w:rPr>
        <w:t>on</w:t>
      </w:r>
      <w:r w:rsidR="003D640C">
        <w:rPr>
          <w:rFonts w:ascii="Calibri" w:eastAsia="Calibri" w:hAnsi="Calibri" w:cs="Calibri"/>
        </w:rPr>
        <w:t xml:space="preserve"> </w:t>
      </w:r>
      <w:r w:rsidR="002B65BB">
        <w:rPr>
          <w:rFonts w:ascii="Calibri" w:eastAsia="Calibri" w:hAnsi="Calibri" w:cs="Calibri"/>
        </w:rPr>
        <w:t>their</w:t>
      </w:r>
      <w:r w:rsidR="003D640C">
        <w:rPr>
          <w:rFonts w:ascii="Calibri" w:eastAsia="Calibri" w:hAnsi="Calibri" w:cs="Calibri"/>
        </w:rPr>
        <w:t xml:space="preserve"> </w:t>
      </w:r>
      <w:r w:rsidR="00BD6296">
        <w:rPr>
          <w:rFonts w:ascii="Calibri" w:eastAsia="Calibri" w:hAnsi="Calibri" w:cs="Calibri"/>
        </w:rPr>
        <w:t>variations</w:t>
      </w:r>
      <w:r w:rsidR="003D640C">
        <w:rPr>
          <w:rFonts w:ascii="Calibri" w:eastAsia="Calibri" w:hAnsi="Calibri" w:cs="Calibri"/>
        </w:rPr>
        <w:t xml:space="preserve"> </w:t>
      </w:r>
      <w:r w:rsidR="00BD6296">
        <w:rPr>
          <w:rFonts w:ascii="Calibri" w:eastAsia="Calibri" w:hAnsi="Calibri" w:cs="Calibri"/>
        </w:rPr>
        <w:t>of</w:t>
      </w:r>
      <w:r w:rsidR="003D640C">
        <w:rPr>
          <w:rFonts w:ascii="Calibri" w:eastAsia="Calibri" w:hAnsi="Calibri" w:cs="Calibri"/>
        </w:rPr>
        <w:t xml:space="preserve"> </w:t>
      </w:r>
      <w:r w:rsidR="00BD6296">
        <w:rPr>
          <w:rFonts w:ascii="Calibri" w:eastAsia="Calibri" w:hAnsi="Calibri" w:cs="Calibri"/>
        </w:rPr>
        <w:t>sex</w:t>
      </w:r>
      <w:r w:rsidR="003D640C">
        <w:rPr>
          <w:rFonts w:ascii="Calibri" w:eastAsia="Calibri" w:hAnsi="Calibri" w:cs="Calibri"/>
        </w:rPr>
        <w:t xml:space="preserve"> </w:t>
      </w:r>
      <w:r w:rsidR="00BD6296">
        <w:rPr>
          <w:rFonts w:ascii="Calibri" w:eastAsia="Calibri" w:hAnsi="Calibri" w:cs="Calibri"/>
        </w:rPr>
        <w:t>characteristics</w:t>
      </w:r>
      <w:r w:rsidRPr="00B1465F">
        <w:rPr>
          <w:rFonts w:ascii="Calibri" w:eastAsia="Calibri" w:hAnsi="Calibri" w:cs="Calibri"/>
        </w:rPr>
        <w:t>.</w:t>
      </w:r>
      <w:r w:rsidR="003D640C">
        <w:rPr>
          <w:rFonts w:ascii="Calibri" w:eastAsia="Calibri" w:hAnsi="Calibri" w:cs="Calibri"/>
        </w:rPr>
        <w:t xml:space="preserve"> </w:t>
      </w:r>
      <w:r w:rsidRPr="00B1465F">
        <w:rPr>
          <w:rFonts w:ascii="Calibri" w:eastAsia="Calibri" w:hAnsi="Calibri" w:cs="Calibri"/>
        </w:rPr>
        <w:t>Amending</w:t>
      </w:r>
      <w:r w:rsidR="003D640C">
        <w:rPr>
          <w:rFonts w:ascii="Calibri" w:eastAsia="Calibri" w:hAnsi="Calibri" w:cs="Calibri"/>
        </w:rPr>
        <w:t xml:space="preserve"> </w:t>
      </w:r>
      <w:r w:rsidRPr="00B1465F">
        <w:rPr>
          <w:rFonts w:ascii="Calibri" w:eastAsia="Calibri" w:hAnsi="Calibri" w:cs="Calibri"/>
        </w:rPr>
        <w:t>the</w:t>
      </w:r>
      <w:r w:rsidR="003D640C">
        <w:rPr>
          <w:rFonts w:ascii="Calibri" w:eastAsia="Calibri" w:hAnsi="Calibri" w:cs="Calibri"/>
        </w:rPr>
        <w:t xml:space="preserve"> </w:t>
      </w:r>
      <w:r w:rsidR="00D2596A">
        <w:rPr>
          <w:rFonts w:ascii="Calibri" w:eastAsia="Calibri" w:hAnsi="Calibri" w:cs="Calibri"/>
        </w:rPr>
        <w:t xml:space="preserve">CPPLA </w:t>
      </w:r>
      <w:r w:rsidRPr="00B1465F">
        <w:rPr>
          <w:rFonts w:ascii="Calibri" w:eastAsia="Calibri" w:hAnsi="Calibri" w:cs="Calibri"/>
        </w:rPr>
        <w:t>to</w:t>
      </w:r>
      <w:r w:rsidR="003D640C">
        <w:rPr>
          <w:rFonts w:ascii="Calibri" w:eastAsia="Calibri" w:hAnsi="Calibri" w:cs="Calibri"/>
        </w:rPr>
        <w:t xml:space="preserve"> </w:t>
      </w:r>
      <w:r w:rsidRPr="00B1465F">
        <w:rPr>
          <w:rFonts w:ascii="Calibri" w:eastAsia="Calibri" w:hAnsi="Calibri" w:cs="Calibri"/>
        </w:rPr>
        <w:t>include</w:t>
      </w:r>
      <w:r w:rsidR="003D640C">
        <w:rPr>
          <w:rFonts w:ascii="Calibri" w:eastAsia="Calibri" w:hAnsi="Calibri" w:cs="Calibri"/>
        </w:rPr>
        <w:t xml:space="preserve"> </w:t>
      </w:r>
      <w:r w:rsidRPr="00B1465F">
        <w:rPr>
          <w:rFonts w:ascii="Calibri" w:eastAsia="Calibri" w:hAnsi="Calibri" w:cs="Calibri"/>
        </w:rPr>
        <w:t>‘sex</w:t>
      </w:r>
      <w:r w:rsidR="003D640C">
        <w:rPr>
          <w:rFonts w:ascii="Calibri" w:eastAsia="Calibri" w:hAnsi="Calibri" w:cs="Calibri"/>
        </w:rPr>
        <w:t xml:space="preserve"> </w:t>
      </w:r>
      <w:r w:rsidRPr="00B1465F">
        <w:rPr>
          <w:rFonts w:ascii="Calibri" w:eastAsia="Calibri" w:hAnsi="Calibri" w:cs="Calibri"/>
        </w:rPr>
        <w:t>characteristics’</w:t>
      </w:r>
      <w:r w:rsidR="003D640C">
        <w:rPr>
          <w:rFonts w:ascii="Calibri" w:eastAsia="Calibri" w:hAnsi="Calibri" w:cs="Calibri"/>
        </w:rPr>
        <w:t xml:space="preserve"> </w:t>
      </w:r>
      <w:r w:rsidRPr="00B1465F">
        <w:rPr>
          <w:rFonts w:ascii="Calibri" w:eastAsia="Calibri" w:hAnsi="Calibri" w:cs="Calibri"/>
        </w:rPr>
        <w:t>could</w:t>
      </w:r>
      <w:r w:rsidR="003D640C">
        <w:rPr>
          <w:rFonts w:ascii="Calibri" w:eastAsia="Calibri" w:hAnsi="Calibri" w:cs="Calibri"/>
        </w:rPr>
        <w:t xml:space="preserve"> </w:t>
      </w:r>
      <w:r w:rsidRPr="00B1465F">
        <w:rPr>
          <w:rFonts w:ascii="Calibri" w:eastAsia="Calibri" w:hAnsi="Calibri" w:cs="Calibri"/>
        </w:rPr>
        <w:t>be</w:t>
      </w:r>
      <w:r w:rsidR="003D640C">
        <w:rPr>
          <w:rFonts w:ascii="Calibri" w:eastAsia="Calibri" w:hAnsi="Calibri" w:cs="Calibri"/>
        </w:rPr>
        <w:t xml:space="preserve"> </w:t>
      </w:r>
      <w:r w:rsidRPr="00B1465F">
        <w:rPr>
          <w:rFonts w:ascii="Calibri" w:eastAsia="Calibri" w:hAnsi="Calibri" w:cs="Calibri"/>
        </w:rPr>
        <w:t>a</w:t>
      </w:r>
      <w:r w:rsidR="003D640C">
        <w:rPr>
          <w:rFonts w:ascii="Calibri" w:eastAsia="Calibri" w:hAnsi="Calibri" w:cs="Calibri"/>
        </w:rPr>
        <w:t xml:space="preserve"> </w:t>
      </w:r>
      <w:r w:rsidRPr="00B1465F">
        <w:rPr>
          <w:rFonts w:ascii="Calibri" w:eastAsia="Calibri" w:hAnsi="Calibri" w:cs="Calibri"/>
        </w:rPr>
        <w:t>useful</w:t>
      </w:r>
      <w:r w:rsidR="003D640C">
        <w:rPr>
          <w:rFonts w:ascii="Calibri" w:eastAsia="Calibri" w:hAnsi="Calibri" w:cs="Calibri"/>
        </w:rPr>
        <w:t xml:space="preserve"> </w:t>
      </w:r>
      <w:r w:rsidRPr="00B1465F">
        <w:rPr>
          <w:rFonts w:ascii="Calibri" w:eastAsia="Calibri" w:hAnsi="Calibri" w:cs="Calibri"/>
        </w:rPr>
        <w:t>addition</w:t>
      </w:r>
      <w:r w:rsidR="003D640C">
        <w:rPr>
          <w:rFonts w:ascii="Calibri" w:eastAsia="Calibri" w:hAnsi="Calibri" w:cs="Calibri"/>
        </w:rPr>
        <w:t xml:space="preserve"> </w:t>
      </w:r>
      <w:r w:rsidRPr="00B1465F">
        <w:rPr>
          <w:rFonts w:ascii="Calibri" w:eastAsia="Calibri" w:hAnsi="Calibri" w:cs="Calibri"/>
        </w:rPr>
        <w:t>to</w:t>
      </w:r>
      <w:r w:rsidR="003D640C">
        <w:rPr>
          <w:rFonts w:ascii="Calibri" w:eastAsia="Calibri" w:hAnsi="Calibri" w:cs="Calibri"/>
        </w:rPr>
        <w:t xml:space="preserve"> </w:t>
      </w:r>
      <w:r w:rsidRPr="00B1465F">
        <w:rPr>
          <w:rFonts w:ascii="Calibri" w:eastAsia="Calibri" w:hAnsi="Calibri" w:cs="Calibri"/>
        </w:rPr>
        <w:t>the</w:t>
      </w:r>
      <w:r w:rsidR="003D640C">
        <w:rPr>
          <w:rFonts w:ascii="Calibri" w:eastAsia="Calibri" w:hAnsi="Calibri" w:cs="Calibri"/>
        </w:rPr>
        <w:t xml:space="preserve"> </w:t>
      </w:r>
      <w:r w:rsidRPr="00B1465F">
        <w:rPr>
          <w:rFonts w:ascii="Calibri" w:eastAsia="Calibri" w:hAnsi="Calibri" w:cs="Calibri"/>
        </w:rPr>
        <w:t>health</w:t>
      </w:r>
      <w:r w:rsidR="003D640C">
        <w:rPr>
          <w:rFonts w:ascii="Calibri" w:eastAsia="Calibri" w:hAnsi="Calibri" w:cs="Calibri"/>
        </w:rPr>
        <w:t xml:space="preserve"> </w:t>
      </w:r>
      <w:r w:rsidRPr="00B1465F">
        <w:rPr>
          <w:rFonts w:ascii="Calibri" w:eastAsia="Calibri" w:hAnsi="Calibri" w:cs="Calibri"/>
        </w:rPr>
        <w:t>sector</w:t>
      </w:r>
      <w:r w:rsidR="003D640C">
        <w:rPr>
          <w:rFonts w:ascii="Calibri" w:eastAsia="Calibri" w:hAnsi="Calibri" w:cs="Calibri"/>
        </w:rPr>
        <w:t xml:space="preserve"> </w:t>
      </w:r>
      <w:r w:rsidRPr="00B1465F">
        <w:rPr>
          <w:rFonts w:ascii="Calibri" w:eastAsia="Calibri" w:hAnsi="Calibri" w:cs="Calibri"/>
        </w:rPr>
        <w:t>response.</w:t>
      </w:r>
      <w:r w:rsidR="003D640C">
        <w:rPr>
          <w:rFonts w:ascii="Calibri" w:eastAsia="Calibri" w:hAnsi="Calibri" w:cs="Calibri"/>
        </w:rPr>
        <w:t xml:space="preserve"> </w:t>
      </w:r>
      <w:r w:rsidRPr="00B1465F">
        <w:rPr>
          <w:rFonts w:ascii="Calibri" w:eastAsia="Calibri" w:hAnsi="Calibri" w:cs="Calibri"/>
        </w:rPr>
        <w:t>It</w:t>
      </w:r>
      <w:r w:rsidR="003D640C">
        <w:rPr>
          <w:rFonts w:ascii="Calibri" w:eastAsia="Calibri" w:hAnsi="Calibri" w:cs="Calibri"/>
        </w:rPr>
        <w:t xml:space="preserve"> </w:t>
      </w:r>
      <w:r w:rsidRPr="00B1465F">
        <w:rPr>
          <w:rFonts w:ascii="Calibri" w:eastAsia="Calibri" w:hAnsi="Calibri" w:cs="Calibri"/>
        </w:rPr>
        <w:t>would</w:t>
      </w:r>
      <w:r w:rsidR="003D640C">
        <w:rPr>
          <w:rFonts w:ascii="Calibri" w:eastAsia="Calibri" w:hAnsi="Calibri" w:cs="Calibri"/>
        </w:rPr>
        <w:t xml:space="preserve"> </w:t>
      </w:r>
      <w:r w:rsidRPr="00B1465F">
        <w:rPr>
          <w:rFonts w:ascii="Calibri" w:eastAsia="Calibri" w:hAnsi="Calibri" w:cs="Calibri"/>
        </w:rPr>
        <w:t>not,</w:t>
      </w:r>
      <w:r w:rsidR="003D640C">
        <w:rPr>
          <w:rFonts w:ascii="Calibri" w:eastAsia="Calibri" w:hAnsi="Calibri" w:cs="Calibri"/>
        </w:rPr>
        <w:t xml:space="preserve"> </w:t>
      </w:r>
      <w:r w:rsidRPr="00B1465F">
        <w:rPr>
          <w:rFonts w:ascii="Calibri" w:eastAsia="Calibri" w:hAnsi="Calibri" w:cs="Calibri"/>
        </w:rPr>
        <w:t>however,</w:t>
      </w:r>
      <w:r w:rsidR="003D640C">
        <w:rPr>
          <w:rFonts w:ascii="Calibri" w:eastAsia="Calibri" w:hAnsi="Calibri" w:cs="Calibri"/>
        </w:rPr>
        <w:t xml:space="preserve"> </w:t>
      </w:r>
      <w:r w:rsidRPr="00B1465F">
        <w:rPr>
          <w:rFonts w:ascii="Calibri" w:eastAsia="Calibri" w:hAnsi="Calibri" w:cs="Calibri"/>
        </w:rPr>
        <w:t>be</w:t>
      </w:r>
      <w:r w:rsidR="003D640C">
        <w:rPr>
          <w:rFonts w:ascii="Calibri" w:eastAsia="Calibri" w:hAnsi="Calibri" w:cs="Calibri"/>
        </w:rPr>
        <w:t xml:space="preserve"> </w:t>
      </w:r>
      <w:r w:rsidRPr="00B1465F">
        <w:rPr>
          <w:rFonts w:ascii="Calibri" w:eastAsia="Calibri" w:hAnsi="Calibri" w:cs="Calibri"/>
        </w:rPr>
        <w:t>sufficient</w:t>
      </w:r>
      <w:r w:rsidR="003D640C">
        <w:rPr>
          <w:rFonts w:ascii="Calibri" w:eastAsia="Calibri" w:hAnsi="Calibri" w:cs="Calibri"/>
        </w:rPr>
        <w:t xml:space="preserve"> </w:t>
      </w:r>
      <w:r w:rsidRPr="00B1465F">
        <w:rPr>
          <w:rFonts w:ascii="Calibri" w:eastAsia="Calibri" w:hAnsi="Calibri" w:cs="Calibri"/>
        </w:rPr>
        <w:t>on</w:t>
      </w:r>
      <w:r w:rsidR="003D640C">
        <w:rPr>
          <w:rFonts w:ascii="Calibri" w:eastAsia="Calibri" w:hAnsi="Calibri" w:cs="Calibri"/>
        </w:rPr>
        <w:t xml:space="preserve"> </w:t>
      </w:r>
      <w:r w:rsidRPr="00B1465F">
        <w:rPr>
          <w:rFonts w:ascii="Calibri" w:eastAsia="Calibri" w:hAnsi="Calibri" w:cs="Calibri"/>
        </w:rPr>
        <w:t>its</w:t>
      </w:r>
      <w:r w:rsidR="003D640C">
        <w:rPr>
          <w:rFonts w:ascii="Calibri" w:eastAsia="Calibri" w:hAnsi="Calibri" w:cs="Calibri"/>
        </w:rPr>
        <w:t xml:space="preserve"> </w:t>
      </w:r>
      <w:r w:rsidRPr="00B1465F">
        <w:rPr>
          <w:rFonts w:ascii="Calibri" w:eastAsia="Calibri" w:hAnsi="Calibri" w:cs="Calibri"/>
        </w:rPr>
        <w:t>own</w:t>
      </w:r>
      <w:r w:rsidR="003D640C">
        <w:rPr>
          <w:rFonts w:ascii="Calibri" w:eastAsia="Calibri" w:hAnsi="Calibri" w:cs="Calibri"/>
        </w:rPr>
        <w:t xml:space="preserve"> </w:t>
      </w:r>
      <w:r w:rsidRPr="00B1465F">
        <w:rPr>
          <w:rFonts w:ascii="Calibri" w:eastAsia="Calibri" w:hAnsi="Calibri" w:cs="Calibri"/>
        </w:rPr>
        <w:t>to</w:t>
      </w:r>
      <w:r w:rsidR="003D640C">
        <w:rPr>
          <w:rFonts w:ascii="Calibri" w:eastAsia="Calibri" w:hAnsi="Calibri" w:cs="Calibri"/>
        </w:rPr>
        <w:t xml:space="preserve"> </w:t>
      </w:r>
      <w:r w:rsidRPr="00B1465F">
        <w:rPr>
          <w:rFonts w:ascii="Calibri" w:eastAsia="Calibri" w:hAnsi="Calibri" w:cs="Calibri"/>
        </w:rPr>
        <w:t>uphold</w:t>
      </w:r>
      <w:r w:rsidR="003D640C">
        <w:rPr>
          <w:rFonts w:ascii="Calibri" w:eastAsia="Calibri" w:hAnsi="Calibri" w:cs="Calibri"/>
        </w:rPr>
        <w:t xml:space="preserve"> </w:t>
      </w:r>
      <w:r w:rsidRPr="00B1465F">
        <w:rPr>
          <w:rFonts w:ascii="Calibri" w:eastAsia="Calibri" w:hAnsi="Calibri" w:cs="Calibri"/>
        </w:rPr>
        <w:t>the</w:t>
      </w:r>
      <w:r w:rsidR="003D640C">
        <w:rPr>
          <w:rFonts w:ascii="Calibri" w:eastAsia="Calibri" w:hAnsi="Calibri" w:cs="Calibri"/>
        </w:rPr>
        <w:t xml:space="preserve"> </w:t>
      </w:r>
      <w:r w:rsidRPr="00B1465F">
        <w:rPr>
          <w:rFonts w:ascii="Calibri" w:eastAsia="Calibri" w:hAnsi="Calibri" w:cs="Calibri"/>
        </w:rPr>
        <w:t>rights</w:t>
      </w:r>
      <w:r w:rsidR="003D640C">
        <w:rPr>
          <w:rFonts w:ascii="Calibri" w:eastAsia="Calibri" w:hAnsi="Calibri" w:cs="Calibri"/>
        </w:rPr>
        <w:t xml:space="preserve"> </w:t>
      </w:r>
      <w:r w:rsidRPr="00B1465F">
        <w:rPr>
          <w:rFonts w:ascii="Calibri" w:eastAsia="Calibri" w:hAnsi="Calibri" w:cs="Calibri"/>
        </w:rPr>
        <w:t>of</w:t>
      </w:r>
      <w:r w:rsidR="003D640C">
        <w:rPr>
          <w:rFonts w:ascii="Calibri" w:eastAsia="Calibri" w:hAnsi="Calibri" w:cs="Calibri"/>
        </w:rPr>
        <w:t xml:space="preserve"> </w:t>
      </w:r>
      <w:r w:rsidR="00057E64">
        <w:rPr>
          <w:rFonts w:ascii="Calibri" w:eastAsia="Calibri" w:hAnsi="Calibri" w:cs="Calibri"/>
        </w:rPr>
        <w:t>ira</w:t>
      </w:r>
      <w:r w:rsidR="003D640C">
        <w:rPr>
          <w:rFonts w:ascii="Calibri" w:eastAsia="Calibri" w:hAnsi="Calibri" w:cs="Calibri"/>
        </w:rPr>
        <w:t xml:space="preserve"> </w:t>
      </w:r>
      <w:r w:rsidR="00057E64">
        <w:rPr>
          <w:rFonts w:ascii="Calibri" w:eastAsia="Calibri" w:hAnsi="Calibri" w:cs="Calibri"/>
        </w:rPr>
        <w:t>t</w:t>
      </w:r>
      <w:r w:rsidR="00D2596A">
        <w:rPr>
          <w:rFonts w:ascii="Calibri" w:eastAsia="Calibri" w:hAnsi="Calibri" w:cs="Calibri"/>
        </w:rPr>
        <w:t>a</w:t>
      </w:r>
      <w:r w:rsidR="00057E64">
        <w:rPr>
          <w:rFonts w:ascii="Calibri" w:eastAsia="Calibri" w:hAnsi="Calibri" w:cs="Calibri"/>
        </w:rPr>
        <w:t>ngata</w:t>
      </w:r>
      <w:r w:rsidR="003D640C">
        <w:rPr>
          <w:rFonts w:ascii="Calibri" w:eastAsia="Calibri" w:hAnsi="Calibri" w:cs="Calibri"/>
        </w:rPr>
        <w:t xml:space="preserve"> </w:t>
      </w:r>
      <w:r w:rsidRPr="00B1465F">
        <w:rPr>
          <w:rFonts w:ascii="Calibri" w:eastAsia="Calibri" w:hAnsi="Calibri" w:cs="Calibri"/>
        </w:rPr>
        <w:t>to</w:t>
      </w:r>
      <w:r w:rsidR="003D640C">
        <w:rPr>
          <w:rFonts w:ascii="Calibri" w:eastAsia="Calibri" w:hAnsi="Calibri" w:cs="Calibri"/>
        </w:rPr>
        <w:t xml:space="preserve"> </w:t>
      </w:r>
      <w:r w:rsidRPr="00B1465F">
        <w:rPr>
          <w:rFonts w:ascii="Calibri" w:eastAsia="Calibri" w:hAnsi="Calibri" w:cs="Calibri"/>
        </w:rPr>
        <w:t>bodily</w:t>
      </w:r>
      <w:r w:rsidR="003D640C">
        <w:rPr>
          <w:rFonts w:ascii="Calibri" w:eastAsia="Calibri" w:hAnsi="Calibri" w:cs="Calibri"/>
        </w:rPr>
        <w:t xml:space="preserve"> </w:t>
      </w:r>
      <w:r w:rsidRPr="00B1465F">
        <w:rPr>
          <w:rFonts w:ascii="Calibri" w:eastAsia="Calibri" w:hAnsi="Calibri" w:cs="Calibri"/>
        </w:rPr>
        <w:t>autonomy</w:t>
      </w:r>
      <w:r w:rsidR="003D640C">
        <w:rPr>
          <w:rFonts w:ascii="Calibri" w:eastAsia="Calibri" w:hAnsi="Calibri" w:cs="Calibri"/>
        </w:rPr>
        <w:t xml:space="preserve"> </w:t>
      </w:r>
      <w:r w:rsidRPr="00B1465F">
        <w:rPr>
          <w:rFonts w:ascii="Calibri" w:eastAsia="Calibri" w:hAnsi="Calibri" w:cs="Calibri"/>
        </w:rPr>
        <w:t>and</w:t>
      </w:r>
      <w:r w:rsidR="003D640C">
        <w:rPr>
          <w:rFonts w:ascii="Calibri" w:eastAsia="Calibri" w:hAnsi="Calibri" w:cs="Calibri"/>
        </w:rPr>
        <w:t xml:space="preserve"> </w:t>
      </w:r>
      <w:r w:rsidRPr="00B1465F">
        <w:rPr>
          <w:rFonts w:ascii="Calibri" w:eastAsia="Calibri" w:hAnsi="Calibri" w:cs="Calibri"/>
        </w:rPr>
        <w:t>integrity.</w:t>
      </w:r>
      <w:r w:rsidR="0091120A">
        <w:rPr>
          <w:rStyle w:val="FootnoteReference"/>
          <w:rFonts w:ascii="Calibri" w:eastAsia="Calibri" w:hAnsi="Calibri" w:cs="Calibri"/>
          <w:color w:val="000000" w:themeColor="text1"/>
        </w:rPr>
        <w:footnoteReference w:id="95"/>
      </w:r>
      <w:r w:rsidR="003D640C">
        <w:rPr>
          <w:rFonts w:ascii="Calibri" w:eastAsia="Calibri" w:hAnsi="Calibri" w:cs="Calibri"/>
        </w:rPr>
        <w:t xml:space="preserve"> </w:t>
      </w:r>
      <w:r w:rsidR="0016796C">
        <w:rPr>
          <w:rFonts w:ascii="Calibri" w:eastAsia="Calibri" w:hAnsi="Calibri" w:cs="Calibri"/>
        </w:rPr>
        <w:t>Further</w:t>
      </w:r>
      <w:r w:rsidR="003D640C">
        <w:rPr>
          <w:rFonts w:ascii="Calibri" w:eastAsia="Calibri" w:hAnsi="Calibri" w:cs="Calibri"/>
        </w:rPr>
        <w:t xml:space="preserve"> </w:t>
      </w:r>
      <w:r w:rsidR="0016796C">
        <w:rPr>
          <w:rFonts w:ascii="Calibri" w:eastAsia="Calibri" w:hAnsi="Calibri" w:cs="Calibri"/>
        </w:rPr>
        <w:t>work</w:t>
      </w:r>
      <w:r w:rsidR="003D640C">
        <w:rPr>
          <w:rFonts w:ascii="Calibri" w:eastAsia="Calibri" w:hAnsi="Calibri" w:cs="Calibri"/>
        </w:rPr>
        <w:t xml:space="preserve"> </w:t>
      </w:r>
      <w:r w:rsidR="0016796C">
        <w:rPr>
          <w:rFonts w:ascii="Calibri" w:eastAsia="Calibri" w:hAnsi="Calibri" w:cs="Calibri"/>
        </w:rPr>
        <w:t>is</w:t>
      </w:r>
      <w:r w:rsidR="003D640C">
        <w:rPr>
          <w:rFonts w:ascii="Calibri" w:eastAsia="Calibri" w:hAnsi="Calibri" w:cs="Calibri"/>
        </w:rPr>
        <w:t xml:space="preserve"> </w:t>
      </w:r>
      <w:r w:rsidR="0016796C">
        <w:rPr>
          <w:rFonts w:ascii="Calibri" w:eastAsia="Calibri" w:hAnsi="Calibri" w:cs="Calibri"/>
        </w:rPr>
        <w:t>required</w:t>
      </w:r>
      <w:r w:rsidR="003D640C">
        <w:rPr>
          <w:rFonts w:ascii="Calibri" w:eastAsia="Calibri" w:hAnsi="Calibri" w:cs="Calibri"/>
        </w:rPr>
        <w:t xml:space="preserve"> </w:t>
      </w:r>
      <w:r w:rsidR="0016796C">
        <w:rPr>
          <w:rFonts w:ascii="Calibri" w:eastAsia="Calibri" w:hAnsi="Calibri" w:cs="Calibri"/>
        </w:rPr>
        <w:t>to</w:t>
      </w:r>
      <w:r w:rsidR="003D640C">
        <w:rPr>
          <w:rFonts w:ascii="Calibri" w:eastAsia="Calibri" w:hAnsi="Calibri" w:cs="Calibri"/>
        </w:rPr>
        <w:t xml:space="preserve"> </w:t>
      </w:r>
      <w:r w:rsidR="0016796C">
        <w:rPr>
          <w:rFonts w:ascii="Calibri" w:eastAsia="Calibri" w:hAnsi="Calibri" w:cs="Calibri"/>
        </w:rPr>
        <w:t>respond</w:t>
      </w:r>
      <w:r w:rsidR="003D640C">
        <w:rPr>
          <w:rFonts w:ascii="Calibri" w:eastAsia="Calibri" w:hAnsi="Calibri" w:cs="Calibri"/>
        </w:rPr>
        <w:t xml:space="preserve"> </w:t>
      </w:r>
      <w:r w:rsidR="0016796C">
        <w:rPr>
          <w:rFonts w:ascii="Calibri" w:eastAsia="Calibri" w:hAnsi="Calibri" w:cs="Calibri"/>
        </w:rPr>
        <w:t>to</w:t>
      </w:r>
      <w:r w:rsidR="003D640C">
        <w:rPr>
          <w:rFonts w:ascii="Calibri" w:eastAsia="Calibri" w:hAnsi="Calibri" w:cs="Calibri"/>
        </w:rPr>
        <w:t xml:space="preserve"> </w:t>
      </w:r>
      <w:r w:rsidR="0016796C">
        <w:rPr>
          <w:rFonts w:ascii="Calibri" w:eastAsia="Calibri" w:hAnsi="Calibri" w:cs="Calibri"/>
        </w:rPr>
        <w:t>the</w:t>
      </w:r>
      <w:r w:rsidR="003D640C">
        <w:rPr>
          <w:rFonts w:ascii="Calibri" w:eastAsia="Calibri" w:hAnsi="Calibri" w:cs="Calibri"/>
        </w:rPr>
        <w:t xml:space="preserve"> </w:t>
      </w:r>
      <w:r w:rsidR="000108A1">
        <w:rPr>
          <w:rFonts w:ascii="Calibri" w:eastAsia="Calibri" w:hAnsi="Calibri" w:cs="Calibri"/>
        </w:rPr>
        <w:t>needs</w:t>
      </w:r>
      <w:r w:rsidR="003D640C">
        <w:rPr>
          <w:rFonts w:ascii="Calibri" w:eastAsia="Calibri" w:hAnsi="Calibri" w:cs="Calibri"/>
        </w:rPr>
        <w:t xml:space="preserve"> </w:t>
      </w:r>
      <w:r w:rsidR="00905FCA">
        <w:rPr>
          <w:rFonts w:ascii="Calibri" w:eastAsia="Calibri" w:hAnsi="Calibri" w:cs="Calibri"/>
        </w:rPr>
        <w:t>of</w:t>
      </w:r>
      <w:r w:rsidR="003D640C">
        <w:rPr>
          <w:rFonts w:ascii="Calibri" w:eastAsia="Calibri" w:hAnsi="Calibri" w:cs="Calibri"/>
        </w:rPr>
        <w:t xml:space="preserve"> </w:t>
      </w:r>
      <w:r w:rsidR="00E6372A">
        <w:rPr>
          <w:rFonts w:ascii="Calibri" w:eastAsia="Calibri" w:hAnsi="Calibri" w:cs="Calibri"/>
        </w:rPr>
        <w:t>ira</w:t>
      </w:r>
      <w:r w:rsidR="003D640C">
        <w:rPr>
          <w:rFonts w:ascii="Calibri" w:eastAsia="Calibri" w:hAnsi="Calibri" w:cs="Calibri"/>
        </w:rPr>
        <w:t xml:space="preserve"> </w:t>
      </w:r>
      <w:r w:rsidR="00E6372A">
        <w:rPr>
          <w:rFonts w:ascii="Calibri" w:eastAsia="Calibri" w:hAnsi="Calibri" w:cs="Calibri"/>
        </w:rPr>
        <w:t>t</w:t>
      </w:r>
      <w:r w:rsidR="00D2596A">
        <w:rPr>
          <w:rFonts w:ascii="Calibri" w:eastAsia="Calibri" w:hAnsi="Calibri" w:cs="Calibri"/>
        </w:rPr>
        <w:t>a</w:t>
      </w:r>
      <w:r w:rsidR="00E6372A">
        <w:rPr>
          <w:rFonts w:ascii="Calibri" w:eastAsia="Calibri" w:hAnsi="Calibri" w:cs="Calibri"/>
        </w:rPr>
        <w:t>ngata</w:t>
      </w:r>
      <w:r w:rsidR="003D640C">
        <w:rPr>
          <w:rFonts w:ascii="Calibri" w:eastAsia="Calibri" w:hAnsi="Calibri" w:cs="Calibri"/>
        </w:rPr>
        <w:t xml:space="preserve"> </w:t>
      </w:r>
      <w:r w:rsidR="00CC021B">
        <w:rPr>
          <w:rFonts w:ascii="Calibri" w:eastAsia="Calibri" w:hAnsi="Calibri" w:cs="Calibri"/>
        </w:rPr>
        <w:t>as</w:t>
      </w:r>
      <w:r w:rsidR="003D640C">
        <w:rPr>
          <w:rFonts w:ascii="Calibri" w:eastAsia="Calibri" w:hAnsi="Calibri" w:cs="Calibri"/>
        </w:rPr>
        <w:t xml:space="preserve"> </w:t>
      </w:r>
      <w:r w:rsidR="00CC021B">
        <w:rPr>
          <w:rFonts w:ascii="Calibri" w:eastAsia="Calibri" w:hAnsi="Calibri" w:cs="Calibri"/>
        </w:rPr>
        <w:t>determined</w:t>
      </w:r>
      <w:r w:rsidR="003D640C">
        <w:rPr>
          <w:rFonts w:ascii="Calibri" w:eastAsia="Calibri" w:hAnsi="Calibri" w:cs="Calibri"/>
        </w:rPr>
        <w:t xml:space="preserve"> </w:t>
      </w:r>
      <w:r w:rsidR="00CC021B">
        <w:rPr>
          <w:rFonts w:ascii="Calibri" w:eastAsia="Calibri" w:hAnsi="Calibri" w:cs="Calibri"/>
        </w:rPr>
        <w:t>by</w:t>
      </w:r>
      <w:r w:rsidR="003D640C">
        <w:rPr>
          <w:rFonts w:ascii="Calibri" w:eastAsia="Calibri" w:hAnsi="Calibri" w:cs="Calibri"/>
        </w:rPr>
        <w:t xml:space="preserve"> </w:t>
      </w:r>
      <w:r w:rsidR="00CC021B">
        <w:rPr>
          <w:rFonts w:ascii="Calibri" w:eastAsia="Calibri" w:hAnsi="Calibri" w:cs="Calibri"/>
        </w:rPr>
        <w:t>them</w:t>
      </w:r>
      <w:r w:rsidR="00D41449">
        <w:rPr>
          <w:rFonts w:ascii="Calibri" w:eastAsia="Calibri" w:hAnsi="Calibri" w:cs="Calibri"/>
        </w:rPr>
        <w:t>,</w:t>
      </w:r>
      <w:r w:rsidR="003D640C">
        <w:rPr>
          <w:rFonts w:ascii="Calibri" w:eastAsia="Calibri" w:hAnsi="Calibri" w:cs="Calibri"/>
        </w:rPr>
        <w:t xml:space="preserve"> </w:t>
      </w:r>
      <w:r w:rsidR="00D41449">
        <w:rPr>
          <w:rFonts w:ascii="Calibri" w:eastAsia="Calibri" w:hAnsi="Calibri" w:cs="Calibri"/>
        </w:rPr>
        <w:t>including</w:t>
      </w:r>
      <w:r w:rsidR="003D640C">
        <w:rPr>
          <w:rFonts w:ascii="Calibri" w:eastAsia="Calibri" w:hAnsi="Calibri" w:cs="Calibri"/>
        </w:rPr>
        <w:t xml:space="preserve"> </w:t>
      </w:r>
      <w:r w:rsidR="00B54E70">
        <w:rPr>
          <w:rFonts w:ascii="Calibri" w:eastAsia="Calibri" w:hAnsi="Calibri" w:cs="Calibri"/>
        </w:rPr>
        <w:t>access</w:t>
      </w:r>
      <w:r w:rsidR="003D640C">
        <w:rPr>
          <w:rFonts w:ascii="Calibri" w:eastAsia="Calibri" w:hAnsi="Calibri" w:cs="Calibri"/>
        </w:rPr>
        <w:t xml:space="preserve"> </w:t>
      </w:r>
      <w:r w:rsidR="00B54E70">
        <w:rPr>
          <w:rFonts w:ascii="Calibri" w:eastAsia="Calibri" w:hAnsi="Calibri" w:cs="Calibri"/>
        </w:rPr>
        <w:t>to</w:t>
      </w:r>
      <w:r w:rsidR="003D640C">
        <w:rPr>
          <w:rFonts w:ascii="Calibri" w:eastAsia="Calibri" w:hAnsi="Calibri" w:cs="Calibri"/>
        </w:rPr>
        <w:t xml:space="preserve"> </w:t>
      </w:r>
      <w:r w:rsidR="00D41449">
        <w:rPr>
          <w:rFonts w:ascii="Calibri" w:eastAsia="Calibri" w:hAnsi="Calibri" w:cs="Calibri"/>
        </w:rPr>
        <w:t>psychosocial</w:t>
      </w:r>
      <w:r w:rsidR="003D640C">
        <w:rPr>
          <w:rFonts w:ascii="Calibri" w:eastAsia="Calibri" w:hAnsi="Calibri" w:cs="Calibri"/>
        </w:rPr>
        <w:t xml:space="preserve"> </w:t>
      </w:r>
      <w:r w:rsidR="00D41449">
        <w:rPr>
          <w:rFonts w:ascii="Calibri" w:eastAsia="Calibri" w:hAnsi="Calibri" w:cs="Calibri"/>
        </w:rPr>
        <w:t>support</w:t>
      </w:r>
      <w:r w:rsidR="00387E33">
        <w:rPr>
          <w:rFonts w:ascii="Calibri" w:eastAsia="Calibri" w:hAnsi="Calibri" w:cs="Calibri"/>
        </w:rPr>
        <w:t>,</w:t>
      </w:r>
      <w:r w:rsidR="003D640C">
        <w:rPr>
          <w:rFonts w:ascii="Calibri" w:eastAsia="Calibri" w:hAnsi="Calibri" w:cs="Calibri"/>
        </w:rPr>
        <w:t xml:space="preserve"> </w:t>
      </w:r>
      <w:r w:rsidR="00387E33">
        <w:rPr>
          <w:rFonts w:ascii="Calibri" w:eastAsia="Calibri" w:hAnsi="Calibri" w:cs="Calibri"/>
        </w:rPr>
        <w:t>quality</w:t>
      </w:r>
      <w:r w:rsidR="003D640C">
        <w:rPr>
          <w:rFonts w:ascii="Calibri" w:eastAsia="Calibri" w:hAnsi="Calibri" w:cs="Calibri"/>
        </w:rPr>
        <w:t xml:space="preserve"> </w:t>
      </w:r>
      <w:r w:rsidR="00387E33">
        <w:rPr>
          <w:rFonts w:ascii="Calibri" w:eastAsia="Calibri" w:hAnsi="Calibri" w:cs="Calibri"/>
        </w:rPr>
        <w:t>information</w:t>
      </w:r>
      <w:r w:rsidR="00BB69C7">
        <w:rPr>
          <w:rFonts w:ascii="Calibri" w:eastAsia="Calibri" w:hAnsi="Calibri" w:cs="Calibri"/>
        </w:rPr>
        <w:t>,</w:t>
      </w:r>
      <w:r w:rsidR="003D640C">
        <w:rPr>
          <w:rFonts w:ascii="Calibri" w:eastAsia="Calibri" w:hAnsi="Calibri" w:cs="Calibri"/>
        </w:rPr>
        <w:t xml:space="preserve"> </w:t>
      </w:r>
      <w:r w:rsidR="001C5B23">
        <w:rPr>
          <w:rFonts w:ascii="Calibri" w:eastAsia="Calibri" w:hAnsi="Calibri" w:cs="Calibri"/>
        </w:rPr>
        <w:t>and</w:t>
      </w:r>
      <w:r w:rsidR="003D640C">
        <w:rPr>
          <w:rFonts w:ascii="Calibri" w:eastAsia="Calibri" w:hAnsi="Calibri" w:cs="Calibri"/>
        </w:rPr>
        <w:t xml:space="preserve"> </w:t>
      </w:r>
      <w:r w:rsidR="007229F6">
        <w:rPr>
          <w:rFonts w:ascii="Calibri" w:eastAsia="Calibri" w:hAnsi="Calibri" w:cs="Calibri"/>
        </w:rPr>
        <w:t>healthcare</w:t>
      </w:r>
      <w:r w:rsidR="003D640C">
        <w:rPr>
          <w:rFonts w:ascii="Calibri" w:eastAsia="Calibri" w:hAnsi="Calibri" w:cs="Calibri"/>
        </w:rPr>
        <w:t xml:space="preserve"> </w:t>
      </w:r>
      <w:r w:rsidR="007229F6">
        <w:rPr>
          <w:rFonts w:ascii="Calibri" w:eastAsia="Calibri" w:hAnsi="Calibri" w:cs="Calibri"/>
        </w:rPr>
        <w:t>providers</w:t>
      </w:r>
      <w:r w:rsidR="003D640C">
        <w:rPr>
          <w:rFonts w:ascii="Calibri" w:eastAsia="Calibri" w:hAnsi="Calibri" w:cs="Calibri"/>
        </w:rPr>
        <w:t xml:space="preserve"> </w:t>
      </w:r>
      <w:r w:rsidR="001C5B23">
        <w:rPr>
          <w:rFonts w:ascii="Calibri" w:eastAsia="Calibri" w:hAnsi="Calibri" w:cs="Calibri"/>
        </w:rPr>
        <w:t>who</w:t>
      </w:r>
      <w:r w:rsidR="003D640C">
        <w:rPr>
          <w:rFonts w:ascii="Calibri" w:eastAsia="Calibri" w:hAnsi="Calibri" w:cs="Calibri"/>
        </w:rPr>
        <w:t xml:space="preserve"> </w:t>
      </w:r>
      <w:r w:rsidR="001C5B23">
        <w:rPr>
          <w:rFonts w:ascii="Calibri" w:eastAsia="Calibri" w:hAnsi="Calibri" w:cs="Calibri"/>
        </w:rPr>
        <w:t>have</w:t>
      </w:r>
      <w:r w:rsidR="003D640C">
        <w:rPr>
          <w:rFonts w:ascii="Calibri" w:eastAsia="Calibri" w:hAnsi="Calibri" w:cs="Calibri"/>
        </w:rPr>
        <w:t xml:space="preserve"> </w:t>
      </w:r>
      <w:r w:rsidR="001C5B23">
        <w:rPr>
          <w:rFonts w:ascii="Calibri" w:eastAsia="Calibri" w:hAnsi="Calibri" w:cs="Calibri"/>
        </w:rPr>
        <w:t>received</w:t>
      </w:r>
      <w:r w:rsidR="003D640C">
        <w:rPr>
          <w:rFonts w:ascii="Calibri" w:eastAsia="Calibri" w:hAnsi="Calibri" w:cs="Calibri"/>
        </w:rPr>
        <w:t xml:space="preserve"> </w:t>
      </w:r>
      <w:r w:rsidR="001C5B23">
        <w:rPr>
          <w:rFonts w:ascii="Calibri" w:eastAsia="Calibri" w:hAnsi="Calibri" w:cs="Calibri"/>
        </w:rPr>
        <w:t>education</w:t>
      </w:r>
      <w:r w:rsidR="003D640C">
        <w:rPr>
          <w:rFonts w:ascii="Calibri" w:eastAsia="Calibri" w:hAnsi="Calibri" w:cs="Calibri"/>
        </w:rPr>
        <w:t xml:space="preserve"> </w:t>
      </w:r>
      <w:r w:rsidR="001C5B23">
        <w:rPr>
          <w:rFonts w:ascii="Calibri" w:eastAsia="Calibri" w:hAnsi="Calibri" w:cs="Calibri"/>
        </w:rPr>
        <w:lastRenderedPageBreak/>
        <w:t>and</w:t>
      </w:r>
      <w:r w:rsidR="003D640C">
        <w:rPr>
          <w:rFonts w:ascii="Calibri" w:eastAsia="Calibri" w:hAnsi="Calibri" w:cs="Calibri"/>
        </w:rPr>
        <w:t xml:space="preserve"> </w:t>
      </w:r>
      <w:r w:rsidR="001C5B23">
        <w:rPr>
          <w:rFonts w:ascii="Calibri" w:eastAsia="Calibri" w:hAnsi="Calibri" w:cs="Calibri"/>
        </w:rPr>
        <w:t>training</w:t>
      </w:r>
      <w:r w:rsidR="003D640C">
        <w:rPr>
          <w:rFonts w:ascii="Calibri" w:eastAsia="Calibri" w:hAnsi="Calibri" w:cs="Calibri"/>
        </w:rPr>
        <w:t xml:space="preserve"> </w:t>
      </w:r>
      <w:r w:rsidR="00CF4146">
        <w:rPr>
          <w:rFonts w:ascii="Calibri" w:eastAsia="Calibri" w:hAnsi="Calibri" w:cs="Calibri"/>
        </w:rPr>
        <w:t>about</w:t>
      </w:r>
      <w:r w:rsidR="003D640C">
        <w:rPr>
          <w:rFonts w:ascii="Calibri" w:eastAsia="Calibri" w:hAnsi="Calibri" w:cs="Calibri"/>
        </w:rPr>
        <w:t xml:space="preserve"> </w:t>
      </w:r>
      <w:r w:rsidR="00135EE5">
        <w:rPr>
          <w:rFonts w:ascii="Calibri" w:eastAsia="Calibri" w:hAnsi="Calibri" w:cs="Calibri"/>
        </w:rPr>
        <w:t>intersex</w:t>
      </w:r>
      <w:r w:rsidR="003D640C">
        <w:rPr>
          <w:rFonts w:ascii="Calibri" w:eastAsia="Calibri" w:hAnsi="Calibri" w:cs="Calibri"/>
        </w:rPr>
        <w:t xml:space="preserve"> </w:t>
      </w:r>
      <w:r w:rsidR="00135EE5">
        <w:rPr>
          <w:rFonts w:ascii="Calibri" w:eastAsia="Calibri" w:hAnsi="Calibri" w:cs="Calibri"/>
        </w:rPr>
        <w:t>variations</w:t>
      </w:r>
      <w:r w:rsidR="00160C12">
        <w:rPr>
          <w:rFonts w:ascii="Calibri" w:eastAsia="Calibri" w:hAnsi="Calibri" w:cs="Calibri"/>
        </w:rPr>
        <w:t>.</w:t>
      </w:r>
      <w:r w:rsidR="003D640C">
        <w:rPr>
          <w:rFonts w:ascii="Calibri" w:eastAsia="Calibri" w:hAnsi="Calibri" w:cs="Calibri"/>
        </w:rPr>
        <w:t xml:space="preserve"> </w:t>
      </w:r>
      <w:r w:rsidR="00160C12">
        <w:rPr>
          <w:rFonts w:ascii="Calibri" w:eastAsia="Calibri" w:hAnsi="Calibri" w:cs="Calibri"/>
        </w:rPr>
        <w:t>These</w:t>
      </w:r>
      <w:r w:rsidR="003D640C">
        <w:rPr>
          <w:rFonts w:ascii="Calibri" w:eastAsia="Calibri" w:hAnsi="Calibri" w:cs="Calibri"/>
        </w:rPr>
        <w:t xml:space="preserve"> </w:t>
      </w:r>
      <w:r w:rsidR="00160C12">
        <w:rPr>
          <w:rFonts w:ascii="Calibri" w:eastAsia="Calibri" w:hAnsi="Calibri" w:cs="Calibri"/>
        </w:rPr>
        <w:t>things</w:t>
      </w:r>
      <w:r w:rsidR="003D640C">
        <w:rPr>
          <w:rFonts w:ascii="Calibri" w:eastAsia="Calibri" w:hAnsi="Calibri" w:cs="Calibri"/>
        </w:rPr>
        <w:t xml:space="preserve"> </w:t>
      </w:r>
      <w:r w:rsidR="00160C12">
        <w:rPr>
          <w:rFonts w:ascii="Calibri" w:eastAsia="Calibri" w:hAnsi="Calibri" w:cs="Calibri"/>
        </w:rPr>
        <w:t>can</w:t>
      </w:r>
      <w:r w:rsidR="003D640C">
        <w:rPr>
          <w:rFonts w:ascii="Calibri" w:eastAsia="Calibri" w:hAnsi="Calibri" w:cs="Calibri"/>
        </w:rPr>
        <w:t xml:space="preserve"> </w:t>
      </w:r>
      <w:r w:rsidR="00160C12">
        <w:rPr>
          <w:rFonts w:ascii="Calibri" w:eastAsia="Calibri" w:hAnsi="Calibri" w:cs="Calibri"/>
        </w:rPr>
        <w:t>commence</w:t>
      </w:r>
      <w:r w:rsidR="003D640C">
        <w:rPr>
          <w:rFonts w:ascii="Calibri" w:eastAsia="Calibri" w:hAnsi="Calibri" w:cs="Calibri"/>
        </w:rPr>
        <w:t xml:space="preserve"> </w:t>
      </w:r>
      <w:r w:rsidR="00160C12">
        <w:rPr>
          <w:rFonts w:ascii="Calibri" w:eastAsia="Calibri" w:hAnsi="Calibri" w:cs="Calibri"/>
        </w:rPr>
        <w:t>irrespective</w:t>
      </w:r>
      <w:r w:rsidR="003D640C">
        <w:rPr>
          <w:rFonts w:ascii="Calibri" w:eastAsia="Calibri" w:hAnsi="Calibri" w:cs="Calibri"/>
        </w:rPr>
        <w:t xml:space="preserve"> </w:t>
      </w:r>
      <w:r w:rsidR="00160C12">
        <w:rPr>
          <w:rFonts w:ascii="Calibri" w:eastAsia="Calibri" w:hAnsi="Calibri" w:cs="Calibri"/>
        </w:rPr>
        <w:t>of</w:t>
      </w:r>
      <w:r w:rsidR="003D640C">
        <w:rPr>
          <w:rFonts w:ascii="Calibri" w:eastAsia="Calibri" w:hAnsi="Calibri" w:cs="Calibri"/>
        </w:rPr>
        <w:t xml:space="preserve"> </w:t>
      </w:r>
      <w:r w:rsidR="00160C12">
        <w:rPr>
          <w:rFonts w:ascii="Calibri" w:eastAsia="Calibri" w:hAnsi="Calibri" w:cs="Calibri"/>
        </w:rPr>
        <w:t>an</w:t>
      </w:r>
      <w:r w:rsidR="003D640C">
        <w:rPr>
          <w:rFonts w:ascii="Calibri" w:eastAsia="Calibri" w:hAnsi="Calibri" w:cs="Calibri"/>
        </w:rPr>
        <w:t xml:space="preserve"> </w:t>
      </w:r>
      <w:r w:rsidR="00160C12">
        <w:rPr>
          <w:rFonts w:ascii="Calibri" w:eastAsia="Calibri" w:hAnsi="Calibri" w:cs="Calibri"/>
        </w:rPr>
        <w:t>amendment</w:t>
      </w:r>
      <w:r w:rsidR="003D640C">
        <w:rPr>
          <w:rFonts w:ascii="Calibri" w:eastAsia="Calibri" w:hAnsi="Calibri" w:cs="Calibri"/>
        </w:rPr>
        <w:t xml:space="preserve"> </w:t>
      </w:r>
      <w:r w:rsidR="00160C12">
        <w:rPr>
          <w:rFonts w:ascii="Calibri" w:eastAsia="Calibri" w:hAnsi="Calibri" w:cs="Calibri"/>
        </w:rPr>
        <w:t>to</w:t>
      </w:r>
      <w:r w:rsidR="003D640C">
        <w:rPr>
          <w:rFonts w:ascii="Calibri" w:eastAsia="Calibri" w:hAnsi="Calibri" w:cs="Calibri"/>
        </w:rPr>
        <w:t xml:space="preserve"> </w:t>
      </w:r>
      <w:r w:rsidR="00160C12">
        <w:rPr>
          <w:rFonts w:ascii="Calibri" w:eastAsia="Calibri" w:hAnsi="Calibri" w:cs="Calibri"/>
        </w:rPr>
        <w:t>the</w:t>
      </w:r>
      <w:r w:rsidR="003D640C">
        <w:rPr>
          <w:rFonts w:ascii="Calibri" w:eastAsia="Calibri" w:hAnsi="Calibri" w:cs="Calibri"/>
        </w:rPr>
        <w:t xml:space="preserve"> </w:t>
      </w:r>
      <w:r w:rsidR="00160C12">
        <w:rPr>
          <w:rFonts w:ascii="Calibri" w:eastAsia="Calibri" w:hAnsi="Calibri" w:cs="Calibri"/>
        </w:rPr>
        <w:t>CPPLA.</w:t>
      </w:r>
    </w:p>
    <w:p w14:paraId="07B53366" w14:textId="2E6FA3A0" w:rsidR="00323408" w:rsidRPr="004134C1" w:rsidRDefault="00026CE0" w:rsidP="0097274F">
      <w:r>
        <w:t>The</w:t>
      </w:r>
      <w:r w:rsidR="003D640C">
        <w:t xml:space="preserve"> </w:t>
      </w:r>
      <w:r>
        <w:t>present</w:t>
      </w:r>
      <w:r w:rsidR="003D640C">
        <w:t xml:space="preserve"> </w:t>
      </w:r>
      <w:r>
        <w:t>report</w:t>
      </w:r>
      <w:r w:rsidR="003D640C">
        <w:t xml:space="preserve"> </w:t>
      </w:r>
      <w:r>
        <w:t>reflects</w:t>
      </w:r>
      <w:r w:rsidR="003D640C">
        <w:t xml:space="preserve"> </w:t>
      </w:r>
      <w:r>
        <w:t>that</w:t>
      </w:r>
      <w:r w:rsidR="003D640C">
        <w:t xml:space="preserve"> </w:t>
      </w:r>
      <w:r>
        <w:t>the</w:t>
      </w:r>
      <w:r w:rsidR="003D640C">
        <w:t xml:space="preserve"> </w:t>
      </w:r>
      <w:r>
        <w:t>scope</w:t>
      </w:r>
      <w:r w:rsidR="003D640C">
        <w:t xml:space="preserve"> </w:t>
      </w:r>
      <w:r>
        <w:t>of</w:t>
      </w:r>
      <w:r w:rsidR="003D640C">
        <w:t xml:space="preserve"> </w:t>
      </w:r>
      <w:r>
        <w:t>the</w:t>
      </w:r>
      <w:r w:rsidR="003D640C">
        <w:t xml:space="preserve"> </w:t>
      </w:r>
      <w:r>
        <w:t>CPPLA</w:t>
      </w:r>
      <w:r w:rsidR="003D640C">
        <w:t xml:space="preserve"> </w:t>
      </w:r>
      <w:r w:rsidR="008C5DD9">
        <w:t>does</w:t>
      </w:r>
      <w:r w:rsidR="003D640C">
        <w:t xml:space="preserve"> </w:t>
      </w:r>
      <w:r w:rsidR="008C5DD9">
        <w:t>not</w:t>
      </w:r>
      <w:r w:rsidR="003D640C">
        <w:t xml:space="preserve"> </w:t>
      </w:r>
      <w:r w:rsidR="008C5DD9">
        <w:t>extend</w:t>
      </w:r>
      <w:r w:rsidR="003D640C">
        <w:t xml:space="preserve"> </w:t>
      </w:r>
      <w:r w:rsidR="008C5DD9">
        <w:t>to</w:t>
      </w:r>
      <w:r w:rsidR="003D640C">
        <w:t xml:space="preserve"> </w:t>
      </w:r>
      <w:r w:rsidR="008C5DD9">
        <w:t>protection</w:t>
      </w:r>
      <w:r w:rsidR="003D640C">
        <w:t xml:space="preserve"> </w:t>
      </w:r>
      <w:r w:rsidR="008C5DD9">
        <w:t>of</w:t>
      </w:r>
      <w:r w:rsidR="003D640C">
        <w:t xml:space="preserve"> </w:t>
      </w:r>
      <w:r w:rsidR="008C5DD9">
        <w:t>people</w:t>
      </w:r>
      <w:r w:rsidR="003D640C">
        <w:t xml:space="preserve"> </w:t>
      </w:r>
      <w:r w:rsidR="00F1720B">
        <w:t>with</w:t>
      </w:r>
      <w:r w:rsidR="003D640C">
        <w:t xml:space="preserve"> </w:t>
      </w:r>
      <w:r w:rsidR="00F1720B">
        <w:t>innate</w:t>
      </w:r>
      <w:r w:rsidR="003D640C">
        <w:t xml:space="preserve"> </w:t>
      </w:r>
      <w:r w:rsidR="00F1720B">
        <w:t>variations</w:t>
      </w:r>
      <w:r w:rsidR="003D640C">
        <w:t xml:space="preserve"> </w:t>
      </w:r>
      <w:r w:rsidR="00F1720B">
        <w:t>of</w:t>
      </w:r>
      <w:r w:rsidR="003D640C">
        <w:t xml:space="preserve"> </w:t>
      </w:r>
      <w:r w:rsidR="00F1720B">
        <w:t>sex</w:t>
      </w:r>
      <w:r w:rsidR="003D640C">
        <w:t xml:space="preserve"> </w:t>
      </w:r>
      <w:r w:rsidR="00F1720B">
        <w:t>characteristics</w:t>
      </w:r>
      <w:r w:rsidR="008C5DD9">
        <w:t>.</w:t>
      </w:r>
      <w:r w:rsidR="007C5BFA">
        <w:t xml:space="preserve"> </w:t>
      </w:r>
      <w:r w:rsidR="0015398D" w:rsidRPr="007B139B">
        <w:t>S</w:t>
      </w:r>
      <w:r w:rsidR="00C60078" w:rsidRPr="007B139B">
        <w:t>ee</w:t>
      </w:r>
      <w:r w:rsidR="003D640C" w:rsidRPr="004134C1">
        <w:t xml:space="preserve"> </w:t>
      </w:r>
      <w:r w:rsidR="00C60078" w:rsidRPr="007B139B">
        <w:t>recommendation</w:t>
      </w:r>
      <w:r w:rsidR="003D640C" w:rsidRPr="007B139B">
        <w:t xml:space="preserve"> </w:t>
      </w:r>
      <w:r w:rsidR="0015398D" w:rsidRPr="007B139B">
        <w:t>1</w:t>
      </w:r>
      <w:r w:rsidR="003D640C" w:rsidRPr="007B139B">
        <w:t xml:space="preserve"> </w:t>
      </w:r>
      <w:r w:rsidR="00FB2ABF" w:rsidRPr="007B139B">
        <w:t>in</w:t>
      </w:r>
      <w:r w:rsidR="003D640C" w:rsidRPr="007B139B">
        <w:t xml:space="preserve"> </w:t>
      </w:r>
      <w:r w:rsidR="00FB2ABF" w:rsidRPr="007B139B">
        <w:t>chapter</w:t>
      </w:r>
      <w:r w:rsidR="003D640C" w:rsidRPr="007B139B">
        <w:t xml:space="preserve"> </w:t>
      </w:r>
      <w:r w:rsidR="006F7FB9">
        <w:t>9</w:t>
      </w:r>
      <w:r w:rsidR="00C60078" w:rsidRPr="004134C1">
        <w:t>.</w:t>
      </w:r>
      <w:r w:rsidR="003D640C" w:rsidRPr="004134C1">
        <w:t xml:space="preserve"> </w:t>
      </w:r>
    </w:p>
    <w:p w14:paraId="4FDE93FB" w14:textId="3A269ABF" w:rsidR="00D05424" w:rsidRPr="00BB6220" w:rsidRDefault="00D05424" w:rsidP="0097274F">
      <w:pPr>
        <w:pStyle w:val="Heading2"/>
        <w:rPr>
          <w:rFonts w:ascii="Calibri" w:eastAsia="Calibri" w:hAnsi="Calibri" w:cs="Calibri"/>
          <w:color w:val="000000" w:themeColor="text1"/>
        </w:rPr>
      </w:pPr>
      <w:bookmarkStart w:id="156" w:name="_Toc138325172"/>
      <w:bookmarkStart w:id="157" w:name="_Toc138343809"/>
      <w:bookmarkStart w:id="158" w:name="_Toc167780596"/>
      <w:bookmarkStart w:id="159" w:name="_Toc1880747038"/>
      <w:bookmarkStart w:id="160" w:name="_Toc174628655"/>
      <w:r w:rsidRPr="00BB6220">
        <w:t>Mental</w:t>
      </w:r>
      <w:r w:rsidR="003D640C">
        <w:t xml:space="preserve"> </w:t>
      </w:r>
      <w:r w:rsidRPr="00BB6220">
        <w:t>healthcare</w:t>
      </w:r>
      <w:r w:rsidR="003D640C">
        <w:t xml:space="preserve"> </w:t>
      </w:r>
      <w:r w:rsidR="004A5E90">
        <w:t>services</w:t>
      </w:r>
      <w:r w:rsidR="003D640C">
        <w:t xml:space="preserve"> </w:t>
      </w:r>
      <w:r w:rsidR="004A5E90">
        <w:t>and</w:t>
      </w:r>
      <w:r w:rsidR="003D640C">
        <w:t xml:space="preserve"> </w:t>
      </w:r>
      <w:r w:rsidRPr="00BB6220">
        <w:t>settings</w:t>
      </w:r>
      <w:bookmarkEnd w:id="156"/>
      <w:bookmarkEnd w:id="157"/>
      <w:bookmarkEnd w:id="158"/>
      <w:bookmarkEnd w:id="159"/>
      <w:bookmarkEnd w:id="160"/>
    </w:p>
    <w:p w14:paraId="28DFE179" w14:textId="21C1A22C" w:rsidR="00D05424" w:rsidRPr="00BB6220" w:rsidRDefault="00802E41" w:rsidP="0097274F">
      <w:r>
        <w:t>Therapeutic</w:t>
      </w:r>
      <w:r w:rsidR="003D640C">
        <w:t xml:space="preserve"> </w:t>
      </w:r>
      <w:r>
        <w:t>health</w:t>
      </w:r>
      <w:r w:rsidR="003D640C">
        <w:t xml:space="preserve"> </w:t>
      </w:r>
      <w:r>
        <w:t>services</w:t>
      </w:r>
      <w:r w:rsidR="003D640C">
        <w:t xml:space="preserve"> </w:t>
      </w:r>
      <w:r>
        <w:t>(counselling</w:t>
      </w:r>
      <w:r w:rsidR="003D640C">
        <w:t xml:space="preserve"> </w:t>
      </w:r>
      <w:r>
        <w:t>and</w:t>
      </w:r>
      <w:r w:rsidR="003D640C">
        <w:t xml:space="preserve"> </w:t>
      </w:r>
      <w:r w:rsidR="00F619BA">
        <w:t xml:space="preserve">psychological </w:t>
      </w:r>
      <w:r>
        <w:t>therapy</w:t>
      </w:r>
      <w:r w:rsidR="00D2596A">
        <w:t>,</w:t>
      </w:r>
      <w:r w:rsidR="003D640C">
        <w:t xml:space="preserve"> </w:t>
      </w:r>
      <w:r>
        <w:t>including</w:t>
      </w:r>
      <w:r w:rsidR="003D640C">
        <w:t xml:space="preserve"> </w:t>
      </w:r>
      <w:r>
        <w:t>group,</w:t>
      </w:r>
      <w:r w:rsidR="003D640C">
        <w:t xml:space="preserve"> </w:t>
      </w:r>
      <w:r>
        <w:t>online</w:t>
      </w:r>
      <w:r w:rsidR="003D640C">
        <w:t xml:space="preserve"> </w:t>
      </w:r>
      <w:r>
        <w:t>counselling</w:t>
      </w:r>
      <w:r w:rsidR="00D2596A">
        <w:t>,</w:t>
      </w:r>
      <w:r w:rsidR="003D640C">
        <w:t xml:space="preserve"> </w:t>
      </w:r>
      <w:r>
        <w:t>and</w:t>
      </w:r>
      <w:r w:rsidR="003D640C">
        <w:t xml:space="preserve"> </w:t>
      </w:r>
      <w:r>
        <w:t>behavioural</w:t>
      </w:r>
      <w:r w:rsidR="003D640C">
        <w:t xml:space="preserve"> </w:t>
      </w:r>
      <w:r>
        <w:t>and</w:t>
      </w:r>
      <w:r w:rsidR="003D640C">
        <w:t xml:space="preserve"> </w:t>
      </w:r>
      <w:r>
        <w:t>psychoanalytic</w:t>
      </w:r>
      <w:r w:rsidR="003D640C">
        <w:t xml:space="preserve"> </w:t>
      </w:r>
      <w:r>
        <w:t>practices)</w:t>
      </w:r>
      <w:r w:rsidR="00343610">
        <w:t>,</w:t>
      </w:r>
      <w:r w:rsidR="003D640C">
        <w:t xml:space="preserve"> </w:t>
      </w:r>
      <w:r>
        <w:t>and</w:t>
      </w:r>
      <w:r w:rsidR="003D640C">
        <w:t xml:space="preserve"> </w:t>
      </w:r>
      <w:r>
        <w:t>particularly</w:t>
      </w:r>
      <w:r w:rsidR="003D640C">
        <w:t xml:space="preserve"> </w:t>
      </w:r>
      <w:r>
        <w:t>those</w:t>
      </w:r>
      <w:r w:rsidR="003D640C">
        <w:t xml:space="preserve"> </w:t>
      </w:r>
      <w:r>
        <w:t>delivered</w:t>
      </w:r>
      <w:r w:rsidR="003D640C">
        <w:t xml:space="preserve"> </w:t>
      </w:r>
      <w:r>
        <w:t>by</w:t>
      </w:r>
      <w:r w:rsidR="003D640C">
        <w:t xml:space="preserve"> </w:t>
      </w:r>
      <w:r>
        <w:t>unregistered</w:t>
      </w:r>
      <w:r w:rsidR="003D640C">
        <w:t xml:space="preserve"> </w:t>
      </w:r>
      <w:r>
        <w:t>practitioners</w:t>
      </w:r>
      <w:r w:rsidR="003D640C">
        <w:t xml:space="preserve"> </w:t>
      </w:r>
      <w:r w:rsidR="00CF5923">
        <w:t>are</w:t>
      </w:r>
      <w:r w:rsidR="003D640C">
        <w:t xml:space="preserve"> </w:t>
      </w:r>
      <w:r w:rsidR="00CF5923">
        <w:t>common</w:t>
      </w:r>
      <w:r w:rsidR="003D640C">
        <w:t xml:space="preserve"> </w:t>
      </w:r>
      <w:r w:rsidR="00D05424" w:rsidRPr="00BB6220">
        <w:t>setting</w:t>
      </w:r>
      <w:r>
        <w:t>s</w:t>
      </w:r>
      <w:r w:rsidR="003D640C">
        <w:t xml:space="preserve"> </w:t>
      </w:r>
      <w:r w:rsidR="00D05424" w:rsidRPr="00BB6220">
        <w:t>for</w:t>
      </w:r>
      <w:r w:rsidR="003D640C">
        <w:t xml:space="preserve"> </w:t>
      </w:r>
      <w:r w:rsidR="00D05424" w:rsidRPr="00BB6220">
        <w:t>conversion</w:t>
      </w:r>
      <w:r w:rsidR="003D640C">
        <w:t xml:space="preserve"> </w:t>
      </w:r>
      <w:r w:rsidR="00D05424" w:rsidRPr="00BB6220">
        <w:t>practices</w:t>
      </w:r>
      <w:r w:rsidR="003D640C">
        <w:t xml:space="preserve"> </w:t>
      </w:r>
      <w:r w:rsidR="003147AB" w:rsidRPr="00BB6220">
        <w:t>both</w:t>
      </w:r>
      <w:r w:rsidR="003D640C">
        <w:t xml:space="preserve"> </w:t>
      </w:r>
      <w:r w:rsidR="003147AB" w:rsidRPr="00BB6220">
        <w:t>internationally</w:t>
      </w:r>
      <w:r w:rsidR="003D640C">
        <w:t xml:space="preserve"> </w:t>
      </w:r>
      <w:r w:rsidR="003147AB" w:rsidRPr="00BB6220">
        <w:t>and</w:t>
      </w:r>
      <w:r w:rsidR="003D640C">
        <w:t xml:space="preserve"> </w:t>
      </w:r>
      <w:r w:rsidR="003147AB" w:rsidRPr="00BB6220">
        <w:t>in</w:t>
      </w:r>
      <w:r w:rsidR="003D640C">
        <w:t xml:space="preserve"> </w:t>
      </w:r>
      <w:r w:rsidR="003147AB" w:rsidRPr="00BB6220">
        <w:t>Aotearoa</w:t>
      </w:r>
      <w:r w:rsidR="00D05424" w:rsidRPr="00BB6220">
        <w:t>.</w:t>
      </w:r>
      <w:r w:rsidR="00D05424" w:rsidRPr="00BB6220">
        <w:rPr>
          <w:rStyle w:val="FootnoteReference"/>
          <w:rFonts w:ascii="Calibri" w:eastAsia="Calibri" w:hAnsi="Calibri" w:cs="Calibri"/>
        </w:rPr>
        <w:footnoteReference w:id="96"/>
      </w:r>
    </w:p>
    <w:p w14:paraId="0C1CEE42" w14:textId="680A27AB" w:rsidR="00D05424" w:rsidRPr="00BB6220" w:rsidRDefault="00D05424" w:rsidP="0097274F">
      <w:r w:rsidRPr="00BB6220">
        <w:t>Conversion</w:t>
      </w:r>
      <w:r w:rsidR="003D640C">
        <w:t xml:space="preserve"> </w:t>
      </w:r>
      <w:r w:rsidRPr="00BB6220">
        <w:t>practices</w:t>
      </w:r>
      <w:r w:rsidR="003D640C">
        <w:t xml:space="preserve"> </w:t>
      </w:r>
      <w:r w:rsidRPr="00BB6220">
        <w:t>in</w:t>
      </w:r>
      <w:r w:rsidR="003D640C">
        <w:t xml:space="preserve"> </w:t>
      </w:r>
      <w:r w:rsidRPr="00BB6220">
        <w:t>this</w:t>
      </w:r>
      <w:r w:rsidR="003D640C">
        <w:t xml:space="preserve"> </w:t>
      </w:r>
      <w:r w:rsidRPr="00BB6220">
        <w:t>setting</w:t>
      </w:r>
      <w:r w:rsidR="003D640C">
        <w:t xml:space="preserve"> </w:t>
      </w:r>
      <w:r w:rsidRPr="00BB6220">
        <w:t>range</w:t>
      </w:r>
      <w:r w:rsidR="003D640C">
        <w:t xml:space="preserve"> </w:t>
      </w:r>
      <w:r w:rsidRPr="00BB6220">
        <w:t>from</w:t>
      </w:r>
      <w:r w:rsidR="003D640C">
        <w:t xml:space="preserve"> </w:t>
      </w:r>
      <w:r w:rsidRPr="00BB6220">
        <w:t>blunt</w:t>
      </w:r>
      <w:r w:rsidR="003D640C">
        <w:t xml:space="preserve"> </w:t>
      </w:r>
      <w:r w:rsidRPr="00BB6220">
        <w:t>attempts</w:t>
      </w:r>
      <w:r w:rsidR="003D640C">
        <w:t xml:space="preserve"> </w:t>
      </w:r>
      <w:r w:rsidRPr="00BB6220">
        <w:t>to</w:t>
      </w:r>
      <w:r w:rsidR="003D640C">
        <w:t xml:space="preserve"> </w:t>
      </w:r>
      <w:r w:rsidRPr="00BB6220">
        <w:t>continue</w:t>
      </w:r>
      <w:r w:rsidR="003D640C">
        <w:t xml:space="preserve"> </w:t>
      </w:r>
      <w:r w:rsidRPr="00BB6220">
        <w:t>the</w:t>
      </w:r>
      <w:r w:rsidR="003D640C">
        <w:t xml:space="preserve"> </w:t>
      </w:r>
      <w:r w:rsidRPr="00BB6220">
        <w:t>indoctrination</w:t>
      </w:r>
      <w:r w:rsidR="003D640C">
        <w:t xml:space="preserve"> </w:t>
      </w:r>
      <w:r w:rsidRPr="00BB6220">
        <w:t>a</w:t>
      </w:r>
      <w:r w:rsidR="003D640C">
        <w:t xml:space="preserve"> </w:t>
      </w:r>
      <w:r w:rsidRPr="00BB6220">
        <w:t>person</w:t>
      </w:r>
      <w:r w:rsidR="003D640C">
        <w:t xml:space="preserve"> </w:t>
      </w:r>
      <w:r w:rsidRPr="00BB6220">
        <w:t>is</w:t>
      </w:r>
      <w:r w:rsidR="003D640C">
        <w:t xml:space="preserve"> </w:t>
      </w:r>
      <w:r w:rsidRPr="00BB6220">
        <w:t>experiencing</w:t>
      </w:r>
      <w:r w:rsidR="003D640C">
        <w:t xml:space="preserve"> </w:t>
      </w:r>
      <w:r w:rsidRPr="00BB6220">
        <w:t>at</w:t>
      </w:r>
      <w:r w:rsidR="003D640C">
        <w:t xml:space="preserve"> </w:t>
      </w:r>
      <w:r w:rsidRPr="00BB6220">
        <w:t>home</w:t>
      </w:r>
      <w:r w:rsidR="003D640C">
        <w:t xml:space="preserve"> </w:t>
      </w:r>
      <w:r w:rsidRPr="00BB6220">
        <w:t>or</w:t>
      </w:r>
      <w:r w:rsidR="003D640C">
        <w:t xml:space="preserve"> </w:t>
      </w:r>
      <w:r w:rsidRPr="00BB6220">
        <w:t>in</w:t>
      </w:r>
      <w:r w:rsidR="003D640C">
        <w:t xml:space="preserve"> </w:t>
      </w:r>
      <w:r w:rsidRPr="00BB6220">
        <w:t>their</w:t>
      </w:r>
      <w:r w:rsidR="003D640C">
        <w:t xml:space="preserve"> </w:t>
      </w:r>
      <w:r w:rsidR="005C6F68" w:rsidRPr="00BB6220">
        <w:t>religious</w:t>
      </w:r>
      <w:r w:rsidR="003D640C">
        <w:t xml:space="preserve"> </w:t>
      </w:r>
      <w:r w:rsidRPr="00BB6220">
        <w:t>community</w:t>
      </w:r>
      <w:r w:rsidR="003D640C">
        <w:t xml:space="preserve"> </w:t>
      </w:r>
      <w:r w:rsidRPr="00BB6220">
        <w:t>through</w:t>
      </w:r>
      <w:r w:rsidR="003D640C">
        <w:t xml:space="preserve"> </w:t>
      </w:r>
      <w:r w:rsidRPr="00BB6220">
        <w:t>to</w:t>
      </w:r>
      <w:r w:rsidR="003D640C">
        <w:t xml:space="preserve"> </w:t>
      </w:r>
      <w:r w:rsidRPr="00BB6220">
        <w:t>the</w:t>
      </w:r>
      <w:r w:rsidR="003D640C">
        <w:t xml:space="preserve"> </w:t>
      </w:r>
      <w:r w:rsidRPr="00BB6220">
        <w:t>sophisticated</w:t>
      </w:r>
      <w:r w:rsidR="003D640C">
        <w:t xml:space="preserve"> </w:t>
      </w:r>
      <w:r w:rsidRPr="00BB6220">
        <w:t>misuse</w:t>
      </w:r>
      <w:r w:rsidR="003D640C">
        <w:t xml:space="preserve"> </w:t>
      </w:r>
      <w:r w:rsidRPr="00BB6220">
        <w:t>of</w:t>
      </w:r>
      <w:r w:rsidR="003D640C">
        <w:t xml:space="preserve"> </w:t>
      </w:r>
      <w:r w:rsidRPr="00BB6220">
        <w:t>otherwise</w:t>
      </w:r>
      <w:r w:rsidR="003D640C">
        <w:t xml:space="preserve"> </w:t>
      </w:r>
      <w:r w:rsidRPr="00BB6220">
        <w:t>legitimate</w:t>
      </w:r>
      <w:r w:rsidR="003D640C">
        <w:t xml:space="preserve"> </w:t>
      </w:r>
      <w:r w:rsidRPr="00BB6220">
        <w:t>practices</w:t>
      </w:r>
      <w:r w:rsidR="003D640C">
        <w:t xml:space="preserve"> </w:t>
      </w:r>
      <w:r w:rsidRPr="00BB6220">
        <w:t>such</w:t>
      </w:r>
      <w:r w:rsidR="003D640C">
        <w:t xml:space="preserve"> </w:t>
      </w:r>
      <w:r w:rsidRPr="00BB6220">
        <w:t>as</w:t>
      </w:r>
      <w:r w:rsidR="003D640C">
        <w:t xml:space="preserve"> </w:t>
      </w:r>
      <w:r w:rsidR="00D2596A">
        <w:t>e</w:t>
      </w:r>
      <w:r w:rsidRPr="00BB6220">
        <w:t>ye</w:t>
      </w:r>
      <w:r w:rsidR="003D640C">
        <w:t xml:space="preserve"> </w:t>
      </w:r>
      <w:r w:rsidR="00D2596A">
        <w:t>m</w:t>
      </w:r>
      <w:r w:rsidRPr="00BB6220">
        <w:t>ovement</w:t>
      </w:r>
      <w:r w:rsidR="003D640C">
        <w:t xml:space="preserve"> </w:t>
      </w:r>
      <w:r w:rsidR="00D2596A">
        <w:t>d</w:t>
      </w:r>
      <w:r w:rsidRPr="00BB6220">
        <w:t>esensitisation</w:t>
      </w:r>
      <w:r w:rsidR="003D640C">
        <w:t xml:space="preserve"> </w:t>
      </w:r>
      <w:r w:rsidRPr="00BB6220">
        <w:t>and</w:t>
      </w:r>
      <w:r w:rsidR="003D640C">
        <w:t xml:space="preserve"> </w:t>
      </w:r>
      <w:r w:rsidR="00D2596A">
        <w:t>r</w:t>
      </w:r>
      <w:r w:rsidRPr="00BB6220">
        <w:t>eprocessing</w:t>
      </w:r>
      <w:r w:rsidR="003D640C">
        <w:t xml:space="preserve"> </w:t>
      </w:r>
      <w:r w:rsidRPr="00BB6220">
        <w:t>(EMDR),</w:t>
      </w:r>
      <w:r w:rsidR="003D640C">
        <w:t xml:space="preserve"> </w:t>
      </w:r>
      <w:r w:rsidRPr="00BB6220">
        <w:t>Gestalt</w:t>
      </w:r>
      <w:r w:rsidR="003D640C">
        <w:t xml:space="preserve"> </w:t>
      </w:r>
      <w:r w:rsidR="00D2596A">
        <w:t>t</w:t>
      </w:r>
      <w:r w:rsidRPr="00BB6220">
        <w:t>herapy</w:t>
      </w:r>
      <w:r w:rsidR="00D2596A">
        <w:t>,</w:t>
      </w:r>
      <w:r w:rsidR="003D640C">
        <w:t xml:space="preserve"> </w:t>
      </w:r>
      <w:r w:rsidRPr="00BB6220">
        <w:t>or</w:t>
      </w:r>
      <w:r w:rsidR="003D640C">
        <w:t xml:space="preserve"> </w:t>
      </w:r>
      <w:r w:rsidR="00D2596A">
        <w:t>c</w:t>
      </w:r>
      <w:r w:rsidRPr="00BB6220">
        <w:t>ognitive</w:t>
      </w:r>
      <w:r w:rsidR="003D640C">
        <w:t xml:space="preserve"> </w:t>
      </w:r>
      <w:r w:rsidR="00D2596A">
        <w:t>b</w:t>
      </w:r>
      <w:r w:rsidRPr="00BB6220">
        <w:t>ehavioural</w:t>
      </w:r>
      <w:r w:rsidR="003D640C">
        <w:t xml:space="preserve"> </w:t>
      </w:r>
      <w:r w:rsidR="00D2596A">
        <w:t>t</w:t>
      </w:r>
      <w:r w:rsidRPr="00BB6220">
        <w:t>herapy.</w:t>
      </w:r>
      <w:r w:rsidR="003D640C">
        <w:t xml:space="preserve"> </w:t>
      </w:r>
      <w:r w:rsidRPr="00BB6220">
        <w:t>There</w:t>
      </w:r>
      <w:r w:rsidR="003D640C">
        <w:t xml:space="preserve"> </w:t>
      </w:r>
      <w:r w:rsidRPr="00BB6220">
        <w:t>are</w:t>
      </w:r>
      <w:r w:rsidR="003D640C">
        <w:t xml:space="preserve"> </w:t>
      </w:r>
      <w:r w:rsidRPr="00BB6220">
        <w:t>also</w:t>
      </w:r>
      <w:r w:rsidR="003D640C">
        <w:t xml:space="preserve"> </w:t>
      </w:r>
      <w:r w:rsidR="00054A00" w:rsidRPr="00BB6220">
        <w:t>pseudo</w:t>
      </w:r>
      <w:r w:rsidR="002C622A" w:rsidRPr="00BB6220">
        <w:t>-</w:t>
      </w:r>
      <w:r w:rsidRPr="00BB6220">
        <w:t>therapies</w:t>
      </w:r>
      <w:r w:rsidR="003D640C">
        <w:t xml:space="preserve"> </w:t>
      </w:r>
      <w:r w:rsidRPr="00BB6220">
        <w:t>unique</w:t>
      </w:r>
      <w:r w:rsidR="003D640C">
        <w:t xml:space="preserve"> </w:t>
      </w:r>
      <w:r w:rsidRPr="00BB6220">
        <w:t>to</w:t>
      </w:r>
      <w:r w:rsidR="003D640C">
        <w:t xml:space="preserve"> </w:t>
      </w:r>
      <w:r w:rsidRPr="00BB6220">
        <w:t>conversion</w:t>
      </w:r>
      <w:r w:rsidR="003D640C">
        <w:t xml:space="preserve"> </w:t>
      </w:r>
      <w:r w:rsidR="00E15742" w:rsidRPr="00BB6220">
        <w:t>ideology</w:t>
      </w:r>
      <w:r w:rsidR="003D640C">
        <w:t xml:space="preserve"> </w:t>
      </w:r>
      <w:r w:rsidRPr="00BB6220">
        <w:t>such</w:t>
      </w:r>
      <w:r w:rsidR="003D640C">
        <w:t xml:space="preserve"> </w:t>
      </w:r>
      <w:r w:rsidRPr="00BB6220">
        <w:t>as</w:t>
      </w:r>
      <w:r w:rsidR="003D640C">
        <w:t xml:space="preserve"> </w:t>
      </w:r>
      <w:r w:rsidRPr="00BB6220">
        <w:t>reparative</w:t>
      </w:r>
      <w:r w:rsidR="003D640C">
        <w:t xml:space="preserve"> </w:t>
      </w:r>
      <w:r w:rsidRPr="00BB6220">
        <w:t>therapy</w:t>
      </w:r>
      <w:r w:rsidRPr="00BB6220">
        <w:rPr>
          <w:rStyle w:val="FootnoteReference"/>
        </w:rPr>
        <w:footnoteReference w:id="97"/>
      </w:r>
      <w:r w:rsidR="003D640C">
        <w:t xml:space="preserve"> </w:t>
      </w:r>
      <w:r w:rsidRPr="00BB6220">
        <w:t>and</w:t>
      </w:r>
      <w:r w:rsidR="003D640C">
        <w:t xml:space="preserve"> </w:t>
      </w:r>
      <w:r w:rsidRPr="00BB6220">
        <w:t>aversion</w:t>
      </w:r>
      <w:r w:rsidR="003D640C">
        <w:t xml:space="preserve"> </w:t>
      </w:r>
      <w:r w:rsidRPr="00BB6220">
        <w:t>therapy</w:t>
      </w:r>
      <w:r w:rsidR="00FB2ABF">
        <w:t>.</w:t>
      </w:r>
      <w:r w:rsidRPr="00BB6220">
        <w:rPr>
          <w:rStyle w:val="FootnoteReference"/>
        </w:rPr>
        <w:footnoteReference w:id="98"/>
      </w:r>
      <w:r w:rsidR="003D640C">
        <w:t xml:space="preserve"> </w:t>
      </w:r>
    </w:p>
    <w:p w14:paraId="64CFA84E" w14:textId="2022A0C8" w:rsidR="006D516A" w:rsidRPr="00BB6220" w:rsidRDefault="006D516A" w:rsidP="0097274F">
      <w:pPr>
        <w:pStyle w:val="Quote"/>
      </w:pPr>
      <w:r w:rsidRPr="00BB6220">
        <w:t>“I</w:t>
      </w:r>
      <w:r w:rsidR="003D640C">
        <w:t xml:space="preserve"> </w:t>
      </w:r>
      <w:r w:rsidRPr="00BB6220">
        <w:t>was</w:t>
      </w:r>
      <w:r w:rsidR="003D640C">
        <w:t xml:space="preserve"> </w:t>
      </w:r>
      <w:r w:rsidRPr="00BB6220">
        <w:t>completely</w:t>
      </w:r>
      <w:r w:rsidR="003D640C">
        <w:t xml:space="preserve"> </w:t>
      </w:r>
      <w:r w:rsidRPr="00BB6220">
        <w:t>naive.</w:t>
      </w:r>
      <w:r w:rsidR="003D640C">
        <w:t xml:space="preserve"> </w:t>
      </w:r>
      <w:r w:rsidRPr="00BB6220">
        <w:t>I</w:t>
      </w:r>
      <w:r w:rsidR="003D640C">
        <w:t xml:space="preserve"> </w:t>
      </w:r>
      <w:r w:rsidRPr="00BB6220">
        <w:t>just</w:t>
      </w:r>
      <w:r w:rsidR="003D640C">
        <w:t xml:space="preserve"> </w:t>
      </w:r>
      <w:r w:rsidRPr="00BB6220">
        <w:t>wanted</w:t>
      </w:r>
      <w:r w:rsidR="003D640C">
        <w:t xml:space="preserve"> </w:t>
      </w:r>
      <w:r w:rsidRPr="00BB6220">
        <w:t>to</w:t>
      </w:r>
      <w:r w:rsidR="003D640C">
        <w:t xml:space="preserve"> </w:t>
      </w:r>
      <w:r w:rsidRPr="00BB6220">
        <w:t>feel</w:t>
      </w:r>
      <w:r w:rsidR="003D640C">
        <w:t xml:space="preserve"> </w:t>
      </w:r>
      <w:r w:rsidRPr="00BB6220">
        <w:t>better</w:t>
      </w:r>
      <w:r w:rsidR="00D2596A">
        <w:t xml:space="preserve"> </w:t>
      </w:r>
      <w:r w:rsidRPr="00BB6220">
        <w:t>…</w:t>
      </w:r>
      <w:r w:rsidR="003D640C">
        <w:t xml:space="preserve"> </w:t>
      </w:r>
      <w:bookmarkStart w:id="161" w:name="_Int_hsF0Laz6"/>
      <w:r w:rsidRPr="00BB6220">
        <w:t>I</w:t>
      </w:r>
      <w:r w:rsidR="003D640C">
        <w:t xml:space="preserve"> </w:t>
      </w:r>
      <w:r w:rsidRPr="00BB6220">
        <w:t>think</w:t>
      </w:r>
      <w:r w:rsidR="003D640C">
        <w:t xml:space="preserve"> </w:t>
      </w:r>
      <w:r w:rsidRPr="00BB6220">
        <w:t>they</w:t>
      </w:r>
      <w:bookmarkEnd w:id="161"/>
      <w:r w:rsidR="003D640C">
        <w:t xml:space="preserve"> </w:t>
      </w:r>
      <w:r w:rsidRPr="00BB6220">
        <w:t>were</w:t>
      </w:r>
      <w:r w:rsidR="003D640C">
        <w:t xml:space="preserve"> </w:t>
      </w:r>
      <w:r w:rsidRPr="00BB6220">
        <w:t>trying</w:t>
      </w:r>
      <w:r w:rsidR="003D640C">
        <w:t xml:space="preserve"> </w:t>
      </w:r>
      <w:r w:rsidRPr="00BB6220">
        <w:t>to</w:t>
      </w:r>
      <w:r w:rsidR="003D640C">
        <w:t xml:space="preserve"> </w:t>
      </w:r>
      <w:r w:rsidRPr="00BB6220">
        <w:t>blow</w:t>
      </w:r>
      <w:r w:rsidR="003D640C">
        <w:t xml:space="preserve"> </w:t>
      </w:r>
      <w:r w:rsidRPr="00BB6220">
        <w:t>the</w:t>
      </w:r>
      <w:r w:rsidR="003D640C">
        <w:t xml:space="preserve"> </w:t>
      </w:r>
      <w:r w:rsidRPr="00BB6220">
        <w:t>gay</w:t>
      </w:r>
      <w:r w:rsidR="003D640C">
        <w:t xml:space="preserve"> </w:t>
      </w:r>
      <w:r w:rsidRPr="00BB6220">
        <w:t>out</w:t>
      </w:r>
      <w:r w:rsidR="003D640C">
        <w:t xml:space="preserve"> </w:t>
      </w:r>
      <w:r w:rsidRPr="00BB6220">
        <w:t>of</w:t>
      </w:r>
      <w:r w:rsidR="003D640C">
        <w:t xml:space="preserve"> </w:t>
      </w:r>
      <w:r w:rsidRPr="00BB6220">
        <w:t>my</w:t>
      </w:r>
      <w:r w:rsidR="003D640C">
        <w:t xml:space="preserve"> </w:t>
      </w:r>
      <w:r w:rsidRPr="00BB6220">
        <w:t>brain</w:t>
      </w:r>
      <w:r w:rsidR="00D2596A">
        <w:t xml:space="preserve"> </w:t>
      </w:r>
      <w:r w:rsidR="003463C2">
        <w:t>…</w:t>
      </w:r>
      <w:r w:rsidR="00D2596A">
        <w:t xml:space="preserve"> </w:t>
      </w:r>
      <w:r w:rsidR="002231E6" w:rsidRPr="00BB6220">
        <w:t>The</w:t>
      </w:r>
      <w:r w:rsidR="003D640C">
        <w:t xml:space="preserve"> </w:t>
      </w:r>
      <w:r w:rsidR="002231E6" w:rsidRPr="00BB6220">
        <w:t>p</w:t>
      </w:r>
      <w:r w:rsidRPr="00BB6220">
        <w:t>sychiatrist</w:t>
      </w:r>
      <w:r w:rsidR="003D640C">
        <w:t xml:space="preserve"> </w:t>
      </w:r>
      <w:r w:rsidRPr="00BB6220">
        <w:t>said</w:t>
      </w:r>
      <w:r w:rsidR="003D640C">
        <w:t xml:space="preserve"> </w:t>
      </w:r>
      <w:r w:rsidRPr="00BB6220">
        <w:t>it</w:t>
      </w:r>
      <w:r w:rsidR="003D640C">
        <w:t xml:space="preserve"> </w:t>
      </w:r>
      <w:r w:rsidRPr="00BB6220">
        <w:t>would</w:t>
      </w:r>
      <w:r w:rsidR="003D640C">
        <w:t xml:space="preserve"> </w:t>
      </w:r>
      <w:r w:rsidRPr="00BB6220">
        <w:t>make</w:t>
      </w:r>
      <w:r w:rsidR="003D640C">
        <w:t xml:space="preserve"> </w:t>
      </w:r>
      <w:r w:rsidRPr="00BB6220">
        <w:t>me</w:t>
      </w:r>
      <w:r w:rsidR="003D640C">
        <w:t xml:space="preserve"> </w:t>
      </w:r>
      <w:r w:rsidRPr="00BB6220">
        <w:t>feel</w:t>
      </w:r>
      <w:r w:rsidR="003D640C">
        <w:t xml:space="preserve"> </w:t>
      </w:r>
      <w:r w:rsidRPr="00BB6220">
        <w:t>better</w:t>
      </w:r>
      <w:r w:rsidR="00D2596A">
        <w:t xml:space="preserve"> </w:t>
      </w:r>
      <w:r w:rsidR="003463C2">
        <w:t>…</w:t>
      </w:r>
      <w:r w:rsidR="003D640C">
        <w:t xml:space="preserve"> </w:t>
      </w:r>
      <w:r w:rsidRPr="00BB6220">
        <w:t>But</w:t>
      </w:r>
      <w:r w:rsidR="003D640C">
        <w:t xml:space="preserve"> </w:t>
      </w:r>
      <w:r w:rsidRPr="00BB6220">
        <w:t>it</w:t>
      </w:r>
      <w:r w:rsidR="003D640C">
        <w:t xml:space="preserve"> </w:t>
      </w:r>
      <w:r w:rsidRPr="00BB6220">
        <w:t>didn’t.”</w:t>
      </w:r>
      <w:r w:rsidR="003D640C">
        <w:t xml:space="preserve"> </w:t>
      </w:r>
      <w:r w:rsidRPr="00B1465F">
        <w:t>Pākehā</w:t>
      </w:r>
      <w:r w:rsidRPr="00BB6220">
        <w:t>,</w:t>
      </w:r>
      <w:r w:rsidR="003D640C">
        <w:t xml:space="preserve"> </w:t>
      </w:r>
      <w:r w:rsidRPr="00BB6220">
        <w:t>male</w:t>
      </w:r>
    </w:p>
    <w:p w14:paraId="50F1C0E6" w14:textId="1CB31BDE" w:rsidR="00D05424" w:rsidRPr="004134C1" w:rsidRDefault="00D05424" w:rsidP="0097274F">
      <w:r w:rsidRPr="00BB6220">
        <w:t>The</w:t>
      </w:r>
      <w:r w:rsidR="003D640C">
        <w:t xml:space="preserve"> </w:t>
      </w:r>
      <w:r w:rsidRPr="00BB6220">
        <w:t>perceived</w:t>
      </w:r>
      <w:r w:rsidR="003D640C">
        <w:t xml:space="preserve"> </w:t>
      </w:r>
      <w:r w:rsidRPr="00BB6220">
        <w:t>sense</w:t>
      </w:r>
      <w:r w:rsidR="003D640C">
        <w:t xml:space="preserve"> </w:t>
      </w:r>
      <w:r w:rsidRPr="00BB6220">
        <w:t>of</w:t>
      </w:r>
      <w:r w:rsidR="003D640C">
        <w:t xml:space="preserve"> </w:t>
      </w:r>
      <w:r w:rsidRPr="00BB6220">
        <w:t>authority</w:t>
      </w:r>
      <w:r w:rsidR="003D640C">
        <w:t xml:space="preserve"> </w:t>
      </w:r>
      <w:r w:rsidRPr="00BB6220">
        <w:t>of</w:t>
      </w:r>
      <w:r w:rsidR="003D640C">
        <w:t xml:space="preserve"> </w:t>
      </w:r>
      <w:r w:rsidRPr="00BB6220">
        <w:t>professionals</w:t>
      </w:r>
      <w:r w:rsidR="003D640C">
        <w:t xml:space="preserve"> </w:t>
      </w:r>
      <w:r w:rsidRPr="00BB6220">
        <w:t>in</w:t>
      </w:r>
      <w:r w:rsidR="003D640C">
        <w:t xml:space="preserve"> </w:t>
      </w:r>
      <w:r w:rsidRPr="00BB6220">
        <w:t>this</w:t>
      </w:r>
      <w:r w:rsidR="003D640C">
        <w:t xml:space="preserve"> </w:t>
      </w:r>
      <w:r w:rsidRPr="00BB6220">
        <w:t>sector</w:t>
      </w:r>
      <w:r w:rsidR="00625242">
        <w:t>,</w:t>
      </w:r>
      <w:r w:rsidR="003D640C">
        <w:t xml:space="preserve"> </w:t>
      </w:r>
      <w:r w:rsidRPr="00BB6220">
        <w:t>and</w:t>
      </w:r>
      <w:r w:rsidR="003D640C">
        <w:t xml:space="preserve"> </w:t>
      </w:r>
      <w:r w:rsidRPr="00BB6220">
        <w:t>the</w:t>
      </w:r>
      <w:r w:rsidR="003D640C">
        <w:t xml:space="preserve"> </w:t>
      </w:r>
      <w:r w:rsidRPr="00BB6220">
        <w:t>heightened</w:t>
      </w:r>
      <w:r w:rsidR="003D640C">
        <w:t xml:space="preserve"> </w:t>
      </w:r>
      <w:r w:rsidRPr="00BB6220">
        <w:t>vulnerability</w:t>
      </w:r>
      <w:r w:rsidR="003D640C">
        <w:t xml:space="preserve"> </w:t>
      </w:r>
      <w:r w:rsidRPr="00BB6220">
        <w:t>of</w:t>
      </w:r>
      <w:r w:rsidR="003D640C">
        <w:t xml:space="preserve"> </w:t>
      </w:r>
      <w:r w:rsidRPr="00BB6220">
        <w:t>people</w:t>
      </w:r>
      <w:r w:rsidR="003D640C">
        <w:t xml:space="preserve"> </w:t>
      </w:r>
      <w:r w:rsidRPr="00BB6220">
        <w:t>seeking</w:t>
      </w:r>
      <w:r w:rsidR="003D640C">
        <w:t xml:space="preserve"> </w:t>
      </w:r>
      <w:r w:rsidRPr="00BB6220">
        <w:t>their</w:t>
      </w:r>
      <w:r w:rsidR="003D640C">
        <w:t xml:space="preserve"> </w:t>
      </w:r>
      <w:r w:rsidRPr="00BB6220">
        <w:t>help</w:t>
      </w:r>
      <w:r w:rsidR="00625242">
        <w:t>,</w:t>
      </w:r>
      <w:r w:rsidR="003D640C">
        <w:t xml:space="preserve"> </w:t>
      </w:r>
      <w:r w:rsidRPr="00BB6220">
        <w:t>are</w:t>
      </w:r>
      <w:r w:rsidR="003D640C">
        <w:t xml:space="preserve"> </w:t>
      </w:r>
      <w:r w:rsidRPr="00BB6220">
        <w:t>particular</w:t>
      </w:r>
      <w:r w:rsidR="003D640C">
        <w:t xml:space="preserve"> </w:t>
      </w:r>
      <w:r w:rsidRPr="00BB6220">
        <w:t>risk</w:t>
      </w:r>
      <w:r w:rsidR="003D640C">
        <w:t xml:space="preserve"> </w:t>
      </w:r>
      <w:r w:rsidRPr="00BB6220">
        <w:t>factors.</w:t>
      </w:r>
      <w:r w:rsidR="003D640C">
        <w:t xml:space="preserve"> </w:t>
      </w:r>
      <w:r w:rsidRPr="00BB6220">
        <w:t>One-on-one</w:t>
      </w:r>
      <w:r w:rsidR="003D640C">
        <w:t xml:space="preserve"> </w:t>
      </w:r>
      <w:r w:rsidRPr="00BB6220">
        <w:t>interactions</w:t>
      </w:r>
      <w:r w:rsidR="003D640C">
        <w:t xml:space="preserve"> </w:t>
      </w:r>
      <w:r w:rsidRPr="00BB6220">
        <w:t>and</w:t>
      </w:r>
      <w:r w:rsidR="003D640C">
        <w:t xml:space="preserve"> </w:t>
      </w:r>
      <w:r w:rsidRPr="00BB6220">
        <w:t>principles</w:t>
      </w:r>
      <w:r w:rsidR="003D640C">
        <w:t xml:space="preserve"> </w:t>
      </w:r>
      <w:r w:rsidRPr="00BB6220">
        <w:t>of</w:t>
      </w:r>
      <w:r w:rsidR="003D640C">
        <w:t xml:space="preserve"> </w:t>
      </w:r>
      <w:r w:rsidRPr="00BB6220">
        <w:t>confidentiality</w:t>
      </w:r>
      <w:r w:rsidR="003D640C">
        <w:t xml:space="preserve"> </w:t>
      </w:r>
      <w:r w:rsidRPr="00BB6220">
        <w:t>can</w:t>
      </w:r>
      <w:r w:rsidR="003D640C">
        <w:t xml:space="preserve"> </w:t>
      </w:r>
      <w:r w:rsidRPr="00BB6220">
        <w:t>also</w:t>
      </w:r>
      <w:r w:rsidR="003D640C">
        <w:t xml:space="preserve"> </w:t>
      </w:r>
      <w:r w:rsidRPr="00BB6220">
        <w:t>allow</w:t>
      </w:r>
      <w:r w:rsidR="003D640C">
        <w:t xml:space="preserve"> </w:t>
      </w:r>
      <w:r w:rsidRPr="00BB6220">
        <w:t>conversion</w:t>
      </w:r>
      <w:r w:rsidR="003D640C">
        <w:t xml:space="preserve"> </w:t>
      </w:r>
      <w:r w:rsidRPr="00BB6220">
        <w:t>practices</w:t>
      </w:r>
      <w:r w:rsidR="003D640C">
        <w:t xml:space="preserve"> </w:t>
      </w:r>
      <w:r w:rsidRPr="00BB6220">
        <w:t>in</w:t>
      </w:r>
      <w:r w:rsidR="003D640C">
        <w:t xml:space="preserve"> </w:t>
      </w:r>
      <w:r w:rsidRPr="00BB6220">
        <w:t>mental</w:t>
      </w:r>
      <w:r w:rsidR="003D640C">
        <w:t xml:space="preserve"> </w:t>
      </w:r>
      <w:r w:rsidRPr="00BB6220">
        <w:t>healthcare</w:t>
      </w:r>
      <w:r w:rsidR="003D640C">
        <w:t xml:space="preserve"> </w:t>
      </w:r>
      <w:r w:rsidRPr="00BB6220">
        <w:t>settings</w:t>
      </w:r>
      <w:r w:rsidR="003D640C">
        <w:t xml:space="preserve"> </w:t>
      </w:r>
      <w:r w:rsidRPr="00BB6220">
        <w:t>to</w:t>
      </w:r>
      <w:r w:rsidR="003D640C">
        <w:t xml:space="preserve"> </w:t>
      </w:r>
      <w:r w:rsidRPr="00BB6220">
        <w:t>remain</w:t>
      </w:r>
      <w:r w:rsidR="003D640C">
        <w:t xml:space="preserve"> </w:t>
      </w:r>
      <w:r w:rsidRPr="00BB6220">
        <w:t>hidden.</w:t>
      </w:r>
      <w:r w:rsidR="003D640C">
        <w:t xml:space="preserve"> </w:t>
      </w:r>
      <w:r w:rsidRPr="00BB6220">
        <w:t>Professional</w:t>
      </w:r>
      <w:r w:rsidR="003D640C">
        <w:t xml:space="preserve"> </w:t>
      </w:r>
      <w:r w:rsidRPr="00BB6220">
        <w:t>responsibility</w:t>
      </w:r>
      <w:r w:rsidR="003D640C">
        <w:t xml:space="preserve"> </w:t>
      </w:r>
      <w:r w:rsidRPr="00BB6220">
        <w:t>is</w:t>
      </w:r>
      <w:r w:rsidR="003D640C">
        <w:t xml:space="preserve"> </w:t>
      </w:r>
      <w:r w:rsidRPr="00BB6220">
        <w:t>crucial</w:t>
      </w:r>
      <w:r w:rsidR="003D640C">
        <w:t xml:space="preserve"> </w:t>
      </w:r>
      <w:r w:rsidRPr="00BB6220">
        <w:t>in</w:t>
      </w:r>
      <w:r w:rsidR="003D640C">
        <w:t xml:space="preserve"> </w:t>
      </w:r>
      <w:r w:rsidRPr="00BB6220">
        <w:t>these</w:t>
      </w:r>
      <w:r w:rsidR="003D640C">
        <w:t xml:space="preserve"> </w:t>
      </w:r>
      <w:r w:rsidRPr="00BB6220">
        <w:t>settings</w:t>
      </w:r>
      <w:r w:rsidR="003D640C">
        <w:t xml:space="preserve"> </w:t>
      </w:r>
      <w:r w:rsidRPr="00BB6220">
        <w:t>as</w:t>
      </w:r>
      <w:r w:rsidR="003D640C">
        <w:t xml:space="preserve"> </w:t>
      </w:r>
      <w:r w:rsidRPr="00BB6220">
        <w:t>is</w:t>
      </w:r>
      <w:r w:rsidR="003D640C">
        <w:t xml:space="preserve"> </w:t>
      </w:r>
      <w:r w:rsidRPr="00BB6220">
        <w:t>clear</w:t>
      </w:r>
      <w:r w:rsidR="003D640C">
        <w:t xml:space="preserve"> </w:t>
      </w:r>
      <w:r w:rsidRPr="00BB6220">
        <w:t>direction</w:t>
      </w:r>
      <w:r w:rsidR="003D640C">
        <w:t xml:space="preserve"> </w:t>
      </w:r>
      <w:r w:rsidRPr="00BB6220">
        <w:t>from</w:t>
      </w:r>
      <w:r w:rsidR="003D640C">
        <w:t xml:space="preserve"> </w:t>
      </w:r>
      <w:r w:rsidRPr="00BB6220">
        <w:t>governing</w:t>
      </w:r>
      <w:r w:rsidR="003D640C">
        <w:t xml:space="preserve"> </w:t>
      </w:r>
      <w:r w:rsidRPr="00BB6220">
        <w:t>bodies</w:t>
      </w:r>
      <w:r w:rsidR="003D640C">
        <w:t xml:space="preserve"> </w:t>
      </w:r>
      <w:r w:rsidRPr="00BB6220">
        <w:t>and</w:t>
      </w:r>
      <w:r w:rsidR="003D640C">
        <w:t xml:space="preserve"> </w:t>
      </w:r>
      <w:r w:rsidRPr="00BB6220">
        <w:t>education</w:t>
      </w:r>
      <w:r w:rsidR="003D640C">
        <w:t xml:space="preserve"> </w:t>
      </w:r>
      <w:r w:rsidR="00C669A0" w:rsidRPr="00BB6220">
        <w:t>for</w:t>
      </w:r>
      <w:r w:rsidR="003D640C">
        <w:t xml:space="preserve"> </w:t>
      </w:r>
      <w:r w:rsidR="00C669A0" w:rsidRPr="00BB6220">
        <w:t>professionals</w:t>
      </w:r>
      <w:r w:rsidR="005236CB">
        <w:t>.</w:t>
      </w:r>
      <w:r w:rsidR="003D640C">
        <w:t xml:space="preserve"> </w:t>
      </w:r>
      <w:r w:rsidR="005236CB">
        <w:t>We</w:t>
      </w:r>
      <w:r w:rsidR="003D640C">
        <w:t xml:space="preserve"> </w:t>
      </w:r>
      <w:r w:rsidR="005236CB">
        <w:t>note</w:t>
      </w:r>
      <w:r w:rsidR="003D640C">
        <w:t xml:space="preserve"> </w:t>
      </w:r>
      <w:r w:rsidR="005236CB">
        <w:t>that</w:t>
      </w:r>
      <w:r w:rsidR="003D640C">
        <w:t xml:space="preserve"> </w:t>
      </w:r>
      <w:r w:rsidR="005236CB">
        <w:t>not</w:t>
      </w:r>
      <w:r w:rsidR="003D640C">
        <w:t xml:space="preserve"> </w:t>
      </w:r>
      <w:r w:rsidR="005236CB">
        <w:t>all</w:t>
      </w:r>
      <w:r w:rsidR="003D640C">
        <w:t xml:space="preserve"> </w:t>
      </w:r>
      <w:r w:rsidR="005236CB">
        <w:t>counsellors</w:t>
      </w:r>
      <w:r w:rsidR="003D640C">
        <w:t xml:space="preserve"> </w:t>
      </w:r>
      <w:r w:rsidR="005236CB">
        <w:t>are</w:t>
      </w:r>
      <w:r w:rsidR="003D640C">
        <w:t xml:space="preserve"> </w:t>
      </w:r>
      <w:r w:rsidR="005236CB">
        <w:t>registered</w:t>
      </w:r>
      <w:r w:rsidR="003D640C">
        <w:t xml:space="preserve"> </w:t>
      </w:r>
      <w:r w:rsidR="005236CB">
        <w:t>with</w:t>
      </w:r>
      <w:r w:rsidR="003D640C">
        <w:t xml:space="preserve"> </w:t>
      </w:r>
      <w:r w:rsidR="005236CB">
        <w:t>professional</w:t>
      </w:r>
      <w:r w:rsidR="003D640C">
        <w:t xml:space="preserve"> </w:t>
      </w:r>
      <w:r w:rsidR="005236CB">
        <w:t>bodies</w:t>
      </w:r>
      <w:r w:rsidRPr="00BB6220">
        <w:t>.</w:t>
      </w:r>
      <w:r w:rsidR="003D640C">
        <w:t xml:space="preserve"> </w:t>
      </w:r>
      <w:r w:rsidRPr="007B139B">
        <w:t>See</w:t>
      </w:r>
      <w:r w:rsidR="003D640C" w:rsidRPr="007B139B">
        <w:t xml:space="preserve"> </w:t>
      </w:r>
      <w:r w:rsidRPr="007B139B">
        <w:t>recommendation</w:t>
      </w:r>
      <w:r w:rsidR="0015398D" w:rsidRPr="007B139B">
        <w:t>s</w:t>
      </w:r>
      <w:r w:rsidR="003D640C" w:rsidRPr="007B139B">
        <w:t xml:space="preserve"> </w:t>
      </w:r>
      <w:r w:rsidR="0015398D" w:rsidRPr="007B139B">
        <w:t>2</w:t>
      </w:r>
      <w:r w:rsidR="001540BA">
        <w:t>1</w:t>
      </w:r>
      <w:r w:rsidR="004134C1">
        <w:t>–</w:t>
      </w:r>
      <w:r w:rsidR="0015398D" w:rsidRPr="007B139B">
        <w:t>2</w:t>
      </w:r>
      <w:r w:rsidR="001540BA">
        <w:t>3</w:t>
      </w:r>
      <w:r w:rsidR="003D640C" w:rsidRPr="007B139B">
        <w:t xml:space="preserve"> </w:t>
      </w:r>
      <w:r w:rsidR="00FB2ABF" w:rsidRPr="007B139B">
        <w:t>in</w:t>
      </w:r>
      <w:r w:rsidR="003D640C" w:rsidRPr="007B139B">
        <w:t xml:space="preserve"> </w:t>
      </w:r>
      <w:r w:rsidR="00FB2ABF" w:rsidRPr="007B139B">
        <w:t>chapter</w:t>
      </w:r>
      <w:r w:rsidR="003D640C" w:rsidRPr="007B139B">
        <w:t xml:space="preserve"> </w:t>
      </w:r>
      <w:r w:rsidR="001540BA">
        <w:rPr>
          <w:rFonts w:ascii="Calibri" w:eastAsia="Calibri" w:hAnsi="Calibri" w:cs="Calibri"/>
          <w:color w:val="000000" w:themeColor="text1"/>
        </w:rPr>
        <w:t>9</w:t>
      </w:r>
      <w:r w:rsidRPr="007B139B">
        <w:t>.</w:t>
      </w:r>
    </w:p>
    <w:p w14:paraId="65820B79" w14:textId="50AF27A7" w:rsidR="00D05424" w:rsidRPr="00BB6220" w:rsidRDefault="00D05424" w:rsidP="0097274F">
      <w:r w:rsidRPr="00BB6220">
        <w:t>It</w:t>
      </w:r>
      <w:r w:rsidR="003D640C">
        <w:t xml:space="preserve"> </w:t>
      </w:r>
      <w:r w:rsidRPr="00BB6220">
        <w:t>is</w:t>
      </w:r>
      <w:r w:rsidR="003D640C">
        <w:t xml:space="preserve"> </w:t>
      </w:r>
      <w:r w:rsidRPr="00BB6220">
        <w:t>common</w:t>
      </w:r>
      <w:r w:rsidR="003D640C">
        <w:t xml:space="preserve"> </w:t>
      </w:r>
      <w:r w:rsidRPr="00BB6220">
        <w:t>for</w:t>
      </w:r>
      <w:r w:rsidR="003D640C">
        <w:t xml:space="preserve"> </w:t>
      </w:r>
      <w:r w:rsidRPr="00BB6220">
        <w:t>people</w:t>
      </w:r>
      <w:r w:rsidR="003D640C">
        <w:t xml:space="preserve"> </w:t>
      </w:r>
      <w:r w:rsidRPr="00BB6220">
        <w:t>to</w:t>
      </w:r>
      <w:r w:rsidR="003D640C">
        <w:t xml:space="preserve"> </w:t>
      </w:r>
      <w:r w:rsidRPr="00BB6220">
        <w:t>seek</w:t>
      </w:r>
      <w:r w:rsidR="003D640C">
        <w:t xml:space="preserve"> </w:t>
      </w:r>
      <w:r w:rsidRPr="00BB6220">
        <w:t>out</w:t>
      </w:r>
      <w:r w:rsidR="003D640C">
        <w:t xml:space="preserve"> </w:t>
      </w:r>
      <w:r w:rsidRPr="00BB6220">
        <w:t>conversion</w:t>
      </w:r>
      <w:r w:rsidR="003D640C">
        <w:t xml:space="preserve"> </w:t>
      </w:r>
      <w:r w:rsidRPr="00BB6220">
        <w:t>practices</w:t>
      </w:r>
      <w:r w:rsidR="003D640C">
        <w:t xml:space="preserve"> </w:t>
      </w:r>
      <w:r w:rsidRPr="00BB6220">
        <w:t>in</w:t>
      </w:r>
      <w:r w:rsidR="003D640C">
        <w:t xml:space="preserve"> </w:t>
      </w:r>
      <w:r w:rsidRPr="00BB6220">
        <w:t>mental</w:t>
      </w:r>
      <w:r w:rsidR="003D640C">
        <w:t xml:space="preserve"> </w:t>
      </w:r>
      <w:r w:rsidRPr="00BB6220">
        <w:t>healthcare</w:t>
      </w:r>
      <w:r w:rsidR="003D640C">
        <w:t xml:space="preserve"> </w:t>
      </w:r>
      <w:r w:rsidRPr="00BB6220">
        <w:t>settings</w:t>
      </w:r>
      <w:r w:rsidR="003D640C">
        <w:t xml:space="preserve"> </w:t>
      </w:r>
      <w:r w:rsidRPr="00BB6220">
        <w:t>themselves</w:t>
      </w:r>
      <w:r w:rsidR="00C669A0" w:rsidRPr="00BB6220">
        <w:t>.</w:t>
      </w:r>
      <w:r w:rsidR="003D640C">
        <w:t xml:space="preserve"> </w:t>
      </w:r>
      <w:r w:rsidR="00C669A0" w:rsidRPr="00BB6220">
        <w:t>This</w:t>
      </w:r>
      <w:r w:rsidR="003D640C">
        <w:t xml:space="preserve"> </w:t>
      </w:r>
      <w:r w:rsidR="00C669A0" w:rsidRPr="00BB6220">
        <w:t>is</w:t>
      </w:r>
      <w:r w:rsidR="003D640C">
        <w:t xml:space="preserve"> </w:t>
      </w:r>
      <w:r w:rsidRPr="00BB6220">
        <w:t>especially</w:t>
      </w:r>
      <w:r w:rsidR="003D640C">
        <w:t xml:space="preserve"> </w:t>
      </w:r>
      <w:r w:rsidR="00C669A0" w:rsidRPr="00BB6220">
        <w:t>the</w:t>
      </w:r>
      <w:r w:rsidR="003D640C">
        <w:t xml:space="preserve"> </w:t>
      </w:r>
      <w:r w:rsidR="00C669A0" w:rsidRPr="00BB6220">
        <w:t>case</w:t>
      </w:r>
      <w:r w:rsidR="003D640C">
        <w:t xml:space="preserve"> </w:t>
      </w:r>
      <w:r w:rsidRPr="00BB6220">
        <w:t>when</w:t>
      </w:r>
      <w:r w:rsidR="003D640C">
        <w:t xml:space="preserve"> </w:t>
      </w:r>
      <w:r w:rsidRPr="00BB6220">
        <w:t>they</w:t>
      </w:r>
      <w:r w:rsidR="003D640C">
        <w:t xml:space="preserve"> </w:t>
      </w:r>
      <w:r w:rsidR="00854D2C" w:rsidRPr="00BB6220">
        <w:t>have</w:t>
      </w:r>
      <w:r w:rsidR="003D640C">
        <w:t xml:space="preserve"> </w:t>
      </w:r>
      <w:r w:rsidR="00854D2C" w:rsidRPr="00BB6220">
        <w:t>been</w:t>
      </w:r>
      <w:r w:rsidR="003D640C">
        <w:t xml:space="preserve"> </w:t>
      </w:r>
      <w:r w:rsidRPr="00BB6220">
        <w:t>immersed</w:t>
      </w:r>
      <w:r w:rsidR="003D640C">
        <w:t xml:space="preserve"> </w:t>
      </w:r>
      <w:r w:rsidRPr="00BB6220">
        <w:t>in</w:t>
      </w:r>
      <w:r w:rsidR="003D640C">
        <w:t xml:space="preserve"> </w:t>
      </w:r>
      <w:r w:rsidRPr="00BB6220">
        <w:t>environments</w:t>
      </w:r>
      <w:r w:rsidR="003D640C">
        <w:t xml:space="preserve"> </w:t>
      </w:r>
      <w:r w:rsidRPr="00BB6220">
        <w:t>that</w:t>
      </w:r>
      <w:r w:rsidR="003D640C">
        <w:t xml:space="preserve"> </w:t>
      </w:r>
      <w:r w:rsidR="00DE156E" w:rsidRPr="00BB6220">
        <w:t>maintain</w:t>
      </w:r>
      <w:r w:rsidR="003D640C">
        <w:t xml:space="preserve"> </w:t>
      </w:r>
      <w:r w:rsidRPr="00BB6220">
        <w:t>conversion</w:t>
      </w:r>
      <w:r w:rsidR="003D640C">
        <w:t xml:space="preserve"> </w:t>
      </w:r>
      <w:r w:rsidRPr="00BB6220">
        <w:t>ideology</w:t>
      </w:r>
      <w:r w:rsidR="003D640C">
        <w:t xml:space="preserve"> </w:t>
      </w:r>
      <w:r w:rsidRPr="00BB6220">
        <w:t>and</w:t>
      </w:r>
      <w:r w:rsidR="003D640C">
        <w:t xml:space="preserve"> </w:t>
      </w:r>
      <w:r w:rsidRPr="00BB6220">
        <w:t>have</w:t>
      </w:r>
      <w:r w:rsidR="003D640C">
        <w:t xml:space="preserve"> </w:t>
      </w:r>
      <w:r w:rsidRPr="00BB6220">
        <w:t>internali</w:t>
      </w:r>
      <w:r w:rsidR="00DE156E" w:rsidRPr="00BB6220">
        <w:t>s</w:t>
      </w:r>
      <w:r w:rsidRPr="00BB6220">
        <w:t>ed</w:t>
      </w:r>
      <w:r w:rsidR="003D640C">
        <w:t xml:space="preserve"> </w:t>
      </w:r>
      <w:r w:rsidRPr="00BB6220">
        <w:t>negative</w:t>
      </w:r>
      <w:r w:rsidR="003D640C">
        <w:t xml:space="preserve"> </w:t>
      </w:r>
      <w:r w:rsidRPr="00BB6220">
        <w:t>messages</w:t>
      </w:r>
      <w:r w:rsidR="003D640C">
        <w:t xml:space="preserve"> </w:t>
      </w:r>
      <w:r w:rsidRPr="00BB6220">
        <w:t>about</w:t>
      </w:r>
      <w:r w:rsidR="003D640C">
        <w:t xml:space="preserve"> </w:t>
      </w:r>
      <w:r w:rsidRPr="00BB6220">
        <w:t>the</w:t>
      </w:r>
      <w:r w:rsidR="0098542E" w:rsidRPr="00BB6220">
        <w:t>mselves</w:t>
      </w:r>
      <w:r w:rsidRPr="00BB6220">
        <w:t>.</w:t>
      </w:r>
      <w:r w:rsidR="003D640C">
        <w:t xml:space="preserve"> </w:t>
      </w:r>
      <w:r w:rsidRPr="00BB6220">
        <w:t>External</w:t>
      </w:r>
      <w:r w:rsidR="003D640C">
        <w:t xml:space="preserve"> </w:t>
      </w:r>
      <w:r w:rsidRPr="00BB6220">
        <w:t>pressure</w:t>
      </w:r>
      <w:r w:rsidR="003D640C">
        <w:t xml:space="preserve"> </w:t>
      </w:r>
      <w:r w:rsidRPr="00BB6220">
        <w:t>or</w:t>
      </w:r>
      <w:r w:rsidR="003D640C">
        <w:t xml:space="preserve"> </w:t>
      </w:r>
      <w:r w:rsidRPr="00BB6220">
        <w:t>coercion</w:t>
      </w:r>
      <w:r w:rsidR="003D640C">
        <w:t xml:space="preserve"> </w:t>
      </w:r>
      <w:r w:rsidRPr="00BB6220">
        <w:t>or</w:t>
      </w:r>
      <w:r w:rsidR="003D640C">
        <w:t xml:space="preserve"> </w:t>
      </w:r>
      <w:r w:rsidRPr="00BB6220">
        <w:t>fear</w:t>
      </w:r>
      <w:r w:rsidR="003D640C">
        <w:t xml:space="preserve"> </w:t>
      </w:r>
      <w:r w:rsidRPr="00BB6220">
        <w:t>of</w:t>
      </w:r>
      <w:r w:rsidR="003D640C">
        <w:t xml:space="preserve"> </w:t>
      </w:r>
      <w:r w:rsidRPr="00BB6220">
        <w:t>rejection</w:t>
      </w:r>
      <w:r w:rsidR="003D640C">
        <w:t xml:space="preserve"> </w:t>
      </w:r>
      <w:r w:rsidRPr="00BB6220">
        <w:t>or</w:t>
      </w:r>
      <w:r w:rsidR="003D640C">
        <w:t xml:space="preserve"> </w:t>
      </w:r>
      <w:r w:rsidRPr="00BB6220">
        <w:t>discrimination</w:t>
      </w:r>
      <w:r w:rsidR="003D640C">
        <w:t xml:space="preserve"> </w:t>
      </w:r>
      <w:r w:rsidRPr="00BB6220">
        <w:t>from</w:t>
      </w:r>
      <w:r w:rsidR="003D640C">
        <w:t xml:space="preserve"> </w:t>
      </w:r>
      <w:r w:rsidRPr="00BB6220">
        <w:t>a</w:t>
      </w:r>
      <w:r w:rsidR="003D640C">
        <w:t xml:space="preserve"> </w:t>
      </w:r>
      <w:r w:rsidRPr="00BB6220">
        <w:t>social</w:t>
      </w:r>
      <w:r w:rsidR="003D640C">
        <w:t xml:space="preserve"> </w:t>
      </w:r>
      <w:r w:rsidRPr="00BB6220">
        <w:t>or</w:t>
      </w:r>
      <w:r w:rsidR="003D640C">
        <w:t xml:space="preserve"> </w:t>
      </w:r>
      <w:r w:rsidRPr="00BB6220">
        <w:t>cultural</w:t>
      </w:r>
      <w:r w:rsidR="003D640C">
        <w:t xml:space="preserve"> </w:t>
      </w:r>
      <w:r w:rsidRPr="00BB6220">
        <w:t>group</w:t>
      </w:r>
      <w:r w:rsidR="003D640C">
        <w:t xml:space="preserve"> </w:t>
      </w:r>
      <w:r w:rsidRPr="00BB6220">
        <w:t>can</w:t>
      </w:r>
      <w:r w:rsidR="003D640C">
        <w:t xml:space="preserve"> </w:t>
      </w:r>
      <w:r w:rsidRPr="00BB6220">
        <w:t>also</w:t>
      </w:r>
      <w:r w:rsidR="003D640C">
        <w:t xml:space="preserve"> </w:t>
      </w:r>
      <w:r w:rsidRPr="00BB6220">
        <w:t>lead</w:t>
      </w:r>
      <w:r w:rsidR="003D640C">
        <w:t xml:space="preserve"> </w:t>
      </w:r>
      <w:r w:rsidRPr="00BB6220">
        <w:t>people</w:t>
      </w:r>
      <w:r w:rsidR="003D640C">
        <w:t xml:space="preserve"> </w:t>
      </w:r>
      <w:r w:rsidRPr="00BB6220">
        <w:t>to</w:t>
      </w:r>
      <w:r w:rsidR="003D640C">
        <w:t xml:space="preserve"> </w:t>
      </w:r>
      <w:r w:rsidRPr="00BB6220">
        <w:t>seek</w:t>
      </w:r>
      <w:r w:rsidR="003D640C">
        <w:t xml:space="preserve"> </w:t>
      </w:r>
      <w:r w:rsidR="00014D73" w:rsidRPr="00BB6220">
        <w:t>‘</w:t>
      </w:r>
      <w:r w:rsidRPr="00BB6220">
        <w:t>help</w:t>
      </w:r>
      <w:r w:rsidR="00014D73" w:rsidRPr="00BB6220">
        <w:t>’</w:t>
      </w:r>
      <w:r w:rsidR="003D640C">
        <w:t xml:space="preserve"> </w:t>
      </w:r>
      <w:r w:rsidR="00C23C3F">
        <w:t>through</w:t>
      </w:r>
      <w:r w:rsidR="003D640C">
        <w:t xml:space="preserve"> </w:t>
      </w:r>
      <w:r w:rsidR="00C23C3F">
        <w:t>counselling</w:t>
      </w:r>
      <w:r w:rsidR="003D640C">
        <w:t xml:space="preserve"> </w:t>
      </w:r>
      <w:r w:rsidR="00C23C3F">
        <w:t>to</w:t>
      </w:r>
      <w:r w:rsidR="003D640C">
        <w:t xml:space="preserve"> </w:t>
      </w:r>
      <w:r w:rsidRPr="00BB6220">
        <w:t>suppress</w:t>
      </w:r>
      <w:r w:rsidR="003D640C">
        <w:t xml:space="preserve"> </w:t>
      </w:r>
      <w:r w:rsidRPr="00BB6220">
        <w:t>or</w:t>
      </w:r>
      <w:r w:rsidR="003D640C">
        <w:t xml:space="preserve"> </w:t>
      </w:r>
      <w:r w:rsidRPr="00BB6220">
        <w:t>chang</w:t>
      </w:r>
      <w:r w:rsidR="00C23C3F">
        <w:t>e</w:t>
      </w:r>
      <w:r w:rsidR="003D640C">
        <w:t xml:space="preserve"> </w:t>
      </w:r>
      <w:r w:rsidRPr="00BB6220">
        <w:t>their</w:t>
      </w:r>
      <w:r w:rsidR="003D640C">
        <w:t xml:space="preserve"> </w:t>
      </w:r>
      <w:r w:rsidRPr="00BB6220">
        <w:t>sexual</w:t>
      </w:r>
      <w:r w:rsidR="003D640C">
        <w:t xml:space="preserve"> </w:t>
      </w:r>
      <w:r w:rsidRPr="00BB6220">
        <w:t>orientation,</w:t>
      </w:r>
      <w:r w:rsidR="003D640C">
        <w:t xml:space="preserve"> </w:t>
      </w:r>
      <w:r w:rsidRPr="00BB6220">
        <w:t>gender</w:t>
      </w:r>
      <w:r w:rsidR="003D640C">
        <w:t xml:space="preserve"> </w:t>
      </w:r>
      <w:r w:rsidR="00C669A0" w:rsidRPr="00BB6220">
        <w:t>identity</w:t>
      </w:r>
      <w:r w:rsidRPr="00BB6220">
        <w:t>,</w:t>
      </w:r>
      <w:r w:rsidR="003D640C">
        <w:t xml:space="preserve"> </w:t>
      </w:r>
      <w:r w:rsidRPr="00BB6220">
        <w:t>or</w:t>
      </w:r>
      <w:r w:rsidR="003D640C">
        <w:t xml:space="preserve"> </w:t>
      </w:r>
      <w:r w:rsidRPr="00BB6220">
        <w:t>gender</w:t>
      </w:r>
      <w:r w:rsidR="003D640C">
        <w:t xml:space="preserve"> </w:t>
      </w:r>
      <w:r w:rsidRPr="00BB6220">
        <w:t>expression.</w:t>
      </w:r>
    </w:p>
    <w:p w14:paraId="12F8281D" w14:textId="34E7B2DC" w:rsidR="00C0341E" w:rsidRPr="00BB6220" w:rsidRDefault="00925A37" w:rsidP="0097274F">
      <w:pPr>
        <w:rPr>
          <w:rFonts w:ascii="Calibri" w:eastAsia="Calibri" w:hAnsi="Calibri" w:cs="Calibri"/>
        </w:rPr>
      </w:pPr>
      <w:r>
        <w:t>As</w:t>
      </w:r>
      <w:r w:rsidR="003D640C">
        <w:t xml:space="preserve"> </w:t>
      </w:r>
      <w:r>
        <w:t>previously</w:t>
      </w:r>
      <w:r w:rsidR="003D640C">
        <w:t xml:space="preserve"> </w:t>
      </w:r>
      <w:r>
        <w:t>noted,</w:t>
      </w:r>
      <w:r w:rsidR="003D640C">
        <w:t xml:space="preserve"> </w:t>
      </w:r>
      <w:r>
        <w:t>t</w:t>
      </w:r>
      <w:r w:rsidR="00D05424" w:rsidRPr="00BB6220">
        <w:t>he</w:t>
      </w:r>
      <w:r w:rsidR="003D640C">
        <w:t xml:space="preserve"> </w:t>
      </w:r>
      <w:r w:rsidR="00C669A0" w:rsidRPr="00BB6220">
        <w:t>Rainbow</w:t>
      </w:r>
      <w:r w:rsidR="003D640C">
        <w:t xml:space="preserve"> </w:t>
      </w:r>
      <w:r w:rsidR="00D05424" w:rsidRPr="00BB6220">
        <w:t>community</w:t>
      </w:r>
      <w:r w:rsidR="003D640C">
        <w:t xml:space="preserve"> </w:t>
      </w:r>
      <w:r w:rsidR="001B2C60" w:rsidRPr="00BB6220">
        <w:t>experiences</w:t>
      </w:r>
      <w:r w:rsidR="003D640C">
        <w:t xml:space="preserve"> </w:t>
      </w:r>
      <w:r w:rsidR="00D05424" w:rsidRPr="00BB6220">
        <w:t>worse</w:t>
      </w:r>
      <w:r w:rsidR="003D640C">
        <w:t xml:space="preserve"> </w:t>
      </w:r>
      <w:r w:rsidR="00D05424" w:rsidRPr="00BB6220">
        <w:t>mental</w:t>
      </w:r>
      <w:r w:rsidR="003D640C">
        <w:t xml:space="preserve"> </w:t>
      </w:r>
      <w:r w:rsidR="00D05424" w:rsidRPr="00BB6220">
        <w:t>health</w:t>
      </w:r>
      <w:r w:rsidR="003D640C">
        <w:t xml:space="preserve"> </w:t>
      </w:r>
      <w:r w:rsidR="00D05424" w:rsidRPr="00BB6220">
        <w:t>outcomes</w:t>
      </w:r>
      <w:r w:rsidR="003D640C">
        <w:t xml:space="preserve"> </w:t>
      </w:r>
      <w:r w:rsidR="00D05424" w:rsidRPr="00BB6220">
        <w:t>than</w:t>
      </w:r>
      <w:r w:rsidR="003D640C">
        <w:t xml:space="preserve"> </w:t>
      </w:r>
      <w:r w:rsidR="00D05424" w:rsidRPr="00BB6220">
        <w:t>the</w:t>
      </w:r>
      <w:r w:rsidR="003D640C">
        <w:t xml:space="preserve"> </w:t>
      </w:r>
      <w:r w:rsidR="00D05424" w:rsidRPr="00BB6220">
        <w:t>general</w:t>
      </w:r>
      <w:r w:rsidR="003D640C">
        <w:t xml:space="preserve"> </w:t>
      </w:r>
      <w:r w:rsidR="00D05424" w:rsidRPr="00BB6220">
        <w:t>population</w:t>
      </w:r>
      <w:r w:rsidR="00383B02" w:rsidRPr="00BB6220">
        <w:t>,</w:t>
      </w:r>
      <w:r w:rsidR="003D640C">
        <w:t xml:space="preserve"> </w:t>
      </w:r>
      <w:r w:rsidR="00D05424" w:rsidRPr="00BB6220">
        <w:t>with</w:t>
      </w:r>
      <w:r w:rsidR="003D640C">
        <w:t xml:space="preserve"> </w:t>
      </w:r>
      <w:r w:rsidR="00D05424" w:rsidRPr="00BB6220">
        <w:t>transgender,</w:t>
      </w:r>
      <w:r w:rsidR="003D640C">
        <w:t xml:space="preserve"> </w:t>
      </w:r>
      <w:r w:rsidR="00D05424" w:rsidRPr="00BB6220">
        <w:t>non-binary,</w:t>
      </w:r>
      <w:r w:rsidR="003D640C">
        <w:t xml:space="preserve"> </w:t>
      </w:r>
      <w:r w:rsidR="00D05424" w:rsidRPr="00BB6220">
        <w:t>and</w:t>
      </w:r>
      <w:r w:rsidR="003D640C">
        <w:t xml:space="preserve"> </w:t>
      </w:r>
      <w:r w:rsidR="00D05424" w:rsidRPr="00BB6220">
        <w:t>gender</w:t>
      </w:r>
      <w:r w:rsidR="003D640C">
        <w:t xml:space="preserve"> </w:t>
      </w:r>
      <w:r w:rsidR="00D05424" w:rsidRPr="00BB6220">
        <w:t>diverse</w:t>
      </w:r>
      <w:r w:rsidR="003D640C">
        <w:t xml:space="preserve"> </w:t>
      </w:r>
      <w:r w:rsidR="00D05424" w:rsidRPr="00BB6220">
        <w:t>people</w:t>
      </w:r>
      <w:r w:rsidR="003D640C">
        <w:t xml:space="preserve"> </w:t>
      </w:r>
      <w:r w:rsidR="00D05424" w:rsidRPr="00BB6220">
        <w:t>experiencing</w:t>
      </w:r>
      <w:r w:rsidR="003D640C">
        <w:t xml:space="preserve"> </w:t>
      </w:r>
      <w:r w:rsidR="00D05424" w:rsidRPr="00BB6220">
        <w:t>particularly</w:t>
      </w:r>
      <w:r w:rsidR="003D640C">
        <w:t xml:space="preserve"> </w:t>
      </w:r>
      <w:r w:rsidR="00D05424" w:rsidRPr="00BB6220">
        <w:t>negative</w:t>
      </w:r>
      <w:r w:rsidR="003D640C">
        <w:t xml:space="preserve"> </w:t>
      </w:r>
      <w:r w:rsidR="00D05424" w:rsidRPr="00BB6220">
        <w:t>outcomes.</w:t>
      </w:r>
      <w:r w:rsidR="00412E3A" w:rsidRPr="00BB6220">
        <w:rPr>
          <w:rStyle w:val="FootnoteReference"/>
        </w:rPr>
        <w:footnoteReference w:id="99"/>
      </w:r>
      <w:r w:rsidR="003D640C">
        <w:t xml:space="preserve"> </w:t>
      </w:r>
      <w:r w:rsidR="00C7666E" w:rsidRPr="00BB6220">
        <w:rPr>
          <w:rFonts w:ascii="Calibri" w:eastAsia="Calibri" w:hAnsi="Calibri" w:cs="Calibri"/>
        </w:rPr>
        <w:t>P</w:t>
      </w:r>
      <w:r w:rsidR="00D05424" w:rsidRPr="00BB6220">
        <w:rPr>
          <w:rFonts w:ascii="Calibri" w:eastAsia="Calibri" w:hAnsi="Calibri" w:cs="Calibri"/>
        </w:rPr>
        <w:t>eople</w:t>
      </w:r>
      <w:r w:rsidR="003D640C">
        <w:rPr>
          <w:rFonts w:ascii="Calibri" w:eastAsia="Calibri" w:hAnsi="Calibri" w:cs="Calibri"/>
        </w:rPr>
        <w:t xml:space="preserve"> </w:t>
      </w:r>
      <w:r w:rsidR="00D05424" w:rsidRPr="00BB6220">
        <w:rPr>
          <w:rFonts w:ascii="Calibri" w:eastAsia="Calibri" w:hAnsi="Calibri" w:cs="Calibri"/>
        </w:rPr>
        <w:t>who</w:t>
      </w:r>
      <w:r w:rsidR="003D640C">
        <w:rPr>
          <w:rFonts w:ascii="Calibri" w:eastAsia="Calibri" w:hAnsi="Calibri" w:cs="Calibri"/>
        </w:rPr>
        <w:t xml:space="preserve"> </w:t>
      </w:r>
      <w:r w:rsidR="00D05424" w:rsidRPr="00BB6220">
        <w:rPr>
          <w:rFonts w:ascii="Calibri" w:eastAsia="Calibri" w:hAnsi="Calibri" w:cs="Calibri"/>
        </w:rPr>
        <w:t>have</w:t>
      </w:r>
      <w:r w:rsidR="003D640C">
        <w:rPr>
          <w:rFonts w:ascii="Calibri" w:eastAsia="Calibri" w:hAnsi="Calibri" w:cs="Calibri"/>
        </w:rPr>
        <w:t xml:space="preserve"> </w:t>
      </w:r>
      <w:r w:rsidR="00D05424" w:rsidRPr="00BB6220">
        <w:rPr>
          <w:rFonts w:ascii="Calibri" w:eastAsia="Calibri" w:hAnsi="Calibri" w:cs="Calibri"/>
        </w:rPr>
        <w:t>experienced</w:t>
      </w:r>
      <w:r w:rsidR="003D640C">
        <w:rPr>
          <w:rFonts w:ascii="Calibri" w:eastAsia="Calibri" w:hAnsi="Calibri" w:cs="Calibri"/>
        </w:rPr>
        <w:t xml:space="preserve"> </w:t>
      </w:r>
      <w:r w:rsidR="00D05424" w:rsidRPr="00BB6220">
        <w:rPr>
          <w:rFonts w:ascii="Calibri" w:eastAsia="Calibri" w:hAnsi="Calibri" w:cs="Calibri"/>
        </w:rPr>
        <w:t>conversion</w:t>
      </w:r>
      <w:r w:rsidR="003D640C">
        <w:rPr>
          <w:rFonts w:ascii="Calibri" w:eastAsia="Calibri" w:hAnsi="Calibri" w:cs="Calibri"/>
        </w:rPr>
        <w:t xml:space="preserve"> </w:t>
      </w:r>
      <w:r w:rsidR="00D05424" w:rsidRPr="00BB6220">
        <w:rPr>
          <w:rFonts w:ascii="Calibri" w:eastAsia="Calibri" w:hAnsi="Calibri" w:cs="Calibri"/>
        </w:rPr>
        <w:t>practices</w:t>
      </w:r>
      <w:r w:rsidR="003D640C">
        <w:rPr>
          <w:rFonts w:ascii="Calibri" w:eastAsia="Calibri" w:hAnsi="Calibri" w:cs="Calibri"/>
        </w:rPr>
        <w:t xml:space="preserve"> </w:t>
      </w:r>
      <w:r w:rsidR="00D05424" w:rsidRPr="00BB6220">
        <w:rPr>
          <w:rFonts w:ascii="Calibri" w:eastAsia="Calibri" w:hAnsi="Calibri" w:cs="Calibri"/>
        </w:rPr>
        <w:t>have</w:t>
      </w:r>
      <w:r w:rsidR="003D640C">
        <w:rPr>
          <w:rFonts w:ascii="Calibri" w:eastAsia="Calibri" w:hAnsi="Calibri" w:cs="Calibri"/>
        </w:rPr>
        <w:t xml:space="preserve"> </w:t>
      </w:r>
      <w:r w:rsidR="00D05424" w:rsidRPr="00BB6220">
        <w:rPr>
          <w:rFonts w:ascii="Calibri" w:eastAsia="Calibri" w:hAnsi="Calibri" w:cs="Calibri"/>
        </w:rPr>
        <w:t>often</w:t>
      </w:r>
      <w:r w:rsidR="003D640C">
        <w:rPr>
          <w:rFonts w:ascii="Calibri" w:eastAsia="Calibri" w:hAnsi="Calibri" w:cs="Calibri"/>
        </w:rPr>
        <w:t xml:space="preserve"> </w:t>
      </w:r>
      <w:r w:rsidR="00D05424" w:rsidRPr="00BB6220">
        <w:rPr>
          <w:rFonts w:ascii="Calibri" w:eastAsia="Calibri" w:hAnsi="Calibri" w:cs="Calibri"/>
        </w:rPr>
        <w:t>faced</w:t>
      </w:r>
      <w:r w:rsidR="003D640C">
        <w:rPr>
          <w:rFonts w:ascii="Calibri" w:eastAsia="Calibri" w:hAnsi="Calibri" w:cs="Calibri"/>
        </w:rPr>
        <w:t xml:space="preserve"> </w:t>
      </w:r>
      <w:r w:rsidR="00412E3A" w:rsidRPr="00BB6220">
        <w:rPr>
          <w:rFonts w:ascii="Calibri" w:eastAsia="Calibri" w:hAnsi="Calibri" w:cs="Calibri"/>
        </w:rPr>
        <w:t>–</w:t>
      </w:r>
      <w:r w:rsidR="003D640C">
        <w:rPr>
          <w:rFonts w:ascii="Calibri" w:eastAsia="Calibri" w:hAnsi="Calibri" w:cs="Calibri"/>
        </w:rPr>
        <w:t xml:space="preserve"> </w:t>
      </w:r>
      <w:r w:rsidR="00D05424" w:rsidRPr="00BB6220">
        <w:rPr>
          <w:rFonts w:ascii="Calibri" w:eastAsia="Calibri" w:hAnsi="Calibri" w:cs="Calibri"/>
        </w:rPr>
        <w:t>or</w:t>
      </w:r>
      <w:r w:rsidR="003D640C">
        <w:rPr>
          <w:rFonts w:ascii="Calibri" w:eastAsia="Calibri" w:hAnsi="Calibri" w:cs="Calibri"/>
        </w:rPr>
        <w:t xml:space="preserve"> </w:t>
      </w:r>
      <w:r w:rsidR="00D05424" w:rsidRPr="00BB6220">
        <w:rPr>
          <w:rFonts w:ascii="Calibri" w:eastAsia="Calibri" w:hAnsi="Calibri" w:cs="Calibri"/>
        </w:rPr>
        <w:t>will</w:t>
      </w:r>
      <w:r w:rsidR="003D640C">
        <w:rPr>
          <w:rFonts w:ascii="Calibri" w:eastAsia="Calibri" w:hAnsi="Calibri" w:cs="Calibri"/>
        </w:rPr>
        <w:t xml:space="preserve"> </w:t>
      </w:r>
      <w:r w:rsidR="00D05424" w:rsidRPr="00BB6220">
        <w:rPr>
          <w:rFonts w:ascii="Calibri" w:eastAsia="Calibri" w:hAnsi="Calibri" w:cs="Calibri"/>
        </w:rPr>
        <w:t>continue</w:t>
      </w:r>
      <w:r w:rsidR="003D640C">
        <w:rPr>
          <w:rFonts w:ascii="Calibri" w:eastAsia="Calibri" w:hAnsi="Calibri" w:cs="Calibri"/>
        </w:rPr>
        <w:t xml:space="preserve"> </w:t>
      </w:r>
      <w:r w:rsidR="00D05424" w:rsidRPr="00BB6220">
        <w:rPr>
          <w:rFonts w:ascii="Calibri" w:eastAsia="Calibri" w:hAnsi="Calibri" w:cs="Calibri"/>
        </w:rPr>
        <w:t>to</w:t>
      </w:r>
      <w:r w:rsidR="003D640C">
        <w:rPr>
          <w:rFonts w:ascii="Calibri" w:eastAsia="Calibri" w:hAnsi="Calibri" w:cs="Calibri"/>
        </w:rPr>
        <w:t xml:space="preserve"> </w:t>
      </w:r>
      <w:r w:rsidR="00D05424" w:rsidRPr="00BB6220">
        <w:rPr>
          <w:rFonts w:ascii="Calibri" w:eastAsia="Calibri" w:hAnsi="Calibri" w:cs="Calibri"/>
        </w:rPr>
        <w:t>face</w:t>
      </w:r>
      <w:r w:rsidR="003D640C">
        <w:rPr>
          <w:rFonts w:ascii="Calibri" w:eastAsia="Calibri" w:hAnsi="Calibri" w:cs="Calibri"/>
        </w:rPr>
        <w:t xml:space="preserve"> </w:t>
      </w:r>
      <w:r w:rsidR="00412E3A" w:rsidRPr="00BB6220">
        <w:rPr>
          <w:rFonts w:ascii="Calibri" w:eastAsia="Calibri" w:hAnsi="Calibri" w:cs="Calibri"/>
        </w:rPr>
        <w:t>–</w:t>
      </w:r>
      <w:r w:rsidR="003D640C">
        <w:rPr>
          <w:rFonts w:ascii="Calibri" w:eastAsia="Calibri" w:hAnsi="Calibri" w:cs="Calibri"/>
        </w:rPr>
        <w:t xml:space="preserve"> </w:t>
      </w:r>
      <w:r w:rsidR="00D05424" w:rsidRPr="00BB6220">
        <w:rPr>
          <w:rFonts w:ascii="Calibri" w:eastAsia="Calibri" w:hAnsi="Calibri" w:cs="Calibri"/>
        </w:rPr>
        <w:t>abusive</w:t>
      </w:r>
      <w:r w:rsidR="003D640C">
        <w:rPr>
          <w:rFonts w:ascii="Calibri" w:eastAsia="Calibri" w:hAnsi="Calibri" w:cs="Calibri"/>
        </w:rPr>
        <w:t xml:space="preserve"> </w:t>
      </w:r>
      <w:r w:rsidR="00D05424" w:rsidRPr="00BB6220">
        <w:rPr>
          <w:rFonts w:ascii="Calibri" w:eastAsia="Calibri" w:hAnsi="Calibri" w:cs="Calibri"/>
        </w:rPr>
        <w:t>relationships</w:t>
      </w:r>
      <w:r w:rsidR="003D640C">
        <w:rPr>
          <w:rFonts w:ascii="Calibri" w:eastAsia="Calibri" w:hAnsi="Calibri" w:cs="Calibri"/>
        </w:rPr>
        <w:t xml:space="preserve"> </w:t>
      </w:r>
      <w:r w:rsidR="00D05424" w:rsidRPr="00BB6220">
        <w:rPr>
          <w:rFonts w:ascii="Calibri" w:eastAsia="Calibri" w:hAnsi="Calibri" w:cs="Calibri"/>
        </w:rPr>
        <w:t>within</w:t>
      </w:r>
      <w:r w:rsidR="003D640C">
        <w:rPr>
          <w:rFonts w:ascii="Calibri" w:eastAsia="Calibri" w:hAnsi="Calibri" w:cs="Calibri"/>
        </w:rPr>
        <w:t xml:space="preserve"> </w:t>
      </w:r>
      <w:r w:rsidR="00D05424" w:rsidRPr="00BB6220">
        <w:rPr>
          <w:rFonts w:ascii="Calibri" w:eastAsia="Calibri" w:hAnsi="Calibri" w:cs="Calibri"/>
        </w:rPr>
        <w:t>their</w:t>
      </w:r>
      <w:r w:rsidR="003D640C">
        <w:rPr>
          <w:rFonts w:ascii="Calibri" w:eastAsia="Calibri" w:hAnsi="Calibri" w:cs="Calibri"/>
        </w:rPr>
        <w:t xml:space="preserve"> </w:t>
      </w:r>
      <w:r w:rsidR="00D05424" w:rsidRPr="00BB6220">
        <w:rPr>
          <w:rFonts w:ascii="Calibri" w:eastAsia="Calibri" w:hAnsi="Calibri" w:cs="Calibri"/>
        </w:rPr>
        <w:t>community,</w:t>
      </w:r>
      <w:r w:rsidR="003D640C">
        <w:rPr>
          <w:rFonts w:ascii="Calibri" w:eastAsia="Calibri" w:hAnsi="Calibri" w:cs="Calibri"/>
        </w:rPr>
        <w:t xml:space="preserve"> </w:t>
      </w:r>
      <w:r w:rsidR="67DF2B07" w:rsidRPr="00BB6220">
        <w:rPr>
          <w:rFonts w:ascii="Calibri" w:eastAsia="Calibri" w:hAnsi="Calibri" w:cs="Calibri"/>
        </w:rPr>
        <w:t>post-traumatic</w:t>
      </w:r>
      <w:r w:rsidR="003D640C">
        <w:rPr>
          <w:rFonts w:ascii="Calibri" w:eastAsia="Calibri" w:hAnsi="Calibri" w:cs="Calibri"/>
        </w:rPr>
        <w:t xml:space="preserve"> </w:t>
      </w:r>
      <w:r w:rsidR="67DF2B07" w:rsidRPr="00BB6220">
        <w:rPr>
          <w:rFonts w:ascii="Calibri" w:eastAsia="Calibri" w:hAnsi="Calibri" w:cs="Calibri"/>
        </w:rPr>
        <w:t>stress</w:t>
      </w:r>
      <w:r w:rsidR="003D640C">
        <w:rPr>
          <w:rFonts w:ascii="Calibri" w:eastAsia="Calibri" w:hAnsi="Calibri" w:cs="Calibri"/>
        </w:rPr>
        <w:t xml:space="preserve"> </w:t>
      </w:r>
      <w:r w:rsidR="67DF2B07" w:rsidRPr="00BB6220">
        <w:rPr>
          <w:rFonts w:ascii="Calibri" w:eastAsia="Calibri" w:hAnsi="Calibri" w:cs="Calibri"/>
        </w:rPr>
        <w:lastRenderedPageBreak/>
        <w:t>disorder</w:t>
      </w:r>
      <w:r w:rsidR="00D05424" w:rsidRPr="00BB6220">
        <w:rPr>
          <w:rFonts w:ascii="Calibri" w:eastAsia="Calibri" w:hAnsi="Calibri" w:cs="Calibri"/>
        </w:rPr>
        <w:t>,</w:t>
      </w:r>
      <w:r w:rsidR="003D640C">
        <w:rPr>
          <w:rFonts w:ascii="Calibri" w:eastAsia="Calibri" w:hAnsi="Calibri" w:cs="Calibri"/>
        </w:rPr>
        <w:t xml:space="preserve"> </w:t>
      </w:r>
      <w:r w:rsidR="00D05424" w:rsidRPr="00BB6220">
        <w:rPr>
          <w:rFonts w:ascii="Calibri" w:eastAsia="Calibri" w:hAnsi="Calibri" w:cs="Calibri"/>
        </w:rPr>
        <w:t>major</w:t>
      </w:r>
      <w:r w:rsidR="003D640C">
        <w:rPr>
          <w:rFonts w:ascii="Calibri" w:eastAsia="Calibri" w:hAnsi="Calibri" w:cs="Calibri"/>
        </w:rPr>
        <w:t xml:space="preserve"> </w:t>
      </w:r>
      <w:r w:rsidR="00D05424" w:rsidRPr="00BB6220">
        <w:rPr>
          <w:rFonts w:ascii="Calibri" w:eastAsia="Calibri" w:hAnsi="Calibri" w:cs="Calibri"/>
        </w:rPr>
        <w:t>traumatic</w:t>
      </w:r>
      <w:r w:rsidR="003D640C">
        <w:rPr>
          <w:rFonts w:ascii="Calibri" w:eastAsia="Calibri" w:hAnsi="Calibri" w:cs="Calibri"/>
        </w:rPr>
        <w:t xml:space="preserve"> </w:t>
      </w:r>
      <w:r w:rsidR="00D05424" w:rsidRPr="00BB6220">
        <w:rPr>
          <w:rFonts w:ascii="Calibri" w:eastAsia="Calibri" w:hAnsi="Calibri" w:cs="Calibri"/>
        </w:rPr>
        <w:t>incidents</w:t>
      </w:r>
      <w:r w:rsidR="00A929D2">
        <w:rPr>
          <w:rFonts w:ascii="Calibri" w:eastAsia="Calibri" w:hAnsi="Calibri" w:cs="Calibri"/>
        </w:rPr>
        <w:t>,</w:t>
      </w:r>
      <w:r w:rsidR="003D640C">
        <w:rPr>
          <w:rFonts w:ascii="Calibri" w:eastAsia="Calibri" w:hAnsi="Calibri" w:cs="Calibri"/>
        </w:rPr>
        <w:t xml:space="preserve"> </w:t>
      </w:r>
      <w:r w:rsidR="00D05424" w:rsidRPr="00BB6220">
        <w:rPr>
          <w:rFonts w:ascii="Calibri" w:eastAsia="Calibri" w:hAnsi="Calibri" w:cs="Calibri"/>
        </w:rPr>
        <w:t>and</w:t>
      </w:r>
      <w:r w:rsidR="003D640C">
        <w:rPr>
          <w:rFonts w:ascii="Calibri" w:eastAsia="Calibri" w:hAnsi="Calibri" w:cs="Calibri"/>
        </w:rPr>
        <w:t xml:space="preserve"> </w:t>
      </w:r>
      <w:r w:rsidR="00D05424" w:rsidRPr="00BB6220">
        <w:rPr>
          <w:rFonts w:ascii="Calibri" w:eastAsia="Calibri" w:hAnsi="Calibri" w:cs="Calibri"/>
        </w:rPr>
        <w:t>accumulated</w:t>
      </w:r>
      <w:r w:rsidR="003D640C">
        <w:rPr>
          <w:rFonts w:ascii="Calibri" w:eastAsia="Calibri" w:hAnsi="Calibri" w:cs="Calibri"/>
        </w:rPr>
        <w:t xml:space="preserve"> </w:t>
      </w:r>
      <w:r w:rsidR="00D05424" w:rsidRPr="00BB6220">
        <w:rPr>
          <w:rFonts w:ascii="Calibri" w:eastAsia="Calibri" w:hAnsi="Calibri" w:cs="Calibri"/>
        </w:rPr>
        <w:t>microtrauma</w:t>
      </w:r>
      <w:r w:rsidR="00412E3A" w:rsidRPr="00BB6220">
        <w:rPr>
          <w:rFonts w:ascii="Calibri" w:eastAsia="Calibri" w:hAnsi="Calibri" w:cs="Calibri"/>
        </w:rPr>
        <w:t>.</w:t>
      </w:r>
      <w:r w:rsidR="003D640C">
        <w:rPr>
          <w:rFonts w:ascii="Calibri" w:eastAsia="Calibri" w:hAnsi="Calibri" w:cs="Calibri"/>
        </w:rPr>
        <w:t xml:space="preserve"> </w:t>
      </w:r>
      <w:r w:rsidR="00412E3A" w:rsidRPr="00BB6220">
        <w:rPr>
          <w:rFonts w:ascii="Calibri" w:eastAsia="Calibri" w:hAnsi="Calibri" w:cs="Calibri"/>
        </w:rPr>
        <w:t>These</w:t>
      </w:r>
      <w:r w:rsidR="003D640C">
        <w:rPr>
          <w:rFonts w:ascii="Calibri" w:eastAsia="Calibri" w:hAnsi="Calibri" w:cs="Calibri"/>
        </w:rPr>
        <w:t xml:space="preserve"> </w:t>
      </w:r>
      <w:r w:rsidR="00412E3A" w:rsidRPr="00BB6220">
        <w:rPr>
          <w:rFonts w:ascii="Calibri" w:eastAsia="Calibri" w:hAnsi="Calibri" w:cs="Calibri"/>
        </w:rPr>
        <w:t>experiences</w:t>
      </w:r>
      <w:r w:rsidR="003D640C">
        <w:rPr>
          <w:rFonts w:ascii="Calibri" w:eastAsia="Calibri" w:hAnsi="Calibri" w:cs="Calibri"/>
        </w:rPr>
        <w:t xml:space="preserve"> </w:t>
      </w:r>
      <w:r w:rsidR="00412E3A" w:rsidRPr="00BB6220">
        <w:rPr>
          <w:rFonts w:ascii="Calibri" w:eastAsia="Calibri" w:hAnsi="Calibri" w:cs="Calibri"/>
        </w:rPr>
        <w:t>are</w:t>
      </w:r>
      <w:r w:rsidR="003D640C">
        <w:rPr>
          <w:rFonts w:ascii="Calibri" w:eastAsia="Calibri" w:hAnsi="Calibri" w:cs="Calibri"/>
        </w:rPr>
        <w:t xml:space="preserve"> </w:t>
      </w:r>
      <w:r w:rsidR="00412E3A" w:rsidRPr="00BB6220">
        <w:rPr>
          <w:rFonts w:ascii="Calibri" w:eastAsia="Calibri" w:hAnsi="Calibri" w:cs="Calibri"/>
        </w:rPr>
        <w:t>in</w:t>
      </w:r>
      <w:r w:rsidR="003D640C">
        <w:rPr>
          <w:rFonts w:ascii="Calibri" w:eastAsia="Calibri" w:hAnsi="Calibri" w:cs="Calibri"/>
        </w:rPr>
        <w:t xml:space="preserve"> </w:t>
      </w:r>
      <w:r w:rsidR="00412E3A" w:rsidRPr="00BB6220">
        <w:rPr>
          <w:rFonts w:ascii="Calibri" w:eastAsia="Calibri" w:hAnsi="Calibri" w:cs="Calibri"/>
        </w:rPr>
        <w:t>addition</w:t>
      </w:r>
      <w:r w:rsidR="003D640C">
        <w:rPr>
          <w:rFonts w:ascii="Calibri" w:eastAsia="Calibri" w:hAnsi="Calibri" w:cs="Calibri"/>
        </w:rPr>
        <w:t xml:space="preserve"> </w:t>
      </w:r>
      <w:r w:rsidR="00412E3A" w:rsidRPr="00BB6220">
        <w:rPr>
          <w:rFonts w:ascii="Calibri" w:eastAsia="Calibri" w:hAnsi="Calibri" w:cs="Calibri"/>
        </w:rPr>
        <w:t>to</w:t>
      </w:r>
      <w:r w:rsidR="003D640C">
        <w:rPr>
          <w:rFonts w:ascii="Calibri" w:eastAsia="Calibri" w:hAnsi="Calibri" w:cs="Calibri"/>
        </w:rPr>
        <w:t xml:space="preserve"> </w:t>
      </w:r>
      <w:r w:rsidR="00412E3A" w:rsidRPr="00BB6220">
        <w:rPr>
          <w:rFonts w:ascii="Calibri" w:eastAsia="Calibri" w:hAnsi="Calibri" w:cs="Calibri"/>
        </w:rPr>
        <w:t>the</w:t>
      </w:r>
      <w:r w:rsidR="003D640C">
        <w:rPr>
          <w:rFonts w:ascii="Calibri" w:eastAsia="Calibri" w:hAnsi="Calibri" w:cs="Calibri"/>
        </w:rPr>
        <w:t xml:space="preserve"> </w:t>
      </w:r>
      <w:r w:rsidR="00412E3A" w:rsidRPr="00BB6220">
        <w:rPr>
          <w:rFonts w:ascii="Calibri" w:eastAsia="Calibri" w:hAnsi="Calibri" w:cs="Calibri"/>
        </w:rPr>
        <w:t>frequent</w:t>
      </w:r>
      <w:r w:rsidR="003D640C">
        <w:rPr>
          <w:rFonts w:ascii="Calibri" w:eastAsia="Calibri" w:hAnsi="Calibri" w:cs="Calibri"/>
        </w:rPr>
        <w:t xml:space="preserve"> </w:t>
      </w:r>
      <w:r w:rsidR="00D05424" w:rsidRPr="00BB6220">
        <w:rPr>
          <w:rFonts w:ascii="Calibri" w:eastAsia="Calibri" w:hAnsi="Calibri" w:cs="Calibri"/>
        </w:rPr>
        <w:t>burden</w:t>
      </w:r>
      <w:r w:rsidR="003D640C">
        <w:rPr>
          <w:rFonts w:ascii="Calibri" w:eastAsia="Calibri" w:hAnsi="Calibri" w:cs="Calibri"/>
        </w:rPr>
        <w:t xml:space="preserve"> </w:t>
      </w:r>
      <w:r w:rsidR="00D05424" w:rsidRPr="00BB6220">
        <w:rPr>
          <w:rFonts w:ascii="Calibri" w:eastAsia="Calibri" w:hAnsi="Calibri" w:cs="Calibri"/>
        </w:rPr>
        <w:t>of</w:t>
      </w:r>
      <w:r w:rsidR="003D640C">
        <w:rPr>
          <w:rFonts w:ascii="Calibri" w:eastAsia="Calibri" w:hAnsi="Calibri" w:cs="Calibri"/>
        </w:rPr>
        <w:t xml:space="preserve"> </w:t>
      </w:r>
      <w:r w:rsidR="00FB2ABF" w:rsidRPr="00BB6220">
        <w:rPr>
          <w:rFonts w:ascii="Calibri" w:eastAsia="Calibri" w:hAnsi="Calibri" w:cs="Calibri"/>
        </w:rPr>
        <w:t>repe</w:t>
      </w:r>
      <w:r w:rsidR="00FB2ABF">
        <w:rPr>
          <w:rFonts w:ascii="Calibri" w:eastAsia="Calibri" w:hAnsi="Calibri" w:cs="Calibri"/>
        </w:rPr>
        <w:t>ated</w:t>
      </w:r>
      <w:r w:rsidR="003D640C">
        <w:rPr>
          <w:rFonts w:ascii="Calibri" w:eastAsia="Calibri" w:hAnsi="Calibri" w:cs="Calibri"/>
        </w:rPr>
        <w:t xml:space="preserve"> </w:t>
      </w:r>
      <w:r w:rsidR="00231D7D" w:rsidRPr="00BB6220">
        <w:rPr>
          <w:rFonts w:ascii="Calibri" w:eastAsia="Calibri" w:hAnsi="Calibri" w:cs="Calibri"/>
        </w:rPr>
        <w:t>negative</w:t>
      </w:r>
      <w:r w:rsidR="003D640C">
        <w:rPr>
          <w:rFonts w:ascii="Calibri" w:eastAsia="Calibri" w:hAnsi="Calibri" w:cs="Calibri"/>
        </w:rPr>
        <w:t xml:space="preserve"> </w:t>
      </w:r>
      <w:r w:rsidR="00D05424" w:rsidRPr="00BB6220">
        <w:rPr>
          <w:rFonts w:ascii="Calibri" w:eastAsia="Calibri" w:hAnsi="Calibri" w:cs="Calibri"/>
        </w:rPr>
        <w:t>coming</w:t>
      </w:r>
      <w:r w:rsidR="003D640C">
        <w:rPr>
          <w:rFonts w:ascii="Calibri" w:eastAsia="Calibri" w:hAnsi="Calibri" w:cs="Calibri"/>
        </w:rPr>
        <w:t xml:space="preserve"> </w:t>
      </w:r>
      <w:r w:rsidR="00D05424" w:rsidRPr="00BB6220">
        <w:rPr>
          <w:rFonts w:ascii="Calibri" w:eastAsia="Calibri" w:hAnsi="Calibri" w:cs="Calibri"/>
        </w:rPr>
        <w:t>out</w:t>
      </w:r>
      <w:r w:rsidR="003D640C">
        <w:rPr>
          <w:rFonts w:ascii="Calibri" w:eastAsia="Calibri" w:hAnsi="Calibri" w:cs="Calibri"/>
        </w:rPr>
        <w:t xml:space="preserve"> </w:t>
      </w:r>
      <w:r w:rsidR="00231D7D" w:rsidRPr="00BB6220">
        <w:rPr>
          <w:rFonts w:ascii="Calibri" w:eastAsia="Calibri" w:hAnsi="Calibri" w:cs="Calibri"/>
        </w:rPr>
        <w:t>experiences</w:t>
      </w:r>
      <w:r w:rsidR="00D05424" w:rsidRPr="00BB6220">
        <w:rPr>
          <w:rFonts w:ascii="Calibri" w:eastAsia="Calibri" w:hAnsi="Calibri" w:cs="Calibri"/>
        </w:rPr>
        <w:t>.</w:t>
      </w:r>
      <w:r w:rsidR="00D05424" w:rsidRPr="00BB6220">
        <w:rPr>
          <w:rStyle w:val="FootnoteReference"/>
          <w:rFonts w:ascii="Calibri" w:eastAsia="Calibri" w:hAnsi="Calibri" w:cs="Calibri"/>
        </w:rPr>
        <w:footnoteReference w:id="100"/>
      </w:r>
    </w:p>
    <w:p w14:paraId="0206EEE6" w14:textId="6FD89BBC" w:rsidR="00D05424" w:rsidRPr="00BB6220" w:rsidRDefault="00D05424" w:rsidP="0097274F">
      <w:r w:rsidRPr="00BB6220">
        <w:t>The</w:t>
      </w:r>
      <w:r w:rsidR="003D640C">
        <w:t xml:space="preserve"> </w:t>
      </w:r>
      <w:r w:rsidR="00A47D09" w:rsidRPr="00BB6220">
        <w:t>negative</w:t>
      </w:r>
      <w:r w:rsidR="003D640C">
        <w:t xml:space="preserve"> </w:t>
      </w:r>
      <w:r w:rsidRPr="00BB6220">
        <w:t>mental</w:t>
      </w:r>
      <w:r w:rsidR="003D640C">
        <w:t xml:space="preserve"> </w:t>
      </w:r>
      <w:r w:rsidRPr="00BB6220">
        <w:t>health</w:t>
      </w:r>
      <w:r w:rsidR="003D640C">
        <w:t xml:space="preserve"> </w:t>
      </w:r>
      <w:r w:rsidR="00A47D09" w:rsidRPr="00BB6220">
        <w:t>effects</w:t>
      </w:r>
      <w:r w:rsidR="003D640C">
        <w:t xml:space="preserve"> </w:t>
      </w:r>
      <w:r w:rsidR="001976BE">
        <w:t>experience</w:t>
      </w:r>
      <w:r w:rsidR="00643E47">
        <w:t>d</w:t>
      </w:r>
      <w:r w:rsidR="003D640C">
        <w:t xml:space="preserve"> </w:t>
      </w:r>
      <w:r w:rsidR="00643E47">
        <w:t>by</w:t>
      </w:r>
      <w:r w:rsidR="003D640C">
        <w:t xml:space="preserve"> </w:t>
      </w:r>
      <w:r w:rsidR="00643E47">
        <w:t>those</w:t>
      </w:r>
      <w:r w:rsidR="003D640C">
        <w:t xml:space="preserve"> </w:t>
      </w:r>
      <w:r w:rsidR="00643E47">
        <w:t>belonging</w:t>
      </w:r>
      <w:r w:rsidR="003D640C">
        <w:t xml:space="preserve"> </w:t>
      </w:r>
      <w:r w:rsidR="00643E47">
        <w:t>to</w:t>
      </w:r>
      <w:r w:rsidR="003D640C">
        <w:t xml:space="preserve"> </w:t>
      </w:r>
      <w:r w:rsidR="00643E47">
        <w:t>a</w:t>
      </w:r>
      <w:r w:rsidR="003D640C">
        <w:t xml:space="preserve"> </w:t>
      </w:r>
      <w:r w:rsidR="00342E6C" w:rsidRPr="00BB6220">
        <w:t>marginalised</w:t>
      </w:r>
      <w:r w:rsidR="003D640C">
        <w:t xml:space="preserve"> </w:t>
      </w:r>
      <w:r w:rsidRPr="00BB6220">
        <w:t>community</w:t>
      </w:r>
      <w:r w:rsidR="003D640C">
        <w:t xml:space="preserve"> </w:t>
      </w:r>
      <w:r w:rsidR="00423685" w:rsidRPr="00BB6220">
        <w:t>is</w:t>
      </w:r>
      <w:r w:rsidR="003D640C">
        <w:t xml:space="preserve"> </w:t>
      </w:r>
      <w:r w:rsidRPr="00BB6220">
        <w:t>significantly</w:t>
      </w:r>
      <w:r w:rsidR="003D640C">
        <w:t xml:space="preserve"> </w:t>
      </w:r>
      <w:r w:rsidR="00CE21CB" w:rsidRPr="00BB6220">
        <w:t>increased</w:t>
      </w:r>
      <w:r w:rsidR="003D640C">
        <w:t xml:space="preserve"> </w:t>
      </w:r>
      <w:r w:rsidRPr="00BB6220">
        <w:t>when</w:t>
      </w:r>
      <w:r w:rsidR="003D640C">
        <w:t xml:space="preserve"> </w:t>
      </w:r>
      <w:r w:rsidRPr="00BB6220">
        <w:t>mental</w:t>
      </w:r>
      <w:r w:rsidR="003D640C">
        <w:t xml:space="preserve"> </w:t>
      </w:r>
      <w:r w:rsidRPr="00BB6220">
        <w:t>healthcare</w:t>
      </w:r>
      <w:r w:rsidR="003D640C">
        <w:t xml:space="preserve"> </w:t>
      </w:r>
      <w:r w:rsidRPr="00BB6220">
        <w:t>is</w:t>
      </w:r>
      <w:r w:rsidR="003D640C">
        <w:t xml:space="preserve"> </w:t>
      </w:r>
      <w:r w:rsidRPr="00BB6220">
        <w:t>driven</w:t>
      </w:r>
      <w:r w:rsidR="003D640C">
        <w:t xml:space="preserve"> </w:t>
      </w:r>
      <w:r w:rsidRPr="00BB6220">
        <w:t>by</w:t>
      </w:r>
      <w:r w:rsidR="003D640C">
        <w:t xml:space="preserve"> </w:t>
      </w:r>
      <w:r w:rsidRPr="00BB6220">
        <w:t>conversion</w:t>
      </w:r>
      <w:r w:rsidR="003D640C">
        <w:t xml:space="preserve"> </w:t>
      </w:r>
      <w:r w:rsidRPr="00BB6220">
        <w:t>ideology</w:t>
      </w:r>
      <w:r w:rsidR="003D640C">
        <w:t xml:space="preserve"> </w:t>
      </w:r>
      <w:r w:rsidRPr="00BB6220">
        <w:t>and</w:t>
      </w:r>
      <w:r w:rsidR="003D640C">
        <w:t xml:space="preserve"> </w:t>
      </w:r>
      <w:r w:rsidRPr="00BB6220">
        <w:t>attempt</w:t>
      </w:r>
      <w:r w:rsidR="007437B0" w:rsidRPr="00BB6220">
        <w:t>s</w:t>
      </w:r>
      <w:r w:rsidR="003D640C">
        <w:t xml:space="preserve"> </w:t>
      </w:r>
      <w:r w:rsidRPr="00BB6220">
        <w:t>to</w:t>
      </w:r>
      <w:r w:rsidR="003D640C">
        <w:t xml:space="preserve"> </w:t>
      </w:r>
      <w:r w:rsidRPr="00BB6220">
        <w:t>delay</w:t>
      </w:r>
      <w:r w:rsidR="003D640C">
        <w:t xml:space="preserve"> </w:t>
      </w:r>
      <w:r w:rsidRPr="00BB6220">
        <w:t>the</w:t>
      </w:r>
      <w:r w:rsidR="003D640C">
        <w:t xml:space="preserve"> </w:t>
      </w:r>
      <w:r w:rsidRPr="00BB6220">
        <w:t>realisation</w:t>
      </w:r>
      <w:r w:rsidR="003D640C">
        <w:t xml:space="preserve"> </w:t>
      </w:r>
      <w:r w:rsidRPr="00BB6220">
        <w:t>of</w:t>
      </w:r>
      <w:r w:rsidR="003D640C">
        <w:t xml:space="preserve"> </w:t>
      </w:r>
      <w:r w:rsidRPr="00BB6220">
        <w:t>someone’s</w:t>
      </w:r>
      <w:r w:rsidR="003D640C">
        <w:t xml:space="preserve"> </w:t>
      </w:r>
      <w:r w:rsidR="00404B18" w:rsidRPr="00BB6220">
        <w:t>sexual</w:t>
      </w:r>
      <w:r w:rsidR="003D640C">
        <w:t xml:space="preserve"> </w:t>
      </w:r>
      <w:r w:rsidR="00404B18" w:rsidRPr="00BB6220">
        <w:t>orientation</w:t>
      </w:r>
      <w:r w:rsidRPr="00BB6220">
        <w:t>,</w:t>
      </w:r>
      <w:r w:rsidR="003D640C">
        <w:t xml:space="preserve"> </w:t>
      </w:r>
      <w:r w:rsidRPr="00BB6220">
        <w:t>gender,</w:t>
      </w:r>
      <w:r w:rsidR="003D640C">
        <w:t xml:space="preserve"> </w:t>
      </w:r>
      <w:r w:rsidRPr="00BB6220">
        <w:t>or</w:t>
      </w:r>
      <w:r w:rsidR="003D640C">
        <w:t xml:space="preserve"> </w:t>
      </w:r>
      <w:r w:rsidRPr="00BB6220">
        <w:t>gender</w:t>
      </w:r>
      <w:r w:rsidR="003D640C">
        <w:t xml:space="preserve"> </w:t>
      </w:r>
      <w:r w:rsidRPr="00BB6220">
        <w:t>expression.</w:t>
      </w:r>
    </w:p>
    <w:p w14:paraId="6B1E9B7F" w14:textId="125852C2" w:rsidR="00F7274D" w:rsidRPr="00BB6220" w:rsidRDefault="00D05424" w:rsidP="0097274F">
      <w:r w:rsidRPr="00BB6220">
        <w:t>Evidence</w:t>
      </w:r>
      <w:r w:rsidR="003D640C">
        <w:t xml:space="preserve"> </w:t>
      </w:r>
      <w:r w:rsidRPr="00BB6220">
        <w:t>shows</w:t>
      </w:r>
      <w:r w:rsidR="003D640C">
        <w:t xml:space="preserve"> </w:t>
      </w:r>
      <w:r w:rsidRPr="00BB6220">
        <w:t>that</w:t>
      </w:r>
      <w:r w:rsidR="003D640C">
        <w:t xml:space="preserve"> </w:t>
      </w:r>
      <w:r w:rsidRPr="00BB6220">
        <w:t>access</w:t>
      </w:r>
      <w:r w:rsidR="003D640C">
        <w:t xml:space="preserve"> </w:t>
      </w:r>
      <w:r w:rsidRPr="00BB6220">
        <w:t>to</w:t>
      </w:r>
      <w:r w:rsidR="003D640C">
        <w:t xml:space="preserve"> </w:t>
      </w:r>
      <w:r w:rsidRPr="00BB6220">
        <w:t>mental</w:t>
      </w:r>
      <w:r w:rsidR="003D640C">
        <w:t xml:space="preserve"> </w:t>
      </w:r>
      <w:r w:rsidRPr="00BB6220">
        <w:t>health</w:t>
      </w:r>
      <w:r w:rsidR="003D640C">
        <w:t xml:space="preserve"> </w:t>
      </w:r>
      <w:r w:rsidRPr="00BB6220">
        <w:t>professionals</w:t>
      </w:r>
      <w:r w:rsidR="003D640C">
        <w:t xml:space="preserve"> </w:t>
      </w:r>
      <w:r w:rsidRPr="00BB6220">
        <w:t>who</w:t>
      </w:r>
      <w:r w:rsidR="003D640C">
        <w:t xml:space="preserve"> </w:t>
      </w:r>
      <w:r w:rsidRPr="00BB6220">
        <w:t>are</w:t>
      </w:r>
      <w:r w:rsidR="003D640C">
        <w:t xml:space="preserve"> </w:t>
      </w:r>
      <w:r w:rsidRPr="00BB6220">
        <w:t>educated</w:t>
      </w:r>
      <w:r w:rsidR="003D640C">
        <w:t xml:space="preserve"> </w:t>
      </w:r>
      <w:r w:rsidRPr="00BB6220">
        <w:t>about</w:t>
      </w:r>
      <w:r w:rsidR="003D640C">
        <w:t xml:space="preserve"> </w:t>
      </w:r>
      <w:r w:rsidRPr="00BB6220">
        <w:t>conversion</w:t>
      </w:r>
      <w:r w:rsidR="003D640C">
        <w:t xml:space="preserve"> </w:t>
      </w:r>
      <w:r w:rsidRPr="00BB6220">
        <w:t>practices</w:t>
      </w:r>
      <w:r w:rsidR="003D640C">
        <w:t xml:space="preserve"> </w:t>
      </w:r>
      <w:r w:rsidRPr="00BB6220">
        <w:t>and</w:t>
      </w:r>
      <w:r w:rsidR="003D640C">
        <w:t xml:space="preserve"> </w:t>
      </w:r>
      <w:r w:rsidRPr="00BB6220">
        <w:t>how</w:t>
      </w:r>
      <w:r w:rsidR="003D640C">
        <w:t xml:space="preserve"> </w:t>
      </w:r>
      <w:r w:rsidRPr="00BB6220">
        <w:t>they</w:t>
      </w:r>
      <w:r w:rsidR="003D640C">
        <w:t xml:space="preserve"> </w:t>
      </w:r>
      <w:r w:rsidRPr="00BB6220">
        <w:t>affect</w:t>
      </w:r>
      <w:r w:rsidR="003D640C">
        <w:t xml:space="preserve"> </w:t>
      </w:r>
      <w:r w:rsidRPr="00BB6220">
        <w:t>survivors’</w:t>
      </w:r>
      <w:r w:rsidR="003D640C">
        <w:t xml:space="preserve"> </w:t>
      </w:r>
      <w:r w:rsidRPr="00BB6220">
        <w:t>mental</w:t>
      </w:r>
      <w:r w:rsidR="003D640C">
        <w:t xml:space="preserve"> </w:t>
      </w:r>
      <w:r w:rsidRPr="00BB6220">
        <w:t>health</w:t>
      </w:r>
      <w:r w:rsidR="003D640C">
        <w:t xml:space="preserve"> </w:t>
      </w:r>
      <w:r w:rsidR="00095639" w:rsidRPr="00BB6220">
        <w:t>is</w:t>
      </w:r>
      <w:r w:rsidR="003D640C">
        <w:t xml:space="preserve"> </w:t>
      </w:r>
      <w:r w:rsidRPr="00BB6220">
        <w:t>key</w:t>
      </w:r>
      <w:r w:rsidR="003D640C">
        <w:t xml:space="preserve"> </w:t>
      </w:r>
      <w:r w:rsidRPr="00BB6220">
        <w:t>to</w:t>
      </w:r>
      <w:r w:rsidR="003D640C">
        <w:t xml:space="preserve"> </w:t>
      </w:r>
      <w:r w:rsidRPr="00BB6220">
        <w:t>recovery.</w:t>
      </w:r>
      <w:r w:rsidR="009C43D6">
        <w:rPr>
          <w:rStyle w:val="FootnoteReference"/>
          <w:rFonts w:ascii="Calibri" w:eastAsia="Calibri" w:hAnsi="Calibri" w:cs="Calibri"/>
        </w:rPr>
        <w:footnoteReference w:id="101"/>
      </w:r>
      <w:r w:rsidR="003D640C">
        <w:t xml:space="preserve"> </w:t>
      </w:r>
      <w:r w:rsidRPr="00BB6220">
        <w:t>Survivors</w:t>
      </w:r>
      <w:r w:rsidR="003D640C">
        <w:t xml:space="preserve"> </w:t>
      </w:r>
      <w:r w:rsidR="004646DF">
        <w:t>of</w:t>
      </w:r>
      <w:r w:rsidR="003D640C">
        <w:t xml:space="preserve"> </w:t>
      </w:r>
      <w:r w:rsidR="004646DF">
        <w:t>faith</w:t>
      </w:r>
      <w:r w:rsidR="003D640C">
        <w:t xml:space="preserve"> </w:t>
      </w:r>
      <w:r w:rsidR="000B3FE4">
        <w:t>value</w:t>
      </w:r>
      <w:r w:rsidR="003D640C">
        <w:t xml:space="preserve"> </w:t>
      </w:r>
      <w:r w:rsidRPr="00BB6220">
        <w:t>mental</w:t>
      </w:r>
      <w:r w:rsidR="003D640C">
        <w:t xml:space="preserve"> </w:t>
      </w:r>
      <w:r w:rsidRPr="00BB6220">
        <w:t>health</w:t>
      </w:r>
      <w:r w:rsidR="003D640C">
        <w:t xml:space="preserve"> </w:t>
      </w:r>
      <w:r w:rsidRPr="00BB6220">
        <w:t>professionals</w:t>
      </w:r>
      <w:r w:rsidR="000B3FE4">
        <w:t xml:space="preserve"> who</w:t>
      </w:r>
      <w:r w:rsidR="003D640C">
        <w:t xml:space="preserve"> </w:t>
      </w:r>
      <w:r w:rsidRPr="00BB6220">
        <w:t>understand</w:t>
      </w:r>
      <w:r w:rsidR="003D640C">
        <w:t xml:space="preserve"> </w:t>
      </w:r>
      <w:r w:rsidRPr="00BB6220">
        <w:t>their</w:t>
      </w:r>
      <w:r w:rsidR="003D640C">
        <w:t xml:space="preserve"> </w:t>
      </w:r>
      <w:r w:rsidRPr="00BB6220">
        <w:t>faith</w:t>
      </w:r>
      <w:r w:rsidR="003D640C">
        <w:t xml:space="preserve"> </w:t>
      </w:r>
      <w:r w:rsidRPr="00BB6220">
        <w:t>goals</w:t>
      </w:r>
      <w:r w:rsidR="00412E3A" w:rsidRPr="00BB6220">
        <w:t>.</w:t>
      </w:r>
      <w:r w:rsidR="003D640C">
        <w:t xml:space="preserve"> </w:t>
      </w:r>
      <w:r w:rsidR="00412E3A" w:rsidRPr="00BB6220">
        <w:t>They</w:t>
      </w:r>
      <w:r w:rsidR="003D640C">
        <w:t xml:space="preserve"> </w:t>
      </w:r>
      <w:r w:rsidR="00412E3A" w:rsidRPr="00BB6220">
        <w:t>say</w:t>
      </w:r>
      <w:r w:rsidR="003D640C">
        <w:t xml:space="preserve"> </w:t>
      </w:r>
      <w:r w:rsidR="00412E3A" w:rsidRPr="00BB6220">
        <w:t>a</w:t>
      </w:r>
      <w:r w:rsidR="003D640C">
        <w:t xml:space="preserve"> </w:t>
      </w:r>
      <w:r w:rsidRPr="00BB6220">
        <w:t>common</w:t>
      </w:r>
      <w:r w:rsidR="003D640C">
        <w:t xml:space="preserve"> </w:t>
      </w:r>
      <w:r w:rsidRPr="00BB6220">
        <w:t>mistaken</w:t>
      </w:r>
      <w:r w:rsidR="003D640C">
        <w:t xml:space="preserve"> </w:t>
      </w:r>
      <w:r w:rsidRPr="00BB6220">
        <w:t>assumption</w:t>
      </w:r>
      <w:r w:rsidR="003D640C">
        <w:t xml:space="preserve"> </w:t>
      </w:r>
      <w:r w:rsidRPr="00BB6220">
        <w:t>is</w:t>
      </w:r>
      <w:r w:rsidR="003D640C">
        <w:t xml:space="preserve"> </w:t>
      </w:r>
      <w:r w:rsidRPr="00BB6220">
        <w:t>that</w:t>
      </w:r>
      <w:r w:rsidR="003D640C">
        <w:t xml:space="preserve"> </w:t>
      </w:r>
      <w:r w:rsidRPr="00BB6220">
        <w:t>a</w:t>
      </w:r>
      <w:r w:rsidR="003D640C">
        <w:t xml:space="preserve"> </w:t>
      </w:r>
      <w:r w:rsidRPr="00BB6220">
        <w:t>survivor</w:t>
      </w:r>
      <w:r w:rsidR="003D640C">
        <w:t xml:space="preserve"> </w:t>
      </w:r>
      <w:r w:rsidRPr="00BB6220">
        <w:t>will</w:t>
      </w:r>
      <w:r w:rsidR="003D640C">
        <w:t xml:space="preserve"> </w:t>
      </w:r>
      <w:r w:rsidRPr="00BB6220">
        <w:t>want</w:t>
      </w:r>
      <w:r w:rsidR="003D640C">
        <w:t xml:space="preserve"> </w:t>
      </w:r>
      <w:r w:rsidRPr="00BB6220">
        <w:t>to</w:t>
      </w:r>
      <w:r w:rsidR="003D640C">
        <w:t xml:space="preserve"> </w:t>
      </w:r>
      <w:r w:rsidRPr="00BB6220">
        <w:t>leave</w:t>
      </w:r>
      <w:r w:rsidR="003D640C">
        <w:t xml:space="preserve"> </w:t>
      </w:r>
      <w:r w:rsidRPr="00BB6220">
        <w:t>a</w:t>
      </w:r>
      <w:r w:rsidR="003D640C">
        <w:t xml:space="preserve"> </w:t>
      </w:r>
      <w:r w:rsidR="003C35BB" w:rsidRPr="00BB6220">
        <w:t>religious</w:t>
      </w:r>
      <w:r w:rsidR="003D640C">
        <w:t xml:space="preserve"> </w:t>
      </w:r>
      <w:r w:rsidRPr="00BB6220">
        <w:t>community</w:t>
      </w:r>
      <w:r w:rsidR="003D640C">
        <w:t xml:space="preserve"> </w:t>
      </w:r>
      <w:r w:rsidRPr="00BB6220">
        <w:t>when</w:t>
      </w:r>
      <w:r w:rsidR="003D640C">
        <w:t xml:space="preserve"> </w:t>
      </w:r>
      <w:r w:rsidRPr="00BB6220">
        <w:t>they</w:t>
      </w:r>
      <w:r w:rsidR="003D640C">
        <w:t xml:space="preserve"> </w:t>
      </w:r>
      <w:r w:rsidRPr="00BB6220">
        <w:t>leave</w:t>
      </w:r>
      <w:r w:rsidR="003D640C">
        <w:t xml:space="preserve"> </w:t>
      </w:r>
      <w:r w:rsidRPr="00BB6220">
        <w:t>conversion</w:t>
      </w:r>
      <w:r w:rsidR="003D640C">
        <w:t xml:space="preserve"> </w:t>
      </w:r>
      <w:r w:rsidRPr="00BB6220">
        <w:t>practices.</w:t>
      </w:r>
      <w:r w:rsidRPr="00BB6220">
        <w:rPr>
          <w:rStyle w:val="FootnoteReference"/>
          <w:rFonts w:ascii="Calibri" w:eastAsia="Calibri" w:hAnsi="Calibri" w:cs="Calibri"/>
        </w:rPr>
        <w:footnoteReference w:id="102"/>
      </w:r>
      <w:r w:rsidR="003D640C">
        <w:t xml:space="preserve"> </w:t>
      </w:r>
    </w:p>
    <w:p w14:paraId="31602351" w14:textId="39A800AD" w:rsidR="006D32B5" w:rsidRPr="00BB6220" w:rsidRDefault="006D32B5" w:rsidP="0097274F">
      <w:r w:rsidRPr="00BB6220">
        <w:t>Conversion</w:t>
      </w:r>
      <w:r w:rsidR="003D640C">
        <w:t xml:space="preserve"> </w:t>
      </w:r>
      <w:r w:rsidRPr="00BB6220">
        <w:t>practices</w:t>
      </w:r>
      <w:r w:rsidR="003D640C">
        <w:t xml:space="preserve"> </w:t>
      </w:r>
      <w:r w:rsidRPr="00BB6220">
        <w:t>have</w:t>
      </w:r>
      <w:r w:rsidR="003D640C">
        <w:t xml:space="preserve"> </w:t>
      </w:r>
      <w:r w:rsidRPr="00BB6220">
        <w:t>been</w:t>
      </w:r>
      <w:r w:rsidR="003D640C">
        <w:t xml:space="preserve"> </w:t>
      </w:r>
      <w:r w:rsidRPr="00BB6220">
        <w:t>declared</w:t>
      </w:r>
      <w:r w:rsidR="003D640C">
        <w:t xml:space="preserve"> </w:t>
      </w:r>
      <w:r w:rsidRPr="00BB6220">
        <w:t>harmful</w:t>
      </w:r>
      <w:r w:rsidR="003D640C">
        <w:t xml:space="preserve"> </w:t>
      </w:r>
      <w:r w:rsidRPr="00BB6220">
        <w:t>in</w:t>
      </w:r>
      <w:r w:rsidR="003D640C">
        <w:t xml:space="preserve"> </w:t>
      </w:r>
      <w:r w:rsidRPr="00BB6220">
        <w:t>Aotearoa</w:t>
      </w:r>
      <w:r w:rsidR="003D640C">
        <w:t xml:space="preserve"> </w:t>
      </w:r>
      <w:r w:rsidRPr="00BB6220">
        <w:t>by:</w:t>
      </w:r>
    </w:p>
    <w:p w14:paraId="1BDF935B" w14:textId="1594A359" w:rsidR="006D32B5" w:rsidRPr="00BB6220" w:rsidRDefault="006F487E" w:rsidP="0097274F">
      <w:pPr>
        <w:pStyle w:val="Bullet"/>
      </w:pPr>
      <w:r>
        <w:t>t</w:t>
      </w:r>
      <w:r w:rsidR="3263A9D0" w:rsidRPr="00BB6220">
        <w:t>he</w:t>
      </w:r>
      <w:r w:rsidR="003D640C">
        <w:t xml:space="preserve"> </w:t>
      </w:r>
      <w:r w:rsidR="006D32B5" w:rsidRPr="00BB6220">
        <w:t>New</w:t>
      </w:r>
      <w:r w:rsidR="003D640C">
        <w:t xml:space="preserve"> </w:t>
      </w:r>
      <w:r w:rsidR="006D32B5" w:rsidRPr="00BB6220">
        <w:t>Zealand</w:t>
      </w:r>
      <w:r w:rsidR="003D640C">
        <w:t xml:space="preserve"> </w:t>
      </w:r>
      <w:r w:rsidR="006D32B5" w:rsidRPr="00BB6220">
        <w:t>Psychological</w:t>
      </w:r>
      <w:r w:rsidR="003D640C">
        <w:t xml:space="preserve"> </w:t>
      </w:r>
      <w:r w:rsidR="006D32B5" w:rsidRPr="00BB6220">
        <w:t>Society</w:t>
      </w:r>
      <w:r w:rsidR="006D32B5" w:rsidRPr="00BB6220">
        <w:rPr>
          <w:rStyle w:val="FootnoteReference"/>
          <w:rFonts w:ascii="Calibri" w:eastAsia="Calibri" w:hAnsi="Calibri" w:cs="Calibri"/>
        </w:rPr>
        <w:footnoteReference w:id="103"/>
      </w:r>
    </w:p>
    <w:p w14:paraId="03CC2939" w14:textId="1B019535" w:rsidR="006D32B5" w:rsidRPr="00BB6220" w:rsidRDefault="006D32B5" w:rsidP="0097274F">
      <w:pPr>
        <w:pStyle w:val="Bullet"/>
      </w:pPr>
      <w:r w:rsidRPr="00BB6220">
        <w:t>the</w:t>
      </w:r>
      <w:r w:rsidR="003D640C">
        <w:t xml:space="preserve"> </w:t>
      </w:r>
      <w:r w:rsidRPr="00BB6220">
        <w:t>Royal</w:t>
      </w:r>
      <w:r w:rsidR="003D640C">
        <w:t xml:space="preserve"> </w:t>
      </w:r>
      <w:r w:rsidRPr="00BB6220">
        <w:t>Australian</w:t>
      </w:r>
      <w:r w:rsidR="003D640C">
        <w:t xml:space="preserve"> </w:t>
      </w:r>
      <w:r w:rsidRPr="00BB6220">
        <w:t>and</w:t>
      </w:r>
      <w:r w:rsidR="003D640C">
        <w:t xml:space="preserve"> </w:t>
      </w:r>
      <w:r w:rsidRPr="00BB6220">
        <w:t>New</w:t>
      </w:r>
      <w:r w:rsidR="003D640C">
        <w:t xml:space="preserve"> </w:t>
      </w:r>
      <w:r w:rsidRPr="00BB6220">
        <w:t>Zealand</w:t>
      </w:r>
      <w:r w:rsidR="003D640C">
        <w:t xml:space="preserve"> </w:t>
      </w:r>
      <w:r w:rsidRPr="00BB6220">
        <w:t>College</w:t>
      </w:r>
      <w:r w:rsidR="003D640C">
        <w:t xml:space="preserve"> </w:t>
      </w:r>
      <w:r w:rsidRPr="00BB6220">
        <w:t>of</w:t>
      </w:r>
      <w:r w:rsidR="003D640C">
        <w:t xml:space="preserve"> </w:t>
      </w:r>
      <w:r w:rsidRPr="00BB6220">
        <w:t>Psychiatrists</w:t>
      </w:r>
      <w:r w:rsidRPr="00BB6220">
        <w:rPr>
          <w:rStyle w:val="FootnoteReference"/>
          <w:rFonts w:ascii="Calibri" w:eastAsia="Calibri" w:hAnsi="Calibri" w:cs="Calibri"/>
        </w:rPr>
        <w:footnoteReference w:id="104"/>
      </w:r>
      <w:r w:rsidR="003D640C">
        <w:t xml:space="preserve"> </w:t>
      </w:r>
    </w:p>
    <w:p w14:paraId="4A5630AB" w14:textId="6710CA0C" w:rsidR="006D32B5" w:rsidRPr="00BB6220" w:rsidRDefault="006D32B5" w:rsidP="0097274F">
      <w:pPr>
        <w:pStyle w:val="Bullet"/>
      </w:pPr>
      <w:r w:rsidRPr="00BB6220">
        <w:t>the</w:t>
      </w:r>
      <w:r w:rsidR="003D640C">
        <w:t xml:space="preserve"> </w:t>
      </w:r>
      <w:r w:rsidRPr="00BB6220">
        <w:t>NZ</w:t>
      </w:r>
      <w:r w:rsidR="003D640C">
        <w:t xml:space="preserve"> </w:t>
      </w:r>
      <w:r w:rsidRPr="00BB6220">
        <w:t>College</w:t>
      </w:r>
      <w:r w:rsidR="003D640C">
        <w:t xml:space="preserve"> </w:t>
      </w:r>
      <w:r w:rsidRPr="00BB6220">
        <w:t>of</w:t>
      </w:r>
      <w:r w:rsidR="003D640C">
        <w:t xml:space="preserve"> </w:t>
      </w:r>
      <w:r w:rsidRPr="00BB6220">
        <w:t>Clinical</w:t>
      </w:r>
      <w:r w:rsidR="003D640C">
        <w:t xml:space="preserve"> </w:t>
      </w:r>
      <w:r w:rsidRPr="00BB6220">
        <w:t>Psychologists</w:t>
      </w:r>
      <w:r w:rsidRPr="00BB6220">
        <w:rPr>
          <w:rStyle w:val="FootnoteReference"/>
          <w:rFonts w:ascii="Calibri" w:eastAsia="Calibri" w:hAnsi="Calibri" w:cs="Calibri"/>
        </w:rPr>
        <w:footnoteReference w:id="105"/>
      </w:r>
      <w:r w:rsidR="003D640C">
        <w:t xml:space="preserve"> </w:t>
      </w:r>
    </w:p>
    <w:p w14:paraId="027C44D3" w14:textId="567D3758" w:rsidR="00501068" w:rsidRDefault="006D32B5" w:rsidP="0097274F">
      <w:pPr>
        <w:pStyle w:val="Bullet"/>
      </w:pPr>
      <w:r w:rsidRPr="00BB6220">
        <w:t>the</w:t>
      </w:r>
      <w:r w:rsidR="003D640C">
        <w:t xml:space="preserve"> </w:t>
      </w:r>
      <w:r w:rsidRPr="00BB6220">
        <w:t>New</w:t>
      </w:r>
      <w:r w:rsidR="003D640C">
        <w:t xml:space="preserve"> </w:t>
      </w:r>
      <w:r w:rsidRPr="00BB6220">
        <w:t>Zealand</w:t>
      </w:r>
      <w:r w:rsidR="003D640C">
        <w:t xml:space="preserve"> </w:t>
      </w:r>
      <w:r w:rsidRPr="00BB6220">
        <w:t>Association</w:t>
      </w:r>
      <w:r w:rsidR="003D640C">
        <w:t xml:space="preserve"> </w:t>
      </w:r>
      <w:r w:rsidRPr="00BB6220">
        <w:t>of</w:t>
      </w:r>
      <w:r w:rsidR="003D640C">
        <w:t xml:space="preserve"> </w:t>
      </w:r>
      <w:r w:rsidRPr="00BB6220">
        <w:t>Counsellors</w:t>
      </w:r>
      <w:r w:rsidRPr="00BB6220">
        <w:rPr>
          <w:rStyle w:val="FootnoteReference"/>
          <w:rFonts w:ascii="Calibri" w:eastAsia="Calibri" w:hAnsi="Calibri" w:cs="Calibri"/>
        </w:rPr>
        <w:footnoteReference w:id="106"/>
      </w:r>
      <w:r w:rsidR="003D640C">
        <w:t xml:space="preserve"> </w:t>
      </w:r>
      <w:r w:rsidRPr="00BB6220">
        <w:t>and</w:t>
      </w:r>
      <w:r w:rsidR="003D640C">
        <w:t xml:space="preserve"> </w:t>
      </w:r>
      <w:r w:rsidRPr="00BB6220">
        <w:t>other</w:t>
      </w:r>
      <w:r w:rsidR="003D640C">
        <w:t xml:space="preserve"> </w:t>
      </w:r>
      <w:r w:rsidRPr="00BB6220">
        <w:t>clinical</w:t>
      </w:r>
      <w:r w:rsidR="003D640C">
        <w:t xml:space="preserve"> </w:t>
      </w:r>
      <w:r w:rsidRPr="00BB6220">
        <w:t>peak</w:t>
      </w:r>
      <w:r w:rsidR="003D640C">
        <w:t xml:space="preserve"> </w:t>
      </w:r>
      <w:r w:rsidRPr="00BB6220">
        <w:t>bodies</w:t>
      </w:r>
      <w:r w:rsidR="00A929D2">
        <w:t>.</w:t>
      </w:r>
    </w:p>
    <w:p w14:paraId="197C831E" w14:textId="77E5A525" w:rsidR="006D32B5" w:rsidRPr="00BB6220" w:rsidRDefault="006D32B5" w:rsidP="0097274F">
      <w:pPr>
        <w:rPr>
          <w:i/>
          <w:iCs/>
        </w:rPr>
      </w:pPr>
      <w:r w:rsidRPr="00BB6220">
        <w:t>Relevant</w:t>
      </w:r>
      <w:r w:rsidR="003D640C">
        <w:t xml:space="preserve"> </w:t>
      </w:r>
      <w:r w:rsidRPr="00BB6220">
        <w:t>policies</w:t>
      </w:r>
      <w:r w:rsidR="003D640C">
        <w:t xml:space="preserve"> </w:t>
      </w:r>
      <w:r w:rsidRPr="00BB6220">
        <w:t>and</w:t>
      </w:r>
      <w:r w:rsidR="003D640C">
        <w:t xml:space="preserve"> </w:t>
      </w:r>
      <w:r w:rsidRPr="00BB6220">
        <w:t>codes</w:t>
      </w:r>
      <w:r w:rsidR="003D640C">
        <w:t xml:space="preserve"> </w:t>
      </w:r>
      <w:r w:rsidRPr="00BB6220">
        <w:t>require</w:t>
      </w:r>
      <w:r w:rsidR="003D640C">
        <w:t xml:space="preserve"> </w:t>
      </w:r>
      <w:r w:rsidR="00C83ABE">
        <w:t xml:space="preserve">practitioners </w:t>
      </w:r>
      <w:r w:rsidRPr="00BB6220">
        <w:t>in</w:t>
      </w:r>
      <w:r w:rsidR="003D640C">
        <w:t xml:space="preserve"> </w:t>
      </w:r>
      <w:r w:rsidRPr="00BB6220">
        <w:t>the</w:t>
      </w:r>
      <w:r w:rsidR="00AE4EF5">
        <w:t>se</w:t>
      </w:r>
      <w:r w:rsidR="003D640C">
        <w:t xml:space="preserve"> </w:t>
      </w:r>
      <w:r w:rsidRPr="00BB6220">
        <w:t>profession</w:t>
      </w:r>
      <w:r w:rsidR="00AE4EF5">
        <w:t>s</w:t>
      </w:r>
      <w:r w:rsidR="003D640C">
        <w:t xml:space="preserve"> </w:t>
      </w:r>
      <w:r w:rsidRPr="00BB6220">
        <w:t>to</w:t>
      </w:r>
      <w:r w:rsidR="003D640C">
        <w:t xml:space="preserve"> </w:t>
      </w:r>
      <w:r w:rsidRPr="00BB6220">
        <w:t>act</w:t>
      </w:r>
      <w:r w:rsidR="003D640C">
        <w:t xml:space="preserve"> </w:t>
      </w:r>
      <w:r w:rsidRPr="00BB6220">
        <w:t>when</w:t>
      </w:r>
      <w:r w:rsidR="003D640C">
        <w:t xml:space="preserve"> </w:t>
      </w:r>
      <w:r w:rsidRPr="00BB6220">
        <w:t>instances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are</w:t>
      </w:r>
      <w:r w:rsidR="003D640C">
        <w:t xml:space="preserve"> </w:t>
      </w:r>
      <w:r w:rsidRPr="00BB6220">
        <w:t>identified.</w:t>
      </w:r>
    </w:p>
    <w:p w14:paraId="7AA74279" w14:textId="1D59652A" w:rsidR="00501068" w:rsidRDefault="00B72C11" w:rsidP="0097274F">
      <w:bookmarkStart w:id="162" w:name="_Toc138325173"/>
      <w:bookmarkStart w:id="163" w:name="_Toc138343810"/>
      <w:r w:rsidRPr="00BB6220">
        <w:t>The</w:t>
      </w:r>
      <w:r w:rsidR="003D640C">
        <w:t xml:space="preserve"> </w:t>
      </w:r>
      <w:r w:rsidRPr="00BB6220">
        <w:t>Commission</w:t>
      </w:r>
      <w:r w:rsidR="003D640C">
        <w:t xml:space="preserve"> </w:t>
      </w:r>
      <w:r w:rsidRPr="00BB6220">
        <w:t>has</w:t>
      </w:r>
      <w:r w:rsidR="003D640C">
        <w:t xml:space="preserve"> </w:t>
      </w:r>
      <w:r w:rsidRPr="00BB6220">
        <w:t>produced</w:t>
      </w:r>
      <w:r w:rsidR="003D640C">
        <w:t xml:space="preserve"> </w:t>
      </w:r>
      <w:r w:rsidRPr="00BB6220">
        <w:t>guidance</w:t>
      </w:r>
      <w:r w:rsidR="003D640C">
        <w:t xml:space="preserve"> </w:t>
      </w:r>
      <w:r w:rsidRPr="00BB6220">
        <w:t>for</w:t>
      </w:r>
      <w:r w:rsidR="003D640C">
        <w:t xml:space="preserve"> </w:t>
      </w:r>
      <w:r w:rsidRPr="00BB6220">
        <w:t>those</w:t>
      </w:r>
      <w:r w:rsidR="003D640C">
        <w:t xml:space="preserve"> </w:t>
      </w:r>
      <w:r w:rsidR="00C83ABE">
        <w:t xml:space="preserve">working </w:t>
      </w:r>
      <w:r w:rsidRPr="00BB6220">
        <w:t>in</w:t>
      </w:r>
      <w:r w:rsidR="003D640C">
        <w:t xml:space="preserve"> </w:t>
      </w:r>
      <w:r>
        <w:t>mental</w:t>
      </w:r>
      <w:r w:rsidR="003D640C">
        <w:t xml:space="preserve"> </w:t>
      </w:r>
      <w:r>
        <w:t>healthcare</w:t>
      </w:r>
      <w:r w:rsidR="003D640C">
        <w:t xml:space="preserve"> </w:t>
      </w:r>
      <w:r w:rsidRPr="00BB6220">
        <w:t>settings</w:t>
      </w:r>
      <w:r w:rsidR="001D5204">
        <w:t>.</w:t>
      </w:r>
      <w:r w:rsidR="001D5204">
        <w:rPr>
          <w:rStyle w:val="FootnoteReference"/>
        </w:rPr>
        <w:footnoteReference w:id="107"/>
      </w:r>
      <w:r w:rsidR="003D640C">
        <w:t xml:space="preserve"> </w:t>
      </w:r>
    </w:p>
    <w:p w14:paraId="3E5C118D" w14:textId="121C4936" w:rsidR="00D05424" w:rsidRPr="00BB6220" w:rsidRDefault="00181060" w:rsidP="002E4BF5">
      <w:pPr>
        <w:pStyle w:val="Heading2"/>
      </w:pPr>
      <w:bookmarkStart w:id="164" w:name="_Toc1262451627"/>
      <w:r w:rsidRPr="00BB6220" w:rsidDel="002E4BF5">
        <w:br w:type="page"/>
      </w:r>
      <w:bookmarkStart w:id="165" w:name="_Toc167780597"/>
      <w:bookmarkStart w:id="166" w:name="_Toc174628656"/>
      <w:r w:rsidR="00D05424" w:rsidRPr="00BB6220">
        <w:lastRenderedPageBreak/>
        <w:t>Youth</w:t>
      </w:r>
      <w:r w:rsidR="003D640C">
        <w:t xml:space="preserve"> </w:t>
      </w:r>
      <w:r w:rsidR="00D05424" w:rsidRPr="00BB6220">
        <w:t>work</w:t>
      </w:r>
      <w:r w:rsidR="003D640C">
        <w:t xml:space="preserve"> </w:t>
      </w:r>
      <w:r w:rsidR="00D05424" w:rsidRPr="00BB6220">
        <w:t>and</w:t>
      </w:r>
      <w:r w:rsidR="003D640C">
        <w:t xml:space="preserve"> </w:t>
      </w:r>
      <w:r w:rsidR="00D05424" w:rsidRPr="00BB6220">
        <w:t>education</w:t>
      </w:r>
      <w:r w:rsidR="003D640C">
        <w:t xml:space="preserve"> </w:t>
      </w:r>
      <w:r w:rsidR="00D05424" w:rsidRPr="00BB6220">
        <w:t>settings</w:t>
      </w:r>
      <w:bookmarkEnd w:id="162"/>
      <w:bookmarkEnd w:id="163"/>
      <w:bookmarkEnd w:id="164"/>
      <w:bookmarkEnd w:id="165"/>
      <w:bookmarkEnd w:id="166"/>
    </w:p>
    <w:p w14:paraId="01281341" w14:textId="06BE8E80" w:rsidR="009E5207" w:rsidRPr="00BB6220" w:rsidRDefault="00C146D7" w:rsidP="00C2218C">
      <w:pPr>
        <w:rPr>
          <w:rFonts w:ascii="Calibri" w:eastAsia="Calibri" w:hAnsi="Calibri" w:cs="Calibri"/>
          <w:color w:val="000000" w:themeColor="text1"/>
        </w:rPr>
      </w:pPr>
      <w:r w:rsidRPr="00BB6220">
        <w:t>I</w:t>
      </w:r>
      <w:r w:rsidR="009E5207" w:rsidRPr="00BB6220">
        <w:t>n</w:t>
      </w:r>
      <w:r w:rsidR="003D640C">
        <w:t xml:space="preserve"> </w:t>
      </w:r>
      <w:r w:rsidR="009E5207" w:rsidRPr="00BB6220">
        <w:t>Aotearoa</w:t>
      </w:r>
      <w:r w:rsidR="002E4BF5">
        <w:t>,</w:t>
      </w:r>
      <w:r w:rsidR="003D640C">
        <w:t xml:space="preserve"> </w:t>
      </w:r>
      <w:r w:rsidR="00AA621C" w:rsidRPr="00BB6220">
        <w:t>many</w:t>
      </w:r>
      <w:r w:rsidR="003D640C">
        <w:t xml:space="preserve"> </w:t>
      </w:r>
      <w:r w:rsidR="009E5207" w:rsidRPr="00BB6220">
        <w:t>people</w:t>
      </w:r>
      <w:r w:rsidR="0034257B">
        <w:t>,</w:t>
      </w:r>
      <w:r w:rsidR="003D640C">
        <w:t xml:space="preserve"> </w:t>
      </w:r>
      <w:r w:rsidR="0034257B">
        <w:t>including</w:t>
      </w:r>
      <w:r w:rsidR="003D640C">
        <w:t xml:space="preserve"> </w:t>
      </w:r>
      <w:r w:rsidR="0034257B">
        <w:t>Rainbow</w:t>
      </w:r>
      <w:r w:rsidR="003D640C">
        <w:t xml:space="preserve"> </w:t>
      </w:r>
      <w:r w:rsidR="0034257B">
        <w:t>people,</w:t>
      </w:r>
      <w:r w:rsidR="003D640C">
        <w:t xml:space="preserve"> </w:t>
      </w:r>
      <w:r w:rsidR="009E5207" w:rsidRPr="00BB6220">
        <w:t>begin</w:t>
      </w:r>
      <w:r w:rsidR="003D640C">
        <w:t xml:space="preserve"> </w:t>
      </w:r>
      <w:r w:rsidR="009E5207" w:rsidRPr="00BB6220">
        <w:t>to</w:t>
      </w:r>
      <w:r w:rsidR="003D640C">
        <w:t xml:space="preserve"> </w:t>
      </w:r>
      <w:r w:rsidR="00A31509">
        <w:t>have</w:t>
      </w:r>
      <w:r w:rsidR="003D640C">
        <w:t xml:space="preserve"> </w:t>
      </w:r>
      <w:r w:rsidR="00A31509">
        <w:t>an</w:t>
      </w:r>
      <w:r w:rsidR="003D640C">
        <w:t xml:space="preserve"> </w:t>
      </w:r>
      <w:r w:rsidR="00A31509">
        <w:t>awareness</w:t>
      </w:r>
      <w:r w:rsidR="003D640C">
        <w:t xml:space="preserve"> </w:t>
      </w:r>
      <w:r w:rsidR="00A31509">
        <w:t>of</w:t>
      </w:r>
      <w:r w:rsidR="003D640C">
        <w:t xml:space="preserve"> </w:t>
      </w:r>
      <w:r w:rsidRPr="00BB6220">
        <w:t>their</w:t>
      </w:r>
      <w:r w:rsidR="003D640C">
        <w:t xml:space="preserve"> </w:t>
      </w:r>
      <w:r w:rsidR="009E5207" w:rsidRPr="00BB6220">
        <w:t>sexual</w:t>
      </w:r>
      <w:r w:rsidR="003D640C">
        <w:t xml:space="preserve"> </w:t>
      </w:r>
      <w:r w:rsidR="009E5207" w:rsidRPr="00BB6220">
        <w:t>orientation</w:t>
      </w:r>
      <w:r w:rsidR="003D640C">
        <w:t xml:space="preserve"> </w:t>
      </w:r>
      <w:r w:rsidR="009E5207" w:rsidRPr="00BB6220">
        <w:t>or</w:t>
      </w:r>
      <w:r w:rsidR="003D640C">
        <w:t xml:space="preserve"> </w:t>
      </w:r>
      <w:r w:rsidR="009E5207" w:rsidRPr="00BB6220">
        <w:t>gender</w:t>
      </w:r>
      <w:r w:rsidR="003D640C">
        <w:t xml:space="preserve"> </w:t>
      </w:r>
      <w:r w:rsidR="00206F90">
        <w:t>identity</w:t>
      </w:r>
      <w:r w:rsidR="003D640C">
        <w:t xml:space="preserve"> </w:t>
      </w:r>
      <w:r w:rsidR="009E5207" w:rsidRPr="00BB6220">
        <w:t>while</w:t>
      </w:r>
      <w:r w:rsidR="003D640C">
        <w:t xml:space="preserve"> </w:t>
      </w:r>
      <w:r w:rsidR="009E5207" w:rsidRPr="00BB6220">
        <w:t>still</w:t>
      </w:r>
      <w:r w:rsidR="003D640C">
        <w:t xml:space="preserve"> </w:t>
      </w:r>
      <w:r w:rsidR="009E5207" w:rsidRPr="00BB6220">
        <w:t>in</w:t>
      </w:r>
      <w:r w:rsidR="003D640C">
        <w:t xml:space="preserve"> </w:t>
      </w:r>
      <w:r w:rsidR="009E5207" w:rsidRPr="00BB6220">
        <w:t>school.</w:t>
      </w:r>
      <w:r w:rsidR="009E5207" w:rsidRPr="00BB6220">
        <w:rPr>
          <w:rStyle w:val="FootnoteReference"/>
        </w:rPr>
        <w:footnoteReference w:id="108"/>
      </w:r>
      <w:r w:rsidR="003D640C">
        <w:t xml:space="preserve"> </w:t>
      </w:r>
      <w:r w:rsidR="009E5207" w:rsidRPr="00BB6220">
        <w:rPr>
          <w:rFonts w:ascii="Calibri" w:eastAsia="Calibri" w:hAnsi="Calibri" w:cs="Calibri"/>
          <w:color w:val="000000" w:themeColor="text1"/>
        </w:rPr>
        <w:t>In</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2021,</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study</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showed</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73</w:t>
      </w:r>
      <w:r w:rsidR="001D1BF7">
        <w:rPr>
          <w:rFonts w:ascii="Calibri" w:eastAsia="Calibri" w:hAnsi="Calibri" w:cs="Calibri"/>
          <w:color w:val="000000" w:themeColor="text1"/>
        </w:rPr>
        <w:t xml:space="preserve"> percent</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transgender</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diverse</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gender</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participants</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had</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started</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identify</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transgender</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or</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gender</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diverse</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before</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age</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009E5207" w:rsidRPr="00BB6220">
        <w:rPr>
          <w:rFonts w:ascii="Calibri" w:eastAsia="Calibri" w:hAnsi="Calibri" w:cs="Calibri"/>
          <w:color w:val="000000" w:themeColor="text1"/>
        </w:rPr>
        <w:t>14.</w:t>
      </w:r>
      <w:r w:rsidR="009E5207" w:rsidRPr="00BB6220">
        <w:rPr>
          <w:rStyle w:val="FootnoteReference"/>
          <w:rFonts w:ascii="Calibri" w:eastAsia="Calibri" w:hAnsi="Calibri" w:cs="Calibri"/>
          <w:color w:val="000000" w:themeColor="text1"/>
        </w:rPr>
        <w:footnoteReference w:id="109"/>
      </w:r>
    </w:p>
    <w:p w14:paraId="6D1A2FED" w14:textId="363DF725" w:rsidR="00D05424" w:rsidRPr="00BB6220" w:rsidRDefault="00206F90" w:rsidP="00C2218C">
      <w:r>
        <w:t>The</w:t>
      </w:r>
      <w:r w:rsidR="003D640C">
        <w:t xml:space="preserve"> </w:t>
      </w:r>
      <w:r w:rsidR="009E5207" w:rsidRPr="00BB6220">
        <w:t>research</w:t>
      </w:r>
      <w:r w:rsidR="003D640C">
        <w:t xml:space="preserve"> </w:t>
      </w:r>
      <w:r w:rsidR="009E5207" w:rsidRPr="00BB6220">
        <w:t>tells</w:t>
      </w:r>
      <w:r w:rsidR="003D640C">
        <w:t xml:space="preserve"> </w:t>
      </w:r>
      <w:r w:rsidR="009E5207" w:rsidRPr="00BB6220">
        <w:t>us</w:t>
      </w:r>
      <w:r w:rsidR="003D640C">
        <w:t xml:space="preserve"> </w:t>
      </w:r>
      <w:r w:rsidR="009E5207" w:rsidRPr="00BB6220">
        <w:t>that</w:t>
      </w:r>
      <w:r w:rsidR="003D640C">
        <w:t xml:space="preserve"> </w:t>
      </w:r>
      <w:r w:rsidR="009E5207" w:rsidRPr="00BB6220">
        <w:t>young</w:t>
      </w:r>
      <w:r w:rsidR="003D640C">
        <w:t xml:space="preserve"> </w:t>
      </w:r>
      <w:r w:rsidR="009E5207" w:rsidRPr="00BB6220">
        <w:t>people</w:t>
      </w:r>
      <w:r w:rsidR="003D640C">
        <w:t xml:space="preserve"> </w:t>
      </w:r>
      <w:r w:rsidR="009E5207" w:rsidRPr="00BB6220">
        <w:t>in</w:t>
      </w:r>
      <w:r w:rsidR="003D640C">
        <w:t xml:space="preserve"> </w:t>
      </w:r>
      <w:r w:rsidR="009E5207" w:rsidRPr="00BB6220">
        <w:t>Aotearoa</w:t>
      </w:r>
      <w:r w:rsidR="003D640C">
        <w:t xml:space="preserve"> </w:t>
      </w:r>
      <w:r w:rsidR="00E03A14" w:rsidRPr="00BB6220">
        <w:t>are</w:t>
      </w:r>
      <w:r w:rsidR="003D640C">
        <w:t xml:space="preserve"> </w:t>
      </w:r>
      <w:r w:rsidR="00E03A14" w:rsidRPr="00BB6220">
        <w:t>still</w:t>
      </w:r>
      <w:r w:rsidR="003D640C">
        <w:t xml:space="preserve"> </w:t>
      </w:r>
      <w:r w:rsidR="009E5207" w:rsidRPr="00BB6220">
        <w:t>experienc</w:t>
      </w:r>
      <w:r w:rsidR="00E03A14" w:rsidRPr="00BB6220">
        <w:t>ing</w:t>
      </w:r>
      <w:r w:rsidR="003D640C">
        <w:t xml:space="preserve"> </w:t>
      </w:r>
      <w:r w:rsidR="009E5207" w:rsidRPr="00BB6220">
        <w:t>conversion</w:t>
      </w:r>
      <w:r w:rsidR="003D640C">
        <w:t xml:space="preserve"> </w:t>
      </w:r>
      <w:r w:rsidR="009E5207" w:rsidRPr="00BB6220">
        <w:t>practices</w:t>
      </w:r>
      <w:r w:rsidR="00412E3A" w:rsidRPr="00BB6220">
        <w:t>.</w:t>
      </w:r>
      <w:r w:rsidR="00FE669F" w:rsidRPr="00BB6220">
        <w:rPr>
          <w:rStyle w:val="FootnoteReference"/>
        </w:rPr>
        <w:footnoteReference w:id="110"/>
      </w:r>
      <w:r w:rsidR="003D640C">
        <w:t xml:space="preserve"> </w:t>
      </w:r>
      <w:r w:rsidR="00412E3A" w:rsidRPr="00BB6220">
        <w:t>S</w:t>
      </w:r>
      <w:r w:rsidR="00E8195E" w:rsidRPr="00BB6220">
        <w:t>urvivor</w:t>
      </w:r>
      <w:r w:rsidR="003D640C">
        <w:t xml:space="preserve"> </w:t>
      </w:r>
      <w:r w:rsidR="00E8195E" w:rsidRPr="00BB6220">
        <w:t>accounts</w:t>
      </w:r>
      <w:r w:rsidR="003D640C">
        <w:t xml:space="preserve"> </w:t>
      </w:r>
      <w:r w:rsidR="00E8195E" w:rsidRPr="00BB6220">
        <w:t>describe</w:t>
      </w:r>
      <w:r w:rsidR="003D640C">
        <w:t xml:space="preserve"> </w:t>
      </w:r>
      <w:r w:rsidR="00E8195E" w:rsidRPr="00BB6220">
        <w:t>these</w:t>
      </w:r>
      <w:r w:rsidR="003D640C">
        <w:t xml:space="preserve"> </w:t>
      </w:r>
      <w:r w:rsidR="00412E3A" w:rsidRPr="00BB6220">
        <w:t>practices</w:t>
      </w:r>
      <w:r w:rsidR="003D640C">
        <w:t xml:space="preserve"> </w:t>
      </w:r>
      <w:r w:rsidR="00E8195E" w:rsidRPr="00BB6220">
        <w:t>occurring</w:t>
      </w:r>
      <w:r w:rsidR="003D640C">
        <w:t xml:space="preserve"> </w:t>
      </w:r>
      <w:r w:rsidR="00E8195E" w:rsidRPr="00BB6220">
        <w:t>in</w:t>
      </w:r>
      <w:r w:rsidR="003D640C">
        <w:t xml:space="preserve"> </w:t>
      </w:r>
      <w:r w:rsidR="00E8195E" w:rsidRPr="00BB6220">
        <w:t>some</w:t>
      </w:r>
      <w:r w:rsidR="003D640C">
        <w:t xml:space="preserve"> </w:t>
      </w:r>
      <w:r w:rsidR="00D05424" w:rsidRPr="00BB6220">
        <w:t>youth</w:t>
      </w:r>
      <w:r w:rsidR="003D640C">
        <w:t xml:space="preserve"> </w:t>
      </w:r>
      <w:r w:rsidR="00D05424" w:rsidRPr="00BB6220">
        <w:t>work</w:t>
      </w:r>
      <w:r w:rsidR="003D640C">
        <w:t xml:space="preserve"> </w:t>
      </w:r>
      <w:r w:rsidR="00D05424" w:rsidRPr="00BB6220">
        <w:t>organisations</w:t>
      </w:r>
      <w:r w:rsidR="003D640C">
        <w:t xml:space="preserve"> </w:t>
      </w:r>
      <w:r w:rsidR="00D05424" w:rsidRPr="00BB6220">
        <w:t>and</w:t>
      </w:r>
      <w:r w:rsidR="003D640C">
        <w:t xml:space="preserve"> </w:t>
      </w:r>
      <w:r w:rsidR="00D05424" w:rsidRPr="00BB6220">
        <w:t>educational</w:t>
      </w:r>
      <w:r w:rsidR="003D640C">
        <w:t xml:space="preserve"> </w:t>
      </w:r>
      <w:r w:rsidR="00D05424" w:rsidRPr="00BB6220">
        <w:t>institution</w:t>
      </w:r>
      <w:r w:rsidR="00055026" w:rsidRPr="00BB6220">
        <w:t>s</w:t>
      </w:r>
      <w:r w:rsidR="00E8195E" w:rsidRPr="00BB6220">
        <w:t>.</w:t>
      </w:r>
      <w:r w:rsidR="003D640C">
        <w:t xml:space="preserve"> </w:t>
      </w:r>
    </w:p>
    <w:p w14:paraId="2F8BDE5B" w14:textId="576D7893" w:rsidR="00D05424" w:rsidRPr="00BB6220" w:rsidRDefault="00D05424" w:rsidP="00C2218C">
      <w:pPr>
        <w:rPr>
          <w:lang w:val="mi-NZ"/>
        </w:rPr>
      </w:pPr>
      <w:r w:rsidRPr="00BB6220">
        <w:t>When</w:t>
      </w:r>
      <w:r w:rsidR="003D640C">
        <w:t xml:space="preserve"> </w:t>
      </w:r>
      <w:r w:rsidRPr="00BB6220">
        <w:t>done</w:t>
      </w:r>
      <w:r w:rsidR="003D640C">
        <w:t xml:space="preserve"> </w:t>
      </w:r>
      <w:r w:rsidRPr="00BB6220">
        <w:t>with</w:t>
      </w:r>
      <w:r w:rsidR="003D640C">
        <w:t xml:space="preserve"> </w:t>
      </w:r>
      <w:r w:rsidRPr="00BB6220">
        <w:t>the</w:t>
      </w:r>
      <w:r w:rsidR="003D640C">
        <w:t xml:space="preserve"> </w:t>
      </w:r>
      <w:r w:rsidRPr="00BB6220">
        <w:t>intention</w:t>
      </w:r>
      <w:r w:rsidR="003D640C">
        <w:t xml:space="preserve"> </w:t>
      </w:r>
      <w:r w:rsidRPr="00BB6220">
        <w:t>of</w:t>
      </w:r>
      <w:r w:rsidR="003D640C">
        <w:t xml:space="preserve"> </w:t>
      </w:r>
      <w:r w:rsidRPr="00BB6220">
        <w:t>changing</w:t>
      </w:r>
      <w:r w:rsidR="003D640C">
        <w:t xml:space="preserve"> </w:t>
      </w:r>
      <w:r w:rsidRPr="00BB6220">
        <w:t>or</w:t>
      </w:r>
      <w:r w:rsidR="003D640C">
        <w:t xml:space="preserve"> </w:t>
      </w:r>
      <w:r w:rsidRPr="00BB6220">
        <w:t>suppressing</w:t>
      </w:r>
      <w:r w:rsidR="003D640C">
        <w:t xml:space="preserve"> </w:t>
      </w:r>
      <w:r w:rsidRPr="00BB6220">
        <w:t>someone’s</w:t>
      </w:r>
      <w:r w:rsidR="003D640C">
        <w:t xml:space="preserve"> </w:t>
      </w:r>
      <w:r w:rsidR="62DF383E" w:rsidRPr="00BB6220">
        <w:t>sexual</w:t>
      </w:r>
      <w:r w:rsidR="003D640C">
        <w:t xml:space="preserve"> </w:t>
      </w:r>
      <w:r w:rsidR="62DF383E" w:rsidRPr="00BB6220">
        <w:t>orientation</w:t>
      </w:r>
      <w:r w:rsidRPr="00BB6220">
        <w:t>,</w:t>
      </w:r>
      <w:r w:rsidR="003D640C">
        <w:t xml:space="preserve"> </w:t>
      </w:r>
      <w:r w:rsidRPr="00BB6220">
        <w:t>gender</w:t>
      </w:r>
      <w:r w:rsidR="003D640C">
        <w:t xml:space="preserve"> </w:t>
      </w:r>
      <w:r w:rsidR="6B0ADB10" w:rsidRPr="00BB6220">
        <w:t>identity</w:t>
      </w:r>
      <w:r w:rsidRPr="00BB6220">
        <w:t>,</w:t>
      </w:r>
      <w:r w:rsidR="003D640C">
        <w:t xml:space="preserve"> </w:t>
      </w:r>
      <w:r w:rsidRPr="00BB6220">
        <w:t>or</w:t>
      </w:r>
      <w:r w:rsidR="003D640C">
        <w:t xml:space="preserve"> </w:t>
      </w:r>
      <w:r w:rsidRPr="00BB6220">
        <w:t>gender</w:t>
      </w:r>
      <w:r w:rsidR="003D640C">
        <w:t xml:space="preserve"> </w:t>
      </w:r>
      <w:r w:rsidRPr="00BB6220">
        <w:t>expression,</w:t>
      </w:r>
      <w:r w:rsidR="003D640C">
        <w:t xml:space="preserve"> </w:t>
      </w:r>
      <w:r w:rsidR="00915442" w:rsidRPr="00BB6220">
        <w:t>the</w:t>
      </w:r>
      <w:r w:rsidR="003D640C">
        <w:t xml:space="preserve"> </w:t>
      </w:r>
      <w:r w:rsidR="00915442" w:rsidRPr="00BB6220">
        <w:t>provision</w:t>
      </w:r>
      <w:r w:rsidR="003D640C">
        <w:t xml:space="preserve"> </w:t>
      </w:r>
      <w:r w:rsidR="00915442" w:rsidRPr="00BB6220">
        <w:t>of</w:t>
      </w:r>
      <w:r w:rsidR="003D640C">
        <w:t xml:space="preserve"> </w:t>
      </w:r>
      <w:r w:rsidRPr="00BB6220">
        <w:t>courses,</w:t>
      </w:r>
      <w:r w:rsidR="003D640C">
        <w:t xml:space="preserve"> </w:t>
      </w:r>
      <w:r w:rsidRPr="00BB6220">
        <w:t>camps,</w:t>
      </w:r>
      <w:r w:rsidR="003D640C">
        <w:t xml:space="preserve"> </w:t>
      </w:r>
      <w:r w:rsidRPr="00BB6220">
        <w:t>discussion</w:t>
      </w:r>
      <w:r w:rsidR="003D640C">
        <w:t xml:space="preserve"> </w:t>
      </w:r>
      <w:r w:rsidRPr="00BB6220">
        <w:t>groups,</w:t>
      </w:r>
      <w:r w:rsidR="003D640C">
        <w:t xml:space="preserve"> </w:t>
      </w:r>
      <w:r w:rsidRPr="00BB6220">
        <w:t>lessons,</w:t>
      </w:r>
      <w:r w:rsidR="003D640C">
        <w:t xml:space="preserve"> </w:t>
      </w:r>
      <w:r w:rsidRPr="00BB6220">
        <w:t>mentoring,</w:t>
      </w:r>
      <w:r w:rsidR="003D640C">
        <w:t xml:space="preserve"> </w:t>
      </w:r>
      <w:r w:rsidRPr="00BB6220">
        <w:t>counselling,</w:t>
      </w:r>
      <w:r w:rsidR="003D640C">
        <w:t xml:space="preserve"> </w:t>
      </w:r>
      <w:r w:rsidR="004A4008">
        <w:t xml:space="preserve">or </w:t>
      </w:r>
      <w:r w:rsidRPr="00BB6220">
        <w:t>specific</w:t>
      </w:r>
      <w:r w:rsidR="003D640C">
        <w:t xml:space="preserve"> </w:t>
      </w:r>
      <w:r w:rsidRPr="00BB6220">
        <w:t>religious</w:t>
      </w:r>
      <w:r w:rsidR="003D640C">
        <w:t xml:space="preserve"> </w:t>
      </w:r>
      <w:r w:rsidRPr="00BB6220">
        <w:t>practices</w:t>
      </w:r>
      <w:r w:rsidR="003D640C">
        <w:t xml:space="preserve"> </w:t>
      </w:r>
      <w:r w:rsidRPr="00BB6220">
        <w:t>and</w:t>
      </w:r>
      <w:r w:rsidR="003D640C">
        <w:t xml:space="preserve"> </w:t>
      </w:r>
      <w:r w:rsidRPr="00BB6220">
        <w:t>the</w:t>
      </w:r>
      <w:r w:rsidR="003D640C">
        <w:t xml:space="preserve"> </w:t>
      </w:r>
      <w:r w:rsidRPr="00BB6220">
        <w:t>denial</w:t>
      </w:r>
      <w:r w:rsidR="003D640C">
        <w:t xml:space="preserve"> </w:t>
      </w:r>
      <w:r w:rsidRPr="00BB6220">
        <w:t>or</w:t>
      </w:r>
      <w:r w:rsidR="003D640C">
        <w:t xml:space="preserve"> </w:t>
      </w:r>
      <w:r w:rsidRPr="00BB6220">
        <w:t>delay</w:t>
      </w:r>
      <w:r w:rsidR="003D640C">
        <w:t xml:space="preserve"> </w:t>
      </w:r>
      <w:r w:rsidRPr="00BB6220">
        <w:t>of</w:t>
      </w:r>
      <w:r w:rsidR="003D640C">
        <w:t xml:space="preserve"> </w:t>
      </w:r>
      <w:r w:rsidRPr="00BB6220">
        <w:t>gender-affirming</w:t>
      </w:r>
      <w:r w:rsidR="003D640C">
        <w:t xml:space="preserve"> </w:t>
      </w:r>
      <w:r w:rsidRPr="00BB6220">
        <w:t>healthcare</w:t>
      </w:r>
      <w:r w:rsidR="003D640C">
        <w:t xml:space="preserve"> </w:t>
      </w:r>
      <w:r w:rsidR="61DC1AA9" w:rsidRPr="00BB6220">
        <w:t>can</w:t>
      </w:r>
      <w:r w:rsidR="003D640C">
        <w:t xml:space="preserve"> </w:t>
      </w:r>
      <w:r w:rsidRPr="00BB6220">
        <w:t>amount</w:t>
      </w:r>
      <w:r w:rsidR="003D640C">
        <w:t xml:space="preserve"> </w:t>
      </w:r>
      <w:r w:rsidRPr="00BB6220">
        <w:t>to</w:t>
      </w:r>
      <w:r w:rsidR="003D640C">
        <w:t xml:space="preserve"> </w:t>
      </w:r>
      <w:r w:rsidRPr="00BB6220">
        <w:t>conversion</w:t>
      </w:r>
      <w:r w:rsidR="003D640C">
        <w:t xml:space="preserve"> </w:t>
      </w:r>
      <w:r w:rsidRPr="00BB6220">
        <w:t>practices</w:t>
      </w:r>
      <w:r w:rsidR="00412E3A" w:rsidRPr="00BB6220">
        <w:t>.</w:t>
      </w:r>
      <w:r w:rsidR="003D640C">
        <w:t xml:space="preserve"> </w:t>
      </w:r>
      <w:r w:rsidR="00412E3A" w:rsidRPr="00BB6220">
        <w:t>They</w:t>
      </w:r>
      <w:r w:rsidR="003D640C">
        <w:t xml:space="preserve"> </w:t>
      </w:r>
      <w:r w:rsidR="005D1193">
        <w:t>may</w:t>
      </w:r>
      <w:r w:rsidR="003D640C">
        <w:t xml:space="preserve"> </w:t>
      </w:r>
      <w:r w:rsidR="005D1193">
        <w:t>constitute</w:t>
      </w:r>
      <w:r w:rsidR="003D640C">
        <w:t xml:space="preserve"> </w:t>
      </w:r>
      <w:r w:rsidR="00E0757A">
        <w:t>a</w:t>
      </w:r>
      <w:r w:rsidR="003D640C">
        <w:t xml:space="preserve"> </w:t>
      </w:r>
      <w:r w:rsidR="00E0757A">
        <w:t>criminal</w:t>
      </w:r>
      <w:r w:rsidR="003D640C">
        <w:t xml:space="preserve"> </w:t>
      </w:r>
      <w:r w:rsidR="00E0757A">
        <w:t>offence</w:t>
      </w:r>
      <w:r w:rsidR="003D640C">
        <w:t xml:space="preserve"> </w:t>
      </w:r>
      <w:r w:rsidR="00412E3A" w:rsidRPr="00BB6220">
        <w:t>even</w:t>
      </w:r>
      <w:r w:rsidR="003D640C">
        <w:t xml:space="preserve"> </w:t>
      </w:r>
      <w:r w:rsidRPr="00BB6220">
        <w:t>when</w:t>
      </w:r>
      <w:r w:rsidR="003D640C">
        <w:t xml:space="preserve"> </w:t>
      </w:r>
      <w:r w:rsidRPr="00BB6220">
        <w:t>done</w:t>
      </w:r>
      <w:r w:rsidR="003D640C">
        <w:t xml:space="preserve"> </w:t>
      </w:r>
      <w:r w:rsidRPr="00BB6220">
        <w:t>in</w:t>
      </w:r>
      <w:r w:rsidR="003D640C">
        <w:t xml:space="preserve"> </w:t>
      </w:r>
      <w:r w:rsidRPr="00BB6220">
        <w:t>response</w:t>
      </w:r>
      <w:r w:rsidR="003D640C">
        <w:t xml:space="preserve"> </w:t>
      </w:r>
      <w:r w:rsidRPr="00BB6220">
        <w:t>to</w:t>
      </w:r>
      <w:r w:rsidR="003D640C">
        <w:t xml:space="preserve"> </w:t>
      </w:r>
      <w:r w:rsidRPr="00BB6220">
        <w:t>the</w:t>
      </w:r>
      <w:r w:rsidR="003D640C">
        <w:t xml:space="preserve"> </w:t>
      </w:r>
      <w:r w:rsidRPr="00BB6220">
        <w:t>wishes</w:t>
      </w:r>
      <w:r w:rsidR="003D640C">
        <w:t xml:space="preserve"> </w:t>
      </w:r>
      <w:r w:rsidRPr="00BB6220">
        <w:t>of</w:t>
      </w:r>
      <w:r w:rsidR="003D640C">
        <w:t xml:space="preserve"> </w:t>
      </w:r>
      <w:r w:rsidRPr="00BB6220">
        <w:t>parents,</w:t>
      </w:r>
      <w:r w:rsidR="003D640C">
        <w:t xml:space="preserve"> </w:t>
      </w:r>
      <w:r w:rsidRPr="00BB6220">
        <w:t>whānau,</w:t>
      </w:r>
      <w:r w:rsidR="003D640C">
        <w:t xml:space="preserve"> </w:t>
      </w:r>
      <w:r w:rsidRPr="00BB6220">
        <w:t>or</w:t>
      </w:r>
      <w:r w:rsidR="003D640C">
        <w:t xml:space="preserve"> </w:t>
      </w:r>
      <w:r w:rsidRPr="00BB6220">
        <w:t>caregivers</w:t>
      </w:r>
      <w:r w:rsidR="2691408E" w:rsidRPr="00BB6220">
        <w:t>.</w:t>
      </w:r>
    </w:p>
    <w:p w14:paraId="3DC34008" w14:textId="1BC824F2" w:rsidR="00D05424" w:rsidRPr="00BB6220" w:rsidRDefault="2691408E" w:rsidP="00C2218C">
      <w:pPr>
        <w:rPr>
          <w:lang w:val="mi-NZ"/>
        </w:rPr>
      </w:pPr>
      <w:r w:rsidRPr="00BB6220">
        <w:t>T</w:t>
      </w:r>
      <w:r w:rsidR="00D05424" w:rsidRPr="00BB6220">
        <w:t>he</w:t>
      </w:r>
      <w:r w:rsidR="003D640C">
        <w:t xml:space="preserve"> </w:t>
      </w:r>
      <w:r w:rsidR="00D05424" w:rsidRPr="00BB6220">
        <w:t>added</w:t>
      </w:r>
      <w:r w:rsidR="003D640C">
        <w:t xml:space="preserve"> </w:t>
      </w:r>
      <w:r w:rsidR="00D05424" w:rsidRPr="00BB6220">
        <w:t>complexity</w:t>
      </w:r>
      <w:r w:rsidR="003D640C">
        <w:t xml:space="preserve"> </w:t>
      </w:r>
      <w:r w:rsidR="00D05424" w:rsidRPr="00BB6220">
        <w:t>that</w:t>
      </w:r>
      <w:r w:rsidR="003D640C">
        <w:t xml:space="preserve"> </w:t>
      </w:r>
      <w:r w:rsidR="00D05424" w:rsidRPr="00BB6220">
        <w:t>comes</w:t>
      </w:r>
      <w:r w:rsidR="003D640C">
        <w:t xml:space="preserve"> </w:t>
      </w:r>
      <w:r w:rsidR="00D05424" w:rsidRPr="00BB6220">
        <w:t>with</w:t>
      </w:r>
      <w:r w:rsidR="003D640C">
        <w:t xml:space="preserve"> </w:t>
      </w:r>
      <w:r w:rsidR="00D05424" w:rsidRPr="00BB6220">
        <w:t>the</w:t>
      </w:r>
      <w:r w:rsidR="003D640C">
        <w:t xml:space="preserve"> </w:t>
      </w:r>
      <w:r w:rsidR="00D05424" w:rsidRPr="00BB6220">
        <w:t>impact</w:t>
      </w:r>
      <w:r w:rsidR="003D640C">
        <w:t xml:space="preserve"> </w:t>
      </w:r>
      <w:r w:rsidR="00D05424" w:rsidRPr="00BB6220">
        <w:t>and</w:t>
      </w:r>
      <w:r w:rsidR="003D640C">
        <w:t xml:space="preserve"> </w:t>
      </w:r>
      <w:r w:rsidR="00D05424" w:rsidRPr="00BB6220">
        <w:t>authority</w:t>
      </w:r>
      <w:r w:rsidR="003D640C">
        <w:t xml:space="preserve"> </w:t>
      </w:r>
      <w:r w:rsidR="00D05424" w:rsidRPr="00BB6220">
        <w:t>of</w:t>
      </w:r>
      <w:r w:rsidR="003D640C">
        <w:t xml:space="preserve"> </w:t>
      </w:r>
      <w:r w:rsidR="00D05424" w:rsidRPr="00BB6220">
        <w:t>whānau</w:t>
      </w:r>
      <w:r w:rsidR="003D640C">
        <w:t xml:space="preserve"> </w:t>
      </w:r>
      <w:r w:rsidR="00D05424" w:rsidRPr="00BB6220">
        <w:t>in</w:t>
      </w:r>
      <w:r w:rsidR="003D640C">
        <w:t xml:space="preserve"> </w:t>
      </w:r>
      <w:r w:rsidR="00D05424" w:rsidRPr="00BB6220">
        <w:t>a</w:t>
      </w:r>
      <w:r w:rsidR="003D640C">
        <w:t xml:space="preserve"> </w:t>
      </w:r>
      <w:r w:rsidR="00D05424" w:rsidRPr="00BB6220">
        <w:t>young</w:t>
      </w:r>
      <w:r w:rsidR="003D640C">
        <w:t xml:space="preserve"> </w:t>
      </w:r>
      <w:r w:rsidR="00D05424" w:rsidRPr="00BB6220">
        <w:t>person’s</w:t>
      </w:r>
      <w:r w:rsidR="003D640C">
        <w:t xml:space="preserve"> </w:t>
      </w:r>
      <w:r w:rsidR="00D05424" w:rsidRPr="00BB6220">
        <w:t>life</w:t>
      </w:r>
      <w:r w:rsidR="003D640C">
        <w:t xml:space="preserve"> </w:t>
      </w:r>
      <w:r w:rsidR="3E145303" w:rsidRPr="00BB6220">
        <w:t>means</w:t>
      </w:r>
      <w:r w:rsidR="003D640C">
        <w:t xml:space="preserve"> </w:t>
      </w:r>
      <w:r w:rsidR="00D05424" w:rsidRPr="00BB6220">
        <w:t>youth</w:t>
      </w:r>
      <w:r w:rsidR="003D640C">
        <w:t xml:space="preserve"> </w:t>
      </w:r>
      <w:r w:rsidR="00D05424" w:rsidRPr="00BB6220">
        <w:t>work</w:t>
      </w:r>
      <w:r w:rsidR="003D640C">
        <w:t xml:space="preserve"> </w:t>
      </w:r>
      <w:r w:rsidR="00D05424" w:rsidRPr="00BB6220">
        <w:t>organisations</w:t>
      </w:r>
      <w:r w:rsidR="003D640C">
        <w:t xml:space="preserve"> </w:t>
      </w:r>
      <w:r w:rsidR="00D05424" w:rsidRPr="00BB6220">
        <w:t>and</w:t>
      </w:r>
      <w:r w:rsidR="003D640C">
        <w:t xml:space="preserve"> </w:t>
      </w:r>
      <w:r w:rsidR="00D05424" w:rsidRPr="00BB6220">
        <w:t>educational</w:t>
      </w:r>
      <w:r w:rsidR="003D640C">
        <w:t xml:space="preserve"> </w:t>
      </w:r>
      <w:r w:rsidR="00D05424" w:rsidRPr="00BB6220">
        <w:t>institutions</w:t>
      </w:r>
      <w:r w:rsidR="003D640C">
        <w:t xml:space="preserve"> </w:t>
      </w:r>
      <w:r w:rsidR="00D05424" w:rsidRPr="00BB6220">
        <w:t>must</w:t>
      </w:r>
      <w:r w:rsidR="003D640C">
        <w:t xml:space="preserve"> </w:t>
      </w:r>
      <w:r w:rsidR="00D05424" w:rsidRPr="00BB6220">
        <w:t>be</w:t>
      </w:r>
      <w:r w:rsidR="003D640C">
        <w:t xml:space="preserve"> </w:t>
      </w:r>
      <w:r w:rsidR="00D05424" w:rsidRPr="00BB6220">
        <w:t>clear</w:t>
      </w:r>
      <w:r w:rsidR="003D640C">
        <w:t xml:space="preserve"> </w:t>
      </w:r>
      <w:r w:rsidR="00D05424" w:rsidRPr="00BB6220">
        <w:t>on</w:t>
      </w:r>
      <w:r w:rsidR="003D640C">
        <w:t xml:space="preserve"> </w:t>
      </w:r>
      <w:r w:rsidR="00D05424" w:rsidRPr="00BB6220">
        <w:t>the</w:t>
      </w:r>
      <w:r w:rsidR="003D640C">
        <w:t xml:space="preserve"> </w:t>
      </w:r>
      <w:r w:rsidR="00D05424" w:rsidRPr="00BB6220">
        <w:t>rights</w:t>
      </w:r>
      <w:r w:rsidR="003D640C">
        <w:t xml:space="preserve"> </w:t>
      </w:r>
      <w:r w:rsidR="00D05424" w:rsidRPr="00BB6220">
        <w:t>of</w:t>
      </w:r>
      <w:r w:rsidR="003D640C">
        <w:t xml:space="preserve"> </w:t>
      </w:r>
      <w:r w:rsidR="00D05424" w:rsidRPr="00BB6220">
        <w:t>young</w:t>
      </w:r>
      <w:r w:rsidR="003D640C">
        <w:t xml:space="preserve"> </w:t>
      </w:r>
      <w:r w:rsidR="00D05424" w:rsidRPr="00BB6220">
        <w:t>people</w:t>
      </w:r>
      <w:r w:rsidR="003D640C">
        <w:t xml:space="preserve"> </w:t>
      </w:r>
      <w:r w:rsidR="00D05424" w:rsidRPr="00BB6220">
        <w:t>and</w:t>
      </w:r>
      <w:r w:rsidR="003D640C">
        <w:t xml:space="preserve"> </w:t>
      </w:r>
      <w:r w:rsidR="00D05424" w:rsidRPr="00BB6220">
        <w:t>how</w:t>
      </w:r>
      <w:r w:rsidR="003D640C">
        <w:t xml:space="preserve"> </w:t>
      </w:r>
      <w:r w:rsidR="00D05424" w:rsidRPr="00BB6220">
        <w:t>to</w:t>
      </w:r>
      <w:r w:rsidR="003D640C">
        <w:t xml:space="preserve"> </w:t>
      </w:r>
      <w:r w:rsidR="00D05424" w:rsidRPr="00BB6220">
        <w:t>best</w:t>
      </w:r>
      <w:r w:rsidR="003D640C">
        <w:t xml:space="preserve"> </w:t>
      </w:r>
      <w:r w:rsidR="00D05424" w:rsidRPr="00BB6220">
        <w:t>uphold</w:t>
      </w:r>
      <w:r w:rsidR="003D640C">
        <w:t xml:space="preserve"> </w:t>
      </w:r>
      <w:r w:rsidR="00D05424" w:rsidRPr="00BB6220">
        <w:t>them</w:t>
      </w:r>
      <w:r w:rsidR="003D640C">
        <w:t xml:space="preserve"> </w:t>
      </w:r>
      <w:r w:rsidR="00D05424" w:rsidRPr="00BB6220">
        <w:t>in</w:t>
      </w:r>
      <w:r w:rsidR="003D640C">
        <w:t xml:space="preserve"> </w:t>
      </w:r>
      <w:r w:rsidR="00D05424" w:rsidRPr="00BB6220">
        <w:t>this</w:t>
      </w:r>
      <w:r w:rsidR="003D640C">
        <w:t xml:space="preserve"> </w:t>
      </w:r>
      <w:r w:rsidR="00D05424" w:rsidRPr="00BB6220">
        <w:t>context</w:t>
      </w:r>
      <w:r w:rsidR="00D05424" w:rsidRPr="00BB6220">
        <w:rPr>
          <w:i/>
          <w:iCs/>
          <w:lang w:val="mi-NZ"/>
        </w:rPr>
        <w:t>.</w:t>
      </w:r>
    </w:p>
    <w:p w14:paraId="0BB354BF" w14:textId="6736ECA4" w:rsidR="00FE36BC" w:rsidRPr="00BB6220" w:rsidRDefault="00FE36BC" w:rsidP="00C2218C">
      <w:r w:rsidRPr="00BB6220">
        <w:t>In</w:t>
      </w:r>
      <w:r w:rsidR="003D640C">
        <w:t xml:space="preserve"> </w:t>
      </w:r>
      <w:r w:rsidRPr="00BB6220">
        <w:t>Aotearoa</w:t>
      </w:r>
      <w:r w:rsidR="2BBD8DA5" w:rsidRPr="00BB6220">
        <w:t>,</w:t>
      </w:r>
      <w:r w:rsidR="003D640C">
        <w:t xml:space="preserve"> </w:t>
      </w:r>
      <w:r w:rsidRPr="00BB6220">
        <w:t>religious</w:t>
      </w:r>
      <w:r w:rsidR="003D640C">
        <w:t xml:space="preserve"> </w:t>
      </w:r>
      <w:r w:rsidRPr="00BB6220">
        <w:t>schools,</w:t>
      </w:r>
      <w:r w:rsidR="003D640C">
        <w:t xml:space="preserve"> </w:t>
      </w:r>
      <w:r w:rsidRPr="00BB6220">
        <w:t>legally</w:t>
      </w:r>
      <w:r w:rsidR="003D640C">
        <w:t xml:space="preserve"> </w:t>
      </w:r>
      <w:r w:rsidRPr="00BB6220">
        <w:t>called</w:t>
      </w:r>
      <w:r w:rsidR="003D640C">
        <w:t xml:space="preserve"> </w:t>
      </w:r>
      <w:r w:rsidRPr="00BB6220">
        <w:t>state-integrated</w:t>
      </w:r>
      <w:r w:rsidR="003D640C">
        <w:t xml:space="preserve"> </w:t>
      </w:r>
      <w:r w:rsidRPr="00BB6220">
        <w:t>or</w:t>
      </w:r>
      <w:r w:rsidR="003D640C">
        <w:t xml:space="preserve"> </w:t>
      </w:r>
      <w:r w:rsidRPr="00BB6220">
        <w:t>special</w:t>
      </w:r>
      <w:r w:rsidR="003D640C">
        <w:t xml:space="preserve"> </w:t>
      </w:r>
      <w:r w:rsidRPr="00BB6220">
        <w:t>character</w:t>
      </w:r>
      <w:r w:rsidR="003D640C">
        <w:t xml:space="preserve"> </w:t>
      </w:r>
      <w:r w:rsidRPr="00BB6220">
        <w:t>schools,</w:t>
      </w:r>
      <w:r w:rsidR="003D640C">
        <w:t xml:space="preserve"> </w:t>
      </w:r>
      <w:r w:rsidRPr="00BB6220">
        <w:t>are</w:t>
      </w:r>
      <w:r w:rsidR="003D640C">
        <w:t xml:space="preserve"> </w:t>
      </w:r>
      <w:r w:rsidRPr="00BB6220">
        <w:t>governed</w:t>
      </w:r>
      <w:r w:rsidR="003D640C">
        <w:t xml:space="preserve"> </w:t>
      </w:r>
      <w:r w:rsidRPr="00BB6220">
        <w:t>by</w:t>
      </w:r>
      <w:r w:rsidR="003D640C">
        <w:t xml:space="preserve"> </w:t>
      </w:r>
      <w:r w:rsidRPr="00BB6220">
        <w:t>boards</w:t>
      </w:r>
      <w:r w:rsidR="003D640C">
        <w:t xml:space="preserve"> </w:t>
      </w:r>
      <w:r w:rsidRPr="00BB6220">
        <w:t>of</w:t>
      </w:r>
      <w:r w:rsidR="003D640C">
        <w:t xml:space="preserve"> </w:t>
      </w:r>
      <w:r w:rsidRPr="00BB6220">
        <w:t>proprietors</w:t>
      </w:r>
      <w:r w:rsidR="003D640C">
        <w:t xml:space="preserve"> </w:t>
      </w:r>
      <w:r w:rsidRPr="00BB6220">
        <w:t>who</w:t>
      </w:r>
      <w:r w:rsidR="003D640C">
        <w:t xml:space="preserve"> </w:t>
      </w:r>
      <w:r w:rsidR="00FB2ABF">
        <w:t>are</w:t>
      </w:r>
      <w:r w:rsidR="003D640C">
        <w:t xml:space="preserve"> </w:t>
      </w:r>
      <w:r w:rsidRPr="00BB6220">
        <w:t>responsib</w:t>
      </w:r>
      <w:r w:rsidR="00FB2ABF">
        <w:t>le</w:t>
      </w:r>
      <w:r w:rsidR="003D640C">
        <w:t xml:space="preserve"> </w:t>
      </w:r>
      <w:r w:rsidR="00FB2ABF">
        <w:t>for</w:t>
      </w:r>
      <w:r w:rsidR="003D640C">
        <w:t xml:space="preserve"> </w:t>
      </w:r>
      <w:r w:rsidRPr="00BB6220">
        <w:t>protecting</w:t>
      </w:r>
      <w:r w:rsidR="003D640C">
        <w:t xml:space="preserve"> </w:t>
      </w:r>
      <w:r w:rsidRPr="00BB6220">
        <w:t>th</w:t>
      </w:r>
      <w:r w:rsidR="00FB2ABF">
        <w:t>e</w:t>
      </w:r>
      <w:r w:rsidR="003D640C">
        <w:t xml:space="preserve"> </w:t>
      </w:r>
      <w:r w:rsidRPr="00BB6220">
        <w:t>special</w:t>
      </w:r>
      <w:r w:rsidR="003D640C">
        <w:t xml:space="preserve"> </w:t>
      </w:r>
      <w:r w:rsidRPr="00BB6220">
        <w:t>character</w:t>
      </w:r>
      <w:r w:rsidR="003D640C">
        <w:t xml:space="preserve"> </w:t>
      </w:r>
      <w:r w:rsidRPr="00BB6220">
        <w:t>of</w:t>
      </w:r>
      <w:r w:rsidR="003D640C">
        <w:t xml:space="preserve"> </w:t>
      </w:r>
      <w:r w:rsidRPr="00BB6220">
        <w:t>the</w:t>
      </w:r>
      <w:r w:rsidR="003D640C">
        <w:t xml:space="preserve"> </w:t>
      </w:r>
      <w:r w:rsidRPr="00BB6220">
        <w:t>school.</w:t>
      </w:r>
      <w:r w:rsidR="003D640C">
        <w:t xml:space="preserve"> </w:t>
      </w:r>
      <w:r w:rsidR="004A4008">
        <w:t>Section 127 of t</w:t>
      </w:r>
      <w:r w:rsidRPr="00BB6220">
        <w:t>he</w:t>
      </w:r>
      <w:r w:rsidR="003D640C">
        <w:t xml:space="preserve"> </w:t>
      </w:r>
      <w:r w:rsidRPr="00BB6220">
        <w:t>Education</w:t>
      </w:r>
      <w:r w:rsidR="003D640C">
        <w:t xml:space="preserve"> </w:t>
      </w:r>
      <w:r w:rsidRPr="00BB6220">
        <w:t>and</w:t>
      </w:r>
      <w:r w:rsidR="003D640C">
        <w:t xml:space="preserve"> </w:t>
      </w:r>
      <w:r w:rsidRPr="00BB6220">
        <w:t>Training</w:t>
      </w:r>
      <w:r w:rsidR="003D640C">
        <w:t xml:space="preserve"> </w:t>
      </w:r>
      <w:r w:rsidRPr="00BB6220">
        <w:t>Act</w:t>
      </w:r>
      <w:r w:rsidR="003D640C" w:rsidDel="004264F2">
        <w:t xml:space="preserve"> </w:t>
      </w:r>
      <w:r w:rsidRPr="00BB6220">
        <w:t>affords</w:t>
      </w:r>
      <w:r w:rsidR="003D640C">
        <w:t xml:space="preserve"> </w:t>
      </w:r>
      <w:r w:rsidRPr="00BB6220">
        <w:t>this</w:t>
      </w:r>
      <w:r w:rsidR="003D640C">
        <w:t xml:space="preserve"> </w:t>
      </w:r>
      <w:r w:rsidRPr="00BB6220">
        <w:t>responsibility</w:t>
      </w:r>
      <w:r w:rsidR="003D640C">
        <w:t xml:space="preserve"> </w:t>
      </w:r>
      <w:r w:rsidRPr="00BB6220">
        <w:t>alongside</w:t>
      </w:r>
      <w:r w:rsidR="003D640C">
        <w:t xml:space="preserve"> </w:t>
      </w:r>
      <w:r w:rsidRPr="00BB6220">
        <w:t>the</w:t>
      </w:r>
      <w:r w:rsidR="003D640C">
        <w:t xml:space="preserve"> </w:t>
      </w:r>
      <w:r w:rsidRPr="00BB6220">
        <w:t>obligations</w:t>
      </w:r>
      <w:r w:rsidR="003D640C">
        <w:t xml:space="preserve"> </w:t>
      </w:r>
      <w:r w:rsidRPr="00BB6220">
        <w:t>of</w:t>
      </w:r>
      <w:r w:rsidR="003D640C">
        <w:t xml:space="preserve"> </w:t>
      </w:r>
      <w:r w:rsidRPr="00BB6220">
        <w:t>those</w:t>
      </w:r>
      <w:r w:rsidR="003D640C">
        <w:t xml:space="preserve"> </w:t>
      </w:r>
      <w:r w:rsidRPr="00BB6220">
        <w:t>same</w:t>
      </w:r>
      <w:r w:rsidR="003D640C">
        <w:t xml:space="preserve"> </w:t>
      </w:r>
      <w:r w:rsidRPr="00BB6220">
        <w:t>boards</w:t>
      </w:r>
      <w:r w:rsidR="003D640C">
        <w:t xml:space="preserve"> </w:t>
      </w:r>
      <w:r w:rsidRPr="00BB6220">
        <w:t>(and</w:t>
      </w:r>
      <w:r w:rsidR="003D640C">
        <w:t xml:space="preserve"> </w:t>
      </w:r>
      <w:r w:rsidRPr="00BB6220">
        <w:t>boards</w:t>
      </w:r>
      <w:r w:rsidR="003D640C">
        <w:t xml:space="preserve"> </w:t>
      </w:r>
      <w:r w:rsidRPr="00BB6220">
        <w:t>of</w:t>
      </w:r>
      <w:r w:rsidR="003D640C">
        <w:t xml:space="preserve"> </w:t>
      </w:r>
      <w:r w:rsidRPr="00BB6220">
        <w:t>all</w:t>
      </w:r>
      <w:r w:rsidR="003D640C">
        <w:t xml:space="preserve"> </w:t>
      </w:r>
      <w:r w:rsidRPr="00BB6220">
        <w:t>schools)</w:t>
      </w:r>
      <w:r w:rsidR="003D640C">
        <w:t xml:space="preserve"> </w:t>
      </w:r>
      <w:r w:rsidRPr="00BB6220">
        <w:t>to</w:t>
      </w:r>
      <w:r w:rsidR="003D640C">
        <w:t xml:space="preserve"> </w:t>
      </w:r>
      <w:r w:rsidR="00644677">
        <w:t>ensure</w:t>
      </w:r>
      <w:r w:rsidR="003D640C">
        <w:t xml:space="preserve"> </w:t>
      </w:r>
      <w:r w:rsidR="00644677">
        <w:t>that</w:t>
      </w:r>
      <w:r w:rsidR="003D640C">
        <w:t xml:space="preserve"> </w:t>
      </w:r>
      <w:r w:rsidR="00644677">
        <w:t>the</w:t>
      </w:r>
      <w:r w:rsidR="003D640C">
        <w:t xml:space="preserve"> </w:t>
      </w:r>
      <w:r w:rsidR="00644677">
        <w:t>school</w:t>
      </w:r>
      <w:r w:rsidR="003D640C">
        <w:t xml:space="preserve"> </w:t>
      </w:r>
      <w:r w:rsidRPr="00BB6220">
        <w:t>is</w:t>
      </w:r>
      <w:r w:rsidR="003D640C">
        <w:t xml:space="preserve"> </w:t>
      </w:r>
      <w:r w:rsidR="00644677">
        <w:t>a</w:t>
      </w:r>
      <w:r w:rsidR="003D640C">
        <w:t xml:space="preserve"> </w:t>
      </w:r>
      <w:r w:rsidRPr="00BB6220">
        <w:t>physically</w:t>
      </w:r>
      <w:r w:rsidR="003D640C">
        <w:t xml:space="preserve"> </w:t>
      </w:r>
      <w:r w:rsidRPr="00BB6220">
        <w:t>and</w:t>
      </w:r>
      <w:r w:rsidR="003D640C">
        <w:t xml:space="preserve"> </w:t>
      </w:r>
      <w:r w:rsidRPr="00BB6220">
        <w:t>emotionally</w:t>
      </w:r>
      <w:r w:rsidR="003D640C">
        <w:t xml:space="preserve"> </w:t>
      </w:r>
      <w:r w:rsidRPr="00BB6220">
        <w:t>safe</w:t>
      </w:r>
      <w:r w:rsidR="003D640C">
        <w:t xml:space="preserve"> </w:t>
      </w:r>
      <w:r w:rsidR="00644677">
        <w:t>place</w:t>
      </w:r>
      <w:r w:rsidR="003D640C">
        <w:t xml:space="preserve"> </w:t>
      </w:r>
      <w:r w:rsidRPr="00BB6220">
        <w:t>for</w:t>
      </w:r>
      <w:r w:rsidR="003D640C">
        <w:t xml:space="preserve"> </w:t>
      </w:r>
      <w:r w:rsidRPr="00BB6220">
        <w:t>all</w:t>
      </w:r>
      <w:r w:rsidR="003D640C">
        <w:t xml:space="preserve"> </w:t>
      </w:r>
      <w:r w:rsidRPr="00BB6220">
        <w:t>students</w:t>
      </w:r>
      <w:r w:rsidR="00FB2ABF">
        <w:t>.</w:t>
      </w:r>
      <w:r w:rsidR="00FB2ABF" w:rsidDel="008E1CCA">
        <w:t xml:space="preserve"> </w:t>
      </w:r>
      <w:r w:rsidR="00FB2ABF">
        <w:t>They</w:t>
      </w:r>
      <w:r w:rsidR="003D640C">
        <w:t xml:space="preserve"> </w:t>
      </w:r>
      <w:r w:rsidR="00FB2ABF">
        <w:t>are</w:t>
      </w:r>
      <w:r w:rsidR="003D640C">
        <w:t xml:space="preserve"> </w:t>
      </w:r>
      <w:r w:rsidR="00FB2ABF">
        <w:t>also</w:t>
      </w:r>
      <w:r w:rsidR="003D640C">
        <w:t xml:space="preserve"> </w:t>
      </w:r>
      <w:r w:rsidR="00FB2ABF">
        <w:t>required</w:t>
      </w:r>
      <w:r w:rsidR="003D640C">
        <w:t xml:space="preserve"> </w:t>
      </w:r>
      <w:r w:rsidRPr="00BB6220">
        <w:t>to</w:t>
      </w:r>
      <w:r w:rsidR="003D640C">
        <w:t xml:space="preserve"> </w:t>
      </w:r>
      <w:r w:rsidRPr="00BB6220">
        <w:t>give</w:t>
      </w:r>
      <w:r w:rsidR="003D640C">
        <w:t xml:space="preserve"> </w:t>
      </w:r>
      <w:r w:rsidRPr="00BB6220">
        <w:t>effect</w:t>
      </w:r>
      <w:r w:rsidR="003D640C">
        <w:t xml:space="preserve"> </w:t>
      </w:r>
      <w:r w:rsidRPr="00BB6220">
        <w:t>to</w:t>
      </w:r>
      <w:r w:rsidR="003D640C">
        <w:t xml:space="preserve"> </w:t>
      </w:r>
      <w:r w:rsidRPr="00BB6220">
        <w:t>the</w:t>
      </w:r>
      <w:r w:rsidR="003D640C">
        <w:t xml:space="preserve"> </w:t>
      </w:r>
      <w:r w:rsidR="00644677">
        <w:t>relevant</w:t>
      </w:r>
      <w:r w:rsidR="003D640C">
        <w:t xml:space="preserve"> </w:t>
      </w:r>
      <w:r w:rsidR="00644677">
        <w:t>student</w:t>
      </w:r>
      <w:r w:rsidR="003D640C">
        <w:t xml:space="preserve"> </w:t>
      </w:r>
      <w:r w:rsidR="00644677">
        <w:t>rights</w:t>
      </w:r>
      <w:r w:rsidR="003D640C">
        <w:t xml:space="preserve"> </w:t>
      </w:r>
      <w:r w:rsidR="00644677">
        <w:t>in</w:t>
      </w:r>
      <w:r w:rsidR="003D640C">
        <w:t xml:space="preserve"> </w:t>
      </w:r>
      <w:r w:rsidR="00644677">
        <w:t>the</w:t>
      </w:r>
      <w:r w:rsidR="003D640C">
        <w:t xml:space="preserve"> </w:t>
      </w:r>
      <w:r w:rsidRPr="00BB6220">
        <w:t>Human</w:t>
      </w:r>
      <w:r w:rsidR="003D640C">
        <w:t xml:space="preserve"> </w:t>
      </w:r>
      <w:r w:rsidRPr="00BB6220">
        <w:t>Rights</w:t>
      </w:r>
      <w:r w:rsidR="003D640C">
        <w:t xml:space="preserve"> </w:t>
      </w:r>
      <w:r w:rsidRPr="00BB6220">
        <w:t>Act</w:t>
      </w:r>
      <w:r w:rsidR="004A4008">
        <w:t>,</w:t>
      </w:r>
      <w:r w:rsidR="003D640C">
        <w:t xml:space="preserve"> </w:t>
      </w:r>
      <w:r w:rsidR="00644677">
        <w:t>including</w:t>
      </w:r>
      <w:r w:rsidR="003D640C">
        <w:t xml:space="preserve"> </w:t>
      </w:r>
      <w:r w:rsidR="00644677">
        <w:t>the</w:t>
      </w:r>
      <w:r w:rsidR="003D640C">
        <w:t xml:space="preserve"> </w:t>
      </w:r>
      <w:r w:rsidR="00644677">
        <w:t>right</w:t>
      </w:r>
      <w:r w:rsidR="003D640C">
        <w:t xml:space="preserve"> </w:t>
      </w:r>
      <w:r w:rsidR="00644677">
        <w:t>to</w:t>
      </w:r>
      <w:r w:rsidR="003D640C">
        <w:t xml:space="preserve"> </w:t>
      </w:r>
      <w:r w:rsidR="00644677">
        <w:t>be</w:t>
      </w:r>
      <w:r w:rsidR="003D640C">
        <w:t xml:space="preserve"> </w:t>
      </w:r>
      <w:r w:rsidR="00644677">
        <w:t>free</w:t>
      </w:r>
      <w:r w:rsidR="003D640C">
        <w:t xml:space="preserve"> </w:t>
      </w:r>
      <w:r w:rsidR="00644677">
        <w:t>from</w:t>
      </w:r>
      <w:r w:rsidR="003D640C">
        <w:t xml:space="preserve"> </w:t>
      </w:r>
      <w:r w:rsidR="00644677">
        <w:t>discrimination</w:t>
      </w:r>
      <w:r w:rsidR="003D640C">
        <w:t xml:space="preserve"> </w:t>
      </w:r>
      <w:r w:rsidR="00B8636B">
        <w:t>based</w:t>
      </w:r>
      <w:r w:rsidR="003D640C">
        <w:t xml:space="preserve"> </w:t>
      </w:r>
      <w:r w:rsidR="00B8636B">
        <w:t>on</w:t>
      </w:r>
      <w:r w:rsidR="003D640C">
        <w:t xml:space="preserve"> </w:t>
      </w:r>
      <w:r w:rsidR="00C673C0">
        <w:t>sexual</w:t>
      </w:r>
      <w:r w:rsidR="003D640C">
        <w:t xml:space="preserve"> </w:t>
      </w:r>
      <w:r w:rsidR="00C673C0">
        <w:t>orientation</w:t>
      </w:r>
      <w:r w:rsidR="003D640C">
        <w:t xml:space="preserve"> </w:t>
      </w:r>
      <w:r w:rsidR="003E492C">
        <w:t>and</w:t>
      </w:r>
      <w:r w:rsidR="003D640C">
        <w:t xml:space="preserve"> </w:t>
      </w:r>
      <w:r w:rsidR="003E492C">
        <w:t>sex</w:t>
      </w:r>
      <w:r w:rsidR="003D640C">
        <w:t xml:space="preserve"> </w:t>
      </w:r>
      <w:r w:rsidR="003E492C">
        <w:t>(including</w:t>
      </w:r>
      <w:r w:rsidR="003D640C">
        <w:t xml:space="preserve"> </w:t>
      </w:r>
      <w:r w:rsidR="003E492C">
        <w:t>gender</w:t>
      </w:r>
      <w:r w:rsidR="003D640C">
        <w:t xml:space="preserve"> </w:t>
      </w:r>
      <w:r w:rsidR="003E492C">
        <w:t>identity)</w:t>
      </w:r>
      <w:r w:rsidRPr="00BB6220">
        <w:t>.</w:t>
      </w:r>
      <w:r w:rsidR="00644677">
        <w:rPr>
          <w:rStyle w:val="FootnoteReference"/>
        </w:rPr>
        <w:footnoteReference w:id="111"/>
      </w:r>
      <w:r w:rsidR="003D640C">
        <w:t xml:space="preserve"> </w:t>
      </w:r>
      <w:r w:rsidR="00584546">
        <w:t>The</w:t>
      </w:r>
      <w:r w:rsidR="003D640C">
        <w:t xml:space="preserve"> </w:t>
      </w:r>
      <w:r w:rsidR="00584546">
        <w:t>right</w:t>
      </w:r>
      <w:r w:rsidR="003D640C">
        <w:t xml:space="preserve"> </w:t>
      </w:r>
      <w:r w:rsidR="00584546">
        <w:t>to</w:t>
      </w:r>
      <w:r w:rsidR="003D640C">
        <w:t xml:space="preserve"> </w:t>
      </w:r>
      <w:r w:rsidR="00F766C6">
        <w:t>education</w:t>
      </w:r>
      <w:r w:rsidR="003D640C">
        <w:t xml:space="preserve"> </w:t>
      </w:r>
      <w:r w:rsidR="00F766C6">
        <w:t>has</w:t>
      </w:r>
      <w:r w:rsidR="003D640C">
        <w:t xml:space="preserve"> </w:t>
      </w:r>
      <w:r w:rsidR="00F766C6">
        <w:t>also</w:t>
      </w:r>
      <w:r w:rsidR="003D640C">
        <w:t xml:space="preserve"> </w:t>
      </w:r>
      <w:r w:rsidR="00F766C6">
        <w:t>been</w:t>
      </w:r>
      <w:r w:rsidR="003D640C">
        <w:t xml:space="preserve"> </w:t>
      </w:r>
      <w:r w:rsidR="00F766C6">
        <w:t>affirmed</w:t>
      </w:r>
      <w:r w:rsidR="003D640C">
        <w:t xml:space="preserve"> </w:t>
      </w:r>
      <w:r w:rsidR="00F766C6">
        <w:t>in</w:t>
      </w:r>
      <w:r w:rsidR="003D640C">
        <w:t xml:space="preserve"> </w:t>
      </w:r>
      <w:r w:rsidR="00F766C6">
        <w:t>numerous</w:t>
      </w:r>
      <w:r w:rsidR="003D640C">
        <w:t xml:space="preserve"> </w:t>
      </w:r>
      <w:r w:rsidR="00F766C6">
        <w:t>international</w:t>
      </w:r>
      <w:r w:rsidR="003D640C">
        <w:t xml:space="preserve"> </w:t>
      </w:r>
      <w:r w:rsidR="00F766C6">
        <w:t>treaties,</w:t>
      </w:r>
      <w:r w:rsidR="003D640C">
        <w:t xml:space="preserve"> </w:t>
      </w:r>
      <w:r w:rsidR="00F766C6">
        <w:t>including</w:t>
      </w:r>
      <w:r w:rsidR="003D640C">
        <w:t xml:space="preserve"> </w:t>
      </w:r>
      <w:r w:rsidR="00C0025C">
        <w:t>the</w:t>
      </w:r>
      <w:r w:rsidR="003D640C">
        <w:t xml:space="preserve"> </w:t>
      </w:r>
      <w:r w:rsidR="00C0025C">
        <w:t>International</w:t>
      </w:r>
      <w:r w:rsidR="003D640C">
        <w:t xml:space="preserve"> </w:t>
      </w:r>
      <w:r w:rsidR="00043245">
        <w:t>Covenant</w:t>
      </w:r>
      <w:r w:rsidR="003D640C">
        <w:t xml:space="preserve"> </w:t>
      </w:r>
      <w:r w:rsidR="00C0025C">
        <w:t>on</w:t>
      </w:r>
      <w:r w:rsidR="003D640C">
        <w:t xml:space="preserve"> </w:t>
      </w:r>
      <w:r w:rsidR="00C0025C">
        <w:t>Economic</w:t>
      </w:r>
      <w:r w:rsidR="005F4A22">
        <w:t>,</w:t>
      </w:r>
      <w:r w:rsidR="003D640C">
        <w:t xml:space="preserve"> </w:t>
      </w:r>
      <w:r w:rsidR="00C0025C">
        <w:t>Social</w:t>
      </w:r>
      <w:r w:rsidR="003D640C">
        <w:t xml:space="preserve"> </w:t>
      </w:r>
      <w:r w:rsidR="00C0025C">
        <w:t>and</w:t>
      </w:r>
      <w:r w:rsidR="003D640C">
        <w:t xml:space="preserve"> </w:t>
      </w:r>
      <w:r w:rsidR="00C0025C">
        <w:t>Cultural</w:t>
      </w:r>
      <w:r w:rsidR="003D640C">
        <w:t xml:space="preserve"> </w:t>
      </w:r>
      <w:r w:rsidR="00C0025C">
        <w:t>Rights</w:t>
      </w:r>
      <w:r w:rsidR="003D640C" w:rsidDel="005F4A22">
        <w:t xml:space="preserve"> </w:t>
      </w:r>
      <w:r w:rsidR="008E1454">
        <w:t>and</w:t>
      </w:r>
      <w:r w:rsidR="003D640C">
        <w:t xml:space="preserve"> </w:t>
      </w:r>
      <w:r w:rsidR="008E1454">
        <w:t>the</w:t>
      </w:r>
      <w:r w:rsidR="003D640C">
        <w:t xml:space="preserve"> </w:t>
      </w:r>
      <w:r w:rsidR="00C0025C">
        <w:t>Convention</w:t>
      </w:r>
      <w:r w:rsidR="003D640C">
        <w:t xml:space="preserve"> </w:t>
      </w:r>
      <w:r w:rsidR="00C0025C">
        <w:t>on</w:t>
      </w:r>
      <w:r w:rsidR="003D640C">
        <w:t xml:space="preserve"> </w:t>
      </w:r>
      <w:r w:rsidR="00C0025C">
        <w:t>the</w:t>
      </w:r>
      <w:r w:rsidR="003D640C">
        <w:t xml:space="preserve"> </w:t>
      </w:r>
      <w:r w:rsidR="00C0025C">
        <w:t>Rights</w:t>
      </w:r>
      <w:r w:rsidR="003D640C">
        <w:t xml:space="preserve"> </w:t>
      </w:r>
      <w:r w:rsidR="00C0025C">
        <w:t>of</w:t>
      </w:r>
      <w:r w:rsidR="003D640C">
        <w:t xml:space="preserve"> </w:t>
      </w:r>
      <w:r w:rsidR="00C0025C">
        <w:t>the</w:t>
      </w:r>
      <w:r w:rsidR="003D640C">
        <w:t xml:space="preserve"> </w:t>
      </w:r>
      <w:r w:rsidR="00C0025C">
        <w:t>Child.</w:t>
      </w:r>
    </w:p>
    <w:p w14:paraId="42CBB351" w14:textId="2253C455" w:rsidR="00AA45D7" w:rsidRPr="004134C1" w:rsidRDefault="00055026" w:rsidP="00C2218C">
      <w:r w:rsidRPr="00BB6220">
        <w:t>R</w:t>
      </w:r>
      <w:r w:rsidR="00D05424" w:rsidRPr="00BB6220">
        <w:t>ecognising</w:t>
      </w:r>
      <w:r w:rsidR="003D640C">
        <w:t xml:space="preserve"> </w:t>
      </w:r>
      <w:r w:rsidR="00D05424" w:rsidRPr="00BB6220">
        <w:t>the</w:t>
      </w:r>
      <w:r w:rsidR="003D640C">
        <w:t xml:space="preserve"> </w:t>
      </w:r>
      <w:r w:rsidR="00D05424" w:rsidRPr="00BB6220">
        <w:t>vulnerability</w:t>
      </w:r>
      <w:r w:rsidR="003D640C">
        <w:t xml:space="preserve"> </w:t>
      </w:r>
      <w:r w:rsidR="00D05424" w:rsidRPr="00BB6220">
        <w:t>of</w:t>
      </w:r>
      <w:r w:rsidR="003D640C">
        <w:t xml:space="preserve"> </w:t>
      </w:r>
      <w:r w:rsidR="00D05424" w:rsidRPr="00BB6220">
        <w:t>young</w:t>
      </w:r>
      <w:r w:rsidR="003D640C">
        <w:t xml:space="preserve"> </w:t>
      </w:r>
      <w:r w:rsidR="00D05424" w:rsidRPr="00BB6220">
        <w:t>people</w:t>
      </w:r>
      <w:r w:rsidR="003D640C">
        <w:t xml:space="preserve"> </w:t>
      </w:r>
      <w:r w:rsidR="00D05424" w:rsidRPr="00BB6220">
        <w:t>in</w:t>
      </w:r>
      <w:r w:rsidR="003D640C">
        <w:t xml:space="preserve"> </w:t>
      </w:r>
      <w:r w:rsidR="00D05424" w:rsidRPr="00BB6220">
        <w:t>general,</w:t>
      </w:r>
      <w:r w:rsidR="003D640C">
        <w:t xml:space="preserve"> </w:t>
      </w:r>
      <w:r w:rsidR="00D05424" w:rsidRPr="00BB6220">
        <w:t>it</w:t>
      </w:r>
      <w:r w:rsidR="003D640C">
        <w:t xml:space="preserve"> </w:t>
      </w:r>
      <w:r w:rsidR="00D05424" w:rsidRPr="00BB6220">
        <w:t>is</w:t>
      </w:r>
      <w:r w:rsidR="003D640C">
        <w:t xml:space="preserve"> </w:t>
      </w:r>
      <w:r w:rsidR="00D05424" w:rsidRPr="00BB6220">
        <w:t>crucial</w:t>
      </w:r>
      <w:r w:rsidR="003D640C">
        <w:t xml:space="preserve"> </w:t>
      </w:r>
      <w:r w:rsidR="00D05424" w:rsidRPr="00BB6220">
        <w:t>that</w:t>
      </w:r>
      <w:r w:rsidR="003D640C">
        <w:t xml:space="preserve"> </w:t>
      </w:r>
      <w:r w:rsidR="00D05424" w:rsidRPr="00BB6220">
        <w:t>youth</w:t>
      </w:r>
      <w:r w:rsidR="003D640C">
        <w:t xml:space="preserve"> </w:t>
      </w:r>
      <w:r w:rsidR="00D05424" w:rsidRPr="00BB6220">
        <w:t>work</w:t>
      </w:r>
      <w:r w:rsidR="003D640C">
        <w:t xml:space="preserve"> </w:t>
      </w:r>
      <w:r w:rsidR="00D05424" w:rsidRPr="00BB6220">
        <w:t>organisations</w:t>
      </w:r>
      <w:r w:rsidR="003D640C">
        <w:t xml:space="preserve"> </w:t>
      </w:r>
      <w:r w:rsidR="00D05424" w:rsidRPr="00BB6220">
        <w:t>and</w:t>
      </w:r>
      <w:r w:rsidR="003D640C">
        <w:t xml:space="preserve"> </w:t>
      </w:r>
      <w:r w:rsidR="00D05424" w:rsidRPr="00BB6220">
        <w:t>educational</w:t>
      </w:r>
      <w:r w:rsidR="003D640C">
        <w:t xml:space="preserve"> </w:t>
      </w:r>
      <w:r w:rsidR="00E144FC">
        <w:t>institutions</w:t>
      </w:r>
      <w:r w:rsidR="003D640C">
        <w:t xml:space="preserve"> </w:t>
      </w:r>
      <w:r w:rsidR="00D05424" w:rsidRPr="00BB6220">
        <w:t>ar</w:t>
      </w:r>
      <w:r w:rsidR="00F97B00" w:rsidRPr="00BB6220">
        <w:t>e</w:t>
      </w:r>
      <w:r w:rsidR="003D640C">
        <w:t xml:space="preserve"> </w:t>
      </w:r>
      <w:r w:rsidR="00D05424" w:rsidRPr="00BB6220">
        <w:t>equipped</w:t>
      </w:r>
      <w:r w:rsidR="003D640C">
        <w:t xml:space="preserve"> </w:t>
      </w:r>
      <w:r w:rsidR="00D05424" w:rsidRPr="00BB6220">
        <w:t>to</w:t>
      </w:r>
      <w:r w:rsidR="003D640C">
        <w:t xml:space="preserve"> </w:t>
      </w:r>
      <w:r w:rsidR="00D05424" w:rsidRPr="00BB6220">
        <w:t>provide</w:t>
      </w:r>
      <w:r w:rsidR="003D640C">
        <w:t xml:space="preserve"> </w:t>
      </w:r>
      <w:r w:rsidR="00D05424" w:rsidRPr="00BB6220">
        <w:t>support.</w:t>
      </w:r>
      <w:r w:rsidR="003D640C">
        <w:t xml:space="preserve"> </w:t>
      </w:r>
      <w:r w:rsidR="00D05424" w:rsidRPr="00BB6220">
        <w:t>They</w:t>
      </w:r>
      <w:r w:rsidR="003D640C">
        <w:t xml:space="preserve"> </w:t>
      </w:r>
      <w:r w:rsidR="00D05424" w:rsidRPr="00BB6220">
        <w:t>can</w:t>
      </w:r>
      <w:r w:rsidR="003D640C">
        <w:t xml:space="preserve"> </w:t>
      </w:r>
      <w:r w:rsidR="00D05424" w:rsidRPr="00BB6220">
        <w:t>and</w:t>
      </w:r>
      <w:r w:rsidR="003D640C">
        <w:t xml:space="preserve"> </w:t>
      </w:r>
      <w:r w:rsidR="00D05424" w:rsidRPr="00BB6220">
        <w:t>shoul</w:t>
      </w:r>
      <w:r w:rsidR="00C25E88" w:rsidRPr="00BB6220">
        <w:t>d</w:t>
      </w:r>
      <w:r w:rsidR="003D640C">
        <w:t xml:space="preserve"> </w:t>
      </w:r>
      <w:r w:rsidR="00D05424" w:rsidRPr="00BB6220">
        <w:t>serve</w:t>
      </w:r>
      <w:r w:rsidR="003D640C">
        <w:t xml:space="preserve"> </w:t>
      </w:r>
      <w:r w:rsidR="00D05424" w:rsidRPr="00BB6220">
        <w:t>as</w:t>
      </w:r>
      <w:r w:rsidR="003D640C">
        <w:t xml:space="preserve"> </w:t>
      </w:r>
      <w:r w:rsidR="00D05424" w:rsidRPr="00BB6220">
        <w:t>a</w:t>
      </w:r>
      <w:r w:rsidR="003D640C">
        <w:t xml:space="preserve"> </w:t>
      </w:r>
      <w:r w:rsidR="00D05424" w:rsidRPr="00BB6220">
        <w:t>source</w:t>
      </w:r>
      <w:r w:rsidR="003D640C">
        <w:t xml:space="preserve"> </w:t>
      </w:r>
      <w:r w:rsidR="00D05424" w:rsidRPr="00BB6220">
        <w:t>of</w:t>
      </w:r>
      <w:r w:rsidR="003D640C">
        <w:t xml:space="preserve"> </w:t>
      </w:r>
      <w:r w:rsidR="00D05424" w:rsidRPr="00BB6220">
        <w:t>guidance,</w:t>
      </w:r>
      <w:r w:rsidR="003D640C">
        <w:t xml:space="preserve"> </w:t>
      </w:r>
      <w:r w:rsidR="00D05424" w:rsidRPr="00BB6220">
        <w:t>acceptance,</w:t>
      </w:r>
      <w:r w:rsidR="003D640C">
        <w:t xml:space="preserve"> </w:t>
      </w:r>
      <w:r w:rsidR="00D05424" w:rsidRPr="00BB6220">
        <w:t>and</w:t>
      </w:r>
      <w:r w:rsidR="003D640C">
        <w:t xml:space="preserve"> </w:t>
      </w:r>
      <w:r w:rsidR="00D05424" w:rsidRPr="00BB6220">
        <w:t>understanding</w:t>
      </w:r>
      <w:r w:rsidR="003D640C">
        <w:t xml:space="preserve"> </w:t>
      </w:r>
      <w:r w:rsidR="00D05424" w:rsidRPr="00BB6220">
        <w:t>for</w:t>
      </w:r>
      <w:r w:rsidR="003D640C">
        <w:t xml:space="preserve"> </w:t>
      </w:r>
      <w:r w:rsidR="00D05424" w:rsidRPr="00BB6220">
        <w:t>these</w:t>
      </w:r>
      <w:r w:rsidR="003D640C">
        <w:t xml:space="preserve"> </w:t>
      </w:r>
      <w:r w:rsidR="00D05424" w:rsidRPr="00BB6220">
        <w:t>young</w:t>
      </w:r>
      <w:r w:rsidR="003D640C">
        <w:t xml:space="preserve"> </w:t>
      </w:r>
      <w:r w:rsidR="00D05424" w:rsidRPr="00BB6220">
        <w:t>people.</w:t>
      </w:r>
      <w:r w:rsidR="003D640C">
        <w:t xml:space="preserve"> </w:t>
      </w:r>
      <w:r w:rsidR="00D05424" w:rsidRPr="00BB6220">
        <w:t>Education</w:t>
      </w:r>
      <w:r w:rsidR="003D640C">
        <w:t xml:space="preserve"> </w:t>
      </w:r>
      <w:r w:rsidR="00D05424" w:rsidRPr="00BB6220">
        <w:t>about</w:t>
      </w:r>
      <w:r w:rsidR="003D640C">
        <w:t xml:space="preserve"> </w:t>
      </w:r>
      <w:r w:rsidR="00D05424" w:rsidRPr="00BB6220">
        <w:t>conversion</w:t>
      </w:r>
      <w:r w:rsidR="003D640C">
        <w:t xml:space="preserve"> </w:t>
      </w:r>
      <w:r w:rsidR="00D05424" w:rsidRPr="00BB6220">
        <w:t>ideology,</w:t>
      </w:r>
      <w:r w:rsidR="003D640C">
        <w:t xml:space="preserve"> </w:t>
      </w:r>
      <w:r w:rsidR="00D05424" w:rsidRPr="00BB6220">
        <w:t>conversion</w:t>
      </w:r>
      <w:r w:rsidR="003D640C">
        <w:t xml:space="preserve"> </w:t>
      </w:r>
      <w:r w:rsidR="00D05424" w:rsidRPr="00BB6220">
        <w:t>practices,</w:t>
      </w:r>
      <w:r w:rsidR="003D640C">
        <w:t xml:space="preserve"> </w:t>
      </w:r>
      <w:r w:rsidR="00D05424" w:rsidRPr="00BB6220">
        <w:t>and</w:t>
      </w:r>
      <w:r w:rsidR="003D640C">
        <w:t xml:space="preserve"> </w:t>
      </w:r>
      <w:r w:rsidR="00D05424" w:rsidRPr="00BB6220">
        <w:t>the</w:t>
      </w:r>
      <w:r w:rsidR="003D640C">
        <w:t xml:space="preserve"> </w:t>
      </w:r>
      <w:r w:rsidR="00D05424" w:rsidRPr="00BB6220">
        <w:t>harms</w:t>
      </w:r>
      <w:r w:rsidR="003D640C">
        <w:t xml:space="preserve"> </w:t>
      </w:r>
      <w:r w:rsidR="00D05424" w:rsidRPr="00BB6220">
        <w:t>associated</w:t>
      </w:r>
      <w:r w:rsidR="003D640C">
        <w:t xml:space="preserve"> </w:t>
      </w:r>
      <w:r w:rsidR="00D05424" w:rsidRPr="00BB6220">
        <w:t>with</w:t>
      </w:r>
      <w:r w:rsidR="003D640C">
        <w:t xml:space="preserve"> </w:t>
      </w:r>
      <w:r w:rsidR="00D05424" w:rsidRPr="00BB6220">
        <w:t>these</w:t>
      </w:r>
      <w:r w:rsidR="003D640C">
        <w:t xml:space="preserve"> </w:t>
      </w:r>
      <w:r w:rsidR="00D05424" w:rsidRPr="00BB6220">
        <w:t>is</w:t>
      </w:r>
      <w:r w:rsidR="003D640C">
        <w:t xml:space="preserve"> </w:t>
      </w:r>
      <w:r w:rsidR="00D05424" w:rsidRPr="00BB6220">
        <w:t>key.</w:t>
      </w:r>
      <w:r w:rsidR="003D640C">
        <w:t xml:space="preserve"> </w:t>
      </w:r>
      <w:r w:rsidR="00D05424" w:rsidRPr="004134C1">
        <w:t>S</w:t>
      </w:r>
      <w:r w:rsidR="00D05424" w:rsidRPr="007B139B">
        <w:t>ee</w:t>
      </w:r>
      <w:r w:rsidR="003D640C" w:rsidRPr="007B139B">
        <w:t xml:space="preserve"> </w:t>
      </w:r>
      <w:r w:rsidR="00D05424" w:rsidRPr="007B139B">
        <w:t>recommendations</w:t>
      </w:r>
      <w:r w:rsidR="003D640C" w:rsidRPr="007B139B">
        <w:t xml:space="preserve"> </w:t>
      </w:r>
      <w:r w:rsidR="0015398D" w:rsidRPr="007B139B">
        <w:t>7</w:t>
      </w:r>
      <w:r w:rsidR="003D640C" w:rsidRPr="007B139B">
        <w:t xml:space="preserve"> </w:t>
      </w:r>
      <w:r w:rsidR="00D05424" w:rsidRPr="007B139B">
        <w:t>and</w:t>
      </w:r>
      <w:r w:rsidR="003D640C" w:rsidRPr="007B139B">
        <w:t xml:space="preserve"> </w:t>
      </w:r>
      <w:r w:rsidR="0015398D" w:rsidRPr="007B139B">
        <w:t>2</w:t>
      </w:r>
      <w:r w:rsidR="006C55D2">
        <w:t>4</w:t>
      </w:r>
      <w:r w:rsidR="003D640C" w:rsidRPr="007B139B">
        <w:t xml:space="preserve"> </w:t>
      </w:r>
      <w:r w:rsidR="00FB2ABF" w:rsidRPr="007B139B">
        <w:t>in</w:t>
      </w:r>
      <w:r w:rsidR="003D640C" w:rsidRPr="007B139B">
        <w:t xml:space="preserve"> </w:t>
      </w:r>
      <w:r w:rsidR="00FB2ABF" w:rsidRPr="007B139B">
        <w:t>chapter</w:t>
      </w:r>
      <w:r w:rsidR="003D640C" w:rsidRPr="007B139B">
        <w:t xml:space="preserve"> </w:t>
      </w:r>
      <w:r w:rsidR="006C55D2">
        <w:rPr>
          <w:rFonts w:ascii="Calibri" w:eastAsia="Calibri" w:hAnsi="Calibri" w:cs="Calibri"/>
          <w:color w:val="000000" w:themeColor="text1"/>
        </w:rPr>
        <w:t>9</w:t>
      </w:r>
      <w:r w:rsidR="00D05424" w:rsidRPr="007B139B">
        <w:t>.</w:t>
      </w:r>
      <w:bookmarkStart w:id="167" w:name="_Toc138325174"/>
      <w:bookmarkStart w:id="168" w:name="_Toc138343811"/>
    </w:p>
    <w:p w14:paraId="1075976D" w14:textId="23AA9655" w:rsidR="00C2218C" w:rsidRDefault="00D6095C">
      <w:r w:rsidRPr="00BB6220">
        <w:t>The</w:t>
      </w:r>
      <w:r w:rsidR="003D640C">
        <w:t xml:space="preserve"> </w:t>
      </w:r>
      <w:r w:rsidRPr="00BB6220">
        <w:t>Commission</w:t>
      </w:r>
      <w:r w:rsidR="003D640C">
        <w:t xml:space="preserve"> </w:t>
      </w:r>
      <w:r w:rsidRPr="00BB6220">
        <w:t>has</w:t>
      </w:r>
      <w:r w:rsidR="003D640C">
        <w:t xml:space="preserve"> </w:t>
      </w:r>
      <w:r w:rsidRPr="00BB6220">
        <w:t>produced</w:t>
      </w:r>
      <w:r w:rsidR="003D640C">
        <w:t xml:space="preserve"> </w:t>
      </w:r>
      <w:r w:rsidRPr="00BB6220">
        <w:t>guidance</w:t>
      </w:r>
      <w:r w:rsidR="003D640C">
        <w:t xml:space="preserve"> </w:t>
      </w:r>
      <w:r w:rsidRPr="00BB6220">
        <w:t>for</w:t>
      </w:r>
      <w:r w:rsidR="003D640C">
        <w:t xml:space="preserve"> </w:t>
      </w:r>
      <w:r w:rsidRPr="00BB6220">
        <w:t>those</w:t>
      </w:r>
      <w:r w:rsidR="003D640C">
        <w:t xml:space="preserve"> </w:t>
      </w:r>
      <w:r w:rsidRPr="00BB6220">
        <w:t>in</w:t>
      </w:r>
      <w:r w:rsidR="003D640C">
        <w:t xml:space="preserve"> </w:t>
      </w:r>
      <w:r w:rsidR="001D5204">
        <w:t>y</w:t>
      </w:r>
      <w:r w:rsidRPr="00BB6220">
        <w:t>outh</w:t>
      </w:r>
      <w:r w:rsidR="003D640C">
        <w:t xml:space="preserve"> </w:t>
      </w:r>
      <w:r w:rsidR="00227B06" w:rsidRPr="00BB6220">
        <w:t>work</w:t>
      </w:r>
      <w:r w:rsidR="003D640C">
        <w:t xml:space="preserve"> </w:t>
      </w:r>
      <w:r w:rsidR="00227B06" w:rsidRPr="00BB6220">
        <w:t>settings</w:t>
      </w:r>
      <w:r w:rsidR="00C2218C">
        <w:t>.</w:t>
      </w:r>
      <w:r w:rsidR="001D5204">
        <w:rPr>
          <w:rStyle w:val="FootnoteReference"/>
        </w:rPr>
        <w:footnoteReference w:id="112"/>
      </w:r>
      <w:r w:rsidR="00C2218C">
        <w:br w:type="page"/>
      </w:r>
    </w:p>
    <w:p w14:paraId="18EBC021" w14:textId="4A5A22AE" w:rsidR="00501068" w:rsidRDefault="00D527F0" w:rsidP="00501BC4">
      <w:pPr>
        <w:pStyle w:val="Heading1"/>
      </w:pPr>
      <w:bookmarkStart w:id="169" w:name="_Toc167780598"/>
      <w:bookmarkStart w:id="170" w:name="_Ref168393905"/>
      <w:bookmarkStart w:id="171" w:name="_Ref168394032"/>
      <w:bookmarkStart w:id="172" w:name="_Ref168394096"/>
      <w:bookmarkStart w:id="173" w:name="_Toc203919220"/>
      <w:bookmarkStart w:id="174" w:name="_Toc174628657"/>
      <w:r w:rsidRPr="00BB6220">
        <w:lastRenderedPageBreak/>
        <w:t>The</w:t>
      </w:r>
      <w:r w:rsidR="003D640C">
        <w:t xml:space="preserve"> </w:t>
      </w:r>
      <w:r w:rsidRPr="00BB6220">
        <w:t>harms</w:t>
      </w:r>
      <w:r w:rsidR="003D640C">
        <w:t xml:space="preserve"> </w:t>
      </w:r>
      <w:r w:rsidRPr="00BB6220">
        <w:t>of</w:t>
      </w:r>
      <w:r w:rsidR="003D640C">
        <w:t xml:space="preserve"> </w:t>
      </w:r>
      <w:r w:rsidRPr="00BB6220">
        <w:t>conversion</w:t>
      </w:r>
      <w:r w:rsidR="003D640C">
        <w:t xml:space="preserve"> </w:t>
      </w:r>
      <w:r w:rsidRPr="00BB6220">
        <w:t>practices</w:t>
      </w:r>
      <w:bookmarkEnd w:id="167"/>
      <w:bookmarkEnd w:id="168"/>
      <w:bookmarkEnd w:id="169"/>
      <w:bookmarkEnd w:id="170"/>
      <w:bookmarkEnd w:id="171"/>
      <w:bookmarkEnd w:id="172"/>
      <w:bookmarkEnd w:id="173"/>
      <w:bookmarkEnd w:id="174"/>
    </w:p>
    <w:p w14:paraId="22C8745A" w14:textId="678454D7" w:rsidR="005145E5" w:rsidRPr="00BB6220" w:rsidRDefault="00D527F0" w:rsidP="001E63BF">
      <w:r w:rsidRPr="00BB6220">
        <w:t>Conversion</w:t>
      </w:r>
      <w:r w:rsidR="003D640C">
        <w:t xml:space="preserve"> </w:t>
      </w:r>
      <w:r w:rsidRPr="00BB6220">
        <w:t>practices</w:t>
      </w:r>
      <w:r w:rsidR="003D640C">
        <w:t xml:space="preserve"> </w:t>
      </w:r>
      <w:r w:rsidRPr="00BB6220">
        <w:t>occur</w:t>
      </w:r>
      <w:r w:rsidR="003D640C">
        <w:t xml:space="preserve"> </w:t>
      </w:r>
      <w:r w:rsidRPr="00BB6220">
        <w:t>as</w:t>
      </w:r>
      <w:r w:rsidR="003D640C">
        <w:t xml:space="preserve"> </w:t>
      </w:r>
      <w:r w:rsidRPr="00BB6220">
        <w:t>part</w:t>
      </w:r>
      <w:r w:rsidR="003D640C">
        <w:t xml:space="preserve"> </w:t>
      </w:r>
      <w:r w:rsidRPr="00BB6220">
        <w:t>of</w:t>
      </w:r>
      <w:r w:rsidR="003D640C">
        <w:t xml:space="preserve"> </w:t>
      </w:r>
      <w:r w:rsidRPr="00BB6220">
        <w:t>a</w:t>
      </w:r>
      <w:r w:rsidR="003D640C">
        <w:t xml:space="preserve"> </w:t>
      </w:r>
      <w:r w:rsidRPr="00BB6220">
        <w:t>long</w:t>
      </w:r>
      <w:r w:rsidR="003D640C">
        <w:t xml:space="preserve"> </w:t>
      </w:r>
      <w:r w:rsidRPr="00BB6220">
        <w:t>lifecycle</w:t>
      </w:r>
      <w:r w:rsidR="003D640C">
        <w:t xml:space="preserve"> </w:t>
      </w:r>
      <w:r w:rsidRPr="00BB6220">
        <w:t>of</w:t>
      </w:r>
      <w:r w:rsidR="003D640C">
        <w:t xml:space="preserve"> </w:t>
      </w:r>
      <w:r w:rsidRPr="00BB6220">
        <w:t>indoctrination,</w:t>
      </w:r>
      <w:r w:rsidR="003D640C">
        <w:t xml:space="preserve"> </w:t>
      </w:r>
      <w:r w:rsidRPr="00BB6220">
        <w:t>harm</w:t>
      </w:r>
      <w:r w:rsidR="004062A5" w:rsidRPr="00BB6220">
        <w:t>,</w:t>
      </w:r>
      <w:r w:rsidR="003D640C">
        <w:t xml:space="preserve"> </w:t>
      </w:r>
      <w:r w:rsidRPr="00BB6220">
        <w:t>and</w:t>
      </w:r>
      <w:r w:rsidR="003D640C">
        <w:t xml:space="preserve"> </w:t>
      </w:r>
      <w:r w:rsidR="747C19F9" w:rsidRPr="00BB6220">
        <w:t>after</w:t>
      </w:r>
      <w:r w:rsidR="6BA9770C" w:rsidRPr="00BB6220">
        <w:t>-</w:t>
      </w:r>
      <w:r w:rsidR="747C19F9" w:rsidRPr="00BB6220">
        <w:t>effects</w:t>
      </w:r>
      <w:r w:rsidR="6D99CF43" w:rsidRPr="00BB6220">
        <w:t>.</w:t>
      </w:r>
      <w:r w:rsidR="003D640C">
        <w:t xml:space="preserve"> </w:t>
      </w:r>
      <w:r w:rsidRPr="00BB6220">
        <w:t>This</w:t>
      </w:r>
      <w:r w:rsidR="003D640C">
        <w:t xml:space="preserve"> </w:t>
      </w:r>
      <w:r w:rsidRPr="00BB6220">
        <w:t>chapter</w:t>
      </w:r>
      <w:r w:rsidR="003D640C">
        <w:t xml:space="preserve"> </w:t>
      </w:r>
      <w:r w:rsidR="00412E3A" w:rsidRPr="00BB6220">
        <w:t>contains</w:t>
      </w:r>
      <w:r w:rsidR="003D640C">
        <w:t xml:space="preserve"> </w:t>
      </w:r>
      <w:r w:rsidRPr="00BB6220">
        <w:t>information</w:t>
      </w:r>
      <w:r w:rsidR="003D640C">
        <w:t xml:space="preserve"> </w:t>
      </w:r>
      <w:r w:rsidRPr="00BB6220">
        <w:t>on</w:t>
      </w:r>
      <w:r w:rsidR="003D640C">
        <w:t xml:space="preserve"> </w:t>
      </w:r>
      <w:r w:rsidRPr="00BB6220">
        <w:t>the</w:t>
      </w:r>
      <w:r w:rsidR="003D640C">
        <w:t xml:space="preserve"> </w:t>
      </w:r>
      <w:r w:rsidRPr="00BB6220">
        <w:t>harm</w:t>
      </w:r>
      <w:r w:rsidR="003D640C">
        <w:t xml:space="preserve"> </w:t>
      </w:r>
      <w:r w:rsidRPr="00BB6220">
        <w:t>caused</w:t>
      </w:r>
      <w:r w:rsidR="003D640C">
        <w:t xml:space="preserve"> </w:t>
      </w:r>
      <w:r w:rsidRPr="00BB6220">
        <w:t>to</w:t>
      </w:r>
      <w:r w:rsidR="003D640C">
        <w:t xml:space="preserve"> </w:t>
      </w:r>
      <w:r w:rsidRPr="00BB6220">
        <w:t>survivors</w:t>
      </w:r>
      <w:r w:rsidR="003D640C">
        <w:t xml:space="preserve"> </w:t>
      </w:r>
      <w:r w:rsidRPr="00BB6220">
        <w:t>and</w:t>
      </w:r>
      <w:r w:rsidR="003D640C">
        <w:t xml:space="preserve"> </w:t>
      </w:r>
      <w:r w:rsidR="00CF106F" w:rsidRPr="00BB6220">
        <w:t>the</w:t>
      </w:r>
      <w:r w:rsidR="003D640C">
        <w:t xml:space="preserve"> </w:t>
      </w:r>
      <w:r w:rsidR="00CF106F" w:rsidRPr="00BB6220">
        <w:t>harm</w:t>
      </w:r>
      <w:r w:rsidR="003D640C">
        <w:t xml:space="preserve"> </w:t>
      </w:r>
      <w:r w:rsidR="00CF106F" w:rsidRPr="00BB6220">
        <w:t>associated</w:t>
      </w:r>
      <w:r w:rsidR="003D640C">
        <w:t xml:space="preserve"> </w:t>
      </w:r>
      <w:r w:rsidRPr="00BB6220">
        <w:t>with</w:t>
      </w:r>
      <w:r w:rsidR="003D640C">
        <w:t xml:space="preserve"> </w:t>
      </w:r>
      <w:r w:rsidRPr="00BB6220">
        <w:t>whānau</w:t>
      </w:r>
      <w:r w:rsidR="003D640C">
        <w:t xml:space="preserve"> </w:t>
      </w:r>
      <w:r w:rsidRPr="00BB6220">
        <w:t>and</w:t>
      </w:r>
      <w:r w:rsidR="003D640C">
        <w:t xml:space="preserve"> </w:t>
      </w:r>
      <w:r w:rsidRPr="00BB6220">
        <w:t>community.</w:t>
      </w:r>
    </w:p>
    <w:p w14:paraId="0DAD316F" w14:textId="424DDAD1" w:rsidR="00AE763C" w:rsidRPr="00BB6220" w:rsidRDefault="00412E3A" w:rsidP="001E63BF">
      <w:r w:rsidRPr="00BB6220">
        <w:t>We</w:t>
      </w:r>
      <w:r w:rsidR="003D640C">
        <w:t xml:space="preserve"> </w:t>
      </w:r>
      <w:r w:rsidR="00F4047C" w:rsidRPr="00BB6220">
        <w:t>note</w:t>
      </w:r>
      <w:r w:rsidR="003D640C">
        <w:t xml:space="preserve"> </w:t>
      </w:r>
      <w:r w:rsidRPr="00BB6220">
        <w:t>at</w:t>
      </w:r>
      <w:r w:rsidR="003D640C">
        <w:t xml:space="preserve"> </w:t>
      </w:r>
      <w:r w:rsidRPr="00BB6220">
        <w:t>the</w:t>
      </w:r>
      <w:r w:rsidR="003D640C">
        <w:t xml:space="preserve"> </w:t>
      </w:r>
      <w:r w:rsidRPr="00BB6220">
        <w:t>outset</w:t>
      </w:r>
      <w:r w:rsidR="003D640C">
        <w:t xml:space="preserve"> </w:t>
      </w:r>
      <w:r w:rsidRPr="00BB6220">
        <w:t>of</w:t>
      </w:r>
      <w:r w:rsidR="003D640C">
        <w:t xml:space="preserve"> </w:t>
      </w:r>
      <w:r w:rsidRPr="00BB6220">
        <w:t>this</w:t>
      </w:r>
      <w:r w:rsidR="003D640C">
        <w:t xml:space="preserve"> </w:t>
      </w:r>
      <w:r w:rsidRPr="00BB6220">
        <w:t>section</w:t>
      </w:r>
      <w:r w:rsidR="003D640C">
        <w:t xml:space="preserve"> </w:t>
      </w:r>
      <w:r w:rsidR="00F810D4" w:rsidRPr="00BB6220">
        <w:t>that</w:t>
      </w:r>
      <w:r w:rsidR="003D640C">
        <w:t xml:space="preserve"> </w:t>
      </w:r>
      <w:r w:rsidR="00F810D4" w:rsidRPr="00BB6220">
        <w:t>the</w:t>
      </w:r>
      <w:r w:rsidR="003D640C">
        <w:t xml:space="preserve"> </w:t>
      </w:r>
      <w:r w:rsidR="00F810D4" w:rsidRPr="00BB6220">
        <w:t>available</w:t>
      </w:r>
      <w:r w:rsidR="003D640C">
        <w:t xml:space="preserve"> </w:t>
      </w:r>
      <w:r w:rsidR="00F810D4" w:rsidRPr="00BB6220">
        <w:t>data</w:t>
      </w:r>
      <w:r w:rsidR="003D640C">
        <w:t xml:space="preserve"> </w:t>
      </w:r>
      <w:r w:rsidR="00F810D4" w:rsidRPr="00BB6220">
        <w:t>and</w:t>
      </w:r>
      <w:r w:rsidR="003D640C">
        <w:t xml:space="preserve"> </w:t>
      </w:r>
      <w:r w:rsidR="00D50860" w:rsidRPr="00BB6220">
        <w:t>peer-reviewed</w:t>
      </w:r>
      <w:r w:rsidR="003D640C">
        <w:t xml:space="preserve"> </w:t>
      </w:r>
      <w:r w:rsidR="00F810D4" w:rsidRPr="00BB6220">
        <w:t>evidence</w:t>
      </w:r>
      <w:r w:rsidR="003D640C">
        <w:t xml:space="preserve"> </w:t>
      </w:r>
      <w:r w:rsidR="00F810D4" w:rsidRPr="00BB6220">
        <w:t>on</w:t>
      </w:r>
      <w:r w:rsidR="003D640C">
        <w:t xml:space="preserve"> </w:t>
      </w:r>
      <w:r w:rsidR="00F810D4" w:rsidRPr="00BB6220">
        <w:t>the</w:t>
      </w:r>
      <w:r w:rsidR="003D640C">
        <w:t xml:space="preserve"> </w:t>
      </w:r>
      <w:r w:rsidR="00F810D4" w:rsidRPr="00BB6220">
        <w:t>harms</w:t>
      </w:r>
      <w:r w:rsidR="003D640C">
        <w:t xml:space="preserve"> </w:t>
      </w:r>
      <w:r w:rsidR="00F810D4" w:rsidRPr="00BB6220">
        <w:t>of</w:t>
      </w:r>
      <w:r w:rsidR="003D640C">
        <w:t xml:space="preserve"> </w:t>
      </w:r>
      <w:r w:rsidR="00F810D4" w:rsidRPr="00BB6220">
        <w:t>conversion</w:t>
      </w:r>
      <w:r w:rsidR="003D640C">
        <w:t xml:space="preserve"> </w:t>
      </w:r>
      <w:r w:rsidR="00F810D4" w:rsidRPr="00BB6220">
        <w:t>practices</w:t>
      </w:r>
      <w:r w:rsidR="003D640C">
        <w:t xml:space="preserve"> </w:t>
      </w:r>
      <w:r w:rsidR="00FF06B4">
        <w:t>(</w:t>
      </w:r>
      <w:r w:rsidR="00F810D4" w:rsidRPr="00BB6220">
        <w:t>and</w:t>
      </w:r>
      <w:r w:rsidR="003D640C">
        <w:t xml:space="preserve"> </w:t>
      </w:r>
      <w:r w:rsidR="00F810D4" w:rsidRPr="00BB6220">
        <w:t>particularly</w:t>
      </w:r>
      <w:r w:rsidR="003D640C">
        <w:t xml:space="preserve"> </w:t>
      </w:r>
      <w:r w:rsidR="00F810D4" w:rsidRPr="00BB6220">
        <w:t>that</w:t>
      </w:r>
      <w:r w:rsidR="003D640C">
        <w:t xml:space="preserve"> </w:t>
      </w:r>
      <w:r w:rsidR="00082B84" w:rsidRPr="00BB6220">
        <w:t>about</w:t>
      </w:r>
      <w:r w:rsidR="003D640C">
        <w:t xml:space="preserve"> </w:t>
      </w:r>
      <w:r w:rsidR="00713B63">
        <w:t>suicidal</w:t>
      </w:r>
      <w:r w:rsidR="003D640C">
        <w:t xml:space="preserve"> </w:t>
      </w:r>
      <w:r w:rsidR="00713B63">
        <w:t>thinking</w:t>
      </w:r>
      <w:r w:rsidR="00FF06B4">
        <w:t>)</w:t>
      </w:r>
      <w:r w:rsidR="003D640C">
        <w:t xml:space="preserve"> </w:t>
      </w:r>
      <w:r w:rsidR="00082B84" w:rsidRPr="00BB6220">
        <w:t>do</w:t>
      </w:r>
      <w:r w:rsidR="003D640C">
        <w:t xml:space="preserve"> </w:t>
      </w:r>
      <w:r w:rsidR="00082B84" w:rsidRPr="00BB6220">
        <w:t>not</w:t>
      </w:r>
      <w:r w:rsidR="003D640C">
        <w:t xml:space="preserve"> </w:t>
      </w:r>
      <w:r w:rsidR="00A77F7B" w:rsidRPr="00BB6220">
        <w:t>adequately</w:t>
      </w:r>
      <w:r w:rsidR="003D640C">
        <w:t xml:space="preserve"> </w:t>
      </w:r>
      <w:r w:rsidR="00082B84" w:rsidRPr="00BB6220">
        <w:t>account</w:t>
      </w:r>
      <w:r w:rsidR="003D640C">
        <w:t xml:space="preserve"> </w:t>
      </w:r>
      <w:r w:rsidR="00082B84" w:rsidRPr="00BB6220">
        <w:t>for</w:t>
      </w:r>
      <w:r w:rsidR="003D640C">
        <w:t xml:space="preserve"> </w:t>
      </w:r>
      <w:r w:rsidR="00082B84" w:rsidRPr="00BB6220">
        <w:t>th</w:t>
      </w:r>
      <w:r w:rsidR="000B4D04" w:rsidRPr="00BB6220">
        <w:t>ose</w:t>
      </w:r>
      <w:r w:rsidR="003D640C">
        <w:t xml:space="preserve"> </w:t>
      </w:r>
      <w:r w:rsidR="21485754" w:rsidRPr="00BB6220">
        <w:t>who</w:t>
      </w:r>
      <w:r w:rsidR="003D640C">
        <w:t xml:space="preserve"> </w:t>
      </w:r>
      <w:r w:rsidR="000B4D04" w:rsidRPr="00BB6220">
        <w:t>have</w:t>
      </w:r>
      <w:r w:rsidR="003D640C">
        <w:t xml:space="preserve"> </w:t>
      </w:r>
      <w:r w:rsidR="00A77F7B" w:rsidRPr="00BB6220">
        <w:t>been</w:t>
      </w:r>
      <w:r w:rsidR="003D640C">
        <w:t xml:space="preserve"> </w:t>
      </w:r>
      <w:r w:rsidR="000B4D04" w:rsidRPr="00BB6220">
        <w:t>lost</w:t>
      </w:r>
      <w:r w:rsidR="003D640C">
        <w:t xml:space="preserve"> </w:t>
      </w:r>
      <w:r w:rsidR="00A77F7B" w:rsidRPr="00BB6220">
        <w:t>to</w:t>
      </w:r>
      <w:r w:rsidR="003D640C">
        <w:t xml:space="preserve"> </w:t>
      </w:r>
      <w:r w:rsidR="00C33F46" w:rsidRPr="00BB6220">
        <w:t>suicide</w:t>
      </w:r>
      <w:r w:rsidR="003D640C">
        <w:t xml:space="preserve"> </w:t>
      </w:r>
      <w:r w:rsidR="00A77F7B" w:rsidRPr="00BB6220">
        <w:t>as</w:t>
      </w:r>
      <w:r w:rsidR="003D640C">
        <w:t xml:space="preserve"> </w:t>
      </w:r>
      <w:r w:rsidR="00A77F7B" w:rsidRPr="00BB6220">
        <w:t>a</w:t>
      </w:r>
      <w:r w:rsidR="003D640C">
        <w:t xml:space="preserve"> </w:t>
      </w:r>
      <w:r w:rsidR="00A77F7B" w:rsidRPr="00BB6220">
        <w:t>direct</w:t>
      </w:r>
      <w:r w:rsidR="003D640C">
        <w:t xml:space="preserve"> </w:t>
      </w:r>
      <w:r w:rsidR="00A77F7B" w:rsidRPr="00BB6220">
        <w:t>result</w:t>
      </w:r>
      <w:r w:rsidR="003D640C">
        <w:t xml:space="preserve"> </w:t>
      </w:r>
      <w:r w:rsidR="00A77F7B" w:rsidRPr="00BB6220">
        <w:t>of</w:t>
      </w:r>
      <w:r w:rsidR="003D640C">
        <w:t xml:space="preserve"> </w:t>
      </w:r>
      <w:r w:rsidR="00F4047C" w:rsidRPr="00BB6220">
        <w:t>conversion</w:t>
      </w:r>
      <w:r w:rsidR="003D640C">
        <w:t xml:space="preserve"> </w:t>
      </w:r>
      <w:r w:rsidR="00F4047C" w:rsidRPr="00BB6220">
        <w:t>practices</w:t>
      </w:r>
      <w:r w:rsidR="008B39C6" w:rsidRPr="00BB6220">
        <w:t>.</w:t>
      </w:r>
      <w:r w:rsidR="003D640C">
        <w:t xml:space="preserve"> </w:t>
      </w:r>
    </w:p>
    <w:p w14:paraId="70B0ABEE" w14:textId="4C16F8B0" w:rsidR="00501068" w:rsidRDefault="00CD08EA" w:rsidP="001E63BF">
      <w:r>
        <w:t>Rainbow</w:t>
      </w:r>
      <w:r w:rsidR="003D640C">
        <w:t xml:space="preserve"> </w:t>
      </w:r>
      <w:r>
        <w:t>people</w:t>
      </w:r>
      <w:r w:rsidR="003D640C">
        <w:t xml:space="preserve"> </w:t>
      </w:r>
      <w:r>
        <w:t>experience</w:t>
      </w:r>
      <w:r w:rsidR="003D640C">
        <w:t xml:space="preserve"> </w:t>
      </w:r>
      <w:r>
        <w:t>a</w:t>
      </w:r>
      <w:r w:rsidR="003D640C">
        <w:t xml:space="preserve"> </w:t>
      </w:r>
      <w:r>
        <w:t>greater</w:t>
      </w:r>
      <w:r w:rsidR="003D640C">
        <w:t xml:space="preserve"> </w:t>
      </w:r>
      <w:r>
        <w:t>risk</w:t>
      </w:r>
      <w:r w:rsidR="003D640C">
        <w:t xml:space="preserve"> </w:t>
      </w:r>
      <w:r>
        <w:t>of</w:t>
      </w:r>
      <w:r w:rsidR="003D640C">
        <w:t xml:space="preserve"> </w:t>
      </w:r>
      <w:r w:rsidR="00D460A9">
        <w:t>mental</w:t>
      </w:r>
      <w:r w:rsidR="003D640C">
        <w:t xml:space="preserve"> </w:t>
      </w:r>
      <w:r w:rsidR="00D460A9">
        <w:t>health</w:t>
      </w:r>
      <w:r w:rsidR="003D640C">
        <w:t xml:space="preserve"> </w:t>
      </w:r>
      <w:r w:rsidR="00D460A9">
        <w:t>distress</w:t>
      </w:r>
      <w:r w:rsidR="003D640C">
        <w:t xml:space="preserve"> </w:t>
      </w:r>
      <w:r w:rsidR="00D460A9">
        <w:t>and</w:t>
      </w:r>
      <w:r w:rsidR="003D640C">
        <w:t xml:space="preserve"> </w:t>
      </w:r>
      <w:r>
        <w:t>suicide</w:t>
      </w:r>
      <w:r w:rsidR="003D640C">
        <w:t xml:space="preserve"> </w:t>
      </w:r>
      <w:r>
        <w:t>than</w:t>
      </w:r>
      <w:r w:rsidR="003D640C">
        <w:t xml:space="preserve"> </w:t>
      </w:r>
      <w:r>
        <w:t>non-Rainbow</w:t>
      </w:r>
      <w:r w:rsidR="003D640C">
        <w:t xml:space="preserve"> </w:t>
      </w:r>
      <w:r>
        <w:t>people</w:t>
      </w:r>
      <w:r w:rsidR="00E9680C">
        <w:t>.</w:t>
      </w:r>
      <w:r w:rsidR="00AA130E">
        <w:rPr>
          <w:rStyle w:val="FootnoteReference"/>
        </w:rPr>
        <w:footnoteReference w:id="113"/>
      </w:r>
      <w:r w:rsidR="00CB4E69">
        <w:t xml:space="preserve"> </w:t>
      </w:r>
      <w:r w:rsidR="001121A3">
        <w:t>There</w:t>
      </w:r>
      <w:r w:rsidR="003D640C">
        <w:t xml:space="preserve"> </w:t>
      </w:r>
      <w:r w:rsidR="001121A3">
        <w:t>is</w:t>
      </w:r>
      <w:r w:rsidR="003D640C">
        <w:t xml:space="preserve"> </w:t>
      </w:r>
      <w:r w:rsidR="001121A3">
        <w:t>both</w:t>
      </w:r>
      <w:r w:rsidR="003D640C">
        <w:t xml:space="preserve"> </w:t>
      </w:r>
      <w:r w:rsidR="001121A3">
        <w:t>i</w:t>
      </w:r>
      <w:r w:rsidR="00EF248E">
        <w:t>nternational</w:t>
      </w:r>
      <w:r w:rsidR="003D640C">
        <w:t xml:space="preserve"> </w:t>
      </w:r>
      <w:r w:rsidR="00EF248E">
        <w:t>and</w:t>
      </w:r>
      <w:r w:rsidR="003D640C">
        <w:t xml:space="preserve"> </w:t>
      </w:r>
      <w:r w:rsidR="00EF248E">
        <w:t>local</w:t>
      </w:r>
      <w:r w:rsidR="003D640C">
        <w:t xml:space="preserve"> </w:t>
      </w:r>
      <w:r w:rsidR="00B2600D">
        <w:t>evidenc</w:t>
      </w:r>
      <w:r w:rsidR="00B138F8">
        <w:t>e</w:t>
      </w:r>
      <w:r w:rsidR="003D640C">
        <w:t xml:space="preserve"> </w:t>
      </w:r>
      <w:r w:rsidR="001121A3">
        <w:t>tha</w:t>
      </w:r>
      <w:r w:rsidR="004857C9">
        <w:t>t</w:t>
      </w:r>
      <w:r w:rsidR="003D640C">
        <w:t xml:space="preserve"> </w:t>
      </w:r>
      <w:r w:rsidR="004857C9">
        <w:t>demonstrates</w:t>
      </w:r>
      <w:r w:rsidR="003D640C">
        <w:t xml:space="preserve"> </w:t>
      </w:r>
      <w:r w:rsidR="004857C9">
        <w:t>that</w:t>
      </w:r>
      <w:r w:rsidR="003D640C">
        <w:t xml:space="preserve"> </w:t>
      </w:r>
      <w:r w:rsidR="004857C9">
        <w:t>exposure</w:t>
      </w:r>
      <w:r w:rsidR="003D640C">
        <w:t xml:space="preserve"> </w:t>
      </w:r>
      <w:r w:rsidR="004857C9">
        <w:t>to</w:t>
      </w:r>
      <w:r w:rsidR="003D640C">
        <w:t xml:space="preserve"> </w:t>
      </w:r>
      <w:r w:rsidR="004857C9">
        <w:t>conversion</w:t>
      </w:r>
      <w:r w:rsidR="003D640C">
        <w:t xml:space="preserve"> </w:t>
      </w:r>
      <w:r w:rsidR="004857C9">
        <w:t>practices</w:t>
      </w:r>
      <w:r w:rsidR="003D640C">
        <w:t xml:space="preserve"> </w:t>
      </w:r>
      <w:r w:rsidR="00E4544C">
        <w:t>is</w:t>
      </w:r>
      <w:r w:rsidR="003D640C">
        <w:t xml:space="preserve"> </w:t>
      </w:r>
      <w:r w:rsidR="00E4544C">
        <w:t>statistically</w:t>
      </w:r>
      <w:r w:rsidR="003D640C">
        <w:t xml:space="preserve"> </w:t>
      </w:r>
      <w:r w:rsidR="00E4544C">
        <w:t>associated</w:t>
      </w:r>
      <w:r w:rsidR="003D640C">
        <w:t xml:space="preserve"> </w:t>
      </w:r>
      <w:r w:rsidR="00E4544C">
        <w:t>with</w:t>
      </w:r>
      <w:r w:rsidR="003D640C">
        <w:t xml:space="preserve"> </w:t>
      </w:r>
      <w:r w:rsidR="00E4544C">
        <w:t>poor</w:t>
      </w:r>
      <w:r w:rsidR="003D640C">
        <w:t xml:space="preserve"> </w:t>
      </w:r>
      <w:r w:rsidR="00E4544C">
        <w:t>mental</w:t>
      </w:r>
      <w:r w:rsidR="003D640C">
        <w:t xml:space="preserve"> </w:t>
      </w:r>
      <w:r w:rsidR="00E4544C">
        <w:t>health</w:t>
      </w:r>
      <w:r w:rsidR="003D640C">
        <w:t xml:space="preserve"> </w:t>
      </w:r>
      <w:r w:rsidR="00E4544C">
        <w:t>outcomes,</w:t>
      </w:r>
      <w:r w:rsidR="003D640C">
        <w:t xml:space="preserve"> </w:t>
      </w:r>
      <w:r w:rsidR="00E4544C">
        <w:t>including</w:t>
      </w:r>
      <w:r w:rsidR="003D640C">
        <w:t xml:space="preserve"> </w:t>
      </w:r>
      <w:r w:rsidR="00E4544C">
        <w:t>suicidal</w:t>
      </w:r>
      <w:r w:rsidR="003D640C">
        <w:t xml:space="preserve"> </w:t>
      </w:r>
      <w:r w:rsidR="00E4544C">
        <w:t>thoughts</w:t>
      </w:r>
      <w:r w:rsidR="003D640C">
        <w:t xml:space="preserve"> </w:t>
      </w:r>
      <w:r w:rsidR="00E4544C">
        <w:t>and</w:t>
      </w:r>
      <w:r w:rsidR="003D640C">
        <w:t xml:space="preserve"> </w:t>
      </w:r>
      <w:r w:rsidR="00E4544C">
        <w:t>suicide</w:t>
      </w:r>
      <w:r w:rsidR="003D640C">
        <w:t xml:space="preserve"> </w:t>
      </w:r>
      <w:r w:rsidR="00E4544C">
        <w:t>attemp</w:t>
      </w:r>
      <w:r w:rsidR="000D2A43">
        <w:t>t</w:t>
      </w:r>
      <w:r w:rsidR="00E4544C">
        <w:t>s</w:t>
      </w:r>
      <w:r w:rsidR="00DD74F8">
        <w:t>.</w:t>
      </w:r>
      <w:r w:rsidR="0061051A">
        <w:rPr>
          <w:rStyle w:val="FootnoteReference"/>
        </w:rPr>
        <w:footnoteReference w:id="114"/>
      </w:r>
      <w:r w:rsidDel="008E1CCA">
        <w:t xml:space="preserve"> </w:t>
      </w:r>
      <w:r w:rsidR="008A6668">
        <w:t>With</w:t>
      </w:r>
      <w:r w:rsidR="003D640C">
        <w:t xml:space="preserve"> </w:t>
      </w:r>
      <w:r w:rsidR="008A6668">
        <w:t>overwhelming</w:t>
      </w:r>
      <w:r w:rsidR="003D640C">
        <w:t xml:space="preserve"> </w:t>
      </w:r>
      <w:r w:rsidR="008A6668">
        <w:t>frequency,</w:t>
      </w:r>
      <w:r w:rsidR="003D640C">
        <w:t xml:space="preserve"> </w:t>
      </w:r>
      <w:r w:rsidR="008A6668">
        <w:t>stories</w:t>
      </w:r>
      <w:r w:rsidR="003D640C">
        <w:t xml:space="preserve"> </w:t>
      </w:r>
      <w:r w:rsidR="00332802">
        <w:t>from</w:t>
      </w:r>
      <w:r w:rsidR="003D640C">
        <w:t xml:space="preserve"> </w:t>
      </w:r>
      <w:r w:rsidR="00332802">
        <w:t>people</w:t>
      </w:r>
      <w:r w:rsidR="003D640C">
        <w:t xml:space="preserve"> </w:t>
      </w:r>
      <w:r w:rsidR="00332802">
        <w:t>who</w:t>
      </w:r>
      <w:r w:rsidR="003D640C">
        <w:t xml:space="preserve"> </w:t>
      </w:r>
      <w:r w:rsidR="00332802">
        <w:t>have</w:t>
      </w:r>
      <w:r w:rsidR="003D640C">
        <w:t xml:space="preserve"> </w:t>
      </w:r>
      <w:r w:rsidR="00332802">
        <w:t>lived</w:t>
      </w:r>
      <w:r w:rsidR="003D640C">
        <w:t xml:space="preserve"> </w:t>
      </w:r>
      <w:r w:rsidR="00332802">
        <w:t>experience</w:t>
      </w:r>
      <w:r w:rsidR="003D640C">
        <w:t xml:space="preserve"> </w:t>
      </w:r>
      <w:r w:rsidR="00332802">
        <w:t>of</w:t>
      </w:r>
      <w:r w:rsidR="003D640C">
        <w:t xml:space="preserve"> </w:t>
      </w:r>
      <w:r w:rsidR="00332802">
        <w:t>conversion</w:t>
      </w:r>
      <w:r w:rsidR="003D640C">
        <w:t xml:space="preserve"> </w:t>
      </w:r>
      <w:r w:rsidR="00332802">
        <w:t>practices</w:t>
      </w:r>
      <w:r w:rsidR="003D640C">
        <w:t xml:space="preserve"> </w:t>
      </w:r>
      <w:r w:rsidR="008A6668">
        <w:t>feature</w:t>
      </w:r>
      <w:r w:rsidR="003D640C">
        <w:t xml:space="preserve"> </w:t>
      </w:r>
      <w:r w:rsidR="00A77F7B">
        <w:t>a</w:t>
      </w:r>
      <w:r w:rsidR="008A6668">
        <w:t>c</w:t>
      </w:r>
      <w:r w:rsidR="00BC2120">
        <w:t>c</w:t>
      </w:r>
      <w:r w:rsidR="008A6668">
        <w:t>ounts</w:t>
      </w:r>
      <w:r w:rsidR="003D640C">
        <w:t xml:space="preserve"> </w:t>
      </w:r>
      <w:r w:rsidR="008A6668">
        <w:t>of</w:t>
      </w:r>
      <w:r w:rsidR="003D640C">
        <w:t xml:space="preserve"> </w:t>
      </w:r>
      <w:r w:rsidR="00472797">
        <w:t>suicidal</w:t>
      </w:r>
      <w:r w:rsidR="003D640C">
        <w:t xml:space="preserve"> </w:t>
      </w:r>
      <w:r w:rsidR="00472797">
        <w:t>ideation</w:t>
      </w:r>
      <w:r w:rsidR="003D640C">
        <w:t xml:space="preserve"> </w:t>
      </w:r>
      <w:r w:rsidR="00472797">
        <w:t>and</w:t>
      </w:r>
      <w:r w:rsidR="003D640C">
        <w:t xml:space="preserve"> </w:t>
      </w:r>
      <w:r w:rsidR="008A6668">
        <w:t>suicide</w:t>
      </w:r>
      <w:r w:rsidR="00666EAC">
        <w:t>.</w:t>
      </w:r>
      <w:r w:rsidR="003D640C">
        <w:t xml:space="preserve"> </w:t>
      </w:r>
    </w:p>
    <w:p w14:paraId="2FF1B3F1" w14:textId="7293EA14" w:rsidR="00501068" w:rsidRDefault="00F00642" w:rsidP="001E63BF">
      <w:pPr>
        <w:pStyle w:val="Quote"/>
      </w:pPr>
      <w:r w:rsidRPr="00BB6220">
        <w:t>“I</w:t>
      </w:r>
      <w:r w:rsidR="003D640C">
        <w:t xml:space="preserve"> </w:t>
      </w:r>
      <w:r w:rsidRPr="00BB6220">
        <w:t>was</w:t>
      </w:r>
      <w:r w:rsidR="003D640C">
        <w:t xml:space="preserve"> </w:t>
      </w:r>
      <w:r w:rsidRPr="00BB6220">
        <w:t>suicidal</w:t>
      </w:r>
      <w:r w:rsidR="003D640C">
        <w:t xml:space="preserve"> </w:t>
      </w:r>
      <w:r w:rsidRPr="00BB6220">
        <w:t>for</w:t>
      </w:r>
      <w:r w:rsidR="003D640C">
        <w:t xml:space="preserve"> </w:t>
      </w:r>
      <w:r w:rsidRPr="00BB6220">
        <w:t>most</w:t>
      </w:r>
      <w:r w:rsidR="003D640C">
        <w:t xml:space="preserve"> </w:t>
      </w:r>
      <w:r w:rsidRPr="00BB6220">
        <w:t>of</w:t>
      </w:r>
      <w:r w:rsidR="003D640C">
        <w:t xml:space="preserve"> </w:t>
      </w:r>
      <w:r w:rsidRPr="00BB6220">
        <w:t>20</w:t>
      </w:r>
      <w:r w:rsidR="003D640C">
        <w:t xml:space="preserve"> </w:t>
      </w:r>
      <w:r w:rsidRPr="00BB6220">
        <w:t>years.</w:t>
      </w:r>
      <w:r w:rsidR="003D640C">
        <w:t xml:space="preserve"> </w:t>
      </w:r>
      <w:r w:rsidR="00820DF3" w:rsidRPr="00BB6220">
        <w:t>I</w:t>
      </w:r>
      <w:r w:rsidR="003D640C">
        <w:t xml:space="preserve"> </w:t>
      </w:r>
      <w:r w:rsidR="00820DF3" w:rsidRPr="00BB6220">
        <w:t>would</w:t>
      </w:r>
      <w:r w:rsidR="003D640C">
        <w:t xml:space="preserve"> </w:t>
      </w:r>
      <w:r w:rsidR="00820DF3" w:rsidRPr="00BB6220">
        <w:t>obsess</w:t>
      </w:r>
      <w:r w:rsidR="003D640C">
        <w:t xml:space="preserve"> </w:t>
      </w:r>
      <w:r w:rsidR="00820DF3" w:rsidRPr="00BB6220">
        <w:t>about</w:t>
      </w:r>
      <w:r w:rsidR="003D640C">
        <w:t xml:space="preserve"> </w:t>
      </w:r>
      <w:r w:rsidR="002803F0" w:rsidRPr="00BB6220">
        <w:t>planning</w:t>
      </w:r>
      <w:r w:rsidR="003D640C">
        <w:t xml:space="preserve"> </w:t>
      </w:r>
      <w:r w:rsidR="002803F0" w:rsidRPr="00BB6220">
        <w:t>it</w:t>
      </w:r>
      <w:r w:rsidR="003D640C">
        <w:t xml:space="preserve"> </w:t>
      </w:r>
      <w:r w:rsidR="002803F0" w:rsidRPr="00BB6220">
        <w:t>so</w:t>
      </w:r>
      <w:r w:rsidR="003D640C">
        <w:t xml:space="preserve"> </w:t>
      </w:r>
      <w:r w:rsidR="002803F0" w:rsidRPr="00BB6220">
        <w:t>no</w:t>
      </w:r>
      <w:r w:rsidR="003D640C">
        <w:t xml:space="preserve"> </w:t>
      </w:r>
      <w:r w:rsidR="002803F0" w:rsidRPr="00BB6220">
        <w:t>one</w:t>
      </w:r>
      <w:r w:rsidR="003D640C">
        <w:t xml:space="preserve"> </w:t>
      </w:r>
      <w:r w:rsidR="002803F0" w:rsidRPr="00BB6220">
        <w:t>knew</w:t>
      </w:r>
      <w:r w:rsidR="003D640C">
        <w:t xml:space="preserve"> </w:t>
      </w:r>
      <w:r w:rsidR="002803F0" w:rsidRPr="00BB6220">
        <w:t>it</w:t>
      </w:r>
      <w:r w:rsidR="003D640C">
        <w:t xml:space="preserve"> </w:t>
      </w:r>
      <w:r w:rsidR="002803F0" w:rsidRPr="00BB6220">
        <w:t>was</w:t>
      </w:r>
      <w:r w:rsidR="003D640C">
        <w:t xml:space="preserve"> </w:t>
      </w:r>
      <w:r w:rsidR="002803F0" w:rsidRPr="00BB6220">
        <w:t>a</w:t>
      </w:r>
      <w:r w:rsidR="003D640C">
        <w:t xml:space="preserve"> </w:t>
      </w:r>
      <w:r w:rsidR="002803F0" w:rsidRPr="00BB6220">
        <w:t>suicide</w:t>
      </w:r>
      <w:r w:rsidR="003D640C">
        <w:t xml:space="preserve"> </w:t>
      </w:r>
      <w:r w:rsidR="002803F0" w:rsidRPr="00BB6220">
        <w:t>because</w:t>
      </w:r>
      <w:r w:rsidR="003D640C">
        <w:t xml:space="preserve"> </w:t>
      </w:r>
      <w:r w:rsidR="002803F0" w:rsidRPr="00BB6220">
        <w:t>that</w:t>
      </w:r>
      <w:r w:rsidR="003D640C">
        <w:t xml:space="preserve"> </w:t>
      </w:r>
      <w:r w:rsidR="002803F0" w:rsidRPr="00BB6220">
        <w:t>would</w:t>
      </w:r>
      <w:r w:rsidR="003D640C">
        <w:t xml:space="preserve"> </w:t>
      </w:r>
      <w:r w:rsidR="002803F0" w:rsidRPr="00BB6220">
        <w:t>just</w:t>
      </w:r>
      <w:r w:rsidR="003D640C">
        <w:t xml:space="preserve"> </w:t>
      </w:r>
      <w:r w:rsidR="002803F0" w:rsidRPr="00BB6220">
        <w:t>confirm</w:t>
      </w:r>
      <w:r w:rsidR="003D640C">
        <w:t xml:space="preserve"> </w:t>
      </w:r>
      <w:r w:rsidR="002803F0" w:rsidRPr="00BB6220">
        <w:t>for</w:t>
      </w:r>
      <w:r w:rsidR="003D640C">
        <w:t xml:space="preserve"> </w:t>
      </w:r>
      <w:r w:rsidR="002803F0" w:rsidRPr="00BB6220">
        <w:t>them</w:t>
      </w:r>
      <w:r w:rsidR="003D640C">
        <w:t xml:space="preserve"> </w:t>
      </w:r>
      <w:r w:rsidR="005023A0" w:rsidRPr="00BB6220">
        <w:t>that</w:t>
      </w:r>
      <w:r w:rsidR="003D640C">
        <w:t xml:space="preserve"> </w:t>
      </w:r>
      <w:r w:rsidR="005023A0" w:rsidRPr="00BB6220">
        <w:t>I</w:t>
      </w:r>
      <w:r w:rsidR="003D640C">
        <w:t xml:space="preserve"> </w:t>
      </w:r>
      <w:r w:rsidR="005023A0" w:rsidRPr="00BB6220">
        <w:t>was</w:t>
      </w:r>
      <w:r w:rsidR="003D640C">
        <w:t xml:space="preserve"> </w:t>
      </w:r>
      <w:r w:rsidR="005023A0" w:rsidRPr="00BB6220">
        <w:t>‘demon</w:t>
      </w:r>
      <w:r w:rsidR="003D640C">
        <w:t xml:space="preserve"> </w:t>
      </w:r>
      <w:r w:rsidR="005023A0" w:rsidRPr="00BB6220">
        <w:t>possessed</w:t>
      </w:r>
      <w:r w:rsidR="005E296A">
        <w:t>.</w:t>
      </w:r>
      <w:r w:rsidR="005023A0" w:rsidRPr="00BB6220">
        <w:t>’</w:t>
      </w:r>
      <w:r w:rsidR="003D640C">
        <w:t xml:space="preserve"> </w:t>
      </w:r>
      <w:r w:rsidR="00E7469D" w:rsidRPr="00BB6220">
        <w:t>There</w:t>
      </w:r>
      <w:r w:rsidR="003D640C">
        <w:t xml:space="preserve"> </w:t>
      </w:r>
      <w:r w:rsidR="00E7469D" w:rsidRPr="00BB6220">
        <w:t>is</w:t>
      </w:r>
      <w:r w:rsidR="003D640C">
        <w:t xml:space="preserve"> </w:t>
      </w:r>
      <w:r w:rsidR="00E7469D" w:rsidRPr="00BB6220">
        <w:t>this</w:t>
      </w:r>
      <w:r w:rsidR="003D640C">
        <w:t xml:space="preserve"> </w:t>
      </w:r>
      <w:r w:rsidR="00E7469D" w:rsidRPr="00BB6220">
        <w:t>doctrine,</w:t>
      </w:r>
      <w:r w:rsidR="003D640C">
        <w:t xml:space="preserve"> </w:t>
      </w:r>
      <w:r w:rsidR="00E7469D" w:rsidRPr="00BB6220">
        <w:t>particularly</w:t>
      </w:r>
      <w:r w:rsidR="003D640C">
        <w:t xml:space="preserve"> </w:t>
      </w:r>
      <w:r w:rsidR="00E7469D" w:rsidRPr="00BB6220">
        <w:t>with</w:t>
      </w:r>
      <w:r w:rsidR="003D640C">
        <w:t xml:space="preserve"> </w:t>
      </w:r>
      <w:r w:rsidR="00E7469D" w:rsidRPr="00BB6220">
        <w:t>‘sexual</w:t>
      </w:r>
      <w:r w:rsidR="003D640C">
        <w:t xml:space="preserve"> </w:t>
      </w:r>
      <w:r w:rsidR="00E7469D" w:rsidRPr="00BB6220">
        <w:t>sin</w:t>
      </w:r>
      <w:r w:rsidR="005E296A">
        <w:t>,</w:t>
      </w:r>
      <w:r w:rsidR="00E7469D" w:rsidRPr="00BB6220">
        <w:t>’</w:t>
      </w:r>
      <w:r w:rsidR="003D640C">
        <w:t xml:space="preserve"> </w:t>
      </w:r>
      <w:r w:rsidR="00E7469D" w:rsidRPr="00BB6220">
        <w:t>that</w:t>
      </w:r>
      <w:r w:rsidR="003D640C">
        <w:t xml:space="preserve"> </w:t>
      </w:r>
      <w:r w:rsidR="00E7469D" w:rsidRPr="00BB6220">
        <w:t>once</w:t>
      </w:r>
      <w:r w:rsidR="003D640C">
        <w:t xml:space="preserve"> </w:t>
      </w:r>
      <w:r w:rsidR="00E7469D" w:rsidRPr="00BB6220">
        <w:t>you’ve</w:t>
      </w:r>
      <w:r w:rsidR="003D640C">
        <w:t xml:space="preserve"> </w:t>
      </w:r>
      <w:r w:rsidR="00E7469D" w:rsidRPr="00BB6220">
        <w:t>‘given</w:t>
      </w:r>
      <w:r w:rsidR="003D640C">
        <w:t xml:space="preserve"> </w:t>
      </w:r>
      <w:r w:rsidR="00E7469D" w:rsidRPr="00BB6220">
        <w:t>yourself</w:t>
      </w:r>
      <w:r w:rsidR="003D640C">
        <w:t xml:space="preserve"> </w:t>
      </w:r>
      <w:r w:rsidR="00E7469D" w:rsidRPr="00BB6220">
        <w:t>over</w:t>
      </w:r>
      <w:r w:rsidR="003D640C">
        <w:t xml:space="preserve"> </w:t>
      </w:r>
      <w:r w:rsidR="00E7469D" w:rsidRPr="00BB6220">
        <w:t>to</w:t>
      </w:r>
      <w:r w:rsidR="003D640C">
        <w:t xml:space="preserve"> </w:t>
      </w:r>
      <w:r w:rsidR="00DA39C8" w:rsidRPr="00BB6220">
        <w:t>Satan,</w:t>
      </w:r>
      <w:r w:rsidR="003D640C">
        <w:t xml:space="preserve"> </w:t>
      </w:r>
      <w:r w:rsidR="00DA39C8" w:rsidRPr="00BB6220">
        <w:t>to</w:t>
      </w:r>
      <w:r w:rsidR="003D640C">
        <w:t xml:space="preserve"> </w:t>
      </w:r>
      <w:r w:rsidR="00DA39C8" w:rsidRPr="00BB6220">
        <w:t>the</w:t>
      </w:r>
      <w:r w:rsidR="003D640C">
        <w:t xml:space="preserve"> </w:t>
      </w:r>
      <w:r w:rsidR="00DA39C8" w:rsidRPr="00BB6220">
        <w:t>lusts</w:t>
      </w:r>
      <w:r w:rsidR="003D640C">
        <w:t xml:space="preserve"> </w:t>
      </w:r>
      <w:r w:rsidR="00DA39C8" w:rsidRPr="00BB6220">
        <w:t>of</w:t>
      </w:r>
      <w:r w:rsidR="003D640C">
        <w:t xml:space="preserve"> </w:t>
      </w:r>
      <w:r w:rsidR="00DA39C8" w:rsidRPr="00BB6220">
        <w:t>the</w:t>
      </w:r>
      <w:r w:rsidR="003D640C">
        <w:t xml:space="preserve"> </w:t>
      </w:r>
      <w:r w:rsidR="00DA39C8" w:rsidRPr="00BB6220">
        <w:t>flesh</w:t>
      </w:r>
      <w:r w:rsidR="005E296A">
        <w:t>,</w:t>
      </w:r>
      <w:r w:rsidR="003D7982" w:rsidRPr="00BB6220">
        <w:t>’</w:t>
      </w:r>
      <w:r w:rsidR="003D640C">
        <w:t xml:space="preserve"> </w:t>
      </w:r>
      <w:r w:rsidR="003D7982" w:rsidRPr="00BB6220">
        <w:t>that</w:t>
      </w:r>
      <w:r w:rsidR="003D640C">
        <w:t xml:space="preserve"> </w:t>
      </w:r>
      <w:r w:rsidR="003D7982" w:rsidRPr="00BB6220">
        <w:t>it</w:t>
      </w:r>
      <w:r w:rsidR="003D640C">
        <w:t xml:space="preserve"> </w:t>
      </w:r>
      <w:r w:rsidR="003D7982" w:rsidRPr="00BB6220">
        <w:t>leads</w:t>
      </w:r>
      <w:r w:rsidR="003D640C">
        <w:t xml:space="preserve"> </w:t>
      </w:r>
      <w:r w:rsidR="003D7982" w:rsidRPr="00BB6220">
        <w:t>to</w:t>
      </w:r>
      <w:r w:rsidR="003D640C">
        <w:t xml:space="preserve"> </w:t>
      </w:r>
      <w:r w:rsidR="003D7982" w:rsidRPr="00BB6220">
        <w:t>death</w:t>
      </w:r>
      <w:r w:rsidR="00CA7ADC" w:rsidRPr="00BB6220">
        <w:t>.</w:t>
      </w:r>
      <w:r w:rsidR="003D640C">
        <w:t xml:space="preserve"> </w:t>
      </w:r>
      <w:r w:rsidR="00CA7ADC" w:rsidRPr="00BB6220">
        <w:t>I</w:t>
      </w:r>
      <w:r w:rsidR="003D640C">
        <w:t xml:space="preserve"> </w:t>
      </w:r>
      <w:bookmarkStart w:id="175" w:name="_Int_R9CtG9ol"/>
      <w:r w:rsidR="00CA7ADC" w:rsidRPr="00BB6220">
        <w:t>didn’t</w:t>
      </w:r>
      <w:bookmarkEnd w:id="175"/>
      <w:r w:rsidR="003D640C">
        <w:t xml:space="preserve"> </w:t>
      </w:r>
      <w:r w:rsidR="00CA7ADC" w:rsidRPr="00BB6220">
        <w:t>want</w:t>
      </w:r>
      <w:r w:rsidR="003D640C">
        <w:t xml:space="preserve"> </w:t>
      </w:r>
      <w:r w:rsidR="00521131" w:rsidRPr="00BB6220">
        <w:t>to</w:t>
      </w:r>
      <w:r w:rsidR="003D640C">
        <w:t xml:space="preserve"> </w:t>
      </w:r>
      <w:r w:rsidR="00521131" w:rsidRPr="00BB6220">
        <w:t>play</w:t>
      </w:r>
      <w:r w:rsidR="003D640C">
        <w:t xml:space="preserve"> </w:t>
      </w:r>
      <w:r w:rsidR="00521131" w:rsidRPr="00BB6220">
        <w:t>into</w:t>
      </w:r>
      <w:r w:rsidR="003D640C">
        <w:t xml:space="preserve"> </w:t>
      </w:r>
      <w:r w:rsidR="00521131" w:rsidRPr="00BB6220">
        <w:t>that</w:t>
      </w:r>
      <w:r w:rsidR="00745214" w:rsidRPr="00BB6220">
        <w:t>.</w:t>
      </w:r>
      <w:r w:rsidR="00745214" w:rsidRPr="00BB6220" w:rsidDel="008E1CCA">
        <w:t xml:space="preserve"> </w:t>
      </w:r>
      <w:r w:rsidR="00164DCE" w:rsidRPr="00BB6220">
        <w:t>Three</w:t>
      </w:r>
      <w:r w:rsidR="003D640C">
        <w:t xml:space="preserve"> </w:t>
      </w:r>
      <w:r w:rsidR="00164DCE" w:rsidRPr="00BB6220">
        <w:t>different</w:t>
      </w:r>
      <w:r w:rsidR="003D640C">
        <w:t xml:space="preserve"> </w:t>
      </w:r>
      <w:r w:rsidR="00164DCE" w:rsidRPr="00BB6220">
        <w:t>time</w:t>
      </w:r>
      <w:r w:rsidR="000C382B" w:rsidRPr="00BB6220">
        <w:t>s</w:t>
      </w:r>
      <w:r w:rsidR="003D640C">
        <w:t xml:space="preserve"> </w:t>
      </w:r>
      <w:r w:rsidR="00164DCE" w:rsidRPr="00BB6220">
        <w:t>I</w:t>
      </w:r>
      <w:r w:rsidR="003D640C">
        <w:t xml:space="preserve"> </w:t>
      </w:r>
      <w:bookmarkStart w:id="176" w:name="_Int_4oLwOJCX"/>
      <w:r w:rsidR="00164DCE" w:rsidRPr="00BB6220">
        <w:t>came</w:t>
      </w:r>
      <w:r w:rsidR="003D640C">
        <w:t xml:space="preserve"> </w:t>
      </w:r>
      <w:r w:rsidR="00164DCE" w:rsidRPr="00BB6220">
        <w:t>up</w:t>
      </w:r>
      <w:r w:rsidR="003D640C">
        <w:t xml:space="preserve"> </w:t>
      </w:r>
      <w:r w:rsidR="00164DCE" w:rsidRPr="00BB6220">
        <w:t>with</w:t>
      </w:r>
      <w:bookmarkEnd w:id="176"/>
      <w:r w:rsidR="003D640C">
        <w:t xml:space="preserve"> </w:t>
      </w:r>
      <w:r w:rsidR="00164DCE" w:rsidRPr="00BB6220">
        <w:t>a</w:t>
      </w:r>
      <w:r w:rsidR="003D640C">
        <w:t xml:space="preserve"> </w:t>
      </w:r>
      <w:r w:rsidR="00164DCE" w:rsidRPr="00BB6220">
        <w:t>plan</w:t>
      </w:r>
      <w:r w:rsidR="003D640C">
        <w:t xml:space="preserve"> </w:t>
      </w:r>
      <w:r w:rsidR="00164DCE" w:rsidRPr="00BB6220">
        <w:t>and</w:t>
      </w:r>
      <w:r w:rsidR="003D640C">
        <w:t xml:space="preserve"> </w:t>
      </w:r>
      <w:r w:rsidR="00164DCE" w:rsidRPr="00BB6220">
        <w:t>started</w:t>
      </w:r>
      <w:r w:rsidR="003D640C">
        <w:t xml:space="preserve"> </w:t>
      </w:r>
      <w:r w:rsidR="00164DCE" w:rsidRPr="00BB6220">
        <w:t>to</w:t>
      </w:r>
      <w:r w:rsidR="003D640C">
        <w:t xml:space="preserve"> </w:t>
      </w:r>
      <w:r w:rsidR="00164DCE" w:rsidRPr="00BB6220">
        <w:t>carry</w:t>
      </w:r>
      <w:r w:rsidR="003D640C">
        <w:t xml:space="preserve"> </w:t>
      </w:r>
      <w:r w:rsidR="00164DCE" w:rsidRPr="00BB6220">
        <w:t>it</w:t>
      </w:r>
      <w:r w:rsidR="003D640C">
        <w:t xml:space="preserve"> </w:t>
      </w:r>
      <w:r w:rsidR="00164DCE" w:rsidRPr="00BB6220">
        <w:t>out.</w:t>
      </w:r>
      <w:r w:rsidR="00164DCE" w:rsidRPr="00BB6220" w:rsidDel="008E1CCA">
        <w:t xml:space="preserve"> </w:t>
      </w:r>
      <w:r w:rsidR="00212E65" w:rsidRPr="00BB6220">
        <w:t>I</w:t>
      </w:r>
      <w:r w:rsidR="003D640C">
        <w:t xml:space="preserve"> </w:t>
      </w:r>
      <w:r w:rsidR="00212E65" w:rsidRPr="00BB6220">
        <w:t>guess</w:t>
      </w:r>
      <w:r w:rsidR="003D640C">
        <w:t xml:space="preserve"> </w:t>
      </w:r>
      <w:r w:rsidR="00212E65" w:rsidRPr="00BB6220">
        <w:t>the</w:t>
      </w:r>
      <w:r w:rsidR="003D640C">
        <w:t xml:space="preserve"> </w:t>
      </w:r>
      <w:r w:rsidR="00212E65" w:rsidRPr="00BB6220">
        <w:t>good</w:t>
      </w:r>
      <w:r w:rsidR="003D640C">
        <w:t xml:space="preserve"> </w:t>
      </w:r>
      <w:r w:rsidR="00212E65" w:rsidRPr="00BB6220">
        <w:t>part</w:t>
      </w:r>
      <w:r w:rsidR="003D640C">
        <w:t xml:space="preserve"> </w:t>
      </w:r>
      <w:r w:rsidR="00212E65" w:rsidRPr="00BB6220">
        <w:t>about</w:t>
      </w:r>
      <w:r w:rsidR="003D640C">
        <w:t xml:space="preserve"> </w:t>
      </w:r>
      <w:r w:rsidR="004623A4" w:rsidRPr="00BB6220">
        <w:t>wanting</w:t>
      </w:r>
      <w:r w:rsidR="003D640C">
        <w:t xml:space="preserve"> </w:t>
      </w:r>
      <w:r w:rsidR="004623A4" w:rsidRPr="00BB6220">
        <w:t>it</w:t>
      </w:r>
      <w:r w:rsidR="003D640C">
        <w:t xml:space="preserve"> </w:t>
      </w:r>
      <w:r w:rsidR="004623A4" w:rsidRPr="00BB6220">
        <w:t>to</w:t>
      </w:r>
      <w:r w:rsidR="003D640C">
        <w:t xml:space="preserve"> </w:t>
      </w:r>
      <w:r w:rsidR="004623A4" w:rsidRPr="00BB6220">
        <w:t>look</w:t>
      </w:r>
      <w:r w:rsidR="003D640C">
        <w:t xml:space="preserve"> </w:t>
      </w:r>
      <w:r w:rsidR="004623A4" w:rsidRPr="00BB6220">
        <w:t>like</w:t>
      </w:r>
      <w:r w:rsidR="003D640C">
        <w:t xml:space="preserve"> </w:t>
      </w:r>
      <w:r w:rsidR="004623A4" w:rsidRPr="00BB6220">
        <w:t>an</w:t>
      </w:r>
      <w:r w:rsidR="003D640C">
        <w:t xml:space="preserve"> </w:t>
      </w:r>
      <w:r w:rsidR="004623A4" w:rsidRPr="00BB6220">
        <w:t>accident</w:t>
      </w:r>
      <w:r w:rsidR="003D640C">
        <w:t xml:space="preserve"> </w:t>
      </w:r>
      <w:r w:rsidR="004623A4" w:rsidRPr="00BB6220">
        <w:t>is</w:t>
      </w:r>
      <w:r w:rsidR="003D640C">
        <w:t xml:space="preserve"> </w:t>
      </w:r>
      <w:r w:rsidR="004623A4" w:rsidRPr="00BB6220">
        <w:t>that</w:t>
      </w:r>
      <w:r w:rsidR="003D640C">
        <w:t xml:space="preserve"> </w:t>
      </w:r>
      <w:r w:rsidR="004623A4" w:rsidRPr="00BB6220">
        <w:t>the</w:t>
      </w:r>
      <w:r w:rsidR="003D640C">
        <w:t xml:space="preserve"> </w:t>
      </w:r>
      <w:r w:rsidR="004623A4" w:rsidRPr="00BB6220">
        <w:t>process</w:t>
      </w:r>
      <w:r w:rsidR="003D640C">
        <w:t xml:space="preserve"> </w:t>
      </w:r>
      <w:r w:rsidR="00BB31BB" w:rsidRPr="00BB6220">
        <w:t>of</w:t>
      </w:r>
      <w:r w:rsidR="003D640C">
        <w:t xml:space="preserve"> </w:t>
      </w:r>
      <w:r w:rsidR="00BB31BB" w:rsidRPr="00BB6220">
        <w:t>making</w:t>
      </w:r>
      <w:r w:rsidR="003D640C">
        <w:t xml:space="preserve"> </w:t>
      </w:r>
      <w:r w:rsidR="00BB31BB" w:rsidRPr="00BB6220">
        <w:t>it</w:t>
      </w:r>
      <w:r w:rsidR="003D640C">
        <w:t xml:space="preserve"> </w:t>
      </w:r>
      <w:r w:rsidR="00BB31BB" w:rsidRPr="00BB6220">
        <w:t>look</w:t>
      </w:r>
      <w:r w:rsidR="003D640C">
        <w:t xml:space="preserve"> </w:t>
      </w:r>
      <w:r w:rsidR="00BB31BB" w:rsidRPr="00BB6220">
        <w:t>that</w:t>
      </w:r>
      <w:r w:rsidR="003D640C">
        <w:t xml:space="preserve"> </w:t>
      </w:r>
      <w:r w:rsidR="00BB31BB" w:rsidRPr="00BB6220">
        <w:t>way</w:t>
      </w:r>
      <w:r w:rsidR="003D640C">
        <w:t xml:space="preserve"> </w:t>
      </w:r>
      <w:r w:rsidR="004623A4" w:rsidRPr="00BB6220">
        <w:t>gave</w:t>
      </w:r>
      <w:r w:rsidR="003D640C">
        <w:t xml:space="preserve"> </w:t>
      </w:r>
      <w:r w:rsidR="004623A4" w:rsidRPr="00BB6220">
        <w:t>me</w:t>
      </w:r>
      <w:r w:rsidR="003D640C">
        <w:t xml:space="preserve"> </w:t>
      </w:r>
      <w:r w:rsidR="004623A4" w:rsidRPr="00BB6220">
        <w:t>just</w:t>
      </w:r>
      <w:r w:rsidR="003D640C">
        <w:t xml:space="preserve"> </w:t>
      </w:r>
      <w:r w:rsidR="004623A4" w:rsidRPr="00BB6220">
        <w:t>enough</w:t>
      </w:r>
      <w:r w:rsidR="003D640C">
        <w:t xml:space="preserve"> </w:t>
      </w:r>
      <w:r w:rsidR="00BB31BB" w:rsidRPr="00BB6220">
        <w:t>time</w:t>
      </w:r>
      <w:r w:rsidR="003D640C">
        <w:t xml:space="preserve"> </w:t>
      </w:r>
      <w:r w:rsidR="00BB31BB" w:rsidRPr="00BB6220">
        <w:t>to</w:t>
      </w:r>
      <w:r w:rsidR="003D640C">
        <w:t xml:space="preserve"> </w:t>
      </w:r>
      <w:r w:rsidR="00BB31BB" w:rsidRPr="00BB6220">
        <w:t>start</w:t>
      </w:r>
      <w:r w:rsidR="003D640C">
        <w:t xml:space="preserve"> </w:t>
      </w:r>
      <w:r w:rsidR="00BB31BB" w:rsidRPr="00BB6220">
        <w:t>to</w:t>
      </w:r>
      <w:r w:rsidR="003D640C">
        <w:t xml:space="preserve"> </w:t>
      </w:r>
      <w:r w:rsidR="00BB31BB" w:rsidRPr="00BB6220">
        <w:t>doubt</w:t>
      </w:r>
      <w:r w:rsidR="003D640C">
        <w:t xml:space="preserve"> </w:t>
      </w:r>
      <w:r w:rsidR="00283173" w:rsidRPr="00BB6220">
        <w:t>that</w:t>
      </w:r>
      <w:r w:rsidR="003D640C">
        <w:t xml:space="preserve"> </w:t>
      </w:r>
      <w:r w:rsidR="00283173" w:rsidRPr="00BB6220">
        <w:t>killing</w:t>
      </w:r>
      <w:r w:rsidR="003D640C">
        <w:t xml:space="preserve"> </w:t>
      </w:r>
      <w:r w:rsidR="00283173" w:rsidRPr="00BB6220">
        <w:t>myself</w:t>
      </w:r>
      <w:r w:rsidR="003D640C">
        <w:t xml:space="preserve"> </w:t>
      </w:r>
      <w:r w:rsidR="00283173" w:rsidRPr="00BB6220">
        <w:t>would</w:t>
      </w:r>
      <w:r w:rsidR="003D640C">
        <w:t xml:space="preserve"> </w:t>
      </w:r>
      <w:r w:rsidR="00283173" w:rsidRPr="00BB6220">
        <w:t>achieve</w:t>
      </w:r>
      <w:r w:rsidR="003D640C">
        <w:t xml:space="preserve"> </w:t>
      </w:r>
      <w:r w:rsidR="00283173" w:rsidRPr="00BB6220">
        <w:t>anything.</w:t>
      </w:r>
      <w:r w:rsidR="003D640C">
        <w:t xml:space="preserve"> </w:t>
      </w:r>
      <w:r w:rsidR="00C05527" w:rsidRPr="00BB6220">
        <w:t>I’m</w:t>
      </w:r>
      <w:r w:rsidR="003D640C">
        <w:t xml:space="preserve"> </w:t>
      </w:r>
      <w:r w:rsidR="00C05527" w:rsidRPr="00BB6220">
        <w:t>so</w:t>
      </w:r>
      <w:r w:rsidR="003D640C">
        <w:t xml:space="preserve"> </w:t>
      </w:r>
      <w:r w:rsidR="00C05527" w:rsidRPr="00BB6220">
        <w:t>glad</w:t>
      </w:r>
      <w:r w:rsidR="003D640C">
        <w:t xml:space="preserve"> </w:t>
      </w:r>
      <w:r w:rsidR="00C05527" w:rsidRPr="00BB6220">
        <w:t>I</w:t>
      </w:r>
      <w:r w:rsidR="003D640C">
        <w:t xml:space="preserve"> </w:t>
      </w:r>
      <w:r w:rsidR="00C05527" w:rsidRPr="00BB6220">
        <w:t>didn’t.</w:t>
      </w:r>
      <w:r w:rsidR="00283173" w:rsidRPr="00BB6220">
        <w:t>”</w:t>
      </w:r>
      <w:r w:rsidR="003D640C">
        <w:t xml:space="preserve"> </w:t>
      </w:r>
      <w:r w:rsidR="00283173" w:rsidRPr="00BB6220">
        <w:t>Pākehā,</w:t>
      </w:r>
      <w:r w:rsidR="003D640C">
        <w:t xml:space="preserve"> </w:t>
      </w:r>
      <w:r w:rsidR="00283173" w:rsidRPr="00BB6220">
        <w:t>male</w:t>
      </w:r>
      <w:r w:rsidR="00412E3A" w:rsidRPr="00BB6220">
        <w:t>.</w:t>
      </w:r>
      <w:r w:rsidR="003D640C">
        <w:t xml:space="preserve"> </w:t>
      </w:r>
    </w:p>
    <w:p w14:paraId="3249E550" w14:textId="2F87FFD2" w:rsidR="00D527F0" w:rsidRPr="00BB6220" w:rsidRDefault="00063691" w:rsidP="009500DE">
      <w:pPr>
        <w:pStyle w:val="Heading2"/>
        <w:rPr>
          <w:lang w:val="en-GB"/>
        </w:rPr>
      </w:pPr>
      <w:bookmarkStart w:id="177" w:name="_Toc138325176"/>
      <w:bookmarkStart w:id="178" w:name="_Toc138343813"/>
      <w:bookmarkStart w:id="179" w:name="_Toc167780599"/>
      <w:bookmarkStart w:id="180" w:name="_Toc848956460"/>
      <w:bookmarkStart w:id="181" w:name="_Toc174628658"/>
      <w:r w:rsidRPr="00BB6220">
        <w:rPr>
          <w:lang w:val="en-GB"/>
        </w:rPr>
        <w:t>C</w:t>
      </w:r>
      <w:r w:rsidR="00D527F0" w:rsidRPr="00BB6220">
        <w:rPr>
          <w:lang w:val="en-GB"/>
        </w:rPr>
        <w:t>onversion</w:t>
      </w:r>
      <w:r w:rsidR="003D640C">
        <w:rPr>
          <w:lang w:val="en-GB"/>
        </w:rPr>
        <w:t xml:space="preserve"> </w:t>
      </w:r>
      <w:r w:rsidR="00D527F0" w:rsidRPr="00BB6220">
        <w:rPr>
          <w:lang w:val="en-GB"/>
        </w:rPr>
        <w:t>practices</w:t>
      </w:r>
      <w:bookmarkEnd w:id="177"/>
      <w:bookmarkEnd w:id="178"/>
      <w:r w:rsidR="003D640C">
        <w:rPr>
          <w:lang w:val="en-GB"/>
        </w:rPr>
        <w:t xml:space="preserve"> </w:t>
      </w:r>
      <w:r w:rsidR="00C745B7" w:rsidRPr="00BB6220">
        <w:rPr>
          <w:lang w:val="en-GB"/>
        </w:rPr>
        <w:t>inflict</w:t>
      </w:r>
      <w:r w:rsidR="003D640C">
        <w:rPr>
          <w:lang w:val="en-GB"/>
        </w:rPr>
        <w:t xml:space="preserve"> </w:t>
      </w:r>
      <w:r w:rsidRPr="00BB6220">
        <w:rPr>
          <w:lang w:val="en-GB"/>
        </w:rPr>
        <w:t>lifelong</w:t>
      </w:r>
      <w:r w:rsidR="003D640C">
        <w:rPr>
          <w:lang w:val="en-GB"/>
        </w:rPr>
        <w:t xml:space="preserve"> </w:t>
      </w:r>
      <w:r w:rsidRPr="00BB6220">
        <w:rPr>
          <w:lang w:val="en-GB"/>
        </w:rPr>
        <w:t>trauma</w:t>
      </w:r>
      <w:bookmarkEnd w:id="179"/>
      <w:bookmarkEnd w:id="180"/>
      <w:bookmarkEnd w:id="181"/>
    </w:p>
    <w:p w14:paraId="61348E40" w14:textId="3D83BE6E" w:rsidR="00501068" w:rsidRDefault="003A6BBA" w:rsidP="009500DE">
      <w:r w:rsidRPr="00BB6220">
        <w:t>As</w:t>
      </w:r>
      <w:r w:rsidR="003D640C">
        <w:t xml:space="preserve"> </w:t>
      </w:r>
      <w:r w:rsidRPr="00BB6220">
        <w:t>already</w:t>
      </w:r>
      <w:r w:rsidR="003D640C">
        <w:t xml:space="preserve"> </w:t>
      </w:r>
      <w:r w:rsidRPr="00BB6220">
        <w:t>described,</w:t>
      </w:r>
      <w:r w:rsidR="003D640C">
        <w:t xml:space="preserve"> </w:t>
      </w:r>
      <w:r w:rsidRPr="00BB6220">
        <w:t>p</w:t>
      </w:r>
      <w:r w:rsidR="00D527F0" w:rsidRPr="00BB6220">
        <w:t>eople</w:t>
      </w:r>
      <w:r w:rsidR="003D640C">
        <w:t xml:space="preserve"> </w:t>
      </w:r>
      <w:r w:rsidR="00D527F0" w:rsidRPr="00BB6220">
        <w:t>vulnerable</w:t>
      </w:r>
      <w:r w:rsidR="003D640C">
        <w:t xml:space="preserve"> </w:t>
      </w:r>
      <w:r w:rsidR="00D527F0" w:rsidRPr="00BB6220">
        <w:t>to</w:t>
      </w:r>
      <w:r w:rsidR="003D640C">
        <w:t xml:space="preserve"> </w:t>
      </w:r>
      <w:r w:rsidR="00D527F0" w:rsidRPr="00BB6220">
        <w:t>conversion</w:t>
      </w:r>
      <w:r w:rsidR="003D640C">
        <w:t xml:space="preserve"> </w:t>
      </w:r>
      <w:r w:rsidR="00D527F0" w:rsidRPr="00BB6220">
        <w:t>practices</w:t>
      </w:r>
      <w:r w:rsidR="003D640C">
        <w:t xml:space="preserve"> </w:t>
      </w:r>
      <w:r w:rsidR="00D527F0" w:rsidRPr="00BB6220">
        <w:t>are</w:t>
      </w:r>
      <w:r w:rsidR="003D640C">
        <w:t xml:space="preserve"> </w:t>
      </w:r>
      <w:r w:rsidR="00D527F0" w:rsidRPr="00BB6220">
        <w:t>usually</w:t>
      </w:r>
      <w:r w:rsidR="003D640C">
        <w:t xml:space="preserve"> </w:t>
      </w:r>
      <w:r w:rsidR="00D527F0" w:rsidRPr="00BB6220">
        <w:t>part</w:t>
      </w:r>
      <w:r w:rsidR="003D640C">
        <w:t xml:space="preserve"> </w:t>
      </w:r>
      <w:r w:rsidR="00D527F0" w:rsidRPr="00BB6220">
        <w:t>of</w:t>
      </w:r>
      <w:r w:rsidR="003D640C">
        <w:t xml:space="preserve"> </w:t>
      </w:r>
      <w:r w:rsidR="00D527F0" w:rsidRPr="00BB6220">
        <w:t>indoctrinating</w:t>
      </w:r>
      <w:r w:rsidR="003D640C">
        <w:t xml:space="preserve"> </w:t>
      </w:r>
      <w:r w:rsidR="00D527F0" w:rsidRPr="00BB6220">
        <w:t>environments</w:t>
      </w:r>
      <w:r w:rsidR="003D640C">
        <w:t xml:space="preserve"> </w:t>
      </w:r>
      <w:r w:rsidR="00A17714">
        <w:t xml:space="preserve">that </w:t>
      </w:r>
      <w:r w:rsidR="00D527F0" w:rsidRPr="00BB6220">
        <w:t>include</w:t>
      </w:r>
      <w:r w:rsidR="003D640C">
        <w:t xml:space="preserve"> </w:t>
      </w:r>
      <w:r w:rsidR="00D527F0" w:rsidRPr="00BB6220">
        <w:t>beliefs</w:t>
      </w:r>
      <w:r w:rsidR="003D640C">
        <w:t xml:space="preserve"> </w:t>
      </w:r>
      <w:r w:rsidR="00D527F0" w:rsidRPr="00BB6220">
        <w:t>that</w:t>
      </w:r>
      <w:r w:rsidR="003D640C">
        <w:t xml:space="preserve"> </w:t>
      </w:r>
      <w:r w:rsidR="00D527F0" w:rsidRPr="00BB6220">
        <w:t>do</w:t>
      </w:r>
      <w:r w:rsidR="003D640C">
        <w:t xml:space="preserve"> </w:t>
      </w:r>
      <w:r w:rsidR="00D527F0" w:rsidRPr="00BB6220">
        <w:t>not</w:t>
      </w:r>
      <w:r w:rsidR="003D640C">
        <w:t xml:space="preserve"> </w:t>
      </w:r>
      <w:r w:rsidR="00D527F0" w:rsidRPr="00BB6220">
        <w:t>accept</w:t>
      </w:r>
      <w:r w:rsidR="003D640C">
        <w:t xml:space="preserve"> </w:t>
      </w:r>
      <w:r w:rsidR="00D527F0" w:rsidRPr="00BB6220">
        <w:t>the</w:t>
      </w:r>
      <w:r w:rsidR="003D640C">
        <w:t xml:space="preserve"> </w:t>
      </w:r>
      <w:r w:rsidR="00D527F0" w:rsidRPr="00BB6220">
        <w:t>full</w:t>
      </w:r>
      <w:r w:rsidR="003D640C">
        <w:t xml:space="preserve"> </w:t>
      </w:r>
      <w:r w:rsidR="00D527F0" w:rsidRPr="00BB6220">
        <w:t>diversity</w:t>
      </w:r>
      <w:r w:rsidR="003D640C">
        <w:t xml:space="preserve"> </w:t>
      </w:r>
      <w:r w:rsidR="00D527F0" w:rsidRPr="00BB6220">
        <w:t>of</w:t>
      </w:r>
      <w:r w:rsidR="003D640C">
        <w:t xml:space="preserve"> </w:t>
      </w:r>
      <w:r w:rsidR="00D527F0" w:rsidRPr="00BB6220">
        <w:t>humanity.</w:t>
      </w:r>
      <w:r w:rsidR="003D640C">
        <w:t xml:space="preserve"> </w:t>
      </w:r>
      <w:r w:rsidR="00D527F0" w:rsidRPr="00BB6220">
        <w:t>People</w:t>
      </w:r>
      <w:r w:rsidR="003D640C">
        <w:t xml:space="preserve"> </w:t>
      </w:r>
      <w:r w:rsidR="002A305A" w:rsidRPr="00BB6220">
        <w:t>in</w:t>
      </w:r>
      <w:r w:rsidR="003D640C">
        <w:t xml:space="preserve"> </w:t>
      </w:r>
      <w:r w:rsidR="002A305A" w:rsidRPr="00BB6220">
        <w:t>these</w:t>
      </w:r>
      <w:r w:rsidR="003D640C">
        <w:t xml:space="preserve"> </w:t>
      </w:r>
      <w:r w:rsidR="002A305A" w:rsidRPr="00BB6220">
        <w:t>environments</w:t>
      </w:r>
      <w:r w:rsidR="003D640C">
        <w:t xml:space="preserve"> </w:t>
      </w:r>
      <w:r w:rsidR="002A305A" w:rsidRPr="00BB6220">
        <w:t>who</w:t>
      </w:r>
      <w:r w:rsidR="003D640C">
        <w:t xml:space="preserve"> </w:t>
      </w:r>
      <w:r w:rsidR="00412E3A" w:rsidRPr="00BB6220">
        <w:t>are</w:t>
      </w:r>
      <w:r w:rsidR="003D640C">
        <w:t xml:space="preserve"> </w:t>
      </w:r>
      <w:r w:rsidR="002A305A" w:rsidRPr="00BB6220">
        <w:t>heterosexual</w:t>
      </w:r>
      <w:r w:rsidR="003D640C">
        <w:t xml:space="preserve"> </w:t>
      </w:r>
      <w:r w:rsidR="002973C3" w:rsidRPr="00BB6220">
        <w:t>and</w:t>
      </w:r>
      <w:r w:rsidR="003D640C">
        <w:t xml:space="preserve"> </w:t>
      </w:r>
      <w:r w:rsidR="002973C3" w:rsidRPr="00BB6220">
        <w:t>cisgender</w:t>
      </w:r>
      <w:r w:rsidR="003D640C">
        <w:t xml:space="preserve"> </w:t>
      </w:r>
      <w:r w:rsidR="00412E3A" w:rsidRPr="00BB6220">
        <w:t>w</w:t>
      </w:r>
      <w:r w:rsidR="00807597" w:rsidRPr="00BB6220">
        <w:t>ill</w:t>
      </w:r>
      <w:r w:rsidR="003D640C">
        <w:t xml:space="preserve"> </w:t>
      </w:r>
      <w:r w:rsidR="002A305A" w:rsidRPr="00BB6220">
        <w:t>find</w:t>
      </w:r>
      <w:r w:rsidR="003D640C">
        <w:t xml:space="preserve"> </w:t>
      </w:r>
      <w:r w:rsidR="002A305A" w:rsidRPr="00BB6220">
        <w:t>themselves</w:t>
      </w:r>
      <w:r w:rsidR="003D640C">
        <w:t xml:space="preserve"> </w:t>
      </w:r>
      <w:r w:rsidR="002A305A" w:rsidRPr="00BB6220">
        <w:t>included</w:t>
      </w:r>
      <w:r w:rsidR="003D640C">
        <w:t xml:space="preserve"> </w:t>
      </w:r>
      <w:r w:rsidR="002A305A" w:rsidRPr="00BB6220">
        <w:t>within</w:t>
      </w:r>
      <w:r w:rsidR="003D640C">
        <w:t xml:space="preserve"> </w:t>
      </w:r>
      <w:r w:rsidR="005425D7" w:rsidRPr="00BB6220">
        <w:t>the</w:t>
      </w:r>
      <w:r w:rsidR="003D640C">
        <w:t xml:space="preserve"> </w:t>
      </w:r>
      <w:r w:rsidR="005425D7" w:rsidRPr="00BB6220">
        <w:t>group</w:t>
      </w:r>
      <w:r w:rsidR="002A305A" w:rsidRPr="00BB6220">
        <w:t>,</w:t>
      </w:r>
      <w:r w:rsidR="003D640C">
        <w:t xml:space="preserve"> </w:t>
      </w:r>
      <w:r w:rsidR="002A305A" w:rsidRPr="00BB6220">
        <w:t>while</w:t>
      </w:r>
      <w:r w:rsidR="003D640C">
        <w:t xml:space="preserve"> </w:t>
      </w:r>
      <w:r w:rsidR="002A305A" w:rsidRPr="00BB6220">
        <w:t>those</w:t>
      </w:r>
      <w:r w:rsidR="003D640C">
        <w:t xml:space="preserve"> </w:t>
      </w:r>
      <w:r w:rsidR="002A305A" w:rsidRPr="00BB6220">
        <w:t>who</w:t>
      </w:r>
      <w:r w:rsidR="003D640C">
        <w:t xml:space="preserve"> </w:t>
      </w:r>
      <w:r w:rsidR="002A305A" w:rsidRPr="00BB6220">
        <w:t>come</w:t>
      </w:r>
      <w:r w:rsidR="003D640C">
        <w:t xml:space="preserve"> </w:t>
      </w:r>
      <w:r w:rsidR="002A305A" w:rsidRPr="00BB6220">
        <w:t>to</w:t>
      </w:r>
      <w:r w:rsidR="003D640C">
        <w:t xml:space="preserve"> </w:t>
      </w:r>
      <w:r w:rsidR="002A305A" w:rsidRPr="00BB6220">
        <w:t>reali</w:t>
      </w:r>
      <w:r w:rsidR="0045773B" w:rsidRPr="00BB6220">
        <w:t>s</w:t>
      </w:r>
      <w:r w:rsidR="002A305A" w:rsidRPr="00BB6220">
        <w:t>e</w:t>
      </w:r>
      <w:r w:rsidR="003D640C">
        <w:t xml:space="preserve"> </w:t>
      </w:r>
      <w:r w:rsidR="002A305A" w:rsidRPr="00BB6220">
        <w:t>they</w:t>
      </w:r>
      <w:r w:rsidR="003D640C">
        <w:t xml:space="preserve"> </w:t>
      </w:r>
      <w:r w:rsidR="001763E9" w:rsidRPr="00BB6220">
        <w:t>are</w:t>
      </w:r>
      <w:r w:rsidR="003D640C">
        <w:t xml:space="preserve"> </w:t>
      </w:r>
      <w:r w:rsidR="001763E9" w:rsidRPr="00BB6220">
        <w:t>different</w:t>
      </w:r>
      <w:r w:rsidR="003D640C">
        <w:t xml:space="preserve"> </w:t>
      </w:r>
      <w:r w:rsidR="001763E9" w:rsidRPr="00BB6220">
        <w:t>to</w:t>
      </w:r>
      <w:r w:rsidR="003D640C">
        <w:t xml:space="preserve"> </w:t>
      </w:r>
      <w:r w:rsidR="001763E9" w:rsidRPr="00BB6220">
        <w:t>preferre</w:t>
      </w:r>
      <w:r w:rsidR="00420C4E" w:rsidRPr="00BB6220">
        <w:t>d</w:t>
      </w:r>
      <w:r w:rsidR="003D640C">
        <w:t xml:space="preserve"> </w:t>
      </w:r>
      <w:r w:rsidR="008D0AB2" w:rsidRPr="00BB6220">
        <w:t>‘norms’</w:t>
      </w:r>
      <w:r w:rsidR="003D640C">
        <w:t xml:space="preserve"> </w:t>
      </w:r>
      <w:r w:rsidR="002A305A" w:rsidRPr="00BB6220">
        <w:t>experience</w:t>
      </w:r>
      <w:r w:rsidR="003D640C">
        <w:t xml:space="preserve"> </w:t>
      </w:r>
      <w:r w:rsidR="00957F7C" w:rsidRPr="00BB6220">
        <w:t>exclusion</w:t>
      </w:r>
      <w:r w:rsidR="00595B02" w:rsidRPr="00BB6220">
        <w:t>,</w:t>
      </w:r>
      <w:r w:rsidR="003D640C">
        <w:t xml:space="preserve"> </w:t>
      </w:r>
      <w:r w:rsidR="00595B02" w:rsidRPr="00BB6220">
        <w:t>stigma</w:t>
      </w:r>
      <w:r w:rsidR="65DFF684" w:rsidRPr="00BB6220">
        <w:t>,</w:t>
      </w:r>
      <w:r w:rsidR="003D640C">
        <w:t xml:space="preserve"> </w:t>
      </w:r>
      <w:r w:rsidR="00595B02" w:rsidRPr="00BB6220">
        <w:t>and</w:t>
      </w:r>
      <w:r w:rsidR="003D640C">
        <w:t xml:space="preserve"> </w:t>
      </w:r>
      <w:r w:rsidR="00595B02" w:rsidRPr="00BB6220">
        <w:t>marginalisation</w:t>
      </w:r>
      <w:r w:rsidR="0045773B" w:rsidRPr="00BB6220">
        <w:t>.</w:t>
      </w:r>
      <w:r w:rsidR="003D640C">
        <w:t xml:space="preserve"> </w:t>
      </w:r>
    </w:p>
    <w:p w14:paraId="5CA8BA64" w14:textId="1E7E57CC" w:rsidR="00501068" w:rsidRDefault="00B64549" w:rsidP="009500DE">
      <w:r w:rsidRPr="00BB6220">
        <w:t>Survivors</w:t>
      </w:r>
      <w:r w:rsidR="003D640C">
        <w:t xml:space="preserve"> </w:t>
      </w:r>
      <w:r w:rsidR="00A3720D" w:rsidRPr="00BB6220">
        <w:t>of</w:t>
      </w:r>
      <w:r w:rsidR="003D640C">
        <w:t xml:space="preserve"> </w:t>
      </w:r>
      <w:r w:rsidR="00A3720D" w:rsidRPr="00BB6220">
        <w:t>conversion</w:t>
      </w:r>
      <w:r w:rsidR="003D640C">
        <w:t xml:space="preserve"> </w:t>
      </w:r>
      <w:r w:rsidR="00A3720D" w:rsidRPr="00BB6220">
        <w:t>practices</w:t>
      </w:r>
      <w:r w:rsidR="003D640C">
        <w:t xml:space="preserve"> </w:t>
      </w:r>
      <w:r w:rsidR="00D527F0" w:rsidRPr="00BB6220">
        <w:t>tell</w:t>
      </w:r>
      <w:r w:rsidR="003D640C">
        <w:t xml:space="preserve"> </w:t>
      </w:r>
      <w:r w:rsidR="00D527F0" w:rsidRPr="00BB6220">
        <w:t>us</w:t>
      </w:r>
      <w:r w:rsidR="003D640C">
        <w:t xml:space="preserve"> </w:t>
      </w:r>
      <w:r w:rsidR="00D527F0" w:rsidRPr="00BB6220">
        <w:t>th</w:t>
      </w:r>
      <w:r w:rsidR="00527DBD" w:rsidRPr="00BB6220">
        <w:t>e</w:t>
      </w:r>
      <w:r w:rsidR="003D640C">
        <w:t xml:space="preserve"> </w:t>
      </w:r>
      <w:r w:rsidR="00A3720D" w:rsidRPr="00BB6220">
        <w:t>harm</w:t>
      </w:r>
      <w:r w:rsidR="003D640C">
        <w:t xml:space="preserve"> </w:t>
      </w:r>
      <w:r w:rsidR="00D527F0" w:rsidRPr="00BB6220">
        <w:t>begin</w:t>
      </w:r>
      <w:r w:rsidRPr="00BB6220">
        <w:t>s</w:t>
      </w:r>
      <w:r w:rsidR="003D640C">
        <w:t xml:space="preserve"> </w:t>
      </w:r>
      <w:r w:rsidR="00D527F0" w:rsidRPr="00BB6220">
        <w:t>when</w:t>
      </w:r>
      <w:r w:rsidR="003D640C">
        <w:t xml:space="preserve"> </w:t>
      </w:r>
      <w:r w:rsidR="005E6401" w:rsidRPr="00BB6220">
        <w:t>they</w:t>
      </w:r>
      <w:r w:rsidR="003D640C">
        <w:t xml:space="preserve"> </w:t>
      </w:r>
      <w:r w:rsidR="00D527F0" w:rsidRPr="00BB6220">
        <w:t>realise</w:t>
      </w:r>
      <w:r w:rsidR="003D640C">
        <w:t xml:space="preserve"> </w:t>
      </w:r>
      <w:r w:rsidR="00D527F0" w:rsidRPr="00BB6220">
        <w:t>they</w:t>
      </w:r>
      <w:r w:rsidR="003D640C">
        <w:t xml:space="preserve"> </w:t>
      </w:r>
      <w:r w:rsidR="00722023" w:rsidRPr="00BB6220">
        <w:t>are</w:t>
      </w:r>
      <w:r w:rsidR="003D640C">
        <w:t xml:space="preserve"> </w:t>
      </w:r>
      <w:r w:rsidR="00D527F0" w:rsidRPr="00BB6220">
        <w:t>the</w:t>
      </w:r>
      <w:r w:rsidR="003D640C">
        <w:t xml:space="preserve"> </w:t>
      </w:r>
      <w:r w:rsidR="00D527F0" w:rsidRPr="00BB6220">
        <w:t>kind</w:t>
      </w:r>
      <w:r w:rsidR="003D640C">
        <w:t xml:space="preserve"> </w:t>
      </w:r>
      <w:r w:rsidR="00D527F0" w:rsidRPr="00BB6220">
        <w:t>of</w:t>
      </w:r>
      <w:r w:rsidR="003D640C">
        <w:t xml:space="preserve"> </w:t>
      </w:r>
      <w:r w:rsidR="00D527F0" w:rsidRPr="00BB6220">
        <w:t>pe</w:t>
      </w:r>
      <w:r w:rsidR="00E27DB1" w:rsidRPr="00BB6220">
        <w:t>rs</w:t>
      </w:r>
      <w:r w:rsidR="00D527F0" w:rsidRPr="00BB6220">
        <w:t>o</w:t>
      </w:r>
      <w:r w:rsidR="00E27DB1" w:rsidRPr="00BB6220">
        <w:t>n</w:t>
      </w:r>
      <w:r w:rsidR="003D640C">
        <w:t xml:space="preserve"> </w:t>
      </w:r>
      <w:r w:rsidR="003E4E01" w:rsidRPr="00BB6220">
        <w:t>that</w:t>
      </w:r>
      <w:r w:rsidR="003D640C">
        <w:t xml:space="preserve"> </w:t>
      </w:r>
      <w:r w:rsidR="00E27DB1" w:rsidRPr="00BB6220">
        <w:t>is</w:t>
      </w:r>
      <w:r w:rsidR="003D640C">
        <w:t xml:space="preserve"> </w:t>
      </w:r>
      <w:r w:rsidR="003E4E01" w:rsidRPr="00BB6220">
        <w:t>being</w:t>
      </w:r>
      <w:r w:rsidR="003D640C">
        <w:t xml:space="preserve"> </w:t>
      </w:r>
      <w:r w:rsidR="00412E3A" w:rsidRPr="00BB6220">
        <w:t>negatively</w:t>
      </w:r>
      <w:r w:rsidR="003D640C">
        <w:t xml:space="preserve"> </w:t>
      </w:r>
      <w:r w:rsidR="003E4E01" w:rsidRPr="00BB6220">
        <w:t>spoken</w:t>
      </w:r>
      <w:r w:rsidR="003D640C">
        <w:t xml:space="preserve"> </w:t>
      </w:r>
      <w:r w:rsidR="003E4E01" w:rsidRPr="00BB6220">
        <w:t>about</w:t>
      </w:r>
      <w:r w:rsidR="003D640C">
        <w:t xml:space="preserve"> </w:t>
      </w:r>
      <w:r w:rsidR="00620070" w:rsidRPr="00BB6220">
        <w:t>or</w:t>
      </w:r>
      <w:r w:rsidR="003D640C">
        <w:t xml:space="preserve"> </w:t>
      </w:r>
      <w:r w:rsidR="00D527F0" w:rsidRPr="00BB6220">
        <w:t>excluded</w:t>
      </w:r>
      <w:r w:rsidR="003D640C">
        <w:t xml:space="preserve"> </w:t>
      </w:r>
      <w:r w:rsidR="00D527F0" w:rsidRPr="00BB6220">
        <w:t>from</w:t>
      </w:r>
      <w:r w:rsidR="003D640C">
        <w:t xml:space="preserve"> </w:t>
      </w:r>
      <w:r w:rsidR="00D527F0" w:rsidRPr="00BB6220">
        <w:t>their</w:t>
      </w:r>
      <w:r w:rsidR="003D640C">
        <w:t xml:space="preserve"> </w:t>
      </w:r>
      <w:r w:rsidR="00D527F0" w:rsidRPr="00BB6220">
        <w:t>community.</w:t>
      </w:r>
      <w:r w:rsidR="003D640C">
        <w:t xml:space="preserve"> </w:t>
      </w:r>
      <w:r w:rsidR="00D527F0" w:rsidRPr="00BB6220">
        <w:t>Seeds</w:t>
      </w:r>
      <w:r w:rsidR="003D640C">
        <w:t xml:space="preserve"> </w:t>
      </w:r>
      <w:r w:rsidR="00D527F0" w:rsidRPr="00BB6220">
        <w:t>of</w:t>
      </w:r>
      <w:r w:rsidR="003D640C">
        <w:t xml:space="preserve"> </w:t>
      </w:r>
      <w:r w:rsidR="00D527F0" w:rsidRPr="00BB6220">
        <w:t>doubt,</w:t>
      </w:r>
      <w:r w:rsidR="003D640C">
        <w:t xml:space="preserve"> </w:t>
      </w:r>
      <w:r w:rsidR="00D527F0" w:rsidRPr="00BB6220">
        <w:t>anxiety,</w:t>
      </w:r>
      <w:r w:rsidR="003D640C">
        <w:t xml:space="preserve"> </w:t>
      </w:r>
      <w:r w:rsidR="000E2136" w:rsidRPr="00BB6220">
        <w:t>being</w:t>
      </w:r>
      <w:r w:rsidR="003D640C">
        <w:t xml:space="preserve"> </w:t>
      </w:r>
      <w:r w:rsidR="005E296A">
        <w:t>‘</w:t>
      </w:r>
      <w:r w:rsidR="000E2136" w:rsidRPr="00BB6220">
        <w:t>othered’</w:t>
      </w:r>
      <w:r w:rsidR="00D527F0" w:rsidRPr="00BB6220">
        <w:t>,</w:t>
      </w:r>
      <w:r w:rsidR="003D640C">
        <w:t xml:space="preserve"> </w:t>
      </w:r>
      <w:r w:rsidR="00D527F0" w:rsidRPr="00BB6220">
        <w:t>and</w:t>
      </w:r>
      <w:r w:rsidR="003D640C">
        <w:t xml:space="preserve"> </w:t>
      </w:r>
      <w:r w:rsidR="00D527F0" w:rsidRPr="00BB6220">
        <w:t>eventually</w:t>
      </w:r>
      <w:r w:rsidR="003D640C">
        <w:t xml:space="preserve"> </w:t>
      </w:r>
      <w:r w:rsidR="00D527F0" w:rsidRPr="00BB6220">
        <w:t>the</w:t>
      </w:r>
      <w:r w:rsidR="003D640C">
        <w:t xml:space="preserve"> </w:t>
      </w:r>
      <w:r w:rsidR="00D527F0" w:rsidRPr="00BB6220">
        <w:t>option</w:t>
      </w:r>
      <w:r w:rsidR="003D640C">
        <w:t xml:space="preserve"> </w:t>
      </w:r>
      <w:r w:rsidR="00D527F0" w:rsidRPr="00BB6220">
        <w:t>of</w:t>
      </w:r>
      <w:r w:rsidR="003D640C">
        <w:t xml:space="preserve"> </w:t>
      </w:r>
      <w:r w:rsidR="00A3720D" w:rsidRPr="00BB6220">
        <w:t>engaging</w:t>
      </w:r>
      <w:r w:rsidR="003D640C">
        <w:t xml:space="preserve"> </w:t>
      </w:r>
      <w:r w:rsidR="00A3720D" w:rsidRPr="00BB6220">
        <w:t>in</w:t>
      </w:r>
      <w:r w:rsidR="003D640C">
        <w:t xml:space="preserve"> </w:t>
      </w:r>
      <w:r w:rsidR="00D527F0" w:rsidRPr="00BB6220">
        <w:t>conversion</w:t>
      </w:r>
      <w:r w:rsidR="003D640C">
        <w:t xml:space="preserve"> </w:t>
      </w:r>
      <w:r w:rsidR="00D527F0" w:rsidRPr="00BB6220">
        <w:t>practices</w:t>
      </w:r>
      <w:r w:rsidR="003D640C">
        <w:t xml:space="preserve"> </w:t>
      </w:r>
      <w:r w:rsidR="007F6965" w:rsidRPr="00BB6220">
        <w:t>can</w:t>
      </w:r>
      <w:r w:rsidR="003D640C">
        <w:t xml:space="preserve"> </w:t>
      </w:r>
      <w:r w:rsidR="007F6965" w:rsidRPr="00BB6220">
        <w:t>be</w:t>
      </w:r>
      <w:r w:rsidR="003D640C">
        <w:t xml:space="preserve"> </w:t>
      </w:r>
      <w:r w:rsidR="00D527F0" w:rsidRPr="00BB6220">
        <w:t>planted</w:t>
      </w:r>
      <w:r w:rsidR="003D640C">
        <w:t xml:space="preserve"> </w:t>
      </w:r>
      <w:r w:rsidR="00D527F0" w:rsidRPr="00BB6220">
        <w:t>each</w:t>
      </w:r>
      <w:r w:rsidR="003D640C">
        <w:t xml:space="preserve"> </w:t>
      </w:r>
      <w:r w:rsidR="00D527F0" w:rsidRPr="00BB6220">
        <w:t>time</w:t>
      </w:r>
      <w:r w:rsidR="003D640C">
        <w:t xml:space="preserve"> </w:t>
      </w:r>
      <w:r w:rsidR="00960579">
        <w:t>Rainbow</w:t>
      </w:r>
      <w:r w:rsidR="003D640C">
        <w:t xml:space="preserve"> </w:t>
      </w:r>
      <w:r w:rsidR="00D527F0" w:rsidRPr="00BB6220">
        <w:t>people</w:t>
      </w:r>
      <w:r w:rsidR="003D640C">
        <w:t xml:space="preserve"> </w:t>
      </w:r>
      <w:r w:rsidR="00D527F0" w:rsidRPr="00BB6220">
        <w:t>are</w:t>
      </w:r>
      <w:r w:rsidR="003D640C">
        <w:t xml:space="preserve"> </w:t>
      </w:r>
      <w:r w:rsidR="003D52FE" w:rsidRPr="00BB6220">
        <w:t>negatively</w:t>
      </w:r>
      <w:r w:rsidR="003D640C">
        <w:t xml:space="preserve"> </w:t>
      </w:r>
      <w:r w:rsidR="003D52FE" w:rsidRPr="00BB6220">
        <w:t>referenced.</w:t>
      </w:r>
      <w:r w:rsidR="003D640C">
        <w:t xml:space="preserve"> </w:t>
      </w:r>
      <w:r w:rsidR="00D527F0" w:rsidRPr="00BB6220">
        <w:t>Whether</w:t>
      </w:r>
      <w:r w:rsidR="003D640C">
        <w:t xml:space="preserve"> </w:t>
      </w:r>
      <w:r w:rsidR="00D527F0" w:rsidRPr="00BB6220">
        <w:t>initiated</w:t>
      </w:r>
      <w:r w:rsidR="003D640C">
        <w:t xml:space="preserve"> </w:t>
      </w:r>
      <w:r w:rsidR="00D527F0" w:rsidRPr="00BB6220">
        <w:t>by</w:t>
      </w:r>
      <w:r w:rsidR="003D640C">
        <w:t xml:space="preserve"> </w:t>
      </w:r>
      <w:r w:rsidR="00D527F0" w:rsidRPr="00BB6220">
        <w:t>the</w:t>
      </w:r>
      <w:r w:rsidR="003D640C">
        <w:t xml:space="preserve"> </w:t>
      </w:r>
      <w:r w:rsidR="00D527F0" w:rsidRPr="00BB6220">
        <w:t>person</w:t>
      </w:r>
      <w:r w:rsidR="003D640C">
        <w:t xml:space="preserve"> </w:t>
      </w:r>
      <w:r w:rsidR="00D527F0" w:rsidRPr="00BB6220">
        <w:t>themselves</w:t>
      </w:r>
      <w:r w:rsidR="003D640C">
        <w:t xml:space="preserve"> </w:t>
      </w:r>
      <w:r w:rsidR="00D527F0" w:rsidRPr="00BB6220">
        <w:t>or</w:t>
      </w:r>
      <w:r w:rsidR="003D640C">
        <w:t xml:space="preserve"> </w:t>
      </w:r>
      <w:r w:rsidR="00D527F0" w:rsidRPr="00BB6220">
        <w:t>others,</w:t>
      </w:r>
      <w:r w:rsidR="003D640C">
        <w:t xml:space="preserve"> </w:t>
      </w:r>
      <w:r w:rsidR="00D527F0" w:rsidRPr="00BB6220">
        <w:t>conversion</w:t>
      </w:r>
      <w:r w:rsidR="003D640C">
        <w:t xml:space="preserve"> </w:t>
      </w:r>
      <w:r w:rsidR="00D527F0" w:rsidRPr="00BB6220">
        <w:t>practices</w:t>
      </w:r>
      <w:r w:rsidR="003D640C">
        <w:t xml:space="preserve"> </w:t>
      </w:r>
      <w:r w:rsidR="00D527F0" w:rsidRPr="00BB6220">
        <w:t>begin</w:t>
      </w:r>
      <w:r w:rsidR="003D640C">
        <w:t xml:space="preserve"> </w:t>
      </w:r>
      <w:r w:rsidR="00D527F0" w:rsidRPr="00BB6220">
        <w:t>when</w:t>
      </w:r>
      <w:r w:rsidR="003D640C">
        <w:t xml:space="preserve"> </w:t>
      </w:r>
      <w:r w:rsidR="00D527F0" w:rsidRPr="00BB6220">
        <w:t>efforts</w:t>
      </w:r>
      <w:r w:rsidR="003D640C">
        <w:t xml:space="preserve"> </w:t>
      </w:r>
      <w:r w:rsidR="00D527F0" w:rsidRPr="00BB6220">
        <w:t>to</w:t>
      </w:r>
      <w:r w:rsidR="003D640C">
        <w:t xml:space="preserve"> </w:t>
      </w:r>
      <w:r w:rsidR="00D527F0" w:rsidRPr="00BB6220">
        <w:t>suppress</w:t>
      </w:r>
      <w:r w:rsidR="003D640C">
        <w:t xml:space="preserve"> </w:t>
      </w:r>
      <w:r w:rsidR="00D527F0" w:rsidRPr="00BB6220">
        <w:t>or</w:t>
      </w:r>
      <w:r w:rsidR="003D640C">
        <w:t xml:space="preserve"> </w:t>
      </w:r>
      <w:r w:rsidR="00D527F0" w:rsidRPr="00BB6220">
        <w:t>try</w:t>
      </w:r>
      <w:r w:rsidR="003D640C">
        <w:t xml:space="preserve"> </w:t>
      </w:r>
      <w:r w:rsidR="00D527F0" w:rsidRPr="00BB6220">
        <w:t>to</w:t>
      </w:r>
      <w:r w:rsidR="003D640C">
        <w:t xml:space="preserve"> </w:t>
      </w:r>
      <w:r w:rsidR="00D527F0" w:rsidRPr="00BB6220">
        <w:t>change</w:t>
      </w:r>
      <w:r w:rsidR="003D640C">
        <w:t xml:space="preserve"> </w:t>
      </w:r>
      <w:r w:rsidR="00D527F0" w:rsidRPr="00BB6220">
        <w:t>a</w:t>
      </w:r>
      <w:r w:rsidR="003D640C">
        <w:t xml:space="preserve"> </w:t>
      </w:r>
      <w:r w:rsidR="00D527F0" w:rsidRPr="00BB6220">
        <w:t>person</w:t>
      </w:r>
      <w:r w:rsidR="005D356B">
        <w:t>’s</w:t>
      </w:r>
      <w:r w:rsidR="003D640C">
        <w:t xml:space="preserve"> </w:t>
      </w:r>
      <w:r w:rsidR="005D356B">
        <w:t>Rainbow</w:t>
      </w:r>
      <w:r w:rsidR="003D640C">
        <w:t xml:space="preserve"> </w:t>
      </w:r>
      <w:r w:rsidR="005D356B">
        <w:t>identity</w:t>
      </w:r>
      <w:r w:rsidR="003D640C">
        <w:t xml:space="preserve"> </w:t>
      </w:r>
      <w:r w:rsidR="00D527F0" w:rsidRPr="00BB6220">
        <w:t>are</w:t>
      </w:r>
      <w:r w:rsidR="003D640C">
        <w:t xml:space="preserve"> </w:t>
      </w:r>
      <w:r w:rsidR="00D527F0" w:rsidRPr="00BB6220">
        <w:t>initiated,</w:t>
      </w:r>
      <w:r w:rsidR="003D640C">
        <w:t xml:space="preserve"> </w:t>
      </w:r>
      <w:r w:rsidR="00D527F0" w:rsidRPr="00BB6220">
        <w:t>however</w:t>
      </w:r>
      <w:r w:rsidR="003D640C">
        <w:t xml:space="preserve"> </w:t>
      </w:r>
      <w:r w:rsidR="00D527F0" w:rsidRPr="00BB6220">
        <w:t>informal</w:t>
      </w:r>
      <w:r w:rsidR="005E3287" w:rsidRPr="00BB6220">
        <w:t>,</w:t>
      </w:r>
      <w:r w:rsidR="003D640C">
        <w:t xml:space="preserve"> </w:t>
      </w:r>
      <w:r w:rsidR="005E3287" w:rsidRPr="00BB6220">
        <w:t>and</w:t>
      </w:r>
      <w:r w:rsidR="003D640C">
        <w:t xml:space="preserve"> </w:t>
      </w:r>
      <w:r w:rsidR="005E3287" w:rsidRPr="00BB6220">
        <w:t>often</w:t>
      </w:r>
      <w:r w:rsidR="003D640C">
        <w:t xml:space="preserve"> </w:t>
      </w:r>
      <w:r w:rsidR="005E3287" w:rsidRPr="00BB6220">
        <w:t>continue</w:t>
      </w:r>
      <w:r w:rsidR="003D640C">
        <w:t xml:space="preserve"> </w:t>
      </w:r>
      <w:r w:rsidR="005E3287" w:rsidRPr="00BB6220">
        <w:t>in</w:t>
      </w:r>
      <w:r w:rsidR="003D640C">
        <w:t xml:space="preserve"> </w:t>
      </w:r>
      <w:r w:rsidR="005E3287" w:rsidRPr="00BB6220">
        <w:t>a</w:t>
      </w:r>
      <w:r w:rsidR="003D640C">
        <w:t xml:space="preserve"> </w:t>
      </w:r>
      <w:r w:rsidR="005E3287" w:rsidRPr="00BB6220">
        <w:t>cyclical</w:t>
      </w:r>
      <w:r w:rsidR="003D640C">
        <w:t xml:space="preserve"> </w:t>
      </w:r>
      <w:r w:rsidR="005E3287" w:rsidRPr="00BB6220">
        <w:t>fashion.</w:t>
      </w:r>
    </w:p>
    <w:p w14:paraId="2F49D994" w14:textId="1F0FEB8C" w:rsidR="00501068" w:rsidRDefault="00D527F0" w:rsidP="009500DE">
      <w:r w:rsidRPr="00BB6220">
        <w:t>These</w:t>
      </w:r>
      <w:r w:rsidR="003D640C">
        <w:t xml:space="preserve"> </w:t>
      </w:r>
      <w:r w:rsidRPr="00BB6220">
        <w:t>efforts</w:t>
      </w:r>
      <w:r w:rsidR="003D640C">
        <w:t xml:space="preserve"> </w:t>
      </w:r>
      <w:r w:rsidR="00F0245A" w:rsidRPr="00BB6220">
        <w:t>inflict</w:t>
      </w:r>
      <w:r w:rsidR="003D640C">
        <w:t xml:space="preserve"> </w:t>
      </w:r>
      <w:r w:rsidR="00F0245A" w:rsidRPr="00BB6220">
        <w:t>harm</w:t>
      </w:r>
      <w:r w:rsidR="00C50D94" w:rsidRPr="00BB6220">
        <w:t>,</w:t>
      </w:r>
      <w:r w:rsidR="003D640C">
        <w:t xml:space="preserve"> </w:t>
      </w:r>
      <w:r w:rsidR="00487149" w:rsidRPr="00BB6220">
        <w:t>often</w:t>
      </w:r>
      <w:r w:rsidR="003D640C">
        <w:t xml:space="preserve"> </w:t>
      </w:r>
      <w:r w:rsidR="00C50D94" w:rsidRPr="00BB6220">
        <w:t>prompting</w:t>
      </w:r>
      <w:r w:rsidR="003D640C">
        <w:t xml:space="preserve"> </w:t>
      </w:r>
      <w:r w:rsidRPr="00BB6220">
        <w:t>the</w:t>
      </w:r>
      <w:r w:rsidR="003D640C">
        <w:t xml:space="preserve"> </w:t>
      </w:r>
      <w:r w:rsidR="00C50D94" w:rsidRPr="00BB6220">
        <w:t>individual</w:t>
      </w:r>
      <w:r w:rsidR="003D640C">
        <w:t xml:space="preserve"> </w:t>
      </w:r>
      <w:r w:rsidRPr="00BB6220">
        <w:t>to</w:t>
      </w:r>
      <w:r w:rsidR="003D640C">
        <w:t xml:space="preserve"> </w:t>
      </w:r>
      <w:r w:rsidRPr="00BB6220">
        <w:t>try</w:t>
      </w:r>
      <w:r w:rsidR="003D640C">
        <w:t xml:space="preserve"> </w:t>
      </w:r>
      <w:r w:rsidR="3CC65001" w:rsidRPr="00BB6220">
        <w:t>to</w:t>
      </w:r>
      <w:r w:rsidR="003D640C">
        <w:t xml:space="preserve"> </w:t>
      </w:r>
      <w:r w:rsidR="00C50D94" w:rsidRPr="00BB6220">
        <w:t>alleviate</w:t>
      </w:r>
      <w:r w:rsidR="003D640C">
        <w:t xml:space="preserve"> </w:t>
      </w:r>
      <w:r w:rsidRPr="00BB6220">
        <w:t>their</w:t>
      </w:r>
      <w:r w:rsidR="003D640C">
        <w:t xml:space="preserve"> </w:t>
      </w:r>
      <w:r w:rsidRPr="00BB6220">
        <w:t>distress</w:t>
      </w:r>
      <w:r w:rsidR="00C50D94" w:rsidRPr="00BB6220">
        <w:t>.</w:t>
      </w:r>
      <w:r w:rsidR="003D640C">
        <w:t xml:space="preserve"> </w:t>
      </w:r>
      <w:r w:rsidR="00412E3A" w:rsidRPr="00BB6220">
        <w:t>Attempts</w:t>
      </w:r>
      <w:r w:rsidR="003D640C">
        <w:t xml:space="preserve"> </w:t>
      </w:r>
      <w:r w:rsidR="00412E3A" w:rsidRPr="00BB6220">
        <w:t>to</w:t>
      </w:r>
      <w:r w:rsidR="003D640C">
        <w:t xml:space="preserve"> </w:t>
      </w:r>
      <w:r w:rsidR="00E61461" w:rsidRPr="00BB6220">
        <w:t>minimise</w:t>
      </w:r>
      <w:r w:rsidR="003D640C">
        <w:t xml:space="preserve"> </w:t>
      </w:r>
      <w:r w:rsidR="00E61461" w:rsidRPr="00BB6220">
        <w:t>distress</w:t>
      </w:r>
      <w:r w:rsidR="003D640C">
        <w:t xml:space="preserve"> </w:t>
      </w:r>
      <w:r w:rsidR="00487149" w:rsidRPr="00BB6220">
        <w:t>can</w:t>
      </w:r>
      <w:r w:rsidR="003D640C">
        <w:t xml:space="preserve"> </w:t>
      </w:r>
      <w:r w:rsidR="00E61461" w:rsidRPr="00BB6220">
        <w:t>include</w:t>
      </w:r>
      <w:r w:rsidR="003D640C">
        <w:t xml:space="preserve"> </w:t>
      </w:r>
      <w:r w:rsidR="006C2535" w:rsidRPr="00BB6220">
        <w:t>personal</w:t>
      </w:r>
      <w:r w:rsidR="003D640C">
        <w:t xml:space="preserve"> </w:t>
      </w:r>
      <w:r w:rsidR="006C2535" w:rsidRPr="00BB6220">
        <w:t>efforts</w:t>
      </w:r>
      <w:r w:rsidR="003D640C">
        <w:t xml:space="preserve"> </w:t>
      </w:r>
      <w:r w:rsidR="006C2535" w:rsidRPr="00BB6220">
        <w:t>to</w:t>
      </w:r>
      <w:r w:rsidR="003D640C">
        <w:t xml:space="preserve"> </w:t>
      </w:r>
      <w:r w:rsidR="006C2535" w:rsidRPr="00BB6220">
        <w:t>suppress</w:t>
      </w:r>
      <w:r w:rsidR="003D640C">
        <w:t xml:space="preserve"> </w:t>
      </w:r>
      <w:r w:rsidRPr="00BB6220">
        <w:t>their</w:t>
      </w:r>
      <w:r w:rsidR="003D640C">
        <w:t xml:space="preserve"> </w:t>
      </w:r>
      <w:r w:rsidRPr="00BB6220">
        <w:t>identity</w:t>
      </w:r>
      <w:r w:rsidR="003D640C">
        <w:t xml:space="preserve"> </w:t>
      </w:r>
      <w:r w:rsidR="00171527" w:rsidRPr="00BB6220">
        <w:t>while</w:t>
      </w:r>
      <w:r w:rsidR="003D640C">
        <w:t xml:space="preserve"> </w:t>
      </w:r>
      <w:r w:rsidR="00171527" w:rsidRPr="00BB6220">
        <w:t>at</w:t>
      </w:r>
      <w:r w:rsidR="003D640C">
        <w:t xml:space="preserve"> </w:t>
      </w:r>
      <w:r w:rsidR="00171527" w:rsidRPr="00BB6220">
        <w:t>the</w:t>
      </w:r>
      <w:r w:rsidR="003D640C">
        <w:t xml:space="preserve"> </w:t>
      </w:r>
      <w:r w:rsidR="00171527" w:rsidRPr="00BB6220">
        <w:t>same</w:t>
      </w:r>
      <w:r w:rsidR="003D640C">
        <w:t xml:space="preserve"> </w:t>
      </w:r>
      <w:r w:rsidR="00171527" w:rsidRPr="00BB6220">
        <w:t>time</w:t>
      </w:r>
      <w:r w:rsidR="003D640C">
        <w:t xml:space="preserve"> </w:t>
      </w:r>
      <w:r w:rsidR="00E46911">
        <w:t>withdrawing</w:t>
      </w:r>
      <w:r w:rsidR="003D640C">
        <w:t xml:space="preserve"> </w:t>
      </w:r>
      <w:r w:rsidR="00E46911">
        <w:t>from</w:t>
      </w:r>
      <w:r w:rsidR="003D640C">
        <w:t xml:space="preserve"> </w:t>
      </w:r>
      <w:r w:rsidR="00E46911">
        <w:t>those</w:t>
      </w:r>
      <w:r w:rsidR="003D640C">
        <w:t xml:space="preserve"> </w:t>
      </w:r>
      <w:r w:rsidR="00E46911">
        <w:t>suggesting</w:t>
      </w:r>
      <w:r w:rsidR="003D640C">
        <w:t xml:space="preserve"> </w:t>
      </w:r>
      <w:r w:rsidR="00E46911">
        <w:t>conversion</w:t>
      </w:r>
      <w:r w:rsidR="003D640C">
        <w:t xml:space="preserve"> </w:t>
      </w:r>
      <w:r w:rsidR="00E46911">
        <w:t>practices.</w:t>
      </w:r>
    </w:p>
    <w:p w14:paraId="3EBCFB3D" w14:textId="23EE56DE" w:rsidR="00D527F0" w:rsidRPr="00BB6220" w:rsidRDefault="00D527F0" w:rsidP="009500DE">
      <w:r w:rsidRPr="00BB6220">
        <w:lastRenderedPageBreak/>
        <w:t>Even</w:t>
      </w:r>
      <w:r w:rsidR="003D640C">
        <w:t xml:space="preserve"> </w:t>
      </w:r>
      <w:r w:rsidR="00125AED" w:rsidRPr="00BB6220">
        <w:t>when</w:t>
      </w:r>
      <w:r w:rsidR="003D640C">
        <w:t xml:space="preserve"> </w:t>
      </w:r>
      <w:r w:rsidR="00436F8C" w:rsidRPr="00BB6220">
        <w:t>someone</w:t>
      </w:r>
      <w:r w:rsidR="003D640C">
        <w:t xml:space="preserve"> </w:t>
      </w:r>
      <w:r w:rsidR="00436F8C" w:rsidRPr="00BB6220">
        <w:t>disengages</w:t>
      </w:r>
      <w:r w:rsidR="003D640C">
        <w:t xml:space="preserve"> </w:t>
      </w:r>
      <w:r w:rsidR="00436F8C" w:rsidRPr="00BB6220">
        <w:t>from</w:t>
      </w:r>
      <w:r w:rsidR="003D640C">
        <w:t xml:space="preserve"> </w:t>
      </w:r>
      <w:r w:rsidR="00125AED" w:rsidRPr="00BB6220">
        <w:t>conversion</w:t>
      </w:r>
      <w:r w:rsidR="003D640C">
        <w:t xml:space="preserve"> </w:t>
      </w:r>
      <w:r w:rsidRPr="00BB6220">
        <w:t>practices</w:t>
      </w:r>
      <w:r w:rsidR="00125AED" w:rsidRPr="00BB6220">
        <w:t>,</w:t>
      </w:r>
      <w:r w:rsidR="003D640C">
        <w:t xml:space="preserve"> </w:t>
      </w:r>
      <w:r w:rsidR="00125AED" w:rsidRPr="00BB6220">
        <w:t>the</w:t>
      </w:r>
      <w:r w:rsidR="003D640C">
        <w:t xml:space="preserve"> </w:t>
      </w:r>
      <w:r w:rsidR="00125AED" w:rsidRPr="00BB6220">
        <w:t>internal</w:t>
      </w:r>
      <w:r w:rsidR="003D640C">
        <w:t xml:space="preserve"> </w:t>
      </w:r>
      <w:r w:rsidR="00125AED" w:rsidRPr="00BB6220">
        <w:t>conflict</w:t>
      </w:r>
      <w:r w:rsidR="003D640C">
        <w:t xml:space="preserve"> </w:t>
      </w:r>
      <w:r w:rsidRPr="00BB6220">
        <w:t>between</w:t>
      </w:r>
      <w:r w:rsidR="003D640C">
        <w:t xml:space="preserve"> </w:t>
      </w:r>
      <w:r w:rsidRPr="00BB6220">
        <w:t>their</w:t>
      </w:r>
      <w:r w:rsidR="003D640C">
        <w:t xml:space="preserve"> </w:t>
      </w:r>
      <w:r w:rsidRPr="00BB6220">
        <w:t>identity</w:t>
      </w:r>
      <w:r w:rsidR="003D640C">
        <w:t xml:space="preserve"> </w:t>
      </w:r>
      <w:r w:rsidRPr="00BB6220">
        <w:t>and</w:t>
      </w:r>
      <w:r w:rsidR="003D640C">
        <w:t xml:space="preserve"> </w:t>
      </w:r>
      <w:r w:rsidR="00125AED" w:rsidRPr="00BB6220">
        <w:t>the</w:t>
      </w:r>
      <w:r w:rsidR="003D640C">
        <w:t xml:space="preserve"> </w:t>
      </w:r>
      <w:r w:rsidR="00125AED" w:rsidRPr="00BB6220">
        <w:t>surrounding</w:t>
      </w:r>
      <w:r w:rsidR="003D640C">
        <w:t xml:space="preserve"> </w:t>
      </w:r>
      <w:r w:rsidRPr="00BB6220">
        <w:t>environment</w:t>
      </w:r>
      <w:r w:rsidR="003D640C">
        <w:t xml:space="preserve"> </w:t>
      </w:r>
      <w:r w:rsidR="00125AED" w:rsidRPr="00BB6220">
        <w:t>persist</w:t>
      </w:r>
      <w:r w:rsidR="00665674" w:rsidRPr="00BB6220">
        <w:t>s</w:t>
      </w:r>
      <w:r w:rsidR="00125AED" w:rsidRPr="00BB6220">
        <w:t>.</w:t>
      </w:r>
      <w:r w:rsidR="003D640C">
        <w:t xml:space="preserve"> </w:t>
      </w:r>
      <w:r w:rsidRPr="00BB6220">
        <w:t>It</w:t>
      </w:r>
      <w:r w:rsidR="003D640C">
        <w:t xml:space="preserve"> </w:t>
      </w:r>
      <w:r w:rsidRPr="00BB6220">
        <w:t>is</w:t>
      </w:r>
      <w:r w:rsidR="003D640C">
        <w:t xml:space="preserve"> </w:t>
      </w:r>
      <w:r w:rsidR="00125AED" w:rsidRPr="00BB6220">
        <w:t>not</w:t>
      </w:r>
      <w:r w:rsidR="003D640C">
        <w:t xml:space="preserve"> </w:t>
      </w:r>
      <w:r w:rsidR="00125AED" w:rsidRPr="00BB6220">
        <w:t>uncommon</w:t>
      </w:r>
      <w:r w:rsidR="003D640C">
        <w:t xml:space="preserve"> </w:t>
      </w:r>
      <w:r w:rsidRPr="00BB6220" w:rsidDel="00A32D2C">
        <w:t>for</w:t>
      </w:r>
      <w:r w:rsidR="003D640C">
        <w:t xml:space="preserve"> </w:t>
      </w:r>
      <w:r w:rsidRPr="00BB6220">
        <w:t>people</w:t>
      </w:r>
      <w:r w:rsidR="003D640C">
        <w:t xml:space="preserve"> </w:t>
      </w:r>
      <w:r w:rsidRPr="00BB6220">
        <w:t>to</w:t>
      </w:r>
      <w:r w:rsidR="003D640C">
        <w:t xml:space="preserve"> </w:t>
      </w:r>
      <w:r w:rsidR="00125AED" w:rsidRPr="00BB6220">
        <w:t>relapse</w:t>
      </w:r>
      <w:r w:rsidR="003D640C">
        <w:t xml:space="preserve"> </w:t>
      </w:r>
      <w:r w:rsidR="00125AED" w:rsidRPr="00BB6220">
        <w:t>into</w:t>
      </w:r>
      <w:r w:rsidR="003D640C">
        <w:t xml:space="preserve"> </w:t>
      </w:r>
      <w:r w:rsidRPr="00BB6220">
        <w:t>conversion</w:t>
      </w:r>
      <w:r w:rsidR="003D640C">
        <w:t xml:space="preserve"> </w:t>
      </w:r>
      <w:r w:rsidRPr="00BB6220">
        <w:t>practices</w:t>
      </w:r>
      <w:r w:rsidR="003D640C">
        <w:t xml:space="preserve"> </w:t>
      </w:r>
      <w:r w:rsidR="001C68A0" w:rsidRPr="00BB6220">
        <w:t>either</w:t>
      </w:r>
      <w:r w:rsidR="003D640C">
        <w:t xml:space="preserve"> </w:t>
      </w:r>
      <w:r w:rsidR="001C68A0" w:rsidRPr="00BB6220">
        <w:t>because</w:t>
      </w:r>
      <w:r w:rsidR="003D640C">
        <w:t xml:space="preserve"> </w:t>
      </w:r>
      <w:r w:rsidR="001C68A0" w:rsidRPr="00BB6220">
        <w:t>of</w:t>
      </w:r>
      <w:r w:rsidR="003D640C">
        <w:t xml:space="preserve"> </w:t>
      </w:r>
      <w:r w:rsidR="001C68A0" w:rsidRPr="00BB6220">
        <w:t>external</w:t>
      </w:r>
      <w:r w:rsidR="003D640C">
        <w:t xml:space="preserve"> </w:t>
      </w:r>
      <w:r w:rsidR="001C68A0" w:rsidRPr="00BB6220">
        <w:t>pressure</w:t>
      </w:r>
      <w:r w:rsidR="003D640C">
        <w:t xml:space="preserve"> </w:t>
      </w:r>
      <w:r w:rsidR="001C68A0" w:rsidRPr="00BB6220">
        <w:t>or</w:t>
      </w:r>
      <w:r w:rsidR="003D640C">
        <w:t xml:space="preserve"> </w:t>
      </w:r>
      <w:r w:rsidR="001D48C2">
        <w:t>because</w:t>
      </w:r>
      <w:r w:rsidR="003D640C">
        <w:t xml:space="preserve"> </w:t>
      </w:r>
      <w:r w:rsidR="00E7437D">
        <w:t>they</w:t>
      </w:r>
      <w:r w:rsidR="003D640C">
        <w:t xml:space="preserve"> </w:t>
      </w:r>
      <w:r w:rsidR="00E7437D">
        <w:t>rely</w:t>
      </w:r>
      <w:r w:rsidR="003D640C">
        <w:t xml:space="preserve"> </w:t>
      </w:r>
      <w:r w:rsidR="00E7437D">
        <w:t>on</w:t>
      </w:r>
      <w:r w:rsidR="003D640C">
        <w:t xml:space="preserve"> </w:t>
      </w:r>
      <w:r w:rsidR="00E7437D">
        <w:t>the</w:t>
      </w:r>
      <w:r w:rsidR="003D640C">
        <w:t xml:space="preserve"> </w:t>
      </w:r>
      <w:r w:rsidR="001E5BCE">
        <w:t>sense</w:t>
      </w:r>
      <w:r w:rsidR="003D640C">
        <w:t xml:space="preserve"> </w:t>
      </w:r>
      <w:r w:rsidR="001E5BCE">
        <w:t>of</w:t>
      </w:r>
      <w:r w:rsidR="003D640C">
        <w:t xml:space="preserve"> </w:t>
      </w:r>
      <w:r w:rsidR="001E5BCE">
        <w:t>belonging</w:t>
      </w:r>
      <w:r w:rsidR="003D640C">
        <w:t xml:space="preserve"> </w:t>
      </w:r>
      <w:r w:rsidR="001E5BCE">
        <w:t>to</w:t>
      </w:r>
      <w:r w:rsidR="003D640C">
        <w:t xml:space="preserve"> </w:t>
      </w:r>
      <w:r w:rsidR="000103C0">
        <w:t>a</w:t>
      </w:r>
      <w:r w:rsidR="003D640C">
        <w:t xml:space="preserve"> </w:t>
      </w:r>
      <w:r w:rsidR="001E5BCE">
        <w:t>group</w:t>
      </w:r>
      <w:r w:rsidR="003D640C">
        <w:t xml:space="preserve"> </w:t>
      </w:r>
      <w:r w:rsidR="00E81E64">
        <w:t>even</w:t>
      </w:r>
      <w:r w:rsidR="003D640C">
        <w:t xml:space="preserve"> </w:t>
      </w:r>
      <w:r w:rsidR="00E81E64">
        <w:t>if</w:t>
      </w:r>
      <w:r w:rsidR="003D640C">
        <w:t xml:space="preserve"> </w:t>
      </w:r>
      <w:r w:rsidR="00E81E64">
        <w:t>this</w:t>
      </w:r>
      <w:r w:rsidR="003D640C">
        <w:t xml:space="preserve"> </w:t>
      </w:r>
      <w:r w:rsidR="00E81E64">
        <w:t>group</w:t>
      </w:r>
      <w:r w:rsidR="003D640C">
        <w:t xml:space="preserve"> </w:t>
      </w:r>
      <w:r w:rsidR="00A54A1D">
        <w:t>encourages</w:t>
      </w:r>
      <w:r w:rsidR="003D640C">
        <w:t xml:space="preserve"> </w:t>
      </w:r>
      <w:r w:rsidR="00A54A1D">
        <w:t>them</w:t>
      </w:r>
      <w:r w:rsidR="003D640C">
        <w:t xml:space="preserve"> </w:t>
      </w:r>
      <w:r w:rsidR="00A54A1D">
        <w:t>to</w:t>
      </w:r>
      <w:r w:rsidR="003D640C">
        <w:t xml:space="preserve"> </w:t>
      </w:r>
      <w:r w:rsidR="00A54A1D">
        <w:t>suppress</w:t>
      </w:r>
      <w:r w:rsidR="003D640C">
        <w:t xml:space="preserve"> </w:t>
      </w:r>
      <w:r w:rsidR="00E81E64">
        <w:t>their</w:t>
      </w:r>
      <w:r w:rsidR="003D640C">
        <w:t xml:space="preserve"> </w:t>
      </w:r>
      <w:r w:rsidR="00E81E64">
        <w:t>sexuality</w:t>
      </w:r>
      <w:r w:rsidR="003D640C">
        <w:t xml:space="preserve"> </w:t>
      </w:r>
      <w:r w:rsidR="00E81E64">
        <w:t>and/or</w:t>
      </w:r>
      <w:r w:rsidR="003D640C">
        <w:t xml:space="preserve"> </w:t>
      </w:r>
      <w:r w:rsidR="00E81E64">
        <w:t>gender</w:t>
      </w:r>
      <w:r w:rsidR="003D640C">
        <w:t xml:space="preserve"> </w:t>
      </w:r>
      <w:r w:rsidR="00E81E64">
        <w:t>identity</w:t>
      </w:r>
      <w:r w:rsidR="003D640C">
        <w:t xml:space="preserve"> </w:t>
      </w:r>
      <w:r w:rsidR="00E81E64">
        <w:t>and</w:t>
      </w:r>
      <w:r w:rsidR="003D640C">
        <w:t xml:space="preserve"> </w:t>
      </w:r>
      <w:r w:rsidR="00E81E64">
        <w:t>expression</w:t>
      </w:r>
      <w:r w:rsidR="00E61461" w:rsidRPr="00BB6220">
        <w:t>.</w:t>
      </w:r>
      <w:r w:rsidR="003D640C">
        <w:t xml:space="preserve"> </w:t>
      </w:r>
      <w:r w:rsidR="00E61461" w:rsidRPr="00BB6220">
        <w:t>This</w:t>
      </w:r>
      <w:r w:rsidR="003D640C">
        <w:t xml:space="preserve"> </w:t>
      </w:r>
      <w:r w:rsidR="00125AED" w:rsidRPr="00BB6220">
        <w:t>lead</w:t>
      </w:r>
      <w:r w:rsidR="00E61461" w:rsidRPr="00BB6220">
        <w:t>s</w:t>
      </w:r>
      <w:r w:rsidR="003D640C">
        <w:t xml:space="preserve"> </w:t>
      </w:r>
      <w:r w:rsidR="00125AED" w:rsidRPr="00BB6220">
        <w:t>to</w:t>
      </w:r>
      <w:r w:rsidR="003D640C">
        <w:t xml:space="preserve"> </w:t>
      </w:r>
      <w:r w:rsidR="00125AED" w:rsidRPr="00BB6220">
        <w:t>a</w:t>
      </w:r>
      <w:r w:rsidR="003D640C">
        <w:t xml:space="preserve"> </w:t>
      </w:r>
      <w:r w:rsidR="00125AED" w:rsidRPr="00BB6220">
        <w:t>repetitive</w:t>
      </w:r>
      <w:r w:rsidR="003D640C">
        <w:t xml:space="preserve"> </w:t>
      </w:r>
      <w:r w:rsidRPr="00BB6220">
        <w:t>cycle</w:t>
      </w:r>
      <w:r w:rsidR="003D640C">
        <w:t xml:space="preserve"> </w:t>
      </w:r>
      <w:r w:rsidRPr="00BB6220">
        <w:t>of</w:t>
      </w:r>
      <w:r w:rsidR="003D640C">
        <w:t xml:space="preserve"> </w:t>
      </w:r>
      <w:r w:rsidR="00125AED" w:rsidRPr="00BB6220">
        <w:t>starting</w:t>
      </w:r>
      <w:r w:rsidR="003D640C">
        <w:t xml:space="preserve"> </w:t>
      </w:r>
      <w:r w:rsidR="00125AED" w:rsidRPr="00BB6220">
        <w:t>and</w:t>
      </w:r>
      <w:r w:rsidR="003D640C">
        <w:t xml:space="preserve"> </w:t>
      </w:r>
      <w:r w:rsidR="00125AED" w:rsidRPr="00BB6220">
        <w:t>stopping</w:t>
      </w:r>
      <w:r w:rsidR="003D640C">
        <w:t xml:space="preserve"> </w:t>
      </w:r>
      <w:r w:rsidR="00E61461" w:rsidRPr="00BB6220">
        <w:t>such</w:t>
      </w:r>
      <w:r w:rsidR="003D640C">
        <w:t xml:space="preserve"> </w:t>
      </w:r>
      <w:r w:rsidR="00E61461" w:rsidRPr="00BB6220">
        <w:t>practices</w:t>
      </w:r>
      <w:r w:rsidR="00125AED" w:rsidRPr="00BB6220">
        <w:t>,</w:t>
      </w:r>
      <w:r w:rsidR="003D640C">
        <w:t xml:space="preserve"> </w:t>
      </w:r>
      <w:r w:rsidR="00125AED" w:rsidRPr="00BB6220">
        <w:t>often</w:t>
      </w:r>
      <w:r w:rsidR="003D640C">
        <w:t xml:space="preserve"> </w:t>
      </w:r>
      <w:r w:rsidRPr="00BB6220">
        <w:t>with</w:t>
      </w:r>
      <w:r w:rsidR="003D640C">
        <w:t xml:space="preserve"> </w:t>
      </w:r>
      <w:r w:rsidR="00125AED" w:rsidRPr="00BB6220">
        <w:t>escalating</w:t>
      </w:r>
      <w:r w:rsidR="003D640C">
        <w:t xml:space="preserve"> </w:t>
      </w:r>
      <w:r w:rsidRPr="00BB6220">
        <w:t>intensity</w:t>
      </w:r>
      <w:r w:rsidR="003D640C">
        <w:t xml:space="preserve"> </w:t>
      </w:r>
      <w:r w:rsidR="00960579">
        <w:t>(</w:t>
      </w:r>
      <w:r w:rsidR="00A17714">
        <w:t>see</w:t>
      </w:r>
      <w:r w:rsidR="003D640C">
        <w:t xml:space="preserve"> </w:t>
      </w:r>
      <w:r w:rsidR="00960579">
        <w:t>Figure</w:t>
      </w:r>
      <w:r w:rsidR="003D640C">
        <w:t xml:space="preserve"> </w:t>
      </w:r>
      <w:r w:rsidR="00B950E6">
        <w:t>6</w:t>
      </w:r>
      <w:r w:rsidR="00960579">
        <w:t>)</w:t>
      </w:r>
      <w:r w:rsidRPr="00BB6220">
        <w:t>.</w:t>
      </w:r>
    </w:p>
    <w:p w14:paraId="23EB70DA" w14:textId="2E76C81D" w:rsidR="00A17714" w:rsidRPr="00BB6220" w:rsidRDefault="00FA4906" w:rsidP="00A17714">
      <w:r>
        <w:rPr>
          <w:noProof/>
          <w:sz w:val="16"/>
          <w:szCs w:val="16"/>
        </w:rPr>
        <w:drawing>
          <wp:inline distT="0" distB="0" distL="0" distR="0" wp14:anchorId="1DE7DCED" wp14:editId="1010309A">
            <wp:extent cx="5731510" cy="2080895"/>
            <wp:effectExtent l="0" t="0" r="2540" b="0"/>
            <wp:docPr id="970832168" name="Picture 4" descr="A diagram of a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32168" name="Picture 4" descr="A diagram of a cy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2080895"/>
                    </a:xfrm>
                    <a:prstGeom prst="rect">
                      <a:avLst/>
                    </a:prstGeom>
                  </pic:spPr>
                </pic:pic>
              </a:graphicData>
            </a:graphic>
          </wp:inline>
        </w:drawing>
      </w:r>
    </w:p>
    <w:p w14:paraId="1A5510B2" w14:textId="77777777" w:rsidR="00A17714" w:rsidRPr="00602E8F" w:rsidRDefault="00A17714" w:rsidP="00A17714">
      <w:pPr>
        <w:pStyle w:val="Caption"/>
      </w:pPr>
      <w:bookmarkStart w:id="182" w:name="_Toc174628733"/>
      <w:r w:rsidRPr="007B527F">
        <w:t>Figure</w:t>
      </w:r>
      <w:r>
        <w:t xml:space="preserve"> </w:t>
      </w:r>
      <w:r w:rsidRPr="007B527F">
        <w:fldChar w:fldCharType="begin"/>
      </w:r>
      <w:r w:rsidRPr="007B527F">
        <w:instrText xml:space="preserve"> SEQ Figure \* ARABIC </w:instrText>
      </w:r>
      <w:r w:rsidRPr="007B527F">
        <w:fldChar w:fldCharType="separate"/>
      </w:r>
      <w:r>
        <w:rPr>
          <w:noProof/>
        </w:rPr>
        <w:t>6</w:t>
      </w:r>
      <w:r w:rsidRPr="007B527F">
        <w:fldChar w:fldCharType="end"/>
      </w:r>
      <w:r w:rsidRPr="00602E8F">
        <w:t>:</w:t>
      </w:r>
      <w:r>
        <w:t xml:space="preserve"> </w:t>
      </w:r>
      <w:r w:rsidRPr="00602E8F">
        <w:t>The</w:t>
      </w:r>
      <w:r>
        <w:t xml:space="preserve"> </w:t>
      </w:r>
      <w:r w:rsidRPr="00602E8F">
        <w:t>life</w:t>
      </w:r>
      <w:r>
        <w:t xml:space="preserve"> </w:t>
      </w:r>
      <w:r w:rsidRPr="00602E8F">
        <w:t>cycle</w:t>
      </w:r>
      <w:r>
        <w:t xml:space="preserve"> </w:t>
      </w:r>
      <w:r w:rsidRPr="00602E8F">
        <w:t>of</w:t>
      </w:r>
      <w:r>
        <w:t xml:space="preserve"> </w:t>
      </w:r>
      <w:r w:rsidRPr="00602E8F">
        <w:t>repeated</w:t>
      </w:r>
      <w:r>
        <w:t xml:space="preserve"> </w:t>
      </w:r>
      <w:r w:rsidRPr="00602E8F">
        <w:t>conversion</w:t>
      </w:r>
      <w:r>
        <w:t xml:space="preserve"> </w:t>
      </w:r>
      <w:r w:rsidRPr="00602E8F">
        <w:t>practices</w:t>
      </w:r>
      <w:r>
        <w:t xml:space="preserve"> </w:t>
      </w:r>
      <w:r w:rsidRPr="00602E8F">
        <w:t>until</w:t>
      </w:r>
      <w:r>
        <w:t xml:space="preserve"> </w:t>
      </w:r>
      <w:r w:rsidRPr="00602E8F">
        <w:t>the</w:t>
      </w:r>
      <w:r>
        <w:t xml:space="preserve"> </w:t>
      </w:r>
      <w:r w:rsidRPr="00602E8F">
        <w:t>survivor</w:t>
      </w:r>
      <w:r>
        <w:t xml:space="preserve"> </w:t>
      </w:r>
      <w:r w:rsidRPr="00602E8F">
        <w:t>exits</w:t>
      </w:r>
      <w:r>
        <w:t>.</w:t>
      </w:r>
      <w:bookmarkEnd w:id="182"/>
    </w:p>
    <w:p w14:paraId="32E7C838" w14:textId="3A171D26" w:rsidR="00501068" w:rsidRDefault="00E04198" w:rsidP="009500DE">
      <w:r w:rsidRPr="00BB6220">
        <w:t>The</w:t>
      </w:r>
      <w:r w:rsidR="003D640C">
        <w:t xml:space="preserve"> </w:t>
      </w:r>
      <w:r w:rsidRPr="00BB6220">
        <w:t>evidence</w:t>
      </w:r>
      <w:r w:rsidR="003D640C">
        <w:t xml:space="preserve"> </w:t>
      </w:r>
      <w:r w:rsidRPr="00BB6220">
        <w:t>base</w:t>
      </w:r>
      <w:r w:rsidR="003D640C">
        <w:t xml:space="preserve"> </w:t>
      </w:r>
      <w:r w:rsidRPr="00BB6220">
        <w:t>is</w:t>
      </w:r>
      <w:r w:rsidR="003D640C">
        <w:t xml:space="preserve"> </w:t>
      </w:r>
      <w:r w:rsidRPr="00BB6220">
        <w:t>un</w:t>
      </w:r>
      <w:r w:rsidR="00960579">
        <w:t>eq</w:t>
      </w:r>
      <w:r w:rsidRPr="00BB6220">
        <w:t>uivocal</w:t>
      </w:r>
      <w:r w:rsidR="003D640C">
        <w:t xml:space="preserve"> </w:t>
      </w:r>
      <w:r w:rsidRPr="00BB6220">
        <w:t>–</w:t>
      </w:r>
      <w:r w:rsidR="003D640C">
        <w:t xml:space="preserve"> </w:t>
      </w:r>
      <w:r w:rsidRPr="00BB6220">
        <w:t>c</w:t>
      </w:r>
      <w:r w:rsidR="00D527F0" w:rsidRPr="00BB6220">
        <w:t>hanging</w:t>
      </w:r>
      <w:r w:rsidR="003D640C">
        <w:t xml:space="preserve"> </w:t>
      </w:r>
      <w:r w:rsidR="00D527F0" w:rsidRPr="00BB6220">
        <w:t>sexual</w:t>
      </w:r>
      <w:r w:rsidR="003D640C">
        <w:t xml:space="preserve"> </w:t>
      </w:r>
      <w:r w:rsidR="00D527F0" w:rsidRPr="00BB6220">
        <w:t>orientation</w:t>
      </w:r>
      <w:r w:rsidR="003D640C">
        <w:t xml:space="preserve"> </w:t>
      </w:r>
      <w:r w:rsidR="00D527F0" w:rsidRPr="00BB6220">
        <w:t>or</w:t>
      </w:r>
      <w:r w:rsidR="003D640C">
        <w:t xml:space="preserve"> </w:t>
      </w:r>
      <w:r w:rsidR="00D527F0" w:rsidRPr="00BB6220">
        <w:t>gender</w:t>
      </w:r>
      <w:r w:rsidR="003D640C">
        <w:t xml:space="preserve"> </w:t>
      </w:r>
      <w:r w:rsidR="00D527F0" w:rsidRPr="00BB6220">
        <w:t>identity</w:t>
      </w:r>
      <w:r w:rsidR="003D640C">
        <w:t xml:space="preserve"> </w:t>
      </w:r>
      <w:r w:rsidR="00D527F0" w:rsidRPr="00BB6220">
        <w:t>is</w:t>
      </w:r>
      <w:r w:rsidR="003D640C">
        <w:t xml:space="preserve"> </w:t>
      </w:r>
      <w:r w:rsidR="00D527F0" w:rsidRPr="00BB6220">
        <w:t>impossible</w:t>
      </w:r>
      <w:r w:rsidR="0032545B" w:rsidRPr="00BB6220">
        <w:t>.</w:t>
      </w:r>
      <w:r w:rsidR="003D640C">
        <w:t xml:space="preserve"> </w:t>
      </w:r>
      <w:r w:rsidR="00D527F0" w:rsidRPr="00BB6220">
        <w:t>Any</w:t>
      </w:r>
      <w:r w:rsidR="003D640C">
        <w:t xml:space="preserve"> </w:t>
      </w:r>
      <w:r w:rsidR="00D527F0" w:rsidRPr="00BB6220">
        <w:t>external</w:t>
      </w:r>
      <w:r w:rsidR="003D640C">
        <w:t xml:space="preserve"> </w:t>
      </w:r>
      <w:r w:rsidR="00D527F0" w:rsidRPr="00BB6220">
        <w:t>observation</w:t>
      </w:r>
      <w:r w:rsidR="003D640C">
        <w:t xml:space="preserve"> </w:t>
      </w:r>
      <w:r w:rsidR="00D527F0" w:rsidRPr="00BB6220">
        <w:t>that</w:t>
      </w:r>
      <w:r w:rsidR="003D640C">
        <w:t xml:space="preserve"> </w:t>
      </w:r>
      <w:r w:rsidR="00D527F0" w:rsidRPr="00BB6220">
        <w:t>a</w:t>
      </w:r>
      <w:r w:rsidR="003D640C">
        <w:t xml:space="preserve"> </w:t>
      </w:r>
      <w:r w:rsidR="00D527F0" w:rsidRPr="00BB6220">
        <w:t>person</w:t>
      </w:r>
      <w:r w:rsidR="003D640C">
        <w:t xml:space="preserve"> </w:t>
      </w:r>
      <w:r w:rsidR="00D527F0" w:rsidRPr="00BB6220">
        <w:t>has</w:t>
      </w:r>
      <w:r w:rsidR="003D640C">
        <w:t xml:space="preserve"> </w:t>
      </w:r>
      <w:r w:rsidR="00D527F0" w:rsidRPr="00BB6220">
        <w:t>become</w:t>
      </w:r>
      <w:r w:rsidR="003D640C">
        <w:t xml:space="preserve"> </w:t>
      </w:r>
      <w:r w:rsidR="00D527F0" w:rsidRPr="00BB6220">
        <w:t>more</w:t>
      </w:r>
      <w:r w:rsidR="003D640C">
        <w:t xml:space="preserve"> </w:t>
      </w:r>
      <w:r w:rsidR="00D527F0" w:rsidRPr="00BB6220">
        <w:t>heterosexual</w:t>
      </w:r>
      <w:r w:rsidR="003D640C">
        <w:t xml:space="preserve"> </w:t>
      </w:r>
      <w:r w:rsidR="00D527F0" w:rsidRPr="00BB6220" w:rsidDel="00DB5581">
        <w:t>or</w:t>
      </w:r>
      <w:r w:rsidR="003D640C">
        <w:t xml:space="preserve"> </w:t>
      </w:r>
      <w:r w:rsidR="00D527F0" w:rsidRPr="00BB6220">
        <w:t>cisgender</w:t>
      </w:r>
      <w:r w:rsidR="003D640C">
        <w:t xml:space="preserve"> </w:t>
      </w:r>
      <w:r w:rsidR="00D527F0" w:rsidRPr="00BB6220">
        <w:t>or</w:t>
      </w:r>
      <w:r w:rsidR="003D640C">
        <w:t xml:space="preserve"> </w:t>
      </w:r>
      <w:r w:rsidR="007F7E51" w:rsidRPr="00BB6220">
        <w:t>an</w:t>
      </w:r>
      <w:r w:rsidR="003D640C">
        <w:t xml:space="preserve"> </w:t>
      </w:r>
      <w:r w:rsidR="00D527F0" w:rsidRPr="00BB6220">
        <w:t>individual</w:t>
      </w:r>
      <w:r w:rsidR="003D640C">
        <w:t xml:space="preserve"> </w:t>
      </w:r>
      <w:r w:rsidR="00E61461" w:rsidRPr="00BB6220">
        <w:t>has</w:t>
      </w:r>
      <w:r w:rsidR="003D640C">
        <w:t xml:space="preserve"> </w:t>
      </w:r>
      <w:r w:rsidR="007F7E51" w:rsidRPr="00BB6220">
        <w:t>decreased</w:t>
      </w:r>
      <w:r w:rsidR="003D640C">
        <w:t xml:space="preserve"> </w:t>
      </w:r>
      <w:r w:rsidR="00E61461" w:rsidRPr="00BB6220">
        <w:t>their</w:t>
      </w:r>
      <w:r w:rsidR="003D640C">
        <w:t xml:space="preserve"> </w:t>
      </w:r>
      <w:r w:rsidR="00D527F0" w:rsidRPr="00BB6220">
        <w:t>desire</w:t>
      </w:r>
      <w:r w:rsidR="003D640C">
        <w:t xml:space="preserve"> </w:t>
      </w:r>
      <w:r w:rsidR="00D527F0" w:rsidRPr="00BB6220">
        <w:t>to</w:t>
      </w:r>
      <w:r w:rsidR="003D640C">
        <w:t xml:space="preserve"> </w:t>
      </w:r>
      <w:r w:rsidR="00D527F0" w:rsidRPr="00BB6220">
        <w:t>express</w:t>
      </w:r>
      <w:r w:rsidR="003D640C">
        <w:t xml:space="preserve"> </w:t>
      </w:r>
      <w:r w:rsidR="00D527F0" w:rsidRPr="00BB6220">
        <w:t>their</w:t>
      </w:r>
      <w:r w:rsidR="003D640C">
        <w:t xml:space="preserve"> </w:t>
      </w:r>
      <w:r w:rsidR="00E61461" w:rsidRPr="00BB6220">
        <w:t>Rainbow</w:t>
      </w:r>
      <w:r w:rsidR="003D640C">
        <w:t xml:space="preserve"> </w:t>
      </w:r>
      <w:r w:rsidR="00D527F0" w:rsidRPr="00BB6220">
        <w:t>identity</w:t>
      </w:r>
      <w:r w:rsidR="003D640C">
        <w:t xml:space="preserve"> </w:t>
      </w:r>
      <w:r w:rsidR="009B3A23">
        <w:t>is</w:t>
      </w:r>
      <w:r w:rsidR="003D640C">
        <w:t xml:space="preserve"> </w:t>
      </w:r>
      <w:r w:rsidR="00D527F0" w:rsidRPr="00BB6220">
        <w:t>always</w:t>
      </w:r>
      <w:r w:rsidR="003D640C">
        <w:t xml:space="preserve"> </w:t>
      </w:r>
      <w:r w:rsidR="00D527F0" w:rsidRPr="00BB6220">
        <w:t>temporary.</w:t>
      </w:r>
      <w:r w:rsidR="00D527F0" w:rsidRPr="00BB6220">
        <w:rPr>
          <w:rStyle w:val="FootnoteReference"/>
        </w:rPr>
        <w:footnoteReference w:id="115"/>
      </w:r>
      <w:r w:rsidR="003D640C">
        <w:t xml:space="preserve"> </w:t>
      </w:r>
      <w:r w:rsidR="00D527F0" w:rsidRPr="00BB6220">
        <w:t>There</w:t>
      </w:r>
      <w:r w:rsidR="003D640C">
        <w:t xml:space="preserve"> </w:t>
      </w:r>
      <w:r w:rsidR="00D527F0" w:rsidRPr="00BB6220">
        <w:t>is</w:t>
      </w:r>
      <w:r w:rsidR="003D640C">
        <w:t xml:space="preserve"> </w:t>
      </w:r>
      <w:r w:rsidR="00D527F0" w:rsidRPr="00BB6220">
        <w:t>no</w:t>
      </w:r>
      <w:r w:rsidR="003D640C">
        <w:t xml:space="preserve"> </w:t>
      </w:r>
      <w:r w:rsidR="00D527F0" w:rsidRPr="00BB6220">
        <w:t>peer-reviewed</w:t>
      </w:r>
      <w:r w:rsidR="003D640C">
        <w:t xml:space="preserve"> </w:t>
      </w:r>
      <w:r w:rsidR="00D527F0" w:rsidRPr="00BB6220">
        <w:t>evidence</w:t>
      </w:r>
      <w:r w:rsidR="003D640C">
        <w:t xml:space="preserve"> </w:t>
      </w:r>
      <w:r w:rsidR="00D527F0" w:rsidRPr="00BB6220">
        <w:t>demonstrating</w:t>
      </w:r>
      <w:r w:rsidR="003D640C">
        <w:t xml:space="preserve"> </w:t>
      </w:r>
      <w:r w:rsidR="00380870" w:rsidRPr="00BB6220">
        <w:t>that</w:t>
      </w:r>
      <w:r w:rsidR="003D640C">
        <w:t xml:space="preserve"> </w:t>
      </w:r>
      <w:r w:rsidR="00D23C8C">
        <w:t>permanent</w:t>
      </w:r>
      <w:r w:rsidR="003D640C">
        <w:t xml:space="preserve"> </w:t>
      </w:r>
      <w:r w:rsidR="00380870" w:rsidRPr="00BB6220">
        <w:t>suppression</w:t>
      </w:r>
      <w:r w:rsidR="003D640C">
        <w:t xml:space="preserve"> </w:t>
      </w:r>
      <w:r w:rsidR="00380870" w:rsidRPr="00BB6220">
        <w:t>or</w:t>
      </w:r>
      <w:r w:rsidR="003D640C">
        <w:t xml:space="preserve"> </w:t>
      </w:r>
      <w:r w:rsidR="00D527F0" w:rsidRPr="00BB6220">
        <w:t>change</w:t>
      </w:r>
      <w:r w:rsidR="003D640C">
        <w:t xml:space="preserve"> </w:t>
      </w:r>
      <w:r w:rsidR="00D527F0" w:rsidRPr="00BB6220">
        <w:t>is</w:t>
      </w:r>
      <w:r w:rsidR="003D640C">
        <w:t xml:space="preserve"> </w:t>
      </w:r>
      <w:r w:rsidR="00D527F0" w:rsidRPr="00BB6220">
        <w:t>possible.</w:t>
      </w:r>
      <w:r w:rsidR="00D527F0" w:rsidRPr="00BB6220">
        <w:rPr>
          <w:rStyle w:val="FootnoteReference"/>
        </w:rPr>
        <w:footnoteReference w:id="116"/>
      </w:r>
      <w:r w:rsidR="003D640C">
        <w:rPr>
          <w:vertAlign w:val="superscript"/>
        </w:rPr>
        <w:t xml:space="preserve"> </w:t>
      </w:r>
      <w:r w:rsidR="00380990" w:rsidRPr="00BB6220">
        <w:t>It</w:t>
      </w:r>
      <w:r w:rsidR="003D640C">
        <w:t xml:space="preserve"> </w:t>
      </w:r>
      <w:r w:rsidR="00754C02" w:rsidRPr="00BB6220">
        <w:t>is</w:t>
      </w:r>
      <w:r w:rsidR="003D640C">
        <w:t xml:space="preserve"> </w:t>
      </w:r>
      <w:r w:rsidR="00754C02" w:rsidRPr="00BB6220">
        <w:t>w</w:t>
      </w:r>
      <w:r w:rsidR="00D527F0" w:rsidRPr="00BB6220">
        <w:t>hen</w:t>
      </w:r>
      <w:r w:rsidR="003D640C">
        <w:t xml:space="preserve"> </w:t>
      </w:r>
      <w:r w:rsidR="00D527F0" w:rsidRPr="00BB6220">
        <w:t>survivors</w:t>
      </w:r>
      <w:r w:rsidR="003D640C">
        <w:t xml:space="preserve"> </w:t>
      </w:r>
      <w:r w:rsidR="00D527F0" w:rsidRPr="00BB6220">
        <w:t>realise</w:t>
      </w:r>
      <w:r w:rsidR="003D640C">
        <w:t xml:space="preserve"> </w:t>
      </w:r>
      <w:r w:rsidR="003D08FC" w:rsidRPr="00BB6220">
        <w:t>the</w:t>
      </w:r>
      <w:r w:rsidR="003D640C">
        <w:t xml:space="preserve"> </w:t>
      </w:r>
      <w:r w:rsidR="003D08FC" w:rsidRPr="00BB6220">
        <w:t>impossibility</w:t>
      </w:r>
      <w:r w:rsidR="003D640C">
        <w:t xml:space="preserve"> </w:t>
      </w:r>
      <w:r w:rsidR="003D08FC" w:rsidRPr="00BB6220">
        <w:t>of</w:t>
      </w:r>
      <w:r w:rsidR="003D640C">
        <w:t xml:space="preserve"> </w:t>
      </w:r>
      <w:r w:rsidR="003D08FC" w:rsidRPr="00BB6220">
        <w:t>change</w:t>
      </w:r>
      <w:r w:rsidR="003D640C">
        <w:t xml:space="preserve"> </w:t>
      </w:r>
      <w:r w:rsidR="00754C02" w:rsidRPr="00BB6220">
        <w:t>that</w:t>
      </w:r>
      <w:r w:rsidR="003D640C">
        <w:t xml:space="preserve"> </w:t>
      </w:r>
      <w:r w:rsidR="00D527F0" w:rsidRPr="00BB6220">
        <w:t>they</w:t>
      </w:r>
      <w:r w:rsidR="003D640C">
        <w:t xml:space="preserve"> </w:t>
      </w:r>
      <w:r w:rsidR="00972935">
        <w:t>may</w:t>
      </w:r>
      <w:r w:rsidR="003D640C">
        <w:t xml:space="preserve"> </w:t>
      </w:r>
      <w:r w:rsidR="00754C02" w:rsidRPr="00BB6220">
        <w:t>exit</w:t>
      </w:r>
      <w:r w:rsidR="003D640C">
        <w:t xml:space="preserve"> </w:t>
      </w:r>
      <w:r w:rsidR="00D527F0" w:rsidRPr="00BB6220">
        <w:t>conversion</w:t>
      </w:r>
      <w:r w:rsidR="003D640C">
        <w:t xml:space="preserve"> </w:t>
      </w:r>
      <w:r w:rsidR="00D527F0" w:rsidRPr="00BB6220">
        <w:t>practices.</w:t>
      </w:r>
      <w:r w:rsidR="00D527F0" w:rsidRPr="00BB6220">
        <w:rPr>
          <w:rStyle w:val="FootnoteReference"/>
        </w:rPr>
        <w:footnoteReference w:id="117"/>
      </w:r>
    </w:p>
    <w:p w14:paraId="67F6C6FE" w14:textId="094C78B8" w:rsidR="00501068" w:rsidRDefault="00D527F0" w:rsidP="009500DE">
      <w:pPr>
        <w:pStyle w:val="Quote"/>
      </w:pPr>
      <w:r w:rsidRPr="00BB6220">
        <w:t>“In</w:t>
      </w:r>
      <w:r w:rsidR="003D640C">
        <w:t xml:space="preserve"> </w:t>
      </w:r>
      <w:r w:rsidRPr="00BB6220">
        <w:t>my</w:t>
      </w:r>
      <w:r w:rsidR="003D640C">
        <w:t xml:space="preserve"> </w:t>
      </w:r>
      <w:r w:rsidRPr="00BB6220">
        <w:t>years</w:t>
      </w:r>
      <w:r w:rsidR="003D640C">
        <w:t xml:space="preserve"> </w:t>
      </w:r>
      <w:r w:rsidRPr="00BB6220">
        <w:t>of</w:t>
      </w:r>
      <w:r w:rsidR="003D640C">
        <w:t xml:space="preserve"> </w:t>
      </w:r>
      <w:r w:rsidR="00E00C63" w:rsidRPr="00BB6220">
        <w:t>working</w:t>
      </w:r>
      <w:r w:rsidR="003D640C">
        <w:t xml:space="preserve"> </w:t>
      </w:r>
      <w:r w:rsidRPr="00BB6220">
        <w:t>as</w:t>
      </w:r>
      <w:r w:rsidR="003D640C">
        <w:t xml:space="preserve"> </w:t>
      </w:r>
      <w:r w:rsidRPr="00BB6220">
        <w:t>a</w:t>
      </w:r>
      <w:r w:rsidR="003D640C">
        <w:t xml:space="preserve"> </w:t>
      </w:r>
      <w:r w:rsidRPr="00BB6220">
        <w:t>conversion</w:t>
      </w:r>
      <w:r w:rsidR="003D640C">
        <w:t xml:space="preserve"> </w:t>
      </w:r>
      <w:r w:rsidRPr="00BB6220">
        <w:t>therapy</w:t>
      </w:r>
      <w:r w:rsidR="003D640C">
        <w:t xml:space="preserve"> </w:t>
      </w:r>
      <w:r w:rsidRPr="00BB6220">
        <w:t>leader</w:t>
      </w:r>
      <w:r w:rsidR="00A17714">
        <w:t>,</w:t>
      </w:r>
      <w:r w:rsidR="003D640C">
        <w:t xml:space="preserve"> </w:t>
      </w:r>
      <w:r w:rsidRPr="00BB6220">
        <w:t>I</w:t>
      </w:r>
      <w:r w:rsidR="003D640C">
        <w:t xml:space="preserve"> </w:t>
      </w:r>
      <w:r w:rsidRPr="00BB6220">
        <w:t>never</w:t>
      </w:r>
      <w:r w:rsidR="003D640C">
        <w:t xml:space="preserve"> </w:t>
      </w:r>
      <w:r w:rsidRPr="00BB6220">
        <w:t>met</w:t>
      </w:r>
      <w:r w:rsidR="003D640C">
        <w:t xml:space="preserve"> </w:t>
      </w:r>
      <w:r w:rsidRPr="00BB6220">
        <w:t>one</w:t>
      </w:r>
      <w:r w:rsidR="003D640C">
        <w:t xml:space="preserve"> </w:t>
      </w:r>
      <w:r w:rsidRPr="00BB6220">
        <w:t>person</w:t>
      </w:r>
      <w:r w:rsidR="003D640C">
        <w:t xml:space="preserve"> </w:t>
      </w:r>
      <w:r w:rsidRPr="00BB6220">
        <w:t>who</w:t>
      </w:r>
      <w:r w:rsidR="003D640C">
        <w:t xml:space="preserve"> </w:t>
      </w:r>
      <w:r w:rsidRPr="00BB6220">
        <w:t>could</w:t>
      </w:r>
      <w:r w:rsidR="003D640C">
        <w:t xml:space="preserve"> </w:t>
      </w:r>
      <w:r w:rsidRPr="00BB6220">
        <w:t>genuinely</w:t>
      </w:r>
      <w:r w:rsidR="003D640C">
        <w:t xml:space="preserve"> </w:t>
      </w:r>
      <w:r w:rsidRPr="00BB6220">
        <w:t>claim</w:t>
      </w:r>
      <w:r w:rsidR="003D640C">
        <w:t xml:space="preserve"> </w:t>
      </w:r>
      <w:r w:rsidRPr="00BB6220">
        <w:t>they</w:t>
      </w:r>
      <w:r w:rsidR="003D640C">
        <w:t xml:space="preserve"> </w:t>
      </w:r>
      <w:r w:rsidRPr="00BB6220">
        <w:t>had</w:t>
      </w:r>
      <w:r w:rsidR="003D640C">
        <w:t xml:space="preserve"> </w:t>
      </w:r>
      <w:r w:rsidRPr="00BB6220">
        <w:t>been</w:t>
      </w:r>
      <w:r w:rsidR="003D640C">
        <w:t xml:space="preserve"> </w:t>
      </w:r>
      <w:r w:rsidRPr="00BB6220">
        <w:t>converted</w:t>
      </w:r>
      <w:r w:rsidR="003D640C">
        <w:t xml:space="preserve"> </w:t>
      </w:r>
      <w:r w:rsidRPr="00BB6220">
        <w:t>to</w:t>
      </w:r>
      <w:r w:rsidR="003D640C">
        <w:t xml:space="preserve"> </w:t>
      </w:r>
      <w:r w:rsidRPr="00BB6220">
        <w:t>hetero</w:t>
      </w:r>
      <w:r w:rsidR="00404B18" w:rsidRPr="00BB6220">
        <w:t>sexual</w:t>
      </w:r>
      <w:r w:rsidR="003D640C">
        <w:t xml:space="preserve"> </w:t>
      </w:r>
      <w:r w:rsidR="00404B18" w:rsidRPr="00BB6220">
        <w:t>orientation</w:t>
      </w:r>
      <w:r w:rsidRPr="00BB6220">
        <w:t>.</w:t>
      </w:r>
      <w:r w:rsidR="003D640C">
        <w:t xml:space="preserve"> </w:t>
      </w:r>
      <w:r w:rsidRPr="00BB6220">
        <w:t>They</w:t>
      </w:r>
      <w:r w:rsidR="003D640C">
        <w:t xml:space="preserve"> </w:t>
      </w:r>
      <w:r w:rsidRPr="00BB6220">
        <w:t>would</w:t>
      </w:r>
      <w:r w:rsidR="003D640C">
        <w:t xml:space="preserve"> </w:t>
      </w:r>
      <w:r w:rsidRPr="00BB6220">
        <w:t>all</w:t>
      </w:r>
      <w:r w:rsidR="003D640C">
        <w:t xml:space="preserve"> </w:t>
      </w:r>
      <w:r w:rsidRPr="00BB6220">
        <w:t>secretly</w:t>
      </w:r>
      <w:r w:rsidR="003D640C">
        <w:t xml:space="preserve"> </w:t>
      </w:r>
      <w:r w:rsidRPr="00BB6220">
        <w:t>admit</w:t>
      </w:r>
      <w:r w:rsidR="003D640C">
        <w:t xml:space="preserve"> </w:t>
      </w:r>
      <w:r w:rsidRPr="00BB6220">
        <w:t>to</w:t>
      </w:r>
      <w:r w:rsidR="003D640C">
        <w:t xml:space="preserve"> </w:t>
      </w:r>
      <w:r w:rsidRPr="00BB6220">
        <w:t>having</w:t>
      </w:r>
      <w:r w:rsidR="003D640C">
        <w:t xml:space="preserve"> </w:t>
      </w:r>
      <w:r w:rsidRPr="00BB6220">
        <w:t>lustful</w:t>
      </w:r>
      <w:r w:rsidR="003D640C">
        <w:t xml:space="preserve"> </w:t>
      </w:r>
      <w:r w:rsidRPr="00BB6220">
        <w:t>thoughts</w:t>
      </w:r>
      <w:r w:rsidR="003D640C">
        <w:t xml:space="preserve"> </w:t>
      </w:r>
      <w:r w:rsidRPr="00BB6220">
        <w:t>and</w:t>
      </w:r>
      <w:r w:rsidR="003D640C">
        <w:t xml:space="preserve"> </w:t>
      </w:r>
      <w:r w:rsidRPr="00BB6220">
        <w:t>use</w:t>
      </w:r>
      <w:r w:rsidR="003D640C">
        <w:t xml:space="preserve"> </w:t>
      </w:r>
      <w:r w:rsidRPr="00BB6220">
        <w:t>phrases</w:t>
      </w:r>
      <w:r w:rsidR="003D640C">
        <w:t xml:space="preserve"> </w:t>
      </w:r>
      <w:r w:rsidRPr="00BB6220">
        <w:t>like,</w:t>
      </w:r>
      <w:r w:rsidR="003D640C">
        <w:t xml:space="preserve"> </w:t>
      </w:r>
      <w:r w:rsidRPr="00BB6220">
        <w:t>‘It’s</w:t>
      </w:r>
      <w:r w:rsidR="003D640C">
        <w:t xml:space="preserve"> </w:t>
      </w:r>
      <w:r w:rsidRPr="00BB6220">
        <w:t>a</w:t>
      </w:r>
      <w:r w:rsidR="003D640C">
        <w:t xml:space="preserve"> </w:t>
      </w:r>
      <w:r w:rsidRPr="00BB6220">
        <w:t>long</w:t>
      </w:r>
      <w:r w:rsidR="003D640C">
        <w:t xml:space="preserve"> </w:t>
      </w:r>
      <w:r w:rsidRPr="00BB6220">
        <w:t>journey’</w:t>
      </w:r>
      <w:r w:rsidR="003D640C">
        <w:t xml:space="preserve"> </w:t>
      </w:r>
      <w:r w:rsidRPr="00BB6220">
        <w:t>and</w:t>
      </w:r>
      <w:r w:rsidR="003D640C">
        <w:t xml:space="preserve"> </w:t>
      </w:r>
      <w:r w:rsidRPr="00BB6220">
        <w:t>‘You</w:t>
      </w:r>
      <w:r w:rsidR="003D640C">
        <w:t xml:space="preserve"> </w:t>
      </w:r>
      <w:r w:rsidRPr="00BB6220">
        <w:t>can’t</w:t>
      </w:r>
      <w:r w:rsidR="003D640C">
        <w:t xml:space="preserve"> </w:t>
      </w:r>
      <w:r w:rsidRPr="00BB6220">
        <w:t>change</w:t>
      </w:r>
      <w:r w:rsidR="003D640C">
        <w:t xml:space="preserve"> </w:t>
      </w:r>
      <w:r w:rsidR="6D99CF43" w:rsidRPr="00BB6220">
        <w:t>overnight’</w:t>
      </w:r>
      <w:r w:rsidR="003D640C">
        <w:t xml:space="preserve"> </w:t>
      </w:r>
      <w:r w:rsidRPr="00BB6220">
        <w:t>and</w:t>
      </w:r>
      <w:r w:rsidR="003D640C">
        <w:t xml:space="preserve"> </w:t>
      </w:r>
      <w:r w:rsidRPr="00BB6220">
        <w:t>so</w:t>
      </w:r>
      <w:r w:rsidR="003D640C">
        <w:t xml:space="preserve"> </w:t>
      </w:r>
      <w:r w:rsidRPr="00BB6220">
        <w:t>on.</w:t>
      </w:r>
      <w:r w:rsidR="003D640C">
        <w:t xml:space="preserve"> </w:t>
      </w:r>
      <w:r w:rsidRPr="00BB6220">
        <w:t>And</w:t>
      </w:r>
      <w:r w:rsidR="003D640C">
        <w:t xml:space="preserve"> </w:t>
      </w:r>
      <w:r w:rsidRPr="00BB6220">
        <w:t>yet</w:t>
      </w:r>
      <w:r w:rsidR="003D640C">
        <w:t xml:space="preserve"> </w:t>
      </w:r>
      <w:r w:rsidRPr="00BB6220">
        <w:t>they</w:t>
      </w:r>
      <w:r w:rsidR="003D640C">
        <w:t xml:space="preserve"> </w:t>
      </w:r>
      <w:r w:rsidRPr="00BB6220">
        <w:t>would</w:t>
      </w:r>
      <w:r w:rsidR="003D640C">
        <w:t xml:space="preserve"> </w:t>
      </w:r>
      <w:r w:rsidRPr="00BB6220">
        <w:t>publicly</w:t>
      </w:r>
      <w:r w:rsidR="003D640C">
        <w:t xml:space="preserve"> </w:t>
      </w:r>
      <w:r w:rsidRPr="00BB6220">
        <w:t>proclaim</w:t>
      </w:r>
      <w:r w:rsidR="003D640C">
        <w:t xml:space="preserve"> </w:t>
      </w:r>
      <w:r w:rsidRPr="00BB6220">
        <w:t>freedom</w:t>
      </w:r>
      <w:r w:rsidR="003D640C">
        <w:t xml:space="preserve"> </w:t>
      </w:r>
      <w:r w:rsidRPr="00BB6220">
        <w:t>[from</w:t>
      </w:r>
      <w:r w:rsidR="003D640C">
        <w:t xml:space="preserve"> </w:t>
      </w:r>
      <w:r w:rsidRPr="00BB6220">
        <w:t>homosexuality].</w:t>
      </w:r>
      <w:r w:rsidR="003D640C">
        <w:t xml:space="preserve"> </w:t>
      </w:r>
      <w:r w:rsidRPr="00BB6220">
        <w:t>Many</w:t>
      </w:r>
      <w:r w:rsidR="003D640C">
        <w:t xml:space="preserve"> </w:t>
      </w:r>
      <w:r w:rsidRPr="00BB6220">
        <w:t>would</w:t>
      </w:r>
      <w:r w:rsidR="003D640C">
        <w:t xml:space="preserve"> </w:t>
      </w:r>
      <w:r w:rsidRPr="00BB6220">
        <w:t>later</w:t>
      </w:r>
      <w:r w:rsidR="003D640C">
        <w:t xml:space="preserve"> </w:t>
      </w:r>
      <w:r w:rsidRPr="00BB6220">
        <w:t>‘fall</w:t>
      </w:r>
      <w:r w:rsidR="003D640C">
        <w:t xml:space="preserve"> </w:t>
      </w:r>
      <w:r w:rsidRPr="00BB6220">
        <w:t>back</w:t>
      </w:r>
      <w:r w:rsidR="003D640C">
        <w:t xml:space="preserve"> </w:t>
      </w:r>
      <w:r w:rsidRPr="00BB6220">
        <w:t>into</w:t>
      </w:r>
      <w:r w:rsidR="003D640C">
        <w:t xml:space="preserve"> </w:t>
      </w:r>
      <w:r w:rsidRPr="00BB6220">
        <w:t>sin’.</w:t>
      </w:r>
      <w:r w:rsidR="00CD3E06">
        <w:t>”</w:t>
      </w:r>
      <w:r w:rsidRPr="00BB6220" w:rsidDel="008E1CCA">
        <w:t xml:space="preserve"> </w:t>
      </w:r>
      <w:r w:rsidR="007207F6" w:rsidRPr="00BB6220">
        <w:t>Pākehā</w:t>
      </w:r>
      <w:r w:rsidRPr="00BB6220">
        <w:t>,</w:t>
      </w:r>
      <w:r w:rsidR="003D640C">
        <w:t xml:space="preserve"> </w:t>
      </w:r>
      <w:r w:rsidR="00E00C63" w:rsidRPr="00BB6220">
        <w:t>m</w:t>
      </w:r>
      <w:r w:rsidRPr="00BB6220">
        <w:t>ale</w:t>
      </w:r>
      <w:r w:rsidR="00E61461" w:rsidRPr="00BB6220">
        <w:t>.</w:t>
      </w:r>
      <w:r w:rsidRPr="00BB6220" w:rsidDel="008E1CCA">
        <w:t xml:space="preserve"> </w:t>
      </w:r>
    </w:p>
    <w:p w14:paraId="1B4093DD" w14:textId="3DFFD31B" w:rsidR="00501068" w:rsidRDefault="00104923" w:rsidP="009500DE">
      <w:pPr>
        <w:pStyle w:val="Quote"/>
        <w:rPr>
          <w:rFonts w:ascii="Calibri" w:eastAsia="Calibri" w:hAnsi="Calibri" w:cs="Calibri"/>
          <w:color w:val="000000" w:themeColor="text1"/>
        </w:rPr>
      </w:pPr>
      <w:r w:rsidRPr="00BB6220">
        <w:rPr>
          <w:rFonts w:ascii="Calibri" w:eastAsia="Calibri" w:hAnsi="Calibri" w:cs="Calibri"/>
          <w:color w:val="000000" w:themeColor="text1"/>
        </w:rPr>
        <w:t>“They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prayed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for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laid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hands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sort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started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casting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out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demons.</w:t>
      </w:r>
      <w:r w:rsidRPr="00BB6220" w:rsidDel="008E1CCA">
        <w:rPr>
          <w:rFonts w:ascii="Calibri" w:eastAsia="Calibri" w:hAnsi="Calibri" w:cs="Calibri"/>
          <w:color w:val="000000" w:themeColor="text1"/>
        </w:rPr>
        <w:t xml:space="preserve"> </w:t>
      </w:r>
      <w:r w:rsidRPr="00BB6220">
        <w:rPr>
          <w:rFonts w:ascii="Calibri" w:eastAsia="Calibri" w:hAnsi="Calibri" w:cs="Calibri"/>
          <w:color w:val="000000" w:themeColor="text1"/>
        </w:rPr>
        <w:t>I’d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go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once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week</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these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meetings,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felt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optimistic</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first,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and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thought,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yeah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think</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am</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different,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yeah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think</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it’s</w:t>
      </w:r>
      <w:r w:rsidR="003D640C">
        <w:rPr>
          <w:rFonts w:ascii="Calibri" w:eastAsia="Calibri" w:hAnsi="Calibri" w:cs="Calibri"/>
          <w:color w:val="000000" w:themeColor="text1"/>
        </w:rPr>
        <w:t xml:space="preserve"> </w:t>
      </w:r>
      <w:r w:rsidR="0226D71A" w:rsidRPr="00BB6220">
        <w:rPr>
          <w:rFonts w:ascii="Calibri" w:eastAsia="Calibri" w:hAnsi="Calibri" w:cs="Calibri"/>
          <w:color w:val="000000" w:themeColor="text1"/>
        </w:rPr>
        <w:t>changing’</w:t>
      </w:r>
      <w:r w:rsidR="29B58B1C" w:rsidRPr="00BB6220">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But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after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about</w:t>
      </w:r>
      <w:r w:rsidR="003D640C">
        <w:rPr>
          <w:rFonts w:ascii="Calibri" w:eastAsia="Calibri" w:hAnsi="Calibri" w:cs="Calibri"/>
          <w:color w:val="000000" w:themeColor="text1"/>
        </w:rPr>
        <w:t xml:space="preserve"> </w:t>
      </w:r>
      <w:r w:rsidR="7FE294C6" w:rsidRPr="00BB6220">
        <w:rPr>
          <w:rFonts w:ascii="Calibri" w:eastAsia="Calibri" w:hAnsi="Calibri" w:cs="Calibri"/>
          <w:color w:val="000000" w:themeColor="text1"/>
        </w:rPr>
        <w:t>four</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weeks</w:t>
      </w:r>
      <w:r w:rsidR="00A17714">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was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thinking,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‘Nah,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actually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it’s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not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changing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much.’</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about</w:t>
      </w:r>
      <w:r w:rsidR="003D640C">
        <w:rPr>
          <w:rFonts w:ascii="Calibri" w:eastAsia="Calibri" w:hAnsi="Calibri" w:cs="Calibri"/>
          <w:color w:val="000000" w:themeColor="text1"/>
        </w:rPr>
        <w:t xml:space="preserve"> </w:t>
      </w:r>
      <w:r w:rsidR="0A751AC7" w:rsidRPr="00BB6220">
        <w:rPr>
          <w:rFonts w:ascii="Calibri" w:eastAsia="Calibri" w:hAnsi="Calibri" w:cs="Calibri"/>
          <w:color w:val="000000" w:themeColor="text1"/>
        </w:rPr>
        <w:t>six</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weeks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thought,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‘No,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not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working,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must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something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I’m</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missing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out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here,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it’s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obviously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not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just</w:t>
      </w:r>
      <w:r w:rsidR="003D640C">
        <w:rPr>
          <w:rFonts w:ascii="Calibri" w:eastAsia="Calibri" w:hAnsi="Calibri" w:cs="Calibri"/>
          <w:color w:val="000000" w:themeColor="text1"/>
        </w:rPr>
        <w:t xml:space="preserve"> </w:t>
      </w:r>
      <w:r w:rsidR="0226D71A" w:rsidRPr="00BB6220">
        <w:rPr>
          <w:rFonts w:ascii="Calibri" w:eastAsia="Calibri" w:hAnsi="Calibri" w:cs="Calibri"/>
          <w:color w:val="000000" w:themeColor="text1"/>
        </w:rPr>
        <w:t>demons</w:t>
      </w:r>
      <w:r w:rsidR="00A17714">
        <w:rPr>
          <w:rFonts w:ascii="Calibri" w:eastAsia="Calibri" w:hAnsi="Calibri" w:cs="Calibri"/>
          <w:color w:val="000000" w:themeColor="text1"/>
        </w:rPr>
        <w:t>.</w:t>
      </w:r>
      <w:r w:rsidR="0226D71A" w:rsidRPr="00BB6220">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think</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from</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point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on</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I</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started</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to</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look</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at</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more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psychological</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things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as</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being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the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cause</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of</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being</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gay.”</w:t>
      </w:r>
      <w:r w:rsidR="003D640C">
        <w:rPr>
          <w:rFonts w:ascii="Calibri" w:eastAsia="Calibri" w:hAnsi="Calibri" w:cs="Calibri"/>
          <w:color w:val="000000" w:themeColor="text1"/>
        </w:rPr>
        <w:t xml:space="preserve"> </w:t>
      </w:r>
      <w:r w:rsidRPr="00BB6220">
        <w:rPr>
          <w:rFonts w:ascii="Calibri" w:eastAsia="Calibri" w:hAnsi="Calibri" w:cs="Calibri"/>
          <w:color w:val="000000" w:themeColor="text1"/>
        </w:rPr>
        <w:t>P</w:t>
      </w:r>
      <w:r w:rsidR="003C4F19" w:rsidRPr="00BB6220">
        <w:rPr>
          <w:rFonts w:ascii="Calibri" w:eastAsia="Calibri" w:hAnsi="Calibri" w:cs="Calibri"/>
          <w:color w:val="000000" w:themeColor="text1"/>
        </w:rPr>
        <w:t>ā</w:t>
      </w:r>
      <w:r w:rsidRPr="00BB6220">
        <w:rPr>
          <w:rFonts w:ascii="Calibri" w:eastAsia="Calibri" w:hAnsi="Calibri" w:cs="Calibri"/>
          <w:color w:val="000000" w:themeColor="text1"/>
        </w:rPr>
        <w:t>keh</w:t>
      </w:r>
      <w:r w:rsidR="003C4F19" w:rsidRPr="00BB6220">
        <w:rPr>
          <w:rFonts w:ascii="Calibri" w:eastAsia="Calibri" w:hAnsi="Calibri" w:cs="Calibri"/>
          <w:color w:val="000000" w:themeColor="text1"/>
        </w:rPr>
        <w:t>ā</w:t>
      </w:r>
      <w:r w:rsidR="356FD53D" w:rsidRPr="00BB6220">
        <w:rPr>
          <w:rFonts w:ascii="Calibri" w:eastAsia="Calibri" w:hAnsi="Calibri" w:cs="Calibri"/>
          <w:color w:val="000000" w:themeColor="text1"/>
        </w:rPr>
        <w:t>,</w:t>
      </w:r>
      <w:r w:rsidR="003D640C">
        <w:rPr>
          <w:rFonts w:ascii="Calibri" w:eastAsia="Calibri" w:hAnsi="Calibri" w:cs="Calibri"/>
          <w:color w:val="000000" w:themeColor="text1"/>
        </w:rPr>
        <w:t xml:space="preserve"> </w:t>
      </w:r>
      <w:r w:rsidR="356FD53D" w:rsidRPr="00BB6220">
        <w:rPr>
          <w:rFonts w:ascii="Calibri" w:eastAsia="Calibri" w:hAnsi="Calibri" w:cs="Calibri"/>
          <w:color w:val="000000" w:themeColor="text1"/>
        </w:rPr>
        <w:t>male</w:t>
      </w:r>
      <w:r w:rsidR="00E61461" w:rsidRPr="00BB6220">
        <w:rPr>
          <w:rFonts w:ascii="Calibri" w:eastAsia="Calibri" w:hAnsi="Calibri" w:cs="Calibri"/>
          <w:color w:val="000000" w:themeColor="text1"/>
        </w:rPr>
        <w:t>.</w:t>
      </w:r>
    </w:p>
    <w:p w14:paraId="0B707B94" w14:textId="33275AAB" w:rsidR="00501068" w:rsidRDefault="00D527F0" w:rsidP="009500DE">
      <w:r w:rsidRPr="00BB6220">
        <w:lastRenderedPageBreak/>
        <w:t>An</w:t>
      </w:r>
      <w:r w:rsidR="003D640C">
        <w:t xml:space="preserve"> </w:t>
      </w:r>
      <w:r w:rsidRPr="00BB6220">
        <w:t>unwelcome</w:t>
      </w:r>
      <w:r w:rsidR="003D640C">
        <w:t xml:space="preserve"> </w:t>
      </w:r>
      <w:r w:rsidRPr="00BB6220">
        <w:t>discovery</w:t>
      </w:r>
      <w:r w:rsidR="003D640C">
        <w:t xml:space="preserve"> </w:t>
      </w:r>
      <w:r w:rsidRPr="00BB6220">
        <w:t>reported</w:t>
      </w:r>
      <w:r w:rsidR="003D640C">
        <w:t xml:space="preserve"> </w:t>
      </w:r>
      <w:r w:rsidRPr="00BB6220">
        <w:t>by</w:t>
      </w:r>
      <w:r w:rsidR="003D640C">
        <w:t xml:space="preserve"> </w:t>
      </w:r>
      <w:r w:rsidRPr="00BB6220">
        <w:t>many</w:t>
      </w:r>
      <w:r w:rsidR="003D640C">
        <w:t xml:space="preserve"> </w:t>
      </w:r>
      <w:r w:rsidRPr="00BB6220">
        <w:t>survivors</w:t>
      </w:r>
      <w:r w:rsidR="003D640C">
        <w:t xml:space="preserve"> </w:t>
      </w:r>
      <w:r w:rsidRPr="00BB6220">
        <w:t>is</w:t>
      </w:r>
      <w:r w:rsidR="003D640C">
        <w:t xml:space="preserve"> </w:t>
      </w:r>
      <w:r w:rsidRPr="00BB6220">
        <w:t>that</w:t>
      </w:r>
      <w:r w:rsidR="003D640C">
        <w:t xml:space="preserve"> </w:t>
      </w:r>
      <w:r w:rsidRPr="00BB6220">
        <w:t>stopping</w:t>
      </w:r>
      <w:r w:rsidR="003D640C">
        <w:t xml:space="preserve"> </w:t>
      </w:r>
      <w:r w:rsidRPr="00BB6220">
        <w:t>conversion</w:t>
      </w:r>
      <w:r w:rsidR="003D640C">
        <w:t xml:space="preserve"> </w:t>
      </w:r>
      <w:r w:rsidRPr="00BB6220">
        <w:t>practices</w:t>
      </w:r>
      <w:r w:rsidR="003D640C">
        <w:t xml:space="preserve"> </w:t>
      </w:r>
      <w:r w:rsidRPr="00BB6220">
        <w:t>is</w:t>
      </w:r>
      <w:r w:rsidR="003D640C">
        <w:t xml:space="preserve"> </w:t>
      </w:r>
      <w:r w:rsidRPr="00BB6220">
        <w:t>a</w:t>
      </w:r>
      <w:r w:rsidR="003D640C">
        <w:t xml:space="preserve"> </w:t>
      </w:r>
      <w:r w:rsidRPr="00BB6220">
        <w:t>lengthy</w:t>
      </w:r>
      <w:r w:rsidR="003D640C">
        <w:t xml:space="preserve"> </w:t>
      </w:r>
      <w:r w:rsidRPr="00BB6220">
        <w:t>and</w:t>
      </w:r>
      <w:r w:rsidR="003D640C">
        <w:t xml:space="preserve"> </w:t>
      </w:r>
      <w:r w:rsidRPr="00BB6220">
        <w:t>difficult</w:t>
      </w:r>
      <w:r w:rsidR="003D640C">
        <w:t xml:space="preserve"> </w:t>
      </w:r>
      <w:r w:rsidRPr="00BB6220">
        <w:t>process.</w:t>
      </w:r>
      <w:r w:rsidRPr="00BB6220">
        <w:rPr>
          <w:rStyle w:val="FootnoteReference"/>
        </w:rPr>
        <w:footnoteReference w:id="118"/>
      </w:r>
      <w:r w:rsidR="003D640C">
        <w:t xml:space="preserve"> </w:t>
      </w:r>
      <w:r w:rsidRPr="00BB6220">
        <w:t>Survivors</w:t>
      </w:r>
      <w:r w:rsidR="003D640C">
        <w:t xml:space="preserve"> </w:t>
      </w:r>
      <w:r w:rsidRPr="00BB6220">
        <w:t>cannot</w:t>
      </w:r>
      <w:r w:rsidR="003D640C">
        <w:t xml:space="preserve"> </w:t>
      </w:r>
      <w:r w:rsidRPr="00BB6220">
        <w:t>change</w:t>
      </w:r>
      <w:r w:rsidR="003D640C">
        <w:t xml:space="preserve"> </w:t>
      </w:r>
      <w:r w:rsidRPr="00BB6220">
        <w:t>their</w:t>
      </w:r>
      <w:r w:rsidR="003D640C">
        <w:t xml:space="preserve"> </w:t>
      </w:r>
      <w:r w:rsidRPr="00BB6220">
        <w:t>family</w:t>
      </w:r>
      <w:r w:rsidR="003D640C">
        <w:t xml:space="preserve"> </w:t>
      </w:r>
      <w:r w:rsidRPr="00BB6220">
        <w:t>of</w:t>
      </w:r>
      <w:r w:rsidR="003D640C">
        <w:t xml:space="preserve"> </w:t>
      </w:r>
      <w:r w:rsidRPr="00BB6220">
        <w:t>origin,</w:t>
      </w:r>
      <w:r w:rsidR="003D640C">
        <w:t xml:space="preserve"> </w:t>
      </w:r>
      <w:r w:rsidRPr="00BB6220">
        <w:t>the</w:t>
      </w:r>
      <w:r w:rsidR="003D640C">
        <w:t xml:space="preserve"> </w:t>
      </w:r>
      <w:r w:rsidRPr="00BB6220">
        <w:t>community</w:t>
      </w:r>
      <w:r w:rsidR="003D640C">
        <w:t xml:space="preserve"> </w:t>
      </w:r>
      <w:r w:rsidRPr="00BB6220">
        <w:t>they</w:t>
      </w:r>
      <w:r w:rsidR="003D640C">
        <w:t xml:space="preserve"> </w:t>
      </w:r>
      <w:r w:rsidRPr="00BB6220">
        <w:t>c</w:t>
      </w:r>
      <w:r w:rsidR="00665FA1" w:rsidRPr="00BB6220">
        <w:t>o</w:t>
      </w:r>
      <w:r w:rsidRPr="00BB6220">
        <w:t>me</w:t>
      </w:r>
      <w:r w:rsidR="003D640C">
        <w:t xml:space="preserve"> </w:t>
      </w:r>
      <w:r w:rsidRPr="00BB6220">
        <w:t>from</w:t>
      </w:r>
      <w:r w:rsidR="000A0EB3" w:rsidRPr="00BB6220">
        <w:t>,</w:t>
      </w:r>
      <w:r w:rsidR="003D640C">
        <w:t xml:space="preserve"> </w:t>
      </w:r>
      <w:r w:rsidRPr="00BB6220">
        <w:t>or</w:t>
      </w:r>
      <w:r w:rsidR="003D640C">
        <w:t xml:space="preserve"> </w:t>
      </w:r>
      <w:r w:rsidRPr="00BB6220">
        <w:t>their</w:t>
      </w:r>
      <w:r w:rsidR="003D640C">
        <w:t xml:space="preserve"> </w:t>
      </w:r>
      <w:r w:rsidRPr="00BB6220">
        <w:t>culture</w:t>
      </w:r>
      <w:r w:rsidR="003D640C">
        <w:t xml:space="preserve"> </w:t>
      </w:r>
      <w:r w:rsidRPr="00BB6220">
        <w:t>so</w:t>
      </w:r>
      <w:r w:rsidR="003D640C">
        <w:t xml:space="preserve"> </w:t>
      </w:r>
      <w:r w:rsidRPr="00BB6220">
        <w:t>they</w:t>
      </w:r>
      <w:r w:rsidR="003D640C">
        <w:t xml:space="preserve"> </w:t>
      </w:r>
      <w:r w:rsidR="000A0EB3" w:rsidRPr="00BB6220">
        <w:t>continue</w:t>
      </w:r>
      <w:r w:rsidR="003D640C">
        <w:t xml:space="preserve"> </w:t>
      </w:r>
      <w:r w:rsidR="000A0EB3" w:rsidRPr="00BB6220">
        <w:t>to</w:t>
      </w:r>
      <w:r w:rsidR="003D640C">
        <w:t xml:space="preserve"> </w:t>
      </w:r>
      <w:r w:rsidR="000A0EB3" w:rsidRPr="00BB6220">
        <w:t>face</w:t>
      </w:r>
      <w:r w:rsidR="003D640C">
        <w:t xml:space="preserve"> </w:t>
      </w:r>
      <w:r w:rsidRPr="00BB6220">
        <w:t>many</w:t>
      </w:r>
      <w:r w:rsidR="003D640C">
        <w:t xml:space="preserve"> </w:t>
      </w:r>
      <w:r w:rsidRPr="00BB6220">
        <w:t>of</w:t>
      </w:r>
      <w:r w:rsidR="003D640C">
        <w:t xml:space="preserve"> </w:t>
      </w:r>
      <w:r w:rsidRPr="00BB6220">
        <w:t>the</w:t>
      </w:r>
      <w:r w:rsidR="003D640C">
        <w:t xml:space="preserve"> </w:t>
      </w:r>
      <w:r w:rsidRPr="00BB6220">
        <w:t>same</w:t>
      </w:r>
      <w:r w:rsidR="003D640C">
        <w:t xml:space="preserve"> </w:t>
      </w:r>
      <w:r w:rsidRPr="00BB6220">
        <w:t>inherent</w:t>
      </w:r>
      <w:r w:rsidR="003D640C">
        <w:t xml:space="preserve"> </w:t>
      </w:r>
      <w:r w:rsidRPr="00BB6220">
        <w:t>tensions</w:t>
      </w:r>
      <w:r w:rsidR="003D640C">
        <w:t xml:space="preserve"> </w:t>
      </w:r>
      <w:r w:rsidR="00361D8E">
        <w:t>and</w:t>
      </w:r>
      <w:r w:rsidR="003D640C">
        <w:t xml:space="preserve"> </w:t>
      </w:r>
      <w:r w:rsidR="00361D8E">
        <w:t>discrimination</w:t>
      </w:r>
      <w:r w:rsidR="003D640C">
        <w:t xml:space="preserve"> </w:t>
      </w:r>
      <w:r w:rsidR="00427166" w:rsidRPr="00BB6220">
        <w:t>after</w:t>
      </w:r>
      <w:r w:rsidR="003D640C">
        <w:t xml:space="preserve"> </w:t>
      </w:r>
      <w:r w:rsidR="00427166" w:rsidRPr="00BB6220">
        <w:t>stopping</w:t>
      </w:r>
      <w:r w:rsidR="003D640C">
        <w:t xml:space="preserve"> </w:t>
      </w:r>
      <w:r w:rsidR="000A0EB3" w:rsidRPr="00BB6220">
        <w:t>conversion</w:t>
      </w:r>
      <w:r w:rsidR="003D640C">
        <w:t xml:space="preserve"> </w:t>
      </w:r>
      <w:r w:rsidR="000A0EB3" w:rsidRPr="00BB6220">
        <w:t>practices</w:t>
      </w:r>
      <w:r w:rsidRPr="00BB6220">
        <w:t>.</w:t>
      </w:r>
      <w:r w:rsidR="003D640C">
        <w:t xml:space="preserve"> </w:t>
      </w:r>
      <w:r w:rsidRPr="00BB6220">
        <w:t>This</w:t>
      </w:r>
      <w:r w:rsidR="003D640C">
        <w:t xml:space="preserve"> </w:t>
      </w:r>
      <w:r w:rsidR="005152AA" w:rsidRPr="00BB6220">
        <w:t>contributes</w:t>
      </w:r>
      <w:r w:rsidR="003D640C">
        <w:t xml:space="preserve"> </w:t>
      </w:r>
      <w:r w:rsidRPr="00BB6220">
        <w:t>to</w:t>
      </w:r>
      <w:r w:rsidR="003D640C">
        <w:t xml:space="preserve"> </w:t>
      </w:r>
      <w:r w:rsidRPr="00BB6220">
        <w:t>an</w:t>
      </w:r>
      <w:r w:rsidR="003D640C">
        <w:t xml:space="preserve"> </w:t>
      </w:r>
      <w:bookmarkStart w:id="183" w:name="_Int_UfUmFLZO"/>
      <w:r w:rsidRPr="00BB6220" w:rsidDel="000B5E99">
        <w:t>often</w:t>
      </w:r>
      <w:r w:rsidR="003D640C">
        <w:t xml:space="preserve"> </w:t>
      </w:r>
      <w:r w:rsidRPr="00BB6220">
        <w:t>lifelong</w:t>
      </w:r>
      <w:bookmarkEnd w:id="183"/>
      <w:r w:rsidR="003D640C">
        <w:t xml:space="preserve"> </w:t>
      </w:r>
      <w:r w:rsidRPr="00BB6220">
        <w:t>aftermath</w:t>
      </w:r>
      <w:r w:rsidR="003D640C">
        <w:t xml:space="preserve"> </w:t>
      </w:r>
      <w:r w:rsidRPr="00BB6220">
        <w:t>of</w:t>
      </w:r>
      <w:r w:rsidR="003D640C">
        <w:t xml:space="preserve"> </w:t>
      </w:r>
      <w:r w:rsidRPr="00BB6220">
        <w:t>mental,</w:t>
      </w:r>
      <w:r w:rsidR="003D640C">
        <w:t xml:space="preserve"> </w:t>
      </w:r>
      <w:r w:rsidRPr="00BB6220">
        <w:t>physical</w:t>
      </w:r>
      <w:r w:rsidR="1795E65B" w:rsidRPr="00BB6220">
        <w:t>,</w:t>
      </w:r>
      <w:r w:rsidR="003D640C">
        <w:t xml:space="preserve"> </w:t>
      </w:r>
      <w:r w:rsidRPr="00BB6220">
        <w:t>and</w:t>
      </w:r>
      <w:r w:rsidR="003D640C">
        <w:t xml:space="preserve"> </w:t>
      </w:r>
      <w:r w:rsidRPr="00BB6220">
        <w:t>spiritual</w:t>
      </w:r>
      <w:r w:rsidR="003D640C">
        <w:t xml:space="preserve"> </w:t>
      </w:r>
      <w:r w:rsidRPr="00BB6220">
        <w:t>harm.</w:t>
      </w:r>
    </w:p>
    <w:p w14:paraId="72035CB4" w14:textId="07CE1B08" w:rsidR="00501068" w:rsidRDefault="00D527F0" w:rsidP="009500DE">
      <w:r w:rsidRPr="00BB6220">
        <w:t>Survivors</w:t>
      </w:r>
      <w:r w:rsidR="003D640C">
        <w:t xml:space="preserve"> </w:t>
      </w:r>
      <w:r w:rsidRPr="00BB6220">
        <w:t>often</w:t>
      </w:r>
      <w:r w:rsidR="003D640C">
        <w:t xml:space="preserve"> </w:t>
      </w:r>
      <w:r w:rsidRPr="00BB6220">
        <w:t>describe</w:t>
      </w:r>
      <w:r w:rsidR="003D640C">
        <w:t xml:space="preserve"> </w:t>
      </w:r>
      <w:r w:rsidRPr="00BB6220">
        <w:t>life</w:t>
      </w:r>
      <w:r w:rsidR="003D640C">
        <w:t xml:space="preserve"> </w:t>
      </w:r>
      <w:r w:rsidRPr="00BB6220">
        <w:t>after</w:t>
      </w:r>
      <w:r w:rsidR="003D640C">
        <w:t xml:space="preserve"> </w:t>
      </w:r>
      <w:r w:rsidRPr="00BB6220">
        <w:t>conversion</w:t>
      </w:r>
      <w:r w:rsidR="003D640C">
        <w:t xml:space="preserve"> </w:t>
      </w:r>
      <w:r w:rsidRPr="00BB6220">
        <w:t>practices</w:t>
      </w:r>
      <w:r w:rsidR="003D640C">
        <w:t xml:space="preserve"> </w:t>
      </w:r>
      <w:r w:rsidRPr="00BB6220">
        <w:t>as</w:t>
      </w:r>
      <w:r w:rsidR="003D640C">
        <w:t xml:space="preserve"> </w:t>
      </w:r>
      <w:r w:rsidRPr="00BB6220">
        <w:t>living</w:t>
      </w:r>
      <w:r w:rsidR="003D640C">
        <w:t xml:space="preserve"> </w:t>
      </w:r>
      <w:r w:rsidRPr="00BB6220">
        <w:t>in</w:t>
      </w:r>
      <w:r w:rsidR="003D640C">
        <w:t xml:space="preserve"> </w:t>
      </w:r>
      <w:r w:rsidRPr="00BB6220">
        <w:t>a</w:t>
      </w:r>
      <w:r w:rsidR="003D640C">
        <w:t xml:space="preserve"> </w:t>
      </w:r>
      <w:r w:rsidRPr="00BB6220">
        <w:t>‘no</w:t>
      </w:r>
      <w:r w:rsidR="003D640C">
        <w:t xml:space="preserve"> </w:t>
      </w:r>
      <w:r w:rsidRPr="00BB6220">
        <w:t>man</w:t>
      </w:r>
      <w:r w:rsidR="000D38D7" w:rsidRPr="00BB6220">
        <w:t>’</w:t>
      </w:r>
      <w:r w:rsidRPr="00BB6220">
        <w:t>s</w:t>
      </w:r>
      <w:r w:rsidR="003D640C">
        <w:t xml:space="preserve"> </w:t>
      </w:r>
      <w:r w:rsidRPr="00BB6220">
        <w:t>land</w:t>
      </w:r>
      <w:bookmarkStart w:id="184" w:name="_Int_vq0tyywx"/>
      <w:r w:rsidR="00294F9B">
        <w:t>.</w:t>
      </w:r>
      <w:r w:rsidRPr="00BB6220">
        <w:t>’</w:t>
      </w:r>
      <w:bookmarkEnd w:id="184"/>
      <w:r w:rsidR="003D640C">
        <w:t xml:space="preserve"> </w:t>
      </w:r>
      <w:r w:rsidRPr="00BB6220">
        <w:t>They</w:t>
      </w:r>
      <w:r w:rsidR="003D640C">
        <w:t xml:space="preserve"> </w:t>
      </w:r>
      <w:r w:rsidRPr="00BB6220">
        <w:t>experience</w:t>
      </w:r>
      <w:r w:rsidR="003D640C">
        <w:t xml:space="preserve"> </w:t>
      </w:r>
      <w:r w:rsidR="00CD4A06" w:rsidRPr="00BB6220">
        <w:t>a</w:t>
      </w:r>
      <w:r w:rsidR="003D640C">
        <w:t xml:space="preserve"> </w:t>
      </w:r>
      <w:r w:rsidR="00CD4A06" w:rsidRPr="00BB6220">
        <w:t>significant</w:t>
      </w:r>
      <w:r w:rsidR="003D640C">
        <w:t xml:space="preserve"> </w:t>
      </w:r>
      <w:r w:rsidR="00CD4A06" w:rsidRPr="00BB6220">
        <w:t>lack</w:t>
      </w:r>
      <w:r w:rsidR="003D640C">
        <w:t xml:space="preserve"> </w:t>
      </w:r>
      <w:r w:rsidR="00CD4A06" w:rsidRPr="00BB6220">
        <w:t>of</w:t>
      </w:r>
      <w:r w:rsidR="003D640C">
        <w:t xml:space="preserve"> </w:t>
      </w:r>
      <w:r w:rsidR="00CD4A06" w:rsidRPr="00BB6220">
        <w:t>belonging</w:t>
      </w:r>
      <w:r w:rsidR="003D640C">
        <w:t xml:space="preserve"> </w:t>
      </w:r>
      <w:r w:rsidR="00CD4A06" w:rsidRPr="00BB6220">
        <w:t>in</w:t>
      </w:r>
      <w:r w:rsidR="003D640C">
        <w:t xml:space="preserve"> </w:t>
      </w:r>
      <w:r w:rsidR="00CD4A06" w:rsidRPr="00BB6220">
        <w:t>both</w:t>
      </w:r>
      <w:r w:rsidR="003D640C">
        <w:t xml:space="preserve"> </w:t>
      </w:r>
      <w:r w:rsidR="00E61461" w:rsidRPr="00BB6220">
        <w:t>their</w:t>
      </w:r>
      <w:r w:rsidR="003D640C">
        <w:t xml:space="preserve"> </w:t>
      </w:r>
      <w:r w:rsidR="00CD4A06" w:rsidRPr="00BB6220">
        <w:t>new</w:t>
      </w:r>
      <w:r w:rsidR="003D640C">
        <w:t xml:space="preserve"> </w:t>
      </w:r>
      <w:r w:rsidR="00CD4A06" w:rsidRPr="00BB6220">
        <w:t>and</w:t>
      </w:r>
      <w:r w:rsidR="003D640C">
        <w:t xml:space="preserve"> </w:t>
      </w:r>
      <w:r w:rsidR="00CD4A06" w:rsidRPr="00BB6220">
        <w:t>old</w:t>
      </w:r>
      <w:r w:rsidR="003D640C">
        <w:t xml:space="preserve"> </w:t>
      </w:r>
      <w:r w:rsidR="00CD4A06" w:rsidRPr="00BB6220">
        <w:t>communities.</w:t>
      </w:r>
      <w:r w:rsidR="003D640C">
        <w:t xml:space="preserve"> </w:t>
      </w:r>
      <w:r w:rsidR="00CD4A06" w:rsidRPr="00BB6220">
        <w:t>Some</w:t>
      </w:r>
      <w:r w:rsidR="003D640C">
        <w:t xml:space="preserve"> </w:t>
      </w:r>
      <w:r w:rsidR="00CD4A06" w:rsidRPr="00BB6220">
        <w:t>survivors</w:t>
      </w:r>
      <w:r w:rsidR="003D640C">
        <w:t xml:space="preserve"> </w:t>
      </w:r>
      <w:r w:rsidR="00CD4A06" w:rsidRPr="00BB6220">
        <w:t>find</w:t>
      </w:r>
      <w:r w:rsidR="003D640C">
        <w:t xml:space="preserve"> </w:t>
      </w:r>
      <w:r w:rsidR="00CD4A06" w:rsidRPr="00BB6220">
        <w:t>they</w:t>
      </w:r>
      <w:r w:rsidR="003D640C">
        <w:t xml:space="preserve"> </w:t>
      </w:r>
      <w:r w:rsidR="00CD4A06" w:rsidRPr="00BB6220">
        <w:t>are</w:t>
      </w:r>
      <w:r w:rsidR="003D640C">
        <w:t xml:space="preserve"> </w:t>
      </w:r>
      <w:r w:rsidR="00CD508D" w:rsidRPr="00BB6220">
        <w:t>excluded</w:t>
      </w:r>
      <w:r w:rsidR="003D640C">
        <w:t xml:space="preserve"> </w:t>
      </w:r>
      <w:r w:rsidRPr="00BB6220">
        <w:t>from</w:t>
      </w:r>
      <w:r w:rsidR="003D640C">
        <w:t xml:space="preserve"> </w:t>
      </w:r>
      <w:r w:rsidR="00E61461" w:rsidRPr="00BB6220">
        <w:t>Rainbow</w:t>
      </w:r>
      <w:r w:rsidR="003D640C">
        <w:t xml:space="preserve"> </w:t>
      </w:r>
      <w:r w:rsidRPr="00BB6220">
        <w:t>communities</w:t>
      </w:r>
      <w:r w:rsidR="003D640C">
        <w:t xml:space="preserve"> </w:t>
      </w:r>
      <w:r w:rsidRPr="00BB6220">
        <w:t>who</w:t>
      </w:r>
      <w:r w:rsidR="003D640C">
        <w:t xml:space="preserve"> </w:t>
      </w:r>
      <w:r w:rsidRPr="00BB6220">
        <w:t>do</w:t>
      </w:r>
      <w:r w:rsidR="003D640C">
        <w:t xml:space="preserve"> </w:t>
      </w:r>
      <w:r w:rsidRPr="00BB6220">
        <w:t>n</w:t>
      </w:r>
      <w:r w:rsidR="00BC5C82" w:rsidRPr="00BB6220">
        <w:t>o</w:t>
      </w:r>
      <w:r w:rsidRPr="00BB6220">
        <w:t>t</w:t>
      </w:r>
      <w:r w:rsidR="003D640C">
        <w:t xml:space="preserve"> </w:t>
      </w:r>
      <w:r w:rsidRPr="00BB6220">
        <w:t>understand</w:t>
      </w:r>
      <w:r w:rsidR="003D640C">
        <w:t xml:space="preserve"> </w:t>
      </w:r>
      <w:r w:rsidRPr="00BB6220">
        <w:t>how</w:t>
      </w:r>
      <w:r w:rsidR="003D640C">
        <w:t xml:space="preserve"> </w:t>
      </w:r>
      <w:r w:rsidRPr="00BB6220">
        <w:t>they</w:t>
      </w:r>
      <w:r w:rsidR="003D640C">
        <w:t xml:space="preserve"> </w:t>
      </w:r>
      <w:r w:rsidRPr="00BB6220">
        <w:t>could</w:t>
      </w:r>
      <w:r w:rsidR="003D640C">
        <w:t xml:space="preserve"> </w:t>
      </w:r>
      <w:r w:rsidRPr="00BB6220">
        <w:t>have</w:t>
      </w:r>
      <w:r w:rsidR="003D640C">
        <w:t xml:space="preserve"> </w:t>
      </w:r>
      <w:r w:rsidRPr="00BB6220">
        <w:t>rejected</w:t>
      </w:r>
      <w:r w:rsidR="003D640C">
        <w:t xml:space="preserve"> </w:t>
      </w:r>
      <w:r w:rsidRPr="00BB6220">
        <w:t>their</w:t>
      </w:r>
      <w:r w:rsidR="003D640C">
        <w:t xml:space="preserve"> </w:t>
      </w:r>
      <w:r w:rsidR="00F950D6">
        <w:t>Rainbow</w:t>
      </w:r>
      <w:r w:rsidR="003D640C">
        <w:t xml:space="preserve"> </w:t>
      </w:r>
      <w:r w:rsidRPr="00BB6220">
        <w:t>identity</w:t>
      </w:r>
      <w:r w:rsidR="003D640C">
        <w:t xml:space="preserve"> </w:t>
      </w:r>
      <w:r w:rsidRPr="00BB6220">
        <w:t>in</w:t>
      </w:r>
      <w:r w:rsidR="003D640C">
        <w:t xml:space="preserve"> </w:t>
      </w:r>
      <w:r w:rsidRPr="00BB6220">
        <w:t>such</w:t>
      </w:r>
      <w:r w:rsidR="003D640C">
        <w:t xml:space="preserve"> </w:t>
      </w:r>
      <w:r w:rsidRPr="00BB6220">
        <w:t>an</w:t>
      </w:r>
      <w:r w:rsidR="003D640C">
        <w:t xml:space="preserve"> </w:t>
      </w:r>
      <w:r w:rsidRPr="00BB6220">
        <w:t>extreme</w:t>
      </w:r>
      <w:r w:rsidR="003D640C">
        <w:t xml:space="preserve"> </w:t>
      </w:r>
      <w:r w:rsidRPr="00BB6220">
        <w:t>way</w:t>
      </w:r>
      <w:r w:rsidR="00E61461" w:rsidRPr="00BB6220">
        <w:t>.</w:t>
      </w:r>
      <w:r w:rsidR="003D640C">
        <w:t xml:space="preserve"> </w:t>
      </w:r>
      <w:r w:rsidR="00E61461" w:rsidRPr="00BB6220">
        <w:t>At</w:t>
      </w:r>
      <w:r w:rsidR="003D640C">
        <w:t xml:space="preserve"> </w:t>
      </w:r>
      <w:r w:rsidR="00E61461" w:rsidRPr="00BB6220">
        <w:t>the</w:t>
      </w:r>
      <w:r w:rsidR="003D640C">
        <w:t xml:space="preserve"> </w:t>
      </w:r>
      <w:r w:rsidR="00E61461" w:rsidRPr="00BB6220">
        <w:t>same</w:t>
      </w:r>
      <w:r w:rsidR="003D640C">
        <w:t xml:space="preserve"> </w:t>
      </w:r>
      <w:r w:rsidR="00E61461" w:rsidRPr="00BB6220">
        <w:t>time,</w:t>
      </w:r>
      <w:r w:rsidR="003D640C">
        <w:t xml:space="preserve"> </w:t>
      </w:r>
      <w:r w:rsidR="00E61461" w:rsidRPr="00BB6220">
        <w:t>they</w:t>
      </w:r>
      <w:r w:rsidR="003D640C">
        <w:t xml:space="preserve"> </w:t>
      </w:r>
      <w:r w:rsidR="00E61461" w:rsidRPr="00BB6220">
        <w:t>are</w:t>
      </w:r>
      <w:r w:rsidR="003D640C">
        <w:t xml:space="preserve"> </w:t>
      </w:r>
      <w:r w:rsidR="009B0B2A" w:rsidRPr="00BB6220">
        <w:t>also</w:t>
      </w:r>
      <w:r w:rsidR="003D640C">
        <w:t xml:space="preserve"> </w:t>
      </w:r>
      <w:r w:rsidRPr="00BB6220">
        <w:t>exclu</w:t>
      </w:r>
      <w:r w:rsidR="00D5290B" w:rsidRPr="00BB6220">
        <w:t>ded</w:t>
      </w:r>
      <w:r w:rsidR="003D640C">
        <w:t xml:space="preserve"> </w:t>
      </w:r>
      <w:r w:rsidRPr="00BB6220">
        <w:t>from</w:t>
      </w:r>
      <w:r w:rsidR="003D640C">
        <w:t xml:space="preserve"> </w:t>
      </w:r>
      <w:r w:rsidRPr="00BB6220">
        <w:t>non-</w:t>
      </w:r>
      <w:r w:rsidR="00E61461" w:rsidRPr="00BB6220">
        <w:t>Rainbow</w:t>
      </w:r>
      <w:r w:rsidR="003D640C">
        <w:t xml:space="preserve"> </w:t>
      </w:r>
      <w:r w:rsidR="00D5290B" w:rsidRPr="00BB6220">
        <w:t>circles</w:t>
      </w:r>
      <w:r w:rsidR="003D640C">
        <w:t xml:space="preserve"> </w:t>
      </w:r>
      <w:r w:rsidR="00D5290B" w:rsidRPr="00BB6220">
        <w:t>that</w:t>
      </w:r>
      <w:r w:rsidR="003D640C">
        <w:t xml:space="preserve"> </w:t>
      </w:r>
      <w:r w:rsidR="00DD3F69" w:rsidRPr="00BB6220">
        <w:t>do</w:t>
      </w:r>
      <w:r w:rsidR="003D640C">
        <w:t xml:space="preserve"> </w:t>
      </w:r>
      <w:r w:rsidR="00DD3F69" w:rsidRPr="00BB6220">
        <w:t>not</w:t>
      </w:r>
      <w:r w:rsidR="003D640C">
        <w:t xml:space="preserve"> </w:t>
      </w:r>
      <w:r w:rsidR="00DD3F69" w:rsidRPr="00BB6220">
        <w:t>accept</w:t>
      </w:r>
      <w:r w:rsidR="003D640C">
        <w:t xml:space="preserve"> </w:t>
      </w:r>
      <w:r w:rsidR="00DD3F69" w:rsidRPr="00BB6220">
        <w:t>their</w:t>
      </w:r>
      <w:r w:rsidR="003D640C">
        <w:t xml:space="preserve"> </w:t>
      </w:r>
      <w:r w:rsidR="00E61461" w:rsidRPr="00BB6220">
        <w:t>Rainbow</w:t>
      </w:r>
      <w:r w:rsidR="003D640C">
        <w:t xml:space="preserve"> </w:t>
      </w:r>
      <w:r w:rsidR="00D81919" w:rsidRPr="00BB6220">
        <w:t>identity.</w:t>
      </w:r>
      <w:r w:rsidR="003D640C">
        <w:t xml:space="preserve"> </w:t>
      </w:r>
      <w:r w:rsidRPr="00BB6220">
        <w:t>Survivors</w:t>
      </w:r>
      <w:r w:rsidR="003D640C">
        <w:t xml:space="preserve"> </w:t>
      </w:r>
      <w:r w:rsidRPr="00BB6220">
        <w:t>who</w:t>
      </w:r>
      <w:r w:rsidR="003D640C">
        <w:t xml:space="preserve"> </w:t>
      </w:r>
      <w:r w:rsidRPr="00BB6220">
        <w:t>had</w:t>
      </w:r>
      <w:r w:rsidR="003D640C">
        <w:t xml:space="preserve"> </w:t>
      </w:r>
      <w:r w:rsidRPr="00BB6220">
        <w:t>children</w:t>
      </w:r>
      <w:r w:rsidR="003D640C">
        <w:t xml:space="preserve"> </w:t>
      </w:r>
      <w:r w:rsidRPr="00BB6220">
        <w:t>in</w:t>
      </w:r>
      <w:r w:rsidR="003D640C">
        <w:t xml:space="preserve"> </w:t>
      </w:r>
      <w:r w:rsidRPr="00BB6220">
        <w:t>previous</w:t>
      </w:r>
      <w:r w:rsidR="003D640C">
        <w:t xml:space="preserve"> </w:t>
      </w:r>
      <w:r w:rsidRPr="00BB6220">
        <w:t>heterosexual</w:t>
      </w:r>
      <w:r w:rsidR="003D640C">
        <w:t xml:space="preserve"> </w:t>
      </w:r>
      <w:r w:rsidRPr="00BB6220">
        <w:t>relationships</w:t>
      </w:r>
      <w:r w:rsidR="003D640C">
        <w:t xml:space="preserve"> </w:t>
      </w:r>
      <w:r w:rsidRPr="00BB6220">
        <w:t>often</w:t>
      </w:r>
      <w:r w:rsidR="003D640C">
        <w:t xml:space="preserve"> </w:t>
      </w:r>
      <w:r w:rsidRPr="00BB6220">
        <w:t>experience</w:t>
      </w:r>
      <w:r w:rsidR="003D640C">
        <w:t xml:space="preserve"> </w:t>
      </w:r>
      <w:r w:rsidRPr="00BB6220">
        <w:t>exclusion</w:t>
      </w:r>
      <w:r w:rsidR="003D640C">
        <w:t xml:space="preserve"> </w:t>
      </w:r>
      <w:r w:rsidRPr="00BB6220">
        <w:t>from</w:t>
      </w:r>
      <w:r w:rsidR="003D640C">
        <w:t xml:space="preserve"> </w:t>
      </w:r>
      <w:r w:rsidR="00720317" w:rsidRPr="00BB6220">
        <w:t>groups</w:t>
      </w:r>
      <w:r w:rsidR="003D640C">
        <w:t xml:space="preserve"> </w:t>
      </w:r>
      <w:r w:rsidR="00720317" w:rsidRPr="00BB6220">
        <w:t>of</w:t>
      </w:r>
      <w:r w:rsidR="003D640C">
        <w:t xml:space="preserve"> </w:t>
      </w:r>
      <w:r w:rsidRPr="00BB6220">
        <w:t>parents</w:t>
      </w:r>
      <w:r w:rsidR="003D640C">
        <w:t xml:space="preserve"> </w:t>
      </w:r>
      <w:r w:rsidRPr="00BB6220">
        <w:t>as</w:t>
      </w:r>
      <w:r w:rsidR="003D640C">
        <w:t xml:space="preserve"> </w:t>
      </w:r>
      <w:r w:rsidRPr="00BB6220">
        <w:t>they</w:t>
      </w:r>
      <w:r w:rsidR="003D640C">
        <w:t xml:space="preserve"> </w:t>
      </w:r>
      <w:r w:rsidRPr="00BB6220">
        <w:t>divorce</w:t>
      </w:r>
      <w:r w:rsidR="003D640C">
        <w:t xml:space="preserve"> </w:t>
      </w:r>
      <w:r w:rsidRPr="00BB6220">
        <w:t>and</w:t>
      </w:r>
      <w:r w:rsidR="003D640C">
        <w:t xml:space="preserve"> </w:t>
      </w:r>
      <w:r w:rsidRPr="00BB6220">
        <w:t>come</w:t>
      </w:r>
      <w:r w:rsidR="003D640C">
        <w:t xml:space="preserve"> </w:t>
      </w:r>
      <w:r w:rsidRPr="00BB6220">
        <w:t>out</w:t>
      </w:r>
      <w:r w:rsidR="003D640C">
        <w:t xml:space="preserve"> </w:t>
      </w:r>
      <w:r w:rsidRPr="00BB6220">
        <w:t>as</w:t>
      </w:r>
      <w:r w:rsidR="003D640C">
        <w:t xml:space="preserve"> </w:t>
      </w:r>
      <w:r w:rsidRPr="00BB6220">
        <w:t>part</w:t>
      </w:r>
      <w:r w:rsidR="003D640C">
        <w:t xml:space="preserve"> </w:t>
      </w:r>
      <w:r w:rsidRPr="00BB6220">
        <w:t>of</w:t>
      </w:r>
      <w:r w:rsidR="003D640C">
        <w:t xml:space="preserve"> </w:t>
      </w:r>
      <w:r w:rsidRPr="00BB6220">
        <w:t>the</w:t>
      </w:r>
      <w:r w:rsidR="003D640C">
        <w:t xml:space="preserve"> </w:t>
      </w:r>
      <w:r w:rsidR="00E61461" w:rsidRPr="00BB6220">
        <w:t>Rainbow</w:t>
      </w:r>
      <w:r w:rsidR="003D640C">
        <w:t xml:space="preserve"> </w:t>
      </w:r>
      <w:r w:rsidRPr="00BB6220">
        <w:t>community</w:t>
      </w:r>
      <w:r w:rsidR="003D640C">
        <w:t xml:space="preserve"> </w:t>
      </w:r>
      <w:r w:rsidRPr="00BB6220">
        <w:t>and</w:t>
      </w:r>
      <w:r w:rsidR="003D640C">
        <w:t xml:space="preserve"> </w:t>
      </w:r>
      <w:r w:rsidRPr="00BB6220">
        <w:t>as</w:t>
      </w:r>
      <w:r w:rsidR="003D640C">
        <w:t xml:space="preserve"> </w:t>
      </w:r>
      <w:r w:rsidRPr="00BB6220">
        <w:t>newly</w:t>
      </w:r>
      <w:r w:rsidR="003D640C">
        <w:t xml:space="preserve"> </w:t>
      </w:r>
      <w:r w:rsidRPr="00BB6220">
        <w:t>single</w:t>
      </w:r>
      <w:r w:rsidR="003D640C">
        <w:t xml:space="preserve"> </w:t>
      </w:r>
      <w:r w:rsidRPr="00BB6220">
        <w:t>people</w:t>
      </w:r>
      <w:r w:rsidR="003D640C">
        <w:t xml:space="preserve"> </w:t>
      </w:r>
      <w:r w:rsidRPr="00BB6220">
        <w:t>with</w:t>
      </w:r>
      <w:r w:rsidR="003D640C">
        <w:t xml:space="preserve"> </w:t>
      </w:r>
      <w:r w:rsidRPr="00BB6220">
        <w:t>unusual</w:t>
      </w:r>
      <w:r w:rsidR="003D640C">
        <w:t xml:space="preserve"> </w:t>
      </w:r>
      <w:r w:rsidR="00720317" w:rsidRPr="00BB6220">
        <w:t>h</w:t>
      </w:r>
      <w:r w:rsidRPr="00BB6220">
        <w:t>istories</w:t>
      </w:r>
      <w:r w:rsidR="003D640C">
        <w:t xml:space="preserve"> </w:t>
      </w:r>
      <w:r w:rsidR="00720317" w:rsidRPr="00BB6220">
        <w:t>that</w:t>
      </w:r>
      <w:r w:rsidR="003D640C">
        <w:t xml:space="preserve"> </w:t>
      </w:r>
      <w:r w:rsidR="009B0B2A" w:rsidRPr="00BB6220">
        <w:t>are</w:t>
      </w:r>
      <w:r w:rsidR="003D640C">
        <w:t xml:space="preserve"> </w:t>
      </w:r>
      <w:r w:rsidR="009B0B2A" w:rsidRPr="00BB6220">
        <w:t>often</w:t>
      </w:r>
      <w:r w:rsidR="003D640C">
        <w:t xml:space="preserve"> </w:t>
      </w:r>
      <w:r w:rsidR="00720317" w:rsidRPr="00BB6220">
        <w:t>difficult</w:t>
      </w:r>
      <w:r w:rsidR="003D640C">
        <w:t xml:space="preserve"> </w:t>
      </w:r>
      <w:r w:rsidR="0095261B" w:rsidRPr="00BB6220">
        <w:t>for</w:t>
      </w:r>
      <w:r w:rsidR="003D640C">
        <w:t xml:space="preserve"> </w:t>
      </w:r>
      <w:r w:rsidR="0095261B" w:rsidRPr="00BB6220">
        <w:t>others</w:t>
      </w:r>
      <w:r w:rsidR="003D640C">
        <w:t xml:space="preserve"> </w:t>
      </w:r>
      <w:r w:rsidRPr="00BB6220">
        <w:t>to</w:t>
      </w:r>
      <w:r w:rsidR="003D640C">
        <w:t xml:space="preserve"> </w:t>
      </w:r>
      <w:r w:rsidR="0095261B" w:rsidRPr="00BB6220">
        <w:t>comprehend</w:t>
      </w:r>
      <w:r w:rsidRPr="00BB6220">
        <w:t>.</w:t>
      </w:r>
      <w:r w:rsidR="003D640C">
        <w:t xml:space="preserve"> </w:t>
      </w:r>
    </w:p>
    <w:p w14:paraId="07573633" w14:textId="23180B4B" w:rsidR="00501068" w:rsidRDefault="00E24CCB" w:rsidP="009500DE">
      <w:r>
        <w:t>Through</w:t>
      </w:r>
      <w:r w:rsidR="003D640C">
        <w:t xml:space="preserve"> </w:t>
      </w:r>
      <w:r>
        <w:t>our</w:t>
      </w:r>
      <w:r w:rsidR="003D640C">
        <w:t xml:space="preserve"> </w:t>
      </w:r>
      <w:r>
        <w:t>engagement</w:t>
      </w:r>
      <w:r w:rsidR="00DB6976">
        <w:t>,</w:t>
      </w:r>
      <w:r w:rsidR="003D640C">
        <w:t xml:space="preserve"> </w:t>
      </w:r>
      <w:r>
        <w:t>we</w:t>
      </w:r>
      <w:r w:rsidR="003D640C">
        <w:t xml:space="preserve"> </w:t>
      </w:r>
      <w:r>
        <w:t>heard</w:t>
      </w:r>
      <w:r w:rsidR="003D640C">
        <w:t xml:space="preserve"> </w:t>
      </w:r>
      <w:r>
        <w:t>that</w:t>
      </w:r>
      <w:r w:rsidR="003D640C">
        <w:t xml:space="preserve"> </w:t>
      </w:r>
      <w:r>
        <w:t>t</w:t>
      </w:r>
      <w:r w:rsidR="00D527F0" w:rsidRPr="00BB6220">
        <w:t>he</w:t>
      </w:r>
      <w:r w:rsidR="003D640C">
        <w:t xml:space="preserve"> </w:t>
      </w:r>
      <w:r w:rsidR="00D527F0" w:rsidRPr="00BB6220">
        <w:t>intensity</w:t>
      </w:r>
      <w:r w:rsidR="003D640C">
        <w:t xml:space="preserve"> </w:t>
      </w:r>
      <w:r w:rsidR="00D527F0" w:rsidRPr="00BB6220">
        <w:t>of</w:t>
      </w:r>
      <w:r w:rsidR="003D640C">
        <w:t xml:space="preserve"> </w:t>
      </w:r>
      <w:r w:rsidR="00D527F0" w:rsidRPr="00BB6220">
        <w:t>this</w:t>
      </w:r>
      <w:r w:rsidR="003D640C">
        <w:t xml:space="preserve"> </w:t>
      </w:r>
      <w:r w:rsidR="00D527F0" w:rsidRPr="00BB6220">
        <w:t>isolation</w:t>
      </w:r>
      <w:r w:rsidR="003D640C">
        <w:t xml:space="preserve"> </w:t>
      </w:r>
      <w:r w:rsidR="00E61461" w:rsidRPr="00BB6220">
        <w:t>–</w:t>
      </w:r>
      <w:r w:rsidR="003D640C">
        <w:t xml:space="preserve"> </w:t>
      </w:r>
      <w:r w:rsidR="00D527F0" w:rsidRPr="00BB6220">
        <w:t>and</w:t>
      </w:r>
      <w:r w:rsidR="003D640C">
        <w:t xml:space="preserve"> </w:t>
      </w:r>
      <w:r w:rsidR="00D527F0" w:rsidRPr="00BB6220">
        <w:t>the</w:t>
      </w:r>
      <w:r w:rsidR="003D640C">
        <w:t xml:space="preserve"> </w:t>
      </w:r>
      <w:r w:rsidR="0011589E" w:rsidRPr="00BB6220">
        <w:t>perceived</w:t>
      </w:r>
      <w:r w:rsidR="003D640C">
        <w:t xml:space="preserve"> </w:t>
      </w:r>
      <w:r w:rsidR="0011589E" w:rsidRPr="00BB6220">
        <w:t>or</w:t>
      </w:r>
      <w:r w:rsidR="003D640C">
        <w:t xml:space="preserve"> </w:t>
      </w:r>
      <w:r w:rsidR="0011589E" w:rsidRPr="00BB6220">
        <w:t>actual</w:t>
      </w:r>
      <w:r w:rsidR="003D640C">
        <w:t xml:space="preserve"> </w:t>
      </w:r>
      <w:r w:rsidR="00D527F0" w:rsidRPr="00BB6220">
        <w:t>inability</w:t>
      </w:r>
      <w:r w:rsidR="003D640C">
        <w:t xml:space="preserve"> </w:t>
      </w:r>
      <w:r w:rsidR="00D527F0" w:rsidRPr="00BB6220">
        <w:t>to</w:t>
      </w:r>
      <w:r w:rsidR="003D640C">
        <w:t xml:space="preserve"> </w:t>
      </w:r>
      <w:r w:rsidR="00D527F0" w:rsidRPr="00BB6220">
        <w:t>remedy</w:t>
      </w:r>
      <w:r w:rsidR="003D640C">
        <w:t xml:space="preserve"> </w:t>
      </w:r>
      <w:r w:rsidR="00D527F0" w:rsidRPr="00BB6220">
        <w:t>it</w:t>
      </w:r>
      <w:r w:rsidR="003D640C">
        <w:t xml:space="preserve"> </w:t>
      </w:r>
      <w:r w:rsidR="00E61461" w:rsidRPr="00BB6220">
        <w:t>–</w:t>
      </w:r>
      <w:r w:rsidR="003D640C">
        <w:t xml:space="preserve"> </w:t>
      </w:r>
      <w:r w:rsidR="00D527F0" w:rsidRPr="00BB6220">
        <w:t>can</w:t>
      </w:r>
      <w:r w:rsidR="003D640C">
        <w:t xml:space="preserve"> </w:t>
      </w:r>
      <w:r w:rsidR="00D527F0" w:rsidRPr="00BB6220">
        <w:t>feel</w:t>
      </w:r>
      <w:r w:rsidR="003D640C">
        <w:t xml:space="preserve"> </w:t>
      </w:r>
      <w:r w:rsidR="00D527F0" w:rsidRPr="00BB6220">
        <w:t>like</w:t>
      </w:r>
      <w:r w:rsidR="003D640C">
        <w:t xml:space="preserve"> </w:t>
      </w:r>
      <w:r w:rsidR="00D527F0" w:rsidRPr="00BB6220">
        <w:t>an</w:t>
      </w:r>
      <w:r w:rsidR="003D640C">
        <w:t xml:space="preserve"> </w:t>
      </w:r>
      <w:r w:rsidR="00D527F0" w:rsidRPr="00BB6220">
        <w:t>extension</w:t>
      </w:r>
      <w:r w:rsidR="003D640C">
        <w:t xml:space="preserve"> </w:t>
      </w:r>
      <w:r w:rsidR="00D527F0" w:rsidRPr="00BB6220">
        <w:t>to</w:t>
      </w:r>
      <w:r w:rsidR="003D640C">
        <w:t xml:space="preserve"> </w:t>
      </w:r>
      <w:r w:rsidR="00D527F0" w:rsidRPr="00BB6220">
        <w:t>the</w:t>
      </w:r>
      <w:r w:rsidR="003D640C">
        <w:t xml:space="preserve"> </w:t>
      </w:r>
      <w:r w:rsidR="00D527F0" w:rsidRPr="00BB6220">
        <w:t>loss</w:t>
      </w:r>
      <w:r w:rsidR="003D640C">
        <w:t xml:space="preserve"> </w:t>
      </w:r>
      <w:r w:rsidR="00D527F0" w:rsidRPr="00BB6220">
        <w:t>of</w:t>
      </w:r>
      <w:r w:rsidR="003D640C">
        <w:t xml:space="preserve"> </w:t>
      </w:r>
      <w:r w:rsidR="00D527F0" w:rsidRPr="00BB6220">
        <w:t>autonomy</w:t>
      </w:r>
      <w:r w:rsidR="003D640C">
        <w:t xml:space="preserve"> </w:t>
      </w:r>
      <w:r w:rsidR="00D527F0" w:rsidRPr="00BB6220">
        <w:t>experienced</w:t>
      </w:r>
      <w:r w:rsidR="003D640C">
        <w:t xml:space="preserve"> </w:t>
      </w:r>
      <w:r w:rsidR="00D527F0" w:rsidRPr="00BB6220">
        <w:t>in</w:t>
      </w:r>
      <w:r w:rsidR="003D640C">
        <w:t xml:space="preserve"> </w:t>
      </w:r>
      <w:r w:rsidR="00D527F0" w:rsidRPr="00BB6220">
        <w:t>conversion</w:t>
      </w:r>
      <w:r w:rsidR="003D640C">
        <w:t xml:space="preserve"> </w:t>
      </w:r>
      <w:r w:rsidR="00D527F0" w:rsidRPr="00BB6220">
        <w:t>practices.</w:t>
      </w:r>
      <w:r w:rsidR="003D640C">
        <w:t xml:space="preserve"> </w:t>
      </w:r>
      <w:r w:rsidR="00D527F0" w:rsidRPr="00BB6220">
        <w:t>This</w:t>
      </w:r>
      <w:r w:rsidR="003D640C">
        <w:t xml:space="preserve"> </w:t>
      </w:r>
      <w:r w:rsidR="00456178" w:rsidRPr="00BB6220">
        <w:t>can</w:t>
      </w:r>
      <w:r w:rsidR="003D640C">
        <w:t xml:space="preserve"> </w:t>
      </w:r>
      <w:r w:rsidR="00D527F0" w:rsidRPr="00BB6220">
        <w:t>lead</w:t>
      </w:r>
      <w:r w:rsidR="003D640C">
        <w:t xml:space="preserve"> </w:t>
      </w:r>
      <w:r w:rsidR="00D527F0" w:rsidRPr="00BB6220">
        <w:t>to</w:t>
      </w:r>
      <w:r w:rsidR="003D640C">
        <w:t xml:space="preserve"> </w:t>
      </w:r>
      <w:r w:rsidR="00D527F0" w:rsidRPr="00BB6220">
        <w:t>the</w:t>
      </w:r>
      <w:r w:rsidR="003D640C">
        <w:t xml:space="preserve"> </w:t>
      </w:r>
      <w:r w:rsidR="00D527F0" w:rsidRPr="00BB6220">
        <w:t>unconscious</w:t>
      </w:r>
      <w:r w:rsidR="003D640C">
        <w:t xml:space="preserve"> </w:t>
      </w:r>
      <w:r w:rsidR="00D527F0" w:rsidRPr="00BB6220">
        <w:t>development</w:t>
      </w:r>
      <w:r w:rsidR="003D640C">
        <w:t xml:space="preserve"> </w:t>
      </w:r>
      <w:r w:rsidR="00D527F0" w:rsidRPr="00BB6220">
        <w:t>of</w:t>
      </w:r>
      <w:r w:rsidR="003D640C">
        <w:t xml:space="preserve"> </w:t>
      </w:r>
      <w:r w:rsidR="00D527F0" w:rsidRPr="00BB6220">
        <w:t>antisocial</w:t>
      </w:r>
      <w:r w:rsidR="003D640C">
        <w:t xml:space="preserve"> </w:t>
      </w:r>
      <w:r w:rsidR="00D527F0" w:rsidRPr="00BB6220">
        <w:t>behaviour</w:t>
      </w:r>
      <w:r w:rsidR="003D640C">
        <w:t xml:space="preserve"> </w:t>
      </w:r>
      <w:r w:rsidR="00D527F0" w:rsidRPr="00BB6220">
        <w:t>patterns</w:t>
      </w:r>
      <w:r w:rsidR="003D640C">
        <w:t xml:space="preserve"> </w:t>
      </w:r>
      <w:r w:rsidR="00D527F0" w:rsidRPr="00BB6220">
        <w:t>as</w:t>
      </w:r>
      <w:r w:rsidR="003D640C">
        <w:t xml:space="preserve"> </w:t>
      </w:r>
      <w:r w:rsidR="00D527F0" w:rsidRPr="00BB6220">
        <w:t>the</w:t>
      </w:r>
      <w:r w:rsidR="003D640C">
        <w:t xml:space="preserve"> </w:t>
      </w:r>
      <w:r w:rsidR="00D527F0" w:rsidRPr="00BB6220">
        <w:t>survivor</w:t>
      </w:r>
      <w:r w:rsidR="003D640C">
        <w:t xml:space="preserve"> </w:t>
      </w:r>
      <w:r w:rsidR="00D527F0" w:rsidRPr="00BB6220">
        <w:t>tries</w:t>
      </w:r>
      <w:r w:rsidR="003D640C">
        <w:t xml:space="preserve"> </w:t>
      </w:r>
      <w:r w:rsidR="00D527F0" w:rsidRPr="00BB6220">
        <w:t>to</w:t>
      </w:r>
      <w:r w:rsidR="003D640C">
        <w:t xml:space="preserve"> </w:t>
      </w:r>
      <w:r w:rsidR="00D527F0" w:rsidRPr="00BB6220">
        <w:t>cope</w:t>
      </w:r>
      <w:r w:rsidR="003D640C">
        <w:t xml:space="preserve"> </w:t>
      </w:r>
      <w:r w:rsidR="00D527F0" w:rsidRPr="00BB6220">
        <w:t>with</w:t>
      </w:r>
      <w:r w:rsidR="003D640C">
        <w:t xml:space="preserve"> </w:t>
      </w:r>
      <w:r w:rsidR="00D527F0" w:rsidRPr="00BB6220">
        <w:t>the</w:t>
      </w:r>
      <w:r w:rsidR="003D640C">
        <w:t xml:space="preserve"> </w:t>
      </w:r>
      <w:r w:rsidR="00D527F0" w:rsidRPr="00BB6220">
        <w:t>jarring</w:t>
      </w:r>
      <w:r w:rsidR="003D640C">
        <w:t xml:space="preserve"> </w:t>
      </w:r>
      <w:r w:rsidR="00D527F0" w:rsidRPr="00BB6220">
        <w:t>circumstance</w:t>
      </w:r>
      <w:r w:rsidR="003D640C">
        <w:t xml:space="preserve"> </w:t>
      </w:r>
      <w:r w:rsidR="00D527F0" w:rsidRPr="00BB6220">
        <w:t>of</w:t>
      </w:r>
      <w:r w:rsidR="003D640C">
        <w:t xml:space="preserve"> </w:t>
      </w:r>
      <w:r w:rsidR="00D527F0" w:rsidRPr="00BB6220">
        <w:t>having</w:t>
      </w:r>
      <w:r w:rsidR="003D640C">
        <w:t xml:space="preserve"> </w:t>
      </w:r>
      <w:r w:rsidR="00D527F0" w:rsidRPr="00BB6220">
        <w:t>little</w:t>
      </w:r>
      <w:r w:rsidR="003D640C">
        <w:t xml:space="preserve"> </w:t>
      </w:r>
      <w:r w:rsidR="00D527F0" w:rsidRPr="00BB6220">
        <w:t>or</w:t>
      </w:r>
      <w:r w:rsidR="003D640C">
        <w:t xml:space="preserve"> </w:t>
      </w:r>
      <w:r w:rsidR="00D527F0" w:rsidRPr="00BB6220">
        <w:t>no</w:t>
      </w:r>
      <w:r w:rsidR="003D640C">
        <w:t xml:space="preserve"> </w:t>
      </w:r>
      <w:r w:rsidR="00D527F0" w:rsidRPr="00BB6220">
        <w:t>community</w:t>
      </w:r>
      <w:r w:rsidR="003D640C">
        <w:t xml:space="preserve"> </w:t>
      </w:r>
      <w:r w:rsidR="00D527F0" w:rsidRPr="00BB6220">
        <w:t>of</w:t>
      </w:r>
      <w:r w:rsidR="003D640C">
        <w:t xml:space="preserve"> </w:t>
      </w:r>
      <w:r w:rsidR="00D527F0" w:rsidRPr="00BB6220">
        <w:t>support</w:t>
      </w:r>
      <w:r w:rsidR="003D640C">
        <w:t xml:space="preserve"> </w:t>
      </w:r>
      <w:r w:rsidR="0043722D" w:rsidRPr="00BB6220">
        <w:t>when</w:t>
      </w:r>
      <w:r w:rsidR="003D640C">
        <w:t xml:space="preserve"> </w:t>
      </w:r>
      <w:r w:rsidR="00D527F0" w:rsidRPr="00BB6220">
        <w:t>they</w:t>
      </w:r>
      <w:r w:rsidR="003D640C">
        <w:t xml:space="preserve"> </w:t>
      </w:r>
      <w:r w:rsidR="00D527F0" w:rsidRPr="00BB6220">
        <w:t>need</w:t>
      </w:r>
      <w:r w:rsidR="003D640C">
        <w:t xml:space="preserve"> </w:t>
      </w:r>
      <w:r w:rsidR="00D527F0" w:rsidRPr="00BB6220">
        <w:t>it</w:t>
      </w:r>
      <w:r w:rsidR="003D640C">
        <w:t xml:space="preserve"> </w:t>
      </w:r>
      <w:r w:rsidR="00D527F0" w:rsidRPr="00BB6220">
        <w:t>most.</w:t>
      </w:r>
    </w:p>
    <w:p w14:paraId="66513C1D" w14:textId="2DA9F1CC" w:rsidR="00501068" w:rsidRDefault="00FF4320" w:rsidP="009500DE">
      <w:r w:rsidRPr="00BB6220">
        <w:t>S</w:t>
      </w:r>
      <w:r w:rsidR="00FD3BC3" w:rsidRPr="00BB6220">
        <w:t>ome</w:t>
      </w:r>
      <w:r w:rsidR="003D640C">
        <w:t xml:space="preserve"> </w:t>
      </w:r>
      <w:r w:rsidR="00FD3BC3" w:rsidRPr="00BB6220">
        <w:t>s</w:t>
      </w:r>
      <w:r w:rsidRPr="00BB6220">
        <w:t>urvivors</w:t>
      </w:r>
      <w:r w:rsidR="003D640C">
        <w:t xml:space="preserve"> </w:t>
      </w:r>
      <w:r w:rsidR="00164930">
        <w:t>we</w:t>
      </w:r>
      <w:r w:rsidR="003D640C">
        <w:t xml:space="preserve"> </w:t>
      </w:r>
      <w:r w:rsidR="00164930">
        <w:t>heard</w:t>
      </w:r>
      <w:r w:rsidR="003D640C">
        <w:t xml:space="preserve"> </w:t>
      </w:r>
      <w:r w:rsidR="00164930">
        <w:t>from</w:t>
      </w:r>
      <w:r w:rsidR="003D640C">
        <w:t xml:space="preserve"> </w:t>
      </w:r>
      <w:r w:rsidRPr="00BB6220">
        <w:t>described</w:t>
      </w:r>
      <w:r w:rsidR="003D640C">
        <w:t xml:space="preserve"> </w:t>
      </w:r>
      <w:r w:rsidRPr="00BB6220">
        <w:t>this</w:t>
      </w:r>
      <w:r w:rsidR="003D640C">
        <w:t xml:space="preserve"> </w:t>
      </w:r>
      <w:r w:rsidR="00FD3BC3" w:rsidRPr="00BB6220">
        <w:t>as</w:t>
      </w:r>
      <w:r w:rsidR="003D640C">
        <w:t xml:space="preserve"> </w:t>
      </w:r>
      <w:r w:rsidRPr="00BB6220">
        <w:t>contributing</w:t>
      </w:r>
      <w:r w:rsidR="003D640C">
        <w:t xml:space="preserve"> </w:t>
      </w:r>
      <w:r w:rsidRPr="00BB6220">
        <w:t>to</w:t>
      </w:r>
      <w:r w:rsidR="003D640C">
        <w:t xml:space="preserve"> </w:t>
      </w:r>
      <w:r w:rsidRPr="00BB6220">
        <w:t>a</w:t>
      </w:r>
      <w:r w:rsidR="003D640C">
        <w:t xml:space="preserve"> </w:t>
      </w:r>
      <w:r w:rsidRPr="00BB6220">
        <w:t>‘second</w:t>
      </w:r>
      <w:r w:rsidR="003D640C">
        <w:t xml:space="preserve"> </w:t>
      </w:r>
      <w:r w:rsidRPr="00BB6220">
        <w:t>adolescence</w:t>
      </w:r>
      <w:bookmarkStart w:id="185" w:name="_Int_PfEsLuCZ"/>
      <w:r w:rsidRPr="00BB6220">
        <w:t>’</w:t>
      </w:r>
      <w:r w:rsidR="00675975" w:rsidRPr="00BB6220">
        <w:t>.</w:t>
      </w:r>
      <w:bookmarkEnd w:id="185"/>
      <w:r w:rsidR="003D640C">
        <w:t xml:space="preserve"> </w:t>
      </w:r>
      <w:r w:rsidR="00E61461" w:rsidRPr="00BB6220">
        <w:t>This</w:t>
      </w:r>
      <w:r w:rsidR="003D640C">
        <w:t xml:space="preserve"> </w:t>
      </w:r>
      <w:r w:rsidR="00E61461" w:rsidRPr="00BB6220">
        <w:t>means</w:t>
      </w:r>
      <w:r w:rsidR="003D640C">
        <w:t xml:space="preserve"> </w:t>
      </w:r>
      <w:r w:rsidR="00E61461" w:rsidRPr="00BB6220">
        <w:t>that</w:t>
      </w:r>
      <w:r w:rsidR="003D640C">
        <w:t xml:space="preserve"> </w:t>
      </w:r>
      <w:r w:rsidR="00E61461" w:rsidRPr="00BB6220">
        <w:t>there</w:t>
      </w:r>
      <w:r w:rsidR="003D640C">
        <w:t xml:space="preserve"> </w:t>
      </w:r>
      <w:r w:rsidR="00E61461" w:rsidRPr="00BB6220">
        <w:t>is,</w:t>
      </w:r>
      <w:r w:rsidR="003D640C">
        <w:t xml:space="preserve"> </w:t>
      </w:r>
      <w:r w:rsidR="00E61461" w:rsidRPr="00BB6220">
        <w:t>on</w:t>
      </w:r>
      <w:r w:rsidR="003D640C">
        <w:t xml:space="preserve"> </w:t>
      </w:r>
      <w:r w:rsidR="00960579">
        <w:t>the</w:t>
      </w:r>
      <w:r w:rsidR="003D640C">
        <w:t xml:space="preserve"> </w:t>
      </w:r>
      <w:r w:rsidR="00E61461" w:rsidRPr="00BB6220">
        <w:t>one</w:t>
      </w:r>
      <w:r w:rsidR="003D640C">
        <w:t xml:space="preserve"> </w:t>
      </w:r>
      <w:r w:rsidR="00E61461" w:rsidRPr="00BB6220">
        <w:t>hand,</w:t>
      </w:r>
      <w:r w:rsidR="003D640C">
        <w:t xml:space="preserve"> </w:t>
      </w:r>
      <w:r w:rsidR="00EE7065" w:rsidRPr="00BB6220">
        <w:t>a</w:t>
      </w:r>
      <w:r w:rsidR="003D640C">
        <w:t xml:space="preserve"> </w:t>
      </w:r>
      <w:r w:rsidR="00EE7065" w:rsidRPr="00BB6220">
        <w:t>motivation</w:t>
      </w:r>
      <w:r w:rsidR="003D640C">
        <w:t xml:space="preserve"> </w:t>
      </w:r>
      <w:r w:rsidR="00EE7065" w:rsidRPr="00BB6220">
        <w:t>to</w:t>
      </w:r>
      <w:r w:rsidR="003D640C">
        <w:t xml:space="preserve"> </w:t>
      </w:r>
      <w:r w:rsidR="00EE7065" w:rsidRPr="00BB6220">
        <w:t>rebel</w:t>
      </w:r>
      <w:r w:rsidR="003D640C">
        <w:t xml:space="preserve"> </w:t>
      </w:r>
      <w:r w:rsidR="00EE7065" w:rsidRPr="00BB6220">
        <w:t>against</w:t>
      </w:r>
      <w:r w:rsidR="003D640C">
        <w:t xml:space="preserve"> </w:t>
      </w:r>
      <w:r w:rsidR="00EE7065" w:rsidRPr="00BB6220">
        <w:t>the</w:t>
      </w:r>
      <w:r w:rsidR="003D640C">
        <w:t xml:space="preserve"> </w:t>
      </w:r>
      <w:r w:rsidR="00EE7065" w:rsidRPr="00BB6220">
        <w:t>indoctrination</w:t>
      </w:r>
      <w:r w:rsidR="003D640C">
        <w:t xml:space="preserve"> </w:t>
      </w:r>
      <w:r w:rsidR="00EE7065" w:rsidRPr="00BB6220">
        <w:t>and</w:t>
      </w:r>
      <w:r w:rsidR="003D640C">
        <w:t xml:space="preserve"> </w:t>
      </w:r>
      <w:r w:rsidR="009379EC" w:rsidRPr="00BB6220">
        <w:t>control</w:t>
      </w:r>
      <w:r w:rsidR="003D640C">
        <w:t xml:space="preserve"> </w:t>
      </w:r>
      <w:r w:rsidR="009A67EC" w:rsidRPr="00BB6220">
        <w:t>that</w:t>
      </w:r>
      <w:r w:rsidR="003D640C">
        <w:t xml:space="preserve"> </w:t>
      </w:r>
      <w:r w:rsidR="009A67EC" w:rsidRPr="00BB6220">
        <w:t>led</w:t>
      </w:r>
      <w:r w:rsidR="003D640C">
        <w:t xml:space="preserve"> </w:t>
      </w:r>
      <w:r w:rsidR="009A67EC" w:rsidRPr="00BB6220">
        <w:t>to</w:t>
      </w:r>
      <w:r w:rsidR="003D640C">
        <w:t xml:space="preserve"> </w:t>
      </w:r>
      <w:r w:rsidR="009A67EC" w:rsidRPr="00BB6220">
        <w:t>their</w:t>
      </w:r>
      <w:r w:rsidR="003D640C">
        <w:t xml:space="preserve"> </w:t>
      </w:r>
      <w:r w:rsidR="009A67EC" w:rsidRPr="00BB6220">
        <w:t>conversion</w:t>
      </w:r>
      <w:r w:rsidR="003D640C">
        <w:t xml:space="preserve"> </w:t>
      </w:r>
      <w:r w:rsidR="009A67EC" w:rsidRPr="00BB6220">
        <w:t>practices</w:t>
      </w:r>
      <w:r w:rsidR="00960579">
        <w:t>.</w:t>
      </w:r>
      <w:r w:rsidR="003D640C">
        <w:t xml:space="preserve"> </w:t>
      </w:r>
      <w:r w:rsidR="00960579">
        <w:t>On</w:t>
      </w:r>
      <w:r w:rsidR="003D640C">
        <w:t xml:space="preserve"> </w:t>
      </w:r>
      <w:r w:rsidR="00E61461" w:rsidRPr="00BB6220">
        <w:t>the</w:t>
      </w:r>
      <w:r w:rsidR="003D640C">
        <w:t xml:space="preserve"> </w:t>
      </w:r>
      <w:r w:rsidR="00E61461" w:rsidRPr="00BB6220">
        <w:t>other</w:t>
      </w:r>
      <w:r w:rsidR="003D640C">
        <w:t xml:space="preserve"> </w:t>
      </w:r>
      <w:r w:rsidR="00960579">
        <w:t>hand</w:t>
      </w:r>
      <w:r w:rsidR="00E61461" w:rsidRPr="00BB6220">
        <w:t>,</w:t>
      </w:r>
      <w:r w:rsidR="003D640C">
        <w:t xml:space="preserve"> </w:t>
      </w:r>
      <w:r w:rsidR="009A67EC" w:rsidRPr="00BB6220">
        <w:t>there</w:t>
      </w:r>
      <w:r w:rsidR="003D640C">
        <w:t xml:space="preserve"> </w:t>
      </w:r>
      <w:r w:rsidR="009A67EC" w:rsidRPr="00BB6220">
        <w:t>is</w:t>
      </w:r>
      <w:r w:rsidR="003D640C">
        <w:t xml:space="preserve"> </w:t>
      </w:r>
      <w:r w:rsidR="009A67EC" w:rsidRPr="00BB6220">
        <w:t>a</w:t>
      </w:r>
      <w:r w:rsidR="003D640C">
        <w:t xml:space="preserve"> </w:t>
      </w:r>
      <w:r w:rsidR="001D5BB4" w:rsidRPr="00BB6220">
        <w:t>desire</w:t>
      </w:r>
      <w:r w:rsidR="003D640C">
        <w:t xml:space="preserve"> </w:t>
      </w:r>
      <w:r w:rsidR="001D5BB4" w:rsidRPr="00BB6220">
        <w:t>to</w:t>
      </w:r>
      <w:r w:rsidR="003D640C">
        <w:t xml:space="preserve"> </w:t>
      </w:r>
      <w:r w:rsidR="001D5BB4" w:rsidRPr="00BB6220">
        <w:t>‘make</w:t>
      </w:r>
      <w:r w:rsidR="003D640C">
        <w:t xml:space="preserve"> </w:t>
      </w:r>
      <w:r w:rsidR="001D5BB4" w:rsidRPr="00BB6220">
        <w:t>up</w:t>
      </w:r>
      <w:r w:rsidR="003D640C">
        <w:t xml:space="preserve"> </w:t>
      </w:r>
      <w:r w:rsidR="001D5BB4" w:rsidRPr="00BB6220">
        <w:t>for</w:t>
      </w:r>
      <w:r w:rsidR="003D640C">
        <w:t xml:space="preserve"> </w:t>
      </w:r>
      <w:r w:rsidR="001D5BB4" w:rsidRPr="00BB6220">
        <w:t>lost</w:t>
      </w:r>
      <w:r w:rsidR="003D640C">
        <w:t xml:space="preserve"> </w:t>
      </w:r>
      <w:r w:rsidR="001D5BB4" w:rsidRPr="00BB6220">
        <w:t>time’</w:t>
      </w:r>
      <w:r w:rsidR="003D640C">
        <w:t xml:space="preserve"> </w:t>
      </w:r>
      <w:r w:rsidR="001D5BB4" w:rsidRPr="00BB6220">
        <w:t>socially,</w:t>
      </w:r>
      <w:r w:rsidR="003D640C">
        <w:t xml:space="preserve"> </w:t>
      </w:r>
      <w:r w:rsidR="001D5BB4" w:rsidRPr="00BB6220">
        <w:t>sexually</w:t>
      </w:r>
      <w:r w:rsidR="594EB677" w:rsidRPr="00BB6220">
        <w:t>,</w:t>
      </w:r>
      <w:r w:rsidR="003D640C">
        <w:t xml:space="preserve"> </w:t>
      </w:r>
      <w:r w:rsidR="001D5BB4" w:rsidRPr="00BB6220">
        <w:t>and</w:t>
      </w:r>
      <w:r w:rsidR="003D640C">
        <w:t xml:space="preserve"> </w:t>
      </w:r>
      <w:r w:rsidR="00257DD7" w:rsidRPr="00BB6220">
        <w:t>in</w:t>
      </w:r>
      <w:r w:rsidR="003D640C">
        <w:t xml:space="preserve"> </w:t>
      </w:r>
      <w:r w:rsidR="00924B5E" w:rsidRPr="00BB6220">
        <w:t>typical</w:t>
      </w:r>
      <w:r w:rsidR="003D640C">
        <w:t xml:space="preserve"> </w:t>
      </w:r>
      <w:r w:rsidR="00E61461" w:rsidRPr="00BB6220">
        <w:t>Rainbow</w:t>
      </w:r>
      <w:r w:rsidR="003D640C">
        <w:t xml:space="preserve"> </w:t>
      </w:r>
      <w:r w:rsidR="004D3759" w:rsidRPr="00BB6220">
        <w:t>celebrations</w:t>
      </w:r>
      <w:r w:rsidR="003D640C">
        <w:t xml:space="preserve"> </w:t>
      </w:r>
      <w:r w:rsidR="004D3759" w:rsidRPr="00BB6220">
        <w:t>and</w:t>
      </w:r>
      <w:r w:rsidR="003D640C">
        <w:t xml:space="preserve"> </w:t>
      </w:r>
      <w:r w:rsidR="004D3759" w:rsidRPr="00BB6220">
        <w:t>rites</w:t>
      </w:r>
      <w:r w:rsidR="003D640C">
        <w:t xml:space="preserve"> </w:t>
      </w:r>
      <w:r w:rsidR="004D3759" w:rsidRPr="00BB6220">
        <w:t>of</w:t>
      </w:r>
      <w:r w:rsidR="003D640C">
        <w:t xml:space="preserve"> </w:t>
      </w:r>
      <w:r w:rsidR="004D3759" w:rsidRPr="00BB6220">
        <w:t>passage.</w:t>
      </w:r>
      <w:r w:rsidR="003D640C">
        <w:t xml:space="preserve"> </w:t>
      </w:r>
    </w:p>
    <w:p w14:paraId="11111818" w14:textId="6C75FEA1" w:rsidR="00501068" w:rsidRDefault="00164930" w:rsidP="009500DE">
      <w:r>
        <w:t>Recent</w:t>
      </w:r>
      <w:r w:rsidR="003D640C">
        <w:t xml:space="preserve"> </w:t>
      </w:r>
      <w:r w:rsidR="00D527F0" w:rsidRPr="00BB6220">
        <w:t>research</w:t>
      </w:r>
      <w:r w:rsidR="003D640C">
        <w:t xml:space="preserve"> </w:t>
      </w:r>
      <w:r w:rsidR="00943A54" w:rsidRPr="00BB6220">
        <w:t>indicates</w:t>
      </w:r>
      <w:r w:rsidR="003D640C">
        <w:t xml:space="preserve"> </w:t>
      </w:r>
      <w:r w:rsidR="00943A54" w:rsidRPr="00BB6220">
        <w:t>that</w:t>
      </w:r>
      <w:r w:rsidR="003D640C">
        <w:t xml:space="preserve"> </w:t>
      </w:r>
      <w:r w:rsidR="00943A54" w:rsidRPr="00BB6220">
        <w:t>enduring</w:t>
      </w:r>
      <w:r w:rsidR="003D640C">
        <w:t xml:space="preserve"> </w:t>
      </w:r>
      <w:r w:rsidR="00943A54" w:rsidRPr="00BB6220">
        <w:t>conversion</w:t>
      </w:r>
      <w:r w:rsidR="003D640C">
        <w:t xml:space="preserve"> </w:t>
      </w:r>
      <w:r w:rsidR="00943A54" w:rsidRPr="00BB6220">
        <w:t>practices,</w:t>
      </w:r>
      <w:r w:rsidR="003D640C">
        <w:t xml:space="preserve"> </w:t>
      </w:r>
      <w:r w:rsidR="00943A54" w:rsidRPr="00BB6220">
        <w:t>coupled</w:t>
      </w:r>
      <w:r w:rsidR="003D640C">
        <w:t xml:space="preserve"> </w:t>
      </w:r>
      <w:r w:rsidR="00943A54" w:rsidRPr="00BB6220">
        <w:t>with</w:t>
      </w:r>
      <w:r w:rsidR="003D640C">
        <w:t xml:space="preserve"> </w:t>
      </w:r>
      <w:r w:rsidR="00E21A2D" w:rsidRPr="00BB6220">
        <w:t>growing</w:t>
      </w:r>
      <w:r w:rsidR="003D640C">
        <w:t xml:space="preserve"> </w:t>
      </w:r>
      <w:r w:rsidR="00E21A2D" w:rsidRPr="00BB6220">
        <w:t>up</w:t>
      </w:r>
      <w:r w:rsidR="003D640C">
        <w:t xml:space="preserve"> </w:t>
      </w:r>
      <w:r w:rsidR="00E21A2D" w:rsidRPr="00BB6220">
        <w:t>in</w:t>
      </w:r>
      <w:r w:rsidR="003D640C">
        <w:t xml:space="preserve"> </w:t>
      </w:r>
      <w:r w:rsidR="00E21A2D" w:rsidRPr="00BB6220">
        <w:t>or</w:t>
      </w:r>
      <w:r w:rsidR="003D640C">
        <w:t xml:space="preserve"> </w:t>
      </w:r>
      <w:r w:rsidR="00E21A2D" w:rsidRPr="00BB6220">
        <w:t>spending</w:t>
      </w:r>
      <w:r w:rsidR="003D640C">
        <w:t xml:space="preserve"> </w:t>
      </w:r>
      <w:r w:rsidR="00E21A2D" w:rsidRPr="00BB6220">
        <w:t>extended</w:t>
      </w:r>
      <w:r w:rsidR="003D640C">
        <w:t xml:space="preserve"> </w:t>
      </w:r>
      <w:r w:rsidR="00E21A2D" w:rsidRPr="00BB6220">
        <w:t>time</w:t>
      </w:r>
      <w:r w:rsidR="003D640C">
        <w:t xml:space="preserve"> </w:t>
      </w:r>
      <w:r w:rsidR="00943A54" w:rsidRPr="00BB6220">
        <w:t>in</w:t>
      </w:r>
      <w:r w:rsidR="003D640C">
        <w:t xml:space="preserve"> </w:t>
      </w:r>
      <w:r w:rsidR="00FD6FD9" w:rsidRPr="00BB6220">
        <w:t>the</w:t>
      </w:r>
      <w:r w:rsidR="003D640C">
        <w:t xml:space="preserve"> </w:t>
      </w:r>
      <w:r w:rsidR="00943A54" w:rsidRPr="00BB6220">
        <w:t>broader</w:t>
      </w:r>
      <w:r w:rsidR="003D640C">
        <w:t xml:space="preserve"> </w:t>
      </w:r>
      <w:r w:rsidR="00D527F0" w:rsidRPr="00BB6220">
        <w:t>indoctrinating</w:t>
      </w:r>
      <w:r w:rsidR="003D640C">
        <w:t xml:space="preserve"> </w:t>
      </w:r>
      <w:r w:rsidR="00D527F0" w:rsidRPr="00BB6220">
        <w:t>environment</w:t>
      </w:r>
      <w:r w:rsidR="003D640C">
        <w:t xml:space="preserve"> </w:t>
      </w:r>
      <w:r w:rsidR="00943A54" w:rsidRPr="00BB6220">
        <w:t>that</w:t>
      </w:r>
      <w:r w:rsidR="003D640C">
        <w:t xml:space="preserve"> </w:t>
      </w:r>
      <w:r w:rsidR="00943A54" w:rsidRPr="00BB6220">
        <w:t>facilitates</w:t>
      </w:r>
      <w:r w:rsidR="003D640C">
        <w:t xml:space="preserve"> </w:t>
      </w:r>
      <w:r w:rsidR="00943A54" w:rsidRPr="00BB6220">
        <w:t>their</w:t>
      </w:r>
      <w:r w:rsidR="003D640C">
        <w:t xml:space="preserve"> </w:t>
      </w:r>
      <w:r w:rsidR="00943A54" w:rsidRPr="00BB6220">
        <w:t>occurrence,</w:t>
      </w:r>
      <w:r w:rsidR="003D640C">
        <w:t xml:space="preserve"> </w:t>
      </w:r>
      <w:r w:rsidR="00605C4F" w:rsidRPr="00BB6220">
        <w:t>can</w:t>
      </w:r>
      <w:r w:rsidR="003D640C">
        <w:t xml:space="preserve"> </w:t>
      </w:r>
      <w:r w:rsidR="00943A54" w:rsidRPr="00BB6220">
        <w:t>result</w:t>
      </w:r>
      <w:r w:rsidR="003D640C">
        <w:t xml:space="preserve"> </w:t>
      </w:r>
      <w:r w:rsidR="00943A54" w:rsidRPr="00BB6220">
        <w:t>in</w:t>
      </w:r>
      <w:r w:rsidR="003D640C">
        <w:t xml:space="preserve"> </w:t>
      </w:r>
      <w:r w:rsidR="006E53C0" w:rsidRPr="00BB6220">
        <w:t>an</w:t>
      </w:r>
      <w:r w:rsidR="003D640C">
        <w:t xml:space="preserve"> </w:t>
      </w:r>
      <w:r w:rsidR="006E53C0" w:rsidRPr="00BB6220">
        <w:t>underdevelopment</w:t>
      </w:r>
      <w:r w:rsidR="003D640C">
        <w:t xml:space="preserve"> </w:t>
      </w:r>
      <w:r w:rsidR="006E53C0" w:rsidRPr="00BB6220">
        <w:t>of</w:t>
      </w:r>
      <w:r w:rsidR="003D640C">
        <w:t xml:space="preserve"> </w:t>
      </w:r>
      <w:r w:rsidR="00D527F0" w:rsidRPr="00BB6220">
        <w:t>the</w:t>
      </w:r>
      <w:r w:rsidR="003D640C">
        <w:t xml:space="preserve"> </w:t>
      </w:r>
      <w:r w:rsidR="006E53C0" w:rsidRPr="00BB6220">
        <w:t>kinds</w:t>
      </w:r>
      <w:r w:rsidR="003D640C">
        <w:t xml:space="preserve"> </w:t>
      </w:r>
      <w:r w:rsidR="006E53C0" w:rsidRPr="00BB6220">
        <w:t>of</w:t>
      </w:r>
      <w:r w:rsidR="003D640C">
        <w:t xml:space="preserve"> </w:t>
      </w:r>
      <w:r w:rsidR="006E53C0" w:rsidRPr="00BB6220">
        <w:t>social</w:t>
      </w:r>
      <w:r w:rsidR="003D640C">
        <w:t xml:space="preserve"> </w:t>
      </w:r>
      <w:r w:rsidR="00D527F0" w:rsidRPr="00BB6220">
        <w:t>skills</w:t>
      </w:r>
      <w:r w:rsidR="003D640C">
        <w:t xml:space="preserve"> </w:t>
      </w:r>
      <w:r w:rsidR="006E53C0" w:rsidRPr="00BB6220">
        <w:t>an</w:t>
      </w:r>
      <w:r w:rsidR="003D640C">
        <w:t xml:space="preserve"> </w:t>
      </w:r>
      <w:r w:rsidR="006E53C0" w:rsidRPr="00BB6220">
        <w:t>individual</w:t>
      </w:r>
      <w:r w:rsidR="003D640C">
        <w:t xml:space="preserve"> </w:t>
      </w:r>
      <w:r w:rsidR="00D527F0" w:rsidRPr="00BB6220">
        <w:t>need</w:t>
      </w:r>
      <w:r w:rsidR="006E53C0" w:rsidRPr="00BB6220">
        <w:t>s</w:t>
      </w:r>
      <w:r w:rsidR="003D640C">
        <w:t xml:space="preserve"> </w:t>
      </w:r>
      <w:r w:rsidR="00D527F0" w:rsidRPr="00BB6220">
        <w:t>to</w:t>
      </w:r>
      <w:r w:rsidR="003D640C">
        <w:t xml:space="preserve"> </w:t>
      </w:r>
      <w:r w:rsidR="00D527F0" w:rsidRPr="00BB6220">
        <w:t>build</w:t>
      </w:r>
      <w:r w:rsidR="003D640C">
        <w:t xml:space="preserve"> </w:t>
      </w:r>
      <w:r w:rsidR="00013F78" w:rsidRPr="00BB6220">
        <w:t>a</w:t>
      </w:r>
      <w:r w:rsidR="003D640C">
        <w:t xml:space="preserve"> </w:t>
      </w:r>
      <w:r w:rsidR="00D527F0" w:rsidRPr="00BB6220">
        <w:t>new</w:t>
      </w:r>
      <w:r w:rsidR="003D640C">
        <w:t xml:space="preserve"> </w:t>
      </w:r>
      <w:r w:rsidR="00D527F0" w:rsidRPr="00BB6220">
        <w:t>community</w:t>
      </w:r>
      <w:r w:rsidR="003D640C">
        <w:t xml:space="preserve"> </w:t>
      </w:r>
      <w:r w:rsidR="00D527F0" w:rsidRPr="00BB6220">
        <w:t>and</w:t>
      </w:r>
      <w:r w:rsidR="003D640C">
        <w:t xml:space="preserve"> </w:t>
      </w:r>
      <w:r w:rsidR="00D527F0" w:rsidRPr="00BB6220">
        <w:t>function</w:t>
      </w:r>
      <w:r w:rsidR="003D640C">
        <w:t xml:space="preserve"> </w:t>
      </w:r>
      <w:r w:rsidR="00D527F0" w:rsidRPr="00BB6220">
        <w:t>comfortably</w:t>
      </w:r>
      <w:r w:rsidR="003D640C">
        <w:t xml:space="preserve"> </w:t>
      </w:r>
      <w:r w:rsidR="00D527F0" w:rsidRPr="00BB6220">
        <w:t>in</w:t>
      </w:r>
      <w:r w:rsidR="003D640C">
        <w:t xml:space="preserve"> </w:t>
      </w:r>
      <w:r w:rsidR="00D527F0" w:rsidRPr="00BB6220">
        <w:t>their</w:t>
      </w:r>
      <w:r w:rsidR="003D640C">
        <w:t xml:space="preserve"> </w:t>
      </w:r>
      <w:r w:rsidR="00D527F0" w:rsidRPr="00BB6220">
        <w:t>post-conversion</w:t>
      </w:r>
      <w:r w:rsidR="003D640C">
        <w:t xml:space="preserve"> </w:t>
      </w:r>
      <w:r w:rsidR="00D527F0" w:rsidRPr="00BB6220">
        <w:t>practices</w:t>
      </w:r>
      <w:r w:rsidR="003D640C">
        <w:t xml:space="preserve"> </w:t>
      </w:r>
      <w:r w:rsidR="00D527F0" w:rsidRPr="00BB6220">
        <w:t>environment</w:t>
      </w:r>
      <w:r w:rsidR="007A6924" w:rsidRPr="00BB6220">
        <w:t>.</w:t>
      </w:r>
      <w:r w:rsidR="00D527F0" w:rsidRPr="00BB6220">
        <w:rPr>
          <w:rStyle w:val="FootnoteReference"/>
        </w:rPr>
        <w:footnoteReference w:id="119"/>
      </w:r>
      <w:r w:rsidR="003D640C">
        <w:t xml:space="preserve"> </w:t>
      </w:r>
      <w:r w:rsidR="007F26B8">
        <w:t>The</w:t>
      </w:r>
      <w:r w:rsidR="003D640C">
        <w:t xml:space="preserve"> </w:t>
      </w:r>
      <w:r w:rsidR="007F26B8">
        <w:t>r</w:t>
      </w:r>
      <w:r w:rsidR="00D527F0" w:rsidRPr="00BB6220">
        <w:t>esearch</w:t>
      </w:r>
      <w:r w:rsidR="003D640C">
        <w:t xml:space="preserve"> </w:t>
      </w:r>
      <w:r w:rsidR="00D527F0" w:rsidRPr="00BB6220">
        <w:t>also</w:t>
      </w:r>
      <w:r w:rsidR="003D640C">
        <w:t xml:space="preserve"> </w:t>
      </w:r>
      <w:r w:rsidR="007F26B8">
        <w:t>found</w:t>
      </w:r>
      <w:r w:rsidR="003D640C">
        <w:t xml:space="preserve"> </w:t>
      </w:r>
      <w:r w:rsidR="007F26B8">
        <w:t>that</w:t>
      </w:r>
      <w:r w:rsidR="003D640C">
        <w:t xml:space="preserve"> </w:t>
      </w:r>
      <w:r w:rsidR="00D527F0" w:rsidRPr="00BB6220">
        <w:t>harm</w:t>
      </w:r>
      <w:r w:rsidR="003D640C">
        <w:t xml:space="preserve"> </w:t>
      </w:r>
      <w:r w:rsidR="00D527F0" w:rsidRPr="00BB6220">
        <w:t>caused</w:t>
      </w:r>
      <w:r w:rsidR="003D640C">
        <w:t xml:space="preserve"> </w:t>
      </w:r>
      <w:r w:rsidR="00D527F0" w:rsidRPr="00BB6220">
        <w:t>by</w:t>
      </w:r>
      <w:r w:rsidR="003D640C">
        <w:t xml:space="preserve"> </w:t>
      </w:r>
      <w:r w:rsidR="00D527F0" w:rsidRPr="00BB6220">
        <w:t>conversion</w:t>
      </w:r>
      <w:r w:rsidR="003D640C">
        <w:t xml:space="preserve"> </w:t>
      </w:r>
      <w:r w:rsidR="00D527F0" w:rsidRPr="00BB6220">
        <w:t>practices</w:t>
      </w:r>
      <w:r w:rsidR="003D640C">
        <w:t xml:space="preserve"> </w:t>
      </w:r>
      <w:r w:rsidR="00D527F0" w:rsidRPr="00BB6220">
        <w:t>can</w:t>
      </w:r>
      <w:r w:rsidR="003D640C">
        <w:t xml:space="preserve"> </w:t>
      </w:r>
      <w:r w:rsidR="00D527F0" w:rsidRPr="00BB6220">
        <w:t>become</w:t>
      </w:r>
      <w:r w:rsidR="003D640C">
        <w:t xml:space="preserve"> </w:t>
      </w:r>
      <w:r w:rsidR="00D527F0" w:rsidRPr="00BB6220">
        <w:t>part</w:t>
      </w:r>
      <w:r w:rsidR="003D640C">
        <w:t xml:space="preserve"> </w:t>
      </w:r>
      <w:r w:rsidR="00D527F0" w:rsidRPr="00BB6220">
        <w:t>of</w:t>
      </w:r>
      <w:r w:rsidR="003D640C">
        <w:t xml:space="preserve"> </w:t>
      </w:r>
      <w:r w:rsidR="00B51867" w:rsidRPr="00BB6220">
        <w:t>a</w:t>
      </w:r>
      <w:r w:rsidR="003D640C">
        <w:t xml:space="preserve"> </w:t>
      </w:r>
      <w:r w:rsidR="00D527F0" w:rsidRPr="00BB6220">
        <w:t>survivor</w:t>
      </w:r>
      <w:r w:rsidR="00B51867" w:rsidRPr="00BB6220">
        <w:t>’</w:t>
      </w:r>
      <w:r w:rsidR="00D527F0" w:rsidRPr="00BB6220">
        <w:t>s</w:t>
      </w:r>
      <w:r w:rsidR="003D640C">
        <w:t xml:space="preserve"> </w:t>
      </w:r>
      <w:r w:rsidR="00D527F0" w:rsidRPr="00BB6220">
        <w:t>subconscious</w:t>
      </w:r>
      <w:r w:rsidR="003D640C">
        <w:t xml:space="preserve"> </w:t>
      </w:r>
      <w:r w:rsidR="00B51867" w:rsidRPr="00BB6220">
        <w:t>mind</w:t>
      </w:r>
      <w:r w:rsidR="00D527F0" w:rsidRPr="00BB6220">
        <w:t>,</w:t>
      </w:r>
      <w:r w:rsidR="003D640C">
        <w:t xml:space="preserve"> </w:t>
      </w:r>
      <w:r w:rsidR="00D527F0" w:rsidRPr="00BB6220">
        <w:t>leaving</w:t>
      </w:r>
      <w:r w:rsidR="003D640C">
        <w:t xml:space="preserve"> </w:t>
      </w:r>
      <w:r w:rsidR="00D527F0" w:rsidRPr="00BB6220">
        <w:t>them</w:t>
      </w:r>
      <w:r w:rsidR="003D640C">
        <w:t xml:space="preserve"> </w:t>
      </w:r>
      <w:r w:rsidR="00D527F0" w:rsidRPr="00BB6220">
        <w:t>stuck</w:t>
      </w:r>
      <w:r w:rsidR="003D640C">
        <w:t xml:space="preserve"> </w:t>
      </w:r>
      <w:r w:rsidR="00D527F0" w:rsidRPr="00BB6220">
        <w:t>in</w:t>
      </w:r>
      <w:r w:rsidR="003D640C">
        <w:t xml:space="preserve"> </w:t>
      </w:r>
      <w:r w:rsidR="00D527F0" w:rsidRPr="00BB6220">
        <w:t>a</w:t>
      </w:r>
      <w:r w:rsidR="003D640C">
        <w:t xml:space="preserve"> </w:t>
      </w:r>
      <w:r w:rsidR="00D527F0" w:rsidRPr="00BB6220">
        <w:t>state</w:t>
      </w:r>
      <w:r w:rsidR="003D640C">
        <w:t xml:space="preserve"> </w:t>
      </w:r>
      <w:r w:rsidR="00D527F0" w:rsidRPr="00BB6220">
        <w:t>of</w:t>
      </w:r>
      <w:r w:rsidR="003D640C">
        <w:t xml:space="preserve"> </w:t>
      </w:r>
      <w:r w:rsidR="00D527F0" w:rsidRPr="00BB6220">
        <w:t>confusion</w:t>
      </w:r>
      <w:r w:rsidR="003D640C">
        <w:t xml:space="preserve"> </w:t>
      </w:r>
      <w:r w:rsidR="00D527F0" w:rsidRPr="00BB6220">
        <w:t>and</w:t>
      </w:r>
      <w:r w:rsidR="003D640C">
        <w:t xml:space="preserve"> </w:t>
      </w:r>
      <w:r w:rsidR="00D527F0" w:rsidRPr="00BB6220">
        <w:t>post-traumatic</w:t>
      </w:r>
      <w:r w:rsidR="003D640C">
        <w:t xml:space="preserve"> </w:t>
      </w:r>
      <w:r w:rsidR="00D527F0" w:rsidRPr="00BB6220">
        <w:t>symptoms.</w:t>
      </w:r>
      <w:r w:rsidR="003D640C">
        <w:t xml:space="preserve"> </w:t>
      </w:r>
      <w:r w:rsidR="00D527F0" w:rsidRPr="00BB6220">
        <w:t>This</w:t>
      </w:r>
      <w:r w:rsidR="003D640C">
        <w:t xml:space="preserve"> </w:t>
      </w:r>
      <w:r w:rsidR="00D527F0" w:rsidRPr="00BB6220">
        <w:t>results</w:t>
      </w:r>
      <w:r w:rsidR="003D640C">
        <w:t xml:space="preserve"> </w:t>
      </w:r>
      <w:r w:rsidR="00D527F0" w:rsidRPr="00BB6220">
        <w:t>in</w:t>
      </w:r>
      <w:r w:rsidR="003D640C">
        <w:t xml:space="preserve"> </w:t>
      </w:r>
      <w:r w:rsidR="00D527F0" w:rsidRPr="00BB6220">
        <w:t>conscious</w:t>
      </w:r>
      <w:r w:rsidR="003D640C">
        <w:t xml:space="preserve"> </w:t>
      </w:r>
      <w:r w:rsidR="00D527F0" w:rsidRPr="00BB6220">
        <w:t>and</w:t>
      </w:r>
      <w:r w:rsidR="003D640C">
        <w:t xml:space="preserve"> </w:t>
      </w:r>
      <w:r w:rsidR="00D527F0" w:rsidRPr="00BB6220">
        <w:t>unconscious</w:t>
      </w:r>
      <w:r w:rsidR="003D640C">
        <w:t xml:space="preserve"> </w:t>
      </w:r>
      <w:r w:rsidR="00D527F0" w:rsidRPr="00BB6220">
        <w:t>behaviours</w:t>
      </w:r>
      <w:r w:rsidR="003D640C">
        <w:t xml:space="preserve"> </w:t>
      </w:r>
      <w:r w:rsidR="00D527F0" w:rsidRPr="00BB6220">
        <w:t>that</w:t>
      </w:r>
      <w:r w:rsidR="003D640C">
        <w:t xml:space="preserve"> </w:t>
      </w:r>
      <w:r w:rsidR="00D527F0" w:rsidRPr="00BB6220">
        <w:t>restrict</w:t>
      </w:r>
      <w:r w:rsidR="003D640C">
        <w:t xml:space="preserve"> </w:t>
      </w:r>
      <w:r w:rsidR="00E61461" w:rsidRPr="00BB6220">
        <w:t>a</w:t>
      </w:r>
      <w:r w:rsidR="003D640C">
        <w:t xml:space="preserve"> </w:t>
      </w:r>
      <w:r w:rsidR="00E61461" w:rsidRPr="00BB6220">
        <w:t>person’s</w:t>
      </w:r>
      <w:r w:rsidR="003D640C">
        <w:t xml:space="preserve"> </w:t>
      </w:r>
      <w:r w:rsidR="00D527F0" w:rsidRPr="00BB6220">
        <w:t>healing</w:t>
      </w:r>
      <w:r w:rsidR="003D640C">
        <w:t xml:space="preserve"> </w:t>
      </w:r>
      <w:r w:rsidR="00D527F0" w:rsidRPr="00BB6220">
        <w:t>journey</w:t>
      </w:r>
      <w:r w:rsidR="003D640C">
        <w:t xml:space="preserve"> </w:t>
      </w:r>
      <w:r w:rsidR="00D527F0" w:rsidRPr="00BB6220">
        <w:t>and</w:t>
      </w:r>
      <w:r w:rsidR="003D640C">
        <w:t xml:space="preserve"> </w:t>
      </w:r>
      <w:r w:rsidR="00D527F0" w:rsidRPr="00BB6220">
        <w:t>the</w:t>
      </w:r>
      <w:r w:rsidR="003D640C">
        <w:t xml:space="preserve"> </w:t>
      </w:r>
      <w:r w:rsidR="00D527F0" w:rsidRPr="00BB6220">
        <w:t>chance</w:t>
      </w:r>
      <w:r w:rsidR="003D640C">
        <w:t xml:space="preserve"> </w:t>
      </w:r>
      <w:r w:rsidR="00D527F0" w:rsidRPr="00BB6220">
        <w:t>to</w:t>
      </w:r>
      <w:r w:rsidR="003D640C">
        <w:t xml:space="preserve"> </w:t>
      </w:r>
      <w:r w:rsidR="00D527F0" w:rsidRPr="00BB6220">
        <w:t>have</w:t>
      </w:r>
      <w:r w:rsidR="003D640C">
        <w:t xml:space="preserve"> </w:t>
      </w:r>
      <w:r w:rsidR="00D527F0" w:rsidRPr="00BB6220">
        <w:t>a</w:t>
      </w:r>
      <w:r w:rsidR="003D640C">
        <w:t xml:space="preserve"> </w:t>
      </w:r>
      <w:r w:rsidR="00D527F0" w:rsidRPr="00BB6220">
        <w:t>more</w:t>
      </w:r>
      <w:r w:rsidR="003D640C">
        <w:t xml:space="preserve"> </w:t>
      </w:r>
      <w:r w:rsidR="00D527F0" w:rsidRPr="00BB6220">
        <w:t>promising</w:t>
      </w:r>
      <w:r w:rsidR="003D640C">
        <w:t xml:space="preserve"> </w:t>
      </w:r>
      <w:r w:rsidR="00D527F0" w:rsidRPr="00BB6220">
        <w:t>future</w:t>
      </w:r>
      <w:r w:rsidR="003D640C">
        <w:t xml:space="preserve"> </w:t>
      </w:r>
      <w:r w:rsidR="00D527F0" w:rsidRPr="00BB6220">
        <w:t>away</w:t>
      </w:r>
      <w:r w:rsidR="003D640C">
        <w:t xml:space="preserve"> </w:t>
      </w:r>
      <w:r w:rsidR="00D527F0" w:rsidRPr="00BB6220">
        <w:t>from</w:t>
      </w:r>
      <w:r w:rsidR="003D640C">
        <w:t xml:space="preserve"> </w:t>
      </w:r>
      <w:r w:rsidR="00D527F0" w:rsidRPr="00BB6220">
        <w:t>harmful</w:t>
      </w:r>
      <w:r w:rsidR="003D640C">
        <w:t xml:space="preserve"> </w:t>
      </w:r>
      <w:r w:rsidR="00D527F0" w:rsidRPr="00BB6220">
        <w:t>environments.</w:t>
      </w:r>
      <w:r w:rsidR="00D527F0" w:rsidRPr="00BB6220">
        <w:rPr>
          <w:rStyle w:val="FootnoteReference"/>
        </w:rPr>
        <w:footnoteReference w:id="120"/>
      </w:r>
    </w:p>
    <w:p w14:paraId="481E2754" w14:textId="420A33AC" w:rsidR="00501068" w:rsidRDefault="006D5C58" w:rsidP="009500DE">
      <w:pPr>
        <w:pStyle w:val="Quote"/>
      </w:pPr>
      <w:r w:rsidRPr="00BB6220">
        <w:t>“</w:t>
      </w:r>
      <w:r w:rsidR="00D527F0" w:rsidRPr="00BB6220">
        <w:t>I</w:t>
      </w:r>
      <w:r w:rsidR="003D640C">
        <w:t xml:space="preserve"> </w:t>
      </w:r>
      <w:r w:rsidR="00D527F0" w:rsidRPr="00BB6220">
        <w:t>was</w:t>
      </w:r>
      <w:r w:rsidR="003D640C">
        <w:t xml:space="preserve"> </w:t>
      </w:r>
      <w:r w:rsidR="00D527F0" w:rsidRPr="00BB6220">
        <w:t>extremely</w:t>
      </w:r>
      <w:r w:rsidR="003D640C">
        <w:t xml:space="preserve"> </w:t>
      </w:r>
      <w:r w:rsidR="00D527F0" w:rsidRPr="00BB6220">
        <w:t>isolated</w:t>
      </w:r>
      <w:r w:rsidR="003D640C">
        <w:t xml:space="preserve"> </w:t>
      </w:r>
      <w:r w:rsidR="00D527F0" w:rsidRPr="00BB6220">
        <w:t>when</w:t>
      </w:r>
      <w:r w:rsidR="003D640C">
        <w:t xml:space="preserve"> </w:t>
      </w:r>
      <w:r w:rsidR="00D527F0" w:rsidRPr="00BB6220">
        <w:t>I</w:t>
      </w:r>
      <w:r w:rsidR="003D640C">
        <w:t xml:space="preserve"> </w:t>
      </w:r>
      <w:r w:rsidR="00D527F0" w:rsidRPr="00BB6220">
        <w:t>stopped</w:t>
      </w:r>
      <w:r w:rsidR="003D640C">
        <w:t xml:space="preserve"> </w:t>
      </w:r>
      <w:r w:rsidR="00D527F0" w:rsidRPr="00BB6220">
        <w:t>and</w:t>
      </w:r>
      <w:r w:rsidR="003D640C">
        <w:t xml:space="preserve"> </w:t>
      </w:r>
      <w:r w:rsidR="00D527F0" w:rsidRPr="00BB6220">
        <w:t>came</w:t>
      </w:r>
      <w:r w:rsidR="003D640C">
        <w:t xml:space="preserve"> </w:t>
      </w:r>
      <w:r w:rsidR="00D527F0" w:rsidRPr="00BB6220">
        <w:t>out.</w:t>
      </w:r>
      <w:r w:rsidR="003D640C">
        <w:t xml:space="preserve"> </w:t>
      </w:r>
      <w:r w:rsidR="00D527F0" w:rsidRPr="00BB6220">
        <w:t>My</w:t>
      </w:r>
      <w:r w:rsidR="003D640C">
        <w:t xml:space="preserve"> </w:t>
      </w:r>
      <w:r w:rsidR="00D527F0" w:rsidRPr="00BB6220">
        <w:t>family</w:t>
      </w:r>
      <w:r w:rsidR="003D640C">
        <w:t xml:space="preserve"> </w:t>
      </w:r>
      <w:r w:rsidR="00D527F0" w:rsidRPr="00BB6220">
        <w:t>disowned</w:t>
      </w:r>
      <w:r w:rsidR="003D640C">
        <w:t xml:space="preserve"> </w:t>
      </w:r>
      <w:r w:rsidR="00D527F0" w:rsidRPr="00BB6220">
        <w:t>me</w:t>
      </w:r>
      <w:r w:rsidR="003D640C">
        <w:t xml:space="preserve"> </w:t>
      </w:r>
      <w:r w:rsidR="00D527F0" w:rsidRPr="00BB6220">
        <w:t>and</w:t>
      </w:r>
      <w:r w:rsidR="003D640C">
        <w:t xml:space="preserve"> </w:t>
      </w:r>
      <w:r w:rsidR="00D527F0" w:rsidRPr="00BB6220">
        <w:t>my</w:t>
      </w:r>
      <w:r w:rsidR="003D640C">
        <w:t xml:space="preserve"> </w:t>
      </w:r>
      <w:r w:rsidR="00D527F0" w:rsidRPr="00BB6220">
        <w:t>whole</w:t>
      </w:r>
      <w:r w:rsidR="003D640C">
        <w:t xml:space="preserve"> </w:t>
      </w:r>
      <w:r w:rsidR="00D527F0" w:rsidRPr="00BB6220">
        <w:t>community</w:t>
      </w:r>
      <w:r w:rsidR="003D640C">
        <w:t xml:space="preserve"> </w:t>
      </w:r>
      <w:r w:rsidR="00D527F0" w:rsidRPr="00BB6220">
        <w:t>–</w:t>
      </w:r>
      <w:r w:rsidR="003D640C">
        <w:t xml:space="preserve"> </w:t>
      </w:r>
      <w:r w:rsidR="00D527F0" w:rsidRPr="00BB6220">
        <w:t>that</w:t>
      </w:r>
      <w:r w:rsidR="003D640C">
        <w:t xml:space="preserve"> </w:t>
      </w:r>
      <w:r w:rsidR="00D527F0" w:rsidRPr="00BB6220">
        <w:t>was</w:t>
      </w:r>
      <w:r w:rsidR="003D640C">
        <w:t xml:space="preserve"> </w:t>
      </w:r>
      <w:r w:rsidR="00D527F0" w:rsidRPr="00BB6220">
        <w:t>based</w:t>
      </w:r>
      <w:r w:rsidR="003D640C">
        <w:t xml:space="preserve"> </w:t>
      </w:r>
      <w:r w:rsidR="00D527F0" w:rsidRPr="00BB6220">
        <w:t>in</w:t>
      </w:r>
      <w:r w:rsidR="003D640C">
        <w:t xml:space="preserve"> </w:t>
      </w:r>
      <w:r w:rsidR="00D527F0" w:rsidRPr="00BB6220">
        <w:t>my</w:t>
      </w:r>
      <w:r w:rsidR="003D640C">
        <w:t xml:space="preserve"> </w:t>
      </w:r>
      <w:r w:rsidR="00D527F0" w:rsidRPr="00BB6220">
        <w:t>church</w:t>
      </w:r>
      <w:r w:rsidR="003D640C">
        <w:t xml:space="preserve"> </w:t>
      </w:r>
      <w:r w:rsidR="00D527F0" w:rsidRPr="00BB6220">
        <w:t>–</w:t>
      </w:r>
      <w:r w:rsidR="003D640C">
        <w:t xml:space="preserve"> </w:t>
      </w:r>
      <w:r w:rsidR="00D527F0" w:rsidRPr="00BB6220">
        <w:t>cut</w:t>
      </w:r>
      <w:r w:rsidR="003D640C">
        <w:t xml:space="preserve"> </w:t>
      </w:r>
      <w:r w:rsidR="00D527F0" w:rsidRPr="00BB6220">
        <w:t>me</w:t>
      </w:r>
      <w:r w:rsidR="003D640C">
        <w:t xml:space="preserve"> </w:t>
      </w:r>
      <w:r w:rsidR="00D527F0" w:rsidRPr="00BB6220">
        <w:t>off</w:t>
      </w:r>
      <w:r w:rsidR="003D640C">
        <w:t xml:space="preserve"> </w:t>
      </w:r>
      <w:r w:rsidR="00D527F0" w:rsidRPr="00BB6220">
        <w:t>too.</w:t>
      </w:r>
      <w:r w:rsidR="003D640C">
        <w:t xml:space="preserve"> </w:t>
      </w:r>
      <w:bookmarkStart w:id="186" w:name="_Int_p7H8ou8h"/>
      <w:r w:rsidR="00D527F0" w:rsidRPr="00BB6220">
        <w:t>I’d</w:t>
      </w:r>
      <w:bookmarkEnd w:id="186"/>
      <w:r w:rsidR="003D640C">
        <w:t xml:space="preserve"> </w:t>
      </w:r>
      <w:r w:rsidR="00D527F0" w:rsidRPr="00BB6220">
        <w:t>see</w:t>
      </w:r>
      <w:r w:rsidR="003D640C">
        <w:t xml:space="preserve"> </w:t>
      </w:r>
      <w:r w:rsidR="00D527F0" w:rsidRPr="00BB6220">
        <w:t>people</w:t>
      </w:r>
      <w:r w:rsidR="003D640C">
        <w:t xml:space="preserve"> </w:t>
      </w:r>
      <w:r w:rsidR="00D527F0" w:rsidRPr="00BB6220">
        <w:t>on</w:t>
      </w:r>
      <w:r w:rsidR="003D640C">
        <w:t xml:space="preserve"> </w:t>
      </w:r>
      <w:r w:rsidR="00D527F0" w:rsidRPr="00BB6220">
        <w:t>the</w:t>
      </w:r>
      <w:r w:rsidR="003D640C">
        <w:t xml:space="preserve"> </w:t>
      </w:r>
      <w:r w:rsidR="00D527F0" w:rsidRPr="00BB6220">
        <w:t>street</w:t>
      </w:r>
      <w:r w:rsidR="003D640C">
        <w:t xml:space="preserve"> </w:t>
      </w:r>
      <w:r w:rsidR="00D527F0" w:rsidRPr="00BB6220">
        <w:t>who</w:t>
      </w:r>
      <w:r w:rsidR="003D640C">
        <w:t xml:space="preserve"> </w:t>
      </w:r>
      <w:r w:rsidR="00D527F0" w:rsidRPr="00BB6220">
        <w:t>had</w:t>
      </w:r>
      <w:r w:rsidR="003D640C">
        <w:t xml:space="preserve"> </w:t>
      </w:r>
      <w:r w:rsidR="00D527F0" w:rsidRPr="00BB6220">
        <w:t>been</w:t>
      </w:r>
      <w:r w:rsidR="003D640C">
        <w:t xml:space="preserve"> </w:t>
      </w:r>
      <w:r w:rsidR="00D527F0" w:rsidRPr="00BB6220">
        <w:t>friends</w:t>
      </w:r>
      <w:r w:rsidR="003D640C">
        <w:t xml:space="preserve"> </w:t>
      </w:r>
      <w:r w:rsidR="00D527F0" w:rsidRPr="00BB6220">
        <w:t>for</w:t>
      </w:r>
      <w:r w:rsidR="003D640C">
        <w:t xml:space="preserve"> </w:t>
      </w:r>
      <w:r w:rsidR="00D527F0" w:rsidRPr="00BB6220">
        <w:t>years</w:t>
      </w:r>
      <w:r w:rsidR="003D640C">
        <w:t xml:space="preserve"> </w:t>
      </w:r>
      <w:r w:rsidR="00D527F0" w:rsidRPr="00BB6220">
        <w:t>and</w:t>
      </w:r>
      <w:r w:rsidR="003D640C">
        <w:t xml:space="preserve"> </w:t>
      </w:r>
      <w:r w:rsidR="00D527F0" w:rsidRPr="00BB6220">
        <w:t>they’d</w:t>
      </w:r>
      <w:r w:rsidR="003D640C">
        <w:t xml:space="preserve"> </w:t>
      </w:r>
      <w:r w:rsidR="00D527F0" w:rsidRPr="00BB6220">
        <w:t>ignore</w:t>
      </w:r>
      <w:r w:rsidR="003D640C">
        <w:t xml:space="preserve"> </w:t>
      </w:r>
      <w:r w:rsidR="00D527F0" w:rsidRPr="00BB6220">
        <w:t>me.</w:t>
      </w:r>
      <w:r w:rsidR="003D640C">
        <w:t xml:space="preserve"> </w:t>
      </w:r>
      <w:r w:rsidR="00D527F0" w:rsidRPr="00BB6220">
        <w:t>It</w:t>
      </w:r>
      <w:r w:rsidR="003D640C">
        <w:t xml:space="preserve"> </w:t>
      </w:r>
      <w:r w:rsidR="00D527F0" w:rsidRPr="00BB6220">
        <w:t>was</w:t>
      </w:r>
      <w:r w:rsidR="003D640C">
        <w:t xml:space="preserve"> </w:t>
      </w:r>
      <w:r w:rsidR="00D527F0" w:rsidRPr="00BB6220">
        <w:t>made</w:t>
      </w:r>
      <w:r w:rsidR="003D640C">
        <w:t xml:space="preserve"> </w:t>
      </w:r>
      <w:r w:rsidR="00D527F0" w:rsidRPr="00BB6220">
        <w:t>worse</w:t>
      </w:r>
      <w:r w:rsidR="003D640C">
        <w:t xml:space="preserve"> </w:t>
      </w:r>
      <w:r w:rsidR="00D527F0" w:rsidRPr="00BB6220">
        <w:t>because</w:t>
      </w:r>
      <w:r w:rsidR="003D640C">
        <w:t xml:space="preserve"> </w:t>
      </w:r>
      <w:r w:rsidR="00D527F0" w:rsidRPr="00BB6220">
        <w:t>old</w:t>
      </w:r>
      <w:r w:rsidR="003D640C">
        <w:t xml:space="preserve"> </w:t>
      </w:r>
      <w:r w:rsidR="00D527F0" w:rsidRPr="00BB6220">
        <w:t>Christian</w:t>
      </w:r>
      <w:r w:rsidR="003D640C">
        <w:t xml:space="preserve"> </w:t>
      </w:r>
      <w:r w:rsidR="00D527F0" w:rsidRPr="00BB6220">
        <w:t>friends</w:t>
      </w:r>
      <w:r w:rsidR="003D640C">
        <w:t xml:space="preserve"> </w:t>
      </w:r>
      <w:r w:rsidR="00D527F0" w:rsidRPr="00BB6220">
        <w:t>started</w:t>
      </w:r>
      <w:r w:rsidR="003D640C">
        <w:t xml:space="preserve"> </w:t>
      </w:r>
      <w:r w:rsidR="00D527F0" w:rsidRPr="00BB6220">
        <w:t>harassing</w:t>
      </w:r>
      <w:r w:rsidR="003D640C">
        <w:t xml:space="preserve"> </w:t>
      </w:r>
      <w:r w:rsidR="00D527F0" w:rsidRPr="00BB6220">
        <w:t>me</w:t>
      </w:r>
      <w:r w:rsidR="003D640C">
        <w:t xml:space="preserve"> </w:t>
      </w:r>
      <w:r w:rsidR="00D527F0" w:rsidRPr="00BB6220">
        <w:t>on</w:t>
      </w:r>
      <w:r w:rsidR="003D640C">
        <w:t xml:space="preserve"> </w:t>
      </w:r>
      <w:r w:rsidR="00D527F0" w:rsidRPr="00BB6220">
        <w:t>my</w:t>
      </w:r>
      <w:r w:rsidR="003D640C">
        <w:t xml:space="preserve"> </w:t>
      </w:r>
      <w:r w:rsidR="00D527F0" w:rsidRPr="00BB6220">
        <w:t>phone,</w:t>
      </w:r>
      <w:r w:rsidR="003D640C">
        <w:t xml:space="preserve"> </w:t>
      </w:r>
      <w:r w:rsidR="00D527F0" w:rsidRPr="00BB6220">
        <w:t>email</w:t>
      </w:r>
      <w:r w:rsidR="4B3F839C" w:rsidRPr="00BB6220">
        <w:t>,</w:t>
      </w:r>
      <w:r w:rsidR="003D640C">
        <w:t xml:space="preserve"> </w:t>
      </w:r>
      <w:r w:rsidR="00D527F0" w:rsidRPr="00BB6220">
        <w:t>and</w:t>
      </w:r>
      <w:r w:rsidR="003D640C">
        <w:t xml:space="preserve"> </w:t>
      </w:r>
      <w:r w:rsidR="00D527F0" w:rsidRPr="00BB6220">
        <w:t>social</w:t>
      </w:r>
      <w:r w:rsidR="003D640C">
        <w:t xml:space="preserve"> </w:t>
      </w:r>
      <w:r w:rsidR="00D527F0" w:rsidRPr="00BB6220">
        <w:t>media.</w:t>
      </w:r>
      <w:r w:rsidR="003D640C">
        <w:t xml:space="preserve"> </w:t>
      </w:r>
      <w:r w:rsidR="00D527F0" w:rsidRPr="00BB6220">
        <w:t>It</w:t>
      </w:r>
      <w:r w:rsidR="003D640C">
        <w:t xml:space="preserve"> </w:t>
      </w:r>
      <w:r w:rsidR="00D527F0" w:rsidRPr="00BB6220">
        <w:t>got</w:t>
      </w:r>
      <w:r w:rsidR="003D640C">
        <w:t xml:space="preserve"> </w:t>
      </w:r>
      <w:r w:rsidR="00D527F0" w:rsidRPr="00BB6220">
        <w:t>to</w:t>
      </w:r>
      <w:r w:rsidR="003D640C">
        <w:t xml:space="preserve"> </w:t>
      </w:r>
      <w:r w:rsidR="00D527F0" w:rsidRPr="00BB6220">
        <w:t>the</w:t>
      </w:r>
      <w:r w:rsidR="003D640C">
        <w:t xml:space="preserve"> </w:t>
      </w:r>
      <w:r w:rsidR="00D527F0" w:rsidRPr="00BB6220">
        <w:t>point</w:t>
      </w:r>
      <w:r w:rsidR="003D640C">
        <w:t xml:space="preserve"> </w:t>
      </w:r>
      <w:r w:rsidR="00D527F0" w:rsidRPr="00BB6220">
        <w:t>where</w:t>
      </w:r>
      <w:r w:rsidR="003D640C">
        <w:t xml:space="preserve"> </w:t>
      </w:r>
      <w:r w:rsidR="00D527F0" w:rsidRPr="00BB6220">
        <w:t>I</w:t>
      </w:r>
      <w:r w:rsidR="003D640C">
        <w:t xml:space="preserve"> </w:t>
      </w:r>
      <w:r w:rsidR="00D527F0" w:rsidRPr="00BB6220">
        <w:t>had</w:t>
      </w:r>
      <w:r w:rsidR="003D640C">
        <w:t xml:space="preserve"> </w:t>
      </w:r>
      <w:r w:rsidR="00D527F0" w:rsidRPr="00BB6220">
        <w:t>to</w:t>
      </w:r>
      <w:r w:rsidR="003D640C">
        <w:t xml:space="preserve"> </w:t>
      </w:r>
      <w:r w:rsidR="00D527F0" w:rsidRPr="00BB6220">
        <w:t>change</w:t>
      </w:r>
      <w:r w:rsidR="003D640C">
        <w:t xml:space="preserve"> </w:t>
      </w:r>
      <w:r w:rsidR="00D527F0" w:rsidRPr="00BB6220">
        <w:t>my</w:t>
      </w:r>
      <w:r w:rsidR="003D640C">
        <w:t xml:space="preserve"> </w:t>
      </w:r>
      <w:r w:rsidR="00D527F0" w:rsidRPr="00BB6220">
        <w:t>accounts</w:t>
      </w:r>
      <w:r w:rsidR="003D640C">
        <w:t xml:space="preserve"> </w:t>
      </w:r>
      <w:r w:rsidR="00D527F0" w:rsidRPr="00BB6220">
        <w:t>and</w:t>
      </w:r>
      <w:r w:rsidR="003D640C">
        <w:t xml:space="preserve"> </w:t>
      </w:r>
      <w:r w:rsidR="00D527F0" w:rsidRPr="00BB6220">
        <w:t>keep</w:t>
      </w:r>
      <w:r w:rsidR="003D640C">
        <w:t xml:space="preserve"> </w:t>
      </w:r>
      <w:r w:rsidR="00D527F0" w:rsidRPr="00BB6220">
        <w:t>the</w:t>
      </w:r>
      <w:r w:rsidR="003D640C">
        <w:t xml:space="preserve"> </w:t>
      </w:r>
      <w:r w:rsidR="00D527F0" w:rsidRPr="00BB6220">
        <w:t>new</w:t>
      </w:r>
      <w:r w:rsidR="003D640C">
        <w:t xml:space="preserve"> </w:t>
      </w:r>
      <w:r w:rsidR="00D527F0" w:rsidRPr="00BB6220">
        <w:t>ones</w:t>
      </w:r>
      <w:r w:rsidR="003D640C">
        <w:t xml:space="preserve"> </w:t>
      </w:r>
      <w:r w:rsidR="00D527F0" w:rsidRPr="00BB6220">
        <w:t>anonymous,</w:t>
      </w:r>
      <w:r w:rsidR="003D640C">
        <w:t xml:space="preserve"> </w:t>
      </w:r>
      <w:r w:rsidR="00D527F0" w:rsidRPr="00BB6220">
        <w:t>locked</w:t>
      </w:r>
      <w:r w:rsidR="003D640C">
        <w:t xml:space="preserve"> </w:t>
      </w:r>
      <w:r w:rsidR="00D527F0" w:rsidRPr="00BB6220">
        <w:t>down</w:t>
      </w:r>
      <w:r w:rsidR="003D640C">
        <w:t xml:space="preserve"> </w:t>
      </w:r>
      <w:r w:rsidR="00D527F0" w:rsidRPr="00BB6220">
        <w:t>and</w:t>
      </w:r>
      <w:r w:rsidR="003D640C">
        <w:t xml:space="preserve"> </w:t>
      </w:r>
      <w:r w:rsidR="00D527F0" w:rsidRPr="00BB6220">
        <w:t>private.</w:t>
      </w:r>
      <w:r w:rsidR="003D640C">
        <w:t xml:space="preserve"> </w:t>
      </w:r>
      <w:r w:rsidR="00D527F0" w:rsidRPr="00BB6220">
        <w:t>That</w:t>
      </w:r>
      <w:r w:rsidR="003D640C">
        <w:t xml:space="preserve"> </w:t>
      </w:r>
      <w:r w:rsidR="00D527F0" w:rsidRPr="00BB6220">
        <w:t>really</w:t>
      </w:r>
      <w:r w:rsidR="003D640C">
        <w:t xml:space="preserve"> </w:t>
      </w:r>
      <w:r w:rsidR="00D527F0" w:rsidRPr="00BB6220">
        <w:t>hurt</w:t>
      </w:r>
      <w:r w:rsidR="003D640C">
        <w:t xml:space="preserve"> </w:t>
      </w:r>
      <w:r w:rsidR="00D527F0" w:rsidRPr="00BB6220">
        <w:t>my</w:t>
      </w:r>
      <w:r w:rsidR="003D640C">
        <w:t xml:space="preserve"> </w:t>
      </w:r>
      <w:r w:rsidR="00D527F0" w:rsidRPr="00BB6220">
        <w:t>ability</w:t>
      </w:r>
      <w:r w:rsidR="003D640C">
        <w:t xml:space="preserve"> </w:t>
      </w:r>
      <w:r w:rsidR="00D527F0" w:rsidRPr="00BB6220">
        <w:t>to</w:t>
      </w:r>
      <w:r w:rsidR="003D640C">
        <w:t xml:space="preserve"> </w:t>
      </w:r>
      <w:r w:rsidR="00D527F0" w:rsidRPr="00BB6220">
        <w:t>build</w:t>
      </w:r>
      <w:r w:rsidR="003D640C">
        <w:t xml:space="preserve"> </w:t>
      </w:r>
      <w:r w:rsidR="00D527F0" w:rsidRPr="00BB6220">
        <w:t>new</w:t>
      </w:r>
      <w:r w:rsidR="003D640C">
        <w:t xml:space="preserve"> </w:t>
      </w:r>
      <w:r w:rsidR="00D527F0" w:rsidRPr="00BB6220">
        <w:t>community.</w:t>
      </w:r>
      <w:r w:rsidR="003D640C">
        <w:t xml:space="preserve"> </w:t>
      </w:r>
      <w:r w:rsidR="00D527F0" w:rsidRPr="00BB6220">
        <w:t>I</w:t>
      </w:r>
      <w:r w:rsidR="003D640C">
        <w:t xml:space="preserve"> </w:t>
      </w:r>
      <w:r w:rsidR="00D527F0" w:rsidRPr="00BB6220">
        <w:t>found</w:t>
      </w:r>
      <w:r w:rsidR="003D640C">
        <w:t xml:space="preserve"> </w:t>
      </w:r>
      <w:r w:rsidR="00D527F0" w:rsidRPr="00BB6220">
        <w:t>myself</w:t>
      </w:r>
      <w:r w:rsidR="003D640C">
        <w:t xml:space="preserve"> </w:t>
      </w:r>
      <w:r w:rsidR="00D527F0" w:rsidRPr="00BB6220">
        <w:t>sitting</w:t>
      </w:r>
      <w:r w:rsidR="003D640C">
        <w:t xml:space="preserve"> </w:t>
      </w:r>
      <w:r w:rsidR="00D527F0" w:rsidRPr="00BB6220">
        <w:t>at</w:t>
      </w:r>
      <w:r w:rsidR="003D640C">
        <w:t xml:space="preserve"> </w:t>
      </w:r>
      <w:r w:rsidR="00D527F0" w:rsidRPr="00BB6220">
        <w:t>home</w:t>
      </w:r>
      <w:r w:rsidR="003D640C">
        <w:t xml:space="preserve"> </w:t>
      </w:r>
      <w:r w:rsidR="00963EE7" w:rsidRPr="00BB6220">
        <w:t>completely</w:t>
      </w:r>
      <w:r w:rsidR="003D640C">
        <w:t xml:space="preserve"> </w:t>
      </w:r>
      <w:r w:rsidR="00D527F0" w:rsidRPr="00BB6220">
        <w:t>alone</w:t>
      </w:r>
      <w:r w:rsidR="003D640C">
        <w:t xml:space="preserve"> </w:t>
      </w:r>
      <w:r w:rsidR="00D527F0" w:rsidRPr="00BB6220">
        <w:t>thinking,</w:t>
      </w:r>
      <w:r w:rsidR="003D640C">
        <w:t xml:space="preserve"> </w:t>
      </w:r>
      <w:r w:rsidR="00D527F0" w:rsidRPr="00BB6220">
        <w:t>‘I’m</w:t>
      </w:r>
      <w:r w:rsidR="003D640C">
        <w:t xml:space="preserve"> </w:t>
      </w:r>
      <w:r w:rsidR="00D527F0" w:rsidRPr="00BB6220">
        <w:t>nearly</w:t>
      </w:r>
      <w:r w:rsidR="003D640C">
        <w:t xml:space="preserve"> </w:t>
      </w:r>
      <w:r w:rsidR="00D527F0" w:rsidRPr="00BB6220">
        <w:t>50</w:t>
      </w:r>
      <w:r w:rsidR="003D640C">
        <w:t xml:space="preserve"> </w:t>
      </w:r>
      <w:r w:rsidR="00D527F0" w:rsidRPr="00BB6220">
        <w:t>years</w:t>
      </w:r>
      <w:r w:rsidR="003D640C">
        <w:t xml:space="preserve"> </w:t>
      </w:r>
      <w:r w:rsidR="00D527F0" w:rsidRPr="00BB6220">
        <w:t>old,</w:t>
      </w:r>
      <w:r w:rsidR="003D640C">
        <w:t xml:space="preserve"> </w:t>
      </w:r>
      <w:r w:rsidR="00D527F0" w:rsidRPr="00BB6220">
        <w:t>how</w:t>
      </w:r>
      <w:r w:rsidR="003D640C">
        <w:t xml:space="preserve"> </w:t>
      </w:r>
      <w:r w:rsidR="00D527F0" w:rsidRPr="00BB6220">
        <w:t>is</w:t>
      </w:r>
      <w:r w:rsidR="003D640C">
        <w:t xml:space="preserve"> </w:t>
      </w:r>
      <w:r w:rsidR="00D527F0" w:rsidRPr="00BB6220">
        <w:t>this</w:t>
      </w:r>
      <w:r w:rsidR="003D640C">
        <w:t xml:space="preserve"> </w:t>
      </w:r>
      <w:r w:rsidR="00D527F0" w:rsidRPr="00BB6220">
        <w:t>my</w:t>
      </w:r>
      <w:r w:rsidR="003D640C">
        <w:t xml:space="preserve"> </w:t>
      </w:r>
      <w:r w:rsidR="00D527F0" w:rsidRPr="00BB6220">
        <w:t>life?’</w:t>
      </w:r>
      <w:r w:rsidRPr="00BB6220">
        <w:t>”</w:t>
      </w:r>
      <w:r w:rsidR="003D640C">
        <w:t xml:space="preserve"> </w:t>
      </w:r>
      <w:r w:rsidR="00EC7AB1" w:rsidRPr="00BB6220">
        <w:t>Pākehā,</w:t>
      </w:r>
      <w:r w:rsidR="003D640C">
        <w:t xml:space="preserve"> </w:t>
      </w:r>
      <w:r w:rsidR="00EC7AB1" w:rsidRPr="00BB6220">
        <w:t>male</w:t>
      </w:r>
      <w:r w:rsidR="003D640C">
        <w:t xml:space="preserve"> </w:t>
      </w:r>
    </w:p>
    <w:p w14:paraId="1E1B7E85" w14:textId="57D6022C" w:rsidR="00D527F0" w:rsidRPr="00BB6220" w:rsidRDefault="00D527F0" w:rsidP="00DB6976">
      <w:pPr>
        <w:pStyle w:val="Heading2"/>
        <w:keepNext/>
        <w:rPr>
          <w:lang w:val="en-GB"/>
        </w:rPr>
      </w:pPr>
      <w:bookmarkStart w:id="187" w:name="_Toc138325177"/>
      <w:bookmarkStart w:id="188" w:name="_Toc138343814"/>
      <w:bookmarkStart w:id="189" w:name="_Toc167780600"/>
      <w:bookmarkStart w:id="190" w:name="_Toc633860356"/>
      <w:bookmarkStart w:id="191" w:name="_Toc174628659"/>
      <w:r w:rsidRPr="009500DE">
        <w:lastRenderedPageBreak/>
        <w:t>Psychological</w:t>
      </w:r>
      <w:r w:rsidR="003D640C">
        <w:rPr>
          <w:lang w:val="en-GB"/>
        </w:rPr>
        <w:t xml:space="preserve"> </w:t>
      </w:r>
      <w:r w:rsidR="00343168" w:rsidRPr="00BB6220">
        <w:rPr>
          <w:lang w:val="en-GB"/>
        </w:rPr>
        <w:t>and</w:t>
      </w:r>
      <w:r w:rsidR="003D640C">
        <w:rPr>
          <w:lang w:val="en-GB"/>
        </w:rPr>
        <w:t xml:space="preserve"> </w:t>
      </w:r>
      <w:r w:rsidR="00343168" w:rsidRPr="00BB6220">
        <w:rPr>
          <w:lang w:val="en-GB"/>
        </w:rPr>
        <w:t>social</w:t>
      </w:r>
      <w:r w:rsidR="003D640C">
        <w:rPr>
          <w:lang w:val="en-GB"/>
        </w:rPr>
        <w:t xml:space="preserve"> </w:t>
      </w:r>
      <w:r w:rsidRPr="00BB6220">
        <w:rPr>
          <w:lang w:val="en-GB"/>
        </w:rPr>
        <w:t>impacts</w:t>
      </w:r>
      <w:r w:rsidR="003D640C">
        <w:rPr>
          <w:lang w:val="en-GB"/>
        </w:rPr>
        <w:t xml:space="preserve"> </w:t>
      </w:r>
      <w:r w:rsidRPr="00BB6220">
        <w:rPr>
          <w:lang w:val="en-GB"/>
        </w:rPr>
        <w:t>of</w:t>
      </w:r>
      <w:r w:rsidR="003D640C">
        <w:rPr>
          <w:lang w:val="en-GB"/>
        </w:rPr>
        <w:t xml:space="preserve"> </w:t>
      </w:r>
      <w:r w:rsidRPr="00BB6220">
        <w:rPr>
          <w:lang w:val="en-GB"/>
        </w:rPr>
        <w:t>conversion</w:t>
      </w:r>
      <w:r w:rsidR="003D640C">
        <w:rPr>
          <w:lang w:val="en-GB"/>
        </w:rPr>
        <w:t xml:space="preserve"> </w:t>
      </w:r>
      <w:r w:rsidRPr="00BB6220">
        <w:rPr>
          <w:lang w:val="en-GB"/>
        </w:rPr>
        <w:t>practices</w:t>
      </w:r>
      <w:bookmarkEnd w:id="187"/>
      <w:bookmarkEnd w:id="188"/>
      <w:bookmarkEnd w:id="189"/>
      <w:bookmarkEnd w:id="190"/>
      <w:bookmarkEnd w:id="191"/>
    </w:p>
    <w:p w14:paraId="3FF4E381" w14:textId="02F881C7" w:rsidR="00D527F0" w:rsidRPr="00BB6220" w:rsidRDefault="00D527F0" w:rsidP="0068108F">
      <w:r w:rsidRPr="00BB6220">
        <w:t>Conversion</w:t>
      </w:r>
      <w:r w:rsidR="003D640C">
        <w:t xml:space="preserve"> </w:t>
      </w:r>
      <w:r w:rsidRPr="00BB6220">
        <w:t>practices</w:t>
      </w:r>
      <w:r w:rsidR="003D640C">
        <w:t xml:space="preserve"> </w:t>
      </w:r>
      <w:r w:rsidRPr="00BB6220">
        <w:t>cause</w:t>
      </w:r>
      <w:r w:rsidR="003D640C">
        <w:t xml:space="preserve"> </w:t>
      </w:r>
      <w:r w:rsidRPr="00BB6220">
        <w:t>a</w:t>
      </w:r>
      <w:r w:rsidR="003D640C">
        <w:t xml:space="preserve"> </w:t>
      </w:r>
      <w:r w:rsidRPr="00BB6220">
        <w:t>range</w:t>
      </w:r>
      <w:r w:rsidR="003D640C">
        <w:t xml:space="preserve"> </w:t>
      </w:r>
      <w:r w:rsidRPr="00BB6220">
        <w:t>of</w:t>
      </w:r>
      <w:r w:rsidR="003D640C">
        <w:t xml:space="preserve"> </w:t>
      </w:r>
      <w:r w:rsidRPr="00BB6220">
        <w:t>serious</w:t>
      </w:r>
      <w:r w:rsidR="003D640C">
        <w:t xml:space="preserve"> </w:t>
      </w:r>
      <w:r w:rsidRPr="00BB6220">
        <w:t>and</w:t>
      </w:r>
      <w:r w:rsidR="003D640C">
        <w:t xml:space="preserve"> </w:t>
      </w:r>
      <w:r w:rsidRPr="00BB6220">
        <w:t>long-lasting</w:t>
      </w:r>
      <w:r w:rsidR="003D640C">
        <w:t xml:space="preserve"> </w:t>
      </w:r>
      <w:r w:rsidRPr="00BB6220">
        <w:t>psychological</w:t>
      </w:r>
      <w:r w:rsidR="003D640C">
        <w:t xml:space="preserve"> </w:t>
      </w:r>
      <w:r w:rsidRPr="00BB6220">
        <w:t>harms.</w:t>
      </w:r>
      <w:r w:rsidR="003D640C">
        <w:t xml:space="preserve"> </w:t>
      </w:r>
      <w:r w:rsidRPr="00BB6220">
        <w:t>Drawing</w:t>
      </w:r>
      <w:r w:rsidR="003D640C">
        <w:t xml:space="preserve"> </w:t>
      </w:r>
      <w:r w:rsidRPr="00BB6220">
        <w:t>from</w:t>
      </w:r>
      <w:r w:rsidR="003D640C">
        <w:t xml:space="preserve"> </w:t>
      </w:r>
      <w:r w:rsidRPr="00BB6220">
        <w:t>published</w:t>
      </w:r>
      <w:r w:rsidR="003D640C">
        <w:t xml:space="preserve"> </w:t>
      </w:r>
      <w:r w:rsidRPr="00BB6220">
        <w:t>research</w:t>
      </w:r>
      <w:r w:rsidR="003D640C">
        <w:t xml:space="preserve"> </w:t>
      </w:r>
      <w:r w:rsidRPr="00BB6220">
        <w:t>and</w:t>
      </w:r>
      <w:r w:rsidR="003D640C">
        <w:t xml:space="preserve"> </w:t>
      </w:r>
      <w:r w:rsidR="00E61461" w:rsidRPr="00BB6220">
        <w:t>the</w:t>
      </w:r>
      <w:r w:rsidR="003D640C">
        <w:t xml:space="preserve"> </w:t>
      </w:r>
      <w:r w:rsidRPr="00BB6220">
        <w:t>Commission’s</w:t>
      </w:r>
      <w:r w:rsidR="003D640C">
        <w:t xml:space="preserve"> </w:t>
      </w:r>
      <w:r w:rsidRPr="00BB6220">
        <w:t>engagement</w:t>
      </w:r>
      <w:r w:rsidR="003D640C">
        <w:t xml:space="preserve"> </w:t>
      </w:r>
      <w:r w:rsidRPr="00BB6220">
        <w:t>with</w:t>
      </w:r>
      <w:r w:rsidR="003D640C">
        <w:t xml:space="preserve"> </w:t>
      </w:r>
      <w:r w:rsidRPr="00BB6220">
        <w:t>survivors</w:t>
      </w:r>
      <w:r w:rsidR="2801A83D" w:rsidRPr="00BB6220">
        <w:t>,</w:t>
      </w:r>
      <w:r w:rsidR="003D640C">
        <w:t xml:space="preserve"> </w:t>
      </w:r>
      <w:r w:rsidRPr="00BB6220">
        <w:t>the</w:t>
      </w:r>
      <w:r w:rsidR="003D640C">
        <w:t xml:space="preserve"> </w:t>
      </w:r>
      <w:r w:rsidRPr="00BB6220">
        <w:t>following</w:t>
      </w:r>
      <w:r w:rsidR="003D640C">
        <w:t xml:space="preserve"> </w:t>
      </w:r>
      <w:r w:rsidRPr="00BB6220">
        <w:t>harms</w:t>
      </w:r>
      <w:r w:rsidR="003D640C">
        <w:t xml:space="preserve"> </w:t>
      </w:r>
      <w:r w:rsidRPr="00BB6220">
        <w:t>are</w:t>
      </w:r>
      <w:r w:rsidR="003D640C">
        <w:t xml:space="preserve"> </w:t>
      </w:r>
      <w:r w:rsidRPr="00BB6220">
        <w:t>evident.</w:t>
      </w:r>
    </w:p>
    <w:p w14:paraId="6DF9EF5F" w14:textId="760DA858" w:rsidR="00DF7AAF" w:rsidRPr="00BB6220" w:rsidRDefault="00D527F0" w:rsidP="0068108F">
      <w:pPr>
        <w:pStyle w:val="Bullet"/>
        <w:rPr>
          <w:lang w:eastAsia="en-NZ"/>
        </w:rPr>
      </w:pPr>
      <w:r w:rsidRPr="00BB6220">
        <w:rPr>
          <w:b/>
          <w:lang w:eastAsia="en-NZ"/>
        </w:rPr>
        <w:t>Shame</w:t>
      </w:r>
      <w:r w:rsidR="003D640C">
        <w:rPr>
          <w:b/>
          <w:lang w:eastAsia="en-NZ"/>
        </w:rPr>
        <w:t xml:space="preserve"> </w:t>
      </w:r>
      <w:r w:rsidRPr="00BB6220">
        <w:rPr>
          <w:b/>
          <w:lang w:eastAsia="en-NZ"/>
        </w:rPr>
        <w:t>and</w:t>
      </w:r>
      <w:r w:rsidR="003D640C">
        <w:rPr>
          <w:b/>
          <w:lang w:eastAsia="en-NZ"/>
        </w:rPr>
        <w:t xml:space="preserve"> </w:t>
      </w:r>
      <w:r w:rsidRPr="00BB6220">
        <w:rPr>
          <w:b/>
          <w:lang w:eastAsia="en-NZ"/>
        </w:rPr>
        <w:t>guilt</w:t>
      </w:r>
      <w:r w:rsidRPr="00BB6220">
        <w:rPr>
          <w:lang w:eastAsia="en-NZ"/>
        </w:rPr>
        <w:t>:</w:t>
      </w:r>
      <w:r w:rsidR="003D640C">
        <w:rPr>
          <w:lang w:eastAsia="en-NZ"/>
        </w:rPr>
        <w:t xml:space="preserve"> </w:t>
      </w:r>
      <w:r w:rsidRPr="00BB6220" w:rsidDel="00E40405">
        <w:rPr>
          <w:lang w:eastAsia="en-NZ"/>
        </w:rPr>
        <w:t>C</w:t>
      </w:r>
      <w:r w:rsidRPr="00BB6220">
        <w:rPr>
          <w:lang w:eastAsia="en-NZ"/>
        </w:rPr>
        <w:t>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instil</w:t>
      </w:r>
      <w:r w:rsidR="003D640C">
        <w:rPr>
          <w:lang w:eastAsia="en-NZ"/>
        </w:rPr>
        <w:t xml:space="preserve"> </w:t>
      </w:r>
      <w:r w:rsidRPr="00BB6220">
        <w:rPr>
          <w:lang w:eastAsia="en-NZ"/>
        </w:rPr>
        <w:t>a</w:t>
      </w:r>
      <w:r w:rsidR="003D640C">
        <w:rPr>
          <w:lang w:eastAsia="en-NZ"/>
        </w:rPr>
        <w:t xml:space="preserve"> </w:t>
      </w:r>
      <w:r w:rsidRPr="00BB6220">
        <w:rPr>
          <w:lang w:eastAsia="en-NZ"/>
        </w:rPr>
        <w:t>sense</w:t>
      </w:r>
      <w:r w:rsidR="003D640C">
        <w:rPr>
          <w:lang w:eastAsia="en-NZ"/>
        </w:rPr>
        <w:t xml:space="preserve"> </w:t>
      </w:r>
      <w:r w:rsidRPr="00BB6220">
        <w:rPr>
          <w:lang w:eastAsia="en-NZ"/>
        </w:rPr>
        <w:t>of</w:t>
      </w:r>
      <w:r w:rsidR="003D640C">
        <w:rPr>
          <w:lang w:eastAsia="en-NZ"/>
        </w:rPr>
        <w:t xml:space="preserve"> </w:t>
      </w:r>
      <w:r w:rsidRPr="00BB6220">
        <w:rPr>
          <w:lang w:eastAsia="en-NZ"/>
        </w:rPr>
        <w:t>shame</w:t>
      </w:r>
      <w:r w:rsidR="003D640C">
        <w:rPr>
          <w:lang w:eastAsia="en-NZ"/>
        </w:rPr>
        <w:t xml:space="preserve"> </w:t>
      </w:r>
      <w:r w:rsidRPr="00BB6220">
        <w:rPr>
          <w:lang w:eastAsia="en-NZ"/>
        </w:rPr>
        <w:t>about</w:t>
      </w:r>
      <w:r w:rsidR="003D640C">
        <w:rPr>
          <w:lang w:eastAsia="en-NZ"/>
        </w:rPr>
        <w:t xml:space="preserve"> </w:t>
      </w:r>
      <w:r w:rsidRPr="00BB6220">
        <w:rPr>
          <w:lang w:eastAsia="en-NZ"/>
        </w:rPr>
        <w:t>a</w:t>
      </w:r>
      <w:r w:rsidR="003D640C">
        <w:rPr>
          <w:lang w:eastAsia="en-NZ"/>
        </w:rPr>
        <w:t xml:space="preserve"> </w:t>
      </w:r>
      <w:r w:rsidRPr="00BB6220">
        <w:rPr>
          <w:lang w:eastAsia="en-NZ"/>
        </w:rPr>
        <w:t>person’s</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or</w:t>
      </w:r>
      <w:r w:rsidR="003D640C">
        <w:rPr>
          <w:lang w:eastAsia="en-NZ"/>
        </w:rPr>
        <w:t xml:space="preserve"> </w:t>
      </w:r>
      <w:r w:rsidRPr="00BB6220">
        <w:rPr>
          <w:lang w:eastAsia="en-NZ"/>
        </w:rPr>
        <w:t>gender.</w:t>
      </w:r>
      <w:r w:rsidR="003D640C">
        <w:rPr>
          <w:lang w:eastAsia="en-NZ"/>
        </w:rPr>
        <w:t xml:space="preserve"> </w:t>
      </w:r>
      <w:r w:rsidRPr="00BB6220">
        <w:rPr>
          <w:lang w:eastAsia="en-NZ"/>
        </w:rPr>
        <w:t>Survivors</w:t>
      </w:r>
      <w:r w:rsidR="003D640C">
        <w:rPr>
          <w:lang w:eastAsia="en-NZ"/>
        </w:rPr>
        <w:t xml:space="preserve"> </w:t>
      </w:r>
      <w:r w:rsidRPr="00BB6220">
        <w:rPr>
          <w:lang w:eastAsia="en-NZ"/>
        </w:rPr>
        <w:t>often</w:t>
      </w:r>
      <w:r w:rsidR="003D640C">
        <w:rPr>
          <w:lang w:eastAsia="en-NZ"/>
        </w:rPr>
        <w:t xml:space="preserve"> </w:t>
      </w:r>
      <w:r w:rsidRPr="00BB6220">
        <w:rPr>
          <w:lang w:eastAsia="en-NZ"/>
        </w:rPr>
        <w:t>internalise</w:t>
      </w:r>
      <w:r w:rsidR="003D640C">
        <w:rPr>
          <w:lang w:eastAsia="en-NZ"/>
        </w:rPr>
        <w:t xml:space="preserve"> </w:t>
      </w:r>
      <w:r w:rsidRPr="00BB6220">
        <w:rPr>
          <w:lang w:eastAsia="en-NZ"/>
        </w:rPr>
        <w:t>prejudices</w:t>
      </w:r>
      <w:r w:rsidR="003D640C">
        <w:rPr>
          <w:lang w:eastAsia="en-NZ"/>
        </w:rPr>
        <w:t xml:space="preserve"> </w:t>
      </w:r>
      <w:r w:rsidRPr="00BB6220">
        <w:rPr>
          <w:lang w:eastAsia="en-NZ"/>
        </w:rPr>
        <w:t>and</w:t>
      </w:r>
      <w:r w:rsidR="003D640C">
        <w:rPr>
          <w:lang w:eastAsia="en-NZ"/>
        </w:rPr>
        <w:t xml:space="preserve"> </w:t>
      </w:r>
      <w:r w:rsidRPr="00BB6220">
        <w:rPr>
          <w:lang w:eastAsia="en-NZ"/>
        </w:rPr>
        <w:t>are</w:t>
      </w:r>
      <w:r w:rsidR="003D640C">
        <w:rPr>
          <w:lang w:eastAsia="en-NZ"/>
        </w:rPr>
        <w:t xml:space="preserve"> </w:t>
      </w:r>
      <w:r w:rsidRPr="00BB6220">
        <w:rPr>
          <w:lang w:eastAsia="en-NZ"/>
        </w:rPr>
        <w:t>made</w:t>
      </w:r>
      <w:r w:rsidR="003D640C">
        <w:rPr>
          <w:lang w:eastAsia="en-NZ"/>
        </w:rPr>
        <w:t xml:space="preserve"> </w:t>
      </w:r>
      <w:r w:rsidRPr="00BB6220">
        <w:rPr>
          <w:lang w:eastAsia="en-NZ"/>
        </w:rPr>
        <w:t>to</w:t>
      </w:r>
      <w:r w:rsidR="003D640C">
        <w:rPr>
          <w:lang w:eastAsia="en-NZ"/>
        </w:rPr>
        <w:t xml:space="preserve"> </w:t>
      </w:r>
      <w:r w:rsidRPr="00BB6220">
        <w:rPr>
          <w:lang w:eastAsia="en-NZ"/>
        </w:rPr>
        <w:t>feel</w:t>
      </w:r>
      <w:r w:rsidR="003D640C">
        <w:rPr>
          <w:lang w:eastAsia="en-NZ"/>
        </w:rPr>
        <w:t xml:space="preserve"> </w:t>
      </w:r>
      <w:r w:rsidRPr="00BB6220">
        <w:rPr>
          <w:lang w:eastAsia="en-NZ"/>
        </w:rPr>
        <w:t>their</w:t>
      </w:r>
      <w:r w:rsidR="003D640C">
        <w:rPr>
          <w:lang w:eastAsia="en-NZ"/>
        </w:rPr>
        <w:t xml:space="preserve"> </w:t>
      </w:r>
      <w:r w:rsidRPr="00BB6220">
        <w:rPr>
          <w:lang w:eastAsia="en-NZ"/>
        </w:rPr>
        <w:t>natural</w:t>
      </w:r>
      <w:r w:rsidR="003D640C">
        <w:rPr>
          <w:lang w:eastAsia="en-NZ"/>
        </w:rPr>
        <w:t xml:space="preserve"> </w:t>
      </w:r>
      <w:r w:rsidRPr="00BB6220">
        <w:rPr>
          <w:lang w:eastAsia="en-NZ"/>
        </w:rPr>
        <w:t>desires</w:t>
      </w:r>
      <w:r w:rsidR="003D640C">
        <w:rPr>
          <w:lang w:eastAsia="en-NZ"/>
        </w:rPr>
        <w:t xml:space="preserve"> </w:t>
      </w:r>
      <w:r w:rsidRPr="00BB6220">
        <w:rPr>
          <w:lang w:eastAsia="en-NZ"/>
        </w:rPr>
        <w:t>and</w:t>
      </w:r>
      <w:r w:rsidR="003D640C">
        <w:rPr>
          <w:lang w:eastAsia="en-NZ"/>
        </w:rPr>
        <w:t xml:space="preserve"> </w:t>
      </w:r>
      <w:r w:rsidRPr="00BB6220">
        <w:rPr>
          <w:lang w:eastAsia="en-NZ"/>
        </w:rPr>
        <w:t>attractions</w:t>
      </w:r>
      <w:r w:rsidR="003D640C">
        <w:rPr>
          <w:lang w:eastAsia="en-NZ"/>
        </w:rPr>
        <w:t xml:space="preserve"> </w:t>
      </w:r>
      <w:r w:rsidRPr="00BB6220">
        <w:rPr>
          <w:lang w:eastAsia="en-NZ"/>
        </w:rPr>
        <w:t>are</w:t>
      </w:r>
      <w:r w:rsidR="003D640C">
        <w:rPr>
          <w:lang w:eastAsia="en-NZ"/>
        </w:rPr>
        <w:t xml:space="preserve"> </w:t>
      </w:r>
      <w:r w:rsidRPr="00BB6220">
        <w:rPr>
          <w:lang w:eastAsia="en-NZ"/>
        </w:rPr>
        <w:t>sinful,</w:t>
      </w:r>
      <w:r w:rsidR="003D640C">
        <w:rPr>
          <w:lang w:eastAsia="en-NZ"/>
        </w:rPr>
        <w:t xml:space="preserve"> </w:t>
      </w:r>
      <w:r w:rsidRPr="00BB6220">
        <w:rPr>
          <w:lang w:eastAsia="en-NZ"/>
        </w:rPr>
        <w:t>morally</w:t>
      </w:r>
      <w:r w:rsidR="003D640C">
        <w:rPr>
          <w:lang w:eastAsia="en-NZ"/>
        </w:rPr>
        <w:t xml:space="preserve"> </w:t>
      </w:r>
      <w:r w:rsidRPr="00BB6220">
        <w:rPr>
          <w:lang w:eastAsia="en-NZ"/>
        </w:rPr>
        <w:t>wrong</w:t>
      </w:r>
      <w:r w:rsidR="49C2958C" w:rsidRPr="00BB6220">
        <w:rPr>
          <w:lang w:eastAsia="en-NZ"/>
        </w:rPr>
        <w:t>,</w:t>
      </w:r>
      <w:r w:rsidR="003D640C">
        <w:rPr>
          <w:lang w:eastAsia="en-NZ"/>
        </w:rPr>
        <w:t xml:space="preserve"> </w:t>
      </w:r>
      <w:r w:rsidRPr="00BB6220">
        <w:rPr>
          <w:lang w:eastAsia="en-NZ"/>
        </w:rPr>
        <w:t>or</w:t>
      </w:r>
      <w:r w:rsidR="003D640C">
        <w:rPr>
          <w:lang w:eastAsia="en-NZ"/>
        </w:rPr>
        <w:t xml:space="preserve"> </w:t>
      </w:r>
      <w:r w:rsidRPr="00BB6220">
        <w:rPr>
          <w:lang w:eastAsia="en-NZ"/>
        </w:rPr>
        <w:t>incompatible</w:t>
      </w:r>
      <w:r w:rsidR="003D640C">
        <w:rPr>
          <w:lang w:eastAsia="en-NZ"/>
        </w:rPr>
        <w:t xml:space="preserve"> </w:t>
      </w:r>
      <w:r w:rsidRPr="00BB6220">
        <w:rPr>
          <w:lang w:eastAsia="en-NZ"/>
        </w:rPr>
        <w:t>with</w:t>
      </w:r>
      <w:r w:rsidR="003D640C">
        <w:rPr>
          <w:lang w:eastAsia="en-NZ"/>
        </w:rPr>
        <w:t xml:space="preserve"> </w:t>
      </w:r>
      <w:r w:rsidRPr="00BB6220">
        <w:rPr>
          <w:lang w:eastAsia="en-NZ"/>
        </w:rPr>
        <w:t>their</w:t>
      </w:r>
      <w:r w:rsidR="003D640C">
        <w:rPr>
          <w:lang w:eastAsia="en-NZ"/>
        </w:rPr>
        <w:t xml:space="preserve"> </w:t>
      </w:r>
      <w:r w:rsidR="6D99CF43" w:rsidRPr="00BB6220">
        <w:rPr>
          <w:lang w:eastAsia="en-NZ"/>
        </w:rPr>
        <w:t>communities</w:t>
      </w:r>
      <w:r w:rsidR="0365D649" w:rsidRPr="00BB6220">
        <w:rPr>
          <w:lang w:eastAsia="en-NZ"/>
        </w:rPr>
        <w:t>.</w:t>
      </w:r>
      <w:r w:rsidR="003D640C">
        <w:rPr>
          <w:lang w:eastAsia="en-NZ"/>
        </w:rPr>
        <w:t xml:space="preserve"> </w:t>
      </w:r>
      <w:r w:rsidRPr="00BB6220">
        <w:rPr>
          <w:lang w:eastAsia="en-NZ"/>
        </w:rPr>
        <w:t>This</w:t>
      </w:r>
      <w:r w:rsidR="003D640C">
        <w:rPr>
          <w:lang w:eastAsia="en-NZ"/>
        </w:rPr>
        <w:t xml:space="preserve"> </w:t>
      </w:r>
      <w:r w:rsidRPr="00BB6220">
        <w:rPr>
          <w:lang w:eastAsia="en-NZ"/>
        </w:rPr>
        <w:t>leads</w:t>
      </w:r>
      <w:r w:rsidR="003D640C">
        <w:rPr>
          <w:lang w:eastAsia="en-NZ"/>
        </w:rPr>
        <w:t xml:space="preserve"> </w:t>
      </w:r>
      <w:r w:rsidRPr="00BB6220">
        <w:rPr>
          <w:lang w:eastAsia="en-NZ"/>
        </w:rPr>
        <w:t>to</w:t>
      </w:r>
      <w:r w:rsidR="003D640C">
        <w:rPr>
          <w:lang w:eastAsia="en-NZ"/>
        </w:rPr>
        <w:t xml:space="preserve"> </w:t>
      </w:r>
      <w:r w:rsidRPr="00BB6220">
        <w:rPr>
          <w:lang w:eastAsia="en-NZ"/>
        </w:rPr>
        <w:t>deep-seated</w:t>
      </w:r>
      <w:r w:rsidR="003D640C">
        <w:rPr>
          <w:lang w:eastAsia="en-NZ"/>
        </w:rPr>
        <w:t xml:space="preserve"> </w:t>
      </w:r>
      <w:r w:rsidRPr="00BB6220">
        <w:rPr>
          <w:lang w:eastAsia="en-NZ"/>
        </w:rPr>
        <w:t>feelings</w:t>
      </w:r>
      <w:r w:rsidR="003D640C">
        <w:rPr>
          <w:lang w:eastAsia="en-NZ"/>
        </w:rPr>
        <w:t xml:space="preserve"> </w:t>
      </w:r>
      <w:r w:rsidRPr="00BB6220">
        <w:rPr>
          <w:lang w:eastAsia="en-NZ"/>
        </w:rPr>
        <w:t>of</w:t>
      </w:r>
      <w:r w:rsidR="003D640C">
        <w:rPr>
          <w:lang w:eastAsia="en-NZ"/>
        </w:rPr>
        <w:t xml:space="preserve"> </w:t>
      </w:r>
      <w:r w:rsidRPr="00BB6220">
        <w:rPr>
          <w:lang w:eastAsia="en-NZ"/>
        </w:rPr>
        <w:t>guilt</w:t>
      </w:r>
      <w:r w:rsidR="003D640C">
        <w:rPr>
          <w:lang w:eastAsia="en-NZ"/>
        </w:rPr>
        <w:t xml:space="preserve"> </w:t>
      </w:r>
      <w:r w:rsidRPr="00BB6220">
        <w:rPr>
          <w:lang w:eastAsia="en-NZ"/>
        </w:rPr>
        <w:t>and</w:t>
      </w:r>
      <w:r w:rsidR="003D640C">
        <w:rPr>
          <w:lang w:eastAsia="en-NZ"/>
        </w:rPr>
        <w:t xml:space="preserve"> </w:t>
      </w:r>
      <w:r w:rsidRPr="00BB6220">
        <w:rPr>
          <w:lang w:eastAsia="en-NZ"/>
        </w:rPr>
        <w:t>self-blame.</w:t>
      </w:r>
      <w:r w:rsidRPr="00BB6220">
        <w:rPr>
          <w:rStyle w:val="FootnoteReference"/>
          <w:rFonts w:eastAsia="Times New Roman"/>
          <w:color w:val="000000"/>
          <w:lang w:eastAsia="en-NZ"/>
        </w:rPr>
        <w:footnoteReference w:id="121"/>
      </w:r>
    </w:p>
    <w:p w14:paraId="42D54DAC" w14:textId="50BA4EF7" w:rsidR="00A65F83" w:rsidRPr="00BB6220" w:rsidRDefault="00D527F0" w:rsidP="0068108F">
      <w:pPr>
        <w:pStyle w:val="Bullet"/>
      </w:pPr>
      <w:r w:rsidRPr="00BB6220">
        <w:rPr>
          <w:b/>
          <w:lang w:eastAsia="en-NZ"/>
        </w:rPr>
        <w:t>Damage</w:t>
      </w:r>
      <w:r w:rsidR="003D640C">
        <w:rPr>
          <w:b/>
          <w:lang w:eastAsia="en-NZ"/>
        </w:rPr>
        <w:t xml:space="preserve"> </w:t>
      </w:r>
      <w:r w:rsidRPr="00BB6220">
        <w:rPr>
          <w:b/>
          <w:lang w:eastAsia="en-NZ"/>
        </w:rPr>
        <w:t>to</w:t>
      </w:r>
      <w:r w:rsidR="003D640C">
        <w:rPr>
          <w:b/>
          <w:lang w:eastAsia="en-NZ"/>
        </w:rPr>
        <w:t xml:space="preserve"> </w:t>
      </w:r>
      <w:r w:rsidRPr="00BB6220">
        <w:rPr>
          <w:b/>
          <w:lang w:eastAsia="en-NZ"/>
        </w:rPr>
        <w:t>identity</w:t>
      </w:r>
      <w:r w:rsidRPr="00BB6220">
        <w:rPr>
          <w:lang w:eastAsia="en-NZ"/>
        </w:rPr>
        <w:t>:</w:t>
      </w:r>
      <w:r w:rsidR="003D640C">
        <w:rPr>
          <w:lang w:eastAsia="en-NZ"/>
        </w:rPr>
        <w:t xml:space="preserve"> </w:t>
      </w:r>
      <w:r w:rsidR="00D2653E" w:rsidRPr="00BB6220">
        <w:rPr>
          <w:lang w:eastAsia="en-NZ"/>
        </w:rPr>
        <w:t>A</w:t>
      </w:r>
      <w:r w:rsidRPr="00BB6220">
        <w:rPr>
          <w:lang w:eastAsia="en-NZ"/>
        </w:rPr>
        <w:t>n</w:t>
      </w:r>
      <w:r w:rsidR="003D640C">
        <w:rPr>
          <w:lang w:eastAsia="en-NZ"/>
        </w:rPr>
        <w:t xml:space="preserve"> </w:t>
      </w:r>
      <w:r w:rsidRPr="00BB6220">
        <w:rPr>
          <w:lang w:eastAsia="en-NZ"/>
        </w:rPr>
        <w:t>individual</w:t>
      </w:r>
      <w:r w:rsidR="00CD3E06">
        <w:rPr>
          <w:lang w:eastAsia="en-NZ"/>
        </w:rPr>
        <w:t>’</w:t>
      </w:r>
      <w:r w:rsidRPr="00BB6220">
        <w:rPr>
          <w:lang w:eastAsia="en-NZ"/>
        </w:rPr>
        <w:t>s</w:t>
      </w:r>
      <w:r w:rsidR="003D640C">
        <w:rPr>
          <w:lang w:eastAsia="en-NZ"/>
        </w:rPr>
        <w:t xml:space="preserve"> </w:t>
      </w:r>
      <w:r w:rsidRPr="00BB6220">
        <w:rPr>
          <w:lang w:eastAsia="en-NZ"/>
        </w:rPr>
        <w:t>self-identity</w:t>
      </w:r>
      <w:r w:rsidR="003D640C">
        <w:rPr>
          <w:lang w:eastAsia="en-NZ"/>
        </w:rPr>
        <w:t xml:space="preserve"> </w:t>
      </w:r>
      <w:r w:rsidR="00EF0BEF" w:rsidRPr="00BB6220">
        <w:rPr>
          <w:lang w:eastAsia="en-NZ"/>
        </w:rPr>
        <w:t>is</w:t>
      </w:r>
      <w:r w:rsidR="003D640C">
        <w:rPr>
          <w:lang w:eastAsia="en-NZ"/>
        </w:rPr>
        <w:t xml:space="preserve"> </w:t>
      </w:r>
      <w:r w:rsidR="00EF0BEF" w:rsidRPr="00BB6220">
        <w:rPr>
          <w:lang w:eastAsia="en-NZ"/>
        </w:rPr>
        <w:t>undermined</w:t>
      </w:r>
      <w:r w:rsidR="003D640C">
        <w:rPr>
          <w:lang w:eastAsia="en-NZ"/>
        </w:rPr>
        <w:t xml:space="preserve"> </w:t>
      </w:r>
      <w:r w:rsidR="00EF0BEF" w:rsidRPr="00BB6220">
        <w:rPr>
          <w:lang w:eastAsia="en-NZ"/>
        </w:rPr>
        <w:t>by</w:t>
      </w:r>
      <w:r w:rsidR="003D640C">
        <w:rPr>
          <w:lang w:eastAsia="en-NZ"/>
        </w:rPr>
        <w:t xml:space="preserve"> </w:t>
      </w:r>
      <w:r w:rsidRPr="00BB6220">
        <w:rPr>
          <w:lang w:eastAsia="en-NZ"/>
        </w:rPr>
        <w:t>the</w:t>
      </w:r>
      <w:r w:rsidR="003D640C">
        <w:rPr>
          <w:lang w:eastAsia="en-NZ"/>
        </w:rPr>
        <w:t xml:space="preserve"> </w:t>
      </w:r>
      <w:r w:rsidRPr="00BB6220">
        <w:rPr>
          <w:lang w:eastAsia="en-NZ"/>
        </w:rPr>
        <w:t>idea</w:t>
      </w:r>
      <w:r w:rsidR="003D640C">
        <w:rPr>
          <w:lang w:eastAsia="en-NZ"/>
        </w:rPr>
        <w:t xml:space="preserve"> </w:t>
      </w:r>
      <w:r w:rsidRPr="00BB6220">
        <w:rPr>
          <w:lang w:eastAsia="en-NZ"/>
        </w:rPr>
        <w:t>they</w:t>
      </w:r>
      <w:r w:rsidR="003D640C">
        <w:rPr>
          <w:lang w:eastAsia="en-NZ"/>
        </w:rPr>
        <w:t xml:space="preserve"> </w:t>
      </w:r>
      <w:r w:rsidRPr="00BB6220">
        <w:rPr>
          <w:lang w:eastAsia="en-NZ"/>
        </w:rPr>
        <w:t>are</w:t>
      </w:r>
      <w:r w:rsidR="003D640C">
        <w:rPr>
          <w:lang w:eastAsia="en-NZ"/>
        </w:rPr>
        <w:t xml:space="preserve"> </w:t>
      </w:r>
      <w:r w:rsidRPr="00BB6220">
        <w:rPr>
          <w:lang w:eastAsia="en-NZ"/>
        </w:rPr>
        <w:t>flawed</w:t>
      </w:r>
      <w:r w:rsidR="003D640C">
        <w:rPr>
          <w:lang w:eastAsia="en-NZ"/>
        </w:rPr>
        <w:t xml:space="preserve"> </w:t>
      </w:r>
      <w:r w:rsidRPr="00BB6220">
        <w:rPr>
          <w:lang w:eastAsia="en-NZ"/>
        </w:rPr>
        <w:t>and</w:t>
      </w:r>
      <w:r w:rsidR="003D640C">
        <w:rPr>
          <w:lang w:eastAsia="en-NZ"/>
        </w:rPr>
        <w:t xml:space="preserve"> </w:t>
      </w:r>
      <w:r w:rsidRPr="00BB6220">
        <w:rPr>
          <w:lang w:eastAsia="en-NZ"/>
        </w:rPr>
        <w:t>unacceptable.</w:t>
      </w:r>
      <w:r w:rsidR="003D640C">
        <w:rPr>
          <w:lang w:eastAsia="en-NZ"/>
        </w:rPr>
        <w:t xml:space="preserve"> </w:t>
      </w:r>
      <w:r w:rsidRPr="00BB6220">
        <w:rPr>
          <w:lang w:eastAsia="en-NZ"/>
        </w:rPr>
        <w:t>Survivors</w:t>
      </w:r>
      <w:r w:rsidR="003D640C">
        <w:rPr>
          <w:lang w:eastAsia="en-NZ"/>
        </w:rPr>
        <w:t xml:space="preserve"> </w:t>
      </w:r>
      <w:r w:rsidRPr="00BB6220">
        <w:rPr>
          <w:lang w:eastAsia="en-NZ"/>
        </w:rPr>
        <w:t>experience</w:t>
      </w:r>
      <w:r w:rsidR="003D640C">
        <w:rPr>
          <w:lang w:eastAsia="en-NZ"/>
        </w:rPr>
        <w:t xml:space="preserve"> </w:t>
      </w:r>
      <w:r w:rsidRPr="00BB6220">
        <w:rPr>
          <w:lang w:eastAsia="en-NZ"/>
        </w:rPr>
        <w:t>a</w:t>
      </w:r>
      <w:r w:rsidR="003D640C">
        <w:rPr>
          <w:lang w:eastAsia="en-NZ"/>
        </w:rPr>
        <w:t xml:space="preserve"> </w:t>
      </w:r>
      <w:r w:rsidRPr="00BB6220">
        <w:rPr>
          <w:lang w:eastAsia="en-NZ"/>
        </w:rPr>
        <w:t>loss</w:t>
      </w:r>
      <w:r w:rsidR="003D640C">
        <w:rPr>
          <w:lang w:eastAsia="en-NZ"/>
        </w:rPr>
        <w:t xml:space="preserve"> </w:t>
      </w:r>
      <w:r w:rsidRPr="00BB6220">
        <w:rPr>
          <w:lang w:eastAsia="en-NZ"/>
        </w:rPr>
        <w:t>of</w:t>
      </w:r>
      <w:r w:rsidR="003D640C">
        <w:rPr>
          <w:lang w:eastAsia="en-NZ"/>
        </w:rPr>
        <w:t xml:space="preserve"> </w:t>
      </w:r>
      <w:r w:rsidRPr="00BB6220">
        <w:rPr>
          <w:lang w:eastAsia="en-NZ"/>
        </w:rPr>
        <w:t>authenticity</w:t>
      </w:r>
      <w:r w:rsidR="003D640C">
        <w:rPr>
          <w:lang w:eastAsia="en-NZ"/>
        </w:rPr>
        <w:t xml:space="preserve"> </w:t>
      </w:r>
      <w:r w:rsidRPr="00BB6220">
        <w:rPr>
          <w:lang w:eastAsia="en-NZ"/>
        </w:rPr>
        <w:t>as</w:t>
      </w:r>
      <w:r w:rsidR="003D640C">
        <w:rPr>
          <w:lang w:eastAsia="en-NZ"/>
        </w:rPr>
        <w:t xml:space="preserve"> </w:t>
      </w:r>
      <w:r w:rsidRPr="00BB6220">
        <w:rPr>
          <w:lang w:eastAsia="en-NZ"/>
        </w:rPr>
        <w:t>they</w:t>
      </w:r>
      <w:r w:rsidR="003D640C">
        <w:rPr>
          <w:lang w:eastAsia="en-NZ"/>
        </w:rPr>
        <w:t xml:space="preserve"> </w:t>
      </w:r>
      <w:r w:rsidRPr="00BB6220">
        <w:rPr>
          <w:lang w:eastAsia="en-NZ"/>
        </w:rPr>
        <w:t>are</w:t>
      </w:r>
      <w:r w:rsidR="003D640C">
        <w:rPr>
          <w:lang w:eastAsia="en-NZ"/>
        </w:rPr>
        <w:t xml:space="preserve"> </w:t>
      </w:r>
      <w:r w:rsidRPr="00BB6220">
        <w:rPr>
          <w:lang w:eastAsia="en-NZ"/>
        </w:rPr>
        <w:t>coerced</w:t>
      </w:r>
      <w:r w:rsidR="003D640C">
        <w:rPr>
          <w:lang w:eastAsia="en-NZ"/>
        </w:rPr>
        <w:t xml:space="preserve"> </w:t>
      </w:r>
      <w:r w:rsidRPr="00BB6220">
        <w:rPr>
          <w:lang w:eastAsia="en-NZ"/>
        </w:rPr>
        <w:t>into</w:t>
      </w:r>
      <w:r w:rsidR="003D640C">
        <w:rPr>
          <w:lang w:eastAsia="en-NZ"/>
        </w:rPr>
        <w:t xml:space="preserve"> </w:t>
      </w:r>
      <w:r w:rsidRPr="00BB6220">
        <w:rPr>
          <w:lang w:eastAsia="en-NZ"/>
        </w:rPr>
        <w:t>suppressing</w:t>
      </w:r>
      <w:r w:rsidR="003D640C">
        <w:rPr>
          <w:lang w:eastAsia="en-NZ"/>
        </w:rPr>
        <w:t xml:space="preserve"> </w:t>
      </w:r>
      <w:r w:rsidRPr="00BB6220">
        <w:rPr>
          <w:lang w:eastAsia="en-NZ"/>
        </w:rPr>
        <w:t>their</w:t>
      </w:r>
      <w:r w:rsidR="003D640C">
        <w:rPr>
          <w:lang w:eastAsia="en-NZ"/>
        </w:rPr>
        <w:t xml:space="preserve"> </w:t>
      </w:r>
      <w:r w:rsidRPr="00BB6220">
        <w:rPr>
          <w:lang w:eastAsia="en-NZ"/>
        </w:rPr>
        <w:t>true</w:t>
      </w:r>
      <w:r w:rsidR="003D640C">
        <w:rPr>
          <w:lang w:eastAsia="en-NZ"/>
        </w:rPr>
        <w:t xml:space="preserve"> </w:t>
      </w:r>
      <w:r w:rsidRPr="00BB6220">
        <w:rPr>
          <w:lang w:eastAsia="en-NZ"/>
        </w:rPr>
        <w:t>selves</w:t>
      </w:r>
      <w:r w:rsidR="003D640C">
        <w:rPr>
          <w:lang w:eastAsia="en-NZ"/>
        </w:rPr>
        <w:t xml:space="preserve"> </w:t>
      </w:r>
      <w:r w:rsidRPr="00BB6220">
        <w:rPr>
          <w:lang w:eastAsia="en-NZ"/>
        </w:rPr>
        <w:t>to</w:t>
      </w:r>
      <w:r w:rsidR="003D640C">
        <w:rPr>
          <w:lang w:eastAsia="en-NZ"/>
        </w:rPr>
        <w:t xml:space="preserve"> </w:t>
      </w:r>
      <w:r w:rsidRPr="00BB6220">
        <w:rPr>
          <w:lang w:eastAsia="en-NZ"/>
        </w:rPr>
        <w:t>conform</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expectations</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Pr="00BB6220">
        <w:rPr>
          <w:lang w:eastAsia="en-NZ"/>
        </w:rPr>
        <w:t>whānau</w:t>
      </w:r>
      <w:r w:rsidR="003D640C">
        <w:rPr>
          <w:lang w:eastAsia="en-NZ"/>
        </w:rPr>
        <w:t xml:space="preserve"> </w:t>
      </w:r>
      <w:r w:rsidRPr="00BB6220">
        <w:rPr>
          <w:lang w:eastAsia="en-NZ"/>
        </w:rPr>
        <w:t>or</w:t>
      </w:r>
      <w:r w:rsidR="003D640C">
        <w:rPr>
          <w:lang w:eastAsia="en-NZ"/>
        </w:rPr>
        <w:t xml:space="preserve"> </w:t>
      </w:r>
      <w:r w:rsidRPr="00BB6220">
        <w:rPr>
          <w:lang w:eastAsia="en-NZ"/>
        </w:rPr>
        <w:t>community.</w:t>
      </w:r>
      <w:r w:rsidR="003D640C">
        <w:rPr>
          <w:lang w:eastAsia="en-NZ"/>
        </w:rPr>
        <w:t xml:space="preserve"> </w:t>
      </w:r>
      <w:r w:rsidRPr="00BB6220">
        <w:rPr>
          <w:lang w:eastAsia="en-NZ"/>
        </w:rPr>
        <w:t>This</w:t>
      </w:r>
      <w:r w:rsidR="003D640C">
        <w:rPr>
          <w:lang w:eastAsia="en-NZ"/>
        </w:rPr>
        <w:t xml:space="preserve"> </w:t>
      </w:r>
      <w:r w:rsidRPr="00BB6220">
        <w:rPr>
          <w:lang w:eastAsia="en-NZ"/>
        </w:rPr>
        <w:t>suppression</w:t>
      </w:r>
      <w:r w:rsidR="003D640C">
        <w:rPr>
          <w:lang w:eastAsia="en-NZ"/>
        </w:rPr>
        <w:t xml:space="preserve"> </w:t>
      </w:r>
      <w:r w:rsidRPr="00BB6220">
        <w:rPr>
          <w:lang w:eastAsia="en-NZ"/>
        </w:rPr>
        <w:t>of</w:t>
      </w:r>
      <w:r w:rsidR="003D640C">
        <w:rPr>
          <w:lang w:eastAsia="en-NZ"/>
        </w:rPr>
        <w:t xml:space="preserve"> </w:t>
      </w:r>
      <w:r w:rsidRPr="00BB6220">
        <w:rPr>
          <w:lang w:eastAsia="en-NZ"/>
        </w:rPr>
        <w:t>identity</w:t>
      </w:r>
      <w:r w:rsidR="003D640C">
        <w:rPr>
          <w:lang w:eastAsia="en-NZ"/>
        </w:rPr>
        <w:t xml:space="preserve"> </w:t>
      </w:r>
      <w:r w:rsidRPr="00BB6220">
        <w:rPr>
          <w:lang w:eastAsia="en-NZ"/>
        </w:rPr>
        <w:t>leads</w:t>
      </w:r>
      <w:r w:rsidR="003D640C">
        <w:rPr>
          <w:lang w:eastAsia="en-NZ"/>
        </w:rPr>
        <w:t xml:space="preserve"> </w:t>
      </w:r>
      <w:r w:rsidRPr="00BB6220">
        <w:rPr>
          <w:lang w:eastAsia="en-NZ"/>
        </w:rPr>
        <w:t>to</w:t>
      </w:r>
      <w:r w:rsidR="003D640C">
        <w:rPr>
          <w:lang w:eastAsia="en-NZ"/>
        </w:rPr>
        <w:t xml:space="preserve"> </w:t>
      </w:r>
      <w:r w:rsidRPr="00BB6220">
        <w:rPr>
          <w:lang w:eastAsia="en-NZ"/>
        </w:rPr>
        <w:t>confusion,</w:t>
      </w:r>
      <w:r w:rsidR="003D640C">
        <w:rPr>
          <w:lang w:eastAsia="en-NZ"/>
        </w:rPr>
        <w:t xml:space="preserve"> </w:t>
      </w:r>
      <w:r w:rsidRPr="00BB6220">
        <w:rPr>
          <w:lang w:eastAsia="en-NZ"/>
        </w:rPr>
        <w:t>a</w:t>
      </w:r>
      <w:r w:rsidR="003D640C">
        <w:rPr>
          <w:lang w:eastAsia="en-NZ"/>
        </w:rPr>
        <w:t xml:space="preserve"> </w:t>
      </w:r>
      <w:r w:rsidRPr="00BB6220">
        <w:rPr>
          <w:lang w:eastAsia="en-NZ"/>
        </w:rPr>
        <w:t>distorted</w:t>
      </w:r>
      <w:r w:rsidR="003D640C">
        <w:rPr>
          <w:lang w:eastAsia="en-NZ"/>
        </w:rPr>
        <w:t xml:space="preserve"> </w:t>
      </w:r>
      <w:r w:rsidRPr="00BB6220">
        <w:rPr>
          <w:lang w:eastAsia="en-NZ"/>
        </w:rPr>
        <w:t>sense</w:t>
      </w:r>
      <w:r w:rsidR="003D640C">
        <w:rPr>
          <w:lang w:eastAsia="en-NZ"/>
        </w:rPr>
        <w:t xml:space="preserve"> </w:t>
      </w:r>
      <w:r w:rsidRPr="00BB6220">
        <w:rPr>
          <w:lang w:eastAsia="en-NZ"/>
        </w:rPr>
        <w:t>of</w:t>
      </w:r>
      <w:r w:rsidR="003D640C">
        <w:rPr>
          <w:lang w:eastAsia="en-NZ"/>
        </w:rPr>
        <w:t xml:space="preserve"> </w:t>
      </w:r>
      <w:r w:rsidRPr="00BB6220">
        <w:rPr>
          <w:lang w:eastAsia="en-NZ"/>
        </w:rPr>
        <w:t>self,</w:t>
      </w:r>
      <w:r w:rsidR="003D640C">
        <w:rPr>
          <w:lang w:eastAsia="en-NZ"/>
        </w:rPr>
        <w:t xml:space="preserve"> </w:t>
      </w:r>
      <w:r w:rsidRPr="00BB6220">
        <w:rPr>
          <w:lang w:eastAsia="en-NZ"/>
        </w:rPr>
        <w:t>and</w:t>
      </w:r>
      <w:r w:rsidR="003D640C">
        <w:rPr>
          <w:lang w:eastAsia="en-NZ"/>
        </w:rPr>
        <w:t xml:space="preserve"> </w:t>
      </w:r>
      <w:r w:rsidRPr="00BB6220">
        <w:rPr>
          <w:lang w:eastAsia="en-NZ"/>
        </w:rPr>
        <w:t>long-term</w:t>
      </w:r>
      <w:r w:rsidR="003D640C">
        <w:rPr>
          <w:lang w:eastAsia="en-NZ"/>
        </w:rPr>
        <w:t xml:space="preserve"> </w:t>
      </w:r>
      <w:r w:rsidRPr="00BB6220">
        <w:rPr>
          <w:lang w:eastAsia="en-NZ"/>
        </w:rPr>
        <w:t>internal</w:t>
      </w:r>
      <w:r w:rsidR="003D640C">
        <w:rPr>
          <w:lang w:eastAsia="en-NZ"/>
        </w:rPr>
        <w:t xml:space="preserve"> </w:t>
      </w:r>
      <w:r w:rsidRPr="00BB6220">
        <w:rPr>
          <w:lang w:eastAsia="en-NZ"/>
        </w:rPr>
        <w:t>conflicts.</w:t>
      </w:r>
      <w:r w:rsidRPr="00BB6220">
        <w:rPr>
          <w:rStyle w:val="FootnoteReference"/>
          <w:rFonts w:eastAsia="Times New Roman"/>
          <w:lang w:eastAsia="en-NZ"/>
        </w:rPr>
        <w:footnoteReference w:id="122"/>
      </w:r>
    </w:p>
    <w:p w14:paraId="21F90137" w14:textId="410021E2" w:rsidR="00D527F0" w:rsidRPr="00BB6220" w:rsidRDefault="00D527F0" w:rsidP="0068108F">
      <w:pPr>
        <w:pStyle w:val="Bullet"/>
        <w:rPr>
          <w:lang w:eastAsia="en-NZ"/>
        </w:rPr>
      </w:pPr>
      <w:r w:rsidRPr="00BB6220">
        <w:rPr>
          <w:b/>
          <w:lang w:eastAsia="en-NZ"/>
        </w:rPr>
        <w:t>Low</w:t>
      </w:r>
      <w:r w:rsidR="003D640C">
        <w:rPr>
          <w:b/>
          <w:lang w:eastAsia="en-NZ"/>
        </w:rPr>
        <w:t xml:space="preserve"> </w:t>
      </w:r>
      <w:r w:rsidRPr="00BB6220">
        <w:rPr>
          <w:b/>
          <w:lang w:eastAsia="en-NZ"/>
        </w:rPr>
        <w:t>self-esteem</w:t>
      </w:r>
      <w:r w:rsidRPr="00BB6220">
        <w:rPr>
          <w:lang w:eastAsia="en-NZ"/>
        </w:rPr>
        <w:t>:</w:t>
      </w:r>
      <w:r w:rsidR="003D640C">
        <w:rPr>
          <w:lang w:eastAsia="en-NZ"/>
        </w:rPr>
        <w:t xml:space="preserve"> </w:t>
      </w:r>
      <w:r w:rsidRPr="00BB6220">
        <w:rPr>
          <w:lang w:eastAsia="en-NZ"/>
        </w:rPr>
        <w:t>Survivors</w:t>
      </w:r>
      <w:r w:rsidR="003D640C">
        <w:rPr>
          <w:lang w:eastAsia="en-NZ"/>
        </w:rPr>
        <w:t xml:space="preserve"> </w:t>
      </w:r>
      <w:r w:rsidRPr="00BB6220">
        <w:rPr>
          <w:lang w:eastAsia="en-NZ"/>
        </w:rPr>
        <w:t>internalise</w:t>
      </w:r>
      <w:r w:rsidR="003D640C">
        <w:rPr>
          <w:lang w:eastAsia="en-NZ"/>
        </w:rPr>
        <w:t xml:space="preserve"> </w:t>
      </w:r>
      <w:r w:rsidRPr="00BB6220">
        <w:rPr>
          <w:lang w:eastAsia="en-NZ"/>
        </w:rPr>
        <w:t>negative</w:t>
      </w:r>
      <w:r w:rsidR="003D640C">
        <w:rPr>
          <w:lang w:eastAsia="en-NZ"/>
        </w:rPr>
        <w:t xml:space="preserve"> </w:t>
      </w:r>
      <w:r w:rsidRPr="00BB6220">
        <w:rPr>
          <w:lang w:eastAsia="en-NZ"/>
        </w:rPr>
        <w:t>messages</w:t>
      </w:r>
      <w:r w:rsidR="003D640C">
        <w:rPr>
          <w:lang w:eastAsia="en-NZ"/>
        </w:rPr>
        <w:t xml:space="preserve"> </w:t>
      </w:r>
      <w:r w:rsidRPr="00BB6220">
        <w:rPr>
          <w:lang w:eastAsia="en-NZ"/>
        </w:rPr>
        <w:t>about</w:t>
      </w:r>
      <w:r w:rsidR="003D640C">
        <w:rPr>
          <w:lang w:eastAsia="en-NZ"/>
        </w:rPr>
        <w:t xml:space="preserve"> </w:t>
      </w:r>
      <w:r w:rsidRPr="00BB6220">
        <w:rPr>
          <w:lang w:eastAsia="en-NZ"/>
        </w:rPr>
        <w:t>who</w:t>
      </w:r>
      <w:r w:rsidR="003D640C">
        <w:rPr>
          <w:lang w:eastAsia="en-NZ"/>
        </w:rPr>
        <w:t xml:space="preserve"> </w:t>
      </w:r>
      <w:r w:rsidRPr="00BB6220">
        <w:rPr>
          <w:lang w:eastAsia="en-NZ"/>
        </w:rPr>
        <w:t>they</w:t>
      </w:r>
      <w:r w:rsidR="003D640C">
        <w:rPr>
          <w:lang w:eastAsia="en-NZ"/>
        </w:rPr>
        <w:t xml:space="preserve"> </w:t>
      </w:r>
      <w:r w:rsidRPr="00BB6220">
        <w:rPr>
          <w:lang w:eastAsia="en-NZ"/>
        </w:rPr>
        <w:t>are</w:t>
      </w:r>
      <w:r w:rsidR="003D640C">
        <w:rPr>
          <w:lang w:eastAsia="en-NZ"/>
        </w:rPr>
        <w:t xml:space="preserve"> </w:t>
      </w:r>
      <w:r w:rsidRPr="00BB6220">
        <w:rPr>
          <w:lang w:eastAsia="en-NZ"/>
        </w:rPr>
        <w:t>at</w:t>
      </w:r>
      <w:r w:rsidR="003D640C">
        <w:rPr>
          <w:lang w:eastAsia="en-NZ"/>
        </w:rPr>
        <w:t xml:space="preserve"> </w:t>
      </w:r>
      <w:r w:rsidRPr="00BB6220">
        <w:rPr>
          <w:lang w:eastAsia="en-NZ"/>
        </w:rPr>
        <w:t>their</w:t>
      </w:r>
      <w:r w:rsidR="003D640C">
        <w:rPr>
          <w:lang w:eastAsia="en-NZ"/>
        </w:rPr>
        <w:t xml:space="preserve"> </w:t>
      </w:r>
      <w:r w:rsidRPr="00BB6220">
        <w:rPr>
          <w:lang w:eastAsia="en-NZ"/>
        </w:rPr>
        <w:t>core,</w:t>
      </w:r>
      <w:r w:rsidR="003D640C">
        <w:rPr>
          <w:lang w:eastAsia="en-NZ"/>
        </w:rPr>
        <w:t xml:space="preserve"> </w:t>
      </w:r>
      <w:r w:rsidRPr="00BB6220">
        <w:rPr>
          <w:lang w:eastAsia="en-NZ"/>
        </w:rPr>
        <w:t>leading</w:t>
      </w:r>
      <w:r w:rsidR="003D640C">
        <w:rPr>
          <w:lang w:eastAsia="en-NZ"/>
        </w:rPr>
        <w:t xml:space="preserve"> </w:t>
      </w:r>
      <w:r w:rsidRPr="00BB6220">
        <w:rPr>
          <w:lang w:eastAsia="en-NZ"/>
        </w:rPr>
        <w:t>to</w:t>
      </w:r>
      <w:r w:rsidR="003D640C">
        <w:rPr>
          <w:lang w:eastAsia="en-NZ"/>
        </w:rPr>
        <w:t xml:space="preserve"> </w:t>
      </w:r>
      <w:r w:rsidRPr="00BB6220">
        <w:rPr>
          <w:lang w:eastAsia="en-NZ"/>
        </w:rPr>
        <w:t>feelings</w:t>
      </w:r>
      <w:r w:rsidR="003D640C">
        <w:rPr>
          <w:lang w:eastAsia="en-NZ"/>
        </w:rPr>
        <w:t xml:space="preserve"> </w:t>
      </w:r>
      <w:r w:rsidRPr="00BB6220">
        <w:rPr>
          <w:lang w:eastAsia="en-NZ"/>
        </w:rPr>
        <w:t>of</w:t>
      </w:r>
      <w:r w:rsidR="003D640C">
        <w:rPr>
          <w:lang w:eastAsia="en-NZ"/>
        </w:rPr>
        <w:t xml:space="preserve"> </w:t>
      </w:r>
      <w:r w:rsidRPr="00BB6220">
        <w:rPr>
          <w:lang w:eastAsia="en-NZ"/>
        </w:rPr>
        <w:t>inadequacy,</w:t>
      </w:r>
      <w:r w:rsidR="003D640C">
        <w:rPr>
          <w:lang w:eastAsia="en-NZ"/>
        </w:rPr>
        <w:t xml:space="preserve"> </w:t>
      </w:r>
      <w:r w:rsidRPr="00BB6220">
        <w:rPr>
          <w:lang w:eastAsia="en-NZ"/>
        </w:rPr>
        <w:t>self-doubt,</w:t>
      </w:r>
      <w:r w:rsidR="003D640C">
        <w:rPr>
          <w:lang w:eastAsia="en-NZ"/>
        </w:rPr>
        <w:t xml:space="preserve"> </w:t>
      </w:r>
      <w:r w:rsidRPr="00BB6220">
        <w:rPr>
          <w:lang w:eastAsia="en-NZ"/>
        </w:rPr>
        <w:t>loss</w:t>
      </w:r>
      <w:r w:rsidR="003D640C">
        <w:rPr>
          <w:lang w:eastAsia="en-NZ"/>
        </w:rPr>
        <w:t xml:space="preserve"> </w:t>
      </w:r>
      <w:r w:rsidRPr="00BB6220">
        <w:rPr>
          <w:lang w:eastAsia="en-NZ"/>
        </w:rPr>
        <w:t>of</w:t>
      </w:r>
      <w:r w:rsidR="003D640C">
        <w:rPr>
          <w:lang w:eastAsia="en-NZ"/>
        </w:rPr>
        <w:t xml:space="preserve"> </w:t>
      </w:r>
      <w:r w:rsidRPr="00BB6220">
        <w:rPr>
          <w:lang w:eastAsia="en-NZ"/>
        </w:rPr>
        <w:t>confidence,</w:t>
      </w:r>
      <w:r w:rsidR="003D640C">
        <w:rPr>
          <w:lang w:eastAsia="en-NZ"/>
        </w:rPr>
        <w:t xml:space="preserve"> </w:t>
      </w:r>
      <w:r w:rsidRPr="00BB6220">
        <w:rPr>
          <w:lang w:eastAsia="en-NZ"/>
        </w:rPr>
        <w:t>and</w:t>
      </w:r>
      <w:r w:rsidR="003D640C">
        <w:rPr>
          <w:lang w:eastAsia="en-NZ"/>
        </w:rPr>
        <w:t xml:space="preserve"> </w:t>
      </w:r>
      <w:r w:rsidRPr="00BB6220">
        <w:rPr>
          <w:lang w:eastAsia="en-NZ"/>
        </w:rPr>
        <w:t>a</w:t>
      </w:r>
      <w:r w:rsidR="003D640C">
        <w:rPr>
          <w:lang w:eastAsia="en-NZ"/>
        </w:rPr>
        <w:t xml:space="preserve"> </w:t>
      </w:r>
      <w:r w:rsidRPr="00BB6220">
        <w:rPr>
          <w:lang w:eastAsia="en-NZ"/>
        </w:rPr>
        <w:t>diminished</w:t>
      </w:r>
      <w:r w:rsidR="003D640C">
        <w:rPr>
          <w:lang w:eastAsia="en-NZ"/>
        </w:rPr>
        <w:t xml:space="preserve"> </w:t>
      </w:r>
      <w:r w:rsidRPr="00BB6220">
        <w:rPr>
          <w:lang w:eastAsia="en-NZ"/>
        </w:rPr>
        <w:t>sense</w:t>
      </w:r>
      <w:r w:rsidR="003D640C">
        <w:rPr>
          <w:lang w:eastAsia="en-NZ"/>
        </w:rPr>
        <w:t xml:space="preserve"> </w:t>
      </w:r>
      <w:r w:rsidRPr="00BB6220">
        <w:rPr>
          <w:lang w:eastAsia="en-NZ"/>
        </w:rPr>
        <w:t>of</w:t>
      </w:r>
      <w:r w:rsidR="003D640C">
        <w:rPr>
          <w:lang w:eastAsia="en-NZ"/>
        </w:rPr>
        <w:t xml:space="preserve"> </w:t>
      </w:r>
      <w:r w:rsidRPr="00BB6220">
        <w:rPr>
          <w:lang w:eastAsia="en-NZ"/>
        </w:rPr>
        <w:t>value</w:t>
      </w:r>
      <w:r w:rsidR="003D640C">
        <w:rPr>
          <w:lang w:eastAsia="en-NZ"/>
        </w:rPr>
        <w:t xml:space="preserve"> </w:t>
      </w:r>
      <w:r w:rsidRPr="00BB6220">
        <w:rPr>
          <w:lang w:eastAsia="en-NZ"/>
        </w:rPr>
        <w:t>as</w:t>
      </w:r>
      <w:r w:rsidR="003D640C">
        <w:rPr>
          <w:lang w:eastAsia="en-NZ"/>
        </w:rPr>
        <w:t xml:space="preserve"> </w:t>
      </w:r>
      <w:r w:rsidRPr="00BB6220">
        <w:rPr>
          <w:lang w:eastAsia="en-NZ"/>
        </w:rPr>
        <w:t>a</w:t>
      </w:r>
      <w:r w:rsidR="003D640C">
        <w:rPr>
          <w:lang w:eastAsia="en-NZ"/>
        </w:rPr>
        <w:t xml:space="preserve"> </w:t>
      </w:r>
      <w:r w:rsidRPr="00BB6220">
        <w:rPr>
          <w:lang w:eastAsia="en-NZ"/>
        </w:rPr>
        <w:t>person.</w:t>
      </w:r>
      <w:r w:rsidR="003D640C">
        <w:rPr>
          <w:lang w:eastAsia="en-NZ"/>
        </w:rPr>
        <w:t xml:space="preserve"> </w:t>
      </w:r>
      <w:r w:rsidRPr="00BB6220">
        <w:rPr>
          <w:lang w:eastAsia="en-NZ"/>
        </w:rPr>
        <w:t>This</w:t>
      </w:r>
      <w:r w:rsidR="003D640C">
        <w:rPr>
          <w:lang w:eastAsia="en-NZ"/>
        </w:rPr>
        <w:t xml:space="preserve"> </w:t>
      </w:r>
      <w:r w:rsidRPr="00BB6220">
        <w:rPr>
          <w:lang w:eastAsia="en-NZ"/>
        </w:rPr>
        <w:t>is</w:t>
      </w:r>
      <w:r w:rsidR="003D640C">
        <w:rPr>
          <w:lang w:eastAsia="en-NZ"/>
        </w:rPr>
        <w:t xml:space="preserve"> </w:t>
      </w:r>
      <w:r w:rsidRPr="00BB6220">
        <w:rPr>
          <w:lang w:eastAsia="en-NZ"/>
        </w:rPr>
        <w:t>particularly</w:t>
      </w:r>
      <w:r w:rsidR="003D640C">
        <w:rPr>
          <w:lang w:eastAsia="en-NZ"/>
        </w:rPr>
        <w:t xml:space="preserve"> </w:t>
      </w:r>
      <w:r w:rsidRPr="00BB6220">
        <w:rPr>
          <w:lang w:eastAsia="en-NZ"/>
        </w:rPr>
        <w:t>harmful</w:t>
      </w:r>
      <w:r w:rsidR="003D640C">
        <w:rPr>
          <w:lang w:eastAsia="en-NZ"/>
        </w:rPr>
        <w:t xml:space="preserve"> </w:t>
      </w:r>
      <w:r w:rsidRPr="00BB6220">
        <w:rPr>
          <w:lang w:eastAsia="en-NZ"/>
        </w:rPr>
        <w:t>when</w:t>
      </w:r>
      <w:r w:rsidR="003D640C">
        <w:rPr>
          <w:lang w:eastAsia="en-NZ"/>
        </w:rPr>
        <w:t xml:space="preserve"> </w:t>
      </w:r>
      <w:r w:rsidRPr="00BB6220">
        <w:rPr>
          <w:lang w:eastAsia="en-NZ"/>
        </w:rPr>
        <w:t>these</w:t>
      </w:r>
      <w:r w:rsidR="003D640C">
        <w:rPr>
          <w:lang w:eastAsia="en-NZ"/>
        </w:rPr>
        <w:t xml:space="preserve"> </w:t>
      </w:r>
      <w:r w:rsidRPr="00BB6220">
        <w:rPr>
          <w:lang w:eastAsia="en-NZ"/>
        </w:rPr>
        <w:t>messages</w:t>
      </w:r>
      <w:r w:rsidR="003D640C">
        <w:rPr>
          <w:lang w:eastAsia="en-NZ"/>
        </w:rPr>
        <w:t xml:space="preserve"> </w:t>
      </w:r>
      <w:r w:rsidRPr="00BB6220">
        <w:rPr>
          <w:lang w:eastAsia="en-NZ"/>
        </w:rPr>
        <w:t>come</w:t>
      </w:r>
      <w:r w:rsidR="003D640C">
        <w:rPr>
          <w:lang w:eastAsia="en-NZ"/>
        </w:rPr>
        <w:t xml:space="preserve"> </w:t>
      </w:r>
      <w:r w:rsidRPr="00BB6220">
        <w:rPr>
          <w:lang w:eastAsia="en-NZ"/>
        </w:rPr>
        <w:t>from</w:t>
      </w:r>
      <w:r w:rsidR="003D640C">
        <w:rPr>
          <w:lang w:eastAsia="en-NZ"/>
        </w:rPr>
        <w:t xml:space="preserve"> </w:t>
      </w:r>
      <w:r w:rsidRPr="00BB6220">
        <w:rPr>
          <w:lang w:eastAsia="en-NZ"/>
        </w:rPr>
        <w:t>their</w:t>
      </w:r>
      <w:r w:rsidR="003D640C">
        <w:rPr>
          <w:lang w:eastAsia="en-NZ"/>
        </w:rPr>
        <w:t xml:space="preserve"> </w:t>
      </w:r>
      <w:r w:rsidRPr="00BB6220">
        <w:rPr>
          <w:lang w:eastAsia="en-NZ"/>
        </w:rPr>
        <w:t>closest</w:t>
      </w:r>
      <w:r w:rsidR="003D640C">
        <w:rPr>
          <w:lang w:eastAsia="en-NZ"/>
        </w:rPr>
        <w:t xml:space="preserve"> </w:t>
      </w:r>
      <w:r w:rsidRPr="00BB6220">
        <w:rPr>
          <w:lang w:eastAsia="en-NZ"/>
        </w:rPr>
        <w:t>communities.</w:t>
      </w:r>
      <w:r w:rsidRPr="00BB6220">
        <w:rPr>
          <w:rStyle w:val="FootnoteReference"/>
          <w:rFonts w:eastAsia="Times New Roman"/>
          <w:color w:val="000000"/>
          <w:lang w:eastAsia="en-NZ"/>
        </w:rPr>
        <w:footnoteReference w:id="123"/>
      </w:r>
    </w:p>
    <w:p w14:paraId="68B04F47" w14:textId="0A4174C6" w:rsidR="00D527F0" w:rsidRPr="00BB6220" w:rsidRDefault="00D527F0" w:rsidP="0068108F">
      <w:pPr>
        <w:pStyle w:val="Bullet"/>
        <w:rPr>
          <w:color w:val="000000"/>
          <w:lang w:eastAsia="en-NZ"/>
        </w:rPr>
      </w:pPr>
      <w:r w:rsidRPr="00BB6220">
        <w:rPr>
          <w:b/>
          <w:lang w:eastAsia="en-NZ"/>
        </w:rPr>
        <w:t>Loss</w:t>
      </w:r>
      <w:r w:rsidR="003D640C">
        <w:rPr>
          <w:b/>
          <w:lang w:eastAsia="en-NZ"/>
        </w:rPr>
        <w:t xml:space="preserve"> </w:t>
      </w:r>
      <w:r w:rsidRPr="00BB6220">
        <w:rPr>
          <w:b/>
          <w:lang w:eastAsia="en-NZ"/>
        </w:rPr>
        <w:t>of</w:t>
      </w:r>
      <w:r w:rsidR="003D640C">
        <w:rPr>
          <w:b/>
          <w:lang w:eastAsia="en-NZ"/>
        </w:rPr>
        <w:t xml:space="preserve"> </w:t>
      </w:r>
      <w:r w:rsidRPr="00BB6220">
        <w:rPr>
          <w:b/>
          <w:lang w:eastAsia="en-NZ"/>
        </w:rPr>
        <w:t>social</w:t>
      </w:r>
      <w:r w:rsidR="003D640C">
        <w:rPr>
          <w:b/>
          <w:lang w:eastAsia="en-NZ"/>
        </w:rPr>
        <w:t xml:space="preserve"> </w:t>
      </w:r>
      <w:r w:rsidRPr="00BB6220">
        <w:rPr>
          <w:b/>
          <w:lang w:eastAsia="en-NZ"/>
        </w:rPr>
        <w:t>support</w:t>
      </w:r>
      <w:r w:rsidRPr="00BB6220">
        <w:rPr>
          <w:lang w:eastAsia="en-NZ"/>
        </w:rPr>
        <w:t>:</w:t>
      </w:r>
      <w:r w:rsidR="003D640C">
        <w:rPr>
          <w:lang w:eastAsia="en-NZ"/>
        </w:rPr>
        <w:t xml:space="preserve"> </w:t>
      </w:r>
      <w:r w:rsidR="00802E94" w:rsidRPr="00BB6220">
        <w:rPr>
          <w:lang w:eastAsia="en-NZ"/>
        </w:rPr>
        <w:t>Due</w:t>
      </w:r>
      <w:r w:rsidR="003D640C">
        <w:rPr>
          <w:lang w:eastAsia="en-NZ"/>
        </w:rPr>
        <w:t xml:space="preserve"> </w:t>
      </w:r>
      <w:r w:rsidR="00802E94" w:rsidRPr="00BB6220">
        <w:rPr>
          <w:lang w:eastAsia="en-NZ"/>
        </w:rPr>
        <w:t>to</w:t>
      </w:r>
      <w:r w:rsidR="003D640C">
        <w:rPr>
          <w:lang w:eastAsia="en-NZ"/>
        </w:rPr>
        <w:t xml:space="preserve"> </w:t>
      </w:r>
      <w:r w:rsidR="00EA0ECC" w:rsidRPr="00BB6220">
        <w:rPr>
          <w:lang w:eastAsia="en-NZ"/>
        </w:rPr>
        <w:t>indoctrination</w:t>
      </w:r>
      <w:r w:rsidR="00FD3BC3" w:rsidRPr="00BB6220">
        <w:rPr>
          <w:lang w:eastAsia="en-NZ"/>
        </w:rPr>
        <w:t>,</w:t>
      </w:r>
      <w:r w:rsidR="003D640C">
        <w:rPr>
          <w:lang w:eastAsia="en-NZ"/>
        </w:rPr>
        <w:t xml:space="preserve"> </w:t>
      </w:r>
      <w:r w:rsidR="00EA0ECC" w:rsidRPr="00BB6220">
        <w:rPr>
          <w:lang w:eastAsia="en-NZ"/>
        </w:rPr>
        <w:t>p</w:t>
      </w:r>
      <w:r w:rsidRPr="00BB6220">
        <w:rPr>
          <w:lang w:eastAsia="en-NZ"/>
        </w:rPr>
        <w:t>eople</w:t>
      </w:r>
      <w:r w:rsidR="003D640C">
        <w:rPr>
          <w:lang w:eastAsia="en-NZ"/>
        </w:rPr>
        <w:t xml:space="preserve"> </w:t>
      </w:r>
      <w:r w:rsidRPr="00BB6220">
        <w:rPr>
          <w:lang w:eastAsia="en-NZ"/>
        </w:rPr>
        <w:t>vulnerable</w:t>
      </w:r>
      <w:r w:rsidR="003D640C">
        <w:rPr>
          <w:lang w:eastAsia="en-NZ"/>
        </w:rPr>
        <w:t xml:space="preserve"> </w:t>
      </w:r>
      <w:r w:rsidRPr="00BB6220">
        <w:rPr>
          <w:lang w:eastAsia="en-NZ"/>
        </w:rPr>
        <w:t>to</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are</w:t>
      </w:r>
      <w:r w:rsidR="003D640C">
        <w:rPr>
          <w:lang w:eastAsia="en-NZ"/>
        </w:rPr>
        <w:t xml:space="preserve"> </w:t>
      </w:r>
      <w:r w:rsidRPr="00BB6220">
        <w:rPr>
          <w:lang w:eastAsia="en-NZ"/>
        </w:rPr>
        <w:t>sometimes</w:t>
      </w:r>
      <w:r w:rsidR="003D640C">
        <w:rPr>
          <w:lang w:eastAsia="en-NZ"/>
        </w:rPr>
        <w:t xml:space="preserve"> </w:t>
      </w:r>
      <w:r w:rsidRPr="00BB6220">
        <w:rPr>
          <w:lang w:eastAsia="en-NZ"/>
        </w:rPr>
        <w:t>already</w:t>
      </w:r>
      <w:r w:rsidR="003D640C">
        <w:rPr>
          <w:lang w:eastAsia="en-NZ"/>
        </w:rPr>
        <w:t xml:space="preserve"> </w:t>
      </w:r>
      <w:r w:rsidRPr="00BB6220">
        <w:rPr>
          <w:lang w:eastAsia="en-NZ"/>
        </w:rPr>
        <w:t>isolated</w:t>
      </w:r>
      <w:r w:rsidR="003D640C">
        <w:rPr>
          <w:lang w:eastAsia="en-NZ"/>
        </w:rPr>
        <w:t xml:space="preserve"> </w:t>
      </w:r>
      <w:r w:rsidRPr="00BB6220">
        <w:rPr>
          <w:lang w:eastAsia="en-NZ"/>
        </w:rPr>
        <w:t>from</w:t>
      </w:r>
      <w:r w:rsidR="003D640C">
        <w:rPr>
          <w:lang w:eastAsia="en-NZ"/>
        </w:rPr>
        <w:t xml:space="preserve"> </w:t>
      </w:r>
      <w:r w:rsidRPr="00BB6220">
        <w:rPr>
          <w:lang w:eastAsia="en-NZ"/>
        </w:rPr>
        <w:t>society</w:t>
      </w:r>
      <w:r w:rsidR="002D57AD">
        <w:rPr>
          <w:lang w:eastAsia="en-NZ"/>
        </w:rPr>
        <w:t>,</w:t>
      </w:r>
      <w:r w:rsidR="003D640C">
        <w:rPr>
          <w:lang w:eastAsia="en-NZ"/>
        </w:rPr>
        <w:t xml:space="preserve"> </w:t>
      </w:r>
      <w:r w:rsidRPr="00BB6220">
        <w:rPr>
          <w:lang w:eastAsia="en-NZ"/>
        </w:rPr>
        <w:t>diverse</w:t>
      </w:r>
      <w:r w:rsidR="003D640C">
        <w:rPr>
          <w:lang w:eastAsia="en-NZ"/>
        </w:rPr>
        <w:t xml:space="preserve"> </w:t>
      </w:r>
      <w:r w:rsidR="007F6F00" w:rsidRPr="00BB6220">
        <w:rPr>
          <w:lang w:eastAsia="en-NZ"/>
        </w:rPr>
        <w:t>people</w:t>
      </w:r>
      <w:r w:rsidR="002D57AD">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ways</w:t>
      </w:r>
      <w:r w:rsidR="003D640C">
        <w:rPr>
          <w:lang w:eastAsia="en-NZ"/>
        </w:rPr>
        <w:t xml:space="preserve"> </w:t>
      </w:r>
      <w:r w:rsidRPr="00BB6220">
        <w:rPr>
          <w:lang w:eastAsia="en-NZ"/>
        </w:rPr>
        <w:t>of</w:t>
      </w:r>
      <w:r w:rsidR="003D640C">
        <w:rPr>
          <w:lang w:eastAsia="en-NZ"/>
        </w:rPr>
        <w:t xml:space="preserve"> </w:t>
      </w:r>
      <w:r w:rsidRPr="00BB6220">
        <w:rPr>
          <w:lang w:eastAsia="en-NZ"/>
        </w:rPr>
        <w:t>lif</w:t>
      </w:r>
      <w:r w:rsidR="003C54F9" w:rsidRPr="00BB6220">
        <w:rPr>
          <w:lang w:eastAsia="en-NZ"/>
        </w:rPr>
        <w:t>e.</w:t>
      </w:r>
      <w:r w:rsidR="003D640C">
        <w:rPr>
          <w:lang w:eastAsia="en-NZ"/>
        </w:rPr>
        <w:t xml:space="preserve"> </w:t>
      </w:r>
      <w:r w:rsidRPr="00BB6220">
        <w:rPr>
          <w:lang w:eastAsia="en-NZ"/>
        </w:rPr>
        <w:t>Survivors</w:t>
      </w:r>
      <w:r w:rsidR="003D640C">
        <w:rPr>
          <w:lang w:eastAsia="en-NZ"/>
        </w:rPr>
        <w:t xml:space="preserve"> </w:t>
      </w:r>
      <w:r w:rsidRPr="00BB6220">
        <w:rPr>
          <w:lang w:eastAsia="en-NZ"/>
        </w:rPr>
        <w:t>who</w:t>
      </w:r>
      <w:r w:rsidR="003D640C">
        <w:rPr>
          <w:lang w:eastAsia="en-NZ"/>
        </w:rPr>
        <w:t xml:space="preserve"> </w:t>
      </w:r>
      <w:r w:rsidRPr="00BB6220">
        <w:rPr>
          <w:lang w:eastAsia="en-NZ"/>
        </w:rPr>
        <w:t>leave</w:t>
      </w:r>
      <w:r w:rsidR="003D640C">
        <w:rPr>
          <w:lang w:eastAsia="en-NZ"/>
        </w:rPr>
        <w:t xml:space="preserve"> </w:t>
      </w:r>
      <w:r w:rsidRPr="00BB6220">
        <w:rPr>
          <w:lang w:eastAsia="en-NZ"/>
        </w:rPr>
        <w:t>behind</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and</w:t>
      </w:r>
      <w:r w:rsidR="003D640C">
        <w:rPr>
          <w:lang w:eastAsia="en-NZ"/>
        </w:rPr>
        <w:t xml:space="preserve"> </w:t>
      </w:r>
      <w:r w:rsidRPr="00BB6220">
        <w:rPr>
          <w:lang w:eastAsia="en-NZ"/>
        </w:rPr>
        <w:t>come</w:t>
      </w:r>
      <w:r w:rsidR="003D640C">
        <w:rPr>
          <w:lang w:eastAsia="en-NZ"/>
        </w:rPr>
        <w:t xml:space="preserve"> </w:t>
      </w:r>
      <w:r w:rsidRPr="00BB6220">
        <w:rPr>
          <w:lang w:eastAsia="en-NZ"/>
        </w:rPr>
        <w:t>out</w:t>
      </w:r>
      <w:r w:rsidR="003D640C">
        <w:rPr>
          <w:lang w:eastAsia="en-NZ"/>
        </w:rPr>
        <w:t xml:space="preserve"> </w:t>
      </w:r>
      <w:r w:rsidRPr="00BB6220">
        <w:rPr>
          <w:lang w:eastAsia="en-NZ"/>
        </w:rPr>
        <w:t>as</w:t>
      </w:r>
      <w:r w:rsidR="003D640C">
        <w:rPr>
          <w:lang w:eastAsia="en-NZ"/>
        </w:rPr>
        <w:t xml:space="preserve"> </w:t>
      </w:r>
      <w:r w:rsidRPr="00BB6220">
        <w:rPr>
          <w:lang w:eastAsia="en-NZ"/>
        </w:rPr>
        <w:t>part</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00E61461" w:rsidRPr="00BB6220">
        <w:rPr>
          <w:lang w:eastAsia="en-NZ"/>
        </w:rPr>
        <w:t>Rainbow</w:t>
      </w:r>
      <w:r w:rsidR="003D640C">
        <w:rPr>
          <w:lang w:eastAsia="en-NZ"/>
        </w:rPr>
        <w:t xml:space="preserve"> </w:t>
      </w:r>
      <w:r w:rsidRPr="00BB6220">
        <w:rPr>
          <w:lang w:eastAsia="en-NZ"/>
        </w:rPr>
        <w:t>community</w:t>
      </w:r>
      <w:r w:rsidR="003D640C">
        <w:rPr>
          <w:lang w:eastAsia="en-NZ"/>
        </w:rPr>
        <w:t xml:space="preserve"> </w:t>
      </w:r>
      <w:r w:rsidRPr="00BB6220">
        <w:rPr>
          <w:lang w:eastAsia="en-NZ"/>
        </w:rPr>
        <w:t>are</w:t>
      </w:r>
      <w:r w:rsidR="003D640C">
        <w:rPr>
          <w:lang w:eastAsia="en-NZ"/>
        </w:rPr>
        <w:t xml:space="preserve"> </w:t>
      </w:r>
      <w:r w:rsidRPr="00BB6220">
        <w:rPr>
          <w:lang w:eastAsia="en-NZ"/>
        </w:rPr>
        <w:t>frequently</w:t>
      </w:r>
      <w:r w:rsidR="003D640C">
        <w:rPr>
          <w:lang w:eastAsia="en-NZ"/>
        </w:rPr>
        <w:t xml:space="preserve"> </w:t>
      </w:r>
      <w:r w:rsidRPr="00BB6220">
        <w:rPr>
          <w:lang w:eastAsia="en-NZ"/>
        </w:rPr>
        <w:t>alienated</w:t>
      </w:r>
      <w:r w:rsidR="003D640C">
        <w:rPr>
          <w:lang w:eastAsia="en-NZ"/>
        </w:rPr>
        <w:t xml:space="preserve"> </w:t>
      </w:r>
      <w:r w:rsidRPr="00BB6220">
        <w:rPr>
          <w:lang w:eastAsia="en-NZ"/>
        </w:rPr>
        <w:t>from</w:t>
      </w:r>
      <w:r w:rsidR="003D640C">
        <w:rPr>
          <w:lang w:eastAsia="en-NZ"/>
        </w:rPr>
        <w:t xml:space="preserve"> </w:t>
      </w:r>
      <w:r w:rsidRPr="00BB6220">
        <w:rPr>
          <w:lang w:eastAsia="en-NZ"/>
        </w:rPr>
        <w:t>whānau,</w:t>
      </w:r>
      <w:r w:rsidR="003D640C">
        <w:rPr>
          <w:lang w:eastAsia="en-NZ"/>
        </w:rPr>
        <w:t xml:space="preserve"> </w:t>
      </w:r>
      <w:r w:rsidRPr="00BB6220">
        <w:rPr>
          <w:lang w:eastAsia="en-NZ"/>
        </w:rPr>
        <w:t>friends</w:t>
      </w:r>
      <w:r w:rsidR="73039717"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community</w:t>
      </w:r>
      <w:r w:rsidR="003D640C">
        <w:rPr>
          <w:lang w:eastAsia="en-NZ"/>
        </w:rPr>
        <w:t xml:space="preserve"> </w:t>
      </w:r>
      <w:r w:rsidRPr="00BB6220">
        <w:rPr>
          <w:lang w:eastAsia="en-NZ"/>
        </w:rPr>
        <w:t>who</w:t>
      </w:r>
      <w:r w:rsidR="003D640C">
        <w:rPr>
          <w:lang w:eastAsia="en-NZ"/>
        </w:rPr>
        <w:t xml:space="preserve"> </w:t>
      </w:r>
      <w:r w:rsidRPr="00BB6220">
        <w:rPr>
          <w:lang w:eastAsia="en-NZ"/>
        </w:rPr>
        <w:t>do</w:t>
      </w:r>
      <w:r w:rsidR="003D640C">
        <w:rPr>
          <w:lang w:eastAsia="en-NZ"/>
        </w:rPr>
        <w:t xml:space="preserve"> </w:t>
      </w:r>
      <w:r w:rsidRPr="00BB6220">
        <w:rPr>
          <w:lang w:eastAsia="en-NZ"/>
        </w:rPr>
        <w:t>not</w:t>
      </w:r>
      <w:r w:rsidR="003D640C">
        <w:rPr>
          <w:lang w:eastAsia="en-NZ"/>
        </w:rPr>
        <w:t xml:space="preserve"> </w:t>
      </w:r>
      <w:r w:rsidRPr="00BB6220">
        <w:rPr>
          <w:lang w:eastAsia="en-NZ"/>
        </w:rPr>
        <w:t>affirm</w:t>
      </w:r>
      <w:r w:rsidR="003D640C">
        <w:rPr>
          <w:lang w:eastAsia="en-NZ"/>
        </w:rPr>
        <w:t xml:space="preserve"> </w:t>
      </w:r>
      <w:r w:rsidRPr="00BB6220">
        <w:rPr>
          <w:lang w:eastAsia="en-NZ"/>
        </w:rPr>
        <w:t>and</w:t>
      </w:r>
      <w:r w:rsidR="003D640C">
        <w:rPr>
          <w:lang w:eastAsia="en-NZ"/>
        </w:rPr>
        <w:t xml:space="preserve"> </w:t>
      </w:r>
      <w:r w:rsidRPr="00BB6220">
        <w:rPr>
          <w:lang w:eastAsia="en-NZ"/>
        </w:rPr>
        <w:t>embrace</w:t>
      </w:r>
      <w:r w:rsidR="003D640C">
        <w:rPr>
          <w:lang w:eastAsia="en-NZ"/>
        </w:rPr>
        <w:t xml:space="preserve"> </w:t>
      </w:r>
      <w:r w:rsidR="00E61461" w:rsidRPr="00BB6220">
        <w:rPr>
          <w:lang w:eastAsia="en-NZ"/>
        </w:rPr>
        <w:t>Rainbow</w:t>
      </w:r>
      <w:r w:rsidR="003D640C">
        <w:rPr>
          <w:lang w:eastAsia="en-NZ"/>
        </w:rPr>
        <w:t xml:space="preserve"> </w:t>
      </w:r>
      <w:r w:rsidRPr="00BB6220">
        <w:rPr>
          <w:lang w:eastAsia="en-NZ"/>
        </w:rPr>
        <w:t>people.</w:t>
      </w:r>
      <w:r w:rsidR="003D640C">
        <w:rPr>
          <w:lang w:eastAsia="en-NZ"/>
        </w:rPr>
        <w:t xml:space="preserve"> </w:t>
      </w:r>
      <w:r w:rsidRPr="00BB6220">
        <w:rPr>
          <w:lang w:eastAsia="en-NZ"/>
        </w:rPr>
        <w:t>This</w:t>
      </w:r>
      <w:r w:rsidR="003D640C">
        <w:rPr>
          <w:lang w:eastAsia="en-NZ"/>
        </w:rPr>
        <w:t xml:space="preserve"> </w:t>
      </w:r>
      <w:r w:rsidRPr="00BB6220">
        <w:rPr>
          <w:lang w:eastAsia="en-NZ"/>
        </w:rPr>
        <w:t>lack</w:t>
      </w:r>
      <w:r w:rsidR="003D640C">
        <w:rPr>
          <w:lang w:eastAsia="en-NZ"/>
        </w:rPr>
        <w:t xml:space="preserve"> </w:t>
      </w:r>
      <w:r w:rsidRPr="00BB6220">
        <w:rPr>
          <w:lang w:eastAsia="en-NZ"/>
        </w:rPr>
        <w:t>of</w:t>
      </w:r>
      <w:r w:rsidR="003D640C">
        <w:rPr>
          <w:lang w:eastAsia="en-NZ"/>
        </w:rPr>
        <w:t xml:space="preserve"> </w:t>
      </w:r>
      <w:r w:rsidRPr="00BB6220">
        <w:rPr>
          <w:lang w:eastAsia="en-NZ"/>
        </w:rPr>
        <w:t>support</w:t>
      </w:r>
      <w:r w:rsidR="003D640C">
        <w:rPr>
          <w:lang w:eastAsia="en-NZ"/>
        </w:rPr>
        <w:t xml:space="preserve"> </w:t>
      </w:r>
      <w:r w:rsidRPr="00BB6220">
        <w:rPr>
          <w:lang w:eastAsia="en-NZ"/>
        </w:rPr>
        <w:t>exacerbates</w:t>
      </w:r>
      <w:r w:rsidR="003D640C">
        <w:rPr>
          <w:lang w:eastAsia="en-NZ"/>
        </w:rPr>
        <w:t xml:space="preserve"> </w:t>
      </w:r>
      <w:r w:rsidRPr="00BB6220">
        <w:rPr>
          <w:lang w:eastAsia="en-NZ"/>
        </w:rPr>
        <w:t>the</w:t>
      </w:r>
      <w:r w:rsidR="003D640C">
        <w:rPr>
          <w:lang w:eastAsia="en-NZ"/>
        </w:rPr>
        <w:t xml:space="preserve"> </w:t>
      </w:r>
      <w:r w:rsidRPr="00BB6220">
        <w:rPr>
          <w:lang w:eastAsia="en-NZ"/>
        </w:rPr>
        <w:t>person’s</w:t>
      </w:r>
      <w:r w:rsidR="003D640C">
        <w:rPr>
          <w:lang w:eastAsia="en-NZ"/>
        </w:rPr>
        <w:t xml:space="preserve"> </w:t>
      </w:r>
      <w:r w:rsidRPr="00BB6220">
        <w:rPr>
          <w:lang w:eastAsia="en-NZ"/>
        </w:rPr>
        <w:t>emotional</w:t>
      </w:r>
      <w:r w:rsidR="003D640C">
        <w:rPr>
          <w:lang w:eastAsia="en-NZ"/>
        </w:rPr>
        <w:t xml:space="preserve"> </w:t>
      </w:r>
      <w:r w:rsidRPr="00BB6220">
        <w:rPr>
          <w:lang w:eastAsia="en-NZ"/>
        </w:rPr>
        <w:t>distress.</w:t>
      </w:r>
      <w:r w:rsidRPr="00BB6220">
        <w:rPr>
          <w:rStyle w:val="FootnoteReference"/>
          <w:rFonts w:eastAsia="Times New Roman"/>
          <w:lang w:eastAsia="en-NZ"/>
        </w:rPr>
        <w:footnoteReference w:id="124"/>
      </w:r>
    </w:p>
    <w:p w14:paraId="4EDE4EC1" w14:textId="6CC88097" w:rsidR="00D527F0" w:rsidRPr="00BB6220" w:rsidRDefault="00D527F0" w:rsidP="0068108F">
      <w:pPr>
        <w:pStyle w:val="Bullet"/>
        <w:rPr>
          <w:rFonts w:cstheme="minorHAnsi"/>
          <w:lang w:eastAsia="en-NZ"/>
        </w:rPr>
      </w:pPr>
      <w:r w:rsidRPr="00BB6220">
        <w:rPr>
          <w:b/>
          <w:lang w:eastAsia="en-NZ"/>
        </w:rPr>
        <w:t>Relationship</w:t>
      </w:r>
      <w:r w:rsidR="003D640C">
        <w:rPr>
          <w:b/>
          <w:lang w:eastAsia="en-NZ"/>
        </w:rPr>
        <w:t xml:space="preserve"> </w:t>
      </w:r>
      <w:r w:rsidRPr="00BB6220">
        <w:rPr>
          <w:b/>
          <w:lang w:eastAsia="en-NZ"/>
        </w:rPr>
        <w:t>and</w:t>
      </w:r>
      <w:r w:rsidR="003D640C">
        <w:rPr>
          <w:b/>
          <w:lang w:eastAsia="en-NZ"/>
        </w:rPr>
        <w:t xml:space="preserve"> </w:t>
      </w:r>
      <w:r w:rsidRPr="00BB6220">
        <w:rPr>
          <w:b/>
          <w:lang w:eastAsia="en-NZ"/>
        </w:rPr>
        <w:t>intimacy</w:t>
      </w:r>
      <w:r w:rsidR="003D640C">
        <w:rPr>
          <w:b/>
          <w:lang w:eastAsia="en-NZ"/>
        </w:rPr>
        <w:t xml:space="preserve"> </w:t>
      </w:r>
      <w:r w:rsidRPr="00BB6220">
        <w:rPr>
          <w:b/>
          <w:lang w:eastAsia="en-NZ"/>
        </w:rPr>
        <w:t>challenges</w:t>
      </w:r>
      <w:r w:rsidRPr="00BB6220">
        <w:rPr>
          <w:lang w:eastAsia="en-NZ"/>
        </w:rPr>
        <w:t>:</w:t>
      </w:r>
      <w:r w:rsidR="003D640C">
        <w:rPr>
          <w:lang w:eastAsia="en-NZ"/>
        </w:rPr>
        <w:t xml:space="preserve"> </w:t>
      </w:r>
      <w:r w:rsidRPr="00BB6220" w:rsidDel="00067F3F">
        <w:rPr>
          <w:lang w:eastAsia="en-NZ"/>
        </w:rPr>
        <w:t>C</w:t>
      </w:r>
      <w:r w:rsidRPr="00BB6220">
        <w:rPr>
          <w:lang w:eastAsia="en-NZ"/>
        </w:rPr>
        <w:t>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disrupt</w:t>
      </w:r>
      <w:r w:rsidR="003D640C">
        <w:rPr>
          <w:lang w:eastAsia="en-NZ"/>
        </w:rPr>
        <w:t xml:space="preserve"> </w:t>
      </w:r>
      <w:r w:rsidRPr="00BB6220">
        <w:rPr>
          <w:lang w:eastAsia="en-NZ"/>
        </w:rPr>
        <w:t>an</w:t>
      </w:r>
      <w:r w:rsidR="003D640C">
        <w:rPr>
          <w:lang w:eastAsia="en-NZ"/>
        </w:rPr>
        <w:t xml:space="preserve"> </w:t>
      </w:r>
      <w:r w:rsidRPr="00BB6220">
        <w:rPr>
          <w:lang w:eastAsia="en-NZ"/>
        </w:rPr>
        <w:t>individual’s</w:t>
      </w:r>
      <w:r w:rsidR="003D640C">
        <w:rPr>
          <w:lang w:eastAsia="en-NZ"/>
        </w:rPr>
        <w:t xml:space="preserve"> </w:t>
      </w:r>
      <w:r w:rsidRPr="00BB6220">
        <w:rPr>
          <w:lang w:eastAsia="en-NZ"/>
        </w:rPr>
        <w:t>ability</w:t>
      </w:r>
      <w:r w:rsidR="003D640C">
        <w:rPr>
          <w:lang w:eastAsia="en-NZ"/>
        </w:rPr>
        <w:t xml:space="preserve"> </w:t>
      </w:r>
      <w:r w:rsidRPr="00BB6220">
        <w:rPr>
          <w:lang w:eastAsia="en-NZ"/>
        </w:rPr>
        <w:t>to</w:t>
      </w:r>
      <w:r w:rsidR="003D640C">
        <w:rPr>
          <w:lang w:eastAsia="en-NZ"/>
        </w:rPr>
        <w:t xml:space="preserve"> </w:t>
      </w:r>
      <w:r w:rsidRPr="00BB6220">
        <w:rPr>
          <w:lang w:eastAsia="en-NZ"/>
        </w:rPr>
        <w:t>form</w:t>
      </w:r>
      <w:r w:rsidR="003D640C">
        <w:rPr>
          <w:lang w:eastAsia="en-NZ"/>
        </w:rPr>
        <w:t xml:space="preserve"> </w:t>
      </w:r>
      <w:r w:rsidRPr="00BB6220">
        <w:rPr>
          <w:lang w:eastAsia="en-NZ"/>
        </w:rPr>
        <w:t>healthy</w:t>
      </w:r>
      <w:r w:rsidR="003D640C">
        <w:rPr>
          <w:lang w:eastAsia="en-NZ"/>
        </w:rPr>
        <w:t xml:space="preserve"> </w:t>
      </w:r>
      <w:r w:rsidRPr="00BB6220">
        <w:rPr>
          <w:lang w:eastAsia="en-NZ"/>
        </w:rPr>
        <w:t>relationships</w:t>
      </w:r>
      <w:r w:rsidR="003D640C">
        <w:rPr>
          <w:lang w:eastAsia="en-NZ"/>
        </w:rPr>
        <w:t xml:space="preserve"> </w:t>
      </w:r>
      <w:r w:rsidRPr="00BB6220">
        <w:rPr>
          <w:lang w:eastAsia="en-NZ"/>
        </w:rPr>
        <w:t>and</w:t>
      </w:r>
      <w:r w:rsidR="003D640C">
        <w:rPr>
          <w:lang w:eastAsia="en-NZ"/>
        </w:rPr>
        <w:t xml:space="preserve"> </w:t>
      </w:r>
      <w:r w:rsidRPr="00BB6220">
        <w:rPr>
          <w:lang w:eastAsia="en-NZ"/>
        </w:rPr>
        <w:t>experience</w:t>
      </w:r>
      <w:r w:rsidR="003D640C">
        <w:rPr>
          <w:lang w:eastAsia="en-NZ"/>
        </w:rPr>
        <w:t xml:space="preserve"> </w:t>
      </w:r>
      <w:r w:rsidRPr="00BB6220">
        <w:rPr>
          <w:lang w:eastAsia="en-NZ"/>
        </w:rPr>
        <w:t>fulfilling</w:t>
      </w:r>
      <w:r w:rsidR="003D640C">
        <w:rPr>
          <w:lang w:eastAsia="en-NZ"/>
        </w:rPr>
        <w:t xml:space="preserve"> </w:t>
      </w:r>
      <w:r w:rsidRPr="00BB6220">
        <w:rPr>
          <w:lang w:eastAsia="en-NZ"/>
        </w:rPr>
        <w:t>intimacy.</w:t>
      </w:r>
      <w:r w:rsidR="003D640C">
        <w:rPr>
          <w:lang w:eastAsia="en-NZ"/>
        </w:rPr>
        <w:t xml:space="preserve"> </w:t>
      </w:r>
      <w:r w:rsidRPr="00BB6220">
        <w:rPr>
          <w:lang w:eastAsia="en-NZ"/>
        </w:rPr>
        <w:t>Survivors</w:t>
      </w:r>
      <w:r w:rsidR="003D640C">
        <w:rPr>
          <w:lang w:eastAsia="en-NZ"/>
        </w:rPr>
        <w:t xml:space="preserve"> </w:t>
      </w:r>
      <w:r w:rsidRPr="00BB6220">
        <w:rPr>
          <w:lang w:eastAsia="en-NZ"/>
        </w:rPr>
        <w:t>struggle</w:t>
      </w:r>
      <w:r w:rsidR="003D640C">
        <w:rPr>
          <w:lang w:eastAsia="en-NZ"/>
        </w:rPr>
        <w:t xml:space="preserve"> </w:t>
      </w:r>
      <w:r w:rsidRPr="00BB6220">
        <w:rPr>
          <w:lang w:eastAsia="en-NZ"/>
        </w:rPr>
        <w:t>with</w:t>
      </w:r>
      <w:r w:rsidR="003D640C">
        <w:rPr>
          <w:lang w:eastAsia="en-NZ"/>
        </w:rPr>
        <w:t xml:space="preserve"> </w:t>
      </w:r>
      <w:r w:rsidRPr="00BB6220">
        <w:rPr>
          <w:lang w:eastAsia="en-NZ"/>
        </w:rPr>
        <w:t>trust,</w:t>
      </w:r>
      <w:r w:rsidR="003D640C">
        <w:rPr>
          <w:lang w:eastAsia="en-NZ"/>
        </w:rPr>
        <w:t xml:space="preserve"> </w:t>
      </w:r>
      <w:r w:rsidRPr="00BB6220">
        <w:rPr>
          <w:lang w:eastAsia="en-NZ"/>
        </w:rPr>
        <w:t>intimacy</w:t>
      </w:r>
      <w:r w:rsidRPr="00BB6220" w:rsidDel="007A07E3">
        <w:rPr>
          <w:lang w:eastAsia="en-NZ"/>
        </w:rPr>
        <w:t>,</w:t>
      </w:r>
      <w:r w:rsidR="003D640C">
        <w:rPr>
          <w:lang w:eastAsia="en-NZ"/>
        </w:rPr>
        <w:t xml:space="preserve"> </w:t>
      </w:r>
      <w:r w:rsidRPr="00BB6220">
        <w:rPr>
          <w:lang w:eastAsia="en-NZ"/>
        </w:rPr>
        <w:t>sex</w:t>
      </w:r>
      <w:r w:rsidR="4636188E"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emotional</w:t>
      </w:r>
      <w:r w:rsidR="003D640C">
        <w:rPr>
          <w:lang w:eastAsia="en-NZ"/>
        </w:rPr>
        <w:t xml:space="preserve"> </w:t>
      </w:r>
      <w:r w:rsidRPr="00BB6220">
        <w:rPr>
          <w:lang w:eastAsia="en-NZ"/>
        </w:rPr>
        <w:t>vulnerability</w:t>
      </w:r>
      <w:r w:rsidR="003D640C">
        <w:rPr>
          <w:lang w:eastAsia="en-NZ"/>
        </w:rPr>
        <w:t xml:space="preserve"> </w:t>
      </w:r>
      <w:r w:rsidRPr="00BB6220">
        <w:rPr>
          <w:lang w:eastAsia="en-NZ"/>
        </w:rPr>
        <w:t>because</w:t>
      </w:r>
      <w:r w:rsidR="003D640C">
        <w:rPr>
          <w:lang w:eastAsia="en-NZ"/>
        </w:rPr>
        <w:t xml:space="preserve"> </w:t>
      </w:r>
      <w:r w:rsidRPr="00BB6220">
        <w:rPr>
          <w:lang w:eastAsia="en-NZ"/>
        </w:rPr>
        <w:t>they</w:t>
      </w:r>
      <w:r w:rsidR="003D640C">
        <w:rPr>
          <w:lang w:eastAsia="en-NZ"/>
        </w:rPr>
        <w:t xml:space="preserve"> </w:t>
      </w:r>
      <w:r w:rsidRPr="00BB6220">
        <w:rPr>
          <w:lang w:eastAsia="en-NZ"/>
        </w:rPr>
        <w:t>have</w:t>
      </w:r>
      <w:r w:rsidR="003D640C">
        <w:rPr>
          <w:lang w:eastAsia="en-NZ"/>
        </w:rPr>
        <w:t xml:space="preserve"> </w:t>
      </w:r>
      <w:r w:rsidRPr="00BB6220">
        <w:rPr>
          <w:lang w:eastAsia="en-NZ"/>
        </w:rPr>
        <w:t>internalised</w:t>
      </w:r>
      <w:r w:rsidR="003D640C">
        <w:rPr>
          <w:lang w:eastAsia="en-NZ"/>
        </w:rPr>
        <w:t xml:space="preserve"> </w:t>
      </w:r>
      <w:r w:rsidRPr="00BB6220">
        <w:rPr>
          <w:lang w:eastAsia="en-NZ"/>
        </w:rPr>
        <w:t>the</w:t>
      </w:r>
      <w:r w:rsidR="003D640C">
        <w:rPr>
          <w:lang w:eastAsia="en-NZ"/>
        </w:rPr>
        <w:t xml:space="preserve"> </w:t>
      </w:r>
      <w:r w:rsidRPr="00BB6220">
        <w:rPr>
          <w:lang w:eastAsia="en-NZ"/>
        </w:rPr>
        <w:t>stigma</w:t>
      </w:r>
      <w:r w:rsidR="003D640C">
        <w:rPr>
          <w:lang w:eastAsia="en-NZ"/>
        </w:rPr>
        <w:t xml:space="preserve"> </w:t>
      </w:r>
      <w:r w:rsidRPr="00BB6220">
        <w:rPr>
          <w:lang w:eastAsia="en-NZ"/>
        </w:rPr>
        <w:t>about</w:t>
      </w:r>
      <w:r w:rsidR="003D640C">
        <w:rPr>
          <w:lang w:eastAsia="en-NZ"/>
        </w:rPr>
        <w:t xml:space="preserve"> </w:t>
      </w:r>
      <w:r w:rsidRPr="00BB6220">
        <w:rPr>
          <w:lang w:eastAsia="en-NZ"/>
        </w:rPr>
        <w:t>their</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or</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Pr="00BB6220">
        <w:rPr>
          <w:rStyle w:val="FootnoteReference"/>
          <w:rFonts w:eastAsia="Times New Roman"/>
          <w:lang w:eastAsia="en-NZ"/>
        </w:rPr>
        <w:footnoteReference w:id="125"/>
      </w:r>
    </w:p>
    <w:p w14:paraId="41801489" w14:textId="1709F1B7" w:rsidR="00D527F0" w:rsidRPr="00BB6220" w:rsidRDefault="00D527F0" w:rsidP="0068108F">
      <w:pPr>
        <w:pStyle w:val="Bullet"/>
        <w:rPr>
          <w:lang w:eastAsia="en-NZ"/>
        </w:rPr>
      </w:pPr>
      <w:r w:rsidRPr="00BB6220">
        <w:rPr>
          <w:b/>
          <w:color w:val="000000"/>
          <w:lang w:eastAsia="en-NZ"/>
        </w:rPr>
        <w:t>Anxiety</w:t>
      </w:r>
      <w:r w:rsidR="003D640C">
        <w:rPr>
          <w:b/>
          <w:color w:val="000000"/>
          <w:lang w:eastAsia="en-NZ"/>
        </w:rPr>
        <w:t xml:space="preserve"> </w:t>
      </w:r>
      <w:r w:rsidRPr="00BB6220">
        <w:rPr>
          <w:b/>
          <w:color w:val="000000"/>
          <w:lang w:eastAsia="en-NZ"/>
        </w:rPr>
        <w:t>and</w:t>
      </w:r>
      <w:r w:rsidR="003D640C">
        <w:rPr>
          <w:b/>
          <w:color w:val="000000"/>
          <w:lang w:eastAsia="en-NZ"/>
        </w:rPr>
        <w:t xml:space="preserve"> </w:t>
      </w:r>
      <w:r w:rsidRPr="00BB6220">
        <w:rPr>
          <w:b/>
          <w:color w:val="000000"/>
          <w:lang w:eastAsia="en-NZ"/>
        </w:rPr>
        <w:t>depression</w:t>
      </w:r>
      <w:r w:rsidRPr="00BB6220">
        <w:rPr>
          <w:color w:val="000000"/>
          <w:lang w:eastAsia="en-NZ"/>
        </w:rPr>
        <w:t>:</w:t>
      </w:r>
      <w:r w:rsidR="003D640C">
        <w:rPr>
          <w:color w:val="000000"/>
          <w:lang w:eastAsia="en-NZ"/>
        </w:rPr>
        <w:t xml:space="preserve"> </w:t>
      </w:r>
      <w:r w:rsidR="00DE5A7C" w:rsidRPr="00BB6220">
        <w:rPr>
          <w:color w:val="000000"/>
          <w:lang w:eastAsia="en-NZ"/>
        </w:rPr>
        <w:t>C</w:t>
      </w:r>
      <w:r w:rsidRPr="00BB6220">
        <w:rPr>
          <w:color w:val="000000"/>
          <w:lang w:eastAsia="en-NZ"/>
        </w:rPr>
        <w:t>onstant</w:t>
      </w:r>
      <w:r w:rsidR="003D640C">
        <w:rPr>
          <w:color w:val="000000"/>
          <w:lang w:eastAsia="en-NZ"/>
        </w:rPr>
        <w:t xml:space="preserve"> </w:t>
      </w:r>
      <w:r w:rsidRPr="00BB6220">
        <w:rPr>
          <w:color w:val="000000"/>
          <w:lang w:eastAsia="en-NZ"/>
        </w:rPr>
        <w:t>pressure</w:t>
      </w:r>
      <w:r w:rsidR="003D640C">
        <w:rPr>
          <w:color w:val="000000"/>
          <w:lang w:eastAsia="en-NZ"/>
        </w:rPr>
        <w:t xml:space="preserve"> </w:t>
      </w:r>
      <w:r w:rsidRPr="00BB6220">
        <w:rPr>
          <w:color w:val="000000"/>
          <w:lang w:eastAsia="en-NZ"/>
        </w:rPr>
        <w:t>to</w:t>
      </w:r>
      <w:r w:rsidR="003D640C">
        <w:rPr>
          <w:color w:val="000000"/>
          <w:lang w:eastAsia="en-NZ"/>
        </w:rPr>
        <w:t xml:space="preserve"> </w:t>
      </w:r>
      <w:r w:rsidRPr="00BB6220">
        <w:rPr>
          <w:color w:val="000000"/>
          <w:lang w:eastAsia="en-NZ"/>
        </w:rPr>
        <w:t>change</w:t>
      </w:r>
      <w:r w:rsidR="003D640C">
        <w:rPr>
          <w:color w:val="000000"/>
          <w:lang w:eastAsia="en-NZ"/>
        </w:rPr>
        <w:t xml:space="preserve"> </w:t>
      </w:r>
      <w:r w:rsidRPr="00BB6220">
        <w:rPr>
          <w:color w:val="000000"/>
          <w:lang w:eastAsia="en-NZ"/>
        </w:rPr>
        <w:t>the</w:t>
      </w:r>
      <w:r w:rsidR="003D640C">
        <w:rPr>
          <w:color w:val="000000"/>
          <w:lang w:eastAsia="en-NZ"/>
        </w:rPr>
        <w:t xml:space="preserve"> </w:t>
      </w:r>
      <w:r w:rsidRPr="00BB6220">
        <w:rPr>
          <w:color w:val="000000"/>
          <w:lang w:eastAsia="en-NZ"/>
        </w:rPr>
        <w:t>unchangeable</w:t>
      </w:r>
      <w:r w:rsidR="003D640C">
        <w:rPr>
          <w:color w:val="000000"/>
          <w:lang w:eastAsia="en-NZ"/>
        </w:rPr>
        <w:t xml:space="preserve"> </w:t>
      </w:r>
      <w:r w:rsidRPr="00BB6220">
        <w:rPr>
          <w:color w:val="000000"/>
          <w:lang w:eastAsia="en-NZ"/>
        </w:rPr>
        <w:t>leads</w:t>
      </w:r>
      <w:r w:rsidR="003D640C">
        <w:rPr>
          <w:color w:val="000000"/>
          <w:lang w:eastAsia="en-NZ"/>
        </w:rPr>
        <w:t xml:space="preserve"> </w:t>
      </w:r>
      <w:r w:rsidRPr="00BB6220">
        <w:rPr>
          <w:color w:val="000000"/>
          <w:lang w:eastAsia="en-NZ"/>
        </w:rPr>
        <w:t>to</w:t>
      </w:r>
      <w:r w:rsidR="003D640C">
        <w:rPr>
          <w:color w:val="000000"/>
          <w:lang w:eastAsia="en-NZ"/>
        </w:rPr>
        <w:t xml:space="preserve"> </w:t>
      </w:r>
      <w:r w:rsidRPr="00BB6220">
        <w:rPr>
          <w:color w:val="000000"/>
          <w:lang w:eastAsia="en-NZ"/>
        </w:rPr>
        <w:t>chronic</w:t>
      </w:r>
      <w:r w:rsidR="003D640C">
        <w:rPr>
          <w:color w:val="000000"/>
          <w:lang w:eastAsia="en-NZ"/>
        </w:rPr>
        <w:t xml:space="preserve"> </w:t>
      </w:r>
      <w:r w:rsidRPr="00BB6220">
        <w:rPr>
          <w:color w:val="000000"/>
          <w:lang w:eastAsia="en-NZ"/>
        </w:rPr>
        <w:t>worry,</w:t>
      </w:r>
      <w:r w:rsidR="003D640C">
        <w:rPr>
          <w:color w:val="000000"/>
          <w:lang w:eastAsia="en-NZ"/>
        </w:rPr>
        <w:t xml:space="preserve"> </w:t>
      </w:r>
      <w:r w:rsidRPr="00BB6220">
        <w:rPr>
          <w:color w:val="000000"/>
          <w:lang w:eastAsia="en-NZ"/>
        </w:rPr>
        <w:t>apprehension</w:t>
      </w:r>
      <w:r w:rsidR="6FD0CF85" w:rsidRPr="00BB6220">
        <w:rPr>
          <w:color w:val="000000"/>
          <w:lang w:eastAsia="en-NZ"/>
        </w:rPr>
        <w:t>,</w:t>
      </w:r>
      <w:r w:rsidR="003D640C">
        <w:rPr>
          <w:color w:val="000000"/>
          <w:lang w:eastAsia="en-NZ"/>
        </w:rPr>
        <w:t xml:space="preserve"> </w:t>
      </w:r>
      <w:r w:rsidRPr="00BB6220">
        <w:rPr>
          <w:color w:val="000000"/>
          <w:lang w:eastAsia="en-NZ"/>
        </w:rPr>
        <w:t>and</w:t>
      </w:r>
      <w:r w:rsidR="003D640C">
        <w:rPr>
          <w:color w:val="000000"/>
          <w:lang w:eastAsia="en-NZ"/>
        </w:rPr>
        <w:t xml:space="preserve"> </w:t>
      </w:r>
      <w:r w:rsidRPr="00BB6220">
        <w:rPr>
          <w:color w:val="000000"/>
          <w:lang w:eastAsia="en-NZ"/>
        </w:rPr>
        <w:t>a</w:t>
      </w:r>
      <w:r w:rsidR="003D640C">
        <w:rPr>
          <w:color w:val="000000"/>
          <w:lang w:eastAsia="en-NZ"/>
        </w:rPr>
        <w:t xml:space="preserve"> </w:t>
      </w:r>
      <w:r w:rsidRPr="00BB6220">
        <w:rPr>
          <w:color w:val="000000"/>
          <w:lang w:eastAsia="en-NZ"/>
        </w:rPr>
        <w:t>sense</w:t>
      </w:r>
      <w:r w:rsidR="003D640C">
        <w:rPr>
          <w:color w:val="000000"/>
          <w:lang w:eastAsia="en-NZ"/>
        </w:rPr>
        <w:t xml:space="preserve"> </w:t>
      </w:r>
      <w:r w:rsidRPr="00BB6220">
        <w:rPr>
          <w:color w:val="000000"/>
          <w:lang w:eastAsia="en-NZ"/>
        </w:rPr>
        <w:t>of</w:t>
      </w:r>
      <w:r w:rsidR="003D640C">
        <w:rPr>
          <w:color w:val="000000"/>
          <w:lang w:eastAsia="en-NZ"/>
        </w:rPr>
        <w:t xml:space="preserve"> </w:t>
      </w:r>
      <w:r w:rsidRPr="00BB6220">
        <w:rPr>
          <w:color w:val="000000"/>
          <w:lang w:eastAsia="en-NZ"/>
        </w:rPr>
        <w:t>failure.</w:t>
      </w:r>
      <w:r w:rsidR="003D640C">
        <w:rPr>
          <w:color w:val="000000"/>
          <w:lang w:eastAsia="en-NZ"/>
        </w:rPr>
        <w:t xml:space="preserve"> </w:t>
      </w:r>
      <w:r w:rsidRPr="00BB6220">
        <w:rPr>
          <w:color w:val="000000"/>
          <w:lang w:eastAsia="en-NZ"/>
        </w:rPr>
        <w:t>This</w:t>
      </w:r>
      <w:r w:rsidR="004A524F" w:rsidRPr="00BB6220">
        <w:rPr>
          <w:color w:val="000000"/>
          <w:lang w:eastAsia="en-NZ"/>
        </w:rPr>
        <w:t>,</w:t>
      </w:r>
      <w:r w:rsidR="003D640C">
        <w:rPr>
          <w:color w:val="000000"/>
          <w:lang w:eastAsia="en-NZ"/>
        </w:rPr>
        <w:t xml:space="preserve"> </w:t>
      </w:r>
      <w:r w:rsidRPr="00BB6220">
        <w:rPr>
          <w:color w:val="000000"/>
          <w:lang w:eastAsia="en-NZ"/>
        </w:rPr>
        <w:t>combined</w:t>
      </w:r>
      <w:r w:rsidR="003D640C">
        <w:rPr>
          <w:color w:val="000000"/>
          <w:lang w:eastAsia="en-NZ"/>
        </w:rPr>
        <w:t xml:space="preserve"> </w:t>
      </w:r>
      <w:r w:rsidRPr="00BB6220">
        <w:rPr>
          <w:color w:val="000000"/>
          <w:lang w:eastAsia="en-NZ"/>
        </w:rPr>
        <w:t>with</w:t>
      </w:r>
      <w:r w:rsidR="003D640C">
        <w:rPr>
          <w:color w:val="000000"/>
          <w:lang w:eastAsia="en-NZ"/>
        </w:rPr>
        <w:t xml:space="preserve"> </w:t>
      </w:r>
      <w:r w:rsidRPr="00BB6220">
        <w:rPr>
          <w:color w:val="000000"/>
          <w:lang w:eastAsia="en-NZ"/>
        </w:rPr>
        <w:t>the</w:t>
      </w:r>
      <w:r w:rsidR="003D640C">
        <w:rPr>
          <w:color w:val="000000"/>
          <w:lang w:eastAsia="en-NZ"/>
        </w:rPr>
        <w:t xml:space="preserve"> </w:t>
      </w:r>
      <w:r w:rsidRPr="00BB6220">
        <w:rPr>
          <w:color w:val="000000"/>
          <w:lang w:eastAsia="en-NZ"/>
        </w:rPr>
        <w:t>self-blame</w:t>
      </w:r>
      <w:r w:rsidR="003D640C">
        <w:rPr>
          <w:color w:val="000000"/>
          <w:lang w:eastAsia="en-NZ"/>
        </w:rPr>
        <w:t xml:space="preserve"> </w:t>
      </w:r>
      <w:r w:rsidRPr="00BB6220">
        <w:rPr>
          <w:color w:val="000000"/>
          <w:lang w:eastAsia="en-NZ"/>
        </w:rPr>
        <w:t>and</w:t>
      </w:r>
      <w:r w:rsidR="003D640C">
        <w:rPr>
          <w:color w:val="000000"/>
          <w:lang w:eastAsia="en-NZ"/>
        </w:rPr>
        <w:t xml:space="preserve"> </w:t>
      </w:r>
      <w:r w:rsidRPr="00BB6220">
        <w:rPr>
          <w:color w:val="000000"/>
          <w:lang w:eastAsia="en-NZ"/>
        </w:rPr>
        <w:t>fear</w:t>
      </w:r>
      <w:r w:rsidR="003D640C">
        <w:rPr>
          <w:color w:val="000000"/>
          <w:lang w:eastAsia="en-NZ"/>
        </w:rPr>
        <w:t xml:space="preserve"> </w:t>
      </w:r>
      <w:r w:rsidRPr="00BB6220">
        <w:rPr>
          <w:color w:val="000000"/>
          <w:lang w:eastAsia="en-NZ"/>
        </w:rPr>
        <w:t>of</w:t>
      </w:r>
      <w:r w:rsidR="003D640C">
        <w:rPr>
          <w:color w:val="000000"/>
          <w:lang w:eastAsia="en-NZ"/>
        </w:rPr>
        <w:t xml:space="preserve"> </w:t>
      </w:r>
      <w:r w:rsidRPr="00BB6220">
        <w:rPr>
          <w:color w:val="000000"/>
          <w:lang w:eastAsia="en-NZ"/>
        </w:rPr>
        <w:t>rejection</w:t>
      </w:r>
      <w:r w:rsidR="004A524F" w:rsidRPr="00BB6220">
        <w:rPr>
          <w:color w:val="000000"/>
          <w:lang w:eastAsia="en-NZ"/>
        </w:rPr>
        <w:t>,</w:t>
      </w:r>
      <w:r w:rsidR="003D640C">
        <w:rPr>
          <w:color w:val="000000"/>
          <w:lang w:eastAsia="en-NZ"/>
        </w:rPr>
        <w:t xml:space="preserve"> </w:t>
      </w:r>
      <w:r w:rsidRPr="00BB6220">
        <w:rPr>
          <w:color w:val="000000"/>
          <w:lang w:eastAsia="en-NZ"/>
        </w:rPr>
        <w:lastRenderedPageBreak/>
        <w:t>leads</w:t>
      </w:r>
      <w:r w:rsidR="003D640C">
        <w:rPr>
          <w:color w:val="000000"/>
          <w:lang w:eastAsia="en-NZ"/>
        </w:rPr>
        <w:t xml:space="preserve"> </w:t>
      </w:r>
      <w:r w:rsidRPr="00BB6220">
        <w:rPr>
          <w:color w:val="000000"/>
          <w:lang w:eastAsia="en-NZ"/>
        </w:rPr>
        <w:t>to</w:t>
      </w:r>
      <w:r w:rsidR="003D640C">
        <w:rPr>
          <w:color w:val="000000"/>
          <w:lang w:eastAsia="en-NZ"/>
        </w:rPr>
        <w:t xml:space="preserve"> </w:t>
      </w:r>
      <w:r w:rsidRPr="00BB6220">
        <w:rPr>
          <w:color w:val="000000"/>
          <w:lang w:eastAsia="en-NZ"/>
        </w:rPr>
        <w:t>chronic</w:t>
      </w:r>
      <w:r w:rsidR="003D640C">
        <w:rPr>
          <w:color w:val="000000"/>
          <w:lang w:eastAsia="en-NZ"/>
        </w:rPr>
        <w:t xml:space="preserve"> </w:t>
      </w:r>
      <w:r w:rsidRPr="00BB6220">
        <w:rPr>
          <w:color w:val="000000"/>
          <w:lang w:eastAsia="en-NZ"/>
        </w:rPr>
        <w:t>stress</w:t>
      </w:r>
      <w:r w:rsidR="003D640C">
        <w:rPr>
          <w:color w:val="000000"/>
          <w:lang w:eastAsia="en-NZ"/>
        </w:rPr>
        <w:t xml:space="preserve"> </w:t>
      </w:r>
      <w:r w:rsidRPr="00BB6220">
        <w:rPr>
          <w:color w:val="000000"/>
          <w:lang w:eastAsia="en-NZ"/>
        </w:rPr>
        <w:t>and</w:t>
      </w:r>
      <w:r w:rsidR="003D640C">
        <w:rPr>
          <w:color w:val="000000"/>
          <w:lang w:eastAsia="en-NZ"/>
        </w:rPr>
        <w:t xml:space="preserve"> </w:t>
      </w:r>
      <w:r w:rsidRPr="00BB6220">
        <w:rPr>
          <w:color w:val="000000"/>
          <w:lang w:eastAsia="en-NZ"/>
        </w:rPr>
        <w:t>feelings</w:t>
      </w:r>
      <w:r w:rsidR="003D640C">
        <w:rPr>
          <w:color w:val="000000"/>
          <w:lang w:eastAsia="en-NZ"/>
        </w:rPr>
        <w:t xml:space="preserve"> </w:t>
      </w:r>
      <w:r w:rsidRPr="00BB6220">
        <w:rPr>
          <w:color w:val="000000"/>
          <w:lang w:eastAsia="en-NZ"/>
        </w:rPr>
        <w:t>of</w:t>
      </w:r>
      <w:r w:rsidR="003D640C">
        <w:rPr>
          <w:color w:val="000000"/>
          <w:lang w:eastAsia="en-NZ"/>
        </w:rPr>
        <w:t xml:space="preserve"> </w:t>
      </w:r>
      <w:r w:rsidRPr="00BB6220">
        <w:rPr>
          <w:color w:val="000000"/>
          <w:lang w:eastAsia="en-NZ"/>
        </w:rPr>
        <w:t>hopelessness.</w:t>
      </w:r>
      <w:r w:rsidR="003D640C">
        <w:rPr>
          <w:color w:val="000000"/>
          <w:lang w:eastAsia="en-NZ"/>
        </w:rPr>
        <w:t xml:space="preserve"> </w:t>
      </w:r>
      <w:r w:rsidRPr="00BB6220">
        <w:rPr>
          <w:lang w:eastAsia="en-NZ"/>
        </w:rPr>
        <w:t>Studies</w:t>
      </w:r>
      <w:r w:rsidR="003D640C">
        <w:rPr>
          <w:lang w:eastAsia="en-NZ"/>
        </w:rPr>
        <w:t xml:space="preserve"> </w:t>
      </w:r>
      <w:r w:rsidRPr="00BB6220">
        <w:rPr>
          <w:lang w:eastAsia="en-NZ"/>
        </w:rPr>
        <w:t>have</w:t>
      </w:r>
      <w:r w:rsidR="003D640C">
        <w:rPr>
          <w:lang w:eastAsia="en-NZ"/>
        </w:rPr>
        <w:t xml:space="preserve"> </w:t>
      </w:r>
      <w:r w:rsidRPr="00BB6220">
        <w:rPr>
          <w:lang w:eastAsia="en-NZ"/>
        </w:rPr>
        <w:t>consistently</w:t>
      </w:r>
      <w:r w:rsidR="003D640C">
        <w:rPr>
          <w:lang w:eastAsia="en-NZ"/>
        </w:rPr>
        <w:t xml:space="preserve"> </w:t>
      </w:r>
      <w:r w:rsidRPr="00BB6220">
        <w:rPr>
          <w:lang w:eastAsia="en-NZ"/>
        </w:rPr>
        <w:t>shown</w:t>
      </w:r>
      <w:r w:rsidR="003D640C">
        <w:rPr>
          <w:lang w:eastAsia="en-NZ"/>
        </w:rPr>
        <w:t xml:space="preserve"> </w:t>
      </w:r>
      <w:r w:rsidRPr="00BB6220">
        <w:rPr>
          <w:lang w:eastAsia="en-NZ"/>
        </w:rPr>
        <w:t>a</w:t>
      </w:r>
      <w:r w:rsidR="003D640C">
        <w:rPr>
          <w:lang w:eastAsia="en-NZ"/>
        </w:rPr>
        <w:t xml:space="preserve"> </w:t>
      </w:r>
      <w:r w:rsidRPr="00BB6220">
        <w:rPr>
          <w:lang w:eastAsia="en-NZ"/>
        </w:rPr>
        <w:t>higher</w:t>
      </w:r>
      <w:r w:rsidR="003D640C">
        <w:rPr>
          <w:lang w:eastAsia="en-NZ"/>
        </w:rPr>
        <w:t xml:space="preserve"> </w:t>
      </w:r>
      <w:r w:rsidRPr="00BB6220">
        <w:rPr>
          <w:lang w:eastAsia="en-NZ"/>
        </w:rPr>
        <w:t>prevalence</w:t>
      </w:r>
      <w:r w:rsidR="003D640C">
        <w:rPr>
          <w:lang w:eastAsia="en-NZ"/>
        </w:rPr>
        <w:t xml:space="preserve"> </w:t>
      </w:r>
      <w:r w:rsidRPr="00BB6220">
        <w:rPr>
          <w:lang w:eastAsia="en-NZ"/>
        </w:rPr>
        <w:t>of</w:t>
      </w:r>
      <w:r w:rsidR="003D640C">
        <w:rPr>
          <w:lang w:eastAsia="en-NZ"/>
        </w:rPr>
        <w:t xml:space="preserve"> </w:t>
      </w:r>
      <w:r w:rsidRPr="00BB6220">
        <w:rPr>
          <w:lang w:eastAsia="en-NZ"/>
        </w:rPr>
        <w:t>depression</w:t>
      </w:r>
      <w:r w:rsidR="003D640C">
        <w:rPr>
          <w:lang w:eastAsia="en-NZ"/>
        </w:rPr>
        <w:t xml:space="preserve"> </w:t>
      </w:r>
      <w:r w:rsidRPr="00BB6220">
        <w:rPr>
          <w:lang w:eastAsia="en-NZ"/>
        </w:rPr>
        <w:t>among</w:t>
      </w:r>
      <w:r w:rsidR="003D640C">
        <w:rPr>
          <w:lang w:eastAsia="en-NZ"/>
        </w:rPr>
        <w:t xml:space="preserve"> </w:t>
      </w:r>
      <w:r w:rsidRPr="00BB6220">
        <w:rPr>
          <w:lang w:eastAsia="en-NZ"/>
        </w:rPr>
        <w:t>individuals</w:t>
      </w:r>
      <w:r w:rsidR="003D640C">
        <w:rPr>
          <w:lang w:eastAsia="en-NZ"/>
        </w:rPr>
        <w:t xml:space="preserve"> </w:t>
      </w:r>
      <w:r w:rsidRPr="00BB6220">
        <w:rPr>
          <w:lang w:eastAsia="en-NZ"/>
        </w:rPr>
        <w:t>who</w:t>
      </w:r>
      <w:r w:rsidR="003D640C">
        <w:rPr>
          <w:lang w:eastAsia="en-NZ"/>
        </w:rPr>
        <w:t xml:space="preserve"> </w:t>
      </w:r>
      <w:r w:rsidRPr="00BB6220">
        <w:rPr>
          <w:lang w:eastAsia="en-NZ"/>
        </w:rPr>
        <w:t>have</w:t>
      </w:r>
      <w:r w:rsidR="003D640C">
        <w:rPr>
          <w:lang w:eastAsia="en-NZ"/>
        </w:rPr>
        <w:t xml:space="preserve"> </w:t>
      </w:r>
      <w:r w:rsidRPr="00BB6220">
        <w:rPr>
          <w:lang w:eastAsia="en-NZ"/>
        </w:rPr>
        <w:t>experienced</w:t>
      </w:r>
      <w:r w:rsidR="003D640C">
        <w:rPr>
          <w:lang w:eastAsia="en-NZ"/>
        </w:rPr>
        <w:t xml:space="preserve"> </w:t>
      </w:r>
      <w:r w:rsidRPr="00BB6220">
        <w:rPr>
          <w:lang w:eastAsia="en-NZ"/>
        </w:rPr>
        <w:t>conversion</w:t>
      </w:r>
      <w:r w:rsidR="003D640C">
        <w:rPr>
          <w:lang w:eastAsia="en-NZ"/>
        </w:rPr>
        <w:t xml:space="preserve"> </w:t>
      </w:r>
      <w:r w:rsidR="00960579">
        <w:rPr>
          <w:lang w:eastAsia="en-NZ"/>
        </w:rPr>
        <w:t>practice</w:t>
      </w:r>
      <w:r w:rsidR="00265BDC">
        <w:rPr>
          <w:lang w:eastAsia="en-NZ"/>
        </w:rPr>
        <w:t>s</w:t>
      </w:r>
      <w:r w:rsidR="00960579">
        <w:rPr>
          <w:lang w:eastAsia="en-NZ"/>
        </w:rPr>
        <w:t>.</w:t>
      </w:r>
      <w:r w:rsidR="003D640C">
        <w:rPr>
          <w:lang w:eastAsia="en-NZ"/>
        </w:rPr>
        <w:t xml:space="preserve"> </w:t>
      </w:r>
      <w:r w:rsidR="00960579">
        <w:rPr>
          <w:lang w:eastAsia="en-NZ"/>
        </w:rPr>
        <w:t>They</w:t>
      </w:r>
      <w:r w:rsidR="003D640C">
        <w:rPr>
          <w:lang w:eastAsia="en-NZ"/>
        </w:rPr>
        <w:t xml:space="preserve"> </w:t>
      </w:r>
      <w:r w:rsidR="00960579">
        <w:rPr>
          <w:lang w:eastAsia="en-NZ"/>
        </w:rPr>
        <w:t>also</w:t>
      </w:r>
      <w:r w:rsidR="003D640C">
        <w:rPr>
          <w:lang w:eastAsia="en-NZ"/>
        </w:rPr>
        <w:t xml:space="preserve"> </w:t>
      </w:r>
      <w:r w:rsidR="00960579">
        <w:rPr>
          <w:lang w:eastAsia="en-NZ"/>
        </w:rPr>
        <w:t>show</w:t>
      </w:r>
      <w:r w:rsidR="003D640C">
        <w:rPr>
          <w:lang w:eastAsia="en-NZ"/>
        </w:rPr>
        <w:t xml:space="preserve"> </w:t>
      </w:r>
      <w:r w:rsidRPr="00BB6220">
        <w:rPr>
          <w:lang w:eastAsia="en-NZ"/>
        </w:rPr>
        <w:t>the</w:t>
      </w:r>
      <w:r w:rsidR="003D640C">
        <w:rPr>
          <w:lang w:eastAsia="en-NZ"/>
        </w:rPr>
        <w:t xml:space="preserve"> </w:t>
      </w:r>
      <w:r w:rsidRPr="00BB6220">
        <w:rPr>
          <w:lang w:eastAsia="en-NZ"/>
        </w:rPr>
        <w:t>mental</w:t>
      </w:r>
      <w:r w:rsidR="003D640C">
        <w:rPr>
          <w:lang w:eastAsia="en-NZ"/>
        </w:rPr>
        <w:t xml:space="preserve"> </w:t>
      </w:r>
      <w:r w:rsidRPr="00BB6220">
        <w:rPr>
          <w:lang w:eastAsia="en-NZ"/>
        </w:rPr>
        <w:t>and</w:t>
      </w:r>
      <w:r w:rsidR="003D640C">
        <w:rPr>
          <w:lang w:eastAsia="en-NZ"/>
        </w:rPr>
        <w:t xml:space="preserve"> </w:t>
      </w:r>
      <w:r w:rsidRPr="00BB6220">
        <w:rPr>
          <w:lang w:eastAsia="en-NZ"/>
        </w:rPr>
        <w:t>physical</w:t>
      </w:r>
      <w:r w:rsidR="003D640C">
        <w:rPr>
          <w:lang w:eastAsia="en-NZ"/>
        </w:rPr>
        <w:t xml:space="preserve"> </w:t>
      </w:r>
      <w:r w:rsidRPr="00BB6220">
        <w:rPr>
          <w:lang w:eastAsia="en-NZ"/>
        </w:rPr>
        <w:t>harm</w:t>
      </w:r>
      <w:r w:rsidR="003D640C">
        <w:rPr>
          <w:lang w:eastAsia="en-NZ"/>
        </w:rPr>
        <w:t xml:space="preserve"> </w:t>
      </w:r>
      <w:r w:rsidRPr="00BB6220">
        <w:rPr>
          <w:lang w:eastAsia="en-NZ"/>
        </w:rPr>
        <w:t>from</w:t>
      </w:r>
      <w:r w:rsidR="003D640C">
        <w:rPr>
          <w:lang w:eastAsia="en-NZ"/>
        </w:rPr>
        <w:t xml:space="preserve"> </w:t>
      </w:r>
      <w:r w:rsidRPr="00BB6220">
        <w:rPr>
          <w:lang w:eastAsia="en-NZ"/>
        </w:rPr>
        <w:t>long-term</w:t>
      </w:r>
      <w:r w:rsidR="003D640C">
        <w:rPr>
          <w:lang w:eastAsia="en-NZ"/>
        </w:rPr>
        <w:t xml:space="preserve"> </w:t>
      </w:r>
      <w:r w:rsidRPr="00BB6220">
        <w:rPr>
          <w:lang w:eastAsia="en-NZ"/>
        </w:rPr>
        <w:t>exposure</w:t>
      </w:r>
      <w:r w:rsidR="003D640C">
        <w:rPr>
          <w:lang w:eastAsia="en-NZ"/>
        </w:rPr>
        <w:t xml:space="preserve"> </w:t>
      </w:r>
      <w:r w:rsidRPr="00BB6220">
        <w:rPr>
          <w:lang w:eastAsia="en-NZ"/>
        </w:rPr>
        <w:t>to</w:t>
      </w:r>
      <w:r w:rsidR="003D640C">
        <w:rPr>
          <w:lang w:eastAsia="en-NZ"/>
        </w:rPr>
        <w:t xml:space="preserve"> </w:t>
      </w:r>
      <w:r w:rsidRPr="00BB6220">
        <w:rPr>
          <w:lang w:eastAsia="en-NZ"/>
        </w:rPr>
        <w:t>stress</w:t>
      </w:r>
      <w:r w:rsidR="003D640C">
        <w:rPr>
          <w:lang w:eastAsia="en-NZ"/>
        </w:rPr>
        <w:t xml:space="preserve"> </w:t>
      </w:r>
      <w:r w:rsidRPr="00BB6220">
        <w:rPr>
          <w:lang w:eastAsia="en-NZ"/>
        </w:rPr>
        <w:t>hormones.</w:t>
      </w:r>
      <w:r w:rsidRPr="00BB6220">
        <w:rPr>
          <w:rStyle w:val="FootnoteReference"/>
          <w:rFonts w:eastAsia="Times New Roman"/>
          <w:lang w:eastAsia="en-NZ"/>
        </w:rPr>
        <w:footnoteReference w:id="126"/>
      </w:r>
    </w:p>
    <w:p w14:paraId="69A09E1D" w14:textId="326007EC" w:rsidR="00D527F0" w:rsidRPr="00BB6220" w:rsidRDefault="00D527F0" w:rsidP="0068108F">
      <w:pPr>
        <w:pStyle w:val="Bullet"/>
        <w:rPr>
          <w:rFonts w:cstheme="minorHAnsi"/>
          <w:lang w:eastAsia="en-NZ"/>
        </w:rPr>
      </w:pPr>
      <w:r w:rsidRPr="00BB6220">
        <w:rPr>
          <w:b/>
          <w:lang w:eastAsia="en-NZ"/>
        </w:rPr>
        <w:t>Disordered</w:t>
      </w:r>
      <w:r w:rsidR="003D640C">
        <w:rPr>
          <w:b/>
          <w:lang w:eastAsia="en-NZ"/>
        </w:rPr>
        <w:t xml:space="preserve"> </w:t>
      </w:r>
      <w:r w:rsidRPr="00BB6220">
        <w:rPr>
          <w:b/>
          <w:lang w:eastAsia="en-NZ"/>
        </w:rPr>
        <w:t>eating</w:t>
      </w:r>
      <w:r w:rsidR="003D640C">
        <w:rPr>
          <w:b/>
          <w:lang w:eastAsia="en-NZ"/>
        </w:rPr>
        <w:t xml:space="preserve"> </w:t>
      </w:r>
      <w:r w:rsidRPr="00BB6220">
        <w:rPr>
          <w:b/>
          <w:lang w:eastAsia="en-NZ"/>
        </w:rPr>
        <w:t>and</w:t>
      </w:r>
      <w:r w:rsidR="003D640C">
        <w:rPr>
          <w:b/>
          <w:lang w:eastAsia="en-NZ"/>
        </w:rPr>
        <w:t xml:space="preserve"> </w:t>
      </w:r>
      <w:r w:rsidRPr="00BB6220">
        <w:rPr>
          <w:b/>
          <w:lang w:eastAsia="en-NZ"/>
        </w:rPr>
        <w:t>body</w:t>
      </w:r>
      <w:r w:rsidR="003D640C">
        <w:rPr>
          <w:b/>
          <w:lang w:eastAsia="en-NZ"/>
        </w:rPr>
        <w:t xml:space="preserve"> </w:t>
      </w:r>
      <w:r w:rsidRPr="00BB6220">
        <w:rPr>
          <w:b/>
          <w:lang w:eastAsia="en-NZ"/>
        </w:rPr>
        <w:t>shame</w:t>
      </w:r>
      <w:r w:rsidRPr="00BB6220">
        <w:rPr>
          <w:lang w:eastAsia="en-NZ"/>
        </w:rPr>
        <w:t>:</w:t>
      </w:r>
      <w:r w:rsidR="003D640C">
        <w:rPr>
          <w:lang w:eastAsia="en-NZ"/>
        </w:rPr>
        <w:t xml:space="preserve"> </w:t>
      </w:r>
      <w:r w:rsidRPr="00BB6220">
        <w:rPr>
          <w:lang w:eastAsia="en-NZ"/>
        </w:rPr>
        <w:t>Survivors</w:t>
      </w:r>
      <w:r w:rsidR="003D640C">
        <w:rPr>
          <w:lang w:eastAsia="en-NZ"/>
        </w:rPr>
        <w:t xml:space="preserve"> </w:t>
      </w:r>
      <w:r w:rsidRPr="00BB6220">
        <w:rPr>
          <w:lang w:eastAsia="en-NZ"/>
        </w:rPr>
        <w:t>are</w:t>
      </w:r>
      <w:r w:rsidR="003D640C">
        <w:rPr>
          <w:lang w:eastAsia="en-NZ"/>
        </w:rPr>
        <w:t xml:space="preserve"> </w:t>
      </w:r>
      <w:r w:rsidRPr="00BB6220">
        <w:rPr>
          <w:lang w:eastAsia="en-NZ"/>
        </w:rPr>
        <w:t>compelled</w:t>
      </w:r>
      <w:r w:rsidR="003D640C">
        <w:rPr>
          <w:lang w:eastAsia="en-NZ"/>
        </w:rPr>
        <w:t xml:space="preserve"> </w:t>
      </w:r>
      <w:r w:rsidRPr="00BB6220">
        <w:rPr>
          <w:lang w:eastAsia="en-NZ"/>
        </w:rPr>
        <w:t>to</w:t>
      </w:r>
      <w:r w:rsidR="003D640C">
        <w:rPr>
          <w:lang w:eastAsia="en-NZ"/>
        </w:rPr>
        <w:t xml:space="preserve"> </w:t>
      </w:r>
      <w:r w:rsidRPr="00BB6220">
        <w:rPr>
          <w:lang w:eastAsia="en-NZ"/>
        </w:rPr>
        <w:t>suppress</w:t>
      </w:r>
      <w:r w:rsidR="003D640C">
        <w:rPr>
          <w:lang w:eastAsia="en-NZ"/>
        </w:rPr>
        <w:t xml:space="preserve"> </w:t>
      </w:r>
      <w:r w:rsidRPr="00BB6220">
        <w:rPr>
          <w:lang w:eastAsia="en-NZ"/>
        </w:rPr>
        <w:t>their</w:t>
      </w:r>
      <w:r w:rsidR="003D640C">
        <w:rPr>
          <w:lang w:eastAsia="en-NZ"/>
        </w:rPr>
        <w:t xml:space="preserve"> </w:t>
      </w:r>
      <w:r w:rsidRPr="00BB6220">
        <w:rPr>
          <w:lang w:eastAsia="en-NZ"/>
        </w:rPr>
        <w:t>sexual</w:t>
      </w:r>
      <w:r w:rsidR="003D640C">
        <w:rPr>
          <w:lang w:eastAsia="en-NZ"/>
        </w:rPr>
        <w:t xml:space="preserve"> </w:t>
      </w:r>
      <w:r w:rsidRPr="00BB6220">
        <w:rPr>
          <w:lang w:eastAsia="en-NZ"/>
        </w:rPr>
        <w:t>feelings,</w:t>
      </w:r>
      <w:r w:rsidR="003D640C">
        <w:rPr>
          <w:lang w:eastAsia="en-NZ"/>
        </w:rPr>
        <w:t xml:space="preserve"> </w:t>
      </w:r>
      <w:r w:rsidRPr="00BB6220">
        <w:rPr>
          <w:lang w:eastAsia="en-NZ"/>
        </w:rPr>
        <w:t>gender</w:t>
      </w:r>
      <w:r w:rsidR="0464EBB1" w:rsidRPr="00BB6220">
        <w:rPr>
          <w:lang w:eastAsia="en-NZ"/>
        </w:rPr>
        <w:t>,</w:t>
      </w:r>
      <w:r w:rsidR="003D640C">
        <w:rPr>
          <w:lang w:eastAsia="en-NZ"/>
        </w:rPr>
        <w:t xml:space="preserve"> </w:t>
      </w:r>
      <w:r w:rsidRPr="00BB6220">
        <w:rPr>
          <w:lang w:eastAsia="en-NZ"/>
        </w:rPr>
        <w:t>or</w:t>
      </w:r>
      <w:r w:rsidR="003D640C">
        <w:rPr>
          <w:lang w:eastAsia="en-NZ"/>
        </w:rPr>
        <w:t xml:space="preserve"> </w:t>
      </w:r>
      <w:r w:rsidRPr="00BB6220">
        <w:rPr>
          <w:lang w:eastAsia="en-NZ"/>
        </w:rPr>
        <w:t>both,</w:t>
      </w:r>
      <w:r w:rsidR="003D640C">
        <w:rPr>
          <w:lang w:eastAsia="en-NZ"/>
        </w:rPr>
        <w:t xml:space="preserve"> </w:t>
      </w:r>
      <w:r w:rsidRPr="00BB6220">
        <w:rPr>
          <w:lang w:eastAsia="en-NZ"/>
        </w:rPr>
        <w:t>leading</w:t>
      </w:r>
      <w:r w:rsidR="003D640C">
        <w:rPr>
          <w:lang w:eastAsia="en-NZ"/>
        </w:rPr>
        <w:t xml:space="preserve"> </w:t>
      </w:r>
      <w:r w:rsidRPr="00BB6220">
        <w:rPr>
          <w:lang w:eastAsia="en-NZ"/>
        </w:rPr>
        <w:t>to</w:t>
      </w:r>
      <w:r w:rsidR="003D640C">
        <w:rPr>
          <w:lang w:eastAsia="en-NZ"/>
        </w:rPr>
        <w:t xml:space="preserve"> </w:t>
      </w:r>
      <w:r w:rsidRPr="00BB6220">
        <w:rPr>
          <w:lang w:eastAsia="en-NZ"/>
        </w:rPr>
        <w:t>self-rejection.</w:t>
      </w:r>
      <w:r w:rsidR="003D640C">
        <w:rPr>
          <w:lang w:eastAsia="en-NZ"/>
        </w:rPr>
        <w:t xml:space="preserve"> </w:t>
      </w:r>
      <w:r w:rsidRPr="00BB6220">
        <w:rPr>
          <w:lang w:eastAsia="en-NZ"/>
        </w:rPr>
        <w:t>This</w:t>
      </w:r>
      <w:r w:rsidR="003D640C">
        <w:rPr>
          <w:lang w:eastAsia="en-NZ"/>
        </w:rPr>
        <w:t xml:space="preserve"> </w:t>
      </w:r>
      <w:r w:rsidRPr="00BB6220">
        <w:rPr>
          <w:lang w:eastAsia="en-NZ"/>
        </w:rPr>
        <w:t>can</w:t>
      </w:r>
      <w:r w:rsidR="003D640C">
        <w:rPr>
          <w:lang w:eastAsia="en-NZ"/>
        </w:rPr>
        <w:t xml:space="preserve"> </w:t>
      </w:r>
      <w:r w:rsidRPr="00BB6220">
        <w:rPr>
          <w:lang w:eastAsia="en-NZ"/>
        </w:rPr>
        <w:t>also</w:t>
      </w:r>
      <w:r w:rsidR="003D640C">
        <w:rPr>
          <w:lang w:eastAsia="en-NZ"/>
        </w:rPr>
        <w:t xml:space="preserve"> </w:t>
      </w:r>
      <w:r w:rsidRPr="00BB6220">
        <w:rPr>
          <w:lang w:eastAsia="en-NZ"/>
        </w:rPr>
        <w:t>contribute</w:t>
      </w:r>
      <w:r w:rsidR="003D640C">
        <w:rPr>
          <w:lang w:eastAsia="en-NZ"/>
        </w:rPr>
        <w:t xml:space="preserve"> </w:t>
      </w:r>
      <w:r w:rsidRPr="00BB6220">
        <w:rPr>
          <w:lang w:eastAsia="en-NZ"/>
        </w:rPr>
        <w:t>to</w:t>
      </w:r>
      <w:r w:rsidR="003D640C">
        <w:rPr>
          <w:lang w:eastAsia="en-NZ"/>
        </w:rPr>
        <w:t xml:space="preserve"> </w:t>
      </w:r>
      <w:r w:rsidRPr="00BB6220">
        <w:rPr>
          <w:lang w:eastAsia="en-NZ"/>
        </w:rPr>
        <w:t>disordered</w:t>
      </w:r>
      <w:r w:rsidR="003D640C">
        <w:rPr>
          <w:lang w:eastAsia="en-NZ"/>
        </w:rPr>
        <w:t xml:space="preserve"> </w:t>
      </w:r>
      <w:r w:rsidRPr="00BB6220">
        <w:rPr>
          <w:lang w:eastAsia="en-NZ"/>
        </w:rPr>
        <w:t>eating</w:t>
      </w:r>
      <w:r w:rsidR="003D640C">
        <w:rPr>
          <w:lang w:eastAsia="en-NZ"/>
        </w:rPr>
        <w:t xml:space="preserve"> </w:t>
      </w:r>
      <w:r w:rsidRPr="00BB6220">
        <w:rPr>
          <w:lang w:eastAsia="en-NZ"/>
        </w:rPr>
        <w:t>patterns.</w:t>
      </w:r>
      <w:r w:rsidR="003D640C">
        <w:rPr>
          <w:lang w:eastAsia="en-NZ"/>
        </w:rPr>
        <w:t xml:space="preserve"> </w:t>
      </w:r>
      <w:r w:rsidR="004A524F" w:rsidRPr="00BB6220">
        <w:rPr>
          <w:lang w:eastAsia="en-NZ"/>
        </w:rPr>
        <w:t>Survivors</w:t>
      </w:r>
      <w:r w:rsidR="003D640C">
        <w:rPr>
          <w:lang w:eastAsia="en-NZ"/>
        </w:rPr>
        <w:t xml:space="preserve"> </w:t>
      </w:r>
      <w:r w:rsidRPr="00BB6220">
        <w:rPr>
          <w:lang w:eastAsia="en-NZ"/>
        </w:rPr>
        <w:t>may</w:t>
      </w:r>
      <w:r w:rsidR="003D640C">
        <w:rPr>
          <w:lang w:eastAsia="en-NZ"/>
        </w:rPr>
        <w:t xml:space="preserve"> </w:t>
      </w:r>
      <w:r w:rsidRPr="00BB6220">
        <w:rPr>
          <w:lang w:eastAsia="en-NZ"/>
        </w:rPr>
        <w:t>develop</w:t>
      </w:r>
      <w:r w:rsidR="003D640C">
        <w:rPr>
          <w:lang w:eastAsia="en-NZ"/>
        </w:rPr>
        <w:t xml:space="preserve"> </w:t>
      </w:r>
      <w:r w:rsidRPr="00BB6220">
        <w:rPr>
          <w:lang w:eastAsia="en-NZ"/>
        </w:rPr>
        <w:t>unhealthy</w:t>
      </w:r>
      <w:r w:rsidR="003D640C">
        <w:rPr>
          <w:lang w:eastAsia="en-NZ"/>
        </w:rPr>
        <w:t xml:space="preserve"> </w:t>
      </w:r>
      <w:r w:rsidRPr="00BB6220">
        <w:rPr>
          <w:lang w:eastAsia="en-NZ"/>
        </w:rPr>
        <w:t>relationships</w:t>
      </w:r>
      <w:r w:rsidR="003D640C">
        <w:rPr>
          <w:lang w:eastAsia="en-NZ"/>
        </w:rPr>
        <w:t xml:space="preserve"> </w:t>
      </w:r>
      <w:r w:rsidRPr="00BB6220">
        <w:rPr>
          <w:lang w:eastAsia="en-NZ"/>
        </w:rPr>
        <w:t>with</w:t>
      </w:r>
      <w:r w:rsidR="003D640C">
        <w:rPr>
          <w:lang w:eastAsia="en-NZ"/>
        </w:rPr>
        <w:t xml:space="preserve"> </w:t>
      </w:r>
      <w:r w:rsidRPr="00BB6220">
        <w:rPr>
          <w:lang w:eastAsia="en-NZ"/>
        </w:rPr>
        <w:t>food,</w:t>
      </w:r>
      <w:r w:rsidR="003D640C">
        <w:rPr>
          <w:lang w:eastAsia="en-NZ"/>
        </w:rPr>
        <w:t xml:space="preserve"> </w:t>
      </w:r>
      <w:r w:rsidRPr="00BB6220">
        <w:rPr>
          <w:lang w:eastAsia="en-NZ"/>
        </w:rPr>
        <w:t>engage</w:t>
      </w:r>
      <w:r w:rsidR="003D640C">
        <w:rPr>
          <w:lang w:eastAsia="en-NZ"/>
        </w:rPr>
        <w:t xml:space="preserve"> </w:t>
      </w:r>
      <w:r w:rsidRPr="00BB6220">
        <w:rPr>
          <w:lang w:eastAsia="en-NZ"/>
        </w:rPr>
        <w:t>in</w:t>
      </w:r>
      <w:r w:rsidR="003D640C">
        <w:rPr>
          <w:lang w:eastAsia="en-NZ"/>
        </w:rPr>
        <w:t xml:space="preserve"> </w:t>
      </w:r>
      <w:r w:rsidRPr="00BB6220">
        <w:rPr>
          <w:lang w:eastAsia="en-NZ"/>
        </w:rPr>
        <w:t>restrictive</w:t>
      </w:r>
      <w:r w:rsidR="003D640C">
        <w:rPr>
          <w:lang w:eastAsia="en-NZ"/>
        </w:rPr>
        <w:t xml:space="preserve"> </w:t>
      </w:r>
      <w:r w:rsidRPr="00BB6220">
        <w:rPr>
          <w:lang w:eastAsia="en-NZ"/>
        </w:rPr>
        <w:t>eating</w:t>
      </w:r>
      <w:r w:rsidR="003D640C">
        <w:rPr>
          <w:lang w:eastAsia="en-NZ"/>
        </w:rPr>
        <w:t xml:space="preserve"> </w:t>
      </w:r>
      <w:r w:rsidRPr="00BB6220">
        <w:rPr>
          <w:lang w:eastAsia="en-NZ"/>
        </w:rPr>
        <w:t>or</w:t>
      </w:r>
      <w:r w:rsidR="003D640C">
        <w:rPr>
          <w:lang w:eastAsia="en-NZ"/>
        </w:rPr>
        <w:t xml:space="preserve"> </w:t>
      </w:r>
      <w:r w:rsidRPr="00BB6220">
        <w:rPr>
          <w:lang w:eastAsia="en-NZ"/>
        </w:rPr>
        <w:t>binge-eating</w:t>
      </w:r>
      <w:r w:rsidR="003D640C">
        <w:rPr>
          <w:lang w:eastAsia="en-NZ"/>
        </w:rPr>
        <w:t xml:space="preserve"> </w:t>
      </w:r>
      <w:r w:rsidRPr="00BB6220">
        <w:rPr>
          <w:lang w:eastAsia="en-NZ"/>
        </w:rPr>
        <w:t>behaviours,</w:t>
      </w:r>
      <w:r w:rsidR="003D640C">
        <w:rPr>
          <w:lang w:eastAsia="en-NZ"/>
        </w:rPr>
        <w:t xml:space="preserve"> </w:t>
      </w:r>
      <w:r w:rsidRPr="00BB6220">
        <w:rPr>
          <w:lang w:eastAsia="en-NZ"/>
        </w:rPr>
        <w:t>and</w:t>
      </w:r>
      <w:r w:rsidR="003D640C">
        <w:rPr>
          <w:lang w:eastAsia="en-NZ"/>
        </w:rPr>
        <w:t xml:space="preserve"> </w:t>
      </w:r>
      <w:r w:rsidRPr="00BB6220">
        <w:rPr>
          <w:lang w:eastAsia="en-NZ"/>
        </w:rPr>
        <w:t>experience</w:t>
      </w:r>
      <w:r w:rsidR="003D640C">
        <w:rPr>
          <w:lang w:eastAsia="en-NZ"/>
        </w:rPr>
        <w:t xml:space="preserve"> </w:t>
      </w:r>
      <w:r w:rsidRPr="00BB6220">
        <w:rPr>
          <w:lang w:eastAsia="en-NZ"/>
        </w:rPr>
        <w:t>body</w:t>
      </w:r>
      <w:r w:rsidR="003D640C">
        <w:rPr>
          <w:lang w:eastAsia="en-NZ"/>
        </w:rPr>
        <w:t xml:space="preserve"> </w:t>
      </w:r>
      <w:r w:rsidRPr="00BB6220">
        <w:rPr>
          <w:lang w:eastAsia="en-NZ"/>
        </w:rPr>
        <w:t>shame</w:t>
      </w:r>
      <w:r w:rsidR="003D640C">
        <w:rPr>
          <w:lang w:eastAsia="en-NZ"/>
        </w:rPr>
        <w:t xml:space="preserve"> </w:t>
      </w:r>
      <w:r w:rsidRPr="00BB6220">
        <w:rPr>
          <w:lang w:eastAsia="en-NZ"/>
        </w:rPr>
        <w:t>and</w:t>
      </w:r>
      <w:r w:rsidR="003D640C">
        <w:rPr>
          <w:lang w:eastAsia="en-NZ"/>
        </w:rPr>
        <w:t xml:space="preserve"> </w:t>
      </w:r>
      <w:r w:rsidRPr="00BB6220">
        <w:rPr>
          <w:lang w:eastAsia="en-NZ"/>
        </w:rPr>
        <w:t>dissatisfaction</w:t>
      </w:r>
      <w:r w:rsidR="003D640C">
        <w:rPr>
          <w:lang w:eastAsia="en-NZ"/>
        </w:rPr>
        <w:t xml:space="preserve"> </w:t>
      </w:r>
      <w:r w:rsidRPr="00BB6220">
        <w:rPr>
          <w:lang w:eastAsia="en-NZ"/>
        </w:rPr>
        <w:t>that</w:t>
      </w:r>
      <w:r w:rsidR="003D640C">
        <w:rPr>
          <w:lang w:eastAsia="en-NZ"/>
        </w:rPr>
        <w:t xml:space="preserve"> </w:t>
      </w:r>
      <w:r w:rsidRPr="00BB6220">
        <w:rPr>
          <w:lang w:eastAsia="en-NZ"/>
        </w:rPr>
        <w:t>leads</w:t>
      </w:r>
      <w:r w:rsidR="003D640C">
        <w:rPr>
          <w:lang w:eastAsia="en-NZ"/>
        </w:rPr>
        <w:t xml:space="preserve"> </w:t>
      </w:r>
      <w:r w:rsidRPr="00BB6220">
        <w:rPr>
          <w:lang w:eastAsia="en-NZ"/>
        </w:rPr>
        <w:t>to</w:t>
      </w:r>
      <w:r w:rsidR="003D640C">
        <w:rPr>
          <w:lang w:eastAsia="en-NZ"/>
        </w:rPr>
        <w:t xml:space="preserve"> </w:t>
      </w:r>
      <w:r w:rsidRPr="00BB6220">
        <w:rPr>
          <w:lang w:eastAsia="en-NZ"/>
        </w:rPr>
        <w:t>self-harm.</w:t>
      </w:r>
      <w:r w:rsidRPr="00BB6220">
        <w:rPr>
          <w:rStyle w:val="FootnoteReference"/>
          <w:rFonts w:eastAsia="Times New Roman"/>
          <w:lang w:eastAsia="en-NZ"/>
        </w:rPr>
        <w:footnoteReference w:id="127"/>
      </w:r>
    </w:p>
    <w:p w14:paraId="51DEB047" w14:textId="2990E9CB" w:rsidR="00D527F0" w:rsidRPr="00BB6220" w:rsidRDefault="00D527F0" w:rsidP="0068108F">
      <w:pPr>
        <w:pStyle w:val="Bullet"/>
      </w:pPr>
      <w:r w:rsidRPr="00BB6220">
        <w:rPr>
          <w:b/>
          <w:bCs/>
        </w:rPr>
        <w:t>Disembodiment</w:t>
      </w:r>
      <w:r w:rsidR="003D640C">
        <w:rPr>
          <w:b/>
          <w:bCs/>
        </w:rPr>
        <w:t xml:space="preserve"> </w:t>
      </w:r>
      <w:r w:rsidRPr="00BB6220">
        <w:rPr>
          <w:b/>
          <w:bCs/>
        </w:rPr>
        <w:t>and</w:t>
      </w:r>
      <w:r w:rsidR="003D640C">
        <w:rPr>
          <w:b/>
          <w:bCs/>
        </w:rPr>
        <w:t xml:space="preserve"> </w:t>
      </w:r>
      <w:r w:rsidRPr="00BB6220">
        <w:rPr>
          <w:b/>
          <w:bCs/>
        </w:rPr>
        <w:t>dissociation:</w:t>
      </w:r>
      <w:r w:rsidR="003D640C">
        <w:rPr>
          <w:b/>
          <w:bCs/>
        </w:rPr>
        <w:t xml:space="preserve"> </w:t>
      </w:r>
      <w:r w:rsidRPr="00BB6220">
        <w:t>Conversion</w:t>
      </w:r>
      <w:r w:rsidR="003D640C">
        <w:t xml:space="preserve"> </w:t>
      </w:r>
      <w:r w:rsidRPr="00BB6220">
        <w:t>practices</w:t>
      </w:r>
      <w:r w:rsidR="003D640C">
        <w:t xml:space="preserve"> </w:t>
      </w:r>
      <w:r w:rsidRPr="00BB6220">
        <w:t>exhaust</w:t>
      </w:r>
      <w:r w:rsidR="003D640C">
        <w:t xml:space="preserve"> </w:t>
      </w:r>
      <w:r w:rsidRPr="00BB6220">
        <w:t>people</w:t>
      </w:r>
      <w:r w:rsidR="003D640C">
        <w:t xml:space="preserve"> </w:t>
      </w:r>
      <w:r w:rsidRPr="00BB6220">
        <w:t>to</w:t>
      </w:r>
      <w:r w:rsidR="003D640C">
        <w:t xml:space="preserve"> </w:t>
      </w:r>
      <w:r w:rsidRPr="00BB6220">
        <w:t>the</w:t>
      </w:r>
      <w:r w:rsidR="003D640C">
        <w:t xml:space="preserve"> </w:t>
      </w:r>
      <w:r w:rsidRPr="00BB6220">
        <w:t>point</w:t>
      </w:r>
      <w:r w:rsidR="003D640C">
        <w:t xml:space="preserve"> </w:t>
      </w:r>
      <w:r w:rsidRPr="00BB6220">
        <w:t>where</w:t>
      </w:r>
      <w:r w:rsidR="003D640C">
        <w:t xml:space="preserve"> </w:t>
      </w:r>
      <w:r w:rsidRPr="00BB6220">
        <w:t>they</w:t>
      </w:r>
      <w:r w:rsidR="003D640C">
        <w:t xml:space="preserve"> </w:t>
      </w:r>
      <w:r w:rsidRPr="00BB6220">
        <w:t>can</w:t>
      </w:r>
      <w:r w:rsidR="003D640C">
        <w:t xml:space="preserve"> </w:t>
      </w:r>
      <w:r w:rsidRPr="00BB6220">
        <w:t>present</w:t>
      </w:r>
      <w:r w:rsidR="003D640C">
        <w:t xml:space="preserve"> </w:t>
      </w:r>
      <w:r w:rsidRPr="00BB6220">
        <w:t>as</w:t>
      </w:r>
      <w:r w:rsidR="003D640C">
        <w:t xml:space="preserve"> </w:t>
      </w:r>
      <w:r w:rsidRPr="00BB6220">
        <w:t>‘emotionally</w:t>
      </w:r>
      <w:r w:rsidR="003D640C">
        <w:t xml:space="preserve"> </w:t>
      </w:r>
      <w:r w:rsidRPr="00BB6220">
        <w:t>numb’</w:t>
      </w:r>
      <w:r w:rsidR="003D640C">
        <w:t xml:space="preserve"> </w:t>
      </w:r>
      <w:r w:rsidRPr="00BB6220">
        <w:t>as</w:t>
      </w:r>
      <w:r w:rsidR="003D640C">
        <w:t xml:space="preserve"> </w:t>
      </w:r>
      <w:r w:rsidRPr="00BB6220">
        <w:t>they</w:t>
      </w:r>
      <w:r w:rsidR="003D640C">
        <w:t xml:space="preserve"> </w:t>
      </w:r>
      <w:r w:rsidRPr="00BB6220">
        <w:t>disconnect</w:t>
      </w:r>
      <w:r w:rsidR="003D640C">
        <w:t xml:space="preserve"> </w:t>
      </w:r>
      <w:r w:rsidRPr="00BB6220">
        <w:t>from</w:t>
      </w:r>
      <w:r w:rsidR="003D640C">
        <w:t xml:space="preserve"> </w:t>
      </w:r>
      <w:r w:rsidRPr="00BB6220">
        <w:t>their</w:t>
      </w:r>
      <w:r w:rsidR="003D640C">
        <w:t xml:space="preserve"> </w:t>
      </w:r>
      <w:r w:rsidRPr="00BB6220">
        <w:t>own</w:t>
      </w:r>
      <w:r w:rsidR="003D640C">
        <w:t xml:space="preserve"> </w:t>
      </w:r>
      <w:r w:rsidRPr="00BB6220">
        <w:t>experiences</w:t>
      </w:r>
      <w:r w:rsidR="003D640C">
        <w:t xml:space="preserve"> </w:t>
      </w:r>
      <w:r w:rsidRPr="00BB6220">
        <w:t>(mind</w:t>
      </w:r>
      <w:r w:rsidR="003D640C">
        <w:t xml:space="preserve"> </w:t>
      </w:r>
      <w:r w:rsidRPr="00BB6220">
        <w:t>and</w:t>
      </w:r>
      <w:r w:rsidR="003D640C">
        <w:t xml:space="preserve"> </w:t>
      </w:r>
      <w:r w:rsidRPr="00BB6220">
        <w:t>body).</w:t>
      </w:r>
      <w:r w:rsidR="003D640C">
        <w:t xml:space="preserve"> </w:t>
      </w:r>
      <w:r w:rsidRPr="00BB6220">
        <w:t>Survivors</w:t>
      </w:r>
      <w:r w:rsidR="003D640C">
        <w:t xml:space="preserve"> </w:t>
      </w:r>
      <w:r w:rsidRPr="00BB6220">
        <w:t>can</w:t>
      </w:r>
      <w:r w:rsidR="003D640C">
        <w:t xml:space="preserve"> </w:t>
      </w:r>
      <w:r w:rsidRPr="00BB6220">
        <w:t>also</w:t>
      </w:r>
      <w:r w:rsidR="003D640C">
        <w:t xml:space="preserve"> </w:t>
      </w:r>
      <w:r w:rsidRPr="00BB6220">
        <w:t>develop</w:t>
      </w:r>
      <w:r w:rsidR="003D640C">
        <w:t xml:space="preserve"> </w:t>
      </w:r>
      <w:r w:rsidRPr="00BB6220">
        <w:t>a</w:t>
      </w:r>
      <w:r w:rsidR="003D640C">
        <w:t xml:space="preserve"> </w:t>
      </w:r>
      <w:r w:rsidRPr="00BB6220">
        <w:t>dissociative</w:t>
      </w:r>
      <w:r w:rsidR="003D640C">
        <w:t xml:space="preserve"> </w:t>
      </w:r>
      <w:r w:rsidRPr="00BB6220">
        <w:t>response</w:t>
      </w:r>
      <w:r w:rsidR="003D0CB2">
        <w:t xml:space="preserve"> such as</w:t>
      </w:r>
      <w:r w:rsidR="003D640C">
        <w:t xml:space="preserve"> </w:t>
      </w:r>
      <w:r w:rsidRPr="00BB6220">
        <w:t>memory</w:t>
      </w:r>
      <w:r w:rsidR="003D640C">
        <w:t xml:space="preserve"> </w:t>
      </w:r>
      <w:r w:rsidRPr="00BB6220">
        <w:t>loss</w:t>
      </w:r>
      <w:r w:rsidR="003D640C">
        <w:t xml:space="preserve"> </w:t>
      </w:r>
      <w:r w:rsidRPr="00BB6220">
        <w:t>or</w:t>
      </w:r>
      <w:r w:rsidR="003D640C">
        <w:t xml:space="preserve"> </w:t>
      </w:r>
      <w:r w:rsidRPr="00BB6220">
        <w:t>a</w:t>
      </w:r>
      <w:r w:rsidR="003D640C">
        <w:t xml:space="preserve"> </w:t>
      </w:r>
      <w:r w:rsidRPr="00BB6220">
        <w:t>perception</w:t>
      </w:r>
      <w:r w:rsidR="003D640C">
        <w:t xml:space="preserve"> </w:t>
      </w:r>
      <w:r w:rsidRPr="00BB6220">
        <w:t>of</w:t>
      </w:r>
      <w:r w:rsidR="003D640C">
        <w:t xml:space="preserve"> </w:t>
      </w:r>
      <w:r w:rsidRPr="00BB6220">
        <w:t>reality</w:t>
      </w:r>
      <w:r w:rsidR="003D640C">
        <w:t xml:space="preserve"> </w:t>
      </w:r>
      <w:r w:rsidRPr="00BB6220">
        <w:t>as</w:t>
      </w:r>
      <w:r w:rsidR="003D640C">
        <w:t xml:space="preserve"> </w:t>
      </w:r>
      <w:r w:rsidRPr="00BB6220">
        <w:t>distorted</w:t>
      </w:r>
      <w:r w:rsidR="003D640C">
        <w:t xml:space="preserve"> </w:t>
      </w:r>
      <w:r w:rsidRPr="00BB6220">
        <w:t>or</w:t>
      </w:r>
      <w:r w:rsidR="003D640C">
        <w:t xml:space="preserve"> </w:t>
      </w:r>
      <w:r w:rsidRPr="00BB6220">
        <w:t>unreal.</w:t>
      </w:r>
      <w:r w:rsidRPr="00BB6220">
        <w:rPr>
          <w:rStyle w:val="FootnoteReference"/>
        </w:rPr>
        <w:footnoteReference w:id="128"/>
      </w:r>
    </w:p>
    <w:p w14:paraId="51E9D0DB" w14:textId="5A362190" w:rsidR="004F4D3A" w:rsidRPr="00BB6220" w:rsidRDefault="00D527F0" w:rsidP="0068108F">
      <w:pPr>
        <w:pStyle w:val="Bullet"/>
        <w:rPr>
          <w:rFonts w:eastAsia="Times New Roman" w:cstheme="minorHAnsi"/>
          <w:lang w:eastAsia="en-NZ"/>
        </w:rPr>
      </w:pPr>
      <w:r w:rsidRPr="00BB6220">
        <w:rPr>
          <w:rFonts w:eastAsia="Times New Roman"/>
          <w:b/>
          <w:color w:val="000000"/>
          <w:lang w:eastAsia="en-NZ"/>
        </w:rPr>
        <w:t>Self-harm</w:t>
      </w:r>
      <w:r w:rsidR="003D640C">
        <w:rPr>
          <w:rFonts w:eastAsia="Times New Roman"/>
          <w:b/>
          <w:color w:val="000000"/>
          <w:lang w:eastAsia="en-NZ"/>
        </w:rPr>
        <w:t xml:space="preserve"> </w:t>
      </w:r>
      <w:r w:rsidRPr="00BB6220">
        <w:rPr>
          <w:rFonts w:eastAsia="Times New Roman"/>
          <w:b/>
          <w:color w:val="000000"/>
          <w:lang w:eastAsia="en-NZ"/>
        </w:rPr>
        <w:t>and</w:t>
      </w:r>
      <w:r w:rsidR="003D640C">
        <w:rPr>
          <w:rFonts w:eastAsia="Times New Roman"/>
          <w:b/>
          <w:color w:val="000000"/>
          <w:lang w:eastAsia="en-NZ"/>
        </w:rPr>
        <w:t xml:space="preserve"> </w:t>
      </w:r>
      <w:r w:rsidRPr="00BB6220">
        <w:rPr>
          <w:rFonts w:eastAsia="Times New Roman"/>
          <w:b/>
          <w:color w:val="000000"/>
          <w:lang w:eastAsia="en-NZ"/>
        </w:rPr>
        <w:t>non-suicidal</w:t>
      </w:r>
      <w:r w:rsidR="003D640C">
        <w:rPr>
          <w:rFonts w:eastAsia="Times New Roman"/>
          <w:b/>
          <w:color w:val="000000"/>
          <w:lang w:eastAsia="en-NZ"/>
        </w:rPr>
        <w:t xml:space="preserve"> </w:t>
      </w:r>
      <w:r w:rsidRPr="00BB6220">
        <w:rPr>
          <w:rFonts w:eastAsia="Times New Roman"/>
          <w:b/>
          <w:color w:val="000000"/>
          <w:lang w:eastAsia="en-NZ"/>
        </w:rPr>
        <w:t>self-injury</w:t>
      </w:r>
      <w:r w:rsidRPr="00BB6220">
        <w:rPr>
          <w:rFonts w:eastAsia="Times New Roman"/>
          <w:color w:val="000000"/>
          <w:lang w:eastAsia="en-NZ"/>
        </w:rPr>
        <w:t>:</w:t>
      </w:r>
      <w:r w:rsidR="003D640C">
        <w:rPr>
          <w:rFonts w:eastAsia="Times New Roman"/>
          <w:color w:val="000000"/>
          <w:lang w:eastAsia="en-NZ"/>
        </w:rPr>
        <w:t xml:space="preserve"> </w:t>
      </w:r>
      <w:r w:rsidRPr="00BB6220">
        <w:rPr>
          <w:rFonts w:eastAsia="Times New Roman"/>
          <w:color w:val="000000"/>
          <w:lang w:eastAsia="en-NZ"/>
        </w:rPr>
        <w:t>Emotional</w:t>
      </w:r>
      <w:r w:rsidR="003D640C">
        <w:rPr>
          <w:rFonts w:eastAsia="Times New Roman"/>
          <w:color w:val="000000"/>
          <w:lang w:eastAsia="en-NZ"/>
        </w:rPr>
        <w:t xml:space="preserve"> </w:t>
      </w:r>
      <w:r w:rsidRPr="00BB6220">
        <w:rPr>
          <w:rFonts w:eastAsia="Times New Roman"/>
          <w:color w:val="000000"/>
          <w:lang w:eastAsia="en-NZ"/>
        </w:rPr>
        <w:t>distress</w:t>
      </w:r>
      <w:r w:rsidR="003D640C">
        <w:rPr>
          <w:rFonts w:eastAsia="Times New Roman"/>
          <w:color w:val="000000"/>
          <w:lang w:eastAsia="en-NZ"/>
        </w:rPr>
        <w:t xml:space="preserve"> </w:t>
      </w:r>
      <w:r w:rsidRPr="00BB6220">
        <w:rPr>
          <w:rFonts w:eastAsia="Times New Roman"/>
          <w:color w:val="000000"/>
          <w:lang w:eastAsia="en-NZ"/>
        </w:rPr>
        <w:t>caused</w:t>
      </w:r>
      <w:r w:rsidR="003D640C">
        <w:rPr>
          <w:rFonts w:eastAsia="Times New Roman"/>
          <w:color w:val="000000"/>
          <w:lang w:eastAsia="en-NZ"/>
        </w:rPr>
        <w:t xml:space="preserve"> </w:t>
      </w:r>
      <w:r w:rsidRPr="00BB6220">
        <w:rPr>
          <w:rFonts w:eastAsia="Times New Roman"/>
          <w:color w:val="000000"/>
          <w:lang w:eastAsia="en-NZ"/>
        </w:rPr>
        <w:t>by</w:t>
      </w:r>
      <w:r w:rsidR="003D640C">
        <w:rPr>
          <w:rFonts w:eastAsia="Times New Roman"/>
          <w:color w:val="000000"/>
          <w:lang w:eastAsia="en-NZ"/>
        </w:rPr>
        <w:t xml:space="preserve"> </w:t>
      </w:r>
      <w:r w:rsidRPr="00BB6220">
        <w:rPr>
          <w:rFonts w:eastAsia="Times New Roman"/>
          <w:color w:val="000000"/>
          <w:lang w:eastAsia="en-NZ"/>
        </w:rPr>
        <w:t>conversion</w:t>
      </w:r>
      <w:r w:rsidR="003D640C">
        <w:rPr>
          <w:rFonts w:eastAsia="Times New Roman"/>
          <w:color w:val="000000"/>
          <w:lang w:eastAsia="en-NZ"/>
        </w:rPr>
        <w:t xml:space="preserve"> </w:t>
      </w:r>
      <w:r w:rsidRPr="00BB6220">
        <w:rPr>
          <w:rFonts w:eastAsia="Times New Roman"/>
          <w:color w:val="000000"/>
          <w:lang w:eastAsia="en-NZ"/>
        </w:rPr>
        <w:t>practices</w:t>
      </w:r>
      <w:r w:rsidR="003D640C">
        <w:rPr>
          <w:rFonts w:eastAsia="Times New Roman"/>
          <w:color w:val="000000"/>
          <w:lang w:eastAsia="en-NZ"/>
        </w:rPr>
        <w:t xml:space="preserve"> </w:t>
      </w:r>
      <w:r w:rsidRPr="00BB6220">
        <w:rPr>
          <w:rFonts w:eastAsia="Times New Roman"/>
          <w:color w:val="000000"/>
          <w:lang w:eastAsia="en-NZ"/>
        </w:rPr>
        <w:t>leads</w:t>
      </w:r>
      <w:r w:rsidR="003D640C">
        <w:rPr>
          <w:rFonts w:eastAsia="Times New Roman"/>
          <w:color w:val="000000"/>
          <w:lang w:eastAsia="en-NZ"/>
        </w:rPr>
        <w:t xml:space="preserve"> </w:t>
      </w:r>
      <w:r w:rsidRPr="00BB6220">
        <w:rPr>
          <w:rFonts w:eastAsia="Times New Roman"/>
          <w:color w:val="000000"/>
          <w:lang w:eastAsia="en-NZ"/>
        </w:rPr>
        <w:t>to</w:t>
      </w:r>
      <w:r w:rsidR="003D640C">
        <w:rPr>
          <w:rFonts w:eastAsia="Times New Roman"/>
          <w:color w:val="000000"/>
          <w:lang w:eastAsia="en-NZ"/>
        </w:rPr>
        <w:t xml:space="preserve"> </w:t>
      </w:r>
      <w:r w:rsidRPr="00BB6220">
        <w:rPr>
          <w:rFonts w:eastAsia="Times New Roman"/>
          <w:color w:val="000000"/>
          <w:lang w:eastAsia="en-NZ"/>
        </w:rPr>
        <w:t>an</w:t>
      </w:r>
      <w:r w:rsidR="003D640C">
        <w:rPr>
          <w:rFonts w:eastAsia="Times New Roman"/>
          <w:color w:val="000000"/>
          <w:lang w:eastAsia="en-NZ"/>
        </w:rPr>
        <w:t xml:space="preserve"> </w:t>
      </w:r>
      <w:r w:rsidRPr="00BB6220">
        <w:rPr>
          <w:rFonts w:eastAsia="Times New Roman"/>
          <w:color w:val="000000"/>
          <w:lang w:eastAsia="en-NZ"/>
        </w:rPr>
        <w:t>increased</w:t>
      </w:r>
      <w:r w:rsidR="003D640C">
        <w:rPr>
          <w:rFonts w:eastAsia="Times New Roman"/>
          <w:color w:val="000000"/>
          <w:lang w:eastAsia="en-NZ"/>
        </w:rPr>
        <w:t xml:space="preserve"> </w:t>
      </w:r>
      <w:r w:rsidRPr="00BB6220">
        <w:rPr>
          <w:rFonts w:eastAsia="Times New Roman"/>
          <w:color w:val="000000"/>
          <w:lang w:eastAsia="en-NZ"/>
        </w:rPr>
        <w:t>risk</w:t>
      </w:r>
      <w:r w:rsidR="003D640C">
        <w:rPr>
          <w:rFonts w:eastAsia="Times New Roman"/>
          <w:color w:val="000000"/>
          <w:lang w:eastAsia="en-NZ"/>
        </w:rPr>
        <w:t xml:space="preserve"> </w:t>
      </w:r>
      <w:r w:rsidR="00372305" w:rsidRPr="00BB6220">
        <w:rPr>
          <w:rFonts w:eastAsia="Times New Roman"/>
          <w:color w:val="000000"/>
          <w:lang w:eastAsia="en-NZ"/>
        </w:rPr>
        <w:t>of</w:t>
      </w:r>
      <w:r w:rsidR="003D640C">
        <w:rPr>
          <w:rFonts w:eastAsia="Times New Roman"/>
          <w:color w:val="000000"/>
          <w:lang w:eastAsia="en-NZ"/>
        </w:rPr>
        <w:t xml:space="preserve"> </w:t>
      </w:r>
      <w:r w:rsidRPr="00BB6220">
        <w:rPr>
          <w:rFonts w:eastAsia="Times New Roman"/>
          <w:color w:val="000000"/>
          <w:lang w:eastAsia="en-NZ"/>
        </w:rPr>
        <w:t>self-harm.</w:t>
      </w:r>
      <w:r w:rsidR="003D640C">
        <w:rPr>
          <w:rFonts w:eastAsia="Times New Roman"/>
          <w:color w:val="000000"/>
          <w:lang w:eastAsia="en-NZ"/>
        </w:rPr>
        <w:t xml:space="preserve"> </w:t>
      </w:r>
      <w:r w:rsidRPr="00BB6220">
        <w:rPr>
          <w:rFonts w:eastAsia="Times New Roman"/>
          <w:color w:val="000000"/>
          <w:lang w:eastAsia="en-NZ"/>
        </w:rPr>
        <w:t>This</w:t>
      </w:r>
      <w:r w:rsidR="003D640C">
        <w:rPr>
          <w:rFonts w:eastAsia="Times New Roman"/>
          <w:color w:val="000000"/>
          <w:lang w:eastAsia="en-NZ"/>
        </w:rPr>
        <w:t xml:space="preserve"> </w:t>
      </w:r>
      <w:r w:rsidRPr="00BB6220">
        <w:rPr>
          <w:rFonts w:eastAsia="Times New Roman"/>
          <w:color w:val="000000"/>
          <w:lang w:eastAsia="en-NZ"/>
        </w:rPr>
        <w:t>increase</w:t>
      </w:r>
      <w:r w:rsidR="003D640C">
        <w:rPr>
          <w:rFonts w:eastAsia="Times New Roman"/>
          <w:color w:val="000000"/>
          <w:lang w:eastAsia="en-NZ"/>
        </w:rPr>
        <w:t xml:space="preserve"> </w:t>
      </w:r>
      <w:r w:rsidRPr="00BB6220">
        <w:rPr>
          <w:rFonts w:eastAsia="Times New Roman"/>
          <w:color w:val="000000"/>
          <w:lang w:eastAsia="en-NZ"/>
        </w:rPr>
        <w:t>is</w:t>
      </w:r>
      <w:r w:rsidR="003D640C">
        <w:rPr>
          <w:rFonts w:eastAsia="Times New Roman"/>
          <w:color w:val="000000"/>
          <w:lang w:eastAsia="en-NZ"/>
        </w:rPr>
        <w:t xml:space="preserve"> </w:t>
      </w:r>
      <w:r w:rsidRPr="00BB6220">
        <w:rPr>
          <w:rFonts w:eastAsia="Times New Roman"/>
          <w:color w:val="000000"/>
          <w:lang w:eastAsia="en-NZ"/>
        </w:rPr>
        <w:t>on</w:t>
      </w:r>
      <w:r w:rsidR="003D640C">
        <w:rPr>
          <w:rFonts w:eastAsia="Times New Roman"/>
          <w:color w:val="000000"/>
          <w:lang w:eastAsia="en-NZ"/>
        </w:rPr>
        <w:t xml:space="preserve"> </w:t>
      </w:r>
      <w:r w:rsidRPr="00BB6220">
        <w:rPr>
          <w:rFonts w:eastAsia="Times New Roman"/>
          <w:color w:val="000000"/>
          <w:lang w:eastAsia="en-NZ"/>
        </w:rPr>
        <w:t>top</w:t>
      </w:r>
      <w:r w:rsidR="003D640C">
        <w:rPr>
          <w:rFonts w:eastAsia="Times New Roman"/>
          <w:color w:val="000000"/>
          <w:lang w:eastAsia="en-NZ"/>
        </w:rPr>
        <w:t xml:space="preserve"> </w:t>
      </w:r>
      <w:r w:rsidRPr="00BB6220">
        <w:rPr>
          <w:rFonts w:eastAsia="Times New Roman"/>
          <w:color w:val="000000"/>
          <w:lang w:eastAsia="en-NZ"/>
        </w:rPr>
        <w:t>of</w:t>
      </w:r>
      <w:r w:rsidR="003D640C">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already</w:t>
      </w:r>
      <w:r w:rsidR="003D640C">
        <w:rPr>
          <w:rFonts w:eastAsia="Times New Roman"/>
          <w:color w:val="000000"/>
          <w:lang w:eastAsia="en-NZ"/>
        </w:rPr>
        <w:t xml:space="preserve"> </w:t>
      </w:r>
      <w:r w:rsidRPr="00BB6220">
        <w:rPr>
          <w:rFonts w:eastAsia="Times New Roman"/>
          <w:color w:val="000000"/>
          <w:lang w:eastAsia="en-NZ"/>
        </w:rPr>
        <w:t>increased</w:t>
      </w:r>
      <w:r w:rsidR="003D640C">
        <w:rPr>
          <w:rFonts w:eastAsia="Times New Roman"/>
          <w:color w:val="000000"/>
          <w:lang w:eastAsia="en-NZ"/>
        </w:rPr>
        <w:t xml:space="preserve"> </w:t>
      </w:r>
      <w:r w:rsidRPr="00BB6220">
        <w:rPr>
          <w:rFonts w:eastAsia="Times New Roman"/>
          <w:color w:val="000000"/>
          <w:lang w:eastAsia="en-NZ"/>
        </w:rPr>
        <w:t>rates</w:t>
      </w:r>
      <w:r w:rsidR="005C0E11">
        <w:rPr>
          <w:rFonts w:eastAsia="Times New Roman"/>
          <w:color w:val="000000"/>
          <w:lang w:eastAsia="en-NZ"/>
        </w:rPr>
        <w:t xml:space="preserve"> that</w:t>
      </w:r>
      <w:r w:rsidR="003D640C">
        <w:rPr>
          <w:rFonts w:eastAsia="Times New Roman"/>
          <w:color w:val="000000"/>
          <w:lang w:eastAsia="en-NZ"/>
        </w:rPr>
        <w:t xml:space="preserve"> </w:t>
      </w:r>
      <w:r w:rsidR="00744525" w:rsidRPr="00BB6220">
        <w:rPr>
          <w:rFonts w:eastAsia="Times New Roman"/>
          <w:lang w:eastAsia="en-NZ"/>
        </w:rPr>
        <w:t>Rainbow</w:t>
      </w:r>
      <w:r w:rsidR="003D640C">
        <w:rPr>
          <w:rFonts w:eastAsia="Times New Roman"/>
          <w:lang w:eastAsia="en-NZ"/>
        </w:rPr>
        <w:t xml:space="preserve"> </w:t>
      </w:r>
      <w:r w:rsidRPr="00BB6220">
        <w:rPr>
          <w:rFonts w:eastAsia="Times New Roman"/>
          <w:color w:val="000000"/>
          <w:lang w:eastAsia="en-NZ"/>
        </w:rPr>
        <w:t>communities</w:t>
      </w:r>
      <w:r w:rsidR="003D640C">
        <w:rPr>
          <w:rFonts w:eastAsia="Times New Roman"/>
          <w:color w:val="000000"/>
          <w:lang w:eastAsia="en-NZ"/>
        </w:rPr>
        <w:t xml:space="preserve"> </w:t>
      </w:r>
      <w:r w:rsidRPr="00BB6220">
        <w:rPr>
          <w:rFonts w:eastAsia="Times New Roman"/>
          <w:color w:val="000000"/>
          <w:lang w:eastAsia="en-NZ"/>
        </w:rPr>
        <w:t>experience</w:t>
      </w:r>
      <w:r w:rsidR="003D640C">
        <w:rPr>
          <w:rFonts w:eastAsia="Times New Roman"/>
          <w:color w:val="000000"/>
          <w:lang w:eastAsia="en-NZ"/>
        </w:rPr>
        <w:t xml:space="preserve"> </w:t>
      </w:r>
      <w:r w:rsidRPr="00BB6220">
        <w:rPr>
          <w:rFonts w:eastAsia="Times New Roman"/>
          <w:color w:val="000000"/>
          <w:lang w:eastAsia="en-NZ"/>
        </w:rPr>
        <w:t>due</w:t>
      </w:r>
      <w:r w:rsidR="003D640C">
        <w:rPr>
          <w:rFonts w:eastAsia="Times New Roman"/>
          <w:color w:val="000000"/>
          <w:lang w:eastAsia="en-NZ"/>
        </w:rPr>
        <w:t xml:space="preserve"> </w:t>
      </w:r>
      <w:r w:rsidRPr="00BB6220">
        <w:rPr>
          <w:rFonts w:eastAsia="Times New Roman"/>
          <w:color w:val="000000"/>
          <w:lang w:eastAsia="en-NZ"/>
        </w:rPr>
        <w:t>to</w:t>
      </w:r>
      <w:r w:rsidR="003D640C">
        <w:rPr>
          <w:rFonts w:eastAsia="Times New Roman"/>
          <w:color w:val="000000"/>
          <w:lang w:eastAsia="en-NZ"/>
        </w:rPr>
        <w:t xml:space="preserve"> </w:t>
      </w:r>
      <w:r w:rsidRPr="00BB6220">
        <w:rPr>
          <w:rFonts w:eastAsia="Times New Roman"/>
          <w:color w:val="000000"/>
          <w:lang w:eastAsia="en-NZ"/>
        </w:rPr>
        <w:t>ongoing</w:t>
      </w:r>
      <w:r w:rsidR="003D640C">
        <w:rPr>
          <w:rFonts w:eastAsia="Times New Roman"/>
          <w:color w:val="000000"/>
          <w:lang w:eastAsia="en-NZ"/>
        </w:rPr>
        <w:t xml:space="preserve"> </w:t>
      </w:r>
      <w:r w:rsidRPr="00BB6220">
        <w:rPr>
          <w:rFonts w:eastAsia="Times New Roman"/>
          <w:color w:val="000000"/>
          <w:lang w:eastAsia="en-NZ"/>
        </w:rPr>
        <w:t>marginalisation.</w:t>
      </w:r>
      <w:r w:rsidRPr="00BB6220">
        <w:rPr>
          <w:rStyle w:val="FootnoteReference"/>
          <w:rFonts w:eastAsia="Times New Roman"/>
          <w:color w:val="000000"/>
          <w:lang w:eastAsia="en-NZ"/>
        </w:rPr>
        <w:footnoteReference w:id="129"/>
      </w:r>
    </w:p>
    <w:p w14:paraId="709E75A6" w14:textId="69B26F0C" w:rsidR="00DF7AAF" w:rsidRPr="00BB6220" w:rsidRDefault="00D527F0" w:rsidP="0068108F">
      <w:pPr>
        <w:pStyle w:val="Bullet"/>
        <w:rPr>
          <w:rFonts w:eastAsia="Times New Roman"/>
          <w:lang w:eastAsia="en-NZ"/>
        </w:rPr>
      </w:pPr>
      <w:r w:rsidRPr="00BB6220">
        <w:rPr>
          <w:rFonts w:eastAsia="Times New Roman"/>
          <w:b/>
          <w:bCs/>
          <w:color w:val="000000"/>
          <w:lang w:eastAsia="en-NZ"/>
        </w:rPr>
        <w:t>Suicidal</w:t>
      </w:r>
      <w:r w:rsidR="003D640C">
        <w:rPr>
          <w:rFonts w:eastAsia="Times New Roman"/>
          <w:b/>
          <w:bCs/>
          <w:color w:val="000000"/>
          <w:lang w:eastAsia="en-NZ"/>
        </w:rPr>
        <w:t xml:space="preserve"> </w:t>
      </w:r>
      <w:r w:rsidRPr="00BB6220">
        <w:rPr>
          <w:rFonts w:eastAsia="Times New Roman"/>
          <w:b/>
          <w:bCs/>
          <w:color w:val="000000"/>
          <w:lang w:eastAsia="en-NZ"/>
        </w:rPr>
        <w:t>thoughts</w:t>
      </w:r>
      <w:r w:rsidR="003D640C">
        <w:rPr>
          <w:rFonts w:eastAsia="Times New Roman"/>
          <w:b/>
          <w:bCs/>
          <w:color w:val="000000"/>
          <w:lang w:eastAsia="en-NZ"/>
        </w:rPr>
        <w:t xml:space="preserve"> </w:t>
      </w:r>
      <w:r w:rsidRPr="00BB6220">
        <w:rPr>
          <w:rFonts w:eastAsia="Times New Roman"/>
          <w:b/>
          <w:bCs/>
          <w:color w:val="000000"/>
          <w:lang w:eastAsia="en-NZ"/>
        </w:rPr>
        <w:t>and</w:t>
      </w:r>
      <w:r w:rsidR="003D640C">
        <w:rPr>
          <w:rFonts w:eastAsia="Times New Roman"/>
          <w:b/>
          <w:bCs/>
          <w:color w:val="000000"/>
          <w:lang w:eastAsia="en-NZ"/>
        </w:rPr>
        <w:t xml:space="preserve"> </w:t>
      </w:r>
      <w:r w:rsidRPr="00BB6220">
        <w:rPr>
          <w:rFonts w:eastAsia="Times New Roman"/>
          <w:b/>
          <w:bCs/>
          <w:color w:val="000000"/>
          <w:lang w:eastAsia="en-NZ"/>
        </w:rPr>
        <w:t>suicide</w:t>
      </w:r>
      <w:r w:rsidR="003D640C">
        <w:rPr>
          <w:rFonts w:eastAsia="Times New Roman"/>
          <w:b/>
          <w:bCs/>
          <w:color w:val="000000"/>
          <w:lang w:eastAsia="en-NZ"/>
        </w:rPr>
        <w:t xml:space="preserve"> </w:t>
      </w:r>
      <w:r w:rsidRPr="00BB6220">
        <w:rPr>
          <w:rFonts w:eastAsia="Times New Roman"/>
          <w:b/>
          <w:bCs/>
          <w:color w:val="000000"/>
          <w:lang w:eastAsia="en-NZ"/>
        </w:rPr>
        <w:t>attempts</w:t>
      </w:r>
      <w:r w:rsidR="003D640C">
        <w:rPr>
          <w:rFonts w:eastAsia="Times New Roman"/>
          <w:b/>
          <w:bCs/>
          <w:color w:val="000000"/>
          <w:lang w:eastAsia="en-NZ"/>
        </w:rPr>
        <w:t xml:space="preserve"> </w:t>
      </w:r>
      <w:r w:rsidRPr="00BB6220">
        <w:rPr>
          <w:rFonts w:eastAsia="Times New Roman"/>
          <w:b/>
          <w:bCs/>
          <w:color w:val="000000"/>
          <w:lang w:eastAsia="en-NZ"/>
        </w:rPr>
        <w:t>(suicidality):</w:t>
      </w:r>
      <w:r w:rsidR="003D640C">
        <w:rPr>
          <w:rFonts w:eastAsia="Times New Roman"/>
          <w:b/>
          <w:bCs/>
          <w:color w:val="000000"/>
          <w:lang w:eastAsia="en-NZ"/>
        </w:rPr>
        <w:t xml:space="preserve"> </w:t>
      </w:r>
      <w:r w:rsidRPr="00BB6220">
        <w:rPr>
          <w:rFonts w:eastAsia="Times New Roman"/>
          <w:color w:val="000000"/>
          <w:lang w:eastAsia="en-NZ"/>
        </w:rPr>
        <w:t>Survivors</w:t>
      </w:r>
      <w:r w:rsidR="003D640C">
        <w:rPr>
          <w:rFonts w:eastAsia="Times New Roman"/>
          <w:color w:val="000000"/>
          <w:lang w:eastAsia="en-NZ"/>
        </w:rPr>
        <w:t xml:space="preserve"> </w:t>
      </w:r>
      <w:r w:rsidRPr="00BB6220">
        <w:rPr>
          <w:rFonts w:eastAsia="Times New Roman"/>
          <w:color w:val="000000"/>
          <w:lang w:eastAsia="en-NZ"/>
        </w:rPr>
        <w:t>feel</w:t>
      </w:r>
      <w:r w:rsidR="003D640C">
        <w:rPr>
          <w:rFonts w:eastAsia="Times New Roman"/>
          <w:color w:val="000000"/>
          <w:lang w:eastAsia="en-NZ"/>
        </w:rPr>
        <w:t xml:space="preserve"> </w:t>
      </w:r>
      <w:r w:rsidRPr="00BB6220">
        <w:rPr>
          <w:rFonts w:eastAsia="Times New Roman"/>
          <w:color w:val="000000"/>
          <w:lang w:eastAsia="en-NZ"/>
        </w:rPr>
        <w:t>overwhelmed</w:t>
      </w:r>
      <w:r w:rsidR="003D640C">
        <w:rPr>
          <w:rFonts w:eastAsia="Times New Roman"/>
          <w:color w:val="000000"/>
          <w:lang w:eastAsia="en-NZ"/>
        </w:rPr>
        <w:t xml:space="preserve"> </w:t>
      </w:r>
      <w:r w:rsidRPr="00BB6220">
        <w:rPr>
          <w:rFonts w:eastAsia="Times New Roman"/>
          <w:color w:val="000000"/>
          <w:lang w:eastAsia="en-NZ"/>
        </w:rPr>
        <w:t>by</w:t>
      </w:r>
      <w:r w:rsidR="003D640C">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internal</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external</w:t>
      </w:r>
      <w:r w:rsidR="003D640C">
        <w:rPr>
          <w:rFonts w:eastAsia="Times New Roman"/>
          <w:color w:val="000000"/>
          <w:lang w:eastAsia="en-NZ"/>
        </w:rPr>
        <w:t xml:space="preserve"> </w:t>
      </w:r>
      <w:r w:rsidRPr="00BB6220">
        <w:rPr>
          <w:rFonts w:eastAsia="Times New Roman"/>
          <w:color w:val="000000"/>
          <w:lang w:eastAsia="en-NZ"/>
        </w:rPr>
        <w:t>pressures</w:t>
      </w:r>
      <w:r w:rsidR="003D640C">
        <w:rPr>
          <w:rFonts w:eastAsia="Times New Roman"/>
          <w:color w:val="000000"/>
          <w:lang w:eastAsia="en-NZ"/>
        </w:rPr>
        <w:t xml:space="preserve"> </w:t>
      </w:r>
      <w:r w:rsidRPr="00BB6220">
        <w:rPr>
          <w:rFonts w:eastAsia="Times New Roman"/>
          <w:color w:val="000000"/>
          <w:lang w:eastAsia="en-NZ"/>
        </w:rPr>
        <w:t>to</w:t>
      </w:r>
      <w:r w:rsidR="003D640C">
        <w:rPr>
          <w:rFonts w:eastAsia="Times New Roman"/>
          <w:color w:val="000000"/>
          <w:lang w:eastAsia="en-NZ"/>
        </w:rPr>
        <w:t xml:space="preserve"> </w:t>
      </w:r>
      <w:r w:rsidRPr="00BB6220">
        <w:rPr>
          <w:rFonts w:eastAsia="Times New Roman"/>
          <w:color w:val="000000"/>
          <w:lang w:eastAsia="en-NZ"/>
        </w:rPr>
        <w:t>change,</w:t>
      </w:r>
      <w:r w:rsidR="003D640C">
        <w:rPr>
          <w:rFonts w:eastAsia="Times New Roman"/>
          <w:color w:val="000000"/>
          <w:lang w:eastAsia="en-NZ"/>
        </w:rPr>
        <w:t xml:space="preserve"> </w:t>
      </w:r>
      <w:r w:rsidRPr="00BB6220">
        <w:rPr>
          <w:rFonts w:eastAsia="Times New Roman"/>
          <w:color w:val="000000"/>
          <w:lang w:eastAsia="en-NZ"/>
        </w:rPr>
        <w:t>resulting</w:t>
      </w:r>
      <w:r w:rsidR="003D640C">
        <w:rPr>
          <w:rFonts w:eastAsia="Times New Roman"/>
          <w:color w:val="000000"/>
          <w:lang w:eastAsia="en-NZ"/>
        </w:rPr>
        <w:t xml:space="preserve"> </w:t>
      </w:r>
      <w:r w:rsidRPr="00BB6220">
        <w:rPr>
          <w:rFonts w:eastAsia="Times New Roman"/>
          <w:color w:val="000000"/>
          <w:lang w:eastAsia="en-NZ"/>
        </w:rPr>
        <w:t>in</w:t>
      </w:r>
      <w:r w:rsidR="003D640C">
        <w:rPr>
          <w:rFonts w:eastAsia="Times New Roman"/>
          <w:color w:val="000000"/>
          <w:lang w:eastAsia="en-NZ"/>
        </w:rPr>
        <w:t xml:space="preserve"> </w:t>
      </w:r>
      <w:r w:rsidRPr="00BB6220">
        <w:rPr>
          <w:rFonts w:eastAsia="Times New Roman"/>
          <w:color w:val="000000"/>
          <w:lang w:eastAsia="en-NZ"/>
        </w:rPr>
        <w:t>extreme</w:t>
      </w:r>
      <w:r w:rsidR="003D640C">
        <w:rPr>
          <w:rFonts w:eastAsia="Times New Roman"/>
          <w:color w:val="000000"/>
          <w:lang w:eastAsia="en-NZ"/>
        </w:rPr>
        <w:t xml:space="preserve"> </w:t>
      </w:r>
      <w:r w:rsidRPr="00BB6220">
        <w:rPr>
          <w:rFonts w:eastAsia="Times New Roman"/>
          <w:color w:val="000000"/>
          <w:lang w:eastAsia="en-NZ"/>
        </w:rPr>
        <w:t>psychological</w:t>
      </w:r>
      <w:r w:rsidR="003D640C">
        <w:rPr>
          <w:rFonts w:eastAsia="Times New Roman"/>
          <w:color w:val="000000"/>
          <w:lang w:eastAsia="en-NZ"/>
        </w:rPr>
        <w:t xml:space="preserve"> </w:t>
      </w:r>
      <w:r w:rsidRPr="00BB6220">
        <w:rPr>
          <w:rFonts w:eastAsia="Times New Roman"/>
          <w:color w:val="000000"/>
          <w:lang w:eastAsia="en-NZ"/>
        </w:rPr>
        <w:t>pain</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desperation.</w:t>
      </w:r>
      <w:r w:rsidRPr="00BB6220" w:rsidDel="008E1CCA">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00F02363" w:rsidRPr="00BB6220">
        <w:rPr>
          <w:rFonts w:eastAsia="Times New Roman"/>
          <w:color w:val="000000"/>
          <w:lang w:eastAsia="en-NZ"/>
        </w:rPr>
        <w:t>d</w:t>
      </w:r>
      <w:r w:rsidRPr="00BB6220">
        <w:rPr>
          <w:rFonts w:eastAsia="Times New Roman"/>
          <w:color w:val="000000"/>
          <w:lang w:eastAsia="en-NZ"/>
        </w:rPr>
        <w:t>istress,</w:t>
      </w:r>
      <w:r w:rsidR="003D640C">
        <w:rPr>
          <w:rFonts w:eastAsia="Times New Roman"/>
          <w:color w:val="000000"/>
          <w:lang w:eastAsia="en-NZ"/>
        </w:rPr>
        <w:t xml:space="preserve"> </w:t>
      </w:r>
      <w:r w:rsidRPr="00BB6220">
        <w:rPr>
          <w:rFonts w:eastAsia="Times New Roman"/>
          <w:color w:val="000000"/>
          <w:lang w:eastAsia="en-NZ"/>
        </w:rPr>
        <w:t>isolation</w:t>
      </w:r>
      <w:r w:rsidR="005C0E11">
        <w:rPr>
          <w:rFonts w:eastAsia="Times New Roman"/>
          <w:color w:val="000000"/>
          <w:lang w:eastAsia="en-NZ"/>
        </w:rPr>
        <w:t>,</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internal</w:t>
      </w:r>
      <w:r w:rsidR="003D640C">
        <w:rPr>
          <w:rFonts w:eastAsia="Times New Roman"/>
          <w:color w:val="000000"/>
          <w:lang w:eastAsia="en-NZ"/>
        </w:rPr>
        <w:t xml:space="preserve"> </w:t>
      </w:r>
      <w:r w:rsidRPr="00BB6220">
        <w:rPr>
          <w:rFonts w:eastAsia="Times New Roman"/>
          <w:color w:val="000000"/>
          <w:lang w:eastAsia="en-NZ"/>
        </w:rPr>
        <w:t>conflict</w:t>
      </w:r>
      <w:r w:rsidR="003D640C">
        <w:rPr>
          <w:rFonts w:eastAsia="Times New Roman"/>
          <w:color w:val="000000"/>
          <w:lang w:eastAsia="en-NZ"/>
        </w:rPr>
        <w:t xml:space="preserve"> </w:t>
      </w:r>
      <w:r w:rsidRPr="00BB6220">
        <w:rPr>
          <w:rFonts w:eastAsia="Times New Roman"/>
          <w:color w:val="000000"/>
          <w:lang w:eastAsia="en-NZ"/>
        </w:rPr>
        <w:t>often</w:t>
      </w:r>
      <w:r w:rsidR="003D640C">
        <w:rPr>
          <w:rFonts w:eastAsia="Times New Roman"/>
          <w:color w:val="000000"/>
          <w:lang w:eastAsia="en-NZ"/>
        </w:rPr>
        <w:t xml:space="preserve"> </w:t>
      </w:r>
      <w:r w:rsidRPr="00BB6220">
        <w:rPr>
          <w:rFonts w:eastAsia="Times New Roman"/>
          <w:color w:val="000000"/>
          <w:lang w:eastAsia="en-NZ"/>
        </w:rPr>
        <w:t>lead</w:t>
      </w:r>
      <w:r w:rsidR="003D640C">
        <w:rPr>
          <w:rFonts w:eastAsia="Times New Roman"/>
          <w:color w:val="000000"/>
          <w:lang w:eastAsia="en-NZ"/>
        </w:rPr>
        <w:t xml:space="preserve"> </w:t>
      </w:r>
      <w:r w:rsidRPr="00BB6220">
        <w:rPr>
          <w:rFonts w:eastAsia="Times New Roman"/>
          <w:color w:val="000000"/>
          <w:lang w:eastAsia="en-NZ"/>
        </w:rPr>
        <w:t>to</w:t>
      </w:r>
      <w:r w:rsidR="003D640C">
        <w:rPr>
          <w:rFonts w:eastAsia="Times New Roman"/>
          <w:color w:val="000000"/>
          <w:lang w:eastAsia="en-NZ"/>
        </w:rPr>
        <w:t xml:space="preserve"> </w:t>
      </w:r>
      <w:r w:rsidRPr="00BB6220">
        <w:rPr>
          <w:rFonts w:eastAsia="Times New Roman"/>
          <w:color w:val="000000"/>
          <w:lang w:eastAsia="en-NZ"/>
        </w:rPr>
        <w:t>feelings</w:t>
      </w:r>
      <w:r w:rsidR="003D640C">
        <w:rPr>
          <w:rFonts w:eastAsia="Times New Roman"/>
          <w:color w:val="000000"/>
          <w:lang w:eastAsia="en-NZ"/>
        </w:rPr>
        <w:t xml:space="preserve"> </w:t>
      </w:r>
      <w:r w:rsidRPr="00BB6220">
        <w:rPr>
          <w:rFonts w:eastAsia="Times New Roman"/>
          <w:color w:val="000000"/>
          <w:lang w:eastAsia="en-NZ"/>
        </w:rPr>
        <w:t>of</w:t>
      </w:r>
      <w:r w:rsidR="003D640C">
        <w:rPr>
          <w:rFonts w:eastAsia="Times New Roman"/>
          <w:color w:val="000000"/>
          <w:lang w:eastAsia="en-NZ"/>
        </w:rPr>
        <w:t xml:space="preserve"> </w:t>
      </w:r>
      <w:r w:rsidRPr="00BB6220">
        <w:rPr>
          <w:rFonts w:eastAsia="Times New Roman"/>
          <w:color w:val="000000"/>
          <w:lang w:eastAsia="en-NZ"/>
        </w:rPr>
        <w:t>hopelessness,</w:t>
      </w:r>
      <w:r w:rsidR="003D640C">
        <w:rPr>
          <w:rFonts w:eastAsia="Times New Roman"/>
          <w:color w:val="000000"/>
          <w:lang w:eastAsia="en-NZ"/>
        </w:rPr>
        <w:t xml:space="preserve"> </w:t>
      </w:r>
      <w:r w:rsidRPr="00BB6220">
        <w:rPr>
          <w:rFonts w:eastAsia="Times New Roman"/>
          <w:color w:val="000000"/>
          <w:lang w:eastAsia="en-NZ"/>
        </w:rPr>
        <w:t>suicidal</w:t>
      </w:r>
      <w:r w:rsidR="003D640C">
        <w:rPr>
          <w:rFonts w:eastAsia="Times New Roman"/>
          <w:color w:val="000000"/>
          <w:lang w:eastAsia="en-NZ"/>
        </w:rPr>
        <w:t xml:space="preserve"> </w:t>
      </w:r>
      <w:r w:rsidRPr="00BB6220">
        <w:rPr>
          <w:rFonts w:eastAsia="Times New Roman"/>
          <w:color w:val="000000"/>
          <w:lang w:eastAsia="en-NZ"/>
        </w:rPr>
        <w:t>thoughts,</w:t>
      </w:r>
      <w:r w:rsidR="003D640C">
        <w:rPr>
          <w:rFonts w:eastAsia="Times New Roman"/>
          <w:color w:val="000000"/>
          <w:lang w:eastAsia="en-NZ"/>
        </w:rPr>
        <w:t xml:space="preserve"> </w:t>
      </w:r>
      <w:r w:rsidRPr="00BB6220">
        <w:rPr>
          <w:rFonts w:eastAsia="Times New Roman"/>
          <w:color w:val="000000"/>
          <w:lang w:eastAsia="en-NZ"/>
        </w:rPr>
        <w:t>suicide</w:t>
      </w:r>
      <w:r w:rsidR="003D640C">
        <w:rPr>
          <w:rFonts w:eastAsia="Times New Roman"/>
          <w:color w:val="000000"/>
          <w:lang w:eastAsia="en-NZ"/>
        </w:rPr>
        <w:t xml:space="preserve"> </w:t>
      </w:r>
      <w:r w:rsidRPr="00BB6220">
        <w:rPr>
          <w:rFonts w:eastAsia="Times New Roman"/>
          <w:color w:val="000000"/>
          <w:lang w:eastAsia="en-NZ"/>
        </w:rPr>
        <w:t>planning</w:t>
      </w:r>
      <w:r w:rsidR="005C0E11">
        <w:rPr>
          <w:rFonts w:eastAsia="Times New Roman"/>
          <w:color w:val="000000"/>
          <w:lang w:eastAsia="en-NZ"/>
        </w:rPr>
        <w:t>,</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suicide</w:t>
      </w:r>
      <w:r w:rsidR="003D640C">
        <w:rPr>
          <w:rFonts w:eastAsia="Times New Roman"/>
          <w:color w:val="000000"/>
          <w:lang w:eastAsia="en-NZ"/>
        </w:rPr>
        <w:t xml:space="preserve"> </w:t>
      </w:r>
      <w:r w:rsidRPr="00BB6220">
        <w:rPr>
          <w:rFonts w:eastAsia="Times New Roman"/>
          <w:color w:val="000000"/>
          <w:lang w:eastAsia="en-NZ"/>
        </w:rPr>
        <w:t>attempts.</w:t>
      </w:r>
      <w:r w:rsidRPr="00BB6220">
        <w:rPr>
          <w:rStyle w:val="FootnoteReference"/>
          <w:rFonts w:eastAsia="Times New Roman"/>
          <w:color w:val="000000"/>
          <w:lang w:eastAsia="en-NZ"/>
        </w:rPr>
        <w:footnoteReference w:id="130"/>
      </w:r>
    </w:p>
    <w:p w14:paraId="7DB1CA1C" w14:textId="3815874A" w:rsidR="00D527F0" w:rsidRPr="00BB6220" w:rsidRDefault="00D527F0" w:rsidP="0068108F">
      <w:pPr>
        <w:pStyle w:val="Bullet"/>
        <w:rPr>
          <w:rFonts w:eastAsia="Times New Roman"/>
          <w:color w:val="000000"/>
          <w:lang w:eastAsia="en-NZ"/>
        </w:rPr>
      </w:pPr>
      <w:r w:rsidRPr="00BB6220">
        <w:rPr>
          <w:rFonts w:eastAsia="Times New Roman"/>
          <w:b/>
          <w:color w:val="000000"/>
          <w:lang w:eastAsia="en-NZ"/>
        </w:rPr>
        <w:t>Trauma</w:t>
      </w:r>
      <w:r w:rsidR="003D640C">
        <w:rPr>
          <w:rFonts w:eastAsia="Times New Roman"/>
          <w:b/>
          <w:color w:val="000000"/>
          <w:lang w:eastAsia="en-NZ"/>
        </w:rPr>
        <w:t xml:space="preserve"> </w:t>
      </w:r>
      <w:r w:rsidRPr="00BB6220">
        <w:rPr>
          <w:rFonts w:eastAsia="Times New Roman"/>
          <w:b/>
          <w:color w:val="000000"/>
          <w:lang w:eastAsia="en-NZ"/>
        </w:rPr>
        <w:t>and</w:t>
      </w:r>
      <w:r w:rsidR="003D640C">
        <w:rPr>
          <w:rFonts w:eastAsia="Times New Roman"/>
          <w:b/>
          <w:color w:val="000000"/>
          <w:lang w:eastAsia="en-NZ"/>
        </w:rPr>
        <w:t xml:space="preserve"> </w:t>
      </w:r>
      <w:r w:rsidR="005C0E11">
        <w:rPr>
          <w:rFonts w:eastAsia="Times New Roman"/>
          <w:b/>
          <w:color w:val="000000"/>
          <w:lang w:eastAsia="en-NZ"/>
        </w:rPr>
        <w:t>p</w:t>
      </w:r>
      <w:r w:rsidRPr="00BB6220">
        <w:rPr>
          <w:rFonts w:eastAsia="Times New Roman"/>
          <w:b/>
          <w:color w:val="000000"/>
          <w:lang w:eastAsia="en-NZ"/>
        </w:rPr>
        <w:t>ost</w:t>
      </w:r>
      <w:r w:rsidR="005C0E11">
        <w:rPr>
          <w:rFonts w:eastAsia="Times New Roman"/>
          <w:b/>
          <w:color w:val="000000"/>
          <w:lang w:eastAsia="en-NZ"/>
        </w:rPr>
        <w:t>-t</w:t>
      </w:r>
      <w:r w:rsidRPr="00BB6220">
        <w:rPr>
          <w:rFonts w:eastAsia="Times New Roman"/>
          <w:b/>
          <w:color w:val="000000"/>
          <w:lang w:eastAsia="en-NZ"/>
        </w:rPr>
        <w:t>raumatic</w:t>
      </w:r>
      <w:r w:rsidR="003D640C">
        <w:rPr>
          <w:rFonts w:eastAsia="Times New Roman"/>
          <w:b/>
          <w:color w:val="000000"/>
          <w:lang w:eastAsia="en-NZ"/>
        </w:rPr>
        <w:t xml:space="preserve"> </w:t>
      </w:r>
      <w:r w:rsidR="005C0E11">
        <w:rPr>
          <w:rFonts w:eastAsia="Times New Roman"/>
          <w:b/>
          <w:color w:val="000000"/>
          <w:lang w:eastAsia="en-NZ"/>
        </w:rPr>
        <w:t>s</w:t>
      </w:r>
      <w:r w:rsidRPr="00BB6220">
        <w:rPr>
          <w:rFonts w:eastAsia="Times New Roman"/>
          <w:b/>
          <w:color w:val="000000"/>
          <w:lang w:eastAsia="en-NZ"/>
        </w:rPr>
        <w:t>tress</w:t>
      </w:r>
      <w:r w:rsidR="003D640C">
        <w:rPr>
          <w:rFonts w:eastAsia="Times New Roman"/>
          <w:b/>
          <w:color w:val="000000"/>
          <w:lang w:eastAsia="en-NZ"/>
        </w:rPr>
        <w:t xml:space="preserve"> </w:t>
      </w:r>
      <w:r w:rsidR="005C0E11">
        <w:rPr>
          <w:rFonts w:eastAsia="Times New Roman"/>
          <w:b/>
          <w:color w:val="000000"/>
          <w:lang w:eastAsia="en-NZ"/>
        </w:rPr>
        <w:t>d</w:t>
      </w:r>
      <w:r w:rsidRPr="00BB6220">
        <w:rPr>
          <w:rFonts w:eastAsia="Times New Roman"/>
          <w:b/>
          <w:color w:val="000000"/>
          <w:lang w:eastAsia="en-NZ"/>
        </w:rPr>
        <w:t>isorder</w:t>
      </w:r>
      <w:r w:rsidR="003D640C">
        <w:rPr>
          <w:rFonts w:eastAsia="Times New Roman"/>
          <w:b/>
          <w:color w:val="000000"/>
          <w:lang w:eastAsia="en-NZ"/>
        </w:rPr>
        <w:t xml:space="preserve"> </w:t>
      </w:r>
      <w:r w:rsidRPr="00BB6220">
        <w:rPr>
          <w:rFonts w:eastAsia="Times New Roman"/>
          <w:b/>
          <w:color w:val="000000"/>
          <w:lang w:eastAsia="en-NZ"/>
        </w:rPr>
        <w:t>(PTSD)</w:t>
      </w:r>
      <w:r w:rsidRPr="00BB6220">
        <w:rPr>
          <w:rFonts w:eastAsia="Times New Roman"/>
          <w:color w:val="000000"/>
          <w:lang w:eastAsia="en-NZ"/>
        </w:rPr>
        <w:t>:</w:t>
      </w:r>
      <w:r w:rsidR="003D640C">
        <w:rPr>
          <w:rFonts w:eastAsia="Times New Roman"/>
          <w:color w:val="000000"/>
          <w:lang w:eastAsia="en-NZ"/>
        </w:rPr>
        <w:t xml:space="preserve"> </w:t>
      </w:r>
      <w:r w:rsidRPr="00BB6220">
        <w:rPr>
          <w:rFonts w:eastAsia="Times New Roman"/>
          <w:color w:val="000000"/>
          <w:lang w:eastAsia="en-NZ"/>
        </w:rPr>
        <w:t>Conversion</w:t>
      </w:r>
      <w:r w:rsidR="003D640C">
        <w:rPr>
          <w:rFonts w:eastAsia="Times New Roman"/>
          <w:color w:val="000000"/>
          <w:lang w:eastAsia="en-NZ"/>
        </w:rPr>
        <w:t xml:space="preserve"> </w:t>
      </w:r>
      <w:r w:rsidRPr="00BB6220">
        <w:rPr>
          <w:rFonts w:eastAsia="Times New Roman"/>
          <w:color w:val="000000"/>
          <w:lang w:eastAsia="en-NZ"/>
        </w:rPr>
        <w:t>practices</w:t>
      </w:r>
      <w:r w:rsidR="003D640C">
        <w:rPr>
          <w:rFonts w:eastAsia="Times New Roman"/>
          <w:color w:val="000000"/>
          <w:lang w:eastAsia="en-NZ"/>
        </w:rPr>
        <w:t xml:space="preserve"> </w:t>
      </w:r>
      <w:r w:rsidRPr="00BB6220">
        <w:rPr>
          <w:rFonts w:eastAsia="Times New Roman"/>
          <w:color w:val="000000"/>
          <w:lang w:eastAsia="en-NZ"/>
        </w:rPr>
        <w:t>are</w:t>
      </w:r>
      <w:r w:rsidR="003D640C">
        <w:rPr>
          <w:rFonts w:eastAsia="Times New Roman"/>
          <w:color w:val="000000"/>
          <w:lang w:eastAsia="en-NZ"/>
        </w:rPr>
        <w:t xml:space="preserve"> </w:t>
      </w:r>
      <w:r w:rsidRPr="00BB6220">
        <w:rPr>
          <w:rFonts w:eastAsia="Times New Roman"/>
          <w:color w:val="000000"/>
          <w:lang w:eastAsia="en-NZ"/>
        </w:rPr>
        <w:t>traumatic.</w:t>
      </w:r>
      <w:r w:rsidRPr="00BB6220" w:rsidDel="008E1CCA">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coercive</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abusive</w:t>
      </w:r>
      <w:r w:rsidR="003D640C">
        <w:rPr>
          <w:rFonts w:eastAsia="Times New Roman"/>
          <w:color w:val="000000"/>
          <w:lang w:eastAsia="en-NZ"/>
        </w:rPr>
        <w:t xml:space="preserve"> </w:t>
      </w:r>
      <w:r w:rsidRPr="00BB6220">
        <w:rPr>
          <w:rFonts w:eastAsia="Times New Roman"/>
          <w:color w:val="000000"/>
          <w:lang w:eastAsia="en-NZ"/>
        </w:rPr>
        <w:t>nature</w:t>
      </w:r>
      <w:r w:rsidR="003D640C">
        <w:rPr>
          <w:rFonts w:eastAsia="Times New Roman"/>
          <w:color w:val="000000"/>
          <w:lang w:eastAsia="en-NZ"/>
        </w:rPr>
        <w:t xml:space="preserve"> </w:t>
      </w:r>
      <w:r w:rsidRPr="00BB6220">
        <w:rPr>
          <w:rFonts w:eastAsia="Times New Roman"/>
          <w:color w:val="000000"/>
          <w:lang w:eastAsia="en-NZ"/>
        </w:rPr>
        <w:t>of</w:t>
      </w:r>
      <w:r w:rsidR="003D640C">
        <w:rPr>
          <w:rFonts w:eastAsia="Times New Roman"/>
          <w:color w:val="000000"/>
          <w:lang w:eastAsia="en-NZ"/>
        </w:rPr>
        <w:t xml:space="preserve"> </w:t>
      </w:r>
      <w:r w:rsidRPr="00BB6220">
        <w:rPr>
          <w:rFonts w:eastAsia="Times New Roman"/>
          <w:color w:val="000000"/>
          <w:lang w:eastAsia="en-NZ"/>
        </w:rPr>
        <w:t>them,</w:t>
      </w:r>
      <w:r w:rsidR="003D640C">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harm</w:t>
      </w:r>
      <w:r w:rsidR="003D640C">
        <w:rPr>
          <w:rFonts w:eastAsia="Times New Roman"/>
          <w:color w:val="000000"/>
          <w:lang w:eastAsia="en-NZ"/>
        </w:rPr>
        <w:t xml:space="preserve"> </w:t>
      </w:r>
      <w:r w:rsidRPr="00BB6220">
        <w:rPr>
          <w:rFonts w:eastAsia="Times New Roman"/>
          <w:color w:val="000000"/>
          <w:lang w:eastAsia="en-NZ"/>
        </w:rPr>
        <w:t>to</w:t>
      </w:r>
      <w:r w:rsidR="003D640C">
        <w:rPr>
          <w:rFonts w:eastAsia="Times New Roman"/>
          <w:color w:val="000000"/>
          <w:lang w:eastAsia="en-NZ"/>
        </w:rPr>
        <w:t xml:space="preserve"> </w:t>
      </w:r>
      <w:r w:rsidRPr="00BB6220">
        <w:rPr>
          <w:rFonts w:eastAsia="Times New Roman"/>
          <w:color w:val="000000"/>
          <w:lang w:eastAsia="en-NZ"/>
        </w:rPr>
        <w:t>self</w:t>
      </w:r>
      <w:r w:rsidR="4F00CA0B" w:rsidRPr="00BB6220">
        <w:rPr>
          <w:rFonts w:eastAsia="Times New Roman"/>
          <w:color w:val="000000"/>
          <w:lang w:eastAsia="en-NZ"/>
        </w:rPr>
        <w:t>,</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intensity</w:t>
      </w:r>
      <w:r w:rsidR="003D640C">
        <w:rPr>
          <w:rFonts w:eastAsia="Times New Roman"/>
          <w:color w:val="000000"/>
          <w:lang w:eastAsia="en-NZ"/>
        </w:rPr>
        <w:t xml:space="preserve"> </w:t>
      </w:r>
      <w:r w:rsidRPr="00BB6220">
        <w:rPr>
          <w:rFonts w:eastAsia="Times New Roman"/>
          <w:color w:val="000000"/>
          <w:lang w:eastAsia="en-NZ"/>
        </w:rPr>
        <w:t>of</w:t>
      </w:r>
      <w:r w:rsidR="003D640C">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emotional</w:t>
      </w:r>
      <w:r w:rsidR="003D640C">
        <w:rPr>
          <w:rFonts w:eastAsia="Times New Roman"/>
          <w:color w:val="000000"/>
          <w:lang w:eastAsia="en-NZ"/>
        </w:rPr>
        <w:t xml:space="preserve"> </w:t>
      </w:r>
      <w:r w:rsidRPr="00BB6220">
        <w:rPr>
          <w:rFonts w:eastAsia="Times New Roman"/>
          <w:color w:val="000000"/>
          <w:lang w:eastAsia="en-NZ"/>
        </w:rPr>
        <w:t>stress</w:t>
      </w:r>
      <w:r w:rsidR="003D640C">
        <w:rPr>
          <w:rFonts w:eastAsia="Times New Roman"/>
          <w:color w:val="000000"/>
          <w:lang w:eastAsia="en-NZ"/>
        </w:rPr>
        <w:t xml:space="preserve"> </w:t>
      </w:r>
      <w:r w:rsidRPr="00BB6220">
        <w:rPr>
          <w:rFonts w:eastAsia="Times New Roman"/>
          <w:color w:val="000000"/>
          <w:lang w:eastAsia="en-NZ"/>
        </w:rPr>
        <w:t>constitute</w:t>
      </w:r>
      <w:r w:rsidR="003D640C">
        <w:rPr>
          <w:rFonts w:eastAsia="Times New Roman"/>
          <w:color w:val="000000"/>
          <w:lang w:eastAsia="en-NZ"/>
        </w:rPr>
        <w:t xml:space="preserve"> </w:t>
      </w:r>
      <w:r w:rsidRPr="00BB6220">
        <w:rPr>
          <w:rFonts w:eastAsia="Times New Roman"/>
          <w:color w:val="000000"/>
          <w:lang w:eastAsia="en-NZ"/>
        </w:rPr>
        <w:t>psychological</w:t>
      </w:r>
      <w:r w:rsidR="003D640C">
        <w:rPr>
          <w:rFonts w:eastAsia="Times New Roman"/>
          <w:color w:val="000000"/>
          <w:lang w:eastAsia="en-NZ"/>
        </w:rPr>
        <w:t xml:space="preserve"> </w:t>
      </w:r>
      <w:r w:rsidRPr="00BB6220">
        <w:rPr>
          <w:rFonts w:eastAsia="Times New Roman"/>
          <w:color w:val="000000"/>
          <w:lang w:eastAsia="en-NZ"/>
        </w:rPr>
        <w:t>trauma.</w:t>
      </w:r>
      <w:r w:rsidR="003D640C">
        <w:rPr>
          <w:rFonts w:eastAsia="Times New Roman"/>
          <w:color w:val="000000"/>
          <w:lang w:eastAsia="en-NZ"/>
        </w:rPr>
        <w:t xml:space="preserve"> </w:t>
      </w:r>
      <w:r w:rsidRPr="00BB6220">
        <w:rPr>
          <w:rFonts w:eastAsia="Times New Roman"/>
          <w:color w:val="000000"/>
          <w:lang w:eastAsia="en-NZ"/>
        </w:rPr>
        <w:t>Some</w:t>
      </w:r>
      <w:r w:rsidR="003D640C">
        <w:rPr>
          <w:rFonts w:eastAsia="Times New Roman"/>
          <w:color w:val="000000"/>
          <w:lang w:eastAsia="en-NZ"/>
        </w:rPr>
        <w:t xml:space="preserve"> </w:t>
      </w:r>
      <w:r w:rsidRPr="00BB6220">
        <w:rPr>
          <w:rFonts w:eastAsia="Times New Roman"/>
          <w:color w:val="000000"/>
          <w:lang w:eastAsia="en-NZ"/>
        </w:rPr>
        <w:t>practices</w:t>
      </w:r>
      <w:r w:rsidR="003D640C">
        <w:rPr>
          <w:rFonts w:eastAsia="Times New Roman"/>
          <w:color w:val="000000"/>
          <w:lang w:eastAsia="en-NZ"/>
        </w:rPr>
        <w:t xml:space="preserve"> </w:t>
      </w:r>
      <w:r w:rsidRPr="00BB6220">
        <w:rPr>
          <w:rFonts w:eastAsia="Times New Roman"/>
          <w:color w:val="000000"/>
          <w:lang w:eastAsia="en-NZ"/>
        </w:rPr>
        <w:t>also</w:t>
      </w:r>
      <w:r w:rsidR="003D640C">
        <w:rPr>
          <w:rFonts w:eastAsia="Times New Roman"/>
          <w:color w:val="000000"/>
          <w:lang w:eastAsia="en-NZ"/>
        </w:rPr>
        <w:t xml:space="preserve"> </w:t>
      </w:r>
      <w:r w:rsidRPr="00BB6220">
        <w:rPr>
          <w:rFonts w:eastAsia="Times New Roman"/>
          <w:color w:val="000000"/>
          <w:lang w:eastAsia="en-NZ"/>
        </w:rPr>
        <w:t>include</w:t>
      </w:r>
      <w:r w:rsidR="003D640C">
        <w:rPr>
          <w:rFonts w:eastAsia="Times New Roman"/>
          <w:color w:val="000000"/>
          <w:lang w:eastAsia="en-NZ"/>
        </w:rPr>
        <w:t xml:space="preserve"> </w:t>
      </w:r>
      <w:r w:rsidRPr="00BB6220">
        <w:rPr>
          <w:rFonts w:eastAsia="Times New Roman"/>
          <w:color w:val="000000"/>
          <w:lang w:eastAsia="en-NZ"/>
        </w:rPr>
        <w:t>physical</w:t>
      </w:r>
      <w:r w:rsidR="003D640C">
        <w:rPr>
          <w:rFonts w:eastAsia="Times New Roman"/>
          <w:color w:val="000000"/>
          <w:lang w:eastAsia="en-NZ"/>
        </w:rPr>
        <w:t xml:space="preserve"> </w:t>
      </w:r>
      <w:r w:rsidRPr="00BB6220">
        <w:rPr>
          <w:rFonts w:eastAsia="Times New Roman"/>
          <w:color w:val="000000"/>
          <w:lang w:eastAsia="en-NZ"/>
        </w:rPr>
        <w:t>trauma.</w:t>
      </w:r>
      <w:r w:rsidR="003D640C">
        <w:rPr>
          <w:rFonts w:eastAsia="Times New Roman"/>
          <w:color w:val="000000"/>
          <w:lang w:eastAsia="en-NZ"/>
        </w:rPr>
        <w:t xml:space="preserve"> </w:t>
      </w:r>
      <w:r w:rsidRPr="00BB6220">
        <w:rPr>
          <w:rFonts w:eastAsia="Times New Roman"/>
          <w:color w:val="000000"/>
          <w:lang w:eastAsia="en-NZ"/>
        </w:rPr>
        <w:t>The</w:t>
      </w:r>
      <w:r w:rsidR="003D640C">
        <w:rPr>
          <w:rFonts w:eastAsia="Times New Roman"/>
          <w:color w:val="000000"/>
          <w:lang w:eastAsia="en-NZ"/>
        </w:rPr>
        <w:t xml:space="preserve"> </w:t>
      </w:r>
      <w:r w:rsidRPr="00BB6220">
        <w:rPr>
          <w:rFonts w:eastAsia="Times New Roman"/>
          <w:color w:val="000000"/>
          <w:lang w:eastAsia="en-NZ"/>
        </w:rPr>
        <w:t>effects</w:t>
      </w:r>
      <w:r w:rsidR="003D640C">
        <w:rPr>
          <w:rFonts w:eastAsia="Times New Roman"/>
          <w:color w:val="000000"/>
          <w:lang w:eastAsia="en-NZ"/>
        </w:rPr>
        <w:t xml:space="preserve"> </w:t>
      </w:r>
      <w:r w:rsidRPr="00BB6220">
        <w:rPr>
          <w:rFonts w:eastAsia="Times New Roman"/>
          <w:color w:val="000000"/>
          <w:lang w:eastAsia="en-NZ"/>
        </w:rPr>
        <w:t>are</w:t>
      </w:r>
      <w:r w:rsidR="003D640C">
        <w:rPr>
          <w:rFonts w:eastAsia="Times New Roman"/>
          <w:color w:val="000000"/>
          <w:lang w:eastAsia="en-NZ"/>
        </w:rPr>
        <w:t xml:space="preserve"> </w:t>
      </w:r>
      <w:r w:rsidRPr="00BB6220">
        <w:rPr>
          <w:rFonts w:eastAsia="Times New Roman"/>
          <w:color w:val="000000"/>
          <w:lang w:eastAsia="en-NZ"/>
        </w:rPr>
        <w:t>long-lasting</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often</w:t>
      </w:r>
      <w:r w:rsidR="003D640C">
        <w:rPr>
          <w:rFonts w:eastAsia="Times New Roman"/>
          <w:color w:val="000000"/>
          <w:lang w:eastAsia="en-NZ"/>
        </w:rPr>
        <w:t xml:space="preserve"> </w:t>
      </w:r>
      <w:r w:rsidRPr="00BB6220">
        <w:rPr>
          <w:rFonts w:eastAsia="Times New Roman"/>
          <w:color w:val="000000"/>
          <w:lang w:eastAsia="en-NZ"/>
        </w:rPr>
        <w:t>result</w:t>
      </w:r>
      <w:r w:rsidR="003D640C">
        <w:rPr>
          <w:rFonts w:eastAsia="Times New Roman"/>
          <w:color w:val="000000"/>
          <w:lang w:eastAsia="en-NZ"/>
        </w:rPr>
        <w:t xml:space="preserve"> </w:t>
      </w:r>
      <w:r w:rsidRPr="00BB6220">
        <w:rPr>
          <w:rFonts w:eastAsia="Times New Roman"/>
          <w:color w:val="000000"/>
          <w:lang w:eastAsia="en-NZ"/>
        </w:rPr>
        <w:t>in</w:t>
      </w:r>
      <w:r w:rsidR="003D640C">
        <w:rPr>
          <w:rFonts w:eastAsia="Times New Roman"/>
          <w:color w:val="000000"/>
          <w:lang w:eastAsia="en-NZ"/>
        </w:rPr>
        <w:t xml:space="preserve"> </w:t>
      </w:r>
      <w:r w:rsidR="00090982" w:rsidRPr="00BB6220">
        <w:rPr>
          <w:rFonts w:eastAsia="Times New Roman"/>
          <w:color w:val="000000"/>
          <w:lang w:eastAsia="en-NZ"/>
        </w:rPr>
        <w:t>PTSD</w:t>
      </w:r>
      <w:r w:rsidR="003D640C">
        <w:rPr>
          <w:rFonts w:eastAsia="Times New Roman"/>
          <w:color w:val="000000"/>
          <w:lang w:eastAsia="en-NZ"/>
        </w:rPr>
        <w:t xml:space="preserve"> </w:t>
      </w:r>
      <w:r w:rsidRPr="00BB6220">
        <w:rPr>
          <w:rFonts w:eastAsia="Times New Roman"/>
          <w:color w:val="000000"/>
          <w:lang w:eastAsia="en-NZ"/>
        </w:rPr>
        <w:t>manifesting</w:t>
      </w:r>
      <w:r w:rsidR="003D640C">
        <w:rPr>
          <w:rFonts w:eastAsia="Times New Roman"/>
          <w:color w:val="000000"/>
          <w:lang w:eastAsia="en-NZ"/>
        </w:rPr>
        <w:t xml:space="preserve"> </w:t>
      </w:r>
      <w:r w:rsidRPr="00BB6220">
        <w:rPr>
          <w:rFonts w:eastAsia="Times New Roman"/>
          <w:color w:val="000000"/>
          <w:lang w:eastAsia="en-NZ"/>
        </w:rPr>
        <w:t>as</w:t>
      </w:r>
      <w:r w:rsidR="003D640C">
        <w:rPr>
          <w:rFonts w:eastAsia="Times New Roman"/>
          <w:color w:val="000000"/>
          <w:lang w:eastAsia="en-NZ"/>
        </w:rPr>
        <w:t xml:space="preserve"> </w:t>
      </w:r>
      <w:r w:rsidRPr="00BB6220">
        <w:rPr>
          <w:rFonts w:eastAsia="Times New Roman"/>
          <w:color w:val="000000"/>
          <w:lang w:eastAsia="en-NZ"/>
        </w:rPr>
        <w:t>recurring</w:t>
      </w:r>
      <w:r w:rsidR="003D640C">
        <w:rPr>
          <w:rFonts w:eastAsia="Times New Roman"/>
          <w:color w:val="000000"/>
          <w:lang w:eastAsia="en-NZ"/>
        </w:rPr>
        <w:t xml:space="preserve"> </w:t>
      </w:r>
      <w:r w:rsidRPr="00BB6220">
        <w:rPr>
          <w:rFonts w:eastAsia="Times New Roman"/>
          <w:color w:val="000000"/>
          <w:lang w:eastAsia="en-NZ"/>
        </w:rPr>
        <w:t>intrusive</w:t>
      </w:r>
      <w:r w:rsidR="003D640C">
        <w:rPr>
          <w:rFonts w:eastAsia="Times New Roman"/>
          <w:color w:val="000000"/>
          <w:lang w:eastAsia="en-NZ"/>
        </w:rPr>
        <w:t xml:space="preserve"> </w:t>
      </w:r>
      <w:r w:rsidRPr="00BB6220">
        <w:rPr>
          <w:rFonts w:eastAsia="Times New Roman"/>
          <w:color w:val="000000"/>
          <w:lang w:eastAsia="en-NZ"/>
        </w:rPr>
        <w:t>thoughts,</w:t>
      </w:r>
      <w:r w:rsidR="003D640C">
        <w:rPr>
          <w:rFonts w:eastAsia="Times New Roman"/>
          <w:color w:val="000000"/>
          <w:lang w:eastAsia="en-NZ"/>
        </w:rPr>
        <w:t xml:space="preserve"> </w:t>
      </w:r>
      <w:r w:rsidRPr="00BB6220">
        <w:rPr>
          <w:rFonts w:eastAsia="Times New Roman"/>
          <w:color w:val="000000"/>
          <w:lang w:eastAsia="en-NZ"/>
        </w:rPr>
        <w:t>nightmares,</w:t>
      </w:r>
      <w:r w:rsidR="003D640C">
        <w:rPr>
          <w:rFonts w:eastAsia="Times New Roman"/>
          <w:color w:val="000000"/>
          <w:lang w:eastAsia="en-NZ"/>
        </w:rPr>
        <w:t xml:space="preserve"> </w:t>
      </w:r>
      <w:r w:rsidRPr="00BB6220">
        <w:rPr>
          <w:rFonts w:eastAsia="Times New Roman"/>
          <w:color w:val="000000"/>
          <w:lang w:eastAsia="en-NZ"/>
        </w:rPr>
        <w:t>flashbacks,</w:t>
      </w:r>
      <w:r w:rsidR="003D640C">
        <w:rPr>
          <w:rFonts w:eastAsia="Times New Roman"/>
          <w:color w:val="000000"/>
          <w:lang w:eastAsia="en-NZ"/>
        </w:rPr>
        <w:t xml:space="preserve"> </w:t>
      </w:r>
      <w:r w:rsidRPr="00BB6220">
        <w:rPr>
          <w:rFonts w:eastAsia="Times New Roman"/>
          <w:color w:val="000000"/>
          <w:lang w:eastAsia="en-NZ"/>
        </w:rPr>
        <w:t>hypervigilance,</w:t>
      </w:r>
      <w:r w:rsidR="003D640C">
        <w:rPr>
          <w:rFonts w:eastAsia="Times New Roman"/>
          <w:color w:val="000000"/>
          <w:lang w:eastAsia="en-NZ"/>
        </w:rPr>
        <w:t xml:space="preserve"> </w:t>
      </w:r>
      <w:r w:rsidRPr="00BB6220">
        <w:rPr>
          <w:rFonts w:eastAsia="Times New Roman"/>
          <w:color w:val="000000"/>
          <w:lang w:eastAsia="en-NZ"/>
        </w:rPr>
        <w:t>avoidance,</w:t>
      </w:r>
      <w:r w:rsidR="003D640C">
        <w:rPr>
          <w:rFonts w:eastAsia="Times New Roman"/>
          <w:color w:val="000000"/>
          <w:lang w:eastAsia="en-NZ"/>
        </w:rPr>
        <w:t xml:space="preserve"> </w:t>
      </w:r>
      <w:r w:rsidRPr="00BB6220">
        <w:rPr>
          <w:rFonts w:eastAsia="Times New Roman"/>
          <w:color w:val="000000"/>
          <w:lang w:eastAsia="en-NZ"/>
        </w:rPr>
        <w:t>memory</w:t>
      </w:r>
      <w:r w:rsidR="003D640C">
        <w:rPr>
          <w:rFonts w:eastAsia="Times New Roman"/>
          <w:color w:val="000000"/>
          <w:lang w:eastAsia="en-NZ"/>
        </w:rPr>
        <w:t xml:space="preserve"> </w:t>
      </w:r>
      <w:r w:rsidRPr="00BB6220">
        <w:rPr>
          <w:rFonts w:eastAsia="Times New Roman"/>
          <w:color w:val="000000"/>
          <w:lang w:eastAsia="en-NZ"/>
        </w:rPr>
        <w:t>problems,</w:t>
      </w:r>
      <w:r w:rsidR="003D640C">
        <w:rPr>
          <w:rFonts w:eastAsia="Times New Roman"/>
          <w:color w:val="000000"/>
          <w:lang w:eastAsia="en-NZ"/>
        </w:rPr>
        <w:t xml:space="preserve"> </w:t>
      </w:r>
      <w:r w:rsidRPr="00BB6220">
        <w:rPr>
          <w:rFonts w:eastAsia="Times New Roman"/>
          <w:color w:val="000000"/>
          <w:lang w:eastAsia="en-NZ"/>
        </w:rPr>
        <w:t>numbness</w:t>
      </w:r>
      <w:r w:rsidR="7909AE27" w:rsidRPr="00BB6220">
        <w:rPr>
          <w:rFonts w:eastAsia="Times New Roman"/>
          <w:color w:val="000000"/>
          <w:lang w:eastAsia="en-NZ"/>
        </w:rPr>
        <w:t>,</w:t>
      </w:r>
      <w:r w:rsidR="003D640C">
        <w:rPr>
          <w:rFonts w:eastAsia="Times New Roman"/>
          <w:color w:val="000000"/>
          <w:lang w:eastAsia="en-NZ"/>
        </w:rPr>
        <w:t xml:space="preserve"> </w:t>
      </w:r>
      <w:r w:rsidRPr="00BB6220">
        <w:rPr>
          <w:rFonts w:eastAsia="Times New Roman"/>
          <w:color w:val="000000"/>
          <w:lang w:eastAsia="en-NZ"/>
        </w:rPr>
        <w:t>and</w:t>
      </w:r>
      <w:r w:rsidR="003D640C">
        <w:rPr>
          <w:rFonts w:eastAsia="Times New Roman"/>
          <w:color w:val="000000"/>
          <w:lang w:eastAsia="en-NZ"/>
        </w:rPr>
        <w:t xml:space="preserve"> </w:t>
      </w:r>
      <w:r w:rsidRPr="00BB6220">
        <w:rPr>
          <w:rFonts w:eastAsia="Times New Roman"/>
          <w:color w:val="000000"/>
          <w:lang w:eastAsia="en-NZ"/>
        </w:rPr>
        <w:t>debilitating</w:t>
      </w:r>
      <w:r w:rsidR="003D640C">
        <w:rPr>
          <w:rFonts w:eastAsia="Times New Roman"/>
          <w:color w:val="000000"/>
          <w:lang w:eastAsia="en-NZ"/>
        </w:rPr>
        <w:t xml:space="preserve"> </w:t>
      </w:r>
      <w:r w:rsidRPr="00BB6220">
        <w:rPr>
          <w:rFonts w:eastAsia="Times New Roman"/>
          <w:color w:val="000000"/>
          <w:lang w:eastAsia="en-NZ"/>
        </w:rPr>
        <w:t>emotional</w:t>
      </w:r>
      <w:r w:rsidR="003D640C">
        <w:rPr>
          <w:rFonts w:eastAsia="Times New Roman"/>
          <w:color w:val="000000"/>
          <w:lang w:eastAsia="en-NZ"/>
        </w:rPr>
        <w:t xml:space="preserve"> </w:t>
      </w:r>
      <w:r w:rsidRPr="00BB6220">
        <w:rPr>
          <w:rFonts w:eastAsia="Times New Roman"/>
          <w:color w:val="000000"/>
          <w:lang w:eastAsia="en-NZ"/>
        </w:rPr>
        <w:t>distress.</w:t>
      </w:r>
      <w:r w:rsidRPr="00BB6220">
        <w:rPr>
          <w:rStyle w:val="FootnoteReference"/>
          <w:rFonts w:eastAsia="Times New Roman"/>
          <w:color w:val="000000"/>
          <w:lang w:eastAsia="en-NZ"/>
        </w:rPr>
        <w:footnoteReference w:id="131"/>
      </w:r>
    </w:p>
    <w:p w14:paraId="28A39354" w14:textId="1E0553BD" w:rsidR="00D527F0" w:rsidRPr="00BB6220" w:rsidRDefault="00D527F0" w:rsidP="0068108F">
      <w:pPr>
        <w:pStyle w:val="Bullet"/>
        <w:rPr>
          <w:lang w:eastAsia="en-NZ"/>
        </w:rPr>
      </w:pPr>
      <w:r w:rsidRPr="00BB6220">
        <w:rPr>
          <w:b/>
          <w:lang w:eastAsia="en-NZ"/>
        </w:rPr>
        <w:t>Escalated</w:t>
      </w:r>
      <w:r w:rsidR="003D640C">
        <w:rPr>
          <w:b/>
          <w:lang w:eastAsia="en-NZ"/>
        </w:rPr>
        <w:t xml:space="preserve"> </w:t>
      </w:r>
      <w:r w:rsidRPr="00BB6220">
        <w:rPr>
          <w:b/>
          <w:lang w:eastAsia="en-NZ"/>
        </w:rPr>
        <w:t>levels</w:t>
      </w:r>
      <w:r w:rsidR="003D640C">
        <w:rPr>
          <w:b/>
          <w:lang w:eastAsia="en-NZ"/>
        </w:rPr>
        <w:t xml:space="preserve"> </w:t>
      </w:r>
      <w:r w:rsidRPr="00BB6220">
        <w:rPr>
          <w:b/>
          <w:lang w:eastAsia="en-NZ"/>
        </w:rPr>
        <w:t>of</w:t>
      </w:r>
      <w:r w:rsidR="003D640C">
        <w:rPr>
          <w:b/>
          <w:lang w:eastAsia="en-NZ"/>
        </w:rPr>
        <w:t xml:space="preserve"> </w:t>
      </w:r>
      <w:r w:rsidRPr="00BB6220">
        <w:rPr>
          <w:b/>
          <w:lang w:eastAsia="en-NZ"/>
        </w:rPr>
        <w:t>drug</w:t>
      </w:r>
      <w:r w:rsidR="003D640C">
        <w:rPr>
          <w:b/>
          <w:lang w:eastAsia="en-NZ"/>
        </w:rPr>
        <w:t xml:space="preserve"> </w:t>
      </w:r>
      <w:r w:rsidRPr="00BB6220">
        <w:rPr>
          <w:b/>
          <w:lang w:eastAsia="en-NZ"/>
        </w:rPr>
        <w:t>and</w:t>
      </w:r>
      <w:r w:rsidR="003D640C">
        <w:rPr>
          <w:b/>
          <w:lang w:eastAsia="en-NZ"/>
        </w:rPr>
        <w:t xml:space="preserve"> </w:t>
      </w:r>
      <w:r w:rsidRPr="00BB6220">
        <w:rPr>
          <w:b/>
          <w:lang w:eastAsia="en-NZ"/>
        </w:rPr>
        <w:t>alcohol</w:t>
      </w:r>
      <w:r w:rsidR="003D640C">
        <w:rPr>
          <w:b/>
          <w:lang w:eastAsia="en-NZ"/>
        </w:rPr>
        <w:t xml:space="preserve"> </w:t>
      </w:r>
      <w:r w:rsidRPr="00BB6220">
        <w:rPr>
          <w:b/>
          <w:lang w:eastAsia="en-NZ"/>
        </w:rPr>
        <w:t>misuse</w:t>
      </w:r>
      <w:r w:rsidRPr="00BB6220">
        <w:rPr>
          <w:lang w:eastAsia="en-NZ"/>
        </w:rPr>
        <w:t>:</w:t>
      </w:r>
      <w:r w:rsidR="003D640C">
        <w:rPr>
          <w:lang w:eastAsia="en-NZ"/>
        </w:rPr>
        <w:t xml:space="preserve"> </w:t>
      </w:r>
      <w:r w:rsidRPr="00BB6220">
        <w:rPr>
          <w:lang w:eastAsia="en-NZ"/>
        </w:rPr>
        <w:t>Trauma,</w:t>
      </w:r>
      <w:r w:rsidR="003D640C">
        <w:rPr>
          <w:lang w:eastAsia="en-NZ"/>
        </w:rPr>
        <w:t xml:space="preserve"> </w:t>
      </w:r>
      <w:r w:rsidRPr="00BB6220">
        <w:rPr>
          <w:lang w:eastAsia="en-NZ"/>
        </w:rPr>
        <w:t>isolation,</w:t>
      </w:r>
      <w:r w:rsidR="003D640C">
        <w:rPr>
          <w:lang w:eastAsia="en-NZ"/>
        </w:rPr>
        <w:t xml:space="preserve"> </w:t>
      </w:r>
      <w:r w:rsidRPr="00BB6220">
        <w:rPr>
          <w:lang w:eastAsia="en-NZ"/>
        </w:rPr>
        <w:t>identity</w:t>
      </w:r>
      <w:r w:rsidR="003D640C">
        <w:rPr>
          <w:lang w:eastAsia="en-NZ"/>
        </w:rPr>
        <w:t xml:space="preserve"> </w:t>
      </w:r>
      <w:r w:rsidRPr="00BB6220">
        <w:rPr>
          <w:lang w:eastAsia="en-NZ"/>
        </w:rPr>
        <w:t>crisis,</w:t>
      </w:r>
      <w:r w:rsidR="003D640C">
        <w:rPr>
          <w:lang w:eastAsia="en-NZ"/>
        </w:rPr>
        <w:t xml:space="preserve"> </w:t>
      </w:r>
      <w:r w:rsidRPr="00BB6220">
        <w:rPr>
          <w:lang w:eastAsia="en-NZ"/>
        </w:rPr>
        <w:t>and</w:t>
      </w:r>
      <w:r w:rsidR="003D640C">
        <w:rPr>
          <w:lang w:eastAsia="en-NZ"/>
        </w:rPr>
        <w:t xml:space="preserve"> </w:t>
      </w:r>
      <w:r w:rsidRPr="00BB6220">
        <w:rPr>
          <w:lang w:eastAsia="en-NZ"/>
        </w:rPr>
        <w:t>lack</w:t>
      </w:r>
      <w:r w:rsidR="003D640C">
        <w:rPr>
          <w:lang w:eastAsia="en-NZ"/>
        </w:rPr>
        <w:t xml:space="preserve"> </w:t>
      </w:r>
      <w:r w:rsidRPr="00BB6220">
        <w:rPr>
          <w:lang w:eastAsia="en-NZ"/>
        </w:rPr>
        <w:t>of</w:t>
      </w:r>
      <w:r w:rsidR="003D640C">
        <w:rPr>
          <w:lang w:eastAsia="en-NZ"/>
        </w:rPr>
        <w:t xml:space="preserve"> </w:t>
      </w:r>
      <w:r w:rsidRPr="00BB6220">
        <w:rPr>
          <w:lang w:eastAsia="en-NZ"/>
        </w:rPr>
        <w:t>support</w:t>
      </w:r>
      <w:r w:rsidR="003D640C">
        <w:rPr>
          <w:lang w:eastAsia="en-NZ"/>
        </w:rPr>
        <w:t xml:space="preserve"> </w:t>
      </w:r>
      <w:r w:rsidRPr="00BB6220">
        <w:rPr>
          <w:lang w:eastAsia="en-NZ"/>
        </w:rPr>
        <w:t>are</w:t>
      </w:r>
      <w:r w:rsidR="003D640C">
        <w:rPr>
          <w:lang w:eastAsia="en-NZ"/>
        </w:rPr>
        <w:t xml:space="preserve"> </w:t>
      </w:r>
      <w:r w:rsidRPr="00BB6220">
        <w:rPr>
          <w:lang w:eastAsia="en-NZ"/>
        </w:rPr>
        <w:t>all</w:t>
      </w:r>
      <w:r w:rsidR="003D640C">
        <w:rPr>
          <w:lang w:eastAsia="en-NZ"/>
        </w:rPr>
        <w:t xml:space="preserve"> </w:t>
      </w:r>
      <w:r w:rsidRPr="00BB6220">
        <w:rPr>
          <w:lang w:eastAsia="en-NZ"/>
        </w:rPr>
        <w:t>factors</w:t>
      </w:r>
      <w:r w:rsidR="003D640C">
        <w:rPr>
          <w:lang w:eastAsia="en-NZ"/>
        </w:rPr>
        <w:t xml:space="preserve"> </w:t>
      </w:r>
      <w:r w:rsidRPr="00BB6220">
        <w:rPr>
          <w:lang w:eastAsia="en-NZ"/>
        </w:rPr>
        <w:t>that</w:t>
      </w:r>
      <w:r w:rsidR="003D640C">
        <w:rPr>
          <w:lang w:eastAsia="en-NZ"/>
        </w:rPr>
        <w:t xml:space="preserve"> </w:t>
      </w:r>
      <w:r w:rsidRPr="00BB6220">
        <w:rPr>
          <w:lang w:eastAsia="en-NZ"/>
        </w:rPr>
        <w:t>can</w:t>
      </w:r>
      <w:r w:rsidR="003D640C">
        <w:rPr>
          <w:lang w:eastAsia="en-NZ"/>
        </w:rPr>
        <w:t xml:space="preserve"> </w:t>
      </w:r>
      <w:r w:rsidRPr="00BB6220">
        <w:rPr>
          <w:lang w:eastAsia="en-NZ"/>
        </w:rPr>
        <w:t>lead</w:t>
      </w:r>
      <w:r w:rsidR="003D640C">
        <w:rPr>
          <w:lang w:eastAsia="en-NZ"/>
        </w:rPr>
        <w:t xml:space="preserve"> </w:t>
      </w:r>
      <w:r w:rsidR="00FC187C" w:rsidRPr="00BB6220">
        <w:rPr>
          <w:lang w:eastAsia="en-NZ"/>
        </w:rPr>
        <w:t>survivors</w:t>
      </w:r>
      <w:r w:rsidR="003D640C">
        <w:rPr>
          <w:lang w:eastAsia="en-NZ"/>
        </w:rPr>
        <w:t xml:space="preserve"> </w:t>
      </w:r>
      <w:r w:rsidRPr="00BB6220">
        <w:rPr>
          <w:lang w:eastAsia="en-NZ"/>
        </w:rPr>
        <w:t>to</w:t>
      </w:r>
      <w:r w:rsidR="003D640C">
        <w:rPr>
          <w:lang w:eastAsia="en-NZ"/>
        </w:rPr>
        <w:t xml:space="preserve"> </w:t>
      </w:r>
      <w:r w:rsidRPr="00BB6220">
        <w:rPr>
          <w:lang w:eastAsia="en-NZ"/>
        </w:rPr>
        <w:t>misuse</w:t>
      </w:r>
      <w:r w:rsidR="003D640C">
        <w:rPr>
          <w:lang w:eastAsia="en-NZ"/>
        </w:rPr>
        <w:t xml:space="preserve"> </w:t>
      </w:r>
      <w:r w:rsidRPr="00BB6220">
        <w:rPr>
          <w:lang w:eastAsia="en-NZ"/>
        </w:rPr>
        <w:t>drugs</w:t>
      </w:r>
      <w:r w:rsidR="003D640C">
        <w:rPr>
          <w:lang w:eastAsia="en-NZ"/>
        </w:rPr>
        <w:t xml:space="preserve"> </w:t>
      </w:r>
      <w:r w:rsidRPr="00BB6220">
        <w:rPr>
          <w:lang w:eastAsia="en-NZ"/>
        </w:rPr>
        <w:t>and</w:t>
      </w:r>
      <w:r w:rsidR="003D640C">
        <w:rPr>
          <w:lang w:eastAsia="en-NZ"/>
        </w:rPr>
        <w:t xml:space="preserve"> </w:t>
      </w:r>
      <w:r w:rsidRPr="00BB6220">
        <w:rPr>
          <w:lang w:eastAsia="en-NZ"/>
        </w:rPr>
        <w:t>alcohol</w:t>
      </w:r>
      <w:r w:rsidR="003D640C">
        <w:rPr>
          <w:lang w:eastAsia="en-NZ"/>
        </w:rPr>
        <w:t xml:space="preserve"> </w:t>
      </w:r>
      <w:r w:rsidRPr="00BB6220">
        <w:rPr>
          <w:lang w:eastAsia="en-NZ"/>
        </w:rPr>
        <w:t>as</w:t>
      </w:r>
      <w:r w:rsidR="003D640C">
        <w:rPr>
          <w:lang w:eastAsia="en-NZ"/>
        </w:rPr>
        <w:t xml:space="preserve"> </w:t>
      </w:r>
      <w:r w:rsidRPr="00BB6220">
        <w:rPr>
          <w:lang w:eastAsia="en-NZ"/>
        </w:rPr>
        <w:t>coping</w:t>
      </w:r>
      <w:r w:rsidR="003D640C">
        <w:rPr>
          <w:lang w:eastAsia="en-NZ"/>
        </w:rPr>
        <w:t xml:space="preserve"> </w:t>
      </w:r>
      <w:r w:rsidRPr="00BB6220">
        <w:rPr>
          <w:lang w:eastAsia="en-NZ"/>
        </w:rPr>
        <w:t>strategies.</w:t>
      </w:r>
      <w:r w:rsidRPr="00BB6220">
        <w:rPr>
          <w:rStyle w:val="FootnoteReference"/>
          <w:rFonts w:eastAsia="Times New Roman"/>
          <w:color w:val="000000"/>
          <w:lang w:eastAsia="en-NZ"/>
        </w:rPr>
        <w:footnoteReference w:id="132"/>
      </w:r>
    </w:p>
    <w:p w14:paraId="34CBEB1A" w14:textId="4D6A2E2F" w:rsidR="00501068" w:rsidRDefault="00D527F0" w:rsidP="0068108F">
      <w:pPr>
        <w:pStyle w:val="Bullet"/>
        <w:rPr>
          <w:lang w:eastAsia="en-NZ"/>
        </w:rPr>
      </w:pPr>
      <w:r w:rsidRPr="00BB6220">
        <w:rPr>
          <w:b/>
          <w:lang w:eastAsia="en-NZ"/>
        </w:rPr>
        <w:lastRenderedPageBreak/>
        <w:t>Housing</w:t>
      </w:r>
      <w:r w:rsidR="003D640C">
        <w:rPr>
          <w:b/>
          <w:lang w:eastAsia="en-NZ"/>
        </w:rPr>
        <w:t xml:space="preserve"> </w:t>
      </w:r>
      <w:r w:rsidRPr="00BB6220">
        <w:rPr>
          <w:b/>
          <w:lang w:eastAsia="en-NZ"/>
        </w:rPr>
        <w:t>instability:</w:t>
      </w:r>
      <w:r w:rsidR="003D640C">
        <w:rPr>
          <w:b/>
          <w:lang w:eastAsia="en-NZ"/>
        </w:rPr>
        <w:t xml:space="preserve"> </w:t>
      </w:r>
      <w:r w:rsidRPr="00BB6220">
        <w:rPr>
          <w:lang w:eastAsia="en-NZ"/>
        </w:rPr>
        <w:t>Evidence</w:t>
      </w:r>
      <w:r w:rsidR="003D640C">
        <w:rPr>
          <w:lang w:eastAsia="en-NZ"/>
        </w:rPr>
        <w:t xml:space="preserve"> </w:t>
      </w:r>
      <w:r w:rsidRPr="00BB6220">
        <w:rPr>
          <w:lang w:eastAsia="en-NZ"/>
        </w:rPr>
        <w:t>shows</w:t>
      </w:r>
      <w:r w:rsidR="003D640C">
        <w:rPr>
          <w:lang w:eastAsia="en-NZ"/>
        </w:rPr>
        <w:t xml:space="preserve"> </w:t>
      </w:r>
      <w:r w:rsidRPr="00BB6220">
        <w:rPr>
          <w:lang w:eastAsia="en-NZ"/>
        </w:rPr>
        <w:t>that</w:t>
      </w:r>
      <w:r w:rsidR="003D640C">
        <w:rPr>
          <w:lang w:eastAsia="en-NZ"/>
        </w:rPr>
        <w:t xml:space="preserve"> </w:t>
      </w:r>
      <w:r w:rsidRPr="00BB6220">
        <w:rPr>
          <w:lang w:eastAsia="en-NZ"/>
        </w:rPr>
        <w:t>survivors</w:t>
      </w:r>
      <w:r w:rsidR="003D640C">
        <w:rPr>
          <w:lang w:eastAsia="en-NZ"/>
        </w:rPr>
        <w:t xml:space="preserve"> </w:t>
      </w:r>
      <w:r w:rsidRPr="00BB6220">
        <w:rPr>
          <w:lang w:eastAsia="en-NZ"/>
        </w:rPr>
        <w:t>experience</w:t>
      </w:r>
      <w:r w:rsidR="003D640C">
        <w:rPr>
          <w:lang w:eastAsia="en-NZ"/>
        </w:rPr>
        <w:t xml:space="preserve"> </w:t>
      </w:r>
      <w:r w:rsidRPr="00BB6220">
        <w:rPr>
          <w:lang w:eastAsia="en-NZ"/>
        </w:rPr>
        <w:t>homelessness</w:t>
      </w:r>
      <w:r w:rsidR="003D640C">
        <w:rPr>
          <w:lang w:eastAsia="en-NZ"/>
        </w:rPr>
        <w:t xml:space="preserve"> </w:t>
      </w:r>
      <w:r w:rsidRPr="00BB6220">
        <w:rPr>
          <w:lang w:eastAsia="en-NZ"/>
        </w:rPr>
        <w:t>and</w:t>
      </w:r>
      <w:r w:rsidR="003D640C">
        <w:rPr>
          <w:lang w:eastAsia="en-NZ"/>
        </w:rPr>
        <w:t xml:space="preserve"> </w:t>
      </w:r>
      <w:r w:rsidRPr="00BB6220">
        <w:rPr>
          <w:lang w:eastAsia="en-NZ"/>
        </w:rPr>
        <w:t>housing</w:t>
      </w:r>
      <w:r w:rsidR="003D640C">
        <w:rPr>
          <w:lang w:eastAsia="en-NZ"/>
        </w:rPr>
        <w:t xml:space="preserve"> </w:t>
      </w:r>
      <w:r w:rsidRPr="00BB6220">
        <w:rPr>
          <w:lang w:eastAsia="en-NZ"/>
        </w:rPr>
        <w:t>instability</w:t>
      </w:r>
      <w:r w:rsidR="003D640C">
        <w:rPr>
          <w:lang w:eastAsia="en-NZ"/>
        </w:rPr>
        <w:t xml:space="preserve"> </w:t>
      </w:r>
      <w:r w:rsidRPr="00BB6220">
        <w:rPr>
          <w:lang w:eastAsia="en-NZ"/>
        </w:rPr>
        <w:t>at</w:t>
      </w:r>
      <w:r w:rsidR="003D640C">
        <w:rPr>
          <w:lang w:eastAsia="en-NZ"/>
        </w:rPr>
        <w:t xml:space="preserve"> </w:t>
      </w:r>
      <w:r w:rsidRPr="00BB6220">
        <w:rPr>
          <w:lang w:eastAsia="en-NZ"/>
        </w:rPr>
        <w:t>higher</w:t>
      </w:r>
      <w:r w:rsidR="003D640C">
        <w:rPr>
          <w:lang w:eastAsia="en-NZ"/>
        </w:rPr>
        <w:t xml:space="preserve"> </w:t>
      </w:r>
      <w:r w:rsidRPr="00BB6220">
        <w:rPr>
          <w:lang w:eastAsia="en-NZ"/>
        </w:rPr>
        <w:t>rates</w:t>
      </w:r>
      <w:r w:rsidR="003D640C">
        <w:rPr>
          <w:lang w:eastAsia="en-NZ"/>
        </w:rPr>
        <w:t xml:space="preserve"> </w:t>
      </w:r>
      <w:r w:rsidRPr="00BB6220">
        <w:rPr>
          <w:lang w:eastAsia="en-NZ"/>
        </w:rPr>
        <w:t>than</w:t>
      </w:r>
      <w:r w:rsidR="003D640C">
        <w:rPr>
          <w:lang w:eastAsia="en-NZ"/>
        </w:rPr>
        <w:t xml:space="preserve"> </w:t>
      </w:r>
      <w:r w:rsidRPr="00BB6220">
        <w:rPr>
          <w:lang w:eastAsia="en-NZ"/>
        </w:rPr>
        <w:t>other</w:t>
      </w:r>
      <w:r w:rsidR="003D640C">
        <w:rPr>
          <w:lang w:eastAsia="en-NZ"/>
        </w:rPr>
        <w:t xml:space="preserve"> </w:t>
      </w:r>
      <w:r w:rsidRPr="00BB6220">
        <w:rPr>
          <w:lang w:eastAsia="en-NZ"/>
        </w:rPr>
        <w:t>groups,</w:t>
      </w:r>
      <w:r w:rsidR="003D640C">
        <w:rPr>
          <w:lang w:eastAsia="en-NZ"/>
        </w:rPr>
        <w:t xml:space="preserve"> </w:t>
      </w:r>
      <w:r w:rsidRPr="00BB6220">
        <w:rPr>
          <w:lang w:eastAsia="en-NZ"/>
        </w:rPr>
        <w:t>and</w:t>
      </w:r>
      <w:r w:rsidR="003D640C">
        <w:rPr>
          <w:lang w:eastAsia="en-NZ"/>
        </w:rPr>
        <w:t xml:space="preserve"> </w:t>
      </w:r>
      <w:r w:rsidRPr="00BB6220">
        <w:rPr>
          <w:lang w:eastAsia="en-NZ"/>
        </w:rPr>
        <w:t>this</w:t>
      </w:r>
      <w:r w:rsidR="003D640C">
        <w:rPr>
          <w:lang w:eastAsia="en-NZ"/>
        </w:rPr>
        <w:t xml:space="preserve"> </w:t>
      </w:r>
      <w:r w:rsidRPr="00BB6220">
        <w:rPr>
          <w:lang w:eastAsia="en-NZ"/>
        </w:rPr>
        <w:t>has</w:t>
      </w:r>
      <w:r w:rsidR="003D640C">
        <w:rPr>
          <w:lang w:eastAsia="en-NZ"/>
        </w:rPr>
        <w:t xml:space="preserve"> </w:t>
      </w:r>
      <w:r w:rsidRPr="00BB6220">
        <w:rPr>
          <w:lang w:eastAsia="en-NZ"/>
        </w:rPr>
        <w:t>been</w:t>
      </w:r>
      <w:r w:rsidR="003D640C">
        <w:rPr>
          <w:lang w:eastAsia="en-NZ"/>
        </w:rPr>
        <w:t xml:space="preserve"> </w:t>
      </w:r>
      <w:r w:rsidRPr="00BB6220">
        <w:rPr>
          <w:lang w:eastAsia="en-NZ"/>
        </w:rPr>
        <w:t>reported</w:t>
      </w:r>
      <w:r w:rsidR="003D640C">
        <w:rPr>
          <w:lang w:eastAsia="en-NZ"/>
        </w:rPr>
        <w:t xml:space="preserve"> </w:t>
      </w:r>
      <w:r w:rsidRPr="00BB6220">
        <w:rPr>
          <w:lang w:eastAsia="en-NZ"/>
        </w:rPr>
        <w:t>as</w:t>
      </w:r>
      <w:r w:rsidR="003D640C">
        <w:rPr>
          <w:lang w:eastAsia="en-NZ"/>
        </w:rPr>
        <w:t xml:space="preserve"> </w:t>
      </w:r>
      <w:r w:rsidRPr="00BB6220">
        <w:rPr>
          <w:lang w:eastAsia="en-NZ"/>
        </w:rPr>
        <w:t>a</w:t>
      </w:r>
      <w:r w:rsidR="003D640C">
        <w:rPr>
          <w:lang w:eastAsia="en-NZ"/>
        </w:rPr>
        <w:t xml:space="preserve"> </w:t>
      </w:r>
      <w:r w:rsidRPr="00BB6220">
        <w:rPr>
          <w:lang w:eastAsia="en-NZ"/>
        </w:rPr>
        <w:t>direct</w:t>
      </w:r>
      <w:r w:rsidR="003D640C">
        <w:rPr>
          <w:lang w:eastAsia="en-NZ"/>
        </w:rPr>
        <w:t xml:space="preserve"> </w:t>
      </w:r>
      <w:r w:rsidRPr="00BB6220">
        <w:rPr>
          <w:lang w:eastAsia="en-NZ"/>
        </w:rPr>
        <w:t>outcome</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005B2A50">
        <w:rPr>
          <w:lang w:eastAsia="en-NZ"/>
        </w:rPr>
        <w:t>Rainbow</w:t>
      </w:r>
      <w:r w:rsidR="003D640C">
        <w:rPr>
          <w:lang w:eastAsia="en-NZ"/>
        </w:rPr>
        <w:t xml:space="preserve"> </w:t>
      </w:r>
      <w:r w:rsidRPr="00BB6220">
        <w:rPr>
          <w:lang w:eastAsia="en-NZ"/>
        </w:rPr>
        <w:t>identity</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associated</w:t>
      </w:r>
      <w:r w:rsidR="003D640C">
        <w:rPr>
          <w:lang w:eastAsia="en-NZ"/>
        </w:rPr>
        <w:t xml:space="preserve"> </w:t>
      </w:r>
      <w:r w:rsidR="00E570BB" w:rsidRPr="00BB6220">
        <w:rPr>
          <w:lang w:eastAsia="en-NZ"/>
        </w:rPr>
        <w:t>po</w:t>
      </w:r>
      <w:r w:rsidR="00815506" w:rsidRPr="00BB6220">
        <w:rPr>
          <w:lang w:eastAsia="en-NZ"/>
        </w:rPr>
        <w:t>o</w:t>
      </w:r>
      <w:r w:rsidR="00E570BB" w:rsidRPr="00BB6220">
        <w:rPr>
          <w:lang w:eastAsia="en-NZ"/>
        </w:rPr>
        <w:t>r</w:t>
      </w:r>
      <w:r w:rsidR="003D640C">
        <w:rPr>
          <w:lang w:eastAsia="en-NZ"/>
        </w:rPr>
        <w:t xml:space="preserve"> </w:t>
      </w:r>
      <w:r w:rsidRPr="00BB6220">
        <w:rPr>
          <w:lang w:eastAsia="en-NZ"/>
        </w:rPr>
        <w:t>treatment</w:t>
      </w:r>
      <w:r w:rsidR="003D640C">
        <w:rPr>
          <w:lang w:eastAsia="en-NZ"/>
        </w:rPr>
        <w:t xml:space="preserve"> </w:t>
      </w:r>
      <w:r w:rsidRPr="00BB6220">
        <w:rPr>
          <w:lang w:eastAsia="en-NZ"/>
        </w:rPr>
        <w:t>by</w:t>
      </w:r>
      <w:r w:rsidR="003D640C">
        <w:rPr>
          <w:lang w:eastAsia="en-NZ"/>
        </w:rPr>
        <w:t xml:space="preserve"> </w:t>
      </w:r>
      <w:r w:rsidRPr="00BB6220">
        <w:rPr>
          <w:lang w:eastAsia="en-NZ"/>
        </w:rPr>
        <w:t>the</w:t>
      </w:r>
      <w:r w:rsidR="00E570BB" w:rsidRPr="00BB6220">
        <w:rPr>
          <w:lang w:eastAsia="en-NZ"/>
        </w:rPr>
        <w:t>ir</w:t>
      </w:r>
      <w:r w:rsidR="003D640C">
        <w:rPr>
          <w:lang w:eastAsia="en-NZ"/>
        </w:rPr>
        <w:t xml:space="preserve"> </w:t>
      </w:r>
      <w:r w:rsidRPr="00BB6220">
        <w:rPr>
          <w:lang w:eastAsia="en-NZ"/>
        </w:rPr>
        <w:t>communit</w:t>
      </w:r>
      <w:r w:rsidR="00E570BB" w:rsidRPr="00BB6220">
        <w:rPr>
          <w:lang w:eastAsia="en-NZ"/>
        </w:rPr>
        <w:t>ies</w:t>
      </w:r>
      <w:r w:rsidR="00E345EE">
        <w:rPr>
          <w:lang w:eastAsia="en-NZ"/>
        </w:rPr>
        <w:t>.</w:t>
      </w:r>
      <w:r w:rsidRPr="00BB6220">
        <w:rPr>
          <w:rStyle w:val="FootnoteReference"/>
          <w:rFonts w:eastAsia="Times New Roman"/>
          <w:color w:val="000000"/>
          <w:lang w:eastAsia="en-NZ"/>
        </w:rPr>
        <w:footnoteReference w:id="133"/>
      </w:r>
    </w:p>
    <w:p w14:paraId="7BBBD8C4" w14:textId="4DB3EA95" w:rsidR="00552536" w:rsidRPr="00BB6220" w:rsidRDefault="00552536" w:rsidP="0068108F">
      <w:pPr>
        <w:pStyle w:val="Heading2"/>
      </w:pPr>
      <w:bookmarkStart w:id="192" w:name="_Toc167780601"/>
      <w:bookmarkStart w:id="193" w:name="_Toc1590512215"/>
      <w:bookmarkStart w:id="194" w:name="_Toc174628660"/>
      <w:r w:rsidRPr="00BB6220">
        <w:t>Spiritual</w:t>
      </w:r>
      <w:r w:rsidR="003D640C">
        <w:t xml:space="preserve"> </w:t>
      </w:r>
      <w:r w:rsidRPr="00BB6220">
        <w:t>and</w:t>
      </w:r>
      <w:r w:rsidR="003D640C">
        <w:t xml:space="preserve"> </w:t>
      </w:r>
      <w:r w:rsidRPr="00BB6220">
        <w:t>physical</w:t>
      </w:r>
      <w:r w:rsidR="003D640C">
        <w:t xml:space="preserve"> </w:t>
      </w:r>
      <w:r w:rsidRPr="00BB6220">
        <w:t>impacts</w:t>
      </w:r>
      <w:r w:rsidR="003D640C">
        <w:t xml:space="preserve"> </w:t>
      </w:r>
      <w:r w:rsidRPr="00BB6220">
        <w:t>of</w:t>
      </w:r>
      <w:r w:rsidR="003D640C">
        <w:t xml:space="preserve"> </w:t>
      </w:r>
      <w:r w:rsidRPr="00BB6220">
        <w:t>conversion</w:t>
      </w:r>
      <w:r w:rsidR="003D640C">
        <w:t xml:space="preserve"> </w:t>
      </w:r>
      <w:r w:rsidRPr="00BB6220">
        <w:t>practices</w:t>
      </w:r>
      <w:bookmarkEnd w:id="192"/>
      <w:bookmarkEnd w:id="193"/>
      <w:bookmarkEnd w:id="194"/>
    </w:p>
    <w:p w14:paraId="42C580D2" w14:textId="0EB222A0" w:rsidR="00501068" w:rsidRDefault="00D527F0" w:rsidP="0068108F">
      <w:r w:rsidRPr="00BB6220">
        <w:t>Current</w:t>
      </w:r>
      <w:r w:rsidR="003D640C">
        <w:t xml:space="preserve"> </w:t>
      </w:r>
      <w:r w:rsidRPr="00BB6220">
        <w:t>understandings</w:t>
      </w:r>
      <w:r w:rsidR="003D640C">
        <w:t xml:space="preserve"> </w:t>
      </w:r>
      <w:r w:rsidRPr="00BB6220">
        <w:t>of</w:t>
      </w:r>
      <w:r w:rsidR="003D640C">
        <w:t xml:space="preserve"> </w:t>
      </w:r>
      <w:r w:rsidRPr="00BB6220">
        <w:t>wellbeing</w:t>
      </w:r>
      <w:r w:rsidR="003D640C">
        <w:t xml:space="preserve"> </w:t>
      </w:r>
      <w:r w:rsidRPr="00BB6220">
        <w:t>support</w:t>
      </w:r>
      <w:r w:rsidR="003D640C">
        <w:t xml:space="preserve"> </w:t>
      </w:r>
      <w:r w:rsidRPr="00BB6220">
        <w:t>the</w:t>
      </w:r>
      <w:r w:rsidR="003D640C">
        <w:t xml:space="preserve"> </w:t>
      </w:r>
      <w:r w:rsidRPr="00BB6220">
        <w:t>notion</w:t>
      </w:r>
      <w:r w:rsidR="003D640C">
        <w:t xml:space="preserve"> </w:t>
      </w:r>
      <w:r w:rsidRPr="00BB6220">
        <w:t>that</w:t>
      </w:r>
      <w:r w:rsidR="003D640C">
        <w:t xml:space="preserve"> </w:t>
      </w:r>
      <w:r w:rsidRPr="00BB6220">
        <w:t>acute</w:t>
      </w:r>
      <w:r w:rsidR="003D640C">
        <w:t xml:space="preserve"> </w:t>
      </w:r>
      <w:r w:rsidRPr="00BB6220">
        <w:t>mental</w:t>
      </w:r>
      <w:r w:rsidR="003D640C">
        <w:t xml:space="preserve"> </w:t>
      </w:r>
      <w:r w:rsidRPr="00BB6220">
        <w:t>distress</w:t>
      </w:r>
      <w:r w:rsidR="003D640C">
        <w:t xml:space="preserve"> </w:t>
      </w:r>
      <w:r w:rsidRPr="00BB6220">
        <w:t>such</w:t>
      </w:r>
      <w:r w:rsidR="003D640C">
        <w:t xml:space="preserve"> </w:t>
      </w:r>
      <w:r w:rsidRPr="00BB6220">
        <w:t>as</w:t>
      </w:r>
      <w:r w:rsidR="003D640C">
        <w:t xml:space="preserve"> </w:t>
      </w:r>
      <w:r w:rsidRPr="00BB6220">
        <w:t>that</w:t>
      </w:r>
      <w:r w:rsidR="003D640C">
        <w:t xml:space="preserve"> </w:t>
      </w:r>
      <w:r w:rsidRPr="00BB6220">
        <w:t>caused</w:t>
      </w:r>
      <w:r w:rsidR="003D640C">
        <w:t xml:space="preserve"> </w:t>
      </w:r>
      <w:r w:rsidRPr="00BB6220">
        <w:t>by</w:t>
      </w:r>
      <w:r w:rsidR="003D640C">
        <w:t xml:space="preserve"> </w:t>
      </w:r>
      <w:r w:rsidRPr="00BB6220">
        <w:t>conversion</w:t>
      </w:r>
      <w:r w:rsidR="003D640C">
        <w:t xml:space="preserve"> </w:t>
      </w:r>
      <w:r w:rsidRPr="00BB6220">
        <w:t>practices</w:t>
      </w:r>
      <w:r w:rsidR="003D640C">
        <w:t xml:space="preserve"> </w:t>
      </w:r>
      <w:r w:rsidRPr="00BB6220">
        <w:t>will</w:t>
      </w:r>
      <w:r w:rsidR="003D640C">
        <w:t xml:space="preserve"> </w:t>
      </w:r>
      <w:r w:rsidRPr="00BB6220">
        <w:t>also</w:t>
      </w:r>
      <w:r w:rsidR="003D640C">
        <w:t xml:space="preserve"> </w:t>
      </w:r>
      <w:r w:rsidRPr="00BB6220">
        <w:t>affect</w:t>
      </w:r>
      <w:r w:rsidR="003D640C">
        <w:t xml:space="preserve"> </w:t>
      </w:r>
      <w:r w:rsidRPr="00BB6220">
        <w:t>the</w:t>
      </w:r>
      <w:r w:rsidR="003D640C">
        <w:t xml:space="preserve"> </w:t>
      </w:r>
      <w:r w:rsidRPr="00BB6220">
        <w:t>spiritual</w:t>
      </w:r>
      <w:r w:rsidR="003D640C">
        <w:t xml:space="preserve"> </w:t>
      </w:r>
      <w:r w:rsidRPr="00BB6220">
        <w:t>and</w:t>
      </w:r>
      <w:r w:rsidR="003D640C">
        <w:t xml:space="preserve"> </w:t>
      </w:r>
      <w:r w:rsidRPr="00BB6220">
        <w:t>physical</w:t>
      </w:r>
      <w:r w:rsidR="003D640C">
        <w:t xml:space="preserve"> </w:t>
      </w:r>
      <w:r w:rsidRPr="00BB6220">
        <w:t>wellbeing</w:t>
      </w:r>
      <w:r w:rsidR="003D640C">
        <w:t xml:space="preserve"> </w:t>
      </w:r>
      <w:r w:rsidRPr="00BB6220">
        <w:t>of</w:t>
      </w:r>
      <w:r w:rsidR="003D640C">
        <w:t xml:space="preserve"> </w:t>
      </w:r>
      <w:r w:rsidRPr="00BB6220">
        <w:t>the</w:t>
      </w:r>
      <w:r w:rsidR="003D640C">
        <w:t xml:space="preserve"> </w:t>
      </w:r>
      <w:r w:rsidRPr="00BB6220">
        <w:t>person</w:t>
      </w:r>
      <w:r w:rsidR="003D640C">
        <w:t xml:space="preserve"> </w:t>
      </w:r>
      <w:r w:rsidRPr="00BB6220">
        <w:t>experiencing</w:t>
      </w:r>
      <w:r w:rsidR="003D640C">
        <w:t xml:space="preserve"> </w:t>
      </w:r>
      <w:r w:rsidR="00B029E6">
        <w:t>it</w:t>
      </w:r>
      <w:r w:rsidRPr="00BB6220">
        <w:t>.</w:t>
      </w:r>
      <w:r w:rsidR="003D640C">
        <w:t xml:space="preserve"> </w:t>
      </w:r>
    </w:p>
    <w:p w14:paraId="4A22B695" w14:textId="77777777" w:rsidR="00501068" w:rsidRDefault="00D527F0" w:rsidP="0068108F">
      <w:r w:rsidRPr="00BB6220">
        <w:t>Survivors</w:t>
      </w:r>
      <w:r w:rsidR="003D640C">
        <w:t xml:space="preserve"> </w:t>
      </w:r>
      <w:r w:rsidR="003E2C90">
        <w:t>of</w:t>
      </w:r>
      <w:r w:rsidR="003D640C">
        <w:t xml:space="preserve"> </w:t>
      </w:r>
      <w:r w:rsidR="003E2C90">
        <w:t>religious</w:t>
      </w:r>
      <w:r w:rsidR="003D640C">
        <w:t xml:space="preserve"> </w:t>
      </w:r>
      <w:r w:rsidR="00115C30">
        <w:t>conversion</w:t>
      </w:r>
      <w:r w:rsidR="003D640C">
        <w:t xml:space="preserve"> </w:t>
      </w:r>
      <w:r w:rsidR="00115C30">
        <w:t>practices</w:t>
      </w:r>
      <w:r w:rsidR="003D640C">
        <w:t xml:space="preserve"> </w:t>
      </w:r>
      <w:r w:rsidRPr="00BB6220">
        <w:t>often</w:t>
      </w:r>
      <w:r w:rsidR="003D640C">
        <w:t xml:space="preserve"> </w:t>
      </w:r>
      <w:r w:rsidRPr="00BB6220">
        <w:t>report</w:t>
      </w:r>
      <w:r w:rsidR="003D640C">
        <w:t xml:space="preserve"> </w:t>
      </w:r>
      <w:r w:rsidRPr="00BB6220">
        <w:t>an</w:t>
      </w:r>
      <w:r w:rsidR="003D640C">
        <w:t xml:space="preserve"> </w:t>
      </w:r>
      <w:r w:rsidRPr="00BB6220">
        <w:t>inability</w:t>
      </w:r>
      <w:r w:rsidR="003D640C">
        <w:t xml:space="preserve"> </w:t>
      </w:r>
      <w:r w:rsidRPr="00BB6220">
        <w:t>to</w:t>
      </w:r>
      <w:r w:rsidR="003D640C">
        <w:t xml:space="preserve"> </w:t>
      </w:r>
      <w:r w:rsidRPr="00BB6220">
        <w:t>carry</w:t>
      </w:r>
      <w:r w:rsidR="003D640C">
        <w:t xml:space="preserve"> </w:t>
      </w:r>
      <w:r w:rsidRPr="00BB6220">
        <w:t>on</w:t>
      </w:r>
      <w:r w:rsidR="003D640C">
        <w:t xml:space="preserve"> </w:t>
      </w:r>
      <w:r w:rsidRPr="00BB6220">
        <w:t>with</w:t>
      </w:r>
      <w:r w:rsidR="003D640C">
        <w:t xml:space="preserve"> </w:t>
      </w:r>
      <w:r w:rsidRPr="00BB6220">
        <w:t>their</w:t>
      </w:r>
      <w:r w:rsidR="003D640C">
        <w:t xml:space="preserve"> </w:t>
      </w:r>
      <w:r w:rsidRPr="00BB6220">
        <w:t>previous</w:t>
      </w:r>
      <w:r w:rsidR="003D640C">
        <w:t xml:space="preserve"> </w:t>
      </w:r>
      <w:r w:rsidRPr="00BB6220">
        <w:t>spiritual</w:t>
      </w:r>
      <w:r w:rsidR="003D640C">
        <w:t xml:space="preserve"> </w:t>
      </w:r>
      <w:r w:rsidRPr="00BB6220">
        <w:t>practice.</w:t>
      </w:r>
      <w:r w:rsidR="003D640C">
        <w:t xml:space="preserve"> </w:t>
      </w:r>
      <w:r w:rsidRPr="00BB6220">
        <w:t>These</w:t>
      </w:r>
      <w:r w:rsidR="003D640C">
        <w:t xml:space="preserve"> </w:t>
      </w:r>
      <w:r w:rsidRPr="00BB6220">
        <w:t>environments</w:t>
      </w:r>
      <w:r w:rsidR="003D640C">
        <w:t xml:space="preserve"> </w:t>
      </w:r>
      <w:r w:rsidRPr="00BB6220">
        <w:t>contain</w:t>
      </w:r>
      <w:r w:rsidR="003D640C">
        <w:t xml:space="preserve"> </w:t>
      </w:r>
      <w:r w:rsidRPr="00BB6220">
        <w:t>frequent</w:t>
      </w:r>
      <w:r w:rsidR="003D640C">
        <w:t xml:space="preserve"> </w:t>
      </w:r>
      <w:r w:rsidRPr="00BB6220">
        <w:t>triggers</w:t>
      </w:r>
      <w:r w:rsidR="003D640C">
        <w:t xml:space="preserve"> </w:t>
      </w:r>
      <w:r w:rsidRPr="00BB6220">
        <w:t>to</w:t>
      </w:r>
      <w:r w:rsidR="003D640C">
        <w:t xml:space="preserve"> </w:t>
      </w:r>
      <w:r w:rsidRPr="00BB6220">
        <w:t>the</w:t>
      </w:r>
      <w:r w:rsidR="003D640C">
        <w:t xml:space="preserve"> </w:t>
      </w:r>
      <w:r w:rsidRPr="00BB6220">
        <w:t>harm</w:t>
      </w:r>
      <w:r w:rsidR="003D640C">
        <w:t xml:space="preserve"> </w:t>
      </w:r>
      <w:r w:rsidRPr="00BB6220">
        <w:t>they</w:t>
      </w:r>
      <w:r w:rsidR="003D640C">
        <w:t xml:space="preserve"> </w:t>
      </w:r>
      <w:r w:rsidRPr="00BB6220">
        <w:t>experienced</w:t>
      </w:r>
      <w:r w:rsidR="005B2A50">
        <w:t>,</w:t>
      </w:r>
      <w:r w:rsidR="003D640C">
        <w:t xml:space="preserve"> </w:t>
      </w:r>
      <w:r w:rsidR="005B2A50">
        <w:t>especially</w:t>
      </w:r>
      <w:r w:rsidR="003D640C">
        <w:t xml:space="preserve"> </w:t>
      </w:r>
      <w:r w:rsidR="005B2A50">
        <w:t>as</w:t>
      </w:r>
      <w:r w:rsidR="003D640C">
        <w:t xml:space="preserve"> </w:t>
      </w:r>
      <w:r w:rsidR="005B2A50">
        <w:t>they</w:t>
      </w:r>
      <w:r w:rsidR="003D640C">
        <w:t xml:space="preserve"> </w:t>
      </w:r>
      <w:r w:rsidRPr="00BB6220">
        <w:t>usually</w:t>
      </w:r>
      <w:r w:rsidR="003D640C">
        <w:t xml:space="preserve"> </w:t>
      </w:r>
      <w:r w:rsidRPr="00BB6220">
        <w:t>still</w:t>
      </w:r>
      <w:r w:rsidR="003D640C">
        <w:t xml:space="preserve"> </w:t>
      </w:r>
      <w:r w:rsidRPr="00BB6220">
        <w:t>have</w:t>
      </w:r>
      <w:r w:rsidR="003D640C">
        <w:t xml:space="preserve"> </w:t>
      </w:r>
      <w:r w:rsidRPr="00BB6220">
        <w:t>non-affirming</w:t>
      </w:r>
      <w:r w:rsidR="003D640C">
        <w:t xml:space="preserve"> </w:t>
      </w:r>
      <w:r w:rsidRPr="00BB6220">
        <w:t>beliefs</w:t>
      </w:r>
      <w:r w:rsidR="003D640C">
        <w:t xml:space="preserve"> </w:t>
      </w:r>
      <w:r w:rsidRPr="00BB6220">
        <w:t>and</w:t>
      </w:r>
      <w:r w:rsidR="003D640C">
        <w:t xml:space="preserve"> </w:t>
      </w:r>
      <w:r w:rsidRPr="00BB6220">
        <w:t>community</w:t>
      </w:r>
      <w:r w:rsidR="003D640C">
        <w:t xml:space="preserve"> </w:t>
      </w:r>
      <w:r w:rsidRPr="00BB6220">
        <w:t>members.</w:t>
      </w:r>
      <w:r w:rsidR="003D640C">
        <w:t xml:space="preserve"> </w:t>
      </w:r>
      <w:r w:rsidRPr="00BB6220">
        <w:t>While</w:t>
      </w:r>
      <w:r w:rsidR="003D640C">
        <w:t xml:space="preserve"> </w:t>
      </w:r>
      <w:r w:rsidRPr="00BB6220">
        <w:t>some</w:t>
      </w:r>
      <w:r w:rsidR="003D640C">
        <w:t xml:space="preserve"> </w:t>
      </w:r>
      <w:r w:rsidRPr="00BB6220">
        <w:t>survivors</w:t>
      </w:r>
      <w:r w:rsidR="003D640C">
        <w:t xml:space="preserve"> </w:t>
      </w:r>
      <w:bookmarkStart w:id="195" w:name="_Int_ilGLiHAN"/>
      <w:r w:rsidRPr="00BB6220">
        <w:t>are</w:t>
      </w:r>
      <w:r w:rsidR="003D640C">
        <w:t xml:space="preserve"> </w:t>
      </w:r>
      <w:r w:rsidRPr="00BB6220">
        <w:t>able</w:t>
      </w:r>
      <w:r w:rsidR="003D640C">
        <w:t xml:space="preserve"> </w:t>
      </w:r>
      <w:r w:rsidRPr="00BB6220">
        <w:t>to</w:t>
      </w:r>
      <w:bookmarkEnd w:id="195"/>
      <w:r w:rsidR="003D640C">
        <w:t xml:space="preserve"> </w:t>
      </w:r>
      <w:r w:rsidRPr="00BB6220">
        <w:t>find</w:t>
      </w:r>
      <w:r w:rsidR="003D640C">
        <w:t xml:space="preserve"> </w:t>
      </w:r>
      <w:r w:rsidRPr="00BB6220">
        <w:t>new</w:t>
      </w:r>
      <w:r w:rsidR="003D640C">
        <w:t xml:space="preserve"> </w:t>
      </w:r>
      <w:r w:rsidR="00744525" w:rsidRPr="00BB6220">
        <w:rPr>
          <w:rFonts w:eastAsia="Times New Roman"/>
          <w:lang w:eastAsia="en-NZ"/>
        </w:rPr>
        <w:t>Rainbow</w:t>
      </w:r>
      <w:r w:rsidR="005B2A50">
        <w:rPr>
          <w:rFonts w:eastAsia="Times New Roman"/>
          <w:lang w:eastAsia="en-NZ"/>
        </w:rPr>
        <w:t>-</w:t>
      </w:r>
      <w:r w:rsidRPr="00BB6220">
        <w:t>affirming</w:t>
      </w:r>
      <w:r w:rsidR="003D640C">
        <w:t xml:space="preserve"> </w:t>
      </w:r>
      <w:r w:rsidR="00D2475E" w:rsidRPr="00BB6220">
        <w:t>religious</w:t>
      </w:r>
      <w:r w:rsidR="003D640C">
        <w:t xml:space="preserve"> </w:t>
      </w:r>
      <w:r w:rsidRPr="00BB6220">
        <w:t>communities</w:t>
      </w:r>
      <w:r w:rsidR="008D2E32" w:rsidRPr="00BB6220">
        <w:t>,</w:t>
      </w:r>
      <w:r w:rsidR="003D640C">
        <w:t xml:space="preserve"> </w:t>
      </w:r>
      <w:r w:rsidRPr="00BB6220">
        <w:t>many,</w:t>
      </w:r>
      <w:r w:rsidR="003D640C">
        <w:t xml:space="preserve"> </w:t>
      </w:r>
      <w:r w:rsidRPr="00BB6220">
        <w:t>including</w:t>
      </w:r>
      <w:r w:rsidR="003D640C">
        <w:t xml:space="preserve"> </w:t>
      </w:r>
      <w:r w:rsidRPr="00BB6220">
        <w:t>those</w:t>
      </w:r>
      <w:r w:rsidR="003D640C">
        <w:t xml:space="preserve"> </w:t>
      </w:r>
      <w:r w:rsidRPr="00BB6220">
        <w:t>who</w:t>
      </w:r>
      <w:r w:rsidR="003D640C">
        <w:t xml:space="preserve"> </w:t>
      </w:r>
      <w:r w:rsidRPr="00BB6220">
        <w:t>initially</w:t>
      </w:r>
      <w:r w:rsidR="003D640C">
        <w:t xml:space="preserve"> </w:t>
      </w:r>
      <w:r w:rsidRPr="00BB6220">
        <w:t>want</w:t>
      </w:r>
      <w:r w:rsidR="003D640C">
        <w:t xml:space="preserve"> </w:t>
      </w:r>
      <w:r w:rsidRPr="00BB6220">
        <w:t>to</w:t>
      </w:r>
      <w:r w:rsidR="003D640C">
        <w:t xml:space="preserve"> </w:t>
      </w:r>
      <w:r w:rsidRPr="00BB6220">
        <w:t>continue</w:t>
      </w:r>
      <w:r w:rsidR="003D640C">
        <w:t xml:space="preserve"> </w:t>
      </w:r>
      <w:r w:rsidRPr="00BB6220">
        <w:t>with</w:t>
      </w:r>
      <w:r w:rsidR="003D640C">
        <w:t xml:space="preserve"> </w:t>
      </w:r>
      <w:r w:rsidRPr="00BB6220">
        <w:t>a</w:t>
      </w:r>
      <w:r w:rsidR="003D640C">
        <w:t xml:space="preserve"> </w:t>
      </w:r>
      <w:r w:rsidRPr="00BB6220">
        <w:t>spiritual</w:t>
      </w:r>
      <w:r w:rsidR="003D640C">
        <w:t xml:space="preserve"> </w:t>
      </w:r>
      <w:r w:rsidRPr="00BB6220">
        <w:t>practice,</w:t>
      </w:r>
      <w:r w:rsidR="003D640C">
        <w:t xml:space="preserve"> </w:t>
      </w:r>
      <w:r w:rsidRPr="00BB6220">
        <w:t>find</w:t>
      </w:r>
      <w:r w:rsidR="003D640C">
        <w:t xml:space="preserve"> </w:t>
      </w:r>
      <w:r w:rsidRPr="00BB6220">
        <w:t>the</w:t>
      </w:r>
      <w:r w:rsidR="003D640C">
        <w:t xml:space="preserve"> </w:t>
      </w:r>
      <w:r w:rsidRPr="00BB6220">
        <w:t>triggers</w:t>
      </w:r>
      <w:r w:rsidR="003D640C">
        <w:t xml:space="preserve"> </w:t>
      </w:r>
      <w:r w:rsidRPr="00BB6220">
        <w:t>remain</w:t>
      </w:r>
      <w:r w:rsidR="003D640C">
        <w:t xml:space="preserve"> </w:t>
      </w:r>
      <w:r w:rsidRPr="00BB6220">
        <w:t>too</w:t>
      </w:r>
      <w:r w:rsidR="003D640C">
        <w:t xml:space="preserve"> </w:t>
      </w:r>
      <w:r w:rsidRPr="00BB6220">
        <w:t>strong</w:t>
      </w:r>
      <w:r w:rsidR="003D640C">
        <w:t xml:space="preserve"> </w:t>
      </w:r>
      <w:r w:rsidRPr="00BB6220">
        <w:t>and</w:t>
      </w:r>
      <w:r w:rsidR="003D640C">
        <w:t xml:space="preserve"> </w:t>
      </w:r>
      <w:bookmarkStart w:id="196" w:name="_Int_MATzu6HA"/>
      <w:r w:rsidRPr="00BB6220">
        <w:t>ultimately</w:t>
      </w:r>
      <w:r w:rsidR="003D640C">
        <w:t xml:space="preserve"> </w:t>
      </w:r>
      <w:r w:rsidRPr="00BB6220">
        <w:t>give</w:t>
      </w:r>
      <w:bookmarkEnd w:id="196"/>
      <w:r w:rsidR="003D640C">
        <w:t xml:space="preserve"> </w:t>
      </w:r>
      <w:r w:rsidRPr="00BB6220">
        <w:t>up.</w:t>
      </w:r>
      <w:r w:rsidR="003D640C">
        <w:t xml:space="preserve"> </w:t>
      </w:r>
    </w:p>
    <w:p w14:paraId="51938041" w14:textId="77777777" w:rsidR="00501068" w:rsidRDefault="00D527F0" w:rsidP="0068108F">
      <w:r w:rsidRPr="00BB6220">
        <w:t>Changing</w:t>
      </w:r>
      <w:r w:rsidR="003D640C">
        <w:t xml:space="preserve"> </w:t>
      </w:r>
      <w:r w:rsidRPr="00BB6220">
        <w:t>or</w:t>
      </w:r>
      <w:r w:rsidR="003D640C">
        <w:t xml:space="preserve"> </w:t>
      </w:r>
      <w:r w:rsidRPr="00BB6220">
        <w:t>stopping</w:t>
      </w:r>
      <w:r w:rsidR="003D640C">
        <w:t xml:space="preserve"> </w:t>
      </w:r>
      <w:r w:rsidRPr="00BB6220">
        <w:t>spiritual</w:t>
      </w:r>
      <w:r w:rsidR="003D640C">
        <w:t xml:space="preserve"> </w:t>
      </w:r>
      <w:r w:rsidRPr="00BB6220">
        <w:t>practice</w:t>
      </w:r>
      <w:r w:rsidR="003D640C">
        <w:t xml:space="preserve"> </w:t>
      </w:r>
      <w:r w:rsidRPr="00BB6220">
        <w:t>often</w:t>
      </w:r>
      <w:r w:rsidR="003D640C">
        <w:t xml:space="preserve"> </w:t>
      </w:r>
      <w:r w:rsidRPr="00BB6220">
        <w:t>puts</w:t>
      </w:r>
      <w:r w:rsidR="003D640C">
        <w:t xml:space="preserve"> </w:t>
      </w:r>
      <w:r w:rsidRPr="00BB6220">
        <w:t>survivors</w:t>
      </w:r>
      <w:r w:rsidR="003D640C">
        <w:t xml:space="preserve"> </w:t>
      </w:r>
      <w:r w:rsidRPr="00BB6220">
        <w:t>at</w:t>
      </w:r>
      <w:r w:rsidR="003D640C">
        <w:t xml:space="preserve"> </w:t>
      </w:r>
      <w:r w:rsidRPr="00BB6220">
        <w:t>odds</w:t>
      </w:r>
      <w:r w:rsidR="003D640C">
        <w:t xml:space="preserve"> </w:t>
      </w:r>
      <w:r w:rsidRPr="00BB6220">
        <w:t>with</w:t>
      </w:r>
      <w:r w:rsidR="003D640C">
        <w:t xml:space="preserve"> </w:t>
      </w:r>
      <w:r w:rsidRPr="00BB6220">
        <w:t>whānau</w:t>
      </w:r>
      <w:r w:rsidR="003D640C">
        <w:t xml:space="preserve"> </w:t>
      </w:r>
      <w:r w:rsidRPr="00BB6220">
        <w:t>and</w:t>
      </w:r>
      <w:r w:rsidR="003D640C">
        <w:t xml:space="preserve"> </w:t>
      </w:r>
      <w:r w:rsidRPr="00BB6220">
        <w:t>community</w:t>
      </w:r>
      <w:r w:rsidR="003D640C">
        <w:t xml:space="preserve"> </w:t>
      </w:r>
      <w:r w:rsidRPr="00BB6220">
        <w:t>around</w:t>
      </w:r>
      <w:r w:rsidR="003D640C">
        <w:t xml:space="preserve"> </w:t>
      </w:r>
      <w:r w:rsidRPr="00BB6220">
        <w:t>them.</w:t>
      </w:r>
      <w:r w:rsidR="003D640C">
        <w:t xml:space="preserve"> </w:t>
      </w:r>
      <w:r w:rsidRPr="00BB6220">
        <w:t>This</w:t>
      </w:r>
      <w:r w:rsidR="003D640C">
        <w:t xml:space="preserve"> </w:t>
      </w:r>
      <w:r w:rsidR="008D2E32" w:rsidRPr="00BB6220">
        <w:t>can</w:t>
      </w:r>
      <w:r w:rsidR="003D640C">
        <w:t xml:space="preserve"> </w:t>
      </w:r>
      <w:r w:rsidR="008D2E32" w:rsidRPr="00BB6220">
        <w:t>manifest</w:t>
      </w:r>
      <w:r w:rsidR="003D640C">
        <w:t xml:space="preserve"> </w:t>
      </w:r>
      <w:r w:rsidR="008D2E32" w:rsidRPr="00BB6220">
        <w:t>as</w:t>
      </w:r>
      <w:r w:rsidR="003D640C">
        <w:t xml:space="preserve"> </w:t>
      </w:r>
      <w:r w:rsidRPr="00BB6220">
        <w:t>disagreements</w:t>
      </w:r>
      <w:r w:rsidR="003D640C">
        <w:t xml:space="preserve"> </w:t>
      </w:r>
      <w:r w:rsidRPr="00BB6220">
        <w:t>about</w:t>
      </w:r>
      <w:r w:rsidR="003D640C">
        <w:t xml:space="preserve"> </w:t>
      </w:r>
      <w:r w:rsidRPr="00BB6220">
        <w:t>faith</w:t>
      </w:r>
      <w:r w:rsidR="003D640C">
        <w:t xml:space="preserve"> </w:t>
      </w:r>
      <w:r w:rsidRPr="00BB6220">
        <w:t>and</w:t>
      </w:r>
      <w:r w:rsidR="003D640C">
        <w:t xml:space="preserve"> </w:t>
      </w:r>
      <w:r w:rsidR="00E82FE7" w:rsidRPr="00BB6220">
        <w:t>make</w:t>
      </w:r>
      <w:r w:rsidR="003D640C">
        <w:t xml:space="preserve"> </w:t>
      </w:r>
      <w:r w:rsidRPr="00BB6220">
        <w:t>milestone</w:t>
      </w:r>
      <w:r w:rsidR="003D640C">
        <w:t xml:space="preserve"> </w:t>
      </w:r>
      <w:r w:rsidRPr="00BB6220">
        <w:t>events</w:t>
      </w:r>
      <w:r w:rsidR="003D640C">
        <w:t xml:space="preserve"> </w:t>
      </w:r>
      <w:r w:rsidRPr="00BB6220">
        <w:t>such</w:t>
      </w:r>
      <w:r w:rsidR="003D640C">
        <w:t xml:space="preserve"> </w:t>
      </w:r>
      <w:r w:rsidRPr="00BB6220">
        <w:t>as</w:t>
      </w:r>
      <w:r w:rsidR="003D640C">
        <w:t xml:space="preserve"> </w:t>
      </w:r>
      <w:r w:rsidRPr="00BB6220">
        <w:t>weddings,</w:t>
      </w:r>
      <w:r w:rsidR="003D640C">
        <w:t xml:space="preserve"> </w:t>
      </w:r>
      <w:r w:rsidRPr="00BB6220">
        <w:t>funerals</w:t>
      </w:r>
      <w:r w:rsidR="5C8BF878" w:rsidRPr="00BB6220">
        <w:t>,</w:t>
      </w:r>
      <w:r w:rsidR="003D640C">
        <w:t xml:space="preserve"> </w:t>
      </w:r>
      <w:r w:rsidRPr="00BB6220">
        <w:t>and</w:t>
      </w:r>
      <w:r w:rsidR="003D640C">
        <w:t xml:space="preserve"> </w:t>
      </w:r>
      <w:r w:rsidRPr="00BB6220">
        <w:t>religious</w:t>
      </w:r>
      <w:r w:rsidR="003D640C">
        <w:t xml:space="preserve"> </w:t>
      </w:r>
      <w:r w:rsidRPr="00BB6220">
        <w:t>holidays</w:t>
      </w:r>
      <w:r w:rsidR="003D640C">
        <w:t xml:space="preserve"> </w:t>
      </w:r>
      <w:r w:rsidR="00E82FE7" w:rsidRPr="00BB6220">
        <w:t>challenging</w:t>
      </w:r>
      <w:r w:rsidR="003D640C">
        <w:t xml:space="preserve"> </w:t>
      </w:r>
      <w:r w:rsidR="0094297B" w:rsidRPr="00BB6220">
        <w:t>and</w:t>
      </w:r>
      <w:r w:rsidR="003D640C">
        <w:t xml:space="preserve"> </w:t>
      </w:r>
      <w:r w:rsidR="0094297B" w:rsidRPr="00BB6220">
        <w:t>anxiety</w:t>
      </w:r>
      <w:r w:rsidR="00744525" w:rsidRPr="00BB6220">
        <w:t>-inducing.</w:t>
      </w:r>
      <w:r w:rsidR="003D640C">
        <w:t xml:space="preserve"> </w:t>
      </w:r>
    </w:p>
    <w:p w14:paraId="3EDBB103" w14:textId="77777777" w:rsidR="00501068" w:rsidRDefault="000872CA" w:rsidP="005C0E11">
      <w:pPr>
        <w:pStyle w:val="Heading2"/>
      </w:pPr>
      <w:bookmarkStart w:id="197" w:name="_Toc1167972176"/>
      <w:bookmarkStart w:id="198" w:name="_Toc174628661"/>
      <w:r>
        <w:t>Physical</w:t>
      </w:r>
      <w:r w:rsidR="003D640C">
        <w:t xml:space="preserve"> </w:t>
      </w:r>
      <w:r w:rsidR="00DB0FF5">
        <w:t>harms</w:t>
      </w:r>
      <w:r w:rsidR="003D640C">
        <w:t xml:space="preserve"> </w:t>
      </w:r>
      <w:r w:rsidR="00DB0FF5">
        <w:t>of</w:t>
      </w:r>
      <w:r w:rsidR="003D640C">
        <w:t xml:space="preserve"> </w:t>
      </w:r>
      <w:r w:rsidR="00DB0FF5">
        <w:t>conversion</w:t>
      </w:r>
      <w:r w:rsidR="003D640C">
        <w:t xml:space="preserve"> </w:t>
      </w:r>
      <w:r w:rsidR="00390B25">
        <w:t>practices</w:t>
      </w:r>
      <w:bookmarkEnd w:id="197"/>
      <w:bookmarkEnd w:id="198"/>
    </w:p>
    <w:p w14:paraId="351D4B84" w14:textId="66DAE44E" w:rsidR="00AA717B" w:rsidRDefault="00D527F0" w:rsidP="0068108F">
      <w:r w:rsidRPr="00BB6220">
        <w:t>Physical</w:t>
      </w:r>
      <w:r w:rsidR="003D640C">
        <w:t xml:space="preserve"> </w:t>
      </w:r>
      <w:r w:rsidRPr="00BB6220">
        <w:t>harm</w:t>
      </w:r>
      <w:r w:rsidR="003D640C">
        <w:t xml:space="preserve"> </w:t>
      </w:r>
      <w:r w:rsidRPr="00BB6220">
        <w:t>is</w:t>
      </w:r>
      <w:r w:rsidR="003D640C">
        <w:t xml:space="preserve"> </w:t>
      </w:r>
      <w:r w:rsidRPr="00BB6220">
        <w:t>also</w:t>
      </w:r>
      <w:r w:rsidR="003D640C">
        <w:t xml:space="preserve"> </w:t>
      </w:r>
      <w:r w:rsidRPr="00BB6220">
        <w:t>common</w:t>
      </w:r>
      <w:r w:rsidR="003D640C">
        <w:t xml:space="preserve"> </w:t>
      </w:r>
      <w:r w:rsidRPr="00BB6220">
        <w:t>in</w:t>
      </w:r>
      <w:r w:rsidR="003D640C">
        <w:t xml:space="preserve"> </w:t>
      </w:r>
      <w:r w:rsidRPr="00BB6220">
        <w:t>conversion</w:t>
      </w:r>
      <w:r w:rsidR="003D640C">
        <w:t xml:space="preserve"> </w:t>
      </w:r>
      <w:r w:rsidRPr="00BB6220">
        <w:t>practices</w:t>
      </w:r>
      <w:r w:rsidR="003914E8">
        <w:t>,</w:t>
      </w:r>
      <w:r w:rsidR="003D640C">
        <w:t xml:space="preserve"> </w:t>
      </w:r>
      <w:r w:rsidR="003914E8">
        <w:t>as</w:t>
      </w:r>
      <w:r w:rsidR="003D640C">
        <w:t xml:space="preserve"> </w:t>
      </w:r>
      <w:r w:rsidR="003914E8">
        <w:t>illustrated</w:t>
      </w:r>
      <w:r w:rsidR="003D640C">
        <w:t xml:space="preserve"> </w:t>
      </w:r>
      <w:r w:rsidR="003914E8">
        <w:t>by</w:t>
      </w:r>
      <w:r w:rsidR="003D640C">
        <w:t xml:space="preserve"> </w:t>
      </w:r>
      <w:r w:rsidR="003914E8">
        <w:t>t</w:t>
      </w:r>
      <w:r w:rsidR="0058604A">
        <w:t>he</w:t>
      </w:r>
      <w:r w:rsidR="003D640C">
        <w:t xml:space="preserve"> </w:t>
      </w:r>
      <w:r w:rsidR="0058604A">
        <w:t>following</w:t>
      </w:r>
      <w:r w:rsidR="003D640C">
        <w:t xml:space="preserve"> </w:t>
      </w:r>
      <w:r w:rsidR="0058604A">
        <w:t>quote</w:t>
      </w:r>
      <w:r w:rsidR="00CD5809">
        <w:t>.</w:t>
      </w:r>
    </w:p>
    <w:p w14:paraId="77FE5F13" w14:textId="18304886" w:rsidR="00AA717B" w:rsidRPr="00B1465F" w:rsidRDefault="00AA717B" w:rsidP="0068108F">
      <w:pPr>
        <w:pStyle w:val="Quote"/>
      </w:pPr>
      <w:r w:rsidRPr="00B1465F">
        <w:t>“It</w:t>
      </w:r>
      <w:r w:rsidR="003D640C">
        <w:t xml:space="preserve"> </w:t>
      </w:r>
      <w:r w:rsidRPr="00B1465F">
        <w:t>was</w:t>
      </w:r>
      <w:r w:rsidR="003D640C">
        <w:t xml:space="preserve"> </w:t>
      </w:r>
      <w:r w:rsidRPr="00B1465F">
        <w:t>quite</w:t>
      </w:r>
      <w:r w:rsidR="003D640C">
        <w:t xml:space="preserve"> </w:t>
      </w:r>
      <w:r w:rsidRPr="00B1465F">
        <w:t>stressful.</w:t>
      </w:r>
      <w:r w:rsidR="003D640C">
        <w:t xml:space="preserve"> </w:t>
      </w:r>
      <w:r w:rsidRPr="00B1465F">
        <w:t>They</w:t>
      </w:r>
      <w:r w:rsidR="003D640C">
        <w:t xml:space="preserve"> </w:t>
      </w:r>
      <w:r w:rsidRPr="00B1465F">
        <w:t>would</w:t>
      </w:r>
      <w:r w:rsidR="003D640C">
        <w:t xml:space="preserve"> </w:t>
      </w:r>
      <w:r w:rsidRPr="00B1465F">
        <w:t>set</w:t>
      </w:r>
      <w:r w:rsidR="003D640C">
        <w:t xml:space="preserve"> </w:t>
      </w:r>
      <w:r w:rsidRPr="00B1465F">
        <w:t>fire</w:t>
      </w:r>
      <w:r w:rsidR="003D640C">
        <w:t xml:space="preserve"> </w:t>
      </w:r>
      <w:r w:rsidRPr="00B1465F">
        <w:t>to</w:t>
      </w:r>
      <w:r w:rsidR="003D640C">
        <w:t xml:space="preserve"> </w:t>
      </w:r>
      <w:r w:rsidRPr="00B1465F">
        <w:t>all</w:t>
      </w:r>
      <w:r w:rsidR="003D640C">
        <w:t xml:space="preserve"> </w:t>
      </w:r>
      <w:r w:rsidRPr="00B1465F">
        <w:t>the</w:t>
      </w:r>
      <w:r w:rsidR="003D640C">
        <w:t xml:space="preserve"> </w:t>
      </w:r>
      <w:r w:rsidRPr="00B1465F">
        <w:t>boys’</w:t>
      </w:r>
      <w:r w:rsidR="003D640C">
        <w:t xml:space="preserve"> </w:t>
      </w:r>
      <w:r w:rsidRPr="00B1465F">
        <w:t>clothes</w:t>
      </w:r>
      <w:r w:rsidR="003D640C">
        <w:t xml:space="preserve"> </w:t>
      </w:r>
      <w:r w:rsidRPr="00B1465F">
        <w:t>I</w:t>
      </w:r>
      <w:r w:rsidR="003D640C">
        <w:t xml:space="preserve"> </w:t>
      </w:r>
      <w:r w:rsidRPr="00B1465F">
        <w:t>liked</w:t>
      </w:r>
      <w:r w:rsidR="003D640C">
        <w:t xml:space="preserve"> </w:t>
      </w:r>
      <w:r w:rsidRPr="00B1465F">
        <w:t>wearing.</w:t>
      </w:r>
      <w:r w:rsidR="003D640C">
        <w:t xml:space="preserve"> </w:t>
      </w:r>
      <w:r w:rsidRPr="00B1465F">
        <w:t>At</w:t>
      </w:r>
      <w:r w:rsidR="003D640C">
        <w:t xml:space="preserve"> </w:t>
      </w:r>
      <w:r w:rsidRPr="00B1465F">
        <w:t>one</w:t>
      </w:r>
      <w:r w:rsidR="003D640C">
        <w:t xml:space="preserve"> </w:t>
      </w:r>
      <w:r w:rsidRPr="00B1465F">
        <w:t>point,</w:t>
      </w:r>
      <w:r w:rsidR="003D640C">
        <w:t xml:space="preserve"> </w:t>
      </w:r>
      <w:r w:rsidRPr="00B1465F">
        <w:t>I</w:t>
      </w:r>
      <w:r w:rsidR="003D640C">
        <w:t xml:space="preserve"> </w:t>
      </w:r>
      <w:r w:rsidRPr="00B1465F">
        <w:t>was</w:t>
      </w:r>
      <w:r w:rsidR="003D640C">
        <w:t xml:space="preserve"> </w:t>
      </w:r>
      <w:r w:rsidRPr="00B1465F">
        <w:t>tied</w:t>
      </w:r>
      <w:r w:rsidR="003D640C">
        <w:t xml:space="preserve"> </w:t>
      </w:r>
      <w:r w:rsidRPr="00B1465F">
        <w:t>up</w:t>
      </w:r>
      <w:r w:rsidR="003D640C">
        <w:t xml:space="preserve"> </w:t>
      </w:r>
      <w:r w:rsidRPr="00B1465F">
        <w:t>and</w:t>
      </w:r>
      <w:r w:rsidR="003D640C">
        <w:t xml:space="preserve"> </w:t>
      </w:r>
      <w:r w:rsidRPr="00B1465F">
        <w:t>hung</w:t>
      </w:r>
      <w:r w:rsidR="003D640C">
        <w:t xml:space="preserve"> </w:t>
      </w:r>
      <w:r w:rsidRPr="00B1465F">
        <w:t>from</w:t>
      </w:r>
      <w:r w:rsidR="003D640C">
        <w:t xml:space="preserve"> </w:t>
      </w:r>
      <w:r w:rsidRPr="00B1465F">
        <w:t>the</w:t>
      </w:r>
      <w:r w:rsidR="003D640C">
        <w:t xml:space="preserve"> </w:t>
      </w:r>
      <w:r w:rsidRPr="00B1465F">
        <w:t>ceiling</w:t>
      </w:r>
      <w:r w:rsidR="003D640C">
        <w:t xml:space="preserve"> </w:t>
      </w:r>
      <w:r w:rsidRPr="00B1465F">
        <w:t>fan</w:t>
      </w:r>
      <w:r w:rsidR="003D640C">
        <w:t xml:space="preserve"> </w:t>
      </w:r>
      <w:r w:rsidRPr="00B1465F">
        <w:t>while</w:t>
      </w:r>
      <w:r w:rsidR="003D640C">
        <w:t xml:space="preserve"> </w:t>
      </w:r>
      <w:r w:rsidRPr="00B1465F">
        <w:t>my</w:t>
      </w:r>
      <w:r w:rsidR="003D640C">
        <w:t xml:space="preserve"> </w:t>
      </w:r>
      <w:r w:rsidRPr="00B1465F">
        <w:t>uncles</w:t>
      </w:r>
      <w:r w:rsidR="003D640C">
        <w:t xml:space="preserve"> </w:t>
      </w:r>
      <w:r w:rsidRPr="00B1465F">
        <w:t>would</w:t>
      </w:r>
      <w:r w:rsidR="003D640C">
        <w:t xml:space="preserve"> </w:t>
      </w:r>
      <w:r w:rsidRPr="00B1465F">
        <w:t>thrash</w:t>
      </w:r>
      <w:r w:rsidR="003D640C">
        <w:t xml:space="preserve"> </w:t>
      </w:r>
      <w:r w:rsidRPr="00B1465F">
        <w:t>me</w:t>
      </w:r>
      <w:r w:rsidR="003D640C">
        <w:t xml:space="preserve"> </w:t>
      </w:r>
      <w:r w:rsidRPr="00B1465F">
        <w:t>non-stop</w:t>
      </w:r>
      <w:r w:rsidR="003D640C">
        <w:t xml:space="preserve"> </w:t>
      </w:r>
      <w:r w:rsidRPr="00B1465F">
        <w:t>while</w:t>
      </w:r>
      <w:r w:rsidR="003D640C">
        <w:t xml:space="preserve"> </w:t>
      </w:r>
      <w:r w:rsidRPr="00B1465F">
        <w:t>I</w:t>
      </w:r>
      <w:r w:rsidR="003D640C">
        <w:t xml:space="preserve"> </w:t>
      </w:r>
      <w:r w:rsidRPr="00B1465F">
        <w:t>cried.</w:t>
      </w:r>
      <w:r w:rsidR="003D640C">
        <w:t xml:space="preserve"> </w:t>
      </w:r>
      <w:r w:rsidRPr="00B1465F">
        <w:t>My</w:t>
      </w:r>
      <w:r w:rsidR="003D640C">
        <w:t xml:space="preserve"> </w:t>
      </w:r>
      <w:r w:rsidRPr="00B1465F">
        <w:t>youngest</w:t>
      </w:r>
      <w:r w:rsidR="003D640C">
        <w:t xml:space="preserve"> </w:t>
      </w:r>
      <w:r w:rsidRPr="00B1465F">
        <w:t>uncle</w:t>
      </w:r>
      <w:r w:rsidR="003D640C">
        <w:t xml:space="preserve"> </w:t>
      </w:r>
      <w:r w:rsidRPr="00B1465F">
        <w:t>would</w:t>
      </w:r>
      <w:r w:rsidR="003D640C">
        <w:t xml:space="preserve"> </w:t>
      </w:r>
      <w:r w:rsidRPr="00B1465F">
        <w:t>be</w:t>
      </w:r>
      <w:r w:rsidR="003D640C">
        <w:t xml:space="preserve"> </w:t>
      </w:r>
      <w:r w:rsidRPr="00B1465F">
        <w:t>the</w:t>
      </w:r>
      <w:r w:rsidR="003D640C">
        <w:t xml:space="preserve"> </w:t>
      </w:r>
      <w:r w:rsidRPr="00B1465F">
        <w:t>main</w:t>
      </w:r>
      <w:r w:rsidR="003D640C">
        <w:t xml:space="preserve"> </w:t>
      </w:r>
      <w:r w:rsidRPr="00B1465F">
        <w:t>force</w:t>
      </w:r>
      <w:r w:rsidR="003D640C">
        <w:t xml:space="preserve"> </w:t>
      </w:r>
      <w:r w:rsidRPr="00B1465F">
        <w:t>behind</w:t>
      </w:r>
      <w:r w:rsidR="003D640C">
        <w:t xml:space="preserve"> </w:t>
      </w:r>
      <w:r w:rsidRPr="00B1465F">
        <w:t>this</w:t>
      </w:r>
      <w:r w:rsidR="003D640C">
        <w:t xml:space="preserve"> </w:t>
      </w:r>
      <w:r w:rsidRPr="00B1465F">
        <w:t>torture.</w:t>
      </w:r>
      <w:r w:rsidR="003D640C">
        <w:t xml:space="preserve"> </w:t>
      </w:r>
      <w:r w:rsidRPr="00B1465F">
        <w:t>My</w:t>
      </w:r>
      <w:r w:rsidR="003D640C">
        <w:t xml:space="preserve"> </w:t>
      </w:r>
      <w:r w:rsidRPr="00B1465F">
        <w:t>father</w:t>
      </w:r>
      <w:r w:rsidR="003D640C">
        <w:t xml:space="preserve"> </w:t>
      </w:r>
      <w:r w:rsidRPr="00B1465F">
        <w:t>and</w:t>
      </w:r>
      <w:r w:rsidR="003D640C">
        <w:t xml:space="preserve"> </w:t>
      </w:r>
      <w:r w:rsidRPr="00B1465F">
        <w:t>mother</w:t>
      </w:r>
      <w:r w:rsidR="003D640C">
        <w:t xml:space="preserve"> </w:t>
      </w:r>
      <w:r w:rsidRPr="00B1465F">
        <w:t>were</w:t>
      </w:r>
      <w:r w:rsidR="003D640C">
        <w:t xml:space="preserve"> </w:t>
      </w:r>
      <w:r w:rsidRPr="00B1465F">
        <w:t>away</w:t>
      </w:r>
      <w:r w:rsidR="003D640C">
        <w:t xml:space="preserve"> </w:t>
      </w:r>
      <w:r w:rsidRPr="00B1465F">
        <w:t>…</w:t>
      </w:r>
      <w:r w:rsidR="003D640C">
        <w:t xml:space="preserve"> </w:t>
      </w:r>
      <w:r w:rsidRPr="00B1465F">
        <w:t>and</w:t>
      </w:r>
      <w:r w:rsidR="003D640C">
        <w:t xml:space="preserve"> </w:t>
      </w:r>
      <w:r w:rsidRPr="00B1465F">
        <w:t>this</w:t>
      </w:r>
      <w:r w:rsidR="003D640C">
        <w:t xml:space="preserve"> </w:t>
      </w:r>
      <w:r w:rsidRPr="00B1465F">
        <w:t>is</w:t>
      </w:r>
      <w:r w:rsidR="003D640C">
        <w:t xml:space="preserve"> </w:t>
      </w:r>
      <w:r w:rsidRPr="00B1465F">
        <w:t>how</w:t>
      </w:r>
      <w:r w:rsidR="003D640C">
        <w:t xml:space="preserve"> </w:t>
      </w:r>
      <w:r w:rsidRPr="00B1465F">
        <w:t>I</w:t>
      </w:r>
      <w:r w:rsidR="003D640C">
        <w:t xml:space="preserve"> </w:t>
      </w:r>
      <w:r w:rsidRPr="00B1465F">
        <w:t>would</w:t>
      </w:r>
      <w:r w:rsidR="003D640C">
        <w:t xml:space="preserve"> </w:t>
      </w:r>
      <w:r w:rsidRPr="00B1465F">
        <w:t>be</w:t>
      </w:r>
      <w:r w:rsidR="003D640C">
        <w:t xml:space="preserve"> </w:t>
      </w:r>
      <w:r w:rsidRPr="00B1465F">
        <w:t>treated</w:t>
      </w:r>
      <w:r w:rsidR="003D640C">
        <w:t xml:space="preserve"> </w:t>
      </w:r>
      <w:r w:rsidRPr="00B1465F">
        <w:t>at</w:t>
      </w:r>
      <w:r w:rsidR="003D640C">
        <w:t xml:space="preserve"> </w:t>
      </w:r>
      <w:r w:rsidRPr="00B1465F">
        <w:t>home.”</w:t>
      </w:r>
      <w:r w:rsidR="003D640C">
        <w:t xml:space="preserve"> </w:t>
      </w:r>
      <w:r w:rsidRPr="00B1465F">
        <w:t>Indian,</w:t>
      </w:r>
      <w:r w:rsidR="003D640C">
        <w:t xml:space="preserve"> </w:t>
      </w:r>
      <w:r w:rsidRPr="00B1465F">
        <w:t>queer</w:t>
      </w:r>
    </w:p>
    <w:p w14:paraId="0266FD6C" w14:textId="458FFA92" w:rsidR="00501068" w:rsidRDefault="00EA59B3" w:rsidP="0068108F">
      <w:r w:rsidRPr="00BB6220">
        <w:t>R</w:t>
      </w:r>
      <w:r w:rsidR="00D527F0" w:rsidRPr="00BB6220">
        <w:t>itual</w:t>
      </w:r>
      <w:r w:rsidR="003D640C">
        <w:t xml:space="preserve"> </w:t>
      </w:r>
      <w:r w:rsidR="00D527F0" w:rsidRPr="00BB6220">
        <w:t>self-harm</w:t>
      </w:r>
      <w:r w:rsidR="003D640C">
        <w:t xml:space="preserve"> </w:t>
      </w:r>
      <w:r w:rsidRPr="00BB6220">
        <w:t>is</w:t>
      </w:r>
      <w:r w:rsidR="003D640C">
        <w:t xml:space="preserve"> </w:t>
      </w:r>
      <w:r w:rsidRPr="00BB6220">
        <w:t>common</w:t>
      </w:r>
      <w:r w:rsidR="003D640C">
        <w:t xml:space="preserve"> </w:t>
      </w:r>
      <w:r w:rsidRPr="00BB6220">
        <w:t>as</w:t>
      </w:r>
      <w:r w:rsidR="003D640C">
        <w:t xml:space="preserve"> </w:t>
      </w:r>
      <w:r w:rsidRPr="00BB6220">
        <w:t>a</w:t>
      </w:r>
      <w:r w:rsidR="003D640C">
        <w:t xml:space="preserve"> </w:t>
      </w:r>
      <w:r w:rsidR="00916D03" w:rsidRPr="00BB6220">
        <w:t>form</w:t>
      </w:r>
      <w:r w:rsidR="003D640C">
        <w:t xml:space="preserve"> </w:t>
      </w:r>
      <w:r w:rsidR="00916D03" w:rsidRPr="00BB6220">
        <w:t>of</w:t>
      </w:r>
      <w:r w:rsidR="003D640C">
        <w:t xml:space="preserve"> </w:t>
      </w:r>
      <w:r w:rsidR="00916D03" w:rsidRPr="00BB6220">
        <w:t>self-administered</w:t>
      </w:r>
      <w:r w:rsidR="003D640C">
        <w:t xml:space="preserve"> </w:t>
      </w:r>
      <w:r w:rsidR="00916D03" w:rsidRPr="00BB6220">
        <w:t>aversion</w:t>
      </w:r>
      <w:r w:rsidR="003D640C">
        <w:t xml:space="preserve"> </w:t>
      </w:r>
      <w:r w:rsidR="00916D03" w:rsidRPr="00BB6220">
        <w:t>therapy</w:t>
      </w:r>
      <w:r w:rsidR="003D640C">
        <w:t xml:space="preserve"> </w:t>
      </w:r>
      <w:r w:rsidR="00D527F0" w:rsidRPr="00BB6220">
        <w:t>(for</w:t>
      </w:r>
      <w:r w:rsidR="003D640C">
        <w:t xml:space="preserve"> </w:t>
      </w:r>
      <w:r w:rsidR="00D527F0" w:rsidRPr="00BB6220">
        <w:t>example</w:t>
      </w:r>
      <w:r w:rsidR="00E66FED" w:rsidRPr="00BB6220">
        <w:t>,</w:t>
      </w:r>
      <w:r w:rsidR="003D640C">
        <w:t xml:space="preserve"> </w:t>
      </w:r>
      <w:r w:rsidR="00D527F0" w:rsidRPr="00BB6220">
        <w:t>snapping</w:t>
      </w:r>
      <w:r w:rsidR="003D640C">
        <w:t xml:space="preserve"> </w:t>
      </w:r>
      <w:r w:rsidR="00D527F0" w:rsidRPr="00BB6220">
        <w:t>a</w:t>
      </w:r>
      <w:r w:rsidR="003D640C">
        <w:t xml:space="preserve"> </w:t>
      </w:r>
      <w:r w:rsidR="00D527F0" w:rsidRPr="00BB6220">
        <w:t>rubber</w:t>
      </w:r>
      <w:r w:rsidR="003D640C">
        <w:t xml:space="preserve"> </w:t>
      </w:r>
      <w:r w:rsidR="00D527F0" w:rsidRPr="00BB6220">
        <w:t>band</w:t>
      </w:r>
      <w:r w:rsidR="003D640C">
        <w:t xml:space="preserve"> </w:t>
      </w:r>
      <w:r w:rsidR="00D527F0" w:rsidRPr="00BB6220">
        <w:t>on</w:t>
      </w:r>
      <w:r w:rsidR="003D640C">
        <w:t xml:space="preserve"> </w:t>
      </w:r>
      <w:r w:rsidR="00D527F0" w:rsidRPr="00BB6220">
        <w:t>the</w:t>
      </w:r>
      <w:r w:rsidR="003D640C">
        <w:t xml:space="preserve"> </w:t>
      </w:r>
      <w:r w:rsidR="00D527F0" w:rsidRPr="00BB6220">
        <w:t>wrist</w:t>
      </w:r>
      <w:r w:rsidR="003D640C">
        <w:t xml:space="preserve"> </w:t>
      </w:r>
      <w:r w:rsidR="00D527F0" w:rsidRPr="00BB6220">
        <w:t>every</w:t>
      </w:r>
      <w:r w:rsidR="003D640C">
        <w:t xml:space="preserve"> </w:t>
      </w:r>
      <w:r w:rsidR="00D527F0" w:rsidRPr="00BB6220">
        <w:t>time</w:t>
      </w:r>
      <w:r w:rsidR="003D640C">
        <w:t xml:space="preserve"> </w:t>
      </w:r>
      <w:r w:rsidR="00D527F0" w:rsidRPr="00BB6220">
        <w:t>a</w:t>
      </w:r>
      <w:r w:rsidR="003D640C">
        <w:t xml:space="preserve"> </w:t>
      </w:r>
      <w:r w:rsidR="00744525" w:rsidRPr="00BB6220">
        <w:rPr>
          <w:rFonts w:eastAsia="Times New Roman"/>
          <w:lang w:eastAsia="en-NZ"/>
        </w:rPr>
        <w:t>Rainbow</w:t>
      </w:r>
      <w:r w:rsidR="003D640C">
        <w:rPr>
          <w:rFonts w:eastAsia="Times New Roman"/>
          <w:lang w:eastAsia="en-NZ"/>
        </w:rPr>
        <w:t xml:space="preserve"> </w:t>
      </w:r>
      <w:r w:rsidR="00D527F0" w:rsidRPr="00BB6220">
        <w:t>‘thought’</w:t>
      </w:r>
      <w:r w:rsidR="003D640C">
        <w:t xml:space="preserve"> </w:t>
      </w:r>
      <w:r w:rsidR="00D527F0" w:rsidRPr="00BB6220">
        <w:t>comes</w:t>
      </w:r>
      <w:r w:rsidR="003D640C">
        <w:t xml:space="preserve"> </w:t>
      </w:r>
      <w:r w:rsidR="00D527F0" w:rsidRPr="00BB6220">
        <w:t>to</w:t>
      </w:r>
      <w:r w:rsidR="003D640C">
        <w:t xml:space="preserve"> </w:t>
      </w:r>
      <w:r w:rsidR="00D527F0" w:rsidRPr="00BB6220">
        <w:t>mind</w:t>
      </w:r>
      <w:r w:rsidR="00924680" w:rsidRPr="00BB6220">
        <w:t>,</w:t>
      </w:r>
      <w:r w:rsidR="003D640C">
        <w:t xml:space="preserve"> </w:t>
      </w:r>
      <w:r w:rsidR="00924680" w:rsidRPr="00BB6220">
        <w:t>particularly</w:t>
      </w:r>
      <w:r w:rsidR="003D640C">
        <w:t xml:space="preserve"> </w:t>
      </w:r>
      <w:r w:rsidR="00924680" w:rsidRPr="00BB6220">
        <w:t>arousal</w:t>
      </w:r>
      <w:r w:rsidR="00D527F0" w:rsidRPr="00BB6220">
        <w:t>).</w:t>
      </w:r>
      <w:r w:rsidR="003D640C">
        <w:t xml:space="preserve"> </w:t>
      </w:r>
      <w:r w:rsidR="00DC313D" w:rsidRPr="00BB6220">
        <w:t>As</w:t>
      </w:r>
      <w:r w:rsidR="003D640C">
        <w:t xml:space="preserve"> </w:t>
      </w:r>
      <w:r w:rsidR="00DC313D" w:rsidRPr="00BB6220">
        <w:t>shown</w:t>
      </w:r>
      <w:r w:rsidR="003D640C">
        <w:t xml:space="preserve"> </w:t>
      </w:r>
      <w:r w:rsidR="00DC313D" w:rsidRPr="00BB6220">
        <w:t>above,</w:t>
      </w:r>
      <w:r w:rsidR="003D640C">
        <w:t xml:space="preserve"> </w:t>
      </w:r>
      <w:r w:rsidR="00F16E7D" w:rsidRPr="00BB6220">
        <w:t>peer-reviewed</w:t>
      </w:r>
      <w:r w:rsidR="003D640C">
        <w:t xml:space="preserve"> </w:t>
      </w:r>
      <w:r w:rsidR="00AD11DB" w:rsidRPr="00BB6220">
        <w:t>evidence</w:t>
      </w:r>
      <w:r w:rsidR="003D640C">
        <w:t xml:space="preserve"> </w:t>
      </w:r>
      <w:r w:rsidR="00AD11DB" w:rsidRPr="00BB6220">
        <w:t>shows</w:t>
      </w:r>
      <w:r w:rsidR="003D640C">
        <w:t xml:space="preserve"> </w:t>
      </w:r>
      <w:r w:rsidR="00AD11DB" w:rsidRPr="00BB6220">
        <w:t>that</w:t>
      </w:r>
      <w:r w:rsidR="003D640C">
        <w:t xml:space="preserve"> </w:t>
      </w:r>
      <w:r w:rsidR="00AD11DB" w:rsidRPr="00BB6220">
        <w:t>self-harm</w:t>
      </w:r>
      <w:r w:rsidR="003D640C">
        <w:t xml:space="preserve"> </w:t>
      </w:r>
      <w:r w:rsidR="00AD11DB" w:rsidRPr="00BB6220">
        <w:t>and</w:t>
      </w:r>
      <w:r w:rsidR="003D640C">
        <w:t xml:space="preserve"> </w:t>
      </w:r>
      <w:r w:rsidR="00AD11DB" w:rsidRPr="00BB6220">
        <w:t>non-suicidal</w:t>
      </w:r>
      <w:r w:rsidR="003D640C">
        <w:t xml:space="preserve"> </w:t>
      </w:r>
      <w:r w:rsidR="00AD11DB" w:rsidRPr="00BB6220">
        <w:t>self-injury</w:t>
      </w:r>
      <w:r w:rsidR="003D640C">
        <w:t xml:space="preserve"> </w:t>
      </w:r>
      <w:r w:rsidR="00ED34F2" w:rsidRPr="00BB6220">
        <w:t>is</w:t>
      </w:r>
      <w:r w:rsidR="003D640C">
        <w:t xml:space="preserve"> </w:t>
      </w:r>
      <w:r w:rsidR="00ED34F2" w:rsidRPr="00BB6220">
        <w:t>incredibly</w:t>
      </w:r>
      <w:r w:rsidR="003D640C">
        <w:t xml:space="preserve"> </w:t>
      </w:r>
      <w:r w:rsidR="00ED34F2" w:rsidRPr="00BB6220">
        <w:t>common</w:t>
      </w:r>
      <w:r w:rsidR="003D640C">
        <w:t xml:space="preserve"> </w:t>
      </w:r>
      <w:r w:rsidR="00ED34F2" w:rsidRPr="00BB6220">
        <w:t>among</w:t>
      </w:r>
      <w:r w:rsidR="003D640C">
        <w:t xml:space="preserve"> </w:t>
      </w:r>
      <w:r w:rsidR="00ED34F2" w:rsidRPr="00BB6220">
        <w:t>conversion</w:t>
      </w:r>
      <w:r w:rsidR="003D640C">
        <w:t xml:space="preserve"> </w:t>
      </w:r>
      <w:r w:rsidR="00ED34F2" w:rsidRPr="00BB6220">
        <w:t>practice</w:t>
      </w:r>
      <w:r w:rsidR="003D640C">
        <w:t xml:space="preserve"> </w:t>
      </w:r>
      <w:r w:rsidR="00ED34F2" w:rsidRPr="00BB6220">
        <w:t>survivors</w:t>
      </w:r>
      <w:r w:rsidR="003D640C">
        <w:t xml:space="preserve"> </w:t>
      </w:r>
      <w:r w:rsidR="00ED34F2" w:rsidRPr="00BB6220">
        <w:t>and</w:t>
      </w:r>
      <w:r w:rsidR="003D640C">
        <w:t xml:space="preserve"> </w:t>
      </w:r>
      <w:r w:rsidR="00ED34F2" w:rsidRPr="00BB6220">
        <w:t>happens</w:t>
      </w:r>
      <w:r w:rsidR="003D640C">
        <w:t xml:space="preserve"> </w:t>
      </w:r>
      <w:r w:rsidR="00ED34F2" w:rsidRPr="00BB6220">
        <w:t>at</w:t>
      </w:r>
      <w:r w:rsidR="003D640C">
        <w:t xml:space="preserve"> </w:t>
      </w:r>
      <w:r w:rsidR="00744525" w:rsidRPr="00BB6220">
        <w:t>higher</w:t>
      </w:r>
      <w:r w:rsidR="003D640C">
        <w:t xml:space="preserve"> </w:t>
      </w:r>
      <w:r w:rsidR="00ED34F2" w:rsidRPr="00BB6220">
        <w:t>rates</w:t>
      </w:r>
      <w:r w:rsidR="003D640C">
        <w:t xml:space="preserve"> </w:t>
      </w:r>
      <w:r w:rsidR="00744525" w:rsidRPr="00BB6220">
        <w:t>than</w:t>
      </w:r>
      <w:r w:rsidR="003D640C">
        <w:t xml:space="preserve"> </w:t>
      </w:r>
      <w:r w:rsidR="00ED34F2" w:rsidRPr="00BB6220">
        <w:t>the</w:t>
      </w:r>
      <w:r w:rsidR="003D640C">
        <w:t xml:space="preserve"> </w:t>
      </w:r>
      <w:r w:rsidR="00ED34F2" w:rsidRPr="00BB6220">
        <w:t>already</w:t>
      </w:r>
      <w:r w:rsidR="003D640C">
        <w:t xml:space="preserve"> </w:t>
      </w:r>
      <w:r w:rsidR="00ED34F2" w:rsidRPr="00BB6220">
        <w:t>high</w:t>
      </w:r>
      <w:r w:rsidR="003D640C">
        <w:t xml:space="preserve"> </w:t>
      </w:r>
      <w:r w:rsidR="00ED34F2" w:rsidRPr="00BB6220">
        <w:t>rates</w:t>
      </w:r>
      <w:r w:rsidR="003D640C">
        <w:t xml:space="preserve"> </w:t>
      </w:r>
      <w:r w:rsidR="00ED34F2" w:rsidRPr="00BB6220">
        <w:t>experienced</w:t>
      </w:r>
      <w:r w:rsidR="003D640C">
        <w:t xml:space="preserve"> </w:t>
      </w:r>
      <w:r w:rsidR="00ED34F2" w:rsidRPr="00BB6220">
        <w:t>by</w:t>
      </w:r>
      <w:r w:rsidR="003D640C">
        <w:t xml:space="preserve"> </w:t>
      </w:r>
      <w:r w:rsidR="00744525" w:rsidRPr="00BB6220">
        <w:rPr>
          <w:rFonts w:eastAsia="Times New Roman"/>
          <w:lang w:eastAsia="en-NZ"/>
        </w:rPr>
        <w:t>Rainbow</w:t>
      </w:r>
      <w:r w:rsidR="003D640C">
        <w:rPr>
          <w:rFonts w:eastAsia="Times New Roman"/>
          <w:lang w:eastAsia="en-NZ"/>
        </w:rPr>
        <w:t xml:space="preserve"> </w:t>
      </w:r>
      <w:r w:rsidR="005E33A4">
        <w:t>people</w:t>
      </w:r>
      <w:r w:rsidR="00ED34F2" w:rsidRPr="00BB6220">
        <w:t>.</w:t>
      </w:r>
      <w:r w:rsidR="003D640C">
        <w:t xml:space="preserve"> </w:t>
      </w:r>
      <w:r w:rsidR="00D527F0" w:rsidRPr="00BB6220">
        <w:t>Genital</w:t>
      </w:r>
      <w:r w:rsidR="003D640C">
        <w:t xml:space="preserve"> </w:t>
      </w:r>
      <w:r w:rsidR="00D527F0" w:rsidRPr="00BB6220">
        <w:t>self-harm</w:t>
      </w:r>
      <w:r w:rsidR="003D640C">
        <w:t xml:space="preserve"> </w:t>
      </w:r>
      <w:r w:rsidR="00D527F0" w:rsidRPr="00BB6220">
        <w:t>also</w:t>
      </w:r>
      <w:r w:rsidR="003D640C">
        <w:t xml:space="preserve"> </w:t>
      </w:r>
      <w:r w:rsidR="00D527F0" w:rsidRPr="00BB6220">
        <w:t>continues</w:t>
      </w:r>
      <w:r w:rsidR="003D640C">
        <w:t xml:space="preserve"> </w:t>
      </w:r>
      <w:r w:rsidR="00D527F0" w:rsidRPr="00BB6220">
        <w:t>to</w:t>
      </w:r>
      <w:r w:rsidR="003D640C">
        <w:t xml:space="preserve"> </w:t>
      </w:r>
      <w:r w:rsidR="00D527F0" w:rsidRPr="00BB6220">
        <w:t>feature</w:t>
      </w:r>
      <w:r w:rsidR="003D640C">
        <w:t xml:space="preserve"> </w:t>
      </w:r>
      <w:r w:rsidR="00D527F0" w:rsidRPr="00BB6220">
        <w:t>in</w:t>
      </w:r>
      <w:r w:rsidR="003D640C">
        <w:t xml:space="preserve"> </w:t>
      </w:r>
      <w:r w:rsidR="00D527F0" w:rsidRPr="00BB6220">
        <w:t>survivor</w:t>
      </w:r>
      <w:r w:rsidR="003D640C">
        <w:t xml:space="preserve"> </w:t>
      </w:r>
      <w:r w:rsidR="00D527F0" w:rsidRPr="00BB6220">
        <w:t>stories.</w:t>
      </w:r>
      <w:r w:rsidR="003D640C">
        <w:t xml:space="preserve"> </w:t>
      </w:r>
    </w:p>
    <w:p w14:paraId="6DF469FC" w14:textId="2644E5E2" w:rsidR="00501068" w:rsidRDefault="00F16E7D" w:rsidP="0068108F">
      <w:r w:rsidRPr="00BB6220">
        <w:t>Additional</w:t>
      </w:r>
      <w:r w:rsidR="003D640C">
        <w:t xml:space="preserve"> </w:t>
      </w:r>
      <w:r w:rsidRPr="00BB6220">
        <w:t>p</w:t>
      </w:r>
      <w:r w:rsidR="00D527F0" w:rsidRPr="00BB6220">
        <w:t>hysical</w:t>
      </w:r>
      <w:r w:rsidR="003D640C">
        <w:t xml:space="preserve"> </w:t>
      </w:r>
      <w:r w:rsidR="00D527F0" w:rsidRPr="00BB6220">
        <w:t>harm</w:t>
      </w:r>
      <w:r w:rsidR="003D640C">
        <w:t xml:space="preserve"> </w:t>
      </w:r>
      <w:r w:rsidR="00D527F0" w:rsidRPr="00BB6220">
        <w:t>comes</w:t>
      </w:r>
      <w:r w:rsidR="003D640C">
        <w:t xml:space="preserve"> </w:t>
      </w:r>
      <w:r w:rsidR="00D527F0" w:rsidRPr="00BB6220">
        <w:t>from</w:t>
      </w:r>
      <w:r w:rsidR="003D640C">
        <w:t xml:space="preserve"> </w:t>
      </w:r>
      <w:r w:rsidR="00D527F0" w:rsidRPr="00BB6220">
        <w:t>both</w:t>
      </w:r>
      <w:r w:rsidR="003D640C">
        <w:t xml:space="preserve"> </w:t>
      </w:r>
      <w:r w:rsidR="00D527F0" w:rsidRPr="00BB6220">
        <w:t>acute</w:t>
      </w:r>
      <w:r w:rsidR="003D640C">
        <w:t xml:space="preserve"> </w:t>
      </w:r>
      <w:r w:rsidR="00D527F0" w:rsidRPr="00BB6220">
        <w:t>and</w:t>
      </w:r>
      <w:r w:rsidR="003D640C">
        <w:t xml:space="preserve"> </w:t>
      </w:r>
      <w:r w:rsidR="00D527F0" w:rsidRPr="00BB6220">
        <w:t>prolonged</w:t>
      </w:r>
      <w:r w:rsidR="003D640C">
        <w:t xml:space="preserve"> </w:t>
      </w:r>
      <w:r w:rsidR="00D527F0" w:rsidRPr="00BB6220">
        <w:t>exposure</w:t>
      </w:r>
      <w:r w:rsidR="003D640C">
        <w:t xml:space="preserve"> </w:t>
      </w:r>
      <w:r w:rsidR="00D527F0" w:rsidRPr="00BB6220">
        <w:t>to</w:t>
      </w:r>
      <w:r w:rsidR="003D640C">
        <w:t xml:space="preserve"> </w:t>
      </w:r>
      <w:r w:rsidR="00D527F0" w:rsidRPr="00BB6220">
        <w:t>stress</w:t>
      </w:r>
      <w:r w:rsidR="003D640C">
        <w:t xml:space="preserve"> </w:t>
      </w:r>
      <w:r w:rsidR="00D527F0" w:rsidRPr="00BB6220">
        <w:t>hormones</w:t>
      </w:r>
      <w:r w:rsidR="003D640C">
        <w:t xml:space="preserve"> </w:t>
      </w:r>
      <w:r w:rsidR="00D527F0" w:rsidRPr="00BB6220">
        <w:t>both</w:t>
      </w:r>
      <w:r w:rsidR="003D640C">
        <w:t xml:space="preserve"> </w:t>
      </w:r>
      <w:r w:rsidR="00D527F0" w:rsidRPr="00BB6220">
        <w:t>during</w:t>
      </w:r>
      <w:r w:rsidR="003D640C">
        <w:t xml:space="preserve"> </w:t>
      </w:r>
      <w:r w:rsidR="00D527F0" w:rsidRPr="00BB6220">
        <w:t>and</w:t>
      </w:r>
      <w:r w:rsidR="003D640C">
        <w:t xml:space="preserve"> </w:t>
      </w:r>
      <w:r w:rsidR="00D527F0" w:rsidRPr="00BB6220">
        <w:t>after</w:t>
      </w:r>
      <w:r w:rsidR="003D640C">
        <w:t xml:space="preserve"> </w:t>
      </w:r>
      <w:r w:rsidR="00D527F0" w:rsidRPr="00BB6220">
        <w:t>conversion</w:t>
      </w:r>
      <w:r w:rsidR="003D640C">
        <w:t xml:space="preserve"> </w:t>
      </w:r>
      <w:r w:rsidR="00D527F0" w:rsidRPr="00BB6220">
        <w:t>practices.</w:t>
      </w:r>
      <w:r w:rsidR="003D640C">
        <w:t xml:space="preserve"> </w:t>
      </w:r>
      <w:r w:rsidR="00D527F0" w:rsidRPr="00BB6220">
        <w:t>This</w:t>
      </w:r>
      <w:r w:rsidR="003D640C">
        <w:t xml:space="preserve"> </w:t>
      </w:r>
      <w:r w:rsidR="00D527F0" w:rsidRPr="00BB6220">
        <w:t>leads</w:t>
      </w:r>
      <w:r w:rsidR="003D640C">
        <w:t xml:space="preserve"> </w:t>
      </w:r>
      <w:r w:rsidR="00D527F0" w:rsidRPr="00BB6220">
        <w:t>to</w:t>
      </w:r>
      <w:r w:rsidR="003D640C">
        <w:t xml:space="preserve"> </w:t>
      </w:r>
      <w:r w:rsidR="00D527F0" w:rsidRPr="00BB6220">
        <w:t>a</w:t>
      </w:r>
      <w:r w:rsidR="003D640C">
        <w:t xml:space="preserve"> </w:t>
      </w:r>
      <w:r w:rsidR="00D527F0" w:rsidRPr="00BB6220">
        <w:t>range</w:t>
      </w:r>
      <w:r w:rsidR="003D640C">
        <w:t xml:space="preserve"> </w:t>
      </w:r>
      <w:r w:rsidR="00D527F0" w:rsidRPr="00BB6220">
        <w:t>of</w:t>
      </w:r>
      <w:r w:rsidR="003D640C">
        <w:t xml:space="preserve"> </w:t>
      </w:r>
      <w:r w:rsidR="00D527F0" w:rsidRPr="00BB6220">
        <w:t>short</w:t>
      </w:r>
      <w:r w:rsidR="00126391" w:rsidRPr="00BB6220">
        <w:t>-</w:t>
      </w:r>
      <w:r w:rsidR="0054081C">
        <w:t>term</w:t>
      </w:r>
      <w:r w:rsidR="003D640C">
        <w:t xml:space="preserve"> </w:t>
      </w:r>
      <w:r w:rsidR="00D527F0" w:rsidRPr="00BB6220">
        <w:t>and</w:t>
      </w:r>
      <w:r w:rsidR="003D640C">
        <w:t xml:space="preserve"> </w:t>
      </w:r>
      <w:r w:rsidR="00D527F0" w:rsidRPr="00BB6220">
        <w:t>long</w:t>
      </w:r>
      <w:r w:rsidR="00126391" w:rsidRPr="00BB6220">
        <w:t>-</w:t>
      </w:r>
      <w:r w:rsidR="00D527F0" w:rsidRPr="00BB6220">
        <w:t>term</w:t>
      </w:r>
      <w:r w:rsidR="003D640C">
        <w:t xml:space="preserve"> </w:t>
      </w:r>
      <w:r w:rsidR="00D527F0" w:rsidRPr="00BB6220">
        <w:t>health</w:t>
      </w:r>
      <w:r w:rsidR="003D640C">
        <w:t xml:space="preserve"> </w:t>
      </w:r>
      <w:r w:rsidR="00D527F0" w:rsidRPr="00BB6220">
        <w:t>problems.</w:t>
      </w:r>
      <w:r w:rsidR="00D527F0" w:rsidRPr="00BB6220">
        <w:rPr>
          <w:rStyle w:val="FootnoteReference"/>
        </w:rPr>
        <w:footnoteReference w:id="134"/>
      </w:r>
    </w:p>
    <w:p w14:paraId="76E9204C" w14:textId="6D9EB2B8" w:rsidR="005B2A50" w:rsidRDefault="005B2A50" w:rsidP="0068108F">
      <w:pPr>
        <w:rPr>
          <w:lang w:val="en-US"/>
        </w:rPr>
      </w:pPr>
      <w:r>
        <w:rPr>
          <w:lang w:val="en-US"/>
        </w:rPr>
        <w:t>We</w:t>
      </w:r>
      <w:r w:rsidR="003D640C">
        <w:rPr>
          <w:lang w:val="en-US"/>
        </w:rPr>
        <w:t xml:space="preserve"> </w:t>
      </w:r>
      <w:r>
        <w:rPr>
          <w:lang w:val="en-US"/>
        </w:rPr>
        <w:t>have</w:t>
      </w:r>
      <w:r w:rsidR="003D640C">
        <w:rPr>
          <w:lang w:val="en-US"/>
        </w:rPr>
        <w:t xml:space="preserve"> </w:t>
      </w:r>
      <w:r>
        <w:rPr>
          <w:lang w:val="en-US"/>
        </w:rPr>
        <w:t>developed</w:t>
      </w:r>
      <w:r w:rsidR="003D640C">
        <w:rPr>
          <w:lang w:val="en-US"/>
        </w:rPr>
        <w:t xml:space="preserve"> </w:t>
      </w:r>
      <w:r>
        <w:rPr>
          <w:lang w:val="en-US"/>
        </w:rPr>
        <w:t>a</w:t>
      </w:r>
      <w:r w:rsidR="003D640C">
        <w:rPr>
          <w:lang w:val="en-US"/>
        </w:rPr>
        <w:t xml:space="preserve"> </w:t>
      </w:r>
      <w:r>
        <w:rPr>
          <w:lang w:val="en-US"/>
        </w:rPr>
        <w:t>model</w:t>
      </w:r>
      <w:r w:rsidR="003D640C">
        <w:rPr>
          <w:lang w:val="en-US"/>
        </w:rPr>
        <w:t xml:space="preserve"> </w:t>
      </w:r>
      <w:r>
        <w:rPr>
          <w:lang w:val="en-US"/>
        </w:rPr>
        <w:t>–</w:t>
      </w:r>
      <w:r w:rsidR="003D640C">
        <w:rPr>
          <w:lang w:val="en-US"/>
        </w:rPr>
        <w:t xml:space="preserve"> </w:t>
      </w:r>
      <w:r w:rsidR="009E68FD">
        <w:rPr>
          <w:lang w:val="en-US"/>
        </w:rPr>
        <w:t>see</w:t>
      </w:r>
      <w:r w:rsidR="003D640C">
        <w:rPr>
          <w:lang w:val="en-US"/>
        </w:rPr>
        <w:t xml:space="preserve"> </w:t>
      </w:r>
      <w:r>
        <w:rPr>
          <w:lang w:val="en-US"/>
        </w:rPr>
        <w:t>Figure</w:t>
      </w:r>
      <w:r w:rsidR="003D640C">
        <w:rPr>
          <w:lang w:val="en-US"/>
        </w:rPr>
        <w:t xml:space="preserve"> </w:t>
      </w:r>
      <w:r w:rsidR="0064680A">
        <w:rPr>
          <w:lang w:val="en-US"/>
        </w:rPr>
        <w:t>7</w:t>
      </w:r>
      <w:r w:rsidR="003D640C">
        <w:rPr>
          <w:lang w:val="en-US"/>
        </w:rPr>
        <w:t xml:space="preserve"> </w:t>
      </w:r>
      <w:r>
        <w:rPr>
          <w:lang w:val="en-US"/>
        </w:rPr>
        <w:t>and</w:t>
      </w:r>
      <w:r w:rsidR="003D640C">
        <w:rPr>
          <w:lang w:val="en-US"/>
        </w:rPr>
        <w:t xml:space="preserve"> </w:t>
      </w:r>
      <w:r>
        <w:rPr>
          <w:lang w:val="en-US"/>
        </w:rPr>
        <w:t>a</w:t>
      </w:r>
      <w:r w:rsidR="003D640C">
        <w:rPr>
          <w:lang w:val="en-US"/>
        </w:rPr>
        <w:t xml:space="preserve"> </w:t>
      </w:r>
      <w:r>
        <w:rPr>
          <w:lang w:val="en-US"/>
        </w:rPr>
        <w:t>more</w:t>
      </w:r>
      <w:r w:rsidR="003D640C">
        <w:rPr>
          <w:lang w:val="en-US"/>
        </w:rPr>
        <w:t xml:space="preserve"> </w:t>
      </w:r>
      <w:r>
        <w:rPr>
          <w:lang w:val="en-US"/>
        </w:rPr>
        <w:t>detailed</w:t>
      </w:r>
      <w:r w:rsidR="003D640C">
        <w:rPr>
          <w:lang w:val="en-US"/>
        </w:rPr>
        <w:t xml:space="preserve"> </w:t>
      </w:r>
      <w:r>
        <w:rPr>
          <w:lang w:val="en-US"/>
        </w:rPr>
        <w:t>version</w:t>
      </w:r>
      <w:r w:rsidR="003D640C">
        <w:rPr>
          <w:lang w:val="en-US"/>
        </w:rPr>
        <w:t xml:space="preserve"> </w:t>
      </w:r>
      <w:r>
        <w:rPr>
          <w:lang w:val="en-US"/>
        </w:rPr>
        <w:t>in</w:t>
      </w:r>
      <w:r w:rsidR="003D640C">
        <w:rPr>
          <w:lang w:val="en-US"/>
        </w:rPr>
        <w:t xml:space="preserve"> </w:t>
      </w:r>
      <w:r>
        <w:rPr>
          <w:lang w:val="en-US"/>
        </w:rPr>
        <w:t>Figure</w:t>
      </w:r>
      <w:r w:rsidR="003D640C">
        <w:rPr>
          <w:lang w:val="en-US"/>
        </w:rPr>
        <w:t xml:space="preserve"> </w:t>
      </w:r>
      <w:r w:rsidR="0064680A">
        <w:rPr>
          <w:lang w:val="en-US"/>
        </w:rPr>
        <w:t>8</w:t>
      </w:r>
      <w:r w:rsidR="003D640C">
        <w:rPr>
          <w:lang w:val="en-US"/>
        </w:rPr>
        <w:t xml:space="preserve"> </w:t>
      </w:r>
      <w:r>
        <w:rPr>
          <w:lang w:val="en-US"/>
        </w:rPr>
        <w:t>–</w:t>
      </w:r>
      <w:r w:rsidR="003D640C">
        <w:rPr>
          <w:lang w:val="en-US"/>
        </w:rPr>
        <w:t xml:space="preserve"> </w:t>
      </w:r>
      <w:r>
        <w:rPr>
          <w:lang w:val="en-US"/>
        </w:rPr>
        <w:t>to</w:t>
      </w:r>
      <w:r w:rsidR="003D640C">
        <w:rPr>
          <w:lang w:val="en-US"/>
        </w:rPr>
        <w:t xml:space="preserve"> </w:t>
      </w:r>
      <w:r>
        <w:rPr>
          <w:lang w:val="en-US"/>
        </w:rPr>
        <w:t>illustrate</w:t>
      </w:r>
      <w:r w:rsidR="003D640C">
        <w:rPr>
          <w:lang w:val="en-US"/>
        </w:rPr>
        <w:t xml:space="preserve"> </w:t>
      </w:r>
      <w:r>
        <w:rPr>
          <w:lang w:val="en-US"/>
        </w:rPr>
        <w:t>the</w:t>
      </w:r>
      <w:r w:rsidR="003D640C">
        <w:rPr>
          <w:lang w:val="en-US"/>
        </w:rPr>
        <w:t xml:space="preserve"> </w:t>
      </w:r>
      <w:r>
        <w:rPr>
          <w:lang w:val="en-US"/>
        </w:rPr>
        <w:t>dimensions</w:t>
      </w:r>
      <w:r w:rsidR="003D640C">
        <w:rPr>
          <w:lang w:val="en-US"/>
        </w:rPr>
        <w:t xml:space="preserve"> </w:t>
      </w:r>
      <w:r>
        <w:rPr>
          <w:lang w:val="en-US"/>
        </w:rPr>
        <w:t>of</w:t>
      </w:r>
      <w:r w:rsidR="003D640C">
        <w:rPr>
          <w:lang w:val="en-US"/>
        </w:rPr>
        <w:t xml:space="preserve"> </w:t>
      </w:r>
      <w:r>
        <w:rPr>
          <w:lang w:val="en-US"/>
        </w:rPr>
        <w:t>harm</w:t>
      </w:r>
      <w:r w:rsidR="003D640C">
        <w:rPr>
          <w:lang w:val="en-US"/>
        </w:rPr>
        <w:t xml:space="preserve"> </w:t>
      </w:r>
      <w:r>
        <w:rPr>
          <w:lang w:val="en-US"/>
        </w:rPr>
        <w:t>that</w:t>
      </w:r>
      <w:r w:rsidR="003D640C">
        <w:rPr>
          <w:lang w:val="en-US"/>
        </w:rPr>
        <w:t xml:space="preserve"> </w:t>
      </w:r>
      <w:r>
        <w:rPr>
          <w:lang w:val="en-US"/>
        </w:rPr>
        <w:t>conversion</w:t>
      </w:r>
      <w:r w:rsidR="003D640C">
        <w:rPr>
          <w:lang w:val="en-US"/>
        </w:rPr>
        <w:t xml:space="preserve"> </w:t>
      </w:r>
      <w:r>
        <w:rPr>
          <w:lang w:val="en-US"/>
        </w:rPr>
        <w:t>practices</w:t>
      </w:r>
      <w:r w:rsidR="003D640C">
        <w:rPr>
          <w:lang w:val="en-US"/>
        </w:rPr>
        <w:t xml:space="preserve"> </w:t>
      </w:r>
      <w:r>
        <w:rPr>
          <w:lang w:val="en-US"/>
        </w:rPr>
        <w:t>cause.</w:t>
      </w:r>
      <w:r w:rsidR="003D640C">
        <w:rPr>
          <w:lang w:val="en-US"/>
        </w:rPr>
        <w:t xml:space="preserve"> </w:t>
      </w:r>
      <w:r>
        <w:rPr>
          <w:lang w:val="en-US"/>
        </w:rPr>
        <w:t>This</w:t>
      </w:r>
      <w:r w:rsidR="003D640C">
        <w:rPr>
          <w:lang w:val="en-US"/>
        </w:rPr>
        <w:t xml:space="preserve"> </w:t>
      </w:r>
      <w:r>
        <w:rPr>
          <w:lang w:val="en-US"/>
        </w:rPr>
        <w:t>model</w:t>
      </w:r>
      <w:r w:rsidR="003D640C">
        <w:rPr>
          <w:lang w:val="en-US"/>
        </w:rPr>
        <w:t xml:space="preserve"> </w:t>
      </w:r>
      <w:r>
        <w:rPr>
          <w:lang w:val="en-US"/>
        </w:rPr>
        <w:t>was</w:t>
      </w:r>
      <w:r w:rsidR="003D640C">
        <w:rPr>
          <w:lang w:val="en-US"/>
        </w:rPr>
        <w:t xml:space="preserve"> </w:t>
      </w:r>
      <w:r>
        <w:rPr>
          <w:lang w:val="en-US"/>
        </w:rPr>
        <w:t>developed</w:t>
      </w:r>
      <w:r w:rsidR="003D640C">
        <w:rPr>
          <w:lang w:val="en-US"/>
        </w:rPr>
        <w:t xml:space="preserve"> </w:t>
      </w:r>
      <w:r>
        <w:rPr>
          <w:lang w:val="en-US"/>
        </w:rPr>
        <w:t>over</w:t>
      </w:r>
      <w:r w:rsidR="003D640C">
        <w:rPr>
          <w:lang w:val="en-US"/>
        </w:rPr>
        <w:t xml:space="preserve"> </w:t>
      </w:r>
      <w:r>
        <w:rPr>
          <w:lang w:val="en-US"/>
        </w:rPr>
        <w:t>time</w:t>
      </w:r>
      <w:r w:rsidR="003D640C">
        <w:rPr>
          <w:lang w:val="en-US"/>
        </w:rPr>
        <w:t xml:space="preserve"> </w:t>
      </w:r>
      <w:r>
        <w:rPr>
          <w:lang w:val="en-US"/>
        </w:rPr>
        <w:t>by</w:t>
      </w:r>
      <w:r w:rsidR="003D640C">
        <w:rPr>
          <w:lang w:val="en-US"/>
        </w:rPr>
        <w:t xml:space="preserve"> </w:t>
      </w:r>
      <w:r>
        <w:rPr>
          <w:lang w:val="en-US"/>
        </w:rPr>
        <w:t>the</w:t>
      </w:r>
      <w:r w:rsidR="003D640C">
        <w:rPr>
          <w:lang w:val="en-US"/>
        </w:rPr>
        <w:t xml:space="preserve"> </w:t>
      </w:r>
      <w:r>
        <w:rPr>
          <w:lang w:val="en-US"/>
        </w:rPr>
        <w:t>team</w:t>
      </w:r>
      <w:r w:rsidR="003D640C">
        <w:rPr>
          <w:lang w:val="en-US"/>
        </w:rPr>
        <w:t xml:space="preserve"> </w:t>
      </w:r>
      <w:r>
        <w:rPr>
          <w:lang w:val="en-US"/>
        </w:rPr>
        <w:t>drawing</w:t>
      </w:r>
      <w:r w:rsidR="003D640C">
        <w:rPr>
          <w:lang w:val="en-US"/>
        </w:rPr>
        <w:t xml:space="preserve"> </w:t>
      </w:r>
      <w:r>
        <w:rPr>
          <w:lang w:val="en-US"/>
        </w:rPr>
        <w:t>on</w:t>
      </w:r>
      <w:r w:rsidR="003D640C">
        <w:rPr>
          <w:lang w:val="en-US"/>
        </w:rPr>
        <w:t xml:space="preserve"> </w:t>
      </w:r>
      <w:r>
        <w:rPr>
          <w:lang w:val="en-US"/>
        </w:rPr>
        <w:t>what</w:t>
      </w:r>
      <w:r w:rsidR="003D640C">
        <w:rPr>
          <w:lang w:val="en-US"/>
        </w:rPr>
        <w:t xml:space="preserve"> </w:t>
      </w:r>
      <w:r>
        <w:rPr>
          <w:lang w:val="en-US"/>
        </w:rPr>
        <w:t>they</w:t>
      </w:r>
      <w:r w:rsidR="003D640C">
        <w:rPr>
          <w:lang w:val="en-US"/>
        </w:rPr>
        <w:t xml:space="preserve"> </w:t>
      </w:r>
      <w:r>
        <w:rPr>
          <w:lang w:val="en-US"/>
        </w:rPr>
        <w:t>heard</w:t>
      </w:r>
      <w:r w:rsidR="003D640C">
        <w:rPr>
          <w:lang w:val="en-US"/>
        </w:rPr>
        <w:t xml:space="preserve"> </w:t>
      </w:r>
      <w:r>
        <w:rPr>
          <w:lang w:val="en-US"/>
        </w:rPr>
        <w:t>from</w:t>
      </w:r>
      <w:r w:rsidR="003D640C">
        <w:rPr>
          <w:lang w:val="en-US"/>
        </w:rPr>
        <w:t xml:space="preserve"> </w:t>
      </w:r>
      <w:r>
        <w:rPr>
          <w:lang w:val="en-US"/>
        </w:rPr>
        <w:t>survivors</w:t>
      </w:r>
      <w:r w:rsidR="003D640C">
        <w:rPr>
          <w:lang w:val="en-US"/>
        </w:rPr>
        <w:t xml:space="preserve"> </w:t>
      </w:r>
      <w:r>
        <w:rPr>
          <w:lang w:val="en-US"/>
        </w:rPr>
        <w:t>to</w:t>
      </w:r>
      <w:r w:rsidR="003D640C">
        <w:rPr>
          <w:lang w:val="en-US"/>
        </w:rPr>
        <w:t xml:space="preserve"> </w:t>
      </w:r>
      <w:r>
        <w:rPr>
          <w:lang w:val="en-US"/>
        </w:rPr>
        <w:t>show</w:t>
      </w:r>
      <w:r w:rsidR="003D640C">
        <w:rPr>
          <w:lang w:val="en-US"/>
        </w:rPr>
        <w:t xml:space="preserve"> </w:t>
      </w:r>
      <w:r>
        <w:rPr>
          <w:lang w:val="en-US"/>
        </w:rPr>
        <w:t>how</w:t>
      </w:r>
      <w:r w:rsidR="003D640C">
        <w:rPr>
          <w:lang w:val="en-US"/>
        </w:rPr>
        <w:t xml:space="preserve"> </w:t>
      </w:r>
      <w:r>
        <w:rPr>
          <w:lang w:val="en-US"/>
        </w:rPr>
        <w:t>pervasive</w:t>
      </w:r>
      <w:r w:rsidR="003D640C">
        <w:rPr>
          <w:lang w:val="en-US"/>
        </w:rPr>
        <w:t xml:space="preserve"> </w:t>
      </w:r>
      <w:r>
        <w:rPr>
          <w:lang w:val="en-US"/>
        </w:rPr>
        <w:t>the</w:t>
      </w:r>
      <w:r w:rsidR="003D640C">
        <w:rPr>
          <w:lang w:val="en-US"/>
        </w:rPr>
        <w:t xml:space="preserve"> </w:t>
      </w:r>
      <w:r>
        <w:rPr>
          <w:lang w:val="en-US"/>
        </w:rPr>
        <w:t>harm</w:t>
      </w:r>
      <w:r w:rsidR="003D640C">
        <w:rPr>
          <w:lang w:val="en-US"/>
        </w:rPr>
        <w:t xml:space="preserve"> </w:t>
      </w:r>
      <w:r>
        <w:rPr>
          <w:lang w:val="en-US"/>
        </w:rPr>
        <w:t>caused</w:t>
      </w:r>
      <w:r w:rsidR="003D640C">
        <w:rPr>
          <w:lang w:val="en-US"/>
        </w:rPr>
        <w:t xml:space="preserve"> </w:t>
      </w:r>
      <w:r>
        <w:rPr>
          <w:lang w:val="en-US"/>
        </w:rPr>
        <w:t>by</w:t>
      </w:r>
      <w:r w:rsidR="003D640C">
        <w:rPr>
          <w:lang w:val="en-US"/>
        </w:rPr>
        <w:t xml:space="preserve"> </w:t>
      </w:r>
      <w:r>
        <w:rPr>
          <w:lang w:val="en-US"/>
        </w:rPr>
        <w:t>conversion</w:t>
      </w:r>
      <w:r w:rsidR="003D640C">
        <w:rPr>
          <w:lang w:val="en-US"/>
        </w:rPr>
        <w:t xml:space="preserve"> </w:t>
      </w:r>
      <w:r>
        <w:rPr>
          <w:lang w:val="en-US"/>
        </w:rPr>
        <w:t>practices</w:t>
      </w:r>
      <w:r w:rsidR="003D640C">
        <w:rPr>
          <w:lang w:val="en-US"/>
        </w:rPr>
        <w:t xml:space="preserve"> </w:t>
      </w:r>
      <w:r>
        <w:rPr>
          <w:lang w:val="en-US"/>
        </w:rPr>
        <w:t>is.</w:t>
      </w:r>
      <w:r w:rsidR="003D640C">
        <w:rPr>
          <w:lang w:val="en-US"/>
        </w:rPr>
        <w:t xml:space="preserve"> </w:t>
      </w:r>
      <w:r>
        <w:rPr>
          <w:lang w:val="en-US"/>
        </w:rPr>
        <w:t>It</w:t>
      </w:r>
      <w:r w:rsidR="003D640C">
        <w:rPr>
          <w:lang w:val="en-US"/>
        </w:rPr>
        <w:t xml:space="preserve"> </w:t>
      </w:r>
      <w:r>
        <w:rPr>
          <w:lang w:val="en-US"/>
        </w:rPr>
        <w:t>may</w:t>
      </w:r>
      <w:r w:rsidR="003D640C">
        <w:rPr>
          <w:lang w:val="en-US"/>
        </w:rPr>
        <w:t xml:space="preserve"> </w:t>
      </w:r>
      <w:r>
        <w:rPr>
          <w:lang w:val="en-US"/>
        </w:rPr>
        <w:t>also</w:t>
      </w:r>
      <w:r w:rsidR="003D640C">
        <w:rPr>
          <w:lang w:val="en-US"/>
        </w:rPr>
        <w:t xml:space="preserve"> </w:t>
      </w:r>
      <w:r>
        <w:rPr>
          <w:lang w:val="en-US"/>
        </w:rPr>
        <w:t>provide</w:t>
      </w:r>
      <w:r w:rsidR="003D640C">
        <w:rPr>
          <w:lang w:val="en-US"/>
        </w:rPr>
        <w:t xml:space="preserve"> </w:t>
      </w:r>
      <w:r>
        <w:rPr>
          <w:lang w:val="en-US"/>
        </w:rPr>
        <w:t>survivors</w:t>
      </w:r>
      <w:r w:rsidR="003D640C">
        <w:rPr>
          <w:lang w:val="en-US"/>
        </w:rPr>
        <w:t xml:space="preserve"> </w:t>
      </w:r>
      <w:r>
        <w:rPr>
          <w:lang w:val="en-US"/>
        </w:rPr>
        <w:t>with</w:t>
      </w:r>
      <w:r w:rsidR="003D640C">
        <w:rPr>
          <w:lang w:val="en-US"/>
        </w:rPr>
        <w:t xml:space="preserve"> </w:t>
      </w:r>
      <w:r>
        <w:rPr>
          <w:lang w:val="en-US"/>
        </w:rPr>
        <w:t>a</w:t>
      </w:r>
      <w:r w:rsidR="003D640C">
        <w:rPr>
          <w:lang w:val="en-US"/>
        </w:rPr>
        <w:t xml:space="preserve"> </w:t>
      </w:r>
      <w:r>
        <w:rPr>
          <w:lang w:val="en-US"/>
        </w:rPr>
        <w:t>map</w:t>
      </w:r>
      <w:r w:rsidR="003D640C">
        <w:rPr>
          <w:lang w:val="en-US"/>
        </w:rPr>
        <w:t xml:space="preserve"> </w:t>
      </w:r>
      <w:r>
        <w:rPr>
          <w:lang w:val="en-US"/>
        </w:rPr>
        <w:t>for</w:t>
      </w:r>
      <w:r w:rsidR="003D640C">
        <w:rPr>
          <w:lang w:val="en-US"/>
        </w:rPr>
        <w:t xml:space="preserve"> </w:t>
      </w:r>
      <w:r>
        <w:rPr>
          <w:lang w:val="en-US"/>
        </w:rPr>
        <w:t>their</w:t>
      </w:r>
      <w:r w:rsidR="003D640C">
        <w:rPr>
          <w:lang w:val="en-US"/>
        </w:rPr>
        <w:t xml:space="preserve"> </w:t>
      </w:r>
      <w:r>
        <w:rPr>
          <w:lang w:val="en-US"/>
        </w:rPr>
        <w:t>recovery,</w:t>
      </w:r>
      <w:r w:rsidR="003D640C">
        <w:rPr>
          <w:lang w:val="en-US"/>
        </w:rPr>
        <w:t xml:space="preserve"> </w:t>
      </w:r>
      <w:r>
        <w:rPr>
          <w:lang w:val="en-US"/>
        </w:rPr>
        <w:t>pointing</w:t>
      </w:r>
      <w:r w:rsidR="003D640C">
        <w:rPr>
          <w:lang w:val="en-US"/>
        </w:rPr>
        <w:t xml:space="preserve"> </w:t>
      </w:r>
      <w:r>
        <w:rPr>
          <w:lang w:val="en-US"/>
        </w:rPr>
        <w:t>out</w:t>
      </w:r>
      <w:r w:rsidR="003D640C">
        <w:rPr>
          <w:lang w:val="en-US"/>
        </w:rPr>
        <w:t xml:space="preserve"> </w:t>
      </w:r>
      <w:r>
        <w:rPr>
          <w:lang w:val="en-US"/>
        </w:rPr>
        <w:t>areas</w:t>
      </w:r>
      <w:r w:rsidR="003D640C">
        <w:rPr>
          <w:lang w:val="en-US"/>
        </w:rPr>
        <w:t xml:space="preserve"> </w:t>
      </w:r>
      <w:r w:rsidRPr="00EE7A98">
        <w:rPr>
          <w:lang w:val="en-US"/>
        </w:rPr>
        <w:t>that</w:t>
      </w:r>
      <w:r w:rsidR="003D640C">
        <w:rPr>
          <w:lang w:val="en-US"/>
        </w:rPr>
        <w:t xml:space="preserve"> </w:t>
      </w:r>
      <w:r w:rsidRPr="005E7B63">
        <w:rPr>
          <w:rFonts w:ascii="Calibri" w:eastAsia="Times New Roman" w:hAnsi="Calibri" w:cs="Calibri"/>
          <w:color w:val="222222"/>
          <w:lang w:eastAsia="en-GB"/>
        </w:rPr>
        <w:t>need</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to</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be</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built</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up,</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stabilised,</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instilled</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with</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healthy</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boundaries,</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reimagined,</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or</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created</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for</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the</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first</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time</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as</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they</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journey</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to</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wellbeing</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and</w:t>
      </w:r>
      <w:r w:rsidR="003D640C">
        <w:rPr>
          <w:rFonts w:ascii="Calibri" w:eastAsia="Times New Roman" w:hAnsi="Calibri" w:cs="Calibri"/>
          <w:color w:val="222222"/>
          <w:lang w:eastAsia="en-GB"/>
        </w:rPr>
        <w:t xml:space="preserve"> </w:t>
      </w:r>
      <w:r w:rsidRPr="005E7B63">
        <w:rPr>
          <w:rFonts w:ascii="Calibri" w:eastAsia="Times New Roman" w:hAnsi="Calibri" w:cs="Calibri"/>
          <w:color w:val="222222"/>
          <w:lang w:eastAsia="en-GB"/>
        </w:rPr>
        <w:t>belonging.</w:t>
      </w:r>
    </w:p>
    <w:p w14:paraId="6C416A46" w14:textId="40114D4F" w:rsidR="005B2A50" w:rsidRDefault="005B2A50" w:rsidP="0068108F">
      <w:pPr>
        <w:rPr>
          <w:rFonts w:eastAsia="Times New Roman" w:cstheme="minorHAnsi"/>
          <w:color w:val="222222"/>
          <w:lang w:eastAsia="en-GB"/>
        </w:rPr>
      </w:pPr>
      <w:r w:rsidRPr="00EE7A98">
        <w:rPr>
          <w:rFonts w:cstheme="minorHAnsi"/>
          <w:lang w:val="en-US"/>
        </w:rPr>
        <w:t>The</w:t>
      </w:r>
      <w:r w:rsidR="003D640C">
        <w:rPr>
          <w:rFonts w:cstheme="minorHAnsi"/>
          <w:lang w:val="en-US"/>
        </w:rPr>
        <w:t xml:space="preserve"> </w:t>
      </w:r>
      <w:r w:rsidRPr="00EE7A98">
        <w:rPr>
          <w:rFonts w:cstheme="minorHAnsi"/>
          <w:lang w:val="en-US"/>
        </w:rPr>
        <w:t>model</w:t>
      </w:r>
      <w:r w:rsidR="003D640C">
        <w:rPr>
          <w:rFonts w:cstheme="minorHAnsi"/>
          <w:lang w:val="en-US"/>
        </w:rPr>
        <w:t xml:space="preserve"> </w:t>
      </w:r>
      <w:r w:rsidRPr="00EE7A98">
        <w:rPr>
          <w:rFonts w:cstheme="minorHAnsi"/>
          <w:lang w:val="en-US"/>
        </w:rPr>
        <w:t>is</w:t>
      </w:r>
      <w:r w:rsidR="003D640C">
        <w:rPr>
          <w:rFonts w:cstheme="minorHAnsi"/>
          <w:lang w:val="en-US"/>
        </w:rPr>
        <w:t xml:space="preserve"> </w:t>
      </w:r>
      <w:r w:rsidRPr="00EE7A98">
        <w:rPr>
          <w:rFonts w:cstheme="minorHAnsi"/>
          <w:lang w:val="en-US"/>
        </w:rPr>
        <w:t>survivor</w:t>
      </w:r>
      <w:r w:rsidR="003D640C">
        <w:rPr>
          <w:rFonts w:cstheme="minorHAnsi"/>
          <w:lang w:val="en-US"/>
        </w:rPr>
        <w:t xml:space="preserve"> </w:t>
      </w:r>
      <w:r w:rsidRPr="00EE7A98">
        <w:rPr>
          <w:rFonts w:cstheme="minorHAnsi"/>
          <w:lang w:val="en-US"/>
        </w:rPr>
        <w:t>cent</w:t>
      </w:r>
      <w:r w:rsidR="005E33A4">
        <w:rPr>
          <w:rFonts w:cstheme="minorHAnsi"/>
          <w:lang w:val="en-US"/>
        </w:rPr>
        <w:t>e</w:t>
      </w:r>
      <w:r w:rsidRPr="00EE7A98">
        <w:rPr>
          <w:rFonts w:cstheme="minorHAnsi"/>
          <w:lang w:val="en-US"/>
        </w:rPr>
        <w:t>red.</w:t>
      </w:r>
      <w:r w:rsidR="003D640C">
        <w:rPr>
          <w:rFonts w:cstheme="minorHAnsi"/>
          <w:lang w:val="en-US"/>
        </w:rPr>
        <w:t xml:space="preserve"> </w:t>
      </w:r>
      <w:r w:rsidRPr="00EE7A98">
        <w:rPr>
          <w:rFonts w:eastAsia="Times New Roman" w:cstheme="minorHAnsi"/>
          <w:color w:val="222222"/>
          <w:lang w:eastAsia="en-GB"/>
        </w:rPr>
        <w:t>V</w:t>
      </w:r>
      <w:r w:rsidRPr="005E7B63">
        <w:rPr>
          <w:rFonts w:eastAsia="Times New Roman" w:cstheme="minorHAnsi"/>
          <w:color w:val="222222"/>
          <w:lang w:eastAsia="en-GB"/>
        </w:rPr>
        <w:t>alidat</w:t>
      </w:r>
      <w:r w:rsidRPr="00EE7A98">
        <w:rPr>
          <w:rFonts w:eastAsia="Times New Roman" w:cstheme="minorHAnsi"/>
          <w:color w:val="222222"/>
          <w:lang w:eastAsia="en-GB"/>
        </w:rPr>
        <w:t>ing</w:t>
      </w:r>
      <w:r w:rsidR="003D640C">
        <w:rPr>
          <w:rFonts w:eastAsia="Times New Roman" w:cstheme="minorHAnsi"/>
          <w:color w:val="222222"/>
          <w:lang w:eastAsia="en-GB"/>
        </w:rPr>
        <w:t xml:space="preserve"> </w:t>
      </w:r>
      <w:r w:rsidRPr="005E7B63">
        <w:rPr>
          <w:rFonts w:eastAsia="Times New Roman" w:cstheme="minorHAnsi"/>
          <w:color w:val="222222"/>
          <w:lang w:eastAsia="en-GB"/>
        </w:rPr>
        <w:t>who</w:t>
      </w:r>
      <w:r w:rsidR="003D640C">
        <w:rPr>
          <w:rFonts w:eastAsia="Times New Roman" w:cstheme="minorHAnsi"/>
          <w:color w:val="222222"/>
          <w:lang w:eastAsia="en-GB"/>
        </w:rPr>
        <w:t xml:space="preserve"> </w:t>
      </w:r>
      <w:r>
        <w:rPr>
          <w:rFonts w:eastAsia="Times New Roman" w:cstheme="minorHAnsi"/>
          <w:color w:val="222222"/>
          <w:lang w:eastAsia="en-GB"/>
        </w:rPr>
        <w:t>someone</w:t>
      </w:r>
      <w:r w:rsidR="003D640C">
        <w:rPr>
          <w:rFonts w:eastAsia="Times New Roman" w:cstheme="minorHAnsi"/>
          <w:color w:val="222222"/>
          <w:lang w:eastAsia="en-GB"/>
        </w:rPr>
        <w:t xml:space="preserve"> </w:t>
      </w:r>
      <w:r>
        <w:rPr>
          <w:rFonts w:eastAsia="Times New Roman" w:cstheme="minorHAnsi"/>
          <w:color w:val="222222"/>
          <w:lang w:eastAsia="en-GB"/>
        </w:rPr>
        <w:t>is</w:t>
      </w:r>
      <w:r w:rsidR="003D640C">
        <w:rPr>
          <w:rFonts w:eastAsia="Times New Roman" w:cstheme="minorHAnsi"/>
          <w:color w:val="222222"/>
          <w:lang w:eastAsia="en-GB"/>
        </w:rPr>
        <w:t xml:space="preserve"> </w:t>
      </w:r>
      <w:r w:rsidRPr="005E7B63">
        <w:rPr>
          <w:rFonts w:eastAsia="Times New Roman" w:cstheme="minorHAnsi"/>
          <w:color w:val="222222"/>
          <w:lang w:eastAsia="en-GB"/>
        </w:rPr>
        <w:t>as</w:t>
      </w:r>
      <w:r w:rsidR="003D640C">
        <w:rPr>
          <w:rFonts w:eastAsia="Times New Roman" w:cstheme="minorHAnsi"/>
          <w:color w:val="222222"/>
          <w:lang w:eastAsia="en-GB"/>
        </w:rPr>
        <w:t xml:space="preserve"> </w:t>
      </w:r>
      <w:r w:rsidRPr="005E7B63">
        <w:rPr>
          <w:rFonts w:eastAsia="Times New Roman" w:cstheme="minorHAnsi"/>
          <w:color w:val="222222"/>
          <w:lang w:eastAsia="en-GB"/>
        </w:rPr>
        <w:t>a</w:t>
      </w:r>
      <w:r w:rsidR="003D640C">
        <w:rPr>
          <w:rFonts w:eastAsia="Times New Roman" w:cstheme="minorHAnsi"/>
          <w:color w:val="222222"/>
          <w:lang w:eastAsia="en-GB"/>
        </w:rPr>
        <w:t xml:space="preserve"> </w:t>
      </w:r>
      <w:r w:rsidRPr="005E7B63">
        <w:rPr>
          <w:rFonts w:eastAsia="Times New Roman" w:cstheme="minorHAnsi"/>
          <w:color w:val="222222"/>
          <w:lang w:eastAsia="en-GB"/>
        </w:rPr>
        <w:t>person</w:t>
      </w:r>
      <w:r w:rsidR="003D640C">
        <w:rPr>
          <w:rFonts w:eastAsia="Times New Roman" w:cstheme="minorHAnsi"/>
          <w:color w:val="222222"/>
          <w:lang w:eastAsia="en-GB"/>
        </w:rPr>
        <w:t xml:space="preserve"> </w:t>
      </w:r>
      <w:r w:rsidRPr="00EE7A98">
        <w:rPr>
          <w:rFonts w:eastAsia="Times New Roman" w:cstheme="minorHAnsi"/>
          <w:color w:val="222222"/>
          <w:lang w:eastAsia="en-GB"/>
        </w:rPr>
        <w:t>is</w:t>
      </w:r>
      <w:r w:rsidR="003D640C">
        <w:rPr>
          <w:rFonts w:eastAsia="Times New Roman" w:cstheme="minorHAnsi"/>
          <w:color w:val="222222"/>
          <w:lang w:eastAsia="en-GB"/>
        </w:rPr>
        <w:t xml:space="preserve"> </w:t>
      </w:r>
      <w:r w:rsidRPr="00EE7A98">
        <w:rPr>
          <w:rFonts w:eastAsia="Times New Roman" w:cstheme="minorHAnsi"/>
          <w:color w:val="222222"/>
          <w:lang w:eastAsia="en-GB"/>
        </w:rPr>
        <w:t>a</w:t>
      </w:r>
      <w:r w:rsidR="003D640C">
        <w:rPr>
          <w:rFonts w:eastAsia="Times New Roman" w:cstheme="minorHAnsi"/>
          <w:color w:val="222222"/>
          <w:lang w:eastAsia="en-GB"/>
        </w:rPr>
        <w:t xml:space="preserve"> </w:t>
      </w:r>
      <w:r w:rsidRPr="005E7B63">
        <w:rPr>
          <w:rFonts w:eastAsia="Times New Roman" w:cstheme="minorHAnsi"/>
          <w:color w:val="222222"/>
          <w:lang w:eastAsia="en-GB"/>
        </w:rPr>
        <w:t>key</w:t>
      </w:r>
      <w:r w:rsidR="003D640C">
        <w:rPr>
          <w:rFonts w:eastAsia="Times New Roman" w:cstheme="minorHAnsi"/>
          <w:color w:val="222222"/>
          <w:lang w:eastAsia="en-GB"/>
        </w:rPr>
        <w:t xml:space="preserve"> </w:t>
      </w:r>
      <w:r w:rsidRPr="005E7B63">
        <w:rPr>
          <w:rFonts w:eastAsia="Times New Roman" w:cstheme="minorHAnsi"/>
          <w:color w:val="222222"/>
          <w:lang w:eastAsia="en-GB"/>
        </w:rPr>
        <w:t>part</w:t>
      </w:r>
      <w:r w:rsidR="003D640C">
        <w:rPr>
          <w:rFonts w:eastAsia="Times New Roman" w:cstheme="minorHAnsi"/>
          <w:color w:val="222222"/>
          <w:lang w:eastAsia="en-GB"/>
        </w:rPr>
        <w:t xml:space="preserve"> </w:t>
      </w:r>
      <w:r w:rsidRPr="005E7B63">
        <w:rPr>
          <w:rFonts w:eastAsia="Times New Roman" w:cstheme="minorHAnsi"/>
          <w:color w:val="222222"/>
          <w:lang w:eastAsia="en-GB"/>
        </w:rPr>
        <w:t>of</w:t>
      </w:r>
      <w:r w:rsidR="003D640C">
        <w:rPr>
          <w:rFonts w:eastAsia="Times New Roman" w:cstheme="minorHAnsi"/>
          <w:color w:val="222222"/>
          <w:lang w:eastAsia="en-GB"/>
        </w:rPr>
        <w:t xml:space="preserve"> </w:t>
      </w:r>
      <w:r w:rsidRPr="005E7B63">
        <w:rPr>
          <w:rFonts w:eastAsia="Times New Roman" w:cstheme="minorHAnsi"/>
          <w:color w:val="222222"/>
          <w:lang w:eastAsia="en-GB"/>
        </w:rPr>
        <w:t>helping</w:t>
      </w:r>
      <w:r w:rsidR="003D640C">
        <w:rPr>
          <w:rFonts w:eastAsia="Times New Roman" w:cstheme="minorHAnsi"/>
          <w:color w:val="222222"/>
          <w:lang w:eastAsia="en-GB"/>
        </w:rPr>
        <w:t xml:space="preserve"> </w:t>
      </w:r>
      <w:r w:rsidRPr="005E7B63">
        <w:rPr>
          <w:rFonts w:eastAsia="Times New Roman" w:cstheme="minorHAnsi"/>
          <w:color w:val="222222"/>
          <w:lang w:eastAsia="en-GB"/>
        </w:rPr>
        <w:t>people</w:t>
      </w:r>
      <w:r w:rsidR="003D640C">
        <w:rPr>
          <w:rFonts w:eastAsia="Times New Roman" w:cstheme="minorHAnsi"/>
          <w:color w:val="222222"/>
          <w:lang w:eastAsia="en-GB"/>
        </w:rPr>
        <w:t xml:space="preserve"> </w:t>
      </w:r>
      <w:r w:rsidRPr="005E7B63">
        <w:rPr>
          <w:rFonts w:eastAsia="Times New Roman" w:cstheme="minorHAnsi"/>
          <w:color w:val="222222"/>
          <w:lang w:eastAsia="en-GB"/>
        </w:rPr>
        <w:t>who</w:t>
      </w:r>
      <w:r w:rsidR="003D640C">
        <w:rPr>
          <w:rFonts w:eastAsia="Times New Roman" w:cstheme="minorHAnsi"/>
          <w:color w:val="222222"/>
          <w:lang w:eastAsia="en-GB"/>
        </w:rPr>
        <w:t xml:space="preserve"> </w:t>
      </w:r>
      <w:r w:rsidRPr="005E7B63">
        <w:rPr>
          <w:rFonts w:eastAsia="Times New Roman" w:cstheme="minorHAnsi"/>
          <w:color w:val="222222"/>
          <w:lang w:eastAsia="en-GB"/>
        </w:rPr>
        <w:t>are</w:t>
      </w:r>
      <w:r w:rsidR="003D640C">
        <w:rPr>
          <w:rFonts w:eastAsia="Times New Roman" w:cstheme="minorHAnsi"/>
          <w:color w:val="222222"/>
          <w:lang w:eastAsia="en-GB"/>
        </w:rPr>
        <w:t xml:space="preserve"> </w:t>
      </w:r>
      <w:r w:rsidRPr="005E7B63">
        <w:rPr>
          <w:rFonts w:eastAsia="Times New Roman" w:cstheme="minorHAnsi"/>
          <w:color w:val="222222"/>
          <w:lang w:eastAsia="en-GB"/>
        </w:rPr>
        <w:t>experiencing</w:t>
      </w:r>
      <w:r w:rsidR="003D640C">
        <w:rPr>
          <w:rFonts w:eastAsia="Times New Roman" w:cstheme="minorHAnsi"/>
          <w:color w:val="222222"/>
          <w:lang w:eastAsia="en-GB"/>
        </w:rPr>
        <w:t xml:space="preserve"> </w:t>
      </w:r>
      <w:r w:rsidRPr="00EE7A98">
        <w:rPr>
          <w:rFonts w:eastAsia="Times New Roman" w:cstheme="minorHAnsi"/>
          <w:color w:val="222222"/>
          <w:lang w:eastAsia="en-GB"/>
        </w:rPr>
        <w:t>conversion</w:t>
      </w:r>
      <w:r w:rsidR="003D640C">
        <w:rPr>
          <w:rFonts w:eastAsia="Times New Roman" w:cstheme="minorHAnsi"/>
          <w:color w:val="222222"/>
          <w:lang w:eastAsia="en-GB"/>
        </w:rPr>
        <w:t xml:space="preserve"> </w:t>
      </w:r>
      <w:r w:rsidRPr="00EE7A98">
        <w:rPr>
          <w:rFonts w:eastAsia="Times New Roman" w:cstheme="minorHAnsi"/>
          <w:color w:val="222222"/>
          <w:lang w:eastAsia="en-GB"/>
        </w:rPr>
        <w:t>practices</w:t>
      </w:r>
      <w:r w:rsidR="003D640C">
        <w:rPr>
          <w:rFonts w:eastAsia="Times New Roman" w:cstheme="minorHAnsi"/>
          <w:color w:val="222222"/>
          <w:lang w:eastAsia="en-GB"/>
        </w:rPr>
        <w:t xml:space="preserve"> </w:t>
      </w:r>
      <w:r w:rsidRPr="005E7B63">
        <w:rPr>
          <w:rFonts w:eastAsia="Times New Roman" w:cstheme="minorHAnsi"/>
          <w:color w:val="222222"/>
          <w:lang w:eastAsia="en-GB"/>
        </w:rPr>
        <w:t>to</w:t>
      </w:r>
      <w:r w:rsidR="003D640C">
        <w:rPr>
          <w:rFonts w:eastAsia="Times New Roman" w:cstheme="minorHAnsi"/>
          <w:color w:val="222222"/>
          <w:lang w:eastAsia="en-GB"/>
        </w:rPr>
        <w:t xml:space="preserve"> </w:t>
      </w:r>
      <w:r w:rsidRPr="005E7B63">
        <w:rPr>
          <w:rFonts w:eastAsia="Times New Roman" w:cstheme="minorHAnsi"/>
          <w:color w:val="222222"/>
          <w:lang w:eastAsia="en-GB"/>
        </w:rPr>
        <w:t>take</w:t>
      </w:r>
      <w:r w:rsidR="003D640C">
        <w:rPr>
          <w:rFonts w:eastAsia="Times New Roman" w:cstheme="minorHAnsi"/>
          <w:color w:val="222222"/>
          <w:lang w:eastAsia="en-GB"/>
        </w:rPr>
        <w:t xml:space="preserve"> </w:t>
      </w:r>
      <w:r w:rsidRPr="005E7B63">
        <w:rPr>
          <w:rFonts w:eastAsia="Times New Roman" w:cstheme="minorHAnsi"/>
          <w:color w:val="222222"/>
          <w:lang w:eastAsia="en-GB"/>
        </w:rPr>
        <w:t>action</w:t>
      </w:r>
      <w:r w:rsidR="003D640C">
        <w:rPr>
          <w:rFonts w:eastAsia="Times New Roman" w:cstheme="minorHAnsi"/>
          <w:color w:val="222222"/>
          <w:lang w:eastAsia="en-GB"/>
        </w:rPr>
        <w:t xml:space="preserve"> </w:t>
      </w:r>
      <w:r w:rsidRPr="005E7B63">
        <w:rPr>
          <w:rFonts w:eastAsia="Times New Roman" w:cstheme="minorHAnsi"/>
          <w:color w:val="222222"/>
          <w:lang w:eastAsia="en-GB"/>
        </w:rPr>
        <w:t>to</w:t>
      </w:r>
      <w:r w:rsidR="003D640C">
        <w:rPr>
          <w:rFonts w:eastAsia="Times New Roman" w:cstheme="minorHAnsi"/>
          <w:color w:val="222222"/>
          <w:lang w:eastAsia="en-GB"/>
        </w:rPr>
        <w:t xml:space="preserve"> </w:t>
      </w:r>
      <w:r w:rsidRPr="005E7B63">
        <w:rPr>
          <w:rFonts w:eastAsia="Times New Roman" w:cstheme="minorHAnsi"/>
          <w:color w:val="222222"/>
          <w:lang w:eastAsia="en-GB"/>
        </w:rPr>
        <w:t>stop</w:t>
      </w:r>
      <w:r w:rsidR="003D640C">
        <w:rPr>
          <w:rFonts w:eastAsia="Times New Roman" w:cstheme="minorHAnsi"/>
          <w:color w:val="222222"/>
          <w:lang w:eastAsia="en-GB"/>
        </w:rPr>
        <w:t xml:space="preserve"> </w:t>
      </w:r>
      <w:r w:rsidRPr="005E7B63">
        <w:rPr>
          <w:rFonts w:eastAsia="Times New Roman" w:cstheme="minorHAnsi"/>
          <w:color w:val="222222"/>
          <w:lang w:eastAsia="en-GB"/>
        </w:rPr>
        <w:t>th</w:t>
      </w:r>
      <w:r w:rsidRPr="00EE7A98">
        <w:rPr>
          <w:rFonts w:eastAsia="Times New Roman" w:cstheme="minorHAnsi"/>
          <w:color w:val="222222"/>
          <w:lang w:eastAsia="en-GB"/>
        </w:rPr>
        <w:t>em</w:t>
      </w:r>
      <w:r w:rsidRPr="005E7B63">
        <w:rPr>
          <w:rFonts w:eastAsia="Times New Roman" w:cstheme="minorHAnsi"/>
          <w:color w:val="222222"/>
          <w:lang w:eastAsia="en-GB"/>
        </w:rPr>
        <w:t>.</w:t>
      </w:r>
      <w:r w:rsidR="003D640C">
        <w:rPr>
          <w:rFonts w:eastAsia="Times New Roman" w:cstheme="minorHAnsi"/>
          <w:color w:val="222222"/>
          <w:lang w:eastAsia="en-GB"/>
        </w:rPr>
        <w:t xml:space="preserve"> </w:t>
      </w:r>
      <w:r w:rsidRPr="00EE7A98">
        <w:rPr>
          <w:rFonts w:eastAsia="Times New Roman" w:cstheme="minorHAnsi"/>
          <w:color w:val="222222"/>
          <w:lang w:eastAsia="en-GB"/>
        </w:rPr>
        <w:t>We</w:t>
      </w:r>
      <w:r w:rsidR="003D640C">
        <w:rPr>
          <w:rFonts w:eastAsia="Times New Roman" w:cstheme="minorHAnsi"/>
          <w:color w:val="222222"/>
          <w:lang w:eastAsia="en-GB"/>
        </w:rPr>
        <w:t xml:space="preserve"> </w:t>
      </w:r>
      <w:r w:rsidRPr="00EE7A98">
        <w:rPr>
          <w:rFonts w:eastAsia="Times New Roman" w:cstheme="minorHAnsi"/>
          <w:color w:val="222222"/>
          <w:lang w:eastAsia="en-GB"/>
        </w:rPr>
        <w:t>note</w:t>
      </w:r>
      <w:r w:rsidR="003D640C">
        <w:rPr>
          <w:rFonts w:eastAsia="Times New Roman" w:cstheme="minorHAnsi"/>
          <w:color w:val="222222"/>
          <w:lang w:eastAsia="en-GB"/>
        </w:rPr>
        <w:t xml:space="preserve"> </w:t>
      </w:r>
      <w:r w:rsidRPr="00EE7A98">
        <w:rPr>
          <w:rFonts w:eastAsia="Times New Roman" w:cstheme="minorHAnsi"/>
          <w:color w:val="222222"/>
          <w:lang w:eastAsia="en-GB"/>
        </w:rPr>
        <w:t>that</w:t>
      </w:r>
      <w:r w:rsidR="003D640C">
        <w:rPr>
          <w:rFonts w:eastAsia="Times New Roman" w:cstheme="minorHAnsi"/>
          <w:color w:val="222222"/>
          <w:lang w:eastAsia="en-GB"/>
        </w:rPr>
        <w:t xml:space="preserve"> </w:t>
      </w:r>
      <w:r w:rsidRPr="00EE7A98">
        <w:rPr>
          <w:rFonts w:eastAsia="Times New Roman" w:cstheme="minorHAnsi"/>
          <w:color w:val="222222"/>
          <w:lang w:eastAsia="en-GB"/>
        </w:rPr>
        <w:t>t</w:t>
      </w:r>
      <w:r w:rsidRPr="005E7B63">
        <w:rPr>
          <w:rFonts w:eastAsia="Times New Roman" w:cstheme="minorHAnsi"/>
          <w:color w:val="222222"/>
          <w:lang w:eastAsia="en-GB"/>
        </w:rPr>
        <w:t>his</w:t>
      </w:r>
      <w:r w:rsidR="003D640C">
        <w:rPr>
          <w:rFonts w:eastAsia="Times New Roman" w:cstheme="minorHAnsi"/>
          <w:color w:val="222222"/>
          <w:lang w:eastAsia="en-GB"/>
        </w:rPr>
        <w:t xml:space="preserve"> </w:t>
      </w:r>
      <w:r w:rsidRPr="005E7B63">
        <w:rPr>
          <w:rFonts w:eastAsia="Times New Roman" w:cstheme="minorHAnsi"/>
          <w:color w:val="222222"/>
          <w:lang w:eastAsia="en-GB"/>
        </w:rPr>
        <w:t>is</w:t>
      </w:r>
      <w:r w:rsidR="003D640C">
        <w:rPr>
          <w:rFonts w:eastAsia="Times New Roman" w:cstheme="minorHAnsi"/>
          <w:color w:val="222222"/>
          <w:lang w:eastAsia="en-GB"/>
        </w:rPr>
        <w:t xml:space="preserve"> </w:t>
      </w:r>
      <w:r w:rsidRPr="00EE7A98">
        <w:rPr>
          <w:rFonts w:eastAsia="Times New Roman" w:cstheme="minorHAnsi"/>
          <w:color w:val="222222"/>
          <w:lang w:eastAsia="en-GB"/>
        </w:rPr>
        <w:lastRenderedPageBreak/>
        <w:t>not</w:t>
      </w:r>
      <w:r w:rsidR="003D640C">
        <w:rPr>
          <w:rFonts w:eastAsia="Times New Roman" w:cstheme="minorHAnsi"/>
          <w:color w:val="222222"/>
          <w:lang w:eastAsia="en-GB"/>
        </w:rPr>
        <w:t xml:space="preserve"> </w:t>
      </w:r>
      <w:r w:rsidRPr="005E7B63">
        <w:rPr>
          <w:rFonts w:eastAsia="Times New Roman" w:cstheme="minorHAnsi"/>
          <w:color w:val="222222"/>
          <w:lang w:eastAsia="en-GB"/>
        </w:rPr>
        <w:t>about</w:t>
      </w:r>
      <w:r w:rsidR="003D640C">
        <w:rPr>
          <w:rFonts w:eastAsia="Times New Roman" w:cstheme="minorHAnsi"/>
          <w:color w:val="222222"/>
          <w:lang w:eastAsia="en-GB"/>
        </w:rPr>
        <w:t xml:space="preserve"> </w:t>
      </w:r>
      <w:r w:rsidRPr="005E7B63">
        <w:rPr>
          <w:rFonts w:eastAsia="Times New Roman" w:cstheme="minorHAnsi"/>
          <w:color w:val="222222"/>
          <w:lang w:eastAsia="en-GB"/>
        </w:rPr>
        <w:t>encouraging</w:t>
      </w:r>
      <w:r w:rsidR="003D640C">
        <w:rPr>
          <w:rFonts w:eastAsia="Times New Roman" w:cstheme="minorHAnsi"/>
          <w:color w:val="222222"/>
          <w:lang w:eastAsia="en-GB"/>
        </w:rPr>
        <w:t xml:space="preserve"> </w:t>
      </w:r>
      <w:r w:rsidRPr="00EE7A98">
        <w:rPr>
          <w:rFonts w:eastAsia="Times New Roman" w:cstheme="minorHAnsi"/>
          <w:color w:val="222222"/>
          <w:lang w:eastAsia="en-GB"/>
        </w:rPr>
        <w:t>people</w:t>
      </w:r>
      <w:r w:rsidR="003D640C">
        <w:rPr>
          <w:rFonts w:eastAsia="Times New Roman" w:cstheme="minorHAnsi"/>
          <w:color w:val="222222"/>
          <w:lang w:eastAsia="en-GB"/>
        </w:rPr>
        <w:t xml:space="preserve"> </w:t>
      </w:r>
      <w:r w:rsidRPr="005E7B63">
        <w:rPr>
          <w:rFonts w:eastAsia="Times New Roman" w:cstheme="minorHAnsi"/>
          <w:color w:val="222222"/>
          <w:lang w:eastAsia="en-GB"/>
        </w:rPr>
        <w:t>to</w:t>
      </w:r>
      <w:r w:rsidR="003D640C">
        <w:rPr>
          <w:rFonts w:eastAsia="Times New Roman" w:cstheme="minorHAnsi"/>
          <w:color w:val="222222"/>
          <w:lang w:eastAsia="en-GB"/>
        </w:rPr>
        <w:t xml:space="preserve"> </w:t>
      </w:r>
      <w:r w:rsidRPr="005E7B63">
        <w:rPr>
          <w:rFonts w:eastAsia="Times New Roman" w:cstheme="minorHAnsi"/>
          <w:color w:val="222222"/>
          <w:lang w:eastAsia="en-GB"/>
        </w:rPr>
        <w:t>break</w:t>
      </w:r>
      <w:r w:rsidR="003D640C">
        <w:rPr>
          <w:rFonts w:eastAsia="Times New Roman" w:cstheme="minorHAnsi"/>
          <w:color w:val="222222"/>
          <w:lang w:eastAsia="en-GB"/>
        </w:rPr>
        <w:t xml:space="preserve"> </w:t>
      </w:r>
      <w:r w:rsidRPr="005E7B63">
        <w:rPr>
          <w:rFonts w:eastAsia="Times New Roman" w:cstheme="minorHAnsi"/>
          <w:color w:val="222222"/>
          <w:lang w:eastAsia="en-GB"/>
        </w:rPr>
        <w:t>with</w:t>
      </w:r>
      <w:r w:rsidR="003D640C">
        <w:rPr>
          <w:rFonts w:eastAsia="Times New Roman" w:cstheme="minorHAnsi"/>
          <w:color w:val="222222"/>
          <w:lang w:eastAsia="en-GB"/>
        </w:rPr>
        <w:t xml:space="preserve"> </w:t>
      </w:r>
      <w:r w:rsidRPr="005E7B63">
        <w:rPr>
          <w:rFonts w:eastAsia="Times New Roman" w:cstheme="minorHAnsi"/>
          <w:color w:val="222222"/>
          <w:lang w:eastAsia="en-GB"/>
        </w:rPr>
        <w:t>their</w:t>
      </w:r>
      <w:r w:rsidR="003D640C">
        <w:rPr>
          <w:rFonts w:eastAsia="Times New Roman" w:cstheme="minorHAnsi"/>
          <w:color w:val="222222"/>
          <w:lang w:eastAsia="en-GB"/>
        </w:rPr>
        <w:t xml:space="preserve"> </w:t>
      </w:r>
      <w:r w:rsidRPr="005E7B63">
        <w:rPr>
          <w:rFonts w:eastAsia="Times New Roman" w:cstheme="minorHAnsi"/>
          <w:color w:val="222222"/>
          <w:lang w:eastAsia="en-GB"/>
        </w:rPr>
        <w:t>wh</w:t>
      </w:r>
      <w:r w:rsidRPr="005E7B63">
        <w:rPr>
          <w:rFonts w:eastAsia="Times New Roman" w:cstheme="minorHAnsi"/>
          <w:color w:val="222222"/>
          <w:lang w:val="mi-NZ" w:eastAsia="en-GB"/>
        </w:rPr>
        <w:t>ā</w:t>
      </w:r>
      <w:r w:rsidRPr="005E7B63">
        <w:rPr>
          <w:rFonts w:eastAsia="Times New Roman" w:cstheme="minorHAnsi"/>
          <w:color w:val="222222"/>
          <w:lang w:eastAsia="en-GB"/>
        </w:rPr>
        <w:t>nau</w:t>
      </w:r>
      <w:r w:rsidR="003D640C">
        <w:rPr>
          <w:rFonts w:eastAsia="Times New Roman" w:cstheme="minorHAnsi"/>
          <w:color w:val="222222"/>
          <w:lang w:eastAsia="en-GB"/>
        </w:rPr>
        <w:t xml:space="preserve"> </w:t>
      </w:r>
      <w:r w:rsidRPr="005E7B63">
        <w:rPr>
          <w:rFonts w:eastAsia="Times New Roman" w:cstheme="minorHAnsi"/>
          <w:color w:val="222222"/>
          <w:lang w:eastAsia="en-GB"/>
        </w:rPr>
        <w:t>or</w:t>
      </w:r>
      <w:r w:rsidR="003D640C">
        <w:rPr>
          <w:rFonts w:eastAsia="Times New Roman" w:cstheme="minorHAnsi"/>
          <w:color w:val="222222"/>
          <w:lang w:eastAsia="en-GB"/>
        </w:rPr>
        <w:t xml:space="preserve"> </w:t>
      </w:r>
      <w:r w:rsidRPr="005E7B63">
        <w:rPr>
          <w:rFonts w:eastAsia="Times New Roman" w:cstheme="minorHAnsi"/>
          <w:color w:val="222222"/>
          <w:lang w:eastAsia="en-GB"/>
        </w:rPr>
        <w:t>culture</w:t>
      </w:r>
      <w:r w:rsidR="0054081C">
        <w:rPr>
          <w:rFonts w:eastAsia="Times New Roman" w:cstheme="minorHAnsi"/>
          <w:color w:val="222222"/>
          <w:lang w:eastAsia="en-GB"/>
        </w:rPr>
        <w:t>.</w:t>
      </w:r>
      <w:r w:rsidR="003D640C">
        <w:rPr>
          <w:rFonts w:eastAsia="Times New Roman" w:cstheme="minorHAnsi"/>
          <w:color w:val="222222"/>
          <w:lang w:eastAsia="en-GB"/>
        </w:rPr>
        <w:t xml:space="preserve"> </w:t>
      </w:r>
      <w:r w:rsidR="0054081C">
        <w:rPr>
          <w:rFonts w:eastAsia="Times New Roman" w:cstheme="minorHAnsi"/>
          <w:color w:val="222222"/>
          <w:lang w:eastAsia="en-GB"/>
        </w:rPr>
        <w:t>R</w:t>
      </w:r>
      <w:r w:rsidRPr="00EE7A98">
        <w:rPr>
          <w:rFonts w:eastAsia="Times New Roman" w:cstheme="minorHAnsi"/>
          <w:color w:val="222222"/>
          <w:lang w:eastAsia="en-GB"/>
        </w:rPr>
        <w:t>ather</w:t>
      </w:r>
      <w:r w:rsidR="0054081C">
        <w:rPr>
          <w:rFonts w:eastAsia="Times New Roman" w:cstheme="minorHAnsi"/>
          <w:color w:val="222222"/>
          <w:lang w:eastAsia="en-GB"/>
        </w:rPr>
        <w:t>,</w:t>
      </w:r>
      <w:r w:rsidR="003D640C">
        <w:rPr>
          <w:rFonts w:eastAsia="Times New Roman" w:cstheme="minorHAnsi"/>
          <w:color w:val="222222"/>
          <w:lang w:eastAsia="en-GB"/>
        </w:rPr>
        <w:t xml:space="preserve"> </w:t>
      </w:r>
      <w:r w:rsidRPr="005E7B63">
        <w:rPr>
          <w:rFonts w:eastAsia="Times New Roman" w:cstheme="minorHAnsi"/>
          <w:color w:val="222222"/>
          <w:lang w:eastAsia="en-GB"/>
        </w:rPr>
        <w:t>it</w:t>
      </w:r>
      <w:r w:rsidR="003D640C">
        <w:rPr>
          <w:rFonts w:eastAsia="Times New Roman" w:cstheme="minorHAnsi"/>
          <w:color w:val="222222"/>
          <w:lang w:eastAsia="en-GB"/>
        </w:rPr>
        <w:t xml:space="preserve"> </w:t>
      </w:r>
      <w:r w:rsidRPr="00EE7A98">
        <w:rPr>
          <w:rFonts w:eastAsia="Times New Roman" w:cstheme="minorHAnsi"/>
          <w:color w:val="222222"/>
          <w:lang w:eastAsia="en-GB"/>
        </w:rPr>
        <w:t>is</w:t>
      </w:r>
      <w:r w:rsidR="003D640C">
        <w:rPr>
          <w:rFonts w:eastAsia="Times New Roman" w:cstheme="minorHAnsi"/>
          <w:color w:val="222222"/>
          <w:lang w:eastAsia="en-GB"/>
        </w:rPr>
        <w:t xml:space="preserve"> </w:t>
      </w:r>
      <w:r>
        <w:rPr>
          <w:rFonts w:eastAsia="Times New Roman" w:cstheme="minorHAnsi"/>
          <w:color w:val="222222"/>
          <w:lang w:eastAsia="en-GB"/>
        </w:rPr>
        <w:t>about</w:t>
      </w:r>
      <w:r w:rsidR="003D640C">
        <w:rPr>
          <w:rFonts w:eastAsia="Times New Roman" w:cstheme="minorHAnsi"/>
          <w:color w:val="222222"/>
          <w:lang w:eastAsia="en-GB"/>
        </w:rPr>
        <w:t xml:space="preserve"> </w:t>
      </w:r>
      <w:r>
        <w:rPr>
          <w:rFonts w:eastAsia="Times New Roman" w:cstheme="minorHAnsi"/>
          <w:color w:val="222222"/>
          <w:lang w:eastAsia="en-GB"/>
        </w:rPr>
        <w:t>encouraging</w:t>
      </w:r>
      <w:r w:rsidR="003D640C">
        <w:rPr>
          <w:rFonts w:eastAsia="Times New Roman" w:cstheme="minorHAnsi"/>
          <w:color w:val="222222"/>
          <w:lang w:eastAsia="en-GB"/>
        </w:rPr>
        <w:t xml:space="preserve"> </w:t>
      </w:r>
      <w:r>
        <w:rPr>
          <w:rFonts w:eastAsia="Times New Roman" w:cstheme="minorHAnsi"/>
          <w:color w:val="222222"/>
          <w:lang w:eastAsia="en-GB"/>
        </w:rPr>
        <w:t>an</w:t>
      </w:r>
      <w:r w:rsidR="003D640C">
        <w:rPr>
          <w:rFonts w:eastAsia="Times New Roman" w:cstheme="minorHAnsi"/>
          <w:color w:val="222222"/>
          <w:lang w:eastAsia="en-GB"/>
        </w:rPr>
        <w:t xml:space="preserve"> </w:t>
      </w:r>
      <w:r>
        <w:rPr>
          <w:rFonts w:eastAsia="Times New Roman" w:cstheme="minorHAnsi"/>
          <w:color w:val="222222"/>
          <w:lang w:eastAsia="en-GB"/>
        </w:rPr>
        <w:t>individual</w:t>
      </w:r>
      <w:r w:rsidR="003D640C">
        <w:rPr>
          <w:rFonts w:eastAsia="Times New Roman" w:cstheme="minorHAnsi"/>
          <w:color w:val="222222"/>
          <w:lang w:eastAsia="en-GB"/>
        </w:rPr>
        <w:t xml:space="preserve"> </w:t>
      </w:r>
      <w:r>
        <w:rPr>
          <w:rFonts w:eastAsia="Times New Roman" w:cstheme="minorHAnsi"/>
          <w:color w:val="222222"/>
          <w:lang w:eastAsia="en-GB"/>
        </w:rPr>
        <w:t>to</w:t>
      </w:r>
      <w:r w:rsidR="003D640C">
        <w:rPr>
          <w:rFonts w:eastAsia="Times New Roman" w:cstheme="minorHAnsi"/>
          <w:color w:val="222222"/>
          <w:lang w:eastAsia="en-GB"/>
        </w:rPr>
        <w:t xml:space="preserve"> </w:t>
      </w:r>
      <w:r>
        <w:rPr>
          <w:rFonts w:eastAsia="Times New Roman" w:cstheme="minorHAnsi"/>
          <w:color w:val="222222"/>
          <w:lang w:eastAsia="en-GB"/>
        </w:rPr>
        <w:t>value</w:t>
      </w:r>
      <w:r w:rsidR="003D640C">
        <w:rPr>
          <w:rFonts w:eastAsia="Times New Roman" w:cstheme="minorHAnsi"/>
          <w:color w:val="222222"/>
          <w:lang w:eastAsia="en-GB"/>
        </w:rPr>
        <w:t xml:space="preserve"> </w:t>
      </w:r>
      <w:r>
        <w:rPr>
          <w:rFonts w:eastAsia="Times New Roman" w:cstheme="minorHAnsi"/>
          <w:color w:val="222222"/>
          <w:lang w:eastAsia="en-GB"/>
        </w:rPr>
        <w:t>them</w:t>
      </w:r>
      <w:r w:rsidRPr="005E7B63">
        <w:rPr>
          <w:rFonts w:eastAsia="Times New Roman" w:cstheme="minorHAnsi"/>
          <w:color w:val="222222"/>
          <w:lang w:eastAsia="en-GB"/>
        </w:rPr>
        <w:t>sel</w:t>
      </w:r>
      <w:r>
        <w:rPr>
          <w:rFonts w:eastAsia="Times New Roman" w:cstheme="minorHAnsi"/>
          <w:color w:val="222222"/>
          <w:lang w:eastAsia="en-GB"/>
        </w:rPr>
        <w:t>ves</w:t>
      </w:r>
      <w:r w:rsidR="003D640C">
        <w:rPr>
          <w:rFonts w:eastAsia="Times New Roman" w:cstheme="minorHAnsi"/>
          <w:color w:val="222222"/>
          <w:lang w:eastAsia="en-GB"/>
        </w:rPr>
        <w:t xml:space="preserve"> </w:t>
      </w:r>
      <w:r>
        <w:rPr>
          <w:rFonts w:eastAsia="Times New Roman" w:cstheme="minorHAnsi"/>
          <w:color w:val="222222"/>
          <w:lang w:eastAsia="en-GB"/>
        </w:rPr>
        <w:t>and</w:t>
      </w:r>
      <w:r w:rsidR="003D640C">
        <w:rPr>
          <w:rFonts w:eastAsia="Times New Roman" w:cstheme="minorHAnsi"/>
          <w:color w:val="222222"/>
          <w:lang w:eastAsia="en-GB"/>
        </w:rPr>
        <w:t xml:space="preserve"> </w:t>
      </w:r>
      <w:r w:rsidRPr="005E7B63">
        <w:rPr>
          <w:rFonts w:eastAsia="Times New Roman" w:cstheme="minorHAnsi"/>
          <w:color w:val="222222"/>
          <w:lang w:eastAsia="en-GB"/>
        </w:rPr>
        <w:t>tak</w:t>
      </w:r>
      <w:r>
        <w:rPr>
          <w:rFonts w:eastAsia="Times New Roman" w:cstheme="minorHAnsi"/>
          <w:color w:val="222222"/>
          <w:lang w:eastAsia="en-GB"/>
        </w:rPr>
        <w:t>e</w:t>
      </w:r>
      <w:r w:rsidR="003D640C">
        <w:rPr>
          <w:rFonts w:eastAsia="Times New Roman" w:cstheme="minorHAnsi"/>
          <w:color w:val="222222"/>
          <w:lang w:eastAsia="en-GB"/>
        </w:rPr>
        <w:t xml:space="preserve"> </w:t>
      </w:r>
      <w:r w:rsidRPr="005E7B63">
        <w:rPr>
          <w:rFonts w:eastAsia="Times New Roman" w:cstheme="minorHAnsi"/>
          <w:color w:val="222222"/>
          <w:lang w:eastAsia="en-GB"/>
        </w:rPr>
        <w:t>time</w:t>
      </w:r>
      <w:r w:rsidR="003D640C">
        <w:rPr>
          <w:rFonts w:eastAsia="Times New Roman" w:cstheme="minorHAnsi"/>
          <w:color w:val="222222"/>
          <w:lang w:eastAsia="en-GB"/>
        </w:rPr>
        <w:t xml:space="preserve"> </w:t>
      </w:r>
      <w:r>
        <w:rPr>
          <w:rFonts w:eastAsia="Times New Roman" w:cstheme="minorHAnsi"/>
          <w:color w:val="222222"/>
          <w:lang w:eastAsia="en-GB"/>
        </w:rPr>
        <w:t>and</w:t>
      </w:r>
      <w:r w:rsidR="003D640C">
        <w:rPr>
          <w:rFonts w:eastAsia="Times New Roman" w:cstheme="minorHAnsi"/>
          <w:color w:val="222222"/>
          <w:lang w:eastAsia="en-GB"/>
        </w:rPr>
        <w:t xml:space="preserve"> </w:t>
      </w:r>
      <w:r w:rsidRPr="005E7B63">
        <w:rPr>
          <w:rFonts w:eastAsia="Times New Roman" w:cstheme="minorHAnsi"/>
          <w:color w:val="222222"/>
          <w:lang w:eastAsia="en-GB"/>
        </w:rPr>
        <w:t>space</w:t>
      </w:r>
      <w:r w:rsidR="003D640C">
        <w:rPr>
          <w:rFonts w:eastAsia="Times New Roman" w:cstheme="minorHAnsi"/>
          <w:color w:val="222222"/>
          <w:lang w:eastAsia="en-GB"/>
        </w:rPr>
        <w:t xml:space="preserve"> </w:t>
      </w:r>
      <w:r w:rsidRPr="005E7B63">
        <w:rPr>
          <w:rFonts w:eastAsia="Times New Roman" w:cstheme="minorHAnsi"/>
          <w:color w:val="222222"/>
          <w:lang w:eastAsia="en-GB"/>
        </w:rPr>
        <w:t>to</w:t>
      </w:r>
      <w:r w:rsidR="003D640C">
        <w:rPr>
          <w:rFonts w:eastAsia="Times New Roman" w:cstheme="minorHAnsi"/>
          <w:color w:val="222222"/>
          <w:lang w:eastAsia="en-GB"/>
        </w:rPr>
        <w:t xml:space="preserve"> </w:t>
      </w:r>
      <w:r w:rsidRPr="005E7B63">
        <w:rPr>
          <w:rFonts w:eastAsia="Times New Roman" w:cstheme="minorHAnsi"/>
          <w:color w:val="222222"/>
          <w:lang w:eastAsia="en-GB"/>
        </w:rPr>
        <w:t>understand</w:t>
      </w:r>
      <w:r w:rsidR="003D640C">
        <w:rPr>
          <w:rFonts w:eastAsia="Times New Roman" w:cstheme="minorHAnsi"/>
          <w:color w:val="222222"/>
          <w:lang w:eastAsia="en-GB"/>
        </w:rPr>
        <w:t xml:space="preserve"> </w:t>
      </w:r>
      <w:r w:rsidRPr="005E7B63">
        <w:rPr>
          <w:rFonts w:eastAsia="Times New Roman" w:cstheme="minorHAnsi"/>
          <w:color w:val="222222"/>
          <w:lang w:eastAsia="en-GB"/>
        </w:rPr>
        <w:t>and</w:t>
      </w:r>
      <w:r w:rsidR="003D640C">
        <w:rPr>
          <w:rFonts w:eastAsia="Times New Roman" w:cstheme="minorHAnsi"/>
          <w:color w:val="222222"/>
          <w:lang w:eastAsia="en-GB"/>
        </w:rPr>
        <w:t xml:space="preserve"> </w:t>
      </w:r>
      <w:r w:rsidRPr="005E7B63">
        <w:rPr>
          <w:rFonts w:eastAsia="Times New Roman" w:cstheme="minorHAnsi"/>
          <w:color w:val="222222"/>
          <w:lang w:eastAsia="en-GB"/>
        </w:rPr>
        <w:t>embrace</w:t>
      </w:r>
      <w:r w:rsidR="003D640C">
        <w:rPr>
          <w:rFonts w:eastAsia="Times New Roman" w:cstheme="minorHAnsi"/>
          <w:color w:val="222222"/>
          <w:lang w:eastAsia="en-GB"/>
        </w:rPr>
        <w:t xml:space="preserve"> </w:t>
      </w:r>
      <w:r w:rsidRPr="005E7B63">
        <w:rPr>
          <w:rFonts w:eastAsia="Times New Roman" w:cstheme="minorHAnsi"/>
          <w:color w:val="222222"/>
          <w:lang w:eastAsia="en-GB"/>
        </w:rPr>
        <w:t>their</w:t>
      </w:r>
      <w:r w:rsidR="003D640C">
        <w:rPr>
          <w:rFonts w:eastAsia="Times New Roman" w:cstheme="minorHAnsi"/>
          <w:color w:val="222222"/>
          <w:lang w:eastAsia="en-GB"/>
        </w:rPr>
        <w:t xml:space="preserve"> </w:t>
      </w:r>
      <w:r w:rsidRPr="005E7B63">
        <w:rPr>
          <w:rFonts w:eastAsia="Times New Roman" w:cstheme="minorHAnsi"/>
          <w:color w:val="222222"/>
          <w:lang w:eastAsia="en-GB"/>
        </w:rPr>
        <w:t>identity</w:t>
      </w:r>
      <w:r>
        <w:rPr>
          <w:rFonts w:eastAsia="Times New Roman" w:cstheme="minorHAnsi"/>
          <w:color w:val="222222"/>
          <w:lang w:eastAsia="en-GB"/>
        </w:rPr>
        <w:t>.</w:t>
      </w:r>
      <w:r w:rsidR="003D640C">
        <w:rPr>
          <w:rFonts w:eastAsia="Times New Roman" w:cstheme="minorHAnsi"/>
          <w:color w:val="222222"/>
          <w:lang w:eastAsia="en-GB"/>
        </w:rPr>
        <w:t xml:space="preserve"> </w:t>
      </w:r>
    </w:p>
    <w:p w14:paraId="2496F4C5" w14:textId="254E038B" w:rsidR="005B2A50" w:rsidRDefault="005B2A50" w:rsidP="0068108F">
      <w:pPr>
        <w:rPr>
          <w:rFonts w:eastAsia="Times New Roman" w:cstheme="minorHAnsi"/>
          <w:color w:val="222222"/>
          <w:lang w:eastAsia="en-GB"/>
        </w:rPr>
      </w:pPr>
      <w:r>
        <w:rPr>
          <w:rFonts w:eastAsia="Times New Roman" w:cstheme="minorHAnsi"/>
          <w:color w:val="222222"/>
          <w:lang w:eastAsia="en-GB"/>
        </w:rPr>
        <w:t>We</w:t>
      </w:r>
      <w:r w:rsidR="003D640C">
        <w:rPr>
          <w:rFonts w:eastAsia="Times New Roman" w:cstheme="minorHAnsi"/>
          <w:color w:val="222222"/>
          <w:lang w:eastAsia="en-GB"/>
        </w:rPr>
        <w:t xml:space="preserve"> </w:t>
      </w:r>
      <w:r>
        <w:rPr>
          <w:rFonts w:eastAsia="Times New Roman" w:cstheme="minorHAnsi"/>
          <w:color w:val="222222"/>
          <w:lang w:eastAsia="en-GB"/>
        </w:rPr>
        <w:t>offer</w:t>
      </w:r>
      <w:r w:rsidR="003D640C">
        <w:rPr>
          <w:rFonts w:eastAsia="Times New Roman" w:cstheme="minorHAnsi"/>
          <w:color w:val="222222"/>
          <w:lang w:eastAsia="en-GB"/>
        </w:rPr>
        <w:t xml:space="preserve"> </w:t>
      </w:r>
      <w:r>
        <w:rPr>
          <w:rFonts w:eastAsia="Times New Roman" w:cstheme="minorHAnsi"/>
          <w:color w:val="222222"/>
          <w:lang w:eastAsia="en-GB"/>
        </w:rPr>
        <w:t>this</w:t>
      </w:r>
      <w:r w:rsidR="003D640C">
        <w:rPr>
          <w:rFonts w:eastAsia="Times New Roman" w:cstheme="minorHAnsi"/>
          <w:color w:val="222222"/>
          <w:lang w:eastAsia="en-GB"/>
        </w:rPr>
        <w:t xml:space="preserve"> </w:t>
      </w:r>
      <w:r>
        <w:rPr>
          <w:rFonts w:eastAsia="Times New Roman" w:cstheme="minorHAnsi"/>
          <w:color w:val="222222"/>
          <w:lang w:eastAsia="en-GB"/>
        </w:rPr>
        <w:t>as</w:t>
      </w:r>
      <w:r w:rsidR="003D640C">
        <w:rPr>
          <w:rFonts w:eastAsia="Times New Roman" w:cstheme="minorHAnsi"/>
          <w:color w:val="222222"/>
          <w:lang w:eastAsia="en-GB"/>
        </w:rPr>
        <w:t xml:space="preserve"> </w:t>
      </w:r>
      <w:r>
        <w:rPr>
          <w:rFonts w:eastAsia="Times New Roman" w:cstheme="minorHAnsi"/>
          <w:color w:val="222222"/>
          <w:lang w:eastAsia="en-GB"/>
        </w:rPr>
        <w:t>a</w:t>
      </w:r>
      <w:r w:rsidR="003D640C">
        <w:rPr>
          <w:rFonts w:eastAsia="Times New Roman" w:cstheme="minorHAnsi"/>
          <w:color w:val="222222"/>
          <w:lang w:eastAsia="en-GB"/>
        </w:rPr>
        <w:t xml:space="preserve"> </w:t>
      </w:r>
      <w:r>
        <w:rPr>
          <w:rFonts w:eastAsia="Times New Roman" w:cstheme="minorHAnsi"/>
          <w:color w:val="222222"/>
          <w:lang w:eastAsia="en-GB"/>
        </w:rPr>
        <w:t>flexible</w:t>
      </w:r>
      <w:r w:rsidR="003D640C">
        <w:rPr>
          <w:rFonts w:eastAsia="Times New Roman" w:cstheme="minorHAnsi"/>
          <w:color w:val="222222"/>
          <w:lang w:eastAsia="en-GB"/>
        </w:rPr>
        <w:t xml:space="preserve"> </w:t>
      </w:r>
      <w:r>
        <w:rPr>
          <w:rFonts w:eastAsia="Times New Roman" w:cstheme="minorHAnsi"/>
          <w:color w:val="222222"/>
          <w:lang w:eastAsia="en-GB"/>
        </w:rPr>
        <w:t>and</w:t>
      </w:r>
      <w:r w:rsidR="003D640C">
        <w:rPr>
          <w:rFonts w:eastAsia="Times New Roman" w:cstheme="minorHAnsi"/>
          <w:color w:val="222222"/>
          <w:lang w:eastAsia="en-GB"/>
        </w:rPr>
        <w:t xml:space="preserve"> </w:t>
      </w:r>
      <w:r>
        <w:rPr>
          <w:rFonts w:eastAsia="Times New Roman" w:cstheme="minorHAnsi"/>
          <w:color w:val="222222"/>
          <w:lang w:eastAsia="en-GB"/>
        </w:rPr>
        <w:t>iterative</w:t>
      </w:r>
      <w:r w:rsidR="003D640C">
        <w:rPr>
          <w:rFonts w:eastAsia="Times New Roman" w:cstheme="minorHAnsi"/>
          <w:color w:val="222222"/>
          <w:lang w:eastAsia="en-GB"/>
        </w:rPr>
        <w:t xml:space="preserve"> </w:t>
      </w:r>
      <w:r>
        <w:rPr>
          <w:rFonts w:eastAsia="Times New Roman" w:cstheme="minorHAnsi"/>
          <w:color w:val="222222"/>
          <w:lang w:eastAsia="en-GB"/>
        </w:rPr>
        <w:t>model</w:t>
      </w:r>
      <w:r w:rsidR="003D640C">
        <w:rPr>
          <w:rFonts w:eastAsia="Times New Roman" w:cstheme="minorHAnsi"/>
          <w:color w:val="222222"/>
          <w:lang w:eastAsia="en-GB"/>
        </w:rPr>
        <w:t xml:space="preserve"> </w:t>
      </w:r>
      <w:r>
        <w:rPr>
          <w:rFonts w:eastAsia="Times New Roman" w:cstheme="minorHAnsi"/>
          <w:color w:val="222222"/>
          <w:lang w:eastAsia="en-GB"/>
        </w:rPr>
        <w:t>that</w:t>
      </w:r>
      <w:r w:rsidR="003D640C">
        <w:rPr>
          <w:rFonts w:eastAsia="Times New Roman" w:cstheme="minorHAnsi"/>
          <w:color w:val="222222"/>
          <w:lang w:eastAsia="en-GB"/>
        </w:rPr>
        <w:t xml:space="preserve"> </w:t>
      </w:r>
      <w:r>
        <w:rPr>
          <w:rFonts w:eastAsia="Times New Roman" w:cstheme="minorHAnsi"/>
          <w:color w:val="222222"/>
          <w:lang w:eastAsia="en-GB"/>
        </w:rPr>
        <w:t>can</w:t>
      </w:r>
      <w:r w:rsidR="003D640C">
        <w:rPr>
          <w:rFonts w:eastAsia="Times New Roman" w:cstheme="minorHAnsi"/>
          <w:color w:val="222222"/>
          <w:lang w:eastAsia="en-GB"/>
        </w:rPr>
        <w:t xml:space="preserve"> </w:t>
      </w:r>
      <w:r>
        <w:rPr>
          <w:rFonts w:eastAsia="Times New Roman" w:cstheme="minorHAnsi"/>
          <w:color w:val="222222"/>
          <w:lang w:eastAsia="en-GB"/>
        </w:rPr>
        <w:t>be</w:t>
      </w:r>
      <w:r w:rsidR="003D640C">
        <w:rPr>
          <w:rFonts w:eastAsia="Times New Roman" w:cstheme="minorHAnsi"/>
          <w:color w:val="222222"/>
          <w:lang w:eastAsia="en-GB"/>
        </w:rPr>
        <w:t xml:space="preserve"> </w:t>
      </w:r>
      <w:r>
        <w:rPr>
          <w:rFonts w:eastAsia="Times New Roman" w:cstheme="minorHAnsi"/>
          <w:color w:val="222222"/>
          <w:lang w:eastAsia="en-GB"/>
        </w:rPr>
        <w:t>built</w:t>
      </w:r>
      <w:r w:rsidR="003D640C">
        <w:rPr>
          <w:rFonts w:eastAsia="Times New Roman" w:cstheme="minorHAnsi"/>
          <w:color w:val="222222"/>
          <w:lang w:eastAsia="en-GB"/>
        </w:rPr>
        <w:t xml:space="preserve"> </w:t>
      </w:r>
      <w:r>
        <w:rPr>
          <w:rFonts w:eastAsia="Times New Roman" w:cstheme="minorHAnsi"/>
          <w:color w:val="222222"/>
          <w:lang w:eastAsia="en-GB"/>
        </w:rPr>
        <w:t>on</w:t>
      </w:r>
      <w:r w:rsidR="003D640C">
        <w:rPr>
          <w:rFonts w:eastAsia="Times New Roman" w:cstheme="minorHAnsi"/>
          <w:color w:val="222222"/>
          <w:lang w:eastAsia="en-GB"/>
        </w:rPr>
        <w:t xml:space="preserve"> </w:t>
      </w:r>
      <w:r>
        <w:rPr>
          <w:rFonts w:eastAsia="Times New Roman" w:cstheme="minorHAnsi"/>
          <w:color w:val="222222"/>
          <w:lang w:eastAsia="en-GB"/>
        </w:rPr>
        <w:t>to</w:t>
      </w:r>
      <w:r w:rsidR="003D640C">
        <w:rPr>
          <w:rFonts w:eastAsia="Times New Roman" w:cstheme="minorHAnsi"/>
          <w:color w:val="222222"/>
          <w:lang w:eastAsia="en-GB"/>
        </w:rPr>
        <w:t xml:space="preserve"> </w:t>
      </w:r>
      <w:r>
        <w:rPr>
          <w:rFonts w:eastAsia="Times New Roman" w:cstheme="minorHAnsi"/>
          <w:color w:val="222222"/>
          <w:lang w:eastAsia="en-GB"/>
        </w:rPr>
        <w:t>include</w:t>
      </w:r>
      <w:r w:rsidR="003D640C">
        <w:rPr>
          <w:rFonts w:eastAsia="Times New Roman" w:cstheme="minorHAnsi"/>
          <w:color w:val="222222"/>
          <w:lang w:eastAsia="en-GB"/>
        </w:rPr>
        <w:t xml:space="preserve"> </w:t>
      </w:r>
      <w:r>
        <w:rPr>
          <w:rFonts w:eastAsia="Times New Roman" w:cstheme="minorHAnsi"/>
          <w:color w:val="222222"/>
          <w:lang w:eastAsia="en-GB"/>
        </w:rPr>
        <w:t>the</w:t>
      </w:r>
      <w:r w:rsidR="003D640C">
        <w:rPr>
          <w:rFonts w:eastAsia="Times New Roman" w:cstheme="minorHAnsi"/>
          <w:color w:val="222222"/>
          <w:lang w:eastAsia="en-GB"/>
        </w:rPr>
        <w:t xml:space="preserve"> </w:t>
      </w:r>
      <w:r>
        <w:rPr>
          <w:rFonts w:eastAsia="Times New Roman" w:cstheme="minorHAnsi"/>
          <w:color w:val="222222"/>
          <w:lang w:eastAsia="en-GB"/>
        </w:rPr>
        <w:t>different</w:t>
      </w:r>
      <w:r w:rsidR="003D640C">
        <w:rPr>
          <w:rFonts w:eastAsia="Times New Roman" w:cstheme="minorHAnsi"/>
          <w:color w:val="222222"/>
          <w:lang w:eastAsia="en-GB"/>
        </w:rPr>
        <w:t xml:space="preserve"> </w:t>
      </w:r>
      <w:r>
        <w:rPr>
          <w:rFonts w:eastAsia="Times New Roman" w:cstheme="minorHAnsi"/>
          <w:color w:val="222222"/>
          <w:lang w:eastAsia="en-GB"/>
        </w:rPr>
        <w:t>dimensions</w:t>
      </w:r>
      <w:r w:rsidR="003D640C">
        <w:rPr>
          <w:rFonts w:eastAsia="Times New Roman" w:cstheme="minorHAnsi"/>
          <w:color w:val="222222"/>
          <w:lang w:eastAsia="en-GB"/>
        </w:rPr>
        <w:t xml:space="preserve"> </w:t>
      </w:r>
      <w:r>
        <w:rPr>
          <w:rFonts w:eastAsia="Times New Roman" w:cstheme="minorHAnsi"/>
          <w:color w:val="222222"/>
          <w:lang w:eastAsia="en-GB"/>
        </w:rPr>
        <w:t>that</w:t>
      </w:r>
      <w:r w:rsidR="003D640C">
        <w:rPr>
          <w:rFonts w:eastAsia="Times New Roman" w:cstheme="minorHAnsi"/>
          <w:color w:val="222222"/>
          <w:lang w:eastAsia="en-GB"/>
        </w:rPr>
        <w:t xml:space="preserve"> </w:t>
      </w:r>
      <w:r>
        <w:rPr>
          <w:rFonts w:eastAsia="Times New Roman" w:cstheme="minorHAnsi"/>
          <w:color w:val="222222"/>
          <w:lang w:eastAsia="en-GB"/>
        </w:rPr>
        <w:t>support</w:t>
      </w:r>
      <w:r w:rsidR="003D640C">
        <w:rPr>
          <w:rFonts w:eastAsia="Times New Roman" w:cstheme="minorHAnsi"/>
          <w:color w:val="222222"/>
          <w:lang w:eastAsia="en-GB"/>
        </w:rPr>
        <w:t xml:space="preserve"> </w:t>
      </w:r>
      <w:r>
        <w:rPr>
          <w:rFonts w:eastAsia="Times New Roman" w:cstheme="minorHAnsi"/>
          <w:color w:val="222222"/>
          <w:lang w:eastAsia="en-GB"/>
        </w:rPr>
        <w:t>recovery</w:t>
      </w:r>
      <w:r w:rsidR="003D640C">
        <w:rPr>
          <w:rFonts w:eastAsia="Times New Roman" w:cstheme="minorHAnsi"/>
          <w:color w:val="222222"/>
          <w:lang w:eastAsia="en-GB"/>
        </w:rPr>
        <w:t xml:space="preserve"> </w:t>
      </w:r>
      <w:r w:rsidR="009243F0">
        <w:rPr>
          <w:rFonts w:eastAsia="Times New Roman" w:cstheme="minorHAnsi"/>
          <w:color w:val="222222"/>
          <w:lang w:eastAsia="en-GB"/>
        </w:rPr>
        <w:t>from</w:t>
      </w:r>
      <w:r w:rsidR="003D640C">
        <w:rPr>
          <w:rFonts w:eastAsia="Times New Roman" w:cstheme="minorHAnsi"/>
          <w:color w:val="222222"/>
          <w:lang w:eastAsia="en-GB"/>
        </w:rPr>
        <w:t xml:space="preserve"> </w:t>
      </w:r>
      <w:r w:rsidR="009243F0">
        <w:rPr>
          <w:rFonts w:eastAsia="Times New Roman" w:cstheme="minorHAnsi"/>
          <w:color w:val="222222"/>
          <w:lang w:eastAsia="en-GB"/>
        </w:rPr>
        <w:t>conversion</w:t>
      </w:r>
      <w:r w:rsidR="003D640C">
        <w:rPr>
          <w:rFonts w:eastAsia="Times New Roman" w:cstheme="minorHAnsi"/>
          <w:color w:val="222222"/>
          <w:lang w:eastAsia="en-GB"/>
        </w:rPr>
        <w:t xml:space="preserve"> </w:t>
      </w:r>
      <w:r w:rsidR="009243F0">
        <w:rPr>
          <w:rFonts w:eastAsia="Times New Roman" w:cstheme="minorHAnsi"/>
          <w:color w:val="222222"/>
          <w:lang w:eastAsia="en-GB"/>
        </w:rPr>
        <w:t>practices</w:t>
      </w:r>
      <w:r w:rsidR="003D640C">
        <w:rPr>
          <w:rFonts w:eastAsia="Times New Roman" w:cstheme="minorHAnsi"/>
          <w:color w:val="222222"/>
          <w:lang w:eastAsia="en-GB"/>
        </w:rPr>
        <w:t xml:space="preserve"> </w:t>
      </w:r>
      <w:r>
        <w:rPr>
          <w:rFonts w:eastAsia="Times New Roman" w:cstheme="minorHAnsi"/>
          <w:color w:val="222222"/>
          <w:lang w:eastAsia="en-GB"/>
        </w:rPr>
        <w:t>for</w:t>
      </w:r>
      <w:r w:rsidR="003D640C">
        <w:rPr>
          <w:rFonts w:eastAsia="Times New Roman" w:cstheme="minorHAnsi"/>
          <w:color w:val="222222"/>
          <w:lang w:eastAsia="en-GB"/>
        </w:rPr>
        <w:t xml:space="preserve"> </w:t>
      </w:r>
      <w:r>
        <w:rPr>
          <w:rFonts w:eastAsia="Times New Roman" w:cstheme="minorHAnsi"/>
          <w:color w:val="222222"/>
          <w:lang w:eastAsia="en-GB"/>
        </w:rPr>
        <w:t>people</w:t>
      </w:r>
      <w:r w:rsidR="003D640C">
        <w:rPr>
          <w:rFonts w:eastAsia="Times New Roman" w:cstheme="minorHAnsi"/>
          <w:color w:val="222222"/>
          <w:lang w:eastAsia="en-GB"/>
        </w:rPr>
        <w:t xml:space="preserve"> </w:t>
      </w:r>
      <w:r>
        <w:rPr>
          <w:rFonts w:eastAsia="Times New Roman" w:cstheme="minorHAnsi"/>
          <w:color w:val="222222"/>
          <w:lang w:eastAsia="en-GB"/>
        </w:rPr>
        <w:t>from</w:t>
      </w:r>
      <w:r w:rsidR="003D640C">
        <w:rPr>
          <w:rFonts w:eastAsia="Times New Roman" w:cstheme="minorHAnsi"/>
          <w:color w:val="222222"/>
          <w:lang w:eastAsia="en-GB"/>
        </w:rPr>
        <w:t xml:space="preserve"> </w:t>
      </w:r>
      <w:r>
        <w:rPr>
          <w:rFonts w:eastAsia="Times New Roman" w:cstheme="minorHAnsi"/>
          <w:color w:val="222222"/>
          <w:lang w:eastAsia="en-GB"/>
        </w:rPr>
        <w:t>diverse</w:t>
      </w:r>
      <w:r w:rsidR="003D640C">
        <w:rPr>
          <w:rFonts w:eastAsia="Times New Roman" w:cstheme="minorHAnsi"/>
          <w:color w:val="222222"/>
          <w:lang w:eastAsia="en-GB"/>
        </w:rPr>
        <w:t xml:space="preserve"> </w:t>
      </w:r>
      <w:r>
        <w:rPr>
          <w:rFonts w:eastAsia="Times New Roman" w:cstheme="minorHAnsi"/>
          <w:color w:val="222222"/>
          <w:lang w:eastAsia="en-GB"/>
        </w:rPr>
        <w:t>communities.</w:t>
      </w:r>
      <w:r w:rsidR="003D640C">
        <w:rPr>
          <w:rFonts w:eastAsia="Times New Roman" w:cstheme="minorHAnsi"/>
          <w:color w:val="222222"/>
          <w:lang w:eastAsia="en-GB"/>
        </w:rPr>
        <w:t xml:space="preserve"> </w:t>
      </w:r>
    </w:p>
    <w:p w14:paraId="0D485B11" w14:textId="0A25D9DB" w:rsidR="00D527F0" w:rsidRPr="00BB6220" w:rsidRDefault="00B93ACD" w:rsidP="0068108F">
      <w:r>
        <w:rPr>
          <w:noProof/>
          <w:sz w:val="16"/>
          <w:szCs w:val="16"/>
        </w:rPr>
        <w:drawing>
          <wp:inline distT="0" distB="0" distL="0" distR="0" wp14:anchorId="69235024" wp14:editId="621B6256">
            <wp:extent cx="5731510" cy="3931285"/>
            <wp:effectExtent l="0" t="0" r="2540" b="0"/>
            <wp:docPr id="1820936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36221" name="Picture 1820936221"/>
                    <pic:cNvPicPr/>
                  </pic:nvPicPr>
                  <pic:blipFill>
                    <a:blip r:embed="rId17">
                      <a:extLst>
                        <a:ext uri="{28A0092B-C50C-407E-A947-70E740481C1C}">
                          <a14:useLocalDpi xmlns:a14="http://schemas.microsoft.com/office/drawing/2010/main" val="0"/>
                        </a:ext>
                      </a:extLst>
                    </a:blip>
                    <a:stretch>
                      <a:fillRect/>
                    </a:stretch>
                  </pic:blipFill>
                  <pic:spPr>
                    <a:xfrm>
                      <a:off x="0" y="0"/>
                      <a:ext cx="5731510" cy="3931285"/>
                    </a:xfrm>
                    <a:prstGeom prst="rect">
                      <a:avLst/>
                    </a:prstGeom>
                  </pic:spPr>
                </pic:pic>
              </a:graphicData>
            </a:graphic>
          </wp:inline>
        </w:drawing>
      </w:r>
    </w:p>
    <w:p w14:paraId="1FF03BC3" w14:textId="3BA18CAF" w:rsidR="005B2A50" w:rsidRDefault="007B527F" w:rsidP="007B527F">
      <w:pPr>
        <w:pStyle w:val="Caption"/>
      </w:pPr>
      <w:bookmarkStart w:id="199" w:name="_Toc174628734"/>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7</w:t>
      </w:r>
      <w:r w:rsidRPr="007B527F">
        <w:fldChar w:fldCharType="end"/>
      </w:r>
      <w:r w:rsidR="005B2A50" w:rsidRPr="00B1465F">
        <w:t>:</w:t>
      </w:r>
      <w:r w:rsidR="003D640C">
        <w:t xml:space="preserve"> </w:t>
      </w:r>
      <w:r w:rsidR="005B2A50">
        <w:t>Model</w:t>
      </w:r>
      <w:r w:rsidR="003D640C">
        <w:t xml:space="preserve"> </w:t>
      </w:r>
      <w:r w:rsidR="005B2A50">
        <w:t>for</w:t>
      </w:r>
      <w:r w:rsidR="003D640C">
        <w:t xml:space="preserve"> </w:t>
      </w:r>
      <w:r w:rsidR="005B2A50">
        <w:t>the</w:t>
      </w:r>
      <w:r w:rsidR="003D640C">
        <w:t xml:space="preserve"> </w:t>
      </w:r>
      <w:r w:rsidR="005B2A50">
        <w:t>harm</w:t>
      </w:r>
      <w:r w:rsidR="003D640C">
        <w:t xml:space="preserve"> </w:t>
      </w:r>
      <w:r w:rsidR="005B2A50">
        <w:t>caused</w:t>
      </w:r>
      <w:r w:rsidR="003D640C">
        <w:t xml:space="preserve"> </w:t>
      </w:r>
      <w:r w:rsidR="005B2A50">
        <w:t>by</w:t>
      </w:r>
      <w:r w:rsidR="003D640C">
        <w:t xml:space="preserve"> </w:t>
      </w:r>
      <w:r w:rsidR="005B2A50">
        <w:t>c</w:t>
      </w:r>
      <w:r w:rsidR="005B2A50" w:rsidRPr="00B1465F">
        <w:t>onversion</w:t>
      </w:r>
      <w:r w:rsidR="003D640C">
        <w:t xml:space="preserve"> </w:t>
      </w:r>
      <w:r w:rsidR="005B2A50" w:rsidRPr="00B1465F">
        <w:t>practices</w:t>
      </w:r>
      <w:r w:rsidR="003D640C">
        <w:t xml:space="preserve"> </w:t>
      </w:r>
      <w:r w:rsidR="005B2A50">
        <w:t>in</w:t>
      </w:r>
      <w:r w:rsidR="003D640C">
        <w:t xml:space="preserve"> </w:t>
      </w:r>
      <w:r w:rsidR="005B2A50" w:rsidRPr="00B1465F">
        <w:t>physical,</w:t>
      </w:r>
      <w:r w:rsidR="003D640C">
        <w:t xml:space="preserve"> </w:t>
      </w:r>
      <w:r w:rsidR="005B2A50" w:rsidRPr="00B1465F">
        <w:t>ment</w:t>
      </w:r>
      <w:r w:rsidR="005B2A50">
        <w:t>al</w:t>
      </w:r>
      <w:r w:rsidR="009623B5">
        <w:t>,</w:t>
      </w:r>
      <w:r w:rsidR="003D640C">
        <w:t xml:space="preserve"> </w:t>
      </w:r>
      <w:r w:rsidR="005B2A50" w:rsidRPr="00B1465F">
        <w:t>and</w:t>
      </w:r>
      <w:r w:rsidR="003D640C">
        <w:t xml:space="preserve"> </w:t>
      </w:r>
      <w:r w:rsidR="005B2A50">
        <w:t>s</w:t>
      </w:r>
      <w:r w:rsidR="005B2A50" w:rsidRPr="00B1465F">
        <w:t>piritual</w:t>
      </w:r>
      <w:r w:rsidR="003D640C">
        <w:t xml:space="preserve"> </w:t>
      </w:r>
      <w:r w:rsidR="005B2A50">
        <w:t>dimensions</w:t>
      </w:r>
      <w:r w:rsidR="005B2A50" w:rsidRPr="00B1465F">
        <w:t>.</w:t>
      </w:r>
      <w:bookmarkEnd w:id="199"/>
    </w:p>
    <w:p w14:paraId="2F8C2092" w14:textId="6E228EEF" w:rsidR="00D527F0" w:rsidRPr="00BB6220" w:rsidRDefault="006B6D76" w:rsidP="0068108F">
      <w:pPr>
        <w:pStyle w:val="Heading2"/>
      </w:pPr>
      <w:bookmarkStart w:id="200" w:name="_Toc167780602"/>
      <w:bookmarkStart w:id="201" w:name="_Toc191022838"/>
      <w:bookmarkStart w:id="202" w:name="_Toc174628662"/>
      <w:r w:rsidRPr="00BB6220">
        <w:t>Harm</w:t>
      </w:r>
      <w:r w:rsidR="003D640C">
        <w:t xml:space="preserve"> </w:t>
      </w:r>
      <w:r w:rsidRPr="00BB6220">
        <w:t>associated</w:t>
      </w:r>
      <w:r w:rsidR="003D640C">
        <w:t xml:space="preserve"> </w:t>
      </w:r>
      <w:r w:rsidRPr="00BB6220">
        <w:t>with</w:t>
      </w:r>
      <w:r w:rsidR="003D640C">
        <w:t xml:space="preserve"> </w:t>
      </w:r>
      <w:r w:rsidR="00D527F0" w:rsidRPr="00BB6220">
        <w:t>whānau</w:t>
      </w:r>
      <w:r w:rsidR="003D640C">
        <w:t xml:space="preserve"> </w:t>
      </w:r>
      <w:r w:rsidR="00D527F0" w:rsidRPr="00BB6220">
        <w:t>and</w:t>
      </w:r>
      <w:r w:rsidR="003D640C">
        <w:t xml:space="preserve"> </w:t>
      </w:r>
      <w:r w:rsidR="00D527F0" w:rsidRPr="00BB6220">
        <w:t>community</w:t>
      </w:r>
      <w:bookmarkEnd w:id="200"/>
      <w:bookmarkEnd w:id="201"/>
      <w:bookmarkEnd w:id="202"/>
    </w:p>
    <w:p w14:paraId="7975F55B" w14:textId="305F113B" w:rsidR="001B7E4B" w:rsidRPr="00BB6220" w:rsidRDefault="001B7E4B" w:rsidP="0068108F">
      <w:r w:rsidRPr="00BB6220">
        <w:t>Evidence</w:t>
      </w:r>
      <w:r w:rsidR="003D640C">
        <w:t xml:space="preserve"> </w:t>
      </w:r>
      <w:r w:rsidRPr="00BB6220">
        <w:t>in</w:t>
      </w:r>
      <w:r w:rsidR="003D640C">
        <w:t xml:space="preserve"> </w:t>
      </w:r>
      <w:r w:rsidRPr="00BB6220">
        <w:t>Aotearoa</w:t>
      </w:r>
      <w:r w:rsidR="003D640C">
        <w:t xml:space="preserve"> </w:t>
      </w:r>
      <w:r w:rsidR="004121E7" w:rsidRPr="00BB6220">
        <w:t>New</w:t>
      </w:r>
      <w:r w:rsidR="003D640C">
        <w:t xml:space="preserve"> </w:t>
      </w:r>
      <w:r w:rsidR="004121E7" w:rsidRPr="00BB6220">
        <w:t>Zealand</w:t>
      </w:r>
      <w:r w:rsidR="003D640C">
        <w:t xml:space="preserve"> </w:t>
      </w:r>
      <w:r w:rsidRPr="00BB6220">
        <w:t>and</w:t>
      </w:r>
      <w:r w:rsidR="003D640C">
        <w:t xml:space="preserve"> </w:t>
      </w:r>
      <w:r w:rsidRPr="00BB6220">
        <w:t>internationally</w:t>
      </w:r>
      <w:r w:rsidR="003D640C">
        <w:t xml:space="preserve"> </w:t>
      </w:r>
      <w:r w:rsidRPr="00BB6220">
        <w:t>shows</w:t>
      </w:r>
      <w:r w:rsidR="003D640C">
        <w:t xml:space="preserve"> </w:t>
      </w:r>
      <w:r w:rsidRPr="00BB6220">
        <w:t>that</w:t>
      </w:r>
      <w:r w:rsidR="003D640C">
        <w:t xml:space="preserve"> </w:t>
      </w:r>
      <w:r w:rsidR="00032FAC" w:rsidRPr="00BB6220">
        <w:t>significant</w:t>
      </w:r>
      <w:r w:rsidR="003D640C">
        <w:t xml:space="preserve"> </w:t>
      </w:r>
      <w:r w:rsidRPr="00BB6220">
        <w:t>harm</w:t>
      </w:r>
      <w:r w:rsidR="003D640C">
        <w:t xml:space="preserve"> </w:t>
      </w:r>
      <w:r w:rsidR="002F5FB0" w:rsidRPr="00BB6220">
        <w:t>may</w:t>
      </w:r>
      <w:r w:rsidR="003D640C">
        <w:t xml:space="preserve"> </w:t>
      </w:r>
      <w:r w:rsidR="00032FAC" w:rsidRPr="00BB6220">
        <w:t>occur</w:t>
      </w:r>
      <w:r w:rsidR="003D640C">
        <w:t xml:space="preserve"> </w:t>
      </w:r>
      <w:r w:rsidRPr="00BB6220">
        <w:t>when</w:t>
      </w:r>
      <w:r w:rsidR="003D640C">
        <w:t xml:space="preserve"> </w:t>
      </w:r>
      <w:r w:rsidRPr="00BB6220">
        <w:t>conversion</w:t>
      </w:r>
      <w:r w:rsidR="003D640C">
        <w:t xml:space="preserve"> </w:t>
      </w:r>
      <w:r w:rsidRPr="00BB6220">
        <w:t>practices</w:t>
      </w:r>
      <w:r w:rsidR="003D640C">
        <w:t xml:space="preserve"> </w:t>
      </w:r>
      <w:r w:rsidRPr="00BB6220">
        <w:t>are</w:t>
      </w:r>
      <w:r w:rsidR="003D640C">
        <w:t xml:space="preserve"> </w:t>
      </w:r>
      <w:r w:rsidRPr="00BB6220">
        <w:t>suggested</w:t>
      </w:r>
      <w:r w:rsidR="003D640C">
        <w:t xml:space="preserve"> </w:t>
      </w:r>
      <w:r w:rsidRPr="00BB6220">
        <w:t>or</w:t>
      </w:r>
      <w:r w:rsidR="003D640C">
        <w:t xml:space="preserve"> </w:t>
      </w:r>
      <w:r w:rsidRPr="00BB6220">
        <w:t>carried</w:t>
      </w:r>
      <w:r w:rsidR="003D640C">
        <w:t xml:space="preserve"> </w:t>
      </w:r>
      <w:r w:rsidRPr="00BB6220">
        <w:t>out</w:t>
      </w:r>
      <w:r w:rsidR="003D640C">
        <w:t xml:space="preserve"> </w:t>
      </w:r>
      <w:r w:rsidRPr="00BB6220">
        <w:t>by</w:t>
      </w:r>
      <w:r w:rsidR="003D640C">
        <w:t xml:space="preserve"> </w:t>
      </w:r>
      <w:r w:rsidRPr="00BB6220">
        <w:t>family</w:t>
      </w:r>
      <w:r w:rsidR="003D640C">
        <w:t xml:space="preserve"> </w:t>
      </w:r>
      <w:r w:rsidRPr="00BB6220">
        <w:t>members.</w:t>
      </w:r>
      <w:r w:rsidRPr="00BB6220">
        <w:rPr>
          <w:rStyle w:val="FootnoteReference"/>
        </w:rPr>
        <w:footnoteReference w:id="135"/>
      </w:r>
      <w:r w:rsidR="003D640C">
        <w:rPr>
          <w:vertAlign w:val="superscript"/>
        </w:rPr>
        <w:t xml:space="preserve"> </w:t>
      </w:r>
      <w:r w:rsidRPr="00BB6220">
        <w:t>A</w:t>
      </w:r>
      <w:r w:rsidR="003D640C">
        <w:t xml:space="preserve"> </w:t>
      </w:r>
      <w:r w:rsidRPr="00BB6220">
        <w:t>study</w:t>
      </w:r>
      <w:r w:rsidR="003D640C">
        <w:t xml:space="preserve"> </w:t>
      </w:r>
      <w:r w:rsidRPr="00BB6220">
        <w:t>of</w:t>
      </w:r>
      <w:r w:rsidR="003D640C">
        <w:t xml:space="preserve"> </w:t>
      </w:r>
      <w:r w:rsidRPr="00BB6220">
        <w:t>young</w:t>
      </w:r>
      <w:r w:rsidR="003D640C">
        <w:t xml:space="preserve"> </w:t>
      </w:r>
      <w:r w:rsidRPr="00BB6220">
        <w:t>people</w:t>
      </w:r>
      <w:r w:rsidR="003D640C">
        <w:t xml:space="preserve"> </w:t>
      </w:r>
      <w:r w:rsidRPr="00BB6220">
        <w:t>in</w:t>
      </w:r>
      <w:r w:rsidR="003D640C">
        <w:t xml:space="preserve"> </w:t>
      </w:r>
      <w:r w:rsidRPr="00BB6220">
        <w:t>Aotearoa</w:t>
      </w:r>
      <w:r w:rsidR="003D640C">
        <w:t xml:space="preserve"> </w:t>
      </w:r>
      <w:r w:rsidR="000409FE">
        <w:t>undergoing</w:t>
      </w:r>
      <w:r w:rsidR="003D640C">
        <w:t xml:space="preserve"> </w:t>
      </w:r>
      <w:r w:rsidRPr="00BB6220">
        <w:t>conversion</w:t>
      </w:r>
      <w:r w:rsidR="003D640C">
        <w:t xml:space="preserve"> </w:t>
      </w:r>
      <w:r w:rsidRPr="00BB6220">
        <w:t>practices</w:t>
      </w:r>
      <w:r w:rsidR="003D640C">
        <w:t xml:space="preserve"> </w:t>
      </w:r>
      <w:r w:rsidRPr="00BB6220">
        <w:t>found</w:t>
      </w:r>
      <w:r w:rsidR="003D640C">
        <w:t xml:space="preserve"> </w:t>
      </w:r>
      <w:r w:rsidRPr="00BB6220">
        <w:t>a</w:t>
      </w:r>
      <w:r w:rsidR="003D640C">
        <w:t xml:space="preserve"> </w:t>
      </w:r>
      <w:r w:rsidRPr="00BB6220">
        <w:t>high</w:t>
      </w:r>
      <w:r w:rsidR="003D640C">
        <w:t xml:space="preserve"> </w:t>
      </w:r>
      <w:r w:rsidRPr="00BB6220">
        <w:t>percentage</w:t>
      </w:r>
      <w:r w:rsidR="003D640C">
        <w:t xml:space="preserve"> </w:t>
      </w:r>
      <w:r w:rsidRPr="00BB6220">
        <w:t>of</w:t>
      </w:r>
      <w:r w:rsidR="003D640C">
        <w:t xml:space="preserve"> </w:t>
      </w:r>
      <w:r w:rsidRPr="00BB6220">
        <w:t>those</w:t>
      </w:r>
      <w:r w:rsidR="003D640C">
        <w:t xml:space="preserve"> </w:t>
      </w:r>
      <w:r w:rsidR="002934BB">
        <w:t>who</w:t>
      </w:r>
      <w:r w:rsidR="003D640C">
        <w:t xml:space="preserve"> </w:t>
      </w:r>
      <w:r w:rsidRPr="00BB6220">
        <w:t>suggest</w:t>
      </w:r>
      <w:r w:rsidR="002934BB">
        <w:t>ed</w:t>
      </w:r>
      <w:r w:rsidR="003D640C">
        <w:t xml:space="preserve"> </w:t>
      </w:r>
      <w:r w:rsidRPr="00BB6220">
        <w:t>the</w:t>
      </w:r>
      <w:r w:rsidR="003D640C">
        <w:t xml:space="preserve"> </w:t>
      </w:r>
      <w:r w:rsidRPr="00BB6220">
        <w:t>practices</w:t>
      </w:r>
      <w:r w:rsidR="003D640C">
        <w:t xml:space="preserve"> </w:t>
      </w:r>
      <w:r w:rsidRPr="00BB6220">
        <w:t>were</w:t>
      </w:r>
      <w:r w:rsidR="003D640C">
        <w:t xml:space="preserve"> </w:t>
      </w:r>
      <w:r w:rsidRPr="00BB6220">
        <w:t>members</w:t>
      </w:r>
      <w:r w:rsidR="003D640C">
        <w:t xml:space="preserve"> </w:t>
      </w:r>
      <w:r w:rsidRPr="00BB6220">
        <w:t>of</w:t>
      </w:r>
      <w:r w:rsidR="003D640C">
        <w:t xml:space="preserve"> </w:t>
      </w:r>
      <w:r w:rsidRPr="00BB6220">
        <w:t>the</w:t>
      </w:r>
      <w:r w:rsidR="003D640C">
        <w:t xml:space="preserve"> </w:t>
      </w:r>
      <w:r w:rsidRPr="00BB6220">
        <w:t>young</w:t>
      </w:r>
      <w:r w:rsidR="003D640C">
        <w:t xml:space="preserve"> </w:t>
      </w:r>
      <w:r w:rsidRPr="00BB6220">
        <w:t>person’s</w:t>
      </w:r>
      <w:r w:rsidR="003D640C">
        <w:t xml:space="preserve"> </w:t>
      </w:r>
      <w:r w:rsidRPr="00BB6220">
        <w:t>whānau</w:t>
      </w:r>
      <w:r w:rsidR="003D640C">
        <w:t xml:space="preserve"> </w:t>
      </w:r>
      <w:r w:rsidRPr="00BB6220">
        <w:t>or</w:t>
      </w:r>
      <w:r w:rsidR="003D640C">
        <w:t xml:space="preserve"> </w:t>
      </w:r>
      <w:r w:rsidRPr="00BB6220">
        <w:t>were</w:t>
      </w:r>
      <w:r w:rsidR="003D640C">
        <w:t xml:space="preserve"> </w:t>
      </w:r>
      <w:r w:rsidRPr="00BB6220">
        <w:t>spiritual</w:t>
      </w:r>
      <w:r w:rsidR="003D640C">
        <w:t xml:space="preserve"> </w:t>
      </w:r>
      <w:r w:rsidRPr="00BB6220">
        <w:t>leaders</w:t>
      </w:r>
      <w:r w:rsidR="003D640C">
        <w:t xml:space="preserve"> </w:t>
      </w:r>
      <w:r w:rsidRPr="00BB6220">
        <w:t>in</w:t>
      </w:r>
      <w:r w:rsidR="003D640C">
        <w:t xml:space="preserve"> </w:t>
      </w:r>
      <w:r w:rsidRPr="00BB6220">
        <w:t>their</w:t>
      </w:r>
      <w:r w:rsidR="003D640C">
        <w:t xml:space="preserve"> </w:t>
      </w:r>
      <w:r w:rsidRPr="00BB6220">
        <w:t>community.</w:t>
      </w:r>
      <w:r w:rsidRPr="00BB6220" w:rsidDel="00AF329D">
        <w:rPr>
          <w:rStyle w:val="FootnoteReference"/>
        </w:rPr>
        <w:footnoteReference w:id="136"/>
      </w:r>
    </w:p>
    <w:p w14:paraId="22B2E29A" w14:textId="2F9DC360" w:rsidR="00501068" w:rsidRDefault="00D527F0" w:rsidP="0068108F">
      <w:pPr>
        <w:pStyle w:val="Quote"/>
      </w:pPr>
      <w:r w:rsidRPr="00BB6220">
        <w:t>“The</w:t>
      </w:r>
      <w:r w:rsidR="003D640C">
        <w:t xml:space="preserve"> </w:t>
      </w:r>
      <w:r w:rsidRPr="00BB6220">
        <w:t>most</w:t>
      </w:r>
      <w:r w:rsidR="003D640C">
        <w:t xml:space="preserve"> </w:t>
      </w:r>
      <w:r w:rsidRPr="00BB6220">
        <w:t>damaging,</w:t>
      </w:r>
      <w:r w:rsidR="003D640C">
        <w:t xml:space="preserve"> </w:t>
      </w:r>
      <w:r w:rsidRPr="00BB6220">
        <w:t>most</w:t>
      </w:r>
      <w:r w:rsidR="003D640C">
        <w:t xml:space="preserve"> </w:t>
      </w:r>
      <w:r w:rsidRPr="00BB6220">
        <w:t>difficult</w:t>
      </w:r>
      <w:r w:rsidR="003D640C">
        <w:t xml:space="preserve"> </w:t>
      </w:r>
      <w:r w:rsidRPr="00BB6220">
        <w:t>things</w:t>
      </w:r>
      <w:r w:rsidR="003D640C">
        <w:t xml:space="preserve"> </w:t>
      </w:r>
      <w:r w:rsidRPr="00BB6220">
        <w:t>that</w:t>
      </w:r>
      <w:r w:rsidR="003D640C">
        <w:t xml:space="preserve"> </w:t>
      </w:r>
      <w:r w:rsidRPr="00BB6220">
        <w:t>were</w:t>
      </w:r>
      <w:r w:rsidR="003D640C">
        <w:t xml:space="preserve"> </w:t>
      </w:r>
      <w:r w:rsidRPr="00BB6220">
        <w:t>done</w:t>
      </w:r>
      <w:r w:rsidR="003D640C">
        <w:t xml:space="preserve"> </w:t>
      </w:r>
      <w:r w:rsidRPr="00BB6220">
        <w:t>to</w:t>
      </w:r>
      <w:r w:rsidR="003D640C">
        <w:t xml:space="preserve"> </w:t>
      </w:r>
      <w:r w:rsidRPr="00BB6220">
        <w:t>me</w:t>
      </w:r>
      <w:r w:rsidR="003D640C">
        <w:t xml:space="preserve"> </w:t>
      </w:r>
      <w:r w:rsidRPr="00BB6220">
        <w:t>as</w:t>
      </w:r>
      <w:r w:rsidR="003D640C">
        <w:t xml:space="preserve"> </w:t>
      </w:r>
      <w:r w:rsidRPr="00BB6220">
        <w:t>a</w:t>
      </w:r>
      <w:r w:rsidR="003D640C">
        <w:t xml:space="preserve"> </w:t>
      </w:r>
      <w:r w:rsidRPr="00BB6220">
        <w:t>child</w:t>
      </w:r>
      <w:r w:rsidR="003D640C">
        <w:t xml:space="preserve"> </w:t>
      </w:r>
      <w:r w:rsidRPr="00BB6220">
        <w:t>and</w:t>
      </w:r>
      <w:r w:rsidR="003D640C">
        <w:t xml:space="preserve"> </w:t>
      </w:r>
      <w:r w:rsidRPr="00BB6220">
        <w:t>as</w:t>
      </w:r>
      <w:r w:rsidR="003D640C">
        <w:t xml:space="preserve"> </w:t>
      </w:r>
      <w:r w:rsidRPr="00BB6220">
        <w:t>a</w:t>
      </w:r>
      <w:r w:rsidR="003D640C">
        <w:t xml:space="preserve"> </w:t>
      </w:r>
      <w:r w:rsidRPr="00BB6220">
        <w:t>teenager</w:t>
      </w:r>
      <w:r w:rsidR="003D640C">
        <w:t xml:space="preserve"> </w:t>
      </w:r>
      <w:r w:rsidRPr="00BB6220">
        <w:t>in</w:t>
      </w:r>
      <w:r w:rsidR="003D640C">
        <w:t xml:space="preserve"> </w:t>
      </w:r>
      <w:r w:rsidRPr="00BB6220">
        <w:t>regard</w:t>
      </w:r>
      <w:r w:rsidR="003D640C">
        <w:t xml:space="preserve"> </w:t>
      </w:r>
      <w:r w:rsidRPr="00BB6220">
        <w:t>to</w:t>
      </w:r>
      <w:r w:rsidR="003D640C">
        <w:t xml:space="preserve"> </w:t>
      </w:r>
      <w:r w:rsidRPr="00BB6220">
        <w:t>changing</w:t>
      </w:r>
      <w:r w:rsidR="003D640C">
        <w:t xml:space="preserve"> </w:t>
      </w:r>
      <w:r w:rsidRPr="00BB6220">
        <w:t>my</w:t>
      </w:r>
      <w:r w:rsidR="003D640C">
        <w:t xml:space="preserve"> </w:t>
      </w:r>
      <w:r w:rsidR="00404B18" w:rsidRPr="00BB6220">
        <w:t>sexual</w:t>
      </w:r>
      <w:r w:rsidR="003D640C">
        <w:t xml:space="preserve"> </w:t>
      </w:r>
      <w:r w:rsidR="00404B18" w:rsidRPr="00BB6220">
        <w:t>orientation</w:t>
      </w:r>
      <w:r w:rsidR="003D640C">
        <w:t xml:space="preserve"> </w:t>
      </w:r>
      <w:r w:rsidRPr="00BB6220">
        <w:t>were</w:t>
      </w:r>
      <w:r w:rsidR="003D640C">
        <w:t xml:space="preserve"> </w:t>
      </w:r>
      <w:r w:rsidRPr="00BB6220">
        <w:t>done</w:t>
      </w:r>
      <w:r w:rsidR="003D640C">
        <w:t xml:space="preserve"> </w:t>
      </w:r>
      <w:r w:rsidRPr="00BB6220">
        <w:t>by</w:t>
      </w:r>
      <w:r w:rsidR="003D640C">
        <w:t xml:space="preserve"> </w:t>
      </w:r>
      <w:r w:rsidRPr="00BB6220">
        <w:t>people</w:t>
      </w:r>
      <w:r w:rsidR="003D640C">
        <w:t xml:space="preserve"> </w:t>
      </w:r>
      <w:r w:rsidRPr="00BB6220">
        <w:t>who</w:t>
      </w:r>
      <w:r w:rsidR="003D640C">
        <w:t xml:space="preserve"> </w:t>
      </w:r>
      <w:r w:rsidRPr="00BB6220">
        <w:t>loved</w:t>
      </w:r>
      <w:r w:rsidR="003D640C">
        <w:t xml:space="preserve"> </w:t>
      </w:r>
      <w:r w:rsidRPr="00BB6220">
        <w:t>me</w:t>
      </w:r>
      <w:r w:rsidR="003D640C">
        <w:t xml:space="preserve"> </w:t>
      </w:r>
      <w:r w:rsidRPr="00BB6220">
        <w:t>and</w:t>
      </w:r>
      <w:r w:rsidR="003D640C">
        <w:t xml:space="preserve"> </w:t>
      </w:r>
      <w:r w:rsidRPr="00BB6220">
        <w:t>believed</w:t>
      </w:r>
      <w:r w:rsidR="003D640C">
        <w:t xml:space="preserve"> </w:t>
      </w:r>
      <w:r w:rsidRPr="00BB6220">
        <w:t>they</w:t>
      </w:r>
      <w:r w:rsidR="003D640C">
        <w:t xml:space="preserve"> </w:t>
      </w:r>
      <w:r w:rsidRPr="00BB6220">
        <w:t>were</w:t>
      </w:r>
      <w:r w:rsidR="003D640C">
        <w:t xml:space="preserve"> </w:t>
      </w:r>
      <w:r w:rsidRPr="00BB6220">
        <w:t>acting</w:t>
      </w:r>
      <w:r w:rsidR="003D640C">
        <w:t xml:space="preserve"> </w:t>
      </w:r>
      <w:r w:rsidRPr="00BB6220">
        <w:t>in</w:t>
      </w:r>
      <w:r w:rsidR="003D640C">
        <w:t xml:space="preserve"> </w:t>
      </w:r>
      <w:r w:rsidRPr="00BB6220">
        <w:t>my</w:t>
      </w:r>
      <w:r w:rsidR="003D640C">
        <w:t xml:space="preserve"> </w:t>
      </w:r>
      <w:r w:rsidRPr="00BB6220">
        <w:t>best</w:t>
      </w:r>
      <w:r w:rsidR="003D640C">
        <w:t xml:space="preserve"> </w:t>
      </w:r>
      <w:r w:rsidRPr="00BB6220">
        <w:t>interest.”</w:t>
      </w:r>
      <w:r w:rsidRPr="00BB6220" w:rsidDel="008E1CCA">
        <w:t xml:space="preserve"> </w:t>
      </w:r>
      <w:r w:rsidR="00182C27" w:rsidRPr="00BB6220">
        <w:t>Pākehā,</w:t>
      </w:r>
      <w:r w:rsidR="003D640C">
        <w:t xml:space="preserve"> </w:t>
      </w:r>
      <w:r w:rsidR="009E1976" w:rsidRPr="00BB6220">
        <w:t>m</w:t>
      </w:r>
      <w:r w:rsidR="00182C27" w:rsidRPr="00BB6220">
        <w:t>ale</w:t>
      </w:r>
      <w:r w:rsidR="00744525" w:rsidRPr="00BB6220">
        <w:t>.</w:t>
      </w:r>
    </w:p>
    <w:p w14:paraId="3840AC60" w14:textId="77777777" w:rsidR="00501068" w:rsidRDefault="008449D4" w:rsidP="0068108F">
      <w:r w:rsidRPr="00BB6220">
        <w:t>The</w:t>
      </w:r>
      <w:r w:rsidR="003D640C">
        <w:t xml:space="preserve"> </w:t>
      </w:r>
      <w:r w:rsidRPr="00BB6220">
        <w:t>inevitable</w:t>
      </w:r>
      <w:r w:rsidR="003D640C">
        <w:t xml:space="preserve"> </w:t>
      </w:r>
      <w:r w:rsidRPr="00BB6220">
        <w:t>failure</w:t>
      </w:r>
      <w:r w:rsidR="003D640C">
        <w:t xml:space="preserve"> </w:t>
      </w:r>
      <w:r w:rsidRPr="00BB6220">
        <w:t>of</w:t>
      </w:r>
      <w:r w:rsidR="003D640C">
        <w:t xml:space="preserve"> </w:t>
      </w:r>
      <w:r w:rsidRPr="00BB6220">
        <w:t>the</w:t>
      </w:r>
      <w:r w:rsidR="003D640C">
        <w:t xml:space="preserve"> </w:t>
      </w:r>
      <w:r w:rsidRPr="00BB6220">
        <w:t>practices</w:t>
      </w:r>
      <w:r w:rsidR="003D640C">
        <w:t xml:space="preserve"> </w:t>
      </w:r>
      <w:r w:rsidRPr="00BB6220">
        <w:t>eventually</w:t>
      </w:r>
      <w:r w:rsidR="003D640C">
        <w:t xml:space="preserve"> </w:t>
      </w:r>
      <w:r w:rsidRPr="00BB6220">
        <w:t>resulted</w:t>
      </w:r>
      <w:r w:rsidR="003D640C">
        <w:t xml:space="preserve"> </w:t>
      </w:r>
      <w:r w:rsidRPr="00BB6220">
        <w:t>in</w:t>
      </w:r>
      <w:r w:rsidR="003D640C">
        <w:t xml:space="preserve"> </w:t>
      </w:r>
      <w:r w:rsidRPr="00BB6220">
        <w:t>family</w:t>
      </w:r>
      <w:r w:rsidR="003D640C">
        <w:t xml:space="preserve"> </w:t>
      </w:r>
      <w:r w:rsidRPr="00BB6220">
        <w:t>rejection.</w:t>
      </w:r>
      <w:r w:rsidR="003D640C">
        <w:t xml:space="preserve"> </w:t>
      </w:r>
      <w:r w:rsidRPr="00BB6220">
        <w:t>Survivors</w:t>
      </w:r>
      <w:r w:rsidR="003D640C">
        <w:t xml:space="preserve"> </w:t>
      </w:r>
      <w:r w:rsidRPr="00BB6220">
        <w:t>were</w:t>
      </w:r>
      <w:r w:rsidR="003D640C">
        <w:t xml:space="preserve"> </w:t>
      </w:r>
      <w:r w:rsidRPr="00BB6220">
        <w:t>left</w:t>
      </w:r>
      <w:r w:rsidR="003D640C">
        <w:t xml:space="preserve"> </w:t>
      </w:r>
      <w:r w:rsidRPr="00BB6220">
        <w:t>feeling</w:t>
      </w:r>
      <w:r w:rsidR="003D640C">
        <w:t xml:space="preserve"> </w:t>
      </w:r>
      <w:r w:rsidRPr="00BB6220">
        <w:t>betrayed</w:t>
      </w:r>
      <w:r w:rsidR="003D640C">
        <w:t xml:space="preserve"> </w:t>
      </w:r>
      <w:r w:rsidRPr="00BB6220">
        <w:t>and</w:t>
      </w:r>
      <w:r w:rsidR="003D640C">
        <w:t xml:space="preserve"> </w:t>
      </w:r>
      <w:r w:rsidRPr="00BB6220">
        <w:t>abandoned</w:t>
      </w:r>
      <w:r w:rsidR="003D640C">
        <w:t xml:space="preserve"> </w:t>
      </w:r>
      <w:r w:rsidRPr="00BB6220">
        <w:t>as</w:t>
      </w:r>
      <w:r w:rsidR="003D640C">
        <w:t xml:space="preserve"> </w:t>
      </w:r>
      <w:r w:rsidRPr="00BB6220">
        <w:t>they</w:t>
      </w:r>
      <w:r w:rsidR="003D640C">
        <w:t xml:space="preserve"> </w:t>
      </w:r>
      <w:r w:rsidRPr="00BB6220">
        <w:t>were</w:t>
      </w:r>
      <w:r w:rsidR="003D640C">
        <w:t xml:space="preserve"> </w:t>
      </w:r>
      <w:r w:rsidRPr="00BB6220">
        <w:t>rejected</w:t>
      </w:r>
      <w:r w:rsidR="003D640C">
        <w:t xml:space="preserve"> </w:t>
      </w:r>
      <w:r w:rsidRPr="00BB6220">
        <w:t>and</w:t>
      </w:r>
      <w:r w:rsidR="003D640C">
        <w:t xml:space="preserve"> </w:t>
      </w:r>
      <w:r w:rsidRPr="00BB6220">
        <w:t>cut</w:t>
      </w:r>
      <w:r w:rsidR="003D640C">
        <w:t xml:space="preserve"> </w:t>
      </w:r>
      <w:r w:rsidRPr="00BB6220">
        <w:t>off</w:t>
      </w:r>
      <w:r w:rsidR="003D640C">
        <w:t xml:space="preserve"> </w:t>
      </w:r>
      <w:r w:rsidRPr="00BB6220">
        <w:t>by</w:t>
      </w:r>
      <w:r w:rsidR="003D640C">
        <w:t xml:space="preserve"> </w:t>
      </w:r>
      <w:r w:rsidRPr="00BB6220">
        <w:t>their</w:t>
      </w:r>
      <w:r w:rsidR="003D640C">
        <w:t xml:space="preserve"> </w:t>
      </w:r>
      <w:r w:rsidRPr="00BB6220">
        <w:t>whānau,</w:t>
      </w:r>
      <w:r w:rsidR="003D640C">
        <w:t xml:space="preserve"> </w:t>
      </w:r>
      <w:r w:rsidRPr="00BB6220">
        <w:t>influential</w:t>
      </w:r>
      <w:r w:rsidR="003D640C">
        <w:t xml:space="preserve"> </w:t>
      </w:r>
      <w:r w:rsidRPr="00BB6220">
        <w:t>leaders,</w:t>
      </w:r>
      <w:r w:rsidR="003D640C">
        <w:t xml:space="preserve"> </w:t>
      </w:r>
      <w:r w:rsidRPr="00BB6220">
        <w:t>and</w:t>
      </w:r>
      <w:r w:rsidR="003D640C">
        <w:t xml:space="preserve"> </w:t>
      </w:r>
      <w:r w:rsidRPr="00BB6220">
        <w:t>their</w:t>
      </w:r>
      <w:r w:rsidR="003D640C">
        <w:t xml:space="preserve"> </w:t>
      </w:r>
      <w:r w:rsidRPr="00BB6220">
        <w:t>community.</w:t>
      </w:r>
    </w:p>
    <w:p w14:paraId="3BD5005F" w14:textId="674507D2" w:rsidR="00501068" w:rsidRDefault="00D03992" w:rsidP="0068108F">
      <w:r w:rsidRPr="00BB6220">
        <w:t>In</w:t>
      </w:r>
      <w:r w:rsidR="003D640C">
        <w:t xml:space="preserve"> </w:t>
      </w:r>
      <w:r w:rsidRPr="00BB6220">
        <w:t>other</w:t>
      </w:r>
      <w:r w:rsidR="003D640C">
        <w:t xml:space="preserve"> </w:t>
      </w:r>
      <w:r w:rsidRPr="00BB6220">
        <w:t>circumstance</w:t>
      </w:r>
      <w:r w:rsidR="00104946" w:rsidRPr="00BB6220">
        <w:t>s</w:t>
      </w:r>
      <w:r w:rsidRPr="00BB6220">
        <w:t>,</w:t>
      </w:r>
      <w:r w:rsidR="003D640C">
        <w:t xml:space="preserve"> </w:t>
      </w:r>
      <w:r w:rsidRPr="00BB6220">
        <w:t>where</w:t>
      </w:r>
      <w:r w:rsidR="003D640C">
        <w:t xml:space="preserve"> </w:t>
      </w:r>
      <w:r w:rsidR="007C6100" w:rsidRPr="00BB6220">
        <w:t>someone</w:t>
      </w:r>
      <w:r w:rsidR="003D640C">
        <w:t xml:space="preserve"> </w:t>
      </w:r>
      <w:r w:rsidR="00065A99" w:rsidRPr="00BB6220">
        <w:t>has</w:t>
      </w:r>
      <w:r w:rsidR="003D640C">
        <w:t xml:space="preserve"> </w:t>
      </w:r>
      <w:r w:rsidR="00065A99" w:rsidRPr="00BB6220">
        <w:t>sought</w:t>
      </w:r>
      <w:r w:rsidR="003D640C">
        <w:t xml:space="preserve"> </w:t>
      </w:r>
      <w:r w:rsidR="00065A99" w:rsidRPr="00BB6220">
        <w:t>to</w:t>
      </w:r>
      <w:r w:rsidR="003D640C">
        <w:t xml:space="preserve"> </w:t>
      </w:r>
      <w:r w:rsidR="00065A99" w:rsidRPr="00BB6220">
        <w:t>change</w:t>
      </w:r>
      <w:r w:rsidR="003D640C">
        <w:t xml:space="preserve"> </w:t>
      </w:r>
      <w:r w:rsidR="00065A99" w:rsidRPr="00BB6220">
        <w:t>their</w:t>
      </w:r>
      <w:r w:rsidR="003D640C">
        <w:t xml:space="preserve"> </w:t>
      </w:r>
      <w:r w:rsidR="00065A99" w:rsidRPr="00BB6220">
        <w:t>own</w:t>
      </w:r>
      <w:r w:rsidR="003D640C">
        <w:t xml:space="preserve"> </w:t>
      </w:r>
      <w:r w:rsidR="00744525" w:rsidRPr="00BB6220">
        <w:t>Rainbow</w:t>
      </w:r>
      <w:r w:rsidR="003D640C">
        <w:t xml:space="preserve"> </w:t>
      </w:r>
      <w:r w:rsidR="00065A99" w:rsidRPr="00BB6220">
        <w:t>identity</w:t>
      </w:r>
      <w:r w:rsidR="003D640C">
        <w:t xml:space="preserve"> </w:t>
      </w:r>
      <w:r w:rsidR="00751376" w:rsidRPr="00BB6220">
        <w:t>by</w:t>
      </w:r>
      <w:r w:rsidR="003D640C">
        <w:t xml:space="preserve"> </w:t>
      </w:r>
      <w:r w:rsidR="00751376" w:rsidRPr="00BB6220">
        <w:t>getting</w:t>
      </w:r>
      <w:r w:rsidR="003D640C">
        <w:t xml:space="preserve"> </w:t>
      </w:r>
      <w:r w:rsidR="00751376" w:rsidRPr="00BB6220">
        <w:t>advice</w:t>
      </w:r>
      <w:r w:rsidR="003D640C">
        <w:t xml:space="preserve"> </w:t>
      </w:r>
      <w:r w:rsidR="00751376" w:rsidRPr="00BB6220">
        <w:t>from</w:t>
      </w:r>
      <w:r w:rsidR="003D640C">
        <w:t xml:space="preserve"> </w:t>
      </w:r>
      <w:r w:rsidR="00751376" w:rsidRPr="00BB6220">
        <w:t>a</w:t>
      </w:r>
      <w:r w:rsidR="003D640C">
        <w:t xml:space="preserve"> </w:t>
      </w:r>
      <w:r w:rsidR="00751376" w:rsidRPr="00BB6220">
        <w:t>community</w:t>
      </w:r>
      <w:r w:rsidR="003D640C">
        <w:t xml:space="preserve"> </w:t>
      </w:r>
      <w:r w:rsidR="00751376" w:rsidRPr="00BB6220">
        <w:t>or</w:t>
      </w:r>
      <w:r w:rsidR="003D640C">
        <w:t xml:space="preserve"> </w:t>
      </w:r>
      <w:r w:rsidR="00751376" w:rsidRPr="00BB6220">
        <w:t>faith</w:t>
      </w:r>
      <w:r w:rsidR="003D640C">
        <w:t xml:space="preserve"> </w:t>
      </w:r>
      <w:r w:rsidR="00751376" w:rsidRPr="00BB6220">
        <w:t>leader,</w:t>
      </w:r>
      <w:r w:rsidR="003D640C">
        <w:t xml:space="preserve"> </w:t>
      </w:r>
      <w:r w:rsidR="00751376" w:rsidRPr="00BB6220">
        <w:t>it</w:t>
      </w:r>
      <w:r w:rsidR="003D640C">
        <w:t xml:space="preserve"> </w:t>
      </w:r>
      <w:r w:rsidR="00744525" w:rsidRPr="00BB6220">
        <w:t>i</w:t>
      </w:r>
      <w:r w:rsidR="00751376" w:rsidRPr="00BB6220">
        <w:t>s</w:t>
      </w:r>
      <w:r w:rsidR="003D640C">
        <w:t xml:space="preserve"> </w:t>
      </w:r>
      <w:r w:rsidR="00751376" w:rsidRPr="00BB6220">
        <w:t>common</w:t>
      </w:r>
      <w:r w:rsidR="003D640C">
        <w:t xml:space="preserve"> </w:t>
      </w:r>
      <w:r w:rsidR="00751376" w:rsidRPr="00BB6220">
        <w:t>for</w:t>
      </w:r>
      <w:r w:rsidR="003D640C">
        <w:t xml:space="preserve"> </w:t>
      </w:r>
      <w:r w:rsidR="00751376" w:rsidRPr="00BB6220">
        <w:t>them</w:t>
      </w:r>
      <w:r w:rsidR="003D640C">
        <w:t xml:space="preserve"> </w:t>
      </w:r>
      <w:r w:rsidR="00751376" w:rsidRPr="00BB6220">
        <w:t>to</w:t>
      </w:r>
      <w:r w:rsidR="003D640C">
        <w:t xml:space="preserve"> </w:t>
      </w:r>
      <w:r w:rsidR="00751376" w:rsidRPr="00BB6220">
        <w:t>be</w:t>
      </w:r>
      <w:r w:rsidR="003D640C">
        <w:t xml:space="preserve"> </w:t>
      </w:r>
      <w:r w:rsidR="00751376" w:rsidRPr="00BB6220">
        <w:t>told</w:t>
      </w:r>
      <w:r w:rsidR="003D640C">
        <w:t xml:space="preserve"> </w:t>
      </w:r>
      <w:r w:rsidR="00751376" w:rsidRPr="00BB6220">
        <w:t>to</w:t>
      </w:r>
      <w:r w:rsidR="003D640C">
        <w:t xml:space="preserve"> </w:t>
      </w:r>
      <w:r w:rsidR="00751376" w:rsidRPr="00BB6220">
        <w:t>keep</w:t>
      </w:r>
      <w:r w:rsidR="003D640C">
        <w:t xml:space="preserve"> </w:t>
      </w:r>
      <w:r w:rsidR="00151BE5" w:rsidRPr="00BB6220">
        <w:t>their</w:t>
      </w:r>
      <w:r w:rsidR="003D640C">
        <w:t xml:space="preserve"> </w:t>
      </w:r>
      <w:r w:rsidR="00151BE5" w:rsidRPr="00BB6220">
        <w:t>conversion</w:t>
      </w:r>
      <w:r w:rsidR="003D640C">
        <w:t xml:space="preserve"> </w:t>
      </w:r>
      <w:r w:rsidR="00151BE5" w:rsidRPr="00BB6220">
        <w:lastRenderedPageBreak/>
        <w:t>practices</w:t>
      </w:r>
      <w:r w:rsidR="003D640C">
        <w:t xml:space="preserve"> </w:t>
      </w:r>
      <w:r w:rsidR="00740D99" w:rsidRPr="00BB6220">
        <w:t>and</w:t>
      </w:r>
      <w:r w:rsidR="003D640C">
        <w:t xml:space="preserve"> </w:t>
      </w:r>
      <w:r w:rsidR="00740D99" w:rsidRPr="00BB6220">
        <w:t>their</w:t>
      </w:r>
      <w:r w:rsidR="003D640C">
        <w:t xml:space="preserve"> </w:t>
      </w:r>
      <w:r w:rsidR="00740D99" w:rsidRPr="00BB6220">
        <w:t>‘struggle’</w:t>
      </w:r>
      <w:r w:rsidR="003D640C">
        <w:t xml:space="preserve"> </w:t>
      </w:r>
      <w:r w:rsidR="00151BE5" w:rsidRPr="00BB6220">
        <w:t>secret.</w:t>
      </w:r>
      <w:r w:rsidR="003D640C">
        <w:t xml:space="preserve"> </w:t>
      </w:r>
      <w:r w:rsidR="004C5C41" w:rsidRPr="00BB6220">
        <w:t>Survivors</w:t>
      </w:r>
      <w:r w:rsidR="003D640C">
        <w:t xml:space="preserve"> </w:t>
      </w:r>
      <w:r w:rsidR="004C5C41" w:rsidRPr="00BB6220">
        <w:t>report</w:t>
      </w:r>
      <w:r w:rsidR="003D640C">
        <w:t xml:space="preserve"> </w:t>
      </w:r>
      <w:r w:rsidR="004C5C41" w:rsidRPr="00BB6220">
        <w:t>being</w:t>
      </w:r>
      <w:r w:rsidR="003D640C">
        <w:t xml:space="preserve"> </w:t>
      </w:r>
      <w:r w:rsidR="004C5C41" w:rsidRPr="00BB6220">
        <w:t>told</w:t>
      </w:r>
      <w:r w:rsidR="003D640C">
        <w:t xml:space="preserve"> </w:t>
      </w:r>
      <w:r w:rsidR="004C5C41" w:rsidRPr="00BB6220">
        <w:t>to</w:t>
      </w:r>
      <w:r w:rsidR="003D640C">
        <w:t xml:space="preserve"> </w:t>
      </w:r>
      <w:r w:rsidR="00744525" w:rsidRPr="00BB6220">
        <w:t>act</w:t>
      </w:r>
      <w:r w:rsidR="003D640C">
        <w:t xml:space="preserve"> </w:t>
      </w:r>
      <w:r w:rsidR="00151BE5" w:rsidRPr="00BB6220">
        <w:t>publicly</w:t>
      </w:r>
      <w:r w:rsidR="003D640C">
        <w:t xml:space="preserve"> </w:t>
      </w:r>
      <w:r w:rsidR="00600B51" w:rsidRPr="00BB6220">
        <w:t>as</w:t>
      </w:r>
      <w:r w:rsidR="003D640C">
        <w:t xml:space="preserve"> </w:t>
      </w:r>
      <w:r w:rsidR="00151BE5" w:rsidRPr="00BB6220">
        <w:t>heterosexual</w:t>
      </w:r>
      <w:r w:rsidR="003D640C">
        <w:t xml:space="preserve"> </w:t>
      </w:r>
      <w:r w:rsidR="00151BE5" w:rsidRPr="00BB6220">
        <w:t>and</w:t>
      </w:r>
      <w:r w:rsidR="003D640C">
        <w:t xml:space="preserve"> </w:t>
      </w:r>
      <w:r w:rsidR="00151BE5" w:rsidRPr="00BB6220">
        <w:t>cisgender</w:t>
      </w:r>
      <w:r w:rsidR="003D640C">
        <w:t xml:space="preserve"> </w:t>
      </w:r>
      <w:r w:rsidR="00600B51" w:rsidRPr="00BB6220">
        <w:t>as</w:t>
      </w:r>
      <w:r w:rsidR="003D640C">
        <w:t xml:space="preserve"> </w:t>
      </w:r>
      <w:r w:rsidR="00600B51" w:rsidRPr="00BB6220">
        <w:t>possible</w:t>
      </w:r>
      <w:r w:rsidR="003D640C">
        <w:t xml:space="preserve"> </w:t>
      </w:r>
      <w:r w:rsidR="00860222" w:rsidRPr="00BB6220">
        <w:t>in</w:t>
      </w:r>
      <w:r w:rsidR="003D640C">
        <w:t xml:space="preserve"> </w:t>
      </w:r>
      <w:r w:rsidR="00860222" w:rsidRPr="00BB6220">
        <w:t>the</w:t>
      </w:r>
      <w:r w:rsidR="003D640C">
        <w:t xml:space="preserve"> </w:t>
      </w:r>
      <w:r w:rsidR="00860222" w:rsidRPr="00BB6220">
        <w:t>hope</w:t>
      </w:r>
      <w:r w:rsidR="003D640C">
        <w:t xml:space="preserve"> </w:t>
      </w:r>
      <w:r w:rsidR="00860222" w:rsidRPr="00BB6220">
        <w:t>that</w:t>
      </w:r>
      <w:r w:rsidR="003D640C">
        <w:t xml:space="preserve"> </w:t>
      </w:r>
      <w:r w:rsidR="00860222" w:rsidRPr="00BB6220">
        <w:t>acting</w:t>
      </w:r>
      <w:r w:rsidR="003D640C">
        <w:t xml:space="preserve"> </w:t>
      </w:r>
      <w:r w:rsidR="00860222" w:rsidRPr="00BB6220">
        <w:t>that</w:t>
      </w:r>
      <w:r w:rsidR="003D640C">
        <w:t xml:space="preserve"> </w:t>
      </w:r>
      <w:r w:rsidR="00860222" w:rsidRPr="00BB6220">
        <w:t>way</w:t>
      </w:r>
      <w:r w:rsidR="003D640C">
        <w:t xml:space="preserve"> </w:t>
      </w:r>
      <w:r w:rsidR="00860222" w:rsidRPr="00BB6220">
        <w:t>will</w:t>
      </w:r>
      <w:r w:rsidR="003D640C">
        <w:t xml:space="preserve"> </w:t>
      </w:r>
      <w:r w:rsidR="00860222" w:rsidRPr="00BB6220">
        <w:t>make</w:t>
      </w:r>
      <w:r w:rsidR="003D640C">
        <w:t xml:space="preserve"> </w:t>
      </w:r>
      <w:r w:rsidR="00860222" w:rsidRPr="00BB6220">
        <w:t>becoming</w:t>
      </w:r>
      <w:r w:rsidR="003D640C">
        <w:t xml:space="preserve"> </w:t>
      </w:r>
      <w:r w:rsidR="00860222" w:rsidRPr="00BB6220">
        <w:t>that</w:t>
      </w:r>
      <w:r w:rsidR="003D640C">
        <w:t xml:space="preserve"> </w:t>
      </w:r>
      <w:r w:rsidR="00860222" w:rsidRPr="00BB6220">
        <w:t>more</w:t>
      </w:r>
      <w:r w:rsidR="003D640C">
        <w:t xml:space="preserve"> </w:t>
      </w:r>
      <w:r w:rsidR="00860222" w:rsidRPr="00BB6220">
        <w:t>likely.</w:t>
      </w:r>
      <w:r w:rsidR="003D640C">
        <w:t xml:space="preserve"> </w:t>
      </w:r>
      <w:r w:rsidR="00860222" w:rsidRPr="00BB6220">
        <w:t>When</w:t>
      </w:r>
      <w:r w:rsidR="003D640C">
        <w:t xml:space="preserve"> </w:t>
      </w:r>
      <w:r w:rsidR="00860222" w:rsidRPr="00BB6220">
        <w:t>this</w:t>
      </w:r>
      <w:r w:rsidR="003D640C">
        <w:t xml:space="preserve"> </w:t>
      </w:r>
      <w:r w:rsidR="00860222" w:rsidRPr="00BB6220">
        <w:t>inevitably</w:t>
      </w:r>
      <w:r w:rsidR="003D640C">
        <w:t xml:space="preserve"> </w:t>
      </w:r>
      <w:r w:rsidR="00860222" w:rsidRPr="00BB6220">
        <w:t>fails</w:t>
      </w:r>
      <w:r w:rsidR="003D640C">
        <w:t xml:space="preserve"> </w:t>
      </w:r>
      <w:r w:rsidR="00BE6DA7" w:rsidRPr="00BB6220">
        <w:t>and</w:t>
      </w:r>
      <w:r w:rsidR="003D640C">
        <w:t xml:space="preserve"> </w:t>
      </w:r>
      <w:r w:rsidR="00BE6DA7" w:rsidRPr="00BB6220">
        <w:t>the</w:t>
      </w:r>
      <w:r w:rsidR="003D640C">
        <w:t xml:space="preserve"> </w:t>
      </w:r>
      <w:r w:rsidR="00BE6DA7" w:rsidRPr="00BB6220">
        <w:t>survivor</w:t>
      </w:r>
      <w:r w:rsidR="003D640C">
        <w:t xml:space="preserve"> </w:t>
      </w:r>
      <w:r w:rsidR="00BE6DA7" w:rsidRPr="00BB6220">
        <w:t>comes</w:t>
      </w:r>
      <w:r w:rsidR="003D640C">
        <w:t xml:space="preserve"> </w:t>
      </w:r>
      <w:r w:rsidR="00BE6DA7" w:rsidRPr="00BB6220">
        <w:t>out</w:t>
      </w:r>
      <w:r w:rsidR="003D640C">
        <w:t xml:space="preserve"> </w:t>
      </w:r>
      <w:r w:rsidR="00BE6DA7" w:rsidRPr="00BB6220">
        <w:t>to</w:t>
      </w:r>
      <w:r w:rsidR="003D640C">
        <w:t xml:space="preserve"> </w:t>
      </w:r>
      <w:r w:rsidR="00BE6DA7" w:rsidRPr="00BB6220">
        <w:t>family,</w:t>
      </w:r>
      <w:r w:rsidR="003D640C">
        <w:t xml:space="preserve"> </w:t>
      </w:r>
      <w:r w:rsidR="00BE6DA7" w:rsidRPr="00BB6220">
        <w:t>the</w:t>
      </w:r>
      <w:r w:rsidR="003D640C">
        <w:t xml:space="preserve"> </w:t>
      </w:r>
      <w:r w:rsidR="00BE6DA7" w:rsidRPr="00BB6220">
        <w:t>revelation</w:t>
      </w:r>
      <w:r w:rsidR="003D640C">
        <w:t xml:space="preserve"> </w:t>
      </w:r>
      <w:r w:rsidR="00BE6DA7" w:rsidRPr="00BB6220">
        <w:t>they</w:t>
      </w:r>
      <w:r w:rsidR="003D640C">
        <w:t xml:space="preserve"> </w:t>
      </w:r>
      <w:r w:rsidR="00BE6DA7" w:rsidRPr="00BB6220">
        <w:t>have</w:t>
      </w:r>
      <w:r w:rsidR="003D640C">
        <w:t xml:space="preserve"> </w:t>
      </w:r>
      <w:r w:rsidR="00600B51" w:rsidRPr="00BB6220">
        <w:t>been</w:t>
      </w:r>
      <w:r w:rsidR="003D640C">
        <w:t xml:space="preserve"> </w:t>
      </w:r>
      <w:r w:rsidR="00600B51" w:rsidRPr="00BB6220">
        <w:t>hiding</w:t>
      </w:r>
      <w:r w:rsidR="003D640C">
        <w:t xml:space="preserve"> </w:t>
      </w:r>
      <w:r w:rsidR="00600B51" w:rsidRPr="00BB6220">
        <w:t>both</w:t>
      </w:r>
      <w:r w:rsidR="003D640C">
        <w:t xml:space="preserve"> </w:t>
      </w:r>
      <w:r w:rsidR="00600B51" w:rsidRPr="00BB6220">
        <w:t>their</w:t>
      </w:r>
      <w:r w:rsidR="003D640C">
        <w:t xml:space="preserve"> </w:t>
      </w:r>
      <w:r w:rsidR="00600B51" w:rsidRPr="00BB6220">
        <w:t>identity</w:t>
      </w:r>
      <w:r w:rsidR="003D640C">
        <w:t xml:space="preserve"> </w:t>
      </w:r>
      <w:r w:rsidR="00600B51" w:rsidRPr="00BB6220">
        <w:t>and</w:t>
      </w:r>
      <w:r w:rsidR="003D640C">
        <w:t xml:space="preserve"> </w:t>
      </w:r>
      <w:r w:rsidR="00BE6DA7" w:rsidRPr="00BB6220">
        <w:t>conversion</w:t>
      </w:r>
      <w:r w:rsidR="003D640C">
        <w:t xml:space="preserve"> </w:t>
      </w:r>
      <w:r w:rsidR="00BE6DA7" w:rsidRPr="00BB6220">
        <w:t>practices</w:t>
      </w:r>
      <w:r w:rsidR="003D640C">
        <w:t xml:space="preserve"> </w:t>
      </w:r>
      <w:r w:rsidR="005A1D02" w:rsidRPr="00BB6220">
        <w:t>can</w:t>
      </w:r>
      <w:r w:rsidR="003D640C">
        <w:t xml:space="preserve"> </w:t>
      </w:r>
      <w:r w:rsidR="005A1D02" w:rsidRPr="00BB6220">
        <w:t>be</w:t>
      </w:r>
      <w:r w:rsidR="003D640C">
        <w:t xml:space="preserve"> </w:t>
      </w:r>
      <w:r w:rsidR="005A1D02" w:rsidRPr="00BB6220">
        <w:t>difficult</w:t>
      </w:r>
      <w:r w:rsidR="003D640C">
        <w:t xml:space="preserve"> </w:t>
      </w:r>
      <w:r w:rsidR="005A1D02" w:rsidRPr="00BB6220">
        <w:t>for</w:t>
      </w:r>
      <w:r w:rsidR="003D640C">
        <w:t xml:space="preserve"> </w:t>
      </w:r>
      <w:r w:rsidR="005A1D02" w:rsidRPr="00BB6220">
        <w:t>family</w:t>
      </w:r>
      <w:r w:rsidR="003D640C">
        <w:t xml:space="preserve"> </w:t>
      </w:r>
      <w:r w:rsidR="005A1D02" w:rsidRPr="00BB6220">
        <w:t>to</w:t>
      </w:r>
      <w:r w:rsidR="003D640C">
        <w:t xml:space="preserve"> </w:t>
      </w:r>
      <w:r w:rsidR="005A1D02" w:rsidRPr="00BB6220">
        <w:t>accept.</w:t>
      </w:r>
      <w:r w:rsidR="003D640C">
        <w:t xml:space="preserve"> </w:t>
      </w:r>
    </w:p>
    <w:p w14:paraId="316D0F28" w14:textId="57D9916E" w:rsidR="00501068" w:rsidRDefault="00740D99" w:rsidP="0068108F">
      <w:pPr>
        <w:pStyle w:val="Quote"/>
        <w:rPr>
          <w:rFonts w:ascii="Calibri" w:eastAsia="Calibri" w:hAnsi="Calibri" w:cs="Calibri"/>
          <w:color w:val="000000" w:themeColor="text1"/>
        </w:rPr>
      </w:pPr>
      <w:r w:rsidRPr="00BB6220">
        <w:t>“The</w:t>
      </w:r>
      <w:r w:rsidR="003D640C">
        <w:t xml:space="preserve"> </w:t>
      </w:r>
      <w:r w:rsidRPr="00BB6220">
        <w:t>practice</w:t>
      </w:r>
      <w:r w:rsidR="003D640C">
        <w:t xml:space="preserve"> </w:t>
      </w:r>
      <w:r w:rsidRPr="00BB6220">
        <w:t>was</w:t>
      </w:r>
      <w:r w:rsidR="003D640C">
        <w:t xml:space="preserve"> </w:t>
      </w:r>
      <w:r w:rsidRPr="00BB6220">
        <w:t>kept</w:t>
      </w:r>
      <w:r w:rsidR="003D640C">
        <w:t xml:space="preserve"> </w:t>
      </w:r>
      <w:r w:rsidRPr="00BB6220">
        <w:t>secret</w:t>
      </w:r>
      <w:r w:rsidR="003D640C">
        <w:t xml:space="preserve"> </w:t>
      </w:r>
      <w:r w:rsidRPr="00BB6220">
        <w:t>and</w:t>
      </w:r>
      <w:r w:rsidR="003D640C">
        <w:t xml:space="preserve"> </w:t>
      </w:r>
      <w:r w:rsidRPr="00BB6220">
        <w:t>I</w:t>
      </w:r>
      <w:r w:rsidR="003D640C">
        <w:t xml:space="preserve"> </w:t>
      </w:r>
      <w:r w:rsidRPr="00BB6220">
        <w:t>was</w:t>
      </w:r>
      <w:r w:rsidR="003D640C">
        <w:t xml:space="preserve"> </w:t>
      </w:r>
      <w:r w:rsidRPr="00BB6220">
        <w:t>advised</w:t>
      </w:r>
      <w:r w:rsidR="003D640C">
        <w:t xml:space="preserve"> </w:t>
      </w:r>
      <w:r w:rsidRPr="00BB6220">
        <w:t>not</w:t>
      </w:r>
      <w:r w:rsidR="003D640C">
        <w:t xml:space="preserve"> </w:t>
      </w:r>
      <w:r w:rsidRPr="00BB6220">
        <w:t>to</w:t>
      </w:r>
      <w:r w:rsidR="003D640C">
        <w:t xml:space="preserve"> </w:t>
      </w:r>
      <w:r w:rsidRPr="00BB6220">
        <w:t>speak</w:t>
      </w:r>
      <w:r w:rsidR="003D640C">
        <w:t xml:space="preserve"> </w:t>
      </w:r>
      <w:r w:rsidRPr="00BB6220">
        <w:t>to</w:t>
      </w:r>
      <w:r w:rsidR="003D640C">
        <w:t xml:space="preserve"> </w:t>
      </w:r>
      <w:r w:rsidRPr="00BB6220">
        <w:t>any</w:t>
      </w:r>
      <w:r w:rsidR="003D640C">
        <w:t xml:space="preserve"> </w:t>
      </w:r>
      <w:r w:rsidRPr="00BB6220">
        <w:t>of</w:t>
      </w:r>
      <w:r w:rsidR="003D640C">
        <w:t xml:space="preserve"> </w:t>
      </w:r>
      <w:r w:rsidRPr="00BB6220">
        <w:t>my</w:t>
      </w:r>
      <w:r w:rsidR="003D640C">
        <w:t xml:space="preserve"> </w:t>
      </w:r>
      <w:r w:rsidRPr="00BB6220">
        <w:t>family</w:t>
      </w:r>
      <w:r w:rsidR="003D640C">
        <w:t xml:space="preserve"> </w:t>
      </w:r>
      <w:r w:rsidRPr="00BB6220">
        <w:t>or</w:t>
      </w:r>
      <w:r w:rsidR="003D640C">
        <w:t xml:space="preserve"> </w:t>
      </w:r>
      <w:r w:rsidRPr="00BB6220">
        <w:t>friends</w:t>
      </w:r>
      <w:r w:rsidR="003D640C">
        <w:t xml:space="preserve"> </w:t>
      </w:r>
      <w:r w:rsidRPr="00BB6220">
        <w:t>about</w:t>
      </w:r>
      <w:r w:rsidR="003D640C">
        <w:t xml:space="preserve"> </w:t>
      </w:r>
      <w:r w:rsidRPr="00BB6220">
        <w:t>it.</w:t>
      </w:r>
      <w:r w:rsidR="003D640C">
        <w:t xml:space="preserve"> </w:t>
      </w:r>
      <w:r w:rsidRPr="00BB6220">
        <w:t>I</w:t>
      </w:r>
      <w:r w:rsidR="003D640C">
        <w:t xml:space="preserve"> </w:t>
      </w:r>
      <w:r w:rsidRPr="00BB6220">
        <w:t>felt</w:t>
      </w:r>
      <w:r w:rsidR="003D640C">
        <w:t xml:space="preserve"> </w:t>
      </w:r>
      <w:r w:rsidRPr="00BB6220">
        <w:t>very</w:t>
      </w:r>
      <w:r w:rsidR="003D640C">
        <w:t xml:space="preserve"> </w:t>
      </w:r>
      <w:r w:rsidRPr="00BB6220">
        <w:t>isolated</w:t>
      </w:r>
      <w:r w:rsidR="003D640C">
        <w:t xml:space="preserve"> </w:t>
      </w:r>
      <w:r w:rsidRPr="00BB6220">
        <w:t>during</w:t>
      </w:r>
      <w:r w:rsidR="003D640C">
        <w:t xml:space="preserve"> </w:t>
      </w:r>
      <w:r w:rsidRPr="00BB6220">
        <w:t>this</w:t>
      </w:r>
      <w:r w:rsidR="003D640C">
        <w:t xml:space="preserve"> </w:t>
      </w:r>
      <w:r w:rsidRPr="00BB6220">
        <w:t>period.”</w:t>
      </w:r>
      <w:r w:rsidRPr="00BB6220" w:rsidDel="008E1CCA">
        <w:t xml:space="preserve"> </w:t>
      </w:r>
      <w:r w:rsidR="003C4F19" w:rsidRPr="00BB6220">
        <w:rPr>
          <w:rFonts w:ascii="Calibri" w:eastAsia="Calibri" w:hAnsi="Calibri" w:cs="Calibri"/>
          <w:color w:val="000000" w:themeColor="text1"/>
        </w:rPr>
        <w:t>Pākehā,</w:t>
      </w:r>
      <w:r w:rsidR="003D640C">
        <w:rPr>
          <w:rFonts w:ascii="Calibri" w:eastAsia="Calibri" w:hAnsi="Calibri" w:cs="Calibri"/>
          <w:color w:val="000000" w:themeColor="text1"/>
        </w:rPr>
        <w:t xml:space="preserve"> </w:t>
      </w:r>
      <w:r w:rsidR="003C4F19" w:rsidRPr="00BB6220">
        <w:rPr>
          <w:rFonts w:ascii="Calibri" w:eastAsia="Calibri" w:hAnsi="Calibri" w:cs="Calibri"/>
          <w:color w:val="000000" w:themeColor="text1"/>
        </w:rPr>
        <w:t>male</w:t>
      </w:r>
      <w:r w:rsidR="00744525" w:rsidRPr="00BB6220">
        <w:rPr>
          <w:rFonts w:ascii="Calibri" w:eastAsia="Calibri" w:hAnsi="Calibri" w:cs="Calibri"/>
          <w:color w:val="000000" w:themeColor="text1"/>
        </w:rPr>
        <w:t>.</w:t>
      </w:r>
    </w:p>
    <w:p w14:paraId="401094AF" w14:textId="50ACFAB5" w:rsidR="00501068" w:rsidRDefault="000C0167" w:rsidP="0068108F">
      <w:r w:rsidRPr="00BB6220">
        <w:t>In</w:t>
      </w:r>
      <w:r w:rsidR="003D640C">
        <w:t xml:space="preserve"> </w:t>
      </w:r>
      <w:r w:rsidRPr="00BB6220">
        <w:t>other</w:t>
      </w:r>
      <w:r w:rsidR="003D640C">
        <w:t xml:space="preserve"> </w:t>
      </w:r>
      <w:r w:rsidRPr="00BB6220">
        <w:t>cases,</w:t>
      </w:r>
      <w:r w:rsidR="003D640C">
        <w:t xml:space="preserve"> </w:t>
      </w:r>
      <w:r w:rsidRPr="00BB6220">
        <w:t>it</w:t>
      </w:r>
      <w:r w:rsidR="003D640C">
        <w:t xml:space="preserve"> </w:t>
      </w:r>
      <w:r w:rsidRPr="00BB6220">
        <w:t>is</w:t>
      </w:r>
      <w:r w:rsidR="003D640C">
        <w:t xml:space="preserve"> </w:t>
      </w:r>
      <w:r w:rsidRPr="00BB6220">
        <w:t>n</w:t>
      </w:r>
      <w:r w:rsidR="00716552" w:rsidRPr="00BB6220">
        <w:t>ot</w:t>
      </w:r>
      <w:r w:rsidR="003D640C">
        <w:t xml:space="preserve"> </w:t>
      </w:r>
      <w:r w:rsidRPr="00BB6220">
        <w:t>uncommon</w:t>
      </w:r>
      <w:r w:rsidR="003D640C">
        <w:t xml:space="preserve"> </w:t>
      </w:r>
      <w:r w:rsidRPr="00BB6220">
        <w:t>for</w:t>
      </w:r>
      <w:r w:rsidR="003D640C">
        <w:t xml:space="preserve"> </w:t>
      </w:r>
      <w:r w:rsidRPr="00BB6220">
        <w:t>parents</w:t>
      </w:r>
      <w:r w:rsidR="003D640C">
        <w:t xml:space="preserve"> </w:t>
      </w:r>
      <w:r w:rsidR="005601CC" w:rsidRPr="00BB6220">
        <w:t>in</w:t>
      </w:r>
      <w:r w:rsidR="003D640C">
        <w:t xml:space="preserve"> </w:t>
      </w:r>
      <w:r w:rsidR="005601CC" w:rsidRPr="00BB6220">
        <w:t>religious</w:t>
      </w:r>
      <w:r w:rsidR="003D640C">
        <w:t xml:space="preserve"> </w:t>
      </w:r>
      <w:r w:rsidR="005601CC" w:rsidRPr="00BB6220">
        <w:t>settings</w:t>
      </w:r>
      <w:r w:rsidR="003D640C">
        <w:t xml:space="preserve"> </w:t>
      </w:r>
      <w:r w:rsidRPr="00BB6220">
        <w:t>to</w:t>
      </w:r>
      <w:r w:rsidR="003D640C">
        <w:t xml:space="preserve"> </w:t>
      </w:r>
      <w:r w:rsidR="00C22DC9" w:rsidRPr="00BB6220">
        <w:t>support</w:t>
      </w:r>
      <w:r w:rsidR="003D640C">
        <w:t xml:space="preserve"> </w:t>
      </w:r>
      <w:r w:rsidR="00C22DC9" w:rsidRPr="00BB6220">
        <w:t>and</w:t>
      </w:r>
      <w:r w:rsidR="003D640C">
        <w:t xml:space="preserve"> </w:t>
      </w:r>
      <w:r w:rsidRPr="00BB6220">
        <w:t>be</w:t>
      </w:r>
      <w:r w:rsidR="003D640C">
        <w:t xml:space="preserve"> </w:t>
      </w:r>
      <w:r w:rsidRPr="00BB6220">
        <w:t>generally</w:t>
      </w:r>
      <w:r w:rsidR="003D640C">
        <w:t xml:space="preserve"> </w:t>
      </w:r>
      <w:r w:rsidRPr="00BB6220">
        <w:t>aware</w:t>
      </w:r>
      <w:r w:rsidR="003D640C">
        <w:t xml:space="preserve"> </w:t>
      </w:r>
      <w:r w:rsidRPr="00BB6220">
        <w:t>that</w:t>
      </w:r>
      <w:r w:rsidR="003D640C">
        <w:t xml:space="preserve"> </w:t>
      </w:r>
      <w:r w:rsidRPr="00BB6220">
        <w:t>their</w:t>
      </w:r>
      <w:r w:rsidR="003D640C">
        <w:t xml:space="preserve"> </w:t>
      </w:r>
      <w:r w:rsidRPr="00BB6220">
        <w:t>child</w:t>
      </w:r>
      <w:r w:rsidR="003D640C">
        <w:t xml:space="preserve"> </w:t>
      </w:r>
      <w:r w:rsidRPr="00BB6220">
        <w:t>was</w:t>
      </w:r>
      <w:r w:rsidR="003D640C">
        <w:t xml:space="preserve"> </w:t>
      </w:r>
      <w:r w:rsidRPr="00BB6220">
        <w:t>receiving</w:t>
      </w:r>
      <w:r w:rsidR="003D640C">
        <w:t xml:space="preserve"> </w:t>
      </w:r>
      <w:r w:rsidRPr="00BB6220">
        <w:t>‘</w:t>
      </w:r>
      <w:r w:rsidR="00C22DC9" w:rsidRPr="00BB6220">
        <w:t>help</w:t>
      </w:r>
      <w:r w:rsidRPr="00BB6220">
        <w:t>’</w:t>
      </w:r>
      <w:r w:rsidR="003D640C">
        <w:t xml:space="preserve"> </w:t>
      </w:r>
      <w:r w:rsidR="00C22DC9" w:rsidRPr="00BB6220">
        <w:t>or</w:t>
      </w:r>
      <w:r w:rsidR="003D640C">
        <w:t xml:space="preserve"> </w:t>
      </w:r>
      <w:r w:rsidR="00C22DC9" w:rsidRPr="00BB6220">
        <w:t>‘counselling’</w:t>
      </w:r>
      <w:r w:rsidR="003D640C">
        <w:t xml:space="preserve"> </w:t>
      </w:r>
      <w:r w:rsidRPr="00BB6220">
        <w:t>from</w:t>
      </w:r>
      <w:r w:rsidR="003D640C">
        <w:t xml:space="preserve"> </w:t>
      </w:r>
      <w:r w:rsidRPr="00BB6220">
        <w:t>other</w:t>
      </w:r>
      <w:r w:rsidR="003D640C">
        <w:t xml:space="preserve"> </w:t>
      </w:r>
      <w:r w:rsidRPr="00BB6220">
        <w:t>adults</w:t>
      </w:r>
      <w:r w:rsidR="003D640C">
        <w:t xml:space="preserve"> </w:t>
      </w:r>
      <w:r w:rsidR="00C22DC9" w:rsidRPr="00BB6220">
        <w:t>(not</w:t>
      </w:r>
      <w:r w:rsidR="003D640C">
        <w:t xml:space="preserve"> </w:t>
      </w:r>
      <w:r w:rsidR="00C22DC9" w:rsidRPr="00BB6220">
        <w:t>necessarily</w:t>
      </w:r>
      <w:r w:rsidR="003D640C">
        <w:t xml:space="preserve"> </w:t>
      </w:r>
      <w:r w:rsidR="00C22DC9" w:rsidRPr="00BB6220">
        <w:t>from</w:t>
      </w:r>
      <w:r w:rsidR="003D640C">
        <w:t xml:space="preserve"> </w:t>
      </w:r>
      <w:r w:rsidR="00C22DC9" w:rsidRPr="00BB6220">
        <w:t>a</w:t>
      </w:r>
      <w:r w:rsidR="003D640C">
        <w:t xml:space="preserve"> </w:t>
      </w:r>
      <w:r w:rsidR="00C22DC9" w:rsidRPr="00BB6220">
        <w:t>credentialled</w:t>
      </w:r>
      <w:r w:rsidR="003D640C">
        <w:t xml:space="preserve"> </w:t>
      </w:r>
      <w:r w:rsidR="00C22DC9" w:rsidRPr="00BB6220">
        <w:t>professional)</w:t>
      </w:r>
      <w:r w:rsidR="003D640C">
        <w:t xml:space="preserve"> </w:t>
      </w:r>
      <w:r w:rsidRPr="00BB6220">
        <w:t>for</w:t>
      </w:r>
      <w:r w:rsidR="003D640C">
        <w:t xml:space="preserve"> </w:t>
      </w:r>
      <w:r w:rsidRPr="00BB6220">
        <w:t>their</w:t>
      </w:r>
      <w:r w:rsidR="003D640C">
        <w:t xml:space="preserve"> </w:t>
      </w:r>
      <w:r w:rsidRPr="00BB6220">
        <w:t>sexual</w:t>
      </w:r>
      <w:r w:rsidR="003D640C">
        <w:t xml:space="preserve"> </w:t>
      </w:r>
      <w:r w:rsidRPr="00BB6220">
        <w:t>orientation</w:t>
      </w:r>
      <w:r w:rsidR="003D640C">
        <w:t xml:space="preserve"> </w:t>
      </w:r>
      <w:r w:rsidR="00A4105C">
        <w:t>and/or</w:t>
      </w:r>
      <w:r w:rsidR="003D640C">
        <w:t xml:space="preserve"> </w:t>
      </w:r>
      <w:r w:rsidR="00A4105C">
        <w:t>gender</w:t>
      </w:r>
      <w:r w:rsidR="003D640C">
        <w:t xml:space="preserve"> </w:t>
      </w:r>
      <w:r w:rsidR="00A4105C">
        <w:t>identity</w:t>
      </w:r>
      <w:r w:rsidR="003D640C">
        <w:t xml:space="preserve"> </w:t>
      </w:r>
      <w:r w:rsidR="00A4105C">
        <w:t>and</w:t>
      </w:r>
      <w:r w:rsidR="003D640C">
        <w:t xml:space="preserve"> </w:t>
      </w:r>
      <w:r w:rsidR="00A4105C">
        <w:t>expression</w:t>
      </w:r>
      <w:r w:rsidR="003D640C">
        <w:t xml:space="preserve"> </w:t>
      </w:r>
      <w:r w:rsidR="00FD1155" w:rsidRPr="00BB6220">
        <w:t>while</w:t>
      </w:r>
      <w:r w:rsidR="003D640C">
        <w:t xml:space="preserve"> </w:t>
      </w:r>
      <w:r w:rsidR="00716552" w:rsidRPr="00BB6220">
        <w:t>being</w:t>
      </w:r>
      <w:r w:rsidR="003D640C">
        <w:t xml:space="preserve"> </w:t>
      </w:r>
      <w:r w:rsidR="00716552" w:rsidRPr="00BB6220">
        <w:t>oblivious</w:t>
      </w:r>
      <w:r w:rsidR="003D640C">
        <w:t xml:space="preserve"> </w:t>
      </w:r>
      <w:r w:rsidR="00C22DC9" w:rsidRPr="00BB6220">
        <w:t>to</w:t>
      </w:r>
      <w:r w:rsidR="003D640C">
        <w:t xml:space="preserve"> </w:t>
      </w:r>
      <w:r w:rsidRPr="00BB6220">
        <w:t>the</w:t>
      </w:r>
      <w:r w:rsidR="003D640C">
        <w:t xml:space="preserve"> </w:t>
      </w:r>
      <w:r w:rsidRPr="00BB6220">
        <w:t>form</w:t>
      </w:r>
      <w:r w:rsidR="003D640C">
        <w:t xml:space="preserve"> </w:t>
      </w:r>
      <w:r w:rsidRPr="00BB6220">
        <w:t>and</w:t>
      </w:r>
      <w:r w:rsidR="003D640C">
        <w:t xml:space="preserve"> </w:t>
      </w:r>
      <w:r w:rsidRPr="00BB6220">
        <w:t>content</w:t>
      </w:r>
      <w:r w:rsidR="003D640C">
        <w:t xml:space="preserve"> </w:t>
      </w:r>
      <w:r w:rsidRPr="00BB6220">
        <w:t>of</w:t>
      </w:r>
      <w:r w:rsidR="003D640C">
        <w:t xml:space="preserve"> </w:t>
      </w:r>
      <w:r w:rsidRPr="00BB6220">
        <w:t>that</w:t>
      </w:r>
      <w:r w:rsidR="003D640C">
        <w:t xml:space="preserve"> </w:t>
      </w:r>
      <w:r w:rsidRPr="00BB6220">
        <w:t>‘</w:t>
      </w:r>
      <w:r w:rsidR="005601CC" w:rsidRPr="00BB6220">
        <w:t>help</w:t>
      </w:r>
      <w:r w:rsidR="00D634C2">
        <w:t>.</w:t>
      </w:r>
      <w:r w:rsidRPr="00BB6220">
        <w:t>’</w:t>
      </w:r>
      <w:r w:rsidR="003D640C">
        <w:t xml:space="preserve"> </w:t>
      </w:r>
      <w:r w:rsidRPr="00BB6220">
        <w:t>Ironically,</w:t>
      </w:r>
      <w:r w:rsidR="003D640C">
        <w:t xml:space="preserve"> </w:t>
      </w:r>
      <w:r w:rsidR="00CA3F0A">
        <w:t>some</w:t>
      </w:r>
      <w:r w:rsidR="003D640C">
        <w:t xml:space="preserve"> </w:t>
      </w:r>
      <w:r w:rsidRPr="00BB6220">
        <w:t>of</w:t>
      </w:r>
      <w:r w:rsidR="003D640C">
        <w:t xml:space="preserve"> </w:t>
      </w:r>
      <w:r w:rsidRPr="00BB6220">
        <w:t>the</w:t>
      </w:r>
      <w:r w:rsidR="003D640C">
        <w:t xml:space="preserve"> </w:t>
      </w:r>
      <w:r w:rsidRPr="00BB6220">
        <w:t>pseudoscience</w:t>
      </w:r>
      <w:r w:rsidR="003D640C">
        <w:t xml:space="preserve"> </w:t>
      </w:r>
      <w:r w:rsidRPr="00BB6220">
        <w:t>being</w:t>
      </w:r>
      <w:r w:rsidR="003D640C">
        <w:t xml:space="preserve"> </w:t>
      </w:r>
      <w:r w:rsidRPr="00BB6220">
        <w:t>taught</w:t>
      </w:r>
      <w:r w:rsidR="003D640C">
        <w:t xml:space="preserve"> </w:t>
      </w:r>
      <w:r w:rsidRPr="00BB6220">
        <w:t>in</w:t>
      </w:r>
      <w:r w:rsidR="003D640C">
        <w:t xml:space="preserve"> </w:t>
      </w:r>
      <w:r w:rsidRPr="00BB6220">
        <w:t>conversion</w:t>
      </w:r>
      <w:r w:rsidR="003D640C">
        <w:t xml:space="preserve"> </w:t>
      </w:r>
      <w:r w:rsidRPr="00BB6220">
        <w:t>practices</w:t>
      </w:r>
      <w:r w:rsidR="003D640C">
        <w:t xml:space="preserve"> </w:t>
      </w:r>
      <w:r w:rsidRPr="00BB6220">
        <w:t>blames</w:t>
      </w:r>
      <w:r w:rsidR="003D640C">
        <w:t xml:space="preserve"> </w:t>
      </w:r>
      <w:r w:rsidRPr="00BB6220">
        <w:t>the</w:t>
      </w:r>
      <w:r w:rsidR="003D640C">
        <w:t xml:space="preserve"> </w:t>
      </w:r>
      <w:r w:rsidRPr="00BB6220">
        <w:t>parents</w:t>
      </w:r>
      <w:r w:rsidR="003D640C">
        <w:t xml:space="preserve"> </w:t>
      </w:r>
      <w:r w:rsidRPr="00BB6220">
        <w:t>for</w:t>
      </w:r>
      <w:r w:rsidR="003D640C">
        <w:t xml:space="preserve"> </w:t>
      </w:r>
      <w:r w:rsidRPr="00BB6220">
        <w:t>failing</w:t>
      </w:r>
      <w:r w:rsidR="003D640C">
        <w:t xml:space="preserve"> </w:t>
      </w:r>
      <w:r w:rsidRPr="00BB6220">
        <w:t>to</w:t>
      </w:r>
      <w:r w:rsidR="003D640C">
        <w:t xml:space="preserve"> </w:t>
      </w:r>
      <w:r w:rsidRPr="00BB6220">
        <w:t>help</w:t>
      </w:r>
      <w:r w:rsidR="003D640C">
        <w:t xml:space="preserve"> </w:t>
      </w:r>
      <w:r w:rsidR="00FD1155" w:rsidRPr="00BB6220">
        <w:t>activate</w:t>
      </w:r>
      <w:r w:rsidR="003D640C">
        <w:t xml:space="preserve"> </w:t>
      </w:r>
      <w:r w:rsidR="00FD1155" w:rsidRPr="00BB6220">
        <w:t>a</w:t>
      </w:r>
      <w:r w:rsidR="003D640C">
        <w:t xml:space="preserve"> </w:t>
      </w:r>
      <w:r w:rsidR="00FD1155" w:rsidRPr="00BB6220">
        <w:t>cisgender</w:t>
      </w:r>
      <w:r w:rsidR="003D640C">
        <w:t xml:space="preserve"> </w:t>
      </w:r>
      <w:r w:rsidR="00FD1155" w:rsidRPr="00BB6220">
        <w:t>or</w:t>
      </w:r>
      <w:r w:rsidR="003D640C">
        <w:t xml:space="preserve"> </w:t>
      </w:r>
      <w:r w:rsidR="00FD1155" w:rsidRPr="00BB6220">
        <w:t>heteronormative</w:t>
      </w:r>
      <w:r w:rsidR="003D640C">
        <w:t xml:space="preserve"> </w:t>
      </w:r>
      <w:r w:rsidR="00FD1155" w:rsidRPr="00BB6220">
        <w:t>identity</w:t>
      </w:r>
      <w:r w:rsidR="003D640C">
        <w:t xml:space="preserve"> </w:t>
      </w:r>
      <w:r w:rsidR="00716552" w:rsidRPr="00BB6220">
        <w:t>for</w:t>
      </w:r>
      <w:r w:rsidR="003D640C">
        <w:t xml:space="preserve"> </w:t>
      </w:r>
      <w:r w:rsidR="00716552" w:rsidRPr="00BB6220">
        <w:t>their</w:t>
      </w:r>
      <w:r w:rsidR="003D640C">
        <w:t xml:space="preserve"> </w:t>
      </w:r>
      <w:r w:rsidR="00716552" w:rsidRPr="00BB6220">
        <w:t>child</w:t>
      </w:r>
      <w:r w:rsidR="00FD1155" w:rsidRPr="00BB6220">
        <w:t>.</w:t>
      </w:r>
    </w:p>
    <w:p w14:paraId="3CAAC0B2" w14:textId="3CD5DB06" w:rsidR="00501068" w:rsidRDefault="00AF7529" w:rsidP="0068108F">
      <w:r w:rsidRPr="00BB6220">
        <w:t>Some</w:t>
      </w:r>
      <w:r w:rsidR="003D640C">
        <w:t xml:space="preserve"> </w:t>
      </w:r>
      <w:r w:rsidRPr="00BB6220">
        <w:t>survivors</w:t>
      </w:r>
      <w:r w:rsidR="003D640C">
        <w:t xml:space="preserve"> </w:t>
      </w:r>
      <w:r w:rsidRPr="00BB6220">
        <w:t>report</w:t>
      </w:r>
      <w:r w:rsidR="00435C7E" w:rsidRPr="00BB6220">
        <w:t>ed</w:t>
      </w:r>
      <w:r w:rsidR="003D640C">
        <w:t xml:space="preserve"> </w:t>
      </w:r>
      <w:r w:rsidR="00435C7E" w:rsidRPr="00BB6220">
        <w:t>initially</w:t>
      </w:r>
      <w:r w:rsidR="003D640C">
        <w:t xml:space="preserve"> </w:t>
      </w:r>
      <w:r w:rsidRPr="00BB6220">
        <w:t>having</w:t>
      </w:r>
      <w:r w:rsidR="003D640C">
        <w:t xml:space="preserve"> </w:t>
      </w:r>
      <w:r w:rsidRPr="00BB6220">
        <w:t>a</w:t>
      </w:r>
      <w:r w:rsidR="003D640C">
        <w:t xml:space="preserve"> </w:t>
      </w:r>
      <w:r w:rsidRPr="00BB6220">
        <w:t>healthy</w:t>
      </w:r>
      <w:r w:rsidR="003D640C">
        <w:t xml:space="preserve"> </w:t>
      </w:r>
      <w:r w:rsidRPr="00BB6220">
        <w:t>relationship</w:t>
      </w:r>
      <w:r w:rsidR="003D640C">
        <w:t xml:space="preserve"> </w:t>
      </w:r>
      <w:r w:rsidRPr="00BB6220">
        <w:t>with</w:t>
      </w:r>
      <w:r w:rsidR="003D640C">
        <w:t xml:space="preserve"> </w:t>
      </w:r>
      <w:r w:rsidRPr="00BB6220">
        <w:t>their</w:t>
      </w:r>
      <w:r w:rsidR="003D640C">
        <w:t xml:space="preserve"> </w:t>
      </w:r>
      <w:r w:rsidRPr="00BB6220">
        <w:t>parent</w:t>
      </w:r>
      <w:r w:rsidR="000A1E22">
        <w:t>(</w:t>
      </w:r>
      <w:r w:rsidR="00450939">
        <w:t>s</w:t>
      </w:r>
      <w:r w:rsidR="000A1E22">
        <w:t>),</w:t>
      </w:r>
      <w:r w:rsidR="003D640C">
        <w:t xml:space="preserve"> </w:t>
      </w:r>
      <w:r w:rsidRPr="00BB6220">
        <w:t>but</w:t>
      </w:r>
      <w:r w:rsidR="003D640C">
        <w:t xml:space="preserve"> </w:t>
      </w:r>
      <w:r w:rsidR="005C3DE2" w:rsidRPr="00BB6220">
        <w:t>pseudoscientific</w:t>
      </w:r>
      <w:r w:rsidR="003D640C">
        <w:t xml:space="preserve"> </w:t>
      </w:r>
      <w:r w:rsidR="005C3DE2" w:rsidRPr="00BB6220">
        <w:t>theories</w:t>
      </w:r>
      <w:r w:rsidR="003D640C">
        <w:t xml:space="preserve"> </w:t>
      </w:r>
      <w:r w:rsidR="00435C7E" w:rsidRPr="00BB6220">
        <w:t>imposed</w:t>
      </w:r>
      <w:r w:rsidR="003D640C">
        <w:t xml:space="preserve"> </w:t>
      </w:r>
      <w:r w:rsidR="00435C7E" w:rsidRPr="00BB6220">
        <w:t>on</w:t>
      </w:r>
      <w:r w:rsidR="003D640C">
        <w:t xml:space="preserve"> </w:t>
      </w:r>
      <w:r w:rsidR="00E53723" w:rsidRPr="00BB6220">
        <w:t>them</w:t>
      </w:r>
      <w:r w:rsidR="003D640C">
        <w:t xml:space="preserve"> </w:t>
      </w:r>
      <w:r w:rsidR="00435C7E" w:rsidRPr="00BB6220">
        <w:t>during</w:t>
      </w:r>
      <w:r w:rsidR="003D640C">
        <w:t xml:space="preserve"> </w:t>
      </w:r>
      <w:r w:rsidR="00E53723" w:rsidRPr="00BB6220">
        <w:t>conversion</w:t>
      </w:r>
      <w:r w:rsidR="003D640C">
        <w:t xml:space="preserve"> </w:t>
      </w:r>
      <w:r w:rsidR="00E53723" w:rsidRPr="00BB6220">
        <w:t>practice</w:t>
      </w:r>
      <w:r w:rsidR="004B50FA">
        <w:t>s</w:t>
      </w:r>
      <w:r w:rsidR="003D640C">
        <w:t xml:space="preserve"> </w:t>
      </w:r>
      <w:r w:rsidR="00435C7E" w:rsidRPr="00BB6220">
        <w:t>eventually</w:t>
      </w:r>
      <w:r w:rsidR="003D640C">
        <w:t xml:space="preserve"> </w:t>
      </w:r>
      <w:r w:rsidR="00E53723" w:rsidRPr="00BB6220">
        <w:t>made</w:t>
      </w:r>
      <w:r w:rsidR="003D640C">
        <w:t xml:space="preserve"> </w:t>
      </w:r>
      <w:r w:rsidR="00E53723" w:rsidRPr="00BB6220">
        <w:t>them</w:t>
      </w:r>
      <w:r w:rsidR="003D640C">
        <w:t xml:space="preserve"> </w:t>
      </w:r>
      <w:r w:rsidR="00E53723" w:rsidRPr="00BB6220">
        <w:t>blam</w:t>
      </w:r>
      <w:r w:rsidR="009C2711" w:rsidRPr="00BB6220">
        <w:t>e</w:t>
      </w:r>
      <w:r w:rsidR="003D640C">
        <w:t xml:space="preserve"> </w:t>
      </w:r>
      <w:r w:rsidR="00E53723" w:rsidRPr="00BB6220">
        <w:t>or</w:t>
      </w:r>
      <w:r w:rsidR="003D640C">
        <w:t xml:space="preserve"> </w:t>
      </w:r>
      <w:r w:rsidR="00E53723" w:rsidRPr="00BB6220">
        <w:t>hate</w:t>
      </w:r>
      <w:r w:rsidR="003D640C">
        <w:t xml:space="preserve"> </w:t>
      </w:r>
      <w:r w:rsidR="00E53723" w:rsidRPr="00BB6220">
        <w:t>their</w:t>
      </w:r>
      <w:r w:rsidR="003D640C">
        <w:t xml:space="preserve"> </w:t>
      </w:r>
      <w:r w:rsidR="009C2711" w:rsidRPr="00BB6220">
        <w:t>parent</w:t>
      </w:r>
      <w:r w:rsidR="000A1E22">
        <w:t>(</w:t>
      </w:r>
      <w:r w:rsidR="00C22DC9" w:rsidRPr="00BB6220">
        <w:t>s</w:t>
      </w:r>
      <w:r w:rsidR="000A1E22">
        <w:t>)</w:t>
      </w:r>
      <w:r w:rsidR="003D640C">
        <w:t xml:space="preserve"> </w:t>
      </w:r>
      <w:r w:rsidR="00C22DC9" w:rsidRPr="00BB6220">
        <w:t>for</w:t>
      </w:r>
      <w:r w:rsidR="003D640C">
        <w:t xml:space="preserve"> </w:t>
      </w:r>
      <w:r w:rsidR="00C22DC9" w:rsidRPr="00BB6220">
        <w:t>contributing</w:t>
      </w:r>
      <w:r w:rsidR="003D640C">
        <w:t xml:space="preserve"> </w:t>
      </w:r>
      <w:r w:rsidR="00C22DC9" w:rsidRPr="00BB6220">
        <w:t>to</w:t>
      </w:r>
      <w:r w:rsidR="003D640C">
        <w:t xml:space="preserve"> </w:t>
      </w:r>
      <w:r w:rsidR="00C22DC9" w:rsidRPr="00BB6220">
        <w:t>their</w:t>
      </w:r>
      <w:r w:rsidR="003D640C">
        <w:t xml:space="preserve"> </w:t>
      </w:r>
      <w:r w:rsidR="00C22DC9" w:rsidRPr="00BB6220">
        <w:t>‘broke</w:t>
      </w:r>
      <w:r w:rsidR="00744525" w:rsidRPr="00BB6220">
        <w:t>n</w:t>
      </w:r>
      <w:r w:rsidR="00C22DC9" w:rsidRPr="00BB6220">
        <w:t>ness</w:t>
      </w:r>
      <w:r w:rsidR="00C24E35">
        <w:t>.</w:t>
      </w:r>
      <w:r w:rsidR="00C22DC9" w:rsidRPr="00BB6220">
        <w:t>’</w:t>
      </w:r>
      <w:r w:rsidR="003D640C">
        <w:t xml:space="preserve"> </w:t>
      </w:r>
      <w:r w:rsidR="00C22DC9" w:rsidRPr="00BB6220">
        <w:t>This</w:t>
      </w:r>
      <w:r w:rsidR="003D640C">
        <w:t xml:space="preserve"> </w:t>
      </w:r>
      <w:r w:rsidR="00C22DC9" w:rsidRPr="00BB6220">
        <w:t>dynamic</w:t>
      </w:r>
      <w:r w:rsidR="003D640C">
        <w:t xml:space="preserve"> </w:t>
      </w:r>
      <w:r w:rsidR="00C22DC9" w:rsidRPr="00BB6220">
        <w:t>shows</w:t>
      </w:r>
      <w:r w:rsidR="003D640C">
        <w:t xml:space="preserve"> </w:t>
      </w:r>
      <w:r w:rsidR="00C22DC9" w:rsidRPr="00BB6220">
        <w:t>the</w:t>
      </w:r>
      <w:r w:rsidR="003D640C">
        <w:t xml:space="preserve"> </w:t>
      </w:r>
      <w:r w:rsidR="00744525" w:rsidRPr="00BB6220">
        <w:t>authority,</w:t>
      </w:r>
      <w:r w:rsidR="003D640C">
        <w:t xml:space="preserve"> </w:t>
      </w:r>
      <w:r w:rsidR="00744525" w:rsidRPr="00BB6220">
        <w:t>influence</w:t>
      </w:r>
      <w:r w:rsidR="000A1E22">
        <w:t>,</w:t>
      </w:r>
      <w:r w:rsidR="003D640C">
        <w:t xml:space="preserve"> </w:t>
      </w:r>
      <w:r w:rsidR="00744525" w:rsidRPr="00BB6220">
        <w:t>and</w:t>
      </w:r>
      <w:r w:rsidR="003D640C">
        <w:t xml:space="preserve"> </w:t>
      </w:r>
      <w:r w:rsidR="00744525" w:rsidRPr="00BB6220">
        <w:t>control</w:t>
      </w:r>
      <w:r w:rsidR="003D640C">
        <w:t xml:space="preserve"> </w:t>
      </w:r>
      <w:r w:rsidR="00744525" w:rsidRPr="00BB6220">
        <w:t>that</w:t>
      </w:r>
      <w:r w:rsidR="003D640C">
        <w:t xml:space="preserve"> </w:t>
      </w:r>
      <w:r w:rsidR="00F74D81" w:rsidRPr="00BB6220">
        <w:t>some</w:t>
      </w:r>
      <w:r w:rsidR="003D640C">
        <w:t xml:space="preserve"> </w:t>
      </w:r>
      <w:r w:rsidR="00F74D81" w:rsidRPr="00BB6220">
        <w:t>religious</w:t>
      </w:r>
      <w:r w:rsidR="003D640C">
        <w:t xml:space="preserve"> </w:t>
      </w:r>
      <w:r w:rsidR="00F74D81" w:rsidRPr="00BB6220">
        <w:t>leaders</w:t>
      </w:r>
      <w:r w:rsidR="003D640C">
        <w:t xml:space="preserve"> </w:t>
      </w:r>
      <w:r w:rsidR="00EA46B3">
        <w:t>may</w:t>
      </w:r>
      <w:r w:rsidR="003D640C">
        <w:t xml:space="preserve"> </w:t>
      </w:r>
      <w:r w:rsidR="00744525" w:rsidRPr="00BB6220">
        <w:t>exert</w:t>
      </w:r>
      <w:r w:rsidR="003D640C">
        <w:t xml:space="preserve"> </w:t>
      </w:r>
      <w:r w:rsidR="00744525" w:rsidRPr="00BB6220">
        <w:t>over</w:t>
      </w:r>
      <w:r w:rsidR="003D640C">
        <w:t xml:space="preserve"> </w:t>
      </w:r>
      <w:r w:rsidR="00C22DC9" w:rsidRPr="00BB6220">
        <w:t>parents</w:t>
      </w:r>
      <w:r w:rsidR="00744525" w:rsidRPr="00BB6220">
        <w:t>,</w:t>
      </w:r>
      <w:r w:rsidR="003D640C">
        <w:t xml:space="preserve"> </w:t>
      </w:r>
      <w:r w:rsidR="00744525" w:rsidRPr="00BB6220">
        <w:t>who</w:t>
      </w:r>
      <w:r w:rsidR="003D640C">
        <w:t xml:space="preserve"> </w:t>
      </w:r>
      <w:r w:rsidR="00EA46B3">
        <w:t>may</w:t>
      </w:r>
      <w:r w:rsidR="003D640C">
        <w:t xml:space="preserve"> </w:t>
      </w:r>
      <w:r w:rsidR="00744525" w:rsidRPr="00BB6220">
        <w:t>place</w:t>
      </w:r>
      <w:r w:rsidR="003D640C">
        <w:t xml:space="preserve"> </w:t>
      </w:r>
      <w:r w:rsidR="00744525" w:rsidRPr="00BB6220">
        <w:t>great</w:t>
      </w:r>
      <w:r w:rsidR="003D640C">
        <w:t xml:space="preserve"> </w:t>
      </w:r>
      <w:r w:rsidR="00744525" w:rsidRPr="00BB6220">
        <w:t>trust</w:t>
      </w:r>
      <w:r w:rsidR="003D640C">
        <w:t xml:space="preserve"> </w:t>
      </w:r>
      <w:r w:rsidR="00744525" w:rsidRPr="00BB6220">
        <w:t>in</w:t>
      </w:r>
      <w:r w:rsidR="003D640C">
        <w:t xml:space="preserve"> </w:t>
      </w:r>
      <w:r w:rsidR="00744525" w:rsidRPr="00BB6220">
        <w:t>them</w:t>
      </w:r>
      <w:r w:rsidR="00435C7E" w:rsidRPr="00BB6220">
        <w:t>.</w:t>
      </w:r>
      <w:r w:rsidR="003D640C">
        <w:t xml:space="preserve"> </w:t>
      </w:r>
      <w:r w:rsidR="00744525" w:rsidRPr="00BB6220">
        <w:t>Such</w:t>
      </w:r>
      <w:r w:rsidR="003D640C">
        <w:t xml:space="preserve"> </w:t>
      </w:r>
      <w:r w:rsidR="00744525" w:rsidRPr="00BB6220">
        <w:t>leaders</w:t>
      </w:r>
      <w:r w:rsidR="003D640C">
        <w:t xml:space="preserve"> </w:t>
      </w:r>
      <w:r w:rsidR="00AD01E3">
        <w:t>may</w:t>
      </w:r>
      <w:r w:rsidR="003D640C">
        <w:t xml:space="preserve"> </w:t>
      </w:r>
      <w:r w:rsidR="00F74D81" w:rsidRPr="00BB6220">
        <w:t>assume</w:t>
      </w:r>
      <w:r w:rsidR="003D640C">
        <w:t xml:space="preserve"> </w:t>
      </w:r>
      <w:r w:rsidR="00F74D81" w:rsidRPr="00BB6220">
        <w:t>and</w:t>
      </w:r>
      <w:r w:rsidR="003D640C">
        <w:t xml:space="preserve"> </w:t>
      </w:r>
      <w:r w:rsidR="00F74D81" w:rsidRPr="00BB6220">
        <w:t>expect</w:t>
      </w:r>
      <w:r w:rsidR="003D640C">
        <w:t xml:space="preserve"> </w:t>
      </w:r>
      <w:r w:rsidR="00F74D81" w:rsidRPr="00BB6220">
        <w:t>parents</w:t>
      </w:r>
      <w:r w:rsidR="003D640C">
        <w:t xml:space="preserve"> </w:t>
      </w:r>
      <w:r w:rsidR="00F74D81" w:rsidRPr="00BB6220">
        <w:t>to</w:t>
      </w:r>
      <w:r w:rsidR="003D640C">
        <w:t xml:space="preserve"> </w:t>
      </w:r>
      <w:r w:rsidR="00F74D81" w:rsidRPr="00BB6220">
        <w:t>outsource</w:t>
      </w:r>
      <w:r w:rsidR="003D640C">
        <w:t xml:space="preserve"> </w:t>
      </w:r>
      <w:r w:rsidR="005601CC" w:rsidRPr="00BB6220">
        <w:t>the</w:t>
      </w:r>
      <w:r w:rsidR="003D640C">
        <w:t xml:space="preserve"> </w:t>
      </w:r>
      <w:r w:rsidR="005601CC" w:rsidRPr="00BB6220">
        <w:t>responsibility</w:t>
      </w:r>
      <w:r w:rsidR="003D640C">
        <w:t xml:space="preserve"> </w:t>
      </w:r>
      <w:r w:rsidR="005601CC" w:rsidRPr="00BB6220">
        <w:t>of</w:t>
      </w:r>
      <w:r w:rsidR="003D640C">
        <w:t xml:space="preserve"> </w:t>
      </w:r>
      <w:r w:rsidR="005601CC" w:rsidRPr="00BB6220">
        <w:t>‘teaching’</w:t>
      </w:r>
      <w:r w:rsidR="003D640C">
        <w:t xml:space="preserve"> </w:t>
      </w:r>
      <w:r w:rsidR="005601CC" w:rsidRPr="00BB6220">
        <w:t>corrective</w:t>
      </w:r>
      <w:r w:rsidR="003D640C">
        <w:t xml:space="preserve"> </w:t>
      </w:r>
      <w:r w:rsidR="005601CC" w:rsidRPr="00BB6220">
        <w:t>conversion</w:t>
      </w:r>
      <w:r w:rsidR="003D640C">
        <w:t xml:space="preserve"> </w:t>
      </w:r>
      <w:r w:rsidR="005601CC" w:rsidRPr="00BB6220">
        <w:t>practices</w:t>
      </w:r>
      <w:r w:rsidR="003D640C">
        <w:t xml:space="preserve"> </w:t>
      </w:r>
      <w:r w:rsidR="005601CC" w:rsidRPr="00BB6220">
        <w:t>to</w:t>
      </w:r>
      <w:r w:rsidR="003D640C">
        <w:t xml:space="preserve"> </w:t>
      </w:r>
      <w:r w:rsidR="005601CC" w:rsidRPr="00BB6220">
        <w:t>experts</w:t>
      </w:r>
      <w:r w:rsidR="003D640C">
        <w:t xml:space="preserve"> </w:t>
      </w:r>
      <w:r w:rsidR="005601CC" w:rsidRPr="00BB6220">
        <w:t>like</w:t>
      </w:r>
      <w:r w:rsidR="003D640C">
        <w:t xml:space="preserve"> </w:t>
      </w:r>
      <w:r w:rsidR="005601CC" w:rsidRPr="00BB6220">
        <w:t>themselves</w:t>
      </w:r>
      <w:r w:rsidR="000A1E22">
        <w:t>.</w:t>
      </w:r>
      <w:r w:rsidR="00721E25">
        <w:rPr>
          <w:rStyle w:val="FootnoteReference"/>
        </w:rPr>
        <w:footnoteReference w:id="137"/>
      </w:r>
      <w:r w:rsidR="003D640C">
        <w:t xml:space="preserve"> </w:t>
      </w:r>
    </w:p>
    <w:p w14:paraId="47F15761" w14:textId="61065026" w:rsidR="00501068" w:rsidRDefault="00D527F0" w:rsidP="0068108F">
      <w:r w:rsidRPr="00BB6220">
        <w:t>In</w:t>
      </w:r>
      <w:r w:rsidR="003D640C">
        <w:t xml:space="preserve"> </w:t>
      </w:r>
      <w:r w:rsidRPr="00BB6220">
        <w:t>Aotearoa</w:t>
      </w:r>
      <w:r w:rsidR="003D640C">
        <w:t xml:space="preserve"> </w:t>
      </w:r>
      <w:r w:rsidRPr="00BB6220">
        <w:t>and</w:t>
      </w:r>
      <w:r w:rsidR="003D640C">
        <w:t xml:space="preserve"> </w:t>
      </w:r>
      <w:r w:rsidRPr="00BB6220">
        <w:t>internationally</w:t>
      </w:r>
      <w:r w:rsidRPr="00BB6220" w:rsidDel="00AF329D">
        <w:t>,</w:t>
      </w:r>
      <w:r w:rsidR="003D640C">
        <w:t xml:space="preserve"> </w:t>
      </w:r>
      <w:r w:rsidRPr="00BB6220">
        <w:t>research</w:t>
      </w:r>
      <w:r w:rsidR="003D640C">
        <w:t xml:space="preserve"> </w:t>
      </w:r>
      <w:r w:rsidRPr="00BB6220">
        <w:t>shows</w:t>
      </w:r>
      <w:r w:rsidR="003D640C">
        <w:t xml:space="preserve"> </w:t>
      </w:r>
      <w:r w:rsidRPr="00BB6220">
        <w:t>there</w:t>
      </w:r>
      <w:r w:rsidR="003D640C">
        <w:t xml:space="preserve"> </w:t>
      </w:r>
      <w:r w:rsidRPr="00BB6220">
        <w:t>is</w:t>
      </w:r>
      <w:r w:rsidR="003D640C">
        <w:t xml:space="preserve"> </w:t>
      </w:r>
      <w:r w:rsidRPr="00BB6220">
        <w:t>a</w:t>
      </w:r>
      <w:r w:rsidR="003D640C">
        <w:t xml:space="preserve"> </w:t>
      </w:r>
      <w:r w:rsidRPr="00BB6220">
        <w:t>correlation</w:t>
      </w:r>
      <w:r w:rsidR="003D640C">
        <w:t xml:space="preserve"> </w:t>
      </w:r>
      <w:r w:rsidRPr="00BB6220">
        <w:t>between</w:t>
      </w:r>
      <w:r w:rsidR="003D640C">
        <w:t xml:space="preserve"> </w:t>
      </w:r>
      <w:r w:rsidR="00552AE1" w:rsidRPr="00BB6220">
        <w:t>experiencing</w:t>
      </w:r>
      <w:r w:rsidR="003D640C">
        <w:t xml:space="preserve"> </w:t>
      </w:r>
      <w:r w:rsidRPr="00BB6220">
        <w:t>conversion</w:t>
      </w:r>
      <w:r w:rsidR="003D640C">
        <w:t xml:space="preserve"> </w:t>
      </w:r>
      <w:r w:rsidRPr="00BB6220">
        <w:t>practices</w:t>
      </w:r>
      <w:r w:rsidR="003D640C">
        <w:t xml:space="preserve"> </w:t>
      </w:r>
      <w:r w:rsidRPr="00BB6220">
        <w:t>and</w:t>
      </w:r>
      <w:r w:rsidR="003D640C">
        <w:t xml:space="preserve"> </w:t>
      </w:r>
      <w:r w:rsidRPr="00BB6220">
        <w:t>family</w:t>
      </w:r>
      <w:r w:rsidR="003D640C">
        <w:t xml:space="preserve"> </w:t>
      </w:r>
      <w:r w:rsidRPr="00BB6220">
        <w:t>rejection</w:t>
      </w:r>
      <w:r w:rsidR="00744525" w:rsidRPr="00BB6220">
        <w:t>.</w:t>
      </w:r>
      <w:r w:rsidRPr="00BB6220">
        <w:rPr>
          <w:rStyle w:val="FootnoteReference"/>
        </w:rPr>
        <w:footnoteReference w:id="138"/>
      </w:r>
      <w:r w:rsidR="003D640C">
        <w:t xml:space="preserve"> </w:t>
      </w:r>
      <w:r w:rsidR="00D859DA">
        <w:t>Among</w:t>
      </w:r>
      <w:r w:rsidR="003D640C">
        <w:t xml:space="preserve"> </w:t>
      </w:r>
      <w:bookmarkStart w:id="203" w:name="_Int_sFjC2RFb"/>
      <w:r w:rsidRPr="00BB6220">
        <w:t>transgender</w:t>
      </w:r>
      <w:bookmarkEnd w:id="203"/>
      <w:r w:rsidR="003D640C">
        <w:t xml:space="preserve"> </w:t>
      </w:r>
      <w:r w:rsidRPr="00BB6220">
        <w:t>and</w:t>
      </w:r>
      <w:r w:rsidR="003D640C">
        <w:t xml:space="preserve"> </w:t>
      </w:r>
      <w:r w:rsidRPr="00BB6220">
        <w:t>non</w:t>
      </w:r>
      <w:r w:rsidR="00F5286F">
        <w:t>-</w:t>
      </w:r>
      <w:r w:rsidRPr="00BB6220">
        <w:t>binary</w:t>
      </w:r>
      <w:r w:rsidR="003D640C">
        <w:t xml:space="preserve"> </w:t>
      </w:r>
      <w:r w:rsidRPr="00BB6220">
        <w:t>people</w:t>
      </w:r>
      <w:r w:rsidR="00D859DA">
        <w:t>, those with</w:t>
      </w:r>
      <w:r w:rsidR="003D640C" w:rsidDel="00D859DA">
        <w:t xml:space="preserve"> </w:t>
      </w:r>
      <w:r w:rsidRPr="00BB6220">
        <w:t>unsupportive</w:t>
      </w:r>
      <w:r w:rsidR="003D640C">
        <w:t xml:space="preserve"> </w:t>
      </w:r>
      <w:r w:rsidRPr="00BB6220">
        <w:t>family</w:t>
      </w:r>
      <w:r w:rsidR="003D640C">
        <w:t xml:space="preserve"> </w:t>
      </w:r>
      <w:r w:rsidRPr="00BB6220">
        <w:t>environments</w:t>
      </w:r>
      <w:r w:rsidR="003D640C">
        <w:t xml:space="preserve"> </w:t>
      </w:r>
      <w:r w:rsidR="005B2A50">
        <w:t>experienced</w:t>
      </w:r>
      <w:r w:rsidR="003D640C">
        <w:t xml:space="preserve"> </w:t>
      </w:r>
      <w:r w:rsidRPr="00BB6220">
        <w:t>greater</w:t>
      </w:r>
      <w:r w:rsidR="003D640C">
        <w:t xml:space="preserve"> </w:t>
      </w:r>
      <w:r w:rsidRPr="00BB6220">
        <w:t>harm</w:t>
      </w:r>
      <w:r w:rsidR="003D640C">
        <w:t xml:space="preserve"> </w:t>
      </w:r>
      <w:r w:rsidRPr="00BB6220">
        <w:t>to</w:t>
      </w:r>
      <w:r w:rsidR="003D640C">
        <w:t xml:space="preserve"> </w:t>
      </w:r>
      <w:r w:rsidRPr="00BB6220">
        <w:t>their</w:t>
      </w:r>
      <w:r w:rsidR="003D640C">
        <w:t xml:space="preserve"> </w:t>
      </w:r>
      <w:r w:rsidRPr="00BB6220">
        <w:t>mental</w:t>
      </w:r>
      <w:r w:rsidR="003D640C">
        <w:t xml:space="preserve"> </w:t>
      </w:r>
      <w:r w:rsidRPr="00BB6220">
        <w:t>health</w:t>
      </w:r>
      <w:r w:rsidR="003D640C">
        <w:t xml:space="preserve"> </w:t>
      </w:r>
      <w:r w:rsidR="005B2A50">
        <w:t>than</w:t>
      </w:r>
      <w:r w:rsidR="003D640C">
        <w:t xml:space="preserve"> </w:t>
      </w:r>
      <w:r w:rsidR="004E4001" w:rsidRPr="00BB6220">
        <w:t>those</w:t>
      </w:r>
      <w:r w:rsidR="003D640C">
        <w:t xml:space="preserve"> </w:t>
      </w:r>
      <w:r w:rsidR="004E4001" w:rsidRPr="00BB6220">
        <w:t>w</w:t>
      </w:r>
      <w:r w:rsidR="00D859DA">
        <w:t>ith</w:t>
      </w:r>
      <w:r w:rsidR="003D640C">
        <w:t xml:space="preserve"> </w:t>
      </w:r>
      <w:r w:rsidR="004E4001" w:rsidRPr="00BB6220">
        <w:t>supportive</w:t>
      </w:r>
      <w:r w:rsidR="003D640C">
        <w:t xml:space="preserve"> </w:t>
      </w:r>
      <w:r w:rsidR="004E4001" w:rsidRPr="00BB6220">
        <w:t>family</w:t>
      </w:r>
      <w:r w:rsidR="003D640C">
        <w:t xml:space="preserve"> </w:t>
      </w:r>
      <w:r w:rsidR="004E4001" w:rsidRPr="00BB6220">
        <w:t>environments</w:t>
      </w:r>
      <w:r w:rsidRPr="00BB6220">
        <w:t>.</w:t>
      </w:r>
      <w:r w:rsidRPr="00BB6220">
        <w:rPr>
          <w:rStyle w:val="FootnoteReference"/>
        </w:rPr>
        <w:footnoteReference w:id="139"/>
      </w:r>
      <w:r w:rsidR="003D640C">
        <w:t xml:space="preserve"> </w:t>
      </w:r>
      <w:r w:rsidRPr="00BB6220">
        <w:t>The</w:t>
      </w:r>
      <w:r w:rsidR="003D640C">
        <w:t xml:space="preserve"> </w:t>
      </w:r>
      <w:r w:rsidRPr="00BB6220">
        <w:t>support</w:t>
      </w:r>
      <w:r w:rsidR="003D640C">
        <w:t xml:space="preserve"> </w:t>
      </w:r>
      <w:r w:rsidRPr="00BB6220">
        <w:t>of</w:t>
      </w:r>
      <w:r w:rsidR="003D640C">
        <w:t xml:space="preserve"> </w:t>
      </w:r>
      <w:r w:rsidRPr="00BB6220">
        <w:t>an</w:t>
      </w:r>
      <w:r w:rsidR="003D640C">
        <w:t xml:space="preserve"> </w:t>
      </w:r>
      <w:r w:rsidRPr="00BB6220">
        <w:t>individual’s</w:t>
      </w:r>
      <w:r w:rsidR="003D640C">
        <w:t xml:space="preserve"> </w:t>
      </w:r>
      <w:r w:rsidRPr="00BB6220">
        <w:t>family,</w:t>
      </w:r>
      <w:r w:rsidR="003D640C">
        <w:t xml:space="preserve"> </w:t>
      </w:r>
      <w:r w:rsidRPr="00BB6220">
        <w:t>no</w:t>
      </w:r>
      <w:r w:rsidR="003D640C">
        <w:t xml:space="preserve"> </w:t>
      </w:r>
      <w:r w:rsidRPr="00BB6220">
        <w:t>matter</w:t>
      </w:r>
      <w:r w:rsidR="003D640C">
        <w:t xml:space="preserve"> </w:t>
      </w:r>
      <w:r w:rsidRPr="00BB6220">
        <w:t>the</w:t>
      </w:r>
      <w:r w:rsidR="003D640C">
        <w:t xml:space="preserve"> </w:t>
      </w:r>
      <w:r w:rsidRPr="00BB6220">
        <w:t>structure,</w:t>
      </w:r>
      <w:r w:rsidR="003D640C">
        <w:t xml:space="preserve"> </w:t>
      </w:r>
      <w:r w:rsidRPr="00BB6220">
        <w:t>size</w:t>
      </w:r>
      <w:r w:rsidR="3414A096" w:rsidRPr="00BB6220">
        <w:t>,</w:t>
      </w:r>
      <w:r w:rsidR="003D640C">
        <w:t xml:space="preserve"> </w:t>
      </w:r>
      <w:r w:rsidRPr="00BB6220">
        <w:t>or</w:t>
      </w:r>
      <w:r w:rsidR="003D640C">
        <w:t xml:space="preserve"> </w:t>
      </w:r>
      <w:r w:rsidRPr="00BB6220">
        <w:t>definition,</w:t>
      </w:r>
      <w:r w:rsidR="003D640C">
        <w:t xml:space="preserve"> </w:t>
      </w:r>
      <w:r w:rsidRPr="00BB6220">
        <w:t>is</w:t>
      </w:r>
      <w:r w:rsidR="003D640C">
        <w:t xml:space="preserve"> </w:t>
      </w:r>
      <w:r w:rsidRPr="00BB6220">
        <w:t>essential</w:t>
      </w:r>
      <w:r w:rsidR="003D640C">
        <w:t xml:space="preserve"> </w:t>
      </w:r>
      <w:r w:rsidRPr="00BB6220">
        <w:t>to</w:t>
      </w:r>
      <w:r w:rsidR="003D640C">
        <w:t xml:space="preserve"> </w:t>
      </w:r>
      <w:r w:rsidRPr="00BB6220">
        <w:t>a</w:t>
      </w:r>
      <w:r w:rsidR="003D640C">
        <w:t xml:space="preserve"> </w:t>
      </w:r>
      <w:r w:rsidRPr="00BB6220">
        <w:t>sense</w:t>
      </w:r>
      <w:r w:rsidR="003D640C">
        <w:t xml:space="preserve"> </w:t>
      </w:r>
      <w:r w:rsidRPr="00BB6220">
        <w:t>of</w:t>
      </w:r>
      <w:r w:rsidR="003D640C">
        <w:t xml:space="preserve"> </w:t>
      </w:r>
      <w:r w:rsidRPr="00BB6220">
        <w:t>growth</w:t>
      </w:r>
      <w:r w:rsidR="003D640C">
        <w:t xml:space="preserve"> </w:t>
      </w:r>
      <w:r w:rsidRPr="00BB6220">
        <w:t>and</w:t>
      </w:r>
      <w:r w:rsidR="003D640C">
        <w:t xml:space="preserve"> </w:t>
      </w:r>
      <w:r w:rsidRPr="00BB6220">
        <w:t>validation</w:t>
      </w:r>
      <w:r w:rsidR="000A1E22">
        <w:t>.</w:t>
      </w:r>
      <w:r w:rsidR="000D0B96">
        <w:rPr>
          <w:rStyle w:val="FootnoteReference"/>
        </w:rPr>
        <w:footnoteReference w:id="140"/>
      </w:r>
      <w:r w:rsidR="003D640C">
        <w:t xml:space="preserve"> </w:t>
      </w:r>
    </w:p>
    <w:p w14:paraId="06246632" w14:textId="2E0766F7" w:rsidR="00D527F0" w:rsidRPr="00BB6220" w:rsidRDefault="005B2A50" w:rsidP="0068108F">
      <w:r>
        <w:t>Harm</w:t>
      </w:r>
      <w:r w:rsidR="003D640C">
        <w:t xml:space="preserve"> </w:t>
      </w:r>
      <w:r>
        <w:t>is</w:t>
      </w:r>
      <w:r w:rsidR="003D640C">
        <w:t xml:space="preserve"> </w:t>
      </w:r>
      <w:r>
        <w:t>not</w:t>
      </w:r>
      <w:r w:rsidR="003D640C">
        <w:t xml:space="preserve"> </w:t>
      </w:r>
      <w:r>
        <w:t>only</w:t>
      </w:r>
      <w:r w:rsidR="003D640C">
        <w:t xml:space="preserve"> </w:t>
      </w:r>
      <w:r>
        <w:t>experienced</w:t>
      </w:r>
      <w:r w:rsidR="003D640C">
        <w:t xml:space="preserve"> </w:t>
      </w:r>
      <w:r>
        <w:t>by</w:t>
      </w:r>
      <w:r w:rsidR="003D640C">
        <w:t xml:space="preserve"> </w:t>
      </w:r>
      <w:r>
        <w:t>a</w:t>
      </w:r>
      <w:r w:rsidR="003D640C">
        <w:t xml:space="preserve"> </w:t>
      </w:r>
      <w:r>
        <w:t>survivor</w:t>
      </w:r>
      <w:r w:rsidR="003D640C">
        <w:t xml:space="preserve"> </w:t>
      </w:r>
      <w:r>
        <w:t>but</w:t>
      </w:r>
      <w:r w:rsidR="003D640C">
        <w:t xml:space="preserve"> </w:t>
      </w:r>
      <w:r w:rsidR="00615C72">
        <w:t>may</w:t>
      </w:r>
      <w:r w:rsidR="003D640C">
        <w:t xml:space="preserve"> </w:t>
      </w:r>
      <w:r w:rsidR="00D527F0" w:rsidRPr="00BB6220">
        <w:t>also</w:t>
      </w:r>
      <w:r w:rsidR="003D640C">
        <w:t xml:space="preserve"> </w:t>
      </w:r>
      <w:r w:rsidR="00D527F0" w:rsidRPr="00BB6220">
        <w:t>b</w:t>
      </w:r>
      <w:r w:rsidR="00615C72">
        <w:t>e</w:t>
      </w:r>
      <w:r w:rsidR="003D640C">
        <w:t xml:space="preserve"> </w:t>
      </w:r>
      <w:r w:rsidR="00615C72">
        <w:t>experienced</w:t>
      </w:r>
      <w:r w:rsidR="00615C72" w:rsidDel="008E1CCA">
        <w:t xml:space="preserve"> </w:t>
      </w:r>
      <w:r w:rsidR="000A1E22">
        <w:t xml:space="preserve">by </w:t>
      </w:r>
      <w:r w:rsidR="00D527F0" w:rsidRPr="00BB6220">
        <w:t>people</w:t>
      </w:r>
      <w:r w:rsidR="003D640C">
        <w:t xml:space="preserve"> </w:t>
      </w:r>
      <w:r w:rsidR="00D527F0" w:rsidRPr="00BB6220">
        <w:t>surround</w:t>
      </w:r>
      <w:r w:rsidR="00933D69">
        <w:t>ing</w:t>
      </w:r>
      <w:r w:rsidR="003D640C">
        <w:t xml:space="preserve"> </w:t>
      </w:r>
      <w:r w:rsidR="00D527F0" w:rsidRPr="00BB6220">
        <w:t>the</w:t>
      </w:r>
      <w:r>
        <w:t>m</w:t>
      </w:r>
      <w:r w:rsidR="00D527F0" w:rsidRPr="00BB6220">
        <w:t>.</w:t>
      </w:r>
      <w:r w:rsidR="00F947F6">
        <w:t xml:space="preserve"> </w:t>
      </w:r>
      <w:r w:rsidR="000C353C" w:rsidRPr="00143A79">
        <w:t>International evidence documents damaged family relationships amongst the wide range of harmful effects of conversion practices</w:t>
      </w:r>
      <w:r w:rsidR="001D5F1B">
        <w:t>.</w:t>
      </w:r>
      <w:r w:rsidR="00FF4190">
        <w:rPr>
          <w:rStyle w:val="FootnoteReference"/>
        </w:rPr>
        <w:footnoteReference w:id="141"/>
      </w:r>
      <w:r w:rsidR="00FF4190" w:rsidDel="008E1CCA">
        <w:t xml:space="preserve"> </w:t>
      </w:r>
      <w:r w:rsidR="00A27AFA">
        <w:t>The</w:t>
      </w:r>
      <w:r w:rsidR="003D640C">
        <w:t xml:space="preserve"> </w:t>
      </w:r>
      <w:r w:rsidR="00F06932">
        <w:t>negative</w:t>
      </w:r>
      <w:r w:rsidR="003D640C">
        <w:t xml:space="preserve"> </w:t>
      </w:r>
      <w:r w:rsidR="00F06932">
        <w:t>impact</w:t>
      </w:r>
      <w:r w:rsidR="003D640C">
        <w:t xml:space="preserve"> </w:t>
      </w:r>
      <w:r w:rsidR="00F06932">
        <w:t>on</w:t>
      </w:r>
      <w:r w:rsidR="003D640C">
        <w:t xml:space="preserve"> </w:t>
      </w:r>
      <w:r w:rsidR="00F06932">
        <w:t>whānau</w:t>
      </w:r>
      <w:r w:rsidR="003D640C">
        <w:t xml:space="preserve"> </w:t>
      </w:r>
      <w:r w:rsidR="00F06932">
        <w:t>of</w:t>
      </w:r>
      <w:r w:rsidR="003D640C">
        <w:t xml:space="preserve"> </w:t>
      </w:r>
      <w:r w:rsidR="00F06932">
        <w:t>such</w:t>
      </w:r>
      <w:r w:rsidR="003D640C">
        <w:t xml:space="preserve"> </w:t>
      </w:r>
      <w:r w:rsidR="00F06932">
        <w:t>practices</w:t>
      </w:r>
      <w:r w:rsidR="003D640C">
        <w:t xml:space="preserve"> </w:t>
      </w:r>
      <w:r w:rsidR="00F06932">
        <w:t>was</w:t>
      </w:r>
      <w:r w:rsidR="003D640C">
        <w:t xml:space="preserve"> </w:t>
      </w:r>
      <w:r w:rsidR="00F06932">
        <w:t>also</w:t>
      </w:r>
      <w:r w:rsidR="003D640C">
        <w:t xml:space="preserve"> </w:t>
      </w:r>
      <w:r w:rsidR="00F06932">
        <w:t>a</w:t>
      </w:r>
      <w:r w:rsidR="003D640C">
        <w:t xml:space="preserve"> </w:t>
      </w:r>
      <w:r w:rsidR="00F06932">
        <w:t>finding</w:t>
      </w:r>
      <w:r w:rsidR="003D640C">
        <w:t xml:space="preserve"> </w:t>
      </w:r>
      <w:r w:rsidR="00F06932">
        <w:t>from</w:t>
      </w:r>
      <w:r w:rsidR="003D640C">
        <w:t xml:space="preserve"> </w:t>
      </w:r>
      <w:r w:rsidR="00F06932">
        <w:t>our</w:t>
      </w:r>
      <w:r w:rsidR="003D640C">
        <w:t xml:space="preserve"> </w:t>
      </w:r>
      <w:r w:rsidR="00F06932">
        <w:t>engagement.</w:t>
      </w:r>
      <w:r w:rsidR="003D640C">
        <w:t xml:space="preserve"> </w:t>
      </w:r>
      <w:r w:rsidR="000C353C">
        <w:t xml:space="preserve">Those we engaged with </w:t>
      </w:r>
      <w:r w:rsidR="00915EB9">
        <w:t>reported e</w:t>
      </w:r>
      <w:r w:rsidR="00D527F0" w:rsidRPr="00BB6220">
        <w:t>xamples</w:t>
      </w:r>
      <w:r w:rsidR="003D640C">
        <w:t xml:space="preserve"> </w:t>
      </w:r>
      <w:r w:rsidR="00D527F0" w:rsidRPr="00BB6220">
        <w:t>of</w:t>
      </w:r>
      <w:r w:rsidR="003D640C">
        <w:t xml:space="preserve"> </w:t>
      </w:r>
      <w:r w:rsidR="00D527F0" w:rsidRPr="00BB6220">
        <w:t>whānau</w:t>
      </w:r>
      <w:r w:rsidR="003D640C">
        <w:t xml:space="preserve"> </w:t>
      </w:r>
      <w:r w:rsidR="00D527F0" w:rsidRPr="00BB6220">
        <w:t>harm</w:t>
      </w:r>
      <w:r w:rsidR="003D640C">
        <w:t xml:space="preserve"> </w:t>
      </w:r>
      <w:r w:rsidR="00915EB9">
        <w:t>including</w:t>
      </w:r>
      <w:r w:rsidR="003E7B6B">
        <w:t>:</w:t>
      </w:r>
      <w:r w:rsidR="003D640C">
        <w:t xml:space="preserve"> </w:t>
      </w:r>
    </w:p>
    <w:p w14:paraId="4FA23DEA" w14:textId="631B7A4B" w:rsidR="00D527F0" w:rsidRPr="00BB6220" w:rsidRDefault="00E476A6" w:rsidP="0068108F">
      <w:pPr>
        <w:pStyle w:val="Bullet"/>
      </w:pPr>
      <w:r>
        <w:t>i</w:t>
      </w:r>
      <w:r w:rsidR="00D527F0" w:rsidRPr="00BB6220">
        <w:t>ntimate</w:t>
      </w:r>
      <w:r w:rsidR="003D640C">
        <w:t xml:space="preserve"> </w:t>
      </w:r>
      <w:r w:rsidR="00D527F0" w:rsidRPr="00BB6220">
        <w:t>partner</w:t>
      </w:r>
      <w:r w:rsidR="003D640C">
        <w:t xml:space="preserve"> </w:t>
      </w:r>
      <w:r w:rsidR="00D527F0" w:rsidRPr="00BB6220">
        <w:t>relationship</w:t>
      </w:r>
      <w:r w:rsidR="003D640C">
        <w:t xml:space="preserve"> </w:t>
      </w:r>
      <w:r w:rsidR="00D527F0" w:rsidRPr="00BB6220">
        <w:t>problems</w:t>
      </w:r>
      <w:r w:rsidR="003D640C">
        <w:t xml:space="preserve"> </w:t>
      </w:r>
      <w:r w:rsidR="00D527F0" w:rsidRPr="00BB6220">
        <w:t>either</w:t>
      </w:r>
      <w:r w:rsidR="003D640C">
        <w:t xml:space="preserve"> </w:t>
      </w:r>
      <w:r w:rsidR="00D527F0" w:rsidRPr="00BB6220">
        <w:t>due</w:t>
      </w:r>
      <w:r w:rsidR="003D640C">
        <w:t xml:space="preserve"> </w:t>
      </w:r>
      <w:r w:rsidR="00D527F0" w:rsidRPr="00BB6220">
        <w:t>to</w:t>
      </w:r>
      <w:r w:rsidR="003D640C">
        <w:t xml:space="preserve"> </w:t>
      </w:r>
      <w:r w:rsidR="00D527F0" w:rsidRPr="00BB6220">
        <w:t>sexual</w:t>
      </w:r>
      <w:r w:rsidR="003D640C">
        <w:t xml:space="preserve"> </w:t>
      </w:r>
      <w:r w:rsidR="00D527F0" w:rsidRPr="00BB6220">
        <w:t>incompatibility</w:t>
      </w:r>
      <w:r w:rsidR="003D640C">
        <w:t xml:space="preserve"> </w:t>
      </w:r>
      <w:r w:rsidR="00D527F0" w:rsidRPr="00BB6220">
        <w:t>or</w:t>
      </w:r>
      <w:r w:rsidR="003D640C">
        <w:t xml:space="preserve"> </w:t>
      </w:r>
      <w:r w:rsidR="00D527F0" w:rsidRPr="00BB6220">
        <w:t>disclosure</w:t>
      </w:r>
      <w:r w:rsidR="003D640C">
        <w:t xml:space="preserve"> </w:t>
      </w:r>
      <w:r w:rsidR="00D527F0" w:rsidRPr="00BB6220">
        <w:t>of</w:t>
      </w:r>
      <w:r w:rsidR="003D640C">
        <w:t xml:space="preserve"> </w:t>
      </w:r>
      <w:r w:rsidR="00D527F0" w:rsidRPr="00BB6220">
        <w:t>sexual</w:t>
      </w:r>
      <w:r w:rsidR="003D640C">
        <w:t xml:space="preserve"> </w:t>
      </w:r>
      <w:r w:rsidR="00D527F0" w:rsidRPr="00BB6220">
        <w:t>or</w:t>
      </w:r>
      <w:r w:rsidR="003D640C">
        <w:t xml:space="preserve"> </w:t>
      </w:r>
      <w:r w:rsidR="00D527F0" w:rsidRPr="00BB6220">
        <w:t>gender</w:t>
      </w:r>
      <w:r w:rsidR="003D640C">
        <w:t xml:space="preserve"> </w:t>
      </w:r>
      <w:r w:rsidR="00D527F0" w:rsidRPr="00BB6220">
        <w:t>identity</w:t>
      </w:r>
      <w:r w:rsidR="003D640C">
        <w:t xml:space="preserve"> </w:t>
      </w:r>
      <w:r w:rsidR="00D527F0" w:rsidRPr="00BB6220">
        <w:t>not</w:t>
      </w:r>
      <w:r w:rsidR="003D640C">
        <w:t xml:space="preserve"> </w:t>
      </w:r>
      <w:r w:rsidR="00D527F0" w:rsidRPr="00BB6220">
        <w:t>previously</w:t>
      </w:r>
      <w:r w:rsidR="003D640C">
        <w:t xml:space="preserve"> </w:t>
      </w:r>
      <w:r w:rsidR="00D527F0" w:rsidRPr="00BB6220">
        <w:t>acknowledged</w:t>
      </w:r>
    </w:p>
    <w:p w14:paraId="1E2E19C5" w14:textId="56A86B65" w:rsidR="00D527F0" w:rsidRPr="00BB6220" w:rsidRDefault="00E476A6" w:rsidP="0068108F">
      <w:pPr>
        <w:pStyle w:val="Bullet"/>
      </w:pPr>
      <w:r>
        <w:t>s</w:t>
      </w:r>
      <w:r w:rsidR="00D527F0" w:rsidRPr="00BB6220">
        <w:t>train</w:t>
      </w:r>
      <w:r w:rsidR="003D640C">
        <w:t xml:space="preserve"> </w:t>
      </w:r>
      <w:r w:rsidR="00D527F0" w:rsidRPr="00BB6220">
        <w:t>and</w:t>
      </w:r>
      <w:r w:rsidR="003D640C">
        <w:t xml:space="preserve"> </w:t>
      </w:r>
      <w:r w:rsidR="00D527F0" w:rsidRPr="00BB6220">
        <w:t>breakdown</w:t>
      </w:r>
      <w:r w:rsidR="003D640C">
        <w:t xml:space="preserve"> </w:t>
      </w:r>
      <w:r w:rsidR="00D527F0" w:rsidRPr="00BB6220">
        <w:t>in</w:t>
      </w:r>
      <w:r w:rsidR="003D640C">
        <w:t xml:space="preserve"> </w:t>
      </w:r>
      <w:r w:rsidR="00D527F0" w:rsidRPr="00BB6220">
        <w:t>immediate</w:t>
      </w:r>
      <w:r w:rsidR="003D640C">
        <w:t xml:space="preserve"> </w:t>
      </w:r>
      <w:r w:rsidR="00D527F0" w:rsidRPr="00BB6220">
        <w:t>family</w:t>
      </w:r>
      <w:r w:rsidR="003D640C">
        <w:t xml:space="preserve"> </w:t>
      </w:r>
      <w:r w:rsidR="00D527F0" w:rsidRPr="00BB6220">
        <w:t>relationships</w:t>
      </w:r>
    </w:p>
    <w:p w14:paraId="699F5349" w14:textId="6E6DFF1D" w:rsidR="00D527F0" w:rsidRPr="00BB6220" w:rsidRDefault="00E476A6" w:rsidP="0068108F">
      <w:pPr>
        <w:pStyle w:val="Bullet"/>
        <w:rPr>
          <w:i/>
          <w:iCs/>
        </w:rPr>
      </w:pPr>
      <w:r>
        <w:t>s</w:t>
      </w:r>
      <w:r w:rsidR="00D527F0" w:rsidRPr="00BB6220">
        <w:t>tress</w:t>
      </w:r>
      <w:r w:rsidR="003D640C">
        <w:t xml:space="preserve"> </w:t>
      </w:r>
      <w:r w:rsidR="00D527F0" w:rsidRPr="00BB6220">
        <w:t>on</w:t>
      </w:r>
      <w:r w:rsidR="003D640C">
        <w:t xml:space="preserve"> </w:t>
      </w:r>
      <w:r w:rsidR="00D527F0" w:rsidRPr="00BB6220">
        <w:t>children</w:t>
      </w:r>
      <w:r w:rsidR="003D640C">
        <w:t xml:space="preserve"> </w:t>
      </w:r>
      <w:r w:rsidR="00D527F0" w:rsidRPr="00BB6220">
        <w:t>living</w:t>
      </w:r>
      <w:r w:rsidR="003D640C">
        <w:t xml:space="preserve"> </w:t>
      </w:r>
      <w:r w:rsidR="00D527F0" w:rsidRPr="00BB6220">
        <w:t>in</w:t>
      </w:r>
      <w:r w:rsidR="003D640C">
        <w:t xml:space="preserve"> </w:t>
      </w:r>
      <w:r w:rsidR="00D527F0" w:rsidRPr="00BB6220">
        <w:t>high-tension</w:t>
      </w:r>
      <w:r w:rsidR="003D640C">
        <w:t xml:space="preserve"> </w:t>
      </w:r>
      <w:r w:rsidR="00D527F0" w:rsidRPr="00BB6220">
        <w:t>environments</w:t>
      </w:r>
      <w:r w:rsidR="003D640C">
        <w:t xml:space="preserve"> </w:t>
      </w:r>
      <w:r w:rsidR="00D527F0" w:rsidRPr="00BB6220">
        <w:t>and</w:t>
      </w:r>
      <w:r w:rsidR="003D640C">
        <w:t xml:space="preserve"> </w:t>
      </w:r>
      <w:r w:rsidR="00D527F0" w:rsidRPr="00BB6220">
        <w:t>with</w:t>
      </w:r>
      <w:r w:rsidR="003D640C">
        <w:t xml:space="preserve"> </w:t>
      </w:r>
      <w:r w:rsidR="00D527F0" w:rsidRPr="00BB6220">
        <w:t>the</w:t>
      </w:r>
      <w:r w:rsidR="003D640C">
        <w:t xml:space="preserve"> </w:t>
      </w:r>
      <w:r w:rsidR="00D527F0" w:rsidRPr="00BB6220">
        <w:t>effects</w:t>
      </w:r>
      <w:r w:rsidR="003D640C">
        <w:t xml:space="preserve"> </w:t>
      </w:r>
      <w:r w:rsidR="00D527F0" w:rsidRPr="00BB6220">
        <w:t>of</w:t>
      </w:r>
      <w:r w:rsidR="003D640C">
        <w:t xml:space="preserve"> </w:t>
      </w:r>
      <w:r w:rsidR="00D527F0" w:rsidRPr="00BB6220">
        <w:t>divorced</w:t>
      </w:r>
      <w:r w:rsidR="003D640C">
        <w:t xml:space="preserve"> </w:t>
      </w:r>
      <w:r w:rsidR="00D527F0" w:rsidRPr="00BB6220">
        <w:t>parents</w:t>
      </w:r>
    </w:p>
    <w:p w14:paraId="204B049E" w14:textId="1CD7B666" w:rsidR="00D527F0" w:rsidRPr="00BB6220" w:rsidRDefault="00E476A6" w:rsidP="0068108F">
      <w:pPr>
        <w:pStyle w:val="Bullet"/>
        <w:rPr>
          <w:i/>
          <w:iCs/>
        </w:rPr>
      </w:pPr>
      <w:r>
        <w:t>e</w:t>
      </w:r>
      <w:r w:rsidR="00D527F0" w:rsidRPr="00BB6220">
        <w:t>xtended</w:t>
      </w:r>
      <w:r w:rsidR="003D640C">
        <w:t xml:space="preserve"> </w:t>
      </w:r>
      <w:r w:rsidR="00D527F0" w:rsidRPr="00BB6220">
        <w:t>family</w:t>
      </w:r>
      <w:r w:rsidR="003D640C">
        <w:t xml:space="preserve"> </w:t>
      </w:r>
      <w:r w:rsidR="00D527F0" w:rsidRPr="00BB6220">
        <w:t>tension</w:t>
      </w:r>
      <w:r w:rsidR="003D640C">
        <w:t xml:space="preserve"> </w:t>
      </w:r>
      <w:r w:rsidR="00D527F0" w:rsidRPr="00BB6220">
        <w:t>when</w:t>
      </w:r>
      <w:r w:rsidR="003D640C">
        <w:t xml:space="preserve"> </w:t>
      </w:r>
      <w:r w:rsidR="00D527F0" w:rsidRPr="00BB6220">
        <w:t>some</w:t>
      </w:r>
      <w:r w:rsidR="003D640C">
        <w:t xml:space="preserve"> </w:t>
      </w:r>
      <w:r w:rsidR="00D527F0" w:rsidRPr="00BB6220">
        <w:t>members</w:t>
      </w:r>
      <w:r w:rsidR="003D640C">
        <w:t xml:space="preserve"> </w:t>
      </w:r>
      <w:r w:rsidR="00D527F0" w:rsidRPr="00BB6220">
        <w:t>affirm</w:t>
      </w:r>
      <w:r w:rsidR="003D640C">
        <w:t xml:space="preserve"> </w:t>
      </w:r>
      <w:r w:rsidR="00D527F0" w:rsidRPr="00BB6220">
        <w:t>the</w:t>
      </w:r>
      <w:r w:rsidR="003D640C">
        <w:t xml:space="preserve"> </w:t>
      </w:r>
      <w:r w:rsidR="00D527F0" w:rsidRPr="00BB6220">
        <w:t>survivor</w:t>
      </w:r>
      <w:r w:rsidR="003D640C">
        <w:t xml:space="preserve"> </w:t>
      </w:r>
      <w:r w:rsidR="005B2A50">
        <w:t>and</w:t>
      </w:r>
      <w:r w:rsidR="003D640C">
        <w:t xml:space="preserve"> </w:t>
      </w:r>
      <w:r w:rsidR="00D527F0" w:rsidRPr="00BB6220">
        <w:t>others</w:t>
      </w:r>
      <w:r w:rsidR="003D640C">
        <w:t xml:space="preserve"> </w:t>
      </w:r>
      <w:r w:rsidR="00D527F0" w:rsidRPr="00BB6220">
        <w:t>do</w:t>
      </w:r>
      <w:r w:rsidR="003D640C">
        <w:t xml:space="preserve"> </w:t>
      </w:r>
      <w:r w:rsidR="00D527F0" w:rsidRPr="00BB6220">
        <w:t>n</w:t>
      </w:r>
      <w:r w:rsidR="00744525" w:rsidRPr="00BB6220">
        <w:t>o</w:t>
      </w:r>
      <w:r w:rsidR="00D527F0" w:rsidRPr="00BB6220">
        <w:t>t</w:t>
      </w:r>
      <w:r w:rsidR="003D640C">
        <w:t xml:space="preserve"> </w:t>
      </w:r>
    </w:p>
    <w:p w14:paraId="19727FA9" w14:textId="2DEA0602" w:rsidR="00501068" w:rsidRDefault="00E476A6" w:rsidP="0068108F">
      <w:pPr>
        <w:pStyle w:val="Bullet"/>
      </w:pPr>
      <w:r>
        <w:lastRenderedPageBreak/>
        <w:t>l</w:t>
      </w:r>
      <w:r w:rsidR="00D527F0" w:rsidRPr="00BB6220">
        <w:t>oss</w:t>
      </w:r>
      <w:r w:rsidR="003D640C">
        <w:t xml:space="preserve"> </w:t>
      </w:r>
      <w:r w:rsidR="00D527F0" w:rsidRPr="00BB6220">
        <w:t>of</w:t>
      </w:r>
      <w:r w:rsidR="003D640C">
        <w:t xml:space="preserve"> </w:t>
      </w:r>
      <w:r w:rsidR="00D527F0" w:rsidRPr="00BB6220">
        <w:t>continuity</w:t>
      </w:r>
      <w:r w:rsidR="003D640C">
        <w:t xml:space="preserve"> </w:t>
      </w:r>
      <w:r w:rsidR="00D527F0" w:rsidRPr="00BB6220">
        <w:t>of</w:t>
      </w:r>
      <w:r w:rsidR="003D640C">
        <w:t xml:space="preserve"> </w:t>
      </w:r>
      <w:r w:rsidR="00D527F0" w:rsidRPr="00BB6220">
        <w:t>faith</w:t>
      </w:r>
      <w:r w:rsidR="003D640C">
        <w:t xml:space="preserve"> </w:t>
      </w:r>
      <w:r w:rsidR="00D527F0" w:rsidRPr="00BB6220">
        <w:t>practice</w:t>
      </w:r>
      <w:r w:rsidR="00521D2F">
        <w:t>.</w:t>
      </w:r>
    </w:p>
    <w:p w14:paraId="644B367D" w14:textId="1CB7525F" w:rsidR="00501068" w:rsidRDefault="00934304" w:rsidP="0068108F">
      <w:pPr>
        <w:pStyle w:val="Quote"/>
      </w:pPr>
      <w:r w:rsidRPr="00BB6220">
        <w:t>“In</w:t>
      </w:r>
      <w:r w:rsidR="003D640C">
        <w:t xml:space="preserve"> </w:t>
      </w:r>
      <w:r w:rsidRPr="00BB6220">
        <w:t>the</w:t>
      </w:r>
      <w:r w:rsidR="003D640C">
        <w:t xml:space="preserve"> </w:t>
      </w:r>
      <w:r w:rsidRPr="00BB6220">
        <w:t>church</w:t>
      </w:r>
      <w:r w:rsidR="003D640C">
        <w:t xml:space="preserve"> </w:t>
      </w:r>
      <w:r w:rsidRPr="00BB6220">
        <w:t>I</w:t>
      </w:r>
      <w:r w:rsidR="003D640C">
        <w:t xml:space="preserve"> </w:t>
      </w:r>
      <w:r w:rsidRPr="00BB6220">
        <w:t>was</w:t>
      </w:r>
      <w:r w:rsidR="003D640C">
        <w:t xml:space="preserve"> </w:t>
      </w:r>
      <w:r w:rsidRPr="00BB6220">
        <w:t>in</w:t>
      </w:r>
      <w:r w:rsidR="003D640C">
        <w:t xml:space="preserve"> </w:t>
      </w:r>
      <w:r w:rsidRPr="00BB6220">
        <w:t>I</w:t>
      </w:r>
      <w:r w:rsidR="003D640C">
        <w:t xml:space="preserve"> </w:t>
      </w:r>
      <w:r w:rsidRPr="00BB6220">
        <w:t>met</w:t>
      </w:r>
      <w:r w:rsidR="003D640C">
        <w:t xml:space="preserve"> </w:t>
      </w:r>
      <w:r w:rsidRPr="00BB6220">
        <w:t>this</w:t>
      </w:r>
      <w:r w:rsidR="003D640C">
        <w:t xml:space="preserve"> </w:t>
      </w:r>
      <w:r w:rsidRPr="00BB6220">
        <w:t>girl.</w:t>
      </w:r>
      <w:r w:rsidR="003D640C">
        <w:t xml:space="preserve"> </w:t>
      </w:r>
      <w:r w:rsidRPr="00BB6220">
        <w:t>She</w:t>
      </w:r>
      <w:r w:rsidR="003D640C">
        <w:t xml:space="preserve"> </w:t>
      </w:r>
      <w:r w:rsidRPr="00BB6220">
        <w:t>fell</w:t>
      </w:r>
      <w:r w:rsidR="003D640C">
        <w:t xml:space="preserve"> </w:t>
      </w:r>
      <w:r w:rsidRPr="00BB6220">
        <w:t>in</w:t>
      </w:r>
      <w:r w:rsidR="003D640C">
        <w:t xml:space="preserve"> </w:t>
      </w:r>
      <w:r w:rsidRPr="00BB6220">
        <w:t>love</w:t>
      </w:r>
      <w:r w:rsidR="003D640C">
        <w:t xml:space="preserve"> </w:t>
      </w:r>
      <w:r w:rsidRPr="00BB6220">
        <w:t>with</w:t>
      </w:r>
      <w:r w:rsidR="003D640C">
        <w:t xml:space="preserve"> </w:t>
      </w:r>
      <w:r w:rsidRPr="00BB6220">
        <w:t>me</w:t>
      </w:r>
      <w:r w:rsidR="003D640C">
        <w:t xml:space="preserve"> </w:t>
      </w:r>
      <w:r w:rsidRPr="00BB6220">
        <w:t>and</w:t>
      </w:r>
      <w:r w:rsidR="003D640C">
        <w:t xml:space="preserve"> </w:t>
      </w:r>
      <w:r w:rsidRPr="00BB6220">
        <w:t>I</w:t>
      </w:r>
      <w:r w:rsidR="003D640C">
        <w:t xml:space="preserve"> </w:t>
      </w:r>
      <w:r w:rsidRPr="00BB6220">
        <w:t>thought,</w:t>
      </w:r>
      <w:r w:rsidR="003D640C">
        <w:t xml:space="preserve"> </w:t>
      </w:r>
      <w:r w:rsidRPr="00BB6220">
        <w:t>‘Oh,</w:t>
      </w:r>
      <w:r w:rsidR="003D640C">
        <w:t xml:space="preserve"> </w:t>
      </w:r>
      <w:r w:rsidRPr="00BB6220">
        <w:t>I</w:t>
      </w:r>
      <w:r w:rsidR="003D640C">
        <w:t xml:space="preserve"> </w:t>
      </w:r>
      <w:r w:rsidRPr="00BB6220">
        <w:t>must</w:t>
      </w:r>
      <w:r w:rsidR="003D640C">
        <w:t xml:space="preserve"> </w:t>
      </w:r>
      <w:r w:rsidRPr="00BB6220">
        <w:t>be</w:t>
      </w:r>
      <w:r w:rsidR="003D640C">
        <w:t xml:space="preserve"> </w:t>
      </w:r>
      <w:r w:rsidRPr="00BB6220">
        <w:t>getting</w:t>
      </w:r>
      <w:r w:rsidR="003D640C">
        <w:t xml:space="preserve"> </w:t>
      </w:r>
      <w:r w:rsidR="0EDF21DC" w:rsidRPr="00BB6220">
        <w:t>straigh</w:t>
      </w:r>
      <w:r w:rsidR="25641C99" w:rsidRPr="00BB6220">
        <w:t>t</w:t>
      </w:r>
      <w:r w:rsidR="0EDF21DC" w:rsidRPr="00BB6220">
        <w:t>’</w:t>
      </w:r>
      <w:r w:rsidR="0223B1FC" w:rsidRPr="00BB6220">
        <w:t>.</w:t>
      </w:r>
      <w:r w:rsidR="003D640C">
        <w:t xml:space="preserve"> </w:t>
      </w:r>
      <w:r w:rsidRPr="00BB6220">
        <w:t>Even</w:t>
      </w:r>
      <w:r w:rsidR="003D640C">
        <w:t xml:space="preserve"> </w:t>
      </w:r>
      <w:r w:rsidRPr="00BB6220">
        <w:t>though</w:t>
      </w:r>
      <w:r w:rsidR="003D640C">
        <w:t xml:space="preserve"> </w:t>
      </w:r>
      <w:r w:rsidRPr="00BB6220">
        <w:t>I</w:t>
      </w:r>
      <w:r w:rsidR="003D640C">
        <w:t xml:space="preserve"> </w:t>
      </w:r>
      <w:r w:rsidRPr="00BB6220">
        <w:t>knew</w:t>
      </w:r>
      <w:r w:rsidR="003D640C">
        <w:t xml:space="preserve"> </w:t>
      </w:r>
      <w:r w:rsidRPr="00BB6220">
        <w:t>I</w:t>
      </w:r>
      <w:r w:rsidR="003D640C">
        <w:t xml:space="preserve"> </w:t>
      </w:r>
      <w:bookmarkStart w:id="204" w:name="_Int_ljAhqZqJ"/>
      <w:r w:rsidRPr="00BB6220">
        <w:t>wasn’t</w:t>
      </w:r>
      <w:bookmarkEnd w:id="204"/>
      <w:r w:rsidRPr="00BB6220">
        <w:t>,</w:t>
      </w:r>
      <w:r w:rsidR="003D640C">
        <w:t xml:space="preserve"> </w:t>
      </w:r>
      <w:r w:rsidRPr="00BB6220">
        <w:t>I</w:t>
      </w:r>
      <w:r w:rsidR="003D640C">
        <w:t xml:space="preserve"> </w:t>
      </w:r>
      <w:r w:rsidRPr="00BB6220">
        <w:t>thought,</w:t>
      </w:r>
      <w:r w:rsidR="003D640C">
        <w:t xml:space="preserve"> </w:t>
      </w:r>
      <w:r w:rsidRPr="00BB6220">
        <w:t>‘O</w:t>
      </w:r>
      <w:r w:rsidR="00521D2F">
        <w:t>K</w:t>
      </w:r>
      <w:r w:rsidRPr="00BB6220">
        <w:t>,</w:t>
      </w:r>
      <w:r w:rsidR="003D640C">
        <w:t xml:space="preserve"> </w:t>
      </w:r>
      <w:r w:rsidRPr="00BB6220">
        <w:t>I</w:t>
      </w:r>
      <w:r w:rsidR="003D640C">
        <w:t xml:space="preserve"> </w:t>
      </w:r>
      <w:r w:rsidRPr="00BB6220">
        <w:t>think</w:t>
      </w:r>
      <w:r w:rsidR="003D640C">
        <w:t xml:space="preserve"> </w:t>
      </w:r>
      <w:r w:rsidRPr="00BB6220">
        <w:t>I</w:t>
      </w:r>
      <w:r w:rsidR="003D640C">
        <w:t xml:space="preserve"> </w:t>
      </w:r>
      <w:r w:rsidRPr="00BB6220">
        <w:t>can</w:t>
      </w:r>
      <w:r w:rsidR="003D640C">
        <w:t xml:space="preserve"> </w:t>
      </w:r>
      <w:r w:rsidRPr="00BB6220">
        <w:t>do</w:t>
      </w:r>
      <w:r w:rsidR="003D640C">
        <w:t xml:space="preserve"> </w:t>
      </w:r>
      <w:r w:rsidR="0EDF21DC" w:rsidRPr="00BB6220">
        <w:t>this</w:t>
      </w:r>
      <w:r w:rsidR="4010BE1B" w:rsidRPr="00BB6220">
        <w:t>’.</w:t>
      </w:r>
      <w:r w:rsidR="003D640C">
        <w:t xml:space="preserve"> </w:t>
      </w:r>
      <w:r w:rsidRPr="00BB6220">
        <w:t>I</w:t>
      </w:r>
      <w:r w:rsidR="003D640C">
        <w:t xml:space="preserve"> </w:t>
      </w:r>
      <w:r w:rsidRPr="00BB6220">
        <w:t>really</w:t>
      </w:r>
      <w:r w:rsidR="003D640C">
        <w:t xml:space="preserve"> </w:t>
      </w:r>
      <w:r w:rsidRPr="00BB6220">
        <w:t>loved</w:t>
      </w:r>
      <w:r w:rsidR="003D640C">
        <w:t xml:space="preserve"> </w:t>
      </w:r>
      <w:r w:rsidRPr="00BB6220">
        <w:t>her</w:t>
      </w:r>
      <w:r w:rsidR="003D640C">
        <w:t xml:space="preserve"> </w:t>
      </w:r>
      <w:r w:rsidRPr="00BB6220">
        <w:t>–</w:t>
      </w:r>
      <w:r w:rsidR="003D640C">
        <w:t xml:space="preserve"> </w:t>
      </w:r>
      <w:r w:rsidRPr="00BB6220">
        <w:t>as</w:t>
      </w:r>
      <w:r w:rsidR="003D640C">
        <w:t xml:space="preserve"> </w:t>
      </w:r>
      <w:r w:rsidRPr="00BB6220">
        <w:t>a</w:t>
      </w:r>
      <w:r w:rsidR="003D640C">
        <w:t xml:space="preserve"> </w:t>
      </w:r>
      <w:r w:rsidRPr="00BB6220">
        <w:t>friend.</w:t>
      </w:r>
      <w:r w:rsidR="003D640C">
        <w:t xml:space="preserve"> </w:t>
      </w:r>
      <w:r w:rsidRPr="00BB6220">
        <w:t>So,</w:t>
      </w:r>
      <w:r w:rsidR="003D640C">
        <w:t xml:space="preserve"> </w:t>
      </w:r>
      <w:r w:rsidRPr="00BB6220">
        <w:t>we</w:t>
      </w:r>
      <w:r w:rsidR="003D640C">
        <w:t xml:space="preserve"> </w:t>
      </w:r>
      <w:r w:rsidRPr="00BB6220">
        <w:t>struggled.”</w:t>
      </w:r>
      <w:r w:rsidRPr="00BB6220" w:rsidDel="008E1CCA">
        <w:t xml:space="preserve"> </w:t>
      </w:r>
      <w:r w:rsidRPr="00BB6220">
        <w:t>Pākehā,</w:t>
      </w:r>
      <w:r w:rsidR="003D640C">
        <w:t xml:space="preserve"> </w:t>
      </w:r>
      <w:r w:rsidR="006F3CC8" w:rsidRPr="00BB6220">
        <w:t>m</w:t>
      </w:r>
      <w:r w:rsidRPr="00BB6220">
        <w:t>ale</w:t>
      </w:r>
    </w:p>
    <w:p w14:paraId="3639E8AE" w14:textId="65A4F979" w:rsidR="00501068" w:rsidRDefault="00577DED" w:rsidP="0068108F">
      <w:r w:rsidRPr="00BB6220">
        <w:t>Beyond</w:t>
      </w:r>
      <w:r w:rsidR="003D640C">
        <w:t xml:space="preserve"> </w:t>
      </w:r>
      <w:r w:rsidRPr="00BB6220">
        <w:t>the</w:t>
      </w:r>
      <w:r w:rsidR="003D640C">
        <w:t xml:space="preserve"> </w:t>
      </w:r>
      <w:r w:rsidRPr="00BB6220">
        <w:t>survivor</w:t>
      </w:r>
      <w:r w:rsidR="003D640C">
        <w:t xml:space="preserve"> </w:t>
      </w:r>
      <w:r w:rsidRPr="00BB6220">
        <w:t>themselves,</w:t>
      </w:r>
      <w:r w:rsidR="003D640C">
        <w:t xml:space="preserve"> </w:t>
      </w:r>
      <w:r w:rsidR="00FC7DD3">
        <w:t>those</w:t>
      </w:r>
      <w:r w:rsidR="003D640C">
        <w:t xml:space="preserve"> </w:t>
      </w:r>
      <w:r w:rsidR="00FC7DD3">
        <w:t>we</w:t>
      </w:r>
      <w:r w:rsidR="003D640C">
        <w:t xml:space="preserve"> </w:t>
      </w:r>
      <w:r w:rsidR="00FC7DD3">
        <w:t>engaged</w:t>
      </w:r>
      <w:r w:rsidR="003D640C">
        <w:t xml:space="preserve"> </w:t>
      </w:r>
      <w:r w:rsidR="00FC7DD3">
        <w:t>with</w:t>
      </w:r>
      <w:r w:rsidR="003D640C">
        <w:t xml:space="preserve"> </w:t>
      </w:r>
      <w:r w:rsidR="00FC7DD3">
        <w:t>believed</w:t>
      </w:r>
      <w:r w:rsidR="003D640C">
        <w:t xml:space="preserve"> </w:t>
      </w:r>
      <w:r w:rsidR="00FC7DD3">
        <w:t>that</w:t>
      </w:r>
      <w:r w:rsidR="003D640C">
        <w:t xml:space="preserve"> </w:t>
      </w:r>
      <w:r w:rsidRPr="00BB6220">
        <w:t>harm</w:t>
      </w:r>
      <w:r w:rsidR="003D640C">
        <w:t xml:space="preserve"> </w:t>
      </w:r>
      <w:r w:rsidR="00355C78">
        <w:t>may</w:t>
      </w:r>
      <w:r w:rsidR="003D640C">
        <w:t xml:space="preserve"> </w:t>
      </w:r>
      <w:r w:rsidR="00355C78">
        <w:t>be</w:t>
      </w:r>
      <w:r w:rsidR="003D640C">
        <w:t xml:space="preserve"> </w:t>
      </w:r>
      <w:r w:rsidRPr="00BB6220">
        <w:t>experienced</w:t>
      </w:r>
      <w:r w:rsidR="003D640C">
        <w:t xml:space="preserve"> </w:t>
      </w:r>
      <w:r w:rsidR="000409FE">
        <w:t>by</w:t>
      </w:r>
      <w:r w:rsidR="003D640C">
        <w:t xml:space="preserve"> </w:t>
      </w:r>
      <w:r w:rsidR="000409FE">
        <w:t>their</w:t>
      </w:r>
      <w:r w:rsidR="003D640C">
        <w:t xml:space="preserve"> </w:t>
      </w:r>
      <w:r w:rsidR="000409FE">
        <w:t>partners</w:t>
      </w:r>
      <w:r w:rsidR="003D640C">
        <w:t xml:space="preserve"> </w:t>
      </w:r>
      <w:r w:rsidR="00707EA0">
        <w:t>and</w:t>
      </w:r>
      <w:r w:rsidR="003D640C">
        <w:t xml:space="preserve"> </w:t>
      </w:r>
      <w:r w:rsidR="00707EA0">
        <w:t>any</w:t>
      </w:r>
      <w:r w:rsidR="003D640C">
        <w:t xml:space="preserve"> </w:t>
      </w:r>
      <w:r w:rsidR="00707EA0">
        <w:t>children</w:t>
      </w:r>
      <w:r w:rsidR="003D640C">
        <w:t xml:space="preserve"> </w:t>
      </w:r>
      <w:r w:rsidR="00707EA0">
        <w:t>from</w:t>
      </w:r>
      <w:r w:rsidR="003D640C">
        <w:t xml:space="preserve"> </w:t>
      </w:r>
      <w:r w:rsidR="00707EA0">
        <w:t>these</w:t>
      </w:r>
      <w:r w:rsidR="003D640C">
        <w:t xml:space="preserve"> </w:t>
      </w:r>
      <w:r w:rsidR="00707EA0">
        <w:t>relationships</w:t>
      </w:r>
      <w:r w:rsidR="003D640C">
        <w:t xml:space="preserve"> </w:t>
      </w:r>
      <w:r w:rsidR="00102D30" w:rsidRPr="00BB6220">
        <w:t>when</w:t>
      </w:r>
      <w:r w:rsidR="003D640C">
        <w:t xml:space="preserve"> </w:t>
      </w:r>
      <w:r w:rsidR="00102D30" w:rsidRPr="00BB6220">
        <w:t>they</w:t>
      </w:r>
      <w:r w:rsidR="003D640C">
        <w:t xml:space="preserve"> </w:t>
      </w:r>
      <w:r w:rsidR="00102D30" w:rsidRPr="00BB6220">
        <w:t>are</w:t>
      </w:r>
      <w:r w:rsidR="003D640C">
        <w:t xml:space="preserve"> </w:t>
      </w:r>
      <w:r w:rsidR="00366916" w:rsidRPr="00BB6220">
        <w:t>pushed</w:t>
      </w:r>
      <w:r w:rsidR="003D640C">
        <w:t xml:space="preserve"> </w:t>
      </w:r>
      <w:r w:rsidR="00366916" w:rsidRPr="00BB6220">
        <w:t>into</w:t>
      </w:r>
      <w:r w:rsidR="003D640C">
        <w:t xml:space="preserve"> </w:t>
      </w:r>
      <w:r w:rsidR="024A6897" w:rsidRPr="00BB6220">
        <w:t>‘heterosexual’</w:t>
      </w:r>
      <w:r w:rsidR="003D640C">
        <w:t xml:space="preserve"> </w:t>
      </w:r>
      <w:r w:rsidR="00366916" w:rsidRPr="00BB6220">
        <w:t>ma</w:t>
      </w:r>
      <w:r w:rsidR="005369F3" w:rsidRPr="00BB6220">
        <w:t>rriages</w:t>
      </w:r>
      <w:r w:rsidR="00E703B4" w:rsidRPr="00BB6220">
        <w:t>.</w:t>
      </w:r>
      <w:r w:rsidR="00E703B4" w:rsidRPr="00BB6220" w:rsidDel="008E1CCA">
        <w:t xml:space="preserve"> </w:t>
      </w:r>
      <w:r w:rsidR="00744525" w:rsidRPr="00BB6220">
        <w:t>Partners</w:t>
      </w:r>
      <w:r w:rsidR="003D640C">
        <w:t xml:space="preserve"> </w:t>
      </w:r>
      <w:r w:rsidR="00744525" w:rsidRPr="00BB6220">
        <w:t>of</w:t>
      </w:r>
      <w:r w:rsidR="003D640C">
        <w:t xml:space="preserve"> </w:t>
      </w:r>
      <w:r w:rsidR="00744525" w:rsidRPr="00BB6220">
        <w:t>the</w:t>
      </w:r>
      <w:r w:rsidR="003D640C">
        <w:t xml:space="preserve"> </w:t>
      </w:r>
      <w:r w:rsidR="00744525" w:rsidRPr="00BB6220">
        <w:t>opposite</w:t>
      </w:r>
      <w:r w:rsidR="003D640C">
        <w:t xml:space="preserve"> </w:t>
      </w:r>
      <w:r w:rsidR="00744525" w:rsidRPr="00BB6220">
        <w:t>sex</w:t>
      </w:r>
      <w:r w:rsidR="003D640C">
        <w:t xml:space="preserve"> </w:t>
      </w:r>
      <w:r w:rsidR="00744525" w:rsidRPr="00BB6220">
        <w:t>who</w:t>
      </w:r>
      <w:r w:rsidR="003D640C">
        <w:t xml:space="preserve"> </w:t>
      </w:r>
      <w:r w:rsidR="00744525" w:rsidRPr="00BB6220">
        <w:t>are</w:t>
      </w:r>
      <w:r w:rsidR="003D640C">
        <w:t xml:space="preserve"> </w:t>
      </w:r>
      <w:r w:rsidR="001B5E7F" w:rsidRPr="00BB6220">
        <w:t>either</w:t>
      </w:r>
      <w:r w:rsidR="003D640C">
        <w:t xml:space="preserve"> </w:t>
      </w:r>
      <w:r w:rsidR="001B5E7F" w:rsidRPr="00BB6220">
        <w:t>not</w:t>
      </w:r>
      <w:r w:rsidR="003D640C">
        <w:t xml:space="preserve"> </w:t>
      </w:r>
      <w:r w:rsidR="001B5E7F" w:rsidRPr="00BB6220">
        <w:t>aware</w:t>
      </w:r>
      <w:r w:rsidR="003D640C">
        <w:t xml:space="preserve"> </w:t>
      </w:r>
      <w:r w:rsidR="001B5E7F" w:rsidRPr="00BB6220">
        <w:t>they</w:t>
      </w:r>
      <w:r w:rsidR="003D640C">
        <w:t xml:space="preserve"> </w:t>
      </w:r>
      <w:r w:rsidR="001B5E7F" w:rsidRPr="00BB6220">
        <w:t>have</w:t>
      </w:r>
      <w:r w:rsidR="003D640C">
        <w:t xml:space="preserve"> </w:t>
      </w:r>
      <w:r w:rsidR="001B5E7F" w:rsidRPr="00BB6220">
        <w:t>married</w:t>
      </w:r>
      <w:r w:rsidR="003D640C">
        <w:t xml:space="preserve"> </w:t>
      </w:r>
      <w:r w:rsidR="001B5E7F" w:rsidRPr="00BB6220">
        <w:t>a</w:t>
      </w:r>
      <w:r w:rsidR="003D640C">
        <w:t xml:space="preserve"> </w:t>
      </w:r>
      <w:r w:rsidR="001B5E7F" w:rsidRPr="00BB6220">
        <w:t>closeted</w:t>
      </w:r>
      <w:r w:rsidR="003D640C">
        <w:t xml:space="preserve"> </w:t>
      </w:r>
      <w:r w:rsidR="00744525" w:rsidRPr="00BB6220">
        <w:t>Rainbow</w:t>
      </w:r>
      <w:r w:rsidR="003D640C">
        <w:t xml:space="preserve"> </w:t>
      </w:r>
      <w:r w:rsidR="001B5E7F" w:rsidRPr="00BB6220">
        <w:t>person</w:t>
      </w:r>
      <w:r w:rsidR="003D640C">
        <w:t xml:space="preserve"> </w:t>
      </w:r>
      <w:r w:rsidR="001B5E7F" w:rsidRPr="00BB6220">
        <w:t>or</w:t>
      </w:r>
      <w:r w:rsidR="003D640C">
        <w:t xml:space="preserve"> </w:t>
      </w:r>
      <w:r w:rsidR="00AC28BD" w:rsidRPr="00BB6220">
        <w:t>who</w:t>
      </w:r>
      <w:r w:rsidR="003D640C">
        <w:t xml:space="preserve"> </w:t>
      </w:r>
      <w:r w:rsidR="00AC28BD" w:rsidRPr="00BB6220">
        <w:t>have</w:t>
      </w:r>
      <w:r w:rsidR="003D640C">
        <w:t xml:space="preserve"> </w:t>
      </w:r>
      <w:r w:rsidR="00AC28BD" w:rsidRPr="00BB6220">
        <w:t>been</w:t>
      </w:r>
      <w:r w:rsidR="003D640C">
        <w:t xml:space="preserve"> </w:t>
      </w:r>
      <w:r w:rsidR="001B5E7F" w:rsidRPr="00BB6220">
        <w:t>coerced</w:t>
      </w:r>
      <w:r w:rsidR="003D640C">
        <w:t xml:space="preserve"> </w:t>
      </w:r>
      <w:r w:rsidR="001B5E7F" w:rsidRPr="00BB6220">
        <w:t>into</w:t>
      </w:r>
      <w:r w:rsidR="003D640C">
        <w:t xml:space="preserve"> </w:t>
      </w:r>
      <w:r w:rsidR="001B5E7F" w:rsidRPr="00BB6220">
        <w:t>taking</w:t>
      </w:r>
      <w:r w:rsidR="003D640C">
        <w:t xml:space="preserve"> </w:t>
      </w:r>
      <w:r w:rsidR="001B5E7F" w:rsidRPr="00BB6220">
        <w:t>on</w:t>
      </w:r>
      <w:r w:rsidR="003D640C">
        <w:t xml:space="preserve"> </w:t>
      </w:r>
      <w:r w:rsidR="001B5E7F" w:rsidRPr="00BB6220">
        <w:t>the</w:t>
      </w:r>
      <w:r w:rsidR="003D640C">
        <w:t xml:space="preserve"> </w:t>
      </w:r>
      <w:r w:rsidR="001B5E7F" w:rsidRPr="00BB6220">
        <w:t>marriag</w:t>
      </w:r>
      <w:r w:rsidR="00744525" w:rsidRPr="00BB6220">
        <w:t>e</w:t>
      </w:r>
      <w:r w:rsidR="003D640C">
        <w:t xml:space="preserve"> </w:t>
      </w:r>
      <w:r w:rsidR="005F4865">
        <w:t>may</w:t>
      </w:r>
      <w:r w:rsidR="003D640C">
        <w:t xml:space="preserve"> </w:t>
      </w:r>
      <w:r w:rsidR="005F4865">
        <w:t>potentially</w:t>
      </w:r>
      <w:r w:rsidR="003D640C">
        <w:t xml:space="preserve"> </w:t>
      </w:r>
      <w:r w:rsidR="009C26E1" w:rsidRPr="00BB6220">
        <w:t>experience</w:t>
      </w:r>
      <w:r w:rsidR="003D640C">
        <w:t xml:space="preserve"> </w:t>
      </w:r>
      <w:r w:rsidR="008053D4" w:rsidRPr="00BB6220">
        <w:t>si</w:t>
      </w:r>
      <w:r w:rsidR="00086207" w:rsidRPr="00BB6220">
        <w:t>gnificant</w:t>
      </w:r>
      <w:r w:rsidR="003D640C">
        <w:t xml:space="preserve"> </w:t>
      </w:r>
      <w:r w:rsidR="00086207" w:rsidRPr="00BB6220">
        <w:t>harm</w:t>
      </w:r>
      <w:r w:rsidR="003D640C">
        <w:t xml:space="preserve"> </w:t>
      </w:r>
      <w:r w:rsidR="00086207" w:rsidRPr="00BB6220">
        <w:t>when</w:t>
      </w:r>
      <w:r w:rsidR="003D640C">
        <w:t xml:space="preserve"> </w:t>
      </w:r>
      <w:r w:rsidR="00086207" w:rsidRPr="00BB6220">
        <w:t>the</w:t>
      </w:r>
      <w:r w:rsidR="003D640C">
        <w:t xml:space="preserve"> </w:t>
      </w:r>
      <w:r w:rsidR="00086207" w:rsidRPr="00BB6220">
        <w:t>survivor</w:t>
      </w:r>
      <w:r w:rsidR="003D640C">
        <w:t xml:space="preserve"> </w:t>
      </w:r>
      <w:r w:rsidR="00086207" w:rsidRPr="00BB6220">
        <w:t>eventually</w:t>
      </w:r>
      <w:r w:rsidR="003D640C">
        <w:t xml:space="preserve"> </w:t>
      </w:r>
      <w:r w:rsidR="00086207" w:rsidRPr="00BB6220">
        <w:t>comes</w:t>
      </w:r>
      <w:r w:rsidR="003D640C">
        <w:t xml:space="preserve"> </w:t>
      </w:r>
      <w:r w:rsidR="00086207" w:rsidRPr="00BB6220">
        <w:t>out</w:t>
      </w:r>
      <w:r w:rsidR="006F14AE" w:rsidRPr="00BB6220">
        <w:t>.</w:t>
      </w:r>
      <w:r w:rsidR="003D640C">
        <w:t xml:space="preserve"> </w:t>
      </w:r>
      <w:r w:rsidR="00744525" w:rsidRPr="00BB6220">
        <w:t>Any</w:t>
      </w:r>
      <w:r w:rsidR="003D640C">
        <w:t xml:space="preserve"> </w:t>
      </w:r>
      <w:r w:rsidR="00744525" w:rsidRPr="00BB6220">
        <w:t>children</w:t>
      </w:r>
      <w:r w:rsidR="003D640C">
        <w:t xml:space="preserve"> </w:t>
      </w:r>
      <w:r w:rsidR="00744525" w:rsidRPr="00BB6220">
        <w:t>from</w:t>
      </w:r>
      <w:r w:rsidR="003D640C">
        <w:t xml:space="preserve"> </w:t>
      </w:r>
      <w:r w:rsidR="00744525" w:rsidRPr="00BB6220">
        <w:t>these</w:t>
      </w:r>
      <w:r w:rsidR="003D640C">
        <w:t xml:space="preserve"> </w:t>
      </w:r>
      <w:r w:rsidR="00744525" w:rsidRPr="00BB6220">
        <w:t>relationships</w:t>
      </w:r>
      <w:r w:rsidR="003D640C">
        <w:t xml:space="preserve"> </w:t>
      </w:r>
      <w:r w:rsidR="005F4865">
        <w:t>may</w:t>
      </w:r>
      <w:r w:rsidR="003D640C">
        <w:t xml:space="preserve"> </w:t>
      </w:r>
      <w:r w:rsidR="00744525" w:rsidRPr="00BB6220">
        <w:t>similarly</w:t>
      </w:r>
      <w:r w:rsidR="003D640C">
        <w:t xml:space="preserve"> </w:t>
      </w:r>
      <w:r w:rsidR="00744525" w:rsidRPr="00BB6220">
        <w:t>experience</w:t>
      </w:r>
      <w:r w:rsidR="003D640C">
        <w:t xml:space="preserve"> </w:t>
      </w:r>
      <w:r w:rsidR="00744525" w:rsidRPr="00BB6220">
        <w:t>harm.</w:t>
      </w:r>
      <w:r w:rsidR="003D640C">
        <w:t xml:space="preserve"> </w:t>
      </w:r>
      <w:r w:rsidR="003A1BFD">
        <w:t>One</w:t>
      </w:r>
      <w:r w:rsidR="003D640C">
        <w:t xml:space="preserve"> </w:t>
      </w:r>
      <w:r w:rsidR="003A1BFD">
        <w:t>participant</w:t>
      </w:r>
      <w:r w:rsidR="003D640C">
        <w:t xml:space="preserve"> </w:t>
      </w:r>
      <w:r w:rsidR="003A1BFD">
        <w:t>we</w:t>
      </w:r>
      <w:r w:rsidR="003D640C">
        <w:t xml:space="preserve"> </w:t>
      </w:r>
      <w:r w:rsidR="003A1BFD">
        <w:t>engaged</w:t>
      </w:r>
      <w:r w:rsidR="003D640C">
        <w:t xml:space="preserve"> </w:t>
      </w:r>
      <w:r w:rsidR="003A1BFD">
        <w:t>with</w:t>
      </w:r>
      <w:r w:rsidR="003D640C">
        <w:t xml:space="preserve"> </w:t>
      </w:r>
      <w:r w:rsidR="003A1BFD">
        <w:t>described</w:t>
      </w:r>
      <w:r w:rsidR="003D640C">
        <w:t xml:space="preserve"> </w:t>
      </w:r>
      <w:r w:rsidR="003A1BFD">
        <w:t>the</w:t>
      </w:r>
      <w:r w:rsidR="003D640C">
        <w:t xml:space="preserve"> </w:t>
      </w:r>
      <w:r w:rsidR="00261BD2">
        <w:t>challenge</w:t>
      </w:r>
      <w:r w:rsidR="003D640C">
        <w:t xml:space="preserve"> </w:t>
      </w:r>
      <w:r w:rsidR="00261BD2">
        <w:t>of</w:t>
      </w:r>
      <w:r w:rsidR="003D640C">
        <w:t xml:space="preserve"> </w:t>
      </w:r>
      <w:r w:rsidR="00261BD2">
        <w:t>parenting</w:t>
      </w:r>
      <w:r w:rsidR="003D640C">
        <w:t xml:space="preserve"> </w:t>
      </w:r>
      <w:r w:rsidR="00261BD2">
        <w:t>while</w:t>
      </w:r>
      <w:r w:rsidR="003D640C">
        <w:t xml:space="preserve"> </w:t>
      </w:r>
      <w:r w:rsidR="00261BD2">
        <w:t>experiencing</w:t>
      </w:r>
      <w:r w:rsidR="003D640C">
        <w:t xml:space="preserve"> </w:t>
      </w:r>
      <w:r w:rsidR="00261BD2">
        <w:t>the</w:t>
      </w:r>
      <w:r w:rsidR="003D640C">
        <w:t xml:space="preserve"> </w:t>
      </w:r>
      <w:r w:rsidR="00261BD2">
        <w:t>mental</w:t>
      </w:r>
      <w:r w:rsidR="003D640C">
        <w:t xml:space="preserve"> </w:t>
      </w:r>
      <w:r w:rsidR="00261BD2">
        <w:t>health</w:t>
      </w:r>
      <w:r w:rsidR="003D640C">
        <w:t xml:space="preserve"> </w:t>
      </w:r>
      <w:r w:rsidR="00261BD2">
        <w:t>challenges</w:t>
      </w:r>
      <w:r w:rsidR="003D640C">
        <w:t xml:space="preserve"> </w:t>
      </w:r>
      <w:r w:rsidR="00606E43">
        <w:t>he</w:t>
      </w:r>
      <w:r w:rsidR="003D640C">
        <w:t xml:space="preserve"> </w:t>
      </w:r>
      <w:r w:rsidR="00606E43">
        <w:t>faced</w:t>
      </w:r>
      <w:r w:rsidR="003D640C">
        <w:t xml:space="preserve"> </w:t>
      </w:r>
      <w:r w:rsidR="00103C57">
        <w:t>related</w:t>
      </w:r>
      <w:r w:rsidR="003D640C">
        <w:t xml:space="preserve"> </w:t>
      </w:r>
      <w:r w:rsidR="00103C57">
        <w:t>to</w:t>
      </w:r>
      <w:r w:rsidR="003D640C">
        <w:t xml:space="preserve"> </w:t>
      </w:r>
      <w:r w:rsidR="00103C57">
        <w:t>conversion</w:t>
      </w:r>
      <w:r w:rsidR="003D640C">
        <w:t xml:space="preserve"> </w:t>
      </w:r>
      <w:r w:rsidR="00103C57">
        <w:t>practices</w:t>
      </w:r>
      <w:r w:rsidR="00521D2F">
        <w:t>.</w:t>
      </w:r>
      <w:r w:rsidR="003D640C">
        <w:t xml:space="preserve"> </w:t>
      </w:r>
    </w:p>
    <w:p w14:paraId="2A12EDA7" w14:textId="6D0DFBA9" w:rsidR="00103C57" w:rsidRPr="00BB6220" w:rsidRDefault="00103C57" w:rsidP="0068108F">
      <w:pPr>
        <w:pStyle w:val="Quote"/>
        <w:rPr>
          <w:rFonts w:ascii="Calibri" w:eastAsia="Calibri" w:hAnsi="Calibri" w:cs="Calibri"/>
          <w:color w:val="000000" w:themeColor="text1"/>
        </w:rPr>
      </w:pPr>
      <w:r w:rsidRPr="00BB6220">
        <w:t>“The</w:t>
      </w:r>
      <w:r w:rsidR="003D640C">
        <w:t xml:space="preserve"> </w:t>
      </w:r>
      <w:r w:rsidRPr="00BB6220">
        <w:t>times</w:t>
      </w:r>
      <w:r w:rsidR="003D640C">
        <w:t xml:space="preserve"> </w:t>
      </w:r>
      <w:r w:rsidRPr="00BB6220">
        <w:t>of</w:t>
      </w:r>
      <w:r w:rsidR="003D640C">
        <w:t xml:space="preserve"> </w:t>
      </w:r>
      <w:r w:rsidRPr="00BB6220">
        <w:t>depression</w:t>
      </w:r>
      <w:r w:rsidR="003D640C">
        <w:t xml:space="preserve"> </w:t>
      </w:r>
      <w:r w:rsidRPr="00BB6220">
        <w:t>were</w:t>
      </w:r>
      <w:r w:rsidR="003D640C">
        <w:t xml:space="preserve"> </w:t>
      </w:r>
      <w:r w:rsidRPr="00BB6220">
        <w:t>dreadful</w:t>
      </w:r>
      <w:r w:rsidR="003D640C">
        <w:t xml:space="preserve"> </w:t>
      </w:r>
      <w:r w:rsidRPr="00BB6220">
        <w:t>and</w:t>
      </w:r>
      <w:r w:rsidR="003D640C">
        <w:t xml:space="preserve"> </w:t>
      </w:r>
      <w:r w:rsidRPr="00BB6220">
        <w:t>I</w:t>
      </w:r>
      <w:r w:rsidR="003D640C">
        <w:t xml:space="preserve"> </w:t>
      </w:r>
      <w:r w:rsidRPr="00BB6220">
        <w:t>had</w:t>
      </w:r>
      <w:r w:rsidR="003D640C">
        <w:t xml:space="preserve"> </w:t>
      </w:r>
      <w:r w:rsidRPr="00BB6220">
        <w:t>a</w:t>
      </w:r>
      <w:r w:rsidR="003D640C">
        <w:t xml:space="preserve"> </w:t>
      </w:r>
      <w:r w:rsidRPr="00BB6220">
        <w:t>lot</w:t>
      </w:r>
      <w:r w:rsidR="003D640C">
        <w:t xml:space="preserve"> </w:t>
      </w:r>
      <w:r w:rsidRPr="00BB6220">
        <w:t>of</w:t>
      </w:r>
      <w:r w:rsidR="003D640C">
        <w:t xml:space="preserve"> </w:t>
      </w:r>
      <w:r w:rsidRPr="00BB6220">
        <w:t>suicide</w:t>
      </w:r>
      <w:r w:rsidR="003D640C">
        <w:t xml:space="preserve"> </w:t>
      </w:r>
      <w:r w:rsidRPr="00BB6220">
        <w:t>ideation.</w:t>
      </w:r>
      <w:r w:rsidR="003D640C">
        <w:t xml:space="preserve"> </w:t>
      </w:r>
      <w:r w:rsidRPr="00BB6220">
        <w:t>In</w:t>
      </w:r>
      <w:r w:rsidR="003D640C">
        <w:t xml:space="preserve"> </w:t>
      </w:r>
      <w:r w:rsidRPr="00BB6220">
        <w:t>the</w:t>
      </w:r>
      <w:r w:rsidR="003D640C">
        <w:t xml:space="preserve"> </w:t>
      </w:r>
      <w:r w:rsidRPr="00BB6220">
        <w:t>middle</w:t>
      </w:r>
      <w:r w:rsidR="003D640C">
        <w:t xml:space="preserve"> </w:t>
      </w:r>
      <w:r w:rsidRPr="00BB6220">
        <w:t>of</w:t>
      </w:r>
      <w:r w:rsidR="003D640C">
        <w:t xml:space="preserve"> </w:t>
      </w:r>
      <w:r w:rsidRPr="00BB6220">
        <w:t>all</w:t>
      </w:r>
      <w:r w:rsidR="003D640C">
        <w:t xml:space="preserve"> </w:t>
      </w:r>
      <w:r w:rsidRPr="00BB6220">
        <w:t>that</w:t>
      </w:r>
      <w:r w:rsidR="003D640C">
        <w:t xml:space="preserve"> </w:t>
      </w:r>
      <w:r w:rsidRPr="00BB6220">
        <w:t>I</w:t>
      </w:r>
      <w:r w:rsidR="003D640C">
        <w:t xml:space="preserve"> </w:t>
      </w:r>
      <w:r w:rsidRPr="00BB6220">
        <w:t>had</w:t>
      </w:r>
      <w:r w:rsidR="003D640C">
        <w:t xml:space="preserve"> </w:t>
      </w:r>
      <w:r w:rsidRPr="00BB6220">
        <w:t>to</w:t>
      </w:r>
      <w:r w:rsidR="003D640C">
        <w:t xml:space="preserve"> </w:t>
      </w:r>
      <w:r w:rsidRPr="00BB6220">
        <w:t>pretend</w:t>
      </w:r>
      <w:r w:rsidR="003D640C">
        <w:t xml:space="preserve"> </w:t>
      </w:r>
      <w:r w:rsidRPr="00BB6220">
        <w:t>to</w:t>
      </w:r>
      <w:r w:rsidR="003D640C">
        <w:t xml:space="preserve"> </w:t>
      </w:r>
      <w:r w:rsidRPr="00BB6220">
        <w:t>be</w:t>
      </w:r>
      <w:r w:rsidR="003D640C">
        <w:t xml:space="preserve"> </w:t>
      </w:r>
      <w:r w:rsidRPr="00BB6220">
        <w:t>a</w:t>
      </w:r>
      <w:r w:rsidR="003D640C">
        <w:t xml:space="preserve"> </w:t>
      </w:r>
      <w:r w:rsidRPr="00BB6220">
        <w:t>happy</w:t>
      </w:r>
      <w:r w:rsidR="003D640C">
        <w:t xml:space="preserve"> </w:t>
      </w:r>
      <w:r w:rsidRPr="00BB6220">
        <w:t>husband</w:t>
      </w:r>
      <w:r w:rsidR="003D640C">
        <w:t xml:space="preserve"> </w:t>
      </w:r>
      <w:r w:rsidRPr="00BB6220">
        <w:t>and</w:t>
      </w:r>
      <w:r w:rsidR="003D640C">
        <w:t xml:space="preserve"> </w:t>
      </w:r>
      <w:r w:rsidRPr="00BB6220">
        <w:t>happy</w:t>
      </w:r>
      <w:r w:rsidR="003D640C">
        <w:t xml:space="preserve"> </w:t>
      </w:r>
      <w:r w:rsidRPr="00BB6220">
        <w:t>father.</w:t>
      </w:r>
      <w:r w:rsidR="003D640C">
        <w:t xml:space="preserve"> </w:t>
      </w:r>
      <w:r w:rsidRPr="00BB6220">
        <w:t>So,</w:t>
      </w:r>
      <w:r w:rsidR="003D640C">
        <w:t xml:space="preserve"> </w:t>
      </w:r>
      <w:r w:rsidRPr="00BB6220">
        <w:t>for</w:t>
      </w:r>
      <w:r w:rsidR="003D640C">
        <w:t xml:space="preserve"> </w:t>
      </w:r>
      <w:r w:rsidRPr="00BB6220">
        <w:t>anybody</w:t>
      </w:r>
      <w:r w:rsidR="003D640C">
        <w:t xml:space="preserve"> </w:t>
      </w:r>
      <w:r w:rsidRPr="00BB6220">
        <w:t>who</w:t>
      </w:r>
      <w:r w:rsidR="003D640C">
        <w:t xml:space="preserve"> </w:t>
      </w:r>
      <w:r w:rsidRPr="00BB6220">
        <w:t>asked</w:t>
      </w:r>
      <w:r w:rsidR="00521D2F">
        <w:t>,</w:t>
      </w:r>
      <w:r w:rsidR="003D640C">
        <w:t xml:space="preserve"> </w:t>
      </w:r>
      <w:r w:rsidRPr="00BB6220">
        <w:t>I</w:t>
      </w:r>
      <w:r w:rsidR="003D640C">
        <w:t xml:space="preserve"> </w:t>
      </w:r>
      <w:r w:rsidRPr="00BB6220">
        <w:t>was</w:t>
      </w:r>
      <w:r w:rsidR="003D640C">
        <w:t xml:space="preserve"> </w:t>
      </w:r>
      <w:r w:rsidRPr="00BB6220">
        <w:t>great,</w:t>
      </w:r>
      <w:r w:rsidR="003D640C">
        <w:t xml:space="preserve"> </w:t>
      </w:r>
      <w:r w:rsidRPr="00BB6220">
        <w:t>I</w:t>
      </w:r>
      <w:r w:rsidR="003D640C">
        <w:t xml:space="preserve"> </w:t>
      </w:r>
      <w:r w:rsidRPr="00BB6220">
        <w:t>was</w:t>
      </w:r>
      <w:r w:rsidR="003D640C">
        <w:t xml:space="preserve"> </w:t>
      </w:r>
      <w:r w:rsidRPr="00BB6220">
        <w:t>free</w:t>
      </w:r>
      <w:r w:rsidR="003D640C">
        <w:t xml:space="preserve"> </w:t>
      </w:r>
      <w:r w:rsidRPr="00BB6220">
        <w:t>from</w:t>
      </w:r>
      <w:r w:rsidR="003D640C">
        <w:t xml:space="preserve"> </w:t>
      </w:r>
      <w:r w:rsidRPr="00BB6220">
        <w:t>this,</w:t>
      </w:r>
      <w:r w:rsidR="003D640C">
        <w:t xml:space="preserve"> </w:t>
      </w:r>
      <w:r w:rsidRPr="00BB6220">
        <w:t>but</w:t>
      </w:r>
      <w:r w:rsidR="003D640C">
        <w:t xml:space="preserve"> </w:t>
      </w:r>
      <w:r w:rsidRPr="00BB6220">
        <w:t>of</w:t>
      </w:r>
      <w:r w:rsidR="003D640C">
        <w:t xml:space="preserve"> </w:t>
      </w:r>
      <w:r w:rsidRPr="00BB6220">
        <w:t>course</w:t>
      </w:r>
      <w:r w:rsidR="003D640C">
        <w:t xml:space="preserve"> </w:t>
      </w:r>
      <w:r w:rsidRPr="00BB6220">
        <w:t>my</w:t>
      </w:r>
      <w:r w:rsidR="003D640C">
        <w:t xml:space="preserve"> </w:t>
      </w:r>
      <w:r w:rsidRPr="00BB6220">
        <w:t>private</w:t>
      </w:r>
      <w:r w:rsidR="003D640C">
        <w:t xml:space="preserve"> </w:t>
      </w:r>
      <w:r w:rsidRPr="00BB6220">
        <w:t>life</w:t>
      </w:r>
      <w:r w:rsidR="003D640C">
        <w:t xml:space="preserve"> </w:t>
      </w:r>
      <w:r w:rsidRPr="00BB6220">
        <w:t>in</w:t>
      </w:r>
      <w:r w:rsidR="003D640C">
        <w:t xml:space="preserve"> </w:t>
      </w:r>
      <w:r w:rsidRPr="00BB6220">
        <w:t>my</w:t>
      </w:r>
      <w:r w:rsidR="003D640C">
        <w:t xml:space="preserve"> </w:t>
      </w:r>
      <w:r w:rsidRPr="00BB6220">
        <w:t>head</w:t>
      </w:r>
      <w:r w:rsidR="003D640C">
        <w:t xml:space="preserve"> </w:t>
      </w:r>
      <w:r w:rsidRPr="00BB6220">
        <w:t>was</w:t>
      </w:r>
      <w:r w:rsidR="003D640C">
        <w:t xml:space="preserve"> </w:t>
      </w:r>
      <w:r w:rsidRPr="00BB6220">
        <w:t>like,</w:t>
      </w:r>
      <w:r w:rsidR="003D640C">
        <w:t xml:space="preserve"> </w:t>
      </w:r>
      <w:r w:rsidRPr="00BB6220">
        <w:t>‘I</w:t>
      </w:r>
      <w:r w:rsidR="003D640C">
        <w:t xml:space="preserve"> </w:t>
      </w:r>
      <w:r w:rsidRPr="00BB6220">
        <w:t>don’t</w:t>
      </w:r>
      <w:r w:rsidR="003D640C">
        <w:t xml:space="preserve"> </w:t>
      </w:r>
      <w:r w:rsidRPr="00BB6220">
        <w:t>know</w:t>
      </w:r>
      <w:r w:rsidR="003D640C">
        <w:t xml:space="preserve"> </w:t>
      </w:r>
      <w:r w:rsidRPr="00BB6220">
        <w:t>how</w:t>
      </w:r>
      <w:r w:rsidR="003D640C">
        <w:t xml:space="preserve"> </w:t>
      </w:r>
      <w:r w:rsidRPr="00BB6220">
        <w:t>I’m</w:t>
      </w:r>
      <w:r w:rsidR="003D640C">
        <w:t xml:space="preserve"> </w:t>
      </w:r>
      <w:r w:rsidRPr="00BB6220">
        <w:t>going</w:t>
      </w:r>
      <w:r w:rsidR="003D640C">
        <w:t xml:space="preserve"> </w:t>
      </w:r>
      <w:r w:rsidRPr="00BB6220">
        <w:t>to</w:t>
      </w:r>
      <w:r w:rsidR="003D640C">
        <w:t xml:space="preserve"> </w:t>
      </w:r>
      <w:r w:rsidRPr="00BB6220">
        <w:t>survive.’”</w:t>
      </w:r>
      <w:r w:rsidR="003D640C">
        <w:t xml:space="preserve"> </w:t>
      </w:r>
      <w:r w:rsidRPr="00BB6220">
        <w:rPr>
          <w:rFonts w:ascii="Calibri" w:eastAsia="Calibri" w:hAnsi="Calibri" w:cs="Calibri"/>
          <w:color w:val="000000" w:themeColor="text1"/>
        </w:rPr>
        <w:t>Pākehā</w:t>
      </w:r>
      <w:r w:rsidRPr="00BB6220">
        <w:t>,</w:t>
      </w:r>
      <w:r w:rsidR="003D640C">
        <w:t xml:space="preserve"> </w:t>
      </w:r>
      <w:r w:rsidRPr="00BB6220">
        <w:t>male.</w:t>
      </w:r>
    </w:p>
    <w:p w14:paraId="2AF7C735" w14:textId="714185D0" w:rsidR="00501068" w:rsidRDefault="005511C2" w:rsidP="0068108F">
      <w:r w:rsidRPr="00BB6220">
        <w:t>Some</w:t>
      </w:r>
      <w:r w:rsidR="003D640C">
        <w:t xml:space="preserve"> </w:t>
      </w:r>
      <w:r w:rsidR="00744525" w:rsidRPr="00BB6220">
        <w:t>Rainbow</w:t>
      </w:r>
      <w:r w:rsidR="003D640C">
        <w:t xml:space="preserve"> </w:t>
      </w:r>
      <w:r w:rsidR="00744525" w:rsidRPr="00BB6220">
        <w:t>people</w:t>
      </w:r>
      <w:r w:rsidR="003D640C">
        <w:t xml:space="preserve"> </w:t>
      </w:r>
      <w:r w:rsidRPr="00BB6220">
        <w:t>may</w:t>
      </w:r>
      <w:r w:rsidR="003D640C">
        <w:t xml:space="preserve"> </w:t>
      </w:r>
      <w:r w:rsidRPr="00BB6220">
        <w:t>try</w:t>
      </w:r>
      <w:r w:rsidR="003D640C">
        <w:t xml:space="preserve"> </w:t>
      </w:r>
      <w:r w:rsidRPr="00BB6220">
        <w:t>to</w:t>
      </w:r>
      <w:r w:rsidR="003D640C">
        <w:t xml:space="preserve"> </w:t>
      </w:r>
      <w:r w:rsidRPr="00BB6220">
        <w:t>persist</w:t>
      </w:r>
      <w:r w:rsidR="003D640C">
        <w:t xml:space="preserve"> </w:t>
      </w:r>
      <w:r w:rsidRPr="00BB6220">
        <w:t>in</w:t>
      </w:r>
      <w:r w:rsidR="003D640C">
        <w:t xml:space="preserve"> </w:t>
      </w:r>
      <w:r w:rsidR="005F79C2" w:rsidRPr="00BB6220">
        <w:t>their</w:t>
      </w:r>
      <w:r w:rsidR="003D640C">
        <w:t xml:space="preserve"> </w:t>
      </w:r>
      <w:r w:rsidR="005F79C2" w:rsidRPr="00BB6220">
        <w:t>mixed</w:t>
      </w:r>
      <w:r w:rsidR="003D640C">
        <w:t xml:space="preserve"> </w:t>
      </w:r>
      <w:r w:rsidR="005F79C2" w:rsidRPr="00BB6220">
        <w:t>orientation</w:t>
      </w:r>
      <w:r w:rsidR="003D640C">
        <w:t xml:space="preserve"> </w:t>
      </w:r>
      <w:r w:rsidR="005F79C2" w:rsidRPr="00BB6220">
        <w:t>marriage,</w:t>
      </w:r>
      <w:r w:rsidR="003D640C">
        <w:t xml:space="preserve"> </w:t>
      </w:r>
      <w:r w:rsidR="003F1DB2" w:rsidRPr="00BB6220">
        <w:t>but</w:t>
      </w:r>
      <w:r w:rsidR="003D640C">
        <w:t xml:space="preserve"> </w:t>
      </w:r>
      <w:r w:rsidR="54065BC9" w:rsidRPr="00BB6220">
        <w:t>many</w:t>
      </w:r>
      <w:r w:rsidR="003D640C">
        <w:t xml:space="preserve"> </w:t>
      </w:r>
      <w:r w:rsidR="00324A07" w:rsidRPr="00BB6220">
        <w:t>end</w:t>
      </w:r>
      <w:r w:rsidR="003D640C">
        <w:t xml:space="preserve"> </w:t>
      </w:r>
      <w:r w:rsidR="00324A07" w:rsidRPr="00BB6220">
        <w:t>in</w:t>
      </w:r>
      <w:r w:rsidR="003D640C">
        <w:t xml:space="preserve"> </w:t>
      </w:r>
      <w:r w:rsidR="00324A07" w:rsidRPr="00BB6220">
        <w:t>divorce</w:t>
      </w:r>
      <w:r w:rsidR="00A8269F" w:rsidRPr="00BB6220">
        <w:t>.</w:t>
      </w:r>
      <w:r w:rsidR="004902EE" w:rsidRPr="00BB6220">
        <w:rPr>
          <w:vertAlign w:val="superscript"/>
        </w:rPr>
        <w:footnoteReference w:id="142"/>
      </w:r>
      <w:r w:rsidR="004902EE" w:rsidRPr="00BB6220" w:rsidDel="008E1CCA">
        <w:t xml:space="preserve"> </w:t>
      </w:r>
    </w:p>
    <w:p w14:paraId="284B0A04" w14:textId="79B7653C" w:rsidR="00501068" w:rsidRDefault="00D527F0" w:rsidP="0068108F">
      <w:r w:rsidRPr="00BB6220">
        <w:t>Community</w:t>
      </w:r>
      <w:r w:rsidR="003D640C">
        <w:t xml:space="preserve"> </w:t>
      </w:r>
      <w:r w:rsidRPr="00BB6220">
        <w:t>harm</w:t>
      </w:r>
      <w:r w:rsidR="003D640C">
        <w:t xml:space="preserve"> </w:t>
      </w:r>
      <w:r w:rsidR="00EF09D8">
        <w:t>may</w:t>
      </w:r>
      <w:r w:rsidR="003D640C">
        <w:t xml:space="preserve"> </w:t>
      </w:r>
      <w:r w:rsidRPr="00BB6220">
        <w:t>also</w:t>
      </w:r>
      <w:r w:rsidR="003D640C">
        <w:t xml:space="preserve"> </w:t>
      </w:r>
      <w:r w:rsidR="004703DF">
        <w:t>be</w:t>
      </w:r>
      <w:r w:rsidR="003D640C">
        <w:t xml:space="preserve"> </w:t>
      </w:r>
      <w:r w:rsidRPr="00BB6220">
        <w:t>experienced.</w:t>
      </w:r>
      <w:r w:rsidR="003D640C">
        <w:t xml:space="preserve"> </w:t>
      </w:r>
      <w:r w:rsidRPr="00BB6220">
        <w:t>When</w:t>
      </w:r>
      <w:r w:rsidR="003D640C">
        <w:t xml:space="preserve"> </w:t>
      </w:r>
      <w:r w:rsidRPr="00BB6220">
        <w:t>survivors</w:t>
      </w:r>
      <w:r w:rsidR="003D640C">
        <w:t xml:space="preserve"> </w:t>
      </w:r>
      <w:r w:rsidRPr="00BB6220">
        <w:t>withdraw</w:t>
      </w:r>
      <w:r w:rsidR="003D640C">
        <w:t xml:space="preserve"> </w:t>
      </w:r>
      <w:r w:rsidRPr="00BB6220">
        <w:t>from</w:t>
      </w:r>
      <w:r w:rsidR="003D640C">
        <w:t xml:space="preserve"> </w:t>
      </w:r>
      <w:r w:rsidRPr="00BB6220">
        <w:t>non-affirming</w:t>
      </w:r>
      <w:r w:rsidR="003D640C">
        <w:t xml:space="preserve"> </w:t>
      </w:r>
      <w:r w:rsidRPr="00BB6220">
        <w:t>groups</w:t>
      </w:r>
      <w:r w:rsidR="00931BE4" w:rsidRPr="00BB6220">
        <w:t>,</w:t>
      </w:r>
      <w:r w:rsidR="003D640C">
        <w:t xml:space="preserve"> </w:t>
      </w:r>
      <w:r w:rsidRPr="00BB6220">
        <w:t>their</w:t>
      </w:r>
      <w:r w:rsidR="003D640C">
        <w:t xml:space="preserve"> </w:t>
      </w:r>
      <w:r w:rsidRPr="00BB6220">
        <w:t>contribution</w:t>
      </w:r>
      <w:r w:rsidR="003D640C">
        <w:t xml:space="preserve"> </w:t>
      </w:r>
      <w:r w:rsidRPr="00BB6220">
        <w:t>is</w:t>
      </w:r>
      <w:r w:rsidR="003D640C">
        <w:t xml:space="preserve"> </w:t>
      </w:r>
      <w:r w:rsidRPr="00BB6220">
        <w:t>lost.</w:t>
      </w:r>
      <w:r w:rsidR="003D640C">
        <w:t xml:space="preserve"> </w:t>
      </w:r>
      <w:r w:rsidRPr="00BB6220">
        <w:t>Survivors</w:t>
      </w:r>
      <w:r w:rsidR="003D640C">
        <w:t xml:space="preserve"> </w:t>
      </w:r>
      <w:r w:rsidRPr="00BB6220">
        <w:t>say</w:t>
      </w:r>
      <w:r w:rsidR="003D640C">
        <w:t xml:space="preserve"> </w:t>
      </w:r>
      <w:r w:rsidRPr="00BB6220">
        <w:t>it</w:t>
      </w:r>
      <w:r w:rsidR="003D640C">
        <w:t xml:space="preserve"> </w:t>
      </w:r>
      <w:r w:rsidR="00FF5CEE" w:rsidRPr="00BB6220">
        <w:t>is</w:t>
      </w:r>
      <w:r w:rsidR="003D640C">
        <w:t xml:space="preserve"> </w:t>
      </w:r>
      <w:r w:rsidRPr="00BB6220">
        <w:t>common</w:t>
      </w:r>
      <w:r w:rsidR="003D640C">
        <w:t xml:space="preserve"> </w:t>
      </w:r>
      <w:r w:rsidRPr="00BB6220">
        <w:t>for</w:t>
      </w:r>
      <w:r w:rsidR="003D640C">
        <w:t xml:space="preserve"> </w:t>
      </w:r>
      <w:r w:rsidRPr="00BB6220">
        <w:t>them</w:t>
      </w:r>
      <w:r w:rsidR="003D640C">
        <w:t xml:space="preserve"> </w:t>
      </w:r>
      <w:r w:rsidRPr="00BB6220">
        <w:t>to</w:t>
      </w:r>
      <w:r w:rsidR="003D640C">
        <w:t xml:space="preserve"> </w:t>
      </w:r>
      <w:r w:rsidRPr="00BB6220">
        <w:t>have</w:t>
      </w:r>
      <w:r w:rsidR="003D640C">
        <w:t xml:space="preserve"> </w:t>
      </w:r>
      <w:r w:rsidRPr="00BB6220">
        <w:t>to</w:t>
      </w:r>
      <w:r w:rsidR="003D640C">
        <w:t xml:space="preserve"> </w:t>
      </w:r>
      <w:r w:rsidRPr="00BB6220">
        <w:t>leave</w:t>
      </w:r>
      <w:r w:rsidR="003D640C">
        <w:t xml:space="preserve"> </w:t>
      </w:r>
      <w:r w:rsidRPr="00BB6220">
        <w:t>volunteer</w:t>
      </w:r>
      <w:r w:rsidR="003D640C">
        <w:t xml:space="preserve"> </w:t>
      </w:r>
      <w:r w:rsidRPr="00BB6220">
        <w:t>or</w:t>
      </w:r>
      <w:r w:rsidR="003D640C">
        <w:t xml:space="preserve"> </w:t>
      </w:r>
      <w:r w:rsidRPr="00BB6220">
        <w:t>recreational</w:t>
      </w:r>
      <w:r w:rsidR="003D640C">
        <w:t xml:space="preserve"> </w:t>
      </w:r>
      <w:r w:rsidRPr="00BB6220">
        <w:t>activities.</w:t>
      </w:r>
      <w:r w:rsidR="003D640C">
        <w:t xml:space="preserve"> </w:t>
      </w:r>
      <w:r w:rsidRPr="00BB6220">
        <w:t>These</w:t>
      </w:r>
      <w:r w:rsidR="003D640C">
        <w:t xml:space="preserve"> </w:t>
      </w:r>
      <w:r w:rsidRPr="00BB6220">
        <w:t>are</w:t>
      </w:r>
      <w:r w:rsidR="003D640C">
        <w:t xml:space="preserve"> </w:t>
      </w:r>
      <w:r w:rsidRPr="00BB6220">
        <w:t>often</w:t>
      </w:r>
      <w:r w:rsidR="003D640C">
        <w:t xml:space="preserve"> </w:t>
      </w:r>
      <w:r w:rsidRPr="00BB6220">
        <w:t>tied</w:t>
      </w:r>
      <w:r w:rsidR="003D640C">
        <w:t xml:space="preserve"> </w:t>
      </w:r>
      <w:r w:rsidRPr="00BB6220">
        <w:t>to</w:t>
      </w:r>
      <w:r w:rsidR="003D640C">
        <w:t xml:space="preserve"> </w:t>
      </w:r>
      <w:r w:rsidRPr="00BB6220">
        <w:t>faith</w:t>
      </w:r>
      <w:r w:rsidR="003D640C">
        <w:t xml:space="preserve"> </w:t>
      </w:r>
      <w:r w:rsidRPr="00BB6220">
        <w:t>communities</w:t>
      </w:r>
      <w:r w:rsidR="003D640C">
        <w:t xml:space="preserve"> </w:t>
      </w:r>
      <w:r w:rsidRPr="00BB6220">
        <w:t>or</w:t>
      </w:r>
      <w:r w:rsidR="003D640C">
        <w:t xml:space="preserve"> </w:t>
      </w:r>
      <w:r w:rsidRPr="00BB6220">
        <w:t>contain</w:t>
      </w:r>
      <w:r w:rsidR="003D640C">
        <w:t xml:space="preserve"> </w:t>
      </w:r>
      <w:r w:rsidRPr="00BB6220">
        <w:t>people</w:t>
      </w:r>
      <w:r w:rsidR="003D640C">
        <w:t xml:space="preserve"> </w:t>
      </w:r>
      <w:r w:rsidRPr="00BB6220">
        <w:t>who</w:t>
      </w:r>
      <w:r w:rsidR="003D640C">
        <w:t xml:space="preserve"> </w:t>
      </w:r>
      <w:r w:rsidRPr="00BB6220">
        <w:t>do</w:t>
      </w:r>
      <w:r w:rsidR="003D640C">
        <w:t xml:space="preserve"> </w:t>
      </w:r>
      <w:r w:rsidRPr="00BB6220">
        <w:t>not</w:t>
      </w:r>
      <w:r w:rsidR="003D640C">
        <w:t xml:space="preserve"> </w:t>
      </w:r>
      <w:r w:rsidRPr="00BB6220">
        <w:t>affirm</w:t>
      </w:r>
      <w:r w:rsidR="003D640C">
        <w:t xml:space="preserve"> </w:t>
      </w:r>
      <w:r w:rsidRPr="00BB6220">
        <w:t>the</w:t>
      </w:r>
      <w:r w:rsidR="003D640C">
        <w:t xml:space="preserve"> </w:t>
      </w:r>
      <w:r w:rsidRPr="00BB6220">
        <w:t>survivor</w:t>
      </w:r>
      <w:r w:rsidR="001B3B34" w:rsidRPr="00BB6220">
        <w:t>’</w:t>
      </w:r>
      <w:r w:rsidRPr="00BB6220">
        <w:t>s</w:t>
      </w:r>
      <w:r w:rsidR="003D640C">
        <w:t xml:space="preserve"> </w:t>
      </w:r>
      <w:r w:rsidRPr="00BB6220">
        <w:t>journey.</w:t>
      </w:r>
      <w:r w:rsidRPr="00BB6220" w:rsidDel="008E1CCA">
        <w:t xml:space="preserve"> </w:t>
      </w:r>
    </w:p>
    <w:p w14:paraId="728FA5ED" w14:textId="3D9EE67E" w:rsidR="00D527F0" w:rsidRPr="00BB6220" w:rsidRDefault="00282934" w:rsidP="0068108F">
      <w:r>
        <w:t>Building</w:t>
      </w:r>
      <w:r w:rsidR="003D640C">
        <w:t xml:space="preserve"> </w:t>
      </w:r>
      <w:r>
        <w:t>on</w:t>
      </w:r>
      <w:r w:rsidR="003D640C">
        <w:t xml:space="preserve"> </w:t>
      </w:r>
      <w:r>
        <w:t>the</w:t>
      </w:r>
      <w:r w:rsidR="003D640C">
        <w:t xml:space="preserve"> </w:t>
      </w:r>
      <w:r>
        <w:t>model</w:t>
      </w:r>
      <w:r w:rsidR="003D640C">
        <w:t xml:space="preserve"> </w:t>
      </w:r>
      <w:r>
        <w:t>developed</w:t>
      </w:r>
      <w:r w:rsidR="003D640C">
        <w:t xml:space="preserve"> </w:t>
      </w:r>
      <w:r>
        <w:t>in</w:t>
      </w:r>
      <w:r w:rsidR="003D640C">
        <w:t xml:space="preserve"> </w:t>
      </w:r>
      <w:r>
        <w:t>Figure</w:t>
      </w:r>
      <w:r w:rsidR="003D640C">
        <w:t xml:space="preserve"> </w:t>
      </w:r>
      <w:r w:rsidR="00CD23EF">
        <w:t>7</w:t>
      </w:r>
      <w:r>
        <w:t>,</w:t>
      </w:r>
      <w:r w:rsidR="003D640C">
        <w:t xml:space="preserve"> </w:t>
      </w:r>
      <w:r>
        <w:t>the</w:t>
      </w:r>
      <w:r w:rsidR="003D640C">
        <w:t xml:space="preserve"> </w:t>
      </w:r>
      <w:r>
        <w:t>team</w:t>
      </w:r>
      <w:r w:rsidR="003D640C">
        <w:t xml:space="preserve"> </w:t>
      </w:r>
      <w:r>
        <w:t>developed</w:t>
      </w:r>
      <w:r w:rsidR="003D640C">
        <w:t xml:space="preserve"> </w:t>
      </w:r>
      <w:r>
        <w:t>a</w:t>
      </w:r>
      <w:r w:rsidR="003D640C">
        <w:t xml:space="preserve"> </w:t>
      </w:r>
      <w:r>
        <w:t>multidimensional</w:t>
      </w:r>
      <w:r w:rsidR="003D640C">
        <w:t xml:space="preserve"> </w:t>
      </w:r>
      <w:r>
        <w:t>model</w:t>
      </w:r>
      <w:r w:rsidR="003D640C" w:rsidDel="00CD4B56">
        <w:t xml:space="preserve"> </w:t>
      </w:r>
      <w:r>
        <w:t>to</w:t>
      </w:r>
      <w:r w:rsidR="003D640C">
        <w:t xml:space="preserve"> </w:t>
      </w:r>
      <w:r>
        <w:t>illustrate</w:t>
      </w:r>
      <w:r w:rsidR="003D640C">
        <w:t xml:space="preserve"> </w:t>
      </w:r>
      <w:r>
        <w:t>how</w:t>
      </w:r>
      <w:r w:rsidR="003D640C">
        <w:t xml:space="preserve"> </w:t>
      </w:r>
      <w:r>
        <w:t>the</w:t>
      </w:r>
      <w:r w:rsidR="003D640C">
        <w:t xml:space="preserve"> </w:t>
      </w:r>
      <w:r>
        <w:t>mental,</w:t>
      </w:r>
      <w:r w:rsidR="003D640C">
        <w:t xml:space="preserve"> </w:t>
      </w:r>
      <w:r>
        <w:t>physical</w:t>
      </w:r>
      <w:r w:rsidR="00521D2F">
        <w:t>,</w:t>
      </w:r>
      <w:r w:rsidR="003D640C">
        <w:t xml:space="preserve"> </w:t>
      </w:r>
      <w:r>
        <w:t>and</w:t>
      </w:r>
      <w:r w:rsidR="003D640C">
        <w:t xml:space="preserve"> </w:t>
      </w:r>
      <w:r>
        <w:t>spiritual</w:t>
      </w:r>
      <w:r w:rsidR="003D640C">
        <w:t xml:space="preserve"> </w:t>
      </w:r>
      <w:r>
        <w:t>harms</w:t>
      </w:r>
      <w:r w:rsidR="003D640C">
        <w:t xml:space="preserve"> </w:t>
      </w:r>
      <w:r>
        <w:t>experienced</w:t>
      </w:r>
      <w:r w:rsidR="003D640C">
        <w:t xml:space="preserve"> </w:t>
      </w:r>
      <w:r>
        <w:t>by</w:t>
      </w:r>
      <w:r w:rsidR="003D640C">
        <w:t xml:space="preserve"> </w:t>
      </w:r>
      <w:r>
        <w:t>a</w:t>
      </w:r>
      <w:r w:rsidR="003D640C">
        <w:t xml:space="preserve"> </w:t>
      </w:r>
      <w:r>
        <w:t>survivor</w:t>
      </w:r>
      <w:r w:rsidR="003D640C">
        <w:t xml:space="preserve"> </w:t>
      </w:r>
      <w:r>
        <w:t>have</w:t>
      </w:r>
      <w:r w:rsidR="003D640C">
        <w:t xml:space="preserve"> </w:t>
      </w:r>
      <w:r>
        <w:t>impacts</w:t>
      </w:r>
      <w:r w:rsidR="003D640C">
        <w:t xml:space="preserve"> </w:t>
      </w:r>
      <w:r>
        <w:t>beyond</w:t>
      </w:r>
      <w:r w:rsidR="003D640C">
        <w:t xml:space="preserve"> </w:t>
      </w:r>
      <w:r>
        <w:t>them</w:t>
      </w:r>
      <w:r w:rsidR="00826993">
        <w:t>,</w:t>
      </w:r>
      <w:r w:rsidR="003D640C">
        <w:t xml:space="preserve"> </w:t>
      </w:r>
      <w:r w:rsidR="00826993">
        <w:t>extending</w:t>
      </w:r>
      <w:r w:rsidR="003D640C">
        <w:t xml:space="preserve"> </w:t>
      </w:r>
      <w:r>
        <w:t>to</w:t>
      </w:r>
      <w:r w:rsidR="003D640C">
        <w:t xml:space="preserve"> </w:t>
      </w:r>
      <w:r>
        <w:t>their</w:t>
      </w:r>
      <w:r w:rsidR="003D640C">
        <w:t xml:space="preserve"> </w:t>
      </w:r>
      <w:r>
        <w:t>whānau</w:t>
      </w:r>
      <w:r w:rsidR="003D640C">
        <w:t xml:space="preserve"> </w:t>
      </w:r>
      <w:r>
        <w:t>and</w:t>
      </w:r>
      <w:r w:rsidR="003D640C">
        <w:t xml:space="preserve"> </w:t>
      </w:r>
      <w:r>
        <w:t>community</w:t>
      </w:r>
      <w:r w:rsidR="00CD4B56">
        <w:t xml:space="preserve"> (Figure 8)</w:t>
      </w:r>
      <w:r>
        <w:t>.</w:t>
      </w:r>
    </w:p>
    <w:p w14:paraId="47CAAC2A" w14:textId="3276E09B" w:rsidR="00D527F0" w:rsidRPr="00BB6220" w:rsidRDefault="00201D10" w:rsidP="0068108F">
      <w:r>
        <w:rPr>
          <w:noProof/>
          <w:sz w:val="16"/>
          <w:szCs w:val="16"/>
        </w:rPr>
        <w:lastRenderedPageBreak/>
        <w:drawing>
          <wp:inline distT="0" distB="0" distL="0" distR="0" wp14:anchorId="159375E0" wp14:editId="3543BE31">
            <wp:extent cx="5731510" cy="4138295"/>
            <wp:effectExtent l="0" t="0" r="2540" b="0"/>
            <wp:docPr id="1062849157" name="Picture 2" descr="A diagram of the health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9157" name="Picture 2" descr="A diagram of the health system&#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731510" cy="4138295"/>
                    </a:xfrm>
                    <a:prstGeom prst="rect">
                      <a:avLst/>
                    </a:prstGeom>
                  </pic:spPr>
                </pic:pic>
              </a:graphicData>
            </a:graphic>
          </wp:inline>
        </w:drawing>
      </w:r>
    </w:p>
    <w:p w14:paraId="6527584F" w14:textId="0452D4D0" w:rsidR="005B2A50" w:rsidRPr="00B1465F" w:rsidRDefault="007B527F" w:rsidP="007B527F">
      <w:pPr>
        <w:pStyle w:val="Caption"/>
      </w:pPr>
      <w:bookmarkStart w:id="205" w:name="_Toc174628735"/>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8</w:t>
      </w:r>
      <w:r w:rsidRPr="007B527F">
        <w:fldChar w:fldCharType="end"/>
      </w:r>
      <w:r w:rsidR="005B2A50" w:rsidRPr="00B1465F">
        <w:t>:</w:t>
      </w:r>
      <w:r w:rsidR="003D640C">
        <w:t xml:space="preserve"> </w:t>
      </w:r>
      <w:r w:rsidR="005B2A50" w:rsidRPr="00B1465F">
        <w:t>Model</w:t>
      </w:r>
      <w:r w:rsidR="003D640C">
        <w:t xml:space="preserve"> </w:t>
      </w:r>
      <w:r w:rsidR="005B2A50" w:rsidRPr="00B1465F">
        <w:t>of</w:t>
      </w:r>
      <w:r w:rsidR="003D640C">
        <w:t xml:space="preserve"> </w:t>
      </w:r>
      <w:r w:rsidR="005B2A50" w:rsidRPr="00B1465F">
        <w:t>multidimensional</w:t>
      </w:r>
      <w:r w:rsidR="003D640C">
        <w:t xml:space="preserve"> </w:t>
      </w:r>
      <w:r w:rsidR="005B2A50" w:rsidRPr="00B1465F">
        <w:t>harms</w:t>
      </w:r>
      <w:r w:rsidR="003D640C">
        <w:t xml:space="preserve"> </w:t>
      </w:r>
      <w:r w:rsidR="005B2A50" w:rsidRPr="00B1465F">
        <w:t>caused</w:t>
      </w:r>
      <w:r w:rsidR="003D640C">
        <w:t xml:space="preserve"> </w:t>
      </w:r>
      <w:r w:rsidR="005B2A50" w:rsidRPr="00B1465F">
        <w:t>by</w:t>
      </w:r>
      <w:r w:rsidR="003D640C">
        <w:t xml:space="preserve"> </w:t>
      </w:r>
      <w:r w:rsidR="005B2A50" w:rsidRPr="00B1465F">
        <w:t>conversion</w:t>
      </w:r>
      <w:r w:rsidR="003D640C">
        <w:t xml:space="preserve"> </w:t>
      </w:r>
      <w:r w:rsidR="005B2A50" w:rsidRPr="00B1465F">
        <w:t>practices.</w:t>
      </w:r>
      <w:bookmarkEnd w:id="205"/>
      <w:r w:rsidR="003D640C">
        <w:t xml:space="preserve"> </w:t>
      </w:r>
    </w:p>
    <w:p w14:paraId="60D35448" w14:textId="362ACE02" w:rsidR="007A201C" w:rsidRPr="00BB6220" w:rsidRDefault="009D2F05" w:rsidP="0068108F">
      <w:r w:rsidRPr="00BB6220">
        <w:t>The</w:t>
      </w:r>
      <w:r w:rsidR="003D640C">
        <w:t xml:space="preserve"> </w:t>
      </w:r>
      <w:r w:rsidRPr="00BB6220">
        <w:t>overall</w:t>
      </w:r>
      <w:r w:rsidR="003D640C">
        <w:t xml:space="preserve"> </w:t>
      </w:r>
      <w:r w:rsidRPr="00BB6220">
        <w:t>picture</w:t>
      </w:r>
      <w:r w:rsidR="003D640C">
        <w:t xml:space="preserve"> </w:t>
      </w:r>
      <w:r w:rsidRPr="00BB6220">
        <w:t>painted</w:t>
      </w:r>
      <w:r w:rsidR="003D640C">
        <w:t xml:space="preserve"> </w:t>
      </w:r>
      <w:r w:rsidRPr="00BB6220">
        <w:t>by</w:t>
      </w:r>
      <w:r w:rsidR="003D640C">
        <w:t xml:space="preserve"> </w:t>
      </w:r>
      <w:r w:rsidR="00091B68" w:rsidRPr="00BB6220">
        <w:t>both</w:t>
      </w:r>
      <w:r w:rsidR="003D640C">
        <w:t xml:space="preserve"> </w:t>
      </w:r>
      <w:r w:rsidR="00091B68" w:rsidRPr="00BB6220">
        <w:t>the</w:t>
      </w:r>
      <w:r w:rsidR="003D640C">
        <w:t xml:space="preserve"> </w:t>
      </w:r>
      <w:r w:rsidR="00091B68" w:rsidRPr="00BB6220">
        <w:t>evidence</w:t>
      </w:r>
      <w:r w:rsidR="003D640C">
        <w:t xml:space="preserve"> </w:t>
      </w:r>
      <w:r w:rsidR="00091B68" w:rsidRPr="00BB6220">
        <w:t>base</w:t>
      </w:r>
      <w:r w:rsidR="003D640C">
        <w:t xml:space="preserve"> </w:t>
      </w:r>
      <w:r w:rsidR="00091B68" w:rsidRPr="00BB6220">
        <w:t>and</w:t>
      </w:r>
      <w:r w:rsidR="003D640C">
        <w:t xml:space="preserve"> </w:t>
      </w:r>
      <w:r w:rsidR="00091B68" w:rsidRPr="00BB6220">
        <w:t>the</w:t>
      </w:r>
      <w:r w:rsidR="003D640C">
        <w:t xml:space="preserve"> </w:t>
      </w:r>
      <w:r w:rsidR="00142134" w:rsidRPr="00BB6220">
        <w:t>survivors</w:t>
      </w:r>
      <w:r w:rsidR="003D640C">
        <w:t xml:space="preserve"> </w:t>
      </w:r>
      <w:r w:rsidR="00091B68" w:rsidRPr="00BB6220">
        <w:t>the</w:t>
      </w:r>
      <w:r w:rsidR="003D640C">
        <w:t xml:space="preserve"> </w:t>
      </w:r>
      <w:r w:rsidR="00142134" w:rsidRPr="00BB6220">
        <w:t>Commission</w:t>
      </w:r>
      <w:r w:rsidR="003D640C">
        <w:t xml:space="preserve"> </w:t>
      </w:r>
      <w:r w:rsidR="00142134" w:rsidRPr="00BB6220">
        <w:t>spoke</w:t>
      </w:r>
      <w:r w:rsidR="003D640C">
        <w:t xml:space="preserve"> </w:t>
      </w:r>
      <w:r w:rsidR="00833D8E">
        <w:t>with</w:t>
      </w:r>
      <w:r w:rsidR="003D640C">
        <w:t xml:space="preserve"> </w:t>
      </w:r>
      <w:r w:rsidR="00142134" w:rsidRPr="00BB6220">
        <w:t>over</w:t>
      </w:r>
      <w:r w:rsidR="003D640C">
        <w:t xml:space="preserve"> </w:t>
      </w:r>
      <w:r w:rsidR="00142134" w:rsidRPr="00BB6220">
        <w:t>the</w:t>
      </w:r>
      <w:r w:rsidR="003D640C">
        <w:t xml:space="preserve"> </w:t>
      </w:r>
      <w:r w:rsidR="00142134" w:rsidRPr="00BB6220">
        <w:t>course</w:t>
      </w:r>
      <w:r w:rsidR="003D640C">
        <w:t xml:space="preserve"> </w:t>
      </w:r>
      <w:r w:rsidR="00142134" w:rsidRPr="00BB6220">
        <w:t>of</w:t>
      </w:r>
      <w:r w:rsidR="003D640C">
        <w:t xml:space="preserve"> </w:t>
      </w:r>
      <w:r w:rsidR="00142134" w:rsidRPr="00BB6220">
        <w:t>18</w:t>
      </w:r>
      <w:r w:rsidR="003D640C">
        <w:t xml:space="preserve"> </w:t>
      </w:r>
      <w:r w:rsidR="00142134" w:rsidRPr="00BB6220">
        <w:t>months</w:t>
      </w:r>
      <w:r w:rsidR="003D640C">
        <w:t xml:space="preserve"> </w:t>
      </w:r>
      <w:r w:rsidR="00142134" w:rsidRPr="00BB6220">
        <w:t>is</w:t>
      </w:r>
      <w:r w:rsidR="003D640C">
        <w:t xml:space="preserve"> </w:t>
      </w:r>
      <w:r w:rsidR="00142134" w:rsidRPr="00BB6220">
        <w:t>one</w:t>
      </w:r>
      <w:r w:rsidR="003D640C">
        <w:t xml:space="preserve"> </w:t>
      </w:r>
      <w:r w:rsidR="00142134" w:rsidRPr="00BB6220">
        <w:t>of</w:t>
      </w:r>
      <w:r w:rsidR="003D640C">
        <w:t xml:space="preserve"> </w:t>
      </w:r>
      <w:r w:rsidR="00142134" w:rsidRPr="00BB6220">
        <w:t>complex</w:t>
      </w:r>
      <w:r w:rsidR="005D6C8F" w:rsidRPr="00BB6220">
        <w:t>,</w:t>
      </w:r>
      <w:r w:rsidR="003D640C">
        <w:t xml:space="preserve"> </w:t>
      </w:r>
      <w:r w:rsidR="005D6C8F" w:rsidRPr="00BB6220">
        <w:t>overlapping</w:t>
      </w:r>
      <w:r w:rsidR="12EE4174" w:rsidRPr="00BB6220">
        <w:t>,</w:t>
      </w:r>
      <w:r w:rsidR="003D640C">
        <w:t xml:space="preserve"> </w:t>
      </w:r>
      <w:r w:rsidR="00142134" w:rsidRPr="00BB6220">
        <w:t>and</w:t>
      </w:r>
      <w:r w:rsidR="003D640C">
        <w:t xml:space="preserve"> </w:t>
      </w:r>
      <w:r w:rsidR="00142134" w:rsidRPr="00BB6220">
        <w:t>wide</w:t>
      </w:r>
      <w:r w:rsidR="575E0339" w:rsidRPr="00BB6220">
        <w:t>-</w:t>
      </w:r>
      <w:r w:rsidR="00142134" w:rsidRPr="00BB6220">
        <w:t>ranging</w:t>
      </w:r>
      <w:r w:rsidR="003D640C">
        <w:t xml:space="preserve"> </w:t>
      </w:r>
      <w:r w:rsidR="00142134" w:rsidRPr="00BB6220">
        <w:t>harms.</w:t>
      </w:r>
      <w:r w:rsidR="003D640C">
        <w:t xml:space="preserve"> </w:t>
      </w:r>
      <w:r w:rsidR="007D4463" w:rsidRPr="00BB6220">
        <w:t>Elements</w:t>
      </w:r>
      <w:r w:rsidR="003D640C">
        <w:t xml:space="preserve"> </w:t>
      </w:r>
      <w:r w:rsidR="007D4463" w:rsidRPr="00BB6220">
        <w:t>of</w:t>
      </w:r>
      <w:r w:rsidR="003D640C">
        <w:t xml:space="preserve"> </w:t>
      </w:r>
      <w:r w:rsidR="002E2FB0" w:rsidRPr="00BB6220">
        <w:t>spiritual,</w:t>
      </w:r>
      <w:r w:rsidR="003D640C">
        <w:t xml:space="preserve"> </w:t>
      </w:r>
      <w:r w:rsidR="002E2FB0" w:rsidRPr="00BB6220">
        <w:t>mental</w:t>
      </w:r>
      <w:r w:rsidR="0B3E0609" w:rsidRPr="00BB6220">
        <w:t>,</w:t>
      </w:r>
      <w:r w:rsidR="003D640C">
        <w:t xml:space="preserve"> </w:t>
      </w:r>
      <w:r w:rsidR="002E2FB0" w:rsidRPr="00BB6220">
        <w:t>and</w:t>
      </w:r>
      <w:r w:rsidR="003D640C">
        <w:t xml:space="preserve"> </w:t>
      </w:r>
      <w:r w:rsidR="002E2FB0" w:rsidRPr="00BB6220">
        <w:t>physical</w:t>
      </w:r>
      <w:r w:rsidR="003D640C">
        <w:t xml:space="preserve"> </w:t>
      </w:r>
      <w:r w:rsidR="002E2FB0" w:rsidRPr="00BB6220">
        <w:t>harm</w:t>
      </w:r>
      <w:r w:rsidR="003D640C">
        <w:t xml:space="preserve"> </w:t>
      </w:r>
      <w:r w:rsidR="002E2FB0" w:rsidRPr="00BB6220">
        <w:t>are</w:t>
      </w:r>
      <w:r w:rsidR="003D640C">
        <w:t xml:space="preserve"> </w:t>
      </w:r>
      <w:r w:rsidR="002E2FB0" w:rsidRPr="00BB6220">
        <w:t>experienced</w:t>
      </w:r>
      <w:r w:rsidR="003D640C">
        <w:t xml:space="preserve"> </w:t>
      </w:r>
      <w:r w:rsidR="002E2FB0" w:rsidRPr="00BB6220">
        <w:t>beyond</w:t>
      </w:r>
      <w:r w:rsidR="003D640C">
        <w:t xml:space="preserve"> </w:t>
      </w:r>
      <w:r w:rsidR="002E2FB0" w:rsidRPr="00BB6220">
        <w:t>the</w:t>
      </w:r>
      <w:r w:rsidR="003D640C">
        <w:t xml:space="preserve"> </w:t>
      </w:r>
      <w:r w:rsidR="002E2FB0" w:rsidRPr="00BB6220">
        <w:t>in</w:t>
      </w:r>
      <w:r w:rsidR="001D0413" w:rsidRPr="00BB6220">
        <w:t>dividual</w:t>
      </w:r>
      <w:r w:rsidR="006044F5" w:rsidRPr="00BB6220">
        <w:t>.</w:t>
      </w:r>
      <w:r w:rsidR="003D640C">
        <w:t xml:space="preserve"> </w:t>
      </w:r>
      <w:r w:rsidR="00091A49" w:rsidRPr="00BB6220">
        <w:t>Conversion</w:t>
      </w:r>
      <w:r w:rsidR="003D640C">
        <w:t xml:space="preserve"> </w:t>
      </w:r>
      <w:r w:rsidR="00091A49" w:rsidRPr="00BB6220">
        <w:t>practices</w:t>
      </w:r>
      <w:r w:rsidR="003D640C">
        <w:t xml:space="preserve"> </w:t>
      </w:r>
      <w:r w:rsidR="00091A49" w:rsidRPr="00BB6220">
        <w:t>have</w:t>
      </w:r>
      <w:r w:rsidR="003D640C">
        <w:t xml:space="preserve"> </w:t>
      </w:r>
      <w:r w:rsidR="00091A49" w:rsidRPr="00BB6220">
        <w:t>negatively</w:t>
      </w:r>
      <w:r w:rsidR="003D640C">
        <w:t xml:space="preserve"> </w:t>
      </w:r>
      <w:r w:rsidR="00091A49" w:rsidRPr="00BB6220">
        <w:t>impacted</w:t>
      </w:r>
      <w:r w:rsidR="003D640C">
        <w:t xml:space="preserve"> </w:t>
      </w:r>
      <w:r w:rsidR="00091A49" w:rsidRPr="00BB6220">
        <w:t>whānau,</w:t>
      </w:r>
      <w:r w:rsidR="003D640C">
        <w:t xml:space="preserve"> </w:t>
      </w:r>
      <w:r w:rsidR="00091A49" w:rsidRPr="00BB6220">
        <w:t>community</w:t>
      </w:r>
      <w:r w:rsidR="61614D47" w:rsidRPr="00BB6220">
        <w:t>,</w:t>
      </w:r>
      <w:r w:rsidR="003D640C">
        <w:t xml:space="preserve"> </w:t>
      </w:r>
      <w:r w:rsidR="00091A49" w:rsidRPr="00BB6220">
        <w:t>and</w:t>
      </w:r>
      <w:r w:rsidR="003D640C">
        <w:t xml:space="preserve"> </w:t>
      </w:r>
      <w:r w:rsidR="00091A49" w:rsidRPr="00BB6220">
        <w:t>Aotearoa</w:t>
      </w:r>
      <w:r w:rsidR="003D640C">
        <w:t xml:space="preserve"> </w:t>
      </w:r>
      <w:r w:rsidR="00091A49" w:rsidRPr="00BB6220">
        <w:t>as</w:t>
      </w:r>
      <w:r w:rsidR="003D640C">
        <w:t xml:space="preserve"> </w:t>
      </w:r>
      <w:r w:rsidR="00091A49" w:rsidRPr="00BB6220">
        <w:t>a</w:t>
      </w:r>
      <w:r w:rsidR="003D640C">
        <w:t xml:space="preserve"> </w:t>
      </w:r>
      <w:r w:rsidR="00091A49" w:rsidRPr="00BB6220">
        <w:t>whole.</w:t>
      </w:r>
      <w:r w:rsidR="003D640C">
        <w:t xml:space="preserve"> </w:t>
      </w:r>
    </w:p>
    <w:p w14:paraId="3CB0B608" w14:textId="323FC664" w:rsidR="00501068" w:rsidRDefault="002607F6" w:rsidP="0068108F">
      <w:r w:rsidRPr="00BB6220">
        <w:t>As</w:t>
      </w:r>
      <w:r w:rsidR="003D640C">
        <w:t xml:space="preserve"> </w:t>
      </w:r>
      <w:r w:rsidRPr="00BB6220">
        <w:t>an</w:t>
      </w:r>
      <w:r w:rsidR="003D640C">
        <w:t xml:space="preserve"> </w:t>
      </w:r>
      <w:r w:rsidRPr="00BB6220">
        <w:t>overall</w:t>
      </w:r>
      <w:r w:rsidR="003D640C">
        <w:t xml:space="preserve"> </w:t>
      </w:r>
      <w:r w:rsidRPr="00BB6220">
        <w:t>picture</w:t>
      </w:r>
      <w:r w:rsidR="003D640C">
        <w:t xml:space="preserve"> </w:t>
      </w:r>
      <w:r w:rsidRPr="00BB6220">
        <w:t>of</w:t>
      </w:r>
      <w:r w:rsidR="003D640C">
        <w:t xml:space="preserve"> </w:t>
      </w:r>
      <w:r w:rsidR="0020261B" w:rsidRPr="00BB6220">
        <w:t>harm,</w:t>
      </w:r>
      <w:r w:rsidR="003D640C">
        <w:t xml:space="preserve"> </w:t>
      </w:r>
      <w:r w:rsidR="0020261B" w:rsidRPr="00BB6220">
        <w:t>t</w:t>
      </w:r>
      <w:r w:rsidR="007A201C" w:rsidRPr="00BB6220">
        <w:t>he</w:t>
      </w:r>
      <w:r w:rsidR="003D640C">
        <w:t xml:space="preserve"> </w:t>
      </w:r>
      <w:r w:rsidR="007A201C" w:rsidRPr="00BB6220">
        <w:t>model</w:t>
      </w:r>
      <w:r w:rsidR="003D640C">
        <w:t xml:space="preserve"> </w:t>
      </w:r>
      <w:r w:rsidR="007A201C" w:rsidRPr="00BB6220">
        <w:t>at</w:t>
      </w:r>
      <w:r w:rsidR="003D640C">
        <w:t xml:space="preserve"> </w:t>
      </w:r>
      <w:r w:rsidR="007A201C" w:rsidRPr="00BB6220">
        <w:t>Figure</w:t>
      </w:r>
      <w:r w:rsidR="003D640C">
        <w:t xml:space="preserve"> </w:t>
      </w:r>
      <w:r w:rsidR="0064680A">
        <w:t>8</w:t>
      </w:r>
      <w:r w:rsidR="003D640C">
        <w:t xml:space="preserve"> </w:t>
      </w:r>
      <w:r w:rsidR="00D14617" w:rsidRPr="00BB6220">
        <w:t>may</w:t>
      </w:r>
      <w:r w:rsidR="003D640C">
        <w:t xml:space="preserve"> </w:t>
      </w:r>
      <w:r w:rsidR="00D14617" w:rsidRPr="00BB6220">
        <w:t>be</w:t>
      </w:r>
      <w:r w:rsidR="003D640C">
        <w:t xml:space="preserve"> </w:t>
      </w:r>
      <w:r w:rsidR="00D14617" w:rsidRPr="00BB6220">
        <w:t>useful</w:t>
      </w:r>
      <w:r w:rsidR="003D640C">
        <w:t xml:space="preserve"> </w:t>
      </w:r>
      <w:r w:rsidR="00D14617" w:rsidRPr="00BB6220">
        <w:t>to</w:t>
      </w:r>
      <w:r w:rsidR="003D640C">
        <w:t xml:space="preserve"> </w:t>
      </w:r>
      <w:r w:rsidR="00D14617" w:rsidRPr="00BB6220">
        <w:t>survivors</w:t>
      </w:r>
      <w:r w:rsidR="003D640C">
        <w:t xml:space="preserve"> </w:t>
      </w:r>
      <w:r w:rsidR="00D14617" w:rsidRPr="00BB6220">
        <w:t>trying</w:t>
      </w:r>
      <w:r w:rsidR="003D640C">
        <w:t xml:space="preserve"> </w:t>
      </w:r>
      <w:r w:rsidR="00D14617" w:rsidRPr="00BB6220">
        <w:t>to</w:t>
      </w:r>
      <w:r w:rsidR="003D640C">
        <w:t xml:space="preserve"> </w:t>
      </w:r>
      <w:r w:rsidR="00D14617" w:rsidRPr="00BB6220">
        <w:t>make</w:t>
      </w:r>
      <w:r w:rsidR="003D640C">
        <w:t xml:space="preserve"> </w:t>
      </w:r>
      <w:r w:rsidR="00D14617" w:rsidRPr="00BB6220">
        <w:t>sense</w:t>
      </w:r>
      <w:r w:rsidR="003D640C">
        <w:t xml:space="preserve"> </w:t>
      </w:r>
      <w:r w:rsidR="00D14617" w:rsidRPr="00BB6220">
        <w:t>of</w:t>
      </w:r>
      <w:r w:rsidR="003D640C">
        <w:t xml:space="preserve"> </w:t>
      </w:r>
      <w:r w:rsidR="00D14617" w:rsidRPr="00BB6220">
        <w:t>their</w:t>
      </w:r>
      <w:r w:rsidR="003D640C">
        <w:t xml:space="preserve"> </w:t>
      </w:r>
      <w:r w:rsidR="00D14617" w:rsidRPr="00BB6220">
        <w:t>experiences,</w:t>
      </w:r>
      <w:r w:rsidR="003D640C">
        <w:t xml:space="preserve"> </w:t>
      </w:r>
      <w:r w:rsidR="00D14617" w:rsidRPr="00BB6220">
        <w:t>as</w:t>
      </w:r>
      <w:r w:rsidR="003D640C">
        <w:t xml:space="preserve"> </w:t>
      </w:r>
      <w:r w:rsidR="00D14617" w:rsidRPr="00BB6220">
        <w:t>well</w:t>
      </w:r>
      <w:r w:rsidR="003D640C">
        <w:t xml:space="preserve"> </w:t>
      </w:r>
      <w:r w:rsidR="00D14617" w:rsidRPr="00BB6220">
        <w:t>as</w:t>
      </w:r>
      <w:r w:rsidR="003D640C">
        <w:t xml:space="preserve"> </w:t>
      </w:r>
      <w:r w:rsidR="00D14617" w:rsidRPr="00BB6220">
        <w:t>to</w:t>
      </w:r>
      <w:r w:rsidR="003D640C">
        <w:t xml:space="preserve"> </w:t>
      </w:r>
      <w:r w:rsidR="004D74BB" w:rsidRPr="00BB6220">
        <w:t>affirming</w:t>
      </w:r>
      <w:r w:rsidR="003D640C">
        <w:t xml:space="preserve"> </w:t>
      </w:r>
      <w:r w:rsidR="00EB3694" w:rsidRPr="00BB6220">
        <w:t>wh</w:t>
      </w:r>
      <w:r w:rsidR="00890D27" w:rsidRPr="00BB6220">
        <w:t>ā</w:t>
      </w:r>
      <w:r w:rsidR="00EB3694" w:rsidRPr="00BB6220">
        <w:t>nau,</w:t>
      </w:r>
      <w:r w:rsidR="003D640C">
        <w:t xml:space="preserve"> </w:t>
      </w:r>
      <w:r w:rsidR="001B6BD7" w:rsidRPr="00BB6220">
        <w:t>new</w:t>
      </w:r>
      <w:r w:rsidR="003D640C">
        <w:t xml:space="preserve"> </w:t>
      </w:r>
      <w:r w:rsidR="00DE4209" w:rsidRPr="00BB6220">
        <w:t>friends,</w:t>
      </w:r>
      <w:r w:rsidR="003D640C">
        <w:t xml:space="preserve"> </w:t>
      </w:r>
      <w:r w:rsidR="00DE4209" w:rsidRPr="00BB6220">
        <w:t>counsellors</w:t>
      </w:r>
      <w:r w:rsidR="047AC499" w:rsidRPr="00BB6220">
        <w:t>,</w:t>
      </w:r>
      <w:r w:rsidR="003D640C">
        <w:t xml:space="preserve"> </w:t>
      </w:r>
      <w:r w:rsidR="00DE4209" w:rsidRPr="00BB6220">
        <w:t>and</w:t>
      </w:r>
      <w:r w:rsidR="003D640C">
        <w:t xml:space="preserve"> </w:t>
      </w:r>
      <w:r w:rsidR="00DE4209" w:rsidRPr="00BB6220">
        <w:t>others</w:t>
      </w:r>
      <w:r w:rsidR="003D640C">
        <w:t xml:space="preserve"> </w:t>
      </w:r>
      <w:r w:rsidR="00441841" w:rsidRPr="00BB6220">
        <w:t>supporting</w:t>
      </w:r>
      <w:r w:rsidR="003D640C">
        <w:t xml:space="preserve"> </w:t>
      </w:r>
      <w:r w:rsidR="00441841" w:rsidRPr="00BB6220">
        <w:t>the</w:t>
      </w:r>
      <w:r w:rsidR="003D640C">
        <w:t xml:space="preserve"> </w:t>
      </w:r>
      <w:r w:rsidR="00441841" w:rsidRPr="00BB6220">
        <w:t>survivor</w:t>
      </w:r>
      <w:r w:rsidR="003D640C">
        <w:t xml:space="preserve"> </w:t>
      </w:r>
      <w:r w:rsidR="00441841" w:rsidRPr="00BB6220">
        <w:t>to</w:t>
      </w:r>
      <w:r w:rsidR="003D640C">
        <w:t xml:space="preserve"> </w:t>
      </w:r>
      <w:r w:rsidR="001A3DA5" w:rsidRPr="00BB6220">
        <w:t>understand</w:t>
      </w:r>
      <w:r w:rsidR="003D640C">
        <w:t xml:space="preserve"> </w:t>
      </w:r>
      <w:r w:rsidR="001A3DA5" w:rsidRPr="00BB6220">
        <w:t>and</w:t>
      </w:r>
      <w:r w:rsidR="003D640C">
        <w:t xml:space="preserve"> </w:t>
      </w:r>
      <w:r w:rsidR="001A3DA5" w:rsidRPr="00BB6220">
        <w:t>recover</w:t>
      </w:r>
      <w:r w:rsidR="003D640C">
        <w:t xml:space="preserve"> </w:t>
      </w:r>
      <w:r w:rsidR="001A3DA5" w:rsidRPr="00BB6220">
        <w:t>from</w:t>
      </w:r>
      <w:r w:rsidR="003D640C">
        <w:t xml:space="preserve"> </w:t>
      </w:r>
      <w:r w:rsidR="001A3DA5" w:rsidRPr="00BB6220">
        <w:t>their</w:t>
      </w:r>
      <w:r w:rsidR="003D640C">
        <w:t xml:space="preserve"> </w:t>
      </w:r>
      <w:r w:rsidR="001A3DA5" w:rsidRPr="00BB6220">
        <w:t>complex</w:t>
      </w:r>
      <w:r w:rsidR="003D640C">
        <w:t xml:space="preserve"> </w:t>
      </w:r>
      <w:r w:rsidR="001A3DA5" w:rsidRPr="00BB6220">
        <w:t>experiences.</w:t>
      </w:r>
      <w:r w:rsidR="003D640C">
        <w:t xml:space="preserve"> </w:t>
      </w:r>
      <w:r w:rsidR="00AB5ED7">
        <w:br w:type="page"/>
      </w:r>
    </w:p>
    <w:p w14:paraId="17839702" w14:textId="575019A3" w:rsidR="00D230EE" w:rsidRPr="00BB6220" w:rsidRDefault="05A4E0C4" w:rsidP="00501BC4">
      <w:pPr>
        <w:pStyle w:val="Heading1"/>
      </w:pPr>
      <w:bookmarkStart w:id="206" w:name="_Toc1708244989"/>
      <w:bookmarkStart w:id="207" w:name="_Toc174628663"/>
      <w:bookmarkStart w:id="208" w:name="_Toc138325179"/>
      <w:bookmarkStart w:id="209" w:name="_Toc138343816"/>
      <w:bookmarkStart w:id="210" w:name="_Toc167780603"/>
      <w:bookmarkStart w:id="211" w:name="_Ref168394108"/>
      <w:r>
        <w:lastRenderedPageBreak/>
        <w:t>Māori</w:t>
      </w:r>
      <w:r w:rsidR="79647BFF">
        <w:t xml:space="preserve"> </w:t>
      </w:r>
      <w:r w:rsidR="00224960" w:rsidRPr="00BB6220">
        <w:t>e</w:t>
      </w:r>
      <w:r w:rsidR="00392810" w:rsidRPr="00BB6220">
        <w:t>xperiences</w:t>
      </w:r>
      <w:r w:rsidR="003D640C">
        <w:t xml:space="preserve"> </w:t>
      </w:r>
      <w:r w:rsidR="00392810" w:rsidRPr="00BB6220">
        <w:t>of</w:t>
      </w:r>
      <w:r w:rsidR="003D640C">
        <w:t xml:space="preserve"> </w:t>
      </w:r>
      <w:r w:rsidR="00392810" w:rsidRPr="00BB6220">
        <w:t>conversion</w:t>
      </w:r>
      <w:r w:rsidR="003D640C">
        <w:t xml:space="preserve"> </w:t>
      </w:r>
      <w:r w:rsidR="00392810" w:rsidRPr="00BB6220">
        <w:t>practices</w:t>
      </w:r>
      <w:bookmarkEnd w:id="206"/>
      <w:bookmarkEnd w:id="207"/>
      <w:r w:rsidR="003D640C">
        <w:t xml:space="preserve"> </w:t>
      </w:r>
      <w:bookmarkEnd w:id="208"/>
      <w:bookmarkEnd w:id="209"/>
      <w:bookmarkEnd w:id="210"/>
      <w:bookmarkEnd w:id="211"/>
    </w:p>
    <w:p w14:paraId="4DEBAF9E" w14:textId="2A158C0D" w:rsidR="00282934" w:rsidRDefault="00282934" w:rsidP="002C6363">
      <w:pPr>
        <w:rPr>
          <w:lang w:eastAsia="en-NZ"/>
        </w:rPr>
      </w:pPr>
      <w:r w:rsidRPr="00BB6220">
        <w:rPr>
          <w:lang w:eastAsia="en-NZ"/>
        </w:rPr>
        <w:t>In</w:t>
      </w:r>
      <w:r w:rsidR="003D640C">
        <w:rPr>
          <w:lang w:eastAsia="en-NZ"/>
        </w:rPr>
        <w:t xml:space="preserve"> </w:t>
      </w:r>
      <w:r w:rsidRPr="00BB6220">
        <w:rPr>
          <w:lang w:eastAsia="en-NZ"/>
        </w:rPr>
        <w:t>this</w:t>
      </w:r>
      <w:r w:rsidR="003D640C">
        <w:rPr>
          <w:lang w:eastAsia="en-NZ"/>
        </w:rPr>
        <w:t xml:space="preserve"> </w:t>
      </w:r>
      <w:r w:rsidRPr="00BB6220">
        <w:rPr>
          <w:lang w:eastAsia="en-NZ"/>
        </w:rPr>
        <w:t>section</w:t>
      </w:r>
      <w:r w:rsidR="00B6062F">
        <w:rPr>
          <w:lang w:eastAsia="en-NZ"/>
        </w:rPr>
        <w:t>,</w:t>
      </w:r>
      <w:r w:rsidR="003D640C">
        <w:rPr>
          <w:lang w:eastAsia="en-NZ"/>
        </w:rPr>
        <w:t xml:space="preserve"> </w:t>
      </w:r>
      <w:r w:rsidRPr="00BB6220">
        <w:rPr>
          <w:lang w:eastAsia="en-NZ"/>
        </w:rPr>
        <w:t>we</w:t>
      </w:r>
      <w:r w:rsidR="003D640C">
        <w:rPr>
          <w:lang w:eastAsia="en-NZ"/>
        </w:rPr>
        <w:t xml:space="preserve"> </w:t>
      </w:r>
      <w:r w:rsidRPr="00BB6220">
        <w:rPr>
          <w:lang w:eastAsia="en-NZ"/>
        </w:rPr>
        <w:t>explore</w:t>
      </w:r>
      <w:r w:rsidR="003D640C">
        <w:rPr>
          <w:lang w:eastAsia="en-NZ"/>
        </w:rPr>
        <w:t xml:space="preserve"> </w:t>
      </w:r>
      <w:r w:rsidRPr="00BB6220">
        <w:rPr>
          <w:lang w:eastAsia="en-NZ"/>
        </w:rPr>
        <w:t>Māori</w:t>
      </w:r>
      <w:r w:rsidR="003D640C">
        <w:rPr>
          <w:lang w:eastAsia="en-NZ"/>
        </w:rPr>
        <w:t xml:space="preserve"> </w:t>
      </w:r>
      <w:r w:rsidRPr="00BB6220">
        <w:rPr>
          <w:lang w:eastAsia="en-NZ"/>
        </w:rPr>
        <w:t>experiences</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and</w:t>
      </w:r>
      <w:r w:rsidR="003D640C">
        <w:rPr>
          <w:lang w:eastAsia="en-NZ"/>
        </w:rPr>
        <w:t xml:space="preserve"> </w:t>
      </w:r>
      <w:r w:rsidRPr="00BB6220">
        <w:rPr>
          <w:lang w:eastAsia="en-NZ"/>
        </w:rPr>
        <w:t>how</w:t>
      </w:r>
      <w:r w:rsidR="003D640C">
        <w:rPr>
          <w:lang w:eastAsia="en-NZ"/>
        </w:rPr>
        <w:t xml:space="preserve"> </w:t>
      </w:r>
      <w:r w:rsidRPr="00BB6220">
        <w:rPr>
          <w:lang w:eastAsia="en-NZ"/>
        </w:rPr>
        <w:t>colonisation</w:t>
      </w:r>
      <w:r w:rsidR="003D640C">
        <w:rPr>
          <w:lang w:eastAsia="en-NZ"/>
        </w:rPr>
        <w:t xml:space="preserve"> </w:t>
      </w:r>
      <w:r w:rsidRPr="00BB6220">
        <w:rPr>
          <w:lang w:eastAsia="en-NZ"/>
        </w:rPr>
        <w:t>has</w:t>
      </w:r>
      <w:r w:rsidR="003D640C">
        <w:rPr>
          <w:lang w:eastAsia="en-NZ"/>
        </w:rPr>
        <w:t xml:space="preserve"> </w:t>
      </w:r>
      <w:r w:rsidRPr="00BB6220">
        <w:rPr>
          <w:lang w:eastAsia="en-NZ"/>
        </w:rPr>
        <w:t>affected</w:t>
      </w:r>
      <w:r w:rsidR="003D640C">
        <w:rPr>
          <w:lang w:eastAsia="en-NZ"/>
        </w:rPr>
        <w:t xml:space="preserve"> </w:t>
      </w:r>
      <w:r w:rsidRPr="00BB6220">
        <w:rPr>
          <w:lang w:eastAsia="en-NZ"/>
        </w:rPr>
        <w:t>traditional</w:t>
      </w:r>
      <w:r w:rsidR="003D640C">
        <w:rPr>
          <w:lang w:eastAsia="en-NZ"/>
        </w:rPr>
        <w:t xml:space="preserve"> </w:t>
      </w:r>
      <w:r w:rsidRPr="00BB6220">
        <w:rPr>
          <w:lang w:eastAsia="en-NZ"/>
        </w:rPr>
        <w:t>Māori</w:t>
      </w:r>
      <w:r w:rsidR="003D640C">
        <w:rPr>
          <w:lang w:eastAsia="en-NZ"/>
        </w:rPr>
        <w:t xml:space="preserve"> </w:t>
      </w:r>
      <w:r w:rsidRPr="00BB6220">
        <w:rPr>
          <w:lang w:eastAsia="en-NZ"/>
        </w:rPr>
        <w:t>values</w:t>
      </w:r>
      <w:r w:rsidR="003D640C">
        <w:rPr>
          <w:lang w:eastAsia="en-NZ"/>
        </w:rPr>
        <w:t xml:space="preserve"> </w:t>
      </w:r>
      <w:r w:rsidR="00B6062F">
        <w:rPr>
          <w:lang w:eastAsia="en-NZ"/>
        </w:rPr>
        <w:t xml:space="preserve">that </w:t>
      </w:r>
      <w:r w:rsidRPr="00BB6220">
        <w:rPr>
          <w:lang w:eastAsia="en-NZ"/>
        </w:rPr>
        <w:t>were</w:t>
      </w:r>
      <w:r w:rsidR="003D640C">
        <w:rPr>
          <w:lang w:eastAsia="en-NZ"/>
        </w:rPr>
        <w:t xml:space="preserve"> </w:t>
      </w:r>
      <w:r w:rsidRPr="00BB6220">
        <w:rPr>
          <w:lang w:eastAsia="en-NZ"/>
        </w:rPr>
        <w:t>accepting</w:t>
      </w:r>
      <w:r w:rsidR="003D640C">
        <w:rPr>
          <w:lang w:eastAsia="en-NZ"/>
        </w:rPr>
        <w:t xml:space="preserve"> </w:t>
      </w:r>
      <w:r w:rsidRPr="00BB6220">
        <w:rPr>
          <w:lang w:eastAsia="en-NZ"/>
        </w:rPr>
        <w:t>of</w:t>
      </w:r>
      <w:r w:rsidR="003D640C">
        <w:rPr>
          <w:lang w:eastAsia="en-NZ"/>
        </w:rPr>
        <w:t xml:space="preserve"> </w:t>
      </w:r>
      <w:r w:rsidRPr="00BB6220">
        <w:rPr>
          <w:lang w:eastAsia="en-NZ"/>
        </w:rPr>
        <w:t>diverse</w:t>
      </w:r>
      <w:r w:rsidR="003D640C">
        <w:rPr>
          <w:lang w:eastAsia="en-NZ"/>
        </w:rPr>
        <w:t xml:space="preserve"> </w:t>
      </w:r>
      <w:r w:rsidRPr="00BB6220">
        <w:rPr>
          <w:lang w:eastAsia="en-NZ"/>
        </w:rPr>
        <w:t>genders</w:t>
      </w:r>
      <w:r w:rsidR="003D640C">
        <w:rPr>
          <w:lang w:eastAsia="en-NZ"/>
        </w:rPr>
        <w:t xml:space="preserve"> </w:t>
      </w:r>
      <w:r w:rsidRPr="00BB6220">
        <w:rPr>
          <w:lang w:eastAsia="en-NZ"/>
        </w:rPr>
        <w:t>and</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893A19">
        <w:rPr>
          <w:lang w:eastAsia="en-NZ"/>
        </w:rPr>
        <w:t>s</w:t>
      </w:r>
      <w:r w:rsidRPr="00BB6220">
        <w:rPr>
          <w:lang w:eastAsia="en-NZ"/>
        </w:rPr>
        <w:t>.</w:t>
      </w:r>
      <w:r w:rsidR="003D640C">
        <w:rPr>
          <w:lang w:eastAsia="en-NZ"/>
        </w:rPr>
        <w:t xml:space="preserve"> </w:t>
      </w:r>
      <w:r w:rsidRPr="00BB6220">
        <w:rPr>
          <w:lang w:eastAsia="en-NZ"/>
        </w:rPr>
        <w:t>The</w:t>
      </w:r>
      <w:r w:rsidR="003D640C">
        <w:rPr>
          <w:lang w:eastAsia="en-NZ"/>
        </w:rPr>
        <w:t xml:space="preserve"> </w:t>
      </w:r>
      <w:r w:rsidRPr="00BB6220">
        <w:rPr>
          <w:lang w:eastAsia="en-NZ"/>
        </w:rPr>
        <w:t>impact</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on</w:t>
      </w:r>
      <w:r w:rsidR="003D640C">
        <w:rPr>
          <w:lang w:eastAsia="en-NZ"/>
        </w:rPr>
        <w:t xml:space="preserve"> </w:t>
      </w:r>
      <w:r w:rsidRPr="00BB6220">
        <w:rPr>
          <w:lang w:eastAsia="en-NZ"/>
        </w:rPr>
        <w:t>Māori</w:t>
      </w:r>
      <w:r w:rsidR="003D640C">
        <w:rPr>
          <w:lang w:eastAsia="en-NZ"/>
        </w:rPr>
        <w:t xml:space="preserve"> </w:t>
      </w:r>
      <w:r w:rsidRPr="00BB6220">
        <w:rPr>
          <w:lang w:eastAsia="en-NZ"/>
        </w:rPr>
        <w:t>is</w:t>
      </w:r>
      <w:r w:rsidR="003D640C">
        <w:rPr>
          <w:lang w:eastAsia="en-NZ"/>
        </w:rPr>
        <w:t xml:space="preserve"> </w:t>
      </w:r>
      <w:r w:rsidRPr="00BB6220">
        <w:rPr>
          <w:lang w:eastAsia="en-NZ"/>
        </w:rPr>
        <w:t>outlined</w:t>
      </w:r>
      <w:r w:rsidR="003D640C">
        <w:rPr>
          <w:lang w:eastAsia="en-NZ"/>
        </w:rPr>
        <w:t xml:space="preserve"> </w:t>
      </w:r>
      <w:r w:rsidRPr="00BB6220">
        <w:rPr>
          <w:lang w:eastAsia="en-NZ"/>
        </w:rPr>
        <w:t>along</w:t>
      </w:r>
      <w:r w:rsidR="003D640C">
        <w:rPr>
          <w:lang w:eastAsia="en-NZ"/>
        </w:rPr>
        <w:t xml:space="preserve"> </w:t>
      </w:r>
      <w:r w:rsidRPr="00BB6220">
        <w:rPr>
          <w:lang w:eastAsia="en-NZ"/>
        </w:rPr>
        <w:t>with</w:t>
      </w:r>
      <w:r w:rsidR="003D640C">
        <w:rPr>
          <w:lang w:eastAsia="en-NZ"/>
        </w:rPr>
        <w:t xml:space="preserve"> </w:t>
      </w:r>
      <w:r w:rsidRPr="00BB6220">
        <w:rPr>
          <w:lang w:eastAsia="en-NZ"/>
        </w:rPr>
        <w:t>recommendations</w:t>
      </w:r>
      <w:r w:rsidR="003D640C">
        <w:rPr>
          <w:lang w:eastAsia="en-NZ"/>
        </w:rPr>
        <w:t xml:space="preserve"> </w:t>
      </w:r>
      <w:r w:rsidRPr="00BB6220">
        <w:rPr>
          <w:lang w:eastAsia="en-NZ"/>
        </w:rPr>
        <w:t>for</w:t>
      </w:r>
      <w:r w:rsidR="003D640C">
        <w:rPr>
          <w:lang w:eastAsia="en-NZ"/>
        </w:rPr>
        <w:t xml:space="preserve"> </w:t>
      </w:r>
      <w:r w:rsidRPr="00BB6220">
        <w:rPr>
          <w:lang w:eastAsia="en-NZ"/>
        </w:rPr>
        <w:t>how</w:t>
      </w:r>
      <w:r w:rsidR="003D640C">
        <w:rPr>
          <w:lang w:eastAsia="en-NZ"/>
        </w:rPr>
        <w:t xml:space="preserve"> </w:t>
      </w:r>
      <w:r w:rsidRPr="00BB6220">
        <w:rPr>
          <w:lang w:eastAsia="en-NZ"/>
        </w:rPr>
        <w:t>to</w:t>
      </w:r>
      <w:r w:rsidR="003D640C">
        <w:rPr>
          <w:lang w:eastAsia="en-NZ"/>
        </w:rPr>
        <w:t xml:space="preserve"> </w:t>
      </w:r>
      <w:r w:rsidRPr="00BB6220">
        <w:rPr>
          <w:lang w:eastAsia="en-NZ"/>
        </w:rPr>
        <w:t>reduce</w:t>
      </w:r>
      <w:r w:rsidR="003D640C">
        <w:rPr>
          <w:lang w:eastAsia="en-NZ"/>
        </w:rPr>
        <w:t xml:space="preserve"> </w:t>
      </w:r>
      <w:r w:rsidRPr="00BB6220">
        <w:rPr>
          <w:lang w:eastAsia="en-NZ"/>
        </w:rPr>
        <w:t>and</w:t>
      </w:r>
      <w:r w:rsidR="003D640C">
        <w:rPr>
          <w:lang w:eastAsia="en-NZ"/>
        </w:rPr>
        <w:t xml:space="preserve"> </w:t>
      </w:r>
      <w:r w:rsidRPr="00BB6220">
        <w:rPr>
          <w:lang w:eastAsia="en-NZ"/>
        </w:rPr>
        <w:t>prevent</w:t>
      </w:r>
      <w:r w:rsidR="003D640C">
        <w:rPr>
          <w:lang w:eastAsia="en-NZ"/>
        </w:rPr>
        <w:t xml:space="preserve"> </w:t>
      </w:r>
      <w:r w:rsidRPr="00BB6220">
        <w:rPr>
          <w:lang w:eastAsia="en-NZ"/>
        </w:rPr>
        <w:t>the</w:t>
      </w:r>
      <w:r w:rsidR="003D640C">
        <w:rPr>
          <w:lang w:eastAsia="en-NZ"/>
        </w:rPr>
        <w:t xml:space="preserve"> </w:t>
      </w:r>
      <w:r w:rsidRPr="00BB6220">
        <w:rPr>
          <w:lang w:eastAsia="en-NZ"/>
        </w:rPr>
        <w:t>harm</w:t>
      </w:r>
      <w:r w:rsidR="003D640C">
        <w:rPr>
          <w:lang w:eastAsia="en-NZ"/>
        </w:rPr>
        <w:t xml:space="preserve"> </w:t>
      </w:r>
      <w:r w:rsidR="00361A86">
        <w:rPr>
          <w:lang w:eastAsia="en-NZ"/>
        </w:rPr>
        <w:t>they</w:t>
      </w:r>
      <w:r w:rsidR="003D640C">
        <w:rPr>
          <w:lang w:eastAsia="en-NZ"/>
        </w:rPr>
        <w:t xml:space="preserve"> </w:t>
      </w:r>
      <w:r w:rsidR="00361A86">
        <w:rPr>
          <w:lang w:eastAsia="en-NZ"/>
        </w:rPr>
        <w:t>cause</w:t>
      </w:r>
      <w:r w:rsidRPr="00BB6220">
        <w:rPr>
          <w:lang w:eastAsia="en-NZ"/>
        </w:rPr>
        <w:t>.</w:t>
      </w:r>
      <w:r w:rsidR="003D640C">
        <w:rPr>
          <w:lang w:eastAsia="en-NZ"/>
        </w:rPr>
        <w:t xml:space="preserve"> </w:t>
      </w:r>
      <w:r>
        <w:rPr>
          <w:lang w:eastAsia="en-NZ"/>
        </w:rPr>
        <w:t>We</w:t>
      </w:r>
      <w:r w:rsidR="003D640C">
        <w:rPr>
          <w:lang w:eastAsia="en-NZ"/>
        </w:rPr>
        <w:t xml:space="preserve"> </w:t>
      </w:r>
      <w:r>
        <w:rPr>
          <w:lang w:eastAsia="en-NZ"/>
        </w:rPr>
        <w:t>note</w:t>
      </w:r>
      <w:r w:rsidR="003D640C">
        <w:rPr>
          <w:lang w:eastAsia="en-NZ"/>
        </w:rPr>
        <w:t xml:space="preserve"> </w:t>
      </w:r>
      <w:r>
        <w:rPr>
          <w:lang w:eastAsia="en-NZ"/>
        </w:rPr>
        <w:t>the</w:t>
      </w:r>
      <w:r w:rsidR="003D640C">
        <w:rPr>
          <w:lang w:eastAsia="en-NZ"/>
        </w:rPr>
        <w:t xml:space="preserve"> </w:t>
      </w:r>
      <w:r>
        <w:rPr>
          <w:lang w:eastAsia="en-NZ"/>
        </w:rPr>
        <w:t>limited</w:t>
      </w:r>
      <w:r w:rsidR="003D640C">
        <w:rPr>
          <w:lang w:eastAsia="en-NZ"/>
        </w:rPr>
        <w:t xml:space="preserve"> </w:t>
      </w:r>
      <w:r>
        <w:rPr>
          <w:lang w:eastAsia="en-NZ"/>
        </w:rPr>
        <w:t>data</w:t>
      </w:r>
      <w:r w:rsidR="003D640C">
        <w:rPr>
          <w:lang w:eastAsia="en-NZ"/>
        </w:rPr>
        <w:t xml:space="preserve"> </w:t>
      </w:r>
      <w:r>
        <w:rPr>
          <w:lang w:eastAsia="en-NZ"/>
        </w:rPr>
        <w:t>available</w:t>
      </w:r>
      <w:r w:rsidR="003D640C">
        <w:rPr>
          <w:lang w:eastAsia="en-NZ"/>
        </w:rPr>
        <w:t xml:space="preserve"> </w:t>
      </w:r>
      <w:r>
        <w:rPr>
          <w:lang w:eastAsia="en-NZ"/>
        </w:rPr>
        <w:t>to</w:t>
      </w:r>
      <w:r w:rsidR="003D640C">
        <w:rPr>
          <w:lang w:eastAsia="en-NZ"/>
        </w:rPr>
        <w:t xml:space="preserve"> </w:t>
      </w:r>
      <w:r>
        <w:rPr>
          <w:lang w:eastAsia="en-NZ"/>
        </w:rPr>
        <w:t>get</w:t>
      </w:r>
      <w:r w:rsidR="003D640C">
        <w:rPr>
          <w:lang w:eastAsia="en-NZ"/>
        </w:rPr>
        <w:t xml:space="preserve"> </w:t>
      </w:r>
      <w:r>
        <w:rPr>
          <w:lang w:eastAsia="en-NZ"/>
        </w:rPr>
        <w:t>a</w:t>
      </w:r>
      <w:r w:rsidR="003D640C">
        <w:rPr>
          <w:lang w:eastAsia="en-NZ"/>
        </w:rPr>
        <w:t xml:space="preserve"> </w:t>
      </w:r>
      <w:r>
        <w:rPr>
          <w:lang w:eastAsia="en-NZ"/>
        </w:rPr>
        <w:t>full</w:t>
      </w:r>
      <w:r w:rsidR="003D640C">
        <w:rPr>
          <w:lang w:eastAsia="en-NZ"/>
        </w:rPr>
        <w:t xml:space="preserve"> </w:t>
      </w:r>
      <w:r>
        <w:rPr>
          <w:lang w:eastAsia="en-NZ"/>
        </w:rPr>
        <w:t>picture</w:t>
      </w:r>
      <w:r w:rsidR="003D640C">
        <w:rPr>
          <w:lang w:eastAsia="en-NZ"/>
        </w:rPr>
        <w:t xml:space="preserve"> </w:t>
      </w:r>
      <w:r w:rsidDel="00FD0273">
        <w:rPr>
          <w:lang w:eastAsia="en-NZ"/>
        </w:rPr>
        <w:t>of</w:t>
      </w:r>
      <w:r w:rsidR="003D640C">
        <w:rPr>
          <w:lang w:eastAsia="en-NZ"/>
        </w:rPr>
        <w:t xml:space="preserve"> </w:t>
      </w:r>
      <w:r>
        <w:rPr>
          <w:lang w:eastAsia="en-NZ"/>
        </w:rPr>
        <w:t>conversion</w:t>
      </w:r>
      <w:r w:rsidR="003D640C">
        <w:rPr>
          <w:lang w:eastAsia="en-NZ"/>
        </w:rPr>
        <w:t xml:space="preserve"> </w:t>
      </w:r>
      <w:r>
        <w:rPr>
          <w:lang w:eastAsia="en-NZ"/>
        </w:rPr>
        <w:t>practices</w:t>
      </w:r>
      <w:r w:rsidR="003D640C">
        <w:rPr>
          <w:lang w:eastAsia="en-NZ"/>
        </w:rPr>
        <w:t xml:space="preserve"> </w:t>
      </w:r>
      <w:r w:rsidR="00FD0273">
        <w:rPr>
          <w:lang w:eastAsia="en-NZ"/>
        </w:rPr>
        <w:t>prevalence</w:t>
      </w:r>
      <w:r w:rsidR="003D640C">
        <w:rPr>
          <w:lang w:eastAsia="en-NZ"/>
        </w:rPr>
        <w:t xml:space="preserve"> </w:t>
      </w:r>
      <w:r w:rsidR="00086937">
        <w:rPr>
          <w:lang w:eastAsia="en-NZ"/>
        </w:rPr>
        <w:t xml:space="preserve">for </w:t>
      </w:r>
      <w:r>
        <w:rPr>
          <w:lang w:eastAsia="en-NZ"/>
        </w:rPr>
        <w:t>Māori.</w:t>
      </w:r>
    </w:p>
    <w:p w14:paraId="6934B512" w14:textId="60D4EC28" w:rsidR="00501068" w:rsidRDefault="003E36CD" w:rsidP="002C6363">
      <w:pPr>
        <w:pStyle w:val="Quote"/>
        <w:rPr>
          <w:rFonts w:ascii="Calibri" w:eastAsia="Times New Roman" w:hAnsi="Calibri" w:cs="Calibri"/>
        </w:rPr>
      </w:pPr>
      <w:r w:rsidRPr="00BB6220">
        <w:t>“When</w:t>
      </w:r>
      <w:r w:rsidR="003D640C">
        <w:t xml:space="preserve"> </w:t>
      </w:r>
      <w:r w:rsidRPr="00BB6220">
        <w:t>I</w:t>
      </w:r>
      <w:r w:rsidR="003D640C">
        <w:t xml:space="preserve"> </w:t>
      </w:r>
      <w:r w:rsidRPr="00BB6220">
        <w:t>first</w:t>
      </w:r>
      <w:r w:rsidR="003D640C">
        <w:t xml:space="preserve"> </w:t>
      </w:r>
      <w:r w:rsidRPr="00BB6220">
        <w:t>came</w:t>
      </w:r>
      <w:r w:rsidR="003D640C">
        <w:t xml:space="preserve"> </w:t>
      </w:r>
      <w:r w:rsidRPr="00BB6220">
        <w:t>out,</w:t>
      </w:r>
      <w:r w:rsidR="003D640C">
        <w:t xml:space="preserve"> </w:t>
      </w:r>
      <w:r w:rsidRPr="00BB6220">
        <w:t>I</w:t>
      </w:r>
      <w:r w:rsidR="003D640C">
        <w:t xml:space="preserve"> </w:t>
      </w:r>
      <w:r w:rsidRPr="00BB6220">
        <w:t>had</w:t>
      </w:r>
      <w:r w:rsidR="003D640C">
        <w:t xml:space="preserve"> </w:t>
      </w:r>
      <w:r w:rsidRPr="00BB6220">
        <w:t>people</w:t>
      </w:r>
      <w:r w:rsidR="003D640C">
        <w:t xml:space="preserve"> </w:t>
      </w:r>
      <w:r w:rsidRPr="00BB6220">
        <w:t>picking</w:t>
      </w:r>
      <w:r w:rsidR="003D640C">
        <w:t xml:space="preserve"> </w:t>
      </w:r>
      <w:r w:rsidRPr="00BB6220">
        <w:t>me</w:t>
      </w:r>
      <w:r w:rsidR="003D640C">
        <w:t xml:space="preserve"> </w:t>
      </w:r>
      <w:r w:rsidRPr="00BB6220">
        <w:t>up</w:t>
      </w:r>
      <w:r w:rsidR="003D640C">
        <w:t xml:space="preserve"> </w:t>
      </w:r>
      <w:r w:rsidRPr="00BB6220">
        <w:t>from</w:t>
      </w:r>
      <w:r w:rsidR="003D640C">
        <w:t xml:space="preserve"> </w:t>
      </w:r>
      <w:r w:rsidRPr="00BB6220">
        <w:t>my</w:t>
      </w:r>
      <w:r w:rsidR="003D640C">
        <w:t xml:space="preserve"> </w:t>
      </w:r>
      <w:r w:rsidRPr="00BB6220">
        <w:t>house</w:t>
      </w:r>
      <w:r w:rsidR="003D640C">
        <w:t xml:space="preserve"> </w:t>
      </w:r>
      <w:r w:rsidRPr="00BB6220">
        <w:t>to</w:t>
      </w:r>
      <w:r w:rsidR="003D640C">
        <w:t xml:space="preserve"> </w:t>
      </w:r>
      <w:r w:rsidRPr="00BB6220">
        <w:t>take</w:t>
      </w:r>
      <w:r w:rsidR="003D640C">
        <w:t xml:space="preserve"> </w:t>
      </w:r>
      <w:r w:rsidRPr="00BB6220">
        <w:t>me</w:t>
      </w:r>
      <w:r w:rsidR="003D640C">
        <w:t xml:space="preserve"> </w:t>
      </w:r>
      <w:r w:rsidRPr="00BB6220">
        <w:t>to</w:t>
      </w:r>
      <w:r w:rsidR="003D640C">
        <w:t xml:space="preserve"> </w:t>
      </w:r>
      <w:r w:rsidRPr="00BB6220">
        <w:t>prayer</w:t>
      </w:r>
      <w:r w:rsidR="003D640C">
        <w:t xml:space="preserve"> </w:t>
      </w:r>
      <w:r w:rsidRPr="00BB6220">
        <w:t>circles.</w:t>
      </w:r>
      <w:r w:rsidR="003D640C">
        <w:t xml:space="preserve"> </w:t>
      </w:r>
      <w:r w:rsidRPr="00BB6220">
        <w:t>It</w:t>
      </w:r>
      <w:r w:rsidR="003D640C">
        <w:t xml:space="preserve"> </w:t>
      </w:r>
      <w:r w:rsidRPr="00BB6220">
        <w:t>was</w:t>
      </w:r>
      <w:r w:rsidR="003D640C">
        <w:t xml:space="preserve"> </w:t>
      </w:r>
      <w:r w:rsidRPr="00BB6220">
        <w:t>confusing</w:t>
      </w:r>
      <w:r w:rsidR="003D640C">
        <w:t xml:space="preserve"> </w:t>
      </w:r>
      <w:r w:rsidRPr="00BB6220">
        <w:t>because</w:t>
      </w:r>
      <w:r w:rsidR="003D640C">
        <w:t xml:space="preserve"> </w:t>
      </w:r>
      <w:r w:rsidRPr="00BB6220">
        <w:t>they</w:t>
      </w:r>
      <w:r w:rsidR="003D640C">
        <w:t xml:space="preserve"> </w:t>
      </w:r>
      <w:r w:rsidRPr="00BB6220">
        <w:t>were</w:t>
      </w:r>
      <w:r w:rsidR="003D640C">
        <w:t xml:space="preserve"> </w:t>
      </w:r>
      <w:r w:rsidRPr="00BB6220">
        <w:t>telling</w:t>
      </w:r>
      <w:r w:rsidR="003D640C">
        <w:t xml:space="preserve"> </w:t>
      </w:r>
      <w:r w:rsidRPr="00BB6220">
        <w:t>me</w:t>
      </w:r>
      <w:r w:rsidR="003D640C">
        <w:t xml:space="preserve"> </w:t>
      </w:r>
      <w:r w:rsidRPr="00BB6220">
        <w:t>to</w:t>
      </w:r>
      <w:r w:rsidR="003D640C">
        <w:t xml:space="preserve"> </w:t>
      </w:r>
      <w:r w:rsidRPr="00BB6220">
        <w:t>go</w:t>
      </w:r>
      <w:r w:rsidR="003D640C">
        <w:t xml:space="preserve"> </w:t>
      </w:r>
      <w:r w:rsidRPr="00BB6220">
        <w:t>to</w:t>
      </w:r>
      <w:r w:rsidR="003D640C">
        <w:t xml:space="preserve"> </w:t>
      </w:r>
      <w:r w:rsidRPr="00BB6220">
        <w:t>the</w:t>
      </w:r>
      <w:r w:rsidR="003D640C">
        <w:t xml:space="preserve"> </w:t>
      </w:r>
      <w:r w:rsidRPr="00BB6220">
        <w:t>healers</w:t>
      </w:r>
      <w:r w:rsidR="003D640C">
        <w:t xml:space="preserve"> </w:t>
      </w:r>
      <w:r w:rsidRPr="00BB6220">
        <w:t>because</w:t>
      </w:r>
      <w:r w:rsidR="003D640C">
        <w:t xml:space="preserve"> </w:t>
      </w:r>
      <w:r w:rsidRPr="00BB6220">
        <w:t>I</w:t>
      </w:r>
      <w:r w:rsidR="003D640C">
        <w:t xml:space="preserve"> </w:t>
      </w:r>
      <w:r w:rsidRPr="00BB6220">
        <w:t>was</w:t>
      </w:r>
      <w:r w:rsidR="003D640C">
        <w:t xml:space="preserve"> </w:t>
      </w:r>
      <w:r w:rsidRPr="00BB6220">
        <w:t>hurt.</w:t>
      </w:r>
      <w:r w:rsidR="003D640C">
        <w:t xml:space="preserve"> </w:t>
      </w:r>
      <w:r w:rsidRPr="00BB6220">
        <w:t>But</w:t>
      </w:r>
      <w:r w:rsidR="003D640C">
        <w:t xml:space="preserve"> </w:t>
      </w:r>
      <w:r w:rsidRPr="00BB6220">
        <w:t>I</w:t>
      </w:r>
      <w:r w:rsidR="003D640C">
        <w:t xml:space="preserve"> </w:t>
      </w:r>
      <w:r w:rsidRPr="00BB6220">
        <w:t>was</w:t>
      </w:r>
      <w:r w:rsidR="003D640C">
        <w:t xml:space="preserve"> </w:t>
      </w:r>
      <w:r w:rsidRPr="00BB6220">
        <w:t>hurt</w:t>
      </w:r>
      <w:r w:rsidR="003D640C">
        <w:t xml:space="preserve"> </w:t>
      </w:r>
      <w:r w:rsidRPr="00BB6220">
        <w:t>because</w:t>
      </w:r>
      <w:r w:rsidR="003D640C">
        <w:t xml:space="preserve"> </w:t>
      </w:r>
      <w:r w:rsidRPr="00BB6220">
        <w:t>I</w:t>
      </w:r>
      <w:r w:rsidR="003D640C">
        <w:t xml:space="preserve"> </w:t>
      </w:r>
      <w:r w:rsidRPr="00BB6220">
        <w:t>was</w:t>
      </w:r>
      <w:r w:rsidR="003D640C">
        <w:t xml:space="preserve"> </w:t>
      </w:r>
      <w:r w:rsidRPr="00BB6220">
        <w:t>having</w:t>
      </w:r>
      <w:r w:rsidR="003D640C">
        <w:t xml:space="preserve"> </w:t>
      </w:r>
      <w:r w:rsidRPr="00BB6220">
        <w:t>moral</w:t>
      </w:r>
      <w:r w:rsidR="003D640C">
        <w:t xml:space="preserve"> </w:t>
      </w:r>
      <w:r w:rsidRPr="00BB6220">
        <w:t>conflicts</w:t>
      </w:r>
      <w:r w:rsidR="003D640C">
        <w:t xml:space="preserve"> </w:t>
      </w:r>
      <w:r w:rsidRPr="00BB6220">
        <w:t>–</w:t>
      </w:r>
      <w:r w:rsidR="003D640C">
        <w:t xml:space="preserve"> </w:t>
      </w:r>
      <w:r w:rsidRPr="00BB6220">
        <w:t>they</w:t>
      </w:r>
      <w:r w:rsidR="003D640C">
        <w:t xml:space="preserve"> </w:t>
      </w:r>
      <w:r w:rsidRPr="00BB6220">
        <w:t>thought</w:t>
      </w:r>
      <w:r w:rsidR="003D640C">
        <w:t xml:space="preserve"> </w:t>
      </w:r>
      <w:r w:rsidRPr="00BB6220">
        <w:t>I</w:t>
      </w:r>
      <w:r w:rsidR="003D640C">
        <w:t xml:space="preserve"> </w:t>
      </w:r>
      <w:r w:rsidRPr="00BB6220">
        <w:t>was</w:t>
      </w:r>
      <w:r w:rsidR="003D640C">
        <w:t xml:space="preserve"> </w:t>
      </w:r>
      <w:r w:rsidRPr="00BB6220">
        <w:t>hurt</w:t>
      </w:r>
      <w:r w:rsidR="003D640C">
        <w:t xml:space="preserve"> </w:t>
      </w:r>
      <w:r w:rsidRPr="00BB6220">
        <w:t>because</w:t>
      </w:r>
      <w:r w:rsidR="003D640C">
        <w:t xml:space="preserve"> </w:t>
      </w:r>
      <w:r w:rsidRPr="00BB6220">
        <w:t>I</w:t>
      </w:r>
      <w:r w:rsidR="003D640C">
        <w:t xml:space="preserve"> </w:t>
      </w:r>
      <w:r w:rsidRPr="00BB6220">
        <w:t>had</w:t>
      </w:r>
      <w:r w:rsidR="00B6062F">
        <w:t xml:space="preserve"> </w:t>
      </w:r>
      <w:r w:rsidRPr="00BB6220">
        <w:t>…</w:t>
      </w:r>
      <w:r w:rsidR="00B6062F">
        <w:t xml:space="preserve"> </w:t>
      </w:r>
      <w:r w:rsidRPr="00BB6220">
        <w:t>demons</w:t>
      </w:r>
      <w:r w:rsidR="003D640C">
        <w:t xml:space="preserve"> </w:t>
      </w:r>
      <w:r w:rsidRPr="00BB6220">
        <w:t>inside</w:t>
      </w:r>
      <w:r w:rsidR="003D640C">
        <w:t xml:space="preserve"> </w:t>
      </w:r>
      <w:r w:rsidRPr="00BB6220">
        <w:t>of</w:t>
      </w:r>
      <w:r w:rsidR="003D640C">
        <w:t xml:space="preserve"> </w:t>
      </w:r>
      <w:r w:rsidRPr="00BB6220">
        <w:t>me.</w:t>
      </w:r>
      <w:r w:rsidR="00B6062F">
        <w:t xml:space="preserve"> </w:t>
      </w:r>
      <w:r w:rsidRPr="00BB6220">
        <w:t>I</w:t>
      </w:r>
      <w:r w:rsidR="003D640C">
        <w:t xml:space="preserve"> </w:t>
      </w:r>
      <w:r w:rsidRPr="00BB6220">
        <w:t>cared</w:t>
      </w:r>
      <w:r w:rsidR="003D640C">
        <w:t xml:space="preserve"> </w:t>
      </w:r>
      <w:r w:rsidRPr="00BB6220">
        <w:t>about</w:t>
      </w:r>
      <w:r w:rsidR="003D640C">
        <w:t xml:space="preserve"> </w:t>
      </w:r>
      <w:r w:rsidRPr="00BB6220">
        <w:t>these</w:t>
      </w:r>
      <w:r w:rsidR="003D640C">
        <w:t xml:space="preserve"> </w:t>
      </w:r>
      <w:r w:rsidRPr="00BB6220">
        <w:t>people</w:t>
      </w:r>
      <w:r w:rsidR="003D640C">
        <w:t xml:space="preserve"> </w:t>
      </w:r>
      <w:r w:rsidRPr="00BB6220">
        <w:t>a</w:t>
      </w:r>
      <w:r w:rsidR="003D640C">
        <w:t xml:space="preserve"> </w:t>
      </w:r>
      <w:r w:rsidRPr="00BB6220">
        <w:t>lot</w:t>
      </w:r>
      <w:r w:rsidR="003D640C">
        <w:t xml:space="preserve"> </w:t>
      </w:r>
      <w:r w:rsidRPr="00BB6220">
        <w:t>and</w:t>
      </w:r>
      <w:r w:rsidR="003D640C">
        <w:t xml:space="preserve"> </w:t>
      </w:r>
      <w:r w:rsidRPr="00BB6220">
        <w:t>so</w:t>
      </w:r>
      <w:r w:rsidR="003D640C">
        <w:t xml:space="preserve"> </w:t>
      </w:r>
      <w:bookmarkStart w:id="212" w:name="_Int_Bokq96je"/>
      <w:r w:rsidRPr="00BB6220">
        <w:t>I’d</w:t>
      </w:r>
      <w:bookmarkEnd w:id="212"/>
      <w:r w:rsidR="003D640C">
        <w:t xml:space="preserve"> </w:t>
      </w:r>
      <w:r w:rsidRPr="00BB6220">
        <w:t>go</w:t>
      </w:r>
      <w:r w:rsidR="003D640C">
        <w:t xml:space="preserve"> </w:t>
      </w:r>
      <w:r w:rsidRPr="00BB6220">
        <w:t>with</w:t>
      </w:r>
      <w:r w:rsidR="003D640C">
        <w:t xml:space="preserve"> </w:t>
      </w:r>
      <w:r w:rsidRPr="00BB6220">
        <w:t>them.</w:t>
      </w:r>
      <w:r w:rsidR="003D640C">
        <w:t xml:space="preserve"> </w:t>
      </w:r>
      <w:r w:rsidRPr="00BB6220">
        <w:t>I</w:t>
      </w:r>
      <w:r w:rsidR="003D640C">
        <w:t xml:space="preserve"> </w:t>
      </w:r>
      <w:r w:rsidRPr="00BB6220">
        <w:t>felt</w:t>
      </w:r>
      <w:r w:rsidR="003D640C">
        <w:t xml:space="preserve"> </w:t>
      </w:r>
      <w:r w:rsidRPr="00BB6220">
        <w:t>pretty</w:t>
      </w:r>
      <w:r w:rsidR="003D640C">
        <w:t xml:space="preserve"> </w:t>
      </w:r>
      <w:r w:rsidRPr="00BB6220">
        <w:t>coerced</w:t>
      </w:r>
      <w:r w:rsidR="003D640C">
        <w:t xml:space="preserve"> </w:t>
      </w:r>
      <w:r w:rsidRPr="00BB6220">
        <w:t>into</w:t>
      </w:r>
      <w:r w:rsidR="003D640C">
        <w:t xml:space="preserve"> </w:t>
      </w:r>
      <w:r w:rsidRPr="00BB6220">
        <w:t>it.</w:t>
      </w:r>
      <w:r w:rsidR="003D640C">
        <w:t xml:space="preserve"> </w:t>
      </w:r>
      <w:r w:rsidRPr="00BB6220">
        <w:t>What</w:t>
      </w:r>
      <w:r w:rsidR="003D640C">
        <w:t xml:space="preserve"> </w:t>
      </w:r>
      <w:r w:rsidRPr="00BB6220">
        <w:t>else</w:t>
      </w:r>
      <w:r w:rsidR="003D640C">
        <w:t xml:space="preserve"> </w:t>
      </w:r>
      <w:r w:rsidRPr="00BB6220">
        <w:t>was</w:t>
      </w:r>
      <w:r w:rsidR="003D640C">
        <w:t xml:space="preserve"> </w:t>
      </w:r>
      <w:r w:rsidRPr="00BB6220">
        <w:t>I</w:t>
      </w:r>
      <w:r w:rsidR="003D640C">
        <w:t xml:space="preserve"> </w:t>
      </w:r>
      <w:r w:rsidRPr="00BB6220">
        <w:t>going</w:t>
      </w:r>
      <w:r w:rsidR="003D640C">
        <w:t xml:space="preserve"> </w:t>
      </w:r>
      <w:r w:rsidRPr="00BB6220">
        <w:t>to</w:t>
      </w:r>
      <w:r w:rsidR="003D640C">
        <w:t xml:space="preserve"> </w:t>
      </w:r>
      <w:r w:rsidRPr="00BB6220">
        <w:t>do</w:t>
      </w:r>
      <w:r w:rsidR="003D640C">
        <w:t xml:space="preserve"> </w:t>
      </w:r>
      <w:r w:rsidRPr="00BB6220">
        <w:t>with</w:t>
      </w:r>
      <w:r w:rsidR="003D640C">
        <w:t xml:space="preserve"> </w:t>
      </w:r>
      <w:r w:rsidRPr="00BB6220">
        <w:t>these</w:t>
      </w:r>
      <w:r w:rsidR="003D640C">
        <w:t xml:space="preserve"> </w:t>
      </w:r>
      <w:r w:rsidRPr="00BB6220">
        <w:t>people</w:t>
      </w:r>
      <w:r w:rsidR="003D640C">
        <w:t xml:space="preserve"> </w:t>
      </w:r>
      <w:r w:rsidRPr="00BB6220">
        <w:t>showing</w:t>
      </w:r>
      <w:r w:rsidR="003D640C">
        <w:t xml:space="preserve"> </w:t>
      </w:r>
      <w:r w:rsidRPr="00BB6220">
        <w:t>up</w:t>
      </w:r>
      <w:r w:rsidR="003D640C">
        <w:t xml:space="preserve"> </w:t>
      </w:r>
      <w:r w:rsidRPr="00BB6220">
        <w:t>at</w:t>
      </w:r>
      <w:r w:rsidR="003D640C">
        <w:t xml:space="preserve"> </w:t>
      </w:r>
      <w:r w:rsidRPr="00BB6220">
        <w:t>my</w:t>
      </w:r>
      <w:r w:rsidR="003D640C">
        <w:t xml:space="preserve"> </w:t>
      </w:r>
      <w:r w:rsidRPr="00BB6220">
        <w:t>house?</w:t>
      </w:r>
      <w:r w:rsidR="003D640C">
        <w:t xml:space="preserve"> </w:t>
      </w:r>
      <w:r w:rsidRPr="00BB6220">
        <w:t>Everything</w:t>
      </w:r>
      <w:r w:rsidR="003D640C">
        <w:t xml:space="preserve"> </w:t>
      </w:r>
      <w:r w:rsidRPr="00BB6220">
        <w:t>felt</w:t>
      </w:r>
      <w:r w:rsidR="003D640C">
        <w:t xml:space="preserve"> </w:t>
      </w:r>
      <w:r w:rsidRPr="00BB6220">
        <w:t>overwhelming</w:t>
      </w:r>
      <w:r w:rsidR="003D640C">
        <w:t xml:space="preserve"> </w:t>
      </w:r>
      <w:r w:rsidRPr="00BB6220">
        <w:t>so</w:t>
      </w:r>
      <w:r w:rsidR="003D640C">
        <w:t xml:space="preserve"> </w:t>
      </w:r>
      <w:r w:rsidRPr="00BB6220">
        <w:t>I</w:t>
      </w:r>
      <w:r w:rsidR="003D640C">
        <w:t xml:space="preserve"> </w:t>
      </w:r>
      <w:r w:rsidRPr="00BB6220">
        <w:t>moved</w:t>
      </w:r>
      <w:r w:rsidR="003D640C">
        <w:t xml:space="preserve"> </w:t>
      </w:r>
      <w:r w:rsidRPr="00BB6220">
        <w:t>to</w:t>
      </w:r>
      <w:r w:rsidR="003D640C">
        <w:t xml:space="preserve"> </w:t>
      </w:r>
      <w:r w:rsidRPr="00BB6220">
        <w:t>a</w:t>
      </w:r>
      <w:r w:rsidR="003D640C">
        <w:t xml:space="preserve"> </w:t>
      </w:r>
      <w:r w:rsidRPr="00BB6220">
        <w:t>new</w:t>
      </w:r>
      <w:r w:rsidR="003D640C">
        <w:t xml:space="preserve"> </w:t>
      </w:r>
      <w:r w:rsidRPr="00BB6220">
        <w:t>town.</w:t>
      </w:r>
      <w:r w:rsidR="003D640C">
        <w:t xml:space="preserve"> </w:t>
      </w:r>
      <w:r w:rsidRPr="00BB6220">
        <w:t>But</w:t>
      </w:r>
      <w:r w:rsidR="003D640C">
        <w:t xml:space="preserve"> </w:t>
      </w:r>
      <w:r w:rsidRPr="00BB6220">
        <w:t>the</w:t>
      </w:r>
      <w:r w:rsidR="003D640C">
        <w:t xml:space="preserve"> </w:t>
      </w:r>
      <w:r w:rsidRPr="00BB6220">
        <w:t>only</w:t>
      </w:r>
      <w:r w:rsidR="003D640C">
        <w:t xml:space="preserve"> </w:t>
      </w:r>
      <w:r w:rsidRPr="00BB6220">
        <w:t>way</w:t>
      </w:r>
      <w:r w:rsidR="003D640C">
        <w:t xml:space="preserve"> </w:t>
      </w:r>
      <w:r w:rsidRPr="00BB6220">
        <w:t>I</w:t>
      </w:r>
      <w:r w:rsidR="003D640C">
        <w:t xml:space="preserve"> </w:t>
      </w:r>
      <w:r w:rsidRPr="00BB6220">
        <w:t>knew</w:t>
      </w:r>
      <w:r w:rsidR="003D640C">
        <w:t xml:space="preserve"> </w:t>
      </w:r>
      <w:r w:rsidRPr="00BB6220">
        <w:t>how</w:t>
      </w:r>
      <w:r w:rsidR="003D640C">
        <w:t xml:space="preserve"> </w:t>
      </w:r>
      <w:r w:rsidRPr="00BB6220">
        <w:t>to</w:t>
      </w:r>
      <w:r w:rsidR="003D640C">
        <w:t xml:space="preserve"> </w:t>
      </w:r>
      <w:r w:rsidRPr="00BB6220">
        <w:t>make</w:t>
      </w:r>
      <w:r w:rsidR="003D640C">
        <w:t xml:space="preserve"> </w:t>
      </w:r>
      <w:r w:rsidRPr="00BB6220">
        <w:t>friends</w:t>
      </w:r>
      <w:r w:rsidR="003D640C">
        <w:t xml:space="preserve"> </w:t>
      </w:r>
      <w:r w:rsidRPr="00BB6220">
        <w:t>was</w:t>
      </w:r>
      <w:r w:rsidR="003D640C">
        <w:t xml:space="preserve"> </w:t>
      </w:r>
      <w:r w:rsidRPr="00BB6220">
        <w:t>through</w:t>
      </w:r>
      <w:r w:rsidR="003D640C">
        <w:t xml:space="preserve"> </w:t>
      </w:r>
      <w:r w:rsidRPr="00BB6220">
        <w:t>church.</w:t>
      </w:r>
      <w:r w:rsidR="003D640C">
        <w:t xml:space="preserve"> </w:t>
      </w:r>
      <w:r w:rsidRPr="00BB6220">
        <w:t>So</w:t>
      </w:r>
      <w:r w:rsidR="003D640C">
        <w:t xml:space="preserve"> </w:t>
      </w:r>
      <w:r w:rsidRPr="00BB6220">
        <w:t>I</w:t>
      </w:r>
      <w:r w:rsidR="003D640C">
        <w:t xml:space="preserve"> </w:t>
      </w:r>
      <w:r w:rsidRPr="00BB6220">
        <w:t>went</w:t>
      </w:r>
      <w:r w:rsidR="003D640C">
        <w:t xml:space="preserve"> </w:t>
      </w:r>
      <w:r w:rsidRPr="00BB6220">
        <w:t>back</w:t>
      </w:r>
      <w:r w:rsidR="003D640C">
        <w:t xml:space="preserve"> </w:t>
      </w:r>
      <w:r w:rsidRPr="00BB6220">
        <w:t>to</w:t>
      </w:r>
      <w:r w:rsidR="003D640C">
        <w:t xml:space="preserve"> </w:t>
      </w:r>
      <w:r w:rsidRPr="00BB6220">
        <w:t>church</w:t>
      </w:r>
      <w:r w:rsidR="003D640C">
        <w:t xml:space="preserve"> </w:t>
      </w:r>
      <w:r w:rsidRPr="00BB6220">
        <w:t>and</w:t>
      </w:r>
      <w:r w:rsidR="003D640C">
        <w:t xml:space="preserve"> </w:t>
      </w:r>
      <w:r w:rsidRPr="00BB6220">
        <w:t>I</w:t>
      </w:r>
      <w:r w:rsidR="003D640C">
        <w:t xml:space="preserve"> </w:t>
      </w:r>
      <w:r w:rsidRPr="00BB6220">
        <w:t>went</w:t>
      </w:r>
      <w:r w:rsidR="003D640C">
        <w:t xml:space="preserve"> </w:t>
      </w:r>
      <w:r w:rsidRPr="00BB6220">
        <w:t>back</w:t>
      </w:r>
      <w:r w:rsidR="003D640C">
        <w:t xml:space="preserve"> </w:t>
      </w:r>
      <w:r w:rsidRPr="00BB6220">
        <w:t>into</w:t>
      </w:r>
      <w:r w:rsidR="003D640C">
        <w:t xml:space="preserve"> </w:t>
      </w:r>
      <w:r w:rsidRPr="00BB6220">
        <w:t>the</w:t>
      </w:r>
      <w:r w:rsidR="003D640C">
        <w:t xml:space="preserve"> </w:t>
      </w:r>
      <w:r w:rsidRPr="00BB6220">
        <w:t>closet</w:t>
      </w:r>
      <w:r w:rsidR="003D640C">
        <w:t xml:space="preserve"> </w:t>
      </w:r>
      <w:r w:rsidRPr="00BB6220">
        <w:t>because</w:t>
      </w:r>
      <w:r w:rsidR="003D640C">
        <w:t xml:space="preserve"> </w:t>
      </w:r>
      <w:r w:rsidRPr="00BB6220">
        <w:t>I</w:t>
      </w:r>
      <w:r w:rsidR="003D640C">
        <w:t xml:space="preserve"> </w:t>
      </w:r>
      <w:bookmarkStart w:id="213" w:name="_Int_589221VO"/>
      <w:r w:rsidRPr="00BB6220">
        <w:t>wasn’t</w:t>
      </w:r>
      <w:bookmarkEnd w:id="213"/>
      <w:r w:rsidR="003D640C">
        <w:t xml:space="preserve"> </w:t>
      </w:r>
      <w:r w:rsidRPr="00BB6220">
        <w:t>going</w:t>
      </w:r>
      <w:r w:rsidR="003D640C">
        <w:t xml:space="preserve"> </w:t>
      </w:r>
      <w:r w:rsidRPr="00BB6220">
        <w:t>to</w:t>
      </w:r>
      <w:r w:rsidR="003D640C">
        <w:t xml:space="preserve"> </w:t>
      </w:r>
      <w:r w:rsidRPr="00BB6220">
        <w:t>be</w:t>
      </w:r>
      <w:r w:rsidR="003D640C">
        <w:t xml:space="preserve"> </w:t>
      </w:r>
      <w:r w:rsidRPr="00BB6220">
        <w:t>able</w:t>
      </w:r>
      <w:r w:rsidR="003D640C">
        <w:t xml:space="preserve"> </w:t>
      </w:r>
      <w:r w:rsidRPr="00BB6220">
        <w:t>to</w:t>
      </w:r>
      <w:r w:rsidR="003D640C">
        <w:t xml:space="preserve"> </w:t>
      </w:r>
      <w:r w:rsidRPr="00BB6220">
        <w:t>make</w:t>
      </w:r>
      <w:r w:rsidR="003D640C">
        <w:t xml:space="preserve"> </w:t>
      </w:r>
      <w:r w:rsidRPr="00BB6220">
        <w:t>friends</w:t>
      </w:r>
      <w:r w:rsidR="003D640C">
        <w:t xml:space="preserve"> </w:t>
      </w:r>
      <w:r w:rsidRPr="00BB6220">
        <w:t>otherwise.</w:t>
      </w:r>
      <w:r w:rsidR="00B6062F">
        <w:t xml:space="preserve"> </w:t>
      </w:r>
      <w:r w:rsidRPr="00BB6220">
        <w:rPr>
          <w:rFonts w:ascii="Calibri" w:eastAsia="Times New Roman" w:hAnsi="Calibri" w:cs="Calibri"/>
        </w:rPr>
        <w:t>I</w:t>
      </w:r>
      <w:r w:rsidR="003D640C">
        <w:rPr>
          <w:rFonts w:ascii="Calibri" w:eastAsia="Times New Roman" w:hAnsi="Calibri" w:cs="Calibri"/>
        </w:rPr>
        <w:t xml:space="preserve"> </w:t>
      </w:r>
      <w:r w:rsidRPr="00BB6220">
        <w:rPr>
          <w:rFonts w:ascii="Calibri" w:eastAsia="Times New Roman" w:hAnsi="Calibri" w:cs="Calibri"/>
        </w:rPr>
        <w:t>had</w:t>
      </w:r>
      <w:r w:rsidR="003D640C">
        <w:rPr>
          <w:rFonts w:ascii="Calibri" w:eastAsia="Times New Roman" w:hAnsi="Calibri" w:cs="Calibri"/>
        </w:rPr>
        <w:t xml:space="preserve"> </w:t>
      </w:r>
      <w:r w:rsidRPr="00BB6220">
        <w:rPr>
          <w:rFonts w:ascii="Calibri" w:eastAsia="Times New Roman" w:hAnsi="Calibri" w:cs="Calibri"/>
        </w:rPr>
        <w:t>people</w:t>
      </w:r>
      <w:r w:rsidR="003D640C">
        <w:rPr>
          <w:rFonts w:ascii="Calibri" w:eastAsia="Times New Roman" w:hAnsi="Calibri" w:cs="Calibri"/>
        </w:rPr>
        <w:t xml:space="preserve"> </w:t>
      </w:r>
      <w:r w:rsidRPr="00BB6220">
        <w:rPr>
          <w:rFonts w:ascii="Calibri" w:eastAsia="Times New Roman" w:hAnsi="Calibri" w:cs="Calibri"/>
        </w:rPr>
        <w:t>doing</w:t>
      </w:r>
      <w:r w:rsidR="003D640C">
        <w:rPr>
          <w:rFonts w:ascii="Calibri" w:eastAsia="Times New Roman" w:hAnsi="Calibri" w:cs="Calibri"/>
        </w:rPr>
        <w:t xml:space="preserve"> </w:t>
      </w:r>
      <w:r w:rsidRPr="00BB6220">
        <w:rPr>
          <w:rFonts w:ascii="Calibri" w:eastAsia="Times New Roman" w:hAnsi="Calibri" w:cs="Calibri"/>
        </w:rPr>
        <w:t>prayer,</w:t>
      </w:r>
      <w:r w:rsidR="003D640C">
        <w:rPr>
          <w:rFonts w:ascii="Calibri" w:eastAsia="Times New Roman" w:hAnsi="Calibri" w:cs="Calibri"/>
        </w:rPr>
        <w:t xml:space="preserve"> </w:t>
      </w:r>
      <w:r w:rsidRPr="00BB6220">
        <w:rPr>
          <w:rFonts w:ascii="Calibri" w:eastAsia="Times New Roman" w:hAnsi="Calibri" w:cs="Calibri"/>
        </w:rPr>
        <w:t>sending</w:t>
      </w:r>
      <w:r w:rsidR="003D640C">
        <w:rPr>
          <w:rFonts w:ascii="Calibri" w:eastAsia="Times New Roman" w:hAnsi="Calibri" w:cs="Calibri"/>
        </w:rPr>
        <w:t xml:space="preserve"> </w:t>
      </w:r>
      <w:r w:rsidRPr="00BB6220">
        <w:rPr>
          <w:rFonts w:ascii="Calibri" w:eastAsia="Times New Roman" w:hAnsi="Calibri" w:cs="Calibri"/>
        </w:rPr>
        <w:t>me</w:t>
      </w:r>
      <w:r w:rsidR="003D640C">
        <w:rPr>
          <w:rFonts w:ascii="Calibri" w:eastAsia="Times New Roman" w:hAnsi="Calibri" w:cs="Calibri"/>
        </w:rPr>
        <w:t xml:space="preserve"> </w:t>
      </w:r>
      <w:r w:rsidR="00B6062F">
        <w:rPr>
          <w:rFonts w:ascii="Calibri" w:eastAsia="Times New Roman" w:hAnsi="Calibri" w:cs="Calibri"/>
        </w:rPr>
        <w:t>B</w:t>
      </w:r>
      <w:r w:rsidRPr="00BB6220">
        <w:rPr>
          <w:rFonts w:ascii="Calibri" w:eastAsia="Times New Roman" w:hAnsi="Calibri" w:cs="Calibri"/>
        </w:rPr>
        <w:t>ible</w:t>
      </w:r>
      <w:r w:rsidR="003D640C">
        <w:rPr>
          <w:rFonts w:ascii="Calibri" w:eastAsia="Times New Roman" w:hAnsi="Calibri" w:cs="Calibri"/>
        </w:rPr>
        <w:t xml:space="preserve"> </w:t>
      </w:r>
      <w:r w:rsidRPr="00BB6220">
        <w:rPr>
          <w:rFonts w:ascii="Calibri" w:eastAsia="Times New Roman" w:hAnsi="Calibri" w:cs="Calibri"/>
        </w:rPr>
        <w:t>verses</w:t>
      </w:r>
      <w:r w:rsidR="003D640C">
        <w:rPr>
          <w:rFonts w:ascii="Calibri" w:eastAsia="Times New Roman" w:hAnsi="Calibri" w:cs="Calibri"/>
        </w:rPr>
        <w:t xml:space="preserve"> </w:t>
      </w:r>
      <w:r w:rsidRPr="00BB6220">
        <w:rPr>
          <w:rFonts w:ascii="Calibri" w:eastAsia="Times New Roman" w:hAnsi="Calibri" w:cs="Calibri"/>
        </w:rPr>
        <w:t>every</w:t>
      </w:r>
      <w:r w:rsidR="003D640C">
        <w:rPr>
          <w:rFonts w:ascii="Calibri" w:eastAsia="Times New Roman" w:hAnsi="Calibri" w:cs="Calibri"/>
        </w:rPr>
        <w:t xml:space="preserve"> </w:t>
      </w:r>
      <w:r w:rsidRPr="00BB6220">
        <w:rPr>
          <w:rFonts w:ascii="Calibri" w:eastAsia="Times New Roman" w:hAnsi="Calibri" w:cs="Calibri"/>
        </w:rPr>
        <w:t>day.</w:t>
      </w:r>
      <w:r w:rsidR="003D640C">
        <w:rPr>
          <w:rFonts w:ascii="Calibri" w:eastAsia="Times New Roman" w:hAnsi="Calibri" w:cs="Calibri"/>
        </w:rPr>
        <w:t xml:space="preserve"> </w:t>
      </w:r>
      <w:r w:rsidRPr="00BB6220">
        <w:rPr>
          <w:rFonts w:ascii="Calibri" w:eastAsia="Times New Roman" w:hAnsi="Calibri" w:cs="Calibri"/>
        </w:rPr>
        <w:t>People</w:t>
      </w:r>
      <w:r w:rsidR="003D640C">
        <w:rPr>
          <w:rFonts w:ascii="Calibri" w:eastAsia="Times New Roman" w:hAnsi="Calibri" w:cs="Calibri"/>
        </w:rPr>
        <w:t xml:space="preserve"> </w:t>
      </w:r>
      <w:r w:rsidRPr="00BB6220">
        <w:rPr>
          <w:rFonts w:ascii="Calibri" w:eastAsia="Times New Roman" w:hAnsi="Calibri" w:cs="Calibri"/>
        </w:rPr>
        <w:t>telling</w:t>
      </w:r>
      <w:r w:rsidR="003D640C">
        <w:rPr>
          <w:rFonts w:ascii="Calibri" w:eastAsia="Times New Roman" w:hAnsi="Calibri" w:cs="Calibri"/>
        </w:rPr>
        <w:t xml:space="preserve"> </w:t>
      </w:r>
      <w:r w:rsidRPr="00BB6220">
        <w:rPr>
          <w:rFonts w:ascii="Calibri" w:eastAsia="Times New Roman" w:hAnsi="Calibri" w:cs="Calibri"/>
        </w:rPr>
        <w:t>me</w:t>
      </w:r>
      <w:r w:rsidR="003D640C">
        <w:rPr>
          <w:rFonts w:ascii="Calibri" w:eastAsia="Times New Roman" w:hAnsi="Calibri" w:cs="Calibri"/>
        </w:rPr>
        <w:t xml:space="preserve"> </w:t>
      </w:r>
      <w:r w:rsidRPr="00BB6220">
        <w:rPr>
          <w:rFonts w:ascii="Calibri" w:eastAsia="Times New Roman" w:hAnsi="Calibri" w:cs="Calibri"/>
        </w:rPr>
        <w:t>they</w:t>
      </w:r>
      <w:r w:rsidR="003D640C">
        <w:rPr>
          <w:rFonts w:ascii="Calibri" w:eastAsia="Times New Roman" w:hAnsi="Calibri" w:cs="Calibri"/>
        </w:rPr>
        <w:t xml:space="preserve"> </w:t>
      </w:r>
      <w:r w:rsidRPr="00BB6220">
        <w:rPr>
          <w:rFonts w:ascii="Calibri" w:eastAsia="Times New Roman" w:hAnsi="Calibri" w:cs="Calibri"/>
        </w:rPr>
        <w:t>couldn’t</w:t>
      </w:r>
      <w:r w:rsidR="003D640C">
        <w:rPr>
          <w:rFonts w:ascii="Calibri" w:eastAsia="Times New Roman" w:hAnsi="Calibri" w:cs="Calibri"/>
        </w:rPr>
        <w:t xml:space="preserve"> </w:t>
      </w:r>
      <w:r w:rsidRPr="00BB6220">
        <w:rPr>
          <w:rFonts w:ascii="Calibri" w:eastAsia="Times New Roman" w:hAnsi="Calibri" w:cs="Calibri"/>
        </w:rPr>
        <w:t>be</w:t>
      </w:r>
      <w:r w:rsidR="003D640C">
        <w:rPr>
          <w:rFonts w:ascii="Calibri" w:eastAsia="Times New Roman" w:hAnsi="Calibri" w:cs="Calibri"/>
        </w:rPr>
        <w:t xml:space="preserve"> </w:t>
      </w:r>
      <w:r w:rsidRPr="00BB6220">
        <w:rPr>
          <w:rFonts w:ascii="Calibri" w:eastAsia="Times New Roman" w:hAnsi="Calibri" w:cs="Calibri"/>
        </w:rPr>
        <w:t>my</w:t>
      </w:r>
      <w:r w:rsidR="003D640C">
        <w:rPr>
          <w:rFonts w:ascii="Calibri" w:eastAsia="Times New Roman" w:hAnsi="Calibri" w:cs="Calibri"/>
        </w:rPr>
        <w:t xml:space="preserve"> </w:t>
      </w:r>
      <w:r w:rsidRPr="00BB6220">
        <w:rPr>
          <w:rFonts w:ascii="Calibri" w:eastAsia="Times New Roman" w:hAnsi="Calibri" w:cs="Calibri"/>
        </w:rPr>
        <w:t>friend</w:t>
      </w:r>
      <w:r w:rsidR="003D640C">
        <w:rPr>
          <w:rFonts w:ascii="Calibri" w:eastAsia="Times New Roman" w:hAnsi="Calibri" w:cs="Calibri"/>
        </w:rPr>
        <w:t xml:space="preserve"> </w:t>
      </w:r>
      <w:r w:rsidRPr="00BB6220">
        <w:rPr>
          <w:rFonts w:ascii="Calibri" w:eastAsia="Times New Roman" w:hAnsi="Calibri" w:cs="Calibri"/>
        </w:rPr>
        <w:t>any</w:t>
      </w:r>
      <w:r w:rsidR="00B6062F">
        <w:rPr>
          <w:rFonts w:ascii="Calibri" w:eastAsia="Times New Roman" w:hAnsi="Calibri" w:cs="Calibri"/>
        </w:rPr>
        <w:t xml:space="preserve"> </w:t>
      </w:r>
      <w:r w:rsidRPr="00BB6220">
        <w:rPr>
          <w:rFonts w:ascii="Calibri" w:eastAsia="Times New Roman" w:hAnsi="Calibri" w:cs="Calibri"/>
        </w:rPr>
        <w:t>more</w:t>
      </w:r>
      <w:r w:rsidR="003D640C">
        <w:rPr>
          <w:rFonts w:ascii="Calibri" w:eastAsia="Times New Roman" w:hAnsi="Calibri" w:cs="Calibri"/>
        </w:rPr>
        <w:t xml:space="preserve"> </w:t>
      </w:r>
      <w:r w:rsidRPr="00BB6220">
        <w:rPr>
          <w:rFonts w:ascii="Calibri" w:eastAsia="Times New Roman" w:hAnsi="Calibri" w:cs="Calibri"/>
        </w:rPr>
        <w:t>and</w:t>
      </w:r>
      <w:r w:rsidR="003D640C">
        <w:rPr>
          <w:rFonts w:ascii="Calibri" w:eastAsia="Times New Roman" w:hAnsi="Calibri" w:cs="Calibri"/>
        </w:rPr>
        <w:t xml:space="preserve"> </w:t>
      </w:r>
      <w:r w:rsidRPr="00BB6220">
        <w:rPr>
          <w:rFonts w:ascii="Calibri" w:eastAsia="Times New Roman" w:hAnsi="Calibri" w:cs="Calibri"/>
        </w:rPr>
        <w:t>threatening</w:t>
      </w:r>
      <w:r w:rsidR="003D640C">
        <w:rPr>
          <w:rFonts w:ascii="Calibri" w:eastAsia="Times New Roman" w:hAnsi="Calibri" w:cs="Calibri"/>
        </w:rPr>
        <w:t xml:space="preserve"> </w:t>
      </w:r>
      <w:r w:rsidRPr="00BB6220">
        <w:rPr>
          <w:rFonts w:ascii="Calibri" w:eastAsia="Times New Roman" w:hAnsi="Calibri" w:cs="Calibri"/>
        </w:rPr>
        <w:t>to</w:t>
      </w:r>
      <w:r w:rsidR="003D640C">
        <w:rPr>
          <w:rFonts w:ascii="Calibri" w:eastAsia="Times New Roman" w:hAnsi="Calibri" w:cs="Calibri"/>
        </w:rPr>
        <w:t xml:space="preserve"> </w:t>
      </w:r>
      <w:r w:rsidRPr="00BB6220">
        <w:rPr>
          <w:rFonts w:ascii="Calibri" w:eastAsia="Times New Roman" w:hAnsi="Calibri" w:cs="Calibri"/>
        </w:rPr>
        <w:t>leave</w:t>
      </w:r>
      <w:r w:rsidR="003D640C">
        <w:rPr>
          <w:rFonts w:ascii="Calibri" w:eastAsia="Times New Roman" w:hAnsi="Calibri" w:cs="Calibri"/>
        </w:rPr>
        <w:t xml:space="preserve"> </w:t>
      </w:r>
      <w:r w:rsidRPr="00BB6220">
        <w:rPr>
          <w:rFonts w:ascii="Calibri" w:eastAsia="Times New Roman" w:hAnsi="Calibri" w:cs="Calibri"/>
        </w:rPr>
        <w:t>the</w:t>
      </w:r>
      <w:r w:rsidR="003D640C">
        <w:rPr>
          <w:rFonts w:ascii="Calibri" w:eastAsia="Times New Roman" w:hAnsi="Calibri" w:cs="Calibri"/>
        </w:rPr>
        <w:t xml:space="preserve"> </w:t>
      </w:r>
      <w:r w:rsidRPr="00BB6220">
        <w:rPr>
          <w:rFonts w:ascii="Calibri" w:eastAsia="Times New Roman" w:hAnsi="Calibri" w:cs="Calibri"/>
        </w:rPr>
        <w:t>church</w:t>
      </w:r>
      <w:r w:rsidR="003D640C">
        <w:rPr>
          <w:rFonts w:ascii="Calibri" w:eastAsia="Times New Roman" w:hAnsi="Calibri" w:cs="Calibri"/>
        </w:rPr>
        <w:t xml:space="preserve"> </w:t>
      </w:r>
      <w:r w:rsidRPr="00BB6220">
        <w:rPr>
          <w:rFonts w:ascii="Calibri" w:eastAsia="Times New Roman" w:hAnsi="Calibri" w:cs="Calibri"/>
        </w:rPr>
        <w:t>if</w:t>
      </w:r>
      <w:r w:rsidR="003D640C">
        <w:rPr>
          <w:rFonts w:ascii="Calibri" w:eastAsia="Times New Roman" w:hAnsi="Calibri" w:cs="Calibri"/>
        </w:rPr>
        <w:t xml:space="preserve"> </w:t>
      </w:r>
      <w:r w:rsidRPr="00BB6220">
        <w:rPr>
          <w:rFonts w:ascii="Calibri" w:eastAsia="Times New Roman" w:hAnsi="Calibri" w:cs="Calibri"/>
        </w:rPr>
        <w:t>I</w:t>
      </w:r>
      <w:r w:rsidR="003D640C">
        <w:rPr>
          <w:rFonts w:ascii="Calibri" w:eastAsia="Times New Roman" w:hAnsi="Calibri" w:cs="Calibri"/>
        </w:rPr>
        <w:t xml:space="preserve"> </w:t>
      </w:r>
      <w:r w:rsidRPr="00BB6220">
        <w:rPr>
          <w:rFonts w:ascii="Calibri" w:eastAsia="Times New Roman" w:hAnsi="Calibri" w:cs="Calibri"/>
        </w:rPr>
        <w:t>didn’t</w:t>
      </w:r>
      <w:r w:rsidR="003D640C">
        <w:rPr>
          <w:rFonts w:ascii="Calibri" w:eastAsia="Times New Roman" w:hAnsi="Calibri" w:cs="Calibri"/>
        </w:rPr>
        <w:t xml:space="preserve"> </w:t>
      </w:r>
      <w:r w:rsidRPr="00BB6220">
        <w:rPr>
          <w:rFonts w:ascii="Calibri" w:eastAsia="Times New Roman" w:hAnsi="Calibri" w:cs="Calibri"/>
        </w:rPr>
        <w:t>leave.</w:t>
      </w:r>
      <w:r w:rsidR="003D640C">
        <w:rPr>
          <w:rFonts w:ascii="Calibri" w:eastAsia="Times New Roman" w:hAnsi="Calibri" w:cs="Calibri"/>
        </w:rPr>
        <w:t xml:space="preserve"> </w:t>
      </w:r>
      <w:r w:rsidRPr="00BB6220">
        <w:rPr>
          <w:rFonts w:ascii="Calibri" w:eastAsia="Times New Roman" w:hAnsi="Calibri" w:cs="Calibri"/>
        </w:rPr>
        <w:t>It</w:t>
      </w:r>
      <w:r w:rsidR="003D640C">
        <w:rPr>
          <w:rFonts w:ascii="Calibri" w:eastAsia="Times New Roman" w:hAnsi="Calibri" w:cs="Calibri"/>
        </w:rPr>
        <w:t xml:space="preserve"> </w:t>
      </w:r>
      <w:r w:rsidRPr="00BB6220">
        <w:rPr>
          <w:rFonts w:ascii="Calibri" w:eastAsia="Times New Roman" w:hAnsi="Calibri" w:cs="Calibri"/>
        </w:rPr>
        <w:t>was</w:t>
      </w:r>
      <w:r w:rsidR="003D640C">
        <w:rPr>
          <w:rFonts w:ascii="Calibri" w:eastAsia="Times New Roman" w:hAnsi="Calibri" w:cs="Calibri"/>
        </w:rPr>
        <w:t xml:space="preserve"> </w:t>
      </w:r>
      <w:r w:rsidRPr="00BB6220">
        <w:rPr>
          <w:rFonts w:ascii="Calibri" w:eastAsia="Times New Roman" w:hAnsi="Calibri" w:cs="Calibri"/>
        </w:rPr>
        <w:t>a</w:t>
      </w:r>
      <w:r w:rsidR="003D640C">
        <w:rPr>
          <w:rFonts w:ascii="Calibri" w:eastAsia="Times New Roman" w:hAnsi="Calibri" w:cs="Calibri"/>
        </w:rPr>
        <w:t xml:space="preserve"> </w:t>
      </w:r>
      <w:r w:rsidRPr="00BB6220">
        <w:rPr>
          <w:rFonts w:ascii="Calibri" w:eastAsia="Times New Roman" w:hAnsi="Calibri" w:cs="Calibri"/>
        </w:rPr>
        <w:t>long</w:t>
      </w:r>
      <w:r w:rsidR="003D640C">
        <w:rPr>
          <w:rFonts w:ascii="Calibri" w:eastAsia="Times New Roman" w:hAnsi="Calibri" w:cs="Calibri"/>
        </w:rPr>
        <w:t xml:space="preserve"> </w:t>
      </w:r>
      <w:r w:rsidRPr="00BB6220">
        <w:rPr>
          <w:rFonts w:ascii="Calibri" w:eastAsia="Times New Roman" w:hAnsi="Calibri" w:cs="Calibri"/>
        </w:rPr>
        <w:t>process.</w:t>
      </w:r>
      <w:r w:rsidR="003D640C">
        <w:rPr>
          <w:rFonts w:ascii="Calibri" w:eastAsia="Times New Roman" w:hAnsi="Calibri" w:cs="Calibri"/>
        </w:rPr>
        <w:t xml:space="preserve"> </w:t>
      </w:r>
      <w:r w:rsidRPr="00BB6220">
        <w:rPr>
          <w:rFonts w:ascii="Calibri" w:eastAsia="Times New Roman" w:hAnsi="Calibri" w:cs="Calibri"/>
        </w:rPr>
        <w:t>I</w:t>
      </w:r>
      <w:r w:rsidR="003D640C">
        <w:rPr>
          <w:rFonts w:ascii="Calibri" w:eastAsia="Times New Roman" w:hAnsi="Calibri" w:cs="Calibri"/>
        </w:rPr>
        <w:t xml:space="preserve"> </w:t>
      </w:r>
      <w:r w:rsidRPr="00BB6220">
        <w:rPr>
          <w:rFonts w:ascii="Calibri" w:eastAsia="Times New Roman" w:hAnsi="Calibri" w:cs="Calibri"/>
        </w:rPr>
        <w:t>started</w:t>
      </w:r>
      <w:r w:rsidR="003D640C">
        <w:rPr>
          <w:rFonts w:ascii="Calibri" w:eastAsia="Times New Roman" w:hAnsi="Calibri" w:cs="Calibri"/>
        </w:rPr>
        <w:t xml:space="preserve"> </w:t>
      </w:r>
      <w:r w:rsidRPr="00BB6220">
        <w:rPr>
          <w:rFonts w:ascii="Calibri" w:eastAsia="Times New Roman" w:hAnsi="Calibri" w:cs="Calibri"/>
        </w:rPr>
        <w:t>going</w:t>
      </w:r>
      <w:r w:rsidR="003D640C">
        <w:rPr>
          <w:rFonts w:ascii="Calibri" w:eastAsia="Times New Roman" w:hAnsi="Calibri" w:cs="Calibri"/>
        </w:rPr>
        <w:t xml:space="preserve"> </w:t>
      </w:r>
      <w:r w:rsidRPr="00BB6220">
        <w:rPr>
          <w:rFonts w:ascii="Calibri" w:eastAsia="Times New Roman" w:hAnsi="Calibri" w:cs="Calibri"/>
        </w:rPr>
        <w:t>to</w:t>
      </w:r>
      <w:r w:rsidR="003D640C">
        <w:rPr>
          <w:rFonts w:ascii="Calibri" w:eastAsia="Times New Roman" w:hAnsi="Calibri" w:cs="Calibri"/>
        </w:rPr>
        <w:t xml:space="preserve"> </w:t>
      </w:r>
      <w:r w:rsidRPr="00BB6220">
        <w:rPr>
          <w:rFonts w:ascii="Calibri" w:eastAsia="Times New Roman" w:hAnsi="Calibri" w:cs="Calibri"/>
        </w:rPr>
        <w:t>[</w:t>
      </w:r>
      <w:r>
        <w:rPr>
          <w:rFonts w:ascii="Calibri" w:eastAsia="Times New Roman" w:hAnsi="Calibri" w:cs="Calibri"/>
        </w:rPr>
        <w:t>Rainbow</w:t>
      </w:r>
      <w:r w:rsidR="00B6062F">
        <w:rPr>
          <w:rFonts w:ascii="Calibri" w:eastAsia="Times New Roman" w:hAnsi="Calibri" w:cs="Calibri"/>
        </w:rPr>
        <w:t>-</w:t>
      </w:r>
      <w:r w:rsidRPr="00BB6220">
        <w:rPr>
          <w:rFonts w:ascii="Calibri" w:eastAsia="Times New Roman" w:hAnsi="Calibri" w:cs="Calibri"/>
        </w:rPr>
        <w:t>affirming]</w:t>
      </w:r>
      <w:r w:rsidR="003D640C">
        <w:rPr>
          <w:rFonts w:ascii="Calibri" w:eastAsia="Times New Roman" w:hAnsi="Calibri" w:cs="Calibri"/>
        </w:rPr>
        <w:t xml:space="preserve"> </w:t>
      </w:r>
      <w:r w:rsidRPr="00BB6220">
        <w:rPr>
          <w:rFonts w:ascii="Calibri" w:eastAsia="Times New Roman" w:hAnsi="Calibri" w:cs="Calibri"/>
        </w:rPr>
        <w:t>therapy</w:t>
      </w:r>
      <w:r w:rsidR="003D640C">
        <w:rPr>
          <w:rFonts w:ascii="Calibri" w:eastAsia="Times New Roman" w:hAnsi="Calibri" w:cs="Calibri"/>
        </w:rPr>
        <w:t xml:space="preserve"> </w:t>
      </w:r>
      <w:r w:rsidRPr="00BB6220">
        <w:rPr>
          <w:rFonts w:ascii="Calibri" w:eastAsia="Times New Roman" w:hAnsi="Calibri" w:cs="Calibri"/>
        </w:rPr>
        <w:t>and</w:t>
      </w:r>
      <w:r w:rsidR="003D640C">
        <w:rPr>
          <w:rFonts w:ascii="Calibri" w:eastAsia="Times New Roman" w:hAnsi="Calibri" w:cs="Calibri"/>
        </w:rPr>
        <w:t xml:space="preserve"> </w:t>
      </w:r>
      <w:r w:rsidRPr="00BB6220">
        <w:rPr>
          <w:rFonts w:ascii="Calibri" w:eastAsia="Times New Roman" w:hAnsi="Calibri" w:cs="Calibri"/>
        </w:rPr>
        <w:t>my</w:t>
      </w:r>
      <w:r w:rsidR="003D640C">
        <w:rPr>
          <w:rFonts w:ascii="Calibri" w:eastAsia="Times New Roman" w:hAnsi="Calibri" w:cs="Calibri"/>
        </w:rPr>
        <w:t xml:space="preserve"> </w:t>
      </w:r>
      <w:r w:rsidRPr="00BB6220">
        <w:rPr>
          <w:rFonts w:ascii="Calibri" w:eastAsia="Times New Roman" w:hAnsi="Calibri" w:cs="Calibri"/>
        </w:rPr>
        <w:t>therapist</w:t>
      </w:r>
      <w:r w:rsidR="003D640C">
        <w:rPr>
          <w:rFonts w:ascii="Calibri" w:eastAsia="Times New Roman" w:hAnsi="Calibri" w:cs="Calibri"/>
        </w:rPr>
        <w:t xml:space="preserve"> </w:t>
      </w:r>
      <w:r w:rsidRPr="00BB6220">
        <w:rPr>
          <w:rFonts w:ascii="Calibri" w:eastAsia="Times New Roman" w:hAnsi="Calibri" w:cs="Calibri"/>
        </w:rPr>
        <w:t>said,</w:t>
      </w:r>
      <w:r w:rsidR="003D640C">
        <w:rPr>
          <w:rFonts w:ascii="Calibri" w:eastAsia="Times New Roman" w:hAnsi="Calibri" w:cs="Calibri"/>
        </w:rPr>
        <w:t xml:space="preserve"> </w:t>
      </w:r>
      <w:r w:rsidR="00B6062F">
        <w:rPr>
          <w:rFonts w:ascii="Calibri" w:eastAsia="Times New Roman" w:hAnsi="Calibri" w:cs="Calibri"/>
        </w:rPr>
        <w:t>‘</w:t>
      </w:r>
      <w:r w:rsidRPr="00BB6220">
        <w:rPr>
          <w:rFonts w:ascii="Calibri" w:eastAsia="Times New Roman" w:hAnsi="Calibri" w:cs="Calibri"/>
        </w:rPr>
        <w:t>I’m</w:t>
      </w:r>
      <w:r w:rsidR="003D640C">
        <w:rPr>
          <w:rFonts w:ascii="Calibri" w:eastAsia="Times New Roman" w:hAnsi="Calibri" w:cs="Calibri"/>
        </w:rPr>
        <w:t xml:space="preserve"> </w:t>
      </w:r>
      <w:r w:rsidRPr="00BB6220">
        <w:rPr>
          <w:rFonts w:ascii="Calibri" w:eastAsia="Times New Roman" w:hAnsi="Calibri" w:cs="Calibri"/>
        </w:rPr>
        <w:t>so</w:t>
      </w:r>
      <w:r w:rsidR="003D640C">
        <w:rPr>
          <w:rFonts w:ascii="Calibri" w:eastAsia="Times New Roman" w:hAnsi="Calibri" w:cs="Calibri"/>
        </w:rPr>
        <w:t xml:space="preserve"> </w:t>
      </w:r>
      <w:r w:rsidRPr="00BB6220">
        <w:rPr>
          <w:rFonts w:ascii="Calibri" w:eastAsia="Times New Roman" w:hAnsi="Calibri" w:cs="Calibri"/>
        </w:rPr>
        <w:t>excited</w:t>
      </w:r>
      <w:r w:rsidR="003D640C">
        <w:rPr>
          <w:rFonts w:ascii="Calibri" w:eastAsia="Times New Roman" w:hAnsi="Calibri" w:cs="Calibri"/>
        </w:rPr>
        <w:t xml:space="preserve"> </w:t>
      </w:r>
      <w:r w:rsidRPr="00BB6220">
        <w:rPr>
          <w:rFonts w:ascii="Calibri" w:eastAsia="Times New Roman" w:hAnsi="Calibri" w:cs="Calibri"/>
        </w:rPr>
        <w:t>for</w:t>
      </w:r>
      <w:r w:rsidR="003D640C">
        <w:rPr>
          <w:rFonts w:ascii="Calibri" w:eastAsia="Times New Roman" w:hAnsi="Calibri" w:cs="Calibri"/>
        </w:rPr>
        <w:t xml:space="preserve"> </w:t>
      </w:r>
      <w:r w:rsidRPr="00BB6220">
        <w:rPr>
          <w:rFonts w:ascii="Calibri" w:eastAsia="Times New Roman" w:hAnsi="Calibri" w:cs="Calibri"/>
        </w:rPr>
        <w:t>you.</w:t>
      </w:r>
      <w:r w:rsidR="003D640C">
        <w:rPr>
          <w:rFonts w:ascii="Calibri" w:eastAsia="Times New Roman" w:hAnsi="Calibri" w:cs="Calibri"/>
        </w:rPr>
        <w:t xml:space="preserve"> </w:t>
      </w:r>
      <w:r w:rsidRPr="00BB6220">
        <w:rPr>
          <w:rFonts w:ascii="Calibri" w:eastAsia="Times New Roman" w:hAnsi="Calibri" w:cs="Calibri"/>
        </w:rPr>
        <w:t>You’re</w:t>
      </w:r>
      <w:r w:rsidR="003D640C">
        <w:rPr>
          <w:rFonts w:ascii="Calibri" w:eastAsia="Times New Roman" w:hAnsi="Calibri" w:cs="Calibri"/>
        </w:rPr>
        <w:t xml:space="preserve"> </w:t>
      </w:r>
      <w:r w:rsidRPr="00BB6220">
        <w:rPr>
          <w:rFonts w:ascii="Calibri" w:eastAsia="Times New Roman" w:hAnsi="Calibri" w:cs="Calibri"/>
        </w:rPr>
        <w:t>a</w:t>
      </w:r>
      <w:r w:rsidR="003D640C">
        <w:rPr>
          <w:rFonts w:ascii="Calibri" w:eastAsia="Times New Roman" w:hAnsi="Calibri" w:cs="Calibri"/>
        </w:rPr>
        <w:t xml:space="preserve"> </w:t>
      </w:r>
      <w:r w:rsidRPr="00BB6220">
        <w:rPr>
          <w:rFonts w:ascii="Calibri" w:eastAsia="Times New Roman" w:hAnsi="Calibri" w:cs="Calibri"/>
        </w:rPr>
        <w:t>beautiful,</w:t>
      </w:r>
      <w:r w:rsidR="003D640C">
        <w:rPr>
          <w:rFonts w:ascii="Calibri" w:eastAsia="Times New Roman" w:hAnsi="Calibri" w:cs="Calibri"/>
        </w:rPr>
        <w:t xml:space="preserve"> </w:t>
      </w:r>
      <w:r w:rsidRPr="00BB6220">
        <w:rPr>
          <w:rFonts w:ascii="Calibri" w:eastAsia="Times New Roman" w:hAnsi="Calibri" w:cs="Calibri"/>
        </w:rPr>
        <w:t>charming,</w:t>
      </w:r>
      <w:r w:rsidR="003D640C">
        <w:rPr>
          <w:rFonts w:ascii="Calibri" w:eastAsia="Times New Roman" w:hAnsi="Calibri" w:cs="Calibri"/>
        </w:rPr>
        <w:t xml:space="preserve"> </w:t>
      </w:r>
      <w:r w:rsidRPr="00BB6220">
        <w:rPr>
          <w:rFonts w:ascii="Calibri" w:eastAsia="Times New Roman" w:hAnsi="Calibri" w:cs="Calibri"/>
        </w:rPr>
        <w:t>and</w:t>
      </w:r>
      <w:r w:rsidR="003D640C">
        <w:rPr>
          <w:rFonts w:ascii="Calibri" w:eastAsia="Times New Roman" w:hAnsi="Calibri" w:cs="Calibri"/>
        </w:rPr>
        <w:t xml:space="preserve"> </w:t>
      </w:r>
      <w:r w:rsidRPr="00BB6220">
        <w:rPr>
          <w:rFonts w:ascii="Calibri" w:eastAsia="Times New Roman" w:hAnsi="Calibri" w:cs="Calibri"/>
        </w:rPr>
        <w:t>intelligent</w:t>
      </w:r>
      <w:r w:rsidR="003D640C">
        <w:rPr>
          <w:rFonts w:ascii="Calibri" w:eastAsia="Times New Roman" w:hAnsi="Calibri" w:cs="Calibri"/>
        </w:rPr>
        <w:t xml:space="preserve"> </w:t>
      </w:r>
      <w:r w:rsidRPr="00BB6220">
        <w:rPr>
          <w:rFonts w:ascii="Calibri" w:eastAsia="Times New Roman" w:hAnsi="Calibri" w:cs="Calibri"/>
        </w:rPr>
        <w:t>person.</w:t>
      </w:r>
      <w:r w:rsidR="003D640C">
        <w:rPr>
          <w:rFonts w:ascii="Calibri" w:eastAsia="Times New Roman" w:hAnsi="Calibri" w:cs="Calibri"/>
        </w:rPr>
        <w:t xml:space="preserve"> </w:t>
      </w:r>
      <w:r w:rsidRPr="00BB6220">
        <w:rPr>
          <w:rFonts w:ascii="Calibri" w:eastAsia="Times New Roman" w:hAnsi="Calibri" w:cs="Calibri"/>
        </w:rPr>
        <w:t>And</w:t>
      </w:r>
      <w:r w:rsidR="003D640C">
        <w:rPr>
          <w:rFonts w:ascii="Calibri" w:eastAsia="Times New Roman" w:hAnsi="Calibri" w:cs="Calibri"/>
        </w:rPr>
        <w:t xml:space="preserve"> </w:t>
      </w:r>
      <w:r w:rsidRPr="00BB6220">
        <w:rPr>
          <w:rFonts w:ascii="Calibri" w:eastAsia="Times New Roman" w:hAnsi="Calibri" w:cs="Calibri"/>
        </w:rPr>
        <w:t>I’m</w:t>
      </w:r>
      <w:r w:rsidR="003D640C">
        <w:rPr>
          <w:rFonts w:ascii="Calibri" w:eastAsia="Times New Roman" w:hAnsi="Calibri" w:cs="Calibri"/>
        </w:rPr>
        <w:t xml:space="preserve"> </w:t>
      </w:r>
      <w:r w:rsidRPr="00BB6220">
        <w:rPr>
          <w:rFonts w:ascii="Calibri" w:eastAsia="Times New Roman" w:hAnsi="Calibri" w:cs="Calibri"/>
        </w:rPr>
        <w:t>excited</w:t>
      </w:r>
      <w:r w:rsidR="003D640C">
        <w:rPr>
          <w:rFonts w:ascii="Calibri" w:eastAsia="Times New Roman" w:hAnsi="Calibri" w:cs="Calibri"/>
        </w:rPr>
        <w:t xml:space="preserve"> </w:t>
      </w:r>
      <w:r w:rsidRPr="00BB6220">
        <w:rPr>
          <w:rFonts w:ascii="Calibri" w:eastAsia="Times New Roman" w:hAnsi="Calibri" w:cs="Calibri"/>
        </w:rPr>
        <w:t>for</w:t>
      </w:r>
      <w:r w:rsidR="003D640C">
        <w:rPr>
          <w:rFonts w:ascii="Calibri" w:eastAsia="Times New Roman" w:hAnsi="Calibri" w:cs="Calibri"/>
        </w:rPr>
        <w:t xml:space="preserve"> </w:t>
      </w:r>
      <w:r w:rsidRPr="00BB6220">
        <w:rPr>
          <w:rFonts w:ascii="Calibri" w:eastAsia="Times New Roman" w:hAnsi="Calibri" w:cs="Calibri"/>
        </w:rPr>
        <w:t>your</w:t>
      </w:r>
      <w:r w:rsidR="003D640C">
        <w:rPr>
          <w:rFonts w:ascii="Calibri" w:eastAsia="Times New Roman" w:hAnsi="Calibri" w:cs="Calibri"/>
        </w:rPr>
        <w:t xml:space="preserve"> </w:t>
      </w:r>
      <w:r w:rsidRPr="00BB6220">
        <w:rPr>
          <w:rFonts w:ascii="Calibri" w:eastAsia="Times New Roman" w:hAnsi="Calibri" w:cs="Calibri"/>
        </w:rPr>
        <w:t>future.’</w:t>
      </w:r>
      <w:r w:rsidR="003D640C">
        <w:rPr>
          <w:rFonts w:ascii="Calibri" w:eastAsia="Times New Roman" w:hAnsi="Calibri" w:cs="Calibri"/>
        </w:rPr>
        <w:t xml:space="preserve"> </w:t>
      </w:r>
      <w:r w:rsidRPr="00BB6220">
        <w:rPr>
          <w:rFonts w:ascii="Calibri" w:eastAsia="Times New Roman" w:hAnsi="Calibri" w:cs="Calibri"/>
        </w:rPr>
        <w:t>It</w:t>
      </w:r>
      <w:r w:rsidR="003D640C">
        <w:rPr>
          <w:rFonts w:ascii="Calibri" w:eastAsia="Times New Roman" w:hAnsi="Calibri" w:cs="Calibri"/>
        </w:rPr>
        <w:t xml:space="preserve"> </w:t>
      </w:r>
      <w:r w:rsidRPr="00BB6220">
        <w:rPr>
          <w:rFonts w:ascii="Calibri" w:eastAsia="Times New Roman" w:hAnsi="Calibri" w:cs="Calibri"/>
        </w:rPr>
        <w:t>really</w:t>
      </w:r>
      <w:r w:rsidR="003D640C">
        <w:rPr>
          <w:rFonts w:ascii="Calibri" w:eastAsia="Times New Roman" w:hAnsi="Calibri" w:cs="Calibri"/>
        </w:rPr>
        <w:t xml:space="preserve"> </w:t>
      </w:r>
      <w:r w:rsidRPr="00BB6220">
        <w:rPr>
          <w:rFonts w:ascii="Calibri" w:eastAsia="Times New Roman" w:hAnsi="Calibri" w:cs="Calibri"/>
        </w:rPr>
        <w:t>stuck</w:t>
      </w:r>
      <w:r w:rsidR="003D640C">
        <w:rPr>
          <w:rFonts w:ascii="Calibri" w:eastAsia="Times New Roman" w:hAnsi="Calibri" w:cs="Calibri"/>
        </w:rPr>
        <w:t xml:space="preserve"> </w:t>
      </w:r>
      <w:r w:rsidRPr="00BB6220">
        <w:rPr>
          <w:rFonts w:ascii="Calibri" w:eastAsia="Times New Roman" w:hAnsi="Calibri" w:cs="Calibri"/>
        </w:rPr>
        <w:t>with</w:t>
      </w:r>
      <w:r w:rsidR="003D640C">
        <w:rPr>
          <w:rFonts w:ascii="Calibri" w:eastAsia="Times New Roman" w:hAnsi="Calibri" w:cs="Calibri"/>
        </w:rPr>
        <w:t xml:space="preserve"> </w:t>
      </w:r>
      <w:r w:rsidRPr="00BB6220">
        <w:rPr>
          <w:rFonts w:ascii="Calibri" w:eastAsia="Times New Roman" w:hAnsi="Calibri" w:cs="Calibri"/>
        </w:rPr>
        <w:t>me.</w:t>
      </w:r>
      <w:r w:rsidR="003D640C">
        <w:rPr>
          <w:rFonts w:ascii="Calibri" w:eastAsia="Times New Roman" w:hAnsi="Calibri" w:cs="Calibri"/>
        </w:rPr>
        <w:t xml:space="preserve"> </w:t>
      </w:r>
      <w:r w:rsidRPr="00BB6220">
        <w:rPr>
          <w:rFonts w:ascii="Calibri" w:eastAsia="Times New Roman" w:hAnsi="Calibri" w:cs="Calibri"/>
        </w:rPr>
        <w:t>It</w:t>
      </w:r>
      <w:r w:rsidR="003D640C">
        <w:rPr>
          <w:rFonts w:ascii="Calibri" w:eastAsia="Times New Roman" w:hAnsi="Calibri" w:cs="Calibri"/>
        </w:rPr>
        <w:t xml:space="preserve"> </w:t>
      </w:r>
      <w:r w:rsidRPr="00BB6220">
        <w:rPr>
          <w:rFonts w:ascii="Calibri" w:eastAsia="Times New Roman" w:hAnsi="Calibri" w:cs="Calibri"/>
        </w:rPr>
        <w:t>made</w:t>
      </w:r>
      <w:r w:rsidR="003D640C">
        <w:rPr>
          <w:rFonts w:ascii="Calibri" w:eastAsia="Times New Roman" w:hAnsi="Calibri" w:cs="Calibri"/>
        </w:rPr>
        <w:t xml:space="preserve"> </w:t>
      </w:r>
      <w:r w:rsidRPr="00BB6220">
        <w:rPr>
          <w:rFonts w:ascii="Calibri" w:eastAsia="Times New Roman" w:hAnsi="Calibri" w:cs="Calibri"/>
        </w:rPr>
        <w:t>me</w:t>
      </w:r>
      <w:r w:rsidR="003D640C">
        <w:rPr>
          <w:rFonts w:ascii="Calibri" w:eastAsia="Times New Roman" w:hAnsi="Calibri" w:cs="Calibri"/>
        </w:rPr>
        <w:t xml:space="preserve"> </w:t>
      </w:r>
      <w:r w:rsidRPr="00BB6220">
        <w:rPr>
          <w:rFonts w:ascii="Calibri" w:eastAsia="Times New Roman" w:hAnsi="Calibri" w:cs="Calibri"/>
        </w:rPr>
        <w:t>feel</w:t>
      </w:r>
      <w:r w:rsidR="003D640C">
        <w:rPr>
          <w:rFonts w:ascii="Calibri" w:eastAsia="Times New Roman" w:hAnsi="Calibri" w:cs="Calibri"/>
        </w:rPr>
        <w:t xml:space="preserve"> </w:t>
      </w:r>
      <w:r w:rsidRPr="00BB6220">
        <w:rPr>
          <w:rFonts w:ascii="Calibri" w:eastAsia="Times New Roman" w:hAnsi="Calibri" w:cs="Calibri"/>
        </w:rPr>
        <w:t>powerful</w:t>
      </w:r>
      <w:r w:rsidR="003D640C">
        <w:rPr>
          <w:rFonts w:ascii="Calibri" w:eastAsia="Times New Roman" w:hAnsi="Calibri" w:cs="Calibri"/>
        </w:rPr>
        <w:t xml:space="preserve"> </w:t>
      </w:r>
      <w:r w:rsidRPr="00BB6220">
        <w:rPr>
          <w:rFonts w:ascii="Calibri" w:eastAsia="Times New Roman" w:hAnsi="Calibri" w:cs="Calibri"/>
        </w:rPr>
        <w:t>because</w:t>
      </w:r>
      <w:r w:rsidR="003D640C">
        <w:rPr>
          <w:rFonts w:ascii="Calibri" w:eastAsia="Times New Roman" w:hAnsi="Calibri" w:cs="Calibri"/>
        </w:rPr>
        <w:t xml:space="preserve"> </w:t>
      </w:r>
      <w:r w:rsidRPr="00BB6220">
        <w:rPr>
          <w:rFonts w:ascii="Calibri" w:eastAsia="Times New Roman" w:hAnsi="Calibri" w:cs="Calibri"/>
        </w:rPr>
        <w:t>I</w:t>
      </w:r>
      <w:r w:rsidR="003D640C">
        <w:rPr>
          <w:rFonts w:ascii="Calibri" w:eastAsia="Times New Roman" w:hAnsi="Calibri" w:cs="Calibri"/>
        </w:rPr>
        <w:t xml:space="preserve"> </w:t>
      </w:r>
      <w:r w:rsidRPr="00BB6220">
        <w:rPr>
          <w:rFonts w:ascii="Calibri" w:eastAsia="Times New Roman" w:hAnsi="Calibri" w:cs="Calibri"/>
        </w:rPr>
        <w:t>felt</w:t>
      </w:r>
      <w:r w:rsidR="003D640C">
        <w:rPr>
          <w:rFonts w:ascii="Calibri" w:eastAsia="Times New Roman" w:hAnsi="Calibri" w:cs="Calibri"/>
        </w:rPr>
        <w:t xml:space="preserve"> </w:t>
      </w:r>
      <w:r w:rsidRPr="00BB6220">
        <w:rPr>
          <w:rFonts w:ascii="Calibri" w:eastAsia="Times New Roman" w:hAnsi="Calibri" w:cs="Calibri"/>
        </w:rPr>
        <w:t>so</w:t>
      </w:r>
      <w:r w:rsidR="003D640C">
        <w:rPr>
          <w:rFonts w:ascii="Calibri" w:eastAsia="Times New Roman" w:hAnsi="Calibri" w:cs="Calibri"/>
        </w:rPr>
        <w:t xml:space="preserve"> </w:t>
      </w:r>
      <w:r w:rsidRPr="00BB6220">
        <w:rPr>
          <w:rFonts w:ascii="Calibri" w:eastAsia="Times New Roman" w:hAnsi="Calibri" w:cs="Calibri"/>
        </w:rPr>
        <w:t>weak</w:t>
      </w:r>
      <w:r w:rsidR="003D640C">
        <w:rPr>
          <w:rFonts w:ascii="Calibri" w:eastAsia="Times New Roman" w:hAnsi="Calibri" w:cs="Calibri"/>
        </w:rPr>
        <w:t xml:space="preserve"> </w:t>
      </w:r>
      <w:r w:rsidRPr="00BB6220">
        <w:rPr>
          <w:rFonts w:ascii="Calibri" w:eastAsia="Times New Roman" w:hAnsi="Calibri" w:cs="Calibri"/>
        </w:rPr>
        <w:t>against</w:t>
      </w:r>
      <w:r w:rsidR="003D640C">
        <w:rPr>
          <w:rFonts w:ascii="Calibri" w:eastAsia="Times New Roman" w:hAnsi="Calibri" w:cs="Calibri"/>
        </w:rPr>
        <w:t xml:space="preserve"> </w:t>
      </w:r>
      <w:r w:rsidRPr="00BB6220">
        <w:rPr>
          <w:rFonts w:ascii="Calibri" w:eastAsia="Times New Roman" w:hAnsi="Calibri" w:cs="Calibri"/>
        </w:rPr>
        <w:t>the</w:t>
      </w:r>
      <w:r w:rsidR="003D640C">
        <w:rPr>
          <w:rFonts w:ascii="Calibri" w:eastAsia="Times New Roman" w:hAnsi="Calibri" w:cs="Calibri"/>
        </w:rPr>
        <w:t xml:space="preserve"> </w:t>
      </w:r>
      <w:r w:rsidRPr="00BB6220">
        <w:rPr>
          <w:rFonts w:ascii="Calibri" w:eastAsia="Times New Roman" w:hAnsi="Calibri" w:cs="Calibri"/>
        </w:rPr>
        <w:t>church</w:t>
      </w:r>
      <w:r w:rsidR="003D640C">
        <w:rPr>
          <w:rFonts w:ascii="Calibri" w:eastAsia="Times New Roman" w:hAnsi="Calibri" w:cs="Calibri"/>
        </w:rPr>
        <w:t xml:space="preserve"> </w:t>
      </w:r>
      <w:r w:rsidRPr="00BB6220">
        <w:rPr>
          <w:rFonts w:ascii="Calibri" w:eastAsia="Times New Roman" w:hAnsi="Calibri" w:cs="Calibri"/>
        </w:rPr>
        <w:t>for</w:t>
      </w:r>
      <w:r w:rsidR="003D640C">
        <w:rPr>
          <w:rFonts w:ascii="Calibri" w:eastAsia="Times New Roman" w:hAnsi="Calibri" w:cs="Calibri"/>
        </w:rPr>
        <w:t xml:space="preserve"> </w:t>
      </w:r>
      <w:r w:rsidRPr="00BB6220">
        <w:rPr>
          <w:rFonts w:ascii="Calibri" w:eastAsia="Times New Roman" w:hAnsi="Calibri" w:cs="Calibri"/>
        </w:rPr>
        <w:t>so</w:t>
      </w:r>
      <w:r w:rsidR="003D640C">
        <w:rPr>
          <w:rFonts w:ascii="Calibri" w:eastAsia="Times New Roman" w:hAnsi="Calibri" w:cs="Calibri"/>
        </w:rPr>
        <w:t xml:space="preserve"> </w:t>
      </w:r>
      <w:r w:rsidRPr="00BB6220">
        <w:rPr>
          <w:rFonts w:ascii="Calibri" w:eastAsia="Times New Roman" w:hAnsi="Calibri" w:cs="Calibri"/>
        </w:rPr>
        <w:t>long.</w:t>
      </w:r>
      <w:r w:rsidR="003D640C">
        <w:rPr>
          <w:rFonts w:ascii="Calibri" w:eastAsia="Times New Roman" w:hAnsi="Calibri" w:cs="Calibri"/>
        </w:rPr>
        <w:t xml:space="preserve"> </w:t>
      </w:r>
      <w:r w:rsidRPr="00BB6220">
        <w:rPr>
          <w:rFonts w:ascii="Calibri" w:eastAsia="Times New Roman" w:hAnsi="Calibri" w:cs="Calibri"/>
        </w:rPr>
        <w:t>I</w:t>
      </w:r>
      <w:r w:rsidR="003D640C">
        <w:rPr>
          <w:rFonts w:ascii="Calibri" w:eastAsia="Times New Roman" w:hAnsi="Calibri" w:cs="Calibri"/>
        </w:rPr>
        <w:t xml:space="preserve"> </w:t>
      </w:r>
      <w:r w:rsidRPr="00BB6220">
        <w:rPr>
          <w:rFonts w:ascii="Calibri" w:eastAsia="Times New Roman" w:hAnsi="Calibri" w:cs="Calibri"/>
        </w:rPr>
        <w:t>couldn’t</w:t>
      </w:r>
      <w:r w:rsidR="003D640C">
        <w:rPr>
          <w:rFonts w:ascii="Calibri" w:eastAsia="Times New Roman" w:hAnsi="Calibri" w:cs="Calibri"/>
        </w:rPr>
        <w:t xml:space="preserve"> </w:t>
      </w:r>
      <w:r w:rsidRPr="00BB6220">
        <w:rPr>
          <w:rFonts w:ascii="Calibri" w:eastAsia="Times New Roman" w:hAnsi="Calibri" w:cs="Calibri"/>
        </w:rPr>
        <w:t>even</w:t>
      </w:r>
      <w:r w:rsidR="003D640C">
        <w:rPr>
          <w:rFonts w:ascii="Calibri" w:eastAsia="Times New Roman" w:hAnsi="Calibri" w:cs="Calibri"/>
        </w:rPr>
        <w:t xml:space="preserve"> </w:t>
      </w:r>
      <w:r w:rsidRPr="00BB6220">
        <w:rPr>
          <w:rFonts w:ascii="Calibri" w:eastAsia="Times New Roman" w:hAnsi="Calibri" w:cs="Calibri"/>
        </w:rPr>
        <w:t>walk</w:t>
      </w:r>
      <w:r w:rsidR="003D640C">
        <w:rPr>
          <w:rFonts w:ascii="Calibri" w:eastAsia="Times New Roman" w:hAnsi="Calibri" w:cs="Calibri"/>
        </w:rPr>
        <w:t xml:space="preserve"> </w:t>
      </w:r>
      <w:r w:rsidRPr="00BB6220">
        <w:rPr>
          <w:rFonts w:ascii="Calibri" w:eastAsia="Times New Roman" w:hAnsi="Calibri" w:cs="Calibri"/>
        </w:rPr>
        <w:t>down</w:t>
      </w:r>
      <w:r w:rsidR="003D640C">
        <w:rPr>
          <w:rFonts w:ascii="Calibri" w:eastAsia="Times New Roman" w:hAnsi="Calibri" w:cs="Calibri"/>
        </w:rPr>
        <w:t xml:space="preserve"> </w:t>
      </w:r>
      <w:r w:rsidRPr="00BB6220">
        <w:rPr>
          <w:rFonts w:ascii="Calibri" w:eastAsia="Times New Roman" w:hAnsi="Calibri" w:cs="Calibri"/>
        </w:rPr>
        <w:t>the</w:t>
      </w:r>
      <w:r w:rsidR="003D640C">
        <w:rPr>
          <w:rFonts w:ascii="Calibri" w:eastAsia="Times New Roman" w:hAnsi="Calibri" w:cs="Calibri"/>
        </w:rPr>
        <w:t xml:space="preserve"> </w:t>
      </w:r>
      <w:r w:rsidRPr="00BB6220">
        <w:rPr>
          <w:rFonts w:ascii="Calibri" w:eastAsia="Times New Roman" w:hAnsi="Calibri" w:cs="Calibri"/>
        </w:rPr>
        <w:t>street</w:t>
      </w:r>
      <w:r w:rsidR="003D640C">
        <w:rPr>
          <w:rFonts w:ascii="Calibri" w:eastAsia="Times New Roman" w:hAnsi="Calibri" w:cs="Calibri"/>
        </w:rPr>
        <w:t xml:space="preserve"> </w:t>
      </w:r>
      <w:r w:rsidRPr="00BB6220">
        <w:rPr>
          <w:rFonts w:ascii="Calibri" w:eastAsia="Times New Roman" w:hAnsi="Calibri" w:cs="Calibri"/>
        </w:rPr>
        <w:t>because</w:t>
      </w:r>
      <w:r w:rsidR="003D640C">
        <w:rPr>
          <w:rFonts w:ascii="Calibri" w:eastAsia="Times New Roman" w:hAnsi="Calibri" w:cs="Calibri"/>
        </w:rPr>
        <w:t xml:space="preserve"> </w:t>
      </w:r>
      <w:r w:rsidRPr="00BB6220">
        <w:rPr>
          <w:rFonts w:ascii="Calibri" w:eastAsia="Times New Roman" w:hAnsi="Calibri" w:cs="Calibri"/>
        </w:rPr>
        <w:t>[other</w:t>
      </w:r>
      <w:r w:rsidR="003D640C">
        <w:rPr>
          <w:rFonts w:ascii="Calibri" w:eastAsia="Times New Roman" w:hAnsi="Calibri" w:cs="Calibri"/>
        </w:rPr>
        <w:t xml:space="preserve"> </w:t>
      </w:r>
      <w:r w:rsidRPr="00BB6220">
        <w:rPr>
          <w:rFonts w:ascii="Calibri" w:eastAsia="Times New Roman" w:hAnsi="Calibri" w:cs="Calibri"/>
        </w:rPr>
        <w:t>members</w:t>
      </w:r>
      <w:r w:rsidR="003D640C">
        <w:rPr>
          <w:rFonts w:ascii="Calibri" w:eastAsia="Times New Roman" w:hAnsi="Calibri" w:cs="Calibri"/>
        </w:rPr>
        <w:t xml:space="preserve"> </w:t>
      </w:r>
      <w:r w:rsidRPr="00BB6220">
        <w:rPr>
          <w:rFonts w:ascii="Calibri" w:eastAsia="Times New Roman" w:hAnsi="Calibri" w:cs="Calibri"/>
        </w:rPr>
        <w:t>of</w:t>
      </w:r>
      <w:r w:rsidR="003D640C">
        <w:rPr>
          <w:rFonts w:ascii="Calibri" w:eastAsia="Times New Roman" w:hAnsi="Calibri" w:cs="Calibri"/>
        </w:rPr>
        <w:t xml:space="preserve"> </w:t>
      </w:r>
      <w:r w:rsidRPr="00BB6220">
        <w:rPr>
          <w:rFonts w:ascii="Calibri" w:eastAsia="Times New Roman" w:hAnsi="Calibri" w:cs="Calibri"/>
        </w:rPr>
        <w:t>the</w:t>
      </w:r>
      <w:r w:rsidR="003D640C">
        <w:rPr>
          <w:rFonts w:ascii="Calibri" w:eastAsia="Times New Roman" w:hAnsi="Calibri" w:cs="Calibri"/>
        </w:rPr>
        <w:t xml:space="preserve"> </w:t>
      </w:r>
      <w:r w:rsidRPr="00BB6220">
        <w:rPr>
          <w:rFonts w:ascii="Calibri" w:eastAsia="Times New Roman" w:hAnsi="Calibri" w:cs="Calibri"/>
        </w:rPr>
        <w:t>church]</w:t>
      </w:r>
      <w:r w:rsidR="003D640C">
        <w:rPr>
          <w:rFonts w:ascii="Calibri" w:eastAsia="Times New Roman" w:hAnsi="Calibri" w:cs="Calibri"/>
        </w:rPr>
        <w:t xml:space="preserve"> </w:t>
      </w:r>
      <w:r w:rsidRPr="00BB6220">
        <w:rPr>
          <w:rFonts w:ascii="Calibri" w:eastAsia="Times New Roman" w:hAnsi="Calibri" w:cs="Calibri"/>
        </w:rPr>
        <w:t>would</w:t>
      </w:r>
      <w:r w:rsidR="003D640C">
        <w:rPr>
          <w:rFonts w:ascii="Calibri" w:eastAsia="Times New Roman" w:hAnsi="Calibri" w:cs="Calibri"/>
        </w:rPr>
        <w:t xml:space="preserve"> </w:t>
      </w:r>
      <w:r w:rsidRPr="00BB6220">
        <w:rPr>
          <w:rFonts w:ascii="Calibri" w:eastAsia="Times New Roman" w:hAnsi="Calibri" w:cs="Calibri"/>
        </w:rPr>
        <w:t>cross</w:t>
      </w:r>
      <w:r w:rsidR="003D640C">
        <w:rPr>
          <w:rFonts w:ascii="Calibri" w:eastAsia="Times New Roman" w:hAnsi="Calibri" w:cs="Calibri"/>
        </w:rPr>
        <w:t xml:space="preserve"> </w:t>
      </w:r>
      <w:r w:rsidRPr="00BB6220">
        <w:rPr>
          <w:rFonts w:ascii="Calibri" w:eastAsia="Times New Roman" w:hAnsi="Calibri" w:cs="Calibri"/>
        </w:rPr>
        <w:t>the</w:t>
      </w:r>
      <w:r w:rsidR="003D640C">
        <w:rPr>
          <w:rFonts w:ascii="Calibri" w:eastAsia="Times New Roman" w:hAnsi="Calibri" w:cs="Calibri"/>
        </w:rPr>
        <w:t xml:space="preserve"> </w:t>
      </w:r>
      <w:r w:rsidRPr="00BB6220">
        <w:rPr>
          <w:rFonts w:ascii="Calibri" w:eastAsia="Times New Roman" w:hAnsi="Calibri" w:cs="Calibri"/>
        </w:rPr>
        <w:t>road</w:t>
      </w:r>
      <w:r w:rsidR="003D640C">
        <w:rPr>
          <w:rFonts w:ascii="Calibri" w:eastAsia="Times New Roman" w:hAnsi="Calibri" w:cs="Calibri"/>
        </w:rPr>
        <w:t xml:space="preserve"> </w:t>
      </w:r>
      <w:r w:rsidRPr="00BB6220">
        <w:rPr>
          <w:rFonts w:ascii="Calibri" w:eastAsia="Times New Roman" w:hAnsi="Calibri" w:cs="Calibri"/>
        </w:rPr>
        <w:t>to</w:t>
      </w:r>
      <w:r w:rsidR="003D640C">
        <w:rPr>
          <w:rFonts w:ascii="Calibri" w:eastAsia="Times New Roman" w:hAnsi="Calibri" w:cs="Calibri"/>
        </w:rPr>
        <w:t xml:space="preserve"> </w:t>
      </w:r>
      <w:r w:rsidRPr="00BB6220">
        <w:rPr>
          <w:rFonts w:ascii="Calibri" w:eastAsia="Times New Roman" w:hAnsi="Calibri" w:cs="Calibri"/>
        </w:rPr>
        <w:t>avoid</w:t>
      </w:r>
      <w:r w:rsidR="003D640C">
        <w:rPr>
          <w:rFonts w:ascii="Calibri" w:eastAsia="Times New Roman" w:hAnsi="Calibri" w:cs="Calibri"/>
        </w:rPr>
        <w:t xml:space="preserve"> </w:t>
      </w:r>
      <w:r w:rsidRPr="00BB6220">
        <w:rPr>
          <w:rFonts w:ascii="Calibri" w:eastAsia="Times New Roman" w:hAnsi="Calibri" w:cs="Calibri"/>
        </w:rPr>
        <w:t>me.”</w:t>
      </w:r>
      <w:r w:rsidRPr="00BB6220" w:rsidDel="008E1CCA">
        <w:rPr>
          <w:rFonts w:ascii="Calibri" w:eastAsia="Times New Roman" w:hAnsi="Calibri" w:cs="Calibri"/>
        </w:rPr>
        <w:t xml:space="preserve"> </w:t>
      </w:r>
      <w:r w:rsidRPr="00BB6220">
        <w:rPr>
          <w:rFonts w:ascii="Calibri" w:eastAsia="Times New Roman" w:hAnsi="Calibri" w:cs="Calibri"/>
        </w:rPr>
        <w:t>Māori,</w:t>
      </w:r>
      <w:r w:rsidR="003D640C">
        <w:rPr>
          <w:rFonts w:ascii="Calibri" w:eastAsia="Times New Roman" w:hAnsi="Calibri" w:cs="Calibri"/>
        </w:rPr>
        <w:t xml:space="preserve"> </w:t>
      </w:r>
      <w:r w:rsidRPr="00BB6220">
        <w:rPr>
          <w:rFonts w:ascii="Calibri" w:eastAsia="Times New Roman" w:hAnsi="Calibri" w:cs="Calibri"/>
        </w:rPr>
        <w:t>female</w:t>
      </w:r>
      <w:r w:rsidR="003D640C">
        <w:rPr>
          <w:rFonts w:ascii="Calibri" w:eastAsia="Times New Roman" w:hAnsi="Calibri" w:cs="Calibri"/>
        </w:rPr>
        <w:t xml:space="preserve"> </w:t>
      </w:r>
    </w:p>
    <w:p w14:paraId="4EEDE401" w14:textId="6A319222" w:rsidR="00501068" w:rsidRDefault="00727884" w:rsidP="002C6363">
      <w:pPr>
        <w:rPr>
          <w:lang w:eastAsia="en-NZ"/>
        </w:rPr>
      </w:pPr>
      <w:r w:rsidRPr="00BB6220">
        <w:rPr>
          <w:lang w:eastAsia="en-NZ"/>
        </w:rPr>
        <w:t>A</w:t>
      </w:r>
      <w:r w:rsidR="003D640C">
        <w:rPr>
          <w:lang w:eastAsia="en-NZ"/>
        </w:rPr>
        <w:t xml:space="preserve"> </w:t>
      </w:r>
      <w:r w:rsidR="007D081A" w:rsidRPr="00BB6220">
        <w:rPr>
          <w:lang w:eastAsia="en-NZ"/>
        </w:rPr>
        <w:t>2021</w:t>
      </w:r>
      <w:r w:rsidR="003D640C">
        <w:rPr>
          <w:lang w:eastAsia="en-NZ"/>
        </w:rPr>
        <w:t xml:space="preserve"> </w:t>
      </w:r>
      <w:r w:rsidR="00C5740F" w:rsidRPr="00BB6220">
        <w:rPr>
          <w:lang w:eastAsia="en-NZ"/>
        </w:rPr>
        <w:t>study</w:t>
      </w:r>
      <w:r w:rsidR="003D640C">
        <w:rPr>
          <w:lang w:eastAsia="en-NZ"/>
        </w:rPr>
        <w:t xml:space="preserve"> </w:t>
      </w:r>
      <w:r w:rsidR="008B2FC6">
        <w:rPr>
          <w:lang w:eastAsia="en-NZ"/>
        </w:rPr>
        <w:t>found</w:t>
      </w:r>
      <w:r w:rsidR="003D640C">
        <w:rPr>
          <w:lang w:eastAsia="en-NZ"/>
        </w:rPr>
        <w:t xml:space="preserve"> </w:t>
      </w:r>
      <w:r w:rsidR="008B2FC6">
        <w:rPr>
          <w:lang w:eastAsia="en-NZ"/>
        </w:rPr>
        <w:t>almost</w:t>
      </w:r>
      <w:r w:rsidR="003D640C">
        <w:rPr>
          <w:lang w:eastAsia="en-NZ"/>
        </w:rPr>
        <w:t xml:space="preserve"> </w:t>
      </w:r>
      <w:r w:rsidR="0080240C">
        <w:rPr>
          <w:lang w:eastAsia="en-NZ"/>
        </w:rPr>
        <w:t>20</w:t>
      </w:r>
      <w:r w:rsidR="001D1BF7">
        <w:rPr>
          <w:lang w:eastAsia="en-NZ"/>
        </w:rPr>
        <w:t xml:space="preserve"> percent</w:t>
      </w:r>
      <w:r w:rsidR="003D640C">
        <w:rPr>
          <w:lang w:eastAsia="en-NZ"/>
        </w:rPr>
        <w:t xml:space="preserve"> </w:t>
      </w:r>
      <w:r w:rsidR="002A439E">
        <w:rPr>
          <w:lang w:eastAsia="en-NZ"/>
        </w:rPr>
        <w:t>of</w:t>
      </w:r>
      <w:r w:rsidR="003D640C">
        <w:rPr>
          <w:lang w:eastAsia="en-NZ"/>
        </w:rPr>
        <w:t xml:space="preserve"> </w:t>
      </w:r>
      <w:r w:rsidR="008F02A5" w:rsidRPr="008F02A5">
        <w:rPr>
          <w:lang w:eastAsia="en-NZ"/>
        </w:rPr>
        <w:t>transgender</w:t>
      </w:r>
      <w:r w:rsidR="003D640C">
        <w:rPr>
          <w:lang w:eastAsia="en-NZ"/>
        </w:rPr>
        <w:t xml:space="preserve"> </w:t>
      </w:r>
      <w:r w:rsidR="008F02A5" w:rsidRPr="008F02A5">
        <w:rPr>
          <w:lang w:eastAsia="en-NZ"/>
        </w:rPr>
        <w:t>and</w:t>
      </w:r>
      <w:r w:rsidR="003D640C">
        <w:rPr>
          <w:lang w:eastAsia="en-NZ"/>
        </w:rPr>
        <w:t xml:space="preserve"> </w:t>
      </w:r>
      <w:r w:rsidR="008F02A5" w:rsidRPr="008F02A5">
        <w:rPr>
          <w:lang w:eastAsia="en-NZ"/>
        </w:rPr>
        <w:t>non</w:t>
      </w:r>
      <w:r w:rsidR="00411706">
        <w:rPr>
          <w:lang w:eastAsia="en-NZ"/>
        </w:rPr>
        <w:t>-</w:t>
      </w:r>
      <w:r w:rsidR="008F02A5" w:rsidRPr="008F02A5">
        <w:rPr>
          <w:lang w:eastAsia="en-NZ"/>
        </w:rPr>
        <w:t>binary</w:t>
      </w:r>
      <w:r w:rsidR="003D640C">
        <w:rPr>
          <w:lang w:eastAsia="en-NZ"/>
        </w:rPr>
        <w:t xml:space="preserve"> </w:t>
      </w:r>
      <w:r w:rsidR="008F02A5" w:rsidRPr="008F02A5">
        <w:rPr>
          <w:lang w:eastAsia="en-NZ"/>
        </w:rPr>
        <w:t>people</w:t>
      </w:r>
      <w:r w:rsidR="003D640C">
        <w:rPr>
          <w:lang w:eastAsia="en-NZ"/>
        </w:rPr>
        <w:t xml:space="preserve"> </w:t>
      </w:r>
      <w:r w:rsidR="008F02A5" w:rsidRPr="008F02A5">
        <w:rPr>
          <w:lang w:eastAsia="en-NZ"/>
        </w:rPr>
        <w:t>in</w:t>
      </w:r>
      <w:r w:rsidR="003D640C">
        <w:rPr>
          <w:lang w:eastAsia="en-NZ"/>
        </w:rPr>
        <w:t xml:space="preserve"> </w:t>
      </w:r>
      <w:r w:rsidR="008F02A5" w:rsidRPr="008F02A5">
        <w:rPr>
          <w:lang w:eastAsia="en-NZ"/>
        </w:rPr>
        <w:t>Aotearoa</w:t>
      </w:r>
      <w:r w:rsidR="003D640C">
        <w:rPr>
          <w:lang w:eastAsia="en-NZ"/>
        </w:rPr>
        <w:t xml:space="preserve"> </w:t>
      </w:r>
      <w:r w:rsidR="008F02A5" w:rsidRPr="008F02A5">
        <w:rPr>
          <w:lang w:eastAsia="en-NZ"/>
        </w:rPr>
        <w:t>New</w:t>
      </w:r>
      <w:r w:rsidR="003D640C">
        <w:rPr>
          <w:lang w:eastAsia="en-NZ"/>
        </w:rPr>
        <w:t xml:space="preserve"> </w:t>
      </w:r>
      <w:r w:rsidR="008F02A5" w:rsidRPr="008F02A5">
        <w:rPr>
          <w:lang w:eastAsia="en-NZ"/>
        </w:rPr>
        <w:t>Zealand</w:t>
      </w:r>
      <w:r w:rsidR="003D640C">
        <w:rPr>
          <w:lang w:eastAsia="en-NZ"/>
        </w:rPr>
        <w:t xml:space="preserve"> </w:t>
      </w:r>
      <w:r w:rsidR="008F02A5" w:rsidRPr="008F02A5">
        <w:rPr>
          <w:lang w:eastAsia="en-NZ"/>
        </w:rPr>
        <w:t>who</w:t>
      </w:r>
      <w:r w:rsidR="003D640C">
        <w:rPr>
          <w:lang w:eastAsia="en-NZ"/>
        </w:rPr>
        <w:t xml:space="preserve"> </w:t>
      </w:r>
      <w:r w:rsidR="008F02A5" w:rsidRPr="008F02A5">
        <w:rPr>
          <w:lang w:eastAsia="en-NZ"/>
        </w:rPr>
        <w:t>had</w:t>
      </w:r>
      <w:r w:rsidR="003D640C">
        <w:rPr>
          <w:lang w:eastAsia="en-NZ"/>
        </w:rPr>
        <w:t xml:space="preserve"> </w:t>
      </w:r>
      <w:r w:rsidR="008F02A5" w:rsidRPr="008F02A5">
        <w:rPr>
          <w:lang w:eastAsia="en-NZ"/>
        </w:rPr>
        <w:t>spoken</w:t>
      </w:r>
      <w:r w:rsidR="003D640C">
        <w:rPr>
          <w:lang w:eastAsia="en-NZ"/>
        </w:rPr>
        <w:t xml:space="preserve"> </w:t>
      </w:r>
      <w:r w:rsidR="008F02A5" w:rsidRPr="008F02A5">
        <w:rPr>
          <w:lang w:eastAsia="en-NZ"/>
        </w:rPr>
        <w:t>to</w:t>
      </w:r>
      <w:r w:rsidR="003D640C">
        <w:rPr>
          <w:lang w:eastAsia="en-NZ"/>
        </w:rPr>
        <w:t xml:space="preserve"> </w:t>
      </w:r>
      <w:r w:rsidR="008F02A5" w:rsidRPr="008F02A5">
        <w:rPr>
          <w:lang w:eastAsia="en-NZ"/>
        </w:rPr>
        <w:t>a</w:t>
      </w:r>
      <w:r w:rsidR="003D640C">
        <w:rPr>
          <w:lang w:eastAsia="en-NZ"/>
        </w:rPr>
        <w:t xml:space="preserve"> </w:t>
      </w:r>
      <w:r w:rsidR="008F02A5" w:rsidRPr="008F02A5">
        <w:rPr>
          <w:lang w:eastAsia="en-NZ"/>
        </w:rPr>
        <w:t>health</w:t>
      </w:r>
      <w:r w:rsidR="003D640C">
        <w:rPr>
          <w:lang w:eastAsia="en-NZ"/>
        </w:rPr>
        <w:t xml:space="preserve"> </w:t>
      </w:r>
      <w:r w:rsidR="008F02A5" w:rsidRPr="008F02A5">
        <w:rPr>
          <w:lang w:eastAsia="en-NZ"/>
        </w:rPr>
        <w:t>professional</w:t>
      </w:r>
      <w:r w:rsidR="003D640C">
        <w:rPr>
          <w:lang w:eastAsia="en-NZ"/>
        </w:rPr>
        <w:t xml:space="preserve"> </w:t>
      </w:r>
      <w:r w:rsidR="008F02A5" w:rsidRPr="008F02A5">
        <w:rPr>
          <w:lang w:eastAsia="en-NZ"/>
        </w:rPr>
        <w:t>about</w:t>
      </w:r>
      <w:r w:rsidR="003D640C">
        <w:rPr>
          <w:lang w:eastAsia="en-NZ"/>
        </w:rPr>
        <w:t xml:space="preserve"> </w:t>
      </w:r>
      <w:r w:rsidR="008F02A5" w:rsidRPr="008F02A5">
        <w:rPr>
          <w:lang w:eastAsia="en-NZ"/>
        </w:rPr>
        <w:t>their</w:t>
      </w:r>
      <w:r w:rsidR="003D640C">
        <w:rPr>
          <w:lang w:eastAsia="en-NZ"/>
        </w:rPr>
        <w:t xml:space="preserve"> </w:t>
      </w:r>
      <w:r w:rsidR="008F02A5" w:rsidRPr="008F02A5">
        <w:rPr>
          <w:lang w:eastAsia="en-NZ"/>
        </w:rPr>
        <w:t>gender</w:t>
      </w:r>
      <w:r w:rsidR="003D640C">
        <w:rPr>
          <w:lang w:eastAsia="en-NZ"/>
        </w:rPr>
        <w:t xml:space="preserve"> </w:t>
      </w:r>
      <w:r w:rsidR="008F02A5" w:rsidRPr="008F02A5">
        <w:rPr>
          <w:lang w:eastAsia="en-NZ"/>
        </w:rPr>
        <w:t>had</w:t>
      </w:r>
      <w:r w:rsidR="003D640C">
        <w:rPr>
          <w:lang w:eastAsia="en-NZ"/>
        </w:rPr>
        <w:t xml:space="preserve"> </w:t>
      </w:r>
      <w:r w:rsidR="008F02A5" w:rsidRPr="008F02A5">
        <w:rPr>
          <w:lang w:eastAsia="en-NZ"/>
        </w:rPr>
        <w:t>been</w:t>
      </w:r>
      <w:r w:rsidR="003D640C">
        <w:rPr>
          <w:lang w:eastAsia="en-NZ"/>
        </w:rPr>
        <w:t xml:space="preserve"> </w:t>
      </w:r>
      <w:r w:rsidR="008F02A5" w:rsidRPr="008F02A5">
        <w:rPr>
          <w:lang w:eastAsia="en-NZ"/>
        </w:rPr>
        <w:t>exposed</w:t>
      </w:r>
      <w:r w:rsidR="003D640C">
        <w:rPr>
          <w:lang w:eastAsia="en-NZ"/>
        </w:rPr>
        <w:t xml:space="preserve"> </w:t>
      </w:r>
      <w:r w:rsidR="008F02A5" w:rsidRPr="008F02A5">
        <w:rPr>
          <w:lang w:eastAsia="en-NZ"/>
        </w:rPr>
        <w:t>to</w:t>
      </w:r>
      <w:r w:rsidR="003D640C">
        <w:rPr>
          <w:lang w:eastAsia="en-NZ"/>
        </w:rPr>
        <w:t xml:space="preserve"> </w:t>
      </w:r>
      <w:r w:rsidR="00E10E35">
        <w:rPr>
          <w:lang w:eastAsia="en-NZ"/>
        </w:rPr>
        <w:t>conversion</w:t>
      </w:r>
      <w:r w:rsidR="003D640C">
        <w:rPr>
          <w:lang w:eastAsia="en-NZ"/>
        </w:rPr>
        <w:t xml:space="preserve"> </w:t>
      </w:r>
      <w:r w:rsidR="00E10E35">
        <w:rPr>
          <w:lang w:eastAsia="en-NZ"/>
        </w:rPr>
        <w:t>practices.</w:t>
      </w:r>
      <w:r w:rsidR="00411706">
        <w:rPr>
          <w:rStyle w:val="FootnoteReference"/>
          <w:rFonts w:ascii="Calibri" w:eastAsia="Times New Roman" w:hAnsi="Calibri" w:cs="Calibri"/>
          <w:lang w:eastAsia="en-NZ"/>
        </w:rPr>
        <w:footnoteReference w:id="143"/>
      </w:r>
      <w:r w:rsidR="008A72B7" w:rsidRPr="00BB6220" w:rsidDel="008E1CCA">
        <w:rPr>
          <w:lang w:eastAsia="en-NZ"/>
        </w:rPr>
        <w:t xml:space="preserve"> </w:t>
      </w:r>
      <w:r w:rsidR="00E65DFB" w:rsidRPr="00BB6220">
        <w:rPr>
          <w:lang w:eastAsia="en-NZ"/>
        </w:rPr>
        <w:t>Māori</w:t>
      </w:r>
      <w:r w:rsidR="003D640C">
        <w:rPr>
          <w:lang w:eastAsia="en-NZ"/>
        </w:rPr>
        <w:t xml:space="preserve"> </w:t>
      </w:r>
      <w:r w:rsidR="007570DB">
        <w:rPr>
          <w:lang w:eastAsia="en-NZ"/>
        </w:rPr>
        <w:t>who</w:t>
      </w:r>
      <w:r w:rsidR="003D640C">
        <w:rPr>
          <w:lang w:eastAsia="en-NZ"/>
        </w:rPr>
        <w:t xml:space="preserve"> </w:t>
      </w:r>
      <w:r w:rsidR="007570DB">
        <w:rPr>
          <w:lang w:eastAsia="en-NZ"/>
        </w:rPr>
        <w:t>were</w:t>
      </w:r>
      <w:r w:rsidR="003D640C">
        <w:rPr>
          <w:lang w:eastAsia="en-NZ"/>
        </w:rPr>
        <w:t xml:space="preserve"> </w:t>
      </w:r>
      <w:r w:rsidR="007570DB">
        <w:rPr>
          <w:lang w:eastAsia="en-NZ"/>
        </w:rPr>
        <w:t>transgender</w:t>
      </w:r>
      <w:r w:rsidR="003D640C">
        <w:rPr>
          <w:lang w:eastAsia="en-NZ"/>
        </w:rPr>
        <w:t xml:space="preserve"> </w:t>
      </w:r>
      <w:r w:rsidR="007570DB">
        <w:rPr>
          <w:lang w:eastAsia="en-NZ"/>
        </w:rPr>
        <w:t>or</w:t>
      </w:r>
      <w:r w:rsidR="003D640C">
        <w:rPr>
          <w:lang w:eastAsia="en-NZ"/>
        </w:rPr>
        <w:t xml:space="preserve"> </w:t>
      </w:r>
      <w:r w:rsidR="007570DB">
        <w:rPr>
          <w:lang w:eastAsia="en-NZ"/>
        </w:rPr>
        <w:t>non-binary</w:t>
      </w:r>
      <w:r w:rsidR="003D640C">
        <w:rPr>
          <w:lang w:eastAsia="en-NZ"/>
        </w:rPr>
        <w:t xml:space="preserve"> </w:t>
      </w:r>
      <w:r w:rsidR="004B4BD0">
        <w:rPr>
          <w:lang w:eastAsia="en-NZ"/>
        </w:rPr>
        <w:t>reported</w:t>
      </w:r>
      <w:r w:rsidR="003D640C">
        <w:rPr>
          <w:lang w:eastAsia="en-NZ"/>
        </w:rPr>
        <w:t xml:space="preserve"> </w:t>
      </w:r>
      <w:r w:rsidR="001C1BDA" w:rsidRPr="00BB6220">
        <w:rPr>
          <w:lang w:eastAsia="en-NZ"/>
        </w:rPr>
        <w:t>conversion</w:t>
      </w:r>
      <w:r w:rsidR="003D640C">
        <w:rPr>
          <w:lang w:eastAsia="en-NZ"/>
        </w:rPr>
        <w:t xml:space="preserve"> </w:t>
      </w:r>
      <w:r w:rsidR="001C1BDA" w:rsidRPr="00BB6220">
        <w:rPr>
          <w:lang w:eastAsia="en-NZ"/>
        </w:rPr>
        <w:t>practices</w:t>
      </w:r>
      <w:r w:rsidR="003D640C">
        <w:rPr>
          <w:lang w:eastAsia="en-NZ"/>
        </w:rPr>
        <w:t xml:space="preserve"> </w:t>
      </w:r>
      <w:r w:rsidR="448FC5B4" w:rsidRPr="00BB6220">
        <w:rPr>
          <w:lang w:eastAsia="en-NZ"/>
        </w:rPr>
        <w:t>more</w:t>
      </w:r>
      <w:r w:rsidR="003D640C">
        <w:rPr>
          <w:lang w:eastAsia="en-NZ"/>
        </w:rPr>
        <w:t xml:space="preserve"> </w:t>
      </w:r>
      <w:r w:rsidR="271F0489" w:rsidRPr="00BB6220">
        <w:rPr>
          <w:lang w:eastAsia="en-NZ"/>
        </w:rPr>
        <w:t>than</w:t>
      </w:r>
      <w:r w:rsidR="003D640C">
        <w:rPr>
          <w:lang w:eastAsia="en-NZ"/>
        </w:rPr>
        <w:t xml:space="preserve"> </w:t>
      </w:r>
      <w:r w:rsidR="0033776A" w:rsidRPr="00BB6220">
        <w:rPr>
          <w:lang w:eastAsia="en-NZ"/>
        </w:rPr>
        <w:t>people</w:t>
      </w:r>
      <w:r w:rsidR="003D640C">
        <w:rPr>
          <w:lang w:eastAsia="en-NZ"/>
        </w:rPr>
        <w:t xml:space="preserve"> </w:t>
      </w:r>
      <w:r w:rsidR="0033776A" w:rsidRPr="00BB6220">
        <w:rPr>
          <w:lang w:eastAsia="en-NZ"/>
        </w:rPr>
        <w:t>of</w:t>
      </w:r>
      <w:r w:rsidR="003D640C">
        <w:rPr>
          <w:lang w:eastAsia="en-NZ"/>
        </w:rPr>
        <w:t xml:space="preserve"> </w:t>
      </w:r>
      <w:r w:rsidR="004714D2" w:rsidRPr="00BB6220">
        <w:rPr>
          <w:lang w:eastAsia="en-NZ"/>
        </w:rPr>
        <w:t>Pākehā</w:t>
      </w:r>
      <w:r w:rsidR="00661DE0" w:rsidRPr="00BB6220">
        <w:rPr>
          <w:lang w:eastAsia="en-NZ"/>
        </w:rPr>
        <w:t>,</w:t>
      </w:r>
      <w:r w:rsidR="003D640C">
        <w:rPr>
          <w:lang w:eastAsia="en-NZ"/>
        </w:rPr>
        <w:t xml:space="preserve"> </w:t>
      </w:r>
      <w:r w:rsidR="00661DE0" w:rsidRPr="00BB6220">
        <w:rPr>
          <w:lang w:eastAsia="en-NZ"/>
        </w:rPr>
        <w:t>Pacific</w:t>
      </w:r>
      <w:r w:rsidR="00EE456B">
        <w:rPr>
          <w:lang w:eastAsia="en-NZ"/>
        </w:rPr>
        <w:t xml:space="preserve"> and</w:t>
      </w:r>
      <w:r w:rsidR="003D640C">
        <w:rPr>
          <w:lang w:eastAsia="en-NZ"/>
        </w:rPr>
        <w:t xml:space="preserve"> </w:t>
      </w:r>
      <w:r w:rsidR="00661DE0" w:rsidRPr="00BB6220">
        <w:rPr>
          <w:lang w:eastAsia="en-NZ"/>
        </w:rPr>
        <w:t>Asian</w:t>
      </w:r>
      <w:r w:rsidR="003D640C">
        <w:rPr>
          <w:lang w:eastAsia="en-NZ"/>
        </w:rPr>
        <w:t xml:space="preserve"> </w:t>
      </w:r>
      <w:r w:rsidR="00661DE0" w:rsidRPr="00BB6220">
        <w:rPr>
          <w:lang w:eastAsia="en-NZ"/>
        </w:rPr>
        <w:t>ethnicities</w:t>
      </w:r>
      <w:r w:rsidR="003D640C">
        <w:rPr>
          <w:lang w:eastAsia="en-NZ"/>
        </w:rPr>
        <w:t xml:space="preserve"> </w:t>
      </w:r>
      <w:r w:rsidR="00205E1C">
        <w:rPr>
          <w:lang w:eastAsia="en-NZ"/>
        </w:rPr>
        <w:t>(Figure</w:t>
      </w:r>
      <w:r w:rsidR="003D640C">
        <w:rPr>
          <w:lang w:eastAsia="en-NZ"/>
        </w:rPr>
        <w:t xml:space="preserve"> </w:t>
      </w:r>
      <w:r w:rsidR="00205E1C">
        <w:rPr>
          <w:lang w:eastAsia="en-NZ"/>
        </w:rPr>
        <w:t>9)</w:t>
      </w:r>
      <w:r w:rsidR="00661DE0" w:rsidRPr="00BB6220">
        <w:rPr>
          <w:lang w:eastAsia="en-NZ"/>
        </w:rPr>
        <w:t>.</w:t>
      </w:r>
      <w:r w:rsidR="003D640C">
        <w:rPr>
          <w:lang w:eastAsia="en-NZ"/>
        </w:rPr>
        <w:t xml:space="preserve"> </w:t>
      </w:r>
    </w:p>
    <w:p w14:paraId="119F0F70" w14:textId="0014EF4A" w:rsidR="00501068" w:rsidRDefault="27053A8D" w:rsidP="002C6363">
      <w:r>
        <w:rPr>
          <w:noProof/>
        </w:rPr>
        <w:drawing>
          <wp:inline distT="0" distB="0" distL="0" distR="0" wp14:anchorId="66799082" wp14:editId="28136A92">
            <wp:extent cx="4495800" cy="2606606"/>
            <wp:effectExtent l="0" t="0" r="0" b="3810"/>
            <wp:docPr id="1702931126" name="Picture 170293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02594" cy="2610545"/>
                    </a:xfrm>
                    <a:prstGeom prst="rect">
                      <a:avLst/>
                    </a:prstGeom>
                  </pic:spPr>
                </pic:pic>
              </a:graphicData>
            </a:graphic>
          </wp:inline>
        </w:drawing>
      </w:r>
    </w:p>
    <w:p w14:paraId="4C1DF94C" w14:textId="378A7D0A" w:rsidR="00501068" w:rsidRDefault="00955306" w:rsidP="00955306">
      <w:pPr>
        <w:pStyle w:val="Caption"/>
        <w:rPr>
          <w:lang w:eastAsia="en-NZ"/>
        </w:rPr>
      </w:pPr>
      <w:bookmarkStart w:id="214" w:name="_Toc174628736"/>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9</w:t>
      </w:r>
      <w:r w:rsidRPr="007B527F">
        <w:fldChar w:fldCharType="end"/>
      </w:r>
      <w:r w:rsidR="00282934">
        <w:rPr>
          <w:lang w:eastAsia="en-NZ"/>
        </w:rPr>
        <w:t>:</w:t>
      </w:r>
      <w:r w:rsidR="003D640C">
        <w:rPr>
          <w:lang w:eastAsia="en-NZ"/>
        </w:rPr>
        <w:t xml:space="preserve"> </w:t>
      </w:r>
      <w:r w:rsidR="00282934">
        <w:rPr>
          <w:lang w:eastAsia="en-NZ"/>
        </w:rPr>
        <w:t>Percentage</w:t>
      </w:r>
      <w:r w:rsidR="003D640C">
        <w:rPr>
          <w:lang w:eastAsia="en-NZ"/>
        </w:rPr>
        <w:t xml:space="preserve"> </w:t>
      </w:r>
      <w:r w:rsidR="00282934">
        <w:rPr>
          <w:lang w:eastAsia="en-NZ"/>
        </w:rPr>
        <w:t>of</w:t>
      </w:r>
      <w:r w:rsidR="003D640C">
        <w:rPr>
          <w:lang w:eastAsia="en-NZ"/>
        </w:rPr>
        <w:t xml:space="preserve"> </w:t>
      </w:r>
      <w:r w:rsidR="00282934">
        <w:rPr>
          <w:lang w:eastAsia="en-NZ"/>
        </w:rPr>
        <w:t>trans</w:t>
      </w:r>
      <w:r w:rsidR="003D640C">
        <w:rPr>
          <w:lang w:eastAsia="en-NZ"/>
        </w:rPr>
        <w:t xml:space="preserve"> </w:t>
      </w:r>
      <w:r w:rsidR="00282934">
        <w:rPr>
          <w:lang w:eastAsia="en-NZ"/>
        </w:rPr>
        <w:t>and</w:t>
      </w:r>
      <w:r w:rsidR="003D640C">
        <w:rPr>
          <w:lang w:eastAsia="en-NZ"/>
        </w:rPr>
        <w:t xml:space="preserve"> </w:t>
      </w:r>
      <w:r w:rsidR="00282934">
        <w:rPr>
          <w:lang w:eastAsia="en-NZ"/>
        </w:rPr>
        <w:t>non-binary</w:t>
      </w:r>
      <w:r w:rsidR="003D640C">
        <w:rPr>
          <w:lang w:eastAsia="en-NZ"/>
        </w:rPr>
        <w:t xml:space="preserve"> </w:t>
      </w:r>
      <w:r w:rsidR="00282934">
        <w:rPr>
          <w:lang w:eastAsia="en-NZ"/>
        </w:rPr>
        <w:t>participants</w:t>
      </w:r>
      <w:r w:rsidR="003D640C">
        <w:rPr>
          <w:lang w:eastAsia="en-NZ"/>
        </w:rPr>
        <w:t xml:space="preserve"> </w:t>
      </w:r>
      <w:r w:rsidR="00282934">
        <w:rPr>
          <w:lang w:eastAsia="en-NZ"/>
        </w:rPr>
        <w:t>who</w:t>
      </w:r>
      <w:r w:rsidR="003D640C">
        <w:rPr>
          <w:lang w:eastAsia="en-NZ"/>
        </w:rPr>
        <w:t xml:space="preserve"> </w:t>
      </w:r>
      <w:r w:rsidR="00282934">
        <w:rPr>
          <w:lang w:eastAsia="en-NZ"/>
        </w:rPr>
        <w:t>experienced</w:t>
      </w:r>
      <w:r w:rsidR="003D640C">
        <w:rPr>
          <w:lang w:eastAsia="en-NZ"/>
        </w:rPr>
        <w:t xml:space="preserve"> </w:t>
      </w:r>
      <w:r w:rsidR="00282934">
        <w:rPr>
          <w:lang w:eastAsia="en-NZ"/>
        </w:rPr>
        <w:t>conversion</w:t>
      </w:r>
      <w:r w:rsidR="003D640C">
        <w:rPr>
          <w:lang w:eastAsia="en-NZ"/>
        </w:rPr>
        <w:t xml:space="preserve"> </w:t>
      </w:r>
      <w:r w:rsidR="00282934">
        <w:rPr>
          <w:lang w:eastAsia="en-NZ"/>
        </w:rPr>
        <w:t>practices</w:t>
      </w:r>
      <w:r w:rsidR="003D640C">
        <w:rPr>
          <w:lang w:eastAsia="en-NZ"/>
        </w:rPr>
        <w:t xml:space="preserve"> </w:t>
      </w:r>
      <w:r w:rsidR="00282934">
        <w:rPr>
          <w:lang w:eastAsia="en-NZ"/>
        </w:rPr>
        <w:t>by</w:t>
      </w:r>
      <w:r w:rsidR="003D640C">
        <w:rPr>
          <w:lang w:eastAsia="en-NZ"/>
        </w:rPr>
        <w:t xml:space="preserve"> </w:t>
      </w:r>
      <w:r w:rsidR="00124942">
        <w:rPr>
          <w:lang w:eastAsia="en-NZ"/>
        </w:rPr>
        <w:t>health</w:t>
      </w:r>
      <w:r w:rsidR="003D640C">
        <w:rPr>
          <w:lang w:eastAsia="en-NZ"/>
        </w:rPr>
        <w:t xml:space="preserve"> </w:t>
      </w:r>
      <w:r w:rsidR="00124942">
        <w:rPr>
          <w:lang w:eastAsia="en-NZ"/>
        </w:rPr>
        <w:t>professionals</w:t>
      </w:r>
      <w:r w:rsidR="003D640C">
        <w:rPr>
          <w:lang w:eastAsia="en-NZ"/>
        </w:rPr>
        <w:t xml:space="preserve"> </w:t>
      </w:r>
      <w:r w:rsidR="00124942">
        <w:rPr>
          <w:lang w:eastAsia="en-NZ"/>
        </w:rPr>
        <w:t>by</w:t>
      </w:r>
      <w:r w:rsidR="003D640C">
        <w:rPr>
          <w:lang w:eastAsia="en-NZ"/>
        </w:rPr>
        <w:t xml:space="preserve"> </w:t>
      </w:r>
      <w:r w:rsidR="00282934">
        <w:rPr>
          <w:lang w:eastAsia="en-NZ"/>
        </w:rPr>
        <w:t>ethnicity</w:t>
      </w:r>
      <w:r w:rsidR="009623B5">
        <w:rPr>
          <w:lang w:eastAsia="en-NZ"/>
        </w:rPr>
        <w:t>.</w:t>
      </w:r>
      <w:r w:rsidR="00B6062F">
        <w:rPr>
          <w:rStyle w:val="FootnoteReference"/>
          <w:lang w:eastAsia="en-NZ"/>
        </w:rPr>
        <w:footnoteReference w:id="144"/>
      </w:r>
      <w:r w:rsidR="003D640C">
        <w:rPr>
          <w:lang w:eastAsia="en-NZ"/>
        </w:rPr>
        <w:t xml:space="preserve"> </w:t>
      </w:r>
      <w:r w:rsidR="00346A5A" w:rsidDel="00B6062F">
        <w:rPr>
          <w:lang w:eastAsia="en-NZ"/>
        </w:rPr>
        <w:t>(Source</w:t>
      </w:r>
      <w:r w:rsidR="003D640C" w:rsidDel="00B6062F">
        <w:rPr>
          <w:lang w:eastAsia="en-NZ"/>
        </w:rPr>
        <w:t xml:space="preserve"> </w:t>
      </w:r>
      <w:r w:rsidR="00346A5A" w:rsidDel="00B6062F">
        <w:rPr>
          <w:lang w:eastAsia="en-NZ"/>
        </w:rPr>
        <w:t>Veale</w:t>
      </w:r>
      <w:r w:rsidR="003D640C" w:rsidDel="00B6062F">
        <w:rPr>
          <w:lang w:eastAsia="en-NZ"/>
        </w:rPr>
        <w:t xml:space="preserve"> </w:t>
      </w:r>
      <w:r w:rsidR="00346A5A" w:rsidDel="00B6062F">
        <w:rPr>
          <w:lang w:eastAsia="en-NZ"/>
        </w:rPr>
        <w:t>et</w:t>
      </w:r>
      <w:r w:rsidR="003D640C" w:rsidDel="00B6062F">
        <w:rPr>
          <w:lang w:eastAsia="en-NZ"/>
        </w:rPr>
        <w:t xml:space="preserve"> </w:t>
      </w:r>
      <w:r w:rsidR="00346A5A" w:rsidDel="00B6062F">
        <w:rPr>
          <w:lang w:eastAsia="en-NZ"/>
        </w:rPr>
        <w:t>al,</w:t>
      </w:r>
      <w:r w:rsidR="003D640C" w:rsidDel="00B6062F">
        <w:rPr>
          <w:lang w:eastAsia="en-NZ"/>
        </w:rPr>
        <w:t xml:space="preserve"> </w:t>
      </w:r>
      <w:r w:rsidR="00346A5A" w:rsidDel="00B6062F">
        <w:rPr>
          <w:lang w:eastAsia="en-NZ"/>
        </w:rPr>
        <w:t>2022).</w:t>
      </w:r>
      <w:bookmarkEnd w:id="214"/>
    </w:p>
    <w:p w14:paraId="0BD2B71B" w14:textId="1E1FFC47" w:rsidR="00A83BE9" w:rsidRPr="002C6363" w:rsidRDefault="00A83BE9" w:rsidP="00911B63">
      <w:pPr>
        <w:pStyle w:val="Heading2"/>
      </w:pPr>
      <w:bookmarkStart w:id="215" w:name="_Toc167780605"/>
      <w:bookmarkStart w:id="216" w:name="_Toc231377166"/>
      <w:bookmarkStart w:id="217" w:name="_Toc174628664"/>
      <w:bookmarkStart w:id="218" w:name="_Toc138325182"/>
      <w:bookmarkStart w:id="219" w:name="_Toc138343819"/>
      <w:r w:rsidRPr="002C6363">
        <w:lastRenderedPageBreak/>
        <w:t>Traditionally</w:t>
      </w:r>
      <w:r w:rsidR="003D640C" w:rsidRPr="002C6363">
        <w:t xml:space="preserve"> </w:t>
      </w:r>
      <w:r w:rsidRPr="002C6363">
        <w:t>affirming</w:t>
      </w:r>
      <w:r w:rsidR="003D640C" w:rsidRPr="002C6363">
        <w:t xml:space="preserve"> </w:t>
      </w:r>
      <w:r w:rsidRPr="002C6363">
        <w:t>views</w:t>
      </w:r>
      <w:bookmarkEnd w:id="215"/>
      <w:bookmarkEnd w:id="216"/>
      <w:bookmarkEnd w:id="217"/>
      <w:r w:rsidR="003D640C" w:rsidRPr="002C6363">
        <w:t xml:space="preserve"> </w:t>
      </w:r>
      <w:bookmarkEnd w:id="218"/>
      <w:bookmarkEnd w:id="219"/>
    </w:p>
    <w:p w14:paraId="386E8AE8" w14:textId="77777777" w:rsidR="00501068" w:rsidRDefault="00A83BE9" w:rsidP="002C6363">
      <w:pPr>
        <w:rPr>
          <w:rFonts w:ascii="Segoe UI" w:hAnsi="Segoe UI" w:cs="Segoe UI"/>
          <w:sz w:val="20"/>
          <w:szCs w:val="20"/>
          <w:lang w:val="mi-NZ" w:eastAsia="en-NZ"/>
        </w:rPr>
      </w:pPr>
      <w:r w:rsidRPr="00BB6220">
        <w:rPr>
          <w:lang w:eastAsia="en-NZ"/>
        </w:rPr>
        <w:t>There</w:t>
      </w:r>
      <w:r w:rsidR="003D640C">
        <w:rPr>
          <w:lang w:eastAsia="en-NZ"/>
        </w:rPr>
        <w:t xml:space="preserve"> </w:t>
      </w:r>
      <w:r w:rsidRPr="00BB6220">
        <w:rPr>
          <w:lang w:eastAsia="en-NZ"/>
        </w:rPr>
        <w:t>is</w:t>
      </w:r>
      <w:r w:rsidR="003D640C">
        <w:rPr>
          <w:lang w:eastAsia="en-NZ"/>
        </w:rPr>
        <w:t xml:space="preserve"> </w:t>
      </w:r>
      <w:r w:rsidRPr="00BB6220">
        <w:rPr>
          <w:lang w:eastAsia="en-NZ"/>
        </w:rPr>
        <w:t>limited</w:t>
      </w:r>
      <w:r w:rsidR="003D640C">
        <w:rPr>
          <w:lang w:eastAsia="en-NZ"/>
        </w:rPr>
        <w:t xml:space="preserve"> </w:t>
      </w:r>
      <w:r w:rsidRPr="00BB6220">
        <w:rPr>
          <w:lang w:eastAsia="en-NZ"/>
        </w:rPr>
        <w:t>research</w:t>
      </w:r>
      <w:r w:rsidR="003D640C">
        <w:rPr>
          <w:lang w:eastAsia="en-NZ"/>
        </w:rPr>
        <w:t xml:space="preserve"> </w:t>
      </w:r>
      <w:r w:rsidRPr="00BB6220">
        <w:rPr>
          <w:lang w:eastAsia="en-NZ"/>
        </w:rPr>
        <w:t>on</w:t>
      </w:r>
      <w:r w:rsidR="003D640C">
        <w:rPr>
          <w:lang w:eastAsia="en-NZ"/>
        </w:rPr>
        <w:t xml:space="preserve"> </w:t>
      </w:r>
      <w:r w:rsidRPr="00BB6220">
        <w:rPr>
          <w:lang w:eastAsia="en-NZ"/>
        </w:rPr>
        <w:t>traditional</w:t>
      </w:r>
      <w:r w:rsidR="003D640C">
        <w:rPr>
          <w:lang w:eastAsia="en-NZ"/>
        </w:rPr>
        <w:t xml:space="preserve"> </w:t>
      </w:r>
      <w:r w:rsidRPr="00BB6220">
        <w:rPr>
          <w:lang w:eastAsia="en-NZ"/>
        </w:rPr>
        <w:t>Māori</w:t>
      </w:r>
      <w:r w:rsidR="003D640C">
        <w:rPr>
          <w:lang w:eastAsia="en-NZ"/>
        </w:rPr>
        <w:t xml:space="preserve"> </w:t>
      </w:r>
      <w:r w:rsidRPr="00BB6220">
        <w:rPr>
          <w:lang w:eastAsia="en-NZ"/>
        </w:rPr>
        <w:t>views</w:t>
      </w:r>
      <w:r w:rsidR="003D640C">
        <w:rPr>
          <w:lang w:eastAsia="en-NZ"/>
        </w:rPr>
        <w:t xml:space="preserve"> </w:t>
      </w:r>
      <w:r w:rsidRPr="00BB6220">
        <w:rPr>
          <w:lang w:eastAsia="en-NZ"/>
        </w:rPr>
        <w:t>on</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3D640C">
        <w:rPr>
          <w:lang w:eastAsia="en-NZ"/>
        </w:rPr>
        <w:t xml:space="preserve"> </w:t>
      </w:r>
      <w:r w:rsidRPr="00BB6220">
        <w:rPr>
          <w:lang w:eastAsia="en-NZ"/>
        </w:rPr>
        <w:t>and</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However,</w:t>
      </w:r>
      <w:r w:rsidR="003D640C">
        <w:rPr>
          <w:lang w:eastAsia="en-NZ"/>
        </w:rPr>
        <w:t xml:space="preserve"> </w:t>
      </w:r>
      <w:r w:rsidRPr="00BB6220">
        <w:rPr>
          <w:lang w:eastAsia="en-NZ"/>
        </w:rPr>
        <w:t>existing</w:t>
      </w:r>
      <w:r w:rsidR="003D640C">
        <w:rPr>
          <w:lang w:eastAsia="en-NZ"/>
        </w:rPr>
        <w:t xml:space="preserve"> </w:t>
      </w:r>
      <w:r w:rsidRPr="00BB6220">
        <w:rPr>
          <w:lang w:eastAsia="en-NZ"/>
        </w:rPr>
        <w:t>evidence</w:t>
      </w:r>
      <w:r w:rsidR="003D640C">
        <w:rPr>
          <w:lang w:eastAsia="en-NZ"/>
        </w:rPr>
        <w:t xml:space="preserve"> </w:t>
      </w:r>
      <w:r w:rsidR="003E36CD">
        <w:rPr>
          <w:lang w:eastAsia="en-NZ"/>
        </w:rPr>
        <w:t>clearl</w:t>
      </w:r>
      <w:r w:rsidR="003E36CD" w:rsidRPr="00BB6220">
        <w:rPr>
          <w:lang w:eastAsia="en-NZ"/>
        </w:rPr>
        <w:t>y</w:t>
      </w:r>
      <w:r w:rsidR="003D640C">
        <w:rPr>
          <w:lang w:eastAsia="en-NZ"/>
        </w:rPr>
        <w:t xml:space="preserve"> </w:t>
      </w:r>
      <w:r w:rsidR="00C0550E" w:rsidRPr="00BB6220">
        <w:rPr>
          <w:lang w:eastAsia="en-NZ"/>
        </w:rPr>
        <w:t>indicates</w:t>
      </w:r>
      <w:r w:rsidR="003D640C">
        <w:rPr>
          <w:lang w:eastAsia="en-NZ"/>
        </w:rPr>
        <w:t xml:space="preserve"> </w:t>
      </w:r>
      <w:r w:rsidRPr="00BB6220">
        <w:rPr>
          <w:lang w:eastAsia="en-NZ"/>
        </w:rPr>
        <w:t>Māori</w:t>
      </w:r>
      <w:r w:rsidR="003D640C">
        <w:rPr>
          <w:lang w:eastAsia="en-NZ"/>
        </w:rPr>
        <w:t xml:space="preserve"> </w:t>
      </w:r>
      <w:r w:rsidR="00C7489F">
        <w:rPr>
          <w:lang w:eastAsia="en-NZ"/>
        </w:rPr>
        <w:t>traditionally</w:t>
      </w:r>
      <w:r w:rsidR="003D640C">
        <w:rPr>
          <w:lang w:eastAsia="en-NZ"/>
        </w:rPr>
        <w:t xml:space="preserve"> </w:t>
      </w:r>
      <w:r w:rsidRPr="00BB6220">
        <w:rPr>
          <w:lang w:eastAsia="en-NZ"/>
        </w:rPr>
        <w:t>accepted</w:t>
      </w:r>
      <w:r w:rsidR="003D640C">
        <w:rPr>
          <w:lang w:eastAsia="en-NZ"/>
        </w:rPr>
        <w:t xml:space="preserve"> </w:t>
      </w:r>
      <w:r w:rsidRPr="00BB6220">
        <w:rPr>
          <w:lang w:eastAsia="en-NZ"/>
        </w:rPr>
        <w:t>diverse</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orientations,</w:t>
      </w:r>
      <w:r w:rsidR="003D640C">
        <w:rPr>
          <w:lang w:eastAsia="en-NZ"/>
        </w:rPr>
        <w:t xml:space="preserve"> </w:t>
      </w:r>
      <w:r w:rsidRPr="00BB6220">
        <w:rPr>
          <w:lang w:eastAsia="en-NZ"/>
        </w:rPr>
        <w:t>gender</w:t>
      </w:r>
      <w:r w:rsidR="003D640C">
        <w:rPr>
          <w:lang w:eastAsia="en-NZ"/>
        </w:rPr>
        <w:t xml:space="preserve"> </w:t>
      </w:r>
      <w:r w:rsidRPr="00BB6220">
        <w:rPr>
          <w:lang w:eastAsia="en-NZ"/>
        </w:rPr>
        <w:t>identities,</w:t>
      </w:r>
      <w:r w:rsidR="003D640C">
        <w:rPr>
          <w:lang w:eastAsia="en-NZ"/>
        </w:rPr>
        <w:t xml:space="preserve"> </w:t>
      </w:r>
      <w:r w:rsidRPr="00BB6220">
        <w:rPr>
          <w:lang w:eastAsia="en-NZ"/>
        </w:rPr>
        <w:t>and</w:t>
      </w:r>
      <w:r w:rsidR="003D640C">
        <w:rPr>
          <w:lang w:eastAsia="en-NZ"/>
        </w:rPr>
        <w:t xml:space="preserve"> </w:t>
      </w:r>
      <w:r w:rsidRPr="00BB6220">
        <w:rPr>
          <w:lang w:eastAsia="en-NZ"/>
        </w:rPr>
        <w:t>sex</w:t>
      </w:r>
      <w:r w:rsidR="003D640C">
        <w:rPr>
          <w:lang w:eastAsia="en-NZ"/>
        </w:rPr>
        <w:t xml:space="preserve"> </w:t>
      </w:r>
      <w:r w:rsidRPr="00BB6220">
        <w:rPr>
          <w:lang w:eastAsia="en-NZ"/>
        </w:rPr>
        <w:t>characteristics.</w:t>
      </w:r>
      <w:r w:rsidR="003D640C">
        <w:rPr>
          <w:lang w:eastAsia="en-NZ"/>
        </w:rPr>
        <w:t xml:space="preserve"> </w:t>
      </w:r>
      <w:r w:rsidRPr="00BB6220">
        <w:rPr>
          <w:lang w:eastAsia="en-NZ"/>
        </w:rPr>
        <w:t>Some</w:t>
      </w:r>
      <w:r w:rsidR="003D640C">
        <w:rPr>
          <w:lang w:eastAsia="en-NZ"/>
        </w:rPr>
        <w:t xml:space="preserve"> </w:t>
      </w:r>
      <w:r w:rsidRPr="00BB6220">
        <w:rPr>
          <w:lang w:eastAsia="en-NZ"/>
        </w:rPr>
        <w:t>kaum</w:t>
      </w:r>
      <w:r w:rsidR="00160ECD" w:rsidRPr="00BB6220">
        <w:rPr>
          <w:lang w:eastAsia="en-NZ"/>
        </w:rPr>
        <w:t>ā</w:t>
      </w:r>
      <w:r w:rsidRPr="00BB6220">
        <w:rPr>
          <w:lang w:eastAsia="en-NZ"/>
        </w:rPr>
        <w:t>tua</w:t>
      </w:r>
      <w:r w:rsidR="003D640C">
        <w:rPr>
          <w:lang w:eastAsia="en-NZ"/>
        </w:rPr>
        <w:t xml:space="preserve"> </w:t>
      </w:r>
      <w:r w:rsidRPr="00BB6220">
        <w:rPr>
          <w:lang w:eastAsia="en-NZ"/>
        </w:rPr>
        <w:t>and</w:t>
      </w:r>
      <w:r w:rsidR="003D640C">
        <w:rPr>
          <w:lang w:eastAsia="en-NZ"/>
        </w:rPr>
        <w:t xml:space="preserve"> </w:t>
      </w:r>
      <w:r w:rsidRPr="00BB6220">
        <w:rPr>
          <w:lang w:eastAsia="en-NZ"/>
        </w:rPr>
        <w:t>kuia</w:t>
      </w:r>
      <w:r w:rsidR="003D640C">
        <w:rPr>
          <w:lang w:eastAsia="en-NZ"/>
        </w:rPr>
        <w:t xml:space="preserve"> </w:t>
      </w:r>
      <w:r w:rsidRPr="00BB6220">
        <w:rPr>
          <w:lang w:eastAsia="en-NZ"/>
        </w:rPr>
        <w:t>suggest</w:t>
      </w:r>
      <w:r w:rsidR="003D640C">
        <w:rPr>
          <w:lang w:eastAsia="en-NZ"/>
        </w:rPr>
        <w:t xml:space="preserve"> </w:t>
      </w:r>
      <w:r w:rsidRPr="00BB6220">
        <w:rPr>
          <w:lang w:eastAsia="en-NZ"/>
        </w:rPr>
        <w:t>homosexuality</w:t>
      </w:r>
      <w:r w:rsidR="003D640C">
        <w:rPr>
          <w:lang w:eastAsia="en-NZ"/>
        </w:rPr>
        <w:t xml:space="preserve"> </w:t>
      </w:r>
      <w:r w:rsidRPr="00BB6220">
        <w:rPr>
          <w:lang w:eastAsia="en-NZ"/>
        </w:rPr>
        <w:t>was</w:t>
      </w:r>
      <w:r w:rsidR="003D640C">
        <w:rPr>
          <w:lang w:eastAsia="en-NZ"/>
        </w:rPr>
        <w:t xml:space="preserve"> </w:t>
      </w:r>
      <w:r w:rsidRPr="00BB6220">
        <w:rPr>
          <w:lang w:eastAsia="en-NZ"/>
        </w:rPr>
        <w:t>readily</w:t>
      </w:r>
      <w:r w:rsidR="003D640C">
        <w:rPr>
          <w:lang w:eastAsia="en-NZ"/>
        </w:rPr>
        <w:t xml:space="preserve"> </w:t>
      </w:r>
      <w:r w:rsidRPr="00BB6220">
        <w:rPr>
          <w:lang w:eastAsia="en-NZ"/>
        </w:rPr>
        <w:t>accepted</w:t>
      </w:r>
      <w:r w:rsidR="003D640C">
        <w:rPr>
          <w:lang w:eastAsia="en-NZ"/>
        </w:rPr>
        <w:t xml:space="preserve"> </w:t>
      </w:r>
      <w:r w:rsidR="003E3846" w:rsidRPr="00BB6220">
        <w:rPr>
          <w:lang w:eastAsia="en-NZ"/>
        </w:rPr>
        <w:t>before</w:t>
      </w:r>
      <w:r w:rsidR="003D640C">
        <w:rPr>
          <w:lang w:eastAsia="en-NZ"/>
        </w:rPr>
        <w:t xml:space="preserve"> </w:t>
      </w:r>
      <w:r w:rsidRPr="00BB6220">
        <w:rPr>
          <w:lang w:eastAsia="en-NZ"/>
        </w:rPr>
        <w:t>colonisation.</w:t>
      </w:r>
      <w:r w:rsidR="008E18D0" w:rsidRPr="00BB6220">
        <w:rPr>
          <w:rStyle w:val="FootnoteReference"/>
          <w:rFonts w:ascii="Calibri" w:eastAsia="Times New Roman" w:hAnsi="Calibri" w:cs="Calibri"/>
          <w:lang w:eastAsia="en-NZ"/>
        </w:rPr>
        <w:footnoteReference w:id="145"/>
      </w:r>
      <w:r w:rsidR="003D640C">
        <w:rPr>
          <w:lang w:eastAsia="en-NZ"/>
        </w:rPr>
        <w:t xml:space="preserve"> </w:t>
      </w:r>
      <w:r w:rsidR="00D8510F" w:rsidRPr="00BB6220">
        <w:rPr>
          <w:lang w:eastAsia="en-NZ"/>
        </w:rPr>
        <w:t>T</w:t>
      </w:r>
      <w:r w:rsidR="00F54DA7">
        <w:rPr>
          <w:lang w:eastAsia="en-NZ"/>
        </w:rPr>
        <w:t>o</w:t>
      </w:r>
      <w:r w:rsidR="003D640C">
        <w:rPr>
          <w:lang w:eastAsia="en-NZ"/>
        </w:rPr>
        <w:t xml:space="preserve"> </w:t>
      </w:r>
      <w:r w:rsidR="00F54DA7">
        <w:rPr>
          <w:lang w:eastAsia="en-NZ"/>
        </w:rPr>
        <w:t>date,</w:t>
      </w:r>
      <w:r w:rsidR="003D640C">
        <w:rPr>
          <w:lang w:eastAsia="en-NZ"/>
        </w:rPr>
        <w:t xml:space="preserve"> </w:t>
      </w:r>
      <w:r w:rsidR="00F54DA7">
        <w:rPr>
          <w:lang w:eastAsia="en-NZ"/>
        </w:rPr>
        <w:t>t</w:t>
      </w:r>
      <w:r w:rsidR="00D8510F" w:rsidRPr="00BB6220">
        <w:rPr>
          <w:lang w:eastAsia="en-NZ"/>
        </w:rPr>
        <w:t>here</w:t>
      </w:r>
      <w:r w:rsidR="003D640C">
        <w:rPr>
          <w:lang w:eastAsia="en-NZ"/>
        </w:rPr>
        <w:t xml:space="preserve"> </w:t>
      </w:r>
      <w:r w:rsidR="00D8510F" w:rsidRPr="00BB6220">
        <w:rPr>
          <w:lang w:eastAsia="en-NZ"/>
        </w:rPr>
        <w:t>is</w:t>
      </w:r>
      <w:r w:rsidR="003D640C">
        <w:rPr>
          <w:lang w:eastAsia="en-NZ"/>
        </w:rPr>
        <w:t xml:space="preserve"> </w:t>
      </w:r>
      <w:r w:rsidR="00D8510F" w:rsidRPr="00BB6220">
        <w:rPr>
          <w:lang w:eastAsia="en-NZ"/>
        </w:rPr>
        <w:t>no</w:t>
      </w:r>
      <w:r w:rsidR="003D640C">
        <w:rPr>
          <w:lang w:eastAsia="en-NZ"/>
        </w:rPr>
        <w:t xml:space="preserve"> </w:t>
      </w:r>
      <w:r w:rsidR="00D8510F" w:rsidRPr="00BB6220">
        <w:rPr>
          <w:lang w:eastAsia="en-NZ"/>
        </w:rPr>
        <w:t>evidence</w:t>
      </w:r>
      <w:r w:rsidR="003D640C">
        <w:rPr>
          <w:lang w:eastAsia="en-NZ"/>
        </w:rPr>
        <w:t xml:space="preserve"> </w:t>
      </w:r>
      <w:r w:rsidR="00D8510F" w:rsidRPr="00BB6220">
        <w:rPr>
          <w:lang w:eastAsia="en-NZ"/>
        </w:rPr>
        <w:t>of</w:t>
      </w:r>
      <w:r w:rsidR="003D640C">
        <w:rPr>
          <w:lang w:eastAsia="en-NZ"/>
        </w:rPr>
        <w:t xml:space="preserve"> </w:t>
      </w:r>
      <w:r w:rsidR="00D8510F" w:rsidRPr="00BB6220">
        <w:rPr>
          <w:lang w:eastAsia="en-NZ"/>
        </w:rPr>
        <w:t>conversion</w:t>
      </w:r>
      <w:r w:rsidR="003D640C">
        <w:rPr>
          <w:lang w:eastAsia="en-NZ"/>
        </w:rPr>
        <w:t xml:space="preserve"> </w:t>
      </w:r>
      <w:r w:rsidR="00D8510F" w:rsidRPr="00BB6220">
        <w:rPr>
          <w:lang w:eastAsia="en-NZ"/>
        </w:rPr>
        <w:t>practices</w:t>
      </w:r>
      <w:r w:rsidR="003D640C">
        <w:rPr>
          <w:lang w:eastAsia="en-NZ"/>
        </w:rPr>
        <w:t xml:space="preserve"> </w:t>
      </w:r>
      <w:r w:rsidR="00AD1E98" w:rsidRPr="00BB6220">
        <w:rPr>
          <w:lang w:eastAsia="en-NZ"/>
        </w:rPr>
        <w:t>in</w:t>
      </w:r>
      <w:r w:rsidR="003D640C">
        <w:rPr>
          <w:lang w:eastAsia="en-NZ"/>
        </w:rPr>
        <w:t xml:space="preserve"> </w:t>
      </w:r>
      <w:r w:rsidR="00AD1E98" w:rsidRPr="00BB6220">
        <w:rPr>
          <w:lang w:eastAsia="en-NZ"/>
        </w:rPr>
        <w:t>traditional</w:t>
      </w:r>
      <w:r w:rsidR="003D640C">
        <w:rPr>
          <w:lang w:eastAsia="en-NZ"/>
        </w:rPr>
        <w:t xml:space="preserve"> </w:t>
      </w:r>
      <w:r w:rsidR="00AD1E98" w:rsidRPr="00BB6220">
        <w:rPr>
          <w:lang w:eastAsia="en-NZ"/>
        </w:rPr>
        <w:t>M</w:t>
      </w:r>
      <w:r w:rsidR="00AD1E98" w:rsidRPr="00BB6220">
        <w:rPr>
          <w:lang w:val="mi-NZ" w:eastAsia="en-NZ"/>
        </w:rPr>
        <w:t>āori</w:t>
      </w:r>
      <w:r w:rsidR="003D640C">
        <w:rPr>
          <w:lang w:val="mi-NZ" w:eastAsia="en-NZ"/>
        </w:rPr>
        <w:t xml:space="preserve"> </w:t>
      </w:r>
      <w:r w:rsidR="00AD1E98" w:rsidRPr="00BB6220">
        <w:rPr>
          <w:lang w:val="mi-NZ" w:eastAsia="en-NZ"/>
        </w:rPr>
        <w:t>views.</w:t>
      </w:r>
      <w:r w:rsidR="003D640C">
        <w:rPr>
          <w:lang w:val="mi-NZ" w:eastAsia="en-NZ"/>
        </w:rPr>
        <w:t xml:space="preserve"> </w:t>
      </w:r>
    </w:p>
    <w:p w14:paraId="6B02F383" w14:textId="7DE30476" w:rsidR="00501068" w:rsidRDefault="00A83BE9" w:rsidP="002C6363">
      <w:pPr>
        <w:rPr>
          <w:rFonts w:ascii="Segoe UI" w:hAnsi="Segoe UI" w:cs="Segoe UI"/>
          <w:sz w:val="20"/>
          <w:szCs w:val="20"/>
          <w:lang w:eastAsia="en-NZ"/>
        </w:rPr>
      </w:pPr>
      <w:r w:rsidRPr="00BB6220">
        <w:rPr>
          <w:lang w:eastAsia="en-NZ"/>
        </w:rPr>
        <w:t>Pre-European</w:t>
      </w:r>
      <w:r w:rsidR="003D640C">
        <w:rPr>
          <w:lang w:eastAsia="en-NZ"/>
        </w:rPr>
        <w:t xml:space="preserve"> </w:t>
      </w:r>
      <w:r w:rsidRPr="00BB6220">
        <w:rPr>
          <w:lang w:eastAsia="en-NZ"/>
        </w:rPr>
        <w:t>acceptance</w:t>
      </w:r>
      <w:r w:rsidR="003D640C">
        <w:rPr>
          <w:lang w:eastAsia="en-NZ"/>
        </w:rPr>
        <w:t xml:space="preserve"> </w:t>
      </w:r>
      <w:r w:rsidRPr="00BB6220">
        <w:rPr>
          <w:lang w:eastAsia="en-NZ"/>
        </w:rPr>
        <w:t>of</w:t>
      </w:r>
      <w:r w:rsidR="003D640C">
        <w:rPr>
          <w:lang w:eastAsia="en-NZ"/>
        </w:rPr>
        <w:t xml:space="preserve"> </w:t>
      </w:r>
      <w:r w:rsidRPr="00BB6220">
        <w:rPr>
          <w:lang w:eastAsia="en-NZ"/>
        </w:rPr>
        <w:t>tīpuna</w:t>
      </w:r>
      <w:r w:rsidR="003D640C">
        <w:rPr>
          <w:lang w:eastAsia="en-NZ"/>
        </w:rPr>
        <w:t xml:space="preserve"> </w:t>
      </w:r>
      <w:r w:rsidRPr="00BB6220">
        <w:rPr>
          <w:lang w:eastAsia="en-NZ"/>
        </w:rPr>
        <w:t>with</w:t>
      </w:r>
      <w:r w:rsidR="003D640C">
        <w:rPr>
          <w:lang w:eastAsia="en-NZ"/>
        </w:rPr>
        <w:t xml:space="preserve"> </w:t>
      </w:r>
      <w:r w:rsidRPr="00BB6220">
        <w:rPr>
          <w:lang w:eastAsia="en-NZ"/>
        </w:rPr>
        <w:t>fluid</w:t>
      </w:r>
      <w:r w:rsidR="003D640C">
        <w:rPr>
          <w:lang w:eastAsia="en-NZ"/>
        </w:rPr>
        <w:t xml:space="preserve"> </w:t>
      </w:r>
      <w:r w:rsidRPr="00BB6220">
        <w:rPr>
          <w:lang w:eastAsia="en-NZ"/>
        </w:rPr>
        <w:t>genders</w:t>
      </w:r>
      <w:r w:rsidR="003D640C">
        <w:rPr>
          <w:lang w:eastAsia="en-NZ"/>
        </w:rPr>
        <w:t xml:space="preserve"> </w:t>
      </w:r>
      <w:r w:rsidRPr="00BB6220">
        <w:rPr>
          <w:lang w:eastAsia="en-NZ"/>
        </w:rPr>
        <w:t>and/or</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00EA0E77">
        <w:rPr>
          <w:lang w:eastAsia="en-NZ"/>
        </w:rPr>
        <w:t>s</w:t>
      </w:r>
      <w:r w:rsidR="003D640C">
        <w:rPr>
          <w:lang w:eastAsia="en-NZ"/>
        </w:rPr>
        <w:t xml:space="preserve"> </w:t>
      </w:r>
      <w:r w:rsidRPr="00BB6220">
        <w:rPr>
          <w:lang w:eastAsia="en-NZ"/>
        </w:rPr>
        <w:t>are</w:t>
      </w:r>
      <w:r w:rsidR="003D640C">
        <w:rPr>
          <w:lang w:eastAsia="en-NZ"/>
        </w:rPr>
        <w:t xml:space="preserve"> </w:t>
      </w:r>
      <w:r w:rsidRPr="00BB6220">
        <w:rPr>
          <w:lang w:eastAsia="en-NZ"/>
        </w:rPr>
        <w:t>depicted</w:t>
      </w:r>
      <w:r w:rsidR="003D640C">
        <w:rPr>
          <w:lang w:eastAsia="en-NZ"/>
        </w:rPr>
        <w:t xml:space="preserve"> </w:t>
      </w:r>
      <w:r w:rsidRPr="00BB6220">
        <w:rPr>
          <w:lang w:eastAsia="en-NZ"/>
        </w:rPr>
        <w:t>in</w:t>
      </w:r>
      <w:r w:rsidR="003D640C">
        <w:rPr>
          <w:lang w:eastAsia="en-NZ"/>
        </w:rPr>
        <w:t xml:space="preserve"> </w:t>
      </w:r>
      <w:r w:rsidRPr="00BB6220">
        <w:rPr>
          <w:lang w:eastAsia="en-NZ"/>
        </w:rPr>
        <w:t>different</w:t>
      </w:r>
      <w:r w:rsidR="003D640C">
        <w:rPr>
          <w:lang w:eastAsia="en-NZ"/>
        </w:rPr>
        <w:t xml:space="preserve"> </w:t>
      </w:r>
      <w:r w:rsidR="001C451A" w:rsidRPr="00BB6220">
        <w:rPr>
          <w:lang w:eastAsia="en-NZ"/>
        </w:rPr>
        <w:t>m</w:t>
      </w:r>
      <w:r w:rsidR="00F54185" w:rsidRPr="00BB6220">
        <w:rPr>
          <w:lang w:eastAsia="en-NZ"/>
        </w:rPr>
        <w:t>ō</w:t>
      </w:r>
      <w:r w:rsidR="002A69CA" w:rsidRPr="00BB6220">
        <w:rPr>
          <w:lang w:eastAsia="en-NZ"/>
        </w:rPr>
        <w:t>teatea</w:t>
      </w:r>
      <w:r w:rsidR="00F54185" w:rsidRPr="00BB6220">
        <w:rPr>
          <w:lang w:eastAsia="en-NZ"/>
        </w:rPr>
        <w:t>,</w:t>
      </w:r>
      <w:r w:rsidR="003D640C">
        <w:rPr>
          <w:lang w:eastAsia="en-NZ"/>
        </w:rPr>
        <w:t xml:space="preserve"> </w:t>
      </w:r>
      <w:r w:rsidRPr="00BB6220">
        <w:rPr>
          <w:lang w:eastAsia="en-NZ"/>
        </w:rPr>
        <w:t>waiata,</w:t>
      </w:r>
      <w:r w:rsidR="003D640C">
        <w:rPr>
          <w:lang w:eastAsia="en-NZ"/>
        </w:rPr>
        <w:t xml:space="preserve"> </w:t>
      </w:r>
      <w:r w:rsidRPr="00BB6220">
        <w:rPr>
          <w:lang w:eastAsia="en-NZ"/>
        </w:rPr>
        <w:t>karakia,</w:t>
      </w:r>
      <w:r w:rsidR="003D640C">
        <w:rPr>
          <w:lang w:eastAsia="en-NZ"/>
        </w:rPr>
        <w:t xml:space="preserve"> </w:t>
      </w:r>
      <w:r w:rsidRPr="00BB6220">
        <w:rPr>
          <w:lang w:eastAsia="en-NZ"/>
        </w:rPr>
        <w:t>and</w:t>
      </w:r>
      <w:r w:rsidR="003D640C">
        <w:rPr>
          <w:lang w:eastAsia="en-NZ"/>
        </w:rPr>
        <w:t xml:space="preserve"> </w:t>
      </w:r>
      <w:r w:rsidRPr="00BB6220">
        <w:rPr>
          <w:lang w:eastAsia="en-NZ"/>
        </w:rPr>
        <w:t>whakairo.</w:t>
      </w:r>
      <w:r w:rsidR="003E7BC8" w:rsidRPr="00BB6220">
        <w:rPr>
          <w:rStyle w:val="FootnoteReference"/>
          <w:rFonts w:ascii="Calibri" w:eastAsia="Times New Roman" w:hAnsi="Calibri" w:cs="Calibri"/>
          <w:lang w:eastAsia="en-NZ"/>
        </w:rPr>
        <w:footnoteReference w:id="146"/>
      </w:r>
      <w:r w:rsidR="003D640C">
        <w:rPr>
          <w:lang w:eastAsia="en-NZ"/>
        </w:rPr>
        <w:t xml:space="preserve"> </w:t>
      </w:r>
      <w:r w:rsidRPr="00BB6220">
        <w:rPr>
          <w:lang w:eastAsia="en-NZ"/>
        </w:rPr>
        <w:t>For</w:t>
      </w:r>
      <w:r w:rsidR="003D640C">
        <w:rPr>
          <w:lang w:eastAsia="en-NZ"/>
        </w:rPr>
        <w:t xml:space="preserve"> </w:t>
      </w:r>
      <w:r w:rsidRPr="00BB6220">
        <w:rPr>
          <w:lang w:eastAsia="en-NZ"/>
        </w:rPr>
        <w:t>example,</w:t>
      </w:r>
      <w:r w:rsidR="003D640C">
        <w:rPr>
          <w:lang w:eastAsia="en-NZ"/>
        </w:rPr>
        <w:t xml:space="preserve"> </w:t>
      </w:r>
      <w:r w:rsidRPr="00BB6220">
        <w:rPr>
          <w:lang w:eastAsia="en-NZ"/>
        </w:rPr>
        <w:t>a</w:t>
      </w:r>
      <w:r w:rsidR="003D640C">
        <w:rPr>
          <w:lang w:eastAsia="en-NZ"/>
        </w:rPr>
        <w:t xml:space="preserve"> </w:t>
      </w:r>
      <w:r w:rsidRPr="00BB6220">
        <w:rPr>
          <w:lang w:eastAsia="en-NZ"/>
        </w:rPr>
        <w:t>Ngāti</w:t>
      </w:r>
      <w:r w:rsidR="003D640C">
        <w:rPr>
          <w:lang w:eastAsia="en-NZ"/>
        </w:rPr>
        <w:t xml:space="preserve"> </w:t>
      </w:r>
      <w:r w:rsidRPr="00BB6220">
        <w:rPr>
          <w:lang w:eastAsia="en-NZ"/>
        </w:rPr>
        <w:t>Tūwharetoa</w:t>
      </w:r>
      <w:r w:rsidR="003D640C">
        <w:rPr>
          <w:lang w:eastAsia="en-NZ"/>
        </w:rPr>
        <w:t xml:space="preserve"> </w:t>
      </w:r>
      <w:r w:rsidRPr="00BB6220">
        <w:rPr>
          <w:lang w:eastAsia="en-NZ"/>
        </w:rPr>
        <w:t>waiata</w:t>
      </w:r>
      <w:r w:rsidR="003D640C">
        <w:rPr>
          <w:lang w:eastAsia="en-NZ"/>
        </w:rPr>
        <w:t xml:space="preserve"> </w:t>
      </w:r>
      <w:r w:rsidRPr="00BB6220">
        <w:rPr>
          <w:lang w:eastAsia="en-NZ"/>
        </w:rPr>
        <w:t>tangi</w:t>
      </w:r>
      <w:r w:rsidR="003D640C">
        <w:rPr>
          <w:lang w:eastAsia="en-NZ"/>
        </w:rPr>
        <w:t xml:space="preserve"> </w:t>
      </w:r>
      <w:r w:rsidRPr="00BB6220">
        <w:rPr>
          <w:lang w:eastAsia="en-NZ"/>
        </w:rPr>
        <w:t>laments</w:t>
      </w:r>
      <w:r w:rsidR="003D640C">
        <w:rPr>
          <w:lang w:eastAsia="en-NZ"/>
        </w:rPr>
        <w:t xml:space="preserve"> </w:t>
      </w:r>
      <w:r w:rsidRPr="00BB6220">
        <w:rPr>
          <w:lang w:eastAsia="en-NZ"/>
        </w:rPr>
        <w:t>the</w:t>
      </w:r>
      <w:r w:rsidR="003D640C">
        <w:rPr>
          <w:lang w:eastAsia="en-NZ"/>
        </w:rPr>
        <w:t xml:space="preserve"> </w:t>
      </w:r>
      <w:r w:rsidRPr="00BB6220">
        <w:rPr>
          <w:lang w:eastAsia="en-NZ"/>
        </w:rPr>
        <w:t>death</w:t>
      </w:r>
      <w:r w:rsidR="003D640C">
        <w:rPr>
          <w:lang w:eastAsia="en-NZ"/>
        </w:rPr>
        <w:t xml:space="preserve"> </w:t>
      </w:r>
      <w:r w:rsidRPr="00BB6220">
        <w:rPr>
          <w:lang w:eastAsia="en-NZ"/>
        </w:rPr>
        <w:t>of</w:t>
      </w:r>
      <w:r w:rsidR="003D640C">
        <w:rPr>
          <w:lang w:eastAsia="en-NZ"/>
        </w:rPr>
        <w:t xml:space="preserve"> </w:t>
      </w:r>
      <w:r w:rsidRPr="00BB6220">
        <w:rPr>
          <w:lang w:eastAsia="en-NZ"/>
        </w:rPr>
        <w:t>a</w:t>
      </w:r>
      <w:r w:rsidR="003D640C">
        <w:rPr>
          <w:lang w:eastAsia="en-NZ"/>
        </w:rPr>
        <w:t xml:space="preserve"> </w:t>
      </w:r>
      <w:r w:rsidRPr="00BB6220">
        <w:rPr>
          <w:lang w:eastAsia="en-NZ"/>
        </w:rPr>
        <w:t>warrior</w:t>
      </w:r>
      <w:r w:rsidR="003D640C">
        <w:rPr>
          <w:lang w:eastAsia="en-NZ"/>
        </w:rPr>
        <w:t xml:space="preserve"> </w:t>
      </w:r>
      <w:r w:rsidRPr="00BB6220">
        <w:rPr>
          <w:lang w:eastAsia="en-NZ"/>
        </w:rPr>
        <w:t>chief</w:t>
      </w:r>
      <w:r w:rsidR="003D640C">
        <w:rPr>
          <w:lang w:eastAsia="en-NZ"/>
        </w:rPr>
        <w:t xml:space="preserve"> </w:t>
      </w:r>
      <w:r w:rsidRPr="00BB6220">
        <w:rPr>
          <w:lang w:eastAsia="en-NZ"/>
        </w:rPr>
        <w:t>and</w:t>
      </w:r>
      <w:r w:rsidR="003D640C">
        <w:rPr>
          <w:lang w:eastAsia="en-NZ"/>
        </w:rPr>
        <w:t xml:space="preserve"> </w:t>
      </w:r>
      <w:r w:rsidRPr="00BB6220">
        <w:rPr>
          <w:lang w:eastAsia="en-NZ"/>
        </w:rPr>
        <w:t>alludes</w:t>
      </w:r>
      <w:r w:rsidR="003D640C">
        <w:rPr>
          <w:lang w:eastAsia="en-NZ"/>
        </w:rPr>
        <w:t xml:space="preserve"> </w:t>
      </w:r>
      <w:r w:rsidRPr="00BB6220">
        <w:rPr>
          <w:lang w:eastAsia="en-NZ"/>
        </w:rPr>
        <w:t>to</w:t>
      </w:r>
      <w:r w:rsidR="003D640C">
        <w:rPr>
          <w:lang w:eastAsia="en-NZ"/>
        </w:rPr>
        <w:t xml:space="preserve"> </w:t>
      </w:r>
      <w:r w:rsidRPr="00BB6220">
        <w:rPr>
          <w:lang w:eastAsia="en-NZ"/>
        </w:rPr>
        <w:t>him</w:t>
      </w:r>
      <w:r w:rsidR="003D640C">
        <w:rPr>
          <w:lang w:eastAsia="en-NZ"/>
        </w:rPr>
        <w:t xml:space="preserve"> </w:t>
      </w:r>
      <w:r w:rsidRPr="00BB6220">
        <w:rPr>
          <w:lang w:eastAsia="en-NZ"/>
        </w:rPr>
        <w:t>having</w:t>
      </w:r>
      <w:r w:rsidR="003D640C">
        <w:rPr>
          <w:lang w:eastAsia="en-NZ"/>
        </w:rPr>
        <w:t xml:space="preserve"> </w:t>
      </w:r>
      <w:r w:rsidRPr="00BB6220">
        <w:rPr>
          <w:lang w:eastAsia="en-NZ"/>
        </w:rPr>
        <w:t>sex</w:t>
      </w:r>
      <w:r w:rsidR="003D640C">
        <w:rPr>
          <w:lang w:eastAsia="en-NZ"/>
        </w:rPr>
        <w:t xml:space="preserve"> </w:t>
      </w:r>
      <w:r w:rsidRPr="00BB6220">
        <w:rPr>
          <w:lang w:eastAsia="en-NZ"/>
        </w:rPr>
        <w:t>with</w:t>
      </w:r>
      <w:r w:rsidR="003D640C">
        <w:rPr>
          <w:lang w:eastAsia="en-NZ"/>
        </w:rPr>
        <w:t xml:space="preserve"> </w:t>
      </w:r>
      <w:r w:rsidRPr="00BB6220">
        <w:rPr>
          <w:lang w:eastAsia="en-NZ"/>
        </w:rPr>
        <w:t>both</w:t>
      </w:r>
      <w:r w:rsidR="003D640C">
        <w:rPr>
          <w:lang w:eastAsia="en-NZ"/>
        </w:rPr>
        <w:t xml:space="preserve"> </w:t>
      </w:r>
      <w:r w:rsidRPr="00BB6220">
        <w:rPr>
          <w:lang w:eastAsia="en-NZ"/>
        </w:rPr>
        <w:t>women</w:t>
      </w:r>
      <w:r w:rsidR="003D640C">
        <w:rPr>
          <w:lang w:eastAsia="en-NZ"/>
        </w:rPr>
        <w:t xml:space="preserve"> </w:t>
      </w:r>
      <w:r w:rsidRPr="00BB6220">
        <w:rPr>
          <w:lang w:eastAsia="en-NZ"/>
        </w:rPr>
        <w:t>and</w:t>
      </w:r>
      <w:r w:rsidR="003D640C">
        <w:rPr>
          <w:lang w:eastAsia="en-NZ"/>
        </w:rPr>
        <w:t xml:space="preserve"> </w:t>
      </w:r>
      <w:r w:rsidRPr="00BB6220">
        <w:rPr>
          <w:lang w:eastAsia="en-NZ"/>
        </w:rPr>
        <w:t>men.</w:t>
      </w:r>
      <w:r w:rsidR="00980E0B" w:rsidRPr="00BB6220">
        <w:rPr>
          <w:rStyle w:val="FootnoteReference"/>
          <w:rFonts w:ascii="Calibri" w:eastAsia="Times New Roman" w:hAnsi="Calibri" w:cs="Calibri"/>
          <w:lang w:eastAsia="en-NZ"/>
        </w:rPr>
        <w:footnoteReference w:id="147"/>
      </w:r>
      <w:r w:rsidR="003D640C">
        <w:rPr>
          <w:lang w:eastAsia="en-NZ"/>
        </w:rPr>
        <w:t xml:space="preserve"> </w:t>
      </w:r>
    </w:p>
    <w:p w14:paraId="4C13F765" w14:textId="7332F269" w:rsidR="00501068" w:rsidRDefault="00A83BE9" w:rsidP="002C6363">
      <w:pPr>
        <w:rPr>
          <w:rFonts w:ascii="Segoe UI" w:hAnsi="Segoe UI" w:cs="Segoe UI"/>
          <w:sz w:val="20"/>
          <w:szCs w:val="20"/>
          <w:lang w:eastAsia="en-NZ"/>
        </w:rPr>
      </w:pPr>
      <w:r w:rsidRPr="00BB6220">
        <w:rPr>
          <w:lang w:eastAsia="en-NZ"/>
        </w:rPr>
        <w:t>The</w:t>
      </w:r>
      <w:r w:rsidR="003D640C">
        <w:rPr>
          <w:lang w:eastAsia="en-NZ"/>
        </w:rPr>
        <w:t xml:space="preserve"> </w:t>
      </w:r>
      <w:r w:rsidRPr="00BB6220">
        <w:rPr>
          <w:lang w:eastAsia="en-NZ"/>
        </w:rPr>
        <w:t>term</w:t>
      </w:r>
      <w:r w:rsidR="003D640C">
        <w:rPr>
          <w:lang w:eastAsia="en-NZ"/>
        </w:rPr>
        <w:t xml:space="preserve"> </w:t>
      </w:r>
      <w:r w:rsidR="00A87072">
        <w:rPr>
          <w:lang w:eastAsia="en-NZ"/>
        </w:rPr>
        <w:t>‘</w:t>
      </w:r>
      <w:r w:rsidRPr="00BB6220">
        <w:rPr>
          <w:lang w:eastAsia="en-NZ"/>
        </w:rPr>
        <w:t>takatāpui</w:t>
      </w:r>
      <w:r w:rsidR="00A87072">
        <w:rPr>
          <w:lang w:eastAsia="en-NZ"/>
        </w:rPr>
        <w:t>’</w:t>
      </w:r>
      <w:r w:rsidR="003D640C">
        <w:rPr>
          <w:lang w:eastAsia="en-NZ"/>
        </w:rPr>
        <w:t xml:space="preserve"> </w:t>
      </w:r>
      <w:r w:rsidR="007D081A" w:rsidRPr="00BB6220">
        <w:rPr>
          <w:lang w:eastAsia="en-NZ"/>
        </w:rPr>
        <w:t>has</w:t>
      </w:r>
      <w:r w:rsidR="003D640C">
        <w:rPr>
          <w:lang w:eastAsia="en-NZ"/>
        </w:rPr>
        <w:t xml:space="preserve"> </w:t>
      </w:r>
      <w:r w:rsidR="007D081A" w:rsidRPr="00BB6220">
        <w:rPr>
          <w:lang w:eastAsia="en-NZ"/>
        </w:rPr>
        <w:t>been</w:t>
      </w:r>
      <w:r w:rsidR="003D640C">
        <w:rPr>
          <w:lang w:eastAsia="en-NZ"/>
        </w:rPr>
        <w:t xml:space="preserve"> </w:t>
      </w:r>
      <w:r w:rsidR="007D081A" w:rsidRPr="00BB6220">
        <w:rPr>
          <w:lang w:eastAsia="en-NZ"/>
        </w:rPr>
        <w:t>used</w:t>
      </w:r>
      <w:r w:rsidR="003D640C">
        <w:rPr>
          <w:lang w:eastAsia="en-NZ"/>
        </w:rPr>
        <w:t xml:space="preserve"> </w:t>
      </w:r>
      <w:r w:rsidR="007D081A" w:rsidRPr="00BB6220">
        <w:rPr>
          <w:lang w:eastAsia="en-NZ"/>
        </w:rPr>
        <w:t>for</w:t>
      </w:r>
      <w:r w:rsidR="003D640C">
        <w:rPr>
          <w:lang w:eastAsia="en-NZ"/>
        </w:rPr>
        <w:t xml:space="preserve"> </w:t>
      </w:r>
      <w:r w:rsidR="007D081A" w:rsidRPr="00BB6220">
        <w:rPr>
          <w:lang w:eastAsia="en-NZ"/>
        </w:rPr>
        <w:t>several</w:t>
      </w:r>
      <w:r w:rsidR="003D640C">
        <w:rPr>
          <w:lang w:eastAsia="en-NZ"/>
        </w:rPr>
        <w:t xml:space="preserve"> </w:t>
      </w:r>
      <w:r w:rsidR="007D081A" w:rsidRPr="00BB6220">
        <w:rPr>
          <w:lang w:eastAsia="en-NZ"/>
        </w:rPr>
        <w:t>centuries.</w:t>
      </w:r>
      <w:r w:rsidR="003D640C">
        <w:rPr>
          <w:lang w:eastAsia="en-NZ"/>
        </w:rPr>
        <w:t xml:space="preserve"> </w:t>
      </w:r>
      <w:r w:rsidR="007D081A" w:rsidRPr="00BB6220">
        <w:rPr>
          <w:lang w:eastAsia="en-NZ"/>
        </w:rPr>
        <w:t>It</w:t>
      </w:r>
      <w:r w:rsidR="003D640C">
        <w:rPr>
          <w:lang w:eastAsia="en-NZ"/>
        </w:rPr>
        <w:t xml:space="preserve"> </w:t>
      </w:r>
      <w:r w:rsidRPr="00BB6220">
        <w:rPr>
          <w:lang w:eastAsia="en-NZ"/>
        </w:rPr>
        <w:t>has</w:t>
      </w:r>
      <w:r w:rsidR="003D640C">
        <w:rPr>
          <w:lang w:eastAsia="en-NZ"/>
        </w:rPr>
        <w:t xml:space="preserve"> </w:t>
      </w:r>
      <w:r w:rsidRPr="00BB6220">
        <w:rPr>
          <w:lang w:eastAsia="en-NZ"/>
        </w:rPr>
        <w:t>been</w:t>
      </w:r>
      <w:r w:rsidR="003D640C">
        <w:rPr>
          <w:lang w:eastAsia="en-NZ"/>
        </w:rPr>
        <w:t xml:space="preserve"> </w:t>
      </w:r>
      <w:r w:rsidRPr="00BB6220">
        <w:rPr>
          <w:lang w:eastAsia="en-NZ"/>
        </w:rPr>
        <w:t>connected</w:t>
      </w:r>
      <w:r w:rsidR="003D640C">
        <w:rPr>
          <w:lang w:eastAsia="en-NZ"/>
        </w:rPr>
        <w:t xml:space="preserve"> </w:t>
      </w:r>
      <w:r w:rsidRPr="00BB6220">
        <w:rPr>
          <w:lang w:eastAsia="en-NZ"/>
        </w:rPr>
        <w:t>to</w:t>
      </w:r>
      <w:r w:rsidR="003D640C">
        <w:rPr>
          <w:lang w:eastAsia="en-NZ"/>
        </w:rPr>
        <w:t xml:space="preserve"> </w:t>
      </w:r>
      <w:r w:rsidRPr="00BB6220">
        <w:rPr>
          <w:lang w:eastAsia="en-NZ"/>
        </w:rPr>
        <w:t>iwi</w:t>
      </w:r>
      <w:r w:rsidR="003D640C">
        <w:rPr>
          <w:lang w:eastAsia="en-NZ"/>
        </w:rPr>
        <w:t xml:space="preserve"> </w:t>
      </w:r>
      <w:r w:rsidR="007D081A" w:rsidRPr="00BB6220">
        <w:rPr>
          <w:lang w:eastAsia="en-NZ"/>
        </w:rPr>
        <w:t>around</w:t>
      </w:r>
      <w:r w:rsidR="003D640C">
        <w:rPr>
          <w:lang w:eastAsia="en-NZ"/>
        </w:rPr>
        <w:t xml:space="preserve"> </w:t>
      </w:r>
      <w:r w:rsidR="007D081A" w:rsidRPr="00BB6220">
        <w:rPr>
          <w:lang w:eastAsia="en-NZ"/>
        </w:rPr>
        <w:t>Rotorua</w:t>
      </w:r>
      <w:r w:rsidR="003D640C">
        <w:rPr>
          <w:lang w:eastAsia="en-NZ"/>
        </w:rPr>
        <w:t xml:space="preserve"> </w:t>
      </w:r>
      <w:r w:rsidRPr="00BB6220">
        <w:rPr>
          <w:lang w:eastAsia="en-NZ"/>
        </w:rPr>
        <w:t>and</w:t>
      </w:r>
      <w:r w:rsidR="003D640C">
        <w:rPr>
          <w:lang w:eastAsia="en-NZ"/>
        </w:rPr>
        <w:t xml:space="preserve"> </w:t>
      </w:r>
      <w:r w:rsidR="007D081A" w:rsidRPr="00BB6220">
        <w:rPr>
          <w:lang w:eastAsia="en-NZ"/>
        </w:rPr>
        <w:t>in</w:t>
      </w:r>
      <w:r w:rsidR="003D640C">
        <w:rPr>
          <w:lang w:eastAsia="en-NZ"/>
        </w:rPr>
        <w:t xml:space="preserve"> </w:t>
      </w:r>
      <w:r w:rsidRPr="00BB6220">
        <w:rPr>
          <w:lang w:eastAsia="en-NZ"/>
        </w:rPr>
        <w:t>the</w:t>
      </w:r>
      <w:r w:rsidR="003D640C">
        <w:rPr>
          <w:lang w:eastAsia="en-NZ"/>
        </w:rPr>
        <w:t xml:space="preserve"> </w:t>
      </w:r>
      <w:r w:rsidRPr="00BB6220">
        <w:rPr>
          <w:lang w:eastAsia="en-NZ"/>
        </w:rPr>
        <w:t>Wairarapa.</w:t>
      </w:r>
      <w:r w:rsidR="00B20B4C" w:rsidRPr="00BB6220">
        <w:rPr>
          <w:rStyle w:val="FootnoteReference"/>
          <w:rFonts w:ascii="Calibri" w:eastAsia="Times New Roman" w:hAnsi="Calibri" w:cs="Calibri"/>
          <w:lang w:eastAsia="en-NZ"/>
        </w:rPr>
        <w:footnoteReference w:id="148"/>
      </w:r>
      <w:r w:rsidR="003D640C">
        <w:rPr>
          <w:lang w:eastAsia="en-NZ"/>
        </w:rPr>
        <w:t xml:space="preserve"> </w:t>
      </w:r>
      <w:r w:rsidR="007D081A" w:rsidRPr="00BB6220">
        <w:rPr>
          <w:lang w:eastAsia="en-NZ"/>
        </w:rPr>
        <w:t>Te</w:t>
      </w:r>
      <w:r w:rsidR="003D640C">
        <w:rPr>
          <w:lang w:eastAsia="en-NZ"/>
        </w:rPr>
        <w:t xml:space="preserve"> </w:t>
      </w:r>
      <w:r w:rsidR="007D081A" w:rsidRPr="00BB6220">
        <w:rPr>
          <w:lang w:eastAsia="en-NZ"/>
        </w:rPr>
        <w:t>Arawa</w:t>
      </w:r>
      <w:r w:rsidR="003D640C">
        <w:rPr>
          <w:lang w:eastAsia="en-NZ"/>
        </w:rPr>
        <w:t xml:space="preserve"> </w:t>
      </w:r>
      <w:r w:rsidR="007D081A" w:rsidRPr="00BB6220">
        <w:rPr>
          <w:lang w:eastAsia="en-NZ"/>
        </w:rPr>
        <w:t>leader</w:t>
      </w:r>
      <w:r w:rsidR="003D640C">
        <w:rPr>
          <w:lang w:eastAsia="en-NZ"/>
        </w:rPr>
        <w:t xml:space="preserve"> </w:t>
      </w:r>
      <w:r w:rsidRPr="00BB6220">
        <w:rPr>
          <w:lang w:eastAsia="en-NZ"/>
        </w:rPr>
        <w:t>Te</w:t>
      </w:r>
      <w:r w:rsidR="003D640C">
        <w:rPr>
          <w:lang w:eastAsia="en-NZ"/>
        </w:rPr>
        <w:t xml:space="preserve"> </w:t>
      </w:r>
      <w:r w:rsidRPr="00BB6220">
        <w:rPr>
          <w:lang w:eastAsia="en-NZ"/>
        </w:rPr>
        <w:t>Rangikaheke</w:t>
      </w:r>
      <w:r w:rsidR="003D640C">
        <w:rPr>
          <w:lang w:eastAsia="en-NZ"/>
        </w:rPr>
        <w:t xml:space="preserve"> </w:t>
      </w:r>
      <w:r w:rsidRPr="00BB6220">
        <w:rPr>
          <w:lang w:eastAsia="en-NZ"/>
        </w:rPr>
        <w:t>wrote</w:t>
      </w:r>
      <w:r w:rsidR="003D640C">
        <w:rPr>
          <w:lang w:eastAsia="en-NZ"/>
        </w:rPr>
        <w:t xml:space="preserve"> </w:t>
      </w:r>
      <w:r w:rsidRPr="00BB6220">
        <w:rPr>
          <w:lang w:eastAsia="en-NZ"/>
        </w:rPr>
        <w:t>of</w:t>
      </w:r>
      <w:r w:rsidR="003D640C">
        <w:rPr>
          <w:lang w:eastAsia="en-NZ"/>
        </w:rPr>
        <w:t xml:space="preserve"> </w:t>
      </w:r>
      <w:r w:rsidRPr="00BB6220">
        <w:rPr>
          <w:lang w:eastAsia="en-NZ"/>
        </w:rPr>
        <w:t>Tūtanekai</w:t>
      </w:r>
      <w:r w:rsidR="003D640C">
        <w:rPr>
          <w:lang w:eastAsia="en-NZ"/>
        </w:rPr>
        <w:t xml:space="preserve"> </w:t>
      </w:r>
      <w:r w:rsidRPr="00BB6220">
        <w:rPr>
          <w:lang w:eastAsia="en-NZ"/>
        </w:rPr>
        <w:t>and</w:t>
      </w:r>
      <w:r w:rsidR="003D640C">
        <w:rPr>
          <w:lang w:eastAsia="en-NZ"/>
        </w:rPr>
        <w:t xml:space="preserve"> </w:t>
      </w:r>
      <w:r w:rsidRPr="00BB6220">
        <w:rPr>
          <w:lang w:eastAsia="en-NZ"/>
        </w:rPr>
        <w:t>Tiki</w:t>
      </w:r>
      <w:r w:rsidR="00540EC9" w:rsidRPr="00BB6220">
        <w:rPr>
          <w:lang w:eastAsia="en-NZ"/>
        </w:rPr>
        <w:t>,</w:t>
      </w:r>
      <w:r w:rsidR="003D640C">
        <w:rPr>
          <w:lang w:eastAsia="en-NZ"/>
        </w:rPr>
        <w:t xml:space="preserve"> </w:t>
      </w:r>
      <w:r w:rsidRPr="00BB6220">
        <w:rPr>
          <w:lang w:eastAsia="en-NZ"/>
        </w:rPr>
        <w:t>his</w:t>
      </w:r>
      <w:r w:rsidR="003D640C">
        <w:rPr>
          <w:lang w:eastAsia="en-NZ"/>
        </w:rPr>
        <w:t xml:space="preserve"> </w:t>
      </w:r>
      <w:r w:rsidRPr="00BB6220">
        <w:rPr>
          <w:lang w:eastAsia="en-NZ"/>
        </w:rPr>
        <w:t>hoa</w:t>
      </w:r>
      <w:r w:rsidR="003D640C">
        <w:rPr>
          <w:lang w:eastAsia="en-NZ"/>
        </w:rPr>
        <w:t xml:space="preserve"> </w:t>
      </w:r>
      <w:r w:rsidR="00337ABA" w:rsidRPr="00BB6220">
        <w:rPr>
          <w:lang w:eastAsia="en-NZ"/>
        </w:rPr>
        <w:t>t</w:t>
      </w:r>
      <w:r w:rsidRPr="00BB6220">
        <w:rPr>
          <w:lang w:eastAsia="en-NZ"/>
        </w:rPr>
        <w:t>akatāpui</w:t>
      </w:r>
      <w:r w:rsidR="003D640C">
        <w:rPr>
          <w:lang w:eastAsia="en-NZ"/>
        </w:rPr>
        <w:t xml:space="preserve"> </w:t>
      </w:r>
      <w:r w:rsidRPr="00BB6220">
        <w:rPr>
          <w:lang w:eastAsia="en-NZ"/>
        </w:rPr>
        <w:t>with</w:t>
      </w:r>
      <w:r w:rsidR="003D640C">
        <w:rPr>
          <w:lang w:eastAsia="en-NZ"/>
        </w:rPr>
        <w:t xml:space="preserve"> </w:t>
      </w:r>
      <w:r w:rsidRPr="00BB6220">
        <w:rPr>
          <w:lang w:eastAsia="en-NZ"/>
        </w:rPr>
        <w:t>whom</w:t>
      </w:r>
      <w:r w:rsidR="003D640C">
        <w:rPr>
          <w:lang w:eastAsia="en-NZ"/>
        </w:rPr>
        <w:t xml:space="preserve"> </w:t>
      </w:r>
      <w:r w:rsidRPr="00BB6220">
        <w:rPr>
          <w:lang w:eastAsia="en-NZ"/>
        </w:rPr>
        <w:t>he</w:t>
      </w:r>
      <w:r w:rsidR="003D640C">
        <w:rPr>
          <w:lang w:eastAsia="en-NZ"/>
        </w:rPr>
        <w:t xml:space="preserve"> </w:t>
      </w:r>
      <w:r w:rsidRPr="00BB6220">
        <w:rPr>
          <w:lang w:eastAsia="en-NZ"/>
        </w:rPr>
        <w:t>shared</w:t>
      </w:r>
      <w:r w:rsidR="003D640C">
        <w:rPr>
          <w:lang w:eastAsia="en-NZ"/>
        </w:rPr>
        <w:t xml:space="preserve"> </w:t>
      </w:r>
      <w:r w:rsidRPr="00BB6220">
        <w:rPr>
          <w:lang w:eastAsia="en-NZ"/>
        </w:rPr>
        <w:t>an</w:t>
      </w:r>
      <w:r w:rsidR="003D640C">
        <w:rPr>
          <w:lang w:eastAsia="en-NZ"/>
        </w:rPr>
        <w:t xml:space="preserve"> </w:t>
      </w:r>
      <w:r w:rsidRPr="00BB6220">
        <w:rPr>
          <w:lang w:eastAsia="en-NZ"/>
        </w:rPr>
        <w:t>“intimate</w:t>
      </w:r>
      <w:r w:rsidR="003D640C">
        <w:rPr>
          <w:lang w:eastAsia="en-NZ"/>
        </w:rPr>
        <w:t xml:space="preserve"> </w:t>
      </w:r>
      <w:r w:rsidRPr="00BB6220">
        <w:rPr>
          <w:lang w:eastAsia="en-NZ"/>
        </w:rPr>
        <w:t>friendship</w:t>
      </w:r>
      <w:r w:rsidR="003D640C">
        <w:rPr>
          <w:lang w:eastAsia="en-NZ"/>
        </w:rPr>
        <w:t xml:space="preserve"> </w:t>
      </w:r>
      <w:r w:rsidRPr="00BB6220">
        <w:rPr>
          <w:lang w:eastAsia="en-NZ"/>
        </w:rPr>
        <w:t>and</w:t>
      </w:r>
      <w:r w:rsidR="003D640C">
        <w:rPr>
          <w:lang w:eastAsia="en-NZ"/>
        </w:rPr>
        <w:t xml:space="preserve"> </w:t>
      </w:r>
      <w:r w:rsidRPr="00BB6220">
        <w:rPr>
          <w:lang w:eastAsia="en-NZ"/>
        </w:rPr>
        <w:t>pledging</w:t>
      </w:r>
      <w:r w:rsidR="003D640C">
        <w:rPr>
          <w:lang w:eastAsia="en-NZ"/>
        </w:rPr>
        <w:t xml:space="preserve"> </w:t>
      </w:r>
      <w:r w:rsidRPr="00BB6220">
        <w:rPr>
          <w:lang w:eastAsia="en-NZ"/>
        </w:rPr>
        <w:t>of</w:t>
      </w:r>
      <w:r w:rsidR="003D640C">
        <w:rPr>
          <w:lang w:eastAsia="en-NZ"/>
        </w:rPr>
        <w:t xml:space="preserve"> </w:t>
      </w:r>
      <w:r w:rsidRPr="00BB6220">
        <w:rPr>
          <w:lang w:eastAsia="en-NZ"/>
        </w:rPr>
        <w:t>love”</w:t>
      </w:r>
      <w:r w:rsidR="00A945D4">
        <w:rPr>
          <w:lang w:eastAsia="en-NZ"/>
        </w:rPr>
        <w:t>.</w:t>
      </w:r>
      <w:r w:rsidR="007A3596" w:rsidRPr="00BB6220">
        <w:rPr>
          <w:rStyle w:val="FootnoteReference"/>
          <w:rFonts w:ascii="Calibri" w:eastAsia="Times New Roman" w:hAnsi="Calibri" w:cs="Calibri"/>
          <w:lang w:eastAsia="en-NZ"/>
        </w:rPr>
        <w:footnoteReference w:id="149"/>
      </w:r>
      <w:r w:rsidR="003D640C">
        <w:rPr>
          <w:lang w:eastAsia="en-NZ"/>
        </w:rPr>
        <w:t xml:space="preserve"> </w:t>
      </w:r>
      <w:r w:rsidRPr="00BB6220">
        <w:rPr>
          <w:lang w:eastAsia="en-NZ"/>
        </w:rPr>
        <w:t>The</w:t>
      </w:r>
      <w:r w:rsidR="003D640C">
        <w:rPr>
          <w:lang w:eastAsia="en-NZ"/>
        </w:rPr>
        <w:t xml:space="preserve"> </w:t>
      </w:r>
      <w:r w:rsidR="00C7489F">
        <w:rPr>
          <w:lang w:eastAsia="en-NZ"/>
        </w:rPr>
        <w:t>traditional</w:t>
      </w:r>
      <w:r w:rsidR="003D640C">
        <w:rPr>
          <w:lang w:eastAsia="en-NZ"/>
        </w:rPr>
        <w:t xml:space="preserve"> </w:t>
      </w:r>
      <w:r w:rsidRPr="00BB6220">
        <w:rPr>
          <w:lang w:eastAsia="en-NZ"/>
        </w:rPr>
        <w:t>term</w:t>
      </w:r>
      <w:r w:rsidR="003D640C">
        <w:rPr>
          <w:lang w:eastAsia="en-NZ"/>
        </w:rPr>
        <w:t xml:space="preserve"> </w:t>
      </w:r>
      <w:r w:rsidRPr="00BB6220">
        <w:rPr>
          <w:lang w:eastAsia="en-NZ"/>
        </w:rPr>
        <w:t>has</w:t>
      </w:r>
      <w:r w:rsidR="003D640C">
        <w:rPr>
          <w:lang w:eastAsia="en-NZ"/>
        </w:rPr>
        <w:t xml:space="preserve"> </w:t>
      </w:r>
      <w:r w:rsidR="00D57206" w:rsidRPr="00BB6220">
        <w:rPr>
          <w:lang w:eastAsia="en-NZ"/>
        </w:rPr>
        <w:t>now</w:t>
      </w:r>
      <w:r w:rsidR="003D640C">
        <w:rPr>
          <w:lang w:eastAsia="en-NZ"/>
        </w:rPr>
        <w:t xml:space="preserve"> </w:t>
      </w:r>
      <w:r w:rsidRPr="00BB6220">
        <w:rPr>
          <w:lang w:eastAsia="en-NZ"/>
        </w:rPr>
        <w:t>been</w:t>
      </w:r>
      <w:r w:rsidR="003D640C">
        <w:rPr>
          <w:lang w:eastAsia="en-NZ"/>
        </w:rPr>
        <w:t xml:space="preserve"> </w:t>
      </w:r>
      <w:r w:rsidRPr="00BB6220">
        <w:rPr>
          <w:lang w:eastAsia="en-NZ"/>
        </w:rPr>
        <w:t>reclaimed</w:t>
      </w:r>
      <w:r w:rsidR="003D640C">
        <w:rPr>
          <w:lang w:eastAsia="en-NZ"/>
        </w:rPr>
        <w:t xml:space="preserve"> </w:t>
      </w:r>
      <w:r w:rsidRPr="00BB6220">
        <w:rPr>
          <w:lang w:eastAsia="en-NZ"/>
        </w:rPr>
        <w:t>and</w:t>
      </w:r>
      <w:r w:rsidR="003D640C">
        <w:rPr>
          <w:lang w:eastAsia="en-NZ"/>
        </w:rPr>
        <w:t xml:space="preserve"> </w:t>
      </w:r>
      <w:r w:rsidRPr="00BB6220">
        <w:rPr>
          <w:lang w:eastAsia="en-NZ"/>
        </w:rPr>
        <w:t>expanded</w:t>
      </w:r>
      <w:r w:rsidR="003D640C">
        <w:rPr>
          <w:lang w:eastAsia="en-NZ"/>
        </w:rPr>
        <w:t xml:space="preserve"> </w:t>
      </w:r>
      <w:r w:rsidRPr="00BB6220">
        <w:rPr>
          <w:lang w:eastAsia="en-NZ"/>
        </w:rPr>
        <w:t>from</w:t>
      </w:r>
      <w:r w:rsidR="003D640C">
        <w:rPr>
          <w:lang w:eastAsia="en-NZ"/>
        </w:rPr>
        <w:t xml:space="preserve"> </w:t>
      </w:r>
      <w:r w:rsidRPr="00BB6220">
        <w:rPr>
          <w:lang w:eastAsia="en-NZ"/>
        </w:rPr>
        <w:t>its</w:t>
      </w:r>
      <w:r w:rsidR="003D640C">
        <w:rPr>
          <w:lang w:eastAsia="en-NZ"/>
        </w:rPr>
        <w:t xml:space="preserve"> </w:t>
      </w:r>
      <w:r w:rsidRPr="00BB6220">
        <w:rPr>
          <w:lang w:eastAsia="en-NZ"/>
        </w:rPr>
        <w:t>original</w:t>
      </w:r>
      <w:r w:rsidR="003D640C">
        <w:rPr>
          <w:lang w:eastAsia="en-NZ"/>
        </w:rPr>
        <w:t xml:space="preserve"> </w:t>
      </w:r>
      <w:r w:rsidRPr="00BB6220">
        <w:rPr>
          <w:lang w:eastAsia="en-NZ"/>
        </w:rPr>
        <w:t>meaning,</w:t>
      </w:r>
      <w:r w:rsidR="003D640C">
        <w:rPr>
          <w:lang w:eastAsia="en-NZ"/>
        </w:rPr>
        <w:t xml:space="preserve"> </w:t>
      </w:r>
      <w:r w:rsidRPr="00BB6220">
        <w:rPr>
          <w:lang w:eastAsia="en-NZ"/>
        </w:rPr>
        <w:t>which</w:t>
      </w:r>
      <w:r w:rsidR="003D640C">
        <w:rPr>
          <w:lang w:eastAsia="en-NZ"/>
        </w:rPr>
        <w:t xml:space="preserve"> </w:t>
      </w:r>
      <w:r w:rsidRPr="00BB6220">
        <w:rPr>
          <w:lang w:eastAsia="en-NZ"/>
        </w:rPr>
        <w:t>was</w:t>
      </w:r>
      <w:r w:rsidR="003D640C">
        <w:rPr>
          <w:lang w:eastAsia="en-NZ"/>
        </w:rPr>
        <w:t xml:space="preserve"> </w:t>
      </w:r>
      <w:r w:rsidR="00A945D4">
        <w:rPr>
          <w:lang w:eastAsia="en-NZ"/>
        </w:rPr>
        <w:t>‘</w:t>
      </w:r>
      <w:r w:rsidRPr="00BB6220">
        <w:rPr>
          <w:lang w:eastAsia="en-NZ"/>
        </w:rPr>
        <w:t>intimate</w:t>
      </w:r>
      <w:r w:rsidR="003D640C">
        <w:rPr>
          <w:lang w:eastAsia="en-NZ"/>
        </w:rPr>
        <w:t xml:space="preserve"> </w:t>
      </w:r>
      <w:r w:rsidRPr="00BB6220">
        <w:rPr>
          <w:lang w:eastAsia="en-NZ"/>
        </w:rPr>
        <w:t>companion</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same</w:t>
      </w:r>
      <w:r w:rsidR="003D640C">
        <w:rPr>
          <w:lang w:eastAsia="en-NZ"/>
        </w:rPr>
        <w:t xml:space="preserve"> </w:t>
      </w:r>
      <w:r w:rsidRPr="00BB6220">
        <w:rPr>
          <w:lang w:eastAsia="en-NZ"/>
        </w:rPr>
        <w:t>sex</w:t>
      </w:r>
      <w:r w:rsidR="00A945D4">
        <w:rPr>
          <w:lang w:eastAsia="en-NZ"/>
        </w:rPr>
        <w:t>’</w:t>
      </w:r>
      <w:r w:rsidR="00C36F9C">
        <w:rPr>
          <w:lang w:eastAsia="en-NZ"/>
        </w:rPr>
        <w:t>.</w:t>
      </w:r>
      <w:r w:rsidR="003D640C">
        <w:rPr>
          <w:lang w:eastAsia="en-NZ"/>
        </w:rPr>
        <w:t xml:space="preserve"> </w:t>
      </w:r>
      <w:r w:rsidRPr="00BB6220">
        <w:rPr>
          <w:lang w:eastAsia="en-NZ"/>
        </w:rPr>
        <w:t>It</w:t>
      </w:r>
      <w:r w:rsidR="003D640C">
        <w:rPr>
          <w:lang w:eastAsia="en-NZ"/>
        </w:rPr>
        <w:t xml:space="preserve"> </w:t>
      </w:r>
      <w:r w:rsidRPr="00BB6220">
        <w:rPr>
          <w:lang w:eastAsia="en-NZ"/>
        </w:rPr>
        <w:t>is</w:t>
      </w:r>
      <w:r w:rsidR="003D640C">
        <w:rPr>
          <w:lang w:eastAsia="en-NZ"/>
        </w:rPr>
        <w:t xml:space="preserve"> </w:t>
      </w:r>
      <w:r w:rsidRPr="00BB6220">
        <w:rPr>
          <w:lang w:eastAsia="en-NZ"/>
        </w:rPr>
        <w:t>used</w:t>
      </w:r>
      <w:r w:rsidR="003D640C">
        <w:rPr>
          <w:lang w:eastAsia="en-NZ"/>
        </w:rPr>
        <w:t xml:space="preserve"> </w:t>
      </w:r>
      <w:r w:rsidRPr="00BB6220">
        <w:rPr>
          <w:lang w:eastAsia="en-NZ"/>
        </w:rPr>
        <w:t>by</w:t>
      </w:r>
      <w:r w:rsidR="003D640C">
        <w:rPr>
          <w:lang w:eastAsia="en-NZ"/>
        </w:rPr>
        <w:t xml:space="preserve"> </w:t>
      </w:r>
      <w:r w:rsidRPr="00BB6220">
        <w:rPr>
          <w:lang w:eastAsia="en-NZ"/>
        </w:rPr>
        <w:t>some</w:t>
      </w:r>
      <w:r w:rsidR="003D640C">
        <w:rPr>
          <w:lang w:eastAsia="en-NZ"/>
        </w:rPr>
        <w:t xml:space="preserve"> </w:t>
      </w:r>
      <w:r w:rsidRPr="00BB6220">
        <w:rPr>
          <w:lang w:eastAsia="en-NZ"/>
        </w:rPr>
        <w:t>Māori</w:t>
      </w:r>
      <w:r w:rsidR="003D640C">
        <w:rPr>
          <w:lang w:eastAsia="en-NZ"/>
        </w:rPr>
        <w:t xml:space="preserve"> </w:t>
      </w:r>
      <w:r w:rsidR="00F72B26" w:rsidRPr="00BB6220">
        <w:rPr>
          <w:lang w:eastAsia="en-NZ"/>
        </w:rPr>
        <w:t>who</w:t>
      </w:r>
      <w:r w:rsidR="003D640C">
        <w:rPr>
          <w:lang w:eastAsia="en-NZ"/>
        </w:rPr>
        <w:t xml:space="preserve"> </w:t>
      </w:r>
      <w:r w:rsidRPr="00BB6220">
        <w:rPr>
          <w:lang w:eastAsia="en-NZ"/>
        </w:rPr>
        <w:t>identify</w:t>
      </w:r>
      <w:r w:rsidR="003D640C">
        <w:rPr>
          <w:lang w:eastAsia="en-NZ"/>
        </w:rPr>
        <w:t xml:space="preserve"> </w:t>
      </w:r>
      <w:r w:rsidRPr="00BB6220">
        <w:rPr>
          <w:lang w:eastAsia="en-NZ"/>
        </w:rPr>
        <w:t>as</w:t>
      </w:r>
      <w:r w:rsidR="003D640C">
        <w:rPr>
          <w:lang w:eastAsia="en-NZ"/>
        </w:rPr>
        <w:t xml:space="preserve"> </w:t>
      </w:r>
      <w:r w:rsidR="007D081A" w:rsidRPr="00BB6220">
        <w:rPr>
          <w:lang w:eastAsia="en-NZ"/>
        </w:rPr>
        <w:t>Rainbow</w:t>
      </w:r>
      <w:r w:rsidR="003D640C">
        <w:rPr>
          <w:lang w:eastAsia="en-NZ"/>
        </w:rPr>
        <w:t xml:space="preserve"> </w:t>
      </w:r>
      <w:r w:rsidRPr="00BB6220">
        <w:rPr>
          <w:lang w:eastAsia="en-NZ"/>
        </w:rPr>
        <w:t>and</w:t>
      </w:r>
      <w:r w:rsidR="003D640C">
        <w:rPr>
          <w:lang w:eastAsia="en-NZ"/>
        </w:rPr>
        <w:t xml:space="preserve"> </w:t>
      </w:r>
      <w:r w:rsidRPr="00BB6220">
        <w:rPr>
          <w:lang w:eastAsia="en-NZ"/>
        </w:rPr>
        <w:t>provides</w:t>
      </w:r>
      <w:r w:rsidR="003D640C">
        <w:rPr>
          <w:lang w:eastAsia="en-NZ"/>
        </w:rPr>
        <w:t xml:space="preserve"> </w:t>
      </w:r>
      <w:r w:rsidRPr="00BB6220">
        <w:rPr>
          <w:lang w:eastAsia="en-NZ"/>
        </w:rPr>
        <w:t>spiritual</w:t>
      </w:r>
      <w:r w:rsidR="003D640C">
        <w:rPr>
          <w:lang w:eastAsia="en-NZ"/>
        </w:rPr>
        <w:t xml:space="preserve"> </w:t>
      </w:r>
      <w:r w:rsidRPr="00BB6220">
        <w:rPr>
          <w:lang w:eastAsia="en-NZ"/>
        </w:rPr>
        <w:t>connection</w:t>
      </w:r>
      <w:r w:rsidR="003D640C">
        <w:rPr>
          <w:lang w:eastAsia="en-NZ"/>
        </w:rPr>
        <w:t xml:space="preserve"> </w:t>
      </w:r>
      <w:r w:rsidRPr="00BB6220">
        <w:rPr>
          <w:lang w:eastAsia="en-NZ"/>
        </w:rPr>
        <w:t>to</w:t>
      </w:r>
      <w:r w:rsidR="003D640C">
        <w:rPr>
          <w:lang w:eastAsia="en-NZ"/>
        </w:rPr>
        <w:t xml:space="preserve"> </w:t>
      </w:r>
      <w:r w:rsidRPr="00BB6220">
        <w:rPr>
          <w:lang w:eastAsia="en-NZ"/>
        </w:rPr>
        <w:t>takatāpui</w:t>
      </w:r>
      <w:r w:rsidR="003D640C">
        <w:rPr>
          <w:lang w:eastAsia="en-NZ"/>
        </w:rPr>
        <w:t xml:space="preserve"> </w:t>
      </w:r>
      <w:r w:rsidRPr="00BB6220">
        <w:rPr>
          <w:lang w:eastAsia="en-NZ"/>
        </w:rPr>
        <w:t>ancestors</w:t>
      </w:r>
      <w:r w:rsidR="00925BD0" w:rsidRPr="00BB6220">
        <w:rPr>
          <w:rStyle w:val="FootnoteReference"/>
          <w:rFonts w:ascii="Calibri" w:eastAsia="Times New Roman" w:hAnsi="Calibri" w:cs="Calibri"/>
          <w:lang w:eastAsia="en-NZ"/>
        </w:rPr>
        <w:footnoteReference w:id="150"/>
      </w:r>
      <w:r w:rsidR="003D640C">
        <w:rPr>
          <w:lang w:eastAsia="en-NZ"/>
        </w:rPr>
        <w:t xml:space="preserve"> </w:t>
      </w:r>
      <w:r w:rsidRPr="00BB6220">
        <w:rPr>
          <w:lang w:eastAsia="en-NZ"/>
        </w:rPr>
        <w:t>and</w:t>
      </w:r>
      <w:r w:rsidR="003D640C">
        <w:rPr>
          <w:lang w:eastAsia="en-NZ"/>
        </w:rPr>
        <w:t xml:space="preserve"> </w:t>
      </w:r>
      <w:r w:rsidRPr="00BB6220">
        <w:rPr>
          <w:lang w:eastAsia="en-NZ"/>
        </w:rPr>
        <w:t>traditional</w:t>
      </w:r>
      <w:r w:rsidR="003D640C">
        <w:rPr>
          <w:lang w:eastAsia="en-NZ"/>
        </w:rPr>
        <w:t xml:space="preserve"> </w:t>
      </w:r>
      <w:r w:rsidRPr="00BB6220">
        <w:rPr>
          <w:lang w:eastAsia="en-NZ"/>
        </w:rPr>
        <w:t>collective</w:t>
      </w:r>
      <w:r w:rsidR="003D640C">
        <w:rPr>
          <w:lang w:eastAsia="en-NZ"/>
        </w:rPr>
        <w:t xml:space="preserve"> </w:t>
      </w:r>
      <w:r w:rsidRPr="00BB6220">
        <w:rPr>
          <w:lang w:eastAsia="en-NZ"/>
        </w:rPr>
        <w:t>values</w:t>
      </w:r>
      <w:r w:rsidR="003D640C">
        <w:rPr>
          <w:lang w:eastAsia="en-NZ"/>
        </w:rPr>
        <w:t xml:space="preserve"> </w:t>
      </w:r>
      <w:r w:rsidRPr="00BB6220">
        <w:rPr>
          <w:lang w:eastAsia="en-NZ"/>
        </w:rPr>
        <w:t>of</w:t>
      </w:r>
      <w:r w:rsidR="003D640C">
        <w:rPr>
          <w:lang w:eastAsia="en-NZ"/>
        </w:rPr>
        <w:t xml:space="preserve"> </w:t>
      </w:r>
      <w:r w:rsidRPr="00BB6220">
        <w:rPr>
          <w:lang w:eastAsia="en-NZ"/>
        </w:rPr>
        <w:t>Māori</w:t>
      </w:r>
      <w:r w:rsidR="003D640C">
        <w:rPr>
          <w:lang w:eastAsia="en-NZ"/>
        </w:rPr>
        <w:t xml:space="preserve"> </w:t>
      </w:r>
      <w:r w:rsidRPr="00BB6220">
        <w:rPr>
          <w:lang w:eastAsia="en-NZ"/>
        </w:rPr>
        <w:t>society.</w:t>
      </w:r>
      <w:r w:rsidR="00F26637" w:rsidRPr="00BB6220">
        <w:rPr>
          <w:rStyle w:val="FootnoteReference"/>
          <w:rFonts w:ascii="Calibri" w:eastAsia="Times New Roman" w:hAnsi="Calibri" w:cs="Calibri"/>
          <w:lang w:eastAsia="en-NZ"/>
        </w:rPr>
        <w:footnoteReference w:id="151"/>
      </w:r>
      <w:r w:rsidR="003D640C">
        <w:rPr>
          <w:lang w:eastAsia="en-NZ"/>
        </w:rPr>
        <w:t xml:space="preserve"> </w:t>
      </w:r>
      <w:r w:rsidR="009D35B3" w:rsidRPr="00BB6220">
        <w:rPr>
          <w:lang w:eastAsia="en-NZ"/>
        </w:rPr>
        <w:t>After</w:t>
      </w:r>
      <w:r w:rsidR="003D640C">
        <w:rPr>
          <w:lang w:eastAsia="en-NZ"/>
        </w:rPr>
        <w:t xml:space="preserve"> </w:t>
      </w:r>
      <w:r w:rsidR="009D35B3" w:rsidRPr="00BB6220">
        <w:rPr>
          <w:lang w:eastAsia="en-NZ"/>
        </w:rPr>
        <w:t>being</w:t>
      </w:r>
      <w:r w:rsidR="003D640C">
        <w:rPr>
          <w:lang w:eastAsia="en-NZ"/>
        </w:rPr>
        <w:t xml:space="preserve"> </w:t>
      </w:r>
      <w:r w:rsidR="009D35B3" w:rsidRPr="00BB6220">
        <w:rPr>
          <w:lang w:eastAsia="en-NZ"/>
        </w:rPr>
        <w:t>forced</w:t>
      </w:r>
      <w:r w:rsidR="003D640C">
        <w:rPr>
          <w:lang w:eastAsia="en-NZ"/>
        </w:rPr>
        <w:t xml:space="preserve"> </w:t>
      </w:r>
      <w:r w:rsidR="009D35B3" w:rsidRPr="00BB6220">
        <w:rPr>
          <w:lang w:eastAsia="en-NZ"/>
        </w:rPr>
        <w:t>to</w:t>
      </w:r>
      <w:r w:rsidR="003D640C">
        <w:rPr>
          <w:lang w:eastAsia="en-NZ"/>
        </w:rPr>
        <w:t xml:space="preserve"> </w:t>
      </w:r>
      <w:r w:rsidR="009D35B3" w:rsidRPr="00BB6220">
        <w:rPr>
          <w:lang w:eastAsia="en-NZ"/>
        </w:rPr>
        <w:t>conform</w:t>
      </w:r>
      <w:r w:rsidR="003D640C">
        <w:rPr>
          <w:lang w:eastAsia="en-NZ"/>
        </w:rPr>
        <w:t xml:space="preserve"> </w:t>
      </w:r>
      <w:r w:rsidR="009D35B3" w:rsidRPr="00BB6220">
        <w:rPr>
          <w:lang w:eastAsia="en-NZ"/>
        </w:rPr>
        <w:t>to</w:t>
      </w:r>
      <w:r w:rsidR="003D640C">
        <w:rPr>
          <w:lang w:eastAsia="en-NZ"/>
        </w:rPr>
        <w:t xml:space="preserve"> </w:t>
      </w:r>
      <w:r w:rsidR="009D35B3" w:rsidRPr="00BB6220">
        <w:rPr>
          <w:lang w:eastAsia="en-NZ"/>
        </w:rPr>
        <w:t>European</w:t>
      </w:r>
      <w:r w:rsidR="003D640C">
        <w:rPr>
          <w:lang w:eastAsia="en-NZ"/>
        </w:rPr>
        <w:t xml:space="preserve"> </w:t>
      </w:r>
      <w:r w:rsidR="001F0F77" w:rsidRPr="00BB6220">
        <w:rPr>
          <w:lang w:eastAsia="en-NZ"/>
        </w:rPr>
        <w:t>views</w:t>
      </w:r>
      <w:r w:rsidR="003D640C">
        <w:rPr>
          <w:lang w:eastAsia="en-NZ"/>
        </w:rPr>
        <w:t xml:space="preserve"> </w:t>
      </w:r>
      <w:r w:rsidR="001F0F77" w:rsidRPr="00BB6220">
        <w:rPr>
          <w:lang w:eastAsia="en-NZ"/>
        </w:rPr>
        <w:t>o</w:t>
      </w:r>
      <w:r w:rsidR="00337ABA" w:rsidRPr="00BB6220">
        <w:rPr>
          <w:lang w:eastAsia="en-NZ"/>
        </w:rPr>
        <w:t>n</w:t>
      </w:r>
      <w:r w:rsidR="003D640C">
        <w:rPr>
          <w:lang w:eastAsia="en-NZ"/>
        </w:rPr>
        <w:t xml:space="preserve"> </w:t>
      </w:r>
      <w:r w:rsidR="009D35B3" w:rsidRPr="00BB6220">
        <w:rPr>
          <w:lang w:eastAsia="en-NZ"/>
        </w:rPr>
        <w:t>gender,</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009D35B3" w:rsidRPr="00BB6220">
        <w:rPr>
          <w:lang w:eastAsia="en-NZ"/>
        </w:rPr>
        <w:t>,</w:t>
      </w:r>
      <w:r w:rsidR="003D640C">
        <w:rPr>
          <w:lang w:eastAsia="en-NZ"/>
        </w:rPr>
        <w:t xml:space="preserve"> </w:t>
      </w:r>
      <w:r w:rsidR="009D35B3" w:rsidRPr="00BB6220">
        <w:rPr>
          <w:lang w:eastAsia="en-NZ"/>
        </w:rPr>
        <w:t>and</w:t>
      </w:r>
      <w:r w:rsidR="003D640C">
        <w:rPr>
          <w:lang w:eastAsia="en-NZ"/>
        </w:rPr>
        <w:t xml:space="preserve"> </w:t>
      </w:r>
      <w:r w:rsidR="009D35B3" w:rsidRPr="00BB6220">
        <w:rPr>
          <w:lang w:eastAsia="en-NZ"/>
        </w:rPr>
        <w:t>culture</w:t>
      </w:r>
      <w:r w:rsidR="00337ABA" w:rsidRPr="00BB6220">
        <w:rPr>
          <w:lang w:eastAsia="en-NZ"/>
        </w:rPr>
        <w:t>,</w:t>
      </w:r>
      <w:r w:rsidR="003D640C">
        <w:rPr>
          <w:lang w:eastAsia="en-NZ"/>
        </w:rPr>
        <w:t xml:space="preserve"> </w:t>
      </w:r>
      <w:r w:rsidR="007D081A" w:rsidRPr="00BB6220">
        <w:rPr>
          <w:lang w:eastAsia="en-NZ"/>
        </w:rPr>
        <w:t>some</w:t>
      </w:r>
      <w:r w:rsidR="003D640C">
        <w:rPr>
          <w:lang w:eastAsia="en-NZ"/>
        </w:rPr>
        <w:t xml:space="preserve"> </w:t>
      </w:r>
      <w:r w:rsidR="009D35B3" w:rsidRPr="00BB6220">
        <w:rPr>
          <w:lang w:eastAsia="en-NZ"/>
        </w:rPr>
        <w:t>Māori</w:t>
      </w:r>
      <w:r w:rsidR="003D640C">
        <w:rPr>
          <w:lang w:eastAsia="en-NZ"/>
        </w:rPr>
        <w:t xml:space="preserve"> </w:t>
      </w:r>
      <w:r w:rsidR="009D35B3" w:rsidRPr="00BB6220">
        <w:rPr>
          <w:lang w:eastAsia="en-NZ"/>
        </w:rPr>
        <w:t>have</w:t>
      </w:r>
      <w:r w:rsidR="003D640C">
        <w:rPr>
          <w:lang w:eastAsia="en-NZ"/>
        </w:rPr>
        <w:t xml:space="preserve"> </w:t>
      </w:r>
      <w:r w:rsidRPr="00BB6220">
        <w:rPr>
          <w:lang w:eastAsia="en-NZ"/>
        </w:rPr>
        <w:t>recla</w:t>
      </w:r>
      <w:r w:rsidR="00E63A6D" w:rsidRPr="00BB6220">
        <w:rPr>
          <w:lang w:eastAsia="en-NZ"/>
        </w:rPr>
        <w:t>i</w:t>
      </w:r>
      <w:r w:rsidRPr="00BB6220">
        <w:rPr>
          <w:lang w:eastAsia="en-NZ"/>
        </w:rPr>
        <w:t>m</w:t>
      </w:r>
      <w:r w:rsidR="001F0F77" w:rsidRPr="00BB6220">
        <w:rPr>
          <w:lang w:eastAsia="en-NZ"/>
        </w:rPr>
        <w:t>ed</w:t>
      </w:r>
      <w:r w:rsidR="003D640C">
        <w:rPr>
          <w:lang w:eastAsia="en-NZ"/>
        </w:rPr>
        <w:t xml:space="preserve"> </w:t>
      </w:r>
      <w:r w:rsidR="00C7489F">
        <w:rPr>
          <w:lang w:eastAsia="en-NZ"/>
        </w:rPr>
        <w:t>a</w:t>
      </w:r>
      <w:r w:rsidR="003D640C">
        <w:rPr>
          <w:lang w:eastAsia="en-NZ"/>
        </w:rPr>
        <w:t xml:space="preserve"> </w:t>
      </w:r>
      <w:r w:rsidR="00337ABA" w:rsidRPr="00BB6220">
        <w:rPr>
          <w:lang w:eastAsia="en-NZ"/>
        </w:rPr>
        <w:t>takatāpui</w:t>
      </w:r>
      <w:r w:rsidR="003D640C">
        <w:rPr>
          <w:lang w:eastAsia="en-NZ"/>
        </w:rPr>
        <w:t xml:space="preserve"> </w:t>
      </w:r>
      <w:r w:rsidRPr="00BB6220">
        <w:rPr>
          <w:lang w:eastAsia="en-NZ"/>
        </w:rPr>
        <w:t>identity.</w:t>
      </w:r>
      <w:r w:rsidR="003D640C">
        <w:rPr>
          <w:lang w:eastAsia="en-NZ"/>
        </w:rPr>
        <w:t xml:space="preserve"> </w:t>
      </w:r>
    </w:p>
    <w:p w14:paraId="5D48B340" w14:textId="048A9890" w:rsidR="00501068" w:rsidRDefault="002C36A1" w:rsidP="002C6363">
      <w:pPr>
        <w:rPr>
          <w:rFonts w:ascii="Segoe UI" w:hAnsi="Segoe UI" w:cs="Segoe UI"/>
          <w:sz w:val="20"/>
          <w:szCs w:val="20"/>
          <w:lang w:eastAsia="en-NZ"/>
        </w:rPr>
      </w:pPr>
      <w:r w:rsidRPr="00BB6220">
        <w:rPr>
          <w:lang w:eastAsia="en-NZ"/>
        </w:rPr>
        <w:t>W</w:t>
      </w:r>
      <w:r w:rsidR="00A83BE9" w:rsidRPr="00BB6220">
        <w:rPr>
          <w:lang w:eastAsia="en-NZ"/>
        </w:rPr>
        <w:t>hakapapa</w:t>
      </w:r>
      <w:r w:rsidR="003D640C">
        <w:rPr>
          <w:lang w:eastAsia="en-NZ"/>
        </w:rPr>
        <w:t xml:space="preserve"> </w:t>
      </w:r>
      <w:r w:rsidR="00A83BE9" w:rsidRPr="00BB6220">
        <w:rPr>
          <w:lang w:eastAsia="en-NZ"/>
        </w:rPr>
        <w:t>is</w:t>
      </w:r>
      <w:r w:rsidR="003D640C">
        <w:rPr>
          <w:lang w:eastAsia="en-NZ"/>
        </w:rPr>
        <w:t xml:space="preserve"> </w:t>
      </w:r>
      <w:r w:rsidR="00B973E6">
        <w:rPr>
          <w:lang w:eastAsia="en-NZ"/>
        </w:rPr>
        <w:t>of</w:t>
      </w:r>
      <w:r w:rsidR="003D640C">
        <w:rPr>
          <w:lang w:eastAsia="en-NZ"/>
        </w:rPr>
        <w:t xml:space="preserve"> </w:t>
      </w:r>
      <w:r w:rsidR="00B973E6">
        <w:rPr>
          <w:lang w:eastAsia="en-NZ"/>
        </w:rPr>
        <w:t>paramount</w:t>
      </w:r>
      <w:r w:rsidR="003D640C">
        <w:rPr>
          <w:lang w:eastAsia="en-NZ"/>
        </w:rPr>
        <w:t xml:space="preserve"> </w:t>
      </w:r>
      <w:r w:rsidR="00B973E6">
        <w:rPr>
          <w:lang w:eastAsia="en-NZ"/>
        </w:rPr>
        <w:t>importance</w:t>
      </w:r>
      <w:r w:rsidR="003D640C">
        <w:rPr>
          <w:lang w:eastAsia="en-NZ"/>
        </w:rPr>
        <w:t xml:space="preserve"> </w:t>
      </w:r>
      <w:r w:rsidR="00B973E6">
        <w:rPr>
          <w:lang w:eastAsia="en-NZ"/>
        </w:rPr>
        <w:t>in</w:t>
      </w:r>
      <w:r w:rsidR="003D640C">
        <w:rPr>
          <w:lang w:eastAsia="en-NZ"/>
        </w:rPr>
        <w:t xml:space="preserve"> </w:t>
      </w:r>
      <w:r w:rsidR="00B973E6">
        <w:rPr>
          <w:lang w:eastAsia="en-NZ"/>
        </w:rPr>
        <w:t>te</w:t>
      </w:r>
      <w:r w:rsidR="003D640C">
        <w:rPr>
          <w:lang w:eastAsia="en-NZ"/>
        </w:rPr>
        <w:t xml:space="preserve"> </w:t>
      </w:r>
      <w:r w:rsidR="00B973E6">
        <w:rPr>
          <w:lang w:eastAsia="en-NZ"/>
        </w:rPr>
        <w:t>ao</w:t>
      </w:r>
      <w:r w:rsidR="003D640C">
        <w:rPr>
          <w:lang w:eastAsia="en-NZ"/>
        </w:rPr>
        <w:t xml:space="preserve"> </w:t>
      </w:r>
      <w:r w:rsidR="00B973E6">
        <w:rPr>
          <w:lang w:eastAsia="en-NZ"/>
        </w:rPr>
        <w:t>M</w:t>
      </w:r>
      <w:r w:rsidR="00DE47DE">
        <w:rPr>
          <w:lang w:eastAsia="en-NZ"/>
        </w:rPr>
        <w:t>āori.</w:t>
      </w:r>
      <w:r w:rsidR="003D640C">
        <w:rPr>
          <w:lang w:eastAsia="en-NZ"/>
        </w:rPr>
        <w:t xml:space="preserve"> </w:t>
      </w:r>
      <w:r w:rsidR="00DE47DE">
        <w:rPr>
          <w:lang w:eastAsia="en-NZ"/>
        </w:rPr>
        <w:t>With</w:t>
      </w:r>
      <w:r w:rsidR="003D640C">
        <w:rPr>
          <w:lang w:eastAsia="en-NZ"/>
        </w:rPr>
        <w:t xml:space="preserve"> </w:t>
      </w:r>
      <w:r w:rsidR="00DE47DE">
        <w:rPr>
          <w:lang w:eastAsia="en-NZ"/>
        </w:rPr>
        <w:t>a</w:t>
      </w:r>
      <w:r w:rsidR="003D640C">
        <w:rPr>
          <w:lang w:eastAsia="en-NZ"/>
        </w:rPr>
        <w:t xml:space="preserve"> </w:t>
      </w:r>
      <w:r w:rsidR="00A83BE9" w:rsidRPr="00BB6220">
        <w:rPr>
          <w:lang w:eastAsia="en-NZ"/>
        </w:rPr>
        <w:t>literal</w:t>
      </w:r>
      <w:r w:rsidR="003D640C">
        <w:rPr>
          <w:lang w:eastAsia="en-NZ"/>
        </w:rPr>
        <w:t xml:space="preserve"> </w:t>
      </w:r>
      <w:r w:rsidR="00A83BE9" w:rsidRPr="00BB6220">
        <w:rPr>
          <w:lang w:eastAsia="en-NZ"/>
        </w:rPr>
        <w:t>meaning</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‘to</w:t>
      </w:r>
      <w:r w:rsidR="003D640C">
        <w:rPr>
          <w:lang w:eastAsia="en-NZ"/>
        </w:rPr>
        <w:t xml:space="preserve"> </w:t>
      </w:r>
      <w:r w:rsidR="00A83BE9" w:rsidRPr="00BB6220">
        <w:rPr>
          <w:lang w:eastAsia="en-NZ"/>
        </w:rPr>
        <w:t>place</w:t>
      </w:r>
      <w:r w:rsidR="003D640C">
        <w:rPr>
          <w:lang w:eastAsia="en-NZ"/>
        </w:rPr>
        <w:t xml:space="preserve"> </w:t>
      </w:r>
      <w:r w:rsidR="00A83BE9" w:rsidRPr="00BB6220">
        <w:rPr>
          <w:lang w:eastAsia="en-NZ"/>
        </w:rPr>
        <w:t>in</w:t>
      </w:r>
      <w:r w:rsidR="003D640C">
        <w:rPr>
          <w:lang w:eastAsia="en-NZ"/>
        </w:rPr>
        <w:t xml:space="preserve"> </w:t>
      </w:r>
      <w:r w:rsidR="00A83BE9" w:rsidRPr="00BB6220">
        <w:rPr>
          <w:lang w:eastAsia="en-NZ"/>
        </w:rPr>
        <w:t>layers</w:t>
      </w:r>
      <w:bookmarkStart w:id="220" w:name="_Int_gd6ikBAM"/>
      <w:r w:rsidR="00A83BE9" w:rsidRPr="00BB6220">
        <w:rPr>
          <w:lang w:eastAsia="en-NZ"/>
        </w:rPr>
        <w:t>’,</w:t>
      </w:r>
      <w:bookmarkEnd w:id="220"/>
      <w:r w:rsidR="003D640C">
        <w:rPr>
          <w:lang w:eastAsia="en-NZ"/>
        </w:rPr>
        <w:t xml:space="preserve"> </w:t>
      </w:r>
      <w:r w:rsidR="00A83BE9" w:rsidRPr="00BB6220">
        <w:rPr>
          <w:lang w:eastAsia="en-NZ"/>
        </w:rPr>
        <w:t>whakapapa</w:t>
      </w:r>
      <w:r w:rsidR="003D640C">
        <w:rPr>
          <w:lang w:eastAsia="en-NZ"/>
        </w:rPr>
        <w:t xml:space="preserve"> </w:t>
      </w:r>
      <w:r w:rsidR="00A83BE9" w:rsidRPr="00BB6220">
        <w:rPr>
          <w:lang w:eastAsia="en-NZ"/>
        </w:rPr>
        <w:t>describes</w:t>
      </w:r>
      <w:r w:rsidR="003D640C">
        <w:rPr>
          <w:lang w:eastAsia="en-NZ"/>
        </w:rPr>
        <w:t xml:space="preserve"> </w:t>
      </w:r>
      <w:r w:rsidR="00A83BE9" w:rsidRPr="00BB6220">
        <w:rPr>
          <w:lang w:eastAsia="en-NZ"/>
        </w:rPr>
        <w:t>relation</w:t>
      </w:r>
      <w:r w:rsidR="001974D9" w:rsidRPr="00BB6220">
        <w:rPr>
          <w:lang w:eastAsia="en-NZ"/>
        </w:rPr>
        <w:t>ships</w:t>
      </w:r>
      <w:r w:rsidR="003D640C">
        <w:rPr>
          <w:lang w:eastAsia="en-NZ"/>
        </w:rPr>
        <w:t xml:space="preserve"> </w:t>
      </w:r>
      <w:r w:rsidR="001974D9" w:rsidRPr="00BB6220">
        <w:rPr>
          <w:lang w:eastAsia="en-NZ"/>
        </w:rPr>
        <w:t>with</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past,</w:t>
      </w:r>
      <w:r w:rsidR="003D640C">
        <w:rPr>
          <w:lang w:eastAsia="en-NZ"/>
        </w:rPr>
        <w:t xml:space="preserve"> </w:t>
      </w:r>
      <w:r w:rsidR="00A83BE9" w:rsidRPr="00BB6220">
        <w:rPr>
          <w:lang w:eastAsia="en-NZ"/>
        </w:rPr>
        <w:t>present</w:t>
      </w:r>
      <w:r w:rsidR="726A8A38" w:rsidRPr="00BB6220">
        <w:rPr>
          <w:lang w:eastAsia="en-NZ"/>
        </w:rPr>
        <w:t>,</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future</w:t>
      </w:r>
      <w:r w:rsidR="003D640C">
        <w:rPr>
          <w:lang w:eastAsia="en-NZ"/>
        </w:rPr>
        <w:t xml:space="preserve"> </w:t>
      </w:r>
      <w:r w:rsidR="001974D9" w:rsidRPr="00BB6220">
        <w:rPr>
          <w:lang w:eastAsia="en-NZ"/>
        </w:rPr>
        <w:t>and</w:t>
      </w:r>
      <w:r w:rsidR="003D640C">
        <w:rPr>
          <w:lang w:eastAsia="en-NZ"/>
        </w:rPr>
        <w:t xml:space="preserve"> </w:t>
      </w:r>
      <w:r w:rsidR="00A83BE9" w:rsidRPr="00BB6220">
        <w:rPr>
          <w:lang w:eastAsia="en-NZ"/>
        </w:rPr>
        <w:t>with</w:t>
      </w:r>
      <w:r w:rsidR="003D640C">
        <w:rPr>
          <w:lang w:eastAsia="en-NZ"/>
        </w:rPr>
        <w:t xml:space="preserve"> </w:t>
      </w:r>
      <w:r w:rsidR="00A83BE9" w:rsidRPr="00BB6220">
        <w:rPr>
          <w:lang w:eastAsia="en-NZ"/>
        </w:rPr>
        <w:t>land,</w:t>
      </w:r>
      <w:r w:rsidR="003D640C">
        <w:rPr>
          <w:lang w:eastAsia="en-NZ"/>
        </w:rPr>
        <w:t xml:space="preserve"> </w:t>
      </w:r>
      <w:r w:rsidR="00A83BE9" w:rsidRPr="00BB6220">
        <w:rPr>
          <w:lang w:eastAsia="en-NZ"/>
        </w:rPr>
        <w:t>people,</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wairuatanga</w:t>
      </w:r>
      <w:r w:rsidR="003D640C">
        <w:rPr>
          <w:lang w:eastAsia="en-NZ"/>
        </w:rPr>
        <w:t xml:space="preserve"> </w:t>
      </w:r>
      <w:r w:rsidR="00A83BE9" w:rsidRPr="00BB6220">
        <w:rPr>
          <w:lang w:eastAsia="en-NZ"/>
        </w:rPr>
        <w:t>or</w:t>
      </w:r>
      <w:r w:rsidR="003D640C">
        <w:rPr>
          <w:lang w:eastAsia="en-NZ"/>
        </w:rPr>
        <w:t xml:space="preserve"> </w:t>
      </w:r>
      <w:r w:rsidR="00A83BE9" w:rsidRPr="00BB6220">
        <w:rPr>
          <w:lang w:eastAsia="en-NZ"/>
        </w:rPr>
        <w:t>spirituality.</w:t>
      </w:r>
      <w:r w:rsidR="003D640C">
        <w:rPr>
          <w:lang w:eastAsia="en-NZ"/>
        </w:rPr>
        <w:t xml:space="preserve"> </w:t>
      </w:r>
      <w:r w:rsidR="00A83BE9" w:rsidRPr="00BB6220">
        <w:rPr>
          <w:lang w:eastAsia="en-NZ"/>
        </w:rPr>
        <w:t>Inherent</w:t>
      </w:r>
      <w:r w:rsidR="003D640C">
        <w:rPr>
          <w:lang w:eastAsia="en-NZ"/>
        </w:rPr>
        <w:t xml:space="preserve"> </w:t>
      </w:r>
      <w:r w:rsidR="00A83BE9" w:rsidRPr="00BB6220">
        <w:rPr>
          <w:lang w:eastAsia="en-NZ"/>
        </w:rPr>
        <w:t>in</w:t>
      </w:r>
      <w:r w:rsidR="003D640C">
        <w:rPr>
          <w:lang w:eastAsia="en-NZ"/>
        </w:rPr>
        <w:t xml:space="preserve"> </w:t>
      </w:r>
      <w:r w:rsidR="00A83BE9" w:rsidRPr="00BB6220">
        <w:rPr>
          <w:lang w:eastAsia="en-NZ"/>
        </w:rPr>
        <w:t>whakapapa</w:t>
      </w:r>
      <w:r w:rsidR="003D640C">
        <w:rPr>
          <w:lang w:eastAsia="en-NZ"/>
        </w:rPr>
        <w:t xml:space="preserve"> </w:t>
      </w:r>
      <w:r w:rsidR="00A83BE9" w:rsidRPr="00BB6220">
        <w:rPr>
          <w:lang w:eastAsia="en-NZ"/>
        </w:rPr>
        <w:t>is</w:t>
      </w:r>
      <w:r w:rsidR="003D640C">
        <w:rPr>
          <w:lang w:eastAsia="en-NZ"/>
        </w:rPr>
        <w:t xml:space="preserve"> </w:t>
      </w:r>
      <w:r w:rsidR="00A83BE9" w:rsidRPr="00BB6220">
        <w:rPr>
          <w:lang w:eastAsia="en-NZ"/>
        </w:rPr>
        <w:t>mana</w:t>
      </w:r>
      <w:r w:rsidR="00B75AF6" w:rsidRPr="00BB6220">
        <w:rPr>
          <w:lang w:eastAsia="en-NZ"/>
        </w:rPr>
        <w:t>,</w:t>
      </w:r>
      <w:r w:rsidR="003D640C">
        <w:rPr>
          <w:lang w:eastAsia="en-NZ"/>
        </w:rPr>
        <w:t xml:space="preserve"> </w:t>
      </w:r>
      <w:r w:rsidR="0099682A" w:rsidRPr="00BB6220">
        <w:rPr>
          <w:lang w:eastAsia="en-NZ"/>
        </w:rPr>
        <w:t>which</w:t>
      </w:r>
      <w:r w:rsidR="003D640C">
        <w:rPr>
          <w:lang w:eastAsia="en-NZ"/>
        </w:rPr>
        <w:t xml:space="preserve"> </w:t>
      </w:r>
      <w:r w:rsidR="0099682A" w:rsidRPr="00BB6220">
        <w:rPr>
          <w:lang w:eastAsia="en-NZ"/>
        </w:rPr>
        <w:t>is</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delegated</w:t>
      </w:r>
      <w:r w:rsidR="003D640C">
        <w:rPr>
          <w:lang w:eastAsia="en-NZ"/>
        </w:rPr>
        <w:t xml:space="preserve"> </w:t>
      </w:r>
      <w:r w:rsidR="00A83BE9" w:rsidRPr="00BB6220">
        <w:rPr>
          <w:lang w:eastAsia="en-NZ"/>
        </w:rPr>
        <w:t>authority</w:t>
      </w:r>
      <w:r w:rsidR="003D640C">
        <w:rPr>
          <w:lang w:eastAsia="en-NZ"/>
        </w:rPr>
        <w:t xml:space="preserve"> </w:t>
      </w:r>
      <w:r w:rsidR="00A83BE9" w:rsidRPr="00BB6220">
        <w:rPr>
          <w:lang w:eastAsia="en-NZ"/>
        </w:rPr>
        <w:t>or</w:t>
      </w:r>
      <w:r w:rsidR="003D640C">
        <w:rPr>
          <w:lang w:eastAsia="en-NZ"/>
        </w:rPr>
        <w:t xml:space="preserve"> </w:t>
      </w:r>
      <w:r w:rsidR="00A83BE9" w:rsidRPr="00BB6220">
        <w:rPr>
          <w:lang w:eastAsia="en-NZ"/>
        </w:rPr>
        <w:t>power</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ngā</w:t>
      </w:r>
      <w:r w:rsidR="003D640C">
        <w:rPr>
          <w:lang w:eastAsia="en-NZ"/>
        </w:rPr>
        <w:t xml:space="preserve"> </w:t>
      </w:r>
      <w:r w:rsidR="00A83BE9" w:rsidRPr="00BB6220">
        <w:rPr>
          <w:lang w:eastAsia="en-NZ"/>
        </w:rPr>
        <w:t>atua</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gods).</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dynamic</w:t>
      </w:r>
      <w:r w:rsidR="003D640C">
        <w:rPr>
          <w:lang w:eastAsia="en-NZ"/>
        </w:rPr>
        <w:t xml:space="preserve"> </w:t>
      </w:r>
      <w:r w:rsidR="00A83BE9" w:rsidRPr="00BB6220">
        <w:rPr>
          <w:lang w:eastAsia="en-NZ"/>
        </w:rPr>
        <w:t>between</w:t>
      </w:r>
      <w:r w:rsidR="003D640C">
        <w:rPr>
          <w:lang w:eastAsia="en-NZ"/>
        </w:rPr>
        <w:t xml:space="preserve"> </w:t>
      </w:r>
      <w:r w:rsidR="00A83BE9" w:rsidRPr="00BB6220">
        <w:rPr>
          <w:lang w:eastAsia="en-NZ"/>
        </w:rPr>
        <w:t>whakapapa</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mana</w:t>
      </w:r>
      <w:r w:rsidR="003D640C">
        <w:rPr>
          <w:lang w:eastAsia="en-NZ"/>
        </w:rPr>
        <w:t xml:space="preserve"> </w:t>
      </w:r>
      <w:r w:rsidR="00A83BE9" w:rsidRPr="00BB6220">
        <w:rPr>
          <w:lang w:eastAsia="en-NZ"/>
        </w:rPr>
        <w:t>is</w:t>
      </w:r>
      <w:r w:rsidR="003D640C">
        <w:rPr>
          <w:lang w:eastAsia="en-NZ"/>
        </w:rPr>
        <w:t xml:space="preserve"> </w:t>
      </w:r>
      <w:bookmarkStart w:id="221" w:name="_Int_Y6194Cyw"/>
      <w:r w:rsidR="00A83BE9" w:rsidRPr="00BB6220">
        <w:rPr>
          <w:lang w:eastAsia="en-NZ"/>
        </w:rPr>
        <w:t>likely</w:t>
      </w:r>
      <w:r w:rsidR="003D640C">
        <w:rPr>
          <w:lang w:eastAsia="en-NZ"/>
        </w:rPr>
        <w:t xml:space="preserve"> </w:t>
      </w:r>
      <w:r w:rsidR="00A83BE9" w:rsidRPr="00BB6220">
        <w:rPr>
          <w:lang w:eastAsia="en-NZ"/>
        </w:rPr>
        <w:t>t</w:t>
      </w:r>
      <w:r w:rsidR="00E07DCE" w:rsidRPr="00BB6220">
        <w:rPr>
          <w:lang w:eastAsia="en-NZ"/>
        </w:rPr>
        <w:t>he</w:t>
      </w:r>
      <w:bookmarkEnd w:id="221"/>
      <w:r w:rsidR="003D640C">
        <w:rPr>
          <w:lang w:eastAsia="en-NZ"/>
        </w:rPr>
        <w:t xml:space="preserve"> </w:t>
      </w:r>
      <w:r w:rsidR="00A83BE9" w:rsidRPr="00BB6220">
        <w:rPr>
          <w:lang w:eastAsia="en-NZ"/>
        </w:rPr>
        <w:t>reason</w:t>
      </w:r>
      <w:r w:rsidR="003D640C">
        <w:rPr>
          <w:lang w:eastAsia="en-NZ"/>
        </w:rPr>
        <w:t xml:space="preserve"> </w:t>
      </w:r>
      <w:r w:rsidR="00A83BE9" w:rsidRPr="00BB6220">
        <w:rPr>
          <w:lang w:eastAsia="en-NZ"/>
        </w:rPr>
        <w:t>for</w:t>
      </w:r>
      <w:r w:rsidR="003D640C">
        <w:rPr>
          <w:lang w:eastAsia="en-NZ"/>
        </w:rPr>
        <w:t xml:space="preserve"> </w:t>
      </w:r>
      <w:r w:rsidR="00F728EC" w:rsidRPr="00BB6220">
        <w:rPr>
          <w:lang w:eastAsia="en-NZ"/>
        </w:rPr>
        <w:t>the</w:t>
      </w:r>
      <w:r w:rsidR="003D640C">
        <w:rPr>
          <w:lang w:eastAsia="en-NZ"/>
        </w:rPr>
        <w:t xml:space="preserve"> </w:t>
      </w:r>
      <w:r w:rsidR="00A83BE9" w:rsidRPr="00BB6220">
        <w:rPr>
          <w:lang w:eastAsia="en-NZ"/>
        </w:rPr>
        <w:t>acceptance</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takatāpui</w:t>
      </w:r>
      <w:r w:rsidR="00B829DD" w:rsidRPr="00BB6220">
        <w:rPr>
          <w:lang w:eastAsia="en-NZ"/>
        </w:rPr>
        <w:t>.</w:t>
      </w:r>
      <w:r w:rsidR="003D640C">
        <w:rPr>
          <w:lang w:eastAsia="en-NZ"/>
        </w:rPr>
        <w:t xml:space="preserve"> </w:t>
      </w:r>
      <w:r w:rsidR="00A83BE9" w:rsidRPr="00BB6220">
        <w:rPr>
          <w:lang w:eastAsia="en-NZ"/>
        </w:rPr>
        <w:t>Rejection</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takatāpui</w:t>
      </w:r>
      <w:r w:rsidR="003D640C">
        <w:rPr>
          <w:lang w:eastAsia="en-NZ"/>
        </w:rPr>
        <w:t xml:space="preserve"> </w:t>
      </w:r>
      <w:r w:rsidR="00A83BE9" w:rsidRPr="00BB6220">
        <w:rPr>
          <w:lang w:eastAsia="en-NZ"/>
        </w:rPr>
        <w:t>whānau</w:t>
      </w:r>
      <w:r w:rsidR="003D640C">
        <w:rPr>
          <w:lang w:eastAsia="en-NZ"/>
        </w:rPr>
        <w:t xml:space="preserve"> </w:t>
      </w:r>
      <w:r w:rsidR="00A83BE9" w:rsidRPr="00BB6220">
        <w:rPr>
          <w:lang w:eastAsia="en-NZ"/>
        </w:rPr>
        <w:t>would</w:t>
      </w:r>
      <w:r w:rsidR="003D640C">
        <w:rPr>
          <w:lang w:eastAsia="en-NZ"/>
        </w:rPr>
        <w:t xml:space="preserve"> </w:t>
      </w:r>
      <w:r w:rsidR="00A83BE9" w:rsidRPr="00BB6220">
        <w:rPr>
          <w:lang w:eastAsia="en-NZ"/>
        </w:rPr>
        <w:t>undermine</w:t>
      </w:r>
      <w:r w:rsidR="003D640C">
        <w:rPr>
          <w:lang w:eastAsia="en-NZ"/>
        </w:rPr>
        <w:t xml:space="preserve"> </w:t>
      </w:r>
      <w:r w:rsidR="00A83BE9" w:rsidRPr="00BB6220">
        <w:rPr>
          <w:lang w:eastAsia="en-NZ"/>
        </w:rPr>
        <w:t>relationships</w:t>
      </w:r>
      <w:r w:rsidR="003D640C">
        <w:rPr>
          <w:lang w:eastAsia="en-NZ"/>
        </w:rPr>
        <w:t xml:space="preserve"> </w:t>
      </w:r>
      <w:r w:rsidR="000A1911" w:rsidRPr="00BB6220">
        <w:rPr>
          <w:lang w:eastAsia="en-NZ"/>
        </w:rPr>
        <w:t>and</w:t>
      </w:r>
      <w:r w:rsidR="003D640C">
        <w:rPr>
          <w:lang w:eastAsia="en-NZ"/>
        </w:rPr>
        <w:t xml:space="preserve"> </w:t>
      </w:r>
      <w:r w:rsidR="00B14461" w:rsidRPr="00BB6220">
        <w:rPr>
          <w:lang w:eastAsia="en-NZ"/>
        </w:rPr>
        <w:t>go</w:t>
      </w:r>
      <w:r w:rsidR="003D640C">
        <w:rPr>
          <w:lang w:eastAsia="en-NZ"/>
        </w:rPr>
        <w:t xml:space="preserve"> </w:t>
      </w:r>
      <w:r w:rsidR="00B14461" w:rsidRPr="00BB6220">
        <w:rPr>
          <w:lang w:eastAsia="en-NZ"/>
        </w:rPr>
        <w:t>against</w:t>
      </w:r>
      <w:r w:rsidR="003D640C">
        <w:rPr>
          <w:lang w:eastAsia="en-NZ"/>
        </w:rPr>
        <w:t xml:space="preserve"> </w:t>
      </w:r>
      <w:r w:rsidR="00B14461" w:rsidRPr="00BB6220">
        <w:rPr>
          <w:lang w:eastAsia="en-NZ"/>
        </w:rPr>
        <w:t>concepts</w:t>
      </w:r>
      <w:r w:rsidR="003D640C">
        <w:rPr>
          <w:lang w:eastAsia="en-NZ"/>
        </w:rPr>
        <w:t xml:space="preserve"> </w:t>
      </w:r>
      <w:r w:rsidR="00B14461" w:rsidRPr="00BB6220">
        <w:rPr>
          <w:lang w:eastAsia="en-NZ"/>
        </w:rPr>
        <w:t>of</w:t>
      </w:r>
      <w:r w:rsidR="003D640C">
        <w:rPr>
          <w:lang w:eastAsia="en-NZ"/>
        </w:rPr>
        <w:t xml:space="preserve"> </w:t>
      </w:r>
      <w:r w:rsidR="00A83BE9" w:rsidRPr="00BB6220">
        <w:rPr>
          <w:lang w:eastAsia="en-NZ"/>
        </w:rPr>
        <w:t>manaaki</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tiaki</w:t>
      </w:r>
      <w:r w:rsidR="003D640C">
        <w:rPr>
          <w:lang w:eastAsia="en-NZ"/>
        </w:rPr>
        <w:t xml:space="preserve"> </w:t>
      </w:r>
      <w:r w:rsidR="00A83BE9" w:rsidRPr="00BB6220">
        <w:rPr>
          <w:lang w:eastAsia="en-NZ"/>
        </w:rPr>
        <w:t>where</w:t>
      </w:r>
      <w:r w:rsidR="003D640C">
        <w:rPr>
          <w:lang w:eastAsia="en-NZ"/>
        </w:rPr>
        <w:t xml:space="preserve"> </w:t>
      </w:r>
      <w:r w:rsidR="00A83BE9" w:rsidRPr="00BB6220">
        <w:rPr>
          <w:lang w:eastAsia="en-NZ"/>
        </w:rPr>
        <w:t>support</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protection</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whānau</w:t>
      </w:r>
      <w:r w:rsidR="003D640C">
        <w:rPr>
          <w:lang w:eastAsia="en-NZ"/>
        </w:rPr>
        <w:t xml:space="preserve"> </w:t>
      </w:r>
      <w:r w:rsidR="00B14461" w:rsidRPr="00BB6220">
        <w:rPr>
          <w:lang w:eastAsia="en-NZ"/>
        </w:rPr>
        <w:t>is</w:t>
      </w:r>
      <w:r w:rsidR="003D640C">
        <w:rPr>
          <w:lang w:eastAsia="en-NZ"/>
        </w:rPr>
        <w:t xml:space="preserve"> </w:t>
      </w:r>
      <w:r w:rsidR="00B14461" w:rsidRPr="00BB6220">
        <w:rPr>
          <w:lang w:eastAsia="en-NZ"/>
        </w:rPr>
        <w:t>a</w:t>
      </w:r>
      <w:r w:rsidR="003D640C">
        <w:rPr>
          <w:lang w:eastAsia="en-NZ"/>
        </w:rPr>
        <w:t xml:space="preserve"> </w:t>
      </w:r>
      <w:r w:rsidR="00B14461" w:rsidRPr="00BB6220">
        <w:rPr>
          <w:lang w:eastAsia="en-NZ"/>
        </w:rPr>
        <w:t>priority</w:t>
      </w:r>
      <w:r w:rsidR="00A83BE9" w:rsidRPr="00BB6220">
        <w:rPr>
          <w:lang w:eastAsia="en-NZ"/>
        </w:rPr>
        <w:t>.</w:t>
      </w:r>
      <w:r w:rsidR="003D640C">
        <w:rPr>
          <w:lang w:eastAsia="en-NZ"/>
        </w:rPr>
        <w:t xml:space="preserve"> </w:t>
      </w:r>
    </w:p>
    <w:p w14:paraId="3FDC8925" w14:textId="3DFFD471" w:rsidR="00501068" w:rsidRDefault="009332C3" w:rsidP="002C6363">
      <w:pPr>
        <w:rPr>
          <w:lang w:eastAsia="en-NZ"/>
        </w:rPr>
      </w:pPr>
      <w:r w:rsidRPr="00BB6220">
        <w:rPr>
          <w:lang w:eastAsia="en-NZ"/>
        </w:rPr>
        <w:t>S</w:t>
      </w:r>
      <w:r w:rsidR="00A83BE9" w:rsidRPr="00BB6220">
        <w:rPr>
          <w:lang w:eastAsia="en-NZ"/>
        </w:rPr>
        <w:t>ome</w:t>
      </w:r>
      <w:r w:rsidR="003D640C">
        <w:rPr>
          <w:lang w:eastAsia="en-NZ"/>
        </w:rPr>
        <w:t xml:space="preserve"> </w:t>
      </w:r>
      <w:r w:rsidR="00A83BE9" w:rsidRPr="00BB6220">
        <w:rPr>
          <w:lang w:eastAsia="en-NZ"/>
        </w:rPr>
        <w:t>iwi,</w:t>
      </w:r>
      <w:r w:rsidR="003D640C">
        <w:rPr>
          <w:lang w:eastAsia="en-NZ"/>
        </w:rPr>
        <w:t xml:space="preserve"> </w:t>
      </w:r>
      <w:r w:rsidR="00A83BE9" w:rsidRPr="00BB6220">
        <w:rPr>
          <w:lang w:eastAsia="en-NZ"/>
        </w:rPr>
        <w:t>hapū,</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whānau</w:t>
      </w:r>
      <w:r w:rsidR="003D640C">
        <w:rPr>
          <w:lang w:eastAsia="en-NZ"/>
        </w:rPr>
        <w:t xml:space="preserve"> </w:t>
      </w:r>
      <w:r w:rsidR="00A83BE9" w:rsidRPr="00BB6220">
        <w:rPr>
          <w:lang w:eastAsia="en-NZ"/>
        </w:rPr>
        <w:t>are</w:t>
      </w:r>
      <w:r w:rsidR="003D640C">
        <w:rPr>
          <w:lang w:eastAsia="en-NZ"/>
        </w:rPr>
        <w:t xml:space="preserve"> </w:t>
      </w:r>
      <w:r w:rsidR="00A83BE9" w:rsidRPr="00BB6220">
        <w:rPr>
          <w:lang w:eastAsia="en-NZ"/>
        </w:rPr>
        <w:t>already</w:t>
      </w:r>
      <w:r w:rsidR="003D640C">
        <w:rPr>
          <w:lang w:eastAsia="en-NZ"/>
        </w:rPr>
        <w:t xml:space="preserve"> </w:t>
      </w:r>
      <w:r w:rsidR="00A83BE9" w:rsidRPr="00BB6220">
        <w:rPr>
          <w:lang w:eastAsia="en-NZ"/>
        </w:rPr>
        <w:t>open</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affirming</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their</w:t>
      </w:r>
      <w:r w:rsidR="003D640C">
        <w:rPr>
          <w:lang w:eastAsia="en-NZ"/>
        </w:rPr>
        <w:t xml:space="preserve"> </w:t>
      </w:r>
      <w:r w:rsidR="00A83BE9" w:rsidRPr="00BB6220">
        <w:rPr>
          <w:lang w:eastAsia="en-NZ"/>
        </w:rPr>
        <w:t>takatāpui</w:t>
      </w:r>
      <w:r w:rsidR="003D640C">
        <w:rPr>
          <w:lang w:eastAsia="en-NZ"/>
        </w:rPr>
        <w:t xml:space="preserve"> </w:t>
      </w:r>
      <w:r w:rsidR="00A83BE9" w:rsidRPr="00BB6220">
        <w:rPr>
          <w:lang w:eastAsia="en-NZ"/>
        </w:rPr>
        <w:t>and</w:t>
      </w:r>
      <w:r w:rsidR="003D640C">
        <w:rPr>
          <w:lang w:eastAsia="en-NZ"/>
        </w:rPr>
        <w:t xml:space="preserve"> </w:t>
      </w:r>
      <w:r w:rsidR="007D081A" w:rsidRPr="00BB6220">
        <w:rPr>
          <w:lang w:eastAsia="en-NZ"/>
        </w:rPr>
        <w:t>Rainbow</w:t>
      </w:r>
      <w:r w:rsidR="003D640C">
        <w:rPr>
          <w:lang w:eastAsia="en-NZ"/>
        </w:rPr>
        <w:t xml:space="preserve"> </w:t>
      </w:r>
      <w:r w:rsidR="00A83BE9" w:rsidRPr="00BB6220">
        <w:rPr>
          <w:lang w:eastAsia="en-NZ"/>
        </w:rPr>
        <w:t>whānau.</w:t>
      </w:r>
      <w:r w:rsidR="003D640C">
        <w:rPr>
          <w:lang w:eastAsia="en-NZ"/>
        </w:rPr>
        <w:t xml:space="preserve"> </w:t>
      </w:r>
      <w:r w:rsidR="00A83BE9" w:rsidRPr="00BB6220">
        <w:rPr>
          <w:lang w:eastAsia="en-NZ"/>
        </w:rPr>
        <w:t>However,</w:t>
      </w:r>
      <w:r w:rsidR="003D640C">
        <w:rPr>
          <w:lang w:eastAsia="en-NZ"/>
        </w:rPr>
        <w:t xml:space="preserve"> </w:t>
      </w:r>
      <w:r w:rsidR="00A83BE9" w:rsidRPr="00BB6220">
        <w:rPr>
          <w:lang w:eastAsia="en-NZ"/>
        </w:rPr>
        <w:t>there</w:t>
      </w:r>
      <w:r w:rsidR="003D640C">
        <w:rPr>
          <w:lang w:eastAsia="en-NZ"/>
        </w:rPr>
        <w:t xml:space="preserve"> </w:t>
      </w:r>
      <w:r w:rsidR="00A83BE9" w:rsidRPr="00BB6220">
        <w:rPr>
          <w:lang w:eastAsia="en-NZ"/>
        </w:rPr>
        <w:t>is</w:t>
      </w:r>
      <w:r w:rsidR="003D640C">
        <w:rPr>
          <w:lang w:eastAsia="en-NZ"/>
        </w:rPr>
        <w:t xml:space="preserve"> </w:t>
      </w:r>
      <w:r w:rsidR="00A83BE9" w:rsidRPr="00BB6220">
        <w:rPr>
          <w:lang w:eastAsia="en-NZ"/>
        </w:rPr>
        <w:t>no</w:t>
      </w:r>
      <w:r w:rsidR="003D640C">
        <w:rPr>
          <w:lang w:eastAsia="en-NZ"/>
        </w:rPr>
        <w:t xml:space="preserve"> </w:t>
      </w:r>
      <w:r w:rsidR="00E43F18">
        <w:rPr>
          <w:lang w:eastAsia="en-NZ"/>
        </w:rPr>
        <w:t>general consensus on</w:t>
      </w:r>
      <w:r w:rsidR="003D640C">
        <w:rPr>
          <w:lang w:eastAsia="en-NZ"/>
        </w:rPr>
        <w:t xml:space="preserve"> </w:t>
      </w:r>
      <w:r w:rsidR="00A83BE9" w:rsidRPr="00BB6220">
        <w:rPr>
          <w:lang w:eastAsia="en-NZ"/>
        </w:rPr>
        <w:t>gender,</w:t>
      </w:r>
      <w:r w:rsidR="003D640C">
        <w:rPr>
          <w:lang w:eastAsia="en-NZ"/>
        </w:rPr>
        <w:t xml:space="preserve"> </w:t>
      </w:r>
      <w:r w:rsidR="00A83BE9" w:rsidRPr="00BB6220">
        <w:rPr>
          <w:lang w:eastAsia="en-NZ"/>
        </w:rPr>
        <w:t>sex</w:t>
      </w:r>
      <w:r w:rsidR="383EA9BD" w:rsidRPr="00BB6220">
        <w:rPr>
          <w:lang w:eastAsia="en-NZ"/>
        </w:rPr>
        <w:t>,</w:t>
      </w:r>
      <w:r w:rsidR="003D640C">
        <w:rPr>
          <w:lang w:eastAsia="en-NZ"/>
        </w:rPr>
        <w:t xml:space="preserve"> </w:t>
      </w:r>
      <w:r w:rsidR="00A83BE9" w:rsidRPr="00BB6220">
        <w:rPr>
          <w:lang w:eastAsia="en-NZ"/>
        </w:rPr>
        <w:t>and</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003D640C">
        <w:rPr>
          <w:lang w:eastAsia="en-NZ"/>
        </w:rPr>
        <w:t xml:space="preserve"> </w:t>
      </w:r>
      <w:r w:rsidR="00A83BE9" w:rsidRPr="00BB6220">
        <w:rPr>
          <w:lang w:eastAsia="en-NZ"/>
        </w:rPr>
        <w:t>amongst</w:t>
      </w:r>
      <w:r w:rsidR="003D640C">
        <w:rPr>
          <w:lang w:eastAsia="en-NZ"/>
        </w:rPr>
        <w:t xml:space="preserve"> </w:t>
      </w:r>
      <w:r w:rsidR="00A83BE9" w:rsidRPr="00BB6220">
        <w:rPr>
          <w:lang w:eastAsia="en-NZ"/>
        </w:rPr>
        <w:t>all</w:t>
      </w:r>
      <w:r w:rsidR="003D640C">
        <w:rPr>
          <w:lang w:eastAsia="en-NZ"/>
        </w:rPr>
        <w:t xml:space="preserve"> </w:t>
      </w:r>
      <w:r w:rsidR="00A83BE9" w:rsidRPr="00BB6220">
        <w:rPr>
          <w:lang w:eastAsia="en-NZ"/>
        </w:rPr>
        <w:t>iwi,</w:t>
      </w:r>
      <w:r w:rsidR="003D640C">
        <w:rPr>
          <w:lang w:eastAsia="en-NZ"/>
        </w:rPr>
        <w:t xml:space="preserve"> </w:t>
      </w:r>
      <w:r w:rsidR="00A83BE9" w:rsidRPr="00BB6220">
        <w:rPr>
          <w:lang w:eastAsia="en-NZ"/>
        </w:rPr>
        <w:t>hapū,</w:t>
      </w:r>
      <w:r w:rsidR="003D640C">
        <w:rPr>
          <w:lang w:eastAsia="en-NZ"/>
        </w:rPr>
        <w:t xml:space="preserve"> </w:t>
      </w:r>
      <w:r w:rsidR="00A83BE9" w:rsidRPr="00BB6220">
        <w:rPr>
          <w:lang w:eastAsia="en-NZ"/>
        </w:rPr>
        <w:t>or</w:t>
      </w:r>
      <w:r w:rsidR="003D640C">
        <w:rPr>
          <w:lang w:eastAsia="en-NZ"/>
        </w:rPr>
        <w:t xml:space="preserve"> </w:t>
      </w:r>
      <w:r w:rsidR="00A83BE9" w:rsidRPr="00BB6220">
        <w:rPr>
          <w:lang w:eastAsia="en-NZ"/>
        </w:rPr>
        <w:t>whānau.</w:t>
      </w:r>
      <w:r w:rsidR="003D640C">
        <w:rPr>
          <w:lang w:eastAsia="en-NZ"/>
        </w:rPr>
        <w:t xml:space="preserve"> </w:t>
      </w:r>
      <w:r w:rsidR="00A83BE9" w:rsidRPr="00BB6220">
        <w:rPr>
          <w:lang w:eastAsia="en-NZ"/>
        </w:rPr>
        <w:t>For</w:t>
      </w:r>
      <w:r w:rsidR="003D640C">
        <w:rPr>
          <w:lang w:eastAsia="en-NZ"/>
        </w:rPr>
        <w:t xml:space="preserve"> </w:t>
      </w:r>
      <w:r w:rsidR="00A83BE9" w:rsidRPr="00BB6220">
        <w:rPr>
          <w:lang w:eastAsia="en-NZ"/>
        </w:rPr>
        <w:t>example,</w:t>
      </w:r>
      <w:r w:rsidR="003D640C">
        <w:rPr>
          <w:lang w:eastAsia="en-NZ"/>
        </w:rPr>
        <w:t xml:space="preserve"> </w:t>
      </w:r>
      <w:r w:rsidR="00A83BE9" w:rsidRPr="00BB6220">
        <w:rPr>
          <w:lang w:eastAsia="en-NZ"/>
        </w:rPr>
        <w:t>there</w:t>
      </w:r>
      <w:r w:rsidR="003D640C">
        <w:rPr>
          <w:lang w:eastAsia="en-NZ"/>
        </w:rPr>
        <w:t xml:space="preserve"> </w:t>
      </w:r>
      <w:r w:rsidR="00A83BE9" w:rsidRPr="00BB6220">
        <w:rPr>
          <w:lang w:eastAsia="en-NZ"/>
        </w:rPr>
        <w:t>are</w:t>
      </w:r>
      <w:r w:rsidR="003D640C">
        <w:rPr>
          <w:lang w:eastAsia="en-NZ"/>
        </w:rPr>
        <w:t xml:space="preserve"> </w:t>
      </w:r>
      <w:r w:rsidR="00A83BE9" w:rsidRPr="00BB6220">
        <w:rPr>
          <w:lang w:eastAsia="en-NZ"/>
        </w:rPr>
        <w:t>many</w:t>
      </w:r>
      <w:r w:rsidR="003D640C">
        <w:rPr>
          <w:lang w:eastAsia="en-NZ"/>
        </w:rPr>
        <w:t xml:space="preserve"> </w:t>
      </w:r>
      <w:r w:rsidR="00A83BE9" w:rsidRPr="00BB6220">
        <w:rPr>
          <w:lang w:eastAsia="en-NZ"/>
        </w:rPr>
        <w:t>complex</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varying</w:t>
      </w:r>
      <w:r w:rsidR="003D640C">
        <w:rPr>
          <w:lang w:eastAsia="en-NZ"/>
        </w:rPr>
        <w:t xml:space="preserve"> </w:t>
      </w:r>
      <w:r w:rsidR="00A83BE9" w:rsidRPr="00BB6220">
        <w:rPr>
          <w:lang w:eastAsia="en-NZ"/>
        </w:rPr>
        <w:t>opinions</w:t>
      </w:r>
      <w:r w:rsidR="003D640C">
        <w:rPr>
          <w:lang w:eastAsia="en-NZ"/>
        </w:rPr>
        <w:t xml:space="preserve"> </w:t>
      </w:r>
      <w:r w:rsidR="00A83BE9" w:rsidRPr="00BB6220">
        <w:rPr>
          <w:lang w:eastAsia="en-NZ"/>
        </w:rPr>
        <w:t>within</w:t>
      </w:r>
      <w:r w:rsidR="003D640C">
        <w:rPr>
          <w:lang w:eastAsia="en-NZ"/>
        </w:rPr>
        <w:t xml:space="preserve"> </w:t>
      </w:r>
      <w:r w:rsidR="00D550BA" w:rsidRPr="00BB6220">
        <w:rPr>
          <w:lang w:eastAsia="en-NZ"/>
        </w:rPr>
        <w:t>t</w:t>
      </w:r>
      <w:r w:rsidR="00A83BE9" w:rsidRPr="00BB6220">
        <w:rPr>
          <w:lang w:eastAsia="en-NZ"/>
        </w:rPr>
        <w:t>e</w:t>
      </w:r>
      <w:r w:rsidR="003D640C">
        <w:rPr>
          <w:lang w:eastAsia="en-NZ"/>
        </w:rPr>
        <w:t xml:space="preserve"> </w:t>
      </w:r>
      <w:r w:rsidR="00D550BA" w:rsidRPr="00BB6220">
        <w:rPr>
          <w:lang w:eastAsia="en-NZ"/>
        </w:rPr>
        <w:t>a</w:t>
      </w:r>
      <w:r w:rsidR="00A83BE9" w:rsidRPr="00BB6220">
        <w:rPr>
          <w:lang w:eastAsia="en-NZ"/>
        </w:rPr>
        <w:t>o</w:t>
      </w:r>
      <w:r w:rsidR="003D640C">
        <w:rPr>
          <w:lang w:eastAsia="en-NZ"/>
        </w:rPr>
        <w:t xml:space="preserve"> </w:t>
      </w:r>
      <w:r w:rsidR="00A83BE9" w:rsidRPr="00BB6220">
        <w:rPr>
          <w:lang w:eastAsia="en-NZ"/>
        </w:rPr>
        <w:t>Māori</w:t>
      </w:r>
      <w:r w:rsidR="003D640C">
        <w:rPr>
          <w:lang w:eastAsia="en-NZ"/>
        </w:rPr>
        <w:t xml:space="preserve"> </w:t>
      </w:r>
      <w:r w:rsidR="00A83BE9" w:rsidRPr="00BB6220">
        <w:rPr>
          <w:lang w:eastAsia="en-NZ"/>
        </w:rPr>
        <w:t>about</w:t>
      </w:r>
      <w:r w:rsidR="003D640C">
        <w:rPr>
          <w:lang w:eastAsia="en-NZ"/>
        </w:rPr>
        <w:t xml:space="preserve"> </w:t>
      </w:r>
      <w:r w:rsidR="00A83BE9" w:rsidRPr="00BB6220">
        <w:rPr>
          <w:lang w:eastAsia="en-NZ"/>
        </w:rPr>
        <w:t>gender-based</w:t>
      </w:r>
      <w:r w:rsidR="003D640C">
        <w:rPr>
          <w:lang w:eastAsia="en-NZ"/>
        </w:rPr>
        <w:t xml:space="preserve"> </w:t>
      </w:r>
      <w:r w:rsidR="00A83BE9" w:rsidRPr="00BB6220">
        <w:rPr>
          <w:lang w:eastAsia="en-NZ"/>
        </w:rPr>
        <w:t>roles</w:t>
      </w:r>
      <w:r w:rsidR="003D640C">
        <w:rPr>
          <w:lang w:eastAsia="en-NZ"/>
        </w:rPr>
        <w:t xml:space="preserve"> </w:t>
      </w:r>
      <w:r w:rsidR="00A83BE9" w:rsidRPr="00BB6220">
        <w:rPr>
          <w:lang w:eastAsia="en-NZ"/>
        </w:rPr>
        <w:t>on</w:t>
      </w:r>
      <w:r w:rsidR="003D640C">
        <w:rPr>
          <w:lang w:eastAsia="en-NZ"/>
        </w:rPr>
        <w:t xml:space="preserve"> </w:t>
      </w:r>
      <w:r w:rsidR="00A83BE9" w:rsidRPr="00BB6220">
        <w:rPr>
          <w:lang w:eastAsia="en-NZ"/>
        </w:rPr>
        <w:t>marae</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within</w:t>
      </w:r>
      <w:r w:rsidR="003D640C">
        <w:rPr>
          <w:lang w:eastAsia="en-NZ"/>
        </w:rPr>
        <w:t xml:space="preserve"> </w:t>
      </w:r>
      <w:r w:rsidR="00A83BE9" w:rsidRPr="00BB6220">
        <w:rPr>
          <w:lang w:eastAsia="en-NZ"/>
        </w:rPr>
        <w:t>practices</w:t>
      </w:r>
      <w:r w:rsidR="003D640C">
        <w:rPr>
          <w:lang w:eastAsia="en-NZ"/>
        </w:rPr>
        <w:t xml:space="preserve"> </w:t>
      </w:r>
      <w:r w:rsidR="00A83BE9" w:rsidRPr="00BB6220">
        <w:rPr>
          <w:lang w:eastAsia="en-NZ"/>
        </w:rPr>
        <w:t>that</w:t>
      </w:r>
      <w:r w:rsidR="003D640C">
        <w:rPr>
          <w:lang w:eastAsia="en-NZ"/>
        </w:rPr>
        <w:t xml:space="preserve"> </w:t>
      </w:r>
      <w:r w:rsidR="00A83BE9" w:rsidRPr="00BB6220">
        <w:rPr>
          <w:lang w:eastAsia="en-NZ"/>
        </w:rPr>
        <w:t>are</w:t>
      </w:r>
      <w:r w:rsidR="003D640C">
        <w:rPr>
          <w:lang w:eastAsia="en-NZ"/>
        </w:rPr>
        <w:t xml:space="preserve"> </w:t>
      </w:r>
      <w:r w:rsidR="00A83BE9" w:rsidRPr="00BB6220">
        <w:rPr>
          <w:lang w:eastAsia="en-NZ"/>
        </w:rPr>
        <w:t>tapu</w:t>
      </w:r>
      <w:r w:rsidR="003D640C">
        <w:rPr>
          <w:lang w:eastAsia="en-NZ"/>
        </w:rPr>
        <w:t xml:space="preserve"> </w:t>
      </w:r>
      <w:r w:rsidR="00A83BE9" w:rsidRPr="00BB6220">
        <w:rPr>
          <w:lang w:eastAsia="en-NZ"/>
        </w:rPr>
        <w:t>or</w:t>
      </w:r>
      <w:r w:rsidR="003D640C">
        <w:rPr>
          <w:lang w:eastAsia="en-NZ"/>
        </w:rPr>
        <w:t xml:space="preserve"> </w:t>
      </w:r>
      <w:r w:rsidR="00A83BE9" w:rsidRPr="00BB6220">
        <w:rPr>
          <w:lang w:eastAsia="en-NZ"/>
        </w:rPr>
        <w:t>deal</w:t>
      </w:r>
      <w:r w:rsidR="003D640C">
        <w:rPr>
          <w:lang w:eastAsia="en-NZ"/>
        </w:rPr>
        <w:t xml:space="preserve"> </w:t>
      </w:r>
      <w:r w:rsidR="00A83BE9" w:rsidRPr="00BB6220">
        <w:rPr>
          <w:lang w:eastAsia="en-NZ"/>
        </w:rPr>
        <w:t>with</w:t>
      </w:r>
      <w:r w:rsidR="003D640C">
        <w:rPr>
          <w:lang w:eastAsia="en-NZ"/>
        </w:rPr>
        <w:t xml:space="preserve"> </w:t>
      </w:r>
      <w:r w:rsidR="00A83BE9" w:rsidRPr="00BB6220">
        <w:rPr>
          <w:lang w:eastAsia="en-NZ"/>
        </w:rPr>
        <w:t>other</w:t>
      </w:r>
      <w:r w:rsidR="003D640C">
        <w:rPr>
          <w:lang w:eastAsia="en-NZ"/>
        </w:rPr>
        <w:t xml:space="preserve"> </w:t>
      </w:r>
      <w:r w:rsidR="00A83BE9" w:rsidRPr="00BB6220">
        <w:rPr>
          <w:lang w:eastAsia="en-NZ"/>
        </w:rPr>
        <w:t>realms.</w:t>
      </w:r>
      <w:r w:rsidR="003D640C">
        <w:rPr>
          <w:lang w:eastAsia="en-NZ"/>
        </w:rPr>
        <w:t xml:space="preserve"> </w:t>
      </w:r>
      <w:r w:rsidR="00CE2A7F" w:rsidRPr="00BB6220">
        <w:rPr>
          <w:lang w:eastAsia="en-NZ"/>
        </w:rPr>
        <w:t>I</w:t>
      </w:r>
      <w:r w:rsidR="00A83BE9" w:rsidRPr="00BB6220">
        <w:rPr>
          <w:lang w:eastAsia="en-NZ"/>
        </w:rPr>
        <w:t>nclusion</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takatāpui</w:t>
      </w:r>
      <w:r w:rsidR="003D640C">
        <w:rPr>
          <w:lang w:eastAsia="en-NZ"/>
        </w:rPr>
        <w:t xml:space="preserve"> </w:t>
      </w:r>
      <w:r w:rsidR="00A83BE9" w:rsidRPr="00BB6220">
        <w:rPr>
          <w:lang w:eastAsia="en-NZ"/>
        </w:rPr>
        <w:t>and</w:t>
      </w:r>
      <w:r w:rsidR="003D640C">
        <w:rPr>
          <w:lang w:eastAsia="en-NZ"/>
        </w:rPr>
        <w:t xml:space="preserve"> </w:t>
      </w:r>
      <w:r w:rsidR="004F5650" w:rsidRPr="00BB6220">
        <w:rPr>
          <w:lang w:eastAsia="en-NZ"/>
        </w:rPr>
        <w:t>Māori</w:t>
      </w:r>
      <w:r w:rsidR="004F5650">
        <w:rPr>
          <w:lang w:eastAsia="en-NZ"/>
        </w:rPr>
        <w:t xml:space="preserve"> </w:t>
      </w:r>
      <w:r w:rsidR="007D081A" w:rsidRPr="00BB6220">
        <w:rPr>
          <w:lang w:eastAsia="en-NZ"/>
        </w:rPr>
        <w:t>Rainbow</w:t>
      </w:r>
      <w:r w:rsidR="00E830D4">
        <w:rPr>
          <w:lang w:eastAsia="en-NZ"/>
        </w:rPr>
        <w:t xml:space="preserve"> people</w:t>
      </w:r>
      <w:r w:rsidR="003D640C">
        <w:rPr>
          <w:lang w:eastAsia="en-NZ"/>
        </w:rPr>
        <w:t xml:space="preserve"> </w:t>
      </w:r>
      <w:r w:rsidR="00A83BE9" w:rsidRPr="00BB6220">
        <w:rPr>
          <w:lang w:eastAsia="en-NZ"/>
        </w:rPr>
        <w:t>differ</w:t>
      </w:r>
      <w:r w:rsidR="00280B92" w:rsidRPr="00BB6220">
        <w:rPr>
          <w:lang w:eastAsia="en-NZ"/>
        </w:rPr>
        <w:t>s</w:t>
      </w:r>
      <w:r w:rsidR="003D640C">
        <w:rPr>
          <w:lang w:eastAsia="en-NZ"/>
        </w:rPr>
        <w:t xml:space="preserve"> </w:t>
      </w:r>
      <w:r w:rsidR="00E47AC7" w:rsidRPr="00BB6220">
        <w:rPr>
          <w:lang w:eastAsia="en-NZ"/>
        </w:rPr>
        <w:t>across</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country.</w:t>
      </w:r>
      <w:r w:rsidR="003D640C">
        <w:rPr>
          <w:lang w:eastAsia="en-NZ"/>
        </w:rPr>
        <w:t xml:space="preserve"> </w:t>
      </w:r>
    </w:p>
    <w:p w14:paraId="5A0DAAA1" w14:textId="4D17B1BC" w:rsidR="00A83BE9" w:rsidRPr="00D332D9" w:rsidRDefault="00A83BE9" w:rsidP="00911B63">
      <w:pPr>
        <w:pStyle w:val="Heading2"/>
      </w:pPr>
      <w:bookmarkStart w:id="222" w:name="_Toc138343820"/>
      <w:bookmarkStart w:id="223" w:name="_Toc167780606"/>
      <w:bookmarkStart w:id="224" w:name="_Toc1675295970"/>
      <w:bookmarkStart w:id="225" w:name="_Toc174628665"/>
      <w:r w:rsidRPr="00BB6220">
        <w:t>Colonisation</w:t>
      </w:r>
      <w:r w:rsidR="003D640C">
        <w:t xml:space="preserve"> </w:t>
      </w:r>
      <w:r w:rsidRPr="00BB6220">
        <w:t>and</w:t>
      </w:r>
      <w:r w:rsidR="003D640C">
        <w:t xml:space="preserve"> </w:t>
      </w:r>
      <w:r w:rsidRPr="00BB6220">
        <w:t>the</w:t>
      </w:r>
      <w:r w:rsidR="003D640C">
        <w:t xml:space="preserve"> </w:t>
      </w:r>
      <w:r w:rsidRPr="00BB6220">
        <w:t>influence</w:t>
      </w:r>
      <w:r w:rsidR="003D640C">
        <w:t xml:space="preserve"> </w:t>
      </w:r>
      <w:r w:rsidRPr="00BB6220">
        <w:t>of</w:t>
      </w:r>
      <w:r w:rsidR="003D640C">
        <w:t xml:space="preserve"> </w:t>
      </w:r>
      <w:r w:rsidRPr="00BB6220">
        <w:t>missionaries</w:t>
      </w:r>
      <w:bookmarkEnd w:id="222"/>
      <w:bookmarkEnd w:id="223"/>
      <w:bookmarkEnd w:id="224"/>
      <w:bookmarkEnd w:id="225"/>
      <w:r w:rsidR="003D640C">
        <w:t xml:space="preserve"> </w:t>
      </w:r>
    </w:p>
    <w:p w14:paraId="59D149A7" w14:textId="6D9B4836" w:rsidR="00501068" w:rsidRDefault="00A83BE9" w:rsidP="002C6363">
      <w:pPr>
        <w:rPr>
          <w:rFonts w:ascii="Segoe UI" w:hAnsi="Segoe UI" w:cs="Segoe UI"/>
          <w:sz w:val="20"/>
          <w:szCs w:val="20"/>
          <w:lang w:eastAsia="en-NZ"/>
        </w:rPr>
      </w:pPr>
      <w:r w:rsidRPr="00BB6220">
        <w:rPr>
          <w:lang w:eastAsia="en-NZ"/>
        </w:rPr>
        <w:t>Many</w:t>
      </w:r>
      <w:r w:rsidR="003D640C">
        <w:rPr>
          <w:lang w:eastAsia="en-NZ"/>
        </w:rPr>
        <w:t xml:space="preserve"> </w:t>
      </w:r>
      <w:r w:rsidRPr="00BB6220">
        <w:rPr>
          <w:lang w:eastAsia="en-NZ"/>
        </w:rPr>
        <w:t>Māori</w:t>
      </w:r>
      <w:r w:rsidR="003D640C">
        <w:rPr>
          <w:lang w:eastAsia="en-NZ"/>
        </w:rPr>
        <w:t xml:space="preserve"> </w:t>
      </w:r>
      <w:r w:rsidRPr="00BB6220">
        <w:rPr>
          <w:lang w:eastAsia="en-NZ"/>
        </w:rPr>
        <w:t>carry</w:t>
      </w:r>
      <w:r w:rsidR="003D640C">
        <w:rPr>
          <w:lang w:eastAsia="en-NZ"/>
        </w:rPr>
        <w:t xml:space="preserve"> </w:t>
      </w:r>
      <w:r w:rsidRPr="00BB6220">
        <w:rPr>
          <w:lang w:eastAsia="en-NZ"/>
        </w:rPr>
        <w:t>intergenerational</w:t>
      </w:r>
      <w:r w:rsidR="003D640C">
        <w:rPr>
          <w:lang w:eastAsia="en-NZ"/>
        </w:rPr>
        <w:t xml:space="preserve"> </w:t>
      </w:r>
      <w:r w:rsidRPr="00BB6220">
        <w:rPr>
          <w:lang w:eastAsia="en-NZ"/>
        </w:rPr>
        <w:t>trauma</w:t>
      </w:r>
      <w:r w:rsidR="003D640C">
        <w:rPr>
          <w:lang w:eastAsia="en-NZ"/>
        </w:rPr>
        <w:t xml:space="preserve"> </w:t>
      </w:r>
      <w:r w:rsidRPr="00BB6220">
        <w:rPr>
          <w:lang w:eastAsia="en-NZ"/>
        </w:rPr>
        <w:t>from</w:t>
      </w:r>
      <w:r w:rsidR="003D640C">
        <w:rPr>
          <w:lang w:eastAsia="en-NZ"/>
        </w:rPr>
        <w:t xml:space="preserve"> </w:t>
      </w:r>
      <w:r w:rsidRPr="00BB6220">
        <w:rPr>
          <w:lang w:eastAsia="en-NZ"/>
        </w:rPr>
        <w:t>colonisation</w:t>
      </w:r>
      <w:r w:rsidR="00EA0E77">
        <w:rPr>
          <w:lang w:eastAsia="en-NZ"/>
        </w:rPr>
        <w:t>;</w:t>
      </w:r>
      <w:r w:rsidR="003D640C">
        <w:rPr>
          <w:lang w:eastAsia="en-NZ"/>
        </w:rPr>
        <w:t xml:space="preserve"> </w:t>
      </w:r>
      <w:r w:rsidRPr="00BB6220">
        <w:rPr>
          <w:lang w:eastAsia="en-NZ"/>
        </w:rPr>
        <w:t>the</w:t>
      </w:r>
      <w:r w:rsidR="003D640C">
        <w:rPr>
          <w:lang w:eastAsia="en-NZ"/>
        </w:rPr>
        <w:t xml:space="preserve"> </w:t>
      </w:r>
      <w:r w:rsidRPr="00BB6220">
        <w:rPr>
          <w:lang w:eastAsia="en-NZ"/>
        </w:rPr>
        <w:t>influence</w:t>
      </w:r>
      <w:r w:rsidR="003D640C">
        <w:rPr>
          <w:lang w:eastAsia="en-NZ"/>
        </w:rPr>
        <w:t xml:space="preserve"> </w:t>
      </w:r>
      <w:r w:rsidRPr="00BB6220">
        <w:rPr>
          <w:lang w:eastAsia="en-NZ"/>
        </w:rPr>
        <w:t>of</w:t>
      </w:r>
      <w:r w:rsidR="003D640C">
        <w:rPr>
          <w:lang w:eastAsia="en-NZ"/>
        </w:rPr>
        <w:t xml:space="preserve"> </w:t>
      </w:r>
      <w:r w:rsidRPr="00BB6220">
        <w:rPr>
          <w:lang w:eastAsia="en-NZ"/>
        </w:rPr>
        <w:t>missionaries</w:t>
      </w:r>
      <w:r w:rsidR="00EA0E77">
        <w:rPr>
          <w:lang w:eastAsia="en-NZ"/>
        </w:rPr>
        <w:t>;</w:t>
      </w:r>
      <w:r w:rsidR="003D640C">
        <w:rPr>
          <w:lang w:eastAsia="en-NZ"/>
        </w:rPr>
        <w:t xml:space="preserve"> </w:t>
      </w:r>
      <w:r w:rsidRPr="00BB6220">
        <w:rPr>
          <w:lang w:eastAsia="en-NZ"/>
        </w:rPr>
        <w:t>racism</w:t>
      </w:r>
      <w:r w:rsidR="00EA0E77">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loss</w:t>
      </w:r>
      <w:r w:rsidR="003D640C">
        <w:rPr>
          <w:lang w:eastAsia="en-NZ"/>
        </w:rPr>
        <w:t xml:space="preserve"> </w:t>
      </w:r>
      <w:r w:rsidRPr="00BB6220">
        <w:rPr>
          <w:lang w:eastAsia="en-NZ"/>
        </w:rPr>
        <w:t>of</w:t>
      </w:r>
      <w:r w:rsidR="003D640C">
        <w:rPr>
          <w:lang w:eastAsia="en-NZ"/>
        </w:rPr>
        <w:t xml:space="preserve"> </w:t>
      </w:r>
      <w:r w:rsidRPr="00BB6220">
        <w:rPr>
          <w:lang w:eastAsia="en-NZ"/>
        </w:rPr>
        <w:t>land,</w:t>
      </w:r>
      <w:r w:rsidR="003D640C">
        <w:rPr>
          <w:lang w:eastAsia="en-NZ"/>
        </w:rPr>
        <w:t xml:space="preserve"> </w:t>
      </w:r>
      <w:r w:rsidRPr="00BB6220">
        <w:rPr>
          <w:lang w:eastAsia="en-NZ"/>
        </w:rPr>
        <w:t>culture</w:t>
      </w:r>
      <w:r w:rsidR="14045334"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identity.</w:t>
      </w:r>
      <w:r w:rsidR="003D640C">
        <w:rPr>
          <w:lang w:eastAsia="en-NZ"/>
        </w:rPr>
        <w:t xml:space="preserve"> </w:t>
      </w:r>
      <w:r w:rsidR="006A583E" w:rsidRPr="00BB6220">
        <w:rPr>
          <w:lang w:eastAsia="en-NZ"/>
        </w:rPr>
        <w:t>Understanding</w:t>
      </w:r>
      <w:r w:rsidR="003D640C">
        <w:rPr>
          <w:lang w:eastAsia="en-NZ"/>
        </w:rPr>
        <w:t xml:space="preserve"> </w:t>
      </w:r>
      <w:r w:rsidR="006A583E" w:rsidRPr="00BB6220">
        <w:rPr>
          <w:lang w:eastAsia="en-NZ"/>
        </w:rPr>
        <w:t>the</w:t>
      </w:r>
      <w:r w:rsidR="003D640C">
        <w:rPr>
          <w:lang w:eastAsia="en-NZ"/>
        </w:rPr>
        <w:t xml:space="preserve"> </w:t>
      </w:r>
      <w:r w:rsidR="006A583E" w:rsidRPr="00BB6220">
        <w:rPr>
          <w:lang w:eastAsia="en-NZ"/>
        </w:rPr>
        <w:t>role</w:t>
      </w:r>
      <w:r w:rsidR="003D640C">
        <w:rPr>
          <w:lang w:eastAsia="en-NZ"/>
        </w:rPr>
        <w:t xml:space="preserve"> </w:t>
      </w:r>
      <w:r w:rsidR="006A583E" w:rsidRPr="00BB6220">
        <w:rPr>
          <w:lang w:eastAsia="en-NZ"/>
        </w:rPr>
        <w:t>of</w:t>
      </w:r>
      <w:r w:rsidR="003D640C">
        <w:rPr>
          <w:lang w:eastAsia="en-NZ"/>
        </w:rPr>
        <w:t xml:space="preserve"> </w:t>
      </w:r>
      <w:r w:rsidR="006A583E" w:rsidRPr="00BB6220">
        <w:rPr>
          <w:lang w:eastAsia="en-NZ"/>
        </w:rPr>
        <w:t>colonisation</w:t>
      </w:r>
      <w:r w:rsidR="003D640C">
        <w:rPr>
          <w:lang w:eastAsia="en-NZ"/>
        </w:rPr>
        <w:t xml:space="preserve"> </w:t>
      </w:r>
      <w:r w:rsidR="006A583E" w:rsidRPr="00BB6220">
        <w:rPr>
          <w:lang w:eastAsia="en-NZ"/>
        </w:rPr>
        <w:t>in</w:t>
      </w:r>
      <w:r w:rsidR="003D640C">
        <w:rPr>
          <w:lang w:eastAsia="en-NZ"/>
        </w:rPr>
        <w:t xml:space="preserve"> </w:t>
      </w:r>
      <w:r w:rsidR="006A583E" w:rsidRPr="00BB6220">
        <w:rPr>
          <w:lang w:eastAsia="en-NZ"/>
        </w:rPr>
        <w:t>stigmatising</w:t>
      </w:r>
      <w:r w:rsidR="003D640C">
        <w:rPr>
          <w:lang w:eastAsia="en-NZ"/>
        </w:rPr>
        <w:t xml:space="preserve"> </w:t>
      </w:r>
      <w:r w:rsidR="006A583E" w:rsidRPr="00BB6220">
        <w:rPr>
          <w:lang w:eastAsia="en-NZ"/>
        </w:rPr>
        <w:t>takatāpui</w:t>
      </w:r>
      <w:r w:rsidR="003D640C">
        <w:rPr>
          <w:lang w:eastAsia="en-NZ"/>
        </w:rPr>
        <w:t xml:space="preserve"> </w:t>
      </w:r>
      <w:r w:rsidR="006A583E" w:rsidRPr="00BB6220">
        <w:rPr>
          <w:lang w:eastAsia="en-NZ"/>
        </w:rPr>
        <w:t>and</w:t>
      </w:r>
      <w:r w:rsidR="003D640C">
        <w:rPr>
          <w:lang w:eastAsia="en-NZ"/>
        </w:rPr>
        <w:t xml:space="preserve"> </w:t>
      </w:r>
      <w:r w:rsidR="004F5650" w:rsidRPr="00BB6220">
        <w:rPr>
          <w:lang w:eastAsia="en-NZ"/>
        </w:rPr>
        <w:t>Māori</w:t>
      </w:r>
      <w:r w:rsidR="004F5650">
        <w:rPr>
          <w:lang w:eastAsia="en-NZ"/>
        </w:rPr>
        <w:t xml:space="preserve"> </w:t>
      </w:r>
      <w:r w:rsidR="006A583E" w:rsidRPr="00BB6220">
        <w:rPr>
          <w:lang w:eastAsia="en-NZ"/>
        </w:rPr>
        <w:t>Rainbow</w:t>
      </w:r>
      <w:r w:rsidR="003D640C">
        <w:rPr>
          <w:lang w:eastAsia="en-NZ"/>
        </w:rPr>
        <w:t xml:space="preserve"> </w:t>
      </w:r>
      <w:r w:rsidR="006A583E" w:rsidRPr="00BB6220">
        <w:rPr>
          <w:lang w:eastAsia="en-NZ"/>
        </w:rPr>
        <w:t>identities</w:t>
      </w:r>
      <w:r w:rsidR="003D640C">
        <w:rPr>
          <w:lang w:eastAsia="en-NZ"/>
        </w:rPr>
        <w:t xml:space="preserve"> </w:t>
      </w:r>
      <w:r w:rsidR="006A583E" w:rsidRPr="00BB6220">
        <w:rPr>
          <w:lang w:eastAsia="en-NZ"/>
        </w:rPr>
        <w:t>is</w:t>
      </w:r>
      <w:r w:rsidR="003D640C">
        <w:rPr>
          <w:lang w:eastAsia="en-NZ"/>
        </w:rPr>
        <w:t xml:space="preserve"> </w:t>
      </w:r>
      <w:r w:rsidR="006A583E" w:rsidRPr="00BB6220">
        <w:rPr>
          <w:lang w:eastAsia="en-NZ"/>
        </w:rPr>
        <w:t>important</w:t>
      </w:r>
      <w:r w:rsidR="003D640C">
        <w:rPr>
          <w:lang w:eastAsia="en-NZ"/>
        </w:rPr>
        <w:t xml:space="preserve"> </w:t>
      </w:r>
      <w:r w:rsidR="006A583E" w:rsidRPr="00BB6220">
        <w:rPr>
          <w:lang w:eastAsia="en-NZ"/>
        </w:rPr>
        <w:t>in</w:t>
      </w:r>
      <w:r w:rsidR="003D640C">
        <w:rPr>
          <w:lang w:eastAsia="en-NZ"/>
        </w:rPr>
        <w:t xml:space="preserve"> </w:t>
      </w:r>
      <w:r w:rsidR="006A583E" w:rsidRPr="00BB6220">
        <w:rPr>
          <w:lang w:eastAsia="en-NZ"/>
        </w:rPr>
        <w:t>understanding</w:t>
      </w:r>
      <w:r w:rsidR="003D640C">
        <w:rPr>
          <w:lang w:eastAsia="en-NZ"/>
        </w:rPr>
        <w:t xml:space="preserve"> </w:t>
      </w:r>
      <w:r w:rsidR="006A583E" w:rsidRPr="00BB6220">
        <w:rPr>
          <w:lang w:eastAsia="en-NZ"/>
        </w:rPr>
        <w:t>how</w:t>
      </w:r>
      <w:r w:rsidR="003D640C">
        <w:rPr>
          <w:lang w:eastAsia="en-NZ"/>
        </w:rPr>
        <w:t xml:space="preserve"> </w:t>
      </w:r>
      <w:r w:rsidR="006A583E" w:rsidRPr="00BB6220">
        <w:rPr>
          <w:lang w:eastAsia="en-NZ"/>
        </w:rPr>
        <w:t>to</w:t>
      </w:r>
      <w:r w:rsidR="003D640C">
        <w:rPr>
          <w:lang w:eastAsia="en-NZ"/>
        </w:rPr>
        <w:t xml:space="preserve"> </w:t>
      </w:r>
      <w:r w:rsidR="006A583E" w:rsidRPr="00BB6220">
        <w:rPr>
          <w:lang w:eastAsia="en-NZ"/>
        </w:rPr>
        <w:t>stop</w:t>
      </w:r>
      <w:r w:rsidR="003D640C">
        <w:rPr>
          <w:lang w:eastAsia="en-NZ"/>
        </w:rPr>
        <w:t xml:space="preserve"> </w:t>
      </w:r>
      <w:r w:rsidR="006A583E" w:rsidRPr="00BB6220">
        <w:rPr>
          <w:lang w:eastAsia="en-NZ"/>
        </w:rPr>
        <w:t>conversion</w:t>
      </w:r>
      <w:r w:rsidR="003D640C">
        <w:rPr>
          <w:lang w:eastAsia="en-NZ"/>
        </w:rPr>
        <w:t xml:space="preserve"> </w:t>
      </w:r>
      <w:r w:rsidR="006A583E" w:rsidRPr="00BB6220">
        <w:rPr>
          <w:lang w:eastAsia="en-NZ"/>
        </w:rPr>
        <w:t>practices.</w:t>
      </w:r>
      <w:r w:rsidR="003D640C">
        <w:rPr>
          <w:lang w:eastAsia="en-NZ"/>
        </w:rPr>
        <w:t xml:space="preserve"> </w:t>
      </w:r>
    </w:p>
    <w:p w14:paraId="17AD2EA4" w14:textId="3C2C88F5" w:rsidR="00501068" w:rsidRDefault="0028685B" w:rsidP="002C6363">
      <w:pPr>
        <w:rPr>
          <w:rFonts w:ascii="Segoe UI" w:hAnsi="Segoe UI" w:cs="Segoe UI"/>
          <w:sz w:val="20"/>
          <w:szCs w:val="20"/>
          <w:lang w:eastAsia="en-NZ"/>
        </w:rPr>
      </w:pPr>
      <w:r w:rsidRPr="00BB6220">
        <w:rPr>
          <w:lang w:eastAsia="en-NZ"/>
        </w:rPr>
        <w:t>From</w:t>
      </w:r>
      <w:r w:rsidR="003D640C">
        <w:rPr>
          <w:lang w:eastAsia="en-NZ"/>
        </w:rPr>
        <w:t xml:space="preserve"> </w:t>
      </w:r>
      <w:r w:rsidRPr="00BB6220">
        <w:rPr>
          <w:lang w:eastAsia="en-NZ"/>
        </w:rPr>
        <w:t>the</w:t>
      </w:r>
      <w:r w:rsidR="003D640C">
        <w:rPr>
          <w:lang w:eastAsia="en-NZ"/>
        </w:rPr>
        <w:t xml:space="preserve"> </w:t>
      </w:r>
      <w:r w:rsidR="00C7489F">
        <w:rPr>
          <w:lang w:eastAsia="en-NZ"/>
        </w:rPr>
        <w:t>19th</w:t>
      </w:r>
      <w:r w:rsidR="003D640C">
        <w:rPr>
          <w:lang w:eastAsia="en-NZ"/>
        </w:rPr>
        <w:t xml:space="preserve"> </w:t>
      </w:r>
      <w:r w:rsidRPr="00BB6220">
        <w:rPr>
          <w:lang w:eastAsia="en-NZ"/>
        </w:rPr>
        <w:t>century</w:t>
      </w:r>
      <w:r w:rsidR="003D640C">
        <w:rPr>
          <w:lang w:eastAsia="en-NZ"/>
        </w:rPr>
        <w:t xml:space="preserve"> </w:t>
      </w:r>
      <w:r w:rsidRPr="00BB6220">
        <w:rPr>
          <w:lang w:eastAsia="en-NZ"/>
        </w:rPr>
        <w:t>when</w:t>
      </w:r>
      <w:r w:rsidR="003D640C">
        <w:rPr>
          <w:lang w:eastAsia="en-NZ"/>
        </w:rPr>
        <w:t xml:space="preserve"> </w:t>
      </w:r>
      <w:r w:rsidRPr="00BB6220">
        <w:rPr>
          <w:lang w:eastAsia="en-NZ"/>
        </w:rPr>
        <w:t>Aotearoa</w:t>
      </w:r>
      <w:r w:rsidR="003D640C">
        <w:rPr>
          <w:lang w:eastAsia="en-NZ"/>
        </w:rPr>
        <w:t xml:space="preserve"> </w:t>
      </w:r>
      <w:r w:rsidRPr="00BB6220">
        <w:rPr>
          <w:lang w:eastAsia="en-NZ"/>
        </w:rPr>
        <w:t>New</w:t>
      </w:r>
      <w:r w:rsidR="003D640C">
        <w:rPr>
          <w:lang w:eastAsia="en-NZ"/>
        </w:rPr>
        <w:t xml:space="preserve"> </w:t>
      </w:r>
      <w:r w:rsidRPr="00BB6220">
        <w:rPr>
          <w:lang w:eastAsia="en-NZ"/>
        </w:rPr>
        <w:t>Zealand</w:t>
      </w:r>
      <w:r w:rsidR="003D640C">
        <w:rPr>
          <w:lang w:eastAsia="en-NZ"/>
        </w:rPr>
        <w:t xml:space="preserve"> </w:t>
      </w:r>
      <w:r w:rsidRPr="00BB6220">
        <w:rPr>
          <w:lang w:eastAsia="en-NZ"/>
        </w:rPr>
        <w:t>was</w:t>
      </w:r>
      <w:r w:rsidR="003D640C">
        <w:rPr>
          <w:lang w:eastAsia="en-NZ"/>
        </w:rPr>
        <w:t xml:space="preserve"> </w:t>
      </w:r>
      <w:r w:rsidRPr="00BB6220">
        <w:rPr>
          <w:lang w:eastAsia="en-NZ"/>
        </w:rPr>
        <w:t>colonised,</w:t>
      </w:r>
      <w:r w:rsidR="003D640C">
        <w:rPr>
          <w:lang w:eastAsia="en-NZ"/>
        </w:rPr>
        <w:t xml:space="preserve"> </w:t>
      </w:r>
      <w:r w:rsidRPr="00BB6220">
        <w:rPr>
          <w:lang w:eastAsia="en-NZ"/>
        </w:rPr>
        <w:t>ideologies</w:t>
      </w:r>
      <w:r w:rsidR="003D640C">
        <w:rPr>
          <w:lang w:eastAsia="en-NZ"/>
        </w:rPr>
        <w:t xml:space="preserve"> </w:t>
      </w:r>
      <w:r w:rsidRPr="00BB6220">
        <w:rPr>
          <w:lang w:eastAsia="en-NZ"/>
        </w:rPr>
        <w:t>that</w:t>
      </w:r>
      <w:r w:rsidR="003D640C">
        <w:rPr>
          <w:lang w:eastAsia="en-NZ"/>
        </w:rPr>
        <w:t xml:space="preserve"> </w:t>
      </w:r>
      <w:r w:rsidRPr="00BB6220">
        <w:rPr>
          <w:lang w:eastAsia="en-NZ"/>
        </w:rPr>
        <w:t>would</w:t>
      </w:r>
      <w:r w:rsidR="003D640C">
        <w:rPr>
          <w:lang w:eastAsia="en-NZ"/>
        </w:rPr>
        <w:t xml:space="preserve"> </w:t>
      </w:r>
      <w:r w:rsidRPr="00BB6220">
        <w:rPr>
          <w:lang w:eastAsia="en-NZ"/>
        </w:rPr>
        <w:t>now</w:t>
      </w:r>
      <w:r w:rsidR="003D640C">
        <w:rPr>
          <w:lang w:eastAsia="en-NZ"/>
        </w:rPr>
        <w:t xml:space="preserve"> </w:t>
      </w:r>
      <w:r w:rsidRPr="00BB6220">
        <w:rPr>
          <w:lang w:eastAsia="en-NZ"/>
        </w:rPr>
        <w:t>be</w:t>
      </w:r>
      <w:r w:rsidR="003D640C">
        <w:rPr>
          <w:lang w:eastAsia="en-NZ"/>
        </w:rPr>
        <w:t xml:space="preserve"> </w:t>
      </w:r>
      <w:r w:rsidRPr="00BB6220">
        <w:rPr>
          <w:lang w:eastAsia="en-NZ"/>
        </w:rPr>
        <w:t>recognised</w:t>
      </w:r>
      <w:r w:rsidR="003D640C">
        <w:rPr>
          <w:lang w:eastAsia="en-NZ"/>
        </w:rPr>
        <w:t xml:space="preserve"> </w:t>
      </w:r>
      <w:r w:rsidRPr="00BB6220">
        <w:rPr>
          <w:lang w:eastAsia="en-NZ"/>
        </w:rPr>
        <w:t>as</w:t>
      </w:r>
      <w:r w:rsidR="003D640C">
        <w:rPr>
          <w:lang w:eastAsia="en-NZ"/>
        </w:rPr>
        <w:t xml:space="preserve"> </w:t>
      </w:r>
      <w:r w:rsidRPr="00BB6220">
        <w:rPr>
          <w:lang w:eastAsia="en-NZ"/>
        </w:rPr>
        <w:t>homophobic,</w:t>
      </w:r>
      <w:r w:rsidR="003D640C">
        <w:rPr>
          <w:lang w:eastAsia="en-NZ"/>
        </w:rPr>
        <w:t xml:space="preserve"> </w:t>
      </w:r>
      <w:r w:rsidRPr="00BB6220">
        <w:rPr>
          <w:lang w:eastAsia="en-NZ"/>
        </w:rPr>
        <w:t>biphobic</w:t>
      </w:r>
      <w:r w:rsidR="00B11068">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transphobic</w:t>
      </w:r>
      <w:r w:rsidR="003D640C">
        <w:rPr>
          <w:lang w:eastAsia="en-NZ"/>
        </w:rPr>
        <w:t xml:space="preserve"> </w:t>
      </w:r>
      <w:r w:rsidRPr="00BB6220">
        <w:rPr>
          <w:lang w:eastAsia="en-NZ"/>
        </w:rPr>
        <w:t>were</w:t>
      </w:r>
      <w:r w:rsidR="003D640C">
        <w:rPr>
          <w:lang w:eastAsia="en-NZ"/>
        </w:rPr>
        <w:t xml:space="preserve"> </w:t>
      </w:r>
      <w:r w:rsidRPr="00BB6220">
        <w:rPr>
          <w:lang w:eastAsia="en-NZ"/>
        </w:rPr>
        <w:t>imported.</w:t>
      </w:r>
      <w:r w:rsidR="003D640C">
        <w:rPr>
          <w:lang w:eastAsia="en-NZ"/>
        </w:rPr>
        <w:t xml:space="preserve"> </w:t>
      </w:r>
      <w:r w:rsidRPr="00BB6220">
        <w:rPr>
          <w:lang w:eastAsia="en-NZ"/>
        </w:rPr>
        <w:t>Early</w:t>
      </w:r>
      <w:r w:rsidR="003D640C">
        <w:rPr>
          <w:lang w:eastAsia="en-NZ"/>
        </w:rPr>
        <w:t xml:space="preserve"> </w:t>
      </w:r>
      <w:r w:rsidRPr="00BB6220">
        <w:rPr>
          <w:lang w:eastAsia="en-NZ"/>
        </w:rPr>
        <w:t>missionaries</w:t>
      </w:r>
      <w:r w:rsidR="003D640C">
        <w:rPr>
          <w:lang w:eastAsia="en-NZ"/>
        </w:rPr>
        <w:t xml:space="preserve"> </w:t>
      </w:r>
      <w:r w:rsidRPr="00BB6220">
        <w:rPr>
          <w:lang w:eastAsia="en-NZ"/>
        </w:rPr>
        <w:t>were</w:t>
      </w:r>
      <w:r w:rsidR="003D640C">
        <w:rPr>
          <w:lang w:eastAsia="en-NZ"/>
        </w:rPr>
        <w:t xml:space="preserve"> </w:t>
      </w:r>
      <w:r w:rsidRPr="00BB6220">
        <w:rPr>
          <w:lang w:eastAsia="en-NZ"/>
        </w:rPr>
        <w:lastRenderedPageBreak/>
        <w:t>influential</w:t>
      </w:r>
      <w:r w:rsidR="003D640C">
        <w:rPr>
          <w:lang w:eastAsia="en-NZ"/>
        </w:rPr>
        <w:t xml:space="preserve"> </w:t>
      </w:r>
      <w:r w:rsidRPr="00BB6220">
        <w:rPr>
          <w:lang w:eastAsia="en-NZ"/>
        </w:rPr>
        <w:t>in</w:t>
      </w:r>
      <w:r w:rsidR="003D640C">
        <w:rPr>
          <w:lang w:eastAsia="en-NZ"/>
        </w:rPr>
        <w:t xml:space="preserve"> </w:t>
      </w:r>
      <w:r w:rsidRPr="00BB6220">
        <w:rPr>
          <w:lang w:eastAsia="en-NZ"/>
        </w:rPr>
        <w:t>teaching</w:t>
      </w:r>
      <w:r w:rsidR="003D640C">
        <w:rPr>
          <w:lang w:eastAsia="en-NZ"/>
        </w:rPr>
        <w:t xml:space="preserve"> </w:t>
      </w:r>
      <w:r w:rsidRPr="00BB6220">
        <w:rPr>
          <w:lang w:eastAsia="en-NZ"/>
        </w:rPr>
        <w:t>Māori</w:t>
      </w:r>
      <w:r w:rsidR="003D640C">
        <w:rPr>
          <w:lang w:eastAsia="en-NZ"/>
        </w:rPr>
        <w:t xml:space="preserve"> </w:t>
      </w:r>
      <w:r w:rsidRPr="00BB6220">
        <w:rPr>
          <w:lang w:eastAsia="en-NZ"/>
        </w:rPr>
        <w:t>these</w:t>
      </w:r>
      <w:r w:rsidR="003D640C">
        <w:rPr>
          <w:lang w:eastAsia="en-NZ"/>
        </w:rPr>
        <w:t xml:space="preserve"> </w:t>
      </w:r>
      <w:r w:rsidRPr="00BB6220">
        <w:rPr>
          <w:lang w:eastAsia="en-NZ"/>
        </w:rPr>
        <w:t>concepts,</w:t>
      </w:r>
      <w:r w:rsidR="003D640C">
        <w:rPr>
          <w:lang w:eastAsia="en-NZ"/>
        </w:rPr>
        <w:t xml:space="preserve"> </w:t>
      </w:r>
      <w:r w:rsidRPr="00BB6220">
        <w:rPr>
          <w:lang w:eastAsia="en-NZ"/>
        </w:rPr>
        <w:t>which</w:t>
      </w:r>
      <w:r w:rsidR="003D640C">
        <w:rPr>
          <w:lang w:eastAsia="en-NZ"/>
        </w:rPr>
        <w:t xml:space="preserve"> </w:t>
      </w:r>
      <w:r w:rsidRPr="00BB6220">
        <w:rPr>
          <w:lang w:eastAsia="en-NZ"/>
        </w:rPr>
        <w:t>were</w:t>
      </w:r>
      <w:r w:rsidR="003D640C">
        <w:rPr>
          <w:lang w:eastAsia="en-NZ"/>
        </w:rPr>
        <w:t xml:space="preserve"> </w:t>
      </w:r>
      <w:r w:rsidRPr="00BB6220">
        <w:rPr>
          <w:lang w:eastAsia="en-NZ"/>
        </w:rPr>
        <w:t>based</w:t>
      </w:r>
      <w:r w:rsidR="003D640C">
        <w:rPr>
          <w:lang w:eastAsia="en-NZ"/>
        </w:rPr>
        <w:t xml:space="preserve"> </w:t>
      </w:r>
      <w:r w:rsidRPr="00BB6220">
        <w:rPr>
          <w:lang w:eastAsia="en-NZ"/>
        </w:rPr>
        <w:t>in</w:t>
      </w:r>
      <w:r w:rsidR="003D640C">
        <w:rPr>
          <w:lang w:eastAsia="en-NZ"/>
        </w:rPr>
        <w:t xml:space="preserve"> </w:t>
      </w:r>
      <w:r w:rsidRPr="00BB6220">
        <w:rPr>
          <w:lang w:eastAsia="en-NZ"/>
        </w:rPr>
        <w:t>their</w:t>
      </w:r>
      <w:r w:rsidR="003D640C">
        <w:rPr>
          <w:lang w:eastAsia="en-NZ"/>
        </w:rPr>
        <w:t xml:space="preserve"> </w:t>
      </w:r>
      <w:r w:rsidRPr="00BB6220">
        <w:rPr>
          <w:lang w:eastAsia="en-NZ"/>
        </w:rPr>
        <w:t>understandings</w:t>
      </w:r>
      <w:r w:rsidR="003D640C">
        <w:rPr>
          <w:lang w:eastAsia="en-NZ"/>
        </w:rPr>
        <w:t xml:space="preserve"> </w:t>
      </w:r>
      <w:r w:rsidRPr="00BB6220">
        <w:rPr>
          <w:lang w:eastAsia="en-NZ"/>
        </w:rPr>
        <w:t>of</w:t>
      </w:r>
      <w:r w:rsidR="003D640C">
        <w:rPr>
          <w:lang w:eastAsia="en-NZ"/>
        </w:rPr>
        <w:t xml:space="preserve"> </w:t>
      </w:r>
      <w:r w:rsidRPr="00BB6220">
        <w:rPr>
          <w:lang w:eastAsia="en-NZ"/>
        </w:rPr>
        <w:t>Christian</w:t>
      </w:r>
      <w:r w:rsidR="003D640C">
        <w:rPr>
          <w:lang w:eastAsia="en-NZ"/>
        </w:rPr>
        <w:t xml:space="preserve"> </w:t>
      </w:r>
      <w:r w:rsidRPr="00BB6220">
        <w:rPr>
          <w:lang w:eastAsia="en-NZ"/>
        </w:rPr>
        <w:t>teachings.</w:t>
      </w:r>
      <w:r w:rsidR="003D640C">
        <w:rPr>
          <w:lang w:eastAsia="en-NZ"/>
        </w:rPr>
        <w:t xml:space="preserve"> </w:t>
      </w:r>
      <w:r w:rsidRPr="00BB6220">
        <w:rPr>
          <w:lang w:eastAsia="en-NZ"/>
        </w:rPr>
        <w:t>Imposing</w:t>
      </w:r>
      <w:r w:rsidR="003D640C">
        <w:rPr>
          <w:lang w:eastAsia="en-NZ"/>
        </w:rPr>
        <w:t xml:space="preserve"> </w:t>
      </w:r>
      <w:r w:rsidRPr="00BB6220">
        <w:rPr>
          <w:lang w:eastAsia="en-NZ"/>
        </w:rPr>
        <w:t>a</w:t>
      </w:r>
      <w:r w:rsidR="003D640C">
        <w:rPr>
          <w:lang w:eastAsia="en-NZ"/>
        </w:rPr>
        <w:t xml:space="preserve"> </w:t>
      </w:r>
      <w:r w:rsidRPr="00BB6220">
        <w:rPr>
          <w:lang w:eastAsia="en-NZ"/>
        </w:rPr>
        <w:t>European</w:t>
      </w:r>
      <w:r w:rsidR="003D640C">
        <w:rPr>
          <w:lang w:eastAsia="en-NZ"/>
        </w:rPr>
        <w:t xml:space="preserve"> </w:t>
      </w:r>
      <w:r w:rsidRPr="00BB6220">
        <w:rPr>
          <w:lang w:eastAsia="en-NZ"/>
        </w:rPr>
        <w:t>world</w:t>
      </w:r>
      <w:r w:rsidR="00B11068">
        <w:rPr>
          <w:lang w:eastAsia="en-NZ"/>
        </w:rPr>
        <w:t xml:space="preserve"> </w:t>
      </w:r>
      <w:r w:rsidRPr="00BB6220">
        <w:rPr>
          <w:lang w:eastAsia="en-NZ"/>
        </w:rPr>
        <w:t>view</w:t>
      </w:r>
      <w:r w:rsidR="003D640C">
        <w:rPr>
          <w:lang w:eastAsia="en-NZ"/>
        </w:rPr>
        <w:t xml:space="preserve"> </w:t>
      </w:r>
      <w:r w:rsidRPr="00BB6220">
        <w:rPr>
          <w:lang w:eastAsia="en-NZ"/>
        </w:rPr>
        <w:t>and</w:t>
      </w:r>
      <w:r w:rsidR="003D640C">
        <w:rPr>
          <w:lang w:eastAsia="en-NZ"/>
        </w:rPr>
        <w:t xml:space="preserve"> </w:t>
      </w:r>
      <w:r w:rsidRPr="00BB6220">
        <w:rPr>
          <w:lang w:eastAsia="en-NZ"/>
        </w:rPr>
        <w:t>undermining</w:t>
      </w:r>
      <w:r w:rsidR="003D640C">
        <w:rPr>
          <w:lang w:eastAsia="en-NZ"/>
        </w:rPr>
        <w:t xml:space="preserve"> </w:t>
      </w:r>
      <w:r w:rsidRPr="00BB6220">
        <w:rPr>
          <w:lang w:eastAsia="en-NZ"/>
        </w:rPr>
        <w:t>traditional</w:t>
      </w:r>
      <w:r w:rsidR="003D640C">
        <w:rPr>
          <w:lang w:eastAsia="en-NZ"/>
        </w:rPr>
        <w:t xml:space="preserve"> </w:t>
      </w:r>
      <w:r w:rsidRPr="00BB6220">
        <w:rPr>
          <w:lang w:eastAsia="en-NZ"/>
        </w:rPr>
        <w:t>Māori</w:t>
      </w:r>
      <w:r w:rsidR="003D640C">
        <w:rPr>
          <w:lang w:eastAsia="en-NZ"/>
        </w:rPr>
        <w:t xml:space="preserve"> </w:t>
      </w:r>
      <w:r w:rsidRPr="00BB6220">
        <w:rPr>
          <w:lang w:eastAsia="en-NZ"/>
        </w:rPr>
        <w:t>concepts,</w:t>
      </w:r>
      <w:r w:rsidR="003D640C">
        <w:rPr>
          <w:lang w:eastAsia="en-NZ"/>
        </w:rPr>
        <w:t xml:space="preserve"> </w:t>
      </w:r>
      <w:r w:rsidRPr="00BB6220">
        <w:rPr>
          <w:lang w:eastAsia="en-NZ"/>
        </w:rPr>
        <w:t>including</w:t>
      </w:r>
      <w:r w:rsidR="003D640C">
        <w:rPr>
          <w:lang w:eastAsia="en-NZ"/>
        </w:rPr>
        <w:t xml:space="preserve"> </w:t>
      </w:r>
      <w:r w:rsidRPr="00BB6220">
        <w:rPr>
          <w:lang w:eastAsia="en-NZ"/>
        </w:rPr>
        <w:t>those</w:t>
      </w:r>
      <w:r w:rsidR="003D640C">
        <w:rPr>
          <w:lang w:eastAsia="en-NZ"/>
        </w:rPr>
        <w:t xml:space="preserve"> </w:t>
      </w:r>
      <w:r w:rsidRPr="00BB6220">
        <w:rPr>
          <w:lang w:eastAsia="en-NZ"/>
        </w:rPr>
        <w:t>concerning</w:t>
      </w:r>
      <w:r w:rsidR="003D640C">
        <w:rPr>
          <w:lang w:eastAsia="en-NZ"/>
        </w:rPr>
        <w:t xml:space="preserve"> </w:t>
      </w:r>
      <w:r w:rsidRPr="00BB6220">
        <w:rPr>
          <w:lang w:eastAsia="en-NZ"/>
        </w:rPr>
        <w:t>gender</w:t>
      </w:r>
      <w:r w:rsidR="003D640C">
        <w:rPr>
          <w:lang w:eastAsia="en-NZ"/>
        </w:rPr>
        <w:t xml:space="preserve"> </w:t>
      </w:r>
      <w:r w:rsidRPr="00BB6220">
        <w:rPr>
          <w:lang w:eastAsia="en-NZ"/>
        </w:rPr>
        <w:t>and</w:t>
      </w:r>
      <w:r w:rsidR="003D640C">
        <w:rPr>
          <w:lang w:eastAsia="en-NZ"/>
        </w:rPr>
        <w:t xml:space="preserve"> </w:t>
      </w:r>
      <w:r w:rsidRPr="00BB6220">
        <w:rPr>
          <w:lang w:eastAsia="en-NZ"/>
        </w:rPr>
        <w:t>sexuality,</w:t>
      </w:r>
      <w:r w:rsidR="003D640C">
        <w:rPr>
          <w:lang w:eastAsia="en-NZ"/>
        </w:rPr>
        <w:t xml:space="preserve"> </w:t>
      </w:r>
      <w:r w:rsidRPr="00BB6220">
        <w:rPr>
          <w:lang w:eastAsia="en-NZ"/>
        </w:rPr>
        <w:t>was</w:t>
      </w:r>
      <w:r w:rsidR="003D640C">
        <w:rPr>
          <w:lang w:eastAsia="en-NZ"/>
        </w:rPr>
        <w:t xml:space="preserve"> </w:t>
      </w:r>
      <w:r w:rsidRPr="00BB6220">
        <w:rPr>
          <w:lang w:eastAsia="en-NZ"/>
        </w:rPr>
        <w:t>a</w:t>
      </w:r>
      <w:r w:rsidR="003D640C">
        <w:rPr>
          <w:lang w:eastAsia="en-NZ"/>
        </w:rPr>
        <w:t xml:space="preserve"> </w:t>
      </w:r>
      <w:r w:rsidRPr="00BB6220">
        <w:rPr>
          <w:lang w:eastAsia="en-NZ"/>
        </w:rPr>
        <w:t>consequence</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Crown’s</w:t>
      </w:r>
      <w:r w:rsidR="003D640C">
        <w:rPr>
          <w:lang w:eastAsia="en-NZ"/>
        </w:rPr>
        <w:t xml:space="preserve"> </w:t>
      </w:r>
      <w:r w:rsidRPr="00BB6220">
        <w:rPr>
          <w:lang w:eastAsia="en-NZ"/>
        </w:rPr>
        <w:t>assumption</w:t>
      </w:r>
      <w:r w:rsidR="003D640C">
        <w:rPr>
          <w:lang w:eastAsia="en-NZ"/>
        </w:rPr>
        <w:t xml:space="preserve"> </w:t>
      </w:r>
      <w:r w:rsidRPr="00BB6220">
        <w:rPr>
          <w:lang w:eastAsia="en-NZ"/>
        </w:rPr>
        <w:t>of</w:t>
      </w:r>
      <w:r w:rsidR="003D640C">
        <w:rPr>
          <w:lang w:eastAsia="en-NZ"/>
        </w:rPr>
        <w:t xml:space="preserve"> </w:t>
      </w:r>
      <w:r w:rsidRPr="00BB6220">
        <w:rPr>
          <w:lang w:eastAsia="en-NZ"/>
        </w:rPr>
        <w:t>sovereignty</w:t>
      </w:r>
      <w:r w:rsidR="00A83BE9" w:rsidRPr="00BB6220">
        <w:rPr>
          <w:lang w:eastAsia="en-NZ"/>
        </w:rPr>
        <w:t>.</w:t>
      </w:r>
      <w:r w:rsidR="003D640C">
        <w:rPr>
          <w:lang w:eastAsia="en-NZ"/>
        </w:rPr>
        <w:t xml:space="preserve"> </w:t>
      </w:r>
      <w:r w:rsidR="00B7227E">
        <w:rPr>
          <w:lang w:eastAsia="en-NZ"/>
        </w:rPr>
        <w:t>Through</w:t>
      </w:r>
      <w:r w:rsidR="003D640C">
        <w:rPr>
          <w:lang w:eastAsia="en-NZ"/>
        </w:rPr>
        <w:t xml:space="preserve"> </w:t>
      </w:r>
      <w:r w:rsidR="00B7227E">
        <w:rPr>
          <w:lang w:eastAsia="en-NZ"/>
        </w:rPr>
        <w:t>the</w:t>
      </w:r>
      <w:r w:rsidR="003D640C">
        <w:rPr>
          <w:lang w:eastAsia="en-NZ"/>
        </w:rPr>
        <w:t xml:space="preserve"> </w:t>
      </w:r>
      <w:r w:rsidR="00B7227E">
        <w:rPr>
          <w:lang w:eastAsia="en-NZ"/>
        </w:rPr>
        <w:t>English</w:t>
      </w:r>
      <w:r w:rsidR="003D640C">
        <w:rPr>
          <w:lang w:eastAsia="en-NZ"/>
        </w:rPr>
        <w:t xml:space="preserve"> </w:t>
      </w:r>
      <w:r w:rsidR="00B7227E">
        <w:rPr>
          <w:lang w:eastAsia="en-NZ"/>
        </w:rPr>
        <w:t>Laws</w:t>
      </w:r>
      <w:r w:rsidR="003D640C">
        <w:rPr>
          <w:lang w:eastAsia="en-NZ"/>
        </w:rPr>
        <w:t xml:space="preserve"> </w:t>
      </w:r>
      <w:r w:rsidR="00B7227E">
        <w:rPr>
          <w:lang w:eastAsia="en-NZ"/>
        </w:rPr>
        <w:t>Act</w:t>
      </w:r>
      <w:r w:rsidR="003D640C">
        <w:rPr>
          <w:lang w:eastAsia="en-NZ"/>
        </w:rPr>
        <w:t xml:space="preserve"> </w:t>
      </w:r>
      <w:r w:rsidR="00B60011">
        <w:rPr>
          <w:lang w:eastAsia="en-NZ"/>
        </w:rPr>
        <w:t>1</w:t>
      </w:r>
      <w:r w:rsidR="00B7227E">
        <w:rPr>
          <w:lang w:eastAsia="en-NZ"/>
        </w:rPr>
        <w:t>858,</w:t>
      </w:r>
      <w:r w:rsidR="003D640C">
        <w:rPr>
          <w:lang w:eastAsia="en-NZ"/>
        </w:rPr>
        <w:t xml:space="preserve"> </w:t>
      </w:r>
      <w:r w:rsidR="00B7227E">
        <w:rPr>
          <w:lang w:eastAsia="en-NZ"/>
        </w:rPr>
        <w:t>New</w:t>
      </w:r>
      <w:r w:rsidR="003D640C">
        <w:rPr>
          <w:lang w:eastAsia="en-NZ"/>
        </w:rPr>
        <w:t xml:space="preserve"> </w:t>
      </w:r>
      <w:r w:rsidR="00B7227E">
        <w:rPr>
          <w:lang w:eastAsia="en-NZ"/>
        </w:rPr>
        <w:t>Zealand</w:t>
      </w:r>
      <w:r w:rsidR="003D640C">
        <w:rPr>
          <w:lang w:eastAsia="en-NZ"/>
        </w:rPr>
        <w:t xml:space="preserve"> </w:t>
      </w:r>
      <w:r w:rsidR="00B7227E">
        <w:rPr>
          <w:lang w:eastAsia="en-NZ"/>
        </w:rPr>
        <w:t>inherited</w:t>
      </w:r>
      <w:r w:rsidR="003D640C">
        <w:rPr>
          <w:lang w:eastAsia="en-NZ"/>
        </w:rPr>
        <w:t xml:space="preserve"> </w:t>
      </w:r>
      <w:r w:rsidR="00B60011">
        <w:rPr>
          <w:lang w:eastAsia="en-NZ"/>
        </w:rPr>
        <w:t>all</w:t>
      </w:r>
      <w:r w:rsidR="003D640C">
        <w:rPr>
          <w:lang w:eastAsia="en-NZ"/>
        </w:rPr>
        <w:t xml:space="preserve"> </w:t>
      </w:r>
      <w:r w:rsidR="00B60011">
        <w:rPr>
          <w:lang w:eastAsia="en-NZ"/>
        </w:rPr>
        <w:t>English</w:t>
      </w:r>
      <w:r w:rsidR="003D640C">
        <w:rPr>
          <w:lang w:eastAsia="en-NZ"/>
        </w:rPr>
        <w:t xml:space="preserve"> </w:t>
      </w:r>
      <w:r w:rsidR="00B60011">
        <w:rPr>
          <w:lang w:eastAsia="en-NZ"/>
        </w:rPr>
        <w:t>law</w:t>
      </w:r>
      <w:r w:rsidR="002B7370">
        <w:rPr>
          <w:lang w:eastAsia="en-NZ"/>
        </w:rPr>
        <w:t>s</w:t>
      </w:r>
      <w:r w:rsidR="003D640C">
        <w:rPr>
          <w:lang w:eastAsia="en-NZ"/>
        </w:rPr>
        <w:t xml:space="preserve"> </w:t>
      </w:r>
      <w:r w:rsidR="00B60011">
        <w:rPr>
          <w:lang w:eastAsia="en-NZ"/>
        </w:rPr>
        <w:t>as</w:t>
      </w:r>
      <w:r w:rsidR="003D640C">
        <w:rPr>
          <w:lang w:eastAsia="en-NZ"/>
        </w:rPr>
        <w:t xml:space="preserve"> </w:t>
      </w:r>
      <w:r w:rsidR="00B60011">
        <w:rPr>
          <w:lang w:eastAsia="en-NZ"/>
        </w:rPr>
        <w:t>of</w:t>
      </w:r>
      <w:r w:rsidR="003D640C">
        <w:rPr>
          <w:lang w:eastAsia="en-NZ"/>
        </w:rPr>
        <w:t xml:space="preserve"> </w:t>
      </w:r>
      <w:r w:rsidR="00B60011">
        <w:rPr>
          <w:lang w:eastAsia="en-NZ"/>
        </w:rPr>
        <w:t>14</w:t>
      </w:r>
      <w:r w:rsidR="003D640C">
        <w:rPr>
          <w:lang w:eastAsia="en-NZ"/>
        </w:rPr>
        <w:t xml:space="preserve"> </w:t>
      </w:r>
      <w:r w:rsidR="00B60011">
        <w:rPr>
          <w:lang w:eastAsia="en-NZ"/>
        </w:rPr>
        <w:t>January</w:t>
      </w:r>
      <w:r w:rsidR="003D640C">
        <w:rPr>
          <w:lang w:eastAsia="en-NZ"/>
        </w:rPr>
        <w:t xml:space="preserve"> </w:t>
      </w:r>
      <w:r w:rsidR="00B60011">
        <w:rPr>
          <w:lang w:eastAsia="en-NZ"/>
        </w:rPr>
        <w:t>1840.</w:t>
      </w:r>
      <w:r w:rsidR="003D640C">
        <w:rPr>
          <w:lang w:eastAsia="en-NZ"/>
        </w:rPr>
        <w:t xml:space="preserve"> </w:t>
      </w:r>
      <w:r w:rsidR="00B60011">
        <w:rPr>
          <w:lang w:eastAsia="en-NZ"/>
        </w:rPr>
        <w:t>This</w:t>
      </w:r>
      <w:r w:rsidR="003D640C">
        <w:rPr>
          <w:lang w:eastAsia="en-NZ"/>
        </w:rPr>
        <w:t xml:space="preserve"> </w:t>
      </w:r>
      <w:r w:rsidR="00B60011">
        <w:rPr>
          <w:lang w:eastAsia="en-NZ"/>
        </w:rPr>
        <w:t>included</w:t>
      </w:r>
      <w:r w:rsidR="003D640C">
        <w:rPr>
          <w:lang w:eastAsia="en-NZ"/>
        </w:rPr>
        <w:t xml:space="preserve"> </w:t>
      </w:r>
      <w:r w:rsidR="00B60011">
        <w:rPr>
          <w:lang w:eastAsia="en-NZ"/>
        </w:rPr>
        <w:t>the</w:t>
      </w:r>
      <w:r w:rsidR="003D640C">
        <w:rPr>
          <w:lang w:eastAsia="en-NZ"/>
        </w:rPr>
        <w:t xml:space="preserve"> </w:t>
      </w:r>
      <w:r w:rsidR="00B60011">
        <w:rPr>
          <w:lang w:eastAsia="en-NZ"/>
        </w:rPr>
        <w:t>criminalisation</w:t>
      </w:r>
      <w:r w:rsidR="003D640C">
        <w:rPr>
          <w:lang w:eastAsia="en-NZ"/>
        </w:rPr>
        <w:t xml:space="preserve"> </w:t>
      </w:r>
      <w:r w:rsidR="00B60011">
        <w:rPr>
          <w:lang w:eastAsia="en-NZ"/>
        </w:rPr>
        <w:t>of</w:t>
      </w:r>
      <w:r w:rsidR="003D640C">
        <w:rPr>
          <w:lang w:eastAsia="en-NZ"/>
        </w:rPr>
        <w:t xml:space="preserve"> </w:t>
      </w:r>
      <w:r w:rsidR="00B60011">
        <w:rPr>
          <w:lang w:eastAsia="en-NZ"/>
        </w:rPr>
        <w:t>homosexuality</w:t>
      </w:r>
      <w:r w:rsidR="003D640C">
        <w:rPr>
          <w:lang w:eastAsia="en-NZ"/>
        </w:rPr>
        <w:t xml:space="preserve"> </w:t>
      </w:r>
      <w:r w:rsidR="00884260">
        <w:rPr>
          <w:lang w:eastAsia="en-NZ"/>
        </w:rPr>
        <w:t>in</w:t>
      </w:r>
      <w:r w:rsidR="003D640C">
        <w:rPr>
          <w:lang w:eastAsia="en-NZ"/>
        </w:rPr>
        <w:t xml:space="preserve"> </w:t>
      </w:r>
      <w:r w:rsidR="00884260">
        <w:rPr>
          <w:lang w:eastAsia="en-NZ"/>
        </w:rPr>
        <w:t>Aotearoa</w:t>
      </w:r>
      <w:r w:rsidR="00B60011">
        <w:rPr>
          <w:lang w:eastAsia="en-NZ"/>
        </w:rPr>
        <w:t>,</w:t>
      </w:r>
      <w:r w:rsidR="003D640C">
        <w:rPr>
          <w:lang w:eastAsia="en-NZ"/>
        </w:rPr>
        <w:t xml:space="preserve"> </w:t>
      </w:r>
      <w:r w:rsidR="00B60011">
        <w:rPr>
          <w:lang w:eastAsia="en-NZ"/>
        </w:rPr>
        <w:t>which</w:t>
      </w:r>
      <w:r w:rsidR="003D640C">
        <w:rPr>
          <w:lang w:eastAsia="en-NZ"/>
        </w:rPr>
        <w:t xml:space="preserve"> </w:t>
      </w:r>
      <w:r w:rsidR="00B60011">
        <w:rPr>
          <w:lang w:eastAsia="en-NZ"/>
        </w:rPr>
        <w:t>was</w:t>
      </w:r>
      <w:r w:rsidR="003D640C">
        <w:rPr>
          <w:lang w:eastAsia="en-NZ"/>
        </w:rPr>
        <w:t xml:space="preserve"> </w:t>
      </w:r>
      <w:r w:rsidR="00884260">
        <w:rPr>
          <w:lang w:eastAsia="en-NZ"/>
        </w:rPr>
        <w:t>illegal</w:t>
      </w:r>
      <w:r w:rsidR="003D640C">
        <w:rPr>
          <w:lang w:eastAsia="en-NZ"/>
        </w:rPr>
        <w:t xml:space="preserve"> </w:t>
      </w:r>
      <w:r w:rsidR="00B60011">
        <w:rPr>
          <w:lang w:eastAsia="en-NZ"/>
        </w:rPr>
        <w:t>under</w:t>
      </w:r>
      <w:r w:rsidR="003D640C">
        <w:rPr>
          <w:lang w:eastAsia="en-NZ"/>
        </w:rPr>
        <w:t xml:space="preserve"> </w:t>
      </w:r>
      <w:r w:rsidR="00B60011">
        <w:rPr>
          <w:lang w:eastAsia="en-NZ"/>
        </w:rPr>
        <w:t>British</w:t>
      </w:r>
      <w:r w:rsidR="003D640C">
        <w:rPr>
          <w:lang w:eastAsia="en-NZ"/>
        </w:rPr>
        <w:t xml:space="preserve"> </w:t>
      </w:r>
      <w:r w:rsidR="00B60011">
        <w:rPr>
          <w:lang w:eastAsia="en-NZ"/>
        </w:rPr>
        <w:t>law</w:t>
      </w:r>
      <w:r w:rsidR="003D640C">
        <w:rPr>
          <w:lang w:eastAsia="en-NZ"/>
        </w:rPr>
        <w:t xml:space="preserve"> </w:t>
      </w:r>
      <w:r w:rsidR="00B60011">
        <w:rPr>
          <w:lang w:eastAsia="en-NZ"/>
        </w:rPr>
        <w:t>at</w:t>
      </w:r>
      <w:r w:rsidR="003D640C">
        <w:rPr>
          <w:lang w:eastAsia="en-NZ"/>
        </w:rPr>
        <w:t xml:space="preserve"> </w:t>
      </w:r>
      <w:r w:rsidR="00B60011">
        <w:rPr>
          <w:lang w:eastAsia="en-NZ"/>
        </w:rPr>
        <w:t>the</w:t>
      </w:r>
      <w:r w:rsidR="003D640C">
        <w:rPr>
          <w:lang w:eastAsia="en-NZ"/>
        </w:rPr>
        <w:t xml:space="preserve"> </w:t>
      </w:r>
      <w:r w:rsidR="00B60011">
        <w:rPr>
          <w:lang w:eastAsia="en-NZ"/>
        </w:rPr>
        <w:t>time</w:t>
      </w:r>
      <w:r w:rsidR="00B11068">
        <w:rPr>
          <w:lang w:eastAsia="en-NZ"/>
        </w:rPr>
        <w:t>.</w:t>
      </w:r>
      <w:r w:rsidR="00716776" w:rsidRPr="00BB6220">
        <w:rPr>
          <w:rStyle w:val="FootnoteReference"/>
          <w:rFonts w:ascii="Calibri" w:eastAsia="Times New Roman" w:hAnsi="Calibri" w:cs="Calibri"/>
          <w:lang w:eastAsia="en-NZ"/>
        </w:rPr>
        <w:footnoteReference w:id="152"/>
      </w:r>
      <w:r w:rsidR="003D640C">
        <w:rPr>
          <w:lang w:eastAsia="en-NZ"/>
        </w:rPr>
        <w:t xml:space="preserve"> </w:t>
      </w:r>
      <w:r w:rsidR="00A83BE9" w:rsidRPr="00BB6220">
        <w:rPr>
          <w:lang w:eastAsia="en-NZ"/>
        </w:rPr>
        <w:t>It</w:t>
      </w:r>
      <w:r w:rsidR="003D640C">
        <w:rPr>
          <w:lang w:eastAsia="en-NZ"/>
        </w:rPr>
        <w:t xml:space="preserve"> </w:t>
      </w:r>
      <w:r w:rsidR="00A83BE9" w:rsidRPr="00BB6220">
        <w:rPr>
          <w:lang w:eastAsia="en-NZ"/>
        </w:rPr>
        <w:t>began</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systemic</w:t>
      </w:r>
      <w:r w:rsidR="003D640C">
        <w:rPr>
          <w:lang w:eastAsia="en-NZ"/>
        </w:rPr>
        <w:t xml:space="preserve"> </w:t>
      </w:r>
      <w:r w:rsidR="00A83BE9" w:rsidRPr="00BB6220">
        <w:rPr>
          <w:lang w:eastAsia="en-NZ"/>
        </w:rPr>
        <w:t>destruction</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Māori</w:t>
      </w:r>
      <w:r w:rsidR="003D640C">
        <w:rPr>
          <w:lang w:eastAsia="en-NZ"/>
        </w:rPr>
        <w:t xml:space="preserve"> </w:t>
      </w:r>
      <w:r w:rsidR="00A83BE9" w:rsidRPr="00BB6220">
        <w:rPr>
          <w:lang w:eastAsia="en-NZ"/>
        </w:rPr>
        <w:t>views</w:t>
      </w:r>
      <w:r w:rsidR="003D640C">
        <w:rPr>
          <w:lang w:eastAsia="en-NZ"/>
        </w:rPr>
        <w:t xml:space="preserve"> </w:t>
      </w:r>
      <w:r w:rsidR="00A83BE9" w:rsidRPr="00BB6220">
        <w:rPr>
          <w:lang w:eastAsia="en-NZ"/>
        </w:rPr>
        <w:t>on</w:t>
      </w:r>
      <w:r w:rsidR="003D640C">
        <w:rPr>
          <w:lang w:eastAsia="en-NZ"/>
        </w:rPr>
        <w:t xml:space="preserve"> </w:t>
      </w:r>
      <w:r w:rsidR="00A83BE9" w:rsidRPr="00BB6220">
        <w:rPr>
          <w:lang w:eastAsia="en-NZ"/>
        </w:rPr>
        <w:t>gender</w:t>
      </w:r>
      <w:r w:rsidR="003D640C">
        <w:rPr>
          <w:lang w:eastAsia="en-NZ"/>
        </w:rPr>
        <w:t xml:space="preserve"> </w:t>
      </w:r>
      <w:r w:rsidR="00A83BE9" w:rsidRPr="00BB6220">
        <w:rPr>
          <w:lang w:eastAsia="en-NZ"/>
        </w:rPr>
        <w:t>and</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003D640C">
        <w:rPr>
          <w:lang w:eastAsia="en-NZ"/>
        </w:rPr>
        <w:t xml:space="preserve"> </w:t>
      </w:r>
      <w:r w:rsidR="00A83BE9" w:rsidRPr="00BB6220">
        <w:rPr>
          <w:lang w:eastAsia="en-NZ"/>
        </w:rPr>
        <w:t>by</w:t>
      </w:r>
      <w:r w:rsidR="003D640C">
        <w:rPr>
          <w:lang w:eastAsia="en-NZ"/>
        </w:rPr>
        <w:t xml:space="preserve"> </w:t>
      </w:r>
      <w:r w:rsidR="00A83BE9" w:rsidRPr="00BB6220">
        <w:rPr>
          <w:lang w:eastAsia="en-NZ"/>
        </w:rPr>
        <w:t>making</w:t>
      </w:r>
      <w:r w:rsidR="003D640C">
        <w:rPr>
          <w:lang w:eastAsia="en-NZ"/>
        </w:rPr>
        <w:t xml:space="preserve"> </w:t>
      </w:r>
      <w:r w:rsidR="00F627F2" w:rsidRPr="00BB6220">
        <w:rPr>
          <w:lang w:eastAsia="en-NZ"/>
        </w:rPr>
        <w:t>male</w:t>
      </w:r>
      <w:r w:rsidR="003D640C">
        <w:rPr>
          <w:lang w:eastAsia="en-NZ"/>
        </w:rPr>
        <w:t xml:space="preserve"> </w:t>
      </w:r>
      <w:r w:rsidR="00F627F2" w:rsidRPr="00BB6220">
        <w:rPr>
          <w:lang w:eastAsia="en-NZ"/>
        </w:rPr>
        <w:t>homosexuality</w:t>
      </w:r>
      <w:r w:rsidR="003D640C">
        <w:rPr>
          <w:lang w:eastAsia="en-NZ"/>
        </w:rPr>
        <w:t xml:space="preserve"> </w:t>
      </w:r>
      <w:r w:rsidR="00A83BE9" w:rsidRPr="00BB6220">
        <w:rPr>
          <w:lang w:eastAsia="en-NZ"/>
        </w:rPr>
        <w:t>illegal</w:t>
      </w:r>
      <w:r w:rsidR="003D640C">
        <w:rPr>
          <w:lang w:eastAsia="en-NZ"/>
        </w:rPr>
        <w:t xml:space="preserve"> </w:t>
      </w:r>
      <w:r w:rsidR="00A83BE9" w:rsidRPr="00BB6220">
        <w:rPr>
          <w:lang w:eastAsia="en-NZ"/>
        </w:rPr>
        <w:t>and</w:t>
      </w:r>
      <w:r w:rsidR="003D640C">
        <w:rPr>
          <w:lang w:eastAsia="en-NZ"/>
        </w:rPr>
        <w:t xml:space="preserve"> </w:t>
      </w:r>
      <w:r w:rsidR="00AD34C7" w:rsidRPr="00BB6220">
        <w:rPr>
          <w:lang w:eastAsia="en-NZ"/>
        </w:rPr>
        <w:t>criminalising</w:t>
      </w:r>
      <w:r w:rsidR="003D640C">
        <w:rPr>
          <w:lang w:eastAsia="en-NZ"/>
        </w:rPr>
        <w:t xml:space="preserve"> </w:t>
      </w:r>
      <w:r w:rsidR="00A83BE9" w:rsidRPr="00BB6220">
        <w:rPr>
          <w:lang w:eastAsia="en-NZ"/>
        </w:rPr>
        <w:t>gender</w:t>
      </w:r>
      <w:r w:rsidR="003D640C">
        <w:rPr>
          <w:lang w:eastAsia="en-NZ"/>
        </w:rPr>
        <w:t xml:space="preserve"> </w:t>
      </w:r>
      <w:r w:rsidR="00A83BE9" w:rsidRPr="00BB6220">
        <w:rPr>
          <w:lang w:eastAsia="en-NZ"/>
        </w:rPr>
        <w:t>non-conformity.</w:t>
      </w:r>
      <w:r w:rsidR="008C2F4E" w:rsidRPr="00BB6220">
        <w:rPr>
          <w:rStyle w:val="FootnoteReference"/>
          <w:rFonts w:ascii="Calibri" w:eastAsia="Times New Roman" w:hAnsi="Calibri" w:cs="Calibri"/>
          <w:lang w:eastAsia="en-NZ"/>
        </w:rPr>
        <w:footnoteReference w:id="153"/>
      </w:r>
    </w:p>
    <w:p w14:paraId="45DEBF11" w14:textId="2E1C9928" w:rsidR="00501068" w:rsidRDefault="0003739C" w:rsidP="002C6363">
      <w:pPr>
        <w:rPr>
          <w:rFonts w:ascii="Calibri" w:eastAsia="Times New Roman" w:hAnsi="Calibri" w:cs="Calibri"/>
          <w:lang w:eastAsia="en-NZ"/>
        </w:rPr>
      </w:pPr>
      <w:r>
        <w:rPr>
          <w:rFonts w:ascii="Calibri" w:eastAsia="Times New Roman" w:hAnsi="Calibri" w:cs="Calibri"/>
          <w:lang w:eastAsia="en-NZ"/>
        </w:rPr>
        <w:t>P</w:t>
      </w:r>
      <w:r w:rsidR="0028685B" w:rsidRPr="00BB6220">
        <w:rPr>
          <w:rFonts w:ascii="Calibri" w:eastAsia="Times New Roman" w:hAnsi="Calibri" w:cs="Calibri"/>
          <w:lang w:eastAsia="en-NZ"/>
        </w:rPr>
        <w:t>rogress</w:t>
      </w:r>
      <w:r w:rsidR="00C7489F">
        <w:rPr>
          <w:rFonts w:ascii="Calibri" w:eastAsia="Times New Roman" w:hAnsi="Calibri" w:cs="Calibri"/>
          <w:lang w:eastAsia="en-NZ"/>
        </w:rPr>
        <w:t>ive</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steps</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been</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made</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1980s</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onwards,</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including</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decriminalisation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896456" w:rsidRPr="00BB6220">
        <w:rPr>
          <w:rFonts w:ascii="Calibri" w:eastAsia="Times New Roman" w:hAnsi="Calibri" w:cs="Calibri"/>
          <w:lang w:eastAsia="en-NZ"/>
        </w:rPr>
        <w:t>male</w:t>
      </w:r>
      <w:r w:rsidR="003D640C">
        <w:rPr>
          <w:rFonts w:ascii="Calibri" w:eastAsia="Times New Roman" w:hAnsi="Calibri" w:cs="Calibri"/>
          <w:lang w:eastAsia="en-NZ"/>
        </w:rPr>
        <w:t xml:space="preserve"> </w:t>
      </w:r>
      <w:r w:rsidR="00896456" w:rsidRPr="00BB6220">
        <w:rPr>
          <w:rFonts w:ascii="Calibri" w:eastAsia="Times New Roman" w:hAnsi="Calibri" w:cs="Calibri"/>
          <w:lang w:eastAsia="en-NZ"/>
        </w:rPr>
        <w:t>homosexuality</w:t>
      </w:r>
      <w:r w:rsidR="00A83BE9"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legalisation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CB78CE">
        <w:rPr>
          <w:rFonts w:ascii="Calibri" w:eastAsia="Times New Roman" w:hAnsi="Calibri" w:cs="Calibri"/>
          <w:lang w:eastAsia="en-NZ"/>
        </w:rPr>
        <w:t>marriage</w:t>
      </w:r>
      <w:r w:rsidR="003D640C">
        <w:rPr>
          <w:rFonts w:ascii="Calibri" w:eastAsia="Times New Roman" w:hAnsi="Calibri" w:cs="Calibri"/>
          <w:lang w:eastAsia="en-NZ"/>
        </w:rPr>
        <w:t xml:space="preserve"> </w:t>
      </w:r>
      <w:r w:rsidR="00CB78CE">
        <w:rPr>
          <w:rFonts w:ascii="Calibri" w:eastAsia="Times New Roman" w:hAnsi="Calibri" w:cs="Calibri"/>
          <w:lang w:eastAsia="en-NZ"/>
        </w:rPr>
        <w:t>equality</w:t>
      </w:r>
      <w:r w:rsidR="00A83BE9"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7F7714">
        <w:rPr>
          <w:rFonts w:ascii="Calibri" w:eastAsia="Times New Roman" w:hAnsi="Calibri" w:cs="Calibri"/>
          <w:lang w:eastAsia="en-NZ"/>
        </w:rPr>
        <w:t>in</w:t>
      </w:r>
      <w:r w:rsidR="003D640C">
        <w:rPr>
          <w:rFonts w:ascii="Calibri" w:eastAsia="Times New Roman" w:hAnsi="Calibri" w:cs="Calibri"/>
          <w:lang w:eastAsia="en-NZ"/>
        </w:rPr>
        <w:t xml:space="preserve"> </w:t>
      </w:r>
      <w:r w:rsidR="0028685B" w:rsidRPr="00BB6220">
        <w:rPr>
          <w:rFonts w:ascii="Calibri" w:eastAsia="Times New Roman" w:hAnsi="Calibri" w:cs="Calibri"/>
          <w:lang w:eastAsia="en-NZ"/>
        </w:rPr>
        <w:t>2022</w:t>
      </w:r>
      <w:r w:rsidR="007F7714">
        <w:rPr>
          <w:rFonts w:ascii="Calibri" w:eastAsia="Times New Roman" w:hAnsi="Calibri" w:cs="Calibri"/>
          <w:lang w:eastAsia="en-NZ"/>
        </w:rPr>
        <w:t>,</w:t>
      </w:r>
      <w:r w:rsidR="003D640C" w:rsidDel="007F7714">
        <w:rPr>
          <w:rFonts w:ascii="Calibri" w:eastAsia="Times New Roman" w:hAnsi="Calibri" w:cs="Calibri"/>
          <w:lang w:eastAsia="en-NZ"/>
        </w:rPr>
        <w:t xml:space="preserve"> </w:t>
      </w:r>
      <w:r w:rsidR="00A83BE9"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prohibition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w:t>
      </w:r>
      <w:r w:rsidR="00CC29A3" w:rsidRPr="00BB6220">
        <w:rPr>
          <w:rFonts w:ascii="Calibri" w:eastAsia="Times New Roman" w:hAnsi="Calibri" w:cs="Calibri"/>
          <w:lang w:eastAsia="en-NZ"/>
        </w:rPr>
        <w:t>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practices</w:t>
      </w:r>
      <w:r w:rsidR="00D6400E"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These</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measures</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contributed</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undo</w:t>
      </w:r>
      <w:r w:rsidR="00CC29A3" w:rsidRPr="00BB6220">
        <w:rPr>
          <w:rFonts w:ascii="Calibri" w:eastAsia="Times New Roman" w:hAnsi="Calibri" w:cs="Calibri"/>
          <w:lang w:eastAsia="en-NZ"/>
        </w:rPr>
        <w:t>ing</w:t>
      </w:r>
      <w:r w:rsidR="003D640C">
        <w:rPr>
          <w:rFonts w:ascii="Calibri" w:eastAsia="Times New Roman" w:hAnsi="Calibri" w:cs="Calibri"/>
          <w:lang w:eastAsia="en-NZ"/>
        </w:rPr>
        <w:t xml:space="preserve"> </w:t>
      </w:r>
      <w:r w:rsidR="00103CA5">
        <w:rPr>
          <w:rFonts w:ascii="Calibri" w:eastAsia="Times New Roman" w:hAnsi="Calibri" w:cs="Calibri"/>
          <w:lang w:eastAsia="en-NZ"/>
        </w:rPr>
        <w:t>some</w:t>
      </w:r>
      <w:r w:rsidR="003D640C">
        <w:rPr>
          <w:rFonts w:ascii="Calibri" w:eastAsia="Times New Roman" w:hAnsi="Calibri" w:cs="Calibri"/>
          <w:lang w:eastAsia="en-NZ"/>
        </w:rPr>
        <w:t xml:space="preserve"> </w:t>
      </w:r>
      <w:r w:rsidR="00103CA5">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harms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imposed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colonial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laws.</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D</w:t>
      </w:r>
      <w:r w:rsidR="00A83BE9" w:rsidRPr="00BB6220">
        <w:rPr>
          <w:rFonts w:ascii="Calibri" w:eastAsia="Times New Roman" w:hAnsi="Calibri" w:cs="Calibri"/>
          <w:lang w:eastAsia="en-NZ"/>
        </w:rPr>
        <w:t>espite</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this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progress,</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however,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takatāpui</w:t>
      </w:r>
      <w:r w:rsidR="003D640C">
        <w:rPr>
          <w:rFonts w:ascii="Calibri" w:eastAsia="Times New Roman" w:hAnsi="Calibri" w:cs="Calibri"/>
          <w:lang w:eastAsia="en-NZ"/>
        </w:rPr>
        <w:t xml:space="preserve"> </w:t>
      </w:r>
      <w:r w:rsidR="00371B82" w:rsidRPr="00BB6220">
        <w:rPr>
          <w:rFonts w:ascii="Calibri" w:eastAsia="Times New Roman" w:hAnsi="Calibri" w:cs="Calibri"/>
          <w:lang w:eastAsia="en-NZ"/>
        </w:rPr>
        <w:t>and</w:t>
      </w:r>
      <w:r w:rsidR="00371B82">
        <w:rPr>
          <w:rFonts w:ascii="Calibri" w:eastAsia="Times New Roman" w:hAnsi="Calibri" w:cs="Calibri"/>
          <w:lang w:eastAsia="en-NZ"/>
        </w:rPr>
        <w:t xml:space="preserve"> </w:t>
      </w:r>
      <w:r w:rsidR="00371B82" w:rsidRPr="00BB6220">
        <w:rPr>
          <w:rFonts w:ascii="Calibri" w:eastAsia="Times New Roman" w:hAnsi="Calibri" w:cs="Calibri"/>
          <w:lang w:eastAsia="en-NZ"/>
        </w:rPr>
        <w:t>Rainbow</w:t>
      </w:r>
      <w:r w:rsidR="00371B82">
        <w:rPr>
          <w:rFonts w:ascii="Calibri" w:eastAsia="Times New Roman" w:hAnsi="Calibri" w:cs="Calibri"/>
          <w:lang w:eastAsia="en-NZ"/>
        </w:rPr>
        <w:t xml:space="preserve"> </w:t>
      </w:r>
      <w:r w:rsidR="00A83BE9"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are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still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dealing</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impact</w:t>
      </w:r>
      <w:r w:rsidR="003D640C">
        <w:rPr>
          <w:rFonts w:ascii="Calibri" w:eastAsia="Times New Roman" w:hAnsi="Calibri" w:cs="Calibri"/>
          <w:lang w:eastAsia="en-NZ"/>
        </w:rPr>
        <w:t xml:space="preserve"> </w:t>
      </w:r>
      <w:r w:rsidR="00797DB0" w:rsidRPr="00BB6220">
        <w:rPr>
          <w:rFonts w:ascii="Calibri" w:eastAsia="Times New Roman" w:hAnsi="Calibri" w:cs="Calibri"/>
          <w:lang w:eastAsia="en-NZ"/>
        </w:rPr>
        <w:t>that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settler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missionary</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views</w:t>
      </w:r>
      <w:r w:rsidR="003D640C">
        <w:rPr>
          <w:rFonts w:ascii="Calibri" w:eastAsia="Times New Roman" w:hAnsi="Calibri" w:cs="Calibri"/>
          <w:lang w:eastAsia="en-NZ"/>
        </w:rPr>
        <w:t xml:space="preserve"> </w:t>
      </w:r>
      <w:r w:rsidR="00C7489F">
        <w:rPr>
          <w:rFonts w:ascii="Calibri" w:eastAsia="Times New Roman" w:hAnsi="Calibri" w:cs="Calibri"/>
          <w:lang w:eastAsia="en-NZ"/>
        </w:rPr>
        <w:t>have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had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attitudes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towards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gender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404B18" w:rsidRPr="00BB6220">
        <w:rPr>
          <w:rFonts w:ascii="Calibri" w:eastAsia="Times New Roman" w:hAnsi="Calibri" w:cs="Calibri"/>
          <w:lang w:eastAsia="en-NZ"/>
        </w:rPr>
        <w:t>sexual</w:t>
      </w:r>
      <w:r w:rsidR="003D640C">
        <w:rPr>
          <w:rFonts w:ascii="Calibri" w:eastAsia="Times New Roman" w:hAnsi="Calibri" w:cs="Calibri"/>
          <w:lang w:eastAsia="en-NZ"/>
        </w:rPr>
        <w:t xml:space="preserve"> </w:t>
      </w:r>
      <w:r w:rsidR="00404B18" w:rsidRPr="00BB6220">
        <w:rPr>
          <w:rFonts w:ascii="Calibri" w:eastAsia="Times New Roman" w:hAnsi="Calibri" w:cs="Calibri"/>
          <w:lang w:eastAsia="en-NZ"/>
        </w:rPr>
        <w:t>orientation</w:t>
      </w:r>
      <w:r w:rsidR="00532912" w:rsidRPr="00BB6220">
        <w:rPr>
          <w:rFonts w:ascii="Calibri" w:eastAsia="Times New Roman" w:hAnsi="Calibri" w:cs="Calibri"/>
          <w:lang w:eastAsia="en-NZ"/>
        </w:rPr>
        <w:t>.</w:t>
      </w:r>
    </w:p>
    <w:p w14:paraId="078B3D52" w14:textId="2A3961C1" w:rsidR="00501068" w:rsidRDefault="00A8039C" w:rsidP="002C6363">
      <w:pPr>
        <w:rPr>
          <w:rFonts w:ascii="Calibri" w:eastAsia="Times New Roman" w:hAnsi="Calibri" w:cs="Calibri"/>
          <w:lang w:eastAsia="en-NZ"/>
        </w:rPr>
      </w:pPr>
      <w:r>
        <w:rPr>
          <w:rFonts w:ascii="Calibri" w:eastAsia="Times New Roman" w:hAnsi="Calibri" w:cs="Calibri"/>
          <w:lang w:eastAsia="en-NZ"/>
        </w:rPr>
        <w:t>For</w:t>
      </w:r>
      <w:r w:rsidR="003D640C">
        <w:rPr>
          <w:rFonts w:ascii="Calibri" w:eastAsia="Times New Roman" w:hAnsi="Calibri" w:cs="Calibri"/>
          <w:lang w:eastAsia="en-NZ"/>
        </w:rPr>
        <w:t xml:space="preserve"> </w:t>
      </w:r>
      <w:r>
        <w:rPr>
          <w:rFonts w:ascii="Calibri" w:eastAsia="Times New Roman" w:hAnsi="Calibri" w:cs="Calibri"/>
          <w:lang w:eastAsia="en-NZ"/>
        </w:rPr>
        <w:t>Māori,</w:t>
      </w:r>
      <w:r w:rsidR="003D640C">
        <w:rPr>
          <w:rFonts w:ascii="Calibri" w:eastAsia="Times New Roman" w:hAnsi="Calibri" w:cs="Calibri"/>
          <w:lang w:eastAsia="en-NZ"/>
        </w:rPr>
        <w:t xml:space="preserve"> </w:t>
      </w:r>
      <w:r>
        <w:rPr>
          <w:rFonts w:ascii="Calibri" w:eastAsia="Times New Roman" w:hAnsi="Calibri" w:cs="Calibri"/>
          <w:lang w:eastAsia="en-NZ"/>
        </w:rPr>
        <w:t>c</w:t>
      </w:r>
      <w:r w:rsidR="00A83BE9" w:rsidRPr="00BB6220">
        <w:rPr>
          <w:rFonts w:ascii="Calibri" w:eastAsia="Times New Roman" w:hAnsi="Calibri" w:cs="Calibri"/>
          <w:lang w:eastAsia="en-NZ"/>
        </w:rPr>
        <w:t>onversion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are</w:t>
      </w:r>
      <w:r w:rsidR="003D640C">
        <w:rPr>
          <w:rFonts w:ascii="Calibri" w:eastAsia="Times New Roman" w:hAnsi="Calibri" w:cs="Calibri"/>
          <w:lang w:eastAsia="en-NZ"/>
        </w:rPr>
        <w:t xml:space="preserve"> </w:t>
      </w:r>
      <w:r w:rsidR="00A83BE9" w:rsidRPr="00BB6220" w:rsidDel="00532912">
        <w:rPr>
          <w:rFonts w:ascii="Calibri" w:eastAsia="Times New Roman" w:hAnsi="Calibri" w:cs="Calibri"/>
          <w:lang w:eastAsia="en-NZ"/>
        </w:rPr>
        <w:t>a</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product</w:t>
      </w:r>
      <w:r w:rsidR="00B11068">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B11068">
        <w:rPr>
          <w:rFonts w:ascii="Calibri" w:eastAsia="Times New Roman" w:hAnsi="Calibri" w:cs="Calibri"/>
          <w:lang w:eastAsia="en-NZ"/>
        </w:rPr>
        <w:t xml:space="preserve">a </w:t>
      </w:r>
      <w:r w:rsidR="00A83BE9" w:rsidRPr="00BB6220">
        <w:rPr>
          <w:rFonts w:ascii="Calibri" w:eastAsia="Times New Roman" w:hAnsi="Calibri" w:cs="Calibri"/>
          <w:lang w:eastAsia="en-NZ"/>
        </w:rPr>
        <w:t>continuation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colonisation.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They</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suppress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traditional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00A83BE9" w:rsidRPr="00BB6220">
        <w:t>identities</w:t>
      </w:r>
      <w:r w:rsidR="00A83BE9" w:rsidRPr="00BB6220">
        <w:rPr>
          <w:lang w:eastAsia="en-NZ"/>
        </w:rPr>
        <w:t>,</w:t>
      </w:r>
      <w:r w:rsidR="003D640C">
        <w:t xml:space="preserve"> </w:t>
      </w:r>
      <w:r w:rsidR="00A83BE9" w:rsidRPr="00BB6220">
        <w:t>perspectives</w:t>
      </w:r>
      <w:r w:rsidR="00A83BE9"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power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through</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imposing</w:t>
      </w:r>
      <w:r w:rsidR="003D640C">
        <w:rPr>
          <w:rFonts w:ascii="Calibri" w:eastAsia="Times New Roman" w:hAnsi="Calibri" w:cs="Calibri"/>
          <w:lang w:eastAsia="en-NZ"/>
        </w:rPr>
        <w:t xml:space="preserve"> </w:t>
      </w:r>
      <w:r w:rsidR="00790505" w:rsidRPr="00BB6220">
        <w:rPr>
          <w:rFonts w:ascii="Calibri" w:eastAsia="Times New Roman" w:hAnsi="Calibri" w:cs="Calibri"/>
          <w:lang w:eastAsia="en-NZ"/>
        </w:rPr>
        <w:t>European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values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religious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superiority.</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This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external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pressure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for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suppression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identity</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has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been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internalised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by</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many</w:t>
      </w:r>
      <w:r w:rsidR="003D640C">
        <w:rPr>
          <w:rFonts w:ascii="Calibri" w:eastAsia="Times New Roman" w:hAnsi="Calibri" w:cs="Calibri"/>
          <w:lang w:eastAsia="en-NZ"/>
        </w:rPr>
        <w:t xml:space="preserve"> </w:t>
      </w:r>
      <w:r w:rsidR="00D929C8">
        <w:rPr>
          <w:rFonts w:ascii="Calibri" w:eastAsia="Times New Roman" w:hAnsi="Calibri" w:cs="Calibri"/>
          <w:lang w:eastAsia="en-NZ"/>
        </w:rPr>
        <w:t xml:space="preserve">takatāpui and </w:t>
      </w:r>
      <w:r w:rsidR="00C7489F">
        <w:rPr>
          <w:rFonts w:ascii="Calibri" w:eastAsia="Times New Roman" w:hAnsi="Calibri" w:cs="Calibri"/>
          <w:lang w:eastAsia="en-NZ"/>
        </w:rPr>
        <w:t>Rainbow</w:t>
      </w:r>
      <w:r w:rsidR="003D640C">
        <w:rPr>
          <w:rFonts w:ascii="Calibri" w:eastAsia="Times New Roman" w:hAnsi="Calibri" w:cs="Calibri"/>
          <w:lang w:eastAsia="en-NZ"/>
        </w:rPr>
        <w:t xml:space="preserve"> </w:t>
      </w:r>
      <w:r w:rsidR="00C7489F">
        <w:rPr>
          <w:rFonts w:ascii="Calibri" w:eastAsia="Times New Roman" w:hAnsi="Calibri" w:cs="Calibri"/>
          <w:lang w:eastAsia="en-NZ"/>
        </w:rPr>
        <w:t>Māori</w:t>
      </w:r>
      <w:r w:rsidR="00A83BE9" w:rsidRPr="00BB6220">
        <w:rPr>
          <w:rFonts w:ascii="Calibri" w:eastAsia="Times New Roman" w:hAnsi="Calibri" w:cs="Calibri"/>
          <w:lang w:eastAsia="en-NZ"/>
        </w:rPr>
        <w:t>.</w:t>
      </w:r>
      <w:r w:rsidR="003D640C">
        <w:rPr>
          <w:rFonts w:ascii="Calibri" w:eastAsia="Times New Roman" w:hAnsi="Calibri" w:cs="Calibri"/>
          <w:lang w:eastAsia="en-NZ"/>
        </w:rPr>
        <w:t xml:space="preserve"> </w:t>
      </w:r>
    </w:p>
    <w:p w14:paraId="74EDC7E9" w14:textId="0D54C160" w:rsidR="00934304" w:rsidRPr="00D332D9" w:rsidRDefault="00447FF6" w:rsidP="00911B63">
      <w:pPr>
        <w:pStyle w:val="Heading2"/>
      </w:pPr>
      <w:bookmarkStart w:id="226" w:name="_Toc138343821"/>
      <w:bookmarkStart w:id="227" w:name="_Toc167780607"/>
      <w:bookmarkStart w:id="228" w:name="_Toc1095351352"/>
      <w:bookmarkStart w:id="229" w:name="_Toc174628666"/>
      <w:r w:rsidRPr="00BB6220">
        <w:t>Conversion</w:t>
      </w:r>
      <w:r w:rsidR="003D640C">
        <w:t xml:space="preserve"> </w:t>
      </w:r>
      <w:r w:rsidR="00A83BE9" w:rsidRPr="00BB6220">
        <w:t>practices</w:t>
      </w:r>
      <w:r w:rsidR="003D640C">
        <w:t xml:space="preserve"> </w:t>
      </w:r>
      <w:r w:rsidR="00A83BE9" w:rsidRPr="00BB6220">
        <w:t>and</w:t>
      </w:r>
      <w:r w:rsidR="003D640C">
        <w:t xml:space="preserve"> </w:t>
      </w:r>
      <w:r w:rsidR="00A83BE9" w:rsidRPr="00BB6220">
        <w:t>the</w:t>
      </w:r>
      <w:r w:rsidR="003D640C">
        <w:t xml:space="preserve"> </w:t>
      </w:r>
      <w:r w:rsidR="00A83BE9" w:rsidRPr="00BB6220">
        <w:t>destruction</w:t>
      </w:r>
      <w:r w:rsidR="003D640C">
        <w:t xml:space="preserve"> </w:t>
      </w:r>
      <w:r w:rsidR="00A83BE9" w:rsidRPr="00BB6220">
        <w:t>of</w:t>
      </w:r>
      <w:r w:rsidR="003D640C">
        <w:t xml:space="preserve"> </w:t>
      </w:r>
      <w:r w:rsidR="003E36CD">
        <w:t>whānau</w:t>
      </w:r>
      <w:r w:rsidR="003D640C">
        <w:t xml:space="preserve"> </w:t>
      </w:r>
      <w:r w:rsidR="00A83BE9" w:rsidRPr="00BB6220">
        <w:t>structures</w:t>
      </w:r>
      <w:bookmarkEnd w:id="226"/>
      <w:r w:rsidR="003D640C">
        <w:t xml:space="preserve"> </w:t>
      </w:r>
      <w:r w:rsidRPr="00BB6220">
        <w:t>and</w:t>
      </w:r>
      <w:r w:rsidR="003D640C">
        <w:t xml:space="preserve"> </w:t>
      </w:r>
      <w:r w:rsidRPr="00BB6220">
        <w:t>culture</w:t>
      </w:r>
      <w:bookmarkEnd w:id="227"/>
      <w:bookmarkEnd w:id="228"/>
      <w:bookmarkEnd w:id="229"/>
    </w:p>
    <w:p w14:paraId="63C453FF" w14:textId="2C2E0C8B" w:rsidR="00501068" w:rsidRDefault="00A83BE9" w:rsidP="002C6363">
      <w:pPr>
        <w:rPr>
          <w:lang w:eastAsia="en-NZ"/>
        </w:rPr>
      </w:pP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4A023F">
        <w:rPr>
          <w:lang w:eastAsia="en-NZ"/>
        </w:rPr>
        <w:t>can</w:t>
      </w:r>
      <w:r w:rsidR="003D640C">
        <w:rPr>
          <w:lang w:eastAsia="en-NZ"/>
        </w:rPr>
        <w:t xml:space="preserve"> </w:t>
      </w:r>
      <w:r w:rsidR="004A023F">
        <w:rPr>
          <w:lang w:eastAsia="en-NZ"/>
        </w:rPr>
        <w:t>result</w:t>
      </w:r>
      <w:r w:rsidR="003D640C">
        <w:rPr>
          <w:lang w:eastAsia="en-NZ"/>
        </w:rPr>
        <w:t xml:space="preserve"> </w:t>
      </w:r>
      <w:r w:rsidR="004A023F">
        <w:rPr>
          <w:lang w:eastAsia="en-NZ"/>
        </w:rPr>
        <w:t>in</w:t>
      </w:r>
      <w:r w:rsidR="00B11068">
        <w:rPr>
          <w:lang w:eastAsia="en-NZ"/>
        </w:rPr>
        <w:t xml:space="preserve"> the exclusion of</w:t>
      </w:r>
      <w:r w:rsidR="003D640C">
        <w:rPr>
          <w:lang w:eastAsia="en-NZ"/>
        </w:rPr>
        <w:t xml:space="preserve"> </w:t>
      </w:r>
      <w:r w:rsidR="004A023F">
        <w:rPr>
          <w:lang w:eastAsia="en-NZ"/>
        </w:rPr>
        <w:t>takatāpui</w:t>
      </w:r>
      <w:r w:rsidR="003D640C">
        <w:rPr>
          <w:lang w:eastAsia="en-NZ"/>
        </w:rPr>
        <w:t xml:space="preserve"> </w:t>
      </w:r>
      <w:r w:rsidR="004A023F">
        <w:rPr>
          <w:lang w:eastAsia="en-NZ"/>
        </w:rPr>
        <w:t>from</w:t>
      </w:r>
      <w:r w:rsidR="003D640C">
        <w:rPr>
          <w:lang w:eastAsia="en-NZ"/>
        </w:rPr>
        <w:t xml:space="preserve"> </w:t>
      </w:r>
      <w:r w:rsidR="004A023F">
        <w:rPr>
          <w:lang w:eastAsia="en-NZ"/>
        </w:rPr>
        <w:t>their</w:t>
      </w:r>
      <w:r w:rsidR="003D640C">
        <w:rPr>
          <w:lang w:eastAsia="en-NZ"/>
        </w:rPr>
        <w:t xml:space="preserve"> </w:t>
      </w:r>
      <w:r w:rsidR="004A023F">
        <w:rPr>
          <w:lang w:eastAsia="en-NZ"/>
        </w:rPr>
        <w:t>whānau.</w:t>
      </w:r>
      <w:r w:rsidR="003D640C">
        <w:rPr>
          <w:lang w:eastAsia="en-NZ"/>
        </w:rPr>
        <w:t xml:space="preserve"> </w:t>
      </w:r>
      <w:r w:rsidR="004A023F">
        <w:rPr>
          <w:lang w:eastAsia="en-NZ"/>
        </w:rPr>
        <w:t>For</w:t>
      </w:r>
      <w:r w:rsidR="003D640C">
        <w:rPr>
          <w:lang w:eastAsia="en-NZ"/>
        </w:rPr>
        <w:t xml:space="preserve"> </w:t>
      </w:r>
      <w:r w:rsidR="004A023F">
        <w:rPr>
          <w:lang w:eastAsia="en-NZ"/>
        </w:rPr>
        <w:t>some</w:t>
      </w:r>
      <w:r w:rsidR="003D640C">
        <w:rPr>
          <w:lang w:eastAsia="en-NZ"/>
        </w:rPr>
        <w:t xml:space="preserve"> </w:t>
      </w:r>
      <w:r w:rsidR="004A023F">
        <w:rPr>
          <w:lang w:eastAsia="en-NZ"/>
        </w:rPr>
        <w:t>takatāpui,</w:t>
      </w:r>
      <w:r w:rsidR="003D640C">
        <w:rPr>
          <w:lang w:eastAsia="en-NZ"/>
        </w:rPr>
        <w:t xml:space="preserve"> </w:t>
      </w:r>
      <w:r w:rsidR="004A023F">
        <w:rPr>
          <w:lang w:eastAsia="en-NZ"/>
        </w:rPr>
        <w:t>this</w:t>
      </w:r>
      <w:r w:rsidR="003D640C" w:rsidDel="009A64D6">
        <w:rPr>
          <w:lang w:eastAsia="en-NZ"/>
        </w:rPr>
        <w:t xml:space="preserve"> </w:t>
      </w:r>
      <w:r w:rsidR="004A023F">
        <w:rPr>
          <w:lang w:eastAsia="en-NZ"/>
        </w:rPr>
        <w:t>can</w:t>
      </w:r>
      <w:r w:rsidR="003D640C">
        <w:rPr>
          <w:lang w:eastAsia="en-NZ"/>
        </w:rPr>
        <w:t xml:space="preserve"> </w:t>
      </w:r>
      <w:r w:rsidR="0003402D">
        <w:rPr>
          <w:lang w:eastAsia="en-NZ"/>
        </w:rPr>
        <w:t>cause</w:t>
      </w:r>
      <w:r w:rsidR="003D640C">
        <w:rPr>
          <w:lang w:eastAsia="en-NZ"/>
        </w:rPr>
        <w:t xml:space="preserve"> </w:t>
      </w:r>
      <w:r w:rsidR="0003402D">
        <w:rPr>
          <w:lang w:eastAsia="en-NZ"/>
        </w:rPr>
        <w:t>them</w:t>
      </w:r>
      <w:r w:rsidR="003D640C">
        <w:rPr>
          <w:lang w:eastAsia="en-NZ"/>
        </w:rPr>
        <w:t xml:space="preserve"> </w:t>
      </w:r>
      <w:r w:rsidR="0003402D">
        <w:rPr>
          <w:lang w:eastAsia="en-NZ"/>
        </w:rPr>
        <w:t>to</w:t>
      </w:r>
      <w:r w:rsidR="003D640C">
        <w:rPr>
          <w:lang w:eastAsia="en-NZ"/>
        </w:rPr>
        <w:t xml:space="preserve"> </w:t>
      </w:r>
      <w:r w:rsidRPr="00BB6220">
        <w:rPr>
          <w:lang w:eastAsia="en-NZ"/>
        </w:rPr>
        <w:t>los</w:t>
      </w:r>
      <w:r w:rsidR="00D6400E" w:rsidRPr="00BB6220">
        <w:rPr>
          <w:lang w:eastAsia="en-NZ"/>
        </w:rPr>
        <w:t>e</w:t>
      </w:r>
      <w:r w:rsidR="003D640C">
        <w:rPr>
          <w:lang w:eastAsia="en-NZ"/>
        </w:rPr>
        <w:t xml:space="preserve"> </w:t>
      </w:r>
      <w:r w:rsidRPr="00BB6220">
        <w:rPr>
          <w:lang w:eastAsia="en-NZ"/>
        </w:rPr>
        <w:t>access</w:t>
      </w:r>
      <w:r w:rsidR="003D640C">
        <w:rPr>
          <w:lang w:eastAsia="en-NZ"/>
        </w:rPr>
        <w:t xml:space="preserve"> </w:t>
      </w:r>
      <w:r w:rsidRPr="00BB6220">
        <w:rPr>
          <w:lang w:eastAsia="en-NZ"/>
        </w:rPr>
        <w:t>to</w:t>
      </w:r>
      <w:r w:rsidR="003D640C">
        <w:rPr>
          <w:lang w:eastAsia="en-NZ"/>
        </w:rPr>
        <w:t xml:space="preserve"> </w:t>
      </w:r>
      <w:r w:rsidRPr="00BB6220">
        <w:rPr>
          <w:lang w:eastAsia="en-NZ"/>
        </w:rPr>
        <w:t>language</w:t>
      </w:r>
      <w:r w:rsidR="003D640C">
        <w:rPr>
          <w:lang w:eastAsia="en-NZ"/>
        </w:rPr>
        <w:t xml:space="preserve"> </w:t>
      </w:r>
      <w:r w:rsidRPr="00BB6220">
        <w:rPr>
          <w:lang w:eastAsia="en-NZ"/>
        </w:rPr>
        <w:t>and</w:t>
      </w:r>
      <w:r w:rsidR="003D640C">
        <w:rPr>
          <w:lang w:eastAsia="en-NZ"/>
        </w:rPr>
        <w:t xml:space="preserve"> </w:t>
      </w:r>
      <w:r w:rsidRPr="00BB6220">
        <w:rPr>
          <w:lang w:eastAsia="en-NZ"/>
        </w:rPr>
        <w:t>culture</w:t>
      </w:r>
      <w:r w:rsidR="00D6400E" w:rsidRPr="00BB6220">
        <w:rPr>
          <w:lang w:eastAsia="en-NZ"/>
        </w:rPr>
        <w:t>.</w:t>
      </w:r>
      <w:r w:rsidR="003D640C">
        <w:rPr>
          <w:lang w:eastAsia="en-NZ"/>
        </w:rPr>
        <w:t xml:space="preserve"> </w:t>
      </w:r>
      <w:r w:rsidR="00D6400E" w:rsidRPr="00BB6220">
        <w:rPr>
          <w:lang w:eastAsia="en-NZ"/>
        </w:rPr>
        <w:t>This</w:t>
      </w:r>
      <w:r w:rsidR="003D640C">
        <w:rPr>
          <w:lang w:eastAsia="en-NZ"/>
        </w:rPr>
        <w:t xml:space="preserve"> </w:t>
      </w:r>
      <w:r w:rsidR="00D6400E" w:rsidRPr="00BB6220">
        <w:rPr>
          <w:lang w:eastAsia="en-NZ"/>
        </w:rPr>
        <w:t>is</w:t>
      </w:r>
      <w:r w:rsidR="003D640C">
        <w:rPr>
          <w:lang w:eastAsia="en-NZ"/>
        </w:rPr>
        <w:t xml:space="preserve"> </w:t>
      </w:r>
      <w:r w:rsidRPr="00BB6220">
        <w:rPr>
          <w:lang w:eastAsia="en-NZ"/>
        </w:rPr>
        <w:t>especially</w:t>
      </w:r>
      <w:r w:rsidR="003D640C">
        <w:rPr>
          <w:lang w:eastAsia="en-NZ"/>
        </w:rPr>
        <w:t xml:space="preserve"> </w:t>
      </w:r>
      <w:r w:rsidR="00D6400E" w:rsidRPr="00BB6220">
        <w:rPr>
          <w:lang w:eastAsia="en-NZ"/>
        </w:rPr>
        <w:t>true</w:t>
      </w:r>
      <w:r w:rsidR="003D640C">
        <w:rPr>
          <w:lang w:eastAsia="en-NZ"/>
        </w:rPr>
        <w:t xml:space="preserve"> </w:t>
      </w:r>
      <w:r w:rsidRPr="00BB6220">
        <w:rPr>
          <w:lang w:eastAsia="en-NZ"/>
        </w:rPr>
        <w:t>for</w:t>
      </w:r>
      <w:r w:rsidR="003D640C">
        <w:rPr>
          <w:lang w:eastAsia="en-NZ"/>
        </w:rPr>
        <w:t xml:space="preserve"> </w:t>
      </w:r>
      <w:r w:rsidRPr="00BB6220">
        <w:rPr>
          <w:lang w:eastAsia="en-NZ"/>
        </w:rPr>
        <w:t>those</w:t>
      </w:r>
      <w:r w:rsidR="003D640C">
        <w:rPr>
          <w:lang w:eastAsia="en-NZ"/>
        </w:rPr>
        <w:t xml:space="preserve"> </w:t>
      </w:r>
      <w:r w:rsidRPr="00BB6220">
        <w:rPr>
          <w:lang w:eastAsia="en-NZ"/>
        </w:rPr>
        <w:t>who</w:t>
      </w:r>
      <w:r w:rsidR="003D640C">
        <w:rPr>
          <w:lang w:eastAsia="en-NZ"/>
        </w:rPr>
        <w:t xml:space="preserve"> </w:t>
      </w:r>
      <w:r w:rsidRPr="00BB6220">
        <w:rPr>
          <w:lang w:eastAsia="en-NZ"/>
        </w:rPr>
        <w:t>live</w:t>
      </w:r>
      <w:r w:rsidR="003D640C">
        <w:rPr>
          <w:lang w:eastAsia="en-NZ"/>
        </w:rPr>
        <w:t xml:space="preserve"> </w:t>
      </w:r>
      <w:r w:rsidRPr="00BB6220">
        <w:rPr>
          <w:lang w:eastAsia="en-NZ"/>
        </w:rPr>
        <w:t>away</w:t>
      </w:r>
      <w:r w:rsidR="003D640C">
        <w:rPr>
          <w:lang w:eastAsia="en-NZ"/>
        </w:rPr>
        <w:t xml:space="preserve"> </w:t>
      </w:r>
      <w:r w:rsidRPr="00BB6220">
        <w:rPr>
          <w:lang w:eastAsia="en-NZ"/>
        </w:rPr>
        <w:t>from</w:t>
      </w:r>
      <w:r w:rsidR="003D640C">
        <w:rPr>
          <w:lang w:eastAsia="en-NZ"/>
        </w:rPr>
        <w:t xml:space="preserve"> </w:t>
      </w:r>
      <w:r w:rsidRPr="00BB6220">
        <w:rPr>
          <w:lang w:eastAsia="en-NZ"/>
        </w:rPr>
        <w:t>their</w:t>
      </w:r>
      <w:r w:rsidR="003D640C">
        <w:rPr>
          <w:lang w:eastAsia="en-NZ"/>
        </w:rPr>
        <w:t xml:space="preserve"> </w:t>
      </w:r>
      <w:r w:rsidRPr="00BB6220">
        <w:rPr>
          <w:lang w:eastAsia="en-NZ"/>
        </w:rPr>
        <w:t>whānau</w:t>
      </w:r>
      <w:r w:rsidR="003D640C">
        <w:rPr>
          <w:lang w:eastAsia="en-NZ"/>
        </w:rPr>
        <w:t xml:space="preserve"> </w:t>
      </w:r>
      <w:r w:rsidRPr="00BB6220">
        <w:rPr>
          <w:lang w:eastAsia="en-NZ"/>
        </w:rPr>
        <w:t>or</w:t>
      </w:r>
      <w:r w:rsidR="003D640C">
        <w:rPr>
          <w:lang w:eastAsia="en-NZ"/>
        </w:rPr>
        <w:t xml:space="preserve"> </w:t>
      </w:r>
      <w:r w:rsidRPr="00BB6220">
        <w:rPr>
          <w:lang w:eastAsia="en-NZ"/>
        </w:rPr>
        <w:t>hapū.</w:t>
      </w:r>
      <w:r w:rsidR="003D640C">
        <w:rPr>
          <w:lang w:eastAsia="en-NZ"/>
        </w:rPr>
        <w:t xml:space="preserve"> </w:t>
      </w:r>
      <w:r w:rsidRPr="00BB6220">
        <w:rPr>
          <w:lang w:eastAsia="en-NZ"/>
        </w:rPr>
        <w:t>The</w:t>
      </w:r>
      <w:r w:rsidR="003D640C">
        <w:rPr>
          <w:lang w:eastAsia="en-NZ"/>
        </w:rPr>
        <w:t xml:space="preserve"> </w:t>
      </w:r>
      <w:r w:rsidRPr="00BB6220">
        <w:rPr>
          <w:lang w:eastAsia="en-NZ"/>
        </w:rPr>
        <w:t>idea</w:t>
      </w:r>
      <w:r w:rsidR="003D640C">
        <w:rPr>
          <w:lang w:eastAsia="en-NZ"/>
        </w:rPr>
        <w:t xml:space="preserve"> </w:t>
      </w:r>
      <w:r w:rsidRPr="00BB6220">
        <w:rPr>
          <w:lang w:eastAsia="en-NZ"/>
        </w:rPr>
        <w:t>that</w:t>
      </w:r>
      <w:r w:rsidR="003D640C">
        <w:rPr>
          <w:lang w:eastAsia="en-NZ"/>
        </w:rPr>
        <w:t xml:space="preserve"> </w:t>
      </w:r>
      <w:r w:rsidRPr="00BB6220">
        <w:rPr>
          <w:lang w:eastAsia="en-NZ"/>
        </w:rPr>
        <w:t>stigma</w:t>
      </w:r>
      <w:r w:rsidR="003D640C">
        <w:rPr>
          <w:lang w:eastAsia="en-NZ"/>
        </w:rPr>
        <w:t xml:space="preserve"> </w:t>
      </w:r>
      <w:r w:rsidRPr="00BB6220">
        <w:rPr>
          <w:lang w:eastAsia="en-NZ"/>
        </w:rPr>
        <w:t>and</w:t>
      </w:r>
      <w:r w:rsidR="003D640C">
        <w:rPr>
          <w:lang w:eastAsia="en-NZ"/>
        </w:rPr>
        <w:t xml:space="preserve"> </w:t>
      </w:r>
      <w:r w:rsidRPr="00BB6220">
        <w:rPr>
          <w:lang w:eastAsia="en-NZ"/>
        </w:rPr>
        <w:t>discrimination</w:t>
      </w:r>
      <w:r w:rsidR="003D640C">
        <w:rPr>
          <w:lang w:eastAsia="en-NZ"/>
        </w:rPr>
        <w:t xml:space="preserve"> </w:t>
      </w:r>
      <w:r w:rsidRPr="00BB6220">
        <w:rPr>
          <w:lang w:eastAsia="en-NZ"/>
        </w:rPr>
        <w:t>only</w:t>
      </w:r>
      <w:r w:rsidR="003D640C">
        <w:rPr>
          <w:lang w:eastAsia="en-NZ"/>
        </w:rPr>
        <w:t xml:space="preserve"> </w:t>
      </w:r>
      <w:r w:rsidR="625A54A4" w:rsidRPr="00BB6220">
        <w:rPr>
          <w:lang w:eastAsia="en-NZ"/>
        </w:rPr>
        <w:t>affect</w:t>
      </w:r>
      <w:r w:rsidR="003D640C">
        <w:rPr>
          <w:lang w:eastAsia="en-NZ"/>
        </w:rPr>
        <w:t xml:space="preserve"> </w:t>
      </w:r>
      <w:r w:rsidRPr="00BB6220">
        <w:rPr>
          <w:lang w:eastAsia="en-NZ"/>
        </w:rPr>
        <w:t>the</w:t>
      </w:r>
      <w:r w:rsidR="003D640C">
        <w:rPr>
          <w:lang w:eastAsia="en-NZ"/>
        </w:rPr>
        <w:t xml:space="preserve"> </w:t>
      </w:r>
      <w:r w:rsidRPr="00BB6220">
        <w:rPr>
          <w:lang w:eastAsia="en-NZ"/>
        </w:rPr>
        <w:t>individual</w:t>
      </w:r>
      <w:r w:rsidR="003D640C">
        <w:rPr>
          <w:lang w:eastAsia="en-NZ"/>
        </w:rPr>
        <w:t xml:space="preserve"> </w:t>
      </w:r>
      <w:r w:rsidRPr="00BB6220">
        <w:rPr>
          <w:lang w:eastAsia="en-NZ"/>
        </w:rPr>
        <w:t>and</w:t>
      </w:r>
      <w:r w:rsidR="003D640C">
        <w:rPr>
          <w:lang w:eastAsia="en-NZ"/>
        </w:rPr>
        <w:t xml:space="preserve"> </w:t>
      </w:r>
      <w:r w:rsidRPr="00BB6220">
        <w:rPr>
          <w:lang w:eastAsia="en-NZ"/>
        </w:rPr>
        <w:t>not</w:t>
      </w:r>
      <w:r w:rsidR="003D640C">
        <w:rPr>
          <w:lang w:eastAsia="en-NZ"/>
        </w:rPr>
        <w:t xml:space="preserve"> </w:t>
      </w:r>
      <w:r w:rsidRPr="00BB6220">
        <w:rPr>
          <w:lang w:eastAsia="en-NZ"/>
        </w:rPr>
        <w:t>their</w:t>
      </w:r>
      <w:r w:rsidR="003D640C">
        <w:rPr>
          <w:lang w:eastAsia="en-NZ"/>
        </w:rPr>
        <w:t xml:space="preserve"> </w:t>
      </w:r>
      <w:r w:rsidRPr="00BB6220">
        <w:rPr>
          <w:lang w:eastAsia="en-NZ"/>
        </w:rPr>
        <w:t>whānau</w:t>
      </w:r>
      <w:r w:rsidR="003D640C">
        <w:rPr>
          <w:lang w:eastAsia="en-NZ"/>
        </w:rPr>
        <w:t xml:space="preserve"> </w:t>
      </w:r>
      <w:r w:rsidRPr="00BB6220">
        <w:rPr>
          <w:lang w:eastAsia="en-NZ"/>
        </w:rPr>
        <w:t>undermines</w:t>
      </w:r>
      <w:r w:rsidR="003D640C">
        <w:rPr>
          <w:lang w:eastAsia="en-NZ"/>
        </w:rPr>
        <w:t xml:space="preserve"> </w:t>
      </w:r>
      <w:r w:rsidRPr="00BB6220">
        <w:rPr>
          <w:lang w:eastAsia="en-NZ"/>
        </w:rPr>
        <w:t>core</w:t>
      </w:r>
      <w:r w:rsidR="003D640C">
        <w:rPr>
          <w:lang w:eastAsia="en-NZ"/>
        </w:rPr>
        <w:t xml:space="preserve"> </w:t>
      </w:r>
      <w:r w:rsidR="001C0007">
        <w:rPr>
          <w:lang w:eastAsia="en-NZ"/>
        </w:rPr>
        <w:t>collective</w:t>
      </w:r>
      <w:r w:rsidR="003D640C">
        <w:rPr>
          <w:lang w:eastAsia="en-NZ"/>
        </w:rPr>
        <w:t xml:space="preserve"> </w:t>
      </w:r>
      <w:r w:rsidRPr="00BB6220">
        <w:rPr>
          <w:lang w:eastAsia="en-NZ"/>
        </w:rPr>
        <w:t>Māori</w:t>
      </w:r>
      <w:r w:rsidR="003D640C">
        <w:rPr>
          <w:lang w:eastAsia="en-NZ"/>
        </w:rPr>
        <w:t xml:space="preserve"> </w:t>
      </w:r>
      <w:r w:rsidRPr="00BB6220">
        <w:rPr>
          <w:lang w:eastAsia="en-NZ"/>
        </w:rPr>
        <w:t>values</w:t>
      </w:r>
      <w:r w:rsidR="003D640C">
        <w:rPr>
          <w:lang w:eastAsia="en-NZ"/>
        </w:rPr>
        <w:t xml:space="preserve"> </w:t>
      </w:r>
      <w:r w:rsidRPr="00BB6220">
        <w:rPr>
          <w:lang w:eastAsia="en-NZ"/>
        </w:rPr>
        <w:t>and</w:t>
      </w:r>
      <w:r w:rsidR="003D640C">
        <w:rPr>
          <w:lang w:eastAsia="en-NZ"/>
        </w:rPr>
        <w:t xml:space="preserve"> </w:t>
      </w:r>
      <w:r w:rsidRPr="00BB6220">
        <w:rPr>
          <w:lang w:eastAsia="en-NZ"/>
        </w:rPr>
        <w:t>principles</w:t>
      </w:r>
      <w:r w:rsidR="003D640C">
        <w:rPr>
          <w:lang w:eastAsia="en-NZ"/>
        </w:rPr>
        <w:t xml:space="preserve"> </w:t>
      </w:r>
      <w:r w:rsidRPr="00BB6220">
        <w:rPr>
          <w:lang w:eastAsia="en-NZ"/>
        </w:rPr>
        <w:t>and</w:t>
      </w:r>
      <w:r w:rsidR="003D640C">
        <w:rPr>
          <w:lang w:eastAsia="en-NZ"/>
        </w:rPr>
        <w:t xml:space="preserve"> </w:t>
      </w:r>
      <w:r w:rsidRPr="00BB6220">
        <w:rPr>
          <w:lang w:eastAsia="en-NZ"/>
        </w:rPr>
        <w:t>makes</w:t>
      </w:r>
      <w:r w:rsidR="003D640C">
        <w:rPr>
          <w:lang w:eastAsia="en-NZ"/>
        </w:rPr>
        <w:t xml:space="preserve"> </w:t>
      </w:r>
      <w:r w:rsidRPr="00BB6220">
        <w:rPr>
          <w:lang w:eastAsia="en-NZ"/>
        </w:rPr>
        <w:t>it</w:t>
      </w:r>
      <w:r w:rsidR="003D640C">
        <w:rPr>
          <w:lang w:eastAsia="en-NZ"/>
        </w:rPr>
        <w:t xml:space="preserve"> </w:t>
      </w:r>
      <w:r w:rsidRPr="00BB6220">
        <w:rPr>
          <w:lang w:eastAsia="en-NZ"/>
        </w:rPr>
        <w:t>difficult</w:t>
      </w:r>
      <w:r w:rsidR="003D640C">
        <w:rPr>
          <w:lang w:eastAsia="en-NZ"/>
        </w:rPr>
        <w:t xml:space="preserve"> </w:t>
      </w:r>
      <w:r w:rsidRPr="00BB6220">
        <w:rPr>
          <w:lang w:eastAsia="en-NZ"/>
        </w:rPr>
        <w:t>to</w:t>
      </w:r>
      <w:r w:rsidR="003D640C">
        <w:rPr>
          <w:lang w:eastAsia="en-NZ"/>
        </w:rPr>
        <w:t xml:space="preserve"> </w:t>
      </w:r>
      <w:r w:rsidRPr="00BB6220">
        <w:rPr>
          <w:lang w:eastAsia="en-NZ"/>
        </w:rPr>
        <w:t>deal</w:t>
      </w:r>
      <w:r w:rsidR="003D640C">
        <w:rPr>
          <w:lang w:eastAsia="en-NZ"/>
        </w:rPr>
        <w:t xml:space="preserve"> </w:t>
      </w:r>
      <w:r w:rsidRPr="00BB6220">
        <w:rPr>
          <w:lang w:eastAsia="en-NZ"/>
        </w:rPr>
        <w:t>with</w:t>
      </w:r>
      <w:r w:rsidR="003D640C">
        <w:rPr>
          <w:lang w:eastAsia="en-NZ"/>
        </w:rPr>
        <w:t xml:space="preserve"> </w:t>
      </w:r>
      <w:r w:rsidRPr="00BB6220">
        <w:rPr>
          <w:lang w:eastAsia="en-NZ"/>
        </w:rPr>
        <w:t>whānau</w:t>
      </w:r>
      <w:r w:rsidR="003D640C">
        <w:rPr>
          <w:lang w:eastAsia="en-NZ"/>
        </w:rPr>
        <w:t xml:space="preserve"> </w:t>
      </w:r>
      <w:r w:rsidRPr="00BB6220">
        <w:rPr>
          <w:lang w:eastAsia="en-NZ"/>
        </w:rPr>
        <w:t>feelings</w:t>
      </w:r>
      <w:r w:rsidR="003D640C">
        <w:rPr>
          <w:lang w:eastAsia="en-NZ"/>
        </w:rPr>
        <w:t xml:space="preserve"> </w:t>
      </w:r>
      <w:r w:rsidRPr="00BB6220">
        <w:rPr>
          <w:lang w:eastAsia="en-NZ"/>
        </w:rPr>
        <w:t>of:</w:t>
      </w:r>
      <w:r w:rsidR="003D640C">
        <w:rPr>
          <w:lang w:eastAsia="en-NZ"/>
        </w:rPr>
        <w:t xml:space="preserve"> </w:t>
      </w:r>
    </w:p>
    <w:p w14:paraId="76E57A3B" w14:textId="03BC242C" w:rsidR="00A83BE9" w:rsidRPr="00BB6220" w:rsidRDefault="00251E1B" w:rsidP="002C6363">
      <w:pPr>
        <w:pStyle w:val="Bullet"/>
        <w:rPr>
          <w:lang w:eastAsia="en-NZ"/>
        </w:rPr>
      </w:pPr>
      <w:r>
        <w:rPr>
          <w:lang w:eastAsia="en-NZ"/>
        </w:rPr>
        <w:t>s</w:t>
      </w:r>
      <w:r w:rsidR="00A83BE9" w:rsidRPr="00BB6220">
        <w:rPr>
          <w:lang w:eastAsia="en-NZ"/>
        </w:rPr>
        <w:t>hock,</w:t>
      </w:r>
      <w:r w:rsidR="003D640C">
        <w:rPr>
          <w:lang w:eastAsia="en-NZ"/>
        </w:rPr>
        <w:t xml:space="preserve"> </w:t>
      </w:r>
      <w:r w:rsidR="00A83BE9" w:rsidRPr="00BB6220">
        <w:rPr>
          <w:lang w:eastAsia="en-NZ"/>
        </w:rPr>
        <w:t>embarrassment</w:t>
      </w:r>
      <w:r w:rsidR="58BC9CCD" w:rsidRPr="00BB6220">
        <w:rPr>
          <w:lang w:eastAsia="en-NZ"/>
        </w:rPr>
        <w:t>,</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denial</w:t>
      </w:r>
    </w:p>
    <w:p w14:paraId="0D5B4507" w14:textId="64BD7C0A" w:rsidR="00287D5C" w:rsidRPr="00BB6220" w:rsidRDefault="00251E1B" w:rsidP="002C6363">
      <w:pPr>
        <w:pStyle w:val="Bullet"/>
        <w:rPr>
          <w:lang w:eastAsia="en-NZ"/>
        </w:rPr>
      </w:pPr>
      <w:r>
        <w:rPr>
          <w:lang w:eastAsia="en-NZ"/>
        </w:rPr>
        <w:t>f</w:t>
      </w:r>
      <w:r w:rsidR="00A83BE9" w:rsidRPr="00BB6220">
        <w:rPr>
          <w:lang w:eastAsia="en-NZ"/>
        </w:rPr>
        <w:t>ear</w:t>
      </w:r>
      <w:r w:rsidR="003D640C">
        <w:rPr>
          <w:lang w:eastAsia="en-NZ"/>
        </w:rPr>
        <w:t xml:space="preserve"> </w:t>
      </w:r>
      <w:r w:rsidR="00A83BE9" w:rsidRPr="00BB6220">
        <w:rPr>
          <w:lang w:eastAsia="en-NZ"/>
        </w:rPr>
        <w:t>for</w:t>
      </w:r>
      <w:r w:rsidR="003D640C">
        <w:rPr>
          <w:lang w:eastAsia="en-NZ"/>
        </w:rPr>
        <w:t xml:space="preserve"> </w:t>
      </w:r>
      <w:r w:rsidR="00A83BE9" w:rsidRPr="00BB6220">
        <w:rPr>
          <w:lang w:eastAsia="en-NZ"/>
        </w:rPr>
        <w:t>their</w:t>
      </w:r>
      <w:r w:rsidR="003D640C">
        <w:rPr>
          <w:lang w:eastAsia="en-NZ"/>
        </w:rPr>
        <w:t xml:space="preserve"> </w:t>
      </w:r>
      <w:r w:rsidR="00A83BE9" w:rsidRPr="00BB6220">
        <w:rPr>
          <w:lang w:eastAsia="en-NZ"/>
        </w:rPr>
        <w:t>child’s</w:t>
      </w:r>
      <w:r w:rsidR="003D640C">
        <w:rPr>
          <w:lang w:eastAsia="en-NZ"/>
        </w:rPr>
        <w:t xml:space="preserve"> </w:t>
      </w:r>
      <w:r w:rsidR="00A83BE9" w:rsidRPr="00BB6220">
        <w:rPr>
          <w:lang w:eastAsia="en-NZ"/>
        </w:rPr>
        <w:t>safety</w:t>
      </w:r>
    </w:p>
    <w:p w14:paraId="5C8F2ECE" w14:textId="12509F75" w:rsidR="00A83BE9" w:rsidRPr="00BB6220" w:rsidRDefault="00251E1B" w:rsidP="002C6363">
      <w:pPr>
        <w:pStyle w:val="Bullet"/>
        <w:rPr>
          <w:lang w:eastAsia="en-NZ"/>
        </w:rPr>
      </w:pPr>
      <w:r>
        <w:rPr>
          <w:lang w:eastAsia="en-NZ"/>
        </w:rPr>
        <w:t>i</w:t>
      </w:r>
      <w:r w:rsidR="00A83BE9" w:rsidRPr="00BB6220">
        <w:rPr>
          <w:lang w:eastAsia="en-NZ"/>
        </w:rPr>
        <w:t>nner</w:t>
      </w:r>
      <w:r w:rsidR="003D640C">
        <w:rPr>
          <w:lang w:eastAsia="en-NZ"/>
        </w:rPr>
        <w:t xml:space="preserve"> </w:t>
      </w:r>
      <w:r w:rsidR="00A83BE9" w:rsidRPr="00BB6220">
        <w:rPr>
          <w:lang w:eastAsia="en-NZ"/>
        </w:rPr>
        <w:t>conflict</w:t>
      </w:r>
    </w:p>
    <w:p w14:paraId="28FDC34B" w14:textId="02E7454B" w:rsidR="00EE72E7" w:rsidRPr="00BB6220" w:rsidRDefault="00251E1B" w:rsidP="002C6363">
      <w:pPr>
        <w:pStyle w:val="Bullet"/>
        <w:rPr>
          <w:lang w:eastAsia="en-NZ"/>
        </w:rPr>
      </w:pPr>
      <w:r>
        <w:rPr>
          <w:lang w:eastAsia="en-NZ"/>
        </w:rPr>
        <w:t>g</w:t>
      </w:r>
      <w:r w:rsidR="00A83BE9" w:rsidRPr="00BB6220">
        <w:rPr>
          <w:lang w:eastAsia="en-NZ"/>
        </w:rPr>
        <w:t>rief</w:t>
      </w:r>
      <w:r w:rsidR="003D640C">
        <w:rPr>
          <w:lang w:eastAsia="en-NZ"/>
        </w:rPr>
        <w:t xml:space="preserve"> </w:t>
      </w:r>
      <w:r w:rsidR="00A83BE9" w:rsidRPr="00BB6220">
        <w:rPr>
          <w:lang w:eastAsia="en-NZ"/>
        </w:rPr>
        <w:t>from</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loss</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vision</w:t>
      </w:r>
      <w:r w:rsidR="003D640C">
        <w:rPr>
          <w:lang w:eastAsia="en-NZ"/>
        </w:rPr>
        <w:t xml:space="preserve"> </w:t>
      </w:r>
      <w:r w:rsidR="00A83BE9" w:rsidRPr="00BB6220">
        <w:rPr>
          <w:lang w:eastAsia="en-NZ"/>
        </w:rPr>
        <w:t>they</w:t>
      </w:r>
      <w:r w:rsidR="003D640C">
        <w:rPr>
          <w:lang w:eastAsia="en-NZ"/>
        </w:rPr>
        <w:t xml:space="preserve"> </w:t>
      </w:r>
      <w:r w:rsidR="00A83BE9" w:rsidRPr="00BB6220">
        <w:rPr>
          <w:lang w:eastAsia="en-NZ"/>
        </w:rPr>
        <w:t>had</w:t>
      </w:r>
      <w:r w:rsidR="003D640C">
        <w:rPr>
          <w:lang w:eastAsia="en-NZ"/>
        </w:rPr>
        <w:t xml:space="preserve"> </w:t>
      </w:r>
      <w:r w:rsidR="00A83BE9" w:rsidRPr="00BB6220">
        <w:rPr>
          <w:lang w:eastAsia="en-NZ"/>
        </w:rPr>
        <w:t>for</w:t>
      </w:r>
      <w:r w:rsidR="003D640C">
        <w:rPr>
          <w:lang w:eastAsia="en-NZ"/>
        </w:rPr>
        <w:t xml:space="preserve"> </w:t>
      </w:r>
      <w:r w:rsidR="00A83BE9" w:rsidRPr="00BB6220">
        <w:rPr>
          <w:lang w:eastAsia="en-NZ"/>
        </w:rPr>
        <w:t>their</w:t>
      </w:r>
      <w:r w:rsidR="003D640C">
        <w:rPr>
          <w:lang w:eastAsia="en-NZ"/>
        </w:rPr>
        <w:t xml:space="preserve"> </w:t>
      </w:r>
      <w:r w:rsidR="00A83BE9" w:rsidRPr="00BB6220">
        <w:rPr>
          <w:lang w:eastAsia="en-NZ"/>
        </w:rPr>
        <w:t>child’s</w:t>
      </w:r>
      <w:r w:rsidR="003D640C">
        <w:rPr>
          <w:lang w:eastAsia="en-NZ"/>
        </w:rPr>
        <w:t xml:space="preserve"> </w:t>
      </w:r>
      <w:r w:rsidR="00A83BE9" w:rsidRPr="00BB6220">
        <w:rPr>
          <w:lang w:eastAsia="en-NZ"/>
        </w:rPr>
        <w:t>future</w:t>
      </w:r>
      <w:r w:rsidR="003D640C">
        <w:rPr>
          <w:lang w:eastAsia="en-NZ"/>
        </w:rPr>
        <w:t xml:space="preserve"> </w:t>
      </w:r>
    </w:p>
    <w:p w14:paraId="44725540" w14:textId="06E443F3" w:rsidR="00501068" w:rsidRDefault="00251E1B" w:rsidP="002C6363">
      <w:pPr>
        <w:pStyle w:val="Bullet"/>
        <w:rPr>
          <w:lang w:eastAsia="en-NZ"/>
        </w:rPr>
      </w:pPr>
      <w:r>
        <w:rPr>
          <w:lang w:eastAsia="en-NZ"/>
        </w:rPr>
        <w:t>w</w:t>
      </w:r>
      <w:r w:rsidR="00A83BE9" w:rsidRPr="00BB6220">
        <w:rPr>
          <w:lang w:eastAsia="en-NZ"/>
        </w:rPr>
        <w:t>orry</w:t>
      </w:r>
      <w:r w:rsidR="003D640C">
        <w:rPr>
          <w:lang w:eastAsia="en-NZ"/>
        </w:rPr>
        <w:t xml:space="preserve"> </w:t>
      </w:r>
      <w:r w:rsidR="00A83BE9" w:rsidRPr="00BB6220">
        <w:rPr>
          <w:lang w:eastAsia="en-NZ"/>
        </w:rPr>
        <w:t>that</w:t>
      </w:r>
      <w:r w:rsidR="003D640C">
        <w:rPr>
          <w:lang w:eastAsia="en-NZ"/>
        </w:rPr>
        <w:t xml:space="preserve"> </w:t>
      </w:r>
      <w:r w:rsidR="00A83BE9" w:rsidRPr="00BB6220">
        <w:rPr>
          <w:lang w:eastAsia="en-NZ"/>
        </w:rPr>
        <w:t>they</w:t>
      </w:r>
      <w:r w:rsidR="003D640C">
        <w:rPr>
          <w:lang w:eastAsia="en-NZ"/>
        </w:rPr>
        <w:t xml:space="preserve"> </w:t>
      </w:r>
      <w:r w:rsidR="00A83BE9" w:rsidRPr="00BB6220">
        <w:rPr>
          <w:lang w:eastAsia="en-NZ"/>
        </w:rPr>
        <w:t>will</w:t>
      </w:r>
      <w:r w:rsidR="003D640C">
        <w:rPr>
          <w:lang w:eastAsia="en-NZ"/>
        </w:rPr>
        <w:t xml:space="preserve"> </w:t>
      </w:r>
      <w:r w:rsidR="00A83BE9" w:rsidRPr="00BB6220">
        <w:rPr>
          <w:lang w:eastAsia="en-NZ"/>
        </w:rPr>
        <w:t>have</w:t>
      </w:r>
      <w:r w:rsidR="003D640C">
        <w:rPr>
          <w:lang w:eastAsia="en-NZ"/>
        </w:rPr>
        <w:t xml:space="preserve"> </w:t>
      </w:r>
      <w:r w:rsidR="00A83BE9" w:rsidRPr="00BB6220">
        <w:rPr>
          <w:lang w:eastAsia="en-NZ"/>
        </w:rPr>
        <w:t>lost</w:t>
      </w:r>
      <w:r w:rsidR="003D640C">
        <w:rPr>
          <w:lang w:eastAsia="en-NZ"/>
        </w:rPr>
        <w:t xml:space="preserve"> </w:t>
      </w:r>
      <w:r w:rsidR="00A83BE9" w:rsidRPr="00BB6220">
        <w:rPr>
          <w:lang w:eastAsia="en-NZ"/>
        </w:rPr>
        <w:t>a</w:t>
      </w:r>
      <w:r w:rsidR="003D640C">
        <w:rPr>
          <w:lang w:eastAsia="en-NZ"/>
        </w:rPr>
        <w:t xml:space="preserve"> </w:t>
      </w:r>
      <w:r w:rsidR="00A83BE9" w:rsidRPr="00BB6220">
        <w:rPr>
          <w:lang w:eastAsia="en-NZ"/>
        </w:rPr>
        <w:t>child</w:t>
      </w:r>
      <w:r w:rsidR="003D640C">
        <w:rPr>
          <w:lang w:eastAsia="en-NZ"/>
        </w:rPr>
        <w:t xml:space="preserve"> </w:t>
      </w:r>
      <w:r w:rsidR="00287D5C" w:rsidRPr="00BB6220">
        <w:rPr>
          <w:lang w:eastAsia="en-NZ"/>
        </w:rPr>
        <w:t>if</w:t>
      </w:r>
      <w:r w:rsidR="003D640C">
        <w:rPr>
          <w:lang w:eastAsia="en-NZ"/>
        </w:rPr>
        <w:t xml:space="preserve"> </w:t>
      </w:r>
      <w:r w:rsidR="00287D5C" w:rsidRPr="00BB6220">
        <w:rPr>
          <w:lang w:eastAsia="en-NZ"/>
        </w:rPr>
        <w:t>the</w:t>
      </w:r>
      <w:r w:rsidR="003D640C">
        <w:rPr>
          <w:lang w:eastAsia="en-NZ"/>
        </w:rPr>
        <w:t xml:space="preserve"> </w:t>
      </w:r>
      <w:r w:rsidR="00287D5C" w:rsidRPr="00BB6220">
        <w:rPr>
          <w:lang w:eastAsia="en-NZ"/>
        </w:rPr>
        <w:t>child</w:t>
      </w:r>
      <w:r w:rsidR="003D640C">
        <w:rPr>
          <w:lang w:eastAsia="en-NZ"/>
        </w:rPr>
        <w:t xml:space="preserve"> </w:t>
      </w:r>
      <w:r w:rsidR="00287D5C" w:rsidRPr="00BB6220">
        <w:rPr>
          <w:lang w:eastAsia="en-NZ"/>
        </w:rPr>
        <w:t>goes</w:t>
      </w:r>
      <w:r w:rsidR="003D640C">
        <w:rPr>
          <w:lang w:eastAsia="en-NZ"/>
        </w:rPr>
        <w:t xml:space="preserve"> </w:t>
      </w:r>
      <w:r w:rsidR="00287D5C" w:rsidRPr="00BB6220">
        <w:rPr>
          <w:lang w:eastAsia="en-NZ"/>
        </w:rPr>
        <w:t>through</w:t>
      </w:r>
      <w:r w:rsidR="003D640C">
        <w:rPr>
          <w:lang w:eastAsia="en-NZ"/>
        </w:rPr>
        <w:t xml:space="preserve"> </w:t>
      </w:r>
      <w:r w:rsidR="00287D5C" w:rsidRPr="00BB6220">
        <w:rPr>
          <w:lang w:eastAsia="en-NZ"/>
        </w:rPr>
        <w:t>a</w:t>
      </w:r>
      <w:r w:rsidR="003D640C">
        <w:rPr>
          <w:lang w:eastAsia="en-NZ"/>
        </w:rPr>
        <w:t xml:space="preserve"> </w:t>
      </w:r>
      <w:r w:rsidR="00287D5C" w:rsidRPr="00BB6220">
        <w:rPr>
          <w:lang w:eastAsia="en-NZ"/>
        </w:rPr>
        <w:t>gender</w:t>
      </w:r>
      <w:r w:rsidR="003D640C">
        <w:rPr>
          <w:lang w:eastAsia="en-NZ"/>
        </w:rPr>
        <w:t xml:space="preserve"> </w:t>
      </w:r>
      <w:r w:rsidR="00A83BE9" w:rsidRPr="00BB6220">
        <w:rPr>
          <w:lang w:eastAsia="en-NZ"/>
        </w:rPr>
        <w:t>transition</w:t>
      </w:r>
      <w:r w:rsidR="00B11068">
        <w:rPr>
          <w:lang w:eastAsia="en-NZ"/>
        </w:rPr>
        <w:t>.</w:t>
      </w:r>
      <w:r w:rsidR="00B832F2" w:rsidRPr="00BB6220">
        <w:rPr>
          <w:rStyle w:val="FootnoteReference"/>
          <w:rFonts w:ascii="Calibri" w:eastAsia="Times New Roman" w:hAnsi="Calibri" w:cs="Calibri"/>
          <w:lang w:eastAsia="en-NZ"/>
        </w:rPr>
        <w:footnoteReference w:id="154"/>
      </w:r>
      <w:r w:rsidR="003D640C">
        <w:rPr>
          <w:vertAlign w:val="superscript"/>
          <w:lang w:eastAsia="en-NZ"/>
        </w:rPr>
        <w:t xml:space="preserve"> </w:t>
      </w:r>
    </w:p>
    <w:p w14:paraId="59AE0094" w14:textId="31408C8A" w:rsidR="00501068" w:rsidRDefault="00C75CBC" w:rsidP="002C6363">
      <w:pPr>
        <w:pStyle w:val="Quote"/>
      </w:pPr>
      <w:r w:rsidRPr="00BB6220">
        <w:t>“It’s</w:t>
      </w:r>
      <w:r w:rsidR="003D640C">
        <w:t xml:space="preserve"> </w:t>
      </w:r>
      <w:r w:rsidRPr="00BB6220">
        <w:t>really</w:t>
      </w:r>
      <w:r w:rsidR="003D640C">
        <w:t xml:space="preserve"> </w:t>
      </w:r>
      <w:r w:rsidRPr="00BB6220">
        <w:t>triggering.</w:t>
      </w:r>
      <w:r w:rsidR="003D640C">
        <w:t xml:space="preserve"> </w:t>
      </w:r>
      <w:r w:rsidRPr="00BB6220">
        <w:t>Very,</w:t>
      </w:r>
      <w:r w:rsidR="003D640C">
        <w:t xml:space="preserve"> </w:t>
      </w:r>
      <w:r w:rsidRPr="00BB6220">
        <w:t>very</w:t>
      </w:r>
      <w:r w:rsidR="003D640C">
        <w:t xml:space="preserve"> </w:t>
      </w:r>
      <w:r w:rsidRPr="00BB6220">
        <w:t>difficult</w:t>
      </w:r>
      <w:r w:rsidR="003D640C">
        <w:t xml:space="preserve"> </w:t>
      </w:r>
      <w:r w:rsidRPr="00BB6220">
        <w:t>to</w:t>
      </w:r>
      <w:r w:rsidR="003D640C">
        <w:t xml:space="preserve"> </w:t>
      </w:r>
      <w:r w:rsidRPr="00BB6220">
        <w:t>talk</w:t>
      </w:r>
      <w:r w:rsidR="003D640C">
        <w:t xml:space="preserve"> </w:t>
      </w:r>
      <w:r w:rsidRPr="00BB6220">
        <w:t>about.</w:t>
      </w:r>
      <w:r w:rsidR="003D640C">
        <w:t xml:space="preserve"> </w:t>
      </w:r>
      <w:r w:rsidRPr="00BB6220">
        <w:t>Been</w:t>
      </w:r>
      <w:r w:rsidR="003D640C">
        <w:t xml:space="preserve"> </w:t>
      </w:r>
      <w:r w:rsidRPr="00BB6220">
        <w:t>really,</w:t>
      </w:r>
      <w:r w:rsidR="003D640C">
        <w:t xml:space="preserve"> </w:t>
      </w:r>
      <w:r w:rsidRPr="00BB6220">
        <w:t>really</w:t>
      </w:r>
      <w:r w:rsidR="003D640C">
        <w:t xml:space="preserve"> </w:t>
      </w:r>
      <w:r w:rsidRPr="00BB6220">
        <w:t>anxious</w:t>
      </w:r>
      <w:r w:rsidR="003D640C">
        <w:t xml:space="preserve"> </w:t>
      </w:r>
      <w:r w:rsidRPr="00BB6220">
        <w:t>to</w:t>
      </w:r>
      <w:r w:rsidR="003D640C">
        <w:t xml:space="preserve"> </w:t>
      </w:r>
      <w:r w:rsidRPr="00BB6220">
        <w:t>even</w:t>
      </w:r>
      <w:r w:rsidR="003D640C">
        <w:t xml:space="preserve"> </w:t>
      </w:r>
      <w:r w:rsidRPr="00BB6220">
        <w:t>think</w:t>
      </w:r>
      <w:r w:rsidR="003D640C">
        <w:t xml:space="preserve"> </w:t>
      </w:r>
      <w:r w:rsidRPr="00BB6220">
        <w:t>about</w:t>
      </w:r>
      <w:r w:rsidR="003D640C">
        <w:t xml:space="preserve"> </w:t>
      </w:r>
      <w:r w:rsidRPr="00BB6220">
        <w:t>it.</w:t>
      </w:r>
      <w:r w:rsidR="00CD3E06">
        <w:t>”</w:t>
      </w:r>
      <w:r w:rsidR="003D640C">
        <w:t xml:space="preserve"> </w:t>
      </w:r>
      <w:r w:rsidRPr="00BB6220">
        <w:t>Māori,</w:t>
      </w:r>
      <w:r w:rsidR="003D640C">
        <w:t xml:space="preserve"> </w:t>
      </w:r>
      <w:r w:rsidR="1C152269" w:rsidRPr="00BB6220">
        <w:t>m</w:t>
      </w:r>
      <w:r w:rsidR="6C52729E" w:rsidRPr="00BB6220">
        <w:t>ale</w:t>
      </w:r>
      <w:r w:rsidR="003D640C">
        <w:t xml:space="preserve"> </w:t>
      </w:r>
      <w:r w:rsidRPr="00BB6220">
        <w:t>(describing</w:t>
      </w:r>
      <w:r w:rsidR="003D640C">
        <w:t xml:space="preserve"> </w:t>
      </w:r>
      <w:r w:rsidRPr="00BB6220">
        <w:t>his</w:t>
      </w:r>
      <w:r w:rsidR="003D640C">
        <w:t xml:space="preserve"> </w:t>
      </w:r>
      <w:r w:rsidRPr="00BB6220">
        <w:t>conversion</w:t>
      </w:r>
      <w:r w:rsidR="003D640C">
        <w:t xml:space="preserve"> </w:t>
      </w:r>
      <w:r w:rsidRPr="00BB6220">
        <w:t>practices</w:t>
      </w:r>
      <w:r w:rsidR="003D640C">
        <w:t xml:space="preserve"> </w:t>
      </w:r>
      <w:r w:rsidRPr="00BB6220">
        <w:t>experiences)</w:t>
      </w:r>
      <w:r w:rsidR="003D640C">
        <w:t xml:space="preserve"> </w:t>
      </w:r>
    </w:p>
    <w:p w14:paraId="087D22E2" w14:textId="373D7B96" w:rsidR="00501068" w:rsidRDefault="00A83BE9" w:rsidP="002C6363">
      <w:pPr>
        <w:rPr>
          <w:shd w:val="clear" w:color="auto" w:fill="FF00FF"/>
          <w:lang w:eastAsia="en-NZ"/>
        </w:rPr>
      </w:pPr>
      <w:r w:rsidRPr="00BB6220">
        <w:rPr>
          <w:lang w:eastAsia="en-NZ"/>
        </w:rPr>
        <w:t>Takatāpui</w:t>
      </w:r>
      <w:r w:rsidR="003D640C">
        <w:rPr>
          <w:lang w:eastAsia="en-NZ"/>
        </w:rPr>
        <w:t xml:space="preserve"> </w:t>
      </w:r>
      <w:r w:rsidRPr="00BB6220">
        <w:rPr>
          <w:lang w:eastAsia="en-NZ"/>
        </w:rPr>
        <w:t>and</w:t>
      </w:r>
      <w:r w:rsidR="003D640C">
        <w:rPr>
          <w:lang w:eastAsia="en-NZ"/>
        </w:rPr>
        <w:t xml:space="preserve"> </w:t>
      </w:r>
      <w:r w:rsidR="004F5650" w:rsidRPr="00BB6220">
        <w:rPr>
          <w:lang w:eastAsia="en-NZ"/>
        </w:rPr>
        <w:t>Māori</w:t>
      </w:r>
      <w:r w:rsidR="004F5650">
        <w:rPr>
          <w:lang w:eastAsia="en-NZ"/>
        </w:rPr>
        <w:t xml:space="preserve"> </w:t>
      </w:r>
      <w:r w:rsidR="00D6400E" w:rsidRPr="00BB6220">
        <w:rPr>
          <w:lang w:eastAsia="en-NZ"/>
        </w:rPr>
        <w:t>Rainbow</w:t>
      </w:r>
      <w:r w:rsidR="003D640C" w:rsidDel="004F5650">
        <w:rPr>
          <w:lang w:eastAsia="en-NZ"/>
        </w:rPr>
        <w:t xml:space="preserve"> </w:t>
      </w:r>
      <w:r w:rsidRPr="00BB6220">
        <w:rPr>
          <w:lang w:eastAsia="en-NZ"/>
        </w:rPr>
        <w:t>family</w:t>
      </w:r>
      <w:r w:rsidR="003D640C">
        <w:rPr>
          <w:lang w:eastAsia="en-NZ"/>
        </w:rPr>
        <w:t xml:space="preserve"> </w:t>
      </w:r>
      <w:r w:rsidRPr="00BB6220">
        <w:rPr>
          <w:lang w:eastAsia="en-NZ"/>
        </w:rPr>
        <w:t>structures</w:t>
      </w:r>
      <w:r w:rsidR="003D640C">
        <w:rPr>
          <w:lang w:eastAsia="en-NZ"/>
        </w:rPr>
        <w:t xml:space="preserve"> </w:t>
      </w:r>
      <w:r w:rsidRPr="00BB6220">
        <w:rPr>
          <w:lang w:eastAsia="en-NZ"/>
        </w:rPr>
        <w:t>are</w:t>
      </w:r>
      <w:r w:rsidR="003D640C">
        <w:rPr>
          <w:lang w:eastAsia="en-NZ"/>
        </w:rPr>
        <w:t xml:space="preserve"> </w:t>
      </w:r>
      <w:r w:rsidR="009315E7">
        <w:rPr>
          <w:lang w:eastAsia="en-NZ"/>
        </w:rPr>
        <w:t>also</w:t>
      </w:r>
      <w:r w:rsidR="003D640C">
        <w:rPr>
          <w:lang w:eastAsia="en-NZ"/>
        </w:rPr>
        <w:t xml:space="preserve"> </w:t>
      </w:r>
      <w:r w:rsidRPr="00BB6220">
        <w:rPr>
          <w:lang w:eastAsia="en-NZ"/>
        </w:rPr>
        <w:t>susceptible</w:t>
      </w:r>
      <w:r w:rsidR="003D640C">
        <w:rPr>
          <w:lang w:eastAsia="en-NZ"/>
        </w:rPr>
        <w:t xml:space="preserve"> </w:t>
      </w:r>
      <w:r w:rsidRPr="00BB6220">
        <w:rPr>
          <w:lang w:eastAsia="en-NZ"/>
        </w:rPr>
        <w:t>to</w:t>
      </w:r>
      <w:r w:rsidR="003D640C">
        <w:rPr>
          <w:lang w:eastAsia="en-NZ"/>
        </w:rPr>
        <w:t xml:space="preserve"> </w:t>
      </w:r>
      <w:r w:rsidRPr="00BB6220">
        <w:rPr>
          <w:lang w:eastAsia="en-NZ"/>
        </w:rPr>
        <w:t>stigma</w:t>
      </w:r>
      <w:r w:rsidR="003D640C">
        <w:rPr>
          <w:lang w:eastAsia="en-NZ"/>
        </w:rPr>
        <w:t xml:space="preserve"> </w:t>
      </w:r>
      <w:r w:rsidRPr="00BB6220">
        <w:rPr>
          <w:lang w:eastAsia="en-NZ"/>
        </w:rPr>
        <w:t>and</w:t>
      </w:r>
      <w:r w:rsidR="003D640C">
        <w:rPr>
          <w:lang w:eastAsia="en-NZ"/>
        </w:rPr>
        <w:t xml:space="preserve"> </w:t>
      </w:r>
      <w:r w:rsidRPr="00BB6220">
        <w:rPr>
          <w:lang w:eastAsia="en-NZ"/>
        </w:rPr>
        <w:t>harm.</w:t>
      </w:r>
      <w:r w:rsidR="003D640C">
        <w:rPr>
          <w:lang w:eastAsia="en-NZ"/>
        </w:rPr>
        <w:t xml:space="preserve"> </w:t>
      </w:r>
      <w:r w:rsidRPr="00BB6220">
        <w:rPr>
          <w:lang w:eastAsia="en-NZ"/>
        </w:rPr>
        <w:t>Parents</w:t>
      </w:r>
      <w:r w:rsidR="003D640C">
        <w:rPr>
          <w:lang w:eastAsia="en-NZ"/>
        </w:rPr>
        <w:t xml:space="preserve"> </w:t>
      </w:r>
      <w:r w:rsidR="0099112B" w:rsidRPr="00BB6220">
        <w:rPr>
          <w:lang w:eastAsia="en-NZ"/>
        </w:rPr>
        <w:t>of</w:t>
      </w:r>
      <w:r w:rsidR="003D640C">
        <w:rPr>
          <w:lang w:eastAsia="en-NZ"/>
        </w:rPr>
        <w:t xml:space="preserve"> </w:t>
      </w:r>
      <w:r w:rsidR="000922EC" w:rsidRPr="00BB6220">
        <w:rPr>
          <w:lang w:eastAsia="en-NZ"/>
        </w:rPr>
        <w:t>takatāpui</w:t>
      </w:r>
      <w:r w:rsidR="003D640C">
        <w:rPr>
          <w:lang w:eastAsia="en-NZ"/>
        </w:rPr>
        <w:t xml:space="preserve"> </w:t>
      </w:r>
      <w:r w:rsidR="00EB3AD1" w:rsidRPr="00BB6220">
        <w:rPr>
          <w:lang w:eastAsia="en-NZ"/>
        </w:rPr>
        <w:t>children</w:t>
      </w:r>
      <w:r w:rsidR="003D640C">
        <w:rPr>
          <w:lang w:eastAsia="en-NZ"/>
        </w:rPr>
        <w:t xml:space="preserve"> </w:t>
      </w:r>
      <w:r w:rsidRPr="00BB6220">
        <w:rPr>
          <w:lang w:eastAsia="en-NZ"/>
        </w:rPr>
        <w:t>reported</w:t>
      </w:r>
      <w:r w:rsidR="003D640C">
        <w:rPr>
          <w:lang w:eastAsia="en-NZ"/>
        </w:rPr>
        <w:t xml:space="preserve"> </w:t>
      </w:r>
      <w:r w:rsidR="00126B4B" w:rsidRPr="00BB6220">
        <w:rPr>
          <w:lang w:eastAsia="en-NZ"/>
        </w:rPr>
        <w:t>that</w:t>
      </w:r>
      <w:r w:rsidR="003D640C">
        <w:rPr>
          <w:lang w:eastAsia="en-NZ"/>
        </w:rPr>
        <w:t xml:space="preserve"> </w:t>
      </w:r>
      <w:r w:rsidRPr="00BB6220">
        <w:rPr>
          <w:lang w:eastAsia="en-NZ"/>
        </w:rPr>
        <w:t>they</w:t>
      </w:r>
      <w:r w:rsidR="003D640C">
        <w:rPr>
          <w:lang w:eastAsia="en-NZ"/>
        </w:rPr>
        <w:t xml:space="preserve"> </w:t>
      </w:r>
      <w:r w:rsidRPr="00BB6220">
        <w:rPr>
          <w:lang w:eastAsia="en-NZ"/>
        </w:rPr>
        <w:t>face</w:t>
      </w:r>
      <w:r w:rsidR="003D640C">
        <w:rPr>
          <w:lang w:eastAsia="en-NZ"/>
        </w:rPr>
        <w:t xml:space="preserve"> </w:t>
      </w:r>
      <w:r w:rsidRPr="00BB6220">
        <w:rPr>
          <w:lang w:eastAsia="en-NZ"/>
        </w:rPr>
        <w:t>challenges</w:t>
      </w:r>
      <w:r w:rsidR="003D640C">
        <w:rPr>
          <w:lang w:eastAsia="en-NZ"/>
        </w:rPr>
        <w:t xml:space="preserve"> </w:t>
      </w:r>
      <w:r w:rsidRPr="00BB6220">
        <w:rPr>
          <w:lang w:eastAsia="en-NZ"/>
        </w:rPr>
        <w:t>associated</w:t>
      </w:r>
      <w:r w:rsidR="003D640C">
        <w:rPr>
          <w:lang w:eastAsia="en-NZ"/>
        </w:rPr>
        <w:t xml:space="preserve"> </w:t>
      </w:r>
      <w:r w:rsidRPr="00BB6220">
        <w:rPr>
          <w:lang w:eastAsia="en-NZ"/>
        </w:rPr>
        <w:t>with</w:t>
      </w:r>
      <w:r w:rsidR="003D640C">
        <w:rPr>
          <w:lang w:eastAsia="en-NZ"/>
        </w:rPr>
        <w:t xml:space="preserve"> </w:t>
      </w:r>
      <w:r w:rsidRPr="00BB6220">
        <w:rPr>
          <w:lang w:eastAsia="en-NZ"/>
        </w:rPr>
        <w:t>racism,</w:t>
      </w:r>
      <w:r w:rsidR="003D640C">
        <w:rPr>
          <w:lang w:eastAsia="en-NZ"/>
        </w:rPr>
        <w:t xml:space="preserve"> </w:t>
      </w:r>
      <w:r w:rsidRPr="00BB6220">
        <w:rPr>
          <w:lang w:eastAsia="en-NZ"/>
        </w:rPr>
        <w:t>homophobia</w:t>
      </w:r>
      <w:r w:rsidR="73869E80"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transphobia</w:t>
      </w:r>
      <w:r w:rsidR="003D640C">
        <w:rPr>
          <w:lang w:eastAsia="en-NZ"/>
        </w:rPr>
        <w:t xml:space="preserve"> </w:t>
      </w:r>
      <w:r w:rsidRPr="00BB6220">
        <w:rPr>
          <w:lang w:eastAsia="en-NZ"/>
        </w:rPr>
        <w:t>when</w:t>
      </w:r>
      <w:r w:rsidR="003D640C">
        <w:rPr>
          <w:lang w:eastAsia="en-NZ"/>
        </w:rPr>
        <w:t xml:space="preserve"> </w:t>
      </w:r>
      <w:r w:rsidRPr="00BB6220">
        <w:rPr>
          <w:lang w:eastAsia="en-NZ"/>
        </w:rPr>
        <w:t>raising</w:t>
      </w:r>
      <w:r w:rsidR="003D640C">
        <w:rPr>
          <w:lang w:eastAsia="en-NZ"/>
        </w:rPr>
        <w:t xml:space="preserve"> </w:t>
      </w:r>
      <w:r w:rsidRPr="00BB6220">
        <w:rPr>
          <w:lang w:eastAsia="en-NZ"/>
        </w:rPr>
        <w:t>their</w:t>
      </w:r>
      <w:r w:rsidR="003D640C">
        <w:rPr>
          <w:lang w:eastAsia="en-NZ"/>
        </w:rPr>
        <w:t xml:space="preserve"> </w:t>
      </w:r>
      <w:r w:rsidRPr="00BB6220">
        <w:rPr>
          <w:lang w:eastAsia="en-NZ"/>
        </w:rPr>
        <w:t>children.</w:t>
      </w:r>
      <w:r w:rsidR="003D640C">
        <w:rPr>
          <w:lang w:eastAsia="en-NZ"/>
        </w:rPr>
        <w:t xml:space="preserve"> </w:t>
      </w:r>
      <w:r w:rsidRPr="00BB6220">
        <w:rPr>
          <w:lang w:eastAsia="en-NZ"/>
        </w:rPr>
        <w:t>They</w:t>
      </w:r>
      <w:r w:rsidR="003D640C">
        <w:rPr>
          <w:lang w:eastAsia="en-NZ"/>
        </w:rPr>
        <w:t xml:space="preserve"> </w:t>
      </w:r>
      <w:r w:rsidR="00793AC5">
        <w:rPr>
          <w:lang w:eastAsia="en-NZ"/>
        </w:rPr>
        <w:t>a</w:t>
      </w:r>
      <w:r w:rsidR="00793AC5" w:rsidRPr="00BB6220">
        <w:rPr>
          <w:lang w:eastAsia="en-NZ"/>
        </w:rPr>
        <w:t>re</w:t>
      </w:r>
      <w:r w:rsidR="003D640C">
        <w:rPr>
          <w:lang w:eastAsia="en-NZ"/>
        </w:rPr>
        <w:t xml:space="preserve"> </w:t>
      </w:r>
      <w:r w:rsidRPr="00BB6220">
        <w:rPr>
          <w:lang w:eastAsia="en-NZ"/>
        </w:rPr>
        <w:t>subjected</w:t>
      </w:r>
      <w:r w:rsidR="003D640C">
        <w:rPr>
          <w:lang w:eastAsia="en-NZ"/>
        </w:rPr>
        <w:t xml:space="preserve"> </w:t>
      </w:r>
      <w:r w:rsidRPr="00BB6220">
        <w:rPr>
          <w:lang w:eastAsia="en-NZ"/>
        </w:rPr>
        <w:t>to</w:t>
      </w:r>
      <w:r w:rsidR="003D640C">
        <w:rPr>
          <w:lang w:eastAsia="en-NZ"/>
        </w:rPr>
        <w:t xml:space="preserve"> </w:t>
      </w:r>
      <w:r w:rsidRPr="00BB6220">
        <w:rPr>
          <w:lang w:eastAsia="en-NZ"/>
        </w:rPr>
        <w:t>threats</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custody</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Pr="00BB6220">
        <w:rPr>
          <w:lang w:eastAsia="en-NZ"/>
        </w:rPr>
        <w:t>children,</w:t>
      </w:r>
      <w:r w:rsidR="003D640C">
        <w:rPr>
          <w:lang w:eastAsia="en-NZ"/>
        </w:rPr>
        <w:t xml:space="preserve"> </w:t>
      </w:r>
      <w:r w:rsidRPr="00BB6220">
        <w:rPr>
          <w:lang w:eastAsia="en-NZ"/>
        </w:rPr>
        <w:t>rejection</w:t>
      </w:r>
      <w:r w:rsidR="003D640C">
        <w:rPr>
          <w:lang w:eastAsia="en-NZ"/>
        </w:rPr>
        <w:t xml:space="preserve"> </w:t>
      </w:r>
      <w:r w:rsidRPr="00BB6220">
        <w:rPr>
          <w:lang w:eastAsia="en-NZ"/>
        </w:rPr>
        <w:t>by</w:t>
      </w:r>
      <w:r w:rsidR="003D640C">
        <w:rPr>
          <w:lang w:eastAsia="en-NZ"/>
        </w:rPr>
        <w:t xml:space="preserve"> </w:t>
      </w:r>
      <w:r w:rsidRPr="00BB6220">
        <w:rPr>
          <w:lang w:eastAsia="en-NZ"/>
        </w:rPr>
        <w:t>whānau</w:t>
      </w:r>
      <w:r w:rsidR="003D640C">
        <w:rPr>
          <w:lang w:eastAsia="en-NZ"/>
        </w:rPr>
        <w:t xml:space="preserve"> </w:t>
      </w:r>
      <w:r w:rsidRPr="00BB6220">
        <w:rPr>
          <w:lang w:eastAsia="en-NZ"/>
        </w:rPr>
        <w:t>members</w:t>
      </w:r>
      <w:r w:rsidR="003D640C">
        <w:rPr>
          <w:lang w:eastAsia="en-NZ"/>
        </w:rPr>
        <w:t xml:space="preserve"> </w:t>
      </w:r>
      <w:r w:rsidRPr="00BB6220">
        <w:rPr>
          <w:lang w:eastAsia="en-NZ"/>
        </w:rPr>
        <w:t>and</w:t>
      </w:r>
      <w:r w:rsidR="003D640C">
        <w:rPr>
          <w:lang w:eastAsia="en-NZ"/>
        </w:rPr>
        <w:t xml:space="preserve"> </w:t>
      </w:r>
      <w:r w:rsidRPr="00BB6220">
        <w:rPr>
          <w:lang w:eastAsia="en-NZ"/>
        </w:rPr>
        <w:t>others,</w:t>
      </w:r>
      <w:r w:rsidR="003D640C">
        <w:rPr>
          <w:lang w:eastAsia="en-NZ"/>
        </w:rPr>
        <w:t xml:space="preserve"> </w:t>
      </w:r>
      <w:r w:rsidRPr="00BB6220">
        <w:rPr>
          <w:lang w:eastAsia="en-NZ"/>
        </w:rPr>
        <w:t>and</w:t>
      </w:r>
      <w:r w:rsidR="003D640C">
        <w:rPr>
          <w:lang w:eastAsia="en-NZ"/>
        </w:rPr>
        <w:t xml:space="preserve"> </w:t>
      </w:r>
      <w:r w:rsidRPr="00BB6220">
        <w:rPr>
          <w:lang w:eastAsia="en-NZ"/>
        </w:rPr>
        <w:t>having</w:t>
      </w:r>
      <w:r w:rsidR="003D640C">
        <w:rPr>
          <w:lang w:eastAsia="en-NZ"/>
        </w:rPr>
        <w:t xml:space="preserve"> </w:t>
      </w:r>
      <w:r w:rsidRPr="00BB6220">
        <w:rPr>
          <w:lang w:eastAsia="en-NZ"/>
        </w:rPr>
        <w:t>their</w:t>
      </w:r>
      <w:r w:rsidR="003D640C">
        <w:rPr>
          <w:lang w:eastAsia="en-NZ"/>
        </w:rPr>
        <w:t xml:space="preserve"> </w:t>
      </w:r>
      <w:r w:rsidRPr="00BB6220">
        <w:rPr>
          <w:lang w:eastAsia="en-NZ"/>
        </w:rPr>
        <w:t>rights</w:t>
      </w:r>
      <w:r w:rsidR="003D640C">
        <w:rPr>
          <w:lang w:eastAsia="en-NZ"/>
        </w:rPr>
        <w:t xml:space="preserve"> </w:t>
      </w:r>
      <w:r w:rsidRPr="00BB6220">
        <w:rPr>
          <w:lang w:eastAsia="en-NZ"/>
        </w:rPr>
        <w:t>questioned</w:t>
      </w:r>
      <w:r w:rsidR="003D640C">
        <w:rPr>
          <w:lang w:eastAsia="en-NZ"/>
        </w:rPr>
        <w:t xml:space="preserve"> </w:t>
      </w:r>
      <w:r w:rsidRPr="00BB6220">
        <w:rPr>
          <w:lang w:eastAsia="en-NZ"/>
        </w:rPr>
        <w:t>due</w:t>
      </w:r>
      <w:r w:rsidR="003D640C">
        <w:rPr>
          <w:lang w:eastAsia="en-NZ"/>
        </w:rPr>
        <w:t xml:space="preserve"> </w:t>
      </w:r>
      <w:r w:rsidRPr="00BB6220">
        <w:rPr>
          <w:lang w:eastAsia="en-NZ"/>
        </w:rPr>
        <w:t>to</w:t>
      </w:r>
      <w:r w:rsidR="003D640C">
        <w:rPr>
          <w:lang w:eastAsia="en-NZ"/>
        </w:rPr>
        <w:t xml:space="preserve"> </w:t>
      </w:r>
      <w:r w:rsidRPr="00BB6220">
        <w:rPr>
          <w:lang w:eastAsia="en-NZ"/>
        </w:rPr>
        <w:t>their</w:t>
      </w:r>
      <w:r w:rsidR="003D640C">
        <w:rPr>
          <w:lang w:eastAsia="en-NZ"/>
        </w:rPr>
        <w:t xml:space="preserve"> </w:t>
      </w:r>
      <w:r w:rsidR="00D6400E" w:rsidRPr="00BB6220">
        <w:rPr>
          <w:lang w:eastAsia="en-NZ"/>
        </w:rPr>
        <w:t>children’s</w:t>
      </w:r>
      <w:r w:rsidR="003D640C">
        <w:rPr>
          <w:lang w:eastAsia="en-NZ"/>
        </w:rPr>
        <w:t xml:space="preserve"> </w:t>
      </w:r>
      <w:r w:rsidR="00D6400E" w:rsidRPr="00BB6220">
        <w:rPr>
          <w:lang w:eastAsia="en-NZ"/>
        </w:rPr>
        <w:t>Rainbow</w:t>
      </w:r>
      <w:r w:rsidR="003D640C">
        <w:rPr>
          <w:lang w:eastAsia="en-NZ"/>
        </w:rPr>
        <w:t xml:space="preserve"> </w:t>
      </w:r>
      <w:r w:rsidR="00607AE8" w:rsidRPr="00BB6220">
        <w:rPr>
          <w:lang w:eastAsia="en-NZ"/>
        </w:rPr>
        <w:t>and</w:t>
      </w:r>
      <w:r w:rsidR="003D640C">
        <w:rPr>
          <w:lang w:eastAsia="en-NZ"/>
        </w:rPr>
        <w:t xml:space="preserve"> </w:t>
      </w:r>
      <w:r w:rsidRPr="00BB6220">
        <w:rPr>
          <w:lang w:eastAsia="en-NZ"/>
        </w:rPr>
        <w:t>takatāpui</w:t>
      </w:r>
      <w:r w:rsidR="003D640C">
        <w:rPr>
          <w:lang w:eastAsia="en-NZ"/>
        </w:rPr>
        <w:t xml:space="preserve"> </w:t>
      </w:r>
      <w:r w:rsidRPr="00BB6220">
        <w:rPr>
          <w:lang w:eastAsia="en-NZ"/>
        </w:rPr>
        <w:t>identities.</w:t>
      </w:r>
      <w:r w:rsidR="00FD3EF5" w:rsidRPr="00BB6220">
        <w:rPr>
          <w:rStyle w:val="FootnoteReference"/>
          <w:rFonts w:ascii="Calibri" w:eastAsia="Times New Roman" w:hAnsi="Calibri" w:cs="Calibri"/>
          <w:lang w:eastAsia="en-NZ"/>
        </w:rPr>
        <w:footnoteReference w:id="155"/>
      </w:r>
      <w:r w:rsidR="003D640C">
        <w:rPr>
          <w:lang w:eastAsia="en-NZ"/>
        </w:rPr>
        <w:t xml:space="preserve"> </w:t>
      </w:r>
    </w:p>
    <w:p w14:paraId="4060113C" w14:textId="258D0069" w:rsidR="00A83BE9" w:rsidRPr="00BB6220" w:rsidRDefault="00A83BE9" w:rsidP="002C6363">
      <w:pPr>
        <w:rPr>
          <w:rFonts w:ascii="Segoe UI" w:hAnsi="Segoe UI" w:cs="Segoe UI"/>
          <w:lang w:eastAsia="en-NZ"/>
        </w:rPr>
      </w:pPr>
      <w:r w:rsidRPr="00BB6220">
        <w:rPr>
          <w:lang w:eastAsia="en-NZ"/>
        </w:rPr>
        <w:lastRenderedPageBreak/>
        <w:t>In</w:t>
      </w:r>
      <w:r w:rsidR="003D640C">
        <w:rPr>
          <w:lang w:eastAsia="en-NZ"/>
        </w:rPr>
        <w:t xml:space="preserve"> </w:t>
      </w:r>
      <w:r w:rsidRPr="00BB6220">
        <w:rPr>
          <w:lang w:eastAsia="en-NZ"/>
        </w:rPr>
        <w:t>addition</w:t>
      </w:r>
      <w:r w:rsidR="003D640C">
        <w:rPr>
          <w:lang w:eastAsia="en-NZ"/>
        </w:rPr>
        <w:t xml:space="preserve"> </w:t>
      </w:r>
      <w:r w:rsidRPr="00BB6220">
        <w:rPr>
          <w:lang w:eastAsia="en-NZ"/>
        </w:rPr>
        <w:t>to</w:t>
      </w:r>
      <w:r w:rsidR="003D640C">
        <w:rPr>
          <w:lang w:eastAsia="en-NZ"/>
        </w:rPr>
        <w:t xml:space="preserve"> </w:t>
      </w:r>
      <w:r w:rsidRPr="00BB6220">
        <w:rPr>
          <w:lang w:eastAsia="en-NZ"/>
        </w:rPr>
        <w:t>direct</w:t>
      </w:r>
      <w:r w:rsidR="003D640C">
        <w:rPr>
          <w:lang w:eastAsia="en-NZ"/>
        </w:rPr>
        <w:t xml:space="preserve"> </w:t>
      </w:r>
      <w:r w:rsidRPr="00BB6220">
        <w:rPr>
          <w:lang w:eastAsia="en-NZ"/>
        </w:rPr>
        <w:t>violence</w:t>
      </w:r>
      <w:r w:rsidR="003D640C">
        <w:rPr>
          <w:lang w:eastAsia="en-NZ"/>
        </w:rPr>
        <w:t xml:space="preserve"> </w:t>
      </w:r>
      <w:r w:rsidRPr="00BB6220">
        <w:rPr>
          <w:lang w:eastAsia="en-NZ"/>
        </w:rPr>
        <w:t>and</w:t>
      </w:r>
      <w:r w:rsidR="003D640C">
        <w:rPr>
          <w:lang w:eastAsia="en-NZ"/>
        </w:rPr>
        <w:t xml:space="preserve"> </w:t>
      </w:r>
      <w:r w:rsidRPr="00BB6220">
        <w:rPr>
          <w:lang w:eastAsia="en-NZ"/>
        </w:rPr>
        <w:t>discrimination</w:t>
      </w:r>
      <w:r w:rsidR="003D640C">
        <w:rPr>
          <w:lang w:eastAsia="en-NZ"/>
        </w:rPr>
        <w:t xml:space="preserve"> </w:t>
      </w:r>
      <w:r w:rsidR="00C904C5">
        <w:rPr>
          <w:lang w:eastAsia="en-NZ"/>
        </w:rPr>
        <w:t>towards</w:t>
      </w:r>
      <w:r w:rsidR="003D640C">
        <w:rPr>
          <w:lang w:eastAsia="en-NZ"/>
        </w:rPr>
        <w:t xml:space="preserve"> </w:t>
      </w:r>
      <w:r w:rsidR="00371B82" w:rsidRPr="00BB6220">
        <w:rPr>
          <w:lang w:eastAsia="en-NZ"/>
        </w:rPr>
        <w:t>takatāpui</w:t>
      </w:r>
      <w:r w:rsidR="00371B82">
        <w:rPr>
          <w:lang w:eastAsia="en-NZ"/>
        </w:rPr>
        <w:t xml:space="preserve"> </w:t>
      </w:r>
      <w:r w:rsidR="00371B82" w:rsidRPr="00BB6220">
        <w:rPr>
          <w:lang w:eastAsia="en-NZ"/>
        </w:rPr>
        <w:t>and</w:t>
      </w:r>
      <w:r w:rsidR="00371B82">
        <w:rPr>
          <w:lang w:eastAsia="en-NZ"/>
        </w:rPr>
        <w:t xml:space="preserve"> </w:t>
      </w:r>
      <w:r w:rsidR="00D6400E" w:rsidRPr="00BB6220">
        <w:rPr>
          <w:lang w:eastAsia="en-NZ"/>
        </w:rPr>
        <w:t>Rainbow</w:t>
      </w:r>
      <w:r w:rsidR="003D640C">
        <w:rPr>
          <w:lang w:eastAsia="en-NZ"/>
        </w:rPr>
        <w:t xml:space="preserve"> </w:t>
      </w:r>
      <w:r w:rsidRPr="00BB6220">
        <w:rPr>
          <w:lang w:eastAsia="en-NZ"/>
        </w:rPr>
        <w:t>Māori,</w:t>
      </w:r>
      <w:r w:rsidR="003D640C">
        <w:rPr>
          <w:lang w:eastAsia="en-NZ"/>
        </w:rPr>
        <w:t xml:space="preserve"> </w:t>
      </w:r>
      <w:r w:rsidRPr="00BB6220">
        <w:rPr>
          <w:lang w:eastAsia="en-NZ"/>
        </w:rPr>
        <w:t>historical</w:t>
      </w:r>
      <w:r w:rsidR="003D640C">
        <w:rPr>
          <w:lang w:eastAsia="en-NZ"/>
        </w:rPr>
        <w:t xml:space="preserve"> </w:t>
      </w:r>
      <w:r w:rsidRPr="00BB6220">
        <w:rPr>
          <w:lang w:eastAsia="en-NZ"/>
        </w:rPr>
        <w:t>and</w:t>
      </w:r>
      <w:r w:rsidR="003D640C">
        <w:rPr>
          <w:lang w:eastAsia="en-NZ"/>
        </w:rPr>
        <w:t xml:space="preserve"> </w:t>
      </w:r>
      <w:r w:rsidRPr="00BB6220">
        <w:rPr>
          <w:lang w:eastAsia="en-NZ"/>
        </w:rPr>
        <w:t>intergenerational</w:t>
      </w:r>
      <w:r w:rsidR="003D640C">
        <w:rPr>
          <w:lang w:eastAsia="en-NZ"/>
        </w:rPr>
        <w:t xml:space="preserve"> </w:t>
      </w:r>
      <w:r w:rsidRPr="00BB6220">
        <w:rPr>
          <w:lang w:eastAsia="en-NZ"/>
        </w:rPr>
        <w:t>impacts</w:t>
      </w:r>
      <w:r w:rsidR="003D640C">
        <w:rPr>
          <w:lang w:eastAsia="en-NZ"/>
        </w:rPr>
        <w:t xml:space="preserve"> </w:t>
      </w:r>
      <w:r w:rsidRPr="00BB6220">
        <w:rPr>
          <w:lang w:eastAsia="en-NZ"/>
        </w:rPr>
        <w:t>of</w:t>
      </w:r>
      <w:r w:rsidR="003D640C">
        <w:rPr>
          <w:lang w:eastAsia="en-NZ"/>
        </w:rPr>
        <w:t xml:space="preserve"> </w:t>
      </w:r>
      <w:r w:rsidRPr="00BB6220">
        <w:rPr>
          <w:lang w:eastAsia="en-NZ"/>
        </w:rPr>
        <w:t>colonisation</w:t>
      </w:r>
      <w:r w:rsidR="003D640C">
        <w:rPr>
          <w:lang w:eastAsia="en-NZ"/>
        </w:rPr>
        <w:t xml:space="preserve"> </w:t>
      </w:r>
      <w:r w:rsidR="00F54DA7">
        <w:rPr>
          <w:lang w:eastAsia="en-NZ"/>
        </w:rPr>
        <w:t>can</w:t>
      </w:r>
      <w:r w:rsidR="003D640C">
        <w:rPr>
          <w:lang w:eastAsia="en-NZ"/>
        </w:rPr>
        <w:t xml:space="preserve"> </w:t>
      </w:r>
      <w:r w:rsidR="00F54DA7">
        <w:rPr>
          <w:lang w:eastAsia="en-NZ"/>
        </w:rPr>
        <w:t>include</w:t>
      </w:r>
      <w:r w:rsidR="005E0957">
        <w:rPr>
          <w:lang w:eastAsia="en-NZ"/>
        </w:rPr>
        <w:t>:</w:t>
      </w:r>
      <w:r w:rsidR="004C748A" w:rsidRPr="00BB6220">
        <w:rPr>
          <w:rStyle w:val="FootnoteReference"/>
          <w:rFonts w:ascii="Calibri" w:eastAsia="Times New Roman" w:hAnsi="Calibri" w:cs="Calibri"/>
          <w:lang w:eastAsia="en-NZ"/>
        </w:rPr>
        <w:footnoteReference w:id="156"/>
      </w:r>
      <w:r w:rsidR="003D640C">
        <w:rPr>
          <w:lang w:eastAsia="en-NZ"/>
        </w:rPr>
        <w:t xml:space="preserve"> </w:t>
      </w:r>
    </w:p>
    <w:p w14:paraId="4081F43A" w14:textId="24E54CE7" w:rsidR="00A83BE9" w:rsidRPr="00BB6220" w:rsidRDefault="00251E1B" w:rsidP="002C6363">
      <w:pPr>
        <w:pStyle w:val="Bullet"/>
        <w:rPr>
          <w:lang w:eastAsia="en-NZ"/>
        </w:rPr>
      </w:pPr>
      <w:r>
        <w:rPr>
          <w:lang w:eastAsia="en-NZ"/>
        </w:rPr>
        <w:t>i</w:t>
      </w:r>
      <w:r w:rsidR="00A83BE9" w:rsidRPr="00BB6220">
        <w:rPr>
          <w:lang w:eastAsia="en-NZ"/>
        </w:rPr>
        <w:t>nternalising</w:t>
      </w:r>
      <w:r w:rsidR="003D640C">
        <w:rPr>
          <w:lang w:eastAsia="en-NZ"/>
        </w:rPr>
        <w:t xml:space="preserve"> </w:t>
      </w:r>
      <w:r w:rsidR="00A83BE9" w:rsidRPr="00BB6220">
        <w:rPr>
          <w:lang w:eastAsia="en-NZ"/>
        </w:rPr>
        <w:t>conversion</w:t>
      </w:r>
      <w:r w:rsidR="003D640C">
        <w:rPr>
          <w:lang w:eastAsia="en-NZ"/>
        </w:rPr>
        <w:t xml:space="preserve"> </w:t>
      </w:r>
      <w:r w:rsidR="00A83BE9" w:rsidRPr="00BB6220">
        <w:rPr>
          <w:lang w:eastAsia="en-NZ"/>
        </w:rPr>
        <w:t>ideology</w:t>
      </w:r>
      <w:r w:rsidR="007B79F1" w:rsidRPr="00BB6220">
        <w:rPr>
          <w:rStyle w:val="FootnoteReference"/>
          <w:rFonts w:ascii="Calibri" w:eastAsia="Times New Roman" w:hAnsi="Calibri" w:cs="Calibri"/>
          <w:lang w:eastAsia="en-NZ"/>
        </w:rPr>
        <w:footnoteReference w:id="157"/>
      </w:r>
      <w:r w:rsidR="003D640C">
        <w:rPr>
          <w:lang w:eastAsia="en-NZ"/>
        </w:rPr>
        <w:t xml:space="preserve"> </w:t>
      </w:r>
    </w:p>
    <w:p w14:paraId="54832F35" w14:textId="535B7D6A" w:rsidR="00A83BE9" w:rsidRPr="00BB6220" w:rsidRDefault="00251E1B" w:rsidP="002C6363">
      <w:pPr>
        <w:pStyle w:val="Bullet"/>
        <w:rPr>
          <w:rFonts w:ascii="Calibri" w:eastAsia="Times New Roman" w:hAnsi="Calibri" w:cs="Calibri"/>
          <w:lang w:eastAsia="en-NZ"/>
        </w:rPr>
      </w:pPr>
      <w:r>
        <w:rPr>
          <w:rFonts w:ascii="Calibri" w:eastAsia="Times New Roman" w:hAnsi="Calibri" w:cs="Calibri"/>
          <w:lang w:eastAsia="en-NZ"/>
        </w:rPr>
        <w:t>m</w:t>
      </w:r>
      <w:r w:rsidR="00A83BE9" w:rsidRPr="00BB6220">
        <w:rPr>
          <w:rFonts w:ascii="Calibri" w:eastAsia="Times New Roman" w:hAnsi="Calibri" w:cs="Calibri"/>
          <w:lang w:eastAsia="en-NZ"/>
        </w:rPr>
        <w:t>ultifaceted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marginalisation,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for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example</w:t>
      </w:r>
      <w:r w:rsidR="005E0957">
        <w:rPr>
          <w:rFonts w:ascii="Calibri" w:eastAsia="Times New Roman" w:hAnsi="Calibri" w:cs="Calibri"/>
          <w:lang w:eastAsia="en-NZ"/>
        </w:rPr>
        <w: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being</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excluded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00D6400E" w:rsidRPr="00BB6220">
        <w:rPr>
          <w:rFonts w:ascii="Calibri" w:eastAsia="Times New Roman" w:hAnsi="Calibri" w:cs="Calibri"/>
          <w:lang w:eastAsia="en-NZ"/>
        </w:rPr>
        <w:t>Rainbow</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spaces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because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racism</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being</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excluded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cultural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spaces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because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their</w:t>
      </w:r>
      <w:r w:rsidR="003D640C">
        <w:rPr>
          <w:rFonts w:ascii="Calibri" w:eastAsia="Times New Roman" w:hAnsi="Calibri" w:cs="Calibri"/>
          <w:lang w:eastAsia="en-NZ"/>
        </w:rPr>
        <w:t xml:space="preserve"> </w:t>
      </w:r>
      <w:r w:rsidR="00404B18" w:rsidRPr="00BB6220">
        <w:rPr>
          <w:rFonts w:ascii="Calibri" w:eastAsia="Times New Roman" w:hAnsi="Calibri" w:cs="Calibri"/>
          <w:lang w:eastAsia="en-NZ"/>
        </w:rPr>
        <w:t>sexual</w:t>
      </w:r>
      <w:r w:rsidR="003D640C">
        <w:rPr>
          <w:rFonts w:ascii="Calibri" w:eastAsia="Times New Roman" w:hAnsi="Calibri" w:cs="Calibri"/>
          <w:lang w:eastAsia="en-NZ"/>
        </w:rPr>
        <w:t xml:space="preserve"> </w:t>
      </w:r>
      <w:r w:rsidR="00404B18" w:rsidRPr="00BB6220">
        <w:rPr>
          <w:rFonts w:ascii="Calibri" w:eastAsia="Times New Roman" w:hAnsi="Calibri" w:cs="Calibri"/>
          <w:lang w:eastAsia="en-NZ"/>
        </w:rPr>
        <w:t>orientation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gender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identity</w:t>
      </w:r>
      <w:r w:rsidR="00F943BA" w:rsidRPr="00BB6220">
        <w:rPr>
          <w:rStyle w:val="FootnoteReference"/>
          <w:rFonts w:ascii="Calibri" w:eastAsia="Times New Roman" w:hAnsi="Calibri" w:cs="Calibri"/>
          <w:lang w:eastAsia="en-NZ"/>
        </w:rPr>
        <w:footnoteReference w:id="158"/>
      </w:r>
      <w:r w:rsidR="003D640C">
        <w:rPr>
          <w:rFonts w:ascii="Calibri" w:eastAsia="Times New Roman" w:hAnsi="Calibri" w:cs="Calibri"/>
          <w:lang w:eastAsia="en-NZ"/>
        </w:rPr>
        <w:t xml:space="preserve"> </w:t>
      </w:r>
    </w:p>
    <w:p w14:paraId="47B6F1CD" w14:textId="0F58F77C" w:rsidR="00A83BE9" w:rsidRPr="00BB6220" w:rsidRDefault="00251E1B" w:rsidP="002C6363">
      <w:pPr>
        <w:pStyle w:val="Bullet"/>
        <w:rPr>
          <w:rFonts w:ascii="Calibri" w:eastAsia="Times New Roman" w:hAnsi="Calibri" w:cs="Calibri"/>
          <w:lang w:eastAsia="en-NZ"/>
        </w:rPr>
      </w:pPr>
      <w:r>
        <w:rPr>
          <w:rFonts w:ascii="Calibri" w:eastAsia="Times New Roman" w:hAnsi="Calibri" w:cs="Calibri"/>
          <w:lang w:eastAsia="en-NZ"/>
        </w:rPr>
        <w:t>b</w:t>
      </w:r>
      <w:r w:rsidR="00A83BE9" w:rsidRPr="00BB6220">
        <w:rPr>
          <w:rFonts w:ascii="Calibri" w:eastAsia="Times New Roman" w:hAnsi="Calibri" w:cs="Calibri"/>
          <w:lang w:eastAsia="en-NZ"/>
        </w:rPr>
        <w:t>eing</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judged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by</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other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for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not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being</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raised</w:t>
      </w:r>
      <w:r w:rsidR="003D640C">
        <w:rPr>
          <w:rFonts w:ascii="Calibri" w:eastAsia="Times New Roman" w:hAnsi="Calibri" w:cs="Calibri"/>
          <w:lang w:eastAsia="en-NZ"/>
        </w:rPr>
        <w:t xml:space="preserve"> </w:t>
      </w:r>
      <w:r w:rsidR="00904E55"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or</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confident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traditional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cultural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p>
    <w:p w14:paraId="4E2FA6F9" w14:textId="77777777" w:rsidR="00501068" w:rsidRDefault="00251E1B" w:rsidP="002C6363">
      <w:pPr>
        <w:pStyle w:val="Bullet"/>
        <w:rPr>
          <w:rFonts w:ascii="Calibri" w:eastAsia="Times New Roman" w:hAnsi="Calibri" w:cs="Calibri"/>
          <w:lang w:eastAsia="en-NZ"/>
        </w:rPr>
      </w:pPr>
      <w:r>
        <w:rPr>
          <w:rFonts w:ascii="Calibri" w:eastAsia="Times New Roman" w:hAnsi="Calibri" w:cs="Calibri"/>
          <w:lang w:eastAsia="en-NZ"/>
        </w:rPr>
        <w:t>f</w:t>
      </w:r>
      <w:r w:rsidR="00A83BE9" w:rsidRPr="00BB6220">
        <w:rPr>
          <w:rFonts w:ascii="Calibri" w:eastAsia="Times New Roman" w:hAnsi="Calibri" w:cs="Calibri"/>
          <w:lang w:eastAsia="en-NZ"/>
        </w:rPr>
        <w:t>ears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distrust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government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due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historical</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current</w:t>
      </w:r>
      <w:r w:rsidR="003D640C">
        <w:rPr>
          <w:rFonts w:ascii="Calibri" w:eastAsia="Times New Roman" w:hAnsi="Calibri" w:cs="Calibri"/>
          <w:lang w:eastAsia="en-NZ"/>
        </w:rPr>
        <w:t xml:space="preserve"> </w:t>
      </w:r>
      <w:r w:rsidR="00904E55" w:rsidRPr="00BB6220">
        <w:rPr>
          <w:rFonts w:ascii="Calibri" w:eastAsia="Times New Roman" w:hAnsi="Calibri" w:cs="Calibri"/>
          <w:lang w:eastAsia="en-NZ"/>
        </w:rPr>
        <w:t>in</w:t>
      </w:r>
      <w:r w:rsidR="00A83BE9" w:rsidRPr="00BB6220">
        <w:rPr>
          <w:rFonts w:ascii="Calibri" w:eastAsia="Times New Roman" w:hAnsi="Calibri" w:cs="Calibri"/>
          <w:lang w:eastAsia="en-NZ"/>
        </w:rPr>
        <w:t>justice</w:t>
      </w:r>
      <w:r w:rsidR="00904E55" w:rsidRPr="00BB6220">
        <w:rPr>
          <w:rFonts w:ascii="Calibri" w:eastAsia="Times New Roman" w:hAnsi="Calibri" w:cs="Calibri"/>
          <w:lang w:eastAsia="en-NZ"/>
        </w:rPr>
        <w:t>s</w:t>
      </w:r>
    </w:p>
    <w:p w14:paraId="59F7C81B" w14:textId="6CDB27A8" w:rsidR="00501068" w:rsidRDefault="006A583E" w:rsidP="002C6363">
      <w:pPr>
        <w:rPr>
          <w:lang w:eastAsia="en-NZ"/>
        </w:rPr>
      </w:pPr>
      <w:r w:rsidRPr="00BB6220">
        <w:rPr>
          <w:lang w:eastAsia="en-NZ"/>
        </w:rPr>
        <w:t>A</w:t>
      </w:r>
      <w:r w:rsidR="003D640C">
        <w:rPr>
          <w:lang w:eastAsia="en-NZ"/>
        </w:rPr>
        <w:t xml:space="preserve"> </w:t>
      </w:r>
      <w:r w:rsidRPr="00BB6220">
        <w:rPr>
          <w:lang w:eastAsia="en-NZ"/>
        </w:rPr>
        <w:t>2023</w:t>
      </w:r>
      <w:r w:rsidR="003D640C">
        <w:rPr>
          <w:lang w:eastAsia="en-NZ"/>
        </w:rPr>
        <w:t xml:space="preserve"> </w:t>
      </w:r>
      <w:r w:rsidRPr="00BB6220">
        <w:rPr>
          <w:lang w:eastAsia="en-NZ"/>
        </w:rPr>
        <w:t>report</w:t>
      </w:r>
      <w:r w:rsidR="003D640C">
        <w:rPr>
          <w:lang w:eastAsia="en-NZ"/>
        </w:rPr>
        <w:t xml:space="preserve"> </w:t>
      </w:r>
      <w:r w:rsidRPr="00BB6220">
        <w:rPr>
          <w:lang w:eastAsia="en-NZ"/>
        </w:rPr>
        <w:t>from</w:t>
      </w:r>
      <w:r w:rsidR="003D640C">
        <w:rPr>
          <w:lang w:eastAsia="en-NZ"/>
        </w:rPr>
        <w:t xml:space="preserve"> </w:t>
      </w:r>
      <w:r w:rsidR="005E0957">
        <w:rPr>
          <w:lang w:eastAsia="en-NZ"/>
        </w:rPr>
        <w:t>T</w:t>
      </w:r>
      <w:r w:rsidRPr="00BB6220">
        <w:rPr>
          <w:lang w:eastAsia="en-NZ"/>
        </w:rPr>
        <w:t>he</w:t>
      </w:r>
      <w:r w:rsidR="003D640C">
        <w:rPr>
          <w:lang w:eastAsia="en-NZ"/>
        </w:rPr>
        <w:t xml:space="preserve"> </w:t>
      </w:r>
      <w:r w:rsidRPr="00BB6220">
        <w:rPr>
          <w:lang w:eastAsia="en-NZ"/>
        </w:rPr>
        <w:t>Disinformation</w:t>
      </w:r>
      <w:r w:rsidR="003D640C">
        <w:rPr>
          <w:lang w:eastAsia="en-NZ"/>
        </w:rPr>
        <w:t xml:space="preserve"> </w:t>
      </w:r>
      <w:r w:rsidRPr="00BB6220">
        <w:rPr>
          <w:lang w:eastAsia="en-NZ"/>
        </w:rPr>
        <w:t>Project</w:t>
      </w:r>
      <w:r w:rsidR="003D640C">
        <w:rPr>
          <w:lang w:eastAsia="en-NZ"/>
        </w:rPr>
        <w:t xml:space="preserve"> </w:t>
      </w:r>
      <w:r w:rsidRPr="00BB6220">
        <w:rPr>
          <w:lang w:eastAsia="en-NZ"/>
        </w:rPr>
        <w:t>focused</w:t>
      </w:r>
      <w:r w:rsidR="003D640C">
        <w:rPr>
          <w:lang w:eastAsia="en-NZ"/>
        </w:rPr>
        <w:t xml:space="preserve"> </w:t>
      </w:r>
      <w:r w:rsidRPr="00BB6220">
        <w:rPr>
          <w:lang w:eastAsia="en-NZ"/>
        </w:rPr>
        <w:t>on</w:t>
      </w:r>
      <w:r w:rsidR="003D640C">
        <w:rPr>
          <w:lang w:eastAsia="en-NZ"/>
        </w:rPr>
        <w:t xml:space="preserve"> </w:t>
      </w:r>
      <w:r w:rsidRPr="00BB6220">
        <w:rPr>
          <w:lang w:eastAsia="en-NZ"/>
        </w:rPr>
        <w:t>trends</w:t>
      </w:r>
      <w:r w:rsidR="003D640C">
        <w:rPr>
          <w:lang w:eastAsia="en-NZ"/>
        </w:rPr>
        <w:t xml:space="preserve"> </w:t>
      </w:r>
      <w:r w:rsidRPr="00BB6220">
        <w:rPr>
          <w:lang w:eastAsia="en-NZ"/>
        </w:rPr>
        <w:t>in</w:t>
      </w:r>
      <w:r w:rsidR="003D640C">
        <w:rPr>
          <w:lang w:eastAsia="en-NZ"/>
        </w:rPr>
        <w:t xml:space="preserve"> </w:t>
      </w:r>
      <w:r w:rsidRPr="00BB6220">
        <w:rPr>
          <w:lang w:eastAsia="en-NZ"/>
        </w:rPr>
        <w:t>disinformation</w:t>
      </w:r>
      <w:r w:rsidR="003D640C">
        <w:rPr>
          <w:lang w:eastAsia="en-NZ"/>
        </w:rPr>
        <w:t xml:space="preserve"> </w:t>
      </w:r>
      <w:r w:rsidRPr="00BB6220">
        <w:rPr>
          <w:lang w:eastAsia="en-NZ"/>
        </w:rPr>
        <w:t>targeting</w:t>
      </w:r>
      <w:r w:rsidR="003D640C">
        <w:rPr>
          <w:lang w:eastAsia="en-NZ"/>
        </w:rPr>
        <w:t xml:space="preserve"> </w:t>
      </w:r>
      <w:r w:rsidR="00B47EE4">
        <w:rPr>
          <w:lang w:eastAsia="en-NZ"/>
        </w:rPr>
        <w:t>trans</w:t>
      </w:r>
      <w:r w:rsidR="003D640C">
        <w:rPr>
          <w:lang w:eastAsia="en-NZ"/>
        </w:rPr>
        <w:t xml:space="preserve"> </w:t>
      </w:r>
      <w:r w:rsidR="00B47EE4">
        <w:rPr>
          <w:lang w:eastAsia="en-NZ"/>
        </w:rPr>
        <w:t>people</w:t>
      </w:r>
      <w:r w:rsidR="003D640C">
        <w:rPr>
          <w:lang w:eastAsia="en-NZ"/>
        </w:rPr>
        <w:t xml:space="preserve"> </w:t>
      </w:r>
      <w:r w:rsidR="00B47EE4">
        <w:rPr>
          <w:lang w:eastAsia="en-NZ"/>
        </w:rPr>
        <w:t>in</w:t>
      </w:r>
      <w:r w:rsidR="003D640C">
        <w:rPr>
          <w:lang w:eastAsia="en-NZ"/>
        </w:rPr>
        <w:t xml:space="preserve"> </w:t>
      </w:r>
      <w:r w:rsidR="00B47EE4">
        <w:rPr>
          <w:lang w:eastAsia="en-NZ"/>
        </w:rPr>
        <w:t>Aotearoa</w:t>
      </w:r>
      <w:r w:rsidRPr="00BB6220">
        <w:rPr>
          <w:lang w:eastAsia="en-NZ"/>
        </w:rPr>
        <w:t>.</w:t>
      </w:r>
      <w:r w:rsidR="00143259" w:rsidRPr="00BB6220">
        <w:rPr>
          <w:rStyle w:val="FootnoteReference"/>
          <w:rFonts w:ascii="Calibri" w:eastAsia="Times New Roman" w:hAnsi="Calibri" w:cs="Calibri"/>
          <w:lang w:eastAsia="en-NZ"/>
        </w:rPr>
        <w:footnoteReference w:id="159"/>
      </w:r>
      <w:r w:rsidR="003D640C">
        <w:rPr>
          <w:lang w:eastAsia="en-NZ"/>
        </w:rPr>
        <w:t xml:space="preserve"> </w:t>
      </w:r>
      <w:r w:rsidRPr="00BB6220">
        <w:rPr>
          <w:lang w:eastAsia="en-NZ"/>
        </w:rPr>
        <w:t>The</w:t>
      </w:r>
      <w:r w:rsidR="003D640C">
        <w:rPr>
          <w:lang w:eastAsia="en-NZ"/>
        </w:rPr>
        <w:t xml:space="preserve"> </w:t>
      </w:r>
      <w:r w:rsidRPr="00BB6220">
        <w:rPr>
          <w:lang w:eastAsia="en-NZ"/>
        </w:rPr>
        <w:t>report</w:t>
      </w:r>
      <w:r w:rsidR="003D640C">
        <w:rPr>
          <w:lang w:eastAsia="en-NZ"/>
        </w:rPr>
        <w:t xml:space="preserve"> </w:t>
      </w:r>
      <w:r w:rsidR="007B4439">
        <w:rPr>
          <w:lang w:eastAsia="en-NZ"/>
        </w:rPr>
        <w:t>found</w:t>
      </w:r>
      <w:r w:rsidR="003D640C">
        <w:rPr>
          <w:lang w:eastAsia="en-NZ"/>
        </w:rPr>
        <w:t xml:space="preserve"> </w:t>
      </w:r>
      <w:r w:rsidR="007B4439">
        <w:rPr>
          <w:lang w:eastAsia="en-NZ"/>
        </w:rPr>
        <w:t>that</w:t>
      </w:r>
      <w:r w:rsidR="003D640C">
        <w:rPr>
          <w:lang w:eastAsia="en-NZ"/>
        </w:rPr>
        <w:t xml:space="preserve"> </w:t>
      </w:r>
      <w:r w:rsidR="007B4439">
        <w:rPr>
          <w:lang w:eastAsia="en-NZ"/>
        </w:rPr>
        <w:t>hatred</w:t>
      </w:r>
      <w:r w:rsidR="003D640C">
        <w:rPr>
          <w:lang w:eastAsia="en-NZ"/>
        </w:rPr>
        <w:t xml:space="preserve"> </w:t>
      </w:r>
      <w:r w:rsidR="007B4439">
        <w:rPr>
          <w:lang w:eastAsia="en-NZ"/>
        </w:rPr>
        <w:t>towards</w:t>
      </w:r>
      <w:r w:rsidR="003D640C">
        <w:rPr>
          <w:lang w:eastAsia="en-NZ"/>
        </w:rPr>
        <w:t xml:space="preserve"> </w:t>
      </w:r>
      <w:r w:rsidR="00F34AC8">
        <w:rPr>
          <w:lang w:eastAsia="en-NZ"/>
        </w:rPr>
        <w:t>transgender</w:t>
      </w:r>
      <w:r w:rsidR="003D640C">
        <w:rPr>
          <w:lang w:eastAsia="en-NZ"/>
        </w:rPr>
        <w:t xml:space="preserve"> </w:t>
      </w:r>
      <w:r w:rsidR="00F34AC8">
        <w:rPr>
          <w:lang w:eastAsia="en-NZ"/>
        </w:rPr>
        <w:t>people</w:t>
      </w:r>
      <w:r w:rsidR="003D640C">
        <w:rPr>
          <w:lang w:eastAsia="en-NZ"/>
        </w:rPr>
        <w:t xml:space="preserve"> </w:t>
      </w:r>
      <w:r w:rsidR="00F34AC8">
        <w:rPr>
          <w:lang w:eastAsia="en-NZ"/>
        </w:rPr>
        <w:t>in</w:t>
      </w:r>
      <w:r w:rsidR="003D640C">
        <w:rPr>
          <w:lang w:eastAsia="en-NZ"/>
        </w:rPr>
        <w:t xml:space="preserve"> </w:t>
      </w:r>
      <w:r w:rsidR="00F34AC8">
        <w:rPr>
          <w:lang w:eastAsia="en-NZ"/>
        </w:rPr>
        <w:t>Aotearoa</w:t>
      </w:r>
      <w:r w:rsidR="003D640C">
        <w:rPr>
          <w:lang w:eastAsia="en-NZ"/>
        </w:rPr>
        <w:t xml:space="preserve"> </w:t>
      </w:r>
      <w:r w:rsidR="00F34AC8">
        <w:rPr>
          <w:lang w:eastAsia="en-NZ"/>
        </w:rPr>
        <w:t>increased</w:t>
      </w:r>
      <w:r w:rsidR="003D640C">
        <w:rPr>
          <w:lang w:eastAsia="en-NZ"/>
        </w:rPr>
        <w:t xml:space="preserve"> </w:t>
      </w:r>
      <w:r w:rsidR="00F34AC8">
        <w:rPr>
          <w:lang w:eastAsia="en-NZ"/>
        </w:rPr>
        <w:t>significantly</w:t>
      </w:r>
      <w:r w:rsidR="003D640C">
        <w:rPr>
          <w:lang w:eastAsia="en-NZ"/>
        </w:rPr>
        <w:t xml:space="preserve"> </w:t>
      </w:r>
      <w:r w:rsidR="00F34AC8">
        <w:rPr>
          <w:lang w:eastAsia="en-NZ"/>
        </w:rPr>
        <w:t>in</w:t>
      </w:r>
      <w:r w:rsidR="003D640C">
        <w:rPr>
          <w:lang w:eastAsia="en-NZ"/>
        </w:rPr>
        <w:t xml:space="preserve"> </w:t>
      </w:r>
      <w:r w:rsidR="00F34AC8">
        <w:rPr>
          <w:lang w:eastAsia="en-NZ"/>
        </w:rPr>
        <w:t>2023</w:t>
      </w:r>
      <w:r w:rsidR="003D640C">
        <w:rPr>
          <w:lang w:eastAsia="en-NZ"/>
        </w:rPr>
        <w:t xml:space="preserve"> </w:t>
      </w:r>
      <w:r w:rsidR="00EF57B7">
        <w:rPr>
          <w:lang w:eastAsia="en-NZ"/>
        </w:rPr>
        <w:t>on</w:t>
      </w:r>
      <w:r w:rsidR="003D640C">
        <w:rPr>
          <w:lang w:eastAsia="en-NZ"/>
        </w:rPr>
        <w:t xml:space="preserve"> </w:t>
      </w:r>
      <w:r w:rsidR="00EF57B7">
        <w:rPr>
          <w:lang w:eastAsia="en-NZ"/>
        </w:rPr>
        <w:t>social</w:t>
      </w:r>
      <w:r w:rsidR="003D640C">
        <w:rPr>
          <w:lang w:eastAsia="en-NZ"/>
        </w:rPr>
        <w:t xml:space="preserve"> </w:t>
      </w:r>
      <w:r w:rsidR="00EF57B7">
        <w:rPr>
          <w:lang w:eastAsia="en-NZ"/>
        </w:rPr>
        <w:t>media</w:t>
      </w:r>
      <w:r w:rsidR="00F34AC8">
        <w:rPr>
          <w:lang w:eastAsia="en-NZ"/>
        </w:rPr>
        <w:t>.</w:t>
      </w:r>
      <w:r w:rsidR="003D640C">
        <w:rPr>
          <w:lang w:eastAsia="en-NZ"/>
        </w:rPr>
        <w:t xml:space="preserve"> </w:t>
      </w:r>
      <w:r w:rsidR="0002083B">
        <w:rPr>
          <w:lang w:eastAsia="en-NZ"/>
        </w:rPr>
        <w:t>Th</w:t>
      </w:r>
      <w:r w:rsidR="00F9495D">
        <w:rPr>
          <w:lang w:eastAsia="en-NZ"/>
        </w:rPr>
        <w:t>eir</w:t>
      </w:r>
      <w:r w:rsidR="003D640C">
        <w:rPr>
          <w:lang w:eastAsia="en-NZ"/>
        </w:rPr>
        <w:t xml:space="preserve"> </w:t>
      </w:r>
      <w:r w:rsidR="0002083B">
        <w:rPr>
          <w:lang w:eastAsia="en-NZ"/>
        </w:rPr>
        <w:t>research</w:t>
      </w:r>
      <w:r w:rsidR="003D640C">
        <w:rPr>
          <w:lang w:eastAsia="en-NZ"/>
        </w:rPr>
        <w:t xml:space="preserve"> </w:t>
      </w:r>
      <w:r w:rsidR="008259E7">
        <w:rPr>
          <w:lang w:eastAsia="en-NZ"/>
        </w:rPr>
        <w:t>found</w:t>
      </w:r>
      <w:r w:rsidR="003D640C">
        <w:rPr>
          <w:lang w:eastAsia="en-NZ"/>
        </w:rPr>
        <w:t xml:space="preserve"> </w:t>
      </w:r>
      <w:r w:rsidR="008259E7">
        <w:rPr>
          <w:lang w:eastAsia="en-NZ"/>
        </w:rPr>
        <w:t>that</w:t>
      </w:r>
      <w:r w:rsidR="003D640C">
        <w:rPr>
          <w:lang w:eastAsia="en-NZ"/>
        </w:rPr>
        <w:t xml:space="preserve"> </w:t>
      </w:r>
      <w:r w:rsidR="008259E7">
        <w:rPr>
          <w:lang w:eastAsia="en-NZ"/>
        </w:rPr>
        <w:t>this</w:t>
      </w:r>
      <w:r w:rsidR="00876F72">
        <w:rPr>
          <w:lang w:eastAsia="en-NZ"/>
        </w:rPr>
        <w:t xml:space="preserve"> timing</w:t>
      </w:r>
      <w:r w:rsidR="003D640C">
        <w:rPr>
          <w:lang w:eastAsia="en-NZ"/>
        </w:rPr>
        <w:t xml:space="preserve"> </w:t>
      </w:r>
      <w:r w:rsidR="008259E7">
        <w:rPr>
          <w:lang w:eastAsia="en-NZ"/>
        </w:rPr>
        <w:t>coincided</w:t>
      </w:r>
      <w:r w:rsidR="003D640C">
        <w:rPr>
          <w:lang w:eastAsia="en-NZ"/>
        </w:rPr>
        <w:t xml:space="preserve"> </w:t>
      </w:r>
      <w:r w:rsidR="008259E7">
        <w:rPr>
          <w:lang w:eastAsia="en-NZ"/>
        </w:rPr>
        <w:t>with</w:t>
      </w:r>
      <w:r w:rsidR="003D640C">
        <w:rPr>
          <w:lang w:eastAsia="en-NZ"/>
        </w:rPr>
        <w:t xml:space="preserve"> </w:t>
      </w:r>
      <w:r w:rsidR="002025A5">
        <w:rPr>
          <w:lang w:eastAsia="en-NZ"/>
        </w:rPr>
        <w:t>an</w:t>
      </w:r>
      <w:r w:rsidR="003D640C">
        <w:rPr>
          <w:lang w:eastAsia="en-NZ"/>
        </w:rPr>
        <w:t xml:space="preserve"> </w:t>
      </w:r>
      <w:r w:rsidR="002025A5">
        <w:rPr>
          <w:lang w:eastAsia="en-NZ"/>
        </w:rPr>
        <w:t>increase</w:t>
      </w:r>
      <w:r w:rsidR="003D640C">
        <w:rPr>
          <w:lang w:eastAsia="en-NZ"/>
        </w:rPr>
        <w:t xml:space="preserve"> </w:t>
      </w:r>
      <w:r w:rsidR="002025A5">
        <w:rPr>
          <w:lang w:eastAsia="en-NZ"/>
        </w:rPr>
        <w:t>in</w:t>
      </w:r>
      <w:r w:rsidR="003D640C">
        <w:rPr>
          <w:lang w:eastAsia="en-NZ"/>
        </w:rPr>
        <w:t xml:space="preserve"> </w:t>
      </w:r>
      <w:r w:rsidR="002025A5">
        <w:rPr>
          <w:lang w:eastAsia="en-NZ"/>
        </w:rPr>
        <w:t>sharing</w:t>
      </w:r>
      <w:r w:rsidR="003D640C">
        <w:rPr>
          <w:lang w:eastAsia="en-NZ"/>
        </w:rPr>
        <w:t xml:space="preserve"> </w:t>
      </w:r>
      <w:r w:rsidR="002025A5">
        <w:rPr>
          <w:lang w:eastAsia="en-NZ"/>
        </w:rPr>
        <w:t>of</w:t>
      </w:r>
      <w:r w:rsidR="003D640C">
        <w:rPr>
          <w:lang w:eastAsia="en-NZ"/>
        </w:rPr>
        <w:t xml:space="preserve"> </w:t>
      </w:r>
      <w:r w:rsidR="00A85173">
        <w:rPr>
          <w:lang w:eastAsia="en-NZ"/>
        </w:rPr>
        <w:t>international</w:t>
      </w:r>
      <w:r w:rsidR="003D640C">
        <w:rPr>
          <w:lang w:eastAsia="en-NZ"/>
        </w:rPr>
        <w:t xml:space="preserve"> </w:t>
      </w:r>
      <w:r w:rsidR="00A85173">
        <w:rPr>
          <w:lang w:eastAsia="en-NZ"/>
        </w:rPr>
        <w:t>far</w:t>
      </w:r>
      <w:r w:rsidR="003D640C">
        <w:rPr>
          <w:lang w:eastAsia="en-NZ"/>
        </w:rPr>
        <w:t xml:space="preserve"> </w:t>
      </w:r>
      <w:r w:rsidR="00A85173">
        <w:rPr>
          <w:lang w:eastAsia="en-NZ"/>
        </w:rPr>
        <w:t>right</w:t>
      </w:r>
      <w:r w:rsidR="003D640C">
        <w:rPr>
          <w:lang w:eastAsia="en-NZ"/>
        </w:rPr>
        <w:t xml:space="preserve"> </w:t>
      </w:r>
      <w:r w:rsidR="007A6883">
        <w:rPr>
          <w:lang w:eastAsia="en-NZ"/>
        </w:rPr>
        <w:t>and</w:t>
      </w:r>
      <w:r w:rsidR="003D640C">
        <w:rPr>
          <w:lang w:eastAsia="en-NZ"/>
        </w:rPr>
        <w:t xml:space="preserve"> </w:t>
      </w:r>
      <w:r w:rsidR="007725D6">
        <w:rPr>
          <w:lang w:eastAsia="en-NZ"/>
        </w:rPr>
        <w:t>explicitly</w:t>
      </w:r>
      <w:r w:rsidR="003D640C">
        <w:rPr>
          <w:lang w:eastAsia="en-NZ"/>
        </w:rPr>
        <w:t xml:space="preserve"> </w:t>
      </w:r>
      <w:r w:rsidR="007725D6">
        <w:rPr>
          <w:lang w:eastAsia="en-NZ"/>
        </w:rPr>
        <w:t>neo-Nazi</w:t>
      </w:r>
      <w:r w:rsidR="003D640C">
        <w:rPr>
          <w:lang w:eastAsia="en-NZ"/>
        </w:rPr>
        <w:t xml:space="preserve"> </w:t>
      </w:r>
      <w:r w:rsidR="00EF57B7">
        <w:rPr>
          <w:lang w:eastAsia="en-NZ"/>
        </w:rPr>
        <w:t>content</w:t>
      </w:r>
      <w:r w:rsidR="003D640C">
        <w:rPr>
          <w:lang w:eastAsia="en-NZ"/>
        </w:rPr>
        <w:t xml:space="preserve"> </w:t>
      </w:r>
      <w:r w:rsidR="007A6883">
        <w:rPr>
          <w:lang w:eastAsia="en-NZ"/>
        </w:rPr>
        <w:t>in</w:t>
      </w:r>
      <w:r w:rsidR="003D640C">
        <w:rPr>
          <w:lang w:eastAsia="en-NZ"/>
        </w:rPr>
        <w:t xml:space="preserve"> </w:t>
      </w:r>
      <w:r w:rsidR="007A6883">
        <w:rPr>
          <w:lang w:eastAsia="en-NZ"/>
        </w:rPr>
        <w:t>Aotearoa</w:t>
      </w:r>
      <w:r w:rsidR="00235197">
        <w:rPr>
          <w:lang w:eastAsia="en-NZ"/>
        </w:rPr>
        <w:t>.</w:t>
      </w:r>
      <w:r w:rsidR="003D640C">
        <w:rPr>
          <w:lang w:eastAsia="en-NZ"/>
        </w:rPr>
        <w:t xml:space="preserve"> </w:t>
      </w:r>
      <w:r w:rsidR="00235197">
        <w:rPr>
          <w:lang w:eastAsia="en-NZ"/>
        </w:rPr>
        <w:t>Furthermore,</w:t>
      </w:r>
      <w:r w:rsidR="003D640C">
        <w:rPr>
          <w:lang w:eastAsia="en-NZ"/>
        </w:rPr>
        <w:t xml:space="preserve"> </w:t>
      </w:r>
      <w:r w:rsidR="005E0957">
        <w:rPr>
          <w:lang w:eastAsia="en-NZ"/>
        </w:rPr>
        <w:t>w</w:t>
      </w:r>
      <w:r w:rsidR="00235197">
        <w:rPr>
          <w:lang w:eastAsia="en-NZ"/>
        </w:rPr>
        <w:t>hite</w:t>
      </w:r>
      <w:r w:rsidR="003D640C">
        <w:rPr>
          <w:lang w:eastAsia="en-NZ"/>
        </w:rPr>
        <w:t xml:space="preserve"> </w:t>
      </w:r>
      <w:r w:rsidR="00235197">
        <w:rPr>
          <w:lang w:eastAsia="en-NZ"/>
        </w:rPr>
        <w:t>nationalist</w:t>
      </w:r>
      <w:r w:rsidR="003D640C">
        <w:rPr>
          <w:lang w:eastAsia="en-NZ"/>
        </w:rPr>
        <w:t xml:space="preserve"> </w:t>
      </w:r>
      <w:r w:rsidR="00235197">
        <w:rPr>
          <w:lang w:eastAsia="en-NZ"/>
        </w:rPr>
        <w:t>groups</w:t>
      </w:r>
      <w:r w:rsidR="003D640C">
        <w:rPr>
          <w:lang w:eastAsia="en-NZ"/>
        </w:rPr>
        <w:t xml:space="preserve"> </w:t>
      </w:r>
      <w:r w:rsidR="00235197">
        <w:rPr>
          <w:lang w:eastAsia="en-NZ"/>
        </w:rPr>
        <w:t>and</w:t>
      </w:r>
      <w:r w:rsidR="003D640C">
        <w:rPr>
          <w:lang w:eastAsia="en-NZ"/>
        </w:rPr>
        <w:t xml:space="preserve"> </w:t>
      </w:r>
      <w:r w:rsidR="00235197">
        <w:rPr>
          <w:lang w:eastAsia="en-NZ"/>
        </w:rPr>
        <w:t>individuals</w:t>
      </w:r>
      <w:r w:rsidR="003D640C">
        <w:rPr>
          <w:lang w:eastAsia="en-NZ"/>
        </w:rPr>
        <w:t xml:space="preserve"> </w:t>
      </w:r>
      <w:r w:rsidR="00235197">
        <w:rPr>
          <w:lang w:eastAsia="en-NZ"/>
        </w:rPr>
        <w:t>based</w:t>
      </w:r>
      <w:r w:rsidR="003D640C">
        <w:rPr>
          <w:lang w:eastAsia="en-NZ"/>
        </w:rPr>
        <w:t xml:space="preserve"> </w:t>
      </w:r>
      <w:r w:rsidR="00235197">
        <w:rPr>
          <w:lang w:eastAsia="en-NZ"/>
        </w:rPr>
        <w:t>in</w:t>
      </w:r>
      <w:r w:rsidR="003D640C">
        <w:rPr>
          <w:lang w:eastAsia="en-NZ"/>
        </w:rPr>
        <w:t xml:space="preserve"> </w:t>
      </w:r>
      <w:r w:rsidR="00235197">
        <w:rPr>
          <w:lang w:eastAsia="en-NZ"/>
        </w:rPr>
        <w:t>Aotearoa</w:t>
      </w:r>
      <w:r w:rsidR="003D640C">
        <w:rPr>
          <w:lang w:eastAsia="en-NZ"/>
        </w:rPr>
        <w:t xml:space="preserve"> </w:t>
      </w:r>
      <w:r w:rsidR="00235197">
        <w:rPr>
          <w:lang w:eastAsia="en-NZ"/>
        </w:rPr>
        <w:t>were</w:t>
      </w:r>
      <w:r w:rsidR="003D640C">
        <w:rPr>
          <w:lang w:eastAsia="en-NZ"/>
        </w:rPr>
        <w:t xml:space="preserve"> </w:t>
      </w:r>
      <w:r w:rsidR="00235197">
        <w:rPr>
          <w:lang w:eastAsia="en-NZ"/>
        </w:rPr>
        <w:t>more</w:t>
      </w:r>
      <w:r w:rsidR="003D640C">
        <w:rPr>
          <w:lang w:eastAsia="en-NZ"/>
        </w:rPr>
        <w:t xml:space="preserve"> </w:t>
      </w:r>
      <w:r w:rsidR="00235197">
        <w:rPr>
          <w:lang w:eastAsia="en-NZ"/>
        </w:rPr>
        <w:t>active</w:t>
      </w:r>
      <w:r w:rsidR="003D640C">
        <w:rPr>
          <w:lang w:eastAsia="en-NZ"/>
        </w:rPr>
        <w:t xml:space="preserve"> </w:t>
      </w:r>
      <w:r w:rsidR="00235197">
        <w:rPr>
          <w:lang w:eastAsia="en-NZ"/>
        </w:rPr>
        <w:t>on</w:t>
      </w:r>
      <w:r w:rsidR="003D640C">
        <w:rPr>
          <w:lang w:eastAsia="en-NZ"/>
        </w:rPr>
        <w:t xml:space="preserve"> </w:t>
      </w:r>
      <w:r w:rsidR="00235197">
        <w:rPr>
          <w:lang w:eastAsia="en-NZ"/>
        </w:rPr>
        <w:t>social</w:t>
      </w:r>
      <w:r w:rsidR="003D640C">
        <w:rPr>
          <w:lang w:eastAsia="en-NZ"/>
        </w:rPr>
        <w:t xml:space="preserve"> </w:t>
      </w:r>
      <w:r w:rsidR="00235197">
        <w:rPr>
          <w:lang w:eastAsia="en-NZ"/>
        </w:rPr>
        <w:t>media</w:t>
      </w:r>
      <w:r w:rsidR="003D640C">
        <w:rPr>
          <w:lang w:eastAsia="en-NZ"/>
        </w:rPr>
        <w:t xml:space="preserve"> </w:t>
      </w:r>
      <w:r w:rsidR="00235197">
        <w:rPr>
          <w:lang w:eastAsia="en-NZ"/>
        </w:rPr>
        <w:t>over</w:t>
      </w:r>
      <w:r w:rsidR="003D640C">
        <w:rPr>
          <w:lang w:eastAsia="en-NZ"/>
        </w:rPr>
        <w:t xml:space="preserve"> </w:t>
      </w:r>
      <w:r w:rsidR="00235197">
        <w:rPr>
          <w:lang w:eastAsia="en-NZ"/>
        </w:rPr>
        <w:t>the</w:t>
      </w:r>
      <w:r w:rsidR="003D640C">
        <w:rPr>
          <w:lang w:eastAsia="en-NZ"/>
        </w:rPr>
        <w:t xml:space="preserve"> </w:t>
      </w:r>
      <w:r w:rsidR="00235197">
        <w:rPr>
          <w:lang w:eastAsia="en-NZ"/>
        </w:rPr>
        <w:t>same</w:t>
      </w:r>
      <w:r w:rsidR="003D640C">
        <w:rPr>
          <w:lang w:eastAsia="en-NZ"/>
        </w:rPr>
        <w:t xml:space="preserve"> </w:t>
      </w:r>
      <w:r w:rsidR="00235197">
        <w:rPr>
          <w:lang w:eastAsia="en-NZ"/>
        </w:rPr>
        <w:t>period.</w:t>
      </w:r>
      <w:r w:rsidR="003D640C">
        <w:rPr>
          <w:lang w:eastAsia="en-NZ"/>
        </w:rPr>
        <w:t xml:space="preserve"> </w:t>
      </w:r>
      <w:r w:rsidR="00D656F5">
        <w:rPr>
          <w:lang w:eastAsia="en-NZ"/>
        </w:rPr>
        <w:t>The</w:t>
      </w:r>
      <w:r w:rsidR="003D640C">
        <w:rPr>
          <w:lang w:eastAsia="en-NZ"/>
        </w:rPr>
        <w:t xml:space="preserve"> </w:t>
      </w:r>
      <w:r w:rsidR="0080030A">
        <w:rPr>
          <w:lang w:eastAsia="en-NZ"/>
        </w:rPr>
        <w:t>research</w:t>
      </w:r>
      <w:r w:rsidR="003D640C">
        <w:rPr>
          <w:lang w:eastAsia="en-NZ"/>
        </w:rPr>
        <w:t xml:space="preserve"> </w:t>
      </w:r>
      <w:r w:rsidR="0043332F">
        <w:rPr>
          <w:lang w:eastAsia="en-NZ"/>
        </w:rPr>
        <w:t>demonstrates</w:t>
      </w:r>
      <w:r w:rsidR="003D640C">
        <w:rPr>
          <w:lang w:eastAsia="en-NZ"/>
        </w:rPr>
        <w:t xml:space="preserve"> </w:t>
      </w:r>
      <w:r w:rsidR="00063717">
        <w:rPr>
          <w:lang w:eastAsia="en-NZ"/>
        </w:rPr>
        <w:t>that</w:t>
      </w:r>
      <w:r w:rsidR="003D640C">
        <w:rPr>
          <w:lang w:eastAsia="en-NZ"/>
        </w:rPr>
        <w:t xml:space="preserve"> </w:t>
      </w:r>
      <w:r w:rsidR="00865AF8">
        <w:rPr>
          <w:lang w:eastAsia="en-NZ"/>
        </w:rPr>
        <w:t>anti-trans</w:t>
      </w:r>
      <w:r w:rsidR="003D640C">
        <w:rPr>
          <w:lang w:eastAsia="en-NZ"/>
        </w:rPr>
        <w:t xml:space="preserve"> </w:t>
      </w:r>
      <w:r w:rsidR="00865AF8">
        <w:rPr>
          <w:lang w:eastAsia="en-NZ"/>
        </w:rPr>
        <w:t>content</w:t>
      </w:r>
      <w:r w:rsidR="003D640C">
        <w:rPr>
          <w:lang w:eastAsia="en-NZ"/>
        </w:rPr>
        <w:t xml:space="preserve"> </w:t>
      </w:r>
      <w:r w:rsidR="00865AF8">
        <w:rPr>
          <w:lang w:eastAsia="en-NZ"/>
        </w:rPr>
        <w:t>was</w:t>
      </w:r>
      <w:r w:rsidR="003D640C">
        <w:rPr>
          <w:lang w:eastAsia="en-NZ"/>
        </w:rPr>
        <w:t xml:space="preserve"> </w:t>
      </w:r>
      <w:r w:rsidR="00865AF8">
        <w:rPr>
          <w:lang w:eastAsia="en-NZ"/>
        </w:rPr>
        <w:t>used</w:t>
      </w:r>
      <w:r w:rsidR="003D640C">
        <w:rPr>
          <w:lang w:eastAsia="en-NZ"/>
        </w:rPr>
        <w:t xml:space="preserve"> </w:t>
      </w:r>
      <w:r w:rsidR="00865AF8">
        <w:rPr>
          <w:lang w:eastAsia="en-NZ"/>
        </w:rPr>
        <w:t>successfully</w:t>
      </w:r>
      <w:r w:rsidR="003D640C">
        <w:rPr>
          <w:lang w:eastAsia="en-NZ"/>
        </w:rPr>
        <w:t xml:space="preserve"> </w:t>
      </w:r>
      <w:r w:rsidR="00865AF8">
        <w:rPr>
          <w:lang w:eastAsia="en-NZ"/>
        </w:rPr>
        <w:t>as</w:t>
      </w:r>
      <w:r w:rsidR="003D640C">
        <w:rPr>
          <w:lang w:eastAsia="en-NZ"/>
        </w:rPr>
        <w:t xml:space="preserve"> </w:t>
      </w:r>
      <w:r w:rsidR="008716FC">
        <w:rPr>
          <w:lang w:eastAsia="en-NZ"/>
        </w:rPr>
        <w:t>a</w:t>
      </w:r>
      <w:r w:rsidR="003D640C">
        <w:rPr>
          <w:lang w:eastAsia="en-NZ"/>
        </w:rPr>
        <w:t xml:space="preserve"> </w:t>
      </w:r>
      <w:r w:rsidR="008716FC">
        <w:rPr>
          <w:lang w:eastAsia="en-NZ"/>
        </w:rPr>
        <w:t>bridge</w:t>
      </w:r>
      <w:r w:rsidR="003D640C">
        <w:rPr>
          <w:lang w:eastAsia="en-NZ"/>
        </w:rPr>
        <w:t xml:space="preserve"> </w:t>
      </w:r>
      <w:r w:rsidR="00C844E9">
        <w:rPr>
          <w:lang w:eastAsia="en-NZ"/>
        </w:rPr>
        <w:t>between</w:t>
      </w:r>
      <w:r w:rsidR="003D640C">
        <w:rPr>
          <w:lang w:eastAsia="en-NZ"/>
        </w:rPr>
        <w:t xml:space="preserve"> </w:t>
      </w:r>
      <w:r w:rsidR="007A2D52">
        <w:rPr>
          <w:lang w:eastAsia="en-NZ"/>
        </w:rPr>
        <w:t>different</w:t>
      </w:r>
      <w:r w:rsidR="003D640C">
        <w:rPr>
          <w:lang w:eastAsia="en-NZ"/>
        </w:rPr>
        <w:t xml:space="preserve"> </w:t>
      </w:r>
      <w:r w:rsidR="006C7DB4">
        <w:rPr>
          <w:lang w:eastAsia="en-NZ"/>
        </w:rPr>
        <w:t>disinformation</w:t>
      </w:r>
      <w:r w:rsidR="003D640C">
        <w:rPr>
          <w:lang w:eastAsia="en-NZ"/>
        </w:rPr>
        <w:t xml:space="preserve"> </w:t>
      </w:r>
      <w:r w:rsidR="006C7DB4">
        <w:rPr>
          <w:lang w:eastAsia="en-NZ"/>
        </w:rPr>
        <w:t>networks</w:t>
      </w:r>
      <w:r w:rsidR="00853100">
        <w:rPr>
          <w:lang w:eastAsia="en-NZ"/>
        </w:rPr>
        <w:t>.</w:t>
      </w:r>
      <w:r w:rsidR="003D640C">
        <w:rPr>
          <w:lang w:eastAsia="en-NZ"/>
        </w:rPr>
        <w:t xml:space="preserve"> </w:t>
      </w:r>
      <w:r w:rsidR="00AD125E">
        <w:rPr>
          <w:lang w:eastAsia="en-NZ"/>
        </w:rPr>
        <w:t>T</w:t>
      </w:r>
      <w:r w:rsidR="002066C3">
        <w:rPr>
          <w:lang w:eastAsia="en-NZ"/>
        </w:rPr>
        <w:t>his</w:t>
      </w:r>
      <w:r w:rsidR="003D640C">
        <w:rPr>
          <w:lang w:eastAsia="en-NZ"/>
        </w:rPr>
        <w:t xml:space="preserve"> </w:t>
      </w:r>
      <w:r w:rsidR="002066C3">
        <w:rPr>
          <w:lang w:eastAsia="en-NZ"/>
        </w:rPr>
        <w:t>‘bridging’</w:t>
      </w:r>
      <w:r w:rsidR="003D640C">
        <w:rPr>
          <w:lang w:eastAsia="en-NZ"/>
        </w:rPr>
        <w:t xml:space="preserve"> </w:t>
      </w:r>
      <w:r w:rsidR="00A90936">
        <w:rPr>
          <w:lang w:eastAsia="en-NZ"/>
        </w:rPr>
        <w:t>between</w:t>
      </w:r>
      <w:r w:rsidR="003D640C">
        <w:rPr>
          <w:lang w:eastAsia="en-NZ"/>
        </w:rPr>
        <w:t xml:space="preserve"> </w:t>
      </w:r>
      <w:r w:rsidR="00A90936">
        <w:rPr>
          <w:lang w:eastAsia="en-NZ"/>
        </w:rPr>
        <w:t>extremist</w:t>
      </w:r>
      <w:r w:rsidR="003D640C">
        <w:rPr>
          <w:lang w:eastAsia="en-NZ"/>
        </w:rPr>
        <w:t xml:space="preserve"> </w:t>
      </w:r>
      <w:r w:rsidR="00A90936">
        <w:rPr>
          <w:lang w:eastAsia="en-NZ"/>
        </w:rPr>
        <w:t>ideas</w:t>
      </w:r>
      <w:r w:rsidR="003D640C">
        <w:rPr>
          <w:lang w:eastAsia="en-NZ"/>
        </w:rPr>
        <w:t xml:space="preserve"> </w:t>
      </w:r>
      <w:r w:rsidR="00A90936">
        <w:rPr>
          <w:lang w:eastAsia="en-NZ"/>
        </w:rPr>
        <w:t>is</w:t>
      </w:r>
      <w:r w:rsidR="003D640C">
        <w:rPr>
          <w:lang w:eastAsia="en-NZ"/>
        </w:rPr>
        <w:t xml:space="preserve"> </w:t>
      </w:r>
      <w:r w:rsidR="00A90936">
        <w:rPr>
          <w:lang w:eastAsia="en-NZ"/>
        </w:rPr>
        <w:t>concerning</w:t>
      </w:r>
      <w:r w:rsidR="003D640C">
        <w:rPr>
          <w:lang w:eastAsia="en-NZ"/>
        </w:rPr>
        <w:t xml:space="preserve"> </w:t>
      </w:r>
      <w:r w:rsidR="00A90936">
        <w:rPr>
          <w:lang w:eastAsia="en-NZ"/>
        </w:rPr>
        <w:t>as</w:t>
      </w:r>
      <w:r w:rsidR="003D640C">
        <w:rPr>
          <w:lang w:eastAsia="en-NZ"/>
        </w:rPr>
        <w:t xml:space="preserve"> </w:t>
      </w:r>
      <w:r w:rsidR="00A90936">
        <w:rPr>
          <w:lang w:eastAsia="en-NZ"/>
        </w:rPr>
        <w:t>it</w:t>
      </w:r>
      <w:r w:rsidR="003D640C">
        <w:rPr>
          <w:lang w:eastAsia="en-NZ"/>
        </w:rPr>
        <w:t xml:space="preserve"> </w:t>
      </w:r>
      <w:r w:rsidR="00A90936">
        <w:rPr>
          <w:lang w:eastAsia="en-NZ"/>
        </w:rPr>
        <w:t>enables</w:t>
      </w:r>
      <w:r w:rsidR="003D640C">
        <w:rPr>
          <w:lang w:eastAsia="en-NZ"/>
        </w:rPr>
        <w:t xml:space="preserve"> </w:t>
      </w:r>
      <w:r w:rsidR="00A90936">
        <w:rPr>
          <w:lang w:eastAsia="en-NZ"/>
        </w:rPr>
        <w:t>the</w:t>
      </w:r>
      <w:r w:rsidR="003D640C">
        <w:rPr>
          <w:lang w:eastAsia="en-NZ"/>
        </w:rPr>
        <w:t xml:space="preserve"> </w:t>
      </w:r>
      <w:r w:rsidR="00A90936">
        <w:rPr>
          <w:lang w:eastAsia="en-NZ"/>
        </w:rPr>
        <w:t>dissemination</w:t>
      </w:r>
      <w:r w:rsidR="003D640C">
        <w:rPr>
          <w:lang w:eastAsia="en-NZ"/>
        </w:rPr>
        <w:t xml:space="preserve"> </w:t>
      </w:r>
      <w:r w:rsidR="00A90936">
        <w:rPr>
          <w:lang w:eastAsia="en-NZ"/>
        </w:rPr>
        <w:t>of</w:t>
      </w:r>
      <w:r w:rsidR="003D640C">
        <w:rPr>
          <w:lang w:eastAsia="en-NZ"/>
        </w:rPr>
        <w:t xml:space="preserve"> </w:t>
      </w:r>
      <w:r w:rsidR="00BE19A7">
        <w:rPr>
          <w:lang w:eastAsia="en-NZ"/>
        </w:rPr>
        <w:t>further</w:t>
      </w:r>
      <w:r w:rsidR="003D640C">
        <w:rPr>
          <w:lang w:eastAsia="en-NZ"/>
        </w:rPr>
        <w:t xml:space="preserve"> </w:t>
      </w:r>
      <w:r w:rsidR="00A90936">
        <w:rPr>
          <w:lang w:eastAsia="en-NZ"/>
        </w:rPr>
        <w:t>harmful</w:t>
      </w:r>
      <w:r w:rsidR="003D640C">
        <w:rPr>
          <w:lang w:eastAsia="en-NZ"/>
        </w:rPr>
        <w:t xml:space="preserve"> </w:t>
      </w:r>
      <w:r w:rsidR="00A90936">
        <w:rPr>
          <w:lang w:eastAsia="en-NZ"/>
        </w:rPr>
        <w:t>ideo</w:t>
      </w:r>
      <w:r w:rsidR="00BE19A7">
        <w:rPr>
          <w:lang w:eastAsia="en-NZ"/>
        </w:rPr>
        <w:t>logies.</w:t>
      </w:r>
      <w:r w:rsidR="00BE19A7" w:rsidDel="008E1CCA">
        <w:rPr>
          <w:lang w:eastAsia="en-NZ"/>
        </w:rPr>
        <w:t xml:space="preserve"> </w:t>
      </w:r>
    </w:p>
    <w:p w14:paraId="06E6DCCD" w14:textId="15257B4C" w:rsidR="00DF2C2E" w:rsidRPr="00D332D9" w:rsidRDefault="00940E44" w:rsidP="00911B63">
      <w:pPr>
        <w:pStyle w:val="Heading2"/>
      </w:pPr>
      <w:bookmarkStart w:id="230" w:name="_Toc167780608"/>
      <w:bookmarkStart w:id="231" w:name="_Toc365904106"/>
      <w:bookmarkStart w:id="232" w:name="_Toc174628667"/>
      <w:r w:rsidRPr="00BB6220">
        <w:t>What</w:t>
      </w:r>
      <w:r w:rsidR="003D640C">
        <w:t xml:space="preserve"> </w:t>
      </w:r>
      <w:r w:rsidRPr="00BB6220">
        <w:t>the</w:t>
      </w:r>
      <w:r w:rsidR="003D640C">
        <w:t xml:space="preserve"> </w:t>
      </w:r>
      <w:r w:rsidRPr="00BB6220">
        <w:t>data</w:t>
      </w:r>
      <w:r w:rsidR="003D640C">
        <w:t xml:space="preserve"> </w:t>
      </w:r>
      <w:r w:rsidRPr="00BB6220">
        <w:t>tell</w:t>
      </w:r>
      <w:r w:rsidR="003D640C">
        <w:t xml:space="preserve"> </w:t>
      </w:r>
      <w:r w:rsidRPr="00BB6220">
        <w:t>us</w:t>
      </w:r>
      <w:r w:rsidR="003D640C">
        <w:t xml:space="preserve"> </w:t>
      </w:r>
      <w:r w:rsidRPr="00BB6220">
        <w:t>about</w:t>
      </w:r>
      <w:r w:rsidR="003D640C">
        <w:t xml:space="preserve"> </w:t>
      </w:r>
      <w:r w:rsidRPr="00BB6220">
        <w:t>Māori</w:t>
      </w:r>
      <w:r w:rsidR="003D640C">
        <w:t xml:space="preserve"> </w:t>
      </w:r>
      <w:r w:rsidRPr="00BB6220">
        <w:t>experiences</w:t>
      </w:r>
      <w:r w:rsidR="003D640C">
        <w:t xml:space="preserve"> </w:t>
      </w:r>
      <w:r w:rsidRPr="00BB6220">
        <w:t>of</w:t>
      </w:r>
      <w:r w:rsidR="003D640C">
        <w:t xml:space="preserve"> </w:t>
      </w:r>
      <w:r w:rsidRPr="00BB6220">
        <w:t>conversion</w:t>
      </w:r>
      <w:r w:rsidR="003D640C">
        <w:t xml:space="preserve"> </w:t>
      </w:r>
      <w:r w:rsidRPr="00BB6220">
        <w:t>practices</w:t>
      </w:r>
      <w:bookmarkEnd w:id="230"/>
      <w:bookmarkEnd w:id="231"/>
      <w:bookmarkEnd w:id="232"/>
    </w:p>
    <w:p w14:paraId="7A1FED9D" w14:textId="763E7D92" w:rsidR="00A83BE9" w:rsidRPr="00BB6220" w:rsidRDefault="00A83BE9" w:rsidP="002C6363">
      <w:pPr>
        <w:rPr>
          <w:rFonts w:ascii="Segoe UI" w:hAnsi="Segoe UI" w:cs="Segoe UI"/>
          <w:lang w:eastAsia="en-NZ"/>
        </w:rPr>
      </w:pPr>
      <w:r w:rsidRPr="00BB6220">
        <w:rPr>
          <w:lang w:eastAsia="en-NZ"/>
        </w:rPr>
        <w:t>Approximately</w:t>
      </w:r>
      <w:r w:rsidR="003D640C">
        <w:rPr>
          <w:lang w:eastAsia="en-NZ"/>
        </w:rPr>
        <w:t xml:space="preserve"> </w:t>
      </w:r>
      <w:r w:rsidRPr="00BB6220">
        <w:rPr>
          <w:lang w:eastAsia="en-NZ"/>
        </w:rPr>
        <w:t>5</w:t>
      </w:r>
      <w:r w:rsidR="001D1BF7">
        <w:rPr>
          <w:lang w:eastAsia="en-NZ"/>
        </w:rPr>
        <w:t xml:space="preserve"> percent</w:t>
      </w:r>
      <w:r w:rsidR="003D640C">
        <w:rPr>
          <w:lang w:eastAsia="en-NZ"/>
        </w:rPr>
        <w:t xml:space="preserve"> </w:t>
      </w:r>
      <w:r w:rsidRPr="00BB6220">
        <w:rPr>
          <w:lang w:eastAsia="en-NZ"/>
        </w:rPr>
        <w:t>of</w:t>
      </w:r>
      <w:r w:rsidR="003D640C">
        <w:rPr>
          <w:lang w:eastAsia="en-NZ"/>
        </w:rPr>
        <w:t xml:space="preserve"> </w:t>
      </w:r>
      <w:r w:rsidRPr="00BB6220">
        <w:rPr>
          <w:lang w:eastAsia="en-NZ"/>
        </w:rPr>
        <w:t>Māori</w:t>
      </w:r>
      <w:r w:rsidR="003D640C">
        <w:rPr>
          <w:lang w:eastAsia="en-NZ"/>
        </w:rPr>
        <w:t xml:space="preserve"> </w:t>
      </w:r>
      <w:r w:rsidR="00E74EAF">
        <w:rPr>
          <w:lang w:eastAsia="en-NZ"/>
        </w:rPr>
        <w:t>aged</w:t>
      </w:r>
      <w:r w:rsidR="003D640C">
        <w:rPr>
          <w:lang w:eastAsia="en-NZ"/>
        </w:rPr>
        <w:t xml:space="preserve"> </w:t>
      </w:r>
      <w:r w:rsidR="00E74EAF">
        <w:rPr>
          <w:lang w:eastAsia="en-NZ"/>
        </w:rPr>
        <w:t>18</w:t>
      </w:r>
      <w:r w:rsidR="003D640C">
        <w:rPr>
          <w:lang w:eastAsia="en-NZ"/>
        </w:rPr>
        <w:t xml:space="preserve"> </w:t>
      </w:r>
      <w:r w:rsidR="00E74EAF">
        <w:rPr>
          <w:lang w:eastAsia="en-NZ"/>
        </w:rPr>
        <w:t>or</w:t>
      </w:r>
      <w:r w:rsidR="003D640C">
        <w:rPr>
          <w:lang w:eastAsia="en-NZ"/>
        </w:rPr>
        <w:t xml:space="preserve"> </w:t>
      </w:r>
      <w:r w:rsidR="00E74EAF">
        <w:rPr>
          <w:lang w:eastAsia="en-NZ"/>
        </w:rPr>
        <w:t>over</w:t>
      </w:r>
      <w:r w:rsidR="003D640C">
        <w:rPr>
          <w:lang w:eastAsia="en-NZ"/>
        </w:rPr>
        <w:t xml:space="preserve"> </w:t>
      </w:r>
      <w:r w:rsidRPr="00BB6220">
        <w:rPr>
          <w:lang w:eastAsia="en-NZ"/>
        </w:rPr>
        <w:t>identify</w:t>
      </w:r>
      <w:r w:rsidR="003D640C">
        <w:rPr>
          <w:lang w:eastAsia="en-NZ"/>
        </w:rPr>
        <w:t xml:space="preserve"> </w:t>
      </w:r>
      <w:r w:rsidRPr="00BB6220">
        <w:rPr>
          <w:lang w:eastAsia="en-NZ"/>
        </w:rPr>
        <w:t>as</w:t>
      </w:r>
      <w:r w:rsidR="003D640C">
        <w:rPr>
          <w:lang w:eastAsia="en-NZ"/>
        </w:rPr>
        <w:t xml:space="preserve"> </w:t>
      </w:r>
      <w:r w:rsidR="00D6400E" w:rsidRPr="00BB6220">
        <w:rPr>
          <w:lang w:eastAsia="en-NZ"/>
        </w:rPr>
        <w:t>Rainbow</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sidR="004E7136" w:rsidRPr="00BB6220">
        <w:rPr>
          <w:rStyle w:val="FootnoteReference"/>
          <w:rFonts w:ascii="Calibri" w:eastAsia="Times New Roman" w:hAnsi="Calibri" w:cs="Calibri"/>
          <w:lang w:eastAsia="en-NZ"/>
        </w:rPr>
        <w:footnoteReference w:id="160"/>
      </w:r>
      <w:r w:rsidR="003D640C">
        <w:rPr>
          <w:vertAlign w:val="superscript"/>
          <w:lang w:eastAsia="en-NZ"/>
        </w:rPr>
        <w:t xml:space="preserve"> </w:t>
      </w:r>
      <w:r w:rsidRPr="00BB6220">
        <w:rPr>
          <w:lang w:eastAsia="en-NZ"/>
        </w:rPr>
        <w:t>A</w:t>
      </w:r>
      <w:r w:rsidR="003D640C">
        <w:rPr>
          <w:lang w:eastAsia="en-NZ"/>
        </w:rPr>
        <w:t xml:space="preserve"> </w:t>
      </w:r>
      <w:r w:rsidRPr="00BB6220">
        <w:rPr>
          <w:lang w:eastAsia="en-NZ"/>
        </w:rPr>
        <w:t>2020</w:t>
      </w:r>
      <w:r w:rsidR="003D640C">
        <w:rPr>
          <w:lang w:eastAsia="en-NZ"/>
        </w:rPr>
        <w:t xml:space="preserve"> </w:t>
      </w:r>
      <w:r w:rsidRPr="00BB6220">
        <w:rPr>
          <w:lang w:eastAsia="en-NZ"/>
        </w:rPr>
        <w:t>study</w:t>
      </w:r>
      <w:r w:rsidR="003D640C">
        <w:rPr>
          <w:lang w:eastAsia="en-NZ"/>
        </w:rPr>
        <w:t xml:space="preserve"> </w:t>
      </w:r>
      <w:r w:rsidR="00876F72">
        <w:rPr>
          <w:lang w:eastAsia="en-NZ"/>
        </w:rPr>
        <w:t xml:space="preserve">reported </w:t>
      </w:r>
      <w:r w:rsidRPr="00BB6220">
        <w:rPr>
          <w:lang w:eastAsia="en-NZ"/>
        </w:rPr>
        <w:t>that</w:t>
      </w:r>
      <w:r w:rsidR="003D640C">
        <w:rPr>
          <w:lang w:eastAsia="en-NZ"/>
        </w:rPr>
        <w:t xml:space="preserve"> </w:t>
      </w:r>
      <w:r w:rsidRPr="00BB6220">
        <w:rPr>
          <w:lang w:eastAsia="en-NZ"/>
        </w:rPr>
        <w:t>45</w:t>
      </w:r>
      <w:r w:rsidR="001D1BF7">
        <w:rPr>
          <w:lang w:eastAsia="en-NZ"/>
        </w:rPr>
        <w:t xml:space="preserve"> percent</w:t>
      </w:r>
      <w:r w:rsidR="003D640C">
        <w:rPr>
          <w:lang w:eastAsia="en-NZ"/>
        </w:rPr>
        <w:t xml:space="preserve"> </w:t>
      </w:r>
      <w:r w:rsidRPr="00BB6220">
        <w:rPr>
          <w:lang w:eastAsia="en-NZ"/>
        </w:rPr>
        <w:t>of</w:t>
      </w:r>
      <w:r w:rsidR="003D640C">
        <w:rPr>
          <w:lang w:eastAsia="en-NZ"/>
        </w:rPr>
        <w:t xml:space="preserve"> </w:t>
      </w:r>
      <w:r w:rsidRPr="00BB6220">
        <w:rPr>
          <w:lang w:eastAsia="en-NZ"/>
        </w:rPr>
        <w:t>takatāpui</w:t>
      </w:r>
      <w:r w:rsidR="003D640C">
        <w:rPr>
          <w:lang w:eastAsia="en-NZ"/>
        </w:rPr>
        <w:t xml:space="preserve"> </w:t>
      </w:r>
      <w:r w:rsidR="00371B82" w:rsidRPr="00BB6220">
        <w:rPr>
          <w:lang w:eastAsia="en-NZ"/>
        </w:rPr>
        <w:t>and</w:t>
      </w:r>
      <w:r w:rsidR="00371B82">
        <w:rPr>
          <w:lang w:eastAsia="en-NZ"/>
        </w:rPr>
        <w:t xml:space="preserve"> </w:t>
      </w:r>
      <w:r w:rsidR="00371B82" w:rsidRPr="00BB6220">
        <w:rPr>
          <w:lang w:eastAsia="en-NZ"/>
        </w:rPr>
        <w:t>Rainbow</w:t>
      </w:r>
      <w:r w:rsidR="00371B82">
        <w:rPr>
          <w:lang w:eastAsia="en-NZ"/>
        </w:rPr>
        <w:t xml:space="preserve"> </w:t>
      </w:r>
      <w:r w:rsidRPr="00BB6220">
        <w:rPr>
          <w:lang w:eastAsia="en-NZ"/>
        </w:rPr>
        <w:t>Māori</w:t>
      </w:r>
      <w:r w:rsidR="003D640C">
        <w:rPr>
          <w:lang w:eastAsia="en-NZ"/>
        </w:rPr>
        <w:t xml:space="preserve"> </w:t>
      </w:r>
      <w:r w:rsidR="008C07BB">
        <w:rPr>
          <w:lang w:eastAsia="en-NZ"/>
        </w:rPr>
        <w:t xml:space="preserve">participants </w:t>
      </w:r>
      <w:r w:rsidRPr="00BB6220">
        <w:rPr>
          <w:lang w:eastAsia="en-NZ"/>
        </w:rPr>
        <w:t>were</w:t>
      </w:r>
      <w:r w:rsidR="003D640C">
        <w:rPr>
          <w:lang w:eastAsia="en-NZ"/>
        </w:rPr>
        <w:t xml:space="preserve"> </w:t>
      </w:r>
      <w:r w:rsidR="00796698" w:rsidRPr="00BB6220">
        <w:rPr>
          <w:lang w:eastAsia="en-NZ"/>
        </w:rPr>
        <w:t>out</w:t>
      </w:r>
      <w:r w:rsidR="003D640C">
        <w:rPr>
          <w:lang w:eastAsia="en-NZ"/>
        </w:rPr>
        <w:t xml:space="preserve"> </w:t>
      </w:r>
      <w:r w:rsidRPr="00BB6220">
        <w:rPr>
          <w:lang w:eastAsia="en-NZ"/>
        </w:rPr>
        <w:t>or</w:t>
      </w:r>
      <w:r w:rsidR="003D640C">
        <w:rPr>
          <w:lang w:eastAsia="en-NZ"/>
        </w:rPr>
        <w:t xml:space="preserve"> </w:t>
      </w:r>
      <w:r w:rsidRPr="00BB6220">
        <w:rPr>
          <w:lang w:eastAsia="en-NZ"/>
        </w:rPr>
        <w:t>were</w:t>
      </w:r>
      <w:r w:rsidR="003D640C">
        <w:rPr>
          <w:lang w:eastAsia="en-NZ"/>
        </w:rPr>
        <w:t xml:space="preserve"> </w:t>
      </w:r>
      <w:r w:rsidRPr="00BB6220">
        <w:rPr>
          <w:lang w:eastAsia="en-NZ"/>
        </w:rPr>
        <w:t>only</w:t>
      </w:r>
      <w:r w:rsidR="003D640C">
        <w:rPr>
          <w:lang w:eastAsia="en-NZ"/>
        </w:rPr>
        <w:t xml:space="preserve"> </w:t>
      </w:r>
      <w:r w:rsidRPr="00BB6220">
        <w:rPr>
          <w:lang w:eastAsia="en-NZ"/>
        </w:rPr>
        <w:t>sometimes</w:t>
      </w:r>
      <w:r w:rsidR="003D640C">
        <w:rPr>
          <w:lang w:eastAsia="en-NZ"/>
        </w:rPr>
        <w:t xml:space="preserve"> </w:t>
      </w:r>
      <w:r w:rsidR="00796698" w:rsidRPr="00BB6220">
        <w:rPr>
          <w:lang w:eastAsia="en-NZ"/>
        </w:rPr>
        <w:t>out</w:t>
      </w:r>
      <w:r w:rsidR="003D640C">
        <w:rPr>
          <w:lang w:eastAsia="en-NZ"/>
        </w:rPr>
        <w:t xml:space="preserve"> </w:t>
      </w:r>
      <w:r w:rsidRPr="00BB6220">
        <w:rPr>
          <w:lang w:eastAsia="en-NZ"/>
        </w:rPr>
        <w:t>in</w:t>
      </w:r>
      <w:r w:rsidR="003D640C">
        <w:rPr>
          <w:lang w:eastAsia="en-NZ"/>
        </w:rPr>
        <w:t xml:space="preserve"> </w:t>
      </w:r>
      <w:r w:rsidRPr="00BB6220">
        <w:rPr>
          <w:lang w:eastAsia="en-NZ"/>
        </w:rPr>
        <w:t>their</w:t>
      </w:r>
      <w:r w:rsidR="003D640C">
        <w:rPr>
          <w:lang w:eastAsia="en-NZ"/>
        </w:rPr>
        <w:t xml:space="preserve"> </w:t>
      </w:r>
      <w:r w:rsidRPr="00BB6220">
        <w:rPr>
          <w:lang w:eastAsia="en-NZ"/>
        </w:rPr>
        <w:t>day-to-day</w:t>
      </w:r>
      <w:r w:rsidR="003D640C">
        <w:rPr>
          <w:lang w:eastAsia="en-NZ"/>
        </w:rPr>
        <w:t xml:space="preserve"> </w:t>
      </w:r>
      <w:r w:rsidRPr="00BB6220">
        <w:rPr>
          <w:lang w:eastAsia="en-NZ"/>
        </w:rPr>
        <w:t>lives.</w:t>
      </w:r>
      <w:r w:rsidR="00C7489F" w:rsidRPr="00BB6220">
        <w:rPr>
          <w:rStyle w:val="FootnoteReference"/>
          <w:rFonts w:ascii="Calibri" w:eastAsia="Times New Roman" w:hAnsi="Calibri" w:cs="Calibri"/>
          <w:lang w:eastAsia="en-NZ"/>
        </w:rPr>
        <w:footnoteReference w:id="161"/>
      </w:r>
      <w:r w:rsidR="003D640C">
        <w:rPr>
          <w:lang w:eastAsia="en-NZ"/>
        </w:rPr>
        <w:t xml:space="preserve"> </w:t>
      </w:r>
      <w:r w:rsidRPr="00BB6220">
        <w:rPr>
          <w:lang w:eastAsia="en-NZ"/>
        </w:rPr>
        <w:t>The</w:t>
      </w:r>
      <w:r w:rsidR="003D640C">
        <w:rPr>
          <w:lang w:eastAsia="en-NZ"/>
        </w:rPr>
        <w:t xml:space="preserve"> </w:t>
      </w:r>
      <w:r w:rsidRPr="00BB6220">
        <w:rPr>
          <w:lang w:eastAsia="en-NZ"/>
        </w:rPr>
        <w:t>most</w:t>
      </w:r>
      <w:r w:rsidR="003D640C">
        <w:rPr>
          <w:lang w:eastAsia="en-NZ"/>
        </w:rPr>
        <w:t xml:space="preserve"> </w:t>
      </w:r>
      <w:r w:rsidRPr="00BB6220">
        <w:rPr>
          <w:lang w:eastAsia="en-NZ"/>
        </w:rPr>
        <w:t>common</w:t>
      </w:r>
      <w:r w:rsidR="003D640C">
        <w:rPr>
          <w:lang w:eastAsia="en-NZ"/>
        </w:rPr>
        <w:t xml:space="preserve"> </w:t>
      </w:r>
      <w:r w:rsidRPr="00BB6220">
        <w:rPr>
          <w:lang w:eastAsia="en-NZ"/>
        </w:rPr>
        <w:t>reasons</w:t>
      </w:r>
      <w:r w:rsidR="003D640C">
        <w:rPr>
          <w:lang w:eastAsia="en-NZ"/>
        </w:rPr>
        <w:t xml:space="preserve"> </w:t>
      </w:r>
      <w:r w:rsidRPr="00BB6220">
        <w:rPr>
          <w:lang w:eastAsia="en-NZ"/>
        </w:rPr>
        <w:t>for</w:t>
      </w:r>
      <w:r w:rsidR="003D640C">
        <w:rPr>
          <w:lang w:eastAsia="en-NZ"/>
        </w:rPr>
        <w:t xml:space="preserve"> </w:t>
      </w:r>
      <w:r w:rsidRPr="00BB6220">
        <w:rPr>
          <w:lang w:eastAsia="en-NZ"/>
        </w:rPr>
        <w:t>this</w:t>
      </w:r>
      <w:r w:rsidR="003D640C">
        <w:rPr>
          <w:lang w:eastAsia="en-NZ"/>
        </w:rPr>
        <w:t xml:space="preserve"> </w:t>
      </w:r>
      <w:r w:rsidRPr="00BB6220">
        <w:rPr>
          <w:lang w:eastAsia="en-NZ"/>
        </w:rPr>
        <w:t>were:</w:t>
      </w:r>
      <w:r w:rsidR="003D640C">
        <w:rPr>
          <w:lang w:eastAsia="en-NZ"/>
        </w:rPr>
        <w:t xml:space="preserve"> </w:t>
      </w:r>
    </w:p>
    <w:p w14:paraId="35EBA136" w14:textId="61B9036B" w:rsidR="00A83BE9" w:rsidRPr="00BB6220" w:rsidRDefault="00B3612F" w:rsidP="002C6363">
      <w:pPr>
        <w:pStyle w:val="Bullet"/>
        <w:rPr>
          <w:lang w:eastAsia="en-NZ"/>
        </w:rPr>
      </w:pPr>
      <w:r>
        <w:rPr>
          <w:lang w:eastAsia="en-NZ"/>
        </w:rPr>
        <w:t>f</w:t>
      </w:r>
      <w:r w:rsidR="00A83BE9" w:rsidRPr="00BB6220">
        <w:rPr>
          <w:lang w:eastAsia="en-NZ"/>
        </w:rPr>
        <w:t>ear</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discrimination</w:t>
      </w:r>
    </w:p>
    <w:p w14:paraId="2B947427" w14:textId="2E628C5B" w:rsidR="00A83BE9" w:rsidRPr="00BB6220" w:rsidRDefault="00B3612F" w:rsidP="002C6363">
      <w:pPr>
        <w:pStyle w:val="Bullet"/>
        <w:rPr>
          <w:lang w:eastAsia="en-NZ"/>
        </w:rPr>
      </w:pPr>
      <w:r>
        <w:rPr>
          <w:lang w:eastAsia="en-NZ"/>
        </w:rPr>
        <w:t>f</w:t>
      </w:r>
      <w:r w:rsidR="00A83BE9" w:rsidRPr="00BB6220">
        <w:rPr>
          <w:lang w:eastAsia="en-NZ"/>
        </w:rPr>
        <w:t>ear</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rejection</w:t>
      </w:r>
      <w:r w:rsidR="003D640C">
        <w:rPr>
          <w:lang w:eastAsia="en-NZ"/>
        </w:rPr>
        <w:t xml:space="preserve"> </w:t>
      </w:r>
    </w:p>
    <w:p w14:paraId="7938C658" w14:textId="0076FDD0" w:rsidR="00A83BE9" w:rsidRPr="00BB6220" w:rsidRDefault="00B3612F" w:rsidP="002C6363">
      <w:pPr>
        <w:pStyle w:val="Bullet"/>
        <w:rPr>
          <w:lang w:eastAsia="en-NZ"/>
        </w:rPr>
      </w:pPr>
      <w:r>
        <w:rPr>
          <w:lang w:eastAsia="en-NZ"/>
        </w:rPr>
        <w:t>e</w:t>
      </w:r>
      <w:r w:rsidR="3139B8A4" w:rsidRPr="00BB6220">
        <w:rPr>
          <w:lang w:eastAsia="en-NZ"/>
        </w:rPr>
        <w:t>ncountering</w:t>
      </w:r>
      <w:r w:rsidR="003D640C">
        <w:rPr>
          <w:lang w:eastAsia="en-NZ"/>
        </w:rPr>
        <w:t xml:space="preserve"> </w:t>
      </w:r>
      <w:r w:rsidR="464E369E" w:rsidRPr="00BB6220">
        <w:rPr>
          <w:lang w:eastAsia="en-NZ"/>
        </w:rPr>
        <w:t>homophobi</w:t>
      </w:r>
      <w:r w:rsidR="7A78BC2C" w:rsidRPr="00BB6220">
        <w:rPr>
          <w:lang w:eastAsia="en-NZ"/>
        </w:rPr>
        <w:t>a</w:t>
      </w:r>
    </w:p>
    <w:p w14:paraId="40747D32" w14:textId="5AA388F5" w:rsidR="00501068" w:rsidRDefault="00B3612F" w:rsidP="002C6363">
      <w:pPr>
        <w:pStyle w:val="Bullet"/>
        <w:rPr>
          <w:lang w:eastAsia="en-NZ"/>
        </w:rPr>
      </w:pPr>
      <w:r>
        <w:rPr>
          <w:lang w:eastAsia="en-NZ"/>
        </w:rPr>
        <w:t>f</w:t>
      </w:r>
      <w:r w:rsidR="00A83BE9" w:rsidRPr="00BB6220">
        <w:rPr>
          <w:lang w:eastAsia="en-NZ"/>
        </w:rPr>
        <w:t>ear</w:t>
      </w:r>
      <w:r w:rsidR="003D640C">
        <w:rPr>
          <w:lang w:eastAsia="en-NZ"/>
        </w:rPr>
        <w:t xml:space="preserve"> </w:t>
      </w:r>
      <w:r w:rsidR="00A83BE9" w:rsidRPr="00BB6220">
        <w:rPr>
          <w:lang w:eastAsia="en-NZ"/>
        </w:rPr>
        <w:t>for</w:t>
      </w:r>
      <w:r w:rsidR="003D640C">
        <w:rPr>
          <w:lang w:eastAsia="en-NZ"/>
        </w:rPr>
        <w:t xml:space="preserve"> </w:t>
      </w:r>
      <w:r w:rsidR="00A83BE9" w:rsidRPr="00BB6220">
        <w:rPr>
          <w:lang w:eastAsia="en-NZ"/>
        </w:rPr>
        <w:t>safety</w:t>
      </w:r>
      <w:r w:rsidR="005E0957">
        <w:rPr>
          <w:lang w:eastAsia="en-NZ"/>
        </w:rPr>
        <w:t>.</w:t>
      </w:r>
      <w:r w:rsidR="003D640C">
        <w:rPr>
          <w:lang w:eastAsia="en-NZ"/>
        </w:rPr>
        <w:t xml:space="preserve"> </w:t>
      </w:r>
    </w:p>
    <w:p w14:paraId="5506979F" w14:textId="27B3ED5C" w:rsidR="00501068" w:rsidRDefault="00A83BE9" w:rsidP="002C6363">
      <w:pPr>
        <w:rPr>
          <w:rFonts w:ascii="Segoe UI" w:hAnsi="Segoe UI" w:cs="Segoe UI"/>
          <w:lang w:eastAsia="en-NZ"/>
        </w:rPr>
      </w:pPr>
      <w:r w:rsidRPr="00BB6220">
        <w:rPr>
          <w:lang w:eastAsia="en-NZ"/>
        </w:rPr>
        <w:t>Almost</w:t>
      </w:r>
      <w:r w:rsidR="003D640C">
        <w:rPr>
          <w:lang w:eastAsia="en-NZ"/>
        </w:rPr>
        <w:t xml:space="preserve"> </w:t>
      </w:r>
      <w:r w:rsidRPr="00BB6220">
        <w:rPr>
          <w:lang w:eastAsia="en-NZ"/>
        </w:rPr>
        <w:t>half</w:t>
      </w:r>
      <w:r w:rsidR="003D640C">
        <w:rPr>
          <w:lang w:eastAsia="en-NZ"/>
        </w:rPr>
        <w:t xml:space="preserve"> </w:t>
      </w:r>
      <w:r w:rsidRPr="00BB6220">
        <w:rPr>
          <w:lang w:eastAsia="en-NZ"/>
        </w:rPr>
        <w:t>(49</w:t>
      </w:r>
      <w:r w:rsidR="001D1BF7">
        <w:rPr>
          <w:lang w:eastAsia="en-NZ"/>
        </w:rPr>
        <w:t xml:space="preserve"> percent</w:t>
      </w:r>
      <w:r w:rsidRPr="00BB6220">
        <w:rPr>
          <w:lang w:eastAsia="en-NZ"/>
        </w:rPr>
        <w:t>)</w:t>
      </w:r>
      <w:r w:rsidR="003D640C">
        <w:rPr>
          <w:lang w:eastAsia="en-NZ"/>
        </w:rPr>
        <w:t xml:space="preserve"> </w:t>
      </w:r>
      <w:r w:rsidRPr="00BB6220">
        <w:rPr>
          <w:lang w:eastAsia="en-NZ"/>
        </w:rPr>
        <w:t>reported</w:t>
      </w:r>
      <w:r w:rsidR="003D640C">
        <w:rPr>
          <w:lang w:eastAsia="en-NZ"/>
        </w:rPr>
        <w:t xml:space="preserve"> </w:t>
      </w:r>
      <w:r w:rsidRPr="00BB6220">
        <w:rPr>
          <w:lang w:eastAsia="en-NZ"/>
        </w:rPr>
        <w:t>they</w:t>
      </w:r>
      <w:r w:rsidR="003D640C">
        <w:rPr>
          <w:lang w:eastAsia="en-NZ"/>
        </w:rPr>
        <w:t xml:space="preserve"> </w:t>
      </w:r>
      <w:r w:rsidRPr="00BB6220">
        <w:rPr>
          <w:lang w:eastAsia="en-NZ"/>
        </w:rPr>
        <w:t>had</w:t>
      </w:r>
      <w:r w:rsidR="003D640C">
        <w:rPr>
          <w:lang w:eastAsia="en-NZ"/>
        </w:rPr>
        <w:t xml:space="preserve"> </w:t>
      </w:r>
      <w:r w:rsidRPr="00BB6220">
        <w:rPr>
          <w:lang w:eastAsia="en-NZ"/>
        </w:rPr>
        <w:t>experienced</w:t>
      </w:r>
      <w:r w:rsidR="003D640C">
        <w:rPr>
          <w:lang w:eastAsia="en-NZ"/>
        </w:rPr>
        <w:t xml:space="preserve"> </w:t>
      </w:r>
      <w:r w:rsidRPr="00BB6220">
        <w:rPr>
          <w:lang w:eastAsia="en-NZ"/>
        </w:rPr>
        <w:t>violence</w:t>
      </w:r>
      <w:r w:rsidR="003D640C">
        <w:rPr>
          <w:lang w:eastAsia="en-NZ"/>
        </w:rPr>
        <w:t xml:space="preserve"> </w:t>
      </w:r>
      <w:r w:rsidRPr="00BB6220">
        <w:rPr>
          <w:lang w:eastAsia="en-NZ"/>
        </w:rPr>
        <w:t>or</w:t>
      </w:r>
      <w:r w:rsidR="003D640C">
        <w:rPr>
          <w:lang w:eastAsia="en-NZ"/>
        </w:rPr>
        <w:t xml:space="preserve"> </w:t>
      </w:r>
      <w:r w:rsidRPr="00BB6220">
        <w:rPr>
          <w:lang w:eastAsia="en-NZ"/>
        </w:rPr>
        <w:t>the</w:t>
      </w:r>
      <w:r w:rsidR="003D640C">
        <w:rPr>
          <w:lang w:eastAsia="en-NZ"/>
        </w:rPr>
        <w:t xml:space="preserve"> </w:t>
      </w:r>
      <w:r w:rsidRPr="00BB6220">
        <w:rPr>
          <w:lang w:eastAsia="en-NZ"/>
        </w:rPr>
        <w:t>threat</w:t>
      </w:r>
      <w:r w:rsidR="003D640C">
        <w:rPr>
          <w:lang w:eastAsia="en-NZ"/>
        </w:rPr>
        <w:t xml:space="preserve"> </w:t>
      </w:r>
      <w:r w:rsidRPr="00BB6220">
        <w:rPr>
          <w:lang w:eastAsia="en-NZ"/>
        </w:rPr>
        <w:t>of</w:t>
      </w:r>
      <w:r w:rsidR="003D640C">
        <w:rPr>
          <w:lang w:eastAsia="en-NZ"/>
        </w:rPr>
        <w:t xml:space="preserve"> </w:t>
      </w:r>
      <w:r w:rsidRPr="00BB6220">
        <w:rPr>
          <w:lang w:eastAsia="en-NZ"/>
        </w:rPr>
        <w:t>violence</w:t>
      </w:r>
      <w:r w:rsidR="003D640C">
        <w:rPr>
          <w:lang w:eastAsia="en-NZ"/>
        </w:rPr>
        <w:t xml:space="preserve"> </w:t>
      </w:r>
      <w:r w:rsidRPr="00BB6220">
        <w:rPr>
          <w:lang w:eastAsia="en-NZ"/>
        </w:rPr>
        <w:t>because</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Pr="00BB6220">
        <w:rPr>
          <w:lang w:eastAsia="en-NZ"/>
        </w:rPr>
        <w:t>takatāpui</w:t>
      </w:r>
      <w:r w:rsidR="003D640C">
        <w:rPr>
          <w:lang w:eastAsia="en-NZ"/>
        </w:rPr>
        <w:t xml:space="preserve"> </w:t>
      </w:r>
      <w:r w:rsidR="00650F0F" w:rsidRPr="00BB6220">
        <w:rPr>
          <w:lang w:eastAsia="en-NZ"/>
        </w:rPr>
        <w:t>or</w:t>
      </w:r>
      <w:r w:rsidR="003D640C">
        <w:rPr>
          <w:lang w:eastAsia="en-NZ"/>
        </w:rPr>
        <w:t xml:space="preserve"> </w:t>
      </w:r>
      <w:r w:rsidR="004F5650" w:rsidRPr="00BB6220">
        <w:rPr>
          <w:lang w:eastAsia="en-NZ"/>
        </w:rPr>
        <w:t>Māori</w:t>
      </w:r>
      <w:r w:rsidR="004F5650">
        <w:rPr>
          <w:lang w:eastAsia="en-NZ"/>
        </w:rPr>
        <w:t xml:space="preserve"> </w:t>
      </w:r>
      <w:r w:rsidR="00D6400E" w:rsidRPr="00BB6220">
        <w:rPr>
          <w:lang w:eastAsia="en-NZ"/>
        </w:rPr>
        <w:t>Rainbow</w:t>
      </w:r>
      <w:r w:rsidR="003D640C">
        <w:rPr>
          <w:lang w:eastAsia="en-NZ"/>
        </w:rPr>
        <w:t xml:space="preserve"> </w:t>
      </w:r>
      <w:r w:rsidRPr="00BB6220">
        <w:rPr>
          <w:lang w:eastAsia="en-NZ"/>
        </w:rPr>
        <w:t>identity.</w:t>
      </w:r>
      <w:r w:rsidR="00114A2E" w:rsidRPr="00BB6220">
        <w:rPr>
          <w:rStyle w:val="FootnoteReference"/>
          <w:rFonts w:ascii="Calibri" w:eastAsia="Times New Roman" w:hAnsi="Calibri" w:cs="Calibri"/>
          <w:lang w:eastAsia="en-NZ"/>
        </w:rPr>
        <w:footnoteReference w:id="162"/>
      </w:r>
      <w:r w:rsidR="003D640C">
        <w:rPr>
          <w:lang w:eastAsia="en-NZ"/>
        </w:rPr>
        <w:t xml:space="preserve"> </w:t>
      </w:r>
    </w:p>
    <w:p w14:paraId="32958491" w14:textId="2750B038" w:rsidR="00501068" w:rsidRDefault="002C706D" w:rsidP="002C6363">
      <w:pPr>
        <w:rPr>
          <w:rFonts w:ascii="Segoe UI" w:hAnsi="Segoe UI" w:cs="Segoe UI"/>
          <w:lang w:eastAsia="en-NZ"/>
        </w:rPr>
      </w:pPr>
      <w:r w:rsidRPr="00BB6220">
        <w:rPr>
          <w:lang w:eastAsia="en-NZ"/>
        </w:rPr>
        <w:t>The</w:t>
      </w:r>
      <w:r w:rsidR="003D640C">
        <w:rPr>
          <w:lang w:eastAsia="en-NZ"/>
        </w:rPr>
        <w:t xml:space="preserve"> </w:t>
      </w:r>
      <w:r w:rsidR="00A83BE9" w:rsidRPr="00BB6220">
        <w:rPr>
          <w:lang w:eastAsia="en-NZ"/>
        </w:rPr>
        <w:t>Youth19</w:t>
      </w:r>
      <w:r w:rsidR="003D640C">
        <w:rPr>
          <w:lang w:eastAsia="en-NZ"/>
        </w:rPr>
        <w:t xml:space="preserve"> </w:t>
      </w:r>
      <w:r w:rsidR="00A83BE9" w:rsidRPr="00BB6220">
        <w:rPr>
          <w:lang w:eastAsia="en-NZ"/>
        </w:rPr>
        <w:t>survey</w:t>
      </w:r>
      <w:r w:rsidR="003D640C">
        <w:rPr>
          <w:lang w:eastAsia="en-NZ"/>
        </w:rPr>
        <w:t xml:space="preserve"> </w:t>
      </w:r>
      <w:r w:rsidR="00A83BE9" w:rsidRPr="00BB6220">
        <w:rPr>
          <w:lang w:eastAsia="en-NZ"/>
        </w:rPr>
        <w:t>of</w:t>
      </w:r>
      <w:r w:rsidR="003D640C">
        <w:rPr>
          <w:lang w:eastAsia="en-NZ"/>
        </w:rPr>
        <w:t xml:space="preserve"> </w:t>
      </w:r>
      <w:r w:rsidR="00884182">
        <w:rPr>
          <w:rFonts w:ascii="Calibri" w:eastAsia="Times New Roman" w:hAnsi="Calibri" w:cs="Calibri"/>
          <w:lang w:eastAsia="en-NZ"/>
        </w:rPr>
        <w:t xml:space="preserve">7891 young people </w:t>
      </w:r>
      <w:r w:rsidR="00A83BE9" w:rsidRPr="00BB6220">
        <w:rPr>
          <w:lang w:eastAsia="en-NZ"/>
        </w:rPr>
        <w:t>showed</w:t>
      </w:r>
      <w:r w:rsidR="003D640C">
        <w:rPr>
          <w:lang w:eastAsia="en-NZ"/>
        </w:rPr>
        <w:t xml:space="preserve"> </w:t>
      </w:r>
      <w:r w:rsidR="000A6D67" w:rsidRPr="00BB6220">
        <w:rPr>
          <w:lang w:eastAsia="en-NZ"/>
        </w:rPr>
        <w:t>that</w:t>
      </w:r>
      <w:r w:rsidR="003D640C">
        <w:rPr>
          <w:lang w:eastAsia="en-NZ"/>
        </w:rPr>
        <w:t xml:space="preserve"> </w:t>
      </w:r>
      <w:r w:rsidR="00884182" w:rsidRPr="00BB6220">
        <w:rPr>
          <w:lang w:eastAsia="en-NZ"/>
        </w:rPr>
        <w:t>takatāpui</w:t>
      </w:r>
      <w:r w:rsidR="00884182">
        <w:rPr>
          <w:lang w:eastAsia="en-NZ"/>
        </w:rPr>
        <w:t xml:space="preserve"> </w:t>
      </w:r>
      <w:r w:rsidR="00884182" w:rsidRPr="00BB6220">
        <w:rPr>
          <w:lang w:eastAsia="en-NZ"/>
        </w:rPr>
        <w:t>and</w:t>
      </w:r>
      <w:r w:rsidR="00884182">
        <w:rPr>
          <w:lang w:eastAsia="en-NZ"/>
        </w:rPr>
        <w:t xml:space="preserve"> </w:t>
      </w:r>
      <w:r w:rsidR="00884182" w:rsidRPr="00BB6220">
        <w:rPr>
          <w:lang w:eastAsia="en-NZ"/>
        </w:rPr>
        <w:t>Rainbow</w:t>
      </w:r>
      <w:r w:rsidR="00884182">
        <w:rPr>
          <w:lang w:eastAsia="en-NZ"/>
        </w:rPr>
        <w:t xml:space="preserve"> </w:t>
      </w:r>
      <w:r w:rsidR="00884182" w:rsidRPr="00BB6220">
        <w:rPr>
          <w:lang w:eastAsia="en-NZ"/>
        </w:rPr>
        <w:t>rangatahi</w:t>
      </w:r>
      <w:r w:rsidR="00884182">
        <w:rPr>
          <w:lang w:eastAsia="en-NZ"/>
        </w:rPr>
        <w:t xml:space="preserve"> </w:t>
      </w:r>
      <w:r w:rsidR="00A83BE9" w:rsidRPr="00BB6220">
        <w:rPr>
          <w:lang w:eastAsia="en-NZ"/>
        </w:rPr>
        <w:t>experienc</w:t>
      </w:r>
      <w:r w:rsidR="00DB4EFF" w:rsidRPr="00BB6220">
        <w:rPr>
          <w:lang w:eastAsia="en-NZ"/>
        </w:rPr>
        <w:t>ed</w:t>
      </w:r>
      <w:r w:rsidR="003D640C">
        <w:rPr>
          <w:lang w:eastAsia="en-NZ"/>
        </w:rPr>
        <w:t xml:space="preserve"> </w:t>
      </w:r>
      <w:r w:rsidR="00A83BE9" w:rsidRPr="00BB6220">
        <w:rPr>
          <w:lang w:eastAsia="en-NZ"/>
        </w:rPr>
        <w:t>housing</w:t>
      </w:r>
      <w:r w:rsidR="003D640C">
        <w:rPr>
          <w:lang w:eastAsia="en-NZ"/>
        </w:rPr>
        <w:t xml:space="preserve"> </w:t>
      </w:r>
      <w:r w:rsidR="00A83BE9" w:rsidRPr="00BB6220">
        <w:rPr>
          <w:lang w:eastAsia="en-NZ"/>
        </w:rPr>
        <w:t>instability,</w:t>
      </w:r>
      <w:r w:rsidR="003D640C">
        <w:rPr>
          <w:lang w:eastAsia="en-NZ"/>
        </w:rPr>
        <w:t xml:space="preserve"> </w:t>
      </w:r>
      <w:r w:rsidR="00A83BE9" w:rsidRPr="00BB6220">
        <w:rPr>
          <w:lang w:eastAsia="en-NZ"/>
        </w:rPr>
        <w:t>food</w:t>
      </w:r>
      <w:r w:rsidR="003D640C">
        <w:rPr>
          <w:lang w:eastAsia="en-NZ"/>
        </w:rPr>
        <w:t xml:space="preserve"> </w:t>
      </w:r>
      <w:r w:rsidR="00A83BE9" w:rsidRPr="00BB6220">
        <w:rPr>
          <w:lang w:eastAsia="en-NZ"/>
        </w:rPr>
        <w:t>insecurity,</w:t>
      </w:r>
      <w:r w:rsidR="003D640C">
        <w:rPr>
          <w:lang w:eastAsia="en-NZ"/>
        </w:rPr>
        <w:t xml:space="preserve"> </w:t>
      </w:r>
      <w:r w:rsidR="00A83BE9" w:rsidRPr="00BB6220">
        <w:rPr>
          <w:lang w:eastAsia="en-NZ"/>
        </w:rPr>
        <w:t>forgone</w:t>
      </w:r>
      <w:r w:rsidR="003D640C">
        <w:rPr>
          <w:lang w:eastAsia="en-NZ"/>
        </w:rPr>
        <w:t xml:space="preserve"> </w:t>
      </w:r>
      <w:r w:rsidR="00A83BE9" w:rsidRPr="00BB6220">
        <w:rPr>
          <w:lang w:eastAsia="en-NZ"/>
        </w:rPr>
        <w:t>healthcare,</w:t>
      </w:r>
      <w:r w:rsidR="003D640C">
        <w:rPr>
          <w:lang w:eastAsia="en-NZ"/>
        </w:rPr>
        <w:t xml:space="preserve"> </w:t>
      </w:r>
      <w:r w:rsidR="00A83BE9" w:rsidRPr="00BB6220">
        <w:rPr>
          <w:lang w:eastAsia="en-NZ"/>
        </w:rPr>
        <w:t>symptoms</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depression,</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serious</w:t>
      </w:r>
      <w:r w:rsidR="003D640C">
        <w:rPr>
          <w:lang w:eastAsia="en-NZ"/>
        </w:rPr>
        <w:t xml:space="preserve"> </w:t>
      </w:r>
      <w:r w:rsidR="00A83BE9" w:rsidRPr="00BB6220">
        <w:rPr>
          <w:lang w:eastAsia="en-NZ"/>
        </w:rPr>
        <w:t>thoughts</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suicide.</w:t>
      </w:r>
      <w:r w:rsidR="00B36B09" w:rsidRPr="00BB6220">
        <w:rPr>
          <w:rStyle w:val="FootnoteReference"/>
          <w:rFonts w:ascii="Calibri" w:eastAsia="Times New Roman" w:hAnsi="Calibri" w:cs="Calibri"/>
          <w:lang w:eastAsia="en-NZ"/>
        </w:rPr>
        <w:footnoteReference w:id="163"/>
      </w:r>
      <w:r w:rsidR="003D640C">
        <w:rPr>
          <w:lang w:eastAsia="en-NZ"/>
        </w:rPr>
        <w:t xml:space="preserve"> </w:t>
      </w:r>
    </w:p>
    <w:p w14:paraId="2B7324CE" w14:textId="1C962586" w:rsidR="00501068" w:rsidRDefault="00E45091" w:rsidP="002C6363">
      <w:pPr>
        <w:rPr>
          <w:lang w:eastAsia="en-NZ"/>
        </w:rPr>
      </w:pPr>
      <w:r w:rsidRPr="00BB6220">
        <w:rPr>
          <w:lang w:eastAsia="en-NZ"/>
        </w:rPr>
        <w:t>The</w:t>
      </w:r>
      <w:r w:rsidR="003D640C">
        <w:rPr>
          <w:lang w:eastAsia="en-NZ"/>
        </w:rPr>
        <w:t xml:space="preserve"> </w:t>
      </w:r>
      <w:r w:rsidR="005E0957">
        <w:rPr>
          <w:lang w:eastAsia="en-NZ"/>
        </w:rPr>
        <w:t xml:space="preserve">2020 </w:t>
      </w:r>
      <w:r w:rsidRPr="00BB6220">
        <w:rPr>
          <w:lang w:eastAsia="en-NZ"/>
        </w:rPr>
        <w:t>Rangatahi</w:t>
      </w:r>
      <w:r w:rsidR="003D640C">
        <w:rPr>
          <w:lang w:eastAsia="en-NZ"/>
        </w:rPr>
        <w:t xml:space="preserve"> </w:t>
      </w:r>
      <w:r w:rsidRPr="00BB6220">
        <w:rPr>
          <w:lang w:eastAsia="en-NZ"/>
        </w:rPr>
        <w:t>Suicide</w:t>
      </w:r>
      <w:r w:rsidR="003D640C">
        <w:rPr>
          <w:lang w:eastAsia="en-NZ"/>
        </w:rPr>
        <w:t xml:space="preserve"> </w:t>
      </w:r>
      <w:r w:rsidRPr="00BB6220">
        <w:rPr>
          <w:lang w:eastAsia="en-NZ"/>
        </w:rPr>
        <w:t>Report</w:t>
      </w:r>
      <w:r w:rsidR="003D640C" w:rsidDel="005E0957">
        <w:rPr>
          <w:lang w:eastAsia="en-NZ"/>
        </w:rPr>
        <w:t xml:space="preserve"> </w:t>
      </w:r>
      <w:r w:rsidRPr="00BB6220">
        <w:rPr>
          <w:lang w:eastAsia="en-NZ"/>
        </w:rPr>
        <w:t>found</w:t>
      </w:r>
      <w:r w:rsidR="003D640C">
        <w:rPr>
          <w:lang w:eastAsia="en-NZ"/>
        </w:rPr>
        <w:t xml:space="preserve"> </w:t>
      </w:r>
      <w:r w:rsidRPr="00BB6220">
        <w:rPr>
          <w:lang w:eastAsia="en-NZ"/>
        </w:rPr>
        <w:t>that</w:t>
      </w:r>
      <w:r w:rsidR="003D640C">
        <w:rPr>
          <w:lang w:eastAsia="en-NZ"/>
        </w:rPr>
        <w:t xml:space="preserve"> </w:t>
      </w:r>
      <w:r w:rsidRPr="00BB6220">
        <w:rPr>
          <w:lang w:eastAsia="en-NZ"/>
        </w:rPr>
        <w:t>4</w:t>
      </w:r>
      <w:r w:rsidR="001D1BF7">
        <w:rPr>
          <w:lang w:eastAsia="en-NZ"/>
        </w:rPr>
        <w:t xml:space="preserve"> percent</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suicides</w:t>
      </w:r>
      <w:r w:rsidR="003D640C">
        <w:rPr>
          <w:lang w:eastAsia="en-NZ"/>
        </w:rPr>
        <w:t xml:space="preserve"> </w:t>
      </w:r>
      <w:r w:rsidR="00EE6B92">
        <w:rPr>
          <w:lang w:eastAsia="en-NZ"/>
        </w:rPr>
        <w:t>from</w:t>
      </w:r>
      <w:r w:rsidR="003D640C">
        <w:rPr>
          <w:lang w:eastAsia="en-NZ"/>
        </w:rPr>
        <w:t xml:space="preserve"> </w:t>
      </w:r>
      <w:r w:rsidR="00EE6B92">
        <w:rPr>
          <w:lang w:eastAsia="en-NZ"/>
        </w:rPr>
        <w:t>2012</w:t>
      </w:r>
      <w:r w:rsidR="003D640C">
        <w:rPr>
          <w:lang w:eastAsia="en-NZ"/>
        </w:rPr>
        <w:t xml:space="preserve"> </w:t>
      </w:r>
      <w:r w:rsidR="00EE6B92">
        <w:rPr>
          <w:lang w:eastAsia="en-NZ"/>
        </w:rPr>
        <w:t>to</w:t>
      </w:r>
      <w:r w:rsidR="003D640C">
        <w:rPr>
          <w:lang w:eastAsia="en-NZ"/>
        </w:rPr>
        <w:t xml:space="preserve"> </w:t>
      </w:r>
      <w:r w:rsidR="00EE6B92">
        <w:rPr>
          <w:lang w:eastAsia="en-NZ"/>
        </w:rPr>
        <w:t>2016</w:t>
      </w:r>
      <w:r w:rsidR="003D640C">
        <w:rPr>
          <w:lang w:eastAsia="en-NZ"/>
        </w:rPr>
        <w:t xml:space="preserve"> </w:t>
      </w:r>
      <w:r w:rsidR="00EE6B92">
        <w:rPr>
          <w:lang w:eastAsia="en-NZ"/>
        </w:rPr>
        <w:t>amongst</w:t>
      </w:r>
      <w:r w:rsidR="003D640C">
        <w:rPr>
          <w:lang w:eastAsia="en-NZ"/>
        </w:rPr>
        <w:t xml:space="preserve"> </w:t>
      </w:r>
      <w:r w:rsidR="00A83BE9" w:rsidRPr="00BB6220">
        <w:rPr>
          <w:lang w:eastAsia="en-NZ"/>
        </w:rPr>
        <w:t>Māori</w:t>
      </w:r>
      <w:r w:rsidR="003D640C">
        <w:rPr>
          <w:lang w:eastAsia="en-NZ"/>
        </w:rPr>
        <w:t xml:space="preserve"> </w:t>
      </w:r>
      <w:r w:rsidR="00A83BE9" w:rsidRPr="00BB6220">
        <w:rPr>
          <w:lang w:eastAsia="en-NZ"/>
        </w:rPr>
        <w:t>aged</w:t>
      </w:r>
      <w:r w:rsidR="003D640C">
        <w:rPr>
          <w:lang w:eastAsia="en-NZ"/>
        </w:rPr>
        <w:t xml:space="preserve"> </w:t>
      </w:r>
      <w:r w:rsidR="00A83BE9" w:rsidRPr="00BB6220">
        <w:rPr>
          <w:lang w:eastAsia="en-NZ"/>
        </w:rPr>
        <w:t>20</w:t>
      </w:r>
      <w:r w:rsidR="005E0957">
        <w:rPr>
          <w:lang w:eastAsia="en-NZ"/>
        </w:rPr>
        <w:t>–</w:t>
      </w:r>
      <w:r w:rsidR="00A83BE9" w:rsidRPr="00BB6220">
        <w:rPr>
          <w:lang w:eastAsia="en-NZ"/>
        </w:rPr>
        <w:t>24</w:t>
      </w:r>
      <w:r w:rsidR="003D640C">
        <w:rPr>
          <w:lang w:eastAsia="en-NZ"/>
        </w:rPr>
        <w:t xml:space="preserve"> </w:t>
      </w:r>
      <w:r w:rsidR="00A83BE9" w:rsidRPr="00BB6220">
        <w:rPr>
          <w:lang w:eastAsia="en-NZ"/>
        </w:rPr>
        <w:t>were</w:t>
      </w:r>
      <w:r w:rsidR="003D640C">
        <w:rPr>
          <w:lang w:eastAsia="en-NZ"/>
        </w:rPr>
        <w:t xml:space="preserve"> </w:t>
      </w:r>
      <w:r w:rsidR="00A83BE9" w:rsidRPr="00BB6220">
        <w:rPr>
          <w:lang w:eastAsia="en-NZ"/>
        </w:rPr>
        <w:t>people</w:t>
      </w:r>
      <w:r w:rsidR="003D640C">
        <w:rPr>
          <w:lang w:eastAsia="en-NZ"/>
        </w:rPr>
        <w:t xml:space="preserve"> </w:t>
      </w:r>
      <w:r w:rsidR="00A83BE9" w:rsidRPr="00BB6220">
        <w:rPr>
          <w:lang w:eastAsia="en-NZ"/>
        </w:rPr>
        <w:t>who</w:t>
      </w:r>
      <w:r w:rsidR="003D640C">
        <w:rPr>
          <w:lang w:eastAsia="en-NZ"/>
        </w:rPr>
        <w:t xml:space="preserve"> </w:t>
      </w:r>
      <w:r w:rsidR="00A83BE9" w:rsidRPr="00BB6220">
        <w:rPr>
          <w:lang w:eastAsia="en-NZ"/>
        </w:rPr>
        <w:t>identified</w:t>
      </w:r>
      <w:r w:rsidR="003D640C">
        <w:rPr>
          <w:lang w:eastAsia="en-NZ"/>
        </w:rPr>
        <w:t xml:space="preserve"> </w:t>
      </w:r>
      <w:r w:rsidR="00A83BE9" w:rsidRPr="00BB6220">
        <w:rPr>
          <w:lang w:eastAsia="en-NZ"/>
        </w:rPr>
        <w:t>as</w:t>
      </w:r>
      <w:r w:rsidR="003D640C">
        <w:rPr>
          <w:lang w:eastAsia="en-NZ"/>
        </w:rPr>
        <w:t xml:space="preserve"> </w:t>
      </w:r>
      <w:r w:rsidR="00A83BE9" w:rsidRPr="00BB6220">
        <w:rPr>
          <w:lang w:eastAsia="en-NZ"/>
        </w:rPr>
        <w:t>takatāpui</w:t>
      </w:r>
      <w:r w:rsidR="003D640C">
        <w:rPr>
          <w:lang w:eastAsia="en-NZ"/>
        </w:rPr>
        <w:t xml:space="preserve"> </w:t>
      </w:r>
      <w:r w:rsidR="00A83BE9" w:rsidRPr="00BB6220">
        <w:rPr>
          <w:lang w:eastAsia="en-NZ"/>
        </w:rPr>
        <w:t>or</w:t>
      </w:r>
      <w:r w:rsidR="003D640C">
        <w:rPr>
          <w:lang w:eastAsia="en-NZ"/>
        </w:rPr>
        <w:t xml:space="preserve"> </w:t>
      </w:r>
      <w:r w:rsidR="00A83BE9" w:rsidRPr="00BB6220">
        <w:rPr>
          <w:lang w:eastAsia="en-NZ"/>
        </w:rPr>
        <w:t>Māori</w:t>
      </w:r>
      <w:r w:rsidR="003D640C">
        <w:rPr>
          <w:lang w:eastAsia="en-NZ"/>
        </w:rPr>
        <w:t xml:space="preserve"> </w:t>
      </w:r>
      <w:r w:rsidR="00462DCE" w:rsidRPr="00BB6220">
        <w:rPr>
          <w:lang w:eastAsia="en-NZ"/>
        </w:rPr>
        <w:t>Rainbow</w:t>
      </w:r>
      <w:r w:rsidR="00462DCE">
        <w:rPr>
          <w:lang w:eastAsia="en-NZ"/>
        </w:rPr>
        <w:t xml:space="preserve"> </w:t>
      </w:r>
      <w:r w:rsidR="00F16CA3">
        <w:rPr>
          <w:lang w:eastAsia="en-NZ"/>
        </w:rPr>
        <w:t>(where</w:t>
      </w:r>
      <w:r w:rsidR="003D640C">
        <w:rPr>
          <w:lang w:eastAsia="en-NZ"/>
        </w:rPr>
        <w:t xml:space="preserve"> </w:t>
      </w:r>
      <w:r w:rsidR="00F16CA3">
        <w:rPr>
          <w:lang w:eastAsia="en-NZ"/>
        </w:rPr>
        <w:t>the</w:t>
      </w:r>
      <w:r w:rsidR="003D640C">
        <w:rPr>
          <w:lang w:eastAsia="en-NZ"/>
        </w:rPr>
        <w:t xml:space="preserve"> </w:t>
      </w:r>
      <w:r w:rsidR="00F16CA3">
        <w:rPr>
          <w:lang w:eastAsia="en-NZ"/>
        </w:rPr>
        <w:t>data</w:t>
      </w:r>
      <w:r w:rsidR="003D640C">
        <w:rPr>
          <w:lang w:eastAsia="en-NZ"/>
        </w:rPr>
        <w:t xml:space="preserve"> </w:t>
      </w:r>
      <w:r w:rsidR="00F16CA3">
        <w:rPr>
          <w:lang w:eastAsia="en-NZ"/>
        </w:rPr>
        <w:t>on</w:t>
      </w:r>
      <w:r w:rsidR="003D640C">
        <w:rPr>
          <w:lang w:eastAsia="en-NZ"/>
        </w:rPr>
        <w:t xml:space="preserve"> </w:t>
      </w:r>
      <w:r w:rsidR="00B3105F">
        <w:rPr>
          <w:lang w:eastAsia="en-NZ"/>
        </w:rPr>
        <w:t>sexual</w:t>
      </w:r>
      <w:r w:rsidR="003D640C">
        <w:rPr>
          <w:lang w:eastAsia="en-NZ"/>
        </w:rPr>
        <w:t xml:space="preserve"> </w:t>
      </w:r>
      <w:r w:rsidR="00B3105F">
        <w:rPr>
          <w:lang w:eastAsia="en-NZ"/>
        </w:rPr>
        <w:t>orientation</w:t>
      </w:r>
      <w:r w:rsidR="003D640C">
        <w:rPr>
          <w:lang w:eastAsia="en-NZ"/>
        </w:rPr>
        <w:t xml:space="preserve"> </w:t>
      </w:r>
      <w:r w:rsidR="00B3105F">
        <w:rPr>
          <w:lang w:eastAsia="en-NZ"/>
        </w:rPr>
        <w:t>and/or</w:t>
      </w:r>
      <w:r w:rsidR="003D640C">
        <w:rPr>
          <w:lang w:eastAsia="en-NZ"/>
        </w:rPr>
        <w:t xml:space="preserve"> </w:t>
      </w:r>
      <w:r w:rsidR="00B3105F">
        <w:rPr>
          <w:lang w:eastAsia="en-NZ"/>
        </w:rPr>
        <w:t>gender</w:t>
      </w:r>
      <w:r w:rsidR="003D640C">
        <w:rPr>
          <w:lang w:eastAsia="en-NZ"/>
        </w:rPr>
        <w:t xml:space="preserve"> </w:t>
      </w:r>
      <w:r w:rsidR="00B3105F">
        <w:rPr>
          <w:lang w:eastAsia="en-NZ"/>
        </w:rPr>
        <w:t>identity</w:t>
      </w:r>
      <w:r w:rsidR="003D640C">
        <w:rPr>
          <w:lang w:eastAsia="en-NZ"/>
        </w:rPr>
        <w:t xml:space="preserve"> </w:t>
      </w:r>
      <w:r w:rsidR="00B3105F">
        <w:rPr>
          <w:lang w:eastAsia="en-NZ"/>
        </w:rPr>
        <w:t>were</w:t>
      </w:r>
      <w:r w:rsidR="003D640C">
        <w:rPr>
          <w:lang w:eastAsia="en-NZ"/>
        </w:rPr>
        <w:t xml:space="preserve"> </w:t>
      </w:r>
      <w:r w:rsidR="00B3105F">
        <w:rPr>
          <w:lang w:eastAsia="en-NZ"/>
        </w:rPr>
        <w:t>available)</w:t>
      </w:r>
      <w:r w:rsidRPr="00BB6220">
        <w:rPr>
          <w:lang w:eastAsia="en-NZ"/>
        </w:rPr>
        <w:t>.</w:t>
      </w:r>
      <w:r w:rsidR="003D640C">
        <w:rPr>
          <w:lang w:eastAsia="en-NZ"/>
        </w:rPr>
        <w:t xml:space="preserve"> </w:t>
      </w:r>
      <w:r w:rsidR="004A4BD8">
        <w:rPr>
          <w:lang w:eastAsia="en-NZ"/>
        </w:rPr>
        <w:t>This</w:t>
      </w:r>
      <w:r w:rsidR="003D640C">
        <w:rPr>
          <w:lang w:eastAsia="en-NZ"/>
        </w:rPr>
        <w:t xml:space="preserve"> </w:t>
      </w:r>
      <w:r w:rsidR="004A4BD8">
        <w:rPr>
          <w:lang w:eastAsia="en-NZ"/>
        </w:rPr>
        <w:t>same</w:t>
      </w:r>
      <w:r w:rsidR="003D640C">
        <w:rPr>
          <w:lang w:eastAsia="en-NZ"/>
        </w:rPr>
        <w:t xml:space="preserve"> </w:t>
      </w:r>
      <w:r w:rsidR="004A4BD8">
        <w:rPr>
          <w:lang w:eastAsia="en-NZ"/>
        </w:rPr>
        <w:t>report</w:t>
      </w:r>
      <w:r w:rsidR="003D640C">
        <w:rPr>
          <w:lang w:eastAsia="en-NZ"/>
        </w:rPr>
        <w:t xml:space="preserve"> </w:t>
      </w:r>
      <w:r w:rsidR="00B17862">
        <w:rPr>
          <w:lang w:eastAsia="en-NZ"/>
        </w:rPr>
        <w:t>estimates</w:t>
      </w:r>
      <w:r w:rsidR="003D640C">
        <w:rPr>
          <w:lang w:eastAsia="en-NZ"/>
        </w:rPr>
        <w:t xml:space="preserve"> </w:t>
      </w:r>
      <w:r w:rsidR="004A4BD8">
        <w:rPr>
          <w:lang w:eastAsia="en-NZ"/>
        </w:rPr>
        <w:t>that,</w:t>
      </w:r>
      <w:r w:rsidR="003D640C">
        <w:rPr>
          <w:lang w:eastAsia="en-NZ"/>
        </w:rPr>
        <w:t xml:space="preserve"> </w:t>
      </w:r>
      <w:r w:rsidR="004A4BD8">
        <w:rPr>
          <w:lang w:eastAsia="en-NZ"/>
        </w:rPr>
        <w:t>f</w:t>
      </w:r>
      <w:r w:rsidR="00747D99" w:rsidRPr="00BB6220">
        <w:rPr>
          <w:lang w:eastAsia="en-NZ"/>
        </w:rPr>
        <w:t>rom</w:t>
      </w:r>
      <w:r w:rsidR="003D640C">
        <w:rPr>
          <w:lang w:eastAsia="en-NZ"/>
        </w:rPr>
        <w:t xml:space="preserve"> </w:t>
      </w:r>
      <w:r w:rsidR="005F666F" w:rsidRPr="00BB6220">
        <w:rPr>
          <w:lang w:eastAsia="en-NZ"/>
        </w:rPr>
        <w:lastRenderedPageBreak/>
        <w:t>2007</w:t>
      </w:r>
      <w:r w:rsidR="004D4891">
        <w:rPr>
          <w:lang w:eastAsia="en-NZ"/>
        </w:rPr>
        <w:t xml:space="preserve"> to </w:t>
      </w:r>
      <w:r w:rsidR="005F666F" w:rsidRPr="00BB6220">
        <w:rPr>
          <w:lang w:eastAsia="en-NZ"/>
        </w:rPr>
        <w:t>2011</w:t>
      </w:r>
      <w:r w:rsidR="00A83BE9" w:rsidRPr="00BB6220">
        <w:rPr>
          <w:lang w:eastAsia="en-NZ"/>
        </w:rPr>
        <w:t>,</w:t>
      </w:r>
      <w:r w:rsidR="003D640C">
        <w:rPr>
          <w:lang w:eastAsia="en-NZ"/>
        </w:rPr>
        <w:t xml:space="preserve"> </w:t>
      </w:r>
      <w:r w:rsidR="00A83BE9" w:rsidRPr="00BB6220">
        <w:rPr>
          <w:lang w:eastAsia="en-NZ"/>
        </w:rPr>
        <w:t>issues</w:t>
      </w:r>
      <w:r w:rsidR="003D640C">
        <w:rPr>
          <w:lang w:eastAsia="en-NZ"/>
        </w:rPr>
        <w:t xml:space="preserve"> </w:t>
      </w:r>
      <w:r w:rsidR="00A83BE9" w:rsidRPr="00BB6220">
        <w:rPr>
          <w:lang w:eastAsia="en-NZ"/>
        </w:rPr>
        <w:t>surrounding</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003D640C">
        <w:rPr>
          <w:lang w:eastAsia="en-NZ"/>
        </w:rPr>
        <w:t xml:space="preserve"> </w:t>
      </w:r>
      <w:r w:rsidR="0013601F">
        <w:rPr>
          <w:lang w:eastAsia="en-NZ"/>
        </w:rPr>
        <w:t>played</w:t>
      </w:r>
      <w:r w:rsidR="003D640C">
        <w:rPr>
          <w:lang w:eastAsia="en-NZ"/>
        </w:rPr>
        <w:t xml:space="preserve"> </w:t>
      </w:r>
      <w:r w:rsidR="0013601F">
        <w:rPr>
          <w:lang w:eastAsia="en-NZ"/>
        </w:rPr>
        <w:t>a</w:t>
      </w:r>
      <w:r w:rsidR="003D640C">
        <w:rPr>
          <w:lang w:eastAsia="en-NZ"/>
        </w:rPr>
        <w:t xml:space="preserve"> </w:t>
      </w:r>
      <w:r w:rsidR="0013601F">
        <w:rPr>
          <w:lang w:eastAsia="en-NZ"/>
        </w:rPr>
        <w:t>role</w:t>
      </w:r>
      <w:r w:rsidR="003D640C">
        <w:rPr>
          <w:lang w:eastAsia="en-NZ"/>
        </w:rPr>
        <w:t xml:space="preserve"> </w:t>
      </w:r>
      <w:r w:rsidR="00A83BE9" w:rsidRPr="00BB6220">
        <w:rPr>
          <w:lang w:eastAsia="en-NZ"/>
        </w:rPr>
        <w:t>in</w:t>
      </w:r>
      <w:r w:rsidR="003D640C">
        <w:rPr>
          <w:lang w:eastAsia="en-NZ"/>
        </w:rPr>
        <w:t xml:space="preserve"> </w:t>
      </w:r>
      <w:r w:rsidR="002B6661">
        <w:rPr>
          <w:lang w:eastAsia="en-NZ"/>
        </w:rPr>
        <w:t>about</w:t>
      </w:r>
      <w:r w:rsidR="003D640C">
        <w:rPr>
          <w:lang w:eastAsia="en-NZ"/>
        </w:rPr>
        <w:t xml:space="preserve"> </w:t>
      </w:r>
      <w:r w:rsidR="00A83BE9" w:rsidRPr="00BB6220">
        <w:rPr>
          <w:lang w:eastAsia="en-NZ"/>
        </w:rPr>
        <w:t>7</w:t>
      </w:r>
      <w:r w:rsidR="001D1BF7">
        <w:rPr>
          <w:lang w:eastAsia="en-NZ"/>
        </w:rPr>
        <w:t xml:space="preserve"> percent</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rangatahi</w:t>
      </w:r>
      <w:r w:rsidR="003D640C">
        <w:rPr>
          <w:lang w:eastAsia="en-NZ"/>
        </w:rPr>
        <w:t xml:space="preserve"> </w:t>
      </w:r>
      <w:r w:rsidR="00A83BE9" w:rsidRPr="00BB6220">
        <w:rPr>
          <w:lang w:eastAsia="en-NZ"/>
        </w:rPr>
        <w:t>Māori</w:t>
      </w:r>
      <w:r w:rsidR="003D640C">
        <w:rPr>
          <w:lang w:eastAsia="en-NZ"/>
        </w:rPr>
        <w:t xml:space="preserve"> </w:t>
      </w:r>
      <w:r w:rsidR="00A83BE9" w:rsidRPr="00BB6220">
        <w:rPr>
          <w:lang w:eastAsia="en-NZ"/>
        </w:rPr>
        <w:t>suicides</w:t>
      </w:r>
      <w:r w:rsidR="004A4BD8">
        <w:rPr>
          <w:lang w:eastAsia="en-NZ"/>
        </w:rPr>
        <w:t>.</w:t>
      </w:r>
      <w:r w:rsidR="004A4BD8" w:rsidDel="008E1CCA">
        <w:rPr>
          <w:lang w:eastAsia="en-NZ"/>
        </w:rPr>
        <w:t xml:space="preserve"> </w:t>
      </w:r>
      <w:r w:rsidR="005F2E78">
        <w:rPr>
          <w:lang w:eastAsia="en-NZ"/>
        </w:rPr>
        <w:t>The</w:t>
      </w:r>
      <w:r w:rsidR="003D640C">
        <w:rPr>
          <w:lang w:eastAsia="en-NZ"/>
        </w:rPr>
        <w:t xml:space="preserve"> </w:t>
      </w:r>
      <w:r w:rsidR="005F2E78">
        <w:rPr>
          <w:lang w:eastAsia="en-NZ"/>
        </w:rPr>
        <w:t>report</w:t>
      </w:r>
      <w:r w:rsidR="003D640C">
        <w:rPr>
          <w:lang w:eastAsia="en-NZ"/>
        </w:rPr>
        <w:t xml:space="preserve"> </w:t>
      </w:r>
      <w:r w:rsidR="005F2E78">
        <w:rPr>
          <w:lang w:eastAsia="en-NZ"/>
        </w:rPr>
        <w:t>mention</w:t>
      </w:r>
      <w:r w:rsidR="00EC128D">
        <w:rPr>
          <w:lang w:eastAsia="en-NZ"/>
        </w:rPr>
        <w:t>s</w:t>
      </w:r>
      <w:r w:rsidR="003D640C">
        <w:rPr>
          <w:lang w:eastAsia="en-NZ"/>
        </w:rPr>
        <w:t xml:space="preserve"> </w:t>
      </w:r>
      <w:r w:rsidR="00EC128D">
        <w:rPr>
          <w:lang w:eastAsia="en-NZ"/>
        </w:rPr>
        <w:t>that</w:t>
      </w:r>
      <w:r w:rsidR="003D640C">
        <w:rPr>
          <w:lang w:eastAsia="en-NZ"/>
        </w:rPr>
        <w:t xml:space="preserve"> </w:t>
      </w:r>
      <w:r w:rsidR="005F2E78">
        <w:rPr>
          <w:lang w:eastAsia="en-NZ"/>
        </w:rPr>
        <w:t>LGBT</w:t>
      </w:r>
      <w:r w:rsidR="004F5836">
        <w:rPr>
          <w:lang w:eastAsia="en-NZ"/>
        </w:rPr>
        <w:t>I</w:t>
      </w:r>
      <w:r w:rsidR="003D640C">
        <w:rPr>
          <w:lang w:eastAsia="en-NZ"/>
        </w:rPr>
        <w:t xml:space="preserve"> </w:t>
      </w:r>
      <w:r w:rsidR="0076737D">
        <w:rPr>
          <w:lang w:eastAsia="en-NZ"/>
        </w:rPr>
        <w:t>stigma</w:t>
      </w:r>
      <w:r w:rsidR="003D640C">
        <w:rPr>
          <w:lang w:eastAsia="en-NZ"/>
        </w:rPr>
        <w:t xml:space="preserve"> </w:t>
      </w:r>
      <w:r w:rsidR="00EC128D">
        <w:rPr>
          <w:lang w:eastAsia="en-NZ"/>
        </w:rPr>
        <w:t>and</w:t>
      </w:r>
      <w:r w:rsidR="003D640C">
        <w:rPr>
          <w:lang w:eastAsia="en-NZ"/>
        </w:rPr>
        <w:t xml:space="preserve"> </w:t>
      </w:r>
      <w:r w:rsidR="00B6678A">
        <w:rPr>
          <w:lang w:eastAsia="en-NZ"/>
        </w:rPr>
        <w:t>related</w:t>
      </w:r>
      <w:r w:rsidR="003D640C">
        <w:rPr>
          <w:lang w:eastAsia="en-NZ"/>
        </w:rPr>
        <w:t xml:space="preserve"> </w:t>
      </w:r>
      <w:r w:rsidR="00EC128D">
        <w:rPr>
          <w:lang w:eastAsia="en-NZ"/>
        </w:rPr>
        <w:t>bullying</w:t>
      </w:r>
      <w:r w:rsidR="003D640C">
        <w:rPr>
          <w:lang w:eastAsia="en-NZ"/>
        </w:rPr>
        <w:t xml:space="preserve"> </w:t>
      </w:r>
      <w:r w:rsidR="00EC128D">
        <w:rPr>
          <w:lang w:eastAsia="en-NZ"/>
        </w:rPr>
        <w:t>were</w:t>
      </w:r>
      <w:r w:rsidR="003D640C">
        <w:rPr>
          <w:lang w:eastAsia="en-NZ"/>
        </w:rPr>
        <w:t xml:space="preserve"> </w:t>
      </w:r>
      <w:r w:rsidR="00383257">
        <w:rPr>
          <w:lang w:eastAsia="en-NZ"/>
        </w:rPr>
        <w:t>particularly</w:t>
      </w:r>
      <w:r w:rsidR="003D640C">
        <w:rPr>
          <w:lang w:eastAsia="en-NZ"/>
        </w:rPr>
        <w:t xml:space="preserve"> </w:t>
      </w:r>
      <w:r w:rsidR="00383257">
        <w:rPr>
          <w:lang w:eastAsia="en-NZ"/>
        </w:rPr>
        <w:t>difficult</w:t>
      </w:r>
      <w:r w:rsidR="003D640C">
        <w:rPr>
          <w:lang w:eastAsia="en-NZ"/>
        </w:rPr>
        <w:t xml:space="preserve"> </w:t>
      </w:r>
      <w:r w:rsidR="00383257">
        <w:rPr>
          <w:lang w:eastAsia="en-NZ"/>
        </w:rPr>
        <w:t>for</w:t>
      </w:r>
      <w:r w:rsidR="003D640C">
        <w:rPr>
          <w:lang w:eastAsia="en-NZ"/>
        </w:rPr>
        <w:t xml:space="preserve"> </w:t>
      </w:r>
      <w:r w:rsidR="001C141B">
        <w:rPr>
          <w:lang w:eastAsia="en-NZ"/>
        </w:rPr>
        <w:t>Māori</w:t>
      </w:r>
      <w:r w:rsidR="003D640C">
        <w:rPr>
          <w:lang w:eastAsia="en-NZ"/>
        </w:rPr>
        <w:t xml:space="preserve"> </w:t>
      </w:r>
      <w:r w:rsidR="001C141B">
        <w:rPr>
          <w:lang w:eastAsia="en-NZ"/>
        </w:rPr>
        <w:t>males</w:t>
      </w:r>
      <w:r w:rsidR="003D640C">
        <w:rPr>
          <w:lang w:eastAsia="en-NZ"/>
        </w:rPr>
        <w:t xml:space="preserve"> </w:t>
      </w:r>
      <w:r w:rsidR="00DB2C47">
        <w:rPr>
          <w:lang w:eastAsia="en-NZ"/>
        </w:rPr>
        <w:t>who</w:t>
      </w:r>
      <w:r w:rsidR="003D640C">
        <w:rPr>
          <w:lang w:eastAsia="en-NZ"/>
        </w:rPr>
        <w:t xml:space="preserve"> </w:t>
      </w:r>
      <w:r w:rsidR="00DB2C47">
        <w:rPr>
          <w:lang w:eastAsia="en-NZ"/>
        </w:rPr>
        <w:t>had</w:t>
      </w:r>
      <w:r w:rsidR="003D640C">
        <w:rPr>
          <w:lang w:eastAsia="en-NZ"/>
        </w:rPr>
        <w:t xml:space="preserve"> </w:t>
      </w:r>
      <w:r w:rsidR="00DB2C47">
        <w:rPr>
          <w:lang w:eastAsia="en-NZ"/>
        </w:rPr>
        <w:t>died</w:t>
      </w:r>
      <w:r w:rsidR="003D640C">
        <w:rPr>
          <w:lang w:eastAsia="en-NZ"/>
        </w:rPr>
        <w:t xml:space="preserve"> </w:t>
      </w:r>
      <w:r w:rsidR="00DB2C47">
        <w:rPr>
          <w:lang w:eastAsia="en-NZ"/>
        </w:rPr>
        <w:t>by</w:t>
      </w:r>
      <w:r w:rsidR="003D640C">
        <w:rPr>
          <w:lang w:eastAsia="en-NZ"/>
        </w:rPr>
        <w:t xml:space="preserve"> </w:t>
      </w:r>
      <w:r w:rsidR="00DB2C47">
        <w:rPr>
          <w:lang w:eastAsia="en-NZ"/>
        </w:rPr>
        <w:t>suicide</w:t>
      </w:r>
      <w:r w:rsidR="00A83BE9" w:rsidRPr="00BB6220">
        <w:rPr>
          <w:lang w:eastAsia="en-NZ"/>
        </w:rPr>
        <w:t>.</w:t>
      </w:r>
      <w:r w:rsidR="005719C8" w:rsidRPr="00BB6220">
        <w:rPr>
          <w:rStyle w:val="FootnoteReference"/>
          <w:rFonts w:ascii="Calibri" w:eastAsia="Times New Roman" w:hAnsi="Calibri" w:cs="Calibri"/>
          <w:lang w:eastAsia="en-NZ"/>
        </w:rPr>
        <w:footnoteReference w:id="164"/>
      </w:r>
      <w:r w:rsidR="003D640C">
        <w:rPr>
          <w:lang w:eastAsia="en-NZ"/>
        </w:rPr>
        <w:t xml:space="preserve"> </w:t>
      </w:r>
    </w:p>
    <w:p w14:paraId="6DC4CF06" w14:textId="44081CF1" w:rsidR="00501068" w:rsidRDefault="464E369E" w:rsidP="002C6363">
      <w:pPr>
        <w:rPr>
          <w:rFonts w:ascii="Segoe UI" w:eastAsia="Times New Roman" w:hAnsi="Segoe UI" w:cs="Segoe UI"/>
          <w:lang w:eastAsia="en-NZ"/>
        </w:rPr>
      </w:pPr>
      <w:r w:rsidRPr="00BB6220">
        <w:rPr>
          <w:rFonts w:ascii="Calibri" w:eastAsia="Times New Roman" w:hAnsi="Calibri" w:cs="Calibri"/>
          <w:lang w:eastAsia="en-NZ"/>
        </w:rPr>
        <w:t>I</w:t>
      </w:r>
      <w:r w:rsidR="00650DEF" w:rsidRPr="00B1465F">
        <w:rPr>
          <w:rFonts w:ascii="Calibri" w:eastAsia="Times New Roman" w:hAnsi="Calibri" w:cs="Calibri"/>
          <w:lang w:eastAsia="en-NZ"/>
        </w:rPr>
        <w:t>n</w:t>
      </w:r>
      <w:r w:rsidR="008C041E">
        <w:rPr>
          <w:rFonts w:ascii="Calibri" w:eastAsia="Times New Roman" w:hAnsi="Calibri" w:cs="Calibri"/>
          <w:lang w:eastAsia="en-NZ"/>
        </w:rPr>
        <w:t xml:space="preserve"> a</w:t>
      </w:r>
      <w:r w:rsidR="003D640C">
        <w:rPr>
          <w:rFonts w:ascii="Calibri" w:eastAsia="Times New Roman" w:hAnsi="Calibri" w:cs="Calibri"/>
          <w:lang w:eastAsia="en-NZ"/>
        </w:rPr>
        <w:t xml:space="preserve"> </w:t>
      </w:r>
      <w:r w:rsidR="00650DEF" w:rsidRPr="00B1465F">
        <w:rPr>
          <w:rFonts w:ascii="Calibri" w:eastAsia="Times New Roman" w:hAnsi="Calibri" w:cs="Calibri"/>
          <w:lang w:eastAsia="en-NZ"/>
        </w:rPr>
        <w:t>study</w:t>
      </w:r>
      <w:r w:rsidR="003D640C">
        <w:rPr>
          <w:rFonts w:ascii="Calibri" w:eastAsia="Times New Roman" w:hAnsi="Calibri" w:cs="Calibri"/>
          <w:lang w:eastAsia="en-NZ"/>
        </w:rPr>
        <w:t xml:space="preserve"> </w:t>
      </w:r>
      <w:r w:rsidR="003F0EAE"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3F0EAE" w:rsidRPr="00BB6220">
        <w:rPr>
          <w:rFonts w:ascii="Calibri" w:eastAsia="Times New Roman" w:hAnsi="Calibri" w:cs="Calibri"/>
          <w:lang w:eastAsia="en-NZ"/>
        </w:rPr>
        <w:t>young</w:t>
      </w:r>
      <w:r w:rsidR="003D640C">
        <w:rPr>
          <w:rFonts w:ascii="Calibri" w:eastAsia="Times New Roman" w:hAnsi="Calibri" w:cs="Calibri"/>
          <w:lang w:eastAsia="en-NZ"/>
        </w:rPr>
        <w:t xml:space="preserve"> </w:t>
      </w:r>
      <w:r w:rsidR="003F0EAE"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003F0EAE"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3F0EAE" w:rsidRPr="00BB6220">
        <w:rPr>
          <w:rFonts w:ascii="Calibri" w:eastAsia="Times New Roman" w:hAnsi="Calibri" w:cs="Calibri"/>
          <w:lang w:eastAsia="en-NZ"/>
        </w:rPr>
        <w:t>Pacific</w:t>
      </w:r>
      <w:r w:rsidR="003D640C">
        <w:rPr>
          <w:rFonts w:ascii="Calibri" w:eastAsia="Times New Roman" w:hAnsi="Calibri" w:cs="Calibri"/>
          <w:lang w:eastAsia="en-NZ"/>
        </w:rPr>
        <w:t xml:space="preserve"> </w:t>
      </w:r>
      <w:r w:rsidR="003F0EAE" w:rsidRPr="00BB6220">
        <w:rPr>
          <w:rFonts w:ascii="Calibri" w:eastAsia="Times New Roman" w:hAnsi="Calibri" w:cs="Calibri"/>
          <w:lang w:eastAsia="en-NZ"/>
        </w:rPr>
        <w:t>adults</w:t>
      </w:r>
      <w:r w:rsidR="003D640C">
        <w:rPr>
          <w:rFonts w:ascii="Calibri" w:eastAsia="Times New Roman" w:hAnsi="Calibri" w:cs="Calibri"/>
          <w:lang w:eastAsia="en-NZ"/>
        </w:rPr>
        <w:t xml:space="preserve"> </w:t>
      </w:r>
      <w:r w:rsidR="000C264C">
        <w:rPr>
          <w:rFonts w:ascii="Calibri" w:eastAsia="Times New Roman" w:hAnsi="Calibri" w:cs="Calibri"/>
          <w:lang w:eastAsia="en-NZ"/>
        </w:rPr>
        <w:t>aged</w:t>
      </w:r>
      <w:r w:rsidR="003D640C">
        <w:rPr>
          <w:rFonts w:ascii="Calibri" w:eastAsia="Times New Roman" w:hAnsi="Calibri" w:cs="Calibri"/>
          <w:lang w:eastAsia="en-NZ"/>
        </w:rPr>
        <w:t xml:space="preserve"> </w:t>
      </w:r>
      <w:r w:rsidR="000C264C">
        <w:rPr>
          <w:rFonts w:ascii="Calibri" w:eastAsia="Times New Roman" w:hAnsi="Calibri" w:cs="Calibri"/>
          <w:lang w:eastAsia="en-NZ"/>
        </w:rPr>
        <w:t>18</w:t>
      </w:r>
      <w:r w:rsidR="004D4891">
        <w:rPr>
          <w:rFonts w:ascii="Calibri" w:eastAsia="Times New Roman" w:hAnsi="Calibri" w:cs="Calibri"/>
          <w:lang w:eastAsia="en-NZ"/>
        </w:rPr>
        <w:t>–</w:t>
      </w:r>
      <w:r w:rsidR="000C264C">
        <w:rPr>
          <w:rFonts w:ascii="Calibri" w:eastAsia="Times New Roman" w:hAnsi="Calibri" w:cs="Calibri"/>
          <w:lang w:eastAsia="en-NZ"/>
        </w:rPr>
        <w:t>25</w:t>
      </w:r>
      <w:r w:rsidR="003D640C">
        <w:rPr>
          <w:rFonts w:ascii="Calibri" w:eastAsia="Times New Roman" w:hAnsi="Calibri" w:cs="Calibri"/>
          <w:lang w:eastAsia="en-NZ"/>
        </w:rPr>
        <w:t xml:space="preserve"> </w:t>
      </w:r>
      <w:r w:rsidR="00D4082C"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00D4082C" w:rsidRPr="00BB6220">
        <w:rPr>
          <w:rFonts w:ascii="Calibri" w:eastAsia="Times New Roman" w:hAnsi="Calibri" w:cs="Calibri"/>
          <w:lang w:eastAsia="en-NZ"/>
        </w:rPr>
        <w:t>Aotearoa</w:t>
      </w:r>
      <w:r w:rsidR="008C041E">
        <w:rPr>
          <w:rFonts w:ascii="Calibri" w:eastAsia="Times New Roman" w:hAnsi="Calibri" w:cs="Calibri"/>
          <w:lang w:eastAsia="en-NZ"/>
        </w:rPr>
        <w:t>, participants who felt that they had</w:t>
      </w:r>
      <w:r w:rsidR="003D640C" w:rsidDel="00276540">
        <w:rPr>
          <w:rFonts w:ascii="Calibri" w:eastAsia="Times New Roman" w:hAnsi="Calibri" w:cs="Calibri"/>
          <w:lang w:eastAsia="en-NZ"/>
        </w:rPr>
        <w:t xml:space="preserve"> </w:t>
      </w:r>
      <w:r w:rsidR="00641B4B">
        <w:rPr>
          <w:rFonts w:ascii="Calibri" w:eastAsia="Times New Roman" w:hAnsi="Calibri" w:cs="Calibri"/>
          <w:lang w:eastAsia="en-NZ"/>
        </w:rPr>
        <w:t>less</w:t>
      </w:r>
      <w:r w:rsidR="003D640C">
        <w:rPr>
          <w:rFonts w:ascii="Calibri" w:eastAsia="Times New Roman" w:hAnsi="Calibri" w:cs="Calibri"/>
          <w:lang w:eastAsia="en-NZ"/>
        </w:rPr>
        <w:t xml:space="preserve"> </w:t>
      </w:r>
      <w:r w:rsidR="00641B4B">
        <w:rPr>
          <w:rFonts w:ascii="Calibri" w:eastAsia="Times New Roman" w:hAnsi="Calibri" w:cs="Calibri"/>
          <w:lang w:eastAsia="en-NZ"/>
        </w:rPr>
        <w:t>family</w:t>
      </w:r>
      <w:r w:rsidR="003D640C">
        <w:rPr>
          <w:rFonts w:ascii="Calibri" w:eastAsia="Times New Roman" w:hAnsi="Calibri" w:cs="Calibri"/>
          <w:lang w:eastAsia="en-NZ"/>
        </w:rPr>
        <w:t xml:space="preserve"> </w:t>
      </w:r>
      <w:r w:rsidR="00641B4B">
        <w:rPr>
          <w:rFonts w:ascii="Calibri" w:eastAsia="Times New Roman" w:hAnsi="Calibri" w:cs="Calibri"/>
          <w:lang w:eastAsia="en-NZ"/>
        </w:rPr>
        <w:t>support</w:t>
      </w:r>
      <w:r w:rsidR="003D640C">
        <w:rPr>
          <w:rFonts w:ascii="Calibri" w:eastAsia="Times New Roman" w:hAnsi="Calibri" w:cs="Calibri"/>
          <w:lang w:eastAsia="en-NZ"/>
        </w:rPr>
        <w:t xml:space="preserve"> </w:t>
      </w:r>
      <w:r w:rsidR="00276540">
        <w:rPr>
          <w:rFonts w:ascii="Calibri" w:eastAsia="Times New Roman" w:hAnsi="Calibri" w:cs="Calibri"/>
          <w:lang w:eastAsia="en-NZ"/>
        </w:rPr>
        <w:t>were</w:t>
      </w:r>
      <w:r w:rsidR="003D640C">
        <w:rPr>
          <w:rFonts w:ascii="Calibri" w:eastAsia="Times New Roman" w:hAnsi="Calibri" w:cs="Calibri"/>
          <w:lang w:eastAsia="en-NZ"/>
        </w:rPr>
        <w:t xml:space="preserve"> </w:t>
      </w:r>
      <w:r w:rsidR="00641B4B">
        <w:rPr>
          <w:rFonts w:ascii="Calibri" w:eastAsia="Times New Roman" w:hAnsi="Calibri" w:cs="Calibri"/>
          <w:lang w:eastAsia="en-NZ"/>
        </w:rPr>
        <w:t>more</w:t>
      </w:r>
      <w:r w:rsidR="003D640C">
        <w:rPr>
          <w:rFonts w:ascii="Calibri" w:eastAsia="Times New Roman" w:hAnsi="Calibri" w:cs="Calibri"/>
          <w:lang w:eastAsia="en-NZ"/>
        </w:rPr>
        <w:t xml:space="preserve"> </w:t>
      </w:r>
      <w:r w:rsidR="00641B4B">
        <w:rPr>
          <w:rFonts w:ascii="Calibri" w:eastAsia="Times New Roman" w:hAnsi="Calibri" w:cs="Calibri"/>
          <w:lang w:eastAsia="en-NZ"/>
        </w:rPr>
        <w:t>likely</w:t>
      </w:r>
      <w:r w:rsidR="003D640C">
        <w:rPr>
          <w:rFonts w:ascii="Calibri" w:eastAsia="Times New Roman" w:hAnsi="Calibri" w:cs="Calibri"/>
          <w:lang w:eastAsia="en-NZ"/>
        </w:rPr>
        <w:t xml:space="preserve"> </w:t>
      </w:r>
      <w:r w:rsidR="00641B4B">
        <w:rPr>
          <w:rFonts w:ascii="Calibri" w:eastAsia="Times New Roman" w:hAnsi="Calibri" w:cs="Calibri"/>
          <w:lang w:eastAsia="en-NZ"/>
        </w:rPr>
        <w:t>to</w:t>
      </w:r>
      <w:r w:rsidR="003D640C">
        <w:rPr>
          <w:rFonts w:ascii="Calibri" w:eastAsia="Times New Roman" w:hAnsi="Calibri" w:cs="Calibri"/>
          <w:lang w:eastAsia="en-NZ"/>
        </w:rPr>
        <w:t xml:space="preserve"> </w:t>
      </w:r>
      <w:r w:rsidR="00641B4B">
        <w:rPr>
          <w:rFonts w:ascii="Calibri" w:eastAsia="Times New Roman" w:hAnsi="Calibri" w:cs="Calibri"/>
          <w:lang w:eastAsia="en-NZ"/>
        </w:rPr>
        <w:t>consider</w:t>
      </w:r>
      <w:r w:rsidR="003D640C">
        <w:rPr>
          <w:rFonts w:ascii="Calibri" w:eastAsia="Times New Roman" w:hAnsi="Calibri" w:cs="Calibri"/>
          <w:lang w:eastAsia="en-NZ"/>
        </w:rPr>
        <w:t xml:space="preserve"> </w:t>
      </w:r>
      <w:r w:rsidR="00641B4B">
        <w:rPr>
          <w:rFonts w:ascii="Calibri" w:eastAsia="Times New Roman" w:hAnsi="Calibri" w:cs="Calibri"/>
          <w:lang w:eastAsia="en-NZ"/>
        </w:rPr>
        <w:t>suicide</w:t>
      </w:r>
      <w:r w:rsidR="00E45091"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Furthermore,</w:t>
      </w:r>
      <w:r w:rsidR="003D640C">
        <w:rPr>
          <w:rFonts w:ascii="Calibri" w:eastAsia="Times New Roman" w:hAnsi="Calibri" w:cs="Calibri"/>
          <w:lang w:eastAsia="en-NZ"/>
        </w:rPr>
        <w:t xml:space="preserve"> </w:t>
      </w:r>
      <w:r w:rsidR="00E45091" w:rsidRPr="00BB6220">
        <w:rPr>
          <w:rFonts w:ascii="Calibri" w:eastAsia="Times New Roman" w:hAnsi="Calibri" w:cs="Calibri"/>
          <w:lang w:eastAsia="en-NZ"/>
        </w:rPr>
        <w:t>R</w:t>
      </w:r>
      <w:r w:rsidR="00026F54" w:rsidRPr="00BB6220">
        <w:rPr>
          <w:rFonts w:ascii="Calibri" w:eastAsia="Times New Roman" w:hAnsi="Calibri" w:cs="Calibri"/>
          <w:lang w:eastAsia="en-NZ"/>
        </w:rPr>
        <w:t>ainbow</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young</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adults</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reported</w:t>
      </w:r>
      <w:r w:rsidR="003D640C">
        <w:rPr>
          <w:rFonts w:ascii="Calibri" w:eastAsia="Times New Roman" w:hAnsi="Calibri" w:cs="Calibri"/>
          <w:lang w:eastAsia="en-NZ"/>
        </w:rPr>
        <w:t xml:space="preserve"> </w:t>
      </w:r>
      <w:r w:rsidR="00E45091" w:rsidRPr="00BB6220">
        <w:rPr>
          <w:rFonts w:ascii="Calibri" w:eastAsia="Times New Roman" w:hAnsi="Calibri" w:cs="Calibri"/>
          <w:lang w:eastAsia="en-NZ"/>
        </w:rPr>
        <w:t>statistically</w:t>
      </w:r>
      <w:r w:rsidR="003D640C">
        <w:rPr>
          <w:rFonts w:ascii="Calibri" w:eastAsia="Times New Roman" w:hAnsi="Calibri" w:cs="Calibri"/>
          <w:lang w:eastAsia="en-NZ"/>
        </w:rPr>
        <w:t xml:space="preserve"> </w:t>
      </w:r>
      <w:r w:rsidR="00E45091" w:rsidRPr="00BB6220">
        <w:rPr>
          <w:rFonts w:ascii="Calibri" w:eastAsia="Times New Roman" w:hAnsi="Calibri" w:cs="Calibri"/>
          <w:lang w:eastAsia="en-NZ"/>
        </w:rPr>
        <w:t>significant</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lower</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family</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support</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than</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non-</w:t>
      </w:r>
      <w:r w:rsidR="00E45091" w:rsidRPr="00BB6220">
        <w:rPr>
          <w:rFonts w:ascii="Calibri" w:eastAsia="Times New Roman" w:hAnsi="Calibri" w:cs="Calibri"/>
          <w:lang w:eastAsia="en-NZ"/>
        </w:rPr>
        <w:t>R</w:t>
      </w:r>
      <w:r w:rsidR="00026F54" w:rsidRPr="00BB6220">
        <w:rPr>
          <w:rFonts w:ascii="Calibri" w:eastAsia="Times New Roman" w:hAnsi="Calibri" w:cs="Calibri"/>
          <w:lang w:eastAsia="en-NZ"/>
        </w:rPr>
        <w:t>ainbow</w:t>
      </w:r>
      <w:r w:rsidR="003D640C">
        <w:rPr>
          <w:rFonts w:ascii="Calibri" w:eastAsia="Times New Roman" w:hAnsi="Calibri" w:cs="Calibri"/>
          <w:lang w:eastAsia="en-NZ"/>
        </w:rPr>
        <w:t xml:space="preserve"> </w:t>
      </w:r>
      <w:r w:rsidR="00026F54" w:rsidRPr="00BB6220">
        <w:rPr>
          <w:rFonts w:ascii="Calibri" w:eastAsia="Times New Roman" w:hAnsi="Calibri" w:cs="Calibri"/>
          <w:lang w:eastAsia="en-NZ"/>
        </w:rPr>
        <w:t>respondents.</w:t>
      </w:r>
      <w:r w:rsidR="001E7D1C" w:rsidRPr="00BB6220">
        <w:rPr>
          <w:rStyle w:val="FootnoteReference"/>
          <w:rFonts w:ascii="Calibri" w:eastAsia="Times New Roman" w:hAnsi="Calibri" w:cs="Calibri"/>
          <w:lang w:eastAsia="en-NZ"/>
        </w:rPr>
        <w:footnoteReference w:id="165"/>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Although</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these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statistics</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are</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not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specific</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practices</w:t>
      </w:r>
      <w:r w:rsidR="008F48C1"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A83BE9" w:rsidRPr="00BB6220">
        <w:rPr>
          <w:rFonts w:ascii="Calibri" w:eastAsia="Times New Roman" w:hAnsi="Calibri" w:cs="Calibri"/>
          <w:lang w:eastAsia="en-NZ"/>
        </w:rPr>
        <w:t>they</w:t>
      </w:r>
      <w:r w:rsidR="003D640C">
        <w:rPr>
          <w:rFonts w:ascii="Calibri" w:eastAsia="Times New Roman" w:hAnsi="Calibri" w:cs="Calibri"/>
          <w:lang w:eastAsia="en-NZ"/>
        </w:rPr>
        <w:t xml:space="preserve"> </w:t>
      </w:r>
      <w:r w:rsidR="0052715D">
        <w:rPr>
          <w:rFonts w:ascii="Calibri" w:eastAsia="Times New Roman" w:hAnsi="Calibri" w:cs="Calibri"/>
          <w:lang w:eastAsia="en-NZ"/>
        </w:rPr>
        <w:t>point</w:t>
      </w:r>
      <w:r w:rsidR="003D640C">
        <w:rPr>
          <w:rFonts w:ascii="Calibri" w:eastAsia="Times New Roman" w:hAnsi="Calibri" w:cs="Calibri"/>
          <w:lang w:eastAsia="en-NZ"/>
        </w:rPr>
        <w:t xml:space="preserve"> </w:t>
      </w:r>
      <w:r w:rsidR="0052715D">
        <w:rPr>
          <w:rFonts w:ascii="Calibri" w:eastAsia="Times New Roman" w:hAnsi="Calibri" w:cs="Calibri"/>
          <w:lang w:eastAsia="en-NZ"/>
        </w:rPr>
        <w:t>to</w:t>
      </w:r>
      <w:r w:rsidR="003D640C">
        <w:rPr>
          <w:rFonts w:ascii="Calibri" w:eastAsia="Times New Roman" w:hAnsi="Calibri" w:cs="Calibri"/>
          <w:lang w:eastAsia="en-NZ"/>
        </w:rPr>
        <w:t xml:space="preserve"> </w:t>
      </w:r>
      <w:r w:rsidR="0052715D">
        <w:rPr>
          <w:rFonts w:ascii="Calibri" w:eastAsia="Times New Roman" w:hAnsi="Calibri" w:cs="Calibri"/>
          <w:lang w:eastAsia="en-NZ"/>
        </w:rPr>
        <w:t>the</w:t>
      </w:r>
      <w:r w:rsidR="003D640C">
        <w:rPr>
          <w:rFonts w:ascii="Calibri" w:eastAsia="Times New Roman" w:hAnsi="Calibri" w:cs="Calibri"/>
          <w:lang w:eastAsia="en-NZ"/>
        </w:rPr>
        <w:t xml:space="preserve"> </w:t>
      </w:r>
      <w:r w:rsidR="009D6738">
        <w:rPr>
          <w:rFonts w:ascii="Calibri" w:eastAsia="Times New Roman" w:hAnsi="Calibri" w:cs="Calibri"/>
          <w:lang w:eastAsia="en-NZ"/>
        </w:rPr>
        <w:t>serious</w:t>
      </w:r>
      <w:r w:rsidR="003D640C">
        <w:rPr>
          <w:rFonts w:ascii="Calibri" w:eastAsia="Times New Roman" w:hAnsi="Calibri" w:cs="Calibri"/>
          <w:lang w:eastAsia="en-NZ"/>
        </w:rPr>
        <w:t xml:space="preserve"> </w:t>
      </w:r>
      <w:r w:rsidR="009D6738">
        <w:rPr>
          <w:rFonts w:ascii="Calibri" w:eastAsia="Times New Roman" w:hAnsi="Calibri" w:cs="Calibri"/>
          <w:lang w:eastAsia="en-NZ"/>
        </w:rPr>
        <w:t>implications</w:t>
      </w:r>
      <w:r w:rsidR="003D640C">
        <w:rPr>
          <w:rFonts w:ascii="Calibri" w:eastAsia="Times New Roman" w:hAnsi="Calibri" w:cs="Calibri"/>
          <w:lang w:eastAsia="en-NZ"/>
        </w:rPr>
        <w:t xml:space="preserve"> </w:t>
      </w:r>
      <w:r w:rsidR="009D6738">
        <w:rPr>
          <w:rFonts w:ascii="Calibri" w:eastAsia="Times New Roman" w:hAnsi="Calibri" w:cs="Calibri"/>
          <w:lang w:eastAsia="en-NZ"/>
        </w:rPr>
        <w:t>for</w:t>
      </w:r>
      <w:r w:rsidR="003D640C">
        <w:rPr>
          <w:rFonts w:ascii="Calibri" w:eastAsia="Times New Roman" w:hAnsi="Calibri" w:cs="Calibri"/>
          <w:lang w:eastAsia="en-NZ"/>
        </w:rPr>
        <w:t xml:space="preserve"> </w:t>
      </w:r>
      <w:r w:rsidR="009D6738">
        <w:rPr>
          <w:rFonts w:ascii="Calibri" w:eastAsia="Times New Roman" w:hAnsi="Calibri" w:cs="Calibri"/>
          <w:lang w:eastAsia="en-NZ"/>
        </w:rPr>
        <w:t>young</w:t>
      </w:r>
      <w:r w:rsidR="003D640C">
        <w:rPr>
          <w:rFonts w:ascii="Calibri" w:eastAsia="Times New Roman" w:hAnsi="Calibri" w:cs="Calibri"/>
          <w:lang w:eastAsia="en-NZ"/>
        </w:rPr>
        <w:t xml:space="preserve"> </w:t>
      </w:r>
      <w:r w:rsidR="009D6738">
        <w:rPr>
          <w:rFonts w:ascii="Calibri" w:eastAsia="Times New Roman" w:hAnsi="Calibri" w:cs="Calibri"/>
          <w:lang w:eastAsia="en-NZ"/>
        </w:rPr>
        <w:t>Rainbow</w:t>
      </w:r>
      <w:r w:rsidR="003D640C">
        <w:rPr>
          <w:rFonts w:ascii="Calibri" w:eastAsia="Times New Roman" w:hAnsi="Calibri" w:cs="Calibri"/>
          <w:lang w:eastAsia="en-NZ"/>
        </w:rPr>
        <w:t xml:space="preserve"> </w:t>
      </w:r>
      <w:r w:rsidR="009D6738">
        <w:rPr>
          <w:rFonts w:ascii="Calibri" w:eastAsia="Times New Roman" w:hAnsi="Calibri" w:cs="Calibri"/>
          <w:lang w:eastAsia="en-NZ"/>
        </w:rPr>
        <w:t>people</w:t>
      </w:r>
      <w:r w:rsidR="003D640C">
        <w:rPr>
          <w:rFonts w:ascii="Calibri" w:eastAsia="Times New Roman" w:hAnsi="Calibri" w:cs="Calibri"/>
          <w:lang w:eastAsia="en-NZ"/>
        </w:rPr>
        <w:t xml:space="preserve"> </w:t>
      </w:r>
      <w:r w:rsidR="0052715D">
        <w:rPr>
          <w:rFonts w:ascii="Calibri" w:eastAsia="Times New Roman" w:hAnsi="Calibri" w:cs="Calibri"/>
          <w:lang w:eastAsia="en-NZ"/>
        </w:rPr>
        <w:t>when</w:t>
      </w:r>
      <w:r w:rsidR="003D640C">
        <w:rPr>
          <w:rFonts w:ascii="Calibri" w:eastAsia="Times New Roman" w:hAnsi="Calibri" w:cs="Calibri"/>
          <w:lang w:eastAsia="en-NZ"/>
        </w:rPr>
        <w:t xml:space="preserve"> </w:t>
      </w:r>
      <w:r w:rsidR="0052715D">
        <w:rPr>
          <w:rFonts w:ascii="Calibri" w:eastAsia="Times New Roman" w:hAnsi="Calibri" w:cs="Calibri"/>
          <w:lang w:eastAsia="en-NZ"/>
        </w:rPr>
        <w:t>they</w:t>
      </w:r>
      <w:r w:rsidR="003D640C">
        <w:rPr>
          <w:rFonts w:ascii="Calibri" w:eastAsia="Times New Roman" w:hAnsi="Calibri" w:cs="Calibri"/>
          <w:lang w:eastAsia="en-NZ"/>
        </w:rPr>
        <w:t xml:space="preserve"> </w:t>
      </w:r>
      <w:r w:rsidR="009D6738">
        <w:rPr>
          <w:rFonts w:ascii="Calibri" w:eastAsia="Times New Roman" w:hAnsi="Calibri" w:cs="Calibri"/>
          <w:lang w:eastAsia="en-NZ"/>
        </w:rPr>
        <w:t>are</w:t>
      </w:r>
      <w:r w:rsidR="003D640C">
        <w:rPr>
          <w:rFonts w:ascii="Calibri" w:eastAsia="Times New Roman" w:hAnsi="Calibri" w:cs="Calibri"/>
          <w:lang w:eastAsia="en-NZ"/>
        </w:rPr>
        <w:t xml:space="preserve"> </w:t>
      </w:r>
      <w:r w:rsidR="009D6738">
        <w:rPr>
          <w:rFonts w:ascii="Calibri" w:eastAsia="Times New Roman" w:hAnsi="Calibri" w:cs="Calibri"/>
          <w:lang w:eastAsia="en-NZ"/>
        </w:rPr>
        <w:t>not</w:t>
      </w:r>
      <w:r w:rsidR="003D640C">
        <w:rPr>
          <w:rFonts w:ascii="Calibri" w:eastAsia="Times New Roman" w:hAnsi="Calibri" w:cs="Calibri"/>
          <w:lang w:eastAsia="en-NZ"/>
        </w:rPr>
        <w:t xml:space="preserve"> </w:t>
      </w:r>
      <w:r w:rsidR="009D6738">
        <w:rPr>
          <w:rFonts w:ascii="Calibri" w:eastAsia="Times New Roman" w:hAnsi="Calibri" w:cs="Calibri"/>
          <w:lang w:eastAsia="en-NZ"/>
        </w:rPr>
        <w:t>accepted</w:t>
      </w:r>
      <w:r w:rsidR="003D640C">
        <w:rPr>
          <w:rFonts w:ascii="Calibri" w:eastAsia="Times New Roman" w:hAnsi="Calibri" w:cs="Calibri"/>
          <w:lang w:eastAsia="en-NZ"/>
        </w:rPr>
        <w:t xml:space="preserve"> </w:t>
      </w:r>
      <w:r w:rsidR="009D6738">
        <w:rPr>
          <w:rFonts w:ascii="Calibri" w:eastAsia="Times New Roman" w:hAnsi="Calibri" w:cs="Calibri"/>
          <w:lang w:eastAsia="en-NZ"/>
        </w:rPr>
        <w:t>and</w:t>
      </w:r>
      <w:r w:rsidR="003D640C">
        <w:rPr>
          <w:rFonts w:ascii="Calibri" w:eastAsia="Times New Roman" w:hAnsi="Calibri" w:cs="Calibri"/>
          <w:lang w:eastAsia="en-NZ"/>
        </w:rPr>
        <w:t xml:space="preserve"> </w:t>
      </w:r>
      <w:r w:rsidR="009D6738">
        <w:rPr>
          <w:rFonts w:ascii="Calibri" w:eastAsia="Times New Roman" w:hAnsi="Calibri" w:cs="Calibri"/>
          <w:lang w:eastAsia="en-NZ"/>
        </w:rPr>
        <w:t>supported</w:t>
      </w:r>
      <w:r w:rsidR="003D640C">
        <w:rPr>
          <w:rFonts w:ascii="Calibri" w:eastAsia="Times New Roman" w:hAnsi="Calibri" w:cs="Calibri"/>
          <w:lang w:eastAsia="en-NZ"/>
        </w:rPr>
        <w:t xml:space="preserve"> </w:t>
      </w:r>
      <w:r w:rsidR="009D6738">
        <w:rPr>
          <w:rFonts w:ascii="Calibri" w:eastAsia="Times New Roman" w:hAnsi="Calibri" w:cs="Calibri"/>
          <w:lang w:eastAsia="en-NZ"/>
        </w:rPr>
        <w:t>by</w:t>
      </w:r>
      <w:r w:rsidR="003D640C">
        <w:rPr>
          <w:rFonts w:ascii="Calibri" w:eastAsia="Times New Roman" w:hAnsi="Calibri" w:cs="Calibri"/>
          <w:lang w:eastAsia="en-NZ"/>
        </w:rPr>
        <w:t xml:space="preserve"> </w:t>
      </w:r>
      <w:r w:rsidR="009D6738">
        <w:rPr>
          <w:rFonts w:ascii="Calibri" w:eastAsia="Times New Roman" w:hAnsi="Calibri" w:cs="Calibri"/>
          <w:lang w:eastAsia="en-NZ"/>
        </w:rPr>
        <w:t>their</w:t>
      </w:r>
      <w:r w:rsidR="003D640C">
        <w:rPr>
          <w:rFonts w:ascii="Calibri" w:eastAsia="Times New Roman" w:hAnsi="Calibri" w:cs="Calibri"/>
          <w:lang w:eastAsia="en-NZ"/>
        </w:rPr>
        <w:t xml:space="preserve"> </w:t>
      </w:r>
      <w:r w:rsidR="009D6738">
        <w:rPr>
          <w:rFonts w:ascii="Calibri" w:eastAsia="Times New Roman" w:hAnsi="Calibri" w:cs="Calibri"/>
          <w:lang w:eastAsia="en-NZ"/>
        </w:rPr>
        <w:t>families.</w:t>
      </w:r>
      <w:r w:rsidR="003D640C">
        <w:rPr>
          <w:rFonts w:ascii="Calibri" w:eastAsia="Times New Roman" w:hAnsi="Calibri" w:cs="Calibri"/>
          <w:lang w:eastAsia="en-NZ"/>
        </w:rPr>
        <w:t xml:space="preserve"> </w:t>
      </w:r>
    </w:p>
    <w:p w14:paraId="6A5B30BB" w14:textId="1353F5D9" w:rsidR="00501068" w:rsidRDefault="00A83BE9" w:rsidP="002C6363">
      <w:pPr>
        <w:rPr>
          <w:rFonts w:ascii="Calibri" w:eastAsia="Times New Roman" w:hAnsi="Calibri" w:cs="Calibri"/>
          <w:lang w:eastAsia="en-NZ"/>
        </w:rPr>
      </w:pPr>
      <w:r w:rsidRPr="00BB6220">
        <w:rPr>
          <w:rFonts w:ascii="Calibri" w:eastAsia="Times New Roman" w:hAnsi="Calibri" w:cs="Calibri"/>
          <w:lang w:eastAsia="en-NZ"/>
        </w:rPr>
        <w:t>A</w:t>
      </w:r>
      <w:r w:rsidR="0080137B">
        <w:rPr>
          <w:rFonts w:ascii="Calibri" w:eastAsia="Times New Roman" w:hAnsi="Calibri" w:cs="Calibri"/>
          <w:lang w:eastAsia="en-NZ"/>
        </w:rPr>
        <w:t>nother</w:t>
      </w:r>
      <w:r w:rsidR="003D640C">
        <w:rPr>
          <w:rFonts w:ascii="Calibri" w:eastAsia="Times New Roman" w:hAnsi="Calibri" w:cs="Calibri"/>
          <w:lang w:eastAsia="en-NZ"/>
        </w:rPr>
        <w:t xml:space="preserve"> </w:t>
      </w:r>
      <w:r w:rsidRPr="00BB6220">
        <w:rPr>
          <w:rFonts w:ascii="Calibri" w:eastAsia="Times New Roman" w:hAnsi="Calibri" w:cs="Calibri"/>
          <w:lang w:eastAsia="en-NZ"/>
        </w:rPr>
        <w:t>study</w:t>
      </w:r>
      <w:r w:rsidR="003D640C">
        <w:rPr>
          <w:rFonts w:ascii="Calibri" w:eastAsia="Times New Roman" w:hAnsi="Calibri" w:cs="Calibri"/>
          <w:lang w:eastAsia="en-NZ"/>
        </w:rPr>
        <w:t xml:space="preserve"> </w:t>
      </w:r>
      <w:r w:rsidRPr="00BB6220">
        <w:rPr>
          <w:rFonts w:ascii="Calibri" w:eastAsia="Times New Roman" w:hAnsi="Calibri" w:cs="Calibri"/>
          <w:lang w:eastAsia="en-NZ"/>
        </w:rPr>
        <w:t>on</w:t>
      </w:r>
      <w:r w:rsidR="003D640C">
        <w:rPr>
          <w:rFonts w:ascii="Calibri" w:eastAsia="Times New Roman" w:hAnsi="Calibri" w:cs="Calibri"/>
          <w:lang w:eastAsia="en-NZ"/>
        </w:rPr>
        <w:t xml:space="preserve"> </w:t>
      </w:r>
      <w:r w:rsidR="071CDBF5" w:rsidRPr="00BB6220">
        <w:rPr>
          <w:rFonts w:ascii="Calibri" w:eastAsia="Times New Roman" w:hAnsi="Calibri" w:cs="Calibri"/>
          <w:lang w:eastAsia="en-NZ"/>
        </w:rPr>
        <w:t>young</w:t>
      </w:r>
      <w:r w:rsidR="003D640C">
        <w:rPr>
          <w:rFonts w:ascii="Calibri" w:eastAsia="Times New Roman" w:hAnsi="Calibri" w:cs="Calibri"/>
          <w:lang w:eastAsia="en-NZ"/>
        </w:rPr>
        <w:t xml:space="preserve"> </w:t>
      </w:r>
      <w:r w:rsidR="071CDBF5" w:rsidRPr="00BB6220">
        <w:rPr>
          <w:rFonts w:ascii="Calibri" w:eastAsia="Times New Roman" w:hAnsi="Calibri" w:cs="Calibri"/>
          <w:lang w:eastAsia="en-NZ"/>
        </w:rPr>
        <w:t>peop</w:t>
      </w:r>
      <w:r w:rsidR="00AB48AB">
        <w:rPr>
          <w:rFonts w:ascii="Calibri" w:eastAsia="Times New Roman" w:hAnsi="Calibri" w:cs="Calibri"/>
          <w:lang w:eastAsia="en-NZ"/>
        </w:rPr>
        <w:t>le’s</w:t>
      </w:r>
      <w:r w:rsidR="003D640C">
        <w:rPr>
          <w:rFonts w:ascii="Calibri" w:eastAsia="Times New Roman" w:hAnsi="Calibri" w:cs="Calibri"/>
          <w:lang w:eastAsia="en-NZ"/>
        </w:rPr>
        <w:t xml:space="preserve"> </w:t>
      </w:r>
      <w:r w:rsidR="00AB48AB">
        <w:rPr>
          <w:rFonts w:ascii="Calibri" w:eastAsia="Times New Roman" w:hAnsi="Calibri" w:cs="Calibri"/>
          <w:lang w:eastAsia="en-NZ"/>
        </w:rPr>
        <w:t>experiences</w:t>
      </w:r>
      <w:r w:rsidR="003D640C">
        <w:rPr>
          <w:rFonts w:ascii="Calibri" w:eastAsia="Times New Roman" w:hAnsi="Calibri" w:cs="Calibri"/>
          <w:lang w:eastAsia="en-NZ"/>
        </w:rPr>
        <w:t xml:space="preserve"> </w:t>
      </w:r>
      <w:r w:rsidR="00AB48AB">
        <w:rPr>
          <w:rFonts w:ascii="Calibri" w:eastAsia="Times New Roman" w:hAnsi="Calibri" w:cs="Calibri"/>
          <w:lang w:eastAsia="en-NZ"/>
        </w:rPr>
        <w:t>of</w:t>
      </w:r>
      <w:r w:rsidR="003D640C">
        <w:rPr>
          <w:rFonts w:ascii="Calibri" w:eastAsia="Times New Roman" w:hAnsi="Calibri" w:cs="Calibri"/>
          <w:lang w:eastAsia="en-NZ"/>
        </w:rPr>
        <w:t xml:space="preserve"> </w:t>
      </w:r>
      <w:r w:rsidR="00AB48AB">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r w:rsidRPr="00BB6220">
        <w:rPr>
          <w:rFonts w:ascii="Calibri" w:eastAsia="Times New Roman" w:hAnsi="Calibri" w:cs="Calibri"/>
          <w:lang w:eastAsia="en-NZ"/>
        </w:rPr>
        <w:t>relating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gender</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404B18" w:rsidRPr="00BB6220">
        <w:rPr>
          <w:rFonts w:ascii="Calibri" w:eastAsia="Times New Roman" w:hAnsi="Calibri" w:cs="Calibri"/>
          <w:lang w:eastAsia="en-NZ"/>
        </w:rPr>
        <w:t>sexual</w:t>
      </w:r>
      <w:r w:rsidR="003D640C">
        <w:rPr>
          <w:rFonts w:ascii="Calibri" w:eastAsia="Times New Roman" w:hAnsi="Calibri" w:cs="Calibri"/>
          <w:lang w:eastAsia="en-NZ"/>
        </w:rPr>
        <w:t xml:space="preserve"> </w:t>
      </w:r>
      <w:r w:rsidR="00404B18" w:rsidRPr="00BB6220">
        <w:rPr>
          <w:rFonts w:ascii="Calibri" w:eastAsia="Times New Roman" w:hAnsi="Calibri" w:cs="Calibri"/>
          <w:lang w:eastAsia="en-NZ"/>
        </w:rPr>
        <w:t>orientation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found</w:t>
      </w:r>
      <w:r w:rsidR="003D640C">
        <w:rPr>
          <w:rFonts w:ascii="Calibri" w:eastAsia="Times New Roman" w:hAnsi="Calibri" w:cs="Calibri"/>
          <w:lang w:eastAsia="en-NZ"/>
        </w:rPr>
        <w:t xml:space="preserve"> </w:t>
      </w:r>
      <w:r w:rsidR="009E54FE">
        <w:rPr>
          <w:rFonts w:ascii="Calibri" w:eastAsia="Times New Roman" w:hAnsi="Calibri" w:cs="Calibri"/>
          <w:lang w:eastAsia="en-NZ"/>
        </w:rPr>
        <w:t>3</w:t>
      </w:r>
      <w:r w:rsidR="001D1BF7">
        <w:rPr>
          <w:rFonts w:ascii="Calibri" w:eastAsia="Times New Roman" w:hAnsi="Calibri" w:cs="Calibri"/>
          <w:lang w:eastAsia="en-NZ"/>
        </w:rPr>
        <w:t xml:space="preserve"> percent</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Pr="00BB6220">
        <w:rPr>
          <w:rFonts w:ascii="Calibri" w:eastAsia="Times New Roman" w:hAnsi="Calibri" w:cs="Calibri"/>
          <w:lang w:eastAsia="en-NZ"/>
        </w:rPr>
        <w:t>participants</w:t>
      </w:r>
      <w:r w:rsidR="003D640C">
        <w:rPr>
          <w:rFonts w:ascii="Calibri" w:eastAsia="Times New Roman" w:hAnsi="Calibri" w:cs="Calibri"/>
          <w:lang w:eastAsia="en-NZ"/>
        </w:rPr>
        <w:t xml:space="preserve"> </w:t>
      </w:r>
      <w:r w:rsidRPr="00BB6220">
        <w:rPr>
          <w:rFonts w:ascii="Calibri" w:eastAsia="Times New Roman" w:hAnsi="Calibri" w:cs="Calibri"/>
          <w:lang w:eastAsia="en-NZ"/>
        </w:rPr>
        <w:t>had</w:t>
      </w:r>
      <w:r w:rsidR="003D640C">
        <w:rPr>
          <w:rFonts w:ascii="Calibri" w:eastAsia="Times New Roman" w:hAnsi="Calibri" w:cs="Calibri"/>
          <w:lang w:eastAsia="en-NZ"/>
        </w:rPr>
        <w:t xml:space="preserve"> </w:t>
      </w:r>
      <w:r w:rsidRPr="00BB6220">
        <w:rPr>
          <w:rFonts w:ascii="Calibri" w:eastAsia="Times New Roman" w:hAnsi="Calibri" w:cs="Calibri"/>
          <w:lang w:eastAsia="en-NZ"/>
        </w:rPr>
        <w:t>experienced</w:t>
      </w:r>
      <w:r w:rsidR="003D640C">
        <w:rPr>
          <w:rFonts w:ascii="Calibri" w:eastAsia="Times New Roman" w:hAnsi="Calibri" w:cs="Calibri"/>
          <w:lang w:eastAsia="en-NZ"/>
        </w:rPr>
        <w:t xml:space="preserve"> </w:t>
      </w:r>
      <w:r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r w:rsidR="008B2605"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8B2605"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further</w:t>
      </w:r>
      <w:r w:rsidR="003D640C">
        <w:rPr>
          <w:rFonts w:ascii="Calibri" w:eastAsia="Times New Roman" w:hAnsi="Calibri" w:cs="Calibri"/>
          <w:lang w:eastAsia="en-NZ"/>
        </w:rPr>
        <w:t xml:space="preserve"> </w:t>
      </w:r>
      <w:r w:rsidR="000D613F">
        <w:rPr>
          <w:rFonts w:ascii="Calibri" w:eastAsia="Times New Roman" w:hAnsi="Calibri" w:cs="Calibri"/>
          <w:lang w:eastAsia="en-NZ"/>
        </w:rPr>
        <w:t>4</w:t>
      </w:r>
      <w:r w:rsidR="001D1BF7">
        <w:rPr>
          <w:rFonts w:ascii="Calibri" w:eastAsia="Times New Roman" w:hAnsi="Calibri" w:cs="Calibri"/>
          <w:lang w:eastAsia="en-NZ"/>
        </w:rPr>
        <w:t xml:space="preserve"> percent</w:t>
      </w:r>
      <w:r w:rsidR="003D640C">
        <w:rPr>
          <w:rFonts w:ascii="Calibri" w:eastAsia="Times New Roman" w:hAnsi="Calibri" w:cs="Calibri"/>
          <w:lang w:eastAsia="en-NZ"/>
        </w:rPr>
        <w:t xml:space="preserve"> </w:t>
      </w:r>
      <w:r w:rsidR="000D613F">
        <w:rPr>
          <w:rFonts w:ascii="Calibri" w:eastAsia="Times New Roman" w:hAnsi="Calibri" w:cs="Calibri"/>
          <w:lang w:eastAsia="en-NZ"/>
        </w:rPr>
        <w:t>of</w:t>
      </w:r>
      <w:r w:rsidR="003D640C">
        <w:rPr>
          <w:rFonts w:ascii="Calibri" w:eastAsia="Times New Roman" w:hAnsi="Calibri" w:cs="Calibri"/>
          <w:lang w:eastAsia="en-NZ"/>
        </w:rPr>
        <w:t xml:space="preserve"> </w:t>
      </w:r>
      <w:r w:rsidR="000D613F">
        <w:rPr>
          <w:rFonts w:ascii="Calibri" w:eastAsia="Times New Roman" w:hAnsi="Calibri" w:cs="Calibri"/>
          <w:lang w:eastAsia="en-NZ"/>
        </w:rPr>
        <w:t>all</w:t>
      </w:r>
      <w:r w:rsidR="003D640C">
        <w:rPr>
          <w:rFonts w:ascii="Calibri" w:eastAsia="Times New Roman" w:hAnsi="Calibri" w:cs="Calibri"/>
          <w:lang w:eastAsia="en-NZ"/>
        </w:rPr>
        <w:t xml:space="preserve"> </w:t>
      </w:r>
      <w:r w:rsidR="000D613F">
        <w:rPr>
          <w:rFonts w:ascii="Calibri" w:eastAsia="Times New Roman" w:hAnsi="Calibri" w:cs="Calibri"/>
          <w:lang w:eastAsia="en-NZ"/>
        </w:rPr>
        <w:t>respondents</w:t>
      </w:r>
      <w:r w:rsidR="003D640C">
        <w:rPr>
          <w:rFonts w:ascii="Calibri" w:eastAsia="Times New Roman" w:hAnsi="Calibri" w:cs="Calibri"/>
          <w:lang w:eastAsia="en-NZ"/>
        </w:rPr>
        <w:t xml:space="preserve"> </w:t>
      </w:r>
      <w:r w:rsidRPr="00BB6220">
        <w:rPr>
          <w:rFonts w:ascii="Calibri" w:eastAsia="Times New Roman" w:hAnsi="Calibri" w:cs="Calibri"/>
          <w:lang w:eastAsia="en-NZ"/>
        </w:rPr>
        <w:t>preferred</w:t>
      </w:r>
      <w:r w:rsidR="003D640C">
        <w:rPr>
          <w:rFonts w:ascii="Calibri" w:eastAsia="Times New Roman" w:hAnsi="Calibri" w:cs="Calibri"/>
          <w:lang w:eastAsia="en-NZ"/>
        </w:rPr>
        <w:t xml:space="preserve"> </w:t>
      </w:r>
      <w:r w:rsidRPr="00BB6220">
        <w:rPr>
          <w:rFonts w:ascii="Calibri" w:eastAsia="Times New Roman" w:hAnsi="Calibri" w:cs="Calibri"/>
          <w:lang w:eastAsia="en-NZ"/>
        </w:rPr>
        <w:t>not</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say</w:t>
      </w:r>
      <w:r w:rsidR="003D640C">
        <w:rPr>
          <w:rFonts w:ascii="Calibri" w:eastAsia="Times New Roman" w:hAnsi="Calibri" w:cs="Calibri"/>
          <w:lang w:eastAsia="en-NZ"/>
        </w:rPr>
        <w:t xml:space="preserve"> </w:t>
      </w:r>
      <w:r w:rsidRPr="00BB6220">
        <w:rPr>
          <w:rFonts w:ascii="Calibri" w:eastAsia="Times New Roman" w:hAnsi="Calibri" w:cs="Calibri"/>
          <w:lang w:eastAsia="en-NZ"/>
        </w:rPr>
        <w:t>or</w:t>
      </w:r>
      <w:r w:rsidR="003D640C">
        <w:rPr>
          <w:rFonts w:ascii="Calibri" w:eastAsia="Times New Roman" w:hAnsi="Calibri" w:cs="Calibri"/>
          <w:lang w:eastAsia="en-NZ"/>
        </w:rPr>
        <w:t xml:space="preserve"> </w:t>
      </w:r>
      <w:r w:rsidRPr="00BB6220">
        <w:rPr>
          <w:rFonts w:ascii="Calibri" w:eastAsia="Times New Roman" w:hAnsi="Calibri" w:cs="Calibri"/>
          <w:lang w:eastAsia="en-NZ"/>
        </w:rPr>
        <w:t>found</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question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too</w:t>
      </w:r>
      <w:r w:rsidR="003D640C">
        <w:rPr>
          <w:rFonts w:ascii="Calibri" w:eastAsia="Times New Roman" w:hAnsi="Calibri" w:cs="Calibri"/>
          <w:lang w:eastAsia="en-NZ"/>
        </w:rPr>
        <w:t xml:space="preserve"> </w:t>
      </w:r>
      <w:r w:rsidRPr="00BB6220">
        <w:rPr>
          <w:rFonts w:ascii="Calibri" w:eastAsia="Times New Roman" w:hAnsi="Calibri" w:cs="Calibri"/>
          <w:lang w:eastAsia="en-NZ"/>
        </w:rPr>
        <w:t>upsetting</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answer.</w:t>
      </w:r>
      <w:r w:rsidR="00703134" w:rsidRPr="00BB6220">
        <w:rPr>
          <w:rStyle w:val="FootnoteReference"/>
          <w:rFonts w:ascii="Calibri" w:eastAsia="Times New Roman" w:hAnsi="Calibri" w:cs="Calibri"/>
          <w:lang w:eastAsia="en-NZ"/>
        </w:rPr>
        <w:footnoteReference w:id="166"/>
      </w:r>
      <w:r w:rsidR="003D640C">
        <w:rPr>
          <w:rFonts w:ascii="Calibri" w:eastAsia="Times New Roman" w:hAnsi="Calibri" w:cs="Calibri"/>
          <w:lang w:eastAsia="en-NZ"/>
        </w:rPr>
        <w:t xml:space="preserve"> </w:t>
      </w:r>
      <w:r w:rsidRPr="00BB6220">
        <w:rPr>
          <w:rFonts w:ascii="Calibri" w:eastAsia="Times New Roman" w:hAnsi="Calibri" w:cs="Calibri"/>
          <w:lang w:eastAsia="en-NZ"/>
        </w:rPr>
        <w:t>Another</w:t>
      </w:r>
      <w:r w:rsidR="003D640C">
        <w:rPr>
          <w:rFonts w:ascii="Calibri" w:eastAsia="Times New Roman" w:hAnsi="Calibri" w:cs="Calibri"/>
          <w:lang w:eastAsia="en-NZ"/>
        </w:rPr>
        <w:t xml:space="preserve"> </w:t>
      </w:r>
      <w:r w:rsidRPr="00BB6220">
        <w:rPr>
          <w:rFonts w:ascii="Calibri" w:eastAsia="Times New Roman" w:hAnsi="Calibri" w:cs="Calibri"/>
          <w:lang w:eastAsia="en-NZ"/>
        </w:rPr>
        <w:t>study</w:t>
      </w:r>
      <w:r w:rsidR="003D640C">
        <w:rPr>
          <w:rFonts w:ascii="Calibri" w:eastAsia="Times New Roman" w:hAnsi="Calibri" w:cs="Calibri"/>
          <w:lang w:eastAsia="en-NZ"/>
        </w:rPr>
        <w:t xml:space="preserve"> </w:t>
      </w:r>
      <w:r w:rsidRPr="00BB6220">
        <w:rPr>
          <w:rFonts w:ascii="Calibri" w:eastAsia="Times New Roman" w:hAnsi="Calibri" w:cs="Calibri"/>
          <w:lang w:eastAsia="en-NZ"/>
        </w:rPr>
        <w:t>on</w:t>
      </w:r>
      <w:r w:rsidR="003D640C">
        <w:rPr>
          <w:rFonts w:ascii="Calibri" w:eastAsia="Times New Roman" w:hAnsi="Calibri" w:cs="Calibri"/>
          <w:lang w:eastAsia="en-NZ"/>
        </w:rPr>
        <w:t xml:space="preserve"> </w:t>
      </w:r>
      <w:r w:rsidRPr="00BB6220">
        <w:rPr>
          <w:rFonts w:ascii="Calibri" w:eastAsia="Times New Roman" w:hAnsi="Calibri" w:cs="Calibri"/>
          <w:lang w:eastAsia="en-NZ"/>
        </w:rPr>
        <w:t>trans</w:t>
      </w:r>
      <w:r w:rsidR="00F30CAC" w:rsidRPr="00BB6220">
        <w:rPr>
          <w:rFonts w:ascii="Calibri" w:eastAsia="Times New Roman" w:hAnsi="Calibri" w:cs="Calibri"/>
          <w:lang w:eastAsia="en-NZ"/>
        </w:rPr>
        <w:t>gender</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non-binary</w:t>
      </w:r>
      <w:r w:rsidR="003D640C">
        <w:rPr>
          <w:rFonts w:ascii="Calibri" w:eastAsia="Times New Roman" w:hAnsi="Calibri" w:cs="Calibri"/>
          <w:lang w:eastAsia="en-NZ"/>
        </w:rPr>
        <w:t xml:space="preserve"> </w:t>
      </w:r>
      <w:r w:rsidR="00944C51">
        <w:rPr>
          <w:rFonts w:ascii="Calibri" w:eastAsia="Times New Roman" w:hAnsi="Calibri" w:cs="Calibri"/>
          <w:lang w:eastAsia="en-NZ"/>
        </w:rPr>
        <w:t>people</w:t>
      </w:r>
      <w:r w:rsidR="003D640C">
        <w:rPr>
          <w:rFonts w:ascii="Calibri" w:eastAsia="Times New Roman" w:hAnsi="Calibri" w:cs="Calibri"/>
          <w:lang w:eastAsia="en-NZ"/>
        </w:rPr>
        <w:t xml:space="preserve"> </w:t>
      </w:r>
      <w:r w:rsidRPr="00BB6220">
        <w:rPr>
          <w:rFonts w:ascii="Calibri" w:eastAsia="Times New Roman" w:hAnsi="Calibri" w:cs="Calibri"/>
          <w:lang w:eastAsia="en-NZ"/>
        </w:rPr>
        <w:t>showed</w:t>
      </w:r>
      <w:r w:rsidR="003D640C">
        <w:rPr>
          <w:rFonts w:ascii="Calibri" w:eastAsia="Times New Roman" w:hAnsi="Calibri" w:cs="Calibri"/>
          <w:lang w:eastAsia="en-NZ"/>
        </w:rPr>
        <w:t xml:space="preserve"> </w:t>
      </w:r>
      <w:r w:rsidRPr="00BB6220">
        <w:rPr>
          <w:rFonts w:ascii="Calibri" w:eastAsia="Times New Roman" w:hAnsi="Calibri" w:cs="Calibri"/>
          <w:lang w:eastAsia="en-NZ"/>
        </w:rPr>
        <w:t>29</w:t>
      </w:r>
      <w:r w:rsidR="001D1BF7">
        <w:rPr>
          <w:rFonts w:ascii="Calibri" w:eastAsia="Times New Roman" w:hAnsi="Calibri" w:cs="Calibri"/>
          <w:lang w:eastAsia="en-NZ"/>
        </w:rPr>
        <w:t xml:space="preserve"> percent</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84007B"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Pr="00BB6220">
        <w:rPr>
          <w:rFonts w:ascii="Calibri" w:eastAsia="Times New Roman" w:hAnsi="Calibri" w:cs="Calibri"/>
          <w:lang w:eastAsia="en-NZ"/>
        </w:rPr>
        <w:t>participants</w:t>
      </w:r>
      <w:r w:rsidR="003D640C">
        <w:rPr>
          <w:rFonts w:ascii="Calibri" w:eastAsia="Times New Roman" w:hAnsi="Calibri" w:cs="Calibri"/>
          <w:lang w:eastAsia="en-NZ"/>
        </w:rPr>
        <w:t xml:space="preserve"> </w:t>
      </w:r>
      <w:r w:rsidRPr="00BB6220">
        <w:rPr>
          <w:rFonts w:ascii="Calibri" w:eastAsia="Times New Roman" w:hAnsi="Calibri" w:cs="Calibri"/>
          <w:lang w:eastAsia="en-NZ"/>
        </w:rPr>
        <w:t>had</w:t>
      </w:r>
      <w:r w:rsidR="003D640C">
        <w:rPr>
          <w:rFonts w:ascii="Calibri" w:eastAsia="Times New Roman" w:hAnsi="Calibri" w:cs="Calibri"/>
          <w:lang w:eastAsia="en-NZ"/>
        </w:rPr>
        <w:t xml:space="preserve"> </w:t>
      </w:r>
      <w:r w:rsidRPr="00BB6220">
        <w:rPr>
          <w:rFonts w:ascii="Calibri" w:eastAsia="Times New Roman" w:hAnsi="Calibri" w:cs="Calibri"/>
          <w:lang w:eastAsia="en-NZ"/>
        </w:rPr>
        <w:t>experienced</w:t>
      </w:r>
      <w:r w:rsidR="003D640C">
        <w:rPr>
          <w:rFonts w:ascii="Calibri" w:eastAsia="Times New Roman" w:hAnsi="Calibri" w:cs="Calibri"/>
          <w:lang w:eastAsia="en-NZ"/>
        </w:rPr>
        <w:t xml:space="preserve"> </w:t>
      </w:r>
      <w:r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r w:rsidR="00A92577"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00A92577"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00A92577" w:rsidRPr="00BB6220">
        <w:rPr>
          <w:rFonts w:ascii="Calibri" w:eastAsia="Times New Roman" w:hAnsi="Calibri" w:cs="Calibri"/>
          <w:lang w:eastAsia="en-NZ"/>
        </w:rPr>
        <w:t>health</w:t>
      </w:r>
      <w:r w:rsidR="003D640C">
        <w:rPr>
          <w:rFonts w:ascii="Calibri" w:eastAsia="Times New Roman" w:hAnsi="Calibri" w:cs="Calibri"/>
          <w:lang w:eastAsia="en-NZ"/>
        </w:rPr>
        <w:t xml:space="preserve"> </w:t>
      </w:r>
      <w:r w:rsidR="00A92577" w:rsidRPr="00BB6220">
        <w:rPr>
          <w:rFonts w:ascii="Calibri" w:eastAsia="Times New Roman" w:hAnsi="Calibri" w:cs="Calibri"/>
          <w:lang w:eastAsia="en-NZ"/>
        </w:rPr>
        <w:t>provider</w:t>
      </w:r>
      <w:r w:rsidRPr="00BB6220">
        <w:rPr>
          <w:rFonts w:ascii="Calibri" w:eastAsia="Times New Roman" w:hAnsi="Calibri" w:cs="Calibri"/>
          <w:lang w:eastAsia="en-NZ"/>
        </w:rPr>
        <w:t>.</w:t>
      </w:r>
      <w:r w:rsidR="00212403" w:rsidRPr="00BB6220">
        <w:rPr>
          <w:rStyle w:val="FootnoteReference"/>
          <w:rFonts w:ascii="Calibri" w:eastAsia="Times New Roman" w:hAnsi="Calibri" w:cs="Calibri"/>
          <w:lang w:eastAsia="en-NZ"/>
        </w:rPr>
        <w:footnoteReference w:id="167"/>
      </w:r>
      <w:r w:rsidR="003D640C">
        <w:rPr>
          <w:rFonts w:ascii="Calibri" w:eastAsia="Times New Roman" w:hAnsi="Calibri" w:cs="Calibri"/>
          <w:lang w:eastAsia="en-NZ"/>
        </w:rPr>
        <w:t xml:space="preserve"> </w:t>
      </w:r>
      <w:r w:rsidRPr="00BB6220">
        <w:rPr>
          <w:rFonts w:ascii="Calibri" w:eastAsia="Times New Roman" w:hAnsi="Calibri" w:cs="Calibri"/>
          <w:lang w:eastAsia="en-NZ"/>
        </w:rPr>
        <w:t>As</w:t>
      </w:r>
      <w:r w:rsidR="003D640C">
        <w:rPr>
          <w:rFonts w:ascii="Calibri" w:eastAsia="Times New Roman" w:hAnsi="Calibri" w:cs="Calibri"/>
          <w:lang w:eastAsia="en-NZ"/>
        </w:rPr>
        <w:t xml:space="preserve"> </w:t>
      </w:r>
      <w:r w:rsidRPr="00BB6220">
        <w:rPr>
          <w:rFonts w:ascii="Calibri" w:eastAsia="Times New Roman" w:hAnsi="Calibri" w:cs="Calibri"/>
          <w:lang w:eastAsia="en-NZ"/>
        </w:rPr>
        <w:t>noted</w:t>
      </w:r>
      <w:r w:rsidR="003D640C">
        <w:rPr>
          <w:rFonts w:ascii="Calibri" w:eastAsia="Times New Roman" w:hAnsi="Calibri" w:cs="Calibri"/>
          <w:lang w:eastAsia="en-NZ"/>
        </w:rPr>
        <w:t xml:space="preserve"> </w:t>
      </w:r>
      <w:r w:rsidRPr="00BB6220">
        <w:rPr>
          <w:rFonts w:ascii="Calibri" w:eastAsia="Times New Roman" w:hAnsi="Calibri" w:cs="Calibri"/>
          <w:lang w:eastAsia="en-NZ"/>
        </w:rPr>
        <w:t>earlier</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this</w:t>
      </w:r>
      <w:r w:rsidR="003D640C">
        <w:rPr>
          <w:rFonts w:ascii="Calibri" w:eastAsia="Times New Roman" w:hAnsi="Calibri" w:cs="Calibri"/>
          <w:lang w:eastAsia="en-NZ"/>
        </w:rPr>
        <w:t xml:space="preserve"> </w:t>
      </w:r>
      <w:r w:rsidRPr="00BB6220">
        <w:rPr>
          <w:rFonts w:ascii="Calibri" w:eastAsia="Times New Roman" w:hAnsi="Calibri" w:cs="Calibri"/>
          <w:lang w:eastAsia="en-NZ"/>
        </w:rPr>
        <w:t>report,</w:t>
      </w:r>
      <w:r w:rsidR="003D640C">
        <w:rPr>
          <w:rFonts w:ascii="Calibri" w:eastAsia="Times New Roman" w:hAnsi="Calibri" w:cs="Calibri"/>
          <w:lang w:eastAsia="en-NZ"/>
        </w:rPr>
        <w:t xml:space="preserve"> </w:t>
      </w:r>
      <w:r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r w:rsidRPr="00BB6220">
        <w:rPr>
          <w:rFonts w:ascii="Calibri" w:eastAsia="Times New Roman" w:hAnsi="Calibri" w:cs="Calibri"/>
          <w:lang w:eastAsia="en-NZ"/>
        </w:rPr>
        <w:t>including</w:t>
      </w:r>
      <w:r w:rsidR="003D640C">
        <w:rPr>
          <w:rFonts w:ascii="Calibri" w:eastAsia="Times New Roman" w:hAnsi="Calibri" w:cs="Calibri"/>
          <w:lang w:eastAsia="en-NZ"/>
        </w:rPr>
        <w:t xml:space="preserve"> </w:t>
      </w:r>
      <w:r w:rsidRPr="00BB6220">
        <w:rPr>
          <w:rFonts w:ascii="Calibri" w:eastAsia="Times New Roman" w:hAnsi="Calibri" w:cs="Calibri"/>
          <w:lang w:eastAsia="en-NZ"/>
        </w:rPr>
        <w:t>suggestion</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r w:rsidRPr="00BB6220">
        <w:rPr>
          <w:rFonts w:ascii="Calibri" w:eastAsia="Times New Roman" w:hAnsi="Calibri" w:cs="Calibri"/>
          <w:lang w:eastAsia="en-NZ"/>
        </w:rPr>
        <w:t>by</w:t>
      </w:r>
      <w:r w:rsidR="003D640C">
        <w:rPr>
          <w:rFonts w:ascii="Calibri" w:eastAsia="Times New Roman" w:hAnsi="Calibri" w:cs="Calibri"/>
          <w:lang w:eastAsia="en-NZ"/>
        </w:rPr>
        <w:t xml:space="preserve"> </w:t>
      </w:r>
      <w:r w:rsidR="00C7489F">
        <w:rPr>
          <w:rFonts w:ascii="Calibri" w:eastAsia="Times New Roman" w:hAnsi="Calibri" w:cs="Calibri"/>
          <w:lang w:eastAsia="en-NZ"/>
        </w:rPr>
        <w:t>wh</w:t>
      </w:r>
      <w:r w:rsidR="00E36EDA">
        <w:rPr>
          <w:rFonts w:ascii="Calibri" w:eastAsia="Times New Roman" w:hAnsi="Calibri" w:cs="Calibri"/>
          <w:lang w:eastAsia="en-NZ"/>
        </w:rPr>
        <w:t>ā</w:t>
      </w:r>
      <w:r w:rsidR="00C7489F">
        <w:rPr>
          <w:rFonts w:ascii="Calibri" w:eastAsia="Times New Roman" w:hAnsi="Calibri" w:cs="Calibri"/>
          <w:lang w:eastAsia="en-NZ"/>
        </w:rPr>
        <w:t>nau</w:t>
      </w:r>
      <w:r w:rsidR="003D640C">
        <w:rPr>
          <w:rFonts w:ascii="Calibri" w:eastAsia="Times New Roman" w:hAnsi="Calibri" w:cs="Calibri"/>
          <w:lang w:eastAsia="en-NZ"/>
        </w:rPr>
        <w:t xml:space="preserve"> </w:t>
      </w:r>
      <w:r w:rsidR="00C7489F">
        <w:rPr>
          <w:rFonts w:ascii="Calibri" w:eastAsia="Times New Roman" w:hAnsi="Calibri" w:cs="Calibri"/>
          <w:lang w:eastAsia="en-NZ"/>
        </w:rPr>
        <w:t>or</w:t>
      </w:r>
      <w:r w:rsidR="003D640C">
        <w:rPr>
          <w:rFonts w:ascii="Calibri" w:eastAsia="Times New Roman" w:hAnsi="Calibri" w:cs="Calibri"/>
          <w:lang w:eastAsia="en-NZ"/>
        </w:rPr>
        <w:t xml:space="preserve"> </w:t>
      </w:r>
      <w:r w:rsidRPr="00BB6220">
        <w:rPr>
          <w:rFonts w:ascii="Calibri" w:eastAsia="Times New Roman" w:hAnsi="Calibri" w:cs="Calibri"/>
          <w:lang w:eastAsia="en-NZ"/>
        </w:rPr>
        <w:t>family,</w:t>
      </w:r>
      <w:r w:rsidR="003D640C">
        <w:rPr>
          <w:rFonts w:ascii="Calibri" w:eastAsia="Times New Roman" w:hAnsi="Calibri" w:cs="Calibri"/>
          <w:lang w:eastAsia="en-NZ"/>
        </w:rPr>
        <w:t xml:space="preserve"> </w:t>
      </w:r>
      <w:r w:rsidR="003D249E" w:rsidRPr="00BB6220">
        <w:rPr>
          <w:rFonts w:ascii="Calibri" w:eastAsia="Times New Roman" w:hAnsi="Calibri" w:cs="Calibri"/>
          <w:lang w:eastAsia="en-NZ"/>
        </w:rPr>
        <w:t>in</w:t>
      </w:r>
      <w:r w:rsidR="003D249E">
        <w:rPr>
          <w:rFonts w:ascii="Calibri" w:eastAsia="Times New Roman" w:hAnsi="Calibri" w:cs="Calibri"/>
          <w:lang w:eastAsia="en-NZ"/>
        </w:rPr>
        <w:t>creases</w:t>
      </w:r>
      <w:r w:rsidR="003D640C">
        <w:rPr>
          <w:rFonts w:ascii="Calibri" w:eastAsia="Times New Roman" w:hAnsi="Calibri" w:cs="Calibri"/>
          <w:lang w:eastAsia="en-NZ"/>
        </w:rPr>
        <w:t xml:space="preserve"> </w:t>
      </w:r>
      <w:r w:rsidR="004C4432"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risk</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harm.</w:t>
      </w:r>
      <w:r w:rsidR="003D640C">
        <w:rPr>
          <w:rFonts w:ascii="Calibri" w:eastAsia="Times New Roman" w:hAnsi="Calibri" w:cs="Calibri"/>
          <w:lang w:eastAsia="en-NZ"/>
        </w:rPr>
        <w:t xml:space="preserve"> </w:t>
      </w:r>
    </w:p>
    <w:p w14:paraId="2EA1CB0B" w14:textId="170B3604" w:rsidR="00501068" w:rsidRDefault="00A83BE9" w:rsidP="002C6363">
      <w:pPr>
        <w:rPr>
          <w:rFonts w:ascii="Segoe UI" w:eastAsia="Times New Roman" w:hAnsi="Segoe UI" w:cs="Segoe UI"/>
          <w:lang w:eastAsia="en-NZ"/>
        </w:rPr>
      </w:pPr>
      <w:r w:rsidRPr="00BB6220">
        <w:rPr>
          <w:rFonts w:ascii="Calibri" w:eastAsia="Times New Roman" w:hAnsi="Calibri" w:cs="Calibri"/>
          <w:lang w:eastAsia="en-NZ"/>
        </w:rPr>
        <w:t>There</w:t>
      </w:r>
      <w:r w:rsidR="003D640C">
        <w:rPr>
          <w:rFonts w:ascii="Calibri" w:eastAsia="Times New Roman" w:hAnsi="Calibri" w:cs="Calibri"/>
          <w:lang w:eastAsia="en-NZ"/>
        </w:rPr>
        <w:t xml:space="preserve"> </w:t>
      </w:r>
      <w:r w:rsidRPr="00BB6220">
        <w:rPr>
          <w:rFonts w:ascii="Calibri" w:eastAsia="Times New Roman" w:hAnsi="Calibri" w:cs="Calibri"/>
          <w:lang w:eastAsia="en-NZ"/>
        </w:rPr>
        <w:t>are</w:t>
      </w:r>
      <w:r w:rsidR="003D640C">
        <w:rPr>
          <w:rFonts w:ascii="Calibri" w:eastAsia="Times New Roman" w:hAnsi="Calibri" w:cs="Calibri"/>
          <w:lang w:eastAsia="en-NZ"/>
        </w:rPr>
        <w:t xml:space="preserve"> </w:t>
      </w:r>
      <w:r w:rsidRPr="00BB6220">
        <w:rPr>
          <w:rFonts w:ascii="Calibri" w:eastAsia="Times New Roman" w:hAnsi="Calibri" w:cs="Calibri"/>
          <w:lang w:eastAsia="en-NZ"/>
        </w:rPr>
        <w:t>no</w:t>
      </w:r>
      <w:r w:rsidR="003D640C">
        <w:rPr>
          <w:rFonts w:ascii="Calibri" w:eastAsia="Times New Roman" w:hAnsi="Calibri" w:cs="Calibri"/>
          <w:lang w:eastAsia="en-NZ"/>
        </w:rPr>
        <w:t xml:space="preserve"> </w:t>
      </w:r>
      <w:r w:rsidRPr="00BB6220">
        <w:rPr>
          <w:rFonts w:ascii="Calibri" w:eastAsia="Times New Roman" w:hAnsi="Calibri" w:cs="Calibri"/>
          <w:lang w:eastAsia="en-NZ"/>
        </w:rPr>
        <w:t>studies</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clear</w:t>
      </w:r>
      <w:r w:rsidR="003D640C">
        <w:rPr>
          <w:rFonts w:ascii="Calibri" w:eastAsia="Times New Roman" w:hAnsi="Calibri" w:cs="Calibri"/>
          <w:lang w:eastAsia="en-NZ"/>
        </w:rPr>
        <w:t xml:space="preserve"> </w:t>
      </w:r>
      <w:r w:rsidRPr="00BB6220">
        <w:rPr>
          <w:rFonts w:ascii="Calibri" w:eastAsia="Times New Roman" w:hAnsi="Calibri" w:cs="Calibri"/>
          <w:lang w:eastAsia="en-NZ"/>
        </w:rPr>
        <w:t>breakdown</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where</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what</w:t>
      </w:r>
      <w:r w:rsidR="003D640C">
        <w:rPr>
          <w:rFonts w:ascii="Calibri" w:eastAsia="Times New Roman" w:hAnsi="Calibri" w:cs="Calibri"/>
          <w:lang w:eastAsia="en-NZ"/>
        </w:rPr>
        <w:t xml:space="preserve"> </w:t>
      </w:r>
      <w:r w:rsidRPr="00BB6220">
        <w:rPr>
          <w:rFonts w:ascii="Calibri" w:eastAsia="Times New Roman" w:hAnsi="Calibri" w:cs="Calibri"/>
          <w:lang w:eastAsia="en-NZ"/>
        </w:rPr>
        <w:t>ways</w:t>
      </w:r>
      <w:r w:rsidR="003D640C">
        <w:rPr>
          <w:rFonts w:ascii="Calibri" w:eastAsia="Times New Roman" w:hAnsi="Calibri" w:cs="Calibri"/>
          <w:lang w:eastAsia="en-NZ"/>
        </w:rPr>
        <w:t xml:space="preserve"> </w:t>
      </w:r>
      <w:r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Pr="00BB6220">
        <w:rPr>
          <w:rFonts w:ascii="Calibri" w:eastAsia="Times New Roman" w:hAnsi="Calibri" w:cs="Calibri"/>
          <w:lang w:eastAsia="en-NZ"/>
        </w:rPr>
        <w:t>experience</w:t>
      </w:r>
      <w:r w:rsidR="003D640C">
        <w:rPr>
          <w:rFonts w:ascii="Calibri" w:eastAsia="Times New Roman" w:hAnsi="Calibri" w:cs="Calibri"/>
          <w:lang w:eastAsia="en-NZ"/>
        </w:rPr>
        <w:t xml:space="preserve"> </w:t>
      </w:r>
      <w:r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BB6220">
        <w:rPr>
          <w:rFonts w:ascii="Calibri" w:eastAsia="Times New Roman" w:hAnsi="Calibri" w:cs="Calibri"/>
          <w:lang w:eastAsia="en-NZ"/>
        </w:rPr>
        <w:t>practices.</w:t>
      </w:r>
      <w:r w:rsidR="003D640C">
        <w:rPr>
          <w:rFonts w:ascii="Calibri" w:eastAsia="Times New Roman" w:hAnsi="Calibri" w:cs="Calibri"/>
          <w:lang w:eastAsia="en-NZ"/>
        </w:rPr>
        <w:t xml:space="preserve"> </w:t>
      </w:r>
      <w:r w:rsidRPr="00BB6220">
        <w:rPr>
          <w:rFonts w:ascii="Calibri" w:eastAsia="Times New Roman" w:hAnsi="Calibri" w:cs="Calibri"/>
          <w:lang w:eastAsia="en-NZ"/>
        </w:rPr>
        <w:t>However,</w:t>
      </w:r>
      <w:r w:rsidR="003D640C">
        <w:rPr>
          <w:rFonts w:ascii="Calibri" w:eastAsia="Times New Roman" w:hAnsi="Calibri" w:cs="Calibri"/>
          <w:lang w:eastAsia="en-NZ"/>
        </w:rPr>
        <w:t xml:space="preserve"> </w:t>
      </w:r>
      <w:r w:rsidRPr="00BB6220">
        <w:rPr>
          <w:rFonts w:ascii="Calibri" w:eastAsia="Times New Roman" w:hAnsi="Calibri" w:cs="Calibri"/>
          <w:lang w:eastAsia="en-NZ"/>
        </w:rPr>
        <w:t>through</w:t>
      </w:r>
      <w:r w:rsidR="003D640C">
        <w:rPr>
          <w:rFonts w:ascii="Calibri" w:eastAsia="Times New Roman" w:hAnsi="Calibri" w:cs="Calibri"/>
          <w:lang w:eastAsia="en-NZ"/>
        </w:rPr>
        <w:t xml:space="preserve"> </w:t>
      </w:r>
      <w:r w:rsidRPr="00BB6220">
        <w:rPr>
          <w:rFonts w:ascii="Calibri" w:eastAsia="Times New Roman" w:hAnsi="Calibri" w:cs="Calibri"/>
          <w:lang w:eastAsia="en-NZ"/>
        </w:rPr>
        <w:t>media</w:t>
      </w:r>
      <w:r w:rsidR="003D640C">
        <w:rPr>
          <w:rFonts w:ascii="Calibri" w:eastAsia="Times New Roman" w:hAnsi="Calibri" w:cs="Calibri"/>
          <w:lang w:eastAsia="en-NZ"/>
        </w:rPr>
        <w:t xml:space="preserve"> </w:t>
      </w:r>
      <w:r w:rsidRPr="00BB6220">
        <w:rPr>
          <w:rFonts w:ascii="Calibri" w:eastAsia="Times New Roman" w:hAnsi="Calibri" w:cs="Calibri"/>
          <w:lang w:eastAsia="en-NZ"/>
        </w:rPr>
        <w:t>accounts</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8B2605"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00986724" w:rsidRPr="00BB6220">
        <w:rPr>
          <w:rFonts w:ascii="Calibri" w:eastAsia="Times New Roman" w:hAnsi="Calibri" w:cs="Calibri"/>
          <w:lang w:eastAsia="en-NZ"/>
        </w:rPr>
        <w:t>18</w:t>
      </w:r>
      <w:r w:rsidR="003D640C">
        <w:rPr>
          <w:rFonts w:ascii="Calibri" w:eastAsia="Times New Roman" w:hAnsi="Calibri" w:cs="Calibri"/>
          <w:lang w:eastAsia="en-NZ"/>
        </w:rPr>
        <w:t xml:space="preserve"> </w:t>
      </w:r>
      <w:r w:rsidRPr="00BB6220">
        <w:rPr>
          <w:rFonts w:ascii="Calibri" w:eastAsia="Times New Roman" w:hAnsi="Calibri" w:cs="Calibri"/>
          <w:lang w:eastAsia="en-NZ"/>
        </w:rPr>
        <w:t>months</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engaging</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survivors</w:t>
      </w:r>
      <w:r w:rsidR="008B2605"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7911B5A5"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FF5015" w:rsidRPr="00BB6220">
        <w:rPr>
          <w:rFonts w:ascii="Calibri" w:eastAsia="Times New Roman" w:hAnsi="Calibri" w:cs="Calibri"/>
          <w:lang w:eastAsia="en-NZ"/>
        </w:rPr>
        <w:t>Commission</w:t>
      </w:r>
      <w:r w:rsidR="003D640C">
        <w:rPr>
          <w:rFonts w:ascii="Calibri" w:eastAsia="Times New Roman" w:hAnsi="Calibri" w:cs="Calibri"/>
          <w:lang w:eastAsia="en-NZ"/>
        </w:rPr>
        <w:t xml:space="preserve"> </w:t>
      </w:r>
      <w:r w:rsidR="00EE3C55" w:rsidRPr="00BB6220">
        <w:rPr>
          <w:rFonts w:ascii="Calibri" w:eastAsia="Times New Roman" w:hAnsi="Calibri" w:cs="Calibri"/>
          <w:lang w:eastAsia="en-NZ"/>
        </w:rPr>
        <w:t>has</w:t>
      </w:r>
      <w:r w:rsidR="003D640C">
        <w:rPr>
          <w:rFonts w:ascii="Calibri" w:eastAsia="Times New Roman" w:hAnsi="Calibri" w:cs="Calibri"/>
          <w:lang w:eastAsia="en-NZ"/>
        </w:rPr>
        <w:t xml:space="preserve"> </w:t>
      </w:r>
      <w:r w:rsidRPr="00BB6220">
        <w:rPr>
          <w:rFonts w:ascii="Calibri" w:eastAsia="Times New Roman" w:hAnsi="Calibri" w:cs="Calibri"/>
          <w:lang w:eastAsia="en-NZ"/>
        </w:rPr>
        <w:t>gain</w:t>
      </w:r>
      <w:r w:rsidR="00EE3C55" w:rsidRPr="00BB6220">
        <w:rPr>
          <w:rFonts w:ascii="Calibri" w:eastAsia="Times New Roman" w:hAnsi="Calibri" w:cs="Calibri"/>
          <w:lang w:eastAsia="en-NZ"/>
        </w:rPr>
        <w:t>ed</w:t>
      </w:r>
      <w:r w:rsidR="003D640C">
        <w:rPr>
          <w:rFonts w:ascii="Calibri" w:eastAsia="Times New Roman" w:hAnsi="Calibri" w:cs="Calibri"/>
          <w:lang w:eastAsia="en-NZ"/>
        </w:rPr>
        <w:t xml:space="preserve"> </w:t>
      </w:r>
      <w:r w:rsidRPr="00BB6220">
        <w:rPr>
          <w:rFonts w:ascii="Calibri" w:eastAsia="Times New Roman" w:hAnsi="Calibri" w:cs="Calibri"/>
          <w:lang w:eastAsia="en-NZ"/>
        </w:rPr>
        <w:t>an</w:t>
      </w:r>
      <w:r w:rsidR="003D640C">
        <w:rPr>
          <w:rFonts w:ascii="Calibri" w:eastAsia="Times New Roman" w:hAnsi="Calibri" w:cs="Calibri"/>
          <w:lang w:eastAsia="en-NZ"/>
        </w:rPr>
        <w:t xml:space="preserve"> </w:t>
      </w:r>
      <w:r w:rsidRPr="00BB6220">
        <w:rPr>
          <w:rFonts w:ascii="Calibri" w:eastAsia="Times New Roman" w:hAnsi="Calibri" w:cs="Calibri"/>
          <w:lang w:eastAsia="en-NZ"/>
        </w:rPr>
        <w:t>understanding</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EE3C55" w:rsidRPr="00BB6220">
        <w:rPr>
          <w:rFonts w:ascii="Calibri" w:eastAsia="Times New Roman" w:hAnsi="Calibri" w:cs="Calibri"/>
          <w:lang w:eastAsia="en-NZ"/>
        </w:rPr>
        <w:t>some</w:t>
      </w:r>
      <w:r w:rsidR="003D640C">
        <w:rPr>
          <w:rFonts w:ascii="Calibri" w:eastAsia="Times New Roman" w:hAnsi="Calibri" w:cs="Calibri"/>
          <w:lang w:eastAsia="en-NZ"/>
        </w:rPr>
        <w:t xml:space="preserve"> </w:t>
      </w:r>
      <w:r w:rsidR="00EE3C55" w:rsidRPr="00BB6220">
        <w:rPr>
          <w:rFonts w:ascii="Calibri" w:eastAsia="Times New Roman" w:hAnsi="Calibri" w:cs="Calibri"/>
          <w:lang w:eastAsia="en-NZ"/>
        </w:rPr>
        <w:t>common</w:t>
      </w:r>
      <w:r w:rsidR="003D640C">
        <w:rPr>
          <w:rFonts w:ascii="Calibri" w:eastAsia="Times New Roman" w:hAnsi="Calibri" w:cs="Calibri"/>
          <w:lang w:eastAsia="en-NZ"/>
        </w:rPr>
        <w:t xml:space="preserve"> </w:t>
      </w:r>
      <w:r w:rsidR="00EE3C55" w:rsidRPr="00BB6220">
        <w:rPr>
          <w:rFonts w:ascii="Calibri" w:eastAsia="Times New Roman" w:hAnsi="Calibri" w:cs="Calibri"/>
          <w:lang w:eastAsia="en-NZ"/>
        </w:rPr>
        <w:t>experiences</w:t>
      </w:r>
      <w:r w:rsidR="008E5274"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65367E">
        <w:rPr>
          <w:rFonts w:ascii="Calibri" w:eastAsia="Times New Roman" w:hAnsi="Calibri" w:cs="Calibri"/>
          <w:lang w:eastAsia="en-NZ"/>
        </w:rPr>
        <w:t>The</w:t>
      </w:r>
      <w:r w:rsidR="003D640C">
        <w:rPr>
          <w:rFonts w:ascii="Calibri" w:eastAsia="Times New Roman" w:hAnsi="Calibri" w:cs="Calibri"/>
          <w:lang w:eastAsia="en-NZ"/>
        </w:rPr>
        <w:t xml:space="preserve"> </w:t>
      </w:r>
      <w:r w:rsidR="0065367E">
        <w:rPr>
          <w:rFonts w:ascii="Calibri" w:eastAsia="Times New Roman" w:hAnsi="Calibri" w:cs="Calibri"/>
          <w:lang w:eastAsia="en-NZ"/>
        </w:rPr>
        <w:t>following</w:t>
      </w:r>
      <w:r w:rsidR="003D640C">
        <w:rPr>
          <w:rFonts w:ascii="Calibri" w:eastAsia="Times New Roman" w:hAnsi="Calibri" w:cs="Calibri"/>
          <w:lang w:eastAsia="en-NZ"/>
        </w:rPr>
        <w:t xml:space="preserve"> </w:t>
      </w:r>
      <w:r w:rsidR="0065367E">
        <w:rPr>
          <w:rFonts w:ascii="Calibri" w:eastAsia="Times New Roman" w:hAnsi="Calibri" w:cs="Calibri"/>
          <w:lang w:eastAsia="en-NZ"/>
        </w:rPr>
        <w:t>quote</w:t>
      </w:r>
      <w:r w:rsidR="003D640C">
        <w:rPr>
          <w:rFonts w:ascii="Calibri" w:eastAsia="Times New Roman" w:hAnsi="Calibri" w:cs="Calibri"/>
          <w:lang w:eastAsia="en-NZ"/>
        </w:rPr>
        <w:t xml:space="preserve"> </w:t>
      </w:r>
      <w:r w:rsidR="0065367E">
        <w:rPr>
          <w:rFonts w:ascii="Calibri" w:eastAsia="Times New Roman" w:hAnsi="Calibri" w:cs="Calibri"/>
          <w:lang w:eastAsia="en-NZ"/>
        </w:rPr>
        <w:t>captures</w:t>
      </w:r>
      <w:r w:rsidR="003D640C">
        <w:rPr>
          <w:rFonts w:ascii="Calibri" w:eastAsia="Times New Roman" w:hAnsi="Calibri" w:cs="Calibri"/>
          <w:lang w:eastAsia="en-NZ"/>
        </w:rPr>
        <w:t xml:space="preserve"> </w:t>
      </w:r>
      <w:r w:rsidR="0065367E">
        <w:rPr>
          <w:rFonts w:ascii="Calibri" w:eastAsia="Times New Roman" w:hAnsi="Calibri" w:cs="Calibri"/>
          <w:lang w:eastAsia="en-NZ"/>
        </w:rPr>
        <w:t>the</w:t>
      </w:r>
      <w:r w:rsidR="003D640C">
        <w:rPr>
          <w:rFonts w:ascii="Calibri" w:eastAsia="Times New Roman" w:hAnsi="Calibri" w:cs="Calibri"/>
          <w:lang w:eastAsia="en-NZ"/>
        </w:rPr>
        <w:t xml:space="preserve"> </w:t>
      </w:r>
      <w:r w:rsidR="0065367E">
        <w:rPr>
          <w:rFonts w:ascii="Calibri" w:eastAsia="Times New Roman" w:hAnsi="Calibri" w:cs="Calibri"/>
          <w:lang w:eastAsia="en-NZ"/>
        </w:rPr>
        <w:t>experience</w:t>
      </w:r>
      <w:r w:rsidR="003D640C">
        <w:rPr>
          <w:rFonts w:ascii="Calibri" w:eastAsia="Times New Roman" w:hAnsi="Calibri" w:cs="Calibri"/>
          <w:lang w:eastAsia="en-NZ"/>
        </w:rPr>
        <w:t xml:space="preserve"> </w:t>
      </w:r>
      <w:r w:rsidR="0065367E">
        <w:rPr>
          <w:rFonts w:ascii="Calibri" w:eastAsia="Times New Roman" w:hAnsi="Calibri" w:cs="Calibri"/>
          <w:lang w:eastAsia="en-NZ"/>
        </w:rPr>
        <w:t>of</w:t>
      </w:r>
      <w:r w:rsidR="003D640C">
        <w:rPr>
          <w:rFonts w:ascii="Calibri" w:eastAsia="Times New Roman" w:hAnsi="Calibri" w:cs="Calibri"/>
          <w:lang w:eastAsia="en-NZ"/>
        </w:rPr>
        <w:t xml:space="preserve"> </w:t>
      </w:r>
      <w:r w:rsidR="00072A2E">
        <w:rPr>
          <w:rFonts w:ascii="Calibri" w:eastAsia="Times New Roman" w:hAnsi="Calibri" w:cs="Calibri"/>
          <w:lang w:eastAsia="en-NZ"/>
        </w:rPr>
        <w:t>a</w:t>
      </w:r>
      <w:r w:rsidR="003D640C">
        <w:rPr>
          <w:rFonts w:ascii="Calibri" w:eastAsia="Times New Roman" w:hAnsi="Calibri" w:cs="Calibri"/>
          <w:lang w:eastAsia="en-NZ"/>
        </w:rPr>
        <w:t xml:space="preserve"> </w:t>
      </w:r>
      <w:r w:rsidR="00072A2E">
        <w:rPr>
          <w:rFonts w:ascii="Calibri" w:eastAsia="Times New Roman" w:hAnsi="Calibri" w:cs="Calibri"/>
          <w:lang w:eastAsia="en-NZ"/>
        </w:rPr>
        <w:t>Māori,</w:t>
      </w:r>
      <w:r w:rsidR="003D640C">
        <w:rPr>
          <w:rFonts w:ascii="Calibri" w:eastAsia="Times New Roman" w:hAnsi="Calibri" w:cs="Calibri"/>
          <w:lang w:eastAsia="en-NZ"/>
        </w:rPr>
        <w:t xml:space="preserve"> </w:t>
      </w:r>
      <w:r w:rsidR="00072A2E">
        <w:rPr>
          <w:rFonts w:ascii="Calibri" w:eastAsia="Times New Roman" w:hAnsi="Calibri" w:cs="Calibri"/>
          <w:lang w:eastAsia="en-NZ"/>
        </w:rPr>
        <w:t>non-binary</w:t>
      </w:r>
      <w:r w:rsidR="003D640C">
        <w:rPr>
          <w:rFonts w:ascii="Calibri" w:eastAsia="Times New Roman" w:hAnsi="Calibri" w:cs="Calibri"/>
          <w:lang w:eastAsia="en-NZ"/>
        </w:rPr>
        <w:t xml:space="preserve"> </w:t>
      </w:r>
      <w:r w:rsidR="00072A2E">
        <w:rPr>
          <w:rFonts w:ascii="Calibri" w:eastAsia="Times New Roman" w:hAnsi="Calibri" w:cs="Calibri"/>
          <w:lang w:eastAsia="en-NZ"/>
        </w:rPr>
        <w:t>person</w:t>
      </w:r>
      <w:r w:rsidR="003D640C">
        <w:rPr>
          <w:rFonts w:ascii="Calibri" w:eastAsia="Times New Roman" w:hAnsi="Calibri" w:cs="Calibri"/>
          <w:lang w:eastAsia="en-NZ"/>
        </w:rPr>
        <w:t xml:space="preserve"> </w:t>
      </w:r>
      <w:r w:rsidR="00072A2E">
        <w:rPr>
          <w:rFonts w:ascii="Calibri" w:eastAsia="Times New Roman" w:hAnsi="Calibri" w:cs="Calibri"/>
          <w:lang w:eastAsia="en-NZ"/>
        </w:rPr>
        <w:t>who</w:t>
      </w:r>
      <w:r w:rsidR="003D640C">
        <w:rPr>
          <w:rFonts w:ascii="Calibri" w:eastAsia="Times New Roman" w:hAnsi="Calibri" w:cs="Calibri"/>
          <w:lang w:eastAsia="en-NZ"/>
        </w:rPr>
        <w:t xml:space="preserve"> </w:t>
      </w:r>
      <w:r w:rsidR="00072A2E">
        <w:rPr>
          <w:rFonts w:ascii="Calibri" w:eastAsia="Times New Roman" w:hAnsi="Calibri" w:cs="Calibri"/>
          <w:lang w:eastAsia="en-NZ"/>
        </w:rPr>
        <w:t>describes</w:t>
      </w:r>
      <w:r w:rsidR="003D640C">
        <w:rPr>
          <w:rFonts w:ascii="Calibri" w:eastAsia="Times New Roman" w:hAnsi="Calibri" w:cs="Calibri"/>
          <w:lang w:eastAsia="en-NZ"/>
        </w:rPr>
        <w:t xml:space="preserve"> </w:t>
      </w:r>
      <w:r w:rsidR="00072A2E">
        <w:rPr>
          <w:rFonts w:ascii="Calibri" w:eastAsia="Times New Roman" w:hAnsi="Calibri" w:cs="Calibri"/>
          <w:lang w:eastAsia="en-NZ"/>
        </w:rPr>
        <w:t>conversion</w:t>
      </w:r>
      <w:r w:rsidR="003D640C">
        <w:rPr>
          <w:rFonts w:ascii="Calibri" w:eastAsia="Times New Roman" w:hAnsi="Calibri" w:cs="Calibri"/>
          <w:lang w:eastAsia="en-NZ"/>
        </w:rPr>
        <w:t xml:space="preserve"> </w:t>
      </w:r>
      <w:r w:rsidR="00072A2E">
        <w:rPr>
          <w:rFonts w:ascii="Calibri" w:eastAsia="Times New Roman" w:hAnsi="Calibri" w:cs="Calibri"/>
          <w:lang w:eastAsia="en-NZ"/>
        </w:rPr>
        <w:t>practices</w:t>
      </w:r>
      <w:r w:rsidR="003D640C">
        <w:rPr>
          <w:rFonts w:ascii="Calibri" w:eastAsia="Times New Roman" w:hAnsi="Calibri" w:cs="Calibri"/>
          <w:lang w:eastAsia="en-NZ"/>
        </w:rPr>
        <w:t xml:space="preserve"> </w:t>
      </w:r>
      <w:r w:rsidR="00072A2E">
        <w:rPr>
          <w:rFonts w:ascii="Calibri" w:eastAsia="Times New Roman" w:hAnsi="Calibri" w:cs="Calibri"/>
          <w:lang w:eastAsia="en-NZ"/>
        </w:rPr>
        <w:t>in</w:t>
      </w:r>
      <w:r w:rsidR="003D640C">
        <w:rPr>
          <w:rFonts w:ascii="Calibri" w:eastAsia="Times New Roman" w:hAnsi="Calibri" w:cs="Calibri"/>
          <w:lang w:eastAsia="en-NZ"/>
        </w:rPr>
        <w:t xml:space="preserve"> </w:t>
      </w:r>
      <w:r w:rsidR="00072A2E">
        <w:rPr>
          <w:rFonts w:ascii="Calibri" w:eastAsia="Times New Roman" w:hAnsi="Calibri" w:cs="Calibri"/>
          <w:lang w:eastAsia="en-NZ"/>
        </w:rPr>
        <w:t>a</w:t>
      </w:r>
      <w:r w:rsidR="003D640C">
        <w:rPr>
          <w:rFonts w:ascii="Calibri" w:eastAsia="Times New Roman" w:hAnsi="Calibri" w:cs="Calibri"/>
          <w:lang w:eastAsia="en-NZ"/>
        </w:rPr>
        <w:t xml:space="preserve"> </w:t>
      </w:r>
      <w:r w:rsidR="00072A2E">
        <w:rPr>
          <w:rFonts w:ascii="Calibri" w:eastAsia="Times New Roman" w:hAnsi="Calibri" w:cs="Calibri"/>
          <w:lang w:eastAsia="en-NZ"/>
        </w:rPr>
        <w:t>religious</w:t>
      </w:r>
      <w:r w:rsidR="003D640C">
        <w:rPr>
          <w:rFonts w:ascii="Calibri" w:eastAsia="Times New Roman" w:hAnsi="Calibri" w:cs="Calibri"/>
          <w:lang w:eastAsia="en-NZ"/>
        </w:rPr>
        <w:t xml:space="preserve"> </w:t>
      </w:r>
      <w:r w:rsidR="00072A2E">
        <w:rPr>
          <w:rFonts w:ascii="Calibri" w:eastAsia="Times New Roman" w:hAnsi="Calibri" w:cs="Calibri"/>
          <w:lang w:eastAsia="en-NZ"/>
        </w:rPr>
        <w:t>setting</w:t>
      </w:r>
      <w:r w:rsidR="00F8005D">
        <w:rPr>
          <w:rFonts w:ascii="Calibri" w:eastAsia="Times New Roman" w:hAnsi="Calibri" w:cs="Calibri"/>
          <w:lang w:eastAsia="en-NZ"/>
        </w:rPr>
        <w:t>,</w:t>
      </w:r>
      <w:r w:rsidR="003D640C">
        <w:rPr>
          <w:rFonts w:ascii="Calibri" w:eastAsia="Times New Roman" w:hAnsi="Calibri" w:cs="Calibri"/>
          <w:lang w:eastAsia="en-NZ"/>
        </w:rPr>
        <w:t xml:space="preserve"> </w:t>
      </w:r>
      <w:r w:rsidR="00F8005D">
        <w:rPr>
          <w:rFonts w:ascii="Calibri" w:eastAsia="Times New Roman" w:hAnsi="Calibri" w:cs="Calibri"/>
          <w:lang w:eastAsia="en-NZ"/>
        </w:rPr>
        <w:t>through</w:t>
      </w:r>
      <w:r w:rsidR="003D640C">
        <w:rPr>
          <w:rFonts w:ascii="Calibri" w:eastAsia="Times New Roman" w:hAnsi="Calibri" w:cs="Calibri"/>
          <w:lang w:eastAsia="en-NZ"/>
        </w:rPr>
        <w:t xml:space="preserve"> </w:t>
      </w:r>
      <w:r w:rsidR="00F8005D">
        <w:rPr>
          <w:rFonts w:ascii="Calibri" w:eastAsia="Times New Roman" w:hAnsi="Calibri" w:cs="Calibri"/>
          <w:lang w:eastAsia="en-NZ"/>
        </w:rPr>
        <w:t>a</w:t>
      </w:r>
      <w:r w:rsidR="003D640C">
        <w:rPr>
          <w:rFonts w:ascii="Calibri" w:eastAsia="Times New Roman" w:hAnsi="Calibri" w:cs="Calibri"/>
          <w:lang w:eastAsia="en-NZ"/>
        </w:rPr>
        <w:t xml:space="preserve"> </w:t>
      </w:r>
      <w:r w:rsidR="00F8005D">
        <w:rPr>
          <w:rFonts w:ascii="Calibri" w:eastAsia="Times New Roman" w:hAnsi="Calibri" w:cs="Calibri"/>
          <w:lang w:eastAsia="en-NZ"/>
        </w:rPr>
        <w:t>psychologist</w:t>
      </w:r>
      <w:r w:rsidR="003D640C">
        <w:rPr>
          <w:rFonts w:ascii="Calibri" w:eastAsia="Times New Roman" w:hAnsi="Calibri" w:cs="Calibri"/>
          <w:lang w:eastAsia="en-NZ"/>
        </w:rPr>
        <w:t xml:space="preserve"> </w:t>
      </w:r>
      <w:r w:rsidR="00F8005D">
        <w:rPr>
          <w:rFonts w:ascii="Calibri" w:eastAsia="Times New Roman" w:hAnsi="Calibri" w:cs="Calibri"/>
          <w:lang w:eastAsia="en-NZ"/>
        </w:rPr>
        <w:t>associated</w:t>
      </w:r>
      <w:r w:rsidR="003D640C">
        <w:rPr>
          <w:rFonts w:ascii="Calibri" w:eastAsia="Times New Roman" w:hAnsi="Calibri" w:cs="Calibri"/>
          <w:lang w:eastAsia="en-NZ"/>
        </w:rPr>
        <w:t xml:space="preserve"> </w:t>
      </w:r>
      <w:r w:rsidR="00F8005D">
        <w:rPr>
          <w:rFonts w:ascii="Calibri" w:eastAsia="Times New Roman" w:hAnsi="Calibri" w:cs="Calibri"/>
          <w:lang w:eastAsia="en-NZ"/>
        </w:rPr>
        <w:t>with</w:t>
      </w:r>
      <w:r w:rsidR="003D640C">
        <w:rPr>
          <w:rFonts w:ascii="Calibri" w:eastAsia="Times New Roman" w:hAnsi="Calibri" w:cs="Calibri"/>
          <w:lang w:eastAsia="en-NZ"/>
        </w:rPr>
        <w:t xml:space="preserve"> </w:t>
      </w:r>
      <w:r w:rsidR="00F8005D">
        <w:rPr>
          <w:rFonts w:ascii="Calibri" w:eastAsia="Times New Roman" w:hAnsi="Calibri" w:cs="Calibri"/>
          <w:lang w:eastAsia="en-NZ"/>
        </w:rPr>
        <w:t>their</w:t>
      </w:r>
      <w:r w:rsidR="003D640C">
        <w:rPr>
          <w:rFonts w:ascii="Calibri" w:eastAsia="Times New Roman" w:hAnsi="Calibri" w:cs="Calibri"/>
          <w:lang w:eastAsia="en-NZ"/>
        </w:rPr>
        <w:t xml:space="preserve"> </w:t>
      </w:r>
      <w:r w:rsidR="00F8005D">
        <w:rPr>
          <w:rFonts w:ascii="Calibri" w:eastAsia="Times New Roman" w:hAnsi="Calibri" w:cs="Calibri"/>
          <w:lang w:eastAsia="en-NZ"/>
        </w:rPr>
        <w:t>church</w:t>
      </w:r>
      <w:r w:rsidR="004D4891">
        <w:rPr>
          <w:rFonts w:ascii="Calibri" w:eastAsia="Times New Roman" w:hAnsi="Calibri" w:cs="Calibri"/>
          <w:lang w:eastAsia="en-NZ"/>
        </w:rPr>
        <w:t>.</w:t>
      </w:r>
    </w:p>
    <w:p w14:paraId="1791F330" w14:textId="598BAB8A" w:rsidR="00501068" w:rsidRDefault="005E2E17" w:rsidP="002C6363">
      <w:pPr>
        <w:pStyle w:val="Quote"/>
      </w:pPr>
      <w:r w:rsidRPr="00BB6220">
        <w:t>“</w:t>
      </w:r>
      <w:r w:rsidR="00C81B29" w:rsidRPr="00BB6220">
        <w:t>They</w:t>
      </w:r>
      <w:r w:rsidR="003D640C">
        <w:t xml:space="preserve"> </w:t>
      </w:r>
      <w:r w:rsidR="00C81B29" w:rsidRPr="00BB6220">
        <w:t>told</w:t>
      </w:r>
      <w:r w:rsidR="003D640C">
        <w:t xml:space="preserve"> </w:t>
      </w:r>
      <w:r w:rsidR="00C81B29" w:rsidRPr="00BB6220">
        <w:t>me</w:t>
      </w:r>
      <w:r w:rsidR="003D640C">
        <w:t xml:space="preserve"> </w:t>
      </w:r>
      <w:r w:rsidR="00C81B29" w:rsidRPr="00BB6220">
        <w:t>marriage</w:t>
      </w:r>
      <w:r w:rsidR="003D640C">
        <w:t xml:space="preserve"> </w:t>
      </w:r>
      <w:r w:rsidR="00C81B29" w:rsidRPr="00BB6220">
        <w:t>is,</w:t>
      </w:r>
      <w:r w:rsidR="003D640C">
        <w:t xml:space="preserve"> </w:t>
      </w:r>
      <w:r w:rsidR="00C81B29" w:rsidRPr="00BB6220">
        <w:t>you</w:t>
      </w:r>
      <w:r w:rsidR="003D640C">
        <w:t xml:space="preserve"> </w:t>
      </w:r>
      <w:r w:rsidR="00C81B29" w:rsidRPr="00BB6220">
        <w:t>know,</w:t>
      </w:r>
      <w:r w:rsidR="003D640C">
        <w:t xml:space="preserve"> </w:t>
      </w:r>
      <w:r w:rsidR="00C81B29" w:rsidRPr="00BB6220">
        <w:t>husband</w:t>
      </w:r>
      <w:r w:rsidR="003D640C">
        <w:t xml:space="preserve"> </w:t>
      </w:r>
      <w:r w:rsidR="00C81B29" w:rsidRPr="00BB6220">
        <w:t>and</w:t>
      </w:r>
      <w:r w:rsidR="003D640C">
        <w:t xml:space="preserve"> </w:t>
      </w:r>
      <w:r w:rsidR="00C81B29" w:rsidRPr="00BB6220">
        <w:t>wife,</w:t>
      </w:r>
      <w:r w:rsidR="003D640C">
        <w:t xml:space="preserve"> </w:t>
      </w:r>
      <w:r w:rsidR="00C81B29" w:rsidRPr="00BB6220">
        <w:t>and</w:t>
      </w:r>
      <w:r w:rsidR="003D640C">
        <w:t xml:space="preserve"> </w:t>
      </w:r>
      <w:r w:rsidR="00C81B29" w:rsidRPr="00BB6220">
        <w:t>your</w:t>
      </w:r>
      <w:r w:rsidR="003D640C">
        <w:t xml:space="preserve"> </w:t>
      </w:r>
      <w:r w:rsidR="00C81B29" w:rsidRPr="00BB6220">
        <w:t>sole</w:t>
      </w:r>
      <w:r w:rsidR="003D640C">
        <w:t xml:space="preserve"> </w:t>
      </w:r>
      <w:r w:rsidR="00C81B29" w:rsidRPr="00BB6220">
        <w:t>purpose</w:t>
      </w:r>
      <w:r w:rsidR="003D640C">
        <w:t xml:space="preserve"> </w:t>
      </w:r>
      <w:r w:rsidR="00C81B29" w:rsidRPr="00BB6220">
        <w:t>is</w:t>
      </w:r>
      <w:r w:rsidR="003D640C">
        <w:t xml:space="preserve"> </w:t>
      </w:r>
      <w:r w:rsidR="00C81B29" w:rsidRPr="00BB6220">
        <w:t>to</w:t>
      </w:r>
      <w:r w:rsidR="003D640C">
        <w:t xml:space="preserve"> </w:t>
      </w:r>
      <w:r w:rsidR="00C81B29" w:rsidRPr="00BB6220">
        <w:t>have</w:t>
      </w:r>
      <w:r w:rsidR="003D640C">
        <w:t xml:space="preserve"> </w:t>
      </w:r>
      <w:r w:rsidR="00C81B29" w:rsidRPr="00BB6220">
        <w:t>a</w:t>
      </w:r>
      <w:r w:rsidR="003D640C">
        <w:t xml:space="preserve"> </w:t>
      </w:r>
      <w:r w:rsidR="00C81B29" w:rsidRPr="00BB6220">
        <w:t>family.</w:t>
      </w:r>
      <w:r w:rsidR="003D640C">
        <w:t xml:space="preserve"> </w:t>
      </w:r>
      <w:r w:rsidR="00C81B29" w:rsidRPr="00BB6220">
        <w:t>When</w:t>
      </w:r>
      <w:r w:rsidR="003D640C">
        <w:t xml:space="preserve"> </w:t>
      </w:r>
      <w:r w:rsidR="00C81B29" w:rsidRPr="00BB6220">
        <w:t>you</w:t>
      </w:r>
      <w:r w:rsidR="003D640C">
        <w:t xml:space="preserve"> </w:t>
      </w:r>
      <w:r w:rsidR="00C81B29" w:rsidRPr="00BB6220">
        <w:t>hear</w:t>
      </w:r>
      <w:r w:rsidR="003D640C">
        <w:t xml:space="preserve"> </w:t>
      </w:r>
      <w:r w:rsidR="00C81B29" w:rsidRPr="00BB6220">
        <w:t>your</w:t>
      </w:r>
      <w:r w:rsidR="003D640C">
        <w:t xml:space="preserve"> </w:t>
      </w:r>
      <w:r w:rsidR="00C81B29" w:rsidRPr="00BB6220">
        <w:t>uncles</w:t>
      </w:r>
      <w:r w:rsidR="003D640C">
        <w:t xml:space="preserve"> </w:t>
      </w:r>
      <w:r w:rsidR="00C81B29" w:rsidRPr="00BB6220">
        <w:t>and</w:t>
      </w:r>
      <w:r w:rsidR="003D640C">
        <w:t xml:space="preserve"> </w:t>
      </w:r>
      <w:r w:rsidR="00C81B29" w:rsidRPr="00BB6220">
        <w:t>aunties</w:t>
      </w:r>
      <w:r w:rsidR="003D640C">
        <w:t xml:space="preserve"> </w:t>
      </w:r>
      <w:r w:rsidR="00C81B29" w:rsidRPr="00BB6220">
        <w:t>talking</w:t>
      </w:r>
      <w:r w:rsidR="003D640C">
        <w:t xml:space="preserve"> </w:t>
      </w:r>
      <w:r w:rsidR="00C81B29" w:rsidRPr="00BB6220">
        <w:t>about</w:t>
      </w:r>
      <w:r w:rsidR="003D640C">
        <w:t xml:space="preserve"> </w:t>
      </w:r>
      <w:r w:rsidR="00C81B29" w:rsidRPr="00BB6220">
        <w:t>queerness</w:t>
      </w:r>
      <w:r w:rsidR="003D640C">
        <w:t xml:space="preserve"> </w:t>
      </w:r>
      <w:r w:rsidR="00C81B29" w:rsidRPr="00BB6220">
        <w:t>as</w:t>
      </w:r>
      <w:r w:rsidR="003D640C">
        <w:t xml:space="preserve"> </w:t>
      </w:r>
      <w:r w:rsidR="00C81B29" w:rsidRPr="00BB6220">
        <w:t>being</w:t>
      </w:r>
      <w:r w:rsidR="003D640C">
        <w:t xml:space="preserve"> </w:t>
      </w:r>
      <w:r w:rsidR="00C81B29" w:rsidRPr="00BB6220">
        <w:t>a</w:t>
      </w:r>
      <w:r w:rsidR="003D640C">
        <w:t xml:space="preserve"> </w:t>
      </w:r>
      <w:r w:rsidR="00C81B29" w:rsidRPr="00BB6220">
        <w:t>bad</w:t>
      </w:r>
      <w:r w:rsidR="003D640C">
        <w:t xml:space="preserve"> </w:t>
      </w:r>
      <w:r w:rsidR="00C81B29" w:rsidRPr="00BB6220">
        <w:t>thing,</w:t>
      </w:r>
      <w:r w:rsidR="003D640C">
        <w:t xml:space="preserve"> </w:t>
      </w:r>
      <w:r w:rsidR="00C81B29" w:rsidRPr="00BB6220">
        <w:t>you</w:t>
      </w:r>
      <w:r w:rsidR="003D640C">
        <w:t xml:space="preserve"> </w:t>
      </w:r>
      <w:r w:rsidR="00C81B29" w:rsidRPr="00BB6220">
        <w:t>know,</w:t>
      </w:r>
      <w:r w:rsidR="003D640C">
        <w:t xml:space="preserve"> </w:t>
      </w:r>
      <w:r w:rsidR="00C81B29" w:rsidRPr="00BB6220">
        <w:t>‘Don’t</w:t>
      </w:r>
      <w:r w:rsidR="003D640C">
        <w:t xml:space="preserve"> </w:t>
      </w:r>
      <w:r w:rsidR="00C81B29" w:rsidRPr="00BB6220">
        <w:t>be</w:t>
      </w:r>
      <w:r w:rsidR="003D640C">
        <w:t xml:space="preserve"> </w:t>
      </w:r>
      <w:r w:rsidR="00C81B29" w:rsidRPr="00BB6220">
        <w:t>a</w:t>
      </w:r>
      <w:r w:rsidR="003D640C">
        <w:t xml:space="preserve"> </w:t>
      </w:r>
      <w:r w:rsidR="00C81B29" w:rsidRPr="00BB6220">
        <w:t>sissy,’</w:t>
      </w:r>
      <w:r w:rsidR="003D640C">
        <w:t xml:space="preserve"> </w:t>
      </w:r>
      <w:r w:rsidR="00C81B29" w:rsidRPr="00BB6220">
        <w:t>obviously</w:t>
      </w:r>
      <w:r w:rsidR="003D640C">
        <w:t xml:space="preserve"> </w:t>
      </w:r>
      <w:r w:rsidR="00C81B29" w:rsidRPr="00BB6220">
        <w:t>I</w:t>
      </w:r>
      <w:r w:rsidR="003D640C">
        <w:t xml:space="preserve"> </w:t>
      </w:r>
      <w:r w:rsidR="00C81B29" w:rsidRPr="00BB6220">
        <w:t>had</w:t>
      </w:r>
      <w:r w:rsidR="003D640C">
        <w:t xml:space="preserve"> </w:t>
      </w:r>
      <w:r w:rsidR="00C81B29" w:rsidRPr="00BB6220">
        <w:t>to</w:t>
      </w:r>
      <w:r w:rsidR="003D640C">
        <w:t xml:space="preserve"> </w:t>
      </w:r>
      <w:r w:rsidR="00C81B29" w:rsidRPr="00BB6220">
        <w:t>hold</w:t>
      </w:r>
      <w:r w:rsidR="003D640C">
        <w:t xml:space="preserve"> </w:t>
      </w:r>
      <w:r w:rsidR="00C81B29" w:rsidRPr="00BB6220">
        <w:t>myself</w:t>
      </w:r>
      <w:r w:rsidR="003D640C">
        <w:t xml:space="preserve"> </w:t>
      </w:r>
      <w:r w:rsidR="00C81B29" w:rsidRPr="00BB6220">
        <w:t>in.</w:t>
      </w:r>
      <w:r w:rsidR="003D640C">
        <w:t xml:space="preserve"> </w:t>
      </w:r>
      <w:r w:rsidR="00C81B29" w:rsidRPr="00BB6220">
        <w:t>I</w:t>
      </w:r>
      <w:r w:rsidR="003D640C">
        <w:t xml:space="preserve"> </w:t>
      </w:r>
      <w:r w:rsidR="00C81B29" w:rsidRPr="00BB6220">
        <w:t>got</w:t>
      </w:r>
      <w:r w:rsidR="003D640C">
        <w:t xml:space="preserve"> </w:t>
      </w:r>
      <w:r w:rsidR="00C81B29" w:rsidRPr="00BB6220">
        <w:t>married</w:t>
      </w:r>
      <w:r w:rsidR="003D640C">
        <w:t xml:space="preserve"> </w:t>
      </w:r>
      <w:r w:rsidR="00C81B29" w:rsidRPr="00BB6220">
        <w:t>to</w:t>
      </w:r>
      <w:r w:rsidR="003D640C">
        <w:t xml:space="preserve"> </w:t>
      </w:r>
      <w:r w:rsidR="00C81B29" w:rsidRPr="00BB6220">
        <w:t>my</w:t>
      </w:r>
      <w:r w:rsidR="003D640C">
        <w:t xml:space="preserve"> </w:t>
      </w:r>
      <w:r w:rsidR="00C81B29" w:rsidRPr="00BB6220">
        <w:t>best</w:t>
      </w:r>
      <w:r w:rsidR="003D640C">
        <w:t xml:space="preserve"> </w:t>
      </w:r>
      <w:r w:rsidR="00C81B29" w:rsidRPr="00BB6220">
        <w:t>friend</w:t>
      </w:r>
      <w:r w:rsidR="003D640C">
        <w:t xml:space="preserve"> </w:t>
      </w:r>
      <w:r w:rsidR="00C81B29" w:rsidRPr="00BB6220">
        <w:t>at</w:t>
      </w:r>
      <w:r w:rsidR="003D640C">
        <w:t xml:space="preserve"> </w:t>
      </w:r>
      <w:r w:rsidR="00C81B29" w:rsidRPr="00BB6220">
        <w:t>the</w:t>
      </w:r>
      <w:r w:rsidR="003D640C">
        <w:t xml:space="preserve"> </w:t>
      </w:r>
      <w:r w:rsidR="00C81B29" w:rsidRPr="00BB6220">
        <w:t>time.</w:t>
      </w:r>
      <w:r w:rsidR="003D640C">
        <w:t xml:space="preserve"> </w:t>
      </w:r>
      <w:bookmarkStart w:id="233" w:name="_Int_tMFRNBhp"/>
      <w:r w:rsidR="00C81B29" w:rsidRPr="00BB6220">
        <w:t>I</w:t>
      </w:r>
      <w:r w:rsidR="003D640C">
        <w:t xml:space="preserve"> </w:t>
      </w:r>
      <w:r w:rsidR="00C81B29" w:rsidRPr="00BB6220">
        <w:t>tried</w:t>
      </w:r>
      <w:r w:rsidR="003D640C">
        <w:t xml:space="preserve"> </w:t>
      </w:r>
      <w:r w:rsidR="00C81B29" w:rsidRPr="00BB6220">
        <w:t>to</w:t>
      </w:r>
      <w:r w:rsidR="003D640C">
        <w:t xml:space="preserve"> </w:t>
      </w:r>
      <w:r w:rsidR="00C81B29" w:rsidRPr="00BB6220">
        <w:t>do</w:t>
      </w:r>
      <w:r w:rsidR="003D640C">
        <w:t xml:space="preserve"> </w:t>
      </w:r>
      <w:r w:rsidR="00C81B29" w:rsidRPr="00BB6220">
        <w:t>everything</w:t>
      </w:r>
      <w:r w:rsidR="003D640C">
        <w:t xml:space="preserve"> </w:t>
      </w:r>
      <w:r w:rsidR="00C81B29" w:rsidRPr="00BB6220">
        <w:t>the</w:t>
      </w:r>
      <w:r w:rsidR="003D640C">
        <w:t xml:space="preserve"> </w:t>
      </w:r>
      <w:r w:rsidR="00C81B29" w:rsidRPr="00BB6220">
        <w:t>right</w:t>
      </w:r>
      <w:r w:rsidR="003D640C">
        <w:t xml:space="preserve"> </w:t>
      </w:r>
      <w:r w:rsidR="00C81B29" w:rsidRPr="00BB6220">
        <w:t>way</w:t>
      </w:r>
      <w:r w:rsidR="003D640C">
        <w:t xml:space="preserve"> </w:t>
      </w:r>
      <w:r w:rsidR="00C81B29" w:rsidRPr="00BB6220">
        <w:t>until</w:t>
      </w:r>
      <w:r w:rsidR="003D640C">
        <w:t xml:space="preserve"> </w:t>
      </w:r>
      <w:r w:rsidR="00C81B29" w:rsidRPr="00BB6220">
        <w:t>I</w:t>
      </w:r>
      <w:r w:rsidR="003D640C">
        <w:t xml:space="preserve"> </w:t>
      </w:r>
      <w:r w:rsidR="00C81B29" w:rsidRPr="00BB6220">
        <w:t>came</w:t>
      </w:r>
      <w:r w:rsidR="003D640C">
        <w:t xml:space="preserve"> </w:t>
      </w:r>
      <w:r w:rsidR="00C81B29" w:rsidRPr="00BB6220">
        <w:t>out</w:t>
      </w:r>
      <w:r w:rsidR="003D640C">
        <w:t xml:space="preserve"> </w:t>
      </w:r>
      <w:r w:rsidR="00C81B29" w:rsidRPr="00BB6220">
        <w:t>at</w:t>
      </w:r>
      <w:r w:rsidR="003D640C">
        <w:t xml:space="preserve"> </w:t>
      </w:r>
      <w:r w:rsidR="00C81B29" w:rsidRPr="00BB6220">
        <w:t>30</w:t>
      </w:r>
      <w:r w:rsidR="003D640C">
        <w:t xml:space="preserve"> </w:t>
      </w:r>
      <w:r w:rsidR="00C81B29" w:rsidRPr="00BB6220">
        <w:t>–</w:t>
      </w:r>
      <w:r w:rsidR="003D640C">
        <w:t xml:space="preserve"> </w:t>
      </w:r>
      <w:r w:rsidR="00C81B29" w:rsidRPr="00BB6220">
        <w:t>I</w:t>
      </w:r>
      <w:r w:rsidR="003D640C">
        <w:t xml:space="preserve"> </w:t>
      </w:r>
      <w:r w:rsidR="00C81B29" w:rsidRPr="00BB6220">
        <w:t>was</w:t>
      </w:r>
      <w:r w:rsidR="003D640C">
        <w:t xml:space="preserve"> </w:t>
      </w:r>
      <w:r w:rsidR="00C81B29" w:rsidRPr="00BB6220">
        <w:t>outed</w:t>
      </w:r>
      <w:r w:rsidR="003D640C">
        <w:t xml:space="preserve"> </w:t>
      </w:r>
      <w:r w:rsidR="00C81B29" w:rsidRPr="00BB6220">
        <w:t>at</w:t>
      </w:r>
      <w:r w:rsidR="003D640C">
        <w:t xml:space="preserve"> </w:t>
      </w:r>
      <w:r w:rsidR="00C81B29" w:rsidRPr="00BB6220">
        <w:t>30</w:t>
      </w:r>
      <w:r w:rsidR="003D640C">
        <w:t xml:space="preserve"> </w:t>
      </w:r>
      <w:r w:rsidR="00C81B29" w:rsidRPr="00BB6220">
        <w:t>actually.</w:t>
      </w:r>
      <w:bookmarkEnd w:id="233"/>
      <w:r w:rsidR="003D640C">
        <w:t xml:space="preserve"> </w:t>
      </w:r>
      <w:r w:rsidR="00C81B29" w:rsidRPr="00BB6220">
        <w:t>That</w:t>
      </w:r>
      <w:r w:rsidR="003D640C">
        <w:t xml:space="preserve"> </w:t>
      </w:r>
      <w:r w:rsidR="00C81B29" w:rsidRPr="00BB6220">
        <w:t>potentially</w:t>
      </w:r>
      <w:r w:rsidR="003D640C">
        <w:t xml:space="preserve"> </w:t>
      </w:r>
      <w:r w:rsidR="00C81B29" w:rsidRPr="00BB6220">
        <w:t>meant</w:t>
      </w:r>
      <w:r w:rsidR="003D640C">
        <w:t xml:space="preserve"> </w:t>
      </w:r>
      <w:r w:rsidR="00C81B29" w:rsidRPr="00BB6220">
        <w:t>losing</w:t>
      </w:r>
      <w:r w:rsidR="003D640C">
        <w:t xml:space="preserve"> </w:t>
      </w:r>
      <w:r w:rsidR="00C81B29" w:rsidRPr="00BB6220">
        <w:t>the</w:t>
      </w:r>
      <w:r w:rsidR="003D640C">
        <w:t xml:space="preserve"> </w:t>
      </w:r>
      <w:r w:rsidR="00C81B29" w:rsidRPr="00BB6220">
        <w:t>relationship</w:t>
      </w:r>
      <w:r w:rsidR="003D640C">
        <w:t xml:space="preserve"> </w:t>
      </w:r>
      <w:r w:rsidR="00C81B29" w:rsidRPr="00BB6220">
        <w:t>with</w:t>
      </w:r>
      <w:r w:rsidR="003D640C">
        <w:t xml:space="preserve"> </w:t>
      </w:r>
      <w:r w:rsidR="00C81B29" w:rsidRPr="00BB6220">
        <w:t>my</w:t>
      </w:r>
      <w:r w:rsidR="003D640C">
        <w:t xml:space="preserve"> </w:t>
      </w:r>
      <w:r w:rsidR="00C81B29" w:rsidRPr="00BB6220">
        <w:t>children,</w:t>
      </w:r>
      <w:r w:rsidR="003D640C">
        <w:t xml:space="preserve"> </w:t>
      </w:r>
      <w:r w:rsidR="00C81B29" w:rsidRPr="00BB6220">
        <w:t>and</w:t>
      </w:r>
      <w:r w:rsidR="003D640C">
        <w:t xml:space="preserve"> </w:t>
      </w:r>
      <w:r w:rsidR="00C81B29" w:rsidRPr="00BB6220">
        <w:t>that</w:t>
      </w:r>
      <w:r w:rsidR="003D640C">
        <w:t xml:space="preserve"> </w:t>
      </w:r>
      <w:r w:rsidR="00C81B29" w:rsidRPr="00BB6220">
        <w:t>harrowing</w:t>
      </w:r>
      <w:r w:rsidR="003D640C">
        <w:t xml:space="preserve"> </w:t>
      </w:r>
      <w:r w:rsidR="00C81B29" w:rsidRPr="00BB6220">
        <w:t>thought</w:t>
      </w:r>
      <w:r w:rsidR="003D640C">
        <w:t xml:space="preserve"> </w:t>
      </w:r>
      <w:r w:rsidR="00C81B29" w:rsidRPr="00BB6220">
        <w:t>of</w:t>
      </w:r>
      <w:r w:rsidR="003D640C">
        <w:t xml:space="preserve"> </w:t>
      </w:r>
      <w:r w:rsidR="00C81B29" w:rsidRPr="00BB6220">
        <w:t>losing</w:t>
      </w:r>
      <w:r w:rsidR="003D640C">
        <w:t xml:space="preserve"> </w:t>
      </w:r>
      <w:r w:rsidR="00C81B29" w:rsidRPr="00BB6220">
        <w:t>friends</w:t>
      </w:r>
      <w:r w:rsidR="003D640C">
        <w:t xml:space="preserve"> </w:t>
      </w:r>
      <w:r w:rsidR="00C81B29" w:rsidRPr="00BB6220">
        <w:t>and</w:t>
      </w:r>
      <w:r w:rsidR="003D640C">
        <w:t xml:space="preserve"> </w:t>
      </w:r>
      <w:r w:rsidR="00C81B29" w:rsidRPr="00BB6220">
        <w:t>family,</w:t>
      </w:r>
      <w:r w:rsidR="003D640C">
        <w:t xml:space="preserve"> </w:t>
      </w:r>
      <w:r w:rsidR="00C81B29" w:rsidRPr="00BB6220">
        <w:t>the</w:t>
      </w:r>
      <w:r w:rsidR="003D640C">
        <w:t xml:space="preserve"> </w:t>
      </w:r>
      <w:r w:rsidR="00C81B29" w:rsidRPr="00BB6220">
        <w:t>loss</w:t>
      </w:r>
      <w:r w:rsidR="003D640C">
        <w:t xml:space="preserve"> </w:t>
      </w:r>
      <w:r w:rsidR="00C81B29" w:rsidRPr="00BB6220">
        <w:t>of</w:t>
      </w:r>
      <w:r w:rsidR="003D640C">
        <w:t xml:space="preserve"> </w:t>
      </w:r>
      <w:r w:rsidR="00C81B29" w:rsidRPr="00BB6220">
        <w:t>a</w:t>
      </w:r>
      <w:r w:rsidR="003D640C">
        <w:t xml:space="preserve"> </w:t>
      </w:r>
      <w:r w:rsidR="00C81B29" w:rsidRPr="00BB6220">
        <w:t>whole</w:t>
      </w:r>
      <w:r w:rsidR="003D640C">
        <w:t xml:space="preserve"> </w:t>
      </w:r>
      <w:r w:rsidR="00C81B29" w:rsidRPr="00BB6220">
        <w:t>lifestyle</w:t>
      </w:r>
      <w:r w:rsidR="003D640C">
        <w:t xml:space="preserve"> </w:t>
      </w:r>
      <w:r w:rsidR="00C81B29" w:rsidRPr="00BB6220">
        <w:t>which</w:t>
      </w:r>
      <w:r w:rsidR="003D640C">
        <w:t xml:space="preserve"> </w:t>
      </w:r>
      <w:r w:rsidR="00C81B29" w:rsidRPr="00BB6220">
        <w:t>I’d</w:t>
      </w:r>
      <w:r w:rsidR="003D640C">
        <w:t xml:space="preserve"> </w:t>
      </w:r>
      <w:r w:rsidR="00C81B29" w:rsidRPr="00BB6220">
        <w:t>lived</w:t>
      </w:r>
      <w:r w:rsidR="003D640C">
        <w:t xml:space="preserve"> </w:t>
      </w:r>
      <w:r w:rsidR="00C81B29" w:rsidRPr="00BB6220">
        <w:t>since</w:t>
      </w:r>
      <w:r w:rsidR="003D640C">
        <w:t xml:space="preserve"> </w:t>
      </w:r>
      <w:r w:rsidR="00C81B29" w:rsidRPr="00BB6220">
        <w:t>the</w:t>
      </w:r>
      <w:r w:rsidR="003D640C">
        <w:t xml:space="preserve"> </w:t>
      </w:r>
      <w:r w:rsidR="00C81B29" w:rsidRPr="00BB6220">
        <w:t>day</w:t>
      </w:r>
      <w:r w:rsidR="003D640C">
        <w:t xml:space="preserve"> </w:t>
      </w:r>
      <w:r w:rsidR="00C81B29" w:rsidRPr="00BB6220">
        <w:t>I</w:t>
      </w:r>
      <w:r w:rsidR="003D640C">
        <w:t xml:space="preserve"> </w:t>
      </w:r>
      <w:r w:rsidR="00C81B29" w:rsidRPr="00BB6220">
        <w:t>was</w:t>
      </w:r>
      <w:r w:rsidR="003D640C">
        <w:t xml:space="preserve"> </w:t>
      </w:r>
      <w:r w:rsidR="00C81B29" w:rsidRPr="00BB6220">
        <w:t>born.</w:t>
      </w:r>
      <w:r w:rsidR="003D640C">
        <w:t xml:space="preserve"> </w:t>
      </w:r>
      <w:r w:rsidR="00C81B29" w:rsidRPr="00BB6220">
        <w:t>I</w:t>
      </w:r>
      <w:r w:rsidR="003D640C">
        <w:t xml:space="preserve"> </w:t>
      </w:r>
      <w:r w:rsidR="00C81B29" w:rsidRPr="00BB6220">
        <w:t>was</w:t>
      </w:r>
      <w:r w:rsidR="003D640C">
        <w:t xml:space="preserve"> </w:t>
      </w:r>
      <w:r w:rsidR="00C81B29" w:rsidRPr="00BB6220">
        <w:t>really</w:t>
      </w:r>
      <w:r w:rsidR="003D640C">
        <w:t xml:space="preserve"> </w:t>
      </w:r>
      <w:r w:rsidR="00C81B29" w:rsidRPr="00BB6220">
        <w:t>scared</w:t>
      </w:r>
      <w:r w:rsidR="003D640C">
        <w:t xml:space="preserve"> </w:t>
      </w:r>
      <w:r w:rsidR="00C81B29" w:rsidRPr="00BB6220">
        <w:t>of</w:t>
      </w:r>
      <w:r w:rsidR="003D640C">
        <w:t xml:space="preserve"> </w:t>
      </w:r>
      <w:r w:rsidR="00C81B29" w:rsidRPr="00BB6220">
        <w:t>losing</w:t>
      </w:r>
      <w:r w:rsidR="003D640C">
        <w:t xml:space="preserve"> </w:t>
      </w:r>
      <w:r w:rsidR="00C81B29" w:rsidRPr="00BB6220">
        <w:t>all</w:t>
      </w:r>
      <w:r w:rsidR="003D640C">
        <w:t xml:space="preserve"> </w:t>
      </w:r>
      <w:r w:rsidR="00C81B29" w:rsidRPr="00BB6220">
        <w:t>of</w:t>
      </w:r>
      <w:r w:rsidR="003D640C">
        <w:t xml:space="preserve"> </w:t>
      </w:r>
      <w:r w:rsidR="00C81B29" w:rsidRPr="00BB6220">
        <w:t>that.</w:t>
      </w:r>
      <w:r w:rsidR="00C81B29" w:rsidRPr="00BB6220" w:rsidDel="008E1CCA">
        <w:t xml:space="preserve"> </w:t>
      </w:r>
      <w:r w:rsidR="00C81B29" w:rsidRPr="00BB6220">
        <w:t>When</w:t>
      </w:r>
      <w:r w:rsidR="003D640C">
        <w:t xml:space="preserve"> </w:t>
      </w:r>
      <w:r w:rsidR="00C81B29" w:rsidRPr="00BB6220">
        <w:t>I</w:t>
      </w:r>
      <w:r w:rsidR="003D640C">
        <w:t xml:space="preserve"> </w:t>
      </w:r>
      <w:r w:rsidR="00C81B29" w:rsidRPr="00BB6220">
        <w:t>was</w:t>
      </w:r>
      <w:r w:rsidR="003D640C">
        <w:t xml:space="preserve"> </w:t>
      </w:r>
      <w:r w:rsidR="00C81B29" w:rsidRPr="00BB6220">
        <w:t>trying</w:t>
      </w:r>
      <w:r w:rsidR="003D640C">
        <w:t xml:space="preserve"> </w:t>
      </w:r>
      <w:r w:rsidR="00C81B29" w:rsidRPr="00BB6220">
        <w:t>to</w:t>
      </w:r>
      <w:r w:rsidR="003D640C">
        <w:t xml:space="preserve"> </w:t>
      </w:r>
      <w:r w:rsidR="00C81B29" w:rsidRPr="00BB6220">
        <w:t>make</w:t>
      </w:r>
      <w:r w:rsidR="003D640C">
        <w:t xml:space="preserve"> </w:t>
      </w:r>
      <w:r w:rsidR="00C81B29" w:rsidRPr="00BB6220">
        <w:t>things</w:t>
      </w:r>
      <w:r w:rsidR="003D640C">
        <w:t xml:space="preserve"> </w:t>
      </w:r>
      <w:r w:rsidR="00C81B29" w:rsidRPr="00BB6220">
        <w:t>work</w:t>
      </w:r>
      <w:r w:rsidR="003D640C">
        <w:t xml:space="preserve"> </w:t>
      </w:r>
      <w:r w:rsidR="00C81B29" w:rsidRPr="00BB6220">
        <w:t>so</w:t>
      </w:r>
      <w:r w:rsidR="003D640C">
        <w:t xml:space="preserve"> </w:t>
      </w:r>
      <w:r w:rsidR="00C81B29" w:rsidRPr="00BB6220">
        <w:t>that</w:t>
      </w:r>
      <w:r w:rsidR="003D640C">
        <w:t xml:space="preserve"> </w:t>
      </w:r>
      <w:r w:rsidR="00C81B29" w:rsidRPr="00BB6220">
        <w:t>this</w:t>
      </w:r>
      <w:r w:rsidR="003D640C">
        <w:t xml:space="preserve"> </w:t>
      </w:r>
      <w:r w:rsidR="00C81B29" w:rsidRPr="00BB6220">
        <w:t>didn’t</w:t>
      </w:r>
      <w:r w:rsidR="003D640C">
        <w:t xml:space="preserve"> </w:t>
      </w:r>
      <w:r w:rsidR="00C81B29" w:rsidRPr="00BB6220">
        <w:t>happen,</w:t>
      </w:r>
      <w:r w:rsidR="003D640C">
        <w:t xml:space="preserve"> </w:t>
      </w:r>
      <w:r w:rsidR="00C81B29" w:rsidRPr="00BB6220">
        <w:t>I</w:t>
      </w:r>
      <w:r w:rsidR="003D640C">
        <w:t xml:space="preserve"> </w:t>
      </w:r>
      <w:r w:rsidR="00C81B29" w:rsidRPr="00BB6220">
        <w:t>sought</w:t>
      </w:r>
      <w:r w:rsidR="003D640C">
        <w:t xml:space="preserve"> </w:t>
      </w:r>
      <w:r w:rsidR="00C81B29" w:rsidRPr="00BB6220">
        <w:t>proactively</w:t>
      </w:r>
      <w:r w:rsidR="003D640C">
        <w:t xml:space="preserve"> </w:t>
      </w:r>
      <w:r w:rsidR="00C81B29" w:rsidRPr="00BB6220">
        <w:t>the</w:t>
      </w:r>
      <w:r w:rsidR="003D640C">
        <w:t xml:space="preserve"> </w:t>
      </w:r>
      <w:r w:rsidR="00C81B29" w:rsidRPr="00BB6220">
        <w:t>help</w:t>
      </w:r>
      <w:r w:rsidR="003D640C">
        <w:t xml:space="preserve"> </w:t>
      </w:r>
      <w:r w:rsidR="00C81B29" w:rsidRPr="00BB6220">
        <w:t>of</w:t>
      </w:r>
      <w:r w:rsidR="003D640C">
        <w:t xml:space="preserve"> </w:t>
      </w:r>
      <w:r w:rsidR="00C81B29" w:rsidRPr="00BB6220">
        <w:t>church</w:t>
      </w:r>
      <w:r w:rsidR="003D640C">
        <w:t xml:space="preserve"> </w:t>
      </w:r>
      <w:r w:rsidR="00C81B29" w:rsidRPr="00BB6220">
        <w:t>leaders.</w:t>
      </w:r>
      <w:r w:rsidR="00C81B29" w:rsidRPr="00BB6220" w:rsidDel="008E1CCA">
        <w:t xml:space="preserve"> </w:t>
      </w:r>
      <w:r w:rsidR="00C81B29" w:rsidRPr="00BB6220">
        <w:t>Church</w:t>
      </w:r>
      <w:r w:rsidR="003D640C">
        <w:t xml:space="preserve"> </w:t>
      </w:r>
      <w:r w:rsidR="00C81B29" w:rsidRPr="00BB6220">
        <w:t>leaders</w:t>
      </w:r>
      <w:r w:rsidR="003D640C">
        <w:t xml:space="preserve"> </w:t>
      </w:r>
      <w:r w:rsidR="00C81B29" w:rsidRPr="00BB6220">
        <w:t>put</w:t>
      </w:r>
      <w:r w:rsidR="003D640C">
        <w:t xml:space="preserve"> </w:t>
      </w:r>
      <w:r w:rsidR="00C81B29" w:rsidRPr="00BB6220">
        <w:t>me</w:t>
      </w:r>
      <w:r w:rsidR="003D640C">
        <w:t xml:space="preserve"> </w:t>
      </w:r>
      <w:r w:rsidR="00C81B29" w:rsidRPr="00BB6220">
        <w:t>in</w:t>
      </w:r>
      <w:r w:rsidR="003D640C">
        <w:t xml:space="preserve"> </w:t>
      </w:r>
      <w:r w:rsidR="00C81B29" w:rsidRPr="00BB6220">
        <w:t>touch</w:t>
      </w:r>
      <w:r w:rsidR="003D640C">
        <w:t xml:space="preserve"> </w:t>
      </w:r>
      <w:r w:rsidR="00C81B29" w:rsidRPr="00BB6220">
        <w:t>with</w:t>
      </w:r>
      <w:r w:rsidR="003D640C">
        <w:t xml:space="preserve"> </w:t>
      </w:r>
      <w:r w:rsidR="00C81B29" w:rsidRPr="00BB6220">
        <w:t>a</w:t>
      </w:r>
      <w:r w:rsidR="003D640C">
        <w:t xml:space="preserve"> </w:t>
      </w:r>
      <w:r w:rsidR="00C81B29" w:rsidRPr="00BB6220">
        <w:t>church</w:t>
      </w:r>
      <w:r w:rsidR="003D640C">
        <w:t xml:space="preserve"> </w:t>
      </w:r>
      <w:r w:rsidR="00C81B29" w:rsidRPr="00BB6220">
        <w:t>counsellor,</w:t>
      </w:r>
      <w:r w:rsidR="003D640C">
        <w:t xml:space="preserve"> </w:t>
      </w:r>
      <w:r w:rsidR="00C81B29" w:rsidRPr="00BB6220">
        <w:t>a</w:t>
      </w:r>
      <w:r w:rsidR="003D640C">
        <w:t xml:space="preserve"> </w:t>
      </w:r>
      <w:r w:rsidR="00C81B29" w:rsidRPr="00BB6220">
        <w:t>member</w:t>
      </w:r>
      <w:r w:rsidR="003D640C">
        <w:t xml:space="preserve"> </w:t>
      </w:r>
      <w:r w:rsidR="00C81B29" w:rsidRPr="00BB6220">
        <w:t>of</w:t>
      </w:r>
      <w:r w:rsidR="003D640C">
        <w:t xml:space="preserve"> </w:t>
      </w:r>
      <w:r w:rsidR="00C81B29" w:rsidRPr="00BB6220">
        <w:t>the</w:t>
      </w:r>
      <w:r w:rsidR="003D640C">
        <w:t xml:space="preserve"> </w:t>
      </w:r>
      <w:r w:rsidR="00C81B29" w:rsidRPr="00BB6220">
        <w:t>church</w:t>
      </w:r>
      <w:r w:rsidR="003D640C">
        <w:t xml:space="preserve"> </w:t>
      </w:r>
      <w:r w:rsidR="00C81B29" w:rsidRPr="00BB6220">
        <w:t>who</w:t>
      </w:r>
      <w:r w:rsidR="003D640C">
        <w:t xml:space="preserve"> </w:t>
      </w:r>
      <w:r w:rsidR="00034D8B" w:rsidRPr="00BB6220">
        <w:t>practi</w:t>
      </w:r>
      <w:r w:rsidR="00034D8B">
        <w:t>c</w:t>
      </w:r>
      <w:r w:rsidR="00034D8B" w:rsidRPr="00BB6220">
        <w:t>ed</w:t>
      </w:r>
      <w:r w:rsidR="003D640C">
        <w:t xml:space="preserve"> </w:t>
      </w:r>
      <w:r w:rsidR="00C81B29" w:rsidRPr="00BB6220">
        <w:t>psychology,</w:t>
      </w:r>
      <w:r w:rsidR="003D640C">
        <w:t xml:space="preserve"> </w:t>
      </w:r>
      <w:r w:rsidR="00C81B29" w:rsidRPr="00BB6220">
        <w:t>I</w:t>
      </w:r>
      <w:r w:rsidR="003D640C">
        <w:t xml:space="preserve"> </w:t>
      </w:r>
      <w:r w:rsidR="00C81B29" w:rsidRPr="00BB6220">
        <w:t>think.</w:t>
      </w:r>
      <w:r w:rsidR="003D640C">
        <w:t xml:space="preserve"> </w:t>
      </w:r>
      <w:r w:rsidR="00C81B29" w:rsidRPr="00BB6220">
        <w:t>I</w:t>
      </w:r>
      <w:r w:rsidR="003D640C">
        <w:t xml:space="preserve"> </w:t>
      </w:r>
      <w:r w:rsidR="00C81B29" w:rsidRPr="00BB6220">
        <w:t>would</w:t>
      </w:r>
      <w:r w:rsidR="003D640C">
        <w:t xml:space="preserve"> </w:t>
      </w:r>
      <w:r w:rsidR="00C81B29" w:rsidRPr="00BB6220">
        <w:t>have</w:t>
      </w:r>
      <w:r w:rsidR="003D640C">
        <w:t xml:space="preserve"> </w:t>
      </w:r>
      <w:r w:rsidR="00C81B29" w:rsidRPr="00BB6220">
        <w:t>sessions</w:t>
      </w:r>
      <w:r w:rsidR="003D640C">
        <w:t xml:space="preserve"> </w:t>
      </w:r>
      <w:r w:rsidR="00C81B29" w:rsidRPr="00BB6220">
        <w:t>and</w:t>
      </w:r>
      <w:r w:rsidR="003D640C">
        <w:t xml:space="preserve"> </w:t>
      </w:r>
      <w:r w:rsidR="00C81B29" w:rsidRPr="00BB6220">
        <w:t>talk</w:t>
      </w:r>
      <w:r w:rsidR="003D640C">
        <w:t xml:space="preserve"> </w:t>
      </w:r>
      <w:r w:rsidR="00C81B29" w:rsidRPr="00BB6220">
        <w:t>through</w:t>
      </w:r>
      <w:r w:rsidR="003D640C">
        <w:t xml:space="preserve"> </w:t>
      </w:r>
      <w:r w:rsidR="00C81B29" w:rsidRPr="00BB6220">
        <w:t>things.</w:t>
      </w:r>
      <w:r w:rsidR="00C81B29" w:rsidRPr="00BB6220" w:rsidDel="008E1CCA">
        <w:t xml:space="preserve"> </w:t>
      </w:r>
      <w:r w:rsidR="00C81B29" w:rsidRPr="00BB6220">
        <w:t>That</w:t>
      </w:r>
      <w:r w:rsidR="003D640C">
        <w:t xml:space="preserve"> </w:t>
      </w:r>
      <w:r w:rsidR="00C81B29" w:rsidRPr="00BB6220">
        <w:t>whole</w:t>
      </w:r>
      <w:r w:rsidR="003D640C">
        <w:t xml:space="preserve"> </w:t>
      </w:r>
      <w:r w:rsidR="00C81B29" w:rsidRPr="00BB6220">
        <w:t>idea</w:t>
      </w:r>
      <w:r w:rsidR="003D640C">
        <w:t xml:space="preserve"> </w:t>
      </w:r>
      <w:r w:rsidR="00C81B29" w:rsidRPr="00BB6220">
        <w:t>of,</w:t>
      </w:r>
      <w:r w:rsidR="003D640C">
        <w:t xml:space="preserve"> </w:t>
      </w:r>
      <w:r w:rsidR="00C81B29" w:rsidRPr="00BB6220">
        <w:t>you</w:t>
      </w:r>
      <w:r w:rsidR="003D640C">
        <w:t xml:space="preserve"> </w:t>
      </w:r>
      <w:r w:rsidR="00C81B29" w:rsidRPr="00BB6220">
        <w:t>have</w:t>
      </w:r>
      <w:r w:rsidR="003D640C">
        <w:t xml:space="preserve"> </w:t>
      </w:r>
      <w:r w:rsidR="00C81B29" w:rsidRPr="00BB6220">
        <w:t>a</w:t>
      </w:r>
      <w:r w:rsidR="003D640C">
        <w:t xml:space="preserve"> </w:t>
      </w:r>
      <w:r w:rsidR="00C81B29" w:rsidRPr="00BB6220">
        <w:t>thought</w:t>
      </w:r>
      <w:r w:rsidR="003D640C">
        <w:t xml:space="preserve"> </w:t>
      </w:r>
      <w:r w:rsidR="00C81B29" w:rsidRPr="00BB6220">
        <w:t>about</w:t>
      </w:r>
      <w:r w:rsidR="003D640C">
        <w:t xml:space="preserve"> </w:t>
      </w:r>
      <w:r w:rsidR="00C81B29" w:rsidRPr="00BB6220">
        <w:t>homosexuality,</w:t>
      </w:r>
      <w:r w:rsidR="003D640C">
        <w:t xml:space="preserve"> </w:t>
      </w:r>
      <w:r w:rsidR="00C81B29" w:rsidRPr="00BB6220">
        <w:t>read</w:t>
      </w:r>
      <w:r w:rsidR="003D640C">
        <w:t xml:space="preserve"> </w:t>
      </w:r>
      <w:r w:rsidR="00C81B29" w:rsidRPr="00BB6220">
        <w:t>a</w:t>
      </w:r>
      <w:r w:rsidR="003D640C">
        <w:t xml:space="preserve"> </w:t>
      </w:r>
      <w:r w:rsidR="00C81B29" w:rsidRPr="00BB6220">
        <w:t>scripture,</w:t>
      </w:r>
      <w:r w:rsidR="003D640C">
        <w:t xml:space="preserve"> </w:t>
      </w:r>
      <w:r w:rsidR="00C81B29" w:rsidRPr="00BB6220">
        <w:t>that</w:t>
      </w:r>
      <w:r w:rsidR="003D640C">
        <w:t xml:space="preserve"> </w:t>
      </w:r>
      <w:r w:rsidR="00C81B29" w:rsidRPr="00BB6220">
        <w:t>will</w:t>
      </w:r>
      <w:r w:rsidR="003D640C">
        <w:t xml:space="preserve"> </w:t>
      </w:r>
      <w:r w:rsidR="00C81B29" w:rsidRPr="00BB6220">
        <w:t>distract</w:t>
      </w:r>
      <w:r w:rsidR="003D640C">
        <w:t xml:space="preserve"> </w:t>
      </w:r>
      <w:r w:rsidR="00C81B29" w:rsidRPr="00BB6220">
        <w:t>you</w:t>
      </w:r>
      <w:r w:rsidR="003D640C">
        <w:t xml:space="preserve"> </w:t>
      </w:r>
      <w:r w:rsidR="00C81B29" w:rsidRPr="00BB6220">
        <w:t>and</w:t>
      </w:r>
      <w:r w:rsidR="003D640C">
        <w:t xml:space="preserve"> </w:t>
      </w:r>
      <w:r w:rsidR="00C81B29" w:rsidRPr="00BB6220">
        <w:t>you’ll</w:t>
      </w:r>
      <w:r w:rsidR="003D640C">
        <w:t xml:space="preserve"> </w:t>
      </w:r>
      <w:r w:rsidR="00C81B29" w:rsidRPr="00BB6220">
        <w:t>be</w:t>
      </w:r>
      <w:r w:rsidR="003D640C">
        <w:t xml:space="preserve"> </w:t>
      </w:r>
      <w:r w:rsidR="004D4891">
        <w:t>OK</w:t>
      </w:r>
      <w:r w:rsidR="00E01A38" w:rsidRPr="00BB6220">
        <w:t>.</w:t>
      </w:r>
      <w:r w:rsidR="003D640C">
        <w:t xml:space="preserve"> </w:t>
      </w:r>
      <w:r w:rsidRPr="00BB6220">
        <w:t>I</w:t>
      </w:r>
      <w:r w:rsidR="003D640C">
        <w:t xml:space="preserve"> </w:t>
      </w:r>
      <w:r w:rsidRPr="00BB6220">
        <w:t>think</w:t>
      </w:r>
      <w:r w:rsidR="003D640C">
        <w:t xml:space="preserve"> </w:t>
      </w:r>
      <w:r w:rsidRPr="00BB6220">
        <w:t>it</w:t>
      </w:r>
      <w:r w:rsidR="003D640C">
        <w:t xml:space="preserve"> </w:t>
      </w:r>
      <w:r w:rsidRPr="00BB6220">
        <w:t>would</w:t>
      </w:r>
      <w:r w:rsidR="003D640C">
        <w:t xml:space="preserve"> </w:t>
      </w:r>
      <w:r w:rsidRPr="00BB6220">
        <w:t>have</w:t>
      </w:r>
      <w:r w:rsidR="003D640C">
        <w:t xml:space="preserve"> </w:t>
      </w:r>
      <w:r w:rsidRPr="00BB6220">
        <w:t>been</w:t>
      </w:r>
      <w:r w:rsidR="003D640C">
        <w:t xml:space="preserve"> </w:t>
      </w:r>
      <w:r w:rsidRPr="00BB6220">
        <w:t>about</w:t>
      </w:r>
      <w:r w:rsidR="003D640C">
        <w:t xml:space="preserve"> </w:t>
      </w:r>
      <w:r w:rsidRPr="00BB6220">
        <w:t>six</w:t>
      </w:r>
      <w:r w:rsidR="003D640C">
        <w:t xml:space="preserve"> </w:t>
      </w:r>
      <w:r w:rsidRPr="00BB6220">
        <w:t>years</w:t>
      </w:r>
      <w:r w:rsidR="003D640C">
        <w:t xml:space="preserve"> </w:t>
      </w:r>
      <w:r w:rsidRPr="00BB6220">
        <w:t>[after</w:t>
      </w:r>
      <w:r w:rsidR="003D640C">
        <w:t xml:space="preserve"> </w:t>
      </w:r>
      <w:r w:rsidRPr="00BB6220">
        <w:t>I</w:t>
      </w:r>
      <w:r w:rsidR="003D640C">
        <w:t xml:space="preserve"> </w:t>
      </w:r>
      <w:r w:rsidRPr="00BB6220">
        <w:t>stopped</w:t>
      </w:r>
      <w:r w:rsidR="003D640C">
        <w:t xml:space="preserve"> </w:t>
      </w:r>
      <w:r w:rsidRPr="00BB6220">
        <w:t>conversion</w:t>
      </w:r>
      <w:r w:rsidR="003D640C">
        <w:t xml:space="preserve"> </w:t>
      </w:r>
      <w:r w:rsidR="005D0B09">
        <w:t>practices]</w:t>
      </w:r>
      <w:r w:rsidR="003D640C">
        <w:t xml:space="preserve"> </w:t>
      </w:r>
      <w:r w:rsidRPr="00BB6220">
        <w:t>until</w:t>
      </w:r>
      <w:r w:rsidR="003D640C">
        <w:t xml:space="preserve"> </w:t>
      </w:r>
      <w:r w:rsidRPr="00BB6220">
        <w:t>I</w:t>
      </w:r>
      <w:r w:rsidR="003D640C">
        <w:t xml:space="preserve"> </w:t>
      </w:r>
      <w:r w:rsidRPr="00BB6220">
        <w:t>realised</w:t>
      </w:r>
      <w:r w:rsidR="003D640C">
        <w:t xml:space="preserve"> </w:t>
      </w:r>
      <w:r w:rsidRPr="00BB6220">
        <w:t>what</w:t>
      </w:r>
      <w:r w:rsidR="003D640C">
        <w:t xml:space="preserve"> </w:t>
      </w:r>
      <w:r w:rsidRPr="00BB6220">
        <w:t>had</w:t>
      </w:r>
      <w:r w:rsidR="003D640C">
        <w:t xml:space="preserve"> </w:t>
      </w:r>
      <w:r w:rsidRPr="00BB6220">
        <w:t>happened.</w:t>
      </w:r>
      <w:r w:rsidR="003D640C">
        <w:t xml:space="preserve"> </w:t>
      </w:r>
      <w:r w:rsidRPr="00BB6220">
        <w:t>I</w:t>
      </w:r>
      <w:r w:rsidR="003D640C">
        <w:t xml:space="preserve"> </w:t>
      </w:r>
      <w:r w:rsidRPr="00BB6220">
        <w:t>didn’t</w:t>
      </w:r>
      <w:r w:rsidR="003D640C">
        <w:t xml:space="preserve"> </w:t>
      </w:r>
      <w:r w:rsidRPr="00BB6220">
        <w:t>talk</w:t>
      </w:r>
      <w:r w:rsidR="003D640C">
        <w:t xml:space="preserve"> </w:t>
      </w:r>
      <w:r w:rsidRPr="00BB6220">
        <w:t>about</w:t>
      </w:r>
      <w:r w:rsidR="003D640C">
        <w:t xml:space="preserve"> </w:t>
      </w:r>
      <w:r w:rsidRPr="00BB6220">
        <w:t>it</w:t>
      </w:r>
      <w:r w:rsidR="003D640C">
        <w:t xml:space="preserve"> </w:t>
      </w:r>
      <w:r w:rsidRPr="00BB6220">
        <w:t>really,</w:t>
      </w:r>
      <w:r w:rsidR="003D640C">
        <w:t xml:space="preserve"> </w:t>
      </w:r>
      <w:r w:rsidRPr="00BB6220">
        <w:t>with</w:t>
      </w:r>
      <w:r w:rsidR="003D640C">
        <w:t xml:space="preserve"> </w:t>
      </w:r>
      <w:r w:rsidRPr="00BB6220">
        <w:t>anyone,</w:t>
      </w:r>
      <w:r w:rsidR="003D640C">
        <w:t xml:space="preserve"> </w:t>
      </w:r>
      <w:r w:rsidRPr="00BB6220">
        <w:t>not</w:t>
      </w:r>
      <w:r w:rsidR="003D640C">
        <w:t xml:space="preserve"> </w:t>
      </w:r>
      <w:r w:rsidRPr="00BB6220">
        <w:t>even</w:t>
      </w:r>
      <w:r w:rsidR="003D640C">
        <w:t xml:space="preserve"> </w:t>
      </w:r>
      <w:r w:rsidRPr="00BB6220">
        <w:t>with</w:t>
      </w:r>
      <w:r w:rsidR="003D640C">
        <w:t xml:space="preserve"> </w:t>
      </w:r>
      <w:r w:rsidRPr="00BB6220">
        <w:t>my</w:t>
      </w:r>
      <w:r w:rsidR="003D640C">
        <w:t xml:space="preserve"> </w:t>
      </w:r>
      <w:r w:rsidRPr="00BB6220">
        <w:t>husband.</w:t>
      </w:r>
      <w:r w:rsidR="003D640C">
        <w:t xml:space="preserve"> </w:t>
      </w:r>
      <w:r w:rsidRPr="00BB6220">
        <w:t>But</w:t>
      </w:r>
      <w:r w:rsidR="003D640C">
        <w:t xml:space="preserve"> </w:t>
      </w:r>
      <w:r w:rsidRPr="00BB6220">
        <w:t>it</w:t>
      </w:r>
      <w:r w:rsidR="003D640C">
        <w:t xml:space="preserve"> </w:t>
      </w:r>
      <w:r w:rsidRPr="00BB6220">
        <w:t>was</w:t>
      </w:r>
      <w:r w:rsidR="003D640C">
        <w:t xml:space="preserve"> </w:t>
      </w:r>
      <w:r w:rsidRPr="00BB6220">
        <w:t>always</w:t>
      </w:r>
      <w:r w:rsidR="003D640C">
        <w:t xml:space="preserve"> </w:t>
      </w:r>
      <w:bookmarkStart w:id="234" w:name="_Int_FDT900HR"/>
      <w:r w:rsidRPr="00BB6220">
        <w:t>sort</w:t>
      </w:r>
      <w:r w:rsidR="003D640C">
        <w:t xml:space="preserve"> </w:t>
      </w:r>
      <w:r w:rsidRPr="00BB6220">
        <w:t>of</w:t>
      </w:r>
      <w:r w:rsidR="003D640C">
        <w:t xml:space="preserve"> </w:t>
      </w:r>
      <w:r w:rsidRPr="00BB6220">
        <w:t>in</w:t>
      </w:r>
      <w:bookmarkEnd w:id="234"/>
      <w:r w:rsidR="003D640C">
        <w:t xml:space="preserve"> </w:t>
      </w:r>
      <w:r w:rsidRPr="00BB6220">
        <w:t>the</w:t>
      </w:r>
      <w:r w:rsidR="003D640C">
        <w:t xml:space="preserve"> </w:t>
      </w:r>
      <w:r w:rsidRPr="00BB6220">
        <w:t>back</w:t>
      </w:r>
      <w:r w:rsidR="003D640C">
        <w:t xml:space="preserve"> </w:t>
      </w:r>
      <w:r w:rsidRPr="00BB6220">
        <w:t>of</w:t>
      </w:r>
      <w:r w:rsidR="003D640C">
        <w:t xml:space="preserve"> </w:t>
      </w:r>
      <w:r w:rsidRPr="00BB6220">
        <w:t>my</w:t>
      </w:r>
      <w:r w:rsidR="003D640C">
        <w:t xml:space="preserve"> </w:t>
      </w:r>
      <w:r w:rsidRPr="00BB6220">
        <w:t>head,</w:t>
      </w:r>
      <w:r w:rsidR="003D640C">
        <w:t xml:space="preserve"> </w:t>
      </w:r>
      <w:r w:rsidRPr="00BB6220">
        <w:t>right.</w:t>
      </w:r>
      <w:r w:rsidR="003D640C">
        <w:t xml:space="preserve"> </w:t>
      </w:r>
      <w:r w:rsidRPr="00BB6220">
        <w:t>I</w:t>
      </w:r>
      <w:r w:rsidR="003D640C">
        <w:t xml:space="preserve"> </w:t>
      </w:r>
      <w:r w:rsidRPr="00BB6220">
        <w:t>realised</w:t>
      </w:r>
      <w:r w:rsidR="003D640C">
        <w:t xml:space="preserve"> </w:t>
      </w:r>
      <w:r w:rsidRPr="00BB6220">
        <w:t>[doing</w:t>
      </w:r>
      <w:r w:rsidR="003D640C">
        <w:t xml:space="preserve"> </w:t>
      </w:r>
      <w:r w:rsidRPr="00BB6220">
        <w:t>conversion</w:t>
      </w:r>
      <w:r w:rsidR="003D640C">
        <w:t xml:space="preserve"> </w:t>
      </w:r>
      <w:r w:rsidR="00306554">
        <w:t>practices</w:t>
      </w:r>
      <w:r w:rsidRPr="00BB6220">
        <w:t>]</w:t>
      </w:r>
      <w:r w:rsidR="003D640C">
        <w:t xml:space="preserve"> </w:t>
      </w:r>
      <w:r w:rsidRPr="00BB6220">
        <w:t>wasn’t</w:t>
      </w:r>
      <w:r w:rsidR="003D640C">
        <w:t xml:space="preserve"> </w:t>
      </w:r>
      <w:r w:rsidRPr="00BB6220">
        <w:t>a</w:t>
      </w:r>
      <w:r w:rsidR="003D640C">
        <w:t xml:space="preserve"> </w:t>
      </w:r>
      <w:r w:rsidRPr="00BB6220">
        <w:t>free</w:t>
      </w:r>
      <w:r w:rsidR="003D640C">
        <w:t xml:space="preserve"> </w:t>
      </w:r>
      <w:r w:rsidRPr="00BB6220">
        <w:t>choice.</w:t>
      </w:r>
      <w:r w:rsidR="003D640C">
        <w:t xml:space="preserve"> </w:t>
      </w:r>
      <w:r w:rsidRPr="00BB6220">
        <w:t>I</w:t>
      </w:r>
      <w:r w:rsidR="003D640C">
        <w:t xml:space="preserve"> </w:t>
      </w:r>
      <w:r w:rsidRPr="00BB6220">
        <w:t>felt</w:t>
      </w:r>
      <w:r w:rsidR="003D640C">
        <w:t xml:space="preserve"> </w:t>
      </w:r>
      <w:r w:rsidRPr="00BB6220">
        <w:t>the</w:t>
      </w:r>
      <w:r w:rsidR="003D640C">
        <w:t xml:space="preserve"> </w:t>
      </w:r>
      <w:r w:rsidRPr="00BB6220">
        <w:t>pressure</w:t>
      </w:r>
      <w:r w:rsidR="003D640C">
        <w:t xml:space="preserve"> </w:t>
      </w:r>
      <w:r w:rsidRPr="00BB6220">
        <w:t>of</w:t>
      </w:r>
      <w:r w:rsidR="003D640C">
        <w:t xml:space="preserve"> </w:t>
      </w:r>
      <w:r w:rsidRPr="00BB6220">
        <w:t>needing</w:t>
      </w:r>
      <w:r w:rsidR="003D640C">
        <w:t xml:space="preserve"> </w:t>
      </w:r>
      <w:r w:rsidRPr="00BB6220">
        <w:t>to</w:t>
      </w:r>
      <w:r w:rsidR="003D640C">
        <w:t xml:space="preserve"> </w:t>
      </w:r>
      <w:r w:rsidRPr="00BB6220">
        <w:t>do</w:t>
      </w:r>
      <w:r w:rsidR="003D640C">
        <w:t xml:space="preserve"> </w:t>
      </w:r>
      <w:r w:rsidRPr="00BB6220">
        <w:t>that.</w:t>
      </w:r>
      <w:r w:rsidR="003D640C">
        <w:t xml:space="preserve"> </w:t>
      </w:r>
      <w:r w:rsidRPr="00BB6220">
        <w:t>My</w:t>
      </w:r>
      <w:r w:rsidR="003D640C">
        <w:t xml:space="preserve"> </w:t>
      </w:r>
      <w:r w:rsidRPr="00BB6220">
        <w:t>children</w:t>
      </w:r>
      <w:r w:rsidR="003D640C">
        <w:t xml:space="preserve"> </w:t>
      </w:r>
      <w:r w:rsidRPr="00BB6220">
        <w:t>are</w:t>
      </w:r>
      <w:r w:rsidR="003D640C">
        <w:t xml:space="preserve"> </w:t>
      </w:r>
      <w:r w:rsidRPr="00BB6220">
        <w:t>everything</w:t>
      </w:r>
      <w:r w:rsidR="7A613D3F" w:rsidRPr="00BB6220">
        <w:t>.</w:t>
      </w:r>
      <w:r w:rsidR="003D640C">
        <w:t xml:space="preserve"> </w:t>
      </w:r>
      <w:r w:rsidRPr="00BB6220">
        <w:t>I</w:t>
      </w:r>
      <w:r w:rsidR="003D640C">
        <w:t xml:space="preserve"> </w:t>
      </w:r>
      <w:r w:rsidRPr="00BB6220">
        <w:t>did</w:t>
      </w:r>
      <w:r w:rsidR="003D640C">
        <w:t xml:space="preserve"> </w:t>
      </w:r>
      <w:r w:rsidRPr="00BB6220">
        <w:t>not</w:t>
      </w:r>
      <w:r w:rsidR="003D640C">
        <w:t xml:space="preserve"> </w:t>
      </w:r>
      <w:r w:rsidRPr="00BB6220">
        <w:t>want</w:t>
      </w:r>
      <w:r w:rsidR="003D640C">
        <w:t xml:space="preserve"> </w:t>
      </w:r>
      <w:r w:rsidRPr="00BB6220">
        <w:t>to</w:t>
      </w:r>
      <w:r w:rsidR="003D640C">
        <w:t xml:space="preserve"> </w:t>
      </w:r>
      <w:r w:rsidRPr="00BB6220">
        <w:t>lose</w:t>
      </w:r>
      <w:r w:rsidR="003D640C">
        <w:t xml:space="preserve"> </w:t>
      </w:r>
      <w:r w:rsidRPr="00BB6220">
        <w:t>access</w:t>
      </w:r>
      <w:r w:rsidR="003D640C">
        <w:t xml:space="preserve"> </w:t>
      </w:r>
      <w:r w:rsidRPr="00BB6220">
        <w:t>or</w:t>
      </w:r>
      <w:r w:rsidR="003D640C">
        <w:t xml:space="preserve"> </w:t>
      </w:r>
      <w:r w:rsidRPr="00BB6220">
        <w:t>the</w:t>
      </w:r>
      <w:r w:rsidR="003D640C">
        <w:t xml:space="preserve"> </w:t>
      </w:r>
      <w:r w:rsidRPr="00BB6220">
        <w:t>privilege</w:t>
      </w:r>
      <w:r w:rsidR="003D640C">
        <w:t xml:space="preserve"> </w:t>
      </w:r>
      <w:r w:rsidRPr="00BB6220">
        <w:t>of</w:t>
      </w:r>
      <w:r w:rsidR="003D640C">
        <w:t xml:space="preserve"> </w:t>
      </w:r>
      <w:r w:rsidRPr="00BB6220">
        <w:t>having</w:t>
      </w:r>
      <w:r w:rsidR="003D640C">
        <w:t xml:space="preserve"> </w:t>
      </w:r>
      <w:r w:rsidRPr="00BB6220">
        <w:t>them</w:t>
      </w:r>
      <w:r w:rsidR="003D640C">
        <w:t xml:space="preserve"> </w:t>
      </w:r>
      <w:r w:rsidRPr="00BB6220">
        <w:t>in</w:t>
      </w:r>
      <w:r w:rsidR="003D640C">
        <w:t xml:space="preserve"> </w:t>
      </w:r>
      <w:r w:rsidRPr="00BB6220">
        <w:t>my</w:t>
      </w:r>
      <w:r w:rsidR="003D640C">
        <w:t xml:space="preserve"> </w:t>
      </w:r>
      <w:r w:rsidRPr="00BB6220">
        <w:t>life.</w:t>
      </w:r>
      <w:r w:rsidR="003D640C">
        <w:t xml:space="preserve"> </w:t>
      </w:r>
      <w:r w:rsidRPr="00BB6220">
        <w:t>So</w:t>
      </w:r>
      <w:r w:rsidR="003D640C">
        <w:t xml:space="preserve"> </w:t>
      </w:r>
      <w:r w:rsidRPr="00BB6220">
        <w:t>that</w:t>
      </w:r>
      <w:r w:rsidR="003D640C">
        <w:t xml:space="preserve"> </w:t>
      </w:r>
      <w:r w:rsidRPr="00BB6220">
        <w:t>was</w:t>
      </w:r>
      <w:r w:rsidR="003D640C">
        <w:t xml:space="preserve"> </w:t>
      </w:r>
      <w:r w:rsidRPr="00BB6220">
        <w:t>a</w:t>
      </w:r>
      <w:r w:rsidR="003D640C">
        <w:t xml:space="preserve"> </w:t>
      </w:r>
      <w:r w:rsidRPr="00BB6220">
        <w:t>real</w:t>
      </w:r>
      <w:r w:rsidR="003D640C">
        <w:t xml:space="preserve"> </w:t>
      </w:r>
      <w:r w:rsidR="004D4891">
        <w:t>a</w:t>
      </w:r>
      <w:r w:rsidRPr="00BB6220">
        <w:t>ha!</w:t>
      </w:r>
      <w:r w:rsidR="003D640C">
        <w:t xml:space="preserve"> </w:t>
      </w:r>
      <w:r w:rsidRPr="00BB6220">
        <w:t>moment</w:t>
      </w:r>
      <w:r w:rsidR="003D640C">
        <w:t xml:space="preserve"> </w:t>
      </w:r>
      <w:r w:rsidRPr="00BB6220">
        <w:t>because</w:t>
      </w:r>
      <w:r w:rsidR="003D640C">
        <w:t xml:space="preserve"> </w:t>
      </w:r>
      <w:r w:rsidRPr="00BB6220">
        <w:t>I</w:t>
      </w:r>
      <w:r w:rsidR="003D640C">
        <w:t xml:space="preserve"> </w:t>
      </w:r>
      <w:r w:rsidRPr="00BB6220">
        <w:t>carried</w:t>
      </w:r>
      <w:r w:rsidR="003D640C">
        <w:t xml:space="preserve"> </w:t>
      </w:r>
      <w:r w:rsidRPr="00BB6220">
        <w:t>this</w:t>
      </w:r>
      <w:r w:rsidR="003D640C">
        <w:t xml:space="preserve"> </w:t>
      </w:r>
      <w:r w:rsidRPr="00BB6220">
        <w:t>incredible</w:t>
      </w:r>
      <w:r w:rsidR="003D640C">
        <w:t xml:space="preserve"> </w:t>
      </w:r>
      <w:r w:rsidRPr="00BB6220">
        <w:t>guilt</w:t>
      </w:r>
      <w:r w:rsidR="003D640C">
        <w:t xml:space="preserve"> </w:t>
      </w:r>
      <w:r w:rsidRPr="00BB6220">
        <w:t>my</w:t>
      </w:r>
      <w:r w:rsidR="003D640C">
        <w:t xml:space="preserve"> </w:t>
      </w:r>
      <w:r w:rsidRPr="00BB6220">
        <w:t>whole</w:t>
      </w:r>
      <w:r w:rsidR="003D640C">
        <w:t xml:space="preserve"> </w:t>
      </w:r>
      <w:r w:rsidRPr="00BB6220">
        <w:t>life</w:t>
      </w:r>
      <w:r w:rsidR="003D640C">
        <w:t xml:space="preserve"> </w:t>
      </w:r>
      <w:r w:rsidRPr="00BB6220">
        <w:t>[from</w:t>
      </w:r>
      <w:r w:rsidR="003D640C">
        <w:t xml:space="preserve"> </w:t>
      </w:r>
      <w:r w:rsidRPr="00BB6220">
        <w:t>doing</w:t>
      </w:r>
      <w:r w:rsidR="003D640C">
        <w:t xml:space="preserve"> </w:t>
      </w:r>
      <w:r w:rsidRPr="00BB6220">
        <w:t>that</w:t>
      </w:r>
      <w:r w:rsidR="003D640C">
        <w:t xml:space="preserve"> </w:t>
      </w:r>
      <w:r w:rsidRPr="00BB6220">
        <w:t>to</w:t>
      </w:r>
      <w:r w:rsidR="003D640C">
        <w:t xml:space="preserve"> </w:t>
      </w:r>
      <w:r w:rsidRPr="00BB6220">
        <w:t>myself]</w:t>
      </w:r>
      <w:r w:rsidR="003D640C">
        <w:t xml:space="preserve"> </w:t>
      </w:r>
      <w:r w:rsidRPr="00BB6220">
        <w:t>but,</w:t>
      </w:r>
      <w:r w:rsidR="003D640C">
        <w:t xml:space="preserve"> </w:t>
      </w:r>
      <w:r w:rsidRPr="00BB6220">
        <w:t>I</w:t>
      </w:r>
      <w:r w:rsidR="003D640C">
        <w:t xml:space="preserve"> </w:t>
      </w:r>
      <w:r w:rsidRPr="00BB6220">
        <w:t>didn’t</w:t>
      </w:r>
      <w:r w:rsidR="003D640C">
        <w:t xml:space="preserve"> </w:t>
      </w:r>
      <w:r w:rsidRPr="00BB6220">
        <w:t>have</w:t>
      </w:r>
      <w:r w:rsidR="003D640C">
        <w:t xml:space="preserve"> </w:t>
      </w:r>
      <w:r w:rsidRPr="00BB6220">
        <w:t>a</w:t>
      </w:r>
      <w:r w:rsidR="003D640C">
        <w:t xml:space="preserve"> </w:t>
      </w:r>
      <w:r w:rsidRPr="00BB6220">
        <w:t>choice.</w:t>
      </w:r>
      <w:r w:rsidR="003D640C">
        <w:t xml:space="preserve"> </w:t>
      </w:r>
      <w:r w:rsidRPr="00BB6220">
        <w:t>I</w:t>
      </w:r>
      <w:r w:rsidR="003D640C">
        <w:t xml:space="preserve"> </w:t>
      </w:r>
      <w:r w:rsidRPr="00BB6220">
        <w:t>didn’t</w:t>
      </w:r>
      <w:r w:rsidR="003D640C">
        <w:t xml:space="preserve"> </w:t>
      </w:r>
      <w:r w:rsidRPr="00BB6220">
        <w:t>have</w:t>
      </w:r>
      <w:r w:rsidR="003D640C">
        <w:t xml:space="preserve"> </w:t>
      </w:r>
      <w:r w:rsidRPr="00BB6220">
        <w:t>a</w:t>
      </w:r>
      <w:r w:rsidR="003D640C">
        <w:t xml:space="preserve"> </w:t>
      </w:r>
      <w:r w:rsidRPr="00BB6220">
        <w:t>choice.”</w:t>
      </w:r>
      <w:r w:rsidRPr="00BB6220" w:rsidDel="008E1CCA">
        <w:t xml:space="preserve"> </w:t>
      </w:r>
      <w:r w:rsidRPr="00BB6220">
        <w:t>Māori,</w:t>
      </w:r>
      <w:r w:rsidR="003D640C">
        <w:t xml:space="preserve"> </w:t>
      </w:r>
      <w:r w:rsidRPr="00BB6220">
        <w:t>non-binary</w:t>
      </w:r>
      <w:r w:rsidR="003D640C">
        <w:t xml:space="preserve"> </w:t>
      </w:r>
    </w:p>
    <w:p w14:paraId="4EBC789F" w14:textId="69209A1F" w:rsidR="00A83BE9" w:rsidRPr="00BB6220" w:rsidRDefault="00A83BE9" w:rsidP="002C6363">
      <w:pPr>
        <w:rPr>
          <w:rFonts w:ascii="Segoe UI" w:hAnsi="Segoe UI" w:cs="Segoe UI"/>
          <w:lang w:eastAsia="en-NZ"/>
        </w:rPr>
      </w:pPr>
      <w:r w:rsidRPr="00BB6220">
        <w:rPr>
          <w:lang w:eastAsia="en-NZ"/>
        </w:rPr>
        <w:lastRenderedPageBreak/>
        <w:t>Media</w:t>
      </w:r>
      <w:r w:rsidR="003D640C">
        <w:rPr>
          <w:lang w:eastAsia="en-NZ"/>
        </w:rPr>
        <w:t xml:space="preserve"> </w:t>
      </w:r>
      <w:r w:rsidRPr="00BB6220">
        <w:rPr>
          <w:lang w:eastAsia="en-NZ"/>
        </w:rPr>
        <w:t>articles,</w:t>
      </w:r>
      <w:r w:rsidR="00090102" w:rsidRPr="00BB6220">
        <w:rPr>
          <w:rStyle w:val="FootnoteReference"/>
          <w:rFonts w:ascii="Calibri" w:eastAsia="Times New Roman" w:hAnsi="Calibri" w:cs="Calibri"/>
          <w:lang w:eastAsia="en-NZ"/>
        </w:rPr>
        <w:footnoteReference w:id="168"/>
      </w:r>
      <w:r w:rsidR="003D640C">
        <w:rPr>
          <w:lang w:eastAsia="en-NZ"/>
        </w:rPr>
        <w:t xml:space="preserve"> </w:t>
      </w:r>
      <w:r w:rsidRPr="00BB6220">
        <w:rPr>
          <w:lang w:eastAsia="en-NZ"/>
        </w:rPr>
        <w:t>public</w:t>
      </w:r>
      <w:r w:rsidR="003D640C">
        <w:rPr>
          <w:lang w:eastAsia="en-NZ"/>
        </w:rPr>
        <w:t xml:space="preserve"> </w:t>
      </w:r>
      <w:r w:rsidRPr="00BB6220">
        <w:rPr>
          <w:lang w:eastAsia="en-NZ"/>
        </w:rPr>
        <w:t>submissions</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002C61F7" w:rsidRPr="00BB6220">
        <w:rPr>
          <w:lang w:eastAsia="en-NZ"/>
        </w:rPr>
        <w:t>Justice</w:t>
      </w:r>
      <w:r w:rsidR="003D640C">
        <w:rPr>
          <w:lang w:eastAsia="en-NZ"/>
        </w:rPr>
        <w:t xml:space="preserve"> </w:t>
      </w:r>
      <w:r w:rsidRPr="00BB6220">
        <w:rPr>
          <w:lang w:eastAsia="en-NZ"/>
        </w:rPr>
        <w:t>Select</w:t>
      </w:r>
      <w:r w:rsidR="003D640C">
        <w:rPr>
          <w:lang w:eastAsia="en-NZ"/>
        </w:rPr>
        <w:t xml:space="preserve"> </w:t>
      </w:r>
      <w:r w:rsidRPr="00BB6220">
        <w:rPr>
          <w:lang w:eastAsia="en-NZ"/>
        </w:rPr>
        <w:t>Committee,</w:t>
      </w:r>
      <w:r w:rsidR="00E7455B" w:rsidRPr="00BB6220">
        <w:rPr>
          <w:rStyle w:val="FootnoteReference"/>
          <w:rFonts w:ascii="Calibri" w:eastAsia="Times New Roman" w:hAnsi="Calibri" w:cs="Calibri"/>
          <w:lang w:eastAsia="en-NZ"/>
        </w:rPr>
        <w:footnoteReference w:id="169"/>
      </w:r>
      <w:r w:rsidR="003D640C">
        <w:rPr>
          <w:lang w:eastAsia="en-NZ"/>
        </w:rPr>
        <w:t xml:space="preserve"> </w:t>
      </w:r>
      <w:r w:rsidRPr="00BB6220">
        <w:rPr>
          <w:lang w:eastAsia="en-NZ"/>
        </w:rPr>
        <w:t>and</w:t>
      </w:r>
      <w:r w:rsidR="003D640C">
        <w:rPr>
          <w:lang w:eastAsia="en-NZ"/>
        </w:rPr>
        <w:t xml:space="preserve"> </w:t>
      </w:r>
      <w:r w:rsidRPr="00BB6220">
        <w:rPr>
          <w:lang w:eastAsia="en-NZ"/>
        </w:rPr>
        <w:t>documentaries</w:t>
      </w:r>
      <w:r w:rsidR="00AE2C2B" w:rsidRPr="00BB6220">
        <w:rPr>
          <w:rStyle w:val="FootnoteReference"/>
          <w:rFonts w:ascii="Calibri" w:eastAsia="Times New Roman" w:hAnsi="Calibri" w:cs="Calibri"/>
          <w:lang w:eastAsia="en-NZ"/>
        </w:rPr>
        <w:footnoteReference w:id="170"/>
      </w:r>
      <w:r w:rsidR="003D640C">
        <w:rPr>
          <w:lang w:eastAsia="en-NZ"/>
        </w:rPr>
        <w:t xml:space="preserve"> </w:t>
      </w:r>
      <w:r w:rsidRPr="00BB6220">
        <w:rPr>
          <w:lang w:eastAsia="en-NZ"/>
        </w:rPr>
        <w:t>on</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highlight</w:t>
      </w:r>
      <w:r w:rsidR="003D640C">
        <w:rPr>
          <w:lang w:eastAsia="en-NZ"/>
        </w:rPr>
        <w:t xml:space="preserve"> </w:t>
      </w:r>
      <w:r w:rsidRPr="00BB6220">
        <w:rPr>
          <w:lang w:eastAsia="en-NZ"/>
        </w:rPr>
        <w:t>many</w:t>
      </w:r>
      <w:r w:rsidR="003D640C">
        <w:rPr>
          <w:lang w:eastAsia="en-NZ"/>
        </w:rPr>
        <w:t xml:space="preserve"> </w:t>
      </w:r>
      <w:r w:rsidRPr="00BB6220">
        <w:rPr>
          <w:lang w:eastAsia="en-NZ"/>
        </w:rPr>
        <w:t>stories</w:t>
      </w:r>
      <w:r w:rsidR="003D640C">
        <w:rPr>
          <w:lang w:eastAsia="en-NZ"/>
        </w:rPr>
        <w:t xml:space="preserve"> </w:t>
      </w:r>
      <w:r w:rsidRPr="00BB6220">
        <w:rPr>
          <w:lang w:eastAsia="en-NZ"/>
        </w:rPr>
        <w:t>of</w:t>
      </w:r>
      <w:r w:rsidR="003D640C">
        <w:rPr>
          <w:lang w:eastAsia="en-NZ"/>
        </w:rPr>
        <w:t xml:space="preserve"> </w:t>
      </w:r>
      <w:r w:rsidR="004B6FE3">
        <w:rPr>
          <w:lang w:eastAsia="en-NZ"/>
        </w:rPr>
        <w:t>Māori</w:t>
      </w:r>
      <w:r w:rsidR="003D640C">
        <w:rPr>
          <w:lang w:eastAsia="en-NZ"/>
        </w:rPr>
        <w:t xml:space="preserve"> </w:t>
      </w:r>
      <w:r w:rsidRPr="00BB6220">
        <w:rPr>
          <w:lang w:eastAsia="en-NZ"/>
        </w:rPr>
        <w:t>survivor</w:t>
      </w:r>
      <w:r w:rsidR="003D640C">
        <w:rPr>
          <w:lang w:eastAsia="en-NZ"/>
        </w:rPr>
        <w:t xml:space="preserve"> </w:t>
      </w:r>
      <w:r w:rsidRPr="00BB6220">
        <w:rPr>
          <w:lang w:eastAsia="en-NZ"/>
        </w:rPr>
        <w:t>experiences</w:t>
      </w:r>
      <w:r w:rsidR="003D640C">
        <w:rPr>
          <w:lang w:eastAsia="en-NZ"/>
        </w:rPr>
        <w:t xml:space="preserve"> </w:t>
      </w:r>
      <w:r w:rsidR="00563C2C" w:rsidRPr="00BB6220">
        <w:rPr>
          <w:lang w:eastAsia="en-NZ"/>
        </w:rPr>
        <w:t>particularly</w:t>
      </w:r>
      <w:r w:rsidR="003D640C">
        <w:rPr>
          <w:lang w:eastAsia="en-NZ"/>
        </w:rPr>
        <w:t xml:space="preserve"> </w:t>
      </w:r>
      <w:r w:rsidRPr="00BB6220">
        <w:rPr>
          <w:lang w:eastAsia="en-NZ"/>
        </w:rPr>
        <w:t>stemming</w:t>
      </w:r>
      <w:r w:rsidR="003D640C">
        <w:rPr>
          <w:lang w:eastAsia="en-NZ"/>
        </w:rPr>
        <w:t xml:space="preserve"> </w:t>
      </w:r>
      <w:r w:rsidRPr="00BB6220">
        <w:rPr>
          <w:lang w:eastAsia="en-NZ"/>
        </w:rPr>
        <w:t>from</w:t>
      </w:r>
      <w:r w:rsidR="003D640C">
        <w:rPr>
          <w:lang w:eastAsia="en-NZ"/>
        </w:rPr>
        <w:t xml:space="preserve"> </w:t>
      </w:r>
      <w:r w:rsidRPr="00BB6220">
        <w:rPr>
          <w:lang w:eastAsia="en-NZ"/>
        </w:rPr>
        <w:t>their</w:t>
      </w:r>
      <w:r w:rsidR="003D640C">
        <w:rPr>
          <w:lang w:eastAsia="en-NZ"/>
        </w:rPr>
        <w:t xml:space="preserve"> </w:t>
      </w:r>
      <w:r w:rsidRPr="00BB6220">
        <w:rPr>
          <w:lang w:eastAsia="en-NZ"/>
        </w:rPr>
        <w:t>involvement</w:t>
      </w:r>
      <w:r w:rsidR="003D640C">
        <w:rPr>
          <w:lang w:eastAsia="en-NZ"/>
        </w:rPr>
        <w:t xml:space="preserve"> </w:t>
      </w:r>
      <w:r w:rsidRPr="00BB6220">
        <w:rPr>
          <w:lang w:eastAsia="en-NZ"/>
        </w:rPr>
        <w:t>in</w:t>
      </w:r>
      <w:r w:rsidR="003D640C">
        <w:rPr>
          <w:lang w:eastAsia="en-NZ"/>
        </w:rPr>
        <w:t xml:space="preserve"> </w:t>
      </w:r>
      <w:r w:rsidRPr="00BB6220">
        <w:rPr>
          <w:lang w:eastAsia="en-NZ"/>
        </w:rPr>
        <w:t>religious</w:t>
      </w:r>
      <w:r w:rsidR="003D640C">
        <w:rPr>
          <w:lang w:eastAsia="en-NZ"/>
        </w:rPr>
        <w:t xml:space="preserve"> </w:t>
      </w:r>
      <w:r w:rsidRPr="00BB6220">
        <w:rPr>
          <w:lang w:eastAsia="en-NZ"/>
        </w:rPr>
        <w:t>spaces.</w:t>
      </w:r>
      <w:r w:rsidR="003D640C">
        <w:rPr>
          <w:lang w:eastAsia="en-NZ"/>
        </w:rPr>
        <w:t xml:space="preserve"> </w:t>
      </w:r>
      <w:r w:rsidRPr="00BB6220">
        <w:rPr>
          <w:lang w:eastAsia="en-NZ"/>
        </w:rPr>
        <w:t>The</w:t>
      </w:r>
      <w:r w:rsidR="003D640C">
        <w:rPr>
          <w:lang w:eastAsia="en-NZ"/>
        </w:rPr>
        <w:t xml:space="preserve"> </w:t>
      </w:r>
      <w:r w:rsidRPr="00BB6220">
        <w:rPr>
          <w:lang w:eastAsia="en-NZ"/>
        </w:rPr>
        <w:t>experiences</w:t>
      </w:r>
      <w:r w:rsidR="003D640C">
        <w:rPr>
          <w:lang w:eastAsia="en-NZ"/>
        </w:rPr>
        <w:t xml:space="preserve"> </w:t>
      </w:r>
      <w:r w:rsidRPr="00BB6220">
        <w:rPr>
          <w:lang w:eastAsia="en-NZ"/>
        </w:rPr>
        <w:t>include:</w:t>
      </w:r>
      <w:r w:rsidR="003D640C">
        <w:rPr>
          <w:lang w:eastAsia="en-NZ"/>
        </w:rPr>
        <w:t xml:space="preserve"> </w:t>
      </w:r>
    </w:p>
    <w:p w14:paraId="2F6C5A35" w14:textId="1DFAA83E" w:rsidR="00A83BE9" w:rsidRPr="00BB6220" w:rsidRDefault="00C052F9" w:rsidP="002C6363">
      <w:pPr>
        <w:pStyle w:val="Bullet"/>
        <w:rPr>
          <w:lang w:eastAsia="en-NZ"/>
        </w:rPr>
      </w:pPr>
      <w:r>
        <w:rPr>
          <w:lang w:eastAsia="en-NZ"/>
        </w:rPr>
        <w:t>b</w:t>
      </w:r>
      <w:r w:rsidR="00A83BE9" w:rsidRPr="00BB6220">
        <w:rPr>
          <w:lang w:eastAsia="en-NZ"/>
        </w:rPr>
        <w:t>eing</w:t>
      </w:r>
      <w:r w:rsidR="003D640C">
        <w:rPr>
          <w:lang w:eastAsia="en-NZ"/>
        </w:rPr>
        <w:t xml:space="preserve"> </w:t>
      </w:r>
      <w:r w:rsidR="00A83BE9" w:rsidRPr="00BB6220">
        <w:rPr>
          <w:lang w:eastAsia="en-NZ"/>
        </w:rPr>
        <w:t>ex-communicated</w:t>
      </w:r>
    </w:p>
    <w:p w14:paraId="6ACD730D" w14:textId="6F5DB798" w:rsidR="00A83BE9" w:rsidRPr="00BB6220" w:rsidRDefault="00C052F9" w:rsidP="002C6363">
      <w:pPr>
        <w:pStyle w:val="Bullet"/>
        <w:rPr>
          <w:lang w:eastAsia="en-NZ"/>
        </w:rPr>
      </w:pPr>
      <w:r>
        <w:rPr>
          <w:lang w:eastAsia="en-NZ"/>
        </w:rPr>
        <w:t>b</w:t>
      </w:r>
      <w:r w:rsidR="00A83BE9" w:rsidRPr="00BB6220">
        <w:rPr>
          <w:lang w:eastAsia="en-NZ"/>
        </w:rPr>
        <w:t>eing</w:t>
      </w:r>
      <w:r w:rsidR="003D640C">
        <w:rPr>
          <w:lang w:eastAsia="en-NZ"/>
        </w:rPr>
        <w:t xml:space="preserve"> </w:t>
      </w:r>
      <w:r w:rsidR="00A83BE9" w:rsidRPr="00BB6220">
        <w:rPr>
          <w:lang w:eastAsia="en-NZ"/>
        </w:rPr>
        <w:t>sent</w:t>
      </w:r>
      <w:r w:rsidR="003D640C">
        <w:rPr>
          <w:lang w:eastAsia="en-NZ"/>
        </w:rPr>
        <w:t xml:space="preserve"> </w:t>
      </w:r>
      <w:r w:rsidR="00A83BE9" w:rsidRPr="00BB6220">
        <w:rPr>
          <w:lang w:eastAsia="en-NZ"/>
        </w:rPr>
        <w:t>to</w:t>
      </w:r>
      <w:r w:rsidR="003D640C">
        <w:rPr>
          <w:lang w:eastAsia="en-NZ"/>
        </w:rPr>
        <w:t xml:space="preserve"> </w:t>
      </w:r>
      <w:r w:rsidR="00A83BE9" w:rsidRPr="00BB6220">
        <w:rPr>
          <w:lang w:eastAsia="en-NZ"/>
        </w:rPr>
        <w:t>‘spiritual</w:t>
      </w:r>
      <w:r w:rsidR="003D640C">
        <w:rPr>
          <w:lang w:eastAsia="en-NZ"/>
        </w:rPr>
        <w:t xml:space="preserve"> </w:t>
      </w:r>
      <w:r w:rsidR="00A83BE9" w:rsidRPr="00BB6220">
        <w:rPr>
          <w:lang w:eastAsia="en-NZ"/>
        </w:rPr>
        <w:t>healers’</w:t>
      </w:r>
      <w:r w:rsidR="003D640C">
        <w:rPr>
          <w:lang w:eastAsia="en-NZ"/>
        </w:rPr>
        <w:t xml:space="preserve"> </w:t>
      </w:r>
    </w:p>
    <w:p w14:paraId="66C3A4B8" w14:textId="25CEDFBE" w:rsidR="00A83BE9" w:rsidRPr="00BB6220" w:rsidRDefault="00C052F9" w:rsidP="002C6363">
      <w:pPr>
        <w:pStyle w:val="Bullet"/>
        <w:rPr>
          <w:lang w:eastAsia="en-NZ"/>
        </w:rPr>
      </w:pPr>
      <w:r>
        <w:rPr>
          <w:lang w:eastAsia="en-NZ"/>
        </w:rPr>
        <w:t>e</w:t>
      </w:r>
      <w:r w:rsidR="00A83BE9" w:rsidRPr="00BB6220">
        <w:rPr>
          <w:lang w:eastAsia="en-NZ"/>
        </w:rPr>
        <w:t>xorcisms</w:t>
      </w:r>
    </w:p>
    <w:p w14:paraId="20F6405A" w14:textId="508F54D9" w:rsidR="00A15312" w:rsidRPr="00BB6220" w:rsidRDefault="00C052F9" w:rsidP="002C6363">
      <w:pPr>
        <w:pStyle w:val="Bullet"/>
        <w:rPr>
          <w:lang w:eastAsia="en-NZ"/>
        </w:rPr>
      </w:pPr>
      <w:r>
        <w:rPr>
          <w:lang w:eastAsia="en-NZ"/>
        </w:rPr>
        <w:t>f</w:t>
      </w:r>
      <w:r w:rsidR="00A83BE9" w:rsidRPr="00BB6220">
        <w:rPr>
          <w:lang w:eastAsia="en-NZ"/>
        </w:rPr>
        <w:t>ormal</w:t>
      </w:r>
      <w:r w:rsidR="003D640C">
        <w:rPr>
          <w:lang w:eastAsia="en-NZ"/>
        </w:rPr>
        <w:t xml:space="preserve"> </w:t>
      </w:r>
      <w:r w:rsidR="00A83BE9" w:rsidRPr="00BB6220">
        <w:rPr>
          <w:lang w:eastAsia="en-NZ"/>
        </w:rPr>
        <w:t>conversion</w:t>
      </w:r>
      <w:r w:rsidR="003D640C">
        <w:rPr>
          <w:lang w:eastAsia="en-NZ"/>
        </w:rPr>
        <w:t xml:space="preserve"> </w:t>
      </w:r>
      <w:r w:rsidR="00A83BE9" w:rsidRPr="00BB6220">
        <w:rPr>
          <w:lang w:eastAsia="en-NZ"/>
        </w:rPr>
        <w:t>practices</w:t>
      </w:r>
      <w:r w:rsidR="003D640C">
        <w:rPr>
          <w:lang w:eastAsia="en-NZ"/>
        </w:rPr>
        <w:t xml:space="preserve"> </w:t>
      </w:r>
      <w:r w:rsidR="00A83BE9" w:rsidRPr="00BB6220">
        <w:rPr>
          <w:lang w:eastAsia="en-NZ"/>
        </w:rPr>
        <w:t>through</w:t>
      </w:r>
      <w:r w:rsidR="003D640C">
        <w:rPr>
          <w:lang w:eastAsia="en-NZ"/>
        </w:rPr>
        <w:t xml:space="preserve"> </w:t>
      </w:r>
      <w:r w:rsidR="00A83BE9" w:rsidRPr="00BB6220">
        <w:rPr>
          <w:lang w:eastAsia="en-NZ"/>
        </w:rPr>
        <w:t>courses</w:t>
      </w:r>
    </w:p>
    <w:p w14:paraId="3E541CE4" w14:textId="73EEF47B" w:rsidR="00067F3E" w:rsidRPr="00BB6220" w:rsidRDefault="00C052F9" w:rsidP="002C6363">
      <w:pPr>
        <w:pStyle w:val="Bullet"/>
        <w:rPr>
          <w:lang w:eastAsia="en-NZ"/>
        </w:rPr>
      </w:pPr>
      <w:r>
        <w:rPr>
          <w:lang w:eastAsia="en-NZ"/>
        </w:rPr>
        <w:t>t</w:t>
      </w:r>
      <w:r w:rsidR="00A83BE9" w:rsidRPr="00BB6220">
        <w:rPr>
          <w:lang w:eastAsia="en-NZ"/>
        </w:rPr>
        <w:t>alk</w:t>
      </w:r>
      <w:r w:rsidR="003D640C">
        <w:rPr>
          <w:lang w:eastAsia="en-NZ"/>
        </w:rPr>
        <w:t xml:space="preserve"> </w:t>
      </w:r>
      <w:r w:rsidR="00A83BE9" w:rsidRPr="00BB6220">
        <w:rPr>
          <w:lang w:eastAsia="en-NZ"/>
        </w:rPr>
        <w:t>‘therapies’</w:t>
      </w:r>
    </w:p>
    <w:p w14:paraId="78317448" w14:textId="22C594FE" w:rsidR="00501068" w:rsidRDefault="00C052F9" w:rsidP="002C6363">
      <w:pPr>
        <w:pStyle w:val="Bullet"/>
        <w:rPr>
          <w:lang w:eastAsia="en-NZ"/>
        </w:rPr>
      </w:pPr>
      <w:r>
        <w:rPr>
          <w:lang w:eastAsia="en-NZ"/>
        </w:rPr>
        <w:t>s</w:t>
      </w:r>
      <w:r w:rsidR="00067F3E" w:rsidRPr="00BB6220">
        <w:rPr>
          <w:lang w:eastAsia="en-NZ"/>
        </w:rPr>
        <w:t>ignificant</w:t>
      </w:r>
      <w:r w:rsidR="003D640C">
        <w:rPr>
          <w:lang w:eastAsia="en-NZ"/>
        </w:rPr>
        <w:t xml:space="preserve"> </w:t>
      </w:r>
      <w:r w:rsidR="00067F3E" w:rsidRPr="00BB6220">
        <w:rPr>
          <w:lang w:eastAsia="en-NZ"/>
        </w:rPr>
        <w:t>pressure</w:t>
      </w:r>
      <w:r w:rsidR="003D640C">
        <w:rPr>
          <w:lang w:eastAsia="en-NZ"/>
        </w:rPr>
        <w:t xml:space="preserve"> </w:t>
      </w:r>
      <w:r w:rsidR="00067F3E" w:rsidRPr="00BB6220">
        <w:rPr>
          <w:lang w:eastAsia="en-NZ"/>
        </w:rPr>
        <w:t>from</w:t>
      </w:r>
      <w:r w:rsidR="003D640C">
        <w:rPr>
          <w:lang w:eastAsia="en-NZ"/>
        </w:rPr>
        <w:t xml:space="preserve"> </w:t>
      </w:r>
      <w:r w:rsidR="00067F3E" w:rsidRPr="00BB6220">
        <w:rPr>
          <w:lang w:eastAsia="en-NZ"/>
        </w:rPr>
        <w:t>wh</w:t>
      </w:r>
      <w:r w:rsidR="004B29D6" w:rsidRPr="00BB6220">
        <w:rPr>
          <w:lang w:eastAsia="en-NZ"/>
        </w:rPr>
        <w:t>ā</w:t>
      </w:r>
      <w:r w:rsidR="00067F3E" w:rsidRPr="00BB6220">
        <w:rPr>
          <w:lang w:eastAsia="en-NZ"/>
        </w:rPr>
        <w:t>nau</w:t>
      </w:r>
      <w:r w:rsidR="003D640C">
        <w:rPr>
          <w:lang w:eastAsia="en-NZ"/>
        </w:rPr>
        <w:t xml:space="preserve"> </w:t>
      </w:r>
      <w:r w:rsidR="004B29D6" w:rsidRPr="00BB6220">
        <w:rPr>
          <w:lang w:eastAsia="en-NZ"/>
        </w:rPr>
        <w:t>to</w:t>
      </w:r>
      <w:r w:rsidR="003D640C">
        <w:rPr>
          <w:lang w:eastAsia="en-NZ"/>
        </w:rPr>
        <w:t xml:space="preserve"> </w:t>
      </w:r>
      <w:r w:rsidR="004B29D6" w:rsidRPr="00BB6220">
        <w:rPr>
          <w:lang w:eastAsia="en-NZ"/>
        </w:rPr>
        <w:t>conform</w:t>
      </w:r>
      <w:r w:rsidR="004D4891">
        <w:rPr>
          <w:lang w:eastAsia="en-NZ"/>
        </w:rPr>
        <w:t>.</w:t>
      </w:r>
      <w:r w:rsidR="003D640C">
        <w:rPr>
          <w:lang w:eastAsia="en-NZ"/>
        </w:rPr>
        <w:t xml:space="preserve"> </w:t>
      </w:r>
    </w:p>
    <w:p w14:paraId="69D3DE57" w14:textId="396D6DB3" w:rsidR="00501068" w:rsidRDefault="00252401" w:rsidP="002C6363">
      <w:pPr>
        <w:pStyle w:val="Quote"/>
        <w:rPr>
          <w:rFonts w:ascii="Calibri" w:eastAsia="Times New Roman" w:hAnsi="Calibri" w:cs="Calibri"/>
        </w:rPr>
      </w:pPr>
      <w:r w:rsidRPr="00BB6220">
        <w:t>“The</w:t>
      </w:r>
      <w:r w:rsidR="003D640C">
        <w:t xml:space="preserve"> </w:t>
      </w:r>
      <w:r w:rsidRPr="00BB6220">
        <w:t>leaders</w:t>
      </w:r>
      <w:r w:rsidR="003D640C">
        <w:t xml:space="preserve"> </w:t>
      </w:r>
      <w:r w:rsidRPr="00BB6220">
        <w:t>of</w:t>
      </w:r>
      <w:r w:rsidR="003D640C">
        <w:t xml:space="preserve"> </w:t>
      </w:r>
      <w:r w:rsidRPr="00BB6220">
        <w:t>my</w:t>
      </w:r>
      <w:r w:rsidR="003D640C">
        <w:t xml:space="preserve"> </w:t>
      </w:r>
      <w:r w:rsidRPr="00BB6220">
        <w:t>church</w:t>
      </w:r>
      <w:r w:rsidR="003D640C">
        <w:t xml:space="preserve"> </w:t>
      </w:r>
      <w:r w:rsidRPr="00BB6220">
        <w:t>said</w:t>
      </w:r>
      <w:r w:rsidR="003D640C">
        <w:t xml:space="preserve"> </w:t>
      </w:r>
      <w:r w:rsidRPr="00BB6220">
        <w:t>that</w:t>
      </w:r>
      <w:r w:rsidR="003D640C">
        <w:t xml:space="preserve"> </w:t>
      </w:r>
      <w:r w:rsidRPr="00BB6220">
        <w:t>you</w:t>
      </w:r>
      <w:r w:rsidR="003D640C">
        <w:t xml:space="preserve"> </w:t>
      </w:r>
      <w:r w:rsidRPr="00BB6220">
        <w:t>need</w:t>
      </w:r>
      <w:r w:rsidR="003D640C">
        <w:t xml:space="preserve"> </w:t>
      </w:r>
      <w:r w:rsidRPr="00BB6220">
        <w:t>to</w:t>
      </w:r>
      <w:r w:rsidR="003D640C">
        <w:t xml:space="preserve"> </w:t>
      </w:r>
      <w:r w:rsidRPr="00BB6220">
        <w:t>see</w:t>
      </w:r>
      <w:r w:rsidR="003D640C">
        <w:t xml:space="preserve"> </w:t>
      </w:r>
      <w:r w:rsidRPr="00BB6220">
        <w:t>a</w:t>
      </w:r>
      <w:r w:rsidR="003D640C">
        <w:t xml:space="preserve"> </w:t>
      </w:r>
      <w:r w:rsidRPr="00BB6220">
        <w:t>counsellor.</w:t>
      </w:r>
      <w:r w:rsidR="003D640C">
        <w:t xml:space="preserve"> </w:t>
      </w:r>
      <w:r w:rsidRPr="00BB6220">
        <w:t>They</w:t>
      </w:r>
      <w:r w:rsidR="003D640C">
        <w:t xml:space="preserve"> </w:t>
      </w:r>
      <w:r w:rsidRPr="00BB6220">
        <w:t>gave</w:t>
      </w:r>
      <w:r w:rsidR="003D640C">
        <w:t xml:space="preserve"> </w:t>
      </w:r>
      <w:r w:rsidRPr="00BB6220">
        <w:t>me</w:t>
      </w:r>
      <w:r w:rsidR="003D640C">
        <w:t xml:space="preserve"> </w:t>
      </w:r>
      <w:r w:rsidRPr="00BB6220">
        <w:t>this</w:t>
      </w:r>
      <w:r w:rsidR="003D640C">
        <w:t xml:space="preserve"> </w:t>
      </w:r>
      <w:r w:rsidRPr="00BB6220">
        <w:t>book</w:t>
      </w:r>
      <w:r w:rsidR="003D640C">
        <w:t xml:space="preserve"> </w:t>
      </w:r>
      <w:r w:rsidRPr="00BB6220">
        <w:t>and</w:t>
      </w:r>
      <w:r w:rsidR="003D640C">
        <w:t xml:space="preserve"> </w:t>
      </w:r>
      <w:r w:rsidRPr="00BB6220">
        <w:t>I</w:t>
      </w:r>
      <w:r w:rsidR="003D640C">
        <w:t xml:space="preserve"> </w:t>
      </w:r>
      <w:r w:rsidRPr="00BB6220">
        <w:t>tell</w:t>
      </w:r>
      <w:r w:rsidR="003D640C">
        <w:t xml:space="preserve"> </w:t>
      </w:r>
      <w:r w:rsidRPr="00BB6220">
        <w:t>you</w:t>
      </w:r>
      <w:r w:rsidR="003D640C">
        <w:t xml:space="preserve"> </w:t>
      </w:r>
      <w:r w:rsidRPr="00BB6220">
        <w:t>when</w:t>
      </w:r>
      <w:r w:rsidR="003D640C">
        <w:t xml:space="preserve"> </w:t>
      </w:r>
      <w:r w:rsidRPr="00BB6220">
        <w:t>I</w:t>
      </w:r>
      <w:r w:rsidR="003D640C">
        <w:t xml:space="preserve"> </w:t>
      </w:r>
      <w:r w:rsidRPr="00BB6220">
        <w:t>read</w:t>
      </w:r>
      <w:r w:rsidR="003D640C">
        <w:t xml:space="preserve"> </w:t>
      </w:r>
      <w:r w:rsidRPr="00BB6220">
        <w:t>that</w:t>
      </w:r>
      <w:r w:rsidR="003D640C">
        <w:t xml:space="preserve"> </w:t>
      </w:r>
      <w:r w:rsidRPr="00BB6220">
        <w:t>book</w:t>
      </w:r>
      <w:r w:rsidR="003D640C">
        <w:t xml:space="preserve"> </w:t>
      </w:r>
      <w:r w:rsidRPr="00BB6220">
        <w:t>it</w:t>
      </w:r>
      <w:r w:rsidR="003D640C">
        <w:t xml:space="preserve"> </w:t>
      </w:r>
      <w:r w:rsidRPr="00BB6220">
        <w:t>made</w:t>
      </w:r>
      <w:r w:rsidR="003D640C">
        <w:t xml:space="preserve"> </w:t>
      </w:r>
      <w:r w:rsidRPr="00BB6220">
        <w:t>me</w:t>
      </w:r>
      <w:r w:rsidR="003D640C">
        <w:t xml:space="preserve"> </w:t>
      </w:r>
      <w:r w:rsidRPr="00BB6220">
        <w:t>hate</w:t>
      </w:r>
      <w:r w:rsidR="003D640C">
        <w:t xml:space="preserve"> </w:t>
      </w:r>
      <w:r w:rsidRPr="00BB6220">
        <w:t>myself,</w:t>
      </w:r>
      <w:r w:rsidR="003D640C">
        <w:t xml:space="preserve"> </w:t>
      </w:r>
      <w:r w:rsidRPr="00BB6220">
        <w:t>hate</w:t>
      </w:r>
      <w:r w:rsidR="003D640C">
        <w:t xml:space="preserve"> </w:t>
      </w:r>
      <w:r w:rsidRPr="00BB6220">
        <w:t>my</w:t>
      </w:r>
      <w:r w:rsidR="003D640C">
        <w:t xml:space="preserve"> </w:t>
      </w:r>
      <w:r w:rsidRPr="00BB6220">
        <w:t>upbringing,</w:t>
      </w:r>
      <w:r w:rsidR="003D640C">
        <w:t xml:space="preserve"> </w:t>
      </w:r>
      <w:r w:rsidRPr="00BB6220">
        <w:t>hate</w:t>
      </w:r>
      <w:r w:rsidR="003D640C">
        <w:t xml:space="preserve"> </w:t>
      </w:r>
      <w:r w:rsidRPr="00BB6220">
        <w:t>everything</w:t>
      </w:r>
      <w:r w:rsidR="003D640C">
        <w:t xml:space="preserve"> </w:t>
      </w:r>
      <w:r w:rsidRPr="00BB6220">
        <w:t>about</w:t>
      </w:r>
      <w:r w:rsidR="003D640C">
        <w:t xml:space="preserve"> </w:t>
      </w:r>
      <w:r w:rsidRPr="00BB6220">
        <w:t>me.”</w:t>
      </w:r>
      <w:r w:rsidR="003D640C">
        <w:t xml:space="preserve"> </w:t>
      </w:r>
      <w:r w:rsidRPr="00BB6220">
        <w:t>Māori,</w:t>
      </w:r>
      <w:r w:rsidR="003D640C">
        <w:t xml:space="preserve"> </w:t>
      </w:r>
      <w:r w:rsidRPr="00BB6220">
        <w:t>male</w:t>
      </w:r>
      <w:r w:rsidR="003D640C">
        <w:t xml:space="preserve"> </w:t>
      </w:r>
    </w:p>
    <w:p w14:paraId="5C18A25D" w14:textId="1C46F93A" w:rsidR="006C52E6" w:rsidRPr="00BB6220" w:rsidRDefault="00A83BE9" w:rsidP="002C6363">
      <w:pPr>
        <w:rPr>
          <w:lang w:eastAsia="en-NZ"/>
        </w:rPr>
      </w:pPr>
      <w:r w:rsidRPr="00BB6220">
        <w:rPr>
          <w:lang w:eastAsia="en-NZ"/>
        </w:rPr>
        <w:t>The</w:t>
      </w:r>
      <w:r w:rsidR="003D640C">
        <w:rPr>
          <w:lang w:eastAsia="en-NZ"/>
        </w:rPr>
        <w:t xml:space="preserve"> </w:t>
      </w:r>
      <w:r w:rsidRPr="00BB6220">
        <w:rPr>
          <w:lang w:eastAsia="en-NZ"/>
        </w:rPr>
        <w:t>Commission</w:t>
      </w:r>
      <w:r w:rsidR="003D640C">
        <w:rPr>
          <w:lang w:eastAsia="en-NZ"/>
        </w:rPr>
        <w:t xml:space="preserve"> </w:t>
      </w:r>
      <w:r w:rsidRPr="00BB6220">
        <w:rPr>
          <w:lang w:eastAsia="en-NZ"/>
        </w:rPr>
        <w:t>also</w:t>
      </w:r>
      <w:r w:rsidR="003D640C">
        <w:rPr>
          <w:lang w:eastAsia="en-NZ"/>
        </w:rPr>
        <w:t xml:space="preserve"> </w:t>
      </w:r>
      <w:r w:rsidRPr="00BB6220">
        <w:rPr>
          <w:lang w:eastAsia="en-NZ"/>
        </w:rPr>
        <w:t>heard</w:t>
      </w:r>
      <w:r w:rsidR="003D640C">
        <w:rPr>
          <w:lang w:eastAsia="en-NZ"/>
        </w:rPr>
        <w:t xml:space="preserve"> </w:t>
      </w:r>
      <w:r w:rsidRPr="00BB6220">
        <w:rPr>
          <w:lang w:eastAsia="en-NZ"/>
        </w:rPr>
        <w:t>from</w:t>
      </w:r>
      <w:r w:rsidR="003D640C">
        <w:rPr>
          <w:lang w:eastAsia="en-NZ"/>
        </w:rPr>
        <w:t xml:space="preserve"> </w:t>
      </w:r>
      <w:r w:rsidR="004B6FE3">
        <w:rPr>
          <w:lang w:eastAsia="en-NZ"/>
        </w:rPr>
        <w:t>Māori</w:t>
      </w:r>
      <w:r w:rsidR="003D640C">
        <w:rPr>
          <w:lang w:eastAsia="en-NZ"/>
        </w:rPr>
        <w:t xml:space="preserve"> </w:t>
      </w:r>
      <w:r w:rsidRPr="00BB6220">
        <w:rPr>
          <w:lang w:eastAsia="en-NZ"/>
        </w:rPr>
        <w:t>survivors</w:t>
      </w:r>
      <w:r w:rsidR="003D640C">
        <w:rPr>
          <w:lang w:eastAsia="en-NZ"/>
        </w:rPr>
        <w:t xml:space="preserve"> </w:t>
      </w:r>
      <w:r w:rsidRPr="00BB6220">
        <w:rPr>
          <w:lang w:eastAsia="en-NZ"/>
        </w:rPr>
        <w:t>who</w:t>
      </w:r>
      <w:r w:rsidR="003D640C">
        <w:rPr>
          <w:lang w:eastAsia="en-NZ"/>
        </w:rPr>
        <w:t xml:space="preserve"> </w:t>
      </w:r>
      <w:r w:rsidRPr="00BB6220">
        <w:rPr>
          <w:lang w:eastAsia="en-NZ"/>
        </w:rPr>
        <w:t>were</w:t>
      </w:r>
      <w:r w:rsidR="003D640C">
        <w:rPr>
          <w:lang w:eastAsia="en-NZ"/>
        </w:rPr>
        <w:t xml:space="preserve"> </w:t>
      </w:r>
      <w:r w:rsidRPr="00BB6220">
        <w:rPr>
          <w:lang w:eastAsia="en-NZ"/>
        </w:rPr>
        <w:t>not</w:t>
      </w:r>
      <w:r w:rsidR="003D640C">
        <w:rPr>
          <w:lang w:eastAsia="en-NZ"/>
        </w:rPr>
        <w:t xml:space="preserve"> </w:t>
      </w:r>
      <w:r w:rsidRPr="00BB6220">
        <w:rPr>
          <w:lang w:eastAsia="en-NZ"/>
        </w:rPr>
        <w:t>religious</w:t>
      </w:r>
      <w:r w:rsidR="003D640C">
        <w:rPr>
          <w:lang w:eastAsia="en-NZ"/>
        </w:rPr>
        <w:t xml:space="preserve"> </w:t>
      </w:r>
      <w:r w:rsidRPr="00BB6220">
        <w:rPr>
          <w:lang w:eastAsia="en-NZ"/>
        </w:rPr>
        <w:t>but</w:t>
      </w:r>
      <w:r w:rsidR="003D640C">
        <w:rPr>
          <w:lang w:eastAsia="en-NZ"/>
        </w:rPr>
        <w:t xml:space="preserve"> </w:t>
      </w:r>
      <w:r w:rsidRPr="00BB6220">
        <w:rPr>
          <w:lang w:eastAsia="en-NZ"/>
        </w:rPr>
        <w:t>whose</w:t>
      </w:r>
      <w:r w:rsidR="003D640C">
        <w:rPr>
          <w:lang w:eastAsia="en-NZ"/>
        </w:rPr>
        <w:t xml:space="preserve"> </w:t>
      </w:r>
      <w:r w:rsidRPr="00BB6220">
        <w:rPr>
          <w:lang w:eastAsia="en-NZ"/>
        </w:rPr>
        <w:t>families</w:t>
      </w:r>
      <w:r w:rsidR="003D640C">
        <w:rPr>
          <w:lang w:eastAsia="en-NZ"/>
        </w:rPr>
        <w:t xml:space="preserve"> </w:t>
      </w:r>
      <w:r w:rsidRPr="00BB6220">
        <w:rPr>
          <w:lang w:eastAsia="en-NZ"/>
        </w:rPr>
        <w:t>physically</w:t>
      </w:r>
      <w:r w:rsidR="003D640C">
        <w:rPr>
          <w:lang w:eastAsia="en-NZ"/>
        </w:rPr>
        <w:t xml:space="preserve"> </w:t>
      </w:r>
      <w:r w:rsidRPr="00BB6220">
        <w:rPr>
          <w:lang w:eastAsia="en-NZ"/>
        </w:rPr>
        <w:t>abused</w:t>
      </w:r>
      <w:r w:rsidR="003D640C">
        <w:rPr>
          <w:lang w:eastAsia="en-NZ"/>
        </w:rPr>
        <w:t xml:space="preserve"> </w:t>
      </w:r>
      <w:r w:rsidRPr="00BB6220">
        <w:rPr>
          <w:lang w:eastAsia="en-NZ"/>
        </w:rPr>
        <w:t>them</w:t>
      </w:r>
      <w:r w:rsidR="003D640C">
        <w:rPr>
          <w:lang w:eastAsia="en-NZ"/>
        </w:rPr>
        <w:t xml:space="preserve"> </w:t>
      </w:r>
      <w:r w:rsidRPr="00BB6220">
        <w:rPr>
          <w:lang w:eastAsia="en-NZ"/>
        </w:rPr>
        <w:t>and</w:t>
      </w:r>
      <w:r w:rsidR="003D640C">
        <w:rPr>
          <w:lang w:eastAsia="en-NZ"/>
        </w:rPr>
        <w:t xml:space="preserve"> </w:t>
      </w:r>
      <w:r w:rsidRPr="00BB6220">
        <w:rPr>
          <w:lang w:eastAsia="en-NZ"/>
        </w:rPr>
        <w:t>forced</w:t>
      </w:r>
      <w:r w:rsidR="003D640C">
        <w:rPr>
          <w:lang w:eastAsia="en-NZ"/>
        </w:rPr>
        <w:t xml:space="preserve"> </w:t>
      </w:r>
      <w:r w:rsidRPr="00BB6220">
        <w:rPr>
          <w:lang w:eastAsia="en-NZ"/>
        </w:rPr>
        <w:t>them</w:t>
      </w:r>
      <w:r w:rsidR="003D640C">
        <w:rPr>
          <w:lang w:eastAsia="en-NZ"/>
        </w:rPr>
        <w:t xml:space="preserve"> </w:t>
      </w:r>
      <w:r w:rsidRPr="00BB6220">
        <w:rPr>
          <w:lang w:eastAsia="en-NZ"/>
        </w:rPr>
        <w:t>to</w:t>
      </w:r>
      <w:r w:rsidR="003D640C">
        <w:rPr>
          <w:lang w:eastAsia="en-NZ"/>
        </w:rPr>
        <w:t xml:space="preserve"> </w:t>
      </w:r>
      <w:r w:rsidRPr="00BB6220">
        <w:rPr>
          <w:lang w:eastAsia="en-NZ"/>
        </w:rPr>
        <w:t>conform</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662581" w:rsidRPr="00BB6220">
        <w:rPr>
          <w:lang w:eastAsia="en-NZ"/>
        </w:rPr>
        <w:t>ir</w:t>
      </w:r>
      <w:r w:rsidR="003D640C">
        <w:rPr>
          <w:lang w:eastAsia="en-NZ"/>
        </w:rPr>
        <w:t xml:space="preserve"> </w:t>
      </w:r>
      <w:r w:rsidR="00521795" w:rsidRPr="00BB6220">
        <w:rPr>
          <w:lang w:eastAsia="en-NZ"/>
        </w:rPr>
        <w:t>sex</w:t>
      </w:r>
      <w:r w:rsidR="003D640C">
        <w:rPr>
          <w:lang w:eastAsia="en-NZ"/>
        </w:rPr>
        <w:t xml:space="preserve"> </w:t>
      </w:r>
      <w:r w:rsidRPr="00BB6220">
        <w:rPr>
          <w:lang w:eastAsia="en-NZ"/>
        </w:rPr>
        <w:t>assigned</w:t>
      </w:r>
      <w:r w:rsidR="003D640C">
        <w:rPr>
          <w:lang w:eastAsia="en-NZ"/>
        </w:rPr>
        <w:t xml:space="preserve"> </w:t>
      </w:r>
      <w:r w:rsidRPr="00BB6220">
        <w:rPr>
          <w:lang w:eastAsia="en-NZ"/>
        </w:rPr>
        <w:t>at</w:t>
      </w:r>
      <w:r w:rsidR="003D640C">
        <w:rPr>
          <w:lang w:eastAsia="en-NZ"/>
        </w:rPr>
        <w:t xml:space="preserve"> </w:t>
      </w:r>
      <w:r w:rsidRPr="00BB6220">
        <w:rPr>
          <w:lang w:eastAsia="en-NZ"/>
        </w:rPr>
        <w:t>birth.</w:t>
      </w:r>
      <w:r w:rsidR="003D640C">
        <w:rPr>
          <w:lang w:eastAsia="en-NZ"/>
        </w:rPr>
        <w:t xml:space="preserve"> </w:t>
      </w:r>
    </w:p>
    <w:p w14:paraId="71D530CC" w14:textId="1214F0B1" w:rsidR="00501068" w:rsidRDefault="00C94EFF" w:rsidP="002C6363">
      <w:pPr>
        <w:rPr>
          <w:lang w:eastAsia="en-NZ"/>
        </w:rPr>
      </w:pPr>
      <w:r w:rsidRPr="00BB6220">
        <w:rPr>
          <w:lang w:eastAsia="en-NZ"/>
        </w:rPr>
        <w:t>S</w:t>
      </w:r>
      <w:r w:rsidR="00A83BE9" w:rsidRPr="00BB6220">
        <w:rPr>
          <w:lang w:eastAsia="en-NZ"/>
        </w:rPr>
        <w:t>urvivors</w:t>
      </w:r>
      <w:r w:rsidR="003D640C">
        <w:rPr>
          <w:lang w:eastAsia="en-NZ"/>
        </w:rPr>
        <w:t xml:space="preserve"> </w:t>
      </w:r>
      <w:r w:rsidR="00A83BE9" w:rsidRPr="00BB6220">
        <w:rPr>
          <w:lang w:eastAsia="en-NZ"/>
        </w:rPr>
        <w:t>spoke</w:t>
      </w:r>
      <w:r w:rsidR="003D640C">
        <w:rPr>
          <w:lang w:eastAsia="en-NZ"/>
        </w:rPr>
        <w:t xml:space="preserve"> </w:t>
      </w:r>
      <w:r w:rsidR="00A83BE9" w:rsidRPr="00BB6220">
        <w:rPr>
          <w:lang w:eastAsia="en-NZ"/>
        </w:rPr>
        <w:t>about</w:t>
      </w:r>
      <w:r w:rsidR="003D640C">
        <w:rPr>
          <w:lang w:eastAsia="en-NZ"/>
        </w:rPr>
        <w:t xml:space="preserve"> </w:t>
      </w:r>
      <w:r w:rsidRPr="00BB6220">
        <w:rPr>
          <w:lang w:eastAsia="en-NZ"/>
        </w:rPr>
        <w:t>different</w:t>
      </w:r>
      <w:r w:rsidR="003D640C">
        <w:rPr>
          <w:lang w:eastAsia="en-NZ"/>
        </w:rPr>
        <w:t xml:space="preserve"> </w:t>
      </w:r>
      <w:r w:rsidRPr="00BB6220">
        <w:rPr>
          <w:lang w:eastAsia="en-NZ"/>
        </w:rPr>
        <w:t>motivations</w:t>
      </w:r>
      <w:r w:rsidR="003D640C">
        <w:rPr>
          <w:lang w:eastAsia="en-NZ"/>
        </w:rPr>
        <w:t xml:space="preserve"> </w:t>
      </w:r>
      <w:r w:rsidRPr="00BB6220">
        <w:rPr>
          <w:lang w:eastAsia="en-NZ"/>
        </w:rPr>
        <w:t>for</w:t>
      </w:r>
      <w:r w:rsidR="003D640C">
        <w:rPr>
          <w:lang w:eastAsia="en-NZ"/>
        </w:rPr>
        <w:t xml:space="preserve"> </w:t>
      </w:r>
      <w:r w:rsidRPr="00BB6220">
        <w:rPr>
          <w:lang w:eastAsia="en-NZ"/>
        </w:rPr>
        <w:t>engaging</w:t>
      </w:r>
      <w:r w:rsidR="003D640C">
        <w:rPr>
          <w:lang w:eastAsia="en-NZ"/>
        </w:rPr>
        <w:t xml:space="preserve"> </w:t>
      </w:r>
      <w:r w:rsidRPr="00BB6220">
        <w:rPr>
          <w:lang w:eastAsia="en-NZ"/>
        </w:rPr>
        <w:t>with</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D65535" w:rsidRPr="00BB6220">
        <w:rPr>
          <w:lang w:eastAsia="en-NZ"/>
        </w:rPr>
        <w:t>O</w:t>
      </w:r>
      <w:r w:rsidRPr="00BB6220">
        <w:rPr>
          <w:lang w:eastAsia="en-NZ"/>
        </w:rPr>
        <w:t>ne</w:t>
      </w:r>
      <w:r w:rsidR="003D640C">
        <w:rPr>
          <w:lang w:eastAsia="en-NZ"/>
        </w:rPr>
        <w:t xml:space="preserve"> </w:t>
      </w:r>
      <w:r w:rsidRPr="00BB6220">
        <w:rPr>
          <w:lang w:eastAsia="en-NZ"/>
        </w:rPr>
        <w:t>survivor</w:t>
      </w:r>
      <w:r w:rsidR="003D640C">
        <w:rPr>
          <w:lang w:eastAsia="en-NZ"/>
        </w:rPr>
        <w:t xml:space="preserve"> </w:t>
      </w:r>
      <w:r w:rsidRPr="00BB6220">
        <w:rPr>
          <w:lang w:eastAsia="en-NZ"/>
        </w:rPr>
        <w:t>described</w:t>
      </w:r>
      <w:r w:rsidR="003D640C">
        <w:rPr>
          <w:lang w:eastAsia="en-NZ"/>
        </w:rPr>
        <w:t xml:space="preserve"> </w:t>
      </w:r>
      <w:r w:rsidR="00587482" w:rsidRPr="00BB6220">
        <w:rPr>
          <w:lang w:eastAsia="en-NZ"/>
        </w:rPr>
        <w:t>voluntarily</w:t>
      </w:r>
      <w:r w:rsidR="003D640C">
        <w:rPr>
          <w:lang w:eastAsia="en-NZ"/>
        </w:rPr>
        <w:t xml:space="preserve"> </w:t>
      </w:r>
      <w:r w:rsidR="00A000C1" w:rsidRPr="00BB6220">
        <w:rPr>
          <w:lang w:eastAsia="en-NZ"/>
        </w:rPr>
        <w:t>engaging</w:t>
      </w:r>
      <w:r w:rsidR="003D640C">
        <w:rPr>
          <w:lang w:eastAsia="en-NZ"/>
        </w:rPr>
        <w:t xml:space="preserve"> </w:t>
      </w:r>
      <w:r w:rsidR="008B2605" w:rsidRPr="00BB6220">
        <w:rPr>
          <w:lang w:eastAsia="en-NZ"/>
        </w:rPr>
        <w:t>in</w:t>
      </w:r>
      <w:r w:rsidR="003D640C">
        <w:rPr>
          <w:lang w:eastAsia="en-NZ"/>
        </w:rPr>
        <w:t xml:space="preserve"> </w:t>
      </w:r>
      <w:r w:rsidR="008B2605" w:rsidRPr="00BB6220">
        <w:rPr>
          <w:lang w:eastAsia="en-NZ"/>
        </w:rPr>
        <w:t>the</w:t>
      </w:r>
      <w:r w:rsidR="003D640C">
        <w:rPr>
          <w:lang w:eastAsia="en-NZ"/>
        </w:rPr>
        <w:t xml:space="preserve"> </w:t>
      </w:r>
      <w:r w:rsidR="008B2605" w:rsidRPr="00BB6220">
        <w:rPr>
          <w:lang w:eastAsia="en-NZ"/>
        </w:rPr>
        <w:t>practices</w:t>
      </w:r>
      <w:r w:rsidR="003D640C">
        <w:rPr>
          <w:lang w:eastAsia="en-NZ"/>
        </w:rPr>
        <w:t xml:space="preserve"> </w:t>
      </w:r>
      <w:r w:rsidR="00A83BE9" w:rsidRPr="00BB6220">
        <w:rPr>
          <w:lang w:eastAsia="en-NZ"/>
        </w:rPr>
        <w:t>so</w:t>
      </w:r>
      <w:r w:rsidR="003D640C">
        <w:rPr>
          <w:lang w:eastAsia="en-NZ"/>
        </w:rPr>
        <w:t xml:space="preserve"> </w:t>
      </w:r>
      <w:r w:rsidR="00A83BE9" w:rsidRPr="00BB6220">
        <w:rPr>
          <w:lang w:eastAsia="en-NZ"/>
        </w:rPr>
        <w:t>that</w:t>
      </w:r>
      <w:r w:rsidR="003D640C">
        <w:rPr>
          <w:lang w:eastAsia="en-NZ"/>
        </w:rPr>
        <w:t xml:space="preserve"> </w:t>
      </w:r>
      <w:r w:rsidR="00A83BE9" w:rsidRPr="00BB6220">
        <w:rPr>
          <w:lang w:eastAsia="en-NZ"/>
        </w:rPr>
        <w:t>they</w:t>
      </w:r>
      <w:r w:rsidR="003D640C">
        <w:rPr>
          <w:lang w:eastAsia="en-NZ"/>
        </w:rPr>
        <w:t xml:space="preserve"> </w:t>
      </w:r>
      <w:r w:rsidR="00A83BE9" w:rsidRPr="00BB6220">
        <w:rPr>
          <w:lang w:eastAsia="en-NZ"/>
        </w:rPr>
        <w:t>could</w:t>
      </w:r>
      <w:r w:rsidR="003D640C">
        <w:rPr>
          <w:lang w:eastAsia="en-NZ"/>
        </w:rPr>
        <w:t xml:space="preserve"> </w:t>
      </w:r>
      <w:r w:rsidR="00A83BE9" w:rsidRPr="00BB6220">
        <w:rPr>
          <w:lang w:eastAsia="en-NZ"/>
        </w:rPr>
        <w:t>“fully</w:t>
      </w:r>
      <w:r w:rsidR="003D640C">
        <w:rPr>
          <w:lang w:eastAsia="en-NZ"/>
        </w:rPr>
        <w:t xml:space="preserve"> </w:t>
      </w:r>
      <w:r w:rsidR="00A83BE9" w:rsidRPr="00BB6220">
        <w:rPr>
          <w:lang w:eastAsia="en-NZ"/>
        </w:rPr>
        <w:t>participate</w:t>
      </w:r>
      <w:r w:rsidR="003D640C">
        <w:rPr>
          <w:lang w:eastAsia="en-NZ"/>
        </w:rPr>
        <w:t xml:space="preserve"> </w:t>
      </w:r>
      <w:r w:rsidR="00A83BE9" w:rsidRPr="00BB6220">
        <w:rPr>
          <w:lang w:eastAsia="en-NZ"/>
        </w:rPr>
        <w:t>in</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church”</w:t>
      </w:r>
      <w:r w:rsidR="00970CFF">
        <w:rPr>
          <w:lang w:eastAsia="en-NZ"/>
        </w:rPr>
        <w:t>.</w:t>
      </w:r>
      <w:r w:rsidR="003D640C">
        <w:rPr>
          <w:lang w:eastAsia="en-NZ"/>
        </w:rPr>
        <w:t xml:space="preserve"> </w:t>
      </w:r>
      <w:r w:rsidR="008B2605" w:rsidRPr="00BB6220">
        <w:rPr>
          <w:lang w:eastAsia="en-NZ"/>
        </w:rPr>
        <w:t>O</w:t>
      </w:r>
      <w:r w:rsidR="00A83BE9" w:rsidRPr="00BB6220">
        <w:rPr>
          <w:lang w:eastAsia="en-NZ"/>
        </w:rPr>
        <w:t>thers</w:t>
      </w:r>
      <w:r w:rsidR="003D640C">
        <w:rPr>
          <w:lang w:eastAsia="en-NZ"/>
        </w:rPr>
        <w:t xml:space="preserve"> </w:t>
      </w:r>
      <w:r w:rsidR="00A83BE9" w:rsidRPr="00BB6220">
        <w:rPr>
          <w:lang w:eastAsia="en-NZ"/>
        </w:rPr>
        <w:t>feared</w:t>
      </w:r>
      <w:r w:rsidR="003D640C">
        <w:rPr>
          <w:lang w:eastAsia="en-NZ"/>
        </w:rPr>
        <w:t xml:space="preserve"> </w:t>
      </w:r>
      <w:r w:rsidR="00A83BE9" w:rsidRPr="00BB6220">
        <w:rPr>
          <w:lang w:eastAsia="en-NZ"/>
        </w:rPr>
        <w:t>l</w:t>
      </w:r>
      <w:r w:rsidR="00D82BE7" w:rsidRPr="00BB6220">
        <w:rPr>
          <w:lang w:eastAsia="en-NZ"/>
        </w:rPr>
        <w:t>osing</w:t>
      </w:r>
      <w:r w:rsidR="003D640C">
        <w:rPr>
          <w:lang w:eastAsia="en-NZ"/>
        </w:rPr>
        <w:t xml:space="preserve"> </w:t>
      </w:r>
      <w:r w:rsidR="00C7489F">
        <w:rPr>
          <w:lang w:eastAsia="en-NZ"/>
        </w:rPr>
        <w:t>whānau</w:t>
      </w:r>
      <w:r w:rsidR="003D640C">
        <w:rPr>
          <w:lang w:eastAsia="en-NZ"/>
        </w:rPr>
        <w:t xml:space="preserve"> </w:t>
      </w:r>
      <w:r w:rsidR="00C7489F">
        <w:rPr>
          <w:lang w:eastAsia="en-NZ"/>
        </w:rPr>
        <w:t>or</w:t>
      </w:r>
      <w:r w:rsidR="003D640C">
        <w:rPr>
          <w:lang w:eastAsia="en-NZ"/>
        </w:rPr>
        <w:t xml:space="preserve"> </w:t>
      </w:r>
      <w:r w:rsidR="00A83BE9" w:rsidRPr="00BB6220">
        <w:rPr>
          <w:lang w:eastAsia="en-NZ"/>
        </w:rPr>
        <w:t>family</w:t>
      </w:r>
      <w:r w:rsidR="003D640C">
        <w:rPr>
          <w:lang w:eastAsia="en-NZ"/>
        </w:rPr>
        <w:t xml:space="preserve"> </w:t>
      </w:r>
      <w:r w:rsidR="00A83BE9" w:rsidRPr="00BB6220">
        <w:rPr>
          <w:lang w:eastAsia="en-NZ"/>
        </w:rPr>
        <w:t>relationships</w:t>
      </w:r>
      <w:r w:rsidR="003D640C">
        <w:rPr>
          <w:lang w:eastAsia="en-NZ"/>
        </w:rPr>
        <w:t xml:space="preserve"> </w:t>
      </w:r>
      <w:r w:rsidR="00A83BE9" w:rsidRPr="00BB6220">
        <w:rPr>
          <w:lang w:eastAsia="en-NZ"/>
        </w:rPr>
        <w:t>if</w:t>
      </w:r>
      <w:r w:rsidR="003D640C">
        <w:rPr>
          <w:lang w:eastAsia="en-NZ"/>
        </w:rPr>
        <w:t xml:space="preserve"> </w:t>
      </w:r>
      <w:r w:rsidR="00A83BE9" w:rsidRPr="00BB6220">
        <w:rPr>
          <w:lang w:eastAsia="en-NZ"/>
        </w:rPr>
        <w:t>they</w:t>
      </w:r>
      <w:r w:rsidR="003D640C">
        <w:rPr>
          <w:lang w:eastAsia="en-NZ"/>
        </w:rPr>
        <w:t xml:space="preserve"> </w:t>
      </w:r>
      <w:r w:rsidR="00A83BE9" w:rsidRPr="00BB6220">
        <w:rPr>
          <w:lang w:eastAsia="en-NZ"/>
        </w:rPr>
        <w:t>did</w:t>
      </w:r>
      <w:r w:rsidR="003D640C">
        <w:rPr>
          <w:lang w:eastAsia="en-NZ"/>
        </w:rPr>
        <w:t xml:space="preserve"> </w:t>
      </w:r>
      <w:r w:rsidR="00A83BE9" w:rsidRPr="00BB6220">
        <w:rPr>
          <w:lang w:eastAsia="en-NZ"/>
        </w:rPr>
        <w:t>n</w:t>
      </w:r>
      <w:r w:rsidR="00027A7E" w:rsidRPr="00BB6220">
        <w:rPr>
          <w:lang w:eastAsia="en-NZ"/>
        </w:rPr>
        <w:t>o</w:t>
      </w:r>
      <w:r w:rsidR="00A83BE9" w:rsidRPr="00BB6220">
        <w:rPr>
          <w:lang w:eastAsia="en-NZ"/>
        </w:rPr>
        <w:t>t</w:t>
      </w:r>
      <w:r w:rsidR="003D640C">
        <w:rPr>
          <w:lang w:eastAsia="en-NZ"/>
        </w:rPr>
        <w:t xml:space="preserve"> </w:t>
      </w:r>
      <w:r w:rsidR="00A83BE9" w:rsidRPr="00BB6220">
        <w:rPr>
          <w:lang w:eastAsia="en-NZ"/>
        </w:rPr>
        <w:t>participate.</w:t>
      </w:r>
      <w:r w:rsidR="003D640C">
        <w:rPr>
          <w:lang w:eastAsia="en-NZ"/>
        </w:rPr>
        <w:t xml:space="preserve"> </w:t>
      </w:r>
      <w:r w:rsidR="00383FDF" w:rsidRPr="00BB6220">
        <w:rPr>
          <w:lang w:eastAsia="en-NZ"/>
        </w:rPr>
        <w:t>Like</w:t>
      </w:r>
      <w:r w:rsidR="003D640C">
        <w:rPr>
          <w:lang w:eastAsia="en-NZ"/>
        </w:rPr>
        <w:t xml:space="preserve"> </w:t>
      </w:r>
      <w:r w:rsidR="00383FDF" w:rsidRPr="00BB6220">
        <w:rPr>
          <w:lang w:eastAsia="en-NZ"/>
        </w:rPr>
        <w:t>survivors</w:t>
      </w:r>
      <w:r w:rsidR="003D640C">
        <w:rPr>
          <w:lang w:eastAsia="en-NZ"/>
        </w:rPr>
        <w:t xml:space="preserve"> </w:t>
      </w:r>
      <w:r w:rsidR="001F20B0" w:rsidRPr="00BB6220">
        <w:rPr>
          <w:lang w:eastAsia="en-NZ"/>
        </w:rPr>
        <w:t>from</w:t>
      </w:r>
      <w:r w:rsidR="003D640C">
        <w:rPr>
          <w:lang w:eastAsia="en-NZ"/>
        </w:rPr>
        <w:t xml:space="preserve"> </w:t>
      </w:r>
      <w:r w:rsidR="001F20B0" w:rsidRPr="00BB6220">
        <w:rPr>
          <w:lang w:eastAsia="en-NZ"/>
        </w:rPr>
        <w:t>other</w:t>
      </w:r>
      <w:r w:rsidR="003D640C">
        <w:rPr>
          <w:lang w:eastAsia="en-NZ"/>
        </w:rPr>
        <w:t xml:space="preserve"> </w:t>
      </w:r>
      <w:r w:rsidR="001F20B0" w:rsidRPr="00BB6220">
        <w:rPr>
          <w:lang w:eastAsia="en-NZ"/>
        </w:rPr>
        <w:t>ethnicities,</w:t>
      </w:r>
      <w:r w:rsidR="003D640C">
        <w:rPr>
          <w:lang w:eastAsia="en-NZ"/>
        </w:rPr>
        <w:t xml:space="preserve"> </w:t>
      </w:r>
      <w:r w:rsidR="001F20B0" w:rsidRPr="00BB6220">
        <w:rPr>
          <w:lang w:eastAsia="en-NZ"/>
        </w:rPr>
        <w:t>Māori</w:t>
      </w:r>
      <w:r w:rsidR="003D640C">
        <w:rPr>
          <w:lang w:eastAsia="en-NZ"/>
        </w:rPr>
        <w:t xml:space="preserve"> </w:t>
      </w:r>
      <w:r w:rsidR="001F20B0" w:rsidRPr="00BB6220">
        <w:rPr>
          <w:lang w:eastAsia="en-NZ"/>
        </w:rPr>
        <w:t>survivors</w:t>
      </w:r>
      <w:r w:rsidR="003D640C">
        <w:rPr>
          <w:lang w:eastAsia="en-NZ"/>
        </w:rPr>
        <w:t xml:space="preserve"> </w:t>
      </w:r>
      <w:r w:rsidR="00A000C1" w:rsidRPr="00BB6220">
        <w:rPr>
          <w:lang w:eastAsia="en-NZ"/>
        </w:rPr>
        <w:t>had</w:t>
      </w:r>
      <w:r w:rsidR="003D640C">
        <w:rPr>
          <w:lang w:eastAsia="en-NZ"/>
        </w:rPr>
        <w:t xml:space="preserve"> </w:t>
      </w:r>
      <w:r w:rsidR="00A000C1" w:rsidRPr="00BB6220">
        <w:rPr>
          <w:lang w:eastAsia="en-NZ"/>
        </w:rPr>
        <w:t>differing</w:t>
      </w:r>
      <w:r w:rsidR="003D640C">
        <w:rPr>
          <w:lang w:eastAsia="en-NZ"/>
        </w:rPr>
        <w:t xml:space="preserve"> </w:t>
      </w:r>
      <w:r w:rsidR="00A000C1" w:rsidRPr="00BB6220">
        <w:rPr>
          <w:lang w:eastAsia="en-NZ"/>
        </w:rPr>
        <w:t>feelings</w:t>
      </w:r>
      <w:r w:rsidR="003D640C">
        <w:rPr>
          <w:lang w:eastAsia="en-NZ"/>
        </w:rPr>
        <w:t xml:space="preserve"> </w:t>
      </w:r>
      <w:r w:rsidR="00A000C1" w:rsidRPr="00BB6220">
        <w:rPr>
          <w:lang w:eastAsia="en-NZ"/>
        </w:rPr>
        <w:t>about</w:t>
      </w:r>
      <w:r w:rsidR="003D640C">
        <w:rPr>
          <w:lang w:eastAsia="en-NZ"/>
        </w:rPr>
        <w:t xml:space="preserve"> </w:t>
      </w:r>
      <w:r w:rsidR="00587482" w:rsidRPr="00BB6220">
        <w:rPr>
          <w:lang w:eastAsia="en-NZ"/>
        </w:rPr>
        <w:t>public</w:t>
      </w:r>
      <w:r w:rsidR="00335E01" w:rsidRPr="00BB6220">
        <w:rPr>
          <w:lang w:eastAsia="en-NZ"/>
        </w:rPr>
        <w:t>ising</w:t>
      </w:r>
      <w:r w:rsidR="003D640C">
        <w:rPr>
          <w:lang w:eastAsia="en-NZ"/>
        </w:rPr>
        <w:t xml:space="preserve"> </w:t>
      </w:r>
      <w:r w:rsidR="00587482" w:rsidRPr="00BB6220">
        <w:rPr>
          <w:lang w:eastAsia="en-NZ"/>
        </w:rPr>
        <w:t>their</w:t>
      </w:r>
      <w:r w:rsidR="003D640C">
        <w:rPr>
          <w:lang w:eastAsia="en-NZ"/>
        </w:rPr>
        <w:t xml:space="preserve"> </w:t>
      </w:r>
      <w:r w:rsidR="00587482" w:rsidRPr="00BB6220">
        <w:rPr>
          <w:lang w:eastAsia="en-NZ"/>
        </w:rPr>
        <w:t>experience</w:t>
      </w:r>
      <w:r w:rsidR="003D640C">
        <w:rPr>
          <w:lang w:eastAsia="en-NZ"/>
        </w:rPr>
        <w:t xml:space="preserve"> </w:t>
      </w:r>
      <w:r w:rsidR="00D82BE7" w:rsidRPr="00BB6220">
        <w:rPr>
          <w:lang w:eastAsia="en-NZ"/>
        </w:rPr>
        <w:t>after</w:t>
      </w:r>
      <w:r w:rsidR="003D640C">
        <w:rPr>
          <w:lang w:eastAsia="en-NZ"/>
        </w:rPr>
        <w:t xml:space="preserve"> </w:t>
      </w:r>
      <w:r w:rsidR="00587482" w:rsidRPr="00BB6220">
        <w:rPr>
          <w:lang w:eastAsia="en-NZ"/>
        </w:rPr>
        <w:t>leaving</w:t>
      </w:r>
      <w:r w:rsidR="003D640C">
        <w:rPr>
          <w:lang w:eastAsia="en-NZ"/>
        </w:rPr>
        <w:t xml:space="preserve"> </w:t>
      </w:r>
      <w:r w:rsidR="00587482" w:rsidRPr="00BB6220">
        <w:rPr>
          <w:lang w:eastAsia="en-NZ"/>
        </w:rPr>
        <w:t>the</w:t>
      </w:r>
      <w:r w:rsidR="003D640C">
        <w:rPr>
          <w:lang w:eastAsia="en-NZ"/>
        </w:rPr>
        <w:t xml:space="preserve"> </w:t>
      </w:r>
      <w:r w:rsidR="00587482" w:rsidRPr="00BB6220">
        <w:rPr>
          <w:lang w:eastAsia="en-NZ"/>
        </w:rPr>
        <w:t>practices.</w:t>
      </w:r>
      <w:r w:rsidR="003D640C">
        <w:rPr>
          <w:lang w:eastAsia="en-NZ"/>
        </w:rPr>
        <w:t xml:space="preserve"> </w:t>
      </w:r>
      <w:r w:rsidR="00A83BE9" w:rsidRPr="00BB6220">
        <w:rPr>
          <w:lang w:eastAsia="en-NZ"/>
        </w:rPr>
        <w:t>One</w:t>
      </w:r>
      <w:r w:rsidR="003D640C">
        <w:rPr>
          <w:lang w:eastAsia="en-NZ"/>
        </w:rPr>
        <w:t xml:space="preserve"> </w:t>
      </w:r>
      <w:r w:rsidR="00A83BE9" w:rsidRPr="00BB6220">
        <w:rPr>
          <w:lang w:eastAsia="en-NZ"/>
        </w:rPr>
        <w:t>survivor</w:t>
      </w:r>
      <w:r w:rsidR="003D640C">
        <w:rPr>
          <w:lang w:eastAsia="en-NZ"/>
        </w:rPr>
        <w:t xml:space="preserve"> </w:t>
      </w:r>
      <w:r w:rsidR="00A83BE9" w:rsidRPr="00BB6220">
        <w:rPr>
          <w:lang w:eastAsia="en-NZ"/>
        </w:rPr>
        <w:t>wanted</w:t>
      </w:r>
      <w:r w:rsidR="003D640C">
        <w:rPr>
          <w:lang w:eastAsia="en-NZ"/>
        </w:rPr>
        <w:t xml:space="preserve"> </w:t>
      </w:r>
      <w:r w:rsidR="00A83BE9" w:rsidRPr="00BB6220">
        <w:rPr>
          <w:lang w:eastAsia="en-NZ"/>
        </w:rPr>
        <w:t>“people</w:t>
      </w:r>
      <w:r w:rsidR="003D640C">
        <w:rPr>
          <w:lang w:eastAsia="en-NZ"/>
        </w:rPr>
        <w:t xml:space="preserve"> </w:t>
      </w:r>
      <w:r w:rsidR="00A83BE9" w:rsidRPr="00BB6220">
        <w:rPr>
          <w:lang w:eastAsia="en-NZ"/>
        </w:rPr>
        <w:t>to</w:t>
      </w:r>
      <w:r w:rsidR="003D640C">
        <w:rPr>
          <w:lang w:eastAsia="en-NZ"/>
        </w:rPr>
        <w:t xml:space="preserve"> </w:t>
      </w:r>
      <w:r w:rsidR="00A83BE9" w:rsidRPr="00BB6220">
        <w:rPr>
          <w:lang w:eastAsia="en-NZ"/>
        </w:rPr>
        <w:t>recognise</w:t>
      </w:r>
      <w:r w:rsidR="003D640C">
        <w:rPr>
          <w:lang w:eastAsia="en-NZ"/>
        </w:rPr>
        <w:t xml:space="preserve"> </w:t>
      </w:r>
      <w:r w:rsidR="00A83BE9" w:rsidRPr="00BB6220">
        <w:rPr>
          <w:lang w:eastAsia="en-NZ"/>
        </w:rPr>
        <w:t>that</w:t>
      </w:r>
      <w:r w:rsidR="003D640C">
        <w:rPr>
          <w:lang w:eastAsia="en-NZ"/>
        </w:rPr>
        <w:t xml:space="preserve"> </w:t>
      </w:r>
      <w:r w:rsidR="00A83BE9" w:rsidRPr="00BB6220">
        <w:rPr>
          <w:lang w:eastAsia="en-NZ"/>
        </w:rPr>
        <w:t>a</w:t>
      </w:r>
      <w:r w:rsidR="003D640C">
        <w:rPr>
          <w:lang w:eastAsia="en-NZ"/>
        </w:rPr>
        <w:t xml:space="preserve"> </w:t>
      </w:r>
      <w:r w:rsidR="00A83BE9" w:rsidRPr="00BB6220">
        <w:rPr>
          <w:lang w:eastAsia="en-NZ"/>
        </w:rPr>
        <w:t>cult</w:t>
      </w:r>
      <w:r w:rsidR="003D640C">
        <w:rPr>
          <w:lang w:eastAsia="en-NZ"/>
        </w:rPr>
        <w:t xml:space="preserve"> </w:t>
      </w:r>
      <w:r w:rsidR="00A83BE9" w:rsidRPr="00BB6220">
        <w:rPr>
          <w:lang w:eastAsia="en-NZ"/>
        </w:rPr>
        <w:t>put</w:t>
      </w:r>
      <w:r w:rsidR="003D640C">
        <w:rPr>
          <w:lang w:eastAsia="en-NZ"/>
        </w:rPr>
        <w:t xml:space="preserve"> </w:t>
      </w:r>
      <w:r w:rsidR="00FD2EC6" w:rsidRPr="00BB6220">
        <w:rPr>
          <w:lang w:eastAsia="en-NZ"/>
        </w:rPr>
        <w:t>[</w:t>
      </w:r>
      <w:r w:rsidR="00A83BE9" w:rsidRPr="00BB6220">
        <w:rPr>
          <w:lang w:eastAsia="en-NZ"/>
        </w:rPr>
        <w:t>them</w:t>
      </w:r>
      <w:r w:rsidR="00FD2EC6" w:rsidRPr="00BB6220">
        <w:rPr>
          <w:lang w:eastAsia="en-NZ"/>
        </w:rPr>
        <w:t>]</w:t>
      </w:r>
      <w:r w:rsidR="003D640C">
        <w:rPr>
          <w:lang w:eastAsia="en-NZ"/>
        </w:rPr>
        <w:t xml:space="preserve"> </w:t>
      </w:r>
      <w:r w:rsidR="00A83BE9" w:rsidRPr="00BB6220">
        <w:rPr>
          <w:lang w:eastAsia="en-NZ"/>
        </w:rPr>
        <w:t>through</w:t>
      </w:r>
      <w:r w:rsidR="003D640C">
        <w:rPr>
          <w:lang w:eastAsia="en-NZ"/>
        </w:rPr>
        <w:t xml:space="preserve"> </w:t>
      </w:r>
      <w:r w:rsidR="00A83BE9" w:rsidRPr="00BB6220">
        <w:rPr>
          <w:lang w:eastAsia="en-NZ"/>
        </w:rPr>
        <w:t>evil</w:t>
      </w:r>
      <w:r w:rsidR="003D640C">
        <w:rPr>
          <w:lang w:eastAsia="en-NZ"/>
        </w:rPr>
        <w:t xml:space="preserve"> </w:t>
      </w:r>
      <w:r w:rsidR="00A83BE9" w:rsidRPr="00BB6220">
        <w:rPr>
          <w:lang w:eastAsia="en-NZ"/>
        </w:rPr>
        <w:t>shit</w:t>
      </w:r>
      <w:r w:rsidR="00C36F9C">
        <w:rPr>
          <w:lang w:eastAsia="en-NZ"/>
        </w:rPr>
        <w:t>.</w:t>
      </w:r>
      <w:r w:rsidR="00A83BE9" w:rsidRPr="00BB6220">
        <w:rPr>
          <w:lang w:eastAsia="en-NZ"/>
        </w:rPr>
        <w:t>”</w:t>
      </w:r>
      <w:r w:rsidR="003D640C">
        <w:rPr>
          <w:lang w:eastAsia="en-NZ"/>
        </w:rPr>
        <w:t xml:space="preserve"> </w:t>
      </w:r>
      <w:r w:rsidR="008B2605" w:rsidRPr="00BB6220">
        <w:rPr>
          <w:lang w:eastAsia="en-NZ"/>
        </w:rPr>
        <w:t>A</w:t>
      </w:r>
      <w:r w:rsidR="00A83BE9" w:rsidRPr="00BB6220">
        <w:rPr>
          <w:lang w:eastAsia="en-NZ"/>
        </w:rPr>
        <w:t>nother</w:t>
      </w:r>
      <w:r w:rsidR="003D640C">
        <w:rPr>
          <w:lang w:eastAsia="en-NZ"/>
        </w:rPr>
        <w:t xml:space="preserve"> </w:t>
      </w:r>
      <w:r w:rsidR="4887AE37" w:rsidRPr="00BB6220">
        <w:rPr>
          <w:lang w:eastAsia="en-NZ"/>
        </w:rPr>
        <w:t>preferred</w:t>
      </w:r>
      <w:r w:rsidR="003D640C">
        <w:rPr>
          <w:lang w:eastAsia="en-NZ"/>
        </w:rPr>
        <w:t xml:space="preserve"> </w:t>
      </w:r>
      <w:r w:rsidR="00A83BE9" w:rsidRPr="00BB6220">
        <w:rPr>
          <w:lang w:eastAsia="en-NZ"/>
        </w:rPr>
        <w:t>to</w:t>
      </w:r>
      <w:r w:rsidR="003D640C">
        <w:rPr>
          <w:lang w:eastAsia="en-NZ"/>
        </w:rPr>
        <w:t xml:space="preserve"> </w:t>
      </w:r>
      <w:r w:rsidR="00A83BE9" w:rsidRPr="00BB6220">
        <w:rPr>
          <w:lang w:eastAsia="en-NZ"/>
        </w:rPr>
        <w:t>not</w:t>
      </w:r>
      <w:r w:rsidR="003D640C">
        <w:rPr>
          <w:lang w:eastAsia="en-NZ"/>
        </w:rPr>
        <w:t xml:space="preserve"> </w:t>
      </w:r>
      <w:r w:rsidR="00A83BE9" w:rsidRPr="00BB6220">
        <w:rPr>
          <w:lang w:eastAsia="en-NZ"/>
        </w:rPr>
        <w:t>explicitly</w:t>
      </w:r>
      <w:r w:rsidR="003D640C">
        <w:rPr>
          <w:lang w:eastAsia="en-NZ"/>
        </w:rPr>
        <w:t xml:space="preserve"> </w:t>
      </w:r>
      <w:r w:rsidR="00A83BE9" w:rsidRPr="00BB6220">
        <w:rPr>
          <w:lang w:eastAsia="en-NZ"/>
        </w:rPr>
        <w:t>call</w:t>
      </w:r>
      <w:r w:rsidR="003D640C">
        <w:rPr>
          <w:lang w:eastAsia="en-NZ"/>
        </w:rPr>
        <w:t xml:space="preserve"> </w:t>
      </w:r>
      <w:r w:rsidR="00A83BE9" w:rsidRPr="00BB6220">
        <w:rPr>
          <w:lang w:eastAsia="en-NZ"/>
        </w:rPr>
        <w:t>out</w:t>
      </w:r>
      <w:r w:rsidR="003D640C">
        <w:rPr>
          <w:lang w:eastAsia="en-NZ"/>
        </w:rPr>
        <w:t xml:space="preserve"> </w:t>
      </w:r>
      <w:r w:rsidR="6A41DF8C" w:rsidRPr="00BB6220">
        <w:rPr>
          <w:lang w:eastAsia="en-NZ"/>
        </w:rPr>
        <w:t>those</w:t>
      </w:r>
      <w:r w:rsidR="003D640C">
        <w:rPr>
          <w:lang w:eastAsia="en-NZ"/>
        </w:rPr>
        <w:t xml:space="preserve"> </w:t>
      </w:r>
      <w:r w:rsidR="00A83BE9" w:rsidRPr="00BB6220">
        <w:rPr>
          <w:lang w:eastAsia="en-NZ"/>
        </w:rPr>
        <w:t>who</w:t>
      </w:r>
      <w:r w:rsidR="003D640C">
        <w:rPr>
          <w:lang w:eastAsia="en-NZ"/>
        </w:rPr>
        <w:t xml:space="preserve"> </w:t>
      </w:r>
      <w:r w:rsidR="00A83BE9" w:rsidRPr="00BB6220">
        <w:rPr>
          <w:lang w:eastAsia="en-NZ"/>
        </w:rPr>
        <w:t>had</w:t>
      </w:r>
      <w:r w:rsidR="003D640C">
        <w:rPr>
          <w:lang w:eastAsia="en-NZ"/>
        </w:rPr>
        <w:t xml:space="preserve"> </w:t>
      </w:r>
      <w:r w:rsidR="00A83BE9" w:rsidRPr="00BB6220">
        <w:rPr>
          <w:lang w:eastAsia="en-NZ"/>
        </w:rPr>
        <w:t>put</w:t>
      </w:r>
      <w:r w:rsidR="003D640C">
        <w:rPr>
          <w:lang w:eastAsia="en-NZ"/>
        </w:rPr>
        <w:t xml:space="preserve"> </w:t>
      </w:r>
      <w:r w:rsidR="00A83BE9" w:rsidRPr="00BB6220">
        <w:rPr>
          <w:lang w:eastAsia="en-NZ"/>
        </w:rPr>
        <w:t>them</w:t>
      </w:r>
      <w:r w:rsidR="003D640C">
        <w:rPr>
          <w:lang w:eastAsia="en-NZ"/>
        </w:rPr>
        <w:t xml:space="preserve"> </w:t>
      </w:r>
      <w:r w:rsidR="00A83BE9" w:rsidRPr="00BB6220">
        <w:rPr>
          <w:lang w:eastAsia="en-NZ"/>
        </w:rPr>
        <w:t>through</w:t>
      </w:r>
      <w:r w:rsidR="003D640C">
        <w:rPr>
          <w:lang w:eastAsia="en-NZ"/>
        </w:rPr>
        <w:t xml:space="preserve"> </w:t>
      </w:r>
      <w:r w:rsidR="00A83BE9" w:rsidRPr="00BB6220">
        <w:rPr>
          <w:lang w:eastAsia="en-NZ"/>
        </w:rPr>
        <w:t>conversion</w:t>
      </w:r>
      <w:r w:rsidR="003D640C">
        <w:rPr>
          <w:lang w:eastAsia="en-NZ"/>
        </w:rPr>
        <w:t xml:space="preserve"> </w:t>
      </w:r>
      <w:r w:rsidR="00A83BE9" w:rsidRPr="00BB6220">
        <w:rPr>
          <w:lang w:eastAsia="en-NZ"/>
        </w:rPr>
        <w:t>practices.</w:t>
      </w:r>
    </w:p>
    <w:p w14:paraId="54902C06" w14:textId="795FDF1B" w:rsidR="00076EF1" w:rsidRPr="00D332D9" w:rsidRDefault="00A83BE9" w:rsidP="00911B63">
      <w:pPr>
        <w:pStyle w:val="Heading2"/>
      </w:pPr>
      <w:bookmarkStart w:id="235" w:name="_Toc138343825"/>
      <w:bookmarkStart w:id="236" w:name="_Toc167780609"/>
      <w:bookmarkStart w:id="237" w:name="_Toc848198737"/>
      <w:bookmarkStart w:id="238" w:name="_Toc174628668"/>
      <w:r w:rsidRPr="00BB6220">
        <w:t>Preventi</w:t>
      </w:r>
      <w:r w:rsidR="003C7EA6" w:rsidRPr="00BB6220">
        <w:t>ng</w:t>
      </w:r>
      <w:r w:rsidR="003D640C">
        <w:t xml:space="preserve"> </w:t>
      </w:r>
      <w:r w:rsidR="003C7EA6" w:rsidRPr="00BB6220">
        <w:t>conversion</w:t>
      </w:r>
      <w:r w:rsidR="003D640C">
        <w:t xml:space="preserve"> </w:t>
      </w:r>
      <w:r w:rsidR="003C7EA6" w:rsidRPr="00BB6220">
        <w:t>practices</w:t>
      </w:r>
      <w:r w:rsidR="003D640C">
        <w:t xml:space="preserve"> </w:t>
      </w:r>
      <w:r w:rsidRPr="00BB6220">
        <w:t>and</w:t>
      </w:r>
      <w:r w:rsidR="003D640C">
        <w:t xml:space="preserve"> </w:t>
      </w:r>
      <w:bookmarkEnd w:id="235"/>
      <w:r w:rsidR="00587482" w:rsidRPr="00BB6220">
        <w:t>affirm</w:t>
      </w:r>
      <w:r w:rsidR="003C7EA6" w:rsidRPr="00BB6220">
        <w:t>ing</w:t>
      </w:r>
      <w:r w:rsidR="003D640C">
        <w:t xml:space="preserve"> </w:t>
      </w:r>
      <w:r w:rsidR="00DB7795" w:rsidRPr="00BB6220">
        <w:t>takat</w:t>
      </w:r>
      <w:r w:rsidR="00DB7795" w:rsidRPr="00D332D9">
        <w:t>ā</w:t>
      </w:r>
      <w:r w:rsidR="00DB7795" w:rsidRPr="00BB6220">
        <w:t>pui</w:t>
      </w:r>
      <w:r w:rsidR="003D640C">
        <w:t xml:space="preserve"> </w:t>
      </w:r>
      <w:r w:rsidR="00371B82" w:rsidRPr="00BB6220">
        <w:t>and</w:t>
      </w:r>
      <w:r w:rsidR="00371B82">
        <w:t xml:space="preserve"> Rainbow </w:t>
      </w:r>
      <w:r w:rsidR="00DB7795" w:rsidRPr="00BB6220">
        <w:t>M</w:t>
      </w:r>
      <w:r w:rsidR="00DB7795" w:rsidRPr="00D332D9">
        <w:t>ā</w:t>
      </w:r>
      <w:r w:rsidR="00DB7795" w:rsidRPr="00BB6220">
        <w:t>ori</w:t>
      </w:r>
      <w:bookmarkEnd w:id="236"/>
      <w:bookmarkEnd w:id="237"/>
      <w:bookmarkEnd w:id="238"/>
      <w:r w:rsidR="003D640C">
        <w:t xml:space="preserve"> </w:t>
      </w:r>
    </w:p>
    <w:p w14:paraId="0286238D" w14:textId="52DF2CAC" w:rsidR="00501068" w:rsidRDefault="00371B82" w:rsidP="00747446">
      <w:pPr>
        <w:rPr>
          <w:lang w:eastAsia="en-NZ"/>
        </w:rPr>
      </w:pPr>
      <w:r>
        <w:rPr>
          <w:lang w:eastAsia="en-NZ"/>
        </w:rPr>
        <w:t>T</w:t>
      </w:r>
      <w:r w:rsidRPr="30ECBFB6">
        <w:rPr>
          <w:lang w:eastAsia="en-NZ"/>
        </w:rPr>
        <w:t>akatāpui</w:t>
      </w:r>
      <w:r>
        <w:rPr>
          <w:lang w:eastAsia="en-NZ"/>
        </w:rPr>
        <w:t xml:space="preserve"> </w:t>
      </w:r>
      <w:r w:rsidR="3701B832" w:rsidRPr="30ECBFB6">
        <w:rPr>
          <w:lang w:eastAsia="en-NZ"/>
        </w:rPr>
        <w:t>and</w:t>
      </w:r>
      <w:r w:rsidR="003D640C">
        <w:rPr>
          <w:lang w:eastAsia="en-NZ"/>
        </w:rPr>
        <w:t xml:space="preserve"> </w:t>
      </w:r>
      <w:r w:rsidRPr="30ECBFB6">
        <w:rPr>
          <w:lang w:eastAsia="en-NZ"/>
        </w:rPr>
        <w:t>Rainbow</w:t>
      </w:r>
      <w:r>
        <w:rPr>
          <w:lang w:eastAsia="en-NZ"/>
        </w:rPr>
        <w:t xml:space="preserve"> </w:t>
      </w:r>
      <w:r w:rsidR="3701B832" w:rsidRPr="30ECBFB6">
        <w:rPr>
          <w:lang w:eastAsia="en-NZ"/>
        </w:rPr>
        <w:t>Māori</w:t>
      </w:r>
      <w:r w:rsidR="003D640C">
        <w:rPr>
          <w:lang w:eastAsia="en-NZ"/>
        </w:rPr>
        <w:t xml:space="preserve"> </w:t>
      </w:r>
      <w:r w:rsidR="3701B832" w:rsidRPr="30ECBFB6">
        <w:rPr>
          <w:lang w:eastAsia="en-NZ"/>
        </w:rPr>
        <w:t>have</w:t>
      </w:r>
      <w:r w:rsidR="003D640C">
        <w:rPr>
          <w:lang w:eastAsia="en-NZ"/>
        </w:rPr>
        <w:t xml:space="preserve"> </w:t>
      </w:r>
      <w:r w:rsidR="3701B832" w:rsidRPr="30ECBFB6">
        <w:rPr>
          <w:lang w:eastAsia="en-NZ"/>
        </w:rPr>
        <w:t>been</w:t>
      </w:r>
      <w:r w:rsidR="00970CFF">
        <w:rPr>
          <w:lang w:eastAsia="en-NZ"/>
        </w:rPr>
        <w:t xml:space="preserve"> –</w:t>
      </w:r>
      <w:r w:rsidR="003D640C">
        <w:rPr>
          <w:lang w:eastAsia="en-NZ"/>
        </w:rPr>
        <w:t xml:space="preserve"> </w:t>
      </w:r>
      <w:r w:rsidR="3701B832" w:rsidRPr="30ECBFB6">
        <w:rPr>
          <w:lang w:eastAsia="en-NZ"/>
        </w:rPr>
        <w:t>and</w:t>
      </w:r>
      <w:r w:rsidR="003D640C">
        <w:rPr>
          <w:lang w:eastAsia="en-NZ"/>
        </w:rPr>
        <w:t xml:space="preserve"> </w:t>
      </w:r>
      <w:r w:rsidR="3701B832" w:rsidRPr="30ECBFB6">
        <w:rPr>
          <w:lang w:eastAsia="en-NZ"/>
        </w:rPr>
        <w:t>continue</w:t>
      </w:r>
      <w:r w:rsidR="003D640C">
        <w:rPr>
          <w:lang w:eastAsia="en-NZ"/>
        </w:rPr>
        <w:t xml:space="preserve"> </w:t>
      </w:r>
      <w:r w:rsidR="3701B832" w:rsidRPr="30ECBFB6">
        <w:rPr>
          <w:lang w:eastAsia="en-NZ"/>
        </w:rPr>
        <w:t>to</w:t>
      </w:r>
      <w:r w:rsidR="003D640C">
        <w:rPr>
          <w:lang w:eastAsia="en-NZ"/>
        </w:rPr>
        <w:t xml:space="preserve"> </w:t>
      </w:r>
      <w:r w:rsidR="3701B832" w:rsidRPr="30ECBFB6">
        <w:rPr>
          <w:lang w:eastAsia="en-NZ"/>
        </w:rPr>
        <w:t>be</w:t>
      </w:r>
      <w:r w:rsidR="00970CFF">
        <w:rPr>
          <w:lang w:eastAsia="en-NZ"/>
        </w:rPr>
        <w:t xml:space="preserve"> –</w:t>
      </w:r>
      <w:r w:rsidR="003D640C">
        <w:rPr>
          <w:lang w:eastAsia="en-NZ"/>
        </w:rPr>
        <w:t xml:space="preserve"> </w:t>
      </w:r>
      <w:r w:rsidR="3701B832" w:rsidRPr="30ECBFB6">
        <w:rPr>
          <w:lang w:eastAsia="en-NZ"/>
        </w:rPr>
        <w:t>leaders</w:t>
      </w:r>
      <w:r w:rsidR="003D640C">
        <w:rPr>
          <w:lang w:eastAsia="en-NZ"/>
        </w:rPr>
        <w:t xml:space="preserve"> </w:t>
      </w:r>
      <w:r w:rsidR="3701B832" w:rsidRPr="30ECBFB6">
        <w:rPr>
          <w:lang w:eastAsia="en-NZ"/>
        </w:rPr>
        <w:t>in</w:t>
      </w:r>
      <w:r w:rsidR="003D640C">
        <w:rPr>
          <w:lang w:eastAsia="en-NZ"/>
        </w:rPr>
        <w:t xml:space="preserve"> </w:t>
      </w:r>
      <w:r w:rsidR="3701B832" w:rsidRPr="30ECBFB6">
        <w:rPr>
          <w:lang w:eastAsia="en-NZ"/>
        </w:rPr>
        <w:t>queer</w:t>
      </w:r>
      <w:r w:rsidR="003D640C">
        <w:rPr>
          <w:lang w:eastAsia="en-NZ"/>
        </w:rPr>
        <w:t xml:space="preserve"> </w:t>
      </w:r>
      <w:r w:rsidR="3701B832" w:rsidRPr="30ECBFB6">
        <w:rPr>
          <w:lang w:eastAsia="en-NZ"/>
        </w:rPr>
        <w:t>advocacy</w:t>
      </w:r>
      <w:r w:rsidR="003D640C">
        <w:rPr>
          <w:lang w:eastAsia="en-NZ"/>
        </w:rPr>
        <w:t xml:space="preserve"> </w:t>
      </w:r>
      <w:r w:rsidR="3701B832" w:rsidRPr="30ECBFB6">
        <w:rPr>
          <w:lang w:eastAsia="en-NZ"/>
        </w:rPr>
        <w:t>and</w:t>
      </w:r>
      <w:r w:rsidR="003D640C">
        <w:rPr>
          <w:lang w:eastAsia="en-NZ"/>
        </w:rPr>
        <w:t xml:space="preserve"> </w:t>
      </w:r>
      <w:r w:rsidR="3701B832" w:rsidRPr="30ECBFB6">
        <w:rPr>
          <w:lang w:eastAsia="en-NZ"/>
        </w:rPr>
        <w:t>activism</w:t>
      </w:r>
      <w:r w:rsidR="003D640C">
        <w:rPr>
          <w:lang w:eastAsia="en-NZ"/>
        </w:rPr>
        <w:t xml:space="preserve"> </w:t>
      </w:r>
      <w:r w:rsidR="3701B832" w:rsidRPr="30ECBFB6">
        <w:rPr>
          <w:lang w:eastAsia="en-NZ"/>
        </w:rPr>
        <w:t>in</w:t>
      </w:r>
      <w:r w:rsidR="003D640C">
        <w:rPr>
          <w:lang w:eastAsia="en-NZ"/>
        </w:rPr>
        <w:t xml:space="preserve"> </w:t>
      </w:r>
      <w:r w:rsidR="3701B832" w:rsidRPr="30ECBFB6">
        <w:rPr>
          <w:lang w:eastAsia="en-NZ"/>
        </w:rPr>
        <w:t>Aotearoa.</w:t>
      </w:r>
      <w:r w:rsidR="003D640C">
        <w:rPr>
          <w:lang w:eastAsia="en-NZ"/>
        </w:rPr>
        <w:t xml:space="preserve"> </w:t>
      </w:r>
      <w:r w:rsidR="7D891D4C" w:rsidRPr="30ECBFB6">
        <w:rPr>
          <w:lang w:eastAsia="en-NZ"/>
        </w:rPr>
        <w:t>Ng</w:t>
      </w:r>
      <w:r w:rsidR="79FB4550" w:rsidRPr="30ECBFB6">
        <w:rPr>
          <w:lang w:val="mi-NZ" w:eastAsia="en-NZ"/>
        </w:rPr>
        <w:t>ā</w:t>
      </w:r>
      <w:r w:rsidR="7D891D4C" w:rsidRPr="30ECBFB6">
        <w:rPr>
          <w:lang w:eastAsia="en-NZ"/>
        </w:rPr>
        <w:t>huia</w:t>
      </w:r>
      <w:r w:rsidR="003D640C">
        <w:rPr>
          <w:lang w:eastAsia="en-NZ"/>
        </w:rPr>
        <w:t xml:space="preserve"> </w:t>
      </w:r>
      <w:r w:rsidR="7D891D4C" w:rsidRPr="30ECBFB6">
        <w:rPr>
          <w:lang w:eastAsia="en-NZ"/>
        </w:rPr>
        <w:t>te</w:t>
      </w:r>
      <w:r w:rsidR="003D640C">
        <w:rPr>
          <w:lang w:eastAsia="en-NZ"/>
        </w:rPr>
        <w:t xml:space="preserve"> </w:t>
      </w:r>
      <w:r w:rsidR="7D891D4C" w:rsidRPr="30ECBFB6">
        <w:rPr>
          <w:lang w:eastAsia="en-NZ"/>
        </w:rPr>
        <w:t>Awek</w:t>
      </w:r>
      <w:r w:rsidR="677FDAB5" w:rsidRPr="30ECBFB6">
        <w:rPr>
          <w:lang w:eastAsia="en-NZ"/>
        </w:rPr>
        <w:t>ō</w:t>
      </w:r>
      <w:r w:rsidR="7D891D4C" w:rsidRPr="30ECBFB6">
        <w:rPr>
          <w:lang w:eastAsia="en-NZ"/>
        </w:rPr>
        <w:t>tuku,</w:t>
      </w:r>
      <w:r w:rsidR="003D640C">
        <w:rPr>
          <w:lang w:eastAsia="en-NZ"/>
        </w:rPr>
        <w:t xml:space="preserve"> </w:t>
      </w:r>
      <w:r w:rsidR="3701B832" w:rsidRPr="30ECBFB6">
        <w:rPr>
          <w:lang w:eastAsia="en-NZ"/>
        </w:rPr>
        <w:t>Carmen</w:t>
      </w:r>
      <w:r w:rsidR="003D640C">
        <w:rPr>
          <w:lang w:eastAsia="en-NZ"/>
        </w:rPr>
        <w:t xml:space="preserve"> </w:t>
      </w:r>
      <w:r w:rsidR="3701B832" w:rsidRPr="30ECBFB6">
        <w:rPr>
          <w:lang w:eastAsia="en-NZ"/>
        </w:rPr>
        <w:t>Rupe,</w:t>
      </w:r>
      <w:r w:rsidR="003D640C">
        <w:rPr>
          <w:lang w:eastAsia="en-NZ"/>
        </w:rPr>
        <w:t xml:space="preserve"> </w:t>
      </w:r>
      <w:r w:rsidR="3701B832" w:rsidRPr="30ECBFB6">
        <w:rPr>
          <w:lang w:eastAsia="en-NZ"/>
        </w:rPr>
        <w:t>Georgina</w:t>
      </w:r>
      <w:r w:rsidR="003D640C">
        <w:rPr>
          <w:lang w:eastAsia="en-NZ"/>
        </w:rPr>
        <w:t xml:space="preserve"> </w:t>
      </w:r>
      <w:r w:rsidR="3701B832" w:rsidRPr="30ECBFB6">
        <w:rPr>
          <w:lang w:eastAsia="en-NZ"/>
        </w:rPr>
        <w:t>Beyer,</w:t>
      </w:r>
      <w:r w:rsidR="003D640C">
        <w:rPr>
          <w:lang w:eastAsia="en-NZ"/>
        </w:rPr>
        <w:t xml:space="preserve"> </w:t>
      </w:r>
      <w:r w:rsidR="3701B832" w:rsidRPr="30ECBFB6">
        <w:rPr>
          <w:lang w:eastAsia="en-NZ"/>
        </w:rPr>
        <w:t>Mama</w:t>
      </w:r>
      <w:r w:rsidR="003D640C">
        <w:rPr>
          <w:lang w:eastAsia="en-NZ"/>
        </w:rPr>
        <w:t xml:space="preserve"> </w:t>
      </w:r>
      <w:r w:rsidR="3701B832" w:rsidRPr="30ECBFB6">
        <w:rPr>
          <w:lang w:eastAsia="en-NZ"/>
        </w:rPr>
        <w:t>Tere</w:t>
      </w:r>
      <w:r w:rsidR="003D640C">
        <w:rPr>
          <w:lang w:eastAsia="en-NZ"/>
        </w:rPr>
        <w:t xml:space="preserve"> </w:t>
      </w:r>
      <w:r w:rsidR="3701B832" w:rsidRPr="30ECBFB6">
        <w:rPr>
          <w:lang w:eastAsia="en-NZ"/>
        </w:rPr>
        <w:t>Strickland</w:t>
      </w:r>
      <w:r w:rsidR="00970CFF">
        <w:rPr>
          <w:lang w:eastAsia="en-NZ"/>
        </w:rPr>
        <w:t>,</w:t>
      </w:r>
      <w:r w:rsidR="003D640C">
        <w:rPr>
          <w:lang w:eastAsia="en-NZ"/>
        </w:rPr>
        <w:t xml:space="preserve"> </w:t>
      </w:r>
      <w:r w:rsidR="3701B832" w:rsidRPr="30ECBFB6">
        <w:rPr>
          <w:lang w:eastAsia="en-NZ"/>
        </w:rPr>
        <w:t>and</w:t>
      </w:r>
      <w:r w:rsidR="003D640C">
        <w:rPr>
          <w:lang w:eastAsia="en-NZ"/>
        </w:rPr>
        <w:t xml:space="preserve"> </w:t>
      </w:r>
      <w:r w:rsidR="3701B832" w:rsidRPr="30ECBFB6">
        <w:rPr>
          <w:lang w:eastAsia="en-NZ"/>
        </w:rPr>
        <w:t>Chrissy</w:t>
      </w:r>
      <w:r w:rsidR="003D640C">
        <w:rPr>
          <w:lang w:eastAsia="en-NZ"/>
        </w:rPr>
        <w:t xml:space="preserve"> </w:t>
      </w:r>
      <w:r w:rsidR="3701B832" w:rsidRPr="30ECBFB6">
        <w:rPr>
          <w:lang w:eastAsia="en-NZ"/>
        </w:rPr>
        <w:t>Witoko</w:t>
      </w:r>
      <w:r w:rsidR="003D640C">
        <w:rPr>
          <w:lang w:eastAsia="en-NZ"/>
        </w:rPr>
        <w:t xml:space="preserve"> </w:t>
      </w:r>
      <w:r w:rsidR="3701B832" w:rsidRPr="30ECBFB6">
        <w:rPr>
          <w:lang w:eastAsia="en-NZ"/>
        </w:rPr>
        <w:t>played</w:t>
      </w:r>
      <w:r w:rsidR="003D640C">
        <w:rPr>
          <w:lang w:eastAsia="en-NZ"/>
        </w:rPr>
        <w:t xml:space="preserve"> </w:t>
      </w:r>
      <w:r w:rsidR="3701B832" w:rsidRPr="30ECBFB6">
        <w:rPr>
          <w:lang w:eastAsia="en-NZ"/>
        </w:rPr>
        <w:t>vital</w:t>
      </w:r>
      <w:r w:rsidR="003D640C">
        <w:rPr>
          <w:lang w:eastAsia="en-NZ"/>
        </w:rPr>
        <w:t xml:space="preserve"> </w:t>
      </w:r>
      <w:r w:rsidR="3701B832" w:rsidRPr="30ECBFB6">
        <w:rPr>
          <w:lang w:eastAsia="en-NZ"/>
        </w:rPr>
        <w:t>roles</w:t>
      </w:r>
      <w:r w:rsidR="003D640C">
        <w:rPr>
          <w:lang w:eastAsia="en-NZ"/>
        </w:rPr>
        <w:t xml:space="preserve"> </w:t>
      </w:r>
      <w:r w:rsidR="3701B832" w:rsidRPr="30ECBFB6">
        <w:rPr>
          <w:lang w:eastAsia="en-NZ"/>
        </w:rPr>
        <w:t>in</w:t>
      </w:r>
      <w:r w:rsidR="003D640C">
        <w:rPr>
          <w:lang w:eastAsia="en-NZ"/>
        </w:rPr>
        <w:t xml:space="preserve"> </w:t>
      </w:r>
      <w:r w:rsidR="3701B832" w:rsidRPr="30ECBFB6">
        <w:rPr>
          <w:lang w:eastAsia="en-NZ"/>
        </w:rPr>
        <w:t>progressing</w:t>
      </w:r>
      <w:r w:rsidR="003D640C">
        <w:rPr>
          <w:lang w:eastAsia="en-NZ"/>
        </w:rPr>
        <w:t xml:space="preserve"> </w:t>
      </w:r>
      <w:r w:rsidR="20F2A758" w:rsidRPr="30ECBFB6">
        <w:rPr>
          <w:lang w:eastAsia="en-NZ"/>
        </w:rPr>
        <w:t>Rainbow</w:t>
      </w:r>
      <w:r w:rsidR="003D640C">
        <w:rPr>
          <w:lang w:eastAsia="en-NZ"/>
        </w:rPr>
        <w:t xml:space="preserve"> </w:t>
      </w:r>
      <w:r w:rsidR="3701B832" w:rsidRPr="30ECBFB6">
        <w:rPr>
          <w:lang w:eastAsia="en-NZ"/>
        </w:rPr>
        <w:t>and</w:t>
      </w:r>
      <w:r w:rsidR="003D640C">
        <w:rPr>
          <w:lang w:eastAsia="en-NZ"/>
        </w:rPr>
        <w:t xml:space="preserve"> </w:t>
      </w:r>
      <w:r w:rsidR="3701B832" w:rsidRPr="30ECBFB6">
        <w:rPr>
          <w:lang w:eastAsia="en-NZ"/>
        </w:rPr>
        <w:t>takatāpui</w:t>
      </w:r>
      <w:r w:rsidR="003D640C">
        <w:rPr>
          <w:lang w:eastAsia="en-NZ"/>
        </w:rPr>
        <w:t xml:space="preserve"> </w:t>
      </w:r>
      <w:r w:rsidR="3701B832" w:rsidRPr="30ECBFB6">
        <w:rPr>
          <w:lang w:eastAsia="en-NZ"/>
        </w:rPr>
        <w:t>rights,</w:t>
      </w:r>
      <w:r w:rsidR="003D640C">
        <w:rPr>
          <w:lang w:eastAsia="en-NZ"/>
        </w:rPr>
        <w:t xml:space="preserve"> </w:t>
      </w:r>
      <w:r w:rsidR="3701B832" w:rsidRPr="30ECBFB6">
        <w:rPr>
          <w:lang w:eastAsia="en-NZ"/>
        </w:rPr>
        <w:t>safety</w:t>
      </w:r>
      <w:r w:rsidR="2C0A431C" w:rsidRPr="30ECBFB6">
        <w:rPr>
          <w:lang w:eastAsia="en-NZ"/>
        </w:rPr>
        <w:t>,</w:t>
      </w:r>
      <w:r w:rsidR="003D640C">
        <w:rPr>
          <w:lang w:eastAsia="en-NZ"/>
        </w:rPr>
        <w:t xml:space="preserve"> </w:t>
      </w:r>
      <w:r w:rsidR="3701B832" w:rsidRPr="30ECBFB6">
        <w:rPr>
          <w:lang w:eastAsia="en-NZ"/>
        </w:rPr>
        <w:t>and</w:t>
      </w:r>
      <w:r w:rsidR="003D640C">
        <w:rPr>
          <w:lang w:eastAsia="en-NZ"/>
        </w:rPr>
        <w:t xml:space="preserve"> </w:t>
      </w:r>
      <w:r w:rsidR="3701B832" w:rsidRPr="30ECBFB6">
        <w:rPr>
          <w:lang w:eastAsia="en-NZ"/>
        </w:rPr>
        <w:t>community</w:t>
      </w:r>
      <w:r w:rsidR="3E6BD107" w:rsidRPr="30ECBFB6">
        <w:rPr>
          <w:lang w:eastAsia="en-NZ"/>
        </w:rPr>
        <w:t>.</w:t>
      </w:r>
      <w:r w:rsidR="003D640C">
        <w:rPr>
          <w:lang w:eastAsia="en-NZ"/>
        </w:rPr>
        <w:t xml:space="preserve"> </w:t>
      </w:r>
      <w:r w:rsidR="133AE62E" w:rsidRPr="30ECBFB6">
        <w:rPr>
          <w:lang w:eastAsia="en-NZ"/>
        </w:rPr>
        <w:t>P</w:t>
      </w:r>
      <w:r w:rsidR="62914DC2" w:rsidRPr="30ECBFB6">
        <w:rPr>
          <w:lang w:eastAsia="en-NZ"/>
        </w:rPr>
        <w:t>reventing</w:t>
      </w:r>
      <w:r w:rsidR="003D640C">
        <w:rPr>
          <w:lang w:eastAsia="en-NZ"/>
        </w:rPr>
        <w:t xml:space="preserve"> </w:t>
      </w:r>
      <w:r w:rsidR="62914DC2" w:rsidRPr="30ECBFB6">
        <w:rPr>
          <w:lang w:eastAsia="en-NZ"/>
        </w:rPr>
        <w:t>conversion</w:t>
      </w:r>
      <w:r w:rsidR="003D640C">
        <w:rPr>
          <w:lang w:eastAsia="en-NZ"/>
        </w:rPr>
        <w:t xml:space="preserve"> </w:t>
      </w:r>
      <w:r w:rsidR="62914DC2" w:rsidRPr="30ECBFB6">
        <w:rPr>
          <w:lang w:eastAsia="en-NZ"/>
        </w:rPr>
        <w:t>practices</w:t>
      </w:r>
      <w:r w:rsidR="003D640C">
        <w:rPr>
          <w:lang w:eastAsia="en-NZ"/>
        </w:rPr>
        <w:t xml:space="preserve"> </w:t>
      </w:r>
      <w:r w:rsidR="62914DC2" w:rsidRPr="30ECBFB6">
        <w:rPr>
          <w:lang w:eastAsia="en-NZ"/>
        </w:rPr>
        <w:t>for</w:t>
      </w:r>
      <w:r w:rsidR="003D640C">
        <w:rPr>
          <w:lang w:eastAsia="en-NZ"/>
        </w:rPr>
        <w:t xml:space="preserve"> </w:t>
      </w:r>
      <w:r w:rsidR="62914DC2" w:rsidRPr="30ECBFB6">
        <w:rPr>
          <w:lang w:eastAsia="en-NZ"/>
        </w:rPr>
        <w:t>Māori</w:t>
      </w:r>
      <w:r w:rsidR="003D640C">
        <w:rPr>
          <w:lang w:eastAsia="en-NZ"/>
        </w:rPr>
        <w:t xml:space="preserve"> </w:t>
      </w:r>
      <w:r w:rsidR="75DE13D8" w:rsidRPr="30ECBFB6">
        <w:rPr>
          <w:lang w:eastAsia="en-NZ"/>
        </w:rPr>
        <w:t>relies</w:t>
      </w:r>
      <w:r w:rsidR="003D640C">
        <w:rPr>
          <w:lang w:eastAsia="en-NZ"/>
        </w:rPr>
        <w:t xml:space="preserve"> </w:t>
      </w:r>
      <w:r w:rsidR="2D3F634A" w:rsidRPr="30ECBFB6">
        <w:rPr>
          <w:lang w:eastAsia="en-NZ"/>
        </w:rPr>
        <w:t>on</w:t>
      </w:r>
      <w:r w:rsidR="003D640C">
        <w:rPr>
          <w:lang w:eastAsia="en-NZ"/>
        </w:rPr>
        <w:t xml:space="preserve"> </w:t>
      </w:r>
      <w:r w:rsidR="62914DC2" w:rsidRPr="30ECBFB6">
        <w:rPr>
          <w:lang w:eastAsia="en-NZ"/>
        </w:rPr>
        <w:t>understanding</w:t>
      </w:r>
      <w:r w:rsidR="003D640C">
        <w:rPr>
          <w:lang w:eastAsia="en-NZ"/>
        </w:rPr>
        <w:t xml:space="preserve"> </w:t>
      </w:r>
      <w:r w:rsidR="62914DC2" w:rsidRPr="30ECBFB6">
        <w:rPr>
          <w:lang w:eastAsia="en-NZ"/>
        </w:rPr>
        <w:t>where</w:t>
      </w:r>
      <w:r w:rsidR="003D640C">
        <w:rPr>
          <w:lang w:eastAsia="en-NZ"/>
        </w:rPr>
        <w:t xml:space="preserve"> </w:t>
      </w:r>
      <w:r w:rsidR="3C24D571" w:rsidRPr="30ECBFB6">
        <w:rPr>
          <w:lang w:eastAsia="en-NZ"/>
        </w:rPr>
        <w:t>the</w:t>
      </w:r>
      <w:r w:rsidR="003D640C">
        <w:rPr>
          <w:lang w:eastAsia="en-NZ"/>
        </w:rPr>
        <w:t xml:space="preserve"> </w:t>
      </w:r>
      <w:r w:rsidR="62914DC2" w:rsidRPr="30ECBFB6">
        <w:rPr>
          <w:lang w:eastAsia="en-NZ"/>
        </w:rPr>
        <w:t>underlying</w:t>
      </w:r>
      <w:r w:rsidR="003D640C">
        <w:rPr>
          <w:lang w:eastAsia="en-NZ"/>
        </w:rPr>
        <w:t xml:space="preserve"> </w:t>
      </w:r>
      <w:r w:rsidR="62914DC2" w:rsidRPr="30ECBFB6">
        <w:rPr>
          <w:lang w:eastAsia="en-NZ"/>
        </w:rPr>
        <w:t>conversion</w:t>
      </w:r>
      <w:r w:rsidR="003D640C">
        <w:rPr>
          <w:lang w:eastAsia="en-NZ"/>
        </w:rPr>
        <w:t xml:space="preserve"> </w:t>
      </w:r>
      <w:r w:rsidR="62914DC2" w:rsidRPr="30ECBFB6">
        <w:rPr>
          <w:lang w:eastAsia="en-NZ"/>
        </w:rPr>
        <w:t>ideology</w:t>
      </w:r>
      <w:r w:rsidR="003D640C">
        <w:rPr>
          <w:lang w:eastAsia="en-NZ"/>
        </w:rPr>
        <w:t xml:space="preserve"> </w:t>
      </w:r>
      <w:r w:rsidR="3AA203CA" w:rsidRPr="30ECBFB6">
        <w:rPr>
          <w:lang w:eastAsia="en-NZ"/>
        </w:rPr>
        <w:t>has</w:t>
      </w:r>
      <w:r w:rsidR="003D640C">
        <w:rPr>
          <w:lang w:eastAsia="en-NZ"/>
        </w:rPr>
        <w:t xml:space="preserve"> </w:t>
      </w:r>
      <w:r w:rsidR="3AA203CA" w:rsidRPr="30ECBFB6">
        <w:rPr>
          <w:lang w:eastAsia="en-NZ"/>
        </w:rPr>
        <w:t>come</w:t>
      </w:r>
      <w:r w:rsidR="003D640C">
        <w:rPr>
          <w:lang w:eastAsia="en-NZ"/>
        </w:rPr>
        <w:t xml:space="preserve"> </w:t>
      </w:r>
      <w:r w:rsidR="62914DC2" w:rsidRPr="30ECBFB6">
        <w:rPr>
          <w:lang w:eastAsia="en-NZ"/>
        </w:rPr>
        <w:t>from</w:t>
      </w:r>
      <w:r w:rsidR="003D640C">
        <w:rPr>
          <w:lang w:eastAsia="en-NZ"/>
        </w:rPr>
        <w:t xml:space="preserve"> </w:t>
      </w:r>
      <w:r w:rsidR="62914DC2" w:rsidRPr="30ECBFB6">
        <w:rPr>
          <w:lang w:eastAsia="en-NZ"/>
        </w:rPr>
        <w:t>and</w:t>
      </w:r>
      <w:r w:rsidR="003D640C">
        <w:rPr>
          <w:lang w:eastAsia="en-NZ"/>
        </w:rPr>
        <w:t xml:space="preserve"> </w:t>
      </w:r>
      <w:r w:rsidR="62914DC2" w:rsidRPr="30ECBFB6">
        <w:rPr>
          <w:lang w:eastAsia="en-NZ"/>
        </w:rPr>
        <w:t>how</w:t>
      </w:r>
      <w:r w:rsidR="003D640C">
        <w:rPr>
          <w:lang w:eastAsia="en-NZ"/>
        </w:rPr>
        <w:t xml:space="preserve"> </w:t>
      </w:r>
      <w:r w:rsidR="62914DC2" w:rsidRPr="30ECBFB6">
        <w:rPr>
          <w:lang w:eastAsia="en-NZ"/>
        </w:rPr>
        <w:t>it</w:t>
      </w:r>
      <w:r w:rsidR="003D640C">
        <w:rPr>
          <w:lang w:eastAsia="en-NZ"/>
        </w:rPr>
        <w:t xml:space="preserve"> </w:t>
      </w:r>
      <w:r w:rsidR="62914DC2" w:rsidRPr="30ECBFB6">
        <w:rPr>
          <w:lang w:eastAsia="en-NZ"/>
        </w:rPr>
        <w:t>has</w:t>
      </w:r>
      <w:r w:rsidR="003D640C">
        <w:rPr>
          <w:lang w:eastAsia="en-NZ"/>
        </w:rPr>
        <w:t xml:space="preserve"> </w:t>
      </w:r>
      <w:r w:rsidR="62914DC2" w:rsidRPr="30ECBFB6">
        <w:rPr>
          <w:lang w:eastAsia="en-NZ"/>
        </w:rPr>
        <w:t>become</w:t>
      </w:r>
      <w:r w:rsidR="003D640C">
        <w:rPr>
          <w:lang w:eastAsia="en-NZ"/>
        </w:rPr>
        <w:t xml:space="preserve"> </w:t>
      </w:r>
      <w:r w:rsidR="62914DC2" w:rsidRPr="30ECBFB6">
        <w:rPr>
          <w:lang w:eastAsia="en-NZ"/>
        </w:rPr>
        <w:t>entrenched.</w:t>
      </w:r>
      <w:r w:rsidR="003D640C">
        <w:rPr>
          <w:lang w:eastAsia="en-NZ"/>
        </w:rPr>
        <w:t xml:space="preserve"> </w:t>
      </w:r>
      <w:r w:rsidR="62914DC2" w:rsidRPr="30ECBFB6">
        <w:rPr>
          <w:lang w:eastAsia="en-NZ"/>
        </w:rPr>
        <w:t>The</w:t>
      </w:r>
      <w:r w:rsidR="003D640C">
        <w:rPr>
          <w:lang w:eastAsia="en-NZ"/>
        </w:rPr>
        <w:t xml:space="preserve"> </w:t>
      </w:r>
      <w:r w:rsidR="62914DC2" w:rsidRPr="30ECBFB6">
        <w:rPr>
          <w:lang w:eastAsia="en-NZ"/>
        </w:rPr>
        <w:t>overarching</w:t>
      </w:r>
      <w:r w:rsidR="003D640C">
        <w:rPr>
          <w:lang w:eastAsia="en-NZ"/>
        </w:rPr>
        <w:t xml:space="preserve"> </w:t>
      </w:r>
      <w:r w:rsidR="62914DC2" w:rsidRPr="30ECBFB6">
        <w:rPr>
          <w:lang w:eastAsia="en-NZ"/>
        </w:rPr>
        <w:t>approach</w:t>
      </w:r>
      <w:r w:rsidR="003D640C">
        <w:rPr>
          <w:lang w:eastAsia="en-NZ"/>
        </w:rPr>
        <w:t xml:space="preserve"> </w:t>
      </w:r>
      <w:r w:rsidR="62914DC2" w:rsidRPr="30ECBFB6">
        <w:rPr>
          <w:lang w:eastAsia="en-NZ"/>
        </w:rPr>
        <w:t>to</w:t>
      </w:r>
      <w:r w:rsidR="003D640C">
        <w:rPr>
          <w:lang w:eastAsia="en-NZ"/>
        </w:rPr>
        <w:t xml:space="preserve"> </w:t>
      </w:r>
      <w:r w:rsidR="62914DC2" w:rsidRPr="30ECBFB6">
        <w:rPr>
          <w:lang w:eastAsia="en-NZ"/>
        </w:rPr>
        <w:t>addressing</w:t>
      </w:r>
      <w:r w:rsidR="003D640C">
        <w:rPr>
          <w:lang w:eastAsia="en-NZ"/>
        </w:rPr>
        <w:t xml:space="preserve"> </w:t>
      </w:r>
      <w:r w:rsidR="62914DC2" w:rsidRPr="30ECBFB6">
        <w:rPr>
          <w:lang w:eastAsia="en-NZ"/>
        </w:rPr>
        <w:t>conversion</w:t>
      </w:r>
      <w:r w:rsidR="003D640C">
        <w:rPr>
          <w:lang w:eastAsia="en-NZ"/>
        </w:rPr>
        <w:t xml:space="preserve"> </w:t>
      </w:r>
      <w:r w:rsidR="62914DC2" w:rsidRPr="30ECBFB6">
        <w:rPr>
          <w:lang w:eastAsia="en-NZ"/>
        </w:rPr>
        <w:t>practices</w:t>
      </w:r>
      <w:r w:rsidR="003D640C">
        <w:rPr>
          <w:lang w:eastAsia="en-NZ"/>
        </w:rPr>
        <w:t xml:space="preserve"> </w:t>
      </w:r>
      <w:r w:rsidR="62914DC2" w:rsidRPr="30ECBFB6">
        <w:rPr>
          <w:lang w:eastAsia="en-NZ"/>
        </w:rPr>
        <w:t>for</w:t>
      </w:r>
      <w:r w:rsidR="003D640C">
        <w:rPr>
          <w:lang w:eastAsia="en-NZ"/>
        </w:rPr>
        <w:t xml:space="preserve"> </w:t>
      </w:r>
      <w:r w:rsidR="62914DC2" w:rsidRPr="30ECBFB6">
        <w:rPr>
          <w:lang w:eastAsia="en-NZ"/>
        </w:rPr>
        <w:t>Māori</w:t>
      </w:r>
      <w:r w:rsidR="003D640C">
        <w:rPr>
          <w:lang w:eastAsia="en-NZ"/>
        </w:rPr>
        <w:t xml:space="preserve"> </w:t>
      </w:r>
      <w:r w:rsidR="3AA203CA" w:rsidRPr="30ECBFB6">
        <w:rPr>
          <w:lang w:eastAsia="en-NZ"/>
        </w:rPr>
        <w:t>needs</w:t>
      </w:r>
      <w:r w:rsidR="003D640C">
        <w:rPr>
          <w:lang w:eastAsia="en-NZ"/>
        </w:rPr>
        <w:t xml:space="preserve"> </w:t>
      </w:r>
      <w:r w:rsidR="62914DC2" w:rsidRPr="30ECBFB6">
        <w:rPr>
          <w:lang w:eastAsia="en-NZ"/>
        </w:rPr>
        <w:t>to</w:t>
      </w:r>
      <w:r w:rsidR="003D640C">
        <w:rPr>
          <w:lang w:eastAsia="en-NZ"/>
        </w:rPr>
        <w:t xml:space="preserve"> </w:t>
      </w:r>
      <w:r w:rsidR="3AA203CA" w:rsidRPr="30ECBFB6">
        <w:rPr>
          <w:lang w:eastAsia="en-NZ"/>
        </w:rPr>
        <w:t>focus</w:t>
      </w:r>
      <w:r w:rsidR="003D640C">
        <w:rPr>
          <w:lang w:eastAsia="en-NZ"/>
        </w:rPr>
        <w:t xml:space="preserve"> </w:t>
      </w:r>
      <w:r w:rsidR="3AA203CA" w:rsidRPr="30ECBFB6">
        <w:rPr>
          <w:lang w:eastAsia="en-NZ"/>
        </w:rPr>
        <w:t>on</w:t>
      </w:r>
      <w:r w:rsidR="003D640C">
        <w:rPr>
          <w:lang w:eastAsia="en-NZ"/>
        </w:rPr>
        <w:t xml:space="preserve"> </w:t>
      </w:r>
      <w:r w:rsidR="3AA203CA" w:rsidRPr="30ECBFB6">
        <w:rPr>
          <w:lang w:eastAsia="en-NZ"/>
        </w:rPr>
        <w:t>restoring</w:t>
      </w:r>
      <w:r w:rsidR="003D640C">
        <w:rPr>
          <w:lang w:eastAsia="en-NZ"/>
        </w:rPr>
        <w:t xml:space="preserve"> </w:t>
      </w:r>
      <w:r w:rsidR="62914DC2" w:rsidRPr="30ECBFB6">
        <w:rPr>
          <w:lang w:eastAsia="en-NZ"/>
        </w:rPr>
        <w:t>tino</w:t>
      </w:r>
      <w:r w:rsidR="003D640C">
        <w:rPr>
          <w:lang w:eastAsia="en-NZ"/>
        </w:rPr>
        <w:t xml:space="preserve"> </w:t>
      </w:r>
      <w:r w:rsidR="62914DC2" w:rsidRPr="30ECBFB6">
        <w:rPr>
          <w:lang w:eastAsia="en-NZ"/>
        </w:rPr>
        <w:t>rangatiratanga</w:t>
      </w:r>
      <w:r w:rsidR="4F67BDD5" w:rsidRPr="30ECBFB6">
        <w:rPr>
          <w:lang w:eastAsia="en-NZ"/>
        </w:rPr>
        <w:t>.</w:t>
      </w:r>
    </w:p>
    <w:p w14:paraId="1C5A0079" w14:textId="77777777" w:rsidR="00501068" w:rsidRDefault="464E369E" w:rsidP="00747446">
      <w:pPr>
        <w:rPr>
          <w:lang w:eastAsia="en-NZ"/>
        </w:rPr>
      </w:pPr>
      <w:r w:rsidRPr="00BB6220">
        <w:rPr>
          <w:lang w:eastAsia="en-NZ"/>
        </w:rPr>
        <w:t>Māori</w:t>
      </w:r>
      <w:r w:rsidR="003D640C">
        <w:rPr>
          <w:lang w:eastAsia="en-NZ"/>
        </w:rPr>
        <w:t xml:space="preserve"> </w:t>
      </w:r>
      <w:r w:rsidRPr="00BB6220">
        <w:rPr>
          <w:lang w:eastAsia="en-NZ"/>
        </w:rPr>
        <w:t>require</w:t>
      </w:r>
      <w:r w:rsidR="003D640C">
        <w:rPr>
          <w:lang w:eastAsia="en-NZ"/>
        </w:rPr>
        <w:t xml:space="preserve"> </w:t>
      </w:r>
      <w:r w:rsidRPr="00BB6220">
        <w:rPr>
          <w:lang w:eastAsia="en-NZ"/>
        </w:rPr>
        <w:t>the</w:t>
      </w:r>
      <w:r w:rsidR="003D640C">
        <w:rPr>
          <w:lang w:eastAsia="en-NZ"/>
        </w:rPr>
        <w:t xml:space="preserve"> </w:t>
      </w:r>
      <w:r w:rsidRPr="00BB6220">
        <w:rPr>
          <w:lang w:eastAsia="en-NZ"/>
        </w:rPr>
        <w:t>autonomy,</w:t>
      </w:r>
      <w:r w:rsidR="003D640C">
        <w:rPr>
          <w:lang w:eastAsia="en-NZ"/>
        </w:rPr>
        <w:t xml:space="preserve"> </w:t>
      </w:r>
      <w:r w:rsidRPr="00BB6220">
        <w:rPr>
          <w:lang w:eastAsia="en-NZ"/>
        </w:rPr>
        <w:t>authority,</w:t>
      </w:r>
      <w:r w:rsidR="003D640C">
        <w:rPr>
          <w:lang w:eastAsia="en-NZ"/>
        </w:rPr>
        <w:t xml:space="preserve"> </w:t>
      </w:r>
      <w:r w:rsidRPr="00BB6220">
        <w:rPr>
          <w:lang w:eastAsia="en-NZ"/>
        </w:rPr>
        <w:t>and</w:t>
      </w:r>
      <w:r w:rsidR="003D640C">
        <w:rPr>
          <w:lang w:eastAsia="en-NZ"/>
        </w:rPr>
        <w:t xml:space="preserve"> </w:t>
      </w:r>
      <w:r w:rsidRPr="00BB6220">
        <w:rPr>
          <w:lang w:eastAsia="en-NZ"/>
        </w:rPr>
        <w:t>space</w:t>
      </w:r>
      <w:r w:rsidR="003D640C">
        <w:rPr>
          <w:lang w:eastAsia="en-NZ"/>
        </w:rPr>
        <w:t xml:space="preserve"> </w:t>
      </w:r>
      <w:r w:rsidRPr="00BB6220">
        <w:rPr>
          <w:lang w:eastAsia="en-NZ"/>
        </w:rPr>
        <w:t>to</w:t>
      </w:r>
      <w:r w:rsidR="003D640C">
        <w:rPr>
          <w:lang w:eastAsia="en-NZ"/>
        </w:rPr>
        <w:t xml:space="preserve"> </w:t>
      </w:r>
      <w:r w:rsidRPr="00BB6220">
        <w:rPr>
          <w:lang w:eastAsia="en-NZ"/>
        </w:rPr>
        <w:t>rediscover</w:t>
      </w:r>
      <w:r w:rsidR="003D640C">
        <w:rPr>
          <w:lang w:eastAsia="en-NZ"/>
        </w:rPr>
        <w:t xml:space="preserve"> </w:t>
      </w:r>
      <w:r w:rsidRPr="00BB6220">
        <w:rPr>
          <w:lang w:eastAsia="en-NZ"/>
        </w:rPr>
        <w:t>and</w:t>
      </w:r>
      <w:r w:rsidR="003D640C">
        <w:rPr>
          <w:lang w:eastAsia="en-NZ"/>
        </w:rPr>
        <w:t xml:space="preserve"> </w:t>
      </w:r>
      <w:r w:rsidRPr="00BB6220">
        <w:rPr>
          <w:lang w:eastAsia="en-NZ"/>
        </w:rPr>
        <w:t>build</w:t>
      </w:r>
      <w:r w:rsidR="003D640C">
        <w:rPr>
          <w:lang w:eastAsia="en-NZ"/>
        </w:rPr>
        <w:t xml:space="preserve"> </w:t>
      </w:r>
      <w:r w:rsidRPr="00BB6220">
        <w:rPr>
          <w:lang w:eastAsia="en-NZ"/>
        </w:rPr>
        <w:t>on</w:t>
      </w:r>
      <w:r w:rsidR="003D640C">
        <w:rPr>
          <w:lang w:eastAsia="en-NZ"/>
        </w:rPr>
        <w:t xml:space="preserve"> </w:t>
      </w:r>
      <w:r w:rsidRPr="00BB6220">
        <w:rPr>
          <w:lang w:eastAsia="en-NZ"/>
        </w:rPr>
        <w:t>their</w:t>
      </w:r>
      <w:r w:rsidR="003D640C">
        <w:rPr>
          <w:lang w:eastAsia="en-NZ"/>
        </w:rPr>
        <w:t xml:space="preserve"> </w:t>
      </w:r>
      <w:r w:rsidRPr="00BB6220">
        <w:rPr>
          <w:lang w:eastAsia="en-NZ"/>
        </w:rPr>
        <w:t>own</w:t>
      </w:r>
      <w:r w:rsidR="003D640C">
        <w:rPr>
          <w:lang w:eastAsia="en-NZ"/>
        </w:rPr>
        <w:t xml:space="preserve"> </w:t>
      </w:r>
      <w:r w:rsidRPr="00BB6220">
        <w:rPr>
          <w:lang w:eastAsia="en-NZ"/>
        </w:rPr>
        <w:t>inclusive</w:t>
      </w:r>
      <w:r w:rsidR="003D640C">
        <w:rPr>
          <w:lang w:eastAsia="en-NZ"/>
        </w:rPr>
        <w:t xml:space="preserve"> </w:t>
      </w:r>
      <w:r w:rsidRPr="00BB6220">
        <w:rPr>
          <w:lang w:eastAsia="en-NZ"/>
        </w:rPr>
        <w:t>views</w:t>
      </w:r>
      <w:r w:rsidR="003D640C">
        <w:rPr>
          <w:lang w:eastAsia="en-NZ"/>
        </w:rPr>
        <w:t xml:space="preserve"> </w:t>
      </w:r>
      <w:r w:rsidRPr="00BB6220">
        <w:rPr>
          <w:lang w:eastAsia="en-NZ"/>
        </w:rPr>
        <w:t>of</w:t>
      </w:r>
      <w:r w:rsidR="003D640C">
        <w:rPr>
          <w:lang w:eastAsia="en-NZ"/>
        </w:rPr>
        <w:t xml:space="preserve"> </w:t>
      </w:r>
      <w:r w:rsidRPr="00BB6220">
        <w:rPr>
          <w:lang w:eastAsia="en-NZ"/>
        </w:rPr>
        <w:t>gender</w:t>
      </w:r>
      <w:r w:rsidR="003D640C">
        <w:rPr>
          <w:lang w:eastAsia="en-NZ"/>
        </w:rPr>
        <w:t xml:space="preserve"> </w:t>
      </w:r>
      <w:r w:rsidRPr="00BB6220">
        <w:rPr>
          <w:lang w:eastAsia="en-NZ"/>
        </w:rPr>
        <w:t>and</w:t>
      </w:r>
      <w:r w:rsidR="003D640C">
        <w:rPr>
          <w:lang w:eastAsia="en-NZ"/>
        </w:rPr>
        <w:t xml:space="preserve"> </w:t>
      </w:r>
      <w:r w:rsidR="62DF383E" w:rsidRPr="00BB6220">
        <w:rPr>
          <w:lang w:eastAsia="en-NZ"/>
        </w:rPr>
        <w:t>sexual</w:t>
      </w:r>
      <w:r w:rsidR="003D640C">
        <w:rPr>
          <w:lang w:eastAsia="en-NZ"/>
        </w:rPr>
        <w:t xml:space="preserve"> </w:t>
      </w:r>
      <w:r w:rsidR="62DF383E" w:rsidRPr="00BB6220">
        <w:rPr>
          <w:lang w:eastAsia="en-NZ"/>
        </w:rPr>
        <w:t>orientation</w:t>
      </w:r>
      <w:r w:rsidRPr="00BB6220">
        <w:rPr>
          <w:lang w:eastAsia="en-NZ"/>
        </w:rPr>
        <w:t>.</w:t>
      </w:r>
      <w:r w:rsidR="003D640C">
        <w:rPr>
          <w:lang w:eastAsia="en-NZ"/>
        </w:rPr>
        <w:t xml:space="preserve"> </w:t>
      </w:r>
      <w:r w:rsidRPr="00BB6220">
        <w:rPr>
          <w:lang w:eastAsia="en-NZ"/>
        </w:rPr>
        <w:t>Iwi</w:t>
      </w:r>
      <w:r w:rsidR="003D640C">
        <w:rPr>
          <w:lang w:eastAsia="en-NZ"/>
        </w:rPr>
        <w:t xml:space="preserve"> </w:t>
      </w:r>
      <w:r w:rsidRPr="00BB6220">
        <w:rPr>
          <w:lang w:eastAsia="en-NZ"/>
        </w:rPr>
        <w:t>and</w:t>
      </w:r>
      <w:r w:rsidR="003D640C">
        <w:rPr>
          <w:lang w:eastAsia="en-NZ"/>
        </w:rPr>
        <w:t xml:space="preserve"> </w:t>
      </w:r>
      <w:r w:rsidRPr="00BB6220">
        <w:rPr>
          <w:lang w:eastAsia="en-NZ"/>
        </w:rPr>
        <w:t>hapū</w:t>
      </w:r>
      <w:r w:rsidR="003D640C">
        <w:rPr>
          <w:lang w:eastAsia="en-NZ"/>
        </w:rPr>
        <w:t xml:space="preserve"> </w:t>
      </w:r>
      <w:r w:rsidRPr="00BB6220">
        <w:rPr>
          <w:lang w:eastAsia="en-NZ"/>
        </w:rPr>
        <w:t>who</w:t>
      </w:r>
      <w:r w:rsidR="003D640C">
        <w:rPr>
          <w:lang w:eastAsia="en-NZ"/>
        </w:rPr>
        <w:t xml:space="preserve"> </w:t>
      </w:r>
      <w:r w:rsidRPr="00BB6220">
        <w:rPr>
          <w:lang w:eastAsia="en-NZ"/>
        </w:rPr>
        <w:t>have</w:t>
      </w:r>
      <w:r w:rsidR="003D640C">
        <w:rPr>
          <w:lang w:eastAsia="en-NZ"/>
        </w:rPr>
        <w:t xml:space="preserve"> </w:t>
      </w:r>
      <w:r w:rsidRPr="00BB6220">
        <w:rPr>
          <w:lang w:eastAsia="en-NZ"/>
        </w:rPr>
        <w:t>not</w:t>
      </w:r>
      <w:r w:rsidR="003D640C">
        <w:rPr>
          <w:lang w:eastAsia="en-NZ"/>
        </w:rPr>
        <w:t xml:space="preserve"> </w:t>
      </w:r>
      <w:r w:rsidRPr="00BB6220">
        <w:rPr>
          <w:lang w:eastAsia="en-NZ"/>
        </w:rPr>
        <w:t>yet</w:t>
      </w:r>
      <w:r w:rsidR="003D640C">
        <w:rPr>
          <w:lang w:eastAsia="en-NZ"/>
        </w:rPr>
        <w:t xml:space="preserve"> </w:t>
      </w:r>
      <w:r w:rsidRPr="00BB6220">
        <w:rPr>
          <w:lang w:eastAsia="en-NZ"/>
        </w:rPr>
        <w:t>discussed</w:t>
      </w:r>
      <w:r w:rsidR="003D640C">
        <w:rPr>
          <w:lang w:eastAsia="en-NZ"/>
        </w:rPr>
        <w:t xml:space="preserve"> </w:t>
      </w:r>
      <w:r w:rsidRPr="00BB6220">
        <w:rPr>
          <w:lang w:eastAsia="en-NZ"/>
        </w:rPr>
        <w:t>these</w:t>
      </w:r>
      <w:r w:rsidR="003D640C">
        <w:rPr>
          <w:lang w:eastAsia="en-NZ"/>
        </w:rPr>
        <w:t xml:space="preserve"> </w:t>
      </w:r>
      <w:r w:rsidRPr="00BB6220">
        <w:rPr>
          <w:lang w:eastAsia="en-NZ"/>
        </w:rPr>
        <w:t>topics</w:t>
      </w:r>
      <w:r w:rsidR="003D640C">
        <w:rPr>
          <w:lang w:eastAsia="en-NZ"/>
        </w:rPr>
        <w:t xml:space="preserve"> </w:t>
      </w:r>
      <w:r w:rsidRPr="00BB6220">
        <w:rPr>
          <w:lang w:eastAsia="en-NZ"/>
        </w:rPr>
        <w:t>may</w:t>
      </w:r>
      <w:r w:rsidR="003D640C">
        <w:rPr>
          <w:lang w:eastAsia="en-NZ"/>
        </w:rPr>
        <w:t xml:space="preserve"> </w:t>
      </w:r>
      <w:r w:rsidRPr="00BB6220">
        <w:rPr>
          <w:lang w:eastAsia="en-NZ"/>
        </w:rPr>
        <w:t>choose</w:t>
      </w:r>
      <w:r w:rsidR="003D640C">
        <w:rPr>
          <w:lang w:eastAsia="en-NZ"/>
        </w:rPr>
        <w:t xml:space="preserve"> </w:t>
      </w:r>
      <w:r w:rsidRPr="00BB6220">
        <w:rPr>
          <w:lang w:eastAsia="en-NZ"/>
        </w:rPr>
        <w:t>to</w:t>
      </w:r>
      <w:r w:rsidR="003D640C">
        <w:rPr>
          <w:lang w:eastAsia="en-NZ"/>
        </w:rPr>
        <w:t xml:space="preserve"> </w:t>
      </w:r>
      <w:r w:rsidRPr="00BB6220">
        <w:rPr>
          <w:lang w:eastAsia="en-NZ"/>
        </w:rPr>
        <w:t>use</w:t>
      </w:r>
      <w:r w:rsidR="003D640C">
        <w:rPr>
          <w:lang w:eastAsia="en-NZ"/>
        </w:rPr>
        <w:t xml:space="preserve"> </w:t>
      </w:r>
      <w:r w:rsidRPr="00BB6220">
        <w:rPr>
          <w:lang w:eastAsia="en-NZ"/>
        </w:rPr>
        <w:t>this</w:t>
      </w:r>
      <w:r w:rsidR="003D640C">
        <w:rPr>
          <w:lang w:eastAsia="en-NZ"/>
        </w:rPr>
        <w:t xml:space="preserve"> </w:t>
      </w:r>
      <w:r w:rsidRPr="00BB6220">
        <w:rPr>
          <w:lang w:eastAsia="en-NZ"/>
        </w:rPr>
        <w:t>opportunity</w:t>
      </w:r>
      <w:r w:rsidR="003D640C">
        <w:rPr>
          <w:lang w:eastAsia="en-NZ"/>
        </w:rPr>
        <w:t xml:space="preserve"> </w:t>
      </w:r>
      <w:r w:rsidRPr="00BB6220">
        <w:rPr>
          <w:lang w:eastAsia="en-NZ"/>
        </w:rPr>
        <w:t>to</w:t>
      </w:r>
      <w:r w:rsidR="003D640C">
        <w:rPr>
          <w:lang w:eastAsia="en-NZ"/>
        </w:rPr>
        <w:t xml:space="preserve"> </w:t>
      </w:r>
      <w:r w:rsidRPr="00BB6220">
        <w:rPr>
          <w:lang w:eastAsia="en-NZ"/>
        </w:rPr>
        <w:t>have</w:t>
      </w:r>
      <w:r w:rsidR="003D640C">
        <w:rPr>
          <w:lang w:eastAsia="en-NZ"/>
        </w:rPr>
        <w:t xml:space="preserve"> </w:t>
      </w:r>
      <w:r w:rsidRPr="00BB6220">
        <w:rPr>
          <w:lang w:eastAsia="en-NZ"/>
        </w:rPr>
        <w:t>conversations</w:t>
      </w:r>
      <w:r w:rsidR="003D640C">
        <w:rPr>
          <w:lang w:eastAsia="en-NZ"/>
        </w:rPr>
        <w:t xml:space="preserve"> </w:t>
      </w:r>
      <w:r w:rsidRPr="00BB6220">
        <w:rPr>
          <w:lang w:eastAsia="en-NZ"/>
        </w:rPr>
        <w:t>within</w:t>
      </w:r>
      <w:r w:rsidR="003D640C">
        <w:rPr>
          <w:lang w:eastAsia="en-NZ"/>
        </w:rPr>
        <w:t xml:space="preserve"> </w:t>
      </w:r>
      <w:r w:rsidRPr="00BB6220">
        <w:rPr>
          <w:lang w:eastAsia="en-NZ"/>
        </w:rPr>
        <w:t>their</w:t>
      </w:r>
      <w:r w:rsidR="003D640C">
        <w:rPr>
          <w:lang w:eastAsia="en-NZ"/>
        </w:rPr>
        <w:t xml:space="preserve"> </w:t>
      </w:r>
      <w:r w:rsidRPr="00BB6220">
        <w:rPr>
          <w:lang w:eastAsia="en-NZ"/>
        </w:rPr>
        <w:t>hapū</w:t>
      </w:r>
      <w:r w:rsidR="003D640C">
        <w:rPr>
          <w:lang w:eastAsia="en-NZ"/>
        </w:rPr>
        <w:t xml:space="preserve"> </w:t>
      </w:r>
      <w:r w:rsidRPr="00BB6220">
        <w:rPr>
          <w:lang w:eastAsia="en-NZ"/>
        </w:rPr>
        <w:t>and</w:t>
      </w:r>
      <w:r w:rsidR="003D640C">
        <w:rPr>
          <w:lang w:eastAsia="en-NZ"/>
        </w:rPr>
        <w:t xml:space="preserve"> </w:t>
      </w:r>
      <w:r w:rsidRPr="00BB6220">
        <w:rPr>
          <w:lang w:eastAsia="en-NZ"/>
        </w:rPr>
        <w:t>whānau</w:t>
      </w:r>
      <w:r w:rsidR="003D640C">
        <w:rPr>
          <w:lang w:eastAsia="en-NZ"/>
        </w:rPr>
        <w:t xml:space="preserve"> </w:t>
      </w:r>
      <w:r w:rsidRPr="00BB6220">
        <w:rPr>
          <w:lang w:eastAsia="en-NZ"/>
        </w:rPr>
        <w:t>about</w:t>
      </w:r>
      <w:r w:rsidR="003D640C">
        <w:rPr>
          <w:lang w:eastAsia="en-NZ"/>
        </w:rPr>
        <w:t xml:space="preserve"> </w:t>
      </w:r>
      <w:r w:rsidRPr="00BB6220">
        <w:rPr>
          <w:lang w:eastAsia="en-NZ"/>
        </w:rPr>
        <w:t>what</w:t>
      </w:r>
      <w:r w:rsidR="003D640C">
        <w:rPr>
          <w:lang w:eastAsia="en-NZ"/>
        </w:rPr>
        <w:t xml:space="preserve"> </w:t>
      </w:r>
      <w:r w:rsidRPr="00BB6220">
        <w:rPr>
          <w:lang w:eastAsia="en-NZ"/>
        </w:rPr>
        <w:t>inclusion</w:t>
      </w:r>
      <w:r w:rsidR="003D640C">
        <w:rPr>
          <w:lang w:eastAsia="en-NZ"/>
        </w:rPr>
        <w:t xml:space="preserve"> </w:t>
      </w:r>
      <w:r w:rsidR="264DEDA9" w:rsidRPr="00BB6220">
        <w:rPr>
          <w:lang w:eastAsia="en-NZ"/>
        </w:rPr>
        <w:t>and</w:t>
      </w:r>
      <w:r w:rsidR="003D640C">
        <w:rPr>
          <w:lang w:eastAsia="en-NZ"/>
        </w:rPr>
        <w:t xml:space="preserve"> </w:t>
      </w:r>
      <w:r w:rsidR="264DEDA9" w:rsidRPr="00BB6220">
        <w:rPr>
          <w:lang w:eastAsia="en-NZ"/>
        </w:rPr>
        <w:t>affirmation</w:t>
      </w:r>
      <w:r w:rsidR="003D640C">
        <w:rPr>
          <w:lang w:eastAsia="en-NZ"/>
        </w:rPr>
        <w:t xml:space="preserve"> </w:t>
      </w:r>
      <w:r w:rsidRPr="00BB6220">
        <w:rPr>
          <w:lang w:eastAsia="en-NZ"/>
        </w:rPr>
        <w:t>looks</w:t>
      </w:r>
      <w:r w:rsidR="003D640C">
        <w:rPr>
          <w:lang w:eastAsia="en-NZ"/>
        </w:rPr>
        <w:t xml:space="preserve"> </w:t>
      </w:r>
      <w:r w:rsidRPr="00BB6220">
        <w:rPr>
          <w:lang w:eastAsia="en-NZ"/>
        </w:rPr>
        <w:t>like.</w:t>
      </w:r>
      <w:r w:rsidR="003D640C">
        <w:rPr>
          <w:lang w:eastAsia="en-NZ"/>
        </w:rPr>
        <w:t xml:space="preserve"> </w:t>
      </w:r>
      <w:r w:rsidRPr="00BB6220">
        <w:rPr>
          <w:lang w:eastAsia="en-NZ"/>
        </w:rPr>
        <w:t>They</w:t>
      </w:r>
      <w:r w:rsidR="003D640C">
        <w:rPr>
          <w:lang w:eastAsia="en-NZ"/>
        </w:rPr>
        <w:t xml:space="preserve"> </w:t>
      </w:r>
      <w:r w:rsidRPr="00BB6220">
        <w:rPr>
          <w:lang w:eastAsia="en-NZ"/>
        </w:rPr>
        <w:t>may</w:t>
      </w:r>
      <w:r w:rsidR="003D640C">
        <w:rPr>
          <w:lang w:eastAsia="en-NZ"/>
        </w:rPr>
        <w:t xml:space="preserve"> </w:t>
      </w:r>
      <w:r w:rsidRPr="00BB6220">
        <w:rPr>
          <w:lang w:eastAsia="en-NZ"/>
        </w:rPr>
        <w:t>also</w:t>
      </w:r>
      <w:r w:rsidR="003D640C">
        <w:rPr>
          <w:lang w:eastAsia="en-NZ"/>
        </w:rPr>
        <w:t xml:space="preserve"> </w:t>
      </w:r>
      <w:r w:rsidR="008B2605" w:rsidRPr="00BB6220">
        <w:rPr>
          <w:lang w:eastAsia="en-NZ"/>
        </w:rPr>
        <w:t>wish</w:t>
      </w:r>
      <w:r w:rsidR="003D640C">
        <w:rPr>
          <w:lang w:eastAsia="en-NZ"/>
        </w:rPr>
        <w:t xml:space="preserve"> </w:t>
      </w:r>
      <w:r w:rsidRPr="00BB6220">
        <w:rPr>
          <w:lang w:eastAsia="en-NZ"/>
        </w:rPr>
        <w:t>to</w:t>
      </w:r>
      <w:r w:rsidR="003D640C">
        <w:rPr>
          <w:lang w:eastAsia="en-NZ"/>
        </w:rPr>
        <w:t xml:space="preserve"> </w:t>
      </w:r>
      <w:r w:rsidRPr="00BB6220">
        <w:rPr>
          <w:lang w:eastAsia="en-NZ"/>
        </w:rPr>
        <w:t>discuss</w:t>
      </w:r>
      <w:r w:rsidR="003D640C">
        <w:rPr>
          <w:lang w:eastAsia="en-NZ"/>
        </w:rPr>
        <w:t xml:space="preserve"> </w:t>
      </w:r>
      <w:r w:rsidRPr="00BB6220">
        <w:rPr>
          <w:lang w:eastAsia="en-NZ"/>
        </w:rPr>
        <w:t>how</w:t>
      </w:r>
      <w:r w:rsidR="003D640C">
        <w:rPr>
          <w:lang w:eastAsia="en-NZ"/>
        </w:rPr>
        <w:t xml:space="preserve"> </w:t>
      </w:r>
      <w:r w:rsidRPr="00BB6220">
        <w:rPr>
          <w:lang w:eastAsia="en-NZ"/>
        </w:rPr>
        <w:t>to</w:t>
      </w:r>
      <w:r w:rsidR="003D640C">
        <w:rPr>
          <w:lang w:eastAsia="en-NZ"/>
        </w:rPr>
        <w:t xml:space="preserve"> </w:t>
      </w:r>
      <w:r w:rsidRPr="00BB6220">
        <w:rPr>
          <w:lang w:eastAsia="en-NZ"/>
        </w:rPr>
        <w:t>bring</w:t>
      </w:r>
      <w:r w:rsidR="003D640C">
        <w:rPr>
          <w:lang w:eastAsia="en-NZ"/>
        </w:rPr>
        <w:t xml:space="preserve"> </w:t>
      </w:r>
      <w:r w:rsidRPr="00BB6220">
        <w:rPr>
          <w:lang w:eastAsia="en-NZ"/>
        </w:rPr>
        <w:t>survivors</w:t>
      </w:r>
      <w:r w:rsidR="003D640C">
        <w:rPr>
          <w:lang w:eastAsia="en-NZ"/>
        </w:rPr>
        <w:t xml:space="preserve"> </w:t>
      </w:r>
      <w:r w:rsidRPr="00BB6220">
        <w:rPr>
          <w:lang w:eastAsia="en-NZ"/>
        </w:rPr>
        <w:t>back</w:t>
      </w:r>
      <w:r w:rsidR="003D640C">
        <w:rPr>
          <w:lang w:eastAsia="en-NZ"/>
        </w:rPr>
        <w:t xml:space="preserve"> </w:t>
      </w:r>
      <w:r w:rsidRPr="00BB6220">
        <w:rPr>
          <w:lang w:eastAsia="en-NZ"/>
        </w:rPr>
        <w:t>in</w:t>
      </w:r>
      <w:r w:rsidR="6F450374" w:rsidRPr="00BB6220">
        <w:rPr>
          <w:lang w:eastAsia="en-NZ"/>
        </w:rPr>
        <w:t>to</w:t>
      </w:r>
      <w:r w:rsidR="003D640C">
        <w:rPr>
          <w:lang w:eastAsia="en-NZ"/>
        </w:rPr>
        <w:t xml:space="preserve"> </w:t>
      </w:r>
      <w:r w:rsidR="6F450374" w:rsidRPr="00BB6220">
        <w:rPr>
          <w:lang w:eastAsia="en-NZ"/>
        </w:rPr>
        <w:t>the</w:t>
      </w:r>
      <w:r w:rsidR="003D640C">
        <w:rPr>
          <w:lang w:eastAsia="en-NZ"/>
        </w:rPr>
        <w:t xml:space="preserve"> </w:t>
      </w:r>
      <w:r w:rsidR="6F450374" w:rsidRPr="00BB6220">
        <w:rPr>
          <w:lang w:eastAsia="en-NZ"/>
        </w:rPr>
        <w:t>communit</w:t>
      </w:r>
      <w:r w:rsidR="007E41BB">
        <w:rPr>
          <w:lang w:eastAsia="en-NZ"/>
        </w:rPr>
        <w:t>ies</w:t>
      </w:r>
      <w:r w:rsidR="003D640C">
        <w:rPr>
          <w:lang w:eastAsia="en-NZ"/>
        </w:rPr>
        <w:t xml:space="preserve"> </w:t>
      </w:r>
      <w:r w:rsidR="007E41BB">
        <w:rPr>
          <w:lang w:eastAsia="en-NZ"/>
        </w:rPr>
        <w:t>from</w:t>
      </w:r>
      <w:r w:rsidR="003D640C">
        <w:rPr>
          <w:lang w:eastAsia="en-NZ"/>
        </w:rPr>
        <w:t xml:space="preserve"> </w:t>
      </w:r>
      <w:r w:rsidR="007E41BB">
        <w:rPr>
          <w:lang w:eastAsia="en-NZ"/>
        </w:rPr>
        <w:t>which</w:t>
      </w:r>
      <w:r w:rsidR="003D640C">
        <w:rPr>
          <w:lang w:eastAsia="en-NZ"/>
        </w:rPr>
        <w:t xml:space="preserve"> </w:t>
      </w:r>
      <w:r w:rsidRPr="00BB6220">
        <w:rPr>
          <w:lang w:eastAsia="en-NZ"/>
        </w:rPr>
        <w:t>they</w:t>
      </w:r>
      <w:r w:rsidR="003D640C">
        <w:rPr>
          <w:lang w:eastAsia="en-NZ"/>
        </w:rPr>
        <w:t xml:space="preserve"> </w:t>
      </w:r>
      <w:r w:rsidRPr="00BB6220">
        <w:rPr>
          <w:lang w:eastAsia="en-NZ"/>
        </w:rPr>
        <w:t>have</w:t>
      </w:r>
      <w:r w:rsidR="003D640C">
        <w:rPr>
          <w:lang w:eastAsia="en-NZ"/>
        </w:rPr>
        <w:t xml:space="preserve"> </w:t>
      </w:r>
      <w:r w:rsidRPr="00BB6220">
        <w:rPr>
          <w:lang w:eastAsia="en-NZ"/>
        </w:rPr>
        <w:t>been</w:t>
      </w:r>
      <w:r w:rsidR="003D640C">
        <w:rPr>
          <w:lang w:eastAsia="en-NZ"/>
        </w:rPr>
        <w:t xml:space="preserve"> </w:t>
      </w:r>
      <w:r w:rsidRPr="00BB6220">
        <w:rPr>
          <w:lang w:eastAsia="en-NZ"/>
        </w:rPr>
        <w:t>excluded</w:t>
      </w:r>
      <w:r w:rsidR="003D640C">
        <w:rPr>
          <w:lang w:eastAsia="en-NZ"/>
        </w:rPr>
        <w:t xml:space="preserve"> </w:t>
      </w:r>
      <w:r w:rsidR="6F450374" w:rsidRPr="00BB6220">
        <w:rPr>
          <w:lang w:eastAsia="en-NZ"/>
        </w:rPr>
        <w:t>in</w:t>
      </w:r>
      <w:r w:rsidR="003D640C">
        <w:rPr>
          <w:lang w:eastAsia="en-NZ"/>
        </w:rPr>
        <w:t xml:space="preserve"> </w:t>
      </w:r>
      <w:r w:rsidR="6F450374" w:rsidRPr="00BB6220">
        <w:rPr>
          <w:lang w:eastAsia="en-NZ"/>
        </w:rPr>
        <w:t>the</w:t>
      </w:r>
      <w:r w:rsidR="003D640C">
        <w:rPr>
          <w:lang w:eastAsia="en-NZ"/>
        </w:rPr>
        <w:t xml:space="preserve"> </w:t>
      </w:r>
      <w:r w:rsidR="6F450374" w:rsidRPr="00BB6220">
        <w:rPr>
          <w:lang w:eastAsia="en-NZ"/>
        </w:rPr>
        <w:t>past.</w:t>
      </w:r>
      <w:r w:rsidR="003D640C">
        <w:rPr>
          <w:lang w:eastAsia="en-NZ"/>
        </w:rPr>
        <w:t xml:space="preserve"> </w:t>
      </w:r>
    </w:p>
    <w:p w14:paraId="3D091B76" w14:textId="08FB29D4" w:rsidR="00501068" w:rsidRDefault="00A83BE9" w:rsidP="00747446">
      <w:pPr>
        <w:rPr>
          <w:lang w:eastAsia="en-NZ"/>
        </w:rPr>
      </w:pPr>
      <w:r w:rsidRPr="00BB6220">
        <w:rPr>
          <w:lang w:eastAsia="en-NZ"/>
        </w:rPr>
        <w:lastRenderedPageBreak/>
        <w:t>Prevention</w:t>
      </w:r>
      <w:r w:rsidR="003D640C">
        <w:rPr>
          <w:lang w:eastAsia="en-NZ"/>
        </w:rPr>
        <w:t xml:space="preserve"> </w:t>
      </w:r>
      <w:r w:rsidRPr="00BB6220">
        <w:rPr>
          <w:lang w:eastAsia="en-NZ"/>
        </w:rPr>
        <w:t>could</w:t>
      </w:r>
      <w:r w:rsidR="003D640C">
        <w:rPr>
          <w:lang w:eastAsia="en-NZ"/>
        </w:rPr>
        <w:t xml:space="preserve"> </w:t>
      </w:r>
      <w:r w:rsidRPr="00BB6220">
        <w:rPr>
          <w:lang w:eastAsia="en-NZ"/>
        </w:rPr>
        <w:t>be</w:t>
      </w:r>
      <w:r w:rsidR="003D640C">
        <w:rPr>
          <w:lang w:eastAsia="en-NZ"/>
        </w:rPr>
        <w:t xml:space="preserve"> </w:t>
      </w:r>
      <w:r w:rsidRPr="00BB6220">
        <w:rPr>
          <w:lang w:eastAsia="en-NZ"/>
        </w:rPr>
        <w:t>supported</w:t>
      </w:r>
      <w:r w:rsidR="003D640C">
        <w:rPr>
          <w:lang w:eastAsia="en-NZ"/>
        </w:rPr>
        <w:t xml:space="preserve"> </w:t>
      </w:r>
      <w:r w:rsidRPr="00BB6220">
        <w:rPr>
          <w:lang w:eastAsia="en-NZ"/>
        </w:rPr>
        <w:t>through</w:t>
      </w:r>
      <w:r w:rsidR="003D640C">
        <w:rPr>
          <w:lang w:eastAsia="en-NZ"/>
        </w:rPr>
        <w:t xml:space="preserve"> </w:t>
      </w:r>
      <w:r w:rsidRPr="00BB6220">
        <w:rPr>
          <w:lang w:eastAsia="en-NZ"/>
        </w:rPr>
        <w:t>Māori</w:t>
      </w:r>
      <w:r w:rsidR="001D6155" w:rsidRPr="00BB6220">
        <w:rPr>
          <w:lang w:eastAsia="en-NZ"/>
        </w:rPr>
        <w:t>-</w:t>
      </w:r>
      <w:r w:rsidRPr="00BB6220">
        <w:rPr>
          <w:lang w:eastAsia="en-NZ"/>
        </w:rPr>
        <w:t>led</w:t>
      </w:r>
      <w:r w:rsidR="003D640C">
        <w:rPr>
          <w:lang w:eastAsia="en-NZ"/>
        </w:rPr>
        <w:t xml:space="preserve"> </w:t>
      </w:r>
      <w:r w:rsidRPr="00BB6220">
        <w:rPr>
          <w:lang w:eastAsia="en-NZ"/>
        </w:rPr>
        <w:t>education</w:t>
      </w:r>
      <w:r w:rsidR="003D640C">
        <w:rPr>
          <w:lang w:eastAsia="en-NZ"/>
        </w:rPr>
        <w:t xml:space="preserve"> </w:t>
      </w:r>
      <w:r w:rsidRPr="00BB6220">
        <w:rPr>
          <w:lang w:eastAsia="en-NZ"/>
        </w:rPr>
        <w:t>about</w:t>
      </w:r>
      <w:r w:rsidR="003D640C">
        <w:rPr>
          <w:lang w:eastAsia="en-NZ"/>
        </w:rPr>
        <w:t xml:space="preserve"> </w:t>
      </w:r>
      <w:r w:rsidRPr="00BB6220">
        <w:rPr>
          <w:lang w:eastAsia="en-NZ"/>
        </w:rPr>
        <w:t>the</w:t>
      </w:r>
      <w:r w:rsidR="003D640C">
        <w:rPr>
          <w:lang w:eastAsia="en-NZ"/>
        </w:rPr>
        <w:t xml:space="preserve"> </w:t>
      </w:r>
      <w:r w:rsidRPr="00BB6220">
        <w:rPr>
          <w:lang w:eastAsia="en-NZ"/>
        </w:rPr>
        <w:t>traditional</w:t>
      </w:r>
      <w:r w:rsidR="003D640C">
        <w:rPr>
          <w:lang w:eastAsia="en-NZ"/>
        </w:rPr>
        <w:t xml:space="preserve"> </w:t>
      </w:r>
      <w:r w:rsidRPr="00BB6220">
        <w:rPr>
          <w:lang w:eastAsia="en-NZ"/>
        </w:rPr>
        <w:t>acceptance</w:t>
      </w:r>
      <w:r w:rsidR="003D640C">
        <w:rPr>
          <w:lang w:eastAsia="en-NZ"/>
        </w:rPr>
        <w:t xml:space="preserve"> </w:t>
      </w:r>
      <w:r w:rsidRPr="00BB6220">
        <w:rPr>
          <w:lang w:eastAsia="en-NZ"/>
        </w:rPr>
        <w:t>of</w:t>
      </w:r>
      <w:r w:rsidR="003D640C">
        <w:rPr>
          <w:lang w:eastAsia="en-NZ"/>
        </w:rPr>
        <w:t xml:space="preserve"> </w:t>
      </w:r>
      <w:r w:rsidRPr="00BB6220">
        <w:rPr>
          <w:lang w:eastAsia="en-NZ"/>
        </w:rPr>
        <w:t>diverse</w:t>
      </w:r>
      <w:r w:rsidR="003D640C">
        <w:rPr>
          <w:lang w:eastAsia="en-NZ"/>
        </w:rPr>
        <w:t xml:space="preserve"> </w:t>
      </w:r>
      <w:r w:rsidRPr="00BB6220">
        <w:rPr>
          <w:lang w:eastAsia="en-NZ"/>
        </w:rPr>
        <w:t>Māori</w:t>
      </w:r>
      <w:r w:rsidR="003D640C">
        <w:rPr>
          <w:lang w:eastAsia="en-NZ"/>
        </w:rPr>
        <w:t xml:space="preserve"> </w:t>
      </w:r>
      <w:r w:rsidRPr="00BB6220">
        <w:rPr>
          <w:lang w:eastAsia="en-NZ"/>
        </w:rPr>
        <w:t>identities</w:t>
      </w:r>
      <w:r w:rsidR="003D640C">
        <w:rPr>
          <w:lang w:eastAsia="en-NZ"/>
        </w:rPr>
        <w:t xml:space="preserve"> </w:t>
      </w:r>
      <w:r w:rsidRPr="00BB6220">
        <w:rPr>
          <w:lang w:eastAsia="en-NZ"/>
        </w:rPr>
        <w:t>within</w:t>
      </w:r>
      <w:r w:rsidR="003D640C">
        <w:rPr>
          <w:lang w:eastAsia="en-NZ"/>
        </w:rPr>
        <w:t xml:space="preserve"> </w:t>
      </w:r>
      <w:r w:rsidRPr="00BB6220">
        <w:rPr>
          <w:lang w:eastAsia="en-NZ"/>
        </w:rPr>
        <w:t>whānau</w:t>
      </w:r>
      <w:r w:rsidR="003D640C">
        <w:rPr>
          <w:lang w:eastAsia="en-NZ"/>
        </w:rPr>
        <w:t xml:space="preserve"> </w:t>
      </w:r>
      <w:r w:rsidRPr="00BB6220">
        <w:rPr>
          <w:lang w:eastAsia="en-NZ"/>
        </w:rPr>
        <w:t>and</w:t>
      </w:r>
      <w:r w:rsidR="003D640C">
        <w:rPr>
          <w:lang w:eastAsia="en-NZ"/>
        </w:rPr>
        <w:t xml:space="preserve"> </w:t>
      </w:r>
      <w:r w:rsidRPr="00BB6220">
        <w:rPr>
          <w:lang w:eastAsia="en-NZ"/>
        </w:rPr>
        <w:t>hapū</w:t>
      </w:r>
      <w:r w:rsidR="003D640C">
        <w:rPr>
          <w:lang w:eastAsia="en-NZ"/>
        </w:rPr>
        <w:t xml:space="preserve"> </w:t>
      </w:r>
      <w:r w:rsidRPr="00BB6220">
        <w:rPr>
          <w:lang w:eastAsia="en-NZ"/>
        </w:rPr>
        <w:t>and</w:t>
      </w:r>
      <w:r w:rsidR="003D640C">
        <w:rPr>
          <w:lang w:eastAsia="en-NZ"/>
        </w:rPr>
        <w:t xml:space="preserve"> </w:t>
      </w:r>
      <w:r w:rsidRPr="00BB6220">
        <w:rPr>
          <w:lang w:eastAsia="en-NZ"/>
        </w:rPr>
        <w:t>how</w:t>
      </w:r>
      <w:r w:rsidR="003D640C">
        <w:rPr>
          <w:lang w:eastAsia="en-NZ"/>
        </w:rPr>
        <w:t xml:space="preserve"> </w:t>
      </w:r>
      <w:r w:rsidRPr="00BB6220">
        <w:rPr>
          <w:lang w:eastAsia="en-NZ"/>
        </w:rPr>
        <w:t>these</w:t>
      </w:r>
      <w:r w:rsidR="003D640C">
        <w:rPr>
          <w:lang w:eastAsia="en-NZ"/>
        </w:rPr>
        <w:t xml:space="preserve"> </w:t>
      </w:r>
      <w:r w:rsidRPr="00BB6220">
        <w:rPr>
          <w:lang w:eastAsia="en-NZ"/>
        </w:rPr>
        <w:t>views</w:t>
      </w:r>
      <w:r w:rsidR="003D640C">
        <w:rPr>
          <w:lang w:eastAsia="en-NZ"/>
        </w:rPr>
        <w:t xml:space="preserve"> </w:t>
      </w:r>
      <w:r w:rsidRPr="00BB6220">
        <w:rPr>
          <w:lang w:eastAsia="en-NZ"/>
        </w:rPr>
        <w:t>were</w:t>
      </w:r>
      <w:r w:rsidR="003D640C">
        <w:rPr>
          <w:lang w:eastAsia="en-NZ"/>
        </w:rPr>
        <w:t xml:space="preserve"> </w:t>
      </w:r>
      <w:r w:rsidR="008B2605" w:rsidRPr="00BB6220">
        <w:rPr>
          <w:lang w:eastAsia="en-NZ"/>
        </w:rPr>
        <w:t>suppressed</w:t>
      </w:r>
      <w:r w:rsidR="003D640C">
        <w:rPr>
          <w:lang w:eastAsia="en-NZ"/>
        </w:rPr>
        <w:t xml:space="preserve"> </w:t>
      </w:r>
      <w:r w:rsidRPr="00BB6220">
        <w:rPr>
          <w:lang w:eastAsia="en-NZ"/>
        </w:rPr>
        <w:t>by</w:t>
      </w:r>
      <w:r w:rsidR="003D640C">
        <w:rPr>
          <w:lang w:eastAsia="en-NZ"/>
        </w:rPr>
        <w:t xml:space="preserve"> </w:t>
      </w:r>
      <w:r w:rsidRPr="00BB6220">
        <w:rPr>
          <w:lang w:eastAsia="en-NZ"/>
        </w:rPr>
        <w:t>colonisation.</w:t>
      </w:r>
      <w:r w:rsidR="003D640C">
        <w:rPr>
          <w:lang w:eastAsia="en-NZ"/>
        </w:rPr>
        <w:t xml:space="preserve"> </w:t>
      </w:r>
      <w:r w:rsidRPr="00BB6220">
        <w:rPr>
          <w:lang w:eastAsia="en-NZ"/>
        </w:rPr>
        <w:t>Giving</w:t>
      </w:r>
      <w:r w:rsidR="003D640C">
        <w:rPr>
          <w:lang w:eastAsia="en-NZ"/>
        </w:rPr>
        <w:t xml:space="preserve"> </w:t>
      </w:r>
      <w:r w:rsidRPr="00BB6220">
        <w:rPr>
          <w:lang w:eastAsia="en-NZ"/>
        </w:rPr>
        <w:t>a</w:t>
      </w:r>
      <w:r w:rsidR="003D640C">
        <w:rPr>
          <w:lang w:eastAsia="en-NZ"/>
        </w:rPr>
        <w:t xml:space="preserve"> </w:t>
      </w:r>
      <w:r w:rsidRPr="00BB6220">
        <w:rPr>
          <w:lang w:eastAsia="en-NZ"/>
        </w:rPr>
        <w:t>platform</w:t>
      </w:r>
      <w:r w:rsidR="003D640C">
        <w:rPr>
          <w:lang w:eastAsia="en-NZ"/>
        </w:rPr>
        <w:t xml:space="preserve"> </w:t>
      </w:r>
      <w:r w:rsidRPr="00BB6220">
        <w:rPr>
          <w:lang w:eastAsia="en-NZ"/>
        </w:rPr>
        <w:t>to</w:t>
      </w:r>
      <w:r w:rsidR="003D640C">
        <w:rPr>
          <w:lang w:eastAsia="en-NZ"/>
        </w:rPr>
        <w:t xml:space="preserve"> </w:t>
      </w:r>
      <w:r w:rsidRPr="00BB6220">
        <w:rPr>
          <w:lang w:eastAsia="en-NZ"/>
        </w:rPr>
        <w:t>stories</w:t>
      </w:r>
      <w:r w:rsidR="003D640C">
        <w:rPr>
          <w:lang w:eastAsia="en-NZ"/>
        </w:rPr>
        <w:t xml:space="preserve"> </w:t>
      </w:r>
      <w:r w:rsidRPr="00BB6220">
        <w:rPr>
          <w:lang w:eastAsia="en-NZ"/>
        </w:rPr>
        <w:t>about</w:t>
      </w:r>
      <w:r w:rsidR="003D640C">
        <w:rPr>
          <w:lang w:eastAsia="en-NZ"/>
        </w:rPr>
        <w:t xml:space="preserve"> </w:t>
      </w:r>
      <w:r w:rsidRPr="00BB6220">
        <w:rPr>
          <w:lang w:eastAsia="en-NZ"/>
        </w:rPr>
        <w:t>takatāpui</w:t>
      </w:r>
      <w:r w:rsidR="003D640C">
        <w:rPr>
          <w:lang w:eastAsia="en-NZ"/>
        </w:rPr>
        <w:t xml:space="preserve"> </w:t>
      </w:r>
      <w:r w:rsidRPr="00BB6220">
        <w:rPr>
          <w:lang w:eastAsia="en-NZ"/>
        </w:rPr>
        <w:t>and</w:t>
      </w:r>
      <w:r w:rsidR="003D640C">
        <w:rPr>
          <w:lang w:eastAsia="en-NZ"/>
        </w:rPr>
        <w:t xml:space="preserve"> </w:t>
      </w:r>
      <w:r w:rsidR="004F5650" w:rsidRPr="00BB6220">
        <w:rPr>
          <w:lang w:eastAsia="en-NZ"/>
        </w:rPr>
        <w:t>Māori</w:t>
      </w:r>
      <w:r w:rsidR="004F5650">
        <w:rPr>
          <w:lang w:eastAsia="en-NZ"/>
        </w:rPr>
        <w:t xml:space="preserve"> </w:t>
      </w:r>
      <w:r w:rsidR="008B2605" w:rsidRPr="00BB6220">
        <w:rPr>
          <w:lang w:eastAsia="en-NZ"/>
        </w:rPr>
        <w:t>Rainbow</w:t>
      </w:r>
      <w:r w:rsidR="00EC3959">
        <w:rPr>
          <w:lang w:eastAsia="en-NZ"/>
        </w:rPr>
        <w:t xml:space="preserve"> people</w:t>
      </w:r>
      <w:r w:rsidR="003D640C">
        <w:rPr>
          <w:lang w:eastAsia="en-NZ"/>
        </w:rPr>
        <w:t xml:space="preserve"> </w:t>
      </w:r>
      <w:r w:rsidRPr="00BB6220">
        <w:rPr>
          <w:lang w:eastAsia="en-NZ"/>
        </w:rPr>
        <w:t>throughout</w:t>
      </w:r>
      <w:r w:rsidR="003D640C">
        <w:rPr>
          <w:lang w:eastAsia="en-NZ"/>
        </w:rPr>
        <w:t xml:space="preserve"> </w:t>
      </w:r>
      <w:r w:rsidRPr="00BB6220">
        <w:rPr>
          <w:lang w:eastAsia="en-NZ"/>
        </w:rPr>
        <w:t>history</w:t>
      </w:r>
      <w:r w:rsidR="003D640C">
        <w:rPr>
          <w:lang w:eastAsia="en-NZ"/>
        </w:rPr>
        <w:t xml:space="preserve"> </w:t>
      </w:r>
      <w:r w:rsidRPr="00BB6220">
        <w:rPr>
          <w:lang w:eastAsia="en-NZ"/>
        </w:rPr>
        <w:t>may</w:t>
      </w:r>
      <w:r w:rsidR="003D640C">
        <w:rPr>
          <w:lang w:eastAsia="en-NZ"/>
        </w:rPr>
        <w:t xml:space="preserve"> </w:t>
      </w:r>
      <w:r w:rsidRPr="00BB6220">
        <w:rPr>
          <w:lang w:eastAsia="en-NZ"/>
        </w:rPr>
        <w:t>strengthen</w:t>
      </w:r>
      <w:r w:rsidR="003D640C">
        <w:rPr>
          <w:lang w:eastAsia="en-NZ"/>
        </w:rPr>
        <w:t xml:space="preserve"> </w:t>
      </w:r>
      <w:r w:rsidRPr="00BB6220">
        <w:rPr>
          <w:lang w:eastAsia="en-NZ"/>
        </w:rPr>
        <w:t>contemporary</w:t>
      </w:r>
      <w:r w:rsidR="003D640C">
        <w:rPr>
          <w:lang w:eastAsia="en-NZ"/>
        </w:rPr>
        <w:t xml:space="preserve"> </w:t>
      </w:r>
      <w:r w:rsidRPr="00BB6220">
        <w:rPr>
          <w:lang w:eastAsia="en-NZ"/>
        </w:rPr>
        <w:t>Māori</w:t>
      </w:r>
      <w:r w:rsidR="003D640C">
        <w:rPr>
          <w:lang w:eastAsia="en-NZ"/>
        </w:rPr>
        <w:t xml:space="preserve"> </w:t>
      </w:r>
      <w:r w:rsidRPr="00BB6220">
        <w:rPr>
          <w:lang w:eastAsia="en-NZ"/>
        </w:rPr>
        <w:t>views</w:t>
      </w:r>
      <w:r w:rsidR="003D640C">
        <w:rPr>
          <w:lang w:eastAsia="en-NZ"/>
        </w:rPr>
        <w:t xml:space="preserve"> </w:t>
      </w:r>
      <w:r w:rsidRPr="00BB6220">
        <w:rPr>
          <w:lang w:eastAsia="en-NZ"/>
        </w:rPr>
        <w:t>of</w:t>
      </w:r>
      <w:r w:rsidR="003D640C">
        <w:rPr>
          <w:lang w:eastAsia="en-NZ"/>
        </w:rPr>
        <w:t xml:space="preserve"> </w:t>
      </w:r>
      <w:r w:rsidRPr="00BB6220">
        <w:rPr>
          <w:lang w:eastAsia="en-NZ"/>
        </w:rPr>
        <w:t>gender,</w:t>
      </w:r>
      <w:r w:rsidR="003D640C">
        <w:rPr>
          <w:lang w:eastAsia="en-NZ"/>
        </w:rPr>
        <w:t xml:space="preserve"> </w:t>
      </w:r>
      <w:r w:rsidRPr="00BB6220">
        <w:rPr>
          <w:lang w:eastAsia="en-NZ"/>
        </w:rPr>
        <w:t>sex</w:t>
      </w:r>
      <w:r w:rsidR="02DC2161" w:rsidRPr="00BB6220">
        <w:rPr>
          <w:lang w:eastAsia="en-NZ"/>
        </w:rPr>
        <w:t>,</w:t>
      </w:r>
      <w:r w:rsidR="003D640C">
        <w:rPr>
          <w:lang w:eastAsia="en-NZ"/>
        </w:rPr>
        <w:t xml:space="preserve"> </w:t>
      </w:r>
      <w:r w:rsidRPr="00BB6220">
        <w:rPr>
          <w:lang w:eastAsia="en-NZ"/>
        </w:rPr>
        <w:t>and</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Pr="00BB6220">
        <w:rPr>
          <w:lang w:eastAsia="en-NZ"/>
        </w:rPr>
        <w:t>.</w:t>
      </w:r>
      <w:r w:rsidR="003D640C">
        <w:rPr>
          <w:lang w:eastAsia="en-NZ"/>
        </w:rPr>
        <w:t xml:space="preserve"> </w:t>
      </w:r>
    </w:p>
    <w:p w14:paraId="499574A1" w14:textId="602AB468" w:rsidR="00501068" w:rsidRPr="004134C1" w:rsidRDefault="001C3D70" w:rsidP="00747446">
      <w:pPr>
        <w:rPr>
          <w:lang w:eastAsia="en-NZ"/>
        </w:rPr>
      </w:pPr>
      <w:r>
        <w:rPr>
          <w:lang w:eastAsia="en-NZ"/>
        </w:rPr>
        <w:t>T</w:t>
      </w:r>
      <w:r w:rsidRPr="00BB6220">
        <w:rPr>
          <w:lang w:eastAsia="en-NZ"/>
        </w:rPr>
        <w:t>he</w:t>
      </w:r>
      <w:r w:rsidR="003D640C">
        <w:rPr>
          <w:lang w:eastAsia="en-NZ"/>
        </w:rPr>
        <w:t xml:space="preserve"> </w:t>
      </w:r>
      <w:r w:rsidRPr="00BB6220">
        <w:rPr>
          <w:lang w:eastAsia="en-NZ"/>
        </w:rPr>
        <w:t>burden</w:t>
      </w:r>
      <w:r w:rsidR="003D640C">
        <w:rPr>
          <w:lang w:eastAsia="en-NZ"/>
        </w:rPr>
        <w:t xml:space="preserve"> </w:t>
      </w:r>
      <w:r w:rsidRPr="00BB6220">
        <w:rPr>
          <w:lang w:eastAsia="en-NZ"/>
        </w:rPr>
        <w:t>of</w:t>
      </w:r>
      <w:r w:rsidR="003D640C">
        <w:rPr>
          <w:lang w:eastAsia="en-NZ"/>
        </w:rPr>
        <w:t xml:space="preserve"> </w:t>
      </w:r>
      <w:r>
        <w:rPr>
          <w:lang w:eastAsia="en-NZ"/>
        </w:rPr>
        <w:t>preventing</w:t>
      </w:r>
      <w:r w:rsidR="003D640C">
        <w:rPr>
          <w:lang w:eastAsia="en-NZ"/>
        </w:rPr>
        <w:t xml:space="preserve"> </w:t>
      </w:r>
      <w:r>
        <w:rPr>
          <w:lang w:eastAsia="en-NZ"/>
        </w:rPr>
        <w:t>conversion</w:t>
      </w:r>
      <w:r w:rsidR="003D640C">
        <w:rPr>
          <w:lang w:eastAsia="en-NZ"/>
        </w:rPr>
        <w:t xml:space="preserve"> </w:t>
      </w:r>
      <w:r>
        <w:rPr>
          <w:lang w:eastAsia="en-NZ"/>
        </w:rPr>
        <w:t>practices</w:t>
      </w:r>
      <w:r w:rsidR="003D640C">
        <w:rPr>
          <w:lang w:eastAsia="en-NZ"/>
        </w:rPr>
        <w:t xml:space="preserve"> </w:t>
      </w:r>
      <w:r w:rsidRPr="00BB6220">
        <w:rPr>
          <w:lang w:eastAsia="en-NZ"/>
        </w:rPr>
        <w:t>should</w:t>
      </w:r>
      <w:r w:rsidR="003D640C">
        <w:rPr>
          <w:lang w:eastAsia="en-NZ"/>
        </w:rPr>
        <w:t xml:space="preserve"> </w:t>
      </w:r>
      <w:r w:rsidRPr="00BB6220">
        <w:rPr>
          <w:lang w:eastAsia="en-NZ"/>
        </w:rPr>
        <w:t>not</w:t>
      </w:r>
      <w:r w:rsidR="003D640C">
        <w:rPr>
          <w:lang w:eastAsia="en-NZ"/>
        </w:rPr>
        <w:t xml:space="preserve"> </w:t>
      </w:r>
      <w:r w:rsidRPr="00BB6220">
        <w:rPr>
          <w:lang w:eastAsia="en-NZ"/>
        </w:rPr>
        <w:t>lie</w:t>
      </w:r>
      <w:r w:rsidR="003D640C">
        <w:rPr>
          <w:lang w:eastAsia="en-NZ"/>
        </w:rPr>
        <w:t xml:space="preserve"> </w:t>
      </w:r>
      <w:r w:rsidRPr="00BB6220">
        <w:rPr>
          <w:lang w:eastAsia="en-NZ"/>
        </w:rPr>
        <w:t>with</w:t>
      </w:r>
      <w:r w:rsidR="003D640C">
        <w:rPr>
          <w:lang w:eastAsia="en-NZ"/>
        </w:rPr>
        <w:t xml:space="preserve"> </w:t>
      </w:r>
      <w:r w:rsidRPr="00BB6220">
        <w:rPr>
          <w:lang w:eastAsia="en-NZ"/>
        </w:rPr>
        <w:t>Māori</w:t>
      </w:r>
      <w:r w:rsidR="003D640C">
        <w:rPr>
          <w:lang w:eastAsia="en-NZ"/>
        </w:rPr>
        <w:t xml:space="preserve"> </w:t>
      </w:r>
      <w:r w:rsidRPr="00BB6220">
        <w:rPr>
          <w:lang w:eastAsia="en-NZ"/>
        </w:rPr>
        <w:t>alone.</w:t>
      </w:r>
      <w:r w:rsidRPr="00BB6220" w:rsidDel="008E1CCA">
        <w:rPr>
          <w:lang w:eastAsia="en-NZ"/>
        </w:rPr>
        <w:t xml:space="preserve"> </w:t>
      </w:r>
      <w:r>
        <w:rPr>
          <w:lang w:eastAsia="en-NZ"/>
        </w:rPr>
        <w:t>T</w:t>
      </w:r>
      <w:r w:rsidR="002B2695" w:rsidRPr="00BB6220">
        <w:rPr>
          <w:lang w:eastAsia="en-NZ"/>
        </w:rPr>
        <w:t>he</w:t>
      </w:r>
      <w:r w:rsidR="003D640C">
        <w:rPr>
          <w:lang w:eastAsia="en-NZ"/>
        </w:rPr>
        <w:t xml:space="preserve"> </w:t>
      </w:r>
      <w:r w:rsidR="00970CFF">
        <w:rPr>
          <w:lang w:eastAsia="en-NZ"/>
        </w:rPr>
        <w:t>G</w:t>
      </w:r>
      <w:r w:rsidR="00A83BE9" w:rsidRPr="00BB6220">
        <w:rPr>
          <w:lang w:eastAsia="en-NZ"/>
        </w:rPr>
        <w:t>overnment</w:t>
      </w:r>
      <w:r w:rsidR="003D640C">
        <w:rPr>
          <w:lang w:eastAsia="en-NZ"/>
        </w:rPr>
        <w:t xml:space="preserve"> </w:t>
      </w:r>
      <w:r w:rsidR="00A83BE9" w:rsidRPr="00BB6220">
        <w:rPr>
          <w:lang w:eastAsia="en-NZ"/>
        </w:rPr>
        <w:t>has</w:t>
      </w:r>
      <w:r w:rsidR="003D640C">
        <w:rPr>
          <w:lang w:eastAsia="en-NZ"/>
        </w:rPr>
        <w:t xml:space="preserve"> </w:t>
      </w:r>
      <w:r w:rsidR="00A83BE9" w:rsidRPr="00BB6220">
        <w:rPr>
          <w:lang w:eastAsia="en-NZ"/>
        </w:rPr>
        <w:t>a</w:t>
      </w:r>
      <w:r w:rsidR="003D640C">
        <w:rPr>
          <w:lang w:eastAsia="en-NZ"/>
        </w:rPr>
        <w:t xml:space="preserve"> </w:t>
      </w:r>
      <w:r w:rsidR="00A83BE9" w:rsidRPr="00BB6220">
        <w:rPr>
          <w:lang w:eastAsia="en-NZ"/>
        </w:rPr>
        <w:t>responsibility</w:t>
      </w:r>
      <w:r w:rsidR="003D640C">
        <w:rPr>
          <w:lang w:eastAsia="en-NZ"/>
        </w:rPr>
        <w:t xml:space="preserve"> </w:t>
      </w:r>
      <w:r w:rsidR="00A83BE9" w:rsidRPr="00BB6220">
        <w:rPr>
          <w:lang w:eastAsia="en-NZ"/>
        </w:rPr>
        <w:t>to</w:t>
      </w:r>
      <w:r w:rsidR="003D640C">
        <w:rPr>
          <w:lang w:eastAsia="en-NZ"/>
        </w:rPr>
        <w:t xml:space="preserve"> </w:t>
      </w:r>
      <w:r w:rsidR="00A83BE9" w:rsidRPr="00BB6220">
        <w:rPr>
          <w:lang w:eastAsia="en-NZ"/>
        </w:rPr>
        <w:t>understand,</w:t>
      </w:r>
      <w:r w:rsidR="003D640C">
        <w:rPr>
          <w:lang w:eastAsia="en-NZ"/>
        </w:rPr>
        <w:t xml:space="preserve"> </w:t>
      </w:r>
      <w:r w:rsidR="00A83BE9" w:rsidRPr="00BB6220">
        <w:rPr>
          <w:lang w:eastAsia="en-NZ"/>
        </w:rPr>
        <w:t>acknowledge,</w:t>
      </w:r>
      <w:r w:rsidR="003D640C">
        <w:rPr>
          <w:lang w:eastAsia="en-NZ"/>
        </w:rPr>
        <w:t xml:space="preserve"> </w:t>
      </w:r>
      <w:r w:rsidR="00A83BE9" w:rsidRPr="00BB6220">
        <w:rPr>
          <w:lang w:eastAsia="en-NZ"/>
        </w:rPr>
        <w:t>and</w:t>
      </w:r>
      <w:r w:rsidR="003D640C">
        <w:rPr>
          <w:lang w:eastAsia="en-NZ"/>
        </w:rPr>
        <w:t xml:space="preserve"> </w:t>
      </w:r>
      <w:r w:rsidR="00A83BE9" w:rsidRPr="00BB6220">
        <w:rPr>
          <w:lang w:eastAsia="en-NZ"/>
        </w:rPr>
        <w:t>address</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harm</w:t>
      </w:r>
      <w:r w:rsidR="003D640C">
        <w:rPr>
          <w:lang w:eastAsia="en-NZ"/>
        </w:rPr>
        <w:t xml:space="preserve"> </w:t>
      </w:r>
      <w:r w:rsidR="00A83BE9" w:rsidRPr="00BB6220">
        <w:rPr>
          <w:lang w:eastAsia="en-NZ"/>
        </w:rPr>
        <w:t>caused</w:t>
      </w:r>
      <w:r w:rsidR="003D640C">
        <w:rPr>
          <w:lang w:eastAsia="en-NZ"/>
        </w:rPr>
        <w:t xml:space="preserve"> </w:t>
      </w:r>
      <w:r w:rsidR="003B229F" w:rsidRPr="00BB6220">
        <w:rPr>
          <w:lang w:eastAsia="en-NZ"/>
        </w:rPr>
        <w:t>by</w:t>
      </w:r>
      <w:r w:rsidR="003D640C">
        <w:rPr>
          <w:lang w:eastAsia="en-NZ"/>
        </w:rPr>
        <w:t xml:space="preserve"> </w:t>
      </w:r>
      <w:r w:rsidR="00A83BE9" w:rsidRPr="00BB6220">
        <w:rPr>
          <w:lang w:eastAsia="en-NZ"/>
        </w:rPr>
        <w:t>the</w:t>
      </w:r>
      <w:r w:rsidR="003D640C">
        <w:rPr>
          <w:lang w:eastAsia="en-NZ"/>
        </w:rPr>
        <w:t xml:space="preserve"> </w:t>
      </w:r>
      <w:r w:rsidR="00A83BE9" w:rsidRPr="00BB6220">
        <w:rPr>
          <w:lang w:eastAsia="en-NZ"/>
        </w:rPr>
        <w:t>systemic</w:t>
      </w:r>
      <w:r w:rsidR="003D640C">
        <w:rPr>
          <w:lang w:eastAsia="en-NZ"/>
        </w:rPr>
        <w:t xml:space="preserve"> </w:t>
      </w:r>
      <w:r w:rsidR="00A83BE9" w:rsidRPr="00BB6220">
        <w:rPr>
          <w:lang w:eastAsia="en-NZ"/>
        </w:rPr>
        <w:t>destruction</w:t>
      </w:r>
      <w:r w:rsidR="003D640C">
        <w:rPr>
          <w:lang w:eastAsia="en-NZ"/>
        </w:rPr>
        <w:t xml:space="preserve"> </w:t>
      </w:r>
      <w:r w:rsidR="00A83BE9" w:rsidRPr="00BB6220">
        <w:rPr>
          <w:lang w:eastAsia="en-NZ"/>
        </w:rPr>
        <w:t>of</w:t>
      </w:r>
      <w:r w:rsidR="003D640C">
        <w:rPr>
          <w:lang w:eastAsia="en-NZ"/>
        </w:rPr>
        <w:t xml:space="preserve"> </w:t>
      </w:r>
      <w:r w:rsidR="00A83BE9" w:rsidRPr="00BB6220">
        <w:rPr>
          <w:lang w:eastAsia="en-NZ"/>
        </w:rPr>
        <w:t>tino</w:t>
      </w:r>
      <w:r w:rsidR="003D640C">
        <w:rPr>
          <w:lang w:eastAsia="en-NZ"/>
        </w:rPr>
        <w:t xml:space="preserve"> </w:t>
      </w:r>
      <w:r w:rsidR="00A83BE9" w:rsidRPr="00BB6220">
        <w:rPr>
          <w:lang w:eastAsia="en-NZ"/>
        </w:rPr>
        <w:t>rangatiratanga</w:t>
      </w:r>
      <w:r w:rsidR="008B2605" w:rsidRPr="00BB6220">
        <w:rPr>
          <w:lang w:eastAsia="en-NZ"/>
        </w:rPr>
        <w:t>,</w:t>
      </w:r>
      <w:r w:rsidR="003D640C">
        <w:rPr>
          <w:lang w:eastAsia="en-NZ"/>
        </w:rPr>
        <w:t xml:space="preserve"> </w:t>
      </w:r>
      <w:r w:rsidR="008B2605" w:rsidRPr="00BB6220">
        <w:rPr>
          <w:lang w:eastAsia="en-NZ"/>
        </w:rPr>
        <w:t>including</w:t>
      </w:r>
      <w:r w:rsidR="003D640C">
        <w:rPr>
          <w:lang w:eastAsia="en-NZ"/>
        </w:rPr>
        <w:t xml:space="preserve"> </w:t>
      </w:r>
      <w:r w:rsidR="008B2605" w:rsidRPr="00BB6220">
        <w:rPr>
          <w:lang w:eastAsia="en-NZ"/>
        </w:rPr>
        <w:t>on</w:t>
      </w:r>
      <w:r w:rsidR="003D640C">
        <w:rPr>
          <w:lang w:eastAsia="en-NZ"/>
        </w:rPr>
        <w:t xml:space="preserve"> </w:t>
      </w:r>
      <w:r w:rsidR="008B2605" w:rsidRPr="00BB6220">
        <w:rPr>
          <w:lang w:eastAsia="en-NZ"/>
        </w:rPr>
        <w:t>gender</w:t>
      </w:r>
      <w:r w:rsidR="003D640C">
        <w:rPr>
          <w:lang w:eastAsia="en-NZ"/>
        </w:rPr>
        <w:t xml:space="preserve"> </w:t>
      </w:r>
      <w:r w:rsidR="008B2605" w:rsidRPr="00BB6220">
        <w:rPr>
          <w:lang w:eastAsia="en-NZ"/>
        </w:rPr>
        <w:t>and</w:t>
      </w:r>
      <w:r w:rsidR="003D640C">
        <w:rPr>
          <w:lang w:eastAsia="en-NZ"/>
        </w:rPr>
        <w:t xml:space="preserve"> </w:t>
      </w:r>
      <w:r w:rsidR="008B2605" w:rsidRPr="00BB6220">
        <w:rPr>
          <w:lang w:eastAsia="en-NZ"/>
        </w:rPr>
        <w:t>sexuality</w:t>
      </w:r>
      <w:r w:rsidR="00A83BE9" w:rsidRPr="00BB6220">
        <w:rPr>
          <w:lang w:eastAsia="en-NZ"/>
        </w:rPr>
        <w:t>.</w:t>
      </w:r>
      <w:r w:rsidR="003D640C">
        <w:rPr>
          <w:lang w:eastAsia="en-NZ"/>
        </w:rPr>
        <w:t xml:space="preserve"> </w:t>
      </w:r>
      <w:r w:rsidR="00A83BE9" w:rsidRPr="00BB6220">
        <w:rPr>
          <w:lang w:eastAsia="en-NZ"/>
        </w:rPr>
        <w:t>This</w:t>
      </w:r>
      <w:r w:rsidR="003D640C">
        <w:rPr>
          <w:lang w:eastAsia="en-NZ"/>
        </w:rPr>
        <w:t xml:space="preserve"> </w:t>
      </w:r>
      <w:r w:rsidR="00A83BE9" w:rsidRPr="00BB6220">
        <w:rPr>
          <w:lang w:eastAsia="en-NZ"/>
        </w:rPr>
        <w:t>engage</w:t>
      </w:r>
      <w:r w:rsidR="00E34E8B" w:rsidRPr="00BB6220">
        <w:rPr>
          <w:lang w:eastAsia="en-NZ"/>
        </w:rPr>
        <w:t>s</w:t>
      </w:r>
      <w:r w:rsidR="003D640C">
        <w:rPr>
          <w:lang w:eastAsia="en-NZ"/>
        </w:rPr>
        <w:t xml:space="preserve"> </w:t>
      </w:r>
      <w:bookmarkStart w:id="239" w:name="_Int_rXsOEdeB"/>
      <w:r w:rsidR="00A83BE9" w:rsidRPr="00BB6220">
        <w:rPr>
          <w:lang w:eastAsia="en-NZ"/>
        </w:rPr>
        <w:t>a</w:t>
      </w:r>
      <w:r w:rsidR="003D640C">
        <w:rPr>
          <w:lang w:eastAsia="en-NZ"/>
        </w:rPr>
        <w:t xml:space="preserve"> </w:t>
      </w:r>
      <w:r w:rsidR="00A83BE9" w:rsidRPr="00BB6220">
        <w:rPr>
          <w:lang w:eastAsia="en-NZ"/>
        </w:rPr>
        <w:t>number</w:t>
      </w:r>
      <w:r w:rsidR="003D640C">
        <w:rPr>
          <w:lang w:eastAsia="en-NZ"/>
        </w:rPr>
        <w:t xml:space="preserve"> </w:t>
      </w:r>
      <w:r w:rsidR="00A83BE9" w:rsidRPr="00BB6220">
        <w:rPr>
          <w:lang w:eastAsia="en-NZ"/>
        </w:rPr>
        <w:t>of</w:t>
      </w:r>
      <w:bookmarkEnd w:id="239"/>
      <w:r w:rsidR="003D640C">
        <w:rPr>
          <w:lang w:eastAsia="en-NZ"/>
        </w:rPr>
        <w:t xml:space="preserve"> </w:t>
      </w:r>
      <w:r w:rsidR="003C016D" w:rsidRPr="00BB6220">
        <w:rPr>
          <w:lang w:eastAsia="en-NZ"/>
        </w:rPr>
        <w:t>human</w:t>
      </w:r>
      <w:r w:rsidR="003D640C">
        <w:rPr>
          <w:lang w:eastAsia="en-NZ"/>
        </w:rPr>
        <w:t xml:space="preserve"> </w:t>
      </w:r>
      <w:r w:rsidR="003C016D" w:rsidRPr="00BB6220">
        <w:rPr>
          <w:lang w:eastAsia="en-NZ"/>
        </w:rPr>
        <w:t>rights</w:t>
      </w:r>
      <w:r w:rsidR="003D640C">
        <w:rPr>
          <w:lang w:eastAsia="en-NZ"/>
        </w:rPr>
        <w:t xml:space="preserve"> </w:t>
      </w:r>
      <w:r w:rsidR="003C016D" w:rsidRPr="00BB6220">
        <w:rPr>
          <w:lang w:eastAsia="en-NZ"/>
        </w:rPr>
        <w:t>and</w:t>
      </w:r>
      <w:r w:rsidR="003D640C">
        <w:rPr>
          <w:lang w:eastAsia="en-NZ"/>
        </w:rPr>
        <w:t xml:space="preserve"> </w:t>
      </w:r>
      <w:r w:rsidR="003C016D" w:rsidRPr="00BB6220">
        <w:rPr>
          <w:lang w:eastAsia="en-NZ"/>
        </w:rPr>
        <w:t>Tiriti</w:t>
      </w:r>
      <w:r w:rsidR="003D640C" w:rsidDel="00970CFF">
        <w:rPr>
          <w:lang w:eastAsia="en-NZ"/>
        </w:rPr>
        <w:t xml:space="preserve"> </w:t>
      </w:r>
      <w:r w:rsidR="00A83BE9" w:rsidRPr="00BB6220">
        <w:rPr>
          <w:lang w:eastAsia="en-NZ"/>
        </w:rPr>
        <w:t>responsibilities</w:t>
      </w:r>
      <w:r w:rsidR="003D640C">
        <w:rPr>
          <w:lang w:eastAsia="en-NZ"/>
        </w:rPr>
        <w:t xml:space="preserve"> </w:t>
      </w:r>
      <w:r w:rsidR="00A83BE9" w:rsidRPr="00BB6220">
        <w:rPr>
          <w:lang w:eastAsia="en-NZ"/>
        </w:rPr>
        <w:t>for</w:t>
      </w:r>
      <w:r w:rsidR="003D640C">
        <w:rPr>
          <w:lang w:eastAsia="en-NZ"/>
        </w:rPr>
        <w:t xml:space="preserve"> </w:t>
      </w:r>
      <w:r w:rsidR="00E34E8B" w:rsidRPr="00BB6220">
        <w:rPr>
          <w:lang w:eastAsia="en-NZ"/>
        </w:rPr>
        <w:t>the</w:t>
      </w:r>
      <w:r w:rsidR="003D640C">
        <w:rPr>
          <w:lang w:eastAsia="en-NZ"/>
        </w:rPr>
        <w:t xml:space="preserve"> </w:t>
      </w:r>
      <w:r w:rsidR="003B229F" w:rsidRPr="00BB6220">
        <w:rPr>
          <w:lang w:eastAsia="en-NZ"/>
        </w:rPr>
        <w:t>G</w:t>
      </w:r>
      <w:r w:rsidR="00A83BE9" w:rsidRPr="00BB6220">
        <w:rPr>
          <w:lang w:eastAsia="en-NZ"/>
        </w:rPr>
        <w:t>overnment,</w:t>
      </w:r>
      <w:r w:rsidR="003D640C">
        <w:rPr>
          <w:lang w:eastAsia="en-NZ"/>
        </w:rPr>
        <w:t xml:space="preserve"> </w:t>
      </w:r>
      <w:r w:rsidR="003B229F" w:rsidRPr="00BB6220">
        <w:rPr>
          <w:lang w:eastAsia="en-NZ"/>
        </w:rPr>
        <w:t>including</w:t>
      </w:r>
      <w:r w:rsidR="003D640C">
        <w:rPr>
          <w:lang w:eastAsia="en-NZ"/>
        </w:rPr>
        <w:t xml:space="preserve"> </w:t>
      </w:r>
      <w:r w:rsidR="00A83BE9" w:rsidRPr="00BB6220">
        <w:rPr>
          <w:lang w:eastAsia="en-NZ"/>
        </w:rPr>
        <w:t>providing</w:t>
      </w:r>
      <w:r w:rsidR="003D640C">
        <w:rPr>
          <w:lang w:eastAsia="en-NZ"/>
        </w:rPr>
        <w:t xml:space="preserve"> </w:t>
      </w:r>
      <w:r w:rsidR="00A83BE9" w:rsidRPr="00BB6220">
        <w:rPr>
          <w:lang w:eastAsia="en-NZ"/>
        </w:rPr>
        <w:t>appropriate</w:t>
      </w:r>
      <w:r w:rsidR="003D640C">
        <w:rPr>
          <w:lang w:eastAsia="en-NZ"/>
        </w:rPr>
        <w:t xml:space="preserve"> </w:t>
      </w:r>
      <w:r w:rsidR="00A83BE9" w:rsidRPr="00BB6220">
        <w:rPr>
          <w:lang w:eastAsia="en-NZ"/>
        </w:rPr>
        <w:t>mental</w:t>
      </w:r>
      <w:r w:rsidR="003D640C">
        <w:rPr>
          <w:lang w:eastAsia="en-NZ"/>
        </w:rPr>
        <w:t xml:space="preserve"> </w:t>
      </w:r>
      <w:r w:rsidR="00A83BE9" w:rsidRPr="00BB6220">
        <w:rPr>
          <w:lang w:eastAsia="en-NZ"/>
        </w:rPr>
        <w:t>health</w:t>
      </w:r>
      <w:r w:rsidR="003D640C">
        <w:rPr>
          <w:lang w:eastAsia="en-NZ"/>
        </w:rPr>
        <w:t xml:space="preserve"> </w:t>
      </w:r>
      <w:r w:rsidR="00A83BE9" w:rsidRPr="00BB6220">
        <w:rPr>
          <w:lang w:eastAsia="en-NZ"/>
        </w:rPr>
        <w:t>support</w:t>
      </w:r>
      <w:r w:rsidR="003D640C">
        <w:rPr>
          <w:lang w:eastAsia="en-NZ"/>
        </w:rPr>
        <w:t xml:space="preserve"> </w:t>
      </w:r>
      <w:r w:rsidR="00A83BE9" w:rsidRPr="00BB6220">
        <w:rPr>
          <w:lang w:eastAsia="en-NZ"/>
        </w:rPr>
        <w:t>for</w:t>
      </w:r>
      <w:r w:rsidR="003D640C">
        <w:rPr>
          <w:lang w:eastAsia="en-NZ"/>
        </w:rPr>
        <w:t xml:space="preserve"> </w:t>
      </w:r>
      <w:r w:rsidR="00A83BE9" w:rsidRPr="00BB6220">
        <w:rPr>
          <w:lang w:eastAsia="en-NZ"/>
        </w:rPr>
        <w:t>takatāpui</w:t>
      </w:r>
      <w:r w:rsidR="003D640C">
        <w:rPr>
          <w:lang w:eastAsia="en-NZ"/>
        </w:rPr>
        <w:t xml:space="preserve"> </w:t>
      </w:r>
      <w:r w:rsidR="00A83BE9" w:rsidRPr="00BB6220">
        <w:rPr>
          <w:lang w:eastAsia="en-NZ"/>
        </w:rPr>
        <w:t>and</w:t>
      </w:r>
      <w:r w:rsidR="003D640C">
        <w:rPr>
          <w:lang w:eastAsia="en-NZ"/>
        </w:rPr>
        <w:t xml:space="preserve"> </w:t>
      </w:r>
      <w:r w:rsidR="004F5650" w:rsidRPr="00BB6220">
        <w:rPr>
          <w:lang w:eastAsia="en-NZ"/>
        </w:rPr>
        <w:t>Māori</w:t>
      </w:r>
      <w:r w:rsidR="004F5650">
        <w:rPr>
          <w:lang w:eastAsia="en-NZ"/>
        </w:rPr>
        <w:t xml:space="preserve"> </w:t>
      </w:r>
      <w:r w:rsidR="008B2605" w:rsidRPr="00BB6220">
        <w:rPr>
          <w:lang w:eastAsia="en-NZ"/>
        </w:rPr>
        <w:t>Rainbow</w:t>
      </w:r>
      <w:r w:rsidR="003D640C">
        <w:rPr>
          <w:lang w:eastAsia="en-NZ"/>
        </w:rPr>
        <w:t xml:space="preserve"> </w:t>
      </w:r>
      <w:r w:rsidR="003C016D" w:rsidRPr="00BB6220">
        <w:rPr>
          <w:lang w:eastAsia="en-NZ"/>
        </w:rPr>
        <w:t>survivors</w:t>
      </w:r>
      <w:r w:rsidR="00A83BE9" w:rsidRPr="00BB6220">
        <w:rPr>
          <w:lang w:eastAsia="en-NZ"/>
        </w:rPr>
        <w:t>.</w:t>
      </w:r>
      <w:r w:rsidR="003D640C">
        <w:rPr>
          <w:lang w:eastAsia="en-NZ"/>
        </w:rPr>
        <w:t xml:space="preserve"> </w:t>
      </w:r>
      <w:r w:rsidR="00627D2A" w:rsidRPr="00723D56">
        <w:rPr>
          <w:lang w:eastAsia="en-NZ"/>
        </w:rPr>
        <w:t>See</w:t>
      </w:r>
      <w:r w:rsidR="003D640C" w:rsidRPr="00723D56">
        <w:rPr>
          <w:lang w:eastAsia="en-NZ"/>
        </w:rPr>
        <w:t xml:space="preserve"> </w:t>
      </w:r>
      <w:r w:rsidR="00627D2A" w:rsidRPr="00723D56">
        <w:rPr>
          <w:lang w:eastAsia="en-NZ"/>
        </w:rPr>
        <w:t>recommendations</w:t>
      </w:r>
      <w:r w:rsidR="003D640C" w:rsidRPr="00723D56">
        <w:rPr>
          <w:lang w:eastAsia="en-NZ"/>
        </w:rPr>
        <w:t xml:space="preserve"> </w:t>
      </w:r>
      <w:r w:rsidR="000F206E">
        <w:rPr>
          <w:lang w:eastAsia="en-NZ"/>
        </w:rPr>
        <w:t xml:space="preserve">2, and </w:t>
      </w:r>
      <w:r w:rsidR="00627D2A" w:rsidRPr="00723D56">
        <w:rPr>
          <w:lang w:eastAsia="en-NZ"/>
        </w:rPr>
        <w:t>2</w:t>
      </w:r>
      <w:r w:rsidR="000F206E">
        <w:rPr>
          <w:lang w:eastAsia="en-NZ"/>
        </w:rPr>
        <w:t>5</w:t>
      </w:r>
      <w:r w:rsidR="004134C1" w:rsidRPr="00723D56">
        <w:rPr>
          <w:lang w:eastAsia="en-NZ"/>
        </w:rPr>
        <w:t>–</w:t>
      </w:r>
      <w:r w:rsidR="00627D2A" w:rsidRPr="00723D56">
        <w:rPr>
          <w:lang w:eastAsia="en-NZ"/>
        </w:rPr>
        <w:t>2</w:t>
      </w:r>
      <w:r w:rsidR="000F206E">
        <w:rPr>
          <w:lang w:eastAsia="en-NZ"/>
        </w:rPr>
        <w:t>8</w:t>
      </w:r>
      <w:r w:rsidR="003D640C" w:rsidRPr="00723D56">
        <w:rPr>
          <w:lang w:eastAsia="en-NZ"/>
        </w:rPr>
        <w:t xml:space="preserve"> </w:t>
      </w:r>
      <w:r w:rsidR="00627D2A" w:rsidRPr="00723D56">
        <w:rPr>
          <w:lang w:eastAsia="en-NZ"/>
        </w:rPr>
        <w:t>in</w:t>
      </w:r>
      <w:r w:rsidR="003D640C" w:rsidRPr="00723D56">
        <w:rPr>
          <w:lang w:eastAsia="en-NZ"/>
        </w:rPr>
        <w:t xml:space="preserve"> </w:t>
      </w:r>
      <w:r w:rsidR="00627D2A" w:rsidRPr="00723D56">
        <w:rPr>
          <w:lang w:eastAsia="en-NZ"/>
        </w:rPr>
        <w:t>chapter</w:t>
      </w:r>
      <w:r w:rsidR="003D640C" w:rsidRPr="00723D56">
        <w:rPr>
          <w:lang w:eastAsia="en-NZ"/>
        </w:rPr>
        <w:t xml:space="preserve"> </w:t>
      </w:r>
      <w:r w:rsidR="004E2831">
        <w:rPr>
          <w:lang w:eastAsia="en-NZ"/>
        </w:rPr>
        <w:t>9</w:t>
      </w:r>
      <w:r w:rsidR="004134C1" w:rsidRPr="00723D56">
        <w:rPr>
          <w:rFonts w:ascii="Calibri" w:eastAsia="Calibri" w:hAnsi="Calibri" w:cs="Calibri"/>
          <w:color w:val="000000" w:themeColor="text1"/>
        </w:rPr>
        <w:fldChar w:fldCharType="begin"/>
      </w:r>
      <w:r w:rsidR="004134C1" w:rsidRPr="00723D56">
        <w:rPr>
          <w:rFonts w:ascii="Calibri" w:eastAsia="Calibri" w:hAnsi="Calibri" w:cs="Calibri"/>
          <w:color w:val="000000" w:themeColor="text1"/>
        </w:rPr>
        <w:instrText xml:space="preserve"> REF _Ref168393696 \r \h </w:instrText>
      </w:r>
      <w:r w:rsidR="00723D56" w:rsidRPr="00723D56">
        <w:rPr>
          <w:rFonts w:ascii="Calibri" w:eastAsia="Calibri" w:hAnsi="Calibri" w:cs="Calibri"/>
          <w:color w:val="000000" w:themeColor="text1"/>
        </w:rPr>
        <w:instrText xml:space="preserve"> \* MERGEFORMAT </w:instrText>
      </w:r>
      <w:r w:rsidR="004134C1" w:rsidRPr="00723D56">
        <w:rPr>
          <w:rFonts w:ascii="Calibri" w:eastAsia="Calibri" w:hAnsi="Calibri" w:cs="Calibri"/>
          <w:color w:val="000000" w:themeColor="text1"/>
        </w:rPr>
      </w:r>
      <w:r w:rsidR="00383541">
        <w:rPr>
          <w:rFonts w:ascii="Calibri" w:eastAsia="Calibri" w:hAnsi="Calibri" w:cs="Calibri"/>
          <w:color w:val="000000" w:themeColor="text1"/>
        </w:rPr>
        <w:fldChar w:fldCharType="separate"/>
      </w:r>
      <w:r w:rsidR="004134C1" w:rsidRPr="00723D56">
        <w:rPr>
          <w:rFonts w:ascii="Calibri" w:eastAsia="Calibri" w:hAnsi="Calibri" w:cs="Calibri"/>
          <w:color w:val="000000" w:themeColor="text1"/>
        </w:rPr>
        <w:fldChar w:fldCharType="end"/>
      </w:r>
      <w:r w:rsidR="00627D2A" w:rsidRPr="00723D56">
        <w:rPr>
          <w:lang w:eastAsia="en-NZ"/>
        </w:rPr>
        <w:t>.</w:t>
      </w:r>
    </w:p>
    <w:p w14:paraId="479EE916" w14:textId="551A55D3" w:rsidR="460E026A" w:rsidRDefault="460E026A">
      <w:r>
        <w:br w:type="page"/>
      </w:r>
    </w:p>
    <w:p w14:paraId="3C2C64AE" w14:textId="0F3D26E7" w:rsidR="255577F9" w:rsidRDefault="255577F9" w:rsidP="6223B888">
      <w:pPr>
        <w:pStyle w:val="Heading1"/>
      </w:pPr>
      <w:bookmarkStart w:id="240" w:name="_Toc488030672"/>
      <w:bookmarkStart w:id="241" w:name="_Toc174628669"/>
      <w:r>
        <w:lastRenderedPageBreak/>
        <w:t xml:space="preserve">Highlighting experiences of conversion practices in </w:t>
      </w:r>
      <w:r w:rsidR="00007890">
        <w:t xml:space="preserve">under-represented </w:t>
      </w:r>
      <w:r>
        <w:t>communities</w:t>
      </w:r>
      <w:bookmarkEnd w:id="240"/>
      <w:bookmarkEnd w:id="241"/>
    </w:p>
    <w:p w14:paraId="695CF92C" w14:textId="13C7E49F" w:rsidR="255577F9" w:rsidRDefault="255577F9" w:rsidP="6223B888">
      <w:pPr>
        <w:rPr>
          <w:color w:val="1F1F1F"/>
        </w:rPr>
      </w:pPr>
      <w:r w:rsidRPr="6223B888">
        <w:rPr>
          <w:lang w:eastAsia="en-NZ"/>
        </w:rPr>
        <w:t>The existing international evidence base largely documents the experiences of these in Christian settings and in relation to sexual orientation.</w:t>
      </w:r>
      <w:r w:rsidRPr="6223B888">
        <w:rPr>
          <w:rStyle w:val="FootnoteReference"/>
          <w:rFonts w:ascii="Calibri" w:eastAsia="Times New Roman" w:hAnsi="Calibri" w:cs="Calibri"/>
          <w:lang w:eastAsia="en-NZ"/>
        </w:rPr>
        <w:footnoteReference w:id="171"/>
      </w:r>
      <w:r w:rsidRPr="6223B888">
        <w:rPr>
          <w:lang w:eastAsia="en-NZ"/>
        </w:rPr>
        <w:t xml:space="preserve"> More information is needed on conversion practices experienced by minority ethnic groups and those from non-Christian faiths; as well as on the experiences of transgender and non-binary, and disabled survivors of conversion practices. In some cases, some groups who have received less attention may well be experiencing more severe and/or higher rates of these practices. Recent research focused on young people in Aotearoa found that those identifying as transgender, non-binary, or unsure of their gender reported higher rates of conversion practices than cisgender </w:t>
      </w:r>
      <w:r w:rsidR="00BE6456">
        <w:rPr>
          <w:lang w:eastAsia="en-NZ"/>
        </w:rPr>
        <w:t xml:space="preserve">Rainbow </w:t>
      </w:r>
      <w:r w:rsidRPr="6223B888">
        <w:rPr>
          <w:lang w:eastAsia="en-NZ"/>
        </w:rPr>
        <w:t>young people.</w:t>
      </w:r>
      <w:r w:rsidRPr="6223B888">
        <w:rPr>
          <w:rStyle w:val="FootnoteReference"/>
          <w:rFonts w:ascii="Calibri" w:eastAsia="Times New Roman" w:hAnsi="Calibri" w:cs="Calibri"/>
          <w:lang w:eastAsia="en-NZ"/>
        </w:rPr>
        <w:footnoteReference w:id="172"/>
      </w:r>
      <w:r w:rsidRPr="6223B888">
        <w:rPr>
          <w:lang w:eastAsia="en-NZ"/>
        </w:rPr>
        <w:t xml:space="preserve"> A 2022 Australian study found that participants from minority ethnic and religious backgrounds were more likely than white Christian participants to report experiencing “explicitly coercive versions of conversion practices” and, in some cases, more severe versions of the practices.</w:t>
      </w:r>
      <w:r w:rsidRPr="6223B888">
        <w:rPr>
          <w:rStyle w:val="FootnoteReference"/>
          <w:color w:val="1F1F1F"/>
        </w:rPr>
        <w:footnoteReference w:id="173"/>
      </w:r>
    </w:p>
    <w:p w14:paraId="335ECFEC" w14:textId="4C6CFA10" w:rsidR="255577F9" w:rsidRDefault="65AF0F9D" w:rsidP="6223B888">
      <w:pPr>
        <w:rPr>
          <w:lang w:eastAsia="en-NZ"/>
        </w:rPr>
      </w:pPr>
      <w:r w:rsidRPr="6BEDE658">
        <w:rPr>
          <w:lang w:eastAsia="en-NZ"/>
        </w:rPr>
        <w:t xml:space="preserve">Given this lack of evidence base, this report has placed emphasis on gathering available evidence from research and engagement relating to the experience of conversion practices amongst groups for whom less is known. </w:t>
      </w:r>
      <w:r w:rsidR="255577F9" w:rsidRPr="6223B888">
        <w:rPr>
          <w:lang w:eastAsia="en-NZ"/>
        </w:rPr>
        <w:t xml:space="preserve">This chapter </w:t>
      </w:r>
      <w:r w:rsidR="458D90E4" w:rsidRPr="6BEDE658">
        <w:rPr>
          <w:lang w:eastAsia="en-NZ"/>
        </w:rPr>
        <w:t>and the previous one</w:t>
      </w:r>
      <w:r w:rsidR="255577F9" w:rsidRPr="6BEDE658">
        <w:rPr>
          <w:lang w:eastAsia="en-NZ"/>
        </w:rPr>
        <w:t xml:space="preserve"> centre</w:t>
      </w:r>
      <w:r w:rsidR="255577F9" w:rsidRPr="6223B888">
        <w:rPr>
          <w:lang w:eastAsia="en-NZ"/>
        </w:rPr>
        <w:t xml:space="preserve"> on Māori, Pacific, and minority ethnic and religious; trans, non-binary people; and, to a limited extent, disabled experiences by highlighting available data and, where possible, survivor experiences. Of course, these experiences are cross-cutting. For example, some of the trans and non-binary survivors we spoke with identified as belonging to minority ethnic communities. Some, but not all, of the minority ethnic people we engaged with experienced their conversion practices in Christian religious settings. In this chapter, we begin to explore the complexities inherent when a person has multiple overlapping marginalised </w:t>
      </w:r>
      <w:r w:rsidR="255577F9" w:rsidRPr="00744905">
        <w:rPr>
          <w:lang w:eastAsia="en-NZ"/>
        </w:rPr>
        <w:t>identities.</w:t>
      </w:r>
      <w:r w:rsidR="00B85EA8" w:rsidRPr="00744905">
        <w:rPr>
          <w:lang w:eastAsia="en-NZ"/>
        </w:rPr>
        <w:t xml:space="preserve"> </w:t>
      </w:r>
      <w:r w:rsidR="001E774A" w:rsidRPr="00744905">
        <w:rPr>
          <w:lang w:eastAsia="en-NZ"/>
        </w:rPr>
        <w:t>Please note, we include in this section some reference to</w:t>
      </w:r>
      <w:r w:rsidR="00B85EA8" w:rsidRPr="00744905">
        <w:rPr>
          <w:lang w:eastAsia="en-NZ"/>
        </w:rPr>
        <w:t xml:space="preserve"> practices that may not</w:t>
      </w:r>
      <w:r w:rsidR="001E774A" w:rsidRPr="00744905">
        <w:rPr>
          <w:lang w:eastAsia="en-NZ"/>
        </w:rPr>
        <w:t xml:space="preserve"> necessarily</w:t>
      </w:r>
      <w:r w:rsidR="00B85EA8" w:rsidRPr="00744905">
        <w:rPr>
          <w:lang w:eastAsia="en-NZ"/>
        </w:rPr>
        <w:t xml:space="preserve"> meet the legal threshold of </w:t>
      </w:r>
      <w:r w:rsidR="00C74368" w:rsidRPr="00744905">
        <w:rPr>
          <w:lang w:eastAsia="en-NZ"/>
        </w:rPr>
        <w:t xml:space="preserve">unlawful </w:t>
      </w:r>
      <w:r w:rsidR="00B85EA8" w:rsidRPr="00744905">
        <w:rPr>
          <w:lang w:eastAsia="en-NZ"/>
        </w:rPr>
        <w:t xml:space="preserve">conversion practices, particularly if they are not carried out in a sustained </w:t>
      </w:r>
      <w:r w:rsidR="001E774A" w:rsidRPr="00744905">
        <w:rPr>
          <w:lang w:eastAsia="en-NZ"/>
        </w:rPr>
        <w:t>manner</w:t>
      </w:r>
      <w:r w:rsidR="00B85EA8" w:rsidRPr="00744905">
        <w:rPr>
          <w:lang w:eastAsia="en-NZ"/>
        </w:rPr>
        <w:t>.</w:t>
      </w:r>
      <w:r w:rsidR="00B85EA8">
        <w:rPr>
          <w:lang w:eastAsia="en-NZ"/>
        </w:rPr>
        <w:t xml:space="preserve"> </w:t>
      </w:r>
    </w:p>
    <w:p w14:paraId="36E2B40F" w14:textId="42DFF6FE" w:rsidR="6223B888" w:rsidRDefault="6223B888" w:rsidP="6223B888">
      <w:pPr>
        <w:rPr>
          <w:lang w:eastAsia="en-NZ"/>
        </w:rPr>
      </w:pPr>
    </w:p>
    <w:p w14:paraId="708DD6B7" w14:textId="592FD15C" w:rsidR="00541D3E" w:rsidRPr="00BB6220" w:rsidRDefault="00035BAF" w:rsidP="00501068">
      <w:pPr>
        <w:pStyle w:val="Heading2"/>
      </w:pPr>
      <w:bookmarkStart w:id="242" w:name="_Toc138325183"/>
      <w:bookmarkStart w:id="243" w:name="_Toc138343826"/>
      <w:bookmarkStart w:id="244" w:name="_Toc167780610"/>
      <w:bookmarkStart w:id="245" w:name="_Toc65598494"/>
      <w:bookmarkStart w:id="246" w:name="_Toc174628670"/>
      <w:r w:rsidRPr="00BB6220">
        <w:t>P</w:t>
      </w:r>
      <w:r w:rsidR="00076EF1" w:rsidRPr="00BB6220">
        <w:t>acific</w:t>
      </w:r>
      <w:r w:rsidR="003D640C">
        <w:t xml:space="preserve"> </w:t>
      </w:r>
      <w:r w:rsidR="00076EF1" w:rsidRPr="00BB6220">
        <w:t>Peoples’</w:t>
      </w:r>
      <w:r w:rsidR="003D640C">
        <w:t xml:space="preserve"> </w:t>
      </w:r>
      <w:r w:rsidR="00076EF1" w:rsidRPr="00BB6220">
        <w:t>experiences</w:t>
      </w:r>
      <w:r w:rsidR="003D640C">
        <w:t xml:space="preserve"> </w:t>
      </w:r>
      <w:r w:rsidR="00076EF1" w:rsidRPr="00BB6220">
        <w:t>of</w:t>
      </w:r>
      <w:r w:rsidR="003D640C">
        <w:t xml:space="preserve"> </w:t>
      </w:r>
      <w:r w:rsidR="00076EF1" w:rsidRPr="00BB6220">
        <w:t>conversion</w:t>
      </w:r>
      <w:r w:rsidR="003D640C">
        <w:t xml:space="preserve"> </w:t>
      </w:r>
      <w:r w:rsidR="00076EF1" w:rsidRPr="00BB6220">
        <w:t>practices</w:t>
      </w:r>
      <w:bookmarkEnd w:id="242"/>
      <w:bookmarkEnd w:id="243"/>
      <w:bookmarkEnd w:id="244"/>
      <w:bookmarkEnd w:id="245"/>
      <w:bookmarkEnd w:id="246"/>
    </w:p>
    <w:p w14:paraId="584AE83D" w14:textId="5FE32065" w:rsidR="0062565B" w:rsidRPr="00BB6220" w:rsidRDefault="00C7489F" w:rsidP="00541D3E">
      <w:r>
        <w:t>This</w:t>
      </w:r>
      <w:r w:rsidR="003D640C">
        <w:t xml:space="preserve"> </w:t>
      </w:r>
      <w:r w:rsidRPr="00747446">
        <w:t>section</w:t>
      </w:r>
      <w:r w:rsidR="003D640C" w:rsidRPr="00747446">
        <w:t xml:space="preserve"> </w:t>
      </w:r>
      <w:r w:rsidRPr="00747446">
        <w:t>looks</w:t>
      </w:r>
      <w:r w:rsidR="003D640C" w:rsidRPr="00747446">
        <w:t xml:space="preserve"> </w:t>
      </w:r>
      <w:r w:rsidRPr="00747446">
        <w:t>at</w:t>
      </w:r>
      <w:r w:rsidR="003D640C" w:rsidRPr="00747446">
        <w:t xml:space="preserve"> </w:t>
      </w:r>
      <w:r w:rsidRPr="00747446">
        <w:t>the</w:t>
      </w:r>
      <w:r w:rsidR="003D640C" w:rsidRPr="00747446">
        <w:t xml:space="preserve"> </w:t>
      </w:r>
      <w:r w:rsidRPr="00747446">
        <w:t>experiences</w:t>
      </w:r>
      <w:r w:rsidR="003D640C" w:rsidRPr="00747446">
        <w:t xml:space="preserve"> </w:t>
      </w:r>
      <w:r w:rsidRPr="00747446">
        <w:t>of</w:t>
      </w:r>
      <w:r w:rsidR="003D640C" w:rsidRPr="00747446">
        <w:t xml:space="preserve"> </w:t>
      </w:r>
      <w:r w:rsidR="00356CFC">
        <w:t xml:space="preserve">MVPFAFF+ and </w:t>
      </w:r>
      <w:r w:rsidRPr="00747446">
        <w:t>Pacific</w:t>
      </w:r>
      <w:r w:rsidR="003D640C" w:rsidRPr="00747446">
        <w:t xml:space="preserve"> </w:t>
      </w:r>
      <w:r w:rsidRPr="00747446">
        <w:t>Rainbow</w:t>
      </w:r>
      <w:r w:rsidR="003D640C" w:rsidRPr="00747446">
        <w:t xml:space="preserve"> </w:t>
      </w:r>
      <w:r w:rsidRPr="00747446">
        <w:t>people</w:t>
      </w:r>
      <w:r w:rsidR="003D640C" w:rsidRPr="00747446">
        <w:t xml:space="preserve"> </w:t>
      </w:r>
      <w:r w:rsidRPr="00747446">
        <w:t>with</w:t>
      </w:r>
      <w:r w:rsidR="003D640C" w:rsidRPr="00747446">
        <w:t xml:space="preserve"> </w:t>
      </w:r>
      <w:r w:rsidRPr="00747446">
        <w:t>conversion</w:t>
      </w:r>
      <w:r w:rsidR="003D640C" w:rsidRPr="00747446">
        <w:t xml:space="preserve"> </w:t>
      </w:r>
      <w:r w:rsidRPr="00747446">
        <w:t>practices.</w:t>
      </w:r>
      <w:r w:rsidR="003D640C" w:rsidRPr="00747446">
        <w:t xml:space="preserve"> </w:t>
      </w:r>
      <w:r w:rsidRPr="00747446">
        <w:t>As</w:t>
      </w:r>
      <w:r w:rsidR="003D640C" w:rsidRPr="00747446">
        <w:t xml:space="preserve"> </w:t>
      </w:r>
      <w:r w:rsidRPr="00747446">
        <w:t>in</w:t>
      </w:r>
      <w:r w:rsidR="003D640C" w:rsidRPr="00747446">
        <w:t xml:space="preserve"> </w:t>
      </w:r>
      <w:r w:rsidRPr="00747446">
        <w:t>the</w:t>
      </w:r>
      <w:r w:rsidR="003D640C" w:rsidRPr="00747446">
        <w:t xml:space="preserve"> </w:t>
      </w:r>
      <w:r w:rsidRPr="00747446">
        <w:t>previous</w:t>
      </w:r>
      <w:r w:rsidR="003D640C" w:rsidRPr="00747446">
        <w:t xml:space="preserve"> </w:t>
      </w:r>
      <w:r w:rsidRPr="00747446">
        <w:t>section</w:t>
      </w:r>
      <w:r>
        <w:t>,</w:t>
      </w:r>
      <w:r w:rsidR="003D640C">
        <w:t xml:space="preserve"> </w:t>
      </w:r>
      <w:r>
        <w:t>we</w:t>
      </w:r>
      <w:r w:rsidR="003D640C">
        <w:t xml:space="preserve"> </w:t>
      </w:r>
      <w:r>
        <w:t>note</w:t>
      </w:r>
      <w:r w:rsidR="003D640C">
        <w:t xml:space="preserve"> </w:t>
      </w:r>
      <w:r>
        <w:t>the</w:t>
      </w:r>
      <w:r w:rsidR="003D640C">
        <w:t xml:space="preserve"> </w:t>
      </w:r>
      <w:r>
        <w:t>limited</w:t>
      </w:r>
      <w:r w:rsidR="003D640C">
        <w:t xml:space="preserve"> </w:t>
      </w:r>
      <w:r>
        <w:t>data</w:t>
      </w:r>
      <w:r w:rsidR="003D640C">
        <w:t xml:space="preserve"> </w:t>
      </w:r>
      <w:r>
        <w:t>available</w:t>
      </w:r>
      <w:r w:rsidR="003D640C">
        <w:t xml:space="preserve"> </w:t>
      </w:r>
      <w:r>
        <w:t>to</w:t>
      </w:r>
      <w:r w:rsidR="003D640C">
        <w:t xml:space="preserve"> </w:t>
      </w:r>
      <w:r w:rsidR="00D47B09">
        <w:t>provide</w:t>
      </w:r>
      <w:r w:rsidR="003D640C">
        <w:t xml:space="preserve"> </w:t>
      </w:r>
      <w:r>
        <w:t>a</w:t>
      </w:r>
      <w:r w:rsidR="003D640C">
        <w:t xml:space="preserve"> </w:t>
      </w:r>
      <w:r>
        <w:t>full</w:t>
      </w:r>
      <w:r w:rsidR="003D640C">
        <w:t xml:space="preserve"> </w:t>
      </w:r>
      <w:r>
        <w:t>picture</w:t>
      </w:r>
      <w:r w:rsidR="003D640C">
        <w:t xml:space="preserve"> </w:t>
      </w:r>
      <w:r>
        <w:t>of</w:t>
      </w:r>
      <w:r w:rsidR="003D640C">
        <w:t xml:space="preserve"> </w:t>
      </w:r>
      <w:r>
        <w:t>these</w:t>
      </w:r>
      <w:r w:rsidR="003D640C">
        <w:t xml:space="preserve"> </w:t>
      </w:r>
      <w:r>
        <w:t>experiences.</w:t>
      </w:r>
      <w:r w:rsidR="003D640C">
        <w:t xml:space="preserve"> </w:t>
      </w:r>
    </w:p>
    <w:p w14:paraId="0916EB96" w14:textId="39A486A3" w:rsidR="00035BAF" w:rsidRPr="00BB6220" w:rsidRDefault="00035BAF" w:rsidP="002C6363">
      <w:pPr>
        <w:pStyle w:val="Heading3"/>
      </w:pPr>
      <w:bookmarkStart w:id="247" w:name="_Toc138325184"/>
      <w:bookmarkStart w:id="248" w:name="_Toc138343827"/>
      <w:bookmarkStart w:id="249" w:name="_Toc167780611"/>
      <w:bookmarkStart w:id="250" w:name="_Toc1741551439"/>
      <w:bookmarkStart w:id="251" w:name="_Toc174628671"/>
      <w:r w:rsidRPr="00BB6220">
        <w:t>The</w:t>
      </w:r>
      <w:r w:rsidR="003D640C">
        <w:t xml:space="preserve"> </w:t>
      </w:r>
      <w:r w:rsidR="00CC32B2" w:rsidRPr="00BB6220">
        <w:t>d</w:t>
      </w:r>
      <w:r w:rsidRPr="00BB6220">
        <w:t>iverse</w:t>
      </w:r>
      <w:r w:rsidR="003D640C">
        <w:t xml:space="preserve"> </w:t>
      </w:r>
      <w:r w:rsidR="00CC32B2" w:rsidRPr="00BB6220">
        <w:t>d</w:t>
      </w:r>
      <w:r w:rsidRPr="00BB6220">
        <w:t>iaspora</w:t>
      </w:r>
      <w:r w:rsidR="003D640C">
        <w:t xml:space="preserve"> </w:t>
      </w:r>
      <w:r w:rsidRPr="00BB6220">
        <w:t>and</w:t>
      </w:r>
      <w:r w:rsidR="003D640C">
        <w:t xml:space="preserve"> </w:t>
      </w:r>
      <w:r w:rsidRPr="00BB6220">
        <w:t>homeland</w:t>
      </w:r>
      <w:r w:rsidR="003D640C">
        <w:t xml:space="preserve"> </w:t>
      </w:r>
      <w:r w:rsidRPr="00BB6220">
        <w:t>connections</w:t>
      </w:r>
      <w:bookmarkEnd w:id="247"/>
      <w:bookmarkEnd w:id="248"/>
      <w:bookmarkEnd w:id="249"/>
      <w:bookmarkEnd w:id="250"/>
      <w:bookmarkEnd w:id="251"/>
    </w:p>
    <w:p w14:paraId="323437CE" w14:textId="7F8277C0" w:rsidR="005601A7" w:rsidRPr="00BB6220" w:rsidRDefault="00035BAF" w:rsidP="00747446">
      <w:r w:rsidRPr="00BB6220">
        <w:t>Pacific</w:t>
      </w:r>
      <w:r w:rsidR="003D640C">
        <w:t xml:space="preserve"> </w:t>
      </w:r>
      <w:r w:rsidRPr="00BB6220">
        <w:t>peoples</w:t>
      </w:r>
      <w:r w:rsidR="003D640C">
        <w:t xml:space="preserve"> </w:t>
      </w:r>
      <w:r w:rsidRPr="00BB6220">
        <w:t>have</w:t>
      </w:r>
      <w:r w:rsidR="003D640C">
        <w:t xml:space="preserve"> </w:t>
      </w:r>
      <w:r w:rsidRPr="00BB6220">
        <w:t>a</w:t>
      </w:r>
      <w:r w:rsidR="003D640C">
        <w:t xml:space="preserve"> </w:t>
      </w:r>
      <w:r w:rsidRPr="00BB6220">
        <w:t>long</w:t>
      </w:r>
      <w:r w:rsidR="003D640C">
        <w:t xml:space="preserve"> </w:t>
      </w:r>
      <w:r w:rsidRPr="00BB6220">
        <w:t>history</w:t>
      </w:r>
      <w:r w:rsidR="003D640C">
        <w:t xml:space="preserve"> </w:t>
      </w:r>
      <w:r w:rsidRPr="00BB6220">
        <w:t>in</w:t>
      </w:r>
      <w:r w:rsidR="003D640C">
        <w:t xml:space="preserve"> </w:t>
      </w:r>
      <w:r w:rsidRPr="00BB6220">
        <w:t>Aotearoa</w:t>
      </w:r>
      <w:r w:rsidR="003D640C">
        <w:t xml:space="preserve"> </w:t>
      </w:r>
      <w:r w:rsidR="00747869" w:rsidRPr="00BB6220">
        <w:t>of</w:t>
      </w:r>
      <w:r w:rsidR="003D640C">
        <w:t xml:space="preserve"> </w:t>
      </w:r>
      <w:r w:rsidRPr="00BB6220">
        <w:t>shared</w:t>
      </w:r>
      <w:r w:rsidR="003D640C">
        <w:t xml:space="preserve"> </w:t>
      </w:r>
      <w:r w:rsidRPr="00BB6220">
        <w:t>kinship</w:t>
      </w:r>
      <w:r w:rsidR="003D640C">
        <w:t xml:space="preserve"> </w:t>
      </w:r>
      <w:r w:rsidRPr="00BB6220">
        <w:t>to</w:t>
      </w:r>
      <w:r w:rsidR="003D640C">
        <w:t xml:space="preserve"> </w:t>
      </w:r>
      <w:r w:rsidR="008D4910" w:rsidRPr="00BB6220">
        <w:t>Māori</w:t>
      </w:r>
      <w:r w:rsidR="008B2605" w:rsidRPr="00BB6220">
        <w:t>.</w:t>
      </w:r>
      <w:r w:rsidR="003D640C">
        <w:t xml:space="preserve"> </w:t>
      </w:r>
      <w:r w:rsidR="008B2605" w:rsidRPr="00BB6220">
        <w:t>The</w:t>
      </w:r>
      <w:r w:rsidR="003D640C">
        <w:t xml:space="preserve"> </w:t>
      </w:r>
      <w:r w:rsidR="008B2605" w:rsidRPr="00BB6220">
        <w:t>relationship</w:t>
      </w:r>
      <w:r w:rsidR="003D640C">
        <w:t xml:space="preserve"> </w:t>
      </w:r>
      <w:r w:rsidR="008B2605" w:rsidRPr="00BB6220">
        <w:t>between</w:t>
      </w:r>
      <w:r w:rsidR="003D640C">
        <w:t xml:space="preserve"> </w:t>
      </w:r>
      <w:r w:rsidR="008B2605" w:rsidRPr="00BB6220">
        <w:t>Pacific</w:t>
      </w:r>
      <w:r w:rsidR="003D640C">
        <w:t xml:space="preserve"> </w:t>
      </w:r>
      <w:r w:rsidR="008B2605" w:rsidRPr="00BB6220">
        <w:t>peoples</w:t>
      </w:r>
      <w:r w:rsidR="003D640C">
        <w:t xml:space="preserve"> </w:t>
      </w:r>
      <w:r w:rsidR="008B2605" w:rsidRPr="00BB6220">
        <w:t>and</w:t>
      </w:r>
      <w:r w:rsidR="003D640C">
        <w:t xml:space="preserve"> </w:t>
      </w:r>
      <w:r w:rsidR="008B2605" w:rsidRPr="00BB6220">
        <w:t>Māori</w:t>
      </w:r>
      <w:r w:rsidR="003D640C">
        <w:t xml:space="preserve"> </w:t>
      </w:r>
      <w:r w:rsidR="008B2605" w:rsidRPr="00BB6220">
        <w:t>is</w:t>
      </w:r>
      <w:r w:rsidR="003D640C">
        <w:t xml:space="preserve"> </w:t>
      </w:r>
      <w:r w:rsidR="008B2605" w:rsidRPr="00BB6220">
        <w:t>sometimes</w:t>
      </w:r>
      <w:r w:rsidR="003D640C">
        <w:t xml:space="preserve"> </w:t>
      </w:r>
      <w:r w:rsidR="008B2605" w:rsidRPr="00BB6220">
        <w:t>characterised</w:t>
      </w:r>
      <w:r w:rsidR="003D640C">
        <w:t xml:space="preserve"> </w:t>
      </w:r>
      <w:r w:rsidR="008B2605" w:rsidRPr="00BB6220">
        <w:t>as</w:t>
      </w:r>
      <w:r w:rsidR="003D640C">
        <w:t xml:space="preserve"> </w:t>
      </w:r>
      <w:r w:rsidR="008B2605" w:rsidRPr="00BB6220">
        <w:t>a</w:t>
      </w:r>
      <w:r w:rsidR="003D640C">
        <w:t xml:space="preserve"> </w:t>
      </w:r>
      <w:r w:rsidRPr="00BB6220">
        <w:t>tu</w:t>
      </w:r>
      <w:r w:rsidR="00970CFF">
        <w:t>a</w:t>
      </w:r>
      <w:r w:rsidRPr="00BB6220">
        <w:t>kana</w:t>
      </w:r>
      <w:r w:rsidR="008B2605" w:rsidRPr="00BB6220">
        <w:t>-t</w:t>
      </w:r>
      <w:r w:rsidR="00970CFF">
        <w:t>e</w:t>
      </w:r>
      <w:r w:rsidR="008B2605" w:rsidRPr="00BB6220">
        <w:t>ina</w:t>
      </w:r>
      <w:r w:rsidR="003D640C">
        <w:t xml:space="preserve"> </w:t>
      </w:r>
      <w:r w:rsidR="008B2605" w:rsidRPr="00BB6220">
        <w:t>relationship</w:t>
      </w:r>
      <w:r w:rsidRPr="00BB6220">
        <w:t>.</w:t>
      </w:r>
      <w:r w:rsidR="008B2605" w:rsidRPr="00BB6220">
        <w:rPr>
          <w:rStyle w:val="FootnoteReference"/>
        </w:rPr>
        <w:footnoteReference w:id="174"/>
      </w:r>
      <w:r w:rsidR="003D640C">
        <w:t xml:space="preserve"> </w:t>
      </w:r>
      <w:r w:rsidRPr="00BB6220">
        <w:t>Pacific</w:t>
      </w:r>
      <w:r w:rsidR="003D640C">
        <w:t xml:space="preserve"> </w:t>
      </w:r>
      <w:r w:rsidRPr="00BB6220">
        <w:t>migration</w:t>
      </w:r>
      <w:r w:rsidR="003D640C">
        <w:t xml:space="preserve"> </w:t>
      </w:r>
      <w:r w:rsidRPr="00BB6220">
        <w:t>to</w:t>
      </w:r>
      <w:r w:rsidR="003D640C">
        <w:t xml:space="preserve"> </w:t>
      </w:r>
      <w:r w:rsidRPr="00BB6220">
        <w:t>Aotearoa</w:t>
      </w:r>
      <w:r w:rsidR="003D640C">
        <w:t xml:space="preserve"> </w:t>
      </w:r>
      <w:r w:rsidRPr="00BB6220">
        <w:t>is</w:t>
      </w:r>
      <w:r w:rsidR="003D640C">
        <w:t xml:space="preserve"> </w:t>
      </w:r>
      <w:bookmarkStart w:id="252" w:name="_Int_EqeCya6W"/>
      <w:r w:rsidRPr="00BB6220">
        <w:t>largely</w:t>
      </w:r>
      <w:r w:rsidR="003D640C">
        <w:t xml:space="preserve"> </w:t>
      </w:r>
      <w:r w:rsidRPr="00BB6220">
        <w:t>associated</w:t>
      </w:r>
      <w:bookmarkEnd w:id="252"/>
      <w:r w:rsidR="003D640C">
        <w:t xml:space="preserve"> </w:t>
      </w:r>
      <w:r w:rsidRPr="00BB6220">
        <w:t>with</w:t>
      </w:r>
      <w:r w:rsidR="003D640C">
        <w:t xml:space="preserve"> </w:t>
      </w:r>
      <w:r w:rsidR="0024492B" w:rsidRPr="00BB6220">
        <w:t>waves</w:t>
      </w:r>
      <w:r w:rsidR="003D640C">
        <w:t xml:space="preserve"> </w:t>
      </w:r>
      <w:r w:rsidR="0024492B" w:rsidRPr="00BB6220">
        <w:t>of</w:t>
      </w:r>
      <w:r w:rsidR="003D640C">
        <w:t xml:space="preserve"> </w:t>
      </w:r>
      <w:r w:rsidRPr="00BB6220">
        <w:t>migration</w:t>
      </w:r>
      <w:r w:rsidR="003D640C">
        <w:t xml:space="preserve"> </w:t>
      </w:r>
      <w:r w:rsidRPr="00BB6220">
        <w:t>in</w:t>
      </w:r>
      <w:r w:rsidR="003D640C">
        <w:t xml:space="preserve"> </w:t>
      </w:r>
      <w:r w:rsidRPr="00BB6220">
        <w:t>the</w:t>
      </w:r>
      <w:r w:rsidR="003D640C">
        <w:t xml:space="preserve"> </w:t>
      </w:r>
      <w:r w:rsidRPr="00BB6220">
        <w:t>1960s</w:t>
      </w:r>
      <w:r w:rsidR="003D640C">
        <w:t xml:space="preserve"> </w:t>
      </w:r>
      <w:r w:rsidRPr="00BB6220">
        <w:t>and</w:t>
      </w:r>
      <w:r w:rsidR="003D640C">
        <w:t xml:space="preserve"> </w:t>
      </w:r>
      <w:r w:rsidRPr="00BB6220">
        <w:t>1970s.</w:t>
      </w:r>
      <w:r w:rsidRPr="00BB6220">
        <w:rPr>
          <w:rStyle w:val="FootnoteReference"/>
        </w:rPr>
        <w:footnoteReference w:id="175"/>
      </w:r>
      <w:r w:rsidR="003D640C">
        <w:t xml:space="preserve"> </w:t>
      </w:r>
      <w:r w:rsidRPr="00BB6220">
        <w:lastRenderedPageBreak/>
        <w:t>However,</w:t>
      </w:r>
      <w:r w:rsidR="003D640C">
        <w:t xml:space="preserve"> </w:t>
      </w:r>
      <w:r w:rsidRPr="00BB6220">
        <w:t>smaller</w:t>
      </w:r>
      <w:r w:rsidR="003D640C">
        <w:t xml:space="preserve"> </w:t>
      </w:r>
      <w:r w:rsidRPr="00BB6220">
        <w:t>pockets</w:t>
      </w:r>
      <w:r w:rsidR="003D640C">
        <w:t xml:space="preserve"> </w:t>
      </w:r>
      <w:r w:rsidRPr="00BB6220">
        <w:t>of</w:t>
      </w:r>
      <w:r w:rsidR="003D640C">
        <w:t xml:space="preserve"> </w:t>
      </w:r>
      <w:r w:rsidRPr="00BB6220">
        <w:t>migration</w:t>
      </w:r>
      <w:r w:rsidR="003D640C">
        <w:t xml:space="preserve"> </w:t>
      </w:r>
      <w:r w:rsidR="00315117" w:rsidRPr="00BB6220">
        <w:t>happened</w:t>
      </w:r>
      <w:r w:rsidR="003D640C">
        <w:t xml:space="preserve"> </w:t>
      </w:r>
      <w:r w:rsidRPr="00BB6220">
        <w:t>before</w:t>
      </w:r>
      <w:r w:rsidR="003D640C">
        <w:t xml:space="preserve"> </w:t>
      </w:r>
      <w:r w:rsidRPr="00BB6220">
        <w:t>then</w:t>
      </w:r>
      <w:r w:rsidR="000F21B8">
        <w:t>,</w:t>
      </w:r>
      <w:r w:rsidR="003D640C">
        <w:t xml:space="preserve"> </w:t>
      </w:r>
      <w:r w:rsidRPr="00BB6220">
        <w:t>and</w:t>
      </w:r>
      <w:r w:rsidR="003D640C">
        <w:t xml:space="preserve"> </w:t>
      </w:r>
      <w:r w:rsidRPr="00BB6220">
        <w:t>relationships</w:t>
      </w:r>
      <w:r w:rsidR="003D640C">
        <w:t xml:space="preserve"> </w:t>
      </w:r>
      <w:r w:rsidRPr="00BB6220">
        <w:t>between</w:t>
      </w:r>
      <w:r w:rsidR="003D640C">
        <w:t xml:space="preserve"> </w:t>
      </w:r>
      <w:r w:rsidRPr="00BB6220">
        <w:t>Aotearoa</w:t>
      </w:r>
      <w:r w:rsidR="003D640C">
        <w:t xml:space="preserve"> </w:t>
      </w:r>
      <w:r w:rsidRPr="00BB6220">
        <w:t>and</w:t>
      </w:r>
      <w:r w:rsidR="003D640C">
        <w:t xml:space="preserve"> </w:t>
      </w:r>
      <w:r w:rsidRPr="00BB6220">
        <w:t>many</w:t>
      </w:r>
      <w:r w:rsidR="003D640C">
        <w:t xml:space="preserve"> </w:t>
      </w:r>
      <w:r w:rsidRPr="00BB6220">
        <w:t>Pacific</w:t>
      </w:r>
      <w:r w:rsidR="003D640C">
        <w:t xml:space="preserve"> </w:t>
      </w:r>
      <w:r w:rsidR="0022335B">
        <w:t>countries</w:t>
      </w:r>
      <w:r w:rsidR="003D640C">
        <w:t xml:space="preserve"> </w:t>
      </w:r>
      <w:r w:rsidRPr="00BB6220">
        <w:t>remain</w:t>
      </w:r>
      <w:r w:rsidR="003D640C">
        <w:t xml:space="preserve"> </w:t>
      </w:r>
      <w:r w:rsidRPr="00BB6220">
        <w:t>strong.</w:t>
      </w:r>
      <w:r w:rsidR="003D640C">
        <w:t xml:space="preserve"> </w:t>
      </w:r>
    </w:p>
    <w:p w14:paraId="2CEBFA64" w14:textId="3D8956EF" w:rsidR="00A143B4" w:rsidRPr="00BB6220" w:rsidRDefault="0011322E" w:rsidP="00747446">
      <w:r>
        <w:t>Based on Census 2018 data, t</w:t>
      </w:r>
      <w:r w:rsidR="00DF503C">
        <w:t xml:space="preserve">he Pacific population in Aotearoa </w:t>
      </w:r>
      <w:r w:rsidR="00A143B4" w:rsidRPr="00BB6220">
        <w:t>is</w:t>
      </w:r>
      <w:r w:rsidR="003D640C">
        <w:t xml:space="preserve"> </w:t>
      </w:r>
      <w:r w:rsidR="00A143B4" w:rsidRPr="00BB6220">
        <w:t>made</w:t>
      </w:r>
      <w:r w:rsidR="003D640C">
        <w:t xml:space="preserve"> </w:t>
      </w:r>
      <w:r w:rsidR="00A143B4" w:rsidRPr="00BB6220">
        <w:t>up</w:t>
      </w:r>
      <w:r w:rsidR="003D640C">
        <w:t xml:space="preserve"> </w:t>
      </w:r>
      <w:r w:rsidR="00A143B4" w:rsidRPr="00BB6220">
        <w:t>of</w:t>
      </w:r>
      <w:r w:rsidR="003D640C">
        <w:t xml:space="preserve"> </w:t>
      </w:r>
      <w:r w:rsidR="00113A94" w:rsidRPr="00BB6220">
        <w:t>those</w:t>
      </w:r>
      <w:r w:rsidR="003D640C">
        <w:t xml:space="preserve"> </w:t>
      </w:r>
      <w:r w:rsidR="00113A94" w:rsidRPr="00BB6220">
        <w:t>from</w:t>
      </w:r>
      <w:r w:rsidR="003D640C">
        <w:t xml:space="preserve"> </w:t>
      </w:r>
      <w:r w:rsidR="00C7489F">
        <w:t>the</w:t>
      </w:r>
      <w:r w:rsidR="003D640C">
        <w:t xml:space="preserve"> </w:t>
      </w:r>
      <w:r w:rsidR="00C7489F">
        <w:t>Pacific</w:t>
      </w:r>
      <w:r w:rsidR="003D640C">
        <w:t xml:space="preserve"> </w:t>
      </w:r>
      <w:r w:rsidR="00C7489F">
        <w:t>homelands</w:t>
      </w:r>
      <w:r w:rsidR="003D640C">
        <w:t xml:space="preserve"> </w:t>
      </w:r>
      <w:r w:rsidR="00C7489F">
        <w:t>represented</w:t>
      </w:r>
      <w:r w:rsidR="003D640C">
        <w:t xml:space="preserve"> </w:t>
      </w:r>
      <w:r w:rsidR="00C7489F">
        <w:t>in</w:t>
      </w:r>
      <w:r w:rsidR="003D640C">
        <w:t xml:space="preserve"> </w:t>
      </w:r>
      <w:r w:rsidR="00C7489F">
        <w:t>Figure</w:t>
      </w:r>
      <w:r w:rsidR="003D640C">
        <w:t xml:space="preserve"> </w:t>
      </w:r>
      <w:r w:rsidR="0064680A">
        <w:t>10</w:t>
      </w:r>
      <w:r w:rsidR="00C7489F">
        <w:t>.</w:t>
      </w:r>
      <w:r w:rsidR="005C5605">
        <w:t xml:space="preserve"> Census 2023 data</w:t>
      </w:r>
      <w:r w:rsidR="00CF53CC">
        <w:t xml:space="preserve"> show that the </w:t>
      </w:r>
      <w:r w:rsidR="003C4F1A">
        <w:t>number of Pacific peoples increased</w:t>
      </w:r>
      <w:r w:rsidR="00E63AF2">
        <w:t xml:space="preserve"> their proportion</w:t>
      </w:r>
      <w:r w:rsidR="005428E4">
        <w:t xml:space="preserve"> of the total population to 8.9 percent</w:t>
      </w:r>
      <w:r w:rsidR="00AB3020">
        <w:t xml:space="preserve">, up from </w:t>
      </w:r>
      <w:r w:rsidR="000C290A">
        <w:t xml:space="preserve">8.1 percent in 2018 and </w:t>
      </w:r>
      <w:r w:rsidR="00AB7E7E">
        <w:t>7.4 percent in 2013</w:t>
      </w:r>
      <w:r w:rsidR="00AB3020">
        <w:t>.</w:t>
      </w:r>
      <w:r w:rsidR="00F8160D">
        <w:rPr>
          <w:rStyle w:val="FootnoteReference"/>
        </w:rPr>
        <w:footnoteReference w:id="176"/>
      </w:r>
    </w:p>
    <w:p w14:paraId="7ADB4645" w14:textId="1D6D21AD" w:rsidR="00F17F03" w:rsidRDefault="2BCBFA9D" w:rsidP="00747446">
      <w:r>
        <w:rPr>
          <w:noProof/>
        </w:rPr>
        <w:drawing>
          <wp:inline distT="0" distB="0" distL="0" distR="0" wp14:anchorId="2A824AC7" wp14:editId="5188239D">
            <wp:extent cx="4584592" cy="2670280"/>
            <wp:effectExtent l="0" t="0" r="0" b="0"/>
            <wp:docPr id="1399393647" name="Picture 139939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84592" cy="2670280"/>
                    </a:xfrm>
                    <a:prstGeom prst="rect">
                      <a:avLst/>
                    </a:prstGeom>
                  </pic:spPr>
                </pic:pic>
              </a:graphicData>
            </a:graphic>
          </wp:inline>
        </w:drawing>
      </w:r>
    </w:p>
    <w:p w14:paraId="7480E514" w14:textId="2E5092D3" w:rsidR="00C7489F" w:rsidRPr="00B1465F" w:rsidRDefault="00955306" w:rsidP="00955306">
      <w:pPr>
        <w:pStyle w:val="Caption"/>
      </w:pPr>
      <w:bookmarkStart w:id="253" w:name="_Toc174628737"/>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10</w:t>
      </w:r>
      <w:r w:rsidRPr="007B527F">
        <w:fldChar w:fldCharType="end"/>
      </w:r>
      <w:r w:rsidR="00C7489F" w:rsidRPr="00B1465F">
        <w:t>:</w:t>
      </w:r>
      <w:r w:rsidR="003D640C">
        <w:t xml:space="preserve"> </w:t>
      </w:r>
      <w:r w:rsidR="00C7489F">
        <w:t>Ethnicity</w:t>
      </w:r>
      <w:r w:rsidR="003D640C">
        <w:t xml:space="preserve"> </w:t>
      </w:r>
      <w:r w:rsidR="00C7489F">
        <w:t>of</w:t>
      </w:r>
      <w:r w:rsidR="003D640C">
        <w:t xml:space="preserve"> </w:t>
      </w:r>
      <w:r w:rsidR="00C7489F">
        <w:t>Pacific</w:t>
      </w:r>
      <w:r w:rsidR="003D640C">
        <w:t xml:space="preserve"> </w:t>
      </w:r>
      <w:r w:rsidR="00C7489F">
        <w:t>population</w:t>
      </w:r>
      <w:r w:rsidR="003D640C">
        <w:t xml:space="preserve"> </w:t>
      </w:r>
      <w:r w:rsidR="00C7489F">
        <w:t>in</w:t>
      </w:r>
      <w:r w:rsidR="003D640C">
        <w:t xml:space="preserve"> </w:t>
      </w:r>
      <w:r w:rsidR="00C7489F">
        <w:t>Aotearoa</w:t>
      </w:r>
      <w:r w:rsidR="009623B5">
        <w:t>.</w:t>
      </w:r>
      <w:r w:rsidR="00C71556">
        <w:t xml:space="preserve"> (Source: Stats NZ</w:t>
      </w:r>
      <w:r w:rsidR="001F123B">
        <w:t>, 2018</w:t>
      </w:r>
      <w:r w:rsidR="00C71556">
        <w:t>)</w:t>
      </w:r>
      <w:r w:rsidR="00C7489F" w:rsidRPr="00BB6220">
        <w:rPr>
          <w:rStyle w:val="FootnoteReference"/>
        </w:rPr>
        <w:footnoteReference w:id="177"/>
      </w:r>
      <w:bookmarkEnd w:id="253"/>
    </w:p>
    <w:p w14:paraId="4AAE0102" w14:textId="2B66831F" w:rsidR="00035BAF" w:rsidRPr="00BB6220" w:rsidRDefault="003169EE" w:rsidP="00747446">
      <w:r>
        <w:t>While</w:t>
      </w:r>
      <w:r w:rsidR="003D640C">
        <w:t xml:space="preserve"> </w:t>
      </w:r>
      <w:r>
        <w:t>Pacific</w:t>
      </w:r>
      <w:r w:rsidR="003D640C">
        <w:t xml:space="preserve"> </w:t>
      </w:r>
      <w:r>
        <w:t>countries</w:t>
      </w:r>
      <w:r w:rsidR="003D640C">
        <w:t xml:space="preserve"> </w:t>
      </w:r>
      <w:r>
        <w:t>hold</w:t>
      </w:r>
      <w:r w:rsidR="003D640C">
        <w:t xml:space="preserve"> </w:t>
      </w:r>
      <w:r>
        <w:t>similar</w:t>
      </w:r>
      <w:r w:rsidR="003D640C">
        <w:t xml:space="preserve"> </w:t>
      </w:r>
      <w:r>
        <w:t>cultural</w:t>
      </w:r>
      <w:r w:rsidR="003D640C">
        <w:t xml:space="preserve"> </w:t>
      </w:r>
      <w:r>
        <w:t>values,</w:t>
      </w:r>
      <w:r w:rsidR="003D640C">
        <w:t xml:space="preserve"> </w:t>
      </w:r>
      <w:r w:rsidR="00F21A6B" w:rsidRPr="00BB6220">
        <w:t>each</w:t>
      </w:r>
      <w:r w:rsidR="003D640C">
        <w:t xml:space="preserve"> </w:t>
      </w:r>
      <w:r w:rsidR="00F21A6B" w:rsidRPr="00BB6220">
        <w:t>has</w:t>
      </w:r>
      <w:r w:rsidR="003D640C">
        <w:t xml:space="preserve"> </w:t>
      </w:r>
      <w:r w:rsidR="00D36D5A" w:rsidRPr="00BB6220">
        <w:t>their</w:t>
      </w:r>
      <w:r w:rsidR="003D640C">
        <w:t xml:space="preserve"> </w:t>
      </w:r>
      <w:r w:rsidR="00D36D5A" w:rsidRPr="00BB6220">
        <w:t>own</w:t>
      </w:r>
      <w:r w:rsidR="003D640C">
        <w:t xml:space="preserve"> </w:t>
      </w:r>
      <w:r w:rsidR="00035BAF" w:rsidRPr="00BB6220">
        <w:t>understanding</w:t>
      </w:r>
      <w:r w:rsidR="003D640C">
        <w:t xml:space="preserve"> </w:t>
      </w:r>
      <w:r w:rsidR="00035BAF" w:rsidRPr="00BB6220">
        <w:t>of</w:t>
      </w:r>
      <w:r w:rsidR="003D640C">
        <w:t xml:space="preserve"> </w:t>
      </w:r>
      <w:r w:rsidR="00035BAF" w:rsidRPr="00BB6220">
        <w:t>gender</w:t>
      </w:r>
      <w:r w:rsidR="003D640C">
        <w:t xml:space="preserve"> </w:t>
      </w:r>
      <w:r w:rsidR="00035BAF" w:rsidRPr="00BB6220">
        <w:t>and</w:t>
      </w:r>
      <w:r w:rsidR="003D640C">
        <w:t xml:space="preserve"> </w:t>
      </w:r>
      <w:r w:rsidR="00404B18" w:rsidRPr="00BB6220">
        <w:t>sexual</w:t>
      </w:r>
      <w:r w:rsidR="003D640C">
        <w:t xml:space="preserve"> </w:t>
      </w:r>
      <w:r w:rsidR="00404B18" w:rsidRPr="00BB6220">
        <w:t>orientation</w:t>
      </w:r>
      <w:r w:rsidR="00035BAF" w:rsidRPr="00BB6220">
        <w:t>.</w:t>
      </w:r>
      <w:r w:rsidR="003D640C">
        <w:t xml:space="preserve"> </w:t>
      </w:r>
      <w:r w:rsidR="00035BAF" w:rsidRPr="00BB6220">
        <w:t>Early</w:t>
      </w:r>
      <w:r w:rsidR="003D640C">
        <w:t xml:space="preserve"> </w:t>
      </w:r>
      <w:r w:rsidR="00035BAF" w:rsidRPr="00BB6220">
        <w:t>understandings</w:t>
      </w:r>
      <w:r w:rsidR="003D640C">
        <w:t xml:space="preserve"> </w:t>
      </w:r>
      <w:r w:rsidR="00035BAF" w:rsidRPr="00BB6220">
        <w:t>of</w:t>
      </w:r>
      <w:r w:rsidR="003D640C">
        <w:t xml:space="preserve"> </w:t>
      </w:r>
      <w:r w:rsidR="00035BAF" w:rsidRPr="00BB6220">
        <w:t>gender</w:t>
      </w:r>
      <w:r w:rsidR="003D640C">
        <w:t xml:space="preserve"> </w:t>
      </w:r>
      <w:r w:rsidR="00035BAF" w:rsidRPr="00BB6220">
        <w:t>and</w:t>
      </w:r>
      <w:r w:rsidR="003D640C">
        <w:t xml:space="preserve"> </w:t>
      </w:r>
      <w:r w:rsidR="00404B18" w:rsidRPr="00BB6220">
        <w:t>sexual</w:t>
      </w:r>
      <w:r w:rsidR="003D640C">
        <w:t xml:space="preserve"> </w:t>
      </w:r>
      <w:r w:rsidR="00404B18" w:rsidRPr="00BB6220">
        <w:t>orientation</w:t>
      </w:r>
      <w:r w:rsidR="003D640C">
        <w:t xml:space="preserve"> </w:t>
      </w:r>
      <w:r w:rsidR="00035BAF" w:rsidRPr="00BB6220">
        <w:t>in</w:t>
      </w:r>
      <w:r w:rsidR="003D640C">
        <w:t xml:space="preserve"> </w:t>
      </w:r>
      <w:r w:rsidR="004801FB">
        <w:t>many</w:t>
      </w:r>
      <w:r w:rsidR="003D640C">
        <w:t xml:space="preserve"> </w:t>
      </w:r>
      <w:r w:rsidR="00F21A6B" w:rsidRPr="00BB6220">
        <w:t>P</w:t>
      </w:r>
      <w:r w:rsidR="00035BAF" w:rsidRPr="00BB6220">
        <w:t>acific</w:t>
      </w:r>
      <w:r w:rsidR="003D640C">
        <w:t xml:space="preserve"> </w:t>
      </w:r>
      <w:r w:rsidR="004801FB">
        <w:t>countries</w:t>
      </w:r>
      <w:r w:rsidR="003D640C">
        <w:t xml:space="preserve"> </w:t>
      </w:r>
      <w:r w:rsidR="00035BAF" w:rsidRPr="00BB6220">
        <w:t>were</w:t>
      </w:r>
      <w:r w:rsidR="003D640C">
        <w:t xml:space="preserve"> </w:t>
      </w:r>
      <w:r w:rsidR="00035BAF" w:rsidRPr="00BB6220">
        <w:t>accepting</w:t>
      </w:r>
      <w:r w:rsidR="00970CFF">
        <w:t>,</w:t>
      </w:r>
      <w:r w:rsidR="003D640C">
        <w:t xml:space="preserve"> </w:t>
      </w:r>
      <w:r w:rsidR="00035BAF" w:rsidRPr="00BB6220">
        <w:t>and</w:t>
      </w:r>
      <w:r w:rsidR="003D640C">
        <w:t xml:space="preserve"> </w:t>
      </w:r>
      <w:r w:rsidR="00035BAF" w:rsidRPr="00BB6220">
        <w:t>in</w:t>
      </w:r>
      <w:r w:rsidR="003D640C">
        <w:t xml:space="preserve"> </w:t>
      </w:r>
      <w:r w:rsidR="00035BAF" w:rsidRPr="00BB6220">
        <w:t>some</w:t>
      </w:r>
      <w:r w:rsidR="003D640C">
        <w:t xml:space="preserve"> </w:t>
      </w:r>
      <w:r w:rsidR="00035BAF" w:rsidRPr="00BB6220">
        <w:t>instances</w:t>
      </w:r>
      <w:r w:rsidR="00D0153E" w:rsidRPr="00BB6220">
        <w:t>,</w:t>
      </w:r>
      <w:r w:rsidR="003D640C">
        <w:t xml:space="preserve"> </w:t>
      </w:r>
      <w:r w:rsidR="00E1774E">
        <w:t>people</w:t>
      </w:r>
      <w:r w:rsidR="003D640C">
        <w:t xml:space="preserve"> </w:t>
      </w:r>
      <w:r w:rsidR="00E1774E">
        <w:t>with</w:t>
      </w:r>
      <w:r w:rsidR="003D640C">
        <w:t xml:space="preserve"> </w:t>
      </w:r>
      <w:r w:rsidR="00486006" w:rsidRPr="00BB6220">
        <w:t>diver</w:t>
      </w:r>
      <w:r w:rsidR="00E1774E">
        <w:t>se</w:t>
      </w:r>
      <w:r w:rsidR="003D640C">
        <w:t xml:space="preserve"> </w:t>
      </w:r>
      <w:r w:rsidR="00E1774E">
        <w:t>Rainbow</w:t>
      </w:r>
      <w:r w:rsidR="003D640C">
        <w:t xml:space="preserve"> </w:t>
      </w:r>
      <w:r w:rsidR="00E1774E">
        <w:t>identities</w:t>
      </w:r>
      <w:r w:rsidR="003D640C">
        <w:t xml:space="preserve"> </w:t>
      </w:r>
      <w:r w:rsidR="00E1774E">
        <w:t>were</w:t>
      </w:r>
      <w:r w:rsidR="003D640C">
        <w:t xml:space="preserve"> </w:t>
      </w:r>
      <w:r w:rsidR="00035BAF" w:rsidRPr="00BB6220">
        <w:t>revered</w:t>
      </w:r>
      <w:r w:rsidR="003D640C">
        <w:t xml:space="preserve"> </w:t>
      </w:r>
      <w:r w:rsidR="00035BAF" w:rsidRPr="00BB6220">
        <w:t>and</w:t>
      </w:r>
      <w:r w:rsidR="003D640C">
        <w:t xml:space="preserve"> </w:t>
      </w:r>
      <w:r w:rsidR="00035BAF" w:rsidRPr="00BB6220">
        <w:t>given</w:t>
      </w:r>
      <w:r w:rsidR="003D640C">
        <w:t xml:space="preserve"> </w:t>
      </w:r>
      <w:r w:rsidR="00035BAF" w:rsidRPr="00BB6220">
        <w:t>special</w:t>
      </w:r>
      <w:r w:rsidR="003D640C">
        <w:t xml:space="preserve"> </w:t>
      </w:r>
      <w:r w:rsidR="00035BAF" w:rsidRPr="00BB6220">
        <w:t>roles</w:t>
      </w:r>
      <w:r w:rsidR="003D640C">
        <w:t xml:space="preserve"> </w:t>
      </w:r>
      <w:r w:rsidR="00035BAF" w:rsidRPr="00BB6220">
        <w:t>in</w:t>
      </w:r>
      <w:r w:rsidR="003D640C">
        <w:t xml:space="preserve"> </w:t>
      </w:r>
      <w:r w:rsidR="00035BAF" w:rsidRPr="00BB6220">
        <w:t>society</w:t>
      </w:r>
      <w:r w:rsidR="00C5028B">
        <w:t>.</w:t>
      </w:r>
      <w:r w:rsidR="00F333CB">
        <w:rPr>
          <w:rStyle w:val="FootnoteReference"/>
        </w:rPr>
        <w:footnoteReference w:id="178"/>
      </w:r>
      <w:r w:rsidR="003D640C">
        <w:t xml:space="preserve"> </w:t>
      </w:r>
      <w:r w:rsidR="00133503" w:rsidRPr="00BB6220">
        <w:t>T</w:t>
      </w:r>
      <w:r w:rsidR="004801FB">
        <w:t>o</w:t>
      </w:r>
      <w:r w:rsidR="003D640C">
        <w:t xml:space="preserve"> </w:t>
      </w:r>
      <w:r w:rsidR="004801FB">
        <w:t>date,</w:t>
      </w:r>
      <w:r w:rsidR="003D640C">
        <w:t xml:space="preserve"> </w:t>
      </w:r>
      <w:r w:rsidR="004801FB">
        <w:t>t</w:t>
      </w:r>
      <w:r w:rsidR="00133503" w:rsidRPr="00BB6220">
        <w:t>here</w:t>
      </w:r>
      <w:r w:rsidR="003D640C">
        <w:t xml:space="preserve"> </w:t>
      </w:r>
      <w:r w:rsidR="00133503" w:rsidRPr="00BB6220">
        <w:t>is</w:t>
      </w:r>
      <w:r w:rsidR="003D640C">
        <w:t xml:space="preserve"> </w:t>
      </w:r>
      <w:r w:rsidR="00133503" w:rsidRPr="00BB6220">
        <w:t>no</w:t>
      </w:r>
      <w:r w:rsidR="003D640C">
        <w:t xml:space="preserve"> </w:t>
      </w:r>
      <w:r w:rsidR="00133503" w:rsidRPr="00BB6220">
        <w:t>evidence</w:t>
      </w:r>
      <w:r w:rsidR="003D640C">
        <w:t xml:space="preserve"> </w:t>
      </w:r>
      <w:r w:rsidR="00133503" w:rsidRPr="00BB6220">
        <w:t>of</w:t>
      </w:r>
      <w:r w:rsidR="003D640C">
        <w:t xml:space="preserve"> </w:t>
      </w:r>
      <w:r w:rsidR="00133503" w:rsidRPr="00BB6220">
        <w:t>conversion</w:t>
      </w:r>
      <w:r w:rsidR="003D640C">
        <w:t xml:space="preserve"> </w:t>
      </w:r>
      <w:r w:rsidR="00133503" w:rsidRPr="00BB6220">
        <w:t>prac</w:t>
      </w:r>
      <w:r w:rsidR="00C00EE7" w:rsidRPr="00BB6220">
        <w:t>tices</w:t>
      </w:r>
      <w:r w:rsidR="003D640C">
        <w:t xml:space="preserve"> </w:t>
      </w:r>
      <w:r w:rsidR="00C00EE7" w:rsidRPr="00BB6220">
        <w:t>in</w:t>
      </w:r>
      <w:r w:rsidR="003D640C">
        <w:t xml:space="preserve"> </w:t>
      </w:r>
      <w:r w:rsidR="00C00EE7" w:rsidRPr="00BB6220">
        <w:t>early</w:t>
      </w:r>
      <w:r w:rsidR="003D640C">
        <w:t xml:space="preserve"> </w:t>
      </w:r>
      <w:r w:rsidR="00C00EE7" w:rsidRPr="00BB6220">
        <w:t>Pacific</w:t>
      </w:r>
      <w:r w:rsidR="003D640C">
        <w:t xml:space="preserve"> </w:t>
      </w:r>
      <w:r w:rsidR="0089737A" w:rsidRPr="00BB6220">
        <w:t>societies</w:t>
      </w:r>
      <w:r w:rsidR="003D640C">
        <w:t xml:space="preserve"> </w:t>
      </w:r>
      <w:r w:rsidR="0089737A" w:rsidRPr="00BB6220">
        <w:t>and</w:t>
      </w:r>
      <w:r w:rsidR="003D640C">
        <w:t xml:space="preserve"> </w:t>
      </w:r>
      <w:r w:rsidR="0089737A" w:rsidRPr="00BB6220">
        <w:t>world</w:t>
      </w:r>
      <w:r w:rsidR="00B11068">
        <w:t xml:space="preserve"> </w:t>
      </w:r>
      <w:r w:rsidR="0089737A" w:rsidRPr="00BB6220">
        <w:t>views</w:t>
      </w:r>
      <w:r w:rsidR="00BD5FDF" w:rsidRPr="00BB6220">
        <w:t>.</w:t>
      </w:r>
    </w:p>
    <w:p w14:paraId="10698FDB" w14:textId="788275D1" w:rsidR="00035BAF" w:rsidRPr="00BB6220" w:rsidRDefault="00035BAF" w:rsidP="00747446">
      <w:r w:rsidRPr="00BB6220">
        <w:t>For</w:t>
      </w:r>
      <w:r w:rsidR="003D640C">
        <w:t xml:space="preserve"> </w:t>
      </w:r>
      <w:r w:rsidRPr="00BB6220">
        <w:t>example,</w:t>
      </w:r>
      <w:r w:rsidR="003D640C">
        <w:t xml:space="preserve"> </w:t>
      </w:r>
      <w:r w:rsidR="23078F97" w:rsidRPr="00BB6220">
        <w:t>a</w:t>
      </w:r>
      <w:r w:rsidR="003D640C">
        <w:t xml:space="preserve"> </w:t>
      </w:r>
      <w:r w:rsidR="23078F97" w:rsidRPr="00BB6220">
        <w:t>New</w:t>
      </w:r>
      <w:r w:rsidR="003D640C">
        <w:t xml:space="preserve"> </w:t>
      </w:r>
      <w:r w:rsidR="23078F97" w:rsidRPr="00BB6220">
        <w:t>Zealand</w:t>
      </w:r>
      <w:r w:rsidR="003D640C">
        <w:t xml:space="preserve"> </w:t>
      </w:r>
      <w:r w:rsidR="23078F97" w:rsidRPr="00BB6220">
        <w:t>historian</w:t>
      </w:r>
      <w:r w:rsidR="003D640C">
        <w:t xml:space="preserve"> </w:t>
      </w:r>
      <w:r w:rsidRPr="00BB6220">
        <w:t>describes</w:t>
      </w:r>
      <w:r w:rsidR="003D640C">
        <w:t xml:space="preserve"> </w:t>
      </w:r>
      <w:r w:rsidRPr="00BB6220">
        <w:t>a</w:t>
      </w:r>
      <w:r w:rsidR="003D640C">
        <w:t xml:space="preserve"> </w:t>
      </w:r>
      <w:r w:rsidRPr="00BB6220">
        <w:t>young</w:t>
      </w:r>
      <w:r w:rsidR="003D640C">
        <w:t xml:space="preserve"> </w:t>
      </w:r>
      <w:r w:rsidRPr="00BB6220">
        <w:t>wakawawine</w:t>
      </w:r>
      <w:r w:rsidR="003D640C">
        <w:t xml:space="preserve"> </w:t>
      </w:r>
      <w:r w:rsidRPr="00BB6220">
        <w:t>(meaning</w:t>
      </w:r>
      <w:r w:rsidR="003D640C">
        <w:t xml:space="preserve"> </w:t>
      </w:r>
      <w:r w:rsidRPr="00BB6220">
        <w:t>‘like</w:t>
      </w:r>
      <w:r w:rsidR="003D640C">
        <w:t xml:space="preserve"> </w:t>
      </w:r>
      <w:r w:rsidRPr="00BB6220">
        <w:t>a</w:t>
      </w:r>
      <w:r w:rsidR="003D640C">
        <w:t xml:space="preserve"> </w:t>
      </w:r>
      <w:r w:rsidRPr="00BB6220">
        <w:t>woman’)</w:t>
      </w:r>
      <w:r w:rsidR="003D640C">
        <w:t xml:space="preserve"> </w:t>
      </w:r>
      <w:r w:rsidRPr="00BB6220">
        <w:t>Pukapukan</w:t>
      </w:r>
      <w:r w:rsidR="003D640C">
        <w:t xml:space="preserve"> </w:t>
      </w:r>
      <w:r w:rsidRPr="00BB6220">
        <w:t>in</w:t>
      </w:r>
      <w:r w:rsidR="003D640C">
        <w:t xml:space="preserve"> </w:t>
      </w:r>
      <w:r w:rsidRPr="00BB6220">
        <w:t>1938</w:t>
      </w:r>
      <w:r w:rsidR="003D640C">
        <w:t xml:space="preserve"> </w:t>
      </w:r>
      <w:r w:rsidRPr="00BB6220">
        <w:t>who</w:t>
      </w:r>
      <w:r w:rsidR="003D640C">
        <w:t xml:space="preserve"> </w:t>
      </w:r>
      <w:r w:rsidRPr="00BB6220">
        <w:t>was</w:t>
      </w:r>
      <w:r w:rsidR="003D640C">
        <w:t xml:space="preserve"> </w:t>
      </w:r>
      <w:r w:rsidRPr="00BB6220">
        <w:t>able</w:t>
      </w:r>
      <w:r w:rsidR="003D640C">
        <w:t xml:space="preserve"> </w:t>
      </w:r>
      <w:r w:rsidRPr="00BB6220">
        <w:t>to</w:t>
      </w:r>
      <w:r w:rsidR="003D640C">
        <w:t xml:space="preserve"> </w:t>
      </w:r>
      <w:r w:rsidRPr="00BB6220">
        <w:t>go</w:t>
      </w:r>
      <w:r w:rsidR="003D640C">
        <w:t xml:space="preserve"> </w:t>
      </w:r>
      <w:r w:rsidRPr="00BB6220">
        <w:t>between</w:t>
      </w:r>
      <w:r w:rsidR="003D640C">
        <w:t xml:space="preserve"> </w:t>
      </w:r>
      <w:r w:rsidRPr="00BB6220">
        <w:t>doing</w:t>
      </w:r>
      <w:r w:rsidR="003D640C">
        <w:t xml:space="preserve"> </w:t>
      </w:r>
      <w:r w:rsidRPr="00BB6220">
        <w:t>‘men’s</w:t>
      </w:r>
      <w:r w:rsidR="003D640C">
        <w:t xml:space="preserve"> </w:t>
      </w:r>
      <w:r w:rsidRPr="00BB6220">
        <w:t>work’</w:t>
      </w:r>
      <w:r w:rsidR="003D640C">
        <w:t xml:space="preserve"> </w:t>
      </w:r>
      <w:r w:rsidRPr="00BB6220">
        <w:t>and</w:t>
      </w:r>
      <w:r w:rsidR="003D640C">
        <w:t xml:space="preserve"> </w:t>
      </w:r>
      <w:r w:rsidRPr="00BB6220">
        <w:t>‘women’s</w:t>
      </w:r>
      <w:r w:rsidR="003D640C">
        <w:t xml:space="preserve"> </w:t>
      </w:r>
      <w:r w:rsidRPr="00BB6220">
        <w:t>work’</w:t>
      </w:r>
      <w:r w:rsidR="003D640C">
        <w:t xml:space="preserve"> </w:t>
      </w:r>
      <w:r w:rsidRPr="00BB6220">
        <w:t>without</w:t>
      </w:r>
      <w:r w:rsidR="003D640C">
        <w:t xml:space="preserve"> </w:t>
      </w:r>
      <w:r w:rsidRPr="00BB6220">
        <w:t>comment.</w:t>
      </w:r>
      <w:r w:rsidRPr="00BB6220">
        <w:rPr>
          <w:rStyle w:val="FootnoteReference"/>
        </w:rPr>
        <w:footnoteReference w:id="179"/>
      </w:r>
      <w:r w:rsidR="003D640C">
        <w:t xml:space="preserve"> </w:t>
      </w:r>
      <w:r w:rsidRPr="00BB6220">
        <w:t>Th</w:t>
      </w:r>
      <w:r w:rsidR="00E1774E">
        <w:t>is</w:t>
      </w:r>
      <w:r w:rsidR="003D640C">
        <w:t xml:space="preserve"> </w:t>
      </w:r>
      <w:r w:rsidR="00E1774E">
        <w:t>was</w:t>
      </w:r>
      <w:r w:rsidR="003D640C">
        <w:t xml:space="preserve"> </w:t>
      </w:r>
      <w:r w:rsidR="00E1774E">
        <w:t>despite</w:t>
      </w:r>
      <w:r w:rsidR="003D640C">
        <w:t xml:space="preserve"> </w:t>
      </w:r>
      <w:r w:rsidR="00E1774E">
        <w:t>th</w:t>
      </w:r>
      <w:r w:rsidRPr="00BB6220">
        <w:t>e</w:t>
      </w:r>
      <w:r w:rsidR="003D640C">
        <w:t xml:space="preserve"> </w:t>
      </w:r>
      <w:r w:rsidRPr="00BB6220">
        <w:t>London</w:t>
      </w:r>
      <w:r w:rsidR="003D640C">
        <w:t xml:space="preserve"> </w:t>
      </w:r>
      <w:r w:rsidRPr="00BB6220">
        <w:t>Missionary</w:t>
      </w:r>
      <w:r w:rsidR="003D640C">
        <w:t xml:space="preserve"> </w:t>
      </w:r>
      <w:r w:rsidRPr="00BB6220">
        <w:t>Society</w:t>
      </w:r>
      <w:r w:rsidR="003D640C">
        <w:t xml:space="preserve"> </w:t>
      </w:r>
      <w:r w:rsidR="00E1774E">
        <w:t>arriving</w:t>
      </w:r>
      <w:r w:rsidR="003D640C">
        <w:t xml:space="preserve"> </w:t>
      </w:r>
      <w:r w:rsidR="00C91703" w:rsidRPr="00BB6220">
        <w:t>in</w:t>
      </w:r>
      <w:r w:rsidR="003D640C">
        <w:t xml:space="preserve"> </w:t>
      </w:r>
      <w:r w:rsidRPr="00BB6220">
        <w:t>the</w:t>
      </w:r>
      <w:r w:rsidR="003D640C">
        <w:t xml:space="preserve"> </w:t>
      </w:r>
      <w:r w:rsidR="001D199E" w:rsidRPr="00BB6220">
        <w:t>i</w:t>
      </w:r>
      <w:r w:rsidRPr="00BB6220">
        <w:t>sland</w:t>
      </w:r>
      <w:r w:rsidR="003D640C">
        <w:t xml:space="preserve"> </w:t>
      </w:r>
      <w:r w:rsidRPr="00BB6220">
        <w:t>over</w:t>
      </w:r>
      <w:r w:rsidR="003D640C">
        <w:t xml:space="preserve"> </w:t>
      </w:r>
      <w:r w:rsidRPr="00BB6220">
        <w:t>80</w:t>
      </w:r>
      <w:r w:rsidR="003D640C">
        <w:t xml:space="preserve"> </w:t>
      </w:r>
      <w:r w:rsidRPr="00BB6220">
        <w:t>years</w:t>
      </w:r>
      <w:r w:rsidR="003D640C">
        <w:t xml:space="preserve"> </w:t>
      </w:r>
      <w:r w:rsidRPr="00BB6220">
        <w:t>earlier</w:t>
      </w:r>
      <w:r w:rsidR="003D640C">
        <w:t xml:space="preserve"> </w:t>
      </w:r>
      <w:r w:rsidRPr="00BB6220">
        <w:t>in</w:t>
      </w:r>
      <w:r w:rsidR="003D640C">
        <w:t xml:space="preserve"> </w:t>
      </w:r>
      <w:r w:rsidRPr="00BB6220">
        <w:t>1857.</w:t>
      </w:r>
      <w:r w:rsidRPr="00BB6220">
        <w:rPr>
          <w:rStyle w:val="FootnoteReference"/>
        </w:rPr>
        <w:footnoteReference w:id="180"/>
      </w:r>
      <w:r w:rsidR="003D640C">
        <w:t xml:space="preserve"> </w:t>
      </w:r>
    </w:p>
    <w:p w14:paraId="1EE7FF72" w14:textId="3A13A5B6" w:rsidR="00501068" w:rsidRDefault="00035BAF" w:rsidP="00747446">
      <w:r w:rsidRPr="00BB6220">
        <w:t>In</w:t>
      </w:r>
      <w:r w:rsidR="003D640C">
        <w:t xml:space="preserve"> </w:t>
      </w:r>
      <w:r w:rsidRPr="00BB6220">
        <w:t>202</w:t>
      </w:r>
      <w:r w:rsidR="0075399B" w:rsidRPr="00BB6220">
        <w:t>1</w:t>
      </w:r>
      <w:r w:rsidRPr="00BB6220">
        <w:t>,</w:t>
      </w:r>
      <w:r w:rsidR="003D640C">
        <w:t xml:space="preserve"> </w:t>
      </w:r>
      <w:r w:rsidRPr="00BB6220">
        <w:t>Stat</w:t>
      </w:r>
      <w:r w:rsidR="00517B92" w:rsidRPr="00BB6220">
        <w:t>s</w:t>
      </w:r>
      <w:r w:rsidR="003D640C">
        <w:t xml:space="preserve"> </w:t>
      </w:r>
      <w:r w:rsidR="00517B92" w:rsidRPr="00BB6220">
        <w:t>N</w:t>
      </w:r>
      <w:r w:rsidR="005967A5" w:rsidRPr="00BB6220">
        <w:t>Z</w:t>
      </w:r>
      <w:r w:rsidR="003D640C">
        <w:t xml:space="preserve"> </w:t>
      </w:r>
      <w:r w:rsidRPr="00BB6220">
        <w:t>data</w:t>
      </w:r>
      <w:r w:rsidR="003D640C">
        <w:t xml:space="preserve"> </w:t>
      </w:r>
      <w:r w:rsidRPr="00BB6220">
        <w:t>estimated</w:t>
      </w:r>
      <w:r w:rsidR="003D640C">
        <w:t xml:space="preserve"> </w:t>
      </w:r>
      <w:r w:rsidRPr="00BB6220">
        <w:t>approximately</w:t>
      </w:r>
      <w:r w:rsidR="003D640C">
        <w:t xml:space="preserve"> </w:t>
      </w:r>
      <w:r w:rsidR="00F1690C" w:rsidRPr="00BB6220">
        <w:t>5.7</w:t>
      </w:r>
      <w:r w:rsidR="001D1BF7">
        <w:t xml:space="preserve"> percent</w:t>
      </w:r>
      <w:r w:rsidR="003D640C">
        <w:t xml:space="preserve"> </w:t>
      </w:r>
      <w:r w:rsidRPr="00BB6220">
        <w:t>of</w:t>
      </w:r>
      <w:r w:rsidR="003D640C">
        <w:t xml:space="preserve"> </w:t>
      </w:r>
      <w:r w:rsidR="0051715E" w:rsidRPr="00BB6220">
        <w:t>Rainbow</w:t>
      </w:r>
      <w:r w:rsidR="003D640C">
        <w:t xml:space="preserve"> </w:t>
      </w:r>
      <w:r w:rsidRPr="00BB6220">
        <w:t>people</w:t>
      </w:r>
      <w:r w:rsidR="003D640C">
        <w:t xml:space="preserve"> </w:t>
      </w:r>
      <w:r w:rsidRPr="00BB6220">
        <w:t>in</w:t>
      </w:r>
      <w:r w:rsidR="003D640C">
        <w:t xml:space="preserve"> </w:t>
      </w:r>
      <w:r w:rsidR="00832802" w:rsidRPr="00BB6220">
        <w:t>Aotearoa</w:t>
      </w:r>
      <w:r w:rsidR="003D640C">
        <w:t xml:space="preserve"> </w:t>
      </w:r>
      <w:r w:rsidRPr="00BB6220">
        <w:t>over</w:t>
      </w:r>
      <w:r w:rsidR="003D640C">
        <w:t xml:space="preserve"> </w:t>
      </w:r>
      <w:r w:rsidRPr="00BB6220">
        <w:t>the</w:t>
      </w:r>
      <w:r w:rsidR="003D640C">
        <w:t xml:space="preserve"> </w:t>
      </w:r>
      <w:r w:rsidRPr="00BB6220">
        <w:t>age</w:t>
      </w:r>
      <w:r w:rsidR="003D640C">
        <w:t xml:space="preserve"> </w:t>
      </w:r>
      <w:r w:rsidRPr="00BB6220">
        <w:t>of</w:t>
      </w:r>
      <w:r w:rsidR="003D640C">
        <w:t xml:space="preserve"> </w:t>
      </w:r>
      <w:r w:rsidRPr="00BB6220">
        <w:t>18</w:t>
      </w:r>
      <w:r w:rsidR="003D640C">
        <w:t xml:space="preserve"> </w:t>
      </w:r>
      <w:r w:rsidR="00517B92" w:rsidRPr="00BB6220">
        <w:t>were</w:t>
      </w:r>
      <w:r w:rsidR="003D640C">
        <w:t xml:space="preserve"> </w:t>
      </w:r>
      <w:r w:rsidRPr="00BB6220">
        <w:t>Pacific</w:t>
      </w:r>
      <w:r w:rsidR="003D640C">
        <w:t xml:space="preserve"> </w:t>
      </w:r>
      <w:r w:rsidRPr="00BB6220">
        <w:t>peoples.</w:t>
      </w:r>
      <w:r w:rsidRPr="00BB6220">
        <w:rPr>
          <w:rStyle w:val="FootnoteReference"/>
        </w:rPr>
        <w:footnoteReference w:id="181"/>
      </w:r>
      <w:r w:rsidR="003D640C">
        <w:t xml:space="preserve"> </w:t>
      </w:r>
      <w:r w:rsidR="000D099E" w:rsidRPr="00BB6220">
        <w:t>There</w:t>
      </w:r>
      <w:r w:rsidR="003D640C">
        <w:t xml:space="preserve"> </w:t>
      </w:r>
      <w:r w:rsidR="00E1774E">
        <w:t>are</w:t>
      </w:r>
      <w:r w:rsidR="003D640C">
        <w:t xml:space="preserve"> </w:t>
      </w:r>
      <w:r w:rsidR="000D099E" w:rsidRPr="00BB6220">
        <w:t>an</w:t>
      </w:r>
      <w:r w:rsidR="003D640C">
        <w:t xml:space="preserve"> </w:t>
      </w:r>
      <w:r w:rsidRPr="00BB6220">
        <w:t>estimate</w:t>
      </w:r>
      <w:r w:rsidR="000D099E" w:rsidRPr="00BB6220">
        <w:t>d</w:t>
      </w:r>
      <w:r w:rsidR="003D640C">
        <w:t xml:space="preserve"> </w:t>
      </w:r>
      <w:r w:rsidR="00F842C7" w:rsidRPr="00BB6220">
        <w:t>1</w:t>
      </w:r>
      <w:r w:rsidRPr="00BB6220">
        <w:t>,300</w:t>
      </w:r>
      <w:r w:rsidR="003D640C">
        <w:t xml:space="preserve"> </w:t>
      </w:r>
      <w:r w:rsidR="00517B92" w:rsidRPr="00BB6220">
        <w:t>P</w:t>
      </w:r>
      <w:r w:rsidRPr="00BB6220">
        <w:t>acific</w:t>
      </w:r>
      <w:r w:rsidR="003D640C">
        <w:t xml:space="preserve"> </w:t>
      </w:r>
      <w:r w:rsidRPr="00BB6220">
        <w:t>trans</w:t>
      </w:r>
      <w:r w:rsidR="00517B92" w:rsidRPr="00BB6220">
        <w:t>gender</w:t>
      </w:r>
      <w:r w:rsidR="003D640C">
        <w:t xml:space="preserve"> </w:t>
      </w:r>
      <w:r w:rsidRPr="00BB6220">
        <w:t>or</w:t>
      </w:r>
      <w:r w:rsidR="003D640C">
        <w:t xml:space="preserve"> </w:t>
      </w:r>
      <w:r w:rsidRPr="00BB6220">
        <w:t>non-binary</w:t>
      </w:r>
      <w:r w:rsidR="003D640C">
        <w:t xml:space="preserve"> </w:t>
      </w:r>
      <w:r w:rsidRPr="00BB6220">
        <w:t>people</w:t>
      </w:r>
      <w:r w:rsidR="003D640C">
        <w:t xml:space="preserve"> </w:t>
      </w:r>
      <w:r w:rsidRPr="00BB6220">
        <w:t>over</w:t>
      </w:r>
      <w:r w:rsidR="003D640C">
        <w:t xml:space="preserve"> </w:t>
      </w:r>
      <w:r w:rsidRPr="00BB6220">
        <w:t>the</w:t>
      </w:r>
      <w:r w:rsidR="003D640C">
        <w:t xml:space="preserve"> </w:t>
      </w:r>
      <w:r w:rsidRPr="00BB6220">
        <w:t>age</w:t>
      </w:r>
      <w:r w:rsidR="003D640C">
        <w:t xml:space="preserve"> </w:t>
      </w:r>
      <w:r w:rsidRPr="00BB6220">
        <w:t>of</w:t>
      </w:r>
      <w:r w:rsidR="003D640C">
        <w:t xml:space="preserve"> </w:t>
      </w:r>
      <w:r w:rsidRPr="00BB6220">
        <w:t>18</w:t>
      </w:r>
      <w:r w:rsidR="003D640C">
        <w:t xml:space="preserve"> </w:t>
      </w:r>
      <w:r w:rsidRPr="00BB6220">
        <w:t>and</w:t>
      </w:r>
      <w:r w:rsidR="003D640C">
        <w:t xml:space="preserve"> </w:t>
      </w:r>
      <w:r w:rsidR="00664195" w:rsidRPr="00BB6220">
        <w:t>a</w:t>
      </w:r>
      <w:r w:rsidR="003D640C">
        <w:t xml:space="preserve"> </w:t>
      </w:r>
      <w:r w:rsidR="00664195" w:rsidRPr="00BB6220">
        <w:t>further</w:t>
      </w:r>
      <w:r w:rsidR="003D640C">
        <w:t xml:space="preserve"> </w:t>
      </w:r>
      <w:r w:rsidRPr="00BB6220">
        <w:t>8,</w:t>
      </w:r>
      <w:r w:rsidR="0075399B" w:rsidRPr="00BB6220">
        <w:t>7</w:t>
      </w:r>
      <w:r w:rsidRPr="00BB6220">
        <w:t>00</w:t>
      </w:r>
      <w:r w:rsidR="003D640C">
        <w:t xml:space="preserve"> </w:t>
      </w:r>
      <w:r w:rsidRPr="00BB6220">
        <w:t>people</w:t>
      </w:r>
      <w:r w:rsidR="003D640C">
        <w:t xml:space="preserve"> </w:t>
      </w:r>
      <w:r w:rsidR="00664195" w:rsidRPr="00BB6220">
        <w:t>over</w:t>
      </w:r>
      <w:r w:rsidR="003D640C">
        <w:t xml:space="preserve"> </w:t>
      </w:r>
      <w:r w:rsidR="00664195" w:rsidRPr="00BB6220">
        <w:t>the</w:t>
      </w:r>
      <w:r w:rsidR="003D640C">
        <w:t xml:space="preserve"> </w:t>
      </w:r>
      <w:r w:rsidR="00664195" w:rsidRPr="00BB6220">
        <w:t>age</w:t>
      </w:r>
      <w:r w:rsidR="003D640C">
        <w:t xml:space="preserve"> </w:t>
      </w:r>
      <w:r w:rsidR="00664195" w:rsidRPr="00BB6220">
        <w:t>of</w:t>
      </w:r>
      <w:r w:rsidR="003D640C">
        <w:t xml:space="preserve"> </w:t>
      </w:r>
      <w:r w:rsidR="00664195" w:rsidRPr="00BB6220">
        <w:t>18</w:t>
      </w:r>
      <w:r w:rsidR="003D640C">
        <w:t xml:space="preserve"> </w:t>
      </w:r>
      <w:r w:rsidRPr="00BB6220">
        <w:t>who</w:t>
      </w:r>
      <w:r w:rsidR="003D640C">
        <w:t xml:space="preserve"> </w:t>
      </w:r>
      <w:r w:rsidR="00DB70D7" w:rsidRPr="00BB6220">
        <w:t>are</w:t>
      </w:r>
      <w:r w:rsidR="003D640C">
        <w:t xml:space="preserve"> </w:t>
      </w:r>
      <w:r w:rsidR="006A035A">
        <w:t xml:space="preserve">of </w:t>
      </w:r>
      <w:r w:rsidR="00CF14A8" w:rsidRPr="00BB6220">
        <w:t>a</w:t>
      </w:r>
      <w:r w:rsidR="003D640C">
        <w:t xml:space="preserve"> </w:t>
      </w:r>
      <w:r w:rsidRPr="00BB6220">
        <w:t>sexual</w:t>
      </w:r>
      <w:r w:rsidR="003D640C">
        <w:t xml:space="preserve"> </w:t>
      </w:r>
      <w:r w:rsidRPr="00BB6220">
        <w:t>minorit</w:t>
      </w:r>
      <w:r w:rsidR="00CF14A8" w:rsidRPr="00BB6220">
        <w:t>y</w:t>
      </w:r>
      <w:r w:rsidRPr="00BB6220">
        <w:t>.</w:t>
      </w:r>
      <w:r w:rsidR="003D640C">
        <w:t xml:space="preserve"> </w:t>
      </w:r>
    </w:p>
    <w:p w14:paraId="187623A5" w14:textId="05A826DF" w:rsidR="004C33DF" w:rsidRPr="00BB6220" w:rsidRDefault="0055263E" w:rsidP="002C6363">
      <w:pPr>
        <w:pStyle w:val="Heading3"/>
      </w:pPr>
      <w:bookmarkStart w:id="254" w:name="_Toc167780612"/>
      <w:bookmarkStart w:id="255" w:name="_Toc615992989"/>
      <w:bookmarkStart w:id="256" w:name="_Toc174628672"/>
      <w:bookmarkStart w:id="257" w:name="_Toc138325185"/>
      <w:bookmarkStart w:id="258" w:name="_Toc138343828"/>
      <w:r w:rsidRPr="00BB6220">
        <w:lastRenderedPageBreak/>
        <w:t>Colonisation</w:t>
      </w:r>
      <w:r w:rsidR="003D640C">
        <w:t xml:space="preserve"> </w:t>
      </w:r>
      <w:r w:rsidRPr="00BB6220">
        <w:t>and</w:t>
      </w:r>
      <w:r w:rsidR="003D640C">
        <w:t xml:space="preserve"> </w:t>
      </w:r>
      <w:r w:rsidRPr="00BB6220">
        <w:t>influence</w:t>
      </w:r>
      <w:r w:rsidR="003D640C">
        <w:t xml:space="preserve"> </w:t>
      </w:r>
      <w:r w:rsidRPr="00BB6220">
        <w:t>of</w:t>
      </w:r>
      <w:r w:rsidR="003D640C">
        <w:t xml:space="preserve"> </w:t>
      </w:r>
      <w:r w:rsidRPr="00BB6220">
        <w:t>miss</w:t>
      </w:r>
      <w:r w:rsidR="00270B5F" w:rsidRPr="00BB6220">
        <w:t>ionaries</w:t>
      </w:r>
      <w:bookmarkEnd w:id="254"/>
      <w:bookmarkEnd w:id="255"/>
      <w:bookmarkEnd w:id="256"/>
      <w:r w:rsidR="003D640C">
        <w:t xml:space="preserve"> </w:t>
      </w:r>
    </w:p>
    <w:p w14:paraId="380AD111" w14:textId="4B91C33F" w:rsidR="004C33DF" w:rsidRDefault="004C33DF" w:rsidP="00747446">
      <w:r w:rsidRPr="00BB6220">
        <w:t>The</w:t>
      </w:r>
      <w:r w:rsidR="003D640C">
        <w:t xml:space="preserve"> </w:t>
      </w:r>
      <w:r w:rsidRPr="00BB6220">
        <w:t>link</w:t>
      </w:r>
      <w:r w:rsidR="003D640C">
        <w:t xml:space="preserve"> </w:t>
      </w:r>
      <w:r w:rsidRPr="00BB6220">
        <w:t>between</w:t>
      </w:r>
      <w:r w:rsidR="003D640C">
        <w:t xml:space="preserve"> </w:t>
      </w:r>
      <w:r w:rsidRPr="00BB6220">
        <w:t>colonialism,</w:t>
      </w:r>
      <w:r w:rsidR="003D640C">
        <w:t xml:space="preserve"> </w:t>
      </w:r>
      <w:r w:rsidRPr="00BB6220">
        <w:t>Christianity</w:t>
      </w:r>
      <w:r w:rsidR="00970CFF">
        <w:t>,</w:t>
      </w:r>
      <w:r w:rsidR="003D640C">
        <w:t xml:space="preserve"> </w:t>
      </w:r>
      <w:r w:rsidRPr="00BB6220">
        <w:t>and</w:t>
      </w:r>
      <w:r w:rsidR="003D640C">
        <w:t xml:space="preserve"> </w:t>
      </w:r>
      <w:r w:rsidRPr="00BB6220">
        <w:t>culture</w:t>
      </w:r>
      <w:r w:rsidR="003D640C">
        <w:t xml:space="preserve"> </w:t>
      </w:r>
      <w:r w:rsidRPr="00BB6220">
        <w:t>in</w:t>
      </w:r>
      <w:r w:rsidR="003D640C">
        <w:t xml:space="preserve"> </w:t>
      </w:r>
      <w:r w:rsidRPr="00BB6220">
        <w:t>the</w:t>
      </w:r>
      <w:r w:rsidR="003D640C">
        <w:t xml:space="preserve"> </w:t>
      </w:r>
      <w:r w:rsidRPr="00BB6220">
        <w:t>Pacific</w:t>
      </w:r>
      <w:r w:rsidR="003D640C">
        <w:t xml:space="preserve"> </w:t>
      </w:r>
      <w:r w:rsidRPr="00BB6220">
        <w:t>has</w:t>
      </w:r>
      <w:r w:rsidR="003D640C">
        <w:t xml:space="preserve"> </w:t>
      </w:r>
      <w:r w:rsidRPr="00BB6220">
        <w:t>long</w:t>
      </w:r>
      <w:r w:rsidR="003D640C">
        <w:t xml:space="preserve"> </w:t>
      </w:r>
      <w:r w:rsidRPr="00BB6220">
        <w:t>been</w:t>
      </w:r>
      <w:r w:rsidR="003D640C">
        <w:t xml:space="preserve"> </w:t>
      </w:r>
      <w:r w:rsidR="004E609D" w:rsidRPr="00BB6220">
        <w:t>discussed</w:t>
      </w:r>
      <w:r w:rsidR="00970CFF">
        <w:t>.</w:t>
      </w:r>
      <w:r w:rsidR="00A372CB">
        <w:rPr>
          <w:rStyle w:val="FootnoteReference"/>
        </w:rPr>
        <w:footnoteReference w:id="182"/>
      </w:r>
      <w:r w:rsidR="003D640C">
        <w:t xml:space="preserve"> </w:t>
      </w:r>
      <w:r w:rsidR="00C579BA" w:rsidRPr="00BB6220">
        <w:t>T</w:t>
      </w:r>
      <w:r w:rsidRPr="00BB6220">
        <w:t>here</w:t>
      </w:r>
      <w:r w:rsidR="003D640C">
        <w:t xml:space="preserve"> </w:t>
      </w:r>
      <w:r w:rsidRPr="00BB6220">
        <w:t>were</w:t>
      </w:r>
      <w:r w:rsidR="003D640C">
        <w:t xml:space="preserve"> </w:t>
      </w:r>
      <w:r w:rsidRPr="00BB6220">
        <w:t>many</w:t>
      </w:r>
      <w:r w:rsidR="003D640C">
        <w:t xml:space="preserve"> </w:t>
      </w:r>
      <w:r w:rsidRPr="00BB6220">
        <w:t>parallels</w:t>
      </w:r>
      <w:r w:rsidR="003D640C">
        <w:t xml:space="preserve"> </w:t>
      </w:r>
      <w:r w:rsidR="00D65A5C">
        <w:t>between</w:t>
      </w:r>
      <w:r w:rsidR="003D640C">
        <w:t xml:space="preserve"> </w:t>
      </w:r>
      <w:r w:rsidRPr="00BB6220">
        <w:t>Christianity</w:t>
      </w:r>
      <w:r w:rsidR="003D640C">
        <w:t xml:space="preserve"> </w:t>
      </w:r>
      <w:r w:rsidRPr="00BB6220">
        <w:t>and</w:t>
      </w:r>
      <w:r w:rsidR="003D640C">
        <w:t xml:space="preserve"> </w:t>
      </w:r>
      <w:r w:rsidRPr="00BB6220">
        <w:t>the</w:t>
      </w:r>
      <w:r w:rsidR="003D640C">
        <w:t xml:space="preserve"> </w:t>
      </w:r>
      <w:r w:rsidRPr="00BB6220">
        <w:t>respective</w:t>
      </w:r>
      <w:r w:rsidR="003D640C">
        <w:t xml:space="preserve"> </w:t>
      </w:r>
      <w:r w:rsidRPr="00BB6220">
        <w:t>and</w:t>
      </w:r>
      <w:r w:rsidR="003D640C">
        <w:t xml:space="preserve"> </w:t>
      </w:r>
      <w:r w:rsidRPr="00BB6220">
        <w:t>diverse</w:t>
      </w:r>
      <w:r w:rsidR="003D640C">
        <w:t xml:space="preserve"> </w:t>
      </w:r>
      <w:r w:rsidRPr="00BB6220">
        <w:t>Pacific</w:t>
      </w:r>
      <w:r w:rsidR="003D640C">
        <w:t xml:space="preserve"> </w:t>
      </w:r>
      <w:r w:rsidRPr="00BB6220">
        <w:t>cultures</w:t>
      </w:r>
      <w:r w:rsidR="003D640C">
        <w:t xml:space="preserve"> </w:t>
      </w:r>
      <w:r w:rsidR="00970CFF">
        <w:t xml:space="preserve">that </w:t>
      </w:r>
      <w:r w:rsidR="00FE485F">
        <w:t>enabled</w:t>
      </w:r>
      <w:r w:rsidR="003D640C">
        <w:t xml:space="preserve"> </w:t>
      </w:r>
      <w:r w:rsidR="00631302" w:rsidRPr="00BB6220">
        <w:t>an</w:t>
      </w:r>
      <w:r w:rsidR="003D640C">
        <w:t xml:space="preserve"> </w:t>
      </w:r>
      <w:r w:rsidR="00631302" w:rsidRPr="00BB6220">
        <w:t>effective</w:t>
      </w:r>
      <w:r w:rsidR="003D640C">
        <w:t xml:space="preserve"> </w:t>
      </w:r>
      <w:r w:rsidRPr="00BB6220">
        <w:t>missionisation</w:t>
      </w:r>
      <w:r w:rsidR="003D640C">
        <w:t xml:space="preserve"> </w:t>
      </w:r>
      <w:r w:rsidR="00631302" w:rsidRPr="00BB6220">
        <w:t>campaign</w:t>
      </w:r>
      <w:r w:rsidR="003D640C">
        <w:t xml:space="preserve"> </w:t>
      </w:r>
      <w:r w:rsidRPr="00BB6220">
        <w:t>across</w:t>
      </w:r>
      <w:r w:rsidR="003D640C">
        <w:t xml:space="preserve"> </w:t>
      </w:r>
      <w:r w:rsidRPr="00BB6220">
        <w:t>the</w:t>
      </w:r>
      <w:r w:rsidR="003D640C">
        <w:t xml:space="preserve"> </w:t>
      </w:r>
      <w:r w:rsidRPr="00BB6220">
        <w:t>South</w:t>
      </w:r>
      <w:r w:rsidR="003D640C">
        <w:t xml:space="preserve"> </w:t>
      </w:r>
      <w:r w:rsidRPr="00BB6220">
        <w:t>Pacific</w:t>
      </w:r>
      <w:r w:rsidR="00970CFF">
        <w:t>.</w:t>
      </w:r>
      <w:r w:rsidR="004E2F4E">
        <w:rPr>
          <w:rStyle w:val="FootnoteReference"/>
        </w:rPr>
        <w:footnoteReference w:id="183"/>
      </w:r>
      <w:r w:rsidR="003D640C">
        <w:t xml:space="preserve"> </w:t>
      </w:r>
      <w:r w:rsidR="0051715E" w:rsidRPr="00BB6220">
        <w:t>These</w:t>
      </w:r>
      <w:r w:rsidR="003D640C">
        <w:t xml:space="preserve"> </w:t>
      </w:r>
      <w:r w:rsidR="0051715E" w:rsidRPr="00BB6220">
        <w:t>parallels</w:t>
      </w:r>
      <w:r w:rsidR="003D640C">
        <w:t xml:space="preserve"> </w:t>
      </w:r>
      <w:r w:rsidR="0051715E" w:rsidRPr="00BB6220">
        <w:t>include</w:t>
      </w:r>
      <w:r w:rsidR="003D640C">
        <w:t xml:space="preserve"> </w:t>
      </w:r>
      <w:r w:rsidRPr="00BB6220">
        <w:t>the</w:t>
      </w:r>
      <w:r w:rsidR="003D640C">
        <w:t xml:space="preserve"> </w:t>
      </w:r>
      <w:r w:rsidRPr="00BB6220">
        <w:t>familiarity</w:t>
      </w:r>
      <w:r w:rsidR="003D640C">
        <w:t xml:space="preserve"> </w:t>
      </w:r>
      <w:r w:rsidRPr="00BB6220">
        <w:t>of</w:t>
      </w:r>
      <w:r w:rsidR="003D640C">
        <w:t xml:space="preserve"> </w:t>
      </w:r>
      <w:r w:rsidRPr="00BB6220">
        <w:t>hierarchical</w:t>
      </w:r>
      <w:r w:rsidR="003D640C">
        <w:t xml:space="preserve"> </w:t>
      </w:r>
      <w:r w:rsidRPr="00BB6220">
        <w:t>leadership</w:t>
      </w:r>
      <w:r w:rsidR="003D640C">
        <w:t xml:space="preserve"> </w:t>
      </w:r>
      <w:r w:rsidRPr="00BB6220">
        <w:t>structures,</w:t>
      </w:r>
      <w:r w:rsidR="003D640C">
        <w:t xml:space="preserve"> </w:t>
      </w:r>
      <w:r w:rsidR="00670E6F" w:rsidRPr="00BB6220">
        <w:t>the</w:t>
      </w:r>
      <w:r w:rsidR="003D640C">
        <w:t xml:space="preserve"> </w:t>
      </w:r>
      <w:r w:rsidR="00670E6F" w:rsidRPr="00BB6220">
        <w:t>appeal</w:t>
      </w:r>
      <w:r w:rsidR="003D640C">
        <w:t xml:space="preserve"> </w:t>
      </w:r>
      <w:r w:rsidR="00670E6F" w:rsidRPr="00BB6220">
        <w:t>of</w:t>
      </w:r>
      <w:r w:rsidR="003D640C">
        <w:t xml:space="preserve"> </w:t>
      </w:r>
      <w:r w:rsidR="00670E6F" w:rsidRPr="00BB6220">
        <w:t>political</w:t>
      </w:r>
      <w:r w:rsidR="003D640C">
        <w:t xml:space="preserve"> </w:t>
      </w:r>
      <w:r w:rsidR="00670E6F" w:rsidRPr="00BB6220">
        <w:t>power</w:t>
      </w:r>
      <w:r w:rsidR="00600778" w:rsidRPr="00BB6220">
        <w:t>,</w:t>
      </w:r>
      <w:r w:rsidR="003D640C">
        <w:t xml:space="preserve"> </w:t>
      </w:r>
      <w:r w:rsidR="00600778" w:rsidRPr="00BB6220">
        <w:t>or</w:t>
      </w:r>
      <w:r w:rsidR="00970CFF">
        <w:t>,</w:t>
      </w:r>
      <w:r w:rsidR="003D640C">
        <w:t xml:space="preserve"> </w:t>
      </w:r>
      <w:r w:rsidRPr="00BB6220">
        <w:t>at</w:t>
      </w:r>
      <w:r w:rsidR="003D640C">
        <w:t xml:space="preserve"> </w:t>
      </w:r>
      <w:r w:rsidRPr="00BB6220">
        <w:t>the</w:t>
      </w:r>
      <w:r w:rsidR="003D640C">
        <w:t xml:space="preserve"> </w:t>
      </w:r>
      <w:r w:rsidRPr="00BB6220">
        <w:t>other</w:t>
      </w:r>
      <w:r w:rsidR="003D640C">
        <w:t xml:space="preserve"> </w:t>
      </w:r>
      <w:r w:rsidRPr="00BB6220">
        <w:t>end,</w:t>
      </w:r>
      <w:r w:rsidR="003D640C">
        <w:t xml:space="preserve"> </w:t>
      </w:r>
      <w:r w:rsidRPr="00BB6220">
        <w:t>egalitarianism</w:t>
      </w:r>
      <w:r w:rsidR="00635796" w:rsidRPr="00BB6220">
        <w:t>.</w:t>
      </w:r>
      <w:r w:rsidR="003D640C">
        <w:t xml:space="preserve"> </w:t>
      </w:r>
      <w:r w:rsidR="0051715E" w:rsidRPr="00BB6220">
        <w:t>The</w:t>
      </w:r>
      <w:r w:rsidR="003D640C">
        <w:t xml:space="preserve"> </w:t>
      </w:r>
      <w:r w:rsidR="004A6232" w:rsidRPr="00BB6220">
        <w:t>influence</w:t>
      </w:r>
      <w:r w:rsidR="003D640C">
        <w:t xml:space="preserve"> </w:t>
      </w:r>
      <w:r w:rsidR="0051715E" w:rsidRPr="00BB6220">
        <w:t>of</w:t>
      </w:r>
      <w:r w:rsidR="003D640C">
        <w:t xml:space="preserve"> </w:t>
      </w:r>
      <w:r w:rsidR="0051715E" w:rsidRPr="00BB6220">
        <w:t>Christianity</w:t>
      </w:r>
      <w:r w:rsidR="003D640C">
        <w:t xml:space="preserve"> </w:t>
      </w:r>
      <w:r w:rsidR="00D77A31" w:rsidRPr="00BB6220">
        <w:t>eventually</w:t>
      </w:r>
      <w:r w:rsidR="003D640C">
        <w:t xml:space="preserve"> </w:t>
      </w:r>
      <w:r w:rsidR="003F6FAB" w:rsidRPr="00BB6220">
        <w:t>usurped</w:t>
      </w:r>
      <w:r w:rsidR="003D640C">
        <w:t xml:space="preserve"> </w:t>
      </w:r>
      <w:r w:rsidR="007D3D0B">
        <w:t>or</w:t>
      </w:r>
      <w:r w:rsidR="003D640C">
        <w:t xml:space="preserve"> </w:t>
      </w:r>
      <w:r w:rsidR="007D3D0B">
        <w:t>at</w:t>
      </w:r>
      <w:r w:rsidR="003D640C">
        <w:t xml:space="preserve"> </w:t>
      </w:r>
      <w:r w:rsidR="007D3D0B">
        <w:t>least</w:t>
      </w:r>
      <w:r w:rsidR="003D640C">
        <w:t xml:space="preserve"> </w:t>
      </w:r>
      <w:r w:rsidR="007D3D0B">
        <w:t>reshaped</w:t>
      </w:r>
      <w:r w:rsidR="003D640C">
        <w:t xml:space="preserve"> </w:t>
      </w:r>
      <w:r w:rsidR="0051715E" w:rsidRPr="00BB6220">
        <w:t>I</w:t>
      </w:r>
      <w:r w:rsidR="001E526C" w:rsidRPr="00BB6220">
        <w:t>ndigenous</w:t>
      </w:r>
      <w:r w:rsidR="003D640C">
        <w:t xml:space="preserve"> </w:t>
      </w:r>
      <w:r w:rsidR="001E526C" w:rsidRPr="00BB6220">
        <w:t>spirituality</w:t>
      </w:r>
      <w:r w:rsidR="00FD110B" w:rsidRPr="00BB6220">
        <w:t>,</w:t>
      </w:r>
      <w:r w:rsidR="003D640C">
        <w:t xml:space="preserve"> </w:t>
      </w:r>
      <w:r w:rsidR="00FD110B" w:rsidRPr="00BB6220">
        <w:t>matriarchal</w:t>
      </w:r>
      <w:r w:rsidR="003D640C">
        <w:t xml:space="preserve"> </w:t>
      </w:r>
      <w:r w:rsidR="00FD110B" w:rsidRPr="00BB6220">
        <w:t>systems</w:t>
      </w:r>
      <w:r w:rsidR="1FB1235C" w:rsidRPr="00BB6220">
        <w:t>,</w:t>
      </w:r>
      <w:r w:rsidR="003D640C">
        <w:t xml:space="preserve"> </w:t>
      </w:r>
      <w:r w:rsidR="001E526C" w:rsidRPr="00BB6220">
        <w:t>and</w:t>
      </w:r>
      <w:r w:rsidR="003D640C">
        <w:t xml:space="preserve"> </w:t>
      </w:r>
      <w:r w:rsidR="001E526C" w:rsidRPr="00BB6220">
        <w:t>social</w:t>
      </w:r>
      <w:r w:rsidR="003D640C">
        <w:t xml:space="preserve"> </w:t>
      </w:r>
      <w:r w:rsidR="003F6FAB" w:rsidRPr="00BB6220">
        <w:t>norms</w:t>
      </w:r>
      <w:r w:rsidR="0051715E" w:rsidRPr="00BB6220">
        <w:t>,</w:t>
      </w:r>
      <w:r w:rsidR="003D640C">
        <w:t xml:space="preserve"> </w:t>
      </w:r>
      <w:r w:rsidR="004A6232" w:rsidRPr="00BB6220">
        <w:t>which</w:t>
      </w:r>
      <w:r w:rsidR="003D640C">
        <w:t xml:space="preserve"> </w:t>
      </w:r>
      <w:r w:rsidR="00091C39" w:rsidRPr="00BB6220">
        <w:t>has</w:t>
      </w:r>
      <w:r w:rsidR="003D640C">
        <w:t xml:space="preserve"> </w:t>
      </w:r>
      <w:r w:rsidR="00091C39" w:rsidRPr="00BB6220">
        <w:t>led</w:t>
      </w:r>
      <w:r w:rsidR="003D640C">
        <w:t xml:space="preserve"> </w:t>
      </w:r>
      <w:r w:rsidR="00091C39" w:rsidRPr="00BB6220">
        <w:t>to</w:t>
      </w:r>
      <w:r w:rsidR="00E27A78" w:rsidRPr="00BB6220">
        <w:t>day</w:t>
      </w:r>
      <w:r w:rsidR="003D640C">
        <w:t xml:space="preserve"> </w:t>
      </w:r>
      <w:r w:rsidR="00091C39" w:rsidRPr="00BB6220">
        <w:t>to</w:t>
      </w:r>
      <w:r w:rsidR="003D640C">
        <w:t xml:space="preserve"> </w:t>
      </w:r>
      <w:r w:rsidR="00873717" w:rsidRPr="00BB6220">
        <w:t>the</w:t>
      </w:r>
      <w:r w:rsidR="003D640C">
        <w:t xml:space="preserve"> </w:t>
      </w:r>
      <w:r w:rsidR="00873717" w:rsidRPr="00BB6220">
        <w:t>Christianisation</w:t>
      </w:r>
      <w:r w:rsidR="003D640C">
        <w:t xml:space="preserve"> </w:t>
      </w:r>
      <w:r w:rsidR="00873717" w:rsidRPr="00BB6220">
        <w:t>of</w:t>
      </w:r>
      <w:r w:rsidR="003D640C">
        <w:t xml:space="preserve"> </w:t>
      </w:r>
      <w:r w:rsidR="00DB4689" w:rsidRPr="00BB6220">
        <w:t>most</w:t>
      </w:r>
      <w:r w:rsidR="003D640C">
        <w:t xml:space="preserve"> </w:t>
      </w:r>
      <w:r w:rsidR="00873717" w:rsidRPr="00BB6220">
        <w:t>Pacific</w:t>
      </w:r>
      <w:r w:rsidR="003D640C">
        <w:t xml:space="preserve"> </w:t>
      </w:r>
      <w:r w:rsidR="0072310D" w:rsidRPr="00BB6220">
        <w:t>nations</w:t>
      </w:r>
      <w:r w:rsidR="00E27A78" w:rsidRPr="00BB6220">
        <w:t>.</w:t>
      </w:r>
      <w:r w:rsidR="0051715E" w:rsidRPr="00BB6220">
        <w:rPr>
          <w:rStyle w:val="FootnoteReference"/>
        </w:rPr>
        <w:footnoteReference w:id="184"/>
      </w:r>
      <w:r w:rsidR="003D640C">
        <w:t xml:space="preserve"> </w:t>
      </w:r>
      <w:r w:rsidR="00A4732B">
        <w:t>When</w:t>
      </w:r>
      <w:r w:rsidR="003D640C">
        <w:t xml:space="preserve"> </w:t>
      </w:r>
      <w:r w:rsidR="00A4732B">
        <w:t>Christianity</w:t>
      </w:r>
      <w:r w:rsidR="003D640C">
        <w:t xml:space="preserve"> </w:t>
      </w:r>
      <w:r w:rsidR="00A4732B">
        <w:t>spread</w:t>
      </w:r>
      <w:r w:rsidR="003D640C">
        <w:t xml:space="preserve"> </w:t>
      </w:r>
      <w:r w:rsidR="00A4732B">
        <w:t>through</w:t>
      </w:r>
      <w:r w:rsidR="003D640C">
        <w:t xml:space="preserve"> </w:t>
      </w:r>
      <w:r w:rsidR="00A4732B">
        <w:t>the</w:t>
      </w:r>
      <w:r w:rsidR="003D640C">
        <w:t xml:space="preserve"> </w:t>
      </w:r>
      <w:r w:rsidR="00A4732B">
        <w:t>region</w:t>
      </w:r>
      <w:r w:rsidR="003D640C">
        <w:t xml:space="preserve"> </w:t>
      </w:r>
      <w:r w:rsidR="00D52BB2">
        <w:t>replacing</w:t>
      </w:r>
      <w:r w:rsidR="003D640C">
        <w:t xml:space="preserve"> </w:t>
      </w:r>
      <w:r w:rsidR="00D52BB2">
        <w:t>traditional</w:t>
      </w:r>
      <w:r w:rsidR="003D640C">
        <w:t xml:space="preserve"> </w:t>
      </w:r>
      <w:r w:rsidR="00960285">
        <w:t>religions,</w:t>
      </w:r>
      <w:r w:rsidR="003D640C">
        <w:t xml:space="preserve"> </w:t>
      </w:r>
      <w:r w:rsidR="00960285">
        <w:t>it</w:t>
      </w:r>
      <w:r w:rsidR="003D640C">
        <w:t xml:space="preserve"> </w:t>
      </w:r>
      <w:r w:rsidR="00960285">
        <w:t>was</w:t>
      </w:r>
      <w:r w:rsidR="003D640C">
        <w:t xml:space="preserve"> </w:t>
      </w:r>
      <w:r w:rsidR="00960285">
        <w:t>modified</w:t>
      </w:r>
      <w:r w:rsidR="003D640C">
        <w:t xml:space="preserve"> </w:t>
      </w:r>
      <w:r w:rsidR="004D16AA">
        <w:t>by</w:t>
      </w:r>
      <w:r w:rsidR="003D640C">
        <w:t xml:space="preserve"> </w:t>
      </w:r>
      <w:r w:rsidR="004D16AA">
        <w:t>Pacific</w:t>
      </w:r>
      <w:r w:rsidR="003D640C">
        <w:t xml:space="preserve"> </w:t>
      </w:r>
      <w:r w:rsidR="004D16AA">
        <w:t>people</w:t>
      </w:r>
      <w:r w:rsidR="003751AB">
        <w:t>s</w:t>
      </w:r>
      <w:r w:rsidR="003D640C">
        <w:t xml:space="preserve"> </w:t>
      </w:r>
      <w:r w:rsidR="00960285">
        <w:t>in</w:t>
      </w:r>
      <w:r w:rsidR="003D640C">
        <w:t xml:space="preserve"> </w:t>
      </w:r>
      <w:r w:rsidR="004D16AA">
        <w:t>various</w:t>
      </w:r>
      <w:r w:rsidR="003D640C">
        <w:t xml:space="preserve"> </w:t>
      </w:r>
      <w:r w:rsidR="00960285">
        <w:t>localities,</w:t>
      </w:r>
      <w:r w:rsidR="003D640C">
        <w:t xml:space="preserve"> </w:t>
      </w:r>
      <w:r w:rsidR="00960285">
        <w:t>resulting</w:t>
      </w:r>
      <w:r w:rsidR="003D640C">
        <w:t xml:space="preserve"> </w:t>
      </w:r>
      <w:r w:rsidR="00960285">
        <w:t>in</w:t>
      </w:r>
      <w:r w:rsidR="003D640C">
        <w:t xml:space="preserve"> </w:t>
      </w:r>
      <w:r w:rsidR="00960285">
        <w:t>a</w:t>
      </w:r>
      <w:r w:rsidR="003D640C">
        <w:t xml:space="preserve"> </w:t>
      </w:r>
      <w:r w:rsidR="00960285">
        <w:t>range</w:t>
      </w:r>
      <w:r w:rsidR="003D640C">
        <w:t xml:space="preserve"> </w:t>
      </w:r>
      <w:r w:rsidR="00960285">
        <w:t>of</w:t>
      </w:r>
      <w:r w:rsidR="003D640C">
        <w:t xml:space="preserve"> </w:t>
      </w:r>
      <w:r w:rsidR="004D16AA">
        <w:t>ways</w:t>
      </w:r>
      <w:r w:rsidR="003D640C">
        <w:t xml:space="preserve"> </w:t>
      </w:r>
      <w:r w:rsidR="004D16AA">
        <w:t>in</w:t>
      </w:r>
      <w:r w:rsidR="003D640C">
        <w:t xml:space="preserve"> </w:t>
      </w:r>
      <w:r w:rsidR="004D16AA">
        <w:t>which</w:t>
      </w:r>
      <w:r w:rsidR="003D640C">
        <w:t xml:space="preserve"> </w:t>
      </w:r>
      <w:r w:rsidR="004D16AA">
        <w:t>Christianity</w:t>
      </w:r>
      <w:r w:rsidR="003D640C">
        <w:t xml:space="preserve"> </w:t>
      </w:r>
      <w:r w:rsidR="004D16AA">
        <w:t>was</w:t>
      </w:r>
      <w:r w:rsidR="003D640C">
        <w:t xml:space="preserve"> </w:t>
      </w:r>
      <w:r w:rsidR="004D16AA">
        <w:t>integrated</w:t>
      </w:r>
      <w:r w:rsidR="003D640C">
        <w:t xml:space="preserve"> </w:t>
      </w:r>
      <w:r w:rsidR="004D16AA">
        <w:t>into</w:t>
      </w:r>
      <w:r w:rsidR="003D640C">
        <w:t xml:space="preserve"> </w:t>
      </w:r>
      <w:r w:rsidR="004D16AA">
        <w:t>Pacific</w:t>
      </w:r>
      <w:r w:rsidR="003D640C">
        <w:t xml:space="preserve"> </w:t>
      </w:r>
      <w:r w:rsidR="004D16AA">
        <w:t>cultures</w:t>
      </w:r>
      <w:r w:rsidR="00970CFF">
        <w:t>.</w:t>
      </w:r>
      <w:r w:rsidR="003976E1">
        <w:rPr>
          <w:rStyle w:val="FootnoteReference"/>
        </w:rPr>
        <w:footnoteReference w:id="185"/>
      </w:r>
      <w:r w:rsidR="003D640C">
        <w:t xml:space="preserve"> </w:t>
      </w:r>
    </w:p>
    <w:p w14:paraId="5D0D2A09" w14:textId="264D51A5" w:rsidR="008F312F" w:rsidRDefault="00E823F0" w:rsidP="00747446">
      <w:r>
        <w:t>As</w:t>
      </w:r>
      <w:r w:rsidR="003D640C">
        <w:t xml:space="preserve"> </w:t>
      </w:r>
      <w:r>
        <w:t>Pacific</w:t>
      </w:r>
      <w:r w:rsidR="003D640C">
        <w:t xml:space="preserve"> </w:t>
      </w:r>
      <w:r w:rsidR="0062208F">
        <w:t>countries</w:t>
      </w:r>
      <w:r w:rsidR="003D640C">
        <w:t xml:space="preserve"> </w:t>
      </w:r>
      <w:r>
        <w:t>gained</w:t>
      </w:r>
      <w:r w:rsidR="003D640C">
        <w:t xml:space="preserve"> </w:t>
      </w:r>
      <w:r>
        <w:t>independence,</w:t>
      </w:r>
      <w:r w:rsidR="003D640C">
        <w:t xml:space="preserve"> </w:t>
      </w:r>
      <w:r>
        <w:t>their</w:t>
      </w:r>
      <w:r w:rsidR="003D640C">
        <w:t xml:space="preserve"> </w:t>
      </w:r>
      <w:r>
        <w:t>leadership</w:t>
      </w:r>
      <w:r w:rsidR="003D640C">
        <w:t xml:space="preserve"> </w:t>
      </w:r>
      <w:r>
        <w:t>leaned</w:t>
      </w:r>
      <w:r w:rsidR="003D640C">
        <w:t xml:space="preserve"> </w:t>
      </w:r>
      <w:r>
        <w:t>heavily</w:t>
      </w:r>
      <w:r w:rsidR="003D640C">
        <w:t xml:space="preserve"> </w:t>
      </w:r>
      <w:r>
        <w:t>on</w:t>
      </w:r>
      <w:r w:rsidR="003D640C">
        <w:t xml:space="preserve"> </w:t>
      </w:r>
      <w:r w:rsidR="008B05D1">
        <w:t>their</w:t>
      </w:r>
      <w:r w:rsidR="003D640C">
        <w:t xml:space="preserve"> </w:t>
      </w:r>
      <w:r w:rsidR="008B05D1">
        <w:t>interpretations</w:t>
      </w:r>
      <w:r w:rsidR="003D640C">
        <w:t xml:space="preserve"> </w:t>
      </w:r>
      <w:r w:rsidR="008B05D1">
        <w:t>of</w:t>
      </w:r>
      <w:r w:rsidR="003D640C">
        <w:t xml:space="preserve"> </w:t>
      </w:r>
      <w:r>
        <w:t>Christianity</w:t>
      </w:r>
      <w:r w:rsidR="003D640C">
        <w:t xml:space="preserve"> </w:t>
      </w:r>
      <w:r>
        <w:t>in</w:t>
      </w:r>
      <w:r w:rsidR="003D640C">
        <w:t xml:space="preserve"> </w:t>
      </w:r>
      <w:r>
        <w:t>the</w:t>
      </w:r>
      <w:r w:rsidR="003D640C">
        <w:t xml:space="preserve"> </w:t>
      </w:r>
      <w:r>
        <w:t>forging</w:t>
      </w:r>
      <w:r w:rsidR="003D640C">
        <w:t xml:space="preserve"> </w:t>
      </w:r>
      <w:r>
        <w:t>of</w:t>
      </w:r>
      <w:r w:rsidR="003D640C">
        <w:t xml:space="preserve"> </w:t>
      </w:r>
      <w:r>
        <w:t>their</w:t>
      </w:r>
      <w:r w:rsidR="003D640C">
        <w:t xml:space="preserve"> </w:t>
      </w:r>
      <w:r>
        <w:t>political</w:t>
      </w:r>
      <w:r w:rsidR="003D640C">
        <w:t xml:space="preserve"> </w:t>
      </w:r>
      <w:r>
        <w:t>cultures</w:t>
      </w:r>
      <w:r w:rsidR="00970CFF">
        <w:t>.</w:t>
      </w:r>
      <w:r w:rsidR="005B1795">
        <w:rPr>
          <w:rStyle w:val="FootnoteReference"/>
        </w:rPr>
        <w:footnoteReference w:id="186"/>
      </w:r>
      <w:r w:rsidR="003D640C">
        <w:t xml:space="preserve"> </w:t>
      </w:r>
      <w:r w:rsidR="004963F4" w:rsidRPr="00BB6220">
        <w:t>While</w:t>
      </w:r>
      <w:r w:rsidR="003D640C">
        <w:t xml:space="preserve"> </w:t>
      </w:r>
      <w:r w:rsidR="004963F4" w:rsidRPr="00BB6220">
        <w:t>some</w:t>
      </w:r>
      <w:r w:rsidR="003D640C">
        <w:t xml:space="preserve"> </w:t>
      </w:r>
      <w:r w:rsidR="004963F4" w:rsidRPr="00BB6220">
        <w:t>Pacific</w:t>
      </w:r>
      <w:r w:rsidR="003D640C">
        <w:t xml:space="preserve"> </w:t>
      </w:r>
      <w:r w:rsidR="003F1BEF">
        <w:t xml:space="preserve">countries </w:t>
      </w:r>
      <w:r w:rsidR="004963F4" w:rsidRPr="00BB6220">
        <w:t>have</w:t>
      </w:r>
      <w:r w:rsidR="003D640C">
        <w:t xml:space="preserve"> </w:t>
      </w:r>
      <w:r w:rsidR="004963F4" w:rsidRPr="00BB6220">
        <w:t>maintained</w:t>
      </w:r>
      <w:r w:rsidR="003D640C">
        <w:t xml:space="preserve"> </w:t>
      </w:r>
      <w:r w:rsidR="004963F4" w:rsidRPr="00BB6220">
        <w:t>or</w:t>
      </w:r>
      <w:r w:rsidR="003D640C">
        <w:t xml:space="preserve"> </w:t>
      </w:r>
      <w:r w:rsidR="004963F4" w:rsidRPr="00BB6220">
        <w:t>revitalised</w:t>
      </w:r>
      <w:r w:rsidR="003D640C">
        <w:t xml:space="preserve"> </w:t>
      </w:r>
      <w:r w:rsidR="004963F4" w:rsidRPr="00BB6220">
        <w:t>varying</w:t>
      </w:r>
      <w:r w:rsidR="003D640C">
        <w:t xml:space="preserve"> </w:t>
      </w:r>
      <w:r w:rsidR="004963F4" w:rsidRPr="00BB6220">
        <w:t>levels</w:t>
      </w:r>
      <w:r w:rsidR="003D640C">
        <w:t xml:space="preserve"> </w:t>
      </w:r>
      <w:r w:rsidR="004963F4" w:rsidRPr="00BB6220">
        <w:t>of</w:t>
      </w:r>
      <w:r w:rsidR="003D640C">
        <w:t xml:space="preserve"> </w:t>
      </w:r>
      <w:r w:rsidR="004963F4" w:rsidRPr="00BB6220">
        <w:t>acceptance</w:t>
      </w:r>
      <w:r w:rsidR="003D640C">
        <w:t xml:space="preserve"> </w:t>
      </w:r>
      <w:r w:rsidR="004963F4" w:rsidRPr="00BB6220">
        <w:t>of</w:t>
      </w:r>
      <w:r w:rsidR="003D640C">
        <w:t xml:space="preserve"> </w:t>
      </w:r>
      <w:r w:rsidR="004963F4" w:rsidRPr="00BB6220">
        <w:t>Indigenous</w:t>
      </w:r>
      <w:r w:rsidR="003D640C">
        <w:t xml:space="preserve"> </w:t>
      </w:r>
      <w:r w:rsidR="004963F4" w:rsidRPr="00BB6220">
        <w:t>genders</w:t>
      </w:r>
      <w:r w:rsidR="003D640C">
        <w:t xml:space="preserve"> </w:t>
      </w:r>
      <w:r w:rsidR="004963F4" w:rsidRPr="00BB6220">
        <w:t>and</w:t>
      </w:r>
      <w:r w:rsidR="003D640C">
        <w:t xml:space="preserve"> </w:t>
      </w:r>
      <w:r w:rsidR="004963F4" w:rsidRPr="00BB6220">
        <w:t>sexualities,</w:t>
      </w:r>
      <w:r w:rsidR="003D640C">
        <w:t xml:space="preserve"> </w:t>
      </w:r>
      <w:r w:rsidR="0051715E" w:rsidRPr="00BB6220">
        <w:t>traditional</w:t>
      </w:r>
      <w:r w:rsidR="003D640C">
        <w:t xml:space="preserve"> </w:t>
      </w:r>
      <w:r w:rsidR="004963F4" w:rsidRPr="00BB6220">
        <w:t>accepting</w:t>
      </w:r>
      <w:r w:rsidR="003D640C">
        <w:t xml:space="preserve"> </w:t>
      </w:r>
      <w:r w:rsidR="004963F4" w:rsidRPr="00BB6220">
        <w:t>and</w:t>
      </w:r>
      <w:r w:rsidR="003D640C">
        <w:t xml:space="preserve"> </w:t>
      </w:r>
      <w:r w:rsidR="004963F4" w:rsidRPr="00BB6220">
        <w:t>inclusive</w:t>
      </w:r>
      <w:r w:rsidR="003D640C">
        <w:t xml:space="preserve"> </w:t>
      </w:r>
      <w:r w:rsidR="004963F4" w:rsidRPr="00BB6220">
        <w:t>views</w:t>
      </w:r>
      <w:r w:rsidR="003D640C">
        <w:t xml:space="preserve"> </w:t>
      </w:r>
      <w:r w:rsidR="004963F4" w:rsidRPr="00BB6220">
        <w:t>of</w:t>
      </w:r>
      <w:r w:rsidR="003D640C">
        <w:t xml:space="preserve"> </w:t>
      </w:r>
      <w:r w:rsidR="004963F4" w:rsidRPr="00BB6220">
        <w:t>MVPFAFF+</w:t>
      </w:r>
      <w:r w:rsidR="003D640C">
        <w:t xml:space="preserve"> </w:t>
      </w:r>
      <w:r w:rsidR="004963F4" w:rsidRPr="00BB6220">
        <w:t>people</w:t>
      </w:r>
      <w:r w:rsidR="003D640C">
        <w:t xml:space="preserve"> </w:t>
      </w:r>
      <w:r w:rsidR="004963F4" w:rsidRPr="00BB6220">
        <w:t>have</w:t>
      </w:r>
      <w:r w:rsidR="003D640C">
        <w:t xml:space="preserve"> </w:t>
      </w:r>
      <w:r w:rsidR="004963F4" w:rsidRPr="00BB6220">
        <w:t>been</w:t>
      </w:r>
      <w:r w:rsidR="003D640C">
        <w:t xml:space="preserve"> </w:t>
      </w:r>
      <w:bookmarkStart w:id="259" w:name="_Int_qY8Y7dG3"/>
      <w:r w:rsidR="004963F4" w:rsidRPr="00BB6220">
        <w:t>mainly</w:t>
      </w:r>
      <w:r w:rsidR="003D640C">
        <w:t xml:space="preserve"> </w:t>
      </w:r>
      <w:r w:rsidR="004963F4" w:rsidRPr="00BB6220">
        <w:t>replaced</w:t>
      </w:r>
      <w:bookmarkEnd w:id="259"/>
      <w:r w:rsidR="003D640C">
        <w:t xml:space="preserve"> </w:t>
      </w:r>
      <w:r w:rsidR="004963F4" w:rsidRPr="00BB6220">
        <w:t>with</w:t>
      </w:r>
      <w:r w:rsidR="003D640C">
        <w:t xml:space="preserve"> </w:t>
      </w:r>
      <w:r w:rsidR="004963F4" w:rsidRPr="00BB6220">
        <w:t>religious-based</w:t>
      </w:r>
      <w:r w:rsidR="003D640C">
        <w:t xml:space="preserve"> </w:t>
      </w:r>
      <w:r w:rsidR="004963F4" w:rsidRPr="00BB6220">
        <w:t>judg</w:t>
      </w:r>
      <w:r w:rsidR="00970CFF">
        <w:t>e</w:t>
      </w:r>
      <w:r w:rsidR="004963F4" w:rsidRPr="00BB6220">
        <w:t>ment.</w:t>
      </w:r>
      <w:r w:rsidR="003D640C">
        <w:t xml:space="preserve"> </w:t>
      </w:r>
      <w:r w:rsidR="00947648">
        <w:t>A</w:t>
      </w:r>
      <w:r w:rsidR="003D640C">
        <w:t xml:space="preserve"> </w:t>
      </w:r>
      <w:r w:rsidR="00947648">
        <w:t>conservative</w:t>
      </w:r>
      <w:r w:rsidR="003D640C">
        <w:t xml:space="preserve"> </w:t>
      </w:r>
      <w:r w:rsidR="0051715E" w:rsidRPr="00BB6220">
        <w:t>Christian</w:t>
      </w:r>
      <w:r w:rsidR="003D640C">
        <w:t xml:space="preserve"> </w:t>
      </w:r>
      <w:r w:rsidR="0051715E" w:rsidRPr="00BB6220">
        <w:t>morality</w:t>
      </w:r>
      <w:r w:rsidR="003D640C">
        <w:t xml:space="preserve"> </w:t>
      </w:r>
      <w:r w:rsidR="0051715E" w:rsidRPr="00BB6220">
        <w:t>has</w:t>
      </w:r>
      <w:r w:rsidR="003D640C">
        <w:t xml:space="preserve"> </w:t>
      </w:r>
      <w:r w:rsidR="0051715E" w:rsidRPr="00BB6220">
        <w:t>informed</w:t>
      </w:r>
      <w:r w:rsidR="003D640C">
        <w:t xml:space="preserve"> </w:t>
      </w:r>
      <w:r w:rsidR="0051715E" w:rsidRPr="00BB6220">
        <w:t>the</w:t>
      </w:r>
      <w:r w:rsidR="003D640C">
        <w:t xml:space="preserve"> </w:t>
      </w:r>
      <w:r w:rsidR="004963F4" w:rsidRPr="00BB6220">
        <w:t>introduction</w:t>
      </w:r>
      <w:r w:rsidR="003D640C">
        <w:t xml:space="preserve"> </w:t>
      </w:r>
      <w:r w:rsidR="004963F4" w:rsidRPr="00BB6220">
        <w:t>of</w:t>
      </w:r>
      <w:r w:rsidR="003D640C">
        <w:t xml:space="preserve"> </w:t>
      </w:r>
      <w:r w:rsidR="004963F4" w:rsidRPr="00BB6220">
        <w:t>anti-gay</w:t>
      </w:r>
      <w:r w:rsidR="003D640C">
        <w:t xml:space="preserve"> </w:t>
      </w:r>
      <w:r w:rsidR="004963F4" w:rsidRPr="00BB6220">
        <w:t>legislation</w:t>
      </w:r>
      <w:r w:rsidR="00970CFF">
        <w:t>.</w:t>
      </w:r>
      <w:r w:rsidR="003D640C">
        <w:t xml:space="preserve"> </w:t>
      </w:r>
      <w:r w:rsidR="00970CFF">
        <w:t>G</w:t>
      </w:r>
      <w:r w:rsidR="004963F4" w:rsidRPr="00BB6220">
        <w:t>ay</w:t>
      </w:r>
      <w:r w:rsidR="003D640C">
        <w:t xml:space="preserve"> </w:t>
      </w:r>
      <w:r w:rsidR="004963F4" w:rsidRPr="00BB6220">
        <w:t>sex</w:t>
      </w:r>
      <w:r w:rsidR="003D640C">
        <w:t xml:space="preserve"> </w:t>
      </w:r>
      <w:r w:rsidR="004963F4" w:rsidRPr="00BB6220">
        <w:t>and</w:t>
      </w:r>
      <w:r w:rsidR="003D640C">
        <w:t xml:space="preserve"> </w:t>
      </w:r>
      <w:r w:rsidR="004963F4" w:rsidRPr="00BB6220">
        <w:t>marriage</w:t>
      </w:r>
      <w:r w:rsidR="003D640C">
        <w:t xml:space="preserve"> </w:t>
      </w:r>
      <w:r w:rsidR="008D7D99">
        <w:t xml:space="preserve">equality </w:t>
      </w:r>
      <w:r w:rsidR="004963F4" w:rsidRPr="00BB6220">
        <w:t>are</w:t>
      </w:r>
      <w:r w:rsidR="003D640C">
        <w:t xml:space="preserve"> </w:t>
      </w:r>
      <w:r w:rsidR="004963F4" w:rsidRPr="00BB6220">
        <w:t>still</w:t>
      </w:r>
      <w:r w:rsidR="003D640C">
        <w:t xml:space="preserve"> </w:t>
      </w:r>
      <w:r w:rsidR="004963F4" w:rsidRPr="00BB6220">
        <w:t>illegal</w:t>
      </w:r>
      <w:r w:rsidR="003D640C">
        <w:t xml:space="preserve"> </w:t>
      </w:r>
      <w:r w:rsidR="00465116">
        <w:t>in</w:t>
      </w:r>
      <w:r w:rsidR="003D640C">
        <w:t xml:space="preserve"> </w:t>
      </w:r>
      <w:r w:rsidR="00EA7028">
        <w:t>most</w:t>
      </w:r>
      <w:r w:rsidR="003D640C">
        <w:t xml:space="preserve"> </w:t>
      </w:r>
      <w:r w:rsidR="004963F4" w:rsidRPr="00BB6220">
        <w:t>Pacific</w:t>
      </w:r>
      <w:r w:rsidR="003D640C">
        <w:t xml:space="preserve"> </w:t>
      </w:r>
      <w:r w:rsidR="00032D69">
        <w:t>countries</w:t>
      </w:r>
      <w:r w:rsidR="004963F4" w:rsidRPr="00BB6220">
        <w:t>.</w:t>
      </w:r>
      <w:r w:rsidR="003D640C">
        <w:t xml:space="preserve"> </w:t>
      </w:r>
      <w:r w:rsidR="009019ED" w:rsidRPr="00BB6220">
        <w:t>The</w:t>
      </w:r>
      <w:r w:rsidR="003D640C">
        <w:t xml:space="preserve"> </w:t>
      </w:r>
      <w:r w:rsidR="009019ED" w:rsidRPr="00BB6220">
        <w:t>underlying</w:t>
      </w:r>
      <w:r w:rsidR="003D640C">
        <w:t xml:space="preserve"> </w:t>
      </w:r>
      <w:r w:rsidR="009019ED" w:rsidRPr="00BB6220">
        <w:t>values</w:t>
      </w:r>
      <w:r w:rsidR="003D640C">
        <w:t xml:space="preserve"> </w:t>
      </w:r>
      <w:r w:rsidR="009019ED" w:rsidRPr="00BB6220">
        <w:t>of</w:t>
      </w:r>
      <w:r w:rsidR="003D640C">
        <w:t xml:space="preserve"> </w:t>
      </w:r>
      <w:r w:rsidR="009019ED" w:rsidRPr="00BB6220">
        <w:t>these</w:t>
      </w:r>
      <w:r w:rsidR="003D640C">
        <w:t xml:space="preserve"> </w:t>
      </w:r>
      <w:r w:rsidR="009019ED" w:rsidRPr="00BB6220">
        <w:t>laws</w:t>
      </w:r>
      <w:r w:rsidR="003D640C">
        <w:t xml:space="preserve"> </w:t>
      </w:r>
      <w:r w:rsidR="009019ED" w:rsidRPr="00BB6220">
        <w:t>are</w:t>
      </w:r>
      <w:r w:rsidR="003D640C">
        <w:t xml:space="preserve"> </w:t>
      </w:r>
      <w:r w:rsidR="009019ED" w:rsidRPr="00BB6220">
        <w:t>often</w:t>
      </w:r>
      <w:r w:rsidR="003D640C">
        <w:t xml:space="preserve"> </w:t>
      </w:r>
      <w:r w:rsidR="009019ED" w:rsidRPr="00BB6220">
        <w:t>strongly</w:t>
      </w:r>
      <w:r w:rsidR="003D640C">
        <w:t xml:space="preserve"> </w:t>
      </w:r>
      <w:r w:rsidR="009019ED" w:rsidRPr="00BB6220">
        <w:t>held</w:t>
      </w:r>
      <w:r w:rsidR="003D640C">
        <w:t xml:space="preserve"> </w:t>
      </w:r>
      <w:r w:rsidR="00C13CE5">
        <w:t>amongst</w:t>
      </w:r>
      <w:r w:rsidR="003D640C">
        <w:t xml:space="preserve"> </w:t>
      </w:r>
      <w:r w:rsidR="00C13CE5">
        <w:t>Pacific</w:t>
      </w:r>
      <w:r w:rsidR="003D640C">
        <w:t xml:space="preserve"> </w:t>
      </w:r>
      <w:r w:rsidR="00C13CE5">
        <w:t>peoples</w:t>
      </w:r>
      <w:r w:rsidR="003D640C">
        <w:t xml:space="preserve"> </w:t>
      </w:r>
      <w:r w:rsidR="00F56494">
        <w:t>here</w:t>
      </w:r>
      <w:r w:rsidR="003D640C">
        <w:t xml:space="preserve"> </w:t>
      </w:r>
      <w:r w:rsidR="00C13CE5">
        <w:t>in</w:t>
      </w:r>
      <w:r w:rsidR="003D640C">
        <w:t xml:space="preserve"> </w:t>
      </w:r>
      <w:r w:rsidR="00C13CE5">
        <w:t>Aotearoa</w:t>
      </w:r>
      <w:r w:rsidR="003A002B">
        <w:t>,</w:t>
      </w:r>
      <w:r w:rsidR="003D640C">
        <w:t xml:space="preserve"> </w:t>
      </w:r>
      <w:r w:rsidR="00FC7318">
        <w:t>although,</w:t>
      </w:r>
      <w:r w:rsidR="003D640C">
        <w:t xml:space="preserve"> </w:t>
      </w:r>
      <w:r w:rsidR="00FC7318">
        <w:t>as</w:t>
      </w:r>
      <w:r w:rsidR="003D640C">
        <w:t xml:space="preserve"> </w:t>
      </w:r>
      <w:r w:rsidR="00FC7318">
        <w:t>with</w:t>
      </w:r>
      <w:r w:rsidR="003D640C">
        <w:t xml:space="preserve"> </w:t>
      </w:r>
      <w:r w:rsidR="00FC7318">
        <w:t>any</w:t>
      </w:r>
      <w:r w:rsidR="003D640C">
        <w:t xml:space="preserve"> </w:t>
      </w:r>
      <w:r w:rsidR="00FC7318">
        <w:t>community,</w:t>
      </w:r>
      <w:r w:rsidR="003D640C">
        <w:t xml:space="preserve"> </w:t>
      </w:r>
      <w:r w:rsidR="00FC7318">
        <w:t>there</w:t>
      </w:r>
      <w:r w:rsidR="003D640C">
        <w:t xml:space="preserve"> </w:t>
      </w:r>
      <w:r w:rsidR="00FC7318">
        <w:t>remains</w:t>
      </w:r>
      <w:r w:rsidR="003D640C">
        <w:t xml:space="preserve"> </w:t>
      </w:r>
      <w:r w:rsidR="00FC7318">
        <w:t>a</w:t>
      </w:r>
      <w:r w:rsidR="003D640C">
        <w:t xml:space="preserve"> </w:t>
      </w:r>
      <w:r w:rsidR="00FC7318">
        <w:t>diversity</w:t>
      </w:r>
      <w:r w:rsidR="003D640C">
        <w:t xml:space="preserve"> </w:t>
      </w:r>
      <w:r w:rsidR="00FC7318">
        <w:t>of</w:t>
      </w:r>
      <w:r w:rsidR="003D640C">
        <w:t xml:space="preserve"> </w:t>
      </w:r>
      <w:r w:rsidR="00FC7318">
        <w:t>views</w:t>
      </w:r>
      <w:r w:rsidR="00D85B89">
        <w:t>.</w:t>
      </w:r>
    </w:p>
    <w:p w14:paraId="15015D03" w14:textId="20A791DD" w:rsidR="00693AF1" w:rsidRDefault="00FA4DE8" w:rsidP="00747446">
      <w:r w:rsidRPr="00FA4DE8">
        <w:t>Today,</w:t>
      </w:r>
      <w:r w:rsidR="003D640C">
        <w:t xml:space="preserve"> </w:t>
      </w:r>
      <w:r w:rsidRPr="00FA4DE8">
        <w:t>Pacific</w:t>
      </w:r>
      <w:r w:rsidR="003D640C">
        <w:t xml:space="preserve"> </w:t>
      </w:r>
      <w:r w:rsidRPr="00FA4DE8">
        <w:t>Church</w:t>
      </w:r>
      <w:r w:rsidR="003D640C">
        <w:t xml:space="preserve"> </w:t>
      </w:r>
      <w:r w:rsidRPr="00FA4DE8">
        <w:t>historians</w:t>
      </w:r>
      <w:r w:rsidR="003D640C">
        <w:t xml:space="preserve"> </w:t>
      </w:r>
      <w:r w:rsidRPr="00FA4DE8">
        <w:t>observe</w:t>
      </w:r>
      <w:r w:rsidR="003D640C">
        <w:t xml:space="preserve"> </w:t>
      </w:r>
      <w:r w:rsidRPr="00FA4DE8">
        <w:t>a</w:t>
      </w:r>
      <w:r w:rsidR="003D640C">
        <w:t xml:space="preserve"> </w:t>
      </w:r>
      <w:r w:rsidRPr="00FA4DE8">
        <w:t>new</w:t>
      </w:r>
      <w:r w:rsidR="003D640C">
        <w:t xml:space="preserve"> </w:t>
      </w:r>
      <w:r w:rsidRPr="00FA4DE8">
        <w:t>wave</w:t>
      </w:r>
      <w:r w:rsidR="003D640C">
        <w:t xml:space="preserve"> </w:t>
      </w:r>
      <w:r w:rsidRPr="00FA4DE8">
        <w:t>of</w:t>
      </w:r>
      <w:r w:rsidR="003D640C">
        <w:t xml:space="preserve"> </w:t>
      </w:r>
      <w:r w:rsidRPr="00FA4DE8">
        <w:t>changes</w:t>
      </w:r>
      <w:r w:rsidR="003D640C">
        <w:t xml:space="preserve"> </w:t>
      </w:r>
      <w:r w:rsidRPr="00FA4DE8">
        <w:t>in</w:t>
      </w:r>
      <w:r w:rsidR="003D640C">
        <w:t xml:space="preserve"> </w:t>
      </w:r>
      <w:r w:rsidRPr="00FA4DE8">
        <w:t>religious</w:t>
      </w:r>
      <w:r w:rsidR="003D640C">
        <w:t xml:space="preserve"> </w:t>
      </w:r>
      <w:r w:rsidRPr="00FA4DE8">
        <w:t>affiliation</w:t>
      </w:r>
      <w:r w:rsidR="003D640C">
        <w:t xml:space="preserve"> </w:t>
      </w:r>
      <w:r w:rsidRPr="00FA4DE8">
        <w:t>in</w:t>
      </w:r>
      <w:r w:rsidR="003D640C">
        <w:t xml:space="preserve"> </w:t>
      </w:r>
      <w:r w:rsidRPr="00FA4DE8">
        <w:t>the</w:t>
      </w:r>
      <w:r w:rsidR="003D640C">
        <w:t xml:space="preserve"> </w:t>
      </w:r>
      <w:r w:rsidRPr="00FA4DE8">
        <w:t>region</w:t>
      </w:r>
      <w:r w:rsidR="008F312F">
        <w:t>,</w:t>
      </w:r>
      <w:r w:rsidR="003D640C">
        <w:t xml:space="preserve"> </w:t>
      </w:r>
      <w:r w:rsidR="008F312F">
        <w:t>including</w:t>
      </w:r>
      <w:r w:rsidR="003D640C">
        <w:t xml:space="preserve"> </w:t>
      </w:r>
      <w:r w:rsidR="00F8264F">
        <w:t>amongst</w:t>
      </w:r>
      <w:r w:rsidR="003D640C">
        <w:t xml:space="preserve"> </w:t>
      </w:r>
      <w:r w:rsidR="00F8264F">
        <w:t>Pacific</w:t>
      </w:r>
      <w:r w:rsidR="003D640C">
        <w:t xml:space="preserve"> </w:t>
      </w:r>
      <w:r w:rsidR="00F8264F">
        <w:t>peoples</w:t>
      </w:r>
      <w:r w:rsidR="003D640C">
        <w:t xml:space="preserve"> </w:t>
      </w:r>
      <w:r w:rsidR="00F8264F">
        <w:t>in</w:t>
      </w:r>
      <w:r w:rsidR="003D640C">
        <w:t xml:space="preserve"> </w:t>
      </w:r>
      <w:r w:rsidR="008F312F">
        <w:t>Aotearoa</w:t>
      </w:r>
      <w:r w:rsidR="00F4312C">
        <w:t>.</w:t>
      </w:r>
      <w:r w:rsidR="00091B78">
        <w:rPr>
          <w:rStyle w:val="FootnoteReference"/>
        </w:rPr>
        <w:footnoteReference w:id="187"/>
      </w:r>
      <w:r w:rsidR="003D640C">
        <w:t xml:space="preserve"> </w:t>
      </w:r>
      <w:r w:rsidR="00091B78">
        <w:t>In</w:t>
      </w:r>
      <w:r w:rsidR="003D640C">
        <w:t xml:space="preserve"> </w:t>
      </w:r>
      <w:r w:rsidR="00091B78">
        <w:t>particular,</w:t>
      </w:r>
      <w:r w:rsidR="003D640C">
        <w:t xml:space="preserve"> </w:t>
      </w:r>
      <w:r w:rsidR="00091B78">
        <w:t>there</w:t>
      </w:r>
      <w:r w:rsidR="003D640C">
        <w:t xml:space="preserve"> </w:t>
      </w:r>
      <w:r w:rsidR="00091B78">
        <w:t>is</w:t>
      </w:r>
      <w:r w:rsidR="003D640C">
        <w:t xml:space="preserve"> </w:t>
      </w:r>
      <w:r w:rsidR="00091B78">
        <w:t>a</w:t>
      </w:r>
      <w:r w:rsidR="003D640C">
        <w:t xml:space="preserve"> </w:t>
      </w:r>
      <w:r w:rsidRPr="00FA4DE8">
        <w:t>rise</w:t>
      </w:r>
      <w:r w:rsidR="003D640C">
        <w:t xml:space="preserve"> </w:t>
      </w:r>
      <w:r w:rsidRPr="00FA4DE8">
        <w:t>in</w:t>
      </w:r>
      <w:r w:rsidR="003D640C">
        <w:t xml:space="preserve"> </w:t>
      </w:r>
      <w:r w:rsidRPr="00FA4DE8">
        <w:t>prominence</w:t>
      </w:r>
      <w:r w:rsidR="003D640C">
        <w:t xml:space="preserve"> </w:t>
      </w:r>
      <w:r w:rsidRPr="00FA4DE8">
        <w:t>of</w:t>
      </w:r>
      <w:r w:rsidR="003D640C">
        <w:t xml:space="preserve"> </w:t>
      </w:r>
      <w:r w:rsidR="00F4312C">
        <w:t>“</w:t>
      </w:r>
      <w:r w:rsidRPr="00FA4DE8">
        <w:t>increasingly</w:t>
      </w:r>
      <w:r w:rsidR="003D640C">
        <w:t xml:space="preserve"> </w:t>
      </w:r>
      <w:r w:rsidRPr="00FA4DE8">
        <w:t>complex</w:t>
      </w:r>
      <w:r w:rsidR="003D640C">
        <w:t xml:space="preserve"> </w:t>
      </w:r>
      <w:r w:rsidRPr="00FA4DE8">
        <w:t>networks</w:t>
      </w:r>
      <w:r w:rsidR="003D640C">
        <w:t xml:space="preserve"> </w:t>
      </w:r>
      <w:r w:rsidRPr="00FA4DE8">
        <w:t>of</w:t>
      </w:r>
      <w:r w:rsidR="003D640C">
        <w:t xml:space="preserve"> </w:t>
      </w:r>
      <w:r w:rsidRPr="00FA4DE8">
        <w:t>transnational</w:t>
      </w:r>
      <w:r w:rsidR="003D640C">
        <w:t xml:space="preserve"> </w:t>
      </w:r>
      <w:r w:rsidRPr="00FA4DE8">
        <w:t>networks</w:t>
      </w:r>
      <w:r w:rsidR="003D640C">
        <w:t xml:space="preserve"> </w:t>
      </w:r>
      <w:r w:rsidRPr="00FA4DE8">
        <w:t>of</w:t>
      </w:r>
      <w:r w:rsidR="003D640C">
        <w:t xml:space="preserve"> </w:t>
      </w:r>
      <w:r w:rsidRPr="00FA4DE8">
        <w:t>Pentecostal,</w:t>
      </w:r>
      <w:r w:rsidR="003D640C">
        <w:t xml:space="preserve"> </w:t>
      </w:r>
      <w:r w:rsidRPr="00FA4DE8">
        <w:t>charismatic,</w:t>
      </w:r>
      <w:r w:rsidR="003D640C">
        <w:t xml:space="preserve"> </w:t>
      </w:r>
      <w:r w:rsidRPr="00FA4DE8">
        <w:t>evangelical</w:t>
      </w:r>
      <w:r w:rsidR="003D640C">
        <w:t xml:space="preserve"> </w:t>
      </w:r>
      <w:r w:rsidRPr="00FA4DE8">
        <w:t>groups</w:t>
      </w:r>
      <w:r w:rsidR="003D640C">
        <w:t xml:space="preserve"> </w:t>
      </w:r>
      <w:r w:rsidRPr="00FA4DE8">
        <w:t>and</w:t>
      </w:r>
      <w:r w:rsidR="003D640C">
        <w:t xml:space="preserve"> </w:t>
      </w:r>
      <w:r w:rsidRPr="00FA4DE8">
        <w:t>churches</w:t>
      </w:r>
      <w:r w:rsidR="003D640C">
        <w:t xml:space="preserve"> </w:t>
      </w:r>
      <w:r w:rsidRPr="00FA4DE8">
        <w:t>that</w:t>
      </w:r>
      <w:r w:rsidR="003D640C">
        <w:t xml:space="preserve"> </w:t>
      </w:r>
      <w:r w:rsidRPr="00FA4DE8">
        <w:t>form</w:t>
      </w:r>
      <w:r w:rsidR="003D640C">
        <w:t xml:space="preserve"> </w:t>
      </w:r>
      <w:r w:rsidRPr="00FA4DE8">
        <w:t>together</w:t>
      </w:r>
      <w:r w:rsidR="003D640C">
        <w:t xml:space="preserve"> </w:t>
      </w:r>
      <w:r w:rsidRPr="00FA4DE8">
        <w:t>a</w:t>
      </w:r>
      <w:r w:rsidR="003D640C">
        <w:t xml:space="preserve"> </w:t>
      </w:r>
      <w:r w:rsidRPr="00FA4DE8">
        <w:t>renewal</w:t>
      </w:r>
      <w:r w:rsidR="003D640C">
        <w:t xml:space="preserve"> </w:t>
      </w:r>
      <w:r w:rsidRPr="00FA4DE8">
        <w:t>movement</w:t>
      </w:r>
      <w:r w:rsidR="003D640C">
        <w:t xml:space="preserve"> </w:t>
      </w:r>
      <w:r w:rsidRPr="00FA4DE8">
        <w:t>where</w:t>
      </w:r>
      <w:r w:rsidR="003D640C">
        <w:t xml:space="preserve"> </w:t>
      </w:r>
      <w:r w:rsidRPr="00FA4DE8">
        <w:t>flows</w:t>
      </w:r>
      <w:r w:rsidR="003D640C">
        <w:t xml:space="preserve"> </w:t>
      </w:r>
      <w:r w:rsidRPr="00FA4DE8">
        <w:t>of</w:t>
      </w:r>
      <w:r w:rsidR="003D640C">
        <w:t xml:space="preserve"> </w:t>
      </w:r>
      <w:r w:rsidRPr="00FA4DE8">
        <w:t>people,</w:t>
      </w:r>
      <w:r w:rsidR="003D640C">
        <w:t xml:space="preserve"> </w:t>
      </w:r>
      <w:r w:rsidRPr="00FA4DE8">
        <w:t>money,</w:t>
      </w:r>
      <w:r w:rsidR="003D640C">
        <w:t xml:space="preserve"> </w:t>
      </w:r>
      <w:r w:rsidRPr="00FA4DE8">
        <w:t>ideas</w:t>
      </w:r>
      <w:r w:rsidR="003D640C">
        <w:t xml:space="preserve"> </w:t>
      </w:r>
      <w:r w:rsidRPr="00FA4DE8">
        <w:t>and</w:t>
      </w:r>
      <w:r w:rsidR="003D640C">
        <w:t xml:space="preserve"> </w:t>
      </w:r>
      <w:r w:rsidRPr="00FA4DE8">
        <w:t>images</w:t>
      </w:r>
      <w:r w:rsidR="003D640C">
        <w:t xml:space="preserve"> </w:t>
      </w:r>
      <w:r w:rsidRPr="00FA4DE8">
        <w:t>spread</w:t>
      </w:r>
      <w:r w:rsidR="003D640C">
        <w:t xml:space="preserve"> </w:t>
      </w:r>
      <w:r w:rsidRPr="00FA4DE8">
        <w:t>with</w:t>
      </w:r>
      <w:r w:rsidR="003D640C">
        <w:t xml:space="preserve"> </w:t>
      </w:r>
      <w:r w:rsidRPr="00FA4DE8">
        <w:t>growing</w:t>
      </w:r>
      <w:r w:rsidR="003D640C">
        <w:t xml:space="preserve"> </w:t>
      </w:r>
      <w:r w:rsidRPr="00FA4DE8">
        <w:t>speed</w:t>
      </w:r>
      <w:r w:rsidR="003D640C">
        <w:t xml:space="preserve"> </w:t>
      </w:r>
      <w:r w:rsidRPr="00FA4DE8">
        <w:t>and</w:t>
      </w:r>
      <w:r w:rsidR="003D640C">
        <w:t xml:space="preserve"> </w:t>
      </w:r>
      <w:r w:rsidRPr="00FA4DE8">
        <w:t>intensity</w:t>
      </w:r>
      <w:r w:rsidR="003A002B">
        <w:t>.</w:t>
      </w:r>
      <w:r w:rsidR="00F4312C">
        <w:t>”</w:t>
      </w:r>
      <w:r w:rsidR="00E14705">
        <w:rPr>
          <w:rStyle w:val="FootnoteReference"/>
        </w:rPr>
        <w:footnoteReference w:id="188"/>
      </w:r>
      <w:r w:rsidR="003D640C">
        <w:t xml:space="preserve"> </w:t>
      </w:r>
      <w:r w:rsidR="0051715E" w:rsidRPr="00BB6220">
        <w:t>D</w:t>
      </w:r>
      <w:r w:rsidR="00FD3220" w:rsidRPr="00BB6220">
        <w:t>ue</w:t>
      </w:r>
      <w:r w:rsidR="003D640C">
        <w:t xml:space="preserve"> </w:t>
      </w:r>
      <w:r w:rsidR="00FD3220" w:rsidRPr="00BB6220">
        <w:t>to</w:t>
      </w:r>
      <w:r w:rsidR="003D640C">
        <w:t xml:space="preserve"> </w:t>
      </w:r>
      <w:r w:rsidR="00FD3220" w:rsidRPr="00BB6220">
        <w:t>the</w:t>
      </w:r>
      <w:r w:rsidR="003D640C">
        <w:t xml:space="preserve"> </w:t>
      </w:r>
      <w:r w:rsidR="00FD3220" w:rsidRPr="00BB6220">
        <w:t>strong</w:t>
      </w:r>
      <w:r w:rsidR="003D640C">
        <w:t xml:space="preserve"> </w:t>
      </w:r>
      <w:r w:rsidR="001C33F1">
        <w:t>transnational</w:t>
      </w:r>
      <w:r w:rsidR="003D640C">
        <w:t xml:space="preserve"> </w:t>
      </w:r>
      <w:r w:rsidR="00FD3220" w:rsidRPr="00BB6220">
        <w:t>ties</w:t>
      </w:r>
      <w:r w:rsidR="003D640C">
        <w:t xml:space="preserve"> </w:t>
      </w:r>
      <w:r w:rsidR="00FD3220" w:rsidRPr="00BB6220">
        <w:t>between</w:t>
      </w:r>
      <w:r w:rsidR="003D640C">
        <w:t xml:space="preserve"> </w:t>
      </w:r>
      <w:r w:rsidR="00080240">
        <w:t>Paci</w:t>
      </w:r>
      <w:r w:rsidR="00B11A78">
        <w:t>f</w:t>
      </w:r>
      <w:r w:rsidR="00080240">
        <w:t>ic</w:t>
      </w:r>
      <w:r w:rsidR="003D640C">
        <w:t xml:space="preserve"> </w:t>
      </w:r>
      <w:r w:rsidR="00FD3220" w:rsidRPr="00BB6220">
        <w:t>diasporic</w:t>
      </w:r>
      <w:r w:rsidR="003D640C">
        <w:t xml:space="preserve"> </w:t>
      </w:r>
      <w:r w:rsidR="00FD3220" w:rsidRPr="00BB6220">
        <w:t>populations</w:t>
      </w:r>
      <w:r w:rsidR="003D640C">
        <w:t xml:space="preserve"> </w:t>
      </w:r>
      <w:r w:rsidR="00FD3220" w:rsidRPr="00BB6220">
        <w:t>around</w:t>
      </w:r>
      <w:r w:rsidR="003D640C">
        <w:t xml:space="preserve"> </w:t>
      </w:r>
      <w:r w:rsidR="00FD3220" w:rsidRPr="00BB6220">
        <w:t>the</w:t>
      </w:r>
      <w:r w:rsidR="003D640C">
        <w:t xml:space="preserve"> </w:t>
      </w:r>
      <w:r w:rsidR="00FD3220" w:rsidRPr="00BB6220">
        <w:t>world</w:t>
      </w:r>
      <w:r w:rsidR="003D640C">
        <w:t xml:space="preserve"> </w:t>
      </w:r>
      <w:r w:rsidR="00FD3220" w:rsidRPr="00BB6220">
        <w:t>and</w:t>
      </w:r>
      <w:r w:rsidR="003D640C">
        <w:t xml:space="preserve"> </w:t>
      </w:r>
      <w:r w:rsidR="00FD3220" w:rsidRPr="00BB6220">
        <w:t>their</w:t>
      </w:r>
      <w:r w:rsidR="003D640C">
        <w:t xml:space="preserve"> </w:t>
      </w:r>
      <w:r w:rsidR="00FD3220" w:rsidRPr="00BB6220">
        <w:t>home</w:t>
      </w:r>
      <w:r w:rsidR="003D640C">
        <w:t xml:space="preserve"> </w:t>
      </w:r>
      <w:r w:rsidR="00FD3220" w:rsidRPr="00BB6220">
        <w:t>countries,</w:t>
      </w:r>
      <w:r w:rsidR="003D640C">
        <w:t xml:space="preserve"> </w:t>
      </w:r>
      <w:r w:rsidR="009019ED" w:rsidRPr="00BB6220">
        <w:t>attitudes</w:t>
      </w:r>
      <w:r w:rsidR="003D640C">
        <w:t xml:space="preserve"> </w:t>
      </w:r>
      <w:r w:rsidR="009019ED" w:rsidRPr="00BB6220">
        <w:t>and</w:t>
      </w:r>
      <w:r w:rsidR="003D640C">
        <w:t xml:space="preserve"> </w:t>
      </w:r>
      <w:r w:rsidR="009019ED" w:rsidRPr="00BB6220">
        <w:t>forms</w:t>
      </w:r>
      <w:r w:rsidR="003D640C">
        <w:t xml:space="preserve"> </w:t>
      </w:r>
      <w:r w:rsidR="009019ED" w:rsidRPr="00BB6220">
        <w:t>of</w:t>
      </w:r>
      <w:r w:rsidR="003D640C">
        <w:t xml:space="preserve"> </w:t>
      </w:r>
      <w:r w:rsidR="009019ED" w:rsidRPr="00BB6220">
        <w:t>religious</w:t>
      </w:r>
      <w:r w:rsidR="003D640C">
        <w:t xml:space="preserve"> </w:t>
      </w:r>
      <w:r w:rsidR="009019ED" w:rsidRPr="00BB6220">
        <w:t>fundamentalism</w:t>
      </w:r>
      <w:r w:rsidR="003D640C">
        <w:t xml:space="preserve"> </w:t>
      </w:r>
      <w:r w:rsidR="00080240">
        <w:t>can</w:t>
      </w:r>
      <w:r w:rsidR="003D640C">
        <w:t xml:space="preserve"> </w:t>
      </w:r>
      <w:r w:rsidR="00080240">
        <w:t>circulate</w:t>
      </w:r>
      <w:r w:rsidR="003D640C">
        <w:t xml:space="preserve"> </w:t>
      </w:r>
      <w:r w:rsidR="009019ED" w:rsidRPr="00BB6220">
        <w:t>back</w:t>
      </w:r>
      <w:r w:rsidR="003D640C">
        <w:t xml:space="preserve"> </w:t>
      </w:r>
      <w:r w:rsidR="00FD3220" w:rsidRPr="00BB6220">
        <w:t>and</w:t>
      </w:r>
      <w:r w:rsidR="003D640C">
        <w:t xml:space="preserve"> </w:t>
      </w:r>
      <w:r w:rsidR="00FD3220" w:rsidRPr="00BB6220">
        <w:t>forth</w:t>
      </w:r>
      <w:r w:rsidR="003D640C">
        <w:t xml:space="preserve"> </w:t>
      </w:r>
      <w:r w:rsidR="00FD3220" w:rsidRPr="00BB6220">
        <w:t>between</w:t>
      </w:r>
      <w:r w:rsidR="003D640C">
        <w:t xml:space="preserve"> </w:t>
      </w:r>
      <w:r w:rsidR="0051715E" w:rsidRPr="00BB6220">
        <w:t>Aotearoa</w:t>
      </w:r>
      <w:r w:rsidR="003D640C">
        <w:t xml:space="preserve"> </w:t>
      </w:r>
      <w:r w:rsidR="0051715E" w:rsidRPr="00BB6220">
        <w:t>and</w:t>
      </w:r>
      <w:r w:rsidR="003D640C">
        <w:t xml:space="preserve"> </w:t>
      </w:r>
      <w:r w:rsidR="0051715E" w:rsidRPr="00BB6220">
        <w:t>Pacific</w:t>
      </w:r>
      <w:r w:rsidR="003D640C">
        <w:t xml:space="preserve"> </w:t>
      </w:r>
      <w:r w:rsidR="005A4BBE">
        <w:t>countries</w:t>
      </w:r>
      <w:r w:rsidR="0051715E" w:rsidRPr="00BB6220">
        <w:t>.</w:t>
      </w:r>
      <w:r w:rsidR="003D640C">
        <w:t xml:space="preserve"> </w:t>
      </w:r>
    </w:p>
    <w:p w14:paraId="07B5BBD6" w14:textId="42169CBE" w:rsidR="009019ED" w:rsidRPr="00BB6220" w:rsidRDefault="0051715E" w:rsidP="00747446">
      <w:r w:rsidRPr="00BB6220">
        <w:t>This</w:t>
      </w:r>
      <w:r w:rsidR="003D640C">
        <w:t xml:space="preserve"> </w:t>
      </w:r>
      <w:r w:rsidRPr="00BB6220">
        <w:t>movement</w:t>
      </w:r>
      <w:r w:rsidR="003D640C">
        <w:t xml:space="preserve"> </w:t>
      </w:r>
      <w:r w:rsidRPr="00BB6220">
        <w:t>between</w:t>
      </w:r>
      <w:r w:rsidR="003D640C">
        <w:t xml:space="preserve"> </w:t>
      </w:r>
      <w:r w:rsidRPr="00BB6220">
        <w:t>countries</w:t>
      </w:r>
      <w:r w:rsidR="003D640C">
        <w:t xml:space="preserve"> </w:t>
      </w:r>
      <w:r w:rsidR="003D06DF">
        <w:t>tends</w:t>
      </w:r>
      <w:r w:rsidR="003D640C">
        <w:t xml:space="preserve"> </w:t>
      </w:r>
      <w:r w:rsidR="003D06DF">
        <w:t>to</w:t>
      </w:r>
      <w:r w:rsidR="003D640C">
        <w:t xml:space="preserve"> </w:t>
      </w:r>
      <w:r w:rsidR="00FD3220" w:rsidRPr="00BB6220">
        <w:t>reinforc</w:t>
      </w:r>
      <w:r w:rsidRPr="00BB6220">
        <w:t>e</w:t>
      </w:r>
      <w:r w:rsidR="003D640C">
        <w:t xml:space="preserve"> </w:t>
      </w:r>
      <w:r w:rsidR="00FD3220" w:rsidRPr="00BB6220">
        <w:t>the</w:t>
      </w:r>
      <w:r w:rsidR="003D640C">
        <w:t xml:space="preserve"> </w:t>
      </w:r>
      <w:r w:rsidR="009019ED" w:rsidRPr="00BB6220">
        <w:t>fundamentalism</w:t>
      </w:r>
      <w:r w:rsidR="003D640C">
        <w:t xml:space="preserve"> </w:t>
      </w:r>
      <w:r w:rsidR="00FD3220" w:rsidRPr="00BB6220">
        <w:t>first</w:t>
      </w:r>
      <w:r w:rsidR="003D640C">
        <w:t xml:space="preserve"> </w:t>
      </w:r>
      <w:r w:rsidR="009019ED" w:rsidRPr="00BB6220">
        <w:t>introduced</w:t>
      </w:r>
      <w:r w:rsidR="003D640C">
        <w:t xml:space="preserve"> </w:t>
      </w:r>
      <w:r w:rsidR="00FD3220" w:rsidRPr="00BB6220">
        <w:t>via</w:t>
      </w:r>
      <w:r w:rsidR="003D640C">
        <w:t xml:space="preserve"> </w:t>
      </w:r>
      <w:r w:rsidR="009019ED" w:rsidRPr="00BB6220">
        <w:t>colonisation</w:t>
      </w:r>
      <w:r w:rsidR="003D640C">
        <w:t xml:space="preserve"> </w:t>
      </w:r>
      <w:r w:rsidR="009019ED" w:rsidRPr="00BB6220">
        <w:t>and</w:t>
      </w:r>
      <w:r w:rsidR="003D640C">
        <w:t xml:space="preserve"> </w:t>
      </w:r>
      <w:r w:rsidR="009019ED" w:rsidRPr="00BB6220">
        <w:t>the</w:t>
      </w:r>
      <w:r w:rsidR="003D640C">
        <w:t xml:space="preserve"> </w:t>
      </w:r>
      <w:r w:rsidR="009019ED" w:rsidRPr="00BB6220">
        <w:t>influence</w:t>
      </w:r>
      <w:r w:rsidR="003D640C">
        <w:t xml:space="preserve"> </w:t>
      </w:r>
      <w:r w:rsidR="009019ED" w:rsidRPr="00BB6220">
        <w:t>of</w:t>
      </w:r>
      <w:r w:rsidR="003D640C">
        <w:t xml:space="preserve"> </w:t>
      </w:r>
      <w:r w:rsidR="009019ED" w:rsidRPr="00BB6220">
        <w:t>missionaries.</w:t>
      </w:r>
    </w:p>
    <w:p w14:paraId="03BE2EC4" w14:textId="08AEA818" w:rsidR="002423FD" w:rsidRPr="00B1465F" w:rsidRDefault="002423FD" w:rsidP="00747446">
      <w:pPr>
        <w:pStyle w:val="Quote"/>
      </w:pPr>
      <w:r w:rsidRPr="00B1465F">
        <w:rPr>
          <w:shd w:val="clear" w:color="auto" w:fill="FFFFFF"/>
        </w:rPr>
        <w:t>“Homophobia</w:t>
      </w:r>
      <w:r w:rsidR="003D640C">
        <w:rPr>
          <w:shd w:val="clear" w:color="auto" w:fill="FFFFFF"/>
        </w:rPr>
        <w:t xml:space="preserve"> </w:t>
      </w:r>
      <w:r w:rsidRPr="00B1465F">
        <w:rPr>
          <w:shd w:val="clear" w:color="auto" w:fill="FFFFFF"/>
        </w:rPr>
        <w:t>in</w:t>
      </w:r>
      <w:r w:rsidR="003D640C">
        <w:rPr>
          <w:shd w:val="clear" w:color="auto" w:fill="FFFFFF"/>
        </w:rPr>
        <w:t xml:space="preserve"> </w:t>
      </w:r>
      <w:r w:rsidRPr="00B1465F">
        <w:rPr>
          <w:shd w:val="clear" w:color="auto" w:fill="FFFFFF"/>
        </w:rPr>
        <w:t>Pacific</w:t>
      </w:r>
      <w:r w:rsidR="003D640C">
        <w:rPr>
          <w:shd w:val="clear" w:color="auto" w:fill="FFFFFF"/>
        </w:rPr>
        <w:t xml:space="preserve"> </w:t>
      </w:r>
      <w:r w:rsidR="00970CFF">
        <w:rPr>
          <w:shd w:val="clear" w:color="auto" w:fill="FFFFFF"/>
        </w:rPr>
        <w:t>i</w:t>
      </w:r>
      <w:r w:rsidRPr="00B1465F">
        <w:rPr>
          <w:shd w:val="clear" w:color="auto" w:fill="FFFFFF"/>
        </w:rPr>
        <w:t>sland</w:t>
      </w:r>
      <w:r w:rsidR="003D640C">
        <w:rPr>
          <w:shd w:val="clear" w:color="auto" w:fill="FFFFFF"/>
        </w:rPr>
        <w:t xml:space="preserve"> </w:t>
      </w:r>
      <w:r w:rsidRPr="00B1465F">
        <w:rPr>
          <w:shd w:val="clear" w:color="auto" w:fill="FFFFFF"/>
        </w:rPr>
        <w:t>nations</w:t>
      </w:r>
      <w:r w:rsidR="003D640C">
        <w:rPr>
          <w:shd w:val="clear" w:color="auto" w:fill="FFFFFF"/>
        </w:rPr>
        <w:t xml:space="preserve"> </w:t>
      </w:r>
      <w:r w:rsidRPr="00B1465F">
        <w:rPr>
          <w:shd w:val="clear" w:color="auto" w:fill="FFFFFF"/>
        </w:rPr>
        <w:t>can</w:t>
      </w:r>
      <w:r w:rsidR="003D640C">
        <w:rPr>
          <w:shd w:val="clear" w:color="auto" w:fill="FFFFFF"/>
        </w:rPr>
        <w:t xml:space="preserve"> </w:t>
      </w:r>
      <w:r w:rsidRPr="00B1465F">
        <w:rPr>
          <w:shd w:val="clear" w:color="auto" w:fill="FFFFFF"/>
        </w:rPr>
        <w:t>ultimately</w:t>
      </w:r>
      <w:r w:rsidR="003D640C">
        <w:rPr>
          <w:shd w:val="clear" w:color="auto" w:fill="FFFFFF"/>
        </w:rPr>
        <w:t xml:space="preserve"> </w:t>
      </w:r>
      <w:r w:rsidRPr="00B1465F">
        <w:rPr>
          <w:shd w:val="clear" w:color="auto" w:fill="FFFFFF"/>
        </w:rPr>
        <w:t>be</w:t>
      </w:r>
      <w:r w:rsidR="003D640C">
        <w:rPr>
          <w:shd w:val="clear" w:color="auto" w:fill="FFFFFF"/>
        </w:rPr>
        <w:t xml:space="preserve"> </w:t>
      </w:r>
      <w:r w:rsidRPr="00B1465F">
        <w:rPr>
          <w:shd w:val="clear" w:color="auto" w:fill="FFFFFF"/>
        </w:rPr>
        <w:t>traced</w:t>
      </w:r>
      <w:r w:rsidR="003D640C">
        <w:rPr>
          <w:shd w:val="clear" w:color="auto" w:fill="FFFFFF"/>
        </w:rPr>
        <w:t xml:space="preserve"> </w:t>
      </w:r>
      <w:r w:rsidRPr="00B1465F">
        <w:rPr>
          <w:shd w:val="clear" w:color="auto" w:fill="FFFFFF"/>
        </w:rPr>
        <w:t>back</w:t>
      </w:r>
      <w:r w:rsidR="003D640C">
        <w:rPr>
          <w:shd w:val="clear" w:color="auto" w:fill="FFFFFF"/>
        </w:rPr>
        <w:t xml:space="preserve"> </w:t>
      </w:r>
      <w:r w:rsidRPr="00B1465F">
        <w:rPr>
          <w:shd w:val="clear" w:color="auto" w:fill="FFFFFF"/>
        </w:rPr>
        <w:t>to</w:t>
      </w:r>
      <w:r w:rsidR="003D640C">
        <w:rPr>
          <w:shd w:val="clear" w:color="auto" w:fill="FFFFFF"/>
        </w:rPr>
        <w:t xml:space="preserve"> </w:t>
      </w:r>
      <w:r w:rsidRPr="00B1465F">
        <w:rPr>
          <w:shd w:val="clear" w:color="auto" w:fill="FFFFFF"/>
        </w:rPr>
        <w:t>our</w:t>
      </w:r>
      <w:r w:rsidR="003D640C">
        <w:rPr>
          <w:shd w:val="clear" w:color="auto" w:fill="FFFFFF"/>
        </w:rPr>
        <w:t xml:space="preserve"> </w:t>
      </w:r>
      <w:r w:rsidRPr="00B1465F">
        <w:rPr>
          <w:shd w:val="clear" w:color="auto" w:fill="FFFFFF"/>
        </w:rPr>
        <w:t>colonial</w:t>
      </w:r>
      <w:r w:rsidR="003D640C">
        <w:rPr>
          <w:shd w:val="clear" w:color="auto" w:fill="FFFFFF"/>
        </w:rPr>
        <w:t xml:space="preserve"> </w:t>
      </w:r>
      <w:r w:rsidRPr="00B1465F">
        <w:rPr>
          <w:shd w:val="clear" w:color="auto" w:fill="FFFFFF"/>
        </w:rPr>
        <w:t>history.</w:t>
      </w:r>
      <w:r w:rsidR="003D640C">
        <w:rPr>
          <w:shd w:val="clear" w:color="auto" w:fill="FFFFFF"/>
        </w:rPr>
        <w:t xml:space="preserve"> </w:t>
      </w:r>
      <w:r w:rsidRPr="00B1465F">
        <w:rPr>
          <w:shd w:val="clear" w:color="auto" w:fill="FFFFFF"/>
        </w:rPr>
        <w:t>Sadly</w:t>
      </w:r>
      <w:r w:rsidR="00B51C60">
        <w:rPr>
          <w:shd w:val="clear" w:color="auto" w:fill="FFFFFF"/>
        </w:rPr>
        <w:t>,</w:t>
      </w:r>
      <w:r w:rsidR="003D640C">
        <w:rPr>
          <w:shd w:val="clear" w:color="auto" w:fill="FFFFFF"/>
        </w:rPr>
        <w:t xml:space="preserve"> </w:t>
      </w:r>
      <w:r w:rsidRPr="00B1465F">
        <w:rPr>
          <w:shd w:val="clear" w:color="auto" w:fill="FFFFFF"/>
        </w:rPr>
        <w:t>our</w:t>
      </w:r>
      <w:r w:rsidR="003D640C">
        <w:rPr>
          <w:shd w:val="clear" w:color="auto" w:fill="FFFFFF"/>
        </w:rPr>
        <w:t xml:space="preserve"> </w:t>
      </w:r>
      <w:r w:rsidRPr="00B1465F">
        <w:rPr>
          <w:shd w:val="clear" w:color="auto" w:fill="FFFFFF"/>
        </w:rPr>
        <w:t>leaders,</w:t>
      </w:r>
      <w:r w:rsidR="003D640C">
        <w:rPr>
          <w:shd w:val="clear" w:color="auto" w:fill="FFFFFF"/>
        </w:rPr>
        <w:t xml:space="preserve"> </w:t>
      </w:r>
      <w:r w:rsidRPr="00B1465F">
        <w:rPr>
          <w:shd w:val="clear" w:color="auto" w:fill="FFFFFF"/>
        </w:rPr>
        <w:t>whether</w:t>
      </w:r>
      <w:r w:rsidR="003D640C">
        <w:rPr>
          <w:shd w:val="clear" w:color="auto" w:fill="FFFFFF"/>
        </w:rPr>
        <w:t xml:space="preserve"> </w:t>
      </w:r>
      <w:r w:rsidRPr="00B1465F">
        <w:rPr>
          <w:shd w:val="clear" w:color="auto" w:fill="FFFFFF"/>
        </w:rPr>
        <w:t>by</w:t>
      </w:r>
      <w:r w:rsidR="003D640C">
        <w:rPr>
          <w:shd w:val="clear" w:color="auto" w:fill="FFFFFF"/>
        </w:rPr>
        <w:t xml:space="preserve"> </w:t>
      </w:r>
      <w:r w:rsidRPr="00B1465F">
        <w:rPr>
          <w:shd w:val="clear" w:color="auto" w:fill="FFFFFF"/>
        </w:rPr>
        <w:t>design</w:t>
      </w:r>
      <w:r w:rsidR="003D640C">
        <w:rPr>
          <w:shd w:val="clear" w:color="auto" w:fill="FFFFFF"/>
        </w:rPr>
        <w:t xml:space="preserve"> </w:t>
      </w:r>
      <w:r w:rsidRPr="00B1465F">
        <w:rPr>
          <w:shd w:val="clear" w:color="auto" w:fill="FFFFFF"/>
        </w:rPr>
        <w:t>or</w:t>
      </w:r>
      <w:r w:rsidR="003D640C">
        <w:rPr>
          <w:shd w:val="clear" w:color="auto" w:fill="FFFFFF"/>
        </w:rPr>
        <w:t xml:space="preserve"> </w:t>
      </w:r>
      <w:r w:rsidRPr="00B1465F">
        <w:rPr>
          <w:shd w:val="clear" w:color="auto" w:fill="FFFFFF"/>
        </w:rPr>
        <w:t>default,</w:t>
      </w:r>
      <w:r w:rsidR="003D640C">
        <w:rPr>
          <w:shd w:val="clear" w:color="auto" w:fill="FFFFFF"/>
        </w:rPr>
        <w:t xml:space="preserve"> </w:t>
      </w:r>
      <w:r w:rsidRPr="00B1465F">
        <w:rPr>
          <w:shd w:val="clear" w:color="auto" w:fill="FFFFFF"/>
        </w:rPr>
        <w:t>continue</w:t>
      </w:r>
      <w:r w:rsidR="003D640C">
        <w:rPr>
          <w:shd w:val="clear" w:color="auto" w:fill="FFFFFF"/>
        </w:rPr>
        <w:t xml:space="preserve"> </w:t>
      </w:r>
      <w:r w:rsidRPr="00B1465F">
        <w:rPr>
          <w:shd w:val="clear" w:color="auto" w:fill="FFFFFF"/>
        </w:rPr>
        <w:t>to</w:t>
      </w:r>
      <w:r w:rsidR="003D640C">
        <w:rPr>
          <w:shd w:val="clear" w:color="auto" w:fill="FFFFFF"/>
        </w:rPr>
        <w:t xml:space="preserve"> </w:t>
      </w:r>
      <w:r w:rsidRPr="00B1465F">
        <w:rPr>
          <w:shd w:val="clear" w:color="auto" w:fill="FFFFFF"/>
        </w:rPr>
        <w:t>entrench</w:t>
      </w:r>
      <w:r w:rsidR="003D640C">
        <w:rPr>
          <w:shd w:val="clear" w:color="auto" w:fill="FFFFFF"/>
        </w:rPr>
        <w:t xml:space="preserve"> </w:t>
      </w:r>
      <w:r w:rsidRPr="00B1465F">
        <w:rPr>
          <w:shd w:val="clear" w:color="auto" w:fill="FFFFFF"/>
        </w:rPr>
        <w:t>discrimination</w:t>
      </w:r>
      <w:r w:rsidR="003D640C">
        <w:rPr>
          <w:shd w:val="clear" w:color="auto" w:fill="FFFFFF"/>
        </w:rPr>
        <w:t xml:space="preserve"> </w:t>
      </w:r>
      <w:r w:rsidRPr="00B1465F">
        <w:rPr>
          <w:shd w:val="clear" w:color="auto" w:fill="FFFFFF"/>
        </w:rPr>
        <w:t>against</w:t>
      </w:r>
      <w:r w:rsidR="003D640C">
        <w:rPr>
          <w:shd w:val="clear" w:color="auto" w:fill="FFFFFF"/>
        </w:rPr>
        <w:t xml:space="preserve"> </w:t>
      </w:r>
      <w:r w:rsidRPr="00B1465F">
        <w:rPr>
          <w:shd w:val="clear" w:color="auto" w:fill="FFFFFF"/>
        </w:rPr>
        <w:t>LGBTIQ+</w:t>
      </w:r>
      <w:r w:rsidR="003D640C">
        <w:rPr>
          <w:shd w:val="clear" w:color="auto" w:fill="FFFFFF"/>
        </w:rPr>
        <w:t xml:space="preserve"> </w:t>
      </w:r>
      <w:r w:rsidRPr="00B1465F">
        <w:rPr>
          <w:shd w:val="clear" w:color="auto" w:fill="FFFFFF"/>
        </w:rPr>
        <w:t>people.</w:t>
      </w:r>
      <w:r w:rsidR="003D640C">
        <w:rPr>
          <w:shd w:val="clear" w:color="auto" w:fill="FFFFFF"/>
        </w:rPr>
        <w:t xml:space="preserve"> </w:t>
      </w:r>
      <w:r w:rsidRPr="00B1465F">
        <w:rPr>
          <w:shd w:val="clear" w:color="auto" w:fill="FFFFFF"/>
        </w:rPr>
        <w:t>Lines</w:t>
      </w:r>
      <w:r w:rsidR="003D640C">
        <w:rPr>
          <w:shd w:val="clear" w:color="auto" w:fill="FFFFFF"/>
        </w:rPr>
        <w:t xml:space="preserve"> </w:t>
      </w:r>
      <w:r w:rsidRPr="00B1465F">
        <w:rPr>
          <w:shd w:val="clear" w:color="auto" w:fill="FFFFFF"/>
        </w:rPr>
        <w:t>between</w:t>
      </w:r>
      <w:r w:rsidR="003D640C">
        <w:rPr>
          <w:shd w:val="clear" w:color="auto" w:fill="FFFFFF"/>
        </w:rPr>
        <w:t xml:space="preserve"> </w:t>
      </w:r>
      <w:r w:rsidRPr="00B1465F">
        <w:rPr>
          <w:shd w:val="clear" w:color="auto" w:fill="FFFFFF"/>
        </w:rPr>
        <w:t>church</w:t>
      </w:r>
      <w:r w:rsidR="003D640C">
        <w:rPr>
          <w:shd w:val="clear" w:color="auto" w:fill="FFFFFF"/>
        </w:rPr>
        <w:t xml:space="preserve"> </w:t>
      </w:r>
      <w:r w:rsidRPr="00B1465F">
        <w:rPr>
          <w:shd w:val="clear" w:color="auto" w:fill="FFFFFF"/>
        </w:rPr>
        <w:t>and</w:t>
      </w:r>
      <w:r w:rsidR="003D640C">
        <w:rPr>
          <w:shd w:val="clear" w:color="auto" w:fill="FFFFFF"/>
        </w:rPr>
        <w:t xml:space="preserve"> </w:t>
      </w:r>
      <w:r w:rsidRPr="00B1465F">
        <w:rPr>
          <w:shd w:val="clear" w:color="auto" w:fill="FFFFFF"/>
        </w:rPr>
        <w:t>culture</w:t>
      </w:r>
      <w:r w:rsidR="003D640C">
        <w:rPr>
          <w:shd w:val="clear" w:color="auto" w:fill="FFFFFF"/>
        </w:rPr>
        <w:t xml:space="preserve"> </w:t>
      </w:r>
      <w:r w:rsidRPr="00B1465F">
        <w:rPr>
          <w:shd w:val="clear" w:color="auto" w:fill="FFFFFF"/>
        </w:rPr>
        <w:t>have</w:t>
      </w:r>
      <w:r w:rsidR="003D640C">
        <w:rPr>
          <w:shd w:val="clear" w:color="auto" w:fill="FFFFFF"/>
        </w:rPr>
        <w:t xml:space="preserve"> </w:t>
      </w:r>
      <w:r w:rsidRPr="00B1465F">
        <w:rPr>
          <w:shd w:val="clear" w:color="auto" w:fill="FFFFFF"/>
        </w:rPr>
        <w:t>converged</w:t>
      </w:r>
      <w:r w:rsidR="003D640C">
        <w:rPr>
          <w:shd w:val="clear" w:color="auto" w:fill="FFFFFF"/>
        </w:rPr>
        <w:t xml:space="preserve"> </w:t>
      </w:r>
      <w:r w:rsidRPr="00B1465F">
        <w:rPr>
          <w:shd w:val="clear" w:color="auto" w:fill="FFFFFF"/>
        </w:rPr>
        <w:t>into</w:t>
      </w:r>
      <w:r w:rsidR="003D640C">
        <w:rPr>
          <w:shd w:val="clear" w:color="auto" w:fill="FFFFFF"/>
        </w:rPr>
        <w:t xml:space="preserve"> </w:t>
      </w:r>
      <w:r w:rsidRPr="00B1465F">
        <w:rPr>
          <w:shd w:val="clear" w:color="auto" w:fill="FFFFFF"/>
        </w:rPr>
        <w:t>a</w:t>
      </w:r>
      <w:r w:rsidR="003D640C">
        <w:rPr>
          <w:shd w:val="clear" w:color="auto" w:fill="FFFFFF"/>
        </w:rPr>
        <w:t xml:space="preserve"> </w:t>
      </w:r>
      <w:r w:rsidRPr="00B1465F">
        <w:rPr>
          <w:shd w:val="clear" w:color="auto" w:fill="FFFFFF"/>
        </w:rPr>
        <w:t>set</w:t>
      </w:r>
      <w:r w:rsidR="003D640C">
        <w:rPr>
          <w:shd w:val="clear" w:color="auto" w:fill="FFFFFF"/>
        </w:rPr>
        <w:t xml:space="preserve"> </w:t>
      </w:r>
      <w:r w:rsidRPr="00B1465F">
        <w:rPr>
          <w:shd w:val="clear" w:color="auto" w:fill="FFFFFF"/>
        </w:rPr>
        <w:t>of</w:t>
      </w:r>
      <w:r w:rsidR="003D640C">
        <w:rPr>
          <w:shd w:val="clear" w:color="auto" w:fill="FFFFFF"/>
        </w:rPr>
        <w:t xml:space="preserve"> </w:t>
      </w:r>
      <w:r w:rsidRPr="00B1465F">
        <w:rPr>
          <w:shd w:val="clear" w:color="auto" w:fill="FFFFFF"/>
        </w:rPr>
        <w:t>untouchable</w:t>
      </w:r>
      <w:r w:rsidR="003D640C">
        <w:rPr>
          <w:shd w:val="clear" w:color="auto" w:fill="FFFFFF"/>
        </w:rPr>
        <w:t xml:space="preserve"> </w:t>
      </w:r>
      <w:r w:rsidRPr="00B1465F">
        <w:rPr>
          <w:shd w:val="clear" w:color="auto" w:fill="FFFFFF"/>
        </w:rPr>
        <w:t>rules</w:t>
      </w:r>
      <w:r w:rsidR="003D640C">
        <w:rPr>
          <w:shd w:val="clear" w:color="auto" w:fill="FFFFFF"/>
        </w:rPr>
        <w:t xml:space="preserve"> </w:t>
      </w:r>
      <w:r w:rsidRPr="00B1465F">
        <w:rPr>
          <w:shd w:val="clear" w:color="auto" w:fill="FFFFFF"/>
        </w:rPr>
        <w:t>and</w:t>
      </w:r>
      <w:r w:rsidR="003D640C">
        <w:rPr>
          <w:shd w:val="clear" w:color="auto" w:fill="FFFFFF"/>
        </w:rPr>
        <w:t xml:space="preserve"> </w:t>
      </w:r>
      <w:r w:rsidRPr="00B1465F">
        <w:rPr>
          <w:shd w:val="clear" w:color="auto" w:fill="FFFFFF"/>
        </w:rPr>
        <w:t>assumptions.</w:t>
      </w:r>
      <w:r w:rsidR="003D640C">
        <w:rPr>
          <w:shd w:val="clear" w:color="auto" w:fill="FFFFFF"/>
        </w:rPr>
        <w:t xml:space="preserve"> </w:t>
      </w:r>
      <w:r w:rsidRPr="00B1465F">
        <w:rPr>
          <w:shd w:val="clear" w:color="auto" w:fill="FFFFFF"/>
        </w:rPr>
        <w:t>Pacific</w:t>
      </w:r>
      <w:r w:rsidR="003D640C">
        <w:rPr>
          <w:shd w:val="clear" w:color="auto" w:fill="FFFFFF"/>
        </w:rPr>
        <w:t xml:space="preserve"> </w:t>
      </w:r>
      <w:r w:rsidRPr="00B1465F">
        <w:rPr>
          <w:shd w:val="clear" w:color="auto" w:fill="FFFFFF"/>
        </w:rPr>
        <w:t>diasporas</w:t>
      </w:r>
      <w:r w:rsidR="003D640C">
        <w:rPr>
          <w:shd w:val="clear" w:color="auto" w:fill="FFFFFF"/>
        </w:rPr>
        <w:t xml:space="preserve"> </w:t>
      </w:r>
      <w:r w:rsidRPr="00B1465F">
        <w:rPr>
          <w:shd w:val="clear" w:color="auto" w:fill="FFFFFF"/>
        </w:rPr>
        <w:t>in</w:t>
      </w:r>
      <w:r w:rsidR="003D640C">
        <w:rPr>
          <w:shd w:val="clear" w:color="auto" w:fill="FFFFFF"/>
        </w:rPr>
        <w:t xml:space="preserve"> </w:t>
      </w:r>
      <w:r w:rsidRPr="00B1465F">
        <w:rPr>
          <w:shd w:val="clear" w:color="auto" w:fill="FFFFFF"/>
        </w:rPr>
        <w:t>Australia</w:t>
      </w:r>
      <w:r w:rsidR="003D640C">
        <w:rPr>
          <w:shd w:val="clear" w:color="auto" w:fill="FFFFFF"/>
        </w:rPr>
        <w:t xml:space="preserve"> </w:t>
      </w:r>
      <w:r w:rsidRPr="00B1465F">
        <w:rPr>
          <w:shd w:val="clear" w:color="auto" w:fill="FFFFFF"/>
        </w:rPr>
        <w:t>or</w:t>
      </w:r>
      <w:r w:rsidR="003D640C">
        <w:rPr>
          <w:shd w:val="clear" w:color="auto" w:fill="FFFFFF"/>
        </w:rPr>
        <w:t xml:space="preserve"> </w:t>
      </w:r>
      <w:r w:rsidRPr="00B1465F">
        <w:rPr>
          <w:shd w:val="clear" w:color="auto" w:fill="FFFFFF"/>
        </w:rPr>
        <w:t>New</w:t>
      </w:r>
      <w:r w:rsidR="003D640C">
        <w:rPr>
          <w:shd w:val="clear" w:color="auto" w:fill="FFFFFF"/>
        </w:rPr>
        <w:t xml:space="preserve"> </w:t>
      </w:r>
      <w:r w:rsidRPr="00B1465F">
        <w:rPr>
          <w:shd w:val="clear" w:color="auto" w:fill="FFFFFF"/>
        </w:rPr>
        <w:t>Zealand</w:t>
      </w:r>
      <w:r w:rsidR="003D640C">
        <w:rPr>
          <w:shd w:val="clear" w:color="auto" w:fill="FFFFFF"/>
        </w:rPr>
        <w:t xml:space="preserve"> </w:t>
      </w:r>
      <w:r w:rsidRPr="00B1465F">
        <w:rPr>
          <w:shd w:val="clear" w:color="auto" w:fill="FFFFFF"/>
        </w:rPr>
        <w:t>cannot</w:t>
      </w:r>
      <w:r w:rsidR="003D640C">
        <w:rPr>
          <w:shd w:val="clear" w:color="auto" w:fill="FFFFFF"/>
        </w:rPr>
        <w:t xml:space="preserve"> </w:t>
      </w:r>
      <w:r w:rsidRPr="00B1465F">
        <w:rPr>
          <w:shd w:val="clear" w:color="auto" w:fill="FFFFFF"/>
        </w:rPr>
        <w:t>decipher</w:t>
      </w:r>
      <w:r w:rsidR="003D640C">
        <w:rPr>
          <w:shd w:val="clear" w:color="auto" w:fill="FFFFFF"/>
        </w:rPr>
        <w:t xml:space="preserve"> </w:t>
      </w:r>
      <w:r w:rsidRPr="00B1465F">
        <w:rPr>
          <w:shd w:val="clear" w:color="auto" w:fill="FFFFFF"/>
        </w:rPr>
        <w:t>where</w:t>
      </w:r>
      <w:r w:rsidR="003D640C">
        <w:rPr>
          <w:shd w:val="clear" w:color="auto" w:fill="FFFFFF"/>
        </w:rPr>
        <w:t xml:space="preserve"> </w:t>
      </w:r>
      <w:r w:rsidRPr="00B1465F">
        <w:rPr>
          <w:shd w:val="clear" w:color="auto" w:fill="FFFFFF"/>
        </w:rPr>
        <w:t>today’s</w:t>
      </w:r>
      <w:r w:rsidR="003D640C">
        <w:rPr>
          <w:shd w:val="clear" w:color="auto" w:fill="FFFFFF"/>
        </w:rPr>
        <w:t xml:space="preserve"> </w:t>
      </w:r>
      <w:r w:rsidRPr="00B1465F">
        <w:rPr>
          <w:shd w:val="clear" w:color="auto" w:fill="FFFFFF"/>
        </w:rPr>
        <w:t>accepted</w:t>
      </w:r>
      <w:r w:rsidR="003D640C">
        <w:rPr>
          <w:shd w:val="clear" w:color="auto" w:fill="FFFFFF"/>
        </w:rPr>
        <w:t xml:space="preserve"> </w:t>
      </w:r>
      <w:r w:rsidRPr="00B1465F">
        <w:rPr>
          <w:shd w:val="clear" w:color="auto" w:fill="FFFFFF"/>
        </w:rPr>
        <w:t>norms</w:t>
      </w:r>
      <w:r w:rsidR="003D640C">
        <w:rPr>
          <w:shd w:val="clear" w:color="auto" w:fill="FFFFFF"/>
        </w:rPr>
        <w:t xml:space="preserve"> </w:t>
      </w:r>
      <w:r w:rsidRPr="00B1465F">
        <w:rPr>
          <w:shd w:val="clear" w:color="auto" w:fill="FFFFFF"/>
        </w:rPr>
        <w:t>originated</w:t>
      </w:r>
      <w:r w:rsidR="003D640C">
        <w:rPr>
          <w:shd w:val="clear" w:color="auto" w:fill="FFFFFF"/>
        </w:rPr>
        <w:t xml:space="preserve"> </w:t>
      </w:r>
      <w:r w:rsidRPr="00B1465F">
        <w:rPr>
          <w:shd w:val="clear" w:color="auto" w:fill="FFFFFF"/>
        </w:rPr>
        <w:t>from</w:t>
      </w:r>
      <w:r w:rsidR="003D640C">
        <w:rPr>
          <w:shd w:val="clear" w:color="auto" w:fill="FFFFFF"/>
        </w:rPr>
        <w:t xml:space="preserve"> </w:t>
      </w:r>
      <w:r w:rsidRPr="00B1465F">
        <w:rPr>
          <w:shd w:val="clear" w:color="auto" w:fill="FFFFFF"/>
        </w:rPr>
        <w:t>and</w:t>
      </w:r>
      <w:r w:rsidR="003D640C">
        <w:rPr>
          <w:shd w:val="clear" w:color="auto" w:fill="FFFFFF"/>
        </w:rPr>
        <w:t xml:space="preserve"> </w:t>
      </w:r>
      <w:r w:rsidRPr="00B1465F">
        <w:rPr>
          <w:shd w:val="clear" w:color="auto" w:fill="FFFFFF"/>
        </w:rPr>
        <w:t>why.</w:t>
      </w:r>
      <w:r w:rsidR="003D640C">
        <w:rPr>
          <w:shd w:val="clear" w:color="auto" w:fill="FFFFFF"/>
        </w:rPr>
        <w:t xml:space="preserve"> </w:t>
      </w:r>
      <w:r w:rsidRPr="00B1465F">
        <w:rPr>
          <w:shd w:val="clear" w:color="auto" w:fill="FFFFFF"/>
        </w:rPr>
        <w:t>Tragically,</w:t>
      </w:r>
      <w:r w:rsidR="003D640C">
        <w:rPr>
          <w:shd w:val="clear" w:color="auto" w:fill="FFFFFF"/>
        </w:rPr>
        <w:t xml:space="preserve"> </w:t>
      </w:r>
      <w:r w:rsidRPr="00B1465F">
        <w:rPr>
          <w:shd w:val="clear" w:color="auto" w:fill="FFFFFF"/>
        </w:rPr>
        <w:t>a</w:t>
      </w:r>
      <w:r w:rsidR="003D640C">
        <w:rPr>
          <w:shd w:val="clear" w:color="auto" w:fill="FFFFFF"/>
        </w:rPr>
        <w:t xml:space="preserve"> </w:t>
      </w:r>
      <w:r w:rsidRPr="00B1465F">
        <w:rPr>
          <w:shd w:val="clear" w:color="auto" w:fill="FFFFFF"/>
        </w:rPr>
        <w:t>strain</w:t>
      </w:r>
      <w:r w:rsidR="003D640C">
        <w:rPr>
          <w:shd w:val="clear" w:color="auto" w:fill="FFFFFF"/>
        </w:rPr>
        <w:t xml:space="preserve"> </w:t>
      </w:r>
      <w:r w:rsidRPr="00B1465F">
        <w:rPr>
          <w:shd w:val="clear" w:color="auto" w:fill="FFFFFF"/>
        </w:rPr>
        <w:t>of</w:t>
      </w:r>
      <w:r w:rsidR="003D640C">
        <w:rPr>
          <w:shd w:val="clear" w:color="auto" w:fill="FFFFFF"/>
        </w:rPr>
        <w:t xml:space="preserve"> </w:t>
      </w:r>
      <w:r w:rsidRPr="00B1465F">
        <w:rPr>
          <w:shd w:val="clear" w:color="auto" w:fill="FFFFFF"/>
        </w:rPr>
        <w:t>fundamentalism</w:t>
      </w:r>
      <w:r w:rsidR="003D640C">
        <w:rPr>
          <w:shd w:val="clear" w:color="auto" w:fill="FFFFFF"/>
        </w:rPr>
        <w:t xml:space="preserve"> </w:t>
      </w:r>
      <w:r w:rsidRPr="00B1465F">
        <w:rPr>
          <w:shd w:val="clear" w:color="auto" w:fill="FFFFFF"/>
        </w:rPr>
        <w:t>has</w:t>
      </w:r>
      <w:r w:rsidR="003D640C">
        <w:rPr>
          <w:shd w:val="clear" w:color="auto" w:fill="FFFFFF"/>
        </w:rPr>
        <w:t xml:space="preserve"> </w:t>
      </w:r>
      <w:r w:rsidRPr="00B1465F">
        <w:rPr>
          <w:shd w:val="clear" w:color="auto" w:fill="FFFFFF"/>
        </w:rPr>
        <w:t>hijacked</w:t>
      </w:r>
      <w:r w:rsidR="003D640C">
        <w:rPr>
          <w:shd w:val="clear" w:color="auto" w:fill="FFFFFF"/>
        </w:rPr>
        <w:t xml:space="preserve"> </w:t>
      </w:r>
      <w:r w:rsidRPr="00B1465F">
        <w:rPr>
          <w:shd w:val="clear" w:color="auto" w:fill="FFFFFF"/>
        </w:rPr>
        <w:t>Pacific</w:t>
      </w:r>
      <w:r w:rsidR="003D640C">
        <w:rPr>
          <w:shd w:val="clear" w:color="auto" w:fill="FFFFFF"/>
        </w:rPr>
        <w:t xml:space="preserve"> </w:t>
      </w:r>
      <w:r w:rsidRPr="00B1465F">
        <w:rPr>
          <w:shd w:val="clear" w:color="auto" w:fill="FFFFFF"/>
        </w:rPr>
        <w:t>cultures</w:t>
      </w:r>
      <w:r w:rsidR="003D640C">
        <w:rPr>
          <w:shd w:val="clear" w:color="auto" w:fill="FFFFFF"/>
        </w:rPr>
        <w:t xml:space="preserve"> </w:t>
      </w:r>
      <w:r w:rsidRPr="00B1465F">
        <w:rPr>
          <w:shd w:val="clear" w:color="auto" w:fill="FFFFFF"/>
        </w:rPr>
        <w:t>and</w:t>
      </w:r>
      <w:r w:rsidR="003D640C">
        <w:rPr>
          <w:shd w:val="clear" w:color="auto" w:fill="FFFFFF"/>
        </w:rPr>
        <w:t xml:space="preserve"> </w:t>
      </w:r>
      <w:r w:rsidRPr="00B1465F">
        <w:rPr>
          <w:shd w:val="clear" w:color="auto" w:fill="FFFFFF"/>
        </w:rPr>
        <w:t>Christianity,</w:t>
      </w:r>
      <w:r w:rsidR="003D640C">
        <w:rPr>
          <w:shd w:val="clear" w:color="auto" w:fill="FFFFFF"/>
        </w:rPr>
        <w:t xml:space="preserve"> </w:t>
      </w:r>
      <w:r w:rsidRPr="00B1465F">
        <w:rPr>
          <w:shd w:val="clear" w:color="auto" w:fill="FFFFFF"/>
        </w:rPr>
        <w:t>in</w:t>
      </w:r>
      <w:r w:rsidR="003D640C">
        <w:rPr>
          <w:shd w:val="clear" w:color="auto" w:fill="FFFFFF"/>
        </w:rPr>
        <w:t xml:space="preserve"> </w:t>
      </w:r>
      <w:r w:rsidRPr="00B1465F">
        <w:rPr>
          <w:shd w:val="clear" w:color="auto" w:fill="FFFFFF"/>
        </w:rPr>
        <w:t>a</w:t>
      </w:r>
      <w:r w:rsidR="003D640C">
        <w:rPr>
          <w:shd w:val="clear" w:color="auto" w:fill="FFFFFF"/>
        </w:rPr>
        <w:t xml:space="preserve"> </w:t>
      </w:r>
      <w:r w:rsidRPr="00B1465F">
        <w:rPr>
          <w:shd w:val="clear" w:color="auto" w:fill="FFFFFF"/>
        </w:rPr>
        <w:t>manner</w:t>
      </w:r>
      <w:r w:rsidR="003D640C">
        <w:rPr>
          <w:shd w:val="clear" w:color="auto" w:fill="FFFFFF"/>
        </w:rPr>
        <w:t xml:space="preserve"> </w:t>
      </w:r>
      <w:r w:rsidRPr="00B1465F">
        <w:rPr>
          <w:shd w:val="clear" w:color="auto" w:fill="FFFFFF"/>
        </w:rPr>
        <w:t>that</w:t>
      </w:r>
      <w:r w:rsidR="003D640C">
        <w:rPr>
          <w:shd w:val="clear" w:color="auto" w:fill="FFFFFF"/>
        </w:rPr>
        <w:t xml:space="preserve"> </w:t>
      </w:r>
      <w:r w:rsidRPr="00B1465F">
        <w:rPr>
          <w:shd w:val="clear" w:color="auto" w:fill="FFFFFF"/>
        </w:rPr>
        <w:t>exhibits</w:t>
      </w:r>
      <w:r w:rsidR="003D640C">
        <w:rPr>
          <w:shd w:val="clear" w:color="auto" w:fill="FFFFFF"/>
        </w:rPr>
        <w:t xml:space="preserve"> </w:t>
      </w:r>
      <w:r w:rsidRPr="00B1465F">
        <w:rPr>
          <w:shd w:val="clear" w:color="auto" w:fill="FFFFFF"/>
        </w:rPr>
        <w:t>united</w:t>
      </w:r>
      <w:r w:rsidR="003D640C">
        <w:rPr>
          <w:shd w:val="clear" w:color="auto" w:fill="FFFFFF"/>
        </w:rPr>
        <w:t xml:space="preserve"> </w:t>
      </w:r>
      <w:r w:rsidRPr="00B1465F">
        <w:rPr>
          <w:shd w:val="clear" w:color="auto" w:fill="FFFFFF"/>
        </w:rPr>
        <w:t>disgust</w:t>
      </w:r>
      <w:r w:rsidR="003D640C">
        <w:rPr>
          <w:shd w:val="clear" w:color="auto" w:fill="FFFFFF"/>
        </w:rPr>
        <w:t xml:space="preserve"> </w:t>
      </w:r>
      <w:r w:rsidRPr="00B1465F">
        <w:rPr>
          <w:shd w:val="clear" w:color="auto" w:fill="FFFFFF"/>
        </w:rPr>
        <w:t>of</w:t>
      </w:r>
      <w:r w:rsidR="003D640C">
        <w:rPr>
          <w:shd w:val="clear" w:color="auto" w:fill="FFFFFF"/>
        </w:rPr>
        <w:t xml:space="preserve"> </w:t>
      </w:r>
      <w:r w:rsidRPr="00B1465F">
        <w:rPr>
          <w:shd w:val="clear" w:color="auto" w:fill="FFFFFF"/>
        </w:rPr>
        <w:t>all</w:t>
      </w:r>
      <w:r w:rsidR="003D640C">
        <w:rPr>
          <w:shd w:val="clear" w:color="auto" w:fill="FFFFFF"/>
        </w:rPr>
        <w:t xml:space="preserve"> </w:t>
      </w:r>
      <w:r w:rsidRPr="00B1465F">
        <w:rPr>
          <w:shd w:val="clear" w:color="auto" w:fill="FFFFFF"/>
        </w:rPr>
        <w:t>things</w:t>
      </w:r>
      <w:r w:rsidR="003D640C">
        <w:rPr>
          <w:shd w:val="clear" w:color="auto" w:fill="FFFFFF"/>
        </w:rPr>
        <w:t xml:space="preserve"> </w:t>
      </w:r>
      <w:r w:rsidRPr="00B1465F">
        <w:rPr>
          <w:shd w:val="clear" w:color="auto" w:fill="FFFFFF"/>
        </w:rPr>
        <w:t>gay.”</w:t>
      </w:r>
      <w:r w:rsidR="003D640C">
        <w:rPr>
          <w:shd w:val="clear" w:color="auto" w:fill="FFFFFF"/>
        </w:rPr>
        <w:t xml:space="preserve"> </w:t>
      </w:r>
      <w:r w:rsidRPr="00B1465F">
        <w:rPr>
          <w:shd w:val="clear" w:color="auto" w:fill="FFFFFF"/>
        </w:rPr>
        <w:t>Samoan,</w:t>
      </w:r>
      <w:r w:rsidR="003D640C">
        <w:rPr>
          <w:shd w:val="clear" w:color="auto" w:fill="FFFFFF"/>
        </w:rPr>
        <w:t xml:space="preserve"> </w:t>
      </w:r>
      <w:r w:rsidRPr="00B1465F">
        <w:rPr>
          <w:shd w:val="clear" w:color="auto" w:fill="FFFFFF"/>
        </w:rPr>
        <w:t>male</w:t>
      </w:r>
    </w:p>
    <w:p w14:paraId="315F2A5B" w14:textId="6AC11FEE" w:rsidR="00501068" w:rsidRDefault="009853F8" w:rsidP="00747446">
      <w:r w:rsidRPr="00BB6220">
        <w:lastRenderedPageBreak/>
        <w:t>The</w:t>
      </w:r>
      <w:r w:rsidR="003D640C">
        <w:t xml:space="preserve"> </w:t>
      </w:r>
      <w:r w:rsidRPr="00BB6220">
        <w:t>suppression</w:t>
      </w:r>
      <w:r w:rsidR="003D640C">
        <w:t xml:space="preserve"> </w:t>
      </w:r>
      <w:r w:rsidRPr="00BB6220">
        <w:t>of</w:t>
      </w:r>
      <w:r w:rsidR="003D640C">
        <w:t xml:space="preserve"> </w:t>
      </w:r>
      <w:r w:rsidRPr="00BB6220">
        <w:t>MVPFAFF+</w:t>
      </w:r>
      <w:r w:rsidR="003D640C">
        <w:t xml:space="preserve"> </w:t>
      </w:r>
      <w:r w:rsidRPr="00BB6220">
        <w:t>identities</w:t>
      </w:r>
      <w:r w:rsidR="003D640C">
        <w:t xml:space="preserve"> </w:t>
      </w:r>
      <w:r w:rsidRPr="00BB6220">
        <w:t>was</w:t>
      </w:r>
      <w:r w:rsidR="003D640C">
        <w:t xml:space="preserve"> </w:t>
      </w:r>
      <w:r w:rsidR="005C1CB6">
        <w:t>likely</w:t>
      </w:r>
      <w:r w:rsidR="003D640C">
        <w:t xml:space="preserve"> </w:t>
      </w:r>
      <w:r w:rsidRPr="00BB6220">
        <w:t>also</w:t>
      </w:r>
      <w:r w:rsidR="003D640C">
        <w:t xml:space="preserve"> </w:t>
      </w:r>
      <w:r w:rsidRPr="00BB6220">
        <w:t>reinforced</w:t>
      </w:r>
      <w:r w:rsidR="003D640C">
        <w:t xml:space="preserve"> </w:t>
      </w:r>
      <w:r w:rsidRPr="00BB6220">
        <w:t>for</w:t>
      </w:r>
      <w:r w:rsidR="003D640C">
        <w:t xml:space="preserve"> </w:t>
      </w:r>
      <w:r w:rsidRPr="00BB6220">
        <w:t>many</w:t>
      </w:r>
      <w:r w:rsidR="003D640C">
        <w:t xml:space="preserve"> </w:t>
      </w:r>
      <w:r w:rsidR="00FC698F">
        <w:t>migrants</w:t>
      </w:r>
      <w:r w:rsidR="003D640C">
        <w:t xml:space="preserve"> </w:t>
      </w:r>
      <w:r w:rsidR="00FC698F">
        <w:t>from</w:t>
      </w:r>
      <w:r w:rsidR="003D640C">
        <w:t xml:space="preserve"> </w:t>
      </w:r>
      <w:r w:rsidR="00FC698F">
        <w:t>the</w:t>
      </w:r>
      <w:r w:rsidR="003D640C">
        <w:t xml:space="preserve"> </w:t>
      </w:r>
      <w:r w:rsidR="00FC698F">
        <w:t>Pacific</w:t>
      </w:r>
      <w:r w:rsidR="003D640C">
        <w:t xml:space="preserve"> </w:t>
      </w:r>
      <w:r w:rsidRPr="00BB6220">
        <w:t>on</w:t>
      </w:r>
      <w:r w:rsidR="003D640C">
        <w:t xml:space="preserve"> </w:t>
      </w:r>
      <w:r w:rsidRPr="00BB6220">
        <w:t>arrival</w:t>
      </w:r>
      <w:r w:rsidR="003D640C">
        <w:t xml:space="preserve"> </w:t>
      </w:r>
      <w:r w:rsidRPr="00BB6220">
        <w:t>in</w:t>
      </w:r>
      <w:r w:rsidR="003D640C">
        <w:t xml:space="preserve"> </w:t>
      </w:r>
      <w:r w:rsidRPr="00BB6220">
        <w:t>Aotearoa</w:t>
      </w:r>
      <w:r w:rsidR="003D640C">
        <w:t xml:space="preserve"> </w:t>
      </w:r>
      <w:r w:rsidRPr="00BB6220">
        <w:t>when</w:t>
      </w:r>
      <w:r w:rsidR="003D640C">
        <w:t xml:space="preserve"> </w:t>
      </w:r>
      <w:r w:rsidRPr="00BB6220">
        <w:t>they</w:t>
      </w:r>
      <w:r w:rsidR="003D640C">
        <w:t xml:space="preserve"> </w:t>
      </w:r>
      <w:r w:rsidRPr="00BB6220">
        <w:t>met</w:t>
      </w:r>
      <w:r w:rsidR="003D640C">
        <w:t xml:space="preserve"> </w:t>
      </w:r>
      <w:r w:rsidRPr="00BB6220">
        <w:t>additional</w:t>
      </w:r>
      <w:r w:rsidR="003D640C">
        <w:t xml:space="preserve"> </w:t>
      </w:r>
      <w:r w:rsidRPr="00BB6220">
        <w:t>layers</w:t>
      </w:r>
      <w:r w:rsidR="003D640C">
        <w:t xml:space="preserve"> </w:t>
      </w:r>
      <w:r w:rsidRPr="00BB6220">
        <w:t>of</w:t>
      </w:r>
      <w:r w:rsidR="003D640C">
        <w:t xml:space="preserve"> </w:t>
      </w:r>
      <w:r w:rsidRPr="00BB6220">
        <w:t>racism</w:t>
      </w:r>
      <w:r w:rsidR="003D640C">
        <w:t xml:space="preserve"> </w:t>
      </w:r>
      <w:r w:rsidRPr="00BB6220">
        <w:t>stemming</w:t>
      </w:r>
      <w:r w:rsidR="003D640C">
        <w:t xml:space="preserve"> </w:t>
      </w:r>
      <w:r w:rsidRPr="00BB6220">
        <w:t>from</w:t>
      </w:r>
      <w:r w:rsidR="003D640C">
        <w:t xml:space="preserve"> </w:t>
      </w:r>
      <w:r w:rsidRPr="00BB6220">
        <w:t>colonisation.</w:t>
      </w:r>
      <w:r w:rsidR="003D640C">
        <w:t xml:space="preserve"> </w:t>
      </w:r>
      <w:r w:rsidRPr="00BB6220">
        <w:t>Pacific</w:t>
      </w:r>
      <w:r w:rsidR="003D640C">
        <w:t xml:space="preserve"> </w:t>
      </w:r>
      <w:r w:rsidRPr="00BB6220">
        <w:t>survivors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noted</w:t>
      </w:r>
      <w:r w:rsidR="003D640C">
        <w:t xml:space="preserve"> </w:t>
      </w:r>
      <w:r w:rsidRPr="00BB6220">
        <w:t>the</w:t>
      </w:r>
      <w:r w:rsidR="003D640C">
        <w:t xml:space="preserve"> </w:t>
      </w:r>
      <w:r w:rsidRPr="00BB6220">
        <w:t>dynamic</w:t>
      </w:r>
      <w:r w:rsidR="003D640C">
        <w:t xml:space="preserve"> </w:t>
      </w:r>
      <w:r w:rsidRPr="00BB6220">
        <w:t>that</w:t>
      </w:r>
      <w:r w:rsidR="003D640C">
        <w:t xml:space="preserve"> </w:t>
      </w:r>
      <w:r w:rsidRPr="00BB6220">
        <w:t>exists</w:t>
      </w:r>
      <w:r w:rsidR="003D640C">
        <w:t xml:space="preserve"> </w:t>
      </w:r>
      <w:r w:rsidRPr="00BB6220">
        <w:t>between</w:t>
      </w:r>
      <w:r w:rsidR="003D640C">
        <w:t xml:space="preserve"> </w:t>
      </w:r>
      <w:r w:rsidRPr="00BB6220">
        <w:t>Aotearoa</w:t>
      </w:r>
      <w:r w:rsidR="003D640C">
        <w:t xml:space="preserve"> </w:t>
      </w:r>
      <w:r w:rsidRPr="00BB6220">
        <w:t>and</w:t>
      </w:r>
      <w:r w:rsidR="003D640C">
        <w:t xml:space="preserve"> </w:t>
      </w:r>
      <w:r w:rsidRPr="00BB6220">
        <w:t>Pacific</w:t>
      </w:r>
      <w:r w:rsidR="003D640C">
        <w:t xml:space="preserve"> </w:t>
      </w:r>
      <w:r w:rsidRPr="00BB6220">
        <w:t>nations</w:t>
      </w:r>
      <w:r w:rsidR="003D640C">
        <w:t xml:space="preserve"> </w:t>
      </w:r>
      <w:r w:rsidRPr="00BB6220">
        <w:t>as</w:t>
      </w:r>
      <w:r w:rsidR="003D640C">
        <w:t xml:space="preserve"> </w:t>
      </w:r>
      <w:r w:rsidRPr="00BB6220">
        <w:t>one</w:t>
      </w:r>
      <w:r w:rsidR="003D640C">
        <w:t xml:space="preserve"> </w:t>
      </w:r>
      <w:r w:rsidR="00B51C60">
        <w:t xml:space="preserve">that </w:t>
      </w:r>
      <w:r w:rsidRPr="00BB6220">
        <w:t>can</w:t>
      </w:r>
      <w:r w:rsidR="003D640C">
        <w:t xml:space="preserve"> </w:t>
      </w:r>
      <w:r w:rsidRPr="00BB6220">
        <w:t>be</w:t>
      </w:r>
      <w:r w:rsidR="003D640C">
        <w:t xml:space="preserve"> </w:t>
      </w:r>
      <w:r w:rsidRPr="00BB6220">
        <w:t>filled</w:t>
      </w:r>
      <w:r w:rsidR="003D640C">
        <w:t xml:space="preserve"> </w:t>
      </w:r>
      <w:r w:rsidRPr="00BB6220">
        <w:t>with</w:t>
      </w:r>
      <w:r w:rsidR="003D640C">
        <w:t xml:space="preserve"> </w:t>
      </w:r>
      <w:r w:rsidRPr="00BB6220">
        <w:t>conflict</w:t>
      </w:r>
      <w:r w:rsidR="003D640C">
        <w:t xml:space="preserve"> </w:t>
      </w:r>
      <w:r w:rsidRPr="00BB6220">
        <w:t>and</w:t>
      </w:r>
      <w:r w:rsidR="003D640C">
        <w:t xml:space="preserve"> </w:t>
      </w:r>
      <w:r w:rsidRPr="00BB6220">
        <w:t>entrenched</w:t>
      </w:r>
      <w:r w:rsidR="003D640C">
        <w:t xml:space="preserve"> </w:t>
      </w:r>
      <w:r w:rsidRPr="00BB6220">
        <w:t>fundamentalism.</w:t>
      </w:r>
    </w:p>
    <w:p w14:paraId="2FAA9BCD" w14:textId="453F885D" w:rsidR="00B40AD3" w:rsidRPr="00BB6220" w:rsidRDefault="00B40AD3" w:rsidP="002C6363">
      <w:pPr>
        <w:pStyle w:val="Heading3"/>
      </w:pPr>
      <w:bookmarkStart w:id="260" w:name="_Toc167780613"/>
      <w:bookmarkStart w:id="261" w:name="_Toc1424922312"/>
      <w:bookmarkStart w:id="262" w:name="_Toc174628673"/>
      <w:bookmarkEnd w:id="257"/>
      <w:bookmarkEnd w:id="258"/>
      <w:r w:rsidRPr="00BB6220">
        <w:t>The</w:t>
      </w:r>
      <w:r w:rsidR="003D640C">
        <w:t xml:space="preserve"> </w:t>
      </w:r>
      <w:r w:rsidR="00A12103" w:rsidRPr="00BB6220">
        <w:t>role</w:t>
      </w:r>
      <w:r w:rsidR="003D640C">
        <w:t xml:space="preserve"> </w:t>
      </w:r>
      <w:r w:rsidR="00A12103" w:rsidRPr="00BB6220">
        <w:t>of</w:t>
      </w:r>
      <w:r w:rsidR="003D640C">
        <w:t xml:space="preserve"> </w:t>
      </w:r>
      <w:r w:rsidR="00A12103" w:rsidRPr="00BB6220">
        <w:t>the</w:t>
      </w:r>
      <w:r w:rsidR="003D640C">
        <w:t xml:space="preserve"> </w:t>
      </w:r>
      <w:r w:rsidR="00A12103" w:rsidRPr="00BB6220">
        <w:t>church</w:t>
      </w:r>
      <w:r w:rsidR="003D640C">
        <w:t xml:space="preserve"> </w:t>
      </w:r>
      <w:r w:rsidR="00A12103" w:rsidRPr="00BB6220">
        <w:t>in</w:t>
      </w:r>
      <w:r w:rsidR="003D640C">
        <w:t xml:space="preserve"> </w:t>
      </w:r>
      <w:r w:rsidR="00A12103" w:rsidRPr="00BB6220">
        <w:t>contemporary</w:t>
      </w:r>
      <w:r w:rsidR="003D640C">
        <w:t xml:space="preserve"> </w:t>
      </w:r>
      <w:r w:rsidR="00E37EC1" w:rsidRPr="00BB6220">
        <w:t>Pacific</w:t>
      </w:r>
      <w:r w:rsidR="003D640C">
        <w:t xml:space="preserve"> </w:t>
      </w:r>
      <w:r w:rsidR="00A12103" w:rsidRPr="00BB6220">
        <w:t>communities</w:t>
      </w:r>
      <w:bookmarkEnd w:id="260"/>
      <w:bookmarkEnd w:id="261"/>
      <w:bookmarkEnd w:id="262"/>
      <w:r w:rsidR="003D640C">
        <w:t xml:space="preserve"> </w:t>
      </w:r>
    </w:p>
    <w:p w14:paraId="759DC1DB" w14:textId="691FE9FF" w:rsidR="00BF3436" w:rsidRDefault="00BF3436" w:rsidP="00747446">
      <w:r>
        <w:t>Pacific</w:t>
      </w:r>
      <w:r w:rsidR="003D640C">
        <w:t xml:space="preserve"> </w:t>
      </w:r>
      <w:r>
        <w:t>churches</w:t>
      </w:r>
      <w:r w:rsidR="003D640C">
        <w:t xml:space="preserve"> </w:t>
      </w:r>
      <w:r>
        <w:t>in</w:t>
      </w:r>
      <w:r w:rsidR="003D640C">
        <w:t xml:space="preserve"> </w:t>
      </w:r>
      <w:r>
        <w:t>Aotearoa</w:t>
      </w:r>
      <w:r w:rsidR="003D640C">
        <w:t xml:space="preserve"> </w:t>
      </w:r>
      <w:r>
        <w:t>play</w:t>
      </w:r>
      <w:r w:rsidR="003D640C">
        <w:t xml:space="preserve"> </w:t>
      </w:r>
      <w:r>
        <w:t>a</w:t>
      </w:r>
      <w:r w:rsidR="003D640C">
        <w:t xml:space="preserve"> </w:t>
      </w:r>
      <w:r>
        <w:t>significant</w:t>
      </w:r>
      <w:r w:rsidR="003D640C">
        <w:t xml:space="preserve"> </w:t>
      </w:r>
      <w:r>
        <w:t>role</w:t>
      </w:r>
      <w:r w:rsidR="003D640C">
        <w:t xml:space="preserve"> </w:t>
      </w:r>
      <w:r>
        <w:t>in</w:t>
      </w:r>
      <w:r w:rsidR="003D640C">
        <w:t xml:space="preserve"> </w:t>
      </w:r>
      <w:r>
        <w:t>supporting</w:t>
      </w:r>
      <w:r w:rsidR="003D640C">
        <w:t xml:space="preserve"> </w:t>
      </w:r>
      <w:r>
        <w:t>Pacific</w:t>
      </w:r>
      <w:r w:rsidR="003D640C">
        <w:t xml:space="preserve"> </w:t>
      </w:r>
      <w:r>
        <w:t>migrants</w:t>
      </w:r>
      <w:r w:rsidR="003D640C">
        <w:t xml:space="preserve"> </w:t>
      </w:r>
      <w:r>
        <w:t>to</w:t>
      </w:r>
      <w:r w:rsidR="003D640C">
        <w:t xml:space="preserve"> </w:t>
      </w:r>
      <w:r>
        <w:t>New</w:t>
      </w:r>
      <w:r w:rsidR="003D640C">
        <w:t xml:space="preserve"> </w:t>
      </w:r>
      <w:r>
        <w:t>Zealand</w:t>
      </w:r>
      <w:r w:rsidR="003D640C">
        <w:t xml:space="preserve"> </w:t>
      </w:r>
      <w:r>
        <w:t>to</w:t>
      </w:r>
      <w:r w:rsidR="003D640C">
        <w:t xml:space="preserve"> </w:t>
      </w:r>
      <w:r>
        <w:t>settle</w:t>
      </w:r>
      <w:r w:rsidR="003D640C">
        <w:t xml:space="preserve"> </w:t>
      </w:r>
      <w:r>
        <w:t>and</w:t>
      </w:r>
      <w:r w:rsidR="003D640C">
        <w:t xml:space="preserve"> </w:t>
      </w:r>
      <w:r>
        <w:t>also</w:t>
      </w:r>
      <w:r w:rsidR="003D640C">
        <w:t xml:space="preserve"> </w:t>
      </w:r>
      <w:r>
        <w:t>to</w:t>
      </w:r>
      <w:r w:rsidR="003D640C">
        <w:t xml:space="preserve"> </w:t>
      </w:r>
      <w:r>
        <w:t>maintain</w:t>
      </w:r>
      <w:r w:rsidR="003D640C">
        <w:t xml:space="preserve"> </w:t>
      </w:r>
      <w:r>
        <w:t>transnational</w:t>
      </w:r>
      <w:r w:rsidR="003D640C">
        <w:t xml:space="preserve"> </w:t>
      </w:r>
      <w:r>
        <w:t>ties</w:t>
      </w:r>
      <w:r w:rsidR="003D640C">
        <w:t xml:space="preserve"> </w:t>
      </w:r>
      <w:r>
        <w:t>with</w:t>
      </w:r>
      <w:r w:rsidR="003D640C">
        <w:t xml:space="preserve"> </w:t>
      </w:r>
      <w:r>
        <w:t>their</w:t>
      </w:r>
      <w:r w:rsidR="003D640C">
        <w:t xml:space="preserve"> </w:t>
      </w:r>
      <w:r>
        <w:t>home</w:t>
      </w:r>
      <w:r w:rsidR="003D640C">
        <w:t xml:space="preserve"> </w:t>
      </w:r>
      <w:r>
        <w:t>countries</w:t>
      </w:r>
      <w:r w:rsidR="000C75E6">
        <w:t>.</w:t>
      </w:r>
      <w:r>
        <w:rPr>
          <w:rStyle w:val="FootnoteReference"/>
        </w:rPr>
        <w:footnoteReference w:id="189"/>
      </w:r>
    </w:p>
    <w:p w14:paraId="13A1BB5F" w14:textId="3B9776C5" w:rsidR="0078455B" w:rsidRPr="00BB6220" w:rsidRDefault="00163CE1" w:rsidP="00747446">
      <w:r w:rsidRPr="00BB6220">
        <w:t>In</w:t>
      </w:r>
      <w:r w:rsidR="003D640C">
        <w:t xml:space="preserve"> </w:t>
      </w:r>
      <w:r w:rsidRPr="00BB6220">
        <w:t>total</w:t>
      </w:r>
      <w:r w:rsidR="0051715E" w:rsidRPr="00BB6220">
        <w:t>,</w:t>
      </w:r>
      <w:r w:rsidR="003D640C">
        <w:t xml:space="preserve"> </w:t>
      </w:r>
      <w:r w:rsidRPr="00BB6220">
        <w:t>79</w:t>
      </w:r>
      <w:r w:rsidR="001D1BF7">
        <w:t xml:space="preserve"> percent</w:t>
      </w:r>
      <w:r w:rsidR="003D640C">
        <w:t xml:space="preserve"> </w:t>
      </w:r>
      <w:r w:rsidRPr="00BB6220">
        <w:t>of</w:t>
      </w:r>
      <w:r w:rsidR="003D640C">
        <w:t xml:space="preserve"> </w:t>
      </w:r>
      <w:r w:rsidRPr="00BB6220">
        <w:t>the</w:t>
      </w:r>
      <w:r w:rsidR="003D640C">
        <w:t xml:space="preserve"> </w:t>
      </w:r>
      <w:r w:rsidRPr="00BB6220">
        <w:t>Pacific</w:t>
      </w:r>
      <w:r w:rsidR="003D640C">
        <w:t xml:space="preserve"> </w:t>
      </w:r>
      <w:r w:rsidRPr="00BB6220">
        <w:t>population</w:t>
      </w:r>
      <w:r w:rsidR="003D640C">
        <w:t xml:space="preserve"> </w:t>
      </w:r>
      <w:r w:rsidRPr="00BB6220">
        <w:t>in</w:t>
      </w:r>
      <w:r w:rsidR="003D640C">
        <w:t xml:space="preserve"> </w:t>
      </w:r>
      <w:r w:rsidRPr="00BB6220">
        <w:t>Aotearoa</w:t>
      </w:r>
      <w:r w:rsidR="003D640C">
        <w:t xml:space="preserve"> </w:t>
      </w:r>
      <w:r w:rsidR="007777A3">
        <w:t>identifies</w:t>
      </w:r>
      <w:r w:rsidR="003D640C">
        <w:t xml:space="preserve"> </w:t>
      </w:r>
      <w:r w:rsidR="007777A3">
        <w:t>with</w:t>
      </w:r>
      <w:r w:rsidR="003D640C">
        <w:t xml:space="preserve"> </w:t>
      </w:r>
      <w:r w:rsidR="007777A3">
        <w:t>at</w:t>
      </w:r>
      <w:r w:rsidR="003D640C">
        <w:t xml:space="preserve"> </w:t>
      </w:r>
      <w:r w:rsidR="007777A3">
        <w:t>least</w:t>
      </w:r>
      <w:r w:rsidR="003D640C">
        <w:t xml:space="preserve"> </w:t>
      </w:r>
      <w:r w:rsidRPr="00BB6220">
        <w:t>one</w:t>
      </w:r>
      <w:r w:rsidR="003D640C">
        <w:t xml:space="preserve"> </w:t>
      </w:r>
      <w:r w:rsidRPr="00BB6220">
        <w:t>religion</w:t>
      </w:r>
      <w:r w:rsidR="003D640C">
        <w:t xml:space="preserve"> </w:t>
      </w:r>
      <w:r w:rsidRPr="00BB6220">
        <w:t>compared</w:t>
      </w:r>
      <w:r w:rsidR="003D640C">
        <w:t xml:space="preserve"> </w:t>
      </w:r>
      <w:r w:rsidR="00957DED">
        <w:t xml:space="preserve">to </w:t>
      </w:r>
      <w:r w:rsidRPr="00BB6220">
        <w:t>just</w:t>
      </w:r>
      <w:r w:rsidR="003D640C">
        <w:t xml:space="preserve"> </w:t>
      </w:r>
      <w:r w:rsidRPr="00BB6220">
        <w:t>42</w:t>
      </w:r>
      <w:r w:rsidR="001D1BF7">
        <w:t xml:space="preserve"> percent</w:t>
      </w:r>
      <w:r w:rsidR="003D640C">
        <w:t xml:space="preserve"> </w:t>
      </w:r>
      <w:r w:rsidRPr="00BB6220">
        <w:t>for</w:t>
      </w:r>
      <w:r w:rsidR="003D640C">
        <w:t xml:space="preserve"> </w:t>
      </w:r>
      <w:r w:rsidRPr="00BB6220">
        <w:t>the</w:t>
      </w:r>
      <w:r w:rsidR="003D640C">
        <w:t xml:space="preserve"> </w:t>
      </w:r>
      <w:r w:rsidRPr="00BB6220">
        <w:t>total</w:t>
      </w:r>
      <w:r w:rsidR="003D640C">
        <w:t xml:space="preserve"> </w:t>
      </w:r>
      <w:r w:rsidRPr="00BB6220">
        <w:t>New</w:t>
      </w:r>
      <w:r w:rsidR="003D640C">
        <w:t xml:space="preserve"> </w:t>
      </w:r>
      <w:r w:rsidRPr="00BB6220">
        <w:t>Zealand</w:t>
      </w:r>
      <w:r w:rsidR="003D640C">
        <w:t xml:space="preserve"> </w:t>
      </w:r>
      <w:r w:rsidRPr="00BB6220">
        <w:t>population.</w:t>
      </w:r>
      <w:r w:rsidRPr="00BB6220">
        <w:rPr>
          <w:rStyle w:val="FootnoteReference"/>
        </w:rPr>
        <w:footnoteReference w:id="190"/>
      </w:r>
      <w:r w:rsidR="003D640C">
        <w:t xml:space="preserve"> </w:t>
      </w:r>
      <w:r w:rsidRPr="00BB6220">
        <w:t>Most</w:t>
      </w:r>
      <w:r w:rsidR="003D640C">
        <w:t xml:space="preserve"> </w:t>
      </w:r>
      <w:r w:rsidRPr="00BB6220">
        <w:t>Pacific</w:t>
      </w:r>
      <w:r w:rsidR="003D640C">
        <w:t xml:space="preserve"> </w:t>
      </w:r>
      <w:r w:rsidRPr="00BB6220">
        <w:t>people</w:t>
      </w:r>
      <w:r w:rsidR="003751AB">
        <w:t>s</w:t>
      </w:r>
      <w:r w:rsidR="003D640C">
        <w:t xml:space="preserve"> </w:t>
      </w:r>
      <w:r w:rsidRPr="00BB6220">
        <w:t>are</w:t>
      </w:r>
      <w:r w:rsidR="003D640C">
        <w:t xml:space="preserve"> </w:t>
      </w:r>
      <w:r w:rsidRPr="00BB6220">
        <w:t>Christian</w:t>
      </w:r>
      <w:r w:rsidR="002531FB" w:rsidRPr="00BB6220">
        <w:t>,</w:t>
      </w:r>
      <w:r w:rsidR="003D640C">
        <w:t xml:space="preserve"> </w:t>
      </w:r>
      <w:r w:rsidRPr="00BB6220">
        <w:t>with</w:t>
      </w:r>
      <w:r w:rsidR="003D640C">
        <w:t xml:space="preserve"> </w:t>
      </w:r>
      <w:r w:rsidRPr="00BB6220">
        <w:t>Catholic,</w:t>
      </w:r>
      <w:r w:rsidR="003D640C">
        <w:t xml:space="preserve"> </w:t>
      </w:r>
      <w:r w:rsidRPr="00BB6220">
        <w:t>Presbyterian</w:t>
      </w:r>
      <w:r w:rsidR="000C75E6">
        <w:t>,</w:t>
      </w:r>
      <w:r w:rsidR="003D640C">
        <w:t xml:space="preserve"> </w:t>
      </w:r>
      <w:r w:rsidRPr="00BB6220">
        <w:t>and</w:t>
      </w:r>
      <w:r w:rsidR="003D640C">
        <w:t xml:space="preserve"> </w:t>
      </w:r>
      <w:r w:rsidRPr="00BB6220">
        <w:t>Methodist</w:t>
      </w:r>
      <w:r w:rsidR="003D640C">
        <w:t xml:space="preserve"> </w:t>
      </w:r>
      <w:r w:rsidRPr="00BB6220">
        <w:t>being</w:t>
      </w:r>
      <w:r w:rsidR="003D640C">
        <w:t xml:space="preserve"> </w:t>
      </w:r>
      <w:r w:rsidRPr="00BB6220">
        <w:t>the</w:t>
      </w:r>
      <w:r w:rsidR="003D640C">
        <w:t xml:space="preserve"> </w:t>
      </w:r>
      <w:r w:rsidRPr="00BB6220">
        <w:t>most</w:t>
      </w:r>
      <w:r w:rsidR="003D640C">
        <w:t xml:space="preserve"> </w:t>
      </w:r>
      <w:r w:rsidRPr="00BB6220">
        <w:t>commo</w:t>
      </w:r>
      <w:r w:rsidR="0051715E" w:rsidRPr="00BB6220">
        <w:t>n</w:t>
      </w:r>
      <w:r w:rsidR="003D640C">
        <w:t xml:space="preserve"> </w:t>
      </w:r>
      <w:r w:rsidR="00A63235">
        <w:t>denominations</w:t>
      </w:r>
      <w:r w:rsidRPr="00BB6220">
        <w:t>.</w:t>
      </w:r>
      <w:r w:rsidR="003D640C">
        <w:t xml:space="preserve"> </w:t>
      </w:r>
    </w:p>
    <w:p w14:paraId="03079F17" w14:textId="6221A45F" w:rsidR="00163CE1" w:rsidRPr="00BB6220" w:rsidRDefault="00163CE1" w:rsidP="00747446">
      <w:r w:rsidRPr="00BB6220">
        <w:t>A</w:t>
      </w:r>
      <w:r w:rsidR="003D640C">
        <w:t xml:space="preserve"> </w:t>
      </w:r>
      <w:r w:rsidR="00984C21" w:rsidRPr="00BB6220">
        <w:t>2016</w:t>
      </w:r>
      <w:r w:rsidR="003D640C">
        <w:t xml:space="preserve"> </w:t>
      </w:r>
      <w:r w:rsidRPr="00BB6220">
        <w:t>report</w:t>
      </w:r>
      <w:r w:rsidR="003D640C">
        <w:t xml:space="preserve"> </w:t>
      </w:r>
      <w:r w:rsidRPr="00BB6220">
        <w:t>from</w:t>
      </w:r>
      <w:r w:rsidR="003D640C">
        <w:t xml:space="preserve"> </w:t>
      </w:r>
      <w:r w:rsidRPr="00BB6220">
        <w:t>the</w:t>
      </w:r>
      <w:r w:rsidR="003D640C">
        <w:t xml:space="preserve"> </w:t>
      </w:r>
      <w:r w:rsidRPr="00BB6220">
        <w:t>Ministry</w:t>
      </w:r>
      <w:r w:rsidR="003D640C">
        <w:t xml:space="preserve"> </w:t>
      </w:r>
      <w:r w:rsidRPr="00BB6220">
        <w:t>for</w:t>
      </w:r>
      <w:r w:rsidR="003D640C">
        <w:t xml:space="preserve"> </w:t>
      </w:r>
      <w:r w:rsidRPr="00BB6220">
        <w:t>Pacific</w:t>
      </w:r>
      <w:r w:rsidR="003D640C">
        <w:t xml:space="preserve"> </w:t>
      </w:r>
      <w:r w:rsidRPr="00BB6220">
        <w:t>Peoples</w:t>
      </w:r>
      <w:r w:rsidR="003D640C">
        <w:t xml:space="preserve"> </w:t>
      </w:r>
      <w:r w:rsidRPr="00BB6220">
        <w:t>notes</w:t>
      </w:r>
      <w:r w:rsidR="003D640C">
        <w:t xml:space="preserve"> </w:t>
      </w:r>
      <w:r w:rsidRPr="00BB6220">
        <w:t>a</w:t>
      </w:r>
      <w:r w:rsidR="003D640C">
        <w:t xml:space="preserve"> </w:t>
      </w:r>
      <w:r w:rsidRPr="00BB6220">
        <w:t>positive</w:t>
      </w:r>
      <w:r w:rsidR="003D640C">
        <w:t xml:space="preserve"> </w:t>
      </w:r>
      <w:r w:rsidR="002D42C7" w:rsidRPr="00BB6220">
        <w:t>link</w:t>
      </w:r>
      <w:r w:rsidR="003D640C">
        <w:t xml:space="preserve"> </w:t>
      </w:r>
      <w:r w:rsidRPr="00BB6220">
        <w:t>between</w:t>
      </w:r>
      <w:r w:rsidR="003D640C">
        <w:t xml:space="preserve"> </w:t>
      </w:r>
      <w:r w:rsidRPr="00BB6220">
        <w:t>being</w:t>
      </w:r>
      <w:r w:rsidR="003D640C">
        <w:t xml:space="preserve"> </w:t>
      </w:r>
      <w:r w:rsidRPr="00BB6220">
        <w:t>able</w:t>
      </w:r>
      <w:r w:rsidR="003D640C">
        <w:t xml:space="preserve"> </w:t>
      </w:r>
      <w:r w:rsidRPr="00BB6220">
        <w:t>to</w:t>
      </w:r>
      <w:r w:rsidR="003D640C">
        <w:t xml:space="preserve"> </w:t>
      </w:r>
      <w:r w:rsidRPr="00BB6220">
        <w:t>speak</w:t>
      </w:r>
      <w:r w:rsidR="003D640C">
        <w:t xml:space="preserve"> </w:t>
      </w:r>
      <w:r w:rsidRPr="00BB6220">
        <w:t>Pacific</w:t>
      </w:r>
      <w:r w:rsidR="003D640C">
        <w:t xml:space="preserve"> </w:t>
      </w:r>
      <w:r w:rsidRPr="00BB6220">
        <w:t>languages</w:t>
      </w:r>
      <w:r w:rsidR="003D640C">
        <w:t xml:space="preserve"> </w:t>
      </w:r>
      <w:r w:rsidRPr="00BB6220">
        <w:t>and</w:t>
      </w:r>
      <w:r w:rsidR="003D640C">
        <w:t xml:space="preserve"> </w:t>
      </w:r>
      <w:r w:rsidRPr="00BB6220">
        <w:t>attend</w:t>
      </w:r>
      <w:r w:rsidR="008E2703" w:rsidRPr="00BB6220">
        <w:t>ing</w:t>
      </w:r>
      <w:r w:rsidR="003D640C">
        <w:t xml:space="preserve"> </w:t>
      </w:r>
      <w:r w:rsidRPr="00BB6220">
        <w:t>church.</w:t>
      </w:r>
      <w:r w:rsidRPr="00BB6220">
        <w:rPr>
          <w:rStyle w:val="FootnoteReference"/>
        </w:rPr>
        <w:footnoteReference w:id="191"/>
      </w:r>
      <w:r w:rsidR="003D640C">
        <w:t xml:space="preserve"> </w:t>
      </w:r>
      <w:r w:rsidRPr="00BB6220">
        <w:t>This</w:t>
      </w:r>
      <w:r w:rsidR="003D640C">
        <w:t xml:space="preserve"> </w:t>
      </w:r>
      <w:r w:rsidRPr="00BB6220">
        <w:t>supports</w:t>
      </w:r>
      <w:r w:rsidR="003D640C">
        <w:t xml:space="preserve"> </w:t>
      </w:r>
      <w:r w:rsidRPr="00BB6220">
        <w:t>the</w:t>
      </w:r>
      <w:r w:rsidR="003D640C">
        <w:t xml:space="preserve"> </w:t>
      </w:r>
      <w:r w:rsidRPr="00BB6220">
        <w:t>notion</w:t>
      </w:r>
      <w:r w:rsidR="003D640C">
        <w:t xml:space="preserve"> </w:t>
      </w:r>
      <w:r w:rsidRPr="00BB6220">
        <w:t>that</w:t>
      </w:r>
      <w:r w:rsidR="003D640C">
        <w:t xml:space="preserve"> </w:t>
      </w:r>
      <w:r w:rsidRPr="00BB6220">
        <w:t>expression</w:t>
      </w:r>
      <w:r w:rsidR="003D640C">
        <w:t xml:space="preserve"> </w:t>
      </w:r>
      <w:r w:rsidRPr="00BB6220">
        <w:t>of</w:t>
      </w:r>
      <w:r w:rsidR="003D640C">
        <w:t xml:space="preserve"> </w:t>
      </w:r>
      <w:r w:rsidRPr="00BB6220">
        <w:t>culture</w:t>
      </w:r>
      <w:r w:rsidR="003D640C">
        <w:t xml:space="preserve"> </w:t>
      </w:r>
      <w:r w:rsidRPr="00BB6220">
        <w:t>and</w:t>
      </w:r>
      <w:r w:rsidR="003D640C">
        <w:t xml:space="preserve"> </w:t>
      </w:r>
      <w:r w:rsidRPr="00BB6220">
        <w:t>religion</w:t>
      </w:r>
      <w:r w:rsidR="003D640C">
        <w:t xml:space="preserve"> </w:t>
      </w:r>
      <w:r w:rsidRPr="00BB6220">
        <w:t>are</w:t>
      </w:r>
      <w:r w:rsidR="003D640C">
        <w:t xml:space="preserve"> </w:t>
      </w:r>
      <w:r w:rsidRPr="00BB6220">
        <w:t>deeply</w:t>
      </w:r>
      <w:r w:rsidR="003D640C">
        <w:t xml:space="preserve"> </w:t>
      </w:r>
      <w:r w:rsidRPr="00BB6220">
        <w:t>connected</w:t>
      </w:r>
      <w:r w:rsidR="003D640C">
        <w:t xml:space="preserve"> </w:t>
      </w:r>
      <w:r w:rsidRPr="00BB6220">
        <w:t>within</w:t>
      </w:r>
      <w:r w:rsidR="003D640C">
        <w:t xml:space="preserve"> </w:t>
      </w:r>
      <w:r w:rsidRPr="00BB6220">
        <w:t>Pacific</w:t>
      </w:r>
      <w:r w:rsidR="003D640C">
        <w:t xml:space="preserve"> </w:t>
      </w:r>
      <w:r w:rsidRPr="00BB6220">
        <w:t>communities</w:t>
      </w:r>
      <w:r w:rsidR="003D640C">
        <w:t xml:space="preserve"> </w:t>
      </w:r>
      <w:r w:rsidRPr="00BB6220">
        <w:t>in</w:t>
      </w:r>
      <w:r w:rsidR="003D640C">
        <w:t xml:space="preserve"> </w:t>
      </w:r>
      <w:r w:rsidRPr="00BB6220">
        <w:t>Aotearoa.</w:t>
      </w:r>
    </w:p>
    <w:p w14:paraId="417EEA3F" w14:textId="7C0680CB" w:rsidR="00E95B27" w:rsidRPr="00BB6220" w:rsidRDefault="00AC7AAE" w:rsidP="00747446">
      <w:r>
        <w:t>Pacific</w:t>
      </w:r>
      <w:r w:rsidR="003D640C">
        <w:t xml:space="preserve"> </w:t>
      </w:r>
      <w:r>
        <w:t>survivors</w:t>
      </w:r>
      <w:r w:rsidR="003D640C">
        <w:t xml:space="preserve"> </w:t>
      </w:r>
      <w:r w:rsidR="00F97E3F" w:rsidRPr="00BB6220">
        <w:t>point</w:t>
      </w:r>
      <w:r w:rsidR="00F2128E">
        <w:t>ed</w:t>
      </w:r>
      <w:r w:rsidR="003D640C">
        <w:t xml:space="preserve"> </w:t>
      </w:r>
      <w:r w:rsidR="00F97E3F" w:rsidRPr="00BB6220">
        <w:t>to</w:t>
      </w:r>
      <w:r w:rsidR="003D640C">
        <w:t xml:space="preserve"> </w:t>
      </w:r>
      <w:r w:rsidR="00F97E3F" w:rsidRPr="00BB6220">
        <w:t>a</w:t>
      </w:r>
      <w:r w:rsidR="003D640C">
        <w:t xml:space="preserve"> </w:t>
      </w:r>
      <w:r w:rsidR="00F97E3F" w:rsidRPr="00BB6220">
        <w:t>loss</w:t>
      </w:r>
      <w:r w:rsidR="003D640C">
        <w:t xml:space="preserve"> </w:t>
      </w:r>
      <w:r w:rsidR="00F97E3F" w:rsidRPr="00BB6220">
        <w:t>of</w:t>
      </w:r>
      <w:r w:rsidR="003D640C">
        <w:t xml:space="preserve"> </w:t>
      </w:r>
      <w:r w:rsidR="00F97E3F" w:rsidRPr="00BB6220">
        <w:t>respect</w:t>
      </w:r>
      <w:r w:rsidR="003D640C">
        <w:t xml:space="preserve"> </w:t>
      </w:r>
      <w:r w:rsidR="00F97E3F" w:rsidRPr="00BB6220">
        <w:t>for</w:t>
      </w:r>
      <w:r w:rsidR="003D640C">
        <w:t xml:space="preserve"> </w:t>
      </w:r>
      <w:r w:rsidR="00E1774E">
        <w:t>I</w:t>
      </w:r>
      <w:r w:rsidR="00F97E3F" w:rsidRPr="00BB6220">
        <w:t>ndigenous</w:t>
      </w:r>
      <w:r w:rsidR="003D640C">
        <w:t xml:space="preserve"> </w:t>
      </w:r>
      <w:r w:rsidR="00F97E3F" w:rsidRPr="00BB6220">
        <w:t>culture</w:t>
      </w:r>
      <w:r w:rsidR="003D640C">
        <w:t xml:space="preserve"> </w:t>
      </w:r>
      <w:r w:rsidR="00F97E3F" w:rsidRPr="00BB6220">
        <w:t>and</w:t>
      </w:r>
      <w:r w:rsidR="003D640C">
        <w:t xml:space="preserve"> </w:t>
      </w:r>
      <w:r w:rsidR="00F97E3F" w:rsidRPr="00BB6220">
        <w:t>knowledge</w:t>
      </w:r>
      <w:r w:rsidR="003D640C">
        <w:t xml:space="preserve"> </w:t>
      </w:r>
      <w:r w:rsidR="00F97E3F" w:rsidRPr="00BB6220">
        <w:t>that</w:t>
      </w:r>
      <w:r w:rsidR="003D640C">
        <w:t xml:space="preserve"> </w:t>
      </w:r>
      <w:r w:rsidR="00F97E3F" w:rsidRPr="00BB6220">
        <w:t>included</w:t>
      </w:r>
      <w:r w:rsidR="003D640C">
        <w:t xml:space="preserve"> </w:t>
      </w:r>
      <w:r w:rsidR="00F97E3F" w:rsidRPr="00BB6220">
        <w:t>inclusive</w:t>
      </w:r>
      <w:r w:rsidR="003D640C">
        <w:t xml:space="preserve"> </w:t>
      </w:r>
      <w:r w:rsidR="00F97E3F" w:rsidRPr="00BB6220">
        <w:t>concepts</w:t>
      </w:r>
      <w:r w:rsidR="003D640C">
        <w:t xml:space="preserve"> </w:t>
      </w:r>
      <w:r w:rsidR="00F97E3F" w:rsidRPr="00BB6220">
        <w:t>of</w:t>
      </w:r>
      <w:r w:rsidR="003D640C">
        <w:t xml:space="preserve"> </w:t>
      </w:r>
      <w:r w:rsidR="00F97E3F" w:rsidRPr="00BB6220">
        <w:t>sexuality</w:t>
      </w:r>
      <w:r w:rsidR="003D640C">
        <w:t xml:space="preserve"> </w:t>
      </w:r>
      <w:r w:rsidR="00F97E3F" w:rsidRPr="00BB6220">
        <w:t>and</w:t>
      </w:r>
      <w:r w:rsidR="003D640C">
        <w:t xml:space="preserve"> </w:t>
      </w:r>
      <w:r w:rsidR="00F97E3F" w:rsidRPr="00BB6220">
        <w:t>gender.</w:t>
      </w:r>
      <w:r w:rsidR="003D640C">
        <w:t xml:space="preserve"> </w:t>
      </w:r>
      <w:r w:rsidR="00F97E3F" w:rsidRPr="00BB6220">
        <w:t>Instead,</w:t>
      </w:r>
      <w:r w:rsidR="003D640C">
        <w:t xml:space="preserve"> </w:t>
      </w:r>
      <w:r w:rsidR="00F97E3F" w:rsidRPr="00BB6220">
        <w:t>they</w:t>
      </w:r>
      <w:r w:rsidR="003D640C">
        <w:t xml:space="preserve"> </w:t>
      </w:r>
      <w:r w:rsidR="00F97E3F" w:rsidRPr="00BB6220">
        <w:t>felt</w:t>
      </w:r>
      <w:r w:rsidR="003D640C">
        <w:t xml:space="preserve"> </w:t>
      </w:r>
      <w:r w:rsidR="00F97E3F" w:rsidRPr="00BB6220">
        <w:t>conversion</w:t>
      </w:r>
      <w:r w:rsidR="003D640C">
        <w:t xml:space="preserve"> </w:t>
      </w:r>
      <w:r w:rsidR="00F97E3F" w:rsidRPr="00BB6220">
        <w:t>practices</w:t>
      </w:r>
      <w:r w:rsidR="003D640C">
        <w:t xml:space="preserve"> </w:t>
      </w:r>
      <w:r w:rsidR="00F97E3F" w:rsidRPr="00BB6220">
        <w:t>and</w:t>
      </w:r>
      <w:r w:rsidR="003D640C">
        <w:t xml:space="preserve"> </w:t>
      </w:r>
      <w:r w:rsidR="00F97E3F" w:rsidRPr="00BB6220">
        <w:t>religious</w:t>
      </w:r>
      <w:r w:rsidR="003D640C">
        <w:t xml:space="preserve"> </w:t>
      </w:r>
      <w:r w:rsidR="00F97E3F" w:rsidRPr="00BB6220">
        <w:t>ideology</w:t>
      </w:r>
      <w:r w:rsidR="003D640C">
        <w:t xml:space="preserve"> </w:t>
      </w:r>
      <w:r w:rsidR="00F97E3F" w:rsidRPr="00BB6220">
        <w:t>brainwashed</w:t>
      </w:r>
      <w:r w:rsidR="003D640C">
        <w:t xml:space="preserve"> </w:t>
      </w:r>
      <w:r w:rsidR="00F97E3F" w:rsidRPr="00BB6220">
        <w:t>them</w:t>
      </w:r>
      <w:r w:rsidR="003D640C">
        <w:t xml:space="preserve"> </w:t>
      </w:r>
      <w:r w:rsidR="00F97E3F" w:rsidRPr="00BB6220">
        <w:t>to</w:t>
      </w:r>
      <w:r w:rsidR="003D640C">
        <w:t xml:space="preserve"> </w:t>
      </w:r>
      <w:r w:rsidR="00F97E3F" w:rsidRPr="00BB6220">
        <w:t>prefer</w:t>
      </w:r>
      <w:r w:rsidR="003D640C">
        <w:t xml:space="preserve"> </w:t>
      </w:r>
      <w:r w:rsidR="00F97E3F" w:rsidRPr="00BB6220">
        <w:t>rigid</w:t>
      </w:r>
      <w:r w:rsidR="003D640C">
        <w:t xml:space="preserve"> </w:t>
      </w:r>
      <w:r w:rsidR="00F97E3F" w:rsidRPr="00BB6220">
        <w:t>sexual</w:t>
      </w:r>
      <w:r w:rsidR="003D640C">
        <w:t xml:space="preserve"> </w:t>
      </w:r>
      <w:r w:rsidR="00F97E3F" w:rsidRPr="00BB6220">
        <w:t>frameworks,</w:t>
      </w:r>
      <w:r w:rsidR="003D640C">
        <w:t xml:space="preserve"> </w:t>
      </w:r>
      <w:r w:rsidR="00F97E3F" w:rsidRPr="00BB6220">
        <w:t>derivative</w:t>
      </w:r>
      <w:r w:rsidR="003D640C">
        <w:t xml:space="preserve"> </w:t>
      </w:r>
      <w:r w:rsidR="00F97E3F" w:rsidRPr="00BB6220">
        <w:t>of</w:t>
      </w:r>
      <w:r w:rsidR="003D640C">
        <w:t xml:space="preserve"> </w:t>
      </w:r>
      <w:r w:rsidR="00F97E3F" w:rsidRPr="00BB6220">
        <w:t>colonisation</w:t>
      </w:r>
      <w:r w:rsidR="003D640C">
        <w:t xml:space="preserve"> </w:t>
      </w:r>
      <w:r w:rsidR="00F97E3F" w:rsidRPr="00BB6220">
        <w:t>and</w:t>
      </w:r>
      <w:r w:rsidR="003D640C">
        <w:t xml:space="preserve"> </w:t>
      </w:r>
      <w:r w:rsidR="00F97E3F" w:rsidRPr="00BB6220">
        <w:t>white</w:t>
      </w:r>
      <w:r w:rsidR="003D640C">
        <w:t xml:space="preserve"> </w:t>
      </w:r>
      <w:r w:rsidR="00F97E3F" w:rsidRPr="00BB6220">
        <w:t>supremacy.</w:t>
      </w:r>
      <w:r w:rsidR="003D640C">
        <w:t xml:space="preserve"> </w:t>
      </w:r>
      <w:r w:rsidR="00734C17">
        <w:t>To</w:t>
      </w:r>
      <w:r w:rsidR="003D640C">
        <w:t xml:space="preserve"> </w:t>
      </w:r>
      <w:r w:rsidR="00734C17">
        <w:t>explain</w:t>
      </w:r>
      <w:r w:rsidR="003D640C">
        <w:t xml:space="preserve"> </w:t>
      </w:r>
      <w:r w:rsidR="00734C17">
        <w:t>further</w:t>
      </w:r>
      <w:r w:rsidR="002F2BAB" w:rsidRPr="00BB6220">
        <w:t>,</w:t>
      </w:r>
      <w:r w:rsidR="003D640C">
        <w:t xml:space="preserve"> </w:t>
      </w:r>
      <w:r w:rsidR="002F2BAB" w:rsidRPr="00BB6220">
        <w:t>in</w:t>
      </w:r>
      <w:r w:rsidR="003D640C">
        <w:t xml:space="preserve"> </w:t>
      </w:r>
      <w:r w:rsidR="1A8C2F13" w:rsidRPr="00BB6220">
        <w:t>some</w:t>
      </w:r>
      <w:r w:rsidR="003D640C">
        <w:t xml:space="preserve"> </w:t>
      </w:r>
      <w:r w:rsidR="002F2BAB" w:rsidRPr="00BB6220">
        <w:t>conservative</w:t>
      </w:r>
      <w:r w:rsidR="003D640C">
        <w:t xml:space="preserve"> </w:t>
      </w:r>
      <w:r w:rsidR="002F2BAB" w:rsidRPr="00BB6220">
        <w:t>religious</w:t>
      </w:r>
      <w:r w:rsidR="003D640C">
        <w:t xml:space="preserve"> </w:t>
      </w:r>
      <w:r w:rsidR="002F2BAB" w:rsidRPr="00BB6220">
        <w:t>settings,</w:t>
      </w:r>
      <w:r w:rsidR="003D640C">
        <w:t xml:space="preserve"> </w:t>
      </w:r>
      <w:r w:rsidR="10914913" w:rsidRPr="00BB6220">
        <w:t>some</w:t>
      </w:r>
      <w:r w:rsidR="003D640C">
        <w:t xml:space="preserve"> </w:t>
      </w:r>
      <w:r w:rsidR="00971CE9" w:rsidRPr="00BB6220">
        <w:t>non-white</w:t>
      </w:r>
      <w:r w:rsidR="003D640C">
        <w:t xml:space="preserve"> </w:t>
      </w:r>
      <w:r w:rsidR="00F5498D" w:rsidRPr="00BB6220">
        <w:t>cultur</w:t>
      </w:r>
      <w:r w:rsidR="18BBB07B" w:rsidRPr="00BB6220">
        <w:t>al</w:t>
      </w:r>
      <w:r w:rsidR="003D640C">
        <w:t xml:space="preserve"> </w:t>
      </w:r>
      <w:r w:rsidR="18BBB07B" w:rsidRPr="00BB6220">
        <w:t>practices</w:t>
      </w:r>
      <w:r w:rsidR="003D640C">
        <w:t xml:space="preserve"> </w:t>
      </w:r>
      <w:r w:rsidR="0EE9108A" w:rsidRPr="00BB6220">
        <w:t>can</w:t>
      </w:r>
      <w:r w:rsidR="003D640C">
        <w:t xml:space="preserve"> </w:t>
      </w:r>
      <w:r w:rsidR="0EE9108A" w:rsidRPr="00BB6220">
        <w:t>be</w:t>
      </w:r>
      <w:r w:rsidR="003D640C">
        <w:t xml:space="preserve"> </w:t>
      </w:r>
      <w:r w:rsidR="00F5498D" w:rsidRPr="00BB6220">
        <w:t>seen</w:t>
      </w:r>
      <w:r w:rsidR="003D640C">
        <w:t xml:space="preserve"> </w:t>
      </w:r>
      <w:r w:rsidR="00F5498D" w:rsidRPr="00BB6220">
        <w:t>as</w:t>
      </w:r>
      <w:r w:rsidR="003D640C">
        <w:t xml:space="preserve"> </w:t>
      </w:r>
      <w:r w:rsidR="002F2BAB" w:rsidRPr="00BB6220">
        <w:t>being</w:t>
      </w:r>
      <w:r w:rsidR="003D640C">
        <w:t xml:space="preserve"> </w:t>
      </w:r>
      <w:r w:rsidR="5986CF21" w:rsidRPr="00BB6220">
        <w:t>a</w:t>
      </w:r>
      <w:r w:rsidR="00507800" w:rsidRPr="00BB6220">
        <w:t>nalogous</w:t>
      </w:r>
      <w:r w:rsidR="003D640C">
        <w:t xml:space="preserve"> </w:t>
      </w:r>
      <w:r w:rsidR="00507800" w:rsidRPr="00BB6220">
        <w:t>to</w:t>
      </w:r>
      <w:r w:rsidR="003D640C">
        <w:t xml:space="preserve"> </w:t>
      </w:r>
      <w:r w:rsidR="002F2BAB" w:rsidRPr="00BB6220">
        <w:t>paganism</w:t>
      </w:r>
      <w:r w:rsidR="003D640C">
        <w:t xml:space="preserve"> </w:t>
      </w:r>
      <w:r w:rsidR="002F2BAB" w:rsidRPr="00BB6220">
        <w:t>and</w:t>
      </w:r>
      <w:r w:rsidR="003D640C">
        <w:t xml:space="preserve"> </w:t>
      </w:r>
      <w:r w:rsidR="002F2BAB" w:rsidRPr="00BB6220">
        <w:t>therefore</w:t>
      </w:r>
      <w:r w:rsidR="003D640C">
        <w:t xml:space="preserve"> </w:t>
      </w:r>
      <w:r w:rsidR="00575752" w:rsidRPr="00BB6220">
        <w:t>antithetica</w:t>
      </w:r>
      <w:r w:rsidR="002F2BAB" w:rsidRPr="00BB6220">
        <w:t>l</w:t>
      </w:r>
      <w:r w:rsidR="003D640C">
        <w:t xml:space="preserve"> </w:t>
      </w:r>
      <w:r w:rsidR="002F2BAB" w:rsidRPr="00BB6220">
        <w:t>to</w:t>
      </w:r>
      <w:r w:rsidR="003D640C">
        <w:t xml:space="preserve"> </w:t>
      </w:r>
      <w:r w:rsidR="00331273">
        <w:t>W</w:t>
      </w:r>
      <w:r w:rsidR="00F21BC8" w:rsidRPr="00BB6220">
        <w:t>estern</w:t>
      </w:r>
      <w:r w:rsidR="003D640C">
        <w:t xml:space="preserve"> </w:t>
      </w:r>
      <w:r w:rsidR="003C0ECC" w:rsidRPr="00BB6220">
        <w:t>Christianity</w:t>
      </w:r>
      <w:r w:rsidR="000C75E6">
        <w:t>,</w:t>
      </w:r>
      <w:r w:rsidR="003D640C">
        <w:t xml:space="preserve"> </w:t>
      </w:r>
      <w:r w:rsidR="003C0ECC" w:rsidRPr="00BB6220">
        <w:t>which</w:t>
      </w:r>
      <w:r w:rsidR="003D640C">
        <w:t xml:space="preserve"> </w:t>
      </w:r>
      <w:r w:rsidR="003C0ECC" w:rsidRPr="00BB6220">
        <w:t>is</w:t>
      </w:r>
      <w:r w:rsidR="003D640C">
        <w:t xml:space="preserve"> </w:t>
      </w:r>
      <w:r w:rsidR="003C0ECC" w:rsidRPr="00BB6220">
        <w:t>largely</w:t>
      </w:r>
      <w:r w:rsidR="003D640C">
        <w:t xml:space="preserve"> </w:t>
      </w:r>
      <w:r w:rsidR="003C0ECC" w:rsidRPr="00BB6220">
        <w:t>based</w:t>
      </w:r>
      <w:r w:rsidR="003D640C">
        <w:t xml:space="preserve"> </w:t>
      </w:r>
      <w:r w:rsidR="003C0ECC" w:rsidRPr="00BB6220">
        <w:t>on</w:t>
      </w:r>
      <w:r w:rsidR="003D640C">
        <w:t xml:space="preserve"> </w:t>
      </w:r>
      <w:r w:rsidR="00F21BC8" w:rsidRPr="00BB6220">
        <w:t>Eurocentric</w:t>
      </w:r>
      <w:r w:rsidR="003D640C">
        <w:t xml:space="preserve"> </w:t>
      </w:r>
      <w:r w:rsidR="5CC75988" w:rsidRPr="00BB6220">
        <w:t>concepts.</w:t>
      </w:r>
      <w:r w:rsidR="003D640C">
        <w:t xml:space="preserve">   </w:t>
      </w:r>
    </w:p>
    <w:p w14:paraId="6B001DEB" w14:textId="7410ABAC" w:rsidR="00E1774E" w:rsidRDefault="00984C21" w:rsidP="00747446">
      <w:r w:rsidRPr="00BB6220">
        <w:t>Religious</w:t>
      </w:r>
      <w:r w:rsidR="003D640C">
        <w:t xml:space="preserve"> </w:t>
      </w:r>
      <w:r w:rsidRPr="00BB6220">
        <w:t>Eurocentrism</w:t>
      </w:r>
      <w:r w:rsidR="003D640C">
        <w:t xml:space="preserve"> </w:t>
      </w:r>
      <w:r w:rsidR="3ABA756C" w:rsidRPr="00BB6220">
        <w:t>is</w:t>
      </w:r>
      <w:r w:rsidR="003D640C">
        <w:t xml:space="preserve"> </w:t>
      </w:r>
      <w:r w:rsidR="3ABA756C" w:rsidRPr="00BB6220">
        <w:t>most</w:t>
      </w:r>
      <w:r w:rsidR="003D640C">
        <w:t xml:space="preserve"> </w:t>
      </w:r>
      <w:r w:rsidR="3ABA756C" w:rsidRPr="00BB6220">
        <w:t>evident</w:t>
      </w:r>
      <w:r w:rsidR="003D640C">
        <w:t xml:space="preserve"> </w:t>
      </w:r>
      <w:r w:rsidR="3ABA756C" w:rsidRPr="00BB6220">
        <w:t>in</w:t>
      </w:r>
      <w:r w:rsidR="003D640C">
        <w:t xml:space="preserve"> </w:t>
      </w:r>
      <w:r w:rsidR="3ABA756C" w:rsidRPr="00BB6220">
        <w:t>debates</w:t>
      </w:r>
      <w:r w:rsidR="003D640C">
        <w:t xml:space="preserve"> </w:t>
      </w:r>
      <w:r w:rsidR="3ABA756C" w:rsidRPr="00BB6220">
        <w:t>about</w:t>
      </w:r>
      <w:r w:rsidR="003D640C">
        <w:t xml:space="preserve"> </w:t>
      </w:r>
      <w:r w:rsidR="3ABA756C" w:rsidRPr="00BB6220">
        <w:t>sexuality</w:t>
      </w:r>
      <w:r w:rsidR="003D640C">
        <w:t xml:space="preserve"> </w:t>
      </w:r>
      <w:r w:rsidR="3ABA756C" w:rsidRPr="00BB6220">
        <w:t>or</w:t>
      </w:r>
      <w:r w:rsidR="003D640C">
        <w:t xml:space="preserve"> </w:t>
      </w:r>
      <w:r w:rsidR="3ABA756C" w:rsidRPr="00BB6220">
        <w:t>marriage</w:t>
      </w:r>
      <w:r w:rsidR="003D640C">
        <w:t xml:space="preserve"> </w:t>
      </w:r>
      <w:r w:rsidR="3ABA756C" w:rsidRPr="00BB6220">
        <w:t>equality,</w:t>
      </w:r>
      <w:r w:rsidR="003D640C">
        <w:t xml:space="preserve"> </w:t>
      </w:r>
      <w:r w:rsidRPr="00BB6220">
        <w:t>which</w:t>
      </w:r>
      <w:r w:rsidR="003D640C">
        <w:t xml:space="preserve"> </w:t>
      </w:r>
      <w:r w:rsidRPr="00BB6220">
        <w:t>can</w:t>
      </w:r>
      <w:r w:rsidR="003D640C">
        <w:t xml:space="preserve"> </w:t>
      </w:r>
      <w:r w:rsidR="3ABA756C" w:rsidRPr="00BB6220">
        <w:t>caus</w:t>
      </w:r>
      <w:r w:rsidRPr="00BB6220">
        <w:t>e</w:t>
      </w:r>
      <w:r w:rsidR="003D640C">
        <w:t xml:space="preserve"> </w:t>
      </w:r>
      <w:r w:rsidRPr="00BB6220">
        <w:t>Pacific</w:t>
      </w:r>
      <w:r w:rsidR="003D640C">
        <w:t xml:space="preserve"> </w:t>
      </w:r>
      <w:r w:rsidR="3ABA756C" w:rsidRPr="00BB6220">
        <w:t>political</w:t>
      </w:r>
      <w:r w:rsidR="003D640C">
        <w:t xml:space="preserve"> </w:t>
      </w:r>
      <w:r w:rsidR="3ABA756C" w:rsidRPr="00BB6220">
        <w:t>leaders</w:t>
      </w:r>
      <w:r w:rsidR="003D640C">
        <w:t xml:space="preserve"> </w:t>
      </w:r>
      <w:r w:rsidR="3ABA756C" w:rsidRPr="00BB6220">
        <w:t>to</w:t>
      </w:r>
      <w:r w:rsidR="003D640C">
        <w:t xml:space="preserve"> </w:t>
      </w:r>
      <w:r w:rsidR="3ABA756C" w:rsidRPr="00BB6220">
        <w:t>reject</w:t>
      </w:r>
      <w:r w:rsidR="003D640C">
        <w:t xml:space="preserve"> </w:t>
      </w:r>
      <w:r w:rsidR="3ABA756C" w:rsidRPr="00BB6220">
        <w:t>acceptance</w:t>
      </w:r>
      <w:r w:rsidR="003D640C">
        <w:t xml:space="preserve"> </w:t>
      </w:r>
      <w:r w:rsidRPr="00BB6220">
        <w:t>by</w:t>
      </w:r>
      <w:r w:rsidR="003D640C">
        <w:t xml:space="preserve"> </w:t>
      </w:r>
      <w:r w:rsidR="3ABA756C" w:rsidRPr="00BB6220">
        <w:t>claiming</w:t>
      </w:r>
      <w:r w:rsidR="003D640C">
        <w:t xml:space="preserve"> </w:t>
      </w:r>
      <w:r w:rsidR="3ABA756C" w:rsidRPr="00BB6220">
        <w:t>their</w:t>
      </w:r>
      <w:r w:rsidR="003D640C">
        <w:t xml:space="preserve"> </w:t>
      </w:r>
      <w:r w:rsidR="3ABA756C" w:rsidRPr="00BB6220">
        <w:t>nations</w:t>
      </w:r>
      <w:r w:rsidR="003D640C">
        <w:t xml:space="preserve"> </w:t>
      </w:r>
      <w:r w:rsidR="3ABA756C" w:rsidRPr="00BB6220">
        <w:t>are</w:t>
      </w:r>
      <w:r w:rsidR="003D640C">
        <w:t xml:space="preserve"> </w:t>
      </w:r>
      <w:r w:rsidR="3ABA756C" w:rsidRPr="00BB6220">
        <w:t>Christian</w:t>
      </w:r>
      <w:r w:rsidR="003D640C">
        <w:t xml:space="preserve"> </w:t>
      </w:r>
      <w:r w:rsidR="3ABA756C" w:rsidRPr="00BB6220">
        <w:t>countries.</w:t>
      </w:r>
      <w:r w:rsidR="008A4D8C" w:rsidRPr="00BB6220">
        <w:rPr>
          <w:rStyle w:val="FootnoteReference"/>
        </w:rPr>
        <w:footnoteReference w:id="192"/>
      </w:r>
      <w:r w:rsidR="003D640C">
        <w:t xml:space="preserve"> </w:t>
      </w:r>
      <w:r w:rsidR="00734C17">
        <w:t>Between</w:t>
      </w:r>
      <w:r w:rsidR="003D640C">
        <w:t xml:space="preserve"> </w:t>
      </w:r>
      <w:r w:rsidR="00734C17">
        <w:t>2018</w:t>
      </w:r>
      <w:r w:rsidR="000C75E6">
        <w:t xml:space="preserve"> and 20</w:t>
      </w:r>
      <w:r w:rsidR="00734C17">
        <w:t>22</w:t>
      </w:r>
      <w:r w:rsidR="76D29A8A" w:rsidRPr="00BB6220">
        <w:t>,</w:t>
      </w:r>
      <w:r w:rsidR="003D640C">
        <w:t xml:space="preserve"> </w:t>
      </w:r>
      <w:r w:rsidR="04676E00" w:rsidRPr="00BB6220">
        <w:t>there</w:t>
      </w:r>
      <w:r w:rsidR="003D640C">
        <w:t xml:space="preserve"> </w:t>
      </w:r>
      <w:r w:rsidR="00E1774E">
        <w:t>were</w:t>
      </w:r>
      <w:r w:rsidR="003D640C">
        <w:t xml:space="preserve"> </w:t>
      </w:r>
      <w:r w:rsidR="76D29A8A" w:rsidRPr="00BB6220">
        <w:t>high</w:t>
      </w:r>
      <w:r w:rsidR="00E1774E">
        <w:t>-</w:t>
      </w:r>
      <w:r w:rsidR="76D29A8A" w:rsidRPr="00BB6220">
        <w:t>profile</w:t>
      </w:r>
      <w:r w:rsidR="003D640C">
        <w:t xml:space="preserve"> </w:t>
      </w:r>
      <w:r w:rsidR="76D29A8A" w:rsidRPr="00BB6220">
        <w:t>cases</w:t>
      </w:r>
      <w:r w:rsidR="003D640C">
        <w:t xml:space="preserve"> </w:t>
      </w:r>
      <w:r w:rsidR="76D29A8A" w:rsidRPr="00BB6220">
        <w:t>where</w:t>
      </w:r>
      <w:r w:rsidR="003D640C">
        <w:t xml:space="preserve"> </w:t>
      </w:r>
      <w:r w:rsidR="76D29A8A" w:rsidRPr="00BB6220">
        <w:t>Pacific</w:t>
      </w:r>
      <w:r w:rsidR="003D640C">
        <w:t xml:space="preserve"> </w:t>
      </w:r>
      <w:r w:rsidR="76D29A8A" w:rsidRPr="00BB6220">
        <w:t>rugby</w:t>
      </w:r>
      <w:r w:rsidR="003D640C">
        <w:t xml:space="preserve"> </w:t>
      </w:r>
      <w:r w:rsidR="76D29A8A" w:rsidRPr="00BB6220">
        <w:t>union</w:t>
      </w:r>
      <w:r w:rsidR="003D640C">
        <w:t xml:space="preserve"> </w:t>
      </w:r>
      <w:r w:rsidR="76D29A8A" w:rsidRPr="00BB6220">
        <w:t>and</w:t>
      </w:r>
      <w:r w:rsidR="003D640C">
        <w:t xml:space="preserve"> </w:t>
      </w:r>
      <w:r w:rsidR="76D29A8A" w:rsidRPr="00BB6220">
        <w:t>league</w:t>
      </w:r>
      <w:r w:rsidR="003D640C">
        <w:t xml:space="preserve"> </w:t>
      </w:r>
      <w:r w:rsidR="76D29A8A" w:rsidRPr="00BB6220">
        <w:t>players</w:t>
      </w:r>
      <w:r w:rsidR="003D640C">
        <w:t xml:space="preserve"> </w:t>
      </w:r>
      <w:r w:rsidR="00E1774E">
        <w:t>came</w:t>
      </w:r>
      <w:r w:rsidR="003D640C">
        <w:t xml:space="preserve"> </w:t>
      </w:r>
      <w:r w:rsidR="76D29A8A" w:rsidRPr="00BB6220">
        <w:t>under</w:t>
      </w:r>
      <w:r w:rsidR="003D640C">
        <w:t xml:space="preserve"> </w:t>
      </w:r>
      <w:r w:rsidR="76D29A8A" w:rsidRPr="00BB6220">
        <w:t>the</w:t>
      </w:r>
      <w:r w:rsidR="003D640C">
        <w:t xml:space="preserve"> </w:t>
      </w:r>
      <w:r w:rsidR="76D29A8A" w:rsidRPr="00BB6220">
        <w:t>spotlight</w:t>
      </w:r>
      <w:r w:rsidR="003D640C">
        <w:t xml:space="preserve"> </w:t>
      </w:r>
      <w:r w:rsidR="38876F0B" w:rsidRPr="00BB6220">
        <w:t>for</w:t>
      </w:r>
      <w:r w:rsidR="003D640C">
        <w:t xml:space="preserve"> </w:t>
      </w:r>
      <w:r w:rsidR="4095ECB0" w:rsidRPr="00BB6220">
        <w:t>citing</w:t>
      </w:r>
      <w:r w:rsidR="003D640C">
        <w:t xml:space="preserve"> </w:t>
      </w:r>
      <w:r w:rsidR="4095ECB0" w:rsidRPr="00BB6220">
        <w:t>religious</w:t>
      </w:r>
      <w:r w:rsidR="003D640C">
        <w:t xml:space="preserve"> </w:t>
      </w:r>
      <w:r w:rsidR="4095ECB0" w:rsidRPr="00BB6220">
        <w:t>reasons</w:t>
      </w:r>
      <w:r w:rsidR="003D640C">
        <w:t xml:space="preserve"> </w:t>
      </w:r>
      <w:r w:rsidRPr="00BB6220">
        <w:t>for</w:t>
      </w:r>
      <w:r w:rsidR="003D640C">
        <w:t xml:space="preserve"> </w:t>
      </w:r>
      <w:r w:rsidR="4095ECB0" w:rsidRPr="00BB6220">
        <w:t>why</w:t>
      </w:r>
      <w:r w:rsidR="003D640C">
        <w:t xml:space="preserve"> </w:t>
      </w:r>
      <w:r w:rsidR="4095ECB0" w:rsidRPr="00BB6220">
        <w:t>they</w:t>
      </w:r>
      <w:r w:rsidR="003D640C">
        <w:t xml:space="preserve"> </w:t>
      </w:r>
      <w:r w:rsidRPr="00BB6220">
        <w:t>do</w:t>
      </w:r>
      <w:r w:rsidR="003D640C">
        <w:t xml:space="preserve"> </w:t>
      </w:r>
      <w:r w:rsidR="4095ECB0" w:rsidRPr="00BB6220">
        <w:t>not</w:t>
      </w:r>
      <w:r w:rsidR="003D640C">
        <w:t xml:space="preserve"> </w:t>
      </w:r>
      <w:r w:rsidR="4095ECB0" w:rsidRPr="00BB6220">
        <w:t>affir</w:t>
      </w:r>
      <w:r w:rsidRPr="00BB6220">
        <w:t>m</w:t>
      </w:r>
      <w:r w:rsidR="003D640C">
        <w:t xml:space="preserve"> </w:t>
      </w:r>
      <w:r w:rsidR="4095ECB0" w:rsidRPr="00BB6220">
        <w:t>homosexuality</w:t>
      </w:r>
      <w:r w:rsidR="006A5CB4">
        <w:t>.</w:t>
      </w:r>
      <w:r w:rsidR="003315C2">
        <w:rPr>
          <w:rStyle w:val="FootnoteReference"/>
        </w:rPr>
        <w:footnoteReference w:id="193"/>
      </w:r>
      <w:r w:rsidR="003D640C">
        <w:t xml:space="preserve"> </w:t>
      </w:r>
      <w:r w:rsidR="4095ECB0" w:rsidRPr="00BB6220">
        <w:t>The</w:t>
      </w:r>
      <w:r w:rsidR="003D640C">
        <w:t xml:space="preserve"> </w:t>
      </w:r>
      <w:r w:rsidRPr="00BB6220">
        <w:t>public</w:t>
      </w:r>
      <w:r w:rsidR="003D640C">
        <w:t xml:space="preserve"> </w:t>
      </w:r>
      <w:r w:rsidRPr="00BB6220">
        <w:t>interventions</w:t>
      </w:r>
      <w:r w:rsidR="003D640C">
        <w:t xml:space="preserve"> </w:t>
      </w:r>
      <w:r w:rsidRPr="00BB6220">
        <w:t>of</w:t>
      </w:r>
      <w:r w:rsidR="003D640C">
        <w:t xml:space="preserve"> </w:t>
      </w:r>
      <w:r w:rsidRPr="00BB6220">
        <w:t>these</w:t>
      </w:r>
      <w:r w:rsidR="003D640C">
        <w:t xml:space="preserve"> </w:t>
      </w:r>
      <w:r w:rsidRPr="00BB6220">
        <w:t>high-profile</w:t>
      </w:r>
      <w:r w:rsidR="003D640C">
        <w:t xml:space="preserve"> </w:t>
      </w:r>
      <w:r w:rsidRPr="00BB6220">
        <w:t>figures</w:t>
      </w:r>
      <w:r w:rsidR="003D640C">
        <w:t xml:space="preserve"> </w:t>
      </w:r>
      <w:r w:rsidR="0DAFC6A8" w:rsidRPr="00BB6220">
        <w:t>led</w:t>
      </w:r>
      <w:r w:rsidR="003D640C">
        <w:t xml:space="preserve"> </w:t>
      </w:r>
      <w:r w:rsidR="14BE2043" w:rsidRPr="00BB6220">
        <w:t>to</w:t>
      </w:r>
      <w:r w:rsidR="003D640C">
        <w:t xml:space="preserve"> </w:t>
      </w:r>
      <w:r w:rsidR="4095ECB0" w:rsidRPr="00BB6220">
        <w:t>divisive</w:t>
      </w:r>
      <w:r w:rsidR="003D640C">
        <w:t xml:space="preserve"> </w:t>
      </w:r>
      <w:r w:rsidR="4095ECB0" w:rsidRPr="00BB6220">
        <w:t>debate</w:t>
      </w:r>
      <w:r w:rsidR="12A1E24C" w:rsidRPr="00BB6220">
        <w:t>s</w:t>
      </w:r>
      <w:r w:rsidR="003D640C">
        <w:t xml:space="preserve"> </w:t>
      </w:r>
      <w:r w:rsidR="4095ECB0" w:rsidRPr="00BB6220">
        <w:t>in</w:t>
      </w:r>
      <w:r w:rsidR="003D640C">
        <w:t xml:space="preserve"> </w:t>
      </w:r>
      <w:r w:rsidR="4095ECB0" w:rsidRPr="00BB6220">
        <w:t>wider</w:t>
      </w:r>
      <w:r w:rsidR="003D640C">
        <w:t xml:space="preserve"> </w:t>
      </w:r>
      <w:r w:rsidR="4095ECB0" w:rsidRPr="00BB6220">
        <w:t>so</w:t>
      </w:r>
      <w:r w:rsidR="72958071" w:rsidRPr="00BB6220">
        <w:t>ciety</w:t>
      </w:r>
      <w:r w:rsidR="003D640C">
        <w:t xml:space="preserve"> </w:t>
      </w:r>
      <w:r w:rsidR="0D9C6E01" w:rsidRPr="00BB6220">
        <w:t>that</w:t>
      </w:r>
      <w:r w:rsidR="003D640C">
        <w:t xml:space="preserve"> </w:t>
      </w:r>
      <w:r w:rsidR="69309971" w:rsidRPr="00BB6220">
        <w:t>have</w:t>
      </w:r>
      <w:r w:rsidR="003D640C">
        <w:t xml:space="preserve"> </w:t>
      </w:r>
      <w:r w:rsidR="0D9C6E01" w:rsidRPr="00BB6220">
        <w:t>also</w:t>
      </w:r>
      <w:r w:rsidR="003D640C">
        <w:t xml:space="preserve"> </w:t>
      </w:r>
      <w:r w:rsidR="36F86B48" w:rsidRPr="00BB6220">
        <w:t>been</w:t>
      </w:r>
      <w:r w:rsidR="003D640C">
        <w:t xml:space="preserve"> </w:t>
      </w:r>
      <w:r w:rsidR="36F86B48" w:rsidRPr="00BB6220">
        <w:t>replicated</w:t>
      </w:r>
      <w:r w:rsidR="003D640C">
        <w:t xml:space="preserve"> </w:t>
      </w:r>
      <w:r w:rsidR="36F86B48" w:rsidRPr="00BB6220">
        <w:t>in</w:t>
      </w:r>
      <w:r w:rsidR="003D640C">
        <w:t xml:space="preserve"> </w:t>
      </w:r>
      <w:r w:rsidR="36F86B48" w:rsidRPr="00BB6220">
        <w:t>Pacific</w:t>
      </w:r>
      <w:r w:rsidR="003D640C">
        <w:t xml:space="preserve"> </w:t>
      </w:r>
      <w:r w:rsidR="36F86B48" w:rsidRPr="00BB6220">
        <w:t>settings</w:t>
      </w:r>
      <w:r w:rsidR="4638C6AF" w:rsidRPr="00BB6220">
        <w:t>.</w:t>
      </w:r>
      <w:r w:rsidR="003D640C">
        <w:t xml:space="preserve"> </w:t>
      </w:r>
      <w:r w:rsidR="00C37D5E" w:rsidRPr="00BB6220">
        <w:t>While</w:t>
      </w:r>
      <w:r w:rsidR="003D640C">
        <w:t xml:space="preserve"> </w:t>
      </w:r>
      <w:r w:rsidR="00C37D5E" w:rsidRPr="00BB6220">
        <w:t>many</w:t>
      </w:r>
      <w:r w:rsidR="003D640C">
        <w:t xml:space="preserve"> </w:t>
      </w:r>
      <w:r w:rsidR="00C37D5E" w:rsidRPr="00BB6220">
        <w:t>Pacific</w:t>
      </w:r>
      <w:r w:rsidR="003D640C">
        <w:t xml:space="preserve"> </w:t>
      </w:r>
      <w:r w:rsidR="00C37D5E" w:rsidRPr="00BB6220">
        <w:t>voices</w:t>
      </w:r>
      <w:r w:rsidR="008A323B">
        <w:t>,</w:t>
      </w:r>
      <w:r w:rsidR="003D640C">
        <w:t xml:space="preserve"> </w:t>
      </w:r>
      <w:r w:rsidR="008A323B">
        <w:t>including</w:t>
      </w:r>
      <w:r w:rsidR="003D640C">
        <w:t xml:space="preserve"> </w:t>
      </w:r>
      <w:r w:rsidR="008A323B">
        <w:t>some</w:t>
      </w:r>
      <w:r w:rsidR="003D640C">
        <w:t xml:space="preserve"> </w:t>
      </w:r>
      <w:r w:rsidR="008A323B">
        <w:t>religious</w:t>
      </w:r>
      <w:r w:rsidR="003D640C">
        <w:t xml:space="preserve"> </w:t>
      </w:r>
      <w:r w:rsidR="008A323B">
        <w:t>leaders,</w:t>
      </w:r>
      <w:r w:rsidR="003D640C">
        <w:t xml:space="preserve"> </w:t>
      </w:r>
      <w:r w:rsidR="00C37D5E" w:rsidRPr="00BB6220">
        <w:t>have</w:t>
      </w:r>
      <w:r w:rsidR="003D640C">
        <w:t xml:space="preserve"> </w:t>
      </w:r>
      <w:r w:rsidR="00C37D5E" w:rsidRPr="00BB6220">
        <w:t>spoken</w:t>
      </w:r>
      <w:r w:rsidR="003D640C">
        <w:t xml:space="preserve"> </w:t>
      </w:r>
      <w:r w:rsidR="00C37D5E" w:rsidRPr="00BB6220">
        <w:t>out</w:t>
      </w:r>
      <w:r w:rsidR="003D640C">
        <w:t xml:space="preserve"> </w:t>
      </w:r>
      <w:r w:rsidR="00646EBF" w:rsidRPr="00BB6220">
        <w:t>for</w:t>
      </w:r>
      <w:r w:rsidR="003D640C">
        <w:t xml:space="preserve"> </w:t>
      </w:r>
      <w:r w:rsidR="00646EBF" w:rsidRPr="00BB6220">
        <w:t>inclusion</w:t>
      </w:r>
      <w:r w:rsidR="00C37D5E" w:rsidRPr="00BB6220">
        <w:t>,</w:t>
      </w:r>
      <w:r w:rsidR="003D640C">
        <w:t xml:space="preserve"> </w:t>
      </w:r>
      <w:r w:rsidR="009B5C22">
        <w:t>the</w:t>
      </w:r>
      <w:r w:rsidR="003D640C">
        <w:t xml:space="preserve"> </w:t>
      </w:r>
      <w:r w:rsidR="009B5C22">
        <w:t>most</w:t>
      </w:r>
      <w:r w:rsidR="003D640C">
        <w:t xml:space="preserve"> </w:t>
      </w:r>
      <w:r w:rsidR="009B5C22">
        <w:t>dominant</w:t>
      </w:r>
      <w:r w:rsidR="003D640C">
        <w:t xml:space="preserve"> </w:t>
      </w:r>
      <w:r w:rsidR="009B5C22">
        <w:t>and</w:t>
      </w:r>
      <w:r w:rsidR="003D640C">
        <w:t xml:space="preserve"> </w:t>
      </w:r>
      <w:r w:rsidR="009B5C22">
        <w:t>publicised</w:t>
      </w:r>
      <w:r w:rsidR="003D640C">
        <w:t xml:space="preserve"> </w:t>
      </w:r>
      <w:r w:rsidR="009B5C22">
        <w:t>voices</w:t>
      </w:r>
      <w:r w:rsidR="003D640C">
        <w:t xml:space="preserve"> </w:t>
      </w:r>
      <w:r w:rsidR="00062EA5">
        <w:t>remain</w:t>
      </w:r>
      <w:r w:rsidR="003D640C">
        <w:t xml:space="preserve"> </w:t>
      </w:r>
      <w:r w:rsidR="00062EA5">
        <w:t>those</w:t>
      </w:r>
      <w:r w:rsidR="003D640C">
        <w:t xml:space="preserve"> </w:t>
      </w:r>
      <w:r w:rsidR="00062EA5">
        <w:t>of</w:t>
      </w:r>
      <w:r w:rsidR="003D640C">
        <w:t xml:space="preserve"> </w:t>
      </w:r>
      <w:r w:rsidR="36F86B48" w:rsidRPr="00BB6220">
        <w:t>Pacific</w:t>
      </w:r>
      <w:r w:rsidR="003D640C">
        <w:t xml:space="preserve"> </w:t>
      </w:r>
      <w:r w:rsidR="00646EBF" w:rsidRPr="00BB6220">
        <w:t>religious</w:t>
      </w:r>
      <w:r w:rsidR="003D640C">
        <w:t xml:space="preserve"> </w:t>
      </w:r>
      <w:r w:rsidR="36F86B48" w:rsidRPr="00BB6220">
        <w:t>leaders</w:t>
      </w:r>
      <w:r w:rsidR="003D640C">
        <w:t xml:space="preserve"> </w:t>
      </w:r>
      <w:r w:rsidR="009B5C22">
        <w:t>who</w:t>
      </w:r>
      <w:r w:rsidR="003D640C">
        <w:t xml:space="preserve"> </w:t>
      </w:r>
      <w:r w:rsidR="36F86B48" w:rsidRPr="00BB6220">
        <w:t>support</w:t>
      </w:r>
      <w:r w:rsidR="003D640C">
        <w:t xml:space="preserve"> </w:t>
      </w:r>
      <w:r w:rsidR="05EC2D39" w:rsidRPr="00BB6220">
        <w:t>these</w:t>
      </w:r>
      <w:r w:rsidR="003D640C">
        <w:t xml:space="preserve"> </w:t>
      </w:r>
      <w:r w:rsidR="551B0F00" w:rsidRPr="00BB6220">
        <w:t>athletes</w:t>
      </w:r>
      <w:r w:rsidR="00E1774E">
        <w:t>’</w:t>
      </w:r>
      <w:r w:rsidR="003D640C">
        <w:t xml:space="preserve"> </w:t>
      </w:r>
      <w:r w:rsidR="551B0F00" w:rsidRPr="00BB6220">
        <w:t>views</w:t>
      </w:r>
      <w:r w:rsidR="003D640C">
        <w:t xml:space="preserve"> </w:t>
      </w:r>
      <w:r w:rsidR="551B0F00" w:rsidRPr="00BB6220">
        <w:t>and</w:t>
      </w:r>
      <w:r w:rsidR="003D640C">
        <w:t xml:space="preserve"> </w:t>
      </w:r>
      <w:r w:rsidR="551B0F00" w:rsidRPr="00BB6220">
        <w:t>positions</w:t>
      </w:r>
      <w:r w:rsidR="00B17ABB">
        <w:t>.</w:t>
      </w:r>
      <w:r w:rsidR="003D640C">
        <w:t xml:space="preserve"> </w:t>
      </w:r>
      <w:r w:rsidR="00B17ABB">
        <w:t>T</w:t>
      </w:r>
      <w:r w:rsidR="551B0F00" w:rsidRPr="00BB6220">
        <w:t>raditional</w:t>
      </w:r>
      <w:r w:rsidR="003D640C">
        <w:t xml:space="preserve"> </w:t>
      </w:r>
      <w:r w:rsidR="06FF62A1" w:rsidRPr="00BB6220">
        <w:t>and</w:t>
      </w:r>
      <w:r w:rsidR="003D640C">
        <w:t xml:space="preserve"> </w:t>
      </w:r>
      <w:r w:rsidR="06FF62A1" w:rsidRPr="00BB6220">
        <w:t>biblical</w:t>
      </w:r>
      <w:r w:rsidR="003D640C">
        <w:t xml:space="preserve"> </w:t>
      </w:r>
      <w:r w:rsidR="32F7D078" w:rsidRPr="00BB6220">
        <w:t>teachings</w:t>
      </w:r>
      <w:r w:rsidR="003D640C">
        <w:t xml:space="preserve"> </w:t>
      </w:r>
      <w:r w:rsidR="32F7D078" w:rsidRPr="00BB6220">
        <w:t>a</w:t>
      </w:r>
      <w:r w:rsidRPr="00BB6220">
        <w:t>re</w:t>
      </w:r>
      <w:r w:rsidR="003D640C">
        <w:t xml:space="preserve"> </w:t>
      </w:r>
      <w:r w:rsidRPr="00BB6220">
        <w:t>cited</w:t>
      </w:r>
      <w:r w:rsidR="003D640C">
        <w:t xml:space="preserve"> </w:t>
      </w:r>
      <w:r w:rsidRPr="00BB6220">
        <w:t>as</w:t>
      </w:r>
      <w:r w:rsidR="003D640C">
        <w:t xml:space="preserve"> </w:t>
      </w:r>
      <w:r w:rsidR="32F7D078" w:rsidRPr="00BB6220">
        <w:t>their</w:t>
      </w:r>
      <w:r w:rsidR="003D640C">
        <w:t xml:space="preserve"> </w:t>
      </w:r>
      <w:r w:rsidR="32F7D078" w:rsidRPr="00BB6220">
        <w:t>motivation.</w:t>
      </w:r>
      <w:r w:rsidR="003D640C">
        <w:t xml:space="preserve"> </w:t>
      </w:r>
    </w:p>
    <w:p w14:paraId="3EE7841B" w14:textId="0FF75FEA" w:rsidR="00501068" w:rsidRDefault="1B4EC211" w:rsidP="00747446">
      <w:r w:rsidRPr="00BB6220">
        <w:t>Unfortunately,</w:t>
      </w:r>
      <w:r w:rsidR="003D640C">
        <w:t xml:space="preserve"> </w:t>
      </w:r>
      <w:r w:rsidR="31369BFF" w:rsidRPr="00BB6220">
        <w:t>t</w:t>
      </w:r>
      <w:r w:rsidR="32F7D078" w:rsidRPr="00BB6220">
        <w:t>hese</w:t>
      </w:r>
      <w:r w:rsidR="003D640C">
        <w:t xml:space="preserve"> </w:t>
      </w:r>
      <w:r w:rsidR="32F7D078" w:rsidRPr="00BB6220">
        <w:t>actions</w:t>
      </w:r>
      <w:r w:rsidR="003D640C">
        <w:t xml:space="preserve"> </w:t>
      </w:r>
      <w:r w:rsidR="32F7D078" w:rsidRPr="00BB6220">
        <w:t>send</w:t>
      </w:r>
      <w:r w:rsidR="003D640C">
        <w:t xml:space="preserve"> </w:t>
      </w:r>
      <w:r w:rsidR="32F7D078" w:rsidRPr="00BB6220">
        <w:t>the</w:t>
      </w:r>
      <w:r w:rsidR="003D640C">
        <w:t xml:space="preserve"> </w:t>
      </w:r>
      <w:r w:rsidR="32F7D078" w:rsidRPr="00BB6220">
        <w:t>signal</w:t>
      </w:r>
      <w:r w:rsidR="003D640C">
        <w:t xml:space="preserve"> </w:t>
      </w:r>
      <w:r w:rsidR="32F7D078" w:rsidRPr="00BB6220">
        <w:t>to</w:t>
      </w:r>
      <w:r w:rsidR="003D640C">
        <w:t xml:space="preserve"> </w:t>
      </w:r>
      <w:r w:rsidR="32F7D078" w:rsidRPr="00BB6220">
        <w:t>Pacific</w:t>
      </w:r>
      <w:r w:rsidR="003D640C">
        <w:t xml:space="preserve"> </w:t>
      </w:r>
      <w:r w:rsidR="00984C21" w:rsidRPr="00BB6220">
        <w:t>R</w:t>
      </w:r>
      <w:r w:rsidR="32F7D078" w:rsidRPr="00BB6220">
        <w:t>ainbow</w:t>
      </w:r>
      <w:r w:rsidR="003D640C">
        <w:t xml:space="preserve"> </w:t>
      </w:r>
      <w:r w:rsidR="32F7D078" w:rsidRPr="00BB6220">
        <w:t>communities</w:t>
      </w:r>
      <w:r w:rsidR="003D640C">
        <w:t xml:space="preserve"> </w:t>
      </w:r>
      <w:r w:rsidR="32F7D078" w:rsidRPr="00BB6220">
        <w:t>that</w:t>
      </w:r>
      <w:r w:rsidR="003D640C">
        <w:t xml:space="preserve"> </w:t>
      </w:r>
      <w:r w:rsidR="32F7D078" w:rsidRPr="00BB6220">
        <w:t>they</w:t>
      </w:r>
      <w:r w:rsidR="003D640C">
        <w:t xml:space="preserve"> </w:t>
      </w:r>
      <w:r w:rsidR="32F7D078" w:rsidRPr="00BB6220">
        <w:t>do</w:t>
      </w:r>
      <w:r w:rsidR="003D640C">
        <w:t xml:space="preserve"> </w:t>
      </w:r>
      <w:r w:rsidR="32F7D078" w:rsidRPr="00BB6220">
        <w:t>not</w:t>
      </w:r>
      <w:r w:rsidR="003D640C">
        <w:t xml:space="preserve"> </w:t>
      </w:r>
      <w:r w:rsidR="32F7D078" w:rsidRPr="00BB6220">
        <w:t>belon</w:t>
      </w:r>
      <w:r w:rsidR="087D2EC8" w:rsidRPr="00BB6220">
        <w:t>g</w:t>
      </w:r>
      <w:r w:rsidR="003D640C">
        <w:t xml:space="preserve"> </w:t>
      </w:r>
      <w:r w:rsidR="087D2EC8" w:rsidRPr="00BB6220">
        <w:t>and</w:t>
      </w:r>
      <w:r w:rsidR="003D640C">
        <w:t xml:space="preserve"> </w:t>
      </w:r>
      <w:r w:rsidR="087D2EC8" w:rsidRPr="00BB6220">
        <w:t>that</w:t>
      </w:r>
      <w:r w:rsidR="003D640C">
        <w:t xml:space="preserve"> </w:t>
      </w:r>
      <w:r w:rsidR="087D2EC8" w:rsidRPr="00BB6220">
        <w:t>their</w:t>
      </w:r>
      <w:r w:rsidR="003D640C">
        <w:t xml:space="preserve"> </w:t>
      </w:r>
      <w:r w:rsidR="087D2EC8" w:rsidRPr="00BB6220">
        <w:t>sexuality,</w:t>
      </w:r>
      <w:r w:rsidR="003D640C">
        <w:t xml:space="preserve"> </w:t>
      </w:r>
      <w:r w:rsidR="087D2EC8" w:rsidRPr="00BB6220">
        <w:t>gender</w:t>
      </w:r>
      <w:r w:rsidR="003D640C">
        <w:t xml:space="preserve"> </w:t>
      </w:r>
      <w:r w:rsidR="087D2EC8" w:rsidRPr="00BB6220">
        <w:t>identity</w:t>
      </w:r>
      <w:r w:rsidR="00B17ABB">
        <w:t>,</w:t>
      </w:r>
      <w:r w:rsidR="003D640C">
        <w:t xml:space="preserve"> </w:t>
      </w:r>
      <w:r w:rsidR="087D2EC8" w:rsidRPr="00BB6220">
        <w:t>or</w:t>
      </w:r>
      <w:r w:rsidR="003D640C">
        <w:t xml:space="preserve"> </w:t>
      </w:r>
      <w:r w:rsidR="087D2EC8" w:rsidRPr="00BB6220">
        <w:t>gender</w:t>
      </w:r>
      <w:r w:rsidR="003D640C">
        <w:t xml:space="preserve"> </w:t>
      </w:r>
      <w:r w:rsidR="087D2EC8" w:rsidRPr="00BB6220">
        <w:t>expression</w:t>
      </w:r>
      <w:r w:rsidR="003D640C">
        <w:t xml:space="preserve"> </w:t>
      </w:r>
      <w:r w:rsidR="000366D4" w:rsidRPr="00BB6220">
        <w:t>are</w:t>
      </w:r>
      <w:r w:rsidR="003D640C">
        <w:t xml:space="preserve"> </w:t>
      </w:r>
      <w:r w:rsidR="000366D4" w:rsidRPr="00BB6220">
        <w:t>incompatible</w:t>
      </w:r>
      <w:r w:rsidR="003D640C">
        <w:t xml:space="preserve"> </w:t>
      </w:r>
      <w:r w:rsidR="000366D4" w:rsidRPr="00BB6220">
        <w:t>with</w:t>
      </w:r>
      <w:r w:rsidR="003D640C">
        <w:t xml:space="preserve"> </w:t>
      </w:r>
      <w:r w:rsidR="000366D4" w:rsidRPr="00BB6220">
        <w:t>culture</w:t>
      </w:r>
      <w:r w:rsidR="003D640C">
        <w:t xml:space="preserve"> </w:t>
      </w:r>
      <w:r w:rsidR="000366D4" w:rsidRPr="00BB6220">
        <w:t>and</w:t>
      </w:r>
      <w:r w:rsidR="003D640C">
        <w:t xml:space="preserve"> </w:t>
      </w:r>
      <w:r w:rsidR="000366D4" w:rsidRPr="00BB6220">
        <w:t>religion</w:t>
      </w:r>
      <w:r w:rsidR="550500E4" w:rsidRPr="00BB6220">
        <w:t>.</w:t>
      </w:r>
      <w:r w:rsidR="003D640C">
        <w:t xml:space="preserve"> </w:t>
      </w:r>
      <w:r w:rsidR="550500E4" w:rsidRPr="00BB6220">
        <w:t>This</w:t>
      </w:r>
      <w:r w:rsidR="003D640C">
        <w:t xml:space="preserve"> </w:t>
      </w:r>
      <w:r w:rsidR="550500E4" w:rsidRPr="00BB6220">
        <w:t>is</w:t>
      </w:r>
      <w:r w:rsidR="003D640C">
        <w:t xml:space="preserve"> </w:t>
      </w:r>
      <w:r w:rsidR="550500E4" w:rsidRPr="00BB6220">
        <w:t>a</w:t>
      </w:r>
      <w:r w:rsidR="003D640C">
        <w:t xml:space="preserve"> </w:t>
      </w:r>
      <w:r w:rsidR="550500E4" w:rsidRPr="00BB6220">
        <w:t>recurring</w:t>
      </w:r>
      <w:r w:rsidR="003D640C">
        <w:t xml:space="preserve"> </w:t>
      </w:r>
      <w:r w:rsidR="550500E4" w:rsidRPr="00BB6220">
        <w:t>and</w:t>
      </w:r>
      <w:r w:rsidR="003D640C">
        <w:t xml:space="preserve"> </w:t>
      </w:r>
      <w:r w:rsidR="550500E4" w:rsidRPr="00BB6220">
        <w:t>contemporary</w:t>
      </w:r>
      <w:r w:rsidR="003D640C">
        <w:t xml:space="preserve"> </w:t>
      </w:r>
      <w:r w:rsidR="550500E4" w:rsidRPr="00BB6220">
        <w:t>example</w:t>
      </w:r>
      <w:r w:rsidR="003D640C">
        <w:t xml:space="preserve"> </w:t>
      </w:r>
      <w:r w:rsidR="550500E4" w:rsidRPr="00BB6220">
        <w:t>of</w:t>
      </w:r>
      <w:r w:rsidR="003D640C">
        <w:t xml:space="preserve"> </w:t>
      </w:r>
      <w:r w:rsidR="550500E4" w:rsidRPr="00BB6220">
        <w:t>how</w:t>
      </w:r>
      <w:r w:rsidR="003D640C">
        <w:t xml:space="preserve"> </w:t>
      </w:r>
      <w:r w:rsidR="550500E4" w:rsidRPr="00BB6220">
        <w:t>conversion</w:t>
      </w:r>
      <w:r w:rsidR="003D640C">
        <w:t xml:space="preserve"> </w:t>
      </w:r>
      <w:r w:rsidR="550500E4" w:rsidRPr="00BB6220">
        <w:t>ideology</w:t>
      </w:r>
      <w:r w:rsidR="003D640C">
        <w:t xml:space="preserve"> </w:t>
      </w:r>
      <w:r w:rsidR="550500E4" w:rsidRPr="00BB6220">
        <w:t>manifests</w:t>
      </w:r>
      <w:r w:rsidR="003D640C">
        <w:t xml:space="preserve"> </w:t>
      </w:r>
      <w:r w:rsidR="550500E4" w:rsidRPr="00BB6220">
        <w:t>itself</w:t>
      </w:r>
      <w:r w:rsidR="003D640C">
        <w:t xml:space="preserve"> </w:t>
      </w:r>
      <w:r w:rsidR="550500E4" w:rsidRPr="00BB6220">
        <w:t>in</w:t>
      </w:r>
      <w:r w:rsidR="003D640C">
        <w:t xml:space="preserve"> </w:t>
      </w:r>
      <w:r w:rsidR="550500E4" w:rsidRPr="00BB6220">
        <w:t>Pacific</w:t>
      </w:r>
      <w:r w:rsidR="003D640C">
        <w:t xml:space="preserve"> </w:t>
      </w:r>
      <w:r w:rsidR="550500E4" w:rsidRPr="00BB6220">
        <w:t>contexts.</w:t>
      </w:r>
      <w:r w:rsidR="003D640C">
        <w:t xml:space="preserve"> </w:t>
      </w:r>
    </w:p>
    <w:p w14:paraId="742C7FCF" w14:textId="16D84D8D" w:rsidR="00035BAF" w:rsidRPr="00BB6220" w:rsidRDefault="007B18F5" w:rsidP="002C6363">
      <w:pPr>
        <w:pStyle w:val="Heading3"/>
      </w:pPr>
      <w:bookmarkStart w:id="263" w:name="_Toc167780614"/>
      <w:bookmarkStart w:id="264" w:name="_Toc493993845"/>
      <w:bookmarkStart w:id="265" w:name="_Toc174628674"/>
      <w:r w:rsidRPr="00BB6220">
        <w:lastRenderedPageBreak/>
        <w:t>What</w:t>
      </w:r>
      <w:r w:rsidR="003D640C">
        <w:t xml:space="preserve"> </w:t>
      </w:r>
      <w:r w:rsidRPr="00BB6220">
        <w:t>the</w:t>
      </w:r>
      <w:r w:rsidR="003D640C">
        <w:t xml:space="preserve"> </w:t>
      </w:r>
      <w:r w:rsidRPr="00BB6220">
        <w:t>data</w:t>
      </w:r>
      <w:r w:rsidR="003D640C">
        <w:t xml:space="preserve"> </w:t>
      </w:r>
      <w:r w:rsidRPr="00BB6220">
        <w:t>tell</w:t>
      </w:r>
      <w:r w:rsidR="003D640C">
        <w:t xml:space="preserve"> </w:t>
      </w:r>
      <w:r w:rsidRPr="00BB6220">
        <w:t>us</w:t>
      </w:r>
      <w:r w:rsidR="003D640C">
        <w:t xml:space="preserve"> </w:t>
      </w:r>
      <w:r w:rsidRPr="00BB6220">
        <w:t>about</w:t>
      </w:r>
      <w:r w:rsidR="003D640C">
        <w:t xml:space="preserve"> </w:t>
      </w:r>
      <w:r w:rsidRPr="00BB6220">
        <w:t>Pacific</w:t>
      </w:r>
      <w:r w:rsidR="003D640C">
        <w:t xml:space="preserve"> </w:t>
      </w:r>
      <w:r w:rsidRPr="00BB6220">
        <w:t>peoples</w:t>
      </w:r>
      <w:r w:rsidR="003751AB">
        <w:t>’</w:t>
      </w:r>
      <w:r w:rsidR="003D640C">
        <w:t xml:space="preserve"> </w:t>
      </w:r>
      <w:r w:rsidR="001E1F2B" w:rsidRPr="00BB6220">
        <w:t>experiences</w:t>
      </w:r>
      <w:r w:rsidR="003D640C">
        <w:t xml:space="preserve"> </w:t>
      </w:r>
      <w:r w:rsidR="001E1F2B" w:rsidRPr="00BB6220">
        <w:t>of</w:t>
      </w:r>
      <w:r w:rsidR="003D640C">
        <w:t xml:space="preserve"> </w:t>
      </w:r>
      <w:r w:rsidR="001E1F2B" w:rsidRPr="00BB6220">
        <w:t>conversion</w:t>
      </w:r>
      <w:r w:rsidR="003D640C">
        <w:t xml:space="preserve"> </w:t>
      </w:r>
      <w:r w:rsidR="001E1F2B" w:rsidRPr="00BB6220">
        <w:t>practices</w:t>
      </w:r>
      <w:bookmarkEnd w:id="263"/>
      <w:bookmarkEnd w:id="264"/>
      <w:bookmarkEnd w:id="265"/>
    </w:p>
    <w:p w14:paraId="60D03DA8" w14:textId="61646251" w:rsidR="00507800" w:rsidRDefault="00035BAF" w:rsidP="00747446">
      <w:r w:rsidRPr="00BB6220">
        <w:t>Data</w:t>
      </w:r>
      <w:r w:rsidR="003D640C">
        <w:t xml:space="preserve"> </w:t>
      </w:r>
      <w:r w:rsidRPr="00BB6220">
        <w:t>on</w:t>
      </w:r>
      <w:r w:rsidR="003D640C">
        <w:t xml:space="preserve"> </w:t>
      </w:r>
      <w:r w:rsidRPr="00BB6220">
        <w:t>conversion</w:t>
      </w:r>
      <w:r w:rsidR="003D640C">
        <w:t xml:space="preserve"> </w:t>
      </w:r>
      <w:r w:rsidRPr="00BB6220">
        <w:t>practices</w:t>
      </w:r>
      <w:r w:rsidR="003D640C">
        <w:t xml:space="preserve"> </w:t>
      </w:r>
      <w:r w:rsidRPr="00BB6220">
        <w:t>within</w:t>
      </w:r>
      <w:r w:rsidR="003D640C">
        <w:t xml:space="preserve"> </w:t>
      </w:r>
      <w:r w:rsidR="00B34F32" w:rsidRPr="00BB6220">
        <w:t>P</w:t>
      </w:r>
      <w:r w:rsidRPr="00BB6220">
        <w:t>acific</w:t>
      </w:r>
      <w:r w:rsidR="003D640C">
        <w:t xml:space="preserve"> </w:t>
      </w:r>
      <w:r w:rsidRPr="00BB6220">
        <w:t>communities</w:t>
      </w:r>
      <w:r w:rsidR="003D640C">
        <w:t xml:space="preserve"> </w:t>
      </w:r>
      <w:r w:rsidR="00B34F32" w:rsidRPr="00BB6220">
        <w:t>in</w:t>
      </w:r>
      <w:r w:rsidR="003D640C">
        <w:t xml:space="preserve"> </w:t>
      </w:r>
      <w:r w:rsidR="00B34F32" w:rsidRPr="00BB6220">
        <w:t>Aotearoa</w:t>
      </w:r>
      <w:r w:rsidR="003D640C">
        <w:t xml:space="preserve"> </w:t>
      </w:r>
      <w:r w:rsidR="007B577E">
        <w:t>are</w:t>
      </w:r>
      <w:r w:rsidR="003D640C">
        <w:t xml:space="preserve"> </w:t>
      </w:r>
      <w:r w:rsidRPr="00BB6220">
        <w:t>limited.</w:t>
      </w:r>
      <w:r w:rsidR="003D640C">
        <w:t xml:space="preserve"> </w:t>
      </w:r>
      <w:r w:rsidR="00B80415" w:rsidRPr="00BB6220">
        <w:t>The</w:t>
      </w:r>
      <w:r w:rsidR="003D640C">
        <w:t xml:space="preserve"> </w:t>
      </w:r>
      <w:r w:rsidR="00B80415" w:rsidRPr="00BB6220">
        <w:t>inaugural</w:t>
      </w:r>
      <w:r w:rsidR="003D640C">
        <w:t xml:space="preserve"> </w:t>
      </w:r>
      <w:r w:rsidR="00507800" w:rsidRPr="00BB6220">
        <w:t>2023</w:t>
      </w:r>
      <w:r w:rsidR="003D640C">
        <w:t xml:space="preserve"> </w:t>
      </w:r>
      <w:r w:rsidR="00B80415" w:rsidRPr="00BB6220">
        <w:t>Manalagi</w:t>
      </w:r>
      <w:r w:rsidR="003D640C">
        <w:t xml:space="preserve"> </w:t>
      </w:r>
      <w:r w:rsidR="00BE6FCA">
        <w:t>survey c</w:t>
      </w:r>
      <w:r w:rsidR="00B80415" w:rsidRPr="00BB6220">
        <w:t>ommunity</w:t>
      </w:r>
      <w:r w:rsidR="003D640C">
        <w:t xml:space="preserve"> </w:t>
      </w:r>
      <w:r w:rsidR="00C83508">
        <w:t>report</w:t>
      </w:r>
      <w:r w:rsidR="003D640C">
        <w:t xml:space="preserve"> </w:t>
      </w:r>
      <w:r w:rsidR="00507800" w:rsidRPr="00BB6220">
        <w:t>exami</w:t>
      </w:r>
      <w:r w:rsidR="00C83508">
        <w:t>nes</w:t>
      </w:r>
      <w:r w:rsidR="003D640C">
        <w:t xml:space="preserve"> </w:t>
      </w:r>
      <w:r w:rsidR="00507800" w:rsidRPr="00BB6220">
        <w:t>the</w:t>
      </w:r>
      <w:r w:rsidR="003D640C">
        <w:t xml:space="preserve"> </w:t>
      </w:r>
      <w:r w:rsidR="00507800" w:rsidRPr="00BB6220">
        <w:t>health</w:t>
      </w:r>
      <w:r w:rsidR="003D640C">
        <w:t xml:space="preserve"> </w:t>
      </w:r>
      <w:r w:rsidR="00507800" w:rsidRPr="00BB6220">
        <w:t>and</w:t>
      </w:r>
      <w:r w:rsidR="003D640C">
        <w:t xml:space="preserve"> </w:t>
      </w:r>
      <w:r w:rsidR="00507800" w:rsidRPr="00BB6220">
        <w:t>wellbeing</w:t>
      </w:r>
      <w:r w:rsidR="003D640C">
        <w:t xml:space="preserve"> </w:t>
      </w:r>
      <w:r w:rsidR="00507800" w:rsidRPr="00BB6220">
        <w:t>of</w:t>
      </w:r>
      <w:r w:rsidR="003D640C">
        <w:t xml:space="preserve"> </w:t>
      </w:r>
      <w:r w:rsidR="00294B89">
        <w:t>750</w:t>
      </w:r>
      <w:r w:rsidR="003D640C">
        <w:t xml:space="preserve"> </w:t>
      </w:r>
      <w:r w:rsidR="00294B89">
        <w:t>Pacific</w:t>
      </w:r>
      <w:r w:rsidR="003D640C">
        <w:t xml:space="preserve"> </w:t>
      </w:r>
      <w:r w:rsidR="00DA761E">
        <w:t>Rainbow</w:t>
      </w:r>
      <w:r w:rsidR="003D640C">
        <w:t xml:space="preserve"> </w:t>
      </w:r>
      <w:r w:rsidR="00DA761E">
        <w:t>people</w:t>
      </w:r>
      <w:r w:rsidR="003D640C">
        <w:t xml:space="preserve"> </w:t>
      </w:r>
      <w:r w:rsidR="00DA761E">
        <w:t>and</w:t>
      </w:r>
      <w:r w:rsidR="003D640C">
        <w:t xml:space="preserve"> </w:t>
      </w:r>
      <w:r w:rsidR="00DA761E">
        <w:t>their</w:t>
      </w:r>
      <w:r w:rsidR="003D640C">
        <w:t xml:space="preserve"> </w:t>
      </w:r>
      <w:r w:rsidR="00DA761E">
        <w:t>allies</w:t>
      </w:r>
      <w:r w:rsidR="003D640C">
        <w:t xml:space="preserve"> </w:t>
      </w:r>
      <w:r w:rsidR="00DA761E">
        <w:t>across</w:t>
      </w:r>
      <w:r w:rsidR="003D640C">
        <w:t xml:space="preserve"> </w:t>
      </w:r>
      <w:r w:rsidR="00DA761E">
        <w:t>Aotearoa</w:t>
      </w:r>
      <w:r w:rsidR="00E7259C">
        <w:t>.</w:t>
      </w:r>
      <w:r w:rsidR="00C83508">
        <w:rPr>
          <w:rStyle w:val="FootnoteReference"/>
        </w:rPr>
        <w:footnoteReference w:id="194"/>
      </w:r>
      <w:r w:rsidR="003D640C">
        <w:t xml:space="preserve"> </w:t>
      </w:r>
      <w:r w:rsidR="00FC760D">
        <w:t>The</w:t>
      </w:r>
      <w:r w:rsidR="003D640C">
        <w:t xml:space="preserve"> </w:t>
      </w:r>
      <w:r w:rsidR="00FC760D">
        <w:t>survey</w:t>
      </w:r>
      <w:r w:rsidR="003D640C">
        <w:t xml:space="preserve"> </w:t>
      </w:r>
      <w:r w:rsidR="00FC760D">
        <w:t>found</w:t>
      </w:r>
      <w:r w:rsidR="003D640C">
        <w:t xml:space="preserve"> </w:t>
      </w:r>
      <w:r w:rsidR="00FC760D">
        <w:t>that</w:t>
      </w:r>
      <w:r w:rsidR="003D640C">
        <w:t xml:space="preserve"> </w:t>
      </w:r>
      <w:r w:rsidR="00B80415" w:rsidRPr="00BB6220">
        <w:t>14</w:t>
      </w:r>
      <w:r w:rsidR="001D1BF7">
        <w:t xml:space="preserve"> percent</w:t>
      </w:r>
      <w:r w:rsidR="003D640C">
        <w:t xml:space="preserve"> </w:t>
      </w:r>
      <w:r w:rsidR="00B80415" w:rsidRPr="00BB6220">
        <w:t>of</w:t>
      </w:r>
      <w:r w:rsidR="003D640C">
        <w:t xml:space="preserve"> </w:t>
      </w:r>
      <w:r w:rsidR="00B80415" w:rsidRPr="00BB6220">
        <w:t>respondents</w:t>
      </w:r>
      <w:r w:rsidR="003D640C">
        <w:t xml:space="preserve"> </w:t>
      </w:r>
      <w:r w:rsidR="00DC564C">
        <w:t>indicated</w:t>
      </w:r>
      <w:r w:rsidR="003D640C">
        <w:t xml:space="preserve"> </w:t>
      </w:r>
      <w:r w:rsidR="00DC564C">
        <w:t>that</w:t>
      </w:r>
      <w:r w:rsidR="003D640C">
        <w:t xml:space="preserve"> </w:t>
      </w:r>
      <w:r w:rsidR="00DC564C">
        <w:t>they</w:t>
      </w:r>
      <w:r w:rsidR="003D640C">
        <w:t xml:space="preserve"> </w:t>
      </w:r>
      <w:r w:rsidR="00B80415" w:rsidRPr="00BB6220">
        <w:t>had</w:t>
      </w:r>
      <w:r w:rsidR="003D640C">
        <w:t xml:space="preserve"> </w:t>
      </w:r>
      <w:r w:rsidR="00B80415" w:rsidRPr="00BB6220">
        <w:t>been</w:t>
      </w:r>
      <w:r w:rsidR="003D640C">
        <w:t xml:space="preserve"> </w:t>
      </w:r>
      <w:r w:rsidR="00B80415" w:rsidRPr="00BB6220">
        <w:t>subjected</w:t>
      </w:r>
      <w:r w:rsidR="003D640C">
        <w:t xml:space="preserve"> </w:t>
      </w:r>
      <w:r w:rsidR="00B80415" w:rsidRPr="00BB6220">
        <w:t>to</w:t>
      </w:r>
      <w:r w:rsidR="003D640C">
        <w:t xml:space="preserve"> </w:t>
      </w:r>
      <w:r w:rsidR="00B80415" w:rsidRPr="00BB6220">
        <w:t>conversion</w:t>
      </w:r>
      <w:r w:rsidR="003D640C">
        <w:t xml:space="preserve"> </w:t>
      </w:r>
      <w:r w:rsidR="00D01CD1">
        <w:t>practices</w:t>
      </w:r>
      <w:r w:rsidR="003D640C">
        <w:t xml:space="preserve"> </w:t>
      </w:r>
      <w:r w:rsidR="00B80415" w:rsidRPr="00BB6220">
        <w:t>with</w:t>
      </w:r>
      <w:r w:rsidR="003D640C">
        <w:t xml:space="preserve"> </w:t>
      </w:r>
      <w:r w:rsidR="00C000AA">
        <w:t xml:space="preserve">a further </w:t>
      </w:r>
      <w:r w:rsidR="00B80415" w:rsidRPr="00BB6220">
        <w:t>4</w:t>
      </w:r>
      <w:r w:rsidR="001D1BF7">
        <w:t xml:space="preserve"> percent</w:t>
      </w:r>
      <w:r w:rsidR="003D640C">
        <w:t xml:space="preserve"> </w:t>
      </w:r>
      <w:r w:rsidR="00B80415" w:rsidRPr="00BB6220">
        <w:t>preferring</w:t>
      </w:r>
      <w:r w:rsidR="003D640C">
        <w:t xml:space="preserve"> </w:t>
      </w:r>
      <w:r w:rsidR="00B80415" w:rsidRPr="00BB6220">
        <w:t>not</w:t>
      </w:r>
      <w:r w:rsidR="003D640C">
        <w:t xml:space="preserve"> </w:t>
      </w:r>
      <w:r w:rsidR="00B80415" w:rsidRPr="00BB6220">
        <w:t>to</w:t>
      </w:r>
      <w:r w:rsidR="003D640C">
        <w:t xml:space="preserve"> </w:t>
      </w:r>
      <w:r w:rsidR="00B80415" w:rsidRPr="00BB6220">
        <w:t>say</w:t>
      </w:r>
      <w:r w:rsidR="003D640C">
        <w:t xml:space="preserve"> </w:t>
      </w:r>
      <w:r w:rsidR="00B80415" w:rsidRPr="00BB6220">
        <w:t>whether</w:t>
      </w:r>
      <w:r w:rsidR="003D640C">
        <w:t xml:space="preserve"> </w:t>
      </w:r>
      <w:r w:rsidR="00B80415" w:rsidRPr="00BB6220">
        <w:t>they</w:t>
      </w:r>
      <w:r w:rsidR="003D640C">
        <w:t xml:space="preserve"> </w:t>
      </w:r>
      <w:r w:rsidR="00B80415" w:rsidRPr="00BB6220">
        <w:t>had</w:t>
      </w:r>
      <w:r w:rsidR="003D640C">
        <w:t xml:space="preserve"> </w:t>
      </w:r>
      <w:r w:rsidR="00B80415" w:rsidRPr="00BB6220">
        <w:t>or</w:t>
      </w:r>
      <w:r w:rsidR="003D640C">
        <w:t xml:space="preserve"> </w:t>
      </w:r>
      <w:r w:rsidR="00B80415" w:rsidRPr="00BB6220">
        <w:t>not</w:t>
      </w:r>
      <w:r w:rsidR="00BE6FCA">
        <w:t>.</w:t>
      </w:r>
      <w:r w:rsidR="003D640C">
        <w:t xml:space="preserve"> </w:t>
      </w:r>
      <w:r w:rsidR="00115939">
        <w:t>Respondents</w:t>
      </w:r>
      <w:r w:rsidR="003D640C">
        <w:t xml:space="preserve"> </w:t>
      </w:r>
      <w:r w:rsidR="00115939">
        <w:t>had</w:t>
      </w:r>
      <w:r w:rsidR="003D640C">
        <w:t xml:space="preserve"> </w:t>
      </w:r>
      <w:r w:rsidR="00115939">
        <w:t>the</w:t>
      </w:r>
      <w:r w:rsidR="003D640C">
        <w:t xml:space="preserve"> </w:t>
      </w:r>
      <w:r w:rsidR="00115939">
        <w:t>opportunity</w:t>
      </w:r>
      <w:r w:rsidR="003D640C">
        <w:t xml:space="preserve"> </w:t>
      </w:r>
      <w:r w:rsidR="00115939">
        <w:t>of</w:t>
      </w:r>
      <w:r w:rsidR="003D640C">
        <w:t xml:space="preserve"> </w:t>
      </w:r>
      <w:r w:rsidR="004F2C67">
        <w:t>indicating</w:t>
      </w:r>
      <w:r w:rsidR="003D640C">
        <w:t xml:space="preserve"> </w:t>
      </w:r>
      <w:r w:rsidR="004F2C67">
        <w:t>in</w:t>
      </w:r>
      <w:r w:rsidR="003D640C">
        <w:t xml:space="preserve"> </w:t>
      </w:r>
      <w:r w:rsidR="004F2C67">
        <w:t>an</w:t>
      </w:r>
      <w:r w:rsidR="003D640C">
        <w:t xml:space="preserve"> </w:t>
      </w:r>
      <w:r w:rsidR="004F2C67">
        <w:t>open</w:t>
      </w:r>
      <w:r w:rsidR="003D640C">
        <w:t xml:space="preserve"> </w:t>
      </w:r>
      <w:r w:rsidR="004F2C67">
        <w:t>text</w:t>
      </w:r>
      <w:r w:rsidR="003D640C">
        <w:t xml:space="preserve"> </w:t>
      </w:r>
      <w:r w:rsidR="004F2C67">
        <w:t>box</w:t>
      </w:r>
      <w:r w:rsidR="003D640C">
        <w:t xml:space="preserve"> </w:t>
      </w:r>
      <w:r w:rsidR="004F2C67">
        <w:t>where</w:t>
      </w:r>
      <w:r w:rsidR="003D640C">
        <w:t xml:space="preserve"> </w:t>
      </w:r>
      <w:r w:rsidR="004F2C67">
        <w:t>these</w:t>
      </w:r>
      <w:r w:rsidR="003D640C">
        <w:t xml:space="preserve"> </w:t>
      </w:r>
      <w:r w:rsidR="004F2C67">
        <w:t>practices</w:t>
      </w:r>
      <w:r w:rsidR="003D640C">
        <w:t xml:space="preserve"> </w:t>
      </w:r>
      <w:r w:rsidR="004F2C67">
        <w:t>took</w:t>
      </w:r>
      <w:r w:rsidR="003D640C">
        <w:t xml:space="preserve"> </w:t>
      </w:r>
      <w:r w:rsidR="004F2C67">
        <w:t>place</w:t>
      </w:r>
      <w:r w:rsidR="00C000AA">
        <w:t>;</w:t>
      </w:r>
      <w:r w:rsidR="003D640C">
        <w:t xml:space="preserve"> </w:t>
      </w:r>
      <w:r w:rsidR="004F2C67">
        <w:t>the</w:t>
      </w:r>
      <w:r w:rsidR="003D640C">
        <w:t xml:space="preserve"> </w:t>
      </w:r>
      <w:r w:rsidR="004F2C67">
        <w:t>majority</w:t>
      </w:r>
      <w:r w:rsidR="003D640C">
        <w:t xml:space="preserve"> </w:t>
      </w:r>
      <w:r w:rsidR="004F2C67">
        <w:t>of</w:t>
      </w:r>
      <w:r w:rsidR="003D640C">
        <w:t xml:space="preserve"> </w:t>
      </w:r>
      <w:r w:rsidR="004F2C67">
        <w:t>those</w:t>
      </w:r>
      <w:r w:rsidR="003D640C">
        <w:t xml:space="preserve"> </w:t>
      </w:r>
      <w:r w:rsidR="004F2C67">
        <w:t>wh</w:t>
      </w:r>
      <w:r w:rsidR="00933812">
        <w:t>o</w:t>
      </w:r>
      <w:r w:rsidR="003D640C">
        <w:t xml:space="preserve"> </w:t>
      </w:r>
      <w:r w:rsidR="00C000AA">
        <w:t xml:space="preserve">had experienced them </w:t>
      </w:r>
      <w:r w:rsidR="00A56F13">
        <w:t>indicated</w:t>
      </w:r>
      <w:r w:rsidR="003D640C">
        <w:t xml:space="preserve"> </w:t>
      </w:r>
      <w:r w:rsidR="00667EF4">
        <w:t>that</w:t>
      </w:r>
      <w:r w:rsidR="003D640C">
        <w:t xml:space="preserve"> </w:t>
      </w:r>
      <w:r w:rsidR="00667EF4">
        <w:t>they</w:t>
      </w:r>
      <w:r w:rsidR="003D640C">
        <w:t xml:space="preserve"> </w:t>
      </w:r>
      <w:r w:rsidR="00667EF4">
        <w:t>took</w:t>
      </w:r>
      <w:r w:rsidR="003D640C">
        <w:t xml:space="preserve"> </w:t>
      </w:r>
      <w:r w:rsidR="00667EF4">
        <w:t>place</w:t>
      </w:r>
      <w:r w:rsidR="003D640C">
        <w:t xml:space="preserve"> </w:t>
      </w:r>
      <w:r w:rsidR="00667EF4">
        <w:t>primarily</w:t>
      </w:r>
      <w:r w:rsidR="003D640C">
        <w:t xml:space="preserve"> </w:t>
      </w:r>
      <w:r w:rsidR="00667EF4">
        <w:t>in</w:t>
      </w:r>
      <w:r w:rsidR="003D640C">
        <w:t xml:space="preserve"> </w:t>
      </w:r>
      <w:r w:rsidR="00667EF4">
        <w:t>religious,</w:t>
      </w:r>
      <w:r w:rsidR="003D640C">
        <w:t xml:space="preserve"> </w:t>
      </w:r>
      <w:r w:rsidR="00667EF4">
        <w:t>church</w:t>
      </w:r>
      <w:r w:rsidR="00C000AA">
        <w:t>,</w:t>
      </w:r>
      <w:r w:rsidR="003D640C">
        <w:t xml:space="preserve"> </w:t>
      </w:r>
      <w:r w:rsidR="00667EF4">
        <w:t>or</w:t>
      </w:r>
      <w:r w:rsidR="003D640C">
        <w:t xml:space="preserve"> </w:t>
      </w:r>
      <w:r w:rsidR="00667EF4">
        <w:t>family</w:t>
      </w:r>
      <w:r w:rsidR="003D640C">
        <w:t xml:space="preserve"> </w:t>
      </w:r>
      <w:r w:rsidR="00667EF4">
        <w:t>settings</w:t>
      </w:r>
      <w:r w:rsidR="00BE6FCA">
        <w:t>.</w:t>
      </w:r>
      <w:r w:rsidR="00667EF4">
        <w:rPr>
          <w:rStyle w:val="FootnoteReference"/>
        </w:rPr>
        <w:footnoteReference w:id="195"/>
      </w:r>
      <w:r w:rsidR="003D640C">
        <w:t xml:space="preserve"> </w:t>
      </w:r>
    </w:p>
    <w:p w14:paraId="6C341B2F" w14:textId="1E1FBC62" w:rsidR="009D0960" w:rsidRPr="00BB6220" w:rsidRDefault="009C313A" w:rsidP="00747446">
      <w:r>
        <w:t>T</w:t>
      </w:r>
      <w:r w:rsidR="009D0960">
        <w:t>he</w:t>
      </w:r>
      <w:r w:rsidR="003D640C">
        <w:t xml:space="preserve"> </w:t>
      </w:r>
      <w:r w:rsidR="009D0960">
        <w:t>Manalagi</w:t>
      </w:r>
      <w:r w:rsidR="003D640C">
        <w:t xml:space="preserve"> </w:t>
      </w:r>
      <w:r w:rsidR="009D0960">
        <w:t>survey</w:t>
      </w:r>
      <w:r w:rsidR="003D640C">
        <w:t xml:space="preserve"> </w:t>
      </w:r>
      <w:r w:rsidR="009D0960">
        <w:t>explored</w:t>
      </w:r>
      <w:r w:rsidR="003D640C">
        <w:t xml:space="preserve"> </w:t>
      </w:r>
      <w:r w:rsidR="009D0960">
        <w:t>the</w:t>
      </w:r>
      <w:r w:rsidR="003D640C">
        <w:t xml:space="preserve"> </w:t>
      </w:r>
      <w:r w:rsidR="009D0960">
        <w:t>experience</w:t>
      </w:r>
      <w:r w:rsidR="003D640C">
        <w:t xml:space="preserve"> </w:t>
      </w:r>
      <w:r w:rsidR="009D0960">
        <w:t>of</w:t>
      </w:r>
      <w:r w:rsidR="003D640C">
        <w:t xml:space="preserve"> </w:t>
      </w:r>
      <w:r>
        <w:t>religious</w:t>
      </w:r>
      <w:r w:rsidR="003D640C">
        <w:t xml:space="preserve"> </w:t>
      </w:r>
      <w:r>
        <w:t>and</w:t>
      </w:r>
      <w:r w:rsidR="003D640C">
        <w:t xml:space="preserve"> </w:t>
      </w:r>
      <w:r w:rsidR="009D0960">
        <w:t>cultural</w:t>
      </w:r>
      <w:r w:rsidR="003D640C">
        <w:t xml:space="preserve"> </w:t>
      </w:r>
      <w:r w:rsidR="009D0960">
        <w:t>identity</w:t>
      </w:r>
      <w:r w:rsidR="003D640C">
        <w:t xml:space="preserve"> </w:t>
      </w:r>
      <w:r w:rsidR="009D0960">
        <w:t>of</w:t>
      </w:r>
      <w:r w:rsidR="003D640C">
        <w:t xml:space="preserve"> </w:t>
      </w:r>
      <w:r w:rsidR="009D0960">
        <w:t>respondents</w:t>
      </w:r>
      <w:r w:rsidR="003D640C">
        <w:t xml:space="preserve"> </w:t>
      </w:r>
      <w:r w:rsidR="004922C1">
        <w:t>as</w:t>
      </w:r>
      <w:r w:rsidR="003D640C">
        <w:t xml:space="preserve"> </w:t>
      </w:r>
      <w:r w:rsidR="004922C1">
        <w:t>it</w:t>
      </w:r>
      <w:r w:rsidR="003D640C">
        <w:t xml:space="preserve"> </w:t>
      </w:r>
      <w:r w:rsidR="004922C1">
        <w:t>related</w:t>
      </w:r>
      <w:r w:rsidR="003D640C">
        <w:t xml:space="preserve"> </w:t>
      </w:r>
      <w:r w:rsidR="004922C1">
        <w:t>to</w:t>
      </w:r>
      <w:r w:rsidR="003D640C">
        <w:t xml:space="preserve"> </w:t>
      </w:r>
      <w:r w:rsidR="004922C1">
        <w:t>their</w:t>
      </w:r>
      <w:r w:rsidR="003D640C">
        <w:t xml:space="preserve"> </w:t>
      </w:r>
      <w:r w:rsidR="004922C1">
        <w:t>Rainbow</w:t>
      </w:r>
      <w:r w:rsidR="003D640C">
        <w:t xml:space="preserve"> </w:t>
      </w:r>
      <w:r w:rsidR="004922C1">
        <w:t>identities</w:t>
      </w:r>
      <w:r w:rsidR="009D0960">
        <w:t>.</w:t>
      </w:r>
      <w:r w:rsidR="003D640C">
        <w:t xml:space="preserve"> </w:t>
      </w:r>
      <w:r w:rsidRPr="009C313A">
        <w:t>The</w:t>
      </w:r>
      <w:r w:rsidR="003D640C">
        <w:t xml:space="preserve"> </w:t>
      </w:r>
      <w:r w:rsidRPr="009C313A">
        <w:t>survey</w:t>
      </w:r>
      <w:r w:rsidR="003D640C">
        <w:t xml:space="preserve"> </w:t>
      </w:r>
      <w:r w:rsidRPr="009C313A">
        <w:t>found</w:t>
      </w:r>
      <w:r w:rsidR="003D640C">
        <w:t xml:space="preserve"> </w:t>
      </w:r>
      <w:r w:rsidRPr="009C313A">
        <w:t>that</w:t>
      </w:r>
      <w:r w:rsidR="003D640C">
        <w:t xml:space="preserve"> </w:t>
      </w:r>
      <w:r w:rsidRPr="009C313A">
        <w:t>63</w:t>
      </w:r>
      <w:r w:rsidR="001D1BF7">
        <w:t xml:space="preserve"> percent</w:t>
      </w:r>
      <w:r w:rsidR="003D640C">
        <w:t xml:space="preserve"> </w:t>
      </w:r>
      <w:r w:rsidRPr="009C313A">
        <w:t>of</w:t>
      </w:r>
      <w:r w:rsidR="003D640C">
        <w:t xml:space="preserve"> </w:t>
      </w:r>
      <w:r w:rsidRPr="009C313A">
        <w:t>those</w:t>
      </w:r>
      <w:r w:rsidR="003D640C">
        <w:t xml:space="preserve"> </w:t>
      </w:r>
      <w:r w:rsidRPr="009C313A">
        <w:t>surveyed</w:t>
      </w:r>
      <w:r w:rsidR="003D640C">
        <w:t xml:space="preserve"> </w:t>
      </w:r>
      <w:r w:rsidRPr="009C313A">
        <w:t>indicated</w:t>
      </w:r>
      <w:r w:rsidR="003D640C">
        <w:t xml:space="preserve"> </w:t>
      </w:r>
      <w:r w:rsidRPr="009C313A">
        <w:t>religion</w:t>
      </w:r>
      <w:r w:rsidR="003D640C">
        <w:t xml:space="preserve"> </w:t>
      </w:r>
      <w:r w:rsidRPr="009C313A">
        <w:t>or</w:t>
      </w:r>
      <w:r w:rsidR="003D640C">
        <w:t xml:space="preserve"> </w:t>
      </w:r>
      <w:r w:rsidRPr="009C313A">
        <w:t>spirituality</w:t>
      </w:r>
      <w:r w:rsidR="003D640C">
        <w:t xml:space="preserve"> </w:t>
      </w:r>
      <w:r w:rsidRPr="009C313A">
        <w:t>was</w:t>
      </w:r>
      <w:r w:rsidR="003D640C">
        <w:t xml:space="preserve"> </w:t>
      </w:r>
      <w:r w:rsidRPr="009C313A">
        <w:t>important</w:t>
      </w:r>
      <w:r w:rsidR="003D640C">
        <w:t xml:space="preserve"> </w:t>
      </w:r>
      <w:r w:rsidRPr="009C313A">
        <w:t>or</w:t>
      </w:r>
      <w:r w:rsidR="003D640C">
        <w:t xml:space="preserve"> </w:t>
      </w:r>
      <w:r w:rsidRPr="009C313A">
        <w:t>very</w:t>
      </w:r>
      <w:r w:rsidR="003D640C">
        <w:t xml:space="preserve"> </w:t>
      </w:r>
      <w:r w:rsidRPr="009C313A">
        <w:t>important</w:t>
      </w:r>
      <w:r w:rsidR="003D640C">
        <w:t xml:space="preserve"> </w:t>
      </w:r>
      <w:r w:rsidRPr="009C313A">
        <w:t>to</w:t>
      </w:r>
      <w:r w:rsidR="003D640C">
        <w:t xml:space="preserve"> </w:t>
      </w:r>
      <w:r w:rsidRPr="009C313A">
        <w:t>them.</w:t>
      </w:r>
      <w:r w:rsidR="003D640C">
        <w:t xml:space="preserve"> </w:t>
      </w:r>
      <w:r>
        <w:t>However,</w:t>
      </w:r>
      <w:r w:rsidR="003D640C">
        <w:t xml:space="preserve"> </w:t>
      </w:r>
      <w:r>
        <w:t>over</w:t>
      </w:r>
      <w:r w:rsidR="003D640C">
        <w:t xml:space="preserve"> </w:t>
      </w:r>
      <w:r>
        <w:t>60</w:t>
      </w:r>
      <w:r w:rsidR="001D1BF7">
        <w:t xml:space="preserve"> percent</w:t>
      </w:r>
      <w:r w:rsidR="003D640C">
        <w:t xml:space="preserve"> </w:t>
      </w:r>
      <w:r>
        <w:t>of</w:t>
      </w:r>
      <w:r w:rsidR="003D640C">
        <w:t xml:space="preserve"> </w:t>
      </w:r>
      <w:r>
        <w:t>respondents</w:t>
      </w:r>
      <w:r w:rsidR="003D640C">
        <w:t xml:space="preserve"> </w:t>
      </w:r>
      <w:r>
        <w:t>also</w:t>
      </w:r>
      <w:r w:rsidR="003D640C">
        <w:t xml:space="preserve"> </w:t>
      </w:r>
      <w:r>
        <w:t>reported</w:t>
      </w:r>
      <w:r w:rsidR="003D640C">
        <w:t xml:space="preserve"> </w:t>
      </w:r>
      <w:r>
        <w:t>that</w:t>
      </w:r>
      <w:r w:rsidR="003D640C">
        <w:t xml:space="preserve"> </w:t>
      </w:r>
      <w:r w:rsidRPr="009C313A">
        <w:t>religion</w:t>
      </w:r>
      <w:r w:rsidR="003D640C">
        <w:t xml:space="preserve"> </w:t>
      </w:r>
      <w:r w:rsidRPr="009C313A">
        <w:t>had</w:t>
      </w:r>
      <w:r w:rsidR="003D640C">
        <w:t xml:space="preserve"> </w:t>
      </w:r>
      <w:r w:rsidRPr="009C313A">
        <w:t>impacted</w:t>
      </w:r>
      <w:r w:rsidR="003D640C">
        <w:t xml:space="preserve"> </w:t>
      </w:r>
      <w:r w:rsidRPr="009C313A">
        <w:t>their</w:t>
      </w:r>
      <w:r w:rsidR="003D640C">
        <w:t xml:space="preserve"> </w:t>
      </w:r>
      <w:r w:rsidRPr="009C313A">
        <w:t>ability</w:t>
      </w:r>
      <w:r w:rsidR="003D640C">
        <w:t xml:space="preserve"> </w:t>
      </w:r>
      <w:r w:rsidRPr="009C313A">
        <w:t>to</w:t>
      </w:r>
      <w:r w:rsidR="003D640C">
        <w:t xml:space="preserve"> </w:t>
      </w:r>
      <w:r w:rsidRPr="009C313A">
        <w:t>live</w:t>
      </w:r>
      <w:r w:rsidR="003D640C">
        <w:t xml:space="preserve"> </w:t>
      </w:r>
      <w:r w:rsidRPr="009C313A">
        <w:t>their</w:t>
      </w:r>
      <w:r w:rsidR="003D640C">
        <w:t xml:space="preserve"> </w:t>
      </w:r>
      <w:r w:rsidRPr="009C313A">
        <w:t>lives</w:t>
      </w:r>
      <w:r w:rsidR="003D640C">
        <w:t xml:space="preserve"> </w:t>
      </w:r>
      <w:r w:rsidRPr="009C313A">
        <w:t>as</w:t>
      </w:r>
      <w:r w:rsidR="003D640C">
        <w:t xml:space="preserve"> </w:t>
      </w:r>
      <w:r w:rsidRPr="009C313A">
        <w:t>a</w:t>
      </w:r>
      <w:r w:rsidR="003D640C">
        <w:t xml:space="preserve"> </w:t>
      </w:r>
      <w:r w:rsidRPr="009C313A">
        <w:t>member</w:t>
      </w:r>
      <w:r w:rsidR="003D640C">
        <w:t xml:space="preserve"> </w:t>
      </w:r>
      <w:r w:rsidRPr="009C313A">
        <w:t>of</w:t>
      </w:r>
      <w:r w:rsidR="003D640C">
        <w:t xml:space="preserve"> </w:t>
      </w:r>
      <w:r w:rsidRPr="009C313A">
        <w:t>a</w:t>
      </w:r>
      <w:r w:rsidR="003D640C">
        <w:t xml:space="preserve"> </w:t>
      </w:r>
      <w:r w:rsidRPr="009C313A">
        <w:t>Rainbow</w:t>
      </w:r>
      <w:r w:rsidR="003D640C">
        <w:t xml:space="preserve"> </w:t>
      </w:r>
      <w:r w:rsidRPr="009C313A">
        <w:t>community,</w:t>
      </w:r>
      <w:r w:rsidR="003D640C">
        <w:t xml:space="preserve"> </w:t>
      </w:r>
      <w:r w:rsidR="00D252C1">
        <w:t>making</w:t>
      </w:r>
      <w:r w:rsidR="003D640C">
        <w:t xml:space="preserve"> </w:t>
      </w:r>
      <w:r w:rsidR="00D252C1">
        <w:t>their</w:t>
      </w:r>
      <w:r w:rsidR="003D640C">
        <w:t xml:space="preserve"> </w:t>
      </w:r>
      <w:r w:rsidR="00D252C1">
        <w:t>lives</w:t>
      </w:r>
      <w:r w:rsidR="003D640C">
        <w:t xml:space="preserve"> </w:t>
      </w:r>
      <w:r w:rsidRPr="009C313A">
        <w:t>somewhat</w:t>
      </w:r>
      <w:r w:rsidR="003D640C">
        <w:t xml:space="preserve"> </w:t>
      </w:r>
      <w:r w:rsidRPr="009C313A">
        <w:t>or</w:t>
      </w:r>
      <w:r w:rsidR="003D640C">
        <w:t xml:space="preserve"> </w:t>
      </w:r>
      <w:r w:rsidRPr="009C313A">
        <w:t>very</w:t>
      </w:r>
      <w:r w:rsidR="003D640C">
        <w:t xml:space="preserve"> </w:t>
      </w:r>
      <w:r w:rsidRPr="009C313A">
        <w:t>difficult.</w:t>
      </w:r>
      <w:r w:rsidR="003D640C">
        <w:t xml:space="preserve"> </w:t>
      </w:r>
      <w:r w:rsidR="00DF6269">
        <w:t>The</w:t>
      </w:r>
      <w:r w:rsidR="003D640C">
        <w:t xml:space="preserve"> </w:t>
      </w:r>
      <w:r w:rsidR="00DF6269">
        <w:t>survey</w:t>
      </w:r>
      <w:r w:rsidR="003D640C">
        <w:t xml:space="preserve"> </w:t>
      </w:r>
      <w:r w:rsidR="00D252C1">
        <w:t>also</w:t>
      </w:r>
      <w:r w:rsidR="003D640C">
        <w:t xml:space="preserve"> </w:t>
      </w:r>
      <w:r w:rsidR="00DF6269">
        <w:t>found</w:t>
      </w:r>
      <w:r w:rsidR="003D640C">
        <w:t xml:space="preserve"> </w:t>
      </w:r>
      <w:r w:rsidR="00DF6269">
        <w:t>that</w:t>
      </w:r>
      <w:r w:rsidR="000F2F9A">
        <w:t>,</w:t>
      </w:r>
      <w:r w:rsidR="003D640C">
        <w:t xml:space="preserve"> </w:t>
      </w:r>
      <w:r w:rsidR="00A567CC">
        <w:t>while</w:t>
      </w:r>
      <w:r w:rsidR="003D640C">
        <w:t xml:space="preserve"> </w:t>
      </w:r>
      <w:r w:rsidR="00163A7F">
        <w:t>92</w:t>
      </w:r>
      <w:r w:rsidR="001D1BF7">
        <w:t xml:space="preserve"> percent</w:t>
      </w:r>
      <w:r w:rsidR="003D640C">
        <w:t xml:space="preserve"> </w:t>
      </w:r>
      <w:r w:rsidR="00163A7F">
        <w:t>of</w:t>
      </w:r>
      <w:r w:rsidR="003D640C">
        <w:t xml:space="preserve"> </w:t>
      </w:r>
      <w:r w:rsidR="00D252C1">
        <w:t>respondents</w:t>
      </w:r>
      <w:r w:rsidR="003D640C">
        <w:t xml:space="preserve"> </w:t>
      </w:r>
      <w:r w:rsidR="00163A7F">
        <w:t>indicated</w:t>
      </w:r>
      <w:r w:rsidR="003D640C">
        <w:t xml:space="preserve"> </w:t>
      </w:r>
      <w:r w:rsidR="00163A7F">
        <w:t>that</w:t>
      </w:r>
      <w:r w:rsidR="003D640C">
        <w:t xml:space="preserve"> </w:t>
      </w:r>
      <w:r w:rsidR="00163A7F">
        <w:t>their</w:t>
      </w:r>
      <w:r w:rsidR="003D640C">
        <w:t xml:space="preserve"> </w:t>
      </w:r>
      <w:r w:rsidR="00163A7F">
        <w:t>cultural</w:t>
      </w:r>
      <w:r w:rsidR="003D640C">
        <w:t xml:space="preserve"> </w:t>
      </w:r>
      <w:r w:rsidR="00163A7F">
        <w:t>identity</w:t>
      </w:r>
      <w:r w:rsidR="003D640C">
        <w:t xml:space="preserve"> </w:t>
      </w:r>
      <w:r w:rsidR="00163A7F">
        <w:t>as</w:t>
      </w:r>
      <w:r w:rsidR="003D640C">
        <w:t xml:space="preserve"> </w:t>
      </w:r>
      <w:r w:rsidR="00163A7F">
        <w:t>Pacific</w:t>
      </w:r>
      <w:r w:rsidR="003D640C">
        <w:t xml:space="preserve"> </w:t>
      </w:r>
      <w:r w:rsidR="006A24CF">
        <w:t>people</w:t>
      </w:r>
      <w:r w:rsidR="003D640C">
        <w:t xml:space="preserve"> </w:t>
      </w:r>
      <w:r w:rsidR="00163A7F">
        <w:t>was</w:t>
      </w:r>
      <w:r w:rsidR="003D640C">
        <w:t xml:space="preserve"> </w:t>
      </w:r>
      <w:r w:rsidR="00163A7F">
        <w:t>important</w:t>
      </w:r>
      <w:r w:rsidR="003D640C">
        <w:t xml:space="preserve"> </w:t>
      </w:r>
      <w:r w:rsidR="00163A7F">
        <w:t>to</w:t>
      </w:r>
      <w:r w:rsidR="003D640C">
        <w:t xml:space="preserve"> </w:t>
      </w:r>
      <w:r w:rsidR="00163A7F">
        <w:t>the</w:t>
      </w:r>
      <w:r w:rsidR="000F2F9A">
        <w:t>m</w:t>
      </w:r>
      <w:r w:rsidR="00163A7F">
        <w:t>,</w:t>
      </w:r>
      <w:r w:rsidR="003D640C">
        <w:t xml:space="preserve"> </w:t>
      </w:r>
      <w:r w:rsidR="00FE2489">
        <w:t>only</w:t>
      </w:r>
      <w:r w:rsidR="003D640C">
        <w:t xml:space="preserve"> </w:t>
      </w:r>
      <w:r w:rsidR="00FE2489">
        <w:t>60</w:t>
      </w:r>
      <w:r w:rsidR="001D1BF7">
        <w:t xml:space="preserve"> percent</w:t>
      </w:r>
      <w:r w:rsidR="003D640C">
        <w:t xml:space="preserve"> </w:t>
      </w:r>
      <w:r w:rsidR="00FE2489">
        <w:t>of</w:t>
      </w:r>
      <w:r w:rsidR="003D640C">
        <w:t xml:space="preserve"> </w:t>
      </w:r>
      <w:r w:rsidR="00FE2489">
        <w:t>respondents</w:t>
      </w:r>
      <w:r w:rsidR="003D640C">
        <w:t xml:space="preserve"> </w:t>
      </w:r>
      <w:r w:rsidR="00FE2489">
        <w:t>indicated</w:t>
      </w:r>
      <w:r w:rsidR="003D640C">
        <w:t xml:space="preserve"> </w:t>
      </w:r>
      <w:r w:rsidR="00FE2489">
        <w:t>they</w:t>
      </w:r>
      <w:r w:rsidR="003D640C">
        <w:t xml:space="preserve"> </w:t>
      </w:r>
      <w:r w:rsidR="006E1127">
        <w:t>felt</w:t>
      </w:r>
      <w:r w:rsidR="003D640C">
        <w:t xml:space="preserve"> </w:t>
      </w:r>
      <w:r w:rsidR="006E1127">
        <w:t>connected</w:t>
      </w:r>
      <w:r w:rsidR="003D640C">
        <w:t xml:space="preserve"> </w:t>
      </w:r>
      <w:r w:rsidR="006E1127">
        <w:t>to</w:t>
      </w:r>
      <w:r w:rsidR="003D640C">
        <w:t xml:space="preserve"> </w:t>
      </w:r>
      <w:r w:rsidR="006E1127">
        <w:t>their</w:t>
      </w:r>
      <w:r w:rsidR="003D640C">
        <w:t xml:space="preserve"> </w:t>
      </w:r>
      <w:r w:rsidR="006E1127">
        <w:t>culture</w:t>
      </w:r>
      <w:r w:rsidR="003D640C">
        <w:t xml:space="preserve"> </w:t>
      </w:r>
      <w:r w:rsidR="006E1127">
        <w:t>as</w:t>
      </w:r>
      <w:r w:rsidR="003D640C">
        <w:t xml:space="preserve"> </w:t>
      </w:r>
      <w:r w:rsidR="006E1127">
        <w:t>a</w:t>
      </w:r>
      <w:r w:rsidR="003D640C">
        <w:t xml:space="preserve"> </w:t>
      </w:r>
      <w:r w:rsidR="006E1127">
        <w:t>member</w:t>
      </w:r>
      <w:r w:rsidR="003D640C">
        <w:t xml:space="preserve"> </w:t>
      </w:r>
      <w:r w:rsidR="006E1127">
        <w:t>of</w:t>
      </w:r>
      <w:r w:rsidR="003D640C">
        <w:t xml:space="preserve"> </w:t>
      </w:r>
      <w:r w:rsidR="006E1127">
        <w:t>the</w:t>
      </w:r>
      <w:r w:rsidR="003D640C">
        <w:t xml:space="preserve"> </w:t>
      </w:r>
      <w:r w:rsidR="006E1127">
        <w:t>Rainbow+</w:t>
      </w:r>
      <w:r w:rsidR="003D640C">
        <w:t xml:space="preserve"> </w:t>
      </w:r>
      <w:r w:rsidR="006E1127">
        <w:t>community</w:t>
      </w:r>
      <w:r w:rsidR="000F2F9A">
        <w:t>.</w:t>
      </w:r>
      <w:r w:rsidR="004520AA">
        <w:rPr>
          <w:rStyle w:val="FootnoteReference"/>
        </w:rPr>
        <w:footnoteReference w:id="196"/>
      </w:r>
    </w:p>
    <w:p w14:paraId="0BB4EB5A" w14:textId="28C4D51C" w:rsidR="0054499F" w:rsidRPr="00BB6220" w:rsidRDefault="00507800" w:rsidP="00747446">
      <w:r w:rsidRPr="00BB6220">
        <w:t>Another</w:t>
      </w:r>
      <w:r w:rsidR="003D640C">
        <w:t xml:space="preserve"> </w:t>
      </w:r>
      <w:r w:rsidR="00035BAF" w:rsidRPr="00BB6220">
        <w:t>study</w:t>
      </w:r>
      <w:r w:rsidR="003D640C">
        <w:t xml:space="preserve"> </w:t>
      </w:r>
      <w:r w:rsidR="00506BB2">
        <w:t>focusing</w:t>
      </w:r>
      <w:r w:rsidR="003D640C">
        <w:t xml:space="preserve"> </w:t>
      </w:r>
      <w:r w:rsidR="00035BAF" w:rsidRPr="00BB6220">
        <w:t>on</w:t>
      </w:r>
      <w:r w:rsidR="003D640C">
        <w:t xml:space="preserve"> </w:t>
      </w:r>
      <w:r w:rsidR="00035BAF" w:rsidRPr="00BB6220">
        <w:t>trans</w:t>
      </w:r>
      <w:r w:rsidR="00C6639D" w:rsidRPr="00BB6220">
        <w:t>gender</w:t>
      </w:r>
      <w:r w:rsidR="003D640C">
        <w:t xml:space="preserve"> </w:t>
      </w:r>
      <w:r w:rsidR="00035BAF" w:rsidRPr="00BB6220">
        <w:t>and</w:t>
      </w:r>
      <w:r w:rsidR="003D640C">
        <w:t xml:space="preserve"> </w:t>
      </w:r>
      <w:r w:rsidR="00035BAF" w:rsidRPr="00BB6220">
        <w:t>non-binary</w:t>
      </w:r>
      <w:r w:rsidR="003D640C">
        <w:t xml:space="preserve"> </w:t>
      </w:r>
      <w:r w:rsidR="00035BAF" w:rsidRPr="00BB6220">
        <w:t>people</w:t>
      </w:r>
      <w:r w:rsidR="003D640C">
        <w:t xml:space="preserve"> </w:t>
      </w:r>
      <w:r w:rsidR="00035BAF" w:rsidRPr="00BB6220">
        <w:t>showed</w:t>
      </w:r>
      <w:r w:rsidR="003D640C">
        <w:t xml:space="preserve"> </w:t>
      </w:r>
      <w:r w:rsidR="00035BAF" w:rsidRPr="00BB6220">
        <w:t>17</w:t>
      </w:r>
      <w:r w:rsidR="001D1BF7">
        <w:t xml:space="preserve"> percent</w:t>
      </w:r>
      <w:r w:rsidR="003D640C">
        <w:t xml:space="preserve"> </w:t>
      </w:r>
      <w:r w:rsidR="00035BAF" w:rsidRPr="00BB6220">
        <w:t>of</w:t>
      </w:r>
      <w:r w:rsidR="003D640C">
        <w:t xml:space="preserve"> </w:t>
      </w:r>
      <w:r w:rsidR="00035BAF" w:rsidRPr="00BB6220">
        <w:t>Pacific</w:t>
      </w:r>
      <w:r w:rsidR="003D640C">
        <w:t xml:space="preserve"> </w:t>
      </w:r>
      <w:r w:rsidR="00131F10">
        <w:t xml:space="preserve">survey respondents </w:t>
      </w:r>
      <w:r w:rsidR="00035BAF" w:rsidRPr="00BB6220">
        <w:t>had</w:t>
      </w:r>
      <w:r w:rsidR="003D640C">
        <w:t xml:space="preserve"> </w:t>
      </w:r>
      <w:r w:rsidR="00DD759E" w:rsidRPr="00BB6220">
        <w:t>been</w:t>
      </w:r>
      <w:r w:rsidR="003D640C">
        <w:t xml:space="preserve"> </w:t>
      </w:r>
      <w:r w:rsidR="00035BAF" w:rsidRPr="00BB6220">
        <w:t>expos</w:t>
      </w:r>
      <w:r w:rsidR="00B34F32" w:rsidRPr="00BB6220">
        <w:t>ed</w:t>
      </w:r>
      <w:r w:rsidR="003D640C">
        <w:t xml:space="preserve"> </w:t>
      </w:r>
      <w:r w:rsidR="00035BAF" w:rsidRPr="00BB6220" w:rsidDel="00B34F32">
        <w:t>t</w:t>
      </w:r>
      <w:r w:rsidR="00035BAF" w:rsidRPr="00BB6220">
        <w:t>o</w:t>
      </w:r>
      <w:r w:rsidR="003D640C">
        <w:t xml:space="preserve"> </w:t>
      </w:r>
      <w:r w:rsidR="00035BAF" w:rsidRPr="00BB6220">
        <w:t>gender</w:t>
      </w:r>
      <w:r w:rsidR="003D640C">
        <w:t xml:space="preserve"> </w:t>
      </w:r>
      <w:r w:rsidR="00B27029">
        <w:t>identity</w:t>
      </w:r>
      <w:r w:rsidR="00B34F32" w:rsidRPr="00BB6220">
        <w:t>-</w:t>
      </w:r>
      <w:r w:rsidR="00035BAF" w:rsidRPr="00BB6220">
        <w:t>based</w:t>
      </w:r>
      <w:r w:rsidR="003D640C">
        <w:t xml:space="preserve"> </w:t>
      </w:r>
      <w:r w:rsidR="00035BAF" w:rsidRPr="00BB6220">
        <w:t>conversion</w:t>
      </w:r>
      <w:r w:rsidR="003D640C">
        <w:t xml:space="preserve"> </w:t>
      </w:r>
      <w:r w:rsidR="00035BAF" w:rsidRPr="00BB6220">
        <w:t>practices</w:t>
      </w:r>
      <w:r w:rsidR="003D640C">
        <w:t xml:space="preserve"> </w:t>
      </w:r>
      <w:r w:rsidR="00F23680" w:rsidRPr="00BB6220">
        <w:t>from</w:t>
      </w:r>
      <w:r w:rsidR="003D640C">
        <w:t xml:space="preserve"> </w:t>
      </w:r>
      <w:r w:rsidR="00F23680" w:rsidRPr="00BB6220">
        <w:t>a</w:t>
      </w:r>
      <w:r w:rsidR="003D640C">
        <w:t xml:space="preserve"> </w:t>
      </w:r>
      <w:r w:rsidR="00F23680" w:rsidRPr="00BB6220">
        <w:t>health</w:t>
      </w:r>
      <w:r w:rsidR="003D640C">
        <w:t xml:space="preserve"> </w:t>
      </w:r>
      <w:r w:rsidR="00F23680" w:rsidRPr="00BB6220">
        <w:t>professional</w:t>
      </w:r>
      <w:r w:rsidR="00035BAF" w:rsidRPr="00BB6220">
        <w:t>.</w:t>
      </w:r>
      <w:r w:rsidR="00035BAF" w:rsidRPr="00BB6220">
        <w:rPr>
          <w:rStyle w:val="FootnoteReference"/>
        </w:rPr>
        <w:footnoteReference w:id="197"/>
      </w:r>
      <w:r w:rsidR="003D640C">
        <w:t xml:space="preserve"> </w:t>
      </w:r>
      <w:r w:rsidR="00035BAF" w:rsidRPr="00BB6220">
        <w:t>The</w:t>
      </w:r>
      <w:r w:rsidR="003D640C">
        <w:t xml:space="preserve"> </w:t>
      </w:r>
      <w:r w:rsidR="00035BAF" w:rsidRPr="00BB6220">
        <w:t>same</w:t>
      </w:r>
      <w:r w:rsidR="003D640C">
        <w:t xml:space="preserve"> </w:t>
      </w:r>
      <w:r w:rsidR="00035BAF" w:rsidRPr="00BB6220">
        <w:t>study</w:t>
      </w:r>
      <w:r w:rsidR="003D640C">
        <w:t xml:space="preserve"> </w:t>
      </w:r>
      <w:r w:rsidR="00035BAF" w:rsidRPr="00BB6220">
        <w:t>showed</w:t>
      </w:r>
      <w:r w:rsidR="003D640C">
        <w:t xml:space="preserve"> </w:t>
      </w:r>
      <w:r w:rsidR="00035BAF" w:rsidRPr="00BB6220">
        <w:t>a</w:t>
      </w:r>
      <w:r w:rsidR="003D640C">
        <w:t xml:space="preserve"> </w:t>
      </w:r>
      <w:r w:rsidR="00035BAF" w:rsidRPr="00BB6220">
        <w:t>further</w:t>
      </w:r>
      <w:r w:rsidR="003D640C">
        <w:t xml:space="preserve"> </w:t>
      </w:r>
      <w:r w:rsidR="00035BAF" w:rsidRPr="00BB6220">
        <w:t>1</w:t>
      </w:r>
      <w:r w:rsidR="0050368F">
        <w:t>3</w:t>
      </w:r>
      <w:r w:rsidR="001D1BF7">
        <w:t xml:space="preserve"> percent</w:t>
      </w:r>
      <w:r w:rsidR="003D640C">
        <w:t xml:space="preserve"> </w:t>
      </w:r>
      <w:r w:rsidR="0047018A" w:rsidRPr="00BB6220">
        <w:t>of</w:t>
      </w:r>
      <w:r w:rsidR="003D640C">
        <w:t xml:space="preserve"> </w:t>
      </w:r>
      <w:r w:rsidR="0047018A" w:rsidRPr="00BB6220">
        <w:t>Pacific</w:t>
      </w:r>
      <w:r w:rsidR="003D640C">
        <w:t xml:space="preserve"> </w:t>
      </w:r>
      <w:r w:rsidR="0047018A" w:rsidRPr="00BB6220">
        <w:t>peoples</w:t>
      </w:r>
      <w:r w:rsidR="003D640C">
        <w:t xml:space="preserve"> </w:t>
      </w:r>
      <w:r w:rsidR="00035BAF" w:rsidRPr="00BB6220">
        <w:t>did</w:t>
      </w:r>
      <w:r w:rsidR="003D640C">
        <w:t xml:space="preserve"> </w:t>
      </w:r>
      <w:r w:rsidR="00035BAF" w:rsidRPr="00BB6220">
        <w:t>not</w:t>
      </w:r>
      <w:r w:rsidR="003D640C">
        <w:t xml:space="preserve"> </w:t>
      </w:r>
      <w:r w:rsidR="00035BAF" w:rsidRPr="00BB6220">
        <w:t>know</w:t>
      </w:r>
      <w:r w:rsidR="003D640C">
        <w:t xml:space="preserve"> </w:t>
      </w:r>
      <w:r w:rsidR="00035BAF" w:rsidRPr="00BB6220">
        <w:t>if</w:t>
      </w:r>
      <w:r w:rsidR="003D640C">
        <w:t xml:space="preserve"> </w:t>
      </w:r>
      <w:r w:rsidR="00370E52" w:rsidRPr="00BB6220">
        <w:t>they</w:t>
      </w:r>
      <w:r w:rsidR="003D640C">
        <w:t xml:space="preserve"> </w:t>
      </w:r>
      <w:r w:rsidR="00370E52" w:rsidRPr="00BB6220">
        <w:t>had</w:t>
      </w:r>
      <w:r w:rsidR="003D640C">
        <w:t xml:space="preserve"> </w:t>
      </w:r>
      <w:r w:rsidR="00370E52" w:rsidRPr="00BB6220">
        <w:t>been</w:t>
      </w:r>
      <w:r w:rsidR="003D640C">
        <w:t xml:space="preserve"> </w:t>
      </w:r>
      <w:r w:rsidR="00370E52" w:rsidRPr="00BB6220">
        <w:t>exposed.</w:t>
      </w:r>
      <w:r w:rsidR="003D640C">
        <w:t xml:space="preserve"> </w:t>
      </w:r>
    </w:p>
    <w:p w14:paraId="21FC48BD" w14:textId="0BCB1FE7" w:rsidR="00643927" w:rsidRPr="00BB6220" w:rsidRDefault="003D3AF0" w:rsidP="00747446">
      <w:pPr>
        <w:pStyle w:val="Quote"/>
      </w:pPr>
      <w:r w:rsidRPr="00BB6220">
        <w:t>“It’s</w:t>
      </w:r>
      <w:r w:rsidR="003D640C">
        <w:t xml:space="preserve"> </w:t>
      </w:r>
      <w:r w:rsidRPr="00BB6220">
        <w:t>like</w:t>
      </w:r>
      <w:r w:rsidR="003D640C">
        <w:t xml:space="preserve"> </w:t>
      </w:r>
      <w:r w:rsidRPr="00BB6220">
        <w:t>being</w:t>
      </w:r>
      <w:r w:rsidR="003D640C">
        <w:t xml:space="preserve"> </w:t>
      </w:r>
      <w:r w:rsidRPr="00BB6220">
        <w:t>part</w:t>
      </w:r>
      <w:r w:rsidR="003D640C">
        <w:t xml:space="preserve"> </w:t>
      </w:r>
      <w:r w:rsidRPr="00BB6220">
        <w:t>of</w:t>
      </w:r>
      <w:r w:rsidR="003D640C">
        <w:t xml:space="preserve"> </w:t>
      </w:r>
      <w:r w:rsidRPr="00BB6220">
        <w:t>an</w:t>
      </w:r>
      <w:r w:rsidR="003D640C">
        <w:t xml:space="preserve"> </w:t>
      </w:r>
      <w:r w:rsidRPr="00BB6220">
        <w:t>emotionally</w:t>
      </w:r>
      <w:r w:rsidR="003D640C">
        <w:t xml:space="preserve"> </w:t>
      </w:r>
      <w:r w:rsidRPr="00BB6220">
        <w:t>or</w:t>
      </w:r>
      <w:r w:rsidR="003D640C">
        <w:t xml:space="preserve"> </w:t>
      </w:r>
      <w:r w:rsidRPr="00BB6220">
        <w:t>psychologically</w:t>
      </w:r>
      <w:r w:rsidR="003D640C">
        <w:t xml:space="preserve"> </w:t>
      </w:r>
      <w:r w:rsidRPr="00BB6220">
        <w:t>abusive</w:t>
      </w:r>
      <w:r w:rsidR="003D640C">
        <w:t xml:space="preserve"> </w:t>
      </w:r>
      <w:r w:rsidRPr="00BB6220">
        <w:t>relationship.</w:t>
      </w:r>
      <w:r w:rsidRPr="00BB6220" w:rsidDel="008E1CCA">
        <w:t xml:space="preserve"> </w:t>
      </w:r>
      <w:r w:rsidRPr="00BB6220">
        <w:t>So</w:t>
      </w:r>
      <w:r w:rsidR="003D640C">
        <w:t xml:space="preserve"> </w:t>
      </w:r>
      <w:r w:rsidRPr="00BB6220">
        <w:t>you</w:t>
      </w:r>
      <w:r w:rsidR="003D640C">
        <w:t xml:space="preserve"> </w:t>
      </w:r>
      <w:r w:rsidRPr="00BB6220">
        <w:t>have</w:t>
      </w:r>
      <w:r w:rsidR="003D640C">
        <w:t xml:space="preserve"> </w:t>
      </w:r>
      <w:r w:rsidRPr="00BB6220">
        <w:t>the</w:t>
      </w:r>
      <w:r w:rsidR="003D640C">
        <w:t xml:space="preserve"> </w:t>
      </w:r>
      <w:r w:rsidRPr="00BB6220">
        <w:t>positive</w:t>
      </w:r>
      <w:r w:rsidR="003D640C">
        <w:t xml:space="preserve"> </w:t>
      </w:r>
      <w:r w:rsidRPr="00BB6220">
        <w:t>side</w:t>
      </w:r>
      <w:r w:rsidR="003D640C">
        <w:t xml:space="preserve"> </w:t>
      </w:r>
      <w:r w:rsidRPr="00BB6220">
        <w:t>of</w:t>
      </w:r>
      <w:r w:rsidR="003D640C">
        <w:t xml:space="preserve"> </w:t>
      </w:r>
      <w:r w:rsidRPr="00BB6220">
        <w:t>it</w:t>
      </w:r>
      <w:r w:rsidR="003D640C">
        <w:t xml:space="preserve"> </w:t>
      </w:r>
      <w:r w:rsidRPr="00BB6220">
        <w:t>where</w:t>
      </w:r>
      <w:r w:rsidR="003D640C">
        <w:t xml:space="preserve"> </w:t>
      </w:r>
      <w:r w:rsidRPr="00BB6220">
        <w:t>people</w:t>
      </w:r>
      <w:r w:rsidR="003D640C">
        <w:t xml:space="preserve"> </w:t>
      </w:r>
      <w:r w:rsidRPr="00BB6220">
        <w:t>are</w:t>
      </w:r>
      <w:r w:rsidR="003D640C">
        <w:t xml:space="preserve"> </w:t>
      </w:r>
      <w:r w:rsidRPr="00BB6220">
        <w:t>really</w:t>
      </w:r>
      <w:r w:rsidR="003D640C">
        <w:t xml:space="preserve"> </w:t>
      </w:r>
      <w:r w:rsidRPr="00BB6220">
        <w:t>loving</w:t>
      </w:r>
      <w:r w:rsidR="003D640C">
        <w:t xml:space="preserve"> </w:t>
      </w:r>
      <w:r w:rsidRPr="00BB6220">
        <w:t>and</w:t>
      </w:r>
      <w:r w:rsidR="003D640C">
        <w:t xml:space="preserve"> </w:t>
      </w:r>
      <w:r w:rsidRPr="00BB6220">
        <w:t>welcoming</w:t>
      </w:r>
      <w:r w:rsidR="003D640C">
        <w:t xml:space="preserve"> </w:t>
      </w:r>
      <w:r w:rsidRPr="00BB6220">
        <w:t>and</w:t>
      </w:r>
      <w:r w:rsidR="003D640C">
        <w:t xml:space="preserve"> </w:t>
      </w:r>
      <w:r w:rsidRPr="00BB6220">
        <w:t>say</w:t>
      </w:r>
      <w:r w:rsidR="003D640C">
        <w:t xml:space="preserve"> </w:t>
      </w:r>
      <w:r w:rsidRPr="00BB6220">
        <w:t>positive</w:t>
      </w:r>
      <w:r w:rsidR="003D640C">
        <w:t xml:space="preserve"> </w:t>
      </w:r>
      <w:r w:rsidRPr="00BB6220">
        <w:t>things</w:t>
      </w:r>
      <w:r w:rsidR="003D640C">
        <w:t xml:space="preserve"> </w:t>
      </w:r>
      <w:r w:rsidRPr="00BB6220">
        <w:t>to</w:t>
      </w:r>
      <w:r w:rsidR="003D640C">
        <w:t xml:space="preserve"> </w:t>
      </w:r>
      <w:r w:rsidRPr="00BB6220">
        <w:t>you</w:t>
      </w:r>
      <w:r w:rsidR="003D640C">
        <w:t xml:space="preserve"> </w:t>
      </w:r>
      <w:r w:rsidRPr="00BB6220">
        <w:t>and</w:t>
      </w:r>
      <w:r w:rsidR="003D640C">
        <w:t xml:space="preserve"> </w:t>
      </w:r>
      <w:r w:rsidRPr="00BB6220">
        <w:t>make</w:t>
      </w:r>
      <w:r w:rsidR="003D640C">
        <w:t xml:space="preserve"> </w:t>
      </w:r>
      <w:r w:rsidRPr="00BB6220">
        <w:t>you</w:t>
      </w:r>
      <w:r w:rsidR="003D640C">
        <w:t xml:space="preserve"> </w:t>
      </w:r>
      <w:r w:rsidRPr="00BB6220">
        <w:t>feel</w:t>
      </w:r>
      <w:r w:rsidR="003D640C">
        <w:t xml:space="preserve"> </w:t>
      </w:r>
      <w:r w:rsidRPr="00BB6220">
        <w:t>part</w:t>
      </w:r>
      <w:r w:rsidR="003D640C">
        <w:t xml:space="preserve"> </w:t>
      </w:r>
      <w:r w:rsidRPr="00BB6220">
        <w:t>of</w:t>
      </w:r>
      <w:r w:rsidR="003D640C">
        <w:t xml:space="preserve"> </w:t>
      </w:r>
      <w:r w:rsidRPr="00BB6220">
        <w:t>the</w:t>
      </w:r>
      <w:r w:rsidR="003D640C">
        <w:t xml:space="preserve"> </w:t>
      </w:r>
      <w:r w:rsidRPr="00BB6220">
        <w:t>community</w:t>
      </w:r>
      <w:r w:rsidR="003D640C">
        <w:t xml:space="preserve"> </w:t>
      </w:r>
      <w:r w:rsidRPr="00BB6220">
        <w:t>and</w:t>
      </w:r>
      <w:r w:rsidR="003D640C">
        <w:t xml:space="preserve"> </w:t>
      </w:r>
      <w:r w:rsidRPr="00BB6220">
        <w:t>like</w:t>
      </w:r>
      <w:r w:rsidR="003D640C">
        <w:t xml:space="preserve"> </w:t>
      </w:r>
      <w:r w:rsidRPr="00BB6220">
        <w:t>you’re</w:t>
      </w:r>
      <w:r w:rsidR="003D640C">
        <w:t xml:space="preserve"> </w:t>
      </w:r>
      <w:r w:rsidRPr="00BB6220">
        <w:t>important.</w:t>
      </w:r>
      <w:r w:rsidRPr="00BB6220" w:rsidDel="008E1CCA">
        <w:t xml:space="preserve"> </w:t>
      </w:r>
      <w:r w:rsidRPr="00BB6220">
        <w:t>But</w:t>
      </w:r>
      <w:r w:rsidR="003D640C">
        <w:t xml:space="preserve"> </w:t>
      </w:r>
      <w:r w:rsidRPr="00BB6220">
        <w:t>they’re</w:t>
      </w:r>
      <w:r w:rsidR="003D640C">
        <w:t xml:space="preserve"> </w:t>
      </w:r>
      <w:r w:rsidRPr="00BB6220">
        <w:t>also</w:t>
      </w:r>
      <w:r w:rsidR="003D640C">
        <w:t xml:space="preserve"> </w:t>
      </w:r>
      <w:r w:rsidRPr="00BB6220">
        <w:t>making</w:t>
      </w:r>
      <w:r w:rsidR="003D640C">
        <w:t xml:space="preserve"> </w:t>
      </w:r>
      <w:r w:rsidRPr="00BB6220">
        <w:t>you</w:t>
      </w:r>
      <w:r w:rsidR="003D640C">
        <w:t xml:space="preserve"> </w:t>
      </w:r>
      <w:r w:rsidRPr="00BB6220">
        <w:t>agree</w:t>
      </w:r>
      <w:r w:rsidR="003D640C">
        <w:t xml:space="preserve"> </w:t>
      </w:r>
      <w:r w:rsidRPr="00BB6220">
        <w:t>to</w:t>
      </w:r>
      <w:r w:rsidR="003D640C">
        <w:t xml:space="preserve"> </w:t>
      </w:r>
      <w:r w:rsidRPr="00BB6220">
        <w:t>what</w:t>
      </w:r>
      <w:r w:rsidR="003D640C">
        <w:t xml:space="preserve"> </w:t>
      </w:r>
      <w:r w:rsidRPr="00BB6220">
        <w:t>they</w:t>
      </w:r>
      <w:r w:rsidR="003D640C">
        <w:t xml:space="preserve"> </w:t>
      </w:r>
      <w:r w:rsidRPr="00BB6220">
        <w:t>say.</w:t>
      </w:r>
      <w:r w:rsidR="003D640C">
        <w:t xml:space="preserve"> </w:t>
      </w:r>
      <w:r w:rsidRPr="00BB6220">
        <w:t>There’s</w:t>
      </w:r>
      <w:r w:rsidR="003D640C">
        <w:t xml:space="preserve"> </w:t>
      </w:r>
      <w:r w:rsidRPr="00BB6220">
        <w:t>that</w:t>
      </w:r>
      <w:r w:rsidR="003D640C">
        <w:t xml:space="preserve"> </w:t>
      </w:r>
      <w:r w:rsidRPr="00BB6220">
        <w:t>element</w:t>
      </w:r>
      <w:r w:rsidR="003D640C">
        <w:t xml:space="preserve"> </w:t>
      </w:r>
      <w:r w:rsidRPr="00BB6220">
        <w:t>of</w:t>
      </w:r>
      <w:r w:rsidR="003D640C">
        <w:t xml:space="preserve"> </w:t>
      </w:r>
      <w:r w:rsidRPr="00BB6220">
        <w:t>control.”</w:t>
      </w:r>
      <w:r w:rsidRPr="00BB6220" w:rsidDel="008E1CCA">
        <w:t xml:space="preserve"> </w:t>
      </w:r>
      <w:r w:rsidRPr="00BB6220">
        <w:t>Pacific,</w:t>
      </w:r>
      <w:r w:rsidR="003D640C">
        <w:t xml:space="preserve"> </w:t>
      </w:r>
      <w:r w:rsidRPr="00BB6220">
        <w:t>non-binary</w:t>
      </w:r>
    </w:p>
    <w:p w14:paraId="551D62A5" w14:textId="25464120" w:rsidR="00035BAF" w:rsidRPr="00BB6220" w:rsidRDefault="00035BAF" w:rsidP="00747446">
      <w:r w:rsidRPr="00BB6220">
        <w:t>Another</w:t>
      </w:r>
      <w:r w:rsidR="003D640C">
        <w:t xml:space="preserve"> </w:t>
      </w:r>
      <w:r w:rsidRPr="00BB6220">
        <w:t>study</w:t>
      </w:r>
      <w:r w:rsidR="003D640C">
        <w:t xml:space="preserve"> </w:t>
      </w:r>
      <w:r w:rsidRPr="00BB6220">
        <w:t>on</w:t>
      </w:r>
      <w:r w:rsidR="003D640C">
        <w:t xml:space="preserve"> </w:t>
      </w:r>
      <w:r w:rsidRPr="00BB6220">
        <w:t>sexual</w:t>
      </w:r>
      <w:r w:rsidR="003D640C">
        <w:t xml:space="preserve"> </w:t>
      </w:r>
      <w:r w:rsidRPr="00BB6220">
        <w:t>orientation</w:t>
      </w:r>
      <w:r w:rsidR="003D640C">
        <w:t xml:space="preserve"> </w:t>
      </w:r>
      <w:r w:rsidRPr="00BB6220">
        <w:t>and</w:t>
      </w:r>
      <w:r w:rsidR="003D640C">
        <w:t xml:space="preserve"> </w:t>
      </w:r>
      <w:r w:rsidRPr="00BB6220">
        <w:t>gender</w:t>
      </w:r>
      <w:r w:rsidR="003D640C">
        <w:t xml:space="preserve"> </w:t>
      </w:r>
      <w:r w:rsidR="00564BC3">
        <w:t>identity</w:t>
      </w:r>
      <w:r w:rsidRPr="00BB6220">
        <w:t>-based</w:t>
      </w:r>
      <w:r w:rsidR="003D640C">
        <w:t xml:space="preserve"> </w:t>
      </w:r>
      <w:r w:rsidRPr="00BB6220">
        <w:t>conversion</w:t>
      </w:r>
      <w:r w:rsidR="003D640C">
        <w:t xml:space="preserve"> </w:t>
      </w:r>
      <w:r w:rsidRPr="00BB6220">
        <w:t>practices</w:t>
      </w:r>
      <w:r w:rsidR="003D640C">
        <w:t xml:space="preserve"> </w:t>
      </w:r>
      <w:r w:rsidR="00131F10">
        <w:t xml:space="preserve">reported </w:t>
      </w:r>
      <w:r w:rsidRPr="00BB6220">
        <w:t>3</w:t>
      </w:r>
      <w:r w:rsidR="001D1BF7">
        <w:t xml:space="preserve"> percent</w:t>
      </w:r>
      <w:r w:rsidR="003D640C">
        <w:t xml:space="preserve"> </w:t>
      </w:r>
      <w:r w:rsidRPr="00BB6220">
        <w:t>of</w:t>
      </w:r>
      <w:r w:rsidR="003D640C">
        <w:t xml:space="preserve"> </w:t>
      </w:r>
      <w:r w:rsidRPr="00BB6220">
        <w:t>Samoan</w:t>
      </w:r>
      <w:r w:rsidR="003D640C">
        <w:t xml:space="preserve"> </w:t>
      </w:r>
      <w:r w:rsidRPr="00BB6220">
        <w:t>participants,</w:t>
      </w:r>
      <w:r w:rsidR="003D640C">
        <w:t xml:space="preserve"> </w:t>
      </w:r>
      <w:r w:rsidRPr="00BB6220">
        <w:t>2</w:t>
      </w:r>
      <w:r w:rsidR="001D1BF7">
        <w:t xml:space="preserve"> percent</w:t>
      </w:r>
      <w:r w:rsidR="003D640C">
        <w:t xml:space="preserve"> </w:t>
      </w:r>
      <w:r w:rsidRPr="00BB6220">
        <w:t>of</w:t>
      </w:r>
      <w:r w:rsidR="003D640C">
        <w:t xml:space="preserve"> </w:t>
      </w:r>
      <w:r w:rsidRPr="00BB6220">
        <w:t>Tongan</w:t>
      </w:r>
      <w:r w:rsidR="003D640C">
        <w:t xml:space="preserve"> </w:t>
      </w:r>
      <w:r w:rsidRPr="00BB6220">
        <w:t>participants</w:t>
      </w:r>
      <w:r w:rsidR="00FE2FBF">
        <w:t>,</w:t>
      </w:r>
      <w:r w:rsidR="003D640C">
        <w:t xml:space="preserve"> </w:t>
      </w:r>
      <w:r w:rsidR="00430388" w:rsidRPr="00BB6220">
        <w:t>and</w:t>
      </w:r>
      <w:r w:rsidR="003D640C">
        <w:t xml:space="preserve"> </w:t>
      </w:r>
      <w:r w:rsidR="0097619F">
        <w:t>0</w:t>
      </w:r>
      <w:r w:rsidR="001D1BF7">
        <w:t xml:space="preserve"> percent</w:t>
      </w:r>
      <w:r w:rsidR="003D640C">
        <w:t xml:space="preserve"> </w:t>
      </w:r>
      <w:r w:rsidR="0097619F">
        <w:t>of</w:t>
      </w:r>
      <w:r w:rsidR="003D640C">
        <w:t xml:space="preserve"> </w:t>
      </w:r>
      <w:r w:rsidR="00430388" w:rsidRPr="00BB6220">
        <w:t>Cook</w:t>
      </w:r>
      <w:r w:rsidR="003D640C">
        <w:t xml:space="preserve"> </w:t>
      </w:r>
      <w:r w:rsidR="00430388" w:rsidRPr="00BB6220">
        <w:t>Island</w:t>
      </w:r>
      <w:r w:rsidR="003D640C">
        <w:t xml:space="preserve"> </w:t>
      </w:r>
      <w:r w:rsidR="00430388" w:rsidRPr="00BB6220">
        <w:t>Māori</w:t>
      </w:r>
      <w:r w:rsidR="003D640C">
        <w:t xml:space="preserve"> </w:t>
      </w:r>
      <w:r w:rsidR="00DE0FD3">
        <w:t>had</w:t>
      </w:r>
      <w:r w:rsidR="003D640C">
        <w:t xml:space="preserve"> </w:t>
      </w:r>
      <w:r w:rsidRPr="00BB6220">
        <w:t>experienced</w:t>
      </w:r>
      <w:r w:rsidR="003D640C">
        <w:t xml:space="preserve"> </w:t>
      </w:r>
      <w:r w:rsidRPr="00BB6220">
        <w:t>conversion</w:t>
      </w:r>
      <w:r w:rsidR="003D640C">
        <w:t xml:space="preserve"> </w:t>
      </w:r>
      <w:r w:rsidRPr="00BB6220">
        <w:t>practices.</w:t>
      </w:r>
      <w:r w:rsidRPr="00BB6220">
        <w:rPr>
          <w:rStyle w:val="FootnoteReference"/>
        </w:rPr>
        <w:footnoteReference w:id="198"/>
      </w:r>
      <w:r w:rsidR="003D640C">
        <w:t xml:space="preserve"> </w:t>
      </w:r>
      <w:r w:rsidR="000117BA">
        <w:t>In</w:t>
      </w:r>
      <w:r w:rsidR="003D640C">
        <w:t xml:space="preserve"> </w:t>
      </w:r>
      <w:r w:rsidR="000117BA">
        <w:t>addition</w:t>
      </w:r>
      <w:r w:rsidR="003D640C">
        <w:t xml:space="preserve"> </w:t>
      </w:r>
      <w:r w:rsidR="000117BA">
        <w:t>to</w:t>
      </w:r>
      <w:r w:rsidR="003D640C">
        <w:t xml:space="preserve"> </w:t>
      </w:r>
      <w:r w:rsidR="000117BA">
        <w:t>these</w:t>
      </w:r>
      <w:r w:rsidR="003D640C">
        <w:t xml:space="preserve"> </w:t>
      </w:r>
      <w:r w:rsidR="000117BA">
        <w:t>percentages</w:t>
      </w:r>
      <w:r w:rsidR="003D640C">
        <w:t xml:space="preserve"> </w:t>
      </w:r>
      <w:r w:rsidR="004A7ED8">
        <w:t>of</w:t>
      </w:r>
      <w:r w:rsidR="003D640C">
        <w:t xml:space="preserve"> </w:t>
      </w:r>
      <w:r w:rsidR="004A7ED8">
        <w:t>survey</w:t>
      </w:r>
      <w:r w:rsidR="003D640C">
        <w:t xml:space="preserve"> </w:t>
      </w:r>
      <w:r w:rsidR="004A7ED8">
        <w:t>respondents</w:t>
      </w:r>
      <w:r w:rsidR="003D640C">
        <w:t xml:space="preserve"> </w:t>
      </w:r>
      <w:r w:rsidR="000117BA">
        <w:t>reporting</w:t>
      </w:r>
      <w:r w:rsidR="003D640C">
        <w:t xml:space="preserve"> </w:t>
      </w:r>
      <w:r w:rsidR="000117BA">
        <w:t>experiences</w:t>
      </w:r>
      <w:r w:rsidR="003D640C">
        <w:t xml:space="preserve"> </w:t>
      </w:r>
      <w:r w:rsidR="000117BA">
        <w:t>with</w:t>
      </w:r>
      <w:r w:rsidR="003D640C">
        <w:t xml:space="preserve"> </w:t>
      </w:r>
      <w:r w:rsidR="000117BA">
        <w:t>conversion</w:t>
      </w:r>
      <w:r w:rsidR="003D640C">
        <w:t xml:space="preserve"> </w:t>
      </w:r>
      <w:r w:rsidR="000117BA">
        <w:t>practices,</w:t>
      </w:r>
      <w:r w:rsidR="003D640C">
        <w:t xml:space="preserve"> </w:t>
      </w:r>
      <w:r w:rsidR="002A0EA4">
        <w:t>other</w:t>
      </w:r>
      <w:r w:rsidR="003D640C">
        <w:t xml:space="preserve"> </w:t>
      </w:r>
      <w:r w:rsidR="002A0EA4">
        <w:t>respondents</w:t>
      </w:r>
      <w:r w:rsidR="003D640C">
        <w:t xml:space="preserve"> </w:t>
      </w:r>
      <w:r w:rsidR="003A06F3">
        <w:t>reported</w:t>
      </w:r>
      <w:r w:rsidR="003D640C">
        <w:t xml:space="preserve"> </w:t>
      </w:r>
      <w:r w:rsidR="003A06F3">
        <w:t>that</w:t>
      </w:r>
      <w:r w:rsidR="003D640C">
        <w:t xml:space="preserve"> </w:t>
      </w:r>
      <w:r w:rsidR="00D933D7">
        <w:t>they</w:t>
      </w:r>
      <w:r w:rsidR="003D640C">
        <w:t xml:space="preserve"> </w:t>
      </w:r>
      <w:r w:rsidR="00D933D7">
        <w:t>found</w:t>
      </w:r>
      <w:r w:rsidR="003D640C">
        <w:t xml:space="preserve"> </w:t>
      </w:r>
      <w:r w:rsidR="00D933D7">
        <w:t>the</w:t>
      </w:r>
      <w:r w:rsidR="003D640C">
        <w:t xml:space="preserve"> </w:t>
      </w:r>
      <w:r w:rsidR="00D933D7">
        <w:t>topic</w:t>
      </w:r>
      <w:r w:rsidR="003D640C">
        <w:t xml:space="preserve"> </w:t>
      </w:r>
      <w:r w:rsidR="00D933D7">
        <w:t>upsetting</w:t>
      </w:r>
      <w:r w:rsidR="003D640C">
        <w:t xml:space="preserve"> </w:t>
      </w:r>
      <w:r w:rsidR="00DC676D">
        <w:t>or</w:t>
      </w:r>
      <w:r w:rsidR="003D640C">
        <w:t xml:space="preserve"> </w:t>
      </w:r>
      <w:r w:rsidR="00DC676D">
        <w:t>preferred</w:t>
      </w:r>
      <w:r w:rsidR="003D640C">
        <w:t xml:space="preserve"> </w:t>
      </w:r>
      <w:r w:rsidR="00DC676D">
        <w:t>not</w:t>
      </w:r>
      <w:r w:rsidR="003D640C">
        <w:t xml:space="preserve"> </w:t>
      </w:r>
      <w:r w:rsidR="00DC676D">
        <w:t>to</w:t>
      </w:r>
      <w:r w:rsidR="003D640C">
        <w:t xml:space="preserve"> </w:t>
      </w:r>
      <w:r w:rsidR="00DC676D">
        <w:t>say</w:t>
      </w:r>
      <w:r w:rsidR="003D640C">
        <w:t xml:space="preserve"> </w:t>
      </w:r>
      <w:r w:rsidR="009045F2">
        <w:t>regarding</w:t>
      </w:r>
      <w:r w:rsidR="003D640C">
        <w:t xml:space="preserve"> </w:t>
      </w:r>
      <w:r w:rsidR="009045F2">
        <w:t>the</w:t>
      </w:r>
      <w:r w:rsidR="00F21C3A">
        <w:t>se</w:t>
      </w:r>
      <w:r w:rsidR="003D640C">
        <w:t xml:space="preserve"> </w:t>
      </w:r>
      <w:r w:rsidR="009045F2">
        <w:t>experiences</w:t>
      </w:r>
      <w:r w:rsidR="003D640C">
        <w:t xml:space="preserve"> </w:t>
      </w:r>
      <w:r w:rsidR="00F21C3A">
        <w:t>(</w:t>
      </w:r>
      <w:r w:rsidR="00840877">
        <w:t>6</w:t>
      </w:r>
      <w:r w:rsidR="001D1BF7">
        <w:t xml:space="preserve"> percent</w:t>
      </w:r>
      <w:r w:rsidR="003D640C">
        <w:t xml:space="preserve"> </w:t>
      </w:r>
      <w:r w:rsidR="00840877">
        <w:t>of</w:t>
      </w:r>
      <w:r w:rsidR="003D640C">
        <w:t xml:space="preserve"> </w:t>
      </w:r>
      <w:r w:rsidR="00840877">
        <w:t>Samoan</w:t>
      </w:r>
      <w:r w:rsidR="002D672E">
        <w:t>,</w:t>
      </w:r>
      <w:r w:rsidR="003D640C">
        <w:t xml:space="preserve"> </w:t>
      </w:r>
      <w:r w:rsidR="00DE43C6">
        <w:t>5</w:t>
      </w:r>
      <w:r w:rsidR="001D1BF7">
        <w:t xml:space="preserve"> percent</w:t>
      </w:r>
      <w:r w:rsidR="003D640C">
        <w:t xml:space="preserve"> </w:t>
      </w:r>
      <w:r w:rsidR="00DE43C6">
        <w:t>of</w:t>
      </w:r>
      <w:r w:rsidR="003D640C">
        <w:t xml:space="preserve"> </w:t>
      </w:r>
      <w:r w:rsidR="00DE43C6">
        <w:t>Cook</w:t>
      </w:r>
      <w:r w:rsidR="003D640C">
        <w:t xml:space="preserve"> </w:t>
      </w:r>
      <w:r w:rsidR="00DE43C6">
        <w:t>Is</w:t>
      </w:r>
      <w:r w:rsidR="00342AFD">
        <w:t>land</w:t>
      </w:r>
      <w:r w:rsidR="003D640C">
        <w:t xml:space="preserve"> </w:t>
      </w:r>
      <w:r w:rsidR="00C265E6">
        <w:t>Māori</w:t>
      </w:r>
      <w:r w:rsidR="002D672E">
        <w:t>,</w:t>
      </w:r>
      <w:r w:rsidR="003D640C">
        <w:t xml:space="preserve"> </w:t>
      </w:r>
      <w:r w:rsidR="002D672E">
        <w:t>and</w:t>
      </w:r>
      <w:r w:rsidR="003D640C">
        <w:t xml:space="preserve"> </w:t>
      </w:r>
      <w:r w:rsidR="00875467">
        <w:t>2</w:t>
      </w:r>
      <w:r w:rsidR="001D1BF7">
        <w:t xml:space="preserve"> percent</w:t>
      </w:r>
      <w:r w:rsidR="003D640C">
        <w:t xml:space="preserve"> </w:t>
      </w:r>
      <w:r w:rsidR="00875467">
        <w:t>of</w:t>
      </w:r>
      <w:r w:rsidR="003D640C">
        <w:t xml:space="preserve"> </w:t>
      </w:r>
      <w:r w:rsidR="00875467">
        <w:t>Tongan</w:t>
      </w:r>
      <w:r w:rsidR="003D640C">
        <w:t xml:space="preserve"> </w:t>
      </w:r>
      <w:r w:rsidR="00C265E6">
        <w:t>re</w:t>
      </w:r>
      <w:r w:rsidR="00FD78FD">
        <w:t>s</w:t>
      </w:r>
      <w:r w:rsidR="00C265E6">
        <w:t>pondents)</w:t>
      </w:r>
      <w:r w:rsidR="00FD78FD">
        <w:t>,</w:t>
      </w:r>
      <w:r w:rsidR="003D640C">
        <w:t xml:space="preserve"> </w:t>
      </w:r>
      <w:r w:rsidR="00FD78FD">
        <w:t>which</w:t>
      </w:r>
      <w:r w:rsidR="003D640C">
        <w:t xml:space="preserve"> </w:t>
      </w:r>
      <w:r w:rsidR="00FD78FD">
        <w:t>suggests</w:t>
      </w:r>
      <w:r w:rsidR="003D640C">
        <w:t xml:space="preserve"> </w:t>
      </w:r>
      <w:r w:rsidR="00FD78FD">
        <w:t>that</w:t>
      </w:r>
      <w:r w:rsidR="003D640C">
        <w:t xml:space="preserve"> </w:t>
      </w:r>
      <w:r w:rsidR="00FD78FD">
        <w:t>the</w:t>
      </w:r>
      <w:r w:rsidR="003D640C">
        <w:t xml:space="preserve"> </w:t>
      </w:r>
      <w:r w:rsidR="00FD78FD">
        <w:t>prevalence</w:t>
      </w:r>
      <w:r w:rsidR="003D640C">
        <w:t xml:space="preserve"> </w:t>
      </w:r>
      <w:r w:rsidR="001F23FA">
        <w:t>of</w:t>
      </w:r>
      <w:r w:rsidR="003D640C">
        <w:t xml:space="preserve"> </w:t>
      </w:r>
      <w:r w:rsidR="001F23FA">
        <w:t>conversion</w:t>
      </w:r>
      <w:r w:rsidR="003D640C">
        <w:t xml:space="preserve"> </w:t>
      </w:r>
      <w:r w:rsidR="001F23FA">
        <w:t>practices</w:t>
      </w:r>
      <w:r w:rsidR="003D640C">
        <w:t xml:space="preserve"> </w:t>
      </w:r>
      <w:r w:rsidR="001F23FA">
        <w:t>experiences</w:t>
      </w:r>
      <w:r w:rsidR="003D640C">
        <w:t xml:space="preserve"> </w:t>
      </w:r>
      <w:r w:rsidR="00FD78FD">
        <w:t>could</w:t>
      </w:r>
      <w:r w:rsidR="003D640C">
        <w:t xml:space="preserve"> </w:t>
      </w:r>
      <w:r w:rsidR="00FD78FD">
        <w:t>be</w:t>
      </w:r>
      <w:r w:rsidR="003D640C">
        <w:t xml:space="preserve"> </w:t>
      </w:r>
      <w:r w:rsidR="00FD78FD">
        <w:t>higher</w:t>
      </w:r>
      <w:r w:rsidR="003D640C">
        <w:t xml:space="preserve"> </w:t>
      </w:r>
      <w:r w:rsidR="00FD78FD">
        <w:t>than</w:t>
      </w:r>
      <w:r w:rsidR="003D640C">
        <w:t xml:space="preserve"> </w:t>
      </w:r>
      <w:r w:rsidR="00691CFB">
        <w:t>what</w:t>
      </w:r>
      <w:r w:rsidR="003D640C">
        <w:t xml:space="preserve"> </w:t>
      </w:r>
      <w:r w:rsidR="00875467">
        <w:t>wa</w:t>
      </w:r>
      <w:r w:rsidR="00691CFB">
        <w:t>s</w:t>
      </w:r>
      <w:r w:rsidR="003D640C">
        <w:t xml:space="preserve"> </w:t>
      </w:r>
      <w:r w:rsidR="001F23FA">
        <w:t>reported</w:t>
      </w:r>
      <w:r w:rsidR="003D640C">
        <w:t xml:space="preserve"> </w:t>
      </w:r>
      <w:r w:rsidR="00875467">
        <w:t>in</w:t>
      </w:r>
      <w:r w:rsidR="003D640C">
        <w:t xml:space="preserve"> </w:t>
      </w:r>
      <w:r w:rsidR="00875467">
        <w:t>the</w:t>
      </w:r>
      <w:r w:rsidR="003D640C">
        <w:t xml:space="preserve"> </w:t>
      </w:r>
      <w:r w:rsidR="00875467">
        <w:t>survey</w:t>
      </w:r>
      <w:r w:rsidR="00C265E6">
        <w:t>.</w:t>
      </w:r>
      <w:r w:rsidR="00C265E6" w:rsidDel="008E1CCA">
        <w:t xml:space="preserve"> </w:t>
      </w:r>
      <w:r w:rsidR="00CB14AE">
        <w:t>T</w:t>
      </w:r>
      <w:r w:rsidR="009E2245">
        <w:t>he</w:t>
      </w:r>
      <w:r w:rsidR="003D640C">
        <w:t xml:space="preserve"> </w:t>
      </w:r>
      <w:r w:rsidR="009E2245">
        <w:t>non</w:t>
      </w:r>
      <w:r w:rsidR="00886093">
        <w:t>-</w:t>
      </w:r>
      <w:r w:rsidR="009E2245">
        <w:t>probab</w:t>
      </w:r>
      <w:r w:rsidR="001E0ACD">
        <w:t>ility</w:t>
      </w:r>
      <w:r w:rsidR="003D640C">
        <w:t xml:space="preserve"> </w:t>
      </w:r>
      <w:r w:rsidR="001E0ACD">
        <w:t>nature</w:t>
      </w:r>
      <w:r w:rsidR="003D640C">
        <w:t xml:space="preserve"> </w:t>
      </w:r>
      <w:r w:rsidR="001E0ACD">
        <w:t>of</w:t>
      </w:r>
      <w:r w:rsidR="003D640C">
        <w:t xml:space="preserve"> </w:t>
      </w:r>
      <w:r w:rsidR="001E0ACD">
        <w:t>the</w:t>
      </w:r>
      <w:r w:rsidR="003D640C">
        <w:t xml:space="preserve"> </w:t>
      </w:r>
      <w:r w:rsidR="001E0ACD">
        <w:t>sample</w:t>
      </w:r>
      <w:r w:rsidR="003D640C">
        <w:t xml:space="preserve"> </w:t>
      </w:r>
      <w:r w:rsidR="00CB14AE">
        <w:t>as</w:t>
      </w:r>
      <w:r w:rsidR="003D640C">
        <w:t xml:space="preserve"> </w:t>
      </w:r>
      <w:r w:rsidR="00CB14AE">
        <w:t>well</w:t>
      </w:r>
      <w:r w:rsidR="003D640C">
        <w:t xml:space="preserve"> </w:t>
      </w:r>
      <w:r w:rsidR="00CB14AE">
        <w:t>as</w:t>
      </w:r>
      <w:r w:rsidR="003D640C">
        <w:t xml:space="preserve"> </w:t>
      </w:r>
      <w:r w:rsidR="001C248F">
        <w:t>small</w:t>
      </w:r>
      <w:r w:rsidR="003D640C">
        <w:t xml:space="preserve"> </w:t>
      </w:r>
      <w:r w:rsidR="001C248F">
        <w:t>subsamples</w:t>
      </w:r>
      <w:r w:rsidR="003D640C">
        <w:t xml:space="preserve"> </w:t>
      </w:r>
      <w:r w:rsidR="004D7DA0">
        <w:t>for</w:t>
      </w:r>
      <w:r w:rsidR="003D640C">
        <w:t xml:space="preserve"> </w:t>
      </w:r>
      <w:r w:rsidR="001C248F">
        <w:t>these</w:t>
      </w:r>
      <w:r w:rsidR="003D640C">
        <w:t xml:space="preserve"> </w:t>
      </w:r>
      <w:r w:rsidR="001C248F">
        <w:t>groups</w:t>
      </w:r>
      <w:r w:rsidR="003D640C">
        <w:t xml:space="preserve"> </w:t>
      </w:r>
      <w:r w:rsidR="00932BD3">
        <w:t>of</w:t>
      </w:r>
      <w:r w:rsidR="003D640C">
        <w:t xml:space="preserve"> </w:t>
      </w:r>
      <w:r w:rsidR="00932BD3">
        <w:t>respondents</w:t>
      </w:r>
      <w:r w:rsidR="003D640C">
        <w:t xml:space="preserve"> </w:t>
      </w:r>
      <w:r w:rsidR="000E69AF">
        <w:t>(</w:t>
      </w:r>
      <w:r w:rsidR="00A51CCE">
        <w:t xml:space="preserve">e.g. </w:t>
      </w:r>
      <w:r w:rsidR="000E69AF">
        <w:t>n=</w:t>
      </w:r>
      <w:r w:rsidR="0081446E">
        <w:t>19</w:t>
      </w:r>
      <w:r w:rsidR="003D640C">
        <w:t xml:space="preserve"> </w:t>
      </w:r>
      <w:r w:rsidR="0081446E">
        <w:t>Tongan</w:t>
      </w:r>
      <w:r w:rsidR="003D640C">
        <w:t xml:space="preserve"> </w:t>
      </w:r>
      <w:r w:rsidR="0081446E">
        <w:t>respondents)</w:t>
      </w:r>
      <w:r w:rsidR="003D640C">
        <w:t xml:space="preserve"> </w:t>
      </w:r>
      <w:r w:rsidR="000F683A">
        <w:t>mean</w:t>
      </w:r>
      <w:r w:rsidR="003D640C">
        <w:t xml:space="preserve"> </w:t>
      </w:r>
      <w:r w:rsidR="000F683A">
        <w:t>that</w:t>
      </w:r>
      <w:r w:rsidR="003D640C">
        <w:t xml:space="preserve"> </w:t>
      </w:r>
      <w:r w:rsidR="00D55DDC">
        <w:t>the</w:t>
      </w:r>
      <w:r w:rsidR="003D640C">
        <w:t xml:space="preserve"> </w:t>
      </w:r>
      <w:r w:rsidR="000E69AF">
        <w:t>results</w:t>
      </w:r>
      <w:r w:rsidR="003D640C">
        <w:t xml:space="preserve"> </w:t>
      </w:r>
      <w:r w:rsidR="000E69AF">
        <w:t>may</w:t>
      </w:r>
      <w:r w:rsidR="003D640C">
        <w:t xml:space="preserve"> </w:t>
      </w:r>
      <w:r w:rsidR="000E69AF">
        <w:t>not</w:t>
      </w:r>
      <w:r w:rsidR="003D640C">
        <w:t xml:space="preserve"> </w:t>
      </w:r>
      <w:r w:rsidR="000E69AF">
        <w:t>be</w:t>
      </w:r>
      <w:r w:rsidR="003D640C">
        <w:t xml:space="preserve"> </w:t>
      </w:r>
      <w:r w:rsidR="000E69AF">
        <w:t>statistically</w:t>
      </w:r>
      <w:r w:rsidR="003D640C">
        <w:t xml:space="preserve"> </w:t>
      </w:r>
      <w:r w:rsidR="00F02D56">
        <w:t>robust</w:t>
      </w:r>
      <w:r w:rsidR="003D640C">
        <w:t xml:space="preserve"> </w:t>
      </w:r>
      <w:r w:rsidR="00392483">
        <w:t>enough</w:t>
      </w:r>
      <w:r w:rsidR="003D640C">
        <w:t xml:space="preserve"> </w:t>
      </w:r>
      <w:r w:rsidR="00392483">
        <w:t>to</w:t>
      </w:r>
      <w:r w:rsidR="003D640C">
        <w:t xml:space="preserve"> </w:t>
      </w:r>
      <w:r w:rsidR="00392483">
        <w:t>draw</w:t>
      </w:r>
      <w:r w:rsidR="003D640C">
        <w:t xml:space="preserve"> </w:t>
      </w:r>
      <w:r w:rsidR="00C55878">
        <w:t>conclusions</w:t>
      </w:r>
      <w:r w:rsidR="003D640C">
        <w:t xml:space="preserve"> </w:t>
      </w:r>
      <w:r w:rsidR="00C55878">
        <w:t>about</w:t>
      </w:r>
      <w:r w:rsidR="003D640C">
        <w:t xml:space="preserve"> </w:t>
      </w:r>
      <w:r w:rsidR="00C55878">
        <w:t>the</w:t>
      </w:r>
      <w:r w:rsidR="003D640C">
        <w:t xml:space="preserve"> </w:t>
      </w:r>
      <w:r w:rsidR="00C55878">
        <w:t>prevalence</w:t>
      </w:r>
      <w:r w:rsidR="003D640C">
        <w:t xml:space="preserve"> </w:t>
      </w:r>
      <w:r w:rsidR="00C55878">
        <w:t>of</w:t>
      </w:r>
      <w:r w:rsidR="003D640C">
        <w:t xml:space="preserve"> </w:t>
      </w:r>
      <w:r w:rsidR="00C55878">
        <w:t>conversion</w:t>
      </w:r>
      <w:r w:rsidR="003D640C">
        <w:t xml:space="preserve"> </w:t>
      </w:r>
      <w:r w:rsidR="00C55878">
        <w:t>practices</w:t>
      </w:r>
      <w:r w:rsidR="003D640C">
        <w:t xml:space="preserve"> </w:t>
      </w:r>
      <w:r w:rsidR="00C55878">
        <w:t>experiences</w:t>
      </w:r>
      <w:r w:rsidR="003D640C">
        <w:t xml:space="preserve"> </w:t>
      </w:r>
      <w:r w:rsidR="00C55878">
        <w:t>with</w:t>
      </w:r>
      <w:r w:rsidR="00794BD8">
        <w:t>in</w:t>
      </w:r>
      <w:r w:rsidR="003D640C">
        <w:t xml:space="preserve"> </w:t>
      </w:r>
      <w:r w:rsidR="00794BD8">
        <w:t>these</w:t>
      </w:r>
      <w:r w:rsidR="003D640C">
        <w:t xml:space="preserve"> </w:t>
      </w:r>
      <w:r w:rsidR="00794BD8">
        <w:t>groups</w:t>
      </w:r>
      <w:r w:rsidR="003D640C">
        <w:t xml:space="preserve"> </w:t>
      </w:r>
      <w:r w:rsidR="00794BD8">
        <w:t>of</w:t>
      </w:r>
      <w:r w:rsidR="003D640C">
        <w:t xml:space="preserve"> </w:t>
      </w:r>
      <w:r w:rsidR="00794BD8">
        <w:t>people</w:t>
      </w:r>
      <w:r w:rsidR="003D640C">
        <w:t xml:space="preserve"> </w:t>
      </w:r>
      <w:r w:rsidR="00112206">
        <w:t>in</w:t>
      </w:r>
      <w:r w:rsidR="003D640C">
        <w:t xml:space="preserve"> </w:t>
      </w:r>
      <w:r w:rsidR="00112206">
        <w:t>the</w:t>
      </w:r>
      <w:r w:rsidR="003D640C">
        <w:t xml:space="preserve"> </w:t>
      </w:r>
      <w:r w:rsidR="00D714F5">
        <w:t>New</w:t>
      </w:r>
      <w:r w:rsidR="003D640C">
        <w:t xml:space="preserve"> </w:t>
      </w:r>
      <w:r w:rsidR="00D714F5">
        <w:t>Zealand</w:t>
      </w:r>
      <w:r w:rsidR="003D640C">
        <w:t xml:space="preserve"> </w:t>
      </w:r>
      <w:r w:rsidR="00112206">
        <w:t>population</w:t>
      </w:r>
      <w:r w:rsidR="000E69AF">
        <w:t>.</w:t>
      </w:r>
      <w:r w:rsidR="003D640C">
        <w:t xml:space="preserve"> </w:t>
      </w:r>
    </w:p>
    <w:p w14:paraId="635E28E9" w14:textId="02BD0611" w:rsidR="00035BAF" w:rsidRPr="00BB6220" w:rsidRDefault="00035BAF" w:rsidP="00747446">
      <w:r w:rsidRPr="00BB6220">
        <w:t>Th</w:t>
      </w:r>
      <w:r w:rsidR="00341E38">
        <w:t>e</w:t>
      </w:r>
      <w:r w:rsidRPr="00BB6220">
        <w:t>s</w:t>
      </w:r>
      <w:r w:rsidR="00341E38">
        <w:t>e</w:t>
      </w:r>
      <w:r w:rsidR="003D640C">
        <w:t xml:space="preserve"> </w:t>
      </w:r>
      <w:r w:rsidRPr="00BB6220">
        <w:t>data</w:t>
      </w:r>
      <w:r w:rsidR="003D640C">
        <w:t xml:space="preserve"> </w:t>
      </w:r>
      <w:r w:rsidR="00341E38">
        <w:t>are</w:t>
      </w:r>
      <w:r w:rsidR="003D640C">
        <w:t xml:space="preserve"> </w:t>
      </w:r>
      <w:r w:rsidRPr="00BB6220">
        <w:t>further</w:t>
      </w:r>
      <w:r w:rsidR="003D640C">
        <w:t xml:space="preserve"> </w:t>
      </w:r>
      <w:r w:rsidRPr="00BB6220">
        <w:t>complicated</w:t>
      </w:r>
      <w:r w:rsidR="003D640C">
        <w:t xml:space="preserve"> </w:t>
      </w:r>
      <w:r w:rsidRPr="00BB6220">
        <w:t>by</w:t>
      </w:r>
      <w:r w:rsidR="003D640C">
        <w:t xml:space="preserve"> </w:t>
      </w:r>
      <w:r w:rsidRPr="00BB6220">
        <w:t>definitions</w:t>
      </w:r>
      <w:r w:rsidR="003D640C">
        <w:t xml:space="preserve"> </w:t>
      </w:r>
      <w:r w:rsidRPr="00BB6220">
        <w:t>of</w:t>
      </w:r>
      <w:r w:rsidR="003D640C">
        <w:t xml:space="preserve"> </w:t>
      </w:r>
      <w:r w:rsidR="00BB1FEC" w:rsidRPr="00BB6220">
        <w:t>P</w:t>
      </w:r>
      <w:r w:rsidRPr="00BB6220">
        <w:t>acific</w:t>
      </w:r>
      <w:r w:rsidR="003D640C">
        <w:t xml:space="preserve"> </w:t>
      </w:r>
      <w:r w:rsidRPr="00BB6220">
        <w:t>identities</w:t>
      </w:r>
      <w:r w:rsidR="003D640C">
        <w:t xml:space="preserve"> </w:t>
      </w:r>
      <w:r w:rsidRPr="00BB6220">
        <w:t>and</w:t>
      </w:r>
      <w:r w:rsidR="003D640C">
        <w:t xml:space="preserve"> </w:t>
      </w:r>
      <w:r w:rsidR="00984C21" w:rsidRPr="00BB6220">
        <w:t>the</w:t>
      </w:r>
      <w:r w:rsidR="003D640C">
        <w:t xml:space="preserve"> </w:t>
      </w:r>
      <w:r w:rsidRPr="00BB6220">
        <w:t>sample</w:t>
      </w:r>
      <w:r w:rsidR="003D640C">
        <w:t xml:space="preserve"> </w:t>
      </w:r>
      <w:r w:rsidRPr="00BB6220">
        <w:t>size</w:t>
      </w:r>
      <w:r w:rsidR="003D640C">
        <w:t xml:space="preserve"> </w:t>
      </w:r>
      <w:r w:rsidRPr="00BB6220">
        <w:t>for</w:t>
      </w:r>
      <w:r w:rsidR="003D640C">
        <w:t xml:space="preserve"> </w:t>
      </w:r>
      <w:r w:rsidR="00A83E86">
        <w:t>specific</w:t>
      </w:r>
      <w:r w:rsidR="003D640C">
        <w:t xml:space="preserve"> </w:t>
      </w:r>
      <w:r w:rsidR="00474BBB" w:rsidRPr="00BB6220">
        <w:t>P</w:t>
      </w:r>
      <w:r w:rsidRPr="00BB6220">
        <w:t>acific</w:t>
      </w:r>
      <w:r w:rsidR="003D640C">
        <w:t xml:space="preserve"> </w:t>
      </w:r>
      <w:r w:rsidR="00A83E86">
        <w:t>ethnic</w:t>
      </w:r>
      <w:r w:rsidR="003D640C">
        <w:t xml:space="preserve"> </w:t>
      </w:r>
      <w:r w:rsidR="00A83E86">
        <w:t>groups</w:t>
      </w:r>
      <w:r w:rsidRPr="00BB6220">
        <w:t>.</w:t>
      </w:r>
      <w:r w:rsidR="003D640C">
        <w:t xml:space="preserve"> </w:t>
      </w:r>
      <w:r w:rsidR="00AF207E" w:rsidRPr="00BB6220">
        <w:t>More</w:t>
      </w:r>
      <w:r w:rsidR="003D640C">
        <w:t xml:space="preserve"> </w:t>
      </w:r>
      <w:r w:rsidRPr="00BB6220">
        <w:t>information</w:t>
      </w:r>
      <w:r w:rsidR="003D640C">
        <w:t xml:space="preserve"> </w:t>
      </w:r>
      <w:r w:rsidRPr="00BB6220">
        <w:t>is</w:t>
      </w:r>
      <w:r w:rsidR="003D640C">
        <w:t xml:space="preserve"> </w:t>
      </w:r>
      <w:r w:rsidRPr="00BB6220">
        <w:t>needed</w:t>
      </w:r>
      <w:r w:rsidR="003D640C">
        <w:t xml:space="preserve"> </w:t>
      </w:r>
      <w:r w:rsidRPr="00BB6220">
        <w:t>to</w:t>
      </w:r>
      <w:r w:rsidR="003D640C">
        <w:t xml:space="preserve"> </w:t>
      </w:r>
      <w:r w:rsidRPr="00BB6220">
        <w:t>get</w:t>
      </w:r>
      <w:r w:rsidR="003D640C">
        <w:t xml:space="preserve"> </w:t>
      </w:r>
      <w:r w:rsidRPr="00BB6220">
        <w:t>a</w:t>
      </w:r>
      <w:r w:rsidR="003D640C">
        <w:t xml:space="preserve"> </w:t>
      </w:r>
      <w:r w:rsidRPr="00BB6220">
        <w:t>clearer</w:t>
      </w:r>
      <w:r w:rsidR="003D640C">
        <w:t xml:space="preserve"> </w:t>
      </w:r>
      <w:r w:rsidRPr="00BB6220">
        <w:t>understanding</w:t>
      </w:r>
      <w:r w:rsidR="003D640C">
        <w:t xml:space="preserve"> </w:t>
      </w:r>
      <w:r w:rsidRPr="00BB6220">
        <w:t>of</w:t>
      </w:r>
      <w:r w:rsidR="003D640C">
        <w:t xml:space="preserve"> </w:t>
      </w:r>
      <w:r w:rsidRPr="00BB6220">
        <w:t>the</w:t>
      </w:r>
      <w:r w:rsidR="003D640C">
        <w:t xml:space="preserve"> </w:t>
      </w:r>
      <w:r w:rsidRPr="00BB6220">
        <w:t>prevalence</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for</w:t>
      </w:r>
      <w:r w:rsidR="003D640C">
        <w:t xml:space="preserve"> </w:t>
      </w:r>
      <w:r w:rsidR="00474BBB" w:rsidRPr="00BB6220">
        <w:t>P</w:t>
      </w:r>
      <w:r w:rsidRPr="00BB6220">
        <w:t>acific</w:t>
      </w:r>
      <w:r w:rsidR="003D640C">
        <w:t xml:space="preserve"> </w:t>
      </w:r>
      <w:r w:rsidRPr="00BB6220">
        <w:t>peoples</w:t>
      </w:r>
      <w:r w:rsidR="00984C21" w:rsidRPr="00BB6220">
        <w:t>.</w:t>
      </w:r>
      <w:r w:rsidR="003D640C">
        <w:t xml:space="preserve"> </w:t>
      </w:r>
      <w:r w:rsidR="00886093">
        <w:t>For example, t</w:t>
      </w:r>
      <w:r w:rsidR="00984C21" w:rsidRPr="00BB6220">
        <w:t>his</w:t>
      </w:r>
      <w:r w:rsidR="003D640C">
        <w:t xml:space="preserve"> </w:t>
      </w:r>
      <w:r w:rsidR="00984C21" w:rsidRPr="00BB6220">
        <w:t>could</w:t>
      </w:r>
      <w:r w:rsidR="003D640C">
        <w:t xml:space="preserve"> </w:t>
      </w:r>
      <w:r w:rsidR="00984C21" w:rsidRPr="00BB6220">
        <w:t>include</w:t>
      </w:r>
      <w:r w:rsidR="003D640C">
        <w:t xml:space="preserve"> </w:t>
      </w:r>
      <w:r w:rsidR="00984C21" w:rsidRPr="00BB6220">
        <w:t>greater</w:t>
      </w:r>
      <w:r w:rsidR="003D640C">
        <w:t xml:space="preserve"> </w:t>
      </w:r>
      <w:r w:rsidR="00984C21" w:rsidRPr="00BB6220">
        <w:t>understanding</w:t>
      </w:r>
      <w:r w:rsidR="003D640C">
        <w:t xml:space="preserve"> </w:t>
      </w:r>
      <w:r w:rsidR="00984C21" w:rsidRPr="00BB6220">
        <w:t>of</w:t>
      </w:r>
      <w:r w:rsidR="003D640C">
        <w:t xml:space="preserve"> </w:t>
      </w:r>
      <w:r w:rsidRPr="00BB6220">
        <w:lastRenderedPageBreak/>
        <w:t>why</w:t>
      </w:r>
      <w:r w:rsidR="003D640C">
        <w:t xml:space="preserve"> </w:t>
      </w:r>
      <w:r w:rsidR="00595602">
        <w:t>some</w:t>
      </w:r>
      <w:r w:rsidR="003D640C">
        <w:t xml:space="preserve"> </w:t>
      </w:r>
      <w:r w:rsidRPr="00BB6220">
        <w:t>participants</w:t>
      </w:r>
      <w:r w:rsidR="003D640C">
        <w:t xml:space="preserve"> </w:t>
      </w:r>
      <w:r w:rsidR="00595602">
        <w:t>did</w:t>
      </w:r>
      <w:r w:rsidR="003D640C">
        <w:t xml:space="preserve"> </w:t>
      </w:r>
      <w:r w:rsidRPr="00BB6220">
        <w:t>not</w:t>
      </w:r>
      <w:r w:rsidR="003D640C">
        <w:t xml:space="preserve"> </w:t>
      </w:r>
      <w:r w:rsidRPr="00BB6220">
        <w:t>want</w:t>
      </w:r>
      <w:r w:rsidR="003D640C">
        <w:t xml:space="preserve"> </w:t>
      </w:r>
      <w:r w:rsidRPr="00BB6220">
        <w:t>to</w:t>
      </w:r>
      <w:r w:rsidR="003D640C">
        <w:t xml:space="preserve"> </w:t>
      </w:r>
      <w:r w:rsidRPr="00BB6220">
        <w:t>answer</w:t>
      </w:r>
      <w:r w:rsidR="003D640C">
        <w:t xml:space="preserve"> </w:t>
      </w:r>
      <w:r w:rsidR="00DE0FD3">
        <w:t>a question about</w:t>
      </w:r>
      <w:r w:rsidR="003D640C">
        <w:t xml:space="preserve"> </w:t>
      </w:r>
      <w:r w:rsidRPr="00BB6220">
        <w:t>whether</w:t>
      </w:r>
      <w:r w:rsidR="003D640C">
        <w:t xml:space="preserve"> </w:t>
      </w:r>
      <w:r w:rsidRPr="00BB6220">
        <w:t>they</w:t>
      </w:r>
      <w:r w:rsidR="003D640C">
        <w:t xml:space="preserve"> </w:t>
      </w:r>
      <w:r w:rsidRPr="00BB6220">
        <w:t>had</w:t>
      </w:r>
      <w:r w:rsidR="003D640C">
        <w:t xml:space="preserve"> </w:t>
      </w:r>
      <w:r w:rsidRPr="00BB6220">
        <w:t>experienced</w:t>
      </w:r>
      <w:r w:rsidR="003D640C">
        <w:t xml:space="preserve"> </w:t>
      </w:r>
      <w:r w:rsidRPr="00BB6220">
        <w:t>conversion</w:t>
      </w:r>
      <w:r w:rsidR="003D640C">
        <w:t xml:space="preserve"> </w:t>
      </w:r>
      <w:r w:rsidRPr="00BB6220">
        <w:t>practices.</w:t>
      </w:r>
      <w:r w:rsidR="003D640C">
        <w:t xml:space="preserve"> </w:t>
      </w:r>
    </w:p>
    <w:p w14:paraId="3BC21F12" w14:textId="0BAC1C06" w:rsidR="00035BAF" w:rsidRDefault="00204C66" w:rsidP="00747446">
      <w:r w:rsidRPr="00BB6220">
        <w:t>According</w:t>
      </w:r>
      <w:r w:rsidR="003D640C">
        <w:t xml:space="preserve"> </w:t>
      </w:r>
      <w:r w:rsidRPr="00BB6220">
        <w:t>to</w:t>
      </w:r>
      <w:r w:rsidR="003D640C">
        <w:t xml:space="preserve"> </w:t>
      </w:r>
      <w:r w:rsidRPr="00BB6220">
        <w:t>t</w:t>
      </w:r>
      <w:r w:rsidR="00F02EA3" w:rsidRPr="00BB6220">
        <w:t>he</w:t>
      </w:r>
      <w:r w:rsidR="003D640C">
        <w:t xml:space="preserve"> </w:t>
      </w:r>
      <w:r w:rsidR="00035BAF" w:rsidRPr="00BB6220">
        <w:t>Youth19</w:t>
      </w:r>
      <w:r w:rsidR="003D640C">
        <w:t xml:space="preserve"> </w:t>
      </w:r>
      <w:r w:rsidR="00035BAF" w:rsidRPr="00BB6220">
        <w:t>survey</w:t>
      </w:r>
      <w:r w:rsidR="00886093">
        <w:t>,</w:t>
      </w:r>
      <w:r w:rsidR="00035BAF" w:rsidRPr="00BB6220">
        <w:rPr>
          <w:rStyle w:val="FootnoteReference"/>
        </w:rPr>
        <w:footnoteReference w:id="199"/>
      </w:r>
      <w:r w:rsidR="003D640C">
        <w:t xml:space="preserve"> </w:t>
      </w:r>
      <w:r w:rsidR="00E1268D" w:rsidRPr="00BB6220">
        <w:t>P</w:t>
      </w:r>
      <w:r w:rsidR="00035BAF" w:rsidRPr="00BB6220">
        <w:t>acific</w:t>
      </w:r>
      <w:r w:rsidR="003D640C">
        <w:t xml:space="preserve"> </w:t>
      </w:r>
      <w:r w:rsidR="004F5650" w:rsidRPr="00BB6220">
        <w:t>Rainbow</w:t>
      </w:r>
      <w:r w:rsidR="004F5650">
        <w:t xml:space="preserve"> </w:t>
      </w:r>
      <w:r w:rsidR="00035BAF" w:rsidRPr="00BB6220">
        <w:t>youth</w:t>
      </w:r>
      <w:r w:rsidR="003D640C">
        <w:t xml:space="preserve"> </w:t>
      </w:r>
      <w:r w:rsidR="00035BAF" w:rsidRPr="00BB6220">
        <w:t>were</w:t>
      </w:r>
      <w:r w:rsidR="003D640C">
        <w:t xml:space="preserve"> </w:t>
      </w:r>
      <w:r w:rsidR="00035BAF" w:rsidRPr="00BB6220">
        <w:t>more</w:t>
      </w:r>
      <w:r w:rsidR="003D640C">
        <w:t xml:space="preserve"> </w:t>
      </w:r>
      <w:r w:rsidR="00035BAF" w:rsidRPr="00BB6220">
        <w:t>likely</w:t>
      </w:r>
      <w:r w:rsidR="003D640C">
        <w:t xml:space="preserve"> </w:t>
      </w:r>
      <w:r w:rsidR="002C2405" w:rsidRPr="00BB6220">
        <w:t>to</w:t>
      </w:r>
      <w:r w:rsidR="003D640C">
        <w:t xml:space="preserve"> </w:t>
      </w:r>
      <w:r w:rsidR="002C2405" w:rsidRPr="00BB6220">
        <w:t>report</w:t>
      </w:r>
      <w:r w:rsidR="003D640C">
        <w:t xml:space="preserve"> </w:t>
      </w:r>
      <w:r w:rsidR="002C2405" w:rsidRPr="00BB6220">
        <w:t>more</w:t>
      </w:r>
      <w:r w:rsidR="003D640C">
        <w:t xml:space="preserve"> </w:t>
      </w:r>
      <w:r w:rsidR="002C2405" w:rsidRPr="00BB6220">
        <w:t>challenges</w:t>
      </w:r>
      <w:r w:rsidR="003D640C">
        <w:t xml:space="preserve"> </w:t>
      </w:r>
      <w:r w:rsidR="00035BAF" w:rsidRPr="00BB6220">
        <w:t>than</w:t>
      </w:r>
      <w:r w:rsidR="003D640C">
        <w:t xml:space="preserve"> </w:t>
      </w:r>
      <w:r w:rsidR="004F5650" w:rsidRPr="00BB6220">
        <w:t>Pacific</w:t>
      </w:r>
      <w:r w:rsidR="004F5650">
        <w:t xml:space="preserve"> </w:t>
      </w:r>
      <w:r w:rsidR="00035BAF" w:rsidRPr="00BB6220">
        <w:t>non-</w:t>
      </w:r>
      <w:r w:rsidR="00984C21" w:rsidRPr="00BB6220">
        <w:t>R</w:t>
      </w:r>
      <w:r w:rsidR="00035BAF" w:rsidRPr="00BB6220">
        <w:t>ainbow</w:t>
      </w:r>
      <w:r w:rsidR="003D640C">
        <w:t xml:space="preserve"> </w:t>
      </w:r>
      <w:r w:rsidR="00035BAF" w:rsidRPr="00BB6220">
        <w:t>youth,</w:t>
      </w:r>
      <w:r w:rsidR="003D640C">
        <w:t xml:space="preserve"> </w:t>
      </w:r>
      <w:r w:rsidR="00984C21" w:rsidRPr="00BB6220">
        <w:t>R</w:t>
      </w:r>
      <w:r w:rsidR="00035BAF" w:rsidRPr="00BB6220">
        <w:t>ainbow</w:t>
      </w:r>
      <w:r w:rsidR="003D640C">
        <w:t xml:space="preserve"> </w:t>
      </w:r>
      <w:r w:rsidR="00C169B9" w:rsidRPr="00BB6220">
        <w:t>Pākehā</w:t>
      </w:r>
      <w:r w:rsidR="00035BAF" w:rsidRPr="00BB6220">
        <w:t>,</w:t>
      </w:r>
      <w:r w:rsidR="003D640C">
        <w:t xml:space="preserve"> </w:t>
      </w:r>
      <w:r w:rsidR="00035BAF" w:rsidRPr="00BB6220">
        <w:t>and</w:t>
      </w:r>
      <w:r w:rsidR="003D640C">
        <w:t xml:space="preserve"> </w:t>
      </w:r>
      <w:r w:rsidR="0049243C" w:rsidRPr="00BB6220">
        <w:t>non-</w:t>
      </w:r>
      <w:r w:rsidR="00984C21" w:rsidRPr="00BB6220">
        <w:t>R</w:t>
      </w:r>
      <w:r w:rsidR="0049243C" w:rsidRPr="00BB6220">
        <w:t>ainbow</w:t>
      </w:r>
      <w:r w:rsidR="003D640C">
        <w:t xml:space="preserve"> </w:t>
      </w:r>
      <w:r w:rsidR="00EB3EB8" w:rsidRPr="00BB6220">
        <w:t>Pākehā</w:t>
      </w:r>
      <w:r w:rsidR="003D640C">
        <w:t xml:space="preserve"> </w:t>
      </w:r>
      <w:r w:rsidR="00035BAF" w:rsidRPr="00BB6220">
        <w:t>youth</w:t>
      </w:r>
      <w:r w:rsidR="00984C21" w:rsidRPr="00BB6220">
        <w:t>.</w:t>
      </w:r>
      <w:r w:rsidR="003D640C">
        <w:t xml:space="preserve"> </w:t>
      </w:r>
      <w:r w:rsidR="00984C21" w:rsidRPr="00BB6220">
        <w:t>O</w:t>
      </w:r>
      <w:r w:rsidR="00035BAF" w:rsidRPr="00BB6220">
        <w:t>ver</w:t>
      </w:r>
      <w:r w:rsidR="003D640C">
        <w:t xml:space="preserve"> </w:t>
      </w:r>
      <w:r w:rsidR="00035BAF" w:rsidRPr="00BB6220">
        <w:t>40</w:t>
      </w:r>
      <w:r w:rsidR="001D1BF7">
        <w:t xml:space="preserve"> percent</w:t>
      </w:r>
      <w:r w:rsidR="003D640C">
        <w:t xml:space="preserve"> </w:t>
      </w:r>
      <w:r w:rsidR="00984C21" w:rsidRPr="00BB6220">
        <w:t>of</w:t>
      </w:r>
      <w:r w:rsidR="003D640C">
        <w:t xml:space="preserve"> </w:t>
      </w:r>
      <w:r w:rsidR="005A253A" w:rsidRPr="00BB6220">
        <w:t>Pacific</w:t>
      </w:r>
      <w:r w:rsidR="003D640C">
        <w:t xml:space="preserve"> </w:t>
      </w:r>
      <w:r w:rsidR="004F5650" w:rsidRPr="00BB6220">
        <w:t>Rainbow</w:t>
      </w:r>
      <w:r w:rsidR="004F5650">
        <w:t xml:space="preserve"> </w:t>
      </w:r>
      <w:r w:rsidR="005A253A" w:rsidRPr="00BB6220">
        <w:t>youth</w:t>
      </w:r>
      <w:r w:rsidR="003D640C">
        <w:t xml:space="preserve"> </w:t>
      </w:r>
      <w:r w:rsidR="00035BAF" w:rsidRPr="00BB6220">
        <w:t>reported</w:t>
      </w:r>
      <w:r w:rsidR="003D640C">
        <w:t xml:space="preserve"> </w:t>
      </w:r>
      <w:r w:rsidR="00035BAF" w:rsidRPr="00BB6220">
        <w:t>symptoms</w:t>
      </w:r>
      <w:r w:rsidR="003D640C">
        <w:t xml:space="preserve"> </w:t>
      </w:r>
      <w:r w:rsidR="00035BAF" w:rsidRPr="00BB6220">
        <w:t>of</w:t>
      </w:r>
      <w:r w:rsidR="003D640C">
        <w:t xml:space="preserve"> </w:t>
      </w:r>
      <w:r w:rsidR="00035BAF" w:rsidRPr="00BB6220">
        <w:t>depression</w:t>
      </w:r>
      <w:r w:rsidR="1FBEEAA4" w:rsidRPr="00BB6220">
        <w:t>,</w:t>
      </w:r>
      <w:r w:rsidR="003D640C">
        <w:t xml:space="preserve"> </w:t>
      </w:r>
      <w:r w:rsidR="1FBEEAA4" w:rsidRPr="00BB6220">
        <w:t>food</w:t>
      </w:r>
      <w:r w:rsidR="003D640C">
        <w:t xml:space="preserve"> </w:t>
      </w:r>
      <w:r w:rsidR="1FBEEAA4" w:rsidRPr="00BB6220">
        <w:t>insecurity</w:t>
      </w:r>
      <w:r w:rsidR="74F2E928" w:rsidRPr="00BB6220">
        <w:t>,</w:t>
      </w:r>
      <w:r w:rsidR="003D640C">
        <w:t xml:space="preserve"> </w:t>
      </w:r>
      <w:r w:rsidR="007C2906">
        <w:t xml:space="preserve">or </w:t>
      </w:r>
      <w:r w:rsidR="00035BAF" w:rsidRPr="00BB6220">
        <w:t>serious</w:t>
      </w:r>
      <w:r w:rsidR="003D640C">
        <w:t xml:space="preserve"> </w:t>
      </w:r>
      <w:r w:rsidR="00035BAF" w:rsidRPr="00BB6220">
        <w:t>thoughts</w:t>
      </w:r>
      <w:r w:rsidR="003D640C">
        <w:t xml:space="preserve"> </w:t>
      </w:r>
      <w:r w:rsidR="00035BAF" w:rsidRPr="00BB6220">
        <w:t>of</w:t>
      </w:r>
      <w:r w:rsidR="003D640C">
        <w:t xml:space="preserve"> </w:t>
      </w:r>
      <w:r w:rsidR="00DF1902" w:rsidRPr="00BB6220">
        <w:t>suicide</w:t>
      </w:r>
      <w:r w:rsidR="00035BAF" w:rsidRPr="00BB6220">
        <w:t>.</w:t>
      </w:r>
      <w:r w:rsidR="003D640C">
        <w:t xml:space="preserve"> </w:t>
      </w:r>
    </w:p>
    <w:p w14:paraId="2F4D79CA" w14:textId="5CF9D4F4" w:rsidR="00E1774E" w:rsidRPr="00BB6220" w:rsidRDefault="00E1774E" w:rsidP="00747446">
      <w:r w:rsidRPr="00BB6220">
        <w:t>Counting</w:t>
      </w:r>
      <w:r w:rsidR="003D640C">
        <w:t xml:space="preserve"> </w:t>
      </w:r>
      <w:r w:rsidRPr="00BB6220">
        <w:t>Ourselves,</w:t>
      </w:r>
      <w:r w:rsidR="003D640C">
        <w:t xml:space="preserve"> </w:t>
      </w:r>
      <w:r w:rsidRPr="00BB6220">
        <w:t>a</w:t>
      </w:r>
      <w:r w:rsidR="003D640C">
        <w:t xml:space="preserve"> </w:t>
      </w:r>
      <w:r w:rsidRPr="00BB6220">
        <w:t>2019</w:t>
      </w:r>
      <w:r w:rsidR="003D640C">
        <w:t xml:space="preserve"> </w:t>
      </w:r>
      <w:r w:rsidRPr="00BB6220">
        <w:t>study</w:t>
      </w:r>
      <w:r w:rsidR="003D640C">
        <w:t xml:space="preserve"> </w:t>
      </w:r>
      <w:r w:rsidRPr="00BB6220">
        <w:t>o</w:t>
      </w:r>
      <w:r w:rsidR="00912F44">
        <w:t>n</w:t>
      </w:r>
      <w:r w:rsidR="003D640C">
        <w:t xml:space="preserve"> </w:t>
      </w:r>
      <w:r w:rsidR="00912F44">
        <w:t>the</w:t>
      </w:r>
      <w:r w:rsidR="003D640C">
        <w:t xml:space="preserve"> </w:t>
      </w:r>
      <w:r w:rsidR="00912F44">
        <w:t>health</w:t>
      </w:r>
      <w:r w:rsidR="003D640C">
        <w:t xml:space="preserve"> </w:t>
      </w:r>
      <w:r w:rsidR="00912F44">
        <w:t>and</w:t>
      </w:r>
      <w:r w:rsidR="003D640C">
        <w:t xml:space="preserve"> </w:t>
      </w:r>
      <w:r w:rsidR="00912F44">
        <w:t>wellbeing</w:t>
      </w:r>
      <w:r w:rsidR="003D640C">
        <w:t xml:space="preserve"> </w:t>
      </w:r>
      <w:r w:rsidR="00912F44">
        <w:t>of</w:t>
      </w:r>
      <w:r w:rsidR="003D640C">
        <w:t xml:space="preserve"> </w:t>
      </w:r>
      <w:r w:rsidRPr="00BB6220">
        <w:t>trans</w:t>
      </w:r>
      <w:r w:rsidR="003D640C">
        <w:t xml:space="preserve"> </w:t>
      </w:r>
      <w:r w:rsidR="00912F44">
        <w:t>and</w:t>
      </w:r>
      <w:r w:rsidR="003D640C">
        <w:t xml:space="preserve"> </w:t>
      </w:r>
      <w:r w:rsidRPr="00BB6220">
        <w:t>non-binary</w:t>
      </w:r>
      <w:r w:rsidR="003D640C">
        <w:t xml:space="preserve"> </w:t>
      </w:r>
      <w:r w:rsidR="00912F44">
        <w:t>people</w:t>
      </w:r>
      <w:r w:rsidR="003D640C">
        <w:t xml:space="preserve"> </w:t>
      </w:r>
      <w:r w:rsidRPr="00BB6220">
        <w:t>in</w:t>
      </w:r>
      <w:r w:rsidR="003D640C">
        <w:t xml:space="preserve"> </w:t>
      </w:r>
      <w:r w:rsidRPr="00BB6220">
        <w:t>Aotearoa,</w:t>
      </w:r>
      <w:r w:rsidR="003D640C">
        <w:t xml:space="preserve"> </w:t>
      </w:r>
      <w:r w:rsidRPr="00BB6220">
        <w:t>showed</w:t>
      </w:r>
      <w:r w:rsidR="003D640C">
        <w:t xml:space="preserve"> </w:t>
      </w:r>
      <w:r w:rsidRPr="00BB6220">
        <w:t>27</w:t>
      </w:r>
      <w:r w:rsidR="001D1BF7">
        <w:t xml:space="preserve"> percent</w:t>
      </w:r>
      <w:r w:rsidR="003D640C">
        <w:t xml:space="preserve"> </w:t>
      </w:r>
      <w:r w:rsidRPr="00BB6220">
        <w:t>of</w:t>
      </w:r>
      <w:r w:rsidR="003D640C">
        <w:t xml:space="preserve"> </w:t>
      </w:r>
      <w:r w:rsidRPr="00BB6220">
        <w:t>Pacific</w:t>
      </w:r>
      <w:r w:rsidR="003D640C">
        <w:t xml:space="preserve"> </w:t>
      </w:r>
      <w:r w:rsidRPr="00BB6220">
        <w:t>trans</w:t>
      </w:r>
      <w:r w:rsidR="003D640C">
        <w:t xml:space="preserve"> </w:t>
      </w:r>
      <w:r w:rsidRPr="00BB6220">
        <w:t>and</w:t>
      </w:r>
      <w:r w:rsidR="003D640C">
        <w:t xml:space="preserve"> </w:t>
      </w:r>
      <w:r w:rsidRPr="00BB6220">
        <w:t>non-binary</w:t>
      </w:r>
      <w:r w:rsidR="003D640C">
        <w:t xml:space="preserve"> </w:t>
      </w:r>
      <w:r w:rsidRPr="00BB6220">
        <w:t>participants</w:t>
      </w:r>
      <w:r w:rsidR="003D640C">
        <w:t xml:space="preserve"> </w:t>
      </w:r>
      <w:r w:rsidRPr="00BB6220">
        <w:t>had</w:t>
      </w:r>
      <w:r w:rsidR="003D640C">
        <w:t xml:space="preserve"> </w:t>
      </w:r>
      <w:r w:rsidRPr="00BB6220">
        <w:t>been</w:t>
      </w:r>
      <w:r w:rsidR="003D640C">
        <w:t xml:space="preserve"> </w:t>
      </w:r>
      <w:r w:rsidRPr="00BB6220">
        <w:t>asked</w:t>
      </w:r>
      <w:r w:rsidR="003D640C">
        <w:t xml:space="preserve"> </w:t>
      </w:r>
      <w:r w:rsidRPr="00BB6220">
        <w:t>to</w:t>
      </w:r>
      <w:r w:rsidR="003D640C">
        <w:t xml:space="preserve"> </w:t>
      </w:r>
      <w:r w:rsidRPr="00BB6220">
        <w:t>leave</w:t>
      </w:r>
      <w:r w:rsidR="003D640C">
        <w:t xml:space="preserve"> </w:t>
      </w:r>
      <w:r w:rsidRPr="00BB6220">
        <w:t>their</w:t>
      </w:r>
      <w:r w:rsidR="003D640C">
        <w:t xml:space="preserve"> </w:t>
      </w:r>
      <w:r w:rsidRPr="00BB6220">
        <w:t>home</w:t>
      </w:r>
      <w:r w:rsidR="003D640C">
        <w:t xml:space="preserve"> </w:t>
      </w:r>
      <w:r w:rsidRPr="00BB6220">
        <w:t>because</w:t>
      </w:r>
      <w:r w:rsidR="003D640C">
        <w:t xml:space="preserve"> </w:t>
      </w:r>
      <w:r w:rsidRPr="00BB6220">
        <w:t>of</w:t>
      </w:r>
      <w:r w:rsidR="003D640C">
        <w:t xml:space="preserve"> </w:t>
      </w:r>
      <w:r w:rsidRPr="00BB6220">
        <w:t>their</w:t>
      </w:r>
      <w:r w:rsidR="003D640C">
        <w:t xml:space="preserve"> </w:t>
      </w:r>
      <w:r w:rsidRPr="00BB6220">
        <w:t>identity</w:t>
      </w:r>
      <w:r w:rsidR="003D640C">
        <w:t xml:space="preserve"> </w:t>
      </w:r>
      <w:r w:rsidRPr="00BB6220">
        <w:t>compared</w:t>
      </w:r>
      <w:r w:rsidR="003D640C">
        <w:t xml:space="preserve"> </w:t>
      </w:r>
      <w:r w:rsidR="00957DED">
        <w:t xml:space="preserve">to </w:t>
      </w:r>
      <w:r w:rsidRPr="00BB6220">
        <w:t>6</w:t>
      </w:r>
      <w:r w:rsidR="001D1BF7">
        <w:t xml:space="preserve"> percent</w:t>
      </w:r>
      <w:r w:rsidR="003D640C">
        <w:t xml:space="preserve"> </w:t>
      </w:r>
      <w:r w:rsidRPr="00BB6220">
        <w:t>of</w:t>
      </w:r>
      <w:r w:rsidR="003D640C">
        <w:t xml:space="preserve"> </w:t>
      </w:r>
      <w:r w:rsidRPr="00BB6220">
        <w:t>European</w:t>
      </w:r>
      <w:r w:rsidR="003D640C">
        <w:t xml:space="preserve"> </w:t>
      </w:r>
      <w:r w:rsidRPr="00BB6220">
        <w:t>participants.</w:t>
      </w:r>
      <w:r w:rsidRPr="00BB6220">
        <w:rPr>
          <w:rStyle w:val="FootnoteReference"/>
        </w:rPr>
        <w:footnoteReference w:id="200"/>
      </w:r>
      <w:r w:rsidR="003D640C">
        <w:t xml:space="preserve"> </w:t>
      </w:r>
      <w:r w:rsidRPr="00BB6220">
        <w:t>Some</w:t>
      </w:r>
      <w:r w:rsidR="003D640C">
        <w:t xml:space="preserve"> </w:t>
      </w:r>
      <w:r w:rsidRPr="00BB6220">
        <w:t>were</w:t>
      </w:r>
      <w:r w:rsidR="003D640C">
        <w:t xml:space="preserve"> </w:t>
      </w:r>
      <w:r w:rsidRPr="00BB6220">
        <w:t>physically</w:t>
      </w:r>
      <w:r w:rsidR="003D640C">
        <w:t xml:space="preserve"> </w:t>
      </w:r>
      <w:r w:rsidRPr="00BB6220">
        <w:t>abused</w:t>
      </w:r>
      <w:r w:rsidR="003D640C">
        <w:t xml:space="preserve"> </w:t>
      </w:r>
      <w:r w:rsidRPr="00BB6220">
        <w:t>by</w:t>
      </w:r>
      <w:r w:rsidR="003D640C">
        <w:t xml:space="preserve"> </w:t>
      </w:r>
      <w:r w:rsidRPr="00BB6220">
        <w:t>their</w:t>
      </w:r>
      <w:r w:rsidR="003D640C">
        <w:t xml:space="preserve"> </w:t>
      </w:r>
      <w:r w:rsidRPr="00BB6220">
        <w:t>families</w:t>
      </w:r>
      <w:r w:rsidR="003D640C">
        <w:t xml:space="preserve"> </w:t>
      </w:r>
      <w:r w:rsidRPr="00BB6220">
        <w:t>and</w:t>
      </w:r>
      <w:r w:rsidR="003D640C">
        <w:t xml:space="preserve"> </w:t>
      </w:r>
      <w:r w:rsidRPr="00BB6220">
        <w:t>bullied</w:t>
      </w:r>
      <w:r w:rsidR="003D640C">
        <w:t xml:space="preserve"> </w:t>
      </w:r>
      <w:r w:rsidRPr="00BB6220">
        <w:t>for</w:t>
      </w:r>
      <w:r w:rsidR="003D640C">
        <w:t xml:space="preserve"> </w:t>
      </w:r>
      <w:r w:rsidRPr="00BB6220">
        <w:t>being</w:t>
      </w:r>
      <w:r w:rsidR="003D640C">
        <w:t xml:space="preserve"> </w:t>
      </w:r>
      <w:r w:rsidRPr="00BB6220">
        <w:t>different.</w:t>
      </w:r>
      <w:r w:rsidR="003D640C">
        <w:t xml:space="preserve"> </w:t>
      </w:r>
      <w:r w:rsidRPr="00BB6220">
        <w:t>The</w:t>
      </w:r>
      <w:r w:rsidR="003D640C">
        <w:t xml:space="preserve"> </w:t>
      </w:r>
      <w:r w:rsidRPr="00BB6220">
        <w:t>survey</w:t>
      </w:r>
      <w:r w:rsidR="003D640C">
        <w:t xml:space="preserve"> </w:t>
      </w:r>
      <w:r w:rsidRPr="00BB6220">
        <w:t>showed</w:t>
      </w:r>
      <w:r w:rsidR="003D640C">
        <w:t xml:space="preserve"> </w:t>
      </w:r>
      <w:r w:rsidRPr="00BB6220">
        <w:t>33</w:t>
      </w:r>
      <w:r w:rsidR="001D1BF7">
        <w:t xml:space="preserve"> percent</w:t>
      </w:r>
      <w:r w:rsidR="003D640C">
        <w:t xml:space="preserve"> </w:t>
      </w:r>
      <w:r w:rsidRPr="00BB6220">
        <w:t>of</w:t>
      </w:r>
      <w:r w:rsidR="003D640C">
        <w:t xml:space="preserve"> </w:t>
      </w:r>
      <w:r w:rsidRPr="00BB6220">
        <w:t>Pacific</w:t>
      </w:r>
      <w:r w:rsidR="003D640C">
        <w:t xml:space="preserve"> </w:t>
      </w:r>
      <w:r w:rsidRPr="00BB6220">
        <w:t>transgender</w:t>
      </w:r>
      <w:r w:rsidR="003D640C">
        <w:t xml:space="preserve"> </w:t>
      </w:r>
      <w:r w:rsidRPr="00BB6220">
        <w:t>and</w:t>
      </w:r>
      <w:r w:rsidR="003D640C">
        <w:t xml:space="preserve"> </w:t>
      </w:r>
      <w:r w:rsidRPr="00BB6220">
        <w:t>non-binary</w:t>
      </w:r>
      <w:r w:rsidR="003D640C">
        <w:t xml:space="preserve"> </w:t>
      </w:r>
      <w:r w:rsidRPr="00BB6220">
        <w:t>participants</w:t>
      </w:r>
      <w:r w:rsidR="003D640C">
        <w:t xml:space="preserve"> </w:t>
      </w:r>
      <w:r w:rsidRPr="00BB6220">
        <w:t>had</w:t>
      </w:r>
      <w:r w:rsidR="003D640C">
        <w:t xml:space="preserve"> </w:t>
      </w:r>
      <w:r w:rsidRPr="00BB6220">
        <w:t>a</w:t>
      </w:r>
      <w:r w:rsidR="003D640C">
        <w:t xml:space="preserve"> </w:t>
      </w:r>
      <w:r w:rsidRPr="00BB6220">
        <w:t>family</w:t>
      </w:r>
      <w:r w:rsidR="003D640C">
        <w:t xml:space="preserve"> </w:t>
      </w:r>
      <w:r w:rsidRPr="00BB6220">
        <w:t>member</w:t>
      </w:r>
      <w:r w:rsidR="003D640C">
        <w:t xml:space="preserve"> </w:t>
      </w:r>
      <w:r w:rsidRPr="00BB6220">
        <w:t>be</w:t>
      </w:r>
      <w:r w:rsidR="003D640C">
        <w:t xml:space="preserve"> </w:t>
      </w:r>
      <w:r w:rsidRPr="00BB6220">
        <w:t>violent</w:t>
      </w:r>
      <w:r w:rsidR="003D640C">
        <w:t xml:space="preserve"> </w:t>
      </w:r>
      <w:r w:rsidRPr="00BB6220">
        <w:t>towards</w:t>
      </w:r>
      <w:r w:rsidR="003D640C">
        <w:t xml:space="preserve"> </w:t>
      </w:r>
      <w:r w:rsidRPr="00BB6220">
        <w:t>them</w:t>
      </w:r>
      <w:r w:rsidR="003D640C">
        <w:t xml:space="preserve"> </w:t>
      </w:r>
      <w:r w:rsidRPr="00BB6220">
        <w:t>because</w:t>
      </w:r>
      <w:r w:rsidR="003D640C">
        <w:t xml:space="preserve"> </w:t>
      </w:r>
      <w:r w:rsidRPr="00BB6220">
        <w:t>of</w:t>
      </w:r>
      <w:r w:rsidR="003D640C">
        <w:t xml:space="preserve"> </w:t>
      </w:r>
      <w:r w:rsidRPr="00BB6220">
        <w:t>their</w:t>
      </w:r>
      <w:r w:rsidR="003D640C">
        <w:t xml:space="preserve"> </w:t>
      </w:r>
      <w:r w:rsidRPr="00BB6220">
        <w:t>gender</w:t>
      </w:r>
      <w:r w:rsidR="003D640C">
        <w:t xml:space="preserve"> </w:t>
      </w:r>
      <w:r w:rsidRPr="00BB6220">
        <w:t>identity</w:t>
      </w:r>
      <w:r w:rsidR="003D640C">
        <w:t xml:space="preserve"> </w:t>
      </w:r>
      <w:r w:rsidRPr="00BB6220">
        <w:t>compared</w:t>
      </w:r>
      <w:r w:rsidR="003D640C">
        <w:t xml:space="preserve"> </w:t>
      </w:r>
      <w:r w:rsidR="00957DED">
        <w:t xml:space="preserve">to </w:t>
      </w:r>
      <w:r w:rsidRPr="00BB6220">
        <w:t>7</w:t>
      </w:r>
      <w:r w:rsidR="001D1BF7">
        <w:t xml:space="preserve"> percent</w:t>
      </w:r>
      <w:r w:rsidR="003D640C">
        <w:t xml:space="preserve"> </w:t>
      </w:r>
      <w:r w:rsidRPr="00BB6220">
        <w:t>of</w:t>
      </w:r>
      <w:r w:rsidR="003D640C">
        <w:t xml:space="preserve"> </w:t>
      </w:r>
      <w:r w:rsidRPr="00BB6220">
        <w:t>European</w:t>
      </w:r>
      <w:r w:rsidR="003D640C">
        <w:t xml:space="preserve"> </w:t>
      </w:r>
      <w:r w:rsidRPr="00BB6220">
        <w:t>participants.</w:t>
      </w:r>
      <w:r w:rsidR="003D640C">
        <w:t xml:space="preserve"> </w:t>
      </w:r>
      <w:r w:rsidRPr="00BB6220">
        <w:t>The</w:t>
      </w:r>
      <w:r w:rsidR="003D640C">
        <w:t xml:space="preserve"> </w:t>
      </w:r>
      <w:r w:rsidRPr="00BB6220">
        <w:t>same</w:t>
      </w:r>
      <w:r w:rsidR="003D640C">
        <w:t xml:space="preserve"> </w:t>
      </w:r>
      <w:r w:rsidRPr="00BB6220">
        <w:t>study</w:t>
      </w:r>
      <w:r w:rsidR="003D640C">
        <w:t xml:space="preserve"> </w:t>
      </w:r>
      <w:r w:rsidRPr="00BB6220">
        <w:t>found</w:t>
      </w:r>
      <w:r w:rsidR="003D640C">
        <w:t xml:space="preserve"> </w:t>
      </w:r>
      <w:r w:rsidRPr="00BB6220">
        <w:t>56</w:t>
      </w:r>
      <w:r w:rsidR="001D1BF7">
        <w:t xml:space="preserve"> percent</w:t>
      </w:r>
      <w:r w:rsidR="003D640C">
        <w:t xml:space="preserve"> </w:t>
      </w:r>
      <w:r w:rsidRPr="00BB6220">
        <w:t>of</w:t>
      </w:r>
      <w:r w:rsidR="003D640C">
        <w:t xml:space="preserve"> </w:t>
      </w:r>
      <w:r w:rsidRPr="00BB6220">
        <w:t>Pacific</w:t>
      </w:r>
      <w:r w:rsidR="003D640C">
        <w:t xml:space="preserve"> </w:t>
      </w:r>
      <w:r w:rsidRPr="00BB6220">
        <w:t>participants</w:t>
      </w:r>
      <w:r w:rsidR="003D640C">
        <w:t xml:space="preserve"> </w:t>
      </w:r>
      <w:r w:rsidRPr="00BB6220">
        <w:t>had</w:t>
      </w:r>
      <w:r w:rsidR="003D640C">
        <w:t xml:space="preserve"> </w:t>
      </w:r>
      <w:r w:rsidRPr="00BB6220">
        <w:t>family</w:t>
      </w:r>
      <w:r w:rsidR="003D640C">
        <w:t xml:space="preserve"> </w:t>
      </w:r>
      <w:r w:rsidRPr="00BB6220">
        <w:t>members</w:t>
      </w:r>
      <w:r w:rsidR="003D640C">
        <w:t xml:space="preserve"> </w:t>
      </w:r>
      <w:r w:rsidRPr="00BB6220">
        <w:t>prevent</w:t>
      </w:r>
      <w:r w:rsidR="003D640C">
        <w:t xml:space="preserve"> </w:t>
      </w:r>
      <w:r w:rsidRPr="00BB6220">
        <w:t>them</w:t>
      </w:r>
      <w:r w:rsidR="003D640C">
        <w:t xml:space="preserve"> </w:t>
      </w:r>
      <w:r w:rsidRPr="00BB6220">
        <w:t>wearing</w:t>
      </w:r>
      <w:r w:rsidR="003D640C">
        <w:t xml:space="preserve"> </w:t>
      </w:r>
      <w:r w:rsidRPr="00BB6220">
        <w:t>clothes</w:t>
      </w:r>
      <w:r w:rsidR="003D640C">
        <w:t xml:space="preserve"> </w:t>
      </w:r>
      <w:r w:rsidRPr="00BB6220">
        <w:t>that</w:t>
      </w:r>
      <w:r w:rsidR="003D640C">
        <w:t xml:space="preserve"> </w:t>
      </w:r>
      <w:r w:rsidRPr="00BB6220">
        <w:t>matched</w:t>
      </w:r>
      <w:r w:rsidR="003D640C">
        <w:t xml:space="preserve"> </w:t>
      </w:r>
      <w:r w:rsidRPr="00BB6220">
        <w:t>their</w:t>
      </w:r>
      <w:r w:rsidR="003D640C">
        <w:t xml:space="preserve"> </w:t>
      </w:r>
      <w:r w:rsidRPr="00BB6220">
        <w:t>gender</w:t>
      </w:r>
      <w:r w:rsidR="003D640C">
        <w:t xml:space="preserve"> </w:t>
      </w:r>
      <w:r w:rsidRPr="00BB6220">
        <w:t>identity.</w:t>
      </w:r>
    </w:p>
    <w:p w14:paraId="32C2E503" w14:textId="05975B79" w:rsidR="00222E14" w:rsidRPr="0095608B" w:rsidRDefault="0C26385D" w:rsidP="00747446">
      <w:r w:rsidRPr="0095608B">
        <w:t>It</w:t>
      </w:r>
      <w:r w:rsidR="003D640C">
        <w:t xml:space="preserve"> </w:t>
      </w:r>
      <w:r w:rsidRPr="0095608B">
        <w:t>is</w:t>
      </w:r>
      <w:r w:rsidR="003D640C">
        <w:t xml:space="preserve"> </w:t>
      </w:r>
      <w:r w:rsidRPr="0095608B">
        <w:t>not</w:t>
      </w:r>
      <w:r w:rsidR="003D640C">
        <w:t xml:space="preserve"> </w:t>
      </w:r>
      <w:r w:rsidRPr="0095608B">
        <w:t>possible</w:t>
      </w:r>
      <w:r w:rsidR="003D640C">
        <w:t xml:space="preserve"> </w:t>
      </w:r>
      <w:r w:rsidRPr="0095608B">
        <w:t>to</w:t>
      </w:r>
      <w:r w:rsidR="003D640C">
        <w:t xml:space="preserve"> </w:t>
      </w:r>
      <w:r w:rsidRPr="0095608B">
        <w:t>discuss</w:t>
      </w:r>
      <w:r w:rsidR="003D640C">
        <w:t xml:space="preserve"> </w:t>
      </w:r>
      <w:r w:rsidRPr="0095608B">
        <w:t>the</w:t>
      </w:r>
      <w:r w:rsidR="003D640C">
        <w:t xml:space="preserve"> </w:t>
      </w:r>
      <w:r w:rsidR="1506D735" w:rsidRPr="0095608B">
        <w:t>negative</w:t>
      </w:r>
      <w:r w:rsidR="003D640C">
        <w:t xml:space="preserve"> </w:t>
      </w:r>
      <w:r w:rsidR="1506D735" w:rsidRPr="0095608B">
        <w:t>impacts</w:t>
      </w:r>
      <w:r w:rsidR="003D640C">
        <w:t xml:space="preserve"> </w:t>
      </w:r>
      <w:r w:rsidR="39BC12E3" w:rsidRPr="0095608B">
        <w:t>of</w:t>
      </w:r>
      <w:r w:rsidR="003D640C">
        <w:t xml:space="preserve"> </w:t>
      </w:r>
      <w:r w:rsidR="39BC12E3" w:rsidRPr="0095608B">
        <w:t>conversion</w:t>
      </w:r>
      <w:r w:rsidR="003D640C">
        <w:t xml:space="preserve"> </w:t>
      </w:r>
      <w:r w:rsidR="39BC12E3" w:rsidRPr="0095608B">
        <w:t>practices</w:t>
      </w:r>
      <w:r w:rsidR="003D640C">
        <w:t xml:space="preserve"> </w:t>
      </w:r>
      <w:r w:rsidR="39BC12E3" w:rsidRPr="0095608B">
        <w:t>upon</w:t>
      </w:r>
      <w:r w:rsidR="003D640C">
        <w:t xml:space="preserve"> </w:t>
      </w:r>
      <w:r w:rsidR="39BC12E3" w:rsidRPr="0095608B">
        <w:t>Pacific</w:t>
      </w:r>
      <w:r w:rsidR="003D640C">
        <w:t xml:space="preserve"> </w:t>
      </w:r>
      <w:r w:rsidR="00984C21" w:rsidRPr="0095608B">
        <w:t>R</w:t>
      </w:r>
      <w:r w:rsidR="39BC12E3" w:rsidRPr="0095608B">
        <w:t>ainbow</w:t>
      </w:r>
      <w:r w:rsidR="003D640C">
        <w:t xml:space="preserve"> </w:t>
      </w:r>
      <w:r w:rsidR="39BC12E3" w:rsidRPr="0095608B">
        <w:t>communities</w:t>
      </w:r>
      <w:r w:rsidR="003D640C">
        <w:t xml:space="preserve"> </w:t>
      </w:r>
      <w:r w:rsidR="5E33C2B7" w:rsidRPr="0095608B">
        <w:t>in</w:t>
      </w:r>
      <w:r w:rsidR="003D640C">
        <w:t xml:space="preserve"> </w:t>
      </w:r>
      <w:r w:rsidR="5E33C2B7" w:rsidRPr="0095608B">
        <w:t>Aotearoa</w:t>
      </w:r>
      <w:r w:rsidR="003D640C">
        <w:t xml:space="preserve"> </w:t>
      </w:r>
      <w:r w:rsidR="39BC12E3" w:rsidRPr="0095608B">
        <w:t>without</w:t>
      </w:r>
      <w:r w:rsidR="003D640C">
        <w:t xml:space="preserve"> </w:t>
      </w:r>
      <w:r w:rsidR="39BC12E3" w:rsidRPr="0095608B">
        <w:t>mentioning</w:t>
      </w:r>
      <w:r w:rsidR="003D640C">
        <w:t xml:space="preserve"> </w:t>
      </w:r>
      <w:r w:rsidR="39BC12E3" w:rsidRPr="0095608B">
        <w:t>th</w:t>
      </w:r>
      <w:r w:rsidR="00984C21" w:rsidRPr="0095608B">
        <w:t>e</w:t>
      </w:r>
      <w:r w:rsidR="003D640C">
        <w:t xml:space="preserve"> </w:t>
      </w:r>
      <w:r w:rsidR="6C1D52FE" w:rsidRPr="0095608B">
        <w:t>socioeconomic</w:t>
      </w:r>
      <w:r w:rsidR="003D640C">
        <w:t xml:space="preserve"> </w:t>
      </w:r>
      <w:r w:rsidR="6C1D52FE" w:rsidRPr="0095608B">
        <w:t>profile</w:t>
      </w:r>
      <w:r w:rsidR="003D640C">
        <w:t xml:space="preserve"> </w:t>
      </w:r>
      <w:r w:rsidR="6C1D52FE" w:rsidRPr="0095608B">
        <w:t>of</w:t>
      </w:r>
      <w:r w:rsidR="003D640C">
        <w:t xml:space="preserve"> </w:t>
      </w:r>
      <w:r w:rsidR="6C1D52FE" w:rsidRPr="0095608B">
        <w:t>Pacific</w:t>
      </w:r>
      <w:r w:rsidR="003D640C">
        <w:t xml:space="preserve"> </w:t>
      </w:r>
      <w:r w:rsidR="6C1D52FE" w:rsidRPr="0095608B">
        <w:t>people</w:t>
      </w:r>
      <w:r w:rsidR="7EAE2FB6" w:rsidRPr="0095608B">
        <w:t>s</w:t>
      </w:r>
      <w:r w:rsidR="613EFF58" w:rsidRPr="0095608B">
        <w:t>.</w:t>
      </w:r>
      <w:r w:rsidR="003D640C">
        <w:t xml:space="preserve"> </w:t>
      </w:r>
      <w:r w:rsidR="009275D7" w:rsidRPr="0095608B">
        <w:t>Pacific</w:t>
      </w:r>
      <w:r w:rsidR="003D640C">
        <w:t xml:space="preserve"> </w:t>
      </w:r>
      <w:r w:rsidR="009275D7" w:rsidRPr="0095608B">
        <w:t>peoples</w:t>
      </w:r>
      <w:r w:rsidR="003D640C">
        <w:t xml:space="preserve"> </w:t>
      </w:r>
      <w:r w:rsidR="009275D7" w:rsidRPr="0095608B">
        <w:t>are</w:t>
      </w:r>
      <w:r w:rsidR="003D640C">
        <w:t xml:space="preserve"> </w:t>
      </w:r>
      <w:r w:rsidR="009275D7" w:rsidRPr="0095608B">
        <w:t>more</w:t>
      </w:r>
      <w:r w:rsidR="003D640C">
        <w:t xml:space="preserve"> </w:t>
      </w:r>
      <w:r w:rsidR="009275D7" w:rsidRPr="0095608B">
        <w:t>likely</w:t>
      </w:r>
      <w:r w:rsidR="003D640C">
        <w:t xml:space="preserve"> </w:t>
      </w:r>
      <w:r w:rsidR="009275D7" w:rsidRPr="0095608B">
        <w:t>than</w:t>
      </w:r>
      <w:r w:rsidR="003D640C">
        <w:t xml:space="preserve"> </w:t>
      </w:r>
      <w:r w:rsidR="00961C9B">
        <w:t xml:space="preserve">people of </w:t>
      </w:r>
      <w:r w:rsidR="009275D7" w:rsidRPr="0095608B">
        <w:t>other</w:t>
      </w:r>
      <w:r w:rsidR="003D640C">
        <w:t xml:space="preserve"> </w:t>
      </w:r>
      <w:r w:rsidR="009275D7" w:rsidRPr="0095608B">
        <w:t>ethnicities</w:t>
      </w:r>
      <w:r w:rsidR="003D640C">
        <w:t xml:space="preserve"> </w:t>
      </w:r>
      <w:r w:rsidR="009275D7" w:rsidRPr="0095608B">
        <w:t>to</w:t>
      </w:r>
      <w:r w:rsidR="003D640C">
        <w:t xml:space="preserve"> </w:t>
      </w:r>
      <w:r w:rsidR="009275D7" w:rsidRPr="0095608B">
        <w:t>report</w:t>
      </w:r>
      <w:r w:rsidR="003D640C">
        <w:t xml:space="preserve"> </w:t>
      </w:r>
      <w:r w:rsidR="009275D7" w:rsidRPr="0095608B">
        <w:t>that</w:t>
      </w:r>
      <w:r w:rsidR="003D640C">
        <w:t xml:space="preserve"> </w:t>
      </w:r>
      <w:r w:rsidR="009275D7" w:rsidRPr="0095608B">
        <w:t>they</w:t>
      </w:r>
      <w:r w:rsidR="003D640C">
        <w:t xml:space="preserve"> </w:t>
      </w:r>
      <w:r w:rsidR="009275D7" w:rsidRPr="0095608B">
        <w:t>do</w:t>
      </w:r>
      <w:r w:rsidR="003D640C">
        <w:t xml:space="preserve"> </w:t>
      </w:r>
      <w:r w:rsidR="009275D7" w:rsidRPr="0095608B">
        <w:t>not</w:t>
      </w:r>
      <w:r w:rsidR="003D640C">
        <w:t xml:space="preserve"> </w:t>
      </w:r>
      <w:r w:rsidR="009275D7" w:rsidRPr="0095608B">
        <w:t>have</w:t>
      </w:r>
      <w:r w:rsidR="003D640C">
        <w:t xml:space="preserve"> </w:t>
      </w:r>
      <w:r w:rsidR="009275D7" w:rsidRPr="0095608B">
        <w:t>enough</w:t>
      </w:r>
      <w:r w:rsidR="003D640C">
        <w:t xml:space="preserve"> </w:t>
      </w:r>
      <w:r w:rsidR="009275D7" w:rsidRPr="0095608B">
        <w:t>mon</w:t>
      </w:r>
      <w:r w:rsidR="00D145E2" w:rsidRPr="0095608B">
        <w:t>e</w:t>
      </w:r>
      <w:r w:rsidR="009275D7" w:rsidRPr="0095608B">
        <w:t>y</w:t>
      </w:r>
      <w:r w:rsidR="003D640C">
        <w:t xml:space="preserve"> </w:t>
      </w:r>
      <w:r w:rsidR="009275D7" w:rsidRPr="0095608B">
        <w:t>to</w:t>
      </w:r>
      <w:r w:rsidR="003D640C">
        <w:t xml:space="preserve"> </w:t>
      </w:r>
      <w:r w:rsidR="009275D7" w:rsidRPr="0095608B">
        <w:t>meet</w:t>
      </w:r>
      <w:r w:rsidR="003D640C">
        <w:t xml:space="preserve"> </w:t>
      </w:r>
      <w:r w:rsidR="009275D7" w:rsidRPr="0095608B">
        <w:t>their</w:t>
      </w:r>
      <w:r w:rsidR="003D640C">
        <w:t xml:space="preserve"> </w:t>
      </w:r>
      <w:r w:rsidR="009275D7" w:rsidRPr="0095608B">
        <w:t>everyday</w:t>
      </w:r>
      <w:r w:rsidR="003D640C">
        <w:t xml:space="preserve"> </w:t>
      </w:r>
      <w:r w:rsidR="009275D7" w:rsidRPr="0095608B">
        <w:t>needs</w:t>
      </w:r>
      <w:r w:rsidR="00D451DB" w:rsidRPr="00094317">
        <w:t>.</w:t>
      </w:r>
      <w:r w:rsidR="00D145E2" w:rsidRPr="0095608B">
        <w:rPr>
          <w:rStyle w:val="FootnoteReference"/>
        </w:rPr>
        <w:footnoteReference w:id="201"/>
      </w:r>
      <w:r w:rsidR="003D640C">
        <w:t xml:space="preserve"> </w:t>
      </w:r>
      <w:r w:rsidR="00405344" w:rsidRPr="0095608B">
        <w:t>Contributing</w:t>
      </w:r>
      <w:r w:rsidR="003D640C">
        <w:t xml:space="preserve"> </w:t>
      </w:r>
      <w:r w:rsidR="00405344" w:rsidRPr="0095608B">
        <w:t>to</w:t>
      </w:r>
      <w:r w:rsidR="003D640C">
        <w:t xml:space="preserve"> </w:t>
      </w:r>
      <w:r w:rsidR="00405344" w:rsidRPr="0095608B">
        <w:t>the</w:t>
      </w:r>
      <w:r w:rsidR="003D640C">
        <w:t xml:space="preserve"> </w:t>
      </w:r>
      <w:r w:rsidR="00405344" w:rsidRPr="0095608B">
        <w:t>low</w:t>
      </w:r>
      <w:r w:rsidR="003D640C">
        <w:t xml:space="preserve"> </w:t>
      </w:r>
      <w:r w:rsidR="00405344" w:rsidRPr="0095608B">
        <w:t>disposable</w:t>
      </w:r>
      <w:r w:rsidR="003D640C">
        <w:t xml:space="preserve"> </w:t>
      </w:r>
      <w:r w:rsidR="00D53A92" w:rsidRPr="0095608B">
        <w:t>incomes</w:t>
      </w:r>
      <w:r w:rsidR="003D640C">
        <w:t xml:space="preserve"> </w:t>
      </w:r>
      <w:r w:rsidR="00405344" w:rsidRPr="0095608B">
        <w:t>experienced</w:t>
      </w:r>
      <w:r w:rsidR="003D640C">
        <w:t xml:space="preserve"> </w:t>
      </w:r>
      <w:r w:rsidR="00405344" w:rsidRPr="0095608B">
        <w:t>by</w:t>
      </w:r>
      <w:r w:rsidR="003D640C">
        <w:t xml:space="preserve"> </w:t>
      </w:r>
      <w:r w:rsidR="00405344" w:rsidRPr="0095608B">
        <w:t>Pacific</w:t>
      </w:r>
      <w:r w:rsidR="003D640C">
        <w:t xml:space="preserve"> </w:t>
      </w:r>
      <w:r w:rsidR="00405344" w:rsidRPr="0095608B">
        <w:t>peoples</w:t>
      </w:r>
      <w:r w:rsidR="003D640C">
        <w:t xml:space="preserve"> </w:t>
      </w:r>
      <w:r w:rsidR="00405344" w:rsidRPr="0095608B">
        <w:t>are</w:t>
      </w:r>
      <w:r w:rsidR="003D640C">
        <w:t xml:space="preserve"> </w:t>
      </w:r>
      <w:r w:rsidR="00405344" w:rsidRPr="0095608B">
        <w:t>the</w:t>
      </w:r>
      <w:r w:rsidR="003D640C">
        <w:t xml:space="preserve"> </w:t>
      </w:r>
      <w:r w:rsidR="00405344" w:rsidRPr="0095608B">
        <w:t>significant</w:t>
      </w:r>
      <w:r w:rsidR="003D640C">
        <w:t xml:space="preserve"> </w:t>
      </w:r>
      <w:r w:rsidR="00405344" w:rsidRPr="0095608B">
        <w:t>ethnic</w:t>
      </w:r>
      <w:r w:rsidR="003D640C">
        <w:t xml:space="preserve"> </w:t>
      </w:r>
      <w:r w:rsidR="00405344" w:rsidRPr="0095608B">
        <w:t>and</w:t>
      </w:r>
      <w:r w:rsidR="003D640C">
        <w:t xml:space="preserve"> </w:t>
      </w:r>
      <w:r w:rsidR="00405344" w:rsidRPr="0095608B">
        <w:t>gender</w:t>
      </w:r>
      <w:r w:rsidR="003D640C">
        <w:t xml:space="preserve"> </w:t>
      </w:r>
      <w:r w:rsidR="00405344" w:rsidRPr="0095608B">
        <w:t>pay</w:t>
      </w:r>
      <w:r w:rsidR="003D640C">
        <w:t xml:space="preserve"> </w:t>
      </w:r>
      <w:r w:rsidR="00405344" w:rsidRPr="0095608B">
        <w:t>gaps</w:t>
      </w:r>
      <w:r w:rsidR="003D640C">
        <w:t xml:space="preserve"> </w:t>
      </w:r>
      <w:r w:rsidR="00405344" w:rsidRPr="0095608B">
        <w:t>they</w:t>
      </w:r>
      <w:r w:rsidR="003D640C">
        <w:t xml:space="preserve"> </w:t>
      </w:r>
      <w:r w:rsidR="00405344" w:rsidRPr="0095608B">
        <w:t>experience</w:t>
      </w:r>
      <w:r w:rsidR="003D640C">
        <w:t xml:space="preserve"> </w:t>
      </w:r>
      <w:r w:rsidR="00FE3424" w:rsidRPr="0095608B">
        <w:t>compared</w:t>
      </w:r>
      <w:r w:rsidR="003D640C">
        <w:t xml:space="preserve"> </w:t>
      </w:r>
      <w:r w:rsidR="00FE3424" w:rsidRPr="0095608B">
        <w:t>to</w:t>
      </w:r>
      <w:r w:rsidR="003D640C">
        <w:t xml:space="preserve"> </w:t>
      </w:r>
      <w:r w:rsidR="00FE3424" w:rsidRPr="0095608B">
        <w:t>other</w:t>
      </w:r>
      <w:r w:rsidR="003D640C">
        <w:t xml:space="preserve"> </w:t>
      </w:r>
      <w:r w:rsidR="00FE3424" w:rsidRPr="0095608B">
        <w:t>groups</w:t>
      </w:r>
      <w:r w:rsidR="00405344" w:rsidRPr="0095608B">
        <w:t>.</w:t>
      </w:r>
      <w:r w:rsidR="00706247" w:rsidRPr="0095608B" w:rsidDel="008E1CCA">
        <w:t xml:space="preserve"> </w:t>
      </w:r>
      <w:r w:rsidR="03CF1C24" w:rsidRPr="0095608B">
        <w:t>The</w:t>
      </w:r>
      <w:r w:rsidR="003D640C">
        <w:t xml:space="preserve"> </w:t>
      </w:r>
      <w:r w:rsidR="03CF1C24" w:rsidRPr="0095608B">
        <w:t>Commission’s</w:t>
      </w:r>
      <w:r w:rsidR="003D640C">
        <w:t xml:space="preserve"> </w:t>
      </w:r>
      <w:r w:rsidR="03CF1C24" w:rsidRPr="0095608B">
        <w:t>Pacific</w:t>
      </w:r>
      <w:r w:rsidR="003D640C">
        <w:t xml:space="preserve"> </w:t>
      </w:r>
      <w:r w:rsidR="03CF1C24" w:rsidRPr="0095608B">
        <w:t>Pay</w:t>
      </w:r>
      <w:r w:rsidR="003D640C">
        <w:t xml:space="preserve"> </w:t>
      </w:r>
      <w:r w:rsidR="03CF1C24" w:rsidRPr="0095608B">
        <w:t>Gap</w:t>
      </w:r>
      <w:r w:rsidR="003D640C">
        <w:t xml:space="preserve"> </w:t>
      </w:r>
      <w:r w:rsidR="03CF1C24" w:rsidRPr="0095608B">
        <w:t>Inquiry</w:t>
      </w:r>
      <w:r w:rsidR="003D640C">
        <w:t xml:space="preserve"> </w:t>
      </w:r>
      <w:r w:rsidR="00222E14" w:rsidRPr="0095608B">
        <w:t>in</w:t>
      </w:r>
      <w:r w:rsidR="003D640C">
        <w:t xml:space="preserve"> </w:t>
      </w:r>
      <w:r w:rsidR="00222E14" w:rsidRPr="0095608B">
        <w:t>2022</w:t>
      </w:r>
      <w:r w:rsidR="003D640C">
        <w:t xml:space="preserve"> </w:t>
      </w:r>
      <w:r w:rsidR="00222E14" w:rsidRPr="0095608B">
        <w:t>found</w:t>
      </w:r>
      <w:r w:rsidR="003D640C">
        <w:t xml:space="preserve"> </w:t>
      </w:r>
      <w:r w:rsidR="00222E14" w:rsidRPr="0095608B">
        <w:t>that</w:t>
      </w:r>
      <w:r w:rsidR="003D640C">
        <w:t xml:space="preserve"> </w:t>
      </w:r>
      <w:r w:rsidR="00222E14" w:rsidRPr="0095608B">
        <w:t>there</w:t>
      </w:r>
      <w:r w:rsidR="003D640C">
        <w:t xml:space="preserve"> </w:t>
      </w:r>
      <w:r w:rsidR="00222E14" w:rsidRPr="0095608B">
        <w:t>is</w:t>
      </w:r>
      <w:r w:rsidR="003D640C">
        <w:t xml:space="preserve"> </w:t>
      </w:r>
      <w:r w:rsidR="00222E14" w:rsidRPr="0095608B">
        <w:t>a</w:t>
      </w:r>
      <w:r w:rsidR="003D640C">
        <w:t xml:space="preserve"> </w:t>
      </w:r>
      <w:r w:rsidR="00222E14" w:rsidRPr="0095608B">
        <w:t>wide</w:t>
      </w:r>
      <w:r w:rsidR="003D640C">
        <w:t xml:space="preserve"> </w:t>
      </w:r>
      <w:r w:rsidR="00222E14" w:rsidRPr="0095608B">
        <w:t>and</w:t>
      </w:r>
      <w:r w:rsidR="003D640C">
        <w:t xml:space="preserve"> </w:t>
      </w:r>
      <w:r w:rsidR="00222E14" w:rsidRPr="0095608B">
        <w:t>persistent</w:t>
      </w:r>
      <w:r w:rsidR="003D640C">
        <w:t xml:space="preserve"> </w:t>
      </w:r>
      <w:r w:rsidR="00222E14" w:rsidRPr="0095608B">
        <w:t>pay</w:t>
      </w:r>
      <w:r w:rsidR="003D640C">
        <w:t xml:space="preserve"> </w:t>
      </w:r>
      <w:r w:rsidR="00222E14" w:rsidRPr="0095608B">
        <w:t>gap</w:t>
      </w:r>
      <w:r w:rsidR="003D640C">
        <w:t xml:space="preserve"> </w:t>
      </w:r>
      <w:r w:rsidR="00222E14" w:rsidRPr="0095608B">
        <w:t>between</w:t>
      </w:r>
      <w:r w:rsidR="003D640C">
        <w:t xml:space="preserve"> </w:t>
      </w:r>
      <w:r w:rsidR="00222E14" w:rsidRPr="0095608B">
        <w:t>Pacific</w:t>
      </w:r>
      <w:r w:rsidR="003D640C">
        <w:t xml:space="preserve"> </w:t>
      </w:r>
      <w:r w:rsidR="00222E14" w:rsidRPr="0095608B">
        <w:t>workers</w:t>
      </w:r>
      <w:r w:rsidR="003D640C">
        <w:t xml:space="preserve"> </w:t>
      </w:r>
      <w:r w:rsidR="00222E14" w:rsidRPr="0095608B">
        <w:t>and</w:t>
      </w:r>
      <w:r w:rsidR="003D640C">
        <w:t xml:space="preserve"> </w:t>
      </w:r>
      <w:r w:rsidR="00222E14" w:rsidRPr="0095608B">
        <w:t>other</w:t>
      </w:r>
      <w:r w:rsidR="003D640C">
        <w:t xml:space="preserve"> </w:t>
      </w:r>
      <w:r w:rsidR="00222E14" w:rsidRPr="0095608B">
        <w:t>workers</w:t>
      </w:r>
      <w:r w:rsidR="00C1294C" w:rsidRPr="0095608B">
        <w:t>,</w:t>
      </w:r>
      <w:r w:rsidR="003D640C">
        <w:t xml:space="preserve"> </w:t>
      </w:r>
      <w:r w:rsidR="007B47C1" w:rsidRPr="00094317">
        <w:t>which</w:t>
      </w:r>
      <w:r w:rsidR="003D640C">
        <w:t xml:space="preserve"> </w:t>
      </w:r>
      <w:r w:rsidR="00C1294C" w:rsidRPr="0095608B">
        <w:t>is</w:t>
      </w:r>
      <w:r w:rsidR="003D640C">
        <w:t xml:space="preserve"> </w:t>
      </w:r>
      <w:r w:rsidR="00C1294C" w:rsidRPr="0095608B">
        <w:t>particularly</w:t>
      </w:r>
      <w:r w:rsidR="003D640C">
        <w:t xml:space="preserve"> </w:t>
      </w:r>
      <w:r w:rsidR="00C1294C" w:rsidRPr="0095608B">
        <w:t>pronounced</w:t>
      </w:r>
      <w:r w:rsidR="003D640C">
        <w:t xml:space="preserve"> </w:t>
      </w:r>
      <w:r w:rsidR="00C1294C" w:rsidRPr="0095608B">
        <w:t>for</w:t>
      </w:r>
      <w:r w:rsidR="003D640C">
        <w:t xml:space="preserve"> </w:t>
      </w:r>
      <w:r w:rsidR="00C1294C" w:rsidRPr="0095608B">
        <w:t>Pacific</w:t>
      </w:r>
      <w:r w:rsidR="003D640C">
        <w:t xml:space="preserve"> </w:t>
      </w:r>
      <w:r w:rsidR="00C1294C" w:rsidRPr="0095608B">
        <w:t>women</w:t>
      </w:r>
      <w:r w:rsidR="00222E14" w:rsidRPr="0095608B">
        <w:t>.</w:t>
      </w:r>
      <w:r w:rsidR="003D640C">
        <w:t xml:space="preserve"> </w:t>
      </w:r>
      <w:r w:rsidR="00E70A29" w:rsidRPr="0095608B">
        <w:t>The</w:t>
      </w:r>
      <w:r w:rsidR="003D640C">
        <w:t xml:space="preserve"> </w:t>
      </w:r>
      <w:r w:rsidR="00E70A29" w:rsidRPr="0095608B">
        <w:t>Inquiry</w:t>
      </w:r>
      <w:r w:rsidR="003D640C">
        <w:t xml:space="preserve"> </w:t>
      </w:r>
      <w:r w:rsidR="00E70A29" w:rsidRPr="0095608B">
        <w:t>found</w:t>
      </w:r>
      <w:r w:rsidR="003D640C">
        <w:t xml:space="preserve"> </w:t>
      </w:r>
      <w:r w:rsidR="00E70A29" w:rsidRPr="0095608B">
        <w:t>that</w:t>
      </w:r>
      <w:r w:rsidR="003D640C">
        <w:t xml:space="preserve"> </w:t>
      </w:r>
      <w:r w:rsidR="00E70A29" w:rsidRPr="0095608B">
        <w:t>discrimination</w:t>
      </w:r>
      <w:r w:rsidR="003D640C">
        <w:t xml:space="preserve"> </w:t>
      </w:r>
      <w:r w:rsidR="00D53A92" w:rsidRPr="0095608B">
        <w:t>and</w:t>
      </w:r>
      <w:r w:rsidR="003D640C">
        <w:t xml:space="preserve"> </w:t>
      </w:r>
      <w:r w:rsidR="00D53A92" w:rsidRPr="0095608B">
        <w:t>racism</w:t>
      </w:r>
      <w:r w:rsidR="003D640C">
        <w:t xml:space="preserve"> </w:t>
      </w:r>
      <w:r w:rsidR="00E70A29" w:rsidRPr="0095608B">
        <w:t>is</w:t>
      </w:r>
      <w:r w:rsidR="003D640C">
        <w:t xml:space="preserve"> </w:t>
      </w:r>
      <w:r w:rsidR="00E70A29" w:rsidRPr="0095608B">
        <w:t>playing</w:t>
      </w:r>
      <w:r w:rsidR="003D640C">
        <w:t xml:space="preserve"> </w:t>
      </w:r>
      <w:r w:rsidR="00E70A29" w:rsidRPr="0095608B">
        <w:t>a</w:t>
      </w:r>
      <w:r w:rsidR="003D640C">
        <w:t xml:space="preserve"> </w:t>
      </w:r>
      <w:r w:rsidR="00E70A29" w:rsidRPr="0095608B">
        <w:t>part</w:t>
      </w:r>
      <w:r w:rsidR="003D640C">
        <w:t xml:space="preserve"> </w:t>
      </w:r>
      <w:r w:rsidR="00E70A29" w:rsidRPr="0095608B">
        <w:t>in</w:t>
      </w:r>
      <w:r w:rsidR="003D640C">
        <w:t xml:space="preserve"> </w:t>
      </w:r>
      <w:r w:rsidR="00E70A29" w:rsidRPr="0095608B">
        <w:t>these</w:t>
      </w:r>
      <w:r w:rsidR="003D640C">
        <w:t xml:space="preserve"> </w:t>
      </w:r>
      <w:r w:rsidR="00E70A29" w:rsidRPr="0095608B">
        <w:t>disparities</w:t>
      </w:r>
      <w:r w:rsidR="00222E14" w:rsidRPr="0095608B">
        <w:t>.</w:t>
      </w:r>
      <w:r w:rsidR="00222E14" w:rsidRPr="0095608B">
        <w:rPr>
          <w:rStyle w:val="FootnoteReference"/>
        </w:rPr>
        <w:footnoteReference w:id="202"/>
      </w:r>
    </w:p>
    <w:p w14:paraId="4629F811" w14:textId="42B750AD" w:rsidR="771BC47B" w:rsidRPr="0095608B" w:rsidRDefault="00222E14" w:rsidP="00747446">
      <w:r w:rsidRPr="0095608B">
        <w:t>The</w:t>
      </w:r>
      <w:r w:rsidR="003D640C">
        <w:t xml:space="preserve"> </w:t>
      </w:r>
      <w:r w:rsidRPr="0095608B">
        <w:t>Commission’s</w:t>
      </w:r>
      <w:r w:rsidR="003D640C">
        <w:t xml:space="preserve"> </w:t>
      </w:r>
      <w:r w:rsidRPr="0095608B">
        <w:t>inquiry</w:t>
      </w:r>
      <w:r w:rsidR="003D640C">
        <w:t xml:space="preserve"> </w:t>
      </w:r>
      <w:r w:rsidRPr="0095608B">
        <w:t>also</w:t>
      </w:r>
      <w:r w:rsidR="003D640C">
        <w:t xml:space="preserve"> </w:t>
      </w:r>
      <w:r w:rsidRPr="0095608B">
        <w:t>noted</w:t>
      </w:r>
      <w:r w:rsidR="003D640C">
        <w:t xml:space="preserve"> </w:t>
      </w:r>
      <w:r w:rsidRPr="0095608B">
        <w:t>the</w:t>
      </w:r>
      <w:r w:rsidR="003D640C">
        <w:t xml:space="preserve"> </w:t>
      </w:r>
      <w:r w:rsidR="03CF1C24" w:rsidRPr="0095608B">
        <w:t>intersectional</w:t>
      </w:r>
      <w:r w:rsidR="003D640C">
        <w:t xml:space="preserve"> </w:t>
      </w:r>
      <w:r w:rsidR="2B35C7E2" w:rsidRPr="0095608B">
        <w:t>and</w:t>
      </w:r>
      <w:r w:rsidR="003D640C">
        <w:t xml:space="preserve"> </w:t>
      </w:r>
      <w:r w:rsidR="2B35C7E2" w:rsidRPr="0095608B">
        <w:t>compounding</w:t>
      </w:r>
      <w:r w:rsidR="003D640C">
        <w:t xml:space="preserve"> </w:t>
      </w:r>
      <w:r w:rsidR="03CF1C24" w:rsidRPr="0095608B">
        <w:t>nature</w:t>
      </w:r>
      <w:r w:rsidR="003D640C">
        <w:t xml:space="preserve"> </w:t>
      </w:r>
      <w:r w:rsidR="03CF1C24" w:rsidRPr="0095608B">
        <w:t>of</w:t>
      </w:r>
      <w:r w:rsidR="003D640C">
        <w:t xml:space="preserve"> </w:t>
      </w:r>
      <w:r w:rsidR="03CF1C24" w:rsidRPr="0095608B">
        <w:t>discrimination</w:t>
      </w:r>
      <w:r w:rsidR="003D640C">
        <w:t xml:space="preserve"> </w:t>
      </w:r>
      <w:r w:rsidR="03CF1C24" w:rsidRPr="0095608B">
        <w:t>for</w:t>
      </w:r>
      <w:r w:rsidR="003D640C">
        <w:t xml:space="preserve"> </w:t>
      </w:r>
      <w:r w:rsidR="03CF1C24" w:rsidRPr="0095608B">
        <w:t>those</w:t>
      </w:r>
      <w:r w:rsidR="003D640C">
        <w:t xml:space="preserve"> </w:t>
      </w:r>
      <w:r w:rsidR="03CF1C24" w:rsidRPr="0095608B">
        <w:t>who</w:t>
      </w:r>
      <w:r w:rsidR="003D640C">
        <w:t xml:space="preserve"> </w:t>
      </w:r>
      <w:r w:rsidR="03CF1C24" w:rsidRPr="0095608B">
        <w:t>identified</w:t>
      </w:r>
      <w:r w:rsidR="003D640C">
        <w:t xml:space="preserve"> </w:t>
      </w:r>
      <w:r w:rsidR="03CF1C24" w:rsidRPr="0095608B">
        <w:t>as</w:t>
      </w:r>
      <w:r w:rsidR="003D640C">
        <w:t xml:space="preserve"> </w:t>
      </w:r>
      <w:r w:rsidR="03CF1C24" w:rsidRPr="0095608B">
        <w:t>both</w:t>
      </w:r>
      <w:r w:rsidR="003D640C">
        <w:t xml:space="preserve"> </w:t>
      </w:r>
      <w:r w:rsidR="03CF1C24" w:rsidRPr="0095608B">
        <w:t>Pacific</w:t>
      </w:r>
      <w:r w:rsidR="003D640C">
        <w:t xml:space="preserve"> </w:t>
      </w:r>
      <w:r w:rsidR="03CF1C24" w:rsidRPr="0095608B">
        <w:t>and</w:t>
      </w:r>
      <w:r w:rsidR="003D640C">
        <w:t xml:space="preserve"> </w:t>
      </w:r>
      <w:r w:rsidRPr="0095608B">
        <w:t>R</w:t>
      </w:r>
      <w:r w:rsidR="03CF1C24" w:rsidRPr="0095608B">
        <w:t>ainbow.</w:t>
      </w:r>
      <w:r w:rsidR="003D640C">
        <w:t xml:space="preserve"> </w:t>
      </w:r>
      <w:r w:rsidRPr="0095608B">
        <w:t>In</w:t>
      </w:r>
      <w:r w:rsidR="003D640C">
        <w:t xml:space="preserve"> </w:t>
      </w:r>
      <w:r w:rsidRPr="0095608B">
        <w:t>a</w:t>
      </w:r>
      <w:r w:rsidR="003D640C">
        <w:t xml:space="preserve"> </w:t>
      </w:r>
      <w:r w:rsidRPr="0095608B">
        <w:t>talanoa</w:t>
      </w:r>
      <w:r w:rsidR="003D640C">
        <w:t xml:space="preserve"> </w:t>
      </w:r>
      <w:r w:rsidRPr="0095608B">
        <w:t>with</w:t>
      </w:r>
      <w:r w:rsidR="003D640C">
        <w:t xml:space="preserve"> </w:t>
      </w:r>
      <w:r w:rsidRPr="0095608B">
        <w:t>Pacific</w:t>
      </w:r>
      <w:r w:rsidR="003D640C">
        <w:t xml:space="preserve"> </w:t>
      </w:r>
      <w:r w:rsidRPr="0095608B">
        <w:t>Rainbow</w:t>
      </w:r>
      <w:r w:rsidR="003D640C">
        <w:t xml:space="preserve"> </w:t>
      </w:r>
      <w:r w:rsidRPr="0095608B">
        <w:t>workers,</w:t>
      </w:r>
      <w:r w:rsidR="003D640C">
        <w:t xml:space="preserve"> </w:t>
      </w:r>
      <w:r w:rsidRPr="0095608B">
        <w:t>people</w:t>
      </w:r>
      <w:r w:rsidR="003D640C">
        <w:t xml:space="preserve"> </w:t>
      </w:r>
      <w:r w:rsidRPr="0095608B">
        <w:t>told</w:t>
      </w:r>
      <w:r w:rsidR="003D640C">
        <w:t xml:space="preserve"> </w:t>
      </w:r>
      <w:r w:rsidRPr="0095608B">
        <w:t>us</w:t>
      </w:r>
      <w:r w:rsidR="003D640C">
        <w:t xml:space="preserve"> </w:t>
      </w:r>
      <w:r w:rsidRPr="0095608B">
        <w:t>about</w:t>
      </w:r>
      <w:r w:rsidR="003D640C">
        <w:t xml:space="preserve"> </w:t>
      </w:r>
      <w:r w:rsidRPr="0095608B">
        <w:t>their</w:t>
      </w:r>
      <w:r w:rsidR="003D640C">
        <w:t xml:space="preserve"> </w:t>
      </w:r>
      <w:r w:rsidRPr="0095608B">
        <w:t>specific</w:t>
      </w:r>
      <w:r w:rsidR="003D640C">
        <w:t xml:space="preserve"> </w:t>
      </w:r>
      <w:r w:rsidRPr="0095608B">
        <w:t>concerns</w:t>
      </w:r>
      <w:r w:rsidR="006A6047" w:rsidRPr="00094317">
        <w:t>.</w:t>
      </w:r>
      <w:r w:rsidR="003D640C">
        <w:t xml:space="preserve"> </w:t>
      </w:r>
      <w:r w:rsidR="006A6047" w:rsidRPr="00094317">
        <w:t>These</w:t>
      </w:r>
      <w:r w:rsidR="003D640C">
        <w:t xml:space="preserve"> </w:t>
      </w:r>
      <w:r w:rsidR="006E3751" w:rsidRPr="00094317">
        <w:t>includ</w:t>
      </w:r>
      <w:r w:rsidR="006A6047" w:rsidRPr="00094317">
        <w:t>ed</w:t>
      </w:r>
      <w:r w:rsidR="003D640C">
        <w:t xml:space="preserve"> </w:t>
      </w:r>
      <w:r w:rsidR="0011726B" w:rsidRPr="00094317">
        <w:t>burdensome</w:t>
      </w:r>
      <w:r w:rsidR="003D640C">
        <w:t xml:space="preserve"> </w:t>
      </w:r>
      <w:r w:rsidRPr="0095608B">
        <w:t>ideas</w:t>
      </w:r>
      <w:r w:rsidR="003D640C">
        <w:t xml:space="preserve"> </w:t>
      </w:r>
      <w:r w:rsidRPr="0095608B">
        <w:t>of</w:t>
      </w:r>
      <w:r w:rsidR="003D640C">
        <w:t xml:space="preserve"> </w:t>
      </w:r>
      <w:r w:rsidRPr="0095608B">
        <w:t>‘perfect</w:t>
      </w:r>
      <w:r w:rsidR="003D640C">
        <w:t xml:space="preserve"> </w:t>
      </w:r>
      <w:r w:rsidRPr="0095608B">
        <w:t>masculinity’</w:t>
      </w:r>
      <w:r w:rsidR="003D640C">
        <w:t xml:space="preserve"> </w:t>
      </w:r>
      <w:r w:rsidRPr="0095608B">
        <w:t>in</w:t>
      </w:r>
      <w:r w:rsidR="003D640C">
        <w:t xml:space="preserve"> </w:t>
      </w:r>
      <w:r w:rsidRPr="0095608B">
        <w:t>the</w:t>
      </w:r>
      <w:r w:rsidR="003D640C">
        <w:t xml:space="preserve"> </w:t>
      </w:r>
      <w:r w:rsidRPr="0095608B">
        <w:t>workplace</w:t>
      </w:r>
      <w:r w:rsidR="003D640C">
        <w:t xml:space="preserve"> </w:t>
      </w:r>
      <w:r w:rsidR="0057757E" w:rsidRPr="00094317">
        <w:t>and</w:t>
      </w:r>
      <w:r w:rsidR="003D640C">
        <w:t xml:space="preserve"> </w:t>
      </w:r>
      <w:r w:rsidRPr="0095608B">
        <w:t>hierarchies</w:t>
      </w:r>
      <w:r w:rsidR="003D640C">
        <w:t xml:space="preserve"> </w:t>
      </w:r>
      <w:r w:rsidRPr="0095608B">
        <w:t>within</w:t>
      </w:r>
      <w:r w:rsidR="003D640C">
        <w:t xml:space="preserve"> </w:t>
      </w:r>
      <w:r w:rsidRPr="0095608B">
        <w:t>the</w:t>
      </w:r>
      <w:r w:rsidR="003D640C">
        <w:t xml:space="preserve"> </w:t>
      </w:r>
      <w:r w:rsidRPr="0095608B">
        <w:t>Rainbow</w:t>
      </w:r>
      <w:r w:rsidR="003D640C">
        <w:t xml:space="preserve"> </w:t>
      </w:r>
      <w:r w:rsidRPr="0095608B">
        <w:t>community</w:t>
      </w:r>
      <w:r w:rsidR="003D640C">
        <w:t xml:space="preserve"> </w:t>
      </w:r>
      <w:r w:rsidRPr="0095608B">
        <w:t>that</w:t>
      </w:r>
      <w:r w:rsidR="003D640C">
        <w:t xml:space="preserve"> </w:t>
      </w:r>
      <w:r w:rsidRPr="0095608B">
        <w:t>reproduced</w:t>
      </w:r>
      <w:r w:rsidR="003D640C">
        <w:t xml:space="preserve"> </w:t>
      </w:r>
      <w:r w:rsidRPr="0095608B">
        <w:t>wider</w:t>
      </w:r>
      <w:r w:rsidR="003D640C">
        <w:t xml:space="preserve"> </w:t>
      </w:r>
      <w:r w:rsidRPr="0095608B">
        <w:t>social</w:t>
      </w:r>
      <w:r w:rsidR="00837D8B">
        <w:t>,</w:t>
      </w:r>
      <w:r w:rsidR="003D640C">
        <w:t xml:space="preserve"> </w:t>
      </w:r>
      <w:r w:rsidRPr="0095608B">
        <w:t>ethnic</w:t>
      </w:r>
      <w:r w:rsidR="00837D8B">
        <w:t>,</w:t>
      </w:r>
      <w:r w:rsidR="003D640C">
        <w:t xml:space="preserve"> </w:t>
      </w:r>
      <w:r w:rsidRPr="0095608B">
        <w:t>and</w:t>
      </w:r>
      <w:r w:rsidR="003D640C">
        <w:t xml:space="preserve"> </w:t>
      </w:r>
      <w:r w:rsidRPr="0095608B">
        <w:t>gender</w:t>
      </w:r>
      <w:r w:rsidR="003D640C">
        <w:t xml:space="preserve"> </w:t>
      </w:r>
      <w:r w:rsidRPr="0095608B">
        <w:t>privilege</w:t>
      </w:r>
      <w:r w:rsidR="003D640C">
        <w:t xml:space="preserve"> </w:t>
      </w:r>
      <w:r w:rsidRPr="0095608B">
        <w:t>and</w:t>
      </w:r>
      <w:r w:rsidR="003D640C">
        <w:t xml:space="preserve"> </w:t>
      </w:r>
      <w:r w:rsidRPr="0095608B">
        <w:t>discrimination</w:t>
      </w:r>
      <w:r w:rsidR="003D640C">
        <w:t xml:space="preserve"> </w:t>
      </w:r>
      <w:r w:rsidRPr="0095608B">
        <w:t>against</w:t>
      </w:r>
      <w:r w:rsidR="003D640C">
        <w:t xml:space="preserve"> </w:t>
      </w:r>
      <w:r w:rsidRPr="0095608B">
        <w:t>Pacific</w:t>
      </w:r>
      <w:r w:rsidR="003D640C">
        <w:t xml:space="preserve"> </w:t>
      </w:r>
      <w:r w:rsidRPr="0095608B">
        <w:t>trans</w:t>
      </w:r>
      <w:r w:rsidR="003D640C">
        <w:t xml:space="preserve"> </w:t>
      </w:r>
      <w:r w:rsidRPr="0095608B">
        <w:t>people</w:t>
      </w:r>
      <w:r w:rsidR="003D640C">
        <w:t xml:space="preserve"> </w:t>
      </w:r>
      <w:r w:rsidRPr="0095608B">
        <w:t>in</w:t>
      </w:r>
      <w:r w:rsidR="003D640C">
        <w:t xml:space="preserve"> </w:t>
      </w:r>
      <w:r w:rsidRPr="0095608B">
        <w:t>particular.</w:t>
      </w:r>
      <w:r w:rsidRPr="0095608B">
        <w:rPr>
          <w:rStyle w:val="FootnoteReference"/>
        </w:rPr>
        <w:footnoteReference w:id="203"/>
      </w:r>
      <w:r w:rsidR="003D640C">
        <w:t xml:space="preserve"> </w:t>
      </w:r>
    </w:p>
    <w:p w14:paraId="156DC1A1" w14:textId="6EB78F36" w:rsidR="004F700C" w:rsidRPr="00BB6220" w:rsidRDefault="00293F71" w:rsidP="00747446">
      <w:r w:rsidRPr="00094317">
        <w:t>T</w:t>
      </w:r>
      <w:r w:rsidR="009D65E7" w:rsidRPr="00094317">
        <w:t>hrough</w:t>
      </w:r>
      <w:r w:rsidR="003D640C">
        <w:t xml:space="preserve"> </w:t>
      </w:r>
      <w:r w:rsidR="009D65E7" w:rsidRPr="00094317">
        <w:t>our</w:t>
      </w:r>
      <w:r w:rsidR="003D640C">
        <w:t xml:space="preserve"> </w:t>
      </w:r>
      <w:r w:rsidR="009D65E7" w:rsidRPr="00094317">
        <w:t>engagement</w:t>
      </w:r>
      <w:r w:rsidR="00F4446A">
        <w:t>,</w:t>
      </w:r>
      <w:r w:rsidR="003D640C">
        <w:t xml:space="preserve"> </w:t>
      </w:r>
      <w:r w:rsidR="003A6B82" w:rsidRPr="00094317">
        <w:t>we</w:t>
      </w:r>
      <w:r w:rsidR="003D640C">
        <w:t xml:space="preserve"> </w:t>
      </w:r>
      <w:r w:rsidR="003A6B82" w:rsidRPr="00094317">
        <w:t>understand</w:t>
      </w:r>
      <w:r w:rsidR="003D640C">
        <w:t xml:space="preserve"> </w:t>
      </w:r>
      <w:r w:rsidR="003A6B82" w:rsidRPr="00094317">
        <w:t>that</w:t>
      </w:r>
      <w:r w:rsidR="003D640C">
        <w:t xml:space="preserve"> </w:t>
      </w:r>
      <w:r w:rsidR="003A6B82" w:rsidRPr="00094317">
        <w:t>su</w:t>
      </w:r>
      <w:r w:rsidRPr="00094317">
        <w:t>r</w:t>
      </w:r>
      <w:r w:rsidR="003A6B82" w:rsidRPr="00094317">
        <w:t>vivors</w:t>
      </w:r>
      <w:r w:rsidR="003D640C">
        <w:t xml:space="preserve"> </w:t>
      </w:r>
      <w:r w:rsidR="003A6B82" w:rsidRPr="00094317">
        <w:t>of</w:t>
      </w:r>
      <w:r w:rsidR="003D640C">
        <w:t xml:space="preserve"> </w:t>
      </w:r>
      <w:r w:rsidR="003A6B82" w:rsidRPr="00094317">
        <w:t>all</w:t>
      </w:r>
      <w:r w:rsidR="003D640C">
        <w:t xml:space="preserve"> </w:t>
      </w:r>
      <w:r w:rsidRPr="00094317">
        <w:t>ethnicities</w:t>
      </w:r>
      <w:r w:rsidR="003D640C">
        <w:t xml:space="preserve"> </w:t>
      </w:r>
      <w:r w:rsidRPr="00094317">
        <w:t>faced</w:t>
      </w:r>
      <w:r w:rsidR="003D640C">
        <w:t xml:space="preserve"> </w:t>
      </w:r>
      <w:r w:rsidRPr="00094317">
        <w:t>economic</w:t>
      </w:r>
      <w:r w:rsidR="003D640C">
        <w:t xml:space="preserve"> </w:t>
      </w:r>
      <w:r w:rsidRPr="00094317">
        <w:t>barriers</w:t>
      </w:r>
      <w:r w:rsidR="003D640C">
        <w:t xml:space="preserve"> </w:t>
      </w:r>
      <w:r w:rsidR="00486512" w:rsidRPr="0095608B">
        <w:t>when</w:t>
      </w:r>
      <w:r w:rsidR="003D640C">
        <w:t xml:space="preserve"> </w:t>
      </w:r>
      <w:r w:rsidR="00486512" w:rsidRPr="0095608B">
        <w:t>trying</w:t>
      </w:r>
      <w:r w:rsidR="003D640C">
        <w:t xml:space="preserve"> </w:t>
      </w:r>
      <w:r w:rsidR="00486512" w:rsidRPr="0095608B">
        <w:t>to</w:t>
      </w:r>
      <w:r w:rsidR="003D640C">
        <w:t xml:space="preserve"> </w:t>
      </w:r>
      <w:r w:rsidR="00486512" w:rsidRPr="0095608B">
        <w:t>exit</w:t>
      </w:r>
      <w:r w:rsidR="003D640C">
        <w:t xml:space="preserve"> </w:t>
      </w:r>
      <w:r w:rsidR="00486512" w:rsidRPr="0095608B">
        <w:t>and</w:t>
      </w:r>
      <w:r w:rsidR="003D640C">
        <w:t xml:space="preserve"> </w:t>
      </w:r>
      <w:r w:rsidR="00486512" w:rsidRPr="0095608B">
        <w:t>recover</w:t>
      </w:r>
      <w:r w:rsidR="003D640C">
        <w:t xml:space="preserve"> </w:t>
      </w:r>
      <w:r w:rsidR="00486512" w:rsidRPr="0095608B">
        <w:t>from</w:t>
      </w:r>
      <w:r w:rsidR="003D640C">
        <w:t xml:space="preserve"> </w:t>
      </w:r>
      <w:r w:rsidR="00486512" w:rsidRPr="0095608B">
        <w:t>conversion</w:t>
      </w:r>
      <w:r w:rsidR="003D640C">
        <w:t xml:space="preserve"> </w:t>
      </w:r>
      <w:r w:rsidR="00486512" w:rsidRPr="0095608B">
        <w:t>practices.</w:t>
      </w:r>
      <w:r w:rsidR="003D640C">
        <w:t xml:space="preserve"> </w:t>
      </w:r>
      <w:r w:rsidR="00E40734" w:rsidRPr="00094317">
        <w:t>The</w:t>
      </w:r>
      <w:r w:rsidR="003D640C">
        <w:t xml:space="preserve"> </w:t>
      </w:r>
      <w:r w:rsidR="00E40734" w:rsidRPr="00094317">
        <w:t>high</w:t>
      </w:r>
      <w:r w:rsidR="003D640C">
        <w:t xml:space="preserve"> </w:t>
      </w:r>
      <w:r w:rsidR="00E40734" w:rsidRPr="00094317">
        <w:t>rates</w:t>
      </w:r>
      <w:r w:rsidR="003D640C">
        <w:t xml:space="preserve"> </w:t>
      </w:r>
      <w:r w:rsidR="00E40734" w:rsidRPr="00094317">
        <w:t>of</w:t>
      </w:r>
      <w:r w:rsidR="003D640C">
        <w:t xml:space="preserve"> </w:t>
      </w:r>
      <w:r w:rsidR="00E40734" w:rsidRPr="00094317">
        <w:t>material</w:t>
      </w:r>
      <w:r w:rsidR="003D640C">
        <w:t xml:space="preserve"> </w:t>
      </w:r>
      <w:r w:rsidR="00E40734" w:rsidRPr="00094317">
        <w:t>deprivation</w:t>
      </w:r>
      <w:r w:rsidR="00E40734" w:rsidRPr="00094317" w:rsidDel="008E1CCA">
        <w:t xml:space="preserve"> </w:t>
      </w:r>
      <w:r w:rsidR="00CD54DE" w:rsidRPr="00094317">
        <w:t>experienced</w:t>
      </w:r>
      <w:r w:rsidR="003D640C">
        <w:t xml:space="preserve"> </w:t>
      </w:r>
      <w:r w:rsidR="00CD54DE" w:rsidRPr="00094317">
        <w:t>by</w:t>
      </w:r>
      <w:r w:rsidR="003D640C">
        <w:t xml:space="preserve"> </w:t>
      </w:r>
      <w:r w:rsidR="00E40734" w:rsidRPr="00094317">
        <w:t>Pacific</w:t>
      </w:r>
      <w:r w:rsidR="003D640C">
        <w:t xml:space="preserve"> </w:t>
      </w:r>
      <w:r w:rsidR="00CD54DE" w:rsidRPr="00094317">
        <w:t>peoples</w:t>
      </w:r>
      <w:r w:rsidR="003D640C">
        <w:t xml:space="preserve"> </w:t>
      </w:r>
      <w:r w:rsidR="00CD54DE" w:rsidRPr="00094317">
        <w:t>has</w:t>
      </w:r>
      <w:r w:rsidR="003D640C">
        <w:t xml:space="preserve"> </w:t>
      </w:r>
      <w:r w:rsidR="00CD54DE" w:rsidRPr="00094317">
        <w:t>implications</w:t>
      </w:r>
      <w:r w:rsidR="003D640C">
        <w:t xml:space="preserve"> </w:t>
      </w:r>
      <w:r w:rsidR="00CD54DE" w:rsidRPr="00094317">
        <w:t>for</w:t>
      </w:r>
      <w:r w:rsidR="003D640C">
        <w:t xml:space="preserve"> </w:t>
      </w:r>
      <w:r w:rsidR="00CD54DE" w:rsidRPr="00094317">
        <w:t>their</w:t>
      </w:r>
      <w:r w:rsidR="003D640C">
        <w:t xml:space="preserve"> </w:t>
      </w:r>
      <w:r w:rsidR="00CD54DE" w:rsidRPr="00094317">
        <w:t>ability</w:t>
      </w:r>
      <w:r w:rsidR="003D640C">
        <w:t xml:space="preserve"> </w:t>
      </w:r>
      <w:r w:rsidR="00CD54DE" w:rsidRPr="00094317">
        <w:t>to</w:t>
      </w:r>
      <w:r w:rsidR="003D640C">
        <w:t xml:space="preserve"> </w:t>
      </w:r>
      <w:r w:rsidR="00CD54DE" w:rsidRPr="00094317">
        <w:t>access</w:t>
      </w:r>
      <w:r w:rsidR="003D640C">
        <w:t xml:space="preserve"> </w:t>
      </w:r>
      <w:r w:rsidR="00700456" w:rsidRPr="00094317">
        <w:t>what</w:t>
      </w:r>
      <w:r w:rsidR="003D640C">
        <w:t xml:space="preserve"> </w:t>
      </w:r>
      <w:r w:rsidR="00700456" w:rsidRPr="00094317">
        <w:t>they</w:t>
      </w:r>
      <w:r w:rsidR="003D640C">
        <w:t xml:space="preserve"> </w:t>
      </w:r>
      <w:r w:rsidR="00700456" w:rsidRPr="00094317">
        <w:t>need</w:t>
      </w:r>
      <w:r w:rsidR="003D640C">
        <w:t xml:space="preserve"> </w:t>
      </w:r>
      <w:r w:rsidR="00700456" w:rsidRPr="00094317">
        <w:t>to</w:t>
      </w:r>
      <w:r w:rsidR="003D640C">
        <w:t xml:space="preserve"> </w:t>
      </w:r>
      <w:r w:rsidR="000E541E" w:rsidRPr="00094317">
        <w:t>limit</w:t>
      </w:r>
      <w:r w:rsidR="003D640C">
        <w:t xml:space="preserve"> </w:t>
      </w:r>
      <w:r w:rsidR="000E541E" w:rsidRPr="00094317">
        <w:t>their</w:t>
      </w:r>
      <w:r w:rsidR="003D640C">
        <w:t xml:space="preserve"> </w:t>
      </w:r>
      <w:r w:rsidR="000E541E" w:rsidRPr="00094317">
        <w:t>exposure</w:t>
      </w:r>
      <w:r w:rsidR="003D640C">
        <w:t xml:space="preserve"> </w:t>
      </w:r>
      <w:r w:rsidR="000E541E" w:rsidRPr="00094317">
        <w:t>and</w:t>
      </w:r>
      <w:r w:rsidR="003D640C">
        <w:t xml:space="preserve"> </w:t>
      </w:r>
      <w:r w:rsidR="000E541E" w:rsidRPr="00094317">
        <w:t>secure</w:t>
      </w:r>
      <w:r w:rsidR="003D640C">
        <w:t xml:space="preserve"> </w:t>
      </w:r>
      <w:r w:rsidR="0068007E" w:rsidRPr="00094317">
        <w:t>any</w:t>
      </w:r>
      <w:r w:rsidR="003D640C">
        <w:t xml:space="preserve"> </w:t>
      </w:r>
      <w:r w:rsidR="0068007E" w:rsidRPr="00094317">
        <w:t>support</w:t>
      </w:r>
      <w:r w:rsidR="003D640C">
        <w:t xml:space="preserve"> </w:t>
      </w:r>
      <w:r w:rsidR="0068007E" w:rsidRPr="00094317">
        <w:t>required.</w:t>
      </w:r>
    </w:p>
    <w:p w14:paraId="72EA4402" w14:textId="12FE0713" w:rsidR="00035BAF" w:rsidRPr="00BB6220" w:rsidRDefault="00035BAF" w:rsidP="00747446">
      <w:r w:rsidRPr="00BB6220">
        <w:t>The</w:t>
      </w:r>
      <w:r w:rsidR="003D640C">
        <w:t xml:space="preserve"> </w:t>
      </w:r>
      <w:r w:rsidRPr="00BB6220">
        <w:t>nature</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within</w:t>
      </w:r>
      <w:r w:rsidR="003D640C">
        <w:t xml:space="preserve"> </w:t>
      </w:r>
      <w:r w:rsidR="00741B84" w:rsidRPr="00BB6220">
        <w:t>P</w:t>
      </w:r>
      <w:r w:rsidRPr="00BB6220">
        <w:t>acific</w:t>
      </w:r>
      <w:r w:rsidR="003D640C">
        <w:t xml:space="preserve"> </w:t>
      </w:r>
      <w:r w:rsidRPr="00BB6220">
        <w:t>peoples</w:t>
      </w:r>
      <w:r w:rsidR="003751AB">
        <w:t>’</w:t>
      </w:r>
      <w:r w:rsidR="003D640C">
        <w:t xml:space="preserve"> </w:t>
      </w:r>
      <w:r w:rsidRPr="00BB6220">
        <w:t>communities</w:t>
      </w:r>
      <w:r w:rsidR="003D640C">
        <w:t xml:space="preserve"> </w:t>
      </w:r>
      <w:r w:rsidRPr="00BB6220">
        <w:t>and</w:t>
      </w:r>
      <w:r w:rsidR="003D640C">
        <w:t xml:space="preserve"> </w:t>
      </w:r>
      <w:r w:rsidRPr="00BB6220">
        <w:t>the</w:t>
      </w:r>
      <w:r w:rsidR="003D640C">
        <w:t xml:space="preserve"> </w:t>
      </w:r>
      <w:r w:rsidRPr="00BB6220">
        <w:t>Commission’s</w:t>
      </w:r>
      <w:r w:rsidR="003D640C">
        <w:t xml:space="preserve"> </w:t>
      </w:r>
      <w:r w:rsidRPr="00BB6220">
        <w:t>engagement</w:t>
      </w:r>
      <w:r w:rsidR="003D640C">
        <w:t xml:space="preserve"> </w:t>
      </w:r>
      <w:r w:rsidRPr="00BB6220">
        <w:t>with</w:t>
      </w:r>
      <w:r w:rsidR="003D640C">
        <w:t xml:space="preserve"> </w:t>
      </w:r>
      <w:r w:rsidR="00B66CB4" w:rsidRPr="00BB6220">
        <w:t>P</w:t>
      </w:r>
      <w:r w:rsidRPr="00BB6220">
        <w:t>acific</w:t>
      </w:r>
      <w:r w:rsidR="003D640C">
        <w:t xml:space="preserve"> </w:t>
      </w:r>
      <w:r w:rsidRPr="00BB6220">
        <w:t>survivors</w:t>
      </w:r>
      <w:r w:rsidR="003D640C">
        <w:t xml:space="preserve"> </w:t>
      </w:r>
      <w:r w:rsidRPr="00BB6220">
        <w:t>suggest</w:t>
      </w:r>
      <w:r w:rsidR="003D640C">
        <w:t xml:space="preserve"> </w:t>
      </w:r>
      <w:r w:rsidRPr="00BB6220">
        <w:t>more</w:t>
      </w:r>
      <w:r w:rsidR="003D640C">
        <w:t xml:space="preserve"> </w:t>
      </w:r>
      <w:r w:rsidRPr="00BB6220">
        <w:t>data</w:t>
      </w:r>
      <w:r w:rsidR="003D640C">
        <w:t xml:space="preserve"> </w:t>
      </w:r>
      <w:r w:rsidR="00EE422E" w:rsidRPr="00BB6220">
        <w:t>are</w:t>
      </w:r>
      <w:r w:rsidR="003D640C">
        <w:t xml:space="preserve"> </w:t>
      </w:r>
      <w:r w:rsidR="00B66CB4" w:rsidRPr="00BB6220">
        <w:t>needed</w:t>
      </w:r>
      <w:r w:rsidR="003D640C">
        <w:t xml:space="preserve"> </w:t>
      </w:r>
      <w:r w:rsidR="00B66CB4" w:rsidRPr="00BB6220">
        <w:t>for</w:t>
      </w:r>
      <w:r w:rsidR="003D640C">
        <w:t xml:space="preserve"> </w:t>
      </w:r>
      <w:r w:rsidRPr="00BB6220">
        <w:t>an</w:t>
      </w:r>
      <w:r w:rsidR="003D640C">
        <w:t xml:space="preserve"> </w:t>
      </w:r>
      <w:r w:rsidRPr="00BB6220">
        <w:t>accurate</w:t>
      </w:r>
      <w:r w:rsidR="003D640C">
        <w:t xml:space="preserve"> </w:t>
      </w:r>
      <w:r w:rsidRPr="00BB6220">
        <w:t>understanding</w:t>
      </w:r>
      <w:r w:rsidR="003D640C">
        <w:t xml:space="preserve"> </w:t>
      </w:r>
      <w:r w:rsidRPr="00BB6220">
        <w:t>of</w:t>
      </w:r>
      <w:r w:rsidR="003D640C">
        <w:t xml:space="preserve"> </w:t>
      </w:r>
      <w:r w:rsidR="00B66CB4" w:rsidRPr="00BB6220">
        <w:t>the</w:t>
      </w:r>
      <w:r w:rsidR="003D640C">
        <w:t xml:space="preserve"> </w:t>
      </w:r>
      <w:r w:rsidRPr="00BB6220">
        <w:t>prevalence</w:t>
      </w:r>
      <w:r w:rsidR="003D640C">
        <w:t xml:space="preserve"> </w:t>
      </w:r>
      <w:r w:rsidR="00B66CB4" w:rsidRPr="00BB6220">
        <w:t>of</w:t>
      </w:r>
      <w:r w:rsidR="003D640C">
        <w:t xml:space="preserve"> </w:t>
      </w:r>
      <w:r w:rsidR="00B66CB4" w:rsidRPr="00BB6220">
        <w:t>conversion</w:t>
      </w:r>
      <w:r w:rsidR="003D640C">
        <w:t xml:space="preserve"> </w:t>
      </w:r>
      <w:r w:rsidR="00B66CB4" w:rsidRPr="00BB6220">
        <w:t>practices</w:t>
      </w:r>
      <w:r w:rsidR="003D640C">
        <w:t xml:space="preserve"> </w:t>
      </w:r>
      <w:r w:rsidRPr="00BB6220">
        <w:t>in</w:t>
      </w:r>
      <w:r w:rsidR="003D640C">
        <w:t xml:space="preserve"> </w:t>
      </w:r>
      <w:r w:rsidRPr="00BB6220">
        <w:t>these</w:t>
      </w:r>
      <w:r w:rsidR="003D640C">
        <w:t xml:space="preserve"> </w:t>
      </w:r>
      <w:r w:rsidRPr="00BB6220">
        <w:t>communities.</w:t>
      </w:r>
      <w:r w:rsidR="003D640C">
        <w:t xml:space="preserve"> </w:t>
      </w:r>
    </w:p>
    <w:p w14:paraId="3D119788" w14:textId="380D68B1" w:rsidR="00501068" w:rsidRDefault="008B2335" w:rsidP="00747446">
      <w:pPr>
        <w:pStyle w:val="Quote"/>
      </w:pPr>
      <w:r w:rsidRPr="00BB6220">
        <w:lastRenderedPageBreak/>
        <w:t>“It</w:t>
      </w:r>
      <w:r w:rsidR="003D640C">
        <w:t xml:space="preserve"> </w:t>
      </w:r>
      <w:r w:rsidRPr="00BB6220">
        <w:t>was</w:t>
      </w:r>
      <w:r w:rsidR="003D640C">
        <w:t xml:space="preserve"> </w:t>
      </w:r>
      <w:r w:rsidRPr="00BB6220">
        <w:t>really</w:t>
      </w:r>
      <w:r w:rsidR="003D640C">
        <w:t xml:space="preserve"> </w:t>
      </w:r>
      <w:r w:rsidRPr="00BB6220">
        <w:t>terrifying,</w:t>
      </w:r>
      <w:r w:rsidR="003D640C">
        <w:t xml:space="preserve"> </w:t>
      </w:r>
      <w:r w:rsidRPr="00BB6220">
        <w:t>as</w:t>
      </w:r>
      <w:r w:rsidR="003D640C">
        <w:t xml:space="preserve"> </w:t>
      </w:r>
      <w:r w:rsidRPr="00BB6220">
        <w:t>if</w:t>
      </w:r>
      <w:r w:rsidR="003D640C">
        <w:t xml:space="preserve"> </w:t>
      </w:r>
      <w:r w:rsidRPr="00BB6220">
        <w:t>there’s</w:t>
      </w:r>
      <w:r w:rsidR="003D640C">
        <w:t xml:space="preserve"> </w:t>
      </w:r>
      <w:r w:rsidRPr="00BB6220">
        <w:t>something</w:t>
      </w:r>
      <w:r w:rsidR="003D640C">
        <w:t xml:space="preserve"> </w:t>
      </w:r>
      <w:r w:rsidRPr="00BB6220">
        <w:t>really</w:t>
      </w:r>
      <w:r w:rsidR="003D640C">
        <w:t xml:space="preserve"> </w:t>
      </w:r>
      <w:r w:rsidRPr="00BB6220">
        <w:t>wrong</w:t>
      </w:r>
      <w:r w:rsidR="003D640C">
        <w:t xml:space="preserve"> </w:t>
      </w:r>
      <w:r w:rsidRPr="00BB6220">
        <w:t>with</w:t>
      </w:r>
      <w:r w:rsidR="003D640C">
        <w:t xml:space="preserve"> </w:t>
      </w:r>
      <w:r w:rsidRPr="00BB6220">
        <w:t>me.”</w:t>
      </w:r>
      <w:r w:rsidR="003D640C">
        <w:t xml:space="preserve"> </w:t>
      </w:r>
      <w:r w:rsidRPr="00BB6220">
        <w:t>Pacific,</w:t>
      </w:r>
      <w:r w:rsidR="003D640C">
        <w:t xml:space="preserve"> </w:t>
      </w:r>
      <w:r w:rsidRPr="00BB6220">
        <w:t>non-binary</w:t>
      </w:r>
    </w:p>
    <w:p w14:paraId="20400354" w14:textId="52C3D00E" w:rsidR="00035BAF" w:rsidRPr="00BB6220" w:rsidRDefault="00035BAF" w:rsidP="002C6363">
      <w:pPr>
        <w:pStyle w:val="Heading3"/>
      </w:pPr>
      <w:bookmarkStart w:id="266" w:name="_Toc138343830"/>
      <w:bookmarkStart w:id="267" w:name="_Toc167780615"/>
      <w:bookmarkStart w:id="268" w:name="_Toc1253555682"/>
      <w:bookmarkStart w:id="269" w:name="_Toc174628675"/>
      <w:r w:rsidRPr="00BB6220">
        <w:t>How</w:t>
      </w:r>
      <w:r w:rsidR="003D640C">
        <w:t xml:space="preserve"> </w:t>
      </w:r>
      <w:r w:rsidR="00B66CB4" w:rsidRPr="00BB6220">
        <w:t>conversion</w:t>
      </w:r>
      <w:r w:rsidR="003D640C">
        <w:t xml:space="preserve"> </w:t>
      </w:r>
      <w:r w:rsidR="00B66CB4" w:rsidRPr="00BB6220">
        <w:t>practices</w:t>
      </w:r>
      <w:r w:rsidR="003D640C">
        <w:t xml:space="preserve"> </w:t>
      </w:r>
      <w:r w:rsidR="00B66CB4" w:rsidRPr="00BB6220">
        <w:t>appear</w:t>
      </w:r>
      <w:r w:rsidR="003D640C">
        <w:t xml:space="preserve"> </w:t>
      </w:r>
      <w:r w:rsidRPr="00BB6220">
        <w:t>in</w:t>
      </w:r>
      <w:r w:rsidR="003D640C">
        <w:t xml:space="preserve"> </w:t>
      </w:r>
      <w:r w:rsidRPr="00BB6220">
        <w:t>Pacific</w:t>
      </w:r>
      <w:r w:rsidR="003D640C">
        <w:t xml:space="preserve"> </w:t>
      </w:r>
      <w:r w:rsidR="00B66CB4" w:rsidRPr="00BB6220">
        <w:t>c</w:t>
      </w:r>
      <w:r w:rsidRPr="00BB6220">
        <w:t>ommunities</w:t>
      </w:r>
      <w:r w:rsidR="003D640C">
        <w:t xml:space="preserve"> </w:t>
      </w:r>
      <w:r w:rsidRPr="00BB6220">
        <w:t>within</w:t>
      </w:r>
      <w:r w:rsidR="003D640C">
        <w:t xml:space="preserve"> </w:t>
      </w:r>
      <w:r w:rsidRPr="00BB6220">
        <w:t>Aotearoa</w:t>
      </w:r>
      <w:bookmarkEnd w:id="266"/>
      <w:bookmarkEnd w:id="267"/>
      <w:bookmarkEnd w:id="268"/>
      <w:bookmarkEnd w:id="269"/>
    </w:p>
    <w:p w14:paraId="52CC7812" w14:textId="7CE2D662" w:rsidR="00035BAF" w:rsidRPr="00BB6220" w:rsidRDefault="00CF25AB" w:rsidP="00747446">
      <w:r w:rsidRPr="00BB6220">
        <w:t>Pacific</w:t>
      </w:r>
      <w:r w:rsidR="003D640C">
        <w:t xml:space="preserve"> </w:t>
      </w:r>
      <w:r w:rsidRPr="00BB6220">
        <w:t>survivors</w:t>
      </w:r>
      <w:r w:rsidR="003D640C">
        <w:t xml:space="preserve"> </w:t>
      </w:r>
      <w:r w:rsidRPr="00BB6220">
        <w:t>told</w:t>
      </w:r>
      <w:r w:rsidR="003D640C">
        <w:t xml:space="preserve"> </w:t>
      </w:r>
      <w:r w:rsidRPr="00BB6220">
        <w:t>us</w:t>
      </w:r>
      <w:r w:rsidR="003D640C">
        <w:t xml:space="preserve"> </w:t>
      </w:r>
      <w:r w:rsidRPr="00BB6220">
        <w:t>f</w:t>
      </w:r>
      <w:r w:rsidR="00035BAF" w:rsidRPr="00BB6220">
        <w:t>am</w:t>
      </w:r>
      <w:r w:rsidR="00F808D0" w:rsidRPr="00BB6220">
        <w:t>ily</w:t>
      </w:r>
      <w:r w:rsidR="00035BAF" w:rsidRPr="00BB6220" w:rsidDel="00F808D0">
        <w:t>,</w:t>
      </w:r>
      <w:r w:rsidR="003D640C">
        <w:t xml:space="preserve"> </w:t>
      </w:r>
      <w:r w:rsidR="00035BAF" w:rsidRPr="00BB6220">
        <w:t>cultural</w:t>
      </w:r>
      <w:r w:rsidR="371AD4D7" w:rsidRPr="00BB6220">
        <w:t>,</w:t>
      </w:r>
      <w:r w:rsidR="003D640C">
        <w:t xml:space="preserve"> </w:t>
      </w:r>
      <w:r w:rsidR="00035BAF" w:rsidRPr="00BB6220">
        <w:t>and</w:t>
      </w:r>
      <w:r w:rsidR="003D640C">
        <w:t xml:space="preserve"> </w:t>
      </w:r>
      <w:r w:rsidR="00035BAF" w:rsidRPr="00BB6220">
        <w:t>religious</w:t>
      </w:r>
      <w:r w:rsidR="003D640C">
        <w:t xml:space="preserve"> </w:t>
      </w:r>
      <w:r w:rsidR="00035BAF" w:rsidRPr="00BB6220">
        <w:t>pressures</w:t>
      </w:r>
      <w:r w:rsidR="003D640C">
        <w:t xml:space="preserve"> </w:t>
      </w:r>
      <w:r w:rsidR="00035BAF" w:rsidRPr="00BB6220">
        <w:t>for</w:t>
      </w:r>
      <w:r w:rsidR="003D640C">
        <w:t xml:space="preserve"> </w:t>
      </w:r>
      <w:r w:rsidR="00035BAF" w:rsidRPr="00BB6220">
        <w:t>conversion</w:t>
      </w:r>
      <w:r w:rsidR="003D640C">
        <w:t xml:space="preserve"> </w:t>
      </w:r>
      <w:r w:rsidR="00035BAF" w:rsidRPr="00BB6220">
        <w:t>practices</w:t>
      </w:r>
      <w:r w:rsidR="003D640C">
        <w:t xml:space="preserve"> </w:t>
      </w:r>
      <w:r w:rsidR="00F808D0" w:rsidRPr="00BB6220">
        <w:t>overlap.</w:t>
      </w:r>
      <w:r w:rsidR="003D640C">
        <w:t xml:space="preserve"> </w:t>
      </w:r>
      <w:r w:rsidR="00035BAF" w:rsidRPr="00BB6220">
        <w:t>However,</w:t>
      </w:r>
      <w:r w:rsidR="003D640C">
        <w:t xml:space="preserve"> </w:t>
      </w:r>
      <w:r w:rsidR="00035BAF" w:rsidRPr="00BB6220">
        <w:t>accounts</w:t>
      </w:r>
      <w:r w:rsidR="003D640C">
        <w:t xml:space="preserve"> </w:t>
      </w:r>
      <w:r w:rsidR="00035BAF" w:rsidRPr="00BB6220">
        <w:t>of</w:t>
      </w:r>
      <w:r w:rsidR="003D640C">
        <w:t xml:space="preserve"> </w:t>
      </w:r>
      <w:r w:rsidR="00035BAF" w:rsidRPr="00BB6220">
        <w:t>conversion</w:t>
      </w:r>
      <w:r w:rsidR="003D640C">
        <w:t xml:space="preserve"> </w:t>
      </w:r>
      <w:r w:rsidR="00035BAF" w:rsidRPr="00BB6220">
        <w:t>practices</w:t>
      </w:r>
      <w:r w:rsidR="003D640C">
        <w:t xml:space="preserve"> </w:t>
      </w:r>
      <w:r w:rsidR="000550DC" w:rsidRPr="00BB6220">
        <w:t>from</w:t>
      </w:r>
      <w:r w:rsidR="003D640C">
        <w:t xml:space="preserve"> </w:t>
      </w:r>
      <w:r w:rsidR="00F808D0" w:rsidRPr="00BB6220">
        <w:t>P</w:t>
      </w:r>
      <w:r w:rsidR="00035BAF" w:rsidRPr="00BB6220">
        <w:t>acific</w:t>
      </w:r>
      <w:r w:rsidR="003D640C">
        <w:t xml:space="preserve"> </w:t>
      </w:r>
      <w:r w:rsidR="00035BAF" w:rsidRPr="00BB6220">
        <w:t>survivors</w:t>
      </w:r>
      <w:r w:rsidR="003D640C">
        <w:t xml:space="preserve"> </w:t>
      </w:r>
      <w:r w:rsidR="00035BAF" w:rsidRPr="00BB6220">
        <w:t>in</w:t>
      </w:r>
      <w:r w:rsidR="003D640C">
        <w:t xml:space="preserve"> </w:t>
      </w:r>
      <w:r w:rsidR="00035BAF" w:rsidRPr="00BB6220">
        <w:t>Aotearoa</w:t>
      </w:r>
      <w:r w:rsidR="003D640C">
        <w:t xml:space="preserve"> </w:t>
      </w:r>
      <w:r w:rsidR="00035BAF" w:rsidRPr="00BB6220">
        <w:t>were</w:t>
      </w:r>
      <w:r w:rsidR="003D640C">
        <w:t xml:space="preserve"> </w:t>
      </w:r>
      <w:r w:rsidR="00035BAF" w:rsidRPr="00BB6220">
        <w:t>often</w:t>
      </w:r>
      <w:r w:rsidR="003D640C">
        <w:t xml:space="preserve"> </w:t>
      </w:r>
      <w:r w:rsidR="00035BAF" w:rsidRPr="00BB6220">
        <w:t>tied</w:t>
      </w:r>
      <w:r w:rsidR="003D640C">
        <w:t xml:space="preserve"> </w:t>
      </w:r>
      <w:r w:rsidR="00035BAF" w:rsidRPr="00BB6220">
        <w:t>to</w:t>
      </w:r>
      <w:r w:rsidR="003D640C">
        <w:t xml:space="preserve"> </w:t>
      </w:r>
      <w:r w:rsidR="00035BAF" w:rsidRPr="00BB6220">
        <w:t>their</w:t>
      </w:r>
      <w:r w:rsidR="003D640C">
        <w:t xml:space="preserve"> </w:t>
      </w:r>
      <w:r w:rsidR="00035BAF" w:rsidRPr="00BB6220">
        <w:t>religious</w:t>
      </w:r>
      <w:r w:rsidR="003D640C">
        <w:t xml:space="preserve"> </w:t>
      </w:r>
      <w:r w:rsidR="00035BAF" w:rsidRPr="00BB6220">
        <w:t>beliefs</w:t>
      </w:r>
      <w:r w:rsidR="003D640C">
        <w:t xml:space="preserve"> </w:t>
      </w:r>
      <w:r w:rsidR="00035BAF" w:rsidRPr="00BB6220">
        <w:t>and</w:t>
      </w:r>
      <w:r w:rsidR="003D640C">
        <w:t xml:space="preserve"> </w:t>
      </w:r>
      <w:r w:rsidR="000550DC" w:rsidRPr="00BB6220">
        <w:t>a</w:t>
      </w:r>
      <w:r w:rsidR="003D640C">
        <w:t xml:space="preserve"> </w:t>
      </w:r>
      <w:r w:rsidR="00035BAF" w:rsidRPr="00BB6220">
        <w:t>desire</w:t>
      </w:r>
      <w:r w:rsidR="003D640C">
        <w:t xml:space="preserve"> </w:t>
      </w:r>
      <w:r w:rsidR="00035BAF" w:rsidRPr="00BB6220">
        <w:t>to</w:t>
      </w:r>
      <w:r w:rsidR="003D640C">
        <w:t xml:space="preserve"> </w:t>
      </w:r>
      <w:r w:rsidR="00035BAF" w:rsidRPr="00BB6220">
        <w:t>live</w:t>
      </w:r>
      <w:r w:rsidR="003D640C">
        <w:t xml:space="preserve"> </w:t>
      </w:r>
      <w:r w:rsidR="00E1774E">
        <w:t>in</w:t>
      </w:r>
      <w:r w:rsidR="003D640C">
        <w:t xml:space="preserve"> </w:t>
      </w:r>
      <w:r w:rsidR="00E1774E">
        <w:t>the</w:t>
      </w:r>
      <w:r w:rsidR="003D640C">
        <w:t xml:space="preserve"> </w:t>
      </w:r>
      <w:r w:rsidR="00E1774E">
        <w:t>way</w:t>
      </w:r>
      <w:r w:rsidR="003D640C">
        <w:t xml:space="preserve"> </w:t>
      </w:r>
      <w:r w:rsidR="0086314B" w:rsidRPr="00BB6220">
        <w:t>they</w:t>
      </w:r>
      <w:r w:rsidR="003D640C">
        <w:t xml:space="preserve"> </w:t>
      </w:r>
      <w:r w:rsidR="0086314B" w:rsidRPr="00BB6220">
        <w:t>have</w:t>
      </w:r>
      <w:r w:rsidR="003D640C">
        <w:t xml:space="preserve"> </w:t>
      </w:r>
      <w:r w:rsidR="0086314B" w:rsidRPr="00BB6220">
        <w:t>been</w:t>
      </w:r>
      <w:r w:rsidR="003D640C">
        <w:t xml:space="preserve"> </w:t>
      </w:r>
      <w:r w:rsidR="0086314B" w:rsidRPr="00BB6220">
        <w:t>told</w:t>
      </w:r>
      <w:r w:rsidR="003D640C">
        <w:t xml:space="preserve"> </w:t>
      </w:r>
      <w:r w:rsidR="00035BAF" w:rsidRPr="00BB6220">
        <w:t>God</w:t>
      </w:r>
      <w:r w:rsidR="003D640C">
        <w:t xml:space="preserve"> </w:t>
      </w:r>
      <w:r w:rsidR="00035BAF" w:rsidRPr="00BB6220">
        <w:t>want</w:t>
      </w:r>
      <w:r w:rsidR="00E1774E">
        <w:t>s</w:t>
      </w:r>
      <w:r w:rsidR="003D640C">
        <w:t xml:space="preserve"> </w:t>
      </w:r>
      <w:r w:rsidR="00035BAF" w:rsidRPr="00BB6220">
        <w:t>them</w:t>
      </w:r>
      <w:r w:rsidR="003D640C">
        <w:t xml:space="preserve"> </w:t>
      </w:r>
      <w:r w:rsidR="00035BAF" w:rsidRPr="00BB6220">
        <w:t>to.</w:t>
      </w:r>
      <w:r w:rsidR="003D640C">
        <w:t xml:space="preserve"> </w:t>
      </w:r>
      <w:r w:rsidR="00035BAF" w:rsidRPr="00BB6220">
        <w:t>This</w:t>
      </w:r>
      <w:r w:rsidR="003D640C">
        <w:t xml:space="preserve"> </w:t>
      </w:r>
      <w:r w:rsidR="00035BAF" w:rsidRPr="00BB6220">
        <w:t>was</w:t>
      </w:r>
      <w:r w:rsidR="003D640C">
        <w:t xml:space="preserve"> </w:t>
      </w:r>
      <w:r w:rsidR="00035BAF" w:rsidRPr="00BB6220">
        <w:t>often</w:t>
      </w:r>
      <w:r w:rsidR="003D640C">
        <w:t xml:space="preserve"> </w:t>
      </w:r>
      <w:r w:rsidR="00035BAF" w:rsidRPr="00BB6220">
        <w:t>interwoven</w:t>
      </w:r>
      <w:r w:rsidR="003D640C">
        <w:t xml:space="preserve"> </w:t>
      </w:r>
      <w:r w:rsidR="00035BAF" w:rsidRPr="00BB6220">
        <w:t>with</w:t>
      </w:r>
      <w:r w:rsidR="003D640C">
        <w:t xml:space="preserve"> </w:t>
      </w:r>
      <w:r w:rsidR="000550DC" w:rsidRPr="00BB6220">
        <w:t>wanting</w:t>
      </w:r>
      <w:r w:rsidR="003D640C">
        <w:t xml:space="preserve"> </w:t>
      </w:r>
      <w:r w:rsidR="00035BAF" w:rsidRPr="00BB6220">
        <w:t>to</w:t>
      </w:r>
      <w:r w:rsidR="003D640C">
        <w:t xml:space="preserve"> </w:t>
      </w:r>
      <w:r w:rsidR="00035BAF" w:rsidRPr="00BB6220">
        <w:t>be</w:t>
      </w:r>
      <w:r w:rsidR="003D640C">
        <w:t xml:space="preserve"> </w:t>
      </w:r>
      <w:r w:rsidR="00035BAF" w:rsidRPr="00BB6220">
        <w:t>a</w:t>
      </w:r>
      <w:r w:rsidR="003D640C">
        <w:t xml:space="preserve"> </w:t>
      </w:r>
      <w:r w:rsidR="00035BAF" w:rsidRPr="00BB6220">
        <w:t>good</w:t>
      </w:r>
      <w:r w:rsidR="003D640C">
        <w:t xml:space="preserve"> </w:t>
      </w:r>
      <w:r w:rsidR="00035BAF" w:rsidRPr="00BB6220">
        <w:t>child,</w:t>
      </w:r>
      <w:r w:rsidR="003D640C">
        <w:t xml:space="preserve"> </w:t>
      </w:r>
      <w:r w:rsidR="00035BAF" w:rsidRPr="00BB6220">
        <w:t>sibling</w:t>
      </w:r>
      <w:r w:rsidR="00B33017" w:rsidRPr="00BB6220">
        <w:t>,</w:t>
      </w:r>
      <w:r w:rsidR="003D640C">
        <w:t xml:space="preserve"> </w:t>
      </w:r>
      <w:r w:rsidR="00035BAF" w:rsidRPr="00BB6220">
        <w:t>or</w:t>
      </w:r>
      <w:r w:rsidR="003D640C">
        <w:t xml:space="preserve"> </w:t>
      </w:r>
      <w:r w:rsidR="00035BAF" w:rsidRPr="00BB6220">
        <w:t>family</w:t>
      </w:r>
      <w:r w:rsidR="003D640C">
        <w:t xml:space="preserve"> </w:t>
      </w:r>
      <w:r w:rsidR="00035BAF" w:rsidRPr="00BB6220">
        <w:t>member</w:t>
      </w:r>
      <w:r w:rsidR="003D640C">
        <w:t xml:space="preserve"> </w:t>
      </w:r>
      <w:r w:rsidR="00035BAF" w:rsidRPr="00BB6220">
        <w:t>and</w:t>
      </w:r>
      <w:r w:rsidR="003D640C">
        <w:t xml:space="preserve"> </w:t>
      </w:r>
      <w:r w:rsidR="00035BAF" w:rsidRPr="00BB6220">
        <w:t>not</w:t>
      </w:r>
      <w:r w:rsidR="003D640C">
        <w:t xml:space="preserve"> </w:t>
      </w:r>
      <w:r w:rsidR="00035BAF" w:rsidRPr="00BB6220">
        <w:t>bring</w:t>
      </w:r>
      <w:r w:rsidR="000550DC" w:rsidRPr="00BB6220">
        <w:t>ing</w:t>
      </w:r>
      <w:r w:rsidR="003D640C">
        <w:t xml:space="preserve"> </w:t>
      </w:r>
      <w:r w:rsidR="00035BAF" w:rsidRPr="00BB6220">
        <w:t>shame</w:t>
      </w:r>
      <w:r w:rsidR="003D640C">
        <w:t xml:space="preserve"> </w:t>
      </w:r>
      <w:r w:rsidR="00035BAF" w:rsidRPr="00BB6220">
        <w:t>to</w:t>
      </w:r>
      <w:r w:rsidR="003D640C">
        <w:t xml:space="preserve"> </w:t>
      </w:r>
      <w:r w:rsidR="00DA5631" w:rsidRPr="00BB6220">
        <w:t>everyone</w:t>
      </w:r>
      <w:r w:rsidR="003D640C">
        <w:t xml:space="preserve"> </w:t>
      </w:r>
      <w:r w:rsidR="002F0CE5" w:rsidRPr="00BB6220">
        <w:t>by</w:t>
      </w:r>
      <w:r w:rsidR="003D640C">
        <w:t xml:space="preserve"> </w:t>
      </w:r>
      <w:r w:rsidR="00035BAF" w:rsidRPr="00BB6220">
        <w:t>accept</w:t>
      </w:r>
      <w:r w:rsidR="002F0CE5" w:rsidRPr="00BB6220">
        <w:t>ing</w:t>
      </w:r>
      <w:r w:rsidR="003D640C">
        <w:t xml:space="preserve"> </w:t>
      </w:r>
      <w:r w:rsidR="00035BAF" w:rsidRPr="00BB6220">
        <w:t>their</w:t>
      </w:r>
      <w:r w:rsidR="003D640C">
        <w:t xml:space="preserve"> </w:t>
      </w:r>
      <w:r w:rsidR="00BC382F" w:rsidRPr="00BB6220">
        <w:t>R</w:t>
      </w:r>
      <w:r w:rsidR="00035BAF" w:rsidRPr="00BB6220">
        <w:t>ainbow</w:t>
      </w:r>
      <w:r w:rsidR="003D640C">
        <w:t xml:space="preserve"> </w:t>
      </w:r>
      <w:r w:rsidR="00035BAF" w:rsidRPr="00BB6220">
        <w:t>identity.</w:t>
      </w:r>
      <w:r w:rsidR="003D640C">
        <w:t xml:space="preserve"> </w:t>
      </w:r>
      <w:r w:rsidR="00035BAF" w:rsidRPr="00BB6220">
        <w:t>There</w:t>
      </w:r>
      <w:r w:rsidR="003D640C">
        <w:t xml:space="preserve"> </w:t>
      </w:r>
      <w:r w:rsidR="00035BAF" w:rsidRPr="00BB6220">
        <w:t>was</w:t>
      </w:r>
      <w:r w:rsidR="003D640C">
        <w:t xml:space="preserve"> </w:t>
      </w:r>
      <w:r w:rsidR="00035BAF" w:rsidRPr="00BB6220">
        <w:t>a</w:t>
      </w:r>
      <w:r w:rsidR="003D640C">
        <w:t xml:space="preserve"> </w:t>
      </w:r>
      <w:r w:rsidR="00035BAF" w:rsidRPr="00BB6220">
        <w:t>need</w:t>
      </w:r>
      <w:r w:rsidR="003D640C">
        <w:t xml:space="preserve"> </w:t>
      </w:r>
      <w:r w:rsidR="00035BAF" w:rsidRPr="00BB6220">
        <w:t>to</w:t>
      </w:r>
      <w:r w:rsidR="003D640C">
        <w:t xml:space="preserve"> </w:t>
      </w:r>
      <w:r w:rsidR="00035BAF" w:rsidRPr="00BB6220">
        <w:t>balance</w:t>
      </w:r>
      <w:r w:rsidR="003D640C">
        <w:t xml:space="preserve"> </w:t>
      </w:r>
      <w:r w:rsidR="00035BAF" w:rsidRPr="00BB6220">
        <w:t>the</w:t>
      </w:r>
      <w:r w:rsidR="003D640C">
        <w:t xml:space="preserve"> </w:t>
      </w:r>
      <w:r w:rsidR="00035BAF" w:rsidRPr="00BB6220">
        <w:t>collective</w:t>
      </w:r>
      <w:r w:rsidR="003D640C">
        <w:t xml:space="preserve"> </w:t>
      </w:r>
      <w:r w:rsidR="00035BAF" w:rsidRPr="00BB6220">
        <w:t>good</w:t>
      </w:r>
      <w:r w:rsidR="003D640C">
        <w:t xml:space="preserve"> </w:t>
      </w:r>
      <w:r w:rsidR="00035BAF" w:rsidRPr="00BB6220">
        <w:t>with</w:t>
      </w:r>
      <w:r w:rsidR="003D640C">
        <w:t xml:space="preserve"> </w:t>
      </w:r>
      <w:r w:rsidR="00035BAF" w:rsidRPr="00BB6220">
        <w:t>their</w:t>
      </w:r>
      <w:r w:rsidR="003D640C">
        <w:t xml:space="preserve"> </w:t>
      </w:r>
      <w:r w:rsidR="00035BAF" w:rsidRPr="00BB6220">
        <w:t>individual</w:t>
      </w:r>
      <w:r w:rsidR="003D640C">
        <w:t xml:space="preserve"> </w:t>
      </w:r>
      <w:r w:rsidR="00035BAF" w:rsidRPr="00BB6220">
        <w:t>wellbeing</w:t>
      </w:r>
      <w:r w:rsidR="003D640C">
        <w:t xml:space="preserve"> </w:t>
      </w:r>
      <w:r w:rsidR="00F60E6F" w:rsidRPr="00BB6220">
        <w:t>and</w:t>
      </w:r>
      <w:r w:rsidR="003D640C">
        <w:t xml:space="preserve"> </w:t>
      </w:r>
      <w:r w:rsidR="00035BAF" w:rsidRPr="00BB6220">
        <w:t>feel</w:t>
      </w:r>
      <w:r w:rsidR="00AD48CC" w:rsidRPr="00BB6220">
        <w:t>ings</w:t>
      </w:r>
      <w:r w:rsidR="003D640C">
        <w:t xml:space="preserve"> </w:t>
      </w:r>
      <w:r w:rsidR="00AD48CC" w:rsidRPr="00BB6220">
        <w:t>of</w:t>
      </w:r>
      <w:r w:rsidR="003D640C">
        <w:t xml:space="preserve"> </w:t>
      </w:r>
      <w:r w:rsidR="00035BAF" w:rsidRPr="00BB6220">
        <w:t>guilt</w:t>
      </w:r>
      <w:r w:rsidR="003D640C">
        <w:t xml:space="preserve"> </w:t>
      </w:r>
      <w:r w:rsidR="00035BAF" w:rsidRPr="00BB6220">
        <w:t>for</w:t>
      </w:r>
      <w:r w:rsidR="003D640C">
        <w:t xml:space="preserve"> </w:t>
      </w:r>
      <w:r w:rsidR="00035BAF" w:rsidRPr="00BB6220">
        <w:t>putting</w:t>
      </w:r>
      <w:r w:rsidR="003D640C">
        <w:t xml:space="preserve"> </w:t>
      </w:r>
      <w:r w:rsidR="00035BAF" w:rsidRPr="00BB6220">
        <w:t>their</w:t>
      </w:r>
      <w:r w:rsidR="003D640C">
        <w:t xml:space="preserve"> </w:t>
      </w:r>
      <w:r w:rsidR="00035BAF" w:rsidRPr="00BB6220">
        <w:t>own</w:t>
      </w:r>
      <w:r w:rsidR="003D640C">
        <w:t xml:space="preserve"> </w:t>
      </w:r>
      <w:r w:rsidR="00035BAF" w:rsidRPr="00BB6220">
        <w:t>needs</w:t>
      </w:r>
      <w:r w:rsidR="003D640C">
        <w:t xml:space="preserve"> </w:t>
      </w:r>
      <w:r w:rsidR="00035BAF" w:rsidRPr="00BB6220">
        <w:t>before</w:t>
      </w:r>
      <w:r w:rsidR="003D640C">
        <w:t xml:space="preserve"> </w:t>
      </w:r>
      <w:r w:rsidR="00736275" w:rsidRPr="00BB6220">
        <w:t>those</w:t>
      </w:r>
      <w:r w:rsidR="003D640C">
        <w:t xml:space="preserve"> </w:t>
      </w:r>
      <w:r w:rsidR="00736275" w:rsidRPr="00BB6220">
        <w:t>of</w:t>
      </w:r>
      <w:r w:rsidR="003D640C">
        <w:t xml:space="preserve"> </w:t>
      </w:r>
      <w:r w:rsidR="00035BAF" w:rsidRPr="00BB6220">
        <w:t>their</w:t>
      </w:r>
      <w:r w:rsidR="003D640C">
        <w:t xml:space="preserve"> </w:t>
      </w:r>
      <w:r w:rsidR="00035BAF" w:rsidRPr="00BB6220">
        <w:t>family.</w:t>
      </w:r>
      <w:r w:rsidR="003D640C">
        <w:t xml:space="preserve"> </w:t>
      </w:r>
    </w:p>
    <w:p w14:paraId="3C21A0A1" w14:textId="6007FE90" w:rsidR="00035BAF" w:rsidRPr="00BB6220" w:rsidRDefault="00035BAF" w:rsidP="00747446">
      <w:pPr>
        <w:pStyle w:val="Quote"/>
        <w:rPr>
          <w:sz w:val="24"/>
          <w:szCs w:val="24"/>
        </w:rPr>
      </w:pPr>
      <w:r w:rsidRPr="00BB6220">
        <w:t>“I</w:t>
      </w:r>
      <w:r w:rsidR="003D640C">
        <w:t xml:space="preserve"> </w:t>
      </w:r>
      <w:r w:rsidRPr="00BB6220">
        <w:t>was</w:t>
      </w:r>
      <w:r w:rsidR="003D640C">
        <w:t xml:space="preserve"> </w:t>
      </w:r>
      <w:r w:rsidRPr="00BB6220">
        <w:t>just</w:t>
      </w:r>
      <w:r w:rsidR="003D640C">
        <w:t xml:space="preserve"> </w:t>
      </w:r>
      <w:r w:rsidRPr="00BB6220">
        <w:t>made</w:t>
      </w:r>
      <w:r w:rsidR="003D640C">
        <w:t xml:space="preserve"> </w:t>
      </w:r>
      <w:r w:rsidRPr="00BB6220">
        <w:t>to</w:t>
      </w:r>
      <w:r w:rsidR="003D640C">
        <w:t xml:space="preserve"> </w:t>
      </w:r>
      <w:r w:rsidRPr="00BB6220">
        <w:t>feel</w:t>
      </w:r>
      <w:r w:rsidR="003D640C">
        <w:t xml:space="preserve"> </w:t>
      </w:r>
      <w:r w:rsidRPr="00BB6220">
        <w:t>that</w:t>
      </w:r>
      <w:r w:rsidR="003D640C">
        <w:t xml:space="preserve"> </w:t>
      </w:r>
      <w:r w:rsidRPr="00BB6220">
        <w:t>there’d</w:t>
      </w:r>
      <w:r w:rsidR="003D640C">
        <w:t xml:space="preserve"> </w:t>
      </w:r>
      <w:r w:rsidRPr="00BB6220">
        <w:t>be</w:t>
      </w:r>
      <w:r w:rsidR="003D640C">
        <w:t xml:space="preserve"> </w:t>
      </w:r>
      <w:r w:rsidRPr="00BB6220">
        <w:t>a</w:t>
      </w:r>
      <w:r w:rsidR="003D640C">
        <w:t xml:space="preserve"> </w:t>
      </w:r>
      <w:r w:rsidRPr="00BB6220">
        <w:t>lot</w:t>
      </w:r>
      <w:r w:rsidR="003D640C">
        <w:t xml:space="preserve"> </w:t>
      </w:r>
      <w:r w:rsidRPr="00BB6220">
        <w:t>of</w:t>
      </w:r>
      <w:r w:rsidR="003D640C">
        <w:t xml:space="preserve"> </w:t>
      </w:r>
      <w:r w:rsidRPr="00BB6220">
        <w:t>shame,</w:t>
      </w:r>
      <w:r w:rsidR="003D640C">
        <w:t xml:space="preserve"> </w:t>
      </w:r>
      <w:r w:rsidRPr="00BB6220">
        <w:t>that</w:t>
      </w:r>
      <w:r w:rsidR="003D640C">
        <w:t xml:space="preserve"> </w:t>
      </w:r>
      <w:r w:rsidRPr="00BB6220">
        <w:t>there</w:t>
      </w:r>
      <w:r w:rsidR="003D640C">
        <w:t xml:space="preserve"> </w:t>
      </w:r>
      <w:r w:rsidRPr="00BB6220">
        <w:t>would</w:t>
      </w:r>
      <w:r w:rsidR="003D640C">
        <w:t xml:space="preserve"> </w:t>
      </w:r>
      <w:r w:rsidRPr="00BB6220">
        <w:t>be</w:t>
      </w:r>
      <w:r w:rsidR="003D640C">
        <w:t xml:space="preserve"> </w:t>
      </w:r>
      <w:r w:rsidRPr="00BB6220">
        <w:t>abandonment</w:t>
      </w:r>
      <w:r w:rsidR="003D640C">
        <w:t xml:space="preserve"> </w:t>
      </w:r>
      <w:r w:rsidRPr="00BB6220">
        <w:t>and</w:t>
      </w:r>
      <w:r w:rsidR="003D640C">
        <w:t xml:space="preserve"> </w:t>
      </w:r>
      <w:r w:rsidRPr="00BB6220">
        <w:t>that</w:t>
      </w:r>
      <w:r w:rsidR="003D640C">
        <w:t xml:space="preserve"> </w:t>
      </w:r>
      <w:r w:rsidRPr="00BB6220">
        <w:t>I</w:t>
      </w:r>
      <w:r w:rsidR="003D640C">
        <w:t xml:space="preserve"> </w:t>
      </w:r>
      <w:r w:rsidRPr="00BB6220">
        <w:t>wouldn’t</w:t>
      </w:r>
      <w:r w:rsidR="003D640C">
        <w:t xml:space="preserve"> </w:t>
      </w:r>
      <w:r w:rsidRPr="00BB6220">
        <w:t>belong</w:t>
      </w:r>
      <w:r w:rsidR="003D640C">
        <w:t xml:space="preserve"> </w:t>
      </w:r>
      <w:r w:rsidRPr="00BB6220">
        <w:t>to</w:t>
      </w:r>
      <w:r w:rsidR="003D640C">
        <w:t xml:space="preserve"> </w:t>
      </w:r>
      <w:r w:rsidRPr="00BB6220">
        <w:t>this</w:t>
      </w:r>
      <w:r w:rsidR="003D640C">
        <w:t xml:space="preserve"> </w:t>
      </w:r>
      <w:r w:rsidRPr="00BB6220">
        <w:t>unit</w:t>
      </w:r>
      <w:r w:rsidR="003D640C">
        <w:t xml:space="preserve"> </w:t>
      </w:r>
      <w:r w:rsidRPr="00BB6220">
        <w:t>(my</w:t>
      </w:r>
      <w:r w:rsidR="003D640C">
        <w:t xml:space="preserve"> </w:t>
      </w:r>
      <w:r w:rsidRPr="00BB6220">
        <w:t>family)</w:t>
      </w:r>
      <w:r w:rsidR="003D640C">
        <w:t xml:space="preserve"> </w:t>
      </w:r>
      <w:r w:rsidRPr="00BB6220">
        <w:t>anymore.”</w:t>
      </w:r>
      <w:r w:rsidR="003D640C">
        <w:t xml:space="preserve"> </w:t>
      </w:r>
      <w:r w:rsidRPr="00BB6220">
        <w:t>Samoan,</w:t>
      </w:r>
      <w:r w:rsidR="003D640C">
        <w:t xml:space="preserve"> </w:t>
      </w:r>
      <w:r w:rsidR="00071801" w:rsidRPr="00BB6220">
        <w:t>m</w:t>
      </w:r>
      <w:r w:rsidRPr="00BB6220">
        <w:t>ale</w:t>
      </w:r>
    </w:p>
    <w:p w14:paraId="4A8D0174" w14:textId="6AB3B0A4" w:rsidR="00736275" w:rsidRPr="00BB6220" w:rsidRDefault="00035BAF" w:rsidP="00747446">
      <w:r w:rsidRPr="00BB6220">
        <w:t>Some</w:t>
      </w:r>
      <w:r w:rsidR="003D640C">
        <w:t xml:space="preserve"> </w:t>
      </w:r>
      <w:r w:rsidRPr="00BB6220">
        <w:t>survivors</w:t>
      </w:r>
      <w:r w:rsidR="003D640C">
        <w:t xml:space="preserve"> </w:t>
      </w:r>
      <w:r w:rsidRPr="00BB6220">
        <w:t>spoke</w:t>
      </w:r>
      <w:r w:rsidR="003D640C">
        <w:t xml:space="preserve"> </w:t>
      </w:r>
      <w:r w:rsidRPr="00BB6220">
        <w:t>about</w:t>
      </w:r>
      <w:r w:rsidR="003D640C">
        <w:t xml:space="preserve"> </w:t>
      </w:r>
      <w:r w:rsidRPr="00BB6220">
        <w:t>the</w:t>
      </w:r>
      <w:r w:rsidR="003D640C">
        <w:t xml:space="preserve"> </w:t>
      </w:r>
      <w:r w:rsidRPr="00BB6220">
        <w:t>risk</w:t>
      </w:r>
      <w:r w:rsidR="003D640C">
        <w:t xml:space="preserve"> </w:t>
      </w:r>
      <w:r w:rsidRPr="00BB6220">
        <w:t>of</w:t>
      </w:r>
      <w:r w:rsidR="003D640C">
        <w:t xml:space="preserve"> </w:t>
      </w:r>
      <w:r w:rsidRPr="00BB6220">
        <w:t>being</w:t>
      </w:r>
      <w:r w:rsidR="003D640C">
        <w:t xml:space="preserve"> </w:t>
      </w:r>
      <w:r w:rsidRPr="00BB6220">
        <w:t>sent</w:t>
      </w:r>
      <w:r w:rsidR="003D640C">
        <w:t xml:space="preserve"> </w:t>
      </w:r>
      <w:r w:rsidRPr="00BB6220">
        <w:t>back</w:t>
      </w:r>
      <w:r w:rsidR="003D640C">
        <w:t xml:space="preserve"> </w:t>
      </w:r>
      <w:r w:rsidRPr="00BB6220">
        <w:t>to</w:t>
      </w:r>
      <w:r w:rsidR="003D640C">
        <w:t xml:space="preserve"> </w:t>
      </w:r>
      <w:r w:rsidRPr="00BB6220">
        <w:t>the</w:t>
      </w:r>
      <w:r w:rsidR="003D640C">
        <w:t xml:space="preserve"> </w:t>
      </w:r>
      <w:r w:rsidR="00BC382F" w:rsidRPr="00BB6220">
        <w:t>Pacific</w:t>
      </w:r>
      <w:r w:rsidR="003D640C">
        <w:t xml:space="preserve"> </w:t>
      </w:r>
      <w:r w:rsidR="00970CFF">
        <w:t>i</w:t>
      </w:r>
      <w:r w:rsidRPr="00BB6220">
        <w:t>slands</w:t>
      </w:r>
      <w:r w:rsidR="003D640C">
        <w:t xml:space="preserve"> </w:t>
      </w:r>
      <w:r w:rsidRPr="00BB6220">
        <w:t>as</w:t>
      </w:r>
      <w:r w:rsidR="003D640C">
        <w:t xml:space="preserve"> </w:t>
      </w:r>
      <w:r w:rsidRPr="00BB6220">
        <w:t>their</w:t>
      </w:r>
      <w:r w:rsidR="003D640C">
        <w:t xml:space="preserve"> </w:t>
      </w:r>
      <w:r w:rsidR="00BC382F" w:rsidRPr="00BB6220">
        <w:t>R</w:t>
      </w:r>
      <w:r w:rsidRPr="00BB6220">
        <w:t>ainbow</w:t>
      </w:r>
      <w:r w:rsidR="003D640C">
        <w:t xml:space="preserve"> </w:t>
      </w:r>
      <w:r w:rsidRPr="00BB6220">
        <w:t>identity</w:t>
      </w:r>
      <w:r w:rsidR="003D640C">
        <w:t xml:space="preserve"> </w:t>
      </w:r>
      <w:r w:rsidRPr="00BB6220">
        <w:t>was</w:t>
      </w:r>
      <w:r w:rsidR="003D640C">
        <w:t xml:space="preserve"> </w:t>
      </w:r>
      <w:r w:rsidRPr="00BB6220">
        <w:t>seen</w:t>
      </w:r>
      <w:r w:rsidR="003D640C">
        <w:t xml:space="preserve"> </w:t>
      </w:r>
      <w:r w:rsidRPr="00BB6220">
        <w:t>as</w:t>
      </w:r>
      <w:r w:rsidR="003D640C">
        <w:t xml:space="preserve"> </w:t>
      </w:r>
      <w:r w:rsidRPr="00BB6220">
        <w:t>being</w:t>
      </w:r>
      <w:r w:rsidR="003D640C">
        <w:t xml:space="preserve"> </w:t>
      </w:r>
      <w:r w:rsidRPr="00BB6220">
        <w:t>influenced</w:t>
      </w:r>
      <w:r w:rsidR="003D640C">
        <w:t xml:space="preserve"> </w:t>
      </w:r>
      <w:r w:rsidRPr="00BB6220">
        <w:t>by</w:t>
      </w:r>
      <w:r w:rsidR="003D640C">
        <w:t xml:space="preserve"> </w:t>
      </w:r>
      <w:r w:rsidR="00331273">
        <w:t>W</w:t>
      </w:r>
      <w:r w:rsidRPr="00BB6220">
        <w:t>estern</w:t>
      </w:r>
      <w:r w:rsidR="003D640C">
        <w:t xml:space="preserve"> </w:t>
      </w:r>
      <w:r w:rsidRPr="00BB6220">
        <w:t>ideologies.</w:t>
      </w:r>
      <w:r w:rsidR="003D640C">
        <w:t xml:space="preserve"> </w:t>
      </w:r>
      <w:r w:rsidRPr="00BB6220">
        <w:t>They</w:t>
      </w:r>
      <w:r w:rsidR="003D640C">
        <w:t xml:space="preserve"> </w:t>
      </w:r>
      <w:r w:rsidRPr="00BB6220">
        <w:t>noted</w:t>
      </w:r>
      <w:r w:rsidR="003D640C">
        <w:t xml:space="preserve"> </w:t>
      </w:r>
      <w:r w:rsidRPr="00BB6220">
        <w:t>the</w:t>
      </w:r>
      <w:r w:rsidR="003D640C">
        <w:t xml:space="preserve"> </w:t>
      </w:r>
      <w:r w:rsidRPr="00BB6220">
        <w:t>dynamic</w:t>
      </w:r>
      <w:r w:rsidR="003D640C">
        <w:t xml:space="preserve"> </w:t>
      </w:r>
      <w:r w:rsidRPr="00BB6220">
        <w:t>of</w:t>
      </w:r>
      <w:r w:rsidR="003D640C">
        <w:t xml:space="preserve"> </w:t>
      </w:r>
      <w:r w:rsidRPr="00BB6220">
        <w:t>having</w:t>
      </w:r>
      <w:r w:rsidR="003D640C">
        <w:t xml:space="preserve"> </w:t>
      </w:r>
      <w:r w:rsidRPr="00BB6220">
        <w:t>two</w:t>
      </w:r>
      <w:r w:rsidR="003D640C">
        <w:t xml:space="preserve"> </w:t>
      </w:r>
      <w:r w:rsidRPr="00BB6220">
        <w:t>sets</w:t>
      </w:r>
      <w:r w:rsidR="003D640C">
        <w:t xml:space="preserve"> </w:t>
      </w:r>
      <w:r w:rsidRPr="00BB6220">
        <w:t>of</w:t>
      </w:r>
      <w:r w:rsidR="003D640C">
        <w:t xml:space="preserve"> </w:t>
      </w:r>
      <w:r w:rsidRPr="00BB6220">
        <w:t>rules</w:t>
      </w:r>
      <w:r w:rsidR="003D640C">
        <w:t xml:space="preserve"> </w:t>
      </w:r>
      <w:r w:rsidRPr="00BB6220">
        <w:t>to</w:t>
      </w:r>
      <w:r w:rsidR="003D640C">
        <w:t xml:space="preserve"> </w:t>
      </w:r>
      <w:r w:rsidRPr="00BB6220">
        <w:t>comply</w:t>
      </w:r>
      <w:r w:rsidR="003D640C">
        <w:t xml:space="preserve"> </w:t>
      </w:r>
      <w:r w:rsidRPr="00BB6220">
        <w:t>with</w:t>
      </w:r>
      <w:r w:rsidR="006A48D6">
        <w:t xml:space="preserve"> –</w:t>
      </w:r>
      <w:r w:rsidR="003D640C">
        <w:t xml:space="preserve"> </w:t>
      </w:r>
      <w:r w:rsidRPr="00BB6220">
        <w:t>the</w:t>
      </w:r>
      <w:r w:rsidR="003D640C">
        <w:t xml:space="preserve"> </w:t>
      </w:r>
      <w:r w:rsidRPr="00BB6220">
        <w:t>rules</w:t>
      </w:r>
      <w:r w:rsidR="003D640C">
        <w:t xml:space="preserve"> </w:t>
      </w:r>
      <w:r w:rsidRPr="00BB6220">
        <w:t>in</w:t>
      </w:r>
      <w:r w:rsidR="003D640C">
        <w:t xml:space="preserve"> </w:t>
      </w:r>
      <w:r w:rsidRPr="00BB6220">
        <w:t>Aotearoa</w:t>
      </w:r>
      <w:r w:rsidR="003D640C">
        <w:t xml:space="preserve"> </w:t>
      </w:r>
      <w:r w:rsidRPr="00BB6220">
        <w:t>and</w:t>
      </w:r>
      <w:r w:rsidR="003D640C">
        <w:t xml:space="preserve"> </w:t>
      </w:r>
      <w:r w:rsidRPr="00BB6220">
        <w:t>the</w:t>
      </w:r>
      <w:r w:rsidR="003D640C">
        <w:t xml:space="preserve"> </w:t>
      </w:r>
      <w:r w:rsidRPr="00BB6220">
        <w:t>rules</w:t>
      </w:r>
      <w:r w:rsidR="003D640C">
        <w:t xml:space="preserve"> </w:t>
      </w:r>
      <w:r w:rsidRPr="00BB6220">
        <w:t>from</w:t>
      </w:r>
      <w:r w:rsidR="003D640C">
        <w:t xml:space="preserve"> </w:t>
      </w:r>
      <w:r w:rsidRPr="00BB6220">
        <w:t>the</w:t>
      </w:r>
      <w:r w:rsidR="003D640C">
        <w:t xml:space="preserve"> </w:t>
      </w:r>
      <w:r w:rsidR="00FB0A1C">
        <w:t>Pacific</w:t>
      </w:r>
      <w:r w:rsidR="003D640C">
        <w:t xml:space="preserve"> </w:t>
      </w:r>
      <w:r w:rsidR="00F60861">
        <w:t xml:space="preserve">country </w:t>
      </w:r>
      <w:r w:rsidRPr="00BB6220">
        <w:t>their</w:t>
      </w:r>
      <w:r w:rsidR="003D640C">
        <w:t xml:space="preserve"> </w:t>
      </w:r>
      <w:r w:rsidRPr="00BB6220">
        <w:t>family</w:t>
      </w:r>
      <w:r w:rsidR="003D640C">
        <w:t xml:space="preserve"> </w:t>
      </w:r>
      <w:r w:rsidRPr="00BB6220">
        <w:t>originates</w:t>
      </w:r>
      <w:r w:rsidR="003D640C">
        <w:t xml:space="preserve"> </w:t>
      </w:r>
      <w:r w:rsidRPr="00BB6220">
        <w:t>from.</w:t>
      </w:r>
      <w:r w:rsidR="003D640C">
        <w:t xml:space="preserve"> </w:t>
      </w:r>
    </w:p>
    <w:p w14:paraId="04D5CED6" w14:textId="3F5A3272" w:rsidR="00EE144D" w:rsidRPr="00BB6220" w:rsidRDefault="00035BAF" w:rsidP="00747446">
      <w:r w:rsidRPr="00BB6220">
        <w:t>Others</w:t>
      </w:r>
      <w:r w:rsidR="003D640C">
        <w:t xml:space="preserve"> </w:t>
      </w:r>
      <w:r w:rsidRPr="00BB6220">
        <w:t>spoke</w:t>
      </w:r>
      <w:r w:rsidR="003D640C">
        <w:t xml:space="preserve"> </w:t>
      </w:r>
      <w:r w:rsidRPr="00BB6220">
        <w:t>about</w:t>
      </w:r>
      <w:r w:rsidR="003D640C">
        <w:t xml:space="preserve"> </w:t>
      </w:r>
      <w:r w:rsidR="006E4F27" w:rsidRPr="00BB6220">
        <w:t>fearing</w:t>
      </w:r>
      <w:r w:rsidR="003D640C">
        <w:t xml:space="preserve"> </w:t>
      </w:r>
      <w:r w:rsidRPr="00BB6220">
        <w:t>they</w:t>
      </w:r>
      <w:r w:rsidR="003D640C">
        <w:t xml:space="preserve"> </w:t>
      </w:r>
      <w:r w:rsidRPr="00BB6220">
        <w:t>would</w:t>
      </w:r>
      <w:r w:rsidR="003D640C">
        <w:t xml:space="preserve"> </w:t>
      </w:r>
      <w:r w:rsidRPr="00BB6220">
        <w:t>be</w:t>
      </w:r>
      <w:r w:rsidR="003D640C">
        <w:t xml:space="preserve"> </w:t>
      </w:r>
      <w:r w:rsidR="004C1DE2">
        <w:t>“</w:t>
      </w:r>
      <w:r w:rsidRPr="00BB6220">
        <w:t>kicked</w:t>
      </w:r>
      <w:r w:rsidR="003D640C">
        <w:t xml:space="preserve"> </w:t>
      </w:r>
      <w:r w:rsidRPr="00BB6220">
        <w:t>out</w:t>
      </w:r>
      <w:r w:rsidR="003D640C">
        <w:t xml:space="preserve"> </w:t>
      </w:r>
      <w:r w:rsidRPr="00BB6220">
        <w:t>of</w:t>
      </w:r>
      <w:r w:rsidR="003D640C">
        <w:t xml:space="preserve"> </w:t>
      </w:r>
      <w:r w:rsidRPr="00BB6220">
        <w:t>the</w:t>
      </w:r>
      <w:r w:rsidR="003D640C">
        <w:t xml:space="preserve"> </w:t>
      </w:r>
      <w:r w:rsidRPr="00BB6220">
        <w:t>house</w:t>
      </w:r>
      <w:r w:rsidR="004C1DE2">
        <w:t>”</w:t>
      </w:r>
      <w:r w:rsidR="003D640C">
        <w:t xml:space="preserve"> </w:t>
      </w:r>
      <w:r w:rsidRPr="00BB6220">
        <w:t>if</w:t>
      </w:r>
      <w:r w:rsidR="003D640C">
        <w:t xml:space="preserve"> </w:t>
      </w:r>
      <w:r w:rsidRPr="00BB6220">
        <w:t>they</w:t>
      </w:r>
      <w:r w:rsidR="003D640C">
        <w:t xml:space="preserve"> </w:t>
      </w:r>
      <w:r w:rsidRPr="00BB6220">
        <w:t>did</w:t>
      </w:r>
      <w:r w:rsidR="003D640C">
        <w:t xml:space="preserve"> </w:t>
      </w:r>
      <w:r w:rsidRPr="00BB6220">
        <w:t>not</w:t>
      </w:r>
      <w:r w:rsidR="003D640C">
        <w:t xml:space="preserve"> </w:t>
      </w:r>
      <w:r w:rsidRPr="00BB6220">
        <w:t>comply</w:t>
      </w:r>
      <w:r w:rsidR="003D640C">
        <w:t xml:space="preserve"> </w:t>
      </w:r>
      <w:r w:rsidRPr="00BB6220">
        <w:t>with</w:t>
      </w:r>
      <w:r w:rsidR="003D640C">
        <w:t xml:space="preserve"> </w:t>
      </w:r>
      <w:r w:rsidRPr="00BB6220">
        <w:t>collective</w:t>
      </w:r>
      <w:r w:rsidR="003D640C">
        <w:t xml:space="preserve"> </w:t>
      </w:r>
      <w:r w:rsidRPr="00BB6220">
        <w:t>norms.</w:t>
      </w:r>
      <w:r w:rsidR="003D640C">
        <w:t xml:space="preserve"> </w:t>
      </w:r>
      <w:r w:rsidRPr="00BB6220">
        <w:t>Other</w:t>
      </w:r>
      <w:r w:rsidR="003D640C">
        <w:t xml:space="preserve"> </w:t>
      </w:r>
      <w:r w:rsidRPr="00BB6220">
        <w:t>survivors</w:t>
      </w:r>
      <w:r w:rsidR="003D640C">
        <w:t xml:space="preserve"> </w:t>
      </w:r>
      <w:r w:rsidRPr="00BB6220">
        <w:t>mentioned</w:t>
      </w:r>
      <w:r w:rsidR="003D640C">
        <w:t xml:space="preserve"> </w:t>
      </w:r>
      <w:r w:rsidRPr="00BB6220">
        <w:t>being</w:t>
      </w:r>
      <w:r w:rsidR="003D640C">
        <w:t xml:space="preserve"> </w:t>
      </w:r>
      <w:r w:rsidRPr="00BB6220">
        <w:t>forced</w:t>
      </w:r>
      <w:r w:rsidR="003D640C">
        <w:t xml:space="preserve"> </w:t>
      </w:r>
      <w:r w:rsidRPr="00BB6220">
        <w:t>to</w:t>
      </w:r>
      <w:r w:rsidR="003D640C">
        <w:t xml:space="preserve"> </w:t>
      </w:r>
      <w:r w:rsidRPr="00BB6220">
        <w:t>spend</w:t>
      </w:r>
      <w:r w:rsidR="003D640C">
        <w:t xml:space="preserve"> </w:t>
      </w:r>
      <w:r w:rsidRPr="00BB6220">
        <w:t>time</w:t>
      </w:r>
      <w:r w:rsidR="003D640C">
        <w:t xml:space="preserve"> </w:t>
      </w:r>
      <w:r w:rsidRPr="00BB6220">
        <w:t>with</w:t>
      </w:r>
      <w:r w:rsidR="003D640C">
        <w:t xml:space="preserve"> </w:t>
      </w:r>
      <w:r w:rsidRPr="00BB6220">
        <w:t>family</w:t>
      </w:r>
      <w:r w:rsidR="003D640C">
        <w:t xml:space="preserve"> </w:t>
      </w:r>
      <w:r w:rsidRPr="00BB6220">
        <w:t>members</w:t>
      </w:r>
      <w:r w:rsidR="003D640C">
        <w:t xml:space="preserve"> </w:t>
      </w:r>
      <w:r w:rsidRPr="00BB6220">
        <w:t>of</w:t>
      </w:r>
      <w:r w:rsidR="003D640C">
        <w:t xml:space="preserve"> </w:t>
      </w:r>
      <w:r w:rsidRPr="00BB6220">
        <w:t>the</w:t>
      </w:r>
      <w:r w:rsidR="003D640C">
        <w:t xml:space="preserve"> </w:t>
      </w:r>
      <w:r w:rsidRPr="00BB6220">
        <w:t>same</w:t>
      </w:r>
      <w:r w:rsidR="003D640C">
        <w:t xml:space="preserve"> </w:t>
      </w:r>
      <w:r w:rsidRPr="00BB6220">
        <w:t>sex</w:t>
      </w:r>
      <w:r w:rsidR="003D640C">
        <w:t xml:space="preserve"> </w:t>
      </w:r>
      <w:r w:rsidRPr="00BB6220">
        <w:t>so</w:t>
      </w:r>
      <w:r w:rsidR="003D640C">
        <w:t xml:space="preserve"> </w:t>
      </w:r>
      <w:r w:rsidRPr="00BB6220">
        <w:t>that</w:t>
      </w:r>
      <w:r w:rsidR="003D640C">
        <w:t xml:space="preserve"> </w:t>
      </w:r>
      <w:r w:rsidRPr="00BB6220">
        <w:t>they</w:t>
      </w:r>
      <w:r w:rsidR="003D640C">
        <w:t xml:space="preserve"> </w:t>
      </w:r>
      <w:r w:rsidRPr="00BB6220">
        <w:t>could</w:t>
      </w:r>
      <w:r w:rsidR="003D640C">
        <w:t xml:space="preserve"> </w:t>
      </w:r>
      <w:r w:rsidRPr="00BB6220">
        <w:t>behave</w:t>
      </w:r>
      <w:r w:rsidR="003D640C">
        <w:t xml:space="preserve"> </w:t>
      </w:r>
      <w:r w:rsidRPr="00BB6220">
        <w:t>more</w:t>
      </w:r>
      <w:r w:rsidR="003D640C">
        <w:t xml:space="preserve"> </w:t>
      </w:r>
      <w:r w:rsidRPr="00BB6220">
        <w:t>like</w:t>
      </w:r>
      <w:r w:rsidR="003D640C">
        <w:t xml:space="preserve"> </w:t>
      </w:r>
      <w:r w:rsidRPr="00BB6220">
        <w:t>them.</w:t>
      </w:r>
      <w:r w:rsidR="003D640C">
        <w:t xml:space="preserve"> </w:t>
      </w:r>
      <w:r w:rsidRPr="00BB6220">
        <w:t>It</w:t>
      </w:r>
      <w:r w:rsidR="003D640C">
        <w:t xml:space="preserve"> </w:t>
      </w:r>
      <w:r w:rsidRPr="00BB6220">
        <w:t>is</w:t>
      </w:r>
      <w:r w:rsidR="003D640C">
        <w:t xml:space="preserve"> </w:t>
      </w:r>
      <w:r w:rsidRPr="00BB6220">
        <w:t>important</w:t>
      </w:r>
      <w:r w:rsidR="003D640C">
        <w:t xml:space="preserve"> </w:t>
      </w:r>
      <w:r w:rsidRPr="00BB6220">
        <w:t>to</w:t>
      </w:r>
      <w:r w:rsidR="003D640C">
        <w:t xml:space="preserve"> </w:t>
      </w:r>
      <w:r w:rsidRPr="00BB6220" w:rsidDel="00EE144D">
        <w:t>acknowledge</w:t>
      </w:r>
      <w:r w:rsidR="003D640C">
        <w:t xml:space="preserve"> </w:t>
      </w:r>
      <w:r w:rsidR="00EE144D" w:rsidRPr="00BB6220">
        <w:t>that</w:t>
      </w:r>
      <w:r w:rsidR="003D640C">
        <w:t xml:space="preserve"> </w:t>
      </w:r>
      <w:r w:rsidRPr="00BB6220">
        <w:t>these</w:t>
      </w:r>
      <w:r w:rsidR="003D640C">
        <w:t xml:space="preserve"> </w:t>
      </w:r>
      <w:r w:rsidRPr="00BB6220">
        <w:t>a</w:t>
      </w:r>
      <w:r w:rsidR="00ED5B64" w:rsidRPr="00BB6220">
        <w:t>ctions</w:t>
      </w:r>
      <w:r w:rsidR="003D640C">
        <w:t xml:space="preserve"> </w:t>
      </w:r>
      <w:r w:rsidR="00B33CF6" w:rsidRPr="00BB6220">
        <w:t>were</w:t>
      </w:r>
      <w:r w:rsidR="003D640C">
        <w:t xml:space="preserve"> </w:t>
      </w:r>
      <w:r w:rsidR="00E16F06" w:rsidRPr="00BB6220">
        <w:t>often</w:t>
      </w:r>
      <w:r w:rsidR="003D640C">
        <w:t xml:space="preserve"> </w:t>
      </w:r>
      <w:r w:rsidR="00B33CF6" w:rsidRPr="00BB6220">
        <w:t>done</w:t>
      </w:r>
      <w:r w:rsidR="003D640C">
        <w:t xml:space="preserve"> </w:t>
      </w:r>
      <w:r w:rsidR="00186812">
        <w:t>by</w:t>
      </w:r>
      <w:r w:rsidR="003D640C">
        <w:t xml:space="preserve"> </w:t>
      </w:r>
      <w:r w:rsidR="00186812">
        <w:t>family</w:t>
      </w:r>
      <w:r w:rsidR="003D640C">
        <w:t xml:space="preserve"> </w:t>
      </w:r>
      <w:r w:rsidR="00186812">
        <w:t>and</w:t>
      </w:r>
      <w:r w:rsidR="003D640C">
        <w:t xml:space="preserve"> </w:t>
      </w:r>
      <w:r w:rsidR="00186812">
        <w:t>community</w:t>
      </w:r>
      <w:r w:rsidR="003D640C">
        <w:t xml:space="preserve"> </w:t>
      </w:r>
      <w:r w:rsidR="00186812">
        <w:t>members</w:t>
      </w:r>
      <w:r w:rsidR="003D640C">
        <w:t xml:space="preserve"> </w:t>
      </w:r>
      <w:r w:rsidR="00B33CF6" w:rsidRPr="00BB6220">
        <w:t>as</w:t>
      </w:r>
      <w:r w:rsidR="003D640C">
        <w:t xml:space="preserve"> </w:t>
      </w:r>
      <w:r w:rsidR="00B33CF6" w:rsidRPr="00BB6220">
        <w:t>acts</w:t>
      </w:r>
      <w:r w:rsidR="003D640C">
        <w:t xml:space="preserve"> </w:t>
      </w:r>
      <w:r w:rsidRPr="00BB6220">
        <w:t>of</w:t>
      </w:r>
      <w:r w:rsidR="003D640C">
        <w:t xml:space="preserve"> </w:t>
      </w:r>
      <w:r w:rsidR="00B33CF6" w:rsidRPr="00BB6220">
        <w:t>‘</w:t>
      </w:r>
      <w:r w:rsidRPr="00BB6220">
        <w:t>love</w:t>
      </w:r>
      <w:r w:rsidR="00B33CF6" w:rsidRPr="00BB6220">
        <w:t>’</w:t>
      </w:r>
      <w:r w:rsidR="003D640C">
        <w:t xml:space="preserve"> </w:t>
      </w:r>
      <w:r w:rsidRPr="00BB6220">
        <w:t>for</w:t>
      </w:r>
      <w:r w:rsidR="003D640C">
        <w:t xml:space="preserve"> </w:t>
      </w:r>
      <w:r w:rsidRPr="00BB6220">
        <w:t>children</w:t>
      </w:r>
      <w:r w:rsidR="00EE144D" w:rsidRPr="00BB6220">
        <w:t>.</w:t>
      </w:r>
    </w:p>
    <w:p w14:paraId="74CB1930" w14:textId="4558943E" w:rsidR="00175B12" w:rsidRPr="00BB6220" w:rsidRDefault="00175B12" w:rsidP="00747446">
      <w:pPr>
        <w:pStyle w:val="Quote"/>
      </w:pPr>
      <w:r w:rsidRPr="00BB6220">
        <w:t>“My</w:t>
      </w:r>
      <w:r w:rsidR="003D640C">
        <w:t xml:space="preserve"> </w:t>
      </w:r>
      <w:r w:rsidRPr="00BB6220">
        <w:t>experiences</w:t>
      </w:r>
      <w:r w:rsidR="003D640C">
        <w:t xml:space="preserve"> </w:t>
      </w:r>
      <w:r w:rsidRPr="00BB6220">
        <w:t>of</w:t>
      </w:r>
      <w:r w:rsidR="003D640C">
        <w:t xml:space="preserve"> </w:t>
      </w:r>
      <w:r w:rsidRPr="00BB6220">
        <w:t>conversion</w:t>
      </w:r>
      <w:r w:rsidR="003D640C">
        <w:t xml:space="preserve"> </w:t>
      </w:r>
      <w:r w:rsidRPr="00BB6220">
        <w:t>therapies</w:t>
      </w:r>
      <w:r w:rsidR="003D640C">
        <w:t xml:space="preserve"> </w:t>
      </w:r>
      <w:r w:rsidRPr="00BB6220">
        <w:t>have</w:t>
      </w:r>
      <w:r w:rsidR="003D640C">
        <w:t xml:space="preserve"> </w:t>
      </w:r>
      <w:r w:rsidRPr="00BB6220">
        <w:t>undermined</w:t>
      </w:r>
      <w:r w:rsidR="003D640C">
        <w:t xml:space="preserve"> </w:t>
      </w:r>
      <w:r w:rsidRPr="00BB6220">
        <w:t>the</w:t>
      </w:r>
      <w:r w:rsidR="003D640C">
        <w:t xml:space="preserve"> </w:t>
      </w:r>
      <w:r w:rsidRPr="00BB6220">
        <w:t>credibility</w:t>
      </w:r>
      <w:r w:rsidR="003D640C">
        <w:t xml:space="preserve"> </w:t>
      </w:r>
      <w:r w:rsidRPr="00BB6220">
        <w:t>of</w:t>
      </w:r>
      <w:r w:rsidR="003D640C">
        <w:t xml:space="preserve"> </w:t>
      </w:r>
      <w:r w:rsidRPr="00BB6220">
        <w:t>the</w:t>
      </w:r>
      <w:r w:rsidR="003D640C">
        <w:t xml:space="preserve"> </w:t>
      </w:r>
      <w:r w:rsidRPr="00BB6220">
        <w:t>community</w:t>
      </w:r>
      <w:r w:rsidR="003D640C">
        <w:t xml:space="preserve"> </w:t>
      </w:r>
      <w:r w:rsidRPr="00BB6220">
        <w:t>I</w:t>
      </w:r>
      <w:r w:rsidR="003D640C">
        <w:t xml:space="preserve"> </w:t>
      </w:r>
      <w:r w:rsidRPr="00BB6220">
        <w:t>grew</w:t>
      </w:r>
      <w:r w:rsidR="003D640C">
        <w:t xml:space="preserve"> </w:t>
      </w:r>
      <w:r w:rsidRPr="00BB6220">
        <w:t>up</w:t>
      </w:r>
      <w:r w:rsidR="003D640C">
        <w:t xml:space="preserve"> </w:t>
      </w:r>
      <w:r w:rsidRPr="00BB6220">
        <w:t>in,</w:t>
      </w:r>
      <w:r w:rsidR="003D640C">
        <w:t xml:space="preserve"> </w:t>
      </w:r>
      <w:r w:rsidRPr="00BB6220">
        <w:t>and</w:t>
      </w:r>
      <w:r w:rsidR="003D640C">
        <w:t xml:space="preserve"> </w:t>
      </w:r>
      <w:r w:rsidRPr="00BB6220">
        <w:t>my</w:t>
      </w:r>
      <w:r w:rsidR="003D640C">
        <w:t xml:space="preserve"> </w:t>
      </w:r>
      <w:r w:rsidRPr="00BB6220">
        <w:t>respect</w:t>
      </w:r>
      <w:r w:rsidR="003D640C">
        <w:t xml:space="preserve"> </w:t>
      </w:r>
      <w:r w:rsidRPr="00BB6220">
        <w:t>for</w:t>
      </w:r>
      <w:r w:rsidR="003D640C">
        <w:t xml:space="preserve"> </w:t>
      </w:r>
      <w:r w:rsidRPr="00BB6220">
        <w:t>authority</w:t>
      </w:r>
      <w:r w:rsidR="003D640C">
        <w:t xml:space="preserve"> </w:t>
      </w:r>
      <w:r w:rsidRPr="00BB6220">
        <w:t>figures.</w:t>
      </w:r>
      <w:r w:rsidR="003D640C">
        <w:t xml:space="preserve"> </w:t>
      </w:r>
      <w:r w:rsidRPr="00BB6220">
        <w:t>In</w:t>
      </w:r>
      <w:r w:rsidR="003D640C">
        <w:t xml:space="preserve"> </w:t>
      </w:r>
      <w:r w:rsidRPr="00BB6220">
        <w:t>my</w:t>
      </w:r>
      <w:r w:rsidR="003D640C">
        <w:t xml:space="preserve"> </w:t>
      </w:r>
      <w:r w:rsidRPr="00BB6220">
        <w:t>community</w:t>
      </w:r>
      <w:r w:rsidR="003D640C">
        <w:t xml:space="preserve"> </w:t>
      </w:r>
      <w:r w:rsidRPr="00BB6220">
        <w:t>of</w:t>
      </w:r>
      <w:r w:rsidR="003D640C">
        <w:t xml:space="preserve"> </w:t>
      </w:r>
      <w:r w:rsidRPr="00BB6220">
        <w:t>origin,</w:t>
      </w:r>
      <w:r w:rsidR="003D640C">
        <w:t xml:space="preserve"> </w:t>
      </w:r>
      <w:r w:rsidRPr="00BB6220">
        <w:t>the</w:t>
      </w:r>
      <w:r w:rsidR="003D640C">
        <w:t xml:space="preserve"> </w:t>
      </w:r>
      <w:r w:rsidRPr="00BB6220">
        <w:t>church</w:t>
      </w:r>
      <w:r w:rsidR="003D640C">
        <w:t xml:space="preserve"> </w:t>
      </w:r>
      <w:r w:rsidRPr="00BB6220">
        <w:t>that</w:t>
      </w:r>
      <w:r w:rsidR="003D640C">
        <w:t xml:space="preserve"> </w:t>
      </w:r>
      <w:r w:rsidRPr="00BB6220">
        <w:t>led</w:t>
      </w:r>
      <w:r w:rsidR="003D640C">
        <w:t xml:space="preserve"> </w:t>
      </w:r>
      <w:r w:rsidRPr="00BB6220">
        <w:t>the</w:t>
      </w:r>
      <w:r w:rsidR="003D640C">
        <w:t xml:space="preserve"> </w:t>
      </w:r>
      <w:r w:rsidRPr="00BB6220">
        <w:t>conversion</w:t>
      </w:r>
      <w:r w:rsidR="003D640C">
        <w:t xml:space="preserve"> </w:t>
      </w:r>
      <w:r w:rsidRPr="00BB6220">
        <w:t>practices</w:t>
      </w:r>
      <w:r w:rsidR="003D640C">
        <w:t xml:space="preserve"> </w:t>
      </w:r>
      <w:r w:rsidRPr="00BB6220">
        <w:t>engaged</w:t>
      </w:r>
      <w:r w:rsidR="003D640C">
        <w:t xml:space="preserve"> </w:t>
      </w:r>
      <w:r w:rsidRPr="00BB6220">
        <w:t>medical</w:t>
      </w:r>
      <w:r w:rsidR="003D640C">
        <w:t xml:space="preserve"> </w:t>
      </w:r>
      <w:r w:rsidRPr="00BB6220">
        <w:t>professionals</w:t>
      </w:r>
      <w:r w:rsidR="003D640C">
        <w:t xml:space="preserve"> </w:t>
      </w:r>
      <w:r w:rsidRPr="00BB6220">
        <w:t>employed</w:t>
      </w:r>
      <w:r w:rsidR="003D640C">
        <w:t xml:space="preserve"> </w:t>
      </w:r>
      <w:r w:rsidRPr="00BB6220">
        <w:t>in</w:t>
      </w:r>
      <w:r w:rsidR="003D640C">
        <w:t xml:space="preserve"> </w:t>
      </w:r>
      <w:r w:rsidRPr="00BB6220">
        <w:t>the</w:t>
      </w:r>
      <w:r w:rsidR="003D640C">
        <w:t xml:space="preserve"> </w:t>
      </w:r>
      <w:r w:rsidRPr="00BB6220">
        <w:t>public</w:t>
      </w:r>
      <w:r w:rsidR="003D640C">
        <w:t xml:space="preserve"> </w:t>
      </w:r>
      <w:r w:rsidRPr="00BB6220">
        <w:t>system</w:t>
      </w:r>
      <w:r w:rsidR="003D640C">
        <w:t xml:space="preserve"> </w:t>
      </w:r>
      <w:r w:rsidRPr="00BB6220">
        <w:t>to</w:t>
      </w:r>
      <w:r w:rsidR="003D640C">
        <w:t xml:space="preserve"> </w:t>
      </w:r>
      <w:r w:rsidRPr="00BB6220">
        <w:t>deliver</w:t>
      </w:r>
      <w:r w:rsidR="003D640C">
        <w:t xml:space="preserve"> </w:t>
      </w:r>
      <w:r w:rsidRPr="00BB6220">
        <w:t>these</w:t>
      </w:r>
      <w:r w:rsidR="003D640C">
        <w:t xml:space="preserve"> </w:t>
      </w:r>
      <w:r w:rsidR="23A4ED91" w:rsidRPr="00BB6220">
        <w:t>‘</w:t>
      </w:r>
      <w:r w:rsidR="76791EAB" w:rsidRPr="00BB6220">
        <w:t>treatments</w:t>
      </w:r>
      <w:r w:rsidR="3C5CDC8B" w:rsidRPr="00BB6220">
        <w:t>’</w:t>
      </w:r>
      <w:r w:rsidR="76791EAB" w:rsidRPr="00BB6220">
        <w:t>.</w:t>
      </w:r>
      <w:r w:rsidR="003D640C">
        <w:t xml:space="preserve"> </w:t>
      </w:r>
      <w:r w:rsidRPr="00BB6220">
        <w:t>The</w:t>
      </w:r>
      <w:r w:rsidR="003D640C">
        <w:t xml:space="preserve"> </w:t>
      </w:r>
      <w:r w:rsidRPr="00BB6220">
        <w:t>presence</w:t>
      </w:r>
      <w:r w:rsidR="003D640C">
        <w:t xml:space="preserve"> </w:t>
      </w:r>
      <w:r w:rsidRPr="00BB6220">
        <w:t>of</w:t>
      </w:r>
      <w:r w:rsidR="003D640C">
        <w:t xml:space="preserve"> </w:t>
      </w:r>
      <w:r w:rsidRPr="00BB6220">
        <w:t>these</w:t>
      </w:r>
      <w:r w:rsidR="003D640C">
        <w:t xml:space="preserve"> </w:t>
      </w:r>
      <w:r w:rsidRPr="00BB6220">
        <w:t>people</w:t>
      </w:r>
      <w:r w:rsidR="003D640C">
        <w:t xml:space="preserve"> </w:t>
      </w:r>
      <w:r w:rsidRPr="00BB6220">
        <w:t>as</w:t>
      </w:r>
      <w:r w:rsidR="003D640C">
        <w:t xml:space="preserve"> </w:t>
      </w:r>
      <w:r w:rsidRPr="00BB6220">
        <w:t>registered</w:t>
      </w:r>
      <w:r w:rsidR="003D640C">
        <w:t xml:space="preserve"> </w:t>
      </w:r>
      <w:r w:rsidRPr="00BB6220">
        <w:t>professionals,</w:t>
      </w:r>
      <w:r w:rsidR="003D640C">
        <w:t xml:space="preserve"> </w:t>
      </w:r>
      <w:r w:rsidRPr="00BB6220">
        <w:t>undertaking</w:t>
      </w:r>
      <w:r w:rsidR="003D640C">
        <w:t xml:space="preserve"> </w:t>
      </w:r>
      <w:r w:rsidRPr="00BB6220">
        <w:t>unethical</w:t>
      </w:r>
      <w:r w:rsidR="003D640C">
        <w:t xml:space="preserve"> </w:t>
      </w:r>
      <w:r w:rsidRPr="00BB6220">
        <w:t>treatments,</w:t>
      </w:r>
      <w:r w:rsidR="003D640C">
        <w:t xml:space="preserve"> </w:t>
      </w:r>
      <w:r w:rsidRPr="00BB6220">
        <w:t>calls</w:t>
      </w:r>
      <w:r w:rsidR="003D640C">
        <w:t xml:space="preserve"> </w:t>
      </w:r>
      <w:r w:rsidRPr="00BB6220">
        <w:t>the</w:t>
      </w:r>
      <w:r w:rsidR="003D640C">
        <w:t xml:space="preserve"> </w:t>
      </w:r>
      <w:r w:rsidRPr="00BB6220">
        <w:t>regulatory</w:t>
      </w:r>
      <w:r w:rsidR="003D640C">
        <w:t xml:space="preserve"> </w:t>
      </w:r>
      <w:r w:rsidRPr="00BB6220">
        <w:t>system</w:t>
      </w:r>
      <w:r w:rsidR="003D640C">
        <w:t xml:space="preserve"> </w:t>
      </w:r>
      <w:r w:rsidRPr="00BB6220">
        <w:t>into</w:t>
      </w:r>
      <w:r w:rsidR="003D640C">
        <w:t xml:space="preserve"> </w:t>
      </w:r>
      <w:r w:rsidRPr="00BB6220">
        <w:t>question.</w:t>
      </w:r>
      <w:r w:rsidR="003D640C">
        <w:t xml:space="preserve"> </w:t>
      </w:r>
      <w:r w:rsidRPr="00BB6220">
        <w:t>Furthermore,</w:t>
      </w:r>
      <w:r w:rsidR="003D640C">
        <w:t xml:space="preserve"> </w:t>
      </w:r>
      <w:r w:rsidRPr="00BB6220">
        <w:t>these</w:t>
      </w:r>
      <w:r w:rsidR="003D640C">
        <w:t xml:space="preserve"> </w:t>
      </w:r>
      <w:r w:rsidRPr="00BB6220">
        <w:t>people</w:t>
      </w:r>
      <w:r w:rsidR="003D640C">
        <w:t xml:space="preserve"> </w:t>
      </w:r>
      <w:r w:rsidRPr="00BB6220">
        <w:t>were</w:t>
      </w:r>
      <w:r w:rsidR="003D640C">
        <w:t xml:space="preserve"> </w:t>
      </w:r>
      <w:r w:rsidRPr="00BB6220">
        <w:t>powerful</w:t>
      </w:r>
      <w:r w:rsidR="003D640C">
        <w:t xml:space="preserve"> </w:t>
      </w:r>
      <w:r w:rsidRPr="00BB6220">
        <w:t>in</w:t>
      </w:r>
      <w:r w:rsidR="003D640C">
        <w:t xml:space="preserve"> </w:t>
      </w:r>
      <w:r w:rsidRPr="00BB6220">
        <w:t>my</w:t>
      </w:r>
      <w:r w:rsidR="003D640C">
        <w:t xml:space="preserve"> </w:t>
      </w:r>
      <w:r w:rsidRPr="00BB6220">
        <w:t>community</w:t>
      </w:r>
      <w:r w:rsidR="003D640C">
        <w:t xml:space="preserve"> </w:t>
      </w:r>
      <w:r w:rsidRPr="00BB6220">
        <w:t>while</w:t>
      </w:r>
      <w:r w:rsidR="003D640C">
        <w:t xml:space="preserve"> </w:t>
      </w:r>
      <w:r w:rsidRPr="00BB6220">
        <w:t>I</w:t>
      </w:r>
      <w:r w:rsidR="003D640C">
        <w:t xml:space="preserve"> </w:t>
      </w:r>
      <w:r w:rsidRPr="00BB6220">
        <w:t>have</w:t>
      </w:r>
      <w:r w:rsidR="003D640C">
        <w:t xml:space="preserve"> </w:t>
      </w:r>
      <w:r w:rsidRPr="00BB6220">
        <w:t>struggled</w:t>
      </w:r>
      <w:r w:rsidR="003D640C">
        <w:t xml:space="preserve"> </w:t>
      </w:r>
      <w:r w:rsidRPr="00BB6220">
        <w:t>to</w:t>
      </w:r>
      <w:r w:rsidR="003D640C">
        <w:t xml:space="preserve"> </w:t>
      </w:r>
      <w:r w:rsidRPr="00BB6220">
        <w:t>advance</w:t>
      </w:r>
      <w:r w:rsidR="003D640C">
        <w:t xml:space="preserve"> </w:t>
      </w:r>
      <w:r w:rsidRPr="00BB6220">
        <w:t>my</w:t>
      </w:r>
      <w:r w:rsidR="003D640C">
        <w:t xml:space="preserve"> </w:t>
      </w:r>
      <w:r w:rsidRPr="00BB6220">
        <w:t>career</w:t>
      </w:r>
      <w:r w:rsidR="003D640C">
        <w:t xml:space="preserve"> </w:t>
      </w:r>
      <w:r w:rsidRPr="00BB6220">
        <w:t>against</w:t>
      </w:r>
      <w:r w:rsidR="003D640C">
        <w:t xml:space="preserve"> </w:t>
      </w:r>
      <w:r w:rsidRPr="00BB6220">
        <w:t>the</w:t>
      </w:r>
      <w:r w:rsidR="003D640C">
        <w:t xml:space="preserve"> </w:t>
      </w:r>
      <w:r w:rsidRPr="00BB6220">
        <w:t>stigma</w:t>
      </w:r>
      <w:r w:rsidR="003D640C">
        <w:t xml:space="preserve"> </w:t>
      </w:r>
      <w:r w:rsidRPr="00BB6220">
        <w:t>of</w:t>
      </w:r>
      <w:r w:rsidR="003D640C">
        <w:t xml:space="preserve"> </w:t>
      </w:r>
      <w:r w:rsidRPr="00BB6220">
        <w:t>being</w:t>
      </w:r>
      <w:r w:rsidR="003D640C">
        <w:t xml:space="preserve"> </w:t>
      </w:r>
      <w:r w:rsidRPr="00BB6220">
        <w:t>Māori,</w:t>
      </w:r>
      <w:r w:rsidR="003D640C">
        <w:t xml:space="preserve"> </w:t>
      </w:r>
      <w:r w:rsidRPr="00BB6220">
        <w:t>Pasifika</w:t>
      </w:r>
      <w:r w:rsidR="003D640C">
        <w:t xml:space="preserve"> </w:t>
      </w:r>
      <w:r w:rsidRPr="00BB6220">
        <w:t>and</w:t>
      </w:r>
      <w:r w:rsidR="003D640C">
        <w:t xml:space="preserve"> </w:t>
      </w:r>
      <w:r w:rsidRPr="00BB6220">
        <w:t>LGBTIQA+</w:t>
      </w:r>
      <w:r w:rsidR="00E3388E">
        <w:t>/</w:t>
      </w:r>
      <w:r w:rsidRPr="00BB6220">
        <w:t>MVPFAFF+</w:t>
      </w:r>
      <w:r w:rsidR="050D3922" w:rsidRPr="00BB6220">
        <w:t>.</w:t>
      </w:r>
      <w:r w:rsidRPr="00BB6220">
        <w:t>”</w:t>
      </w:r>
      <w:r w:rsidR="003D640C">
        <w:t xml:space="preserve"> </w:t>
      </w:r>
      <w:r w:rsidRPr="00BB6220">
        <w:t>Māori/Tongan</w:t>
      </w:r>
      <w:r w:rsidR="2FF8A6F3" w:rsidRPr="00BB6220">
        <w:t>,</w:t>
      </w:r>
      <w:r w:rsidR="003D640C">
        <w:t xml:space="preserve"> </w:t>
      </w:r>
      <w:r w:rsidR="2FF8A6F3" w:rsidRPr="00BB6220">
        <w:t>male</w:t>
      </w:r>
    </w:p>
    <w:p w14:paraId="29A912F6" w14:textId="0B7328D3" w:rsidR="00552536" w:rsidRPr="00BB6220" w:rsidRDefault="00035BAF" w:rsidP="00747446">
      <w:r w:rsidRPr="00BB6220">
        <w:t>Within</w:t>
      </w:r>
      <w:r w:rsidR="003D640C">
        <w:t xml:space="preserve"> </w:t>
      </w:r>
      <w:r w:rsidRPr="00BB6220">
        <w:t>religious</w:t>
      </w:r>
      <w:r w:rsidR="003D640C">
        <w:t xml:space="preserve"> </w:t>
      </w:r>
      <w:r w:rsidRPr="00BB6220">
        <w:t>settings,</w:t>
      </w:r>
      <w:r w:rsidR="003D640C">
        <w:t xml:space="preserve"> </w:t>
      </w:r>
      <w:r w:rsidRPr="00BB6220">
        <w:t>some</w:t>
      </w:r>
      <w:r w:rsidR="003D640C">
        <w:t xml:space="preserve"> </w:t>
      </w:r>
      <w:r w:rsidRPr="00BB6220">
        <w:t>survivors</w:t>
      </w:r>
      <w:r w:rsidR="003D640C">
        <w:t xml:space="preserve"> </w:t>
      </w:r>
      <w:r w:rsidRPr="00BB6220">
        <w:t>noted</w:t>
      </w:r>
      <w:r w:rsidR="003D640C">
        <w:t xml:space="preserve"> </w:t>
      </w:r>
      <w:r w:rsidRPr="00BB6220">
        <w:t>their</w:t>
      </w:r>
      <w:r w:rsidR="003D640C">
        <w:t xml:space="preserve"> </w:t>
      </w:r>
      <w:r w:rsidRPr="00BB6220">
        <w:t>parents</w:t>
      </w:r>
      <w:r w:rsidR="003D640C">
        <w:t xml:space="preserve"> </w:t>
      </w:r>
      <w:r w:rsidRPr="00BB6220">
        <w:t>put</w:t>
      </w:r>
      <w:r w:rsidR="003D640C">
        <w:t xml:space="preserve"> </w:t>
      </w:r>
      <w:r w:rsidRPr="00BB6220">
        <w:t>so</w:t>
      </w:r>
      <w:r w:rsidR="003D640C">
        <w:t xml:space="preserve"> </w:t>
      </w:r>
      <w:r w:rsidRPr="00BB6220">
        <w:t>much</w:t>
      </w:r>
      <w:r w:rsidR="003D640C">
        <w:t xml:space="preserve"> </w:t>
      </w:r>
      <w:r w:rsidRPr="00BB6220">
        <w:t>trust</w:t>
      </w:r>
      <w:r w:rsidR="003D640C">
        <w:t xml:space="preserve"> </w:t>
      </w:r>
      <w:r w:rsidRPr="00BB6220">
        <w:t>into</w:t>
      </w:r>
      <w:r w:rsidR="003D640C">
        <w:t xml:space="preserve"> </w:t>
      </w:r>
      <w:r w:rsidRPr="00BB6220">
        <w:t>their</w:t>
      </w:r>
      <w:r w:rsidR="003D640C">
        <w:t xml:space="preserve"> </w:t>
      </w:r>
      <w:r w:rsidRPr="00BB6220">
        <w:t>religious</w:t>
      </w:r>
      <w:r w:rsidR="003D640C">
        <w:t xml:space="preserve"> </w:t>
      </w:r>
      <w:r w:rsidRPr="00BB6220">
        <w:t>leaders</w:t>
      </w:r>
      <w:r w:rsidR="003D640C">
        <w:t xml:space="preserve"> </w:t>
      </w:r>
      <w:r w:rsidRPr="00BB6220">
        <w:t>they</w:t>
      </w:r>
      <w:r w:rsidR="003D640C">
        <w:t xml:space="preserve"> </w:t>
      </w:r>
      <w:r w:rsidR="00324C99" w:rsidRPr="00BB6220">
        <w:t>did</w:t>
      </w:r>
      <w:r w:rsidR="003D640C">
        <w:t xml:space="preserve"> </w:t>
      </w:r>
      <w:r w:rsidR="00324C99" w:rsidRPr="00BB6220">
        <w:t>not</w:t>
      </w:r>
      <w:r w:rsidR="003D640C">
        <w:t xml:space="preserve"> </w:t>
      </w:r>
      <w:r w:rsidR="00324C99" w:rsidRPr="00BB6220">
        <w:t>realise</w:t>
      </w:r>
      <w:r w:rsidR="003D640C">
        <w:t xml:space="preserve"> </w:t>
      </w:r>
      <w:r w:rsidRPr="00BB6220">
        <w:t>their</w:t>
      </w:r>
      <w:r w:rsidR="003D640C">
        <w:t xml:space="preserve"> </w:t>
      </w:r>
      <w:r w:rsidRPr="00BB6220">
        <w:t>child</w:t>
      </w:r>
      <w:r w:rsidR="003D640C">
        <w:t xml:space="preserve"> </w:t>
      </w:r>
      <w:r w:rsidRPr="00BB6220">
        <w:t>was</w:t>
      </w:r>
      <w:r w:rsidR="003D640C">
        <w:t xml:space="preserve"> </w:t>
      </w:r>
      <w:r w:rsidRPr="00BB6220">
        <w:t>going</w:t>
      </w:r>
      <w:r w:rsidR="003D640C">
        <w:t xml:space="preserve"> </w:t>
      </w:r>
      <w:r w:rsidRPr="00BB6220">
        <w:t>through</w:t>
      </w:r>
      <w:r w:rsidR="003D640C">
        <w:t xml:space="preserve"> </w:t>
      </w:r>
      <w:r w:rsidRPr="00BB6220">
        <w:t>conversion</w:t>
      </w:r>
      <w:r w:rsidR="003D640C">
        <w:t xml:space="preserve"> </w:t>
      </w:r>
      <w:r w:rsidRPr="00BB6220">
        <w:t>practices.</w:t>
      </w:r>
      <w:r w:rsidR="003D640C">
        <w:t xml:space="preserve"> </w:t>
      </w:r>
      <w:r w:rsidRPr="00BB6220">
        <w:t>They</w:t>
      </w:r>
      <w:r w:rsidR="003D640C">
        <w:t xml:space="preserve"> </w:t>
      </w:r>
      <w:r w:rsidRPr="00BB6220">
        <w:t>stated</w:t>
      </w:r>
      <w:r w:rsidRPr="00BB6220" w:rsidDel="00324C99">
        <w:t>,</w:t>
      </w:r>
      <w:r w:rsidR="003D640C">
        <w:t xml:space="preserve"> </w:t>
      </w:r>
      <w:r w:rsidRPr="00BB6220">
        <w:t>“a</w:t>
      </w:r>
      <w:r w:rsidR="003D640C">
        <w:t xml:space="preserve"> </w:t>
      </w:r>
      <w:r w:rsidRPr="00BB6220">
        <w:t>lot</w:t>
      </w:r>
      <w:r w:rsidR="003D640C">
        <w:t xml:space="preserve"> </w:t>
      </w:r>
      <w:r w:rsidRPr="00BB6220">
        <w:t>of</w:t>
      </w:r>
      <w:r w:rsidR="003D640C">
        <w:t xml:space="preserve"> </w:t>
      </w:r>
      <w:r w:rsidRPr="00BB6220">
        <w:t>people</w:t>
      </w:r>
      <w:r w:rsidR="003D640C">
        <w:t xml:space="preserve"> </w:t>
      </w:r>
      <w:r w:rsidRPr="00BB6220">
        <w:t>end</w:t>
      </w:r>
      <w:r w:rsidR="003D640C">
        <w:t xml:space="preserve"> </w:t>
      </w:r>
      <w:r w:rsidRPr="00BB6220">
        <w:t>up</w:t>
      </w:r>
      <w:r w:rsidR="003D640C">
        <w:t xml:space="preserve"> </w:t>
      </w:r>
      <w:r w:rsidRPr="00BB6220">
        <w:t>in</w:t>
      </w:r>
      <w:r w:rsidR="003D640C">
        <w:t xml:space="preserve"> </w:t>
      </w:r>
      <w:r w:rsidRPr="00BB6220">
        <w:t>conversion</w:t>
      </w:r>
      <w:r w:rsidR="003D640C">
        <w:t xml:space="preserve"> </w:t>
      </w:r>
      <w:r w:rsidRPr="00BB6220">
        <w:t>[practice]</w:t>
      </w:r>
      <w:r w:rsidR="003D640C">
        <w:t xml:space="preserve"> </w:t>
      </w:r>
      <w:r w:rsidRPr="00BB6220">
        <w:t>situations</w:t>
      </w:r>
      <w:r w:rsidR="003D640C">
        <w:t xml:space="preserve"> </w:t>
      </w:r>
      <w:r w:rsidRPr="00BB6220">
        <w:t>because</w:t>
      </w:r>
      <w:r w:rsidR="003D640C">
        <w:t xml:space="preserve"> </w:t>
      </w:r>
      <w:r w:rsidRPr="00BB6220">
        <w:t>they</w:t>
      </w:r>
      <w:r w:rsidR="003D640C">
        <w:t xml:space="preserve"> </w:t>
      </w:r>
      <w:r w:rsidRPr="00BB6220">
        <w:t>are</w:t>
      </w:r>
      <w:r w:rsidR="003D640C">
        <w:t xml:space="preserve"> </w:t>
      </w:r>
      <w:r w:rsidRPr="00BB6220">
        <w:t>being</w:t>
      </w:r>
      <w:r w:rsidR="003D640C">
        <w:t xml:space="preserve"> </w:t>
      </w:r>
      <w:r w:rsidRPr="00BB6220">
        <w:t>counselled</w:t>
      </w:r>
      <w:r w:rsidR="003D640C">
        <w:t xml:space="preserve"> </w:t>
      </w:r>
      <w:r w:rsidRPr="00BB6220">
        <w:t>for</w:t>
      </w:r>
      <w:r w:rsidR="003D640C">
        <w:t xml:space="preserve"> </w:t>
      </w:r>
      <w:r w:rsidRPr="00BB6220">
        <w:t>a</w:t>
      </w:r>
      <w:r w:rsidR="003D640C">
        <w:t xml:space="preserve"> </w:t>
      </w:r>
      <w:r w:rsidRPr="00BB6220">
        <w:t>different</w:t>
      </w:r>
      <w:r w:rsidR="003D640C">
        <w:t xml:space="preserve"> </w:t>
      </w:r>
      <w:r w:rsidRPr="00BB6220">
        <w:t>mental</w:t>
      </w:r>
      <w:r w:rsidR="003D640C">
        <w:t xml:space="preserve"> </w:t>
      </w:r>
      <w:r w:rsidRPr="00BB6220">
        <w:t>health</w:t>
      </w:r>
      <w:r w:rsidR="003D640C">
        <w:t xml:space="preserve"> </w:t>
      </w:r>
      <w:r w:rsidRPr="00BB6220">
        <w:t>problem</w:t>
      </w:r>
      <w:r w:rsidR="003D640C">
        <w:t xml:space="preserve"> </w:t>
      </w:r>
      <w:r w:rsidRPr="00BB6220">
        <w:t>by</w:t>
      </w:r>
      <w:r w:rsidR="003D640C">
        <w:t xml:space="preserve"> </w:t>
      </w:r>
      <w:r w:rsidRPr="00BB6220">
        <w:t>a</w:t>
      </w:r>
      <w:r w:rsidR="003D640C">
        <w:t xml:space="preserve"> </w:t>
      </w:r>
      <w:r w:rsidRPr="00BB6220">
        <w:t>religious</w:t>
      </w:r>
      <w:r w:rsidR="003D640C">
        <w:t xml:space="preserve"> </w:t>
      </w:r>
      <w:r w:rsidRPr="00BB6220">
        <w:t>or</w:t>
      </w:r>
      <w:r w:rsidR="003D640C">
        <w:t xml:space="preserve"> </w:t>
      </w:r>
      <w:r w:rsidRPr="00BB6220">
        <w:t>cultural</w:t>
      </w:r>
      <w:r w:rsidR="003D640C">
        <w:t xml:space="preserve"> </w:t>
      </w:r>
      <w:r w:rsidRPr="00BB6220">
        <w:t>counsellor</w:t>
      </w:r>
      <w:r w:rsidR="00C36F9C">
        <w:t>.</w:t>
      </w:r>
      <w:r w:rsidR="59B32ABC" w:rsidRPr="00BB6220">
        <w:t>”</w:t>
      </w:r>
      <w:r w:rsidR="003D640C">
        <w:t xml:space="preserve"> </w:t>
      </w:r>
      <w:r w:rsidRPr="00BB6220">
        <w:t>S</w:t>
      </w:r>
      <w:r w:rsidR="00935A92" w:rsidRPr="00BB6220">
        <w:t>urvivors</w:t>
      </w:r>
      <w:r w:rsidR="003D640C">
        <w:t xml:space="preserve"> </w:t>
      </w:r>
      <w:r w:rsidR="00935A92" w:rsidRPr="00BB6220">
        <w:t>recounted</w:t>
      </w:r>
      <w:r w:rsidR="003D640C">
        <w:t xml:space="preserve"> </w:t>
      </w:r>
      <w:r w:rsidRPr="00BB6220">
        <w:t>‘mentoring’</w:t>
      </w:r>
      <w:r w:rsidR="003D640C">
        <w:t xml:space="preserve"> </w:t>
      </w:r>
      <w:r w:rsidRPr="00BB6220">
        <w:t>from</w:t>
      </w:r>
      <w:r w:rsidR="003D640C">
        <w:t xml:space="preserve"> </w:t>
      </w:r>
      <w:r w:rsidRPr="00BB6220">
        <w:t>leadership</w:t>
      </w:r>
      <w:r w:rsidR="003D640C">
        <w:t xml:space="preserve"> </w:t>
      </w:r>
      <w:r w:rsidRPr="00BB6220">
        <w:t>and</w:t>
      </w:r>
      <w:r w:rsidR="003D640C">
        <w:t xml:space="preserve"> </w:t>
      </w:r>
      <w:r w:rsidRPr="00BB6220">
        <w:t>conversations</w:t>
      </w:r>
      <w:r w:rsidR="003D640C">
        <w:t xml:space="preserve"> </w:t>
      </w:r>
      <w:r w:rsidRPr="00BB6220">
        <w:t>about</w:t>
      </w:r>
      <w:r w:rsidR="003D640C">
        <w:t xml:space="preserve"> </w:t>
      </w:r>
      <w:r w:rsidR="00C811D0" w:rsidRPr="00BB6220">
        <w:t>‘</w:t>
      </w:r>
      <w:r w:rsidRPr="00BB6220">
        <w:t>worthiness</w:t>
      </w:r>
      <w:r w:rsidR="00C811D0" w:rsidRPr="00BB6220">
        <w:t>’</w:t>
      </w:r>
      <w:r w:rsidR="003D640C">
        <w:t xml:space="preserve"> </w:t>
      </w:r>
      <w:r w:rsidRPr="00BB6220">
        <w:t>and</w:t>
      </w:r>
      <w:r w:rsidR="003D640C">
        <w:t xml:space="preserve"> </w:t>
      </w:r>
      <w:r w:rsidRPr="00BB6220">
        <w:t>how</w:t>
      </w:r>
      <w:r w:rsidR="003D640C">
        <w:t xml:space="preserve"> </w:t>
      </w:r>
      <w:r w:rsidRPr="00BB6220">
        <w:t>to</w:t>
      </w:r>
      <w:r w:rsidR="003D640C">
        <w:t xml:space="preserve"> </w:t>
      </w:r>
      <w:r w:rsidRPr="00BB6220">
        <w:t>be</w:t>
      </w:r>
      <w:r w:rsidR="003D640C">
        <w:t xml:space="preserve"> </w:t>
      </w:r>
      <w:r w:rsidRPr="00BB6220">
        <w:t>sexually</w:t>
      </w:r>
      <w:r w:rsidR="003D640C">
        <w:t xml:space="preserve"> </w:t>
      </w:r>
      <w:r w:rsidRPr="00BB6220">
        <w:t>pure.</w:t>
      </w:r>
    </w:p>
    <w:p w14:paraId="3A53BCE3" w14:textId="411F3A10" w:rsidR="00035BAF" w:rsidRPr="00BB6220" w:rsidRDefault="00035BAF" w:rsidP="002C6363">
      <w:pPr>
        <w:pStyle w:val="Heading3"/>
      </w:pPr>
      <w:bookmarkStart w:id="270" w:name="_Toc758915360"/>
      <w:bookmarkStart w:id="271" w:name="_Toc174628676"/>
      <w:bookmarkStart w:id="272" w:name="_Toc167780616"/>
      <w:r w:rsidRPr="00BB6220">
        <w:t>Preventi</w:t>
      </w:r>
      <w:r w:rsidR="01D214F3" w:rsidRPr="00BB6220">
        <w:t>ng</w:t>
      </w:r>
      <w:r w:rsidR="003D640C">
        <w:t xml:space="preserve"> </w:t>
      </w:r>
      <w:r w:rsidR="007905CF" w:rsidRPr="00BB6220">
        <w:t>conversion</w:t>
      </w:r>
      <w:r w:rsidR="003D640C">
        <w:t xml:space="preserve"> </w:t>
      </w:r>
      <w:r w:rsidR="007905CF" w:rsidRPr="00BB6220">
        <w:t>practices</w:t>
      </w:r>
      <w:r w:rsidR="003D640C">
        <w:t xml:space="preserve"> </w:t>
      </w:r>
      <w:r w:rsidRPr="00BB6220">
        <w:t>and</w:t>
      </w:r>
      <w:r w:rsidR="003D640C">
        <w:t xml:space="preserve"> </w:t>
      </w:r>
      <w:r w:rsidR="001D18E2" w:rsidRPr="00BB6220">
        <w:t>affirm</w:t>
      </w:r>
      <w:r w:rsidR="007905CF" w:rsidRPr="00BB6220">
        <w:t>ing</w:t>
      </w:r>
      <w:r w:rsidR="003D640C">
        <w:t xml:space="preserve"> </w:t>
      </w:r>
      <w:r w:rsidR="00BC382F" w:rsidRPr="00BB6220">
        <w:t>Rainbow</w:t>
      </w:r>
      <w:r w:rsidR="003D640C">
        <w:t xml:space="preserve"> </w:t>
      </w:r>
      <w:r w:rsidR="001D18E2" w:rsidRPr="00BB6220">
        <w:t>and</w:t>
      </w:r>
      <w:r w:rsidR="003D640C">
        <w:t xml:space="preserve"> </w:t>
      </w:r>
      <w:r w:rsidR="001D18E2" w:rsidRPr="00BB6220">
        <w:t>MVPFAFF+</w:t>
      </w:r>
      <w:r w:rsidR="003D640C">
        <w:t xml:space="preserve"> </w:t>
      </w:r>
      <w:r w:rsidRPr="00BB6220">
        <w:t>Pacific</w:t>
      </w:r>
      <w:r w:rsidR="003D640C">
        <w:t xml:space="preserve"> </w:t>
      </w:r>
      <w:r w:rsidR="00234A6F">
        <w:t>p</w:t>
      </w:r>
      <w:r w:rsidR="00F408E7" w:rsidRPr="00BB6220">
        <w:t>eople</w:t>
      </w:r>
      <w:r w:rsidR="00234A6F">
        <w:t>s</w:t>
      </w:r>
      <w:bookmarkEnd w:id="270"/>
      <w:bookmarkEnd w:id="271"/>
      <w:r w:rsidR="003D640C">
        <w:t xml:space="preserve"> </w:t>
      </w:r>
      <w:bookmarkEnd w:id="272"/>
    </w:p>
    <w:p w14:paraId="4D3206E3" w14:textId="2CF76963" w:rsidR="000637D2" w:rsidRPr="00BB6220" w:rsidRDefault="00035BAF" w:rsidP="00747446">
      <w:r w:rsidRPr="00BB6220">
        <w:t>Long</w:t>
      </w:r>
      <w:r w:rsidR="001539BC">
        <w:t>-</w:t>
      </w:r>
      <w:r w:rsidRPr="00BB6220">
        <w:t>term</w:t>
      </w:r>
      <w:r w:rsidR="003D640C">
        <w:t xml:space="preserve"> </w:t>
      </w:r>
      <w:r w:rsidRPr="00BB6220">
        <w:t>prevention</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for</w:t>
      </w:r>
      <w:r w:rsidR="003D640C">
        <w:t xml:space="preserve"> </w:t>
      </w:r>
      <w:r w:rsidR="006A7AD9" w:rsidRPr="00BB6220">
        <w:t>P</w:t>
      </w:r>
      <w:r w:rsidRPr="00BB6220">
        <w:t>acific</w:t>
      </w:r>
      <w:r w:rsidR="003D640C">
        <w:t xml:space="preserve"> </w:t>
      </w:r>
      <w:r w:rsidRPr="00BB6220">
        <w:t>peoples</w:t>
      </w:r>
      <w:r w:rsidR="003D640C">
        <w:t xml:space="preserve"> </w:t>
      </w:r>
      <w:r w:rsidRPr="00BB6220">
        <w:t>in</w:t>
      </w:r>
      <w:r w:rsidR="003D640C">
        <w:t xml:space="preserve"> </w:t>
      </w:r>
      <w:r w:rsidRPr="00BB6220">
        <w:t>Aotearoa</w:t>
      </w:r>
      <w:r w:rsidR="003D640C">
        <w:t xml:space="preserve"> </w:t>
      </w:r>
      <w:r w:rsidRPr="00BB6220">
        <w:t>will</w:t>
      </w:r>
      <w:r w:rsidR="003D640C">
        <w:t xml:space="preserve"> </w:t>
      </w:r>
      <w:r w:rsidRPr="00BB6220">
        <w:t>require</w:t>
      </w:r>
      <w:r w:rsidR="003D640C">
        <w:t xml:space="preserve"> </w:t>
      </w:r>
      <w:r w:rsidR="000B4A0C" w:rsidRPr="00BB6220">
        <w:t>P</w:t>
      </w:r>
      <w:r w:rsidRPr="00BB6220">
        <w:t>acific</w:t>
      </w:r>
      <w:r w:rsidR="003D640C">
        <w:t xml:space="preserve"> </w:t>
      </w:r>
      <w:r w:rsidRPr="00BB6220">
        <w:t>leaders</w:t>
      </w:r>
      <w:r w:rsidR="003D640C">
        <w:t xml:space="preserve"> </w:t>
      </w:r>
      <w:r w:rsidRPr="00BB6220">
        <w:t>and</w:t>
      </w:r>
      <w:r w:rsidR="003D640C">
        <w:t xml:space="preserve"> </w:t>
      </w:r>
      <w:r w:rsidRPr="00BB6220">
        <w:t>families</w:t>
      </w:r>
      <w:r w:rsidR="003D640C">
        <w:t xml:space="preserve"> </w:t>
      </w:r>
      <w:r w:rsidRPr="00BB6220">
        <w:t>to</w:t>
      </w:r>
      <w:r w:rsidR="003D640C">
        <w:t xml:space="preserve"> </w:t>
      </w:r>
      <w:r w:rsidRPr="00BB6220">
        <w:t>prioritise</w:t>
      </w:r>
      <w:r w:rsidR="003D640C">
        <w:t xml:space="preserve"> </w:t>
      </w:r>
      <w:r w:rsidRPr="00BB6220">
        <w:t>inclusivity</w:t>
      </w:r>
      <w:r w:rsidR="003D640C">
        <w:t xml:space="preserve"> </w:t>
      </w:r>
      <w:r w:rsidRPr="00BB6220">
        <w:t>for</w:t>
      </w:r>
      <w:r w:rsidR="003D640C">
        <w:t xml:space="preserve"> </w:t>
      </w:r>
      <w:r w:rsidRPr="00BB6220">
        <w:t>their</w:t>
      </w:r>
      <w:r w:rsidR="003D640C">
        <w:t xml:space="preserve"> </w:t>
      </w:r>
      <w:r w:rsidRPr="00BB6220">
        <w:t>MVPFAFF+</w:t>
      </w:r>
      <w:r w:rsidR="003D640C">
        <w:t xml:space="preserve"> </w:t>
      </w:r>
      <w:r w:rsidRPr="00BB6220">
        <w:t>and</w:t>
      </w:r>
      <w:r w:rsidR="003D640C">
        <w:t xml:space="preserve"> </w:t>
      </w:r>
      <w:r w:rsidR="00BC382F" w:rsidRPr="00BB6220">
        <w:t>Rainbow</w:t>
      </w:r>
      <w:r w:rsidR="003D640C">
        <w:t xml:space="preserve"> </w:t>
      </w:r>
      <w:r w:rsidRPr="00BB6220">
        <w:t>loved</w:t>
      </w:r>
      <w:r w:rsidR="003D640C">
        <w:t xml:space="preserve"> </w:t>
      </w:r>
      <w:r w:rsidRPr="00BB6220">
        <w:t>ones.</w:t>
      </w:r>
    </w:p>
    <w:p w14:paraId="7BB411E3" w14:textId="77777777" w:rsidR="00501068" w:rsidRDefault="00035BAF" w:rsidP="00747446">
      <w:r w:rsidRPr="00BB6220">
        <w:t>Survivors</w:t>
      </w:r>
      <w:r w:rsidR="003D640C">
        <w:t xml:space="preserve"> </w:t>
      </w:r>
      <w:r w:rsidRPr="00BB6220">
        <w:t>have</w:t>
      </w:r>
      <w:r w:rsidR="003D640C">
        <w:t xml:space="preserve"> </w:t>
      </w:r>
      <w:r w:rsidRPr="00BB6220">
        <w:t>noted</w:t>
      </w:r>
      <w:r w:rsidR="003D640C">
        <w:t xml:space="preserve"> </w:t>
      </w:r>
      <w:r w:rsidRPr="00BB6220">
        <w:t>the</w:t>
      </w:r>
      <w:r w:rsidR="003D640C">
        <w:t xml:space="preserve"> </w:t>
      </w:r>
      <w:r w:rsidRPr="00BB6220">
        <w:t>need</w:t>
      </w:r>
      <w:r w:rsidR="003D640C">
        <w:t xml:space="preserve"> </w:t>
      </w:r>
      <w:r w:rsidRPr="00BB6220">
        <w:t>to</w:t>
      </w:r>
      <w:r w:rsidR="003D640C">
        <w:t xml:space="preserve"> </w:t>
      </w:r>
      <w:r w:rsidRPr="00BB6220">
        <w:t>look</w:t>
      </w:r>
      <w:r w:rsidR="003D640C">
        <w:t xml:space="preserve"> </w:t>
      </w:r>
      <w:r w:rsidRPr="00BB6220">
        <w:t>to</w:t>
      </w:r>
      <w:r w:rsidR="003D640C">
        <w:t xml:space="preserve"> </w:t>
      </w:r>
      <w:r w:rsidR="003B33D3" w:rsidRPr="00BB6220">
        <w:t>I</w:t>
      </w:r>
      <w:r w:rsidRPr="00BB6220">
        <w:t>ndigenous</w:t>
      </w:r>
      <w:r w:rsidR="003D640C">
        <w:t xml:space="preserve"> </w:t>
      </w:r>
      <w:r w:rsidR="003B33D3" w:rsidRPr="00BB6220">
        <w:t>P</w:t>
      </w:r>
      <w:r w:rsidRPr="00BB6220">
        <w:t>acific</w:t>
      </w:r>
      <w:r w:rsidR="003D640C">
        <w:t xml:space="preserve"> </w:t>
      </w:r>
      <w:r w:rsidRPr="00BB6220">
        <w:t>understandings</w:t>
      </w:r>
      <w:r w:rsidR="003D640C">
        <w:t xml:space="preserve"> </w:t>
      </w:r>
      <w:r w:rsidRPr="00BB6220">
        <w:t>of</w:t>
      </w:r>
      <w:r w:rsidR="003D640C">
        <w:t xml:space="preserve"> </w:t>
      </w:r>
      <w:r w:rsidRPr="00BB6220">
        <w:t>gender,</w:t>
      </w:r>
      <w:r w:rsidR="003D640C">
        <w:t xml:space="preserve"> </w:t>
      </w:r>
      <w:r w:rsidR="00404B18" w:rsidRPr="00BB6220">
        <w:t>sexual</w:t>
      </w:r>
      <w:r w:rsidR="003D640C">
        <w:t xml:space="preserve"> </w:t>
      </w:r>
      <w:r w:rsidR="00404B18" w:rsidRPr="00BB6220">
        <w:t>orientation</w:t>
      </w:r>
      <w:r w:rsidRPr="00BB6220">
        <w:t>,</w:t>
      </w:r>
      <w:r w:rsidR="003D640C">
        <w:t xml:space="preserve"> </w:t>
      </w:r>
      <w:r w:rsidRPr="00BB6220">
        <w:t>and</w:t>
      </w:r>
      <w:r w:rsidR="003D640C">
        <w:t xml:space="preserve"> </w:t>
      </w:r>
      <w:r w:rsidRPr="00BB6220">
        <w:t>identity</w:t>
      </w:r>
      <w:r w:rsidR="003D640C">
        <w:t xml:space="preserve"> </w:t>
      </w:r>
      <w:r w:rsidRPr="00BB6220">
        <w:t>that</w:t>
      </w:r>
      <w:r w:rsidR="003D640C">
        <w:t xml:space="preserve"> </w:t>
      </w:r>
      <w:r w:rsidRPr="00BB6220">
        <w:t>upheld</w:t>
      </w:r>
      <w:r w:rsidR="003D640C">
        <w:t xml:space="preserve"> </w:t>
      </w:r>
      <w:r w:rsidRPr="00BB6220">
        <w:t>inclusion</w:t>
      </w:r>
      <w:r w:rsidR="003D640C">
        <w:t xml:space="preserve"> </w:t>
      </w:r>
      <w:r w:rsidRPr="00BB6220">
        <w:t>of</w:t>
      </w:r>
      <w:r w:rsidR="003D640C">
        <w:t xml:space="preserve"> </w:t>
      </w:r>
      <w:r w:rsidRPr="00BB6220">
        <w:t>MVPFAFF+</w:t>
      </w:r>
      <w:r w:rsidR="003D640C">
        <w:t xml:space="preserve"> </w:t>
      </w:r>
      <w:r w:rsidRPr="00BB6220">
        <w:t>and</w:t>
      </w:r>
      <w:r w:rsidR="003D640C">
        <w:t xml:space="preserve"> </w:t>
      </w:r>
      <w:r w:rsidR="00BC382F" w:rsidRPr="00BB6220">
        <w:t>Rainbow</w:t>
      </w:r>
      <w:r w:rsidR="003D640C">
        <w:t xml:space="preserve"> </w:t>
      </w:r>
      <w:r w:rsidRPr="00BB6220">
        <w:t>identities</w:t>
      </w:r>
      <w:r w:rsidR="003D640C">
        <w:t xml:space="preserve"> </w:t>
      </w:r>
      <w:r w:rsidRPr="00BB6220">
        <w:t>within</w:t>
      </w:r>
      <w:r w:rsidR="003D640C">
        <w:t xml:space="preserve"> </w:t>
      </w:r>
      <w:r w:rsidRPr="00BB6220">
        <w:t>the</w:t>
      </w:r>
      <w:r w:rsidR="003D640C">
        <w:t xml:space="preserve"> </w:t>
      </w:r>
      <w:r w:rsidRPr="00BB6220">
        <w:t>collective.</w:t>
      </w:r>
      <w:r w:rsidR="003D640C">
        <w:t xml:space="preserve"> </w:t>
      </w:r>
      <w:r w:rsidRPr="00BB6220">
        <w:t>Whil</w:t>
      </w:r>
      <w:r w:rsidR="002D1F14" w:rsidRPr="00BB6220">
        <w:t>e</w:t>
      </w:r>
      <w:r w:rsidR="003D640C">
        <w:t xml:space="preserve"> </w:t>
      </w:r>
      <w:r w:rsidRPr="00BB6220">
        <w:t>some</w:t>
      </w:r>
      <w:r w:rsidR="003D640C">
        <w:t xml:space="preserve"> </w:t>
      </w:r>
      <w:r w:rsidRPr="00BB6220">
        <w:t>traditionally</w:t>
      </w:r>
      <w:r w:rsidR="003D640C">
        <w:t xml:space="preserve"> </w:t>
      </w:r>
      <w:r w:rsidRPr="00BB6220">
        <w:t>termed</w:t>
      </w:r>
      <w:r w:rsidR="003D640C">
        <w:t xml:space="preserve"> </w:t>
      </w:r>
      <w:r w:rsidRPr="00BB6220">
        <w:t>identities</w:t>
      </w:r>
      <w:r w:rsidR="003D640C">
        <w:t xml:space="preserve"> </w:t>
      </w:r>
      <w:r w:rsidRPr="00BB6220">
        <w:t>such</w:t>
      </w:r>
      <w:r w:rsidR="003D640C">
        <w:t xml:space="preserve"> </w:t>
      </w:r>
      <w:r w:rsidRPr="00BB6220">
        <w:t>as</w:t>
      </w:r>
      <w:r w:rsidR="003D640C">
        <w:t xml:space="preserve"> </w:t>
      </w:r>
      <w:r w:rsidRPr="00BB6220">
        <w:t>fa’afafine</w:t>
      </w:r>
      <w:r w:rsidR="003D640C">
        <w:t xml:space="preserve"> </w:t>
      </w:r>
      <w:r w:rsidRPr="00BB6220">
        <w:t>have</w:t>
      </w:r>
      <w:r w:rsidR="003D640C">
        <w:t xml:space="preserve"> </w:t>
      </w:r>
      <w:r w:rsidRPr="00BB6220">
        <w:t>continued</w:t>
      </w:r>
      <w:r w:rsidR="003D640C">
        <w:t xml:space="preserve"> </w:t>
      </w:r>
      <w:r w:rsidRPr="00BB6220">
        <w:t>to</w:t>
      </w:r>
      <w:r w:rsidR="003D640C">
        <w:t xml:space="preserve"> </w:t>
      </w:r>
      <w:r w:rsidRPr="00BB6220">
        <w:t>have</w:t>
      </w:r>
      <w:r w:rsidR="003D640C">
        <w:t xml:space="preserve"> </w:t>
      </w:r>
      <w:r w:rsidRPr="00BB6220">
        <w:t>some</w:t>
      </w:r>
      <w:r w:rsidR="003D640C">
        <w:t xml:space="preserve"> </w:t>
      </w:r>
      <w:r w:rsidRPr="00BB6220">
        <w:t>acceptance</w:t>
      </w:r>
      <w:r w:rsidR="000F4CA7" w:rsidRPr="00BB6220">
        <w:t>,</w:t>
      </w:r>
      <w:r w:rsidR="003D640C">
        <w:t xml:space="preserve"> </w:t>
      </w:r>
      <w:r w:rsidRPr="00BB6220">
        <w:t>it</w:t>
      </w:r>
      <w:r w:rsidR="003D640C">
        <w:t xml:space="preserve"> </w:t>
      </w:r>
      <w:r w:rsidRPr="00BB6220">
        <w:t>is</w:t>
      </w:r>
      <w:r w:rsidR="003D640C">
        <w:t xml:space="preserve"> </w:t>
      </w:r>
      <w:r w:rsidRPr="00BB6220">
        <w:t>vital</w:t>
      </w:r>
      <w:r w:rsidR="003D640C">
        <w:t xml:space="preserve"> </w:t>
      </w:r>
      <w:r w:rsidRPr="00BB6220">
        <w:t>this</w:t>
      </w:r>
      <w:r w:rsidR="003D640C">
        <w:t xml:space="preserve"> </w:t>
      </w:r>
      <w:r w:rsidRPr="00BB6220">
        <w:t>acceptance</w:t>
      </w:r>
      <w:r w:rsidR="003D640C">
        <w:t xml:space="preserve"> </w:t>
      </w:r>
      <w:r w:rsidRPr="00BB6220">
        <w:t>is</w:t>
      </w:r>
      <w:r w:rsidR="003D640C">
        <w:t xml:space="preserve"> </w:t>
      </w:r>
      <w:r w:rsidRPr="00BB6220">
        <w:t>expanded</w:t>
      </w:r>
      <w:r w:rsidR="003D640C">
        <w:t xml:space="preserve"> </w:t>
      </w:r>
      <w:r w:rsidRPr="00BB6220">
        <w:t>to</w:t>
      </w:r>
      <w:r w:rsidR="003D640C">
        <w:t xml:space="preserve"> </w:t>
      </w:r>
      <w:r w:rsidRPr="00BB6220">
        <w:t>all</w:t>
      </w:r>
      <w:r w:rsidR="003D640C">
        <w:t xml:space="preserve"> </w:t>
      </w:r>
      <w:r w:rsidRPr="00BB6220">
        <w:t>those</w:t>
      </w:r>
      <w:r w:rsidR="003D640C">
        <w:t xml:space="preserve"> </w:t>
      </w:r>
      <w:r w:rsidRPr="00BB6220">
        <w:t>with</w:t>
      </w:r>
      <w:r w:rsidR="003D640C">
        <w:t xml:space="preserve"> </w:t>
      </w:r>
      <w:r w:rsidR="00BC382F" w:rsidRPr="00BB6220">
        <w:t>R</w:t>
      </w:r>
      <w:r w:rsidRPr="00BB6220">
        <w:t>ainbow</w:t>
      </w:r>
      <w:r w:rsidR="003D640C">
        <w:t xml:space="preserve"> </w:t>
      </w:r>
      <w:r w:rsidRPr="00BB6220">
        <w:t>identities.</w:t>
      </w:r>
      <w:r w:rsidR="003D640C">
        <w:t xml:space="preserve"> </w:t>
      </w:r>
    </w:p>
    <w:p w14:paraId="0656C540" w14:textId="0B818643" w:rsidR="00501068" w:rsidRDefault="00522604" w:rsidP="00747446">
      <w:pPr>
        <w:pStyle w:val="Quote"/>
      </w:pPr>
      <w:r w:rsidRPr="00BB6220">
        <w:t>“</w:t>
      </w:r>
      <w:r w:rsidR="00B4760E" w:rsidRPr="00BB6220">
        <w:t>When</w:t>
      </w:r>
      <w:r w:rsidR="003D640C">
        <w:t xml:space="preserve"> </w:t>
      </w:r>
      <w:r w:rsidR="00B4760E" w:rsidRPr="00BB6220">
        <w:t>I</w:t>
      </w:r>
      <w:r w:rsidR="003D640C">
        <w:t xml:space="preserve"> </w:t>
      </w:r>
      <w:r w:rsidR="00B4760E" w:rsidRPr="00BB6220">
        <w:t>grew</w:t>
      </w:r>
      <w:r w:rsidR="003D640C">
        <w:t xml:space="preserve"> </w:t>
      </w:r>
      <w:r w:rsidR="00B4760E" w:rsidRPr="00BB6220">
        <w:t>up</w:t>
      </w:r>
      <w:r w:rsidR="003D640C">
        <w:t xml:space="preserve"> </w:t>
      </w:r>
      <w:r w:rsidR="00B4760E" w:rsidRPr="00BB6220">
        <w:t>in</w:t>
      </w:r>
      <w:r w:rsidR="003D640C">
        <w:t xml:space="preserve"> </w:t>
      </w:r>
      <w:r w:rsidR="0CB4A34F" w:rsidRPr="00BB6220">
        <w:t>a</w:t>
      </w:r>
      <w:r w:rsidR="003D640C">
        <w:t xml:space="preserve"> </w:t>
      </w:r>
      <w:r w:rsidR="00B4760E" w:rsidRPr="00BB6220">
        <w:t>large</w:t>
      </w:r>
      <w:r w:rsidR="003D640C">
        <w:t xml:space="preserve"> </w:t>
      </w:r>
      <w:r w:rsidR="00B4760E" w:rsidRPr="00BB6220">
        <w:t>church</w:t>
      </w:r>
      <w:r w:rsidR="195F9F63" w:rsidRPr="00BB6220">
        <w:t>-</w:t>
      </w:r>
      <w:r w:rsidR="00B4760E" w:rsidRPr="00BB6220">
        <w:t>going</w:t>
      </w:r>
      <w:r w:rsidR="003D640C">
        <w:t xml:space="preserve"> </w:t>
      </w:r>
      <w:r w:rsidR="00B4760E" w:rsidRPr="00BB6220">
        <w:t>family</w:t>
      </w:r>
      <w:r w:rsidR="00C23770" w:rsidRPr="00BB6220">
        <w:t>,</w:t>
      </w:r>
      <w:r w:rsidR="003D640C">
        <w:t xml:space="preserve"> </w:t>
      </w:r>
      <w:r w:rsidR="00B4760E" w:rsidRPr="00BB6220">
        <w:t>I</w:t>
      </w:r>
      <w:r w:rsidR="003D640C">
        <w:t xml:space="preserve"> </w:t>
      </w:r>
      <w:r w:rsidR="00B4760E" w:rsidRPr="00BB6220">
        <w:t>got</w:t>
      </w:r>
      <w:r w:rsidR="003D640C">
        <w:t xml:space="preserve"> </w:t>
      </w:r>
      <w:r w:rsidR="00B4760E" w:rsidRPr="00BB6220">
        <w:t>the</w:t>
      </w:r>
      <w:r w:rsidR="003D640C">
        <w:t xml:space="preserve"> </w:t>
      </w:r>
      <w:r w:rsidR="00B4760E" w:rsidRPr="00BB6220">
        <w:t>strong</w:t>
      </w:r>
      <w:r w:rsidR="003D640C">
        <w:t xml:space="preserve"> </w:t>
      </w:r>
      <w:r w:rsidR="00B4760E" w:rsidRPr="00BB6220">
        <w:t>message</w:t>
      </w:r>
      <w:r w:rsidR="003D640C">
        <w:t xml:space="preserve"> </w:t>
      </w:r>
      <w:r w:rsidR="00B4760E" w:rsidRPr="00BB6220">
        <w:t>that</w:t>
      </w:r>
      <w:r w:rsidR="003D640C">
        <w:t xml:space="preserve"> </w:t>
      </w:r>
      <w:r w:rsidR="00B4760E" w:rsidRPr="00BB6220">
        <w:t>it</w:t>
      </w:r>
      <w:r w:rsidR="003D640C">
        <w:t xml:space="preserve"> </w:t>
      </w:r>
      <w:r w:rsidR="00B4760E" w:rsidRPr="00BB6220">
        <w:t>wasn’t</w:t>
      </w:r>
      <w:r w:rsidR="003D640C">
        <w:t xml:space="preserve"> </w:t>
      </w:r>
      <w:r w:rsidR="001539BC">
        <w:t xml:space="preserve">OK </w:t>
      </w:r>
      <w:r w:rsidR="00B4760E" w:rsidRPr="00BB6220">
        <w:t>to</w:t>
      </w:r>
      <w:r w:rsidR="003D640C">
        <w:t xml:space="preserve"> </w:t>
      </w:r>
      <w:r w:rsidR="00B4760E" w:rsidRPr="00BB6220">
        <w:t>be</w:t>
      </w:r>
      <w:r w:rsidR="003D640C">
        <w:t xml:space="preserve"> </w:t>
      </w:r>
      <w:r w:rsidR="00B4760E" w:rsidRPr="00BB6220">
        <w:t>who</w:t>
      </w:r>
      <w:r w:rsidR="003D640C">
        <w:t xml:space="preserve"> </w:t>
      </w:r>
      <w:r w:rsidR="00B4760E" w:rsidRPr="00BB6220">
        <w:t>I</w:t>
      </w:r>
      <w:r w:rsidR="003D640C">
        <w:t xml:space="preserve"> </w:t>
      </w:r>
      <w:r w:rsidR="00B4760E" w:rsidRPr="00BB6220">
        <w:t>was</w:t>
      </w:r>
      <w:r w:rsidR="06161F8B" w:rsidRPr="00BB6220">
        <w:t>,</w:t>
      </w:r>
      <w:r w:rsidR="003D640C">
        <w:t xml:space="preserve"> </w:t>
      </w:r>
      <w:r w:rsidR="00B4760E" w:rsidRPr="00BB6220">
        <w:t>that</w:t>
      </w:r>
      <w:r w:rsidR="003D640C">
        <w:t xml:space="preserve"> </w:t>
      </w:r>
      <w:r w:rsidR="00B4760E" w:rsidRPr="00BB6220">
        <w:t>living</w:t>
      </w:r>
      <w:r w:rsidR="003D640C">
        <w:t xml:space="preserve"> </w:t>
      </w:r>
      <w:r w:rsidR="00B4760E" w:rsidRPr="00BB6220">
        <w:t>outside</w:t>
      </w:r>
      <w:r w:rsidR="003D640C">
        <w:t xml:space="preserve"> </w:t>
      </w:r>
      <w:r w:rsidR="00B4760E" w:rsidRPr="00BB6220">
        <w:t>of</w:t>
      </w:r>
      <w:r w:rsidR="003D640C">
        <w:t xml:space="preserve"> </w:t>
      </w:r>
      <w:r w:rsidR="00B4760E" w:rsidRPr="00BB6220">
        <w:t>binary</w:t>
      </w:r>
      <w:r w:rsidR="003D640C">
        <w:t xml:space="preserve"> </w:t>
      </w:r>
      <w:r w:rsidR="00B4760E" w:rsidRPr="00BB6220">
        <w:t>gender</w:t>
      </w:r>
      <w:r w:rsidR="003D640C">
        <w:t xml:space="preserve"> </w:t>
      </w:r>
      <w:r w:rsidR="00B4760E" w:rsidRPr="00BB6220">
        <w:t>and</w:t>
      </w:r>
      <w:r w:rsidR="003D640C">
        <w:t xml:space="preserve"> </w:t>
      </w:r>
      <w:r w:rsidR="00B4760E" w:rsidRPr="00BB6220">
        <w:t>the</w:t>
      </w:r>
      <w:r w:rsidR="003D640C">
        <w:t xml:space="preserve"> </w:t>
      </w:r>
      <w:r w:rsidR="00B4760E" w:rsidRPr="00BB6220">
        <w:t>gender</w:t>
      </w:r>
      <w:r w:rsidR="003D640C">
        <w:t xml:space="preserve"> </w:t>
      </w:r>
      <w:r w:rsidR="00B4760E" w:rsidRPr="00BB6220">
        <w:t>I</w:t>
      </w:r>
      <w:r w:rsidR="003D640C">
        <w:t xml:space="preserve"> </w:t>
      </w:r>
      <w:r w:rsidR="00B4760E" w:rsidRPr="00BB6220">
        <w:t>was</w:t>
      </w:r>
      <w:r w:rsidR="003D640C">
        <w:t xml:space="preserve"> </w:t>
      </w:r>
      <w:r w:rsidR="00B4760E" w:rsidRPr="00BB6220">
        <w:t>assigned</w:t>
      </w:r>
      <w:r w:rsidR="003D640C">
        <w:t xml:space="preserve"> </w:t>
      </w:r>
      <w:r w:rsidR="00B4760E" w:rsidRPr="00BB6220">
        <w:t>at</w:t>
      </w:r>
      <w:r w:rsidR="003D640C">
        <w:t xml:space="preserve"> </w:t>
      </w:r>
      <w:r w:rsidR="00B4760E" w:rsidRPr="00BB6220">
        <w:t>birth</w:t>
      </w:r>
      <w:r w:rsidR="003D640C">
        <w:t xml:space="preserve"> </w:t>
      </w:r>
      <w:r w:rsidR="00B4760E" w:rsidRPr="00BB6220">
        <w:t>was</w:t>
      </w:r>
      <w:r w:rsidR="003D640C">
        <w:t xml:space="preserve"> </w:t>
      </w:r>
      <w:r w:rsidR="00B4760E" w:rsidRPr="00BB6220">
        <w:lastRenderedPageBreak/>
        <w:t>inappropriate,</w:t>
      </w:r>
      <w:r w:rsidR="003D640C">
        <w:t xml:space="preserve"> </w:t>
      </w:r>
      <w:r w:rsidR="00B4760E" w:rsidRPr="00BB6220">
        <w:t>shameful,</w:t>
      </w:r>
      <w:r w:rsidR="003D640C">
        <w:t xml:space="preserve"> </w:t>
      </w:r>
      <w:r w:rsidR="00B4760E" w:rsidRPr="00BB6220">
        <w:t>and</w:t>
      </w:r>
      <w:r w:rsidR="003D640C">
        <w:t xml:space="preserve"> </w:t>
      </w:r>
      <w:r w:rsidR="00B4760E" w:rsidRPr="00BB6220">
        <w:t>disgusting.</w:t>
      </w:r>
      <w:r w:rsidR="003D640C">
        <w:t xml:space="preserve"> </w:t>
      </w:r>
      <w:r w:rsidR="00B4760E" w:rsidRPr="00BB6220">
        <w:t>My</w:t>
      </w:r>
      <w:r w:rsidR="003D640C">
        <w:t xml:space="preserve"> </w:t>
      </w:r>
      <w:r w:rsidR="00B4760E" w:rsidRPr="00BB6220">
        <w:t>experiences</w:t>
      </w:r>
      <w:r w:rsidR="003D640C">
        <w:t xml:space="preserve"> </w:t>
      </w:r>
      <w:r w:rsidR="00B4760E" w:rsidRPr="00BB6220">
        <w:t>of</w:t>
      </w:r>
      <w:r w:rsidR="003D640C">
        <w:t xml:space="preserve"> </w:t>
      </w:r>
      <w:r w:rsidR="00B4760E" w:rsidRPr="00BB6220">
        <w:t>conversion</w:t>
      </w:r>
      <w:r w:rsidR="003D640C">
        <w:t xml:space="preserve"> </w:t>
      </w:r>
      <w:r w:rsidR="00B4760E" w:rsidRPr="00BB6220">
        <w:t>practi</w:t>
      </w:r>
      <w:r w:rsidR="001539BC">
        <w:t>c</w:t>
      </w:r>
      <w:r w:rsidR="00B4760E" w:rsidRPr="00BB6220">
        <w:t>es</w:t>
      </w:r>
      <w:r w:rsidR="003D640C">
        <w:t xml:space="preserve"> </w:t>
      </w:r>
      <w:r w:rsidR="00B4760E" w:rsidRPr="00BB6220">
        <w:t>took</w:t>
      </w:r>
      <w:r w:rsidR="003D640C">
        <w:t xml:space="preserve"> </w:t>
      </w:r>
      <w:r w:rsidR="00B4760E" w:rsidRPr="00BB6220">
        <w:t>place</w:t>
      </w:r>
      <w:r w:rsidR="00747446">
        <w:t xml:space="preserve"> </w:t>
      </w:r>
      <w:r w:rsidR="00B4760E" w:rsidRPr="00BB6220">
        <w:t>amongst</w:t>
      </w:r>
      <w:r w:rsidR="003D640C">
        <w:t xml:space="preserve"> </w:t>
      </w:r>
      <w:r w:rsidR="00B4760E" w:rsidRPr="00BB6220">
        <w:t>both</w:t>
      </w:r>
      <w:r w:rsidR="003D640C">
        <w:t xml:space="preserve"> </w:t>
      </w:r>
      <w:r w:rsidR="00B4760E" w:rsidRPr="00BB6220">
        <w:t>family,</w:t>
      </w:r>
      <w:r w:rsidR="003D640C">
        <w:t xml:space="preserve"> </w:t>
      </w:r>
      <w:r w:rsidR="00B4760E" w:rsidRPr="00BB6220">
        <w:t>church</w:t>
      </w:r>
      <w:r w:rsidR="00E9E6A7" w:rsidRPr="00BB6220">
        <w:t>,</w:t>
      </w:r>
      <w:r w:rsidR="003D640C">
        <w:t xml:space="preserve"> </w:t>
      </w:r>
      <w:r w:rsidR="00B4760E" w:rsidRPr="00BB6220">
        <w:t>and</w:t>
      </w:r>
      <w:r w:rsidR="003D640C">
        <w:t xml:space="preserve"> </w:t>
      </w:r>
      <w:r w:rsidR="00B4760E" w:rsidRPr="00BB6220">
        <w:t>professional</w:t>
      </w:r>
      <w:r w:rsidR="003D640C">
        <w:t xml:space="preserve"> </w:t>
      </w:r>
      <w:r w:rsidR="00B4760E" w:rsidRPr="00BB6220">
        <w:t>settings.</w:t>
      </w:r>
      <w:r w:rsidR="001539BC">
        <w:t xml:space="preserve"> </w:t>
      </w:r>
      <w:r w:rsidR="00B4760E" w:rsidRPr="00BB6220">
        <w:t>It</w:t>
      </w:r>
      <w:r w:rsidR="003D640C">
        <w:t xml:space="preserve"> </w:t>
      </w:r>
      <w:r w:rsidR="00B4760E" w:rsidRPr="00BB6220">
        <w:t>was</w:t>
      </w:r>
      <w:r w:rsidR="003D640C">
        <w:t xml:space="preserve"> </w:t>
      </w:r>
      <w:r w:rsidR="00B4760E" w:rsidRPr="00BB6220">
        <w:t>only</w:t>
      </w:r>
      <w:r w:rsidR="003D640C">
        <w:t xml:space="preserve"> </w:t>
      </w:r>
      <w:r w:rsidR="00B4760E" w:rsidRPr="00BB6220">
        <w:t>later</w:t>
      </w:r>
      <w:r w:rsidR="003D640C">
        <w:t xml:space="preserve"> </w:t>
      </w:r>
      <w:r w:rsidR="00B4760E" w:rsidRPr="00BB6220">
        <w:t>as</w:t>
      </w:r>
      <w:r w:rsidR="003D640C">
        <w:t xml:space="preserve"> </w:t>
      </w:r>
      <w:r w:rsidR="00B4760E" w:rsidRPr="00BB6220">
        <w:t>I</w:t>
      </w:r>
      <w:r w:rsidR="003D640C">
        <w:t xml:space="preserve"> </w:t>
      </w:r>
      <w:r w:rsidR="00B4760E" w:rsidRPr="00BB6220">
        <w:t>reclaimed</w:t>
      </w:r>
      <w:r w:rsidR="003D640C">
        <w:t xml:space="preserve"> </w:t>
      </w:r>
      <w:r w:rsidR="00B4760E" w:rsidRPr="00BB6220">
        <w:t>my</w:t>
      </w:r>
      <w:r w:rsidR="003D640C">
        <w:t xml:space="preserve"> </w:t>
      </w:r>
      <w:r w:rsidR="00B4760E" w:rsidRPr="00BB6220">
        <w:t>identity</w:t>
      </w:r>
      <w:r w:rsidR="003D640C">
        <w:t xml:space="preserve"> </w:t>
      </w:r>
      <w:r w:rsidR="00B4760E" w:rsidRPr="00BB6220">
        <w:t>that</w:t>
      </w:r>
      <w:r w:rsidR="003D640C">
        <w:t xml:space="preserve"> </w:t>
      </w:r>
      <w:r w:rsidR="00B4760E" w:rsidRPr="00BB6220">
        <w:t>I</w:t>
      </w:r>
      <w:r w:rsidR="003D640C">
        <w:t xml:space="preserve"> </w:t>
      </w:r>
      <w:r w:rsidR="00B4760E" w:rsidRPr="00BB6220">
        <w:t>saw</w:t>
      </w:r>
      <w:r w:rsidR="003D640C">
        <w:t xml:space="preserve"> </w:t>
      </w:r>
      <w:r w:rsidR="00B4760E" w:rsidRPr="00BB6220">
        <w:t>that</w:t>
      </w:r>
      <w:r w:rsidR="003D640C">
        <w:t xml:space="preserve"> </w:t>
      </w:r>
      <w:r w:rsidR="00B4760E" w:rsidRPr="00BB6220">
        <w:t>my</w:t>
      </w:r>
      <w:r w:rsidR="003D640C">
        <w:t xml:space="preserve"> </w:t>
      </w:r>
      <w:r w:rsidR="00B4760E" w:rsidRPr="00BB6220">
        <w:t>ancestors</w:t>
      </w:r>
      <w:r w:rsidR="003D640C">
        <w:t xml:space="preserve"> </w:t>
      </w:r>
      <w:r w:rsidR="00B4760E" w:rsidRPr="00BB6220">
        <w:t>from</w:t>
      </w:r>
      <w:r w:rsidR="003D640C">
        <w:t xml:space="preserve"> </w:t>
      </w:r>
      <w:r w:rsidR="00B4760E" w:rsidRPr="00BB6220">
        <w:t>the</w:t>
      </w:r>
      <w:r w:rsidR="003D640C">
        <w:t xml:space="preserve"> </w:t>
      </w:r>
      <w:r w:rsidR="00B4760E" w:rsidRPr="00BB6220">
        <w:t>Pacific</w:t>
      </w:r>
      <w:r w:rsidR="003D640C">
        <w:t xml:space="preserve"> </w:t>
      </w:r>
      <w:r w:rsidR="00B4760E" w:rsidRPr="00BB6220">
        <w:t>had</w:t>
      </w:r>
      <w:r w:rsidR="00747446">
        <w:t xml:space="preserve"> </w:t>
      </w:r>
      <w:r w:rsidR="00B4760E" w:rsidRPr="00BB6220">
        <w:t>already</w:t>
      </w:r>
      <w:r w:rsidR="003D640C">
        <w:t xml:space="preserve"> </w:t>
      </w:r>
      <w:r w:rsidR="00B4760E" w:rsidRPr="00BB6220">
        <w:t>led</w:t>
      </w:r>
      <w:r w:rsidR="003D640C">
        <w:t xml:space="preserve"> </w:t>
      </w:r>
      <w:r w:rsidR="00B4760E" w:rsidRPr="00BB6220">
        <w:t>the</w:t>
      </w:r>
      <w:r w:rsidR="003D640C">
        <w:t xml:space="preserve"> </w:t>
      </w:r>
      <w:r w:rsidR="00B4760E" w:rsidRPr="00BB6220">
        <w:t>way</w:t>
      </w:r>
      <w:r w:rsidR="003D640C">
        <w:t xml:space="preserve"> </w:t>
      </w:r>
      <w:r w:rsidR="00B4760E" w:rsidRPr="00BB6220">
        <w:t>for</w:t>
      </w:r>
      <w:r w:rsidR="003D640C">
        <w:t xml:space="preserve"> </w:t>
      </w:r>
      <w:r w:rsidR="00B4760E" w:rsidRPr="00BB6220">
        <w:t>us.</w:t>
      </w:r>
      <w:r w:rsidR="003D640C">
        <w:t xml:space="preserve"> </w:t>
      </w:r>
      <w:r w:rsidR="00B4760E" w:rsidRPr="00BB6220">
        <w:t>Trans</w:t>
      </w:r>
      <w:r w:rsidR="003D640C">
        <w:t xml:space="preserve"> </w:t>
      </w:r>
      <w:r w:rsidR="00B4760E" w:rsidRPr="00BB6220">
        <w:t>people</w:t>
      </w:r>
      <w:r w:rsidR="003D640C">
        <w:t xml:space="preserve"> </w:t>
      </w:r>
      <w:r w:rsidR="00B4760E" w:rsidRPr="00BB6220">
        <w:t>are</w:t>
      </w:r>
      <w:r w:rsidR="003D640C">
        <w:t xml:space="preserve"> </w:t>
      </w:r>
      <w:r w:rsidR="00B4760E" w:rsidRPr="00BB6220">
        <w:t>not</w:t>
      </w:r>
      <w:r w:rsidR="003D640C">
        <w:t xml:space="preserve"> </w:t>
      </w:r>
      <w:r w:rsidR="00B4760E" w:rsidRPr="00BB6220">
        <w:t>a</w:t>
      </w:r>
      <w:r w:rsidR="003D640C">
        <w:t xml:space="preserve"> </w:t>
      </w:r>
      <w:r w:rsidR="00B4760E" w:rsidRPr="00BB6220">
        <w:t>new</w:t>
      </w:r>
      <w:r w:rsidR="003D640C">
        <w:t xml:space="preserve"> </w:t>
      </w:r>
      <w:r w:rsidR="00B4760E" w:rsidRPr="00BB6220">
        <w:t>phenomenon</w:t>
      </w:r>
      <w:r w:rsidR="003D640C">
        <w:t xml:space="preserve"> </w:t>
      </w:r>
      <w:r w:rsidR="00B4760E" w:rsidRPr="00BB6220">
        <w:t>but</w:t>
      </w:r>
      <w:r w:rsidR="003D640C">
        <w:t xml:space="preserve"> </w:t>
      </w:r>
      <w:r w:rsidR="00B4760E" w:rsidRPr="00BB6220">
        <w:t>an</w:t>
      </w:r>
      <w:r w:rsidR="003D640C">
        <w:t xml:space="preserve"> </w:t>
      </w:r>
      <w:r w:rsidR="00B4760E" w:rsidRPr="00BB6220">
        <w:t>ancient</w:t>
      </w:r>
      <w:r w:rsidR="003D640C">
        <w:t xml:space="preserve"> </w:t>
      </w:r>
      <w:r w:rsidR="00B4760E" w:rsidRPr="00BB6220">
        <w:t>one.</w:t>
      </w:r>
      <w:r w:rsidR="00747446">
        <w:t xml:space="preserve"> </w:t>
      </w:r>
      <w:r w:rsidR="00B4760E" w:rsidRPr="00BB6220">
        <w:t>I’m</w:t>
      </w:r>
      <w:r w:rsidR="003D640C">
        <w:t xml:space="preserve"> </w:t>
      </w:r>
      <w:r w:rsidR="00B4760E" w:rsidRPr="00BB6220">
        <w:t>talking</w:t>
      </w:r>
      <w:r w:rsidR="003D640C">
        <w:t xml:space="preserve"> </w:t>
      </w:r>
      <w:r w:rsidR="00B4760E" w:rsidRPr="00BB6220">
        <w:t>about</w:t>
      </w:r>
      <w:r w:rsidR="003D640C">
        <w:t xml:space="preserve"> </w:t>
      </w:r>
      <w:r w:rsidR="00B4760E" w:rsidRPr="00BB6220">
        <w:t>my</w:t>
      </w:r>
      <w:r w:rsidR="003D640C">
        <w:t xml:space="preserve"> </w:t>
      </w:r>
      <w:r w:rsidR="00B4760E" w:rsidRPr="00BB6220">
        <w:t>ancestors</w:t>
      </w:r>
      <w:r w:rsidR="003D640C">
        <w:t xml:space="preserve"> </w:t>
      </w:r>
      <w:r w:rsidR="00B4760E" w:rsidRPr="00BB6220">
        <w:t>because</w:t>
      </w:r>
      <w:r w:rsidR="003D640C">
        <w:t xml:space="preserve"> </w:t>
      </w:r>
      <w:r w:rsidR="00C23770" w:rsidRPr="00BB6220">
        <w:t>I</w:t>
      </w:r>
      <w:r w:rsidR="003D640C">
        <w:t xml:space="preserve"> </w:t>
      </w:r>
      <w:r w:rsidR="00B4760E" w:rsidRPr="00BB6220">
        <w:t>really</w:t>
      </w:r>
      <w:r w:rsidR="003D640C">
        <w:t xml:space="preserve"> </w:t>
      </w:r>
      <w:r w:rsidR="00B4760E" w:rsidRPr="00BB6220">
        <w:t>feel</w:t>
      </w:r>
      <w:r w:rsidR="003D640C">
        <w:t xml:space="preserve"> </w:t>
      </w:r>
      <w:r w:rsidR="00B4760E" w:rsidRPr="00BB6220">
        <w:t>them</w:t>
      </w:r>
      <w:r w:rsidR="003D640C">
        <w:t xml:space="preserve"> </w:t>
      </w:r>
      <w:r w:rsidR="00B4760E" w:rsidRPr="00BB6220">
        <w:t>coming</w:t>
      </w:r>
      <w:r w:rsidR="003D640C">
        <w:t xml:space="preserve"> </w:t>
      </w:r>
      <w:r w:rsidR="00B4760E" w:rsidRPr="00BB6220">
        <w:t>through</w:t>
      </w:r>
      <w:r w:rsidR="003D640C">
        <w:t xml:space="preserve"> </w:t>
      </w:r>
      <w:r w:rsidR="00B4760E" w:rsidRPr="00BB6220">
        <w:t>for</w:t>
      </w:r>
      <w:r w:rsidR="003D640C">
        <w:t xml:space="preserve"> </w:t>
      </w:r>
      <w:r w:rsidR="00B4760E" w:rsidRPr="00BB6220">
        <w:t>me</w:t>
      </w:r>
      <w:r w:rsidR="003D640C">
        <w:t xml:space="preserve"> </w:t>
      </w:r>
      <w:r w:rsidR="00B4760E" w:rsidRPr="00BB6220">
        <w:t>today.</w:t>
      </w:r>
      <w:r w:rsidR="001539BC">
        <w:t xml:space="preserve"> </w:t>
      </w:r>
      <w:r w:rsidR="00531761" w:rsidRPr="00BB6220">
        <w:t>T</w:t>
      </w:r>
      <w:r w:rsidR="00B4760E" w:rsidRPr="00BB6220">
        <w:t>he</w:t>
      </w:r>
      <w:r w:rsidR="003D640C">
        <w:t xml:space="preserve"> </w:t>
      </w:r>
      <w:r w:rsidR="001539BC">
        <w:rPr>
          <w:i/>
          <w:iCs/>
        </w:rPr>
        <w:t>v</w:t>
      </w:r>
      <w:r w:rsidR="00B4760E" w:rsidRPr="00BB6220">
        <w:rPr>
          <w:i/>
          <w:iCs/>
        </w:rPr>
        <w:t>a</w:t>
      </w:r>
      <w:r w:rsidR="00D61D1F" w:rsidRPr="00BB6220">
        <w:t>,</w:t>
      </w:r>
      <w:r w:rsidR="003D640C">
        <w:t xml:space="preserve"> </w:t>
      </w:r>
      <w:r w:rsidR="00D61D1F" w:rsidRPr="00BB6220">
        <w:t>a</w:t>
      </w:r>
      <w:r w:rsidR="003D640C">
        <w:t xml:space="preserve"> </w:t>
      </w:r>
      <w:r w:rsidR="00D61D1F" w:rsidRPr="00BB6220">
        <w:t>Pacific</w:t>
      </w:r>
      <w:r w:rsidR="003D640C">
        <w:t xml:space="preserve"> </w:t>
      </w:r>
      <w:r w:rsidR="00D61D1F" w:rsidRPr="00BB6220">
        <w:t>concept</w:t>
      </w:r>
      <w:r w:rsidR="003D640C">
        <w:t xml:space="preserve"> </w:t>
      </w:r>
      <w:r w:rsidR="00B4760E" w:rsidRPr="00BB6220">
        <w:t>which</w:t>
      </w:r>
      <w:r w:rsidR="003D640C">
        <w:t xml:space="preserve"> </w:t>
      </w:r>
      <w:r w:rsidR="00D61D1F" w:rsidRPr="00BB6220">
        <w:t>refers</w:t>
      </w:r>
      <w:r w:rsidR="003D640C">
        <w:t xml:space="preserve"> </w:t>
      </w:r>
      <w:r w:rsidR="00D61D1F" w:rsidRPr="00BB6220">
        <w:t>to</w:t>
      </w:r>
      <w:r w:rsidR="003D640C">
        <w:t xml:space="preserve"> </w:t>
      </w:r>
      <w:r w:rsidR="00B4760E" w:rsidRPr="00BB6220">
        <w:t>the</w:t>
      </w:r>
      <w:r w:rsidR="003D640C">
        <w:t xml:space="preserve"> </w:t>
      </w:r>
      <w:r w:rsidR="00B4760E" w:rsidRPr="00BB6220">
        <w:t>relational</w:t>
      </w:r>
      <w:r w:rsidR="003D640C">
        <w:t xml:space="preserve"> </w:t>
      </w:r>
      <w:r w:rsidR="00B4760E" w:rsidRPr="00BB6220">
        <w:t>space</w:t>
      </w:r>
      <w:r w:rsidR="003D640C">
        <w:t xml:space="preserve"> </w:t>
      </w:r>
      <w:r w:rsidR="00B4760E" w:rsidRPr="00BB6220">
        <w:t>between</w:t>
      </w:r>
      <w:r w:rsidR="003D640C">
        <w:t xml:space="preserve"> </w:t>
      </w:r>
      <w:r w:rsidR="00B4760E" w:rsidRPr="00BB6220">
        <w:t>us</w:t>
      </w:r>
      <w:r w:rsidR="001539BC">
        <w:t>,</w:t>
      </w:r>
      <w:r w:rsidR="003D640C">
        <w:t xml:space="preserve"> </w:t>
      </w:r>
      <w:r w:rsidR="00B4760E" w:rsidRPr="00BB6220">
        <w:t>is</w:t>
      </w:r>
      <w:r w:rsidR="003D640C">
        <w:t xml:space="preserve"> </w:t>
      </w:r>
      <w:r w:rsidR="00B4760E" w:rsidRPr="00BB6220">
        <w:t>important.</w:t>
      </w:r>
      <w:r w:rsidR="003D640C">
        <w:t xml:space="preserve"> </w:t>
      </w:r>
      <w:r w:rsidR="00B4760E" w:rsidRPr="00BB6220">
        <w:t>When</w:t>
      </w:r>
      <w:r w:rsidR="003D640C">
        <w:t xml:space="preserve"> </w:t>
      </w:r>
      <w:r w:rsidR="00B4760E" w:rsidRPr="00BB6220">
        <w:t>harm</w:t>
      </w:r>
      <w:r w:rsidR="003D640C">
        <w:t xml:space="preserve"> </w:t>
      </w:r>
      <w:r w:rsidR="00B4760E" w:rsidRPr="00BB6220">
        <w:t>such</w:t>
      </w:r>
      <w:r w:rsidR="003D640C">
        <w:t xml:space="preserve"> </w:t>
      </w:r>
      <w:r w:rsidR="00B4760E" w:rsidRPr="00BB6220">
        <w:t>a</w:t>
      </w:r>
      <w:r w:rsidR="00D61D1F" w:rsidRPr="00BB6220">
        <w:t>s</w:t>
      </w:r>
      <w:r w:rsidR="003D640C">
        <w:t xml:space="preserve"> </w:t>
      </w:r>
      <w:r w:rsidR="00B4760E" w:rsidRPr="00BB6220">
        <w:t>conversion</w:t>
      </w:r>
      <w:r w:rsidR="003D640C">
        <w:t xml:space="preserve"> </w:t>
      </w:r>
      <w:r w:rsidR="00B4760E" w:rsidRPr="00BB6220">
        <w:t>practi</w:t>
      </w:r>
      <w:r w:rsidR="00F619BA">
        <w:t>c</w:t>
      </w:r>
      <w:r w:rsidR="00B4760E" w:rsidRPr="00BB6220">
        <w:t>es</w:t>
      </w:r>
      <w:r w:rsidR="003D640C">
        <w:t xml:space="preserve"> </w:t>
      </w:r>
      <w:r w:rsidR="00B4760E" w:rsidRPr="00BB6220">
        <w:t>occurs</w:t>
      </w:r>
      <w:r w:rsidR="003D640C">
        <w:t xml:space="preserve"> </w:t>
      </w:r>
      <w:r w:rsidR="00B4760E" w:rsidRPr="00BB6220">
        <w:t>within</w:t>
      </w:r>
      <w:r w:rsidR="003D640C">
        <w:t xml:space="preserve"> </w:t>
      </w:r>
      <w:r w:rsidR="00B4760E" w:rsidRPr="00BB6220">
        <w:t>communities</w:t>
      </w:r>
      <w:r w:rsidR="001C7D3D" w:rsidRPr="00BB6220">
        <w:t>,</w:t>
      </w:r>
      <w:r w:rsidR="003D640C">
        <w:t xml:space="preserve"> </w:t>
      </w:r>
      <w:r w:rsidR="00B4760E" w:rsidRPr="00BB6220">
        <w:t>the</w:t>
      </w:r>
      <w:r w:rsidR="003D640C">
        <w:t xml:space="preserve"> </w:t>
      </w:r>
      <w:r w:rsidR="001539BC">
        <w:rPr>
          <w:i/>
          <w:iCs/>
        </w:rPr>
        <w:t>v</w:t>
      </w:r>
      <w:r w:rsidRPr="00BB6220">
        <w:rPr>
          <w:i/>
          <w:iCs/>
        </w:rPr>
        <w:t>a</w:t>
      </w:r>
      <w:r w:rsidR="003D640C">
        <w:t xml:space="preserve"> </w:t>
      </w:r>
      <w:r w:rsidR="00B4760E" w:rsidRPr="00BB6220">
        <w:t>is</w:t>
      </w:r>
      <w:r w:rsidR="003D640C">
        <w:t xml:space="preserve"> </w:t>
      </w:r>
      <w:r w:rsidR="00B4760E" w:rsidRPr="00BB6220">
        <w:t>often</w:t>
      </w:r>
      <w:r w:rsidR="003D640C">
        <w:t xml:space="preserve"> </w:t>
      </w:r>
      <w:r w:rsidR="00B4760E" w:rsidRPr="00BB6220">
        <w:t>fractured</w:t>
      </w:r>
      <w:r w:rsidR="003D640C">
        <w:t xml:space="preserve"> </w:t>
      </w:r>
      <w:r w:rsidR="00B4760E" w:rsidRPr="00BB6220">
        <w:t>and</w:t>
      </w:r>
      <w:r w:rsidR="003D640C">
        <w:t xml:space="preserve"> </w:t>
      </w:r>
      <w:r w:rsidR="00B4760E" w:rsidRPr="00BB6220">
        <w:t>broken.</w:t>
      </w:r>
      <w:r w:rsidRPr="00BB6220">
        <w:t>”</w:t>
      </w:r>
      <w:r w:rsidR="003D640C">
        <w:t xml:space="preserve"> </w:t>
      </w:r>
      <w:r w:rsidR="00D102B7" w:rsidRPr="00BB6220">
        <w:t>Fijian/Tongan,</w:t>
      </w:r>
      <w:r w:rsidR="003D640C">
        <w:t xml:space="preserve"> </w:t>
      </w:r>
      <w:r w:rsidR="00D102B7" w:rsidRPr="00BB6220">
        <w:t>non-binary</w:t>
      </w:r>
      <w:r w:rsidR="003D640C">
        <w:t xml:space="preserve"> </w:t>
      </w:r>
    </w:p>
    <w:p w14:paraId="0EBFF565" w14:textId="546A1FE7" w:rsidR="00035BAF" w:rsidRPr="00BB6220" w:rsidRDefault="00035BAF" w:rsidP="00747446">
      <w:r w:rsidRPr="00BB6220">
        <w:t>A</w:t>
      </w:r>
      <w:r w:rsidR="003D640C">
        <w:t xml:space="preserve"> </w:t>
      </w:r>
      <w:r w:rsidRPr="00BB6220">
        <w:t>struggle</w:t>
      </w:r>
      <w:r w:rsidR="003D640C">
        <w:t xml:space="preserve"> </w:t>
      </w:r>
      <w:r w:rsidRPr="00BB6220">
        <w:t>survivors</w:t>
      </w:r>
      <w:r w:rsidR="003D640C">
        <w:t xml:space="preserve"> </w:t>
      </w:r>
      <w:r w:rsidRPr="00BB6220">
        <w:t>mentioned</w:t>
      </w:r>
      <w:r w:rsidR="003D640C">
        <w:t xml:space="preserve"> </w:t>
      </w:r>
      <w:r w:rsidRPr="00BB6220">
        <w:t>was</w:t>
      </w:r>
      <w:r w:rsidR="003D640C">
        <w:t xml:space="preserve"> </w:t>
      </w:r>
      <w:r w:rsidRPr="00BB6220">
        <w:t>the</w:t>
      </w:r>
      <w:r w:rsidR="003D640C">
        <w:t xml:space="preserve"> </w:t>
      </w:r>
      <w:r w:rsidRPr="00BB6220">
        <w:t>need</w:t>
      </w:r>
      <w:r w:rsidR="003D640C">
        <w:t xml:space="preserve"> </w:t>
      </w:r>
      <w:r w:rsidRPr="00BB6220">
        <w:t>to</w:t>
      </w:r>
      <w:r w:rsidR="003D640C">
        <w:t xml:space="preserve"> </w:t>
      </w:r>
      <w:r w:rsidRPr="00BB6220">
        <w:t>have</w:t>
      </w:r>
      <w:r w:rsidR="003D640C">
        <w:t xml:space="preserve"> </w:t>
      </w:r>
      <w:r w:rsidRPr="00BB6220">
        <w:t>appropriate</w:t>
      </w:r>
      <w:r w:rsidR="003D640C">
        <w:t xml:space="preserve"> </w:t>
      </w:r>
      <w:r w:rsidRPr="00BB6220">
        <w:t>language</w:t>
      </w:r>
      <w:r w:rsidR="003D640C">
        <w:t xml:space="preserve"> </w:t>
      </w:r>
      <w:r w:rsidRPr="00BB6220">
        <w:t>and</w:t>
      </w:r>
      <w:r w:rsidR="003D640C">
        <w:t xml:space="preserve"> </w:t>
      </w:r>
      <w:r w:rsidRPr="00BB6220">
        <w:t>framing</w:t>
      </w:r>
      <w:r w:rsidR="003D640C">
        <w:t xml:space="preserve"> </w:t>
      </w:r>
      <w:r w:rsidRPr="00BB6220">
        <w:t>to</w:t>
      </w:r>
      <w:r w:rsidR="003D640C">
        <w:t xml:space="preserve"> </w:t>
      </w:r>
      <w:r w:rsidRPr="00BB6220">
        <w:t>discuss</w:t>
      </w:r>
      <w:r w:rsidR="003D640C">
        <w:t xml:space="preserve"> </w:t>
      </w:r>
      <w:r w:rsidRPr="00BB6220">
        <w:t>MVPFAFF+</w:t>
      </w:r>
      <w:r w:rsidR="003D640C">
        <w:t xml:space="preserve"> </w:t>
      </w:r>
      <w:r w:rsidRPr="00BB6220">
        <w:t>and</w:t>
      </w:r>
      <w:r w:rsidR="003D640C">
        <w:t xml:space="preserve"> </w:t>
      </w:r>
      <w:r w:rsidR="00BC382F" w:rsidRPr="00BB6220">
        <w:t>Rainbow</w:t>
      </w:r>
      <w:r w:rsidR="003D640C">
        <w:t xml:space="preserve"> </w:t>
      </w:r>
      <w:r w:rsidRPr="00BB6220">
        <w:t>identities.</w:t>
      </w:r>
      <w:r w:rsidR="003D640C">
        <w:t xml:space="preserve"> </w:t>
      </w:r>
      <w:r w:rsidRPr="00BB6220">
        <w:t>They</w:t>
      </w:r>
      <w:r w:rsidR="003D640C">
        <w:t xml:space="preserve"> </w:t>
      </w:r>
      <w:r w:rsidRPr="00BB6220">
        <w:t>noted</w:t>
      </w:r>
      <w:r w:rsidR="003D640C">
        <w:t xml:space="preserve"> </w:t>
      </w:r>
      <w:r w:rsidRPr="00BB6220">
        <w:t>some</w:t>
      </w:r>
      <w:r w:rsidR="003D640C">
        <w:t xml:space="preserve"> </w:t>
      </w:r>
      <w:r w:rsidR="00BC382F" w:rsidRPr="00BB6220">
        <w:t>Pacific</w:t>
      </w:r>
      <w:r w:rsidR="003D640C">
        <w:t xml:space="preserve"> </w:t>
      </w:r>
      <w:r w:rsidRPr="00BB6220">
        <w:t>languages</w:t>
      </w:r>
      <w:r w:rsidR="003D640C">
        <w:t xml:space="preserve"> </w:t>
      </w:r>
      <w:r w:rsidRPr="00BB6220">
        <w:t>do</w:t>
      </w:r>
      <w:r w:rsidR="003D640C">
        <w:t xml:space="preserve"> </w:t>
      </w:r>
      <w:r w:rsidRPr="00BB6220">
        <w:t>n</w:t>
      </w:r>
      <w:r w:rsidR="00BC382F" w:rsidRPr="00BB6220">
        <w:t>o</w:t>
      </w:r>
      <w:r w:rsidRPr="00BB6220">
        <w:t>t</w:t>
      </w:r>
      <w:r w:rsidR="003D640C">
        <w:t xml:space="preserve"> </w:t>
      </w:r>
      <w:r w:rsidRPr="00BB6220">
        <w:t>have</w:t>
      </w:r>
      <w:r w:rsidR="003D640C">
        <w:t xml:space="preserve"> </w:t>
      </w:r>
      <w:r w:rsidRPr="00BB6220">
        <w:t>the</w:t>
      </w:r>
      <w:r w:rsidR="003D640C">
        <w:t xml:space="preserve"> </w:t>
      </w:r>
      <w:r w:rsidRPr="00BB6220">
        <w:t>word</w:t>
      </w:r>
      <w:r w:rsidR="003D640C">
        <w:t xml:space="preserve"> </w:t>
      </w:r>
      <w:r w:rsidRPr="00BB6220">
        <w:t>‘gay’</w:t>
      </w:r>
      <w:r w:rsidR="003D640C">
        <w:t xml:space="preserve"> </w:t>
      </w:r>
      <w:r w:rsidRPr="00BB6220">
        <w:t>and</w:t>
      </w:r>
      <w:r w:rsidR="003D640C">
        <w:t xml:space="preserve"> </w:t>
      </w:r>
      <w:r w:rsidRPr="00BB6220">
        <w:t>that</w:t>
      </w:r>
      <w:r w:rsidR="003D640C">
        <w:t xml:space="preserve"> </w:t>
      </w:r>
      <w:r w:rsidRPr="00BB6220">
        <w:t>some</w:t>
      </w:r>
      <w:r w:rsidR="003D640C">
        <w:t xml:space="preserve"> </w:t>
      </w:r>
      <w:r w:rsidRPr="00BB6220">
        <w:t>family</w:t>
      </w:r>
      <w:r w:rsidR="003D640C">
        <w:t xml:space="preserve"> </w:t>
      </w:r>
      <w:r w:rsidRPr="00BB6220">
        <w:t>members</w:t>
      </w:r>
      <w:r w:rsidR="003D640C">
        <w:t xml:space="preserve"> </w:t>
      </w:r>
      <w:r w:rsidRPr="00BB6220">
        <w:t>may</w:t>
      </w:r>
      <w:r w:rsidR="003D640C">
        <w:t xml:space="preserve"> </w:t>
      </w:r>
      <w:r w:rsidRPr="00BB6220">
        <w:t>be</w:t>
      </w:r>
      <w:r w:rsidR="003D640C">
        <w:t xml:space="preserve"> </w:t>
      </w:r>
      <w:r w:rsidRPr="00BB6220">
        <w:t>able</w:t>
      </w:r>
      <w:r w:rsidR="003D640C">
        <w:t xml:space="preserve"> </w:t>
      </w:r>
      <w:r w:rsidRPr="00BB6220">
        <w:t>to</w:t>
      </w:r>
      <w:r w:rsidR="003D640C">
        <w:t xml:space="preserve"> </w:t>
      </w:r>
      <w:r w:rsidRPr="00BB6220">
        <w:t>relate</w:t>
      </w:r>
      <w:r w:rsidR="003D640C">
        <w:t xml:space="preserve"> </w:t>
      </w:r>
      <w:r w:rsidRPr="00BB6220">
        <w:t>better</w:t>
      </w:r>
      <w:r w:rsidR="003D640C">
        <w:t xml:space="preserve"> </w:t>
      </w:r>
      <w:r w:rsidRPr="00BB6220">
        <w:t>to</w:t>
      </w:r>
      <w:r w:rsidR="003D640C">
        <w:t xml:space="preserve"> </w:t>
      </w:r>
      <w:r w:rsidR="001548BA" w:rsidRPr="00BB6220">
        <w:t>I</w:t>
      </w:r>
      <w:r w:rsidRPr="00BB6220">
        <w:t>ndigenous</w:t>
      </w:r>
      <w:r w:rsidR="003D640C">
        <w:t xml:space="preserve"> </w:t>
      </w:r>
      <w:r w:rsidRPr="00BB6220">
        <w:t>terms</w:t>
      </w:r>
      <w:r w:rsidR="003D640C">
        <w:t xml:space="preserve"> </w:t>
      </w:r>
      <w:r w:rsidRPr="00BB6220">
        <w:t>and</w:t>
      </w:r>
      <w:r w:rsidR="003D640C">
        <w:t xml:space="preserve"> </w:t>
      </w:r>
      <w:r w:rsidRPr="00BB6220">
        <w:t>identities.</w:t>
      </w:r>
      <w:r w:rsidR="003D640C">
        <w:t xml:space="preserve"> </w:t>
      </w:r>
      <w:r w:rsidRPr="00BB6220">
        <w:t>This</w:t>
      </w:r>
      <w:r w:rsidR="003D640C">
        <w:t xml:space="preserve"> </w:t>
      </w:r>
      <w:r w:rsidR="00BC382F" w:rsidRPr="00BB6220">
        <w:t>linguistic</w:t>
      </w:r>
      <w:r w:rsidR="003D640C">
        <w:t xml:space="preserve"> </w:t>
      </w:r>
      <w:r w:rsidR="00BC382F" w:rsidRPr="00BB6220">
        <w:t>diversity</w:t>
      </w:r>
      <w:r w:rsidR="003D640C">
        <w:t xml:space="preserve"> </w:t>
      </w:r>
      <w:r w:rsidR="00BC382F" w:rsidRPr="00BB6220">
        <w:t>highlights</w:t>
      </w:r>
      <w:r w:rsidR="003D640C">
        <w:t xml:space="preserve"> </w:t>
      </w:r>
      <w:r w:rsidRPr="00BB6220">
        <w:t>the</w:t>
      </w:r>
      <w:r w:rsidR="003D640C">
        <w:t xml:space="preserve"> </w:t>
      </w:r>
      <w:r w:rsidRPr="00BB6220">
        <w:t>need</w:t>
      </w:r>
      <w:r w:rsidR="003D640C">
        <w:t xml:space="preserve"> </w:t>
      </w:r>
      <w:r w:rsidRPr="00BB6220">
        <w:t>for</w:t>
      </w:r>
      <w:r w:rsidR="003D640C">
        <w:t xml:space="preserve"> </w:t>
      </w:r>
      <w:r w:rsidR="00A1786C" w:rsidRPr="00BB6220">
        <w:t>P</w:t>
      </w:r>
      <w:r w:rsidRPr="00BB6220">
        <w:t>acific</w:t>
      </w:r>
      <w:r w:rsidR="003D640C">
        <w:t xml:space="preserve"> </w:t>
      </w:r>
      <w:r w:rsidRPr="00BB6220">
        <w:t>peoples</w:t>
      </w:r>
      <w:r w:rsidR="003D640C">
        <w:t xml:space="preserve"> </w:t>
      </w:r>
      <w:r w:rsidRPr="00BB6220">
        <w:t>in</w:t>
      </w:r>
      <w:r w:rsidR="003D640C">
        <w:t xml:space="preserve"> </w:t>
      </w:r>
      <w:r w:rsidRPr="00BB6220">
        <w:t>Aotearoa</w:t>
      </w:r>
      <w:r w:rsidR="003D640C">
        <w:t xml:space="preserve"> </w:t>
      </w:r>
      <w:r w:rsidRPr="00BB6220">
        <w:t>to</w:t>
      </w:r>
      <w:r w:rsidR="003D640C">
        <w:t xml:space="preserve"> </w:t>
      </w:r>
      <w:r w:rsidRPr="00BB6220">
        <w:t>have</w:t>
      </w:r>
      <w:r w:rsidR="003D640C">
        <w:t xml:space="preserve"> </w:t>
      </w:r>
      <w:r w:rsidRPr="00BB6220">
        <w:t>fundamental</w:t>
      </w:r>
      <w:r w:rsidR="003D640C">
        <w:t xml:space="preserve"> </w:t>
      </w:r>
      <w:r w:rsidRPr="00BB6220">
        <w:t>conversations</w:t>
      </w:r>
      <w:r w:rsidR="003D640C">
        <w:t xml:space="preserve"> </w:t>
      </w:r>
      <w:r w:rsidRPr="00BB6220">
        <w:t>about</w:t>
      </w:r>
      <w:r w:rsidR="003D640C">
        <w:t xml:space="preserve"> </w:t>
      </w:r>
      <w:r w:rsidRPr="00BB6220">
        <w:t>identity</w:t>
      </w:r>
      <w:r w:rsidR="003D640C">
        <w:t xml:space="preserve"> </w:t>
      </w:r>
      <w:r w:rsidRPr="00BB6220">
        <w:t>within</w:t>
      </w:r>
      <w:r w:rsidR="003D640C">
        <w:t xml:space="preserve"> </w:t>
      </w:r>
      <w:r w:rsidRPr="00BB6220">
        <w:t>various</w:t>
      </w:r>
      <w:r w:rsidR="003D640C">
        <w:t xml:space="preserve"> </w:t>
      </w:r>
      <w:r w:rsidR="005C6F24" w:rsidRPr="00BB6220">
        <w:t>P</w:t>
      </w:r>
      <w:r w:rsidRPr="00BB6220">
        <w:t>acific</w:t>
      </w:r>
      <w:r w:rsidR="00A13F1F">
        <w:t>,</w:t>
      </w:r>
      <w:r w:rsidR="003D640C">
        <w:t xml:space="preserve"> </w:t>
      </w:r>
      <w:r w:rsidRPr="00BB6220">
        <w:t>rather</w:t>
      </w:r>
      <w:r w:rsidR="003D640C">
        <w:t xml:space="preserve"> </w:t>
      </w:r>
      <w:r w:rsidRPr="00BB6220">
        <w:t>than</w:t>
      </w:r>
      <w:r w:rsidR="003D640C">
        <w:t xml:space="preserve"> </w:t>
      </w:r>
      <w:r w:rsidR="00A5193E">
        <w:t>W</w:t>
      </w:r>
      <w:r w:rsidRPr="00BB6220">
        <w:t>estern</w:t>
      </w:r>
      <w:r w:rsidR="00A13F1F">
        <w:t>,</w:t>
      </w:r>
      <w:r w:rsidR="003D640C">
        <w:t xml:space="preserve"> </w:t>
      </w:r>
      <w:r w:rsidRPr="00BB6220">
        <w:t>framings</w:t>
      </w:r>
      <w:r w:rsidR="003D640C">
        <w:t xml:space="preserve"> </w:t>
      </w:r>
      <w:r w:rsidRPr="00BB6220">
        <w:t>of</w:t>
      </w:r>
      <w:r w:rsidR="003D640C">
        <w:t xml:space="preserve"> </w:t>
      </w:r>
      <w:r w:rsidRPr="00BB6220">
        <w:t>identity.</w:t>
      </w:r>
      <w:r w:rsidR="003D640C">
        <w:t xml:space="preserve"> </w:t>
      </w:r>
      <w:r w:rsidRPr="00BB6220">
        <w:t>This</w:t>
      </w:r>
      <w:r w:rsidR="003D640C">
        <w:t xml:space="preserve"> </w:t>
      </w:r>
      <w:r w:rsidR="00BC382F" w:rsidRPr="00BB6220">
        <w:t>process</w:t>
      </w:r>
      <w:r w:rsidR="003D640C">
        <w:t xml:space="preserve"> </w:t>
      </w:r>
      <w:r w:rsidRPr="00BB6220">
        <w:t>may</w:t>
      </w:r>
      <w:r w:rsidR="003D640C">
        <w:t xml:space="preserve"> </w:t>
      </w:r>
      <w:r w:rsidRPr="00BB6220">
        <w:t>be</w:t>
      </w:r>
      <w:r w:rsidR="003D640C">
        <w:t xml:space="preserve"> </w:t>
      </w:r>
      <w:r w:rsidRPr="00BB6220">
        <w:t>assisted</w:t>
      </w:r>
      <w:r w:rsidR="003D640C">
        <w:t xml:space="preserve"> </w:t>
      </w:r>
      <w:r w:rsidRPr="00BB6220">
        <w:t>through</w:t>
      </w:r>
      <w:r w:rsidR="003D640C">
        <w:t xml:space="preserve"> </w:t>
      </w:r>
      <w:r w:rsidRPr="00BB6220">
        <w:t>resources</w:t>
      </w:r>
      <w:r w:rsidR="003D640C">
        <w:t xml:space="preserve"> </w:t>
      </w:r>
      <w:r w:rsidRPr="00BB6220">
        <w:t>that</w:t>
      </w:r>
      <w:r w:rsidR="003D640C">
        <w:t xml:space="preserve"> </w:t>
      </w:r>
      <w:r w:rsidRPr="00BB6220">
        <w:t>are</w:t>
      </w:r>
      <w:r w:rsidR="003D640C">
        <w:t xml:space="preserve"> </w:t>
      </w:r>
      <w:r w:rsidRPr="00BB6220">
        <w:t>translated</w:t>
      </w:r>
      <w:r w:rsidR="003D640C">
        <w:t xml:space="preserve"> </w:t>
      </w:r>
      <w:r w:rsidRPr="00BB6220">
        <w:t>both</w:t>
      </w:r>
      <w:r w:rsidR="003D640C">
        <w:t xml:space="preserve"> </w:t>
      </w:r>
      <w:r w:rsidRPr="00BB6220">
        <w:t>linguistically</w:t>
      </w:r>
      <w:r w:rsidR="003D640C">
        <w:t xml:space="preserve"> </w:t>
      </w:r>
      <w:r w:rsidRPr="00BB6220">
        <w:t>and</w:t>
      </w:r>
      <w:r w:rsidR="003D640C">
        <w:t xml:space="preserve"> </w:t>
      </w:r>
      <w:r w:rsidRPr="00BB6220">
        <w:t>conceptually</w:t>
      </w:r>
      <w:r w:rsidR="003D640C">
        <w:t xml:space="preserve"> </w:t>
      </w:r>
      <w:r w:rsidRPr="00BB6220">
        <w:t>into</w:t>
      </w:r>
      <w:r w:rsidR="003D640C">
        <w:t xml:space="preserve"> </w:t>
      </w:r>
      <w:r w:rsidR="00BC382F" w:rsidRPr="00BB6220">
        <w:t>diverse</w:t>
      </w:r>
      <w:r w:rsidR="003D640C">
        <w:t xml:space="preserve"> </w:t>
      </w:r>
      <w:r w:rsidR="00575CFA" w:rsidRPr="00BB6220">
        <w:t>P</w:t>
      </w:r>
      <w:r w:rsidRPr="00BB6220">
        <w:t>acific</w:t>
      </w:r>
      <w:r w:rsidR="003D640C">
        <w:t xml:space="preserve"> </w:t>
      </w:r>
      <w:r w:rsidRPr="00BB6220">
        <w:t>languages</w:t>
      </w:r>
      <w:r w:rsidR="003D640C">
        <w:t xml:space="preserve"> </w:t>
      </w:r>
      <w:r w:rsidRPr="00BB6220">
        <w:t>and</w:t>
      </w:r>
      <w:r w:rsidR="003D640C">
        <w:t xml:space="preserve"> </w:t>
      </w:r>
      <w:r w:rsidRPr="00BB6220">
        <w:t>contexts.</w:t>
      </w:r>
      <w:r w:rsidR="003D640C">
        <w:t xml:space="preserve"> </w:t>
      </w:r>
    </w:p>
    <w:p w14:paraId="0302D385" w14:textId="763995CB" w:rsidR="00D245C9" w:rsidRPr="00BB6220" w:rsidRDefault="00035BAF" w:rsidP="00747446">
      <w:r w:rsidRPr="00BB6220">
        <w:t>Finally,</w:t>
      </w:r>
      <w:r w:rsidR="003D640C">
        <w:t xml:space="preserve"> </w:t>
      </w:r>
      <w:r w:rsidRPr="00BB6220">
        <w:t>there</w:t>
      </w:r>
      <w:r w:rsidR="003D640C">
        <w:t xml:space="preserve"> </w:t>
      </w:r>
      <w:r w:rsidRPr="00BB6220">
        <w:t>is</w:t>
      </w:r>
      <w:r w:rsidR="003D640C">
        <w:t xml:space="preserve"> </w:t>
      </w:r>
      <w:r w:rsidRPr="00BB6220">
        <w:t>a</w:t>
      </w:r>
      <w:r w:rsidR="003D640C">
        <w:t xml:space="preserve"> </w:t>
      </w:r>
      <w:r w:rsidRPr="00BB6220">
        <w:t>call</w:t>
      </w:r>
      <w:r w:rsidR="003D640C">
        <w:t xml:space="preserve"> </w:t>
      </w:r>
      <w:r w:rsidRPr="00BB6220">
        <w:t>for</w:t>
      </w:r>
      <w:r w:rsidR="003D640C">
        <w:t xml:space="preserve"> </w:t>
      </w:r>
      <w:r w:rsidR="00182531" w:rsidRPr="00BB6220">
        <w:t>P</w:t>
      </w:r>
      <w:r w:rsidRPr="00BB6220">
        <w:t>acific</w:t>
      </w:r>
      <w:r w:rsidR="003D640C">
        <w:t xml:space="preserve"> </w:t>
      </w:r>
      <w:r w:rsidRPr="00BB6220">
        <w:t>communities</w:t>
      </w:r>
      <w:r w:rsidR="00BC382F" w:rsidRPr="00BB6220">
        <w:t>,</w:t>
      </w:r>
      <w:r w:rsidR="003D640C">
        <w:t xml:space="preserve"> </w:t>
      </w:r>
      <w:r w:rsidRPr="00BB6220">
        <w:t>including</w:t>
      </w:r>
      <w:r w:rsidR="003D640C">
        <w:t xml:space="preserve"> </w:t>
      </w:r>
      <w:r w:rsidR="004F5650">
        <w:t xml:space="preserve">Pacific </w:t>
      </w:r>
      <w:r w:rsidRPr="00BB6220">
        <w:t>non-</w:t>
      </w:r>
      <w:r w:rsidR="00BC382F" w:rsidRPr="00BB6220">
        <w:t>Rainbow</w:t>
      </w:r>
      <w:r w:rsidR="003D640C">
        <w:t xml:space="preserve"> </w:t>
      </w:r>
      <w:r w:rsidRPr="00BB6220">
        <w:t>leaders</w:t>
      </w:r>
      <w:r w:rsidR="00BC382F" w:rsidRPr="00BB6220">
        <w:t>,</w:t>
      </w:r>
      <w:r w:rsidR="003D640C">
        <w:t xml:space="preserve"> </w:t>
      </w:r>
      <w:r w:rsidRPr="00BB6220">
        <w:t>to</w:t>
      </w:r>
      <w:r w:rsidR="003D640C">
        <w:t xml:space="preserve"> </w:t>
      </w:r>
      <w:r w:rsidRPr="00BB6220">
        <w:t>develop</w:t>
      </w:r>
      <w:r w:rsidR="003D640C">
        <w:t xml:space="preserve"> </w:t>
      </w:r>
      <w:r w:rsidRPr="00BB6220">
        <w:t>an</w:t>
      </w:r>
      <w:r w:rsidR="003D640C">
        <w:t xml:space="preserve"> </w:t>
      </w:r>
      <w:r w:rsidRPr="00BB6220">
        <w:t>inclusive</w:t>
      </w:r>
      <w:r w:rsidR="003D640C">
        <w:t xml:space="preserve"> </w:t>
      </w:r>
      <w:r w:rsidRPr="00BB6220">
        <w:t>approach</w:t>
      </w:r>
      <w:r w:rsidR="003D640C">
        <w:t xml:space="preserve"> </w:t>
      </w:r>
      <w:r w:rsidRPr="00BB6220">
        <w:t>to</w:t>
      </w:r>
      <w:r w:rsidR="003D640C">
        <w:t xml:space="preserve"> </w:t>
      </w:r>
      <w:r w:rsidRPr="00BB6220">
        <w:t>Christianity.</w:t>
      </w:r>
      <w:r w:rsidR="003D640C">
        <w:t xml:space="preserve"> </w:t>
      </w:r>
      <w:r w:rsidR="00BC382F" w:rsidRPr="00BB6220">
        <w:t>Such</w:t>
      </w:r>
      <w:r w:rsidR="003D640C">
        <w:t xml:space="preserve"> </w:t>
      </w:r>
      <w:r w:rsidR="00BC382F" w:rsidRPr="00BB6220">
        <w:t>an</w:t>
      </w:r>
      <w:r w:rsidR="003D640C">
        <w:t xml:space="preserve"> </w:t>
      </w:r>
      <w:r w:rsidR="00BC382F" w:rsidRPr="00BB6220">
        <w:t>approach</w:t>
      </w:r>
      <w:r w:rsidR="003D640C">
        <w:t xml:space="preserve"> </w:t>
      </w:r>
      <w:r w:rsidRPr="00BB6220">
        <w:t>would</w:t>
      </w:r>
      <w:r w:rsidR="003D640C">
        <w:t xml:space="preserve"> </w:t>
      </w:r>
      <w:r w:rsidRPr="00BB6220">
        <w:t>prioritise</w:t>
      </w:r>
      <w:r w:rsidR="003D640C">
        <w:t xml:space="preserve"> </w:t>
      </w:r>
      <w:r w:rsidRPr="00BB6220">
        <w:t>the</w:t>
      </w:r>
      <w:r w:rsidR="003D640C">
        <w:t xml:space="preserve"> </w:t>
      </w:r>
      <w:r w:rsidRPr="00BB6220">
        <w:t>safety</w:t>
      </w:r>
      <w:r w:rsidR="003D640C">
        <w:t xml:space="preserve"> </w:t>
      </w:r>
      <w:r w:rsidRPr="00BB6220">
        <w:t>and</w:t>
      </w:r>
      <w:r w:rsidR="003D640C">
        <w:t xml:space="preserve"> </w:t>
      </w:r>
      <w:r w:rsidRPr="00BB6220">
        <w:t>dignity</w:t>
      </w:r>
      <w:r w:rsidR="003D640C">
        <w:t xml:space="preserve"> </w:t>
      </w:r>
      <w:r w:rsidRPr="00BB6220">
        <w:t>of</w:t>
      </w:r>
      <w:r w:rsidR="003D640C">
        <w:t xml:space="preserve"> </w:t>
      </w:r>
      <w:r w:rsidR="00BC382F" w:rsidRPr="00BB6220">
        <w:t>R</w:t>
      </w:r>
      <w:r w:rsidRPr="00BB6220">
        <w:t>ainbow</w:t>
      </w:r>
      <w:r w:rsidR="003D640C">
        <w:t xml:space="preserve"> </w:t>
      </w:r>
      <w:r w:rsidRPr="00BB6220">
        <w:t>people</w:t>
      </w:r>
      <w:r w:rsidR="003D640C">
        <w:t xml:space="preserve"> </w:t>
      </w:r>
      <w:r w:rsidRPr="00BB6220">
        <w:t>and</w:t>
      </w:r>
      <w:r w:rsidR="003D640C">
        <w:t xml:space="preserve"> </w:t>
      </w:r>
      <w:r w:rsidR="6B19B9A3" w:rsidRPr="00BB6220">
        <w:t>p</w:t>
      </w:r>
      <w:r w:rsidRPr="00BB6220">
        <w:t>rioritise</w:t>
      </w:r>
      <w:r w:rsidR="003D640C">
        <w:t xml:space="preserve"> </w:t>
      </w:r>
      <w:r w:rsidR="00E85A10" w:rsidRPr="00BB6220">
        <w:t>P</w:t>
      </w:r>
      <w:r w:rsidRPr="00BB6220">
        <w:t>acific</w:t>
      </w:r>
      <w:r w:rsidR="003D640C">
        <w:t xml:space="preserve"> </w:t>
      </w:r>
      <w:r w:rsidRPr="00BB6220">
        <w:t>identities</w:t>
      </w:r>
      <w:r w:rsidR="003D640C">
        <w:t xml:space="preserve"> </w:t>
      </w:r>
      <w:r w:rsidRPr="00BB6220">
        <w:t>over</w:t>
      </w:r>
      <w:r w:rsidR="003D640C">
        <w:t xml:space="preserve"> </w:t>
      </w:r>
      <w:r w:rsidR="00331273">
        <w:t>W</w:t>
      </w:r>
      <w:r w:rsidRPr="00BB6220">
        <w:t>estern</w:t>
      </w:r>
      <w:r w:rsidR="003D640C">
        <w:t xml:space="preserve"> </w:t>
      </w:r>
      <w:r w:rsidRPr="00BB6220">
        <w:t>ideologies</w:t>
      </w:r>
      <w:r w:rsidR="003D640C">
        <w:t xml:space="preserve"> </w:t>
      </w:r>
      <w:r w:rsidRPr="00BB6220">
        <w:t>of</w:t>
      </w:r>
      <w:r w:rsidR="003D640C">
        <w:t xml:space="preserve"> </w:t>
      </w:r>
      <w:r w:rsidR="00404B18" w:rsidRPr="00BB6220">
        <w:t>sexual</w:t>
      </w:r>
      <w:r w:rsidR="003D640C">
        <w:t xml:space="preserve"> </w:t>
      </w:r>
      <w:r w:rsidR="00404B18" w:rsidRPr="00BB6220">
        <w:t>orientation</w:t>
      </w:r>
      <w:r w:rsidR="003D640C">
        <w:t xml:space="preserve"> </w:t>
      </w:r>
      <w:r w:rsidRPr="00BB6220">
        <w:t>and</w:t>
      </w:r>
      <w:r w:rsidR="003D640C">
        <w:t xml:space="preserve"> </w:t>
      </w:r>
      <w:r w:rsidRPr="00BB6220">
        <w:t>gender</w:t>
      </w:r>
      <w:r w:rsidR="005B1FE3" w:rsidRPr="00BB6220">
        <w:t>.</w:t>
      </w:r>
    </w:p>
    <w:p w14:paraId="33B5F500" w14:textId="58A11C82" w:rsidR="00B807C6" w:rsidRPr="00BB6220" w:rsidRDefault="00E23809" w:rsidP="00747446">
      <w:r w:rsidRPr="00BB6220">
        <w:t>Th</w:t>
      </w:r>
      <w:r w:rsidR="00BC382F" w:rsidRPr="00BB6220">
        <w:t>at</w:t>
      </w:r>
      <w:r w:rsidR="003D640C">
        <w:t xml:space="preserve"> </w:t>
      </w:r>
      <w:r w:rsidR="00BC382F" w:rsidRPr="00BB6220">
        <w:t>there</w:t>
      </w:r>
      <w:r w:rsidR="003D640C">
        <w:t xml:space="preserve"> </w:t>
      </w:r>
      <w:r w:rsidR="00BC382F" w:rsidRPr="00BB6220">
        <w:t>is</w:t>
      </w:r>
      <w:r w:rsidR="003D640C">
        <w:t xml:space="preserve"> </w:t>
      </w:r>
      <w:r w:rsidR="00BC382F" w:rsidRPr="00BB6220">
        <w:t>still</w:t>
      </w:r>
      <w:r w:rsidR="003D640C">
        <w:t xml:space="preserve"> </w:t>
      </w:r>
      <w:r w:rsidR="00BC382F" w:rsidRPr="00BB6220">
        <w:t>work</w:t>
      </w:r>
      <w:r w:rsidR="003D640C">
        <w:t xml:space="preserve"> </w:t>
      </w:r>
      <w:r w:rsidR="00BC382F" w:rsidRPr="00BB6220">
        <w:t>to</w:t>
      </w:r>
      <w:r w:rsidR="003D640C">
        <w:t xml:space="preserve"> </w:t>
      </w:r>
      <w:r w:rsidR="00BC382F" w:rsidRPr="00BB6220">
        <w:t>be</w:t>
      </w:r>
      <w:r w:rsidR="003D640C">
        <w:t xml:space="preserve"> </w:t>
      </w:r>
      <w:r w:rsidR="00BC382F" w:rsidRPr="00BB6220">
        <w:t>done</w:t>
      </w:r>
      <w:r w:rsidR="003D640C">
        <w:t xml:space="preserve"> </w:t>
      </w:r>
      <w:r w:rsidR="00BC382F" w:rsidRPr="00BB6220">
        <w:t>in</w:t>
      </w:r>
      <w:r w:rsidR="003D640C">
        <w:t xml:space="preserve"> </w:t>
      </w:r>
      <w:r w:rsidR="00BC382F" w:rsidRPr="00BB6220">
        <w:t>this</w:t>
      </w:r>
      <w:r w:rsidR="003D640C">
        <w:t xml:space="preserve"> </w:t>
      </w:r>
      <w:r w:rsidR="00BC382F" w:rsidRPr="00BB6220">
        <w:t>area</w:t>
      </w:r>
      <w:r w:rsidR="003D640C">
        <w:t xml:space="preserve"> </w:t>
      </w:r>
      <w:r w:rsidRPr="00BB6220">
        <w:t>i</w:t>
      </w:r>
      <w:r w:rsidR="00BC382F" w:rsidRPr="00BB6220">
        <w:t>s</w:t>
      </w:r>
      <w:r w:rsidR="003D640C">
        <w:t xml:space="preserve"> </w:t>
      </w:r>
      <w:r w:rsidRPr="00BB6220">
        <w:t>evident</w:t>
      </w:r>
      <w:r w:rsidR="003D640C">
        <w:t xml:space="preserve"> </w:t>
      </w:r>
      <w:r w:rsidRPr="00BB6220">
        <w:t>in</w:t>
      </w:r>
      <w:r w:rsidR="003D640C">
        <w:t xml:space="preserve"> </w:t>
      </w:r>
      <w:r w:rsidRPr="00BB6220">
        <w:t>debates</w:t>
      </w:r>
      <w:r w:rsidR="003D640C">
        <w:t xml:space="preserve"> </w:t>
      </w:r>
      <w:r w:rsidRPr="00BB6220">
        <w:t>about</w:t>
      </w:r>
      <w:r w:rsidR="003D640C">
        <w:t xml:space="preserve"> </w:t>
      </w:r>
      <w:r w:rsidRPr="00BB6220">
        <w:t>sexuality</w:t>
      </w:r>
      <w:r w:rsidR="003D640C">
        <w:t xml:space="preserve"> </w:t>
      </w:r>
      <w:r w:rsidRPr="00BB6220">
        <w:t>or</w:t>
      </w:r>
      <w:r w:rsidR="003D640C">
        <w:t xml:space="preserve"> </w:t>
      </w:r>
      <w:r w:rsidRPr="00BB6220">
        <w:t>marriage</w:t>
      </w:r>
      <w:r w:rsidR="003D640C">
        <w:t xml:space="preserve"> </w:t>
      </w:r>
      <w:r w:rsidRPr="00BB6220">
        <w:t>equality</w:t>
      </w:r>
      <w:r w:rsidR="003D640C">
        <w:t xml:space="preserve"> </w:t>
      </w:r>
      <w:r w:rsidR="00BC382F" w:rsidRPr="00BB6220">
        <w:t>in</w:t>
      </w:r>
      <w:r w:rsidR="003D640C">
        <w:t xml:space="preserve"> </w:t>
      </w:r>
      <w:r w:rsidR="00BC382F" w:rsidRPr="00BB6220">
        <w:t>Pacific</w:t>
      </w:r>
      <w:r w:rsidR="003D640C">
        <w:t xml:space="preserve"> </w:t>
      </w:r>
      <w:r w:rsidR="00BC382F" w:rsidRPr="00BB6220">
        <w:t>communities.</w:t>
      </w:r>
      <w:r w:rsidR="003D640C">
        <w:t xml:space="preserve"> </w:t>
      </w:r>
      <w:r w:rsidR="00BC382F" w:rsidRPr="00BB6220">
        <w:t>P</w:t>
      </w:r>
      <w:r w:rsidRPr="00BB6220">
        <w:t>olitical</w:t>
      </w:r>
      <w:r w:rsidR="003D640C">
        <w:t xml:space="preserve"> </w:t>
      </w:r>
      <w:r w:rsidRPr="00BB6220">
        <w:t>and</w:t>
      </w:r>
      <w:r w:rsidR="003D640C">
        <w:t xml:space="preserve"> </w:t>
      </w:r>
      <w:r w:rsidR="00716ACA" w:rsidRPr="00BB6220">
        <w:t>religious</w:t>
      </w:r>
      <w:r w:rsidR="003D640C">
        <w:t xml:space="preserve"> </w:t>
      </w:r>
      <w:r w:rsidRPr="00BB6220">
        <w:t>leaders</w:t>
      </w:r>
      <w:r w:rsidR="003D640C">
        <w:t xml:space="preserve"> </w:t>
      </w:r>
      <w:r w:rsidRPr="00BB6220">
        <w:t>in</w:t>
      </w:r>
      <w:r w:rsidR="003D640C">
        <w:t xml:space="preserve"> </w:t>
      </w:r>
      <w:r w:rsidRPr="00BB6220">
        <w:t>the</w:t>
      </w:r>
      <w:r w:rsidR="003D640C">
        <w:t xml:space="preserve"> </w:t>
      </w:r>
      <w:r w:rsidRPr="00BB6220">
        <w:t>Pacific</w:t>
      </w:r>
      <w:r w:rsidR="003D640C">
        <w:t xml:space="preserve"> </w:t>
      </w:r>
      <w:r w:rsidRPr="00BB6220">
        <w:t>and</w:t>
      </w:r>
      <w:r w:rsidR="003D640C">
        <w:t xml:space="preserve"> </w:t>
      </w:r>
      <w:r w:rsidRPr="00BB6220">
        <w:t>Aotearoa</w:t>
      </w:r>
      <w:r w:rsidR="003D640C">
        <w:t xml:space="preserve"> </w:t>
      </w:r>
      <w:r w:rsidR="00BC382F" w:rsidRPr="00BB6220">
        <w:t>in</w:t>
      </w:r>
      <w:r w:rsidR="003D640C">
        <w:t xml:space="preserve"> </w:t>
      </w:r>
      <w:r w:rsidR="00BC382F" w:rsidRPr="00BB6220">
        <w:t>these</w:t>
      </w:r>
      <w:r w:rsidR="003D640C">
        <w:t xml:space="preserve"> </w:t>
      </w:r>
      <w:r w:rsidR="00BC382F" w:rsidRPr="00BB6220">
        <w:t>debates</w:t>
      </w:r>
      <w:r w:rsidR="003D640C">
        <w:t xml:space="preserve"> </w:t>
      </w:r>
      <w:r w:rsidR="00BC382F" w:rsidRPr="00BB6220">
        <w:t>tend</w:t>
      </w:r>
      <w:r w:rsidR="003D640C">
        <w:t xml:space="preserve"> </w:t>
      </w:r>
      <w:r w:rsidR="00BC382F" w:rsidRPr="00BB6220">
        <w:t>to</w:t>
      </w:r>
      <w:r w:rsidR="003D640C">
        <w:t xml:space="preserve"> </w:t>
      </w:r>
      <w:r w:rsidRPr="00BB6220">
        <w:t>reject</w:t>
      </w:r>
      <w:r w:rsidR="003D640C">
        <w:t xml:space="preserve"> </w:t>
      </w:r>
      <w:r w:rsidRPr="00BB6220">
        <w:t>acceptance</w:t>
      </w:r>
      <w:r w:rsidR="003D640C">
        <w:t xml:space="preserve"> </w:t>
      </w:r>
      <w:r w:rsidR="5DFBDDC3" w:rsidRPr="00BB6220">
        <w:t>of</w:t>
      </w:r>
      <w:r w:rsidR="003D640C">
        <w:t xml:space="preserve"> </w:t>
      </w:r>
      <w:r w:rsidR="00BC382F" w:rsidRPr="00BB6220">
        <w:t>R</w:t>
      </w:r>
      <w:r w:rsidR="5DFBDDC3" w:rsidRPr="00BB6220">
        <w:t>ainbow</w:t>
      </w:r>
      <w:r w:rsidR="003D640C">
        <w:t xml:space="preserve"> </w:t>
      </w:r>
      <w:r w:rsidR="5DFBDDC3" w:rsidRPr="00BB6220">
        <w:t>people</w:t>
      </w:r>
      <w:r w:rsidR="003D640C">
        <w:t xml:space="preserve"> </w:t>
      </w:r>
      <w:r w:rsidR="00BC382F" w:rsidRPr="00BB6220">
        <w:t>by</w:t>
      </w:r>
      <w:r w:rsidR="003D640C">
        <w:t xml:space="preserve"> </w:t>
      </w:r>
      <w:r w:rsidR="00BC382F" w:rsidRPr="00BB6220">
        <w:t>emphasising</w:t>
      </w:r>
      <w:r w:rsidR="003D640C">
        <w:t xml:space="preserve"> </w:t>
      </w:r>
      <w:r w:rsidR="00BC382F" w:rsidRPr="00BB6220">
        <w:t>that</w:t>
      </w:r>
      <w:r w:rsidR="003D640C">
        <w:t xml:space="preserve"> </w:t>
      </w:r>
      <w:r w:rsidR="00BC382F" w:rsidRPr="00BB6220">
        <w:t>their</w:t>
      </w:r>
      <w:r w:rsidR="003D640C">
        <w:t xml:space="preserve"> </w:t>
      </w:r>
      <w:r w:rsidRPr="00BB6220">
        <w:t>nation</w:t>
      </w:r>
      <w:r w:rsidR="00BC382F" w:rsidRPr="00BB6220">
        <w:t>s</w:t>
      </w:r>
      <w:r w:rsidR="003D640C">
        <w:t xml:space="preserve"> </w:t>
      </w:r>
      <w:r w:rsidR="00BC382F" w:rsidRPr="00BB6220">
        <w:t>a</w:t>
      </w:r>
      <w:r w:rsidRPr="00BB6220">
        <w:t>re</w:t>
      </w:r>
      <w:r w:rsidR="003D640C">
        <w:t xml:space="preserve"> </w:t>
      </w:r>
      <w:r w:rsidRPr="00BB6220">
        <w:t>Christian</w:t>
      </w:r>
      <w:r w:rsidR="003D640C">
        <w:t xml:space="preserve"> </w:t>
      </w:r>
      <w:r w:rsidRPr="00BB6220">
        <w:t>countries</w:t>
      </w:r>
      <w:r w:rsidRPr="004134C1">
        <w:t>.</w:t>
      </w:r>
      <w:r w:rsidR="003D640C" w:rsidRPr="004134C1">
        <w:t xml:space="preserve"> </w:t>
      </w:r>
      <w:r w:rsidR="00627D2A" w:rsidRPr="007B139B">
        <w:t>See</w:t>
      </w:r>
      <w:r w:rsidR="003D640C" w:rsidRPr="007B139B">
        <w:t xml:space="preserve"> </w:t>
      </w:r>
      <w:r w:rsidR="00627D2A" w:rsidRPr="007B139B">
        <w:t>recommendations</w:t>
      </w:r>
      <w:r w:rsidR="003D640C" w:rsidRPr="007B139B">
        <w:t xml:space="preserve"> </w:t>
      </w:r>
      <w:r w:rsidR="00627D2A" w:rsidRPr="007B139B">
        <w:t>2</w:t>
      </w:r>
      <w:r w:rsidR="006F211F">
        <w:t>9</w:t>
      </w:r>
      <w:r w:rsidR="004134C1">
        <w:t>–</w:t>
      </w:r>
      <w:r w:rsidR="00627D2A" w:rsidRPr="007B139B">
        <w:t>3</w:t>
      </w:r>
      <w:r w:rsidR="0056228C">
        <w:t>2</w:t>
      </w:r>
      <w:r w:rsidR="003D640C" w:rsidRPr="007B139B">
        <w:t xml:space="preserve"> </w:t>
      </w:r>
      <w:r w:rsidR="00627D2A" w:rsidRPr="007B139B">
        <w:t>in</w:t>
      </w:r>
      <w:r w:rsidR="003D640C" w:rsidRPr="007B139B">
        <w:t xml:space="preserve"> </w:t>
      </w:r>
      <w:r w:rsidR="00627D2A" w:rsidRPr="007B139B">
        <w:t>chapter</w:t>
      </w:r>
      <w:r w:rsidR="003D640C" w:rsidRPr="007B139B">
        <w:t xml:space="preserve"> </w:t>
      </w:r>
      <w:r w:rsidR="00C71556">
        <w:rPr>
          <w:rFonts w:ascii="Calibri" w:eastAsia="Calibri" w:hAnsi="Calibri" w:cs="Calibri"/>
          <w:color w:val="000000" w:themeColor="text1"/>
        </w:rPr>
        <w:t>9</w:t>
      </w:r>
      <w:r w:rsidR="00627D2A" w:rsidRPr="007B139B">
        <w:t>.</w:t>
      </w:r>
      <w:r w:rsidR="003D640C">
        <w:rPr>
          <w:i/>
          <w:iCs/>
        </w:rPr>
        <w:t xml:space="preserve"> </w:t>
      </w:r>
    </w:p>
    <w:p w14:paraId="6684BF90" w14:textId="2439733C" w:rsidR="00B807C6" w:rsidRPr="00BB6220" w:rsidRDefault="00BC382F" w:rsidP="00747446">
      <w:r w:rsidRPr="00BB6220">
        <w:t>While</w:t>
      </w:r>
      <w:r w:rsidR="003D640C">
        <w:t xml:space="preserve"> </w:t>
      </w:r>
      <w:r w:rsidRPr="00BB6220">
        <w:t>distinct,</w:t>
      </w:r>
      <w:r w:rsidR="003D640C">
        <w:t xml:space="preserve"> </w:t>
      </w:r>
      <w:r w:rsidRPr="00BB6220">
        <w:t>t</w:t>
      </w:r>
      <w:r w:rsidR="00B807C6" w:rsidRPr="00BB6220">
        <w:t>he</w:t>
      </w:r>
      <w:r w:rsidR="003D640C">
        <w:t xml:space="preserve"> </w:t>
      </w:r>
      <w:r w:rsidR="00B807C6" w:rsidRPr="00BB6220">
        <w:t>experiences</w:t>
      </w:r>
      <w:r w:rsidR="003D640C">
        <w:t xml:space="preserve"> </w:t>
      </w:r>
      <w:r w:rsidR="0A9ADD22" w:rsidRPr="00BB6220">
        <w:t>of</w:t>
      </w:r>
      <w:r w:rsidR="003D640C">
        <w:t xml:space="preserve"> </w:t>
      </w:r>
      <w:r w:rsidR="00B807C6" w:rsidRPr="00BB6220">
        <w:t>Pacific</w:t>
      </w:r>
      <w:r w:rsidR="003D640C">
        <w:t xml:space="preserve"> </w:t>
      </w:r>
      <w:r w:rsidR="00B807C6" w:rsidRPr="00BB6220">
        <w:t>conversion</w:t>
      </w:r>
      <w:r w:rsidR="003D640C">
        <w:t xml:space="preserve"> </w:t>
      </w:r>
      <w:r w:rsidR="00B807C6" w:rsidRPr="00BB6220">
        <w:t>practice</w:t>
      </w:r>
      <w:r w:rsidR="003D640C">
        <w:t xml:space="preserve"> </w:t>
      </w:r>
      <w:r w:rsidR="00B807C6" w:rsidRPr="00BB6220">
        <w:t>survivors</w:t>
      </w:r>
      <w:r w:rsidR="003D640C">
        <w:t xml:space="preserve"> </w:t>
      </w:r>
      <w:r w:rsidRPr="00BB6220">
        <w:t>share</w:t>
      </w:r>
      <w:r w:rsidR="003D640C">
        <w:t xml:space="preserve"> </w:t>
      </w:r>
      <w:r w:rsidRPr="00BB6220">
        <w:t>similarities</w:t>
      </w:r>
      <w:r w:rsidR="003D640C">
        <w:t xml:space="preserve"> </w:t>
      </w:r>
      <w:r w:rsidRPr="00BB6220">
        <w:t>with</w:t>
      </w:r>
      <w:r w:rsidR="003D640C">
        <w:t xml:space="preserve"> </w:t>
      </w:r>
      <w:r w:rsidR="00B807C6" w:rsidRPr="00BB6220">
        <w:t>those</w:t>
      </w:r>
      <w:r w:rsidR="003D640C">
        <w:t xml:space="preserve"> </w:t>
      </w:r>
      <w:r w:rsidR="00B807C6" w:rsidRPr="00BB6220">
        <w:t>from</w:t>
      </w:r>
      <w:r w:rsidR="003D640C">
        <w:t xml:space="preserve"> </w:t>
      </w:r>
      <w:r w:rsidR="00B807C6" w:rsidRPr="00BB6220">
        <w:t>Māori</w:t>
      </w:r>
      <w:r w:rsidR="003D640C">
        <w:t xml:space="preserve"> </w:t>
      </w:r>
      <w:r w:rsidR="00B807C6" w:rsidRPr="00BB6220">
        <w:t>and</w:t>
      </w:r>
      <w:r w:rsidR="003D640C">
        <w:t xml:space="preserve"> </w:t>
      </w:r>
      <w:r w:rsidR="00B807C6" w:rsidRPr="00BB6220">
        <w:t>ethnic</w:t>
      </w:r>
      <w:r w:rsidR="003D640C">
        <w:t xml:space="preserve"> </w:t>
      </w:r>
      <w:r w:rsidR="00B807C6" w:rsidRPr="00BB6220">
        <w:t>communities.</w:t>
      </w:r>
      <w:r w:rsidR="003D640C">
        <w:t xml:space="preserve"> </w:t>
      </w:r>
      <w:r w:rsidR="00B807C6" w:rsidRPr="00BB6220">
        <w:t>Th</w:t>
      </w:r>
      <w:r w:rsidRPr="00BB6220">
        <w:t>e</w:t>
      </w:r>
      <w:r w:rsidR="003D640C">
        <w:t xml:space="preserve"> </w:t>
      </w:r>
      <w:r w:rsidRPr="00BB6220">
        <w:t>parallels</w:t>
      </w:r>
      <w:r w:rsidR="003D640C">
        <w:t xml:space="preserve"> </w:t>
      </w:r>
      <w:r w:rsidRPr="00BB6220">
        <w:t>are</w:t>
      </w:r>
      <w:r w:rsidR="003D640C">
        <w:t xml:space="preserve"> </w:t>
      </w:r>
      <w:r w:rsidR="00B807C6" w:rsidRPr="00BB6220">
        <w:t>primarily</w:t>
      </w:r>
      <w:r w:rsidR="003D640C">
        <w:t xml:space="preserve"> </w:t>
      </w:r>
      <w:r w:rsidR="00B807C6" w:rsidRPr="00BB6220">
        <w:t>due</w:t>
      </w:r>
      <w:r w:rsidR="003D640C">
        <w:t xml:space="preserve"> </w:t>
      </w:r>
      <w:r w:rsidR="00B807C6" w:rsidRPr="00BB6220">
        <w:t>to</w:t>
      </w:r>
      <w:r w:rsidR="003D640C">
        <w:t xml:space="preserve"> </w:t>
      </w:r>
      <w:r w:rsidR="00B807C6" w:rsidRPr="00BB6220">
        <w:t>shared</w:t>
      </w:r>
      <w:r w:rsidR="003D640C">
        <w:t xml:space="preserve"> </w:t>
      </w:r>
      <w:r w:rsidR="00B807C6" w:rsidRPr="00BB6220">
        <w:t>experiences</w:t>
      </w:r>
      <w:r w:rsidR="003D640C">
        <w:t xml:space="preserve"> </w:t>
      </w:r>
      <w:r w:rsidR="00B807C6" w:rsidRPr="00BB6220">
        <w:t>of</w:t>
      </w:r>
      <w:r w:rsidR="003D640C">
        <w:t xml:space="preserve"> </w:t>
      </w:r>
      <w:r w:rsidR="00B807C6" w:rsidRPr="00BB6220">
        <w:t>racial</w:t>
      </w:r>
      <w:r w:rsidR="003D640C">
        <w:t xml:space="preserve"> </w:t>
      </w:r>
      <w:r w:rsidR="00B807C6" w:rsidRPr="00BB6220">
        <w:t>discrimination,</w:t>
      </w:r>
      <w:r w:rsidR="003D640C">
        <w:t xml:space="preserve"> </w:t>
      </w:r>
      <w:r w:rsidR="00B807C6" w:rsidRPr="00BB6220">
        <w:t>social</w:t>
      </w:r>
      <w:r w:rsidR="003D640C">
        <w:t xml:space="preserve"> </w:t>
      </w:r>
      <w:r w:rsidR="00B807C6" w:rsidRPr="00BB6220">
        <w:t>inequalities</w:t>
      </w:r>
      <w:r w:rsidR="003D640C">
        <w:t xml:space="preserve"> </w:t>
      </w:r>
      <w:r w:rsidR="00B807C6" w:rsidRPr="00BB6220">
        <w:t>and</w:t>
      </w:r>
      <w:r w:rsidR="003D640C">
        <w:t xml:space="preserve"> </w:t>
      </w:r>
      <w:r w:rsidR="00B807C6" w:rsidRPr="00BB6220">
        <w:t>inequities,</w:t>
      </w:r>
      <w:r w:rsidR="003D640C">
        <w:t xml:space="preserve"> </w:t>
      </w:r>
      <w:r w:rsidR="00B807C6" w:rsidRPr="00BB6220">
        <w:t>and</w:t>
      </w:r>
      <w:r w:rsidR="003D640C">
        <w:t xml:space="preserve"> </w:t>
      </w:r>
      <w:r w:rsidR="00B807C6" w:rsidRPr="00BB6220">
        <w:t>histories</w:t>
      </w:r>
      <w:r w:rsidR="003D640C">
        <w:t xml:space="preserve"> </w:t>
      </w:r>
      <w:r w:rsidR="00B807C6" w:rsidRPr="00BB6220">
        <w:t>of</w:t>
      </w:r>
      <w:r w:rsidR="003D640C">
        <w:t xml:space="preserve"> </w:t>
      </w:r>
      <w:r w:rsidR="00B807C6" w:rsidRPr="00BB6220">
        <w:t>colonisation</w:t>
      </w:r>
      <w:r w:rsidR="003D640C">
        <w:t xml:space="preserve"> </w:t>
      </w:r>
      <w:r w:rsidR="00B807C6" w:rsidRPr="00BB6220">
        <w:t>for</w:t>
      </w:r>
      <w:r w:rsidR="003D640C">
        <w:t xml:space="preserve"> </w:t>
      </w:r>
      <w:r w:rsidR="00B807C6" w:rsidRPr="00BB6220">
        <w:t>non-Māori</w:t>
      </w:r>
      <w:r w:rsidR="003D640C">
        <w:t xml:space="preserve"> </w:t>
      </w:r>
      <w:r w:rsidR="00B807C6" w:rsidRPr="00BB6220">
        <w:t>in</w:t>
      </w:r>
      <w:r w:rsidR="003D640C">
        <w:t xml:space="preserve"> </w:t>
      </w:r>
      <w:r w:rsidR="00B807C6" w:rsidRPr="00BB6220">
        <w:t>their</w:t>
      </w:r>
      <w:r w:rsidR="003D640C">
        <w:t xml:space="preserve"> </w:t>
      </w:r>
      <w:r w:rsidR="00B807C6" w:rsidRPr="00BB6220">
        <w:t>country</w:t>
      </w:r>
      <w:r w:rsidR="003D640C">
        <w:t xml:space="preserve"> </w:t>
      </w:r>
      <w:r w:rsidR="00B807C6" w:rsidRPr="00BB6220">
        <w:t>of</w:t>
      </w:r>
      <w:r w:rsidR="003D640C">
        <w:t xml:space="preserve"> </w:t>
      </w:r>
      <w:r w:rsidR="00B807C6" w:rsidRPr="00BB6220">
        <w:t>origin</w:t>
      </w:r>
      <w:r w:rsidR="00E37AF9" w:rsidRPr="00BB6220">
        <w:t>.</w:t>
      </w:r>
      <w:r w:rsidR="003D640C">
        <w:t xml:space="preserve"> </w:t>
      </w:r>
    </w:p>
    <w:p w14:paraId="61CC5123" w14:textId="0BDE0D07" w:rsidR="00747446" w:rsidRDefault="00E37AF9" w:rsidP="00747446">
      <w:r w:rsidRPr="00BB6220">
        <w:t>On</w:t>
      </w:r>
      <w:r w:rsidR="003D640C">
        <w:t xml:space="preserve"> </w:t>
      </w:r>
      <w:r w:rsidRPr="00BB6220">
        <w:t>the</w:t>
      </w:r>
      <w:r w:rsidR="003D640C">
        <w:t xml:space="preserve"> </w:t>
      </w:r>
      <w:r w:rsidRPr="00BB6220">
        <w:t>positive</w:t>
      </w:r>
      <w:r w:rsidR="003D640C">
        <w:t xml:space="preserve"> </w:t>
      </w:r>
      <w:r w:rsidRPr="00BB6220">
        <w:t>side,</w:t>
      </w:r>
      <w:r w:rsidR="003D640C">
        <w:t xml:space="preserve"> </w:t>
      </w:r>
      <w:r w:rsidRPr="00BB6220">
        <w:t>there</w:t>
      </w:r>
      <w:r w:rsidR="003D640C">
        <w:t xml:space="preserve"> </w:t>
      </w:r>
      <w:r w:rsidRPr="00BB6220">
        <w:t>are</w:t>
      </w:r>
      <w:r w:rsidR="003D640C">
        <w:t xml:space="preserve"> </w:t>
      </w:r>
      <w:r w:rsidRPr="00BB6220">
        <w:t>many</w:t>
      </w:r>
      <w:r w:rsidR="003D640C">
        <w:t xml:space="preserve"> </w:t>
      </w:r>
      <w:r w:rsidRPr="00BB6220">
        <w:t>more</w:t>
      </w:r>
      <w:r w:rsidR="003D640C">
        <w:t xml:space="preserve"> </w:t>
      </w:r>
      <w:r w:rsidRPr="00BB6220">
        <w:t>survivors</w:t>
      </w:r>
      <w:r w:rsidR="003D640C">
        <w:t xml:space="preserve"> </w:t>
      </w:r>
      <w:r w:rsidRPr="00BB6220">
        <w:t>from</w:t>
      </w:r>
      <w:r w:rsidR="003D640C">
        <w:t xml:space="preserve"> </w:t>
      </w:r>
      <w:r w:rsidRPr="00BB6220">
        <w:t>Pacific</w:t>
      </w:r>
      <w:r w:rsidR="003D640C">
        <w:t xml:space="preserve"> </w:t>
      </w:r>
      <w:r w:rsidRPr="00BB6220">
        <w:t>backgrounds</w:t>
      </w:r>
      <w:r w:rsidR="003D640C">
        <w:t xml:space="preserve"> </w:t>
      </w:r>
      <w:r w:rsidRPr="00BB6220">
        <w:t>who</w:t>
      </w:r>
      <w:r w:rsidR="003D640C">
        <w:t xml:space="preserve"> </w:t>
      </w:r>
      <w:r w:rsidRPr="00BB6220">
        <w:t>are</w:t>
      </w:r>
      <w:r w:rsidR="003D640C">
        <w:t xml:space="preserve"> </w:t>
      </w:r>
      <w:r w:rsidRPr="00BB6220">
        <w:t>not</w:t>
      </w:r>
      <w:r w:rsidR="003D640C">
        <w:t xml:space="preserve"> </w:t>
      </w:r>
      <w:r w:rsidRPr="00BB6220">
        <w:t>only</w:t>
      </w:r>
      <w:r w:rsidR="003D640C">
        <w:t xml:space="preserve"> </w:t>
      </w:r>
      <w:r w:rsidRPr="00BB6220">
        <w:t>speaking</w:t>
      </w:r>
      <w:r w:rsidR="003D640C">
        <w:t xml:space="preserve"> </w:t>
      </w:r>
      <w:r w:rsidRPr="00BB6220">
        <w:t>about</w:t>
      </w:r>
      <w:r w:rsidR="003D640C">
        <w:t xml:space="preserve"> </w:t>
      </w:r>
      <w:r w:rsidRPr="00BB6220">
        <w:t>their</w:t>
      </w:r>
      <w:r w:rsidR="003D640C">
        <w:t xml:space="preserve"> </w:t>
      </w:r>
      <w:r w:rsidRPr="00BB6220">
        <w:t>experiences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but</w:t>
      </w:r>
      <w:r w:rsidR="003D640C">
        <w:t xml:space="preserve"> </w:t>
      </w:r>
      <w:r w:rsidRPr="00BB6220">
        <w:t>are</w:t>
      </w:r>
      <w:r w:rsidR="003D640C">
        <w:t xml:space="preserve"> </w:t>
      </w:r>
      <w:r w:rsidRPr="00BB6220">
        <w:t>also</w:t>
      </w:r>
      <w:r w:rsidR="003D640C">
        <w:t xml:space="preserve"> </w:t>
      </w:r>
      <w:r w:rsidR="00CF1240" w:rsidRPr="00BB6220">
        <w:t>authoritatively</w:t>
      </w:r>
      <w:r w:rsidR="003D640C">
        <w:t xml:space="preserve"> </w:t>
      </w:r>
      <w:r w:rsidRPr="00BB6220">
        <w:t>commenting</w:t>
      </w:r>
      <w:r w:rsidR="003D640C">
        <w:t xml:space="preserve"> </w:t>
      </w:r>
      <w:r w:rsidRPr="00BB6220">
        <w:t>on</w:t>
      </w:r>
      <w:r w:rsidR="003D640C">
        <w:t xml:space="preserve"> </w:t>
      </w:r>
      <w:r w:rsidRPr="00BB6220">
        <w:t>the</w:t>
      </w:r>
      <w:r w:rsidR="003D640C">
        <w:t xml:space="preserve"> </w:t>
      </w:r>
      <w:r w:rsidRPr="00BB6220">
        <w:t>intersection</w:t>
      </w:r>
      <w:r w:rsidR="003D640C">
        <w:t xml:space="preserve"> </w:t>
      </w:r>
      <w:r w:rsidRPr="00BB6220">
        <w:t>of</w:t>
      </w:r>
      <w:r w:rsidR="003D640C">
        <w:t xml:space="preserve"> </w:t>
      </w:r>
      <w:r w:rsidRPr="00BB6220">
        <w:t>family,</w:t>
      </w:r>
      <w:r w:rsidR="003D640C">
        <w:t xml:space="preserve"> </w:t>
      </w:r>
      <w:r w:rsidRPr="00BB6220">
        <w:t>spirituality,</w:t>
      </w:r>
      <w:r w:rsidR="003D640C">
        <w:t xml:space="preserve"> </w:t>
      </w:r>
      <w:r w:rsidRPr="00BB6220">
        <w:t>culture,</w:t>
      </w:r>
      <w:r w:rsidR="003D640C">
        <w:t xml:space="preserve"> </w:t>
      </w:r>
      <w:r w:rsidRPr="00BB6220">
        <w:t>and</w:t>
      </w:r>
      <w:r w:rsidR="003D640C">
        <w:t xml:space="preserve"> </w:t>
      </w:r>
      <w:r w:rsidRPr="00BB6220">
        <w:t>indigeneity</w:t>
      </w:r>
      <w:r w:rsidR="003D640C">
        <w:t xml:space="preserve"> </w:t>
      </w:r>
      <w:r w:rsidRPr="00BB6220">
        <w:t>with</w:t>
      </w:r>
      <w:r w:rsidR="003D640C">
        <w:t xml:space="preserve"> </w:t>
      </w:r>
      <w:r w:rsidRPr="00BB6220">
        <w:t>Rainbow</w:t>
      </w:r>
      <w:r w:rsidR="003D640C">
        <w:t xml:space="preserve"> </w:t>
      </w:r>
      <w:r w:rsidRPr="00BB6220">
        <w:t>identities</w:t>
      </w:r>
      <w:r w:rsidR="00FE041E" w:rsidRPr="00BB6220">
        <w:t>.</w:t>
      </w:r>
      <w:r w:rsidR="003D640C">
        <w:t xml:space="preserve"> </w:t>
      </w:r>
      <w:r w:rsidR="00FE041E" w:rsidRPr="00BB6220">
        <w:t>These</w:t>
      </w:r>
      <w:r w:rsidR="003D640C">
        <w:t xml:space="preserve"> </w:t>
      </w:r>
      <w:r w:rsidR="00FE041E" w:rsidRPr="00BB6220">
        <w:t>survivors</w:t>
      </w:r>
      <w:r w:rsidR="003D640C">
        <w:t xml:space="preserve"> </w:t>
      </w:r>
      <w:r w:rsidR="00FE041E" w:rsidRPr="00BB6220">
        <w:t>are</w:t>
      </w:r>
      <w:r w:rsidR="003D640C">
        <w:t xml:space="preserve"> </w:t>
      </w:r>
      <w:r w:rsidRPr="00BB6220">
        <w:t>modelling</w:t>
      </w:r>
      <w:r w:rsidR="003D640C">
        <w:t xml:space="preserve"> </w:t>
      </w:r>
      <w:r w:rsidRPr="00BB6220">
        <w:t>new</w:t>
      </w:r>
      <w:r w:rsidR="003D640C">
        <w:t xml:space="preserve"> </w:t>
      </w:r>
      <w:r w:rsidRPr="00BB6220">
        <w:t>inclusive</w:t>
      </w:r>
      <w:r w:rsidR="003D640C">
        <w:t xml:space="preserve"> </w:t>
      </w:r>
      <w:r w:rsidRPr="00BB6220">
        <w:t>practices</w:t>
      </w:r>
      <w:r w:rsidR="003D640C">
        <w:t xml:space="preserve"> </w:t>
      </w:r>
      <w:r w:rsidRPr="00BB6220">
        <w:t>in</w:t>
      </w:r>
      <w:r w:rsidR="003D640C">
        <w:t xml:space="preserve"> </w:t>
      </w:r>
      <w:r w:rsidRPr="00BB6220">
        <w:t>those</w:t>
      </w:r>
      <w:r w:rsidR="003D640C">
        <w:t xml:space="preserve"> </w:t>
      </w:r>
      <w:r w:rsidRPr="00BB6220">
        <w:t>spaces.</w:t>
      </w:r>
    </w:p>
    <w:p w14:paraId="4A7AC15D" w14:textId="672BC33F" w:rsidR="00591719" w:rsidRPr="00BB6220" w:rsidRDefault="00591719" w:rsidP="00323E57">
      <w:pPr>
        <w:pStyle w:val="Heading2"/>
      </w:pPr>
      <w:bookmarkStart w:id="273" w:name="_Toc138343833"/>
      <w:bookmarkStart w:id="274" w:name="_Toc167780617"/>
      <w:bookmarkStart w:id="275" w:name="_Toc1482609682"/>
      <w:bookmarkStart w:id="276" w:name="_Toc174628677"/>
      <w:bookmarkStart w:id="277" w:name="_Toc138325188"/>
      <w:r w:rsidRPr="00BB6220">
        <w:t>Ethnic</w:t>
      </w:r>
      <w:r w:rsidR="003D640C">
        <w:t xml:space="preserve"> </w:t>
      </w:r>
      <w:r w:rsidRPr="00BB6220">
        <w:t>communities’</w:t>
      </w:r>
      <w:r w:rsidR="003D640C">
        <w:t xml:space="preserve"> </w:t>
      </w:r>
      <w:r w:rsidRPr="00BB6220">
        <w:t>experience</w:t>
      </w:r>
      <w:r w:rsidR="003D640C">
        <w:t xml:space="preserve"> </w:t>
      </w:r>
      <w:r w:rsidRPr="00BB6220">
        <w:t>of</w:t>
      </w:r>
      <w:r w:rsidR="003D640C">
        <w:t xml:space="preserve"> </w:t>
      </w:r>
      <w:r w:rsidRPr="00BB6220">
        <w:t>conversion</w:t>
      </w:r>
      <w:r w:rsidR="003D640C">
        <w:t xml:space="preserve"> </w:t>
      </w:r>
      <w:r w:rsidRPr="00BB6220">
        <w:t>practices</w:t>
      </w:r>
      <w:bookmarkEnd w:id="273"/>
      <w:bookmarkEnd w:id="274"/>
      <w:bookmarkEnd w:id="275"/>
      <w:bookmarkEnd w:id="276"/>
    </w:p>
    <w:p w14:paraId="1DEC0F3F" w14:textId="36D8F9DD" w:rsidR="008B0FA9" w:rsidRPr="00DA2287" w:rsidRDefault="008B0FA9" w:rsidP="00323E57">
      <w:r w:rsidRPr="00DA2287">
        <w:t>In</w:t>
      </w:r>
      <w:r w:rsidR="003D640C">
        <w:t xml:space="preserve"> </w:t>
      </w:r>
      <w:r w:rsidRPr="00DA2287">
        <w:t>Aotearoa,</w:t>
      </w:r>
      <w:r w:rsidR="003D640C">
        <w:t xml:space="preserve"> </w:t>
      </w:r>
      <w:r w:rsidRPr="00DA2287">
        <w:t>the</w:t>
      </w:r>
      <w:r w:rsidR="003D640C">
        <w:t xml:space="preserve"> </w:t>
      </w:r>
      <w:r w:rsidRPr="00DA2287">
        <w:t>term</w:t>
      </w:r>
      <w:r w:rsidR="003D640C">
        <w:t xml:space="preserve"> </w:t>
      </w:r>
      <w:r w:rsidRPr="00DA2287">
        <w:t>‘ethnic</w:t>
      </w:r>
      <w:r w:rsidR="003D640C">
        <w:t xml:space="preserve"> </w:t>
      </w:r>
      <w:r w:rsidRPr="00DA2287">
        <w:t>communities’</w:t>
      </w:r>
      <w:r w:rsidR="003D640C">
        <w:t xml:space="preserve"> </w:t>
      </w:r>
      <w:r w:rsidRPr="00DA2287">
        <w:t>is</w:t>
      </w:r>
      <w:r w:rsidR="003D640C">
        <w:t xml:space="preserve"> </w:t>
      </w:r>
      <w:r w:rsidRPr="00DA2287">
        <w:t>an</w:t>
      </w:r>
      <w:r w:rsidR="003D640C">
        <w:t xml:space="preserve"> </w:t>
      </w:r>
      <w:r w:rsidRPr="00DA2287">
        <w:t>umbrella</w:t>
      </w:r>
      <w:r w:rsidR="003D640C">
        <w:t xml:space="preserve"> </w:t>
      </w:r>
      <w:r w:rsidRPr="00DA2287">
        <w:t>term</w:t>
      </w:r>
      <w:r w:rsidR="003D640C">
        <w:t xml:space="preserve"> </w:t>
      </w:r>
      <w:r w:rsidRPr="00DA2287">
        <w:t>that</w:t>
      </w:r>
      <w:r w:rsidR="003D640C">
        <w:t xml:space="preserve"> </w:t>
      </w:r>
      <w:r w:rsidRPr="00DA2287">
        <w:t>captures</w:t>
      </w:r>
      <w:r w:rsidR="003D640C">
        <w:t xml:space="preserve"> </w:t>
      </w:r>
      <w:r w:rsidRPr="00DA2287">
        <w:t>a</w:t>
      </w:r>
      <w:r w:rsidR="003D640C">
        <w:t xml:space="preserve"> </w:t>
      </w:r>
      <w:r w:rsidRPr="00DA2287">
        <w:t>diverse</w:t>
      </w:r>
      <w:r w:rsidR="003D640C">
        <w:t xml:space="preserve"> </w:t>
      </w:r>
      <w:r w:rsidRPr="00DA2287">
        <w:t>group</w:t>
      </w:r>
      <w:r w:rsidR="003D640C">
        <w:t xml:space="preserve"> </w:t>
      </w:r>
      <w:r w:rsidRPr="00DA2287">
        <w:t>representing</w:t>
      </w:r>
      <w:r w:rsidR="003D640C">
        <w:t xml:space="preserve"> </w:t>
      </w:r>
      <w:r w:rsidRPr="00DA2287">
        <w:t>over</w:t>
      </w:r>
      <w:r w:rsidR="003D640C">
        <w:t xml:space="preserve"> </w:t>
      </w:r>
      <w:r w:rsidRPr="00DA2287">
        <w:t>200</w:t>
      </w:r>
      <w:r w:rsidR="003D640C">
        <w:t xml:space="preserve"> </w:t>
      </w:r>
      <w:r w:rsidRPr="00DA2287">
        <w:t>ethnicities</w:t>
      </w:r>
      <w:r w:rsidR="003D640C">
        <w:t xml:space="preserve"> </w:t>
      </w:r>
      <w:r w:rsidRPr="00DA2287">
        <w:t>and</w:t>
      </w:r>
      <w:r w:rsidR="003D640C">
        <w:t xml:space="preserve"> </w:t>
      </w:r>
      <w:r w:rsidRPr="00DA2287">
        <w:t>speaking</w:t>
      </w:r>
      <w:r w:rsidR="003D640C">
        <w:t xml:space="preserve"> </w:t>
      </w:r>
      <w:r w:rsidRPr="00DA2287">
        <w:t>over</w:t>
      </w:r>
      <w:r w:rsidR="003D640C">
        <w:t xml:space="preserve"> </w:t>
      </w:r>
      <w:r w:rsidRPr="00DA2287">
        <w:t>170</w:t>
      </w:r>
      <w:r w:rsidR="003D640C">
        <w:t xml:space="preserve"> </w:t>
      </w:r>
      <w:r w:rsidRPr="00DA2287">
        <w:t>languages.</w:t>
      </w:r>
      <w:r w:rsidRPr="00DA2287">
        <w:rPr>
          <w:rStyle w:val="FootnoteReference"/>
          <w:rFonts w:eastAsia="Open Sans"/>
          <w:color w:val="121317"/>
        </w:rPr>
        <w:footnoteReference w:id="204"/>
      </w:r>
      <w:r w:rsidR="003D640C">
        <w:t xml:space="preserve"> </w:t>
      </w:r>
      <w:r w:rsidRPr="00DA2287">
        <w:t>This</w:t>
      </w:r>
      <w:r w:rsidR="003D640C">
        <w:t xml:space="preserve"> </w:t>
      </w:r>
      <w:r w:rsidRPr="00DA2287">
        <w:t>section</w:t>
      </w:r>
      <w:r w:rsidR="003D640C">
        <w:t xml:space="preserve"> </w:t>
      </w:r>
      <w:r w:rsidRPr="00DA2287">
        <w:t>explores</w:t>
      </w:r>
      <w:r w:rsidR="003D640C">
        <w:t xml:space="preserve"> </w:t>
      </w:r>
      <w:r w:rsidRPr="00DA2287">
        <w:t>some</w:t>
      </w:r>
      <w:r w:rsidR="003D640C">
        <w:t xml:space="preserve"> </w:t>
      </w:r>
      <w:r w:rsidRPr="00DA2287">
        <w:t>of</w:t>
      </w:r>
      <w:r w:rsidR="003D640C">
        <w:t xml:space="preserve"> </w:t>
      </w:r>
      <w:r w:rsidRPr="00DA2287">
        <w:t>the</w:t>
      </w:r>
      <w:r w:rsidR="003D640C">
        <w:t xml:space="preserve"> </w:t>
      </w:r>
      <w:r w:rsidRPr="00DA2287">
        <w:t>perspectives</w:t>
      </w:r>
      <w:r w:rsidR="003D640C">
        <w:t xml:space="preserve"> </w:t>
      </w:r>
      <w:r w:rsidRPr="00DA2287">
        <w:t>of</w:t>
      </w:r>
      <w:r w:rsidR="003D640C">
        <w:t xml:space="preserve"> </w:t>
      </w:r>
      <w:r w:rsidRPr="00DA2287">
        <w:t>ethnic</w:t>
      </w:r>
      <w:r w:rsidR="003D640C">
        <w:t xml:space="preserve"> </w:t>
      </w:r>
      <w:r w:rsidRPr="00DA2287">
        <w:t>Rainbow</w:t>
      </w:r>
      <w:r w:rsidR="003D640C">
        <w:t xml:space="preserve"> </w:t>
      </w:r>
      <w:r w:rsidRPr="00DA2287">
        <w:t>communities</w:t>
      </w:r>
      <w:r w:rsidR="003D640C">
        <w:t xml:space="preserve"> </w:t>
      </w:r>
      <w:r w:rsidRPr="00DA2287">
        <w:t>who</w:t>
      </w:r>
      <w:r w:rsidR="003D640C">
        <w:t xml:space="preserve"> </w:t>
      </w:r>
      <w:r w:rsidRPr="00DA2287">
        <w:t>have</w:t>
      </w:r>
      <w:r w:rsidR="003D640C">
        <w:t xml:space="preserve"> </w:t>
      </w:r>
      <w:r w:rsidRPr="00DA2287">
        <w:t>experienced</w:t>
      </w:r>
      <w:r w:rsidR="003D640C">
        <w:t xml:space="preserve"> </w:t>
      </w:r>
      <w:r w:rsidRPr="00DA2287">
        <w:t>or</w:t>
      </w:r>
      <w:r w:rsidR="003D640C">
        <w:t xml:space="preserve"> </w:t>
      </w:r>
      <w:r w:rsidRPr="00DA2287">
        <w:t>observed</w:t>
      </w:r>
      <w:r w:rsidR="003D640C">
        <w:t xml:space="preserve"> </w:t>
      </w:r>
      <w:r w:rsidRPr="00DA2287">
        <w:t>conversion</w:t>
      </w:r>
      <w:r w:rsidR="003D640C">
        <w:t xml:space="preserve"> </w:t>
      </w:r>
      <w:r w:rsidRPr="00DA2287">
        <w:t>practices</w:t>
      </w:r>
      <w:r w:rsidR="003D640C">
        <w:t xml:space="preserve"> </w:t>
      </w:r>
      <w:r w:rsidRPr="00DA2287">
        <w:t>in</w:t>
      </w:r>
      <w:r w:rsidR="003D640C">
        <w:t xml:space="preserve"> </w:t>
      </w:r>
      <w:r w:rsidRPr="00DA2287">
        <w:t>Aotearoa.</w:t>
      </w:r>
      <w:r w:rsidR="003D640C">
        <w:t xml:space="preserve"> </w:t>
      </w:r>
    </w:p>
    <w:p w14:paraId="3E0D3F00" w14:textId="1F867638" w:rsidR="005678DE" w:rsidRDefault="008B0FA9" w:rsidP="00323E57">
      <w:r w:rsidRPr="00DA2287">
        <w:t>The</w:t>
      </w:r>
      <w:r w:rsidR="003D640C">
        <w:t xml:space="preserve"> </w:t>
      </w:r>
      <w:r w:rsidRPr="00DA2287">
        <w:t>insights</w:t>
      </w:r>
      <w:r w:rsidR="003D640C">
        <w:t xml:space="preserve"> </w:t>
      </w:r>
      <w:r w:rsidRPr="00DA2287">
        <w:t>contributed</w:t>
      </w:r>
      <w:r w:rsidR="003D640C">
        <w:t xml:space="preserve"> </w:t>
      </w:r>
      <w:r w:rsidRPr="00DA2287">
        <w:t>here</w:t>
      </w:r>
      <w:r w:rsidR="003D640C">
        <w:t xml:space="preserve"> </w:t>
      </w:r>
      <w:r w:rsidRPr="00DA2287">
        <w:t>draw</w:t>
      </w:r>
      <w:r w:rsidR="003D640C">
        <w:t xml:space="preserve"> </w:t>
      </w:r>
      <w:r w:rsidRPr="00DA2287">
        <w:t>from</w:t>
      </w:r>
      <w:r w:rsidR="003D640C">
        <w:t xml:space="preserve"> </w:t>
      </w:r>
      <w:r w:rsidRPr="00DA2287">
        <w:t>the</w:t>
      </w:r>
      <w:r w:rsidR="003D640C">
        <w:t xml:space="preserve"> </w:t>
      </w:r>
      <w:r w:rsidRPr="00DA2287">
        <w:t>team’s</w:t>
      </w:r>
      <w:r w:rsidR="003D640C">
        <w:t xml:space="preserve"> </w:t>
      </w:r>
      <w:r w:rsidRPr="00DA2287">
        <w:t>engagements</w:t>
      </w:r>
      <w:r w:rsidR="003D640C">
        <w:t xml:space="preserve"> </w:t>
      </w:r>
      <w:r w:rsidRPr="00DA2287">
        <w:t>and</w:t>
      </w:r>
      <w:r w:rsidR="003D640C">
        <w:t xml:space="preserve"> </w:t>
      </w:r>
      <w:r w:rsidRPr="00DA2287">
        <w:t>interactions</w:t>
      </w:r>
      <w:r w:rsidR="003D640C">
        <w:t xml:space="preserve"> </w:t>
      </w:r>
      <w:r w:rsidRPr="00DA2287">
        <w:t>with</w:t>
      </w:r>
      <w:r w:rsidR="003D640C">
        <w:t xml:space="preserve"> </w:t>
      </w:r>
      <w:r w:rsidR="00413241">
        <w:t>ethnic</w:t>
      </w:r>
      <w:r w:rsidR="003D640C">
        <w:t xml:space="preserve"> </w:t>
      </w:r>
      <w:r w:rsidRPr="00DA2287">
        <w:t>survivors</w:t>
      </w:r>
      <w:r w:rsidR="003D640C">
        <w:t xml:space="preserve"> </w:t>
      </w:r>
      <w:r w:rsidRPr="00DA2287">
        <w:t>as</w:t>
      </w:r>
      <w:r w:rsidR="003D640C">
        <w:t xml:space="preserve"> </w:t>
      </w:r>
      <w:r w:rsidRPr="00DA2287">
        <w:t>well</w:t>
      </w:r>
      <w:r w:rsidR="003D640C">
        <w:t xml:space="preserve"> </w:t>
      </w:r>
      <w:r w:rsidRPr="00DA2287">
        <w:t>as</w:t>
      </w:r>
      <w:r w:rsidR="003D640C">
        <w:t xml:space="preserve"> </w:t>
      </w:r>
      <w:r w:rsidRPr="00DA2287">
        <w:t>desktop</w:t>
      </w:r>
      <w:r w:rsidR="003D640C">
        <w:t xml:space="preserve"> </w:t>
      </w:r>
      <w:r w:rsidRPr="00DA2287">
        <w:t>research</w:t>
      </w:r>
      <w:r w:rsidR="003D640C">
        <w:t xml:space="preserve"> </w:t>
      </w:r>
      <w:r w:rsidRPr="00DA2287">
        <w:t>of</w:t>
      </w:r>
      <w:r w:rsidR="003D640C">
        <w:t xml:space="preserve"> </w:t>
      </w:r>
      <w:r w:rsidRPr="00DA2287">
        <w:t>available</w:t>
      </w:r>
      <w:r w:rsidR="003D640C">
        <w:t xml:space="preserve"> </w:t>
      </w:r>
      <w:r w:rsidRPr="00DA2287">
        <w:t>published</w:t>
      </w:r>
      <w:r w:rsidR="003D640C">
        <w:t xml:space="preserve"> </w:t>
      </w:r>
      <w:r w:rsidRPr="00DA2287">
        <w:t>articles,</w:t>
      </w:r>
      <w:r w:rsidR="003D640C">
        <w:t xml:space="preserve"> </w:t>
      </w:r>
      <w:r w:rsidRPr="00DA2287">
        <w:t>reports</w:t>
      </w:r>
      <w:r w:rsidR="00E51ABF">
        <w:t>,</w:t>
      </w:r>
      <w:r w:rsidR="003D640C">
        <w:t xml:space="preserve"> </w:t>
      </w:r>
      <w:r w:rsidRPr="00DA2287">
        <w:t>and</w:t>
      </w:r>
      <w:r w:rsidR="003D640C">
        <w:t xml:space="preserve"> </w:t>
      </w:r>
      <w:r w:rsidRPr="00DA2287">
        <w:t>academic</w:t>
      </w:r>
      <w:r w:rsidR="003D640C">
        <w:t xml:space="preserve"> </w:t>
      </w:r>
      <w:r w:rsidRPr="00DA2287">
        <w:t>journal</w:t>
      </w:r>
      <w:r w:rsidR="003D640C">
        <w:t xml:space="preserve"> </w:t>
      </w:r>
      <w:r w:rsidRPr="00DA2287">
        <w:t>articles,</w:t>
      </w:r>
      <w:r w:rsidR="003D640C">
        <w:t xml:space="preserve"> </w:t>
      </w:r>
      <w:r w:rsidR="00E1774E" w:rsidRPr="00DA2287">
        <w:t>as</w:t>
      </w:r>
      <w:r w:rsidR="003D640C">
        <w:t xml:space="preserve"> </w:t>
      </w:r>
      <w:r w:rsidR="00E1774E" w:rsidRPr="00DA2287">
        <w:t>in</w:t>
      </w:r>
      <w:r w:rsidR="003D640C">
        <w:t xml:space="preserve"> </w:t>
      </w:r>
      <w:r w:rsidRPr="00DA2287">
        <w:t>other</w:t>
      </w:r>
      <w:r w:rsidR="003D640C">
        <w:t xml:space="preserve"> </w:t>
      </w:r>
      <w:r w:rsidRPr="00DA2287">
        <w:t>parts</w:t>
      </w:r>
      <w:r w:rsidR="003D640C">
        <w:t xml:space="preserve"> </w:t>
      </w:r>
      <w:r w:rsidRPr="00DA2287">
        <w:t>of</w:t>
      </w:r>
      <w:r w:rsidR="003D640C">
        <w:t xml:space="preserve"> </w:t>
      </w:r>
      <w:r w:rsidRPr="00DA2287">
        <w:t>th</w:t>
      </w:r>
      <w:r w:rsidR="00E1774E" w:rsidRPr="00DA2287">
        <w:t>is</w:t>
      </w:r>
      <w:r w:rsidR="003D640C">
        <w:t xml:space="preserve"> </w:t>
      </w:r>
      <w:r w:rsidRPr="00DA2287">
        <w:t>report.</w:t>
      </w:r>
      <w:r w:rsidR="003D640C">
        <w:t xml:space="preserve"> </w:t>
      </w:r>
      <w:r w:rsidRPr="00DA2287">
        <w:t>However,</w:t>
      </w:r>
      <w:r w:rsidR="003D640C">
        <w:t xml:space="preserve"> </w:t>
      </w:r>
      <w:r w:rsidRPr="00DA2287">
        <w:t>given</w:t>
      </w:r>
      <w:r w:rsidR="003D640C">
        <w:t xml:space="preserve"> </w:t>
      </w:r>
      <w:r w:rsidRPr="00DA2287">
        <w:t>that</w:t>
      </w:r>
      <w:r w:rsidR="003D640C">
        <w:t xml:space="preserve"> </w:t>
      </w:r>
      <w:r w:rsidRPr="00DA2287">
        <w:t>very</w:t>
      </w:r>
      <w:r w:rsidR="003D640C">
        <w:t xml:space="preserve"> </w:t>
      </w:r>
      <w:r w:rsidRPr="00DA2287">
        <w:t>little</w:t>
      </w:r>
      <w:r w:rsidR="003D640C">
        <w:t xml:space="preserve"> </w:t>
      </w:r>
      <w:r w:rsidRPr="00DA2287">
        <w:t>is</w:t>
      </w:r>
      <w:r w:rsidR="003D640C">
        <w:t xml:space="preserve"> </w:t>
      </w:r>
      <w:r w:rsidRPr="00DA2287">
        <w:t>publicly</w:t>
      </w:r>
      <w:r w:rsidR="003D640C">
        <w:t xml:space="preserve"> </w:t>
      </w:r>
      <w:r w:rsidRPr="00DA2287">
        <w:t>available</w:t>
      </w:r>
      <w:r w:rsidR="003D640C">
        <w:t xml:space="preserve"> </w:t>
      </w:r>
      <w:r w:rsidRPr="00DA2287">
        <w:t>on</w:t>
      </w:r>
      <w:r w:rsidR="003D640C">
        <w:t xml:space="preserve"> </w:t>
      </w:r>
      <w:r w:rsidRPr="00DA2287">
        <w:t>the</w:t>
      </w:r>
      <w:r w:rsidR="003D640C">
        <w:t xml:space="preserve"> </w:t>
      </w:r>
      <w:r w:rsidRPr="00DA2287">
        <w:t>experiences</w:t>
      </w:r>
      <w:r w:rsidR="003D640C">
        <w:t xml:space="preserve"> </w:t>
      </w:r>
      <w:r w:rsidRPr="00DA2287">
        <w:t>of</w:t>
      </w:r>
      <w:r w:rsidR="003D640C">
        <w:t xml:space="preserve"> </w:t>
      </w:r>
      <w:r w:rsidRPr="00DA2287">
        <w:t>minority</w:t>
      </w:r>
      <w:r w:rsidR="003D640C">
        <w:t xml:space="preserve"> </w:t>
      </w:r>
      <w:r w:rsidRPr="00DA2287">
        <w:t>ethnic</w:t>
      </w:r>
      <w:r w:rsidR="003D640C">
        <w:t xml:space="preserve"> </w:t>
      </w:r>
      <w:r w:rsidRPr="00DA2287">
        <w:t>conversion</w:t>
      </w:r>
      <w:r w:rsidR="003D640C">
        <w:t xml:space="preserve"> </w:t>
      </w:r>
      <w:r w:rsidRPr="00DA2287">
        <w:t>practice</w:t>
      </w:r>
      <w:r w:rsidR="003D640C">
        <w:t xml:space="preserve"> </w:t>
      </w:r>
      <w:r w:rsidRPr="00DA2287">
        <w:t>survivors,</w:t>
      </w:r>
      <w:r w:rsidR="003D640C">
        <w:t xml:space="preserve"> </w:t>
      </w:r>
      <w:r w:rsidRPr="00DA2287">
        <w:t>this</w:t>
      </w:r>
      <w:r w:rsidR="003D640C">
        <w:t xml:space="preserve"> </w:t>
      </w:r>
      <w:r w:rsidRPr="00DA2287">
        <w:t>chapter</w:t>
      </w:r>
      <w:r w:rsidR="003D640C">
        <w:t xml:space="preserve"> </w:t>
      </w:r>
      <w:r w:rsidRPr="00DA2287">
        <w:t>is</w:t>
      </w:r>
      <w:r w:rsidR="003D640C">
        <w:t xml:space="preserve"> </w:t>
      </w:r>
      <w:r w:rsidRPr="00DA2287">
        <w:t>supplemented</w:t>
      </w:r>
      <w:r w:rsidR="003D640C">
        <w:t xml:space="preserve"> </w:t>
      </w:r>
      <w:r w:rsidRPr="00DA2287">
        <w:t>by</w:t>
      </w:r>
      <w:r w:rsidR="003D640C">
        <w:t xml:space="preserve"> </w:t>
      </w:r>
      <w:r w:rsidRPr="00DA2287">
        <w:t>seven</w:t>
      </w:r>
      <w:r w:rsidR="003D640C">
        <w:t xml:space="preserve"> </w:t>
      </w:r>
      <w:r w:rsidRPr="00DA2287">
        <w:lastRenderedPageBreak/>
        <w:t>semi-structured</w:t>
      </w:r>
      <w:r w:rsidR="003D640C">
        <w:t xml:space="preserve"> </w:t>
      </w:r>
      <w:r w:rsidRPr="00DA2287">
        <w:t>interviews</w:t>
      </w:r>
      <w:r w:rsidR="003D640C">
        <w:t xml:space="preserve"> </w:t>
      </w:r>
      <w:r w:rsidRPr="00DA2287">
        <w:t>with</w:t>
      </w:r>
      <w:r w:rsidR="003D640C">
        <w:t xml:space="preserve"> </w:t>
      </w:r>
      <w:r w:rsidRPr="00DA2287">
        <w:t>survivors</w:t>
      </w:r>
      <w:r w:rsidR="003D640C">
        <w:t xml:space="preserve"> </w:t>
      </w:r>
      <w:r w:rsidRPr="00DA2287">
        <w:t>or</w:t>
      </w:r>
      <w:r w:rsidR="003D640C">
        <w:t xml:space="preserve"> </w:t>
      </w:r>
      <w:r w:rsidRPr="00DA2287">
        <w:t>members</w:t>
      </w:r>
      <w:r w:rsidR="003D640C">
        <w:t xml:space="preserve"> </w:t>
      </w:r>
      <w:r w:rsidRPr="00DA2287">
        <w:t>of</w:t>
      </w:r>
      <w:r w:rsidR="003D640C">
        <w:t xml:space="preserve"> </w:t>
      </w:r>
      <w:r w:rsidRPr="00DA2287">
        <w:t>minority</w:t>
      </w:r>
      <w:r w:rsidR="003D640C">
        <w:t xml:space="preserve"> </w:t>
      </w:r>
      <w:r w:rsidRPr="00DA2287">
        <w:t>ethnic</w:t>
      </w:r>
      <w:r w:rsidR="003D640C">
        <w:t xml:space="preserve"> </w:t>
      </w:r>
      <w:r w:rsidRPr="00DA2287">
        <w:t>groups</w:t>
      </w:r>
      <w:r w:rsidR="003D640C">
        <w:t xml:space="preserve"> </w:t>
      </w:r>
      <w:r w:rsidRPr="00DA2287">
        <w:t>who</w:t>
      </w:r>
      <w:r w:rsidR="003D640C">
        <w:t xml:space="preserve"> </w:t>
      </w:r>
      <w:r w:rsidRPr="00DA2287">
        <w:t>were</w:t>
      </w:r>
      <w:r w:rsidR="003D640C">
        <w:t xml:space="preserve"> </w:t>
      </w:r>
      <w:r w:rsidRPr="00DA2287">
        <w:t>well</w:t>
      </w:r>
      <w:r w:rsidR="00E51ABF">
        <w:t xml:space="preserve"> </w:t>
      </w:r>
      <w:r w:rsidRPr="00DA2287">
        <w:t>positioned</w:t>
      </w:r>
      <w:r w:rsidR="003D640C">
        <w:t xml:space="preserve"> </w:t>
      </w:r>
      <w:r w:rsidRPr="00DA2287">
        <w:t>to</w:t>
      </w:r>
      <w:r w:rsidR="003D640C">
        <w:t xml:space="preserve"> </w:t>
      </w:r>
      <w:r w:rsidRPr="00DA2287">
        <w:t>share</w:t>
      </w:r>
      <w:r w:rsidR="003D640C">
        <w:t xml:space="preserve"> </w:t>
      </w:r>
      <w:r w:rsidRPr="00DA2287">
        <w:t>insights</w:t>
      </w:r>
      <w:r w:rsidR="003D640C">
        <w:t xml:space="preserve"> </w:t>
      </w:r>
      <w:r w:rsidRPr="00DA2287">
        <w:t>on</w:t>
      </w:r>
      <w:r w:rsidR="003D640C">
        <w:t xml:space="preserve"> </w:t>
      </w:r>
      <w:r w:rsidRPr="00DA2287">
        <w:t>the</w:t>
      </w:r>
      <w:r w:rsidR="003D640C">
        <w:t xml:space="preserve"> </w:t>
      </w:r>
      <w:r w:rsidRPr="00DA2287">
        <w:t>experience</w:t>
      </w:r>
      <w:r w:rsidR="003D640C">
        <w:t xml:space="preserve"> </w:t>
      </w:r>
      <w:r w:rsidRPr="00DA2287">
        <w:t>of</w:t>
      </w:r>
      <w:r w:rsidR="003D640C">
        <w:t xml:space="preserve"> </w:t>
      </w:r>
      <w:r w:rsidR="00CC0F07">
        <w:t>R</w:t>
      </w:r>
      <w:r w:rsidRPr="00DA2287">
        <w:t>ainbow</w:t>
      </w:r>
      <w:r w:rsidR="003D640C">
        <w:t xml:space="preserve"> </w:t>
      </w:r>
      <w:r w:rsidRPr="00DA2287">
        <w:t>community</w:t>
      </w:r>
      <w:r w:rsidR="003D640C">
        <w:t xml:space="preserve"> </w:t>
      </w:r>
      <w:r w:rsidRPr="00DA2287">
        <w:t>members.</w:t>
      </w:r>
      <w:r w:rsidR="003D640C">
        <w:t xml:space="preserve"> </w:t>
      </w:r>
    </w:p>
    <w:p w14:paraId="39B3A642" w14:textId="39B5B401" w:rsidR="008B0FA9" w:rsidRPr="00DA2287" w:rsidRDefault="008B0FA9" w:rsidP="00323E57">
      <w:pPr>
        <w:rPr>
          <w:rFonts w:cstheme="minorHAnsi"/>
        </w:rPr>
      </w:pPr>
      <w:r w:rsidRPr="00DA2287">
        <w:t>The</w:t>
      </w:r>
      <w:r w:rsidR="003D640C">
        <w:t xml:space="preserve"> </w:t>
      </w:r>
      <w:r w:rsidRPr="00DA2287">
        <w:t>self-identified</w:t>
      </w:r>
      <w:r w:rsidR="003D640C">
        <w:t xml:space="preserve"> </w:t>
      </w:r>
      <w:r w:rsidRPr="00DA2287">
        <w:t>ethnicity</w:t>
      </w:r>
      <w:r w:rsidR="003D640C">
        <w:t xml:space="preserve"> </w:t>
      </w:r>
      <w:r w:rsidRPr="00DA2287">
        <w:t>of</w:t>
      </w:r>
      <w:r w:rsidR="003D640C">
        <w:t xml:space="preserve"> </w:t>
      </w:r>
      <w:r w:rsidRPr="00DA2287">
        <w:t>those</w:t>
      </w:r>
      <w:r w:rsidR="003D640C">
        <w:t xml:space="preserve"> </w:t>
      </w:r>
      <w:r w:rsidRPr="00DA2287">
        <w:t>we</w:t>
      </w:r>
      <w:r w:rsidR="003D640C">
        <w:t xml:space="preserve"> </w:t>
      </w:r>
      <w:r w:rsidRPr="00DA2287">
        <w:t>interviewed</w:t>
      </w:r>
      <w:r w:rsidR="003D640C">
        <w:t xml:space="preserve"> </w:t>
      </w:r>
      <w:r w:rsidRPr="00DA2287">
        <w:t>included</w:t>
      </w:r>
      <w:r w:rsidR="003D640C">
        <w:t xml:space="preserve"> </w:t>
      </w:r>
      <w:r w:rsidRPr="00DA2287">
        <w:t>Korean,</w:t>
      </w:r>
      <w:r w:rsidR="003D640C">
        <w:t xml:space="preserve"> </w:t>
      </w:r>
      <w:r w:rsidRPr="00DA2287">
        <w:t>Fiji</w:t>
      </w:r>
      <w:r w:rsidR="00FC6676">
        <w:t>an</w:t>
      </w:r>
      <w:r w:rsidR="00D0798D">
        <w:t xml:space="preserve"> </w:t>
      </w:r>
      <w:r w:rsidRPr="00DA2287">
        <w:t>Indian,</w:t>
      </w:r>
      <w:r w:rsidR="003D640C">
        <w:t xml:space="preserve"> </w:t>
      </w:r>
      <w:r w:rsidRPr="00DA2287">
        <w:t>Sri</w:t>
      </w:r>
      <w:r w:rsidR="003D640C">
        <w:t xml:space="preserve"> </w:t>
      </w:r>
      <w:r w:rsidRPr="00DA2287">
        <w:t>Lankan</w:t>
      </w:r>
      <w:r w:rsidR="00E51ABF">
        <w:t>,</w:t>
      </w:r>
      <w:r w:rsidR="003D640C">
        <w:t xml:space="preserve"> </w:t>
      </w:r>
      <w:r w:rsidRPr="00DA2287">
        <w:t>and</w:t>
      </w:r>
      <w:r w:rsidR="003D640C">
        <w:t xml:space="preserve"> </w:t>
      </w:r>
      <w:r w:rsidRPr="00DA2287">
        <w:t>Iranian.</w:t>
      </w:r>
      <w:r w:rsidR="003D640C">
        <w:t xml:space="preserve"> </w:t>
      </w:r>
      <w:r w:rsidRPr="00DA2287">
        <w:t>Most</w:t>
      </w:r>
      <w:r w:rsidR="003D640C">
        <w:t xml:space="preserve"> </w:t>
      </w:r>
      <w:r w:rsidR="00191B1F">
        <w:t>participants</w:t>
      </w:r>
      <w:r w:rsidR="003D640C">
        <w:t xml:space="preserve"> </w:t>
      </w:r>
      <w:r w:rsidRPr="00DA2287">
        <w:t>we</w:t>
      </w:r>
      <w:r w:rsidR="003D640C">
        <w:t xml:space="preserve"> </w:t>
      </w:r>
      <w:r w:rsidRPr="00DA2287">
        <w:t>interviewed</w:t>
      </w:r>
      <w:r w:rsidR="003D640C">
        <w:t xml:space="preserve"> </w:t>
      </w:r>
      <w:r w:rsidRPr="00DA2287">
        <w:t>identified</w:t>
      </w:r>
      <w:r w:rsidR="003D640C">
        <w:t xml:space="preserve"> </w:t>
      </w:r>
      <w:r w:rsidRPr="00DA2287">
        <w:t>as</w:t>
      </w:r>
      <w:r w:rsidR="003D640C">
        <w:t xml:space="preserve"> </w:t>
      </w:r>
      <w:r w:rsidRPr="00DA2287">
        <w:t>Rainbow.</w:t>
      </w:r>
      <w:r w:rsidR="003D640C">
        <w:t xml:space="preserve"> </w:t>
      </w:r>
      <w:r w:rsidRPr="00DA2287">
        <w:t>Those</w:t>
      </w:r>
      <w:r w:rsidR="003D640C">
        <w:t xml:space="preserve"> </w:t>
      </w:r>
      <w:r w:rsidRPr="00DA2287">
        <w:t>we</w:t>
      </w:r>
      <w:r w:rsidR="003D640C">
        <w:t xml:space="preserve"> </w:t>
      </w:r>
      <w:r w:rsidRPr="00DA2287">
        <w:t>interviewed</w:t>
      </w:r>
      <w:r w:rsidR="003D640C">
        <w:t xml:space="preserve"> </w:t>
      </w:r>
      <w:r w:rsidRPr="00DA2287">
        <w:t>included</w:t>
      </w:r>
      <w:r w:rsidR="003D640C">
        <w:t xml:space="preserve"> </w:t>
      </w:r>
      <w:r w:rsidRPr="00DA2287">
        <w:t>recent</w:t>
      </w:r>
      <w:r w:rsidR="003D640C">
        <w:t xml:space="preserve"> </w:t>
      </w:r>
      <w:r w:rsidRPr="00DA2287">
        <w:t>migrants,</w:t>
      </w:r>
      <w:r w:rsidR="003D640C">
        <w:t xml:space="preserve"> </w:t>
      </w:r>
      <w:r w:rsidRPr="00DA2287">
        <w:t>long-term</w:t>
      </w:r>
      <w:r w:rsidR="003D640C">
        <w:t xml:space="preserve"> </w:t>
      </w:r>
      <w:r w:rsidRPr="00DA2287">
        <w:t>settlers,</w:t>
      </w:r>
      <w:r w:rsidR="003D640C">
        <w:t xml:space="preserve"> </w:t>
      </w:r>
      <w:r w:rsidRPr="00DA2287">
        <w:t>and</w:t>
      </w:r>
      <w:r w:rsidR="003D640C">
        <w:t xml:space="preserve"> </w:t>
      </w:r>
      <w:r w:rsidRPr="00DA2287">
        <w:t>multigenerational</w:t>
      </w:r>
      <w:r w:rsidR="003D640C">
        <w:t xml:space="preserve"> </w:t>
      </w:r>
      <w:r w:rsidRPr="00DA2287">
        <w:t>New</w:t>
      </w:r>
      <w:r w:rsidR="003D640C">
        <w:t xml:space="preserve"> </w:t>
      </w:r>
      <w:r w:rsidRPr="00DA2287">
        <w:t>Zealanders</w:t>
      </w:r>
      <w:r w:rsidR="003D640C">
        <w:t xml:space="preserve"> </w:t>
      </w:r>
      <w:r w:rsidRPr="00DA2287">
        <w:t>with</w:t>
      </w:r>
      <w:r w:rsidR="003D640C">
        <w:t xml:space="preserve"> </w:t>
      </w:r>
      <w:r w:rsidRPr="00DA2287">
        <w:t>diverse</w:t>
      </w:r>
      <w:r w:rsidR="003D640C">
        <w:t xml:space="preserve"> </w:t>
      </w:r>
      <w:r w:rsidR="00CC0F07">
        <w:t>R</w:t>
      </w:r>
      <w:r w:rsidRPr="00DA2287">
        <w:t>ainbow</w:t>
      </w:r>
      <w:r w:rsidR="003D640C">
        <w:t xml:space="preserve"> </w:t>
      </w:r>
      <w:r w:rsidRPr="00DA2287">
        <w:t>backgrounds.</w:t>
      </w:r>
      <w:r w:rsidR="003D640C">
        <w:t xml:space="preserve"> </w:t>
      </w:r>
      <w:r w:rsidRPr="00DA2287">
        <w:t>Some</w:t>
      </w:r>
      <w:r w:rsidR="003D640C">
        <w:t xml:space="preserve"> </w:t>
      </w:r>
      <w:r w:rsidRPr="00DA2287">
        <w:t>engagement</w:t>
      </w:r>
      <w:r w:rsidR="003D640C">
        <w:t xml:space="preserve"> </w:t>
      </w:r>
      <w:r w:rsidRPr="00DA2287">
        <w:t>participants</w:t>
      </w:r>
      <w:r w:rsidR="003D640C">
        <w:t xml:space="preserve"> </w:t>
      </w:r>
      <w:r w:rsidRPr="00DA2287">
        <w:t>have</w:t>
      </w:r>
      <w:r w:rsidR="003D640C">
        <w:t xml:space="preserve"> </w:t>
      </w:r>
      <w:r w:rsidRPr="00DA2287">
        <w:t>intersectional</w:t>
      </w:r>
      <w:r w:rsidR="003D640C">
        <w:t xml:space="preserve"> </w:t>
      </w:r>
      <w:r w:rsidRPr="00DA2287">
        <w:t>experiences</w:t>
      </w:r>
      <w:r w:rsidR="003D640C">
        <w:t xml:space="preserve"> </w:t>
      </w:r>
      <w:r w:rsidRPr="00DA2287">
        <w:t>that</w:t>
      </w:r>
      <w:r w:rsidR="003D640C">
        <w:t xml:space="preserve"> </w:t>
      </w:r>
      <w:r w:rsidRPr="00DA2287">
        <w:t>encompass</w:t>
      </w:r>
      <w:r w:rsidR="003D640C">
        <w:t xml:space="preserve"> </w:t>
      </w:r>
      <w:r w:rsidRPr="00DA2287">
        <w:t>more</w:t>
      </w:r>
      <w:r w:rsidR="003D640C">
        <w:t xml:space="preserve"> </w:t>
      </w:r>
      <w:r w:rsidRPr="00DA2287">
        <w:t>than</w:t>
      </w:r>
      <w:r w:rsidR="003D640C">
        <w:t xml:space="preserve"> </w:t>
      </w:r>
      <w:r w:rsidRPr="00DA2287">
        <w:t>one</w:t>
      </w:r>
      <w:r w:rsidR="003D640C">
        <w:t xml:space="preserve"> </w:t>
      </w:r>
      <w:r w:rsidRPr="00DA2287">
        <w:t>ethnic</w:t>
      </w:r>
      <w:r w:rsidR="003D640C">
        <w:t xml:space="preserve"> </w:t>
      </w:r>
      <w:r w:rsidRPr="00DA2287">
        <w:t>and</w:t>
      </w:r>
      <w:r w:rsidR="003D640C">
        <w:t xml:space="preserve"> </w:t>
      </w:r>
      <w:r w:rsidRPr="00DA2287">
        <w:t>one</w:t>
      </w:r>
      <w:r w:rsidR="003D640C">
        <w:t xml:space="preserve"> </w:t>
      </w:r>
      <w:r w:rsidRPr="00DA2287">
        <w:t>diverse</w:t>
      </w:r>
      <w:r w:rsidR="003D640C">
        <w:t xml:space="preserve"> </w:t>
      </w:r>
      <w:r w:rsidR="00CC0F07">
        <w:t>R</w:t>
      </w:r>
      <w:r w:rsidRPr="00DA2287">
        <w:t>ainbow</w:t>
      </w:r>
      <w:r w:rsidR="003D640C">
        <w:t xml:space="preserve"> </w:t>
      </w:r>
      <w:r w:rsidRPr="00DA2287">
        <w:t>identity.</w:t>
      </w:r>
      <w:r w:rsidR="003D640C">
        <w:t xml:space="preserve"> </w:t>
      </w:r>
      <w:r w:rsidRPr="00DA2287">
        <w:t>These</w:t>
      </w:r>
      <w:r w:rsidR="003D640C">
        <w:t xml:space="preserve"> </w:t>
      </w:r>
      <w:r w:rsidRPr="00DA2287">
        <w:t>interviews</w:t>
      </w:r>
      <w:r w:rsidR="003D640C">
        <w:t xml:space="preserve"> </w:t>
      </w:r>
      <w:r w:rsidRPr="00DA2287">
        <w:t>were</w:t>
      </w:r>
      <w:r w:rsidR="003D640C">
        <w:t xml:space="preserve"> </w:t>
      </w:r>
      <w:r w:rsidRPr="00DA2287">
        <w:t>conducted</w:t>
      </w:r>
      <w:r w:rsidR="003D640C">
        <w:t xml:space="preserve"> </w:t>
      </w:r>
      <w:r w:rsidRPr="00DA2287">
        <w:t>by</w:t>
      </w:r>
      <w:r w:rsidR="003D640C">
        <w:t xml:space="preserve"> </w:t>
      </w:r>
      <w:r w:rsidRPr="00DA2287">
        <w:t>the</w:t>
      </w:r>
      <w:r w:rsidR="003D640C">
        <w:t xml:space="preserve"> </w:t>
      </w:r>
      <w:r w:rsidRPr="00DA2287">
        <w:t>member</w:t>
      </w:r>
      <w:r w:rsidR="003D640C">
        <w:t xml:space="preserve"> </w:t>
      </w:r>
      <w:r w:rsidRPr="00DA2287">
        <w:t>of</w:t>
      </w:r>
      <w:r w:rsidR="003D640C">
        <w:t xml:space="preserve"> </w:t>
      </w:r>
      <w:r w:rsidRPr="00DA2287">
        <w:t>the</w:t>
      </w:r>
      <w:r w:rsidR="003D640C">
        <w:t xml:space="preserve"> </w:t>
      </w:r>
      <w:r w:rsidRPr="00DA2287">
        <w:t>team</w:t>
      </w:r>
      <w:r w:rsidR="003D640C">
        <w:t xml:space="preserve"> </w:t>
      </w:r>
      <w:r w:rsidRPr="00DA2287">
        <w:t>who</w:t>
      </w:r>
      <w:r w:rsidR="003D640C">
        <w:t xml:space="preserve"> </w:t>
      </w:r>
      <w:r w:rsidRPr="00DA2287">
        <w:t>identifies</w:t>
      </w:r>
      <w:r w:rsidR="003D640C">
        <w:t xml:space="preserve"> </w:t>
      </w:r>
      <w:r w:rsidRPr="00DA2287">
        <w:t>as</w:t>
      </w:r>
      <w:r w:rsidR="003D640C">
        <w:t xml:space="preserve"> </w:t>
      </w:r>
      <w:r w:rsidR="00E1774E" w:rsidRPr="00DA2287">
        <w:t>a</w:t>
      </w:r>
      <w:r w:rsidR="003D640C">
        <w:t xml:space="preserve"> </w:t>
      </w:r>
      <w:r w:rsidRPr="00DA2287">
        <w:t>Sri</w:t>
      </w:r>
      <w:r w:rsidR="003D640C">
        <w:t xml:space="preserve"> </w:t>
      </w:r>
      <w:r w:rsidRPr="00DA2287">
        <w:t>Lankan</w:t>
      </w:r>
      <w:r w:rsidR="003D640C">
        <w:t xml:space="preserve"> </w:t>
      </w:r>
      <w:r w:rsidR="00CC0F07">
        <w:t>R</w:t>
      </w:r>
      <w:r w:rsidRPr="00DA2287">
        <w:t>ainbow</w:t>
      </w:r>
      <w:r w:rsidR="003D640C">
        <w:t xml:space="preserve"> </w:t>
      </w:r>
      <w:r w:rsidRPr="00DA2287">
        <w:t>community</w:t>
      </w:r>
      <w:r w:rsidR="003D640C">
        <w:t xml:space="preserve"> </w:t>
      </w:r>
      <w:r w:rsidRPr="00DA2287">
        <w:t>member</w:t>
      </w:r>
      <w:r w:rsidR="00E1774E" w:rsidRPr="00DA2287">
        <w:t>.</w:t>
      </w:r>
      <w:r w:rsidR="003D640C">
        <w:t xml:space="preserve"> </w:t>
      </w:r>
      <w:r w:rsidR="00E1774E" w:rsidRPr="00DA2287">
        <w:t>Their</w:t>
      </w:r>
      <w:r w:rsidR="003D640C">
        <w:t xml:space="preserve"> </w:t>
      </w:r>
      <w:r w:rsidRPr="00DA2287">
        <w:t>insights</w:t>
      </w:r>
      <w:r w:rsidR="003D640C">
        <w:t xml:space="preserve"> </w:t>
      </w:r>
      <w:r w:rsidRPr="00DA2287">
        <w:t>are</w:t>
      </w:r>
      <w:r w:rsidR="003D640C">
        <w:t xml:space="preserve"> </w:t>
      </w:r>
      <w:r w:rsidRPr="00DA2287">
        <w:t>also</w:t>
      </w:r>
      <w:r w:rsidR="003D640C">
        <w:t xml:space="preserve"> </w:t>
      </w:r>
      <w:r w:rsidRPr="00DA2287">
        <w:t>included</w:t>
      </w:r>
      <w:r w:rsidR="003D640C">
        <w:t xml:space="preserve"> </w:t>
      </w:r>
      <w:r w:rsidRPr="00DA2287">
        <w:t>in</w:t>
      </w:r>
      <w:r w:rsidR="003D640C">
        <w:t xml:space="preserve"> </w:t>
      </w:r>
      <w:r w:rsidRPr="00DA2287">
        <w:t>this</w:t>
      </w:r>
      <w:r w:rsidR="003D640C">
        <w:t xml:space="preserve"> </w:t>
      </w:r>
      <w:r w:rsidRPr="00DA2287">
        <w:t>section.</w:t>
      </w:r>
      <w:r w:rsidR="003D640C">
        <w:t xml:space="preserve"> </w:t>
      </w:r>
    </w:p>
    <w:p w14:paraId="046D8D07" w14:textId="01340B76" w:rsidR="00332F15" w:rsidRDefault="008B0FA9" w:rsidP="00323E57">
      <w:r w:rsidRPr="00DA2287">
        <w:t>While</w:t>
      </w:r>
      <w:r w:rsidR="003D640C">
        <w:t xml:space="preserve"> </w:t>
      </w:r>
      <w:r w:rsidRPr="00DA2287">
        <w:t>we</w:t>
      </w:r>
      <w:r w:rsidR="003D640C">
        <w:t xml:space="preserve"> </w:t>
      </w:r>
      <w:r w:rsidRPr="00DA2287">
        <w:t>have</w:t>
      </w:r>
      <w:r w:rsidR="003D640C">
        <w:t xml:space="preserve"> </w:t>
      </w:r>
      <w:r w:rsidRPr="00DA2287">
        <w:t>taken</w:t>
      </w:r>
      <w:r w:rsidR="003D640C">
        <w:t xml:space="preserve"> </w:t>
      </w:r>
      <w:r w:rsidRPr="00DA2287">
        <w:t>this</w:t>
      </w:r>
      <w:r w:rsidR="003D640C">
        <w:t xml:space="preserve"> </w:t>
      </w:r>
      <w:r w:rsidRPr="00DA2287">
        <w:t>extra</w:t>
      </w:r>
      <w:r w:rsidR="003D640C">
        <w:t xml:space="preserve"> </w:t>
      </w:r>
      <w:r w:rsidRPr="00DA2287">
        <w:t>step</w:t>
      </w:r>
      <w:r w:rsidR="003D640C">
        <w:t xml:space="preserve"> </w:t>
      </w:r>
      <w:r w:rsidRPr="00DA2287">
        <w:t>to</w:t>
      </w:r>
      <w:r w:rsidR="003D640C">
        <w:t xml:space="preserve"> </w:t>
      </w:r>
      <w:r w:rsidRPr="00DA2287">
        <w:t>broaden</w:t>
      </w:r>
      <w:r w:rsidR="003D640C">
        <w:t xml:space="preserve"> </w:t>
      </w:r>
      <w:r w:rsidRPr="00DA2287">
        <w:t>the</w:t>
      </w:r>
      <w:r w:rsidR="003D640C">
        <w:t xml:space="preserve"> </w:t>
      </w:r>
      <w:r w:rsidRPr="00DA2287">
        <w:t>examples</w:t>
      </w:r>
      <w:r w:rsidR="003D640C">
        <w:t xml:space="preserve"> </w:t>
      </w:r>
      <w:r w:rsidRPr="00DA2287">
        <w:t>we</w:t>
      </w:r>
      <w:r w:rsidR="003D640C">
        <w:t xml:space="preserve"> </w:t>
      </w:r>
      <w:r w:rsidRPr="00DA2287">
        <w:t>discuss</w:t>
      </w:r>
      <w:r w:rsidR="003D640C">
        <w:t xml:space="preserve"> </w:t>
      </w:r>
      <w:r w:rsidRPr="00DA2287">
        <w:t>here,</w:t>
      </w:r>
      <w:r w:rsidR="003D640C">
        <w:t xml:space="preserve"> </w:t>
      </w:r>
      <w:r w:rsidRPr="00DA2287">
        <w:t>we</w:t>
      </w:r>
      <w:r w:rsidR="003D640C">
        <w:t xml:space="preserve"> </w:t>
      </w:r>
      <w:r w:rsidRPr="00DA2287">
        <w:t>acknowledge</w:t>
      </w:r>
      <w:r w:rsidR="003D640C">
        <w:t xml:space="preserve"> </w:t>
      </w:r>
      <w:r w:rsidRPr="00DA2287">
        <w:t>that</w:t>
      </w:r>
      <w:r w:rsidR="003D640C">
        <w:t xml:space="preserve"> </w:t>
      </w:r>
      <w:r w:rsidRPr="00DA2287">
        <w:t>this</w:t>
      </w:r>
      <w:r w:rsidR="003D640C">
        <w:t xml:space="preserve"> </w:t>
      </w:r>
      <w:r w:rsidRPr="00DA2287">
        <w:t>section</w:t>
      </w:r>
      <w:r w:rsidR="003D640C">
        <w:t xml:space="preserve"> </w:t>
      </w:r>
      <w:r w:rsidRPr="00DA2287">
        <w:t>is</w:t>
      </w:r>
      <w:r w:rsidR="003D640C">
        <w:t xml:space="preserve"> </w:t>
      </w:r>
      <w:r w:rsidRPr="00DA2287">
        <w:t>in</w:t>
      </w:r>
      <w:r w:rsidR="003D640C">
        <w:t xml:space="preserve"> </w:t>
      </w:r>
      <w:r w:rsidRPr="00DA2287">
        <w:t>no</w:t>
      </w:r>
      <w:r w:rsidR="003D640C">
        <w:t xml:space="preserve"> </w:t>
      </w:r>
      <w:r w:rsidRPr="00DA2287">
        <w:t>way</w:t>
      </w:r>
      <w:r w:rsidR="003D640C">
        <w:t xml:space="preserve"> </w:t>
      </w:r>
      <w:r w:rsidR="00984A9F">
        <w:t xml:space="preserve">completely </w:t>
      </w:r>
      <w:r w:rsidRPr="00DA2287">
        <w:t>representative</w:t>
      </w:r>
      <w:r w:rsidR="003D640C">
        <w:t xml:space="preserve"> </w:t>
      </w:r>
      <w:r w:rsidRPr="00DA2287">
        <w:t>of</w:t>
      </w:r>
      <w:r w:rsidR="003D640C">
        <w:t xml:space="preserve"> </w:t>
      </w:r>
      <w:r w:rsidRPr="00DA2287">
        <w:t>the</w:t>
      </w:r>
      <w:r w:rsidR="003D640C">
        <w:t xml:space="preserve"> </w:t>
      </w:r>
      <w:r w:rsidRPr="00DA2287">
        <w:t>breadth</w:t>
      </w:r>
      <w:r w:rsidR="003D640C">
        <w:t xml:space="preserve"> </w:t>
      </w:r>
      <w:r w:rsidRPr="00DA2287">
        <w:t>of</w:t>
      </w:r>
      <w:r w:rsidR="003D640C">
        <w:t xml:space="preserve"> </w:t>
      </w:r>
      <w:r w:rsidRPr="00DA2287">
        <w:t>minority</w:t>
      </w:r>
      <w:r w:rsidR="003D640C">
        <w:t xml:space="preserve"> </w:t>
      </w:r>
      <w:r w:rsidRPr="00DA2287">
        <w:t>ethnic</w:t>
      </w:r>
      <w:r w:rsidR="003D640C">
        <w:t xml:space="preserve"> </w:t>
      </w:r>
      <w:r w:rsidRPr="00DA2287">
        <w:t>communities</w:t>
      </w:r>
      <w:r w:rsidR="003D640C">
        <w:t xml:space="preserve"> </w:t>
      </w:r>
      <w:r w:rsidRPr="00DA2287">
        <w:t>and</w:t>
      </w:r>
      <w:r w:rsidR="003D640C">
        <w:t xml:space="preserve"> </w:t>
      </w:r>
      <w:r w:rsidRPr="00DA2287">
        <w:t>Rainbow</w:t>
      </w:r>
      <w:r w:rsidR="003D640C">
        <w:t xml:space="preserve"> </w:t>
      </w:r>
      <w:r w:rsidRPr="00DA2287">
        <w:t>identities</w:t>
      </w:r>
      <w:r w:rsidR="003D640C">
        <w:t xml:space="preserve"> </w:t>
      </w:r>
      <w:r w:rsidRPr="00DA2287">
        <w:t>present</w:t>
      </w:r>
      <w:r w:rsidR="003D640C">
        <w:t xml:space="preserve"> </w:t>
      </w:r>
      <w:r w:rsidRPr="00DA2287">
        <w:t>in</w:t>
      </w:r>
      <w:r w:rsidR="003D640C">
        <w:t xml:space="preserve"> </w:t>
      </w:r>
      <w:r w:rsidRPr="00DA2287">
        <w:t>Aotearoa.</w:t>
      </w:r>
      <w:r w:rsidR="003D640C">
        <w:t xml:space="preserve"> </w:t>
      </w:r>
      <w:r w:rsidRPr="00DA2287">
        <w:t>In</w:t>
      </w:r>
      <w:r w:rsidR="003D640C">
        <w:t xml:space="preserve"> </w:t>
      </w:r>
      <w:r w:rsidRPr="00DA2287">
        <w:t>particular,</w:t>
      </w:r>
      <w:r w:rsidR="003D640C">
        <w:t xml:space="preserve"> </w:t>
      </w:r>
      <w:r w:rsidRPr="00DA2287">
        <w:t>the</w:t>
      </w:r>
      <w:r w:rsidR="003D640C">
        <w:t xml:space="preserve"> </w:t>
      </w:r>
      <w:r w:rsidRPr="00DA2287">
        <w:t>evidence</w:t>
      </w:r>
      <w:r w:rsidR="003D640C">
        <w:t xml:space="preserve"> </w:t>
      </w:r>
      <w:r w:rsidRPr="00DA2287">
        <w:t>and</w:t>
      </w:r>
      <w:r w:rsidR="003D640C">
        <w:t xml:space="preserve"> </w:t>
      </w:r>
      <w:r w:rsidRPr="00DA2287">
        <w:t>insights</w:t>
      </w:r>
      <w:r w:rsidR="003D640C">
        <w:t xml:space="preserve"> </w:t>
      </w:r>
      <w:r w:rsidRPr="00DA2287">
        <w:t>gathered</w:t>
      </w:r>
      <w:r w:rsidR="003D640C">
        <w:t xml:space="preserve"> </w:t>
      </w:r>
      <w:r w:rsidRPr="00DA2287">
        <w:t>for</w:t>
      </w:r>
      <w:r w:rsidR="003D640C">
        <w:t xml:space="preserve"> </w:t>
      </w:r>
      <w:r w:rsidRPr="00DA2287">
        <w:t>this</w:t>
      </w:r>
      <w:r w:rsidR="003D640C">
        <w:t xml:space="preserve"> </w:t>
      </w:r>
      <w:r w:rsidRPr="00DA2287">
        <w:t>report</w:t>
      </w:r>
      <w:r w:rsidR="003D640C">
        <w:t xml:space="preserve"> </w:t>
      </w:r>
      <w:r w:rsidRPr="00DA2287">
        <w:t>do</w:t>
      </w:r>
      <w:r w:rsidR="003D640C">
        <w:t xml:space="preserve"> </w:t>
      </w:r>
      <w:r w:rsidRPr="00DA2287">
        <w:t>not</w:t>
      </w:r>
      <w:r w:rsidR="003D640C">
        <w:t xml:space="preserve"> </w:t>
      </w:r>
      <w:r w:rsidRPr="00DA2287">
        <w:t>cover</w:t>
      </w:r>
      <w:r w:rsidR="003D640C">
        <w:t xml:space="preserve"> </w:t>
      </w:r>
      <w:r w:rsidRPr="00DA2287">
        <w:t>the</w:t>
      </w:r>
      <w:r w:rsidR="003D640C">
        <w:t xml:space="preserve"> </w:t>
      </w:r>
      <w:r w:rsidRPr="00DA2287">
        <w:t>experiences</w:t>
      </w:r>
      <w:r w:rsidR="003D640C">
        <w:t xml:space="preserve"> </w:t>
      </w:r>
      <w:r w:rsidRPr="00DA2287">
        <w:t>of</w:t>
      </w:r>
      <w:r w:rsidR="003D640C">
        <w:t xml:space="preserve"> </w:t>
      </w:r>
      <w:r w:rsidRPr="00DA2287">
        <w:t>ethnic</w:t>
      </w:r>
      <w:r w:rsidR="003D640C">
        <w:t xml:space="preserve"> </w:t>
      </w:r>
      <w:r w:rsidRPr="00DA2287">
        <w:t>transgender</w:t>
      </w:r>
      <w:r w:rsidR="003D640C">
        <w:t xml:space="preserve"> </w:t>
      </w:r>
      <w:r w:rsidRPr="00DA2287">
        <w:t>or</w:t>
      </w:r>
      <w:r w:rsidR="003D640C">
        <w:t xml:space="preserve"> </w:t>
      </w:r>
      <w:r w:rsidRPr="00DA2287">
        <w:t>intersex</w:t>
      </w:r>
      <w:r w:rsidR="003D640C">
        <w:t xml:space="preserve"> </w:t>
      </w:r>
      <w:r w:rsidRPr="00DA2287">
        <w:t>communities</w:t>
      </w:r>
      <w:r w:rsidR="003D640C">
        <w:t xml:space="preserve"> </w:t>
      </w:r>
      <w:r w:rsidRPr="00DA2287">
        <w:t>nor</w:t>
      </w:r>
      <w:r w:rsidR="003D640C">
        <w:t xml:space="preserve"> </w:t>
      </w:r>
      <w:r w:rsidRPr="00DA2287">
        <w:t>those</w:t>
      </w:r>
      <w:r w:rsidR="003D640C">
        <w:t xml:space="preserve"> </w:t>
      </w:r>
      <w:r w:rsidRPr="00DA2287">
        <w:t>of</w:t>
      </w:r>
      <w:r w:rsidR="003D640C">
        <w:t xml:space="preserve"> </w:t>
      </w:r>
      <w:r w:rsidRPr="00DA2287">
        <w:t>African,</w:t>
      </w:r>
      <w:r w:rsidR="003D640C">
        <w:t xml:space="preserve"> </w:t>
      </w:r>
      <w:r w:rsidRPr="00DA2287">
        <w:t>Latin</w:t>
      </w:r>
      <w:r w:rsidR="003D640C">
        <w:t xml:space="preserve"> </w:t>
      </w:r>
      <w:r w:rsidRPr="00DA2287">
        <w:t>American,</w:t>
      </w:r>
      <w:r w:rsidR="003D640C">
        <w:t xml:space="preserve"> </w:t>
      </w:r>
      <w:r w:rsidRPr="00DA2287">
        <w:t>and</w:t>
      </w:r>
      <w:r w:rsidR="003D640C">
        <w:t xml:space="preserve"> </w:t>
      </w:r>
      <w:r w:rsidRPr="00DA2287">
        <w:t>continental</w:t>
      </w:r>
      <w:r w:rsidR="003D640C">
        <w:t xml:space="preserve"> </w:t>
      </w:r>
      <w:r w:rsidRPr="00DA2287">
        <w:t>European</w:t>
      </w:r>
      <w:r w:rsidR="003D640C">
        <w:t xml:space="preserve"> </w:t>
      </w:r>
      <w:r w:rsidRPr="00DA2287">
        <w:t>backgrounds.</w:t>
      </w:r>
      <w:r w:rsidR="003D640C">
        <w:t xml:space="preserve"> </w:t>
      </w:r>
      <w:r w:rsidRPr="00DA2287">
        <w:t>Our</w:t>
      </w:r>
      <w:r w:rsidR="003D640C">
        <w:t xml:space="preserve"> </w:t>
      </w:r>
      <w:r w:rsidRPr="00DA2287">
        <w:t>engagement</w:t>
      </w:r>
      <w:r w:rsidR="003D640C">
        <w:t xml:space="preserve"> </w:t>
      </w:r>
      <w:r w:rsidRPr="00DA2287">
        <w:t>also</w:t>
      </w:r>
      <w:r w:rsidR="003D640C">
        <w:t xml:space="preserve"> </w:t>
      </w:r>
      <w:r w:rsidRPr="00DA2287">
        <w:t>focused</w:t>
      </w:r>
      <w:r w:rsidR="003D640C">
        <w:t xml:space="preserve"> </w:t>
      </w:r>
      <w:r w:rsidRPr="00DA2287">
        <w:t>primarily</w:t>
      </w:r>
      <w:r w:rsidR="003D640C">
        <w:t xml:space="preserve"> </w:t>
      </w:r>
      <w:r w:rsidRPr="00DA2287">
        <w:t>on</w:t>
      </w:r>
      <w:r w:rsidR="003D640C">
        <w:t xml:space="preserve"> </w:t>
      </w:r>
      <w:r w:rsidRPr="00DA2287">
        <w:t>the</w:t>
      </w:r>
      <w:r w:rsidR="003D640C">
        <w:t xml:space="preserve"> </w:t>
      </w:r>
      <w:r w:rsidRPr="00DA2287">
        <w:t>experience</w:t>
      </w:r>
      <w:r w:rsidR="003D640C">
        <w:t xml:space="preserve"> </w:t>
      </w:r>
      <w:r w:rsidRPr="00DA2287">
        <w:t>of</w:t>
      </w:r>
      <w:r w:rsidR="003D640C">
        <w:t xml:space="preserve"> </w:t>
      </w:r>
      <w:r w:rsidR="0090360A">
        <w:t>recent</w:t>
      </w:r>
      <w:r w:rsidR="003D640C">
        <w:t xml:space="preserve"> </w:t>
      </w:r>
      <w:r w:rsidRPr="005D4747">
        <w:t>m</w:t>
      </w:r>
      <w:r w:rsidRPr="00DA2287">
        <w:t>igrant</w:t>
      </w:r>
      <w:r w:rsidR="003D640C">
        <w:t xml:space="preserve"> </w:t>
      </w:r>
      <w:r w:rsidRPr="00DA2287">
        <w:t>communities.</w:t>
      </w:r>
      <w:r w:rsidR="003D640C">
        <w:t xml:space="preserve"> </w:t>
      </w:r>
      <w:r w:rsidRPr="00DA2287">
        <w:t>We</w:t>
      </w:r>
      <w:r w:rsidR="003D640C">
        <w:t xml:space="preserve"> </w:t>
      </w:r>
      <w:r w:rsidRPr="00DA2287">
        <w:t>have</w:t>
      </w:r>
      <w:r w:rsidR="003D640C">
        <w:t xml:space="preserve"> </w:t>
      </w:r>
      <w:r w:rsidRPr="00DA2287">
        <w:t>therefore</w:t>
      </w:r>
      <w:r w:rsidR="003D640C">
        <w:t xml:space="preserve"> </w:t>
      </w:r>
      <w:r w:rsidR="001F7918" w:rsidRPr="00DA2287">
        <w:t>not</w:t>
      </w:r>
      <w:r w:rsidR="003D640C">
        <w:t xml:space="preserve"> </w:t>
      </w:r>
      <w:r w:rsidRPr="00DA2287">
        <w:t>addressed</w:t>
      </w:r>
      <w:r w:rsidR="003D640C">
        <w:t xml:space="preserve"> </w:t>
      </w:r>
      <w:r w:rsidRPr="00DA2287">
        <w:t>the</w:t>
      </w:r>
      <w:r w:rsidR="003D640C">
        <w:t xml:space="preserve"> </w:t>
      </w:r>
      <w:r w:rsidRPr="00DA2287">
        <w:t>experience</w:t>
      </w:r>
      <w:r w:rsidR="003D640C">
        <w:t xml:space="preserve"> </w:t>
      </w:r>
      <w:r w:rsidRPr="00DA2287">
        <w:t>of</w:t>
      </w:r>
      <w:r w:rsidR="003D640C">
        <w:t xml:space="preserve"> </w:t>
      </w:r>
      <w:r w:rsidRPr="00DA2287">
        <w:t>ethnic</w:t>
      </w:r>
      <w:r w:rsidR="003D640C">
        <w:t xml:space="preserve"> </w:t>
      </w:r>
      <w:r w:rsidRPr="00DA2287">
        <w:t>communities</w:t>
      </w:r>
      <w:r w:rsidR="003D640C">
        <w:t xml:space="preserve"> </w:t>
      </w:r>
      <w:r w:rsidRPr="00DA2287">
        <w:t>who</w:t>
      </w:r>
      <w:r w:rsidR="003D640C">
        <w:t xml:space="preserve"> </w:t>
      </w:r>
      <w:r w:rsidRPr="00DA2287">
        <w:t>have</w:t>
      </w:r>
      <w:r w:rsidR="003D640C">
        <w:t xml:space="preserve"> </w:t>
      </w:r>
      <w:r w:rsidRPr="00DA2287">
        <w:t>been</w:t>
      </w:r>
      <w:r w:rsidR="003D640C">
        <w:t xml:space="preserve"> </w:t>
      </w:r>
      <w:r w:rsidRPr="00DA2287">
        <w:t>established</w:t>
      </w:r>
      <w:r w:rsidR="003D640C">
        <w:t xml:space="preserve"> </w:t>
      </w:r>
      <w:r w:rsidRPr="00DA2287">
        <w:t>in</w:t>
      </w:r>
      <w:r w:rsidR="003D640C">
        <w:t xml:space="preserve"> </w:t>
      </w:r>
      <w:r w:rsidRPr="00DA2287">
        <w:t>Aotearoa</w:t>
      </w:r>
      <w:r w:rsidR="003D640C">
        <w:t xml:space="preserve"> </w:t>
      </w:r>
      <w:r w:rsidRPr="00DA2287">
        <w:t>for</w:t>
      </w:r>
      <w:r w:rsidR="003D640C">
        <w:t xml:space="preserve"> </w:t>
      </w:r>
      <w:r w:rsidRPr="00DA2287">
        <w:t>a</w:t>
      </w:r>
      <w:r w:rsidR="003D640C">
        <w:t xml:space="preserve"> </w:t>
      </w:r>
      <w:r w:rsidRPr="00DA2287">
        <w:t>long</w:t>
      </w:r>
      <w:r w:rsidR="003D640C">
        <w:t xml:space="preserve"> </w:t>
      </w:r>
      <w:r w:rsidRPr="00DA2287">
        <w:t>time.</w:t>
      </w:r>
      <w:r w:rsidRPr="00DA2287" w:rsidDel="008E1CCA">
        <w:t xml:space="preserve"> </w:t>
      </w:r>
    </w:p>
    <w:p w14:paraId="157B7D2A" w14:textId="2C56DCCE" w:rsidR="008B0FA9" w:rsidRPr="005D4747" w:rsidRDefault="008B0FA9" w:rsidP="00323E57">
      <w:r w:rsidRPr="00DA2287">
        <w:t>Based</w:t>
      </w:r>
      <w:r w:rsidR="003D640C">
        <w:t xml:space="preserve"> </w:t>
      </w:r>
      <w:r w:rsidRPr="00DA2287">
        <w:t>on</w:t>
      </w:r>
      <w:r w:rsidR="003D640C">
        <w:t xml:space="preserve"> </w:t>
      </w:r>
      <w:r w:rsidRPr="00DA2287">
        <w:t>the</w:t>
      </w:r>
      <w:r w:rsidR="003D640C">
        <w:t xml:space="preserve"> </w:t>
      </w:r>
      <w:r w:rsidRPr="00DA2287">
        <w:t>select</w:t>
      </w:r>
      <w:r w:rsidR="003D640C">
        <w:t xml:space="preserve"> </w:t>
      </w:r>
      <w:r w:rsidRPr="00DA2287">
        <w:t>voices</w:t>
      </w:r>
      <w:r w:rsidR="003D640C">
        <w:t xml:space="preserve"> </w:t>
      </w:r>
      <w:r w:rsidRPr="00DA2287">
        <w:t>documented</w:t>
      </w:r>
      <w:r w:rsidR="003D640C">
        <w:t xml:space="preserve"> </w:t>
      </w:r>
      <w:r w:rsidRPr="00DA2287">
        <w:t>in</w:t>
      </w:r>
      <w:r w:rsidR="003D640C">
        <w:t xml:space="preserve"> </w:t>
      </w:r>
      <w:r w:rsidRPr="00DA2287">
        <w:t>this</w:t>
      </w:r>
      <w:r w:rsidR="003D640C">
        <w:t xml:space="preserve"> </w:t>
      </w:r>
      <w:r w:rsidRPr="00DA2287">
        <w:t>section,</w:t>
      </w:r>
      <w:r w:rsidR="003D640C">
        <w:t xml:space="preserve"> </w:t>
      </w:r>
      <w:r w:rsidRPr="00DA2287">
        <w:t>we</w:t>
      </w:r>
      <w:r w:rsidR="003D640C">
        <w:t xml:space="preserve"> </w:t>
      </w:r>
      <w:r w:rsidRPr="00DA2287">
        <w:t>can</w:t>
      </w:r>
      <w:r w:rsidR="003D640C">
        <w:t xml:space="preserve"> </w:t>
      </w:r>
      <w:r w:rsidR="0090360A">
        <w:t>suggest</w:t>
      </w:r>
      <w:r w:rsidR="003D640C">
        <w:t xml:space="preserve"> </w:t>
      </w:r>
      <w:r w:rsidRPr="00DA2287">
        <w:t>that</w:t>
      </w:r>
      <w:r w:rsidR="003D640C">
        <w:t xml:space="preserve"> </w:t>
      </w:r>
      <w:r w:rsidRPr="00DA2287">
        <w:t>conversion</w:t>
      </w:r>
      <w:r w:rsidR="003D640C">
        <w:t xml:space="preserve"> </w:t>
      </w:r>
      <w:r w:rsidRPr="00DA2287">
        <w:t>practices</w:t>
      </w:r>
      <w:r w:rsidR="003D640C">
        <w:t xml:space="preserve"> </w:t>
      </w:r>
      <w:r w:rsidRPr="00DA2287">
        <w:t>occur</w:t>
      </w:r>
      <w:r w:rsidR="003D640C">
        <w:t xml:space="preserve"> </w:t>
      </w:r>
      <w:r w:rsidRPr="00DA2287">
        <w:t>within</w:t>
      </w:r>
      <w:r w:rsidR="003D640C">
        <w:t xml:space="preserve"> </w:t>
      </w:r>
      <w:r w:rsidRPr="00DA2287">
        <w:t>several</w:t>
      </w:r>
      <w:r w:rsidR="003D640C">
        <w:t xml:space="preserve"> </w:t>
      </w:r>
      <w:r w:rsidRPr="00DA2287">
        <w:t>minority</w:t>
      </w:r>
      <w:r w:rsidR="003D640C">
        <w:t xml:space="preserve"> </w:t>
      </w:r>
      <w:r w:rsidRPr="00DA2287">
        <w:t>ethnic</w:t>
      </w:r>
      <w:r w:rsidR="003D640C">
        <w:t xml:space="preserve"> </w:t>
      </w:r>
      <w:r w:rsidRPr="00DA2287">
        <w:t>communities</w:t>
      </w:r>
      <w:r w:rsidR="003D640C">
        <w:t xml:space="preserve"> </w:t>
      </w:r>
      <w:r w:rsidRPr="00DA2287">
        <w:t>in</w:t>
      </w:r>
      <w:r w:rsidR="003D640C">
        <w:t xml:space="preserve"> </w:t>
      </w:r>
      <w:r w:rsidRPr="00DA2287">
        <w:t>Aotearoa</w:t>
      </w:r>
      <w:r w:rsidR="003D640C">
        <w:t xml:space="preserve"> </w:t>
      </w:r>
      <w:r w:rsidRPr="00DA2287">
        <w:t>but</w:t>
      </w:r>
      <w:r w:rsidR="003D640C">
        <w:t xml:space="preserve"> </w:t>
      </w:r>
      <w:r w:rsidRPr="00DA2287">
        <w:t>that</w:t>
      </w:r>
      <w:r w:rsidR="003D640C">
        <w:t xml:space="preserve"> </w:t>
      </w:r>
      <w:r w:rsidRPr="00DA2287">
        <w:t>they</w:t>
      </w:r>
      <w:r w:rsidR="003D640C">
        <w:t xml:space="preserve"> </w:t>
      </w:r>
      <w:r w:rsidRPr="00DA2287">
        <w:t>may</w:t>
      </w:r>
      <w:r w:rsidR="003D640C">
        <w:t xml:space="preserve"> </w:t>
      </w:r>
      <w:r w:rsidRPr="00DA2287">
        <w:t>manifest</w:t>
      </w:r>
      <w:r w:rsidR="003D640C">
        <w:t xml:space="preserve"> </w:t>
      </w:r>
      <w:r w:rsidRPr="00DA2287">
        <w:t>in</w:t>
      </w:r>
      <w:r w:rsidR="003D640C">
        <w:t xml:space="preserve"> </w:t>
      </w:r>
      <w:r w:rsidRPr="00DA2287">
        <w:t>different</w:t>
      </w:r>
      <w:r w:rsidR="003D640C">
        <w:t xml:space="preserve"> </w:t>
      </w:r>
      <w:r w:rsidRPr="00DA2287">
        <w:t>ways</w:t>
      </w:r>
      <w:r w:rsidR="003D640C">
        <w:t xml:space="preserve"> </w:t>
      </w:r>
      <w:r w:rsidRPr="00DA2287">
        <w:t>than</w:t>
      </w:r>
      <w:r w:rsidR="003D640C">
        <w:t xml:space="preserve"> </w:t>
      </w:r>
      <w:r w:rsidRPr="00DA2287">
        <w:t>those</w:t>
      </w:r>
      <w:r w:rsidR="003D640C">
        <w:t xml:space="preserve"> </w:t>
      </w:r>
      <w:r w:rsidRPr="00DA2287">
        <w:t>experienced</w:t>
      </w:r>
      <w:r w:rsidR="003D640C">
        <w:t xml:space="preserve"> </w:t>
      </w:r>
      <w:r w:rsidRPr="00DA2287">
        <w:t>by</w:t>
      </w:r>
      <w:r w:rsidR="003D640C">
        <w:t xml:space="preserve"> </w:t>
      </w:r>
      <w:r w:rsidRPr="00DA2287">
        <w:t>other</w:t>
      </w:r>
      <w:r w:rsidR="003D640C">
        <w:t xml:space="preserve"> </w:t>
      </w:r>
      <w:r w:rsidRPr="00DA2287">
        <w:t>groups.</w:t>
      </w:r>
      <w:r w:rsidR="003D640C">
        <w:t xml:space="preserve"> </w:t>
      </w:r>
      <w:r w:rsidRPr="00DA2287">
        <w:t>The</w:t>
      </w:r>
      <w:r w:rsidR="003D640C">
        <w:t xml:space="preserve"> </w:t>
      </w:r>
      <w:r w:rsidRPr="00DA2287">
        <w:t>examples</w:t>
      </w:r>
      <w:r w:rsidR="003D640C">
        <w:t xml:space="preserve"> </w:t>
      </w:r>
      <w:r w:rsidRPr="00DA2287">
        <w:t>discussed</w:t>
      </w:r>
      <w:r w:rsidR="003D640C">
        <w:t xml:space="preserve"> </w:t>
      </w:r>
      <w:r w:rsidRPr="00DA2287">
        <w:t>in</w:t>
      </w:r>
      <w:r w:rsidR="003D640C">
        <w:t xml:space="preserve"> </w:t>
      </w:r>
      <w:r w:rsidRPr="00DA2287">
        <w:t>this</w:t>
      </w:r>
      <w:r w:rsidR="003D640C">
        <w:t xml:space="preserve"> </w:t>
      </w:r>
      <w:r w:rsidRPr="00DA2287">
        <w:t>chapter</w:t>
      </w:r>
      <w:r w:rsidR="003D640C">
        <w:t xml:space="preserve"> </w:t>
      </w:r>
      <w:r w:rsidRPr="00DA2287">
        <w:t>underline</w:t>
      </w:r>
      <w:r w:rsidR="003D640C">
        <w:t xml:space="preserve"> </w:t>
      </w:r>
      <w:r w:rsidRPr="00DA2287">
        <w:t>the</w:t>
      </w:r>
      <w:r w:rsidR="003D640C">
        <w:t xml:space="preserve"> </w:t>
      </w:r>
      <w:r w:rsidRPr="00DA2287">
        <w:t>unique</w:t>
      </w:r>
      <w:r w:rsidR="003D640C">
        <w:t xml:space="preserve"> </w:t>
      </w:r>
      <w:r w:rsidRPr="00DA2287">
        <w:t>risks</w:t>
      </w:r>
      <w:r w:rsidR="003D640C">
        <w:t xml:space="preserve"> </w:t>
      </w:r>
      <w:r w:rsidRPr="00DA2287">
        <w:t>of</w:t>
      </w:r>
      <w:r w:rsidR="003D640C">
        <w:t xml:space="preserve"> </w:t>
      </w:r>
      <w:r w:rsidRPr="00DA2287">
        <w:t>harm</w:t>
      </w:r>
      <w:r w:rsidR="003D640C">
        <w:t xml:space="preserve"> </w:t>
      </w:r>
      <w:r w:rsidRPr="00DA2287">
        <w:t>that</w:t>
      </w:r>
      <w:r w:rsidR="003D640C">
        <w:t xml:space="preserve"> </w:t>
      </w:r>
      <w:r w:rsidRPr="00DA2287">
        <w:t>occur</w:t>
      </w:r>
      <w:r w:rsidR="003D640C">
        <w:t xml:space="preserve"> </w:t>
      </w:r>
      <w:r w:rsidRPr="00DA2287">
        <w:t>for</w:t>
      </w:r>
      <w:r w:rsidR="003D640C">
        <w:t xml:space="preserve"> </w:t>
      </w:r>
      <w:r w:rsidRPr="00DA2287">
        <w:t>individuals</w:t>
      </w:r>
      <w:r w:rsidR="003D640C">
        <w:t xml:space="preserve"> </w:t>
      </w:r>
      <w:r w:rsidRPr="00DA2287">
        <w:t>who</w:t>
      </w:r>
      <w:r w:rsidR="003D640C">
        <w:t xml:space="preserve"> </w:t>
      </w:r>
      <w:r w:rsidRPr="00DA2287">
        <w:t>are</w:t>
      </w:r>
      <w:r w:rsidR="003D640C">
        <w:t xml:space="preserve"> </w:t>
      </w:r>
      <w:r w:rsidRPr="00DA2287">
        <w:t>members</w:t>
      </w:r>
      <w:r w:rsidR="003D640C">
        <w:t xml:space="preserve"> </w:t>
      </w:r>
      <w:r w:rsidRPr="00DA2287">
        <w:t>of</w:t>
      </w:r>
      <w:r w:rsidR="003D640C">
        <w:t xml:space="preserve"> </w:t>
      </w:r>
      <w:r w:rsidRPr="00DA2287">
        <w:t>minoritised</w:t>
      </w:r>
      <w:r w:rsidR="003D640C">
        <w:t xml:space="preserve"> </w:t>
      </w:r>
      <w:r w:rsidRPr="00DA2287">
        <w:t>ethnic</w:t>
      </w:r>
      <w:r w:rsidR="003D640C">
        <w:t xml:space="preserve"> </w:t>
      </w:r>
      <w:r w:rsidRPr="00DA2287">
        <w:t>communities.</w:t>
      </w:r>
      <w:r w:rsidR="003D640C">
        <w:t xml:space="preserve"> </w:t>
      </w:r>
      <w:r w:rsidRPr="00DA2287">
        <w:t>Their</w:t>
      </w:r>
      <w:r w:rsidR="003D640C">
        <w:t xml:space="preserve"> </w:t>
      </w:r>
      <w:r w:rsidRPr="00DA2287">
        <w:t>experiences</w:t>
      </w:r>
      <w:r w:rsidR="003D640C">
        <w:t xml:space="preserve"> </w:t>
      </w:r>
      <w:r w:rsidRPr="00DA2287">
        <w:t>may</w:t>
      </w:r>
      <w:r w:rsidR="003D640C">
        <w:t xml:space="preserve"> </w:t>
      </w:r>
      <w:r w:rsidRPr="00DA2287">
        <w:t>be</w:t>
      </w:r>
      <w:r w:rsidR="003D640C">
        <w:t xml:space="preserve"> </w:t>
      </w:r>
      <w:r w:rsidRPr="00DA2287">
        <w:t>shaped</w:t>
      </w:r>
      <w:r w:rsidR="003D640C">
        <w:t xml:space="preserve"> </w:t>
      </w:r>
      <w:r w:rsidRPr="00DA2287">
        <w:t>by</w:t>
      </w:r>
      <w:r w:rsidR="003D640C">
        <w:t xml:space="preserve"> </w:t>
      </w:r>
      <w:r w:rsidRPr="00DA2287">
        <w:t>membership</w:t>
      </w:r>
      <w:r w:rsidR="003D640C">
        <w:t xml:space="preserve"> </w:t>
      </w:r>
      <w:r w:rsidRPr="00DA2287">
        <w:t>in</w:t>
      </w:r>
      <w:r w:rsidR="003D640C">
        <w:t xml:space="preserve"> </w:t>
      </w:r>
      <w:r w:rsidRPr="00DA2287">
        <w:t>a</w:t>
      </w:r>
      <w:r w:rsidR="003D640C">
        <w:t xml:space="preserve"> </w:t>
      </w:r>
      <w:r w:rsidRPr="00DA2287">
        <w:t>minoritised</w:t>
      </w:r>
      <w:r w:rsidR="003D640C">
        <w:t xml:space="preserve"> </w:t>
      </w:r>
      <w:r w:rsidRPr="00DA2287">
        <w:t>group</w:t>
      </w:r>
      <w:r w:rsidR="003D640C">
        <w:t xml:space="preserve"> </w:t>
      </w:r>
      <w:r w:rsidRPr="00DA2287">
        <w:t>at</w:t>
      </w:r>
      <w:r w:rsidR="003D640C">
        <w:t xml:space="preserve"> </w:t>
      </w:r>
      <w:r w:rsidRPr="00DA2287">
        <w:t>the</w:t>
      </w:r>
      <w:r w:rsidR="003D640C">
        <w:t xml:space="preserve"> </w:t>
      </w:r>
      <w:r w:rsidRPr="00DA2287">
        <w:t>sharp</w:t>
      </w:r>
      <w:r w:rsidR="003D640C">
        <w:t xml:space="preserve"> </w:t>
      </w:r>
      <w:r w:rsidRPr="00DA2287">
        <w:t>end</w:t>
      </w:r>
      <w:r w:rsidR="003D640C">
        <w:t xml:space="preserve"> </w:t>
      </w:r>
      <w:r w:rsidRPr="00DA2287">
        <w:t>of</w:t>
      </w:r>
      <w:r w:rsidR="003D640C">
        <w:t xml:space="preserve"> </w:t>
      </w:r>
      <w:r w:rsidRPr="00DA2287">
        <w:t>racism</w:t>
      </w:r>
      <w:r w:rsidR="003D640C">
        <w:t xml:space="preserve"> </w:t>
      </w:r>
      <w:r w:rsidRPr="00DA2287">
        <w:t>and</w:t>
      </w:r>
      <w:r w:rsidR="003D640C">
        <w:t xml:space="preserve"> </w:t>
      </w:r>
      <w:r w:rsidRPr="00DA2287">
        <w:t>discrimination</w:t>
      </w:r>
      <w:r w:rsidR="003D640C">
        <w:t xml:space="preserve"> </w:t>
      </w:r>
      <w:r w:rsidRPr="00DA2287">
        <w:t>wh</w:t>
      </w:r>
      <w:r w:rsidR="00E1774E" w:rsidRPr="00DA2287">
        <w:t>o</w:t>
      </w:r>
      <w:r w:rsidR="003D640C">
        <w:t xml:space="preserve"> </w:t>
      </w:r>
      <w:r w:rsidRPr="00DA2287">
        <w:t>experience</w:t>
      </w:r>
      <w:r w:rsidR="003D640C">
        <w:t xml:space="preserve"> </w:t>
      </w:r>
      <w:r w:rsidRPr="00DA2287">
        <w:t>pressure</w:t>
      </w:r>
      <w:r w:rsidR="003D640C">
        <w:t xml:space="preserve"> </w:t>
      </w:r>
      <w:r w:rsidRPr="00DA2287">
        <w:t>to</w:t>
      </w:r>
      <w:r w:rsidR="003D640C">
        <w:t xml:space="preserve"> </w:t>
      </w:r>
      <w:r w:rsidRPr="00DA2287">
        <w:t>assimilate</w:t>
      </w:r>
      <w:r w:rsidR="003D640C">
        <w:t xml:space="preserve"> </w:t>
      </w:r>
      <w:r w:rsidR="00E1774E" w:rsidRPr="00DA2287">
        <w:t>in</w:t>
      </w:r>
      <w:r w:rsidRPr="00DA2287">
        <w:t>to</w:t>
      </w:r>
      <w:r w:rsidR="003D640C">
        <w:t xml:space="preserve"> </w:t>
      </w:r>
      <w:r w:rsidR="00E1774E" w:rsidRPr="00DA2287">
        <w:t>the</w:t>
      </w:r>
      <w:r w:rsidR="003D640C">
        <w:t xml:space="preserve"> </w:t>
      </w:r>
      <w:r w:rsidRPr="00DA2287">
        <w:t>dominant</w:t>
      </w:r>
      <w:r w:rsidR="003D640C">
        <w:t xml:space="preserve"> </w:t>
      </w:r>
      <w:r w:rsidR="00935AFE" w:rsidRPr="00DA2287">
        <w:t>(</w:t>
      </w:r>
      <w:r w:rsidRPr="00DA2287">
        <w:t>Pākehā</w:t>
      </w:r>
      <w:r w:rsidR="00935AFE" w:rsidRPr="00DA2287">
        <w:t>)</w:t>
      </w:r>
      <w:r w:rsidR="003D640C">
        <w:t xml:space="preserve"> </w:t>
      </w:r>
      <w:r w:rsidRPr="00DA2287">
        <w:t>culture.</w:t>
      </w:r>
      <w:r w:rsidR="003D640C">
        <w:t xml:space="preserve"> </w:t>
      </w:r>
    </w:p>
    <w:p w14:paraId="470E51E3" w14:textId="09D3A858" w:rsidR="00501068" w:rsidRDefault="008B0FA9" w:rsidP="00323E57">
      <w:pPr>
        <w:rPr>
          <w:rFonts w:eastAsia="Open Sans"/>
          <w:color w:val="121317"/>
        </w:rPr>
      </w:pPr>
      <w:r w:rsidRPr="00DA2287">
        <w:rPr>
          <w:rFonts w:eastAsia="Open Sans"/>
          <w:color w:val="121317"/>
        </w:rPr>
        <w:t>Simultaneously,</w:t>
      </w:r>
      <w:r w:rsidR="003D640C">
        <w:rPr>
          <w:rFonts w:eastAsia="Open Sans"/>
          <w:color w:val="121317"/>
        </w:rPr>
        <w:t xml:space="preserve"> </w:t>
      </w:r>
      <w:r w:rsidRPr="00DA2287">
        <w:rPr>
          <w:rFonts w:eastAsia="Open Sans"/>
          <w:color w:val="121317"/>
        </w:rPr>
        <w:t>many</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those</w:t>
      </w:r>
      <w:r w:rsidR="003D640C">
        <w:rPr>
          <w:rFonts w:eastAsia="Open Sans"/>
          <w:color w:val="121317"/>
        </w:rPr>
        <w:t xml:space="preserve"> </w:t>
      </w:r>
      <w:r w:rsidRPr="00DA2287">
        <w:rPr>
          <w:rFonts w:eastAsia="Open Sans"/>
          <w:color w:val="121317"/>
        </w:rPr>
        <w:t>ethnic</w:t>
      </w:r>
      <w:r w:rsidR="003D640C">
        <w:rPr>
          <w:rFonts w:eastAsia="Open Sans"/>
          <w:color w:val="121317"/>
        </w:rPr>
        <w:t xml:space="preserve"> </w:t>
      </w:r>
      <w:r w:rsidRPr="00DA2287">
        <w:rPr>
          <w:rFonts w:eastAsia="Open Sans"/>
          <w:color w:val="121317"/>
        </w:rPr>
        <w:t>Rainbow</w:t>
      </w:r>
      <w:r w:rsidR="003D640C">
        <w:rPr>
          <w:rFonts w:eastAsia="Open Sans"/>
          <w:color w:val="121317"/>
        </w:rPr>
        <w:t xml:space="preserve"> </w:t>
      </w:r>
      <w:r w:rsidRPr="00DA2287">
        <w:rPr>
          <w:rFonts w:eastAsia="Open Sans"/>
          <w:color w:val="121317"/>
        </w:rPr>
        <w:t>people</w:t>
      </w:r>
      <w:r w:rsidR="003D640C">
        <w:rPr>
          <w:rFonts w:eastAsia="Open Sans"/>
          <w:color w:val="121317"/>
        </w:rPr>
        <w:t xml:space="preserve"> </w:t>
      </w:r>
      <w:r w:rsidRPr="00DA2287">
        <w:rPr>
          <w:rFonts w:eastAsia="Open Sans"/>
          <w:color w:val="121317"/>
        </w:rPr>
        <w:t>vulnerable</w:t>
      </w:r>
      <w:r w:rsidR="003D640C">
        <w:rPr>
          <w:rFonts w:eastAsia="Open Sans"/>
          <w:color w:val="121317"/>
        </w:rPr>
        <w:t xml:space="preserve"> </w:t>
      </w:r>
      <w:r w:rsidRPr="00DA2287">
        <w:rPr>
          <w:rFonts w:eastAsia="Open Sans"/>
          <w:color w:val="121317"/>
        </w:rPr>
        <w:t>to</w:t>
      </w:r>
      <w:r w:rsidR="003D640C">
        <w:rPr>
          <w:rFonts w:eastAsia="Open Sans"/>
          <w:color w:val="121317"/>
        </w:rPr>
        <w:t xml:space="preserve"> </w:t>
      </w:r>
      <w:r w:rsidRPr="00DA2287">
        <w:rPr>
          <w:rFonts w:eastAsia="Open Sans"/>
          <w:color w:val="121317"/>
        </w:rPr>
        <w:t>conversion</w:t>
      </w:r>
      <w:r w:rsidR="003D640C">
        <w:rPr>
          <w:rFonts w:eastAsia="Open Sans"/>
          <w:color w:val="121317"/>
        </w:rPr>
        <w:t xml:space="preserve"> </w:t>
      </w:r>
      <w:r w:rsidRPr="00DA2287">
        <w:rPr>
          <w:rFonts w:eastAsia="Open Sans"/>
          <w:color w:val="121317"/>
        </w:rPr>
        <w:t>practices</w:t>
      </w:r>
      <w:r w:rsidR="003D640C">
        <w:rPr>
          <w:rFonts w:eastAsia="Open Sans"/>
          <w:color w:val="121317"/>
        </w:rPr>
        <w:t xml:space="preserve"> </w:t>
      </w:r>
      <w:r w:rsidRPr="00DA2287">
        <w:rPr>
          <w:rFonts w:eastAsia="Open Sans"/>
          <w:color w:val="121317"/>
        </w:rPr>
        <w:t>are</w:t>
      </w:r>
      <w:r w:rsidR="003D640C">
        <w:rPr>
          <w:rFonts w:eastAsia="Open Sans"/>
          <w:color w:val="121317"/>
        </w:rPr>
        <w:t xml:space="preserve"> </w:t>
      </w:r>
      <w:r w:rsidRPr="00DA2287">
        <w:rPr>
          <w:rFonts w:eastAsia="Open Sans"/>
          <w:color w:val="121317"/>
        </w:rPr>
        <w:t>threatened</w:t>
      </w:r>
      <w:r w:rsidR="003D640C">
        <w:rPr>
          <w:rFonts w:eastAsia="Open Sans"/>
          <w:color w:val="121317"/>
        </w:rPr>
        <w:t xml:space="preserve"> </w:t>
      </w:r>
      <w:r w:rsidRPr="00DA2287">
        <w:rPr>
          <w:rFonts w:eastAsia="Open Sans"/>
          <w:color w:val="121317"/>
        </w:rPr>
        <w:t>with</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experience</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marginalisation</w:t>
      </w:r>
      <w:r w:rsidR="003D640C">
        <w:rPr>
          <w:rFonts w:eastAsia="Open Sans"/>
          <w:color w:val="121317"/>
        </w:rPr>
        <w:t xml:space="preserve"> </w:t>
      </w:r>
      <w:r w:rsidRPr="00DA2287">
        <w:rPr>
          <w:rFonts w:eastAsia="Open Sans"/>
          <w:color w:val="121317"/>
        </w:rPr>
        <w:t>and</w:t>
      </w:r>
      <w:r w:rsidR="003D640C">
        <w:rPr>
          <w:rFonts w:eastAsia="Open Sans"/>
          <w:color w:val="121317"/>
        </w:rPr>
        <w:t xml:space="preserve"> </w:t>
      </w:r>
      <w:r w:rsidRPr="00DA2287">
        <w:rPr>
          <w:rFonts w:eastAsia="Open Sans"/>
          <w:color w:val="121317"/>
        </w:rPr>
        <w:t>exclusion</w:t>
      </w:r>
      <w:r w:rsidR="003D640C">
        <w:rPr>
          <w:rFonts w:eastAsia="Open Sans"/>
          <w:color w:val="121317"/>
        </w:rPr>
        <w:t xml:space="preserve"> </w:t>
      </w:r>
      <w:r w:rsidRPr="00DA2287">
        <w:rPr>
          <w:rFonts w:eastAsia="Open Sans"/>
          <w:color w:val="121317"/>
        </w:rPr>
        <w:t>from</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protected</w:t>
      </w:r>
      <w:r w:rsidR="003D640C">
        <w:rPr>
          <w:rFonts w:eastAsia="Open Sans"/>
          <w:color w:val="121317"/>
        </w:rPr>
        <w:t xml:space="preserve"> </w:t>
      </w:r>
      <w:r w:rsidRPr="00DA2287">
        <w:rPr>
          <w:rFonts w:eastAsia="Open Sans"/>
          <w:color w:val="121317"/>
        </w:rPr>
        <w:t>space</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family</w:t>
      </w:r>
      <w:r w:rsidR="003D640C">
        <w:rPr>
          <w:rFonts w:eastAsia="Open Sans"/>
          <w:color w:val="121317"/>
        </w:rPr>
        <w:t xml:space="preserve"> </w:t>
      </w:r>
      <w:r w:rsidRPr="00DA2287">
        <w:rPr>
          <w:rFonts w:eastAsia="Open Sans"/>
          <w:color w:val="121317"/>
        </w:rPr>
        <w:t>and/</w:t>
      </w:r>
      <w:r w:rsidR="00BA362C">
        <w:rPr>
          <w:rFonts w:eastAsia="Open Sans"/>
          <w:color w:val="121317"/>
        </w:rPr>
        <w:t>or</w:t>
      </w:r>
      <w:r w:rsidR="003D640C">
        <w:rPr>
          <w:rFonts w:eastAsia="Open Sans"/>
          <w:color w:val="121317"/>
        </w:rPr>
        <w:t xml:space="preserve"> </w:t>
      </w:r>
      <w:r w:rsidRPr="00DA2287">
        <w:rPr>
          <w:rFonts w:eastAsia="Open Sans"/>
          <w:color w:val="121317"/>
        </w:rPr>
        <w:t>wider</w:t>
      </w:r>
      <w:r w:rsidR="003D640C">
        <w:rPr>
          <w:rFonts w:eastAsia="Open Sans"/>
          <w:color w:val="121317"/>
        </w:rPr>
        <w:t xml:space="preserve"> </w:t>
      </w:r>
      <w:r w:rsidRPr="00DA2287">
        <w:rPr>
          <w:rFonts w:eastAsia="Open Sans"/>
          <w:color w:val="121317"/>
        </w:rPr>
        <w:t>ethnic</w:t>
      </w:r>
      <w:r w:rsidR="003D640C">
        <w:rPr>
          <w:rFonts w:eastAsia="Open Sans"/>
          <w:color w:val="121317"/>
        </w:rPr>
        <w:t xml:space="preserve"> </w:t>
      </w:r>
      <w:r w:rsidRPr="00DA2287">
        <w:rPr>
          <w:rFonts w:eastAsia="Open Sans"/>
          <w:color w:val="121317"/>
        </w:rPr>
        <w:t>community.</w:t>
      </w:r>
      <w:r w:rsidRPr="00DA2287" w:rsidDel="008E1CCA">
        <w:rPr>
          <w:rFonts w:eastAsia="Open Sans"/>
          <w:color w:val="121317"/>
        </w:rPr>
        <w:t xml:space="preserve"> </w:t>
      </w:r>
      <w:r w:rsidRPr="00DA2287">
        <w:rPr>
          <w:rFonts w:eastAsia="Open Sans"/>
          <w:color w:val="121317"/>
        </w:rPr>
        <w:t>Compounding</w:t>
      </w:r>
      <w:r w:rsidR="003D640C">
        <w:rPr>
          <w:rFonts w:eastAsia="Open Sans"/>
          <w:color w:val="121317"/>
        </w:rPr>
        <w:t xml:space="preserve"> </w:t>
      </w:r>
      <w:r w:rsidRPr="00DA2287">
        <w:rPr>
          <w:rFonts w:eastAsia="Open Sans"/>
          <w:color w:val="121317"/>
        </w:rPr>
        <w:t>these</w:t>
      </w:r>
      <w:r w:rsidR="003D640C">
        <w:rPr>
          <w:rFonts w:eastAsia="Open Sans"/>
          <w:color w:val="121317"/>
        </w:rPr>
        <w:t xml:space="preserve"> </w:t>
      </w:r>
      <w:r w:rsidRPr="00DA2287">
        <w:rPr>
          <w:rFonts w:eastAsia="Open Sans"/>
          <w:color w:val="121317"/>
        </w:rPr>
        <w:t>factors,</w:t>
      </w:r>
      <w:r w:rsidR="003D640C">
        <w:rPr>
          <w:rFonts w:eastAsia="Open Sans"/>
          <w:color w:val="121317"/>
        </w:rPr>
        <w:t xml:space="preserve"> </w:t>
      </w:r>
      <w:r w:rsidRPr="00DA2287">
        <w:rPr>
          <w:rFonts w:eastAsia="Open Sans"/>
          <w:color w:val="121317"/>
        </w:rPr>
        <w:t>our</w:t>
      </w:r>
      <w:r w:rsidR="003D640C">
        <w:rPr>
          <w:rFonts w:eastAsia="Open Sans"/>
          <w:color w:val="121317"/>
        </w:rPr>
        <w:t xml:space="preserve"> </w:t>
      </w:r>
      <w:r w:rsidRPr="00DA2287">
        <w:rPr>
          <w:rFonts w:eastAsia="Open Sans"/>
          <w:color w:val="121317"/>
        </w:rPr>
        <w:t>engagements</w:t>
      </w:r>
      <w:r w:rsidR="003D640C">
        <w:rPr>
          <w:rFonts w:eastAsia="Open Sans"/>
          <w:color w:val="121317"/>
        </w:rPr>
        <w:t xml:space="preserve"> </w:t>
      </w:r>
      <w:r w:rsidRPr="00DA2287">
        <w:rPr>
          <w:rFonts w:eastAsia="Open Sans"/>
          <w:color w:val="121317"/>
        </w:rPr>
        <w:t>confirmed</w:t>
      </w:r>
      <w:r w:rsidR="003D640C">
        <w:rPr>
          <w:rFonts w:eastAsia="Open Sans"/>
          <w:color w:val="121317"/>
        </w:rPr>
        <w:t xml:space="preserve"> </w:t>
      </w:r>
      <w:r w:rsidRPr="00DA2287">
        <w:rPr>
          <w:rFonts w:eastAsia="Open Sans"/>
          <w:color w:val="121317"/>
        </w:rPr>
        <w:t>what</w:t>
      </w:r>
      <w:r w:rsidR="003D640C">
        <w:rPr>
          <w:rFonts w:eastAsia="Open Sans"/>
          <w:color w:val="121317"/>
        </w:rPr>
        <w:t xml:space="preserve"> </w:t>
      </w:r>
      <w:r w:rsidRPr="00DA2287">
        <w:rPr>
          <w:rFonts w:eastAsia="Open Sans"/>
          <w:color w:val="121317"/>
        </w:rPr>
        <w:t>existing</w:t>
      </w:r>
      <w:r w:rsidR="003D640C">
        <w:rPr>
          <w:rFonts w:eastAsia="Open Sans"/>
          <w:color w:val="121317"/>
        </w:rPr>
        <w:t xml:space="preserve"> </w:t>
      </w:r>
      <w:r w:rsidRPr="00DA2287">
        <w:rPr>
          <w:rFonts w:eastAsia="Open Sans"/>
          <w:color w:val="121317"/>
        </w:rPr>
        <w:t>studies</w:t>
      </w:r>
      <w:r w:rsidR="003D640C">
        <w:rPr>
          <w:rFonts w:eastAsia="Open Sans"/>
          <w:color w:val="121317"/>
        </w:rPr>
        <w:t xml:space="preserve"> </w:t>
      </w:r>
      <w:r w:rsidRPr="00DA2287">
        <w:rPr>
          <w:rFonts w:eastAsia="Open Sans"/>
          <w:color w:val="121317"/>
        </w:rPr>
        <w:t>have</w:t>
      </w:r>
      <w:r w:rsidR="003D640C">
        <w:rPr>
          <w:rFonts w:eastAsia="Open Sans"/>
          <w:color w:val="121317"/>
        </w:rPr>
        <w:t xml:space="preserve"> </w:t>
      </w:r>
      <w:r w:rsidRPr="00DA2287">
        <w:rPr>
          <w:rFonts w:eastAsia="Open Sans"/>
          <w:color w:val="121317"/>
        </w:rPr>
        <w:t>also</w:t>
      </w:r>
      <w:r w:rsidR="003D640C">
        <w:rPr>
          <w:rFonts w:eastAsia="Open Sans"/>
          <w:color w:val="121317"/>
        </w:rPr>
        <w:t xml:space="preserve"> </w:t>
      </w:r>
      <w:r w:rsidRPr="00DA2287">
        <w:rPr>
          <w:rFonts w:eastAsia="Open Sans"/>
          <w:color w:val="121317"/>
        </w:rPr>
        <w:t>identified</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an</w:t>
      </w:r>
      <w:r w:rsidR="003D640C">
        <w:rPr>
          <w:rFonts w:eastAsia="Open Sans"/>
          <w:color w:val="121317"/>
        </w:rPr>
        <w:t xml:space="preserve"> </w:t>
      </w:r>
      <w:r w:rsidRPr="00DA2287">
        <w:rPr>
          <w:rFonts w:eastAsia="Open Sans"/>
          <w:color w:val="121317"/>
        </w:rPr>
        <w:t>issue</w:t>
      </w:r>
      <w:r w:rsidR="003D640C">
        <w:rPr>
          <w:rFonts w:eastAsia="Open Sans"/>
          <w:color w:val="121317"/>
        </w:rPr>
        <w:t xml:space="preserve"> </w:t>
      </w:r>
      <w:r w:rsidRPr="00DA2287">
        <w:rPr>
          <w:rFonts w:eastAsia="Open Sans"/>
          <w:color w:val="121317"/>
        </w:rPr>
        <w:t>for</w:t>
      </w:r>
      <w:r w:rsidR="003D640C">
        <w:rPr>
          <w:rFonts w:eastAsia="Open Sans"/>
          <w:color w:val="121317"/>
        </w:rPr>
        <w:t xml:space="preserve"> </w:t>
      </w:r>
      <w:r w:rsidRPr="00DA2287">
        <w:rPr>
          <w:rFonts w:eastAsia="Open Sans"/>
          <w:color w:val="121317"/>
        </w:rPr>
        <w:t>ethnic</w:t>
      </w:r>
      <w:r w:rsidR="003D640C">
        <w:rPr>
          <w:rFonts w:eastAsia="Open Sans"/>
          <w:color w:val="121317"/>
        </w:rPr>
        <w:t xml:space="preserve"> </w:t>
      </w:r>
      <w:r w:rsidRPr="00DA2287">
        <w:rPr>
          <w:rFonts w:eastAsia="Open Sans"/>
          <w:color w:val="121317"/>
        </w:rPr>
        <w:t>Rainbow</w:t>
      </w:r>
      <w:r w:rsidR="003D640C">
        <w:rPr>
          <w:rFonts w:eastAsia="Open Sans"/>
          <w:color w:val="121317"/>
        </w:rPr>
        <w:t xml:space="preserve"> </w:t>
      </w:r>
      <w:r w:rsidRPr="00DA2287">
        <w:rPr>
          <w:rFonts w:eastAsia="Open Sans"/>
          <w:color w:val="121317"/>
        </w:rPr>
        <w:t>youth</w:t>
      </w:r>
      <w:r w:rsidR="006A48D6">
        <w:rPr>
          <w:rFonts w:eastAsia="Open Sans"/>
          <w:color w:val="121317"/>
        </w:rPr>
        <w:t xml:space="preserve"> –</w:t>
      </w:r>
      <w:r w:rsidR="003D640C">
        <w:rPr>
          <w:rFonts w:eastAsia="Open Sans"/>
          <w:color w:val="121317"/>
        </w:rPr>
        <w:t xml:space="preserve"> </w:t>
      </w:r>
      <w:r w:rsidRPr="00DA2287">
        <w:rPr>
          <w:rFonts w:eastAsia="Open Sans"/>
          <w:color w:val="121317"/>
        </w:rPr>
        <w:t>they</w:t>
      </w:r>
      <w:r w:rsidR="003D640C">
        <w:rPr>
          <w:rFonts w:eastAsia="Open Sans"/>
          <w:color w:val="121317"/>
        </w:rPr>
        <w:t xml:space="preserve"> </w:t>
      </w:r>
      <w:r w:rsidRPr="00DA2287">
        <w:rPr>
          <w:rFonts w:eastAsia="Open Sans"/>
          <w:color w:val="121317"/>
        </w:rPr>
        <w:t>experienced</w:t>
      </w:r>
      <w:r w:rsidR="003D640C">
        <w:rPr>
          <w:rFonts w:eastAsia="Open Sans"/>
          <w:color w:val="121317"/>
        </w:rPr>
        <w:t xml:space="preserve"> </w:t>
      </w:r>
      <w:r w:rsidR="00E1774E" w:rsidRPr="00DA2287">
        <w:rPr>
          <w:rFonts w:eastAsia="Open Sans"/>
          <w:color w:val="121317"/>
        </w:rPr>
        <w:t>barriers</w:t>
      </w:r>
      <w:r w:rsidR="003D640C">
        <w:rPr>
          <w:rFonts w:eastAsia="Open Sans"/>
          <w:color w:val="121317"/>
        </w:rPr>
        <w:t xml:space="preserve"> </w:t>
      </w:r>
      <w:r w:rsidRPr="00DA2287">
        <w:rPr>
          <w:rFonts w:eastAsia="Open Sans"/>
          <w:color w:val="121317"/>
        </w:rPr>
        <w:t>to</w:t>
      </w:r>
      <w:r w:rsidR="003D640C">
        <w:rPr>
          <w:rFonts w:eastAsia="Open Sans"/>
          <w:color w:val="121317"/>
        </w:rPr>
        <w:t xml:space="preserve"> </w:t>
      </w:r>
      <w:r w:rsidRPr="00DA2287">
        <w:rPr>
          <w:rFonts w:eastAsia="Open Sans"/>
          <w:color w:val="121317"/>
        </w:rPr>
        <w:t>belonging</w:t>
      </w:r>
      <w:r w:rsidR="003D640C">
        <w:rPr>
          <w:rFonts w:eastAsia="Open Sans"/>
          <w:color w:val="121317"/>
        </w:rPr>
        <w:t xml:space="preserve"> </w:t>
      </w:r>
      <w:r w:rsidRPr="00DA2287">
        <w:rPr>
          <w:rFonts w:eastAsia="Open Sans"/>
          <w:color w:val="121317"/>
        </w:rPr>
        <w:t>to</w:t>
      </w:r>
      <w:r w:rsidR="003D640C">
        <w:rPr>
          <w:rFonts w:eastAsia="Open Sans"/>
          <w:color w:val="121317"/>
        </w:rPr>
        <w:t xml:space="preserve"> </w:t>
      </w:r>
      <w:r w:rsidRPr="00DA2287">
        <w:rPr>
          <w:rFonts w:eastAsia="Open Sans"/>
          <w:color w:val="121317"/>
        </w:rPr>
        <w:t>what</w:t>
      </w:r>
      <w:r w:rsidR="003D640C">
        <w:rPr>
          <w:rFonts w:eastAsia="Open Sans"/>
          <w:color w:val="121317"/>
        </w:rPr>
        <w:t xml:space="preserve"> </w:t>
      </w:r>
      <w:r w:rsidRPr="00DA2287">
        <w:rPr>
          <w:rFonts w:eastAsia="Open Sans"/>
          <w:color w:val="121317"/>
        </w:rPr>
        <w:t>they</w:t>
      </w:r>
      <w:r w:rsidR="003D640C">
        <w:rPr>
          <w:rFonts w:eastAsia="Open Sans"/>
          <w:color w:val="121317"/>
        </w:rPr>
        <w:t xml:space="preserve"> </w:t>
      </w:r>
      <w:r w:rsidRPr="00DA2287">
        <w:rPr>
          <w:rFonts w:eastAsia="Open Sans"/>
          <w:color w:val="121317"/>
        </w:rPr>
        <w:t>perceive</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009B37E7">
        <w:rPr>
          <w:rFonts w:eastAsia="Open Sans"/>
          <w:color w:val="121317"/>
        </w:rPr>
        <w:t>Pākeh</w:t>
      </w:r>
      <w:r w:rsidR="005D27E8">
        <w:rPr>
          <w:rFonts w:eastAsia="Open Sans"/>
          <w:color w:val="121317"/>
        </w:rPr>
        <w:t>ā</w:t>
      </w:r>
      <w:r w:rsidRPr="00DA2287">
        <w:rPr>
          <w:rFonts w:eastAsia="Open Sans"/>
          <w:color w:val="121317"/>
        </w:rPr>
        <w:t>,</w:t>
      </w:r>
      <w:r w:rsidR="003D640C">
        <w:rPr>
          <w:rFonts w:eastAsia="Open Sans"/>
          <w:color w:val="121317"/>
        </w:rPr>
        <w:t xml:space="preserve"> </w:t>
      </w:r>
      <w:r w:rsidRPr="00DA2287">
        <w:rPr>
          <w:rFonts w:eastAsia="Open Sans"/>
          <w:color w:val="121317"/>
        </w:rPr>
        <w:t>cisgender</w:t>
      </w:r>
      <w:r w:rsidR="00830382">
        <w:rPr>
          <w:rFonts w:eastAsia="Open Sans"/>
          <w:color w:val="121317"/>
        </w:rPr>
        <w:t>,</w:t>
      </w:r>
      <w:r w:rsidR="003D640C">
        <w:rPr>
          <w:rFonts w:eastAsia="Open Sans"/>
          <w:color w:val="121317"/>
        </w:rPr>
        <w:t xml:space="preserve"> </w:t>
      </w:r>
      <w:r w:rsidRPr="00DA2287">
        <w:rPr>
          <w:rFonts w:eastAsia="Open Sans"/>
          <w:color w:val="121317"/>
        </w:rPr>
        <w:t>Rainbow</w:t>
      </w:r>
      <w:r w:rsidR="003D640C">
        <w:rPr>
          <w:rFonts w:eastAsia="Open Sans"/>
          <w:color w:val="121317"/>
        </w:rPr>
        <w:t xml:space="preserve"> </w:t>
      </w:r>
      <w:r w:rsidRPr="00DA2287">
        <w:rPr>
          <w:rFonts w:eastAsia="Open Sans"/>
          <w:color w:val="121317"/>
        </w:rPr>
        <w:t>community</w:t>
      </w:r>
      <w:r w:rsidR="003D640C">
        <w:rPr>
          <w:rFonts w:eastAsia="Open Sans"/>
          <w:color w:val="121317"/>
        </w:rPr>
        <w:t xml:space="preserve"> </w:t>
      </w:r>
      <w:r w:rsidRPr="00DA2287">
        <w:rPr>
          <w:rFonts w:eastAsia="Open Sans"/>
          <w:color w:val="121317"/>
        </w:rPr>
        <w:t>spaces.</w:t>
      </w:r>
      <w:r w:rsidRPr="00DA2287">
        <w:rPr>
          <w:rStyle w:val="FootnoteReference"/>
          <w:rFonts w:eastAsia="Open Sans"/>
          <w:color w:val="121317"/>
        </w:rPr>
        <w:footnoteReference w:id="205"/>
      </w:r>
      <w:r w:rsidR="003D640C">
        <w:rPr>
          <w:rFonts w:eastAsia="Open Sans"/>
          <w:color w:val="121317"/>
        </w:rPr>
        <w:t xml:space="preserve"> </w:t>
      </w:r>
    </w:p>
    <w:p w14:paraId="525D9B12" w14:textId="49D9E40B" w:rsidR="008B0FA9" w:rsidRPr="00DA2287" w:rsidRDefault="008B0FA9" w:rsidP="002C6363">
      <w:pPr>
        <w:pStyle w:val="Heading3"/>
      </w:pPr>
      <w:bookmarkStart w:id="278" w:name="_Toc139031165"/>
      <w:bookmarkStart w:id="279" w:name="_Toc167780618"/>
      <w:bookmarkStart w:id="280" w:name="_Toc323745750"/>
      <w:bookmarkStart w:id="281" w:name="_Toc174628678"/>
      <w:r w:rsidRPr="00DA2287">
        <w:t>Data</w:t>
      </w:r>
      <w:r w:rsidR="003D640C">
        <w:t xml:space="preserve"> </w:t>
      </w:r>
      <w:r w:rsidRPr="00DA2287">
        <w:t>about</w:t>
      </w:r>
      <w:r w:rsidR="003D640C">
        <w:t xml:space="preserve"> </w:t>
      </w:r>
      <w:r w:rsidRPr="00DA2287">
        <w:t>ethnic</w:t>
      </w:r>
      <w:r w:rsidR="003D640C">
        <w:t xml:space="preserve"> </w:t>
      </w:r>
      <w:r w:rsidRPr="00DA2287">
        <w:t>communities</w:t>
      </w:r>
      <w:r w:rsidR="003D640C">
        <w:t xml:space="preserve"> </w:t>
      </w:r>
      <w:r w:rsidRPr="00DA2287">
        <w:t>in</w:t>
      </w:r>
      <w:r w:rsidR="003D640C">
        <w:t xml:space="preserve"> </w:t>
      </w:r>
      <w:r w:rsidRPr="00DA2287">
        <w:t>Aotearoa</w:t>
      </w:r>
      <w:bookmarkEnd w:id="278"/>
      <w:bookmarkEnd w:id="279"/>
      <w:bookmarkEnd w:id="280"/>
      <w:bookmarkEnd w:id="281"/>
    </w:p>
    <w:p w14:paraId="6C12D2FC" w14:textId="42F680B4" w:rsidR="008B0FA9" w:rsidRPr="00DA2287" w:rsidRDefault="008B0FA9" w:rsidP="00323E57">
      <w:r w:rsidRPr="00DA2287">
        <w:t>The</w:t>
      </w:r>
      <w:r w:rsidR="003D640C">
        <w:t xml:space="preserve"> </w:t>
      </w:r>
      <w:r w:rsidRPr="00DA2287">
        <w:t>government</w:t>
      </w:r>
      <w:r w:rsidR="003D640C">
        <w:t xml:space="preserve"> </w:t>
      </w:r>
      <w:r w:rsidRPr="00DA2287">
        <w:t>defines</w:t>
      </w:r>
      <w:r w:rsidR="003D640C">
        <w:t xml:space="preserve"> </w:t>
      </w:r>
      <w:r w:rsidRPr="00DA2287">
        <w:t>ethnic</w:t>
      </w:r>
      <w:r w:rsidR="003D640C">
        <w:t xml:space="preserve"> </w:t>
      </w:r>
      <w:r w:rsidRPr="00DA2287">
        <w:t>communities</w:t>
      </w:r>
      <w:r w:rsidR="003D640C">
        <w:t xml:space="preserve"> </w:t>
      </w:r>
      <w:r w:rsidRPr="00DA2287">
        <w:t>as</w:t>
      </w:r>
      <w:r w:rsidR="003D640C">
        <w:t xml:space="preserve"> </w:t>
      </w:r>
      <w:r w:rsidRPr="00DA2287">
        <w:t>including</w:t>
      </w:r>
      <w:r w:rsidR="003D640C">
        <w:t xml:space="preserve"> </w:t>
      </w:r>
      <w:r w:rsidRPr="00DA2287">
        <w:t>anyone</w:t>
      </w:r>
      <w:r w:rsidR="003D640C">
        <w:t xml:space="preserve"> </w:t>
      </w:r>
      <w:r w:rsidRPr="00DA2287">
        <w:t>who</w:t>
      </w:r>
      <w:r w:rsidR="003D640C">
        <w:t xml:space="preserve"> </w:t>
      </w:r>
      <w:r w:rsidRPr="00DA2287">
        <w:t>identifies</w:t>
      </w:r>
      <w:r w:rsidR="003D640C">
        <w:t xml:space="preserve"> </w:t>
      </w:r>
      <w:r w:rsidRPr="00DA2287">
        <w:t>their</w:t>
      </w:r>
      <w:r w:rsidR="003D640C">
        <w:t xml:space="preserve"> </w:t>
      </w:r>
      <w:r w:rsidRPr="00DA2287">
        <w:t>ethnicity</w:t>
      </w:r>
      <w:r w:rsidR="003D640C">
        <w:t xml:space="preserve"> </w:t>
      </w:r>
      <w:r w:rsidRPr="00DA2287">
        <w:t>as</w:t>
      </w:r>
      <w:r w:rsidR="003D640C">
        <w:t xml:space="preserve"> </w:t>
      </w:r>
      <w:r w:rsidRPr="00DA2287">
        <w:t>African,</w:t>
      </w:r>
      <w:r w:rsidR="003D640C">
        <w:t xml:space="preserve"> </w:t>
      </w:r>
      <w:r w:rsidRPr="00DA2287">
        <w:t>Asian,</w:t>
      </w:r>
      <w:r w:rsidR="003D640C">
        <w:t xml:space="preserve"> </w:t>
      </w:r>
      <w:r w:rsidRPr="00DA2287">
        <w:t>Continental</w:t>
      </w:r>
      <w:r w:rsidR="003D640C">
        <w:t xml:space="preserve"> </w:t>
      </w:r>
      <w:r w:rsidRPr="00DA2287">
        <w:t>European,</w:t>
      </w:r>
      <w:r w:rsidR="003D640C">
        <w:t xml:space="preserve"> </w:t>
      </w:r>
      <w:r w:rsidRPr="00DA2287">
        <w:t>Latin</w:t>
      </w:r>
      <w:r w:rsidR="003D640C">
        <w:t xml:space="preserve"> </w:t>
      </w:r>
      <w:r w:rsidRPr="00DA2287">
        <w:t>American</w:t>
      </w:r>
      <w:r w:rsidR="00830382">
        <w:t>,</w:t>
      </w:r>
      <w:r w:rsidR="003D640C">
        <w:t xml:space="preserve"> </w:t>
      </w:r>
      <w:r w:rsidRPr="00DA2287">
        <w:t>and/or</w:t>
      </w:r>
      <w:r w:rsidR="003D640C">
        <w:t xml:space="preserve"> </w:t>
      </w:r>
      <w:r w:rsidRPr="00DA2287">
        <w:t>Middle-Eastern.</w:t>
      </w:r>
      <w:r w:rsidRPr="00DA2287">
        <w:rPr>
          <w:rStyle w:val="FootnoteReference"/>
          <w:rFonts w:eastAsia="Open Sans"/>
          <w:color w:val="121317"/>
        </w:rPr>
        <w:footnoteReference w:id="206"/>
      </w:r>
      <w:r w:rsidR="003D640C">
        <w:t xml:space="preserve"> </w:t>
      </w:r>
      <w:r w:rsidRPr="00DA2287">
        <w:t>In</w:t>
      </w:r>
      <w:r w:rsidR="003D640C">
        <w:t xml:space="preserve"> </w:t>
      </w:r>
      <w:r w:rsidRPr="00DA2287">
        <w:t>the</w:t>
      </w:r>
      <w:r w:rsidR="003D640C">
        <w:t xml:space="preserve"> </w:t>
      </w:r>
      <w:r w:rsidRPr="00DA2287">
        <w:t>2018</w:t>
      </w:r>
      <w:r w:rsidR="003D640C">
        <w:t xml:space="preserve"> </w:t>
      </w:r>
      <w:r w:rsidR="00830382">
        <w:t>C</w:t>
      </w:r>
      <w:r w:rsidRPr="00DA2287">
        <w:t>ensus,</w:t>
      </w:r>
      <w:r w:rsidR="003D640C">
        <w:t xml:space="preserve"> </w:t>
      </w:r>
      <w:r w:rsidRPr="00DA2287">
        <w:t>18</w:t>
      </w:r>
      <w:r w:rsidR="001D1BF7">
        <w:t xml:space="preserve"> percent</w:t>
      </w:r>
      <w:r w:rsidR="003D640C">
        <w:t xml:space="preserve"> </w:t>
      </w:r>
      <w:r w:rsidRPr="00DA2287">
        <w:t>of</w:t>
      </w:r>
      <w:r w:rsidR="003D640C">
        <w:t xml:space="preserve"> </w:t>
      </w:r>
      <w:r w:rsidRPr="00DA2287">
        <w:t>the</w:t>
      </w:r>
      <w:r w:rsidR="003D640C">
        <w:t xml:space="preserve"> </w:t>
      </w:r>
      <w:r w:rsidRPr="00DA2287">
        <w:t>population</w:t>
      </w:r>
      <w:r w:rsidRPr="00DA2287">
        <w:rPr>
          <w:vertAlign w:val="superscript"/>
        </w:rPr>
        <w:footnoteReference w:id="207"/>
      </w:r>
      <w:r w:rsidR="003D640C">
        <w:t xml:space="preserve"> </w:t>
      </w:r>
      <w:r w:rsidRPr="00DA2287">
        <w:t>(approximately</w:t>
      </w:r>
      <w:r w:rsidR="003D640C">
        <w:t xml:space="preserve"> </w:t>
      </w:r>
      <w:r w:rsidRPr="00DA2287">
        <w:t>836,000</w:t>
      </w:r>
      <w:r w:rsidR="003D640C">
        <w:t xml:space="preserve"> </w:t>
      </w:r>
      <w:r w:rsidRPr="00DA2287">
        <w:t>people)</w:t>
      </w:r>
      <w:r w:rsidR="003D640C">
        <w:t xml:space="preserve"> </w:t>
      </w:r>
      <w:r w:rsidRPr="00DA2287">
        <w:t>identified</w:t>
      </w:r>
      <w:r w:rsidR="003D640C">
        <w:t xml:space="preserve"> </w:t>
      </w:r>
      <w:r w:rsidRPr="00DA2287">
        <w:t>as</w:t>
      </w:r>
      <w:r w:rsidR="003D640C">
        <w:t xml:space="preserve"> </w:t>
      </w:r>
      <w:r w:rsidRPr="00DA2287">
        <w:t>being</w:t>
      </w:r>
      <w:r w:rsidR="003D640C">
        <w:t xml:space="preserve"> </w:t>
      </w:r>
      <w:r w:rsidRPr="00DA2287">
        <w:t>part</w:t>
      </w:r>
      <w:r w:rsidR="003D640C">
        <w:t xml:space="preserve"> </w:t>
      </w:r>
      <w:r w:rsidRPr="00DA2287">
        <w:t>of</w:t>
      </w:r>
      <w:r w:rsidR="003D640C">
        <w:t xml:space="preserve"> </w:t>
      </w:r>
      <w:r w:rsidRPr="00DA2287">
        <w:t>a</w:t>
      </w:r>
      <w:r w:rsidR="003D640C">
        <w:t xml:space="preserve"> </w:t>
      </w:r>
      <w:r w:rsidRPr="00DA2287">
        <w:t>minority</w:t>
      </w:r>
      <w:r w:rsidR="003D640C">
        <w:t xml:space="preserve"> </w:t>
      </w:r>
      <w:r w:rsidRPr="00DA2287">
        <w:t>ethnic</w:t>
      </w:r>
      <w:r w:rsidR="003D640C">
        <w:t xml:space="preserve"> </w:t>
      </w:r>
      <w:r w:rsidRPr="00DA2287">
        <w:t>community</w:t>
      </w:r>
      <w:r w:rsidR="003D640C">
        <w:t xml:space="preserve"> </w:t>
      </w:r>
      <w:r w:rsidRPr="00DA2287">
        <w:t>in</w:t>
      </w:r>
      <w:r w:rsidR="003D640C">
        <w:t xml:space="preserve"> </w:t>
      </w:r>
      <w:r w:rsidRPr="00DA2287">
        <w:t>Aotearoa.</w:t>
      </w:r>
      <w:r w:rsidRPr="00DA2287">
        <w:rPr>
          <w:rStyle w:val="FootnoteReference"/>
          <w:rFonts w:eastAsia="Open Sans"/>
          <w:color w:val="121317"/>
        </w:rPr>
        <w:footnoteReference w:id="208"/>
      </w:r>
      <w:r w:rsidR="003D640C">
        <w:t xml:space="preserve"> </w:t>
      </w:r>
      <w:r w:rsidR="00046CCA">
        <w:t>Stats</w:t>
      </w:r>
      <w:r w:rsidR="003D640C">
        <w:t xml:space="preserve"> </w:t>
      </w:r>
      <w:r w:rsidR="00046CCA">
        <w:t>NZ</w:t>
      </w:r>
      <w:r w:rsidR="003D640C">
        <w:t xml:space="preserve"> </w:t>
      </w:r>
      <w:r w:rsidR="00046CCA">
        <w:t>reported</w:t>
      </w:r>
      <w:r w:rsidR="003D640C">
        <w:t xml:space="preserve"> </w:t>
      </w:r>
      <w:r w:rsidR="00046CCA">
        <w:t>that,</w:t>
      </w:r>
      <w:r w:rsidR="003D640C">
        <w:t xml:space="preserve"> </w:t>
      </w:r>
      <w:r w:rsidR="00046CCA">
        <w:t>in</w:t>
      </w:r>
      <w:r w:rsidR="003D640C">
        <w:t xml:space="preserve"> </w:t>
      </w:r>
      <w:r w:rsidR="00046CCA">
        <w:t>2021,</w:t>
      </w:r>
      <w:r w:rsidR="003D640C">
        <w:t xml:space="preserve"> </w:t>
      </w:r>
      <w:r w:rsidR="00046CCA">
        <w:t>4.4</w:t>
      </w:r>
      <w:r w:rsidR="001D1BF7">
        <w:t xml:space="preserve"> percent</w:t>
      </w:r>
      <w:r w:rsidR="003D640C">
        <w:t xml:space="preserve"> </w:t>
      </w:r>
      <w:r w:rsidR="00046CCA">
        <w:t>of</w:t>
      </w:r>
      <w:r w:rsidR="003D640C">
        <w:t xml:space="preserve"> </w:t>
      </w:r>
      <w:r w:rsidR="00046CCA">
        <w:t>Aotearoa’s</w:t>
      </w:r>
      <w:r w:rsidR="003D640C">
        <w:t xml:space="preserve"> </w:t>
      </w:r>
      <w:r w:rsidR="00046CCA">
        <w:t>total</w:t>
      </w:r>
      <w:r w:rsidR="003D640C">
        <w:t xml:space="preserve"> </w:t>
      </w:r>
      <w:r w:rsidR="00046CCA">
        <w:t>adult</w:t>
      </w:r>
      <w:r w:rsidR="003D640C">
        <w:t xml:space="preserve"> </w:t>
      </w:r>
      <w:r w:rsidR="00046CCA">
        <w:t>population</w:t>
      </w:r>
      <w:r w:rsidR="003D640C">
        <w:t xml:space="preserve"> </w:t>
      </w:r>
      <w:r w:rsidR="00046CCA">
        <w:t>identified</w:t>
      </w:r>
      <w:r w:rsidR="003D640C">
        <w:t xml:space="preserve"> </w:t>
      </w:r>
      <w:r w:rsidR="00046CCA">
        <w:t>as</w:t>
      </w:r>
      <w:r w:rsidR="003D640C">
        <w:t xml:space="preserve"> </w:t>
      </w:r>
      <w:r w:rsidR="00046CCA">
        <w:t>Rainbow</w:t>
      </w:r>
      <w:r w:rsidRPr="00DA2287">
        <w:t>.</w:t>
      </w:r>
      <w:r w:rsidRPr="00DA2287">
        <w:rPr>
          <w:vertAlign w:val="superscript"/>
        </w:rPr>
        <w:footnoteReference w:id="209"/>
      </w:r>
      <w:r w:rsidR="00454420" w:rsidDel="008E1CCA">
        <w:t xml:space="preserve"> </w:t>
      </w:r>
      <w:r w:rsidR="00046CCA">
        <w:t>T</w:t>
      </w:r>
      <w:r w:rsidR="00402FEB">
        <w:t>his</w:t>
      </w:r>
      <w:r w:rsidR="003D640C">
        <w:t xml:space="preserve"> </w:t>
      </w:r>
      <w:r w:rsidR="00402FEB">
        <w:t>figure</w:t>
      </w:r>
      <w:r w:rsidR="003D640C">
        <w:t xml:space="preserve"> </w:t>
      </w:r>
      <w:r w:rsidR="008B698C">
        <w:t>comes</w:t>
      </w:r>
      <w:r w:rsidR="003D640C">
        <w:t xml:space="preserve"> </w:t>
      </w:r>
      <w:r w:rsidR="00402FEB">
        <w:t>from</w:t>
      </w:r>
      <w:r w:rsidR="003D640C">
        <w:t xml:space="preserve"> </w:t>
      </w:r>
      <w:r w:rsidR="00402FEB">
        <w:t>the</w:t>
      </w:r>
      <w:r w:rsidR="003D640C">
        <w:t xml:space="preserve"> </w:t>
      </w:r>
      <w:r w:rsidR="00402FEB">
        <w:t>Household</w:t>
      </w:r>
      <w:r w:rsidR="003D640C">
        <w:t xml:space="preserve"> </w:t>
      </w:r>
      <w:r w:rsidR="00402FEB">
        <w:t>Economic</w:t>
      </w:r>
      <w:r w:rsidR="003D640C">
        <w:t xml:space="preserve"> </w:t>
      </w:r>
      <w:r w:rsidR="00402FEB">
        <w:t>Survey</w:t>
      </w:r>
      <w:r w:rsidR="003D640C">
        <w:t xml:space="preserve"> </w:t>
      </w:r>
      <w:r w:rsidR="00B35C8C">
        <w:t>and</w:t>
      </w:r>
      <w:r w:rsidR="003D640C">
        <w:t xml:space="preserve"> </w:t>
      </w:r>
      <w:r w:rsidR="00B35C8C">
        <w:t>as</w:t>
      </w:r>
      <w:r w:rsidR="003D640C">
        <w:t xml:space="preserve"> </w:t>
      </w:r>
      <w:r w:rsidR="00B35C8C">
        <w:t>such</w:t>
      </w:r>
      <w:r w:rsidR="003D640C">
        <w:t xml:space="preserve"> </w:t>
      </w:r>
      <w:r w:rsidR="007060A4">
        <w:t>does</w:t>
      </w:r>
      <w:r w:rsidR="003D640C">
        <w:t xml:space="preserve"> </w:t>
      </w:r>
      <w:r w:rsidR="007060A4">
        <w:t>not</w:t>
      </w:r>
      <w:r w:rsidR="003D640C">
        <w:t xml:space="preserve"> </w:t>
      </w:r>
      <w:r w:rsidR="007060A4">
        <w:t>have</w:t>
      </w:r>
      <w:r w:rsidR="003D640C">
        <w:t xml:space="preserve"> </w:t>
      </w:r>
      <w:r w:rsidR="007060A4">
        <w:t>readily</w:t>
      </w:r>
      <w:r w:rsidR="003D640C">
        <w:t xml:space="preserve"> </w:t>
      </w:r>
      <w:r w:rsidR="007060A4">
        <w:t>available</w:t>
      </w:r>
      <w:r w:rsidR="003D640C">
        <w:t xml:space="preserve"> </w:t>
      </w:r>
      <w:r w:rsidR="007060A4">
        <w:t>information</w:t>
      </w:r>
      <w:r w:rsidR="003D640C">
        <w:t xml:space="preserve"> </w:t>
      </w:r>
      <w:r w:rsidR="00FC0E01">
        <w:t>on</w:t>
      </w:r>
      <w:r w:rsidR="003D640C">
        <w:t xml:space="preserve"> </w:t>
      </w:r>
      <w:r w:rsidR="00CE7D84">
        <w:t>the</w:t>
      </w:r>
      <w:r w:rsidR="003D640C">
        <w:t xml:space="preserve"> </w:t>
      </w:r>
      <w:r w:rsidR="00FC0E01">
        <w:t>ethnic</w:t>
      </w:r>
      <w:r w:rsidR="003D640C">
        <w:t xml:space="preserve"> </w:t>
      </w:r>
      <w:r w:rsidR="00FC0E01">
        <w:t>breakdowns</w:t>
      </w:r>
      <w:r w:rsidR="003D640C">
        <w:t xml:space="preserve"> </w:t>
      </w:r>
      <w:r w:rsidR="00FC0E01">
        <w:t>of</w:t>
      </w:r>
      <w:r w:rsidR="003D640C">
        <w:t xml:space="preserve"> </w:t>
      </w:r>
      <w:r w:rsidR="00290BEB">
        <w:t>the</w:t>
      </w:r>
      <w:r w:rsidR="003D640C">
        <w:t xml:space="preserve"> </w:t>
      </w:r>
      <w:r w:rsidR="00290BEB">
        <w:t>overall</w:t>
      </w:r>
      <w:r w:rsidR="003D640C">
        <w:t xml:space="preserve"> </w:t>
      </w:r>
      <w:r w:rsidR="00290BEB">
        <w:t>figure</w:t>
      </w:r>
      <w:r w:rsidR="00B35C8C">
        <w:t>.</w:t>
      </w:r>
      <w:r w:rsidR="00B35C8C" w:rsidDel="008E1CCA">
        <w:t xml:space="preserve"> </w:t>
      </w:r>
      <w:r w:rsidR="00853E82">
        <w:t>Forthcoming</w:t>
      </w:r>
      <w:r w:rsidR="003D640C">
        <w:t xml:space="preserve"> </w:t>
      </w:r>
      <w:r w:rsidR="00853E82">
        <w:t>analysis</w:t>
      </w:r>
      <w:r w:rsidR="003D640C">
        <w:t xml:space="preserve"> </w:t>
      </w:r>
      <w:r w:rsidR="00853E82">
        <w:t>from</w:t>
      </w:r>
      <w:r w:rsidR="003D640C">
        <w:t xml:space="preserve"> </w:t>
      </w:r>
      <w:r w:rsidR="00853E82">
        <w:t>the</w:t>
      </w:r>
      <w:r w:rsidR="003D640C">
        <w:t xml:space="preserve"> </w:t>
      </w:r>
      <w:r w:rsidR="00853E82">
        <w:t>20</w:t>
      </w:r>
      <w:r w:rsidR="00B22064">
        <w:t>23</w:t>
      </w:r>
      <w:r w:rsidR="003D640C">
        <w:t xml:space="preserve"> </w:t>
      </w:r>
      <w:r w:rsidR="00853E82">
        <w:t>Census</w:t>
      </w:r>
      <w:r w:rsidR="003D640C">
        <w:t xml:space="preserve"> </w:t>
      </w:r>
      <w:r w:rsidR="00853E82">
        <w:t>may</w:t>
      </w:r>
      <w:r w:rsidR="003D640C">
        <w:t xml:space="preserve"> </w:t>
      </w:r>
      <w:r w:rsidR="00853E82">
        <w:t>provide</w:t>
      </w:r>
      <w:r w:rsidR="003D640C">
        <w:t xml:space="preserve"> </w:t>
      </w:r>
      <w:r w:rsidR="00853E82">
        <w:t>a</w:t>
      </w:r>
      <w:r w:rsidR="003D640C">
        <w:t xml:space="preserve"> </w:t>
      </w:r>
      <w:r w:rsidR="00853E82">
        <w:t>fuller</w:t>
      </w:r>
      <w:r w:rsidR="003D640C">
        <w:t xml:space="preserve"> </w:t>
      </w:r>
      <w:r w:rsidR="00853E82">
        <w:t>picture</w:t>
      </w:r>
      <w:r w:rsidR="003D640C">
        <w:t xml:space="preserve"> </w:t>
      </w:r>
      <w:r w:rsidR="00853E82">
        <w:t>of</w:t>
      </w:r>
      <w:r w:rsidR="003D640C">
        <w:t xml:space="preserve"> </w:t>
      </w:r>
      <w:r w:rsidR="00853E82">
        <w:t>ethnic</w:t>
      </w:r>
      <w:r w:rsidR="003D640C">
        <w:t xml:space="preserve"> </w:t>
      </w:r>
      <w:r w:rsidR="00853E82">
        <w:t>representation</w:t>
      </w:r>
      <w:r w:rsidR="003D640C">
        <w:t xml:space="preserve"> </w:t>
      </w:r>
      <w:r w:rsidR="00853E82">
        <w:t>in</w:t>
      </w:r>
      <w:r w:rsidR="003D640C">
        <w:t xml:space="preserve"> </w:t>
      </w:r>
      <w:r w:rsidR="00853E82">
        <w:t>Rainbow</w:t>
      </w:r>
      <w:r w:rsidR="003D640C">
        <w:t xml:space="preserve"> </w:t>
      </w:r>
      <w:r w:rsidR="00853E82">
        <w:t>communities.</w:t>
      </w:r>
      <w:r w:rsidR="003D640C">
        <w:t xml:space="preserve"> </w:t>
      </w:r>
    </w:p>
    <w:p w14:paraId="2934F865" w14:textId="1690F4DE" w:rsidR="008B0FA9" w:rsidRPr="00DA2287" w:rsidRDefault="008B0FA9" w:rsidP="00323E57">
      <w:r w:rsidRPr="00DA2287">
        <w:lastRenderedPageBreak/>
        <w:t>A</w:t>
      </w:r>
      <w:r w:rsidR="003D640C">
        <w:t xml:space="preserve"> </w:t>
      </w:r>
      <w:r w:rsidRPr="00DA2287">
        <w:t>priority</w:t>
      </w:r>
      <w:r w:rsidR="003D640C">
        <w:t xml:space="preserve"> </w:t>
      </w:r>
      <w:r w:rsidRPr="00DA2287">
        <w:t>for</w:t>
      </w:r>
      <w:r w:rsidR="003D640C">
        <w:t xml:space="preserve"> </w:t>
      </w:r>
      <w:r w:rsidRPr="00DA2287">
        <w:t>the</w:t>
      </w:r>
      <w:r w:rsidR="003D640C">
        <w:t xml:space="preserve"> </w:t>
      </w:r>
      <w:r w:rsidRPr="00DA2287">
        <w:t>Ministry</w:t>
      </w:r>
      <w:r w:rsidR="003D640C">
        <w:t xml:space="preserve"> </w:t>
      </w:r>
      <w:r w:rsidRPr="00DA2287">
        <w:t>for</w:t>
      </w:r>
      <w:r w:rsidR="003D640C">
        <w:t xml:space="preserve"> </w:t>
      </w:r>
      <w:r w:rsidRPr="00DA2287">
        <w:t>Ethnic</w:t>
      </w:r>
      <w:r w:rsidR="003D640C">
        <w:t xml:space="preserve"> </w:t>
      </w:r>
      <w:r w:rsidRPr="00DA2287">
        <w:t>Communities</w:t>
      </w:r>
      <w:r w:rsidR="003D640C" w:rsidDel="00830382">
        <w:t xml:space="preserve"> </w:t>
      </w:r>
      <w:r w:rsidRPr="00DA2287">
        <w:t>is</w:t>
      </w:r>
      <w:r w:rsidR="003D640C">
        <w:t xml:space="preserve"> </w:t>
      </w:r>
      <w:r w:rsidRPr="00DA2287">
        <w:t>to</w:t>
      </w:r>
      <w:r w:rsidR="003D640C">
        <w:t xml:space="preserve"> </w:t>
      </w:r>
      <w:r w:rsidRPr="00DA2287">
        <w:t>ensure</w:t>
      </w:r>
      <w:r w:rsidR="003D640C">
        <w:t xml:space="preserve"> </w:t>
      </w:r>
      <w:r w:rsidRPr="00DA2287">
        <w:t>equitable</w:t>
      </w:r>
      <w:r w:rsidR="003D640C">
        <w:t xml:space="preserve"> </w:t>
      </w:r>
      <w:r w:rsidRPr="00DA2287">
        <w:t>provision</w:t>
      </w:r>
      <w:r w:rsidR="003D640C">
        <w:t xml:space="preserve"> </w:t>
      </w:r>
      <w:r w:rsidRPr="00DA2287">
        <w:t>of</w:t>
      </w:r>
      <w:r w:rsidR="003D640C">
        <w:t xml:space="preserve"> </w:t>
      </w:r>
      <w:r w:rsidRPr="00DA2287">
        <w:t>and</w:t>
      </w:r>
      <w:r w:rsidR="003D640C">
        <w:t xml:space="preserve"> </w:t>
      </w:r>
      <w:r w:rsidRPr="00DA2287">
        <w:t>access</w:t>
      </w:r>
      <w:r w:rsidR="003D640C">
        <w:t xml:space="preserve"> </w:t>
      </w:r>
      <w:r w:rsidRPr="00DA2287">
        <w:t>to</w:t>
      </w:r>
      <w:r w:rsidR="003D640C">
        <w:t xml:space="preserve"> </w:t>
      </w:r>
      <w:r w:rsidR="00270E5F" w:rsidRPr="00DA2287">
        <w:t>g</w:t>
      </w:r>
      <w:r w:rsidRPr="00DA2287">
        <w:t>overnment</w:t>
      </w:r>
      <w:r w:rsidR="003D640C">
        <w:t xml:space="preserve"> </w:t>
      </w:r>
      <w:r w:rsidRPr="00DA2287">
        <w:t>services</w:t>
      </w:r>
      <w:r w:rsidR="003D640C">
        <w:t xml:space="preserve"> </w:t>
      </w:r>
      <w:r w:rsidRPr="00DA2287">
        <w:t>for</w:t>
      </w:r>
      <w:r w:rsidR="003D640C">
        <w:t xml:space="preserve"> </w:t>
      </w:r>
      <w:r w:rsidRPr="00DA2287">
        <w:t>ethnic</w:t>
      </w:r>
      <w:r w:rsidR="003D640C">
        <w:t xml:space="preserve"> </w:t>
      </w:r>
      <w:r w:rsidRPr="00DA2287">
        <w:t>communities.</w:t>
      </w:r>
      <w:r w:rsidRPr="00DA2287">
        <w:rPr>
          <w:vertAlign w:val="superscript"/>
        </w:rPr>
        <w:footnoteReference w:id="210"/>
      </w:r>
      <w:r w:rsidR="003D640C">
        <w:t xml:space="preserve"> </w:t>
      </w:r>
      <w:r w:rsidRPr="00DA2287">
        <w:t>The</w:t>
      </w:r>
      <w:r w:rsidR="003D640C">
        <w:t xml:space="preserve"> </w:t>
      </w:r>
      <w:r w:rsidRPr="00DA2287" w:rsidDel="000621DA">
        <w:t>Ministry</w:t>
      </w:r>
      <w:r w:rsidR="003D640C">
        <w:t xml:space="preserve"> </w:t>
      </w:r>
      <w:r w:rsidRPr="00DA2287">
        <w:t>recognises</w:t>
      </w:r>
      <w:r w:rsidR="003D640C">
        <w:t xml:space="preserve"> </w:t>
      </w:r>
      <w:r w:rsidRPr="00DA2287">
        <w:t>the</w:t>
      </w:r>
      <w:r w:rsidR="003D640C">
        <w:t xml:space="preserve"> </w:t>
      </w:r>
      <w:r w:rsidRPr="00DA2287">
        <w:t>ethnic</w:t>
      </w:r>
      <w:r w:rsidR="003D640C">
        <w:t xml:space="preserve"> </w:t>
      </w:r>
      <w:r w:rsidRPr="00DA2287">
        <w:t>Rainbow</w:t>
      </w:r>
      <w:r w:rsidR="003D640C">
        <w:t xml:space="preserve"> </w:t>
      </w:r>
      <w:r w:rsidRPr="00DA2287">
        <w:t>community</w:t>
      </w:r>
      <w:r w:rsidR="003D640C">
        <w:t xml:space="preserve"> </w:t>
      </w:r>
      <w:r w:rsidRPr="00DA2287">
        <w:t>as</w:t>
      </w:r>
      <w:r w:rsidR="003D640C">
        <w:t xml:space="preserve"> </w:t>
      </w:r>
      <w:r w:rsidRPr="00DA2287">
        <w:t>a</w:t>
      </w:r>
      <w:r w:rsidR="003D640C">
        <w:t xml:space="preserve"> </w:t>
      </w:r>
      <w:r w:rsidRPr="00DA2287">
        <w:t>further</w:t>
      </w:r>
      <w:r w:rsidR="003D640C">
        <w:t xml:space="preserve"> </w:t>
      </w:r>
      <w:r w:rsidRPr="00DA2287">
        <w:t>marginalised</w:t>
      </w:r>
      <w:r w:rsidR="003D640C">
        <w:t xml:space="preserve"> </w:t>
      </w:r>
      <w:r w:rsidRPr="00DA2287">
        <w:t>group</w:t>
      </w:r>
      <w:r w:rsidR="003D640C">
        <w:t xml:space="preserve"> </w:t>
      </w:r>
      <w:r w:rsidRPr="00DA2287">
        <w:t>within</w:t>
      </w:r>
      <w:r w:rsidR="003D640C">
        <w:t xml:space="preserve"> </w:t>
      </w:r>
      <w:r w:rsidRPr="00DA2287">
        <w:t>the</w:t>
      </w:r>
      <w:r w:rsidR="003D640C">
        <w:t xml:space="preserve"> </w:t>
      </w:r>
      <w:r w:rsidRPr="00DA2287">
        <w:t>wider</w:t>
      </w:r>
      <w:r w:rsidR="003D640C">
        <w:t xml:space="preserve"> </w:t>
      </w:r>
      <w:r w:rsidRPr="00DA2287">
        <w:t>community.</w:t>
      </w:r>
      <w:r w:rsidR="003D640C">
        <w:t xml:space="preserve"> </w:t>
      </w:r>
    </w:p>
    <w:p w14:paraId="702A156D" w14:textId="2C398D2D" w:rsidR="008B0FA9" w:rsidRPr="00DA2287" w:rsidRDefault="008B0FA9" w:rsidP="00323E57">
      <w:r w:rsidRPr="00DA2287">
        <w:t>As</w:t>
      </w:r>
      <w:r w:rsidR="003D640C">
        <w:t xml:space="preserve"> </w:t>
      </w:r>
      <w:r w:rsidRPr="00DA2287">
        <w:t>documented</w:t>
      </w:r>
      <w:r w:rsidR="003D640C">
        <w:t xml:space="preserve"> </w:t>
      </w:r>
      <w:r w:rsidRPr="00DA2287">
        <w:t>in</w:t>
      </w:r>
      <w:r w:rsidR="003D640C">
        <w:t xml:space="preserve"> </w:t>
      </w:r>
      <w:r w:rsidRPr="00DA2287">
        <w:t>research</w:t>
      </w:r>
      <w:r w:rsidR="003D640C">
        <w:t xml:space="preserve"> </w:t>
      </w:r>
      <w:r w:rsidRPr="00DA2287">
        <w:t>published</w:t>
      </w:r>
      <w:r w:rsidR="003D640C">
        <w:t xml:space="preserve"> </w:t>
      </w:r>
      <w:r w:rsidRPr="00DA2287">
        <w:t>by</w:t>
      </w:r>
      <w:r w:rsidR="003D640C">
        <w:t xml:space="preserve"> </w:t>
      </w:r>
      <w:r w:rsidRPr="00DA2287">
        <w:t>the</w:t>
      </w:r>
      <w:r w:rsidR="003D640C">
        <w:t xml:space="preserve"> </w:t>
      </w:r>
      <w:r w:rsidRPr="00DA2287">
        <w:t>Commission</w:t>
      </w:r>
      <w:r w:rsidR="003D640C">
        <w:t xml:space="preserve"> </w:t>
      </w:r>
      <w:r w:rsidR="007501B5" w:rsidRPr="00DA2287">
        <w:t>in</w:t>
      </w:r>
      <w:r w:rsidR="003D640C">
        <w:t xml:space="preserve"> </w:t>
      </w:r>
      <w:r w:rsidR="007501B5" w:rsidRPr="00DA2287">
        <w:t>2021</w:t>
      </w:r>
      <w:r w:rsidRPr="00DA2287">
        <w:t>,</w:t>
      </w:r>
      <w:r w:rsidR="003D640C">
        <w:t xml:space="preserve"> </w:t>
      </w:r>
      <w:r w:rsidRPr="00DA2287">
        <w:t>migrants</w:t>
      </w:r>
      <w:r w:rsidR="003D640C">
        <w:t xml:space="preserve"> </w:t>
      </w:r>
      <w:r w:rsidRPr="00DA2287">
        <w:t>decide</w:t>
      </w:r>
      <w:r w:rsidR="003D640C">
        <w:t xml:space="preserve"> </w:t>
      </w:r>
      <w:r w:rsidRPr="00DA2287">
        <w:t>to</w:t>
      </w:r>
      <w:r w:rsidR="003D640C">
        <w:t xml:space="preserve"> </w:t>
      </w:r>
      <w:r w:rsidRPr="00DA2287">
        <w:t>settle</w:t>
      </w:r>
      <w:r w:rsidR="003D640C">
        <w:t xml:space="preserve"> </w:t>
      </w:r>
      <w:r w:rsidRPr="00DA2287">
        <w:t>in</w:t>
      </w:r>
      <w:r w:rsidR="003D640C">
        <w:t xml:space="preserve"> </w:t>
      </w:r>
      <w:r w:rsidRPr="00DA2287">
        <w:t>Aotearoa</w:t>
      </w:r>
      <w:r w:rsidR="003D640C">
        <w:t xml:space="preserve"> </w:t>
      </w:r>
      <w:r w:rsidRPr="00DA2287">
        <w:t>New</w:t>
      </w:r>
      <w:r w:rsidR="003D640C">
        <w:t xml:space="preserve"> </w:t>
      </w:r>
      <w:r w:rsidRPr="00DA2287">
        <w:t>Zealand</w:t>
      </w:r>
      <w:r w:rsidR="003D640C">
        <w:t xml:space="preserve"> </w:t>
      </w:r>
      <w:r w:rsidRPr="00DA2287">
        <w:t>for</w:t>
      </w:r>
      <w:r w:rsidR="003D640C">
        <w:t xml:space="preserve"> </w:t>
      </w:r>
      <w:r w:rsidRPr="00DA2287">
        <w:t>a</w:t>
      </w:r>
      <w:r w:rsidR="003D640C">
        <w:t xml:space="preserve"> </w:t>
      </w:r>
      <w:r w:rsidRPr="00DA2287">
        <w:t>number</w:t>
      </w:r>
      <w:r w:rsidR="003D640C">
        <w:t xml:space="preserve"> </w:t>
      </w:r>
      <w:r w:rsidRPr="00DA2287">
        <w:t>of</w:t>
      </w:r>
      <w:r w:rsidR="003D640C">
        <w:t xml:space="preserve"> </w:t>
      </w:r>
      <w:r w:rsidRPr="00DA2287">
        <w:t>reasons,</w:t>
      </w:r>
      <w:r w:rsidR="003D640C">
        <w:t xml:space="preserve"> </w:t>
      </w:r>
      <w:r w:rsidRPr="00DA2287">
        <w:t>including</w:t>
      </w:r>
      <w:r w:rsidR="003D640C">
        <w:t xml:space="preserve"> </w:t>
      </w:r>
      <w:r w:rsidRPr="00DA2287">
        <w:t>the</w:t>
      </w:r>
      <w:r w:rsidR="003D640C">
        <w:t xml:space="preserve"> </w:t>
      </w:r>
      <w:r w:rsidRPr="00DA2287">
        <w:t>belief</w:t>
      </w:r>
      <w:r w:rsidR="003D640C">
        <w:t xml:space="preserve"> </w:t>
      </w:r>
      <w:r w:rsidRPr="00DA2287">
        <w:t>amongst</w:t>
      </w:r>
      <w:r w:rsidR="003D640C">
        <w:t xml:space="preserve"> </w:t>
      </w:r>
      <w:r w:rsidRPr="00DA2287">
        <w:t>many</w:t>
      </w:r>
      <w:r w:rsidR="003D640C">
        <w:t xml:space="preserve"> </w:t>
      </w:r>
      <w:r w:rsidRPr="00DA2287">
        <w:t>that</w:t>
      </w:r>
      <w:r w:rsidR="003D640C">
        <w:t xml:space="preserve"> </w:t>
      </w:r>
      <w:r w:rsidRPr="00DA2287">
        <w:t>living</w:t>
      </w:r>
      <w:r w:rsidR="003D640C">
        <w:t xml:space="preserve"> </w:t>
      </w:r>
      <w:r w:rsidRPr="00DA2287">
        <w:t>in</w:t>
      </w:r>
      <w:r w:rsidR="003D640C">
        <w:t xml:space="preserve"> </w:t>
      </w:r>
      <w:r w:rsidRPr="00DA2287">
        <w:t>Aotearoa</w:t>
      </w:r>
      <w:r w:rsidR="003D640C">
        <w:t xml:space="preserve"> </w:t>
      </w:r>
      <w:r w:rsidRPr="00DA2287">
        <w:t>provide</w:t>
      </w:r>
      <w:r w:rsidR="00270E5F" w:rsidRPr="00DA2287">
        <w:t>s</w:t>
      </w:r>
      <w:r w:rsidRPr="00DA2287">
        <w:t>:</w:t>
      </w:r>
    </w:p>
    <w:p w14:paraId="1984F587" w14:textId="63526A82" w:rsidR="008B0FA9" w:rsidRPr="00323E57" w:rsidRDefault="00C052F9" w:rsidP="00323E57">
      <w:pPr>
        <w:pStyle w:val="Bullet"/>
      </w:pPr>
      <w:r w:rsidRPr="00323E57">
        <w:t>o</w:t>
      </w:r>
      <w:r w:rsidR="008B0FA9" w:rsidRPr="00323E57">
        <w:t>pportunities</w:t>
      </w:r>
      <w:r w:rsidR="003D640C" w:rsidRPr="00323E57">
        <w:t xml:space="preserve"> </w:t>
      </w:r>
      <w:r w:rsidR="008B0FA9" w:rsidRPr="00323E57">
        <w:t>for</w:t>
      </w:r>
      <w:r w:rsidR="003D640C" w:rsidRPr="00323E57">
        <w:t xml:space="preserve"> </w:t>
      </w:r>
      <w:r w:rsidR="008B0FA9" w:rsidRPr="00323E57">
        <w:t>a</w:t>
      </w:r>
      <w:r w:rsidR="003D640C" w:rsidRPr="00323E57">
        <w:t xml:space="preserve"> </w:t>
      </w:r>
      <w:r w:rsidR="008B0FA9" w:rsidRPr="00323E57">
        <w:t>better</w:t>
      </w:r>
      <w:r w:rsidR="003D640C" w:rsidRPr="00323E57">
        <w:t xml:space="preserve"> </w:t>
      </w:r>
      <w:r w:rsidR="008B0FA9" w:rsidRPr="00323E57">
        <w:t>future</w:t>
      </w:r>
      <w:r w:rsidR="003D640C" w:rsidRPr="00323E57">
        <w:t xml:space="preserve"> </w:t>
      </w:r>
      <w:r w:rsidR="008B0FA9" w:rsidRPr="00323E57">
        <w:t>for</w:t>
      </w:r>
      <w:r w:rsidR="003D640C" w:rsidRPr="00323E57">
        <w:t xml:space="preserve"> </w:t>
      </w:r>
      <w:r w:rsidR="008B0FA9" w:rsidRPr="00323E57">
        <w:t>their</w:t>
      </w:r>
      <w:r w:rsidR="003D640C" w:rsidRPr="00323E57">
        <w:t xml:space="preserve"> </w:t>
      </w:r>
      <w:r w:rsidR="008B0FA9" w:rsidRPr="00323E57">
        <w:t>families</w:t>
      </w:r>
      <w:r w:rsidR="003D640C" w:rsidRPr="00323E57">
        <w:t xml:space="preserve"> </w:t>
      </w:r>
      <w:r w:rsidR="008B0FA9" w:rsidRPr="00323E57">
        <w:t>and</w:t>
      </w:r>
      <w:r w:rsidR="003D640C" w:rsidRPr="00323E57">
        <w:t xml:space="preserve"> </w:t>
      </w:r>
      <w:r w:rsidR="008B0FA9" w:rsidRPr="00323E57">
        <w:t>children</w:t>
      </w:r>
    </w:p>
    <w:p w14:paraId="1CCC0A7F" w14:textId="30915835" w:rsidR="008B0FA9" w:rsidRPr="00323E57" w:rsidRDefault="00C052F9" w:rsidP="00323E57">
      <w:pPr>
        <w:pStyle w:val="Bullet"/>
      </w:pPr>
      <w:r w:rsidRPr="00323E57">
        <w:t>s</w:t>
      </w:r>
      <w:r w:rsidR="008B0FA9" w:rsidRPr="00323E57">
        <w:t>afety</w:t>
      </w:r>
      <w:r w:rsidR="003D640C" w:rsidRPr="00323E57">
        <w:t xml:space="preserve"> </w:t>
      </w:r>
      <w:r w:rsidR="008B0FA9" w:rsidRPr="00323E57">
        <w:t>and</w:t>
      </w:r>
      <w:r w:rsidR="003D640C" w:rsidRPr="00323E57">
        <w:t xml:space="preserve"> </w:t>
      </w:r>
      <w:r w:rsidR="008B0FA9" w:rsidRPr="00323E57">
        <w:t>protection</w:t>
      </w:r>
      <w:r w:rsidR="003D640C" w:rsidRPr="00323E57">
        <w:t xml:space="preserve"> </w:t>
      </w:r>
      <w:r w:rsidR="008B0FA9" w:rsidRPr="00323E57">
        <w:t>for</w:t>
      </w:r>
      <w:r w:rsidR="003D640C" w:rsidRPr="00323E57">
        <w:t xml:space="preserve"> </w:t>
      </w:r>
      <w:r w:rsidR="008B0FA9" w:rsidRPr="00323E57">
        <w:t>all</w:t>
      </w:r>
      <w:r w:rsidR="003D640C" w:rsidRPr="00323E57">
        <w:t xml:space="preserve"> </w:t>
      </w:r>
      <w:r w:rsidR="008B0FA9" w:rsidRPr="00323E57">
        <w:t>citizens</w:t>
      </w:r>
    </w:p>
    <w:p w14:paraId="5ABB646E" w14:textId="273DA17A" w:rsidR="008B0FA9" w:rsidRPr="00DA2287" w:rsidRDefault="00C052F9" w:rsidP="00323E57">
      <w:pPr>
        <w:pStyle w:val="Bullet"/>
      </w:pPr>
      <w:r>
        <w:t>a</w:t>
      </w:r>
      <w:r w:rsidR="003D640C">
        <w:t xml:space="preserve"> </w:t>
      </w:r>
      <w:r w:rsidR="008B0FA9" w:rsidRPr="00DA2287">
        <w:t>sense</w:t>
      </w:r>
      <w:r w:rsidR="003D640C">
        <w:t xml:space="preserve"> </w:t>
      </w:r>
      <w:r w:rsidR="008B0FA9" w:rsidRPr="00DA2287">
        <w:t>of</w:t>
      </w:r>
      <w:r w:rsidR="003D640C">
        <w:t xml:space="preserve"> </w:t>
      </w:r>
      <w:r w:rsidR="008B0FA9" w:rsidRPr="00DA2287">
        <w:t>belonging,</w:t>
      </w:r>
      <w:r w:rsidR="003D640C">
        <w:t xml:space="preserve"> </w:t>
      </w:r>
      <w:r w:rsidR="008B0FA9" w:rsidRPr="00DA2287">
        <w:t>acceptance</w:t>
      </w:r>
      <w:r w:rsidR="005B4BFB">
        <w:t>,</w:t>
      </w:r>
      <w:r w:rsidR="003D640C">
        <w:t xml:space="preserve"> </w:t>
      </w:r>
      <w:r w:rsidR="008B0FA9" w:rsidRPr="00DA2287">
        <w:t>and</w:t>
      </w:r>
      <w:r w:rsidR="003D640C">
        <w:t xml:space="preserve"> </w:t>
      </w:r>
      <w:r w:rsidR="008B0FA9" w:rsidRPr="00DA2287">
        <w:t>inclusion</w:t>
      </w:r>
      <w:r w:rsidR="000213BB">
        <w:t>.</w:t>
      </w:r>
      <w:r w:rsidR="007501B5" w:rsidRPr="00DA2287">
        <w:rPr>
          <w:rStyle w:val="FootnoteReference"/>
          <w:rFonts w:eastAsia="Open Sans" w:cstheme="minorHAnsi"/>
          <w:color w:val="121317"/>
          <w:lang w:eastAsia="en-NZ"/>
        </w:rPr>
        <w:footnoteReference w:id="211"/>
      </w:r>
    </w:p>
    <w:p w14:paraId="6208B5F0" w14:textId="6C37D22B" w:rsidR="008B0FA9" w:rsidRPr="00DA2287" w:rsidRDefault="008B0FA9" w:rsidP="00323E57">
      <w:r w:rsidRPr="00DA2287">
        <w:t>Ethnic</w:t>
      </w:r>
      <w:r w:rsidR="003D640C">
        <w:t xml:space="preserve"> </w:t>
      </w:r>
      <w:r w:rsidRPr="00DA2287">
        <w:t>migrants</w:t>
      </w:r>
      <w:r w:rsidR="003D640C">
        <w:t xml:space="preserve"> </w:t>
      </w:r>
      <w:r w:rsidRPr="00DA2287">
        <w:t>often</w:t>
      </w:r>
      <w:r w:rsidR="003D640C">
        <w:t xml:space="preserve"> </w:t>
      </w:r>
      <w:r w:rsidRPr="00DA2287">
        <w:t>bring</w:t>
      </w:r>
      <w:r w:rsidR="003D640C">
        <w:t xml:space="preserve"> </w:t>
      </w:r>
      <w:r w:rsidRPr="00DA2287">
        <w:t>hopes</w:t>
      </w:r>
      <w:r w:rsidR="003D640C">
        <w:t xml:space="preserve"> </w:t>
      </w:r>
      <w:r w:rsidRPr="00DA2287">
        <w:t>of</w:t>
      </w:r>
      <w:r w:rsidR="003D640C">
        <w:t xml:space="preserve"> </w:t>
      </w:r>
      <w:r w:rsidRPr="00DA2287">
        <w:t>making</w:t>
      </w:r>
      <w:r w:rsidR="003D640C">
        <w:t xml:space="preserve"> </w:t>
      </w:r>
      <w:r w:rsidRPr="00DA2287">
        <w:t>a</w:t>
      </w:r>
      <w:r w:rsidR="003D640C">
        <w:t xml:space="preserve"> </w:t>
      </w:r>
      <w:r w:rsidRPr="00DA2287">
        <w:t>home</w:t>
      </w:r>
      <w:r w:rsidR="003D640C">
        <w:t xml:space="preserve"> </w:t>
      </w:r>
      <w:r w:rsidRPr="00DA2287">
        <w:t>where</w:t>
      </w:r>
      <w:r w:rsidR="003D640C">
        <w:t xml:space="preserve"> </w:t>
      </w:r>
      <w:r w:rsidRPr="00DA2287">
        <w:t>they</w:t>
      </w:r>
      <w:r w:rsidR="003D640C">
        <w:t xml:space="preserve"> </w:t>
      </w:r>
      <w:r w:rsidRPr="00DA2287">
        <w:t>will</w:t>
      </w:r>
      <w:r w:rsidR="003D640C">
        <w:t xml:space="preserve"> </w:t>
      </w:r>
      <w:r w:rsidRPr="00DA2287">
        <w:t>be</w:t>
      </w:r>
      <w:r w:rsidR="003D640C">
        <w:t xml:space="preserve"> </w:t>
      </w:r>
      <w:r w:rsidRPr="00DA2287">
        <w:t>free</w:t>
      </w:r>
      <w:r w:rsidR="003D640C">
        <w:t xml:space="preserve"> </w:t>
      </w:r>
      <w:r w:rsidRPr="00DA2287">
        <w:t>to</w:t>
      </w:r>
      <w:r w:rsidR="003D640C">
        <w:t xml:space="preserve"> </w:t>
      </w:r>
      <w:r w:rsidRPr="00DA2287">
        <w:t>express</w:t>
      </w:r>
      <w:r w:rsidR="003D640C">
        <w:t xml:space="preserve"> </w:t>
      </w:r>
      <w:r w:rsidRPr="00DA2287">
        <w:t>who</w:t>
      </w:r>
      <w:r w:rsidR="003D640C">
        <w:t xml:space="preserve"> </w:t>
      </w:r>
      <w:r w:rsidRPr="00DA2287">
        <w:t>they</w:t>
      </w:r>
      <w:r w:rsidR="003D640C">
        <w:t xml:space="preserve"> </w:t>
      </w:r>
      <w:r w:rsidRPr="00DA2287">
        <w:t>are</w:t>
      </w:r>
      <w:r w:rsidR="003D640C">
        <w:t xml:space="preserve"> </w:t>
      </w:r>
      <w:r w:rsidRPr="00DA2287">
        <w:t>and</w:t>
      </w:r>
      <w:r w:rsidR="003D640C">
        <w:t xml:space="preserve"> </w:t>
      </w:r>
      <w:r w:rsidRPr="00DA2287">
        <w:t>what</w:t>
      </w:r>
      <w:r w:rsidR="003D640C">
        <w:t xml:space="preserve"> </w:t>
      </w:r>
      <w:r w:rsidRPr="00DA2287">
        <w:t>they</w:t>
      </w:r>
      <w:r w:rsidR="003D640C">
        <w:t xml:space="preserve"> </w:t>
      </w:r>
      <w:r w:rsidRPr="00DA2287">
        <w:t>aspire</w:t>
      </w:r>
      <w:r w:rsidR="003D640C">
        <w:t xml:space="preserve"> </w:t>
      </w:r>
      <w:r w:rsidRPr="00DA2287">
        <w:t>to</w:t>
      </w:r>
      <w:r w:rsidR="003D640C">
        <w:t xml:space="preserve"> </w:t>
      </w:r>
      <w:r w:rsidRPr="00DA2287">
        <w:t>be</w:t>
      </w:r>
      <w:r w:rsidR="003D640C">
        <w:t xml:space="preserve"> </w:t>
      </w:r>
      <w:r w:rsidRPr="00DA2287">
        <w:t>(for</w:t>
      </w:r>
      <w:r w:rsidR="003D640C">
        <w:t xml:space="preserve"> </w:t>
      </w:r>
      <w:r w:rsidRPr="00DA2287">
        <w:t>themselves</w:t>
      </w:r>
      <w:r w:rsidR="003D640C">
        <w:t xml:space="preserve"> </w:t>
      </w:r>
      <w:r w:rsidRPr="00DA2287">
        <w:t>and</w:t>
      </w:r>
      <w:r w:rsidR="003D640C">
        <w:t xml:space="preserve"> </w:t>
      </w:r>
      <w:r w:rsidRPr="00DA2287">
        <w:t>their</w:t>
      </w:r>
      <w:r w:rsidR="003D640C">
        <w:t xml:space="preserve"> </w:t>
      </w:r>
      <w:r w:rsidRPr="00DA2287">
        <w:t>families).</w:t>
      </w:r>
      <w:r w:rsidR="003D640C">
        <w:t xml:space="preserve"> </w:t>
      </w:r>
      <w:r w:rsidRPr="00DA2287">
        <w:t>The</w:t>
      </w:r>
      <w:r w:rsidR="003D640C">
        <w:t xml:space="preserve"> </w:t>
      </w:r>
      <w:r w:rsidRPr="00DA2287">
        <w:t>themes</w:t>
      </w:r>
      <w:r w:rsidR="003D640C">
        <w:t xml:space="preserve"> </w:t>
      </w:r>
      <w:r w:rsidRPr="00DA2287">
        <w:t>of</w:t>
      </w:r>
      <w:r w:rsidR="003D640C">
        <w:t xml:space="preserve"> </w:t>
      </w:r>
      <w:r w:rsidRPr="00DA2287">
        <w:t>safety,</w:t>
      </w:r>
      <w:r w:rsidR="003D640C">
        <w:t xml:space="preserve"> </w:t>
      </w:r>
      <w:r w:rsidRPr="00DA2287">
        <w:t>protection,</w:t>
      </w:r>
      <w:r w:rsidR="003D640C">
        <w:t xml:space="preserve"> </w:t>
      </w:r>
      <w:r w:rsidRPr="00DA2287">
        <w:t>and</w:t>
      </w:r>
      <w:r w:rsidR="003D640C">
        <w:t xml:space="preserve"> </w:t>
      </w:r>
      <w:r w:rsidRPr="00DA2287">
        <w:t>a</w:t>
      </w:r>
      <w:r w:rsidR="003D640C">
        <w:t xml:space="preserve"> </w:t>
      </w:r>
      <w:r w:rsidRPr="00DA2287">
        <w:t>space</w:t>
      </w:r>
      <w:r w:rsidR="003D640C">
        <w:t xml:space="preserve"> </w:t>
      </w:r>
      <w:r w:rsidRPr="00DA2287">
        <w:t>to</w:t>
      </w:r>
      <w:r w:rsidR="003D640C">
        <w:t xml:space="preserve"> </w:t>
      </w:r>
      <w:r w:rsidRPr="00DA2287">
        <w:t>give</w:t>
      </w:r>
      <w:r w:rsidR="003D640C">
        <w:t xml:space="preserve"> </w:t>
      </w:r>
      <w:r w:rsidRPr="00DA2287">
        <w:t>voice</w:t>
      </w:r>
      <w:r w:rsidR="003D640C">
        <w:t xml:space="preserve"> </w:t>
      </w:r>
      <w:r w:rsidRPr="00DA2287">
        <w:t>to</w:t>
      </w:r>
      <w:r w:rsidR="003D640C">
        <w:t xml:space="preserve"> </w:t>
      </w:r>
      <w:r w:rsidRPr="00DA2287">
        <w:t>individual</w:t>
      </w:r>
      <w:r w:rsidR="003D640C">
        <w:t xml:space="preserve"> </w:t>
      </w:r>
      <w:r w:rsidRPr="00DA2287">
        <w:t>concerns</w:t>
      </w:r>
      <w:r w:rsidR="003D640C">
        <w:t xml:space="preserve"> </w:t>
      </w:r>
      <w:r w:rsidRPr="00DA2287">
        <w:t>are</w:t>
      </w:r>
      <w:r w:rsidR="003D640C">
        <w:t xml:space="preserve"> </w:t>
      </w:r>
      <w:r w:rsidRPr="00DA2287">
        <w:t>also</w:t>
      </w:r>
      <w:r w:rsidR="003D640C">
        <w:t xml:space="preserve"> </w:t>
      </w:r>
      <w:r w:rsidRPr="00DA2287">
        <w:t>common</w:t>
      </w:r>
      <w:r w:rsidR="003D640C">
        <w:t xml:space="preserve"> </w:t>
      </w:r>
      <w:r w:rsidRPr="00DA2287">
        <w:t>reasons</w:t>
      </w:r>
      <w:r w:rsidR="003D640C">
        <w:t xml:space="preserve"> </w:t>
      </w:r>
      <w:r w:rsidRPr="00DA2287">
        <w:t>for</w:t>
      </w:r>
      <w:r w:rsidR="003D640C">
        <w:t xml:space="preserve"> </w:t>
      </w:r>
      <w:r w:rsidRPr="00DA2287">
        <w:t>ethnic</w:t>
      </w:r>
      <w:r w:rsidR="003D640C">
        <w:t xml:space="preserve"> </w:t>
      </w:r>
      <w:r w:rsidRPr="00DA2287">
        <w:t>migrants</w:t>
      </w:r>
      <w:r w:rsidR="003D640C">
        <w:t xml:space="preserve"> </w:t>
      </w:r>
      <w:r w:rsidRPr="00DA2287">
        <w:t>to</w:t>
      </w:r>
      <w:r w:rsidR="003D640C">
        <w:t xml:space="preserve"> </w:t>
      </w:r>
      <w:r w:rsidRPr="00DA2287">
        <w:t>live</w:t>
      </w:r>
      <w:r w:rsidR="003D640C">
        <w:t xml:space="preserve"> </w:t>
      </w:r>
      <w:r w:rsidRPr="00DA2287">
        <w:t>in</w:t>
      </w:r>
      <w:r w:rsidR="003D640C">
        <w:t xml:space="preserve"> </w:t>
      </w:r>
      <w:r w:rsidRPr="00DA2287">
        <w:t>Aotearoa.</w:t>
      </w:r>
      <w:r w:rsidR="003D640C">
        <w:t xml:space="preserve"> </w:t>
      </w:r>
      <w:r w:rsidR="00302FDE">
        <w:t>For</w:t>
      </w:r>
      <w:r w:rsidR="003D640C">
        <w:t xml:space="preserve"> </w:t>
      </w:r>
      <w:r w:rsidR="00302FDE">
        <w:t>some</w:t>
      </w:r>
      <w:r w:rsidR="003D640C">
        <w:t xml:space="preserve"> </w:t>
      </w:r>
      <w:r w:rsidR="00302FDE">
        <w:t>in</w:t>
      </w:r>
      <w:r w:rsidR="003D640C">
        <w:t xml:space="preserve"> </w:t>
      </w:r>
      <w:r w:rsidR="00302FDE">
        <w:t>the</w:t>
      </w:r>
      <w:r w:rsidR="003D640C">
        <w:t xml:space="preserve"> </w:t>
      </w:r>
      <w:r w:rsidR="00302FDE">
        <w:t>study,</w:t>
      </w:r>
      <w:r w:rsidR="003D640C">
        <w:t xml:space="preserve"> </w:t>
      </w:r>
      <w:r w:rsidR="00302FDE">
        <w:t>i</w:t>
      </w:r>
      <w:r w:rsidRPr="00DA2287">
        <w:t>mportance</w:t>
      </w:r>
      <w:r w:rsidR="003D640C">
        <w:t xml:space="preserve"> </w:t>
      </w:r>
      <w:r w:rsidR="00356F1B">
        <w:t>wa</w:t>
      </w:r>
      <w:r w:rsidRPr="00DA2287">
        <w:t>s</w:t>
      </w:r>
      <w:r w:rsidR="003D640C">
        <w:t xml:space="preserve"> </w:t>
      </w:r>
      <w:r w:rsidRPr="00DA2287">
        <w:t>placed</w:t>
      </w:r>
      <w:r w:rsidR="003D640C">
        <w:t xml:space="preserve"> </w:t>
      </w:r>
      <w:r w:rsidRPr="00DA2287">
        <w:t>on</w:t>
      </w:r>
      <w:r w:rsidR="003D640C">
        <w:t xml:space="preserve"> </w:t>
      </w:r>
      <w:r w:rsidRPr="00DA2287">
        <w:t>being</w:t>
      </w:r>
      <w:r w:rsidR="003D640C">
        <w:t xml:space="preserve"> </w:t>
      </w:r>
      <w:r w:rsidRPr="00DA2287">
        <w:t>heard</w:t>
      </w:r>
      <w:r w:rsidR="003D640C">
        <w:t xml:space="preserve"> </w:t>
      </w:r>
      <w:r w:rsidRPr="00DA2287">
        <w:t>and</w:t>
      </w:r>
      <w:r w:rsidR="003D640C">
        <w:t xml:space="preserve"> </w:t>
      </w:r>
      <w:r w:rsidRPr="00DA2287">
        <w:t>making</w:t>
      </w:r>
      <w:r w:rsidR="003D640C">
        <w:t xml:space="preserve"> </w:t>
      </w:r>
      <w:r w:rsidRPr="00DA2287">
        <w:t>a</w:t>
      </w:r>
      <w:r w:rsidR="003D640C">
        <w:t xml:space="preserve"> </w:t>
      </w:r>
      <w:r w:rsidRPr="00DA2287">
        <w:t>positive</w:t>
      </w:r>
      <w:r w:rsidR="003D640C">
        <w:t xml:space="preserve"> </w:t>
      </w:r>
      <w:r w:rsidRPr="00DA2287">
        <w:t>contribution</w:t>
      </w:r>
      <w:r w:rsidR="003D640C">
        <w:t xml:space="preserve"> </w:t>
      </w:r>
      <w:r w:rsidRPr="00DA2287">
        <w:t>to</w:t>
      </w:r>
      <w:r w:rsidR="003D640C">
        <w:t xml:space="preserve"> </w:t>
      </w:r>
      <w:r w:rsidRPr="00DA2287">
        <w:t>the</w:t>
      </w:r>
      <w:r w:rsidR="003D640C">
        <w:t xml:space="preserve"> </w:t>
      </w:r>
      <w:r w:rsidRPr="00DA2287">
        <w:t>country.</w:t>
      </w:r>
      <w:r w:rsidR="003D640C">
        <w:t xml:space="preserve"> </w:t>
      </w:r>
      <w:r w:rsidRPr="00DA2287">
        <w:t>While</w:t>
      </w:r>
      <w:r w:rsidR="003D640C">
        <w:t xml:space="preserve"> </w:t>
      </w:r>
      <w:r w:rsidRPr="00DA2287">
        <w:t>we</w:t>
      </w:r>
      <w:r w:rsidR="003D640C">
        <w:t xml:space="preserve"> </w:t>
      </w:r>
      <w:r w:rsidRPr="00DA2287">
        <w:t>primarily</w:t>
      </w:r>
      <w:r w:rsidR="003D640C">
        <w:t xml:space="preserve"> </w:t>
      </w:r>
      <w:r w:rsidRPr="00DA2287">
        <w:t>discuss</w:t>
      </w:r>
      <w:r w:rsidR="003D640C">
        <w:t xml:space="preserve"> </w:t>
      </w:r>
      <w:r w:rsidRPr="00DA2287">
        <w:t>the</w:t>
      </w:r>
      <w:r w:rsidR="003D640C">
        <w:t xml:space="preserve"> </w:t>
      </w:r>
      <w:r w:rsidRPr="00DA2287">
        <w:t>experience</w:t>
      </w:r>
      <w:r w:rsidR="003D640C">
        <w:t xml:space="preserve"> </w:t>
      </w:r>
      <w:r w:rsidRPr="00DA2287">
        <w:t>of</w:t>
      </w:r>
      <w:r w:rsidR="003D640C">
        <w:t xml:space="preserve"> </w:t>
      </w:r>
      <w:r w:rsidRPr="00DA2287">
        <w:t>participants</w:t>
      </w:r>
      <w:r w:rsidR="003D640C">
        <w:t xml:space="preserve"> </w:t>
      </w:r>
      <w:r w:rsidRPr="00DA2287">
        <w:t>for</w:t>
      </w:r>
      <w:r w:rsidR="003D640C">
        <w:t xml:space="preserve"> </w:t>
      </w:r>
      <w:r w:rsidRPr="00DA2287">
        <w:t>whom</w:t>
      </w:r>
      <w:r w:rsidR="003D640C">
        <w:t xml:space="preserve"> </w:t>
      </w:r>
      <w:r w:rsidRPr="00DA2287">
        <w:t>this</w:t>
      </w:r>
      <w:r w:rsidR="003D640C">
        <w:t xml:space="preserve"> </w:t>
      </w:r>
      <w:r w:rsidR="007F00B8">
        <w:t xml:space="preserve">is </w:t>
      </w:r>
      <w:r w:rsidRPr="00DA2287">
        <w:t>not</w:t>
      </w:r>
      <w:r w:rsidR="003D640C">
        <w:t xml:space="preserve"> </w:t>
      </w:r>
      <w:r w:rsidRPr="00DA2287">
        <w:t>the</w:t>
      </w:r>
      <w:r w:rsidR="003D640C">
        <w:t xml:space="preserve"> </w:t>
      </w:r>
      <w:r w:rsidRPr="00DA2287">
        <w:t>case,</w:t>
      </w:r>
      <w:r w:rsidR="003D640C">
        <w:t xml:space="preserve"> </w:t>
      </w:r>
      <w:r w:rsidRPr="00DA2287">
        <w:t>it</w:t>
      </w:r>
      <w:r w:rsidR="003D640C">
        <w:t xml:space="preserve"> </w:t>
      </w:r>
      <w:r w:rsidRPr="00DA2287">
        <w:t>is</w:t>
      </w:r>
      <w:r w:rsidR="003D640C">
        <w:t xml:space="preserve"> </w:t>
      </w:r>
      <w:r w:rsidRPr="00DA2287">
        <w:t>worth</w:t>
      </w:r>
      <w:r w:rsidR="003D640C">
        <w:t xml:space="preserve"> </w:t>
      </w:r>
      <w:r w:rsidRPr="00DA2287">
        <w:t>noting</w:t>
      </w:r>
      <w:r w:rsidR="003D640C">
        <w:t xml:space="preserve"> </w:t>
      </w:r>
      <w:r w:rsidRPr="00DA2287">
        <w:t>that</w:t>
      </w:r>
      <w:r w:rsidR="007F00B8">
        <w:t>,</w:t>
      </w:r>
      <w:r w:rsidR="003D640C">
        <w:t xml:space="preserve"> </w:t>
      </w:r>
      <w:r w:rsidRPr="00DA2287">
        <w:t>for</w:t>
      </w:r>
      <w:r w:rsidR="003D640C">
        <w:t xml:space="preserve"> </w:t>
      </w:r>
      <w:r w:rsidRPr="00DA2287">
        <w:t>some</w:t>
      </w:r>
      <w:r w:rsidR="003D640C">
        <w:t xml:space="preserve"> </w:t>
      </w:r>
      <w:r w:rsidRPr="00DA2287">
        <w:t>migrants,</w:t>
      </w:r>
      <w:r w:rsidR="003D640C">
        <w:t xml:space="preserve"> </w:t>
      </w:r>
      <w:r w:rsidRPr="00DA2287">
        <w:t>the</w:t>
      </w:r>
      <w:r w:rsidR="003D640C">
        <w:t xml:space="preserve"> </w:t>
      </w:r>
      <w:r w:rsidRPr="00DA2287">
        <w:t>perception</w:t>
      </w:r>
      <w:r w:rsidR="003D640C">
        <w:t xml:space="preserve"> </w:t>
      </w:r>
      <w:r w:rsidRPr="00DA2287">
        <w:t>that</w:t>
      </w:r>
      <w:r w:rsidR="003D640C">
        <w:t xml:space="preserve"> </w:t>
      </w:r>
      <w:r w:rsidRPr="00DA2287">
        <w:t>Aotearoa</w:t>
      </w:r>
      <w:r w:rsidR="003D640C">
        <w:t xml:space="preserve"> </w:t>
      </w:r>
      <w:r w:rsidR="007501B5" w:rsidRPr="00DA2287">
        <w:t>i</w:t>
      </w:r>
      <w:r w:rsidRPr="00DA2287">
        <w:t>s</w:t>
      </w:r>
      <w:r w:rsidR="003D640C">
        <w:t xml:space="preserve"> </w:t>
      </w:r>
      <w:r w:rsidRPr="00DA2287">
        <w:t>a</w:t>
      </w:r>
      <w:r w:rsidR="003D640C">
        <w:t xml:space="preserve"> </w:t>
      </w:r>
      <w:r w:rsidRPr="00DA2287">
        <w:t>country</w:t>
      </w:r>
      <w:r w:rsidR="003D640C">
        <w:t xml:space="preserve"> </w:t>
      </w:r>
      <w:r w:rsidRPr="00DA2287">
        <w:t>that</w:t>
      </w:r>
      <w:r w:rsidR="003D640C">
        <w:t xml:space="preserve"> </w:t>
      </w:r>
      <w:r w:rsidRPr="00DA2287">
        <w:t>is</w:t>
      </w:r>
      <w:r w:rsidR="003D640C">
        <w:t xml:space="preserve"> </w:t>
      </w:r>
      <w:r w:rsidRPr="00DA2287">
        <w:t>free</w:t>
      </w:r>
      <w:r w:rsidR="003D640C">
        <w:t xml:space="preserve"> </w:t>
      </w:r>
      <w:r w:rsidRPr="00DA2287">
        <w:t>and</w:t>
      </w:r>
      <w:r w:rsidR="003D640C">
        <w:t xml:space="preserve"> </w:t>
      </w:r>
      <w:r w:rsidRPr="00DA2287">
        <w:t>open</w:t>
      </w:r>
      <w:r w:rsidR="003D640C">
        <w:t xml:space="preserve"> </w:t>
      </w:r>
      <w:r w:rsidRPr="00DA2287">
        <w:t>with</w:t>
      </w:r>
      <w:r w:rsidR="003D640C">
        <w:t xml:space="preserve"> </w:t>
      </w:r>
      <w:r w:rsidRPr="00DA2287">
        <w:t>regards</w:t>
      </w:r>
      <w:r w:rsidR="003D640C">
        <w:t xml:space="preserve"> </w:t>
      </w:r>
      <w:r w:rsidRPr="00DA2287">
        <w:t>to</w:t>
      </w:r>
      <w:r w:rsidR="003D640C">
        <w:t xml:space="preserve"> </w:t>
      </w:r>
      <w:r w:rsidRPr="00DA2287">
        <w:t>Rainbow</w:t>
      </w:r>
      <w:r w:rsidR="003D640C">
        <w:t xml:space="preserve"> </w:t>
      </w:r>
      <w:r w:rsidRPr="00DA2287">
        <w:t>identities,</w:t>
      </w:r>
      <w:r w:rsidR="003D640C">
        <w:t xml:space="preserve"> </w:t>
      </w:r>
      <w:r w:rsidRPr="00DA2287">
        <w:t>and</w:t>
      </w:r>
      <w:r w:rsidR="003D640C">
        <w:t xml:space="preserve"> </w:t>
      </w:r>
      <w:r w:rsidRPr="00DA2287">
        <w:t>has</w:t>
      </w:r>
      <w:r w:rsidR="003D640C">
        <w:t xml:space="preserve"> </w:t>
      </w:r>
      <w:r w:rsidR="00356F1B">
        <w:t>achieved</w:t>
      </w:r>
      <w:r w:rsidR="003D640C">
        <w:t xml:space="preserve"> </w:t>
      </w:r>
      <w:r w:rsidRPr="00DA2287">
        <w:t>marriage</w:t>
      </w:r>
      <w:r w:rsidR="00356F1B">
        <w:t xml:space="preserve"> equality</w:t>
      </w:r>
      <w:r w:rsidRPr="00DA2287">
        <w:t>,</w:t>
      </w:r>
      <w:r w:rsidR="003D640C">
        <w:t xml:space="preserve"> </w:t>
      </w:r>
      <w:r w:rsidRPr="00DA2287">
        <w:t>was</w:t>
      </w:r>
      <w:r w:rsidR="003D640C">
        <w:t xml:space="preserve"> </w:t>
      </w:r>
      <w:r w:rsidRPr="00DA2287">
        <w:t>part</w:t>
      </w:r>
      <w:r w:rsidR="003D640C">
        <w:t xml:space="preserve"> </w:t>
      </w:r>
      <w:r w:rsidRPr="00DA2287">
        <w:t>of</w:t>
      </w:r>
      <w:r w:rsidR="003D640C">
        <w:t xml:space="preserve"> </w:t>
      </w:r>
      <w:r w:rsidRPr="00DA2287">
        <w:t>what</w:t>
      </w:r>
      <w:r w:rsidR="003D640C">
        <w:t xml:space="preserve"> </w:t>
      </w:r>
      <w:r w:rsidRPr="00DA2287">
        <w:t>attracted</w:t>
      </w:r>
      <w:r w:rsidR="003D640C">
        <w:t xml:space="preserve"> </w:t>
      </w:r>
      <w:r w:rsidRPr="00DA2287">
        <w:t>them</w:t>
      </w:r>
      <w:r w:rsidR="003D640C">
        <w:t xml:space="preserve"> </w:t>
      </w:r>
      <w:r w:rsidRPr="00DA2287">
        <w:t>to</w:t>
      </w:r>
      <w:r w:rsidR="003D640C">
        <w:t xml:space="preserve"> </w:t>
      </w:r>
      <w:r w:rsidRPr="00DA2287">
        <w:t>the</w:t>
      </w:r>
      <w:r w:rsidR="003D640C">
        <w:t xml:space="preserve"> </w:t>
      </w:r>
      <w:r w:rsidRPr="00DA2287">
        <w:t>country</w:t>
      </w:r>
      <w:r w:rsidR="003D640C">
        <w:t xml:space="preserve"> </w:t>
      </w:r>
      <w:r w:rsidRPr="00DA2287">
        <w:t>in</w:t>
      </w:r>
      <w:r w:rsidR="003D640C">
        <w:t xml:space="preserve"> </w:t>
      </w:r>
      <w:r w:rsidRPr="00DA2287">
        <w:t>the</w:t>
      </w:r>
      <w:r w:rsidR="003D640C">
        <w:t xml:space="preserve"> </w:t>
      </w:r>
      <w:r w:rsidRPr="00DA2287">
        <w:t>first</w:t>
      </w:r>
      <w:r w:rsidR="003D640C">
        <w:t xml:space="preserve"> </w:t>
      </w:r>
      <w:r w:rsidRPr="00DA2287">
        <w:t>place</w:t>
      </w:r>
      <w:r w:rsidR="007501B5" w:rsidRPr="00DA2287">
        <w:t>.</w:t>
      </w:r>
      <w:r w:rsidRPr="00DA2287">
        <w:rPr>
          <w:rStyle w:val="FootnoteReference"/>
          <w:rFonts w:eastAsia="Open Sans"/>
          <w:color w:val="121317"/>
        </w:rPr>
        <w:footnoteReference w:id="212"/>
      </w:r>
      <w:r w:rsidR="003D640C">
        <w:t xml:space="preserve"> </w:t>
      </w:r>
    </w:p>
    <w:p w14:paraId="03389A33" w14:textId="746D4E37" w:rsidR="008B0FA9" w:rsidRPr="00DA2287" w:rsidRDefault="008B0FA9" w:rsidP="00323E57">
      <w:pPr>
        <w:rPr>
          <w:rFonts w:cstheme="minorHAnsi"/>
        </w:rPr>
      </w:pPr>
      <w:r w:rsidRPr="00DA2287">
        <w:t>A</w:t>
      </w:r>
      <w:r w:rsidR="003D640C">
        <w:t xml:space="preserve"> </w:t>
      </w:r>
      <w:r w:rsidRPr="00DA2287">
        <w:t>r</w:t>
      </w:r>
      <w:r w:rsidR="007501B5" w:rsidRPr="00DA2287">
        <w:t>e</w:t>
      </w:r>
      <w:r w:rsidRPr="00DA2287">
        <w:t>curring</w:t>
      </w:r>
      <w:r w:rsidR="003D640C">
        <w:t xml:space="preserve"> </w:t>
      </w:r>
      <w:r w:rsidRPr="00DA2287">
        <w:t>theme</w:t>
      </w:r>
      <w:r w:rsidR="003D640C">
        <w:t xml:space="preserve"> </w:t>
      </w:r>
      <w:r w:rsidRPr="00DA2287">
        <w:t>for</w:t>
      </w:r>
      <w:r w:rsidR="003D640C">
        <w:t xml:space="preserve"> </w:t>
      </w:r>
      <w:r w:rsidRPr="00DA2287">
        <w:t>those</w:t>
      </w:r>
      <w:r w:rsidR="003D640C">
        <w:t xml:space="preserve"> </w:t>
      </w:r>
      <w:r w:rsidRPr="00DA2287">
        <w:t>we</w:t>
      </w:r>
      <w:r w:rsidR="003D640C">
        <w:t xml:space="preserve"> </w:t>
      </w:r>
      <w:r w:rsidRPr="00DA2287">
        <w:t>engaged</w:t>
      </w:r>
      <w:r w:rsidR="003D640C">
        <w:t xml:space="preserve"> </w:t>
      </w:r>
      <w:r w:rsidRPr="00DA2287">
        <w:t>with</w:t>
      </w:r>
      <w:r w:rsidR="003D640C">
        <w:t xml:space="preserve"> </w:t>
      </w:r>
      <w:r w:rsidRPr="00DA2287">
        <w:t>who</w:t>
      </w:r>
      <w:r w:rsidR="003D640C">
        <w:t xml:space="preserve"> </w:t>
      </w:r>
      <w:r w:rsidRPr="00DA2287">
        <w:t>had</w:t>
      </w:r>
      <w:r w:rsidR="003D640C">
        <w:t xml:space="preserve"> </w:t>
      </w:r>
      <w:r w:rsidRPr="00DA2287">
        <w:t>experienced</w:t>
      </w:r>
      <w:r w:rsidR="003D640C">
        <w:t xml:space="preserve"> </w:t>
      </w:r>
      <w:r w:rsidRPr="00DA2287">
        <w:t>or</w:t>
      </w:r>
      <w:r w:rsidR="003D640C">
        <w:t xml:space="preserve"> </w:t>
      </w:r>
      <w:r w:rsidRPr="00DA2287">
        <w:t>had</w:t>
      </w:r>
      <w:r w:rsidR="003D640C">
        <w:t xml:space="preserve"> </w:t>
      </w:r>
      <w:r w:rsidRPr="00DA2287">
        <w:t>awareness</w:t>
      </w:r>
      <w:r w:rsidR="003D640C">
        <w:t xml:space="preserve"> </w:t>
      </w:r>
      <w:r w:rsidRPr="00DA2287">
        <w:t>of</w:t>
      </w:r>
      <w:r w:rsidR="003D640C">
        <w:t xml:space="preserve"> </w:t>
      </w:r>
      <w:r w:rsidRPr="00DA2287">
        <w:t>conversion</w:t>
      </w:r>
      <w:r w:rsidR="003D640C">
        <w:t xml:space="preserve"> </w:t>
      </w:r>
      <w:r w:rsidRPr="00DA2287">
        <w:t>practices</w:t>
      </w:r>
      <w:r w:rsidR="003D640C">
        <w:t xml:space="preserve"> </w:t>
      </w:r>
      <w:r w:rsidRPr="00DA2287">
        <w:t>in</w:t>
      </w:r>
      <w:r w:rsidR="003D640C">
        <w:t xml:space="preserve"> </w:t>
      </w:r>
      <w:r w:rsidRPr="00DA2287">
        <w:t>ethnic</w:t>
      </w:r>
      <w:r w:rsidR="003D640C">
        <w:t xml:space="preserve"> </w:t>
      </w:r>
      <w:r w:rsidRPr="00DA2287">
        <w:t>communities</w:t>
      </w:r>
      <w:r w:rsidR="003D640C">
        <w:t xml:space="preserve"> </w:t>
      </w:r>
      <w:r w:rsidRPr="00DA2287">
        <w:t>related</w:t>
      </w:r>
      <w:r w:rsidR="003D640C">
        <w:t xml:space="preserve"> </w:t>
      </w:r>
      <w:r w:rsidRPr="00DA2287">
        <w:t>to</w:t>
      </w:r>
      <w:r w:rsidR="003D640C">
        <w:t xml:space="preserve"> </w:t>
      </w:r>
      <w:r w:rsidRPr="00DA2287">
        <w:t>the</w:t>
      </w:r>
      <w:r w:rsidR="003D640C">
        <w:t xml:space="preserve"> </w:t>
      </w:r>
      <w:r w:rsidRPr="00DA2287">
        <w:t>understanding</w:t>
      </w:r>
      <w:r w:rsidR="003D640C">
        <w:t xml:space="preserve"> </w:t>
      </w:r>
      <w:r w:rsidRPr="00DA2287">
        <w:t>of</w:t>
      </w:r>
      <w:r w:rsidR="003D640C">
        <w:t xml:space="preserve"> </w:t>
      </w:r>
      <w:r w:rsidRPr="00DA2287">
        <w:t>‘respect’</w:t>
      </w:r>
      <w:r w:rsidR="003D640C">
        <w:t xml:space="preserve"> </w:t>
      </w:r>
      <w:r w:rsidRPr="00DA2287">
        <w:t>in</w:t>
      </w:r>
      <w:r w:rsidR="003D640C">
        <w:t xml:space="preserve"> </w:t>
      </w:r>
      <w:r w:rsidRPr="00DA2287">
        <w:t>the</w:t>
      </w:r>
      <w:r w:rsidR="003D640C">
        <w:t xml:space="preserve"> </w:t>
      </w:r>
      <w:r w:rsidRPr="00DA2287">
        <w:t>context</w:t>
      </w:r>
      <w:r w:rsidR="003D640C">
        <w:t xml:space="preserve"> </w:t>
      </w:r>
      <w:r w:rsidRPr="00DA2287">
        <w:t>of</w:t>
      </w:r>
      <w:r w:rsidR="003D640C">
        <w:t xml:space="preserve"> </w:t>
      </w:r>
      <w:r w:rsidRPr="00DA2287">
        <w:t>community.</w:t>
      </w:r>
      <w:r w:rsidR="003D640C">
        <w:t xml:space="preserve"> </w:t>
      </w:r>
      <w:r w:rsidRPr="00DA2287">
        <w:t>Many</w:t>
      </w:r>
      <w:r w:rsidR="003D640C">
        <w:t xml:space="preserve"> </w:t>
      </w:r>
      <w:r w:rsidRPr="00DA2287">
        <w:t>migrant</w:t>
      </w:r>
      <w:r w:rsidR="003D640C">
        <w:t xml:space="preserve"> </w:t>
      </w:r>
      <w:r w:rsidRPr="00DA2287">
        <w:t>and/or</w:t>
      </w:r>
      <w:r w:rsidR="003D640C">
        <w:t xml:space="preserve"> </w:t>
      </w:r>
      <w:r w:rsidRPr="00DA2287">
        <w:t>minority</w:t>
      </w:r>
      <w:r w:rsidR="003D640C">
        <w:t xml:space="preserve"> </w:t>
      </w:r>
      <w:r w:rsidRPr="00DA2287">
        <w:t>ethnic</w:t>
      </w:r>
      <w:r w:rsidR="003D640C">
        <w:t xml:space="preserve"> </w:t>
      </w:r>
      <w:r w:rsidRPr="00DA2287">
        <w:t>communities</w:t>
      </w:r>
      <w:r w:rsidR="003D640C">
        <w:t xml:space="preserve"> </w:t>
      </w:r>
      <w:r w:rsidRPr="00DA2287">
        <w:t>in</w:t>
      </w:r>
      <w:r w:rsidR="003D640C">
        <w:t xml:space="preserve"> </w:t>
      </w:r>
      <w:r w:rsidRPr="00DA2287">
        <w:t>Aotearoa</w:t>
      </w:r>
      <w:r w:rsidR="003D640C">
        <w:t xml:space="preserve"> </w:t>
      </w:r>
      <w:r w:rsidRPr="00DA2287">
        <w:t>place</w:t>
      </w:r>
      <w:r w:rsidR="003D640C">
        <w:t xml:space="preserve"> </w:t>
      </w:r>
      <w:r w:rsidRPr="00DA2287">
        <w:t>importance</w:t>
      </w:r>
      <w:r w:rsidR="003D640C">
        <w:t xml:space="preserve"> </w:t>
      </w:r>
      <w:r w:rsidRPr="00DA2287">
        <w:t>on</w:t>
      </w:r>
      <w:r w:rsidR="003D640C">
        <w:t xml:space="preserve"> </w:t>
      </w:r>
      <w:r w:rsidRPr="00DA2287">
        <w:t>“respect,</w:t>
      </w:r>
      <w:r w:rsidR="003D640C">
        <w:t xml:space="preserve"> </w:t>
      </w:r>
      <w:r w:rsidRPr="00DA2287">
        <w:t>relationships</w:t>
      </w:r>
      <w:r w:rsidR="003D640C">
        <w:t xml:space="preserve"> </w:t>
      </w:r>
      <w:r w:rsidRPr="00DA2287">
        <w:t>and</w:t>
      </w:r>
      <w:r w:rsidR="003D640C">
        <w:t xml:space="preserve"> </w:t>
      </w:r>
      <w:r w:rsidRPr="00DA2287">
        <w:t>[people]</w:t>
      </w:r>
      <w:r w:rsidR="003D640C">
        <w:t xml:space="preserve"> </w:t>
      </w:r>
      <w:r w:rsidRPr="00DA2287">
        <w:t>reaching</w:t>
      </w:r>
      <w:r w:rsidR="003D640C">
        <w:t xml:space="preserve"> </w:t>
      </w:r>
      <w:r w:rsidRPr="00DA2287">
        <w:t>their</w:t>
      </w:r>
      <w:r w:rsidR="003D640C">
        <w:t xml:space="preserve"> </w:t>
      </w:r>
      <w:r w:rsidRPr="00DA2287">
        <w:t>full</w:t>
      </w:r>
      <w:r w:rsidR="003D640C">
        <w:t xml:space="preserve"> </w:t>
      </w:r>
      <w:r w:rsidRPr="00DA2287">
        <w:t>potential</w:t>
      </w:r>
      <w:r w:rsidR="00A37A04">
        <w:t>.</w:t>
      </w:r>
      <w:r w:rsidRPr="00DA2287">
        <w:t>”</w:t>
      </w:r>
      <w:r w:rsidRPr="00DA2287">
        <w:rPr>
          <w:vertAlign w:val="superscript"/>
        </w:rPr>
        <w:footnoteReference w:id="213"/>
      </w:r>
      <w:r w:rsidR="003D640C">
        <w:rPr>
          <w:vertAlign w:val="superscript"/>
        </w:rPr>
        <w:t xml:space="preserve"> </w:t>
      </w:r>
      <w:r w:rsidRPr="00DA2287">
        <w:rPr>
          <w:rFonts w:cstheme="minorHAnsi"/>
        </w:rPr>
        <w:t>While</w:t>
      </w:r>
      <w:r w:rsidR="003D640C">
        <w:rPr>
          <w:rFonts w:cstheme="minorHAnsi"/>
        </w:rPr>
        <w:t xml:space="preserve"> </w:t>
      </w:r>
      <w:r w:rsidRPr="00DA2287">
        <w:rPr>
          <w:rFonts w:cstheme="minorHAnsi"/>
        </w:rPr>
        <w:t>there</w:t>
      </w:r>
      <w:r w:rsidR="003D640C">
        <w:rPr>
          <w:rFonts w:cstheme="minorHAnsi"/>
        </w:rPr>
        <w:t xml:space="preserve"> </w:t>
      </w:r>
      <w:r w:rsidRPr="00DA2287">
        <w:rPr>
          <w:rFonts w:cstheme="minorHAnsi"/>
        </w:rPr>
        <w:t>are</w:t>
      </w:r>
      <w:r w:rsidR="003D640C">
        <w:rPr>
          <w:rFonts w:cstheme="minorHAnsi"/>
        </w:rPr>
        <w:t xml:space="preserve"> </w:t>
      </w:r>
      <w:r w:rsidRPr="00DA2287">
        <w:rPr>
          <w:rFonts w:cstheme="minorHAnsi"/>
        </w:rPr>
        <w:t>similarities</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how</w:t>
      </w:r>
      <w:r w:rsidR="003D640C">
        <w:rPr>
          <w:rFonts w:cstheme="minorHAnsi"/>
        </w:rPr>
        <w:t xml:space="preserve"> </w:t>
      </w:r>
      <w:r w:rsidRPr="00DA2287">
        <w:rPr>
          <w:rFonts w:cstheme="minorHAnsi"/>
        </w:rPr>
        <w:t>to</w:t>
      </w:r>
      <w:r w:rsidR="003D640C">
        <w:rPr>
          <w:rFonts w:cstheme="minorHAnsi"/>
        </w:rPr>
        <w:t xml:space="preserve"> </w:t>
      </w:r>
      <w:r w:rsidRPr="00DA2287">
        <w:rPr>
          <w:rFonts w:cstheme="minorHAnsi"/>
        </w:rPr>
        <w:t>show</w:t>
      </w:r>
      <w:r w:rsidR="003D640C">
        <w:rPr>
          <w:rFonts w:cstheme="minorHAnsi"/>
        </w:rPr>
        <w:t xml:space="preserve"> </w:t>
      </w:r>
      <w:r w:rsidRPr="00DA2287">
        <w:rPr>
          <w:rFonts w:cstheme="minorHAnsi"/>
        </w:rPr>
        <w:t>respect</w:t>
      </w:r>
      <w:r w:rsidR="003D640C">
        <w:rPr>
          <w:rFonts w:cstheme="minorHAnsi"/>
        </w:rPr>
        <w:t xml:space="preserve"> </w:t>
      </w:r>
      <w:r w:rsidRPr="00DA2287">
        <w:rPr>
          <w:rFonts w:cstheme="minorHAnsi"/>
        </w:rPr>
        <w:t>between</w:t>
      </w:r>
      <w:r w:rsidR="003D640C">
        <w:rPr>
          <w:rFonts w:cstheme="minorHAnsi"/>
        </w:rPr>
        <w:t xml:space="preserve"> </w:t>
      </w:r>
      <w:r w:rsidRPr="00DA2287">
        <w:rPr>
          <w:rFonts w:cstheme="minorHAnsi"/>
        </w:rPr>
        <w:t>some</w:t>
      </w:r>
      <w:r w:rsidR="003D640C">
        <w:rPr>
          <w:rFonts w:cstheme="minorHAnsi"/>
        </w:rPr>
        <w:t xml:space="preserve"> </w:t>
      </w:r>
      <w:r w:rsidRPr="00DA2287">
        <w:rPr>
          <w:rFonts w:cstheme="minorHAnsi"/>
        </w:rPr>
        <w:t>ethnic</w:t>
      </w:r>
      <w:r w:rsidR="003D640C">
        <w:rPr>
          <w:rFonts w:cstheme="minorHAnsi"/>
        </w:rPr>
        <w:t xml:space="preserve"> </w:t>
      </w:r>
      <w:r w:rsidRPr="00DA2287">
        <w:rPr>
          <w:rFonts w:cstheme="minorHAnsi"/>
        </w:rPr>
        <w:t>communities</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majority</w:t>
      </w:r>
      <w:r w:rsidR="003D640C">
        <w:rPr>
          <w:rFonts w:cstheme="minorHAnsi"/>
        </w:rPr>
        <w:t xml:space="preserve"> </w:t>
      </w:r>
      <w:r w:rsidRPr="00DA2287">
        <w:rPr>
          <w:rFonts w:cstheme="minorHAnsi"/>
        </w:rPr>
        <w:t>population,</w:t>
      </w:r>
      <w:r w:rsidR="003D640C">
        <w:rPr>
          <w:rFonts w:cstheme="minorHAnsi"/>
        </w:rPr>
        <w:t xml:space="preserve"> </w:t>
      </w:r>
      <w:r w:rsidRPr="00DA2287">
        <w:rPr>
          <w:rFonts w:cstheme="minorHAnsi"/>
        </w:rPr>
        <w:t>there</w:t>
      </w:r>
      <w:r w:rsidR="003D640C">
        <w:rPr>
          <w:rFonts w:cstheme="minorHAnsi"/>
        </w:rPr>
        <w:t xml:space="preserve"> </w:t>
      </w:r>
      <w:r w:rsidRPr="00DA2287">
        <w:rPr>
          <w:rFonts w:cstheme="minorHAnsi"/>
        </w:rPr>
        <w:t>are</w:t>
      </w:r>
      <w:r w:rsidR="003D640C">
        <w:rPr>
          <w:rFonts w:cstheme="minorHAnsi"/>
        </w:rPr>
        <w:t xml:space="preserve"> </w:t>
      </w:r>
      <w:r w:rsidRPr="00DA2287">
        <w:rPr>
          <w:rFonts w:cstheme="minorHAnsi"/>
        </w:rPr>
        <w:t>also</w:t>
      </w:r>
      <w:r w:rsidR="003D640C">
        <w:rPr>
          <w:rFonts w:cstheme="minorHAnsi"/>
        </w:rPr>
        <w:t xml:space="preserve"> </w:t>
      </w:r>
      <w:r w:rsidRPr="00DA2287">
        <w:rPr>
          <w:rFonts w:cstheme="minorHAnsi"/>
        </w:rPr>
        <w:t>differences.</w:t>
      </w:r>
      <w:r w:rsidR="003D640C">
        <w:rPr>
          <w:rFonts w:cstheme="minorHAnsi"/>
        </w:rPr>
        <w:t xml:space="preserve"> </w:t>
      </w:r>
    </w:p>
    <w:p w14:paraId="2D803A1F" w14:textId="1F8DD298" w:rsidR="008B0FA9" w:rsidRPr="00DA2287" w:rsidRDefault="009121BB" w:rsidP="00323E57">
      <w:pPr>
        <w:rPr>
          <w:rFonts w:cstheme="minorHAnsi"/>
        </w:rPr>
      </w:pPr>
      <w:r>
        <w:rPr>
          <w:rFonts w:cstheme="minorHAnsi"/>
        </w:rPr>
        <w:t>As</w:t>
      </w:r>
      <w:r w:rsidR="003D640C">
        <w:rPr>
          <w:rFonts w:cstheme="minorHAnsi"/>
        </w:rPr>
        <w:t xml:space="preserve"> </w:t>
      </w:r>
      <w:r>
        <w:rPr>
          <w:rFonts w:cstheme="minorHAnsi"/>
        </w:rPr>
        <w:t>discussed</w:t>
      </w:r>
      <w:r w:rsidR="003D640C">
        <w:rPr>
          <w:rFonts w:cstheme="minorHAnsi"/>
        </w:rPr>
        <w:t xml:space="preserve"> </w:t>
      </w:r>
      <w:r>
        <w:rPr>
          <w:rFonts w:cstheme="minorHAnsi"/>
        </w:rPr>
        <w:t>by</w:t>
      </w:r>
      <w:r w:rsidR="003D640C">
        <w:rPr>
          <w:rFonts w:cstheme="minorHAnsi"/>
        </w:rPr>
        <w:t xml:space="preserve"> </w:t>
      </w:r>
      <w:r>
        <w:rPr>
          <w:rFonts w:cstheme="minorHAnsi"/>
        </w:rPr>
        <w:t>those</w:t>
      </w:r>
      <w:r w:rsidR="003D640C">
        <w:rPr>
          <w:rFonts w:cstheme="minorHAnsi"/>
        </w:rPr>
        <w:t xml:space="preserve"> </w:t>
      </w:r>
      <w:r>
        <w:rPr>
          <w:rFonts w:cstheme="minorHAnsi"/>
        </w:rPr>
        <w:t>we</w:t>
      </w:r>
      <w:r w:rsidR="003D640C">
        <w:rPr>
          <w:rFonts w:cstheme="minorHAnsi"/>
        </w:rPr>
        <w:t xml:space="preserve"> </w:t>
      </w:r>
      <w:r>
        <w:rPr>
          <w:rFonts w:cstheme="minorHAnsi"/>
        </w:rPr>
        <w:t>engaged</w:t>
      </w:r>
      <w:r w:rsidR="003D640C">
        <w:rPr>
          <w:rFonts w:cstheme="minorHAnsi"/>
        </w:rPr>
        <w:t xml:space="preserve"> </w:t>
      </w:r>
      <w:r w:rsidR="00923C73">
        <w:rPr>
          <w:rFonts w:cstheme="minorHAnsi"/>
        </w:rPr>
        <w:t>with</w:t>
      </w:r>
      <w:r>
        <w:rPr>
          <w:rFonts w:cstheme="minorHAnsi"/>
        </w:rPr>
        <w:t>,</w:t>
      </w:r>
      <w:r w:rsidR="003D640C">
        <w:rPr>
          <w:rFonts w:cstheme="minorHAnsi"/>
        </w:rPr>
        <w:t xml:space="preserve"> </w:t>
      </w:r>
      <w:r>
        <w:rPr>
          <w:rFonts w:cstheme="minorHAnsi"/>
        </w:rPr>
        <w:t>i</w:t>
      </w:r>
      <w:r w:rsidR="008B0FA9" w:rsidRPr="00DA2287">
        <w:rPr>
          <w:rFonts w:cstheme="minorHAnsi"/>
        </w:rPr>
        <w:t>n</w:t>
      </w:r>
      <w:r w:rsidR="003D640C">
        <w:rPr>
          <w:rFonts w:cstheme="minorHAnsi"/>
        </w:rPr>
        <w:t xml:space="preserve"> </w:t>
      </w:r>
      <w:r w:rsidR="008B0FA9" w:rsidRPr="00DA2287">
        <w:rPr>
          <w:rFonts w:cstheme="minorHAnsi"/>
        </w:rPr>
        <w:t>South</w:t>
      </w:r>
      <w:r w:rsidR="003D640C">
        <w:rPr>
          <w:rFonts w:cstheme="minorHAnsi"/>
        </w:rPr>
        <w:t xml:space="preserve"> </w:t>
      </w:r>
      <w:r w:rsidR="008B0FA9" w:rsidRPr="00DA2287">
        <w:rPr>
          <w:rFonts w:cstheme="minorHAnsi"/>
        </w:rPr>
        <w:t>Asian</w:t>
      </w:r>
      <w:r w:rsidR="003D640C">
        <w:rPr>
          <w:rFonts w:cstheme="minorHAnsi"/>
        </w:rPr>
        <w:t xml:space="preserve"> </w:t>
      </w:r>
      <w:r w:rsidR="008B0FA9" w:rsidRPr="00DA2287">
        <w:rPr>
          <w:rFonts w:cstheme="minorHAnsi"/>
        </w:rPr>
        <w:t>communities</w:t>
      </w:r>
      <w:r w:rsidR="003D640C">
        <w:rPr>
          <w:rFonts w:cstheme="minorHAnsi"/>
        </w:rPr>
        <w:t xml:space="preserve"> </w:t>
      </w:r>
      <w:r w:rsidR="008B0FA9" w:rsidRPr="00DA2287">
        <w:rPr>
          <w:rFonts w:cstheme="minorHAnsi"/>
        </w:rPr>
        <w:t>(and</w:t>
      </w:r>
      <w:r w:rsidR="003D640C">
        <w:rPr>
          <w:rFonts w:cstheme="minorHAnsi"/>
        </w:rPr>
        <w:t xml:space="preserve"> </w:t>
      </w:r>
      <w:r w:rsidR="008B0FA9" w:rsidRPr="00DA2287">
        <w:rPr>
          <w:rFonts w:cstheme="minorHAnsi"/>
        </w:rPr>
        <w:t>likely</w:t>
      </w:r>
      <w:r w:rsidR="003D640C">
        <w:rPr>
          <w:rFonts w:cstheme="minorHAnsi"/>
        </w:rPr>
        <w:t xml:space="preserve"> </w:t>
      </w:r>
      <w:r w:rsidR="008B0FA9" w:rsidRPr="00DA2287">
        <w:rPr>
          <w:rFonts w:cstheme="minorHAnsi"/>
        </w:rPr>
        <w:t>other</w:t>
      </w:r>
      <w:r w:rsidR="003D640C">
        <w:rPr>
          <w:rFonts w:cstheme="minorHAnsi"/>
        </w:rPr>
        <w:t xml:space="preserve"> </w:t>
      </w:r>
      <w:r w:rsidR="008B0FA9" w:rsidRPr="00DA2287">
        <w:rPr>
          <w:rFonts w:cstheme="minorHAnsi"/>
        </w:rPr>
        <w:t>minoritised</w:t>
      </w:r>
      <w:r w:rsidR="003D640C">
        <w:rPr>
          <w:rFonts w:cstheme="minorHAnsi"/>
        </w:rPr>
        <w:t xml:space="preserve"> </w:t>
      </w:r>
      <w:r w:rsidR="008B0FA9" w:rsidRPr="00DA2287">
        <w:rPr>
          <w:rFonts w:cstheme="minorHAnsi"/>
        </w:rPr>
        <w:t>ethnic</w:t>
      </w:r>
      <w:r w:rsidR="003D640C">
        <w:rPr>
          <w:rFonts w:cstheme="minorHAnsi"/>
        </w:rPr>
        <w:t xml:space="preserve"> </w:t>
      </w:r>
      <w:r w:rsidR="008B0FA9" w:rsidRPr="00DA2287">
        <w:rPr>
          <w:rFonts w:cstheme="minorHAnsi"/>
        </w:rPr>
        <w:t>communities),</w:t>
      </w:r>
      <w:r w:rsidR="003D640C">
        <w:rPr>
          <w:rFonts w:cstheme="minorHAnsi"/>
        </w:rPr>
        <w:t xml:space="preserve"> </w:t>
      </w:r>
      <w:r w:rsidR="007501B5" w:rsidRPr="00DA2287">
        <w:rPr>
          <w:rFonts w:cstheme="minorHAnsi"/>
        </w:rPr>
        <w:t>r</w:t>
      </w:r>
      <w:r w:rsidR="008B0FA9" w:rsidRPr="00DA2287">
        <w:rPr>
          <w:rFonts w:cstheme="minorHAnsi"/>
        </w:rPr>
        <w:t>espect</w:t>
      </w:r>
      <w:r w:rsidR="003D640C">
        <w:rPr>
          <w:rFonts w:cstheme="minorHAnsi"/>
        </w:rPr>
        <w:t xml:space="preserve"> </w:t>
      </w:r>
      <w:r w:rsidR="008B0FA9" w:rsidRPr="00DA2287">
        <w:rPr>
          <w:rFonts w:cstheme="minorHAnsi"/>
        </w:rPr>
        <w:t>can</w:t>
      </w:r>
      <w:r w:rsidR="003D640C">
        <w:rPr>
          <w:rFonts w:cstheme="minorHAnsi"/>
        </w:rPr>
        <w:t xml:space="preserve"> </w:t>
      </w:r>
      <w:r w:rsidR="008B0FA9" w:rsidRPr="00DA2287">
        <w:rPr>
          <w:rFonts w:cstheme="minorHAnsi"/>
        </w:rPr>
        <w:t>often</w:t>
      </w:r>
      <w:r w:rsidR="003D640C">
        <w:rPr>
          <w:rFonts w:cstheme="minorHAnsi"/>
        </w:rPr>
        <w:t xml:space="preserve"> </w:t>
      </w:r>
      <w:r w:rsidR="008B0FA9" w:rsidRPr="00DA2287">
        <w:rPr>
          <w:rFonts w:cstheme="minorHAnsi"/>
        </w:rPr>
        <w:t>present</w:t>
      </w:r>
      <w:r w:rsidR="003D640C">
        <w:rPr>
          <w:rFonts w:cstheme="minorHAnsi"/>
        </w:rPr>
        <w:t xml:space="preserve"> </w:t>
      </w:r>
      <w:r w:rsidR="008B0FA9" w:rsidRPr="00DA2287">
        <w:rPr>
          <w:rFonts w:cstheme="minorHAnsi"/>
        </w:rPr>
        <w:t>as:</w:t>
      </w:r>
    </w:p>
    <w:p w14:paraId="2B427575" w14:textId="5E188CF6" w:rsidR="008B0FA9" w:rsidRPr="00DA2287" w:rsidRDefault="008B0FA9" w:rsidP="00323E57">
      <w:pPr>
        <w:pStyle w:val="Bullet"/>
      </w:pPr>
      <w:r w:rsidRPr="00DA2287">
        <w:t>obedience</w:t>
      </w:r>
      <w:r w:rsidR="003D640C">
        <w:t xml:space="preserve"> </w:t>
      </w:r>
      <w:r w:rsidRPr="00DA2287">
        <w:t>towards</w:t>
      </w:r>
      <w:r w:rsidR="003D640C">
        <w:t xml:space="preserve"> </w:t>
      </w:r>
      <w:r w:rsidRPr="00DA2287">
        <w:t>parents</w:t>
      </w:r>
      <w:r w:rsidR="003D640C">
        <w:t xml:space="preserve"> </w:t>
      </w:r>
      <w:r w:rsidRPr="00DA2287">
        <w:t>and</w:t>
      </w:r>
      <w:r w:rsidR="003D640C">
        <w:t xml:space="preserve"> </w:t>
      </w:r>
      <w:r w:rsidRPr="00DA2287">
        <w:t>other</w:t>
      </w:r>
      <w:r w:rsidR="003D640C">
        <w:t xml:space="preserve"> </w:t>
      </w:r>
      <w:r w:rsidRPr="00DA2287">
        <w:t>family</w:t>
      </w:r>
      <w:r w:rsidR="003D640C">
        <w:t xml:space="preserve"> </w:t>
      </w:r>
      <w:r w:rsidRPr="00DA2287">
        <w:t>elders</w:t>
      </w:r>
    </w:p>
    <w:p w14:paraId="2FA0CAD8" w14:textId="682AFD0D" w:rsidR="008B0FA9" w:rsidRPr="00DA2287" w:rsidRDefault="008B0FA9" w:rsidP="00323E57">
      <w:pPr>
        <w:pStyle w:val="Bullet"/>
      </w:pPr>
      <w:r w:rsidRPr="00DA2287">
        <w:t>obligations</w:t>
      </w:r>
      <w:r w:rsidR="003D640C">
        <w:t xml:space="preserve"> </w:t>
      </w:r>
      <w:r w:rsidRPr="00DA2287">
        <w:t>to</w:t>
      </w:r>
      <w:r w:rsidR="003D640C">
        <w:t xml:space="preserve"> </w:t>
      </w:r>
      <w:r w:rsidRPr="00DA2287">
        <w:t>uphold</w:t>
      </w:r>
      <w:r w:rsidR="003D640C">
        <w:t xml:space="preserve"> </w:t>
      </w:r>
      <w:r w:rsidRPr="00DA2287">
        <w:t>traditional</w:t>
      </w:r>
      <w:r w:rsidR="003D640C">
        <w:t xml:space="preserve"> </w:t>
      </w:r>
      <w:r w:rsidRPr="00DA2287">
        <w:t>practices</w:t>
      </w:r>
      <w:r w:rsidR="003D640C">
        <w:t xml:space="preserve"> </w:t>
      </w:r>
      <w:r w:rsidRPr="00DA2287">
        <w:t>including</w:t>
      </w:r>
      <w:r w:rsidR="003D640C">
        <w:t xml:space="preserve"> </w:t>
      </w:r>
      <w:r w:rsidRPr="00DA2287">
        <w:t>marriage</w:t>
      </w:r>
      <w:r w:rsidR="003D640C">
        <w:t xml:space="preserve"> </w:t>
      </w:r>
      <w:r w:rsidRPr="00DA2287">
        <w:t>and</w:t>
      </w:r>
      <w:r w:rsidR="003D640C">
        <w:t xml:space="preserve"> </w:t>
      </w:r>
      <w:r w:rsidRPr="00DA2287">
        <w:t>reproduction</w:t>
      </w:r>
      <w:r w:rsidR="003D640C">
        <w:t xml:space="preserve"> </w:t>
      </w:r>
      <w:r w:rsidRPr="00DA2287">
        <w:t>at</w:t>
      </w:r>
      <w:r w:rsidR="003D640C">
        <w:t xml:space="preserve"> </w:t>
      </w:r>
      <w:r w:rsidRPr="00DA2287">
        <w:t>the</w:t>
      </w:r>
      <w:r w:rsidR="003D640C">
        <w:t xml:space="preserve"> </w:t>
      </w:r>
      <w:r w:rsidRPr="00DA2287">
        <w:t>‘appropriate’</w:t>
      </w:r>
      <w:r w:rsidR="003D640C">
        <w:t xml:space="preserve"> </w:t>
      </w:r>
      <w:r w:rsidRPr="00DA2287">
        <w:t>time</w:t>
      </w:r>
      <w:r w:rsidR="003D640C">
        <w:t xml:space="preserve"> </w:t>
      </w:r>
      <w:r w:rsidRPr="00DA2287">
        <w:t>(typically</w:t>
      </w:r>
      <w:r w:rsidR="003D640C">
        <w:t xml:space="preserve"> </w:t>
      </w:r>
      <w:r w:rsidRPr="00DA2287">
        <w:t>age</w:t>
      </w:r>
      <w:r w:rsidR="003D640C">
        <w:t xml:space="preserve"> </w:t>
      </w:r>
      <w:r w:rsidRPr="00DA2287">
        <w:t>23</w:t>
      </w:r>
      <w:r w:rsidR="00AE21BB">
        <w:t>–</w:t>
      </w:r>
      <w:r w:rsidRPr="00DA2287">
        <w:t>27)</w:t>
      </w:r>
      <w:r w:rsidR="003D640C">
        <w:t xml:space="preserve"> </w:t>
      </w:r>
    </w:p>
    <w:p w14:paraId="469282EE" w14:textId="73433D3E" w:rsidR="008B0FA9" w:rsidRPr="00DA2287" w:rsidRDefault="008B0FA9" w:rsidP="00323E57">
      <w:pPr>
        <w:pStyle w:val="Bullet"/>
      </w:pPr>
      <w:r w:rsidRPr="00DA2287">
        <w:t>modest</w:t>
      </w:r>
      <w:r w:rsidR="003D640C">
        <w:t xml:space="preserve"> </w:t>
      </w:r>
      <w:r w:rsidRPr="00DA2287">
        <w:t>dress</w:t>
      </w:r>
      <w:r w:rsidR="003D640C">
        <w:t xml:space="preserve"> </w:t>
      </w:r>
      <w:r w:rsidRPr="00DA2287">
        <w:t>codes</w:t>
      </w:r>
    </w:p>
    <w:p w14:paraId="7DB5C2B8" w14:textId="176D651D" w:rsidR="008B0FA9" w:rsidRPr="00DA2287" w:rsidRDefault="008B0FA9" w:rsidP="00323E57">
      <w:pPr>
        <w:pStyle w:val="Bullet"/>
      </w:pPr>
      <w:r w:rsidRPr="00DA2287">
        <w:t>non-</w:t>
      </w:r>
      <w:r w:rsidR="00331273">
        <w:t>W</w:t>
      </w:r>
      <w:r w:rsidRPr="00DA2287">
        <w:t>estern</w:t>
      </w:r>
      <w:r w:rsidR="003D640C">
        <w:t xml:space="preserve"> </w:t>
      </w:r>
      <w:r w:rsidRPr="00DA2287">
        <w:t>courting</w:t>
      </w:r>
      <w:r w:rsidR="003D640C">
        <w:t xml:space="preserve"> </w:t>
      </w:r>
      <w:r w:rsidRPr="00DA2287">
        <w:t>(dating,</w:t>
      </w:r>
      <w:r w:rsidR="003D640C">
        <w:t xml:space="preserve"> </w:t>
      </w:r>
      <w:r w:rsidRPr="00DA2287">
        <w:t>pre-marital</w:t>
      </w:r>
      <w:r w:rsidR="003D640C">
        <w:t xml:space="preserve"> </w:t>
      </w:r>
      <w:r w:rsidR="002B55A1">
        <w:t>cohabitation</w:t>
      </w:r>
      <w:r w:rsidRPr="00DA2287">
        <w:t>,</w:t>
      </w:r>
      <w:r w:rsidR="003D640C">
        <w:t xml:space="preserve"> </w:t>
      </w:r>
      <w:r w:rsidRPr="00DA2287">
        <w:t>and</w:t>
      </w:r>
      <w:r w:rsidR="003D640C">
        <w:t xml:space="preserve"> </w:t>
      </w:r>
      <w:r w:rsidRPr="00DA2287">
        <w:t>divorce</w:t>
      </w:r>
      <w:r w:rsidR="003D640C">
        <w:t xml:space="preserve"> </w:t>
      </w:r>
      <w:r w:rsidRPr="00DA2287">
        <w:t>are</w:t>
      </w:r>
      <w:r w:rsidR="003D640C">
        <w:t xml:space="preserve"> </w:t>
      </w:r>
      <w:r w:rsidRPr="00DA2287">
        <w:t>not</w:t>
      </w:r>
      <w:r w:rsidR="003D640C">
        <w:t xml:space="preserve"> </w:t>
      </w:r>
      <w:r w:rsidRPr="00DA2287">
        <w:t>acceptable)</w:t>
      </w:r>
    </w:p>
    <w:p w14:paraId="40FBFA04" w14:textId="04C31AAC" w:rsidR="008B0FA9" w:rsidRPr="00DA2287" w:rsidRDefault="008B0FA9" w:rsidP="00323E57">
      <w:pPr>
        <w:pStyle w:val="Bullet"/>
      </w:pPr>
      <w:r w:rsidRPr="00DA2287">
        <w:t>varying</w:t>
      </w:r>
      <w:r w:rsidR="003D640C">
        <w:t xml:space="preserve"> </w:t>
      </w:r>
      <w:r w:rsidRPr="00DA2287">
        <w:t>expectations</w:t>
      </w:r>
      <w:r w:rsidR="003D640C">
        <w:t xml:space="preserve"> </w:t>
      </w:r>
      <w:r w:rsidRPr="00DA2287">
        <w:t>to</w:t>
      </w:r>
      <w:r w:rsidR="003D640C">
        <w:t xml:space="preserve"> </w:t>
      </w:r>
      <w:r w:rsidRPr="00DA2287">
        <w:t>uphold</w:t>
      </w:r>
      <w:r w:rsidR="003D640C">
        <w:t xml:space="preserve"> </w:t>
      </w:r>
      <w:r w:rsidRPr="00DA2287">
        <w:t>and</w:t>
      </w:r>
      <w:r w:rsidR="003D640C">
        <w:t xml:space="preserve"> </w:t>
      </w:r>
      <w:r w:rsidRPr="00DA2287">
        <w:t>honour</w:t>
      </w:r>
      <w:r w:rsidR="003D640C">
        <w:t xml:space="preserve"> </w:t>
      </w:r>
      <w:r w:rsidRPr="00DA2287">
        <w:t>the</w:t>
      </w:r>
      <w:r w:rsidR="003D640C">
        <w:t xml:space="preserve"> </w:t>
      </w:r>
      <w:r w:rsidRPr="00DA2287">
        <w:t>sacrifices</w:t>
      </w:r>
      <w:r w:rsidR="003D640C">
        <w:t xml:space="preserve"> </w:t>
      </w:r>
      <w:r w:rsidRPr="00DA2287">
        <w:t>made</w:t>
      </w:r>
      <w:r w:rsidR="003D640C">
        <w:t xml:space="preserve"> </w:t>
      </w:r>
      <w:r w:rsidRPr="00DA2287">
        <w:t>to</w:t>
      </w:r>
      <w:r w:rsidR="003D640C">
        <w:t xml:space="preserve"> </w:t>
      </w:r>
      <w:r w:rsidRPr="00DA2287">
        <w:t>migrate,</w:t>
      </w:r>
      <w:r w:rsidR="003D640C">
        <w:t xml:space="preserve"> </w:t>
      </w:r>
      <w:r w:rsidRPr="00DA2287">
        <w:t>including</w:t>
      </w:r>
      <w:r w:rsidR="003D640C">
        <w:t xml:space="preserve"> </w:t>
      </w:r>
      <w:r w:rsidRPr="00DA2287">
        <w:t>obligations</w:t>
      </w:r>
      <w:r w:rsidR="003D640C">
        <w:t xml:space="preserve"> </w:t>
      </w:r>
      <w:r w:rsidRPr="00DA2287">
        <w:t>into</w:t>
      </w:r>
      <w:r w:rsidR="003D640C">
        <w:t xml:space="preserve"> </w:t>
      </w:r>
      <w:r w:rsidRPr="00DA2287">
        <w:t>adulthood</w:t>
      </w:r>
      <w:r w:rsidR="003D640C">
        <w:t xml:space="preserve"> </w:t>
      </w:r>
      <w:r w:rsidRPr="00DA2287">
        <w:t>to</w:t>
      </w:r>
      <w:r w:rsidR="003D640C">
        <w:t xml:space="preserve"> </w:t>
      </w:r>
      <w:r w:rsidRPr="00DA2287">
        <w:t>cater</w:t>
      </w:r>
      <w:r w:rsidR="003D640C">
        <w:t xml:space="preserve"> </w:t>
      </w:r>
      <w:r w:rsidRPr="00DA2287">
        <w:t>for</w:t>
      </w:r>
      <w:r w:rsidR="003D640C">
        <w:t xml:space="preserve"> </w:t>
      </w:r>
      <w:r w:rsidRPr="00DA2287">
        <w:t>parents</w:t>
      </w:r>
      <w:r w:rsidR="003D640C">
        <w:t xml:space="preserve"> </w:t>
      </w:r>
      <w:r w:rsidRPr="00DA2287">
        <w:t>through</w:t>
      </w:r>
      <w:r w:rsidR="003D640C">
        <w:t xml:space="preserve"> </w:t>
      </w:r>
      <w:r w:rsidRPr="00DA2287">
        <w:t>financial</w:t>
      </w:r>
      <w:r w:rsidR="003D640C">
        <w:t xml:space="preserve"> </w:t>
      </w:r>
      <w:r w:rsidRPr="00DA2287">
        <w:t>and</w:t>
      </w:r>
      <w:r w:rsidR="003D640C">
        <w:t xml:space="preserve"> </w:t>
      </w:r>
      <w:r w:rsidRPr="00DA2287">
        <w:t>other</w:t>
      </w:r>
      <w:r w:rsidR="003D640C">
        <w:t xml:space="preserve"> </w:t>
      </w:r>
      <w:r w:rsidRPr="00DA2287">
        <w:t>means</w:t>
      </w:r>
      <w:r w:rsidR="00AE21BB">
        <w:t>.</w:t>
      </w:r>
      <w:r w:rsidR="003D640C">
        <w:t xml:space="preserve"> </w:t>
      </w:r>
    </w:p>
    <w:p w14:paraId="19EB88BD" w14:textId="732D6991" w:rsidR="008B0FA9" w:rsidRPr="00DA2287" w:rsidRDefault="007501B5" w:rsidP="00323E57">
      <w:r w:rsidRPr="00DA2287">
        <w:t>Such</w:t>
      </w:r>
      <w:r w:rsidR="003D640C">
        <w:t xml:space="preserve"> </w:t>
      </w:r>
      <w:r w:rsidRPr="00DA2287">
        <w:t>values</w:t>
      </w:r>
      <w:r w:rsidR="003D640C">
        <w:t xml:space="preserve"> </w:t>
      </w:r>
      <w:r w:rsidRPr="00DA2287">
        <w:t>and</w:t>
      </w:r>
      <w:r w:rsidR="003D640C">
        <w:t xml:space="preserve"> </w:t>
      </w:r>
      <w:r w:rsidRPr="00DA2287">
        <w:t>beliefs</w:t>
      </w:r>
      <w:r w:rsidR="003D640C">
        <w:t xml:space="preserve"> </w:t>
      </w:r>
      <w:r w:rsidR="008B0FA9" w:rsidRPr="00DA2287">
        <w:t>are</w:t>
      </w:r>
      <w:r w:rsidR="003D640C">
        <w:t xml:space="preserve"> </w:t>
      </w:r>
      <w:r w:rsidR="008B0FA9" w:rsidRPr="00DA2287">
        <w:t>passed</w:t>
      </w:r>
      <w:r w:rsidR="003D640C">
        <w:t xml:space="preserve"> </w:t>
      </w:r>
      <w:r w:rsidR="008B0FA9" w:rsidRPr="00DA2287">
        <w:t>through</w:t>
      </w:r>
      <w:r w:rsidR="003D640C">
        <w:t xml:space="preserve"> </w:t>
      </w:r>
      <w:r w:rsidR="008B0FA9" w:rsidRPr="00DA2287">
        <w:t>generations</w:t>
      </w:r>
      <w:r w:rsidR="003D640C">
        <w:t xml:space="preserve"> </w:t>
      </w:r>
      <w:r w:rsidR="008B0FA9" w:rsidRPr="00DA2287">
        <w:t>and</w:t>
      </w:r>
      <w:r w:rsidR="003D640C">
        <w:t xml:space="preserve"> </w:t>
      </w:r>
      <w:r w:rsidRPr="00DA2287">
        <w:t>are</w:t>
      </w:r>
      <w:r w:rsidR="003D640C">
        <w:t xml:space="preserve"> </w:t>
      </w:r>
      <w:r w:rsidR="008B0FA9" w:rsidRPr="00DA2287">
        <w:t>influenced</w:t>
      </w:r>
      <w:r w:rsidR="003D640C">
        <w:t xml:space="preserve"> </w:t>
      </w:r>
      <w:r w:rsidR="008B0FA9" w:rsidRPr="00DA2287">
        <w:t>by</w:t>
      </w:r>
      <w:r w:rsidR="003D640C">
        <w:t xml:space="preserve"> </w:t>
      </w:r>
      <w:r w:rsidR="008B0FA9" w:rsidRPr="00DA2287">
        <w:t>tradition,</w:t>
      </w:r>
      <w:r w:rsidR="003D640C">
        <w:t xml:space="preserve"> </w:t>
      </w:r>
      <w:r w:rsidR="008B0FA9" w:rsidRPr="00DA2287">
        <w:t>religion,</w:t>
      </w:r>
      <w:r w:rsidR="003D640C">
        <w:t xml:space="preserve"> </w:t>
      </w:r>
      <w:r w:rsidR="008B0FA9" w:rsidRPr="00DA2287">
        <w:t>and</w:t>
      </w:r>
      <w:r w:rsidR="003D640C">
        <w:t xml:space="preserve"> </w:t>
      </w:r>
      <w:r w:rsidR="008B0FA9" w:rsidRPr="00DA2287">
        <w:t>colonisation.</w:t>
      </w:r>
      <w:r w:rsidR="003D640C">
        <w:t xml:space="preserve"> </w:t>
      </w:r>
    </w:p>
    <w:p w14:paraId="3C1A4AC3" w14:textId="2F198EC2" w:rsidR="00270E5F" w:rsidRPr="00DA2287" w:rsidRDefault="00270E5F" w:rsidP="002C6363">
      <w:pPr>
        <w:pStyle w:val="Heading3"/>
      </w:pPr>
      <w:bookmarkStart w:id="282" w:name="_Toc167780619"/>
      <w:bookmarkStart w:id="283" w:name="_Toc2104163350"/>
      <w:bookmarkStart w:id="284" w:name="_Toc174628679"/>
      <w:r w:rsidRPr="00DA2287">
        <w:lastRenderedPageBreak/>
        <w:t>Rainbow</w:t>
      </w:r>
      <w:r w:rsidR="003D640C">
        <w:t xml:space="preserve"> </w:t>
      </w:r>
      <w:r w:rsidR="0026573F" w:rsidRPr="00DA2287">
        <w:t>c</w:t>
      </w:r>
      <w:r w:rsidRPr="00DA2287">
        <w:t>ommunities</w:t>
      </w:r>
      <w:r w:rsidR="003D640C">
        <w:t xml:space="preserve"> </w:t>
      </w:r>
      <w:r w:rsidRPr="00DA2287">
        <w:t>as</w:t>
      </w:r>
      <w:r w:rsidR="003D640C">
        <w:t xml:space="preserve"> </w:t>
      </w:r>
      <w:r w:rsidRPr="00DA2287">
        <w:t>Pākehā</w:t>
      </w:r>
      <w:r w:rsidR="0026573F" w:rsidRPr="00DA2287">
        <w:t>-</w:t>
      </w:r>
      <w:r w:rsidRPr="00DA2287">
        <w:t>dominated</w:t>
      </w:r>
      <w:bookmarkEnd w:id="282"/>
      <w:bookmarkEnd w:id="283"/>
      <w:bookmarkEnd w:id="284"/>
    </w:p>
    <w:p w14:paraId="126DF6A3" w14:textId="52513968" w:rsidR="00656B34" w:rsidRPr="00DA2287" w:rsidRDefault="00656B34" w:rsidP="00323E57">
      <w:r w:rsidRPr="0874A83D">
        <w:t>The</w:t>
      </w:r>
      <w:r w:rsidR="003D640C">
        <w:t xml:space="preserve"> </w:t>
      </w:r>
      <w:r w:rsidR="005F7C4F" w:rsidRPr="0874A83D">
        <w:t>sense</w:t>
      </w:r>
      <w:r w:rsidR="003D640C">
        <w:t xml:space="preserve"> </w:t>
      </w:r>
      <w:r w:rsidR="005F7C4F" w:rsidRPr="0874A83D">
        <w:t>that</w:t>
      </w:r>
      <w:r w:rsidR="003D640C">
        <w:t xml:space="preserve"> </w:t>
      </w:r>
      <w:r w:rsidR="005F7C4F" w:rsidRPr="0874A83D">
        <w:t>Rainbow</w:t>
      </w:r>
      <w:r w:rsidR="003D640C">
        <w:t xml:space="preserve"> </w:t>
      </w:r>
      <w:r w:rsidR="005F7C4F" w:rsidRPr="0874A83D">
        <w:t>communities</w:t>
      </w:r>
      <w:r w:rsidR="003D640C">
        <w:t xml:space="preserve"> </w:t>
      </w:r>
      <w:r w:rsidR="005F7C4F" w:rsidRPr="0874A83D">
        <w:t>are</w:t>
      </w:r>
      <w:r w:rsidR="003D640C">
        <w:t xml:space="preserve"> </w:t>
      </w:r>
      <w:r w:rsidR="005F7C4F" w:rsidRPr="0874A83D">
        <w:t>not</w:t>
      </w:r>
      <w:r w:rsidR="003D640C">
        <w:t xml:space="preserve"> </w:t>
      </w:r>
      <w:r w:rsidR="005F7C4F" w:rsidRPr="0874A83D">
        <w:t>inclusive</w:t>
      </w:r>
      <w:r w:rsidR="003D640C">
        <w:t xml:space="preserve"> </w:t>
      </w:r>
      <w:r w:rsidR="005F7C4F" w:rsidRPr="0874A83D">
        <w:t>of</w:t>
      </w:r>
      <w:r w:rsidR="003D640C">
        <w:t xml:space="preserve"> </w:t>
      </w:r>
      <w:r w:rsidR="005F7C4F" w:rsidRPr="0874A83D">
        <w:t>minority</w:t>
      </w:r>
      <w:r w:rsidR="003D640C">
        <w:t xml:space="preserve"> </w:t>
      </w:r>
      <w:r w:rsidR="005F7C4F" w:rsidRPr="0874A83D">
        <w:t>ethnic</w:t>
      </w:r>
      <w:r w:rsidR="003D640C">
        <w:t xml:space="preserve"> </w:t>
      </w:r>
      <w:r w:rsidR="005F7C4F" w:rsidRPr="0874A83D">
        <w:t>communi</w:t>
      </w:r>
      <w:r w:rsidR="3E4D0135" w:rsidRPr="0874A83D">
        <w:t>ties</w:t>
      </w:r>
      <w:r w:rsidR="003D640C">
        <w:t xml:space="preserve"> </w:t>
      </w:r>
      <w:r w:rsidR="00377A2A">
        <w:t>may</w:t>
      </w:r>
      <w:r w:rsidR="003D640C">
        <w:t xml:space="preserve"> </w:t>
      </w:r>
      <w:r w:rsidR="00374BE8">
        <w:t>add</w:t>
      </w:r>
      <w:r w:rsidR="003D640C">
        <w:t xml:space="preserve"> </w:t>
      </w:r>
      <w:r w:rsidR="00374BE8">
        <w:t>an</w:t>
      </w:r>
      <w:r w:rsidR="003D640C">
        <w:t xml:space="preserve"> </w:t>
      </w:r>
      <w:r w:rsidR="00374BE8">
        <w:t>additional</w:t>
      </w:r>
      <w:r w:rsidR="003D640C">
        <w:t xml:space="preserve"> </w:t>
      </w:r>
      <w:r w:rsidR="00374BE8">
        <w:t>barrier</w:t>
      </w:r>
      <w:r w:rsidR="003D640C">
        <w:t xml:space="preserve"> </w:t>
      </w:r>
      <w:r w:rsidR="00374BE8">
        <w:t>to</w:t>
      </w:r>
      <w:r w:rsidR="003D640C">
        <w:t xml:space="preserve"> </w:t>
      </w:r>
      <w:r w:rsidR="0011019A" w:rsidRPr="0874A83D">
        <w:t>members</w:t>
      </w:r>
      <w:r w:rsidR="003D640C">
        <w:t xml:space="preserve"> </w:t>
      </w:r>
      <w:r w:rsidR="0011019A" w:rsidRPr="0874A83D">
        <w:t>of</w:t>
      </w:r>
      <w:r w:rsidR="003D640C">
        <w:t xml:space="preserve"> </w:t>
      </w:r>
      <w:r w:rsidR="0011019A" w:rsidRPr="0874A83D">
        <w:t>minoritised</w:t>
      </w:r>
      <w:r w:rsidR="003D640C">
        <w:t xml:space="preserve"> </w:t>
      </w:r>
      <w:r w:rsidR="003C01D3" w:rsidRPr="0874A83D">
        <w:t>ethnic</w:t>
      </w:r>
      <w:r w:rsidR="003D640C">
        <w:t xml:space="preserve"> </w:t>
      </w:r>
      <w:r w:rsidR="0011019A" w:rsidRPr="0874A83D">
        <w:t>communities</w:t>
      </w:r>
      <w:r w:rsidR="003D640C">
        <w:t xml:space="preserve"> </w:t>
      </w:r>
      <w:r w:rsidR="00B27C1D">
        <w:t>experiencing</w:t>
      </w:r>
      <w:r w:rsidR="003D640C">
        <w:t xml:space="preserve"> </w:t>
      </w:r>
      <w:r w:rsidR="00B27C1D">
        <w:t>conversion</w:t>
      </w:r>
      <w:r w:rsidR="003D640C">
        <w:t xml:space="preserve"> </w:t>
      </w:r>
      <w:r w:rsidR="00B27C1D">
        <w:t>practices</w:t>
      </w:r>
      <w:r w:rsidR="003D640C">
        <w:t xml:space="preserve"> </w:t>
      </w:r>
      <w:r w:rsidR="001766C1">
        <w:t>who</w:t>
      </w:r>
      <w:r w:rsidR="003D640C">
        <w:t xml:space="preserve"> </w:t>
      </w:r>
      <w:r w:rsidR="00374BE8">
        <w:t>may</w:t>
      </w:r>
      <w:r w:rsidR="003D640C">
        <w:t xml:space="preserve"> </w:t>
      </w:r>
      <w:r w:rsidR="001766C1">
        <w:t>lack</w:t>
      </w:r>
      <w:r w:rsidR="003D640C">
        <w:t xml:space="preserve"> </w:t>
      </w:r>
      <w:r w:rsidR="001766C1">
        <w:t>alternative</w:t>
      </w:r>
      <w:r w:rsidR="003D640C">
        <w:t xml:space="preserve"> </w:t>
      </w:r>
      <w:r w:rsidR="001766C1">
        <w:t>social</w:t>
      </w:r>
      <w:r w:rsidR="003D640C">
        <w:t xml:space="preserve"> </w:t>
      </w:r>
      <w:r w:rsidR="001766C1">
        <w:t>support</w:t>
      </w:r>
      <w:r w:rsidR="003D640C">
        <w:t xml:space="preserve"> </w:t>
      </w:r>
      <w:r w:rsidR="001766C1">
        <w:t>networks</w:t>
      </w:r>
      <w:r w:rsidR="003D640C">
        <w:t xml:space="preserve"> </w:t>
      </w:r>
      <w:r w:rsidR="001766C1">
        <w:t>that</w:t>
      </w:r>
      <w:r w:rsidR="003D640C">
        <w:t xml:space="preserve"> </w:t>
      </w:r>
      <w:r w:rsidR="001766C1">
        <w:t>are</w:t>
      </w:r>
      <w:r w:rsidR="003D640C">
        <w:t xml:space="preserve"> </w:t>
      </w:r>
      <w:r w:rsidR="001766C1">
        <w:t>Rainbow</w:t>
      </w:r>
      <w:r w:rsidR="003D640C">
        <w:t xml:space="preserve"> </w:t>
      </w:r>
      <w:r w:rsidR="001766C1">
        <w:t>affirming.</w:t>
      </w:r>
    </w:p>
    <w:p w14:paraId="57B2EDEF" w14:textId="55E9D61F" w:rsidR="00270E5F" w:rsidRPr="00DA2287" w:rsidRDefault="00270E5F" w:rsidP="00323E57">
      <w:pPr>
        <w:rPr>
          <w:rFonts w:cstheme="minorHAnsi"/>
        </w:rPr>
      </w:pPr>
      <w:r w:rsidRPr="00DA2287">
        <w:rPr>
          <w:rFonts w:cstheme="minorHAnsi"/>
        </w:rPr>
        <w:t>A</w:t>
      </w:r>
      <w:r w:rsidR="003D640C">
        <w:rPr>
          <w:rFonts w:cstheme="minorHAnsi"/>
        </w:rPr>
        <w:t xml:space="preserve"> </w:t>
      </w:r>
      <w:r w:rsidRPr="00DA2287">
        <w:rPr>
          <w:rFonts w:cstheme="minorHAnsi"/>
        </w:rPr>
        <w:t>recurring</w:t>
      </w:r>
      <w:r w:rsidR="003D640C">
        <w:rPr>
          <w:rFonts w:cstheme="minorHAnsi"/>
        </w:rPr>
        <w:t xml:space="preserve"> </w:t>
      </w:r>
      <w:r w:rsidRPr="00DA2287">
        <w:rPr>
          <w:rFonts w:cstheme="minorHAnsi"/>
        </w:rPr>
        <w:t>theme</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our</w:t>
      </w:r>
      <w:r w:rsidR="003D640C">
        <w:rPr>
          <w:rFonts w:cstheme="minorHAnsi"/>
        </w:rPr>
        <w:t xml:space="preserve"> </w:t>
      </w:r>
      <w:r w:rsidRPr="00DA2287">
        <w:rPr>
          <w:rFonts w:cstheme="minorHAnsi"/>
        </w:rPr>
        <w:t>engagement,</w:t>
      </w:r>
      <w:r w:rsidR="003D640C">
        <w:rPr>
          <w:rFonts w:cstheme="minorHAnsi"/>
        </w:rPr>
        <w:t xml:space="preserve"> </w:t>
      </w:r>
      <w:r w:rsidR="00144864">
        <w:rPr>
          <w:rFonts w:cstheme="minorHAnsi"/>
        </w:rPr>
        <w:t>as</w:t>
      </w:r>
      <w:r w:rsidR="003D640C">
        <w:rPr>
          <w:rFonts w:cstheme="minorHAnsi"/>
        </w:rPr>
        <w:t xml:space="preserve"> </w:t>
      </w:r>
      <w:r w:rsidR="00144864">
        <w:rPr>
          <w:rFonts w:cstheme="minorHAnsi"/>
        </w:rPr>
        <w:t>well</w:t>
      </w:r>
      <w:r w:rsidR="003D640C">
        <w:rPr>
          <w:rFonts w:cstheme="minorHAnsi"/>
        </w:rPr>
        <w:t xml:space="preserve"> </w:t>
      </w:r>
      <w:r w:rsidR="00144864">
        <w:rPr>
          <w:rFonts w:cstheme="minorHAnsi"/>
        </w:rPr>
        <w:t>as</w:t>
      </w:r>
      <w:r w:rsidR="003D640C">
        <w:rPr>
          <w:rFonts w:cstheme="minorHAnsi"/>
        </w:rPr>
        <w:t xml:space="preserve"> </w:t>
      </w:r>
      <w:r w:rsidR="00AE21BB">
        <w:rPr>
          <w:rFonts w:cstheme="minorHAnsi"/>
        </w:rPr>
        <w:t xml:space="preserve">in </w:t>
      </w:r>
      <w:r w:rsidRPr="00DA2287">
        <w:rPr>
          <w:rFonts w:cstheme="minorHAnsi"/>
        </w:rPr>
        <w:t>the</w:t>
      </w:r>
      <w:r w:rsidR="003D640C">
        <w:rPr>
          <w:rFonts w:cstheme="minorHAnsi"/>
        </w:rPr>
        <w:t xml:space="preserve"> </w:t>
      </w:r>
      <w:r w:rsidRPr="00DA2287">
        <w:rPr>
          <w:rFonts w:cstheme="minorHAnsi"/>
        </w:rPr>
        <w:t>available</w:t>
      </w:r>
      <w:r w:rsidR="003D640C">
        <w:rPr>
          <w:rFonts w:cstheme="minorHAnsi"/>
        </w:rPr>
        <w:t xml:space="preserve"> </w:t>
      </w:r>
      <w:r w:rsidRPr="00DA2287">
        <w:rPr>
          <w:rFonts w:cstheme="minorHAnsi"/>
        </w:rPr>
        <w:t>published</w:t>
      </w:r>
      <w:r w:rsidR="003D640C">
        <w:rPr>
          <w:rFonts w:cstheme="minorHAnsi"/>
        </w:rPr>
        <w:t xml:space="preserve"> </w:t>
      </w:r>
      <w:r w:rsidRPr="00DA2287">
        <w:rPr>
          <w:rFonts w:cstheme="minorHAnsi"/>
        </w:rPr>
        <w:t>research,</w:t>
      </w:r>
      <w:r w:rsidR="003D640C">
        <w:rPr>
          <w:rFonts w:cstheme="minorHAnsi"/>
        </w:rPr>
        <w:t xml:space="preserve"> </w:t>
      </w:r>
      <w:r w:rsidRPr="00DA2287">
        <w:rPr>
          <w:rFonts w:cstheme="minorHAnsi"/>
        </w:rPr>
        <w:t>is</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experience</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ethnic</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people</w:t>
      </w:r>
      <w:r w:rsidR="003D640C">
        <w:rPr>
          <w:rFonts w:cstheme="minorHAnsi"/>
        </w:rPr>
        <w:t xml:space="preserve"> </w:t>
      </w:r>
      <w:r w:rsidRPr="00DA2287">
        <w:rPr>
          <w:rFonts w:cstheme="minorHAnsi"/>
        </w:rPr>
        <w:t>being</w:t>
      </w:r>
      <w:r w:rsidR="003D640C">
        <w:rPr>
          <w:rFonts w:cstheme="minorHAnsi"/>
        </w:rPr>
        <w:t xml:space="preserve"> </w:t>
      </w:r>
      <w:r w:rsidRPr="00DA2287">
        <w:rPr>
          <w:rFonts w:cstheme="minorHAnsi"/>
        </w:rPr>
        <w:t>invisible</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feeling</w:t>
      </w:r>
      <w:r w:rsidR="003D640C">
        <w:rPr>
          <w:rFonts w:cstheme="minorHAnsi"/>
        </w:rPr>
        <w:t xml:space="preserve"> </w:t>
      </w:r>
      <w:r w:rsidRPr="00DA2287">
        <w:rPr>
          <w:rFonts w:cstheme="minorHAnsi"/>
        </w:rPr>
        <w:t>excluded</w:t>
      </w:r>
      <w:r w:rsidR="003D640C">
        <w:rPr>
          <w:rFonts w:cstheme="minorHAnsi"/>
        </w:rPr>
        <w:t xml:space="preserve"> </w:t>
      </w:r>
      <w:r w:rsidRPr="00DA2287">
        <w:rPr>
          <w:rFonts w:cstheme="minorHAnsi"/>
        </w:rPr>
        <w:t>from</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spaces,</w:t>
      </w:r>
      <w:r w:rsidR="003D640C">
        <w:rPr>
          <w:rFonts w:cstheme="minorHAnsi"/>
        </w:rPr>
        <w:t xml:space="preserve"> </w:t>
      </w:r>
      <w:r w:rsidRPr="00DA2287">
        <w:rPr>
          <w:rFonts w:cstheme="minorHAnsi"/>
        </w:rPr>
        <w:t>which</w:t>
      </w:r>
      <w:r w:rsidR="003D640C">
        <w:rPr>
          <w:rFonts w:cstheme="minorHAnsi"/>
        </w:rPr>
        <w:t xml:space="preserve"> </w:t>
      </w:r>
      <w:r w:rsidRPr="00DA2287">
        <w:rPr>
          <w:rFonts w:cstheme="minorHAnsi"/>
        </w:rPr>
        <w:t>are</w:t>
      </w:r>
      <w:r w:rsidR="003D640C">
        <w:rPr>
          <w:rFonts w:cstheme="minorHAnsi"/>
        </w:rPr>
        <w:t xml:space="preserve"> </w:t>
      </w:r>
      <w:r w:rsidRPr="00DA2287">
        <w:rPr>
          <w:rFonts w:cstheme="minorHAnsi"/>
        </w:rPr>
        <w:t>often</w:t>
      </w:r>
      <w:r w:rsidR="003D640C">
        <w:rPr>
          <w:rFonts w:cstheme="minorHAnsi"/>
        </w:rPr>
        <w:t xml:space="preserve"> </w:t>
      </w:r>
      <w:r w:rsidRPr="00DA2287">
        <w:rPr>
          <w:rFonts w:cstheme="minorHAnsi"/>
        </w:rPr>
        <w:t>experienced</w:t>
      </w:r>
      <w:r w:rsidR="003D640C">
        <w:rPr>
          <w:rFonts w:cstheme="minorHAnsi"/>
        </w:rPr>
        <w:t xml:space="preserve"> </w:t>
      </w:r>
      <w:r w:rsidRPr="00DA2287">
        <w:rPr>
          <w:rFonts w:cstheme="minorHAnsi"/>
        </w:rPr>
        <w:t>as</w:t>
      </w:r>
      <w:r w:rsidR="003D640C">
        <w:rPr>
          <w:rFonts w:cstheme="minorHAnsi"/>
        </w:rPr>
        <w:t xml:space="preserve"> </w:t>
      </w:r>
      <w:r w:rsidRPr="00DA2287">
        <w:rPr>
          <w:rFonts w:cstheme="minorHAnsi"/>
        </w:rPr>
        <w:t>predominantly</w:t>
      </w:r>
      <w:r w:rsidR="003D640C">
        <w:rPr>
          <w:rFonts w:cstheme="minorHAnsi"/>
        </w:rPr>
        <w:t xml:space="preserve"> </w:t>
      </w:r>
      <w:r w:rsidRPr="00DA2287">
        <w:rPr>
          <w:rFonts w:cstheme="minorHAnsi"/>
        </w:rPr>
        <w:t>Pākehā</w:t>
      </w:r>
      <w:r w:rsidR="003D640C">
        <w:rPr>
          <w:rFonts w:cstheme="minorHAnsi"/>
        </w:rPr>
        <w:t xml:space="preserve"> </w:t>
      </w:r>
      <w:r w:rsidRPr="00DA2287">
        <w:rPr>
          <w:rFonts w:cstheme="minorHAnsi"/>
        </w:rPr>
        <w:t>spaces.</w:t>
      </w:r>
      <w:r w:rsidRPr="00DA2287" w:rsidDel="008E1CCA">
        <w:rPr>
          <w:rFonts w:cstheme="minorHAnsi"/>
        </w:rPr>
        <w:t xml:space="preserve"> </w:t>
      </w:r>
      <w:r w:rsidRPr="00DA2287">
        <w:rPr>
          <w:rFonts w:cstheme="minorHAnsi"/>
        </w:rPr>
        <w:t>A</w:t>
      </w:r>
      <w:r w:rsidR="003D640C">
        <w:rPr>
          <w:rFonts w:cstheme="minorHAnsi"/>
        </w:rPr>
        <w:t xml:space="preserve"> </w:t>
      </w:r>
      <w:r w:rsidRPr="00DA2287">
        <w:rPr>
          <w:rFonts w:cstheme="minorHAnsi"/>
        </w:rPr>
        <w:t>2023</w:t>
      </w:r>
      <w:r w:rsidR="003D640C">
        <w:rPr>
          <w:rFonts w:cstheme="minorHAnsi"/>
        </w:rPr>
        <w:t xml:space="preserve"> </w:t>
      </w:r>
      <w:r w:rsidRPr="00DA2287">
        <w:rPr>
          <w:rFonts w:cstheme="minorHAnsi"/>
        </w:rPr>
        <w:t>study</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experience</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Asian</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youth</w:t>
      </w:r>
      <w:r w:rsidR="003D640C">
        <w:rPr>
          <w:rFonts w:cstheme="minorHAnsi"/>
        </w:rPr>
        <w:t xml:space="preserve"> </w:t>
      </w:r>
      <w:r w:rsidRPr="00DA2287">
        <w:rPr>
          <w:rFonts w:cstheme="minorHAnsi"/>
        </w:rPr>
        <w:t>captures</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way</w:t>
      </w:r>
      <w:r w:rsidR="003D640C">
        <w:rPr>
          <w:rFonts w:cstheme="minorHAnsi"/>
        </w:rPr>
        <w:t xml:space="preserve"> </w:t>
      </w:r>
      <w:r w:rsidRPr="00DA2287">
        <w:rPr>
          <w:rFonts w:cstheme="minorHAnsi"/>
        </w:rPr>
        <w:t>young</w:t>
      </w:r>
      <w:r w:rsidR="003D640C">
        <w:rPr>
          <w:rFonts w:cstheme="minorHAnsi"/>
        </w:rPr>
        <w:t xml:space="preserve"> </w:t>
      </w:r>
      <w:r w:rsidRPr="00DA2287">
        <w:rPr>
          <w:rFonts w:cstheme="minorHAnsi"/>
        </w:rPr>
        <w:t>people</w:t>
      </w:r>
      <w:r w:rsidR="003D640C">
        <w:rPr>
          <w:rFonts w:cstheme="minorHAnsi"/>
        </w:rPr>
        <w:t xml:space="preserve"> </w:t>
      </w:r>
      <w:r w:rsidRPr="00DA2287">
        <w:rPr>
          <w:rFonts w:cstheme="minorHAnsi"/>
        </w:rPr>
        <w:t>experienced</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community</w:t>
      </w:r>
      <w:r w:rsidR="003D640C">
        <w:rPr>
          <w:rFonts w:cstheme="minorHAnsi"/>
        </w:rPr>
        <w:t xml:space="preserve"> </w:t>
      </w:r>
      <w:r w:rsidRPr="00DA2287">
        <w:rPr>
          <w:rFonts w:cstheme="minorHAnsi"/>
        </w:rPr>
        <w:t>spaces</w:t>
      </w:r>
      <w:r w:rsidR="003D640C">
        <w:rPr>
          <w:rFonts w:cstheme="minorHAnsi"/>
        </w:rPr>
        <w:t xml:space="preserve"> </w:t>
      </w:r>
      <w:r w:rsidRPr="00DA2287">
        <w:rPr>
          <w:rFonts w:cstheme="minorHAnsi"/>
        </w:rPr>
        <w:t>as</w:t>
      </w:r>
      <w:r w:rsidR="003D640C">
        <w:rPr>
          <w:rFonts w:cstheme="minorHAnsi"/>
        </w:rPr>
        <w:t xml:space="preserve"> </w:t>
      </w:r>
      <w:r w:rsidRPr="00DA2287">
        <w:rPr>
          <w:rFonts w:cstheme="minorHAnsi"/>
        </w:rPr>
        <w:t>‘white’</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not</w:t>
      </w:r>
      <w:r w:rsidR="003D640C">
        <w:rPr>
          <w:rFonts w:cstheme="minorHAnsi"/>
        </w:rPr>
        <w:t xml:space="preserve"> </w:t>
      </w:r>
      <w:r w:rsidRPr="00DA2287">
        <w:rPr>
          <w:rFonts w:cstheme="minorHAnsi"/>
        </w:rPr>
        <w:t>spaces</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which</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Chinese</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youth</w:t>
      </w:r>
      <w:r w:rsidR="003D640C">
        <w:rPr>
          <w:rFonts w:cstheme="minorHAnsi"/>
        </w:rPr>
        <w:t xml:space="preserve"> </w:t>
      </w:r>
      <w:r w:rsidRPr="00DA2287">
        <w:rPr>
          <w:rFonts w:cstheme="minorHAnsi"/>
        </w:rPr>
        <w:t>quoted</w:t>
      </w:r>
      <w:r w:rsidR="003D640C">
        <w:rPr>
          <w:rFonts w:cstheme="minorHAnsi"/>
        </w:rPr>
        <w:t xml:space="preserve"> </w:t>
      </w:r>
      <w:r w:rsidRPr="00DA2287">
        <w:rPr>
          <w:rFonts w:cstheme="minorHAnsi"/>
        </w:rPr>
        <w:t>could</w:t>
      </w:r>
      <w:r w:rsidR="003D640C">
        <w:rPr>
          <w:rFonts w:cstheme="minorHAnsi"/>
        </w:rPr>
        <w:t xml:space="preserve"> </w:t>
      </w:r>
      <w:r w:rsidRPr="00DA2287">
        <w:rPr>
          <w:rFonts w:cstheme="minorHAnsi"/>
        </w:rPr>
        <w:t>be</w:t>
      </w:r>
      <w:r w:rsidR="003D640C">
        <w:rPr>
          <w:rFonts w:cstheme="minorHAnsi"/>
        </w:rPr>
        <w:t xml:space="preserve"> </w:t>
      </w:r>
      <w:r w:rsidRPr="00DA2287">
        <w:rPr>
          <w:rFonts w:cstheme="minorHAnsi"/>
        </w:rPr>
        <w:t>themselves</w:t>
      </w:r>
      <w:r w:rsidR="00AE21BB">
        <w:rPr>
          <w:rFonts w:cstheme="minorHAnsi"/>
        </w:rPr>
        <w:t>.</w:t>
      </w:r>
    </w:p>
    <w:p w14:paraId="065ED487" w14:textId="6D66DFE0" w:rsidR="00270E5F" w:rsidRPr="00DA2287" w:rsidRDefault="00AE21BB" w:rsidP="00323E57">
      <w:pPr>
        <w:pStyle w:val="Quote"/>
      </w:pPr>
      <w:r>
        <w:t>“</w:t>
      </w:r>
      <w:r w:rsidR="00270E5F" w:rsidRPr="00DA2287">
        <w:t>The</w:t>
      </w:r>
      <w:r w:rsidR="003D640C">
        <w:t xml:space="preserve"> </w:t>
      </w:r>
      <w:r w:rsidR="00270E5F" w:rsidRPr="00DA2287">
        <w:t>[Rainbow</w:t>
      </w:r>
      <w:r w:rsidR="003D640C">
        <w:t xml:space="preserve"> </w:t>
      </w:r>
      <w:r w:rsidR="00270E5F" w:rsidRPr="00DA2287">
        <w:t>space]</w:t>
      </w:r>
      <w:r w:rsidR="003D640C">
        <w:t xml:space="preserve"> </w:t>
      </w:r>
      <w:r w:rsidR="00270E5F" w:rsidRPr="00DA2287">
        <w:t>is</w:t>
      </w:r>
      <w:r w:rsidR="003D640C">
        <w:t xml:space="preserve"> </w:t>
      </w:r>
      <w:r w:rsidR="00270E5F" w:rsidRPr="00DA2287">
        <w:t>still</w:t>
      </w:r>
      <w:r w:rsidR="003D640C">
        <w:t xml:space="preserve"> </w:t>
      </w:r>
      <w:r w:rsidR="00270E5F" w:rsidRPr="00DA2287">
        <w:t>predominantly</w:t>
      </w:r>
      <w:r w:rsidR="003D640C">
        <w:t xml:space="preserve"> </w:t>
      </w:r>
      <w:r w:rsidR="00270E5F" w:rsidRPr="00DA2287">
        <w:t>cis</w:t>
      </w:r>
      <w:r w:rsidR="00356F1B">
        <w:t>-</w:t>
      </w:r>
      <w:r w:rsidR="003D640C">
        <w:t xml:space="preserve"> </w:t>
      </w:r>
      <w:r w:rsidR="00270E5F" w:rsidRPr="00DA2287">
        <w:t>and</w:t>
      </w:r>
      <w:r w:rsidR="003D640C">
        <w:t xml:space="preserve"> </w:t>
      </w:r>
      <w:r w:rsidR="00270E5F" w:rsidRPr="00DA2287">
        <w:t>white</w:t>
      </w:r>
      <w:r w:rsidR="00356F1B">
        <w:t>-</w:t>
      </w:r>
      <w:r w:rsidR="00270E5F" w:rsidRPr="00DA2287">
        <w:t>dominated</w:t>
      </w:r>
      <w:r w:rsidR="003D640C">
        <w:t xml:space="preserve"> </w:t>
      </w:r>
      <w:r w:rsidR="00270E5F" w:rsidRPr="00DA2287">
        <w:t>for</w:t>
      </w:r>
      <w:r w:rsidR="003D640C">
        <w:t xml:space="preserve"> </w:t>
      </w:r>
      <w:r w:rsidR="00270E5F" w:rsidRPr="00DA2287">
        <w:t>me</w:t>
      </w:r>
      <w:r w:rsidR="003D640C">
        <w:t xml:space="preserve"> </w:t>
      </w:r>
      <w:r w:rsidR="00270E5F" w:rsidRPr="00DA2287">
        <w:t>to</w:t>
      </w:r>
      <w:r w:rsidR="003D640C">
        <w:t xml:space="preserve"> </w:t>
      </w:r>
      <w:r w:rsidR="00270E5F" w:rsidRPr="00DA2287">
        <w:t>feel</w:t>
      </w:r>
      <w:r w:rsidR="003D640C">
        <w:t xml:space="preserve"> </w:t>
      </w:r>
      <w:r w:rsidR="00270E5F" w:rsidRPr="00DA2287">
        <w:t>entirely</w:t>
      </w:r>
      <w:r w:rsidR="003D640C">
        <w:t xml:space="preserve"> </w:t>
      </w:r>
      <w:r w:rsidR="00270E5F" w:rsidRPr="00DA2287">
        <w:t>comfortable</w:t>
      </w:r>
      <w:r w:rsidR="003D640C">
        <w:t xml:space="preserve"> </w:t>
      </w:r>
      <w:r w:rsidR="00270E5F" w:rsidRPr="00DA2287">
        <w:t>because</w:t>
      </w:r>
      <w:r w:rsidR="003D640C">
        <w:t xml:space="preserve"> </w:t>
      </w:r>
      <w:r w:rsidR="00270E5F" w:rsidRPr="00DA2287">
        <w:t>currently</w:t>
      </w:r>
      <w:r w:rsidR="003D640C">
        <w:t xml:space="preserve"> </w:t>
      </w:r>
      <w:r w:rsidR="00270E5F" w:rsidRPr="00DA2287">
        <w:t>it</w:t>
      </w:r>
      <w:r w:rsidR="003D640C">
        <w:t xml:space="preserve"> </w:t>
      </w:r>
      <w:r w:rsidR="00270E5F" w:rsidRPr="00DA2287">
        <w:t>doesn’t</w:t>
      </w:r>
      <w:r w:rsidR="003D640C">
        <w:t xml:space="preserve"> </w:t>
      </w:r>
      <w:r w:rsidR="00270E5F" w:rsidRPr="00DA2287">
        <w:t>feel</w:t>
      </w:r>
      <w:r w:rsidR="003D640C">
        <w:t xml:space="preserve"> </w:t>
      </w:r>
      <w:r w:rsidR="00270E5F" w:rsidRPr="00DA2287">
        <w:t>like</w:t>
      </w:r>
      <w:r w:rsidR="003D640C">
        <w:t xml:space="preserve"> </w:t>
      </w:r>
      <w:r w:rsidR="00270E5F" w:rsidRPr="00DA2287">
        <w:t>it’s</w:t>
      </w:r>
      <w:r w:rsidR="003D640C">
        <w:t xml:space="preserve"> </w:t>
      </w:r>
      <w:r w:rsidR="00270E5F" w:rsidRPr="00DA2287">
        <w:t>a</w:t>
      </w:r>
      <w:r w:rsidR="003D640C">
        <w:t xml:space="preserve"> </w:t>
      </w:r>
      <w:r w:rsidR="00270E5F" w:rsidRPr="00DA2287">
        <w:t>space</w:t>
      </w:r>
      <w:r w:rsidR="003D640C">
        <w:t xml:space="preserve"> </w:t>
      </w:r>
      <w:r w:rsidR="00270E5F" w:rsidRPr="00DA2287">
        <w:t>I</w:t>
      </w:r>
      <w:r w:rsidR="003D640C">
        <w:t xml:space="preserve"> </w:t>
      </w:r>
      <w:r w:rsidR="00270E5F" w:rsidRPr="00DA2287">
        <w:t>go</w:t>
      </w:r>
      <w:r w:rsidR="003D640C">
        <w:t xml:space="preserve"> </w:t>
      </w:r>
      <w:r w:rsidR="00270E5F" w:rsidRPr="00DA2287">
        <w:t>to</w:t>
      </w:r>
      <w:r w:rsidR="003D640C">
        <w:t xml:space="preserve"> </w:t>
      </w:r>
      <w:r w:rsidR="00270E5F" w:rsidRPr="00DA2287">
        <w:t>feel</w:t>
      </w:r>
      <w:r w:rsidR="003D640C">
        <w:t xml:space="preserve"> </w:t>
      </w:r>
      <w:r w:rsidR="00270E5F" w:rsidRPr="00DA2287">
        <w:t>represented</w:t>
      </w:r>
      <w:r w:rsidR="003D640C">
        <w:t xml:space="preserve"> </w:t>
      </w:r>
      <w:r w:rsidR="00270E5F" w:rsidRPr="00DA2287">
        <w:t>and</w:t>
      </w:r>
      <w:r w:rsidR="003D640C">
        <w:t xml:space="preserve"> </w:t>
      </w:r>
      <w:r w:rsidR="00270E5F" w:rsidRPr="00DA2287">
        <w:t>loved.</w:t>
      </w:r>
      <w:r>
        <w:t>”</w:t>
      </w:r>
      <w:r w:rsidR="00270E5F" w:rsidRPr="00DA2287">
        <w:rPr>
          <w:rStyle w:val="FootnoteReference"/>
          <w:rFonts w:eastAsia="Open Sans" w:cstheme="minorHAnsi"/>
          <w:color w:val="121317"/>
        </w:rPr>
        <w:footnoteReference w:id="214"/>
      </w:r>
      <w:r w:rsidR="003D640C">
        <w:t xml:space="preserve"> </w:t>
      </w:r>
      <w:r w:rsidR="00BD5A6D" w:rsidRPr="00DA2287">
        <w:t>Chinese,</w:t>
      </w:r>
      <w:r w:rsidR="003D640C">
        <w:t xml:space="preserve"> </w:t>
      </w:r>
      <w:r w:rsidR="00BD5A6D" w:rsidRPr="00DA2287">
        <w:t>Rainbow</w:t>
      </w:r>
    </w:p>
    <w:p w14:paraId="7F0BE554" w14:textId="58F5A9BB" w:rsidR="00270E5F" w:rsidRPr="00DA2287" w:rsidRDefault="00270E5F" w:rsidP="00323E57">
      <w:r w:rsidRPr="00DA2287">
        <w:t>A</w:t>
      </w:r>
      <w:r w:rsidR="003D640C">
        <w:t xml:space="preserve"> </w:t>
      </w:r>
      <w:r w:rsidRPr="00DA2287">
        <w:t>participant</w:t>
      </w:r>
      <w:r w:rsidR="003D640C">
        <w:t xml:space="preserve"> </w:t>
      </w:r>
      <w:r w:rsidRPr="00DA2287">
        <w:t>in</w:t>
      </w:r>
      <w:r w:rsidR="003D640C">
        <w:t xml:space="preserve"> </w:t>
      </w:r>
      <w:r w:rsidRPr="00DA2287">
        <w:t>the</w:t>
      </w:r>
      <w:r w:rsidR="003D640C">
        <w:t xml:space="preserve"> </w:t>
      </w:r>
      <w:r w:rsidR="001E2C2B">
        <w:t xml:space="preserve">2022 </w:t>
      </w:r>
      <w:r w:rsidRPr="00DA2287">
        <w:t>Adhikaar</w:t>
      </w:r>
      <w:r w:rsidR="003D640C">
        <w:t xml:space="preserve"> </w:t>
      </w:r>
      <w:r w:rsidRPr="00DA2287">
        <w:t>study</w:t>
      </w:r>
      <w:r w:rsidR="003D640C" w:rsidDel="001E2C2B">
        <w:t xml:space="preserve"> </w:t>
      </w:r>
      <w:r w:rsidRPr="00DA2287">
        <w:t>echoes</w:t>
      </w:r>
      <w:r w:rsidR="003D640C">
        <w:t xml:space="preserve"> </w:t>
      </w:r>
      <w:r w:rsidRPr="00DA2287">
        <w:t>a</w:t>
      </w:r>
      <w:r w:rsidR="003D640C">
        <w:t xml:space="preserve"> </w:t>
      </w:r>
      <w:r w:rsidRPr="00DA2287">
        <w:t>sentiment</w:t>
      </w:r>
      <w:r w:rsidR="003D640C">
        <w:t xml:space="preserve"> </w:t>
      </w:r>
      <w:r w:rsidRPr="00DA2287">
        <w:t>expressed</w:t>
      </w:r>
      <w:r w:rsidR="003D640C">
        <w:t xml:space="preserve"> </w:t>
      </w:r>
      <w:r w:rsidRPr="00DA2287">
        <w:t>by</w:t>
      </w:r>
      <w:r w:rsidR="003D640C">
        <w:t xml:space="preserve"> </w:t>
      </w:r>
      <w:r w:rsidRPr="00DA2287">
        <w:t>some</w:t>
      </w:r>
      <w:r w:rsidR="003D640C">
        <w:t xml:space="preserve"> </w:t>
      </w:r>
      <w:r w:rsidRPr="00DA2287">
        <w:t>of</w:t>
      </w:r>
      <w:r w:rsidR="003D640C">
        <w:t xml:space="preserve"> </w:t>
      </w:r>
      <w:r w:rsidRPr="00DA2287">
        <w:t>those</w:t>
      </w:r>
      <w:r w:rsidR="003D640C">
        <w:t xml:space="preserve"> </w:t>
      </w:r>
      <w:r w:rsidRPr="00DA2287">
        <w:t>we</w:t>
      </w:r>
      <w:r w:rsidR="003D640C">
        <w:t xml:space="preserve"> </w:t>
      </w:r>
      <w:r w:rsidRPr="00DA2287">
        <w:t>engaged</w:t>
      </w:r>
      <w:r w:rsidR="003D640C">
        <w:t xml:space="preserve"> </w:t>
      </w:r>
      <w:r w:rsidRPr="00DA2287">
        <w:t>with.</w:t>
      </w:r>
      <w:r w:rsidR="003D640C">
        <w:t xml:space="preserve"> </w:t>
      </w:r>
      <w:r w:rsidRPr="00DA2287">
        <w:t>It</w:t>
      </w:r>
      <w:r w:rsidR="003D640C">
        <w:t xml:space="preserve"> </w:t>
      </w:r>
      <w:r w:rsidRPr="00DA2287">
        <w:t>again</w:t>
      </w:r>
      <w:r w:rsidR="003D640C">
        <w:t xml:space="preserve"> </w:t>
      </w:r>
      <w:r w:rsidRPr="00DA2287">
        <w:t>describes</w:t>
      </w:r>
      <w:r w:rsidR="003D640C">
        <w:t xml:space="preserve"> </w:t>
      </w:r>
      <w:r w:rsidRPr="00DA2287">
        <w:t>the</w:t>
      </w:r>
      <w:r w:rsidR="003D640C">
        <w:t xml:space="preserve"> </w:t>
      </w:r>
      <w:r w:rsidRPr="00DA2287">
        <w:t>invisibility</w:t>
      </w:r>
      <w:r w:rsidR="003D640C">
        <w:t xml:space="preserve"> </w:t>
      </w:r>
      <w:r w:rsidRPr="00DA2287">
        <w:t>of</w:t>
      </w:r>
      <w:r w:rsidR="003D640C">
        <w:t xml:space="preserve"> </w:t>
      </w:r>
      <w:r w:rsidRPr="00DA2287">
        <w:t>minoritised</w:t>
      </w:r>
      <w:r w:rsidR="003D640C">
        <w:t xml:space="preserve"> </w:t>
      </w:r>
      <w:r w:rsidRPr="00DA2287">
        <w:t>ethnic</w:t>
      </w:r>
      <w:r w:rsidR="003D640C">
        <w:t xml:space="preserve"> </w:t>
      </w:r>
      <w:r w:rsidRPr="00DA2287">
        <w:t>Rainbow</w:t>
      </w:r>
      <w:r w:rsidR="003D640C">
        <w:t xml:space="preserve"> </w:t>
      </w:r>
      <w:r w:rsidRPr="00DA2287">
        <w:t>communities</w:t>
      </w:r>
      <w:r w:rsidR="003D640C">
        <w:t xml:space="preserve"> </w:t>
      </w:r>
      <w:r w:rsidRPr="00DA2287">
        <w:t>within</w:t>
      </w:r>
      <w:r w:rsidR="003D640C">
        <w:t xml:space="preserve"> </w:t>
      </w:r>
      <w:r w:rsidRPr="00DA2287">
        <w:t>Rainbow</w:t>
      </w:r>
      <w:r w:rsidR="003D640C">
        <w:t xml:space="preserve"> </w:t>
      </w:r>
      <w:r w:rsidRPr="00DA2287">
        <w:t>community</w:t>
      </w:r>
      <w:r w:rsidR="003D640C">
        <w:t xml:space="preserve"> </w:t>
      </w:r>
      <w:r w:rsidRPr="00DA2287">
        <w:t>spaces</w:t>
      </w:r>
      <w:r w:rsidR="001E2C2B">
        <w:t>.</w:t>
      </w:r>
    </w:p>
    <w:p w14:paraId="0669C0C1" w14:textId="5C533D18" w:rsidR="00270E5F" w:rsidRPr="00DA2287" w:rsidRDefault="001E2C2B" w:rsidP="00323E57">
      <w:pPr>
        <w:pStyle w:val="Quote"/>
      </w:pPr>
      <w:r>
        <w:t>“</w:t>
      </w:r>
      <w:r w:rsidR="00270E5F" w:rsidRPr="00DA2287">
        <w:t>There</w:t>
      </w:r>
      <w:r w:rsidR="003D640C">
        <w:t xml:space="preserve"> </w:t>
      </w:r>
      <w:r w:rsidR="00270E5F" w:rsidRPr="00DA2287">
        <w:t>is</w:t>
      </w:r>
      <w:r w:rsidR="003D640C">
        <w:t xml:space="preserve"> </w:t>
      </w:r>
      <w:r w:rsidR="00270E5F" w:rsidRPr="00DA2287">
        <w:t>a</w:t>
      </w:r>
      <w:r w:rsidR="003D640C">
        <w:t xml:space="preserve"> </w:t>
      </w:r>
      <w:r w:rsidR="00270E5F" w:rsidRPr="00DA2287">
        <w:t>lack</w:t>
      </w:r>
      <w:r w:rsidR="003D640C">
        <w:t xml:space="preserve"> </w:t>
      </w:r>
      <w:r w:rsidR="00270E5F" w:rsidRPr="00DA2287">
        <w:t>of</w:t>
      </w:r>
      <w:r w:rsidR="003D640C">
        <w:t xml:space="preserve"> </w:t>
      </w:r>
      <w:r w:rsidR="00270E5F" w:rsidRPr="00DA2287">
        <w:t>representation</w:t>
      </w:r>
      <w:r w:rsidR="003D640C">
        <w:t xml:space="preserve"> </w:t>
      </w:r>
      <w:r w:rsidR="00270E5F" w:rsidRPr="00DA2287">
        <w:t>of</w:t>
      </w:r>
      <w:r w:rsidR="003D640C">
        <w:t xml:space="preserve"> </w:t>
      </w:r>
      <w:r w:rsidR="00270E5F" w:rsidRPr="00DA2287">
        <w:t>queer</w:t>
      </w:r>
      <w:r w:rsidR="003D640C">
        <w:t xml:space="preserve"> </w:t>
      </w:r>
      <w:r w:rsidR="00270E5F" w:rsidRPr="00DA2287">
        <w:t>people</w:t>
      </w:r>
      <w:r w:rsidR="003D640C">
        <w:t xml:space="preserve"> </w:t>
      </w:r>
      <w:r w:rsidR="00270E5F" w:rsidRPr="00DA2287">
        <w:t>of</w:t>
      </w:r>
      <w:r w:rsidR="003D640C">
        <w:t xml:space="preserve"> </w:t>
      </w:r>
      <w:r w:rsidR="00270E5F" w:rsidRPr="00DA2287">
        <w:t>colour,</w:t>
      </w:r>
      <w:r w:rsidR="003D640C">
        <w:t xml:space="preserve"> </w:t>
      </w:r>
      <w:r w:rsidR="00270E5F" w:rsidRPr="00DA2287">
        <w:t>especially</w:t>
      </w:r>
      <w:r w:rsidR="003D640C">
        <w:t xml:space="preserve"> </w:t>
      </w:r>
      <w:r w:rsidR="00270E5F" w:rsidRPr="00DA2287">
        <w:t>from</w:t>
      </w:r>
      <w:r w:rsidR="003D640C">
        <w:t xml:space="preserve"> </w:t>
      </w:r>
      <w:r w:rsidR="00270E5F" w:rsidRPr="00DA2287">
        <w:t>a</w:t>
      </w:r>
      <w:r w:rsidR="003D640C">
        <w:t xml:space="preserve"> </w:t>
      </w:r>
      <w:r w:rsidR="00270E5F" w:rsidRPr="00DA2287">
        <w:t>South</w:t>
      </w:r>
      <w:r w:rsidR="003D640C">
        <w:t xml:space="preserve"> </w:t>
      </w:r>
      <w:r w:rsidR="00270E5F" w:rsidRPr="00DA2287">
        <w:t>Asian</w:t>
      </w:r>
      <w:r w:rsidR="003D640C">
        <w:t xml:space="preserve"> </w:t>
      </w:r>
      <w:r w:rsidR="00270E5F" w:rsidRPr="00DA2287">
        <w:t>background,</w:t>
      </w:r>
      <w:r w:rsidR="003D640C">
        <w:t xml:space="preserve"> </w:t>
      </w:r>
      <w:r w:rsidR="00270E5F" w:rsidRPr="00DA2287">
        <w:t>in</w:t>
      </w:r>
      <w:r w:rsidR="003D640C">
        <w:t xml:space="preserve"> </w:t>
      </w:r>
      <w:r w:rsidR="00270E5F" w:rsidRPr="00DA2287">
        <w:t>Aotearoa.</w:t>
      </w:r>
      <w:r w:rsidR="003D640C">
        <w:t xml:space="preserve"> </w:t>
      </w:r>
      <w:r w:rsidR="00270E5F" w:rsidRPr="00DA2287">
        <w:t>There</w:t>
      </w:r>
      <w:r w:rsidR="003D640C">
        <w:t xml:space="preserve"> </w:t>
      </w:r>
      <w:r w:rsidR="00270E5F" w:rsidRPr="00DA2287">
        <w:t>is</w:t>
      </w:r>
      <w:r w:rsidR="003D640C">
        <w:t xml:space="preserve"> </w:t>
      </w:r>
      <w:r w:rsidR="00270E5F" w:rsidRPr="00DA2287">
        <w:t>no</w:t>
      </w:r>
      <w:r w:rsidR="003D640C">
        <w:t xml:space="preserve"> </w:t>
      </w:r>
      <w:r w:rsidR="00270E5F" w:rsidRPr="00DA2287">
        <w:t>educational</w:t>
      </w:r>
      <w:r w:rsidR="003D640C">
        <w:t xml:space="preserve"> </w:t>
      </w:r>
      <w:r w:rsidR="00270E5F" w:rsidRPr="00DA2287">
        <w:t>information</w:t>
      </w:r>
      <w:r w:rsidR="003D640C">
        <w:t xml:space="preserve"> </w:t>
      </w:r>
      <w:r w:rsidR="00270E5F" w:rsidRPr="00DA2287">
        <w:t>or</w:t>
      </w:r>
      <w:r w:rsidR="003D640C">
        <w:t xml:space="preserve"> </w:t>
      </w:r>
      <w:r w:rsidR="00270E5F" w:rsidRPr="00DA2287">
        <w:t>resources</w:t>
      </w:r>
      <w:r w:rsidR="003D640C">
        <w:t xml:space="preserve"> </w:t>
      </w:r>
      <w:r w:rsidR="00270E5F" w:rsidRPr="00DA2287">
        <w:t>focused</w:t>
      </w:r>
      <w:r w:rsidR="003D640C">
        <w:t xml:space="preserve"> </w:t>
      </w:r>
      <w:r w:rsidR="00270E5F" w:rsidRPr="00DA2287">
        <w:t>on</w:t>
      </w:r>
      <w:r w:rsidR="003D640C">
        <w:t xml:space="preserve"> </w:t>
      </w:r>
      <w:r w:rsidR="00270E5F" w:rsidRPr="00DA2287">
        <w:t>their</w:t>
      </w:r>
      <w:r w:rsidR="003D640C">
        <w:t xml:space="preserve"> </w:t>
      </w:r>
      <w:r w:rsidR="00270E5F" w:rsidRPr="00DA2287">
        <w:t>experiences.</w:t>
      </w:r>
      <w:r w:rsidR="003D640C">
        <w:t xml:space="preserve"> </w:t>
      </w:r>
      <w:r w:rsidR="00270E5F" w:rsidRPr="00DA2287">
        <w:t>There</w:t>
      </w:r>
      <w:r w:rsidR="003D640C">
        <w:t xml:space="preserve"> </w:t>
      </w:r>
      <w:r w:rsidR="00270E5F" w:rsidRPr="00DA2287">
        <w:t>is</w:t>
      </w:r>
      <w:r w:rsidR="003D640C">
        <w:t xml:space="preserve"> </w:t>
      </w:r>
      <w:r w:rsidR="00270E5F" w:rsidRPr="00DA2287">
        <w:t>no</w:t>
      </w:r>
      <w:r w:rsidR="003D640C">
        <w:t xml:space="preserve"> </w:t>
      </w:r>
      <w:r w:rsidR="00270E5F" w:rsidRPr="00DA2287">
        <w:t>culturally</w:t>
      </w:r>
      <w:r w:rsidR="003D640C">
        <w:t xml:space="preserve"> </w:t>
      </w:r>
      <w:r w:rsidR="00270E5F" w:rsidRPr="00DA2287">
        <w:t>sensitive</w:t>
      </w:r>
      <w:r w:rsidR="003D640C">
        <w:t xml:space="preserve"> </w:t>
      </w:r>
      <w:r w:rsidR="00270E5F" w:rsidRPr="00DA2287">
        <w:t>information</w:t>
      </w:r>
      <w:r w:rsidR="003D640C">
        <w:t xml:space="preserve"> </w:t>
      </w:r>
      <w:r w:rsidR="00270E5F" w:rsidRPr="00DA2287">
        <w:t>that</w:t>
      </w:r>
      <w:r w:rsidR="003D640C">
        <w:t xml:space="preserve"> </w:t>
      </w:r>
      <w:r w:rsidR="00270E5F" w:rsidRPr="00DA2287">
        <w:t>one</w:t>
      </w:r>
      <w:r w:rsidR="003D640C">
        <w:t xml:space="preserve"> </w:t>
      </w:r>
      <w:r w:rsidR="00270E5F" w:rsidRPr="00DA2287">
        <w:t>could</w:t>
      </w:r>
      <w:r w:rsidR="003D640C">
        <w:t xml:space="preserve"> </w:t>
      </w:r>
      <w:r w:rsidR="00270E5F" w:rsidRPr="00DA2287">
        <w:t>share</w:t>
      </w:r>
      <w:r w:rsidR="003D640C">
        <w:t xml:space="preserve"> </w:t>
      </w:r>
      <w:r w:rsidR="00270E5F" w:rsidRPr="00DA2287">
        <w:t>with</w:t>
      </w:r>
      <w:r w:rsidR="003D640C">
        <w:t xml:space="preserve"> </w:t>
      </w:r>
      <w:r w:rsidR="00270E5F" w:rsidRPr="00DA2287">
        <w:t>their</w:t>
      </w:r>
      <w:r w:rsidR="003D640C">
        <w:t xml:space="preserve"> </w:t>
      </w:r>
      <w:r w:rsidR="00270E5F" w:rsidRPr="00DA2287">
        <w:t>parents</w:t>
      </w:r>
      <w:r w:rsidR="003D640C">
        <w:t xml:space="preserve"> </w:t>
      </w:r>
      <w:r w:rsidR="00270E5F" w:rsidRPr="00DA2287">
        <w:t>when</w:t>
      </w:r>
      <w:r w:rsidR="003D640C">
        <w:t xml:space="preserve"> </w:t>
      </w:r>
      <w:r w:rsidR="00270E5F" w:rsidRPr="00DA2287">
        <w:t>they</w:t>
      </w:r>
      <w:r w:rsidR="003D640C">
        <w:t xml:space="preserve"> </w:t>
      </w:r>
      <w:r w:rsidR="00270E5F" w:rsidRPr="00DA2287">
        <w:t>come</w:t>
      </w:r>
      <w:r w:rsidR="003D640C">
        <w:t xml:space="preserve"> </w:t>
      </w:r>
      <w:r w:rsidR="00270E5F" w:rsidRPr="00DA2287">
        <w:t>out</w:t>
      </w:r>
      <w:r w:rsidR="003D640C">
        <w:t xml:space="preserve"> </w:t>
      </w:r>
      <w:r w:rsidR="00270E5F" w:rsidRPr="00DA2287">
        <w:t>to</w:t>
      </w:r>
      <w:r w:rsidR="003D640C">
        <w:t xml:space="preserve"> </w:t>
      </w:r>
      <w:r w:rsidR="00270E5F" w:rsidRPr="00DA2287">
        <w:t>them.</w:t>
      </w:r>
      <w:r w:rsidR="003D640C">
        <w:t xml:space="preserve"> </w:t>
      </w:r>
      <w:r w:rsidR="00270E5F" w:rsidRPr="00DA2287">
        <w:t>This</w:t>
      </w:r>
      <w:r w:rsidR="003D640C">
        <w:t xml:space="preserve"> </w:t>
      </w:r>
      <w:r w:rsidR="00270E5F" w:rsidRPr="00DA2287">
        <w:t>needs</w:t>
      </w:r>
      <w:r w:rsidR="003D640C">
        <w:t xml:space="preserve"> </w:t>
      </w:r>
      <w:r w:rsidR="00270E5F" w:rsidRPr="00DA2287">
        <w:t>to</w:t>
      </w:r>
      <w:r w:rsidR="003D640C">
        <w:t xml:space="preserve"> </w:t>
      </w:r>
      <w:r w:rsidR="00270E5F" w:rsidRPr="00DA2287">
        <w:t>change.</w:t>
      </w:r>
      <w:r>
        <w:t>”</w:t>
      </w:r>
      <w:r w:rsidR="00270E5F" w:rsidRPr="00DA2287">
        <w:rPr>
          <w:rStyle w:val="FootnoteReference"/>
          <w:rFonts w:eastAsia="Open Sans"/>
          <w:color w:val="121317"/>
        </w:rPr>
        <w:footnoteReference w:id="215"/>
      </w:r>
      <w:r w:rsidR="003D640C">
        <w:t xml:space="preserve"> </w:t>
      </w:r>
      <w:r w:rsidR="00270E5F" w:rsidRPr="00DA2287">
        <w:t>Queer,</w:t>
      </w:r>
      <w:r w:rsidR="003D640C">
        <w:t xml:space="preserve"> </w:t>
      </w:r>
      <w:r w:rsidR="00270E5F" w:rsidRPr="00DA2287">
        <w:t>gender</w:t>
      </w:r>
      <w:r w:rsidR="003D640C">
        <w:t xml:space="preserve"> </w:t>
      </w:r>
      <w:r w:rsidR="00270E5F" w:rsidRPr="00DA2287">
        <w:t>unsure</w:t>
      </w:r>
    </w:p>
    <w:p w14:paraId="3B7C9CBE" w14:textId="4D9832B6" w:rsidR="00501068" w:rsidRDefault="00270E5F" w:rsidP="00323E57">
      <w:r w:rsidRPr="00DA2287">
        <w:t>The</w:t>
      </w:r>
      <w:r w:rsidR="003D640C">
        <w:t xml:space="preserve"> </w:t>
      </w:r>
      <w:r w:rsidRPr="00DA2287">
        <w:t>Adhikaar</w:t>
      </w:r>
      <w:r w:rsidR="003D640C">
        <w:t xml:space="preserve"> </w:t>
      </w:r>
      <w:r w:rsidRPr="00DA2287">
        <w:t>report</w:t>
      </w:r>
      <w:r w:rsidR="003D640C">
        <w:t xml:space="preserve"> </w:t>
      </w:r>
      <w:r w:rsidRPr="00DA2287">
        <w:t>also</w:t>
      </w:r>
      <w:r w:rsidR="003D640C">
        <w:t xml:space="preserve"> </w:t>
      </w:r>
      <w:r w:rsidRPr="00DA2287">
        <w:t>documents</w:t>
      </w:r>
      <w:r w:rsidR="003D640C">
        <w:t xml:space="preserve"> </w:t>
      </w:r>
      <w:r w:rsidRPr="00DA2287">
        <w:t>the</w:t>
      </w:r>
      <w:r w:rsidR="003D640C">
        <w:t xml:space="preserve"> </w:t>
      </w:r>
      <w:r w:rsidRPr="00DA2287">
        <w:t>interpersonal</w:t>
      </w:r>
      <w:r w:rsidR="003D640C">
        <w:t xml:space="preserve"> </w:t>
      </w:r>
      <w:r w:rsidRPr="00DA2287">
        <w:t>racism</w:t>
      </w:r>
      <w:r w:rsidR="003D640C">
        <w:t xml:space="preserve"> </w:t>
      </w:r>
      <w:r w:rsidRPr="00DA2287">
        <w:t>identified</w:t>
      </w:r>
      <w:r w:rsidR="003D640C">
        <w:t xml:space="preserve"> </w:t>
      </w:r>
      <w:r w:rsidRPr="00DA2287">
        <w:t>by</w:t>
      </w:r>
      <w:r w:rsidR="003D640C">
        <w:t xml:space="preserve"> </w:t>
      </w:r>
      <w:r w:rsidR="00356F1B">
        <w:t xml:space="preserve">participants </w:t>
      </w:r>
      <w:r w:rsidRPr="00DA2287">
        <w:t>they</w:t>
      </w:r>
      <w:r w:rsidR="003D640C">
        <w:t xml:space="preserve"> </w:t>
      </w:r>
      <w:r w:rsidRPr="00DA2287">
        <w:t>engaged</w:t>
      </w:r>
      <w:r w:rsidR="003D640C">
        <w:t xml:space="preserve"> </w:t>
      </w:r>
      <w:r w:rsidRPr="00DA2287">
        <w:t>with</w:t>
      </w:r>
      <w:r w:rsidR="003D640C">
        <w:t xml:space="preserve"> </w:t>
      </w:r>
      <w:r w:rsidRPr="00DA2287">
        <w:t>and</w:t>
      </w:r>
      <w:r w:rsidR="003D640C">
        <w:t xml:space="preserve"> </w:t>
      </w:r>
      <w:r w:rsidRPr="00DA2287">
        <w:t>experienced</w:t>
      </w:r>
      <w:r w:rsidR="003D640C">
        <w:t xml:space="preserve"> </w:t>
      </w:r>
      <w:r w:rsidR="00356F1B">
        <w:t xml:space="preserve">within </w:t>
      </w:r>
      <w:r w:rsidRPr="00DA2287">
        <w:t>mainstream</w:t>
      </w:r>
      <w:r w:rsidR="003D640C">
        <w:t xml:space="preserve"> </w:t>
      </w:r>
      <w:r w:rsidRPr="00DA2287">
        <w:t>Rainbow</w:t>
      </w:r>
      <w:r w:rsidR="003D640C">
        <w:t xml:space="preserve"> </w:t>
      </w:r>
      <w:r w:rsidRPr="00DA2287">
        <w:t>communities.</w:t>
      </w:r>
      <w:r w:rsidR="003D640C">
        <w:t xml:space="preserve"> </w:t>
      </w:r>
    </w:p>
    <w:p w14:paraId="7BE97194" w14:textId="0B684DC8" w:rsidR="008B0FA9" w:rsidRPr="00DA2287" w:rsidRDefault="008B0FA9" w:rsidP="002C6363">
      <w:pPr>
        <w:pStyle w:val="Heading3"/>
      </w:pPr>
      <w:bookmarkStart w:id="285" w:name="_Toc167780620"/>
      <w:bookmarkStart w:id="286" w:name="_Toc1427703060"/>
      <w:bookmarkStart w:id="287" w:name="_Toc174628680"/>
      <w:r w:rsidRPr="00DA2287">
        <w:t>Rainbow</w:t>
      </w:r>
      <w:r w:rsidR="003D640C">
        <w:t xml:space="preserve"> </w:t>
      </w:r>
      <w:r w:rsidRPr="00DA2287">
        <w:t>identities</w:t>
      </w:r>
      <w:r w:rsidR="003D640C">
        <w:t xml:space="preserve"> </w:t>
      </w:r>
      <w:r w:rsidRPr="00DA2287">
        <w:t>and</w:t>
      </w:r>
      <w:r w:rsidR="003D640C">
        <w:t xml:space="preserve"> </w:t>
      </w:r>
      <w:r w:rsidRPr="00DA2287">
        <w:t>minority</w:t>
      </w:r>
      <w:r w:rsidR="003D640C">
        <w:t xml:space="preserve"> </w:t>
      </w:r>
      <w:r w:rsidRPr="00DA2287">
        <w:t>ethnic</w:t>
      </w:r>
      <w:r w:rsidR="003D640C">
        <w:t xml:space="preserve"> </w:t>
      </w:r>
      <w:r w:rsidRPr="00DA2287">
        <w:t>communities</w:t>
      </w:r>
      <w:bookmarkEnd w:id="285"/>
      <w:bookmarkEnd w:id="286"/>
      <w:bookmarkEnd w:id="287"/>
    </w:p>
    <w:p w14:paraId="45B74070" w14:textId="51E7C5F0" w:rsidR="008B0FA9" w:rsidRPr="00DA2287" w:rsidRDefault="008B0FA9" w:rsidP="00323E57">
      <w:r w:rsidRPr="00DA2287">
        <w:t>Some</w:t>
      </w:r>
      <w:r w:rsidR="003D640C">
        <w:t xml:space="preserve"> </w:t>
      </w:r>
      <w:r w:rsidRPr="00DA2287">
        <w:t>people</w:t>
      </w:r>
      <w:r w:rsidR="003D640C">
        <w:t xml:space="preserve"> </w:t>
      </w:r>
      <w:r w:rsidRPr="00DA2287">
        <w:t>we</w:t>
      </w:r>
      <w:r w:rsidR="003D640C">
        <w:t xml:space="preserve"> </w:t>
      </w:r>
      <w:r w:rsidRPr="00DA2287">
        <w:t>engaged</w:t>
      </w:r>
      <w:r w:rsidR="003D640C">
        <w:t xml:space="preserve"> </w:t>
      </w:r>
      <w:r w:rsidR="001E2C2B">
        <w:t xml:space="preserve">with </w:t>
      </w:r>
      <w:r w:rsidRPr="00DA2287">
        <w:t>discussed</w:t>
      </w:r>
      <w:r w:rsidR="003D640C">
        <w:t xml:space="preserve"> </w:t>
      </w:r>
      <w:r w:rsidRPr="00DA2287">
        <w:t>how</w:t>
      </w:r>
      <w:r w:rsidR="003D640C">
        <w:t xml:space="preserve"> </w:t>
      </w:r>
      <w:r w:rsidRPr="00DA2287">
        <w:t>some</w:t>
      </w:r>
      <w:r w:rsidR="003D640C">
        <w:t xml:space="preserve"> </w:t>
      </w:r>
      <w:r w:rsidRPr="00DA2287">
        <w:t>ethnic</w:t>
      </w:r>
      <w:r w:rsidR="003D640C">
        <w:t xml:space="preserve"> </w:t>
      </w:r>
      <w:r w:rsidRPr="00DA2287">
        <w:t>communities</w:t>
      </w:r>
      <w:r w:rsidR="003D640C">
        <w:t xml:space="preserve"> </w:t>
      </w:r>
      <w:r w:rsidRPr="00DA2287">
        <w:t>in</w:t>
      </w:r>
      <w:r w:rsidR="003D640C">
        <w:t xml:space="preserve"> </w:t>
      </w:r>
      <w:r w:rsidRPr="00DA2287">
        <w:t>Aotearoa</w:t>
      </w:r>
      <w:r w:rsidR="003D640C">
        <w:t xml:space="preserve"> </w:t>
      </w:r>
      <w:r w:rsidRPr="00DA2287">
        <w:t>may</w:t>
      </w:r>
      <w:r w:rsidR="003D640C">
        <w:t xml:space="preserve"> </w:t>
      </w:r>
      <w:r w:rsidRPr="00DA2287">
        <w:t>perceive</w:t>
      </w:r>
      <w:r w:rsidR="003D640C">
        <w:t xml:space="preserve"> </w:t>
      </w:r>
      <w:r w:rsidR="007501B5" w:rsidRPr="00DA2287">
        <w:t>R</w:t>
      </w:r>
      <w:r w:rsidRPr="00DA2287">
        <w:t>ainbow</w:t>
      </w:r>
      <w:r w:rsidR="003D640C">
        <w:t xml:space="preserve"> </w:t>
      </w:r>
      <w:r w:rsidRPr="00DA2287">
        <w:t>identities</w:t>
      </w:r>
      <w:r w:rsidR="003D640C">
        <w:t xml:space="preserve"> </w:t>
      </w:r>
      <w:r w:rsidRPr="00DA2287">
        <w:t>as</w:t>
      </w:r>
      <w:r w:rsidR="003D640C">
        <w:t xml:space="preserve"> </w:t>
      </w:r>
      <w:r w:rsidRPr="00DA2287">
        <w:t>a</w:t>
      </w:r>
      <w:r w:rsidR="003D640C">
        <w:t xml:space="preserve"> </w:t>
      </w:r>
      <w:r w:rsidRPr="00DA2287">
        <w:t>threat</w:t>
      </w:r>
      <w:r w:rsidR="003D640C">
        <w:t xml:space="preserve"> </w:t>
      </w:r>
      <w:r w:rsidRPr="00DA2287">
        <w:t>to</w:t>
      </w:r>
      <w:r w:rsidR="003D640C">
        <w:t xml:space="preserve"> </w:t>
      </w:r>
      <w:r w:rsidRPr="00DA2287">
        <w:t>their</w:t>
      </w:r>
      <w:r w:rsidR="003D640C">
        <w:t xml:space="preserve"> </w:t>
      </w:r>
      <w:r w:rsidRPr="00DA2287">
        <w:t>social</w:t>
      </w:r>
      <w:r w:rsidR="003D640C">
        <w:t xml:space="preserve"> </w:t>
      </w:r>
      <w:r w:rsidRPr="00DA2287">
        <w:t>status.</w:t>
      </w:r>
      <w:r w:rsidR="003D640C">
        <w:t xml:space="preserve"> </w:t>
      </w:r>
      <w:r w:rsidRPr="00DA2287">
        <w:t>In</w:t>
      </w:r>
      <w:r w:rsidR="003D640C">
        <w:t xml:space="preserve"> </w:t>
      </w:r>
      <w:r w:rsidRPr="00DA2287">
        <w:t>the</w:t>
      </w:r>
      <w:r w:rsidR="003D640C">
        <w:t xml:space="preserve"> </w:t>
      </w:r>
      <w:r w:rsidRPr="00DA2287">
        <w:t>context</w:t>
      </w:r>
      <w:r w:rsidR="003D640C">
        <w:t xml:space="preserve"> </w:t>
      </w:r>
      <w:r w:rsidRPr="00DA2287">
        <w:t>of</w:t>
      </w:r>
      <w:r w:rsidR="003D640C">
        <w:t xml:space="preserve"> </w:t>
      </w:r>
      <w:r w:rsidRPr="00DA2287">
        <w:t>the</w:t>
      </w:r>
      <w:r w:rsidR="003D640C">
        <w:t xml:space="preserve"> </w:t>
      </w:r>
      <w:r w:rsidRPr="00DA2287">
        <w:t>dominance</w:t>
      </w:r>
      <w:r w:rsidR="003D640C">
        <w:t xml:space="preserve"> </w:t>
      </w:r>
      <w:r w:rsidRPr="00DA2287">
        <w:t>of</w:t>
      </w:r>
      <w:r w:rsidR="003D640C">
        <w:t xml:space="preserve"> </w:t>
      </w:r>
      <w:r w:rsidRPr="00DA2287">
        <w:t>Pākeh</w:t>
      </w:r>
      <w:r w:rsidR="006E65A6" w:rsidRPr="00DA2287">
        <w:t>ā</w:t>
      </w:r>
      <w:r w:rsidR="003D640C">
        <w:t xml:space="preserve"> </w:t>
      </w:r>
      <w:r w:rsidRPr="00DA2287">
        <w:t>culture,</w:t>
      </w:r>
      <w:r w:rsidR="003D640C">
        <w:t xml:space="preserve"> </w:t>
      </w:r>
      <w:r w:rsidRPr="00DA2287">
        <w:t>ethnic</w:t>
      </w:r>
      <w:r w:rsidR="003D640C">
        <w:t xml:space="preserve"> </w:t>
      </w:r>
      <w:r w:rsidRPr="00DA2287">
        <w:t>Rainbow</w:t>
      </w:r>
      <w:r w:rsidR="003D640C">
        <w:t xml:space="preserve"> </w:t>
      </w:r>
      <w:r w:rsidRPr="00DA2287">
        <w:t>community</w:t>
      </w:r>
      <w:r w:rsidR="003D640C">
        <w:t xml:space="preserve"> </w:t>
      </w:r>
      <w:r w:rsidRPr="00DA2287">
        <w:t>members</w:t>
      </w:r>
      <w:r w:rsidR="003D640C">
        <w:t xml:space="preserve"> </w:t>
      </w:r>
      <w:r w:rsidRPr="00DA2287">
        <w:t>discussed</w:t>
      </w:r>
      <w:r w:rsidR="003D640C">
        <w:t xml:space="preserve"> </w:t>
      </w:r>
      <w:r w:rsidRPr="00DA2287">
        <w:t>what</w:t>
      </w:r>
      <w:r w:rsidR="003D640C">
        <w:t xml:space="preserve"> </w:t>
      </w:r>
      <w:r w:rsidRPr="00DA2287">
        <w:t>they</w:t>
      </w:r>
      <w:r w:rsidR="003D640C">
        <w:t xml:space="preserve"> </w:t>
      </w:r>
      <w:r w:rsidRPr="00DA2287">
        <w:t>referred</w:t>
      </w:r>
      <w:r w:rsidR="003D640C">
        <w:t xml:space="preserve"> </w:t>
      </w:r>
      <w:r w:rsidRPr="00DA2287">
        <w:t>to</w:t>
      </w:r>
      <w:r w:rsidR="003D640C">
        <w:t xml:space="preserve"> </w:t>
      </w:r>
      <w:r w:rsidRPr="00DA2287">
        <w:t>as</w:t>
      </w:r>
      <w:r w:rsidR="003D640C">
        <w:t xml:space="preserve"> </w:t>
      </w:r>
      <w:r w:rsidRPr="00DA2287">
        <w:t>‘respectability</w:t>
      </w:r>
      <w:r w:rsidR="003D640C">
        <w:t xml:space="preserve"> </w:t>
      </w:r>
      <w:r w:rsidRPr="00DA2287">
        <w:t>politics’.</w:t>
      </w:r>
      <w:r w:rsidRPr="00DA2287">
        <w:rPr>
          <w:vertAlign w:val="superscript"/>
        </w:rPr>
        <w:footnoteReference w:id="216"/>
      </w:r>
      <w:r w:rsidR="003D640C">
        <w:t xml:space="preserve"> </w:t>
      </w:r>
      <w:r w:rsidRPr="00DA2287">
        <w:t>This</w:t>
      </w:r>
      <w:r w:rsidR="003D640C">
        <w:t xml:space="preserve"> </w:t>
      </w:r>
      <w:r w:rsidRPr="00DA2287">
        <w:t>concept</w:t>
      </w:r>
      <w:r w:rsidR="003D640C">
        <w:t xml:space="preserve"> </w:t>
      </w:r>
      <w:r w:rsidRPr="00DA2287">
        <w:t>captures</w:t>
      </w:r>
      <w:r w:rsidR="003D640C">
        <w:t xml:space="preserve"> </w:t>
      </w:r>
      <w:r w:rsidRPr="00DA2287">
        <w:t>how</w:t>
      </w:r>
      <w:r w:rsidR="003D640C">
        <w:t xml:space="preserve"> </w:t>
      </w:r>
      <w:r w:rsidRPr="00DA2287">
        <w:t>migrants</w:t>
      </w:r>
      <w:r w:rsidR="003D640C">
        <w:t xml:space="preserve"> </w:t>
      </w:r>
      <w:r w:rsidRPr="00DA2287">
        <w:t>can</w:t>
      </w:r>
      <w:r w:rsidR="003D640C">
        <w:t xml:space="preserve"> </w:t>
      </w:r>
      <w:r w:rsidRPr="00DA2287">
        <w:t>be</w:t>
      </w:r>
      <w:r w:rsidR="003D640C">
        <w:t xml:space="preserve"> </w:t>
      </w:r>
      <w:r w:rsidRPr="00DA2287">
        <w:t>motivated</w:t>
      </w:r>
      <w:r w:rsidR="003D640C">
        <w:t xml:space="preserve"> </w:t>
      </w:r>
      <w:r w:rsidRPr="00DA2287">
        <w:t>to</w:t>
      </w:r>
      <w:r w:rsidR="003D640C">
        <w:t xml:space="preserve"> </w:t>
      </w:r>
      <w:r w:rsidRPr="00DA2287">
        <w:t>selectively</w:t>
      </w:r>
      <w:r w:rsidR="003D640C">
        <w:t xml:space="preserve"> </w:t>
      </w:r>
      <w:r w:rsidRPr="00DA2287">
        <w:t>uphold</w:t>
      </w:r>
      <w:r w:rsidR="003D640C">
        <w:t xml:space="preserve"> </w:t>
      </w:r>
      <w:r w:rsidRPr="00DA2287">
        <w:t>some</w:t>
      </w:r>
      <w:r w:rsidR="003D640C">
        <w:t xml:space="preserve"> </w:t>
      </w:r>
      <w:r w:rsidRPr="00DA2287">
        <w:t>cultural</w:t>
      </w:r>
      <w:r w:rsidR="003D640C">
        <w:t xml:space="preserve"> </w:t>
      </w:r>
      <w:r w:rsidRPr="00DA2287">
        <w:t>values</w:t>
      </w:r>
      <w:r w:rsidR="003D640C">
        <w:t xml:space="preserve"> </w:t>
      </w:r>
      <w:r w:rsidRPr="00DA2287">
        <w:t>while</w:t>
      </w:r>
      <w:r w:rsidR="003D640C">
        <w:t xml:space="preserve"> </w:t>
      </w:r>
      <w:r w:rsidRPr="00DA2287">
        <w:t>at</w:t>
      </w:r>
      <w:r w:rsidR="003D640C">
        <w:t xml:space="preserve"> </w:t>
      </w:r>
      <w:r w:rsidRPr="00DA2287">
        <w:t>the</w:t>
      </w:r>
      <w:r w:rsidR="003D640C">
        <w:t xml:space="preserve"> </w:t>
      </w:r>
      <w:r w:rsidRPr="00DA2287">
        <w:t>same</w:t>
      </w:r>
      <w:r w:rsidR="003D640C">
        <w:t xml:space="preserve"> </w:t>
      </w:r>
      <w:r w:rsidRPr="00DA2287">
        <w:t>time</w:t>
      </w:r>
      <w:r w:rsidR="003D640C">
        <w:t xml:space="preserve"> </w:t>
      </w:r>
      <w:r w:rsidRPr="00DA2287">
        <w:t>attempting</w:t>
      </w:r>
      <w:r w:rsidR="003D640C">
        <w:t xml:space="preserve"> </w:t>
      </w:r>
      <w:r w:rsidRPr="00DA2287">
        <w:t>to</w:t>
      </w:r>
      <w:r w:rsidR="003D640C">
        <w:t xml:space="preserve"> </w:t>
      </w:r>
      <w:r w:rsidRPr="00DA2287">
        <w:t>integrate</w:t>
      </w:r>
      <w:r w:rsidR="003D640C">
        <w:t xml:space="preserve"> </w:t>
      </w:r>
      <w:r w:rsidRPr="00DA2287">
        <w:t>with</w:t>
      </w:r>
      <w:r w:rsidR="003D640C">
        <w:t xml:space="preserve"> </w:t>
      </w:r>
      <w:r w:rsidRPr="00DA2287">
        <w:t>the</w:t>
      </w:r>
      <w:r w:rsidR="003D640C">
        <w:t xml:space="preserve"> </w:t>
      </w:r>
      <w:r w:rsidRPr="00DA2287">
        <w:t>dominant</w:t>
      </w:r>
      <w:r w:rsidR="003D640C">
        <w:t xml:space="preserve"> </w:t>
      </w:r>
      <w:r w:rsidRPr="00DA2287">
        <w:t>culture.</w:t>
      </w:r>
      <w:r w:rsidR="003D640C">
        <w:t xml:space="preserve"> </w:t>
      </w:r>
    </w:p>
    <w:p w14:paraId="222FE454" w14:textId="045C4267" w:rsidR="008B0FA9" w:rsidRPr="00DA2287" w:rsidRDefault="008B0FA9" w:rsidP="00323E57">
      <w:r w:rsidRPr="00DA2287">
        <w:t>For</w:t>
      </w:r>
      <w:r w:rsidR="003D640C">
        <w:t xml:space="preserve"> </w:t>
      </w:r>
      <w:r w:rsidRPr="00DA2287">
        <w:t>example,</w:t>
      </w:r>
      <w:r w:rsidR="003D640C">
        <w:t xml:space="preserve"> </w:t>
      </w:r>
      <w:r w:rsidRPr="00DA2287">
        <w:t>one</w:t>
      </w:r>
      <w:r w:rsidR="003D640C">
        <w:t xml:space="preserve"> </w:t>
      </w:r>
      <w:r w:rsidRPr="00DA2287">
        <w:t>Sri</w:t>
      </w:r>
      <w:r w:rsidR="003D640C">
        <w:t xml:space="preserve"> </w:t>
      </w:r>
      <w:r w:rsidRPr="00DA2287">
        <w:t>Lankan</w:t>
      </w:r>
      <w:r w:rsidR="003D640C">
        <w:t xml:space="preserve"> </w:t>
      </w:r>
      <w:r w:rsidRPr="00DA2287">
        <w:t>migrant</w:t>
      </w:r>
      <w:r w:rsidR="003D640C">
        <w:t xml:space="preserve"> </w:t>
      </w:r>
      <w:r w:rsidRPr="00DA2287">
        <w:t>ally</w:t>
      </w:r>
      <w:r w:rsidR="003D640C">
        <w:t xml:space="preserve"> </w:t>
      </w:r>
      <w:r w:rsidRPr="00DA2287">
        <w:t>of</w:t>
      </w:r>
      <w:r w:rsidR="003D640C">
        <w:t xml:space="preserve"> </w:t>
      </w:r>
      <w:r w:rsidRPr="00DA2287">
        <w:t>the</w:t>
      </w:r>
      <w:r w:rsidR="003D640C">
        <w:t xml:space="preserve"> </w:t>
      </w:r>
      <w:r w:rsidRPr="00DA2287">
        <w:t>Rainbow</w:t>
      </w:r>
      <w:r w:rsidR="003D640C">
        <w:t xml:space="preserve"> </w:t>
      </w:r>
      <w:r w:rsidR="001E2C2B">
        <w:t>c</w:t>
      </w:r>
      <w:r w:rsidRPr="00DA2287">
        <w:t>ommunity</w:t>
      </w:r>
      <w:r w:rsidR="003D640C">
        <w:t xml:space="preserve"> </w:t>
      </w:r>
      <w:r w:rsidRPr="00DA2287">
        <w:t>we</w:t>
      </w:r>
      <w:r w:rsidR="003D640C">
        <w:t xml:space="preserve"> </w:t>
      </w:r>
      <w:r w:rsidRPr="00DA2287">
        <w:t>interviewed</w:t>
      </w:r>
      <w:r w:rsidR="003D640C">
        <w:t xml:space="preserve"> </w:t>
      </w:r>
      <w:r w:rsidRPr="00DA2287">
        <w:t>discussed</w:t>
      </w:r>
      <w:r w:rsidR="003D640C">
        <w:t xml:space="preserve"> </w:t>
      </w:r>
      <w:r w:rsidRPr="00DA2287">
        <w:t>how</w:t>
      </w:r>
      <w:r w:rsidR="003D640C">
        <w:t xml:space="preserve"> </w:t>
      </w:r>
      <w:r w:rsidRPr="00DA2287">
        <w:t>some</w:t>
      </w:r>
      <w:r w:rsidR="003D640C">
        <w:t xml:space="preserve"> </w:t>
      </w:r>
      <w:r w:rsidRPr="00DA2287">
        <w:t>migrant</w:t>
      </w:r>
      <w:r w:rsidR="003D640C">
        <w:t xml:space="preserve"> </w:t>
      </w:r>
      <w:r w:rsidRPr="00DA2287">
        <w:t>parents</w:t>
      </w:r>
      <w:r w:rsidR="003D640C">
        <w:t xml:space="preserve"> </w:t>
      </w:r>
      <w:r w:rsidRPr="00DA2287">
        <w:t>are</w:t>
      </w:r>
      <w:r w:rsidR="003D640C">
        <w:t xml:space="preserve"> </w:t>
      </w:r>
      <w:r w:rsidRPr="00DA2287">
        <w:t>focused</w:t>
      </w:r>
      <w:r w:rsidR="003D640C">
        <w:t xml:space="preserve"> </w:t>
      </w:r>
      <w:r w:rsidRPr="00DA2287">
        <w:t>on</w:t>
      </w:r>
      <w:r w:rsidR="003D640C">
        <w:t xml:space="preserve"> </w:t>
      </w:r>
      <w:r w:rsidRPr="00DA2287">
        <w:t>trying</w:t>
      </w:r>
      <w:r w:rsidR="003D640C">
        <w:t xml:space="preserve"> </w:t>
      </w:r>
      <w:r w:rsidRPr="00DA2287">
        <w:t>to</w:t>
      </w:r>
      <w:r w:rsidR="003D640C">
        <w:t xml:space="preserve"> </w:t>
      </w:r>
      <w:r w:rsidRPr="00DA2287">
        <w:t>become</w:t>
      </w:r>
      <w:r w:rsidR="003D640C">
        <w:t xml:space="preserve"> </w:t>
      </w:r>
      <w:r w:rsidRPr="00DA2287">
        <w:t>as</w:t>
      </w:r>
      <w:r w:rsidR="003D640C">
        <w:t xml:space="preserve"> </w:t>
      </w:r>
      <w:r w:rsidRPr="00DA2287">
        <w:t>‘Pākehā’</w:t>
      </w:r>
      <w:r w:rsidR="003D640C">
        <w:t xml:space="preserve"> </w:t>
      </w:r>
      <w:r w:rsidRPr="00DA2287">
        <w:t>as</w:t>
      </w:r>
      <w:r w:rsidR="003D640C">
        <w:t xml:space="preserve"> </w:t>
      </w:r>
      <w:r w:rsidRPr="00DA2287">
        <w:t>possible</w:t>
      </w:r>
      <w:r w:rsidR="003D640C">
        <w:t xml:space="preserve"> </w:t>
      </w:r>
      <w:r w:rsidRPr="00DA2287">
        <w:t>as</w:t>
      </w:r>
      <w:r w:rsidR="003D640C">
        <w:t xml:space="preserve"> </w:t>
      </w:r>
      <w:r w:rsidRPr="00DA2287">
        <w:t>they</w:t>
      </w:r>
      <w:r w:rsidR="003D640C">
        <w:t xml:space="preserve"> </w:t>
      </w:r>
      <w:r w:rsidRPr="00DA2287">
        <w:t>strive</w:t>
      </w:r>
      <w:r w:rsidR="003D640C">
        <w:t xml:space="preserve"> </w:t>
      </w:r>
      <w:r w:rsidRPr="00DA2287">
        <w:t>to</w:t>
      </w:r>
      <w:r w:rsidR="003D640C">
        <w:t xml:space="preserve"> </w:t>
      </w:r>
      <w:r w:rsidRPr="00DA2287">
        <w:t>fulfil</w:t>
      </w:r>
      <w:r w:rsidR="003D640C">
        <w:t xml:space="preserve"> </w:t>
      </w:r>
      <w:r w:rsidRPr="00DA2287">
        <w:t>the</w:t>
      </w:r>
      <w:r w:rsidR="003D640C">
        <w:t xml:space="preserve"> </w:t>
      </w:r>
      <w:r w:rsidRPr="00DA2287">
        <w:t>hopes</w:t>
      </w:r>
      <w:r w:rsidR="003D640C">
        <w:t xml:space="preserve"> </w:t>
      </w:r>
      <w:r w:rsidRPr="00DA2287">
        <w:t>and</w:t>
      </w:r>
      <w:r w:rsidR="003D640C">
        <w:t xml:space="preserve"> </w:t>
      </w:r>
      <w:r w:rsidRPr="00DA2287">
        <w:t>dreams</w:t>
      </w:r>
      <w:r w:rsidR="003D640C">
        <w:t xml:space="preserve"> </w:t>
      </w:r>
      <w:r w:rsidRPr="00DA2287">
        <w:t>they</w:t>
      </w:r>
      <w:r w:rsidR="003D640C">
        <w:t xml:space="preserve"> </w:t>
      </w:r>
      <w:r w:rsidRPr="00DA2287">
        <w:t>have</w:t>
      </w:r>
      <w:r w:rsidR="003D640C">
        <w:t xml:space="preserve"> </w:t>
      </w:r>
      <w:r w:rsidRPr="00DA2287">
        <w:t>for</w:t>
      </w:r>
      <w:r w:rsidR="003D640C">
        <w:t xml:space="preserve"> </w:t>
      </w:r>
      <w:r w:rsidRPr="00DA2287">
        <w:t>themselves</w:t>
      </w:r>
      <w:r w:rsidR="003D640C">
        <w:t xml:space="preserve"> </w:t>
      </w:r>
      <w:r w:rsidRPr="00DA2287">
        <w:t>and</w:t>
      </w:r>
      <w:r w:rsidR="003D640C">
        <w:t xml:space="preserve"> </w:t>
      </w:r>
      <w:r w:rsidRPr="00DA2287">
        <w:t>their</w:t>
      </w:r>
      <w:r w:rsidR="003D640C">
        <w:t xml:space="preserve"> </w:t>
      </w:r>
      <w:r w:rsidRPr="00DA2287">
        <w:t>children</w:t>
      </w:r>
      <w:r w:rsidR="003D640C">
        <w:t xml:space="preserve"> </w:t>
      </w:r>
      <w:r w:rsidRPr="00DA2287">
        <w:t>in</w:t>
      </w:r>
      <w:r w:rsidR="003D640C">
        <w:t xml:space="preserve"> </w:t>
      </w:r>
      <w:r w:rsidRPr="00DA2287">
        <w:t>Aotearoa.</w:t>
      </w:r>
      <w:r w:rsidR="003D640C">
        <w:t xml:space="preserve"> </w:t>
      </w:r>
      <w:r w:rsidR="00270E5F" w:rsidRPr="00DA2287">
        <w:t>A</w:t>
      </w:r>
      <w:r w:rsidRPr="00DA2287">
        <w:t>t</w:t>
      </w:r>
      <w:r w:rsidR="003D640C">
        <w:t xml:space="preserve"> </w:t>
      </w:r>
      <w:r w:rsidRPr="00DA2287">
        <w:t>the</w:t>
      </w:r>
      <w:r w:rsidR="003D640C">
        <w:t xml:space="preserve"> </w:t>
      </w:r>
      <w:r w:rsidRPr="00DA2287">
        <w:t>same</w:t>
      </w:r>
      <w:r w:rsidR="003D640C">
        <w:t xml:space="preserve"> </w:t>
      </w:r>
      <w:r w:rsidRPr="00DA2287">
        <w:t>time,</w:t>
      </w:r>
      <w:r w:rsidR="003D640C">
        <w:t xml:space="preserve"> </w:t>
      </w:r>
      <w:r w:rsidRPr="00DA2287">
        <w:t>this</w:t>
      </w:r>
      <w:r w:rsidR="003D640C">
        <w:t xml:space="preserve"> </w:t>
      </w:r>
      <w:r w:rsidRPr="00DA2287">
        <w:t>person</w:t>
      </w:r>
      <w:r w:rsidR="003D640C">
        <w:t xml:space="preserve"> </w:t>
      </w:r>
      <w:r w:rsidRPr="00DA2287">
        <w:t>described</w:t>
      </w:r>
      <w:r w:rsidR="003D640C">
        <w:t xml:space="preserve"> </w:t>
      </w:r>
      <w:r w:rsidRPr="00DA2287">
        <w:t>how</w:t>
      </w:r>
      <w:r w:rsidR="003D640C">
        <w:t xml:space="preserve"> </w:t>
      </w:r>
      <w:r w:rsidRPr="00DA2287">
        <w:t>some</w:t>
      </w:r>
      <w:r w:rsidR="003D640C">
        <w:t xml:space="preserve"> </w:t>
      </w:r>
      <w:r w:rsidRPr="00DA2287">
        <w:t>Sri</w:t>
      </w:r>
      <w:r w:rsidR="003D640C">
        <w:t xml:space="preserve"> </w:t>
      </w:r>
      <w:r w:rsidRPr="00DA2287">
        <w:t>Lankan</w:t>
      </w:r>
      <w:r w:rsidR="003D640C">
        <w:t xml:space="preserve"> </w:t>
      </w:r>
      <w:r w:rsidRPr="00DA2287">
        <w:t>migrants</w:t>
      </w:r>
      <w:r w:rsidR="003D640C">
        <w:t xml:space="preserve"> </w:t>
      </w:r>
      <w:r w:rsidRPr="00DA2287">
        <w:t>felt</w:t>
      </w:r>
      <w:r w:rsidR="003D640C">
        <w:t xml:space="preserve"> </w:t>
      </w:r>
      <w:r w:rsidRPr="00DA2287">
        <w:t>very</w:t>
      </w:r>
      <w:r w:rsidR="003D640C">
        <w:t xml:space="preserve"> </w:t>
      </w:r>
      <w:r w:rsidRPr="00DA2287">
        <w:t>protective</w:t>
      </w:r>
      <w:r w:rsidR="003D640C">
        <w:t xml:space="preserve"> </w:t>
      </w:r>
      <w:r w:rsidRPr="00DA2287">
        <w:t>of</w:t>
      </w:r>
      <w:r w:rsidR="003D640C">
        <w:t xml:space="preserve"> </w:t>
      </w:r>
      <w:r w:rsidRPr="00DA2287">
        <w:t>the</w:t>
      </w:r>
      <w:r w:rsidR="003D640C">
        <w:t xml:space="preserve"> </w:t>
      </w:r>
      <w:r w:rsidRPr="00DA2287">
        <w:t>status</w:t>
      </w:r>
      <w:r w:rsidR="003D640C">
        <w:t xml:space="preserve"> </w:t>
      </w:r>
      <w:r w:rsidRPr="00DA2287">
        <w:t>of</w:t>
      </w:r>
      <w:r w:rsidR="003D640C">
        <w:t xml:space="preserve"> </w:t>
      </w:r>
      <w:r w:rsidRPr="00DA2287">
        <w:t>their</w:t>
      </w:r>
      <w:r w:rsidR="003D640C">
        <w:t xml:space="preserve"> </w:t>
      </w:r>
      <w:r w:rsidRPr="00DA2287">
        <w:t>family</w:t>
      </w:r>
      <w:r w:rsidR="003D640C">
        <w:t xml:space="preserve"> </w:t>
      </w:r>
      <w:r w:rsidRPr="00DA2287">
        <w:t>within</w:t>
      </w:r>
      <w:r w:rsidR="003D640C">
        <w:t xml:space="preserve"> </w:t>
      </w:r>
      <w:r w:rsidRPr="00DA2287">
        <w:t>their</w:t>
      </w:r>
      <w:r w:rsidR="003D640C">
        <w:t xml:space="preserve"> </w:t>
      </w:r>
      <w:r w:rsidRPr="00DA2287">
        <w:t>ethnic</w:t>
      </w:r>
      <w:r w:rsidR="003D640C">
        <w:t xml:space="preserve"> </w:t>
      </w:r>
      <w:r w:rsidRPr="00DA2287">
        <w:t>community.</w:t>
      </w:r>
      <w:r w:rsidR="003D640C">
        <w:t xml:space="preserve"> </w:t>
      </w:r>
      <w:r w:rsidRPr="00DA2287">
        <w:t>In</w:t>
      </w:r>
      <w:r w:rsidR="003D640C">
        <w:t xml:space="preserve"> </w:t>
      </w:r>
      <w:r w:rsidRPr="00DA2287">
        <w:t>that</w:t>
      </w:r>
      <w:r w:rsidR="003D640C">
        <w:t xml:space="preserve"> </w:t>
      </w:r>
      <w:r w:rsidRPr="00DA2287">
        <w:t>context,</w:t>
      </w:r>
      <w:r w:rsidR="003D640C">
        <w:t xml:space="preserve"> </w:t>
      </w:r>
      <w:r w:rsidRPr="00DA2287">
        <w:t>they</w:t>
      </w:r>
      <w:r w:rsidR="003D640C">
        <w:t xml:space="preserve"> </w:t>
      </w:r>
      <w:r w:rsidRPr="00DA2287">
        <w:t>often</w:t>
      </w:r>
      <w:r w:rsidR="003D640C">
        <w:t xml:space="preserve"> </w:t>
      </w:r>
      <w:r w:rsidRPr="00DA2287">
        <w:t>perceived</w:t>
      </w:r>
      <w:r w:rsidR="003D640C">
        <w:t xml:space="preserve"> </w:t>
      </w:r>
      <w:r w:rsidR="00270E5F" w:rsidRPr="00DA2287">
        <w:t>R</w:t>
      </w:r>
      <w:r w:rsidRPr="00DA2287">
        <w:t>ainbow</w:t>
      </w:r>
      <w:r w:rsidR="003D640C">
        <w:t xml:space="preserve"> </w:t>
      </w:r>
      <w:r w:rsidRPr="00DA2287">
        <w:t>identities</w:t>
      </w:r>
      <w:r w:rsidR="003D640C">
        <w:t xml:space="preserve"> </w:t>
      </w:r>
      <w:r w:rsidRPr="00DA2287">
        <w:t>as</w:t>
      </w:r>
      <w:r w:rsidR="003D640C">
        <w:t xml:space="preserve"> </w:t>
      </w:r>
      <w:r w:rsidRPr="00DA2287">
        <w:t>a</w:t>
      </w:r>
      <w:r w:rsidR="003D640C">
        <w:t xml:space="preserve"> </w:t>
      </w:r>
      <w:r w:rsidRPr="00DA2287">
        <w:t>potential</w:t>
      </w:r>
      <w:r w:rsidR="003D640C">
        <w:t xml:space="preserve"> </w:t>
      </w:r>
      <w:r w:rsidRPr="00DA2287">
        <w:t>threat</w:t>
      </w:r>
      <w:r w:rsidR="003D640C">
        <w:t xml:space="preserve"> </w:t>
      </w:r>
      <w:r w:rsidRPr="00DA2287">
        <w:t>to</w:t>
      </w:r>
      <w:r w:rsidR="003D640C">
        <w:t xml:space="preserve"> </w:t>
      </w:r>
      <w:r w:rsidRPr="00DA2287">
        <w:t>their</w:t>
      </w:r>
      <w:r w:rsidR="003D640C">
        <w:t xml:space="preserve"> </w:t>
      </w:r>
      <w:r w:rsidRPr="00DA2287">
        <w:t>family</w:t>
      </w:r>
      <w:r w:rsidR="003D640C">
        <w:t xml:space="preserve"> </w:t>
      </w:r>
      <w:r w:rsidRPr="00DA2287">
        <w:t>status.</w:t>
      </w:r>
      <w:r w:rsidR="003D640C">
        <w:t xml:space="preserve"> </w:t>
      </w:r>
      <w:r w:rsidRPr="00DA2287">
        <w:t>As</w:t>
      </w:r>
      <w:r w:rsidR="003D640C">
        <w:t xml:space="preserve"> </w:t>
      </w:r>
      <w:r w:rsidRPr="00DA2287">
        <w:t>this</w:t>
      </w:r>
      <w:r w:rsidR="003D640C">
        <w:t xml:space="preserve"> </w:t>
      </w:r>
      <w:r w:rsidRPr="00DA2287">
        <w:t>participant</w:t>
      </w:r>
      <w:r w:rsidR="003D640C">
        <w:t xml:space="preserve"> </w:t>
      </w:r>
      <w:r w:rsidRPr="00DA2287">
        <w:t>described</w:t>
      </w:r>
      <w:r w:rsidR="003D640C">
        <w:t xml:space="preserve"> </w:t>
      </w:r>
      <w:r w:rsidRPr="00DA2287">
        <w:t>it,</w:t>
      </w:r>
      <w:r w:rsidR="003D640C">
        <w:t xml:space="preserve"> </w:t>
      </w:r>
      <w:r w:rsidRPr="00DA2287">
        <w:t>Rainbow</w:t>
      </w:r>
      <w:r w:rsidR="003D640C">
        <w:t xml:space="preserve"> </w:t>
      </w:r>
      <w:r w:rsidRPr="00DA2287">
        <w:t>identities</w:t>
      </w:r>
      <w:r w:rsidR="003D640C">
        <w:t xml:space="preserve"> </w:t>
      </w:r>
      <w:r w:rsidRPr="00DA2287">
        <w:t>were</w:t>
      </w:r>
      <w:r w:rsidR="003D640C">
        <w:t xml:space="preserve"> </w:t>
      </w:r>
      <w:r w:rsidR="00270E5F" w:rsidRPr="00DA2287">
        <w:t>seen</w:t>
      </w:r>
      <w:r w:rsidR="003D640C">
        <w:t xml:space="preserve"> </w:t>
      </w:r>
      <w:r w:rsidRPr="00DA2287">
        <w:t>as</w:t>
      </w:r>
      <w:r w:rsidR="003D640C">
        <w:t xml:space="preserve"> </w:t>
      </w:r>
      <w:r w:rsidRPr="00DA2287">
        <w:t>part</w:t>
      </w:r>
      <w:r w:rsidR="003D640C">
        <w:t xml:space="preserve"> </w:t>
      </w:r>
      <w:r w:rsidRPr="00DA2287">
        <w:t>of</w:t>
      </w:r>
      <w:r w:rsidR="003D640C">
        <w:t xml:space="preserve"> </w:t>
      </w:r>
      <w:r w:rsidRPr="00DA2287">
        <w:t>Pākehā</w:t>
      </w:r>
      <w:r w:rsidR="003D640C">
        <w:t xml:space="preserve"> </w:t>
      </w:r>
      <w:r w:rsidRPr="00DA2287">
        <w:t>culture</w:t>
      </w:r>
      <w:r w:rsidR="003D640C">
        <w:t xml:space="preserve"> </w:t>
      </w:r>
      <w:r w:rsidRPr="00DA2287">
        <w:t>that</w:t>
      </w:r>
      <w:r w:rsidR="003D640C">
        <w:t xml:space="preserve"> </w:t>
      </w:r>
      <w:r w:rsidRPr="00DA2287">
        <w:t>was</w:t>
      </w:r>
      <w:r w:rsidR="003D640C">
        <w:t xml:space="preserve"> </w:t>
      </w:r>
      <w:r w:rsidRPr="00DA2287">
        <w:t>not</w:t>
      </w:r>
      <w:r w:rsidR="003D640C">
        <w:t xml:space="preserve"> </w:t>
      </w:r>
      <w:r w:rsidRPr="00DA2287">
        <w:t>embraced</w:t>
      </w:r>
      <w:r w:rsidR="003D640C">
        <w:t xml:space="preserve"> </w:t>
      </w:r>
      <w:r w:rsidRPr="00DA2287">
        <w:t>and</w:t>
      </w:r>
      <w:r w:rsidR="003D640C">
        <w:t xml:space="preserve"> </w:t>
      </w:r>
      <w:r w:rsidR="00EA4A2F">
        <w:t xml:space="preserve">that was </w:t>
      </w:r>
      <w:r w:rsidRPr="00DA2287">
        <w:t>perceived</w:t>
      </w:r>
      <w:r w:rsidR="003D640C">
        <w:t xml:space="preserve"> </w:t>
      </w:r>
      <w:r w:rsidRPr="00DA2287">
        <w:t>as</w:t>
      </w:r>
      <w:r w:rsidR="003D640C">
        <w:t xml:space="preserve"> </w:t>
      </w:r>
      <w:r w:rsidRPr="00DA2287">
        <w:t>a</w:t>
      </w:r>
      <w:r w:rsidR="003D640C">
        <w:t xml:space="preserve"> </w:t>
      </w:r>
      <w:r w:rsidRPr="00DA2287">
        <w:t>danger</w:t>
      </w:r>
      <w:r w:rsidR="003D640C">
        <w:t xml:space="preserve"> </w:t>
      </w:r>
      <w:r w:rsidRPr="00DA2287">
        <w:t>to</w:t>
      </w:r>
      <w:r w:rsidR="003D640C">
        <w:t xml:space="preserve"> </w:t>
      </w:r>
      <w:r w:rsidRPr="00DA2287">
        <w:t>ethnic</w:t>
      </w:r>
      <w:r w:rsidR="003D640C">
        <w:t xml:space="preserve"> </w:t>
      </w:r>
      <w:r w:rsidRPr="00DA2287">
        <w:t>cultural</w:t>
      </w:r>
      <w:r w:rsidR="003D640C">
        <w:t xml:space="preserve"> </w:t>
      </w:r>
      <w:r w:rsidRPr="00DA2287">
        <w:t>preservation.</w:t>
      </w:r>
      <w:r w:rsidR="003D640C">
        <w:t xml:space="preserve"> </w:t>
      </w:r>
      <w:r w:rsidRPr="00DA2287">
        <w:t>This</w:t>
      </w:r>
      <w:r w:rsidR="003D640C">
        <w:t xml:space="preserve"> </w:t>
      </w:r>
      <w:r w:rsidRPr="00DA2287">
        <w:t>participant</w:t>
      </w:r>
      <w:r w:rsidR="003D640C">
        <w:t xml:space="preserve"> </w:t>
      </w:r>
      <w:r w:rsidRPr="00DA2287">
        <w:t>discussed</w:t>
      </w:r>
      <w:r w:rsidR="003D640C">
        <w:t xml:space="preserve"> </w:t>
      </w:r>
      <w:r w:rsidRPr="00DA2287">
        <w:t>how</w:t>
      </w:r>
      <w:r w:rsidR="003D640C">
        <w:t xml:space="preserve"> </w:t>
      </w:r>
      <w:r w:rsidRPr="00DA2287">
        <w:t>family</w:t>
      </w:r>
      <w:r w:rsidR="003D640C">
        <w:t xml:space="preserve"> </w:t>
      </w:r>
      <w:r w:rsidRPr="00DA2287">
        <w:t>status</w:t>
      </w:r>
      <w:r w:rsidR="003D640C">
        <w:t xml:space="preserve"> </w:t>
      </w:r>
      <w:r w:rsidRPr="00DA2287">
        <w:t>can</w:t>
      </w:r>
      <w:r w:rsidR="003D640C">
        <w:t xml:space="preserve"> </w:t>
      </w:r>
      <w:r w:rsidRPr="00DA2287">
        <w:t>be</w:t>
      </w:r>
      <w:r w:rsidR="003D640C">
        <w:t xml:space="preserve"> </w:t>
      </w:r>
      <w:r w:rsidRPr="00DA2287">
        <w:t>damaged</w:t>
      </w:r>
      <w:r w:rsidR="003D640C">
        <w:t xml:space="preserve"> </w:t>
      </w:r>
      <w:r w:rsidRPr="00DA2287">
        <w:t>by</w:t>
      </w:r>
      <w:r w:rsidR="003D640C">
        <w:t xml:space="preserve"> </w:t>
      </w:r>
      <w:r w:rsidR="000C2806">
        <w:t>“</w:t>
      </w:r>
      <w:r w:rsidRPr="00DA2287">
        <w:t>gossip</w:t>
      </w:r>
      <w:r w:rsidR="003D640C">
        <w:t xml:space="preserve"> </w:t>
      </w:r>
      <w:r w:rsidRPr="00DA2287">
        <w:t>chains</w:t>
      </w:r>
      <w:r w:rsidR="003D640C">
        <w:t xml:space="preserve"> </w:t>
      </w:r>
      <w:r w:rsidRPr="00DA2287">
        <w:t>in</w:t>
      </w:r>
      <w:r w:rsidR="003D640C">
        <w:t xml:space="preserve"> </w:t>
      </w:r>
      <w:r w:rsidRPr="00DA2287">
        <w:t>the</w:t>
      </w:r>
      <w:r w:rsidR="003D640C">
        <w:t xml:space="preserve"> </w:t>
      </w:r>
      <w:r w:rsidRPr="00DA2287">
        <w:t>community</w:t>
      </w:r>
      <w:r w:rsidR="000C2806">
        <w:t>”</w:t>
      </w:r>
      <w:r w:rsidRPr="00DA2287">
        <w:t>,</w:t>
      </w:r>
      <w:r w:rsidR="003D640C">
        <w:t xml:space="preserve"> </w:t>
      </w:r>
      <w:r w:rsidRPr="00DA2287">
        <w:t>which</w:t>
      </w:r>
      <w:r w:rsidR="003D640C">
        <w:t xml:space="preserve"> </w:t>
      </w:r>
      <w:r w:rsidRPr="00DA2287">
        <w:t>they</w:t>
      </w:r>
      <w:r w:rsidR="003D640C">
        <w:t xml:space="preserve"> </w:t>
      </w:r>
      <w:r w:rsidRPr="00DA2287">
        <w:t>describe</w:t>
      </w:r>
      <w:r w:rsidR="003D640C">
        <w:t xml:space="preserve"> </w:t>
      </w:r>
      <w:r w:rsidRPr="00DA2287">
        <w:t>as</w:t>
      </w:r>
      <w:r w:rsidR="003D640C">
        <w:t xml:space="preserve"> </w:t>
      </w:r>
      <w:r w:rsidRPr="00DA2287">
        <w:t>enacting</w:t>
      </w:r>
      <w:r w:rsidR="003D640C">
        <w:t xml:space="preserve"> </w:t>
      </w:r>
      <w:r w:rsidR="000C2806">
        <w:t>“</w:t>
      </w:r>
      <w:r w:rsidRPr="00DA2287">
        <w:t>microa</w:t>
      </w:r>
      <w:r w:rsidR="004E5E21" w:rsidRPr="00DA2287">
        <w:t>g</w:t>
      </w:r>
      <w:r w:rsidRPr="00DA2287">
        <w:t>gressions</w:t>
      </w:r>
      <w:r w:rsidR="000C2806">
        <w:t>”</w:t>
      </w:r>
      <w:r w:rsidR="003D640C">
        <w:t xml:space="preserve"> </w:t>
      </w:r>
      <w:r w:rsidRPr="00DA2287">
        <w:t>directed</w:t>
      </w:r>
      <w:r w:rsidR="003D640C">
        <w:t xml:space="preserve"> </w:t>
      </w:r>
      <w:r w:rsidRPr="00DA2287">
        <w:t>not</w:t>
      </w:r>
      <w:r w:rsidR="003D640C">
        <w:t xml:space="preserve"> </w:t>
      </w:r>
      <w:r w:rsidRPr="00DA2287">
        <w:t>only</w:t>
      </w:r>
      <w:r w:rsidR="003D640C">
        <w:t xml:space="preserve"> </w:t>
      </w:r>
      <w:r w:rsidRPr="00DA2287">
        <w:t>at</w:t>
      </w:r>
      <w:r w:rsidR="003D640C">
        <w:t xml:space="preserve"> </w:t>
      </w:r>
      <w:r w:rsidRPr="00DA2287">
        <w:t>individuals</w:t>
      </w:r>
      <w:r w:rsidR="003D640C">
        <w:t xml:space="preserve"> </w:t>
      </w:r>
      <w:r w:rsidRPr="00DA2287">
        <w:t>who</w:t>
      </w:r>
      <w:r w:rsidR="003D640C">
        <w:t xml:space="preserve"> </w:t>
      </w:r>
      <w:r w:rsidRPr="00DA2287">
        <w:t>identify</w:t>
      </w:r>
      <w:r w:rsidR="003D640C">
        <w:t xml:space="preserve"> </w:t>
      </w:r>
      <w:r w:rsidRPr="00DA2287">
        <w:t>publicly</w:t>
      </w:r>
      <w:r w:rsidR="003D640C">
        <w:t xml:space="preserve"> </w:t>
      </w:r>
      <w:r w:rsidRPr="00DA2287">
        <w:t>as</w:t>
      </w:r>
      <w:r w:rsidR="003D640C">
        <w:t xml:space="preserve"> </w:t>
      </w:r>
      <w:r w:rsidR="00270E5F" w:rsidRPr="00DA2287">
        <w:t>R</w:t>
      </w:r>
      <w:r w:rsidRPr="00DA2287">
        <w:t>ainbow</w:t>
      </w:r>
      <w:r w:rsidR="003D640C">
        <w:t xml:space="preserve"> </w:t>
      </w:r>
      <w:r w:rsidRPr="00DA2287">
        <w:t>but</w:t>
      </w:r>
      <w:r w:rsidR="003D640C">
        <w:t xml:space="preserve"> </w:t>
      </w:r>
      <w:r w:rsidRPr="00DA2287">
        <w:t>also</w:t>
      </w:r>
      <w:r w:rsidR="003D640C">
        <w:t xml:space="preserve"> </w:t>
      </w:r>
      <w:r w:rsidRPr="00DA2287">
        <w:t>at</w:t>
      </w:r>
      <w:r w:rsidR="003D640C">
        <w:t xml:space="preserve"> </w:t>
      </w:r>
      <w:r w:rsidRPr="00DA2287">
        <w:t>their</w:t>
      </w:r>
      <w:r w:rsidR="003D640C">
        <w:t xml:space="preserve"> </w:t>
      </w:r>
      <w:r w:rsidRPr="00DA2287">
        <w:t>extended</w:t>
      </w:r>
      <w:r w:rsidR="003D640C">
        <w:t xml:space="preserve"> </w:t>
      </w:r>
      <w:r w:rsidRPr="00DA2287">
        <w:t>families.</w:t>
      </w:r>
      <w:r w:rsidR="003D640C">
        <w:t xml:space="preserve"> </w:t>
      </w:r>
    </w:p>
    <w:p w14:paraId="2257239D" w14:textId="61F6D5A4" w:rsidR="008B0FA9" w:rsidRPr="00DA2287" w:rsidRDefault="008B0FA9" w:rsidP="00323E57">
      <w:r w:rsidRPr="00DA2287">
        <w:lastRenderedPageBreak/>
        <w:t>Another</w:t>
      </w:r>
      <w:r w:rsidR="003D640C">
        <w:t xml:space="preserve"> </w:t>
      </w:r>
      <w:r w:rsidRPr="00DA2287">
        <w:t>Sri</w:t>
      </w:r>
      <w:r w:rsidR="003D640C">
        <w:t xml:space="preserve"> </w:t>
      </w:r>
      <w:r w:rsidRPr="00DA2287">
        <w:t>Lankan</w:t>
      </w:r>
      <w:r w:rsidR="003D640C">
        <w:t xml:space="preserve"> </w:t>
      </w:r>
      <w:r w:rsidRPr="00DA2287">
        <w:t>interviewee</w:t>
      </w:r>
      <w:r w:rsidR="003D640C">
        <w:t xml:space="preserve"> </w:t>
      </w:r>
      <w:r w:rsidRPr="00DA2287">
        <w:t>describe</w:t>
      </w:r>
      <w:r w:rsidR="000C2806">
        <w:t>d</w:t>
      </w:r>
      <w:r w:rsidR="003D640C">
        <w:t xml:space="preserve"> </w:t>
      </w:r>
      <w:r w:rsidRPr="00DA2287">
        <w:t>the</w:t>
      </w:r>
      <w:r w:rsidR="003D640C">
        <w:t xml:space="preserve"> </w:t>
      </w:r>
      <w:r w:rsidRPr="00DA2287">
        <w:t>likely</w:t>
      </w:r>
      <w:r w:rsidR="003D640C">
        <w:t xml:space="preserve"> </w:t>
      </w:r>
      <w:r w:rsidRPr="00DA2287">
        <w:t>scenario</w:t>
      </w:r>
      <w:r w:rsidR="003D640C">
        <w:t xml:space="preserve"> </w:t>
      </w:r>
      <w:r w:rsidRPr="00DA2287">
        <w:t>that</w:t>
      </w:r>
      <w:r w:rsidR="000C2806">
        <w:t>,</w:t>
      </w:r>
      <w:r w:rsidR="003D640C">
        <w:t xml:space="preserve"> </w:t>
      </w:r>
      <w:r w:rsidRPr="00DA2287">
        <w:t>if</w:t>
      </w:r>
      <w:r w:rsidR="003D640C">
        <w:t xml:space="preserve"> </w:t>
      </w:r>
      <w:r w:rsidRPr="00DA2287">
        <w:t>someone</w:t>
      </w:r>
      <w:r w:rsidR="003D640C">
        <w:t xml:space="preserve"> </w:t>
      </w:r>
      <w:r w:rsidR="007501B5" w:rsidRPr="00DA2287">
        <w:t>embraced</w:t>
      </w:r>
      <w:r w:rsidR="003D640C">
        <w:t xml:space="preserve"> </w:t>
      </w:r>
      <w:r w:rsidR="007501B5" w:rsidRPr="00DA2287">
        <w:t>a</w:t>
      </w:r>
      <w:r w:rsidR="003D640C">
        <w:t xml:space="preserve"> </w:t>
      </w:r>
      <w:r w:rsidRPr="00DA2287">
        <w:t>Rainbow</w:t>
      </w:r>
      <w:r w:rsidR="003D640C">
        <w:t xml:space="preserve"> </w:t>
      </w:r>
      <w:r w:rsidR="007501B5" w:rsidRPr="00DA2287">
        <w:t>identity</w:t>
      </w:r>
      <w:r w:rsidRPr="00DA2287">
        <w:t>,</w:t>
      </w:r>
      <w:r w:rsidR="003D640C">
        <w:t xml:space="preserve"> </w:t>
      </w:r>
      <w:r w:rsidRPr="00DA2287">
        <w:t>it</w:t>
      </w:r>
      <w:r w:rsidR="003D640C">
        <w:t xml:space="preserve"> </w:t>
      </w:r>
      <w:r w:rsidRPr="00DA2287">
        <w:t>would</w:t>
      </w:r>
      <w:r w:rsidR="003D640C">
        <w:t xml:space="preserve"> </w:t>
      </w:r>
      <w:r w:rsidRPr="00DA2287">
        <w:t>become</w:t>
      </w:r>
      <w:r w:rsidR="003D640C">
        <w:t xml:space="preserve"> </w:t>
      </w:r>
      <w:r w:rsidRPr="00DA2287">
        <w:t>a</w:t>
      </w:r>
      <w:r w:rsidR="003D640C">
        <w:t xml:space="preserve"> </w:t>
      </w:r>
      <w:r w:rsidRPr="00DA2287">
        <w:t>cause</w:t>
      </w:r>
      <w:r w:rsidR="003D640C">
        <w:t xml:space="preserve"> </w:t>
      </w:r>
      <w:r w:rsidRPr="00DA2287">
        <w:t>of</w:t>
      </w:r>
      <w:r w:rsidR="003D640C">
        <w:t xml:space="preserve"> </w:t>
      </w:r>
      <w:r w:rsidRPr="00DA2287">
        <w:t>potential</w:t>
      </w:r>
      <w:r w:rsidR="003D640C">
        <w:t xml:space="preserve"> </w:t>
      </w:r>
      <w:r w:rsidRPr="00DA2287">
        <w:t>shame</w:t>
      </w:r>
      <w:r w:rsidR="003D640C">
        <w:t xml:space="preserve"> </w:t>
      </w:r>
      <w:r w:rsidRPr="00DA2287">
        <w:t>for</w:t>
      </w:r>
      <w:r w:rsidR="003D640C">
        <w:t xml:space="preserve"> </w:t>
      </w:r>
      <w:r w:rsidRPr="00DA2287">
        <w:t>the</w:t>
      </w:r>
      <w:r w:rsidR="003D640C">
        <w:t xml:space="preserve"> </w:t>
      </w:r>
      <w:r w:rsidRPr="00DA2287">
        <w:t>family</w:t>
      </w:r>
      <w:r w:rsidR="003D640C">
        <w:t xml:space="preserve"> </w:t>
      </w:r>
      <w:r w:rsidR="007501B5" w:rsidRPr="00DA2287">
        <w:t>within</w:t>
      </w:r>
      <w:r w:rsidR="003D640C">
        <w:t xml:space="preserve"> </w:t>
      </w:r>
      <w:r w:rsidRPr="00DA2287">
        <w:t>their</w:t>
      </w:r>
      <w:r w:rsidR="003D640C">
        <w:t xml:space="preserve"> </w:t>
      </w:r>
      <w:r w:rsidRPr="00DA2287">
        <w:t>wider</w:t>
      </w:r>
      <w:r w:rsidR="003D640C">
        <w:t xml:space="preserve"> </w:t>
      </w:r>
      <w:r w:rsidRPr="00DA2287">
        <w:t>communit</w:t>
      </w:r>
      <w:r w:rsidR="007501B5" w:rsidRPr="00DA2287">
        <w:t>y.</w:t>
      </w:r>
      <w:r w:rsidR="003D640C">
        <w:t xml:space="preserve"> </w:t>
      </w:r>
      <w:r w:rsidR="007501B5" w:rsidRPr="00DA2287">
        <w:t>The</w:t>
      </w:r>
      <w:r w:rsidR="003D640C">
        <w:t xml:space="preserve"> </w:t>
      </w:r>
      <w:r w:rsidR="007501B5" w:rsidRPr="00DA2287">
        <w:t>family’s</w:t>
      </w:r>
      <w:r w:rsidR="003D640C">
        <w:t xml:space="preserve"> </w:t>
      </w:r>
      <w:r w:rsidR="007501B5" w:rsidRPr="00DA2287">
        <w:t>relationship</w:t>
      </w:r>
      <w:r w:rsidR="003D640C">
        <w:t xml:space="preserve"> </w:t>
      </w:r>
      <w:r w:rsidR="007501B5" w:rsidRPr="00DA2287">
        <w:t>with</w:t>
      </w:r>
      <w:r w:rsidR="003D640C">
        <w:t xml:space="preserve"> </w:t>
      </w:r>
      <w:r w:rsidR="007501B5" w:rsidRPr="00DA2287">
        <w:t>the</w:t>
      </w:r>
      <w:r w:rsidR="003D640C">
        <w:t xml:space="preserve"> </w:t>
      </w:r>
      <w:r w:rsidR="007501B5" w:rsidRPr="00DA2287">
        <w:t>community</w:t>
      </w:r>
      <w:r w:rsidR="003D640C">
        <w:t xml:space="preserve"> </w:t>
      </w:r>
      <w:r w:rsidR="007501B5" w:rsidRPr="00DA2287">
        <w:t>would</w:t>
      </w:r>
      <w:r w:rsidR="003D640C">
        <w:t xml:space="preserve"> </w:t>
      </w:r>
      <w:r w:rsidR="007501B5" w:rsidRPr="00DA2287">
        <w:t>then</w:t>
      </w:r>
      <w:r w:rsidR="003D640C">
        <w:t xml:space="preserve"> </w:t>
      </w:r>
      <w:r w:rsidRPr="00DA2287">
        <w:t>become</w:t>
      </w:r>
      <w:r w:rsidR="003D640C">
        <w:t xml:space="preserve"> </w:t>
      </w:r>
      <w:r w:rsidRPr="00DA2287">
        <w:t>the</w:t>
      </w:r>
      <w:r w:rsidR="003D640C">
        <w:t xml:space="preserve"> </w:t>
      </w:r>
      <w:r w:rsidRPr="00DA2287">
        <w:t>focus,</w:t>
      </w:r>
      <w:r w:rsidR="003D640C">
        <w:t xml:space="preserve"> </w:t>
      </w:r>
      <w:r w:rsidRPr="00DA2287">
        <w:t>as</w:t>
      </w:r>
      <w:r w:rsidR="003D640C">
        <w:t xml:space="preserve"> </w:t>
      </w:r>
      <w:r w:rsidRPr="00DA2287">
        <w:t>opposed</w:t>
      </w:r>
      <w:r w:rsidR="003D640C">
        <w:t xml:space="preserve"> </w:t>
      </w:r>
      <w:r w:rsidRPr="00DA2287">
        <w:t>to</w:t>
      </w:r>
      <w:r w:rsidR="003D640C">
        <w:t xml:space="preserve"> </w:t>
      </w:r>
      <w:r w:rsidRPr="00DA2287">
        <w:t>any</w:t>
      </w:r>
      <w:r w:rsidR="003D640C">
        <w:t xml:space="preserve"> </w:t>
      </w:r>
      <w:r w:rsidRPr="00DA2287">
        <w:t>thought</w:t>
      </w:r>
      <w:r w:rsidR="003D640C">
        <w:t xml:space="preserve"> </w:t>
      </w:r>
      <w:r w:rsidR="00270E5F" w:rsidRPr="00DA2287">
        <w:t>of</w:t>
      </w:r>
      <w:r w:rsidR="003D640C">
        <w:t xml:space="preserve"> </w:t>
      </w:r>
      <w:r w:rsidRPr="00DA2287">
        <w:t>care</w:t>
      </w:r>
      <w:r w:rsidR="003D640C">
        <w:t xml:space="preserve"> </w:t>
      </w:r>
      <w:r w:rsidRPr="00DA2287">
        <w:t>or</w:t>
      </w:r>
      <w:r w:rsidR="003D640C">
        <w:t xml:space="preserve"> </w:t>
      </w:r>
      <w:r w:rsidRPr="00DA2287">
        <w:t>support</w:t>
      </w:r>
      <w:r w:rsidR="003D640C">
        <w:t xml:space="preserve"> </w:t>
      </w:r>
      <w:r w:rsidRPr="00DA2287">
        <w:t>the</w:t>
      </w:r>
      <w:r w:rsidR="003D640C">
        <w:t xml:space="preserve"> </w:t>
      </w:r>
      <w:r w:rsidRPr="00DA2287">
        <w:t>individual</w:t>
      </w:r>
      <w:r w:rsidR="003D640C">
        <w:t xml:space="preserve"> </w:t>
      </w:r>
      <w:r w:rsidRPr="00DA2287">
        <w:t>might</w:t>
      </w:r>
      <w:r w:rsidR="003D640C">
        <w:t xml:space="preserve"> </w:t>
      </w:r>
      <w:r w:rsidRPr="00DA2287">
        <w:t>require:</w:t>
      </w:r>
      <w:r w:rsidR="003D640C">
        <w:t xml:space="preserve"> </w:t>
      </w:r>
      <w:r w:rsidRPr="00DA2287">
        <w:t>“It</w:t>
      </w:r>
      <w:r w:rsidR="003D640C">
        <w:t xml:space="preserve"> </w:t>
      </w:r>
      <w:r w:rsidRPr="00DA2287">
        <w:t>becomes</w:t>
      </w:r>
      <w:r w:rsidR="003D640C">
        <w:t xml:space="preserve"> </w:t>
      </w:r>
      <w:r w:rsidRPr="00DA2287">
        <w:t>more</w:t>
      </w:r>
      <w:r w:rsidR="003D640C">
        <w:t xml:space="preserve"> </w:t>
      </w:r>
      <w:r w:rsidRPr="00DA2287">
        <w:t>of</w:t>
      </w:r>
      <w:r w:rsidR="003D640C">
        <w:t xml:space="preserve"> </w:t>
      </w:r>
      <w:r w:rsidRPr="00DA2287">
        <w:t>a</w:t>
      </w:r>
      <w:r w:rsidR="003D640C">
        <w:t xml:space="preserve"> </w:t>
      </w:r>
      <w:r w:rsidRPr="00DA2287">
        <w:t>‘what</w:t>
      </w:r>
      <w:r w:rsidR="003D640C">
        <w:t xml:space="preserve"> </w:t>
      </w:r>
      <w:r w:rsidRPr="00DA2287">
        <w:t>will</w:t>
      </w:r>
      <w:r w:rsidR="003D640C">
        <w:t xml:space="preserve"> </w:t>
      </w:r>
      <w:r w:rsidRPr="00DA2287">
        <w:t>xyz</w:t>
      </w:r>
      <w:r w:rsidR="003D640C">
        <w:t xml:space="preserve"> </w:t>
      </w:r>
      <w:r w:rsidRPr="00DA2287">
        <w:t>think’</w:t>
      </w:r>
      <w:r w:rsidR="003D640C">
        <w:t xml:space="preserve"> </w:t>
      </w:r>
      <w:r w:rsidRPr="00DA2287">
        <w:t>rather</w:t>
      </w:r>
      <w:r w:rsidR="003D640C">
        <w:t xml:space="preserve"> </w:t>
      </w:r>
      <w:r w:rsidRPr="00DA2287">
        <w:t>than</w:t>
      </w:r>
      <w:r w:rsidR="003D640C">
        <w:t xml:space="preserve"> </w:t>
      </w:r>
      <w:r w:rsidRPr="00DA2287">
        <w:t>focusing</w:t>
      </w:r>
      <w:r w:rsidR="003D640C">
        <w:t xml:space="preserve"> </w:t>
      </w:r>
      <w:r w:rsidRPr="00DA2287">
        <w:t>on</w:t>
      </w:r>
      <w:r w:rsidR="003D640C">
        <w:t xml:space="preserve"> </w:t>
      </w:r>
      <w:r w:rsidRPr="00DA2287">
        <w:t>the</w:t>
      </w:r>
      <w:r w:rsidR="003D640C">
        <w:t xml:space="preserve"> </w:t>
      </w:r>
      <w:r w:rsidRPr="00DA2287">
        <w:t>hauora</w:t>
      </w:r>
      <w:r w:rsidR="003D640C">
        <w:t xml:space="preserve"> </w:t>
      </w:r>
      <w:r w:rsidR="000C2806">
        <w:t>[</w:t>
      </w:r>
      <w:r w:rsidRPr="00DA2287">
        <w:t>health</w:t>
      </w:r>
      <w:r w:rsidR="003D640C">
        <w:t xml:space="preserve"> </w:t>
      </w:r>
      <w:r w:rsidRPr="00DA2287">
        <w:t>and</w:t>
      </w:r>
      <w:r w:rsidR="003D640C">
        <w:t xml:space="preserve"> </w:t>
      </w:r>
      <w:r w:rsidR="5C949423" w:rsidRPr="00DA2287">
        <w:t>wellbeing</w:t>
      </w:r>
      <w:r w:rsidR="000C2806">
        <w:t>]</w:t>
      </w:r>
      <w:r w:rsidR="003D640C">
        <w:t xml:space="preserve"> </w:t>
      </w:r>
      <w:r w:rsidRPr="00DA2287">
        <w:t>of</w:t>
      </w:r>
      <w:r w:rsidR="003D640C">
        <w:t xml:space="preserve"> </w:t>
      </w:r>
      <w:r w:rsidRPr="00DA2287">
        <w:t>the</w:t>
      </w:r>
      <w:r w:rsidR="003D640C">
        <w:t xml:space="preserve"> </w:t>
      </w:r>
      <w:r w:rsidRPr="00DA2287">
        <w:t>individual</w:t>
      </w:r>
      <w:r w:rsidR="003D640C">
        <w:t xml:space="preserve"> </w:t>
      </w:r>
      <w:r w:rsidRPr="00DA2287">
        <w:t>who</w:t>
      </w:r>
      <w:r w:rsidR="003D640C">
        <w:t xml:space="preserve"> </w:t>
      </w:r>
      <w:r w:rsidRPr="00DA2287">
        <w:t>is</w:t>
      </w:r>
      <w:r w:rsidR="003D640C">
        <w:t xml:space="preserve"> </w:t>
      </w:r>
      <w:r w:rsidRPr="00DA2287">
        <w:t>coming</w:t>
      </w:r>
      <w:r w:rsidR="003D640C">
        <w:t xml:space="preserve"> </w:t>
      </w:r>
      <w:r w:rsidRPr="00DA2287">
        <w:t>out.”</w:t>
      </w:r>
      <w:r w:rsidR="003D640C">
        <w:t xml:space="preserve"> </w:t>
      </w:r>
    </w:p>
    <w:p w14:paraId="03FE0140" w14:textId="186AF87F" w:rsidR="008B0FA9" w:rsidRPr="00DA2287" w:rsidRDefault="008B0FA9" w:rsidP="00323E57">
      <w:r w:rsidRPr="00DA2287">
        <w:t>The</w:t>
      </w:r>
      <w:r w:rsidR="003D640C">
        <w:t xml:space="preserve"> </w:t>
      </w:r>
      <w:r w:rsidRPr="00DA2287">
        <w:t>sense</w:t>
      </w:r>
      <w:r w:rsidR="003D640C">
        <w:t xml:space="preserve"> </w:t>
      </w:r>
      <w:r w:rsidRPr="00DA2287">
        <w:t>that</w:t>
      </w:r>
      <w:r w:rsidR="003D640C">
        <w:t xml:space="preserve"> </w:t>
      </w:r>
      <w:r w:rsidRPr="00DA2287">
        <w:t>disclosing</w:t>
      </w:r>
      <w:r w:rsidR="003D640C">
        <w:t xml:space="preserve"> </w:t>
      </w:r>
      <w:r w:rsidRPr="00DA2287">
        <w:t>a</w:t>
      </w:r>
      <w:r w:rsidR="003D640C">
        <w:t xml:space="preserve"> </w:t>
      </w:r>
      <w:r w:rsidRPr="00DA2287">
        <w:t>Rainbow</w:t>
      </w:r>
      <w:r w:rsidR="003D640C">
        <w:t xml:space="preserve"> </w:t>
      </w:r>
      <w:r w:rsidRPr="00DA2287">
        <w:t>identity</w:t>
      </w:r>
      <w:r w:rsidR="003D640C">
        <w:t xml:space="preserve"> </w:t>
      </w:r>
      <w:r w:rsidRPr="00DA2287">
        <w:t>was</w:t>
      </w:r>
      <w:r w:rsidR="003D640C">
        <w:t xml:space="preserve"> </w:t>
      </w:r>
      <w:r w:rsidRPr="00DA2287">
        <w:t>potentially</w:t>
      </w:r>
      <w:r w:rsidR="003D640C">
        <w:t xml:space="preserve"> </w:t>
      </w:r>
      <w:r w:rsidRPr="00DA2287">
        <w:t>risky</w:t>
      </w:r>
      <w:r w:rsidR="003D640C">
        <w:t xml:space="preserve"> </w:t>
      </w:r>
      <w:r w:rsidRPr="00DA2287">
        <w:t>was</w:t>
      </w:r>
      <w:r w:rsidR="003D640C">
        <w:t xml:space="preserve"> </w:t>
      </w:r>
      <w:r w:rsidRPr="00DA2287">
        <w:t>shared</w:t>
      </w:r>
      <w:r w:rsidR="003D640C">
        <w:t xml:space="preserve"> </w:t>
      </w:r>
      <w:r w:rsidRPr="00DA2287">
        <w:t>by</w:t>
      </w:r>
      <w:r w:rsidR="003D640C">
        <w:t xml:space="preserve"> </w:t>
      </w:r>
      <w:r w:rsidRPr="00DA2287">
        <w:t>others</w:t>
      </w:r>
      <w:r w:rsidR="003D640C">
        <w:t xml:space="preserve"> </w:t>
      </w:r>
      <w:r w:rsidR="000C2806">
        <w:t xml:space="preserve">who </w:t>
      </w:r>
      <w:r w:rsidRPr="00DA2287">
        <w:t>we</w:t>
      </w:r>
      <w:r w:rsidR="003D640C">
        <w:t xml:space="preserve"> </w:t>
      </w:r>
      <w:r w:rsidRPr="00DA2287">
        <w:t>interviewed.</w:t>
      </w:r>
      <w:r w:rsidR="003D640C">
        <w:t xml:space="preserve"> </w:t>
      </w:r>
      <w:r w:rsidR="007501B5" w:rsidRPr="00DA2287">
        <w:t>In</w:t>
      </w:r>
      <w:r w:rsidR="003D640C">
        <w:t xml:space="preserve"> </w:t>
      </w:r>
      <w:r w:rsidRPr="00DA2287">
        <w:t>another</w:t>
      </w:r>
      <w:r w:rsidR="003D640C">
        <w:t xml:space="preserve"> </w:t>
      </w:r>
      <w:r w:rsidRPr="00DA2287">
        <w:t>example,</w:t>
      </w:r>
      <w:r w:rsidR="003D640C">
        <w:t xml:space="preserve"> </w:t>
      </w:r>
      <w:r w:rsidRPr="00DA2287">
        <w:t>a</w:t>
      </w:r>
      <w:r w:rsidR="003D640C">
        <w:t xml:space="preserve"> </w:t>
      </w:r>
      <w:r w:rsidRPr="00DA2287">
        <w:t>Parsi</w:t>
      </w:r>
      <w:r w:rsidR="003D640C">
        <w:t xml:space="preserve"> </w:t>
      </w:r>
      <w:r w:rsidRPr="00DA2287">
        <w:t>migrant</w:t>
      </w:r>
      <w:r w:rsidR="003D640C">
        <w:t xml:space="preserve"> </w:t>
      </w:r>
      <w:r w:rsidRPr="00DA2287">
        <w:t>described</w:t>
      </w:r>
      <w:r w:rsidR="003D640C">
        <w:t xml:space="preserve"> </w:t>
      </w:r>
      <w:r w:rsidR="000C2806">
        <w:t>the</w:t>
      </w:r>
      <w:r w:rsidR="003D640C">
        <w:t xml:space="preserve"> </w:t>
      </w:r>
      <w:r w:rsidRPr="00DA2287">
        <w:t>high</w:t>
      </w:r>
      <w:r w:rsidR="003D640C">
        <w:t xml:space="preserve"> </w:t>
      </w:r>
      <w:r w:rsidRPr="00DA2287">
        <w:t>stakes</w:t>
      </w:r>
      <w:r w:rsidR="003D640C">
        <w:t xml:space="preserve"> </w:t>
      </w:r>
      <w:r w:rsidR="00270E5F" w:rsidRPr="00DA2287">
        <w:t>of</w:t>
      </w:r>
      <w:r w:rsidR="003D640C">
        <w:t xml:space="preserve"> </w:t>
      </w:r>
      <w:r w:rsidRPr="00DA2287">
        <w:t>revealing</w:t>
      </w:r>
      <w:r w:rsidR="003D640C">
        <w:t xml:space="preserve"> </w:t>
      </w:r>
      <w:r w:rsidRPr="00DA2287">
        <w:t>their</w:t>
      </w:r>
      <w:r w:rsidR="003D640C">
        <w:t xml:space="preserve"> </w:t>
      </w:r>
      <w:r w:rsidRPr="00DA2287">
        <w:t>Rainbow</w:t>
      </w:r>
      <w:r w:rsidR="003D640C">
        <w:t xml:space="preserve"> </w:t>
      </w:r>
      <w:r w:rsidRPr="00DA2287">
        <w:t>identity</w:t>
      </w:r>
      <w:r w:rsidR="000C2806">
        <w:t>.</w:t>
      </w:r>
    </w:p>
    <w:p w14:paraId="4282A51A" w14:textId="077BB115" w:rsidR="008B0FA9" w:rsidRPr="00DA2287" w:rsidRDefault="002728B2" w:rsidP="00323E57">
      <w:pPr>
        <w:pStyle w:val="Quote"/>
      </w:pPr>
      <w:r w:rsidRPr="00DA2287">
        <w:t>“</w:t>
      </w:r>
      <w:r w:rsidR="008B0FA9" w:rsidRPr="00DA2287">
        <w:t>If</w:t>
      </w:r>
      <w:r w:rsidR="003D640C">
        <w:t xml:space="preserve"> </w:t>
      </w:r>
      <w:r w:rsidR="008B0FA9" w:rsidRPr="00DA2287">
        <w:t>I</w:t>
      </w:r>
      <w:r w:rsidR="003D640C">
        <w:t xml:space="preserve"> </w:t>
      </w:r>
      <w:r w:rsidR="008B0FA9" w:rsidRPr="00DA2287">
        <w:t>were</w:t>
      </w:r>
      <w:r w:rsidR="003D640C">
        <w:t xml:space="preserve"> </w:t>
      </w:r>
      <w:r w:rsidR="008B0FA9" w:rsidRPr="00DA2287">
        <w:t>to</w:t>
      </w:r>
      <w:r w:rsidR="003D640C">
        <w:t xml:space="preserve"> </w:t>
      </w:r>
      <w:r w:rsidR="008B0FA9" w:rsidRPr="00DA2287">
        <w:t>come</w:t>
      </w:r>
      <w:r w:rsidR="003D640C">
        <w:t xml:space="preserve"> </w:t>
      </w:r>
      <w:r w:rsidR="008B0FA9" w:rsidRPr="00DA2287">
        <w:t>out,</w:t>
      </w:r>
      <w:r w:rsidR="003D640C">
        <w:t xml:space="preserve"> </w:t>
      </w:r>
      <w:r w:rsidR="008B0FA9" w:rsidRPr="00DA2287">
        <w:t>it</w:t>
      </w:r>
      <w:r w:rsidR="003D640C">
        <w:t xml:space="preserve"> </w:t>
      </w:r>
      <w:r w:rsidR="008B0FA9" w:rsidRPr="00DA2287">
        <w:t>would</w:t>
      </w:r>
      <w:r w:rsidR="003D640C">
        <w:t xml:space="preserve"> </w:t>
      </w:r>
      <w:r w:rsidR="008B0FA9" w:rsidRPr="00DA2287">
        <w:t>not</w:t>
      </w:r>
      <w:r w:rsidR="003D640C">
        <w:t xml:space="preserve"> </w:t>
      </w:r>
      <w:r w:rsidR="008B0FA9" w:rsidRPr="00DA2287">
        <w:t>only</w:t>
      </w:r>
      <w:r w:rsidR="003D640C">
        <w:t xml:space="preserve"> </w:t>
      </w:r>
      <w:r w:rsidR="008B0FA9" w:rsidRPr="00DA2287">
        <w:t>be</w:t>
      </w:r>
      <w:r w:rsidR="003D640C">
        <w:t xml:space="preserve"> </w:t>
      </w:r>
      <w:r w:rsidR="008B0FA9" w:rsidRPr="00DA2287">
        <w:t>to</w:t>
      </w:r>
      <w:r w:rsidR="003D640C">
        <w:t xml:space="preserve"> </w:t>
      </w:r>
      <w:r w:rsidR="008B0FA9" w:rsidRPr="00DA2287">
        <w:t>my</w:t>
      </w:r>
      <w:r w:rsidR="003D640C">
        <w:t xml:space="preserve"> </w:t>
      </w:r>
      <w:r w:rsidR="008B0FA9" w:rsidRPr="00DA2287">
        <w:t>immediate</w:t>
      </w:r>
      <w:r w:rsidR="003D640C">
        <w:t xml:space="preserve"> </w:t>
      </w:r>
      <w:r w:rsidR="008B0FA9" w:rsidRPr="00DA2287">
        <w:t>family,</w:t>
      </w:r>
      <w:r w:rsidR="003D640C">
        <w:t xml:space="preserve"> </w:t>
      </w:r>
      <w:r w:rsidR="008B0FA9" w:rsidRPr="00DA2287">
        <w:t>it</w:t>
      </w:r>
      <w:r w:rsidR="003D640C">
        <w:t xml:space="preserve"> </w:t>
      </w:r>
      <w:r w:rsidR="008B0FA9" w:rsidRPr="00DA2287">
        <w:t>would</w:t>
      </w:r>
      <w:r w:rsidR="003D640C">
        <w:t xml:space="preserve"> </w:t>
      </w:r>
      <w:r w:rsidR="008B0FA9" w:rsidRPr="00DA2287">
        <w:t>be</w:t>
      </w:r>
      <w:r w:rsidR="003D640C">
        <w:t xml:space="preserve"> </w:t>
      </w:r>
      <w:r w:rsidR="008B0FA9" w:rsidRPr="00DA2287">
        <w:t>to</w:t>
      </w:r>
      <w:r w:rsidR="003D640C">
        <w:t xml:space="preserve"> </w:t>
      </w:r>
      <w:r w:rsidR="008B0FA9" w:rsidRPr="00DA2287">
        <w:t>my</w:t>
      </w:r>
      <w:r w:rsidR="003D640C">
        <w:t xml:space="preserve"> </w:t>
      </w:r>
      <w:r w:rsidR="008B0FA9" w:rsidRPr="00DA2287">
        <w:t>whole</w:t>
      </w:r>
      <w:r w:rsidR="003D640C">
        <w:t xml:space="preserve"> </w:t>
      </w:r>
      <w:r w:rsidR="008B0FA9" w:rsidRPr="00DA2287">
        <w:t>family</w:t>
      </w:r>
      <w:r w:rsidR="003D640C">
        <w:t xml:space="preserve"> </w:t>
      </w:r>
      <w:r w:rsidR="000C2806">
        <w:t>–</w:t>
      </w:r>
      <w:r w:rsidR="003D640C">
        <w:t xml:space="preserve"> </w:t>
      </w:r>
      <w:r w:rsidR="008B0FA9" w:rsidRPr="00DA2287">
        <w:t>the</w:t>
      </w:r>
      <w:r w:rsidR="003D640C">
        <w:t xml:space="preserve"> </w:t>
      </w:r>
      <w:r w:rsidR="008B0FA9" w:rsidRPr="00DA2287">
        <w:t>community.</w:t>
      </w:r>
      <w:r w:rsidRPr="00DA2287">
        <w:t>”</w:t>
      </w:r>
      <w:r w:rsidR="003D640C">
        <w:t xml:space="preserve"> </w:t>
      </w:r>
      <w:r w:rsidR="008B0FA9" w:rsidRPr="00DA2287">
        <w:t>Parsi</w:t>
      </w:r>
      <w:r w:rsidR="003D640C">
        <w:t xml:space="preserve"> </w:t>
      </w:r>
      <w:r w:rsidR="008B0FA9" w:rsidRPr="00DA2287">
        <w:t>migrant,</w:t>
      </w:r>
      <w:r w:rsidR="003D640C">
        <w:t xml:space="preserve"> </w:t>
      </w:r>
      <w:r w:rsidR="008B0FA9" w:rsidRPr="00DA2287">
        <w:t>closeted</w:t>
      </w:r>
    </w:p>
    <w:p w14:paraId="74C130D8" w14:textId="07F809D5" w:rsidR="00755181" w:rsidRPr="00DA2287" w:rsidRDefault="008B0FA9" w:rsidP="00323E57">
      <w:r w:rsidRPr="00DA2287">
        <w:t>A</w:t>
      </w:r>
      <w:r w:rsidR="003D640C">
        <w:t xml:space="preserve"> </w:t>
      </w:r>
      <w:r w:rsidR="00D15233">
        <w:t>Fijian</w:t>
      </w:r>
      <w:r w:rsidR="00D0798D">
        <w:t xml:space="preserve"> </w:t>
      </w:r>
      <w:r w:rsidR="00D15233">
        <w:t>Indian</w:t>
      </w:r>
      <w:r w:rsidR="003D640C">
        <w:t xml:space="preserve"> </w:t>
      </w:r>
      <w:r w:rsidRPr="00DA2287">
        <w:t>queer</w:t>
      </w:r>
      <w:r w:rsidR="003D640C">
        <w:t xml:space="preserve"> </w:t>
      </w:r>
      <w:r w:rsidRPr="00DA2287">
        <w:t>participant</w:t>
      </w:r>
      <w:r w:rsidR="003D640C">
        <w:t xml:space="preserve"> </w:t>
      </w:r>
      <w:r w:rsidR="000C2806">
        <w:t xml:space="preserve">made </w:t>
      </w:r>
      <w:r w:rsidRPr="00DA2287">
        <w:t>a</w:t>
      </w:r>
      <w:r w:rsidR="003D640C">
        <w:t xml:space="preserve"> </w:t>
      </w:r>
      <w:r w:rsidRPr="00DA2287">
        <w:t>similar</w:t>
      </w:r>
      <w:r w:rsidR="003D640C">
        <w:t xml:space="preserve"> </w:t>
      </w:r>
      <w:r w:rsidRPr="00DA2287">
        <w:t>point,</w:t>
      </w:r>
      <w:r w:rsidR="003D640C">
        <w:t xml:space="preserve"> </w:t>
      </w:r>
      <w:r w:rsidRPr="00DA2287">
        <w:t>explaining</w:t>
      </w:r>
      <w:r w:rsidR="003D640C">
        <w:t xml:space="preserve"> </w:t>
      </w:r>
      <w:r w:rsidRPr="00DA2287">
        <w:t>that</w:t>
      </w:r>
      <w:r w:rsidR="000C2806">
        <w:t>,</w:t>
      </w:r>
      <w:r w:rsidR="003D640C">
        <w:t xml:space="preserve"> </w:t>
      </w:r>
      <w:r w:rsidRPr="00DA2287">
        <w:t>when</w:t>
      </w:r>
      <w:r w:rsidR="003D640C">
        <w:t xml:space="preserve"> </w:t>
      </w:r>
      <w:r w:rsidRPr="00DA2287">
        <w:t>it</w:t>
      </w:r>
      <w:r w:rsidR="003D640C">
        <w:t xml:space="preserve"> </w:t>
      </w:r>
      <w:r w:rsidRPr="00DA2287">
        <w:t>comes</w:t>
      </w:r>
      <w:r w:rsidR="003D640C">
        <w:t xml:space="preserve"> </w:t>
      </w:r>
      <w:r w:rsidRPr="00DA2287">
        <w:t>to</w:t>
      </w:r>
      <w:r w:rsidR="003D640C">
        <w:t xml:space="preserve"> </w:t>
      </w:r>
      <w:r w:rsidRPr="00DA2287">
        <w:t>thinking</w:t>
      </w:r>
      <w:r w:rsidR="003D640C">
        <w:t xml:space="preserve"> </w:t>
      </w:r>
      <w:r w:rsidRPr="00DA2287">
        <w:t>about</w:t>
      </w:r>
      <w:r w:rsidR="003D640C">
        <w:t xml:space="preserve"> </w:t>
      </w:r>
      <w:r w:rsidRPr="00DA2287">
        <w:t>getting</w:t>
      </w:r>
      <w:r w:rsidR="003D640C">
        <w:t xml:space="preserve"> </w:t>
      </w:r>
      <w:r w:rsidRPr="00DA2287">
        <w:t>ahead</w:t>
      </w:r>
      <w:r w:rsidR="003D640C">
        <w:t xml:space="preserve"> </w:t>
      </w:r>
      <w:r w:rsidRPr="00DA2287">
        <w:t>in</w:t>
      </w:r>
      <w:r w:rsidR="003D640C">
        <w:t xml:space="preserve"> </w:t>
      </w:r>
      <w:r w:rsidRPr="00DA2287">
        <w:t>society</w:t>
      </w:r>
      <w:r w:rsidR="003D640C">
        <w:t xml:space="preserve"> </w:t>
      </w:r>
      <w:r w:rsidRPr="00DA2287">
        <w:t>and</w:t>
      </w:r>
      <w:r w:rsidR="003D640C">
        <w:t xml:space="preserve"> </w:t>
      </w:r>
      <w:r w:rsidRPr="00DA2287">
        <w:t>what</w:t>
      </w:r>
      <w:r w:rsidR="003D640C">
        <w:t xml:space="preserve"> </w:t>
      </w:r>
      <w:r w:rsidRPr="00DA2287">
        <w:t>success</w:t>
      </w:r>
      <w:r w:rsidR="003D640C">
        <w:t xml:space="preserve"> </w:t>
      </w:r>
      <w:r w:rsidRPr="00DA2287">
        <w:t>looks</w:t>
      </w:r>
      <w:r w:rsidR="003D640C">
        <w:t xml:space="preserve"> </w:t>
      </w:r>
      <w:r w:rsidRPr="00DA2287">
        <w:t>like,</w:t>
      </w:r>
      <w:r w:rsidR="003D640C">
        <w:t xml:space="preserve"> </w:t>
      </w:r>
      <w:r w:rsidRPr="00DA2287">
        <w:t>coming</w:t>
      </w:r>
      <w:r w:rsidR="003D640C">
        <w:t xml:space="preserve"> </w:t>
      </w:r>
      <w:r w:rsidRPr="00DA2287">
        <w:t>out</w:t>
      </w:r>
      <w:r w:rsidR="003D640C">
        <w:t xml:space="preserve"> </w:t>
      </w:r>
      <w:r w:rsidRPr="00DA2287">
        <w:t>as</w:t>
      </w:r>
      <w:r w:rsidR="003D640C">
        <w:t xml:space="preserve"> </w:t>
      </w:r>
      <w:r w:rsidRPr="00DA2287">
        <w:t>a</w:t>
      </w:r>
      <w:r w:rsidR="003D640C">
        <w:t xml:space="preserve"> </w:t>
      </w:r>
      <w:r w:rsidRPr="00DA2287">
        <w:t>Rainbow</w:t>
      </w:r>
      <w:r w:rsidR="003D640C">
        <w:t xml:space="preserve"> </w:t>
      </w:r>
      <w:r w:rsidRPr="00DA2287">
        <w:t>identity</w:t>
      </w:r>
      <w:r w:rsidR="003D640C">
        <w:t xml:space="preserve"> </w:t>
      </w:r>
      <w:r w:rsidRPr="00DA2287">
        <w:t>can</w:t>
      </w:r>
      <w:r w:rsidR="003D640C">
        <w:t xml:space="preserve"> </w:t>
      </w:r>
      <w:r w:rsidRPr="00DA2287">
        <w:t>be</w:t>
      </w:r>
      <w:r w:rsidR="003D640C">
        <w:t xml:space="preserve"> </w:t>
      </w:r>
      <w:r w:rsidRPr="00DA2287">
        <w:t>perceived</w:t>
      </w:r>
      <w:r w:rsidR="003D640C">
        <w:t xml:space="preserve"> </w:t>
      </w:r>
      <w:r w:rsidRPr="00DA2287">
        <w:t>as</w:t>
      </w:r>
      <w:r w:rsidR="003D640C">
        <w:t xml:space="preserve"> </w:t>
      </w:r>
      <w:r w:rsidR="000C2806">
        <w:t>“</w:t>
      </w:r>
      <w:r w:rsidRPr="00DA2287">
        <w:t>a</w:t>
      </w:r>
      <w:r w:rsidR="003D640C">
        <w:t xml:space="preserve"> </w:t>
      </w:r>
      <w:r w:rsidRPr="00DA2287">
        <w:t>major</w:t>
      </w:r>
      <w:r w:rsidR="003D640C">
        <w:t xml:space="preserve"> </w:t>
      </w:r>
      <w:r w:rsidRPr="00DA2287">
        <w:t>roadblock</w:t>
      </w:r>
      <w:r w:rsidR="000C2806">
        <w:t>”</w:t>
      </w:r>
      <w:r w:rsidR="003D640C">
        <w:t xml:space="preserve"> </w:t>
      </w:r>
      <w:r w:rsidRPr="00DA2287">
        <w:t>in</w:t>
      </w:r>
      <w:r w:rsidR="003D640C">
        <w:t xml:space="preserve"> </w:t>
      </w:r>
      <w:r w:rsidRPr="00DA2287">
        <w:t>their</w:t>
      </w:r>
      <w:r w:rsidR="003D640C">
        <w:t xml:space="preserve"> </w:t>
      </w:r>
      <w:r w:rsidRPr="00DA2287">
        <w:t>ethnic</w:t>
      </w:r>
      <w:r w:rsidR="003D640C">
        <w:t xml:space="preserve"> </w:t>
      </w:r>
      <w:r w:rsidRPr="00DA2287">
        <w:t>community</w:t>
      </w:r>
      <w:r w:rsidR="00B955B9">
        <w:t>.</w:t>
      </w:r>
      <w:r w:rsidR="003D640C">
        <w:t xml:space="preserve"> </w:t>
      </w:r>
      <w:r w:rsidR="00A77A1E">
        <w:t>The</w:t>
      </w:r>
      <w:r w:rsidR="003D640C">
        <w:t xml:space="preserve"> </w:t>
      </w:r>
      <w:r w:rsidR="00755181">
        <w:t>e</w:t>
      </w:r>
      <w:r w:rsidR="00755181" w:rsidRPr="00DA2287">
        <w:t>xclusion</w:t>
      </w:r>
      <w:r w:rsidR="003D640C">
        <w:t xml:space="preserve"> </w:t>
      </w:r>
      <w:r w:rsidR="00755181" w:rsidRPr="00DA2287">
        <w:t>of</w:t>
      </w:r>
      <w:r w:rsidR="003D640C">
        <w:t xml:space="preserve"> </w:t>
      </w:r>
      <w:r w:rsidR="00755181" w:rsidRPr="00DA2287">
        <w:t>Rainbow</w:t>
      </w:r>
      <w:r w:rsidR="003D640C">
        <w:t xml:space="preserve"> </w:t>
      </w:r>
      <w:r w:rsidR="00755181" w:rsidRPr="00DA2287">
        <w:t>family</w:t>
      </w:r>
      <w:r w:rsidR="003D640C">
        <w:t xml:space="preserve"> </w:t>
      </w:r>
      <w:r w:rsidR="00755181" w:rsidRPr="00DA2287">
        <w:t>members</w:t>
      </w:r>
      <w:r w:rsidR="003D640C">
        <w:t xml:space="preserve"> </w:t>
      </w:r>
      <w:r w:rsidR="00755181" w:rsidRPr="00DA2287">
        <w:t>from</w:t>
      </w:r>
      <w:r w:rsidR="003D640C">
        <w:t xml:space="preserve"> </w:t>
      </w:r>
      <w:r w:rsidR="00755181" w:rsidRPr="00DA2287">
        <w:t>cultural</w:t>
      </w:r>
      <w:r w:rsidR="003D640C">
        <w:t xml:space="preserve"> </w:t>
      </w:r>
      <w:r w:rsidR="00755181" w:rsidRPr="00DA2287">
        <w:t>gatherings</w:t>
      </w:r>
      <w:r w:rsidR="003D640C">
        <w:t xml:space="preserve"> </w:t>
      </w:r>
      <w:r w:rsidR="00755181" w:rsidRPr="00DA2287">
        <w:t>and</w:t>
      </w:r>
      <w:r w:rsidR="003D640C">
        <w:t xml:space="preserve"> </w:t>
      </w:r>
      <w:r w:rsidR="00755181" w:rsidRPr="00DA2287">
        <w:t>community</w:t>
      </w:r>
      <w:r w:rsidR="003D640C">
        <w:t xml:space="preserve"> </w:t>
      </w:r>
      <w:r w:rsidR="00755181" w:rsidRPr="00DA2287">
        <w:t>events</w:t>
      </w:r>
      <w:r w:rsidR="003D640C">
        <w:t xml:space="preserve"> </w:t>
      </w:r>
      <w:r w:rsidR="00A77A1E">
        <w:t>can</w:t>
      </w:r>
      <w:r w:rsidR="003D640C">
        <w:t xml:space="preserve"> </w:t>
      </w:r>
      <w:r w:rsidR="00A77A1E">
        <w:t>occur</w:t>
      </w:r>
      <w:r w:rsidR="003D640C">
        <w:t xml:space="preserve"> </w:t>
      </w:r>
      <w:r w:rsidR="00A77A1E">
        <w:t>in</w:t>
      </w:r>
      <w:r w:rsidR="003D640C">
        <w:t xml:space="preserve"> </w:t>
      </w:r>
      <w:r w:rsidR="00A77A1E">
        <w:t>some</w:t>
      </w:r>
      <w:r w:rsidR="003D640C">
        <w:t xml:space="preserve"> </w:t>
      </w:r>
      <w:r w:rsidR="00262719">
        <w:t>cases</w:t>
      </w:r>
      <w:r w:rsidR="003D640C">
        <w:t xml:space="preserve"> </w:t>
      </w:r>
      <w:r w:rsidR="00755181" w:rsidRPr="00DA2287">
        <w:t>because</w:t>
      </w:r>
      <w:r w:rsidR="003D640C">
        <w:t xml:space="preserve"> </w:t>
      </w:r>
      <w:r w:rsidR="00755181" w:rsidRPr="00DA2287">
        <w:t>sexual</w:t>
      </w:r>
      <w:r w:rsidR="003D640C">
        <w:t xml:space="preserve"> </w:t>
      </w:r>
      <w:r w:rsidR="00755181" w:rsidRPr="00DA2287">
        <w:t>orientation</w:t>
      </w:r>
      <w:r w:rsidR="003D640C">
        <w:t xml:space="preserve"> </w:t>
      </w:r>
      <w:r w:rsidR="00755181" w:rsidRPr="00DA2287">
        <w:t>is</w:t>
      </w:r>
      <w:r w:rsidR="003D640C">
        <w:t xml:space="preserve"> </w:t>
      </w:r>
      <w:r w:rsidR="00755181" w:rsidRPr="00DA2287">
        <w:t>perceived</w:t>
      </w:r>
      <w:r w:rsidR="003D640C">
        <w:t xml:space="preserve"> </w:t>
      </w:r>
      <w:r w:rsidR="00755181" w:rsidRPr="00DA2287">
        <w:t>as</w:t>
      </w:r>
      <w:r w:rsidR="003D640C">
        <w:t xml:space="preserve"> </w:t>
      </w:r>
      <w:r w:rsidR="00755181" w:rsidRPr="00DA2287">
        <w:t>contagious</w:t>
      </w:r>
      <w:r w:rsidR="003D640C">
        <w:t xml:space="preserve"> </w:t>
      </w:r>
      <w:r w:rsidR="00755181" w:rsidRPr="00DA2287">
        <w:t>and</w:t>
      </w:r>
      <w:r w:rsidR="003D640C">
        <w:t xml:space="preserve"> </w:t>
      </w:r>
      <w:r w:rsidR="00755181" w:rsidRPr="00DA2287">
        <w:t>families</w:t>
      </w:r>
      <w:r w:rsidR="003D640C">
        <w:t xml:space="preserve"> </w:t>
      </w:r>
      <w:r w:rsidR="00755181" w:rsidRPr="00DA2287">
        <w:t>fear</w:t>
      </w:r>
      <w:r w:rsidR="003D640C">
        <w:t xml:space="preserve"> </w:t>
      </w:r>
      <w:r w:rsidR="00755181" w:rsidRPr="00DA2287">
        <w:t>that</w:t>
      </w:r>
      <w:r w:rsidR="003D640C">
        <w:t xml:space="preserve"> </w:t>
      </w:r>
      <w:r w:rsidR="00755181" w:rsidRPr="00DA2287">
        <w:t>that</w:t>
      </w:r>
      <w:r w:rsidR="003D640C">
        <w:t xml:space="preserve"> </w:t>
      </w:r>
      <w:r w:rsidR="00755181" w:rsidRPr="00DA2287">
        <w:t>younger</w:t>
      </w:r>
      <w:r w:rsidR="003D640C">
        <w:t xml:space="preserve"> </w:t>
      </w:r>
      <w:r w:rsidR="00755181" w:rsidRPr="00DA2287">
        <w:t>members</w:t>
      </w:r>
      <w:r w:rsidR="003D640C">
        <w:t xml:space="preserve"> </w:t>
      </w:r>
      <w:r w:rsidR="00755181" w:rsidRPr="00DA2287">
        <w:t>of</w:t>
      </w:r>
      <w:r w:rsidR="003D640C">
        <w:t xml:space="preserve"> </w:t>
      </w:r>
      <w:r w:rsidR="00755181" w:rsidRPr="00DA2287">
        <w:t>the</w:t>
      </w:r>
      <w:r w:rsidR="003D640C">
        <w:t xml:space="preserve"> </w:t>
      </w:r>
      <w:r w:rsidR="00755181" w:rsidRPr="00DA2287">
        <w:t>wider</w:t>
      </w:r>
      <w:r w:rsidR="003D640C">
        <w:t xml:space="preserve"> </w:t>
      </w:r>
      <w:r w:rsidR="00755181" w:rsidRPr="00DA2287">
        <w:t>community</w:t>
      </w:r>
      <w:r w:rsidR="003D640C">
        <w:t xml:space="preserve"> </w:t>
      </w:r>
      <w:r w:rsidR="00755181" w:rsidRPr="00DA2287">
        <w:t>may</w:t>
      </w:r>
      <w:r w:rsidR="003D640C">
        <w:t xml:space="preserve"> </w:t>
      </w:r>
      <w:r w:rsidR="00755181" w:rsidRPr="00DA2287">
        <w:t>be</w:t>
      </w:r>
      <w:r w:rsidR="003D640C">
        <w:t xml:space="preserve"> </w:t>
      </w:r>
      <w:r w:rsidR="00755181" w:rsidRPr="00DA2287">
        <w:t>‘recruited</w:t>
      </w:r>
      <w:r w:rsidR="00000F74">
        <w:t>.</w:t>
      </w:r>
      <w:r w:rsidR="00755181" w:rsidRPr="00DA2287">
        <w:t>’</w:t>
      </w:r>
      <w:r w:rsidR="00755181" w:rsidRPr="00DA2287">
        <w:rPr>
          <w:vertAlign w:val="superscript"/>
        </w:rPr>
        <w:footnoteReference w:id="217"/>
      </w:r>
      <w:r w:rsidR="003D640C">
        <w:t xml:space="preserve"> </w:t>
      </w:r>
    </w:p>
    <w:p w14:paraId="1EC25DAE" w14:textId="0C567C6F" w:rsidR="00B955B9" w:rsidRDefault="00B955B9" w:rsidP="00323E57">
      <w:pPr>
        <w:pStyle w:val="Quote"/>
      </w:pPr>
      <w:r w:rsidRPr="00B955B9">
        <w:t>“When</w:t>
      </w:r>
      <w:r w:rsidR="003D640C">
        <w:t xml:space="preserve"> </w:t>
      </w:r>
      <w:r w:rsidRPr="00B955B9">
        <w:t>someone</w:t>
      </w:r>
      <w:r w:rsidR="003D640C">
        <w:t xml:space="preserve"> </w:t>
      </w:r>
      <w:r w:rsidRPr="00B955B9">
        <w:t>comes</w:t>
      </w:r>
      <w:r w:rsidR="003D640C">
        <w:t xml:space="preserve"> </w:t>
      </w:r>
      <w:r w:rsidRPr="00B955B9">
        <w:t>out,</w:t>
      </w:r>
      <w:r w:rsidR="003D640C">
        <w:t xml:space="preserve"> </w:t>
      </w:r>
      <w:r w:rsidRPr="00B955B9">
        <w:t>it</w:t>
      </w:r>
      <w:r w:rsidR="003D640C">
        <w:t xml:space="preserve"> </w:t>
      </w:r>
      <w:r w:rsidRPr="00B955B9">
        <w:t>is</w:t>
      </w:r>
      <w:r w:rsidR="003D640C">
        <w:t xml:space="preserve"> </w:t>
      </w:r>
      <w:r w:rsidRPr="00B955B9">
        <w:t>a</w:t>
      </w:r>
      <w:r w:rsidR="003D640C">
        <w:t xml:space="preserve"> </w:t>
      </w:r>
      <w:r w:rsidRPr="00B955B9">
        <w:t>‘you</w:t>
      </w:r>
      <w:r w:rsidR="003D640C">
        <w:t xml:space="preserve"> </w:t>
      </w:r>
      <w:r w:rsidRPr="00B955B9">
        <w:t>have</w:t>
      </w:r>
      <w:r w:rsidR="003D640C">
        <w:t xml:space="preserve"> </w:t>
      </w:r>
      <w:r w:rsidRPr="00B955B9">
        <w:t>to</w:t>
      </w:r>
      <w:r w:rsidR="003D640C">
        <w:t xml:space="preserve"> </w:t>
      </w:r>
      <w:r w:rsidRPr="00B955B9">
        <w:t>keep</w:t>
      </w:r>
      <w:r w:rsidR="003D640C">
        <w:t xml:space="preserve"> </w:t>
      </w:r>
      <w:r w:rsidRPr="00B955B9">
        <w:t>it</w:t>
      </w:r>
      <w:r w:rsidR="003D640C">
        <w:t xml:space="preserve"> </w:t>
      </w:r>
      <w:r w:rsidRPr="00B955B9">
        <w:t>to</w:t>
      </w:r>
      <w:r w:rsidR="003D640C">
        <w:t xml:space="preserve"> </w:t>
      </w:r>
      <w:r w:rsidRPr="00B955B9">
        <w:t>yourself</w:t>
      </w:r>
      <w:r w:rsidR="003D640C">
        <w:t xml:space="preserve"> </w:t>
      </w:r>
      <w:r w:rsidRPr="00B955B9">
        <w:t>or</w:t>
      </w:r>
      <w:r w:rsidR="003D640C">
        <w:t xml:space="preserve"> </w:t>
      </w:r>
      <w:r w:rsidRPr="00B955B9">
        <w:t>you</w:t>
      </w:r>
      <w:r w:rsidR="003D640C">
        <w:t xml:space="preserve"> </w:t>
      </w:r>
      <w:r w:rsidRPr="00B955B9">
        <w:t>won</w:t>
      </w:r>
      <w:r w:rsidR="00CD3E06">
        <w:t>’</w:t>
      </w:r>
      <w:r w:rsidRPr="00B955B9">
        <w:t>t</w:t>
      </w:r>
      <w:r w:rsidR="003D640C">
        <w:t xml:space="preserve"> </w:t>
      </w:r>
      <w:r w:rsidRPr="00B955B9">
        <w:t>be</w:t>
      </w:r>
      <w:r w:rsidR="003D640C">
        <w:t xml:space="preserve"> </w:t>
      </w:r>
      <w:r w:rsidRPr="00B955B9">
        <w:t>really</w:t>
      </w:r>
      <w:r w:rsidR="003D640C">
        <w:t xml:space="preserve"> </w:t>
      </w:r>
      <w:r w:rsidRPr="00B955B9">
        <w:t>allowed</w:t>
      </w:r>
      <w:r w:rsidR="003D640C">
        <w:t xml:space="preserve"> </w:t>
      </w:r>
      <w:r w:rsidRPr="00B955B9">
        <w:t>in</w:t>
      </w:r>
      <w:r w:rsidR="003D640C">
        <w:t xml:space="preserve"> </w:t>
      </w:r>
      <w:r w:rsidRPr="00B955B9">
        <w:t>those</w:t>
      </w:r>
      <w:r w:rsidR="003D640C">
        <w:t xml:space="preserve"> </w:t>
      </w:r>
      <w:r w:rsidR="000C2806">
        <w:t>[</w:t>
      </w:r>
      <w:r w:rsidRPr="00B955B9">
        <w:t>community</w:t>
      </w:r>
      <w:r w:rsidR="000C2806">
        <w:t>]</w:t>
      </w:r>
      <w:r w:rsidR="003D640C">
        <w:t xml:space="preserve"> </w:t>
      </w:r>
      <w:r w:rsidRPr="00B955B9">
        <w:t>spaces’.”</w:t>
      </w:r>
      <w:r w:rsidR="003D640C">
        <w:t xml:space="preserve"> </w:t>
      </w:r>
      <w:r w:rsidR="00D530B3">
        <w:t>Fijian</w:t>
      </w:r>
      <w:r w:rsidR="00D0798D">
        <w:t xml:space="preserve"> </w:t>
      </w:r>
      <w:r w:rsidRPr="00B955B9">
        <w:t>Indian</w:t>
      </w:r>
      <w:r w:rsidR="003D640C">
        <w:t xml:space="preserve"> </w:t>
      </w:r>
      <w:r w:rsidRPr="00B955B9">
        <w:t>migrant,</w:t>
      </w:r>
      <w:r w:rsidR="003D640C">
        <w:t xml:space="preserve"> </w:t>
      </w:r>
      <w:r w:rsidRPr="00B955B9">
        <w:t>queer</w:t>
      </w:r>
    </w:p>
    <w:p w14:paraId="2904C0C5" w14:textId="39B67B0B" w:rsidR="008B0FA9" w:rsidRPr="00DA2287" w:rsidRDefault="008B0FA9" w:rsidP="00323E57">
      <w:pPr>
        <w:rPr>
          <w:rFonts w:eastAsia="Open Sans"/>
          <w:color w:val="121317"/>
        </w:rPr>
      </w:pPr>
      <w:r w:rsidRPr="00DA2287">
        <w:rPr>
          <w:rFonts w:eastAsia="Open Sans"/>
          <w:color w:val="121317"/>
        </w:rPr>
        <w:t>However,</w:t>
      </w:r>
      <w:r w:rsidR="003D640C">
        <w:rPr>
          <w:rFonts w:eastAsia="Open Sans"/>
          <w:color w:val="121317"/>
        </w:rPr>
        <w:t xml:space="preserve"> </w:t>
      </w:r>
      <w:r w:rsidRPr="00DA2287">
        <w:rPr>
          <w:rFonts w:eastAsia="Open Sans"/>
          <w:color w:val="121317"/>
        </w:rPr>
        <w:t>this</w:t>
      </w:r>
      <w:r w:rsidR="003D640C">
        <w:rPr>
          <w:rFonts w:eastAsia="Open Sans"/>
          <w:color w:val="121317"/>
        </w:rPr>
        <w:t xml:space="preserve"> </w:t>
      </w:r>
      <w:r w:rsidRPr="00DA2287">
        <w:rPr>
          <w:rFonts w:eastAsia="Open Sans"/>
          <w:color w:val="121317"/>
        </w:rPr>
        <w:t>participant</w:t>
      </w:r>
      <w:r w:rsidR="003D640C">
        <w:rPr>
          <w:rFonts w:eastAsia="Open Sans"/>
          <w:color w:val="121317"/>
        </w:rPr>
        <w:t xml:space="preserve"> </w:t>
      </w:r>
      <w:r w:rsidRPr="00DA2287">
        <w:rPr>
          <w:rFonts w:eastAsia="Open Sans"/>
          <w:color w:val="121317"/>
        </w:rPr>
        <w:t>observe</w:t>
      </w:r>
      <w:r w:rsidR="000C2806">
        <w:rPr>
          <w:rFonts w:eastAsia="Open Sans"/>
          <w:color w:val="121317"/>
        </w:rPr>
        <w:t>d</w:t>
      </w:r>
      <w:r w:rsidR="003D640C">
        <w:rPr>
          <w:rFonts w:eastAsia="Open Sans"/>
          <w:color w:val="121317"/>
        </w:rPr>
        <w:t xml:space="preserve"> </w:t>
      </w:r>
      <w:r w:rsidRPr="00DA2287">
        <w:rPr>
          <w:rFonts w:eastAsia="Open Sans"/>
          <w:color w:val="121317"/>
        </w:rPr>
        <w:t>that</w:t>
      </w:r>
      <w:r w:rsidR="000C2806">
        <w:rPr>
          <w:rFonts w:eastAsia="Open Sans"/>
          <w:color w:val="121317"/>
        </w:rPr>
        <w:t>,</w:t>
      </w:r>
      <w:r w:rsidR="003D640C">
        <w:rPr>
          <w:rFonts w:eastAsia="Open Sans"/>
          <w:color w:val="121317"/>
        </w:rPr>
        <w:t xml:space="preserve"> </w:t>
      </w:r>
      <w:r w:rsidRPr="00DA2287">
        <w:rPr>
          <w:rFonts w:eastAsia="Open Sans"/>
          <w:color w:val="121317"/>
        </w:rPr>
        <w:t>with</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prominence</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people</w:t>
      </w:r>
      <w:r w:rsidR="003D640C">
        <w:rPr>
          <w:rFonts w:eastAsia="Open Sans"/>
          <w:color w:val="121317"/>
        </w:rPr>
        <w:t xml:space="preserve"> </w:t>
      </w:r>
      <w:r w:rsidRPr="00DA2287">
        <w:rPr>
          <w:rFonts w:eastAsia="Open Sans"/>
          <w:color w:val="121317"/>
        </w:rPr>
        <w:t>such</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t>Shaneel</w:t>
      </w:r>
      <w:r w:rsidR="003D640C">
        <w:t xml:space="preserve"> </w:t>
      </w:r>
      <w:r w:rsidRPr="00DA2287">
        <w:t>Lal</w:t>
      </w:r>
      <w:r w:rsidR="003D640C">
        <w:t xml:space="preserve"> </w:t>
      </w:r>
      <w:r w:rsidRPr="00DA2287">
        <w:t>and</w:t>
      </w:r>
      <w:r w:rsidR="003D640C">
        <w:t xml:space="preserve"> </w:t>
      </w:r>
      <w:r w:rsidRPr="00DA2287">
        <w:t>others</w:t>
      </w:r>
      <w:r w:rsidR="003D640C">
        <w:t xml:space="preserve"> </w:t>
      </w:r>
      <w:r w:rsidRPr="00DA2287">
        <w:t>living</w:t>
      </w:r>
      <w:r w:rsidR="003D640C">
        <w:t xml:space="preserve"> </w:t>
      </w:r>
      <w:r w:rsidRPr="00DA2287">
        <w:t>unapologetically</w:t>
      </w:r>
      <w:r w:rsidR="003D640C">
        <w:t xml:space="preserve"> </w:t>
      </w:r>
      <w:r w:rsidRPr="00DA2287">
        <w:t>as</w:t>
      </w:r>
      <w:r w:rsidR="003D640C">
        <w:t xml:space="preserve"> </w:t>
      </w:r>
      <w:r w:rsidRPr="00DA2287">
        <w:t>a</w:t>
      </w:r>
      <w:r w:rsidR="003D640C">
        <w:t xml:space="preserve"> </w:t>
      </w:r>
      <w:r w:rsidRPr="00DA2287">
        <w:t>Rainbow</w:t>
      </w:r>
      <w:r w:rsidR="003D640C">
        <w:t xml:space="preserve"> </w:t>
      </w:r>
      <w:r w:rsidRPr="00DA2287">
        <w:t>identity,</w:t>
      </w:r>
      <w:r w:rsidR="003D640C">
        <w:t xml:space="preserve"> </w:t>
      </w:r>
      <w:r w:rsidRPr="00DA2287">
        <w:t>older</w:t>
      </w:r>
      <w:r w:rsidR="003D640C">
        <w:t xml:space="preserve"> </w:t>
      </w:r>
      <w:r w:rsidRPr="00DA2287">
        <w:t>and</w:t>
      </w:r>
      <w:r w:rsidR="003D640C">
        <w:t xml:space="preserve"> </w:t>
      </w:r>
      <w:r w:rsidRPr="00DA2287">
        <w:t>more</w:t>
      </w:r>
      <w:r w:rsidR="003D640C">
        <w:t xml:space="preserve"> </w:t>
      </w:r>
      <w:r w:rsidRPr="00DA2287">
        <w:t>conservative</w:t>
      </w:r>
      <w:r w:rsidR="003D640C">
        <w:t xml:space="preserve"> </w:t>
      </w:r>
      <w:r w:rsidRPr="00DA2287">
        <w:t>generations</w:t>
      </w:r>
      <w:r w:rsidR="003D640C">
        <w:t xml:space="preserve"> </w:t>
      </w:r>
      <w:r w:rsidRPr="00DA2287">
        <w:t>are</w:t>
      </w:r>
      <w:r w:rsidR="003D640C">
        <w:t xml:space="preserve"> </w:t>
      </w:r>
      <w:r w:rsidRPr="00DA2287">
        <w:t>beginning</w:t>
      </w:r>
      <w:r w:rsidR="003D640C">
        <w:t xml:space="preserve"> </w:t>
      </w:r>
      <w:r w:rsidRPr="00DA2287">
        <w:t>to</w:t>
      </w:r>
      <w:r w:rsidR="003D640C">
        <w:t xml:space="preserve"> </w:t>
      </w:r>
      <w:r w:rsidRPr="00DA2287">
        <w:t>understand</w:t>
      </w:r>
      <w:r w:rsidR="003D640C">
        <w:t xml:space="preserve"> </w:t>
      </w:r>
      <w:r w:rsidRPr="00DA2287">
        <w:t>that</w:t>
      </w:r>
      <w:r w:rsidR="003D640C">
        <w:t xml:space="preserve"> </w:t>
      </w:r>
      <w:r w:rsidRPr="00DA2287">
        <w:t>Rainbow</w:t>
      </w:r>
      <w:r w:rsidR="003D640C">
        <w:t xml:space="preserve"> </w:t>
      </w:r>
      <w:r w:rsidRPr="00DA2287">
        <w:t>identities</w:t>
      </w:r>
      <w:r w:rsidR="003D640C">
        <w:t xml:space="preserve"> </w:t>
      </w:r>
      <w:r w:rsidRPr="00DA2287">
        <w:t>can</w:t>
      </w:r>
      <w:r w:rsidR="003D640C">
        <w:t xml:space="preserve"> </w:t>
      </w:r>
      <w:r w:rsidRPr="00DA2287">
        <w:t>also</w:t>
      </w:r>
      <w:r w:rsidR="003D640C">
        <w:t xml:space="preserve"> </w:t>
      </w:r>
      <w:r w:rsidRPr="00DA2287">
        <w:t>represent</w:t>
      </w:r>
      <w:r w:rsidR="003D640C">
        <w:t xml:space="preserve"> </w:t>
      </w:r>
      <w:r w:rsidRPr="00DA2287">
        <w:t>‘what</w:t>
      </w:r>
      <w:r w:rsidR="003D640C">
        <w:t xml:space="preserve"> </w:t>
      </w:r>
      <w:r w:rsidRPr="00DA2287">
        <w:t>success</w:t>
      </w:r>
      <w:r w:rsidR="003D640C">
        <w:t xml:space="preserve"> </w:t>
      </w:r>
      <w:r w:rsidRPr="00DA2287">
        <w:t>looks</w:t>
      </w:r>
      <w:r w:rsidR="003D640C">
        <w:t xml:space="preserve"> </w:t>
      </w:r>
      <w:r w:rsidRPr="00DA2287">
        <w:t>like.’</w:t>
      </w:r>
    </w:p>
    <w:p w14:paraId="366415BE" w14:textId="5F0CAE50" w:rsidR="008B0FA9" w:rsidRPr="00DA2287" w:rsidRDefault="008B0FA9" w:rsidP="00323E57">
      <w:pPr>
        <w:rPr>
          <w:rFonts w:eastAsia="Open Sans"/>
          <w:color w:val="121317"/>
        </w:rPr>
      </w:pPr>
      <w:r w:rsidRPr="00DA2287">
        <w:rPr>
          <w:rFonts w:eastAsia="Open Sans"/>
          <w:color w:val="121317"/>
        </w:rPr>
        <w:t>A</w:t>
      </w:r>
      <w:r w:rsidR="003D640C">
        <w:rPr>
          <w:rFonts w:eastAsia="Open Sans"/>
          <w:color w:val="121317"/>
        </w:rPr>
        <w:t xml:space="preserve"> </w:t>
      </w:r>
      <w:r w:rsidRPr="00DA2287">
        <w:rPr>
          <w:rFonts w:eastAsia="Open Sans"/>
          <w:color w:val="121317"/>
        </w:rPr>
        <w:t>Korean</w:t>
      </w:r>
      <w:r w:rsidR="003D640C">
        <w:rPr>
          <w:rFonts w:eastAsia="Open Sans"/>
          <w:color w:val="121317"/>
        </w:rPr>
        <w:t xml:space="preserve"> </w:t>
      </w:r>
      <w:r w:rsidRPr="00DA2287">
        <w:rPr>
          <w:rFonts w:eastAsia="Open Sans"/>
          <w:color w:val="121317"/>
        </w:rPr>
        <w:t>participant</w:t>
      </w:r>
      <w:r w:rsidR="003D640C">
        <w:rPr>
          <w:rFonts w:eastAsia="Open Sans"/>
          <w:color w:val="121317"/>
        </w:rPr>
        <w:t xml:space="preserve"> </w:t>
      </w:r>
      <w:r w:rsidRPr="00DA2287">
        <w:rPr>
          <w:rFonts w:eastAsia="Open Sans"/>
          <w:color w:val="121317"/>
        </w:rPr>
        <w:t>we</w:t>
      </w:r>
      <w:r w:rsidR="003D640C">
        <w:rPr>
          <w:rFonts w:eastAsia="Open Sans"/>
          <w:color w:val="121317"/>
        </w:rPr>
        <w:t xml:space="preserve"> </w:t>
      </w:r>
      <w:r w:rsidRPr="00DA2287">
        <w:rPr>
          <w:rFonts w:eastAsia="Open Sans"/>
          <w:color w:val="121317"/>
        </w:rPr>
        <w:t>engaged</w:t>
      </w:r>
      <w:r w:rsidR="003D640C">
        <w:rPr>
          <w:rFonts w:eastAsia="Open Sans"/>
          <w:color w:val="121317"/>
        </w:rPr>
        <w:t xml:space="preserve"> </w:t>
      </w:r>
      <w:r w:rsidR="003F6FF3">
        <w:rPr>
          <w:rFonts w:eastAsia="Open Sans"/>
          <w:color w:val="121317"/>
        </w:rPr>
        <w:t xml:space="preserve">with </w:t>
      </w:r>
      <w:r w:rsidRPr="00DA2287">
        <w:rPr>
          <w:rFonts w:eastAsia="Open Sans"/>
          <w:color w:val="121317"/>
        </w:rPr>
        <w:t>discussed</w:t>
      </w:r>
      <w:r w:rsidR="003D640C">
        <w:rPr>
          <w:rFonts w:eastAsia="Open Sans"/>
          <w:color w:val="121317"/>
        </w:rPr>
        <w:t xml:space="preserve"> </w:t>
      </w:r>
      <w:r w:rsidRPr="00DA2287">
        <w:rPr>
          <w:rFonts w:eastAsia="Open Sans"/>
          <w:color w:val="121317"/>
        </w:rPr>
        <w:t>Rainbow</w:t>
      </w:r>
      <w:r w:rsidR="003D640C">
        <w:rPr>
          <w:rFonts w:eastAsia="Open Sans"/>
          <w:color w:val="121317"/>
        </w:rPr>
        <w:t xml:space="preserve"> </w:t>
      </w:r>
      <w:r w:rsidRPr="00DA2287">
        <w:rPr>
          <w:rFonts w:eastAsia="Open Sans"/>
          <w:color w:val="121317"/>
        </w:rPr>
        <w:t>identities</w:t>
      </w:r>
      <w:r w:rsidR="003D640C">
        <w:rPr>
          <w:rFonts w:eastAsia="Open Sans"/>
          <w:color w:val="121317"/>
        </w:rPr>
        <w:t xml:space="preserve"> </w:t>
      </w:r>
      <w:r w:rsidR="007501B5" w:rsidRPr="00DA2287">
        <w:rPr>
          <w:rFonts w:eastAsia="Open Sans"/>
          <w:color w:val="121317"/>
        </w:rPr>
        <w:t>being</w:t>
      </w:r>
      <w:r w:rsidR="003D640C">
        <w:rPr>
          <w:rFonts w:eastAsia="Open Sans"/>
          <w:color w:val="121317"/>
        </w:rPr>
        <w:t xml:space="preserve"> </w:t>
      </w:r>
      <w:r w:rsidR="007501B5" w:rsidRPr="00DA2287">
        <w:rPr>
          <w:rFonts w:eastAsia="Open Sans"/>
          <w:color w:val="121317"/>
        </w:rPr>
        <w:t>seen</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a</w:t>
      </w:r>
      <w:r w:rsidR="003D640C">
        <w:rPr>
          <w:rFonts w:eastAsia="Open Sans"/>
          <w:color w:val="121317"/>
        </w:rPr>
        <w:t xml:space="preserve"> </w:t>
      </w:r>
      <w:r w:rsidR="003F6FF3">
        <w:rPr>
          <w:rFonts w:eastAsia="Open Sans"/>
          <w:color w:val="121317"/>
        </w:rPr>
        <w:t>“</w:t>
      </w:r>
      <w:r w:rsidR="00331273">
        <w:rPr>
          <w:rFonts w:eastAsia="Open Sans"/>
          <w:color w:val="121317"/>
        </w:rPr>
        <w:t>W</w:t>
      </w:r>
      <w:r w:rsidRPr="00DA2287">
        <w:rPr>
          <w:rFonts w:eastAsia="Open Sans"/>
          <w:color w:val="121317"/>
        </w:rPr>
        <w:t>estern</w:t>
      </w:r>
      <w:r w:rsidR="003D640C">
        <w:rPr>
          <w:rFonts w:eastAsia="Open Sans"/>
          <w:color w:val="121317"/>
        </w:rPr>
        <w:t xml:space="preserve"> </w:t>
      </w:r>
      <w:r w:rsidRPr="00DA2287">
        <w:rPr>
          <w:rFonts w:eastAsia="Open Sans"/>
          <w:color w:val="121317"/>
        </w:rPr>
        <w:t>problem</w:t>
      </w:r>
      <w:r w:rsidR="003F6FF3">
        <w:rPr>
          <w:rFonts w:eastAsia="Open Sans"/>
          <w:color w:val="121317"/>
        </w:rPr>
        <w:t>”</w:t>
      </w:r>
      <w:r w:rsidR="003D640C">
        <w:rPr>
          <w:rFonts w:eastAsia="Open Sans"/>
          <w:color w:val="121317"/>
        </w:rPr>
        <w:t xml:space="preserve"> </w:t>
      </w:r>
      <w:r w:rsidRPr="00DA2287">
        <w:rPr>
          <w:rFonts w:eastAsia="Open Sans"/>
          <w:color w:val="121317"/>
        </w:rPr>
        <w:t>within</w:t>
      </w:r>
      <w:r w:rsidR="003D640C">
        <w:rPr>
          <w:rFonts w:eastAsia="Open Sans"/>
          <w:color w:val="121317"/>
        </w:rPr>
        <w:t xml:space="preserve"> </w:t>
      </w:r>
      <w:r w:rsidRPr="00DA2287">
        <w:rPr>
          <w:rFonts w:eastAsia="Open Sans"/>
          <w:color w:val="121317"/>
        </w:rPr>
        <w:t>their</w:t>
      </w:r>
      <w:r w:rsidR="003D640C">
        <w:rPr>
          <w:rFonts w:eastAsia="Open Sans"/>
          <w:color w:val="121317"/>
        </w:rPr>
        <w:t xml:space="preserve"> </w:t>
      </w:r>
      <w:r w:rsidRPr="00DA2287">
        <w:rPr>
          <w:rFonts w:eastAsia="Open Sans"/>
          <w:color w:val="121317"/>
        </w:rPr>
        <w:t>ethnic</w:t>
      </w:r>
      <w:r w:rsidR="003D640C">
        <w:rPr>
          <w:rFonts w:eastAsia="Open Sans"/>
          <w:color w:val="121317"/>
        </w:rPr>
        <w:t xml:space="preserve"> </w:t>
      </w:r>
      <w:r w:rsidRPr="00DA2287">
        <w:rPr>
          <w:rFonts w:eastAsia="Open Sans"/>
          <w:color w:val="121317"/>
        </w:rPr>
        <w:t>and</w:t>
      </w:r>
      <w:r w:rsidR="003D640C">
        <w:rPr>
          <w:rFonts w:eastAsia="Open Sans"/>
          <w:color w:val="121317"/>
        </w:rPr>
        <w:t xml:space="preserve"> </w:t>
      </w:r>
      <w:r w:rsidRPr="00DA2287">
        <w:rPr>
          <w:rFonts w:eastAsia="Open Sans"/>
          <w:color w:val="121317"/>
        </w:rPr>
        <w:t>religious</w:t>
      </w:r>
      <w:r w:rsidR="003D640C">
        <w:rPr>
          <w:rFonts w:eastAsia="Open Sans"/>
          <w:color w:val="121317"/>
        </w:rPr>
        <w:t xml:space="preserve"> </w:t>
      </w:r>
      <w:r w:rsidRPr="00DA2287">
        <w:rPr>
          <w:rFonts w:eastAsia="Open Sans"/>
          <w:color w:val="121317"/>
        </w:rPr>
        <w:t>(Christian)</w:t>
      </w:r>
      <w:r w:rsidR="003D640C">
        <w:rPr>
          <w:rFonts w:eastAsia="Open Sans"/>
          <w:color w:val="121317"/>
        </w:rPr>
        <w:t xml:space="preserve"> </w:t>
      </w:r>
      <w:r w:rsidRPr="00DA2287">
        <w:rPr>
          <w:rFonts w:eastAsia="Open Sans"/>
          <w:color w:val="121317"/>
        </w:rPr>
        <w:t>community.</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described</w:t>
      </w:r>
      <w:r w:rsidR="003D640C">
        <w:rPr>
          <w:rFonts w:eastAsia="Open Sans"/>
          <w:color w:val="121317"/>
        </w:rPr>
        <w:t xml:space="preserve"> </w:t>
      </w:r>
      <w:r w:rsidRPr="00DA2287">
        <w:rPr>
          <w:rFonts w:eastAsia="Open Sans"/>
          <w:color w:val="121317"/>
        </w:rPr>
        <w:t>by</w:t>
      </w:r>
      <w:r w:rsidR="003D640C">
        <w:rPr>
          <w:rFonts w:eastAsia="Open Sans"/>
          <w:color w:val="121317"/>
        </w:rPr>
        <w:t xml:space="preserve"> </w:t>
      </w:r>
      <w:r w:rsidRPr="00DA2287">
        <w:rPr>
          <w:rFonts w:eastAsia="Open Sans"/>
          <w:color w:val="121317"/>
        </w:rPr>
        <w:t>other</w:t>
      </w:r>
      <w:r w:rsidR="003D640C">
        <w:rPr>
          <w:rFonts w:eastAsia="Open Sans"/>
          <w:color w:val="121317"/>
        </w:rPr>
        <w:t xml:space="preserve"> </w:t>
      </w:r>
      <w:r w:rsidRPr="00DA2287">
        <w:rPr>
          <w:rFonts w:eastAsia="Open Sans"/>
          <w:color w:val="121317"/>
        </w:rPr>
        <w:t>participants,</w:t>
      </w:r>
      <w:r w:rsidR="003D640C">
        <w:rPr>
          <w:rFonts w:eastAsia="Open Sans"/>
          <w:color w:val="121317"/>
        </w:rPr>
        <w:t xml:space="preserve"> </w:t>
      </w:r>
      <w:r w:rsidRPr="00DA2287">
        <w:rPr>
          <w:rFonts w:eastAsia="Open Sans"/>
          <w:color w:val="121317"/>
        </w:rPr>
        <w:t>when</w:t>
      </w:r>
      <w:r w:rsidR="003D640C">
        <w:rPr>
          <w:rFonts w:eastAsia="Open Sans"/>
          <w:color w:val="121317"/>
        </w:rPr>
        <w:t xml:space="preserve"> </w:t>
      </w:r>
      <w:r w:rsidRPr="00DA2287">
        <w:rPr>
          <w:rFonts w:eastAsia="Open Sans"/>
          <w:color w:val="121317"/>
        </w:rPr>
        <w:t>individuals</w:t>
      </w:r>
      <w:r w:rsidR="003D640C">
        <w:rPr>
          <w:rFonts w:eastAsia="Open Sans"/>
          <w:color w:val="121317"/>
        </w:rPr>
        <w:t xml:space="preserve"> </w:t>
      </w:r>
      <w:r w:rsidRPr="00DA2287">
        <w:rPr>
          <w:rFonts w:eastAsia="Open Sans"/>
          <w:color w:val="121317"/>
        </w:rPr>
        <w:t>identify</w:t>
      </w:r>
      <w:r w:rsidR="003D640C">
        <w:rPr>
          <w:rFonts w:eastAsia="Open Sans"/>
          <w:color w:val="121317"/>
        </w:rPr>
        <w:t xml:space="preserve"> </w:t>
      </w:r>
      <w:r w:rsidRPr="00DA2287">
        <w:rPr>
          <w:rFonts w:eastAsia="Open Sans"/>
          <w:color w:val="121317"/>
        </w:rPr>
        <w:t>with</w:t>
      </w:r>
      <w:r w:rsidR="003D640C">
        <w:rPr>
          <w:rFonts w:eastAsia="Open Sans"/>
          <w:color w:val="121317"/>
        </w:rPr>
        <w:t xml:space="preserve"> </w:t>
      </w:r>
      <w:r w:rsidRPr="00DA2287">
        <w:rPr>
          <w:rFonts w:eastAsia="Open Sans"/>
          <w:color w:val="121317"/>
        </w:rPr>
        <w:t>a</w:t>
      </w:r>
      <w:r w:rsidR="003D640C">
        <w:rPr>
          <w:rFonts w:eastAsia="Open Sans"/>
          <w:color w:val="121317"/>
        </w:rPr>
        <w:t xml:space="preserve"> </w:t>
      </w:r>
      <w:r w:rsidRPr="00DA2287">
        <w:rPr>
          <w:rFonts w:eastAsia="Open Sans"/>
          <w:color w:val="121317"/>
        </w:rPr>
        <w:t>Rainbow</w:t>
      </w:r>
      <w:r w:rsidR="003D640C">
        <w:rPr>
          <w:rFonts w:eastAsia="Open Sans"/>
          <w:color w:val="121317"/>
        </w:rPr>
        <w:t xml:space="preserve"> </w:t>
      </w:r>
      <w:r w:rsidRPr="00DA2287">
        <w:rPr>
          <w:rFonts w:eastAsia="Open Sans"/>
          <w:color w:val="121317"/>
        </w:rPr>
        <w:t>identity</w:t>
      </w:r>
      <w:r w:rsidR="003F6FF3">
        <w:rPr>
          <w:rFonts w:eastAsia="Open Sans"/>
          <w:color w:val="121317"/>
        </w:rPr>
        <w:t>,</w:t>
      </w:r>
      <w:r w:rsidR="003D640C">
        <w:rPr>
          <w:rFonts w:eastAsia="Open Sans"/>
          <w:color w:val="121317"/>
        </w:rPr>
        <w:t xml:space="preserve"> </w:t>
      </w:r>
      <w:r w:rsidRPr="00DA2287">
        <w:rPr>
          <w:rFonts w:eastAsia="Open Sans"/>
          <w:color w:val="121317"/>
        </w:rPr>
        <w:t>they</w:t>
      </w:r>
      <w:r w:rsidR="003D640C">
        <w:rPr>
          <w:rFonts w:eastAsia="Open Sans"/>
          <w:color w:val="121317"/>
        </w:rPr>
        <w:t xml:space="preserve"> </w:t>
      </w:r>
      <w:r w:rsidRPr="00DA2287">
        <w:rPr>
          <w:rFonts w:eastAsia="Open Sans"/>
          <w:color w:val="121317"/>
        </w:rPr>
        <w:t>are</w:t>
      </w:r>
      <w:r w:rsidR="003D640C">
        <w:rPr>
          <w:rFonts w:eastAsia="Open Sans"/>
          <w:color w:val="121317"/>
        </w:rPr>
        <w:t xml:space="preserve"> </w:t>
      </w:r>
      <w:r w:rsidRPr="00DA2287">
        <w:rPr>
          <w:rFonts w:eastAsia="Open Sans"/>
          <w:color w:val="121317"/>
        </w:rPr>
        <w:t>perceived</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not</w:t>
      </w:r>
      <w:r w:rsidR="003D640C">
        <w:rPr>
          <w:rFonts w:eastAsia="Open Sans"/>
          <w:color w:val="121317"/>
        </w:rPr>
        <w:t xml:space="preserve"> </w:t>
      </w:r>
      <w:r w:rsidRPr="00DA2287">
        <w:rPr>
          <w:rFonts w:eastAsia="Open Sans"/>
          <w:color w:val="121317"/>
        </w:rPr>
        <w:t>living</w:t>
      </w:r>
      <w:r w:rsidR="003D640C">
        <w:rPr>
          <w:rFonts w:eastAsia="Open Sans"/>
          <w:color w:val="121317"/>
        </w:rPr>
        <w:t xml:space="preserve"> </w:t>
      </w:r>
      <w:r w:rsidRPr="00DA2287">
        <w:rPr>
          <w:rFonts w:eastAsia="Open Sans"/>
          <w:color w:val="121317"/>
        </w:rPr>
        <w:t>up</w:t>
      </w:r>
      <w:r w:rsidR="003D640C">
        <w:rPr>
          <w:rFonts w:eastAsia="Open Sans"/>
          <w:color w:val="121317"/>
        </w:rPr>
        <w:t xml:space="preserve"> </w:t>
      </w:r>
      <w:r w:rsidRPr="00DA2287">
        <w:rPr>
          <w:rFonts w:eastAsia="Open Sans"/>
          <w:color w:val="121317"/>
        </w:rPr>
        <w:t>to</w:t>
      </w:r>
      <w:r w:rsidR="003D640C">
        <w:rPr>
          <w:rFonts w:eastAsia="Open Sans"/>
          <w:color w:val="121317"/>
        </w:rPr>
        <w:t xml:space="preserve"> </w:t>
      </w:r>
      <w:r w:rsidRPr="00DA2287">
        <w:rPr>
          <w:rFonts w:eastAsia="Open Sans"/>
          <w:color w:val="121317"/>
        </w:rPr>
        <w:t>their</w:t>
      </w:r>
      <w:r w:rsidR="003D640C">
        <w:rPr>
          <w:rFonts w:eastAsia="Open Sans"/>
          <w:color w:val="121317"/>
        </w:rPr>
        <w:t xml:space="preserve"> </w:t>
      </w:r>
      <w:r w:rsidRPr="00DA2287">
        <w:rPr>
          <w:rFonts w:eastAsia="Open Sans"/>
          <w:color w:val="121317"/>
        </w:rPr>
        <w:t>social</w:t>
      </w:r>
      <w:r w:rsidR="003D640C">
        <w:rPr>
          <w:rFonts w:eastAsia="Open Sans"/>
          <w:color w:val="121317"/>
        </w:rPr>
        <w:t xml:space="preserve"> </w:t>
      </w:r>
      <w:r w:rsidRPr="00DA2287">
        <w:rPr>
          <w:rFonts w:eastAsia="Open Sans"/>
          <w:color w:val="121317"/>
        </w:rPr>
        <w:t>status.</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007501B5" w:rsidRPr="00DA2287">
        <w:rPr>
          <w:rFonts w:eastAsia="Open Sans"/>
          <w:color w:val="121317"/>
        </w:rPr>
        <w:t>Korean</w:t>
      </w:r>
      <w:r w:rsidR="003D640C">
        <w:rPr>
          <w:rFonts w:eastAsia="Open Sans"/>
          <w:color w:val="121317"/>
        </w:rPr>
        <w:t xml:space="preserve"> </w:t>
      </w:r>
      <w:r w:rsidRPr="00DA2287">
        <w:rPr>
          <w:rFonts w:eastAsia="Open Sans"/>
          <w:color w:val="121317"/>
        </w:rPr>
        <w:t>participant</w:t>
      </w:r>
      <w:r w:rsidR="003D640C">
        <w:rPr>
          <w:rFonts w:eastAsia="Open Sans"/>
          <w:color w:val="121317"/>
        </w:rPr>
        <w:t xml:space="preserve"> </w:t>
      </w:r>
      <w:r w:rsidRPr="00DA2287">
        <w:rPr>
          <w:rFonts w:eastAsia="Open Sans"/>
          <w:color w:val="121317"/>
        </w:rPr>
        <w:t>discussed</w:t>
      </w:r>
      <w:r w:rsidR="003D640C">
        <w:rPr>
          <w:rFonts w:eastAsia="Open Sans"/>
          <w:color w:val="121317"/>
        </w:rPr>
        <w:t xml:space="preserve"> </w:t>
      </w:r>
      <w:r w:rsidRPr="00DA2287">
        <w:rPr>
          <w:rFonts w:eastAsia="Open Sans"/>
          <w:color w:val="121317"/>
        </w:rPr>
        <w:t>how</w:t>
      </w:r>
      <w:r w:rsidR="003F6FF3">
        <w:rPr>
          <w:rFonts w:eastAsia="Open Sans"/>
          <w:color w:val="121317"/>
        </w:rPr>
        <w:t>,</w:t>
      </w:r>
      <w:r w:rsidR="003D640C">
        <w:rPr>
          <w:rFonts w:eastAsia="Open Sans"/>
          <w:color w:val="121317"/>
        </w:rPr>
        <w:t xml:space="preserve"> </w:t>
      </w:r>
      <w:r w:rsidRPr="00DA2287">
        <w:rPr>
          <w:rFonts w:eastAsia="Open Sans"/>
          <w:color w:val="121317"/>
        </w:rPr>
        <w:t>even</w:t>
      </w:r>
      <w:r w:rsidR="003D640C">
        <w:rPr>
          <w:rFonts w:eastAsia="Open Sans"/>
          <w:color w:val="121317"/>
        </w:rPr>
        <w:t xml:space="preserve"> </w:t>
      </w:r>
      <w:r w:rsidRPr="00DA2287">
        <w:rPr>
          <w:rFonts w:eastAsia="Open Sans"/>
          <w:color w:val="121317"/>
        </w:rPr>
        <w:t>if</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particular</w:t>
      </w:r>
      <w:r w:rsidR="003D640C">
        <w:rPr>
          <w:rFonts w:eastAsia="Open Sans"/>
          <w:color w:val="121317"/>
        </w:rPr>
        <w:t xml:space="preserve"> </w:t>
      </w:r>
      <w:r w:rsidRPr="00DA2287">
        <w:rPr>
          <w:rFonts w:eastAsia="Open Sans"/>
          <w:color w:val="121317"/>
        </w:rPr>
        <w:t>member</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community</w:t>
      </w:r>
      <w:r w:rsidR="003D640C">
        <w:rPr>
          <w:rFonts w:eastAsia="Open Sans"/>
          <w:color w:val="121317"/>
        </w:rPr>
        <w:t xml:space="preserve"> </w:t>
      </w:r>
      <w:r w:rsidRPr="00DA2287">
        <w:rPr>
          <w:rFonts w:eastAsia="Open Sans"/>
          <w:color w:val="121317"/>
        </w:rPr>
        <w:t>was</w:t>
      </w:r>
      <w:r w:rsidR="003D640C">
        <w:rPr>
          <w:rFonts w:eastAsia="Open Sans"/>
          <w:color w:val="121317"/>
        </w:rPr>
        <w:t xml:space="preserve"> </w:t>
      </w:r>
      <w:r w:rsidRPr="00DA2287">
        <w:rPr>
          <w:rFonts w:eastAsia="Open Sans"/>
          <w:color w:val="121317"/>
        </w:rPr>
        <w:t>very</w:t>
      </w:r>
      <w:r w:rsidR="003D640C">
        <w:rPr>
          <w:rFonts w:eastAsia="Open Sans"/>
          <w:color w:val="121317"/>
        </w:rPr>
        <w:t xml:space="preserve"> </w:t>
      </w:r>
      <w:r w:rsidRPr="00DA2287">
        <w:rPr>
          <w:rFonts w:eastAsia="Open Sans"/>
          <w:color w:val="121317"/>
        </w:rPr>
        <w:t>high</w:t>
      </w:r>
      <w:r w:rsidR="003F6FF3">
        <w:rPr>
          <w:rFonts w:eastAsia="Open Sans"/>
          <w:color w:val="121317"/>
        </w:rPr>
        <w:t xml:space="preserve"> </w:t>
      </w:r>
      <w:r w:rsidRPr="00DA2287">
        <w:rPr>
          <w:rFonts w:eastAsia="Open Sans"/>
          <w:color w:val="121317"/>
        </w:rPr>
        <w:t>achieving</w:t>
      </w:r>
      <w:r w:rsidR="003D640C">
        <w:rPr>
          <w:rFonts w:eastAsia="Open Sans"/>
          <w:color w:val="121317"/>
        </w:rPr>
        <w:t xml:space="preserve"> </w:t>
      </w:r>
      <w:r w:rsidRPr="00DA2287">
        <w:rPr>
          <w:rFonts w:eastAsia="Open Sans"/>
          <w:color w:val="121317"/>
        </w:rPr>
        <w:t>with</w:t>
      </w:r>
      <w:r w:rsidR="003D640C">
        <w:rPr>
          <w:rFonts w:eastAsia="Open Sans"/>
          <w:color w:val="121317"/>
        </w:rPr>
        <w:t xml:space="preserve"> </w:t>
      </w:r>
      <w:r w:rsidRPr="00DA2287">
        <w:rPr>
          <w:rFonts w:eastAsia="Open Sans"/>
          <w:color w:val="121317"/>
        </w:rPr>
        <w:t>respect</w:t>
      </w:r>
      <w:r w:rsidR="003D640C">
        <w:rPr>
          <w:rFonts w:eastAsia="Open Sans"/>
          <w:color w:val="121317"/>
        </w:rPr>
        <w:t xml:space="preserve"> </w:t>
      </w:r>
      <w:r w:rsidRPr="00DA2287">
        <w:rPr>
          <w:rFonts w:eastAsia="Open Sans"/>
          <w:color w:val="121317"/>
        </w:rPr>
        <w:t>to</w:t>
      </w:r>
      <w:r w:rsidR="003D640C">
        <w:rPr>
          <w:rFonts w:eastAsia="Open Sans"/>
          <w:color w:val="121317"/>
        </w:rPr>
        <w:t xml:space="preserve"> </w:t>
      </w:r>
      <w:r w:rsidRPr="00DA2287">
        <w:rPr>
          <w:rFonts w:eastAsia="Open Sans"/>
          <w:color w:val="121317"/>
        </w:rPr>
        <w:t>other</w:t>
      </w:r>
      <w:r w:rsidR="003D640C">
        <w:rPr>
          <w:rFonts w:eastAsia="Open Sans"/>
          <w:color w:val="121317"/>
        </w:rPr>
        <w:t xml:space="preserve"> </w:t>
      </w:r>
      <w:r w:rsidRPr="00DA2287">
        <w:rPr>
          <w:rFonts w:eastAsia="Open Sans"/>
          <w:color w:val="121317"/>
        </w:rPr>
        <w:t>aspects</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their</w:t>
      </w:r>
      <w:r w:rsidR="003D640C">
        <w:rPr>
          <w:rFonts w:eastAsia="Open Sans"/>
          <w:color w:val="121317"/>
        </w:rPr>
        <w:t xml:space="preserve"> </w:t>
      </w:r>
      <w:r w:rsidRPr="00DA2287">
        <w:rPr>
          <w:rFonts w:eastAsia="Open Sans"/>
          <w:color w:val="121317"/>
        </w:rPr>
        <w:t>lives,</w:t>
      </w:r>
      <w:r w:rsidR="003D640C">
        <w:rPr>
          <w:rFonts w:eastAsia="Open Sans"/>
          <w:color w:val="121317"/>
        </w:rPr>
        <w:t xml:space="preserve"> </w:t>
      </w:r>
      <w:r w:rsidRPr="00DA2287">
        <w:rPr>
          <w:rFonts w:eastAsia="Open Sans"/>
          <w:color w:val="121317"/>
        </w:rPr>
        <w:t>if</w:t>
      </w:r>
      <w:r w:rsidR="003D640C">
        <w:rPr>
          <w:rFonts w:eastAsia="Open Sans"/>
          <w:color w:val="121317"/>
        </w:rPr>
        <w:t xml:space="preserve"> </w:t>
      </w:r>
      <w:r w:rsidRPr="00DA2287">
        <w:rPr>
          <w:rFonts w:eastAsia="Open Sans"/>
          <w:color w:val="121317"/>
        </w:rPr>
        <w:t>they</w:t>
      </w:r>
      <w:r w:rsidR="003D640C">
        <w:rPr>
          <w:rFonts w:eastAsia="Open Sans"/>
          <w:color w:val="121317"/>
        </w:rPr>
        <w:t xml:space="preserve"> </w:t>
      </w:r>
      <w:r w:rsidRPr="00DA2287">
        <w:rPr>
          <w:rFonts w:eastAsia="Open Sans"/>
          <w:color w:val="121317"/>
        </w:rPr>
        <w:t>identified</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Rainbow</w:t>
      </w:r>
      <w:r w:rsidR="003F6FF3">
        <w:rPr>
          <w:rFonts w:eastAsia="Open Sans"/>
          <w:color w:val="121317"/>
        </w:rPr>
        <w:t>,</w:t>
      </w:r>
      <w:r w:rsidR="003D640C">
        <w:rPr>
          <w:rFonts w:eastAsia="Open Sans"/>
          <w:color w:val="121317"/>
        </w:rPr>
        <w:t xml:space="preserve"> </w:t>
      </w:r>
      <w:r w:rsidR="007501B5" w:rsidRPr="00DA2287">
        <w:t>“</w:t>
      </w:r>
      <w:r w:rsidRPr="00DA2287">
        <w:t>it</w:t>
      </w:r>
      <w:r w:rsidR="003D640C">
        <w:t xml:space="preserve"> </w:t>
      </w:r>
      <w:r w:rsidRPr="00DA2287">
        <w:t>cancels</w:t>
      </w:r>
      <w:r w:rsidR="003D640C">
        <w:t xml:space="preserve"> </w:t>
      </w:r>
      <w:r w:rsidRPr="00DA2287">
        <w:t>out</w:t>
      </w:r>
      <w:r w:rsidR="003D640C">
        <w:t xml:space="preserve"> </w:t>
      </w:r>
      <w:r w:rsidRPr="00DA2287">
        <w:t>your</w:t>
      </w:r>
      <w:r w:rsidR="003D640C">
        <w:t xml:space="preserve"> </w:t>
      </w:r>
      <w:r w:rsidRPr="00DA2287">
        <w:t>spot</w:t>
      </w:r>
      <w:r w:rsidR="003D640C">
        <w:t xml:space="preserve"> </w:t>
      </w:r>
      <w:r w:rsidRPr="00DA2287">
        <w:t>in</w:t>
      </w:r>
      <w:r w:rsidR="003D640C">
        <w:t xml:space="preserve"> </w:t>
      </w:r>
      <w:r w:rsidRPr="00DA2287">
        <w:t>the</w:t>
      </w:r>
      <w:r w:rsidR="003D640C">
        <w:t xml:space="preserve"> </w:t>
      </w:r>
      <w:r w:rsidRPr="00DA2287">
        <w:t>community</w:t>
      </w:r>
      <w:r w:rsidR="00A37A04">
        <w:t>.</w:t>
      </w:r>
      <w:r w:rsidR="007501B5" w:rsidRPr="00DA2287">
        <w:t>”</w:t>
      </w:r>
      <w:r w:rsidR="003D640C">
        <w:t xml:space="preserve"> </w:t>
      </w:r>
      <w:r w:rsidRPr="00DA2287">
        <w:t>According</w:t>
      </w:r>
      <w:r w:rsidR="003D640C">
        <w:t xml:space="preserve"> </w:t>
      </w:r>
      <w:r w:rsidRPr="00DA2287">
        <w:t>to</w:t>
      </w:r>
      <w:r w:rsidR="003D640C">
        <w:t xml:space="preserve"> </w:t>
      </w:r>
      <w:r w:rsidRPr="00DA2287">
        <w:t>this</w:t>
      </w:r>
      <w:r w:rsidR="003D640C">
        <w:t xml:space="preserve"> </w:t>
      </w:r>
      <w:r w:rsidRPr="00DA2287">
        <w:t>participant,</w:t>
      </w:r>
      <w:r w:rsidR="003D640C">
        <w:t xml:space="preserve"> </w:t>
      </w:r>
      <w:r w:rsidRPr="00DA2287">
        <w:t>Korean</w:t>
      </w:r>
      <w:r w:rsidR="003D640C">
        <w:t xml:space="preserve"> </w:t>
      </w:r>
      <w:r w:rsidR="007501B5" w:rsidRPr="00DA2287">
        <w:t>R</w:t>
      </w:r>
      <w:r w:rsidRPr="00DA2287">
        <w:t>ainbow</w:t>
      </w:r>
      <w:r w:rsidR="003D640C">
        <w:t xml:space="preserve"> </w:t>
      </w:r>
      <w:r w:rsidRPr="00DA2287">
        <w:t>people</w:t>
      </w:r>
      <w:r w:rsidR="003D640C">
        <w:t xml:space="preserve"> </w:t>
      </w:r>
      <w:r w:rsidRPr="00DA2287">
        <w:t>are</w:t>
      </w:r>
      <w:r w:rsidR="003D640C">
        <w:t xml:space="preserve"> </w:t>
      </w:r>
      <w:r w:rsidRPr="00DA2287">
        <w:t>afraid</w:t>
      </w:r>
      <w:r w:rsidR="003D640C">
        <w:t xml:space="preserve"> </w:t>
      </w:r>
      <w:r w:rsidRPr="00DA2287">
        <w:t>to</w:t>
      </w:r>
      <w:r w:rsidR="003D640C">
        <w:t xml:space="preserve"> </w:t>
      </w:r>
      <w:r w:rsidRPr="00DA2287">
        <w:t>identify</w:t>
      </w:r>
      <w:r w:rsidR="003D640C">
        <w:t xml:space="preserve"> </w:t>
      </w:r>
      <w:r w:rsidRPr="00DA2287">
        <w:t>with</w:t>
      </w:r>
      <w:r w:rsidR="003D640C">
        <w:t xml:space="preserve"> </w:t>
      </w:r>
      <w:r w:rsidRPr="00DA2287">
        <w:t>the</w:t>
      </w:r>
      <w:r w:rsidR="003D640C">
        <w:t xml:space="preserve"> </w:t>
      </w:r>
      <w:r w:rsidRPr="00DA2287">
        <w:t>Korean</w:t>
      </w:r>
      <w:r w:rsidR="003D640C">
        <w:t xml:space="preserve"> </w:t>
      </w:r>
      <w:r w:rsidRPr="00DA2287">
        <w:t>community</w:t>
      </w:r>
      <w:r w:rsidR="003D640C">
        <w:t xml:space="preserve"> </w:t>
      </w:r>
      <w:r w:rsidRPr="00DA2287">
        <w:t>at</w:t>
      </w:r>
      <w:r w:rsidR="003D640C">
        <w:t xml:space="preserve"> </w:t>
      </w:r>
      <w:r w:rsidRPr="00DA2287">
        <w:t>all,</w:t>
      </w:r>
      <w:r w:rsidR="003D640C">
        <w:t xml:space="preserve"> </w:t>
      </w:r>
      <w:r w:rsidRPr="00DA2287">
        <w:t>as</w:t>
      </w:r>
      <w:r w:rsidR="003D640C">
        <w:t xml:space="preserve"> </w:t>
      </w:r>
      <w:r w:rsidRPr="00DA2287">
        <w:t>the</w:t>
      </w:r>
      <w:r w:rsidR="003D640C">
        <w:t xml:space="preserve"> </w:t>
      </w:r>
      <w:r w:rsidRPr="00DA2287">
        <w:t>Korean</w:t>
      </w:r>
      <w:r w:rsidR="003D640C">
        <w:t xml:space="preserve"> </w:t>
      </w:r>
      <w:r w:rsidRPr="00DA2287">
        <w:t>ethnic</w:t>
      </w:r>
      <w:r w:rsidR="003D640C">
        <w:t xml:space="preserve"> </w:t>
      </w:r>
      <w:r w:rsidRPr="00DA2287">
        <w:t>community</w:t>
      </w:r>
      <w:r w:rsidR="003D640C">
        <w:t xml:space="preserve"> </w:t>
      </w:r>
      <w:r w:rsidRPr="00DA2287">
        <w:t>is</w:t>
      </w:r>
      <w:r w:rsidR="003D640C">
        <w:t xml:space="preserve"> </w:t>
      </w:r>
      <w:r w:rsidRPr="00DA2287">
        <w:t>so</w:t>
      </w:r>
      <w:r w:rsidR="003D640C">
        <w:t xml:space="preserve"> </w:t>
      </w:r>
      <w:r w:rsidRPr="00DA2287">
        <w:t>closely</w:t>
      </w:r>
      <w:r w:rsidR="003D640C">
        <w:t xml:space="preserve"> </w:t>
      </w:r>
      <w:r w:rsidRPr="00DA2287">
        <w:t>tied</w:t>
      </w:r>
      <w:r w:rsidR="003D640C">
        <w:t xml:space="preserve"> </w:t>
      </w:r>
      <w:r w:rsidRPr="00DA2287">
        <w:t>with</w:t>
      </w:r>
      <w:r w:rsidR="003D640C">
        <w:t xml:space="preserve"> </w:t>
      </w:r>
      <w:r w:rsidRPr="00DA2287">
        <w:t>the</w:t>
      </w:r>
      <w:r w:rsidR="003D640C">
        <w:t xml:space="preserve"> </w:t>
      </w:r>
      <w:r w:rsidRPr="00DA2287">
        <w:t>Christian</w:t>
      </w:r>
      <w:r w:rsidR="003D640C">
        <w:t xml:space="preserve"> </w:t>
      </w:r>
      <w:r w:rsidRPr="00DA2287">
        <w:t>religion.</w:t>
      </w:r>
      <w:r w:rsidR="003D640C">
        <w:t xml:space="preserve"> </w:t>
      </w:r>
      <w:r w:rsidRPr="00DA2287">
        <w:t>As</w:t>
      </w:r>
      <w:r w:rsidR="003D640C">
        <w:t xml:space="preserve"> </w:t>
      </w:r>
      <w:r w:rsidRPr="00DA2287">
        <w:t>they</w:t>
      </w:r>
      <w:r w:rsidR="003D640C">
        <w:t xml:space="preserve"> </w:t>
      </w:r>
      <w:r w:rsidRPr="00DA2287">
        <w:t>described</w:t>
      </w:r>
      <w:r w:rsidR="003D640C">
        <w:t xml:space="preserve"> </w:t>
      </w:r>
      <w:r w:rsidRPr="00DA2287">
        <w:t>it,</w:t>
      </w:r>
      <w:r w:rsidR="003D640C">
        <w:t xml:space="preserve"> </w:t>
      </w:r>
      <w:r w:rsidR="007501B5" w:rsidRPr="00DA2287">
        <w:t>“</w:t>
      </w:r>
      <w:r w:rsidRPr="00DA2287">
        <w:t>it</w:t>
      </w:r>
      <w:r w:rsidR="003D640C">
        <w:t xml:space="preserve"> </w:t>
      </w:r>
      <w:r w:rsidRPr="00DA2287">
        <w:t>is</w:t>
      </w:r>
      <w:r w:rsidR="003D640C">
        <w:t xml:space="preserve"> </w:t>
      </w:r>
      <w:r w:rsidRPr="00DA2287">
        <w:t>a</w:t>
      </w:r>
      <w:r w:rsidR="003D640C">
        <w:t xml:space="preserve"> </w:t>
      </w:r>
      <w:r w:rsidRPr="00DA2287">
        <w:t>fear</w:t>
      </w:r>
      <w:r w:rsidR="003D640C">
        <w:t xml:space="preserve"> </w:t>
      </w:r>
      <w:r w:rsidRPr="00DA2287">
        <w:t>of</w:t>
      </w:r>
      <w:r w:rsidR="003D640C">
        <w:t xml:space="preserve"> </w:t>
      </w:r>
      <w:r w:rsidRPr="00DA2287">
        <w:t>being</w:t>
      </w:r>
      <w:r w:rsidR="003D640C">
        <w:t xml:space="preserve"> </w:t>
      </w:r>
      <w:r w:rsidRPr="00DA2287">
        <w:t>further</w:t>
      </w:r>
      <w:r w:rsidR="003D640C">
        <w:t xml:space="preserve"> </w:t>
      </w:r>
      <w:r w:rsidRPr="00DA2287">
        <w:t>ashamed</w:t>
      </w:r>
      <w:r w:rsidR="003D640C">
        <w:t xml:space="preserve"> </w:t>
      </w:r>
      <w:r w:rsidRPr="00DA2287">
        <w:t>of</w:t>
      </w:r>
      <w:r w:rsidR="003D640C">
        <w:t xml:space="preserve"> </w:t>
      </w:r>
      <w:r w:rsidRPr="00DA2287">
        <w:t>being</w:t>
      </w:r>
      <w:r w:rsidR="003D640C">
        <w:t xml:space="preserve"> </w:t>
      </w:r>
      <w:r w:rsidRPr="00DA2287">
        <w:t>Korean</w:t>
      </w:r>
      <w:r w:rsidR="003D640C">
        <w:t xml:space="preserve"> </w:t>
      </w:r>
      <w:r w:rsidRPr="00DA2287">
        <w:t>and</w:t>
      </w:r>
      <w:r w:rsidR="003D640C">
        <w:t xml:space="preserve"> </w:t>
      </w:r>
      <w:r w:rsidRPr="00DA2287">
        <w:t>not</w:t>
      </w:r>
      <w:r w:rsidR="003D640C">
        <w:t xml:space="preserve"> </w:t>
      </w:r>
      <w:r w:rsidRPr="00DA2287">
        <w:t>in</w:t>
      </w:r>
      <w:r w:rsidR="003D640C">
        <w:t xml:space="preserve"> </w:t>
      </w:r>
      <w:r w:rsidRPr="00DA2287">
        <w:t>the</w:t>
      </w:r>
      <w:r w:rsidR="003D640C">
        <w:t xml:space="preserve"> </w:t>
      </w:r>
      <w:r w:rsidRPr="00DA2287">
        <w:t>Church</w:t>
      </w:r>
      <w:r w:rsidR="00A37A04">
        <w:t>.</w:t>
      </w:r>
      <w:r w:rsidR="007501B5" w:rsidRPr="00DA2287">
        <w:t>”</w:t>
      </w:r>
      <w:r w:rsidR="003D640C">
        <w:rPr>
          <w:rFonts w:eastAsia="Open Sans"/>
          <w:color w:val="121317"/>
        </w:rPr>
        <w:t xml:space="preserve"> </w:t>
      </w:r>
      <w:r w:rsidRPr="00DA2287">
        <w:rPr>
          <w:rFonts w:eastAsia="Open Sans"/>
          <w:color w:val="121317"/>
        </w:rPr>
        <w:t>When</w:t>
      </w:r>
      <w:r w:rsidR="003D640C">
        <w:rPr>
          <w:rFonts w:eastAsia="Open Sans"/>
          <w:color w:val="121317"/>
        </w:rPr>
        <w:t xml:space="preserve"> </w:t>
      </w:r>
      <w:r w:rsidRPr="00DA2287">
        <w:rPr>
          <w:rFonts w:eastAsia="Open Sans"/>
          <w:color w:val="121317"/>
        </w:rPr>
        <w:t>someone</w:t>
      </w:r>
      <w:r w:rsidR="003D640C">
        <w:rPr>
          <w:rFonts w:eastAsia="Open Sans"/>
          <w:color w:val="121317"/>
        </w:rPr>
        <w:t xml:space="preserve"> </w:t>
      </w:r>
      <w:r w:rsidRPr="00DA2287">
        <w:rPr>
          <w:rFonts w:eastAsia="Open Sans"/>
          <w:color w:val="121317"/>
        </w:rPr>
        <w:t>comes</w:t>
      </w:r>
      <w:r w:rsidR="003D640C">
        <w:rPr>
          <w:rFonts w:eastAsia="Open Sans"/>
          <w:color w:val="121317"/>
        </w:rPr>
        <w:t xml:space="preserve"> </w:t>
      </w:r>
      <w:r w:rsidRPr="00DA2287">
        <w:rPr>
          <w:rFonts w:eastAsia="Open Sans"/>
          <w:color w:val="121317"/>
        </w:rPr>
        <w:t>out,</w:t>
      </w:r>
      <w:r w:rsidR="003D640C">
        <w:rPr>
          <w:rFonts w:eastAsia="Open Sans"/>
          <w:color w:val="121317"/>
        </w:rPr>
        <w:t xml:space="preserve"> </w:t>
      </w:r>
      <w:r w:rsidRPr="00DA2287">
        <w:rPr>
          <w:rFonts w:eastAsia="Open Sans"/>
          <w:color w:val="121317"/>
        </w:rPr>
        <w:t>their</w:t>
      </w:r>
      <w:r w:rsidR="003D640C">
        <w:rPr>
          <w:rFonts w:eastAsia="Open Sans"/>
          <w:color w:val="121317"/>
        </w:rPr>
        <w:t xml:space="preserve"> </w:t>
      </w:r>
      <w:r w:rsidRPr="00DA2287">
        <w:rPr>
          <w:rFonts w:eastAsia="Open Sans"/>
          <w:color w:val="121317"/>
        </w:rPr>
        <w:t>parents</w:t>
      </w:r>
      <w:r w:rsidR="003D640C">
        <w:rPr>
          <w:rFonts w:eastAsia="Open Sans"/>
          <w:color w:val="121317"/>
        </w:rPr>
        <w:t xml:space="preserve"> </w:t>
      </w:r>
      <w:r w:rsidRPr="00DA2287">
        <w:rPr>
          <w:rFonts w:eastAsia="Open Sans"/>
          <w:color w:val="121317"/>
        </w:rPr>
        <w:t>are</w:t>
      </w:r>
      <w:r w:rsidR="003D640C">
        <w:rPr>
          <w:rFonts w:eastAsia="Open Sans"/>
          <w:color w:val="121317"/>
        </w:rPr>
        <w:t xml:space="preserve"> </w:t>
      </w:r>
      <w:r w:rsidRPr="00DA2287">
        <w:rPr>
          <w:rFonts w:eastAsia="Open Sans"/>
          <w:color w:val="121317"/>
        </w:rPr>
        <w:t>often</w:t>
      </w:r>
      <w:r w:rsidR="003D640C">
        <w:rPr>
          <w:rFonts w:eastAsia="Open Sans"/>
          <w:color w:val="121317"/>
        </w:rPr>
        <w:t xml:space="preserve"> </w:t>
      </w:r>
      <w:r w:rsidRPr="00DA2287">
        <w:rPr>
          <w:rFonts w:eastAsia="Open Sans"/>
          <w:color w:val="121317"/>
        </w:rPr>
        <w:t>blamed</w:t>
      </w:r>
      <w:r w:rsidR="003D640C">
        <w:rPr>
          <w:rFonts w:eastAsia="Open Sans"/>
          <w:color w:val="121317"/>
        </w:rPr>
        <w:t xml:space="preserve"> </w:t>
      </w:r>
      <w:r w:rsidRPr="00DA2287">
        <w:rPr>
          <w:rFonts w:eastAsia="Open Sans"/>
          <w:color w:val="121317"/>
        </w:rPr>
        <w:t>for</w:t>
      </w:r>
      <w:r w:rsidR="003D640C">
        <w:rPr>
          <w:rFonts w:eastAsia="Open Sans"/>
          <w:color w:val="121317"/>
        </w:rPr>
        <w:t xml:space="preserve"> </w:t>
      </w:r>
      <w:r w:rsidRPr="00DA2287">
        <w:rPr>
          <w:rFonts w:eastAsia="Open Sans"/>
          <w:color w:val="121317"/>
        </w:rPr>
        <w:t>neglecting</w:t>
      </w:r>
      <w:r w:rsidR="003D640C">
        <w:rPr>
          <w:rFonts w:eastAsia="Open Sans"/>
          <w:color w:val="121317"/>
        </w:rPr>
        <w:t xml:space="preserve"> </w:t>
      </w:r>
      <w:r w:rsidRPr="00DA2287">
        <w:rPr>
          <w:rFonts w:eastAsia="Open Sans"/>
          <w:color w:val="121317"/>
        </w:rPr>
        <w:t>to</w:t>
      </w:r>
      <w:r w:rsidR="003D640C">
        <w:rPr>
          <w:rFonts w:eastAsia="Open Sans"/>
          <w:color w:val="121317"/>
        </w:rPr>
        <w:t xml:space="preserve"> </w:t>
      </w:r>
      <w:r w:rsidRPr="00DA2287">
        <w:rPr>
          <w:rFonts w:eastAsia="Open Sans"/>
          <w:color w:val="121317"/>
        </w:rPr>
        <w:t>keep</w:t>
      </w:r>
      <w:r w:rsidR="003D640C">
        <w:rPr>
          <w:rFonts w:eastAsia="Open Sans"/>
          <w:color w:val="121317"/>
        </w:rPr>
        <w:t xml:space="preserve"> </w:t>
      </w:r>
      <w:r w:rsidRPr="00DA2287">
        <w:rPr>
          <w:rFonts w:eastAsia="Open Sans"/>
          <w:color w:val="121317"/>
        </w:rPr>
        <w:t>their</w:t>
      </w:r>
      <w:r w:rsidR="003D640C">
        <w:rPr>
          <w:rFonts w:eastAsia="Open Sans"/>
          <w:color w:val="121317"/>
        </w:rPr>
        <w:t xml:space="preserve"> </w:t>
      </w:r>
      <w:r w:rsidRPr="00DA2287">
        <w:rPr>
          <w:rFonts w:eastAsia="Open Sans"/>
          <w:color w:val="121317"/>
        </w:rPr>
        <w:t>child</w:t>
      </w:r>
      <w:r w:rsidR="003D640C">
        <w:rPr>
          <w:rFonts w:eastAsia="Open Sans"/>
          <w:color w:val="121317"/>
        </w:rPr>
        <w:t xml:space="preserve"> </w:t>
      </w:r>
      <w:r w:rsidRPr="00DA2287">
        <w:rPr>
          <w:rFonts w:eastAsia="Open Sans"/>
          <w:color w:val="121317"/>
        </w:rPr>
        <w:t>in</w:t>
      </w:r>
      <w:r w:rsidR="003D640C">
        <w:rPr>
          <w:rFonts w:eastAsia="Open Sans"/>
          <w:color w:val="121317"/>
        </w:rPr>
        <w:t xml:space="preserve"> </w:t>
      </w:r>
      <w:r w:rsidRPr="00DA2287">
        <w:rPr>
          <w:rFonts w:eastAsia="Open Sans"/>
          <w:color w:val="121317"/>
        </w:rPr>
        <w:t>Christian</w:t>
      </w:r>
      <w:r w:rsidR="003D640C">
        <w:rPr>
          <w:rFonts w:eastAsia="Open Sans"/>
          <w:color w:val="121317"/>
        </w:rPr>
        <w:t xml:space="preserve"> </w:t>
      </w:r>
      <w:r w:rsidRPr="00DA2287">
        <w:rPr>
          <w:rFonts w:eastAsia="Open Sans"/>
          <w:color w:val="121317"/>
        </w:rPr>
        <w:t>practices</w:t>
      </w:r>
      <w:r w:rsidR="003D640C">
        <w:rPr>
          <w:rFonts w:eastAsia="Open Sans"/>
          <w:color w:val="121317"/>
        </w:rPr>
        <w:t xml:space="preserve"> </w:t>
      </w:r>
      <w:r w:rsidRPr="00DA2287">
        <w:rPr>
          <w:rFonts w:eastAsia="Open Sans"/>
          <w:color w:val="121317"/>
        </w:rPr>
        <w:t>(</w:t>
      </w:r>
      <w:r w:rsidR="003F6FF3">
        <w:rPr>
          <w:rFonts w:eastAsia="Open Sans"/>
          <w:color w:val="121317"/>
        </w:rPr>
        <w:t>which</w:t>
      </w:r>
      <w:r w:rsidR="003D640C">
        <w:rPr>
          <w:rFonts w:eastAsia="Open Sans"/>
          <w:color w:val="121317"/>
        </w:rPr>
        <w:t xml:space="preserve"> </w:t>
      </w:r>
      <w:r w:rsidRPr="00DA2287">
        <w:rPr>
          <w:rFonts w:eastAsia="Open Sans"/>
          <w:color w:val="121317"/>
        </w:rPr>
        <w:t>is</w:t>
      </w:r>
      <w:r w:rsidR="003D640C">
        <w:rPr>
          <w:rFonts w:eastAsia="Open Sans"/>
          <w:color w:val="121317"/>
        </w:rPr>
        <w:t xml:space="preserve"> </w:t>
      </w:r>
      <w:r w:rsidRPr="00DA2287">
        <w:rPr>
          <w:rFonts w:eastAsia="Open Sans"/>
          <w:color w:val="121317"/>
        </w:rPr>
        <w:t>observed</w:t>
      </w:r>
      <w:r w:rsidR="003D640C">
        <w:rPr>
          <w:rFonts w:eastAsia="Open Sans"/>
          <w:color w:val="121317"/>
        </w:rPr>
        <w:t xml:space="preserve"> </w:t>
      </w:r>
      <w:r w:rsidRPr="00DA2287">
        <w:rPr>
          <w:rFonts w:eastAsia="Open Sans"/>
          <w:color w:val="121317"/>
        </w:rPr>
        <w:t>in</w:t>
      </w:r>
      <w:r w:rsidR="003D640C">
        <w:rPr>
          <w:rFonts w:eastAsia="Open Sans"/>
          <w:color w:val="121317"/>
        </w:rPr>
        <w:t xml:space="preserve"> </w:t>
      </w:r>
      <w:r w:rsidRPr="00DA2287">
        <w:rPr>
          <w:rFonts w:eastAsia="Open Sans"/>
          <w:color w:val="121317"/>
        </w:rPr>
        <w:t>other</w:t>
      </w:r>
      <w:r w:rsidR="003D640C">
        <w:rPr>
          <w:rFonts w:eastAsia="Open Sans"/>
          <w:color w:val="121317"/>
        </w:rPr>
        <w:t xml:space="preserve"> </w:t>
      </w:r>
      <w:r w:rsidRPr="00DA2287">
        <w:rPr>
          <w:rFonts w:eastAsia="Open Sans"/>
          <w:color w:val="121317"/>
        </w:rPr>
        <w:t>Christian</w:t>
      </w:r>
      <w:r w:rsidR="003D640C">
        <w:rPr>
          <w:rFonts w:eastAsia="Open Sans"/>
          <w:color w:val="121317"/>
        </w:rPr>
        <w:t xml:space="preserve"> </w:t>
      </w:r>
      <w:r w:rsidRPr="00DA2287">
        <w:rPr>
          <w:rFonts w:eastAsia="Open Sans"/>
          <w:color w:val="121317"/>
        </w:rPr>
        <w:t>Asian</w:t>
      </w:r>
      <w:r w:rsidR="003D640C">
        <w:rPr>
          <w:rFonts w:eastAsia="Open Sans"/>
          <w:color w:val="121317"/>
        </w:rPr>
        <w:t xml:space="preserve"> </w:t>
      </w:r>
      <w:r w:rsidRPr="00DA2287">
        <w:rPr>
          <w:rFonts w:eastAsia="Open Sans"/>
          <w:color w:val="121317"/>
        </w:rPr>
        <w:t>communities</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well).</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cost</w:t>
      </w:r>
      <w:r w:rsidR="003D640C">
        <w:rPr>
          <w:rFonts w:eastAsia="Open Sans"/>
          <w:color w:val="121317"/>
        </w:rPr>
        <w:t xml:space="preserve"> </w:t>
      </w:r>
      <w:r w:rsidRPr="00DA2287">
        <w:rPr>
          <w:rFonts w:eastAsia="Open Sans"/>
          <w:color w:val="121317"/>
        </w:rPr>
        <w:t>of</w:t>
      </w:r>
      <w:r w:rsidR="003D640C">
        <w:rPr>
          <w:rFonts w:eastAsia="Open Sans"/>
          <w:color w:val="121317"/>
        </w:rPr>
        <w:t xml:space="preserve"> </w:t>
      </w:r>
      <w:r w:rsidRPr="00DA2287">
        <w:rPr>
          <w:rFonts w:eastAsia="Open Sans"/>
          <w:color w:val="121317"/>
        </w:rPr>
        <w:t>not</w:t>
      </w:r>
      <w:r w:rsidR="003D640C">
        <w:rPr>
          <w:rFonts w:eastAsia="Open Sans"/>
          <w:color w:val="121317"/>
        </w:rPr>
        <w:t xml:space="preserve"> </w:t>
      </w:r>
      <w:r w:rsidRPr="00DA2287">
        <w:rPr>
          <w:rFonts w:eastAsia="Open Sans"/>
          <w:color w:val="121317"/>
        </w:rPr>
        <w:t>being</w:t>
      </w:r>
      <w:r w:rsidR="003D640C">
        <w:rPr>
          <w:rFonts w:eastAsia="Open Sans"/>
          <w:color w:val="121317"/>
        </w:rPr>
        <w:t xml:space="preserve"> </w:t>
      </w:r>
      <w:r w:rsidRPr="00DA2287">
        <w:rPr>
          <w:rFonts w:eastAsia="Open Sans"/>
          <w:color w:val="121317"/>
        </w:rPr>
        <w:t>perceived</w:t>
      </w:r>
      <w:r w:rsidR="003D640C">
        <w:rPr>
          <w:rFonts w:eastAsia="Open Sans"/>
          <w:color w:val="121317"/>
        </w:rPr>
        <w:t xml:space="preserve"> </w:t>
      </w:r>
      <w:r w:rsidRPr="00DA2287">
        <w:rPr>
          <w:rFonts w:eastAsia="Open Sans"/>
          <w:color w:val="121317"/>
        </w:rPr>
        <w:t>as</w:t>
      </w:r>
      <w:r w:rsidR="003D640C">
        <w:rPr>
          <w:rFonts w:eastAsia="Open Sans"/>
          <w:color w:val="121317"/>
        </w:rPr>
        <w:t xml:space="preserve"> </w:t>
      </w:r>
      <w:r w:rsidRPr="00DA2287">
        <w:rPr>
          <w:rFonts w:eastAsia="Open Sans"/>
          <w:color w:val="121317"/>
        </w:rPr>
        <w:t>Christian</w:t>
      </w:r>
      <w:r w:rsidR="003D640C">
        <w:rPr>
          <w:rFonts w:eastAsia="Open Sans"/>
          <w:color w:val="121317"/>
        </w:rPr>
        <w:t xml:space="preserve"> </w:t>
      </w:r>
      <w:r w:rsidRPr="00DA2287">
        <w:rPr>
          <w:rFonts w:eastAsia="Open Sans"/>
          <w:color w:val="121317"/>
        </w:rPr>
        <w:t>for</w:t>
      </w:r>
      <w:r w:rsidR="003D640C">
        <w:rPr>
          <w:rFonts w:eastAsia="Open Sans"/>
          <w:color w:val="121317"/>
        </w:rPr>
        <w:t xml:space="preserve"> </w:t>
      </w:r>
      <w:r w:rsidRPr="00DA2287">
        <w:rPr>
          <w:rFonts w:eastAsia="Open Sans"/>
          <w:color w:val="121317"/>
        </w:rPr>
        <w:t>one</w:t>
      </w:r>
      <w:r w:rsidR="003D640C">
        <w:rPr>
          <w:rFonts w:eastAsia="Open Sans"/>
          <w:color w:val="121317"/>
        </w:rPr>
        <w:t xml:space="preserve"> </w:t>
      </w:r>
      <w:r w:rsidRPr="00DA2287">
        <w:rPr>
          <w:rFonts w:eastAsia="Open Sans"/>
          <w:color w:val="121317"/>
        </w:rPr>
        <w:t>participant</w:t>
      </w:r>
      <w:r w:rsidR="003D640C">
        <w:rPr>
          <w:rFonts w:eastAsia="Open Sans"/>
          <w:color w:val="121317"/>
        </w:rPr>
        <w:t xml:space="preserve"> </w:t>
      </w:r>
      <w:r w:rsidRPr="00DA2287">
        <w:rPr>
          <w:rFonts w:eastAsia="Open Sans"/>
          <w:color w:val="121317"/>
        </w:rPr>
        <w:t>was</w:t>
      </w:r>
      <w:r w:rsidR="003D640C">
        <w:rPr>
          <w:rFonts w:eastAsia="Open Sans"/>
          <w:color w:val="121317"/>
        </w:rPr>
        <w:t xml:space="preserve"> </w:t>
      </w:r>
      <w:r w:rsidRPr="00DA2287">
        <w:rPr>
          <w:rFonts w:eastAsia="Open Sans"/>
          <w:color w:val="121317"/>
        </w:rPr>
        <w:t>feeling</w:t>
      </w:r>
      <w:r w:rsidR="003D640C">
        <w:rPr>
          <w:rFonts w:eastAsia="Open Sans"/>
          <w:color w:val="121317"/>
        </w:rPr>
        <w:t xml:space="preserve"> </w:t>
      </w:r>
      <w:r w:rsidRPr="00DA2287">
        <w:rPr>
          <w:rFonts w:eastAsia="Open Sans"/>
          <w:color w:val="121317"/>
        </w:rPr>
        <w:t>excluded</w:t>
      </w:r>
      <w:r w:rsidR="003D640C">
        <w:rPr>
          <w:rFonts w:eastAsia="Open Sans"/>
          <w:color w:val="121317"/>
        </w:rPr>
        <w:t xml:space="preserve"> </w:t>
      </w:r>
      <w:r w:rsidRPr="00DA2287">
        <w:rPr>
          <w:rFonts w:eastAsia="Open Sans"/>
          <w:color w:val="121317"/>
        </w:rPr>
        <w:t>from</w:t>
      </w:r>
      <w:r w:rsidR="003D640C">
        <w:rPr>
          <w:rFonts w:eastAsia="Open Sans"/>
          <w:color w:val="121317"/>
        </w:rPr>
        <w:t xml:space="preserve"> </w:t>
      </w:r>
      <w:r w:rsidRPr="00DA2287">
        <w:rPr>
          <w:rFonts w:eastAsia="Open Sans"/>
          <w:color w:val="121317"/>
        </w:rPr>
        <w:t>the</w:t>
      </w:r>
      <w:r w:rsidR="003D640C">
        <w:rPr>
          <w:rFonts w:eastAsia="Open Sans"/>
          <w:color w:val="121317"/>
        </w:rPr>
        <w:t xml:space="preserve"> </w:t>
      </w:r>
      <w:r w:rsidRPr="00DA2287">
        <w:rPr>
          <w:rFonts w:eastAsia="Open Sans"/>
          <w:color w:val="121317"/>
        </w:rPr>
        <w:t>Korean</w:t>
      </w:r>
      <w:r w:rsidR="003D640C">
        <w:rPr>
          <w:rFonts w:eastAsia="Open Sans"/>
          <w:color w:val="121317"/>
        </w:rPr>
        <w:t xml:space="preserve"> </w:t>
      </w:r>
      <w:r w:rsidRPr="00DA2287">
        <w:rPr>
          <w:rFonts w:eastAsia="Open Sans"/>
          <w:color w:val="121317"/>
        </w:rPr>
        <w:t>community</w:t>
      </w:r>
      <w:r w:rsidR="003F6FF3">
        <w:rPr>
          <w:rFonts w:eastAsia="Open Sans"/>
          <w:color w:val="121317"/>
        </w:rPr>
        <w:t>.</w:t>
      </w:r>
    </w:p>
    <w:p w14:paraId="302BFAD1" w14:textId="41124198" w:rsidR="00501068" w:rsidRDefault="008B0FA9" w:rsidP="00323E57">
      <w:pPr>
        <w:pStyle w:val="Quote"/>
      </w:pPr>
      <w:r w:rsidRPr="00DA2287">
        <w:t>“Essentially,</w:t>
      </w:r>
      <w:r w:rsidR="003D640C">
        <w:t xml:space="preserve"> </w:t>
      </w:r>
      <w:r w:rsidRPr="00DA2287">
        <w:t>if</w:t>
      </w:r>
      <w:r w:rsidR="003D640C">
        <w:t xml:space="preserve"> </w:t>
      </w:r>
      <w:r w:rsidRPr="00DA2287">
        <w:t>you</w:t>
      </w:r>
      <w:r w:rsidR="003D640C">
        <w:t xml:space="preserve"> </w:t>
      </w:r>
      <w:r w:rsidRPr="00DA2287">
        <w:t>are</w:t>
      </w:r>
      <w:r w:rsidR="003D640C">
        <w:t xml:space="preserve"> </w:t>
      </w:r>
      <w:r w:rsidRPr="00DA2287">
        <w:t>not</w:t>
      </w:r>
      <w:r w:rsidR="003D640C">
        <w:t xml:space="preserve"> </w:t>
      </w:r>
      <w:r w:rsidRPr="00DA2287">
        <w:t>in</w:t>
      </w:r>
      <w:r w:rsidR="003D640C">
        <w:t xml:space="preserve"> </w:t>
      </w:r>
      <w:r w:rsidRPr="00DA2287">
        <w:t>church</w:t>
      </w:r>
      <w:r w:rsidR="003F6FF3">
        <w:t>,</w:t>
      </w:r>
      <w:r w:rsidR="003D640C">
        <w:t xml:space="preserve"> </w:t>
      </w:r>
      <w:r w:rsidRPr="00DA2287">
        <w:t>you</w:t>
      </w:r>
      <w:r w:rsidR="003D640C">
        <w:t xml:space="preserve"> </w:t>
      </w:r>
      <w:r w:rsidRPr="00DA2287">
        <w:t>are</w:t>
      </w:r>
      <w:r w:rsidR="003D640C">
        <w:t xml:space="preserve"> </w:t>
      </w:r>
      <w:r w:rsidRPr="00DA2287">
        <w:t>not</w:t>
      </w:r>
      <w:r w:rsidR="003D640C">
        <w:t xml:space="preserve"> </w:t>
      </w:r>
      <w:r w:rsidRPr="00DA2287">
        <w:t>in</w:t>
      </w:r>
      <w:r w:rsidR="003D640C">
        <w:t xml:space="preserve"> </w:t>
      </w:r>
      <w:r w:rsidRPr="00DA2287">
        <w:t>the</w:t>
      </w:r>
      <w:r w:rsidR="003D640C">
        <w:t xml:space="preserve"> </w:t>
      </w:r>
      <w:r w:rsidRPr="00DA2287">
        <w:t>community.”</w:t>
      </w:r>
      <w:r w:rsidR="003D640C">
        <w:t xml:space="preserve"> </w:t>
      </w:r>
      <w:r w:rsidRPr="00DA2287">
        <w:t>Korean,</w:t>
      </w:r>
      <w:r w:rsidR="003D640C">
        <w:t xml:space="preserve"> </w:t>
      </w:r>
      <w:r w:rsidR="00270E5F" w:rsidRPr="00DA2287">
        <w:t>R</w:t>
      </w:r>
      <w:r w:rsidRPr="00DA2287">
        <w:t>ainbow</w:t>
      </w:r>
    </w:p>
    <w:p w14:paraId="60111DBC" w14:textId="13B3167C" w:rsidR="00D025FA" w:rsidRDefault="008B0FA9" w:rsidP="00323E57">
      <w:pPr>
        <w:rPr>
          <w:rFonts w:cstheme="minorHAnsi"/>
        </w:rPr>
      </w:pPr>
      <w:r w:rsidRPr="00DA2287">
        <w:t>Th</w:t>
      </w:r>
      <w:r w:rsidR="0071441D" w:rsidRPr="00DA2287">
        <w:t>e</w:t>
      </w:r>
      <w:r w:rsidR="003D640C">
        <w:t xml:space="preserve"> </w:t>
      </w:r>
      <w:r w:rsidR="0071441D" w:rsidRPr="00DA2287">
        <w:t>people</w:t>
      </w:r>
      <w:r w:rsidR="003D640C">
        <w:t xml:space="preserve"> </w:t>
      </w:r>
      <w:r w:rsidRPr="00DA2287">
        <w:t>we</w:t>
      </w:r>
      <w:r w:rsidR="003D640C">
        <w:t xml:space="preserve"> </w:t>
      </w:r>
      <w:r w:rsidRPr="00DA2287">
        <w:t>engaged</w:t>
      </w:r>
      <w:r w:rsidR="003D640C">
        <w:t xml:space="preserve"> </w:t>
      </w:r>
      <w:r w:rsidR="003F6FF3">
        <w:t xml:space="preserve">with </w:t>
      </w:r>
      <w:r w:rsidRPr="00DA2287">
        <w:t>discussed</w:t>
      </w:r>
      <w:r w:rsidR="003D640C">
        <w:t xml:space="preserve"> </w:t>
      </w:r>
      <w:r w:rsidRPr="00DA2287">
        <w:t>how</w:t>
      </w:r>
      <w:r w:rsidR="003D640C">
        <w:t xml:space="preserve"> </w:t>
      </w:r>
      <w:r w:rsidRPr="00DA2287">
        <w:t>the</w:t>
      </w:r>
      <w:r w:rsidR="003D640C">
        <w:t xml:space="preserve"> </w:t>
      </w:r>
      <w:r w:rsidRPr="00DA2287">
        <w:t>experience</w:t>
      </w:r>
      <w:r w:rsidR="003D640C">
        <w:t xml:space="preserve"> </w:t>
      </w:r>
      <w:r w:rsidRPr="00DA2287">
        <w:t>of</w:t>
      </w:r>
      <w:r w:rsidR="003D640C">
        <w:t xml:space="preserve"> </w:t>
      </w:r>
      <w:r w:rsidRPr="00DA2287">
        <w:t>migrating</w:t>
      </w:r>
      <w:r w:rsidR="003D640C">
        <w:t xml:space="preserve"> </w:t>
      </w:r>
      <w:r w:rsidRPr="00DA2287">
        <w:t>to</w:t>
      </w:r>
      <w:r w:rsidR="003D640C">
        <w:t xml:space="preserve"> </w:t>
      </w:r>
      <w:r w:rsidRPr="00DA2287">
        <w:t>a</w:t>
      </w:r>
      <w:r w:rsidR="003D640C">
        <w:t xml:space="preserve"> </w:t>
      </w:r>
      <w:r w:rsidRPr="00DA2287">
        <w:t>Pākehā</w:t>
      </w:r>
      <w:r w:rsidR="0071441D" w:rsidRPr="00DA2287">
        <w:t>-</w:t>
      </w:r>
      <w:r w:rsidRPr="00DA2287">
        <w:t>dominant</w:t>
      </w:r>
      <w:r w:rsidR="003D640C">
        <w:t xml:space="preserve"> </w:t>
      </w:r>
      <w:r w:rsidRPr="00DA2287">
        <w:t>society</w:t>
      </w:r>
      <w:r w:rsidR="003D640C">
        <w:t xml:space="preserve"> </w:t>
      </w:r>
      <w:r w:rsidRPr="00DA2287">
        <w:t>may</w:t>
      </w:r>
      <w:r w:rsidR="003D640C">
        <w:t xml:space="preserve"> </w:t>
      </w:r>
      <w:r w:rsidRPr="00DA2287">
        <w:t>contribut</w:t>
      </w:r>
      <w:r w:rsidR="0071441D" w:rsidRPr="00DA2287">
        <w:t>e</w:t>
      </w:r>
      <w:r w:rsidR="003D640C">
        <w:t xml:space="preserve"> </w:t>
      </w:r>
      <w:r w:rsidRPr="00DA2287">
        <w:t>to</w:t>
      </w:r>
      <w:r w:rsidR="003D640C">
        <w:t xml:space="preserve"> </w:t>
      </w:r>
      <w:r w:rsidRPr="00DA2287">
        <w:t>the</w:t>
      </w:r>
      <w:r w:rsidR="003D640C">
        <w:t xml:space="preserve"> </w:t>
      </w:r>
      <w:r w:rsidRPr="00DA2287">
        <w:t>rigid</w:t>
      </w:r>
      <w:r w:rsidR="003D640C">
        <w:t xml:space="preserve"> </w:t>
      </w:r>
      <w:r w:rsidRPr="00DA2287">
        <w:t>views</w:t>
      </w:r>
      <w:r w:rsidR="003D640C">
        <w:t xml:space="preserve"> </w:t>
      </w:r>
      <w:r w:rsidR="0071441D" w:rsidRPr="00DA2287">
        <w:t>their</w:t>
      </w:r>
      <w:r w:rsidR="003D640C">
        <w:t xml:space="preserve"> </w:t>
      </w:r>
      <w:r w:rsidR="0071441D" w:rsidRPr="00DA2287">
        <w:t>families</w:t>
      </w:r>
      <w:r w:rsidR="003D640C">
        <w:t xml:space="preserve"> </w:t>
      </w:r>
      <w:r w:rsidR="0071441D" w:rsidRPr="00DA2287">
        <w:t>and</w:t>
      </w:r>
      <w:r w:rsidR="003D640C">
        <w:t xml:space="preserve"> </w:t>
      </w:r>
      <w:r w:rsidR="0071441D" w:rsidRPr="00DA2287">
        <w:t>communities</w:t>
      </w:r>
      <w:r w:rsidR="003D640C">
        <w:t xml:space="preserve"> </w:t>
      </w:r>
      <w:r w:rsidRPr="00DA2287">
        <w:t>held</w:t>
      </w:r>
      <w:r w:rsidR="003D640C">
        <w:t xml:space="preserve"> </w:t>
      </w:r>
      <w:r w:rsidR="0071441D" w:rsidRPr="00DA2287">
        <w:t>of</w:t>
      </w:r>
      <w:r w:rsidR="003D640C">
        <w:t xml:space="preserve"> </w:t>
      </w:r>
      <w:r w:rsidR="0071441D" w:rsidRPr="00DA2287">
        <w:t>R</w:t>
      </w:r>
      <w:r w:rsidRPr="00DA2287">
        <w:t>ainbow</w:t>
      </w:r>
      <w:r w:rsidR="003D640C">
        <w:t xml:space="preserve"> </w:t>
      </w:r>
      <w:r w:rsidRPr="00DA2287">
        <w:t>identities.</w:t>
      </w:r>
      <w:r w:rsidR="003D640C">
        <w:t xml:space="preserve"> </w:t>
      </w:r>
      <w:r w:rsidR="0071441D" w:rsidRPr="00DA2287">
        <w:t>A</w:t>
      </w:r>
      <w:r w:rsidR="003D640C">
        <w:t xml:space="preserve"> </w:t>
      </w:r>
      <w:r w:rsidR="0071441D" w:rsidRPr="00DA2287">
        <w:t>few</w:t>
      </w:r>
      <w:r w:rsidR="003D640C">
        <w:t xml:space="preserve"> </w:t>
      </w:r>
      <w:r w:rsidRPr="00DA2287">
        <w:t>participants</w:t>
      </w:r>
      <w:r w:rsidR="003D640C">
        <w:t xml:space="preserve"> </w:t>
      </w:r>
      <w:r w:rsidRPr="00DA2287">
        <w:t>noted</w:t>
      </w:r>
      <w:r w:rsidR="003D640C">
        <w:t xml:space="preserve"> </w:t>
      </w:r>
      <w:r w:rsidRPr="00DA2287">
        <w:t>that</w:t>
      </w:r>
      <w:r w:rsidR="003D640C">
        <w:t xml:space="preserve"> </w:t>
      </w:r>
      <w:r w:rsidRPr="00DA2287">
        <w:t>some</w:t>
      </w:r>
      <w:r w:rsidR="003D640C">
        <w:t xml:space="preserve"> </w:t>
      </w:r>
      <w:r w:rsidRPr="00DA2287">
        <w:t>ethnic</w:t>
      </w:r>
      <w:r w:rsidR="003D640C">
        <w:t xml:space="preserve"> </w:t>
      </w:r>
      <w:r w:rsidRPr="00DA2287">
        <w:t>communities</w:t>
      </w:r>
      <w:r w:rsidR="003D640C">
        <w:t xml:space="preserve"> </w:t>
      </w:r>
      <w:r w:rsidRPr="00DA2287">
        <w:t>in</w:t>
      </w:r>
      <w:r w:rsidR="003D640C">
        <w:t xml:space="preserve"> </w:t>
      </w:r>
      <w:r w:rsidRPr="00DA2287">
        <w:t>Aotearoa</w:t>
      </w:r>
      <w:r w:rsidR="003D640C">
        <w:t xml:space="preserve"> </w:t>
      </w:r>
      <w:r w:rsidRPr="00DA2287">
        <w:t>held</w:t>
      </w:r>
      <w:r w:rsidR="003D640C">
        <w:t xml:space="preserve"> </w:t>
      </w:r>
      <w:r w:rsidRPr="00DA2287">
        <w:t>strong</w:t>
      </w:r>
      <w:r w:rsidR="003D640C">
        <w:t xml:space="preserve"> </w:t>
      </w:r>
      <w:r w:rsidRPr="00DA2287">
        <w:t>to</w:t>
      </w:r>
      <w:r w:rsidR="003D640C">
        <w:t xml:space="preserve"> </w:t>
      </w:r>
      <w:r w:rsidRPr="00DA2287">
        <w:t>such</w:t>
      </w:r>
      <w:r w:rsidR="003D640C">
        <w:t xml:space="preserve"> </w:t>
      </w:r>
      <w:r w:rsidRPr="00DA2287">
        <w:t>views</w:t>
      </w:r>
      <w:r w:rsidR="003D640C">
        <w:t xml:space="preserve"> </w:t>
      </w:r>
      <w:r w:rsidRPr="00DA2287">
        <w:t>in</w:t>
      </w:r>
      <w:r w:rsidR="003D640C">
        <w:t xml:space="preserve"> </w:t>
      </w:r>
      <w:r w:rsidR="0071441D" w:rsidRPr="00DA2287">
        <w:t>contrast</w:t>
      </w:r>
      <w:r w:rsidR="003D640C">
        <w:t xml:space="preserve"> </w:t>
      </w:r>
      <w:r w:rsidRPr="00DA2287">
        <w:t>to</w:t>
      </w:r>
      <w:r w:rsidR="003D640C">
        <w:t xml:space="preserve"> </w:t>
      </w:r>
      <w:r w:rsidRPr="00DA2287">
        <w:t>the</w:t>
      </w:r>
      <w:r w:rsidR="003D640C">
        <w:t xml:space="preserve"> </w:t>
      </w:r>
      <w:r w:rsidRPr="00DA2287">
        <w:t>more</w:t>
      </w:r>
      <w:r w:rsidR="003D640C">
        <w:t xml:space="preserve"> </w:t>
      </w:r>
      <w:r w:rsidRPr="00DA2287">
        <w:t>accepting</w:t>
      </w:r>
      <w:r w:rsidR="003D640C">
        <w:t xml:space="preserve"> </w:t>
      </w:r>
      <w:r w:rsidR="0071441D" w:rsidRPr="00DA2287">
        <w:t>views</w:t>
      </w:r>
      <w:r w:rsidR="003D640C">
        <w:t xml:space="preserve"> </w:t>
      </w:r>
      <w:r w:rsidRPr="00DA2287">
        <w:t>they</w:t>
      </w:r>
      <w:r w:rsidR="003D640C">
        <w:t xml:space="preserve"> </w:t>
      </w:r>
      <w:r w:rsidRPr="00DA2287">
        <w:t>believed</w:t>
      </w:r>
      <w:r w:rsidR="003D640C">
        <w:t xml:space="preserve"> </w:t>
      </w:r>
      <w:r w:rsidRPr="00DA2287">
        <w:t>to</w:t>
      </w:r>
      <w:r w:rsidR="003D640C">
        <w:t xml:space="preserve"> </w:t>
      </w:r>
      <w:r w:rsidRPr="00DA2287">
        <w:t>be</w:t>
      </w:r>
      <w:r w:rsidR="003D640C">
        <w:t xml:space="preserve"> </w:t>
      </w:r>
      <w:r w:rsidRPr="00DA2287">
        <w:t>more</w:t>
      </w:r>
      <w:r w:rsidR="003D640C">
        <w:t xml:space="preserve"> </w:t>
      </w:r>
      <w:r w:rsidRPr="00DA2287">
        <w:t>current</w:t>
      </w:r>
      <w:r w:rsidR="003D640C">
        <w:t xml:space="preserve"> </w:t>
      </w:r>
      <w:r w:rsidRPr="00DA2287">
        <w:t>now</w:t>
      </w:r>
      <w:r w:rsidR="003D640C">
        <w:t xml:space="preserve"> </w:t>
      </w:r>
      <w:r w:rsidRPr="00DA2287">
        <w:t>in</w:t>
      </w:r>
      <w:r w:rsidR="003D640C">
        <w:t xml:space="preserve"> </w:t>
      </w:r>
      <w:r w:rsidRPr="00DA2287">
        <w:t>their</w:t>
      </w:r>
      <w:r w:rsidR="003D640C">
        <w:t xml:space="preserve"> </w:t>
      </w:r>
      <w:r w:rsidRPr="00DA2287">
        <w:t>country</w:t>
      </w:r>
      <w:r w:rsidR="003D640C">
        <w:t xml:space="preserve"> </w:t>
      </w:r>
      <w:r w:rsidRPr="00DA2287">
        <w:t>of</w:t>
      </w:r>
      <w:r w:rsidR="003D640C">
        <w:t xml:space="preserve"> </w:t>
      </w:r>
      <w:r w:rsidRPr="00DA2287">
        <w:t>origin.</w:t>
      </w:r>
      <w:r w:rsidR="003D640C">
        <w:t xml:space="preserve"> </w:t>
      </w:r>
    </w:p>
    <w:p w14:paraId="5AA84401" w14:textId="52714FD9" w:rsidR="008B0FA9" w:rsidRPr="00DA2287" w:rsidRDefault="008B0FA9" w:rsidP="00323E57">
      <w:pPr>
        <w:pStyle w:val="Quote"/>
      </w:pPr>
      <w:r w:rsidRPr="00DA2287">
        <w:t>“They</w:t>
      </w:r>
      <w:r w:rsidR="003D640C">
        <w:t xml:space="preserve"> </w:t>
      </w:r>
      <w:r w:rsidRPr="00DA2287">
        <w:t>hold</w:t>
      </w:r>
      <w:r w:rsidR="003D640C">
        <w:t xml:space="preserve"> </w:t>
      </w:r>
      <w:r w:rsidRPr="00DA2287">
        <w:t>on</w:t>
      </w:r>
      <w:r w:rsidR="003D640C">
        <w:t xml:space="preserve"> </w:t>
      </w:r>
      <w:r w:rsidRPr="00DA2287">
        <w:t>to</w:t>
      </w:r>
      <w:r w:rsidR="003D640C">
        <w:t xml:space="preserve"> </w:t>
      </w:r>
      <w:r w:rsidRPr="00DA2287">
        <w:t>their</w:t>
      </w:r>
      <w:r w:rsidR="003D640C">
        <w:t xml:space="preserve"> </w:t>
      </w:r>
      <w:r w:rsidRPr="00DA2287">
        <w:t>culture</w:t>
      </w:r>
      <w:r w:rsidR="003D640C">
        <w:t xml:space="preserve"> </w:t>
      </w:r>
      <w:r w:rsidRPr="00DA2287">
        <w:t>so</w:t>
      </w:r>
      <w:r w:rsidR="003D640C">
        <w:t xml:space="preserve"> </w:t>
      </w:r>
      <w:r w:rsidRPr="00DA2287">
        <w:t>tight</w:t>
      </w:r>
      <w:r w:rsidR="003D640C">
        <w:t xml:space="preserve"> </w:t>
      </w:r>
      <w:r w:rsidRPr="00DA2287">
        <w:t>that</w:t>
      </w:r>
      <w:r w:rsidR="003D640C">
        <w:t xml:space="preserve"> </w:t>
      </w:r>
      <w:r w:rsidRPr="00DA2287">
        <w:t>it</w:t>
      </w:r>
      <w:r w:rsidR="003D640C">
        <w:t xml:space="preserve"> </w:t>
      </w:r>
      <w:r w:rsidRPr="00DA2287">
        <w:t>fails</w:t>
      </w:r>
      <w:r w:rsidR="003D640C">
        <w:t xml:space="preserve"> </w:t>
      </w:r>
      <w:r w:rsidRPr="00DA2287">
        <w:t>to</w:t>
      </w:r>
      <w:r w:rsidR="003D640C">
        <w:t xml:space="preserve"> </w:t>
      </w:r>
      <w:r w:rsidRPr="00DA2287">
        <w:t>evolve.”</w:t>
      </w:r>
      <w:r w:rsidR="003D640C">
        <w:t xml:space="preserve"> </w:t>
      </w:r>
      <w:r w:rsidR="00270E5F" w:rsidRPr="00DA2287">
        <w:t>Sri</w:t>
      </w:r>
      <w:r w:rsidR="003D640C">
        <w:t xml:space="preserve"> </w:t>
      </w:r>
      <w:r w:rsidR="00270E5F" w:rsidRPr="00DA2287">
        <w:t>Lankan,</w:t>
      </w:r>
      <w:r w:rsidR="003D640C">
        <w:t xml:space="preserve"> </w:t>
      </w:r>
      <w:r w:rsidR="00270E5F" w:rsidRPr="00DA2287">
        <w:t>queer</w:t>
      </w:r>
    </w:p>
    <w:p w14:paraId="0445B15C" w14:textId="0E4C13D3" w:rsidR="008B0FA9" w:rsidRPr="00DA2287" w:rsidRDefault="008B0FA9" w:rsidP="00323E57">
      <w:r w:rsidRPr="00DA2287">
        <w:lastRenderedPageBreak/>
        <w:t>While</w:t>
      </w:r>
      <w:r w:rsidR="003D640C">
        <w:t xml:space="preserve"> </w:t>
      </w:r>
      <w:r w:rsidRPr="00DA2287">
        <w:t>the</w:t>
      </w:r>
      <w:r w:rsidR="003D640C">
        <w:t xml:space="preserve"> </w:t>
      </w:r>
      <w:r w:rsidRPr="00DA2287">
        <w:t>idea</w:t>
      </w:r>
      <w:r w:rsidR="003D640C">
        <w:t xml:space="preserve"> </w:t>
      </w:r>
      <w:r w:rsidR="0071441D" w:rsidRPr="00DA2287">
        <w:t>expressed</w:t>
      </w:r>
      <w:r w:rsidR="003D640C">
        <w:t xml:space="preserve"> </w:t>
      </w:r>
      <w:r w:rsidR="0071441D" w:rsidRPr="00DA2287">
        <w:t>by</w:t>
      </w:r>
      <w:r w:rsidR="003D640C">
        <w:t xml:space="preserve"> </w:t>
      </w:r>
      <w:r w:rsidR="0071441D" w:rsidRPr="00DA2287">
        <w:t>some</w:t>
      </w:r>
      <w:r w:rsidR="003D640C">
        <w:t xml:space="preserve"> </w:t>
      </w:r>
      <w:r w:rsidR="0071441D" w:rsidRPr="00DA2287">
        <w:t>participants</w:t>
      </w:r>
      <w:r w:rsidR="003D640C">
        <w:t xml:space="preserve"> </w:t>
      </w:r>
      <w:r w:rsidRPr="00DA2287">
        <w:t>that</w:t>
      </w:r>
      <w:r w:rsidR="003D640C">
        <w:t xml:space="preserve"> </w:t>
      </w:r>
      <w:r w:rsidRPr="00DA2287">
        <w:t>acceptance</w:t>
      </w:r>
      <w:r w:rsidR="003D640C">
        <w:t xml:space="preserve"> </w:t>
      </w:r>
      <w:r w:rsidRPr="00DA2287">
        <w:t>of</w:t>
      </w:r>
      <w:r w:rsidR="003D640C">
        <w:t xml:space="preserve"> </w:t>
      </w:r>
      <w:r w:rsidRPr="00DA2287">
        <w:t>Rainbow</w:t>
      </w:r>
      <w:r w:rsidR="003D640C">
        <w:t xml:space="preserve"> </w:t>
      </w:r>
      <w:r w:rsidRPr="00DA2287">
        <w:t>identities</w:t>
      </w:r>
      <w:r w:rsidR="003D640C">
        <w:t xml:space="preserve"> </w:t>
      </w:r>
      <w:r w:rsidRPr="00DA2287">
        <w:t>is</w:t>
      </w:r>
      <w:r w:rsidR="003D640C">
        <w:t xml:space="preserve"> </w:t>
      </w:r>
      <w:r w:rsidRPr="00DA2287">
        <w:t>becoming</w:t>
      </w:r>
      <w:r w:rsidR="003D640C">
        <w:t xml:space="preserve"> </w:t>
      </w:r>
      <w:r w:rsidRPr="00DA2287">
        <w:t>more</w:t>
      </w:r>
      <w:r w:rsidR="003D640C">
        <w:t xml:space="preserve"> </w:t>
      </w:r>
      <w:r w:rsidRPr="00DA2287">
        <w:t>common</w:t>
      </w:r>
      <w:r w:rsidR="003D640C">
        <w:t xml:space="preserve"> </w:t>
      </w:r>
      <w:r w:rsidRPr="00DA2287">
        <w:t>in</w:t>
      </w:r>
      <w:r w:rsidR="003D640C">
        <w:t xml:space="preserve"> </w:t>
      </w:r>
      <w:r w:rsidRPr="00DA2287">
        <w:t>some</w:t>
      </w:r>
      <w:r w:rsidR="003D640C">
        <w:t xml:space="preserve"> </w:t>
      </w:r>
      <w:r w:rsidRPr="00DA2287">
        <w:t>home</w:t>
      </w:r>
      <w:r w:rsidR="003D640C">
        <w:t xml:space="preserve"> </w:t>
      </w:r>
      <w:r w:rsidRPr="00DA2287">
        <w:t>countries,</w:t>
      </w:r>
      <w:r w:rsidR="003D640C">
        <w:t xml:space="preserve"> </w:t>
      </w:r>
      <w:r w:rsidRPr="00DA2287">
        <w:t>this</w:t>
      </w:r>
      <w:r w:rsidR="003D640C">
        <w:t xml:space="preserve"> </w:t>
      </w:r>
      <w:r w:rsidRPr="00DA2287">
        <w:t>is</w:t>
      </w:r>
      <w:r w:rsidR="003D640C">
        <w:t xml:space="preserve"> </w:t>
      </w:r>
      <w:r w:rsidRPr="00DA2287">
        <w:t>not</w:t>
      </w:r>
      <w:r w:rsidR="003D640C">
        <w:t xml:space="preserve"> </w:t>
      </w:r>
      <w:r w:rsidRPr="00DA2287">
        <w:t>the</w:t>
      </w:r>
      <w:r w:rsidR="003D640C">
        <w:t xml:space="preserve"> </w:t>
      </w:r>
      <w:r w:rsidRPr="00DA2287">
        <w:t>case</w:t>
      </w:r>
      <w:r w:rsidR="003D640C">
        <w:t xml:space="preserve"> </w:t>
      </w:r>
      <w:r w:rsidRPr="00DA2287">
        <w:t>for</w:t>
      </w:r>
      <w:r w:rsidR="003D640C">
        <w:t xml:space="preserve"> </w:t>
      </w:r>
      <w:r w:rsidRPr="00DA2287">
        <w:t>all</w:t>
      </w:r>
      <w:r w:rsidR="003D640C">
        <w:t xml:space="preserve"> </w:t>
      </w:r>
      <w:r w:rsidRPr="00DA2287">
        <w:t>migrant</w:t>
      </w:r>
      <w:r w:rsidR="003D640C">
        <w:t xml:space="preserve"> </w:t>
      </w:r>
      <w:r w:rsidRPr="00DA2287">
        <w:t>communities</w:t>
      </w:r>
      <w:r w:rsidR="003D640C">
        <w:t xml:space="preserve"> </w:t>
      </w:r>
      <w:r w:rsidRPr="00DA2287">
        <w:t>in</w:t>
      </w:r>
      <w:r w:rsidR="003D640C">
        <w:t xml:space="preserve"> </w:t>
      </w:r>
      <w:r w:rsidRPr="00DA2287">
        <w:t>relation</w:t>
      </w:r>
      <w:r w:rsidR="003D640C">
        <w:t xml:space="preserve"> </w:t>
      </w:r>
      <w:r w:rsidRPr="00DA2287">
        <w:t>to</w:t>
      </w:r>
      <w:r w:rsidR="003D640C">
        <w:t xml:space="preserve"> </w:t>
      </w:r>
      <w:r w:rsidRPr="00DA2287">
        <w:t>their</w:t>
      </w:r>
      <w:r w:rsidR="003D640C">
        <w:t xml:space="preserve"> </w:t>
      </w:r>
      <w:r w:rsidRPr="00DA2287">
        <w:t>homelands.</w:t>
      </w:r>
      <w:r w:rsidR="003D640C">
        <w:t xml:space="preserve"> </w:t>
      </w:r>
      <w:r w:rsidRPr="00DA2287">
        <w:t>Some</w:t>
      </w:r>
      <w:r w:rsidR="003D640C">
        <w:t xml:space="preserve"> </w:t>
      </w:r>
      <w:r w:rsidRPr="00DA2287">
        <w:t>Asian</w:t>
      </w:r>
      <w:r w:rsidR="003D640C">
        <w:t xml:space="preserve"> </w:t>
      </w:r>
      <w:r w:rsidRPr="00DA2287">
        <w:t>participants</w:t>
      </w:r>
      <w:r w:rsidR="003D640C">
        <w:t xml:space="preserve"> </w:t>
      </w:r>
      <w:r w:rsidRPr="00DA2287">
        <w:t>were</w:t>
      </w:r>
      <w:r w:rsidR="003D640C">
        <w:t xml:space="preserve"> </w:t>
      </w:r>
      <w:r w:rsidRPr="00DA2287">
        <w:t>aware</w:t>
      </w:r>
      <w:r w:rsidR="003D640C">
        <w:t xml:space="preserve"> </w:t>
      </w:r>
      <w:r w:rsidRPr="00DA2287">
        <w:t>of</w:t>
      </w:r>
      <w:r w:rsidR="003D640C">
        <w:t xml:space="preserve"> </w:t>
      </w:r>
      <w:r w:rsidRPr="00DA2287">
        <w:t>the</w:t>
      </w:r>
      <w:r w:rsidR="003D640C">
        <w:t xml:space="preserve"> </w:t>
      </w:r>
      <w:r w:rsidRPr="00DA2287">
        <w:t>rise</w:t>
      </w:r>
      <w:r w:rsidR="003D640C">
        <w:t xml:space="preserve"> </w:t>
      </w:r>
      <w:r w:rsidRPr="00DA2287">
        <w:t>of</w:t>
      </w:r>
      <w:r w:rsidR="003D640C">
        <w:t xml:space="preserve"> </w:t>
      </w:r>
      <w:r w:rsidRPr="00DA2287">
        <w:t>anti-transgender</w:t>
      </w:r>
      <w:r w:rsidR="003D640C">
        <w:t xml:space="preserve"> </w:t>
      </w:r>
      <w:r w:rsidRPr="00DA2287">
        <w:t>and</w:t>
      </w:r>
      <w:r w:rsidR="003D640C">
        <w:t xml:space="preserve"> </w:t>
      </w:r>
      <w:r w:rsidRPr="00DA2287">
        <w:t>broader</w:t>
      </w:r>
      <w:r w:rsidR="003D640C">
        <w:t xml:space="preserve"> </w:t>
      </w:r>
      <w:r w:rsidRPr="00DA2287">
        <w:t>anti-</w:t>
      </w:r>
      <w:r w:rsidR="0071441D" w:rsidRPr="00DA2287">
        <w:t>R</w:t>
      </w:r>
      <w:r w:rsidRPr="00DA2287">
        <w:t>ainbow</w:t>
      </w:r>
      <w:r w:rsidR="003D640C">
        <w:t xml:space="preserve"> </w:t>
      </w:r>
      <w:r w:rsidRPr="00DA2287">
        <w:t>rhetoric</w:t>
      </w:r>
      <w:r w:rsidR="003D640C">
        <w:t xml:space="preserve"> </w:t>
      </w:r>
      <w:r w:rsidRPr="00DA2287">
        <w:t>taking</w:t>
      </w:r>
      <w:r w:rsidR="003D640C">
        <w:t xml:space="preserve"> </w:t>
      </w:r>
      <w:r w:rsidRPr="00DA2287">
        <w:t>place</w:t>
      </w:r>
      <w:r w:rsidR="003D640C">
        <w:t xml:space="preserve"> </w:t>
      </w:r>
      <w:r w:rsidRPr="00DA2287">
        <w:t>in</w:t>
      </w:r>
      <w:r w:rsidR="003D640C">
        <w:t xml:space="preserve"> </w:t>
      </w:r>
      <w:r w:rsidRPr="00DA2287">
        <w:t>their</w:t>
      </w:r>
      <w:r w:rsidR="003D640C">
        <w:t xml:space="preserve"> </w:t>
      </w:r>
      <w:r w:rsidRPr="00DA2287">
        <w:t>homelands.</w:t>
      </w:r>
      <w:r w:rsidR="003D640C">
        <w:t xml:space="preserve"> </w:t>
      </w:r>
      <w:r w:rsidRPr="00DA2287">
        <w:t>They</w:t>
      </w:r>
      <w:r w:rsidR="003D640C">
        <w:t xml:space="preserve"> </w:t>
      </w:r>
      <w:r w:rsidRPr="00DA2287">
        <w:t>expressed</w:t>
      </w:r>
      <w:r w:rsidR="003D640C">
        <w:t xml:space="preserve"> </w:t>
      </w:r>
      <w:r w:rsidRPr="00DA2287">
        <w:t>a</w:t>
      </w:r>
      <w:r w:rsidR="003D640C">
        <w:t xml:space="preserve"> </w:t>
      </w:r>
      <w:r w:rsidRPr="00DA2287">
        <w:t>growing</w:t>
      </w:r>
      <w:r w:rsidR="003D640C">
        <w:t xml:space="preserve"> </w:t>
      </w:r>
      <w:r w:rsidRPr="00DA2287">
        <w:t>fear</w:t>
      </w:r>
      <w:r w:rsidR="003D640C">
        <w:t xml:space="preserve"> </w:t>
      </w:r>
      <w:r w:rsidRPr="00DA2287">
        <w:t>that</w:t>
      </w:r>
      <w:r w:rsidR="003D640C">
        <w:t xml:space="preserve"> </w:t>
      </w:r>
      <w:r w:rsidRPr="00DA2287">
        <w:t>extreme</w:t>
      </w:r>
      <w:r w:rsidR="003D640C">
        <w:t xml:space="preserve"> </w:t>
      </w:r>
      <w:r w:rsidRPr="00DA2287">
        <w:t>forms</w:t>
      </w:r>
      <w:r w:rsidR="003D640C">
        <w:t xml:space="preserve"> </w:t>
      </w:r>
      <w:r w:rsidRPr="00DA2287">
        <w:t>of</w:t>
      </w:r>
      <w:r w:rsidR="003D640C">
        <w:t xml:space="preserve"> </w:t>
      </w:r>
      <w:r w:rsidRPr="00DA2287">
        <w:t>conversion</w:t>
      </w:r>
      <w:r w:rsidR="003D640C">
        <w:t xml:space="preserve"> </w:t>
      </w:r>
      <w:r w:rsidRPr="00DA2287">
        <w:t>practice</w:t>
      </w:r>
      <w:r w:rsidR="003D640C">
        <w:t xml:space="preserve"> </w:t>
      </w:r>
      <w:r w:rsidRPr="00DA2287">
        <w:t>methods</w:t>
      </w:r>
      <w:r w:rsidR="003D640C">
        <w:t xml:space="preserve"> </w:t>
      </w:r>
      <w:r w:rsidRPr="00DA2287">
        <w:t>from</w:t>
      </w:r>
      <w:r w:rsidR="003D640C">
        <w:t xml:space="preserve"> </w:t>
      </w:r>
      <w:r w:rsidRPr="00DA2287">
        <w:t>the</w:t>
      </w:r>
      <w:r w:rsidR="0071441D" w:rsidRPr="00DA2287">
        <w:t>ir</w:t>
      </w:r>
      <w:r w:rsidR="003D640C">
        <w:t xml:space="preserve"> </w:t>
      </w:r>
      <w:r w:rsidR="0071441D" w:rsidRPr="00DA2287">
        <w:t>home</w:t>
      </w:r>
      <w:r w:rsidRPr="00DA2287">
        <w:t>lands</w:t>
      </w:r>
      <w:r w:rsidR="003D640C">
        <w:t xml:space="preserve"> </w:t>
      </w:r>
      <w:r w:rsidRPr="00DA2287">
        <w:t>will</w:t>
      </w:r>
      <w:r w:rsidR="003D640C">
        <w:t xml:space="preserve"> </w:t>
      </w:r>
      <w:r w:rsidRPr="00DA2287">
        <w:t>gain</w:t>
      </w:r>
      <w:r w:rsidR="003D640C">
        <w:t xml:space="preserve"> </w:t>
      </w:r>
      <w:r w:rsidRPr="00DA2287">
        <w:t>traction</w:t>
      </w:r>
      <w:r w:rsidR="003D640C">
        <w:t xml:space="preserve"> </w:t>
      </w:r>
      <w:r w:rsidR="0071441D" w:rsidRPr="00DA2287">
        <w:t>in</w:t>
      </w:r>
      <w:r w:rsidR="003D640C">
        <w:t xml:space="preserve"> </w:t>
      </w:r>
      <w:r w:rsidR="0071441D" w:rsidRPr="00DA2287">
        <w:t>Aotearoa.</w:t>
      </w:r>
      <w:r w:rsidR="003D640C">
        <w:t xml:space="preserve"> </w:t>
      </w:r>
      <w:r w:rsidR="0071441D" w:rsidRPr="00DA2287">
        <w:t>Examples</w:t>
      </w:r>
      <w:r w:rsidR="003D640C">
        <w:t xml:space="preserve"> </w:t>
      </w:r>
      <w:r w:rsidR="0071441D" w:rsidRPr="00DA2287">
        <w:t>of</w:t>
      </w:r>
      <w:r w:rsidR="003D640C">
        <w:t xml:space="preserve"> </w:t>
      </w:r>
      <w:r w:rsidR="0071441D" w:rsidRPr="00DA2287">
        <w:t>these</w:t>
      </w:r>
      <w:r w:rsidR="003D640C">
        <w:t xml:space="preserve"> </w:t>
      </w:r>
      <w:r w:rsidR="0071441D" w:rsidRPr="00DA2287">
        <w:t>practices</w:t>
      </w:r>
      <w:r w:rsidR="003D640C">
        <w:t xml:space="preserve"> </w:t>
      </w:r>
      <w:r w:rsidR="0071441D" w:rsidRPr="00DA2287">
        <w:t>include</w:t>
      </w:r>
      <w:r w:rsidR="003D640C">
        <w:t xml:space="preserve"> </w:t>
      </w:r>
      <w:r w:rsidRPr="00DA2287">
        <w:t>‘corrective</w:t>
      </w:r>
      <w:r w:rsidR="003D640C">
        <w:t xml:space="preserve"> </w:t>
      </w:r>
      <w:r w:rsidRPr="00DA2287">
        <w:t>rape</w:t>
      </w:r>
      <w:r w:rsidR="00710F1B">
        <w:t>,</w:t>
      </w:r>
      <w:r w:rsidRPr="00DA2287">
        <w:t>’</w:t>
      </w:r>
      <w:r w:rsidR="003D640C">
        <w:t xml:space="preserve"> </w:t>
      </w:r>
      <w:r w:rsidRPr="00DA2287">
        <w:t>masturbatory</w:t>
      </w:r>
      <w:r w:rsidR="003D640C">
        <w:t xml:space="preserve"> </w:t>
      </w:r>
      <w:r w:rsidRPr="00DA2287">
        <w:t>reconditioning,</w:t>
      </w:r>
      <w:r w:rsidR="003D640C">
        <w:t xml:space="preserve"> </w:t>
      </w:r>
      <w:r w:rsidRPr="00DA2287">
        <w:t>‘black</w:t>
      </w:r>
      <w:r w:rsidR="003D640C">
        <w:t xml:space="preserve"> </w:t>
      </w:r>
      <w:r w:rsidRPr="00DA2287">
        <w:t>magic</w:t>
      </w:r>
      <w:r w:rsidR="00710F1B">
        <w:t>,</w:t>
      </w:r>
      <w:r w:rsidRPr="00DA2287">
        <w:t>’</w:t>
      </w:r>
      <w:r w:rsidR="003D640C">
        <w:t xml:space="preserve"> </w:t>
      </w:r>
      <w:r w:rsidRPr="00DA2287">
        <w:t>and</w:t>
      </w:r>
      <w:r w:rsidR="003D640C">
        <w:t xml:space="preserve"> </w:t>
      </w:r>
      <w:r w:rsidRPr="00DA2287">
        <w:t>circulation</w:t>
      </w:r>
      <w:r w:rsidR="003D640C">
        <w:t xml:space="preserve"> </w:t>
      </w:r>
      <w:r w:rsidRPr="00DA2287">
        <w:t>of</w:t>
      </w:r>
      <w:r w:rsidR="003D640C">
        <w:t xml:space="preserve"> </w:t>
      </w:r>
      <w:r w:rsidRPr="00DA2287">
        <w:t>pseudo-academic</w:t>
      </w:r>
      <w:r w:rsidR="003D640C">
        <w:t xml:space="preserve"> </w:t>
      </w:r>
      <w:r w:rsidRPr="00DA2287">
        <w:t>articles</w:t>
      </w:r>
      <w:r w:rsidR="0071441D" w:rsidRPr="00DA2287">
        <w:t>.</w:t>
      </w:r>
      <w:r w:rsidRPr="00DA2287">
        <w:rPr>
          <w:rStyle w:val="FootnoteReference"/>
          <w:rFonts w:eastAsia="Open Sans"/>
          <w:color w:val="121317"/>
        </w:rPr>
        <w:footnoteReference w:id="218"/>
      </w:r>
      <w:r w:rsidRPr="00DA2287" w:rsidDel="008E1CCA">
        <w:t xml:space="preserve"> </w:t>
      </w:r>
      <w:r w:rsidRPr="00DA2287">
        <w:t>A</w:t>
      </w:r>
      <w:r w:rsidR="003D640C">
        <w:t xml:space="preserve"> </w:t>
      </w:r>
      <w:r w:rsidR="0071441D" w:rsidRPr="00DA2287">
        <w:t>2023</w:t>
      </w:r>
      <w:r w:rsidR="003D640C">
        <w:t xml:space="preserve"> </w:t>
      </w:r>
      <w:r w:rsidRPr="00DA2287">
        <w:t>article</w:t>
      </w:r>
      <w:r w:rsidR="003D640C">
        <w:t xml:space="preserve"> </w:t>
      </w:r>
      <w:r w:rsidRPr="00DA2287">
        <w:t>exploring</w:t>
      </w:r>
      <w:r w:rsidR="003D640C">
        <w:t xml:space="preserve"> </w:t>
      </w:r>
      <w:r w:rsidRPr="00DA2287">
        <w:t>the</w:t>
      </w:r>
      <w:r w:rsidR="003D640C">
        <w:t xml:space="preserve"> </w:t>
      </w:r>
      <w:r w:rsidRPr="00DA2287">
        <w:t>experience</w:t>
      </w:r>
      <w:r w:rsidR="003D640C">
        <w:t xml:space="preserve"> </w:t>
      </w:r>
      <w:r w:rsidRPr="00DA2287">
        <w:t>of</w:t>
      </w:r>
      <w:r w:rsidR="003D640C">
        <w:t xml:space="preserve"> </w:t>
      </w:r>
      <w:r w:rsidRPr="00DA2287">
        <w:t>recent</w:t>
      </w:r>
      <w:r w:rsidR="003D640C">
        <w:t xml:space="preserve"> </w:t>
      </w:r>
      <w:r w:rsidRPr="00DA2287">
        <w:t>Chinese</w:t>
      </w:r>
      <w:r w:rsidR="003D640C">
        <w:t xml:space="preserve"> </w:t>
      </w:r>
      <w:r w:rsidRPr="00DA2287">
        <w:t>Rainbow</w:t>
      </w:r>
      <w:r w:rsidR="003D640C">
        <w:t xml:space="preserve"> </w:t>
      </w:r>
      <w:r w:rsidRPr="00DA2287">
        <w:t>migrants</w:t>
      </w:r>
      <w:r w:rsidR="003D640C">
        <w:t xml:space="preserve"> </w:t>
      </w:r>
      <w:r w:rsidRPr="00DA2287">
        <w:t>in</w:t>
      </w:r>
      <w:r w:rsidR="003D640C">
        <w:t xml:space="preserve"> </w:t>
      </w:r>
      <w:r w:rsidRPr="00DA2287">
        <w:t>Aotearoa</w:t>
      </w:r>
      <w:r w:rsidR="003D640C">
        <w:t xml:space="preserve"> </w:t>
      </w:r>
      <w:r w:rsidRPr="00DA2287">
        <w:t>finds</w:t>
      </w:r>
      <w:r w:rsidR="003D640C">
        <w:t xml:space="preserve"> </w:t>
      </w:r>
      <w:r w:rsidRPr="00DA2287">
        <w:t>that</w:t>
      </w:r>
      <w:r w:rsidR="003D640C">
        <w:t xml:space="preserve"> </w:t>
      </w:r>
      <w:r w:rsidRPr="00DA2287">
        <w:t>they</w:t>
      </w:r>
      <w:r w:rsidR="003D640C">
        <w:t xml:space="preserve"> </w:t>
      </w:r>
      <w:r w:rsidRPr="00DA2287">
        <w:t>are</w:t>
      </w:r>
      <w:r w:rsidR="003D640C">
        <w:t xml:space="preserve"> </w:t>
      </w:r>
      <w:r w:rsidRPr="00DA2287">
        <w:t>well</w:t>
      </w:r>
      <w:r w:rsidR="003D640C">
        <w:t xml:space="preserve"> </w:t>
      </w:r>
      <w:r w:rsidRPr="00DA2287">
        <w:t>aware</w:t>
      </w:r>
      <w:r w:rsidR="003D640C">
        <w:t xml:space="preserve"> </w:t>
      </w:r>
      <w:r w:rsidRPr="00DA2287">
        <w:t>of</w:t>
      </w:r>
      <w:r w:rsidR="003D640C">
        <w:t xml:space="preserve"> </w:t>
      </w:r>
      <w:r w:rsidRPr="00DA2287">
        <w:t>a</w:t>
      </w:r>
      <w:r w:rsidR="003D640C">
        <w:t xml:space="preserve"> </w:t>
      </w:r>
      <w:r w:rsidRPr="00DA2287">
        <w:t>recent</w:t>
      </w:r>
      <w:r w:rsidR="003D640C">
        <w:t xml:space="preserve"> </w:t>
      </w:r>
      <w:r w:rsidRPr="00DA2287">
        <w:t>trend</w:t>
      </w:r>
      <w:r w:rsidR="003D640C">
        <w:t xml:space="preserve"> </w:t>
      </w:r>
      <w:r w:rsidRPr="00DA2287">
        <w:t>in</w:t>
      </w:r>
      <w:r w:rsidR="003D640C">
        <w:t xml:space="preserve"> </w:t>
      </w:r>
      <w:r w:rsidRPr="00DA2287">
        <w:t>China</w:t>
      </w:r>
      <w:r w:rsidR="003D640C">
        <w:t xml:space="preserve"> </w:t>
      </w:r>
      <w:r w:rsidRPr="00DA2287">
        <w:t>for</w:t>
      </w:r>
      <w:r w:rsidR="003D640C">
        <w:t xml:space="preserve"> </w:t>
      </w:r>
      <w:r w:rsidRPr="00DA2287">
        <w:t>hardline</w:t>
      </w:r>
      <w:r w:rsidR="003D640C">
        <w:t xml:space="preserve"> </w:t>
      </w:r>
      <w:r w:rsidRPr="00DA2287">
        <w:t>anti-Rainbow</w:t>
      </w:r>
      <w:r w:rsidR="003D640C">
        <w:t xml:space="preserve"> </w:t>
      </w:r>
      <w:r w:rsidRPr="00DA2287">
        <w:t>policies</w:t>
      </w:r>
      <w:r w:rsidR="003D640C">
        <w:t xml:space="preserve"> </w:t>
      </w:r>
      <w:r w:rsidRPr="00DA2287">
        <w:t>and</w:t>
      </w:r>
      <w:r w:rsidR="003D640C">
        <w:t xml:space="preserve"> </w:t>
      </w:r>
      <w:r w:rsidRPr="00DA2287">
        <w:t>crackdowns</w:t>
      </w:r>
      <w:r w:rsidR="003D640C">
        <w:t xml:space="preserve"> </w:t>
      </w:r>
      <w:r w:rsidRPr="00DA2287">
        <w:t>on</w:t>
      </w:r>
      <w:r w:rsidR="003D640C">
        <w:t xml:space="preserve"> </w:t>
      </w:r>
      <w:r w:rsidRPr="00DA2287">
        <w:t>Rainbow</w:t>
      </w:r>
      <w:r w:rsidR="003D640C">
        <w:t xml:space="preserve"> </w:t>
      </w:r>
      <w:r w:rsidRPr="00DA2287">
        <w:t>organisations</w:t>
      </w:r>
      <w:r w:rsidR="0071441D" w:rsidRPr="00DA2287">
        <w:t>.</w:t>
      </w:r>
      <w:r w:rsidRPr="00DA2287">
        <w:rPr>
          <w:rStyle w:val="FootnoteReference"/>
          <w:rFonts w:eastAsia="Open Sans"/>
          <w:color w:val="121317"/>
        </w:rPr>
        <w:footnoteReference w:id="219"/>
      </w:r>
      <w:r w:rsidR="003D640C">
        <w:t xml:space="preserve"> </w:t>
      </w:r>
    </w:p>
    <w:p w14:paraId="00B1C57B" w14:textId="6C03E94F" w:rsidR="008B0FA9" w:rsidRPr="00DA2287" w:rsidRDefault="008B0FA9" w:rsidP="00323E57">
      <w:pPr>
        <w:rPr>
          <w:rFonts w:eastAsia="Open Sans" w:cstheme="minorHAnsi"/>
          <w:color w:val="121317"/>
        </w:rPr>
      </w:pPr>
      <w:r w:rsidRPr="00DA2287">
        <w:rPr>
          <w:rFonts w:eastAsia="Open Sans" w:cstheme="minorHAnsi"/>
          <w:color w:val="121317"/>
        </w:rPr>
        <w:t>Th</w:t>
      </w:r>
      <w:r w:rsidR="0071441D" w:rsidRPr="00DA2287">
        <w:rPr>
          <w:rFonts w:eastAsia="Open Sans" w:cstheme="minorHAnsi"/>
          <w:color w:val="121317"/>
        </w:rPr>
        <w:t>ese</w:t>
      </w:r>
      <w:r w:rsidR="003D640C">
        <w:rPr>
          <w:rFonts w:eastAsia="Open Sans" w:cstheme="minorHAnsi"/>
          <w:color w:val="121317"/>
        </w:rPr>
        <w:t xml:space="preserve"> </w:t>
      </w:r>
      <w:r w:rsidR="0071441D" w:rsidRPr="00DA2287">
        <w:rPr>
          <w:rFonts w:eastAsia="Open Sans" w:cstheme="minorHAnsi"/>
          <w:color w:val="121317"/>
        </w:rPr>
        <w:t>findings</w:t>
      </w:r>
      <w:r w:rsidR="003D640C">
        <w:rPr>
          <w:rFonts w:eastAsia="Open Sans" w:cstheme="minorHAnsi"/>
          <w:color w:val="121317"/>
        </w:rPr>
        <w:t xml:space="preserve"> </w:t>
      </w:r>
      <w:r w:rsidRPr="00DA2287">
        <w:rPr>
          <w:rFonts w:eastAsia="Open Sans" w:cstheme="minorHAnsi"/>
          <w:color w:val="121317"/>
        </w:rPr>
        <w:t>suggest</w:t>
      </w:r>
      <w:r w:rsidR="003D640C">
        <w:rPr>
          <w:rFonts w:eastAsia="Open Sans" w:cstheme="minorHAnsi"/>
          <w:color w:val="121317"/>
        </w:rPr>
        <w:t xml:space="preserve"> </w:t>
      </w:r>
      <w:r w:rsidRPr="00DA2287">
        <w:rPr>
          <w:rFonts w:eastAsia="Open Sans" w:cstheme="minorHAnsi"/>
          <w:color w:val="121317"/>
        </w:rPr>
        <w:t>that</w:t>
      </w:r>
      <w:r w:rsidR="003D640C">
        <w:rPr>
          <w:rFonts w:eastAsia="Open Sans" w:cstheme="minorHAnsi"/>
          <w:color w:val="121317"/>
        </w:rPr>
        <w:t xml:space="preserve"> </w:t>
      </w:r>
      <w:r w:rsidRPr="00DA2287">
        <w:rPr>
          <w:rFonts w:eastAsia="Open Sans" w:cstheme="minorHAnsi"/>
          <w:color w:val="121317"/>
        </w:rPr>
        <w:t>some</w:t>
      </w:r>
      <w:r w:rsidR="003D640C">
        <w:rPr>
          <w:rFonts w:eastAsia="Open Sans" w:cstheme="minorHAnsi"/>
          <w:color w:val="121317"/>
        </w:rPr>
        <w:t xml:space="preserve"> </w:t>
      </w:r>
      <w:r w:rsidRPr="00DA2287">
        <w:rPr>
          <w:rFonts w:eastAsia="Open Sans" w:cstheme="minorHAnsi"/>
          <w:color w:val="121317"/>
        </w:rPr>
        <w:t>migrant</w:t>
      </w:r>
      <w:r w:rsidR="003D640C">
        <w:rPr>
          <w:rFonts w:eastAsia="Open Sans" w:cstheme="minorHAnsi"/>
          <w:color w:val="121317"/>
        </w:rPr>
        <w:t xml:space="preserve"> </w:t>
      </w:r>
      <w:r w:rsidR="00141764">
        <w:rPr>
          <w:rFonts w:eastAsia="Open Sans" w:cstheme="minorHAnsi"/>
          <w:color w:val="121317"/>
        </w:rPr>
        <w:t>and</w:t>
      </w:r>
      <w:r w:rsidR="003D640C">
        <w:rPr>
          <w:rFonts w:eastAsia="Open Sans" w:cstheme="minorHAnsi"/>
          <w:color w:val="121317"/>
        </w:rPr>
        <w:t xml:space="preserve"> </w:t>
      </w:r>
      <w:r w:rsidRPr="00DA2287">
        <w:rPr>
          <w:rFonts w:eastAsia="Open Sans" w:cstheme="minorHAnsi"/>
          <w:color w:val="121317"/>
        </w:rPr>
        <w:t>ethnic</w:t>
      </w:r>
      <w:r w:rsidR="003D640C">
        <w:rPr>
          <w:rFonts w:eastAsia="Open Sans" w:cstheme="minorHAnsi"/>
          <w:color w:val="121317"/>
        </w:rPr>
        <w:t xml:space="preserve"> </w:t>
      </w:r>
      <w:r w:rsidRPr="00DA2287">
        <w:rPr>
          <w:rFonts w:eastAsia="Open Sans" w:cstheme="minorHAnsi"/>
          <w:color w:val="121317"/>
        </w:rPr>
        <w:t>communit</w:t>
      </w:r>
      <w:r w:rsidR="00D96D86">
        <w:rPr>
          <w:rFonts w:eastAsia="Open Sans" w:cstheme="minorHAnsi"/>
          <w:color w:val="121317"/>
        </w:rPr>
        <w:t>y</w:t>
      </w:r>
      <w:r w:rsidR="003D640C">
        <w:rPr>
          <w:rFonts w:eastAsia="Open Sans" w:cstheme="minorHAnsi"/>
          <w:color w:val="121317"/>
        </w:rPr>
        <w:t xml:space="preserve"> </w:t>
      </w:r>
      <w:r w:rsidR="00D96D86">
        <w:rPr>
          <w:rFonts w:eastAsia="Open Sans" w:cstheme="minorHAnsi"/>
          <w:color w:val="121317"/>
        </w:rPr>
        <w:t>members</w:t>
      </w:r>
      <w:r w:rsidR="003D640C">
        <w:rPr>
          <w:rFonts w:eastAsia="Open Sans" w:cstheme="minorHAnsi"/>
          <w:color w:val="121317"/>
        </w:rPr>
        <w:t xml:space="preserve"> </w:t>
      </w:r>
      <w:r w:rsidRPr="00DA2287">
        <w:rPr>
          <w:rFonts w:eastAsia="Open Sans" w:cstheme="minorHAnsi"/>
          <w:color w:val="121317"/>
        </w:rPr>
        <w:t>may</w:t>
      </w:r>
      <w:r w:rsidRPr="00DA2287" w:rsidDel="008E1CCA">
        <w:rPr>
          <w:rFonts w:eastAsia="Open Sans" w:cstheme="minorHAnsi"/>
          <w:color w:val="121317"/>
        </w:rPr>
        <w:t xml:space="preserve"> </w:t>
      </w:r>
      <w:r w:rsidRPr="00DA2287">
        <w:rPr>
          <w:rFonts w:eastAsia="Open Sans" w:cstheme="minorHAnsi"/>
          <w:color w:val="121317"/>
        </w:rPr>
        <w:t>hold</w:t>
      </w:r>
      <w:r w:rsidR="003D640C">
        <w:rPr>
          <w:rFonts w:eastAsia="Open Sans" w:cstheme="minorHAnsi"/>
          <w:color w:val="121317"/>
        </w:rPr>
        <w:t xml:space="preserve"> </w:t>
      </w:r>
      <w:r w:rsidRPr="00DA2287">
        <w:rPr>
          <w:rFonts w:eastAsia="Open Sans" w:cstheme="minorHAnsi"/>
          <w:color w:val="121317"/>
        </w:rPr>
        <w:t>fast</w:t>
      </w:r>
      <w:r w:rsidR="003D640C">
        <w:rPr>
          <w:rFonts w:eastAsia="Open Sans" w:cstheme="minorHAnsi"/>
          <w:color w:val="121317"/>
        </w:rPr>
        <w:t xml:space="preserve"> </w:t>
      </w:r>
      <w:r w:rsidRPr="00DA2287">
        <w:rPr>
          <w:rFonts w:eastAsia="Open Sans" w:cstheme="minorHAnsi"/>
          <w:color w:val="121317"/>
        </w:rPr>
        <w:t>to</w:t>
      </w:r>
      <w:r w:rsidR="003D640C">
        <w:rPr>
          <w:rFonts w:eastAsia="Open Sans" w:cstheme="minorHAnsi"/>
          <w:color w:val="121317"/>
        </w:rPr>
        <w:t xml:space="preserve"> </w:t>
      </w:r>
      <w:r w:rsidRPr="00DA2287">
        <w:rPr>
          <w:rFonts w:eastAsia="Open Sans" w:cstheme="minorHAnsi"/>
          <w:color w:val="121317"/>
        </w:rPr>
        <w:t>what</w:t>
      </w:r>
      <w:r w:rsidR="003D640C">
        <w:rPr>
          <w:rFonts w:eastAsia="Open Sans" w:cstheme="minorHAnsi"/>
          <w:color w:val="121317"/>
        </w:rPr>
        <w:t xml:space="preserve"> </w:t>
      </w:r>
      <w:r w:rsidRPr="00DA2287">
        <w:rPr>
          <w:rFonts w:eastAsia="Open Sans" w:cstheme="minorHAnsi"/>
          <w:color w:val="121317"/>
        </w:rPr>
        <w:t>they</w:t>
      </w:r>
      <w:r w:rsidR="003D640C">
        <w:rPr>
          <w:rFonts w:eastAsia="Open Sans" w:cstheme="minorHAnsi"/>
          <w:color w:val="121317"/>
        </w:rPr>
        <w:t xml:space="preserve"> </w:t>
      </w:r>
      <w:r w:rsidR="0071441D" w:rsidRPr="00DA2287">
        <w:rPr>
          <w:rFonts w:eastAsia="Open Sans" w:cstheme="minorHAnsi"/>
          <w:color w:val="121317"/>
        </w:rPr>
        <w:t>see</w:t>
      </w:r>
      <w:r w:rsidR="003D640C">
        <w:rPr>
          <w:rFonts w:eastAsia="Open Sans" w:cstheme="minorHAnsi"/>
          <w:color w:val="121317"/>
        </w:rPr>
        <w:t xml:space="preserve"> </w:t>
      </w:r>
      <w:r w:rsidRPr="00DA2287">
        <w:rPr>
          <w:rFonts w:eastAsia="Open Sans" w:cstheme="minorHAnsi"/>
          <w:color w:val="121317"/>
        </w:rPr>
        <w:t>as</w:t>
      </w:r>
      <w:r w:rsidR="003D640C">
        <w:rPr>
          <w:rFonts w:eastAsia="Open Sans" w:cstheme="minorHAnsi"/>
          <w:color w:val="121317"/>
        </w:rPr>
        <w:t xml:space="preserve"> </w:t>
      </w:r>
      <w:r w:rsidRPr="00DA2287">
        <w:rPr>
          <w:rFonts w:eastAsia="Open Sans" w:cstheme="minorHAnsi"/>
          <w:color w:val="121317"/>
        </w:rPr>
        <w:t>their</w:t>
      </w:r>
      <w:r w:rsidR="003D640C">
        <w:rPr>
          <w:rFonts w:eastAsia="Open Sans" w:cstheme="minorHAnsi"/>
          <w:color w:val="121317"/>
        </w:rPr>
        <w:t xml:space="preserve"> </w:t>
      </w:r>
      <w:r w:rsidRPr="00DA2287">
        <w:rPr>
          <w:rFonts w:eastAsia="Open Sans" w:cstheme="minorHAnsi"/>
          <w:color w:val="121317"/>
        </w:rPr>
        <w:t>traditional</w:t>
      </w:r>
      <w:r w:rsidR="003D640C">
        <w:rPr>
          <w:rFonts w:eastAsia="Open Sans" w:cstheme="minorHAnsi"/>
          <w:color w:val="121317"/>
        </w:rPr>
        <w:t xml:space="preserve"> </w:t>
      </w:r>
      <w:r w:rsidRPr="00DA2287">
        <w:rPr>
          <w:rFonts w:eastAsia="Open Sans" w:cstheme="minorHAnsi"/>
          <w:color w:val="121317"/>
        </w:rPr>
        <w:t>culture</w:t>
      </w:r>
      <w:r w:rsidR="003D640C">
        <w:rPr>
          <w:rFonts w:eastAsia="Open Sans" w:cstheme="minorHAnsi"/>
          <w:color w:val="121317"/>
        </w:rPr>
        <w:t xml:space="preserve"> </w:t>
      </w:r>
      <w:r w:rsidRPr="00DA2287">
        <w:rPr>
          <w:rFonts w:eastAsia="Open Sans" w:cstheme="minorHAnsi"/>
          <w:color w:val="121317"/>
        </w:rPr>
        <w:t>in</w:t>
      </w:r>
      <w:r w:rsidR="003D640C">
        <w:rPr>
          <w:rFonts w:eastAsia="Open Sans" w:cstheme="minorHAnsi"/>
          <w:color w:val="121317"/>
        </w:rPr>
        <w:t xml:space="preserve"> </w:t>
      </w:r>
      <w:r w:rsidRPr="00DA2287">
        <w:rPr>
          <w:rFonts w:eastAsia="Open Sans" w:cstheme="minorHAnsi"/>
          <w:color w:val="121317"/>
        </w:rPr>
        <w:t>response</w:t>
      </w:r>
      <w:r w:rsidR="003D640C">
        <w:rPr>
          <w:rFonts w:eastAsia="Open Sans" w:cstheme="minorHAnsi"/>
          <w:color w:val="121317"/>
        </w:rPr>
        <w:t xml:space="preserve"> </w:t>
      </w:r>
      <w:r w:rsidRPr="00DA2287">
        <w:rPr>
          <w:rFonts w:eastAsia="Open Sans" w:cstheme="minorHAnsi"/>
          <w:color w:val="121317"/>
        </w:rPr>
        <w:t>to</w:t>
      </w:r>
      <w:r w:rsidR="003D640C">
        <w:rPr>
          <w:rFonts w:eastAsia="Open Sans" w:cstheme="minorHAnsi"/>
          <w:color w:val="121317"/>
        </w:rPr>
        <w:t xml:space="preserve"> </w:t>
      </w:r>
      <w:r w:rsidRPr="00DA2287">
        <w:rPr>
          <w:rFonts w:eastAsia="Open Sans" w:cstheme="minorHAnsi"/>
          <w:color w:val="121317"/>
        </w:rPr>
        <w:t>the</w:t>
      </w:r>
      <w:r w:rsidR="003D640C">
        <w:rPr>
          <w:rFonts w:eastAsia="Open Sans" w:cstheme="minorHAnsi"/>
          <w:color w:val="121317"/>
        </w:rPr>
        <w:t xml:space="preserve"> </w:t>
      </w:r>
      <w:r w:rsidRPr="00DA2287">
        <w:rPr>
          <w:rFonts w:eastAsia="Open Sans" w:cstheme="minorHAnsi"/>
          <w:color w:val="121317"/>
        </w:rPr>
        <w:t>sense</w:t>
      </w:r>
      <w:r w:rsidR="003D640C">
        <w:rPr>
          <w:rFonts w:eastAsia="Open Sans" w:cstheme="minorHAnsi"/>
          <w:color w:val="121317"/>
        </w:rPr>
        <w:t xml:space="preserve"> </w:t>
      </w:r>
      <w:r w:rsidRPr="00DA2287">
        <w:rPr>
          <w:rFonts w:eastAsia="Open Sans" w:cstheme="minorHAnsi"/>
          <w:color w:val="121317"/>
        </w:rPr>
        <w:t>that</w:t>
      </w:r>
      <w:r w:rsidR="003D640C">
        <w:rPr>
          <w:rFonts w:eastAsia="Open Sans" w:cstheme="minorHAnsi"/>
          <w:color w:val="121317"/>
        </w:rPr>
        <w:t xml:space="preserve"> </w:t>
      </w:r>
      <w:r w:rsidRPr="00DA2287">
        <w:rPr>
          <w:rFonts w:eastAsia="Open Sans" w:cstheme="minorHAnsi"/>
          <w:color w:val="121317"/>
        </w:rPr>
        <w:t>they</w:t>
      </w:r>
      <w:r w:rsidR="003D640C">
        <w:rPr>
          <w:rFonts w:eastAsia="Open Sans" w:cstheme="minorHAnsi"/>
          <w:color w:val="121317"/>
        </w:rPr>
        <w:t xml:space="preserve"> </w:t>
      </w:r>
      <w:r w:rsidRPr="00DA2287">
        <w:rPr>
          <w:rFonts w:eastAsia="Open Sans" w:cstheme="minorHAnsi"/>
          <w:color w:val="121317"/>
        </w:rPr>
        <w:t>are</w:t>
      </w:r>
      <w:r w:rsidR="003D640C">
        <w:rPr>
          <w:rFonts w:eastAsia="Open Sans" w:cstheme="minorHAnsi"/>
          <w:color w:val="121317"/>
        </w:rPr>
        <w:t xml:space="preserve"> </w:t>
      </w:r>
      <w:r w:rsidRPr="00DA2287">
        <w:rPr>
          <w:rFonts w:eastAsia="Open Sans" w:cstheme="minorHAnsi"/>
          <w:color w:val="121317"/>
        </w:rPr>
        <w:t>losing</w:t>
      </w:r>
      <w:r w:rsidR="003D640C">
        <w:rPr>
          <w:rFonts w:eastAsia="Open Sans" w:cstheme="minorHAnsi"/>
          <w:color w:val="121317"/>
        </w:rPr>
        <w:t xml:space="preserve"> </w:t>
      </w:r>
      <w:r w:rsidRPr="00DA2287">
        <w:rPr>
          <w:rFonts w:eastAsia="Open Sans" w:cstheme="minorHAnsi"/>
          <w:color w:val="121317"/>
        </w:rPr>
        <w:t>their</w:t>
      </w:r>
      <w:r w:rsidR="003D640C">
        <w:rPr>
          <w:rFonts w:eastAsia="Open Sans" w:cstheme="minorHAnsi"/>
          <w:color w:val="121317"/>
        </w:rPr>
        <w:t xml:space="preserve"> </w:t>
      </w:r>
      <w:r w:rsidRPr="00DA2287">
        <w:rPr>
          <w:rFonts w:eastAsia="Open Sans" w:cstheme="minorHAnsi"/>
          <w:color w:val="121317"/>
        </w:rPr>
        <w:t>culture</w:t>
      </w:r>
      <w:r w:rsidR="003D640C">
        <w:rPr>
          <w:rFonts w:eastAsia="Open Sans" w:cstheme="minorHAnsi"/>
          <w:color w:val="121317"/>
        </w:rPr>
        <w:t xml:space="preserve"> </w:t>
      </w:r>
      <w:r w:rsidRPr="00DA2287">
        <w:rPr>
          <w:rFonts w:eastAsia="Open Sans" w:cstheme="minorHAnsi"/>
          <w:color w:val="121317"/>
        </w:rPr>
        <w:t>in</w:t>
      </w:r>
      <w:r w:rsidR="003D640C">
        <w:rPr>
          <w:rFonts w:eastAsia="Open Sans" w:cstheme="minorHAnsi"/>
          <w:color w:val="121317"/>
        </w:rPr>
        <w:t xml:space="preserve"> </w:t>
      </w:r>
      <w:r w:rsidRPr="00DA2287">
        <w:rPr>
          <w:rFonts w:eastAsia="Open Sans" w:cstheme="minorHAnsi"/>
          <w:color w:val="121317"/>
        </w:rPr>
        <w:t>the</w:t>
      </w:r>
      <w:r w:rsidR="003D640C">
        <w:rPr>
          <w:rFonts w:eastAsia="Open Sans" w:cstheme="minorHAnsi"/>
          <w:color w:val="121317"/>
        </w:rPr>
        <w:t xml:space="preserve"> </w:t>
      </w:r>
      <w:r w:rsidRPr="00DA2287">
        <w:rPr>
          <w:rFonts w:eastAsia="Open Sans" w:cstheme="minorHAnsi"/>
          <w:color w:val="121317"/>
        </w:rPr>
        <w:t>face</w:t>
      </w:r>
      <w:r w:rsidR="003D640C">
        <w:rPr>
          <w:rFonts w:eastAsia="Open Sans" w:cstheme="minorHAnsi"/>
          <w:color w:val="121317"/>
        </w:rPr>
        <w:t xml:space="preserve"> </w:t>
      </w:r>
      <w:r w:rsidRPr="00DA2287">
        <w:rPr>
          <w:rFonts w:eastAsia="Open Sans" w:cstheme="minorHAnsi"/>
          <w:color w:val="121317"/>
        </w:rPr>
        <w:t>of</w:t>
      </w:r>
      <w:r w:rsidR="003D640C">
        <w:rPr>
          <w:rFonts w:eastAsia="Open Sans" w:cstheme="minorHAnsi"/>
          <w:color w:val="121317"/>
        </w:rPr>
        <w:t xml:space="preserve"> </w:t>
      </w:r>
      <w:r w:rsidR="00270E5F" w:rsidRPr="00DA2287">
        <w:rPr>
          <w:rFonts w:eastAsia="Open Sans" w:cstheme="minorHAnsi"/>
          <w:color w:val="121317"/>
        </w:rPr>
        <w:t>multiple</w:t>
      </w:r>
      <w:r w:rsidR="003D640C">
        <w:rPr>
          <w:rFonts w:eastAsia="Open Sans" w:cstheme="minorHAnsi"/>
          <w:color w:val="121317"/>
        </w:rPr>
        <w:t xml:space="preserve"> </w:t>
      </w:r>
      <w:r w:rsidRPr="00DA2287">
        <w:rPr>
          <w:rFonts w:eastAsia="Open Sans" w:cstheme="minorHAnsi"/>
          <w:color w:val="121317"/>
        </w:rPr>
        <w:t>pressures</w:t>
      </w:r>
      <w:r w:rsidR="00A12599" w:rsidRPr="00DA2287">
        <w:rPr>
          <w:rFonts w:eastAsia="Open Sans" w:cstheme="minorHAnsi"/>
          <w:color w:val="121317"/>
        </w:rPr>
        <w:t>.</w:t>
      </w:r>
      <w:r w:rsidR="003D640C">
        <w:rPr>
          <w:rFonts w:eastAsia="Open Sans" w:cstheme="minorHAnsi"/>
          <w:color w:val="121317"/>
        </w:rPr>
        <w:t xml:space="preserve"> </w:t>
      </w:r>
      <w:r w:rsidR="00270E5F" w:rsidRPr="00DA2287">
        <w:rPr>
          <w:rFonts w:eastAsia="Open Sans" w:cstheme="minorHAnsi"/>
          <w:color w:val="121317"/>
        </w:rPr>
        <w:t>These</w:t>
      </w:r>
      <w:r w:rsidR="003D640C">
        <w:rPr>
          <w:rFonts w:eastAsia="Open Sans" w:cstheme="minorHAnsi"/>
          <w:color w:val="121317"/>
        </w:rPr>
        <w:t xml:space="preserve"> </w:t>
      </w:r>
      <w:r w:rsidR="00270E5F" w:rsidRPr="00DA2287">
        <w:rPr>
          <w:rFonts w:eastAsia="Open Sans" w:cstheme="minorHAnsi"/>
          <w:color w:val="121317"/>
        </w:rPr>
        <w:t>pressures</w:t>
      </w:r>
      <w:r w:rsidR="003D640C">
        <w:rPr>
          <w:rFonts w:eastAsia="Open Sans" w:cstheme="minorHAnsi"/>
          <w:color w:val="121317"/>
        </w:rPr>
        <w:t xml:space="preserve"> </w:t>
      </w:r>
      <w:r w:rsidR="00270E5F" w:rsidRPr="00DA2287">
        <w:rPr>
          <w:rFonts w:eastAsia="Open Sans" w:cstheme="minorHAnsi"/>
          <w:color w:val="121317"/>
        </w:rPr>
        <w:t>include</w:t>
      </w:r>
      <w:r w:rsidR="003D640C">
        <w:rPr>
          <w:rFonts w:eastAsia="Open Sans" w:cstheme="minorHAnsi"/>
          <w:color w:val="121317"/>
        </w:rPr>
        <w:t xml:space="preserve"> </w:t>
      </w:r>
      <w:r w:rsidR="00270E5F" w:rsidRPr="00DA2287">
        <w:rPr>
          <w:rFonts w:eastAsia="Open Sans" w:cstheme="minorHAnsi"/>
          <w:color w:val="121317"/>
        </w:rPr>
        <w:t>pressure</w:t>
      </w:r>
      <w:r w:rsidR="003D640C">
        <w:rPr>
          <w:rFonts w:eastAsia="Open Sans" w:cstheme="minorHAnsi"/>
          <w:color w:val="121317"/>
        </w:rPr>
        <w:t xml:space="preserve"> </w:t>
      </w:r>
      <w:r w:rsidRPr="00DA2287">
        <w:rPr>
          <w:rFonts w:eastAsia="Open Sans" w:cstheme="minorHAnsi"/>
          <w:color w:val="121317"/>
        </w:rPr>
        <w:t>to</w:t>
      </w:r>
      <w:r w:rsidR="003D640C">
        <w:rPr>
          <w:rFonts w:eastAsia="Open Sans" w:cstheme="minorHAnsi"/>
          <w:color w:val="121317"/>
        </w:rPr>
        <w:t xml:space="preserve"> </w:t>
      </w:r>
      <w:r w:rsidRPr="00DA2287">
        <w:rPr>
          <w:rFonts w:eastAsia="Open Sans" w:cstheme="minorHAnsi"/>
          <w:color w:val="121317"/>
        </w:rPr>
        <w:t>assimilate</w:t>
      </w:r>
      <w:r w:rsidR="003D640C">
        <w:rPr>
          <w:rFonts w:eastAsia="Open Sans" w:cstheme="minorHAnsi"/>
          <w:color w:val="121317"/>
        </w:rPr>
        <w:t xml:space="preserve"> </w:t>
      </w:r>
      <w:r w:rsidRPr="00DA2287">
        <w:rPr>
          <w:rFonts w:eastAsia="Open Sans" w:cstheme="minorHAnsi"/>
          <w:color w:val="121317"/>
        </w:rPr>
        <w:t>into</w:t>
      </w:r>
      <w:r w:rsidR="003D640C">
        <w:rPr>
          <w:rFonts w:eastAsia="Open Sans" w:cstheme="minorHAnsi"/>
          <w:color w:val="121317"/>
        </w:rPr>
        <w:t xml:space="preserve"> </w:t>
      </w:r>
      <w:r w:rsidRPr="00DA2287">
        <w:rPr>
          <w:rFonts w:eastAsia="Open Sans" w:cstheme="minorHAnsi"/>
          <w:color w:val="121317"/>
        </w:rPr>
        <w:t>the</w:t>
      </w:r>
      <w:r w:rsidR="003D640C">
        <w:rPr>
          <w:rFonts w:eastAsia="Open Sans" w:cstheme="minorHAnsi"/>
          <w:color w:val="121317"/>
        </w:rPr>
        <w:t xml:space="preserve"> </w:t>
      </w:r>
      <w:r w:rsidRPr="00DA2287">
        <w:rPr>
          <w:rFonts w:eastAsia="Open Sans" w:cstheme="minorHAnsi"/>
          <w:color w:val="121317"/>
        </w:rPr>
        <w:t>dominant</w:t>
      </w:r>
      <w:r w:rsidR="003D640C">
        <w:rPr>
          <w:rFonts w:eastAsia="Open Sans" w:cstheme="minorHAnsi"/>
          <w:color w:val="121317"/>
        </w:rPr>
        <w:t xml:space="preserve"> </w:t>
      </w:r>
      <w:r w:rsidRPr="00DA2287">
        <w:rPr>
          <w:rFonts w:eastAsia="Open Sans" w:cstheme="minorHAnsi"/>
          <w:color w:val="121317"/>
        </w:rPr>
        <w:t>Pākehā</w:t>
      </w:r>
      <w:r w:rsidR="003D640C">
        <w:rPr>
          <w:rFonts w:eastAsia="Open Sans" w:cstheme="minorHAnsi"/>
          <w:color w:val="121317"/>
        </w:rPr>
        <w:t xml:space="preserve"> </w:t>
      </w:r>
      <w:r w:rsidRPr="00DA2287">
        <w:rPr>
          <w:rFonts w:eastAsia="Open Sans" w:cstheme="minorHAnsi"/>
          <w:color w:val="121317"/>
        </w:rPr>
        <w:t>culture</w:t>
      </w:r>
      <w:r w:rsidR="003D640C">
        <w:rPr>
          <w:rFonts w:eastAsia="Open Sans" w:cstheme="minorHAnsi"/>
          <w:color w:val="121317"/>
        </w:rPr>
        <w:t xml:space="preserve"> </w:t>
      </w:r>
      <w:r w:rsidRPr="00DA2287">
        <w:rPr>
          <w:rFonts w:eastAsia="Open Sans" w:cstheme="minorHAnsi"/>
          <w:color w:val="121317"/>
        </w:rPr>
        <w:t>of</w:t>
      </w:r>
      <w:r w:rsidR="003D640C">
        <w:rPr>
          <w:rFonts w:eastAsia="Open Sans" w:cstheme="minorHAnsi"/>
          <w:color w:val="121317"/>
        </w:rPr>
        <w:t xml:space="preserve"> </w:t>
      </w:r>
      <w:r w:rsidRPr="00DA2287">
        <w:rPr>
          <w:rFonts w:eastAsia="Open Sans" w:cstheme="minorHAnsi"/>
          <w:color w:val="121317"/>
        </w:rPr>
        <w:t>Aotearoa</w:t>
      </w:r>
      <w:r w:rsidR="003D640C">
        <w:rPr>
          <w:rFonts w:eastAsia="Open Sans" w:cstheme="minorHAnsi"/>
          <w:color w:val="121317"/>
        </w:rPr>
        <w:t xml:space="preserve"> </w:t>
      </w:r>
      <w:r w:rsidRPr="00DA2287">
        <w:rPr>
          <w:rFonts w:eastAsia="Open Sans" w:cstheme="minorHAnsi"/>
          <w:color w:val="121317"/>
        </w:rPr>
        <w:t>and/or</w:t>
      </w:r>
      <w:r w:rsidR="003D640C">
        <w:rPr>
          <w:rFonts w:eastAsia="Open Sans" w:cstheme="minorHAnsi"/>
          <w:color w:val="121317"/>
        </w:rPr>
        <w:t xml:space="preserve"> </w:t>
      </w:r>
      <w:r w:rsidR="00270E5F" w:rsidRPr="00DA2287">
        <w:rPr>
          <w:rFonts w:eastAsia="Open Sans" w:cstheme="minorHAnsi"/>
          <w:color w:val="121317"/>
        </w:rPr>
        <w:t>in</w:t>
      </w:r>
      <w:r w:rsidR="003D640C">
        <w:rPr>
          <w:rFonts w:eastAsia="Open Sans" w:cstheme="minorHAnsi"/>
          <w:color w:val="121317"/>
        </w:rPr>
        <w:t xml:space="preserve"> </w:t>
      </w:r>
      <w:r w:rsidR="00270E5F" w:rsidRPr="00DA2287">
        <w:rPr>
          <w:rFonts w:eastAsia="Open Sans" w:cstheme="minorHAnsi"/>
          <w:color w:val="121317"/>
        </w:rPr>
        <w:t>response</w:t>
      </w:r>
      <w:r w:rsidR="003D640C">
        <w:rPr>
          <w:rFonts w:eastAsia="Open Sans" w:cstheme="minorHAnsi"/>
          <w:color w:val="121317"/>
        </w:rPr>
        <w:t xml:space="preserve"> </w:t>
      </w:r>
      <w:r w:rsidR="00270E5F" w:rsidRPr="00DA2287">
        <w:rPr>
          <w:rFonts w:eastAsia="Open Sans" w:cstheme="minorHAnsi"/>
          <w:color w:val="121317"/>
        </w:rPr>
        <w:t>to</w:t>
      </w:r>
      <w:r w:rsidR="003D640C">
        <w:rPr>
          <w:rFonts w:eastAsia="Open Sans" w:cstheme="minorHAnsi"/>
          <w:color w:val="121317"/>
        </w:rPr>
        <w:t xml:space="preserve"> </w:t>
      </w:r>
      <w:r w:rsidRPr="00DA2287">
        <w:rPr>
          <w:rFonts w:eastAsia="Open Sans" w:cstheme="minorHAnsi"/>
          <w:color w:val="121317"/>
        </w:rPr>
        <w:t>experience</w:t>
      </w:r>
      <w:r w:rsidR="00270E5F" w:rsidRPr="00DA2287">
        <w:rPr>
          <w:rFonts w:eastAsia="Open Sans" w:cstheme="minorHAnsi"/>
          <w:color w:val="121317"/>
        </w:rPr>
        <w:t>s</w:t>
      </w:r>
      <w:r w:rsidR="003D640C">
        <w:rPr>
          <w:rFonts w:eastAsia="Open Sans" w:cstheme="minorHAnsi"/>
          <w:color w:val="121317"/>
        </w:rPr>
        <w:t xml:space="preserve"> </w:t>
      </w:r>
      <w:r w:rsidR="00270E5F" w:rsidRPr="00DA2287">
        <w:rPr>
          <w:rFonts w:eastAsia="Open Sans" w:cstheme="minorHAnsi"/>
          <w:color w:val="121317"/>
        </w:rPr>
        <w:t>of</w:t>
      </w:r>
      <w:r w:rsidR="003D640C">
        <w:rPr>
          <w:rFonts w:eastAsia="Open Sans" w:cstheme="minorHAnsi"/>
          <w:color w:val="121317"/>
        </w:rPr>
        <w:t xml:space="preserve"> </w:t>
      </w:r>
      <w:r w:rsidRPr="00DA2287">
        <w:rPr>
          <w:rFonts w:eastAsia="Open Sans" w:cstheme="minorHAnsi"/>
          <w:color w:val="121317"/>
        </w:rPr>
        <w:t>racism</w:t>
      </w:r>
      <w:r w:rsidR="003D640C">
        <w:rPr>
          <w:rFonts w:eastAsia="Open Sans" w:cstheme="minorHAnsi"/>
          <w:color w:val="121317"/>
        </w:rPr>
        <w:t xml:space="preserve"> </w:t>
      </w:r>
      <w:r w:rsidRPr="00DA2287">
        <w:rPr>
          <w:rFonts w:eastAsia="Open Sans" w:cstheme="minorHAnsi"/>
          <w:color w:val="121317"/>
        </w:rPr>
        <w:t>and</w:t>
      </w:r>
      <w:r w:rsidR="003D640C">
        <w:rPr>
          <w:rFonts w:eastAsia="Open Sans" w:cstheme="minorHAnsi"/>
          <w:color w:val="121317"/>
        </w:rPr>
        <w:t xml:space="preserve"> </w:t>
      </w:r>
      <w:r w:rsidRPr="00DA2287">
        <w:rPr>
          <w:rFonts w:eastAsia="Open Sans" w:cstheme="minorHAnsi"/>
          <w:color w:val="121317"/>
        </w:rPr>
        <w:t>discrimination.</w:t>
      </w:r>
      <w:r w:rsidR="003D640C">
        <w:rPr>
          <w:rFonts w:eastAsia="Open Sans" w:cstheme="minorHAnsi"/>
          <w:color w:val="121317"/>
        </w:rPr>
        <w:t xml:space="preserve"> </w:t>
      </w:r>
      <w:r w:rsidR="0071441D" w:rsidRPr="00DA2287">
        <w:rPr>
          <w:rFonts w:eastAsia="Open Sans" w:cstheme="minorHAnsi"/>
          <w:color w:val="121317"/>
        </w:rPr>
        <w:t>S</w:t>
      </w:r>
      <w:r w:rsidRPr="00DA2287">
        <w:rPr>
          <w:rFonts w:eastAsia="Open Sans" w:cstheme="minorHAnsi"/>
          <w:color w:val="121317"/>
        </w:rPr>
        <w:t>om</w:t>
      </w:r>
      <w:r w:rsidR="008209A1" w:rsidRPr="00DA2287">
        <w:rPr>
          <w:rFonts w:eastAsia="Open Sans" w:cstheme="minorHAnsi"/>
          <w:color w:val="121317"/>
        </w:rPr>
        <w:t>e</w:t>
      </w:r>
      <w:r w:rsidR="003D640C">
        <w:rPr>
          <w:rFonts w:eastAsia="Open Sans" w:cstheme="minorHAnsi"/>
          <w:color w:val="121317"/>
        </w:rPr>
        <w:t xml:space="preserve"> </w:t>
      </w:r>
      <w:r w:rsidRPr="00DA2287">
        <w:rPr>
          <w:rFonts w:eastAsia="Open Sans" w:cstheme="minorHAnsi"/>
          <w:color w:val="121317"/>
        </w:rPr>
        <w:t>views</w:t>
      </w:r>
      <w:r w:rsidR="003D640C">
        <w:rPr>
          <w:rFonts w:eastAsia="Open Sans" w:cstheme="minorHAnsi"/>
          <w:color w:val="121317"/>
        </w:rPr>
        <w:t xml:space="preserve"> </w:t>
      </w:r>
      <w:r w:rsidRPr="00DA2287">
        <w:rPr>
          <w:rFonts w:eastAsia="Open Sans" w:cstheme="minorHAnsi"/>
          <w:color w:val="121317"/>
        </w:rPr>
        <w:t>held</w:t>
      </w:r>
      <w:r w:rsidR="003D640C">
        <w:rPr>
          <w:rFonts w:eastAsia="Open Sans" w:cstheme="minorHAnsi"/>
          <w:color w:val="121317"/>
        </w:rPr>
        <w:t xml:space="preserve"> </w:t>
      </w:r>
      <w:r w:rsidR="0071441D" w:rsidRPr="00DA2287">
        <w:rPr>
          <w:rFonts w:eastAsia="Open Sans" w:cstheme="minorHAnsi"/>
          <w:color w:val="121317"/>
        </w:rPr>
        <w:t>about</w:t>
      </w:r>
      <w:r w:rsidR="003D640C">
        <w:rPr>
          <w:rFonts w:eastAsia="Open Sans" w:cstheme="minorHAnsi"/>
          <w:color w:val="121317"/>
        </w:rPr>
        <w:t xml:space="preserve"> </w:t>
      </w:r>
      <w:r w:rsidRPr="00DA2287">
        <w:rPr>
          <w:rFonts w:eastAsia="Open Sans" w:cstheme="minorHAnsi"/>
          <w:color w:val="121317"/>
        </w:rPr>
        <w:t>Rainbow</w:t>
      </w:r>
      <w:r w:rsidR="003D640C">
        <w:rPr>
          <w:rFonts w:eastAsia="Open Sans" w:cstheme="minorHAnsi"/>
          <w:color w:val="121317"/>
        </w:rPr>
        <w:t xml:space="preserve"> </w:t>
      </w:r>
      <w:r w:rsidRPr="00DA2287">
        <w:rPr>
          <w:rFonts w:eastAsia="Open Sans" w:cstheme="minorHAnsi"/>
          <w:color w:val="121317"/>
        </w:rPr>
        <w:t>identities</w:t>
      </w:r>
      <w:r w:rsidR="003D640C">
        <w:rPr>
          <w:rFonts w:eastAsia="Open Sans" w:cstheme="minorHAnsi"/>
          <w:color w:val="121317"/>
        </w:rPr>
        <w:t xml:space="preserve"> </w:t>
      </w:r>
      <w:r w:rsidRPr="00DA2287">
        <w:rPr>
          <w:rFonts w:eastAsia="Open Sans" w:cstheme="minorHAnsi"/>
          <w:color w:val="121317"/>
        </w:rPr>
        <w:t>may</w:t>
      </w:r>
      <w:r w:rsidR="003D640C">
        <w:rPr>
          <w:rFonts w:eastAsia="Open Sans" w:cstheme="minorHAnsi"/>
          <w:color w:val="121317"/>
        </w:rPr>
        <w:t xml:space="preserve"> </w:t>
      </w:r>
      <w:r w:rsidRPr="00DA2287">
        <w:rPr>
          <w:rFonts w:eastAsia="Open Sans" w:cstheme="minorHAnsi"/>
          <w:color w:val="121317"/>
        </w:rPr>
        <w:t>also</w:t>
      </w:r>
      <w:r w:rsidR="003D640C">
        <w:rPr>
          <w:rFonts w:eastAsia="Open Sans" w:cstheme="minorHAnsi"/>
          <w:color w:val="121317"/>
        </w:rPr>
        <w:t xml:space="preserve"> </w:t>
      </w:r>
      <w:r w:rsidR="00636354">
        <w:rPr>
          <w:rFonts w:eastAsia="Open Sans" w:cstheme="minorHAnsi"/>
          <w:color w:val="121317"/>
        </w:rPr>
        <w:t xml:space="preserve">be </w:t>
      </w:r>
      <w:r w:rsidRPr="00DA2287">
        <w:rPr>
          <w:rFonts w:eastAsia="Open Sans" w:cstheme="minorHAnsi"/>
          <w:color w:val="121317"/>
        </w:rPr>
        <w:t>connected</w:t>
      </w:r>
      <w:r w:rsidR="003D640C">
        <w:rPr>
          <w:rFonts w:eastAsia="Open Sans" w:cstheme="minorHAnsi"/>
          <w:color w:val="121317"/>
        </w:rPr>
        <w:t xml:space="preserve"> </w:t>
      </w:r>
      <w:r w:rsidRPr="00DA2287">
        <w:rPr>
          <w:rFonts w:eastAsia="Open Sans" w:cstheme="minorHAnsi"/>
          <w:color w:val="121317"/>
        </w:rPr>
        <w:t>to</w:t>
      </w:r>
      <w:r w:rsidR="003D640C">
        <w:rPr>
          <w:rFonts w:eastAsia="Open Sans" w:cstheme="minorHAnsi"/>
          <w:color w:val="121317"/>
        </w:rPr>
        <w:t xml:space="preserve"> </w:t>
      </w:r>
      <w:r w:rsidRPr="00DA2287">
        <w:rPr>
          <w:rFonts w:eastAsia="Open Sans" w:cstheme="minorHAnsi"/>
          <w:color w:val="121317"/>
        </w:rPr>
        <w:t>or</w:t>
      </w:r>
      <w:r w:rsidR="003D640C">
        <w:rPr>
          <w:rFonts w:eastAsia="Open Sans" w:cstheme="minorHAnsi"/>
          <w:color w:val="121317"/>
        </w:rPr>
        <w:t xml:space="preserve"> </w:t>
      </w:r>
      <w:r w:rsidRPr="00DA2287">
        <w:rPr>
          <w:rFonts w:eastAsia="Open Sans" w:cstheme="minorHAnsi"/>
          <w:color w:val="121317"/>
        </w:rPr>
        <w:t>bolstered</w:t>
      </w:r>
      <w:r w:rsidR="003D640C">
        <w:rPr>
          <w:rFonts w:eastAsia="Open Sans" w:cstheme="minorHAnsi"/>
          <w:color w:val="121317"/>
        </w:rPr>
        <w:t xml:space="preserve"> </w:t>
      </w:r>
      <w:r w:rsidRPr="00DA2287">
        <w:rPr>
          <w:rFonts w:eastAsia="Open Sans" w:cstheme="minorHAnsi"/>
          <w:color w:val="121317"/>
        </w:rPr>
        <w:t>by</w:t>
      </w:r>
      <w:r w:rsidR="003D640C">
        <w:rPr>
          <w:rFonts w:eastAsia="Open Sans" w:cstheme="minorHAnsi"/>
          <w:color w:val="121317"/>
        </w:rPr>
        <w:t xml:space="preserve"> </w:t>
      </w:r>
      <w:r w:rsidRPr="00DA2287">
        <w:rPr>
          <w:rFonts w:eastAsia="Open Sans" w:cstheme="minorHAnsi"/>
          <w:color w:val="121317"/>
        </w:rPr>
        <w:t>resurgences</w:t>
      </w:r>
      <w:r w:rsidR="003D640C">
        <w:rPr>
          <w:rFonts w:eastAsia="Open Sans" w:cstheme="minorHAnsi"/>
          <w:color w:val="121317"/>
        </w:rPr>
        <w:t xml:space="preserve"> </w:t>
      </w:r>
      <w:r w:rsidRPr="00DA2287">
        <w:rPr>
          <w:rFonts w:eastAsia="Open Sans" w:cstheme="minorHAnsi"/>
          <w:color w:val="121317"/>
        </w:rPr>
        <w:t>occurring</w:t>
      </w:r>
      <w:r w:rsidR="003D640C">
        <w:rPr>
          <w:rFonts w:eastAsia="Open Sans" w:cstheme="minorHAnsi"/>
          <w:color w:val="121317"/>
        </w:rPr>
        <w:t xml:space="preserve"> </w:t>
      </w:r>
      <w:r w:rsidRPr="00DA2287">
        <w:rPr>
          <w:rFonts w:eastAsia="Open Sans" w:cstheme="minorHAnsi"/>
          <w:color w:val="121317"/>
        </w:rPr>
        <w:t>across</w:t>
      </w:r>
      <w:r w:rsidR="003D640C">
        <w:rPr>
          <w:rFonts w:eastAsia="Open Sans" w:cstheme="minorHAnsi"/>
          <w:color w:val="121317"/>
        </w:rPr>
        <w:t xml:space="preserve"> </w:t>
      </w:r>
      <w:r w:rsidRPr="00DA2287">
        <w:rPr>
          <w:rFonts w:eastAsia="Open Sans" w:cstheme="minorHAnsi"/>
          <w:color w:val="121317"/>
        </w:rPr>
        <w:t>the</w:t>
      </w:r>
      <w:r w:rsidR="003D640C">
        <w:rPr>
          <w:rFonts w:eastAsia="Open Sans" w:cstheme="minorHAnsi"/>
          <w:color w:val="121317"/>
        </w:rPr>
        <w:t xml:space="preserve"> </w:t>
      </w:r>
      <w:r w:rsidRPr="00DA2287">
        <w:rPr>
          <w:rFonts w:eastAsia="Open Sans" w:cstheme="minorHAnsi"/>
          <w:color w:val="121317"/>
        </w:rPr>
        <w:t>world.</w:t>
      </w:r>
      <w:r w:rsidR="003D640C">
        <w:rPr>
          <w:rFonts w:eastAsia="Open Sans" w:cstheme="minorHAnsi"/>
          <w:color w:val="121317"/>
        </w:rPr>
        <w:t xml:space="preserve"> </w:t>
      </w:r>
    </w:p>
    <w:p w14:paraId="3EF1B5DB" w14:textId="3CFB152B" w:rsidR="008B0FA9" w:rsidRPr="00DA2287" w:rsidRDefault="008B0FA9" w:rsidP="00323E57">
      <w:r w:rsidRPr="00DA2287">
        <w:rPr>
          <w:rFonts w:cstheme="minorHAnsi"/>
        </w:rPr>
        <w:t>The</w:t>
      </w:r>
      <w:r w:rsidR="003D640C">
        <w:rPr>
          <w:rFonts w:cstheme="minorHAnsi"/>
        </w:rPr>
        <w:t xml:space="preserve"> </w:t>
      </w:r>
      <w:r w:rsidRPr="00DA2287">
        <w:rPr>
          <w:rFonts w:cstheme="minorHAnsi"/>
        </w:rPr>
        <w:t>challenges</w:t>
      </w:r>
      <w:r w:rsidR="003D640C">
        <w:rPr>
          <w:rFonts w:cstheme="minorHAnsi"/>
        </w:rPr>
        <w:t xml:space="preserve"> </w:t>
      </w:r>
      <w:r w:rsidRPr="00DA2287">
        <w:rPr>
          <w:rFonts w:cstheme="minorHAnsi"/>
        </w:rPr>
        <w:t>faced</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being</w:t>
      </w:r>
      <w:r w:rsidR="003D640C">
        <w:rPr>
          <w:rFonts w:cstheme="minorHAnsi"/>
        </w:rPr>
        <w:t xml:space="preserve"> </w:t>
      </w:r>
      <w:r w:rsidRPr="00DA2287">
        <w:rPr>
          <w:rFonts w:cstheme="minorHAnsi"/>
        </w:rPr>
        <w:t>accepted</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certain</w:t>
      </w:r>
      <w:r w:rsidR="003D640C">
        <w:rPr>
          <w:rFonts w:cstheme="minorHAnsi"/>
        </w:rPr>
        <w:t xml:space="preserve"> </w:t>
      </w:r>
      <w:r w:rsidR="00D9141C">
        <w:rPr>
          <w:rFonts w:cstheme="minorHAnsi"/>
        </w:rPr>
        <w:t>minority</w:t>
      </w:r>
      <w:r w:rsidR="003D640C">
        <w:rPr>
          <w:rFonts w:cstheme="minorHAnsi"/>
        </w:rPr>
        <w:t xml:space="preserve"> </w:t>
      </w:r>
      <w:r w:rsidRPr="00DA2287">
        <w:rPr>
          <w:rFonts w:cstheme="minorHAnsi"/>
        </w:rPr>
        <w:t>ethnic</w:t>
      </w:r>
      <w:r w:rsidR="003D640C">
        <w:rPr>
          <w:rFonts w:cstheme="minorHAnsi"/>
        </w:rPr>
        <w:t xml:space="preserve"> </w:t>
      </w:r>
      <w:r w:rsidRPr="00DA2287">
        <w:rPr>
          <w:rFonts w:cstheme="minorHAnsi"/>
        </w:rPr>
        <w:t>communities</w:t>
      </w:r>
      <w:r w:rsidR="003D640C">
        <w:rPr>
          <w:rFonts w:cstheme="minorHAnsi"/>
        </w:rPr>
        <w:t xml:space="preserve"> </w:t>
      </w:r>
      <w:r w:rsidRPr="00DA2287">
        <w:rPr>
          <w:rFonts w:cstheme="minorHAnsi"/>
        </w:rPr>
        <w:t>that</w:t>
      </w:r>
      <w:r w:rsidR="003D640C">
        <w:rPr>
          <w:rFonts w:cstheme="minorHAnsi"/>
        </w:rPr>
        <w:t xml:space="preserve"> </w:t>
      </w:r>
      <w:r w:rsidRPr="00DA2287">
        <w:rPr>
          <w:rFonts w:cstheme="minorHAnsi"/>
        </w:rPr>
        <w:t>emerged</w:t>
      </w:r>
      <w:r w:rsidR="003D640C">
        <w:rPr>
          <w:rFonts w:cstheme="minorHAnsi"/>
        </w:rPr>
        <w:t xml:space="preserve"> </w:t>
      </w:r>
      <w:r w:rsidRPr="00DA2287">
        <w:rPr>
          <w:rFonts w:cstheme="minorHAnsi"/>
        </w:rPr>
        <w:t>through</w:t>
      </w:r>
      <w:r w:rsidR="003D640C">
        <w:rPr>
          <w:rFonts w:cstheme="minorHAnsi"/>
        </w:rPr>
        <w:t xml:space="preserve"> </w:t>
      </w:r>
      <w:r w:rsidRPr="00DA2287">
        <w:rPr>
          <w:rFonts w:cstheme="minorHAnsi"/>
        </w:rPr>
        <w:t>our</w:t>
      </w:r>
      <w:r w:rsidR="003D640C">
        <w:rPr>
          <w:rFonts w:cstheme="minorHAnsi"/>
        </w:rPr>
        <w:t xml:space="preserve"> </w:t>
      </w:r>
      <w:r w:rsidRPr="00DA2287">
        <w:rPr>
          <w:rFonts w:cstheme="minorHAnsi"/>
        </w:rPr>
        <w:t>engagement</w:t>
      </w:r>
      <w:r w:rsidR="003D640C">
        <w:rPr>
          <w:rFonts w:cstheme="minorHAnsi"/>
        </w:rPr>
        <w:t xml:space="preserve"> </w:t>
      </w:r>
      <w:r w:rsidRPr="00DA2287">
        <w:rPr>
          <w:rFonts w:cstheme="minorHAnsi"/>
        </w:rPr>
        <w:t>is</w:t>
      </w:r>
      <w:r w:rsidR="003D640C">
        <w:rPr>
          <w:rFonts w:cstheme="minorHAnsi"/>
        </w:rPr>
        <w:t xml:space="preserve"> </w:t>
      </w:r>
      <w:r w:rsidRPr="00DA2287">
        <w:rPr>
          <w:rFonts w:cstheme="minorHAnsi"/>
        </w:rPr>
        <w:t>also</w:t>
      </w:r>
      <w:r w:rsidR="003D640C">
        <w:rPr>
          <w:rFonts w:cstheme="minorHAnsi"/>
        </w:rPr>
        <w:t xml:space="preserve"> </w:t>
      </w:r>
      <w:r w:rsidRPr="00DA2287">
        <w:rPr>
          <w:rFonts w:cstheme="minorHAnsi"/>
        </w:rPr>
        <w:t>documented</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published</w:t>
      </w:r>
      <w:r w:rsidR="003D640C">
        <w:rPr>
          <w:rFonts w:cstheme="minorHAnsi"/>
        </w:rPr>
        <w:t xml:space="preserve"> </w:t>
      </w:r>
      <w:r w:rsidRPr="00DA2287">
        <w:rPr>
          <w:rFonts w:cstheme="minorHAnsi"/>
        </w:rPr>
        <w:t>reports</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academic</w:t>
      </w:r>
      <w:r w:rsidR="003D640C">
        <w:rPr>
          <w:rFonts w:cstheme="minorHAnsi"/>
        </w:rPr>
        <w:t xml:space="preserve"> </w:t>
      </w:r>
      <w:r w:rsidRPr="00DA2287">
        <w:rPr>
          <w:rFonts w:cstheme="minorHAnsi"/>
        </w:rPr>
        <w:t>studies.</w:t>
      </w:r>
      <w:r w:rsidR="003D640C">
        <w:rPr>
          <w:rFonts w:cstheme="minorHAnsi"/>
        </w:rPr>
        <w:t xml:space="preserve"> </w:t>
      </w:r>
      <w:r w:rsidRPr="00DA2287">
        <w:rPr>
          <w:rFonts w:cstheme="minorHAnsi"/>
        </w:rPr>
        <w:t>The</w:t>
      </w:r>
      <w:r w:rsidR="003D640C">
        <w:rPr>
          <w:rFonts w:cstheme="minorHAnsi"/>
        </w:rPr>
        <w:t xml:space="preserve"> </w:t>
      </w:r>
      <w:r w:rsidR="00636354">
        <w:rPr>
          <w:rFonts w:cstheme="minorHAnsi"/>
        </w:rPr>
        <w:t xml:space="preserve">2022 </w:t>
      </w:r>
      <w:r w:rsidRPr="00DA2287">
        <w:rPr>
          <w:rFonts w:cstheme="minorHAnsi"/>
        </w:rPr>
        <w:t>Adhikaar</w:t>
      </w:r>
      <w:r w:rsidR="003D640C">
        <w:rPr>
          <w:rFonts w:cstheme="minorHAnsi"/>
        </w:rPr>
        <w:t xml:space="preserve"> </w:t>
      </w:r>
      <w:r w:rsidR="00636354">
        <w:rPr>
          <w:rFonts w:cstheme="minorHAnsi"/>
        </w:rPr>
        <w:t>r</w:t>
      </w:r>
      <w:r w:rsidRPr="00DA2287">
        <w:rPr>
          <w:rFonts w:cstheme="minorHAnsi"/>
        </w:rPr>
        <w:t>eport</w:t>
      </w:r>
      <w:r w:rsidR="003D640C">
        <w:rPr>
          <w:rFonts w:cstheme="minorHAnsi"/>
        </w:rPr>
        <w:t xml:space="preserve"> </w:t>
      </w:r>
      <w:r w:rsidRPr="00DA2287">
        <w:rPr>
          <w:rFonts w:cstheme="minorHAnsi"/>
        </w:rPr>
        <w:t>focuses</w:t>
      </w:r>
      <w:r w:rsidR="003D640C">
        <w:rPr>
          <w:rFonts w:cstheme="minorHAnsi"/>
        </w:rPr>
        <w:t xml:space="preserve"> </w:t>
      </w:r>
      <w:r w:rsidRPr="00DA2287">
        <w:rPr>
          <w:rFonts w:cstheme="minorHAnsi"/>
        </w:rPr>
        <w:t>on</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experience</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South</w:t>
      </w:r>
      <w:r w:rsidR="003D640C">
        <w:rPr>
          <w:rFonts w:cstheme="minorHAnsi"/>
        </w:rPr>
        <w:t xml:space="preserve"> </w:t>
      </w:r>
      <w:r w:rsidRPr="00DA2287">
        <w:rPr>
          <w:rFonts w:cstheme="minorHAnsi"/>
        </w:rPr>
        <w:t>Asian</w:t>
      </w:r>
      <w:r w:rsidR="003D640C">
        <w:rPr>
          <w:rFonts w:cstheme="minorHAnsi"/>
        </w:rPr>
        <w:t xml:space="preserve"> </w:t>
      </w:r>
      <w:r w:rsidRPr="00DA2287">
        <w:rPr>
          <w:rFonts w:cstheme="minorHAnsi"/>
        </w:rPr>
        <w:t>communities</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Aotearoa.</w:t>
      </w:r>
      <w:r w:rsidR="003D640C">
        <w:rPr>
          <w:rFonts w:cstheme="minorHAnsi"/>
        </w:rPr>
        <w:t xml:space="preserve"> </w:t>
      </w:r>
      <w:r w:rsidRPr="00DA2287">
        <w:rPr>
          <w:rFonts w:cstheme="minorHAnsi"/>
        </w:rPr>
        <w:t>It</w:t>
      </w:r>
      <w:r w:rsidR="003D640C">
        <w:rPr>
          <w:rFonts w:cstheme="minorHAnsi"/>
        </w:rPr>
        <w:t xml:space="preserve"> </w:t>
      </w:r>
      <w:r w:rsidRPr="00DA2287">
        <w:rPr>
          <w:rFonts w:cstheme="minorHAnsi"/>
        </w:rPr>
        <w:t>documents</w:t>
      </w:r>
      <w:r w:rsidR="003D640C">
        <w:rPr>
          <w:rFonts w:cstheme="minorHAnsi"/>
        </w:rPr>
        <w:t xml:space="preserve"> </w:t>
      </w:r>
      <w:r w:rsidRPr="00DA2287">
        <w:rPr>
          <w:rFonts w:cstheme="minorHAnsi"/>
        </w:rPr>
        <w:t>how</w:t>
      </w:r>
      <w:r w:rsidR="003D640C">
        <w:rPr>
          <w:rFonts w:cstheme="minorHAnsi"/>
        </w:rPr>
        <w:t xml:space="preserve"> </w:t>
      </w:r>
      <w:r w:rsidRPr="00DA2287">
        <w:rPr>
          <w:rFonts w:cstheme="minorHAnsi"/>
        </w:rPr>
        <w:t>some</w:t>
      </w:r>
      <w:r w:rsidR="003D640C">
        <w:rPr>
          <w:rFonts w:cstheme="minorHAnsi"/>
        </w:rPr>
        <w:t xml:space="preserve"> </w:t>
      </w:r>
      <w:r w:rsidRPr="00DA2287">
        <w:rPr>
          <w:rFonts w:cstheme="minorHAnsi"/>
        </w:rPr>
        <w:t>South</w:t>
      </w:r>
      <w:r w:rsidR="003D640C">
        <w:rPr>
          <w:rFonts w:cstheme="minorHAnsi"/>
        </w:rPr>
        <w:t xml:space="preserve"> </w:t>
      </w:r>
      <w:r w:rsidRPr="00DA2287">
        <w:rPr>
          <w:rFonts w:cstheme="minorHAnsi"/>
        </w:rPr>
        <w:t>Asian</w:t>
      </w:r>
      <w:r w:rsidR="003D640C">
        <w:rPr>
          <w:rFonts w:cstheme="minorHAnsi"/>
        </w:rPr>
        <w:t xml:space="preserve"> </w:t>
      </w:r>
      <w:r w:rsidRPr="00DA2287">
        <w:rPr>
          <w:rFonts w:cstheme="minorHAnsi"/>
        </w:rPr>
        <w:t>communities</w:t>
      </w:r>
      <w:r w:rsidR="003D640C">
        <w:rPr>
          <w:rFonts w:cstheme="minorHAnsi"/>
        </w:rPr>
        <w:t xml:space="preserve"> </w:t>
      </w:r>
      <w:r w:rsidRPr="00DA2287">
        <w:rPr>
          <w:rFonts w:cstheme="minorHAnsi"/>
        </w:rPr>
        <w:t>may</w:t>
      </w:r>
      <w:r w:rsidR="003D640C">
        <w:rPr>
          <w:rFonts w:cstheme="minorHAnsi"/>
        </w:rPr>
        <w:t xml:space="preserve"> </w:t>
      </w:r>
      <w:r w:rsidRPr="00DA2287">
        <w:rPr>
          <w:rFonts w:cstheme="minorHAnsi"/>
        </w:rPr>
        <w:t>associate</w:t>
      </w:r>
      <w:r w:rsidR="003D640C">
        <w:rPr>
          <w:rFonts w:cstheme="minorHAnsi"/>
        </w:rPr>
        <w:t xml:space="preserve"> </w:t>
      </w:r>
      <w:r w:rsidR="008209A1" w:rsidRPr="00DA2287">
        <w:rPr>
          <w:rFonts w:cstheme="minorHAnsi"/>
        </w:rPr>
        <w:t>R</w:t>
      </w:r>
      <w:r w:rsidRPr="00DA2287">
        <w:rPr>
          <w:rFonts w:cstheme="minorHAnsi"/>
        </w:rPr>
        <w:t>ainbow</w:t>
      </w:r>
      <w:r w:rsidR="003D640C">
        <w:rPr>
          <w:rFonts w:cstheme="minorHAnsi"/>
        </w:rPr>
        <w:t xml:space="preserve"> </w:t>
      </w:r>
      <w:r w:rsidRPr="00DA2287">
        <w:rPr>
          <w:rFonts w:cstheme="minorHAnsi"/>
        </w:rPr>
        <w:t>identities</w:t>
      </w:r>
      <w:r w:rsidR="003D640C">
        <w:rPr>
          <w:rFonts w:cstheme="minorHAnsi"/>
        </w:rPr>
        <w:t xml:space="preserve"> </w:t>
      </w:r>
      <w:r w:rsidRPr="00DA2287">
        <w:rPr>
          <w:rFonts w:cstheme="minorHAnsi"/>
        </w:rPr>
        <w:t>with</w:t>
      </w:r>
      <w:r w:rsidR="003D640C">
        <w:rPr>
          <w:rFonts w:cstheme="minorHAnsi"/>
        </w:rPr>
        <w:t xml:space="preserve"> </w:t>
      </w:r>
      <w:r w:rsidR="00F20F6B">
        <w:rPr>
          <w:rFonts w:cstheme="minorHAnsi"/>
        </w:rPr>
        <w:t>W</w:t>
      </w:r>
      <w:r w:rsidR="00331273" w:rsidRPr="00DA2287">
        <w:rPr>
          <w:rFonts w:cstheme="minorHAnsi"/>
        </w:rPr>
        <w:t>estern</w:t>
      </w:r>
      <w:r w:rsidR="003D640C">
        <w:rPr>
          <w:rFonts w:cstheme="minorHAnsi"/>
        </w:rPr>
        <w:t xml:space="preserve"> </w:t>
      </w:r>
      <w:r w:rsidRPr="00DA2287">
        <w:rPr>
          <w:rFonts w:cstheme="minorHAnsi"/>
        </w:rPr>
        <w:t>‘ism’</w:t>
      </w:r>
      <w:r w:rsidR="003D640C">
        <w:rPr>
          <w:rFonts w:cstheme="minorHAnsi"/>
        </w:rPr>
        <w:t xml:space="preserve"> </w:t>
      </w:r>
      <w:r w:rsidRPr="00DA2287">
        <w:rPr>
          <w:rFonts w:cstheme="minorHAnsi"/>
        </w:rPr>
        <w:t>or</w:t>
      </w:r>
      <w:r w:rsidR="003D640C">
        <w:rPr>
          <w:rFonts w:cstheme="minorHAnsi"/>
        </w:rPr>
        <w:t xml:space="preserve"> </w:t>
      </w:r>
      <w:r w:rsidRPr="00DA2287">
        <w:rPr>
          <w:rFonts w:cstheme="minorHAnsi"/>
        </w:rPr>
        <w:t>a</w:t>
      </w:r>
      <w:r w:rsidR="008209A1" w:rsidRPr="00DA2287">
        <w:rPr>
          <w:rFonts w:cstheme="minorHAnsi"/>
        </w:rPr>
        <w:t>s</w:t>
      </w:r>
      <w:r w:rsidR="003D640C">
        <w:rPr>
          <w:rFonts w:cstheme="minorHAnsi"/>
        </w:rPr>
        <w:t xml:space="preserve"> </w:t>
      </w:r>
      <w:r w:rsidRPr="00DA2287">
        <w:rPr>
          <w:rFonts w:cstheme="minorHAnsi"/>
        </w:rPr>
        <w:t>‘</w:t>
      </w:r>
      <w:r w:rsidR="008209A1" w:rsidRPr="00DA2287">
        <w:rPr>
          <w:rFonts w:cstheme="minorHAnsi"/>
        </w:rPr>
        <w:t>a</w:t>
      </w:r>
      <w:r w:rsidR="003D640C">
        <w:rPr>
          <w:rFonts w:cstheme="minorHAnsi"/>
        </w:rPr>
        <w:t xml:space="preserve"> </w:t>
      </w:r>
      <w:r w:rsidRPr="00DA2287">
        <w:rPr>
          <w:rFonts w:cstheme="minorHAnsi"/>
        </w:rPr>
        <w:t>white</w:t>
      </w:r>
      <w:r w:rsidR="003D640C">
        <w:rPr>
          <w:rFonts w:cstheme="minorHAnsi"/>
        </w:rPr>
        <w:t xml:space="preserve"> </w:t>
      </w:r>
      <w:r w:rsidRPr="00DA2287">
        <w:rPr>
          <w:rFonts w:cstheme="minorHAnsi"/>
        </w:rPr>
        <w:t>people</w:t>
      </w:r>
      <w:r w:rsidR="003D640C">
        <w:rPr>
          <w:rFonts w:cstheme="minorHAnsi"/>
        </w:rPr>
        <w:t xml:space="preserve"> </w:t>
      </w:r>
      <w:r w:rsidRPr="00DA2287">
        <w:rPr>
          <w:rFonts w:cstheme="minorHAnsi"/>
        </w:rPr>
        <w:t>thing</w:t>
      </w:r>
      <w:r w:rsidR="00877E3E">
        <w:rPr>
          <w:rFonts w:cstheme="minorHAnsi"/>
        </w:rPr>
        <w:t>,</w:t>
      </w:r>
      <w:r w:rsidRPr="00DA2287">
        <w:rPr>
          <w:rFonts w:cstheme="minorHAnsi"/>
        </w:rPr>
        <w:t>’,</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even</w:t>
      </w:r>
      <w:r w:rsidR="003D640C">
        <w:rPr>
          <w:rFonts w:cstheme="minorHAnsi"/>
        </w:rPr>
        <w:t xml:space="preserve"> </w:t>
      </w:r>
      <w:r w:rsidRPr="00DA2287">
        <w:rPr>
          <w:rFonts w:cstheme="minorHAnsi"/>
        </w:rPr>
        <w:t>as</w:t>
      </w:r>
      <w:r w:rsidR="003D640C">
        <w:rPr>
          <w:rFonts w:cstheme="minorHAnsi"/>
        </w:rPr>
        <w:t xml:space="preserve"> </w:t>
      </w:r>
      <w:r w:rsidRPr="00DA2287">
        <w:rPr>
          <w:rFonts w:cstheme="minorHAnsi"/>
        </w:rPr>
        <w:t>a</w:t>
      </w:r>
      <w:r w:rsidR="003D640C">
        <w:rPr>
          <w:rFonts w:cstheme="minorHAnsi"/>
        </w:rPr>
        <w:t xml:space="preserve"> </w:t>
      </w:r>
      <w:r w:rsidRPr="00DA2287">
        <w:rPr>
          <w:rFonts w:cstheme="minorHAnsi"/>
        </w:rPr>
        <w:t>form</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w:t>
      </w:r>
      <w:r w:rsidR="00F20F6B">
        <w:rPr>
          <w:rFonts w:cstheme="minorHAnsi"/>
        </w:rPr>
        <w:t>W</w:t>
      </w:r>
      <w:r w:rsidRPr="00DA2287">
        <w:rPr>
          <w:rFonts w:cstheme="minorHAnsi"/>
        </w:rPr>
        <w:t>estern</w:t>
      </w:r>
      <w:r w:rsidR="003D640C">
        <w:rPr>
          <w:rFonts w:cstheme="minorHAnsi"/>
        </w:rPr>
        <w:t xml:space="preserve"> </w:t>
      </w:r>
      <w:r w:rsidRPr="00DA2287">
        <w:rPr>
          <w:rFonts w:cstheme="minorHAnsi"/>
        </w:rPr>
        <w:t>corruption,’</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‘un-South</w:t>
      </w:r>
      <w:r w:rsidR="003D640C">
        <w:rPr>
          <w:rFonts w:cstheme="minorHAnsi"/>
        </w:rPr>
        <w:t xml:space="preserve"> </w:t>
      </w:r>
      <w:r w:rsidRPr="00DA2287">
        <w:rPr>
          <w:rFonts w:cstheme="minorHAnsi"/>
        </w:rPr>
        <w:t>Asian</w:t>
      </w:r>
      <w:r w:rsidR="00D031BB">
        <w:rPr>
          <w:rFonts w:cstheme="minorHAnsi"/>
        </w:rPr>
        <w:t>.</w:t>
      </w:r>
      <w:r w:rsidRPr="00DA2287">
        <w:rPr>
          <w:rFonts w:cstheme="minorHAnsi"/>
        </w:rPr>
        <w:t>’</w:t>
      </w:r>
      <w:r w:rsidRPr="00DA2287">
        <w:rPr>
          <w:rStyle w:val="FootnoteReference"/>
          <w:rFonts w:eastAsia="Open Sans" w:cstheme="minorHAnsi"/>
          <w:color w:val="121317"/>
        </w:rPr>
        <w:footnoteReference w:id="220"/>
      </w:r>
      <w:r w:rsidR="003D640C">
        <w:rPr>
          <w:rFonts w:cstheme="minorHAnsi"/>
        </w:rPr>
        <w:t xml:space="preserve"> </w:t>
      </w:r>
      <w:r w:rsidRPr="00DA2287">
        <w:t>This</w:t>
      </w:r>
      <w:r w:rsidR="003D640C">
        <w:t xml:space="preserve"> </w:t>
      </w:r>
      <w:r w:rsidRPr="00DA2287">
        <w:t>report</w:t>
      </w:r>
      <w:r w:rsidR="003D640C">
        <w:t xml:space="preserve"> </w:t>
      </w:r>
      <w:r w:rsidRPr="00DA2287">
        <w:t>found</w:t>
      </w:r>
      <w:r w:rsidR="003D640C">
        <w:t xml:space="preserve"> </w:t>
      </w:r>
      <w:r w:rsidRPr="00DA2287">
        <w:t>that</w:t>
      </w:r>
      <w:r w:rsidR="00636354">
        <w:t>,</w:t>
      </w:r>
      <w:r w:rsidR="003D640C">
        <w:t xml:space="preserve"> </w:t>
      </w:r>
      <w:r w:rsidRPr="00DA2287">
        <w:t>of</w:t>
      </w:r>
      <w:r w:rsidR="003D640C">
        <w:t xml:space="preserve"> </w:t>
      </w:r>
      <w:r w:rsidRPr="00DA2287">
        <w:t>the</w:t>
      </w:r>
      <w:r w:rsidR="003D640C">
        <w:t xml:space="preserve"> </w:t>
      </w:r>
      <w:r w:rsidRPr="00DA2287">
        <w:t>43</w:t>
      </w:r>
      <w:r w:rsidR="003D640C">
        <w:t xml:space="preserve"> </w:t>
      </w:r>
      <w:r w:rsidRPr="00DA2287">
        <w:t>participa</w:t>
      </w:r>
      <w:r w:rsidR="008209A1" w:rsidRPr="00DA2287">
        <w:t>nts</w:t>
      </w:r>
      <w:r w:rsidR="003D640C">
        <w:t xml:space="preserve"> </w:t>
      </w:r>
      <w:r w:rsidR="008209A1" w:rsidRPr="00DA2287">
        <w:t>in</w:t>
      </w:r>
      <w:r w:rsidR="003D640C">
        <w:t xml:space="preserve"> </w:t>
      </w:r>
      <w:r w:rsidR="008209A1" w:rsidRPr="00DA2287">
        <w:t>the</w:t>
      </w:r>
      <w:r w:rsidR="003D640C">
        <w:t xml:space="preserve"> </w:t>
      </w:r>
      <w:r w:rsidR="008209A1" w:rsidRPr="00DA2287">
        <w:t>study</w:t>
      </w:r>
      <w:r w:rsidRPr="00DA2287">
        <w:t>,</w:t>
      </w:r>
      <w:r w:rsidR="003D640C">
        <w:t xml:space="preserve"> </w:t>
      </w:r>
      <w:r w:rsidRPr="00DA2287">
        <w:t>70</w:t>
      </w:r>
      <w:r w:rsidR="001D1BF7">
        <w:t xml:space="preserve"> percent</w:t>
      </w:r>
      <w:r w:rsidR="003D640C">
        <w:t xml:space="preserve"> </w:t>
      </w:r>
      <w:r w:rsidRPr="00DA2287">
        <w:t>reported</w:t>
      </w:r>
      <w:r w:rsidR="003D640C">
        <w:t xml:space="preserve"> </w:t>
      </w:r>
      <w:r w:rsidRPr="00DA2287">
        <w:t>that</w:t>
      </w:r>
      <w:r w:rsidR="003D640C">
        <w:t xml:space="preserve"> </w:t>
      </w:r>
      <w:r w:rsidRPr="00DA2287">
        <w:t>their</w:t>
      </w:r>
      <w:r w:rsidR="003D640C">
        <w:t xml:space="preserve"> </w:t>
      </w:r>
      <w:r w:rsidR="008209A1" w:rsidRPr="00DA2287">
        <w:t>immediate</w:t>
      </w:r>
      <w:r w:rsidR="003D640C">
        <w:t xml:space="preserve"> </w:t>
      </w:r>
      <w:r w:rsidRPr="00DA2287">
        <w:t>family</w:t>
      </w:r>
      <w:r w:rsidR="003D640C">
        <w:t xml:space="preserve"> </w:t>
      </w:r>
      <w:r w:rsidRPr="00DA2287">
        <w:t>kn</w:t>
      </w:r>
      <w:r w:rsidR="008209A1" w:rsidRPr="00DA2287">
        <w:t>ew</w:t>
      </w:r>
      <w:r w:rsidR="003D640C">
        <w:t xml:space="preserve"> </w:t>
      </w:r>
      <w:r w:rsidRPr="00DA2287">
        <w:t>about</w:t>
      </w:r>
      <w:r w:rsidR="003D640C">
        <w:t xml:space="preserve"> </w:t>
      </w:r>
      <w:r w:rsidRPr="00DA2287">
        <w:t>their</w:t>
      </w:r>
      <w:r w:rsidR="003D640C">
        <w:t xml:space="preserve"> </w:t>
      </w:r>
      <w:r w:rsidRPr="00DA2287">
        <w:t>gender</w:t>
      </w:r>
      <w:r w:rsidR="003D640C">
        <w:t xml:space="preserve"> </w:t>
      </w:r>
      <w:r w:rsidRPr="00DA2287">
        <w:t>and/or</w:t>
      </w:r>
      <w:r w:rsidR="003D640C">
        <w:t xml:space="preserve"> </w:t>
      </w:r>
      <w:r w:rsidRPr="00DA2287">
        <w:t>sexual</w:t>
      </w:r>
      <w:r w:rsidR="003D640C">
        <w:t xml:space="preserve"> </w:t>
      </w:r>
      <w:r w:rsidRPr="00DA2287">
        <w:t>identities.</w:t>
      </w:r>
      <w:r w:rsidR="003D640C">
        <w:t xml:space="preserve"> </w:t>
      </w:r>
      <w:r w:rsidRPr="00DA2287">
        <w:t>Recognising</w:t>
      </w:r>
      <w:r w:rsidR="003D640C">
        <w:t xml:space="preserve"> </w:t>
      </w:r>
      <w:r w:rsidRPr="00DA2287">
        <w:t>the</w:t>
      </w:r>
      <w:r w:rsidR="003D640C">
        <w:t xml:space="preserve"> </w:t>
      </w:r>
      <w:r w:rsidRPr="00DA2287">
        <w:t>significance</w:t>
      </w:r>
      <w:r w:rsidR="003D640C">
        <w:t xml:space="preserve"> </w:t>
      </w:r>
      <w:r w:rsidRPr="00DA2287">
        <w:t>of</w:t>
      </w:r>
      <w:r w:rsidR="003D640C">
        <w:t xml:space="preserve"> </w:t>
      </w:r>
      <w:r w:rsidRPr="00DA2287">
        <w:t>extended</w:t>
      </w:r>
      <w:r w:rsidR="003D640C">
        <w:t xml:space="preserve"> </w:t>
      </w:r>
      <w:r w:rsidRPr="00DA2287">
        <w:t>family</w:t>
      </w:r>
      <w:r w:rsidR="003D640C">
        <w:t xml:space="preserve"> </w:t>
      </w:r>
      <w:r w:rsidRPr="00DA2287">
        <w:t>in</w:t>
      </w:r>
      <w:r w:rsidR="003D640C">
        <w:t xml:space="preserve"> </w:t>
      </w:r>
      <w:r w:rsidRPr="00DA2287">
        <w:t>the</w:t>
      </w:r>
      <w:r w:rsidR="003D640C">
        <w:t xml:space="preserve"> </w:t>
      </w:r>
      <w:r w:rsidRPr="00DA2287">
        <w:t>South</w:t>
      </w:r>
      <w:r w:rsidR="003D640C">
        <w:t xml:space="preserve"> </w:t>
      </w:r>
      <w:r w:rsidRPr="00DA2287">
        <w:t>Asian</w:t>
      </w:r>
      <w:r w:rsidR="003D640C">
        <w:t xml:space="preserve"> </w:t>
      </w:r>
      <w:r w:rsidRPr="00DA2287">
        <w:t>community,</w:t>
      </w:r>
      <w:r w:rsidR="003D640C">
        <w:t xml:space="preserve"> </w:t>
      </w:r>
      <w:r w:rsidRPr="00DA2287">
        <w:t>participants</w:t>
      </w:r>
      <w:r w:rsidR="003D640C">
        <w:t xml:space="preserve"> </w:t>
      </w:r>
      <w:r w:rsidR="008209A1" w:rsidRPr="00DA2287">
        <w:t>were</w:t>
      </w:r>
      <w:r w:rsidR="003D640C">
        <w:t xml:space="preserve"> </w:t>
      </w:r>
      <w:r w:rsidR="008209A1" w:rsidRPr="00DA2287">
        <w:t>also</w:t>
      </w:r>
      <w:r w:rsidR="003D640C">
        <w:t xml:space="preserve"> </w:t>
      </w:r>
      <w:r w:rsidR="008209A1" w:rsidRPr="00DA2287">
        <w:t>asked</w:t>
      </w:r>
      <w:r w:rsidR="003D640C">
        <w:t xml:space="preserve"> </w:t>
      </w:r>
      <w:r w:rsidRPr="00DA2287">
        <w:t>whether</w:t>
      </w:r>
      <w:r w:rsidR="003D640C">
        <w:t xml:space="preserve"> </w:t>
      </w:r>
      <w:r w:rsidRPr="00DA2287">
        <w:t>their</w:t>
      </w:r>
      <w:r w:rsidR="003D640C">
        <w:t xml:space="preserve"> </w:t>
      </w:r>
      <w:r w:rsidRPr="00DA2287">
        <w:t>extended</w:t>
      </w:r>
      <w:r w:rsidR="003D640C">
        <w:t xml:space="preserve"> </w:t>
      </w:r>
      <w:r w:rsidRPr="00DA2287">
        <w:t>family</w:t>
      </w:r>
      <w:r w:rsidR="003D640C">
        <w:t xml:space="preserve"> </w:t>
      </w:r>
      <w:r w:rsidRPr="00DA2287">
        <w:t>was</w:t>
      </w:r>
      <w:r w:rsidR="003D640C">
        <w:t xml:space="preserve"> </w:t>
      </w:r>
      <w:r w:rsidRPr="00DA2287">
        <w:t>aware</w:t>
      </w:r>
      <w:r w:rsidR="003D640C">
        <w:t xml:space="preserve"> </w:t>
      </w:r>
      <w:r w:rsidRPr="00DA2287">
        <w:t>of</w:t>
      </w:r>
      <w:r w:rsidR="003D640C">
        <w:t xml:space="preserve"> </w:t>
      </w:r>
      <w:r w:rsidRPr="00DA2287">
        <w:t>their</w:t>
      </w:r>
      <w:r w:rsidR="003D640C">
        <w:t xml:space="preserve"> </w:t>
      </w:r>
      <w:r w:rsidRPr="00DA2287">
        <w:t>Rainbow</w:t>
      </w:r>
      <w:r w:rsidR="003D640C">
        <w:t xml:space="preserve"> </w:t>
      </w:r>
      <w:r w:rsidRPr="00DA2287">
        <w:t>identity.</w:t>
      </w:r>
      <w:r w:rsidR="003D640C">
        <w:t xml:space="preserve"> </w:t>
      </w:r>
      <w:r w:rsidRPr="00DA2287">
        <w:t>The</w:t>
      </w:r>
      <w:r w:rsidR="003D640C">
        <w:t xml:space="preserve"> </w:t>
      </w:r>
      <w:r w:rsidRPr="00DA2287">
        <w:t>response</w:t>
      </w:r>
      <w:r w:rsidR="003D640C">
        <w:t xml:space="preserve"> </w:t>
      </w:r>
      <w:r w:rsidRPr="00DA2287">
        <w:t>was</w:t>
      </w:r>
      <w:r w:rsidR="003D640C">
        <w:t xml:space="preserve"> </w:t>
      </w:r>
      <w:r w:rsidRPr="00DA2287">
        <w:t>similar</w:t>
      </w:r>
      <w:r w:rsidR="006A48D6">
        <w:t xml:space="preserve"> –</w:t>
      </w:r>
      <w:r w:rsidR="003D640C">
        <w:t xml:space="preserve"> </w:t>
      </w:r>
      <w:r w:rsidRPr="00DA2287">
        <w:t>69</w:t>
      </w:r>
      <w:r w:rsidR="001D1BF7">
        <w:t xml:space="preserve"> percent</w:t>
      </w:r>
      <w:r w:rsidR="003D640C">
        <w:t xml:space="preserve"> </w:t>
      </w:r>
      <w:r w:rsidRPr="00DA2287">
        <w:t>of</w:t>
      </w:r>
      <w:r w:rsidR="003D640C">
        <w:t xml:space="preserve"> </w:t>
      </w:r>
      <w:r w:rsidRPr="00DA2287">
        <w:t>respondents</w:t>
      </w:r>
      <w:r w:rsidR="003D640C">
        <w:t xml:space="preserve"> </w:t>
      </w:r>
      <w:r w:rsidRPr="00DA2287">
        <w:t>reported</w:t>
      </w:r>
      <w:r w:rsidR="003D640C">
        <w:t xml:space="preserve"> </w:t>
      </w:r>
      <w:r w:rsidRPr="00DA2287">
        <w:t>that</w:t>
      </w:r>
      <w:r w:rsidR="003D640C">
        <w:t xml:space="preserve"> </w:t>
      </w:r>
      <w:r w:rsidRPr="00DA2287">
        <w:t>their</w:t>
      </w:r>
      <w:r w:rsidR="003D640C">
        <w:t xml:space="preserve"> </w:t>
      </w:r>
      <w:r w:rsidRPr="00DA2287">
        <w:t>extended</w:t>
      </w:r>
      <w:r w:rsidR="003D640C">
        <w:t xml:space="preserve"> </w:t>
      </w:r>
      <w:r w:rsidRPr="00DA2287">
        <w:t>family</w:t>
      </w:r>
      <w:r w:rsidR="003D640C">
        <w:t xml:space="preserve"> </w:t>
      </w:r>
      <w:r w:rsidRPr="00DA2287">
        <w:t>knew</w:t>
      </w:r>
      <w:r w:rsidR="003D640C">
        <w:t xml:space="preserve"> </w:t>
      </w:r>
      <w:r w:rsidRPr="00DA2287">
        <w:t>about</w:t>
      </w:r>
      <w:r w:rsidR="003D640C">
        <w:t xml:space="preserve"> </w:t>
      </w:r>
      <w:r w:rsidRPr="00DA2287">
        <w:t>their</w:t>
      </w:r>
      <w:r w:rsidR="003D640C">
        <w:t xml:space="preserve"> </w:t>
      </w:r>
      <w:r w:rsidRPr="00DA2287">
        <w:t>gender</w:t>
      </w:r>
      <w:r w:rsidR="003D640C">
        <w:t xml:space="preserve"> </w:t>
      </w:r>
      <w:r w:rsidRPr="00DA2287">
        <w:t>and/or</w:t>
      </w:r>
      <w:r w:rsidR="003D640C">
        <w:t xml:space="preserve"> </w:t>
      </w:r>
      <w:r w:rsidRPr="00DA2287">
        <w:t>sexual</w:t>
      </w:r>
      <w:r w:rsidR="003D640C">
        <w:t xml:space="preserve"> </w:t>
      </w:r>
      <w:r w:rsidRPr="00DA2287">
        <w:t>identity.</w:t>
      </w:r>
      <w:r w:rsidR="003D640C">
        <w:t xml:space="preserve"> </w:t>
      </w:r>
      <w:r w:rsidRPr="00DA2287">
        <w:t>The</w:t>
      </w:r>
      <w:r w:rsidR="003D640C">
        <w:t xml:space="preserve"> </w:t>
      </w:r>
      <w:r w:rsidR="008209A1" w:rsidRPr="00DA2287">
        <w:t>study</w:t>
      </w:r>
      <w:r w:rsidR="003D640C">
        <w:t xml:space="preserve"> </w:t>
      </w:r>
      <w:r w:rsidRPr="00DA2287">
        <w:t>found</w:t>
      </w:r>
      <w:r w:rsidR="003D640C">
        <w:t xml:space="preserve"> </w:t>
      </w:r>
      <w:r w:rsidRPr="00DA2287">
        <w:t>that</w:t>
      </w:r>
      <w:r w:rsidR="003D640C">
        <w:t xml:space="preserve"> </w:t>
      </w:r>
      <w:r w:rsidRPr="00DA2287">
        <w:t>a</w:t>
      </w:r>
      <w:r w:rsidR="003D640C">
        <w:t xml:space="preserve"> </w:t>
      </w:r>
      <w:r w:rsidRPr="00DA2287">
        <w:t>key</w:t>
      </w:r>
      <w:r w:rsidR="003D640C">
        <w:t xml:space="preserve"> </w:t>
      </w:r>
      <w:r w:rsidRPr="00DA2287">
        <w:t>determinant</w:t>
      </w:r>
      <w:r w:rsidR="003D640C">
        <w:t xml:space="preserve"> </w:t>
      </w:r>
      <w:r w:rsidRPr="00DA2287">
        <w:t>of</w:t>
      </w:r>
      <w:r w:rsidR="003D640C">
        <w:t xml:space="preserve"> </w:t>
      </w:r>
      <w:r w:rsidRPr="00DA2287">
        <w:t>whether</w:t>
      </w:r>
      <w:r w:rsidR="003D640C">
        <w:t xml:space="preserve"> </w:t>
      </w:r>
      <w:r w:rsidRPr="00DA2287">
        <w:t>individuals</w:t>
      </w:r>
      <w:r w:rsidR="003D640C">
        <w:t xml:space="preserve"> </w:t>
      </w:r>
      <w:r w:rsidRPr="00DA2287">
        <w:t>would</w:t>
      </w:r>
      <w:r w:rsidR="003D640C">
        <w:t xml:space="preserve"> </w:t>
      </w:r>
      <w:r w:rsidRPr="00DA2287">
        <w:t>come</w:t>
      </w:r>
      <w:r w:rsidR="003D640C">
        <w:t xml:space="preserve"> </w:t>
      </w:r>
      <w:r w:rsidRPr="00DA2287">
        <w:t>out</w:t>
      </w:r>
      <w:r w:rsidR="003D640C">
        <w:t xml:space="preserve"> </w:t>
      </w:r>
      <w:r w:rsidRPr="00DA2287">
        <w:t>to</w:t>
      </w:r>
      <w:r w:rsidR="003D640C">
        <w:t xml:space="preserve"> </w:t>
      </w:r>
      <w:r w:rsidRPr="00DA2287">
        <w:t>their</w:t>
      </w:r>
      <w:r w:rsidR="003D640C">
        <w:t xml:space="preserve"> </w:t>
      </w:r>
      <w:r w:rsidRPr="00DA2287">
        <w:t>families</w:t>
      </w:r>
      <w:r w:rsidR="003D640C">
        <w:t xml:space="preserve"> </w:t>
      </w:r>
      <w:r w:rsidRPr="00DA2287">
        <w:t>was</w:t>
      </w:r>
      <w:r w:rsidR="003D640C">
        <w:t xml:space="preserve"> </w:t>
      </w:r>
      <w:r w:rsidRPr="00DA2287">
        <w:t>the</w:t>
      </w:r>
      <w:r w:rsidR="003D640C">
        <w:t xml:space="preserve"> </w:t>
      </w:r>
      <w:r w:rsidRPr="00DA2287">
        <w:t>fear</w:t>
      </w:r>
      <w:r w:rsidR="003D640C">
        <w:t xml:space="preserve"> </w:t>
      </w:r>
      <w:r w:rsidRPr="00DA2287">
        <w:t>of</w:t>
      </w:r>
      <w:r w:rsidR="003D640C">
        <w:t xml:space="preserve"> </w:t>
      </w:r>
      <w:r w:rsidRPr="00DA2287">
        <w:t>being</w:t>
      </w:r>
      <w:r w:rsidR="003D640C">
        <w:t xml:space="preserve"> </w:t>
      </w:r>
      <w:r w:rsidRPr="00DA2287">
        <w:t>disowned</w:t>
      </w:r>
      <w:r w:rsidR="003D640C">
        <w:t xml:space="preserve"> </w:t>
      </w:r>
      <w:r w:rsidRPr="00DA2287">
        <w:t>and</w:t>
      </w:r>
      <w:r w:rsidR="003D640C">
        <w:t xml:space="preserve"> </w:t>
      </w:r>
      <w:r w:rsidRPr="00DA2287">
        <w:t>of</w:t>
      </w:r>
      <w:r w:rsidR="003D640C">
        <w:t xml:space="preserve"> </w:t>
      </w:r>
      <w:r w:rsidRPr="00DA2287">
        <w:t>tarnishing</w:t>
      </w:r>
      <w:r w:rsidR="003D640C">
        <w:t xml:space="preserve"> </w:t>
      </w:r>
      <w:r w:rsidRPr="00DA2287">
        <w:t>the</w:t>
      </w:r>
      <w:r w:rsidR="003D640C">
        <w:t xml:space="preserve"> </w:t>
      </w:r>
      <w:r w:rsidRPr="00DA2287">
        <w:t>reputation</w:t>
      </w:r>
      <w:r w:rsidR="003D640C">
        <w:t xml:space="preserve"> </w:t>
      </w:r>
      <w:r w:rsidRPr="00DA2287">
        <w:t>of</w:t>
      </w:r>
      <w:r w:rsidR="003D640C">
        <w:t xml:space="preserve"> </w:t>
      </w:r>
      <w:r w:rsidRPr="00DA2287">
        <w:t>the</w:t>
      </w:r>
      <w:r w:rsidR="003D640C">
        <w:t xml:space="preserve"> </w:t>
      </w:r>
      <w:r w:rsidRPr="00DA2287">
        <w:t>family</w:t>
      </w:r>
      <w:r w:rsidR="008209A1" w:rsidRPr="00DA2287">
        <w:t>.</w:t>
      </w:r>
      <w:r w:rsidRPr="00DA2287">
        <w:rPr>
          <w:rStyle w:val="FootnoteReference"/>
          <w:rFonts w:eastAsia="Open Sans"/>
          <w:color w:val="121317"/>
        </w:rPr>
        <w:footnoteReference w:id="221"/>
      </w:r>
      <w:r w:rsidR="003D640C">
        <w:t xml:space="preserve"> </w:t>
      </w:r>
    </w:p>
    <w:p w14:paraId="0F3E1796" w14:textId="14AFDF38" w:rsidR="00270E5F" w:rsidRPr="00DA2287" w:rsidRDefault="008B0FA9" w:rsidP="00323E57">
      <w:pPr>
        <w:rPr>
          <w:rFonts w:cstheme="minorHAnsi"/>
        </w:rPr>
      </w:pPr>
      <w:r w:rsidRPr="00DA2287">
        <w:rPr>
          <w:rFonts w:cstheme="minorHAnsi"/>
        </w:rPr>
        <w:t>Academic</w:t>
      </w:r>
      <w:r w:rsidR="003D640C">
        <w:rPr>
          <w:rFonts w:cstheme="minorHAnsi"/>
        </w:rPr>
        <w:t xml:space="preserve"> </w:t>
      </w:r>
      <w:r w:rsidRPr="00DA2287">
        <w:rPr>
          <w:rFonts w:cstheme="minorHAnsi"/>
        </w:rPr>
        <w:t>research</w:t>
      </w:r>
      <w:r w:rsidR="003D640C">
        <w:rPr>
          <w:rFonts w:cstheme="minorHAnsi"/>
        </w:rPr>
        <w:t xml:space="preserve"> </w:t>
      </w:r>
      <w:r w:rsidRPr="00DA2287">
        <w:rPr>
          <w:rFonts w:cstheme="minorHAnsi"/>
        </w:rPr>
        <w:t>on</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experience</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queer</w:t>
      </w:r>
      <w:r w:rsidR="003D640C">
        <w:rPr>
          <w:rFonts w:cstheme="minorHAnsi"/>
        </w:rPr>
        <w:t xml:space="preserve"> </w:t>
      </w:r>
      <w:r w:rsidRPr="00DA2287">
        <w:rPr>
          <w:rFonts w:cstheme="minorHAnsi"/>
        </w:rPr>
        <w:t>Chinese</w:t>
      </w:r>
      <w:r w:rsidR="003D640C">
        <w:rPr>
          <w:rFonts w:cstheme="minorHAnsi"/>
        </w:rPr>
        <w:t xml:space="preserve"> </w:t>
      </w:r>
      <w:r w:rsidRPr="00DA2287">
        <w:rPr>
          <w:rFonts w:cstheme="minorHAnsi"/>
        </w:rPr>
        <w:t>international</w:t>
      </w:r>
      <w:r w:rsidR="003D640C">
        <w:rPr>
          <w:rFonts w:cstheme="minorHAnsi"/>
        </w:rPr>
        <w:t xml:space="preserve"> </w:t>
      </w:r>
      <w:r w:rsidRPr="00DA2287">
        <w:rPr>
          <w:rFonts w:cstheme="minorHAnsi"/>
        </w:rPr>
        <w:t>students</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Aotearoa</w:t>
      </w:r>
      <w:r w:rsidR="003D640C">
        <w:rPr>
          <w:rFonts w:cstheme="minorHAnsi"/>
        </w:rPr>
        <w:t xml:space="preserve"> </w:t>
      </w:r>
      <w:r w:rsidR="008209A1" w:rsidRPr="00DA2287">
        <w:rPr>
          <w:rFonts w:cstheme="minorHAnsi"/>
        </w:rPr>
        <w:t>made</w:t>
      </w:r>
      <w:r w:rsidR="003D640C">
        <w:rPr>
          <w:rFonts w:cstheme="minorHAnsi"/>
        </w:rPr>
        <w:t xml:space="preserve"> </w:t>
      </w:r>
      <w:r w:rsidRPr="00DA2287">
        <w:rPr>
          <w:rFonts w:cstheme="minorHAnsi"/>
        </w:rPr>
        <w:t>simila</w:t>
      </w:r>
      <w:r w:rsidR="008209A1" w:rsidRPr="00DA2287">
        <w:rPr>
          <w:rFonts w:cstheme="minorHAnsi"/>
        </w:rPr>
        <w:t>r</w:t>
      </w:r>
      <w:r w:rsidR="003D640C">
        <w:rPr>
          <w:rFonts w:cstheme="minorHAnsi"/>
        </w:rPr>
        <w:t xml:space="preserve"> </w:t>
      </w:r>
      <w:r w:rsidR="008209A1" w:rsidRPr="00DA2287">
        <w:rPr>
          <w:rFonts w:cstheme="minorHAnsi"/>
        </w:rPr>
        <w:t>findings</w:t>
      </w:r>
      <w:r w:rsidRPr="00DA2287">
        <w:rPr>
          <w:rFonts w:cstheme="minorHAnsi"/>
        </w:rPr>
        <w:t>.</w:t>
      </w:r>
      <w:r w:rsidR="003D640C">
        <w:rPr>
          <w:rFonts w:cstheme="minorHAnsi"/>
        </w:rPr>
        <w:t xml:space="preserve"> </w:t>
      </w:r>
      <w:r w:rsidRPr="00DA2287">
        <w:rPr>
          <w:rFonts w:cstheme="minorHAnsi"/>
        </w:rPr>
        <w:t>In</w:t>
      </w:r>
      <w:r w:rsidR="003D640C">
        <w:rPr>
          <w:rFonts w:cstheme="minorHAnsi"/>
        </w:rPr>
        <w:t xml:space="preserve"> </w:t>
      </w:r>
      <w:r w:rsidR="008209A1" w:rsidRPr="00DA2287">
        <w:rPr>
          <w:rFonts w:cstheme="minorHAnsi"/>
        </w:rPr>
        <w:t>a</w:t>
      </w:r>
      <w:r w:rsidR="003D640C">
        <w:rPr>
          <w:rFonts w:cstheme="minorHAnsi"/>
        </w:rPr>
        <w:t xml:space="preserve"> </w:t>
      </w:r>
      <w:r w:rsidR="008209A1" w:rsidRPr="00DA2287">
        <w:rPr>
          <w:rFonts w:cstheme="minorHAnsi"/>
        </w:rPr>
        <w:t>2023</w:t>
      </w:r>
      <w:r w:rsidR="003D640C">
        <w:rPr>
          <w:rFonts w:cstheme="minorHAnsi"/>
        </w:rPr>
        <w:t xml:space="preserve"> </w:t>
      </w:r>
      <w:r w:rsidRPr="00DA2287">
        <w:rPr>
          <w:rFonts w:cstheme="minorHAnsi"/>
        </w:rPr>
        <w:t>study,</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concept</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‘ethnic</w:t>
      </w:r>
      <w:r w:rsidR="003D640C">
        <w:rPr>
          <w:rFonts w:cstheme="minorHAnsi"/>
        </w:rPr>
        <w:t xml:space="preserve"> </w:t>
      </w:r>
      <w:r w:rsidRPr="00DA2287">
        <w:rPr>
          <w:rFonts w:cstheme="minorHAnsi"/>
        </w:rPr>
        <w:t>closet’</w:t>
      </w:r>
      <w:r w:rsidR="003D640C">
        <w:rPr>
          <w:rFonts w:cstheme="minorHAnsi"/>
        </w:rPr>
        <w:t xml:space="preserve"> </w:t>
      </w:r>
      <w:r w:rsidR="00270E5F" w:rsidRPr="00DA2287">
        <w:rPr>
          <w:rFonts w:cstheme="minorHAnsi"/>
        </w:rPr>
        <w:t>wa</w:t>
      </w:r>
      <w:r w:rsidRPr="00DA2287">
        <w:rPr>
          <w:rFonts w:cstheme="minorHAnsi"/>
        </w:rPr>
        <w:t>s</w:t>
      </w:r>
      <w:r w:rsidR="003D640C">
        <w:rPr>
          <w:rFonts w:cstheme="minorHAnsi"/>
        </w:rPr>
        <w:t xml:space="preserve"> </w:t>
      </w:r>
      <w:r w:rsidRPr="00DA2287">
        <w:rPr>
          <w:rFonts w:cstheme="minorHAnsi"/>
        </w:rPr>
        <w:t>used</w:t>
      </w:r>
      <w:r w:rsidR="003D640C">
        <w:rPr>
          <w:rFonts w:cstheme="minorHAnsi"/>
        </w:rPr>
        <w:t xml:space="preserve"> </w:t>
      </w:r>
      <w:r w:rsidRPr="00DA2287">
        <w:rPr>
          <w:rFonts w:cstheme="minorHAnsi"/>
        </w:rPr>
        <w:t>to</w:t>
      </w:r>
      <w:r w:rsidR="003D640C">
        <w:rPr>
          <w:rFonts w:cstheme="minorHAnsi"/>
        </w:rPr>
        <w:t xml:space="preserve"> </w:t>
      </w:r>
      <w:r w:rsidRPr="00DA2287">
        <w:rPr>
          <w:rFonts w:cstheme="minorHAnsi"/>
        </w:rPr>
        <w:t>describe</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‘dual,</w:t>
      </w:r>
      <w:r w:rsidR="003D640C">
        <w:rPr>
          <w:rFonts w:cstheme="minorHAnsi"/>
        </w:rPr>
        <w:t xml:space="preserve"> </w:t>
      </w:r>
      <w:r w:rsidRPr="00DA2287">
        <w:rPr>
          <w:rFonts w:cstheme="minorHAnsi"/>
        </w:rPr>
        <w:t>intertwining</w:t>
      </w:r>
      <w:r w:rsidR="003D640C">
        <w:rPr>
          <w:rFonts w:cstheme="minorHAnsi"/>
        </w:rPr>
        <w:t xml:space="preserve"> </w:t>
      </w:r>
      <w:r w:rsidRPr="00DA2287">
        <w:rPr>
          <w:rFonts w:cstheme="minorHAnsi"/>
        </w:rPr>
        <w:t>oppression’</w:t>
      </w:r>
      <w:r w:rsidR="003D640C">
        <w:rPr>
          <w:rFonts w:cstheme="minorHAnsi"/>
        </w:rPr>
        <w:t xml:space="preserve"> </w:t>
      </w:r>
      <w:r w:rsidR="00A02F5C">
        <w:rPr>
          <w:rFonts w:cstheme="minorHAnsi"/>
        </w:rPr>
        <w:t xml:space="preserve">that </w:t>
      </w:r>
      <w:r w:rsidRPr="00DA2287">
        <w:rPr>
          <w:rFonts w:cstheme="minorHAnsi"/>
        </w:rPr>
        <w:t>international</w:t>
      </w:r>
      <w:r w:rsidR="003D640C">
        <w:rPr>
          <w:rFonts w:cstheme="minorHAnsi"/>
        </w:rPr>
        <w:t xml:space="preserve"> </w:t>
      </w:r>
      <w:r w:rsidRPr="00DA2287">
        <w:rPr>
          <w:rFonts w:cstheme="minorHAnsi"/>
        </w:rPr>
        <w:t>Chinese</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students</w:t>
      </w:r>
      <w:r w:rsidR="003D640C">
        <w:rPr>
          <w:rFonts w:cstheme="minorHAnsi"/>
        </w:rPr>
        <w:t xml:space="preserve"> </w:t>
      </w:r>
      <w:r w:rsidRPr="00DA2287">
        <w:rPr>
          <w:rFonts w:cstheme="minorHAnsi"/>
        </w:rPr>
        <w:t>experience</w:t>
      </w:r>
      <w:r w:rsidR="008209A1" w:rsidRPr="00DA2287">
        <w:rPr>
          <w:rFonts w:cstheme="minorHAnsi"/>
        </w:rPr>
        <w:t>.</w:t>
      </w:r>
      <w:r w:rsidRPr="00DA2287">
        <w:rPr>
          <w:rStyle w:val="FootnoteReference"/>
          <w:rFonts w:eastAsia="Open Sans" w:cstheme="minorHAnsi"/>
          <w:color w:val="121317"/>
        </w:rPr>
        <w:footnoteReference w:id="222"/>
      </w:r>
      <w:r w:rsidR="003D640C">
        <w:rPr>
          <w:rFonts w:cstheme="minorHAnsi"/>
        </w:rPr>
        <w:t xml:space="preserve"> </w:t>
      </w:r>
      <w:r w:rsidRPr="00DA2287">
        <w:rPr>
          <w:rFonts w:cstheme="minorHAnsi"/>
        </w:rPr>
        <w:t>This</w:t>
      </w:r>
      <w:r w:rsidR="003D640C">
        <w:rPr>
          <w:rFonts w:cstheme="minorHAnsi"/>
        </w:rPr>
        <w:t xml:space="preserve"> </w:t>
      </w:r>
      <w:r w:rsidRPr="00DA2287">
        <w:rPr>
          <w:rFonts w:cstheme="minorHAnsi"/>
        </w:rPr>
        <w:t>study</w:t>
      </w:r>
      <w:r w:rsidR="003D640C">
        <w:rPr>
          <w:rFonts w:cstheme="minorHAnsi"/>
        </w:rPr>
        <w:t xml:space="preserve"> </w:t>
      </w:r>
      <w:r w:rsidRPr="00DA2287">
        <w:rPr>
          <w:rFonts w:cstheme="minorHAnsi"/>
        </w:rPr>
        <w:t>document</w:t>
      </w:r>
      <w:r w:rsidR="00A02F5C">
        <w:rPr>
          <w:rFonts w:cstheme="minorHAnsi"/>
        </w:rPr>
        <w:t>ed</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heteronormative</w:t>
      </w:r>
      <w:r w:rsidR="003D640C">
        <w:rPr>
          <w:rFonts w:cstheme="minorHAnsi"/>
        </w:rPr>
        <w:t xml:space="preserve"> </w:t>
      </w:r>
      <w:r w:rsidRPr="00DA2287">
        <w:rPr>
          <w:rFonts w:cstheme="minorHAnsi"/>
        </w:rPr>
        <w:t>microa</w:t>
      </w:r>
      <w:r w:rsidR="001D02AE" w:rsidRPr="00DA2287">
        <w:rPr>
          <w:rFonts w:cstheme="minorHAnsi"/>
        </w:rPr>
        <w:t>g</w:t>
      </w:r>
      <w:r w:rsidRPr="00DA2287">
        <w:rPr>
          <w:rFonts w:cstheme="minorHAnsi"/>
        </w:rPr>
        <w:t>gressions</w:t>
      </w:r>
      <w:r w:rsidR="003D640C">
        <w:rPr>
          <w:rFonts w:cstheme="minorHAnsi"/>
        </w:rPr>
        <w:t xml:space="preserve"> </w:t>
      </w:r>
      <w:r w:rsidR="008209A1" w:rsidRPr="00DA2287">
        <w:rPr>
          <w:rFonts w:cstheme="minorHAnsi"/>
        </w:rPr>
        <w:t>the</w:t>
      </w:r>
      <w:r w:rsidR="003D640C">
        <w:rPr>
          <w:rFonts w:cstheme="minorHAnsi"/>
        </w:rPr>
        <w:t xml:space="preserve"> </w:t>
      </w:r>
      <w:r w:rsidR="008209A1" w:rsidRPr="00DA2287">
        <w:rPr>
          <w:rFonts w:cstheme="minorHAnsi"/>
        </w:rPr>
        <w:t>students</w:t>
      </w:r>
      <w:r w:rsidR="003D640C">
        <w:rPr>
          <w:rFonts w:cstheme="minorHAnsi"/>
        </w:rPr>
        <w:t xml:space="preserve"> </w:t>
      </w:r>
      <w:r w:rsidR="008209A1" w:rsidRPr="00DA2287">
        <w:rPr>
          <w:rFonts w:cstheme="minorHAnsi"/>
        </w:rPr>
        <w:t>experienced.</w:t>
      </w:r>
      <w:r w:rsidR="003D640C">
        <w:rPr>
          <w:rFonts w:cstheme="minorHAnsi"/>
        </w:rPr>
        <w:t xml:space="preserve"> </w:t>
      </w:r>
      <w:r w:rsidR="008209A1" w:rsidRPr="00DA2287">
        <w:rPr>
          <w:rFonts w:cstheme="minorHAnsi"/>
        </w:rPr>
        <w:t>These</w:t>
      </w:r>
      <w:r w:rsidR="003D640C">
        <w:rPr>
          <w:rFonts w:cstheme="minorHAnsi"/>
        </w:rPr>
        <w:t xml:space="preserve"> </w:t>
      </w:r>
      <w:r w:rsidR="008209A1" w:rsidRPr="00DA2287">
        <w:rPr>
          <w:rFonts w:cstheme="minorHAnsi"/>
        </w:rPr>
        <w:t>microaggression</w:t>
      </w:r>
      <w:r w:rsidR="00270E5F" w:rsidRPr="00DA2287">
        <w:rPr>
          <w:rFonts w:cstheme="minorHAnsi"/>
        </w:rPr>
        <w:t>s</w:t>
      </w:r>
      <w:r w:rsidR="003D640C">
        <w:rPr>
          <w:rFonts w:cstheme="minorHAnsi"/>
        </w:rPr>
        <w:t xml:space="preserve"> </w:t>
      </w:r>
      <w:r w:rsidR="008209A1" w:rsidRPr="00DA2287">
        <w:rPr>
          <w:rFonts w:cstheme="minorHAnsi"/>
        </w:rPr>
        <w:t>were</w:t>
      </w:r>
      <w:r w:rsidR="003D640C">
        <w:rPr>
          <w:rFonts w:cstheme="minorHAnsi"/>
        </w:rPr>
        <w:t xml:space="preserve"> </w:t>
      </w:r>
      <w:r w:rsidRPr="00DA2287">
        <w:rPr>
          <w:rFonts w:cstheme="minorHAnsi"/>
        </w:rPr>
        <w:t>based</w:t>
      </w:r>
      <w:r w:rsidR="003D640C">
        <w:rPr>
          <w:rFonts w:cstheme="minorHAnsi"/>
        </w:rPr>
        <w:t xml:space="preserve"> </w:t>
      </w:r>
      <w:r w:rsidR="008209A1" w:rsidRPr="00DA2287">
        <w:rPr>
          <w:rFonts w:cstheme="minorHAnsi"/>
        </w:rPr>
        <w:t>both</w:t>
      </w:r>
      <w:r w:rsidR="003D640C">
        <w:rPr>
          <w:rFonts w:cstheme="minorHAnsi"/>
        </w:rPr>
        <w:t xml:space="preserve"> </w:t>
      </w:r>
      <w:r w:rsidRPr="00DA2287">
        <w:rPr>
          <w:rFonts w:cstheme="minorHAnsi"/>
        </w:rPr>
        <w:t>on</w:t>
      </w:r>
      <w:r w:rsidR="003D640C">
        <w:rPr>
          <w:rFonts w:cstheme="minorHAnsi"/>
        </w:rPr>
        <w:t xml:space="preserve"> </w:t>
      </w:r>
      <w:r w:rsidRPr="00DA2287">
        <w:rPr>
          <w:rFonts w:cstheme="minorHAnsi"/>
        </w:rPr>
        <w:t>the</w:t>
      </w:r>
      <w:r w:rsidR="003D640C">
        <w:rPr>
          <w:rFonts w:cstheme="minorHAnsi"/>
        </w:rPr>
        <w:t xml:space="preserve"> </w:t>
      </w:r>
      <w:r w:rsidR="008209A1" w:rsidRPr="00DA2287">
        <w:rPr>
          <w:rFonts w:cstheme="minorHAnsi"/>
        </w:rPr>
        <w:t>students’</w:t>
      </w:r>
      <w:r w:rsidR="003D640C">
        <w:rPr>
          <w:rFonts w:cstheme="minorHAnsi"/>
        </w:rPr>
        <w:t xml:space="preserve"> </w:t>
      </w:r>
      <w:r w:rsidRPr="00DA2287">
        <w:rPr>
          <w:rFonts w:cstheme="minorHAnsi"/>
        </w:rPr>
        <w:t>sexual</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racial/ethnic</w:t>
      </w:r>
      <w:r w:rsidR="003D640C">
        <w:rPr>
          <w:rFonts w:cstheme="minorHAnsi"/>
        </w:rPr>
        <w:t xml:space="preserve"> </w:t>
      </w:r>
      <w:r w:rsidRPr="00DA2287">
        <w:rPr>
          <w:rFonts w:cstheme="minorHAnsi"/>
        </w:rPr>
        <w:t>identities</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wider</w:t>
      </w:r>
      <w:r w:rsidR="003D640C">
        <w:rPr>
          <w:rFonts w:cstheme="minorHAnsi"/>
        </w:rPr>
        <w:t xml:space="preserve"> </w:t>
      </w:r>
      <w:r w:rsidRPr="00DA2287">
        <w:rPr>
          <w:rFonts w:cstheme="minorHAnsi"/>
        </w:rPr>
        <w:t>community</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what</w:t>
      </w:r>
      <w:r w:rsidR="003D640C">
        <w:rPr>
          <w:rFonts w:cstheme="minorHAnsi"/>
        </w:rPr>
        <w:t xml:space="preserve"> </w:t>
      </w:r>
      <w:r w:rsidRPr="00DA2287">
        <w:rPr>
          <w:rFonts w:cstheme="minorHAnsi"/>
        </w:rPr>
        <w:t>they</w:t>
      </w:r>
      <w:r w:rsidR="003D640C">
        <w:rPr>
          <w:rFonts w:cstheme="minorHAnsi"/>
        </w:rPr>
        <w:t xml:space="preserve"> </w:t>
      </w:r>
      <w:r w:rsidRPr="00DA2287">
        <w:rPr>
          <w:rFonts w:cstheme="minorHAnsi"/>
        </w:rPr>
        <w:t>describe</w:t>
      </w:r>
      <w:r w:rsidR="003D640C">
        <w:rPr>
          <w:rFonts w:cstheme="minorHAnsi"/>
        </w:rPr>
        <w:t xml:space="preserve"> </w:t>
      </w:r>
      <w:r w:rsidR="008209A1" w:rsidRPr="00DA2287">
        <w:rPr>
          <w:rFonts w:cstheme="minorHAnsi"/>
        </w:rPr>
        <w:t>as</w:t>
      </w:r>
      <w:r w:rsidR="003D640C">
        <w:rPr>
          <w:rFonts w:cstheme="minorHAnsi"/>
        </w:rPr>
        <w:t xml:space="preserve"> </w:t>
      </w:r>
      <w:r w:rsidR="00A02F5C">
        <w:rPr>
          <w:rFonts w:cstheme="minorHAnsi"/>
        </w:rPr>
        <w:t>“</w:t>
      </w:r>
      <w:r w:rsidRPr="00DA2287">
        <w:rPr>
          <w:rFonts w:cstheme="minorHAnsi"/>
        </w:rPr>
        <w:t>oppressive</w:t>
      </w:r>
      <w:r w:rsidR="00A02F5C">
        <w:rPr>
          <w:rFonts w:cstheme="minorHAnsi"/>
        </w:rPr>
        <w:t>”</w:t>
      </w:r>
      <w:r w:rsidR="003D640C">
        <w:rPr>
          <w:rFonts w:cstheme="minorHAnsi"/>
        </w:rPr>
        <w:t xml:space="preserve"> </w:t>
      </w:r>
      <w:r w:rsidRPr="00DA2287">
        <w:rPr>
          <w:rFonts w:cstheme="minorHAnsi"/>
        </w:rPr>
        <w:t>encounters</w:t>
      </w:r>
      <w:r w:rsidR="003D640C">
        <w:rPr>
          <w:rFonts w:cstheme="minorHAnsi"/>
        </w:rPr>
        <w:t xml:space="preserve"> </w:t>
      </w:r>
      <w:r w:rsidRPr="00DA2287">
        <w:rPr>
          <w:rFonts w:cstheme="minorHAnsi"/>
        </w:rPr>
        <w:t>with</w:t>
      </w:r>
      <w:r w:rsidR="003D640C">
        <w:rPr>
          <w:rFonts w:cstheme="minorHAnsi"/>
        </w:rPr>
        <w:t xml:space="preserve"> </w:t>
      </w:r>
      <w:r w:rsidRPr="00DA2287">
        <w:rPr>
          <w:rFonts w:cstheme="minorHAnsi"/>
        </w:rPr>
        <w:t>members</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their</w:t>
      </w:r>
      <w:r w:rsidR="003D640C">
        <w:rPr>
          <w:rFonts w:cstheme="minorHAnsi"/>
        </w:rPr>
        <w:t xml:space="preserve"> </w:t>
      </w:r>
      <w:r w:rsidRPr="00DA2287">
        <w:rPr>
          <w:rFonts w:cstheme="minorHAnsi"/>
        </w:rPr>
        <w:t>own</w:t>
      </w:r>
      <w:r w:rsidR="003D640C">
        <w:rPr>
          <w:rFonts w:cstheme="minorHAnsi"/>
        </w:rPr>
        <w:t xml:space="preserve"> </w:t>
      </w:r>
      <w:r w:rsidRPr="00DA2287">
        <w:rPr>
          <w:rFonts w:cstheme="minorHAnsi"/>
        </w:rPr>
        <w:t>ethno-cultural</w:t>
      </w:r>
      <w:r w:rsidR="003D640C">
        <w:rPr>
          <w:rFonts w:cstheme="minorHAnsi"/>
        </w:rPr>
        <w:t xml:space="preserve"> </w:t>
      </w:r>
      <w:r w:rsidRPr="00DA2287">
        <w:rPr>
          <w:rFonts w:cstheme="minorHAnsi"/>
        </w:rPr>
        <w:t>communities</w:t>
      </w:r>
      <w:r w:rsidR="003D640C">
        <w:rPr>
          <w:rFonts w:cstheme="minorHAnsi"/>
        </w:rPr>
        <w:t xml:space="preserve"> </w:t>
      </w:r>
      <w:r w:rsidRPr="00DA2287">
        <w:rPr>
          <w:rFonts w:cstheme="minorHAnsi"/>
        </w:rPr>
        <w:t>both</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Aotearoa</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their</w:t>
      </w:r>
      <w:r w:rsidR="003D640C">
        <w:rPr>
          <w:rFonts w:cstheme="minorHAnsi"/>
        </w:rPr>
        <w:t xml:space="preserve"> </w:t>
      </w:r>
      <w:r w:rsidRPr="00DA2287">
        <w:rPr>
          <w:rFonts w:cstheme="minorHAnsi"/>
        </w:rPr>
        <w:t>home</w:t>
      </w:r>
      <w:r w:rsidR="003D640C">
        <w:rPr>
          <w:rFonts w:cstheme="minorHAnsi"/>
        </w:rPr>
        <w:t xml:space="preserve"> </w:t>
      </w:r>
      <w:r w:rsidRPr="00DA2287">
        <w:rPr>
          <w:rFonts w:cstheme="minorHAnsi"/>
        </w:rPr>
        <w:t>country.</w:t>
      </w:r>
      <w:r w:rsidR="003D640C">
        <w:rPr>
          <w:rFonts w:cstheme="minorHAnsi"/>
        </w:rPr>
        <w:t xml:space="preserve"> </w:t>
      </w:r>
    </w:p>
    <w:p w14:paraId="59DA78E9" w14:textId="23521100" w:rsidR="008B0FA9" w:rsidRPr="00DA2287" w:rsidRDefault="008B0FA9" w:rsidP="00323E57">
      <w:r w:rsidRPr="00DA2287">
        <w:t>A</w:t>
      </w:r>
      <w:r w:rsidR="003D640C">
        <w:t xml:space="preserve"> </w:t>
      </w:r>
      <w:r w:rsidRPr="00DA2287">
        <w:t>different</w:t>
      </w:r>
      <w:r w:rsidR="003D640C">
        <w:t xml:space="preserve"> </w:t>
      </w:r>
      <w:r w:rsidR="008209A1" w:rsidRPr="00DA2287">
        <w:t>2023</w:t>
      </w:r>
      <w:r w:rsidR="003D640C">
        <w:t xml:space="preserve"> </w:t>
      </w:r>
      <w:r w:rsidRPr="00DA2287">
        <w:t>study</w:t>
      </w:r>
      <w:r w:rsidR="003D640C">
        <w:t xml:space="preserve"> </w:t>
      </w:r>
      <w:r w:rsidRPr="00DA2287">
        <w:t>of</w:t>
      </w:r>
      <w:r w:rsidR="003D640C">
        <w:t xml:space="preserve"> </w:t>
      </w:r>
      <w:r w:rsidRPr="00DA2287">
        <w:t>the</w:t>
      </w:r>
      <w:r w:rsidR="003D640C">
        <w:t xml:space="preserve"> </w:t>
      </w:r>
      <w:r w:rsidRPr="00DA2287">
        <w:t>specific</w:t>
      </w:r>
      <w:r w:rsidR="003D640C">
        <w:t xml:space="preserve"> </w:t>
      </w:r>
      <w:r w:rsidRPr="00DA2287">
        <w:t>experience</w:t>
      </w:r>
      <w:r w:rsidR="008209A1" w:rsidRPr="00DA2287">
        <w:t>s</w:t>
      </w:r>
      <w:r w:rsidR="003D640C">
        <w:t xml:space="preserve"> </w:t>
      </w:r>
      <w:r w:rsidR="008209A1" w:rsidRPr="00DA2287">
        <w:t>of</w:t>
      </w:r>
      <w:r w:rsidR="003D640C">
        <w:t xml:space="preserve"> </w:t>
      </w:r>
      <w:r w:rsidRPr="00DA2287">
        <w:t>Asian</w:t>
      </w:r>
      <w:r w:rsidR="003D640C">
        <w:t xml:space="preserve"> </w:t>
      </w:r>
      <w:r w:rsidRPr="00DA2287">
        <w:t>Rainbow</w:t>
      </w:r>
      <w:r w:rsidR="003D640C">
        <w:t xml:space="preserve"> </w:t>
      </w:r>
      <w:r w:rsidRPr="00DA2287">
        <w:t>youth</w:t>
      </w:r>
      <w:r w:rsidR="003D640C">
        <w:t xml:space="preserve"> </w:t>
      </w:r>
      <w:r w:rsidRPr="00DA2287">
        <w:t>in</w:t>
      </w:r>
      <w:r w:rsidR="003D640C">
        <w:t xml:space="preserve"> </w:t>
      </w:r>
      <w:r w:rsidRPr="00DA2287">
        <w:t>Aotearoa</w:t>
      </w:r>
      <w:r w:rsidR="003D640C">
        <w:t xml:space="preserve"> </w:t>
      </w:r>
      <w:r w:rsidRPr="00DA2287">
        <w:t>note</w:t>
      </w:r>
      <w:r w:rsidR="008209A1" w:rsidRPr="00DA2287">
        <w:t>d</w:t>
      </w:r>
      <w:r w:rsidR="003D640C">
        <w:t xml:space="preserve"> </w:t>
      </w:r>
      <w:r w:rsidRPr="00DA2287">
        <w:t>that</w:t>
      </w:r>
      <w:r w:rsidR="00A02F5C">
        <w:t>,</w:t>
      </w:r>
      <w:r w:rsidR="003D640C">
        <w:t xml:space="preserve"> </w:t>
      </w:r>
      <w:r w:rsidR="008209A1" w:rsidRPr="00DA2287">
        <w:t>for</w:t>
      </w:r>
      <w:r w:rsidR="003D640C">
        <w:t xml:space="preserve"> </w:t>
      </w:r>
      <w:r w:rsidRPr="00DA2287">
        <w:t>youth</w:t>
      </w:r>
      <w:r w:rsidR="003D640C">
        <w:t xml:space="preserve"> </w:t>
      </w:r>
      <w:r w:rsidRPr="00DA2287">
        <w:t>who</w:t>
      </w:r>
      <w:r w:rsidR="003D640C">
        <w:t xml:space="preserve"> </w:t>
      </w:r>
      <w:r w:rsidRPr="00DA2287">
        <w:t>decide</w:t>
      </w:r>
      <w:r w:rsidR="003D640C">
        <w:t xml:space="preserve"> </w:t>
      </w:r>
      <w:r w:rsidRPr="00DA2287">
        <w:t>to</w:t>
      </w:r>
      <w:r w:rsidR="003D640C">
        <w:t xml:space="preserve"> </w:t>
      </w:r>
      <w:r w:rsidRPr="00DA2287">
        <w:t>prioritise</w:t>
      </w:r>
      <w:r w:rsidR="003D640C">
        <w:t xml:space="preserve"> </w:t>
      </w:r>
      <w:r w:rsidR="00A02F5C">
        <w:t>“</w:t>
      </w:r>
      <w:r w:rsidRPr="00DA2287">
        <w:t>the</w:t>
      </w:r>
      <w:r w:rsidR="003D640C">
        <w:t xml:space="preserve"> </w:t>
      </w:r>
      <w:r w:rsidRPr="00DA2287">
        <w:t>maintenance</w:t>
      </w:r>
      <w:r w:rsidR="003D640C">
        <w:t xml:space="preserve"> </w:t>
      </w:r>
      <w:r w:rsidRPr="00DA2287">
        <w:t>of</w:t>
      </w:r>
      <w:r w:rsidR="003D640C">
        <w:t xml:space="preserve"> </w:t>
      </w:r>
      <w:r w:rsidRPr="00DA2287">
        <w:t>harmonious</w:t>
      </w:r>
      <w:r w:rsidR="003D640C">
        <w:t xml:space="preserve"> </w:t>
      </w:r>
      <w:r w:rsidRPr="00DA2287">
        <w:t>familial</w:t>
      </w:r>
      <w:r w:rsidR="003D640C">
        <w:t xml:space="preserve"> </w:t>
      </w:r>
      <w:r w:rsidRPr="00DA2287">
        <w:t>relationships</w:t>
      </w:r>
      <w:r w:rsidR="003D640C">
        <w:t xml:space="preserve"> </w:t>
      </w:r>
      <w:r w:rsidRPr="00DA2287">
        <w:t>and</w:t>
      </w:r>
      <w:r w:rsidR="003D640C">
        <w:t xml:space="preserve"> </w:t>
      </w:r>
      <w:r w:rsidRPr="00DA2287">
        <w:t>kinship</w:t>
      </w:r>
      <w:r w:rsidR="00D031BB">
        <w:t>,</w:t>
      </w:r>
      <w:r w:rsidR="00A02F5C">
        <w:t>”</w:t>
      </w:r>
      <w:r w:rsidR="003D640C">
        <w:t xml:space="preserve"> </w:t>
      </w:r>
      <w:r w:rsidRPr="00DA2287">
        <w:t>not</w:t>
      </w:r>
      <w:r w:rsidR="003D640C">
        <w:t xml:space="preserve"> </w:t>
      </w:r>
      <w:r w:rsidRPr="00DA2287">
        <w:t>disclosing</w:t>
      </w:r>
      <w:r w:rsidR="003D640C">
        <w:t xml:space="preserve"> </w:t>
      </w:r>
      <w:r w:rsidRPr="00DA2287">
        <w:t>a</w:t>
      </w:r>
      <w:r w:rsidR="003D640C">
        <w:t xml:space="preserve"> </w:t>
      </w:r>
      <w:r w:rsidRPr="00DA2287">
        <w:t>Rainbow</w:t>
      </w:r>
      <w:r w:rsidR="003D640C">
        <w:t xml:space="preserve"> </w:t>
      </w:r>
      <w:r w:rsidRPr="00DA2287">
        <w:t>identity</w:t>
      </w:r>
      <w:r w:rsidR="003D640C">
        <w:t xml:space="preserve"> </w:t>
      </w:r>
      <w:r w:rsidRPr="00DA2287">
        <w:t>represents</w:t>
      </w:r>
      <w:r w:rsidR="003D640C">
        <w:t xml:space="preserve"> </w:t>
      </w:r>
      <w:r w:rsidRPr="00DA2287">
        <w:t>a</w:t>
      </w:r>
      <w:r w:rsidR="003D640C">
        <w:t xml:space="preserve"> </w:t>
      </w:r>
      <w:r w:rsidRPr="00DA2287">
        <w:t>considered</w:t>
      </w:r>
      <w:r w:rsidR="003D640C">
        <w:t xml:space="preserve"> </w:t>
      </w:r>
      <w:r w:rsidRPr="00DA2287">
        <w:t>decision</w:t>
      </w:r>
      <w:r w:rsidR="003D640C">
        <w:t xml:space="preserve"> </w:t>
      </w:r>
      <w:r w:rsidR="008209A1" w:rsidRPr="00DA2287">
        <w:t>on</w:t>
      </w:r>
      <w:r w:rsidR="003D640C">
        <w:t xml:space="preserve"> </w:t>
      </w:r>
      <w:r w:rsidR="008209A1" w:rsidRPr="00DA2287">
        <w:t>their</w:t>
      </w:r>
      <w:r w:rsidR="003D640C">
        <w:t xml:space="preserve"> </w:t>
      </w:r>
      <w:r w:rsidR="008209A1" w:rsidRPr="00DA2287">
        <w:t>part.</w:t>
      </w:r>
      <w:r w:rsidRPr="00DA2287">
        <w:rPr>
          <w:rStyle w:val="FootnoteReference"/>
          <w:rFonts w:eastAsia="Open Sans"/>
          <w:color w:val="121317"/>
        </w:rPr>
        <w:footnoteReference w:id="223"/>
      </w:r>
    </w:p>
    <w:p w14:paraId="56699421" w14:textId="5B10EF76" w:rsidR="00501068" w:rsidRDefault="000A1946" w:rsidP="00323E57">
      <w:r w:rsidRPr="00DA2287">
        <w:lastRenderedPageBreak/>
        <w:t>While</w:t>
      </w:r>
      <w:r w:rsidR="003D640C">
        <w:t xml:space="preserve"> </w:t>
      </w:r>
      <w:r w:rsidR="00990484" w:rsidRPr="00DA2287">
        <w:t>not</w:t>
      </w:r>
      <w:r w:rsidR="003D640C">
        <w:t xml:space="preserve"> </w:t>
      </w:r>
      <w:r w:rsidR="00F73F00" w:rsidRPr="00DA2287">
        <w:t>all</w:t>
      </w:r>
      <w:r w:rsidR="003D640C">
        <w:t xml:space="preserve"> </w:t>
      </w:r>
      <w:r w:rsidR="00A02F5C">
        <w:t xml:space="preserve">these studies </w:t>
      </w:r>
      <w:r w:rsidR="00990484" w:rsidRPr="00DA2287">
        <w:t>document</w:t>
      </w:r>
      <w:r w:rsidR="003D640C">
        <w:t xml:space="preserve"> </w:t>
      </w:r>
      <w:r w:rsidR="00990484" w:rsidRPr="00DA2287">
        <w:t>conversion</w:t>
      </w:r>
      <w:r w:rsidR="003D640C">
        <w:t xml:space="preserve"> </w:t>
      </w:r>
      <w:r w:rsidR="00990484" w:rsidRPr="00DA2287">
        <w:t>practices</w:t>
      </w:r>
      <w:r w:rsidR="003D640C">
        <w:t xml:space="preserve"> </w:t>
      </w:r>
      <w:r w:rsidR="00990484" w:rsidRPr="00DA2287">
        <w:t>specifically,</w:t>
      </w:r>
      <w:r w:rsidR="003D640C">
        <w:t xml:space="preserve"> </w:t>
      </w:r>
      <w:r w:rsidR="00A02F5C">
        <w:t>they</w:t>
      </w:r>
      <w:r w:rsidR="003D640C">
        <w:t xml:space="preserve"> </w:t>
      </w:r>
      <w:r w:rsidR="00990484" w:rsidRPr="00DA2287">
        <w:t>serve</w:t>
      </w:r>
      <w:r w:rsidR="003D640C">
        <w:t xml:space="preserve"> </w:t>
      </w:r>
      <w:r w:rsidR="00990484" w:rsidRPr="00DA2287">
        <w:t>to</w:t>
      </w:r>
      <w:r w:rsidR="003D640C">
        <w:t xml:space="preserve"> </w:t>
      </w:r>
      <w:r w:rsidR="00990484" w:rsidRPr="00DA2287">
        <w:t>shed</w:t>
      </w:r>
      <w:r w:rsidR="003D640C">
        <w:t xml:space="preserve"> </w:t>
      </w:r>
      <w:r w:rsidR="00990484" w:rsidRPr="00DA2287">
        <w:t>light</w:t>
      </w:r>
      <w:r w:rsidR="003D640C">
        <w:t xml:space="preserve"> </w:t>
      </w:r>
      <w:r w:rsidR="00990484" w:rsidRPr="00DA2287">
        <w:t>on</w:t>
      </w:r>
      <w:r w:rsidR="003D640C">
        <w:t xml:space="preserve"> </w:t>
      </w:r>
      <w:r w:rsidR="00990484" w:rsidRPr="00DA2287">
        <w:t>the</w:t>
      </w:r>
      <w:r w:rsidR="003D640C">
        <w:t xml:space="preserve"> </w:t>
      </w:r>
      <w:r w:rsidR="00990484" w:rsidRPr="00DA2287">
        <w:t>factors</w:t>
      </w:r>
      <w:r w:rsidR="003D640C">
        <w:t xml:space="preserve"> </w:t>
      </w:r>
      <w:r w:rsidR="00990484" w:rsidRPr="00DA2287">
        <w:t>that</w:t>
      </w:r>
      <w:r w:rsidR="003D640C">
        <w:t xml:space="preserve"> </w:t>
      </w:r>
      <w:r w:rsidR="00990484" w:rsidRPr="00DA2287">
        <w:t>can</w:t>
      </w:r>
      <w:r w:rsidR="003D640C">
        <w:t xml:space="preserve"> </w:t>
      </w:r>
      <w:r w:rsidR="00990484" w:rsidRPr="00DA2287">
        <w:t>make</w:t>
      </w:r>
      <w:r w:rsidR="003D640C">
        <w:t xml:space="preserve"> </w:t>
      </w:r>
      <w:r w:rsidR="00586884">
        <w:t xml:space="preserve">ethnic </w:t>
      </w:r>
      <w:r w:rsidR="00990484" w:rsidRPr="00DA2287">
        <w:t>Rainbow</w:t>
      </w:r>
      <w:r w:rsidR="003D640C" w:rsidDel="00586884">
        <w:t xml:space="preserve"> </w:t>
      </w:r>
      <w:r w:rsidR="00990484" w:rsidRPr="00DA2287">
        <w:t>people</w:t>
      </w:r>
      <w:r w:rsidR="003D640C">
        <w:t xml:space="preserve"> </w:t>
      </w:r>
      <w:r w:rsidR="00990484" w:rsidRPr="00DA2287">
        <w:t>more</w:t>
      </w:r>
      <w:r w:rsidR="003D640C">
        <w:t xml:space="preserve"> </w:t>
      </w:r>
      <w:r w:rsidR="00990484" w:rsidRPr="00DA2287">
        <w:t>vulnerable</w:t>
      </w:r>
      <w:r w:rsidR="003D640C">
        <w:t xml:space="preserve"> </w:t>
      </w:r>
      <w:r w:rsidR="00990484" w:rsidRPr="00DA2287">
        <w:t>to</w:t>
      </w:r>
      <w:r w:rsidR="003D640C">
        <w:t xml:space="preserve"> </w:t>
      </w:r>
      <w:r w:rsidR="00990484" w:rsidRPr="00DA2287">
        <w:t>conversion</w:t>
      </w:r>
      <w:r w:rsidR="003D640C">
        <w:t xml:space="preserve"> </w:t>
      </w:r>
      <w:r w:rsidR="00990484" w:rsidRPr="00DA2287">
        <w:t>practices.</w:t>
      </w:r>
    </w:p>
    <w:p w14:paraId="741BD6E9" w14:textId="2241EE8E" w:rsidR="008B0FA9" w:rsidRPr="00DA2287" w:rsidRDefault="008B0FA9" w:rsidP="002C6363">
      <w:pPr>
        <w:pStyle w:val="Heading3"/>
        <w:rPr>
          <w:sz w:val="22"/>
          <w:szCs w:val="22"/>
        </w:rPr>
      </w:pPr>
      <w:bookmarkStart w:id="288" w:name="_Toc167780621"/>
      <w:bookmarkStart w:id="289" w:name="_Toc143726284"/>
      <w:bookmarkStart w:id="290" w:name="_Toc174628681"/>
      <w:r w:rsidRPr="00DA2287">
        <w:t>Legacies</w:t>
      </w:r>
      <w:r w:rsidR="003D640C">
        <w:t xml:space="preserve"> </w:t>
      </w:r>
      <w:r w:rsidRPr="00DA2287">
        <w:t>of</w:t>
      </w:r>
      <w:r w:rsidR="003D640C">
        <w:t xml:space="preserve"> </w:t>
      </w:r>
      <w:r w:rsidRPr="00DA2287">
        <w:t>colonisation</w:t>
      </w:r>
      <w:r w:rsidR="003D640C">
        <w:t xml:space="preserve"> </w:t>
      </w:r>
      <w:r w:rsidRPr="00DA2287">
        <w:t>within</w:t>
      </w:r>
      <w:r w:rsidR="003D640C">
        <w:t xml:space="preserve"> </w:t>
      </w:r>
      <w:r w:rsidRPr="00DA2287">
        <w:t>ethnic</w:t>
      </w:r>
      <w:r w:rsidR="003D640C">
        <w:t xml:space="preserve"> </w:t>
      </w:r>
      <w:r w:rsidRPr="00DA2287">
        <w:t>communities</w:t>
      </w:r>
      <w:bookmarkEnd w:id="288"/>
      <w:bookmarkEnd w:id="289"/>
      <w:bookmarkEnd w:id="290"/>
      <w:r w:rsidR="003D640C">
        <w:rPr>
          <w:sz w:val="22"/>
          <w:szCs w:val="22"/>
        </w:rPr>
        <w:t xml:space="preserve"> </w:t>
      </w:r>
    </w:p>
    <w:p w14:paraId="6B10A4B9" w14:textId="1B9E6703" w:rsidR="008B0FA9" w:rsidRPr="00DA2287" w:rsidRDefault="008209A1" w:rsidP="00323E57">
      <w:r w:rsidRPr="00DA2287">
        <w:t>Several</w:t>
      </w:r>
      <w:r w:rsidR="003D640C">
        <w:t xml:space="preserve"> </w:t>
      </w:r>
      <w:r w:rsidRPr="00DA2287">
        <w:t>of</w:t>
      </w:r>
      <w:r w:rsidR="003D640C">
        <w:t xml:space="preserve"> </w:t>
      </w:r>
      <w:r w:rsidR="008B0FA9" w:rsidRPr="00DA2287">
        <w:t>those</w:t>
      </w:r>
      <w:r w:rsidR="003D640C">
        <w:t xml:space="preserve"> </w:t>
      </w:r>
      <w:r w:rsidRPr="00DA2287">
        <w:t>who</w:t>
      </w:r>
      <w:r w:rsidR="003D640C">
        <w:t xml:space="preserve"> </w:t>
      </w:r>
      <w:r w:rsidR="008B0FA9" w:rsidRPr="00DA2287">
        <w:t>identif</w:t>
      </w:r>
      <w:r w:rsidRPr="00DA2287">
        <w:t>ied</w:t>
      </w:r>
      <w:r w:rsidR="003D640C">
        <w:t xml:space="preserve"> </w:t>
      </w:r>
      <w:r w:rsidR="008B0FA9" w:rsidRPr="00DA2287">
        <w:t>with</w:t>
      </w:r>
      <w:r w:rsidR="003D640C">
        <w:t xml:space="preserve"> </w:t>
      </w:r>
      <w:r w:rsidR="008B0FA9" w:rsidRPr="00DA2287">
        <w:t>minority</w:t>
      </w:r>
      <w:r w:rsidR="003D640C">
        <w:t xml:space="preserve"> </w:t>
      </w:r>
      <w:r w:rsidR="008B0FA9" w:rsidRPr="00DA2287">
        <w:t>ethnic</w:t>
      </w:r>
      <w:r w:rsidR="003D640C">
        <w:t xml:space="preserve"> </w:t>
      </w:r>
      <w:r w:rsidR="008B0FA9" w:rsidRPr="00DA2287">
        <w:t>groups</w:t>
      </w:r>
      <w:r w:rsidR="003D640C">
        <w:t xml:space="preserve"> </w:t>
      </w:r>
      <w:r w:rsidR="008B0FA9" w:rsidRPr="00DA2287">
        <w:t>contest</w:t>
      </w:r>
      <w:r w:rsidRPr="00DA2287">
        <w:t>ed</w:t>
      </w:r>
      <w:r w:rsidR="003D640C">
        <w:t xml:space="preserve"> </w:t>
      </w:r>
      <w:r w:rsidR="008B0FA9" w:rsidRPr="00DA2287">
        <w:t>binary</w:t>
      </w:r>
      <w:r w:rsidR="003D640C">
        <w:t xml:space="preserve"> </w:t>
      </w:r>
      <w:r w:rsidR="008B0FA9" w:rsidRPr="00DA2287">
        <w:t>notions</w:t>
      </w:r>
      <w:r w:rsidR="003D640C">
        <w:t xml:space="preserve"> </w:t>
      </w:r>
      <w:r w:rsidR="008B0FA9" w:rsidRPr="00DA2287">
        <w:t>of</w:t>
      </w:r>
      <w:r w:rsidR="003D640C">
        <w:t xml:space="preserve"> </w:t>
      </w:r>
      <w:r w:rsidR="008B0FA9" w:rsidRPr="00DA2287">
        <w:t>gender</w:t>
      </w:r>
      <w:r w:rsidR="003D640C">
        <w:t xml:space="preserve"> </w:t>
      </w:r>
      <w:r w:rsidR="008B0FA9" w:rsidRPr="00DA2287">
        <w:t>and</w:t>
      </w:r>
      <w:r w:rsidR="003D640C">
        <w:t xml:space="preserve"> </w:t>
      </w:r>
      <w:r w:rsidR="008B0FA9" w:rsidRPr="00DA2287">
        <w:t>enforcement</w:t>
      </w:r>
      <w:r w:rsidR="003D640C">
        <w:t xml:space="preserve"> </w:t>
      </w:r>
      <w:r w:rsidR="008B0FA9" w:rsidRPr="00DA2287">
        <w:t>of</w:t>
      </w:r>
      <w:r w:rsidR="003D640C">
        <w:t xml:space="preserve"> </w:t>
      </w:r>
      <w:r w:rsidR="008B0FA9" w:rsidRPr="00DA2287">
        <w:t>heterosexual</w:t>
      </w:r>
      <w:r w:rsidR="003D640C">
        <w:t xml:space="preserve"> </w:t>
      </w:r>
      <w:r w:rsidR="008B0FA9" w:rsidRPr="00DA2287">
        <w:t>norms</w:t>
      </w:r>
      <w:r w:rsidR="003D640C">
        <w:t xml:space="preserve"> </w:t>
      </w:r>
      <w:r w:rsidR="008B0FA9" w:rsidRPr="00DA2287">
        <w:t>that</w:t>
      </w:r>
      <w:r w:rsidR="003D640C">
        <w:t xml:space="preserve"> </w:t>
      </w:r>
      <w:r w:rsidRPr="00DA2287">
        <w:t>they</w:t>
      </w:r>
      <w:r w:rsidR="003D640C">
        <w:t xml:space="preserve"> </w:t>
      </w:r>
      <w:r w:rsidR="008B0FA9" w:rsidRPr="00DA2287">
        <w:t>believe</w:t>
      </w:r>
      <w:r w:rsidR="003D640C">
        <w:t xml:space="preserve"> </w:t>
      </w:r>
      <w:r w:rsidR="008B0FA9" w:rsidRPr="00DA2287">
        <w:t>are</w:t>
      </w:r>
      <w:r w:rsidR="003D640C">
        <w:t xml:space="preserve"> </w:t>
      </w:r>
      <w:r w:rsidR="008B0FA9" w:rsidRPr="00DA2287">
        <w:t>often</w:t>
      </w:r>
      <w:r w:rsidR="003D640C">
        <w:t xml:space="preserve"> </w:t>
      </w:r>
      <w:r w:rsidR="008B0FA9" w:rsidRPr="00DA2287">
        <w:t>presented</w:t>
      </w:r>
      <w:r w:rsidR="003D640C">
        <w:t xml:space="preserve"> </w:t>
      </w:r>
      <w:r w:rsidR="008B0FA9" w:rsidRPr="00DA2287">
        <w:t>as</w:t>
      </w:r>
      <w:r w:rsidR="003D640C">
        <w:t xml:space="preserve"> </w:t>
      </w:r>
      <w:r w:rsidR="008B0FA9" w:rsidRPr="00DA2287">
        <w:t>‘traditional’</w:t>
      </w:r>
      <w:r w:rsidR="003D640C">
        <w:t xml:space="preserve"> </w:t>
      </w:r>
      <w:r w:rsidR="008B0FA9" w:rsidRPr="00DA2287">
        <w:t>or</w:t>
      </w:r>
      <w:r w:rsidR="003D640C">
        <w:t xml:space="preserve"> </w:t>
      </w:r>
      <w:r w:rsidR="008B0FA9" w:rsidRPr="00DA2287">
        <w:t>‘customary’</w:t>
      </w:r>
      <w:r w:rsidR="003D640C">
        <w:t xml:space="preserve"> </w:t>
      </w:r>
      <w:r w:rsidR="008B0FA9" w:rsidRPr="00DA2287">
        <w:t>by</w:t>
      </w:r>
      <w:r w:rsidR="003D640C">
        <w:t xml:space="preserve"> </w:t>
      </w:r>
      <w:r w:rsidR="008B0FA9" w:rsidRPr="00DA2287">
        <w:t>their</w:t>
      </w:r>
      <w:r w:rsidR="003D640C">
        <w:t xml:space="preserve"> </w:t>
      </w:r>
      <w:r w:rsidR="008B0FA9" w:rsidRPr="00DA2287">
        <w:t>ethnic</w:t>
      </w:r>
      <w:r w:rsidR="003D640C">
        <w:t xml:space="preserve"> </w:t>
      </w:r>
      <w:r w:rsidR="008B0FA9" w:rsidRPr="00DA2287">
        <w:t>communities</w:t>
      </w:r>
      <w:r w:rsidRPr="00DA2287">
        <w:t>.</w:t>
      </w:r>
      <w:r w:rsidR="003D640C">
        <w:t xml:space="preserve"> </w:t>
      </w:r>
      <w:r w:rsidR="008B0FA9" w:rsidRPr="00DA2287">
        <w:t>Instead,</w:t>
      </w:r>
      <w:r w:rsidR="003D640C">
        <w:t xml:space="preserve"> </w:t>
      </w:r>
      <w:r w:rsidR="008B0FA9" w:rsidRPr="00DA2287">
        <w:t>participants</w:t>
      </w:r>
      <w:r w:rsidR="003D640C">
        <w:t xml:space="preserve"> </w:t>
      </w:r>
      <w:r w:rsidR="008B0FA9" w:rsidRPr="00DA2287">
        <w:t>pointed</w:t>
      </w:r>
      <w:r w:rsidR="003D640C">
        <w:t xml:space="preserve"> </w:t>
      </w:r>
      <w:r w:rsidR="008B0FA9" w:rsidRPr="00DA2287">
        <w:t>out</w:t>
      </w:r>
      <w:r w:rsidR="003D640C">
        <w:t xml:space="preserve"> </w:t>
      </w:r>
      <w:r w:rsidR="008B0FA9" w:rsidRPr="00DA2287">
        <w:t>that</w:t>
      </w:r>
      <w:r w:rsidR="003D640C">
        <w:t xml:space="preserve"> </w:t>
      </w:r>
      <w:r w:rsidR="008B0FA9" w:rsidRPr="00DA2287">
        <w:t>ancestors</w:t>
      </w:r>
      <w:r w:rsidR="003D640C">
        <w:t xml:space="preserve"> </w:t>
      </w:r>
      <w:r w:rsidR="008B0FA9" w:rsidRPr="00DA2287">
        <w:t>within</w:t>
      </w:r>
      <w:r w:rsidR="003D640C">
        <w:t xml:space="preserve"> </w:t>
      </w:r>
      <w:r w:rsidR="008B0FA9" w:rsidRPr="00DA2287">
        <w:t>ethnic</w:t>
      </w:r>
      <w:r w:rsidR="003D640C">
        <w:t xml:space="preserve"> </w:t>
      </w:r>
      <w:r w:rsidR="008B0FA9" w:rsidRPr="00DA2287">
        <w:t>communities</w:t>
      </w:r>
      <w:r w:rsidR="003D640C">
        <w:t xml:space="preserve"> </w:t>
      </w:r>
      <w:r w:rsidR="008B0FA9" w:rsidRPr="00DA2287">
        <w:t>often</w:t>
      </w:r>
      <w:r w:rsidR="003D640C">
        <w:t xml:space="preserve"> </w:t>
      </w:r>
      <w:r w:rsidR="008B0FA9" w:rsidRPr="00DA2287">
        <w:t>had</w:t>
      </w:r>
      <w:r w:rsidR="003D640C">
        <w:t xml:space="preserve"> </w:t>
      </w:r>
      <w:r w:rsidR="008B0FA9" w:rsidRPr="00DA2287">
        <w:t>varying</w:t>
      </w:r>
      <w:r w:rsidR="003D640C">
        <w:t xml:space="preserve"> </w:t>
      </w:r>
      <w:r w:rsidR="008B0FA9" w:rsidRPr="00DA2287">
        <w:t>sexual</w:t>
      </w:r>
      <w:r w:rsidR="003D640C">
        <w:t xml:space="preserve"> </w:t>
      </w:r>
      <w:r w:rsidR="008B0FA9" w:rsidRPr="00DA2287">
        <w:t>orientations</w:t>
      </w:r>
      <w:r w:rsidR="003D640C">
        <w:t xml:space="preserve"> </w:t>
      </w:r>
      <w:r w:rsidR="008B0FA9" w:rsidRPr="00DA2287">
        <w:t>and</w:t>
      </w:r>
      <w:r w:rsidR="003D640C">
        <w:t xml:space="preserve"> </w:t>
      </w:r>
      <w:r w:rsidR="008B0FA9" w:rsidRPr="00DA2287">
        <w:t>gender</w:t>
      </w:r>
      <w:r w:rsidR="003D640C">
        <w:t xml:space="preserve"> </w:t>
      </w:r>
      <w:r w:rsidR="008B0FA9" w:rsidRPr="00DA2287">
        <w:t>identities</w:t>
      </w:r>
      <w:r w:rsidR="003D640C">
        <w:t xml:space="preserve"> </w:t>
      </w:r>
      <w:r w:rsidR="008B0FA9" w:rsidRPr="00DA2287">
        <w:t>and</w:t>
      </w:r>
      <w:r w:rsidR="003D640C">
        <w:t xml:space="preserve"> </w:t>
      </w:r>
      <w:r w:rsidR="008B0FA9" w:rsidRPr="00DA2287">
        <w:t>were</w:t>
      </w:r>
      <w:r w:rsidR="003D640C">
        <w:t xml:space="preserve"> </w:t>
      </w:r>
      <w:r w:rsidR="008B0FA9" w:rsidRPr="00DA2287">
        <w:t>celebrated</w:t>
      </w:r>
      <w:r w:rsidR="003D640C">
        <w:t xml:space="preserve"> </w:t>
      </w:r>
      <w:r w:rsidR="008B0FA9" w:rsidRPr="00DA2287">
        <w:t>for</w:t>
      </w:r>
      <w:r w:rsidR="003D640C">
        <w:t xml:space="preserve"> </w:t>
      </w:r>
      <w:r w:rsidR="008B0FA9" w:rsidRPr="00DA2287">
        <w:t>their</w:t>
      </w:r>
      <w:r w:rsidR="003D640C">
        <w:t xml:space="preserve"> </w:t>
      </w:r>
      <w:r w:rsidR="008B0FA9" w:rsidRPr="00DA2287">
        <w:t>diverse</w:t>
      </w:r>
      <w:r w:rsidR="003D640C">
        <w:t xml:space="preserve"> </w:t>
      </w:r>
      <w:r w:rsidR="008B0FA9" w:rsidRPr="00DA2287">
        <w:t>sex</w:t>
      </w:r>
      <w:r w:rsidR="003D640C">
        <w:t xml:space="preserve"> </w:t>
      </w:r>
      <w:r w:rsidR="008B0FA9" w:rsidRPr="00DA2287">
        <w:t>characteristics.</w:t>
      </w:r>
      <w:r w:rsidR="003D640C">
        <w:t xml:space="preserve"> </w:t>
      </w:r>
      <w:r w:rsidR="008B0FA9" w:rsidRPr="00DA2287">
        <w:t>Rainbow</w:t>
      </w:r>
      <w:r w:rsidR="003D640C">
        <w:t xml:space="preserve"> </w:t>
      </w:r>
      <w:r w:rsidR="008B0FA9" w:rsidRPr="00DA2287">
        <w:t>identities</w:t>
      </w:r>
      <w:r w:rsidR="003D640C">
        <w:t xml:space="preserve"> </w:t>
      </w:r>
      <w:r w:rsidR="008B0FA9" w:rsidRPr="00DA2287">
        <w:t>reaching</w:t>
      </w:r>
      <w:r w:rsidR="003D640C">
        <w:t xml:space="preserve"> </w:t>
      </w:r>
      <w:r w:rsidR="008B0FA9" w:rsidRPr="00DA2287">
        <w:t>beyond</w:t>
      </w:r>
      <w:r w:rsidR="003D640C">
        <w:t xml:space="preserve"> </w:t>
      </w:r>
      <w:r w:rsidR="008B0FA9" w:rsidRPr="00DA2287">
        <w:t>the</w:t>
      </w:r>
      <w:r w:rsidR="003D640C">
        <w:t xml:space="preserve"> </w:t>
      </w:r>
      <w:r w:rsidR="008B0FA9" w:rsidRPr="00DA2287">
        <w:t>Eurocentric</w:t>
      </w:r>
      <w:r w:rsidR="003D640C">
        <w:t xml:space="preserve"> </w:t>
      </w:r>
      <w:r w:rsidR="008B0FA9" w:rsidRPr="00DA2287">
        <w:t>acronym</w:t>
      </w:r>
      <w:r w:rsidR="003D640C">
        <w:t xml:space="preserve"> </w:t>
      </w:r>
      <w:r w:rsidR="008B0FA9" w:rsidRPr="00DA2287">
        <w:t>of</w:t>
      </w:r>
      <w:r w:rsidR="003D640C">
        <w:t xml:space="preserve"> </w:t>
      </w:r>
      <w:r w:rsidR="008B0FA9" w:rsidRPr="00DA2287">
        <w:t>LGBTQIA+</w:t>
      </w:r>
      <w:r w:rsidR="003D640C">
        <w:t xml:space="preserve"> </w:t>
      </w:r>
      <w:r w:rsidR="008B0FA9" w:rsidRPr="00DA2287">
        <w:t>were</w:t>
      </w:r>
      <w:r w:rsidR="003D640C">
        <w:t xml:space="preserve"> </w:t>
      </w:r>
      <w:r w:rsidR="008B0FA9" w:rsidRPr="00DA2287">
        <w:t>prevalent</w:t>
      </w:r>
      <w:r w:rsidR="003D640C">
        <w:t xml:space="preserve"> </w:t>
      </w:r>
      <w:r w:rsidR="008B0FA9" w:rsidRPr="00DA2287">
        <w:t>across</w:t>
      </w:r>
      <w:r w:rsidR="003D640C">
        <w:t xml:space="preserve"> </w:t>
      </w:r>
      <w:r w:rsidR="008B0FA9" w:rsidRPr="00DA2287">
        <w:t>South</w:t>
      </w:r>
      <w:r w:rsidR="003D640C">
        <w:t xml:space="preserve"> </w:t>
      </w:r>
      <w:r w:rsidR="008B0FA9" w:rsidRPr="00DA2287">
        <w:t>Asian</w:t>
      </w:r>
      <w:r w:rsidR="003D640C">
        <w:t xml:space="preserve"> </w:t>
      </w:r>
      <w:r w:rsidR="008B0FA9" w:rsidRPr="00DA2287">
        <w:t>regions.</w:t>
      </w:r>
      <w:r w:rsidR="003D640C">
        <w:t xml:space="preserve"> </w:t>
      </w:r>
      <w:r w:rsidR="008B0FA9" w:rsidRPr="00DA2287">
        <w:t>Examples</w:t>
      </w:r>
      <w:r w:rsidR="003D640C">
        <w:t xml:space="preserve"> </w:t>
      </w:r>
      <w:r w:rsidR="008B0FA9" w:rsidRPr="00DA2287">
        <w:t>of</w:t>
      </w:r>
      <w:r w:rsidR="003D640C">
        <w:t xml:space="preserve"> </w:t>
      </w:r>
      <w:r w:rsidR="008B0FA9" w:rsidRPr="00DA2287">
        <w:t>these</w:t>
      </w:r>
      <w:r w:rsidR="003D640C">
        <w:t xml:space="preserve"> </w:t>
      </w:r>
      <w:r w:rsidR="008B0FA9" w:rsidRPr="00DA2287">
        <w:t>identities</w:t>
      </w:r>
      <w:r w:rsidR="003D640C">
        <w:t xml:space="preserve"> </w:t>
      </w:r>
      <w:r w:rsidR="008B0FA9" w:rsidRPr="00DA2287">
        <w:t>included</w:t>
      </w:r>
      <w:r w:rsidR="003D640C">
        <w:t xml:space="preserve"> </w:t>
      </w:r>
      <w:r w:rsidR="008B0FA9" w:rsidRPr="00DA2287">
        <w:t>Hijra</w:t>
      </w:r>
      <w:r w:rsidR="003D640C">
        <w:t xml:space="preserve"> </w:t>
      </w:r>
      <w:r w:rsidR="008B0FA9" w:rsidRPr="00DA2287">
        <w:t>(a</w:t>
      </w:r>
      <w:r w:rsidR="003D640C">
        <w:t xml:space="preserve"> </w:t>
      </w:r>
      <w:r w:rsidR="008B0FA9" w:rsidRPr="00DA2287">
        <w:t>thriving</w:t>
      </w:r>
      <w:r w:rsidR="003D640C">
        <w:t xml:space="preserve"> </w:t>
      </w:r>
      <w:r w:rsidR="008B0FA9" w:rsidRPr="00DA2287">
        <w:t>‘third</w:t>
      </w:r>
      <w:r w:rsidR="003D640C">
        <w:t xml:space="preserve"> </w:t>
      </w:r>
      <w:r w:rsidR="008B0FA9" w:rsidRPr="00DA2287">
        <w:t>gender’),</w:t>
      </w:r>
      <w:r w:rsidR="003D640C">
        <w:t xml:space="preserve"> </w:t>
      </w:r>
      <w:r w:rsidR="008B0FA9" w:rsidRPr="00DA2287">
        <w:t>Aravani,</w:t>
      </w:r>
      <w:r w:rsidR="003D640C">
        <w:t xml:space="preserve"> </w:t>
      </w:r>
      <w:r w:rsidR="008B0FA9" w:rsidRPr="00DA2287">
        <w:t>Thirunangaigal,</w:t>
      </w:r>
      <w:r w:rsidR="003D640C">
        <w:t xml:space="preserve"> </w:t>
      </w:r>
      <w:r w:rsidR="008B0FA9" w:rsidRPr="00DA2287">
        <w:t>Khwajasara,</w:t>
      </w:r>
      <w:r w:rsidR="003D640C">
        <w:t xml:space="preserve"> </w:t>
      </w:r>
      <w:r w:rsidR="008B0FA9" w:rsidRPr="00DA2287">
        <w:t>Kothi,</w:t>
      </w:r>
      <w:r w:rsidR="003D640C">
        <w:t xml:space="preserve"> </w:t>
      </w:r>
      <w:r w:rsidR="008B0FA9" w:rsidRPr="00DA2287">
        <w:t>Thirunambigal,</w:t>
      </w:r>
      <w:r w:rsidR="003D640C">
        <w:t xml:space="preserve"> </w:t>
      </w:r>
      <w:r w:rsidR="008B0FA9" w:rsidRPr="00DA2287">
        <w:t>Jogappa,</w:t>
      </w:r>
      <w:r w:rsidR="003D640C">
        <w:t xml:space="preserve"> </w:t>
      </w:r>
      <w:r w:rsidR="008B0FA9" w:rsidRPr="00DA2287">
        <w:t>Jogatha,</w:t>
      </w:r>
      <w:r w:rsidR="003D640C">
        <w:t xml:space="preserve"> </w:t>
      </w:r>
      <w:r w:rsidR="008B0FA9" w:rsidRPr="00DA2287">
        <w:t>Nachchi</w:t>
      </w:r>
      <w:r w:rsidR="00003B25">
        <w:t>,</w:t>
      </w:r>
      <w:r w:rsidR="003D640C">
        <w:t xml:space="preserve"> </w:t>
      </w:r>
      <w:r w:rsidR="008B0FA9" w:rsidRPr="00DA2287">
        <w:t>and</w:t>
      </w:r>
      <w:r w:rsidR="003D640C">
        <w:t xml:space="preserve"> </w:t>
      </w:r>
      <w:r w:rsidR="008B0FA9" w:rsidRPr="00DA2287">
        <w:t>Shiva</w:t>
      </w:r>
      <w:r w:rsidR="003D640C">
        <w:t xml:space="preserve"> </w:t>
      </w:r>
      <w:r w:rsidR="008B0FA9" w:rsidRPr="00DA2287">
        <w:t>Shakti.</w:t>
      </w:r>
      <w:r w:rsidR="008B0FA9" w:rsidRPr="00DA2287">
        <w:rPr>
          <w:vertAlign w:val="superscript"/>
        </w:rPr>
        <w:footnoteReference w:id="224"/>
      </w:r>
      <w:r w:rsidR="003D640C">
        <w:t xml:space="preserve"> </w:t>
      </w:r>
      <w:r w:rsidR="008B0FA9" w:rsidRPr="00DA2287">
        <w:t>These</w:t>
      </w:r>
      <w:r w:rsidR="003D640C">
        <w:t xml:space="preserve"> </w:t>
      </w:r>
      <w:r w:rsidR="008B0FA9" w:rsidRPr="00DA2287">
        <w:t>identities</w:t>
      </w:r>
      <w:r w:rsidR="003D640C">
        <w:t xml:space="preserve"> </w:t>
      </w:r>
      <w:r w:rsidR="008B0FA9" w:rsidRPr="00DA2287">
        <w:t>present</w:t>
      </w:r>
      <w:r w:rsidR="003D640C">
        <w:t xml:space="preserve"> </w:t>
      </w:r>
      <w:r w:rsidR="008B0FA9" w:rsidRPr="00DA2287">
        <w:t>a</w:t>
      </w:r>
      <w:r w:rsidR="003D640C">
        <w:t xml:space="preserve"> </w:t>
      </w:r>
      <w:r w:rsidR="008B0FA9" w:rsidRPr="00DA2287">
        <w:t>diverse</w:t>
      </w:r>
      <w:r w:rsidR="003D640C">
        <w:t xml:space="preserve"> </w:t>
      </w:r>
      <w:r w:rsidR="008B0FA9" w:rsidRPr="00DA2287">
        <w:t>understanding</w:t>
      </w:r>
      <w:r w:rsidR="003D640C">
        <w:t xml:space="preserve"> </w:t>
      </w:r>
      <w:r w:rsidR="008B0FA9" w:rsidRPr="00DA2287">
        <w:t>of</w:t>
      </w:r>
      <w:r w:rsidR="003D640C">
        <w:t xml:space="preserve"> </w:t>
      </w:r>
      <w:r w:rsidR="008B0FA9" w:rsidRPr="00DA2287">
        <w:t>gender</w:t>
      </w:r>
      <w:r w:rsidR="003D640C">
        <w:t xml:space="preserve"> </w:t>
      </w:r>
      <w:r w:rsidR="008B0FA9" w:rsidRPr="00DA2287">
        <w:t>and</w:t>
      </w:r>
      <w:r w:rsidR="003D640C">
        <w:t xml:space="preserve"> </w:t>
      </w:r>
      <w:r w:rsidR="008B0FA9" w:rsidRPr="00DA2287">
        <w:t>sexual</w:t>
      </w:r>
      <w:r w:rsidR="003D640C">
        <w:t xml:space="preserve"> </w:t>
      </w:r>
      <w:r w:rsidR="008B0FA9" w:rsidRPr="00DA2287">
        <w:t>orientation</w:t>
      </w:r>
      <w:r w:rsidR="003D640C">
        <w:t xml:space="preserve"> </w:t>
      </w:r>
      <w:r w:rsidR="008B0FA9" w:rsidRPr="00DA2287">
        <w:t>that</w:t>
      </w:r>
      <w:r w:rsidR="003D640C">
        <w:t xml:space="preserve"> </w:t>
      </w:r>
      <w:r w:rsidR="008B0FA9" w:rsidRPr="00DA2287">
        <w:t>pre</w:t>
      </w:r>
      <w:r w:rsidR="00003B25">
        <w:t>-</w:t>
      </w:r>
      <w:r w:rsidR="008B0FA9" w:rsidRPr="00DA2287">
        <w:t>date</w:t>
      </w:r>
      <w:r w:rsidR="003D640C">
        <w:t xml:space="preserve"> </w:t>
      </w:r>
      <w:r w:rsidRPr="00DA2287">
        <w:t>colonisation</w:t>
      </w:r>
      <w:r w:rsidR="003D640C">
        <w:t xml:space="preserve"> </w:t>
      </w:r>
      <w:r w:rsidRPr="00DA2287">
        <w:t>and</w:t>
      </w:r>
      <w:r w:rsidR="003D640C">
        <w:t xml:space="preserve"> </w:t>
      </w:r>
      <w:r w:rsidRPr="00DA2287">
        <w:t>the</w:t>
      </w:r>
      <w:r w:rsidR="003D640C">
        <w:t xml:space="preserve"> </w:t>
      </w:r>
      <w:r w:rsidRPr="00DA2287">
        <w:t>establishment</w:t>
      </w:r>
      <w:r w:rsidR="003D640C">
        <w:t xml:space="preserve"> </w:t>
      </w:r>
      <w:r w:rsidRPr="00DA2287">
        <w:t>of</w:t>
      </w:r>
      <w:r w:rsidR="003D640C">
        <w:t xml:space="preserve"> </w:t>
      </w:r>
      <w:r w:rsidR="008B0FA9" w:rsidRPr="00DA2287">
        <w:t>colonial</w:t>
      </w:r>
      <w:r w:rsidR="003D640C">
        <w:t xml:space="preserve"> </w:t>
      </w:r>
      <w:r w:rsidR="00EA535C" w:rsidRPr="00DA2287">
        <w:t>and</w:t>
      </w:r>
      <w:r w:rsidR="003D640C">
        <w:t xml:space="preserve"> </w:t>
      </w:r>
      <w:r w:rsidR="00EA535C" w:rsidRPr="00DA2287">
        <w:t>faith-based</w:t>
      </w:r>
      <w:r w:rsidR="003D640C">
        <w:t xml:space="preserve"> </w:t>
      </w:r>
      <w:r w:rsidR="008B0FA9" w:rsidRPr="00DA2287">
        <w:t>norms.</w:t>
      </w:r>
      <w:r w:rsidR="003D640C">
        <w:t xml:space="preserve"> </w:t>
      </w:r>
    </w:p>
    <w:p w14:paraId="623E9B10" w14:textId="18070F56" w:rsidR="00BE6295" w:rsidRPr="00DA2287" w:rsidRDefault="00BE6295" w:rsidP="00323E57">
      <w:pPr>
        <w:rPr>
          <w:rFonts w:ascii="Calibri" w:eastAsia="Calibri" w:hAnsi="Calibri" w:cs="Calibri"/>
          <w:color w:val="000000" w:themeColor="text1"/>
        </w:rPr>
      </w:pPr>
      <w:r w:rsidRPr="00DA2287">
        <w:rPr>
          <w:rFonts w:ascii="Calibri" w:eastAsia="Calibri" w:hAnsi="Calibri" w:cs="Calibri"/>
          <w:color w:val="000000" w:themeColor="text1"/>
          <w:lang w:val="en-US"/>
        </w:rPr>
        <w:t>There</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are</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Sinhalese</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words</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to</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give</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voice</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to</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the</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make-up</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of</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our</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ethnic</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communities</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in</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Aotearoa</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New</w:t>
      </w:r>
      <w:r w:rsidR="003D640C">
        <w:rPr>
          <w:rFonts w:ascii="Calibri" w:eastAsia="Calibri" w:hAnsi="Calibri" w:cs="Calibri"/>
          <w:color w:val="000000" w:themeColor="text1"/>
          <w:lang w:val="en-US"/>
        </w:rPr>
        <w:t xml:space="preserve"> </w:t>
      </w:r>
      <w:r w:rsidRPr="00DA2287">
        <w:rPr>
          <w:rFonts w:ascii="Calibri" w:eastAsia="Calibri" w:hAnsi="Calibri" w:cs="Calibri"/>
          <w:color w:val="000000" w:themeColor="text1"/>
          <w:lang w:val="en-US"/>
        </w:rPr>
        <w:t>Zealand</w:t>
      </w:r>
      <w:r w:rsidRPr="00DA2287" w:rsidDel="00E31AF7">
        <w:rPr>
          <w:rFonts w:ascii="Calibri" w:eastAsia="Calibri" w:hAnsi="Calibri" w:cs="Calibri"/>
          <w:color w:val="000000" w:themeColor="text1"/>
          <w:lang w:val="en-US"/>
        </w:rPr>
        <w:t>.</w:t>
      </w:r>
    </w:p>
    <w:p w14:paraId="3424A864" w14:textId="55E91A4F" w:rsidR="00BE6295" w:rsidRPr="00DA2287" w:rsidRDefault="00E31AF7" w:rsidP="00323E57">
      <w:pPr>
        <w:pStyle w:val="Bullet"/>
      </w:pPr>
      <w:r>
        <w:rPr>
          <w:rFonts w:ascii="Calibri" w:eastAsia="Calibri" w:hAnsi="Calibri" w:cs="Calibri"/>
          <w:color w:val="000000" w:themeColor="text1"/>
          <w:lang w:val="en-US"/>
        </w:rPr>
        <w:t>W</w:t>
      </w:r>
      <w:r w:rsidR="00BE6295" w:rsidRPr="00DA2287">
        <w:rPr>
          <w:lang w:val="en-US"/>
        </w:rPr>
        <w:t>hānau</w:t>
      </w:r>
      <w:r w:rsidR="003D640C">
        <w:rPr>
          <w:lang w:val="en-US"/>
        </w:rPr>
        <w:t xml:space="preserve"> </w:t>
      </w:r>
      <w:r w:rsidR="00003B25">
        <w:rPr>
          <w:lang w:val="en-US"/>
        </w:rPr>
        <w:t>–</w:t>
      </w:r>
      <w:r w:rsidR="003D640C">
        <w:rPr>
          <w:lang w:val="en-US"/>
        </w:rPr>
        <w:t xml:space="preserve"> </w:t>
      </w:r>
      <w:r w:rsidR="009322F3">
        <w:rPr>
          <w:lang w:val="en-US"/>
        </w:rPr>
        <w:t>f</w:t>
      </w:r>
      <w:r w:rsidR="00BE6295" w:rsidRPr="00DA2287">
        <w:rPr>
          <w:lang w:val="en-US"/>
        </w:rPr>
        <w:t>amily</w:t>
      </w:r>
      <w:r w:rsidR="003D640C">
        <w:rPr>
          <w:lang w:val="en-US"/>
        </w:rPr>
        <w:t xml:space="preserve"> </w:t>
      </w:r>
      <w:r w:rsidR="00003B25">
        <w:rPr>
          <w:lang w:val="en-US"/>
        </w:rPr>
        <w:t>–</w:t>
      </w:r>
      <w:r w:rsidR="003D640C">
        <w:rPr>
          <w:lang w:val="en-US"/>
        </w:rPr>
        <w:t xml:space="preserve"> </w:t>
      </w:r>
      <w:r w:rsidR="00BE6295" w:rsidRPr="00DA2287">
        <w:rPr>
          <w:rFonts w:ascii="Nirmala UI" w:hAnsi="Nirmala UI" w:cs="Nirmala UI"/>
          <w:cs/>
          <w:lang w:val="en-GB" w:bidi="si-LK"/>
        </w:rPr>
        <w:t>පවුල්</w:t>
      </w:r>
      <w:r w:rsidR="003D640C">
        <w:rPr>
          <w:lang w:val="en-US"/>
        </w:rPr>
        <w:t xml:space="preserve"> </w:t>
      </w:r>
      <w:r w:rsidR="00BE6295" w:rsidRPr="00DA2287">
        <w:rPr>
          <w:lang w:val="en-US"/>
        </w:rPr>
        <w:t>(Pavula)</w:t>
      </w:r>
      <w:r>
        <w:rPr>
          <w:lang w:val="en-US"/>
        </w:rPr>
        <w:t>.</w:t>
      </w:r>
    </w:p>
    <w:p w14:paraId="7D5CDFF6" w14:textId="6AA3265B" w:rsidR="00BE6295" w:rsidRPr="00DA2287" w:rsidRDefault="00BE6295" w:rsidP="00323E57">
      <w:pPr>
        <w:pStyle w:val="Bullet"/>
      </w:pPr>
      <w:r w:rsidRPr="00DA2287">
        <w:rPr>
          <w:lang w:val="en-US"/>
        </w:rPr>
        <w:t>Aotearoa</w:t>
      </w:r>
      <w:r w:rsidR="003D640C">
        <w:rPr>
          <w:lang w:val="en-US"/>
        </w:rPr>
        <w:t xml:space="preserve"> </w:t>
      </w:r>
      <w:r w:rsidRPr="00DA2287">
        <w:rPr>
          <w:lang w:val="en-US"/>
        </w:rPr>
        <w:t>New</w:t>
      </w:r>
      <w:r w:rsidR="003D640C">
        <w:rPr>
          <w:lang w:val="en-US"/>
        </w:rPr>
        <w:t xml:space="preserve"> </w:t>
      </w:r>
      <w:r w:rsidRPr="00DA2287">
        <w:rPr>
          <w:lang w:val="en-US"/>
        </w:rPr>
        <w:t>Zealand</w:t>
      </w:r>
      <w:r w:rsidR="003D640C">
        <w:rPr>
          <w:lang w:val="en-US"/>
        </w:rPr>
        <w:t xml:space="preserve"> </w:t>
      </w:r>
      <w:r w:rsidR="00E31AF7">
        <w:rPr>
          <w:lang w:val="en-US"/>
        </w:rPr>
        <w:t>–</w:t>
      </w:r>
      <w:r w:rsidR="003D640C">
        <w:rPr>
          <w:lang w:val="en-US"/>
        </w:rPr>
        <w:t xml:space="preserve"> </w:t>
      </w:r>
      <w:r w:rsidRPr="00DA2287">
        <w:rPr>
          <w:rFonts w:ascii="Nirmala UI" w:hAnsi="Nirmala UI" w:cs="Nirmala UI"/>
          <w:cs/>
          <w:lang w:val="en-US" w:bidi="si-LK"/>
        </w:rPr>
        <w:t>නවසීලන්තය</w:t>
      </w:r>
      <w:r w:rsidR="003D640C">
        <w:rPr>
          <w:lang w:val="en-US"/>
        </w:rPr>
        <w:t xml:space="preserve"> </w:t>
      </w:r>
      <w:r w:rsidRPr="00DA2287">
        <w:rPr>
          <w:lang w:val="en-US"/>
        </w:rPr>
        <w:t>(Navasīlantaya)</w:t>
      </w:r>
      <w:r w:rsidR="00E31AF7">
        <w:rPr>
          <w:lang w:val="en-US"/>
        </w:rPr>
        <w:t>.</w:t>
      </w:r>
    </w:p>
    <w:p w14:paraId="6F08E630" w14:textId="764AB2A2" w:rsidR="00BE6295" w:rsidRPr="00DA2287" w:rsidRDefault="00E31AF7" w:rsidP="00323E57">
      <w:pPr>
        <w:pStyle w:val="Bullet"/>
      </w:pPr>
      <w:r>
        <w:rPr>
          <w:lang w:val="en-US"/>
        </w:rPr>
        <w:t>K</w:t>
      </w:r>
      <w:r w:rsidR="00BE6295" w:rsidRPr="00DA2287">
        <w:rPr>
          <w:lang w:val="en-US"/>
        </w:rPr>
        <w:t>aupapa</w:t>
      </w:r>
      <w:r w:rsidR="003D640C">
        <w:rPr>
          <w:lang w:val="en-US"/>
        </w:rPr>
        <w:t xml:space="preserve"> </w:t>
      </w:r>
      <w:r>
        <w:rPr>
          <w:lang w:val="en-US"/>
        </w:rPr>
        <w:t>–</w:t>
      </w:r>
      <w:r w:rsidR="003D640C">
        <w:rPr>
          <w:lang w:val="en-US"/>
        </w:rPr>
        <w:t xml:space="preserve"> </w:t>
      </w:r>
      <w:r w:rsidR="00BE6295" w:rsidRPr="00DA2287">
        <w:rPr>
          <w:lang w:val="en-US"/>
        </w:rPr>
        <w:t>topic,</w:t>
      </w:r>
      <w:r w:rsidR="003D640C">
        <w:rPr>
          <w:lang w:val="en-US"/>
        </w:rPr>
        <w:t xml:space="preserve"> </w:t>
      </w:r>
      <w:r w:rsidR="00BE6295" w:rsidRPr="00DA2287">
        <w:rPr>
          <w:lang w:val="en-US"/>
        </w:rPr>
        <w:t>matter</w:t>
      </w:r>
      <w:r w:rsidR="003D640C">
        <w:rPr>
          <w:lang w:val="en-US"/>
        </w:rPr>
        <w:t xml:space="preserve"> </w:t>
      </w:r>
      <w:r w:rsidR="00BE6295" w:rsidRPr="00DA2287">
        <w:rPr>
          <w:lang w:val="en-US"/>
        </w:rPr>
        <w:t>of</w:t>
      </w:r>
      <w:r w:rsidR="003D640C">
        <w:rPr>
          <w:lang w:val="en-US"/>
        </w:rPr>
        <w:t xml:space="preserve"> </w:t>
      </w:r>
      <w:r w:rsidR="00BE6295" w:rsidRPr="00DA2287">
        <w:rPr>
          <w:lang w:val="en-US"/>
        </w:rPr>
        <w:t>discussion</w:t>
      </w:r>
      <w:r w:rsidR="003D640C">
        <w:rPr>
          <w:lang w:val="en-US"/>
        </w:rPr>
        <w:t xml:space="preserve"> </w:t>
      </w:r>
      <w:r>
        <w:rPr>
          <w:lang w:val="en-US"/>
        </w:rPr>
        <w:t>–</w:t>
      </w:r>
      <w:r w:rsidR="003D640C">
        <w:rPr>
          <w:lang w:val="en-US"/>
        </w:rPr>
        <w:t xml:space="preserve"> </w:t>
      </w:r>
      <w:r w:rsidR="00BE6295" w:rsidRPr="00DA2287">
        <w:rPr>
          <w:rFonts w:ascii="Nirmala UI" w:hAnsi="Nirmala UI" w:cs="Nirmala UI"/>
          <w:cs/>
          <w:lang w:val="en-US" w:bidi="si-LK"/>
        </w:rPr>
        <w:t>අරමුණ</w:t>
      </w:r>
      <w:r w:rsidR="003D640C">
        <w:rPr>
          <w:lang w:val="en-US"/>
        </w:rPr>
        <w:t xml:space="preserve"> </w:t>
      </w:r>
      <w:r w:rsidR="00BE6295" w:rsidRPr="00DA2287">
        <w:rPr>
          <w:lang w:val="en-US"/>
        </w:rPr>
        <w:t>(Aramuna)</w:t>
      </w:r>
      <w:r>
        <w:rPr>
          <w:lang w:val="en-US"/>
        </w:rPr>
        <w:t>.</w:t>
      </w:r>
    </w:p>
    <w:p w14:paraId="4AC0B744" w14:textId="7EEF195B" w:rsidR="00501068" w:rsidRDefault="00E31AF7" w:rsidP="00323E57">
      <w:pPr>
        <w:pStyle w:val="Bullet"/>
      </w:pPr>
      <w:r>
        <w:rPr>
          <w:lang w:val="en-US"/>
        </w:rPr>
        <w:t>W</w:t>
      </w:r>
      <w:r w:rsidR="00BE6295" w:rsidRPr="00DA2287">
        <w:rPr>
          <w:lang w:val="en-US"/>
        </w:rPr>
        <w:t>henua</w:t>
      </w:r>
      <w:r w:rsidR="003D640C">
        <w:rPr>
          <w:lang w:val="en-US"/>
        </w:rPr>
        <w:t xml:space="preserve"> </w:t>
      </w:r>
      <w:r>
        <w:rPr>
          <w:lang w:val="en-US"/>
        </w:rPr>
        <w:t>–</w:t>
      </w:r>
      <w:r w:rsidR="003D640C">
        <w:rPr>
          <w:lang w:val="en-US"/>
        </w:rPr>
        <w:t xml:space="preserve"> </w:t>
      </w:r>
      <w:r w:rsidR="00BE6295" w:rsidRPr="00DA2287">
        <w:rPr>
          <w:lang w:val="en-US"/>
        </w:rPr>
        <w:t>land,</w:t>
      </w:r>
      <w:r w:rsidR="003D640C">
        <w:rPr>
          <w:lang w:val="en-US"/>
        </w:rPr>
        <w:t xml:space="preserve"> </w:t>
      </w:r>
      <w:r w:rsidR="00BE6295" w:rsidRPr="00DA2287">
        <w:rPr>
          <w:lang w:val="en-US"/>
        </w:rPr>
        <w:t>nation,</w:t>
      </w:r>
      <w:r w:rsidR="003D640C">
        <w:rPr>
          <w:lang w:val="en-US"/>
        </w:rPr>
        <w:t xml:space="preserve"> </w:t>
      </w:r>
      <w:r w:rsidR="00BE6295" w:rsidRPr="00DA2287">
        <w:rPr>
          <w:lang w:val="en-US"/>
        </w:rPr>
        <w:t>state</w:t>
      </w:r>
      <w:r w:rsidR="003D640C">
        <w:rPr>
          <w:lang w:val="en-US"/>
        </w:rPr>
        <w:t xml:space="preserve"> </w:t>
      </w:r>
      <w:r>
        <w:rPr>
          <w:lang w:val="en-US"/>
        </w:rPr>
        <w:t>–</w:t>
      </w:r>
      <w:r w:rsidR="003D640C">
        <w:rPr>
          <w:lang w:val="en-US"/>
        </w:rPr>
        <w:t xml:space="preserve"> </w:t>
      </w:r>
      <w:r w:rsidR="00BE6295" w:rsidRPr="00DA2287">
        <w:rPr>
          <w:rFonts w:ascii="Nirmala UI" w:hAnsi="Nirmala UI" w:cs="Nirmala UI"/>
          <w:cs/>
          <w:lang w:val="en-GB" w:bidi="si-LK"/>
        </w:rPr>
        <w:t>භූමිය</w:t>
      </w:r>
      <w:r w:rsidR="003D640C">
        <w:rPr>
          <w:lang w:val="en-US"/>
        </w:rPr>
        <w:t xml:space="preserve"> </w:t>
      </w:r>
      <w:r w:rsidR="00BE6295" w:rsidRPr="00DA2287">
        <w:rPr>
          <w:lang w:val="en-US"/>
        </w:rPr>
        <w:t>(Bhūmiya)</w:t>
      </w:r>
      <w:r>
        <w:rPr>
          <w:lang w:val="en-US"/>
        </w:rPr>
        <w:t>.</w:t>
      </w:r>
    </w:p>
    <w:p w14:paraId="788C459D" w14:textId="5B29B445" w:rsidR="008B0FA9" w:rsidRPr="00DA2287" w:rsidRDefault="008B0FA9" w:rsidP="00323E57">
      <w:pPr>
        <w:rPr>
          <w:rFonts w:cstheme="minorHAnsi"/>
        </w:rPr>
      </w:pPr>
      <w:r w:rsidRPr="00DA2287">
        <w:rPr>
          <w:rFonts w:cstheme="minorHAnsi"/>
        </w:rPr>
        <w:t>P</w:t>
      </w:r>
      <w:r w:rsidR="00AA5016">
        <w:rPr>
          <w:rFonts w:cstheme="minorHAnsi"/>
        </w:rPr>
        <w:t>eople</w:t>
      </w:r>
      <w:r w:rsidR="003D640C">
        <w:rPr>
          <w:rFonts w:cstheme="minorHAnsi"/>
        </w:rPr>
        <w:t xml:space="preserve"> </w:t>
      </w:r>
      <w:r w:rsidR="00AA5016">
        <w:rPr>
          <w:rFonts w:cstheme="minorHAnsi"/>
        </w:rPr>
        <w:t>we</w:t>
      </w:r>
      <w:r w:rsidR="003D640C">
        <w:rPr>
          <w:rFonts w:cstheme="minorHAnsi"/>
        </w:rPr>
        <w:t xml:space="preserve"> </w:t>
      </w:r>
      <w:r w:rsidR="00AA5016">
        <w:rPr>
          <w:rFonts w:cstheme="minorHAnsi"/>
        </w:rPr>
        <w:t>engaged</w:t>
      </w:r>
      <w:r w:rsidR="003D640C">
        <w:rPr>
          <w:rFonts w:cstheme="minorHAnsi"/>
        </w:rPr>
        <w:t xml:space="preserve"> </w:t>
      </w:r>
      <w:r w:rsidR="00AA5016">
        <w:rPr>
          <w:rFonts w:cstheme="minorHAnsi"/>
        </w:rPr>
        <w:t>with</w:t>
      </w:r>
      <w:r w:rsidR="003D640C">
        <w:rPr>
          <w:rFonts w:cstheme="minorHAnsi"/>
        </w:rPr>
        <w:t xml:space="preserve"> </w:t>
      </w:r>
      <w:r w:rsidRPr="00DA2287">
        <w:rPr>
          <w:rFonts w:cstheme="minorHAnsi"/>
        </w:rPr>
        <w:t>discussed</w:t>
      </w:r>
      <w:r w:rsidR="003D640C">
        <w:rPr>
          <w:rFonts w:cstheme="minorHAnsi"/>
        </w:rPr>
        <w:t xml:space="preserve"> </w:t>
      </w:r>
      <w:r w:rsidR="00662C17" w:rsidRPr="00DA2287">
        <w:rPr>
          <w:rFonts w:cstheme="minorHAnsi"/>
        </w:rPr>
        <w:t>the</w:t>
      </w:r>
      <w:r w:rsidR="003D640C">
        <w:rPr>
          <w:rFonts w:cstheme="minorHAnsi"/>
        </w:rPr>
        <w:t xml:space="preserve"> </w:t>
      </w:r>
      <w:r w:rsidR="00662C17" w:rsidRPr="00DA2287">
        <w:rPr>
          <w:rFonts w:cstheme="minorHAnsi"/>
        </w:rPr>
        <w:t>ways</w:t>
      </w:r>
      <w:r w:rsidR="003D640C">
        <w:rPr>
          <w:rFonts w:cstheme="minorHAnsi"/>
        </w:rPr>
        <w:t xml:space="preserve"> </w:t>
      </w:r>
      <w:r w:rsidR="00662C17" w:rsidRPr="00DA2287">
        <w:rPr>
          <w:rFonts w:cstheme="minorHAnsi"/>
        </w:rPr>
        <w:t>in</w:t>
      </w:r>
      <w:r w:rsidR="003D640C">
        <w:rPr>
          <w:rFonts w:cstheme="minorHAnsi"/>
        </w:rPr>
        <w:t xml:space="preserve"> </w:t>
      </w:r>
      <w:r w:rsidR="00662C17" w:rsidRPr="00DA2287">
        <w:rPr>
          <w:rFonts w:cstheme="minorHAnsi"/>
        </w:rPr>
        <w:t>which</w:t>
      </w:r>
      <w:r w:rsidR="003D640C">
        <w:rPr>
          <w:rFonts w:cstheme="minorHAnsi"/>
        </w:rPr>
        <w:t xml:space="preserve"> </w:t>
      </w:r>
      <w:r w:rsidRPr="00DA2287">
        <w:rPr>
          <w:rFonts w:cstheme="minorHAnsi"/>
        </w:rPr>
        <w:t>colonisation</w:t>
      </w:r>
      <w:r w:rsidR="003D640C">
        <w:rPr>
          <w:rFonts w:cstheme="minorHAnsi"/>
        </w:rPr>
        <w:t xml:space="preserve"> </w:t>
      </w:r>
      <w:r w:rsidRPr="00DA2287">
        <w:rPr>
          <w:rFonts w:cstheme="minorHAnsi"/>
        </w:rPr>
        <w:t>has</w:t>
      </w:r>
      <w:r w:rsidR="003D640C">
        <w:rPr>
          <w:rFonts w:cstheme="minorHAnsi"/>
        </w:rPr>
        <w:t xml:space="preserve"> </w:t>
      </w:r>
      <w:r w:rsidRPr="00DA2287">
        <w:rPr>
          <w:rFonts w:cstheme="minorHAnsi"/>
        </w:rPr>
        <w:t>affected</w:t>
      </w:r>
      <w:r w:rsidR="003D640C">
        <w:rPr>
          <w:rFonts w:cstheme="minorHAnsi"/>
        </w:rPr>
        <w:t xml:space="preserve"> </w:t>
      </w:r>
      <w:r w:rsidRPr="00DA2287">
        <w:rPr>
          <w:rFonts w:cstheme="minorHAnsi"/>
        </w:rPr>
        <w:t>cultural</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religious</w:t>
      </w:r>
      <w:r w:rsidR="003D640C">
        <w:rPr>
          <w:rFonts w:cstheme="minorHAnsi"/>
        </w:rPr>
        <w:t xml:space="preserve"> </w:t>
      </w:r>
      <w:r w:rsidRPr="00DA2287">
        <w:rPr>
          <w:rFonts w:cstheme="minorHAnsi"/>
        </w:rPr>
        <w:t>beliefs</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doctrine.</w:t>
      </w:r>
      <w:r w:rsidR="003D640C">
        <w:rPr>
          <w:rFonts w:cstheme="minorHAnsi"/>
        </w:rPr>
        <w:t xml:space="preserve"> </w:t>
      </w:r>
      <w:r w:rsidRPr="00DA2287">
        <w:rPr>
          <w:rFonts w:cstheme="minorHAnsi"/>
        </w:rPr>
        <w:t>For</w:t>
      </w:r>
      <w:r w:rsidR="003D640C">
        <w:rPr>
          <w:rFonts w:cstheme="minorHAnsi"/>
        </w:rPr>
        <w:t xml:space="preserve"> </w:t>
      </w:r>
      <w:r w:rsidRPr="00DA2287">
        <w:rPr>
          <w:rFonts w:cstheme="minorHAnsi"/>
        </w:rPr>
        <w:t>ethnic</w:t>
      </w:r>
      <w:r w:rsidR="003D640C">
        <w:rPr>
          <w:rFonts w:cstheme="minorHAnsi"/>
        </w:rPr>
        <w:t xml:space="preserve"> </w:t>
      </w:r>
      <w:r w:rsidR="00662C17" w:rsidRPr="00DA2287">
        <w:rPr>
          <w:rFonts w:cstheme="minorHAnsi"/>
        </w:rPr>
        <w:t>R</w:t>
      </w:r>
      <w:r w:rsidRPr="00DA2287">
        <w:rPr>
          <w:rFonts w:cstheme="minorHAnsi"/>
        </w:rPr>
        <w:t>ainbow</w:t>
      </w:r>
      <w:r w:rsidR="003D640C">
        <w:rPr>
          <w:rFonts w:cstheme="minorHAnsi"/>
        </w:rPr>
        <w:t xml:space="preserve"> </w:t>
      </w:r>
      <w:r w:rsidRPr="00DA2287">
        <w:rPr>
          <w:rFonts w:cstheme="minorHAnsi"/>
        </w:rPr>
        <w:t>people</w:t>
      </w:r>
      <w:r w:rsidR="00E31AF7">
        <w:rPr>
          <w:rFonts w:cstheme="minorHAnsi"/>
        </w:rPr>
        <w:t>,</w:t>
      </w:r>
      <w:r w:rsidR="003D640C">
        <w:rPr>
          <w:rFonts w:cstheme="minorHAnsi"/>
        </w:rPr>
        <w:t xml:space="preserve"> </w:t>
      </w:r>
      <w:r w:rsidRPr="00DA2287">
        <w:rPr>
          <w:rFonts w:cstheme="minorHAnsi"/>
        </w:rPr>
        <w:t>this</w:t>
      </w:r>
      <w:r w:rsidR="003D640C">
        <w:rPr>
          <w:rFonts w:cstheme="minorHAnsi"/>
        </w:rPr>
        <w:t xml:space="preserve"> </w:t>
      </w:r>
      <w:r w:rsidRPr="00DA2287">
        <w:rPr>
          <w:rFonts w:cstheme="minorHAnsi"/>
        </w:rPr>
        <w:t>is</w:t>
      </w:r>
      <w:r w:rsidR="003D640C">
        <w:rPr>
          <w:rFonts w:cstheme="minorHAnsi"/>
        </w:rPr>
        <w:t xml:space="preserve"> </w:t>
      </w:r>
      <w:r w:rsidRPr="00DA2287">
        <w:rPr>
          <w:rFonts w:cstheme="minorHAnsi"/>
        </w:rPr>
        <w:t>evident</w:t>
      </w:r>
      <w:r w:rsidR="003D640C">
        <w:rPr>
          <w:rFonts w:cstheme="minorHAnsi"/>
        </w:rPr>
        <w:t xml:space="preserve"> </w:t>
      </w:r>
      <w:r w:rsidRPr="00DA2287">
        <w:rPr>
          <w:rFonts w:cstheme="minorHAnsi"/>
        </w:rPr>
        <w:t>in</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evolution</w:t>
      </w:r>
      <w:r w:rsidR="003D640C">
        <w:rPr>
          <w:rFonts w:cstheme="minorHAnsi"/>
        </w:rPr>
        <w:t xml:space="preserve"> </w:t>
      </w:r>
      <w:r w:rsidRPr="00DA2287">
        <w:rPr>
          <w:rFonts w:cstheme="minorHAnsi"/>
        </w:rPr>
        <w:t>of</w:t>
      </w:r>
      <w:r w:rsidR="003D640C">
        <w:rPr>
          <w:rFonts w:cstheme="minorHAnsi"/>
        </w:rPr>
        <w:t xml:space="preserve"> </w:t>
      </w:r>
      <w:r w:rsidRPr="00DA2287">
        <w:rPr>
          <w:rFonts w:cstheme="minorHAnsi"/>
        </w:rPr>
        <w:t>anti-queer</w:t>
      </w:r>
      <w:r w:rsidR="003D640C">
        <w:rPr>
          <w:rFonts w:cstheme="minorHAnsi"/>
        </w:rPr>
        <w:t xml:space="preserve"> </w:t>
      </w:r>
      <w:r w:rsidRPr="00DA2287">
        <w:rPr>
          <w:rFonts w:cstheme="minorHAnsi"/>
        </w:rPr>
        <w:t>rhetoric</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behaviours.</w:t>
      </w:r>
      <w:r w:rsidR="003D640C">
        <w:rPr>
          <w:rFonts w:cstheme="minorHAnsi"/>
        </w:rPr>
        <w:t xml:space="preserve"> </w:t>
      </w:r>
      <w:r w:rsidRPr="00DA2287">
        <w:rPr>
          <w:rFonts w:cstheme="minorHAnsi"/>
        </w:rPr>
        <w:t>For</w:t>
      </w:r>
      <w:r w:rsidR="003D640C">
        <w:rPr>
          <w:rFonts w:cstheme="minorHAnsi"/>
        </w:rPr>
        <w:t xml:space="preserve"> </w:t>
      </w:r>
      <w:r w:rsidRPr="00DA2287">
        <w:rPr>
          <w:rFonts w:cstheme="minorHAnsi"/>
        </w:rPr>
        <w:t>example,</w:t>
      </w:r>
      <w:r w:rsidR="003D640C">
        <w:t xml:space="preserve"> </w:t>
      </w:r>
      <w:r w:rsidRPr="00DA2287">
        <w:t>a</w:t>
      </w:r>
      <w:r w:rsidR="003D640C">
        <w:t xml:space="preserve"> </w:t>
      </w:r>
      <w:r w:rsidRPr="00DA2287">
        <w:t>Fijian</w:t>
      </w:r>
      <w:r w:rsidR="00E750F9">
        <w:t xml:space="preserve"> </w:t>
      </w:r>
      <w:r w:rsidRPr="00DA2287">
        <w:t>Indian</w:t>
      </w:r>
      <w:r w:rsidR="003D640C">
        <w:t xml:space="preserve"> </w:t>
      </w:r>
      <w:r w:rsidRPr="00DA2287">
        <w:t>queer</w:t>
      </w:r>
      <w:r w:rsidR="003D640C">
        <w:t xml:space="preserve"> </w:t>
      </w:r>
      <w:r w:rsidRPr="00DA2287">
        <w:t>participant</w:t>
      </w:r>
      <w:r w:rsidR="003D640C">
        <w:t xml:space="preserve"> </w:t>
      </w:r>
      <w:r w:rsidRPr="00DA2287">
        <w:t>spoke</w:t>
      </w:r>
      <w:r w:rsidR="003D640C">
        <w:t xml:space="preserve"> </w:t>
      </w:r>
      <w:r w:rsidRPr="00DA2287">
        <w:t>of</w:t>
      </w:r>
      <w:r w:rsidR="003D640C">
        <w:t xml:space="preserve"> </w:t>
      </w:r>
      <w:r w:rsidRPr="00DA2287">
        <w:t>the</w:t>
      </w:r>
      <w:r w:rsidR="003D640C">
        <w:t xml:space="preserve"> </w:t>
      </w:r>
      <w:r w:rsidRPr="00DA2287">
        <w:t>ancient</w:t>
      </w:r>
      <w:r w:rsidR="003D640C">
        <w:t xml:space="preserve"> </w:t>
      </w:r>
      <w:r w:rsidRPr="00DA2287">
        <w:t>Hindu</w:t>
      </w:r>
      <w:r w:rsidR="003D640C">
        <w:t xml:space="preserve"> </w:t>
      </w:r>
      <w:r w:rsidRPr="00DA2287">
        <w:t>tradition</w:t>
      </w:r>
      <w:r w:rsidR="003D640C">
        <w:t xml:space="preserve"> </w:t>
      </w:r>
      <w:r w:rsidR="00662C17" w:rsidRPr="00DA2287">
        <w:t>of</w:t>
      </w:r>
      <w:r w:rsidR="003D640C">
        <w:t xml:space="preserve"> </w:t>
      </w:r>
      <w:r w:rsidRPr="00DA2287">
        <w:t>invit</w:t>
      </w:r>
      <w:r w:rsidR="00662C17" w:rsidRPr="00DA2287">
        <w:t>ing</w:t>
      </w:r>
      <w:r w:rsidR="003D640C">
        <w:t xml:space="preserve"> </w:t>
      </w:r>
      <w:r w:rsidRPr="00DA2287">
        <w:t>transgender</w:t>
      </w:r>
      <w:r w:rsidR="003D640C">
        <w:t xml:space="preserve"> </w:t>
      </w:r>
      <w:r w:rsidRPr="00DA2287">
        <w:t>members</w:t>
      </w:r>
      <w:r w:rsidR="003D640C">
        <w:t xml:space="preserve"> </w:t>
      </w:r>
      <w:r w:rsidRPr="00DA2287">
        <w:t>of</w:t>
      </w:r>
      <w:r w:rsidR="003D640C">
        <w:t xml:space="preserve"> </w:t>
      </w:r>
      <w:r w:rsidR="00662C17" w:rsidRPr="00DA2287">
        <w:t>a</w:t>
      </w:r>
      <w:r w:rsidR="003D640C">
        <w:t xml:space="preserve"> </w:t>
      </w:r>
      <w:r w:rsidRPr="00DA2287">
        <w:t>community</w:t>
      </w:r>
      <w:r w:rsidR="003D640C">
        <w:t xml:space="preserve"> </w:t>
      </w:r>
      <w:r w:rsidRPr="00DA2287">
        <w:t>to</w:t>
      </w:r>
      <w:r w:rsidR="003D640C">
        <w:t xml:space="preserve"> </w:t>
      </w:r>
      <w:r w:rsidRPr="00DA2287">
        <w:t>bless</w:t>
      </w:r>
      <w:r w:rsidR="003D640C">
        <w:t xml:space="preserve"> </w:t>
      </w:r>
      <w:r w:rsidR="00662C17" w:rsidRPr="00DA2287">
        <w:t>a</w:t>
      </w:r>
      <w:r w:rsidR="003D640C">
        <w:t xml:space="preserve"> </w:t>
      </w:r>
      <w:r w:rsidRPr="00DA2287">
        <w:t>newborn.</w:t>
      </w:r>
      <w:r w:rsidR="003D640C">
        <w:t xml:space="preserve"> </w:t>
      </w:r>
      <w:r w:rsidRPr="00DA2287">
        <w:t>Despite</w:t>
      </w:r>
      <w:r w:rsidR="003D640C">
        <w:t xml:space="preserve"> </w:t>
      </w:r>
      <w:r w:rsidRPr="00DA2287">
        <w:t>these</w:t>
      </w:r>
      <w:r w:rsidR="003D640C">
        <w:t xml:space="preserve"> </w:t>
      </w:r>
      <w:r w:rsidRPr="00DA2287">
        <w:t>traditional</w:t>
      </w:r>
      <w:r w:rsidR="003D640C">
        <w:t xml:space="preserve"> </w:t>
      </w:r>
      <w:r w:rsidRPr="00DA2287">
        <w:t>religious</w:t>
      </w:r>
      <w:r w:rsidR="003D640C">
        <w:t xml:space="preserve"> </w:t>
      </w:r>
      <w:r w:rsidRPr="00DA2287">
        <w:t>duties,</w:t>
      </w:r>
      <w:r w:rsidR="003D640C">
        <w:t xml:space="preserve"> </w:t>
      </w:r>
      <w:r w:rsidRPr="00DA2287">
        <w:t>this</w:t>
      </w:r>
      <w:r w:rsidR="003D640C">
        <w:t xml:space="preserve"> </w:t>
      </w:r>
      <w:r w:rsidRPr="00DA2287">
        <w:t>participant</w:t>
      </w:r>
      <w:r w:rsidR="003D640C">
        <w:t xml:space="preserve"> </w:t>
      </w:r>
      <w:r w:rsidRPr="00DA2287">
        <w:t>believed</w:t>
      </w:r>
      <w:r w:rsidR="003D640C">
        <w:t xml:space="preserve"> </w:t>
      </w:r>
      <w:r w:rsidRPr="00DA2287">
        <w:t>that</w:t>
      </w:r>
      <w:r w:rsidR="003D640C">
        <w:t xml:space="preserve"> </w:t>
      </w:r>
      <w:r w:rsidRPr="00DA2287">
        <w:t>transgender</w:t>
      </w:r>
      <w:r w:rsidR="003D640C">
        <w:t xml:space="preserve"> </w:t>
      </w:r>
      <w:r w:rsidRPr="00DA2287">
        <w:t>people</w:t>
      </w:r>
      <w:r w:rsidR="003D640C">
        <w:t xml:space="preserve"> </w:t>
      </w:r>
      <w:r w:rsidRPr="00DA2287">
        <w:t>are</w:t>
      </w:r>
      <w:r w:rsidR="003D640C">
        <w:t xml:space="preserve"> </w:t>
      </w:r>
      <w:r w:rsidRPr="00DA2287">
        <w:t>now</w:t>
      </w:r>
      <w:r w:rsidR="003D640C">
        <w:t xml:space="preserve"> </w:t>
      </w:r>
      <w:r w:rsidRPr="00DA2287">
        <w:t>regarded</w:t>
      </w:r>
      <w:r w:rsidR="003D640C">
        <w:t xml:space="preserve"> </w:t>
      </w:r>
      <w:r w:rsidRPr="00DA2287">
        <w:t>as</w:t>
      </w:r>
      <w:r w:rsidR="003D640C">
        <w:t xml:space="preserve"> </w:t>
      </w:r>
      <w:r w:rsidRPr="00DA2287">
        <w:t>‘other’</w:t>
      </w:r>
      <w:r w:rsidR="003D640C">
        <w:t xml:space="preserve"> </w:t>
      </w:r>
      <w:r w:rsidRPr="00DA2287">
        <w:t>to</w:t>
      </w:r>
      <w:r w:rsidR="003D640C">
        <w:t xml:space="preserve"> </w:t>
      </w:r>
      <w:r w:rsidRPr="00DA2287">
        <w:t>the</w:t>
      </w:r>
      <w:r w:rsidR="003D640C">
        <w:t xml:space="preserve"> </w:t>
      </w:r>
      <w:r w:rsidRPr="00DA2287">
        <w:t>wider</w:t>
      </w:r>
      <w:r w:rsidR="003D640C">
        <w:t xml:space="preserve"> </w:t>
      </w:r>
      <w:r w:rsidRPr="00DA2287">
        <w:t>community</w:t>
      </w:r>
      <w:r w:rsidR="003D640C">
        <w:t xml:space="preserve"> </w:t>
      </w:r>
      <w:r w:rsidRPr="00DA2287">
        <w:t>and</w:t>
      </w:r>
      <w:r w:rsidR="003D640C">
        <w:t xml:space="preserve"> </w:t>
      </w:r>
      <w:r w:rsidRPr="00DA2287">
        <w:t>described</w:t>
      </w:r>
      <w:r w:rsidR="003D640C">
        <w:t xml:space="preserve"> </w:t>
      </w:r>
      <w:r w:rsidRPr="00DA2287">
        <w:t>the</w:t>
      </w:r>
      <w:r w:rsidR="003D640C">
        <w:t xml:space="preserve"> </w:t>
      </w:r>
      <w:r w:rsidRPr="00DA2287">
        <w:t>acceptance</w:t>
      </w:r>
      <w:r w:rsidR="003D640C">
        <w:t xml:space="preserve"> </w:t>
      </w:r>
      <w:r w:rsidRPr="00DA2287">
        <w:t>and</w:t>
      </w:r>
      <w:r w:rsidR="003D640C">
        <w:t xml:space="preserve"> </w:t>
      </w:r>
      <w:r w:rsidRPr="00DA2287">
        <w:t>inclusion</w:t>
      </w:r>
      <w:r w:rsidR="003D640C">
        <w:t xml:space="preserve"> </w:t>
      </w:r>
      <w:r w:rsidRPr="00DA2287">
        <w:t>of</w:t>
      </w:r>
      <w:r w:rsidR="003D640C">
        <w:t xml:space="preserve"> </w:t>
      </w:r>
      <w:r w:rsidRPr="00DA2287">
        <w:t>the</w:t>
      </w:r>
      <w:r w:rsidR="003D640C">
        <w:t xml:space="preserve"> </w:t>
      </w:r>
      <w:r w:rsidR="00662C17" w:rsidRPr="00DA2287">
        <w:t>R</w:t>
      </w:r>
      <w:r w:rsidRPr="00DA2287">
        <w:t>ainbow</w:t>
      </w:r>
      <w:r w:rsidR="003D640C">
        <w:t xml:space="preserve"> </w:t>
      </w:r>
      <w:r w:rsidRPr="00DA2287">
        <w:t>community</w:t>
      </w:r>
      <w:r w:rsidR="003D640C">
        <w:t xml:space="preserve"> </w:t>
      </w:r>
      <w:r w:rsidRPr="00DA2287">
        <w:t>within</w:t>
      </w:r>
      <w:r w:rsidR="003D640C">
        <w:t xml:space="preserve"> </w:t>
      </w:r>
      <w:r w:rsidRPr="00DA2287">
        <w:t>Hinduism</w:t>
      </w:r>
      <w:r w:rsidR="003D640C">
        <w:t xml:space="preserve"> </w:t>
      </w:r>
      <w:r w:rsidRPr="00DA2287">
        <w:t>as</w:t>
      </w:r>
      <w:r w:rsidR="003D640C">
        <w:t xml:space="preserve"> </w:t>
      </w:r>
      <w:r w:rsidRPr="00DA2287">
        <w:t>having</w:t>
      </w:r>
      <w:r w:rsidR="003D640C">
        <w:t xml:space="preserve"> </w:t>
      </w:r>
      <w:r w:rsidRPr="00DA2287">
        <w:t>disappeared.</w:t>
      </w:r>
      <w:r w:rsidR="003D640C">
        <w:t xml:space="preserve"> </w:t>
      </w:r>
      <w:r w:rsidRPr="00DA2287">
        <w:t>This</w:t>
      </w:r>
      <w:r w:rsidR="003D640C">
        <w:t xml:space="preserve"> </w:t>
      </w:r>
      <w:r w:rsidRPr="00DA2287">
        <w:t>person</w:t>
      </w:r>
      <w:r w:rsidR="003D640C">
        <w:t xml:space="preserve"> </w:t>
      </w:r>
      <w:r w:rsidR="00662C17" w:rsidRPr="00DA2287">
        <w:t>said</w:t>
      </w:r>
      <w:r w:rsidR="003D640C">
        <w:t xml:space="preserve"> </w:t>
      </w:r>
      <w:r w:rsidR="00662C17" w:rsidRPr="00DA2287">
        <w:t>they</w:t>
      </w:r>
      <w:r w:rsidR="003D640C">
        <w:t xml:space="preserve"> </w:t>
      </w:r>
      <w:r w:rsidR="00662C17" w:rsidRPr="00DA2287">
        <w:t>lived</w:t>
      </w:r>
      <w:r w:rsidR="003D640C">
        <w:t xml:space="preserve"> </w:t>
      </w:r>
      <w:r w:rsidRPr="00DA2287">
        <w:t>separate</w:t>
      </w:r>
      <w:r w:rsidR="00662C17" w:rsidRPr="00DA2287">
        <w:t>ly</w:t>
      </w:r>
      <w:r w:rsidR="003D640C">
        <w:t xml:space="preserve"> </w:t>
      </w:r>
      <w:r w:rsidRPr="00DA2287">
        <w:t>from</w:t>
      </w:r>
      <w:r w:rsidR="003D640C">
        <w:t xml:space="preserve"> </w:t>
      </w:r>
      <w:r w:rsidRPr="00DA2287">
        <w:t>the</w:t>
      </w:r>
      <w:r w:rsidR="003D640C">
        <w:t xml:space="preserve"> </w:t>
      </w:r>
      <w:r w:rsidRPr="00DA2287">
        <w:t>Hindu</w:t>
      </w:r>
      <w:r w:rsidR="003D640C">
        <w:t xml:space="preserve"> </w:t>
      </w:r>
      <w:r w:rsidRPr="00DA2287">
        <w:t>community</w:t>
      </w:r>
      <w:r w:rsidR="003D640C">
        <w:t xml:space="preserve"> </w:t>
      </w:r>
      <w:r w:rsidR="00662C17" w:rsidRPr="00DA2287">
        <w:t>because</w:t>
      </w:r>
      <w:r w:rsidR="003D640C">
        <w:t xml:space="preserve"> </w:t>
      </w:r>
      <w:r w:rsidR="00662C17" w:rsidRPr="00DA2287">
        <w:t>of</w:t>
      </w:r>
      <w:r w:rsidR="003D640C">
        <w:t xml:space="preserve"> </w:t>
      </w:r>
      <w:r w:rsidRPr="00DA2287">
        <w:t>this</w:t>
      </w:r>
      <w:r w:rsidR="003D640C">
        <w:t xml:space="preserve"> </w:t>
      </w:r>
      <w:r w:rsidRPr="00DA2287">
        <w:t>experience.</w:t>
      </w:r>
    </w:p>
    <w:p w14:paraId="38579458" w14:textId="1C419BB5" w:rsidR="008B0FA9" w:rsidRPr="00DA2287" w:rsidRDefault="008B0FA9" w:rsidP="00323E57">
      <w:pPr>
        <w:rPr>
          <w:rFonts w:cstheme="minorHAnsi"/>
        </w:rPr>
      </w:pPr>
      <w:r w:rsidRPr="00DA2287">
        <w:rPr>
          <w:rFonts w:cstheme="minorHAnsi"/>
        </w:rPr>
        <w:t>The</w:t>
      </w:r>
      <w:r w:rsidR="003D640C">
        <w:rPr>
          <w:rFonts w:cstheme="minorHAnsi"/>
        </w:rPr>
        <w:t xml:space="preserve"> </w:t>
      </w:r>
      <w:r w:rsidRPr="00DA2287">
        <w:rPr>
          <w:rFonts w:cstheme="minorHAnsi"/>
        </w:rPr>
        <w:t>following</w:t>
      </w:r>
      <w:r w:rsidR="003D640C">
        <w:rPr>
          <w:rFonts w:cstheme="minorHAnsi"/>
        </w:rPr>
        <w:t xml:space="preserve"> </w:t>
      </w:r>
      <w:r w:rsidRPr="00DA2287">
        <w:rPr>
          <w:rFonts w:cstheme="minorHAnsi"/>
        </w:rPr>
        <w:t>quotes</w:t>
      </w:r>
      <w:r w:rsidR="003D640C">
        <w:rPr>
          <w:rFonts w:cstheme="minorHAnsi"/>
        </w:rPr>
        <w:t xml:space="preserve"> </w:t>
      </w:r>
      <w:r w:rsidRPr="00DA2287">
        <w:rPr>
          <w:rFonts w:cstheme="minorHAnsi"/>
        </w:rPr>
        <w:t>capture</w:t>
      </w:r>
      <w:r w:rsidR="003D640C">
        <w:rPr>
          <w:rFonts w:cstheme="minorHAnsi"/>
        </w:rPr>
        <w:t xml:space="preserve"> </w:t>
      </w:r>
      <w:r w:rsidRPr="00DA2287">
        <w:rPr>
          <w:rFonts w:cstheme="minorHAnsi"/>
        </w:rPr>
        <w:t>the</w:t>
      </w:r>
      <w:r w:rsidR="003D640C">
        <w:rPr>
          <w:rFonts w:cstheme="minorHAnsi"/>
        </w:rPr>
        <w:t xml:space="preserve"> </w:t>
      </w:r>
      <w:r w:rsidRPr="00DA2287">
        <w:rPr>
          <w:rFonts w:cstheme="minorHAnsi"/>
        </w:rPr>
        <w:t>reflections</w:t>
      </w:r>
      <w:r w:rsidR="003D640C">
        <w:rPr>
          <w:rFonts w:cstheme="minorHAnsi"/>
        </w:rPr>
        <w:t xml:space="preserve"> </w:t>
      </w:r>
      <w:r w:rsidRPr="00DA2287">
        <w:rPr>
          <w:rFonts w:cstheme="minorHAnsi"/>
        </w:rPr>
        <w:t>of</w:t>
      </w:r>
      <w:r w:rsidR="003D640C">
        <w:rPr>
          <w:rFonts w:cstheme="minorHAnsi"/>
        </w:rPr>
        <w:t xml:space="preserve"> </w:t>
      </w:r>
      <w:r w:rsidR="00586884" w:rsidRPr="00DA2287">
        <w:rPr>
          <w:rFonts w:cstheme="minorHAnsi"/>
        </w:rPr>
        <w:t>ethnic</w:t>
      </w:r>
      <w:r w:rsidR="00586884">
        <w:rPr>
          <w:rFonts w:cstheme="minorHAnsi"/>
        </w:rPr>
        <w:t xml:space="preserve"> </w:t>
      </w:r>
      <w:r w:rsidRPr="00DA2287">
        <w:rPr>
          <w:rFonts w:cstheme="minorHAnsi"/>
        </w:rPr>
        <w:t>Rainbow</w:t>
      </w:r>
      <w:r w:rsidR="003D640C">
        <w:rPr>
          <w:rFonts w:cstheme="minorHAnsi"/>
        </w:rPr>
        <w:t xml:space="preserve"> </w:t>
      </w:r>
      <w:r w:rsidRPr="00DA2287">
        <w:rPr>
          <w:rFonts w:cstheme="minorHAnsi"/>
        </w:rPr>
        <w:t>community</w:t>
      </w:r>
      <w:r w:rsidR="003D640C">
        <w:rPr>
          <w:rFonts w:cstheme="minorHAnsi"/>
        </w:rPr>
        <w:t xml:space="preserve"> </w:t>
      </w:r>
      <w:r w:rsidRPr="00DA2287">
        <w:rPr>
          <w:rFonts w:cstheme="minorHAnsi"/>
        </w:rPr>
        <w:t>members</w:t>
      </w:r>
      <w:r w:rsidR="003D640C">
        <w:rPr>
          <w:rFonts w:cstheme="minorHAnsi"/>
        </w:rPr>
        <w:t xml:space="preserve"> </w:t>
      </w:r>
      <w:r w:rsidRPr="00DA2287">
        <w:rPr>
          <w:rFonts w:cstheme="minorHAnsi"/>
        </w:rPr>
        <w:t>on</w:t>
      </w:r>
      <w:r w:rsidR="003D640C">
        <w:rPr>
          <w:rFonts w:cstheme="minorHAnsi"/>
        </w:rPr>
        <w:t xml:space="preserve"> </w:t>
      </w:r>
      <w:r w:rsidRPr="00DA2287">
        <w:rPr>
          <w:rFonts w:cstheme="minorHAnsi"/>
        </w:rPr>
        <w:t>how</w:t>
      </w:r>
      <w:r w:rsidR="003D640C">
        <w:rPr>
          <w:rFonts w:cstheme="minorHAnsi"/>
        </w:rPr>
        <w:t xml:space="preserve"> </w:t>
      </w:r>
      <w:r w:rsidRPr="00DA2287">
        <w:rPr>
          <w:rFonts w:cstheme="minorHAnsi"/>
        </w:rPr>
        <w:t>colonisation</w:t>
      </w:r>
      <w:r w:rsidR="003D640C">
        <w:rPr>
          <w:rFonts w:cstheme="minorHAnsi"/>
        </w:rPr>
        <w:t xml:space="preserve"> </w:t>
      </w:r>
      <w:r w:rsidRPr="00DA2287">
        <w:rPr>
          <w:rFonts w:cstheme="minorHAnsi"/>
        </w:rPr>
        <w:t>has</w:t>
      </w:r>
      <w:r w:rsidR="003D640C">
        <w:rPr>
          <w:rFonts w:cstheme="minorHAnsi"/>
        </w:rPr>
        <w:t xml:space="preserve"> </w:t>
      </w:r>
      <w:r w:rsidRPr="00DA2287">
        <w:rPr>
          <w:rFonts w:cstheme="minorHAnsi"/>
        </w:rPr>
        <w:t>impacted</w:t>
      </w:r>
      <w:r w:rsidR="003D640C">
        <w:rPr>
          <w:rFonts w:cstheme="minorHAnsi"/>
        </w:rPr>
        <w:t xml:space="preserve"> </w:t>
      </w:r>
      <w:r w:rsidRPr="00DA2287">
        <w:rPr>
          <w:rFonts w:cstheme="minorHAnsi"/>
        </w:rPr>
        <w:t>other</w:t>
      </w:r>
      <w:r w:rsidR="003D640C">
        <w:rPr>
          <w:rFonts w:cstheme="minorHAnsi"/>
        </w:rPr>
        <w:t xml:space="preserve"> </w:t>
      </w:r>
      <w:r w:rsidRPr="00DA2287">
        <w:rPr>
          <w:rFonts w:cstheme="minorHAnsi"/>
        </w:rPr>
        <w:t>communities</w:t>
      </w:r>
      <w:r w:rsidR="003D640C">
        <w:rPr>
          <w:rFonts w:cstheme="minorHAnsi"/>
        </w:rPr>
        <w:t xml:space="preserve"> </w:t>
      </w:r>
      <w:r w:rsidRPr="00DA2287">
        <w:rPr>
          <w:rFonts w:cstheme="minorHAnsi"/>
        </w:rPr>
        <w:t>practi</w:t>
      </w:r>
      <w:r w:rsidR="00B77E19">
        <w:rPr>
          <w:rFonts w:cstheme="minorHAnsi"/>
        </w:rPr>
        <w:t>s</w:t>
      </w:r>
      <w:r w:rsidRPr="00DA2287">
        <w:rPr>
          <w:rFonts w:cstheme="minorHAnsi"/>
        </w:rPr>
        <w:t>ing</w:t>
      </w:r>
      <w:r w:rsidR="003D640C">
        <w:rPr>
          <w:rFonts w:cstheme="minorHAnsi"/>
        </w:rPr>
        <w:t xml:space="preserve"> </w:t>
      </w:r>
      <w:r w:rsidRPr="00DA2287">
        <w:rPr>
          <w:rFonts w:cstheme="minorHAnsi"/>
        </w:rPr>
        <w:t>Hinduism,</w:t>
      </w:r>
      <w:r w:rsidR="003D640C">
        <w:rPr>
          <w:rFonts w:cstheme="minorHAnsi"/>
        </w:rPr>
        <w:t xml:space="preserve"> </w:t>
      </w:r>
      <w:r w:rsidRPr="00DA2287">
        <w:rPr>
          <w:rFonts w:cstheme="minorHAnsi"/>
        </w:rPr>
        <w:t>Sri</w:t>
      </w:r>
      <w:r w:rsidR="003D640C">
        <w:rPr>
          <w:rFonts w:cstheme="minorHAnsi"/>
        </w:rPr>
        <w:t xml:space="preserve"> </w:t>
      </w:r>
      <w:r w:rsidRPr="00DA2287">
        <w:rPr>
          <w:rFonts w:cstheme="minorHAnsi"/>
        </w:rPr>
        <w:t>Lankan</w:t>
      </w:r>
      <w:r w:rsidR="003D640C">
        <w:rPr>
          <w:rFonts w:cstheme="minorHAnsi"/>
        </w:rPr>
        <w:t xml:space="preserve"> </w:t>
      </w:r>
      <w:r w:rsidRPr="00DA2287">
        <w:rPr>
          <w:rFonts w:cstheme="minorHAnsi"/>
        </w:rPr>
        <w:t>Buddhism</w:t>
      </w:r>
      <w:r w:rsidR="00B77E19">
        <w:rPr>
          <w:rFonts w:cstheme="minorHAnsi"/>
        </w:rPr>
        <w:t>,</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Parsi</w:t>
      </w:r>
      <w:r w:rsidR="003D640C">
        <w:rPr>
          <w:rFonts w:cstheme="minorHAnsi"/>
        </w:rPr>
        <w:t xml:space="preserve"> </w:t>
      </w:r>
      <w:r w:rsidRPr="00DA2287">
        <w:rPr>
          <w:rFonts w:cstheme="minorHAnsi"/>
        </w:rPr>
        <w:t>Zoroastrianism</w:t>
      </w:r>
      <w:r w:rsidR="00B77E19">
        <w:rPr>
          <w:rFonts w:cstheme="minorHAnsi"/>
        </w:rPr>
        <w:t>.</w:t>
      </w:r>
    </w:p>
    <w:p w14:paraId="12E2B4A3" w14:textId="7F2A5D97" w:rsidR="008B0FA9" w:rsidRPr="00DA2287" w:rsidRDefault="008B0FA9" w:rsidP="00323E57">
      <w:pPr>
        <w:pStyle w:val="Quote"/>
      </w:pPr>
      <w:r w:rsidRPr="00DA2287">
        <w:t>“We</w:t>
      </w:r>
      <w:r w:rsidR="003D640C">
        <w:t xml:space="preserve"> </w:t>
      </w:r>
      <w:r w:rsidRPr="00DA2287">
        <w:t>carry</w:t>
      </w:r>
      <w:r w:rsidR="003D640C">
        <w:t xml:space="preserve"> </w:t>
      </w:r>
      <w:r w:rsidRPr="00DA2287">
        <w:t>this</w:t>
      </w:r>
      <w:r w:rsidR="003D640C">
        <w:t xml:space="preserve"> </w:t>
      </w:r>
      <w:r w:rsidRPr="00DA2287">
        <w:t>awareness</w:t>
      </w:r>
      <w:r w:rsidR="003D640C">
        <w:t xml:space="preserve"> </w:t>
      </w:r>
      <w:r w:rsidRPr="00DA2287">
        <w:t>that</w:t>
      </w:r>
      <w:r w:rsidR="003D640C">
        <w:t xml:space="preserve"> </w:t>
      </w:r>
      <w:r w:rsidRPr="00DA2287">
        <w:t>the</w:t>
      </w:r>
      <w:r w:rsidR="003D640C">
        <w:t xml:space="preserve"> </w:t>
      </w:r>
      <w:r w:rsidR="00E750F9">
        <w:t xml:space="preserve">Fijian Indian </w:t>
      </w:r>
      <w:r w:rsidRPr="00DA2287">
        <w:t>community</w:t>
      </w:r>
      <w:r w:rsidR="003D640C">
        <w:t xml:space="preserve"> </w:t>
      </w:r>
      <w:r w:rsidRPr="00DA2287">
        <w:t>has</w:t>
      </w:r>
      <w:r w:rsidR="003D640C">
        <w:t xml:space="preserve"> </w:t>
      </w:r>
      <w:r w:rsidRPr="00DA2287">
        <w:t>thousands</w:t>
      </w:r>
      <w:r w:rsidR="003D640C">
        <w:t xml:space="preserve"> </w:t>
      </w:r>
      <w:r w:rsidRPr="00DA2287">
        <w:t>of</w:t>
      </w:r>
      <w:r w:rsidR="003D640C">
        <w:t xml:space="preserve"> </w:t>
      </w:r>
      <w:r w:rsidRPr="00DA2287">
        <w:t>years</w:t>
      </w:r>
      <w:r w:rsidR="003D640C">
        <w:t xml:space="preserve"> </w:t>
      </w:r>
      <w:r w:rsidRPr="00DA2287">
        <w:t>of</w:t>
      </w:r>
      <w:r w:rsidR="003D640C">
        <w:t xml:space="preserve"> </w:t>
      </w:r>
      <w:r w:rsidRPr="00DA2287">
        <w:t>queer</w:t>
      </w:r>
      <w:r w:rsidR="003D640C">
        <w:t xml:space="preserve"> </w:t>
      </w:r>
      <w:r w:rsidRPr="00DA2287">
        <w:t>history</w:t>
      </w:r>
      <w:r w:rsidR="003D640C">
        <w:t xml:space="preserve"> </w:t>
      </w:r>
      <w:r w:rsidRPr="00DA2287">
        <w:t>that</w:t>
      </w:r>
      <w:r w:rsidR="003D640C">
        <w:t xml:space="preserve"> </w:t>
      </w:r>
      <w:r w:rsidRPr="00DA2287">
        <w:t>is</w:t>
      </w:r>
      <w:r w:rsidR="003D640C">
        <w:t xml:space="preserve"> </w:t>
      </w:r>
      <w:r w:rsidRPr="00DA2287">
        <w:t>…</w:t>
      </w:r>
      <w:r w:rsidR="003D640C">
        <w:t xml:space="preserve"> </w:t>
      </w:r>
      <w:r w:rsidRPr="00DA2287">
        <w:t>removed</w:t>
      </w:r>
      <w:r w:rsidR="003D640C">
        <w:t xml:space="preserve"> </w:t>
      </w:r>
      <w:r w:rsidRPr="00DA2287">
        <w:t>by</w:t>
      </w:r>
      <w:r w:rsidR="003D640C">
        <w:t xml:space="preserve"> </w:t>
      </w:r>
      <w:r w:rsidRPr="00DA2287">
        <w:t>a</w:t>
      </w:r>
      <w:r w:rsidR="003D640C">
        <w:t xml:space="preserve"> </w:t>
      </w:r>
      <w:r w:rsidRPr="00DA2287">
        <w:t>colonial</w:t>
      </w:r>
      <w:r w:rsidR="003D640C">
        <w:t xml:space="preserve"> </w:t>
      </w:r>
      <w:r w:rsidRPr="00DA2287">
        <w:t>system.”</w:t>
      </w:r>
      <w:r w:rsidR="003D640C">
        <w:t xml:space="preserve"> </w:t>
      </w:r>
      <w:r w:rsidRPr="00DA2287">
        <w:t>Fiji</w:t>
      </w:r>
      <w:r w:rsidR="00837E28">
        <w:t>an</w:t>
      </w:r>
      <w:r w:rsidR="003D640C">
        <w:t xml:space="preserve"> </w:t>
      </w:r>
      <w:r w:rsidRPr="00DA2287">
        <w:t>Indian,</w:t>
      </w:r>
      <w:r w:rsidR="003D640C">
        <w:t xml:space="preserve"> </w:t>
      </w:r>
      <w:r w:rsidRPr="00DA2287">
        <w:t>queer</w:t>
      </w:r>
      <w:r w:rsidR="003D640C">
        <w:t xml:space="preserve"> </w:t>
      </w:r>
    </w:p>
    <w:p w14:paraId="1E387B54" w14:textId="1BFF1FC2" w:rsidR="008B0FA9" w:rsidRPr="00DA2287" w:rsidRDefault="008B0FA9" w:rsidP="00323E57">
      <w:pPr>
        <w:pStyle w:val="Quote"/>
      </w:pPr>
      <w:r w:rsidRPr="00DA2287">
        <w:t>“Traditionally</w:t>
      </w:r>
      <w:r w:rsidR="003D640C">
        <w:t xml:space="preserve"> </w:t>
      </w:r>
      <w:r w:rsidRPr="00DA2287">
        <w:t>Buddhist</w:t>
      </w:r>
      <w:r w:rsidR="003D640C">
        <w:t xml:space="preserve"> </w:t>
      </w:r>
      <w:r w:rsidRPr="00DA2287">
        <w:t>teachings</w:t>
      </w:r>
      <w:r w:rsidR="003D640C">
        <w:t xml:space="preserve"> </w:t>
      </w:r>
      <w:r w:rsidRPr="00DA2287">
        <w:t>do</w:t>
      </w:r>
      <w:r w:rsidR="003D640C">
        <w:t xml:space="preserve"> </w:t>
      </w:r>
      <w:r w:rsidRPr="00DA2287">
        <w:t>not</w:t>
      </w:r>
      <w:r w:rsidR="003D640C">
        <w:t xml:space="preserve"> </w:t>
      </w:r>
      <w:r w:rsidRPr="00DA2287">
        <w:t>discriminate</w:t>
      </w:r>
      <w:r w:rsidR="003D640C">
        <w:t xml:space="preserve"> </w:t>
      </w:r>
      <w:r w:rsidRPr="00DA2287">
        <w:t>against</w:t>
      </w:r>
      <w:r w:rsidR="003D640C">
        <w:t xml:space="preserve"> </w:t>
      </w:r>
      <w:r w:rsidR="00CC0F07">
        <w:t>R</w:t>
      </w:r>
      <w:r w:rsidRPr="00DA2287">
        <w:t>ainbow</w:t>
      </w:r>
      <w:r w:rsidR="003D640C">
        <w:t xml:space="preserve"> </w:t>
      </w:r>
      <w:r w:rsidRPr="00DA2287">
        <w:t>people,</w:t>
      </w:r>
      <w:r w:rsidR="003D640C">
        <w:t xml:space="preserve"> </w:t>
      </w:r>
      <w:r w:rsidRPr="00DA2287">
        <w:t>it</w:t>
      </w:r>
      <w:r w:rsidR="003D640C">
        <w:t xml:space="preserve"> </w:t>
      </w:r>
      <w:r w:rsidRPr="00DA2287">
        <w:t>is</w:t>
      </w:r>
      <w:r w:rsidR="003D640C">
        <w:t xml:space="preserve"> </w:t>
      </w:r>
      <w:r w:rsidRPr="00DA2287">
        <w:t>the</w:t>
      </w:r>
      <w:r w:rsidR="003D640C">
        <w:t xml:space="preserve"> </w:t>
      </w:r>
      <w:r w:rsidRPr="00DA2287">
        <w:t>embedded</w:t>
      </w:r>
      <w:r w:rsidR="003D640C">
        <w:t xml:space="preserve"> </w:t>
      </w:r>
      <w:r w:rsidRPr="00DA2287">
        <w:t>post-colonial</w:t>
      </w:r>
      <w:r w:rsidR="003D640C">
        <w:t xml:space="preserve"> </w:t>
      </w:r>
      <w:r w:rsidRPr="00DA2287">
        <w:t>culture</w:t>
      </w:r>
      <w:r w:rsidR="003D640C">
        <w:t xml:space="preserve"> </w:t>
      </w:r>
      <w:r w:rsidRPr="00DA2287">
        <w:t>that</w:t>
      </w:r>
      <w:r w:rsidR="003D640C">
        <w:t xml:space="preserve"> </w:t>
      </w:r>
      <w:r w:rsidRPr="00DA2287">
        <w:t>transformed</w:t>
      </w:r>
      <w:r w:rsidR="003D640C">
        <w:t xml:space="preserve"> </w:t>
      </w:r>
      <w:r w:rsidRPr="00DA2287">
        <w:t>the</w:t>
      </w:r>
      <w:r w:rsidR="003D640C">
        <w:t xml:space="preserve"> </w:t>
      </w:r>
      <w:r w:rsidRPr="00DA2287">
        <w:t>thinking.”</w:t>
      </w:r>
      <w:r w:rsidR="003D640C">
        <w:t xml:space="preserve"> </w:t>
      </w:r>
      <w:r w:rsidRPr="00DA2287">
        <w:t>Sri</w:t>
      </w:r>
      <w:r w:rsidR="003D640C">
        <w:t xml:space="preserve"> </w:t>
      </w:r>
      <w:r w:rsidRPr="00DA2287">
        <w:t>Lankan,</w:t>
      </w:r>
      <w:r w:rsidR="003D640C">
        <w:t xml:space="preserve"> </w:t>
      </w:r>
      <w:r w:rsidRPr="00DA2287">
        <w:t>queer</w:t>
      </w:r>
    </w:p>
    <w:p w14:paraId="77DFFC23" w14:textId="50EF6BDB" w:rsidR="008B0FA9" w:rsidRPr="00DA2287" w:rsidRDefault="008B0FA9" w:rsidP="00323E57">
      <w:pPr>
        <w:pStyle w:val="Quote"/>
      </w:pPr>
      <w:r w:rsidRPr="00DA2287">
        <w:t>“This</w:t>
      </w:r>
      <w:r w:rsidR="003D640C">
        <w:t xml:space="preserve"> </w:t>
      </w:r>
      <w:r w:rsidRPr="00DA2287">
        <w:t>anti-</w:t>
      </w:r>
      <w:r w:rsidR="00CC0F07">
        <w:t>R</w:t>
      </w:r>
      <w:r w:rsidRPr="00DA2287">
        <w:t>ainbow</w:t>
      </w:r>
      <w:r w:rsidR="003D640C">
        <w:t xml:space="preserve"> </w:t>
      </w:r>
      <w:r w:rsidRPr="00DA2287">
        <w:t>attitude</w:t>
      </w:r>
      <w:r w:rsidR="003D640C">
        <w:t xml:space="preserve"> </w:t>
      </w:r>
      <w:r w:rsidRPr="00DA2287">
        <w:t>stems</w:t>
      </w:r>
      <w:r w:rsidR="003D640C">
        <w:t xml:space="preserve"> </w:t>
      </w:r>
      <w:r w:rsidRPr="00DA2287">
        <w:t>heavily</w:t>
      </w:r>
      <w:r w:rsidR="003D640C">
        <w:t xml:space="preserve"> </w:t>
      </w:r>
      <w:r w:rsidRPr="00DA2287">
        <w:t>from</w:t>
      </w:r>
      <w:r w:rsidR="003D640C">
        <w:t xml:space="preserve"> </w:t>
      </w:r>
      <w:r w:rsidRPr="00DA2287">
        <w:t>the</w:t>
      </w:r>
      <w:r w:rsidR="003D640C">
        <w:t xml:space="preserve"> </w:t>
      </w:r>
      <w:r w:rsidRPr="00DA2287">
        <w:t>consequences</w:t>
      </w:r>
      <w:r w:rsidR="003D640C">
        <w:t xml:space="preserve"> </w:t>
      </w:r>
      <w:r w:rsidRPr="00DA2287">
        <w:t>of</w:t>
      </w:r>
      <w:r w:rsidR="003D640C">
        <w:t xml:space="preserve"> </w:t>
      </w:r>
      <w:r w:rsidRPr="00DA2287">
        <w:t>colonial</w:t>
      </w:r>
      <w:r w:rsidR="003D640C">
        <w:t xml:space="preserve"> </w:t>
      </w:r>
      <w:r w:rsidRPr="00DA2287">
        <w:t>culture,</w:t>
      </w:r>
      <w:r w:rsidR="003D640C">
        <w:t xml:space="preserve"> </w:t>
      </w:r>
      <w:r w:rsidRPr="00DA2287">
        <w:t>as</w:t>
      </w:r>
      <w:r w:rsidR="003D640C">
        <w:t xml:space="preserve"> </w:t>
      </w:r>
      <w:r w:rsidRPr="00DA2287">
        <w:t>there</w:t>
      </w:r>
      <w:r w:rsidR="003D640C">
        <w:t xml:space="preserve"> </w:t>
      </w:r>
      <w:r w:rsidRPr="00DA2287">
        <w:t>is</w:t>
      </w:r>
      <w:r w:rsidR="003D640C">
        <w:t xml:space="preserve"> </w:t>
      </w:r>
      <w:r w:rsidRPr="00DA2287">
        <w:t>no</w:t>
      </w:r>
      <w:r w:rsidR="003D640C">
        <w:t xml:space="preserve"> </w:t>
      </w:r>
      <w:r w:rsidRPr="00DA2287">
        <w:t>explicit</w:t>
      </w:r>
      <w:r w:rsidR="003D640C">
        <w:t xml:space="preserve"> </w:t>
      </w:r>
      <w:r w:rsidRPr="00DA2287">
        <w:t>teaching</w:t>
      </w:r>
      <w:r w:rsidR="003D640C">
        <w:t xml:space="preserve"> </w:t>
      </w:r>
      <w:r w:rsidRPr="00DA2287">
        <w:t>against</w:t>
      </w:r>
      <w:r w:rsidR="003D640C">
        <w:t xml:space="preserve"> </w:t>
      </w:r>
      <w:r w:rsidRPr="00DA2287">
        <w:t>those</w:t>
      </w:r>
      <w:r w:rsidR="003D640C">
        <w:t xml:space="preserve"> </w:t>
      </w:r>
      <w:r w:rsidRPr="00DA2287">
        <w:t>who</w:t>
      </w:r>
      <w:r w:rsidR="003D640C">
        <w:t xml:space="preserve"> </w:t>
      </w:r>
      <w:r w:rsidRPr="00DA2287">
        <w:t>are</w:t>
      </w:r>
      <w:r w:rsidR="003D640C">
        <w:t xml:space="preserve"> </w:t>
      </w:r>
      <w:r w:rsidRPr="00DA2287">
        <w:t>sexually</w:t>
      </w:r>
      <w:r w:rsidR="003D640C">
        <w:t xml:space="preserve"> </w:t>
      </w:r>
      <w:r w:rsidRPr="00DA2287">
        <w:t>or</w:t>
      </w:r>
      <w:r w:rsidR="003D640C">
        <w:t xml:space="preserve"> </w:t>
      </w:r>
      <w:r w:rsidRPr="00DA2287">
        <w:t>gender</w:t>
      </w:r>
      <w:r w:rsidR="003D640C">
        <w:t xml:space="preserve"> </w:t>
      </w:r>
      <w:r w:rsidRPr="00DA2287">
        <w:t>diverse</w:t>
      </w:r>
      <w:r w:rsidR="003D640C">
        <w:t xml:space="preserve"> </w:t>
      </w:r>
      <w:r w:rsidRPr="00DA2287">
        <w:t>in</w:t>
      </w:r>
      <w:r w:rsidR="003D640C">
        <w:t xml:space="preserve"> </w:t>
      </w:r>
      <w:r w:rsidRPr="00DA2287">
        <w:t>Zoroastrian</w:t>
      </w:r>
      <w:r w:rsidR="003D640C">
        <w:t xml:space="preserve"> </w:t>
      </w:r>
      <w:r w:rsidRPr="00DA2287">
        <w:t>scripture/teachings.”</w:t>
      </w:r>
      <w:r w:rsidR="003D640C">
        <w:t xml:space="preserve"> </w:t>
      </w:r>
      <w:r w:rsidRPr="00DA2287">
        <w:t>Parsi</w:t>
      </w:r>
      <w:r w:rsidR="003D640C">
        <w:t xml:space="preserve"> </w:t>
      </w:r>
      <w:r w:rsidRPr="00DA2287">
        <w:t>migrant,</w:t>
      </w:r>
      <w:r w:rsidR="003D640C">
        <w:t xml:space="preserve"> </w:t>
      </w:r>
      <w:r w:rsidR="00856624">
        <w:t>not</w:t>
      </w:r>
      <w:r w:rsidR="003D640C">
        <w:t xml:space="preserve"> </w:t>
      </w:r>
      <w:r w:rsidR="00856624">
        <w:t>publicly</w:t>
      </w:r>
      <w:r w:rsidR="003D640C">
        <w:t xml:space="preserve"> </w:t>
      </w:r>
      <w:r w:rsidR="00856624">
        <w:t>out</w:t>
      </w:r>
    </w:p>
    <w:p w14:paraId="66D8B483" w14:textId="43534E99" w:rsidR="008B0FA9" w:rsidRPr="00DA2287" w:rsidRDefault="008B0FA9" w:rsidP="00323E57">
      <w:pPr>
        <w:pStyle w:val="Quote"/>
      </w:pPr>
      <w:r w:rsidRPr="00DA2287">
        <w:t>“People</w:t>
      </w:r>
      <w:r w:rsidR="003D640C">
        <w:t xml:space="preserve"> </w:t>
      </w:r>
      <w:r w:rsidRPr="00DA2287">
        <w:t>of</w:t>
      </w:r>
      <w:r w:rsidR="003D640C">
        <w:t xml:space="preserve"> </w:t>
      </w:r>
      <w:r w:rsidRPr="00DA2287">
        <w:t>South</w:t>
      </w:r>
      <w:r w:rsidR="003D640C">
        <w:t xml:space="preserve"> </w:t>
      </w:r>
      <w:r w:rsidRPr="00DA2287">
        <w:t>Asia</w:t>
      </w:r>
      <w:r w:rsidR="003D640C">
        <w:t xml:space="preserve"> </w:t>
      </w:r>
      <w:r w:rsidRPr="00DA2287">
        <w:t>are</w:t>
      </w:r>
      <w:r w:rsidR="003D640C">
        <w:t xml:space="preserve"> </w:t>
      </w:r>
      <w:r w:rsidRPr="00DA2287">
        <w:t>sadly</w:t>
      </w:r>
      <w:r w:rsidR="003D640C">
        <w:t xml:space="preserve"> </w:t>
      </w:r>
      <w:r w:rsidRPr="00DA2287">
        <w:t>losing</w:t>
      </w:r>
      <w:r w:rsidR="003D640C">
        <w:t xml:space="preserve"> </w:t>
      </w:r>
      <w:r w:rsidRPr="00DA2287">
        <w:t>[connection</w:t>
      </w:r>
      <w:r w:rsidR="003D640C">
        <w:t xml:space="preserve"> </w:t>
      </w:r>
      <w:r w:rsidRPr="00DA2287">
        <w:t>to</w:t>
      </w:r>
      <w:r w:rsidR="003D640C">
        <w:t xml:space="preserve"> </w:t>
      </w:r>
      <w:r w:rsidRPr="00DA2287">
        <w:t>pre-colonial</w:t>
      </w:r>
      <w:r w:rsidR="003D640C">
        <w:t xml:space="preserve"> </w:t>
      </w:r>
      <w:r w:rsidRPr="00DA2287">
        <w:t>traditions]</w:t>
      </w:r>
      <w:r w:rsidR="003D640C">
        <w:t xml:space="preserve"> </w:t>
      </w:r>
      <w:r w:rsidRPr="00DA2287">
        <w:t>and</w:t>
      </w:r>
      <w:r w:rsidR="003D640C">
        <w:t xml:space="preserve"> </w:t>
      </w:r>
      <w:r w:rsidRPr="00DA2287">
        <w:t>seem</w:t>
      </w:r>
      <w:r w:rsidR="003D640C">
        <w:t xml:space="preserve"> </w:t>
      </w:r>
      <w:r w:rsidRPr="00DA2287">
        <w:t>to</w:t>
      </w:r>
      <w:r w:rsidR="003D640C">
        <w:t xml:space="preserve"> </w:t>
      </w:r>
      <w:r w:rsidRPr="00DA2287">
        <w:t>believe</w:t>
      </w:r>
      <w:r w:rsidR="003D640C">
        <w:t xml:space="preserve"> </w:t>
      </w:r>
      <w:r w:rsidRPr="00DA2287">
        <w:t>the</w:t>
      </w:r>
      <w:r w:rsidR="003D640C">
        <w:t xml:space="preserve"> </w:t>
      </w:r>
      <w:r w:rsidRPr="00DA2287">
        <w:t>discriminatory</w:t>
      </w:r>
      <w:r w:rsidR="003D640C">
        <w:t xml:space="preserve"> </w:t>
      </w:r>
      <w:r w:rsidRPr="00DA2287">
        <w:t>laws</w:t>
      </w:r>
      <w:r w:rsidR="003D640C">
        <w:t xml:space="preserve"> </w:t>
      </w:r>
      <w:r w:rsidRPr="00DA2287">
        <w:t>that</w:t>
      </w:r>
      <w:r w:rsidR="003D640C">
        <w:t xml:space="preserve"> </w:t>
      </w:r>
      <w:r w:rsidRPr="00DA2287">
        <w:t>restrict</w:t>
      </w:r>
      <w:r w:rsidR="003D640C">
        <w:t xml:space="preserve"> </w:t>
      </w:r>
      <w:r w:rsidRPr="00DA2287">
        <w:t>minorities</w:t>
      </w:r>
      <w:r w:rsidR="003D640C">
        <w:t xml:space="preserve"> </w:t>
      </w:r>
      <w:r w:rsidRPr="00DA2287">
        <w:t>are</w:t>
      </w:r>
      <w:r w:rsidR="003D640C">
        <w:t xml:space="preserve"> </w:t>
      </w:r>
      <w:r w:rsidRPr="00DA2287">
        <w:t>inherently</w:t>
      </w:r>
      <w:r w:rsidR="003D640C">
        <w:t xml:space="preserve"> </w:t>
      </w:r>
      <w:r w:rsidRPr="00DA2287">
        <w:t>part</w:t>
      </w:r>
      <w:r w:rsidR="003D640C">
        <w:t xml:space="preserve"> </w:t>
      </w:r>
      <w:r w:rsidRPr="00DA2287">
        <w:t>of</w:t>
      </w:r>
      <w:r w:rsidR="003D640C">
        <w:t xml:space="preserve"> </w:t>
      </w:r>
      <w:r w:rsidRPr="00DA2287">
        <w:t>their</w:t>
      </w:r>
      <w:r w:rsidR="003D640C">
        <w:t xml:space="preserve"> </w:t>
      </w:r>
      <w:r w:rsidRPr="00DA2287">
        <w:t>culture.”</w:t>
      </w:r>
      <w:r w:rsidR="003D640C">
        <w:t xml:space="preserve"> </w:t>
      </w:r>
      <w:r w:rsidRPr="00DA2287">
        <w:t>Sri</w:t>
      </w:r>
      <w:r w:rsidR="003D640C">
        <w:t xml:space="preserve"> </w:t>
      </w:r>
      <w:r w:rsidRPr="00DA2287">
        <w:t>Lankan</w:t>
      </w:r>
      <w:r w:rsidR="003D640C">
        <w:t xml:space="preserve"> </w:t>
      </w:r>
      <w:r w:rsidRPr="00DA2287">
        <w:t>migrant,</w:t>
      </w:r>
      <w:r w:rsidR="003D640C">
        <w:t xml:space="preserve"> </w:t>
      </w:r>
      <w:r w:rsidR="00856624">
        <w:t>not</w:t>
      </w:r>
      <w:r w:rsidR="003D640C">
        <w:t xml:space="preserve"> </w:t>
      </w:r>
      <w:r w:rsidR="00856624">
        <w:t>publicly</w:t>
      </w:r>
      <w:r w:rsidR="003D640C">
        <w:t xml:space="preserve"> </w:t>
      </w:r>
      <w:r w:rsidR="00856624">
        <w:t>out</w:t>
      </w:r>
    </w:p>
    <w:p w14:paraId="2291F1B7" w14:textId="4E1225D7" w:rsidR="008B0FA9" w:rsidRPr="00DA2287" w:rsidRDefault="00475BC5" w:rsidP="00323E57">
      <w:r>
        <w:rPr>
          <w:rFonts w:cstheme="minorHAnsi"/>
        </w:rPr>
        <w:lastRenderedPageBreak/>
        <w:t>These</w:t>
      </w:r>
      <w:r w:rsidR="003D640C">
        <w:rPr>
          <w:rFonts w:cstheme="minorHAnsi"/>
        </w:rPr>
        <w:t xml:space="preserve"> </w:t>
      </w:r>
      <w:r w:rsidR="008B0FA9" w:rsidRPr="00DA2287">
        <w:rPr>
          <w:rFonts w:cstheme="minorHAnsi"/>
        </w:rPr>
        <w:t>examples</w:t>
      </w:r>
      <w:r w:rsidR="003D640C">
        <w:rPr>
          <w:rFonts w:cstheme="minorHAnsi"/>
        </w:rPr>
        <w:t xml:space="preserve"> </w:t>
      </w:r>
      <w:r w:rsidR="008B0FA9" w:rsidRPr="00DA2287">
        <w:rPr>
          <w:rFonts w:cstheme="minorHAnsi"/>
        </w:rPr>
        <w:t>capture</w:t>
      </w:r>
      <w:r w:rsidR="003D640C">
        <w:rPr>
          <w:rFonts w:cstheme="minorHAnsi"/>
        </w:rPr>
        <w:t xml:space="preserve"> </w:t>
      </w:r>
      <w:r w:rsidR="008B0FA9" w:rsidRPr="00DA2287">
        <w:rPr>
          <w:rFonts w:cstheme="minorHAnsi"/>
        </w:rPr>
        <w:t>how</w:t>
      </w:r>
      <w:r w:rsidR="003D640C">
        <w:rPr>
          <w:rFonts w:cstheme="minorHAnsi"/>
        </w:rPr>
        <w:t xml:space="preserve"> </w:t>
      </w:r>
      <w:r w:rsidR="008B0FA9" w:rsidRPr="00DA2287">
        <w:rPr>
          <w:rFonts w:cstheme="minorHAnsi"/>
        </w:rPr>
        <w:t>those</w:t>
      </w:r>
      <w:r w:rsidR="003D640C">
        <w:rPr>
          <w:rFonts w:cstheme="minorHAnsi"/>
        </w:rPr>
        <w:t xml:space="preserve"> </w:t>
      </w:r>
      <w:r w:rsidR="00B77E19">
        <w:rPr>
          <w:rFonts w:cstheme="minorHAnsi"/>
        </w:rPr>
        <w:t xml:space="preserve">who </w:t>
      </w:r>
      <w:r w:rsidR="008B0FA9" w:rsidRPr="00DA2287">
        <w:rPr>
          <w:rFonts w:cstheme="minorHAnsi"/>
        </w:rPr>
        <w:t>spoke</w:t>
      </w:r>
      <w:r w:rsidR="003D640C">
        <w:rPr>
          <w:rFonts w:cstheme="minorHAnsi"/>
        </w:rPr>
        <w:t xml:space="preserve"> </w:t>
      </w:r>
      <w:r w:rsidR="008B0FA9" w:rsidRPr="00DA2287">
        <w:rPr>
          <w:rFonts w:cstheme="minorHAnsi"/>
        </w:rPr>
        <w:t>to</w:t>
      </w:r>
      <w:r w:rsidR="003D640C">
        <w:rPr>
          <w:rFonts w:cstheme="minorHAnsi"/>
        </w:rPr>
        <w:t xml:space="preserve"> </w:t>
      </w:r>
      <w:r w:rsidR="008B0FA9" w:rsidRPr="00DA2287">
        <w:rPr>
          <w:rFonts w:cstheme="minorHAnsi"/>
        </w:rPr>
        <w:t>us</w:t>
      </w:r>
      <w:r w:rsidR="003D640C">
        <w:rPr>
          <w:rFonts w:cstheme="minorHAnsi"/>
        </w:rPr>
        <w:t xml:space="preserve"> </w:t>
      </w:r>
      <w:r w:rsidR="008B0FA9" w:rsidRPr="00DA2287">
        <w:t>understood</w:t>
      </w:r>
      <w:r w:rsidR="003D640C">
        <w:t xml:space="preserve"> </w:t>
      </w:r>
      <w:r w:rsidR="008B0FA9" w:rsidRPr="00DA2287">
        <w:t>the</w:t>
      </w:r>
      <w:r w:rsidR="003D640C">
        <w:t xml:space="preserve"> </w:t>
      </w:r>
      <w:r w:rsidR="008B0FA9" w:rsidRPr="00DA2287">
        <w:t>rigid</w:t>
      </w:r>
      <w:r w:rsidR="003D640C">
        <w:t xml:space="preserve"> </w:t>
      </w:r>
      <w:r w:rsidR="008B0FA9" w:rsidRPr="00DA2287">
        <w:t>attachment</w:t>
      </w:r>
      <w:r w:rsidR="003D640C">
        <w:t xml:space="preserve"> </w:t>
      </w:r>
      <w:r w:rsidR="008B0FA9" w:rsidRPr="00DA2287">
        <w:t>to</w:t>
      </w:r>
      <w:r w:rsidR="003D640C">
        <w:t xml:space="preserve"> </w:t>
      </w:r>
      <w:r w:rsidR="008B0FA9" w:rsidRPr="00DA2287">
        <w:t>heterosexuality</w:t>
      </w:r>
      <w:r w:rsidR="003D640C">
        <w:t xml:space="preserve"> </w:t>
      </w:r>
      <w:r w:rsidR="008B0FA9" w:rsidRPr="00DA2287">
        <w:t>and</w:t>
      </w:r>
      <w:r w:rsidR="003D640C">
        <w:t xml:space="preserve"> </w:t>
      </w:r>
      <w:r w:rsidR="008B0FA9" w:rsidRPr="00DA2287">
        <w:t>binary</w:t>
      </w:r>
      <w:r w:rsidR="003D640C">
        <w:t xml:space="preserve"> </w:t>
      </w:r>
      <w:r w:rsidR="008B0FA9" w:rsidRPr="00DA2287">
        <w:t>notions</w:t>
      </w:r>
      <w:r w:rsidR="003D640C">
        <w:t xml:space="preserve"> </w:t>
      </w:r>
      <w:r w:rsidR="008B0FA9" w:rsidRPr="00DA2287">
        <w:t>of</w:t>
      </w:r>
      <w:r w:rsidR="003D640C">
        <w:t xml:space="preserve"> </w:t>
      </w:r>
      <w:r w:rsidR="008B0FA9" w:rsidRPr="00DA2287">
        <w:t>gender</w:t>
      </w:r>
      <w:r w:rsidR="003D640C">
        <w:t xml:space="preserve"> </w:t>
      </w:r>
      <w:r w:rsidR="008B0FA9" w:rsidRPr="00DA2287">
        <w:t>they</w:t>
      </w:r>
      <w:r w:rsidR="003D640C">
        <w:t xml:space="preserve"> </w:t>
      </w:r>
      <w:r w:rsidR="008B0FA9" w:rsidRPr="00DA2287">
        <w:t>observed</w:t>
      </w:r>
      <w:r w:rsidR="003D640C">
        <w:t xml:space="preserve"> </w:t>
      </w:r>
      <w:r w:rsidR="008B0FA9" w:rsidRPr="00DA2287">
        <w:t>in</w:t>
      </w:r>
      <w:r w:rsidR="003D640C">
        <w:t xml:space="preserve"> </w:t>
      </w:r>
      <w:r w:rsidR="008B0FA9" w:rsidRPr="00DA2287">
        <w:t>their</w:t>
      </w:r>
      <w:r w:rsidR="003D640C">
        <w:t xml:space="preserve"> </w:t>
      </w:r>
      <w:r w:rsidR="008B0FA9" w:rsidRPr="00DA2287">
        <w:t>ethnic</w:t>
      </w:r>
      <w:r w:rsidR="003D640C">
        <w:t xml:space="preserve"> </w:t>
      </w:r>
      <w:r w:rsidR="008B0FA9" w:rsidRPr="00DA2287">
        <w:t>community</w:t>
      </w:r>
      <w:r w:rsidR="003D640C">
        <w:t xml:space="preserve"> </w:t>
      </w:r>
      <w:r w:rsidR="008B0FA9" w:rsidRPr="00DA2287">
        <w:t>to</w:t>
      </w:r>
      <w:r w:rsidR="003D640C">
        <w:t xml:space="preserve"> </w:t>
      </w:r>
      <w:r w:rsidR="008B0FA9" w:rsidRPr="00DA2287">
        <w:t>be</w:t>
      </w:r>
      <w:r w:rsidR="003D640C">
        <w:t xml:space="preserve"> </w:t>
      </w:r>
      <w:r w:rsidR="008B0FA9" w:rsidRPr="00DA2287">
        <w:t>associated</w:t>
      </w:r>
      <w:r w:rsidR="003D640C">
        <w:t xml:space="preserve"> </w:t>
      </w:r>
      <w:r w:rsidR="008B0FA9" w:rsidRPr="00DA2287">
        <w:t>with</w:t>
      </w:r>
      <w:r w:rsidR="003D640C">
        <w:t xml:space="preserve"> </w:t>
      </w:r>
      <w:r w:rsidR="008B0FA9" w:rsidRPr="00DA2287">
        <w:t>Western</w:t>
      </w:r>
      <w:r w:rsidR="003D640C">
        <w:t xml:space="preserve"> </w:t>
      </w:r>
      <w:r w:rsidR="008B0FA9" w:rsidRPr="00DA2287">
        <w:t>and</w:t>
      </w:r>
      <w:r w:rsidR="003D640C">
        <w:t xml:space="preserve"> </w:t>
      </w:r>
      <w:r w:rsidR="008B0FA9" w:rsidRPr="00DA2287">
        <w:t>colonial</w:t>
      </w:r>
      <w:r w:rsidR="003D640C">
        <w:t xml:space="preserve"> </w:t>
      </w:r>
      <w:r w:rsidR="008B0FA9" w:rsidRPr="00DA2287">
        <w:t>ideas</w:t>
      </w:r>
      <w:r w:rsidR="003D640C">
        <w:t xml:space="preserve"> </w:t>
      </w:r>
      <w:r w:rsidR="008B0FA9" w:rsidRPr="00DA2287">
        <w:t>about</w:t>
      </w:r>
      <w:r w:rsidR="003D640C">
        <w:t xml:space="preserve"> </w:t>
      </w:r>
      <w:r w:rsidR="008B0FA9" w:rsidRPr="00DA2287">
        <w:t>gender</w:t>
      </w:r>
      <w:r w:rsidR="003D640C">
        <w:t xml:space="preserve"> </w:t>
      </w:r>
      <w:r w:rsidR="008B0FA9" w:rsidRPr="00DA2287">
        <w:t>and</w:t>
      </w:r>
      <w:r w:rsidR="003D640C">
        <w:t xml:space="preserve"> </w:t>
      </w:r>
      <w:r w:rsidR="008B0FA9" w:rsidRPr="00DA2287">
        <w:t>sexuality.</w:t>
      </w:r>
      <w:r w:rsidR="003D640C">
        <w:t xml:space="preserve"> </w:t>
      </w:r>
    </w:p>
    <w:p w14:paraId="53F2B114" w14:textId="526D2269" w:rsidR="008B0FA9" w:rsidRPr="00DA2287" w:rsidRDefault="008B0FA9" w:rsidP="00323E57">
      <w:r w:rsidRPr="00DA2287">
        <w:t>However,</w:t>
      </w:r>
      <w:r w:rsidR="003D640C">
        <w:t xml:space="preserve"> </w:t>
      </w:r>
      <w:r w:rsidRPr="00DA2287">
        <w:t>as</w:t>
      </w:r>
      <w:r w:rsidR="003D640C">
        <w:t xml:space="preserve"> </w:t>
      </w:r>
      <w:r w:rsidRPr="00DA2287">
        <w:t>discussed</w:t>
      </w:r>
      <w:r w:rsidR="003D640C">
        <w:t xml:space="preserve"> </w:t>
      </w:r>
      <w:r w:rsidRPr="00DA2287">
        <w:t>above,</w:t>
      </w:r>
      <w:r w:rsidR="003D640C">
        <w:t xml:space="preserve"> </w:t>
      </w:r>
      <w:r w:rsidR="00A61D04">
        <w:t>through</w:t>
      </w:r>
      <w:r w:rsidR="003D640C">
        <w:t xml:space="preserve"> </w:t>
      </w:r>
      <w:r w:rsidR="00A61D04">
        <w:t>our</w:t>
      </w:r>
      <w:r w:rsidR="003D640C">
        <w:t xml:space="preserve"> </w:t>
      </w:r>
      <w:r w:rsidR="00A61D04">
        <w:t>engagement</w:t>
      </w:r>
      <w:r w:rsidR="00172EEE">
        <w:t>,</w:t>
      </w:r>
      <w:r w:rsidR="003D640C">
        <w:t xml:space="preserve"> </w:t>
      </w:r>
      <w:r w:rsidR="00A61D04">
        <w:t>we</w:t>
      </w:r>
      <w:r w:rsidR="003D640C">
        <w:t xml:space="preserve"> </w:t>
      </w:r>
      <w:r w:rsidR="00A61D04">
        <w:t>heard</w:t>
      </w:r>
      <w:r w:rsidR="003D640C">
        <w:t xml:space="preserve"> </w:t>
      </w:r>
      <w:r w:rsidR="00A61D04">
        <w:t>that</w:t>
      </w:r>
      <w:r w:rsidR="003D640C">
        <w:t xml:space="preserve"> </w:t>
      </w:r>
      <w:r w:rsidRPr="00DA2287">
        <w:t>conversion</w:t>
      </w:r>
      <w:r w:rsidR="003D640C">
        <w:t xml:space="preserve"> </w:t>
      </w:r>
      <w:r w:rsidRPr="00DA2287">
        <w:t>practice</w:t>
      </w:r>
      <w:r w:rsidR="003D640C">
        <w:t xml:space="preserve"> </w:t>
      </w:r>
      <w:r w:rsidRPr="00DA2287">
        <w:t>proponents</w:t>
      </w:r>
      <w:r w:rsidR="003D640C">
        <w:t xml:space="preserve"> </w:t>
      </w:r>
      <w:r w:rsidRPr="00DA2287">
        <w:t>in</w:t>
      </w:r>
      <w:r w:rsidR="003D640C">
        <w:t xml:space="preserve"> </w:t>
      </w:r>
      <w:r w:rsidRPr="00DA2287">
        <w:t>ethnic</w:t>
      </w:r>
      <w:r w:rsidR="003D640C">
        <w:t xml:space="preserve"> </w:t>
      </w:r>
      <w:r w:rsidRPr="00DA2287">
        <w:t>communities</w:t>
      </w:r>
      <w:r w:rsidR="003D640C">
        <w:t xml:space="preserve"> </w:t>
      </w:r>
      <w:r w:rsidR="00A61D04">
        <w:t>can</w:t>
      </w:r>
      <w:r w:rsidR="003D640C">
        <w:t xml:space="preserve"> </w:t>
      </w:r>
      <w:r w:rsidRPr="00DA2287">
        <w:t>perceive</w:t>
      </w:r>
      <w:r w:rsidR="003D640C">
        <w:t xml:space="preserve"> </w:t>
      </w:r>
      <w:r w:rsidRPr="00DA2287">
        <w:t>‘queerness</w:t>
      </w:r>
      <w:r w:rsidR="003D640C">
        <w:t xml:space="preserve"> </w:t>
      </w:r>
      <w:r w:rsidRPr="00DA2287">
        <w:t>as</w:t>
      </w:r>
      <w:r w:rsidR="003D640C">
        <w:t xml:space="preserve"> </w:t>
      </w:r>
      <w:r w:rsidRPr="00DA2287">
        <w:t>whiteness’</w:t>
      </w:r>
      <w:r w:rsidR="003D640C">
        <w:t xml:space="preserve"> </w:t>
      </w:r>
      <w:r w:rsidRPr="00DA2287">
        <w:t>(an</w:t>
      </w:r>
      <w:r w:rsidR="003D640C">
        <w:t xml:space="preserve"> </w:t>
      </w:r>
      <w:r w:rsidRPr="00DA2287">
        <w:t>external</w:t>
      </w:r>
      <w:r w:rsidR="003D640C">
        <w:t xml:space="preserve"> </w:t>
      </w:r>
      <w:r w:rsidRPr="00DA2287">
        <w:t>cultural</w:t>
      </w:r>
      <w:r w:rsidR="003D640C">
        <w:t xml:space="preserve"> </w:t>
      </w:r>
      <w:r w:rsidRPr="00DA2287">
        <w:t>imposition)</w:t>
      </w:r>
      <w:r w:rsidR="003D640C">
        <w:t xml:space="preserve"> </w:t>
      </w:r>
      <w:r w:rsidRPr="00DA2287">
        <w:t>and</w:t>
      </w:r>
      <w:r w:rsidR="003D640C">
        <w:t xml:space="preserve"> </w:t>
      </w:r>
      <w:r w:rsidRPr="00DA2287">
        <w:t>therefore,</w:t>
      </w:r>
      <w:r w:rsidR="003D640C">
        <w:t xml:space="preserve"> </w:t>
      </w:r>
      <w:r w:rsidRPr="00DA2287">
        <w:t>“not</w:t>
      </w:r>
      <w:r w:rsidR="003D640C">
        <w:t xml:space="preserve"> </w:t>
      </w:r>
      <w:r w:rsidRPr="00DA2287">
        <w:t>[part</w:t>
      </w:r>
      <w:r w:rsidR="003D640C">
        <w:t xml:space="preserve"> </w:t>
      </w:r>
      <w:r w:rsidRPr="00DA2287">
        <w:t>of]</w:t>
      </w:r>
      <w:r w:rsidR="003D640C">
        <w:t xml:space="preserve"> </w:t>
      </w:r>
      <w:r w:rsidRPr="00DA2287">
        <w:t>our</w:t>
      </w:r>
      <w:r w:rsidR="003D640C">
        <w:t xml:space="preserve"> </w:t>
      </w:r>
      <w:r w:rsidRPr="00DA2287">
        <w:t>culture”</w:t>
      </w:r>
      <w:r w:rsidR="00172EEE">
        <w:t>.</w:t>
      </w:r>
      <w:r w:rsidR="003D640C">
        <w:t xml:space="preserve"> </w:t>
      </w:r>
      <w:r w:rsidRPr="00DA2287">
        <w:t>As</w:t>
      </w:r>
      <w:r w:rsidR="003D640C">
        <w:t xml:space="preserve"> </w:t>
      </w:r>
      <w:r w:rsidRPr="00DA2287">
        <w:t>a</w:t>
      </w:r>
      <w:r w:rsidR="003D640C">
        <w:t xml:space="preserve"> </w:t>
      </w:r>
      <w:r w:rsidRPr="00DA2287">
        <w:t>result,</w:t>
      </w:r>
      <w:r w:rsidR="003D640C">
        <w:t xml:space="preserve"> </w:t>
      </w:r>
      <w:r w:rsidRPr="00DA2287">
        <w:t>some</w:t>
      </w:r>
      <w:r w:rsidR="003D640C">
        <w:t xml:space="preserve"> </w:t>
      </w:r>
      <w:r w:rsidRPr="00DA2287">
        <w:t>parents</w:t>
      </w:r>
      <w:r w:rsidR="003D640C">
        <w:t xml:space="preserve"> </w:t>
      </w:r>
      <w:r w:rsidRPr="00DA2287">
        <w:t>or</w:t>
      </w:r>
      <w:r w:rsidR="003D640C">
        <w:t xml:space="preserve"> </w:t>
      </w:r>
      <w:r w:rsidRPr="00DA2287">
        <w:t>leaders</w:t>
      </w:r>
      <w:r w:rsidR="003D640C">
        <w:t xml:space="preserve"> </w:t>
      </w:r>
      <w:r w:rsidRPr="00DA2287">
        <w:t>from</w:t>
      </w:r>
      <w:r w:rsidR="003D640C">
        <w:t xml:space="preserve"> </w:t>
      </w:r>
      <w:r w:rsidRPr="00DA2287">
        <w:t>ethnic</w:t>
      </w:r>
      <w:r w:rsidR="003D640C">
        <w:t xml:space="preserve"> </w:t>
      </w:r>
      <w:r w:rsidRPr="00DA2287">
        <w:t>communities</w:t>
      </w:r>
      <w:r w:rsidR="003D640C">
        <w:t xml:space="preserve"> </w:t>
      </w:r>
      <w:r w:rsidRPr="00DA2287">
        <w:t>(</w:t>
      </w:r>
      <w:r w:rsidR="00270E5F" w:rsidRPr="00DA2287">
        <w:t>including</w:t>
      </w:r>
      <w:r w:rsidR="003D640C">
        <w:t xml:space="preserve"> </w:t>
      </w:r>
      <w:r w:rsidR="00661A84" w:rsidRPr="00DA2287">
        <w:t>those</w:t>
      </w:r>
      <w:r w:rsidR="003D640C">
        <w:t xml:space="preserve"> </w:t>
      </w:r>
      <w:r w:rsidR="00661A84" w:rsidRPr="00DA2287">
        <w:t>from</w:t>
      </w:r>
      <w:r w:rsidR="003D640C">
        <w:t xml:space="preserve"> </w:t>
      </w:r>
      <w:r w:rsidRPr="00DA2287">
        <w:t>migrant,</w:t>
      </w:r>
      <w:r w:rsidR="003D640C">
        <w:t xml:space="preserve"> </w:t>
      </w:r>
      <w:r w:rsidR="00842308">
        <w:t>former</w:t>
      </w:r>
      <w:r w:rsidR="003D640C">
        <w:t xml:space="preserve"> </w:t>
      </w:r>
      <w:r w:rsidRPr="00DA2287">
        <w:t>refugee,</w:t>
      </w:r>
      <w:r w:rsidR="003D640C">
        <w:t xml:space="preserve"> </w:t>
      </w:r>
      <w:r w:rsidRPr="00DA2287">
        <w:t>and</w:t>
      </w:r>
      <w:r w:rsidR="003D640C">
        <w:t xml:space="preserve"> </w:t>
      </w:r>
      <w:r w:rsidRPr="00DA2287">
        <w:t>multigenerational</w:t>
      </w:r>
      <w:r w:rsidR="003D640C">
        <w:t xml:space="preserve"> </w:t>
      </w:r>
      <w:r w:rsidRPr="00DA2287">
        <w:t>settler</w:t>
      </w:r>
      <w:r w:rsidR="003D640C">
        <w:t xml:space="preserve"> </w:t>
      </w:r>
      <w:r w:rsidRPr="00DA2287">
        <w:t>backgrounds)</w:t>
      </w:r>
      <w:r w:rsidR="003D640C">
        <w:t xml:space="preserve"> </w:t>
      </w:r>
      <w:r w:rsidRPr="00DA2287">
        <w:t>may</w:t>
      </w:r>
      <w:r w:rsidR="003D640C">
        <w:t xml:space="preserve"> </w:t>
      </w:r>
      <w:r w:rsidRPr="00DA2287">
        <w:t>disagree</w:t>
      </w:r>
      <w:r w:rsidR="003D640C">
        <w:t xml:space="preserve"> </w:t>
      </w:r>
      <w:r w:rsidRPr="00DA2287">
        <w:t>with</w:t>
      </w:r>
      <w:r w:rsidR="003D640C">
        <w:t xml:space="preserve"> </w:t>
      </w:r>
      <w:r w:rsidRPr="00DA2287">
        <w:t>efforts</w:t>
      </w:r>
      <w:r w:rsidR="003D640C">
        <w:t xml:space="preserve"> </w:t>
      </w:r>
      <w:r w:rsidRPr="00DA2287">
        <w:t>to</w:t>
      </w:r>
      <w:r w:rsidR="003D640C">
        <w:t xml:space="preserve"> </w:t>
      </w:r>
      <w:r w:rsidRPr="00DA2287">
        <w:t>retrace</w:t>
      </w:r>
      <w:r w:rsidR="003D640C">
        <w:t xml:space="preserve"> </w:t>
      </w:r>
      <w:r w:rsidRPr="00DA2287">
        <w:t>pre-colonial</w:t>
      </w:r>
      <w:r w:rsidR="003D640C">
        <w:t xml:space="preserve"> </w:t>
      </w:r>
      <w:r w:rsidRPr="00DA2287">
        <w:t>cultural</w:t>
      </w:r>
      <w:r w:rsidR="003D640C">
        <w:t xml:space="preserve"> </w:t>
      </w:r>
      <w:r w:rsidRPr="00DA2287">
        <w:t>nuances</w:t>
      </w:r>
      <w:r w:rsidR="003D640C">
        <w:t xml:space="preserve"> </w:t>
      </w:r>
      <w:r w:rsidRPr="00DA2287">
        <w:t>due</w:t>
      </w:r>
      <w:r w:rsidR="003D640C">
        <w:t xml:space="preserve"> </w:t>
      </w:r>
      <w:r w:rsidRPr="00DA2287">
        <w:t>to</w:t>
      </w:r>
      <w:r w:rsidR="003D640C">
        <w:t xml:space="preserve"> </w:t>
      </w:r>
      <w:r w:rsidRPr="00DA2287">
        <w:t>the</w:t>
      </w:r>
      <w:r w:rsidR="003D640C">
        <w:t xml:space="preserve"> </w:t>
      </w:r>
      <w:r w:rsidRPr="00DA2287">
        <w:t>influence</w:t>
      </w:r>
      <w:r w:rsidR="003D640C">
        <w:t xml:space="preserve"> </w:t>
      </w:r>
      <w:r w:rsidRPr="00DA2287">
        <w:t>of</w:t>
      </w:r>
      <w:r w:rsidR="003D640C">
        <w:t xml:space="preserve"> </w:t>
      </w:r>
      <w:r w:rsidRPr="00DA2287">
        <w:t>Western</w:t>
      </w:r>
      <w:r w:rsidR="003D640C">
        <w:t xml:space="preserve"> </w:t>
      </w:r>
      <w:r w:rsidRPr="00DA2287">
        <w:t>religion</w:t>
      </w:r>
      <w:r w:rsidR="003D640C">
        <w:t xml:space="preserve"> </w:t>
      </w:r>
      <w:r w:rsidRPr="00DA2287">
        <w:t>or</w:t>
      </w:r>
      <w:r w:rsidR="003D640C">
        <w:t xml:space="preserve"> </w:t>
      </w:r>
      <w:r w:rsidRPr="00DA2287">
        <w:t>internalis</w:t>
      </w:r>
      <w:r w:rsidR="00EA535C" w:rsidRPr="00DA2287">
        <w:t>ed</w:t>
      </w:r>
      <w:r w:rsidR="003D640C">
        <w:t xml:space="preserve"> </w:t>
      </w:r>
      <w:r w:rsidRPr="00DA2287">
        <w:t>colonial</w:t>
      </w:r>
      <w:r w:rsidR="003D640C">
        <w:t xml:space="preserve"> </w:t>
      </w:r>
      <w:r w:rsidRPr="00DA2287">
        <w:t>narratives.</w:t>
      </w:r>
      <w:r w:rsidR="003D640C">
        <w:t xml:space="preserve"> </w:t>
      </w:r>
    </w:p>
    <w:p w14:paraId="60F0C573" w14:textId="3FCDFFA5" w:rsidR="00501068" w:rsidRDefault="008B0FA9" w:rsidP="00323E57">
      <w:r w:rsidRPr="00DA2287">
        <w:t>All</w:t>
      </w:r>
      <w:r w:rsidR="003D640C">
        <w:t xml:space="preserve"> </w:t>
      </w:r>
      <w:r w:rsidRPr="00DA2287">
        <w:t>of</w:t>
      </w:r>
      <w:r w:rsidR="003D640C">
        <w:t xml:space="preserve"> </w:t>
      </w:r>
      <w:r w:rsidRPr="00DA2287">
        <w:t>these</w:t>
      </w:r>
      <w:r w:rsidR="003D640C">
        <w:t xml:space="preserve"> </w:t>
      </w:r>
      <w:r w:rsidRPr="00DA2287">
        <w:t>factors</w:t>
      </w:r>
      <w:r w:rsidR="003D640C">
        <w:t xml:space="preserve"> </w:t>
      </w:r>
      <w:r w:rsidRPr="00DA2287">
        <w:t>contribute</w:t>
      </w:r>
      <w:r w:rsidR="003D640C">
        <w:t xml:space="preserve"> </w:t>
      </w:r>
      <w:r w:rsidRPr="00DA2287">
        <w:t>to</w:t>
      </w:r>
      <w:r w:rsidR="003D640C">
        <w:t xml:space="preserve"> </w:t>
      </w:r>
      <w:r w:rsidRPr="00DA2287">
        <w:t>the</w:t>
      </w:r>
      <w:r w:rsidR="003D640C">
        <w:t xml:space="preserve"> </w:t>
      </w:r>
      <w:r w:rsidRPr="00DA2287">
        <w:t>complexities</w:t>
      </w:r>
      <w:r w:rsidR="003D640C">
        <w:t xml:space="preserve"> </w:t>
      </w:r>
      <w:r w:rsidRPr="00DA2287">
        <w:t>faced</w:t>
      </w:r>
      <w:r w:rsidR="003D640C">
        <w:t xml:space="preserve"> </w:t>
      </w:r>
      <w:r w:rsidRPr="00DA2287">
        <w:t>by</w:t>
      </w:r>
      <w:r w:rsidR="003D640C">
        <w:t xml:space="preserve"> </w:t>
      </w:r>
      <w:r w:rsidRPr="00DA2287">
        <w:t>an</w:t>
      </w:r>
      <w:r w:rsidR="003D640C">
        <w:t xml:space="preserve"> </w:t>
      </w:r>
      <w:r w:rsidRPr="00DA2287">
        <w:t>individual</w:t>
      </w:r>
      <w:r w:rsidR="003D640C">
        <w:t xml:space="preserve"> </w:t>
      </w:r>
      <w:r w:rsidRPr="00DA2287">
        <w:t>trying</w:t>
      </w:r>
      <w:r w:rsidR="003D640C">
        <w:t xml:space="preserve"> </w:t>
      </w:r>
      <w:r w:rsidRPr="00DA2287">
        <w:t>to</w:t>
      </w:r>
      <w:r w:rsidR="003D640C">
        <w:t xml:space="preserve"> </w:t>
      </w:r>
      <w:r w:rsidRPr="00DA2287">
        <w:t>establish</w:t>
      </w:r>
      <w:r w:rsidR="003D640C">
        <w:t xml:space="preserve"> </w:t>
      </w:r>
      <w:r w:rsidRPr="00DA2287">
        <w:t>their</w:t>
      </w:r>
      <w:r w:rsidR="003D640C">
        <w:t xml:space="preserve"> </w:t>
      </w:r>
      <w:r w:rsidRPr="00DA2287">
        <w:t>cultural</w:t>
      </w:r>
      <w:r w:rsidR="003D640C">
        <w:t xml:space="preserve"> </w:t>
      </w:r>
      <w:r w:rsidRPr="00DA2287">
        <w:t>identity</w:t>
      </w:r>
      <w:r w:rsidR="003D640C">
        <w:t xml:space="preserve"> </w:t>
      </w:r>
      <w:r w:rsidRPr="00DA2287">
        <w:t>alongside</w:t>
      </w:r>
      <w:r w:rsidR="003D640C">
        <w:t xml:space="preserve"> </w:t>
      </w:r>
      <w:r w:rsidRPr="00DA2287">
        <w:t>their</w:t>
      </w:r>
      <w:r w:rsidR="003D640C">
        <w:t xml:space="preserve"> </w:t>
      </w:r>
      <w:r w:rsidRPr="00DA2287">
        <w:t>sexual</w:t>
      </w:r>
      <w:r w:rsidR="003D640C">
        <w:t xml:space="preserve"> </w:t>
      </w:r>
      <w:r w:rsidRPr="00DA2287">
        <w:t>orientation,</w:t>
      </w:r>
      <w:r w:rsidR="003D640C">
        <w:t xml:space="preserve"> </w:t>
      </w:r>
      <w:r w:rsidRPr="00DA2287">
        <w:t>gender</w:t>
      </w:r>
      <w:r w:rsidR="003D640C">
        <w:t xml:space="preserve"> </w:t>
      </w:r>
      <w:r w:rsidRPr="00DA2287">
        <w:t>identity</w:t>
      </w:r>
      <w:r w:rsidR="00172EEE">
        <w:t>,</w:t>
      </w:r>
      <w:r w:rsidR="003D640C">
        <w:t xml:space="preserve"> </w:t>
      </w:r>
      <w:r w:rsidRPr="00DA2287">
        <w:t>or</w:t>
      </w:r>
      <w:r w:rsidR="003D640C">
        <w:t xml:space="preserve"> </w:t>
      </w:r>
      <w:r w:rsidR="00347A7A">
        <w:t xml:space="preserve">gender </w:t>
      </w:r>
      <w:r w:rsidRPr="00DA2287">
        <w:t>expression.</w:t>
      </w:r>
      <w:r w:rsidR="003D640C">
        <w:t xml:space="preserve"> </w:t>
      </w:r>
      <w:r w:rsidRPr="00DA2287">
        <w:t>As</w:t>
      </w:r>
      <w:r w:rsidR="003D640C">
        <w:t xml:space="preserve"> </w:t>
      </w:r>
      <w:r w:rsidRPr="00DA2287">
        <w:t>we</w:t>
      </w:r>
      <w:r w:rsidR="003D640C">
        <w:t xml:space="preserve"> </w:t>
      </w:r>
      <w:r w:rsidR="00172EEE">
        <w:t xml:space="preserve">have </w:t>
      </w:r>
      <w:r w:rsidRPr="00DA2287">
        <w:t>discussed</w:t>
      </w:r>
      <w:r w:rsidR="003D640C">
        <w:t xml:space="preserve"> </w:t>
      </w:r>
      <w:r w:rsidRPr="00DA2287">
        <w:t>in</w:t>
      </w:r>
      <w:r w:rsidR="003D640C">
        <w:t xml:space="preserve"> </w:t>
      </w:r>
      <w:r w:rsidRPr="00DA2287">
        <w:t>this</w:t>
      </w:r>
      <w:r w:rsidR="003D640C">
        <w:t xml:space="preserve"> </w:t>
      </w:r>
      <w:r w:rsidRPr="00DA2287">
        <w:t>section,</w:t>
      </w:r>
      <w:r w:rsidR="003D640C">
        <w:t xml:space="preserve"> </w:t>
      </w:r>
      <w:r w:rsidRPr="00DA2287">
        <w:t>people</w:t>
      </w:r>
      <w:r w:rsidR="003D640C">
        <w:t xml:space="preserve"> </w:t>
      </w:r>
      <w:r w:rsidRPr="00DA2287">
        <w:t>from</w:t>
      </w:r>
      <w:r w:rsidR="003D640C">
        <w:t xml:space="preserve"> </w:t>
      </w:r>
      <w:r w:rsidRPr="00DA2287">
        <w:t>ethnic</w:t>
      </w:r>
      <w:r w:rsidR="003D640C">
        <w:t xml:space="preserve"> </w:t>
      </w:r>
      <w:r w:rsidR="00661A84" w:rsidRPr="00DA2287">
        <w:t>R</w:t>
      </w:r>
      <w:r w:rsidRPr="00DA2287">
        <w:t>ainbow</w:t>
      </w:r>
      <w:r w:rsidR="003D640C">
        <w:t xml:space="preserve"> </w:t>
      </w:r>
      <w:r w:rsidRPr="00DA2287">
        <w:t>communities</w:t>
      </w:r>
      <w:r w:rsidR="003D640C">
        <w:t xml:space="preserve"> </w:t>
      </w:r>
      <w:r w:rsidRPr="00DA2287">
        <w:t>balance</w:t>
      </w:r>
      <w:r w:rsidR="003D640C">
        <w:t xml:space="preserve"> </w:t>
      </w:r>
      <w:r w:rsidRPr="00DA2287">
        <w:t>coming</w:t>
      </w:r>
      <w:r w:rsidR="003D640C">
        <w:t xml:space="preserve"> </w:t>
      </w:r>
      <w:r w:rsidRPr="00DA2287">
        <w:t>to</w:t>
      </w:r>
      <w:r w:rsidR="003D640C">
        <w:t xml:space="preserve"> </w:t>
      </w:r>
      <w:r w:rsidRPr="00DA2287">
        <w:t>terms</w:t>
      </w:r>
      <w:r w:rsidR="003D640C">
        <w:t xml:space="preserve"> </w:t>
      </w:r>
      <w:r w:rsidRPr="00DA2287">
        <w:t>with</w:t>
      </w:r>
      <w:r w:rsidR="003D640C">
        <w:t xml:space="preserve"> </w:t>
      </w:r>
      <w:r w:rsidRPr="00DA2287">
        <w:t>their</w:t>
      </w:r>
      <w:r w:rsidR="003D640C">
        <w:t xml:space="preserve"> </w:t>
      </w:r>
      <w:r w:rsidR="00661A84" w:rsidRPr="00DA2287">
        <w:t>R</w:t>
      </w:r>
      <w:r w:rsidRPr="00DA2287">
        <w:t>ainbow</w:t>
      </w:r>
      <w:r w:rsidR="003D640C">
        <w:t xml:space="preserve"> </w:t>
      </w:r>
      <w:r w:rsidRPr="00DA2287">
        <w:t>identity</w:t>
      </w:r>
      <w:r w:rsidR="003D640C">
        <w:t xml:space="preserve"> </w:t>
      </w:r>
      <w:r w:rsidRPr="00DA2287">
        <w:t>with</w:t>
      </w:r>
      <w:r w:rsidR="003D640C">
        <w:t xml:space="preserve"> </w:t>
      </w:r>
      <w:r w:rsidRPr="00DA2287">
        <w:t>upholding</w:t>
      </w:r>
      <w:r w:rsidR="003D640C">
        <w:t xml:space="preserve"> </w:t>
      </w:r>
      <w:r w:rsidRPr="00DA2287">
        <w:t>their</w:t>
      </w:r>
      <w:r w:rsidR="003D640C">
        <w:t xml:space="preserve"> </w:t>
      </w:r>
      <w:r w:rsidRPr="00DA2287">
        <w:t>respect</w:t>
      </w:r>
      <w:r w:rsidR="004F4581">
        <w:t>ive</w:t>
      </w:r>
      <w:r w:rsidR="003D640C">
        <w:t xml:space="preserve"> </w:t>
      </w:r>
      <w:r w:rsidRPr="00DA2287">
        <w:t>cultural</w:t>
      </w:r>
      <w:r w:rsidR="003D640C">
        <w:t xml:space="preserve"> </w:t>
      </w:r>
      <w:r w:rsidRPr="00DA2287">
        <w:t>nuances.</w:t>
      </w:r>
      <w:r w:rsidRPr="00DA2287">
        <w:rPr>
          <w:vertAlign w:val="superscript"/>
        </w:rPr>
        <w:footnoteReference w:id="225"/>
      </w:r>
      <w:r w:rsidR="003D640C">
        <w:t xml:space="preserve"> </w:t>
      </w:r>
      <w:r w:rsidRPr="00DA2287">
        <w:t>At</w:t>
      </w:r>
      <w:r w:rsidR="003D640C">
        <w:t xml:space="preserve"> </w:t>
      </w:r>
      <w:r w:rsidRPr="00DA2287">
        <w:t>the</w:t>
      </w:r>
      <w:r w:rsidR="003D640C">
        <w:t xml:space="preserve"> </w:t>
      </w:r>
      <w:r w:rsidRPr="00DA2287">
        <w:t>same</w:t>
      </w:r>
      <w:r w:rsidR="003D640C">
        <w:t xml:space="preserve"> </w:t>
      </w:r>
      <w:r w:rsidRPr="00DA2287">
        <w:t>time,</w:t>
      </w:r>
      <w:r w:rsidR="003D640C">
        <w:t xml:space="preserve"> </w:t>
      </w:r>
      <w:r w:rsidRPr="00DA2287">
        <w:t>immigrant</w:t>
      </w:r>
      <w:r w:rsidR="003D640C">
        <w:t xml:space="preserve"> </w:t>
      </w:r>
      <w:r w:rsidRPr="00DA2287">
        <w:t>parents</w:t>
      </w:r>
      <w:r w:rsidR="003D640C">
        <w:t xml:space="preserve"> </w:t>
      </w:r>
      <w:r w:rsidRPr="00DA2287">
        <w:t>may</w:t>
      </w:r>
      <w:r w:rsidR="003D640C">
        <w:t xml:space="preserve"> </w:t>
      </w:r>
      <w:r w:rsidRPr="00DA2287">
        <w:t>also</w:t>
      </w:r>
      <w:r w:rsidR="003D640C">
        <w:t xml:space="preserve"> </w:t>
      </w:r>
      <w:r w:rsidRPr="00DA2287">
        <w:t>be</w:t>
      </w:r>
      <w:r w:rsidR="003D640C">
        <w:t xml:space="preserve"> </w:t>
      </w:r>
      <w:r w:rsidRPr="00DA2287">
        <w:t>preoccupied</w:t>
      </w:r>
      <w:r w:rsidR="003D640C">
        <w:t xml:space="preserve"> </w:t>
      </w:r>
      <w:r w:rsidRPr="00DA2287">
        <w:t>in</w:t>
      </w:r>
      <w:r w:rsidR="003D640C">
        <w:t xml:space="preserve"> </w:t>
      </w:r>
      <w:r w:rsidRPr="00DA2287">
        <w:t>trying</w:t>
      </w:r>
      <w:r w:rsidR="003D640C">
        <w:t xml:space="preserve"> </w:t>
      </w:r>
      <w:r w:rsidRPr="00DA2287">
        <w:t>to</w:t>
      </w:r>
      <w:r w:rsidR="003D640C">
        <w:t xml:space="preserve"> </w:t>
      </w:r>
      <w:r w:rsidRPr="00DA2287">
        <w:t>be</w:t>
      </w:r>
      <w:r w:rsidR="003D640C">
        <w:t xml:space="preserve"> </w:t>
      </w:r>
      <w:r w:rsidRPr="00DA2287">
        <w:t>as</w:t>
      </w:r>
      <w:r w:rsidR="003D640C">
        <w:t xml:space="preserve"> </w:t>
      </w:r>
      <w:r w:rsidRPr="00DA2287">
        <w:t>Pākehā</w:t>
      </w:r>
      <w:r w:rsidR="003D640C">
        <w:t xml:space="preserve"> </w:t>
      </w:r>
      <w:r w:rsidRPr="00DA2287">
        <w:t>as</w:t>
      </w:r>
      <w:r w:rsidR="003D640C">
        <w:t xml:space="preserve"> </w:t>
      </w:r>
      <w:r w:rsidRPr="00DA2287">
        <w:t>possible</w:t>
      </w:r>
      <w:r w:rsidR="003D640C">
        <w:t xml:space="preserve"> </w:t>
      </w:r>
      <w:r w:rsidRPr="00DA2287">
        <w:t>to</w:t>
      </w:r>
      <w:r w:rsidR="003D640C">
        <w:t xml:space="preserve"> </w:t>
      </w:r>
      <w:r w:rsidRPr="00DA2287">
        <w:t>get</w:t>
      </w:r>
      <w:r w:rsidR="003D640C">
        <w:t xml:space="preserve"> </w:t>
      </w:r>
      <w:r w:rsidRPr="00DA2287">
        <w:t>ahead</w:t>
      </w:r>
      <w:r w:rsidR="003D640C">
        <w:t xml:space="preserve"> </w:t>
      </w:r>
      <w:r w:rsidRPr="00DA2287">
        <w:t>and</w:t>
      </w:r>
      <w:r w:rsidR="003D640C">
        <w:t xml:space="preserve"> </w:t>
      </w:r>
      <w:r w:rsidRPr="00DA2287">
        <w:t>to</w:t>
      </w:r>
      <w:r w:rsidR="003D640C">
        <w:t xml:space="preserve"> </w:t>
      </w:r>
      <w:r w:rsidRPr="00DA2287">
        <w:t>provide</w:t>
      </w:r>
      <w:r w:rsidR="003D640C">
        <w:t xml:space="preserve"> </w:t>
      </w:r>
      <w:r w:rsidRPr="00DA2287">
        <w:t>for</w:t>
      </w:r>
      <w:r w:rsidR="003D640C">
        <w:t xml:space="preserve"> </w:t>
      </w:r>
      <w:r w:rsidRPr="00DA2287">
        <w:t>their</w:t>
      </w:r>
      <w:r w:rsidR="003D640C">
        <w:t xml:space="preserve"> </w:t>
      </w:r>
      <w:r w:rsidRPr="00DA2287">
        <w:t>family.</w:t>
      </w:r>
      <w:r w:rsidR="003D640C">
        <w:t xml:space="preserve"> </w:t>
      </w:r>
    </w:p>
    <w:p w14:paraId="4AB85B16" w14:textId="5E438FCE" w:rsidR="008B0FA9" w:rsidRPr="00DA2287" w:rsidRDefault="00661A84" w:rsidP="002C6363">
      <w:pPr>
        <w:pStyle w:val="Heading3"/>
      </w:pPr>
      <w:bookmarkStart w:id="291" w:name="_Toc167780622"/>
      <w:bookmarkStart w:id="292" w:name="_Toc1668021246"/>
      <w:bookmarkStart w:id="293" w:name="_Toc174628682"/>
      <w:r w:rsidRPr="00DA2287">
        <w:t>Ethnic</w:t>
      </w:r>
      <w:r w:rsidR="003D640C">
        <w:t xml:space="preserve"> </w:t>
      </w:r>
      <w:r w:rsidRPr="00DA2287">
        <w:t>communities</w:t>
      </w:r>
      <w:r w:rsidR="003D640C">
        <w:t xml:space="preserve"> </w:t>
      </w:r>
      <w:r w:rsidRPr="00DA2287">
        <w:t>and</w:t>
      </w:r>
      <w:r w:rsidR="003D640C">
        <w:t xml:space="preserve"> </w:t>
      </w:r>
      <w:r w:rsidRPr="00DA2287">
        <w:t>c</w:t>
      </w:r>
      <w:r w:rsidR="008B0FA9" w:rsidRPr="00DA2287">
        <w:t>onversion</w:t>
      </w:r>
      <w:r w:rsidR="003D640C">
        <w:t xml:space="preserve"> </w:t>
      </w:r>
      <w:r w:rsidRPr="00DA2287">
        <w:t>p</w:t>
      </w:r>
      <w:r w:rsidR="008B0FA9" w:rsidRPr="00DA2287">
        <w:t>ractices</w:t>
      </w:r>
      <w:bookmarkEnd w:id="291"/>
      <w:bookmarkEnd w:id="292"/>
      <w:bookmarkEnd w:id="293"/>
      <w:r w:rsidR="003D640C">
        <w:t xml:space="preserve"> </w:t>
      </w:r>
    </w:p>
    <w:p w14:paraId="661666D8" w14:textId="602D5CC0" w:rsidR="00661A84" w:rsidRPr="00DA2287" w:rsidRDefault="008B0FA9" w:rsidP="00323E57">
      <w:r w:rsidRPr="00DA2287">
        <w:t>Our</w:t>
      </w:r>
      <w:r w:rsidR="003D640C">
        <w:t xml:space="preserve"> </w:t>
      </w:r>
      <w:r w:rsidRPr="00DA2287">
        <w:t>engagement</w:t>
      </w:r>
      <w:r w:rsidR="003D640C">
        <w:t xml:space="preserve"> </w:t>
      </w:r>
      <w:r w:rsidRPr="00DA2287">
        <w:t>suggests</w:t>
      </w:r>
      <w:r w:rsidR="003D640C">
        <w:t xml:space="preserve"> </w:t>
      </w:r>
      <w:r w:rsidRPr="00DA2287">
        <w:t>that</w:t>
      </w:r>
      <w:r w:rsidR="003D640C">
        <w:t xml:space="preserve"> </w:t>
      </w:r>
      <w:r w:rsidRPr="00DA2287">
        <w:t>the</w:t>
      </w:r>
      <w:r w:rsidR="003D640C">
        <w:t xml:space="preserve"> </w:t>
      </w:r>
      <w:r w:rsidRPr="00DA2287">
        <w:t>values</w:t>
      </w:r>
      <w:r w:rsidR="003D640C">
        <w:t xml:space="preserve"> </w:t>
      </w:r>
      <w:r w:rsidRPr="00DA2287">
        <w:t>and</w:t>
      </w:r>
      <w:r w:rsidR="003D640C">
        <w:t xml:space="preserve"> </w:t>
      </w:r>
      <w:r w:rsidRPr="00DA2287">
        <w:t>beliefs,</w:t>
      </w:r>
      <w:r w:rsidR="003D640C">
        <w:t xml:space="preserve"> </w:t>
      </w:r>
      <w:r w:rsidRPr="00DA2287">
        <w:t>including</w:t>
      </w:r>
      <w:r w:rsidR="003D640C">
        <w:t xml:space="preserve"> </w:t>
      </w:r>
      <w:r w:rsidRPr="00DA2287">
        <w:t>notions</w:t>
      </w:r>
      <w:r w:rsidR="003D640C">
        <w:t xml:space="preserve"> </w:t>
      </w:r>
      <w:r w:rsidRPr="00DA2287">
        <w:t>of</w:t>
      </w:r>
      <w:r w:rsidR="003D640C">
        <w:t xml:space="preserve"> </w:t>
      </w:r>
      <w:r w:rsidRPr="00DA2287">
        <w:t>respect,</w:t>
      </w:r>
      <w:r w:rsidR="003D640C">
        <w:t xml:space="preserve"> </w:t>
      </w:r>
      <w:r w:rsidRPr="00DA2287">
        <w:t>held</w:t>
      </w:r>
      <w:r w:rsidR="003D640C">
        <w:t xml:space="preserve"> </w:t>
      </w:r>
      <w:r w:rsidRPr="00DA2287">
        <w:t>by</w:t>
      </w:r>
      <w:r w:rsidR="003D640C">
        <w:t xml:space="preserve"> </w:t>
      </w:r>
      <w:r w:rsidRPr="00DA2287">
        <w:t>ethnic</w:t>
      </w:r>
      <w:r w:rsidR="003D640C">
        <w:t xml:space="preserve"> </w:t>
      </w:r>
      <w:r w:rsidRPr="00DA2287">
        <w:t>communities</w:t>
      </w:r>
      <w:r w:rsidR="003D640C">
        <w:t xml:space="preserve"> </w:t>
      </w:r>
      <w:r w:rsidRPr="00DA2287">
        <w:t>can</w:t>
      </w:r>
      <w:r w:rsidR="003D640C">
        <w:t xml:space="preserve"> </w:t>
      </w:r>
      <w:r w:rsidRPr="00DA2287">
        <w:t>sometimes</w:t>
      </w:r>
      <w:r w:rsidR="003D640C">
        <w:t xml:space="preserve"> </w:t>
      </w:r>
      <w:r w:rsidRPr="00DA2287">
        <w:t>be</w:t>
      </w:r>
      <w:r w:rsidR="003D640C">
        <w:t xml:space="preserve"> </w:t>
      </w:r>
      <w:r w:rsidRPr="00DA2287">
        <w:t>used</w:t>
      </w:r>
      <w:r w:rsidR="003D640C">
        <w:t xml:space="preserve"> </w:t>
      </w:r>
      <w:r w:rsidRPr="00DA2287">
        <w:t>to</w:t>
      </w:r>
      <w:r w:rsidR="003D640C">
        <w:t xml:space="preserve"> </w:t>
      </w:r>
      <w:r w:rsidRPr="00DA2287">
        <w:t>justify</w:t>
      </w:r>
      <w:r w:rsidR="003D640C">
        <w:t xml:space="preserve"> </w:t>
      </w:r>
      <w:r w:rsidRPr="00DA2287">
        <w:t>conversion</w:t>
      </w:r>
      <w:r w:rsidR="003D640C">
        <w:t xml:space="preserve"> </w:t>
      </w:r>
      <w:r w:rsidRPr="00DA2287">
        <w:t>practices</w:t>
      </w:r>
      <w:r w:rsidR="003D640C">
        <w:t xml:space="preserve"> </w:t>
      </w:r>
      <w:r w:rsidRPr="00DA2287">
        <w:t>within</w:t>
      </w:r>
      <w:r w:rsidR="003D640C">
        <w:t xml:space="preserve"> </w:t>
      </w:r>
      <w:r w:rsidRPr="00DA2287">
        <w:t>those</w:t>
      </w:r>
      <w:r w:rsidR="003D640C">
        <w:t xml:space="preserve"> </w:t>
      </w:r>
      <w:r w:rsidRPr="00DA2287">
        <w:t>communities.</w:t>
      </w:r>
      <w:r w:rsidR="003D640C">
        <w:t xml:space="preserve"> </w:t>
      </w:r>
    </w:p>
    <w:p w14:paraId="7B626F79" w14:textId="07520D58" w:rsidR="008B0FA9" w:rsidRPr="00DA2287" w:rsidRDefault="00661A84" w:rsidP="00323E57">
      <w:r w:rsidRPr="00DA2287">
        <w:t>T</w:t>
      </w:r>
      <w:r w:rsidR="008B0FA9" w:rsidRPr="00DA2287">
        <w:t>he</w:t>
      </w:r>
      <w:r w:rsidR="003D640C">
        <w:t xml:space="preserve"> </w:t>
      </w:r>
      <w:r w:rsidR="008B0FA9" w:rsidRPr="00DA2287">
        <w:t>idea</w:t>
      </w:r>
      <w:r w:rsidR="003D640C">
        <w:t xml:space="preserve"> </w:t>
      </w:r>
      <w:r w:rsidR="008B0FA9" w:rsidRPr="00DA2287">
        <w:t>that</w:t>
      </w:r>
      <w:r w:rsidR="003D640C">
        <w:t xml:space="preserve"> </w:t>
      </w:r>
      <w:r w:rsidR="008B0FA9" w:rsidRPr="00DA2287">
        <w:t>Rainbow</w:t>
      </w:r>
      <w:r w:rsidR="003D640C">
        <w:t xml:space="preserve"> </w:t>
      </w:r>
      <w:r w:rsidR="008B0FA9" w:rsidRPr="00DA2287">
        <w:t>identities</w:t>
      </w:r>
      <w:r w:rsidR="003D640C">
        <w:t xml:space="preserve"> </w:t>
      </w:r>
      <w:r w:rsidR="008B0FA9" w:rsidRPr="00DA2287">
        <w:t>are</w:t>
      </w:r>
      <w:r w:rsidR="003D640C">
        <w:t xml:space="preserve"> </w:t>
      </w:r>
      <w:r w:rsidR="008B0FA9" w:rsidRPr="00DA2287">
        <w:t>“not</w:t>
      </w:r>
      <w:r w:rsidR="003D640C">
        <w:t xml:space="preserve"> </w:t>
      </w:r>
      <w:r w:rsidR="008B0FA9" w:rsidRPr="00DA2287">
        <w:t>our</w:t>
      </w:r>
      <w:r w:rsidR="003D640C">
        <w:t xml:space="preserve"> </w:t>
      </w:r>
      <w:r w:rsidR="008B0FA9" w:rsidRPr="00DA2287">
        <w:t>culture</w:t>
      </w:r>
      <w:r w:rsidR="00831155">
        <w:t>,</w:t>
      </w:r>
      <w:r w:rsidR="008B0FA9" w:rsidRPr="00DA2287">
        <w:t>”</w:t>
      </w:r>
      <w:r w:rsidR="003D640C">
        <w:t xml:space="preserve"> </w:t>
      </w:r>
      <w:r w:rsidR="008B0FA9" w:rsidRPr="00DA2287">
        <w:t>and</w:t>
      </w:r>
      <w:r w:rsidR="003D640C">
        <w:t xml:space="preserve"> </w:t>
      </w:r>
      <w:r w:rsidR="008B0FA9" w:rsidRPr="00DA2287">
        <w:t>variations</w:t>
      </w:r>
      <w:r w:rsidR="003D640C">
        <w:t xml:space="preserve"> </w:t>
      </w:r>
      <w:r w:rsidR="008B0FA9" w:rsidRPr="00DA2287">
        <w:t>of</w:t>
      </w:r>
      <w:r w:rsidR="003D640C">
        <w:t xml:space="preserve"> </w:t>
      </w:r>
      <w:r w:rsidR="008B0FA9" w:rsidRPr="00DA2287">
        <w:t>this</w:t>
      </w:r>
      <w:r w:rsidR="003D640C">
        <w:t xml:space="preserve"> </w:t>
      </w:r>
      <w:r w:rsidR="008B0FA9" w:rsidRPr="00DA2287">
        <w:t>sentiment,</w:t>
      </w:r>
      <w:r w:rsidR="003D640C">
        <w:t xml:space="preserve"> </w:t>
      </w:r>
      <w:r w:rsidRPr="00DA2287">
        <w:t>can</w:t>
      </w:r>
      <w:r w:rsidR="003D640C">
        <w:t xml:space="preserve"> </w:t>
      </w:r>
      <w:r w:rsidRPr="00DA2287">
        <w:t>be</w:t>
      </w:r>
      <w:r w:rsidR="003D640C">
        <w:t xml:space="preserve"> </w:t>
      </w:r>
      <w:r w:rsidR="008B0FA9" w:rsidRPr="00DA2287">
        <w:t>a</w:t>
      </w:r>
      <w:r w:rsidR="003D640C">
        <w:t xml:space="preserve"> </w:t>
      </w:r>
      <w:r w:rsidR="008B0FA9" w:rsidRPr="00DA2287">
        <w:t>foundation</w:t>
      </w:r>
      <w:r w:rsidR="003D640C">
        <w:t xml:space="preserve"> </w:t>
      </w:r>
      <w:r w:rsidR="008B0FA9" w:rsidRPr="00DA2287">
        <w:t>for</w:t>
      </w:r>
      <w:r w:rsidR="003D640C">
        <w:t xml:space="preserve"> </w:t>
      </w:r>
      <w:r w:rsidR="008B0FA9" w:rsidRPr="00DA2287">
        <w:t>proponents</w:t>
      </w:r>
      <w:r w:rsidR="003D640C">
        <w:t xml:space="preserve"> </w:t>
      </w:r>
      <w:r w:rsidR="008B0FA9" w:rsidRPr="00DA2287">
        <w:t>of</w:t>
      </w:r>
      <w:r w:rsidR="003D640C">
        <w:t xml:space="preserve"> </w:t>
      </w:r>
      <w:r w:rsidR="008B0FA9" w:rsidRPr="00DA2287">
        <w:t>conversion</w:t>
      </w:r>
      <w:r w:rsidR="003D640C">
        <w:t xml:space="preserve"> </w:t>
      </w:r>
      <w:r w:rsidR="008B0FA9" w:rsidRPr="00DA2287">
        <w:t>practices.</w:t>
      </w:r>
      <w:r w:rsidR="003D640C">
        <w:t xml:space="preserve"> </w:t>
      </w:r>
      <w:r w:rsidR="008B0FA9" w:rsidRPr="00DA2287">
        <w:t>One</w:t>
      </w:r>
      <w:r w:rsidR="003D640C">
        <w:t xml:space="preserve"> </w:t>
      </w:r>
      <w:r w:rsidR="008B0FA9" w:rsidRPr="00DA2287">
        <w:t>conversion</w:t>
      </w:r>
      <w:r w:rsidR="003D640C">
        <w:t xml:space="preserve"> </w:t>
      </w:r>
      <w:r w:rsidR="008B0FA9" w:rsidRPr="00DA2287">
        <w:t>practice</w:t>
      </w:r>
      <w:r w:rsidR="003D640C">
        <w:t xml:space="preserve"> </w:t>
      </w:r>
      <w:r w:rsidR="008B0FA9" w:rsidRPr="00DA2287">
        <w:t>survivor</w:t>
      </w:r>
      <w:r w:rsidR="003D640C">
        <w:t xml:space="preserve"> </w:t>
      </w:r>
      <w:r w:rsidR="008B0FA9" w:rsidRPr="00DA2287">
        <w:t>of</w:t>
      </w:r>
      <w:r w:rsidR="003D640C">
        <w:t xml:space="preserve"> </w:t>
      </w:r>
      <w:r w:rsidR="008B0FA9" w:rsidRPr="00DA2287">
        <w:t>Sri</w:t>
      </w:r>
      <w:r w:rsidR="003D640C">
        <w:t xml:space="preserve"> </w:t>
      </w:r>
      <w:r w:rsidR="008B0FA9" w:rsidRPr="00DA2287">
        <w:t>Lankan</w:t>
      </w:r>
      <w:r w:rsidR="003D640C">
        <w:t xml:space="preserve"> </w:t>
      </w:r>
      <w:r w:rsidR="000F4463">
        <w:t>and</w:t>
      </w:r>
      <w:r w:rsidR="003D640C">
        <w:t xml:space="preserve"> </w:t>
      </w:r>
      <w:r w:rsidR="000F4463">
        <w:t>Burgher</w:t>
      </w:r>
      <w:r w:rsidR="003D640C">
        <w:t xml:space="preserve"> </w:t>
      </w:r>
      <w:r w:rsidR="008B0FA9" w:rsidRPr="00DA2287">
        <w:t>descent</w:t>
      </w:r>
      <w:r w:rsidR="003D640C">
        <w:t xml:space="preserve"> </w:t>
      </w:r>
      <w:r w:rsidRPr="00DA2287">
        <w:t>–</w:t>
      </w:r>
      <w:r w:rsidR="003D640C">
        <w:t xml:space="preserve"> </w:t>
      </w:r>
      <w:r w:rsidRPr="00DA2287">
        <w:t>and</w:t>
      </w:r>
      <w:r w:rsidR="003D640C">
        <w:t xml:space="preserve"> </w:t>
      </w:r>
      <w:r w:rsidR="008B0FA9" w:rsidRPr="00DA2287">
        <w:t>Christian</w:t>
      </w:r>
      <w:r w:rsidR="003D640C">
        <w:t xml:space="preserve"> </w:t>
      </w:r>
      <w:r w:rsidR="008B0FA9" w:rsidRPr="00DA2287">
        <w:t>faith</w:t>
      </w:r>
      <w:r w:rsidR="003D640C">
        <w:t xml:space="preserve"> </w:t>
      </w:r>
      <w:r w:rsidR="008B0FA9" w:rsidRPr="00DA2287">
        <w:t>background</w:t>
      </w:r>
      <w:r w:rsidR="003D640C">
        <w:t xml:space="preserve"> </w:t>
      </w:r>
      <w:r w:rsidRPr="00DA2287">
        <w:t>–</w:t>
      </w:r>
      <w:r w:rsidR="003D640C">
        <w:t xml:space="preserve"> </w:t>
      </w:r>
      <w:r w:rsidR="008B0FA9" w:rsidRPr="00DA2287">
        <w:t>shared</w:t>
      </w:r>
      <w:r w:rsidR="003D640C">
        <w:t xml:space="preserve"> </w:t>
      </w:r>
      <w:r w:rsidR="008B0FA9" w:rsidRPr="00DA2287">
        <w:t>that</w:t>
      </w:r>
      <w:r w:rsidR="00172EEE">
        <w:t>,</w:t>
      </w:r>
      <w:r w:rsidR="003D640C">
        <w:t xml:space="preserve"> </w:t>
      </w:r>
      <w:r w:rsidR="008B0FA9" w:rsidRPr="00DA2287">
        <w:t>on</w:t>
      </w:r>
      <w:r w:rsidR="003D640C">
        <w:t xml:space="preserve"> </w:t>
      </w:r>
      <w:r w:rsidR="008B0FA9" w:rsidRPr="00DA2287">
        <w:t>coming</w:t>
      </w:r>
      <w:r w:rsidR="003D640C">
        <w:t xml:space="preserve"> </w:t>
      </w:r>
      <w:r w:rsidR="008B0FA9" w:rsidRPr="00DA2287">
        <w:t>out,</w:t>
      </w:r>
      <w:r w:rsidR="003D640C">
        <w:t xml:space="preserve"> </w:t>
      </w:r>
      <w:r w:rsidR="008B0FA9" w:rsidRPr="00DA2287">
        <w:t>their</w:t>
      </w:r>
      <w:r w:rsidR="003D640C">
        <w:t xml:space="preserve"> </w:t>
      </w:r>
      <w:r w:rsidR="008B0FA9" w:rsidRPr="00DA2287">
        <w:t>parents</w:t>
      </w:r>
      <w:r w:rsidR="003D640C">
        <w:t xml:space="preserve"> </w:t>
      </w:r>
      <w:r w:rsidR="008B0FA9" w:rsidRPr="00DA2287">
        <w:t>immediately</w:t>
      </w:r>
      <w:r w:rsidR="003D640C">
        <w:t xml:space="preserve"> </w:t>
      </w:r>
      <w:r w:rsidR="008B0FA9" w:rsidRPr="00DA2287">
        <w:t>culled</w:t>
      </w:r>
      <w:r w:rsidR="003D640C">
        <w:t xml:space="preserve"> </w:t>
      </w:r>
      <w:r w:rsidR="00F20F6B">
        <w:t>W</w:t>
      </w:r>
      <w:r w:rsidR="008B0FA9" w:rsidRPr="00DA2287">
        <w:t>estern</w:t>
      </w:r>
      <w:r w:rsidR="003D640C">
        <w:t xml:space="preserve"> </w:t>
      </w:r>
      <w:r w:rsidR="008B0FA9" w:rsidRPr="00DA2287">
        <w:t>influences</w:t>
      </w:r>
      <w:r w:rsidR="003D640C">
        <w:t xml:space="preserve"> </w:t>
      </w:r>
      <w:r w:rsidRPr="00DA2287">
        <w:t>such</w:t>
      </w:r>
      <w:r w:rsidR="003D640C">
        <w:t xml:space="preserve"> </w:t>
      </w:r>
      <w:r w:rsidRPr="00DA2287">
        <w:t>as</w:t>
      </w:r>
      <w:r w:rsidR="003D640C">
        <w:t xml:space="preserve"> </w:t>
      </w:r>
      <w:r w:rsidR="008B0FA9" w:rsidRPr="00DA2287">
        <w:t>TV</w:t>
      </w:r>
      <w:r w:rsidR="003D640C">
        <w:t xml:space="preserve"> </w:t>
      </w:r>
      <w:r w:rsidR="008B0FA9" w:rsidRPr="00DA2287">
        <w:t>shows</w:t>
      </w:r>
      <w:r w:rsidR="003D640C">
        <w:t xml:space="preserve"> </w:t>
      </w:r>
      <w:r w:rsidRPr="00DA2287">
        <w:t>and</w:t>
      </w:r>
      <w:r w:rsidR="003D640C">
        <w:t xml:space="preserve"> </w:t>
      </w:r>
      <w:r w:rsidR="008B0FA9" w:rsidRPr="00DA2287">
        <w:t>social</w:t>
      </w:r>
      <w:r w:rsidR="003D640C">
        <w:t xml:space="preserve"> </w:t>
      </w:r>
      <w:r w:rsidR="008B0FA9" w:rsidRPr="00DA2287">
        <w:t>events</w:t>
      </w:r>
      <w:r w:rsidR="003D640C">
        <w:t xml:space="preserve"> </w:t>
      </w:r>
      <w:r w:rsidR="008B0FA9" w:rsidRPr="00DA2287">
        <w:t>as</w:t>
      </w:r>
      <w:r w:rsidR="003D640C">
        <w:t xml:space="preserve"> </w:t>
      </w:r>
      <w:r w:rsidR="008B0FA9" w:rsidRPr="00DA2287">
        <w:t>a</w:t>
      </w:r>
      <w:r w:rsidR="003D640C">
        <w:t xml:space="preserve"> </w:t>
      </w:r>
      <w:r w:rsidR="008B0FA9" w:rsidRPr="00DA2287">
        <w:t>way</w:t>
      </w:r>
      <w:r w:rsidR="003D640C">
        <w:t xml:space="preserve"> </w:t>
      </w:r>
      <w:r w:rsidR="008B0FA9" w:rsidRPr="00DA2287">
        <w:t>to</w:t>
      </w:r>
      <w:r w:rsidR="003D640C">
        <w:t xml:space="preserve"> </w:t>
      </w:r>
      <w:r w:rsidR="008B0FA9" w:rsidRPr="00DA2287">
        <w:t>rid</w:t>
      </w:r>
      <w:r w:rsidR="003D640C">
        <w:t xml:space="preserve"> </w:t>
      </w:r>
      <w:r w:rsidR="008B0FA9" w:rsidRPr="00DA2287">
        <w:t>them</w:t>
      </w:r>
      <w:r w:rsidR="003D640C">
        <w:t xml:space="preserve"> </w:t>
      </w:r>
      <w:r w:rsidR="008B0FA9" w:rsidRPr="00DA2287">
        <w:t>of</w:t>
      </w:r>
      <w:r w:rsidR="003D640C">
        <w:t xml:space="preserve"> </w:t>
      </w:r>
      <w:r w:rsidR="008B0FA9" w:rsidRPr="00DA2287">
        <w:t>their</w:t>
      </w:r>
      <w:r w:rsidR="003D640C">
        <w:t xml:space="preserve"> </w:t>
      </w:r>
      <w:r w:rsidR="008B0FA9" w:rsidRPr="00DA2287">
        <w:t>queerness.</w:t>
      </w:r>
      <w:r w:rsidR="00172EEE">
        <w:t xml:space="preserve"> </w:t>
      </w:r>
      <w:r w:rsidR="008B0FA9" w:rsidRPr="00DA2287">
        <w:t>Th</w:t>
      </w:r>
      <w:r w:rsidRPr="00DA2287">
        <w:t>is</w:t>
      </w:r>
      <w:r w:rsidR="003D640C">
        <w:t xml:space="preserve"> </w:t>
      </w:r>
      <w:r w:rsidR="008B0FA9" w:rsidRPr="00DA2287">
        <w:t>survivor</w:t>
      </w:r>
      <w:r w:rsidR="003D640C">
        <w:t xml:space="preserve"> </w:t>
      </w:r>
      <w:r w:rsidR="008B0FA9" w:rsidRPr="00DA2287">
        <w:t>then</w:t>
      </w:r>
      <w:r w:rsidR="003D640C">
        <w:t xml:space="preserve"> </w:t>
      </w:r>
      <w:r w:rsidRPr="00DA2287">
        <w:t>underwent</w:t>
      </w:r>
      <w:r w:rsidR="003D640C">
        <w:t xml:space="preserve"> </w:t>
      </w:r>
      <w:r w:rsidR="008B0FA9" w:rsidRPr="00DA2287">
        <w:t>a</w:t>
      </w:r>
      <w:r w:rsidR="003D640C">
        <w:t xml:space="preserve"> </w:t>
      </w:r>
      <w:r w:rsidR="008B0FA9" w:rsidRPr="00DA2287">
        <w:t>religious</w:t>
      </w:r>
      <w:r w:rsidR="003D640C">
        <w:t xml:space="preserve"> </w:t>
      </w:r>
      <w:r w:rsidR="008B0FA9" w:rsidRPr="00DA2287">
        <w:t>intervention</w:t>
      </w:r>
      <w:r w:rsidR="003D640C">
        <w:t xml:space="preserve"> </w:t>
      </w:r>
      <w:r w:rsidR="008B0FA9" w:rsidRPr="00DA2287">
        <w:t>with</w:t>
      </w:r>
      <w:r w:rsidR="003D640C">
        <w:t xml:space="preserve"> </w:t>
      </w:r>
      <w:r w:rsidR="008B0FA9" w:rsidRPr="00DA2287">
        <w:t>a</w:t>
      </w:r>
      <w:r w:rsidR="003D640C">
        <w:t xml:space="preserve"> </w:t>
      </w:r>
      <w:r w:rsidR="008B0FA9" w:rsidRPr="00DA2287">
        <w:t>church</w:t>
      </w:r>
      <w:r w:rsidR="003D640C">
        <w:t xml:space="preserve"> </w:t>
      </w:r>
      <w:r w:rsidR="008B0FA9" w:rsidRPr="00DA2287">
        <w:t>minister.</w:t>
      </w:r>
      <w:r w:rsidR="003D640C">
        <w:t xml:space="preserve"> </w:t>
      </w:r>
      <w:r w:rsidR="008B0FA9" w:rsidRPr="00DA2287">
        <w:t>Bible</w:t>
      </w:r>
      <w:r w:rsidR="003D640C">
        <w:t xml:space="preserve"> </w:t>
      </w:r>
      <w:r w:rsidR="008B0FA9" w:rsidRPr="00DA2287">
        <w:t>verses</w:t>
      </w:r>
      <w:r w:rsidR="003D640C">
        <w:t xml:space="preserve"> </w:t>
      </w:r>
      <w:r w:rsidR="008B0FA9" w:rsidRPr="00DA2287">
        <w:t>were</w:t>
      </w:r>
      <w:r w:rsidR="003D640C">
        <w:t xml:space="preserve"> </w:t>
      </w:r>
      <w:r w:rsidR="008B0FA9" w:rsidRPr="00DA2287">
        <w:t>used</w:t>
      </w:r>
      <w:r w:rsidR="003D640C">
        <w:t xml:space="preserve"> </w:t>
      </w:r>
      <w:r w:rsidR="008B0FA9" w:rsidRPr="00DA2287">
        <w:t>in</w:t>
      </w:r>
      <w:r w:rsidR="003D640C">
        <w:t xml:space="preserve"> </w:t>
      </w:r>
      <w:r w:rsidR="008B0FA9" w:rsidRPr="00DA2287">
        <w:t>an</w:t>
      </w:r>
      <w:r w:rsidR="003D640C">
        <w:t xml:space="preserve"> </w:t>
      </w:r>
      <w:r w:rsidR="008B0FA9" w:rsidRPr="00DA2287">
        <w:t>attempt</w:t>
      </w:r>
      <w:r w:rsidR="003D640C">
        <w:t xml:space="preserve"> </w:t>
      </w:r>
      <w:r w:rsidR="008B0FA9" w:rsidRPr="00DA2287">
        <w:t>to</w:t>
      </w:r>
      <w:r w:rsidR="003D640C">
        <w:t xml:space="preserve"> </w:t>
      </w:r>
      <w:r w:rsidR="008B0FA9" w:rsidRPr="00DA2287">
        <w:t>persuade</w:t>
      </w:r>
      <w:r w:rsidR="003D640C">
        <w:t xml:space="preserve"> </w:t>
      </w:r>
      <w:r w:rsidR="008B0FA9" w:rsidRPr="00DA2287">
        <w:t>them</w:t>
      </w:r>
      <w:r w:rsidR="003D640C">
        <w:t xml:space="preserve"> </w:t>
      </w:r>
      <w:r w:rsidR="008B0FA9" w:rsidRPr="00DA2287">
        <w:t>they</w:t>
      </w:r>
      <w:r w:rsidR="003D640C">
        <w:t xml:space="preserve"> </w:t>
      </w:r>
      <w:r w:rsidR="008B0FA9" w:rsidRPr="00DA2287">
        <w:t>were</w:t>
      </w:r>
      <w:r w:rsidR="003D640C">
        <w:t xml:space="preserve"> </w:t>
      </w:r>
      <w:r w:rsidR="008B0FA9" w:rsidRPr="00DA2287">
        <w:t>following</w:t>
      </w:r>
      <w:r w:rsidR="003D640C">
        <w:t xml:space="preserve"> </w:t>
      </w:r>
      <w:r w:rsidR="00F20F6B">
        <w:t>W</w:t>
      </w:r>
      <w:r w:rsidR="008B0FA9" w:rsidRPr="00DA2287">
        <w:t>estern</w:t>
      </w:r>
      <w:r w:rsidR="003D640C">
        <w:t xml:space="preserve"> </w:t>
      </w:r>
      <w:r w:rsidR="008B0FA9" w:rsidRPr="00DA2287">
        <w:t>ideology</w:t>
      </w:r>
      <w:r w:rsidR="00172EEE">
        <w:t>,</w:t>
      </w:r>
      <w:r w:rsidR="003D640C">
        <w:t xml:space="preserve"> </w:t>
      </w:r>
      <w:r w:rsidR="008B0FA9" w:rsidRPr="00DA2287">
        <w:t>and</w:t>
      </w:r>
      <w:r w:rsidR="003D640C">
        <w:t xml:space="preserve"> </w:t>
      </w:r>
      <w:r w:rsidR="008B0FA9" w:rsidRPr="00DA2287">
        <w:t>they</w:t>
      </w:r>
      <w:r w:rsidR="003D640C">
        <w:t xml:space="preserve"> </w:t>
      </w:r>
      <w:r w:rsidR="008B0FA9" w:rsidRPr="00DA2287">
        <w:t>were</w:t>
      </w:r>
      <w:r w:rsidR="003D640C">
        <w:t xml:space="preserve"> </w:t>
      </w:r>
      <w:r w:rsidR="008B0FA9" w:rsidRPr="00DA2287">
        <w:t>then</w:t>
      </w:r>
      <w:r w:rsidR="003D640C">
        <w:t xml:space="preserve"> </w:t>
      </w:r>
      <w:r w:rsidR="008B0FA9" w:rsidRPr="00DA2287">
        <w:t>compared</w:t>
      </w:r>
      <w:r w:rsidR="003D640C">
        <w:t xml:space="preserve"> </w:t>
      </w:r>
      <w:r w:rsidR="00957DED">
        <w:t xml:space="preserve">to </w:t>
      </w:r>
      <w:r w:rsidR="008B0FA9" w:rsidRPr="00DA2287">
        <w:t>the</w:t>
      </w:r>
      <w:r w:rsidR="003D640C">
        <w:t xml:space="preserve"> </w:t>
      </w:r>
      <w:r w:rsidR="008B0FA9" w:rsidRPr="00DA2287">
        <w:t>minister’s</w:t>
      </w:r>
      <w:r w:rsidR="003D640C">
        <w:t xml:space="preserve"> </w:t>
      </w:r>
      <w:r w:rsidR="008B0FA9" w:rsidRPr="00DA2287">
        <w:t>gay,</w:t>
      </w:r>
      <w:r w:rsidR="003D640C">
        <w:t xml:space="preserve"> </w:t>
      </w:r>
      <w:r w:rsidR="008B0FA9" w:rsidRPr="00DA2287">
        <w:t>Pākeh</w:t>
      </w:r>
      <w:r w:rsidR="00F175B1" w:rsidRPr="00DA2287">
        <w:t>ā</w:t>
      </w:r>
      <w:r w:rsidR="003D640C">
        <w:t xml:space="preserve"> </w:t>
      </w:r>
      <w:r w:rsidR="008B0FA9" w:rsidRPr="00DA2287">
        <w:t>brother-in-law.</w:t>
      </w:r>
      <w:r w:rsidR="003D640C">
        <w:t xml:space="preserve"> </w:t>
      </w:r>
      <w:r w:rsidR="008B0FA9" w:rsidRPr="00DA2287">
        <w:t>As</w:t>
      </w:r>
      <w:r w:rsidR="003D640C">
        <w:t xml:space="preserve"> </w:t>
      </w:r>
      <w:r w:rsidR="008B0FA9" w:rsidRPr="00DA2287">
        <w:t>a</w:t>
      </w:r>
      <w:r w:rsidR="003D640C">
        <w:t xml:space="preserve"> </w:t>
      </w:r>
      <w:r w:rsidR="008B0FA9" w:rsidRPr="00DA2287">
        <w:t>result</w:t>
      </w:r>
      <w:r w:rsidR="003D640C">
        <w:t xml:space="preserve"> </w:t>
      </w:r>
      <w:r w:rsidR="008B0FA9" w:rsidRPr="00DA2287">
        <w:t>of</w:t>
      </w:r>
      <w:r w:rsidR="003D640C">
        <w:t xml:space="preserve"> </w:t>
      </w:r>
      <w:r w:rsidR="008B0FA9" w:rsidRPr="00DA2287">
        <w:t>the</w:t>
      </w:r>
      <w:r w:rsidR="003D640C">
        <w:t xml:space="preserve"> </w:t>
      </w:r>
      <w:r w:rsidR="008B0FA9" w:rsidRPr="00DA2287">
        <w:t>practice,</w:t>
      </w:r>
      <w:r w:rsidR="003D640C">
        <w:t xml:space="preserve"> </w:t>
      </w:r>
      <w:r w:rsidR="008B0FA9" w:rsidRPr="00DA2287">
        <w:t>the</w:t>
      </w:r>
      <w:r w:rsidR="003D640C">
        <w:t xml:space="preserve"> </w:t>
      </w:r>
      <w:r w:rsidR="008B0FA9" w:rsidRPr="00DA2287">
        <w:t>survivor</w:t>
      </w:r>
      <w:r w:rsidR="003D640C">
        <w:t xml:space="preserve"> </w:t>
      </w:r>
      <w:r w:rsidR="008B0FA9" w:rsidRPr="00DA2287">
        <w:t>developed</w:t>
      </w:r>
      <w:r w:rsidR="003D640C">
        <w:t xml:space="preserve"> </w:t>
      </w:r>
      <w:r w:rsidR="008B0FA9" w:rsidRPr="00DA2287">
        <w:t>panic</w:t>
      </w:r>
      <w:r w:rsidR="003D640C">
        <w:t xml:space="preserve"> </w:t>
      </w:r>
      <w:r w:rsidR="008B0FA9" w:rsidRPr="00DA2287">
        <w:t>attacks</w:t>
      </w:r>
      <w:r w:rsidR="003D640C">
        <w:t xml:space="preserve"> </w:t>
      </w:r>
      <w:r w:rsidR="00172EEE">
        <w:t xml:space="preserve">that </w:t>
      </w:r>
      <w:r w:rsidR="008B0FA9" w:rsidRPr="00DA2287">
        <w:t>continued</w:t>
      </w:r>
      <w:r w:rsidR="003D640C">
        <w:t xml:space="preserve"> </w:t>
      </w:r>
      <w:r w:rsidR="008B0FA9" w:rsidRPr="00DA2287">
        <w:t>for</w:t>
      </w:r>
      <w:r w:rsidR="003D640C">
        <w:t xml:space="preserve"> </w:t>
      </w:r>
      <w:r w:rsidR="008B0FA9" w:rsidRPr="00DA2287">
        <w:t>many</w:t>
      </w:r>
      <w:r w:rsidR="003D640C">
        <w:t xml:space="preserve"> </w:t>
      </w:r>
      <w:r w:rsidR="008B0FA9" w:rsidRPr="00DA2287">
        <w:t>years.</w:t>
      </w:r>
      <w:r w:rsidR="003D640C">
        <w:t xml:space="preserve"> </w:t>
      </w:r>
    </w:p>
    <w:p w14:paraId="7234885C" w14:textId="4CEC2BD4" w:rsidR="008B0FA9" w:rsidRPr="00DA2287" w:rsidRDefault="008B0FA9" w:rsidP="00323E57">
      <w:r w:rsidRPr="00DA2287">
        <w:t>Behind</w:t>
      </w:r>
      <w:r w:rsidR="003D640C">
        <w:t xml:space="preserve"> </w:t>
      </w:r>
      <w:r w:rsidRPr="00DA2287">
        <w:t>the</w:t>
      </w:r>
      <w:r w:rsidR="003D640C">
        <w:t xml:space="preserve"> </w:t>
      </w:r>
      <w:r w:rsidRPr="00DA2287">
        <w:t>attempted</w:t>
      </w:r>
      <w:r w:rsidR="003D640C">
        <w:t xml:space="preserve"> </w:t>
      </w:r>
      <w:r w:rsidRPr="00DA2287">
        <w:t>conversion</w:t>
      </w:r>
      <w:r w:rsidR="003D640C">
        <w:t xml:space="preserve"> </w:t>
      </w:r>
      <w:r w:rsidRPr="00DA2287">
        <w:t>practice</w:t>
      </w:r>
      <w:r w:rsidR="003D640C">
        <w:t xml:space="preserve"> </w:t>
      </w:r>
      <w:r w:rsidRPr="00DA2287">
        <w:t>is</w:t>
      </w:r>
      <w:r w:rsidR="003D640C">
        <w:t xml:space="preserve"> </w:t>
      </w:r>
      <w:r w:rsidRPr="00DA2287">
        <w:t>a</w:t>
      </w:r>
      <w:r w:rsidR="003D640C">
        <w:t xml:space="preserve"> </w:t>
      </w:r>
      <w:r w:rsidRPr="00DA2287">
        <w:t>desire</w:t>
      </w:r>
      <w:r w:rsidR="003D640C">
        <w:t xml:space="preserve"> </w:t>
      </w:r>
      <w:r w:rsidRPr="00DA2287">
        <w:t>to</w:t>
      </w:r>
      <w:r w:rsidR="003D640C">
        <w:t xml:space="preserve"> </w:t>
      </w:r>
      <w:r w:rsidRPr="00DA2287">
        <w:t>uphold</w:t>
      </w:r>
      <w:r w:rsidR="003D640C">
        <w:t xml:space="preserve"> </w:t>
      </w:r>
      <w:r w:rsidRPr="00DA2287">
        <w:t>what</w:t>
      </w:r>
      <w:r w:rsidR="003D640C">
        <w:t xml:space="preserve"> </w:t>
      </w:r>
      <w:r w:rsidRPr="00DA2287">
        <w:t>it</w:t>
      </w:r>
      <w:r w:rsidR="003D640C">
        <w:t xml:space="preserve"> </w:t>
      </w:r>
      <w:r w:rsidRPr="00DA2287">
        <w:t>means</w:t>
      </w:r>
      <w:r w:rsidR="003D640C">
        <w:t xml:space="preserve"> </w:t>
      </w:r>
      <w:r w:rsidRPr="00DA2287">
        <w:t>to</w:t>
      </w:r>
      <w:r w:rsidR="003D640C">
        <w:t xml:space="preserve"> </w:t>
      </w:r>
      <w:r w:rsidRPr="00DA2287">
        <w:t>be</w:t>
      </w:r>
      <w:r w:rsidR="003D640C">
        <w:t xml:space="preserve"> </w:t>
      </w:r>
      <w:r w:rsidRPr="00DA2287">
        <w:t>an</w:t>
      </w:r>
      <w:r w:rsidR="003D640C">
        <w:t xml:space="preserve"> </w:t>
      </w:r>
      <w:r w:rsidRPr="00DA2287">
        <w:t>ethnic</w:t>
      </w:r>
      <w:r w:rsidR="003D640C">
        <w:t xml:space="preserve"> </w:t>
      </w:r>
      <w:r w:rsidRPr="00DA2287">
        <w:t>individual</w:t>
      </w:r>
      <w:r w:rsidR="003D640C">
        <w:t xml:space="preserve"> </w:t>
      </w:r>
      <w:r w:rsidRPr="00DA2287">
        <w:t>in</w:t>
      </w:r>
      <w:r w:rsidR="003D640C">
        <w:t xml:space="preserve"> </w:t>
      </w:r>
      <w:r w:rsidRPr="00DA2287">
        <w:t>Aotearoa.</w:t>
      </w:r>
      <w:r w:rsidR="003D640C">
        <w:t xml:space="preserve"> </w:t>
      </w:r>
      <w:r w:rsidRPr="00DA2287">
        <w:t>‘Coming</w:t>
      </w:r>
      <w:r w:rsidR="003D640C">
        <w:t xml:space="preserve"> </w:t>
      </w:r>
      <w:r w:rsidRPr="00DA2287">
        <w:t>out’</w:t>
      </w:r>
      <w:r w:rsidR="003D640C">
        <w:t xml:space="preserve"> </w:t>
      </w:r>
      <w:r w:rsidRPr="00DA2287">
        <w:t>is</w:t>
      </w:r>
      <w:r w:rsidR="003D640C">
        <w:t xml:space="preserve"> </w:t>
      </w:r>
      <w:r w:rsidRPr="00DA2287">
        <w:t>at</w:t>
      </w:r>
      <w:r w:rsidR="003D640C">
        <w:t xml:space="preserve"> </w:t>
      </w:r>
      <w:r w:rsidRPr="00DA2287">
        <w:t>odds</w:t>
      </w:r>
      <w:r w:rsidR="003D640C">
        <w:t xml:space="preserve"> </w:t>
      </w:r>
      <w:r w:rsidRPr="00DA2287">
        <w:t>with</w:t>
      </w:r>
      <w:r w:rsidR="003D640C">
        <w:t xml:space="preserve"> </w:t>
      </w:r>
      <w:r w:rsidRPr="00DA2287">
        <w:t>what</w:t>
      </w:r>
      <w:r w:rsidR="003D640C">
        <w:t xml:space="preserve"> </w:t>
      </w:r>
      <w:r w:rsidRPr="00DA2287">
        <w:t>some</w:t>
      </w:r>
      <w:r w:rsidR="003D640C">
        <w:t xml:space="preserve"> </w:t>
      </w:r>
      <w:r w:rsidRPr="00DA2287">
        <w:t>migrant</w:t>
      </w:r>
      <w:r w:rsidR="003D640C">
        <w:t xml:space="preserve"> </w:t>
      </w:r>
      <w:r w:rsidRPr="00DA2287">
        <w:t>communities</w:t>
      </w:r>
      <w:r w:rsidR="003D640C">
        <w:t xml:space="preserve"> </w:t>
      </w:r>
      <w:r w:rsidRPr="00DA2287">
        <w:t>have</w:t>
      </w:r>
      <w:r w:rsidR="003D640C">
        <w:t xml:space="preserve"> </w:t>
      </w:r>
      <w:r w:rsidRPr="00DA2287">
        <w:t>constructed</w:t>
      </w:r>
      <w:r w:rsidR="003D640C">
        <w:t xml:space="preserve"> </w:t>
      </w:r>
      <w:r w:rsidRPr="00DA2287">
        <w:t>as</w:t>
      </w:r>
      <w:r w:rsidR="003D640C">
        <w:t xml:space="preserve"> </w:t>
      </w:r>
      <w:r w:rsidRPr="00DA2287">
        <w:t>the</w:t>
      </w:r>
      <w:r w:rsidR="003D640C">
        <w:t xml:space="preserve"> </w:t>
      </w:r>
      <w:r w:rsidRPr="00DA2287">
        <w:t>ideal</w:t>
      </w:r>
      <w:r w:rsidR="003D640C">
        <w:t xml:space="preserve"> </w:t>
      </w:r>
      <w:r w:rsidRPr="00DA2287">
        <w:t>social</w:t>
      </w:r>
      <w:r w:rsidR="003D640C">
        <w:t xml:space="preserve"> </w:t>
      </w:r>
      <w:r w:rsidRPr="00DA2287">
        <w:t>status,</w:t>
      </w:r>
      <w:r w:rsidR="003D640C">
        <w:t xml:space="preserve"> </w:t>
      </w:r>
      <w:r w:rsidRPr="00DA2287">
        <w:t>which</w:t>
      </w:r>
      <w:r w:rsidR="003D640C">
        <w:t xml:space="preserve"> </w:t>
      </w:r>
      <w:r w:rsidRPr="00DA2287">
        <w:t>includes</w:t>
      </w:r>
      <w:r w:rsidR="003D640C">
        <w:t xml:space="preserve"> </w:t>
      </w:r>
      <w:r w:rsidRPr="00DA2287">
        <w:t>heterosexual</w:t>
      </w:r>
      <w:r w:rsidR="003D640C">
        <w:t xml:space="preserve"> </w:t>
      </w:r>
      <w:r w:rsidRPr="00DA2287">
        <w:t>marriage</w:t>
      </w:r>
      <w:r w:rsidR="003D640C">
        <w:t xml:space="preserve"> </w:t>
      </w:r>
      <w:r w:rsidRPr="00DA2287">
        <w:t>and</w:t>
      </w:r>
      <w:r w:rsidR="003D640C">
        <w:t xml:space="preserve"> </w:t>
      </w:r>
      <w:r w:rsidRPr="00DA2287">
        <w:t>children.</w:t>
      </w:r>
    </w:p>
    <w:p w14:paraId="6460221D" w14:textId="6A69D511" w:rsidR="008B0FA9" w:rsidRPr="00DA2287" w:rsidRDefault="008B0FA9" w:rsidP="002C6363">
      <w:pPr>
        <w:pStyle w:val="Heading3"/>
      </w:pPr>
      <w:bookmarkStart w:id="294" w:name="_Toc167780623"/>
      <w:bookmarkStart w:id="295" w:name="_Toc1747659593"/>
      <w:bookmarkStart w:id="296" w:name="_Toc174628683"/>
      <w:r w:rsidRPr="00DA2287">
        <w:t>Other</w:t>
      </w:r>
      <w:r w:rsidR="003D640C">
        <w:t xml:space="preserve"> </w:t>
      </w:r>
      <w:r w:rsidRPr="00DA2287">
        <w:t>examples</w:t>
      </w:r>
      <w:r w:rsidR="003D640C">
        <w:t xml:space="preserve"> </w:t>
      </w:r>
      <w:r w:rsidRPr="00DA2287">
        <w:t>of</w:t>
      </w:r>
      <w:r w:rsidR="003D640C">
        <w:t xml:space="preserve"> </w:t>
      </w:r>
      <w:r w:rsidR="0026573F" w:rsidRPr="00DA2287">
        <w:t>c</w:t>
      </w:r>
      <w:r w:rsidRPr="00DA2287">
        <w:t>onversion</w:t>
      </w:r>
      <w:r w:rsidR="003D640C">
        <w:t xml:space="preserve"> </w:t>
      </w:r>
      <w:r w:rsidR="0026573F" w:rsidRPr="00DA2287">
        <w:t>p</w:t>
      </w:r>
      <w:r w:rsidRPr="00DA2287">
        <w:t>ractices</w:t>
      </w:r>
      <w:r w:rsidR="003D640C">
        <w:t xml:space="preserve"> </w:t>
      </w:r>
      <w:r w:rsidR="0026573F" w:rsidRPr="00DA2287">
        <w:t>in</w:t>
      </w:r>
      <w:r w:rsidR="003D640C">
        <w:t xml:space="preserve"> </w:t>
      </w:r>
      <w:r w:rsidR="0026573F" w:rsidRPr="00DA2287">
        <w:t>ethnic</w:t>
      </w:r>
      <w:r w:rsidR="003D640C">
        <w:t xml:space="preserve"> </w:t>
      </w:r>
      <w:r w:rsidR="0026573F" w:rsidRPr="00DA2287">
        <w:t>communities</w:t>
      </w:r>
      <w:bookmarkEnd w:id="294"/>
      <w:bookmarkEnd w:id="295"/>
      <w:bookmarkEnd w:id="296"/>
    </w:p>
    <w:p w14:paraId="57099391" w14:textId="50F938FE" w:rsidR="008B0FA9" w:rsidRPr="00DA2287" w:rsidRDefault="008B0FA9" w:rsidP="00323E57">
      <w:r w:rsidRPr="00DA2287">
        <w:t>A</w:t>
      </w:r>
      <w:r w:rsidR="003D640C">
        <w:t xml:space="preserve"> </w:t>
      </w:r>
      <w:r w:rsidR="00661A84" w:rsidRPr="00DA2287">
        <w:t>2020</w:t>
      </w:r>
      <w:r w:rsidR="003D640C">
        <w:t xml:space="preserve"> </w:t>
      </w:r>
      <w:r w:rsidRPr="00DA2287">
        <w:t>study</w:t>
      </w:r>
      <w:r w:rsidR="003D640C">
        <w:t xml:space="preserve"> </w:t>
      </w:r>
      <w:r w:rsidRPr="00DA2287">
        <w:t>of</w:t>
      </w:r>
      <w:r w:rsidR="003D640C">
        <w:t xml:space="preserve"> </w:t>
      </w:r>
      <w:r w:rsidR="00661A84" w:rsidRPr="00DA2287">
        <w:t>ethnic</w:t>
      </w:r>
      <w:r w:rsidR="003D640C">
        <w:t xml:space="preserve"> </w:t>
      </w:r>
      <w:r w:rsidRPr="00DA2287">
        <w:t>Rainbow</w:t>
      </w:r>
      <w:r w:rsidR="003D640C">
        <w:t xml:space="preserve"> </w:t>
      </w:r>
      <w:r w:rsidRPr="00DA2287">
        <w:t>youth</w:t>
      </w:r>
      <w:r w:rsidR="003D640C">
        <w:t xml:space="preserve"> </w:t>
      </w:r>
      <w:r w:rsidRPr="00DA2287">
        <w:t>in</w:t>
      </w:r>
      <w:r w:rsidR="003D640C">
        <w:t xml:space="preserve"> </w:t>
      </w:r>
      <w:r w:rsidRPr="00DA2287">
        <w:t>Aotearoa</w:t>
      </w:r>
      <w:r w:rsidR="003D640C">
        <w:t xml:space="preserve"> </w:t>
      </w:r>
      <w:r w:rsidRPr="00DA2287">
        <w:t>includes</w:t>
      </w:r>
      <w:r w:rsidR="003D640C">
        <w:t xml:space="preserve"> </w:t>
      </w:r>
      <w:r w:rsidRPr="00DA2287">
        <w:t>examples</w:t>
      </w:r>
      <w:r w:rsidR="003D640C">
        <w:t xml:space="preserve"> </w:t>
      </w:r>
      <w:r w:rsidRPr="00DA2287">
        <w:t>described</w:t>
      </w:r>
      <w:r w:rsidR="003D640C">
        <w:t xml:space="preserve"> </w:t>
      </w:r>
      <w:r w:rsidRPr="00DA2287">
        <w:t>by</w:t>
      </w:r>
      <w:r w:rsidR="003D640C">
        <w:t xml:space="preserve"> </w:t>
      </w:r>
      <w:r w:rsidRPr="00DA2287">
        <w:t>participants</w:t>
      </w:r>
      <w:r w:rsidR="003D640C">
        <w:t xml:space="preserve"> </w:t>
      </w:r>
      <w:r w:rsidRPr="00DA2287">
        <w:t>of</w:t>
      </w:r>
      <w:r w:rsidR="003D640C">
        <w:t xml:space="preserve"> </w:t>
      </w:r>
      <w:r w:rsidRPr="00DA2287">
        <w:t>the</w:t>
      </w:r>
      <w:r w:rsidR="003D640C">
        <w:t xml:space="preserve"> </w:t>
      </w:r>
      <w:r w:rsidRPr="00DA2287">
        <w:t>following</w:t>
      </w:r>
      <w:r w:rsidR="003D640C">
        <w:t xml:space="preserve"> </w:t>
      </w:r>
      <w:r w:rsidR="00645311">
        <w:t xml:space="preserve">practices which may constitute </w:t>
      </w:r>
      <w:r w:rsidRPr="00DA2287">
        <w:t>conversion</w:t>
      </w:r>
      <w:r w:rsidR="003D640C">
        <w:t xml:space="preserve"> </w:t>
      </w:r>
      <w:r w:rsidRPr="00DA2287">
        <w:t>practices</w:t>
      </w:r>
      <w:r w:rsidR="00CD5809">
        <w:t>.</w:t>
      </w:r>
      <w:r w:rsidR="00F04606" w:rsidRPr="00F04606">
        <w:rPr>
          <w:rStyle w:val="FootnoteReference"/>
          <w:rFonts w:eastAsia="Open Sans" w:cstheme="minorHAnsi"/>
          <w:color w:val="121317"/>
        </w:rPr>
        <w:t xml:space="preserve"> </w:t>
      </w:r>
      <w:r w:rsidR="00F04606" w:rsidRPr="00DA2287">
        <w:rPr>
          <w:rStyle w:val="FootnoteReference"/>
          <w:rFonts w:eastAsia="Open Sans" w:cstheme="minorHAnsi"/>
          <w:color w:val="121317"/>
        </w:rPr>
        <w:footnoteReference w:id="226"/>
      </w:r>
    </w:p>
    <w:p w14:paraId="256F0422" w14:textId="4E1A1384" w:rsidR="008B0FA9" w:rsidRPr="00DA2287" w:rsidRDefault="00A91FD5" w:rsidP="00323E57">
      <w:pPr>
        <w:pStyle w:val="Bullet"/>
      </w:pPr>
      <w:r w:rsidRPr="00DA2287">
        <w:t>F</w:t>
      </w:r>
      <w:r w:rsidR="008B0FA9" w:rsidRPr="00DA2287">
        <w:t>amily</w:t>
      </w:r>
      <w:r w:rsidR="003D640C">
        <w:t xml:space="preserve"> </w:t>
      </w:r>
      <w:r w:rsidR="008B0FA9" w:rsidRPr="00DA2287">
        <w:t>members</w:t>
      </w:r>
      <w:r w:rsidR="003D640C">
        <w:t xml:space="preserve"> </w:t>
      </w:r>
      <w:r w:rsidR="008B0FA9" w:rsidRPr="00DA2287">
        <w:t>seeking</w:t>
      </w:r>
      <w:r w:rsidR="003D640C">
        <w:t xml:space="preserve"> </w:t>
      </w:r>
      <w:r w:rsidR="008B0FA9" w:rsidRPr="00DA2287">
        <w:t>assistance</w:t>
      </w:r>
      <w:r w:rsidR="003D640C">
        <w:t xml:space="preserve"> </w:t>
      </w:r>
      <w:r w:rsidR="008B0FA9" w:rsidRPr="00DA2287">
        <w:t>through</w:t>
      </w:r>
      <w:r w:rsidR="003D640C">
        <w:t xml:space="preserve"> </w:t>
      </w:r>
      <w:r w:rsidR="008B0FA9" w:rsidRPr="00DA2287">
        <w:t>medical</w:t>
      </w:r>
      <w:r w:rsidR="003D640C">
        <w:t xml:space="preserve"> </w:t>
      </w:r>
      <w:r w:rsidR="008B0FA9" w:rsidRPr="00DA2287">
        <w:t>practitioners,</w:t>
      </w:r>
      <w:r w:rsidR="003D640C">
        <w:t xml:space="preserve"> </w:t>
      </w:r>
      <w:r w:rsidR="008B0FA9" w:rsidRPr="00DA2287">
        <w:t>counselling,</w:t>
      </w:r>
      <w:r w:rsidR="003D640C">
        <w:t xml:space="preserve"> </w:t>
      </w:r>
      <w:r w:rsidR="008B0FA9" w:rsidRPr="00DA2287">
        <w:t>healers</w:t>
      </w:r>
      <w:r w:rsidR="009B1B7E">
        <w:t>,</w:t>
      </w:r>
      <w:r w:rsidR="003D640C">
        <w:t xml:space="preserve"> </w:t>
      </w:r>
      <w:r w:rsidR="008B0FA9" w:rsidRPr="00DA2287">
        <w:t>or</w:t>
      </w:r>
      <w:r w:rsidR="003D640C">
        <w:t xml:space="preserve"> </w:t>
      </w:r>
      <w:r w:rsidR="008B0FA9" w:rsidRPr="00DA2287">
        <w:t>homeopathy</w:t>
      </w:r>
      <w:r w:rsidR="003D640C">
        <w:t xml:space="preserve"> </w:t>
      </w:r>
      <w:r w:rsidR="008B0FA9" w:rsidRPr="00DA2287">
        <w:t>in</w:t>
      </w:r>
      <w:r w:rsidR="003D640C">
        <w:t xml:space="preserve"> </w:t>
      </w:r>
      <w:r w:rsidR="008B0FA9" w:rsidRPr="00DA2287">
        <w:t>order</w:t>
      </w:r>
      <w:r w:rsidR="003D640C">
        <w:t xml:space="preserve"> </w:t>
      </w:r>
      <w:r w:rsidR="008B0FA9" w:rsidRPr="00DA2287">
        <w:t>to</w:t>
      </w:r>
      <w:r w:rsidR="003D640C">
        <w:t xml:space="preserve"> </w:t>
      </w:r>
      <w:r w:rsidR="008B0FA9" w:rsidRPr="00DA2287">
        <w:t>change</w:t>
      </w:r>
      <w:r w:rsidR="003D640C">
        <w:t xml:space="preserve"> </w:t>
      </w:r>
      <w:r w:rsidR="008B0FA9" w:rsidRPr="00DA2287">
        <w:t>their</w:t>
      </w:r>
      <w:r w:rsidR="003D640C">
        <w:t xml:space="preserve"> </w:t>
      </w:r>
      <w:r w:rsidR="008B0FA9" w:rsidRPr="00DA2287">
        <w:t>children’s</w:t>
      </w:r>
      <w:r w:rsidR="003D640C">
        <w:t xml:space="preserve"> </w:t>
      </w:r>
      <w:r w:rsidR="00CC0F07">
        <w:t>R</w:t>
      </w:r>
      <w:r w:rsidR="008B0FA9" w:rsidRPr="00DA2287">
        <w:t>ainbow</w:t>
      </w:r>
      <w:r w:rsidR="003D640C">
        <w:t xml:space="preserve"> </w:t>
      </w:r>
      <w:r w:rsidR="008B0FA9" w:rsidRPr="00DA2287">
        <w:t>identity</w:t>
      </w:r>
      <w:r w:rsidRPr="00DA2287">
        <w:t>.</w:t>
      </w:r>
    </w:p>
    <w:p w14:paraId="6EC60CF0" w14:textId="24B84D43" w:rsidR="008B0FA9" w:rsidRPr="00DA2287" w:rsidRDefault="00A91FD5" w:rsidP="00323E57">
      <w:pPr>
        <w:pStyle w:val="Bullet"/>
      </w:pPr>
      <w:r w:rsidRPr="00DA2287">
        <w:t>P</w:t>
      </w:r>
      <w:r w:rsidR="008B0FA9" w:rsidRPr="00DA2287">
        <w:t>arents</w:t>
      </w:r>
      <w:r w:rsidR="003D640C">
        <w:t xml:space="preserve"> </w:t>
      </w:r>
      <w:r w:rsidR="008B0FA9" w:rsidRPr="00DA2287">
        <w:t>engaging</w:t>
      </w:r>
      <w:r w:rsidR="003D640C">
        <w:t xml:space="preserve"> </w:t>
      </w:r>
      <w:r w:rsidR="008B0FA9" w:rsidRPr="00DA2287">
        <w:t>in</w:t>
      </w:r>
      <w:r w:rsidR="003D640C">
        <w:t xml:space="preserve"> </w:t>
      </w:r>
      <w:r w:rsidR="008B0FA9" w:rsidRPr="00DA2287">
        <w:t>‘gender</w:t>
      </w:r>
      <w:r w:rsidR="003D640C">
        <w:t xml:space="preserve"> </w:t>
      </w:r>
      <w:r w:rsidR="008B0FA9" w:rsidRPr="00DA2287">
        <w:t>monitoring</w:t>
      </w:r>
      <w:r w:rsidR="0017792F">
        <w:t>,</w:t>
      </w:r>
      <w:r w:rsidR="008B0FA9" w:rsidRPr="00DA2287">
        <w:t>’</w:t>
      </w:r>
      <w:r w:rsidR="003D640C">
        <w:t xml:space="preserve"> </w:t>
      </w:r>
      <w:r w:rsidR="008B0FA9" w:rsidRPr="00DA2287">
        <w:t>reminding</w:t>
      </w:r>
      <w:r w:rsidR="003D640C">
        <w:t xml:space="preserve"> </w:t>
      </w:r>
      <w:r w:rsidR="008B0FA9" w:rsidRPr="00DA2287">
        <w:t>their</w:t>
      </w:r>
      <w:r w:rsidR="003D640C">
        <w:t xml:space="preserve"> </w:t>
      </w:r>
      <w:r w:rsidR="008B0FA9" w:rsidRPr="00DA2287">
        <w:t>children</w:t>
      </w:r>
      <w:r w:rsidR="003D640C">
        <w:t xml:space="preserve"> </w:t>
      </w:r>
      <w:r w:rsidR="008B0FA9" w:rsidRPr="00DA2287">
        <w:t>to</w:t>
      </w:r>
      <w:r w:rsidR="003D640C">
        <w:t xml:space="preserve"> </w:t>
      </w:r>
      <w:r w:rsidR="008B0FA9" w:rsidRPr="00DA2287">
        <w:t>conform</w:t>
      </w:r>
      <w:r w:rsidR="003D640C">
        <w:t xml:space="preserve"> </w:t>
      </w:r>
      <w:r w:rsidR="008B0FA9" w:rsidRPr="00DA2287">
        <w:t>to</w:t>
      </w:r>
      <w:r w:rsidR="003D640C">
        <w:t xml:space="preserve"> </w:t>
      </w:r>
      <w:r w:rsidR="008B0FA9" w:rsidRPr="00DA2287">
        <w:t>their</w:t>
      </w:r>
      <w:r w:rsidR="003D640C">
        <w:t xml:space="preserve"> </w:t>
      </w:r>
      <w:r w:rsidR="008B0FA9" w:rsidRPr="00DA2287">
        <w:t>expectation</w:t>
      </w:r>
      <w:r w:rsidR="003D640C">
        <w:t xml:space="preserve"> </w:t>
      </w:r>
      <w:r w:rsidR="008B0FA9" w:rsidRPr="00DA2287">
        <w:t>of</w:t>
      </w:r>
      <w:r w:rsidR="003D640C">
        <w:t xml:space="preserve"> </w:t>
      </w:r>
      <w:r w:rsidR="008B0FA9" w:rsidRPr="00DA2287">
        <w:t>the</w:t>
      </w:r>
      <w:r w:rsidR="003D640C">
        <w:t xml:space="preserve"> </w:t>
      </w:r>
      <w:r w:rsidR="008B0FA9" w:rsidRPr="00DA2287">
        <w:t>gender</w:t>
      </w:r>
      <w:r w:rsidR="003D640C">
        <w:t xml:space="preserve"> </w:t>
      </w:r>
      <w:r w:rsidR="008B0FA9" w:rsidRPr="00DA2287">
        <w:t>they</w:t>
      </w:r>
      <w:r w:rsidR="003D640C">
        <w:t xml:space="preserve"> </w:t>
      </w:r>
      <w:r w:rsidR="008B0FA9" w:rsidRPr="00DA2287">
        <w:t>knew</w:t>
      </w:r>
      <w:r w:rsidR="003D640C">
        <w:t xml:space="preserve"> </w:t>
      </w:r>
      <w:r w:rsidR="008B0FA9" w:rsidRPr="00DA2287">
        <w:t>them</w:t>
      </w:r>
      <w:r w:rsidR="003D640C">
        <w:t xml:space="preserve"> </w:t>
      </w:r>
      <w:r w:rsidR="008B0FA9" w:rsidRPr="00DA2287">
        <w:t>to</w:t>
      </w:r>
      <w:r w:rsidR="003D640C">
        <w:t xml:space="preserve"> </w:t>
      </w:r>
      <w:r w:rsidR="008B0FA9" w:rsidRPr="00DA2287">
        <w:t>be</w:t>
      </w:r>
      <w:r w:rsidR="003D640C">
        <w:t xml:space="preserve"> </w:t>
      </w:r>
      <w:r w:rsidR="008B0FA9" w:rsidRPr="00DA2287">
        <w:t>through</w:t>
      </w:r>
      <w:r w:rsidR="003D640C">
        <w:t xml:space="preserve"> </w:t>
      </w:r>
      <w:r w:rsidR="008B0FA9" w:rsidRPr="00DA2287">
        <w:t>references</w:t>
      </w:r>
      <w:r w:rsidR="003D640C">
        <w:t xml:space="preserve"> </w:t>
      </w:r>
      <w:r w:rsidR="008B0FA9" w:rsidRPr="00DA2287">
        <w:t>to</w:t>
      </w:r>
      <w:r w:rsidR="003D640C">
        <w:t xml:space="preserve"> </w:t>
      </w:r>
      <w:r w:rsidR="009B1B7E">
        <w:t>“</w:t>
      </w:r>
      <w:r w:rsidR="008B0FA9" w:rsidRPr="00DA2287">
        <w:t>their</w:t>
      </w:r>
      <w:r w:rsidR="003D640C">
        <w:t xml:space="preserve"> </w:t>
      </w:r>
      <w:r w:rsidR="008B0FA9" w:rsidRPr="00DA2287">
        <w:t>clothing,</w:t>
      </w:r>
      <w:r w:rsidR="003D640C">
        <w:t xml:space="preserve"> </w:t>
      </w:r>
      <w:r w:rsidR="008B0FA9" w:rsidRPr="00DA2287">
        <w:t>hairstyles,</w:t>
      </w:r>
      <w:r w:rsidR="003D640C">
        <w:t xml:space="preserve"> </w:t>
      </w:r>
      <w:r w:rsidR="008B0FA9" w:rsidRPr="00DA2287">
        <w:t>or</w:t>
      </w:r>
      <w:r w:rsidR="003D640C">
        <w:t xml:space="preserve"> </w:t>
      </w:r>
      <w:r w:rsidR="008B0FA9" w:rsidRPr="00DA2287">
        <w:t>other</w:t>
      </w:r>
      <w:r w:rsidR="003D640C">
        <w:t xml:space="preserve"> </w:t>
      </w:r>
      <w:r w:rsidR="008B0FA9" w:rsidRPr="00DA2287">
        <w:t>factors</w:t>
      </w:r>
      <w:r w:rsidR="003D640C">
        <w:t xml:space="preserve"> </w:t>
      </w:r>
      <w:r w:rsidR="008B0FA9" w:rsidRPr="00DA2287">
        <w:t>that</w:t>
      </w:r>
      <w:r w:rsidR="003D640C">
        <w:t xml:space="preserve"> </w:t>
      </w:r>
      <w:r w:rsidR="008B0FA9" w:rsidRPr="00DA2287">
        <w:t>aligned</w:t>
      </w:r>
      <w:r w:rsidR="003D640C">
        <w:t xml:space="preserve"> </w:t>
      </w:r>
      <w:r w:rsidR="008B0FA9" w:rsidRPr="00DA2287">
        <w:t>with</w:t>
      </w:r>
      <w:r w:rsidR="003D640C">
        <w:t xml:space="preserve"> </w:t>
      </w:r>
      <w:r w:rsidR="008B0FA9" w:rsidRPr="00DA2287">
        <w:t>these</w:t>
      </w:r>
      <w:r w:rsidR="003D640C">
        <w:t xml:space="preserve"> </w:t>
      </w:r>
      <w:r w:rsidR="008B0FA9" w:rsidRPr="00DA2287">
        <w:t>expectations</w:t>
      </w:r>
      <w:r w:rsidR="0017792F">
        <w:t>.</w:t>
      </w:r>
      <w:r w:rsidR="009B1B7E">
        <w:t>”</w:t>
      </w:r>
    </w:p>
    <w:p w14:paraId="473B5B18" w14:textId="77777777" w:rsidR="00501068" w:rsidRDefault="008B0FA9" w:rsidP="00323E57">
      <w:r w:rsidRPr="00DA2287">
        <w:t>Conversion</w:t>
      </w:r>
      <w:r w:rsidR="003D640C">
        <w:t xml:space="preserve"> </w:t>
      </w:r>
      <w:r w:rsidRPr="00DA2287">
        <w:t>practices</w:t>
      </w:r>
      <w:r w:rsidR="003D640C">
        <w:t xml:space="preserve"> </w:t>
      </w:r>
      <w:r w:rsidRPr="00DA2287">
        <w:t>and</w:t>
      </w:r>
      <w:r w:rsidR="003D640C">
        <w:t xml:space="preserve"> </w:t>
      </w:r>
      <w:r w:rsidRPr="00DA2287">
        <w:t>assertion</w:t>
      </w:r>
      <w:r w:rsidR="003D640C">
        <w:t xml:space="preserve"> </w:t>
      </w:r>
      <w:r w:rsidRPr="00DA2287">
        <w:t>of</w:t>
      </w:r>
      <w:r w:rsidR="003D640C">
        <w:t xml:space="preserve"> </w:t>
      </w:r>
      <w:r w:rsidRPr="00DA2287">
        <w:t>conversion</w:t>
      </w:r>
      <w:r w:rsidR="003D640C">
        <w:t xml:space="preserve"> </w:t>
      </w:r>
      <w:r w:rsidRPr="00DA2287">
        <w:t>ideology</w:t>
      </w:r>
      <w:r w:rsidR="003D640C">
        <w:t xml:space="preserve"> </w:t>
      </w:r>
      <w:r w:rsidRPr="00DA2287">
        <w:t>that</w:t>
      </w:r>
      <w:r w:rsidR="003D640C">
        <w:t xml:space="preserve"> </w:t>
      </w:r>
      <w:r w:rsidRPr="00DA2287">
        <w:t>we</w:t>
      </w:r>
      <w:r w:rsidR="003D640C">
        <w:t xml:space="preserve"> </w:t>
      </w:r>
      <w:r w:rsidRPr="00DA2287">
        <w:t>have</w:t>
      </w:r>
      <w:r w:rsidR="003D640C">
        <w:t xml:space="preserve"> </w:t>
      </w:r>
      <w:r w:rsidRPr="00DA2287">
        <w:t>been</w:t>
      </w:r>
      <w:r w:rsidR="003D640C">
        <w:t xml:space="preserve"> </w:t>
      </w:r>
      <w:r w:rsidR="00A91FD5" w:rsidRPr="00DA2287">
        <w:t>told</w:t>
      </w:r>
      <w:r w:rsidR="003D640C">
        <w:t xml:space="preserve"> </w:t>
      </w:r>
      <w:r w:rsidR="00A91FD5" w:rsidRPr="00DA2287">
        <w:t>about</w:t>
      </w:r>
      <w:r w:rsidR="003D640C">
        <w:t xml:space="preserve"> </w:t>
      </w:r>
      <w:r w:rsidR="00A91FD5" w:rsidRPr="00DA2287">
        <w:t>in</w:t>
      </w:r>
      <w:r w:rsidR="003D640C">
        <w:t xml:space="preserve"> </w:t>
      </w:r>
      <w:r w:rsidR="00A91FD5" w:rsidRPr="00DA2287">
        <w:t>our</w:t>
      </w:r>
      <w:r w:rsidR="003D640C">
        <w:t xml:space="preserve"> </w:t>
      </w:r>
      <w:r w:rsidRPr="00DA2287">
        <w:t>engagement</w:t>
      </w:r>
      <w:r w:rsidR="003D640C">
        <w:t xml:space="preserve"> </w:t>
      </w:r>
      <w:r w:rsidRPr="00DA2287">
        <w:t>include:</w:t>
      </w:r>
    </w:p>
    <w:p w14:paraId="037AAC53" w14:textId="4C50CC1D" w:rsidR="008B0FA9" w:rsidRPr="00DA2287" w:rsidRDefault="004A20CE" w:rsidP="00323E57">
      <w:pPr>
        <w:pStyle w:val="Bullet"/>
      </w:pPr>
      <w:r>
        <w:lastRenderedPageBreak/>
        <w:t>a</w:t>
      </w:r>
      <w:r w:rsidR="008B0FA9" w:rsidRPr="00DA2287">
        <w:t>n</w:t>
      </w:r>
      <w:r w:rsidR="003D640C">
        <w:t xml:space="preserve"> </w:t>
      </w:r>
      <w:r w:rsidR="008B0FA9" w:rsidRPr="00DA2287">
        <w:t>individual</w:t>
      </w:r>
      <w:r w:rsidR="003D640C">
        <w:t xml:space="preserve"> </w:t>
      </w:r>
      <w:r w:rsidR="008B0FA9" w:rsidRPr="00DA2287">
        <w:t>at</w:t>
      </w:r>
      <w:r w:rsidR="003D640C">
        <w:t xml:space="preserve"> </w:t>
      </w:r>
      <w:r w:rsidR="008B0FA9" w:rsidRPr="00DA2287">
        <w:t>a</w:t>
      </w:r>
      <w:r w:rsidR="003D640C">
        <w:t xml:space="preserve"> </w:t>
      </w:r>
      <w:r w:rsidR="008B0FA9" w:rsidRPr="00DA2287">
        <w:t>Catholic</w:t>
      </w:r>
      <w:r w:rsidR="003D640C">
        <w:t xml:space="preserve"> </w:t>
      </w:r>
      <w:r w:rsidR="008B0FA9" w:rsidRPr="00DA2287">
        <w:t>boys’</w:t>
      </w:r>
      <w:r w:rsidR="003D640C">
        <w:t xml:space="preserve"> </w:t>
      </w:r>
      <w:r w:rsidR="008B0FA9" w:rsidRPr="00DA2287">
        <w:t>secondary</w:t>
      </w:r>
      <w:r w:rsidR="003D640C">
        <w:t xml:space="preserve"> </w:t>
      </w:r>
      <w:r w:rsidR="008B0FA9" w:rsidRPr="00DA2287">
        <w:t>school</w:t>
      </w:r>
      <w:r w:rsidR="003D640C">
        <w:t xml:space="preserve"> </w:t>
      </w:r>
      <w:r w:rsidR="008B0FA9" w:rsidRPr="00DA2287">
        <w:t>being</w:t>
      </w:r>
      <w:r w:rsidR="003D640C">
        <w:t xml:space="preserve"> </w:t>
      </w:r>
      <w:r w:rsidR="008B0FA9" w:rsidRPr="00DA2287">
        <w:t>sent</w:t>
      </w:r>
      <w:r w:rsidR="003D640C">
        <w:t xml:space="preserve"> </w:t>
      </w:r>
      <w:r w:rsidR="008B0FA9" w:rsidRPr="00DA2287">
        <w:t>to</w:t>
      </w:r>
      <w:r w:rsidR="003D640C">
        <w:t xml:space="preserve"> </w:t>
      </w:r>
      <w:r w:rsidR="008B0FA9" w:rsidRPr="00DA2287">
        <w:t>counselling</w:t>
      </w:r>
      <w:r w:rsidR="003D640C">
        <w:t xml:space="preserve"> </w:t>
      </w:r>
      <w:r w:rsidR="008B0FA9" w:rsidRPr="00DA2287">
        <w:t>services</w:t>
      </w:r>
      <w:r w:rsidR="003D640C">
        <w:t xml:space="preserve"> </w:t>
      </w:r>
      <w:r w:rsidR="008B0FA9" w:rsidRPr="00DA2287">
        <w:t>for</w:t>
      </w:r>
      <w:r w:rsidR="003D640C">
        <w:t xml:space="preserve"> </w:t>
      </w:r>
      <w:r w:rsidR="008B0FA9" w:rsidRPr="00DA2287">
        <w:t>presenting</w:t>
      </w:r>
      <w:r w:rsidR="003D640C">
        <w:t xml:space="preserve"> </w:t>
      </w:r>
      <w:r w:rsidR="008B0FA9" w:rsidRPr="00DA2287">
        <w:t>with</w:t>
      </w:r>
      <w:r w:rsidR="003D640C">
        <w:t xml:space="preserve"> </w:t>
      </w:r>
      <w:r w:rsidR="008B0FA9" w:rsidRPr="00DA2287">
        <w:t>‘feminine</w:t>
      </w:r>
      <w:r w:rsidR="003D640C">
        <w:t xml:space="preserve"> </w:t>
      </w:r>
      <w:r w:rsidR="008B0FA9" w:rsidRPr="00DA2287">
        <w:t>traits’</w:t>
      </w:r>
      <w:r w:rsidR="003D640C">
        <w:t xml:space="preserve"> </w:t>
      </w:r>
      <w:r w:rsidR="009B1B7E">
        <w:t>–</w:t>
      </w:r>
      <w:r w:rsidR="003D640C">
        <w:t xml:space="preserve"> </w:t>
      </w:r>
      <w:r>
        <w:t>a</w:t>
      </w:r>
      <w:r w:rsidR="008B0FA9" w:rsidRPr="00DA2287">
        <w:t>t</w:t>
      </w:r>
      <w:r w:rsidR="003D640C">
        <w:t xml:space="preserve"> </w:t>
      </w:r>
      <w:r w:rsidR="008B0FA9" w:rsidRPr="00DA2287">
        <w:t>this</w:t>
      </w:r>
      <w:r w:rsidR="003D640C">
        <w:t xml:space="preserve"> </w:t>
      </w:r>
      <w:r w:rsidR="008B0FA9" w:rsidRPr="00DA2287">
        <w:t>same</w:t>
      </w:r>
      <w:r w:rsidR="003D640C">
        <w:t xml:space="preserve"> </w:t>
      </w:r>
      <w:r w:rsidR="008B0FA9" w:rsidRPr="00DA2287">
        <w:t>school,</w:t>
      </w:r>
      <w:r w:rsidR="003D640C">
        <w:t xml:space="preserve"> </w:t>
      </w:r>
      <w:r w:rsidR="008B0FA9" w:rsidRPr="00DA2287">
        <w:t>religious</w:t>
      </w:r>
      <w:r w:rsidR="003D640C">
        <w:t xml:space="preserve"> </w:t>
      </w:r>
      <w:r w:rsidR="008B0FA9" w:rsidRPr="00DA2287">
        <w:t>education</w:t>
      </w:r>
      <w:r w:rsidR="003D640C">
        <w:t xml:space="preserve"> </w:t>
      </w:r>
      <w:r w:rsidR="008B0FA9" w:rsidRPr="00DA2287">
        <w:t>classes</w:t>
      </w:r>
      <w:r w:rsidR="003D640C">
        <w:t xml:space="preserve"> </w:t>
      </w:r>
      <w:r w:rsidR="008B0FA9" w:rsidRPr="00DA2287">
        <w:t>were</w:t>
      </w:r>
      <w:r w:rsidR="003D640C">
        <w:t xml:space="preserve"> </w:t>
      </w:r>
      <w:r w:rsidR="008B0FA9" w:rsidRPr="00DA2287">
        <w:t>used</w:t>
      </w:r>
      <w:r w:rsidR="003D640C">
        <w:t xml:space="preserve"> </w:t>
      </w:r>
      <w:r w:rsidR="008B0FA9" w:rsidRPr="00DA2287">
        <w:t>to</w:t>
      </w:r>
      <w:r w:rsidR="003D640C">
        <w:t xml:space="preserve"> </w:t>
      </w:r>
      <w:r w:rsidR="008B0FA9" w:rsidRPr="00DA2287">
        <w:t>teach</w:t>
      </w:r>
      <w:r w:rsidR="003D640C">
        <w:t xml:space="preserve"> </w:t>
      </w:r>
      <w:r w:rsidR="008B0FA9" w:rsidRPr="00DA2287">
        <w:t>the</w:t>
      </w:r>
      <w:r w:rsidR="003D640C">
        <w:t xml:space="preserve"> </w:t>
      </w:r>
      <w:r w:rsidR="008B0FA9" w:rsidRPr="00DA2287">
        <w:t>‘sinful’</w:t>
      </w:r>
      <w:r w:rsidR="003D640C">
        <w:t xml:space="preserve"> </w:t>
      </w:r>
      <w:r w:rsidR="008B0FA9" w:rsidRPr="00DA2287">
        <w:t>nature</w:t>
      </w:r>
      <w:r w:rsidR="003D640C">
        <w:t xml:space="preserve"> </w:t>
      </w:r>
      <w:r w:rsidR="008B0FA9" w:rsidRPr="00DA2287">
        <w:t>of</w:t>
      </w:r>
      <w:r w:rsidR="003D640C">
        <w:t xml:space="preserve"> </w:t>
      </w:r>
      <w:r w:rsidR="008B0FA9" w:rsidRPr="00DA2287">
        <w:t>gay</w:t>
      </w:r>
      <w:r w:rsidR="003D640C">
        <w:t xml:space="preserve"> </w:t>
      </w:r>
      <w:r w:rsidR="008B0FA9" w:rsidRPr="00DA2287">
        <w:t>sex</w:t>
      </w:r>
      <w:r w:rsidR="003D640C">
        <w:t xml:space="preserve"> </w:t>
      </w:r>
      <w:r w:rsidR="008B0FA9" w:rsidRPr="00DA2287">
        <w:t>and</w:t>
      </w:r>
      <w:r w:rsidR="003D640C">
        <w:t xml:space="preserve"> </w:t>
      </w:r>
      <w:r w:rsidR="008B0FA9" w:rsidRPr="00DA2287">
        <w:t>relationships</w:t>
      </w:r>
    </w:p>
    <w:p w14:paraId="143193CB" w14:textId="54A9F437" w:rsidR="008B0FA9" w:rsidRPr="00DA2287" w:rsidRDefault="004A20CE" w:rsidP="00323E57">
      <w:pPr>
        <w:pStyle w:val="Bullet"/>
      </w:pPr>
      <w:r>
        <w:t>f</w:t>
      </w:r>
      <w:r w:rsidR="008B0FA9" w:rsidRPr="00DA2287">
        <w:t>orced</w:t>
      </w:r>
      <w:r w:rsidR="003D640C">
        <w:t xml:space="preserve"> </w:t>
      </w:r>
      <w:r w:rsidR="008B0FA9" w:rsidRPr="00DA2287">
        <w:t>heterosexual</w:t>
      </w:r>
      <w:r w:rsidR="003D640C">
        <w:t xml:space="preserve"> </w:t>
      </w:r>
      <w:r w:rsidR="008B0FA9" w:rsidRPr="00DA2287">
        <w:t>marriage</w:t>
      </w:r>
      <w:r w:rsidR="003D640C">
        <w:t xml:space="preserve"> </w:t>
      </w:r>
      <w:r w:rsidR="008B0FA9" w:rsidRPr="00DA2287">
        <w:t>where</w:t>
      </w:r>
      <w:r w:rsidR="003D640C">
        <w:t xml:space="preserve"> </w:t>
      </w:r>
      <w:r w:rsidR="008B0FA9" w:rsidRPr="00DA2287">
        <w:t>an</w:t>
      </w:r>
      <w:r w:rsidR="003D640C">
        <w:t xml:space="preserve"> </w:t>
      </w:r>
      <w:r w:rsidR="008B0FA9" w:rsidRPr="00DA2287">
        <w:t>individual</w:t>
      </w:r>
      <w:r w:rsidR="003D640C">
        <w:t xml:space="preserve"> </w:t>
      </w:r>
      <w:r w:rsidR="008B0FA9" w:rsidRPr="00DA2287">
        <w:t>is</w:t>
      </w:r>
      <w:r w:rsidR="003D640C">
        <w:t xml:space="preserve"> </w:t>
      </w:r>
      <w:r w:rsidR="008B0FA9" w:rsidRPr="00DA2287">
        <w:t>taken</w:t>
      </w:r>
      <w:r w:rsidR="003D640C">
        <w:t xml:space="preserve"> </w:t>
      </w:r>
      <w:r w:rsidR="008B0FA9" w:rsidRPr="00DA2287">
        <w:t>back</w:t>
      </w:r>
      <w:r w:rsidR="003D640C">
        <w:t xml:space="preserve"> </w:t>
      </w:r>
      <w:r w:rsidR="008B0FA9" w:rsidRPr="00DA2287">
        <w:t>to</w:t>
      </w:r>
      <w:r w:rsidR="003D640C">
        <w:t xml:space="preserve"> </w:t>
      </w:r>
      <w:r w:rsidR="008B0FA9" w:rsidRPr="00DA2287">
        <w:t>their</w:t>
      </w:r>
      <w:r w:rsidR="003D640C">
        <w:t xml:space="preserve"> </w:t>
      </w:r>
      <w:r w:rsidR="008B0FA9" w:rsidRPr="00DA2287">
        <w:t>ancestral</w:t>
      </w:r>
      <w:r w:rsidR="003D640C">
        <w:t xml:space="preserve"> </w:t>
      </w:r>
      <w:r w:rsidR="008B0FA9" w:rsidRPr="00DA2287">
        <w:t>home</w:t>
      </w:r>
      <w:r w:rsidR="00661A84" w:rsidRPr="00DA2287">
        <w:t>land</w:t>
      </w:r>
      <w:r w:rsidR="003D640C">
        <w:t xml:space="preserve"> </w:t>
      </w:r>
      <w:r w:rsidR="008B0FA9" w:rsidRPr="00DA2287">
        <w:t>to</w:t>
      </w:r>
      <w:r w:rsidR="003D640C">
        <w:t xml:space="preserve"> </w:t>
      </w:r>
      <w:r w:rsidR="008B0FA9" w:rsidRPr="00DA2287">
        <w:t>be</w:t>
      </w:r>
      <w:r w:rsidR="003D640C">
        <w:t xml:space="preserve"> </w:t>
      </w:r>
      <w:r w:rsidR="008B0FA9" w:rsidRPr="00DA2287">
        <w:t>married</w:t>
      </w:r>
      <w:r w:rsidR="003D640C">
        <w:t xml:space="preserve"> </w:t>
      </w:r>
      <w:r w:rsidR="008B0FA9" w:rsidRPr="00DA2287">
        <w:t>so</w:t>
      </w:r>
      <w:r w:rsidR="003D640C">
        <w:t xml:space="preserve"> </w:t>
      </w:r>
      <w:r w:rsidR="008B0FA9" w:rsidRPr="00DA2287">
        <w:t>they</w:t>
      </w:r>
      <w:r w:rsidR="003D640C">
        <w:t xml:space="preserve"> </w:t>
      </w:r>
      <w:r w:rsidR="008B0FA9" w:rsidRPr="00DA2287">
        <w:t>can</w:t>
      </w:r>
      <w:r w:rsidR="003D640C">
        <w:t xml:space="preserve"> </w:t>
      </w:r>
      <w:r w:rsidR="008B0FA9" w:rsidRPr="00DA2287">
        <w:t>uphold</w:t>
      </w:r>
      <w:r w:rsidR="003D640C">
        <w:t xml:space="preserve"> </w:t>
      </w:r>
      <w:r w:rsidR="008B0FA9" w:rsidRPr="00DA2287">
        <w:t>the</w:t>
      </w:r>
      <w:r w:rsidR="003D640C">
        <w:t xml:space="preserve"> </w:t>
      </w:r>
      <w:r w:rsidR="008B0FA9" w:rsidRPr="00DA2287">
        <w:t>status</w:t>
      </w:r>
      <w:r w:rsidR="003D640C">
        <w:t xml:space="preserve"> </w:t>
      </w:r>
      <w:r w:rsidR="008B0FA9" w:rsidRPr="00DA2287">
        <w:t>of</w:t>
      </w:r>
      <w:r w:rsidR="003D640C">
        <w:t xml:space="preserve"> </w:t>
      </w:r>
      <w:r w:rsidR="008B0FA9" w:rsidRPr="00DA2287">
        <w:t>the</w:t>
      </w:r>
      <w:r w:rsidR="003D640C">
        <w:t xml:space="preserve"> </w:t>
      </w:r>
      <w:r w:rsidR="008B0FA9" w:rsidRPr="00DA2287">
        <w:t>family</w:t>
      </w:r>
    </w:p>
    <w:p w14:paraId="4CFF8998" w14:textId="3E1AE1B0" w:rsidR="008B0FA9" w:rsidRPr="00DA2287" w:rsidRDefault="008B0FA9" w:rsidP="00323E57">
      <w:pPr>
        <w:pStyle w:val="Bullet"/>
      </w:pPr>
      <w:r w:rsidRPr="00DA2287">
        <w:t>‘</w:t>
      </w:r>
      <w:r w:rsidR="004A20CE">
        <w:t>b</w:t>
      </w:r>
      <w:r w:rsidRPr="00DA2287">
        <w:t>lack</w:t>
      </w:r>
      <w:r w:rsidR="003D640C">
        <w:t xml:space="preserve"> </w:t>
      </w:r>
      <w:r w:rsidRPr="00DA2287">
        <w:t>market’</w:t>
      </w:r>
      <w:r w:rsidR="003D640C">
        <w:t xml:space="preserve"> </w:t>
      </w:r>
      <w:r w:rsidRPr="00DA2287">
        <w:t>hormones</w:t>
      </w:r>
      <w:r w:rsidR="003D640C">
        <w:t xml:space="preserve"> </w:t>
      </w:r>
      <w:r w:rsidRPr="00DA2287">
        <w:t>and</w:t>
      </w:r>
      <w:r w:rsidR="003D640C">
        <w:t xml:space="preserve"> </w:t>
      </w:r>
      <w:r w:rsidRPr="00DA2287">
        <w:t>herbal</w:t>
      </w:r>
      <w:r w:rsidR="003D640C">
        <w:t xml:space="preserve"> </w:t>
      </w:r>
      <w:r w:rsidRPr="00DA2287">
        <w:t>remedies</w:t>
      </w:r>
      <w:r w:rsidR="003D640C">
        <w:t xml:space="preserve"> </w:t>
      </w:r>
      <w:r w:rsidRPr="00DA2287">
        <w:t>to</w:t>
      </w:r>
      <w:r w:rsidR="003D640C">
        <w:t xml:space="preserve"> </w:t>
      </w:r>
      <w:r w:rsidRPr="00DA2287">
        <w:t>demasculinise</w:t>
      </w:r>
      <w:r w:rsidR="003D640C">
        <w:t xml:space="preserve"> </w:t>
      </w:r>
      <w:r w:rsidRPr="00DA2287">
        <w:t>or</w:t>
      </w:r>
      <w:r w:rsidR="003D640C">
        <w:t xml:space="preserve"> </w:t>
      </w:r>
      <w:r w:rsidRPr="00DA2287">
        <w:t>defeminise</w:t>
      </w:r>
      <w:r w:rsidR="003D640C">
        <w:t xml:space="preserve"> </w:t>
      </w:r>
      <w:r w:rsidRPr="00DA2287">
        <w:t>an</w:t>
      </w:r>
      <w:r w:rsidR="003D640C">
        <w:t xml:space="preserve"> </w:t>
      </w:r>
      <w:r w:rsidRPr="00DA2287">
        <w:t>individual</w:t>
      </w:r>
    </w:p>
    <w:p w14:paraId="024E6490" w14:textId="253E19E8" w:rsidR="008B0FA9" w:rsidRPr="00DA2287" w:rsidRDefault="004A20CE" w:rsidP="00323E57">
      <w:pPr>
        <w:pStyle w:val="Bullet"/>
      </w:pPr>
      <w:r>
        <w:t>m</w:t>
      </w:r>
      <w:r w:rsidR="008B0FA9" w:rsidRPr="00DA2287">
        <w:t>ental</w:t>
      </w:r>
      <w:r w:rsidR="003D640C">
        <w:t xml:space="preserve"> </w:t>
      </w:r>
      <w:r w:rsidR="008B0FA9" w:rsidRPr="00DA2287">
        <w:t>and</w:t>
      </w:r>
      <w:r w:rsidR="003D640C">
        <w:t xml:space="preserve"> </w:t>
      </w:r>
      <w:r w:rsidR="008B0FA9" w:rsidRPr="00DA2287">
        <w:t>physical</w:t>
      </w:r>
      <w:r w:rsidR="003D640C">
        <w:t xml:space="preserve"> </w:t>
      </w:r>
      <w:r w:rsidR="008B0FA9" w:rsidRPr="00DA2287">
        <w:t>punishment</w:t>
      </w:r>
      <w:r w:rsidR="003D640C">
        <w:t xml:space="preserve"> </w:t>
      </w:r>
      <w:r w:rsidR="008B0FA9" w:rsidRPr="00DA2287">
        <w:t>for</w:t>
      </w:r>
      <w:r w:rsidR="003D640C">
        <w:t xml:space="preserve"> </w:t>
      </w:r>
      <w:r w:rsidR="008B0FA9" w:rsidRPr="00DA2287">
        <w:t>reading</w:t>
      </w:r>
      <w:r w:rsidR="003D640C">
        <w:t xml:space="preserve"> </w:t>
      </w:r>
      <w:r w:rsidR="008B0FA9" w:rsidRPr="00DA2287">
        <w:t>or</w:t>
      </w:r>
      <w:r w:rsidR="003D640C">
        <w:t xml:space="preserve"> </w:t>
      </w:r>
      <w:r w:rsidR="008B0FA9" w:rsidRPr="00DA2287">
        <w:t>watching</w:t>
      </w:r>
      <w:r w:rsidR="003D640C">
        <w:t xml:space="preserve"> </w:t>
      </w:r>
      <w:r w:rsidR="00661A84" w:rsidRPr="00DA2287">
        <w:t>R</w:t>
      </w:r>
      <w:r w:rsidR="008B0FA9" w:rsidRPr="00DA2287">
        <w:t>ainbow</w:t>
      </w:r>
      <w:r w:rsidR="003D640C">
        <w:t xml:space="preserve"> </w:t>
      </w:r>
      <w:r w:rsidR="008B0FA9" w:rsidRPr="00DA2287">
        <w:t>media</w:t>
      </w:r>
      <w:r w:rsidR="003D640C">
        <w:t xml:space="preserve"> </w:t>
      </w:r>
      <w:r w:rsidR="008B0FA9" w:rsidRPr="00DA2287">
        <w:t>such</w:t>
      </w:r>
      <w:r w:rsidR="003D640C">
        <w:t xml:space="preserve"> </w:t>
      </w:r>
      <w:r w:rsidR="008B0FA9" w:rsidRPr="00DA2287">
        <w:t>as</w:t>
      </w:r>
      <w:r w:rsidR="003D640C">
        <w:t xml:space="preserve"> </w:t>
      </w:r>
      <w:r w:rsidR="008B0FA9" w:rsidRPr="00DA2287">
        <w:t>magazines,</w:t>
      </w:r>
      <w:r w:rsidR="003D640C">
        <w:t xml:space="preserve"> </w:t>
      </w:r>
      <w:r w:rsidR="008B0FA9" w:rsidRPr="00DA2287">
        <w:t>music,</w:t>
      </w:r>
      <w:r w:rsidR="003D640C">
        <w:t xml:space="preserve"> </w:t>
      </w:r>
      <w:r w:rsidR="008B0FA9" w:rsidRPr="00DA2287">
        <w:t>film</w:t>
      </w:r>
      <w:r w:rsidR="00F04606">
        <w:t>s</w:t>
      </w:r>
      <w:r w:rsidR="008B0FA9" w:rsidRPr="00DA2287">
        <w:t>,</w:t>
      </w:r>
      <w:r w:rsidR="003D640C">
        <w:t xml:space="preserve"> </w:t>
      </w:r>
      <w:r w:rsidR="008B0FA9" w:rsidRPr="00DA2287">
        <w:t>or</w:t>
      </w:r>
      <w:r w:rsidR="003D640C">
        <w:t xml:space="preserve"> </w:t>
      </w:r>
      <w:r w:rsidR="008B0FA9" w:rsidRPr="00DA2287">
        <w:t>other</w:t>
      </w:r>
      <w:r w:rsidR="003D640C">
        <w:t xml:space="preserve"> </w:t>
      </w:r>
      <w:r w:rsidR="008B0FA9" w:rsidRPr="00DA2287">
        <w:t>literature</w:t>
      </w:r>
    </w:p>
    <w:p w14:paraId="31D7C4D8" w14:textId="6E4FACB4" w:rsidR="008B0FA9" w:rsidRPr="00DA2287" w:rsidRDefault="004A20CE" w:rsidP="00323E57">
      <w:pPr>
        <w:pStyle w:val="Bullet"/>
      </w:pPr>
      <w:r>
        <w:t>w</w:t>
      </w:r>
      <w:r w:rsidR="008B0FA9" w:rsidRPr="00DA2287">
        <w:t>eaponising</w:t>
      </w:r>
      <w:r w:rsidR="003D640C">
        <w:t xml:space="preserve"> </w:t>
      </w:r>
      <w:r w:rsidR="008B0FA9" w:rsidRPr="00DA2287">
        <w:t>of</w:t>
      </w:r>
      <w:r w:rsidR="003D640C">
        <w:t xml:space="preserve"> </w:t>
      </w:r>
      <w:r w:rsidR="008B0FA9" w:rsidRPr="00DA2287">
        <w:t>religious</w:t>
      </w:r>
      <w:r w:rsidR="003D640C">
        <w:t xml:space="preserve"> </w:t>
      </w:r>
      <w:r w:rsidR="008B0FA9" w:rsidRPr="00DA2287">
        <w:t>doctrine</w:t>
      </w:r>
      <w:r w:rsidR="003D640C">
        <w:t xml:space="preserve"> </w:t>
      </w:r>
      <w:r w:rsidR="008B0FA9" w:rsidRPr="00DA2287">
        <w:t>and</w:t>
      </w:r>
      <w:r w:rsidR="003D640C">
        <w:t xml:space="preserve"> </w:t>
      </w:r>
      <w:r w:rsidR="008B0FA9" w:rsidRPr="00DA2287">
        <w:t>dogma</w:t>
      </w:r>
      <w:r w:rsidR="00F04606">
        <w:t>.</w:t>
      </w:r>
    </w:p>
    <w:p w14:paraId="3DA74EDD" w14:textId="73593B98" w:rsidR="008B0FA9" w:rsidRPr="00DA2287" w:rsidRDefault="008B0FA9" w:rsidP="00323E57">
      <w:pPr>
        <w:pStyle w:val="Quote"/>
      </w:pPr>
      <w:r w:rsidRPr="00DA2287">
        <w:t>“If</w:t>
      </w:r>
      <w:r w:rsidR="003D640C">
        <w:t xml:space="preserve"> </w:t>
      </w:r>
      <w:r w:rsidRPr="00DA2287">
        <w:t>you</w:t>
      </w:r>
      <w:r w:rsidR="003D640C">
        <w:t xml:space="preserve"> </w:t>
      </w:r>
      <w:r w:rsidRPr="00DA2287">
        <w:t>are</w:t>
      </w:r>
      <w:r w:rsidR="003D640C">
        <w:t xml:space="preserve"> </w:t>
      </w:r>
      <w:r w:rsidRPr="00DA2287">
        <w:t>like</w:t>
      </w:r>
      <w:r w:rsidR="003D640C">
        <w:t xml:space="preserve"> </w:t>
      </w:r>
      <w:r w:rsidRPr="00DA2287">
        <w:t>that</w:t>
      </w:r>
      <w:r w:rsidR="003D640C">
        <w:t xml:space="preserve"> </w:t>
      </w:r>
      <w:r w:rsidR="00F04606">
        <w:t>[</w:t>
      </w:r>
      <w:r w:rsidR="00CC0F07">
        <w:t>R</w:t>
      </w:r>
      <w:r w:rsidRPr="00DA2287">
        <w:t>ainbow</w:t>
      </w:r>
      <w:r w:rsidR="00F04606">
        <w:t>],</w:t>
      </w:r>
      <w:r w:rsidR="003D640C">
        <w:t xml:space="preserve"> </w:t>
      </w:r>
      <w:r w:rsidRPr="00DA2287">
        <w:t>you</w:t>
      </w:r>
      <w:r w:rsidR="003D640C">
        <w:t xml:space="preserve"> </w:t>
      </w:r>
      <w:r w:rsidRPr="00DA2287">
        <w:t>will</w:t>
      </w:r>
      <w:r w:rsidR="003D640C">
        <w:t xml:space="preserve"> </w:t>
      </w:r>
      <w:r w:rsidRPr="00DA2287">
        <w:t>not</w:t>
      </w:r>
      <w:r w:rsidR="003D640C">
        <w:t xml:space="preserve"> </w:t>
      </w:r>
      <w:r w:rsidRPr="00DA2287">
        <w:t>be</w:t>
      </w:r>
      <w:r w:rsidR="003D640C">
        <w:t xml:space="preserve"> </w:t>
      </w:r>
      <w:r w:rsidRPr="00DA2287">
        <w:t>reincarnated,</w:t>
      </w:r>
      <w:r w:rsidR="003D640C">
        <w:t xml:space="preserve"> </w:t>
      </w:r>
      <w:r w:rsidRPr="00DA2287">
        <w:t>an</w:t>
      </w:r>
      <w:r w:rsidR="003D640C">
        <w:t xml:space="preserve"> </w:t>
      </w:r>
      <w:r w:rsidRPr="00DA2287">
        <w:t>important</w:t>
      </w:r>
      <w:r w:rsidR="003D640C">
        <w:t xml:space="preserve"> </w:t>
      </w:r>
      <w:r w:rsidRPr="00DA2287">
        <w:t>belief</w:t>
      </w:r>
      <w:r w:rsidR="003D640C">
        <w:t xml:space="preserve"> </w:t>
      </w:r>
      <w:r w:rsidRPr="00DA2287">
        <w:t>of</w:t>
      </w:r>
      <w:r w:rsidR="003D640C">
        <w:t xml:space="preserve"> </w:t>
      </w:r>
      <w:r w:rsidRPr="00DA2287">
        <w:t>afterlife</w:t>
      </w:r>
      <w:r w:rsidR="003D640C">
        <w:t xml:space="preserve"> </w:t>
      </w:r>
      <w:r w:rsidRPr="00DA2287">
        <w:t>in</w:t>
      </w:r>
      <w:r w:rsidR="003D640C">
        <w:t xml:space="preserve"> </w:t>
      </w:r>
      <w:r w:rsidRPr="00DA2287">
        <w:t>our</w:t>
      </w:r>
      <w:r w:rsidR="003D640C">
        <w:t xml:space="preserve"> </w:t>
      </w:r>
      <w:r w:rsidRPr="00DA2287">
        <w:t>Sinhalese</w:t>
      </w:r>
      <w:r w:rsidR="003D640C">
        <w:t xml:space="preserve"> </w:t>
      </w:r>
      <w:r w:rsidRPr="00DA2287">
        <w:t>Buddhist</w:t>
      </w:r>
      <w:r w:rsidR="003D640C">
        <w:t xml:space="preserve"> </w:t>
      </w:r>
      <w:r w:rsidRPr="00DA2287">
        <w:t>traditions.”</w:t>
      </w:r>
      <w:r w:rsidR="003D640C">
        <w:t xml:space="preserve"> </w:t>
      </w:r>
      <w:r w:rsidRPr="00DA2287">
        <w:t>Sri</w:t>
      </w:r>
      <w:r w:rsidR="003D640C">
        <w:t xml:space="preserve"> </w:t>
      </w:r>
      <w:r w:rsidRPr="00DA2287">
        <w:t>Lankan</w:t>
      </w:r>
      <w:r w:rsidR="003D640C">
        <w:t xml:space="preserve"> </w:t>
      </w:r>
      <w:r w:rsidRPr="00DA2287">
        <w:t>migrant,</w:t>
      </w:r>
      <w:r w:rsidR="003D640C">
        <w:t xml:space="preserve"> </w:t>
      </w:r>
      <w:r w:rsidRPr="00DA2287">
        <w:t>queer</w:t>
      </w:r>
      <w:r w:rsidR="003D640C">
        <w:t xml:space="preserve"> </w:t>
      </w:r>
    </w:p>
    <w:p w14:paraId="56893732" w14:textId="2277B198" w:rsidR="008B0FA9" w:rsidRPr="00DA2287" w:rsidRDefault="008B0FA9" w:rsidP="00323E57">
      <w:r w:rsidRPr="00DA2287">
        <w:t>The</w:t>
      </w:r>
      <w:r w:rsidR="003D640C">
        <w:t xml:space="preserve"> </w:t>
      </w:r>
      <w:r w:rsidRPr="00DA2287">
        <w:t>values</w:t>
      </w:r>
      <w:r w:rsidR="003D640C">
        <w:t xml:space="preserve"> </w:t>
      </w:r>
      <w:r w:rsidRPr="00DA2287">
        <w:t>of</w:t>
      </w:r>
      <w:r w:rsidR="003D640C">
        <w:t xml:space="preserve"> </w:t>
      </w:r>
      <w:r w:rsidRPr="00DA2287">
        <w:t>ethnic</w:t>
      </w:r>
      <w:r w:rsidR="003D640C">
        <w:t xml:space="preserve"> </w:t>
      </w:r>
      <w:r w:rsidRPr="00DA2287">
        <w:t>communities</w:t>
      </w:r>
      <w:r w:rsidR="003D640C">
        <w:t xml:space="preserve"> </w:t>
      </w:r>
      <w:r w:rsidRPr="00DA2287">
        <w:t>are</w:t>
      </w:r>
      <w:r w:rsidR="003D640C">
        <w:t xml:space="preserve"> </w:t>
      </w:r>
      <w:r w:rsidRPr="00DA2287">
        <w:t>passed</w:t>
      </w:r>
      <w:r w:rsidR="003D640C">
        <w:t xml:space="preserve"> </w:t>
      </w:r>
      <w:r w:rsidRPr="00DA2287">
        <w:t>through</w:t>
      </w:r>
      <w:r w:rsidR="003D640C">
        <w:t xml:space="preserve"> </w:t>
      </w:r>
      <w:r w:rsidRPr="00DA2287">
        <w:t>generations</w:t>
      </w:r>
      <w:r w:rsidR="003D640C">
        <w:t xml:space="preserve"> </w:t>
      </w:r>
      <w:r w:rsidRPr="00DA2287">
        <w:t>and</w:t>
      </w:r>
      <w:r w:rsidR="003D640C">
        <w:t xml:space="preserve"> </w:t>
      </w:r>
      <w:r w:rsidRPr="00DA2287">
        <w:t>influenced</w:t>
      </w:r>
      <w:r w:rsidR="003D640C">
        <w:t xml:space="preserve"> </w:t>
      </w:r>
      <w:r w:rsidRPr="00DA2287">
        <w:t>by</w:t>
      </w:r>
      <w:r w:rsidR="003D640C">
        <w:t xml:space="preserve"> </w:t>
      </w:r>
      <w:r w:rsidRPr="00DA2287">
        <w:t>tradition,</w:t>
      </w:r>
      <w:r w:rsidR="003D640C">
        <w:t xml:space="preserve"> </w:t>
      </w:r>
      <w:r w:rsidRPr="00DA2287">
        <w:t>religion,</w:t>
      </w:r>
      <w:r w:rsidR="003D640C">
        <w:t xml:space="preserve"> </w:t>
      </w:r>
      <w:r w:rsidRPr="00DA2287">
        <w:t>and</w:t>
      </w:r>
      <w:r w:rsidR="003D640C">
        <w:t xml:space="preserve"> </w:t>
      </w:r>
      <w:r w:rsidRPr="00DA2287">
        <w:t>colonisation.</w:t>
      </w:r>
      <w:r w:rsidR="003D640C">
        <w:t xml:space="preserve"> </w:t>
      </w:r>
      <w:r w:rsidRPr="00DA2287">
        <w:t>Our</w:t>
      </w:r>
      <w:r w:rsidR="003D640C">
        <w:t xml:space="preserve"> </w:t>
      </w:r>
      <w:r w:rsidRPr="00DA2287">
        <w:t>participants</w:t>
      </w:r>
      <w:r w:rsidR="003D640C">
        <w:t xml:space="preserve"> </w:t>
      </w:r>
      <w:r w:rsidRPr="00DA2287">
        <w:t>expressed</w:t>
      </w:r>
      <w:r w:rsidR="003D640C">
        <w:t xml:space="preserve"> </w:t>
      </w:r>
      <w:r w:rsidRPr="00DA2287">
        <w:t>concern</w:t>
      </w:r>
      <w:r w:rsidR="003D640C">
        <w:t xml:space="preserve"> </w:t>
      </w:r>
      <w:r w:rsidRPr="00DA2287">
        <w:t>that</w:t>
      </w:r>
      <w:r w:rsidR="00F04606">
        <w:t>,</w:t>
      </w:r>
      <w:r w:rsidR="003D640C">
        <w:t xml:space="preserve"> </w:t>
      </w:r>
      <w:r w:rsidRPr="00DA2287">
        <w:t>while</w:t>
      </w:r>
      <w:r w:rsidR="003D640C">
        <w:t xml:space="preserve"> </w:t>
      </w:r>
      <w:r w:rsidRPr="00DA2287">
        <w:t>these</w:t>
      </w:r>
      <w:r w:rsidR="003D640C">
        <w:t xml:space="preserve"> </w:t>
      </w:r>
      <w:r w:rsidRPr="00DA2287">
        <w:t>values</w:t>
      </w:r>
      <w:r w:rsidR="003D640C">
        <w:t xml:space="preserve"> </w:t>
      </w:r>
      <w:r w:rsidRPr="00DA2287">
        <w:t>bring</w:t>
      </w:r>
      <w:r w:rsidR="003D640C">
        <w:t xml:space="preserve"> </w:t>
      </w:r>
      <w:r w:rsidRPr="00DA2287">
        <w:t>strengths,</w:t>
      </w:r>
      <w:r w:rsidR="003D640C">
        <w:t xml:space="preserve"> </w:t>
      </w:r>
      <w:r w:rsidRPr="00DA2287">
        <w:t>they</w:t>
      </w:r>
      <w:r w:rsidR="003D640C">
        <w:t xml:space="preserve"> </w:t>
      </w:r>
      <w:r w:rsidRPr="00DA2287">
        <w:t>can</w:t>
      </w:r>
      <w:r w:rsidR="003D640C">
        <w:t xml:space="preserve"> </w:t>
      </w:r>
      <w:r w:rsidRPr="00DA2287">
        <w:t>also</w:t>
      </w:r>
      <w:r w:rsidR="003D640C">
        <w:t xml:space="preserve"> </w:t>
      </w:r>
      <w:r w:rsidRPr="00DA2287">
        <w:t>be</w:t>
      </w:r>
      <w:r w:rsidR="003D640C">
        <w:t xml:space="preserve"> </w:t>
      </w:r>
      <w:r w:rsidRPr="00DA2287">
        <w:t>used</w:t>
      </w:r>
      <w:r w:rsidR="003D640C">
        <w:t xml:space="preserve"> </w:t>
      </w:r>
      <w:r w:rsidRPr="00DA2287">
        <w:t>to</w:t>
      </w:r>
      <w:r w:rsidR="003D640C">
        <w:t xml:space="preserve"> </w:t>
      </w:r>
      <w:r w:rsidRPr="00DA2287">
        <w:t>defend</w:t>
      </w:r>
      <w:r w:rsidR="003D640C">
        <w:t xml:space="preserve"> </w:t>
      </w:r>
      <w:r w:rsidRPr="00DA2287">
        <w:t>the</w:t>
      </w:r>
      <w:r w:rsidR="003D640C">
        <w:t xml:space="preserve"> </w:t>
      </w:r>
      <w:r w:rsidRPr="00DA2287">
        <w:t>use</w:t>
      </w:r>
      <w:r w:rsidR="003D640C">
        <w:t xml:space="preserve"> </w:t>
      </w:r>
      <w:r w:rsidRPr="00DA2287">
        <w:t>of</w:t>
      </w:r>
      <w:r w:rsidR="003D640C">
        <w:t xml:space="preserve"> </w:t>
      </w:r>
      <w:r w:rsidRPr="00DA2287">
        <w:t>conversion</w:t>
      </w:r>
      <w:r w:rsidR="003D640C">
        <w:t xml:space="preserve"> </w:t>
      </w:r>
      <w:r w:rsidRPr="00DA2287">
        <w:t>practices</w:t>
      </w:r>
      <w:r w:rsidR="003D640C">
        <w:t xml:space="preserve"> </w:t>
      </w:r>
      <w:r w:rsidRPr="00DA2287">
        <w:t>to</w:t>
      </w:r>
      <w:r w:rsidR="003D640C">
        <w:t xml:space="preserve"> </w:t>
      </w:r>
      <w:r w:rsidRPr="00DA2287">
        <w:t>suppress,</w:t>
      </w:r>
      <w:r w:rsidR="003D640C">
        <w:t xml:space="preserve"> </w:t>
      </w:r>
      <w:r w:rsidRPr="00DA2287">
        <w:t>harm,</w:t>
      </w:r>
      <w:r w:rsidR="003D640C">
        <w:t xml:space="preserve"> </w:t>
      </w:r>
      <w:r w:rsidRPr="00DA2287">
        <w:t>and</w:t>
      </w:r>
      <w:r w:rsidR="003D640C">
        <w:t xml:space="preserve"> </w:t>
      </w:r>
      <w:r w:rsidRPr="00DA2287">
        <w:t>diminish</w:t>
      </w:r>
      <w:r w:rsidR="003D640C">
        <w:t xml:space="preserve"> </w:t>
      </w:r>
      <w:r w:rsidR="00661A84" w:rsidRPr="00DA2287">
        <w:t>R</w:t>
      </w:r>
      <w:r w:rsidRPr="00DA2287">
        <w:t>ainbow</w:t>
      </w:r>
      <w:r w:rsidR="003D640C">
        <w:t xml:space="preserve"> </w:t>
      </w:r>
      <w:r w:rsidRPr="00DA2287">
        <w:t>communities.</w:t>
      </w:r>
      <w:r w:rsidR="003D640C">
        <w:t xml:space="preserve"> </w:t>
      </w:r>
    </w:p>
    <w:p w14:paraId="69175ADE" w14:textId="7D29DFAE" w:rsidR="008B0FA9" w:rsidRPr="00DA2287" w:rsidRDefault="008B0FA9" w:rsidP="00323E57">
      <w:pPr>
        <w:rPr>
          <w:rFonts w:cstheme="minorHAnsi"/>
          <w:color w:val="3D85C6"/>
        </w:rPr>
      </w:pPr>
      <w:r w:rsidRPr="00DA2287">
        <w:rPr>
          <w:rFonts w:cstheme="minorHAnsi"/>
        </w:rPr>
        <w:t>Our</w:t>
      </w:r>
      <w:r w:rsidR="003D640C">
        <w:rPr>
          <w:rFonts w:cstheme="minorHAnsi"/>
        </w:rPr>
        <w:t xml:space="preserve"> </w:t>
      </w:r>
      <w:r w:rsidRPr="00DA2287">
        <w:rPr>
          <w:rFonts w:cstheme="minorHAnsi"/>
        </w:rPr>
        <w:t>engagement</w:t>
      </w:r>
      <w:r w:rsidR="003D640C">
        <w:rPr>
          <w:rFonts w:cstheme="minorHAnsi"/>
        </w:rPr>
        <w:t xml:space="preserve"> </w:t>
      </w:r>
      <w:r w:rsidRPr="00DA2287">
        <w:rPr>
          <w:rFonts w:cstheme="minorHAnsi"/>
        </w:rPr>
        <w:t>suggests</w:t>
      </w:r>
      <w:r w:rsidR="003D640C">
        <w:rPr>
          <w:rFonts w:cstheme="minorHAnsi"/>
        </w:rPr>
        <w:t xml:space="preserve"> </w:t>
      </w:r>
      <w:r w:rsidRPr="00DA2287">
        <w:rPr>
          <w:rFonts w:cstheme="minorHAnsi"/>
        </w:rPr>
        <w:t>that</w:t>
      </w:r>
      <w:r w:rsidR="003D640C">
        <w:rPr>
          <w:rFonts w:cstheme="minorHAnsi"/>
        </w:rPr>
        <w:t xml:space="preserve"> </w:t>
      </w:r>
      <w:r w:rsidRPr="00DA2287">
        <w:rPr>
          <w:rFonts w:cstheme="minorHAnsi"/>
        </w:rPr>
        <w:t>many</w:t>
      </w:r>
      <w:r w:rsidR="003D640C">
        <w:rPr>
          <w:rFonts w:cstheme="minorHAnsi"/>
        </w:rPr>
        <w:t xml:space="preserve"> </w:t>
      </w:r>
      <w:r w:rsidRPr="00DA2287">
        <w:rPr>
          <w:rFonts w:cstheme="minorHAnsi"/>
        </w:rPr>
        <w:t>ethnic</w:t>
      </w:r>
      <w:r w:rsidR="003D640C">
        <w:rPr>
          <w:rFonts w:cstheme="minorHAnsi"/>
        </w:rPr>
        <w:t xml:space="preserve"> </w:t>
      </w:r>
      <w:r w:rsidRPr="00DA2287">
        <w:rPr>
          <w:rFonts w:cstheme="minorHAnsi"/>
        </w:rPr>
        <w:t>Rainbow</w:t>
      </w:r>
      <w:r w:rsidR="003D640C">
        <w:rPr>
          <w:rFonts w:cstheme="minorHAnsi"/>
        </w:rPr>
        <w:t xml:space="preserve"> </w:t>
      </w:r>
      <w:r w:rsidRPr="00DA2287">
        <w:rPr>
          <w:rFonts w:cstheme="minorHAnsi"/>
        </w:rPr>
        <w:t>individuals</w:t>
      </w:r>
      <w:r w:rsidR="003D640C">
        <w:rPr>
          <w:rFonts w:cstheme="minorHAnsi"/>
        </w:rPr>
        <w:t xml:space="preserve"> </w:t>
      </w:r>
      <w:r w:rsidRPr="00DA2287">
        <w:rPr>
          <w:rFonts w:cstheme="minorHAnsi"/>
        </w:rPr>
        <w:t>who</w:t>
      </w:r>
      <w:r w:rsidR="003D640C">
        <w:rPr>
          <w:rFonts w:cstheme="minorHAnsi"/>
        </w:rPr>
        <w:t xml:space="preserve"> </w:t>
      </w:r>
      <w:r w:rsidRPr="00DA2287">
        <w:rPr>
          <w:rFonts w:cstheme="minorHAnsi"/>
        </w:rPr>
        <w:t>have</w:t>
      </w:r>
      <w:r w:rsidR="003D640C">
        <w:rPr>
          <w:rFonts w:cstheme="minorHAnsi"/>
        </w:rPr>
        <w:t xml:space="preserve"> </w:t>
      </w:r>
      <w:r w:rsidRPr="00DA2287">
        <w:rPr>
          <w:rFonts w:cstheme="minorHAnsi"/>
        </w:rPr>
        <w:t>experienced</w:t>
      </w:r>
      <w:r w:rsidR="003D640C">
        <w:rPr>
          <w:rFonts w:cstheme="minorHAnsi"/>
        </w:rPr>
        <w:t xml:space="preserve"> </w:t>
      </w:r>
      <w:r w:rsidRPr="00DA2287">
        <w:rPr>
          <w:rFonts w:cstheme="minorHAnsi"/>
        </w:rPr>
        <w:t>and/or</w:t>
      </w:r>
      <w:r w:rsidR="003D640C">
        <w:rPr>
          <w:rFonts w:cstheme="minorHAnsi"/>
        </w:rPr>
        <w:t xml:space="preserve"> </w:t>
      </w:r>
      <w:r w:rsidRPr="00DA2287">
        <w:rPr>
          <w:rFonts w:cstheme="minorHAnsi"/>
        </w:rPr>
        <w:t>conducted</w:t>
      </w:r>
      <w:r w:rsidR="003D640C">
        <w:rPr>
          <w:rFonts w:cstheme="minorHAnsi"/>
        </w:rPr>
        <w:t xml:space="preserve"> </w:t>
      </w:r>
      <w:r w:rsidRPr="00DA2287">
        <w:rPr>
          <w:rFonts w:cstheme="minorHAnsi"/>
        </w:rPr>
        <w:t>conversion</w:t>
      </w:r>
      <w:r w:rsidR="003D640C">
        <w:rPr>
          <w:rFonts w:cstheme="minorHAnsi"/>
        </w:rPr>
        <w:t xml:space="preserve"> </w:t>
      </w:r>
      <w:r w:rsidRPr="00DA2287">
        <w:rPr>
          <w:rFonts w:cstheme="minorHAnsi"/>
        </w:rPr>
        <w:t>practices</w:t>
      </w:r>
      <w:r w:rsidR="003D640C">
        <w:rPr>
          <w:rFonts w:cstheme="minorHAnsi"/>
        </w:rPr>
        <w:t xml:space="preserve"> </w:t>
      </w:r>
      <w:r w:rsidRPr="00DA2287">
        <w:rPr>
          <w:rFonts w:cstheme="minorHAnsi"/>
        </w:rPr>
        <w:t>are</w:t>
      </w:r>
      <w:r w:rsidR="003D640C">
        <w:rPr>
          <w:rFonts w:cstheme="minorHAnsi"/>
        </w:rPr>
        <w:t xml:space="preserve"> </w:t>
      </w:r>
      <w:r w:rsidRPr="00DA2287">
        <w:rPr>
          <w:rFonts w:cstheme="minorHAnsi"/>
        </w:rPr>
        <w:t>likely</w:t>
      </w:r>
      <w:r w:rsidR="003D640C">
        <w:rPr>
          <w:rFonts w:cstheme="minorHAnsi"/>
        </w:rPr>
        <w:t xml:space="preserve"> </w:t>
      </w:r>
      <w:r w:rsidRPr="00DA2287">
        <w:rPr>
          <w:rFonts w:cstheme="minorHAnsi"/>
        </w:rPr>
        <w:t>to</w:t>
      </w:r>
      <w:r w:rsidR="003D640C">
        <w:rPr>
          <w:rFonts w:cstheme="minorHAnsi"/>
        </w:rPr>
        <w:t xml:space="preserve"> </w:t>
      </w:r>
      <w:r w:rsidRPr="00DA2287">
        <w:rPr>
          <w:rFonts w:cstheme="minorHAnsi"/>
        </w:rPr>
        <w:t>‘play</w:t>
      </w:r>
      <w:r w:rsidR="003D640C">
        <w:rPr>
          <w:rFonts w:cstheme="minorHAnsi"/>
        </w:rPr>
        <w:t xml:space="preserve"> </w:t>
      </w:r>
      <w:r w:rsidRPr="00DA2287">
        <w:rPr>
          <w:rFonts w:cstheme="minorHAnsi"/>
        </w:rPr>
        <w:t>down’</w:t>
      </w:r>
      <w:r w:rsidR="003D640C">
        <w:rPr>
          <w:rFonts w:cstheme="minorHAnsi"/>
        </w:rPr>
        <w:t xml:space="preserve"> </w:t>
      </w:r>
      <w:r w:rsidRPr="00DA2287">
        <w:rPr>
          <w:rFonts w:cstheme="minorHAnsi"/>
        </w:rPr>
        <w:t>their</w:t>
      </w:r>
      <w:r w:rsidR="003D640C">
        <w:rPr>
          <w:rFonts w:cstheme="minorHAnsi"/>
        </w:rPr>
        <w:t xml:space="preserve"> </w:t>
      </w:r>
      <w:r w:rsidRPr="00DA2287">
        <w:rPr>
          <w:rFonts w:cstheme="minorHAnsi"/>
        </w:rPr>
        <w:t>experiences</w:t>
      </w:r>
      <w:r w:rsidR="00A91FD5" w:rsidRPr="00DA2287">
        <w:rPr>
          <w:rFonts w:cstheme="minorHAnsi"/>
        </w:rPr>
        <w:t>,</w:t>
      </w:r>
      <w:r w:rsidR="003D640C">
        <w:rPr>
          <w:rFonts w:cstheme="minorHAnsi"/>
        </w:rPr>
        <w:t xml:space="preserve"> </w:t>
      </w:r>
      <w:r w:rsidR="00A91FD5" w:rsidRPr="00DA2287">
        <w:rPr>
          <w:rFonts w:cstheme="minorHAnsi"/>
        </w:rPr>
        <w:t>possibly</w:t>
      </w:r>
      <w:r w:rsidR="003D640C">
        <w:rPr>
          <w:rFonts w:cstheme="minorHAnsi"/>
        </w:rPr>
        <w:t xml:space="preserve"> </w:t>
      </w:r>
      <w:r w:rsidR="00A91FD5" w:rsidRPr="00DA2287">
        <w:rPr>
          <w:rFonts w:cstheme="minorHAnsi"/>
        </w:rPr>
        <w:t>as</w:t>
      </w:r>
      <w:r w:rsidR="003D640C">
        <w:rPr>
          <w:rFonts w:cstheme="minorHAnsi"/>
        </w:rPr>
        <w:t xml:space="preserve"> </w:t>
      </w:r>
      <w:r w:rsidR="00A91FD5" w:rsidRPr="00DA2287">
        <w:rPr>
          <w:rFonts w:cstheme="minorHAnsi"/>
        </w:rPr>
        <w:t>a</w:t>
      </w:r>
      <w:r w:rsidR="003D640C">
        <w:rPr>
          <w:rFonts w:cstheme="minorHAnsi"/>
        </w:rPr>
        <w:t xml:space="preserve"> </w:t>
      </w:r>
      <w:r w:rsidR="00A91FD5" w:rsidRPr="00DA2287">
        <w:rPr>
          <w:rFonts w:cstheme="minorHAnsi"/>
        </w:rPr>
        <w:t>result</w:t>
      </w:r>
      <w:r w:rsidR="003D640C">
        <w:rPr>
          <w:rFonts w:cstheme="minorHAnsi"/>
        </w:rPr>
        <w:t xml:space="preserve"> </w:t>
      </w:r>
      <w:r w:rsidR="00A91FD5" w:rsidRPr="00DA2287">
        <w:rPr>
          <w:rFonts w:cstheme="minorHAnsi"/>
        </w:rPr>
        <w:t>of</w:t>
      </w:r>
      <w:r w:rsidR="003D640C">
        <w:rPr>
          <w:rFonts w:cstheme="minorHAnsi"/>
        </w:rPr>
        <w:t xml:space="preserve"> </w:t>
      </w:r>
      <w:r w:rsidR="00A91FD5" w:rsidRPr="00DA2287">
        <w:rPr>
          <w:rFonts w:cstheme="minorHAnsi"/>
        </w:rPr>
        <w:t>stigma</w:t>
      </w:r>
      <w:r w:rsidR="003D640C">
        <w:rPr>
          <w:rFonts w:cstheme="minorHAnsi"/>
        </w:rPr>
        <w:t xml:space="preserve"> </w:t>
      </w:r>
      <w:r w:rsidR="00A91FD5" w:rsidRPr="00DA2287">
        <w:rPr>
          <w:rFonts w:cstheme="minorHAnsi"/>
        </w:rPr>
        <w:t>or</w:t>
      </w:r>
      <w:r w:rsidR="003D640C">
        <w:rPr>
          <w:rFonts w:cstheme="minorHAnsi"/>
        </w:rPr>
        <w:t xml:space="preserve"> </w:t>
      </w:r>
      <w:r w:rsidR="00A91FD5" w:rsidRPr="00DA2287">
        <w:rPr>
          <w:rFonts w:cstheme="minorHAnsi"/>
        </w:rPr>
        <w:t>shame</w:t>
      </w:r>
      <w:r w:rsidRPr="00DA2287">
        <w:rPr>
          <w:rFonts w:cstheme="minorHAnsi"/>
        </w:rPr>
        <w:t>.</w:t>
      </w:r>
      <w:r w:rsidR="003D640C">
        <w:rPr>
          <w:rFonts w:cstheme="minorHAnsi"/>
        </w:rPr>
        <w:t xml:space="preserve"> </w:t>
      </w:r>
      <w:r w:rsidRPr="00DA2287">
        <w:rPr>
          <w:rFonts w:cstheme="minorHAnsi"/>
        </w:rPr>
        <w:t>Community-led</w:t>
      </w:r>
      <w:r w:rsidR="003D640C">
        <w:rPr>
          <w:rFonts w:cstheme="minorHAnsi"/>
        </w:rPr>
        <w:t xml:space="preserve"> </w:t>
      </w:r>
      <w:r w:rsidRPr="00DA2287">
        <w:rPr>
          <w:rFonts w:cstheme="minorHAnsi"/>
        </w:rPr>
        <w:t>approaches</w:t>
      </w:r>
      <w:r w:rsidR="003D640C">
        <w:rPr>
          <w:rFonts w:cstheme="minorHAnsi"/>
        </w:rPr>
        <w:t xml:space="preserve"> </w:t>
      </w:r>
      <w:r w:rsidRPr="00DA2287">
        <w:rPr>
          <w:rFonts w:cstheme="minorHAnsi"/>
        </w:rPr>
        <w:t>are</w:t>
      </w:r>
      <w:r w:rsidR="003D640C">
        <w:rPr>
          <w:rFonts w:cstheme="minorHAnsi"/>
        </w:rPr>
        <w:t xml:space="preserve"> </w:t>
      </w:r>
      <w:r w:rsidRPr="00DA2287">
        <w:rPr>
          <w:rFonts w:cstheme="minorHAnsi"/>
        </w:rPr>
        <w:t>needed</w:t>
      </w:r>
      <w:r w:rsidR="003D640C">
        <w:rPr>
          <w:rFonts w:cstheme="minorHAnsi"/>
        </w:rPr>
        <w:t xml:space="preserve"> </w:t>
      </w:r>
      <w:r w:rsidRPr="00DA2287">
        <w:rPr>
          <w:rFonts w:cstheme="minorHAnsi"/>
        </w:rPr>
        <w:t>to</w:t>
      </w:r>
      <w:r w:rsidR="003D640C">
        <w:rPr>
          <w:rFonts w:cstheme="minorHAnsi"/>
        </w:rPr>
        <w:t xml:space="preserve"> </w:t>
      </w:r>
      <w:r w:rsidRPr="00DA2287">
        <w:rPr>
          <w:rFonts w:cstheme="minorHAnsi"/>
        </w:rPr>
        <w:t>remove</w:t>
      </w:r>
      <w:r w:rsidR="003D640C">
        <w:rPr>
          <w:rFonts w:cstheme="minorHAnsi"/>
        </w:rPr>
        <w:t xml:space="preserve"> </w:t>
      </w:r>
      <w:r w:rsidRPr="00DA2287">
        <w:rPr>
          <w:rFonts w:cstheme="minorHAnsi"/>
        </w:rPr>
        <w:t>stigma</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shame</w:t>
      </w:r>
      <w:r w:rsidR="003D640C">
        <w:rPr>
          <w:rFonts w:cstheme="minorHAnsi"/>
        </w:rPr>
        <w:t xml:space="preserve"> </w:t>
      </w:r>
      <w:r w:rsidRPr="00DA2287">
        <w:rPr>
          <w:rFonts w:cstheme="minorHAnsi"/>
        </w:rPr>
        <w:t>from</w:t>
      </w:r>
      <w:r w:rsidR="003D640C">
        <w:rPr>
          <w:rFonts w:cstheme="minorHAnsi"/>
        </w:rPr>
        <w:t xml:space="preserve"> </w:t>
      </w:r>
      <w:r w:rsidRPr="00DA2287">
        <w:rPr>
          <w:rFonts w:cstheme="minorHAnsi"/>
        </w:rPr>
        <w:t>discussing</w:t>
      </w:r>
      <w:r w:rsidR="003D640C">
        <w:rPr>
          <w:rFonts w:cstheme="minorHAnsi"/>
        </w:rPr>
        <w:t xml:space="preserve"> </w:t>
      </w:r>
      <w:r w:rsidRPr="00DA2287">
        <w:rPr>
          <w:rFonts w:cstheme="minorHAnsi"/>
        </w:rPr>
        <w:t>human</w:t>
      </w:r>
      <w:r w:rsidR="003D640C">
        <w:rPr>
          <w:rFonts w:cstheme="minorHAnsi"/>
        </w:rPr>
        <w:t xml:space="preserve"> </w:t>
      </w:r>
      <w:r w:rsidRPr="00DA2287">
        <w:rPr>
          <w:rFonts w:cstheme="minorHAnsi"/>
        </w:rPr>
        <w:t>rights</w:t>
      </w:r>
      <w:r w:rsidR="003D640C">
        <w:rPr>
          <w:rFonts w:cstheme="minorHAnsi"/>
        </w:rPr>
        <w:t xml:space="preserve"> </w:t>
      </w:r>
      <w:r w:rsidRPr="00DA2287">
        <w:rPr>
          <w:rFonts w:cstheme="minorHAnsi"/>
        </w:rPr>
        <w:t>issues</w:t>
      </w:r>
      <w:r w:rsidR="003D640C">
        <w:rPr>
          <w:rFonts w:cstheme="minorHAnsi"/>
        </w:rPr>
        <w:t xml:space="preserve"> </w:t>
      </w:r>
      <w:r w:rsidRPr="00DA2287">
        <w:rPr>
          <w:rFonts w:cstheme="minorHAnsi"/>
        </w:rPr>
        <w:t>such</w:t>
      </w:r>
      <w:r w:rsidR="003D640C">
        <w:rPr>
          <w:rFonts w:cstheme="minorHAnsi"/>
        </w:rPr>
        <w:t xml:space="preserve"> </w:t>
      </w:r>
      <w:r w:rsidRPr="00DA2287">
        <w:rPr>
          <w:rFonts w:cstheme="minorHAnsi"/>
        </w:rPr>
        <w:t>as</w:t>
      </w:r>
      <w:r w:rsidR="003D640C">
        <w:rPr>
          <w:rFonts w:cstheme="minorHAnsi"/>
        </w:rPr>
        <w:t xml:space="preserve"> </w:t>
      </w:r>
      <w:r w:rsidRPr="00DA2287">
        <w:rPr>
          <w:rFonts w:cstheme="minorHAnsi"/>
        </w:rPr>
        <w:t>conversion</w:t>
      </w:r>
      <w:r w:rsidR="003D640C">
        <w:rPr>
          <w:rFonts w:cstheme="minorHAnsi"/>
        </w:rPr>
        <w:t xml:space="preserve"> </w:t>
      </w:r>
      <w:r w:rsidRPr="00DA2287">
        <w:rPr>
          <w:rFonts w:cstheme="minorHAnsi"/>
        </w:rPr>
        <w:t>practices,</w:t>
      </w:r>
      <w:r w:rsidR="003D640C">
        <w:rPr>
          <w:rFonts w:cstheme="minorHAnsi"/>
        </w:rPr>
        <w:t xml:space="preserve"> </w:t>
      </w:r>
      <w:r w:rsidRPr="00DA2287">
        <w:rPr>
          <w:rFonts w:cstheme="minorHAnsi"/>
        </w:rPr>
        <w:t>but</w:t>
      </w:r>
      <w:r w:rsidR="003D640C">
        <w:rPr>
          <w:rFonts w:cstheme="minorHAnsi"/>
        </w:rPr>
        <w:t xml:space="preserve"> </w:t>
      </w:r>
      <w:r w:rsidRPr="00DA2287">
        <w:rPr>
          <w:rFonts w:cstheme="minorHAnsi"/>
        </w:rPr>
        <w:t>also</w:t>
      </w:r>
      <w:r w:rsidR="003D640C">
        <w:rPr>
          <w:rFonts w:cstheme="minorHAnsi"/>
        </w:rPr>
        <w:t xml:space="preserve"> </w:t>
      </w:r>
      <w:r w:rsidRPr="00DA2287">
        <w:rPr>
          <w:rFonts w:cstheme="minorHAnsi"/>
        </w:rPr>
        <w:t>around</w:t>
      </w:r>
      <w:r w:rsidR="003D640C">
        <w:rPr>
          <w:rFonts w:cstheme="minorHAnsi"/>
        </w:rPr>
        <w:t xml:space="preserve"> </w:t>
      </w:r>
      <w:r w:rsidRPr="00DA2287">
        <w:rPr>
          <w:rFonts w:cstheme="minorHAnsi"/>
        </w:rPr>
        <w:t>discussing</w:t>
      </w:r>
      <w:r w:rsidR="003D640C">
        <w:rPr>
          <w:rFonts w:cstheme="minorHAnsi"/>
        </w:rPr>
        <w:t xml:space="preserve"> </w:t>
      </w:r>
      <w:r w:rsidRPr="00DA2287">
        <w:rPr>
          <w:rFonts w:cstheme="minorHAnsi"/>
        </w:rPr>
        <w:t>sexual</w:t>
      </w:r>
      <w:r w:rsidR="003D640C">
        <w:rPr>
          <w:rFonts w:cstheme="minorHAnsi"/>
        </w:rPr>
        <w:t xml:space="preserve"> </w:t>
      </w:r>
      <w:r w:rsidRPr="00DA2287">
        <w:rPr>
          <w:rFonts w:cstheme="minorHAnsi"/>
        </w:rPr>
        <w:t>orientation</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gender</w:t>
      </w:r>
      <w:r w:rsidR="003D640C">
        <w:rPr>
          <w:rFonts w:cstheme="minorHAnsi"/>
        </w:rPr>
        <w:t xml:space="preserve"> </w:t>
      </w:r>
      <w:r w:rsidRPr="00DA2287">
        <w:rPr>
          <w:rFonts w:cstheme="minorHAnsi"/>
        </w:rPr>
        <w:t>more</w:t>
      </w:r>
      <w:r w:rsidR="003D640C">
        <w:rPr>
          <w:rFonts w:cstheme="minorHAnsi"/>
        </w:rPr>
        <w:t xml:space="preserve"> </w:t>
      </w:r>
      <w:r w:rsidRPr="00DA2287">
        <w:rPr>
          <w:rFonts w:cstheme="minorHAnsi"/>
        </w:rPr>
        <w:t>broadly.</w:t>
      </w:r>
      <w:r w:rsidR="003D640C">
        <w:rPr>
          <w:rFonts w:cstheme="minorHAnsi"/>
        </w:rPr>
        <w:t xml:space="preserve"> </w:t>
      </w:r>
      <w:r w:rsidRPr="00DA2287">
        <w:rPr>
          <w:rFonts w:cstheme="minorHAnsi"/>
        </w:rPr>
        <w:t>Similarly,</w:t>
      </w:r>
      <w:r w:rsidR="003D640C">
        <w:rPr>
          <w:rFonts w:cstheme="minorHAnsi"/>
        </w:rPr>
        <w:t xml:space="preserve"> </w:t>
      </w:r>
      <w:r w:rsidRPr="00DA2287">
        <w:rPr>
          <w:rFonts w:cstheme="minorHAnsi"/>
        </w:rPr>
        <w:t>this</w:t>
      </w:r>
      <w:r w:rsidR="003D640C">
        <w:rPr>
          <w:rFonts w:cstheme="minorHAnsi"/>
        </w:rPr>
        <w:t xml:space="preserve"> </w:t>
      </w:r>
      <w:r w:rsidRPr="00DA2287">
        <w:rPr>
          <w:rFonts w:cstheme="minorHAnsi"/>
        </w:rPr>
        <w:t>is</w:t>
      </w:r>
      <w:r w:rsidR="003D640C">
        <w:rPr>
          <w:rFonts w:cstheme="minorHAnsi"/>
        </w:rPr>
        <w:t xml:space="preserve"> </w:t>
      </w:r>
      <w:r w:rsidRPr="00DA2287">
        <w:rPr>
          <w:rFonts w:cstheme="minorHAnsi"/>
        </w:rPr>
        <w:t>why</w:t>
      </w:r>
      <w:r w:rsidR="003D640C">
        <w:rPr>
          <w:rFonts w:cstheme="minorHAnsi"/>
        </w:rPr>
        <w:t xml:space="preserve"> </w:t>
      </w:r>
      <w:r w:rsidR="00661A84" w:rsidRPr="00DA2287">
        <w:rPr>
          <w:rFonts w:cstheme="minorHAnsi"/>
        </w:rPr>
        <w:t>more</w:t>
      </w:r>
      <w:r w:rsidR="003D640C">
        <w:rPr>
          <w:rFonts w:cstheme="minorHAnsi"/>
        </w:rPr>
        <w:t xml:space="preserve"> </w:t>
      </w:r>
      <w:r w:rsidRPr="00DA2287">
        <w:rPr>
          <w:rFonts w:cstheme="minorHAnsi"/>
        </w:rPr>
        <w:t>research</w:t>
      </w:r>
      <w:r w:rsidR="003D640C">
        <w:rPr>
          <w:rFonts w:cstheme="minorHAnsi"/>
        </w:rPr>
        <w:t xml:space="preserve"> </w:t>
      </w:r>
      <w:r w:rsidRPr="00DA2287">
        <w:rPr>
          <w:rFonts w:cstheme="minorHAnsi"/>
        </w:rPr>
        <w:t>is</w:t>
      </w:r>
      <w:r w:rsidR="003D640C">
        <w:rPr>
          <w:rFonts w:cstheme="minorHAnsi"/>
        </w:rPr>
        <w:t xml:space="preserve"> </w:t>
      </w:r>
      <w:r w:rsidR="00661A84" w:rsidRPr="00DA2287">
        <w:rPr>
          <w:rFonts w:cstheme="minorHAnsi"/>
        </w:rPr>
        <w:t>needed</w:t>
      </w:r>
      <w:r w:rsidR="003D640C">
        <w:rPr>
          <w:rFonts w:cstheme="minorHAnsi"/>
        </w:rPr>
        <w:t xml:space="preserve"> </w:t>
      </w:r>
      <w:r w:rsidRPr="00DA2287">
        <w:rPr>
          <w:rFonts w:cstheme="minorHAnsi"/>
        </w:rPr>
        <w:t>to</w:t>
      </w:r>
      <w:r w:rsidR="003D640C">
        <w:rPr>
          <w:rFonts w:cstheme="minorHAnsi"/>
        </w:rPr>
        <w:t xml:space="preserve"> </w:t>
      </w:r>
      <w:r w:rsidRPr="00DA2287">
        <w:rPr>
          <w:rFonts w:cstheme="minorHAnsi"/>
        </w:rPr>
        <w:t>record</w:t>
      </w:r>
      <w:r w:rsidR="003D640C">
        <w:rPr>
          <w:rFonts w:cstheme="minorHAnsi"/>
        </w:rPr>
        <w:t xml:space="preserve"> </w:t>
      </w:r>
      <w:r w:rsidRPr="00DA2287">
        <w:rPr>
          <w:rFonts w:cstheme="minorHAnsi"/>
        </w:rPr>
        <w:t>prevalence</w:t>
      </w:r>
      <w:r w:rsidR="003D640C">
        <w:rPr>
          <w:rFonts w:cstheme="minorHAnsi"/>
        </w:rPr>
        <w:t xml:space="preserve"> </w:t>
      </w:r>
      <w:r w:rsidRPr="00DA2287">
        <w:rPr>
          <w:rFonts w:cstheme="minorHAnsi"/>
        </w:rPr>
        <w:t>and</w:t>
      </w:r>
      <w:r w:rsidR="003D640C">
        <w:rPr>
          <w:rFonts w:cstheme="minorHAnsi"/>
        </w:rPr>
        <w:t xml:space="preserve"> </w:t>
      </w:r>
      <w:r w:rsidRPr="00DA2287">
        <w:rPr>
          <w:rFonts w:cstheme="minorHAnsi"/>
        </w:rPr>
        <w:t>nuanced</w:t>
      </w:r>
      <w:r w:rsidR="003D640C">
        <w:rPr>
          <w:rFonts w:cstheme="minorHAnsi"/>
        </w:rPr>
        <w:t xml:space="preserve"> </w:t>
      </w:r>
      <w:r w:rsidRPr="00DA2287">
        <w:rPr>
          <w:rFonts w:cstheme="minorHAnsi"/>
        </w:rPr>
        <w:t>examples</w:t>
      </w:r>
      <w:r w:rsidR="003D640C">
        <w:rPr>
          <w:rFonts w:cstheme="minorHAnsi"/>
        </w:rPr>
        <w:t xml:space="preserve"> </w:t>
      </w:r>
      <w:r w:rsidRPr="00DA2287">
        <w:rPr>
          <w:rFonts w:cstheme="minorHAnsi"/>
        </w:rPr>
        <w:t>within</w:t>
      </w:r>
      <w:r w:rsidR="003D640C">
        <w:rPr>
          <w:rFonts w:cstheme="minorHAnsi"/>
        </w:rPr>
        <w:t xml:space="preserve"> </w:t>
      </w:r>
      <w:r w:rsidRPr="00DA2287">
        <w:rPr>
          <w:rFonts w:cstheme="minorHAnsi"/>
        </w:rPr>
        <w:t>diverse</w:t>
      </w:r>
      <w:r w:rsidR="003D640C">
        <w:rPr>
          <w:rFonts w:cstheme="minorHAnsi"/>
        </w:rPr>
        <w:t xml:space="preserve"> </w:t>
      </w:r>
      <w:r w:rsidRPr="00DA2287">
        <w:rPr>
          <w:rFonts w:cstheme="minorHAnsi"/>
        </w:rPr>
        <w:t>communities.</w:t>
      </w:r>
      <w:r w:rsidR="003D640C">
        <w:rPr>
          <w:rFonts w:cstheme="minorHAnsi"/>
        </w:rPr>
        <w:t xml:space="preserve"> </w:t>
      </w:r>
    </w:p>
    <w:p w14:paraId="062478E0" w14:textId="2198B7E0" w:rsidR="00501068" w:rsidRDefault="008B0FA9" w:rsidP="00323E57">
      <w:r w:rsidRPr="00DA2287">
        <w:t>Both</w:t>
      </w:r>
      <w:r w:rsidR="003D640C">
        <w:t xml:space="preserve"> </w:t>
      </w:r>
      <w:r w:rsidRPr="00DA2287">
        <w:t>the</w:t>
      </w:r>
      <w:r w:rsidR="003D640C">
        <w:t xml:space="preserve"> </w:t>
      </w:r>
      <w:r w:rsidRPr="00DA2287">
        <w:t>existing</w:t>
      </w:r>
      <w:r w:rsidR="003D640C">
        <w:t xml:space="preserve"> </w:t>
      </w:r>
      <w:r w:rsidRPr="00DA2287">
        <w:t>evidence</w:t>
      </w:r>
      <w:r w:rsidR="003D640C">
        <w:t xml:space="preserve"> </w:t>
      </w:r>
      <w:r w:rsidRPr="00DA2287">
        <w:t>base</w:t>
      </w:r>
      <w:r w:rsidR="003D640C">
        <w:t xml:space="preserve"> </w:t>
      </w:r>
      <w:r w:rsidRPr="00DA2287">
        <w:t>and</w:t>
      </w:r>
      <w:r w:rsidR="003D640C">
        <w:t xml:space="preserve"> </w:t>
      </w:r>
      <w:r w:rsidRPr="00DA2287">
        <w:t>our</w:t>
      </w:r>
      <w:r w:rsidR="003D640C">
        <w:t xml:space="preserve"> </w:t>
      </w:r>
      <w:r w:rsidRPr="00DA2287">
        <w:t>engagement</w:t>
      </w:r>
      <w:r w:rsidR="003D640C">
        <w:t xml:space="preserve"> </w:t>
      </w:r>
      <w:r w:rsidRPr="00DA2287">
        <w:t>with</w:t>
      </w:r>
      <w:r w:rsidR="003D640C">
        <w:t xml:space="preserve"> </w:t>
      </w:r>
      <w:r w:rsidRPr="00DA2287">
        <w:t>community</w:t>
      </w:r>
      <w:r w:rsidR="003D640C">
        <w:t xml:space="preserve"> </w:t>
      </w:r>
      <w:r w:rsidRPr="00DA2287">
        <w:t>members</w:t>
      </w:r>
      <w:r w:rsidR="003D640C">
        <w:t xml:space="preserve"> </w:t>
      </w:r>
      <w:r w:rsidR="00A91FD5" w:rsidRPr="00DA2287">
        <w:t>show</w:t>
      </w:r>
      <w:r w:rsidR="003D640C">
        <w:t xml:space="preserve"> </w:t>
      </w:r>
      <w:r w:rsidRPr="00DA2287">
        <w:t>how</w:t>
      </w:r>
      <w:r w:rsidR="003D640C">
        <w:t xml:space="preserve"> </w:t>
      </w:r>
      <w:r w:rsidRPr="00DA2287">
        <w:t>Rainbow</w:t>
      </w:r>
      <w:r w:rsidR="003D640C">
        <w:t xml:space="preserve"> </w:t>
      </w:r>
      <w:r w:rsidRPr="00DA2287">
        <w:t>members</w:t>
      </w:r>
      <w:r w:rsidR="003D640C">
        <w:t xml:space="preserve"> </w:t>
      </w:r>
      <w:r w:rsidRPr="00DA2287">
        <w:t>of</w:t>
      </w:r>
      <w:r w:rsidR="003D640C">
        <w:t xml:space="preserve"> </w:t>
      </w:r>
      <w:r w:rsidRPr="00DA2287">
        <w:t>ethnic</w:t>
      </w:r>
      <w:r w:rsidR="003D640C">
        <w:t xml:space="preserve"> </w:t>
      </w:r>
      <w:r w:rsidRPr="00DA2287">
        <w:t>communities</w:t>
      </w:r>
      <w:r w:rsidR="003D640C">
        <w:t xml:space="preserve"> </w:t>
      </w:r>
      <w:r w:rsidRPr="00DA2287">
        <w:t>experience</w:t>
      </w:r>
      <w:r w:rsidR="003D640C">
        <w:t xml:space="preserve"> </w:t>
      </w:r>
      <w:r w:rsidRPr="00DA2287">
        <w:t>a</w:t>
      </w:r>
      <w:r w:rsidR="003D640C">
        <w:t xml:space="preserve"> </w:t>
      </w:r>
      <w:r w:rsidRPr="00DA2287">
        <w:t>complex</w:t>
      </w:r>
      <w:r w:rsidR="003D640C">
        <w:t xml:space="preserve"> </w:t>
      </w:r>
      <w:r w:rsidRPr="00DA2287">
        <w:t>range</w:t>
      </w:r>
      <w:r w:rsidR="003D640C">
        <w:t xml:space="preserve"> </w:t>
      </w:r>
      <w:r w:rsidRPr="00DA2287">
        <w:t>of</w:t>
      </w:r>
      <w:r w:rsidR="003D640C">
        <w:t xml:space="preserve"> </w:t>
      </w:r>
      <w:r w:rsidRPr="00DA2287">
        <w:t>homophobia,</w:t>
      </w:r>
      <w:r w:rsidR="003D640C">
        <w:t xml:space="preserve"> </w:t>
      </w:r>
      <w:r w:rsidRPr="00DA2287">
        <w:t>transphobia</w:t>
      </w:r>
      <w:r w:rsidR="00586884">
        <w:t>,</w:t>
      </w:r>
      <w:r w:rsidR="003D640C">
        <w:t xml:space="preserve"> </w:t>
      </w:r>
      <w:r w:rsidRPr="00DA2287">
        <w:t>racism</w:t>
      </w:r>
      <w:r w:rsidR="00586884">
        <w:t>,</w:t>
      </w:r>
      <w:r w:rsidR="003D640C">
        <w:t xml:space="preserve"> </w:t>
      </w:r>
      <w:r w:rsidRPr="00DA2287">
        <w:t>and</w:t>
      </w:r>
      <w:r w:rsidR="00586884">
        <w:t>/or</w:t>
      </w:r>
      <w:r w:rsidR="003D640C">
        <w:t xml:space="preserve"> </w:t>
      </w:r>
      <w:r w:rsidRPr="00DA2287">
        <w:t>xenophobia</w:t>
      </w:r>
      <w:r w:rsidR="00586884">
        <w:t xml:space="preserve"> </w:t>
      </w:r>
      <w:r w:rsidRPr="00DA2287">
        <w:t>depending</w:t>
      </w:r>
      <w:r w:rsidR="003D640C">
        <w:t xml:space="preserve"> </w:t>
      </w:r>
      <w:r w:rsidRPr="00DA2287">
        <w:t>on</w:t>
      </w:r>
      <w:r w:rsidR="003D640C">
        <w:t xml:space="preserve"> </w:t>
      </w:r>
      <w:r w:rsidRPr="00DA2287">
        <w:t>whether</w:t>
      </w:r>
      <w:r w:rsidR="003D640C">
        <w:t xml:space="preserve"> </w:t>
      </w:r>
      <w:r w:rsidRPr="00DA2287">
        <w:t>they</w:t>
      </w:r>
      <w:r w:rsidR="003D640C">
        <w:t xml:space="preserve"> </w:t>
      </w:r>
      <w:r w:rsidRPr="00DA2287">
        <w:t>are</w:t>
      </w:r>
      <w:r w:rsidR="003D640C">
        <w:t xml:space="preserve"> </w:t>
      </w:r>
      <w:r w:rsidRPr="00DA2287">
        <w:t>navigating</w:t>
      </w:r>
      <w:r w:rsidR="003D640C">
        <w:t xml:space="preserve"> </w:t>
      </w:r>
      <w:r w:rsidRPr="00DA2287">
        <w:t>Rainbow</w:t>
      </w:r>
      <w:r w:rsidR="003D640C">
        <w:t xml:space="preserve"> </w:t>
      </w:r>
      <w:r w:rsidRPr="00DA2287">
        <w:t>communities,</w:t>
      </w:r>
      <w:r w:rsidR="003D640C">
        <w:t xml:space="preserve"> </w:t>
      </w:r>
      <w:r w:rsidRPr="00DA2287">
        <w:t>ethnic</w:t>
      </w:r>
      <w:r w:rsidR="003D640C">
        <w:t xml:space="preserve"> </w:t>
      </w:r>
      <w:r w:rsidRPr="00DA2287">
        <w:t>communities</w:t>
      </w:r>
      <w:r w:rsidR="00586884">
        <w:t>,</w:t>
      </w:r>
      <w:r w:rsidR="003D640C">
        <w:t xml:space="preserve"> </w:t>
      </w:r>
      <w:r w:rsidR="00586884">
        <w:t>or</w:t>
      </w:r>
      <w:r w:rsidR="003D640C">
        <w:t xml:space="preserve"> </w:t>
      </w:r>
      <w:r w:rsidRPr="00DA2287">
        <w:t>the</w:t>
      </w:r>
      <w:r w:rsidR="003D640C">
        <w:t xml:space="preserve"> </w:t>
      </w:r>
      <w:r w:rsidRPr="00DA2287">
        <w:t>dominant</w:t>
      </w:r>
      <w:r w:rsidR="003D640C">
        <w:t xml:space="preserve"> </w:t>
      </w:r>
      <w:r w:rsidRPr="00DA2287">
        <w:t>Pākehā</w:t>
      </w:r>
      <w:r w:rsidR="003D640C">
        <w:t xml:space="preserve"> </w:t>
      </w:r>
      <w:r w:rsidRPr="00DA2287">
        <w:t>culture</w:t>
      </w:r>
      <w:r w:rsidR="003D640C">
        <w:t xml:space="preserve"> </w:t>
      </w:r>
      <w:r w:rsidRPr="00DA2287">
        <w:t>in</w:t>
      </w:r>
      <w:r w:rsidR="003D640C">
        <w:t xml:space="preserve"> </w:t>
      </w:r>
      <w:r w:rsidRPr="00DA2287">
        <w:t>Aotearoa.</w:t>
      </w:r>
      <w:r w:rsidR="003D640C">
        <w:t xml:space="preserve"> </w:t>
      </w:r>
      <w:r w:rsidRPr="00DA2287">
        <w:t>What</w:t>
      </w:r>
      <w:r w:rsidR="003D640C">
        <w:t xml:space="preserve"> </w:t>
      </w:r>
      <w:r w:rsidRPr="00DA2287">
        <w:t>is</w:t>
      </w:r>
      <w:r w:rsidR="003D640C">
        <w:t xml:space="preserve"> </w:t>
      </w:r>
      <w:r w:rsidRPr="00DA2287">
        <w:t>often</w:t>
      </w:r>
      <w:r w:rsidR="003D640C">
        <w:t xml:space="preserve"> </w:t>
      </w:r>
      <w:r w:rsidRPr="00DA2287">
        <w:t>highlighted</w:t>
      </w:r>
      <w:r w:rsidR="003D640C">
        <w:t xml:space="preserve"> </w:t>
      </w:r>
      <w:r w:rsidRPr="00DA2287">
        <w:t>is</w:t>
      </w:r>
      <w:r w:rsidR="003D640C">
        <w:t xml:space="preserve"> </w:t>
      </w:r>
      <w:r w:rsidRPr="00DA2287">
        <w:t>the</w:t>
      </w:r>
      <w:r w:rsidR="003D640C">
        <w:t xml:space="preserve"> </w:t>
      </w:r>
      <w:r w:rsidRPr="00DA2287">
        <w:t>challenge</w:t>
      </w:r>
      <w:r w:rsidR="003D640C">
        <w:t xml:space="preserve"> </w:t>
      </w:r>
      <w:r w:rsidRPr="00DA2287">
        <w:t>experienced</w:t>
      </w:r>
      <w:r w:rsidR="003D640C">
        <w:t xml:space="preserve"> </w:t>
      </w:r>
      <w:r w:rsidRPr="00DA2287">
        <w:t>by</w:t>
      </w:r>
      <w:r w:rsidR="003D640C">
        <w:t xml:space="preserve"> </w:t>
      </w:r>
      <w:r w:rsidRPr="00DA2287">
        <w:t>not</w:t>
      </w:r>
      <w:r w:rsidR="003D640C">
        <w:t xml:space="preserve"> </w:t>
      </w:r>
      <w:r w:rsidRPr="00DA2287">
        <w:t>being</w:t>
      </w:r>
      <w:r w:rsidR="003D640C">
        <w:t xml:space="preserve"> </w:t>
      </w:r>
      <w:r w:rsidRPr="00DA2287">
        <w:t>accepted</w:t>
      </w:r>
      <w:r w:rsidR="003D640C">
        <w:t xml:space="preserve"> </w:t>
      </w:r>
      <w:r w:rsidRPr="00DA2287">
        <w:t>in</w:t>
      </w:r>
      <w:r w:rsidR="003D640C">
        <w:t xml:space="preserve"> </w:t>
      </w:r>
      <w:r w:rsidRPr="00DA2287">
        <w:t>terms</w:t>
      </w:r>
      <w:r w:rsidR="003D640C">
        <w:t xml:space="preserve"> </w:t>
      </w:r>
      <w:r w:rsidRPr="00DA2287">
        <w:t>of</w:t>
      </w:r>
      <w:r w:rsidR="003D640C">
        <w:t xml:space="preserve"> </w:t>
      </w:r>
      <w:r w:rsidRPr="00DA2287">
        <w:t>gender</w:t>
      </w:r>
      <w:r w:rsidR="003D640C">
        <w:t xml:space="preserve"> </w:t>
      </w:r>
      <w:r w:rsidRPr="00DA2287">
        <w:t>and</w:t>
      </w:r>
      <w:r w:rsidR="003D640C">
        <w:t xml:space="preserve"> </w:t>
      </w:r>
      <w:r w:rsidRPr="00DA2287">
        <w:t>sexual</w:t>
      </w:r>
      <w:r w:rsidR="003D640C">
        <w:t xml:space="preserve"> </w:t>
      </w:r>
      <w:r w:rsidRPr="00DA2287">
        <w:t>orientation</w:t>
      </w:r>
      <w:r w:rsidR="003D640C">
        <w:t xml:space="preserve"> </w:t>
      </w:r>
      <w:r w:rsidRPr="00DA2287">
        <w:t>in</w:t>
      </w:r>
      <w:r w:rsidR="003D640C">
        <w:t xml:space="preserve"> </w:t>
      </w:r>
      <w:r w:rsidRPr="00DA2287">
        <w:t>minority</w:t>
      </w:r>
      <w:r w:rsidR="003D640C">
        <w:t xml:space="preserve"> </w:t>
      </w:r>
      <w:r w:rsidRPr="00DA2287">
        <w:t>ethnic</w:t>
      </w:r>
      <w:r w:rsidR="003D640C">
        <w:t xml:space="preserve"> </w:t>
      </w:r>
      <w:r w:rsidRPr="00DA2287">
        <w:t>communities,</w:t>
      </w:r>
      <w:r w:rsidR="003D640C">
        <w:t xml:space="preserve"> </w:t>
      </w:r>
      <w:r w:rsidRPr="00DA2287">
        <w:t>given</w:t>
      </w:r>
      <w:r w:rsidR="003D640C">
        <w:t xml:space="preserve"> </w:t>
      </w:r>
      <w:r w:rsidRPr="00DA2287">
        <w:t>the</w:t>
      </w:r>
      <w:r w:rsidR="003D640C">
        <w:t xml:space="preserve"> </w:t>
      </w:r>
      <w:r w:rsidRPr="00DA2287">
        <w:t>importance</w:t>
      </w:r>
      <w:r w:rsidR="003D640C">
        <w:t xml:space="preserve"> </w:t>
      </w:r>
      <w:r w:rsidRPr="00DA2287">
        <w:t>these</w:t>
      </w:r>
      <w:r w:rsidR="003D640C">
        <w:t xml:space="preserve"> </w:t>
      </w:r>
      <w:r w:rsidRPr="00DA2287">
        <w:t>play</w:t>
      </w:r>
      <w:r w:rsidR="003D640C">
        <w:t xml:space="preserve"> </w:t>
      </w:r>
      <w:r w:rsidRPr="00DA2287">
        <w:t>in</w:t>
      </w:r>
      <w:r w:rsidR="003D640C">
        <w:t xml:space="preserve"> </w:t>
      </w:r>
      <w:r w:rsidRPr="00DA2287">
        <w:t>protecting</w:t>
      </w:r>
      <w:r w:rsidR="003D640C">
        <w:t xml:space="preserve"> </w:t>
      </w:r>
      <w:r w:rsidRPr="00DA2287">
        <w:t>community</w:t>
      </w:r>
      <w:r w:rsidR="003D640C">
        <w:t xml:space="preserve"> </w:t>
      </w:r>
      <w:r w:rsidRPr="00DA2287">
        <w:t>members</w:t>
      </w:r>
      <w:r w:rsidR="003D640C">
        <w:t xml:space="preserve"> </w:t>
      </w:r>
      <w:r w:rsidRPr="00DA2287">
        <w:t>from</w:t>
      </w:r>
      <w:r w:rsidR="003D640C">
        <w:t xml:space="preserve"> </w:t>
      </w:r>
      <w:r w:rsidRPr="00DA2287">
        <w:t>racism</w:t>
      </w:r>
      <w:r w:rsidR="003D640C">
        <w:t xml:space="preserve"> </w:t>
      </w:r>
      <w:r w:rsidRPr="00DA2287">
        <w:t>experienced</w:t>
      </w:r>
      <w:r w:rsidR="003D640C">
        <w:t xml:space="preserve"> </w:t>
      </w:r>
      <w:r w:rsidRPr="00DA2287">
        <w:t>outside.</w:t>
      </w:r>
      <w:r w:rsidR="003D640C">
        <w:t xml:space="preserve"> </w:t>
      </w:r>
      <w:r w:rsidRPr="00DA2287">
        <w:t>At</w:t>
      </w:r>
      <w:r w:rsidR="003D640C">
        <w:t xml:space="preserve"> </w:t>
      </w:r>
      <w:r w:rsidRPr="00DA2287">
        <w:t>the</w:t>
      </w:r>
      <w:r w:rsidR="003D640C">
        <w:t xml:space="preserve"> </w:t>
      </w:r>
      <w:r w:rsidRPr="00DA2287">
        <w:t>same</w:t>
      </w:r>
      <w:r w:rsidR="003D640C">
        <w:t xml:space="preserve"> </w:t>
      </w:r>
      <w:r w:rsidRPr="00DA2287">
        <w:t>time,</w:t>
      </w:r>
      <w:r w:rsidR="003D640C">
        <w:t xml:space="preserve"> </w:t>
      </w:r>
      <w:r w:rsidRPr="00DA2287">
        <w:t>the</w:t>
      </w:r>
      <w:r w:rsidR="003D640C">
        <w:t xml:space="preserve"> </w:t>
      </w:r>
      <w:r w:rsidRPr="00DA2287">
        <w:t>lack</w:t>
      </w:r>
      <w:r w:rsidR="003D640C">
        <w:t xml:space="preserve"> </w:t>
      </w:r>
      <w:r w:rsidRPr="00DA2287">
        <w:t>of</w:t>
      </w:r>
      <w:r w:rsidR="003D640C">
        <w:t xml:space="preserve"> </w:t>
      </w:r>
      <w:r w:rsidRPr="00DA2287">
        <w:t>visibility</w:t>
      </w:r>
      <w:r w:rsidR="003D640C">
        <w:t xml:space="preserve"> </w:t>
      </w:r>
      <w:r w:rsidRPr="00DA2287">
        <w:t>of</w:t>
      </w:r>
      <w:r w:rsidR="003D640C">
        <w:t xml:space="preserve"> </w:t>
      </w:r>
      <w:r w:rsidRPr="00DA2287">
        <w:t>minority</w:t>
      </w:r>
      <w:r w:rsidR="003D640C">
        <w:t xml:space="preserve"> </w:t>
      </w:r>
      <w:r w:rsidRPr="00DA2287">
        <w:t>ethnic</w:t>
      </w:r>
      <w:r w:rsidR="003D640C">
        <w:t xml:space="preserve"> </w:t>
      </w:r>
      <w:r w:rsidRPr="00DA2287">
        <w:t>communities</w:t>
      </w:r>
      <w:r w:rsidR="003D640C">
        <w:t xml:space="preserve"> </w:t>
      </w:r>
      <w:r w:rsidRPr="00DA2287">
        <w:t>amongst</w:t>
      </w:r>
      <w:r w:rsidR="003D640C">
        <w:t xml:space="preserve"> </w:t>
      </w:r>
      <w:r w:rsidRPr="00DA2287">
        <w:t>Rainbow</w:t>
      </w:r>
      <w:r w:rsidR="003D640C">
        <w:t xml:space="preserve"> </w:t>
      </w:r>
      <w:r w:rsidRPr="00DA2287">
        <w:t>communities</w:t>
      </w:r>
      <w:r w:rsidR="003D640C">
        <w:t xml:space="preserve"> </w:t>
      </w:r>
      <w:r w:rsidRPr="00DA2287">
        <w:t>can</w:t>
      </w:r>
      <w:r w:rsidR="003D640C">
        <w:t xml:space="preserve"> </w:t>
      </w:r>
      <w:r w:rsidRPr="00DA2287">
        <w:t>sometimes</w:t>
      </w:r>
      <w:r w:rsidR="003D640C">
        <w:t xml:space="preserve"> </w:t>
      </w:r>
      <w:r w:rsidRPr="00DA2287">
        <w:t>hinder</w:t>
      </w:r>
      <w:r w:rsidR="003D640C">
        <w:t xml:space="preserve"> </w:t>
      </w:r>
      <w:r w:rsidRPr="00DA2287">
        <w:t>a</w:t>
      </w:r>
      <w:r w:rsidR="003D640C">
        <w:t xml:space="preserve"> </w:t>
      </w:r>
      <w:r w:rsidRPr="00DA2287">
        <w:t>sense</w:t>
      </w:r>
      <w:r w:rsidR="003D640C">
        <w:t xml:space="preserve"> </w:t>
      </w:r>
      <w:r w:rsidRPr="00DA2287">
        <w:t>of</w:t>
      </w:r>
      <w:r w:rsidR="003D640C">
        <w:t xml:space="preserve"> </w:t>
      </w:r>
      <w:r w:rsidRPr="00DA2287">
        <w:t>belonging</w:t>
      </w:r>
      <w:r w:rsidR="00661A84" w:rsidRPr="00DA2287">
        <w:t>.</w:t>
      </w:r>
      <w:r w:rsidR="003D640C">
        <w:t xml:space="preserve"> </w:t>
      </w:r>
      <w:r w:rsidR="00661A84" w:rsidRPr="00DA2287">
        <w:t>This</w:t>
      </w:r>
      <w:r w:rsidR="003D640C">
        <w:t xml:space="preserve"> </w:t>
      </w:r>
      <w:r w:rsidRPr="00DA2287">
        <w:t>means</w:t>
      </w:r>
      <w:r w:rsidR="003D640C">
        <w:t xml:space="preserve"> </w:t>
      </w:r>
      <w:r w:rsidRPr="00DA2287">
        <w:t>that</w:t>
      </w:r>
      <w:r w:rsidR="00586884">
        <w:t>,</w:t>
      </w:r>
      <w:r w:rsidR="003D640C">
        <w:t xml:space="preserve"> </w:t>
      </w:r>
      <w:r w:rsidR="00661A84" w:rsidRPr="00DA2287">
        <w:t>for</w:t>
      </w:r>
      <w:r w:rsidR="003D640C">
        <w:t xml:space="preserve"> </w:t>
      </w:r>
      <w:r w:rsidR="00586884" w:rsidRPr="00DA2287">
        <w:rPr>
          <w:rFonts w:cstheme="minorHAnsi"/>
        </w:rPr>
        <w:t>ethnic</w:t>
      </w:r>
      <w:r w:rsidR="00586884">
        <w:rPr>
          <w:rFonts w:cstheme="minorHAnsi"/>
        </w:rPr>
        <w:t xml:space="preserve"> </w:t>
      </w:r>
      <w:r w:rsidRPr="00DA2287">
        <w:t>Rainbow</w:t>
      </w:r>
      <w:r w:rsidR="003D640C">
        <w:t xml:space="preserve"> </w:t>
      </w:r>
      <w:r w:rsidRPr="00DA2287">
        <w:t>community</w:t>
      </w:r>
      <w:r w:rsidR="003D640C">
        <w:t xml:space="preserve"> </w:t>
      </w:r>
      <w:r w:rsidRPr="00DA2287">
        <w:t>members</w:t>
      </w:r>
      <w:r w:rsidR="00586884">
        <w:t>,</w:t>
      </w:r>
      <w:r w:rsidR="003D640C">
        <w:t xml:space="preserve"> </w:t>
      </w:r>
      <w:r w:rsidRPr="00DA2287">
        <w:t>the</w:t>
      </w:r>
      <w:r w:rsidR="003D640C">
        <w:t xml:space="preserve"> </w:t>
      </w:r>
      <w:r w:rsidRPr="00DA2287">
        <w:t>protection</w:t>
      </w:r>
      <w:r w:rsidR="003D640C">
        <w:t xml:space="preserve"> </w:t>
      </w:r>
      <w:r w:rsidRPr="00DA2287">
        <w:t>and</w:t>
      </w:r>
      <w:r w:rsidR="003D640C">
        <w:t xml:space="preserve"> </w:t>
      </w:r>
      <w:r w:rsidRPr="00DA2287">
        <w:t>solidarity</w:t>
      </w:r>
      <w:r w:rsidR="003D640C">
        <w:t xml:space="preserve"> </w:t>
      </w:r>
      <w:r w:rsidRPr="00DA2287">
        <w:t>of</w:t>
      </w:r>
      <w:r w:rsidR="003D640C">
        <w:t xml:space="preserve"> </w:t>
      </w:r>
      <w:r w:rsidRPr="00DA2287">
        <w:t>a</w:t>
      </w:r>
      <w:r w:rsidR="003D640C">
        <w:t xml:space="preserve"> </w:t>
      </w:r>
      <w:r w:rsidRPr="00DA2287">
        <w:t>wider</w:t>
      </w:r>
      <w:r w:rsidR="003D640C">
        <w:t xml:space="preserve"> </w:t>
      </w:r>
      <w:r w:rsidRPr="00DA2287">
        <w:t>Rainbow</w:t>
      </w:r>
      <w:r w:rsidR="003D640C">
        <w:t xml:space="preserve"> </w:t>
      </w:r>
      <w:r w:rsidRPr="00DA2287">
        <w:t>community</w:t>
      </w:r>
      <w:r w:rsidR="003D640C">
        <w:t xml:space="preserve"> </w:t>
      </w:r>
      <w:r w:rsidRPr="00DA2287">
        <w:t>is</w:t>
      </w:r>
      <w:r w:rsidR="003D640C">
        <w:t xml:space="preserve"> </w:t>
      </w:r>
      <w:r w:rsidR="00661A84" w:rsidRPr="00DA2287">
        <w:t>either</w:t>
      </w:r>
      <w:r w:rsidR="003D640C">
        <w:t xml:space="preserve"> </w:t>
      </w:r>
      <w:r w:rsidRPr="00DA2287">
        <w:t>less</w:t>
      </w:r>
      <w:r w:rsidR="003D640C">
        <w:t xml:space="preserve"> </w:t>
      </w:r>
      <w:r w:rsidRPr="00DA2287">
        <w:t>or</w:t>
      </w:r>
      <w:r w:rsidR="003D640C">
        <w:t xml:space="preserve"> </w:t>
      </w:r>
      <w:r w:rsidRPr="00DA2287">
        <w:t>not</w:t>
      </w:r>
      <w:r w:rsidR="003D640C">
        <w:t xml:space="preserve"> </w:t>
      </w:r>
      <w:r w:rsidRPr="00DA2287">
        <w:t>available</w:t>
      </w:r>
      <w:r w:rsidR="003D640C">
        <w:t xml:space="preserve"> </w:t>
      </w:r>
      <w:r w:rsidRPr="00DA2287">
        <w:t>to</w:t>
      </w:r>
      <w:r w:rsidR="003D640C">
        <w:t xml:space="preserve"> </w:t>
      </w:r>
      <w:r w:rsidRPr="00DA2287">
        <w:t>them.</w:t>
      </w:r>
    </w:p>
    <w:p w14:paraId="6C9A87E8" w14:textId="4B2283BB" w:rsidR="008B0FA9" w:rsidRPr="00DA2287" w:rsidRDefault="008B0FA9" w:rsidP="002C6363">
      <w:pPr>
        <w:pStyle w:val="Heading3"/>
      </w:pPr>
      <w:bookmarkStart w:id="297" w:name="_Toc139031170"/>
      <w:bookmarkStart w:id="298" w:name="_Toc167780624"/>
      <w:bookmarkStart w:id="299" w:name="_Toc1202276343"/>
      <w:bookmarkStart w:id="300" w:name="_Toc174628684"/>
      <w:r w:rsidRPr="00DA2287">
        <w:t>Barriers</w:t>
      </w:r>
      <w:r w:rsidR="003D640C">
        <w:t xml:space="preserve"> </w:t>
      </w:r>
      <w:r w:rsidRPr="00DA2287">
        <w:t>to</w:t>
      </w:r>
      <w:r w:rsidR="003D640C">
        <w:t xml:space="preserve"> </w:t>
      </w:r>
      <w:r w:rsidRPr="00DA2287">
        <w:t>support</w:t>
      </w:r>
      <w:r w:rsidR="003D640C">
        <w:t xml:space="preserve"> </w:t>
      </w:r>
      <w:r w:rsidRPr="00DA2287">
        <w:t>services</w:t>
      </w:r>
      <w:bookmarkEnd w:id="297"/>
      <w:bookmarkEnd w:id="298"/>
      <w:bookmarkEnd w:id="299"/>
      <w:bookmarkEnd w:id="300"/>
    </w:p>
    <w:p w14:paraId="2687FA1C" w14:textId="39B586F6" w:rsidR="008B0FA9" w:rsidRPr="00DA2287" w:rsidRDefault="008B0FA9" w:rsidP="002E6693">
      <w:r w:rsidRPr="00DA2287">
        <w:t>Members</w:t>
      </w:r>
      <w:r w:rsidR="003D640C">
        <w:t xml:space="preserve"> </w:t>
      </w:r>
      <w:r w:rsidRPr="00DA2287">
        <w:t>of</w:t>
      </w:r>
      <w:r w:rsidR="003D640C">
        <w:t xml:space="preserve"> </w:t>
      </w:r>
      <w:r w:rsidRPr="00DA2287">
        <w:t>ethnic</w:t>
      </w:r>
      <w:r w:rsidR="003D640C">
        <w:t xml:space="preserve"> </w:t>
      </w:r>
      <w:r w:rsidR="00CC0F07">
        <w:t>R</w:t>
      </w:r>
      <w:r w:rsidRPr="00DA2287">
        <w:t>ainbow</w:t>
      </w:r>
      <w:r w:rsidR="003D640C">
        <w:t xml:space="preserve"> </w:t>
      </w:r>
      <w:r w:rsidRPr="00DA2287">
        <w:t>communit</w:t>
      </w:r>
      <w:r w:rsidR="00236D62">
        <w:t>ies</w:t>
      </w:r>
      <w:r w:rsidR="003D640C">
        <w:t xml:space="preserve"> </w:t>
      </w:r>
      <w:r w:rsidR="00A91FD5" w:rsidRPr="00DA2287">
        <w:t>with</w:t>
      </w:r>
      <w:r w:rsidR="003D640C">
        <w:t xml:space="preserve"> </w:t>
      </w:r>
      <w:r w:rsidRPr="00DA2287">
        <w:t>who</w:t>
      </w:r>
      <w:r w:rsidR="00A91FD5" w:rsidRPr="00DA2287">
        <w:t>m</w:t>
      </w:r>
      <w:r w:rsidR="003D640C">
        <w:t xml:space="preserve"> </w:t>
      </w:r>
      <w:r w:rsidRPr="00DA2287">
        <w:t>the</w:t>
      </w:r>
      <w:r w:rsidR="003D640C">
        <w:t xml:space="preserve"> </w:t>
      </w:r>
      <w:r w:rsidRPr="00DA2287">
        <w:t>Commission</w:t>
      </w:r>
      <w:r w:rsidR="003D640C">
        <w:t xml:space="preserve"> </w:t>
      </w:r>
      <w:r w:rsidRPr="00DA2287">
        <w:t>engaged</w:t>
      </w:r>
      <w:r w:rsidR="003D640C">
        <w:t xml:space="preserve"> </w:t>
      </w:r>
      <w:r w:rsidRPr="00DA2287">
        <w:t>shared</w:t>
      </w:r>
      <w:r w:rsidR="003D640C">
        <w:t xml:space="preserve"> </w:t>
      </w:r>
      <w:r w:rsidRPr="00DA2287">
        <w:t>how</w:t>
      </w:r>
      <w:r w:rsidR="003D640C">
        <w:t xml:space="preserve"> </w:t>
      </w:r>
      <w:r w:rsidRPr="00DA2287">
        <w:t>they</w:t>
      </w:r>
      <w:r w:rsidR="003D640C">
        <w:t xml:space="preserve"> </w:t>
      </w:r>
      <w:r w:rsidRPr="00DA2287">
        <w:t>faced</w:t>
      </w:r>
      <w:r w:rsidR="003D640C">
        <w:t xml:space="preserve"> </w:t>
      </w:r>
      <w:r w:rsidRPr="00DA2287">
        <w:t>barriers</w:t>
      </w:r>
      <w:r w:rsidR="003D640C">
        <w:t xml:space="preserve"> </w:t>
      </w:r>
      <w:r w:rsidRPr="00DA2287">
        <w:t>accessing</w:t>
      </w:r>
      <w:r w:rsidR="003D640C">
        <w:t xml:space="preserve"> </w:t>
      </w:r>
      <w:r w:rsidRPr="00DA2287">
        <w:t>these</w:t>
      </w:r>
      <w:r w:rsidR="003D640C">
        <w:t xml:space="preserve"> </w:t>
      </w:r>
      <w:r w:rsidRPr="00DA2287">
        <w:t>services</w:t>
      </w:r>
      <w:r w:rsidR="0026219A">
        <w:t>.</w:t>
      </w:r>
      <w:r w:rsidR="003D640C">
        <w:t xml:space="preserve"> </w:t>
      </w:r>
      <w:r w:rsidR="0026219A">
        <w:t>They</w:t>
      </w:r>
      <w:r w:rsidR="003D640C">
        <w:t xml:space="preserve"> </w:t>
      </w:r>
      <w:r w:rsidR="0026219A">
        <w:t>also</w:t>
      </w:r>
      <w:r w:rsidR="003D640C">
        <w:t xml:space="preserve"> </w:t>
      </w:r>
      <w:r w:rsidR="0026219A">
        <w:t>discussed</w:t>
      </w:r>
      <w:r w:rsidR="003D640C">
        <w:t xml:space="preserve"> </w:t>
      </w:r>
      <w:r w:rsidR="0026219A">
        <w:t>the</w:t>
      </w:r>
      <w:r w:rsidR="003D640C">
        <w:t xml:space="preserve"> </w:t>
      </w:r>
      <w:r w:rsidR="0026219A">
        <w:t>challenges</w:t>
      </w:r>
      <w:r w:rsidR="003D640C">
        <w:t xml:space="preserve"> </w:t>
      </w:r>
      <w:r w:rsidR="0026219A">
        <w:t>they</w:t>
      </w:r>
      <w:r w:rsidR="003D640C">
        <w:t xml:space="preserve"> </w:t>
      </w:r>
      <w:r w:rsidR="0026219A">
        <w:t>faced</w:t>
      </w:r>
      <w:r w:rsidR="003D640C">
        <w:t xml:space="preserve"> </w:t>
      </w:r>
      <w:r w:rsidRPr="00DA2287">
        <w:t>advocating</w:t>
      </w:r>
      <w:r w:rsidR="003D640C">
        <w:t xml:space="preserve"> </w:t>
      </w:r>
      <w:r w:rsidRPr="00DA2287">
        <w:t>for</w:t>
      </w:r>
      <w:r w:rsidR="003D640C">
        <w:t xml:space="preserve"> </w:t>
      </w:r>
      <w:r w:rsidRPr="00DA2287">
        <w:t>their</w:t>
      </w:r>
      <w:r w:rsidR="003D640C">
        <w:t xml:space="preserve"> </w:t>
      </w:r>
      <w:r w:rsidRPr="00DA2287">
        <w:t>identity</w:t>
      </w:r>
      <w:r w:rsidR="003D640C">
        <w:t xml:space="preserve"> </w:t>
      </w:r>
      <w:r w:rsidRPr="00DA2287">
        <w:t>within</w:t>
      </w:r>
      <w:r w:rsidR="003D640C">
        <w:t xml:space="preserve"> </w:t>
      </w:r>
      <w:r w:rsidRPr="00DA2287">
        <w:t>their</w:t>
      </w:r>
      <w:r w:rsidR="003D640C">
        <w:t xml:space="preserve"> </w:t>
      </w:r>
      <w:r w:rsidRPr="00DA2287">
        <w:t>respective</w:t>
      </w:r>
      <w:r w:rsidR="003D640C">
        <w:t xml:space="preserve"> </w:t>
      </w:r>
      <w:r w:rsidRPr="00DA2287">
        <w:t>communities</w:t>
      </w:r>
      <w:r w:rsidR="00661A84" w:rsidRPr="00DA2287">
        <w:t>.</w:t>
      </w:r>
      <w:r w:rsidR="003D640C">
        <w:t xml:space="preserve"> </w:t>
      </w:r>
    </w:p>
    <w:p w14:paraId="4992C3A3" w14:textId="1D2BA815" w:rsidR="008B0FA9" w:rsidRPr="002E6693" w:rsidRDefault="008B0FA9" w:rsidP="00D025FA">
      <w:pPr>
        <w:rPr>
          <w:b/>
          <w:bCs/>
        </w:rPr>
      </w:pPr>
      <w:r w:rsidRPr="002E6693">
        <w:rPr>
          <w:b/>
          <w:bCs/>
        </w:rPr>
        <w:t>Social</w:t>
      </w:r>
      <w:r w:rsidR="003D640C" w:rsidRPr="002E6693">
        <w:rPr>
          <w:b/>
          <w:bCs/>
        </w:rPr>
        <w:t xml:space="preserve"> </w:t>
      </w:r>
      <w:r w:rsidRPr="002E6693">
        <w:rPr>
          <w:b/>
          <w:bCs/>
        </w:rPr>
        <w:t>barriers</w:t>
      </w:r>
      <w:r w:rsidR="003D640C" w:rsidRPr="002E6693">
        <w:rPr>
          <w:b/>
          <w:bCs/>
        </w:rPr>
        <w:t xml:space="preserve"> </w:t>
      </w:r>
    </w:p>
    <w:p w14:paraId="189141AC" w14:textId="16AA1325" w:rsidR="000918E5" w:rsidRPr="00DA2287" w:rsidRDefault="008B0FA9" w:rsidP="002E6693">
      <w:r w:rsidRPr="00DA2287">
        <w:t>The</w:t>
      </w:r>
      <w:r w:rsidR="003D640C">
        <w:t xml:space="preserve"> </w:t>
      </w:r>
      <w:r w:rsidRPr="00DA2287">
        <w:t>pressure</w:t>
      </w:r>
      <w:r w:rsidR="003D640C">
        <w:t xml:space="preserve"> </w:t>
      </w:r>
      <w:r w:rsidRPr="00DA2287">
        <w:t>on</w:t>
      </w:r>
      <w:r w:rsidR="003D640C">
        <w:t xml:space="preserve"> </w:t>
      </w:r>
      <w:r w:rsidRPr="00DA2287">
        <w:t>migrants</w:t>
      </w:r>
      <w:r w:rsidR="003D640C">
        <w:t xml:space="preserve"> </w:t>
      </w:r>
      <w:r w:rsidRPr="00DA2287">
        <w:t>to</w:t>
      </w:r>
      <w:r w:rsidR="003D640C">
        <w:t xml:space="preserve"> </w:t>
      </w:r>
      <w:r w:rsidRPr="00DA2287">
        <w:t>integrate</w:t>
      </w:r>
      <w:r w:rsidR="003D640C">
        <w:t xml:space="preserve"> </w:t>
      </w:r>
      <w:r w:rsidRPr="00DA2287">
        <w:t>into</w:t>
      </w:r>
      <w:r w:rsidR="003D640C">
        <w:t xml:space="preserve"> </w:t>
      </w:r>
      <w:r w:rsidRPr="00DA2287">
        <w:t>‘mainstream’</w:t>
      </w:r>
      <w:r w:rsidR="003D640C">
        <w:t xml:space="preserve"> </w:t>
      </w:r>
      <w:r w:rsidRPr="00DA2287">
        <w:t>society</w:t>
      </w:r>
      <w:r w:rsidR="003D640C">
        <w:t xml:space="preserve"> </w:t>
      </w:r>
      <w:r w:rsidRPr="00DA2287">
        <w:t>can</w:t>
      </w:r>
      <w:r w:rsidR="003D640C">
        <w:t xml:space="preserve"> </w:t>
      </w:r>
      <w:r w:rsidRPr="00DA2287">
        <w:t>often</w:t>
      </w:r>
      <w:r w:rsidR="003D640C">
        <w:t xml:space="preserve"> </w:t>
      </w:r>
      <w:r w:rsidRPr="00DA2287">
        <w:t>divert</w:t>
      </w:r>
      <w:r w:rsidR="003D640C">
        <w:t xml:space="preserve"> </w:t>
      </w:r>
      <w:r w:rsidRPr="00DA2287">
        <w:t>the</w:t>
      </w:r>
      <w:r w:rsidR="003D640C">
        <w:t xml:space="preserve"> </w:t>
      </w:r>
      <w:r w:rsidRPr="00DA2287">
        <w:t>attention</w:t>
      </w:r>
      <w:r w:rsidR="003D640C">
        <w:t xml:space="preserve"> </w:t>
      </w:r>
      <w:r w:rsidRPr="00DA2287">
        <w:t>of</w:t>
      </w:r>
      <w:r w:rsidR="003D640C">
        <w:t xml:space="preserve"> </w:t>
      </w:r>
      <w:r w:rsidRPr="00DA2287">
        <w:t>parents</w:t>
      </w:r>
      <w:r w:rsidR="003D640C">
        <w:t xml:space="preserve"> </w:t>
      </w:r>
      <w:r w:rsidRPr="00DA2287">
        <w:t>and</w:t>
      </w:r>
      <w:r w:rsidR="003D640C">
        <w:t xml:space="preserve"> </w:t>
      </w:r>
      <w:r w:rsidRPr="00DA2287">
        <w:t>caregivers.</w:t>
      </w:r>
      <w:r w:rsidR="003D640C">
        <w:t xml:space="preserve"> </w:t>
      </w:r>
      <w:r w:rsidRPr="00DA2287">
        <w:t>Since</w:t>
      </w:r>
      <w:r w:rsidR="003D640C">
        <w:t xml:space="preserve"> </w:t>
      </w:r>
      <w:r w:rsidRPr="00DA2287">
        <w:t>caregivers</w:t>
      </w:r>
      <w:r w:rsidR="003D640C">
        <w:t xml:space="preserve"> </w:t>
      </w:r>
      <w:r w:rsidRPr="00DA2287">
        <w:t>prioritise</w:t>
      </w:r>
      <w:r w:rsidR="003D640C">
        <w:t xml:space="preserve"> </w:t>
      </w:r>
      <w:r w:rsidRPr="00DA2287">
        <w:t>integration,</w:t>
      </w:r>
      <w:r w:rsidR="003D640C">
        <w:t xml:space="preserve"> </w:t>
      </w:r>
      <w:r w:rsidRPr="00DA2287">
        <w:t>the</w:t>
      </w:r>
      <w:r w:rsidR="003D640C">
        <w:t xml:space="preserve"> </w:t>
      </w:r>
      <w:r w:rsidRPr="00DA2287">
        <w:t>need</w:t>
      </w:r>
      <w:r w:rsidR="000918E5" w:rsidRPr="00DA2287">
        <w:t>s</w:t>
      </w:r>
      <w:r w:rsidR="003D640C">
        <w:t xml:space="preserve"> </w:t>
      </w:r>
      <w:r w:rsidRPr="00DA2287">
        <w:t>of</w:t>
      </w:r>
      <w:r w:rsidR="003D640C">
        <w:t xml:space="preserve"> </w:t>
      </w:r>
      <w:r w:rsidRPr="00DA2287">
        <w:t>ethnic</w:t>
      </w:r>
      <w:r w:rsidR="003D640C">
        <w:t xml:space="preserve"> </w:t>
      </w:r>
      <w:r w:rsidR="00661A84" w:rsidRPr="00DA2287">
        <w:t>R</w:t>
      </w:r>
      <w:r w:rsidRPr="00DA2287">
        <w:t>ainbow</w:t>
      </w:r>
      <w:r w:rsidR="003D640C">
        <w:t xml:space="preserve"> </w:t>
      </w:r>
      <w:r w:rsidRPr="00DA2287">
        <w:t>people</w:t>
      </w:r>
      <w:r w:rsidR="003D640C">
        <w:t xml:space="preserve"> </w:t>
      </w:r>
      <w:r w:rsidRPr="00DA2287">
        <w:t>to</w:t>
      </w:r>
      <w:r w:rsidR="003D640C">
        <w:t xml:space="preserve"> </w:t>
      </w:r>
      <w:r w:rsidRPr="00DA2287">
        <w:t>receive</w:t>
      </w:r>
      <w:r w:rsidR="003D640C">
        <w:t xml:space="preserve"> </w:t>
      </w:r>
      <w:r w:rsidRPr="00DA2287">
        <w:t>empathy</w:t>
      </w:r>
      <w:r w:rsidR="003D640C">
        <w:t xml:space="preserve"> </w:t>
      </w:r>
      <w:r w:rsidRPr="00DA2287">
        <w:t>and</w:t>
      </w:r>
      <w:r w:rsidR="003D640C">
        <w:t xml:space="preserve"> </w:t>
      </w:r>
      <w:r w:rsidR="000918E5" w:rsidRPr="00DA2287">
        <w:t>support</w:t>
      </w:r>
      <w:r w:rsidR="003D640C">
        <w:t xml:space="preserve"> </w:t>
      </w:r>
      <w:r w:rsidR="000918E5" w:rsidRPr="00DA2287">
        <w:t>can</w:t>
      </w:r>
      <w:r w:rsidR="003D640C">
        <w:t xml:space="preserve"> </w:t>
      </w:r>
      <w:r w:rsidR="000918E5" w:rsidRPr="00DA2287">
        <w:t>be</w:t>
      </w:r>
      <w:r w:rsidR="003D640C">
        <w:t xml:space="preserve"> </w:t>
      </w:r>
      <w:r w:rsidR="000918E5" w:rsidRPr="00DA2287">
        <w:t>missed</w:t>
      </w:r>
      <w:r w:rsidR="003D640C">
        <w:t xml:space="preserve"> </w:t>
      </w:r>
      <w:r w:rsidR="000918E5" w:rsidRPr="00DA2287">
        <w:t>and</w:t>
      </w:r>
      <w:r w:rsidR="003D640C">
        <w:t xml:space="preserve"> </w:t>
      </w:r>
      <w:r w:rsidR="000918E5" w:rsidRPr="00DA2287">
        <w:t>can</w:t>
      </w:r>
      <w:r w:rsidR="003D640C">
        <w:t xml:space="preserve"> </w:t>
      </w:r>
      <w:r w:rsidR="000918E5" w:rsidRPr="00DA2287">
        <w:t>negatively</w:t>
      </w:r>
      <w:r w:rsidR="003D640C">
        <w:t xml:space="preserve"> </w:t>
      </w:r>
      <w:r w:rsidR="000918E5" w:rsidRPr="00DA2287">
        <w:t>impact</w:t>
      </w:r>
      <w:r w:rsidR="003D640C">
        <w:t xml:space="preserve"> </w:t>
      </w:r>
      <w:r w:rsidR="000918E5" w:rsidRPr="00DA2287">
        <w:t>the</w:t>
      </w:r>
      <w:r w:rsidR="003D640C">
        <w:t xml:space="preserve"> </w:t>
      </w:r>
      <w:r w:rsidR="000918E5" w:rsidRPr="00DA2287">
        <w:t>development</w:t>
      </w:r>
      <w:r w:rsidR="003D640C">
        <w:t xml:space="preserve"> </w:t>
      </w:r>
      <w:r w:rsidR="000918E5" w:rsidRPr="00DA2287">
        <w:t>of</w:t>
      </w:r>
      <w:r w:rsidR="003D640C">
        <w:t xml:space="preserve"> </w:t>
      </w:r>
      <w:r w:rsidRPr="00DA2287">
        <w:t>their</w:t>
      </w:r>
      <w:r w:rsidR="003D640C">
        <w:t xml:space="preserve"> </w:t>
      </w:r>
      <w:r w:rsidRPr="00DA2287">
        <w:t>sense</w:t>
      </w:r>
      <w:r w:rsidR="003D640C">
        <w:t xml:space="preserve"> </w:t>
      </w:r>
      <w:r w:rsidRPr="00DA2287">
        <w:t>of</w:t>
      </w:r>
      <w:r w:rsidR="003D640C">
        <w:t xml:space="preserve"> </w:t>
      </w:r>
      <w:r w:rsidRPr="00DA2287">
        <w:t>self.</w:t>
      </w:r>
      <w:r w:rsidR="003D640C">
        <w:t xml:space="preserve"> </w:t>
      </w:r>
      <w:r w:rsidRPr="00DA2287">
        <w:t>Language</w:t>
      </w:r>
      <w:r w:rsidR="003D640C">
        <w:t xml:space="preserve"> </w:t>
      </w:r>
      <w:r w:rsidRPr="00DA2287">
        <w:t>can</w:t>
      </w:r>
      <w:r w:rsidR="003D640C">
        <w:t xml:space="preserve"> </w:t>
      </w:r>
      <w:r w:rsidRPr="00DA2287">
        <w:t>also</w:t>
      </w:r>
      <w:r w:rsidR="003D640C">
        <w:t xml:space="preserve"> </w:t>
      </w:r>
      <w:r w:rsidRPr="00DA2287">
        <w:t>contribute</w:t>
      </w:r>
      <w:r w:rsidR="003D640C">
        <w:t xml:space="preserve"> </w:t>
      </w:r>
      <w:r w:rsidRPr="00DA2287">
        <w:t>to</w:t>
      </w:r>
      <w:r w:rsidR="003D640C">
        <w:t xml:space="preserve"> </w:t>
      </w:r>
      <w:r w:rsidRPr="00DA2287">
        <w:t>this</w:t>
      </w:r>
      <w:r w:rsidR="003D640C">
        <w:t xml:space="preserve"> </w:t>
      </w:r>
      <w:r w:rsidRPr="00DA2287">
        <w:t>barrier.</w:t>
      </w:r>
      <w:r w:rsidR="003D640C">
        <w:t xml:space="preserve"> </w:t>
      </w:r>
    </w:p>
    <w:p w14:paraId="1A787AB8" w14:textId="1F25B4E8" w:rsidR="008B0FA9" w:rsidRPr="00DA2287" w:rsidRDefault="000918E5" w:rsidP="002E6693">
      <w:r w:rsidRPr="00DA2287">
        <w:lastRenderedPageBreak/>
        <w:t>We</w:t>
      </w:r>
      <w:r w:rsidR="003D640C">
        <w:t xml:space="preserve"> </w:t>
      </w:r>
      <w:r w:rsidRPr="00DA2287">
        <w:t>were</w:t>
      </w:r>
      <w:r w:rsidR="003D640C">
        <w:t xml:space="preserve"> </w:t>
      </w:r>
      <w:r w:rsidRPr="00DA2287">
        <w:t>told</w:t>
      </w:r>
      <w:r w:rsidR="003D640C">
        <w:t xml:space="preserve"> </w:t>
      </w:r>
      <w:r w:rsidRPr="00DA2287">
        <w:t>there</w:t>
      </w:r>
      <w:r w:rsidR="003D640C">
        <w:t xml:space="preserve"> </w:t>
      </w:r>
      <w:r w:rsidRPr="00DA2287">
        <w:t>is</w:t>
      </w:r>
      <w:r w:rsidR="003D640C">
        <w:t xml:space="preserve"> </w:t>
      </w:r>
      <w:r w:rsidRPr="00DA2287">
        <w:t>often</w:t>
      </w:r>
      <w:r w:rsidR="003D640C">
        <w:t xml:space="preserve"> </w:t>
      </w:r>
      <w:r w:rsidR="008B0FA9" w:rsidRPr="00DA2287">
        <w:t>a</w:t>
      </w:r>
      <w:r w:rsidR="003D640C">
        <w:t xml:space="preserve"> </w:t>
      </w:r>
      <w:r w:rsidR="008B0FA9" w:rsidRPr="00DA2287">
        <w:t>communication</w:t>
      </w:r>
      <w:r w:rsidR="003D640C">
        <w:t xml:space="preserve"> </w:t>
      </w:r>
      <w:r w:rsidR="008B0FA9" w:rsidRPr="00DA2287">
        <w:t>breakdown</w:t>
      </w:r>
      <w:r w:rsidR="003D640C">
        <w:t xml:space="preserve"> </w:t>
      </w:r>
      <w:r w:rsidR="008B0FA9" w:rsidRPr="00DA2287">
        <w:t>with</w:t>
      </w:r>
      <w:r w:rsidR="003D640C">
        <w:t xml:space="preserve"> </w:t>
      </w:r>
      <w:r w:rsidR="008B0FA9" w:rsidRPr="00DA2287">
        <w:t>the</w:t>
      </w:r>
      <w:r w:rsidR="003D640C">
        <w:t xml:space="preserve"> </w:t>
      </w:r>
      <w:r w:rsidR="008B0FA9" w:rsidRPr="00DA2287">
        <w:t>children</w:t>
      </w:r>
      <w:r w:rsidR="003D640C">
        <w:t xml:space="preserve"> </w:t>
      </w:r>
      <w:r w:rsidR="008B0FA9" w:rsidRPr="00DA2287">
        <w:t>of</w:t>
      </w:r>
      <w:r w:rsidR="003D640C">
        <w:t xml:space="preserve"> </w:t>
      </w:r>
      <w:r w:rsidR="008B0FA9" w:rsidRPr="00DA2287">
        <w:t>immigrants</w:t>
      </w:r>
      <w:r w:rsidR="003D640C">
        <w:t xml:space="preserve"> </w:t>
      </w:r>
      <w:r w:rsidR="008B0FA9" w:rsidRPr="00DA2287">
        <w:t>who</w:t>
      </w:r>
      <w:r w:rsidR="003D640C">
        <w:t xml:space="preserve"> </w:t>
      </w:r>
      <w:r w:rsidR="008B0FA9" w:rsidRPr="00DA2287">
        <w:t>grow</w:t>
      </w:r>
      <w:r w:rsidR="003D640C">
        <w:t xml:space="preserve"> </w:t>
      </w:r>
      <w:r w:rsidR="008B0FA9" w:rsidRPr="00DA2287">
        <w:t>up</w:t>
      </w:r>
      <w:r w:rsidR="003D640C">
        <w:t xml:space="preserve"> </w:t>
      </w:r>
      <w:r w:rsidR="008B0FA9" w:rsidRPr="00DA2287">
        <w:t>in</w:t>
      </w:r>
      <w:r w:rsidR="003D640C">
        <w:t xml:space="preserve"> </w:t>
      </w:r>
      <w:r w:rsidR="008B0FA9" w:rsidRPr="00DA2287">
        <w:t>Aotearoa.</w:t>
      </w:r>
      <w:r w:rsidR="003D640C">
        <w:t xml:space="preserve"> </w:t>
      </w:r>
      <w:r w:rsidR="008B0FA9" w:rsidRPr="00DA2287">
        <w:t>English</w:t>
      </w:r>
      <w:r w:rsidR="003D640C">
        <w:t xml:space="preserve"> </w:t>
      </w:r>
      <w:r w:rsidR="008B0FA9" w:rsidRPr="00DA2287">
        <w:t>is</w:t>
      </w:r>
      <w:r w:rsidR="003D640C">
        <w:t xml:space="preserve"> </w:t>
      </w:r>
      <w:r w:rsidR="008B0FA9" w:rsidRPr="00DA2287">
        <w:t>often</w:t>
      </w:r>
      <w:r w:rsidR="003D640C">
        <w:t xml:space="preserve"> </w:t>
      </w:r>
      <w:r w:rsidR="008B0FA9" w:rsidRPr="00DA2287">
        <w:t>a</w:t>
      </w:r>
      <w:r w:rsidR="003D640C">
        <w:t xml:space="preserve"> </w:t>
      </w:r>
      <w:r w:rsidR="008B0FA9" w:rsidRPr="00DA2287">
        <w:t>second</w:t>
      </w:r>
      <w:r w:rsidR="003D640C">
        <w:t xml:space="preserve"> </w:t>
      </w:r>
      <w:r w:rsidR="008B0FA9" w:rsidRPr="00DA2287">
        <w:t>language</w:t>
      </w:r>
      <w:r w:rsidR="003D640C">
        <w:t xml:space="preserve"> </w:t>
      </w:r>
      <w:r w:rsidR="008B0FA9" w:rsidRPr="00DA2287">
        <w:t>for</w:t>
      </w:r>
      <w:r w:rsidR="003D640C">
        <w:t xml:space="preserve"> </w:t>
      </w:r>
      <w:r w:rsidR="008B0FA9" w:rsidRPr="00DA2287">
        <w:t>their</w:t>
      </w:r>
      <w:r w:rsidR="003D640C">
        <w:t xml:space="preserve"> </w:t>
      </w:r>
      <w:r w:rsidR="008B0FA9" w:rsidRPr="00DA2287">
        <w:t>parents,</w:t>
      </w:r>
      <w:r w:rsidR="003D640C">
        <w:t xml:space="preserve"> </w:t>
      </w:r>
      <w:r w:rsidR="008B0FA9" w:rsidRPr="00DA2287">
        <w:t>which</w:t>
      </w:r>
      <w:r w:rsidR="003D640C">
        <w:t xml:space="preserve"> </w:t>
      </w:r>
      <w:r w:rsidR="008B0FA9" w:rsidRPr="00DA2287">
        <w:t>places</w:t>
      </w:r>
      <w:r w:rsidR="003D640C">
        <w:t xml:space="preserve"> </w:t>
      </w:r>
      <w:r w:rsidR="008B0FA9" w:rsidRPr="00DA2287">
        <w:t>a</w:t>
      </w:r>
      <w:r w:rsidR="003D640C">
        <w:t xml:space="preserve"> </w:t>
      </w:r>
      <w:r w:rsidR="008B0FA9" w:rsidRPr="00DA2287">
        <w:t>barrier</w:t>
      </w:r>
      <w:r w:rsidR="003D640C">
        <w:t xml:space="preserve"> </w:t>
      </w:r>
      <w:r w:rsidR="008B0FA9" w:rsidRPr="00DA2287">
        <w:t>for</w:t>
      </w:r>
      <w:r w:rsidR="003D640C">
        <w:t xml:space="preserve"> </w:t>
      </w:r>
      <w:r w:rsidR="008B0FA9" w:rsidRPr="00DA2287">
        <w:t>their</w:t>
      </w:r>
      <w:r w:rsidR="003D640C">
        <w:t xml:space="preserve"> </w:t>
      </w:r>
      <w:r w:rsidR="008B0FA9" w:rsidRPr="00DA2287">
        <w:t>children</w:t>
      </w:r>
      <w:r w:rsidR="003D640C">
        <w:t xml:space="preserve"> </w:t>
      </w:r>
      <w:r w:rsidR="008B0FA9" w:rsidRPr="00DA2287">
        <w:t>to</w:t>
      </w:r>
      <w:r w:rsidR="003D640C">
        <w:t xml:space="preserve"> </w:t>
      </w:r>
      <w:r w:rsidR="008B0FA9" w:rsidRPr="00DA2287">
        <w:t>speak</w:t>
      </w:r>
      <w:r w:rsidR="003D640C">
        <w:t xml:space="preserve"> </w:t>
      </w:r>
      <w:r w:rsidR="008B0FA9" w:rsidRPr="00DA2287">
        <w:t>about</w:t>
      </w:r>
      <w:r w:rsidR="003D640C">
        <w:t xml:space="preserve"> </w:t>
      </w:r>
      <w:r w:rsidRPr="00DA2287">
        <w:t>R</w:t>
      </w:r>
      <w:r w:rsidR="008B0FA9" w:rsidRPr="00DA2287">
        <w:t>ainbow</w:t>
      </w:r>
      <w:r w:rsidR="003D640C">
        <w:t xml:space="preserve"> </w:t>
      </w:r>
      <w:r w:rsidR="008B0FA9" w:rsidRPr="00DA2287">
        <w:t>awareness</w:t>
      </w:r>
      <w:r w:rsidR="003D640C">
        <w:t xml:space="preserve"> </w:t>
      </w:r>
      <w:r w:rsidR="008B0FA9" w:rsidRPr="00DA2287">
        <w:t>at</w:t>
      </w:r>
      <w:r w:rsidR="003D640C">
        <w:t xml:space="preserve"> </w:t>
      </w:r>
      <w:r w:rsidR="008B0FA9" w:rsidRPr="00DA2287">
        <w:t>home.</w:t>
      </w:r>
      <w:r w:rsidR="008B0FA9" w:rsidRPr="00DA2287">
        <w:rPr>
          <w:vertAlign w:val="superscript"/>
        </w:rPr>
        <w:footnoteReference w:id="227"/>
      </w:r>
    </w:p>
    <w:p w14:paraId="3546A243" w14:textId="20313DFF" w:rsidR="008B0FA9" w:rsidRPr="00DA2287" w:rsidRDefault="008B0FA9" w:rsidP="002E6693">
      <w:r w:rsidRPr="00DA2287">
        <w:t>This</w:t>
      </w:r>
      <w:r w:rsidR="003D640C">
        <w:t xml:space="preserve"> </w:t>
      </w:r>
      <w:r w:rsidRPr="00DA2287">
        <w:t>barrier</w:t>
      </w:r>
      <w:r w:rsidR="003D640C">
        <w:t xml:space="preserve"> </w:t>
      </w:r>
      <w:r w:rsidRPr="00DA2287">
        <w:t>puts</w:t>
      </w:r>
      <w:r w:rsidR="003D640C">
        <w:t xml:space="preserve"> </w:t>
      </w:r>
      <w:r w:rsidRPr="00DA2287">
        <w:t>pressure</w:t>
      </w:r>
      <w:r w:rsidR="003D640C">
        <w:t xml:space="preserve"> </w:t>
      </w:r>
      <w:r w:rsidRPr="00DA2287">
        <w:t>on</w:t>
      </w:r>
      <w:r w:rsidR="003D640C">
        <w:t xml:space="preserve"> </w:t>
      </w:r>
      <w:r w:rsidRPr="00DA2287">
        <w:t>younger</w:t>
      </w:r>
      <w:r w:rsidR="003D640C">
        <w:t xml:space="preserve"> </w:t>
      </w:r>
      <w:r w:rsidRPr="00DA2287">
        <w:t>generations</w:t>
      </w:r>
      <w:r w:rsidR="003D640C">
        <w:t xml:space="preserve"> </w:t>
      </w:r>
      <w:r w:rsidRPr="00DA2287">
        <w:t>in</w:t>
      </w:r>
      <w:r w:rsidR="003D640C">
        <w:t xml:space="preserve"> </w:t>
      </w:r>
      <w:r w:rsidRPr="00DA2287">
        <w:t>the</w:t>
      </w:r>
      <w:r w:rsidR="003D640C">
        <w:t xml:space="preserve"> </w:t>
      </w:r>
      <w:r w:rsidRPr="00DA2287">
        <w:t>ethnic</w:t>
      </w:r>
      <w:r w:rsidR="003D640C">
        <w:t xml:space="preserve"> </w:t>
      </w:r>
      <w:r w:rsidRPr="00DA2287">
        <w:t>migrant</w:t>
      </w:r>
      <w:r w:rsidR="003D640C">
        <w:t xml:space="preserve"> </w:t>
      </w:r>
      <w:r w:rsidRPr="00DA2287">
        <w:t>diaspora</w:t>
      </w:r>
      <w:r w:rsidR="003D640C">
        <w:t xml:space="preserve"> </w:t>
      </w:r>
      <w:r w:rsidRPr="00DA2287">
        <w:t>to</w:t>
      </w:r>
      <w:r w:rsidR="003D640C">
        <w:t xml:space="preserve"> </w:t>
      </w:r>
      <w:r w:rsidRPr="00DA2287">
        <w:t>educate</w:t>
      </w:r>
      <w:r w:rsidR="003D640C">
        <w:t xml:space="preserve"> </w:t>
      </w:r>
      <w:r w:rsidRPr="00DA2287">
        <w:t>not</w:t>
      </w:r>
      <w:r w:rsidR="003D640C">
        <w:t xml:space="preserve"> </w:t>
      </w:r>
      <w:r w:rsidRPr="00DA2287">
        <w:t>only</w:t>
      </w:r>
      <w:r w:rsidR="003D640C">
        <w:t xml:space="preserve"> </w:t>
      </w:r>
      <w:r w:rsidRPr="00DA2287">
        <w:t>their</w:t>
      </w:r>
      <w:r w:rsidR="003D640C">
        <w:t xml:space="preserve"> </w:t>
      </w:r>
      <w:r w:rsidRPr="00DA2287">
        <w:t>immediate</w:t>
      </w:r>
      <w:r w:rsidR="003D640C">
        <w:t xml:space="preserve"> </w:t>
      </w:r>
      <w:r w:rsidRPr="00DA2287">
        <w:t>family</w:t>
      </w:r>
      <w:r w:rsidR="003D640C">
        <w:t xml:space="preserve"> </w:t>
      </w:r>
      <w:r w:rsidRPr="00DA2287">
        <w:t>but</w:t>
      </w:r>
      <w:r w:rsidR="003D640C">
        <w:t xml:space="preserve"> </w:t>
      </w:r>
      <w:r w:rsidRPr="00DA2287">
        <w:t>also</w:t>
      </w:r>
      <w:r w:rsidR="003D640C">
        <w:t xml:space="preserve"> </w:t>
      </w:r>
      <w:r w:rsidRPr="00DA2287">
        <w:t>the</w:t>
      </w:r>
      <w:r w:rsidR="003D640C">
        <w:t xml:space="preserve"> </w:t>
      </w:r>
      <w:r w:rsidRPr="00DA2287">
        <w:t>wider</w:t>
      </w:r>
      <w:r w:rsidR="003D640C">
        <w:t xml:space="preserve"> </w:t>
      </w:r>
      <w:r w:rsidRPr="00DA2287">
        <w:t>community.</w:t>
      </w:r>
      <w:r w:rsidR="003D640C">
        <w:t xml:space="preserve"> </w:t>
      </w:r>
    </w:p>
    <w:p w14:paraId="71CBB2B6" w14:textId="6D430CD7" w:rsidR="008B0FA9" w:rsidRPr="002E6693" w:rsidRDefault="008B0FA9" w:rsidP="00D025FA">
      <w:pPr>
        <w:rPr>
          <w:b/>
          <w:bCs/>
        </w:rPr>
      </w:pPr>
      <w:r w:rsidRPr="002E6693">
        <w:rPr>
          <w:b/>
          <w:bCs/>
        </w:rPr>
        <w:t>Social</w:t>
      </w:r>
      <w:r w:rsidR="003D640C" w:rsidRPr="002E6693">
        <w:rPr>
          <w:b/>
          <w:bCs/>
        </w:rPr>
        <w:t xml:space="preserve"> </w:t>
      </w:r>
      <w:r w:rsidRPr="002E6693">
        <w:rPr>
          <w:b/>
          <w:bCs/>
        </w:rPr>
        <w:t>services</w:t>
      </w:r>
      <w:r w:rsidR="003D640C" w:rsidRPr="002E6693">
        <w:rPr>
          <w:b/>
          <w:bCs/>
        </w:rPr>
        <w:t xml:space="preserve"> </w:t>
      </w:r>
      <w:r w:rsidRPr="002E6693">
        <w:rPr>
          <w:b/>
          <w:bCs/>
        </w:rPr>
        <w:t>and</w:t>
      </w:r>
      <w:r w:rsidR="003D640C" w:rsidRPr="002E6693">
        <w:rPr>
          <w:b/>
          <w:bCs/>
        </w:rPr>
        <w:t xml:space="preserve"> </w:t>
      </w:r>
      <w:r w:rsidRPr="002E6693">
        <w:rPr>
          <w:b/>
          <w:bCs/>
        </w:rPr>
        <w:t>authority</w:t>
      </w:r>
      <w:r w:rsidR="003D640C" w:rsidRPr="002E6693">
        <w:rPr>
          <w:b/>
          <w:bCs/>
        </w:rPr>
        <w:t xml:space="preserve"> </w:t>
      </w:r>
      <w:r w:rsidRPr="002E6693">
        <w:rPr>
          <w:b/>
          <w:bCs/>
        </w:rPr>
        <w:t>barriers</w:t>
      </w:r>
      <w:r w:rsidR="003D640C" w:rsidRPr="002E6693">
        <w:rPr>
          <w:b/>
          <w:bCs/>
        </w:rPr>
        <w:t xml:space="preserve"> </w:t>
      </w:r>
    </w:p>
    <w:p w14:paraId="2E93F02C" w14:textId="30F1ECA8" w:rsidR="008B0FA9" w:rsidRPr="00DA2287" w:rsidRDefault="008B0FA9" w:rsidP="002E6693">
      <w:r w:rsidRPr="00DA2287">
        <w:t>While</w:t>
      </w:r>
      <w:r w:rsidR="003D640C">
        <w:t xml:space="preserve"> </w:t>
      </w:r>
      <w:r w:rsidRPr="00DA2287">
        <w:t>the</w:t>
      </w:r>
      <w:r w:rsidR="003D640C">
        <w:t xml:space="preserve"> </w:t>
      </w:r>
      <w:r w:rsidRPr="00DA2287">
        <w:t>Commission</w:t>
      </w:r>
      <w:r w:rsidR="003D640C">
        <w:rPr>
          <w:i/>
        </w:rPr>
        <w:t xml:space="preserve"> </w:t>
      </w:r>
      <w:r w:rsidRPr="00DA2287">
        <w:t>has</w:t>
      </w:r>
      <w:r w:rsidR="003D640C">
        <w:t xml:space="preserve"> </w:t>
      </w:r>
      <w:r w:rsidRPr="00DA2287">
        <w:t>established</w:t>
      </w:r>
      <w:r w:rsidR="003D640C">
        <w:t xml:space="preserve"> </w:t>
      </w:r>
      <w:r w:rsidRPr="00DA2287">
        <w:t>services</w:t>
      </w:r>
      <w:r w:rsidR="003D640C">
        <w:t xml:space="preserve"> </w:t>
      </w:r>
      <w:r w:rsidRPr="00DA2287">
        <w:t>to</w:t>
      </w:r>
      <w:r w:rsidR="003D640C">
        <w:t xml:space="preserve"> </w:t>
      </w:r>
      <w:r w:rsidRPr="00DA2287">
        <w:t>facilitate</w:t>
      </w:r>
      <w:r w:rsidR="003D640C">
        <w:t xml:space="preserve"> </w:t>
      </w:r>
      <w:r w:rsidRPr="00DA2287">
        <w:t>reports</w:t>
      </w:r>
      <w:r w:rsidR="003D640C">
        <w:t xml:space="preserve"> </w:t>
      </w:r>
      <w:r w:rsidRPr="00DA2287">
        <w:t>of</w:t>
      </w:r>
      <w:r w:rsidR="003D640C">
        <w:t xml:space="preserve"> </w:t>
      </w:r>
      <w:r w:rsidRPr="00DA2287">
        <w:t>conversion</w:t>
      </w:r>
      <w:r w:rsidR="003D640C">
        <w:t xml:space="preserve"> </w:t>
      </w:r>
      <w:r w:rsidRPr="00DA2287">
        <w:t>practices,</w:t>
      </w:r>
      <w:r w:rsidR="003D640C">
        <w:t xml:space="preserve"> </w:t>
      </w:r>
      <w:r w:rsidRPr="00DA2287">
        <w:t>when</w:t>
      </w:r>
      <w:r w:rsidR="003D640C">
        <w:t xml:space="preserve"> </w:t>
      </w:r>
      <w:r w:rsidRPr="00DA2287">
        <w:t>asked</w:t>
      </w:r>
      <w:r w:rsidR="003D640C">
        <w:t xml:space="preserve"> </w:t>
      </w:r>
      <w:r w:rsidRPr="00DA2287">
        <w:t>to</w:t>
      </w:r>
      <w:r w:rsidR="003D640C">
        <w:t xml:space="preserve"> </w:t>
      </w:r>
      <w:r w:rsidRPr="00DA2287">
        <w:t>list</w:t>
      </w:r>
      <w:r w:rsidR="003D640C">
        <w:t xml:space="preserve"> </w:t>
      </w:r>
      <w:r w:rsidRPr="00DA2287">
        <w:t>barriers</w:t>
      </w:r>
      <w:r w:rsidR="003D640C">
        <w:t xml:space="preserve"> </w:t>
      </w:r>
      <w:r w:rsidRPr="00DA2287">
        <w:t>to</w:t>
      </w:r>
      <w:r w:rsidR="003D640C">
        <w:t xml:space="preserve"> </w:t>
      </w:r>
      <w:r w:rsidRPr="00DA2287">
        <w:t>accessing</w:t>
      </w:r>
      <w:r w:rsidR="003D640C">
        <w:t xml:space="preserve"> </w:t>
      </w:r>
      <w:r w:rsidRPr="00DA2287">
        <w:t>these</w:t>
      </w:r>
      <w:r w:rsidR="003D640C">
        <w:t xml:space="preserve"> </w:t>
      </w:r>
      <w:r w:rsidRPr="00DA2287">
        <w:t>services,</w:t>
      </w:r>
      <w:r w:rsidR="003D640C">
        <w:t xml:space="preserve"> </w:t>
      </w:r>
      <w:r w:rsidRPr="00DA2287">
        <w:t>ethnic</w:t>
      </w:r>
      <w:r w:rsidR="003D640C">
        <w:t xml:space="preserve"> </w:t>
      </w:r>
      <w:r w:rsidR="00A91FD5" w:rsidRPr="00DA2287">
        <w:t>R</w:t>
      </w:r>
      <w:r w:rsidRPr="00DA2287">
        <w:t>ainbow</w:t>
      </w:r>
      <w:r w:rsidR="003D640C">
        <w:t xml:space="preserve"> </w:t>
      </w:r>
      <w:r w:rsidR="00A91FD5" w:rsidRPr="00DA2287">
        <w:t>people</w:t>
      </w:r>
      <w:r w:rsidR="003D640C">
        <w:t xml:space="preserve"> </w:t>
      </w:r>
      <w:r w:rsidRPr="00DA2287">
        <w:t>provided</w:t>
      </w:r>
      <w:r w:rsidR="003D640C">
        <w:t xml:space="preserve"> </w:t>
      </w:r>
      <w:r w:rsidRPr="00DA2287">
        <w:t>these</w:t>
      </w:r>
      <w:r w:rsidR="003D640C">
        <w:t xml:space="preserve"> </w:t>
      </w:r>
      <w:r w:rsidRPr="00DA2287">
        <w:t>suggestions</w:t>
      </w:r>
      <w:r w:rsidR="003D640C">
        <w:t xml:space="preserve"> </w:t>
      </w:r>
      <w:r w:rsidRPr="00DA2287">
        <w:t>as</w:t>
      </w:r>
      <w:r w:rsidR="003D640C">
        <w:t xml:space="preserve"> </w:t>
      </w:r>
      <w:r w:rsidRPr="00DA2287">
        <w:t>to</w:t>
      </w:r>
      <w:r w:rsidR="003D640C">
        <w:t xml:space="preserve"> </w:t>
      </w:r>
      <w:r w:rsidRPr="00DA2287">
        <w:t>why</w:t>
      </w:r>
      <w:r w:rsidR="003D640C">
        <w:t xml:space="preserve"> </w:t>
      </w:r>
      <w:r w:rsidRPr="00DA2287">
        <w:t>they</w:t>
      </w:r>
      <w:r w:rsidR="003D640C">
        <w:t xml:space="preserve"> </w:t>
      </w:r>
      <w:r w:rsidRPr="00DA2287">
        <w:t>may</w:t>
      </w:r>
      <w:r w:rsidR="003D640C">
        <w:t xml:space="preserve"> </w:t>
      </w:r>
      <w:r w:rsidRPr="00DA2287">
        <w:t>not</w:t>
      </w:r>
      <w:r w:rsidR="003D640C">
        <w:t xml:space="preserve"> </w:t>
      </w:r>
      <w:r w:rsidRPr="00DA2287">
        <w:t>make</w:t>
      </w:r>
      <w:r w:rsidR="003D640C">
        <w:t xml:space="preserve"> </w:t>
      </w:r>
      <w:r w:rsidRPr="00DA2287">
        <w:t>contact</w:t>
      </w:r>
      <w:r w:rsidR="00CD5809">
        <w:t>.</w:t>
      </w:r>
    </w:p>
    <w:p w14:paraId="7C718BCB" w14:textId="4C12763E" w:rsidR="008B0FA9" w:rsidRPr="00DA2287" w:rsidRDefault="008B0FA9" w:rsidP="002E6693">
      <w:pPr>
        <w:pStyle w:val="Bullet"/>
      </w:pPr>
      <w:r w:rsidRPr="00DA2287">
        <w:t>A</w:t>
      </w:r>
      <w:r w:rsidR="003D640C">
        <w:t xml:space="preserve"> </w:t>
      </w:r>
      <w:r w:rsidRPr="00DA2287">
        <w:t>young</w:t>
      </w:r>
      <w:r w:rsidR="003D640C">
        <w:t xml:space="preserve"> </w:t>
      </w:r>
      <w:r w:rsidR="00A91FD5" w:rsidRPr="00DA2287">
        <w:t>Rainbow</w:t>
      </w:r>
      <w:r w:rsidR="003D640C">
        <w:t xml:space="preserve"> </w:t>
      </w:r>
      <w:r w:rsidRPr="00DA2287">
        <w:t>member</w:t>
      </w:r>
      <w:r w:rsidR="003D640C">
        <w:t xml:space="preserve"> </w:t>
      </w:r>
      <w:r w:rsidRPr="00DA2287">
        <w:t>of</w:t>
      </w:r>
      <w:r w:rsidR="003D640C">
        <w:t xml:space="preserve"> </w:t>
      </w:r>
      <w:r w:rsidR="000918E5" w:rsidRPr="00DA2287">
        <w:t>an</w:t>
      </w:r>
      <w:r w:rsidR="003D640C">
        <w:t xml:space="preserve"> </w:t>
      </w:r>
      <w:r w:rsidRPr="00DA2287">
        <w:t>ethnic</w:t>
      </w:r>
      <w:r w:rsidR="003D640C">
        <w:t xml:space="preserve"> </w:t>
      </w:r>
      <w:r w:rsidRPr="00DA2287">
        <w:t>community</w:t>
      </w:r>
      <w:r w:rsidR="003D640C">
        <w:t xml:space="preserve"> </w:t>
      </w:r>
      <w:r w:rsidRPr="00DA2287">
        <w:t>is</w:t>
      </w:r>
      <w:r w:rsidR="003D640C">
        <w:t xml:space="preserve"> </w:t>
      </w:r>
      <w:r w:rsidRPr="00DA2287">
        <w:t>unlikely</w:t>
      </w:r>
      <w:r w:rsidR="003D640C">
        <w:t xml:space="preserve"> </w:t>
      </w:r>
      <w:r w:rsidRPr="00DA2287">
        <w:t>to</w:t>
      </w:r>
      <w:r w:rsidR="003D640C">
        <w:t xml:space="preserve"> </w:t>
      </w:r>
      <w:r w:rsidRPr="00DA2287">
        <w:t>report</w:t>
      </w:r>
      <w:r w:rsidR="003D640C">
        <w:t xml:space="preserve"> </w:t>
      </w:r>
      <w:r w:rsidRPr="00DA2287">
        <w:t>their</w:t>
      </w:r>
      <w:r w:rsidR="003D640C">
        <w:t xml:space="preserve"> </w:t>
      </w:r>
      <w:r w:rsidRPr="00DA2287">
        <w:t>family’s</w:t>
      </w:r>
      <w:r w:rsidR="003D640C">
        <w:t xml:space="preserve"> </w:t>
      </w:r>
      <w:r w:rsidRPr="00DA2287">
        <w:t>attempts</w:t>
      </w:r>
      <w:r w:rsidR="003D640C">
        <w:t xml:space="preserve"> </w:t>
      </w:r>
      <w:r w:rsidRPr="00DA2287">
        <w:t>at</w:t>
      </w:r>
      <w:r w:rsidR="003D640C">
        <w:t xml:space="preserve"> </w:t>
      </w:r>
      <w:r w:rsidRPr="00DA2287">
        <w:t>conversion</w:t>
      </w:r>
      <w:r w:rsidR="003D640C">
        <w:t xml:space="preserve"> </w:t>
      </w:r>
      <w:r w:rsidRPr="00DA2287">
        <w:t>practices</w:t>
      </w:r>
      <w:r w:rsidR="003D640C">
        <w:t xml:space="preserve"> </w:t>
      </w:r>
      <w:r w:rsidRPr="00DA2287">
        <w:t>due</w:t>
      </w:r>
      <w:r w:rsidR="003D640C">
        <w:t xml:space="preserve"> </w:t>
      </w:r>
      <w:r w:rsidRPr="00DA2287">
        <w:t>to</w:t>
      </w:r>
      <w:r w:rsidR="003D640C">
        <w:t xml:space="preserve"> </w:t>
      </w:r>
      <w:r w:rsidRPr="00DA2287">
        <w:t>the</w:t>
      </w:r>
      <w:r w:rsidR="003D640C">
        <w:t xml:space="preserve"> </w:t>
      </w:r>
      <w:r w:rsidRPr="00DA2287">
        <w:t>pressure</w:t>
      </w:r>
      <w:r w:rsidR="003D640C">
        <w:t xml:space="preserve"> </w:t>
      </w:r>
      <w:r w:rsidRPr="00DA2287">
        <w:t>to</w:t>
      </w:r>
      <w:r w:rsidR="003D640C">
        <w:t xml:space="preserve"> </w:t>
      </w:r>
      <w:r w:rsidRPr="00DA2287">
        <w:t>stay</w:t>
      </w:r>
      <w:r w:rsidR="003D640C">
        <w:t xml:space="preserve"> </w:t>
      </w:r>
      <w:r w:rsidRPr="00DA2287">
        <w:t>connected</w:t>
      </w:r>
      <w:r w:rsidR="003D640C">
        <w:t xml:space="preserve"> </w:t>
      </w:r>
      <w:r w:rsidRPr="00DA2287">
        <w:t>with</w:t>
      </w:r>
      <w:r w:rsidR="003D640C">
        <w:t xml:space="preserve"> </w:t>
      </w:r>
      <w:r w:rsidRPr="00DA2287">
        <w:t>a</w:t>
      </w:r>
      <w:r w:rsidR="003D640C">
        <w:t xml:space="preserve"> </w:t>
      </w:r>
      <w:r w:rsidRPr="00DA2287">
        <w:t>wider</w:t>
      </w:r>
      <w:r w:rsidR="003D640C">
        <w:t xml:space="preserve"> </w:t>
      </w:r>
      <w:r w:rsidRPr="00DA2287">
        <w:t>community.</w:t>
      </w:r>
    </w:p>
    <w:p w14:paraId="2B0CD359" w14:textId="10E10F6F" w:rsidR="008B0FA9" w:rsidRPr="00DA2287" w:rsidRDefault="008B0FA9" w:rsidP="002E6693">
      <w:pPr>
        <w:pStyle w:val="Bullet"/>
      </w:pPr>
      <w:r w:rsidRPr="00DA2287">
        <w:t>Some</w:t>
      </w:r>
      <w:r w:rsidR="003D640C">
        <w:t xml:space="preserve"> </w:t>
      </w:r>
      <w:r w:rsidRPr="00DA2287">
        <w:t>social</w:t>
      </w:r>
      <w:r w:rsidR="003D640C">
        <w:t xml:space="preserve"> </w:t>
      </w:r>
      <w:r w:rsidRPr="00DA2287">
        <w:t>service</w:t>
      </w:r>
      <w:r w:rsidR="003D640C">
        <w:t xml:space="preserve"> </w:t>
      </w:r>
      <w:r w:rsidRPr="00DA2287">
        <w:t>providers</w:t>
      </w:r>
      <w:r w:rsidR="003D640C">
        <w:t xml:space="preserve"> </w:t>
      </w:r>
      <w:r w:rsidRPr="00DA2287">
        <w:t>do</w:t>
      </w:r>
      <w:r w:rsidR="003D640C">
        <w:t xml:space="preserve"> </w:t>
      </w:r>
      <w:r w:rsidRPr="00DA2287">
        <w:t>not</w:t>
      </w:r>
      <w:r w:rsidR="003D640C">
        <w:t xml:space="preserve"> </w:t>
      </w:r>
      <w:r w:rsidRPr="00DA2287">
        <w:t>understand</w:t>
      </w:r>
      <w:r w:rsidR="003D640C">
        <w:t xml:space="preserve"> </w:t>
      </w:r>
      <w:r w:rsidRPr="00DA2287">
        <w:t>the</w:t>
      </w:r>
      <w:r w:rsidR="003D640C">
        <w:t xml:space="preserve"> </w:t>
      </w:r>
      <w:r w:rsidRPr="00DA2287">
        <w:t>intersectionality</w:t>
      </w:r>
      <w:r w:rsidR="003D640C">
        <w:t xml:space="preserve"> </w:t>
      </w:r>
      <w:r w:rsidR="000918E5" w:rsidRPr="00DA2287">
        <w:t>with</w:t>
      </w:r>
      <w:r w:rsidR="00E21857" w:rsidRPr="00DA2287">
        <w:t>in</w:t>
      </w:r>
      <w:r w:rsidR="003D640C">
        <w:t xml:space="preserve"> </w:t>
      </w:r>
      <w:r w:rsidR="000918E5" w:rsidRPr="00DA2287">
        <w:t>which</w:t>
      </w:r>
      <w:r w:rsidR="003D640C">
        <w:t xml:space="preserve"> </w:t>
      </w:r>
      <w:r w:rsidRPr="00DA2287">
        <w:t>ethnic</w:t>
      </w:r>
      <w:r w:rsidR="003D640C">
        <w:t xml:space="preserve"> </w:t>
      </w:r>
      <w:r w:rsidR="000918E5" w:rsidRPr="00DA2287">
        <w:t>R</w:t>
      </w:r>
      <w:r w:rsidRPr="00DA2287">
        <w:t>ainbow</w:t>
      </w:r>
      <w:r w:rsidR="003D640C">
        <w:t xml:space="preserve"> </w:t>
      </w:r>
      <w:r w:rsidRPr="00DA2287">
        <w:t>people</w:t>
      </w:r>
      <w:r w:rsidR="003D640C">
        <w:t xml:space="preserve"> </w:t>
      </w:r>
      <w:r w:rsidRPr="00DA2287">
        <w:t>struggle.</w:t>
      </w:r>
      <w:r w:rsidR="003D640C">
        <w:t xml:space="preserve"> </w:t>
      </w:r>
      <w:r w:rsidR="000731B8">
        <w:t>The default for s</w:t>
      </w:r>
      <w:r w:rsidRPr="00DA2287">
        <w:t>ome</w:t>
      </w:r>
      <w:r w:rsidR="003D640C">
        <w:t xml:space="preserve"> </w:t>
      </w:r>
      <w:r w:rsidRPr="00DA2287">
        <w:t>service</w:t>
      </w:r>
      <w:r w:rsidR="003D640C">
        <w:t xml:space="preserve"> </w:t>
      </w:r>
      <w:r w:rsidRPr="00DA2287">
        <w:t>providers</w:t>
      </w:r>
      <w:r w:rsidR="003D640C">
        <w:t xml:space="preserve"> </w:t>
      </w:r>
      <w:r w:rsidRPr="00DA2287">
        <w:t>is</w:t>
      </w:r>
      <w:r w:rsidR="003D640C">
        <w:t xml:space="preserve"> </w:t>
      </w:r>
      <w:r w:rsidRPr="00DA2287">
        <w:t>to</w:t>
      </w:r>
      <w:r w:rsidR="003D640C">
        <w:t xml:space="preserve"> </w:t>
      </w:r>
      <w:r w:rsidRPr="00DA2287">
        <w:t>direct</w:t>
      </w:r>
      <w:r w:rsidR="003D640C">
        <w:t xml:space="preserve"> </w:t>
      </w:r>
      <w:r w:rsidRPr="00DA2287">
        <w:t>ethnic</w:t>
      </w:r>
      <w:r w:rsidR="003D640C">
        <w:t xml:space="preserve"> </w:t>
      </w:r>
      <w:r w:rsidR="000918E5" w:rsidRPr="00DA2287">
        <w:t>R</w:t>
      </w:r>
      <w:r w:rsidRPr="00DA2287">
        <w:t>ainbow</w:t>
      </w:r>
      <w:r w:rsidR="003D640C">
        <w:t xml:space="preserve"> </w:t>
      </w:r>
      <w:r w:rsidRPr="00DA2287">
        <w:t>people</w:t>
      </w:r>
      <w:r w:rsidR="003D640C">
        <w:t xml:space="preserve"> </w:t>
      </w:r>
      <w:r w:rsidRPr="00DA2287">
        <w:t>to</w:t>
      </w:r>
      <w:r w:rsidR="003D640C">
        <w:t xml:space="preserve"> </w:t>
      </w:r>
      <w:r w:rsidRPr="00DA2287">
        <w:t>staff</w:t>
      </w:r>
      <w:r w:rsidR="003D640C">
        <w:t xml:space="preserve"> </w:t>
      </w:r>
      <w:r w:rsidRPr="00DA2287">
        <w:t>with</w:t>
      </w:r>
      <w:r w:rsidR="003D640C">
        <w:t xml:space="preserve"> </w:t>
      </w:r>
      <w:r w:rsidR="00A91FD5" w:rsidRPr="00DA2287">
        <w:t>the</w:t>
      </w:r>
      <w:r w:rsidR="003D640C">
        <w:t xml:space="preserve"> </w:t>
      </w:r>
      <w:r w:rsidR="00A91FD5" w:rsidRPr="00DA2287">
        <w:t>same</w:t>
      </w:r>
      <w:r w:rsidR="003D640C">
        <w:t xml:space="preserve"> </w:t>
      </w:r>
      <w:r w:rsidR="00A91FD5" w:rsidRPr="00DA2287">
        <w:t>or</w:t>
      </w:r>
      <w:r w:rsidR="003D640C">
        <w:t xml:space="preserve"> </w:t>
      </w:r>
      <w:r w:rsidRPr="00DA2287">
        <w:t>similar</w:t>
      </w:r>
      <w:r w:rsidR="003D640C">
        <w:t xml:space="preserve"> </w:t>
      </w:r>
      <w:r w:rsidRPr="00DA2287">
        <w:t>ethnicity.</w:t>
      </w:r>
      <w:r w:rsidR="003D640C">
        <w:t xml:space="preserve"> </w:t>
      </w:r>
      <w:r w:rsidRPr="00DA2287">
        <w:t>While</w:t>
      </w:r>
      <w:r w:rsidR="003D640C">
        <w:t xml:space="preserve"> </w:t>
      </w:r>
      <w:r w:rsidRPr="00DA2287">
        <w:t>this</w:t>
      </w:r>
      <w:r w:rsidR="003D640C">
        <w:t xml:space="preserve"> </w:t>
      </w:r>
      <w:r w:rsidRPr="00DA2287">
        <w:t>is</w:t>
      </w:r>
      <w:r w:rsidR="003D640C">
        <w:t xml:space="preserve"> </w:t>
      </w:r>
      <w:r w:rsidRPr="00DA2287">
        <w:t>well</w:t>
      </w:r>
      <w:r w:rsidR="000731B8">
        <w:t xml:space="preserve"> </w:t>
      </w:r>
      <w:r w:rsidRPr="00DA2287">
        <w:t>intentioned</w:t>
      </w:r>
      <w:r w:rsidR="000731B8">
        <w:t>,</w:t>
      </w:r>
      <w:r w:rsidR="003D640C">
        <w:t xml:space="preserve"> </w:t>
      </w:r>
      <w:r w:rsidRPr="00DA2287">
        <w:t>this</w:t>
      </w:r>
      <w:r w:rsidR="003D640C">
        <w:t xml:space="preserve"> </w:t>
      </w:r>
      <w:r w:rsidRPr="00DA2287">
        <w:t>person</w:t>
      </w:r>
      <w:r w:rsidR="003D640C">
        <w:t xml:space="preserve"> </w:t>
      </w:r>
      <w:r w:rsidR="00A91FD5" w:rsidRPr="00DA2287">
        <w:t>or</w:t>
      </w:r>
      <w:r w:rsidR="003D640C">
        <w:t xml:space="preserve"> </w:t>
      </w:r>
      <w:r w:rsidR="00A91FD5" w:rsidRPr="00DA2287">
        <w:t>people</w:t>
      </w:r>
      <w:r w:rsidR="003D640C">
        <w:t xml:space="preserve"> </w:t>
      </w:r>
      <w:r w:rsidRPr="00DA2287">
        <w:t>still</w:t>
      </w:r>
      <w:r w:rsidR="003D640C">
        <w:t xml:space="preserve"> </w:t>
      </w:r>
      <w:r w:rsidRPr="00DA2287">
        <w:t>may</w:t>
      </w:r>
      <w:r w:rsidR="003D640C">
        <w:t xml:space="preserve"> </w:t>
      </w:r>
      <w:r w:rsidRPr="00DA2287">
        <w:t>not</w:t>
      </w:r>
      <w:r w:rsidR="003D640C">
        <w:t xml:space="preserve"> </w:t>
      </w:r>
      <w:r w:rsidRPr="00DA2287">
        <w:t>have</w:t>
      </w:r>
      <w:r w:rsidR="003D640C">
        <w:t xml:space="preserve"> </w:t>
      </w:r>
      <w:r w:rsidRPr="00DA2287">
        <w:t>the</w:t>
      </w:r>
      <w:r w:rsidR="003D640C">
        <w:t xml:space="preserve"> </w:t>
      </w:r>
      <w:r w:rsidRPr="00DA2287">
        <w:t>capa</w:t>
      </w:r>
      <w:r w:rsidR="000918E5" w:rsidRPr="00DA2287">
        <w:t>bility</w:t>
      </w:r>
      <w:r w:rsidR="003D640C">
        <w:t xml:space="preserve"> </w:t>
      </w:r>
      <w:r w:rsidRPr="00DA2287">
        <w:t>to</w:t>
      </w:r>
      <w:r w:rsidR="003D640C">
        <w:t xml:space="preserve"> </w:t>
      </w:r>
      <w:r w:rsidRPr="00DA2287">
        <w:t>understand</w:t>
      </w:r>
      <w:r w:rsidR="003D640C">
        <w:t xml:space="preserve"> </w:t>
      </w:r>
      <w:r w:rsidR="000918E5" w:rsidRPr="00DA2287">
        <w:t>R</w:t>
      </w:r>
      <w:r w:rsidRPr="00DA2287">
        <w:t>ainbow</w:t>
      </w:r>
      <w:r w:rsidR="003D640C">
        <w:t xml:space="preserve"> </w:t>
      </w:r>
      <w:r w:rsidR="000918E5" w:rsidRPr="00DA2287">
        <w:t>issues</w:t>
      </w:r>
      <w:r w:rsidRPr="00DA2287">
        <w:t>.</w:t>
      </w:r>
      <w:r w:rsidR="003D640C">
        <w:t xml:space="preserve"> </w:t>
      </w:r>
    </w:p>
    <w:p w14:paraId="2614C6B0" w14:textId="4766DE47" w:rsidR="008B0FA9" w:rsidRPr="00DA2287" w:rsidRDefault="00826365" w:rsidP="002E6693">
      <w:pPr>
        <w:pStyle w:val="Bullet"/>
      </w:pPr>
      <w:r>
        <w:t>They</w:t>
      </w:r>
      <w:r w:rsidR="003D640C">
        <w:t xml:space="preserve"> </w:t>
      </w:r>
      <w:r>
        <w:t>may</w:t>
      </w:r>
      <w:r w:rsidR="003D640C">
        <w:t xml:space="preserve"> </w:t>
      </w:r>
      <w:r>
        <w:t>f</w:t>
      </w:r>
      <w:r w:rsidR="008B0FA9" w:rsidRPr="00DA2287">
        <w:t>ear</w:t>
      </w:r>
      <w:r w:rsidR="003D640C">
        <w:t xml:space="preserve"> </w:t>
      </w:r>
      <w:r w:rsidR="008B0FA9" w:rsidRPr="00DA2287">
        <w:t>for</w:t>
      </w:r>
      <w:r w:rsidR="003D640C">
        <w:t xml:space="preserve"> </w:t>
      </w:r>
      <w:r w:rsidR="008B0FA9" w:rsidRPr="00DA2287">
        <w:t>themselves</w:t>
      </w:r>
      <w:r w:rsidR="003D640C">
        <w:t xml:space="preserve"> </w:t>
      </w:r>
      <w:r w:rsidR="008B0FA9" w:rsidRPr="00DA2287">
        <w:t>or</w:t>
      </w:r>
      <w:r w:rsidR="003D640C">
        <w:t xml:space="preserve"> </w:t>
      </w:r>
      <w:r w:rsidR="00ED6A01">
        <w:t>for</w:t>
      </w:r>
      <w:r w:rsidR="003D640C">
        <w:t xml:space="preserve"> </w:t>
      </w:r>
      <w:r w:rsidR="008B0FA9" w:rsidRPr="00DA2287">
        <w:t>their</w:t>
      </w:r>
      <w:r w:rsidR="003D640C">
        <w:t xml:space="preserve"> </w:t>
      </w:r>
      <w:r w:rsidR="008B0FA9" w:rsidRPr="00DA2287">
        <w:t>family</w:t>
      </w:r>
      <w:r w:rsidR="003D640C">
        <w:t xml:space="preserve"> </w:t>
      </w:r>
      <w:r w:rsidR="008B0FA9" w:rsidRPr="00DA2287">
        <w:t>being</w:t>
      </w:r>
      <w:r w:rsidR="003D640C">
        <w:t xml:space="preserve"> </w:t>
      </w:r>
      <w:r w:rsidR="008B0FA9" w:rsidRPr="00DA2287">
        <w:t>deported</w:t>
      </w:r>
      <w:r w:rsidR="00ED6A01">
        <w:t>,</w:t>
      </w:r>
      <w:r w:rsidR="003D640C">
        <w:t xml:space="preserve"> </w:t>
      </w:r>
      <w:r w:rsidR="008B0FA9" w:rsidRPr="00DA2287">
        <w:t>where</w:t>
      </w:r>
      <w:r w:rsidR="003D640C">
        <w:t xml:space="preserve"> </w:t>
      </w:r>
      <w:r w:rsidR="008B0FA9" w:rsidRPr="00DA2287">
        <w:t>there</w:t>
      </w:r>
      <w:r w:rsidR="003D640C">
        <w:t xml:space="preserve"> </w:t>
      </w:r>
      <w:r w:rsidR="008B0FA9" w:rsidRPr="00DA2287">
        <w:t>will</w:t>
      </w:r>
      <w:r w:rsidR="003D640C">
        <w:t xml:space="preserve"> </w:t>
      </w:r>
      <w:r w:rsidR="008B0FA9" w:rsidRPr="00DA2287">
        <w:t>be</w:t>
      </w:r>
      <w:r w:rsidR="003D640C">
        <w:t xml:space="preserve"> </w:t>
      </w:r>
      <w:r w:rsidR="008B0FA9" w:rsidRPr="00DA2287">
        <w:t>a</w:t>
      </w:r>
      <w:r w:rsidR="003D640C">
        <w:t xml:space="preserve"> </w:t>
      </w:r>
      <w:r w:rsidR="008B0FA9" w:rsidRPr="00DA2287">
        <w:t>risk</w:t>
      </w:r>
      <w:r w:rsidR="003D640C">
        <w:t xml:space="preserve"> </w:t>
      </w:r>
      <w:r w:rsidR="008B0FA9" w:rsidRPr="00DA2287">
        <w:t>of</w:t>
      </w:r>
      <w:r w:rsidR="003D640C">
        <w:t xml:space="preserve"> </w:t>
      </w:r>
      <w:r w:rsidR="008B0FA9" w:rsidRPr="00DA2287">
        <w:t>further</w:t>
      </w:r>
      <w:r w:rsidR="003D640C">
        <w:t xml:space="preserve"> </w:t>
      </w:r>
      <w:r w:rsidR="008B0FA9" w:rsidRPr="00DA2287">
        <w:t>persecution.</w:t>
      </w:r>
    </w:p>
    <w:p w14:paraId="0617211D" w14:textId="072810DE" w:rsidR="008B0FA9" w:rsidRPr="00DA2287" w:rsidRDefault="008B0FA9" w:rsidP="002E6693">
      <w:pPr>
        <w:pStyle w:val="Bullet"/>
      </w:pPr>
      <w:r w:rsidRPr="00DA2287">
        <w:t>Services</w:t>
      </w:r>
      <w:r w:rsidR="003D640C">
        <w:t xml:space="preserve"> </w:t>
      </w:r>
      <w:r w:rsidRPr="00DA2287">
        <w:t>are</w:t>
      </w:r>
      <w:r w:rsidR="003D640C">
        <w:t xml:space="preserve"> </w:t>
      </w:r>
      <w:r w:rsidRPr="00DA2287">
        <w:t>inaccessible</w:t>
      </w:r>
      <w:r w:rsidR="003D640C">
        <w:t xml:space="preserve"> </w:t>
      </w:r>
      <w:r w:rsidRPr="00DA2287">
        <w:t>because</w:t>
      </w:r>
      <w:r w:rsidR="003D640C">
        <w:t xml:space="preserve"> </w:t>
      </w:r>
      <w:r w:rsidRPr="00DA2287">
        <w:t>information</w:t>
      </w:r>
      <w:r w:rsidR="003D640C">
        <w:t xml:space="preserve"> </w:t>
      </w:r>
      <w:r w:rsidRPr="00DA2287">
        <w:t>is</w:t>
      </w:r>
      <w:r w:rsidR="003D640C">
        <w:t xml:space="preserve"> </w:t>
      </w:r>
      <w:r w:rsidRPr="00DA2287">
        <w:t>not</w:t>
      </w:r>
      <w:r w:rsidR="003D640C">
        <w:t xml:space="preserve"> </w:t>
      </w:r>
      <w:r w:rsidRPr="00DA2287">
        <w:t>translated</w:t>
      </w:r>
      <w:r w:rsidR="003D640C">
        <w:t xml:space="preserve"> </w:t>
      </w:r>
      <w:r w:rsidRPr="00DA2287">
        <w:t>or</w:t>
      </w:r>
      <w:r w:rsidR="003D640C">
        <w:t xml:space="preserve"> </w:t>
      </w:r>
      <w:r w:rsidRPr="00DA2287">
        <w:t>written</w:t>
      </w:r>
      <w:r w:rsidR="003D640C">
        <w:t xml:space="preserve"> </w:t>
      </w:r>
      <w:r w:rsidRPr="00DA2287">
        <w:t>in</w:t>
      </w:r>
      <w:r w:rsidR="003D640C">
        <w:t xml:space="preserve"> </w:t>
      </w:r>
      <w:r w:rsidRPr="00DA2287">
        <w:t>plain</w:t>
      </w:r>
      <w:r w:rsidR="003D640C">
        <w:t xml:space="preserve"> </w:t>
      </w:r>
      <w:r w:rsidRPr="00DA2287">
        <w:t>English.</w:t>
      </w:r>
    </w:p>
    <w:p w14:paraId="1F939147" w14:textId="77777777" w:rsidR="00501068" w:rsidRDefault="00826365" w:rsidP="002E6693">
      <w:pPr>
        <w:pStyle w:val="Bullet"/>
      </w:pPr>
      <w:r>
        <w:t>They</w:t>
      </w:r>
      <w:r w:rsidR="003D640C">
        <w:t xml:space="preserve"> </w:t>
      </w:r>
      <w:r>
        <w:t>may</w:t>
      </w:r>
      <w:r w:rsidR="003D640C">
        <w:t xml:space="preserve"> </w:t>
      </w:r>
      <w:r>
        <w:t>f</w:t>
      </w:r>
      <w:r w:rsidR="008B0FA9" w:rsidRPr="00DA2287">
        <w:t>ear</w:t>
      </w:r>
      <w:r w:rsidR="003D640C">
        <w:t xml:space="preserve"> </w:t>
      </w:r>
      <w:r w:rsidR="008B0FA9" w:rsidRPr="00DA2287">
        <w:t>authority</w:t>
      </w:r>
      <w:r w:rsidR="003D640C">
        <w:t xml:space="preserve"> </w:t>
      </w:r>
      <w:r w:rsidR="008B0FA9" w:rsidRPr="00DA2287">
        <w:t>due</w:t>
      </w:r>
      <w:r w:rsidR="003D640C">
        <w:t xml:space="preserve"> </w:t>
      </w:r>
      <w:r w:rsidR="008B0FA9" w:rsidRPr="00DA2287">
        <w:t>to</w:t>
      </w:r>
      <w:r w:rsidR="003D640C">
        <w:t xml:space="preserve"> </w:t>
      </w:r>
      <w:r w:rsidR="008B0FA9" w:rsidRPr="00DA2287">
        <w:t>experiences</w:t>
      </w:r>
      <w:r w:rsidR="003D640C">
        <w:t xml:space="preserve"> </w:t>
      </w:r>
      <w:r w:rsidR="008B0FA9" w:rsidRPr="00DA2287">
        <w:t>of</w:t>
      </w:r>
      <w:r w:rsidR="003D640C">
        <w:t xml:space="preserve"> </w:t>
      </w:r>
      <w:r w:rsidR="008B0FA9" w:rsidRPr="00DA2287">
        <w:t>racism</w:t>
      </w:r>
      <w:r w:rsidR="003D640C">
        <w:t xml:space="preserve"> </w:t>
      </w:r>
      <w:r w:rsidR="008B0FA9" w:rsidRPr="00DA2287">
        <w:t>towards</w:t>
      </w:r>
      <w:r w:rsidR="003D640C">
        <w:t xml:space="preserve"> </w:t>
      </w:r>
      <w:r w:rsidR="008B0FA9" w:rsidRPr="00DA2287">
        <w:t>ethnic</w:t>
      </w:r>
      <w:r w:rsidR="003D640C">
        <w:t xml:space="preserve"> </w:t>
      </w:r>
      <w:r w:rsidR="008B0FA9" w:rsidRPr="00DA2287">
        <w:t>communities.</w:t>
      </w:r>
    </w:p>
    <w:p w14:paraId="097C7DDE" w14:textId="2519DA56" w:rsidR="00A91FD5" w:rsidRPr="00DA2287" w:rsidRDefault="008B0FA9" w:rsidP="002E6693">
      <w:r w:rsidRPr="00DA2287">
        <w:t>Lack</w:t>
      </w:r>
      <w:r w:rsidR="003D640C">
        <w:t xml:space="preserve"> </w:t>
      </w:r>
      <w:r w:rsidRPr="00DA2287">
        <w:t>of</w:t>
      </w:r>
      <w:r w:rsidR="003D640C">
        <w:t xml:space="preserve"> </w:t>
      </w:r>
      <w:r w:rsidRPr="00DA2287">
        <w:t>money</w:t>
      </w:r>
      <w:r w:rsidR="003D640C">
        <w:t xml:space="preserve"> </w:t>
      </w:r>
      <w:r w:rsidR="000918E5" w:rsidRPr="00DA2287">
        <w:t>can</w:t>
      </w:r>
      <w:r w:rsidR="003D640C">
        <w:t xml:space="preserve"> </w:t>
      </w:r>
      <w:r w:rsidRPr="00DA2287">
        <w:t>stop</w:t>
      </w:r>
      <w:r w:rsidR="003D640C">
        <w:t xml:space="preserve"> </w:t>
      </w:r>
      <w:r w:rsidR="000918E5" w:rsidRPr="00DA2287">
        <w:t>ethnic</w:t>
      </w:r>
      <w:r w:rsidR="003D640C">
        <w:t xml:space="preserve"> </w:t>
      </w:r>
      <w:r w:rsidR="000918E5" w:rsidRPr="00DA2287">
        <w:t>Rainbow</w:t>
      </w:r>
      <w:r w:rsidR="003D640C">
        <w:t xml:space="preserve"> </w:t>
      </w:r>
      <w:r w:rsidRPr="00DA2287">
        <w:t>people</w:t>
      </w:r>
      <w:r w:rsidR="003D640C">
        <w:t xml:space="preserve"> </w:t>
      </w:r>
      <w:r w:rsidRPr="00DA2287">
        <w:t>getting</w:t>
      </w:r>
      <w:r w:rsidR="003D640C">
        <w:t xml:space="preserve"> </w:t>
      </w:r>
      <w:r w:rsidRPr="00DA2287">
        <w:t>comprehensive</w:t>
      </w:r>
      <w:r w:rsidR="003D640C">
        <w:t xml:space="preserve"> </w:t>
      </w:r>
      <w:r w:rsidRPr="00DA2287">
        <w:t>and</w:t>
      </w:r>
      <w:r w:rsidR="003D640C">
        <w:t xml:space="preserve"> </w:t>
      </w:r>
      <w:r w:rsidRPr="00DA2287">
        <w:t>focused</w:t>
      </w:r>
      <w:r w:rsidR="003D640C">
        <w:t xml:space="preserve"> </w:t>
      </w:r>
      <w:r w:rsidRPr="00DA2287">
        <w:t>support</w:t>
      </w:r>
      <w:r w:rsidR="003D640C">
        <w:t xml:space="preserve"> </w:t>
      </w:r>
      <w:r w:rsidRPr="00DA2287">
        <w:t>such</w:t>
      </w:r>
      <w:r w:rsidR="003D640C">
        <w:t xml:space="preserve"> </w:t>
      </w:r>
      <w:r w:rsidRPr="00DA2287">
        <w:t>as</w:t>
      </w:r>
      <w:r w:rsidR="003D640C">
        <w:t xml:space="preserve"> </w:t>
      </w:r>
      <w:r w:rsidRPr="00DA2287">
        <w:t>consistent</w:t>
      </w:r>
      <w:r w:rsidR="003D640C">
        <w:t xml:space="preserve"> </w:t>
      </w:r>
      <w:r w:rsidRPr="00DA2287">
        <w:t>counselling</w:t>
      </w:r>
      <w:r w:rsidR="003D640C">
        <w:t xml:space="preserve"> </w:t>
      </w:r>
      <w:r w:rsidRPr="00DA2287">
        <w:t>sessions,</w:t>
      </w:r>
      <w:r w:rsidR="003D640C">
        <w:t xml:space="preserve"> </w:t>
      </w:r>
      <w:r w:rsidRPr="00DA2287">
        <w:t>alternative</w:t>
      </w:r>
      <w:r w:rsidR="003D640C">
        <w:t xml:space="preserve"> </w:t>
      </w:r>
      <w:r w:rsidRPr="00DA2287">
        <w:t>housing,</w:t>
      </w:r>
      <w:r w:rsidR="003D640C">
        <w:t xml:space="preserve"> </w:t>
      </w:r>
      <w:r w:rsidR="000731B8">
        <w:t xml:space="preserve">and </w:t>
      </w:r>
      <w:r w:rsidRPr="00DA2287">
        <w:t>access</w:t>
      </w:r>
      <w:r w:rsidR="003D640C">
        <w:t xml:space="preserve"> </w:t>
      </w:r>
      <w:r w:rsidRPr="00DA2287">
        <w:t>to</w:t>
      </w:r>
      <w:r w:rsidR="003D640C">
        <w:t xml:space="preserve"> </w:t>
      </w:r>
      <w:r w:rsidRPr="00DA2287">
        <w:t>Wi-Fi</w:t>
      </w:r>
      <w:r w:rsidR="003D640C">
        <w:t xml:space="preserve"> </w:t>
      </w:r>
      <w:r w:rsidRPr="00DA2287">
        <w:t>and</w:t>
      </w:r>
      <w:r w:rsidR="003D640C">
        <w:t xml:space="preserve"> </w:t>
      </w:r>
      <w:r w:rsidRPr="00DA2287">
        <w:t>other</w:t>
      </w:r>
      <w:r w:rsidR="003D640C">
        <w:t xml:space="preserve"> </w:t>
      </w:r>
      <w:r w:rsidRPr="00DA2287">
        <w:t>cellular</w:t>
      </w:r>
      <w:r w:rsidR="003D640C">
        <w:t xml:space="preserve"> </w:t>
      </w:r>
      <w:r w:rsidRPr="00DA2287">
        <w:t>services.</w:t>
      </w:r>
      <w:r w:rsidR="003D640C">
        <w:t xml:space="preserve"> </w:t>
      </w:r>
      <w:r w:rsidRPr="00DA2287">
        <w:t>These</w:t>
      </w:r>
      <w:r w:rsidR="003D640C">
        <w:t xml:space="preserve"> </w:t>
      </w:r>
      <w:r w:rsidRPr="00DA2287">
        <w:t>types</w:t>
      </w:r>
      <w:r w:rsidR="003D640C">
        <w:t xml:space="preserve"> </w:t>
      </w:r>
      <w:r w:rsidRPr="00DA2287">
        <w:t>of</w:t>
      </w:r>
      <w:r w:rsidR="003D640C">
        <w:t xml:space="preserve"> </w:t>
      </w:r>
      <w:r w:rsidRPr="00DA2287">
        <w:t>concerns</w:t>
      </w:r>
      <w:r w:rsidR="003D640C">
        <w:t xml:space="preserve"> </w:t>
      </w:r>
      <w:r w:rsidRPr="00DA2287">
        <w:t>are</w:t>
      </w:r>
      <w:r w:rsidR="003D640C">
        <w:t xml:space="preserve"> </w:t>
      </w:r>
      <w:r w:rsidRPr="00DA2287">
        <w:t>also</w:t>
      </w:r>
      <w:r w:rsidR="003D640C">
        <w:t xml:space="preserve"> </w:t>
      </w:r>
      <w:r w:rsidRPr="00DA2287">
        <w:t>echoed</w:t>
      </w:r>
      <w:r w:rsidR="003D640C">
        <w:t xml:space="preserve"> </w:t>
      </w:r>
      <w:r w:rsidRPr="00DA2287">
        <w:t>by</w:t>
      </w:r>
      <w:r w:rsidR="003D640C">
        <w:t xml:space="preserve"> </w:t>
      </w:r>
      <w:r w:rsidRPr="00DA2287">
        <w:t>some</w:t>
      </w:r>
      <w:r w:rsidR="003D640C">
        <w:t xml:space="preserve"> </w:t>
      </w:r>
      <w:r w:rsidRPr="00DA2287">
        <w:t>Māori</w:t>
      </w:r>
      <w:r w:rsidR="003D640C">
        <w:t xml:space="preserve"> </w:t>
      </w:r>
      <w:r w:rsidRPr="00DA2287">
        <w:t>and</w:t>
      </w:r>
      <w:r w:rsidR="003D640C">
        <w:t xml:space="preserve"> </w:t>
      </w:r>
      <w:r w:rsidRPr="00DA2287">
        <w:t>Pacific</w:t>
      </w:r>
      <w:r w:rsidR="003D640C">
        <w:t xml:space="preserve"> </w:t>
      </w:r>
      <w:r w:rsidR="000918E5" w:rsidRPr="00DA2287">
        <w:t>R</w:t>
      </w:r>
      <w:r w:rsidRPr="00DA2287">
        <w:t>ainbow</w:t>
      </w:r>
      <w:r w:rsidR="003D640C">
        <w:t xml:space="preserve"> </w:t>
      </w:r>
      <w:r w:rsidRPr="00DA2287">
        <w:t>voices</w:t>
      </w:r>
      <w:r w:rsidR="003D640C">
        <w:t xml:space="preserve"> </w:t>
      </w:r>
      <w:r w:rsidRPr="00DA2287">
        <w:t>and</w:t>
      </w:r>
      <w:r w:rsidR="003D640C">
        <w:t xml:space="preserve"> </w:t>
      </w:r>
      <w:r w:rsidRPr="00DA2287">
        <w:t>reflect</w:t>
      </w:r>
      <w:r w:rsidR="003D640C">
        <w:t xml:space="preserve"> </w:t>
      </w:r>
      <w:r w:rsidRPr="00DA2287">
        <w:t>wider</w:t>
      </w:r>
      <w:r w:rsidR="003D640C">
        <w:t xml:space="preserve"> </w:t>
      </w:r>
      <w:r w:rsidRPr="00DA2287">
        <w:t>systemic</w:t>
      </w:r>
      <w:r w:rsidR="003D640C">
        <w:t xml:space="preserve"> </w:t>
      </w:r>
      <w:r w:rsidRPr="00DA2287">
        <w:t>issues</w:t>
      </w:r>
      <w:r w:rsidR="003D640C">
        <w:t xml:space="preserve"> </w:t>
      </w:r>
      <w:r w:rsidRPr="00DA2287">
        <w:t>with</w:t>
      </w:r>
      <w:r w:rsidR="003D640C">
        <w:t xml:space="preserve"> </w:t>
      </w:r>
      <w:r w:rsidRPr="00DA2287">
        <w:t>minority</w:t>
      </w:r>
      <w:r w:rsidR="003D640C">
        <w:t xml:space="preserve"> </w:t>
      </w:r>
      <w:r w:rsidRPr="00DA2287">
        <w:t>communities</w:t>
      </w:r>
      <w:r w:rsidR="003D640C">
        <w:t xml:space="preserve"> </w:t>
      </w:r>
      <w:r w:rsidRPr="00DA2287">
        <w:t>being</w:t>
      </w:r>
      <w:r w:rsidR="003D640C">
        <w:t xml:space="preserve"> </w:t>
      </w:r>
      <w:r w:rsidRPr="00DA2287">
        <w:t>able</w:t>
      </w:r>
      <w:r w:rsidR="003D640C">
        <w:t xml:space="preserve"> </w:t>
      </w:r>
      <w:r w:rsidRPr="00DA2287">
        <w:t>to</w:t>
      </w:r>
      <w:r w:rsidR="003D640C">
        <w:t xml:space="preserve"> </w:t>
      </w:r>
      <w:r w:rsidRPr="00DA2287">
        <w:t>access</w:t>
      </w:r>
      <w:r w:rsidR="003D640C">
        <w:t xml:space="preserve"> </w:t>
      </w:r>
      <w:r w:rsidRPr="00DA2287">
        <w:t>government</w:t>
      </w:r>
      <w:r w:rsidR="003D640C">
        <w:t xml:space="preserve"> </w:t>
      </w:r>
      <w:r w:rsidRPr="00DA2287">
        <w:t>and</w:t>
      </w:r>
      <w:r w:rsidR="003D640C">
        <w:t xml:space="preserve"> </w:t>
      </w:r>
      <w:r w:rsidRPr="00DA2287">
        <w:t>public</w:t>
      </w:r>
      <w:r w:rsidR="003D640C">
        <w:t xml:space="preserve"> </w:t>
      </w:r>
      <w:r w:rsidRPr="00DA2287">
        <w:t>services.</w:t>
      </w:r>
      <w:r w:rsidR="003D640C">
        <w:t xml:space="preserve"> </w:t>
      </w:r>
    </w:p>
    <w:p w14:paraId="03319872" w14:textId="77295878" w:rsidR="002E6693" w:rsidRDefault="008B0FA9" w:rsidP="002E6693">
      <w:r w:rsidRPr="00DA2287">
        <w:t>The</w:t>
      </w:r>
      <w:r w:rsidR="003D640C">
        <w:t xml:space="preserve"> </w:t>
      </w:r>
      <w:r w:rsidRPr="00DA2287">
        <w:t>Commission</w:t>
      </w:r>
      <w:r w:rsidR="003D640C">
        <w:t xml:space="preserve"> </w:t>
      </w:r>
      <w:r w:rsidRPr="00DA2287">
        <w:t>has</w:t>
      </w:r>
      <w:r w:rsidR="003D640C">
        <w:t xml:space="preserve"> </w:t>
      </w:r>
      <w:r w:rsidRPr="00DA2287">
        <w:t>noted</w:t>
      </w:r>
      <w:r w:rsidR="003D640C">
        <w:t xml:space="preserve"> </w:t>
      </w:r>
      <w:r w:rsidRPr="00DA2287">
        <w:t>these</w:t>
      </w:r>
      <w:r w:rsidR="003D640C">
        <w:t xml:space="preserve"> </w:t>
      </w:r>
      <w:r w:rsidRPr="00DA2287">
        <w:t>suggestions</w:t>
      </w:r>
      <w:r w:rsidR="003D640C">
        <w:t xml:space="preserve"> </w:t>
      </w:r>
      <w:r w:rsidRPr="00DA2287">
        <w:t>and</w:t>
      </w:r>
      <w:r w:rsidR="003D640C">
        <w:t xml:space="preserve"> </w:t>
      </w:r>
      <w:r w:rsidRPr="00DA2287">
        <w:t>has</w:t>
      </w:r>
      <w:r w:rsidR="003D640C">
        <w:t xml:space="preserve"> </w:t>
      </w:r>
      <w:r w:rsidRPr="00DA2287">
        <w:t>in</w:t>
      </w:r>
      <w:r w:rsidR="003D640C">
        <w:t xml:space="preserve"> </w:t>
      </w:r>
      <w:r w:rsidRPr="00DA2287">
        <w:t>place</w:t>
      </w:r>
      <w:r w:rsidR="003D640C">
        <w:t xml:space="preserve"> </w:t>
      </w:r>
      <w:r w:rsidRPr="00DA2287">
        <w:t>various</w:t>
      </w:r>
      <w:r w:rsidR="003D640C">
        <w:t xml:space="preserve"> </w:t>
      </w:r>
      <w:r w:rsidRPr="00DA2287">
        <w:t>responsive</w:t>
      </w:r>
      <w:r w:rsidR="003D640C">
        <w:t xml:space="preserve"> </w:t>
      </w:r>
      <w:r w:rsidRPr="00DA2287">
        <w:t>accommodations</w:t>
      </w:r>
      <w:r w:rsidR="003D640C">
        <w:t xml:space="preserve"> </w:t>
      </w:r>
      <w:r w:rsidRPr="00DA2287">
        <w:t>and</w:t>
      </w:r>
      <w:r w:rsidR="003D640C">
        <w:t xml:space="preserve"> </w:t>
      </w:r>
      <w:r w:rsidRPr="00DA2287">
        <w:t>methods</w:t>
      </w:r>
      <w:r w:rsidR="003D640C">
        <w:t xml:space="preserve"> </w:t>
      </w:r>
      <w:r w:rsidRPr="00DA2287">
        <w:t>to</w:t>
      </w:r>
      <w:r w:rsidR="003D640C">
        <w:t xml:space="preserve"> </w:t>
      </w:r>
      <w:r w:rsidRPr="00DA2287">
        <w:t>support</w:t>
      </w:r>
      <w:r w:rsidR="003D640C">
        <w:t xml:space="preserve"> </w:t>
      </w:r>
      <w:r w:rsidRPr="00DA2287">
        <w:t>better</w:t>
      </w:r>
      <w:r w:rsidR="003D640C">
        <w:t xml:space="preserve"> </w:t>
      </w:r>
      <w:r w:rsidRPr="00DA2287">
        <w:t>access</w:t>
      </w:r>
      <w:r w:rsidR="003D640C">
        <w:t xml:space="preserve"> </w:t>
      </w:r>
      <w:r w:rsidRPr="00DA2287">
        <w:t>to</w:t>
      </w:r>
      <w:r w:rsidR="003D640C">
        <w:t xml:space="preserve"> </w:t>
      </w:r>
      <w:r w:rsidRPr="00DA2287">
        <w:t>our</w:t>
      </w:r>
      <w:r w:rsidR="003D640C">
        <w:t xml:space="preserve"> </w:t>
      </w:r>
      <w:r w:rsidRPr="00DA2287">
        <w:t>services.</w:t>
      </w:r>
      <w:r w:rsidR="003D640C">
        <w:t xml:space="preserve"> </w:t>
      </w:r>
      <w:r w:rsidRPr="00DA2287">
        <w:t>It</w:t>
      </w:r>
      <w:r w:rsidR="003D640C">
        <w:t xml:space="preserve"> </w:t>
      </w:r>
      <w:r w:rsidRPr="00DA2287">
        <w:t>also</w:t>
      </w:r>
      <w:r w:rsidR="003D640C">
        <w:t xml:space="preserve"> </w:t>
      </w:r>
      <w:r w:rsidRPr="00DA2287">
        <w:t>highlights</w:t>
      </w:r>
      <w:r w:rsidR="003D640C">
        <w:t xml:space="preserve"> </w:t>
      </w:r>
      <w:r w:rsidRPr="00DA2287">
        <w:t>the</w:t>
      </w:r>
      <w:r w:rsidR="003D640C">
        <w:t xml:space="preserve"> </w:t>
      </w:r>
      <w:r w:rsidRPr="00DA2287">
        <w:t>need</w:t>
      </w:r>
      <w:r w:rsidR="003D640C">
        <w:t xml:space="preserve"> </w:t>
      </w:r>
      <w:r w:rsidRPr="00DA2287">
        <w:t>for</w:t>
      </w:r>
      <w:r w:rsidR="003D640C">
        <w:t xml:space="preserve"> </w:t>
      </w:r>
      <w:r w:rsidRPr="00DA2287">
        <w:t>the</w:t>
      </w:r>
      <w:r w:rsidR="003D640C">
        <w:t xml:space="preserve"> </w:t>
      </w:r>
      <w:r w:rsidRPr="00DA2287">
        <w:t>Commission</w:t>
      </w:r>
      <w:r w:rsidR="003D640C">
        <w:t xml:space="preserve"> </w:t>
      </w:r>
      <w:r w:rsidRPr="00DA2287">
        <w:t>(and</w:t>
      </w:r>
      <w:r w:rsidR="003D640C">
        <w:t xml:space="preserve"> </w:t>
      </w:r>
      <w:r w:rsidRPr="00DA2287">
        <w:t>public</w:t>
      </w:r>
      <w:r w:rsidR="003D640C">
        <w:t xml:space="preserve"> </w:t>
      </w:r>
      <w:r w:rsidRPr="00DA2287">
        <w:t>services)</w:t>
      </w:r>
      <w:r w:rsidR="003D640C">
        <w:t xml:space="preserve"> </w:t>
      </w:r>
      <w:r w:rsidRPr="00DA2287">
        <w:t>to</w:t>
      </w:r>
      <w:r w:rsidR="003D640C">
        <w:t xml:space="preserve"> </w:t>
      </w:r>
      <w:r w:rsidRPr="00DA2287">
        <w:t>deliver</w:t>
      </w:r>
      <w:r w:rsidR="003D640C">
        <w:t xml:space="preserve"> </w:t>
      </w:r>
      <w:r w:rsidRPr="00DA2287">
        <w:t>awareness</w:t>
      </w:r>
      <w:r w:rsidR="003D640C">
        <w:t xml:space="preserve"> </w:t>
      </w:r>
      <w:r w:rsidRPr="00DA2287">
        <w:t>raising</w:t>
      </w:r>
      <w:r w:rsidR="003D640C">
        <w:t xml:space="preserve"> </w:t>
      </w:r>
      <w:r w:rsidR="000918E5" w:rsidRPr="00DA2287">
        <w:t>about</w:t>
      </w:r>
      <w:r w:rsidR="003D640C">
        <w:t xml:space="preserve"> </w:t>
      </w:r>
      <w:r w:rsidRPr="00DA2287">
        <w:t>services,</w:t>
      </w:r>
      <w:r w:rsidR="003D640C">
        <w:t xml:space="preserve"> </w:t>
      </w:r>
      <w:r w:rsidRPr="00DA2287">
        <w:t>and</w:t>
      </w:r>
      <w:r w:rsidR="003D640C">
        <w:t xml:space="preserve"> </w:t>
      </w:r>
      <w:r w:rsidRPr="00DA2287">
        <w:t>education</w:t>
      </w:r>
      <w:r w:rsidR="003D640C">
        <w:t xml:space="preserve"> </w:t>
      </w:r>
      <w:r w:rsidRPr="00DA2287">
        <w:t>and</w:t>
      </w:r>
      <w:r w:rsidR="003D640C">
        <w:t xml:space="preserve"> </w:t>
      </w:r>
      <w:r w:rsidRPr="00DA2287">
        <w:t>prevention</w:t>
      </w:r>
      <w:r w:rsidR="003D640C">
        <w:t xml:space="preserve"> </w:t>
      </w:r>
      <w:r w:rsidRPr="00DA2287">
        <w:t>of</w:t>
      </w:r>
      <w:r w:rsidR="003D640C">
        <w:t xml:space="preserve"> </w:t>
      </w:r>
      <w:r w:rsidRPr="00DA2287">
        <w:t>human</w:t>
      </w:r>
      <w:r w:rsidR="003D640C">
        <w:t xml:space="preserve"> </w:t>
      </w:r>
      <w:r w:rsidRPr="00DA2287">
        <w:t>rights</w:t>
      </w:r>
      <w:r w:rsidR="003D640C">
        <w:t xml:space="preserve"> </w:t>
      </w:r>
      <w:r w:rsidRPr="00DA2287">
        <w:t>issues</w:t>
      </w:r>
      <w:r w:rsidR="003D640C">
        <w:t xml:space="preserve"> </w:t>
      </w:r>
      <w:r w:rsidRPr="00DA2287">
        <w:t>via</w:t>
      </w:r>
      <w:r w:rsidR="003D640C">
        <w:t xml:space="preserve"> </w:t>
      </w:r>
      <w:r w:rsidRPr="00DA2287">
        <w:t>respected</w:t>
      </w:r>
      <w:r w:rsidR="003D640C">
        <w:t xml:space="preserve"> </w:t>
      </w:r>
      <w:r w:rsidRPr="00DA2287">
        <w:t>community</w:t>
      </w:r>
      <w:r w:rsidR="003D640C">
        <w:t xml:space="preserve"> </w:t>
      </w:r>
      <w:r w:rsidRPr="00DA2287">
        <w:t>leaders</w:t>
      </w:r>
      <w:r w:rsidR="003D640C">
        <w:t xml:space="preserve"> </w:t>
      </w:r>
      <w:r w:rsidRPr="00DA2287">
        <w:t>and</w:t>
      </w:r>
      <w:r w:rsidR="003D640C">
        <w:t xml:space="preserve"> </w:t>
      </w:r>
      <w:r w:rsidRPr="00DA2287">
        <w:t>channels.</w:t>
      </w:r>
      <w:r w:rsidR="003D640C">
        <w:t xml:space="preserve"> </w:t>
      </w:r>
    </w:p>
    <w:p w14:paraId="553A7EAD" w14:textId="77777777" w:rsidR="00501068" w:rsidRDefault="00D10DF5" w:rsidP="00501068">
      <w:pPr>
        <w:pStyle w:val="Heading2"/>
        <w:rPr>
          <w:lang w:eastAsia="en-NZ"/>
        </w:rPr>
      </w:pPr>
      <w:bookmarkStart w:id="301" w:name="_Toc138343845"/>
      <w:bookmarkStart w:id="302" w:name="_Toc1974275823"/>
      <w:bookmarkStart w:id="303" w:name="_Toc174628685"/>
      <w:bookmarkStart w:id="304" w:name="_Toc167780625"/>
      <w:r w:rsidRPr="00BB6220">
        <w:rPr>
          <w:lang w:eastAsia="en-NZ"/>
        </w:rPr>
        <w:t>Trans</w:t>
      </w:r>
      <w:r w:rsidR="003D640C">
        <w:rPr>
          <w:lang w:eastAsia="en-NZ"/>
        </w:rPr>
        <w:t xml:space="preserve"> </w:t>
      </w:r>
      <w:r w:rsidR="00076EF1" w:rsidRPr="00BB6220">
        <w:rPr>
          <w:lang w:eastAsia="en-NZ"/>
        </w:rPr>
        <w:t>peoples’</w:t>
      </w:r>
      <w:r w:rsidR="003D640C">
        <w:rPr>
          <w:lang w:eastAsia="en-NZ"/>
        </w:rPr>
        <w:t xml:space="preserve"> </w:t>
      </w:r>
      <w:r w:rsidRPr="00BB6220">
        <w:rPr>
          <w:lang w:eastAsia="en-NZ"/>
        </w:rPr>
        <w:t>experiences</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bookmarkEnd w:id="277"/>
      <w:bookmarkEnd w:id="301"/>
      <w:bookmarkEnd w:id="302"/>
      <w:bookmarkEnd w:id="303"/>
      <w:r w:rsidR="003D640C">
        <w:rPr>
          <w:lang w:eastAsia="en-NZ"/>
        </w:rPr>
        <w:t xml:space="preserve"> </w:t>
      </w:r>
      <w:bookmarkEnd w:id="304"/>
    </w:p>
    <w:p w14:paraId="590965C7" w14:textId="584B5EBE" w:rsidR="00501068" w:rsidRDefault="00D10DF5" w:rsidP="002E6693">
      <w:pPr>
        <w:rPr>
          <w:rFonts w:ascii="Segoe UI" w:hAnsi="Segoe UI" w:cs="Segoe UI"/>
          <w:sz w:val="18"/>
          <w:szCs w:val="18"/>
          <w:lang w:eastAsia="en-NZ"/>
        </w:rPr>
      </w:pPr>
      <w:r w:rsidRPr="00BB6220">
        <w:rPr>
          <w:lang w:eastAsia="en-NZ"/>
        </w:rPr>
        <w:t>This</w:t>
      </w:r>
      <w:r w:rsidR="003D640C">
        <w:rPr>
          <w:lang w:eastAsia="en-NZ"/>
        </w:rPr>
        <w:t xml:space="preserve"> </w:t>
      </w:r>
      <w:r w:rsidRPr="00BB6220">
        <w:rPr>
          <w:lang w:eastAsia="en-NZ"/>
        </w:rPr>
        <w:t>section</w:t>
      </w:r>
      <w:r w:rsidR="003D640C">
        <w:rPr>
          <w:lang w:eastAsia="en-NZ"/>
        </w:rPr>
        <w:t xml:space="preserve"> </w:t>
      </w:r>
      <w:r w:rsidRPr="00BB6220">
        <w:rPr>
          <w:lang w:eastAsia="en-NZ"/>
        </w:rPr>
        <w:t>outlines</w:t>
      </w:r>
      <w:r w:rsidR="003D640C">
        <w:rPr>
          <w:lang w:eastAsia="en-NZ"/>
        </w:rPr>
        <w:t xml:space="preserve"> </w:t>
      </w:r>
      <w:r w:rsidRPr="00BB6220">
        <w:rPr>
          <w:lang w:eastAsia="en-NZ"/>
        </w:rPr>
        <w:t>the</w:t>
      </w:r>
      <w:r w:rsidR="003D640C">
        <w:rPr>
          <w:lang w:eastAsia="en-NZ"/>
        </w:rPr>
        <w:t xml:space="preserve"> </w:t>
      </w:r>
      <w:r w:rsidR="00CF06F5">
        <w:rPr>
          <w:lang w:eastAsia="en-NZ"/>
        </w:rPr>
        <w:t>evidence</w:t>
      </w:r>
      <w:r w:rsidR="003D640C">
        <w:rPr>
          <w:lang w:eastAsia="en-NZ"/>
        </w:rPr>
        <w:t xml:space="preserve"> </w:t>
      </w:r>
      <w:r w:rsidR="00CF06F5">
        <w:rPr>
          <w:lang w:eastAsia="en-NZ"/>
        </w:rPr>
        <w:t>from</w:t>
      </w:r>
      <w:r w:rsidR="003D640C">
        <w:rPr>
          <w:lang w:eastAsia="en-NZ"/>
        </w:rPr>
        <w:t xml:space="preserve"> </w:t>
      </w:r>
      <w:r w:rsidR="00CF06F5">
        <w:rPr>
          <w:lang w:eastAsia="en-NZ"/>
        </w:rPr>
        <w:t>research</w:t>
      </w:r>
      <w:r w:rsidR="003D640C">
        <w:rPr>
          <w:lang w:eastAsia="en-NZ"/>
        </w:rPr>
        <w:t xml:space="preserve"> </w:t>
      </w:r>
      <w:r w:rsidR="00CF06F5">
        <w:rPr>
          <w:lang w:eastAsia="en-NZ"/>
        </w:rPr>
        <w:t>and</w:t>
      </w:r>
      <w:r w:rsidR="003D640C">
        <w:rPr>
          <w:lang w:eastAsia="en-NZ"/>
        </w:rPr>
        <w:t xml:space="preserve"> </w:t>
      </w:r>
      <w:r w:rsidR="00CF06F5">
        <w:rPr>
          <w:lang w:eastAsia="en-NZ"/>
        </w:rPr>
        <w:t>engagement</w:t>
      </w:r>
      <w:r w:rsidR="003D640C">
        <w:rPr>
          <w:lang w:eastAsia="en-NZ"/>
        </w:rPr>
        <w:t xml:space="preserve"> </w:t>
      </w:r>
      <w:r w:rsidR="003E0C56">
        <w:rPr>
          <w:lang w:eastAsia="en-NZ"/>
        </w:rPr>
        <w:t>about</w:t>
      </w:r>
      <w:r w:rsidR="003D640C">
        <w:rPr>
          <w:lang w:eastAsia="en-NZ"/>
        </w:rPr>
        <w:t xml:space="preserve"> </w:t>
      </w:r>
      <w:r w:rsidR="003E0C56">
        <w:rPr>
          <w:lang w:eastAsia="en-NZ"/>
        </w:rPr>
        <w:t>the</w:t>
      </w:r>
      <w:r w:rsidR="003D640C">
        <w:rPr>
          <w:lang w:eastAsia="en-NZ"/>
        </w:rPr>
        <w:t xml:space="preserve"> </w:t>
      </w:r>
      <w:r w:rsidR="002745CC">
        <w:rPr>
          <w:lang w:eastAsia="en-NZ"/>
        </w:rPr>
        <w:t>experiences</w:t>
      </w:r>
      <w:r w:rsidR="003D640C">
        <w:rPr>
          <w:lang w:eastAsia="en-NZ"/>
        </w:rPr>
        <w:t xml:space="preserve"> </w:t>
      </w:r>
      <w:r w:rsidR="002745CC">
        <w:rPr>
          <w:lang w:eastAsia="en-NZ"/>
        </w:rPr>
        <w:t>and</w:t>
      </w:r>
      <w:r w:rsidR="003D640C">
        <w:rPr>
          <w:lang w:eastAsia="en-NZ"/>
        </w:rPr>
        <w:t xml:space="preserve"> </w:t>
      </w:r>
      <w:r w:rsidR="002745CC">
        <w:rPr>
          <w:lang w:eastAsia="en-NZ"/>
        </w:rPr>
        <w:t>impact</w:t>
      </w:r>
      <w:r w:rsidR="003D640C">
        <w:rPr>
          <w:lang w:eastAsia="en-NZ"/>
        </w:rPr>
        <w:t xml:space="preserve"> </w:t>
      </w:r>
      <w:r w:rsidR="0049566F">
        <w:rPr>
          <w:lang w:eastAsia="en-NZ"/>
        </w:rPr>
        <w:t>of</w:t>
      </w:r>
      <w:r w:rsidR="003D640C">
        <w:rPr>
          <w:lang w:eastAsia="en-NZ"/>
        </w:rPr>
        <w:t xml:space="preserve"> </w:t>
      </w:r>
      <w:r w:rsidR="0049566F">
        <w:rPr>
          <w:lang w:eastAsia="en-NZ"/>
        </w:rPr>
        <w:t>conversion</w:t>
      </w:r>
      <w:r w:rsidR="003D640C">
        <w:rPr>
          <w:lang w:eastAsia="en-NZ"/>
        </w:rPr>
        <w:t xml:space="preserve"> </w:t>
      </w:r>
      <w:r w:rsidR="0049566F">
        <w:rPr>
          <w:lang w:eastAsia="en-NZ"/>
        </w:rPr>
        <w:t>practices</w:t>
      </w:r>
      <w:r w:rsidR="003D640C">
        <w:rPr>
          <w:lang w:eastAsia="en-NZ"/>
        </w:rPr>
        <w:t xml:space="preserve"> </w:t>
      </w:r>
      <w:r w:rsidR="0049566F">
        <w:rPr>
          <w:lang w:eastAsia="en-NZ"/>
        </w:rPr>
        <w:t>on</w:t>
      </w:r>
      <w:r w:rsidR="003D640C">
        <w:rPr>
          <w:lang w:eastAsia="en-NZ"/>
        </w:rPr>
        <w:t xml:space="preserve"> </w:t>
      </w:r>
      <w:r w:rsidR="002D1584">
        <w:rPr>
          <w:lang w:eastAsia="en-NZ"/>
        </w:rPr>
        <w:t>transgender</w:t>
      </w:r>
      <w:r w:rsidR="003D640C">
        <w:rPr>
          <w:lang w:eastAsia="en-NZ"/>
        </w:rPr>
        <w:t xml:space="preserve"> </w:t>
      </w:r>
      <w:r w:rsidR="002D1584">
        <w:rPr>
          <w:lang w:eastAsia="en-NZ"/>
        </w:rPr>
        <w:t>people,</w:t>
      </w:r>
      <w:r w:rsidR="003D640C">
        <w:rPr>
          <w:lang w:eastAsia="en-NZ"/>
        </w:rPr>
        <w:t xml:space="preserve"> </w:t>
      </w:r>
      <w:r w:rsidR="002D1584">
        <w:rPr>
          <w:lang w:eastAsia="en-NZ"/>
        </w:rPr>
        <w:t>both</w:t>
      </w:r>
      <w:r w:rsidR="003D640C">
        <w:rPr>
          <w:lang w:eastAsia="en-NZ"/>
        </w:rPr>
        <w:t xml:space="preserve"> </w:t>
      </w:r>
      <w:r w:rsidR="002D1584">
        <w:rPr>
          <w:lang w:eastAsia="en-NZ"/>
        </w:rPr>
        <w:t>binary</w:t>
      </w:r>
      <w:r w:rsidR="003D640C">
        <w:rPr>
          <w:lang w:eastAsia="en-NZ"/>
        </w:rPr>
        <w:t xml:space="preserve"> </w:t>
      </w:r>
      <w:r w:rsidR="002D1584">
        <w:rPr>
          <w:lang w:eastAsia="en-NZ"/>
        </w:rPr>
        <w:t>and</w:t>
      </w:r>
      <w:r w:rsidR="003D640C">
        <w:rPr>
          <w:lang w:eastAsia="en-NZ"/>
        </w:rPr>
        <w:t xml:space="preserve"> </w:t>
      </w:r>
      <w:r w:rsidR="002D1584">
        <w:rPr>
          <w:lang w:eastAsia="en-NZ"/>
        </w:rPr>
        <w:t>non-binary</w:t>
      </w:r>
      <w:r w:rsidR="000731B8">
        <w:rPr>
          <w:lang w:eastAsia="en-NZ"/>
        </w:rPr>
        <w:t>,</w:t>
      </w:r>
      <w:r w:rsidR="003D640C">
        <w:rPr>
          <w:lang w:eastAsia="en-NZ"/>
        </w:rPr>
        <w:t xml:space="preserve"> </w:t>
      </w:r>
      <w:r w:rsidR="003E0C56">
        <w:rPr>
          <w:lang w:eastAsia="en-NZ"/>
        </w:rPr>
        <w:t>in</w:t>
      </w:r>
      <w:r w:rsidR="003D640C">
        <w:rPr>
          <w:lang w:eastAsia="en-NZ"/>
        </w:rPr>
        <w:t xml:space="preserve"> </w:t>
      </w:r>
      <w:r w:rsidR="003E0C56">
        <w:rPr>
          <w:lang w:eastAsia="en-NZ"/>
        </w:rPr>
        <w:t>Aotearoa</w:t>
      </w:r>
      <w:r w:rsidR="002D1584">
        <w:rPr>
          <w:lang w:eastAsia="en-NZ"/>
        </w:rPr>
        <w:t>.</w:t>
      </w:r>
      <w:r w:rsidR="003D640C">
        <w:rPr>
          <w:lang w:eastAsia="en-NZ"/>
        </w:rPr>
        <w:t xml:space="preserve"> </w:t>
      </w:r>
    </w:p>
    <w:p w14:paraId="1FE9F321" w14:textId="3C4409BF" w:rsidR="00501068" w:rsidRDefault="00DD4DE9" w:rsidP="002E6693">
      <w:pPr>
        <w:pStyle w:val="Quote"/>
      </w:pPr>
      <w:r w:rsidRPr="00BB6220">
        <w:t>“My</w:t>
      </w:r>
      <w:r w:rsidR="003D640C">
        <w:t xml:space="preserve"> </w:t>
      </w:r>
      <w:r w:rsidRPr="00BB6220">
        <w:t>fear</w:t>
      </w:r>
      <w:r w:rsidR="003D640C">
        <w:t xml:space="preserve"> </w:t>
      </w:r>
      <w:r w:rsidRPr="00BB6220">
        <w:t>of</w:t>
      </w:r>
      <w:r w:rsidR="003D640C">
        <w:t xml:space="preserve"> </w:t>
      </w:r>
      <w:r w:rsidR="00D7055C" w:rsidRPr="00BB6220">
        <w:t>accepting</w:t>
      </w:r>
      <w:r w:rsidR="003D640C">
        <w:t xml:space="preserve"> </w:t>
      </w:r>
      <w:r w:rsidR="00D7055C" w:rsidRPr="00BB6220">
        <w:t>‘this</w:t>
      </w:r>
      <w:r w:rsidR="003D640C">
        <w:t xml:space="preserve"> </w:t>
      </w:r>
      <w:r w:rsidR="00D7055C" w:rsidRPr="00BB6220">
        <w:t>is</w:t>
      </w:r>
      <w:r w:rsidR="003D640C">
        <w:t xml:space="preserve"> </w:t>
      </w:r>
      <w:r w:rsidR="00D7055C" w:rsidRPr="00BB6220">
        <w:t>who</w:t>
      </w:r>
      <w:r w:rsidR="003D640C">
        <w:t xml:space="preserve"> </w:t>
      </w:r>
      <w:r w:rsidR="00D7055C" w:rsidRPr="00BB6220">
        <w:t>I</w:t>
      </w:r>
      <w:r w:rsidR="003D640C">
        <w:t xml:space="preserve"> </w:t>
      </w:r>
      <w:r w:rsidR="00D7055C" w:rsidRPr="00BB6220">
        <w:t>am’</w:t>
      </w:r>
      <w:r w:rsidR="003D640C">
        <w:t xml:space="preserve"> </w:t>
      </w:r>
      <w:r w:rsidR="00D7055C" w:rsidRPr="00BB6220">
        <w:t>was</w:t>
      </w:r>
      <w:r w:rsidR="003D640C">
        <w:t xml:space="preserve"> </w:t>
      </w:r>
      <w:r w:rsidR="00D7055C" w:rsidRPr="00BB6220">
        <w:t>very</w:t>
      </w:r>
      <w:r w:rsidR="003D640C">
        <w:t xml:space="preserve"> </w:t>
      </w:r>
      <w:r w:rsidR="00D7055C" w:rsidRPr="00BB6220">
        <w:t>much</w:t>
      </w:r>
      <w:r w:rsidR="003D640C">
        <w:t xml:space="preserve"> </w:t>
      </w:r>
      <w:r w:rsidR="00D7055C" w:rsidRPr="00BB6220">
        <w:t>a</w:t>
      </w:r>
      <w:r w:rsidR="003D640C">
        <w:t xml:space="preserve"> </w:t>
      </w:r>
      <w:r w:rsidR="00D7055C" w:rsidRPr="00BB6220">
        <w:t>reality.</w:t>
      </w:r>
      <w:r w:rsidR="003D640C">
        <w:t xml:space="preserve"> </w:t>
      </w:r>
      <w:r w:rsidR="00D7055C" w:rsidRPr="00BB6220">
        <w:t>I</w:t>
      </w:r>
      <w:r w:rsidR="003D640C">
        <w:t xml:space="preserve"> </w:t>
      </w:r>
      <w:r w:rsidR="00D7055C" w:rsidRPr="00BB6220">
        <w:t>thought</w:t>
      </w:r>
      <w:r w:rsidR="003D640C">
        <w:t xml:space="preserve"> </w:t>
      </w:r>
      <w:r w:rsidR="00D7055C" w:rsidRPr="00BB6220">
        <w:t>the</w:t>
      </w:r>
      <w:r w:rsidR="003D640C">
        <w:t xml:space="preserve"> </w:t>
      </w:r>
      <w:r w:rsidR="00D7055C" w:rsidRPr="00BB6220">
        <w:t>best</w:t>
      </w:r>
      <w:r w:rsidR="003D640C">
        <w:t xml:space="preserve"> </w:t>
      </w:r>
      <w:r w:rsidR="00D7055C" w:rsidRPr="00BB6220">
        <w:t>way</w:t>
      </w:r>
      <w:r w:rsidR="003D640C">
        <w:t xml:space="preserve"> </w:t>
      </w:r>
      <w:r w:rsidR="00D7055C" w:rsidRPr="00BB6220">
        <w:t>to</w:t>
      </w:r>
      <w:r w:rsidR="003D640C">
        <w:t xml:space="preserve"> </w:t>
      </w:r>
      <w:r w:rsidR="00D7055C" w:rsidRPr="00BB6220">
        <w:t>not</w:t>
      </w:r>
      <w:r w:rsidR="003D640C">
        <w:t xml:space="preserve"> </w:t>
      </w:r>
      <w:r w:rsidR="00D7055C" w:rsidRPr="00BB6220">
        <w:t>be</w:t>
      </w:r>
      <w:r w:rsidR="003D640C">
        <w:t xml:space="preserve"> </w:t>
      </w:r>
      <w:r w:rsidR="00D7055C" w:rsidRPr="00BB6220">
        <w:t>gay</w:t>
      </w:r>
      <w:r w:rsidR="003D640C">
        <w:t xml:space="preserve"> </w:t>
      </w:r>
      <w:r w:rsidR="00D7055C" w:rsidRPr="00BB6220">
        <w:t>was</w:t>
      </w:r>
      <w:r w:rsidR="003D640C">
        <w:t xml:space="preserve"> </w:t>
      </w:r>
      <w:r w:rsidR="00D7055C" w:rsidRPr="00BB6220">
        <w:t>to</w:t>
      </w:r>
      <w:r w:rsidR="003D640C">
        <w:t xml:space="preserve"> </w:t>
      </w:r>
      <w:r w:rsidR="00D7055C" w:rsidRPr="00BB6220">
        <w:t>tell</w:t>
      </w:r>
      <w:r w:rsidR="003D640C">
        <w:t xml:space="preserve"> </w:t>
      </w:r>
      <w:r w:rsidR="00D7055C" w:rsidRPr="00BB6220">
        <w:t>my</w:t>
      </w:r>
      <w:r w:rsidR="003D640C">
        <w:t xml:space="preserve"> </w:t>
      </w:r>
      <w:r w:rsidR="00D7055C" w:rsidRPr="00BB6220">
        <w:t>pastor.</w:t>
      </w:r>
      <w:r w:rsidR="003D640C">
        <w:t xml:space="preserve"> </w:t>
      </w:r>
      <w:r w:rsidR="00D7055C" w:rsidRPr="00BB6220">
        <w:t>That’s</w:t>
      </w:r>
      <w:r w:rsidR="003D640C">
        <w:t xml:space="preserve"> </w:t>
      </w:r>
      <w:r w:rsidR="00D7055C" w:rsidRPr="00BB6220">
        <w:t>when</w:t>
      </w:r>
      <w:r w:rsidR="003D640C">
        <w:t xml:space="preserve"> </w:t>
      </w:r>
      <w:r w:rsidR="00D7055C" w:rsidRPr="00BB6220">
        <w:t>my</w:t>
      </w:r>
      <w:r w:rsidR="003D640C">
        <w:t xml:space="preserve"> </w:t>
      </w:r>
      <w:r w:rsidR="00D7055C" w:rsidRPr="00BB6220">
        <w:t>conversion</w:t>
      </w:r>
      <w:r w:rsidR="003D640C">
        <w:t xml:space="preserve"> </w:t>
      </w:r>
      <w:r w:rsidR="00D7055C" w:rsidRPr="00BB6220">
        <w:t>therapy</w:t>
      </w:r>
      <w:r w:rsidR="003D640C">
        <w:t xml:space="preserve"> </w:t>
      </w:r>
      <w:r w:rsidR="00D7055C" w:rsidRPr="00BB6220">
        <w:t>began</w:t>
      </w:r>
      <w:r w:rsidR="009B4A90" w:rsidRPr="00BB6220">
        <w:t>.</w:t>
      </w:r>
      <w:r w:rsidR="003D640C">
        <w:t xml:space="preserve"> </w:t>
      </w:r>
      <w:r w:rsidR="009B4A90" w:rsidRPr="00BB6220">
        <w:t>At</w:t>
      </w:r>
      <w:r w:rsidR="003D640C">
        <w:t xml:space="preserve"> </w:t>
      </w:r>
      <w:r w:rsidR="009B4A90" w:rsidRPr="00BB6220">
        <w:t>the</w:t>
      </w:r>
      <w:r w:rsidR="003D640C">
        <w:t xml:space="preserve"> </w:t>
      </w:r>
      <w:r w:rsidR="009B4A90" w:rsidRPr="00BB6220">
        <w:t>time,</w:t>
      </w:r>
      <w:r w:rsidR="003D640C">
        <w:t xml:space="preserve"> </w:t>
      </w:r>
      <w:r w:rsidR="009B4A90" w:rsidRPr="00BB6220">
        <w:t>because</w:t>
      </w:r>
      <w:r w:rsidR="003D640C">
        <w:t xml:space="preserve"> </w:t>
      </w:r>
      <w:r w:rsidR="009B4A90" w:rsidRPr="00BB6220">
        <w:t>of</w:t>
      </w:r>
      <w:r w:rsidR="003D640C">
        <w:t xml:space="preserve"> </w:t>
      </w:r>
      <w:r w:rsidR="009B4A90" w:rsidRPr="00BB6220">
        <w:t>all</w:t>
      </w:r>
      <w:r w:rsidR="003D640C">
        <w:t xml:space="preserve"> </w:t>
      </w:r>
      <w:r w:rsidR="009B4A90" w:rsidRPr="00BB6220">
        <w:t>the</w:t>
      </w:r>
      <w:r w:rsidR="003D640C">
        <w:t xml:space="preserve"> </w:t>
      </w:r>
      <w:r w:rsidR="009B4A90" w:rsidRPr="00BB6220">
        <w:t>religious</w:t>
      </w:r>
      <w:r w:rsidR="003D640C">
        <w:t xml:space="preserve"> </w:t>
      </w:r>
      <w:r w:rsidR="009B4A90" w:rsidRPr="00BB6220">
        <w:t>teaching</w:t>
      </w:r>
      <w:r w:rsidR="003D640C">
        <w:t xml:space="preserve"> </w:t>
      </w:r>
      <w:r w:rsidR="009B4A90" w:rsidRPr="00BB6220">
        <w:t>I’d</w:t>
      </w:r>
      <w:r w:rsidR="003D640C">
        <w:t xml:space="preserve"> </w:t>
      </w:r>
      <w:r w:rsidR="009B4A90" w:rsidRPr="00BB6220">
        <w:t>received</w:t>
      </w:r>
      <w:r w:rsidR="003D640C">
        <w:t xml:space="preserve"> </w:t>
      </w:r>
      <w:r w:rsidR="009B4A90" w:rsidRPr="00BB6220">
        <w:t>over</w:t>
      </w:r>
      <w:r w:rsidR="003D640C">
        <w:t xml:space="preserve"> </w:t>
      </w:r>
      <w:r w:rsidR="009B4A90" w:rsidRPr="00BB6220">
        <w:t>the</w:t>
      </w:r>
      <w:r w:rsidR="003D640C">
        <w:t xml:space="preserve"> </w:t>
      </w:r>
      <w:r w:rsidR="009B4A90" w:rsidRPr="00BB6220">
        <w:t>years,</w:t>
      </w:r>
      <w:r w:rsidR="003D640C">
        <w:t xml:space="preserve"> </w:t>
      </w:r>
      <w:r w:rsidR="009B4A90" w:rsidRPr="00BB6220">
        <w:t>it</w:t>
      </w:r>
      <w:r w:rsidR="003D640C">
        <w:t xml:space="preserve"> </w:t>
      </w:r>
      <w:r w:rsidR="009B4A90" w:rsidRPr="00BB6220">
        <w:t>becomes</w:t>
      </w:r>
      <w:r w:rsidR="003D640C">
        <w:t xml:space="preserve"> </w:t>
      </w:r>
      <w:r w:rsidR="009B4A90" w:rsidRPr="00BB6220">
        <w:t>ingrained</w:t>
      </w:r>
      <w:r w:rsidR="003D640C">
        <w:t xml:space="preserve"> </w:t>
      </w:r>
      <w:r w:rsidR="009B4A90" w:rsidRPr="00BB6220">
        <w:t>in</w:t>
      </w:r>
      <w:r w:rsidR="003D640C">
        <w:t xml:space="preserve"> </w:t>
      </w:r>
      <w:r w:rsidR="009B4A90" w:rsidRPr="00BB6220">
        <w:t>you.</w:t>
      </w:r>
      <w:r w:rsidR="003D640C">
        <w:t xml:space="preserve"> </w:t>
      </w:r>
      <w:r w:rsidR="009B4A90" w:rsidRPr="00BB6220">
        <w:t>I</w:t>
      </w:r>
      <w:r w:rsidR="003D640C">
        <w:t xml:space="preserve"> </w:t>
      </w:r>
      <w:r w:rsidR="009B4A90" w:rsidRPr="00BB6220">
        <w:t>was</w:t>
      </w:r>
      <w:r w:rsidR="003D640C">
        <w:t xml:space="preserve"> </w:t>
      </w:r>
      <w:r w:rsidR="009B4A90" w:rsidRPr="00BB6220">
        <w:t>confident</w:t>
      </w:r>
      <w:r w:rsidR="003D640C">
        <w:t xml:space="preserve"> </w:t>
      </w:r>
      <w:r w:rsidR="009B4A90" w:rsidRPr="00BB6220">
        <w:t>this</w:t>
      </w:r>
      <w:r w:rsidR="003D640C">
        <w:t xml:space="preserve"> </w:t>
      </w:r>
      <w:r w:rsidR="009B4A90" w:rsidRPr="00BB6220">
        <w:t>would</w:t>
      </w:r>
      <w:r w:rsidR="003D640C">
        <w:t xml:space="preserve"> </w:t>
      </w:r>
      <w:r w:rsidR="009B4A90" w:rsidRPr="00BB6220">
        <w:t>be</w:t>
      </w:r>
      <w:r w:rsidR="003D640C">
        <w:t xml:space="preserve"> </w:t>
      </w:r>
      <w:r w:rsidR="009B4A90" w:rsidRPr="00BB6220">
        <w:t>the</w:t>
      </w:r>
      <w:r w:rsidR="003D640C">
        <w:t xml:space="preserve"> </w:t>
      </w:r>
      <w:r w:rsidR="009B4A90" w:rsidRPr="00BB6220">
        <w:t>way</w:t>
      </w:r>
      <w:r w:rsidR="003D640C">
        <w:t xml:space="preserve"> </w:t>
      </w:r>
      <w:r w:rsidR="009B4A90" w:rsidRPr="00BB6220">
        <w:t>to</w:t>
      </w:r>
      <w:r w:rsidR="003D640C">
        <w:t xml:space="preserve"> </w:t>
      </w:r>
      <w:r w:rsidR="009B4A90" w:rsidRPr="00BB6220">
        <w:t>go,</w:t>
      </w:r>
      <w:r w:rsidR="003D640C">
        <w:t xml:space="preserve"> </w:t>
      </w:r>
      <w:r w:rsidR="009B4A90" w:rsidRPr="00BB6220">
        <w:t>though</w:t>
      </w:r>
      <w:r w:rsidR="003D640C">
        <w:t xml:space="preserve"> </w:t>
      </w:r>
      <w:r w:rsidR="009B4A90" w:rsidRPr="00BB6220">
        <w:t>deep</w:t>
      </w:r>
      <w:r w:rsidR="003D640C">
        <w:t xml:space="preserve"> </w:t>
      </w:r>
      <w:r w:rsidR="009B4A90" w:rsidRPr="00BB6220">
        <w:t>down</w:t>
      </w:r>
      <w:r w:rsidR="003D640C">
        <w:t xml:space="preserve"> </w:t>
      </w:r>
      <w:r w:rsidR="009B4A90" w:rsidRPr="00BB6220">
        <w:t>I</w:t>
      </w:r>
      <w:r w:rsidR="003D640C">
        <w:t xml:space="preserve"> </w:t>
      </w:r>
      <w:r w:rsidR="009B4A90" w:rsidRPr="00BB6220">
        <w:t>knew</w:t>
      </w:r>
      <w:r w:rsidR="003D640C">
        <w:t xml:space="preserve"> </w:t>
      </w:r>
      <w:r w:rsidR="009B4A90" w:rsidRPr="00BB6220">
        <w:t>it</w:t>
      </w:r>
      <w:r w:rsidR="003D640C">
        <w:t xml:space="preserve"> </w:t>
      </w:r>
      <w:r w:rsidR="009B4A90" w:rsidRPr="00BB6220">
        <w:t>would</w:t>
      </w:r>
      <w:r w:rsidR="003D640C">
        <w:t xml:space="preserve"> </w:t>
      </w:r>
      <w:r w:rsidR="009B4A90" w:rsidRPr="00BB6220">
        <w:t>never</w:t>
      </w:r>
      <w:r w:rsidR="003D640C">
        <w:t xml:space="preserve"> </w:t>
      </w:r>
      <w:r w:rsidR="009B4A90" w:rsidRPr="00BB6220">
        <w:t>happen.</w:t>
      </w:r>
      <w:r w:rsidR="003D640C">
        <w:t xml:space="preserve"> </w:t>
      </w:r>
      <w:r w:rsidR="00330A7E" w:rsidRPr="00BB6220">
        <w:t>I</w:t>
      </w:r>
      <w:r w:rsidR="003D640C">
        <w:t xml:space="preserve"> </w:t>
      </w:r>
      <w:r w:rsidR="00330A7E" w:rsidRPr="00BB6220">
        <w:t>thought</w:t>
      </w:r>
      <w:r w:rsidR="003D640C">
        <w:t xml:space="preserve"> </w:t>
      </w:r>
      <w:r w:rsidR="00330A7E" w:rsidRPr="00BB6220">
        <w:t>if</w:t>
      </w:r>
      <w:r w:rsidR="003D640C">
        <w:t xml:space="preserve"> </w:t>
      </w:r>
      <w:r w:rsidR="00330A7E" w:rsidRPr="00BB6220">
        <w:t>I</w:t>
      </w:r>
      <w:r w:rsidR="003D640C">
        <w:t xml:space="preserve"> </w:t>
      </w:r>
      <w:r w:rsidR="00330A7E" w:rsidRPr="00BB6220">
        <w:t>stopped</w:t>
      </w:r>
      <w:r w:rsidR="003D640C">
        <w:t xml:space="preserve"> </w:t>
      </w:r>
      <w:r w:rsidR="00330A7E" w:rsidRPr="00BB6220">
        <w:t>therapy</w:t>
      </w:r>
      <w:r w:rsidR="003D640C">
        <w:t xml:space="preserve"> </w:t>
      </w:r>
      <w:r w:rsidR="00330A7E" w:rsidRPr="00BB6220">
        <w:t>and</w:t>
      </w:r>
      <w:r w:rsidR="003D640C">
        <w:t xml:space="preserve"> </w:t>
      </w:r>
      <w:r w:rsidR="00330A7E" w:rsidRPr="00BB6220">
        <w:t>kept</w:t>
      </w:r>
      <w:r w:rsidR="003D640C">
        <w:t xml:space="preserve"> </w:t>
      </w:r>
      <w:r w:rsidR="00330A7E" w:rsidRPr="00BB6220">
        <w:t>up</w:t>
      </w:r>
      <w:r w:rsidR="003D640C">
        <w:t xml:space="preserve"> </w:t>
      </w:r>
      <w:r w:rsidR="00330A7E" w:rsidRPr="00BB6220">
        <w:t>the</w:t>
      </w:r>
      <w:r w:rsidR="003D640C">
        <w:t xml:space="preserve"> </w:t>
      </w:r>
      <w:r w:rsidR="00A96D86" w:rsidRPr="00BB6220">
        <w:t>pretense</w:t>
      </w:r>
      <w:r w:rsidR="003D640C">
        <w:t xml:space="preserve"> </w:t>
      </w:r>
      <w:r w:rsidR="00330A7E" w:rsidRPr="00BB6220">
        <w:t>that</w:t>
      </w:r>
      <w:r w:rsidR="003D640C">
        <w:t xml:space="preserve"> </w:t>
      </w:r>
      <w:r w:rsidR="00330A7E" w:rsidRPr="00BB6220">
        <w:t>it</w:t>
      </w:r>
      <w:r w:rsidR="003D640C">
        <w:t xml:space="preserve"> </w:t>
      </w:r>
      <w:r w:rsidR="00330A7E" w:rsidRPr="00BB6220">
        <w:t>worked,</w:t>
      </w:r>
      <w:r w:rsidR="003D640C">
        <w:t xml:space="preserve"> </w:t>
      </w:r>
      <w:r w:rsidR="00330A7E" w:rsidRPr="00BB6220">
        <w:t>I</w:t>
      </w:r>
      <w:r w:rsidR="003D640C">
        <w:t xml:space="preserve"> </w:t>
      </w:r>
      <w:r w:rsidR="00330A7E" w:rsidRPr="00BB6220">
        <w:t>wouldn’t</w:t>
      </w:r>
      <w:r w:rsidR="003D640C">
        <w:t xml:space="preserve"> </w:t>
      </w:r>
      <w:r w:rsidR="00330A7E" w:rsidRPr="00BB6220">
        <w:t>have</w:t>
      </w:r>
      <w:r w:rsidR="003D640C">
        <w:t xml:space="preserve"> </w:t>
      </w:r>
      <w:r w:rsidR="00330A7E" w:rsidRPr="00BB6220">
        <w:t>to</w:t>
      </w:r>
      <w:r w:rsidR="003D640C">
        <w:t xml:space="preserve"> </w:t>
      </w:r>
      <w:r w:rsidR="00330A7E" w:rsidRPr="00BB6220">
        <w:t>face</w:t>
      </w:r>
      <w:r w:rsidR="003D640C">
        <w:t xml:space="preserve"> </w:t>
      </w:r>
      <w:r w:rsidR="00330A7E" w:rsidRPr="00BB6220">
        <w:t>people’s</w:t>
      </w:r>
      <w:r w:rsidR="003D640C">
        <w:t xml:space="preserve"> </w:t>
      </w:r>
      <w:r w:rsidR="00330A7E" w:rsidRPr="00BB6220">
        <w:t>disappointment.</w:t>
      </w:r>
      <w:r w:rsidR="003D640C">
        <w:t xml:space="preserve"> </w:t>
      </w:r>
      <w:r w:rsidR="00330A7E" w:rsidRPr="00BB6220">
        <w:t>I</w:t>
      </w:r>
      <w:r w:rsidR="003D640C">
        <w:t xml:space="preserve"> </w:t>
      </w:r>
      <w:r w:rsidR="00330A7E" w:rsidRPr="00BB6220">
        <w:t>became</w:t>
      </w:r>
      <w:r w:rsidR="003D640C">
        <w:t xml:space="preserve"> </w:t>
      </w:r>
      <w:r w:rsidR="00330A7E" w:rsidRPr="00BB6220">
        <w:t>more</w:t>
      </w:r>
      <w:r w:rsidR="003D640C">
        <w:t xml:space="preserve"> </w:t>
      </w:r>
      <w:r w:rsidR="00330A7E" w:rsidRPr="00BB6220">
        <w:t>and</w:t>
      </w:r>
      <w:r w:rsidR="003D640C">
        <w:t xml:space="preserve"> </w:t>
      </w:r>
      <w:r w:rsidR="00330A7E" w:rsidRPr="00BB6220">
        <w:t>more</w:t>
      </w:r>
      <w:r w:rsidR="003D640C">
        <w:t xml:space="preserve"> </w:t>
      </w:r>
      <w:r w:rsidR="00330A7E" w:rsidRPr="00BB6220">
        <w:t>disheartened.</w:t>
      </w:r>
      <w:r w:rsidR="000731B8">
        <w:t xml:space="preserve"> </w:t>
      </w:r>
      <w:r w:rsidR="00746EB2" w:rsidRPr="00BB6220">
        <w:t>When</w:t>
      </w:r>
      <w:r w:rsidR="003D640C">
        <w:t xml:space="preserve"> </w:t>
      </w:r>
      <w:r w:rsidR="00746EB2" w:rsidRPr="00BB6220">
        <w:t>I</w:t>
      </w:r>
      <w:r w:rsidR="003D640C">
        <w:t xml:space="preserve"> </w:t>
      </w:r>
      <w:r w:rsidR="00746EB2" w:rsidRPr="00BB6220">
        <w:t>came</w:t>
      </w:r>
      <w:r w:rsidR="003D640C">
        <w:t xml:space="preserve"> </w:t>
      </w:r>
      <w:r w:rsidR="00746EB2" w:rsidRPr="00BB6220">
        <w:t>out</w:t>
      </w:r>
      <w:r w:rsidR="003D640C">
        <w:t xml:space="preserve"> </w:t>
      </w:r>
      <w:r w:rsidR="007E538D" w:rsidRPr="00BB6220">
        <w:t>[as</w:t>
      </w:r>
      <w:r w:rsidR="003D640C">
        <w:t xml:space="preserve"> </w:t>
      </w:r>
      <w:r w:rsidR="007E538D" w:rsidRPr="00BB6220">
        <w:t>trans]</w:t>
      </w:r>
      <w:r w:rsidR="000731B8">
        <w:t>,</w:t>
      </w:r>
      <w:r w:rsidR="003D640C">
        <w:t xml:space="preserve"> </w:t>
      </w:r>
      <w:r w:rsidR="007E538D" w:rsidRPr="00BB6220">
        <w:t>I</w:t>
      </w:r>
      <w:r w:rsidR="003D640C">
        <w:t xml:space="preserve"> </w:t>
      </w:r>
      <w:r w:rsidR="007E538D" w:rsidRPr="00BB6220">
        <w:t>was</w:t>
      </w:r>
      <w:r w:rsidR="003D640C">
        <w:t xml:space="preserve"> </w:t>
      </w:r>
      <w:r w:rsidR="007E538D" w:rsidRPr="00BB6220">
        <w:t>removed</w:t>
      </w:r>
      <w:r w:rsidR="003D640C">
        <w:t xml:space="preserve"> </w:t>
      </w:r>
      <w:r w:rsidR="007E538D" w:rsidRPr="00BB6220">
        <w:t>from</w:t>
      </w:r>
      <w:r w:rsidR="003D640C">
        <w:t xml:space="preserve"> </w:t>
      </w:r>
      <w:r w:rsidR="007E538D" w:rsidRPr="00BB6220">
        <w:t>my</w:t>
      </w:r>
      <w:r w:rsidR="003D640C">
        <w:t xml:space="preserve"> </w:t>
      </w:r>
      <w:r w:rsidR="007E538D" w:rsidRPr="00BB6220">
        <w:t>leadership</w:t>
      </w:r>
      <w:r w:rsidR="003D640C">
        <w:t xml:space="preserve"> </w:t>
      </w:r>
      <w:r w:rsidR="007E538D" w:rsidRPr="00BB6220">
        <w:t>roles</w:t>
      </w:r>
      <w:r w:rsidR="003D640C">
        <w:t xml:space="preserve"> </w:t>
      </w:r>
      <w:r w:rsidR="007E538D" w:rsidRPr="00BB6220">
        <w:t>and</w:t>
      </w:r>
      <w:r w:rsidR="003D640C">
        <w:t xml:space="preserve"> </w:t>
      </w:r>
      <w:r w:rsidR="007E538D" w:rsidRPr="00BB6220">
        <w:t>told</w:t>
      </w:r>
      <w:r w:rsidR="003D640C">
        <w:t xml:space="preserve"> </w:t>
      </w:r>
      <w:r w:rsidR="007E538D" w:rsidRPr="00BB6220">
        <w:t>to</w:t>
      </w:r>
      <w:r w:rsidR="003D640C">
        <w:t xml:space="preserve"> </w:t>
      </w:r>
      <w:r w:rsidR="007E538D" w:rsidRPr="00BB6220">
        <w:t>join</w:t>
      </w:r>
      <w:r w:rsidR="003D640C">
        <w:t xml:space="preserve"> </w:t>
      </w:r>
      <w:r w:rsidR="007E538D" w:rsidRPr="00BB6220">
        <w:t>a</w:t>
      </w:r>
      <w:r w:rsidR="003D640C">
        <w:t xml:space="preserve"> </w:t>
      </w:r>
      <w:r w:rsidR="007E538D" w:rsidRPr="00BB6220">
        <w:t>rugby</w:t>
      </w:r>
      <w:r w:rsidR="003D640C">
        <w:t xml:space="preserve"> </w:t>
      </w:r>
      <w:r w:rsidR="007E538D" w:rsidRPr="00BB6220">
        <w:t>team</w:t>
      </w:r>
      <w:r w:rsidR="003D640C">
        <w:t xml:space="preserve"> </w:t>
      </w:r>
      <w:r w:rsidR="007E538D" w:rsidRPr="00BB6220">
        <w:t>and</w:t>
      </w:r>
      <w:r w:rsidR="003D640C">
        <w:t xml:space="preserve"> </w:t>
      </w:r>
      <w:r w:rsidR="007E538D" w:rsidRPr="00BB6220">
        <w:t>surviv</w:t>
      </w:r>
      <w:r w:rsidR="003938D1" w:rsidRPr="00BB6220">
        <w:t>e</w:t>
      </w:r>
      <w:r w:rsidR="003D640C">
        <w:t xml:space="preserve"> </w:t>
      </w:r>
      <w:r w:rsidR="003938D1" w:rsidRPr="00BB6220">
        <w:t>in</w:t>
      </w:r>
      <w:r w:rsidR="003D640C">
        <w:t xml:space="preserve"> </w:t>
      </w:r>
      <w:r w:rsidR="003938D1" w:rsidRPr="00BB6220">
        <w:t>the</w:t>
      </w:r>
      <w:r w:rsidR="003D640C">
        <w:t xml:space="preserve"> </w:t>
      </w:r>
      <w:r w:rsidR="003938D1" w:rsidRPr="00BB6220">
        <w:t>bush</w:t>
      </w:r>
      <w:r w:rsidR="003D640C">
        <w:t xml:space="preserve"> </w:t>
      </w:r>
      <w:r w:rsidR="003938D1" w:rsidRPr="00BB6220">
        <w:t>for</w:t>
      </w:r>
      <w:r w:rsidR="003D640C">
        <w:t xml:space="preserve"> </w:t>
      </w:r>
      <w:r w:rsidR="003938D1" w:rsidRPr="00BB6220">
        <w:t>three</w:t>
      </w:r>
      <w:r w:rsidR="003D640C">
        <w:t xml:space="preserve"> </w:t>
      </w:r>
      <w:r w:rsidR="003938D1" w:rsidRPr="00BB6220">
        <w:t>days</w:t>
      </w:r>
      <w:r w:rsidR="003D640C">
        <w:t xml:space="preserve"> </w:t>
      </w:r>
      <w:r w:rsidR="003938D1" w:rsidRPr="00BB6220">
        <w:t>to</w:t>
      </w:r>
      <w:r w:rsidR="003D640C">
        <w:t xml:space="preserve"> </w:t>
      </w:r>
      <w:r w:rsidR="003938D1" w:rsidRPr="00BB6220">
        <w:t>reintrodu</w:t>
      </w:r>
      <w:r w:rsidR="002F7C24" w:rsidRPr="00BB6220">
        <w:t>ce</w:t>
      </w:r>
      <w:r w:rsidR="003D640C">
        <w:t xml:space="preserve"> </w:t>
      </w:r>
      <w:r w:rsidR="002F7C24" w:rsidRPr="00BB6220">
        <w:t>my</w:t>
      </w:r>
      <w:r w:rsidR="003D640C">
        <w:t xml:space="preserve"> </w:t>
      </w:r>
      <w:r w:rsidR="002F7C24" w:rsidRPr="00BB6220">
        <w:t>masculinity.</w:t>
      </w:r>
      <w:r w:rsidR="00FB2019" w:rsidRPr="00BB6220">
        <w:t>”</w:t>
      </w:r>
      <w:r w:rsidR="003D640C">
        <w:t xml:space="preserve"> </w:t>
      </w:r>
      <w:r w:rsidR="00F51CC6" w:rsidRPr="00BB6220">
        <w:t>Māori,</w:t>
      </w:r>
      <w:r w:rsidR="003D640C">
        <w:t xml:space="preserve"> </w:t>
      </w:r>
      <w:r w:rsidR="00F51CC6" w:rsidRPr="00BB6220">
        <w:t>transgender</w:t>
      </w:r>
      <w:r w:rsidR="003D640C">
        <w:t xml:space="preserve"> </w:t>
      </w:r>
    </w:p>
    <w:p w14:paraId="5079DAA0" w14:textId="77777777" w:rsidR="002E6693" w:rsidRDefault="00D10DF5" w:rsidP="002C6363">
      <w:pPr>
        <w:pStyle w:val="Heading3"/>
      </w:pPr>
      <w:bookmarkStart w:id="305" w:name="_Toc138325190"/>
      <w:bookmarkStart w:id="306" w:name="_Toc138343847"/>
      <w:bookmarkStart w:id="307" w:name="_Toc167780626"/>
      <w:bookmarkStart w:id="308" w:name="_Toc102435478"/>
      <w:bookmarkStart w:id="309" w:name="_Toc174628686"/>
      <w:r w:rsidRPr="00BB6220">
        <w:lastRenderedPageBreak/>
        <w:t>Transgender</w:t>
      </w:r>
      <w:r w:rsidR="003D640C">
        <w:t xml:space="preserve"> </w:t>
      </w:r>
      <w:bookmarkEnd w:id="305"/>
      <w:bookmarkEnd w:id="306"/>
      <w:r w:rsidR="000930CE" w:rsidRPr="00BB6220">
        <w:t>people</w:t>
      </w:r>
      <w:bookmarkEnd w:id="307"/>
      <w:bookmarkEnd w:id="308"/>
      <w:bookmarkEnd w:id="309"/>
    </w:p>
    <w:p w14:paraId="261D504F" w14:textId="09DF462A" w:rsidR="00501068" w:rsidRDefault="00D10DF5" w:rsidP="002E6693">
      <w:pPr>
        <w:rPr>
          <w:lang w:eastAsia="en-NZ"/>
        </w:rPr>
      </w:pPr>
      <w:r w:rsidRPr="00BB6220">
        <w:rPr>
          <w:lang w:eastAsia="en-NZ"/>
        </w:rPr>
        <w:t>Gender</w:t>
      </w:r>
      <w:r w:rsidR="003D640C">
        <w:rPr>
          <w:lang w:eastAsia="en-NZ"/>
        </w:rPr>
        <w:t xml:space="preserve"> </w:t>
      </w:r>
      <w:r w:rsidRPr="00BB6220">
        <w:rPr>
          <w:lang w:eastAsia="en-NZ"/>
        </w:rPr>
        <w:t>is</w:t>
      </w:r>
      <w:r w:rsidR="003D640C">
        <w:rPr>
          <w:lang w:eastAsia="en-NZ"/>
        </w:rPr>
        <w:t xml:space="preserve"> </w:t>
      </w:r>
      <w:r w:rsidRPr="00BB6220">
        <w:rPr>
          <w:lang w:eastAsia="en-NZ"/>
        </w:rPr>
        <w:t>both</w:t>
      </w:r>
      <w:r w:rsidR="003D640C">
        <w:rPr>
          <w:lang w:eastAsia="en-NZ"/>
        </w:rPr>
        <w:t xml:space="preserve"> </w:t>
      </w:r>
      <w:r w:rsidRPr="00BB6220">
        <w:rPr>
          <w:lang w:eastAsia="en-NZ"/>
        </w:rPr>
        <w:t>complex</w:t>
      </w:r>
      <w:r w:rsidR="003D640C">
        <w:rPr>
          <w:lang w:eastAsia="en-NZ"/>
        </w:rPr>
        <w:t xml:space="preserve"> </w:t>
      </w:r>
      <w:r w:rsidRPr="00BB6220">
        <w:rPr>
          <w:lang w:eastAsia="en-NZ"/>
        </w:rPr>
        <w:t>and</w:t>
      </w:r>
      <w:r w:rsidR="003D640C">
        <w:rPr>
          <w:lang w:eastAsia="en-NZ"/>
        </w:rPr>
        <w:t xml:space="preserve"> </w:t>
      </w:r>
      <w:r w:rsidRPr="00BB6220">
        <w:rPr>
          <w:lang w:eastAsia="en-NZ"/>
        </w:rPr>
        <w:t>deeply</w:t>
      </w:r>
      <w:r w:rsidR="003D640C">
        <w:rPr>
          <w:lang w:eastAsia="en-NZ"/>
        </w:rPr>
        <w:t xml:space="preserve"> </w:t>
      </w:r>
      <w:r w:rsidRPr="00BB6220">
        <w:rPr>
          <w:lang w:eastAsia="en-NZ"/>
        </w:rPr>
        <w:t>personal.</w:t>
      </w:r>
      <w:r w:rsidR="003D640C">
        <w:rPr>
          <w:lang w:eastAsia="en-NZ"/>
        </w:rPr>
        <w:t xml:space="preserve"> </w:t>
      </w:r>
      <w:r w:rsidRPr="00BB6220">
        <w:rPr>
          <w:lang w:eastAsia="en-NZ"/>
        </w:rPr>
        <w:t>It</w:t>
      </w:r>
      <w:r w:rsidR="003D640C">
        <w:rPr>
          <w:lang w:eastAsia="en-NZ"/>
        </w:rPr>
        <w:t xml:space="preserve"> </w:t>
      </w:r>
      <w:r w:rsidRPr="00BB6220">
        <w:rPr>
          <w:lang w:eastAsia="en-NZ"/>
        </w:rPr>
        <w:t>is</w:t>
      </w:r>
      <w:r w:rsidR="003D640C">
        <w:rPr>
          <w:lang w:eastAsia="en-NZ"/>
        </w:rPr>
        <w:t xml:space="preserve"> </w:t>
      </w:r>
      <w:r w:rsidRPr="00BB6220">
        <w:rPr>
          <w:lang w:eastAsia="en-NZ"/>
        </w:rPr>
        <w:t>woven</w:t>
      </w:r>
      <w:r w:rsidR="003D640C">
        <w:rPr>
          <w:lang w:eastAsia="en-NZ"/>
        </w:rPr>
        <w:t xml:space="preserve"> </w:t>
      </w:r>
      <w:r w:rsidRPr="00BB6220">
        <w:rPr>
          <w:lang w:eastAsia="en-NZ"/>
        </w:rPr>
        <w:t>into</w:t>
      </w:r>
      <w:r w:rsidR="003D640C">
        <w:rPr>
          <w:lang w:eastAsia="en-NZ"/>
        </w:rPr>
        <w:t xml:space="preserve"> </w:t>
      </w:r>
      <w:r w:rsidRPr="00BB6220">
        <w:rPr>
          <w:lang w:eastAsia="en-NZ"/>
        </w:rPr>
        <w:t>an</w:t>
      </w:r>
      <w:r w:rsidR="003D640C">
        <w:rPr>
          <w:lang w:eastAsia="en-NZ"/>
        </w:rPr>
        <w:t xml:space="preserve"> </w:t>
      </w:r>
      <w:r w:rsidRPr="00BB6220">
        <w:rPr>
          <w:lang w:eastAsia="en-NZ"/>
        </w:rPr>
        <w:t>individual</w:t>
      </w:r>
      <w:r w:rsidR="00CD3E06">
        <w:rPr>
          <w:lang w:eastAsia="en-NZ"/>
        </w:rPr>
        <w:t>’</w:t>
      </w:r>
      <w:r w:rsidRPr="00BB6220">
        <w:rPr>
          <w:lang w:eastAsia="en-NZ"/>
        </w:rPr>
        <w:t>s</w:t>
      </w:r>
      <w:r w:rsidR="003D640C">
        <w:rPr>
          <w:lang w:eastAsia="en-NZ"/>
        </w:rPr>
        <w:t xml:space="preserve"> </w:t>
      </w:r>
      <w:r w:rsidRPr="00BB6220">
        <w:rPr>
          <w:lang w:eastAsia="en-NZ"/>
        </w:rPr>
        <w:t>core</w:t>
      </w:r>
      <w:r w:rsidR="003D640C">
        <w:rPr>
          <w:lang w:eastAsia="en-NZ"/>
        </w:rPr>
        <w:t xml:space="preserve"> </w:t>
      </w:r>
      <w:r w:rsidRPr="00BB6220">
        <w:rPr>
          <w:lang w:eastAsia="en-NZ"/>
        </w:rPr>
        <w:t>identity</w:t>
      </w:r>
      <w:r w:rsidR="003D640C">
        <w:rPr>
          <w:lang w:eastAsia="en-NZ"/>
        </w:rPr>
        <w:t xml:space="preserve"> </w:t>
      </w:r>
      <w:r w:rsidRPr="00BB6220">
        <w:rPr>
          <w:lang w:eastAsia="en-NZ"/>
        </w:rPr>
        <w:t>and</w:t>
      </w:r>
      <w:r w:rsidR="003D640C">
        <w:rPr>
          <w:lang w:eastAsia="en-NZ"/>
        </w:rPr>
        <w:t xml:space="preserve"> </w:t>
      </w:r>
      <w:r w:rsidRPr="00BB6220">
        <w:rPr>
          <w:lang w:eastAsia="en-NZ"/>
        </w:rPr>
        <w:t>is</w:t>
      </w:r>
      <w:r w:rsidR="003D640C">
        <w:rPr>
          <w:lang w:eastAsia="en-NZ"/>
        </w:rPr>
        <w:t xml:space="preserve"> </w:t>
      </w:r>
      <w:r w:rsidRPr="00BB6220">
        <w:rPr>
          <w:lang w:eastAsia="en-NZ"/>
        </w:rPr>
        <w:t>distinct</w:t>
      </w:r>
      <w:r w:rsidR="003D640C">
        <w:rPr>
          <w:lang w:eastAsia="en-NZ"/>
        </w:rPr>
        <w:t xml:space="preserve"> </w:t>
      </w:r>
      <w:r w:rsidRPr="00BB6220">
        <w:rPr>
          <w:lang w:eastAsia="en-NZ"/>
        </w:rPr>
        <w:t>from</w:t>
      </w:r>
      <w:r w:rsidR="003D640C">
        <w:rPr>
          <w:lang w:eastAsia="en-NZ"/>
        </w:rPr>
        <w:t xml:space="preserve"> </w:t>
      </w:r>
      <w:r w:rsidR="00207339">
        <w:rPr>
          <w:lang w:eastAsia="en-NZ"/>
        </w:rPr>
        <w:t>a</w:t>
      </w:r>
      <w:r w:rsidR="003D640C">
        <w:rPr>
          <w:lang w:eastAsia="en-NZ"/>
        </w:rPr>
        <w:t xml:space="preserve"> </w:t>
      </w:r>
      <w:r w:rsidR="00207339">
        <w:rPr>
          <w:lang w:eastAsia="en-NZ"/>
        </w:rPr>
        <w:t>person’s</w:t>
      </w:r>
      <w:r w:rsidR="003D640C">
        <w:rPr>
          <w:lang w:eastAsia="en-NZ"/>
        </w:rPr>
        <w:t xml:space="preserve"> </w:t>
      </w:r>
      <w:r w:rsidR="004E5319">
        <w:rPr>
          <w:lang w:eastAsia="en-NZ"/>
        </w:rPr>
        <w:t>sexual</w:t>
      </w:r>
      <w:r w:rsidR="003D640C">
        <w:rPr>
          <w:lang w:eastAsia="en-NZ"/>
        </w:rPr>
        <w:t xml:space="preserve"> </w:t>
      </w:r>
      <w:r w:rsidR="004E5319">
        <w:rPr>
          <w:lang w:eastAsia="en-NZ"/>
        </w:rPr>
        <w:t>orientation</w:t>
      </w:r>
      <w:r w:rsidR="003D640C">
        <w:rPr>
          <w:lang w:eastAsia="en-NZ"/>
        </w:rPr>
        <w:t xml:space="preserve"> </w:t>
      </w:r>
      <w:r w:rsidR="004E5319">
        <w:rPr>
          <w:lang w:eastAsia="en-NZ"/>
        </w:rPr>
        <w:t>and</w:t>
      </w:r>
      <w:r w:rsidR="003D640C">
        <w:rPr>
          <w:lang w:eastAsia="en-NZ"/>
        </w:rPr>
        <w:t xml:space="preserve"> </w:t>
      </w:r>
      <w:r w:rsidRPr="00BB6220">
        <w:rPr>
          <w:lang w:eastAsia="en-NZ"/>
        </w:rPr>
        <w:t>sex</w:t>
      </w:r>
      <w:r w:rsidR="003D640C">
        <w:rPr>
          <w:lang w:eastAsia="en-NZ"/>
        </w:rPr>
        <w:t xml:space="preserve"> </w:t>
      </w:r>
      <w:r w:rsidRPr="00BB6220">
        <w:rPr>
          <w:lang w:eastAsia="en-NZ"/>
        </w:rPr>
        <w:t>characteristics.</w:t>
      </w:r>
      <w:r w:rsidR="003D640C">
        <w:rPr>
          <w:lang w:eastAsia="en-NZ"/>
        </w:rPr>
        <w:t xml:space="preserve"> </w:t>
      </w:r>
      <w:r w:rsidRPr="00BB6220">
        <w:rPr>
          <w:lang w:eastAsia="en-NZ"/>
        </w:rPr>
        <w:t>Gender</w:t>
      </w:r>
      <w:r w:rsidR="003D640C">
        <w:rPr>
          <w:lang w:eastAsia="en-NZ"/>
        </w:rPr>
        <w:t xml:space="preserve"> </w:t>
      </w:r>
      <w:r w:rsidRPr="00BB6220">
        <w:rPr>
          <w:lang w:eastAsia="en-NZ"/>
        </w:rPr>
        <w:t>and</w:t>
      </w:r>
      <w:r w:rsidR="003D640C">
        <w:rPr>
          <w:lang w:eastAsia="en-NZ"/>
        </w:rPr>
        <w:t xml:space="preserve"> </w:t>
      </w:r>
      <w:r w:rsidRPr="00BB6220">
        <w:rPr>
          <w:lang w:eastAsia="en-NZ"/>
        </w:rPr>
        <w:t>its</w:t>
      </w:r>
      <w:r w:rsidR="003D640C">
        <w:rPr>
          <w:lang w:eastAsia="en-NZ"/>
        </w:rPr>
        <w:t xml:space="preserve"> </w:t>
      </w:r>
      <w:r w:rsidRPr="00BB6220">
        <w:rPr>
          <w:lang w:eastAsia="en-NZ"/>
        </w:rPr>
        <w:t>expression</w:t>
      </w:r>
      <w:r w:rsidR="003D640C">
        <w:rPr>
          <w:lang w:eastAsia="en-NZ"/>
        </w:rPr>
        <w:t xml:space="preserve"> </w:t>
      </w:r>
      <w:r w:rsidR="00B92CDC">
        <w:rPr>
          <w:lang w:eastAsia="en-NZ"/>
        </w:rPr>
        <w:t>vary</w:t>
      </w:r>
      <w:r w:rsidR="003D640C">
        <w:rPr>
          <w:lang w:eastAsia="en-NZ"/>
        </w:rPr>
        <w:t xml:space="preserve"> </w:t>
      </w:r>
      <w:r w:rsidRPr="00BB6220">
        <w:rPr>
          <w:lang w:eastAsia="en-NZ"/>
        </w:rPr>
        <w:t>with</w:t>
      </w:r>
      <w:r w:rsidR="003D640C">
        <w:rPr>
          <w:lang w:eastAsia="en-NZ"/>
        </w:rPr>
        <w:t xml:space="preserve"> </w:t>
      </w:r>
      <w:r w:rsidRPr="00BB6220">
        <w:rPr>
          <w:lang w:eastAsia="en-NZ"/>
        </w:rPr>
        <w:t>time,</w:t>
      </w:r>
      <w:r w:rsidR="003D640C">
        <w:rPr>
          <w:lang w:eastAsia="en-NZ"/>
        </w:rPr>
        <w:t xml:space="preserve"> </w:t>
      </w:r>
      <w:r w:rsidRPr="00BB6220">
        <w:rPr>
          <w:lang w:eastAsia="en-NZ"/>
        </w:rPr>
        <w:t>place</w:t>
      </w:r>
      <w:r w:rsidR="58814141"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culture.</w:t>
      </w:r>
      <w:r w:rsidR="003D640C">
        <w:rPr>
          <w:lang w:eastAsia="en-NZ"/>
        </w:rPr>
        <w:t xml:space="preserve"> </w:t>
      </w:r>
      <w:r w:rsidR="003D1380" w:rsidRPr="003D1380">
        <w:rPr>
          <w:lang w:eastAsia="en-NZ"/>
        </w:rPr>
        <w:t>S</w:t>
      </w:r>
      <w:r w:rsidR="00C66D23">
        <w:rPr>
          <w:lang w:eastAsia="en-NZ"/>
        </w:rPr>
        <w:t>tat</w:t>
      </w:r>
      <w:r w:rsidR="00F31388">
        <w:rPr>
          <w:lang w:eastAsia="en-NZ"/>
        </w:rPr>
        <w:t>s</w:t>
      </w:r>
      <w:r w:rsidR="000731B8">
        <w:rPr>
          <w:lang w:eastAsia="en-NZ"/>
        </w:rPr>
        <w:t xml:space="preserve"> </w:t>
      </w:r>
      <w:r w:rsidR="00F31388">
        <w:rPr>
          <w:lang w:eastAsia="en-NZ"/>
        </w:rPr>
        <w:t>NZ</w:t>
      </w:r>
      <w:r w:rsidR="00C66D23">
        <w:rPr>
          <w:lang w:eastAsia="en-NZ"/>
        </w:rPr>
        <w:t>’</w:t>
      </w:r>
      <w:r w:rsidR="003D1380" w:rsidRPr="003D1380">
        <w:rPr>
          <w:lang w:eastAsia="en-NZ"/>
        </w:rPr>
        <w:t>s</w:t>
      </w:r>
      <w:r w:rsidR="003D640C">
        <w:rPr>
          <w:lang w:eastAsia="en-NZ"/>
        </w:rPr>
        <w:t xml:space="preserve"> </w:t>
      </w:r>
      <w:r w:rsidR="003D1380" w:rsidRPr="003D1380">
        <w:rPr>
          <w:lang w:eastAsia="en-NZ"/>
        </w:rPr>
        <w:t>2020</w:t>
      </w:r>
      <w:r w:rsidR="003D640C">
        <w:rPr>
          <w:lang w:eastAsia="en-NZ"/>
        </w:rPr>
        <w:t xml:space="preserve"> </w:t>
      </w:r>
      <w:r w:rsidR="003D1380" w:rsidRPr="003D1380">
        <w:rPr>
          <w:lang w:eastAsia="en-NZ"/>
        </w:rPr>
        <w:t>Household</w:t>
      </w:r>
      <w:r w:rsidR="003D640C">
        <w:rPr>
          <w:lang w:eastAsia="en-NZ"/>
        </w:rPr>
        <w:t xml:space="preserve"> </w:t>
      </w:r>
      <w:r w:rsidR="003D1380" w:rsidRPr="003D1380">
        <w:rPr>
          <w:lang w:eastAsia="en-NZ"/>
        </w:rPr>
        <w:t>Economic</w:t>
      </w:r>
      <w:r w:rsidR="003D640C">
        <w:rPr>
          <w:lang w:eastAsia="en-NZ"/>
        </w:rPr>
        <w:t xml:space="preserve"> </w:t>
      </w:r>
      <w:r w:rsidR="003D1380" w:rsidRPr="003D1380">
        <w:rPr>
          <w:lang w:eastAsia="en-NZ"/>
        </w:rPr>
        <w:t>Survey</w:t>
      </w:r>
      <w:r w:rsidR="003D640C">
        <w:rPr>
          <w:lang w:eastAsia="en-NZ"/>
        </w:rPr>
        <w:t xml:space="preserve"> </w:t>
      </w:r>
      <w:r w:rsidR="003D1380" w:rsidRPr="003D1380">
        <w:rPr>
          <w:lang w:eastAsia="en-NZ"/>
        </w:rPr>
        <w:t>classified</w:t>
      </w:r>
      <w:r w:rsidR="003D640C">
        <w:rPr>
          <w:lang w:eastAsia="en-NZ"/>
        </w:rPr>
        <w:t xml:space="preserve"> </w:t>
      </w:r>
      <w:r w:rsidR="003D1380" w:rsidRPr="003D1380">
        <w:rPr>
          <w:lang w:eastAsia="en-NZ"/>
        </w:rPr>
        <w:t>a</w:t>
      </w:r>
      <w:r w:rsidR="005777CC">
        <w:rPr>
          <w:lang w:eastAsia="en-NZ"/>
        </w:rPr>
        <w:t>bout</w:t>
      </w:r>
      <w:r w:rsidR="003D640C">
        <w:rPr>
          <w:lang w:eastAsia="en-NZ"/>
        </w:rPr>
        <w:t xml:space="preserve"> </w:t>
      </w:r>
      <w:r w:rsidR="000731B8">
        <w:rPr>
          <w:lang w:eastAsia="en-NZ"/>
        </w:rPr>
        <w:t xml:space="preserve">1 </w:t>
      </w:r>
      <w:r w:rsidRPr="00BB6220">
        <w:rPr>
          <w:lang w:eastAsia="en-NZ"/>
        </w:rPr>
        <w:t>percent</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adult</w:t>
      </w:r>
      <w:r w:rsidR="003D640C">
        <w:rPr>
          <w:lang w:eastAsia="en-NZ"/>
        </w:rPr>
        <w:t xml:space="preserve"> </w:t>
      </w:r>
      <w:r w:rsidRPr="00BB6220">
        <w:rPr>
          <w:lang w:eastAsia="en-NZ"/>
        </w:rPr>
        <w:t>population</w:t>
      </w:r>
      <w:r w:rsidR="003D640C">
        <w:rPr>
          <w:lang w:eastAsia="en-NZ"/>
        </w:rPr>
        <w:t xml:space="preserve"> </w:t>
      </w:r>
      <w:r w:rsidRPr="00BB6220">
        <w:rPr>
          <w:lang w:eastAsia="en-NZ"/>
        </w:rPr>
        <w:t>(0.8</w:t>
      </w:r>
      <w:r w:rsidR="001D1BF7">
        <w:rPr>
          <w:lang w:eastAsia="en-NZ"/>
        </w:rPr>
        <w:t xml:space="preserve"> percent</w:t>
      </w:r>
      <w:r w:rsidRPr="00BB6220">
        <w:rPr>
          <w:lang w:eastAsia="en-NZ"/>
        </w:rPr>
        <w:t>)</w:t>
      </w:r>
      <w:r w:rsidR="003D640C">
        <w:rPr>
          <w:lang w:eastAsia="en-NZ"/>
        </w:rPr>
        <w:t xml:space="preserve"> </w:t>
      </w:r>
      <w:r w:rsidR="005777CC">
        <w:rPr>
          <w:lang w:eastAsia="en-NZ"/>
        </w:rPr>
        <w:t>as</w:t>
      </w:r>
      <w:r w:rsidR="003D640C">
        <w:rPr>
          <w:lang w:eastAsia="en-NZ"/>
        </w:rPr>
        <w:t xml:space="preserve"> </w:t>
      </w:r>
      <w:r w:rsidRPr="00BB6220">
        <w:rPr>
          <w:lang w:eastAsia="en-NZ"/>
        </w:rPr>
        <w:t>transgender</w:t>
      </w:r>
      <w:r w:rsidR="003D640C">
        <w:rPr>
          <w:lang w:eastAsia="en-NZ"/>
        </w:rPr>
        <w:t xml:space="preserve"> </w:t>
      </w:r>
      <w:r w:rsidRPr="00BB6220">
        <w:rPr>
          <w:lang w:eastAsia="en-NZ"/>
        </w:rPr>
        <w:t>or</w:t>
      </w:r>
      <w:r w:rsidR="003D640C">
        <w:rPr>
          <w:lang w:eastAsia="en-NZ"/>
        </w:rPr>
        <w:t xml:space="preserve"> </w:t>
      </w:r>
      <w:r w:rsidRPr="00BB6220">
        <w:rPr>
          <w:lang w:eastAsia="en-NZ"/>
        </w:rPr>
        <w:t>non</w:t>
      </w:r>
      <w:r w:rsidR="00E57821" w:rsidRPr="00BB6220">
        <w:rPr>
          <w:lang w:eastAsia="en-NZ"/>
        </w:rPr>
        <w:t>-</w:t>
      </w:r>
      <w:r w:rsidRPr="00BB6220">
        <w:rPr>
          <w:lang w:eastAsia="en-NZ"/>
        </w:rPr>
        <w:t>binary.</w:t>
      </w:r>
      <w:r w:rsidR="00541767" w:rsidRPr="00BB6220">
        <w:rPr>
          <w:rStyle w:val="FootnoteReference"/>
          <w:rFonts w:ascii="Calibri" w:eastAsia="Times New Roman" w:hAnsi="Calibri" w:cs="Calibri"/>
          <w:lang w:eastAsia="en-NZ"/>
        </w:rPr>
        <w:footnoteReference w:id="228"/>
      </w:r>
      <w:r w:rsidR="003D640C">
        <w:rPr>
          <w:lang w:eastAsia="en-NZ"/>
        </w:rPr>
        <w:t xml:space="preserve"> </w:t>
      </w:r>
      <w:r w:rsidRPr="00BB6220">
        <w:rPr>
          <w:lang w:eastAsia="en-NZ"/>
        </w:rPr>
        <w:t>This</w:t>
      </w:r>
      <w:r w:rsidR="003D640C">
        <w:rPr>
          <w:lang w:eastAsia="en-NZ"/>
        </w:rPr>
        <w:t xml:space="preserve"> </w:t>
      </w:r>
      <w:r w:rsidR="007C272E" w:rsidRPr="00BB6220">
        <w:rPr>
          <w:lang w:eastAsia="en-NZ"/>
        </w:rPr>
        <w:t>percentage</w:t>
      </w:r>
      <w:r w:rsidR="003D640C">
        <w:rPr>
          <w:lang w:eastAsia="en-NZ"/>
        </w:rPr>
        <w:t xml:space="preserve"> </w:t>
      </w:r>
      <w:r w:rsidRPr="00BB6220">
        <w:rPr>
          <w:lang w:eastAsia="en-NZ"/>
        </w:rPr>
        <w:t>includes</w:t>
      </w:r>
      <w:r w:rsidR="003D640C">
        <w:rPr>
          <w:lang w:eastAsia="en-NZ"/>
        </w:rPr>
        <w:t xml:space="preserve"> </w:t>
      </w:r>
      <w:r w:rsidRPr="00BB6220">
        <w:rPr>
          <w:lang w:eastAsia="en-NZ"/>
        </w:rPr>
        <w:t>Indigenous</w:t>
      </w:r>
      <w:r w:rsidR="003D640C">
        <w:rPr>
          <w:lang w:eastAsia="en-NZ"/>
        </w:rPr>
        <w:t xml:space="preserve"> </w:t>
      </w:r>
      <w:r w:rsidR="001D0049">
        <w:rPr>
          <w:lang w:eastAsia="en-NZ"/>
        </w:rPr>
        <w:t>and</w:t>
      </w:r>
      <w:r w:rsidR="003D640C">
        <w:rPr>
          <w:lang w:eastAsia="en-NZ"/>
        </w:rPr>
        <w:t xml:space="preserve"> </w:t>
      </w:r>
      <w:r w:rsidR="001D0049">
        <w:rPr>
          <w:lang w:eastAsia="en-NZ"/>
        </w:rPr>
        <w:t>cultural</w:t>
      </w:r>
      <w:r w:rsidR="003D640C">
        <w:rPr>
          <w:lang w:eastAsia="en-NZ"/>
        </w:rPr>
        <w:t xml:space="preserve"> </w:t>
      </w:r>
      <w:r w:rsidRPr="00BB6220">
        <w:rPr>
          <w:lang w:eastAsia="en-NZ"/>
        </w:rPr>
        <w:t>gender</w:t>
      </w:r>
      <w:r w:rsidR="003D640C">
        <w:rPr>
          <w:lang w:eastAsia="en-NZ"/>
        </w:rPr>
        <w:t xml:space="preserve"> </w:t>
      </w:r>
      <w:r w:rsidRPr="00BB6220">
        <w:rPr>
          <w:lang w:eastAsia="en-NZ"/>
        </w:rPr>
        <w:t>identities</w:t>
      </w:r>
      <w:r w:rsidR="003D640C">
        <w:rPr>
          <w:lang w:eastAsia="en-NZ"/>
        </w:rPr>
        <w:t xml:space="preserve"> </w:t>
      </w:r>
      <w:r w:rsidRPr="00BB6220">
        <w:rPr>
          <w:lang w:eastAsia="en-NZ"/>
        </w:rPr>
        <w:t>held</w:t>
      </w:r>
      <w:r w:rsidR="003D640C">
        <w:rPr>
          <w:lang w:eastAsia="en-NZ"/>
        </w:rPr>
        <w:t xml:space="preserve"> </w:t>
      </w:r>
      <w:r w:rsidRPr="00BB6220">
        <w:rPr>
          <w:lang w:eastAsia="en-NZ"/>
        </w:rPr>
        <w:t>by</w:t>
      </w:r>
      <w:r w:rsidR="003D640C">
        <w:rPr>
          <w:lang w:eastAsia="en-NZ"/>
        </w:rPr>
        <w:t xml:space="preserve"> </w:t>
      </w:r>
      <w:r w:rsidRPr="00BB6220">
        <w:rPr>
          <w:lang w:eastAsia="en-NZ"/>
        </w:rPr>
        <w:t>people</w:t>
      </w:r>
      <w:r w:rsidR="003D640C">
        <w:rPr>
          <w:lang w:eastAsia="en-NZ"/>
        </w:rPr>
        <w:t xml:space="preserve"> </w:t>
      </w:r>
      <w:r w:rsidRPr="00BB6220">
        <w:rPr>
          <w:lang w:eastAsia="en-NZ"/>
        </w:rPr>
        <w:t>within</w:t>
      </w:r>
      <w:r w:rsidR="003D640C">
        <w:rPr>
          <w:lang w:eastAsia="en-NZ"/>
        </w:rPr>
        <w:t xml:space="preserve"> </w:t>
      </w:r>
      <w:r w:rsidRPr="00BB6220">
        <w:rPr>
          <w:lang w:eastAsia="en-NZ"/>
        </w:rPr>
        <w:t>Aotearoa</w:t>
      </w:r>
      <w:r w:rsidR="003D640C">
        <w:rPr>
          <w:lang w:eastAsia="en-NZ"/>
        </w:rPr>
        <w:t xml:space="preserve"> </w:t>
      </w:r>
      <w:r w:rsidRPr="00BB6220">
        <w:rPr>
          <w:lang w:eastAsia="en-NZ"/>
        </w:rPr>
        <w:t>either</w:t>
      </w:r>
      <w:r w:rsidR="003D640C">
        <w:rPr>
          <w:lang w:eastAsia="en-NZ"/>
        </w:rPr>
        <w:t xml:space="preserve"> </w:t>
      </w:r>
      <w:r w:rsidRPr="00BB6220">
        <w:rPr>
          <w:lang w:eastAsia="en-NZ"/>
        </w:rPr>
        <w:t>as</w:t>
      </w:r>
      <w:r w:rsidR="003D640C">
        <w:rPr>
          <w:lang w:eastAsia="en-NZ"/>
        </w:rPr>
        <w:t xml:space="preserve"> </w:t>
      </w:r>
      <w:r w:rsidR="002709E5">
        <w:rPr>
          <w:lang w:eastAsia="en-NZ"/>
        </w:rPr>
        <w:t>T</w:t>
      </w:r>
      <w:r w:rsidR="007A7C28">
        <w:rPr>
          <w:lang w:eastAsia="en-NZ"/>
        </w:rPr>
        <w:t>a</w:t>
      </w:r>
      <w:r w:rsidRPr="00BB6220">
        <w:rPr>
          <w:lang w:eastAsia="en-NZ"/>
        </w:rPr>
        <w:t>ngata</w:t>
      </w:r>
      <w:r w:rsidR="003D640C">
        <w:rPr>
          <w:lang w:eastAsia="en-NZ"/>
        </w:rPr>
        <w:t xml:space="preserve"> </w:t>
      </w:r>
      <w:r w:rsidR="002709E5">
        <w:rPr>
          <w:lang w:eastAsia="en-NZ"/>
        </w:rPr>
        <w:t>W</w:t>
      </w:r>
      <w:r w:rsidRPr="00BB6220">
        <w:rPr>
          <w:lang w:eastAsia="en-NZ"/>
        </w:rPr>
        <w:t>henua</w:t>
      </w:r>
      <w:r w:rsidR="00351693">
        <w:rPr>
          <w:lang w:eastAsia="en-NZ"/>
        </w:rPr>
        <w:t>,</w:t>
      </w:r>
      <w:r w:rsidR="003D640C">
        <w:rPr>
          <w:lang w:eastAsia="en-NZ"/>
        </w:rPr>
        <w:t xml:space="preserve"> </w:t>
      </w:r>
      <w:r w:rsidR="00D03EB1" w:rsidRPr="00BB6220">
        <w:rPr>
          <w:lang w:eastAsia="en-NZ"/>
        </w:rPr>
        <w:t>Pacific</w:t>
      </w:r>
      <w:r w:rsidR="003D640C">
        <w:rPr>
          <w:lang w:eastAsia="en-NZ"/>
        </w:rPr>
        <w:t xml:space="preserve"> </w:t>
      </w:r>
      <w:r w:rsidR="00626874">
        <w:rPr>
          <w:lang w:eastAsia="en-NZ"/>
        </w:rPr>
        <w:t>p</w:t>
      </w:r>
      <w:r w:rsidR="00722918" w:rsidRPr="00BB6220">
        <w:rPr>
          <w:lang w:eastAsia="en-NZ"/>
        </w:rPr>
        <w:t>eoples</w:t>
      </w:r>
      <w:r w:rsidR="5C4085DC" w:rsidRPr="00BB6220">
        <w:rPr>
          <w:lang w:eastAsia="en-NZ"/>
        </w:rPr>
        <w:t>,</w:t>
      </w:r>
      <w:r w:rsidR="003D640C">
        <w:rPr>
          <w:lang w:eastAsia="en-NZ"/>
        </w:rPr>
        <w:t xml:space="preserve"> </w:t>
      </w:r>
      <w:r w:rsidRPr="00BB6220">
        <w:rPr>
          <w:lang w:eastAsia="en-NZ"/>
        </w:rPr>
        <w:t>or</w:t>
      </w:r>
      <w:r w:rsidR="003D640C">
        <w:rPr>
          <w:lang w:eastAsia="en-NZ"/>
        </w:rPr>
        <w:t xml:space="preserve"> </w:t>
      </w:r>
      <w:r w:rsidRPr="00BB6220">
        <w:rPr>
          <w:lang w:eastAsia="en-NZ"/>
        </w:rPr>
        <w:t>part</w:t>
      </w:r>
      <w:r w:rsidR="003D640C">
        <w:rPr>
          <w:lang w:eastAsia="en-NZ"/>
        </w:rPr>
        <w:t xml:space="preserve"> </w:t>
      </w:r>
      <w:r w:rsidRPr="00BB6220">
        <w:rPr>
          <w:lang w:eastAsia="en-NZ"/>
        </w:rPr>
        <w:t>of</w:t>
      </w:r>
      <w:r w:rsidR="003D640C">
        <w:rPr>
          <w:lang w:eastAsia="en-NZ"/>
        </w:rPr>
        <w:t xml:space="preserve"> </w:t>
      </w:r>
      <w:r w:rsidRPr="00BB6220">
        <w:rPr>
          <w:lang w:eastAsia="en-NZ"/>
        </w:rPr>
        <w:t>an</w:t>
      </w:r>
      <w:r w:rsidR="003D640C">
        <w:rPr>
          <w:lang w:eastAsia="en-NZ"/>
        </w:rPr>
        <w:t xml:space="preserve"> </w:t>
      </w:r>
      <w:r w:rsidRPr="00BB6220">
        <w:rPr>
          <w:lang w:eastAsia="en-NZ"/>
        </w:rPr>
        <w:t>ethnic</w:t>
      </w:r>
      <w:r w:rsidR="003D640C">
        <w:rPr>
          <w:lang w:eastAsia="en-NZ"/>
        </w:rPr>
        <w:t xml:space="preserve"> </w:t>
      </w:r>
      <w:r w:rsidR="0015455B">
        <w:rPr>
          <w:lang w:eastAsia="en-NZ"/>
        </w:rPr>
        <w:t>minority</w:t>
      </w:r>
      <w:r w:rsidR="003D640C">
        <w:rPr>
          <w:lang w:eastAsia="en-NZ"/>
        </w:rPr>
        <w:t xml:space="preserve"> </w:t>
      </w:r>
      <w:r w:rsidR="0015455B">
        <w:rPr>
          <w:lang w:eastAsia="en-NZ"/>
        </w:rPr>
        <w:t>community</w:t>
      </w:r>
      <w:r w:rsidRPr="00BB6220">
        <w:rPr>
          <w:lang w:eastAsia="en-NZ"/>
        </w:rPr>
        <w:t>.</w:t>
      </w:r>
      <w:r w:rsidR="003D640C">
        <w:rPr>
          <w:lang w:eastAsia="en-NZ"/>
        </w:rPr>
        <w:t xml:space="preserve"> </w:t>
      </w:r>
    </w:p>
    <w:p w14:paraId="5CE31019" w14:textId="5F8FF7FF" w:rsidR="00501068" w:rsidRDefault="08BACA94" w:rsidP="002E6693">
      <w:pPr>
        <w:rPr>
          <w:rFonts w:ascii="Segoe UI" w:hAnsi="Segoe UI" w:cs="Segoe UI"/>
          <w:sz w:val="18"/>
          <w:szCs w:val="18"/>
        </w:rPr>
      </w:pPr>
      <w:r w:rsidRPr="00E00167">
        <w:t>The</w:t>
      </w:r>
      <w:r w:rsidR="003D640C" w:rsidRPr="00E00167">
        <w:t xml:space="preserve"> </w:t>
      </w:r>
      <w:r w:rsidRPr="00E00167">
        <w:t>Commission’s</w:t>
      </w:r>
      <w:r w:rsidR="003D640C" w:rsidRPr="00E00167">
        <w:t xml:space="preserve"> </w:t>
      </w:r>
      <w:r w:rsidRPr="00E00167">
        <w:t>research</w:t>
      </w:r>
      <w:r w:rsidR="003D640C" w:rsidRPr="00E00167">
        <w:t xml:space="preserve"> </w:t>
      </w:r>
      <w:r w:rsidRPr="00E00167">
        <w:t>has</w:t>
      </w:r>
      <w:r w:rsidR="003D640C" w:rsidRPr="00E00167">
        <w:t xml:space="preserve"> </w:t>
      </w:r>
      <w:r w:rsidRPr="00E00167">
        <w:t>documented</w:t>
      </w:r>
      <w:r w:rsidR="003D640C" w:rsidRPr="00E00167">
        <w:t xml:space="preserve"> </w:t>
      </w:r>
      <w:r w:rsidRPr="00E00167">
        <w:t>violence</w:t>
      </w:r>
      <w:r w:rsidR="003D640C" w:rsidRPr="00E00167">
        <w:t xml:space="preserve"> </w:t>
      </w:r>
      <w:r w:rsidRPr="00E00167">
        <w:t>and</w:t>
      </w:r>
      <w:r w:rsidR="003D640C" w:rsidRPr="00E00167">
        <w:t xml:space="preserve"> </w:t>
      </w:r>
      <w:r w:rsidRPr="00E00167">
        <w:t>discrimination</w:t>
      </w:r>
      <w:r w:rsidR="003D640C" w:rsidRPr="00E00167">
        <w:t xml:space="preserve"> </w:t>
      </w:r>
      <w:r w:rsidRPr="00E00167">
        <w:t>against</w:t>
      </w:r>
      <w:r w:rsidR="003D640C" w:rsidRPr="00E00167">
        <w:t xml:space="preserve"> </w:t>
      </w:r>
      <w:r w:rsidRPr="00E00167">
        <w:t>transgender</w:t>
      </w:r>
      <w:r w:rsidR="003D640C" w:rsidRPr="00E00167">
        <w:t xml:space="preserve"> </w:t>
      </w:r>
      <w:r w:rsidRPr="00E00167">
        <w:t>people</w:t>
      </w:r>
      <w:r w:rsidR="003D640C" w:rsidRPr="00E00167">
        <w:t xml:space="preserve"> </w:t>
      </w:r>
      <w:r w:rsidR="1A05B22E" w:rsidRPr="00E00167">
        <w:t>in</w:t>
      </w:r>
      <w:r w:rsidR="003D640C" w:rsidRPr="00E00167">
        <w:t xml:space="preserve"> </w:t>
      </w:r>
      <w:r w:rsidR="1A05B22E" w:rsidRPr="00E00167">
        <w:t>Aotearoa</w:t>
      </w:r>
      <w:r w:rsidR="003D640C" w:rsidRPr="00E00167">
        <w:t xml:space="preserve"> </w:t>
      </w:r>
      <w:r w:rsidRPr="00E00167">
        <w:t>since</w:t>
      </w:r>
      <w:r w:rsidR="003D640C" w:rsidRPr="00E00167">
        <w:t xml:space="preserve"> </w:t>
      </w:r>
      <w:r w:rsidRPr="00E00167">
        <w:t>its</w:t>
      </w:r>
      <w:r w:rsidR="003D640C" w:rsidRPr="00E00167">
        <w:t xml:space="preserve"> </w:t>
      </w:r>
      <w:r w:rsidRPr="00E00167">
        <w:t>2008</w:t>
      </w:r>
      <w:r w:rsidR="003D640C" w:rsidRPr="00E00167">
        <w:t xml:space="preserve"> </w:t>
      </w:r>
      <w:r w:rsidRPr="00E00167">
        <w:t>Transgender</w:t>
      </w:r>
      <w:r w:rsidR="003D640C" w:rsidRPr="00E00167">
        <w:t xml:space="preserve"> </w:t>
      </w:r>
      <w:r w:rsidRPr="00E00167">
        <w:t>Inquiry</w:t>
      </w:r>
      <w:r w:rsidR="003D640C" w:rsidRPr="00E00167">
        <w:t xml:space="preserve"> </w:t>
      </w:r>
      <w:r w:rsidRPr="00E00167">
        <w:t>report.</w:t>
      </w:r>
      <w:r w:rsidR="0070354B" w:rsidRPr="00BB5858">
        <w:rPr>
          <w:rStyle w:val="FootnoteReference"/>
          <w:rFonts w:ascii="Calibri" w:hAnsi="Calibri" w:cs="Calibri"/>
          <w:shd w:val="clear" w:color="auto" w:fill="FFFFFF"/>
        </w:rPr>
        <w:footnoteReference w:id="229"/>
      </w:r>
      <w:r w:rsidR="003D640C" w:rsidRPr="00E00167">
        <w:t xml:space="preserve"> </w:t>
      </w:r>
      <w:r w:rsidR="290009F0" w:rsidRPr="00E00167">
        <w:t>Recent</w:t>
      </w:r>
      <w:r w:rsidR="003D640C" w:rsidRPr="00E00167">
        <w:t xml:space="preserve"> </w:t>
      </w:r>
      <w:r w:rsidR="290009F0" w:rsidRPr="00E00167">
        <w:t>research</w:t>
      </w:r>
      <w:r w:rsidR="003D640C" w:rsidRPr="00E00167">
        <w:t xml:space="preserve"> </w:t>
      </w:r>
      <w:r w:rsidR="008B0DBB" w:rsidRPr="00E00167">
        <w:t>undertaken</w:t>
      </w:r>
      <w:r w:rsidR="003D640C" w:rsidRPr="00E00167">
        <w:t xml:space="preserve"> </w:t>
      </w:r>
      <w:r w:rsidRPr="00E00167">
        <w:t>in</w:t>
      </w:r>
      <w:r w:rsidR="003D640C" w:rsidRPr="00E00167">
        <w:t xml:space="preserve"> </w:t>
      </w:r>
      <w:r w:rsidRPr="00E00167">
        <w:t>2018</w:t>
      </w:r>
      <w:r w:rsidR="002B207B" w:rsidRPr="00BB5858">
        <w:rPr>
          <w:rStyle w:val="FootnoteReference"/>
          <w:rFonts w:ascii="Calibri" w:hAnsi="Calibri" w:cs="Calibri"/>
          <w:shd w:val="clear" w:color="auto" w:fill="FFFFFF"/>
        </w:rPr>
        <w:footnoteReference w:id="230"/>
      </w:r>
      <w:r w:rsidR="003D640C" w:rsidRPr="00E00167">
        <w:t xml:space="preserve"> </w:t>
      </w:r>
      <w:r w:rsidRPr="00E00167">
        <w:t>and</w:t>
      </w:r>
      <w:r w:rsidR="003D640C" w:rsidRPr="00E00167">
        <w:t xml:space="preserve"> </w:t>
      </w:r>
      <w:r w:rsidRPr="00E00167">
        <w:t>2022</w:t>
      </w:r>
      <w:r w:rsidR="005A7B7E" w:rsidRPr="00BB5858">
        <w:rPr>
          <w:rStyle w:val="FootnoteReference"/>
          <w:rFonts w:ascii="Calibri" w:hAnsi="Calibri" w:cs="Calibri"/>
          <w:shd w:val="clear" w:color="auto" w:fill="FFFFFF"/>
        </w:rPr>
        <w:footnoteReference w:id="231"/>
      </w:r>
      <w:r w:rsidR="003D640C" w:rsidRPr="00E00167">
        <w:t xml:space="preserve"> </w:t>
      </w:r>
      <w:r w:rsidR="754E85B4" w:rsidRPr="00E00167">
        <w:t>continue</w:t>
      </w:r>
      <w:r w:rsidR="598B440B" w:rsidRPr="00E00167">
        <w:t>s</w:t>
      </w:r>
      <w:r w:rsidR="003D640C" w:rsidRPr="00E00167">
        <w:t xml:space="preserve"> </w:t>
      </w:r>
      <w:r w:rsidR="754E85B4" w:rsidRPr="00E00167">
        <w:t>to</w:t>
      </w:r>
      <w:r w:rsidR="003D640C" w:rsidRPr="00E00167">
        <w:t xml:space="preserve"> </w:t>
      </w:r>
      <w:r w:rsidRPr="00E00167">
        <w:t>show</w:t>
      </w:r>
      <w:r w:rsidR="003D640C" w:rsidRPr="00E00167">
        <w:t xml:space="preserve"> </w:t>
      </w:r>
      <w:r w:rsidRPr="00E00167">
        <w:t>high</w:t>
      </w:r>
      <w:r w:rsidR="003D640C" w:rsidRPr="00E00167">
        <w:t xml:space="preserve"> </w:t>
      </w:r>
      <w:r w:rsidRPr="00E00167">
        <w:t>levels</w:t>
      </w:r>
      <w:r w:rsidR="003D640C" w:rsidRPr="00E00167">
        <w:t xml:space="preserve"> </w:t>
      </w:r>
      <w:r w:rsidRPr="00E00167">
        <w:t>of</w:t>
      </w:r>
      <w:r w:rsidR="003D640C" w:rsidRPr="00E00167">
        <w:t xml:space="preserve"> </w:t>
      </w:r>
      <w:r w:rsidRPr="00E00167">
        <w:t>discrimination</w:t>
      </w:r>
      <w:r w:rsidR="003D640C" w:rsidRPr="00E00167">
        <w:t xml:space="preserve"> </w:t>
      </w:r>
      <w:r w:rsidR="23C24D0C" w:rsidRPr="00E00167">
        <w:t>and</w:t>
      </w:r>
      <w:r w:rsidR="003D640C" w:rsidRPr="00E00167">
        <w:t xml:space="preserve"> </w:t>
      </w:r>
      <w:r w:rsidRPr="00E00167">
        <w:t>violence</w:t>
      </w:r>
      <w:r w:rsidR="003D640C" w:rsidRPr="00E00167">
        <w:t xml:space="preserve"> </w:t>
      </w:r>
      <w:r w:rsidR="1CA778AC" w:rsidRPr="00E00167">
        <w:t>towards</w:t>
      </w:r>
      <w:r w:rsidR="003D640C" w:rsidRPr="00E00167">
        <w:t xml:space="preserve"> </w:t>
      </w:r>
      <w:r w:rsidR="1CA778AC" w:rsidRPr="00E00167">
        <w:t>trans</w:t>
      </w:r>
      <w:r w:rsidR="003D640C" w:rsidRPr="00E00167">
        <w:t xml:space="preserve"> </w:t>
      </w:r>
      <w:r w:rsidR="1CA778AC" w:rsidRPr="00E00167">
        <w:t>people</w:t>
      </w:r>
      <w:r w:rsidR="63EC1D09" w:rsidRPr="00E00167">
        <w:t>.</w:t>
      </w:r>
      <w:r w:rsidR="003D640C" w:rsidRPr="00E00167">
        <w:t xml:space="preserve"> </w:t>
      </w:r>
      <w:r w:rsidR="20CB4019" w:rsidRPr="00E00167">
        <w:t>T</w:t>
      </w:r>
      <w:r w:rsidRPr="00E00167">
        <w:t>he</w:t>
      </w:r>
      <w:r w:rsidR="003D640C" w:rsidRPr="00E00167">
        <w:t xml:space="preserve"> </w:t>
      </w:r>
      <w:r w:rsidRPr="00E00167">
        <w:t>proliferation</w:t>
      </w:r>
      <w:r w:rsidR="003D640C" w:rsidRPr="00E00167">
        <w:t xml:space="preserve"> </w:t>
      </w:r>
      <w:r w:rsidRPr="00E00167">
        <w:t>of</w:t>
      </w:r>
      <w:r w:rsidR="003D640C" w:rsidRPr="00E00167">
        <w:t xml:space="preserve"> </w:t>
      </w:r>
      <w:r w:rsidRPr="00E00167">
        <w:t>negative</w:t>
      </w:r>
      <w:r w:rsidR="003D640C" w:rsidRPr="00E00167">
        <w:t xml:space="preserve"> </w:t>
      </w:r>
      <w:r w:rsidRPr="00E00167">
        <w:t>online</w:t>
      </w:r>
      <w:r w:rsidR="003D640C" w:rsidRPr="00E00167">
        <w:t xml:space="preserve"> </w:t>
      </w:r>
      <w:r w:rsidRPr="00E00167">
        <w:t>messages</w:t>
      </w:r>
      <w:r w:rsidR="003D640C" w:rsidRPr="00E00167">
        <w:t xml:space="preserve"> </w:t>
      </w:r>
      <w:r w:rsidR="63DC739A" w:rsidRPr="00E00167">
        <w:t>in</w:t>
      </w:r>
      <w:r w:rsidR="003D640C" w:rsidRPr="00E00167">
        <w:t xml:space="preserve"> </w:t>
      </w:r>
      <w:r w:rsidR="63DC739A" w:rsidRPr="00E00167">
        <w:t>particular</w:t>
      </w:r>
      <w:r w:rsidR="003D640C" w:rsidRPr="00E00167">
        <w:t xml:space="preserve"> </w:t>
      </w:r>
      <w:r w:rsidR="50C46DF0" w:rsidRPr="00E00167">
        <w:t>has</w:t>
      </w:r>
      <w:r w:rsidR="003D640C" w:rsidRPr="00E00167">
        <w:t xml:space="preserve"> </w:t>
      </w:r>
      <w:r w:rsidR="50C46DF0" w:rsidRPr="00E00167">
        <w:t>increased</w:t>
      </w:r>
      <w:r w:rsidR="003D640C" w:rsidRPr="00E00167">
        <w:t xml:space="preserve"> </w:t>
      </w:r>
      <w:r w:rsidR="50C46DF0" w:rsidRPr="00E00167">
        <w:t>in</w:t>
      </w:r>
      <w:r w:rsidR="003D640C" w:rsidRPr="00E00167">
        <w:t xml:space="preserve"> </w:t>
      </w:r>
      <w:r w:rsidR="50C46DF0" w:rsidRPr="00E00167">
        <w:t>recent</w:t>
      </w:r>
      <w:r w:rsidR="003D640C" w:rsidRPr="00E00167">
        <w:t xml:space="preserve"> </w:t>
      </w:r>
      <w:r w:rsidR="50C46DF0" w:rsidRPr="00E00167">
        <w:t>years</w:t>
      </w:r>
      <w:r w:rsidR="003D640C" w:rsidRPr="00E00167">
        <w:t xml:space="preserve"> </w:t>
      </w:r>
      <w:r w:rsidR="7F47E1DA" w:rsidRPr="00E00167">
        <w:t>with</w:t>
      </w:r>
      <w:r w:rsidR="003D640C" w:rsidRPr="00E00167">
        <w:t xml:space="preserve"> </w:t>
      </w:r>
      <w:r w:rsidRPr="00E00167">
        <w:t>a</w:t>
      </w:r>
      <w:r w:rsidR="003D640C" w:rsidRPr="00E00167">
        <w:t xml:space="preserve"> </w:t>
      </w:r>
      <w:r w:rsidRPr="00E00167">
        <w:t>documented</w:t>
      </w:r>
      <w:r w:rsidR="003D640C" w:rsidRPr="00E00167">
        <w:t xml:space="preserve"> </w:t>
      </w:r>
      <w:r w:rsidRPr="00E00167">
        <w:t>spike</w:t>
      </w:r>
      <w:r w:rsidR="003D640C" w:rsidRPr="00E00167">
        <w:t xml:space="preserve"> </w:t>
      </w:r>
      <w:r w:rsidRPr="00E00167">
        <w:t>in</w:t>
      </w:r>
      <w:r w:rsidR="003D640C" w:rsidRPr="00E00167">
        <w:t xml:space="preserve"> </w:t>
      </w:r>
      <w:r w:rsidRPr="00E00167">
        <w:t>online</w:t>
      </w:r>
      <w:r w:rsidR="003D640C" w:rsidRPr="00E00167">
        <w:t xml:space="preserve"> </w:t>
      </w:r>
      <w:r w:rsidRPr="00E00167">
        <w:t>hate</w:t>
      </w:r>
      <w:r w:rsidR="003D640C" w:rsidRPr="00E00167">
        <w:t xml:space="preserve"> </w:t>
      </w:r>
      <w:r w:rsidRPr="00E00167">
        <w:t>against</w:t>
      </w:r>
      <w:r w:rsidR="003D640C" w:rsidRPr="00E00167">
        <w:t xml:space="preserve"> </w:t>
      </w:r>
      <w:r w:rsidRPr="00E00167">
        <w:t>trans</w:t>
      </w:r>
      <w:r w:rsidR="003D640C" w:rsidRPr="00E00167">
        <w:t xml:space="preserve"> </w:t>
      </w:r>
      <w:r w:rsidRPr="00E00167">
        <w:t>women</w:t>
      </w:r>
      <w:r w:rsidR="003D640C" w:rsidRPr="00E00167">
        <w:t xml:space="preserve"> </w:t>
      </w:r>
      <w:r w:rsidRPr="00E00167">
        <w:t>in</w:t>
      </w:r>
      <w:r w:rsidR="003D640C" w:rsidRPr="00E00167">
        <w:t xml:space="preserve"> </w:t>
      </w:r>
      <w:r w:rsidRPr="00E00167">
        <w:t>March</w:t>
      </w:r>
      <w:r w:rsidR="003D640C" w:rsidRPr="00E00167">
        <w:t xml:space="preserve"> </w:t>
      </w:r>
      <w:r w:rsidR="11797675" w:rsidRPr="00E00167">
        <w:t>and</w:t>
      </w:r>
      <w:r w:rsidR="003D640C" w:rsidRPr="00E00167">
        <w:t xml:space="preserve"> </w:t>
      </w:r>
      <w:r w:rsidRPr="00E00167">
        <w:t>April</w:t>
      </w:r>
      <w:r w:rsidR="003D640C" w:rsidRPr="00E00167">
        <w:t xml:space="preserve"> </w:t>
      </w:r>
      <w:r w:rsidRPr="00E00167">
        <w:t>2023.</w:t>
      </w:r>
      <w:r w:rsidR="009051EE" w:rsidRPr="00BB5858">
        <w:rPr>
          <w:rStyle w:val="FootnoteReference"/>
          <w:rFonts w:ascii="Calibri" w:hAnsi="Calibri" w:cs="Calibri"/>
          <w:shd w:val="clear" w:color="auto" w:fill="FFFFFF"/>
        </w:rPr>
        <w:footnoteReference w:id="232"/>
      </w:r>
      <w:r w:rsidR="003D640C" w:rsidRPr="0078026B">
        <w:t xml:space="preserve"> </w:t>
      </w:r>
      <w:r w:rsidR="0065294F" w:rsidRPr="0078026B">
        <w:t>As</w:t>
      </w:r>
      <w:r w:rsidR="003D640C" w:rsidRPr="0078026B">
        <w:t xml:space="preserve"> </w:t>
      </w:r>
      <w:r w:rsidR="0065294F" w:rsidRPr="0078026B">
        <w:t>noted</w:t>
      </w:r>
      <w:r w:rsidR="003D640C" w:rsidRPr="0078026B">
        <w:t xml:space="preserve"> </w:t>
      </w:r>
      <w:r w:rsidR="0065294F" w:rsidRPr="0078026B">
        <w:t>by</w:t>
      </w:r>
      <w:r w:rsidR="003D640C" w:rsidRPr="0078026B">
        <w:t xml:space="preserve"> </w:t>
      </w:r>
      <w:r w:rsidR="0065294F" w:rsidRPr="0078026B">
        <w:t>the</w:t>
      </w:r>
      <w:r w:rsidR="003D640C" w:rsidRPr="0078026B">
        <w:t xml:space="preserve"> </w:t>
      </w:r>
      <w:r w:rsidR="0065294F" w:rsidRPr="0078026B">
        <w:t>United</w:t>
      </w:r>
      <w:r w:rsidR="003D640C" w:rsidRPr="0078026B">
        <w:t xml:space="preserve"> </w:t>
      </w:r>
      <w:r w:rsidR="0065294F" w:rsidRPr="0078026B">
        <w:t>Nations</w:t>
      </w:r>
      <w:r w:rsidR="003D640C" w:rsidRPr="0078026B">
        <w:t xml:space="preserve"> </w:t>
      </w:r>
      <w:r w:rsidR="0065294F" w:rsidRPr="0078026B">
        <w:t>Independent</w:t>
      </w:r>
      <w:r w:rsidR="003D640C" w:rsidRPr="0078026B">
        <w:t xml:space="preserve"> </w:t>
      </w:r>
      <w:r w:rsidR="0065294F" w:rsidRPr="0078026B">
        <w:t>Expert</w:t>
      </w:r>
      <w:r w:rsidR="003D640C" w:rsidRPr="0078026B">
        <w:t xml:space="preserve"> </w:t>
      </w:r>
      <w:r w:rsidR="0065294F" w:rsidRPr="0078026B">
        <w:t>on</w:t>
      </w:r>
      <w:r w:rsidR="003D640C" w:rsidRPr="0078026B">
        <w:t xml:space="preserve"> </w:t>
      </w:r>
      <w:r w:rsidR="00EA68A9">
        <w:t>S</w:t>
      </w:r>
      <w:r w:rsidR="0065294F" w:rsidRPr="0078026B">
        <w:t>exual</w:t>
      </w:r>
      <w:r w:rsidR="003D640C" w:rsidRPr="0078026B">
        <w:t xml:space="preserve"> </w:t>
      </w:r>
      <w:r w:rsidR="00EA68A9">
        <w:t>O</w:t>
      </w:r>
      <w:r w:rsidR="0065294F" w:rsidRPr="0078026B">
        <w:t>rientation</w:t>
      </w:r>
      <w:r w:rsidR="003D640C" w:rsidRPr="0078026B">
        <w:t xml:space="preserve"> </w:t>
      </w:r>
      <w:r w:rsidR="0065294F" w:rsidRPr="0078026B">
        <w:t>and</w:t>
      </w:r>
      <w:r w:rsidR="003D640C" w:rsidRPr="0078026B">
        <w:t xml:space="preserve"> </w:t>
      </w:r>
      <w:r w:rsidR="00EA68A9">
        <w:t>G</w:t>
      </w:r>
      <w:r w:rsidR="0065294F" w:rsidRPr="0078026B">
        <w:t>ender</w:t>
      </w:r>
      <w:r w:rsidR="003D640C" w:rsidRPr="0078026B">
        <w:t xml:space="preserve"> </w:t>
      </w:r>
      <w:r w:rsidR="0065294F" w:rsidRPr="0078026B">
        <w:t>identity,</w:t>
      </w:r>
      <w:r w:rsidR="003D640C" w:rsidRPr="0078026B">
        <w:t xml:space="preserve"> </w:t>
      </w:r>
      <w:r w:rsidR="009C4BD8">
        <w:t>“</w:t>
      </w:r>
      <w:r w:rsidR="0065294F" w:rsidRPr="0078026B">
        <w:t>at</w:t>
      </w:r>
      <w:r w:rsidR="003D640C" w:rsidRPr="0078026B">
        <w:t xml:space="preserve"> </w:t>
      </w:r>
      <w:r w:rsidR="0065294F" w:rsidRPr="0078026B">
        <w:t>the</w:t>
      </w:r>
      <w:r w:rsidR="003D640C" w:rsidRPr="0078026B">
        <w:t xml:space="preserve"> </w:t>
      </w:r>
      <w:r w:rsidR="0065294F" w:rsidRPr="0078026B">
        <w:t>root</w:t>
      </w:r>
      <w:r w:rsidR="003D640C" w:rsidRPr="0078026B">
        <w:t xml:space="preserve"> </w:t>
      </w:r>
      <w:r w:rsidR="0065294F" w:rsidRPr="0078026B">
        <w:t>of</w:t>
      </w:r>
      <w:r w:rsidR="003D640C" w:rsidRPr="0078026B">
        <w:t xml:space="preserve"> </w:t>
      </w:r>
      <w:r w:rsidR="0065294F" w:rsidRPr="0078026B">
        <w:t>the</w:t>
      </w:r>
      <w:r w:rsidR="003D640C" w:rsidRPr="0078026B">
        <w:t xml:space="preserve"> </w:t>
      </w:r>
      <w:r w:rsidR="0065294F" w:rsidRPr="0078026B">
        <w:t>acts</w:t>
      </w:r>
      <w:r w:rsidR="003D640C" w:rsidRPr="0078026B">
        <w:t xml:space="preserve"> </w:t>
      </w:r>
      <w:r w:rsidR="0065294F" w:rsidRPr="0078026B">
        <w:t>of</w:t>
      </w:r>
      <w:r w:rsidR="003D640C" w:rsidRPr="0078026B">
        <w:t xml:space="preserve"> </w:t>
      </w:r>
      <w:r w:rsidR="0065294F" w:rsidRPr="0078026B">
        <w:t>violence</w:t>
      </w:r>
      <w:r w:rsidR="003D640C" w:rsidRPr="0078026B">
        <w:t xml:space="preserve"> </w:t>
      </w:r>
      <w:r w:rsidR="0065294F" w:rsidRPr="0078026B">
        <w:t>and</w:t>
      </w:r>
      <w:r w:rsidR="003D640C" w:rsidRPr="0078026B">
        <w:t xml:space="preserve"> </w:t>
      </w:r>
      <w:r w:rsidR="0065294F" w:rsidRPr="0078026B">
        <w:t>discrimination</w:t>
      </w:r>
      <w:r w:rsidR="003D640C" w:rsidRPr="0078026B">
        <w:t xml:space="preserve"> </w:t>
      </w:r>
      <w:r w:rsidR="0065294F" w:rsidRPr="0078026B">
        <w:t>lies</w:t>
      </w:r>
      <w:r w:rsidR="003D640C" w:rsidRPr="0078026B">
        <w:t xml:space="preserve"> </w:t>
      </w:r>
      <w:r w:rsidR="0065294F" w:rsidRPr="0078026B">
        <w:t>the</w:t>
      </w:r>
      <w:r w:rsidR="003D640C" w:rsidRPr="0078026B">
        <w:t xml:space="preserve"> </w:t>
      </w:r>
      <w:r w:rsidR="0065294F" w:rsidRPr="0078026B">
        <w:t>intent</w:t>
      </w:r>
      <w:r w:rsidR="003D640C" w:rsidRPr="0078026B">
        <w:t xml:space="preserve"> </w:t>
      </w:r>
      <w:r w:rsidR="0065294F" w:rsidRPr="0078026B">
        <w:t>to</w:t>
      </w:r>
      <w:r w:rsidR="003D640C" w:rsidRPr="0078026B">
        <w:t xml:space="preserve"> </w:t>
      </w:r>
      <w:r w:rsidR="0065294F" w:rsidRPr="0078026B">
        <w:t>punish</w:t>
      </w:r>
      <w:r w:rsidR="003D640C" w:rsidRPr="0078026B">
        <w:t xml:space="preserve"> </w:t>
      </w:r>
      <w:r w:rsidR="0065294F" w:rsidRPr="0078026B">
        <w:t>based</w:t>
      </w:r>
      <w:r w:rsidR="003D640C" w:rsidRPr="0078026B">
        <w:t xml:space="preserve"> </w:t>
      </w:r>
      <w:r w:rsidR="0065294F" w:rsidRPr="0078026B">
        <w:t>on</w:t>
      </w:r>
      <w:r w:rsidR="003D640C" w:rsidRPr="0078026B">
        <w:t xml:space="preserve"> </w:t>
      </w:r>
      <w:r w:rsidR="0065294F" w:rsidRPr="0078026B">
        <w:t>preconceived</w:t>
      </w:r>
      <w:r w:rsidR="003D640C" w:rsidRPr="0078026B">
        <w:t xml:space="preserve"> </w:t>
      </w:r>
      <w:r w:rsidR="0065294F" w:rsidRPr="0078026B">
        <w:t>notions</w:t>
      </w:r>
      <w:r w:rsidR="003D640C" w:rsidRPr="0078026B">
        <w:t xml:space="preserve"> </w:t>
      </w:r>
      <w:r w:rsidR="0065294F" w:rsidRPr="0078026B">
        <w:t>of</w:t>
      </w:r>
      <w:r w:rsidR="003D640C" w:rsidRPr="0078026B">
        <w:t xml:space="preserve"> </w:t>
      </w:r>
      <w:r w:rsidR="0065294F" w:rsidRPr="0078026B">
        <w:t>what</w:t>
      </w:r>
      <w:r w:rsidR="003D640C" w:rsidRPr="0078026B">
        <w:t xml:space="preserve"> </w:t>
      </w:r>
      <w:r w:rsidR="0065294F" w:rsidRPr="0078026B">
        <w:t>the</w:t>
      </w:r>
      <w:r w:rsidR="003D640C" w:rsidRPr="0078026B">
        <w:t xml:space="preserve"> </w:t>
      </w:r>
      <w:r w:rsidR="0065294F" w:rsidRPr="0078026B">
        <w:t>victim’s</w:t>
      </w:r>
      <w:r w:rsidR="003D640C" w:rsidRPr="0078026B">
        <w:t xml:space="preserve"> </w:t>
      </w:r>
      <w:r w:rsidR="0065294F" w:rsidRPr="0078026B">
        <w:t>gender</w:t>
      </w:r>
      <w:r w:rsidR="003D640C" w:rsidRPr="0078026B">
        <w:t xml:space="preserve"> </w:t>
      </w:r>
      <w:r w:rsidR="0065294F" w:rsidRPr="0078026B">
        <w:t>identity</w:t>
      </w:r>
      <w:r w:rsidR="003D640C" w:rsidRPr="0078026B">
        <w:t xml:space="preserve"> </w:t>
      </w:r>
      <w:r w:rsidR="0065294F" w:rsidRPr="0078026B">
        <w:t>should</w:t>
      </w:r>
      <w:r w:rsidR="003D640C" w:rsidRPr="0078026B">
        <w:t xml:space="preserve"> </w:t>
      </w:r>
      <w:r w:rsidR="0065294F" w:rsidRPr="0078026B">
        <w:t>be,</w:t>
      </w:r>
      <w:r w:rsidR="003D640C" w:rsidRPr="0078026B">
        <w:t xml:space="preserve"> </w:t>
      </w:r>
      <w:r w:rsidR="0065294F" w:rsidRPr="0078026B">
        <w:t>binary</w:t>
      </w:r>
      <w:r w:rsidR="003D640C" w:rsidRPr="0078026B">
        <w:t xml:space="preserve"> </w:t>
      </w:r>
      <w:r w:rsidR="0065294F" w:rsidRPr="0078026B">
        <w:t>understanding</w:t>
      </w:r>
      <w:r w:rsidR="003D640C" w:rsidRPr="0078026B">
        <w:t xml:space="preserve"> </w:t>
      </w:r>
      <w:r w:rsidR="0065294F" w:rsidRPr="0078026B">
        <w:t>of</w:t>
      </w:r>
      <w:r w:rsidR="003D640C" w:rsidRPr="0078026B">
        <w:t xml:space="preserve"> </w:t>
      </w:r>
      <w:r w:rsidR="0065294F" w:rsidRPr="0078026B">
        <w:t>what</w:t>
      </w:r>
      <w:r w:rsidR="003D640C" w:rsidRPr="0078026B">
        <w:t xml:space="preserve"> </w:t>
      </w:r>
      <w:r w:rsidR="0065294F" w:rsidRPr="0078026B">
        <w:t>constitutes</w:t>
      </w:r>
      <w:r w:rsidR="003D640C" w:rsidRPr="0078026B">
        <w:t xml:space="preserve"> </w:t>
      </w:r>
      <w:r w:rsidR="0065294F" w:rsidRPr="0078026B">
        <w:t>a</w:t>
      </w:r>
      <w:r w:rsidR="003D640C" w:rsidRPr="0078026B">
        <w:t xml:space="preserve"> </w:t>
      </w:r>
      <w:r w:rsidR="0065294F" w:rsidRPr="0078026B">
        <w:t>male</w:t>
      </w:r>
      <w:r w:rsidR="003D640C" w:rsidRPr="0078026B">
        <w:t xml:space="preserve"> </w:t>
      </w:r>
      <w:r w:rsidR="0065294F" w:rsidRPr="0078026B">
        <w:t>and</w:t>
      </w:r>
      <w:r w:rsidR="003D640C" w:rsidRPr="0078026B">
        <w:t xml:space="preserve"> </w:t>
      </w:r>
      <w:r w:rsidR="0065294F" w:rsidRPr="0078026B">
        <w:t>female,</w:t>
      </w:r>
      <w:r w:rsidR="003D640C" w:rsidRPr="0078026B">
        <w:t xml:space="preserve"> </w:t>
      </w:r>
      <w:r w:rsidR="0065294F" w:rsidRPr="0078026B">
        <w:t>or</w:t>
      </w:r>
      <w:r w:rsidR="003D640C" w:rsidRPr="0078026B">
        <w:t xml:space="preserve"> </w:t>
      </w:r>
      <w:r w:rsidR="0065294F" w:rsidRPr="0078026B">
        <w:t>the</w:t>
      </w:r>
      <w:r w:rsidR="003D640C" w:rsidRPr="0078026B">
        <w:t xml:space="preserve"> </w:t>
      </w:r>
      <w:r w:rsidR="0065294F" w:rsidRPr="0078026B">
        <w:t>masculine</w:t>
      </w:r>
      <w:r w:rsidR="003D640C" w:rsidRPr="0078026B">
        <w:t xml:space="preserve"> </w:t>
      </w:r>
      <w:r w:rsidR="0065294F" w:rsidRPr="0078026B">
        <w:t>and</w:t>
      </w:r>
      <w:r w:rsidR="003D640C" w:rsidRPr="0078026B">
        <w:t xml:space="preserve"> </w:t>
      </w:r>
      <w:r w:rsidR="0065294F" w:rsidRPr="0078026B">
        <w:t>the</w:t>
      </w:r>
      <w:r w:rsidR="003D640C" w:rsidRPr="0078026B">
        <w:t xml:space="preserve"> </w:t>
      </w:r>
      <w:r w:rsidR="0065294F" w:rsidRPr="0078026B">
        <w:t>feminine</w:t>
      </w:r>
      <w:r w:rsidR="00840EBC">
        <w:t>.</w:t>
      </w:r>
      <w:r w:rsidR="009C4BD8">
        <w:t>”</w:t>
      </w:r>
      <w:r w:rsidR="0065294F">
        <w:rPr>
          <w:rStyle w:val="FootnoteReference"/>
          <w:rFonts w:ascii="Calibri" w:hAnsi="Calibri" w:cs="Calibri"/>
          <w:shd w:val="clear" w:color="auto" w:fill="FFFFFF"/>
        </w:rPr>
        <w:footnoteReference w:id="233"/>
      </w:r>
    </w:p>
    <w:p w14:paraId="6AE154BF" w14:textId="30DBEE9C" w:rsidR="00501068" w:rsidRDefault="00F47619" w:rsidP="002E6693">
      <w:pPr>
        <w:rPr>
          <w:lang w:eastAsia="en-NZ"/>
        </w:rPr>
      </w:pPr>
      <w:r>
        <w:rPr>
          <w:lang w:eastAsia="en-NZ"/>
        </w:rPr>
        <w:t>T</w:t>
      </w:r>
      <w:r w:rsidR="00D41B4B" w:rsidRPr="00D41B4B">
        <w:rPr>
          <w:lang w:eastAsia="en-NZ"/>
        </w:rPr>
        <w:t>ransgender</w:t>
      </w:r>
      <w:r w:rsidR="003D640C">
        <w:rPr>
          <w:lang w:eastAsia="en-NZ"/>
        </w:rPr>
        <w:t xml:space="preserve"> </w:t>
      </w:r>
      <w:r w:rsidR="00D41B4B" w:rsidRPr="00D41B4B">
        <w:rPr>
          <w:lang w:eastAsia="en-NZ"/>
        </w:rPr>
        <w:t>people</w:t>
      </w:r>
      <w:r w:rsidR="003D640C">
        <w:rPr>
          <w:lang w:eastAsia="en-NZ"/>
        </w:rPr>
        <w:t xml:space="preserve"> </w:t>
      </w:r>
      <w:r w:rsidR="00D41B4B" w:rsidRPr="00D41B4B">
        <w:rPr>
          <w:lang w:eastAsia="en-NZ"/>
        </w:rPr>
        <w:t>can</w:t>
      </w:r>
      <w:r w:rsidR="003D640C">
        <w:rPr>
          <w:lang w:eastAsia="en-NZ"/>
        </w:rPr>
        <w:t xml:space="preserve"> </w:t>
      </w:r>
      <w:r w:rsidR="00D41B4B" w:rsidRPr="00D41B4B">
        <w:rPr>
          <w:lang w:eastAsia="en-NZ"/>
        </w:rPr>
        <w:t>experience</w:t>
      </w:r>
      <w:r w:rsidR="003D640C">
        <w:rPr>
          <w:lang w:eastAsia="en-NZ"/>
        </w:rPr>
        <w:t xml:space="preserve"> </w:t>
      </w:r>
      <w:r w:rsidR="00D41B4B" w:rsidRPr="00D41B4B">
        <w:rPr>
          <w:lang w:eastAsia="en-NZ"/>
        </w:rPr>
        <w:t>having</w:t>
      </w:r>
      <w:r w:rsidR="003D640C">
        <w:rPr>
          <w:lang w:eastAsia="en-NZ"/>
        </w:rPr>
        <w:t xml:space="preserve"> </w:t>
      </w:r>
      <w:r>
        <w:rPr>
          <w:lang w:eastAsia="en-NZ"/>
        </w:rPr>
        <w:t>their</w:t>
      </w:r>
      <w:r w:rsidR="003D640C">
        <w:rPr>
          <w:lang w:eastAsia="en-NZ"/>
        </w:rPr>
        <w:t xml:space="preserve"> </w:t>
      </w:r>
      <w:r w:rsidR="00D41B4B" w:rsidRPr="00D41B4B">
        <w:rPr>
          <w:lang w:eastAsia="en-NZ"/>
        </w:rPr>
        <w:t>gender</w:t>
      </w:r>
      <w:r w:rsidR="003D640C">
        <w:rPr>
          <w:lang w:eastAsia="en-NZ"/>
        </w:rPr>
        <w:t xml:space="preserve"> </w:t>
      </w:r>
      <w:r w:rsidR="00D41B4B" w:rsidRPr="00D41B4B">
        <w:rPr>
          <w:lang w:eastAsia="en-NZ"/>
        </w:rPr>
        <w:t>identity</w:t>
      </w:r>
      <w:r w:rsidR="003D640C">
        <w:rPr>
          <w:lang w:eastAsia="en-NZ"/>
        </w:rPr>
        <w:t xml:space="preserve"> </w:t>
      </w:r>
      <w:r w:rsidR="00D41B4B" w:rsidRPr="00D41B4B">
        <w:rPr>
          <w:lang w:eastAsia="en-NZ"/>
        </w:rPr>
        <w:t>or</w:t>
      </w:r>
      <w:r w:rsidR="003D640C">
        <w:rPr>
          <w:lang w:eastAsia="en-NZ"/>
        </w:rPr>
        <w:t xml:space="preserve"> </w:t>
      </w:r>
      <w:r w:rsidR="00D41B4B" w:rsidRPr="00D41B4B">
        <w:rPr>
          <w:lang w:eastAsia="en-NZ"/>
        </w:rPr>
        <w:t>expression</w:t>
      </w:r>
      <w:r w:rsidR="003D640C">
        <w:rPr>
          <w:lang w:eastAsia="en-NZ"/>
        </w:rPr>
        <w:t xml:space="preserve"> </w:t>
      </w:r>
      <w:r w:rsidR="00D41B4B" w:rsidRPr="00D41B4B">
        <w:rPr>
          <w:lang w:eastAsia="en-NZ"/>
        </w:rPr>
        <w:t>suppressed</w:t>
      </w:r>
      <w:r w:rsidR="003D640C">
        <w:rPr>
          <w:lang w:eastAsia="en-NZ"/>
        </w:rPr>
        <w:t xml:space="preserve"> </w:t>
      </w:r>
      <w:r w:rsidR="00D41B4B" w:rsidRPr="00D41B4B">
        <w:rPr>
          <w:lang w:eastAsia="en-NZ"/>
        </w:rPr>
        <w:t>in</w:t>
      </w:r>
      <w:r w:rsidR="003D640C">
        <w:rPr>
          <w:lang w:eastAsia="en-NZ"/>
        </w:rPr>
        <w:t xml:space="preserve"> </w:t>
      </w:r>
      <w:r w:rsidR="00D41B4B" w:rsidRPr="00D41B4B">
        <w:rPr>
          <w:lang w:eastAsia="en-NZ"/>
        </w:rPr>
        <w:t>a</w:t>
      </w:r>
      <w:r w:rsidR="003D640C">
        <w:rPr>
          <w:lang w:eastAsia="en-NZ"/>
        </w:rPr>
        <w:t xml:space="preserve"> </w:t>
      </w:r>
      <w:r w:rsidR="00D41B4B" w:rsidRPr="00D41B4B">
        <w:rPr>
          <w:lang w:eastAsia="en-NZ"/>
        </w:rPr>
        <w:t>range</w:t>
      </w:r>
      <w:r w:rsidR="003D640C">
        <w:rPr>
          <w:lang w:eastAsia="en-NZ"/>
        </w:rPr>
        <w:t xml:space="preserve"> </w:t>
      </w:r>
      <w:r w:rsidR="00D41B4B" w:rsidRPr="00D41B4B">
        <w:rPr>
          <w:lang w:eastAsia="en-NZ"/>
        </w:rPr>
        <w:t>of</w:t>
      </w:r>
      <w:r w:rsidR="003D640C">
        <w:rPr>
          <w:lang w:eastAsia="en-NZ"/>
        </w:rPr>
        <w:t xml:space="preserve"> </w:t>
      </w:r>
      <w:r w:rsidR="00D41B4B" w:rsidRPr="00D41B4B">
        <w:rPr>
          <w:lang w:eastAsia="en-NZ"/>
        </w:rPr>
        <w:t>s</w:t>
      </w:r>
      <w:r w:rsidR="002A3A07">
        <w:rPr>
          <w:lang w:eastAsia="en-NZ"/>
        </w:rPr>
        <w:t>ettings,</w:t>
      </w:r>
      <w:r w:rsidR="003D640C">
        <w:rPr>
          <w:lang w:eastAsia="en-NZ"/>
        </w:rPr>
        <w:t xml:space="preserve"> </w:t>
      </w:r>
      <w:r w:rsidR="002A3A07">
        <w:rPr>
          <w:lang w:eastAsia="en-NZ"/>
        </w:rPr>
        <w:t>including</w:t>
      </w:r>
      <w:r w:rsidR="003D640C">
        <w:rPr>
          <w:lang w:eastAsia="en-NZ"/>
        </w:rPr>
        <w:t xml:space="preserve"> </w:t>
      </w:r>
      <w:r w:rsidR="002A3A07">
        <w:rPr>
          <w:lang w:eastAsia="en-NZ"/>
        </w:rPr>
        <w:t>schools,</w:t>
      </w:r>
      <w:r w:rsidR="003D640C">
        <w:rPr>
          <w:lang w:eastAsia="en-NZ"/>
        </w:rPr>
        <w:t xml:space="preserve"> </w:t>
      </w:r>
      <w:r w:rsidR="006674EF">
        <w:rPr>
          <w:lang w:eastAsia="en-NZ"/>
        </w:rPr>
        <w:t>religious</w:t>
      </w:r>
      <w:r w:rsidR="003D640C">
        <w:rPr>
          <w:lang w:eastAsia="en-NZ"/>
        </w:rPr>
        <w:t xml:space="preserve"> </w:t>
      </w:r>
      <w:r w:rsidR="006674EF">
        <w:rPr>
          <w:lang w:eastAsia="en-NZ"/>
        </w:rPr>
        <w:t>and</w:t>
      </w:r>
      <w:r w:rsidR="003D640C">
        <w:rPr>
          <w:lang w:eastAsia="en-NZ"/>
        </w:rPr>
        <w:t xml:space="preserve"> </w:t>
      </w:r>
      <w:r w:rsidR="002A3A07">
        <w:rPr>
          <w:lang w:eastAsia="en-NZ"/>
        </w:rPr>
        <w:t>faith</w:t>
      </w:r>
      <w:r w:rsidR="003D640C">
        <w:rPr>
          <w:lang w:eastAsia="en-NZ"/>
        </w:rPr>
        <w:t xml:space="preserve"> </w:t>
      </w:r>
      <w:r w:rsidR="002A3A07">
        <w:rPr>
          <w:lang w:eastAsia="en-NZ"/>
        </w:rPr>
        <w:t>settings,</w:t>
      </w:r>
      <w:r w:rsidR="003D640C">
        <w:rPr>
          <w:lang w:eastAsia="en-NZ"/>
        </w:rPr>
        <w:t xml:space="preserve"> </w:t>
      </w:r>
      <w:r w:rsidR="002A3A07">
        <w:rPr>
          <w:lang w:eastAsia="en-NZ"/>
        </w:rPr>
        <w:t>communit</w:t>
      </w:r>
      <w:r w:rsidR="006674EF">
        <w:rPr>
          <w:lang w:eastAsia="en-NZ"/>
        </w:rPr>
        <w:t>y</w:t>
      </w:r>
      <w:r w:rsidR="003D640C">
        <w:rPr>
          <w:lang w:eastAsia="en-NZ"/>
        </w:rPr>
        <w:t xml:space="preserve"> </w:t>
      </w:r>
      <w:r w:rsidR="002A3A07">
        <w:rPr>
          <w:lang w:eastAsia="en-NZ"/>
        </w:rPr>
        <w:t>and</w:t>
      </w:r>
      <w:r w:rsidR="003D640C">
        <w:rPr>
          <w:lang w:eastAsia="en-NZ"/>
        </w:rPr>
        <w:t xml:space="preserve"> </w:t>
      </w:r>
      <w:r w:rsidR="002A3A07">
        <w:rPr>
          <w:lang w:eastAsia="en-NZ"/>
        </w:rPr>
        <w:t>family</w:t>
      </w:r>
      <w:r w:rsidR="003D640C">
        <w:rPr>
          <w:lang w:eastAsia="en-NZ"/>
        </w:rPr>
        <w:t xml:space="preserve"> </w:t>
      </w:r>
      <w:r w:rsidR="00074CE3">
        <w:rPr>
          <w:lang w:eastAsia="en-NZ"/>
        </w:rPr>
        <w:t>settings</w:t>
      </w:r>
      <w:r w:rsidR="00DD1687">
        <w:rPr>
          <w:lang w:eastAsia="en-NZ"/>
        </w:rPr>
        <w:t>,</w:t>
      </w:r>
      <w:r w:rsidR="003D640C">
        <w:rPr>
          <w:lang w:eastAsia="en-NZ"/>
        </w:rPr>
        <w:t xml:space="preserve"> </w:t>
      </w:r>
      <w:r w:rsidR="00DD1687">
        <w:rPr>
          <w:lang w:eastAsia="en-NZ"/>
        </w:rPr>
        <w:t xml:space="preserve">and </w:t>
      </w:r>
      <w:r w:rsidR="00074CE3">
        <w:rPr>
          <w:lang w:eastAsia="en-NZ"/>
        </w:rPr>
        <w:t>medical</w:t>
      </w:r>
      <w:r w:rsidR="003D640C">
        <w:rPr>
          <w:lang w:eastAsia="en-NZ"/>
        </w:rPr>
        <w:t xml:space="preserve"> </w:t>
      </w:r>
      <w:r w:rsidR="00074CE3">
        <w:rPr>
          <w:lang w:eastAsia="en-NZ"/>
        </w:rPr>
        <w:t>settings</w:t>
      </w:r>
      <w:r w:rsidR="00D41B4B" w:rsidRPr="00D41B4B">
        <w:rPr>
          <w:lang w:eastAsia="en-NZ"/>
        </w:rPr>
        <w:t>.</w:t>
      </w:r>
      <w:r w:rsidR="003D640C">
        <w:rPr>
          <w:lang w:eastAsia="en-NZ"/>
        </w:rPr>
        <w:t xml:space="preserve"> </w:t>
      </w:r>
      <w:r w:rsidR="00074CE3">
        <w:rPr>
          <w:lang w:eastAsia="en-NZ"/>
        </w:rPr>
        <w:t>Gender</w:t>
      </w:r>
      <w:r w:rsidR="003D640C">
        <w:rPr>
          <w:lang w:eastAsia="en-NZ"/>
        </w:rPr>
        <w:t xml:space="preserve"> </w:t>
      </w:r>
      <w:r w:rsidR="003E05B2">
        <w:rPr>
          <w:lang w:eastAsia="en-NZ"/>
        </w:rPr>
        <w:t>affirmation</w:t>
      </w:r>
      <w:r w:rsidR="003D640C">
        <w:rPr>
          <w:lang w:eastAsia="en-NZ"/>
        </w:rPr>
        <w:t xml:space="preserve"> </w:t>
      </w:r>
      <w:r w:rsidR="00233A81">
        <w:rPr>
          <w:lang w:eastAsia="en-NZ"/>
        </w:rPr>
        <w:t>in</w:t>
      </w:r>
      <w:r w:rsidR="003D640C">
        <w:rPr>
          <w:lang w:eastAsia="en-NZ"/>
        </w:rPr>
        <w:t xml:space="preserve"> </w:t>
      </w:r>
      <w:r w:rsidR="00233A81">
        <w:rPr>
          <w:lang w:eastAsia="en-NZ"/>
        </w:rPr>
        <w:t>social</w:t>
      </w:r>
      <w:r w:rsidR="003D640C">
        <w:rPr>
          <w:lang w:eastAsia="en-NZ"/>
        </w:rPr>
        <w:t xml:space="preserve"> </w:t>
      </w:r>
      <w:r w:rsidR="00233A81">
        <w:rPr>
          <w:lang w:eastAsia="en-NZ"/>
        </w:rPr>
        <w:t>se</w:t>
      </w:r>
      <w:r w:rsidR="006921F4">
        <w:rPr>
          <w:lang w:eastAsia="en-NZ"/>
        </w:rPr>
        <w:t>t</w:t>
      </w:r>
      <w:r w:rsidR="00233A81">
        <w:rPr>
          <w:lang w:eastAsia="en-NZ"/>
        </w:rPr>
        <w:t>tings</w:t>
      </w:r>
      <w:r w:rsidR="003D640C">
        <w:rPr>
          <w:lang w:eastAsia="en-NZ"/>
        </w:rPr>
        <w:t xml:space="preserve"> </w:t>
      </w:r>
      <w:r w:rsidR="003E05B2">
        <w:rPr>
          <w:lang w:eastAsia="en-NZ"/>
        </w:rPr>
        <w:t>includes</w:t>
      </w:r>
      <w:r w:rsidR="003D640C">
        <w:rPr>
          <w:lang w:eastAsia="en-NZ"/>
        </w:rPr>
        <w:t xml:space="preserve"> </w:t>
      </w:r>
      <w:r w:rsidR="003E05B2">
        <w:rPr>
          <w:lang w:eastAsia="en-NZ"/>
        </w:rPr>
        <w:t>suppor</w:t>
      </w:r>
      <w:r w:rsidR="008A66D7">
        <w:rPr>
          <w:lang w:eastAsia="en-NZ"/>
        </w:rPr>
        <w:t>ting</w:t>
      </w:r>
      <w:r w:rsidR="003D640C">
        <w:rPr>
          <w:lang w:eastAsia="en-NZ"/>
        </w:rPr>
        <w:t xml:space="preserve"> </w:t>
      </w:r>
      <w:r w:rsidR="008A66D7">
        <w:rPr>
          <w:lang w:eastAsia="en-NZ"/>
        </w:rPr>
        <w:t>transgende</w:t>
      </w:r>
      <w:r w:rsidR="00AA4FEC">
        <w:rPr>
          <w:lang w:eastAsia="en-NZ"/>
        </w:rPr>
        <w:t>r</w:t>
      </w:r>
      <w:r w:rsidR="003D640C">
        <w:rPr>
          <w:lang w:eastAsia="en-NZ"/>
        </w:rPr>
        <w:t xml:space="preserve"> </w:t>
      </w:r>
      <w:r w:rsidR="00AA4FEC">
        <w:rPr>
          <w:lang w:eastAsia="en-NZ"/>
        </w:rPr>
        <w:t>people</w:t>
      </w:r>
      <w:r w:rsidR="003D640C">
        <w:rPr>
          <w:lang w:eastAsia="en-NZ"/>
        </w:rPr>
        <w:t xml:space="preserve"> </w:t>
      </w:r>
      <w:r w:rsidR="00AA4FEC">
        <w:rPr>
          <w:lang w:eastAsia="en-NZ"/>
        </w:rPr>
        <w:t>through</w:t>
      </w:r>
      <w:r w:rsidR="003D640C">
        <w:rPr>
          <w:lang w:eastAsia="en-NZ"/>
        </w:rPr>
        <w:t xml:space="preserve"> </w:t>
      </w:r>
      <w:r w:rsidR="00AA4FEC">
        <w:rPr>
          <w:lang w:eastAsia="en-NZ"/>
        </w:rPr>
        <w:t>their</w:t>
      </w:r>
      <w:r w:rsidR="003D640C">
        <w:rPr>
          <w:lang w:eastAsia="en-NZ"/>
        </w:rPr>
        <w:t xml:space="preserve"> </w:t>
      </w:r>
      <w:r w:rsidR="00AA4FEC">
        <w:rPr>
          <w:lang w:eastAsia="en-NZ"/>
        </w:rPr>
        <w:t>social</w:t>
      </w:r>
      <w:r w:rsidR="003D640C">
        <w:rPr>
          <w:lang w:eastAsia="en-NZ"/>
        </w:rPr>
        <w:t xml:space="preserve"> </w:t>
      </w:r>
      <w:r w:rsidR="00AA4FEC">
        <w:rPr>
          <w:lang w:eastAsia="en-NZ"/>
        </w:rPr>
        <w:t>transition,</w:t>
      </w:r>
      <w:r w:rsidR="003D640C">
        <w:rPr>
          <w:lang w:eastAsia="en-NZ"/>
        </w:rPr>
        <w:t xml:space="preserve"> </w:t>
      </w:r>
      <w:r w:rsidR="00AA4FEC">
        <w:rPr>
          <w:lang w:eastAsia="en-NZ"/>
        </w:rPr>
        <w:t>which</w:t>
      </w:r>
      <w:r w:rsidR="003D640C">
        <w:rPr>
          <w:lang w:eastAsia="en-NZ"/>
        </w:rPr>
        <w:t xml:space="preserve"> </w:t>
      </w:r>
      <w:r w:rsidR="00AA4FEC">
        <w:rPr>
          <w:lang w:eastAsia="en-NZ"/>
        </w:rPr>
        <w:t>may</w:t>
      </w:r>
      <w:r w:rsidR="003D640C">
        <w:rPr>
          <w:lang w:eastAsia="en-NZ"/>
        </w:rPr>
        <w:t xml:space="preserve"> </w:t>
      </w:r>
      <w:r w:rsidR="00AA4FEC">
        <w:rPr>
          <w:lang w:eastAsia="en-NZ"/>
        </w:rPr>
        <w:t>involve,</w:t>
      </w:r>
      <w:r w:rsidR="003D640C">
        <w:rPr>
          <w:lang w:eastAsia="en-NZ"/>
        </w:rPr>
        <w:t xml:space="preserve"> </w:t>
      </w:r>
      <w:r w:rsidR="00AA4FEC">
        <w:rPr>
          <w:lang w:eastAsia="en-NZ"/>
        </w:rPr>
        <w:t>for</w:t>
      </w:r>
      <w:r w:rsidR="003D640C">
        <w:rPr>
          <w:lang w:eastAsia="en-NZ"/>
        </w:rPr>
        <w:t xml:space="preserve"> </w:t>
      </w:r>
      <w:r w:rsidR="00AA4FEC">
        <w:rPr>
          <w:lang w:eastAsia="en-NZ"/>
        </w:rPr>
        <w:t>example,</w:t>
      </w:r>
      <w:r w:rsidR="003D640C">
        <w:rPr>
          <w:lang w:eastAsia="en-NZ"/>
        </w:rPr>
        <w:t xml:space="preserve"> </w:t>
      </w:r>
      <w:r w:rsidR="00AA4FEC">
        <w:rPr>
          <w:lang w:eastAsia="en-NZ"/>
        </w:rPr>
        <w:t>using</w:t>
      </w:r>
      <w:r w:rsidR="003D640C">
        <w:rPr>
          <w:lang w:eastAsia="en-NZ"/>
        </w:rPr>
        <w:t xml:space="preserve"> </w:t>
      </w:r>
      <w:r w:rsidR="00AA4FEC">
        <w:rPr>
          <w:lang w:eastAsia="en-NZ"/>
        </w:rPr>
        <w:t>a</w:t>
      </w:r>
      <w:r w:rsidR="003D640C">
        <w:rPr>
          <w:lang w:eastAsia="en-NZ"/>
        </w:rPr>
        <w:t xml:space="preserve"> </w:t>
      </w:r>
      <w:r w:rsidR="00AA4FEC">
        <w:rPr>
          <w:lang w:eastAsia="en-NZ"/>
        </w:rPr>
        <w:t>different</w:t>
      </w:r>
      <w:r w:rsidR="003D640C">
        <w:rPr>
          <w:lang w:eastAsia="en-NZ"/>
        </w:rPr>
        <w:t xml:space="preserve"> </w:t>
      </w:r>
      <w:r w:rsidR="00AA4FEC">
        <w:rPr>
          <w:lang w:eastAsia="en-NZ"/>
        </w:rPr>
        <w:t>name</w:t>
      </w:r>
      <w:r w:rsidR="003D640C">
        <w:rPr>
          <w:lang w:eastAsia="en-NZ"/>
        </w:rPr>
        <w:t xml:space="preserve"> </w:t>
      </w:r>
      <w:r w:rsidR="00AA4FEC">
        <w:rPr>
          <w:lang w:eastAsia="en-NZ"/>
        </w:rPr>
        <w:t>or</w:t>
      </w:r>
      <w:r w:rsidR="003D640C" w:rsidDel="006C074B">
        <w:rPr>
          <w:lang w:eastAsia="en-NZ"/>
        </w:rPr>
        <w:t xml:space="preserve"> </w:t>
      </w:r>
      <w:r w:rsidR="00AA4FEC">
        <w:rPr>
          <w:lang w:eastAsia="en-NZ"/>
        </w:rPr>
        <w:t>pronouns,</w:t>
      </w:r>
      <w:r w:rsidR="003D640C">
        <w:rPr>
          <w:lang w:eastAsia="en-NZ"/>
        </w:rPr>
        <w:t xml:space="preserve"> </w:t>
      </w:r>
      <w:r w:rsidR="00AA4FEC">
        <w:rPr>
          <w:lang w:eastAsia="en-NZ"/>
        </w:rPr>
        <w:t>and</w:t>
      </w:r>
      <w:r w:rsidR="003D640C">
        <w:rPr>
          <w:lang w:eastAsia="en-NZ"/>
        </w:rPr>
        <w:t xml:space="preserve"> </w:t>
      </w:r>
      <w:r w:rsidR="00AA4FEC">
        <w:rPr>
          <w:lang w:eastAsia="en-NZ"/>
        </w:rPr>
        <w:t>changes</w:t>
      </w:r>
      <w:r w:rsidR="003D640C">
        <w:rPr>
          <w:lang w:eastAsia="en-NZ"/>
        </w:rPr>
        <w:t xml:space="preserve"> </w:t>
      </w:r>
      <w:r w:rsidR="00AA4FEC">
        <w:rPr>
          <w:lang w:eastAsia="en-NZ"/>
        </w:rPr>
        <w:t>to</w:t>
      </w:r>
      <w:r w:rsidR="003D640C">
        <w:rPr>
          <w:lang w:eastAsia="en-NZ"/>
        </w:rPr>
        <w:t xml:space="preserve"> </w:t>
      </w:r>
      <w:r w:rsidR="00AA4FEC">
        <w:rPr>
          <w:lang w:eastAsia="en-NZ"/>
        </w:rPr>
        <w:t>hairstyle,</w:t>
      </w:r>
      <w:r w:rsidR="003D640C">
        <w:rPr>
          <w:lang w:eastAsia="en-NZ"/>
        </w:rPr>
        <w:t xml:space="preserve"> </w:t>
      </w:r>
      <w:r w:rsidR="00AA4FEC">
        <w:rPr>
          <w:lang w:eastAsia="en-NZ"/>
        </w:rPr>
        <w:t>clothing</w:t>
      </w:r>
      <w:r w:rsidR="00DD1687">
        <w:rPr>
          <w:lang w:eastAsia="en-NZ"/>
        </w:rPr>
        <w:t>,</w:t>
      </w:r>
      <w:r w:rsidR="003D640C">
        <w:rPr>
          <w:lang w:eastAsia="en-NZ"/>
        </w:rPr>
        <w:t xml:space="preserve"> </w:t>
      </w:r>
      <w:r w:rsidR="00AA4FEC">
        <w:rPr>
          <w:lang w:eastAsia="en-NZ"/>
        </w:rPr>
        <w:t>and</w:t>
      </w:r>
      <w:r w:rsidR="003D640C">
        <w:rPr>
          <w:lang w:eastAsia="en-NZ"/>
        </w:rPr>
        <w:t xml:space="preserve"> </w:t>
      </w:r>
      <w:r w:rsidR="00AA4FEC">
        <w:rPr>
          <w:lang w:eastAsia="en-NZ"/>
        </w:rPr>
        <w:t>other</w:t>
      </w:r>
      <w:r w:rsidR="003D640C">
        <w:rPr>
          <w:lang w:eastAsia="en-NZ"/>
        </w:rPr>
        <w:t xml:space="preserve"> </w:t>
      </w:r>
      <w:r w:rsidR="00AA4FEC">
        <w:rPr>
          <w:lang w:eastAsia="en-NZ"/>
        </w:rPr>
        <w:t>forms</w:t>
      </w:r>
      <w:r w:rsidR="003D640C">
        <w:rPr>
          <w:lang w:eastAsia="en-NZ"/>
        </w:rPr>
        <w:t xml:space="preserve"> </w:t>
      </w:r>
      <w:r w:rsidR="00AA4FEC">
        <w:rPr>
          <w:lang w:eastAsia="en-NZ"/>
        </w:rPr>
        <w:t>of</w:t>
      </w:r>
      <w:r w:rsidR="003D640C">
        <w:rPr>
          <w:lang w:eastAsia="en-NZ"/>
        </w:rPr>
        <w:t xml:space="preserve"> </w:t>
      </w:r>
      <w:r w:rsidR="00AA4FEC">
        <w:rPr>
          <w:lang w:eastAsia="en-NZ"/>
        </w:rPr>
        <w:t>body</w:t>
      </w:r>
      <w:r w:rsidR="003D640C">
        <w:rPr>
          <w:lang w:eastAsia="en-NZ"/>
        </w:rPr>
        <w:t xml:space="preserve"> </w:t>
      </w:r>
      <w:r w:rsidR="00AA4FEC">
        <w:rPr>
          <w:lang w:eastAsia="en-NZ"/>
        </w:rPr>
        <w:t>presentation.</w:t>
      </w:r>
      <w:r w:rsidR="00D60C78">
        <w:rPr>
          <w:rStyle w:val="FootnoteReference"/>
          <w:rFonts w:ascii="Calibri" w:eastAsia="Times New Roman" w:hAnsi="Calibri" w:cs="Calibri"/>
          <w:lang w:eastAsia="en-NZ"/>
        </w:rPr>
        <w:footnoteReference w:id="234"/>
      </w:r>
      <w:r w:rsidR="003D640C">
        <w:rPr>
          <w:lang w:eastAsia="en-NZ"/>
        </w:rPr>
        <w:t xml:space="preserve"> </w:t>
      </w:r>
      <w:r w:rsidR="002C6B0F">
        <w:rPr>
          <w:lang w:eastAsia="en-NZ"/>
        </w:rPr>
        <w:t>Gender</w:t>
      </w:r>
      <w:r w:rsidR="00DD1687">
        <w:rPr>
          <w:lang w:eastAsia="en-NZ"/>
        </w:rPr>
        <w:t xml:space="preserve"> </w:t>
      </w:r>
      <w:r w:rsidR="002C6B0F">
        <w:rPr>
          <w:lang w:eastAsia="en-NZ"/>
        </w:rPr>
        <w:t>affirmation</w:t>
      </w:r>
      <w:r w:rsidR="003D640C">
        <w:rPr>
          <w:lang w:eastAsia="en-NZ"/>
        </w:rPr>
        <w:t xml:space="preserve"> </w:t>
      </w:r>
      <w:r w:rsidR="002C6B0F">
        <w:rPr>
          <w:lang w:eastAsia="en-NZ"/>
        </w:rPr>
        <w:t>in</w:t>
      </w:r>
      <w:r w:rsidR="003D640C">
        <w:rPr>
          <w:lang w:eastAsia="en-NZ"/>
        </w:rPr>
        <w:t xml:space="preserve"> </w:t>
      </w:r>
      <w:r w:rsidR="002C6B0F">
        <w:rPr>
          <w:lang w:eastAsia="en-NZ"/>
        </w:rPr>
        <w:t>healthcare</w:t>
      </w:r>
      <w:r w:rsidR="003D640C">
        <w:rPr>
          <w:lang w:eastAsia="en-NZ"/>
        </w:rPr>
        <w:t xml:space="preserve"> </w:t>
      </w:r>
      <w:r w:rsidR="002C6B0F">
        <w:rPr>
          <w:lang w:eastAsia="en-NZ"/>
        </w:rPr>
        <w:t>settings</w:t>
      </w:r>
      <w:r w:rsidR="003D640C">
        <w:rPr>
          <w:lang w:eastAsia="en-NZ"/>
        </w:rPr>
        <w:t xml:space="preserve"> </w:t>
      </w:r>
      <w:r w:rsidR="002C6B0F">
        <w:rPr>
          <w:lang w:eastAsia="en-NZ"/>
        </w:rPr>
        <w:t>includes</w:t>
      </w:r>
      <w:r w:rsidR="003D640C">
        <w:rPr>
          <w:lang w:eastAsia="en-NZ"/>
        </w:rPr>
        <w:t xml:space="preserve"> </w:t>
      </w:r>
      <w:r w:rsidR="00F85FE1">
        <w:rPr>
          <w:lang w:eastAsia="en-NZ"/>
        </w:rPr>
        <w:t>gender-affirming</w:t>
      </w:r>
      <w:r w:rsidR="003D640C">
        <w:rPr>
          <w:lang w:eastAsia="en-NZ"/>
        </w:rPr>
        <w:t xml:space="preserve"> </w:t>
      </w:r>
      <w:r w:rsidR="00AB721C">
        <w:rPr>
          <w:lang w:eastAsia="en-NZ"/>
        </w:rPr>
        <w:t>care</w:t>
      </w:r>
      <w:r w:rsidR="009F0CA9">
        <w:rPr>
          <w:lang w:eastAsia="en-NZ"/>
        </w:rPr>
        <w:t>.</w:t>
      </w:r>
      <w:r w:rsidR="003D640C">
        <w:rPr>
          <w:lang w:eastAsia="en-NZ"/>
        </w:rPr>
        <w:t xml:space="preserve"> </w:t>
      </w:r>
      <w:r w:rsidR="00AB721C">
        <w:rPr>
          <w:lang w:eastAsia="en-NZ"/>
        </w:rPr>
        <w:t>However,</w:t>
      </w:r>
      <w:r w:rsidR="003D640C">
        <w:rPr>
          <w:lang w:eastAsia="en-NZ"/>
        </w:rPr>
        <w:t xml:space="preserve"> </w:t>
      </w:r>
      <w:r w:rsidR="00AB721C">
        <w:rPr>
          <w:lang w:eastAsia="en-NZ"/>
        </w:rPr>
        <w:t>it</w:t>
      </w:r>
      <w:r w:rsidR="003D640C">
        <w:rPr>
          <w:lang w:eastAsia="en-NZ"/>
        </w:rPr>
        <w:t xml:space="preserve"> </w:t>
      </w:r>
      <w:r w:rsidR="00AB721C">
        <w:rPr>
          <w:lang w:eastAsia="en-NZ"/>
        </w:rPr>
        <w:t>also</w:t>
      </w:r>
      <w:r w:rsidR="003D640C">
        <w:rPr>
          <w:lang w:eastAsia="en-NZ"/>
        </w:rPr>
        <w:t xml:space="preserve"> </w:t>
      </w:r>
      <w:r w:rsidR="00AB721C">
        <w:rPr>
          <w:lang w:eastAsia="en-NZ"/>
        </w:rPr>
        <w:t>includes</w:t>
      </w:r>
      <w:r w:rsidR="003D640C">
        <w:rPr>
          <w:lang w:eastAsia="en-NZ"/>
        </w:rPr>
        <w:t xml:space="preserve"> </w:t>
      </w:r>
      <w:r w:rsidR="00AB721C">
        <w:rPr>
          <w:lang w:eastAsia="en-NZ"/>
        </w:rPr>
        <w:t>access</w:t>
      </w:r>
      <w:r w:rsidR="003D640C">
        <w:rPr>
          <w:lang w:eastAsia="en-NZ"/>
        </w:rPr>
        <w:t xml:space="preserve"> </w:t>
      </w:r>
      <w:r w:rsidR="00AB721C">
        <w:rPr>
          <w:lang w:eastAsia="en-NZ"/>
        </w:rPr>
        <w:t>to</w:t>
      </w:r>
      <w:r w:rsidR="003D640C">
        <w:rPr>
          <w:lang w:eastAsia="en-NZ"/>
        </w:rPr>
        <w:t xml:space="preserve"> </w:t>
      </w:r>
      <w:r w:rsidR="00AB721C">
        <w:rPr>
          <w:lang w:eastAsia="en-NZ"/>
        </w:rPr>
        <w:t>healthcare</w:t>
      </w:r>
      <w:r w:rsidR="003D640C">
        <w:rPr>
          <w:lang w:eastAsia="en-NZ"/>
        </w:rPr>
        <w:t xml:space="preserve"> </w:t>
      </w:r>
      <w:r w:rsidR="00AB721C">
        <w:rPr>
          <w:lang w:eastAsia="en-NZ"/>
        </w:rPr>
        <w:t>without</w:t>
      </w:r>
      <w:r w:rsidR="003D640C">
        <w:rPr>
          <w:lang w:eastAsia="en-NZ"/>
        </w:rPr>
        <w:t xml:space="preserve"> </w:t>
      </w:r>
      <w:r w:rsidR="00AB721C">
        <w:rPr>
          <w:lang w:eastAsia="en-NZ"/>
        </w:rPr>
        <w:t>discrimination</w:t>
      </w:r>
      <w:r w:rsidR="005B7E2B">
        <w:rPr>
          <w:lang w:eastAsia="en-NZ"/>
        </w:rPr>
        <w:t>, f</w:t>
      </w:r>
      <w:r w:rsidR="00AB721C">
        <w:rPr>
          <w:lang w:eastAsia="en-NZ"/>
        </w:rPr>
        <w:t>o</w:t>
      </w:r>
      <w:r w:rsidR="009F0CA9">
        <w:rPr>
          <w:lang w:eastAsia="en-NZ"/>
        </w:rPr>
        <w:t>r</w:t>
      </w:r>
      <w:r w:rsidR="003D640C">
        <w:rPr>
          <w:lang w:eastAsia="en-NZ"/>
        </w:rPr>
        <w:t xml:space="preserve"> </w:t>
      </w:r>
      <w:r w:rsidR="009F0CA9">
        <w:rPr>
          <w:lang w:eastAsia="en-NZ"/>
        </w:rPr>
        <w:t>example,</w:t>
      </w:r>
      <w:r w:rsidR="003D640C">
        <w:rPr>
          <w:lang w:eastAsia="en-NZ"/>
        </w:rPr>
        <w:t xml:space="preserve"> </w:t>
      </w:r>
      <w:r w:rsidR="009F0CA9">
        <w:rPr>
          <w:lang w:eastAsia="en-NZ"/>
        </w:rPr>
        <w:t>access</w:t>
      </w:r>
      <w:r w:rsidR="003D640C">
        <w:rPr>
          <w:lang w:eastAsia="en-NZ"/>
        </w:rPr>
        <w:t xml:space="preserve"> </w:t>
      </w:r>
      <w:r w:rsidR="009F0CA9">
        <w:rPr>
          <w:lang w:eastAsia="en-NZ"/>
        </w:rPr>
        <w:t>to</w:t>
      </w:r>
      <w:r w:rsidR="003D640C">
        <w:rPr>
          <w:lang w:eastAsia="en-NZ"/>
        </w:rPr>
        <w:t xml:space="preserve"> </w:t>
      </w:r>
      <w:r w:rsidR="009F0CA9">
        <w:rPr>
          <w:lang w:eastAsia="en-NZ"/>
        </w:rPr>
        <w:t>a</w:t>
      </w:r>
      <w:r w:rsidR="003D640C">
        <w:rPr>
          <w:lang w:eastAsia="en-NZ"/>
        </w:rPr>
        <w:t xml:space="preserve"> </w:t>
      </w:r>
      <w:r w:rsidR="005B7E2B">
        <w:rPr>
          <w:lang w:eastAsia="en-NZ"/>
        </w:rPr>
        <w:t>g</w:t>
      </w:r>
      <w:r w:rsidR="009F0CA9">
        <w:rPr>
          <w:lang w:eastAsia="en-NZ"/>
        </w:rPr>
        <w:t>eneral</w:t>
      </w:r>
      <w:r w:rsidR="003D640C">
        <w:rPr>
          <w:lang w:eastAsia="en-NZ"/>
        </w:rPr>
        <w:t xml:space="preserve"> </w:t>
      </w:r>
      <w:r w:rsidR="005B7E2B">
        <w:rPr>
          <w:lang w:eastAsia="en-NZ"/>
        </w:rPr>
        <w:t>p</w:t>
      </w:r>
      <w:r w:rsidR="009F0CA9">
        <w:rPr>
          <w:lang w:eastAsia="en-NZ"/>
        </w:rPr>
        <w:t>ractitioner</w:t>
      </w:r>
      <w:r w:rsidR="003D640C">
        <w:rPr>
          <w:lang w:eastAsia="en-NZ"/>
        </w:rPr>
        <w:t xml:space="preserve"> </w:t>
      </w:r>
      <w:r w:rsidR="009F0CA9">
        <w:rPr>
          <w:lang w:eastAsia="en-NZ"/>
        </w:rPr>
        <w:t>who</w:t>
      </w:r>
      <w:r w:rsidR="003D640C">
        <w:rPr>
          <w:lang w:eastAsia="en-NZ"/>
        </w:rPr>
        <w:t xml:space="preserve"> </w:t>
      </w:r>
      <w:r w:rsidR="00C55313">
        <w:rPr>
          <w:lang w:eastAsia="en-NZ"/>
        </w:rPr>
        <w:t>addresses</w:t>
      </w:r>
      <w:r w:rsidR="003D640C">
        <w:rPr>
          <w:lang w:eastAsia="en-NZ"/>
        </w:rPr>
        <w:t xml:space="preserve"> </w:t>
      </w:r>
      <w:r w:rsidR="00C55313">
        <w:rPr>
          <w:lang w:eastAsia="en-NZ"/>
        </w:rPr>
        <w:t>health</w:t>
      </w:r>
      <w:r w:rsidR="003D640C">
        <w:rPr>
          <w:lang w:eastAsia="en-NZ"/>
        </w:rPr>
        <w:t xml:space="preserve"> </w:t>
      </w:r>
      <w:r w:rsidR="00C55313">
        <w:rPr>
          <w:lang w:eastAsia="en-NZ"/>
        </w:rPr>
        <w:t>issues</w:t>
      </w:r>
      <w:r w:rsidR="003D640C">
        <w:rPr>
          <w:lang w:eastAsia="en-NZ"/>
        </w:rPr>
        <w:t xml:space="preserve"> </w:t>
      </w:r>
      <w:r w:rsidR="00C55313">
        <w:rPr>
          <w:lang w:eastAsia="en-NZ"/>
        </w:rPr>
        <w:t>as</w:t>
      </w:r>
      <w:r w:rsidR="003D640C">
        <w:rPr>
          <w:lang w:eastAsia="en-NZ"/>
        </w:rPr>
        <w:t xml:space="preserve"> </w:t>
      </w:r>
      <w:r w:rsidR="00C55313">
        <w:rPr>
          <w:lang w:eastAsia="en-NZ"/>
        </w:rPr>
        <w:t>they</w:t>
      </w:r>
      <w:r w:rsidR="003D640C">
        <w:rPr>
          <w:lang w:eastAsia="en-NZ"/>
        </w:rPr>
        <w:t xml:space="preserve"> </w:t>
      </w:r>
      <w:r w:rsidR="00C55313">
        <w:rPr>
          <w:lang w:eastAsia="en-NZ"/>
        </w:rPr>
        <w:t>present</w:t>
      </w:r>
      <w:r w:rsidR="003D640C">
        <w:rPr>
          <w:lang w:eastAsia="en-NZ"/>
        </w:rPr>
        <w:t xml:space="preserve"> </w:t>
      </w:r>
      <w:r w:rsidR="00C55313">
        <w:rPr>
          <w:lang w:eastAsia="en-NZ"/>
        </w:rPr>
        <w:t>without</w:t>
      </w:r>
      <w:r w:rsidR="003D640C">
        <w:rPr>
          <w:lang w:eastAsia="en-NZ"/>
        </w:rPr>
        <w:t xml:space="preserve"> </w:t>
      </w:r>
      <w:r w:rsidR="001275E7">
        <w:rPr>
          <w:lang w:eastAsia="en-NZ"/>
        </w:rPr>
        <w:t>encouraging</w:t>
      </w:r>
      <w:r w:rsidR="003D640C">
        <w:rPr>
          <w:lang w:eastAsia="en-NZ"/>
        </w:rPr>
        <w:t xml:space="preserve"> </w:t>
      </w:r>
      <w:r w:rsidR="001275E7">
        <w:rPr>
          <w:lang w:eastAsia="en-NZ"/>
        </w:rPr>
        <w:t>a</w:t>
      </w:r>
      <w:r w:rsidR="003D640C">
        <w:rPr>
          <w:lang w:eastAsia="en-NZ"/>
        </w:rPr>
        <w:t xml:space="preserve"> </w:t>
      </w:r>
      <w:r w:rsidR="001275E7">
        <w:rPr>
          <w:lang w:eastAsia="en-NZ"/>
        </w:rPr>
        <w:t>person</w:t>
      </w:r>
      <w:r w:rsidR="003D640C">
        <w:rPr>
          <w:lang w:eastAsia="en-NZ"/>
        </w:rPr>
        <w:t xml:space="preserve"> </w:t>
      </w:r>
      <w:r w:rsidR="001275E7">
        <w:rPr>
          <w:lang w:eastAsia="en-NZ"/>
        </w:rPr>
        <w:t>to</w:t>
      </w:r>
      <w:r w:rsidR="003D640C">
        <w:rPr>
          <w:lang w:eastAsia="en-NZ"/>
        </w:rPr>
        <w:t xml:space="preserve"> </w:t>
      </w:r>
      <w:r w:rsidR="00AB721C">
        <w:rPr>
          <w:lang w:eastAsia="en-NZ"/>
        </w:rPr>
        <w:t>comply</w:t>
      </w:r>
      <w:r w:rsidR="003D640C">
        <w:rPr>
          <w:lang w:eastAsia="en-NZ"/>
        </w:rPr>
        <w:t xml:space="preserve"> </w:t>
      </w:r>
      <w:r w:rsidR="00AB721C">
        <w:rPr>
          <w:lang w:eastAsia="en-NZ"/>
        </w:rPr>
        <w:t>with</w:t>
      </w:r>
      <w:r w:rsidR="003D640C">
        <w:rPr>
          <w:lang w:eastAsia="en-NZ"/>
        </w:rPr>
        <w:t xml:space="preserve"> </w:t>
      </w:r>
      <w:r w:rsidR="00AB721C">
        <w:rPr>
          <w:lang w:eastAsia="en-NZ"/>
        </w:rPr>
        <w:t>the</w:t>
      </w:r>
      <w:r w:rsidR="003D640C">
        <w:rPr>
          <w:lang w:eastAsia="en-NZ"/>
        </w:rPr>
        <w:t xml:space="preserve"> </w:t>
      </w:r>
      <w:r w:rsidR="00AB721C">
        <w:rPr>
          <w:lang w:eastAsia="en-NZ"/>
        </w:rPr>
        <w:t>gender</w:t>
      </w:r>
      <w:r w:rsidR="003D640C">
        <w:rPr>
          <w:lang w:eastAsia="en-NZ"/>
        </w:rPr>
        <w:t xml:space="preserve"> </w:t>
      </w:r>
      <w:r w:rsidR="00AB721C">
        <w:rPr>
          <w:lang w:eastAsia="en-NZ"/>
        </w:rPr>
        <w:t>identity</w:t>
      </w:r>
      <w:r w:rsidR="003D640C">
        <w:rPr>
          <w:lang w:eastAsia="en-NZ"/>
        </w:rPr>
        <w:t xml:space="preserve"> </w:t>
      </w:r>
      <w:r w:rsidR="00AB721C">
        <w:rPr>
          <w:lang w:eastAsia="en-NZ"/>
        </w:rPr>
        <w:t>assigned</w:t>
      </w:r>
      <w:r w:rsidR="003D640C">
        <w:rPr>
          <w:lang w:eastAsia="en-NZ"/>
        </w:rPr>
        <w:t xml:space="preserve"> </w:t>
      </w:r>
      <w:r w:rsidR="00AB721C">
        <w:rPr>
          <w:lang w:eastAsia="en-NZ"/>
        </w:rPr>
        <w:t>at</w:t>
      </w:r>
      <w:r w:rsidR="003D640C">
        <w:rPr>
          <w:lang w:eastAsia="en-NZ"/>
        </w:rPr>
        <w:t xml:space="preserve"> </w:t>
      </w:r>
      <w:r w:rsidR="00AB721C">
        <w:rPr>
          <w:lang w:eastAsia="en-NZ"/>
        </w:rPr>
        <w:t>birth</w:t>
      </w:r>
      <w:r w:rsidR="00694CAE">
        <w:rPr>
          <w:lang w:eastAsia="en-NZ"/>
        </w:rPr>
        <w:t>.</w:t>
      </w:r>
      <w:r w:rsidR="003D640C">
        <w:rPr>
          <w:lang w:eastAsia="en-NZ"/>
        </w:rPr>
        <w:t xml:space="preserve"> </w:t>
      </w:r>
    </w:p>
    <w:p w14:paraId="47823E30" w14:textId="0DED7D01" w:rsidR="00D10DF5" w:rsidRPr="00BB6220" w:rsidRDefault="00300998" w:rsidP="002C6363">
      <w:pPr>
        <w:pStyle w:val="Heading3"/>
        <w:rPr>
          <w:rFonts w:ascii="Segoe UI" w:hAnsi="Segoe UI" w:cs="Segoe UI"/>
          <w:sz w:val="18"/>
          <w:szCs w:val="18"/>
        </w:rPr>
      </w:pPr>
      <w:bookmarkStart w:id="310" w:name="_Toc167780627"/>
      <w:bookmarkStart w:id="311" w:name="_Toc1962231903"/>
      <w:bookmarkStart w:id="312" w:name="_Toc174628687"/>
      <w:r w:rsidRPr="00BB6220">
        <w:t>D</w:t>
      </w:r>
      <w:r w:rsidR="002F6A57" w:rsidRPr="00BB6220">
        <w:t>ata</w:t>
      </w:r>
      <w:r w:rsidR="003D640C">
        <w:t xml:space="preserve"> </w:t>
      </w:r>
      <w:r w:rsidR="002F6A57" w:rsidRPr="00BB6220">
        <w:t>about</w:t>
      </w:r>
      <w:r w:rsidR="003D640C">
        <w:t xml:space="preserve"> </w:t>
      </w:r>
      <w:r w:rsidR="00D073F3">
        <w:t>gender</w:t>
      </w:r>
      <w:r w:rsidR="003D640C">
        <w:t xml:space="preserve"> </w:t>
      </w:r>
      <w:r w:rsidR="00D073F3">
        <w:t>identity-based</w:t>
      </w:r>
      <w:r w:rsidR="003D640C">
        <w:t xml:space="preserve"> </w:t>
      </w:r>
      <w:r w:rsidR="002F6A57" w:rsidRPr="00BB6220">
        <w:t>conversion</w:t>
      </w:r>
      <w:r w:rsidR="003D640C">
        <w:t xml:space="preserve"> </w:t>
      </w:r>
      <w:r w:rsidR="002F6A57" w:rsidRPr="00BB6220">
        <w:t>practices</w:t>
      </w:r>
      <w:bookmarkEnd w:id="310"/>
      <w:bookmarkEnd w:id="311"/>
      <w:bookmarkEnd w:id="312"/>
    </w:p>
    <w:p w14:paraId="14309EA1" w14:textId="31D5E235" w:rsidR="00501068" w:rsidRDefault="004F5CD0" w:rsidP="002E6693">
      <w:pPr>
        <w:rPr>
          <w:lang w:eastAsia="en-NZ"/>
        </w:rPr>
      </w:pPr>
      <w:r w:rsidRPr="00BD0800">
        <w:rPr>
          <w:lang w:eastAsia="en-NZ"/>
        </w:rPr>
        <w:t>There</w:t>
      </w:r>
      <w:r w:rsidR="003D640C">
        <w:rPr>
          <w:lang w:eastAsia="en-NZ"/>
        </w:rPr>
        <w:t xml:space="preserve"> </w:t>
      </w:r>
      <w:r w:rsidRPr="00BD0800">
        <w:rPr>
          <w:lang w:eastAsia="en-NZ"/>
        </w:rPr>
        <w:t>is</w:t>
      </w:r>
      <w:r w:rsidR="003D640C">
        <w:rPr>
          <w:lang w:eastAsia="en-NZ"/>
        </w:rPr>
        <w:t xml:space="preserve"> </w:t>
      </w:r>
      <w:r w:rsidRPr="00BD0800">
        <w:rPr>
          <w:lang w:eastAsia="en-NZ"/>
        </w:rPr>
        <w:t>a</w:t>
      </w:r>
      <w:r w:rsidR="003D640C">
        <w:rPr>
          <w:lang w:eastAsia="en-NZ"/>
        </w:rPr>
        <w:t xml:space="preserve"> </w:t>
      </w:r>
      <w:r w:rsidRPr="00BD0800">
        <w:rPr>
          <w:lang w:eastAsia="en-NZ"/>
        </w:rPr>
        <w:t>long</w:t>
      </w:r>
      <w:r w:rsidR="003D640C">
        <w:rPr>
          <w:lang w:eastAsia="en-NZ"/>
        </w:rPr>
        <w:t xml:space="preserve"> </w:t>
      </w:r>
      <w:r w:rsidRPr="00BD0800">
        <w:rPr>
          <w:lang w:eastAsia="en-NZ"/>
        </w:rPr>
        <w:t>history</w:t>
      </w:r>
      <w:r w:rsidR="003D640C">
        <w:rPr>
          <w:lang w:eastAsia="en-NZ"/>
        </w:rPr>
        <w:t xml:space="preserve"> </w:t>
      </w:r>
      <w:r w:rsidRPr="00BD0800">
        <w:rPr>
          <w:lang w:eastAsia="en-NZ"/>
        </w:rPr>
        <w:t>of</w:t>
      </w:r>
      <w:r w:rsidR="003D640C">
        <w:rPr>
          <w:lang w:eastAsia="en-NZ"/>
        </w:rPr>
        <w:t xml:space="preserve"> </w:t>
      </w:r>
      <w:r w:rsidRPr="00BD0800">
        <w:rPr>
          <w:lang w:eastAsia="en-NZ"/>
        </w:rPr>
        <w:t>conversion</w:t>
      </w:r>
      <w:r w:rsidR="003D640C">
        <w:rPr>
          <w:lang w:eastAsia="en-NZ"/>
        </w:rPr>
        <w:t xml:space="preserve"> </w:t>
      </w:r>
      <w:r w:rsidRPr="00BD0800">
        <w:rPr>
          <w:lang w:eastAsia="en-NZ"/>
        </w:rPr>
        <w:t>practices</w:t>
      </w:r>
      <w:r w:rsidR="003D640C">
        <w:rPr>
          <w:lang w:eastAsia="en-NZ"/>
        </w:rPr>
        <w:t xml:space="preserve"> </w:t>
      </w:r>
      <w:r>
        <w:rPr>
          <w:lang w:eastAsia="en-NZ"/>
        </w:rPr>
        <w:t>towards</w:t>
      </w:r>
      <w:r w:rsidR="003D640C">
        <w:rPr>
          <w:lang w:eastAsia="en-NZ"/>
        </w:rPr>
        <w:t xml:space="preserve"> </w:t>
      </w:r>
      <w:r w:rsidR="001C4C34">
        <w:rPr>
          <w:lang w:eastAsia="en-NZ"/>
        </w:rPr>
        <w:t>transgender</w:t>
      </w:r>
      <w:r w:rsidR="003D640C">
        <w:rPr>
          <w:lang w:eastAsia="en-NZ"/>
        </w:rPr>
        <w:t xml:space="preserve"> </w:t>
      </w:r>
      <w:r w:rsidR="001C4C34">
        <w:rPr>
          <w:lang w:eastAsia="en-NZ"/>
        </w:rPr>
        <w:t>people</w:t>
      </w:r>
      <w:r w:rsidR="003D640C">
        <w:rPr>
          <w:lang w:eastAsia="en-NZ"/>
        </w:rPr>
        <w:t xml:space="preserve"> </w:t>
      </w:r>
      <w:r w:rsidR="001C4C34">
        <w:rPr>
          <w:lang w:eastAsia="en-NZ"/>
        </w:rPr>
        <w:t>based</w:t>
      </w:r>
      <w:r w:rsidR="003D640C">
        <w:rPr>
          <w:lang w:eastAsia="en-NZ"/>
        </w:rPr>
        <w:t xml:space="preserve"> </w:t>
      </w:r>
      <w:r w:rsidR="001C4C34">
        <w:rPr>
          <w:lang w:eastAsia="en-NZ"/>
        </w:rPr>
        <w:t>on</w:t>
      </w:r>
      <w:r w:rsidR="003D640C">
        <w:rPr>
          <w:lang w:eastAsia="en-NZ"/>
        </w:rPr>
        <w:t xml:space="preserve"> </w:t>
      </w:r>
      <w:r>
        <w:rPr>
          <w:lang w:eastAsia="en-NZ"/>
        </w:rPr>
        <w:t>the</w:t>
      </w:r>
      <w:r w:rsidR="001C4C34">
        <w:rPr>
          <w:lang w:eastAsia="en-NZ"/>
        </w:rPr>
        <w:t>ir</w:t>
      </w:r>
      <w:r w:rsidR="003D640C">
        <w:rPr>
          <w:lang w:eastAsia="en-NZ"/>
        </w:rPr>
        <w:t xml:space="preserve"> </w:t>
      </w:r>
      <w:r>
        <w:rPr>
          <w:lang w:eastAsia="en-NZ"/>
        </w:rPr>
        <w:t>gender</w:t>
      </w:r>
      <w:r w:rsidR="003D640C">
        <w:rPr>
          <w:lang w:eastAsia="en-NZ"/>
        </w:rPr>
        <w:t xml:space="preserve"> </w:t>
      </w:r>
      <w:r>
        <w:rPr>
          <w:lang w:eastAsia="en-NZ"/>
        </w:rPr>
        <w:t>identity</w:t>
      </w:r>
      <w:r w:rsidR="003D640C">
        <w:rPr>
          <w:lang w:eastAsia="en-NZ"/>
        </w:rPr>
        <w:t xml:space="preserve"> </w:t>
      </w:r>
      <w:r>
        <w:rPr>
          <w:lang w:eastAsia="en-NZ"/>
        </w:rPr>
        <w:t>and</w:t>
      </w:r>
      <w:r w:rsidR="003D640C">
        <w:rPr>
          <w:lang w:eastAsia="en-NZ"/>
        </w:rPr>
        <w:t xml:space="preserve"> </w:t>
      </w:r>
      <w:r>
        <w:rPr>
          <w:lang w:eastAsia="en-NZ"/>
        </w:rPr>
        <w:t>expression.</w:t>
      </w:r>
      <w:r w:rsidRPr="00BB6220">
        <w:rPr>
          <w:rStyle w:val="FootnoteReference"/>
          <w:rFonts w:ascii="Calibri" w:eastAsia="Times New Roman" w:hAnsi="Calibri" w:cs="Calibri"/>
          <w:lang w:eastAsia="en-NZ"/>
        </w:rPr>
        <w:footnoteReference w:id="235"/>
      </w:r>
      <w:r w:rsidR="003D640C">
        <w:rPr>
          <w:lang w:eastAsia="en-NZ"/>
        </w:rPr>
        <w:t xml:space="preserve"> </w:t>
      </w:r>
      <w:r>
        <w:rPr>
          <w:lang w:eastAsia="en-NZ"/>
        </w:rPr>
        <w:t>Gender</w:t>
      </w:r>
      <w:r w:rsidR="003D640C">
        <w:rPr>
          <w:lang w:eastAsia="en-NZ"/>
        </w:rPr>
        <w:t xml:space="preserve"> </w:t>
      </w:r>
      <w:r>
        <w:rPr>
          <w:lang w:eastAsia="en-NZ"/>
        </w:rPr>
        <w:t>identity-based</w:t>
      </w:r>
      <w:r w:rsidR="003D640C">
        <w:rPr>
          <w:lang w:eastAsia="en-NZ"/>
        </w:rPr>
        <w:t xml:space="preserve"> </w:t>
      </w:r>
      <w:r>
        <w:rPr>
          <w:lang w:eastAsia="en-NZ"/>
        </w:rPr>
        <w:t>conversion</w:t>
      </w:r>
      <w:r w:rsidR="003D640C">
        <w:rPr>
          <w:lang w:eastAsia="en-NZ"/>
        </w:rPr>
        <w:t xml:space="preserve"> </w:t>
      </w:r>
      <w:r>
        <w:rPr>
          <w:lang w:eastAsia="en-NZ"/>
        </w:rPr>
        <w:t>practices</w:t>
      </w:r>
      <w:r w:rsidR="003D640C">
        <w:rPr>
          <w:lang w:eastAsia="en-NZ"/>
        </w:rPr>
        <w:t xml:space="preserve"> </w:t>
      </w:r>
      <w:r>
        <w:rPr>
          <w:lang w:eastAsia="en-NZ"/>
        </w:rPr>
        <w:t>are</w:t>
      </w:r>
      <w:r w:rsidR="003D640C">
        <w:rPr>
          <w:lang w:eastAsia="en-NZ"/>
        </w:rPr>
        <w:t xml:space="preserve"> </w:t>
      </w:r>
      <w:r>
        <w:rPr>
          <w:lang w:eastAsia="en-NZ"/>
        </w:rPr>
        <w:t>based</w:t>
      </w:r>
      <w:r w:rsidR="003D640C">
        <w:rPr>
          <w:lang w:eastAsia="en-NZ"/>
        </w:rPr>
        <w:t xml:space="preserve"> </w:t>
      </w:r>
      <w:r>
        <w:rPr>
          <w:lang w:eastAsia="en-NZ"/>
        </w:rPr>
        <w:t>on</w:t>
      </w:r>
      <w:r w:rsidR="003D640C">
        <w:rPr>
          <w:lang w:eastAsia="en-NZ"/>
        </w:rPr>
        <w:t xml:space="preserve"> </w:t>
      </w:r>
      <w:r>
        <w:rPr>
          <w:lang w:eastAsia="en-NZ"/>
        </w:rPr>
        <w:t>the</w:t>
      </w:r>
      <w:r w:rsidR="003D640C">
        <w:rPr>
          <w:lang w:eastAsia="en-NZ"/>
        </w:rPr>
        <w:t xml:space="preserve"> </w:t>
      </w:r>
      <w:r>
        <w:rPr>
          <w:lang w:eastAsia="en-NZ"/>
        </w:rPr>
        <w:t>transphobic</w:t>
      </w:r>
      <w:r w:rsidR="003D640C">
        <w:rPr>
          <w:lang w:eastAsia="en-NZ"/>
        </w:rPr>
        <w:t xml:space="preserve"> </w:t>
      </w:r>
      <w:r>
        <w:rPr>
          <w:lang w:eastAsia="en-NZ"/>
        </w:rPr>
        <w:t>assumption</w:t>
      </w:r>
      <w:r w:rsidR="003D640C">
        <w:rPr>
          <w:lang w:eastAsia="en-NZ"/>
        </w:rPr>
        <w:t xml:space="preserve"> </w:t>
      </w:r>
      <w:r>
        <w:rPr>
          <w:lang w:eastAsia="en-NZ"/>
        </w:rPr>
        <w:t>that</w:t>
      </w:r>
      <w:r w:rsidR="003D640C">
        <w:rPr>
          <w:lang w:eastAsia="en-NZ"/>
        </w:rPr>
        <w:t xml:space="preserve"> </w:t>
      </w:r>
      <w:r>
        <w:rPr>
          <w:lang w:eastAsia="en-NZ"/>
        </w:rPr>
        <w:t>being</w:t>
      </w:r>
      <w:r w:rsidR="003D640C">
        <w:rPr>
          <w:lang w:eastAsia="en-NZ"/>
        </w:rPr>
        <w:t xml:space="preserve"> </w:t>
      </w:r>
      <w:r>
        <w:rPr>
          <w:lang w:eastAsia="en-NZ"/>
        </w:rPr>
        <w:t>trans</w:t>
      </w:r>
      <w:r w:rsidR="003D640C">
        <w:rPr>
          <w:lang w:eastAsia="en-NZ"/>
        </w:rPr>
        <w:t xml:space="preserve"> </w:t>
      </w:r>
      <w:r>
        <w:rPr>
          <w:lang w:eastAsia="en-NZ"/>
        </w:rPr>
        <w:t>is</w:t>
      </w:r>
      <w:r w:rsidR="003D640C">
        <w:rPr>
          <w:lang w:eastAsia="en-NZ"/>
        </w:rPr>
        <w:t xml:space="preserve"> </w:t>
      </w:r>
      <w:r>
        <w:rPr>
          <w:lang w:eastAsia="en-NZ"/>
        </w:rPr>
        <w:t>undesirable</w:t>
      </w:r>
      <w:r w:rsidR="003D640C">
        <w:rPr>
          <w:lang w:eastAsia="en-NZ"/>
        </w:rPr>
        <w:t xml:space="preserve"> </w:t>
      </w:r>
      <w:r>
        <w:rPr>
          <w:lang w:eastAsia="en-NZ"/>
        </w:rPr>
        <w:t>or</w:t>
      </w:r>
      <w:r w:rsidR="003D640C">
        <w:rPr>
          <w:lang w:eastAsia="en-NZ"/>
        </w:rPr>
        <w:t xml:space="preserve"> </w:t>
      </w:r>
      <w:r>
        <w:rPr>
          <w:lang w:eastAsia="en-NZ"/>
        </w:rPr>
        <w:t>wrong</w:t>
      </w:r>
      <w:r w:rsidR="003D640C">
        <w:rPr>
          <w:lang w:eastAsia="en-NZ"/>
        </w:rPr>
        <w:t xml:space="preserve"> </w:t>
      </w:r>
      <w:r w:rsidR="00F22784">
        <w:rPr>
          <w:lang w:eastAsia="en-NZ"/>
        </w:rPr>
        <w:t>and</w:t>
      </w:r>
      <w:r w:rsidR="003D640C">
        <w:rPr>
          <w:lang w:eastAsia="en-NZ"/>
        </w:rPr>
        <w:t xml:space="preserve"> </w:t>
      </w:r>
      <w:r w:rsidR="00F22784">
        <w:rPr>
          <w:lang w:eastAsia="en-NZ"/>
        </w:rPr>
        <w:t>that</w:t>
      </w:r>
      <w:r w:rsidR="003D640C">
        <w:rPr>
          <w:lang w:eastAsia="en-NZ"/>
        </w:rPr>
        <w:t xml:space="preserve"> </w:t>
      </w:r>
      <w:r w:rsidR="00F22784">
        <w:rPr>
          <w:lang w:eastAsia="en-NZ"/>
        </w:rPr>
        <w:t>gender</w:t>
      </w:r>
      <w:r w:rsidR="003D640C">
        <w:rPr>
          <w:lang w:eastAsia="en-NZ"/>
        </w:rPr>
        <w:t xml:space="preserve"> </w:t>
      </w:r>
      <w:r w:rsidR="0018675D">
        <w:rPr>
          <w:lang w:eastAsia="en-NZ"/>
        </w:rPr>
        <w:t>is</w:t>
      </w:r>
      <w:r w:rsidR="003D640C">
        <w:rPr>
          <w:lang w:eastAsia="en-NZ"/>
        </w:rPr>
        <w:t xml:space="preserve"> </w:t>
      </w:r>
      <w:r w:rsidR="00F22784">
        <w:rPr>
          <w:lang w:eastAsia="en-NZ"/>
        </w:rPr>
        <w:t>binary.</w:t>
      </w:r>
      <w:r>
        <w:rPr>
          <w:rStyle w:val="FootnoteReference"/>
          <w:rFonts w:ascii="Calibri" w:eastAsia="Times New Roman" w:hAnsi="Calibri" w:cs="Calibri"/>
          <w:lang w:eastAsia="en-NZ"/>
        </w:rPr>
        <w:footnoteReference w:id="236"/>
      </w:r>
      <w:r w:rsidR="003D640C">
        <w:rPr>
          <w:lang w:eastAsia="en-NZ"/>
        </w:rPr>
        <w:t xml:space="preserve"> </w:t>
      </w:r>
      <w:r w:rsidR="00B82190">
        <w:rPr>
          <w:lang w:eastAsia="en-NZ"/>
        </w:rPr>
        <w:t>Although</w:t>
      </w:r>
      <w:r w:rsidR="003D640C">
        <w:rPr>
          <w:lang w:eastAsia="en-NZ"/>
        </w:rPr>
        <w:t xml:space="preserve"> </w:t>
      </w:r>
      <w:r w:rsidR="00B82190">
        <w:rPr>
          <w:lang w:eastAsia="en-NZ"/>
        </w:rPr>
        <w:t>there</w:t>
      </w:r>
      <w:r w:rsidR="003D640C">
        <w:rPr>
          <w:lang w:eastAsia="en-NZ"/>
        </w:rPr>
        <w:t xml:space="preserve"> </w:t>
      </w:r>
      <w:r w:rsidR="00B82190">
        <w:rPr>
          <w:lang w:eastAsia="en-NZ"/>
        </w:rPr>
        <w:t>are</w:t>
      </w:r>
      <w:r w:rsidR="003D640C">
        <w:rPr>
          <w:lang w:eastAsia="en-NZ"/>
        </w:rPr>
        <w:t xml:space="preserve"> </w:t>
      </w:r>
      <w:r w:rsidR="00B82190">
        <w:rPr>
          <w:lang w:eastAsia="en-NZ"/>
        </w:rPr>
        <w:t>limited</w:t>
      </w:r>
      <w:r w:rsidR="003D640C">
        <w:rPr>
          <w:lang w:eastAsia="en-NZ"/>
        </w:rPr>
        <w:t xml:space="preserve"> </w:t>
      </w:r>
      <w:r w:rsidR="00174F5D">
        <w:rPr>
          <w:lang w:eastAsia="en-NZ"/>
        </w:rPr>
        <w:t>New</w:t>
      </w:r>
      <w:r w:rsidR="003D640C">
        <w:rPr>
          <w:lang w:eastAsia="en-NZ"/>
        </w:rPr>
        <w:t xml:space="preserve"> </w:t>
      </w:r>
      <w:r w:rsidR="00174F5D">
        <w:rPr>
          <w:lang w:eastAsia="en-NZ"/>
        </w:rPr>
        <w:t>Zealand</w:t>
      </w:r>
      <w:r w:rsidR="003D640C">
        <w:rPr>
          <w:lang w:eastAsia="en-NZ"/>
        </w:rPr>
        <w:t xml:space="preserve"> </w:t>
      </w:r>
      <w:r w:rsidR="00174F5D">
        <w:rPr>
          <w:lang w:eastAsia="en-NZ"/>
        </w:rPr>
        <w:t>data</w:t>
      </w:r>
      <w:r w:rsidR="003D640C">
        <w:rPr>
          <w:lang w:eastAsia="en-NZ"/>
        </w:rPr>
        <w:t xml:space="preserve"> </w:t>
      </w:r>
      <w:r w:rsidR="00B82190">
        <w:rPr>
          <w:lang w:eastAsia="en-NZ"/>
        </w:rPr>
        <w:t>available</w:t>
      </w:r>
      <w:r w:rsidR="003D640C">
        <w:rPr>
          <w:lang w:eastAsia="en-NZ"/>
        </w:rPr>
        <w:t xml:space="preserve"> </w:t>
      </w:r>
      <w:r w:rsidR="00D2671A">
        <w:rPr>
          <w:lang w:eastAsia="en-NZ"/>
        </w:rPr>
        <w:t>about</w:t>
      </w:r>
      <w:r w:rsidR="003D640C">
        <w:rPr>
          <w:lang w:eastAsia="en-NZ"/>
        </w:rPr>
        <w:t xml:space="preserve"> </w:t>
      </w:r>
      <w:r w:rsidR="004A3C17">
        <w:rPr>
          <w:lang w:eastAsia="en-NZ"/>
        </w:rPr>
        <w:t>gender</w:t>
      </w:r>
      <w:r w:rsidR="003D640C">
        <w:rPr>
          <w:lang w:eastAsia="en-NZ"/>
        </w:rPr>
        <w:t xml:space="preserve"> </w:t>
      </w:r>
      <w:r w:rsidR="004A3C17">
        <w:rPr>
          <w:lang w:eastAsia="en-NZ"/>
        </w:rPr>
        <w:t>identity</w:t>
      </w:r>
      <w:r w:rsidR="000708C5">
        <w:rPr>
          <w:lang w:eastAsia="en-NZ"/>
        </w:rPr>
        <w:t>-based</w:t>
      </w:r>
      <w:r w:rsidR="003D640C">
        <w:rPr>
          <w:lang w:eastAsia="en-NZ"/>
        </w:rPr>
        <w:t xml:space="preserve"> </w:t>
      </w:r>
      <w:r w:rsidR="006358F4">
        <w:rPr>
          <w:lang w:eastAsia="en-NZ"/>
        </w:rPr>
        <w:t>conversion</w:t>
      </w:r>
      <w:r w:rsidR="003D640C">
        <w:rPr>
          <w:lang w:eastAsia="en-NZ"/>
        </w:rPr>
        <w:t xml:space="preserve"> </w:t>
      </w:r>
      <w:r w:rsidR="006358F4">
        <w:rPr>
          <w:lang w:eastAsia="en-NZ"/>
        </w:rPr>
        <w:t>practice</w:t>
      </w:r>
      <w:r w:rsidR="000708C5">
        <w:rPr>
          <w:lang w:eastAsia="en-NZ"/>
        </w:rPr>
        <w:t>s</w:t>
      </w:r>
      <w:r w:rsidR="00B82190">
        <w:rPr>
          <w:lang w:eastAsia="en-NZ"/>
        </w:rPr>
        <w:t>,</w:t>
      </w:r>
      <w:r w:rsidR="003D640C">
        <w:rPr>
          <w:lang w:eastAsia="en-NZ"/>
        </w:rPr>
        <w:t xml:space="preserve"> </w:t>
      </w:r>
      <w:r w:rsidR="00B8260D">
        <w:rPr>
          <w:lang w:eastAsia="en-NZ"/>
        </w:rPr>
        <w:t>recent</w:t>
      </w:r>
      <w:r w:rsidR="003D640C">
        <w:rPr>
          <w:lang w:eastAsia="en-NZ"/>
        </w:rPr>
        <w:t xml:space="preserve"> </w:t>
      </w:r>
      <w:r w:rsidR="00150425">
        <w:rPr>
          <w:lang w:eastAsia="en-NZ"/>
        </w:rPr>
        <w:lastRenderedPageBreak/>
        <w:t>c</w:t>
      </w:r>
      <w:r w:rsidR="00973CB1">
        <w:rPr>
          <w:lang w:eastAsia="en-NZ"/>
        </w:rPr>
        <w:t>ommunity</w:t>
      </w:r>
      <w:r w:rsidR="003D640C">
        <w:rPr>
          <w:lang w:eastAsia="en-NZ"/>
        </w:rPr>
        <w:t xml:space="preserve"> </w:t>
      </w:r>
      <w:r w:rsidR="00973CB1">
        <w:rPr>
          <w:lang w:eastAsia="en-NZ"/>
        </w:rPr>
        <w:t>surveys</w:t>
      </w:r>
      <w:r w:rsidR="003D640C">
        <w:rPr>
          <w:lang w:eastAsia="en-NZ"/>
        </w:rPr>
        <w:t xml:space="preserve"> </w:t>
      </w:r>
      <w:r w:rsidR="00150425">
        <w:rPr>
          <w:lang w:eastAsia="en-NZ"/>
        </w:rPr>
        <w:t>with</w:t>
      </w:r>
      <w:r w:rsidR="003D640C">
        <w:rPr>
          <w:lang w:eastAsia="en-NZ"/>
        </w:rPr>
        <w:t xml:space="preserve"> </w:t>
      </w:r>
      <w:r w:rsidR="00150425">
        <w:rPr>
          <w:lang w:eastAsia="en-NZ"/>
        </w:rPr>
        <w:t>transgender</w:t>
      </w:r>
      <w:r w:rsidR="003D640C">
        <w:rPr>
          <w:lang w:eastAsia="en-NZ"/>
        </w:rPr>
        <w:t xml:space="preserve"> </w:t>
      </w:r>
      <w:r w:rsidR="00150425">
        <w:rPr>
          <w:lang w:eastAsia="en-NZ"/>
        </w:rPr>
        <w:t>participants</w:t>
      </w:r>
      <w:r w:rsidR="003D640C">
        <w:rPr>
          <w:lang w:eastAsia="en-NZ"/>
        </w:rPr>
        <w:t xml:space="preserve"> </w:t>
      </w:r>
      <w:r w:rsidR="00884492">
        <w:rPr>
          <w:lang w:eastAsia="en-NZ"/>
        </w:rPr>
        <w:t>have</w:t>
      </w:r>
      <w:r w:rsidR="003D640C">
        <w:rPr>
          <w:lang w:eastAsia="en-NZ"/>
        </w:rPr>
        <w:t xml:space="preserve"> </w:t>
      </w:r>
      <w:r w:rsidR="00884492">
        <w:rPr>
          <w:lang w:eastAsia="en-NZ"/>
        </w:rPr>
        <w:t>included</w:t>
      </w:r>
      <w:r w:rsidR="003D640C">
        <w:rPr>
          <w:lang w:eastAsia="en-NZ"/>
        </w:rPr>
        <w:t xml:space="preserve"> </w:t>
      </w:r>
      <w:r w:rsidR="0000330B">
        <w:rPr>
          <w:lang w:eastAsia="en-NZ"/>
        </w:rPr>
        <w:t>relevant</w:t>
      </w:r>
      <w:r w:rsidR="003D640C">
        <w:rPr>
          <w:lang w:eastAsia="en-NZ"/>
        </w:rPr>
        <w:t xml:space="preserve"> </w:t>
      </w:r>
      <w:r w:rsidR="00884492">
        <w:rPr>
          <w:lang w:eastAsia="en-NZ"/>
        </w:rPr>
        <w:t>questions</w:t>
      </w:r>
      <w:r w:rsidR="00E957B4">
        <w:rPr>
          <w:lang w:eastAsia="en-NZ"/>
        </w:rPr>
        <w:t>.</w:t>
      </w:r>
      <w:r w:rsidR="002033B7">
        <w:rPr>
          <w:rStyle w:val="FootnoteReference"/>
          <w:rFonts w:ascii="Calibri" w:eastAsia="Times New Roman" w:hAnsi="Calibri" w:cs="Calibri"/>
          <w:lang w:eastAsia="en-NZ"/>
        </w:rPr>
        <w:footnoteReference w:id="237"/>
      </w:r>
      <w:r w:rsidR="00DC2BA7">
        <w:rPr>
          <w:lang w:eastAsia="en-NZ"/>
        </w:rPr>
        <w:t xml:space="preserve"> </w:t>
      </w:r>
      <w:r w:rsidR="003A0B91">
        <w:rPr>
          <w:lang w:eastAsia="en-NZ"/>
        </w:rPr>
        <w:t>T</w:t>
      </w:r>
      <w:r w:rsidR="00DC2BA7">
        <w:rPr>
          <w:lang w:eastAsia="en-NZ"/>
        </w:rPr>
        <w:t xml:space="preserve">here are </w:t>
      </w:r>
      <w:r w:rsidR="000A1FAF">
        <w:rPr>
          <w:lang w:eastAsia="en-NZ"/>
        </w:rPr>
        <w:t xml:space="preserve">various </w:t>
      </w:r>
      <w:r w:rsidR="00DC2BA7">
        <w:rPr>
          <w:lang w:eastAsia="en-NZ"/>
        </w:rPr>
        <w:t xml:space="preserve">data available about </w:t>
      </w:r>
      <w:r w:rsidR="00116786">
        <w:rPr>
          <w:lang w:eastAsia="en-NZ"/>
        </w:rPr>
        <w:t xml:space="preserve">trans </w:t>
      </w:r>
      <w:r w:rsidR="006563BF">
        <w:rPr>
          <w:lang w:eastAsia="en-NZ"/>
        </w:rPr>
        <w:t xml:space="preserve">and non-binary </w:t>
      </w:r>
      <w:r w:rsidR="00116786">
        <w:rPr>
          <w:lang w:eastAsia="en-NZ"/>
        </w:rPr>
        <w:t xml:space="preserve">people’s </w:t>
      </w:r>
      <w:r w:rsidR="003B4262">
        <w:rPr>
          <w:lang w:eastAsia="en-NZ"/>
        </w:rPr>
        <w:t xml:space="preserve">non-affirming </w:t>
      </w:r>
      <w:r w:rsidR="00116786">
        <w:rPr>
          <w:lang w:eastAsia="en-NZ"/>
        </w:rPr>
        <w:t xml:space="preserve">experiences </w:t>
      </w:r>
      <w:r w:rsidR="000A1FAF">
        <w:rPr>
          <w:lang w:eastAsia="en-NZ"/>
        </w:rPr>
        <w:t>in New Zealand</w:t>
      </w:r>
      <w:r w:rsidR="003A0B91">
        <w:rPr>
          <w:lang w:eastAsia="en-NZ"/>
        </w:rPr>
        <w:t>.</w:t>
      </w:r>
      <w:r w:rsidR="00EC3364">
        <w:rPr>
          <w:rStyle w:val="FootnoteReference"/>
          <w:lang w:eastAsia="en-NZ"/>
        </w:rPr>
        <w:footnoteReference w:id="238"/>
      </w:r>
    </w:p>
    <w:p w14:paraId="15628109" w14:textId="19573734" w:rsidR="00B37129" w:rsidRDefault="00D10DF5" w:rsidP="002E6693">
      <w:pPr>
        <w:rPr>
          <w:lang w:eastAsia="en-NZ"/>
        </w:rPr>
      </w:pPr>
      <w:r w:rsidRPr="00BB6220">
        <w:rPr>
          <w:lang w:eastAsia="en-NZ"/>
        </w:rPr>
        <w:t>One</w:t>
      </w:r>
      <w:r w:rsidR="003D640C">
        <w:rPr>
          <w:lang w:eastAsia="en-NZ"/>
        </w:rPr>
        <w:t xml:space="preserve"> </w:t>
      </w:r>
      <w:r w:rsidRPr="00BB6220">
        <w:rPr>
          <w:lang w:eastAsia="en-NZ"/>
        </w:rPr>
        <w:t>large</w:t>
      </w:r>
      <w:r w:rsidR="005B7E2B">
        <w:rPr>
          <w:lang w:eastAsia="en-NZ"/>
        </w:rPr>
        <w:t xml:space="preserve"> </w:t>
      </w:r>
      <w:r w:rsidRPr="00BB6220">
        <w:rPr>
          <w:lang w:eastAsia="en-NZ"/>
        </w:rPr>
        <w:t>study</w:t>
      </w:r>
      <w:r w:rsidR="003D640C">
        <w:rPr>
          <w:lang w:eastAsia="en-NZ"/>
        </w:rPr>
        <w:t xml:space="preserve"> </w:t>
      </w:r>
      <w:r w:rsidRPr="00BB6220">
        <w:rPr>
          <w:lang w:eastAsia="en-NZ"/>
        </w:rPr>
        <w:t>from</w:t>
      </w:r>
      <w:r w:rsidR="003D640C">
        <w:rPr>
          <w:lang w:eastAsia="en-NZ"/>
        </w:rPr>
        <w:t xml:space="preserve"> </w:t>
      </w:r>
      <w:r w:rsidRPr="00BB6220">
        <w:rPr>
          <w:lang w:eastAsia="en-NZ"/>
        </w:rPr>
        <w:t>Aotearoa</w:t>
      </w:r>
      <w:r w:rsidR="003D640C">
        <w:rPr>
          <w:lang w:eastAsia="en-NZ"/>
        </w:rPr>
        <w:t xml:space="preserve"> </w:t>
      </w:r>
      <w:r w:rsidRPr="00BB6220">
        <w:rPr>
          <w:lang w:eastAsia="en-NZ"/>
        </w:rPr>
        <w:t>showed</w:t>
      </w:r>
      <w:r w:rsidR="003D640C">
        <w:rPr>
          <w:lang w:eastAsia="en-NZ"/>
        </w:rPr>
        <w:t xml:space="preserve"> </w:t>
      </w:r>
      <w:r w:rsidRPr="00BB6220">
        <w:rPr>
          <w:lang w:eastAsia="en-NZ"/>
        </w:rPr>
        <w:t>almost</w:t>
      </w:r>
      <w:r w:rsidR="003D640C">
        <w:rPr>
          <w:lang w:eastAsia="en-NZ"/>
        </w:rPr>
        <w:t xml:space="preserve"> </w:t>
      </w:r>
      <w:r w:rsidRPr="00BB6220">
        <w:rPr>
          <w:lang w:eastAsia="en-NZ"/>
        </w:rPr>
        <w:t>20</w:t>
      </w:r>
      <w:r w:rsidR="001D1BF7">
        <w:rPr>
          <w:lang w:eastAsia="en-NZ"/>
        </w:rPr>
        <w:t xml:space="preserve"> percent</w:t>
      </w:r>
      <w:r w:rsidR="003D640C">
        <w:rPr>
          <w:lang w:eastAsia="en-NZ"/>
        </w:rPr>
        <w:t xml:space="preserve"> </w:t>
      </w:r>
      <w:r w:rsidRPr="00BB6220">
        <w:rPr>
          <w:lang w:eastAsia="en-NZ"/>
        </w:rPr>
        <w:t>of</w:t>
      </w:r>
      <w:r w:rsidR="003D640C">
        <w:rPr>
          <w:lang w:eastAsia="en-NZ"/>
        </w:rPr>
        <w:t xml:space="preserve"> </w:t>
      </w:r>
      <w:r w:rsidRPr="00BB6220">
        <w:rPr>
          <w:lang w:eastAsia="en-NZ"/>
        </w:rPr>
        <w:t>transgender</w:t>
      </w:r>
      <w:r w:rsidR="003D640C">
        <w:rPr>
          <w:lang w:eastAsia="en-NZ"/>
        </w:rPr>
        <w:t xml:space="preserve"> </w:t>
      </w:r>
      <w:r w:rsidRPr="00BB6220">
        <w:rPr>
          <w:lang w:eastAsia="en-NZ"/>
        </w:rPr>
        <w:t>and</w:t>
      </w:r>
      <w:r w:rsidR="003D640C">
        <w:rPr>
          <w:lang w:eastAsia="en-NZ"/>
        </w:rPr>
        <w:t xml:space="preserve"> </w:t>
      </w:r>
      <w:r w:rsidRPr="00BB6220">
        <w:rPr>
          <w:lang w:eastAsia="en-NZ"/>
        </w:rPr>
        <w:t>non-binary</w:t>
      </w:r>
      <w:r w:rsidR="003D640C">
        <w:rPr>
          <w:lang w:eastAsia="en-NZ"/>
        </w:rPr>
        <w:t xml:space="preserve"> </w:t>
      </w:r>
      <w:r w:rsidRPr="00BB6220">
        <w:rPr>
          <w:lang w:eastAsia="en-NZ"/>
        </w:rPr>
        <w:t>participants</w:t>
      </w:r>
      <w:r w:rsidR="003D640C">
        <w:rPr>
          <w:lang w:eastAsia="en-NZ"/>
        </w:rPr>
        <w:t xml:space="preserve"> </w:t>
      </w:r>
      <w:r w:rsidRPr="00BB6220">
        <w:rPr>
          <w:lang w:eastAsia="en-NZ"/>
        </w:rPr>
        <w:t>who</w:t>
      </w:r>
      <w:r w:rsidR="003D640C">
        <w:rPr>
          <w:lang w:eastAsia="en-NZ"/>
        </w:rPr>
        <w:t xml:space="preserve"> </w:t>
      </w:r>
      <w:r w:rsidRPr="00BB6220">
        <w:rPr>
          <w:lang w:eastAsia="en-NZ"/>
        </w:rPr>
        <w:t>had</w:t>
      </w:r>
      <w:r w:rsidR="003D640C">
        <w:rPr>
          <w:lang w:eastAsia="en-NZ"/>
        </w:rPr>
        <w:t xml:space="preserve"> </w:t>
      </w:r>
      <w:r w:rsidRPr="00BB6220">
        <w:rPr>
          <w:lang w:eastAsia="en-NZ"/>
        </w:rPr>
        <w:t>spoken</w:t>
      </w:r>
      <w:r w:rsidR="003D640C">
        <w:rPr>
          <w:lang w:eastAsia="en-NZ"/>
        </w:rPr>
        <w:t xml:space="preserve"> </w:t>
      </w:r>
      <w:r w:rsidRPr="00BB6220">
        <w:rPr>
          <w:lang w:eastAsia="en-NZ"/>
        </w:rPr>
        <w:t>to</w:t>
      </w:r>
      <w:r w:rsidR="003D640C">
        <w:rPr>
          <w:lang w:eastAsia="en-NZ"/>
        </w:rPr>
        <w:t xml:space="preserve"> </w:t>
      </w:r>
      <w:r w:rsidRPr="00BB6220">
        <w:rPr>
          <w:lang w:eastAsia="en-NZ"/>
        </w:rPr>
        <w:t>a</w:t>
      </w:r>
      <w:r w:rsidR="003D640C">
        <w:rPr>
          <w:lang w:eastAsia="en-NZ"/>
        </w:rPr>
        <w:t xml:space="preserve"> </w:t>
      </w:r>
      <w:r w:rsidRPr="00BB6220">
        <w:rPr>
          <w:lang w:eastAsia="en-NZ"/>
        </w:rPr>
        <w:t>health</w:t>
      </w:r>
      <w:r w:rsidR="003D640C">
        <w:rPr>
          <w:lang w:eastAsia="en-NZ"/>
        </w:rPr>
        <w:t xml:space="preserve"> </w:t>
      </w:r>
      <w:r w:rsidRPr="00BB6220">
        <w:rPr>
          <w:lang w:eastAsia="en-NZ"/>
        </w:rPr>
        <w:t>professional</w:t>
      </w:r>
      <w:r w:rsidR="003D640C">
        <w:rPr>
          <w:lang w:eastAsia="en-NZ"/>
        </w:rPr>
        <w:t xml:space="preserve"> </w:t>
      </w:r>
      <w:r w:rsidRPr="00BB6220">
        <w:rPr>
          <w:lang w:eastAsia="en-NZ"/>
        </w:rPr>
        <w:t>about</w:t>
      </w:r>
      <w:r w:rsidR="003D640C">
        <w:rPr>
          <w:lang w:eastAsia="en-NZ"/>
        </w:rPr>
        <w:t xml:space="preserve"> </w:t>
      </w:r>
      <w:r w:rsidRPr="00BB6220">
        <w:rPr>
          <w:lang w:eastAsia="en-NZ"/>
        </w:rPr>
        <w:t>their</w:t>
      </w:r>
      <w:r w:rsidR="003D640C">
        <w:rPr>
          <w:lang w:eastAsia="en-NZ"/>
        </w:rPr>
        <w:t xml:space="preserve"> </w:t>
      </w:r>
      <w:r w:rsidRPr="00BB6220">
        <w:rPr>
          <w:lang w:eastAsia="en-NZ"/>
        </w:rPr>
        <w:t>gender</w:t>
      </w:r>
      <w:r w:rsidR="003D640C">
        <w:rPr>
          <w:lang w:eastAsia="en-NZ"/>
        </w:rPr>
        <w:t xml:space="preserve"> </w:t>
      </w:r>
      <w:r w:rsidR="002A3021">
        <w:rPr>
          <w:lang w:eastAsia="en-NZ"/>
        </w:rPr>
        <w:t>reported</w:t>
      </w:r>
      <w:r w:rsidR="003D640C">
        <w:rPr>
          <w:lang w:eastAsia="en-NZ"/>
        </w:rPr>
        <w:t xml:space="preserve"> </w:t>
      </w:r>
      <w:r w:rsidR="002A3021">
        <w:rPr>
          <w:lang w:eastAsia="en-NZ"/>
        </w:rPr>
        <w:t>that</w:t>
      </w:r>
      <w:r w:rsidR="003D640C">
        <w:rPr>
          <w:lang w:eastAsia="en-NZ"/>
        </w:rPr>
        <w:t xml:space="preserve"> </w:t>
      </w:r>
      <w:r w:rsidR="002A3021">
        <w:rPr>
          <w:lang w:eastAsia="en-NZ"/>
        </w:rPr>
        <w:t>they</w:t>
      </w:r>
      <w:r w:rsidR="003D640C">
        <w:rPr>
          <w:lang w:eastAsia="en-NZ"/>
        </w:rPr>
        <w:t xml:space="preserve"> </w:t>
      </w:r>
      <w:r w:rsidR="002A3021">
        <w:rPr>
          <w:lang w:eastAsia="en-NZ"/>
        </w:rPr>
        <w:t>had</w:t>
      </w:r>
      <w:r w:rsidR="003D640C">
        <w:rPr>
          <w:lang w:eastAsia="en-NZ"/>
        </w:rPr>
        <w:t xml:space="preserve"> </w:t>
      </w:r>
      <w:r w:rsidR="002A3021">
        <w:rPr>
          <w:lang w:eastAsia="en-NZ"/>
        </w:rPr>
        <w:t>experienced</w:t>
      </w:r>
      <w:r w:rsidR="003D640C">
        <w:rPr>
          <w:lang w:eastAsia="en-NZ"/>
        </w:rPr>
        <w:t xml:space="preserve"> </w:t>
      </w:r>
      <w:r w:rsidR="002A3021">
        <w:rPr>
          <w:lang w:eastAsia="en-NZ"/>
        </w:rPr>
        <w:t>a</w:t>
      </w:r>
      <w:r w:rsidR="003D640C">
        <w:rPr>
          <w:lang w:eastAsia="en-NZ"/>
        </w:rPr>
        <w:t xml:space="preserve"> </w:t>
      </w:r>
      <w:r w:rsidR="002A3021">
        <w:rPr>
          <w:lang w:eastAsia="en-NZ"/>
        </w:rPr>
        <w:t>mental</w:t>
      </w:r>
      <w:r w:rsidR="003D640C">
        <w:rPr>
          <w:lang w:eastAsia="en-NZ"/>
        </w:rPr>
        <w:t xml:space="preserve"> </w:t>
      </w:r>
      <w:r w:rsidR="002A3021">
        <w:rPr>
          <w:lang w:eastAsia="en-NZ"/>
        </w:rPr>
        <w:t>health</w:t>
      </w:r>
      <w:r w:rsidR="003D640C">
        <w:rPr>
          <w:lang w:eastAsia="en-NZ"/>
        </w:rPr>
        <w:t xml:space="preserve"> </w:t>
      </w:r>
      <w:r w:rsidR="002A3021">
        <w:rPr>
          <w:lang w:eastAsia="en-NZ"/>
        </w:rPr>
        <w:t>professional</w:t>
      </w:r>
      <w:r w:rsidR="003D640C">
        <w:rPr>
          <w:lang w:eastAsia="en-NZ"/>
        </w:rPr>
        <w:t xml:space="preserve"> </w:t>
      </w:r>
      <w:r w:rsidR="0085003E">
        <w:rPr>
          <w:lang w:eastAsia="en-NZ"/>
        </w:rPr>
        <w:t>denying</w:t>
      </w:r>
      <w:r w:rsidR="003D640C">
        <w:rPr>
          <w:lang w:eastAsia="en-NZ"/>
        </w:rPr>
        <w:t xml:space="preserve"> </w:t>
      </w:r>
      <w:r w:rsidR="0085003E">
        <w:rPr>
          <w:lang w:eastAsia="en-NZ"/>
        </w:rPr>
        <w:t>their</w:t>
      </w:r>
      <w:r w:rsidR="003D640C">
        <w:rPr>
          <w:lang w:eastAsia="en-NZ"/>
        </w:rPr>
        <w:t xml:space="preserve"> </w:t>
      </w:r>
      <w:r w:rsidR="0085003E">
        <w:rPr>
          <w:lang w:eastAsia="en-NZ"/>
        </w:rPr>
        <w:t>trans</w:t>
      </w:r>
      <w:r w:rsidR="003D640C">
        <w:rPr>
          <w:lang w:eastAsia="en-NZ"/>
        </w:rPr>
        <w:t xml:space="preserve"> </w:t>
      </w:r>
      <w:r w:rsidR="0085003E">
        <w:rPr>
          <w:lang w:eastAsia="en-NZ"/>
        </w:rPr>
        <w:t>or</w:t>
      </w:r>
      <w:r w:rsidR="003D640C">
        <w:rPr>
          <w:lang w:eastAsia="en-NZ"/>
        </w:rPr>
        <w:t xml:space="preserve"> </w:t>
      </w:r>
      <w:r w:rsidR="0085003E">
        <w:rPr>
          <w:lang w:eastAsia="en-NZ"/>
        </w:rPr>
        <w:t>non-binary</w:t>
      </w:r>
      <w:r w:rsidR="003D640C">
        <w:rPr>
          <w:lang w:eastAsia="en-NZ"/>
        </w:rPr>
        <w:t xml:space="preserve"> </w:t>
      </w:r>
      <w:r w:rsidR="0085003E">
        <w:rPr>
          <w:lang w:eastAsia="en-NZ"/>
        </w:rPr>
        <w:t>identity.</w:t>
      </w:r>
      <w:r w:rsidR="003D640C">
        <w:rPr>
          <w:lang w:eastAsia="en-NZ"/>
        </w:rPr>
        <w:t xml:space="preserve"> </w:t>
      </w:r>
      <w:r w:rsidR="0085003E">
        <w:rPr>
          <w:lang w:eastAsia="en-NZ"/>
        </w:rPr>
        <w:t>This</w:t>
      </w:r>
      <w:r w:rsidR="003D640C">
        <w:rPr>
          <w:lang w:eastAsia="en-NZ"/>
        </w:rPr>
        <w:t xml:space="preserve"> </w:t>
      </w:r>
      <w:r w:rsidR="000A6ECA">
        <w:rPr>
          <w:lang w:eastAsia="en-NZ"/>
        </w:rPr>
        <w:t>often</w:t>
      </w:r>
      <w:r w:rsidR="003D640C">
        <w:rPr>
          <w:lang w:eastAsia="en-NZ"/>
        </w:rPr>
        <w:t xml:space="preserve"> </w:t>
      </w:r>
      <w:r w:rsidR="000A6ECA">
        <w:rPr>
          <w:lang w:eastAsia="en-NZ"/>
        </w:rPr>
        <w:t>involved</w:t>
      </w:r>
      <w:r w:rsidR="003D640C">
        <w:rPr>
          <w:lang w:eastAsia="en-NZ"/>
        </w:rPr>
        <w:t xml:space="preserve"> </w:t>
      </w:r>
      <w:r w:rsidR="000A6ECA">
        <w:rPr>
          <w:lang w:eastAsia="en-NZ"/>
        </w:rPr>
        <w:t>the</w:t>
      </w:r>
      <w:r w:rsidR="003D640C">
        <w:rPr>
          <w:lang w:eastAsia="en-NZ"/>
        </w:rPr>
        <w:t xml:space="preserve"> </w:t>
      </w:r>
      <w:r w:rsidR="000A6ECA">
        <w:rPr>
          <w:lang w:eastAsia="en-NZ"/>
        </w:rPr>
        <w:t>healthcare</w:t>
      </w:r>
      <w:r w:rsidR="003D640C">
        <w:rPr>
          <w:lang w:eastAsia="en-NZ"/>
        </w:rPr>
        <w:t xml:space="preserve"> </w:t>
      </w:r>
      <w:r w:rsidR="000A6ECA">
        <w:rPr>
          <w:lang w:eastAsia="en-NZ"/>
        </w:rPr>
        <w:t>professional</w:t>
      </w:r>
      <w:r w:rsidR="003D640C">
        <w:rPr>
          <w:lang w:eastAsia="en-NZ"/>
        </w:rPr>
        <w:t xml:space="preserve"> </w:t>
      </w:r>
      <w:r w:rsidR="00EC10B9">
        <w:rPr>
          <w:lang w:eastAsia="en-NZ"/>
        </w:rPr>
        <w:t>enforcing compliance with</w:t>
      </w:r>
      <w:r w:rsidR="003D640C">
        <w:rPr>
          <w:lang w:eastAsia="en-NZ"/>
        </w:rPr>
        <w:t xml:space="preserve"> </w:t>
      </w:r>
      <w:r w:rsidR="002A3021">
        <w:rPr>
          <w:lang w:eastAsia="en-NZ"/>
        </w:rPr>
        <w:t>sex</w:t>
      </w:r>
      <w:r w:rsidR="003D640C">
        <w:rPr>
          <w:lang w:eastAsia="en-NZ"/>
        </w:rPr>
        <w:t xml:space="preserve"> </w:t>
      </w:r>
      <w:r w:rsidR="002A3021">
        <w:rPr>
          <w:lang w:eastAsia="en-NZ"/>
        </w:rPr>
        <w:t>assigned</w:t>
      </w:r>
      <w:r w:rsidR="003D640C">
        <w:rPr>
          <w:lang w:eastAsia="en-NZ"/>
        </w:rPr>
        <w:t xml:space="preserve"> </w:t>
      </w:r>
      <w:r w:rsidR="002A3021">
        <w:rPr>
          <w:lang w:eastAsia="en-NZ"/>
        </w:rPr>
        <w:t>at</w:t>
      </w:r>
      <w:r w:rsidR="003D640C">
        <w:rPr>
          <w:lang w:eastAsia="en-NZ"/>
        </w:rPr>
        <w:t xml:space="preserve"> </w:t>
      </w:r>
      <w:r w:rsidR="002A3021">
        <w:rPr>
          <w:lang w:eastAsia="en-NZ"/>
        </w:rPr>
        <w:t>birth</w:t>
      </w:r>
      <w:r w:rsidR="00F65B7F">
        <w:rPr>
          <w:lang w:eastAsia="en-NZ"/>
        </w:rPr>
        <w:t>.</w:t>
      </w:r>
      <w:r w:rsidR="00BB4D17" w:rsidRPr="00BB6220">
        <w:rPr>
          <w:rStyle w:val="FootnoteReference"/>
          <w:rFonts w:ascii="Calibri" w:eastAsia="Times New Roman" w:hAnsi="Calibri" w:cs="Calibri"/>
          <w:lang w:eastAsia="en-NZ"/>
        </w:rPr>
        <w:footnoteReference w:id="239"/>
      </w:r>
      <w:r w:rsidR="003D640C">
        <w:rPr>
          <w:lang w:eastAsia="en-NZ"/>
        </w:rPr>
        <w:t xml:space="preserve"> </w:t>
      </w:r>
      <w:r w:rsidRPr="00BB6220">
        <w:rPr>
          <w:lang w:eastAsia="en-NZ"/>
        </w:rPr>
        <w:t>A</w:t>
      </w:r>
      <w:r w:rsidR="003D640C">
        <w:rPr>
          <w:lang w:eastAsia="en-NZ"/>
        </w:rPr>
        <w:t xml:space="preserve"> </w:t>
      </w:r>
      <w:r w:rsidRPr="00BB6220">
        <w:rPr>
          <w:lang w:eastAsia="en-NZ"/>
        </w:rPr>
        <w:t>further</w:t>
      </w:r>
      <w:r w:rsidR="003D640C">
        <w:rPr>
          <w:lang w:eastAsia="en-NZ"/>
        </w:rPr>
        <w:t xml:space="preserve"> </w:t>
      </w:r>
      <w:r w:rsidRPr="00BB6220">
        <w:rPr>
          <w:lang w:eastAsia="en-NZ"/>
        </w:rPr>
        <w:t>9</w:t>
      </w:r>
      <w:r w:rsidR="001D1BF7">
        <w:rPr>
          <w:lang w:eastAsia="en-NZ"/>
        </w:rPr>
        <w:t xml:space="preserve"> percent</w:t>
      </w:r>
      <w:r w:rsidR="003D640C">
        <w:rPr>
          <w:lang w:eastAsia="en-NZ"/>
        </w:rPr>
        <w:t xml:space="preserve"> </w:t>
      </w:r>
      <w:r w:rsidRPr="00BB6220">
        <w:rPr>
          <w:lang w:eastAsia="en-NZ"/>
        </w:rPr>
        <w:t>did</w:t>
      </w:r>
      <w:r w:rsidR="003D640C">
        <w:rPr>
          <w:lang w:eastAsia="en-NZ"/>
        </w:rPr>
        <w:t xml:space="preserve"> </w:t>
      </w:r>
      <w:r w:rsidRPr="00BB6220">
        <w:rPr>
          <w:lang w:eastAsia="en-NZ"/>
        </w:rPr>
        <w:t>n</w:t>
      </w:r>
      <w:r w:rsidR="007C272E" w:rsidRPr="00BB6220">
        <w:rPr>
          <w:lang w:eastAsia="en-NZ"/>
        </w:rPr>
        <w:t>o</w:t>
      </w:r>
      <w:r w:rsidRPr="00BB6220">
        <w:rPr>
          <w:lang w:eastAsia="en-NZ"/>
        </w:rPr>
        <w:t>t</w:t>
      </w:r>
      <w:r w:rsidR="003D640C">
        <w:rPr>
          <w:lang w:eastAsia="en-NZ"/>
        </w:rPr>
        <w:t xml:space="preserve"> </w:t>
      </w:r>
      <w:r w:rsidRPr="00BB6220">
        <w:rPr>
          <w:lang w:eastAsia="en-NZ"/>
        </w:rPr>
        <w:t>know</w:t>
      </w:r>
      <w:r w:rsidR="003D640C">
        <w:rPr>
          <w:lang w:eastAsia="en-NZ"/>
        </w:rPr>
        <w:t xml:space="preserve"> </w:t>
      </w:r>
      <w:r w:rsidRPr="00BB6220">
        <w:rPr>
          <w:lang w:eastAsia="en-NZ"/>
        </w:rPr>
        <w:t>whether</w:t>
      </w:r>
      <w:r w:rsidR="003D640C">
        <w:rPr>
          <w:lang w:eastAsia="en-NZ"/>
        </w:rPr>
        <w:t xml:space="preserve"> </w:t>
      </w:r>
      <w:r w:rsidRPr="00BB6220">
        <w:rPr>
          <w:lang w:eastAsia="en-NZ"/>
        </w:rPr>
        <w:t>they</w:t>
      </w:r>
      <w:r w:rsidR="003D640C">
        <w:rPr>
          <w:lang w:eastAsia="en-NZ"/>
        </w:rPr>
        <w:t xml:space="preserve"> </w:t>
      </w:r>
      <w:r w:rsidRPr="00BB6220">
        <w:rPr>
          <w:lang w:eastAsia="en-NZ"/>
        </w:rPr>
        <w:t>had</w:t>
      </w:r>
      <w:r w:rsidR="003D640C">
        <w:rPr>
          <w:lang w:eastAsia="en-NZ"/>
        </w:rPr>
        <w:t xml:space="preserve"> </w:t>
      </w:r>
      <w:r w:rsidR="005867EB">
        <w:rPr>
          <w:lang w:eastAsia="en-NZ"/>
        </w:rPr>
        <w:t>experienced</w:t>
      </w:r>
      <w:r w:rsidR="003D640C">
        <w:rPr>
          <w:lang w:eastAsia="en-NZ"/>
        </w:rPr>
        <w:t xml:space="preserve"> </w:t>
      </w:r>
      <w:r w:rsidR="005867EB">
        <w:rPr>
          <w:lang w:eastAsia="en-NZ"/>
        </w:rPr>
        <w:t>this</w:t>
      </w:r>
      <w:r w:rsidRPr="00BB6220">
        <w:rPr>
          <w:lang w:eastAsia="en-NZ"/>
        </w:rPr>
        <w:t>.</w:t>
      </w:r>
      <w:r w:rsidR="003D640C">
        <w:rPr>
          <w:lang w:eastAsia="en-NZ"/>
        </w:rPr>
        <w:t xml:space="preserve"> </w:t>
      </w:r>
      <w:r w:rsidR="007D4B6F">
        <w:rPr>
          <w:lang w:eastAsia="en-NZ"/>
        </w:rPr>
        <w:t>Trans</w:t>
      </w:r>
      <w:r w:rsidR="003D640C">
        <w:rPr>
          <w:lang w:eastAsia="en-NZ"/>
        </w:rPr>
        <w:t xml:space="preserve"> </w:t>
      </w:r>
      <w:r w:rsidR="007D4B6F">
        <w:rPr>
          <w:lang w:eastAsia="en-NZ"/>
        </w:rPr>
        <w:t>youth</w:t>
      </w:r>
      <w:r w:rsidR="003D640C">
        <w:rPr>
          <w:lang w:eastAsia="en-NZ"/>
        </w:rPr>
        <w:t xml:space="preserve"> </w:t>
      </w:r>
      <w:r w:rsidR="00A615B0">
        <w:rPr>
          <w:lang w:eastAsia="en-NZ"/>
        </w:rPr>
        <w:t>we</w:t>
      </w:r>
      <w:r w:rsidR="007D4B6F">
        <w:rPr>
          <w:lang w:eastAsia="en-NZ"/>
        </w:rPr>
        <w:t>re</w:t>
      </w:r>
      <w:r w:rsidR="003D640C">
        <w:rPr>
          <w:lang w:eastAsia="en-NZ"/>
        </w:rPr>
        <w:t xml:space="preserve"> </w:t>
      </w:r>
      <w:r w:rsidR="007D4B6F">
        <w:rPr>
          <w:lang w:eastAsia="en-NZ"/>
        </w:rPr>
        <w:t>more</w:t>
      </w:r>
      <w:r w:rsidR="003D640C">
        <w:rPr>
          <w:lang w:eastAsia="en-NZ"/>
        </w:rPr>
        <w:t xml:space="preserve"> </w:t>
      </w:r>
      <w:r w:rsidR="007D4B6F">
        <w:rPr>
          <w:lang w:eastAsia="en-NZ"/>
        </w:rPr>
        <w:t>likely</w:t>
      </w:r>
      <w:r w:rsidR="003D640C">
        <w:rPr>
          <w:lang w:eastAsia="en-NZ"/>
        </w:rPr>
        <w:t xml:space="preserve"> </w:t>
      </w:r>
      <w:r w:rsidR="007D4B6F">
        <w:rPr>
          <w:lang w:eastAsia="en-NZ"/>
        </w:rPr>
        <w:t>to</w:t>
      </w:r>
      <w:r w:rsidR="003D640C">
        <w:rPr>
          <w:lang w:eastAsia="en-NZ"/>
        </w:rPr>
        <w:t xml:space="preserve"> </w:t>
      </w:r>
      <w:r w:rsidR="007D4B6F">
        <w:rPr>
          <w:lang w:eastAsia="en-NZ"/>
        </w:rPr>
        <w:t>report</w:t>
      </w:r>
      <w:r w:rsidR="003D640C">
        <w:rPr>
          <w:lang w:eastAsia="en-NZ"/>
        </w:rPr>
        <w:t xml:space="preserve"> </w:t>
      </w:r>
      <w:r w:rsidR="007D4B6F">
        <w:rPr>
          <w:lang w:eastAsia="en-NZ"/>
        </w:rPr>
        <w:t>experiencing</w:t>
      </w:r>
      <w:r w:rsidR="003D640C">
        <w:rPr>
          <w:lang w:eastAsia="en-NZ"/>
        </w:rPr>
        <w:t xml:space="preserve"> </w:t>
      </w:r>
      <w:r w:rsidR="007D4B6F">
        <w:rPr>
          <w:lang w:eastAsia="en-NZ"/>
        </w:rPr>
        <w:t>conversion</w:t>
      </w:r>
      <w:r w:rsidR="003D640C">
        <w:rPr>
          <w:lang w:eastAsia="en-NZ"/>
        </w:rPr>
        <w:t xml:space="preserve"> </w:t>
      </w:r>
      <w:r w:rsidR="007D4B6F">
        <w:rPr>
          <w:lang w:eastAsia="en-NZ"/>
        </w:rPr>
        <w:t>practices</w:t>
      </w:r>
      <w:r w:rsidR="003D640C">
        <w:rPr>
          <w:lang w:eastAsia="en-NZ"/>
        </w:rPr>
        <w:t xml:space="preserve"> </w:t>
      </w:r>
      <w:r w:rsidR="00D57B57">
        <w:rPr>
          <w:lang w:eastAsia="en-NZ"/>
        </w:rPr>
        <w:t>than</w:t>
      </w:r>
      <w:r w:rsidR="003D640C">
        <w:rPr>
          <w:lang w:eastAsia="en-NZ"/>
        </w:rPr>
        <w:t xml:space="preserve"> </w:t>
      </w:r>
      <w:r w:rsidR="00E21481">
        <w:rPr>
          <w:lang w:eastAsia="en-NZ"/>
        </w:rPr>
        <w:t>adult</w:t>
      </w:r>
      <w:r w:rsidR="003D640C">
        <w:rPr>
          <w:lang w:eastAsia="en-NZ"/>
        </w:rPr>
        <w:t xml:space="preserve"> </w:t>
      </w:r>
      <w:r w:rsidR="00903F64">
        <w:rPr>
          <w:lang w:eastAsia="en-NZ"/>
        </w:rPr>
        <w:t>trans</w:t>
      </w:r>
      <w:r w:rsidR="003D640C">
        <w:rPr>
          <w:lang w:eastAsia="en-NZ"/>
        </w:rPr>
        <w:t xml:space="preserve"> </w:t>
      </w:r>
      <w:r w:rsidR="00903F64">
        <w:rPr>
          <w:lang w:eastAsia="en-NZ"/>
        </w:rPr>
        <w:t>people</w:t>
      </w:r>
      <w:r w:rsidR="00B40E7B">
        <w:rPr>
          <w:rStyle w:val="FootnoteReference"/>
          <w:rFonts w:ascii="Calibri" w:eastAsia="Times New Roman" w:hAnsi="Calibri" w:cs="Calibri"/>
          <w:lang w:eastAsia="en-NZ"/>
        </w:rPr>
        <w:footnoteReference w:id="240"/>
      </w:r>
      <w:r w:rsidR="003D640C">
        <w:rPr>
          <w:lang w:eastAsia="en-NZ"/>
        </w:rPr>
        <w:t xml:space="preserve"> </w:t>
      </w:r>
      <w:r w:rsidR="00B40E7B">
        <w:rPr>
          <w:lang w:eastAsia="en-NZ"/>
        </w:rPr>
        <w:t>and</w:t>
      </w:r>
      <w:r w:rsidR="00C07A62">
        <w:rPr>
          <w:lang w:eastAsia="en-NZ"/>
        </w:rPr>
        <w:t>,</w:t>
      </w:r>
      <w:r w:rsidR="003D640C">
        <w:rPr>
          <w:lang w:eastAsia="en-NZ"/>
        </w:rPr>
        <w:t xml:space="preserve"> </w:t>
      </w:r>
      <w:r w:rsidR="00C07A62">
        <w:rPr>
          <w:lang w:eastAsia="en-NZ"/>
        </w:rPr>
        <w:t>in</w:t>
      </w:r>
      <w:r w:rsidR="003D640C">
        <w:rPr>
          <w:lang w:eastAsia="en-NZ"/>
        </w:rPr>
        <w:t xml:space="preserve"> </w:t>
      </w:r>
      <w:r w:rsidR="00C07A62">
        <w:rPr>
          <w:lang w:eastAsia="en-NZ"/>
        </w:rPr>
        <w:t>another</w:t>
      </w:r>
      <w:r w:rsidR="003D640C">
        <w:rPr>
          <w:lang w:eastAsia="en-NZ"/>
        </w:rPr>
        <w:t xml:space="preserve"> </w:t>
      </w:r>
      <w:r w:rsidR="00C07A62">
        <w:rPr>
          <w:lang w:eastAsia="en-NZ"/>
        </w:rPr>
        <w:t>study</w:t>
      </w:r>
      <w:r w:rsidR="00BC3841">
        <w:rPr>
          <w:lang w:eastAsia="en-NZ"/>
        </w:rPr>
        <w:t>,</w:t>
      </w:r>
      <w:r w:rsidR="003D640C">
        <w:rPr>
          <w:lang w:eastAsia="en-NZ"/>
        </w:rPr>
        <w:t xml:space="preserve"> </w:t>
      </w:r>
      <w:r w:rsidR="00BC3841">
        <w:rPr>
          <w:lang w:eastAsia="en-NZ"/>
        </w:rPr>
        <w:t>more</w:t>
      </w:r>
      <w:r w:rsidR="003D640C">
        <w:rPr>
          <w:lang w:eastAsia="en-NZ"/>
        </w:rPr>
        <w:t xml:space="preserve"> </w:t>
      </w:r>
      <w:r w:rsidR="00BC3841">
        <w:rPr>
          <w:lang w:eastAsia="en-NZ"/>
        </w:rPr>
        <w:t>likely</w:t>
      </w:r>
      <w:r w:rsidR="003D640C">
        <w:rPr>
          <w:lang w:eastAsia="en-NZ"/>
        </w:rPr>
        <w:t xml:space="preserve"> </w:t>
      </w:r>
      <w:r w:rsidR="00BC3841">
        <w:rPr>
          <w:lang w:eastAsia="en-NZ"/>
        </w:rPr>
        <w:t>to</w:t>
      </w:r>
      <w:r w:rsidR="003D640C">
        <w:rPr>
          <w:lang w:eastAsia="en-NZ"/>
        </w:rPr>
        <w:t xml:space="preserve"> </w:t>
      </w:r>
      <w:r w:rsidR="00902029">
        <w:rPr>
          <w:lang w:eastAsia="en-NZ"/>
        </w:rPr>
        <w:t>experience</w:t>
      </w:r>
      <w:r w:rsidR="003D640C">
        <w:rPr>
          <w:lang w:eastAsia="en-NZ"/>
        </w:rPr>
        <w:t xml:space="preserve"> </w:t>
      </w:r>
      <w:r w:rsidR="00902029">
        <w:rPr>
          <w:lang w:eastAsia="en-NZ"/>
        </w:rPr>
        <w:t>them</w:t>
      </w:r>
      <w:r w:rsidR="003D640C">
        <w:rPr>
          <w:lang w:eastAsia="en-NZ"/>
        </w:rPr>
        <w:t xml:space="preserve"> </w:t>
      </w:r>
      <w:r w:rsidR="00902029">
        <w:rPr>
          <w:lang w:eastAsia="en-NZ"/>
        </w:rPr>
        <w:t>than</w:t>
      </w:r>
      <w:r w:rsidR="003D640C">
        <w:rPr>
          <w:lang w:eastAsia="en-NZ"/>
        </w:rPr>
        <w:t xml:space="preserve"> </w:t>
      </w:r>
      <w:r w:rsidR="00D57B57">
        <w:rPr>
          <w:lang w:eastAsia="en-NZ"/>
        </w:rPr>
        <w:t>cisgender</w:t>
      </w:r>
      <w:r w:rsidR="003D640C">
        <w:rPr>
          <w:lang w:eastAsia="en-NZ"/>
        </w:rPr>
        <w:t xml:space="preserve"> </w:t>
      </w:r>
      <w:r w:rsidR="0013088E">
        <w:rPr>
          <w:lang w:eastAsia="en-NZ"/>
        </w:rPr>
        <w:t xml:space="preserve">Rainbow </w:t>
      </w:r>
      <w:r w:rsidR="00D57B57">
        <w:rPr>
          <w:lang w:eastAsia="en-NZ"/>
        </w:rPr>
        <w:t>youth.</w:t>
      </w:r>
      <w:r w:rsidR="007D4B6F">
        <w:rPr>
          <w:rStyle w:val="FootnoteReference"/>
          <w:rFonts w:ascii="Calibri" w:eastAsia="Times New Roman" w:hAnsi="Calibri" w:cs="Calibri"/>
          <w:lang w:eastAsia="en-NZ"/>
        </w:rPr>
        <w:footnoteReference w:id="241"/>
      </w:r>
      <w:r w:rsidR="003D640C">
        <w:rPr>
          <w:lang w:eastAsia="en-NZ"/>
        </w:rPr>
        <w:t xml:space="preserve"> </w:t>
      </w:r>
    </w:p>
    <w:p w14:paraId="1ED47B87" w14:textId="4C4F5E8D" w:rsidR="00501068" w:rsidRDefault="0021189D" w:rsidP="002E6693">
      <w:pPr>
        <w:rPr>
          <w:lang w:eastAsia="en-NZ"/>
        </w:rPr>
      </w:pPr>
      <w:r>
        <w:rPr>
          <w:lang w:eastAsia="en-NZ"/>
        </w:rPr>
        <w:t>Experiences</w:t>
      </w:r>
      <w:r w:rsidR="003D640C">
        <w:rPr>
          <w:lang w:eastAsia="en-NZ"/>
        </w:rPr>
        <w:t xml:space="preserve"> </w:t>
      </w:r>
      <w:r w:rsidR="00B37129">
        <w:rPr>
          <w:lang w:eastAsia="en-NZ"/>
        </w:rPr>
        <w:t xml:space="preserve">described in the study </w:t>
      </w:r>
      <w:r w:rsidR="00FA3CB7">
        <w:rPr>
          <w:lang w:eastAsia="en-NZ"/>
        </w:rPr>
        <w:t>include</w:t>
      </w:r>
      <w:r w:rsidR="00677155">
        <w:rPr>
          <w:lang w:eastAsia="en-NZ"/>
        </w:rPr>
        <w:t>d</w:t>
      </w:r>
      <w:r w:rsidR="003D640C">
        <w:rPr>
          <w:lang w:eastAsia="en-NZ"/>
        </w:rPr>
        <w:t xml:space="preserve"> </w:t>
      </w:r>
      <w:r w:rsidR="00FA3CB7" w:rsidRPr="00BB6220">
        <w:rPr>
          <w:lang w:eastAsia="en-NZ"/>
        </w:rPr>
        <w:t>healthcare</w:t>
      </w:r>
      <w:r w:rsidR="003D640C">
        <w:rPr>
          <w:lang w:eastAsia="en-NZ"/>
        </w:rPr>
        <w:t xml:space="preserve"> </w:t>
      </w:r>
      <w:r w:rsidR="00FA3CB7" w:rsidRPr="00BB6220">
        <w:rPr>
          <w:lang w:eastAsia="en-NZ"/>
        </w:rPr>
        <w:t>provider</w:t>
      </w:r>
      <w:r w:rsidR="004208B8">
        <w:rPr>
          <w:lang w:eastAsia="en-NZ"/>
        </w:rPr>
        <w:t>s</w:t>
      </w:r>
      <w:r w:rsidR="003D640C">
        <w:rPr>
          <w:lang w:eastAsia="en-NZ"/>
        </w:rPr>
        <w:t xml:space="preserve"> </w:t>
      </w:r>
      <w:r w:rsidR="00FA3CB7" w:rsidRPr="00BB6220">
        <w:rPr>
          <w:lang w:eastAsia="en-NZ"/>
        </w:rPr>
        <w:t>discourag</w:t>
      </w:r>
      <w:r w:rsidR="004208B8">
        <w:rPr>
          <w:lang w:eastAsia="en-NZ"/>
        </w:rPr>
        <w:t>ing</w:t>
      </w:r>
      <w:r w:rsidR="003D640C">
        <w:rPr>
          <w:lang w:eastAsia="en-NZ"/>
        </w:rPr>
        <w:t xml:space="preserve"> </w:t>
      </w:r>
      <w:r w:rsidR="00921061">
        <w:rPr>
          <w:lang w:eastAsia="en-NZ"/>
        </w:rPr>
        <w:t>trans</w:t>
      </w:r>
      <w:r w:rsidR="00B22618">
        <w:rPr>
          <w:lang w:eastAsia="en-NZ"/>
        </w:rPr>
        <w:t>gender</w:t>
      </w:r>
      <w:r w:rsidR="00921061">
        <w:rPr>
          <w:lang w:eastAsia="en-NZ"/>
        </w:rPr>
        <w:t xml:space="preserve"> people </w:t>
      </w:r>
      <w:r w:rsidR="00FA3CB7" w:rsidRPr="00BB6220">
        <w:rPr>
          <w:lang w:eastAsia="en-NZ"/>
        </w:rPr>
        <w:t>from</w:t>
      </w:r>
      <w:r w:rsidR="003D640C">
        <w:rPr>
          <w:lang w:eastAsia="en-NZ"/>
        </w:rPr>
        <w:t xml:space="preserve"> </w:t>
      </w:r>
      <w:r w:rsidR="00FA3CB7" w:rsidRPr="00BB6220">
        <w:rPr>
          <w:lang w:eastAsia="en-NZ"/>
        </w:rPr>
        <w:t>exploring</w:t>
      </w:r>
      <w:r w:rsidR="003D640C">
        <w:rPr>
          <w:lang w:eastAsia="en-NZ"/>
        </w:rPr>
        <w:t xml:space="preserve"> </w:t>
      </w:r>
      <w:r w:rsidR="00FA3CB7" w:rsidRPr="00BB6220">
        <w:rPr>
          <w:lang w:eastAsia="en-NZ"/>
        </w:rPr>
        <w:t>their</w:t>
      </w:r>
      <w:r w:rsidR="003D640C">
        <w:rPr>
          <w:lang w:eastAsia="en-NZ"/>
        </w:rPr>
        <w:t xml:space="preserve"> </w:t>
      </w:r>
      <w:r w:rsidR="00FA3CB7" w:rsidRPr="00BB6220">
        <w:rPr>
          <w:lang w:eastAsia="en-NZ"/>
        </w:rPr>
        <w:t>gender,</w:t>
      </w:r>
      <w:r w:rsidR="003D640C">
        <w:rPr>
          <w:lang w:eastAsia="en-NZ"/>
        </w:rPr>
        <w:t xml:space="preserve"> </w:t>
      </w:r>
      <w:r w:rsidR="00FA3CB7" w:rsidRPr="00BB6220">
        <w:rPr>
          <w:lang w:eastAsia="en-NZ"/>
        </w:rPr>
        <w:t>refus</w:t>
      </w:r>
      <w:r w:rsidR="0037505B">
        <w:rPr>
          <w:lang w:eastAsia="en-NZ"/>
        </w:rPr>
        <w:t>ing</w:t>
      </w:r>
      <w:r w:rsidR="003D640C">
        <w:rPr>
          <w:lang w:eastAsia="en-NZ"/>
        </w:rPr>
        <w:t xml:space="preserve"> </w:t>
      </w:r>
      <w:r w:rsidR="00FA3CB7" w:rsidRPr="00BB6220">
        <w:rPr>
          <w:lang w:eastAsia="en-NZ"/>
        </w:rPr>
        <w:t>to</w:t>
      </w:r>
      <w:r w:rsidR="003D640C">
        <w:rPr>
          <w:lang w:eastAsia="en-NZ"/>
        </w:rPr>
        <w:t xml:space="preserve"> </w:t>
      </w:r>
      <w:r w:rsidR="00FA3CB7" w:rsidRPr="00BB6220">
        <w:rPr>
          <w:lang w:eastAsia="en-NZ"/>
        </w:rPr>
        <w:t>discuss</w:t>
      </w:r>
      <w:r w:rsidR="003D640C">
        <w:rPr>
          <w:lang w:eastAsia="en-NZ"/>
        </w:rPr>
        <w:t xml:space="preserve"> </w:t>
      </w:r>
      <w:r w:rsidR="00FA3CB7" w:rsidRPr="00BB6220">
        <w:rPr>
          <w:lang w:eastAsia="en-NZ"/>
        </w:rPr>
        <w:t>gender-affirming</w:t>
      </w:r>
      <w:r w:rsidR="003D640C">
        <w:rPr>
          <w:lang w:eastAsia="en-NZ"/>
        </w:rPr>
        <w:t xml:space="preserve"> </w:t>
      </w:r>
      <w:r w:rsidR="00FA3CB7" w:rsidRPr="00BB6220">
        <w:rPr>
          <w:lang w:eastAsia="en-NZ"/>
        </w:rPr>
        <w:t>healthcare</w:t>
      </w:r>
      <w:r w:rsidR="003D640C">
        <w:rPr>
          <w:lang w:eastAsia="en-NZ"/>
        </w:rPr>
        <w:t xml:space="preserve"> </w:t>
      </w:r>
      <w:r w:rsidR="00FA3CB7" w:rsidRPr="00BB6220">
        <w:rPr>
          <w:lang w:eastAsia="en-NZ"/>
        </w:rPr>
        <w:t>with</w:t>
      </w:r>
      <w:r w:rsidR="003D640C">
        <w:rPr>
          <w:lang w:eastAsia="en-NZ"/>
        </w:rPr>
        <w:t xml:space="preserve"> </w:t>
      </w:r>
      <w:r w:rsidR="00FA3CB7" w:rsidRPr="00BB6220">
        <w:rPr>
          <w:lang w:eastAsia="en-NZ"/>
        </w:rPr>
        <w:t>them,</w:t>
      </w:r>
      <w:r w:rsidR="003D640C">
        <w:rPr>
          <w:lang w:eastAsia="en-NZ"/>
        </w:rPr>
        <w:t xml:space="preserve"> </w:t>
      </w:r>
      <w:r w:rsidR="00FA3CB7" w:rsidRPr="00BB6220">
        <w:rPr>
          <w:lang w:eastAsia="en-NZ"/>
        </w:rPr>
        <w:t>or</w:t>
      </w:r>
      <w:r w:rsidR="003D640C">
        <w:rPr>
          <w:lang w:eastAsia="en-NZ"/>
        </w:rPr>
        <w:t xml:space="preserve"> </w:t>
      </w:r>
      <w:r w:rsidR="00FA3CB7" w:rsidRPr="00BB6220">
        <w:rPr>
          <w:lang w:eastAsia="en-NZ"/>
        </w:rPr>
        <w:t>t</w:t>
      </w:r>
      <w:r w:rsidR="0037505B">
        <w:rPr>
          <w:lang w:eastAsia="en-NZ"/>
        </w:rPr>
        <w:t>elling</w:t>
      </w:r>
      <w:r w:rsidR="003D640C">
        <w:rPr>
          <w:lang w:eastAsia="en-NZ"/>
        </w:rPr>
        <w:t xml:space="preserve"> </w:t>
      </w:r>
      <w:r w:rsidR="00FA3CB7" w:rsidRPr="00BB6220">
        <w:rPr>
          <w:lang w:eastAsia="en-NZ"/>
        </w:rPr>
        <w:t>them</w:t>
      </w:r>
      <w:r w:rsidR="003D640C">
        <w:rPr>
          <w:lang w:eastAsia="en-NZ"/>
        </w:rPr>
        <w:t xml:space="preserve"> </w:t>
      </w:r>
      <w:r w:rsidR="00FA3CB7" w:rsidRPr="00BB6220">
        <w:rPr>
          <w:lang w:eastAsia="en-NZ"/>
        </w:rPr>
        <w:t>they</w:t>
      </w:r>
      <w:r w:rsidR="003D640C">
        <w:rPr>
          <w:lang w:eastAsia="en-NZ"/>
        </w:rPr>
        <w:t xml:space="preserve"> </w:t>
      </w:r>
      <w:r w:rsidR="00FA3CB7" w:rsidRPr="00BB6220">
        <w:rPr>
          <w:lang w:eastAsia="en-NZ"/>
        </w:rPr>
        <w:t>were</w:t>
      </w:r>
      <w:r w:rsidR="003D640C">
        <w:rPr>
          <w:lang w:eastAsia="en-NZ"/>
        </w:rPr>
        <w:t xml:space="preserve"> </w:t>
      </w:r>
      <w:r w:rsidR="00FA3CB7" w:rsidRPr="00BB6220">
        <w:rPr>
          <w:lang w:eastAsia="en-NZ"/>
        </w:rPr>
        <w:t>“not</w:t>
      </w:r>
      <w:r w:rsidR="003D640C">
        <w:rPr>
          <w:lang w:eastAsia="en-NZ"/>
        </w:rPr>
        <w:t xml:space="preserve"> </w:t>
      </w:r>
      <w:r w:rsidR="00FA3CB7" w:rsidRPr="00BB6220">
        <w:rPr>
          <w:lang w:eastAsia="en-NZ"/>
        </w:rPr>
        <w:t>really</w:t>
      </w:r>
      <w:r w:rsidR="003D640C">
        <w:rPr>
          <w:lang w:eastAsia="en-NZ"/>
        </w:rPr>
        <w:t xml:space="preserve"> </w:t>
      </w:r>
      <w:r w:rsidR="00FA3CB7" w:rsidRPr="00BB6220">
        <w:rPr>
          <w:lang w:eastAsia="en-NZ"/>
        </w:rPr>
        <w:t>transgender</w:t>
      </w:r>
      <w:r w:rsidR="003D640C">
        <w:rPr>
          <w:lang w:eastAsia="en-NZ"/>
        </w:rPr>
        <w:t xml:space="preserve"> </w:t>
      </w:r>
      <w:r w:rsidR="00FA3CB7" w:rsidRPr="00BB6220">
        <w:rPr>
          <w:lang w:eastAsia="en-NZ"/>
        </w:rPr>
        <w:t>or</w:t>
      </w:r>
      <w:r w:rsidR="003D640C">
        <w:rPr>
          <w:lang w:eastAsia="en-NZ"/>
        </w:rPr>
        <w:t xml:space="preserve"> </w:t>
      </w:r>
      <w:r w:rsidR="00FA3CB7" w:rsidRPr="00BB6220">
        <w:rPr>
          <w:lang w:eastAsia="en-NZ"/>
        </w:rPr>
        <w:t>non-binary”</w:t>
      </w:r>
      <w:r w:rsidR="00C5423E">
        <w:rPr>
          <w:lang w:eastAsia="en-NZ"/>
        </w:rPr>
        <w:t>.</w:t>
      </w:r>
      <w:r w:rsidR="00FA3CB7" w:rsidRPr="00BB6220">
        <w:rPr>
          <w:rStyle w:val="FootnoteReference"/>
          <w:rFonts w:ascii="Calibri" w:eastAsia="Times New Roman" w:hAnsi="Calibri" w:cs="Calibri"/>
          <w:lang w:eastAsia="en-NZ"/>
        </w:rPr>
        <w:footnoteReference w:id="242"/>
      </w:r>
      <w:r w:rsidR="00B37129">
        <w:rPr>
          <w:lang w:eastAsia="en-NZ"/>
        </w:rPr>
        <w:t xml:space="preserve"> </w:t>
      </w:r>
      <w:r w:rsidR="006375B7">
        <w:rPr>
          <w:lang w:eastAsia="en-NZ"/>
        </w:rPr>
        <w:t>The</w:t>
      </w:r>
      <w:r w:rsidR="003D640C">
        <w:rPr>
          <w:lang w:eastAsia="en-NZ"/>
        </w:rPr>
        <w:t xml:space="preserve"> </w:t>
      </w:r>
      <w:r w:rsidR="006375B7">
        <w:rPr>
          <w:lang w:eastAsia="en-NZ"/>
        </w:rPr>
        <w:t>study</w:t>
      </w:r>
      <w:r w:rsidR="003D640C">
        <w:rPr>
          <w:lang w:eastAsia="en-NZ"/>
        </w:rPr>
        <w:t xml:space="preserve"> </w:t>
      </w:r>
      <w:r w:rsidR="005F0C2C">
        <w:rPr>
          <w:lang w:eastAsia="en-NZ"/>
        </w:rPr>
        <w:t>provides</w:t>
      </w:r>
      <w:r w:rsidR="003D640C">
        <w:rPr>
          <w:lang w:eastAsia="en-NZ"/>
        </w:rPr>
        <w:t xml:space="preserve"> </w:t>
      </w:r>
      <w:r w:rsidR="005F0C2C">
        <w:rPr>
          <w:lang w:eastAsia="en-NZ"/>
        </w:rPr>
        <w:t>evidence</w:t>
      </w:r>
      <w:r w:rsidR="003D640C">
        <w:rPr>
          <w:lang w:eastAsia="en-NZ"/>
        </w:rPr>
        <w:t xml:space="preserve"> </w:t>
      </w:r>
      <w:r w:rsidR="005F0C2C">
        <w:rPr>
          <w:lang w:eastAsia="en-NZ"/>
        </w:rPr>
        <w:t>that</w:t>
      </w:r>
      <w:r w:rsidR="003D640C">
        <w:rPr>
          <w:lang w:eastAsia="en-NZ"/>
        </w:rPr>
        <w:t xml:space="preserve"> </w:t>
      </w:r>
      <w:r w:rsidR="006375B7">
        <w:rPr>
          <w:lang w:eastAsia="en-NZ"/>
        </w:rPr>
        <w:t>gender</w:t>
      </w:r>
      <w:r w:rsidR="003D640C">
        <w:rPr>
          <w:lang w:eastAsia="en-NZ"/>
        </w:rPr>
        <w:t xml:space="preserve"> </w:t>
      </w:r>
      <w:r w:rsidR="006375B7">
        <w:rPr>
          <w:lang w:eastAsia="en-NZ"/>
        </w:rPr>
        <w:t>identity-based</w:t>
      </w:r>
      <w:r w:rsidR="003D640C">
        <w:rPr>
          <w:lang w:eastAsia="en-NZ"/>
        </w:rPr>
        <w:t xml:space="preserve"> </w:t>
      </w:r>
      <w:r w:rsidR="006375B7">
        <w:rPr>
          <w:lang w:eastAsia="en-NZ"/>
        </w:rPr>
        <w:t>conversion</w:t>
      </w:r>
      <w:r w:rsidR="003D640C">
        <w:rPr>
          <w:lang w:eastAsia="en-NZ"/>
        </w:rPr>
        <w:t xml:space="preserve"> </w:t>
      </w:r>
      <w:r w:rsidR="006375B7">
        <w:rPr>
          <w:lang w:eastAsia="en-NZ"/>
        </w:rPr>
        <w:t>practices</w:t>
      </w:r>
      <w:r w:rsidR="003D640C">
        <w:rPr>
          <w:lang w:eastAsia="en-NZ"/>
        </w:rPr>
        <w:t xml:space="preserve"> </w:t>
      </w:r>
      <w:r w:rsidR="00235239">
        <w:rPr>
          <w:lang w:eastAsia="en-NZ"/>
        </w:rPr>
        <w:t>are</w:t>
      </w:r>
      <w:r w:rsidR="003D640C">
        <w:rPr>
          <w:lang w:eastAsia="en-NZ"/>
        </w:rPr>
        <w:t xml:space="preserve"> </w:t>
      </w:r>
      <w:r w:rsidR="00235239">
        <w:rPr>
          <w:lang w:eastAsia="en-NZ"/>
        </w:rPr>
        <w:t>harmful</w:t>
      </w:r>
      <w:r w:rsidR="003D640C">
        <w:rPr>
          <w:lang w:eastAsia="en-NZ"/>
        </w:rPr>
        <w:t xml:space="preserve"> </w:t>
      </w:r>
      <w:r w:rsidR="00235239">
        <w:rPr>
          <w:lang w:eastAsia="en-NZ"/>
        </w:rPr>
        <w:t>to</w:t>
      </w:r>
      <w:r w:rsidR="003D640C">
        <w:rPr>
          <w:lang w:eastAsia="en-NZ"/>
        </w:rPr>
        <w:t xml:space="preserve"> </w:t>
      </w:r>
      <w:r w:rsidR="00235239">
        <w:rPr>
          <w:lang w:eastAsia="en-NZ"/>
        </w:rPr>
        <w:t>mental</w:t>
      </w:r>
      <w:r w:rsidR="003D640C">
        <w:rPr>
          <w:lang w:eastAsia="en-NZ"/>
        </w:rPr>
        <w:t xml:space="preserve"> </w:t>
      </w:r>
      <w:r w:rsidR="00235239">
        <w:rPr>
          <w:lang w:eastAsia="en-NZ"/>
        </w:rPr>
        <w:t>health</w:t>
      </w:r>
      <w:r w:rsidR="00245D46">
        <w:rPr>
          <w:lang w:eastAsia="en-NZ"/>
        </w:rPr>
        <w:t>.</w:t>
      </w:r>
      <w:r w:rsidR="00862EAE">
        <w:rPr>
          <w:rStyle w:val="FootnoteReference"/>
          <w:rFonts w:ascii="Calibri" w:eastAsia="Times New Roman" w:hAnsi="Calibri" w:cs="Calibri"/>
          <w:lang w:eastAsia="en-NZ"/>
        </w:rPr>
        <w:footnoteReference w:id="243"/>
      </w:r>
      <w:r w:rsidR="003D640C">
        <w:rPr>
          <w:lang w:eastAsia="en-NZ"/>
        </w:rPr>
        <w:t xml:space="preserve"> </w:t>
      </w:r>
      <w:r w:rsidR="00245D46">
        <w:rPr>
          <w:lang w:eastAsia="en-NZ"/>
        </w:rPr>
        <w:t>Those</w:t>
      </w:r>
      <w:r w:rsidR="003D640C">
        <w:rPr>
          <w:lang w:eastAsia="en-NZ"/>
        </w:rPr>
        <w:t xml:space="preserve"> </w:t>
      </w:r>
      <w:r w:rsidR="00245D46">
        <w:rPr>
          <w:lang w:eastAsia="en-NZ"/>
        </w:rPr>
        <w:t>who</w:t>
      </w:r>
      <w:r w:rsidR="003D640C">
        <w:rPr>
          <w:lang w:eastAsia="en-NZ"/>
        </w:rPr>
        <w:t xml:space="preserve"> </w:t>
      </w:r>
      <w:r w:rsidR="00245D46">
        <w:rPr>
          <w:lang w:eastAsia="en-NZ"/>
        </w:rPr>
        <w:t>had</w:t>
      </w:r>
      <w:r w:rsidR="003D640C">
        <w:rPr>
          <w:lang w:eastAsia="en-NZ"/>
        </w:rPr>
        <w:t xml:space="preserve"> </w:t>
      </w:r>
      <w:r w:rsidR="00245D46">
        <w:rPr>
          <w:lang w:eastAsia="en-NZ"/>
        </w:rPr>
        <w:t>experienced</w:t>
      </w:r>
      <w:r w:rsidR="003D640C">
        <w:rPr>
          <w:lang w:eastAsia="en-NZ"/>
        </w:rPr>
        <w:t xml:space="preserve"> </w:t>
      </w:r>
      <w:r w:rsidR="00245D46">
        <w:rPr>
          <w:lang w:eastAsia="en-NZ"/>
        </w:rPr>
        <w:t>conversion</w:t>
      </w:r>
      <w:r w:rsidR="003D640C">
        <w:rPr>
          <w:lang w:eastAsia="en-NZ"/>
        </w:rPr>
        <w:t xml:space="preserve"> </w:t>
      </w:r>
      <w:r w:rsidR="00245D46">
        <w:rPr>
          <w:lang w:eastAsia="en-NZ"/>
        </w:rPr>
        <w:t>practices</w:t>
      </w:r>
      <w:r w:rsidR="003D640C">
        <w:rPr>
          <w:lang w:eastAsia="en-NZ"/>
        </w:rPr>
        <w:t xml:space="preserve"> </w:t>
      </w:r>
      <w:r w:rsidR="005F5B77">
        <w:rPr>
          <w:lang w:eastAsia="en-NZ"/>
        </w:rPr>
        <w:t>had</w:t>
      </w:r>
      <w:r w:rsidR="003D640C">
        <w:rPr>
          <w:lang w:eastAsia="en-NZ"/>
        </w:rPr>
        <w:t xml:space="preserve"> </w:t>
      </w:r>
      <w:r w:rsidR="005F5B77">
        <w:rPr>
          <w:lang w:eastAsia="en-NZ"/>
        </w:rPr>
        <w:t>higher</w:t>
      </w:r>
      <w:r w:rsidR="003D640C">
        <w:rPr>
          <w:lang w:eastAsia="en-NZ"/>
        </w:rPr>
        <w:t xml:space="preserve"> </w:t>
      </w:r>
      <w:r w:rsidR="005F5B77">
        <w:rPr>
          <w:lang w:eastAsia="en-NZ"/>
        </w:rPr>
        <w:t>rates</w:t>
      </w:r>
      <w:r w:rsidR="003D640C">
        <w:rPr>
          <w:lang w:eastAsia="en-NZ"/>
        </w:rPr>
        <w:t xml:space="preserve"> </w:t>
      </w:r>
      <w:r w:rsidR="005F5B77">
        <w:rPr>
          <w:lang w:eastAsia="en-NZ"/>
        </w:rPr>
        <w:t>of</w:t>
      </w:r>
      <w:r w:rsidR="003D640C">
        <w:rPr>
          <w:lang w:eastAsia="en-NZ"/>
        </w:rPr>
        <w:t xml:space="preserve"> </w:t>
      </w:r>
      <w:r w:rsidR="005F5B77">
        <w:rPr>
          <w:lang w:eastAsia="en-NZ"/>
        </w:rPr>
        <w:t>psychological</w:t>
      </w:r>
      <w:r w:rsidR="003D640C">
        <w:rPr>
          <w:lang w:eastAsia="en-NZ"/>
        </w:rPr>
        <w:t xml:space="preserve"> </w:t>
      </w:r>
      <w:r w:rsidR="005F5B77">
        <w:rPr>
          <w:lang w:eastAsia="en-NZ"/>
        </w:rPr>
        <w:t>distress,</w:t>
      </w:r>
      <w:r w:rsidR="003D640C">
        <w:rPr>
          <w:lang w:eastAsia="en-NZ"/>
        </w:rPr>
        <w:t xml:space="preserve"> </w:t>
      </w:r>
      <w:r w:rsidR="005F5B77">
        <w:rPr>
          <w:lang w:eastAsia="en-NZ"/>
        </w:rPr>
        <w:t>more</w:t>
      </w:r>
      <w:r w:rsidR="003D640C">
        <w:rPr>
          <w:lang w:eastAsia="en-NZ"/>
        </w:rPr>
        <w:t xml:space="preserve"> </w:t>
      </w:r>
      <w:r w:rsidR="005F5B77">
        <w:rPr>
          <w:lang w:eastAsia="en-NZ"/>
        </w:rPr>
        <w:t>than</w:t>
      </w:r>
      <w:r w:rsidR="003D640C">
        <w:rPr>
          <w:lang w:eastAsia="en-NZ"/>
        </w:rPr>
        <w:t xml:space="preserve"> </w:t>
      </w:r>
      <w:r w:rsidR="005F5B77">
        <w:rPr>
          <w:lang w:eastAsia="en-NZ"/>
        </w:rPr>
        <w:t>twice</w:t>
      </w:r>
      <w:r w:rsidR="003D640C">
        <w:rPr>
          <w:lang w:eastAsia="en-NZ"/>
        </w:rPr>
        <w:t xml:space="preserve"> </w:t>
      </w:r>
      <w:r w:rsidR="005F5B77">
        <w:rPr>
          <w:lang w:eastAsia="en-NZ"/>
        </w:rPr>
        <w:t>the</w:t>
      </w:r>
      <w:r w:rsidR="003D640C">
        <w:rPr>
          <w:lang w:eastAsia="en-NZ"/>
        </w:rPr>
        <w:t xml:space="preserve"> </w:t>
      </w:r>
      <w:r w:rsidR="005F5B77">
        <w:rPr>
          <w:lang w:eastAsia="en-NZ"/>
        </w:rPr>
        <w:t>odds</w:t>
      </w:r>
      <w:r w:rsidR="003D640C">
        <w:rPr>
          <w:lang w:eastAsia="en-NZ"/>
        </w:rPr>
        <w:t xml:space="preserve"> </w:t>
      </w:r>
      <w:r w:rsidR="005F5B77">
        <w:rPr>
          <w:lang w:eastAsia="en-NZ"/>
        </w:rPr>
        <w:t>of</w:t>
      </w:r>
      <w:r w:rsidR="003D640C">
        <w:rPr>
          <w:lang w:eastAsia="en-NZ"/>
        </w:rPr>
        <w:t xml:space="preserve"> </w:t>
      </w:r>
      <w:r w:rsidR="005F5B77">
        <w:rPr>
          <w:lang w:eastAsia="en-NZ"/>
        </w:rPr>
        <w:t>increased</w:t>
      </w:r>
      <w:r w:rsidR="003D640C">
        <w:rPr>
          <w:lang w:eastAsia="en-NZ"/>
        </w:rPr>
        <w:t xml:space="preserve"> </w:t>
      </w:r>
      <w:r w:rsidR="005F5B77">
        <w:rPr>
          <w:lang w:eastAsia="en-NZ"/>
        </w:rPr>
        <w:t>non-suicidal</w:t>
      </w:r>
      <w:r w:rsidR="003D640C">
        <w:rPr>
          <w:lang w:eastAsia="en-NZ"/>
        </w:rPr>
        <w:t xml:space="preserve"> </w:t>
      </w:r>
      <w:r w:rsidR="005F5B77">
        <w:rPr>
          <w:lang w:eastAsia="en-NZ"/>
        </w:rPr>
        <w:t>self-injury</w:t>
      </w:r>
      <w:r w:rsidR="003D640C">
        <w:rPr>
          <w:lang w:eastAsia="en-NZ"/>
        </w:rPr>
        <w:t xml:space="preserve"> </w:t>
      </w:r>
      <w:r w:rsidR="00925A61">
        <w:rPr>
          <w:lang w:eastAsia="en-NZ"/>
        </w:rPr>
        <w:t>and</w:t>
      </w:r>
      <w:r w:rsidR="003D640C">
        <w:rPr>
          <w:lang w:eastAsia="en-NZ"/>
        </w:rPr>
        <w:t xml:space="preserve"> </w:t>
      </w:r>
      <w:r w:rsidR="00925A61">
        <w:rPr>
          <w:lang w:eastAsia="en-NZ"/>
        </w:rPr>
        <w:t>suicidal</w:t>
      </w:r>
      <w:r w:rsidR="003D640C">
        <w:rPr>
          <w:lang w:eastAsia="en-NZ"/>
        </w:rPr>
        <w:t xml:space="preserve"> </w:t>
      </w:r>
      <w:r w:rsidR="00925A61">
        <w:rPr>
          <w:lang w:eastAsia="en-NZ"/>
        </w:rPr>
        <w:t>ideation,</w:t>
      </w:r>
      <w:r w:rsidR="003D640C">
        <w:rPr>
          <w:lang w:eastAsia="en-NZ"/>
        </w:rPr>
        <w:t xml:space="preserve"> </w:t>
      </w:r>
      <w:r w:rsidR="00925A61">
        <w:rPr>
          <w:lang w:eastAsia="en-NZ"/>
        </w:rPr>
        <w:t>and</w:t>
      </w:r>
      <w:r w:rsidR="003D640C">
        <w:rPr>
          <w:lang w:eastAsia="en-NZ"/>
        </w:rPr>
        <w:t xml:space="preserve"> </w:t>
      </w:r>
      <w:r w:rsidR="00925A61">
        <w:rPr>
          <w:lang w:eastAsia="en-NZ"/>
        </w:rPr>
        <w:t>almost</w:t>
      </w:r>
      <w:r w:rsidR="003D640C">
        <w:rPr>
          <w:lang w:eastAsia="en-NZ"/>
        </w:rPr>
        <w:t xml:space="preserve"> </w:t>
      </w:r>
      <w:r w:rsidR="00925A61">
        <w:rPr>
          <w:lang w:eastAsia="en-NZ"/>
        </w:rPr>
        <w:t>four</w:t>
      </w:r>
      <w:r w:rsidR="003D640C">
        <w:rPr>
          <w:lang w:eastAsia="en-NZ"/>
        </w:rPr>
        <w:t xml:space="preserve"> </w:t>
      </w:r>
      <w:r w:rsidR="00925A61">
        <w:rPr>
          <w:lang w:eastAsia="en-NZ"/>
        </w:rPr>
        <w:t>times</w:t>
      </w:r>
      <w:r w:rsidR="003D640C">
        <w:rPr>
          <w:lang w:eastAsia="en-NZ"/>
        </w:rPr>
        <w:t xml:space="preserve"> </w:t>
      </w:r>
      <w:r w:rsidR="00925A61">
        <w:rPr>
          <w:lang w:eastAsia="en-NZ"/>
        </w:rPr>
        <w:t>the</w:t>
      </w:r>
      <w:r w:rsidR="003D640C">
        <w:rPr>
          <w:lang w:eastAsia="en-NZ"/>
        </w:rPr>
        <w:t xml:space="preserve"> </w:t>
      </w:r>
      <w:r w:rsidR="00925A61">
        <w:rPr>
          <w:lang w:eastAsia="en-NZ"/>
        </w:rPr>
        <w:t>odds</w:t>
      </w:r>
      <w:r w:rsidR="003D640C">
        <w:rPr>
          <w:lang w:eastAsia="en-NZ"/>
        </w:rPr>
        <w:t xml:space="preserve"> </w:t>
      </w:r>
      <w:r w:rsidR="00925A61">
        <w:rPr>
          <w:lang w:eastAsia="en-NZ"/>
        </w:rPr>
        <w:t>of</w:t>
      </w:r>
      <w:r w:rsidR="003D640C">
        <w:rPr>
          <w:lang w:eastAsia="en-NZ"/>
        </w:rPr>
        <w:t xml:space="preserve"> </w:t>
      </w:r>
      <w:r w:rsidR="00925A61">
        <w:rPr>
          <w:lang w:eastAsia="en-NZ"/>
        </w:rPr>
        <w:t>increased</w:t>
      </w:r>
      <w:r w:rsidR="003D640C">
        <w:rPr>
          <w:lang w:eastAsia="en-NZ"/>
        </w:rPr>
        <w:t xml:space="preserve"> </w:t>
      </w:r>
      <w:r w:rsidR="00925A61">
        <w:rPr>
          <w:lang w:eastAsia="en-NZ"/>
        </w:rPr>
        <w:t>suicide</w:t>
      </w:r>
      <w:r w:rsidR="003D640C">
        <w:rPr>
          <w:lang w:eastAsia="en-NZ"/>
        </w:rPr>
        <w:t xml:space="preserve"> </w:t>
      </w:r>
      <w:r w:rsidR="00925A61">
        <w:rPr>
          <w:lang w:eastAsia="en-NZ"/>
        </w:rPr>
        <w:t>attempts</w:t>
      </w:r>
      <w:r w:rsidR="003D640C">
        <w:rPr>
          <w:lang w:eastAsia="en-NZ"/>
        </w:rPr>
        <w:t xml:space="preserve"> </w:t>
      </w:r>
      <w:r w:rsidR="00925A61">
        <w:rPr>
          <w:lang w:eastAsia="en-NZ"/>
        </w:rPr>
        <w:t>than</w:t>
      </w:r>
      <w:r w:rsidR="003D640C">
        <w:rPr>
          <w:lang w:eastAsia="en-NZ"/>
        </w:rPr>
        <w:t xml:space="preserve"> </w:t>
      </w:r>
      <w:r w:rsidR="00925A61">
        <w:rPr>
          <w:lang w:eastAsia="en-NZ"/>
        </w:rPr>
        <w:t>those</w:t>
      </w:r>
      <w:r w:rsidR="003D640C">
        <w:rPr>
          <w:lang w:eastAsia="en-NZ"/>
        </w:rPr>
        <w:t xml:space="preserve"> </w:t>
      </w:r>
      <w:r w:rsidR="00925A61">
        <w:rPr>
          <w:lang w:eastAsia="en-NZ"/>
        </w:rPr>
        <w:t>who</w:t>
      </w:r>
      <w:r w:rsidR="003D640C">
        <w:rPr>
          <w:lang w:eastAsia="en-NZ"/>
        </w:rPr>
        <w:t xml:space="preserve"> </w:t>
      </w:r>
      <w:r w:rsidR="00925A61">
        <w:rPr>
          <w:lang w:eastAsia="en-NZ"/>
        </w:rPr>
        <w:t>had</w:t>
      </w:r>
      <w:r w:rsidR="003D640C">
        <w:rPr>
          <w:lang w:eastAsia="en-NZ"/>
        </w:rPr>
        <w:t xml:space="preserve"> </w:t>
      </w:r>
      <w:r w:rsidR="00925A61">
        <w:rPr>
          <w:lang w:eastAsia="en-NZ"/>
        </w:rPr>
        <w:t>not</w:t>
      </w:r>
      <w:r w:rsidR="003D640C">
        <w:rPr>
          <w:lang w:eastAsia="en-NZ"/>
        </w:rPr>
        <w:t xml:space="preserve"> </w:t>
      </w:r>
      <w:r w:rsidR="00925A61">
        <w:rPr>
          <w:lang w:eastAsia="en-NZ"/>
        </w:rPr>
        <w:t>experienced</w:t>
      </w:r>
      <w:r w:rsidR="003D640C">
        <w:rPr>
          <w:lang w:eastAsia="en-NZ"/>
        </w:rPr>
        <w:t xml:space="preserve"> </w:t>
      </w:r>
      <w:r w:rsidR="00925A61">
        <w:rPr>
          <w:lang w:eastAsia="en-NZ"/>
        </w:rPr>
        <w:t>gender</w:t>
      </w:r>
      <w:r w:rsidR="003D640C">
        <w:rPr>
          <w:lang w:eastAsia="en-NZ"/>
        </w:rPr>
        <w:t xml:space="preserve"> </w:t>
      </w:r>
      <w:r w:rsidR="00925A61">
        <w:rPr>
          <w:lang w:eastAsia="en-NZ"/>
        </w:rPr>
        <w:t>identity-based</w:t>
      </w:r>
      <w:r w:rsidR="003D640C">
        <w:rPr>
          <w:lang w:eastAsia="en-NZ"/>
        </w:rPr>
        <w:t xml:space="preserve"> </w:t>
      </w:r>
      <w:r w:rsidR="00925A61">
        <w:rPr>
          <w:lang w:eastAsia="en-NZ"/>
        </w:rPr>
        <w:t>conversion</w:t>
      </w:r>
      <w:r w:rsidR="003D640C">
        <w:rPr>
          <w:lang w:eastAsia="en-NZ"/>
        </w:rPr>
        <w:t xml:space="preserve"> </w:t>
      </w:r>
      <w:r w:rsidR="00925A61">
        <w:rPr>
          <w:lang w:eastAsia="en-NZ"/>
        </w:rPr>
        <w:t>practices</w:t>
      </w:r>
      <w:r w:rsidR="001E205F">
        <w:rPr>
          <w:lang w:eastAsia="en-NZ"/>
        </w:rPr>
        <w:t>.</w:t>
      </w:r>
      <w:r w:rsidR="00A34A66">
        <w:rPr>
          <w:rStyle w:val="FootnoteReference"/>
          <w:lang w:eastAsia="en-NZ"/>
        </w:rPr>
        <w:footnoteReference w:id="244"/>
      </w:r>
    </w:p>
    <w:p w14:paraId="243B9E3F" w14:textId="5CE380E3" w:rsidR="00032791" w:rsidRPr="00BB6220" w:rsidRDefault="00964435" w:rsidP="002E6693">
      <w:pPr>
        <w:rPr>
          <w:lang w:eastAsia="en-NZ"/>
        </w:rPr>
      </w:pPr>
      <w:r>
        <w:rPr>
          <w:lang w:eastAsia="en-NZ"/>
        </w:rPr>
        <w:t>There</w:t>
      </w:r>
      <w:r w:rsidR="003D640C">
        <w:rPr>
          <w:lang w:eastAsia="en-NZ"/>
        </w:rPr>
        <w:t xml:space="preserve"> </w:t>
      </w:r>
      <w:r>
        <w:rPr>
          <w:lang w:eastAsia="en-NZ"/>
        </w:rPr>
        <w:t>is</w:t>
      </w:r>
      <w:r w:rsidR="003D640C">
        <w:rPr>
          <w:lang w:eastAsia="en-NZ"/>
        </w:rPr>
        <w:t xml:space="preserve"> </w:t>
      </w:r>
      <w:r>
        <w:rPr>
          <w:lang w:eastAsia="en-NZ"/>
        </w:rPr>
        <w:t>also</w:t>
      </w:r>
      <w:r w:rsidR="003D640C">
        <w:rPr>
          <w:lang w:eastAsia="en-NZ"/>
        </w:rPr>
        <w:t xml:space="preserve"> </w:t>
      </w:r>
      <w:r>
        <w:rPr>
          <w:lang w:eastAsia="en-NZ"/>
        </w:rPr>
        <w:t>evidence</w:t>
      </w:r>
      <w:r w:rsidR="003D640C">
        <w:rPr>
          <w:lang w:eastAsia="en-NZ"/>
        </w:rPr>
        <w:t xml:space="preserve"> </w:t>
      </w:r>
      <w:r>
        <w:rPr>
          <w:lang w:eastAsia="en-NZ"/>
        </w:rPr>
        <w:t>of</w:t>
      </w:r>
      <w:r w:rsidR="003D640C">
        <w:rPr>
          <w:lang w:eastAsia="en-NZ"/>
        </w:rPr>
        <w:t xml:space="preserve"> </w:t>
      </w:r>
      <w:r w:rsidR="000C6FC5">
        <w:rPr>
          <w:lang w:eastAsia="en-NZ"/>
        </w:rPr>
        <w:t>a</w:t>
      </w:r>
      <w:r w:rsidR="003D640C">
        <w:rPr>
          <w:lang w:eastAsia="en-NZ"/>
        </w:rPr>
        <w:t xml:space="preserve"> </w:t>
      </w:r>
      <w:r w:rsidR="000D444B">
        <w:rPr>
          <w:lang w:eastAsia="en-NZ"/>
        </w:rPr>
        <w:t>correlation</w:t>
      </w:r>
      <w:r w:rsidR="003D640C">
        <w:rPr>
          <w:lang w:eastAsia="en-NZ"/>
        </w:rPr>
        <w:t xml:space="preserve"> </w:t>
      </w:r>
      <w:r w:rsidR="000D444B">
        <w:rPr>
          <w:lang w:eastAsia="en-NZ"/>
        </w:rPr>
        <w:t>between</w:t>
      </w:r>
      <w:r w:rsidR="003D640C">
        <w:rPr>
          <w:lang w:eastAsia="en-NZ"/>
        </w:rPr>
        <w:t xml:space="preserve"> </w:t>
      </w:r>
      <w:r w:rsidR="000D444B">
        <w:rPr>
          <w:lang w:eastAsia="en-NZ"/>
        </w:rPr>
        <w:t>exposure</w:t>
      </w:r>
      <w:r w:rsidR="003D640C">
        <w:rPr>
          <w:lang w:eastAsia="en-NZ"/>
        </w:rPr>
        <w:t xml:space="preserve"> </w:t>
      </w:r>
      <w:r w:rsidR="000D444B">
        <w:rPr>
          <w:lang w:eastAsia="en-NZ"/>
        </w:rPr>
        <w:t>to</w:t>
      </w:r>
      <w:r w:rsidR="003D640C">
        <w:rPr>
          <w:lang w:eastAsia="en-NZ"/>
        </w:rPr>
        <w:t xml:space="preserve"> </w:t>
      </w:r>
      <w:r w:rsidR="000D444B">
        <w:rPr>
          <w:lang w:eastAsia="en-NZ"/>
        </w:rPr>
        <w:t>gender</w:t>
      </w:r>
      <w:r w:rsidR="003D640C">
        <w:rPr>
          <w:lang w:eastAsia="en-NZ"/>
        </w:rPr>
        <w:t xml:space="preserve"> </w:t>
      </w:r>
      <w:r w:rsidR="000D444B">
        <w:rPr>
          <w:lang w:eastAsia="en-NZ"/>
        </w:rPr>
        <w:t>identity-based</w:t>
      </w:r>
      <w:r w:rsidR="003D640C">
        <w:rPr>
          <w:lang w:eastAsia="en-NZ"/>
        </w:rPr>
        <w:t xml:space="preserve"> </w:t>
      </w:r>
      <w:r w:rsidR="000D444B">
        <w:rPr>
          <w:lang w:eastAsia="en-NZ"/>
        </w:rPr>
        <w:t>conversion</w:t>
      </w:r>
      <w:r w:rsidR="003D640C">
        <w:rPr>
          <w:lang w:eastAsia="en-NZ"/>
        </w:rPr>
        <w:t xml:space="preserve"> </w:t>
      </w:r>
      <w:r w:rsidR="000D444B">
        <w:rPr>
          <w:lang w:eastAsia="en-NZ"/>
        </w:rPr>
        <w:t>practices</w:t>
      </w:r>
      <w:r w:rsidR="003D640C">
        <w:rPr>
          <w:lang w:eastAsia="en-NZ"/>
        </w:rPr>
        <w:t xml:space="preserve"> </w:t>
      </w:r>
      <w:r w:rsidR="000D444B">
        <w:rPr>
          <w:lang w:eastAsia="en-NZ"/>
        </w:rPr>
        <w:t>and</w:t>
      </w:r>
      <w:r w:rsidR="003D640C">
        <w:rPr>
          <w:lang w:eastAsia="en-NZ"/>
        </w:rPr>
        <w:t xml:space="preserve"> </w:t>
      </w:r>
      <w:r w:rsidR="000D444B">
        <w:rPr>
          <w:lang w:eastAsia="en-NZ"/>
        </w:rPr>
        <w:t>internalised</w:t>
      </w:r>
      <w:r w:rsidR="003D640C">
        <w:rPr>
          <w:lang w:eastAsia="en-NZ"/>
        </w:rPr>
        <w:t xml:space="preserve"> </w:t>
      </w:r>
      <w:r w:rsidR="000D444B">
        <w:rPr>
          <w:lang w:eastAsia="en-NZ"/>
        </w:rPr>
        <w:t>transphobia.</w:t>
      </w:r>
      <w:r w:rsidR="00AF395E">
        <w:rPr>
          <w:rStyle w:val="FootnoteReference"/>
          <w:rFonts w:ascii="Calibri" w:eastAsia="Times New Roman" w:hAnsi="Calibri" w:cs="Calibri"/>
          <w:lang w:eastAsia="en-NZ"/>
        </w:rPr>
        <w:footnoteReference w:id="245"/>
      </w:r>
      <w:r w:rsidR="003D640C">
        <w:rPr>
          <w:lang w:eastAsia="en-NZ"/>
        </w:rPr>
        <w:t xml:space="preserve"> </w:t>
      </w:r>
      <w:r w:rsidR="000D444B">
        <w:rPr>
          <w:lang w:eastAsia="en-NZ"/>
        </w:rPr>
        <w:t>Additionally,</w:t>
      </w:r>
      <w:r w:rsidR="003D640C">
        <w:rPr>
          <w:lang w:eastAsia="en-NZ"/>
        </w:rPr>
        <w:t xml:space="preserve"> </w:t>
      </w:r>
      <w:r w:rsidR="000D444B">
        <w:rPr>
          <w:lang w:eastAsia="en-NZ"/>
        </w:rPr>
        <w:t>survey</w:t>
      </w:r>
      <w:r w:rsidR="003D640C">
        <w:rPr>
          <w:lang w:eastAsia="en-NZ"/>
        </w:rPr>
        <w:t xml:space="preserve"> </w:t>
      </w:r>
      <w:r w:rsidR="000D444B">
        <w:rPr>
          <w:lang w:eastAsia="en-NZ"/>
        </w:rPr>
        <w:t>participants</w:t>
      </w:r>
      <w:r w:rsidR="003D640C">
        <w:rPr>
          <w:lang w:eastAsia="en-NZ"/>
        </w:rPr>
        <w:t xml:space="preserve"> </w:t>
      </w:r>
      <w:r w:rsidR="000D444B">
        <w:rPr>
          <w:lang w:eastAsia="en-NZ"/>
        </w:rPr>
        <w:t>who</w:t>
      </w:r>
      <w:r w:rsidR="003D640C">
        <w:rPr>
          <w:lang w:eastAsia="en-NZ"/>
        </w:rPr>
        <w:t xml:space="preserve"> </w:t>
      </w:r>
      <w:r w:rsidR="000D444B">
        <w:rPr>
          <w:lang w:eastAsia="en-NZ"/>
        </w:rPr>
        <w:t>had</w:t>
      </w:r>
      <w:r w:rsidR="003D640C">
        <w:rPr>
          <w:lang w:eastAsia="en-NZ"/>
        </w:rPr>
        <w:t xml:space="preserve"> </w:t>
      </w:r>
      <w:r w:rsidR="000D444B">
        <w:rPr>
          <w:lang w:eastAsia="en-NZ"/>
        </w:rPr>
        <w:t>experienced</w:t>
      </w:r>
      <w:r w:rsidR="003D640C">
        <w:rPr>
          <w:lang w:eastAsia="en-NZ"/>
        </w:rPr>
        <w:t xml:space="preserve"> </w:t>
      </w:r>
      <w:r w:rsidR="00AB7B38">
        <w:rPr>
          <w:lang w:eastAsia="en-NZ"/>
        </w:rPr>
        <w:t>family</w:t>
      </w:r>
      <w:r w:rsidR="003D640C">
        <w:rPr>
          <w:lang w:eastAsia="en-NZ"/>
        </w:rPr>
        <w:t xml:space="preserve"> </w:t>
      </w:r>
      <w:r w:rsidR="00AB7B38">
        <w:rPr>
          <w:lang w:eastAsia="en-NZ"/>
        </w:rPr>
        <w:t>rejection</w:t>
      </w:r>
      <w:r w:rsidR="003D640C">
        <w:rPr>
          <w:lang w:eastAsia="en-NZ"/>
        </w:rPr>
        <w:t xml:space="preserve"> </w:t>
      </w:r>
      <w:r w:rsidR="00AB7B38">
        <w:rPr>
          <w:lang w:eastAsia="en-NZ"/>
        </w:rPr>
        <w:t>were</w:t>
      </w:r>
      <w:r w:rsidR="003D640C">
        <w:rPr>
          <w:lang w:eastAsia="en-NZ"/>
        </w:rPr>
        <w:t xml:space="preserve"> </w:t>
      </w:r>
      <w:r w:rsidR="00AB7B38">
        <w:rPr>
          <w:lang w:eastAsia="en-NZ"/>
        </w:rPr>
        <w:t>more</w:t>
      </w:r>
      <w:r w:rsidR="003D640C">
        <w:rPr>
          <w:lang w:eastAsia="en-NZ"/>
        </w:rPr>
        <w:t xml:space="preserve"> </w:t>
      </w:r>
      <w:r w:rsidR="00AB7B38">
        <w:rPr>
          <w:lang w:eastAsia="en-NZ"/>
        </w:rPr>
        <w:t>likely</w:t>
      </w:r>
      <w:r w:rsidR="003D640C">
        <w:rPr>
          <w:lang w:eastAsia="en-NZ"/>
        </w:rPr>
        <w:t xml:space="preserve"> </w:t>
      </w:r>
      <w:r w:rsidR="00AB7B38">
        <w:rPr>
          <w:lang w:eastAsia="en-NZ"/>
        </w:rPr>
        <w:t>to</w:t>
      </w:r>
      <w:r w:rsidR="003D640C">
        <w:rPr>
          <w:lang w:eastAsia="en-NZ"/>
        </w:rPr>
        <w:t xml:space="preserve"> </w:t>
      </w:r>
      <w:r w:rsidR="00AB7B38">
        <w:rPr>
          <w:lang w:eastAsia="en-NZ"/>
        </w:rPr>
        <w:t>report</w:t>
      </w:r>
      <w:r w:rsidR="003D640C">
        <w:rPr>
          <w:lang w:eastAsia="en-NZ"/>
        </w:rPr>
        <w:t xml:space="preserve"> </w:t>
      </w:r>
      <w:r w:rsidR="00AB7B38">
        <w:rPr>
          <w:lang w:eastAsia="en-NZ"/>
        </w:rPr>
        <w:t>gender</w:t>
      </w:r>
      <w:r w:rsidR="003D640C">
        <w:rPr>
          <w:lang w:eastAsia="en-NZ"/>
        </w:rPr>
        <w:t xml:space="preserve"> </w:t>
      </w:r>
      <w:r w:rsidR="00AB7B38">
        <w:rPr>
          <w:lang w:eastAsia="en-NZ"/>
        </w:rPr>
        <w:t>identity-based</w:t>
      </w:r>
      <w:r w:rsidR="003D640C">
        <w:rPr>
          <w:lang w:eastAsia="en-NZ"/>
        </w:rPr>
        <w:t xml:space="preserve"> </w:t>
      </w:r>
      <w:r w:rsidR="00AB7B38">
        <w:rPr>
          <w:lang w:eastAsia="en-NZ"/>
        </w:rPr>
        <w:t>conversion</w:t>
      </w:r>
      <w:r w:rsidR="003D640C">
        <w:rPr>
          <w:lang w:eastAsia="en-NZ"/>
        </w:rPr>
        <w:t xml:space="preserve"> </w:t>
      </w:r>
      <w:r w:rsidR="00AB7B38">
        <w:rPr>
          <w:lang w:eastAsia="en-NZ"/>
        </w:rPr>
        <w:t>practices</w:t>
      </w:r>
      <w:r w:rsidR="003D640C">
        <w:rPr>
          <w:lang w:eastAsia="en-NZ"/>
        </w:rPr>
        <w:t xml:space="preserve"> </w:t>
      </w:r>
      <w:r w:rsidR="00AB7B38">
        <w:rPr>
          <w:lang w:eastAsia="en-NZ"/>
        </w:rPr>
        <w:t>than</w:t>
      </w:r>
      <w:r w:rsidR="003D640C">
        <w:rPr>
          <w:lang w:eastAsia="en-NZ"/>
        </w:rPr>
        <w:t xml:space="preserve"> </w:t>
      </w:r>
      <w:r w:rsidR="00AB7B38">
        <w:rPr>
          <w:lang w:eastAsia="en-NZ"/>
        </w:rPr>
        <w:t>those</w:t>
      </w:r>
      <w:r w:rsidR="003D640C">
        <w:rPr>
          <w:lang w:eastAsia="en-NZ"/>
        </w:rPr>
        <w:t xml:space="preserve"> </w:t>
      </w:r>
      <w:r w:rsidR="00AB7B38">
        <w:rPr>
          <w:lang w:eastAsia="en-NZ"/>
        </w:rPr>
        <w:t>who</w:t>
      </w:r>
      <w:r w:rsidR="003D640C">
        <w:rPr>
          <w:lang w:eastAsia="en-NZ"/>
        </w:rPr>
        <w:t xml:space="preserve"> </w:t>
      </w:r>
      <w:r w:rsidR="00AB7B38">
        <w:rPr>
          <w:lang w:eastAsia="en-NZ"/>
        </w:rPr>
        <w:t>had</w:t>
      </w:r>
      <w:r w:rsidR="003D640C">
        <w:rPr>
          <w:lang w:eastAsia="en-NZ"/>
        </w:rPr>
        <w:t xml:space="preserve"> </w:t>
      </w:r>
      <w:r w:rsidR="00AB7B38">
        <w:rPr>
          <w:lang w:eastAsia="en-NZ"/>
        </w:rPr>
        <w:t>not.</w:t>
      </w:r>
      <w:r w:rsidR="003D640C">
        <w:rPr>
          <w:lang w:eastAsia="en-NZ"/>
        </w:rPr>
        <w:t xml:space="preserve"> </w:t>
      </w:r>
      <w:r w:rsidR="00945B1F">
        <w:rPr>
          <w:lang w:eastAsia="en-NZ"/>
        </w:rPr>
        <w:t>This</w:t>
      </w:r>
      <w:r w:rsidR="003D640C">
        <w:rPr>
          <w:lang w:eastAsia="en-NZ"/>
        </w:rPr>
        <w:t xml:space="preserve"> </w:t>
      </w:r>
      <w:r w:rsidR="00945B1F">
        <w:rPr>
          <w:lang w:eastAsia="en-NZ"/>
        </w:rPr>
        <w:t>suggests</w:t>
      </w:r>
      <w:r w:rsidR="003D640C">
        <w:rPr>
          <w:lang w:eastAsia="en-NZ"/>
        </w:rPr>
        <w:t xml:space="preserve"> </w:t>
      </w:r>
      <w:r w:rsidR="00945B1F">
        <w:rPr>
          <w:lang w:eastAsia="en-NZ"/>
        </w:rPr>
        <w:t>conversion</w:t>
      </w:r>
      <w:r w:rsidR="003D640C">
        <w:rPr>
          <w:lang w:eastAsia="en-NZ"/>
        </w:rPr>
        <w:t xml:space="preserve"> </w:t>
      </w:r>
      <w:r w:rsidR="00945B1F">
        <w:rPr>
          <w:lang w:eastAsia="en-NZ"/>
        </w:rPr>
        <w:t>practices</w:t>
      </w:r>
      <w:r w:rsidR="003D640C">
        <w:rPr>
          <w:lang w:eastAsia="en-NZ"/>
        </w:rPr>
        <w:t xml:space="preserve"> </w:t>
      </w:r>
      <w:r w:rsidR="00945B1F">
        <w:rPr>
          <w:lang w:eastAsia="en-NZ"/>
        </w:rPr>
        <w:t>are</w:t>
      </w:r>
      <w:r w:rsidR="003D640C">
        <w:rPr>
          <w:lang w:eastAsia="en-NZ"/>
        </w:rPr>
        <w:t xml:space="preserve"> </w:t>
      </w:r>
      <w:r w:rsidR="00945B1F">
        <w:rPr>
          <w:lang w:eastAsia="en-NZ"/>
        </w:rPr>
        <w:t>one</w:t>
      </w:r>
      <w:r w:rsidR="003D640C">
        <w:rPr>
          <w:lang w:eastAsia="en-NZ"/>
        </w:rPr>
        <w:t xml:space="preserve"> </w:t>
      </w:r>
      <w:r w:rsidR="00945B1F">
        <w:rPr>
          <w:lang w:eastAsia="en-NZ"/>
        </w:rPr>
        <w:t>of</w:t>
      </w:r>
      <w:r w:rsidR="003D640C">
        <w:rPr>
          <w:lang w:eastAsia="en-NZ"/>
        </w:rPr>
        <w:t xml:space="preserve"> </w:t>
      </w:r>
      <w:r w:rsidR="00945B1F">
        <w:rPr>
          <w:lang w:eastAsia="en-NZ"/>
        </w:rPr>
        <w:t>the</w:t>
      </w:r>
      <w:r w:rsidR="003D640C">
        <w:rPr>
          <w:lang w:eastAsia="en-NZ"/>
        </w:rPr>
        <w:t xml:space="preserve"> </w:t>
      </w:r>
      <w:r w:rsidR="00945B1F">
        <w:rPr>
          <w:lang w:eastAsia="en-NZ"/>
        </w:rPr>
        <w:t>ways</w:t>
      </w:r>
      <w:r w:rsidR="003D640C">
        <w:rPr>
          <w:lang w:eastAsia="en-NZ"/>
        </w:rPr>
        <w:t xml:space="preserve"> </w:t>
      </w:r>
      <w:r w:rsidR="00945B1F">
        <w:rPr>
          <w:lang w:eastAsia="en-NZ"/>
        </w:rPr>
        <w:t>that</w:t>
      </w:r>
      <w:r w:rsidR="003D640C">
        <w:rPr>
          <w:lang w:eastAsia="en-NZ"/>
        </w:rPr>
        <w:t xml:space="preserve"> </w:t>
      </w:r>
      <w:r w:rsidR="00945B1F">
        <w:rPr>
          <w:lang w:eastAsia="en-NZ"/>
        </w:rPr>
        <w:t>family</w:t>
      </w:r>
      <w:r w:rsidR="003D640C">
        <w:rPr>
          <w:lang w:eastAsia="en-NZ"/>
        </w:rPr>
        <w:t xml:space="preserve"> </w:t>
      </w:r>
      <w:r w:rsidR="00945B1F">
        <w:rPr>
          <w:lang w:eastAsia="en-NZ"/>
        </w:rPr>
        <w:t>rejection</w:t>
      </w:r>
      <w:r w:rsidR="003D640C">
        <w:rPr>
          <w:lang w:eastAsia="en-NZ"/>
        </w:rPr>
        <w:t xml:space="preserve"> </w:t>
      </w:r>
      <w:r w:rsidR="00945B1F">
        <w:rPr>
          <w:lang w:eastAsia="en-NZ"/>
        </w:rPr>
        <w:t>can</w:t>
      </w:r>
      <w:r w:rsidR="003D640C">
        <w:rPr>
          <w:lang w:eastAsia="en-NZ"/>
        </w:rPr>
        <w:t xml:space="preserve"> </w:t>
      </w:r>
      <w:r w:rsidR="00945B1F">
        <w:rPr>
          <w:lang w:eastAsia="en-NZ"/>
        </w:rPr>
        <w:t>cause</w:t>
      </w:r>
      <w:r w:rsidR="003D640C">
        <w:rPr>
          <w:lang w:eastAsia="en-NZ"/>
        </w:rPr>
        <w:t xml:space="preserve"> </w:t>
      </w:r>
      <w:r w:rsidR="00945B1F">
        <w:rPr>
          <w:lang w:eastAsia="en-NZ"/>
        </w:rPr>
        <w:t>psychological</w:t>
      </w:r>
      <w:r w:rsidR="003D640C">
        <w:rPr>
          <w:lang w:eastAsia="en-NZ"/>
        </w:rPr>
        <w:t xml:space="preserve"> </w:t>
      </w:r>
      <w:r w:rsidR="00945B1F">
        <w:rPr>
          <w:lang w:eastAsia="en-NZ"/>
        </w:rPr>
        <w:t>harm</w:t>
      </w:r>
      <w:r w:rsidR="003D640C">
        <w:rPr>
          <w:lang w:eastAsia="en-NZ"/>
        </w:rPr>
        <w:t xml:space="preserve"> </w:t>
      </w:r>
      <w:r w:rsidR="00945B1F">
        <w:rPr>
          <w:lang w:eastAsia="en-NZ"/>
        </w:rPr>
        <w:t>to</w:t>
      </w:r>
      <w:r w:rsidR="003D640C">
        <w:rPr>
          <w:lang w:eastAsia="en-NZ"/>
        </w:rPr>
        <w:t xml:space="preserve"> </w:t>
      </w:r>
      <w:r w:rsidR="00945B1F">
        <w:rPr>
          <w:lang w:eastAsia="en-NZ"/>
        </w:rPr>
        <w:t>trans</w:t>
      </w:r>
      <w:r w:rsidR="003D640C">
        <w:rPr>
          <w:lang w:eastAsia="en-NZ"/>
        </w:rPr>
        <w:t xml:space="preserve"> </w:t>
      </w:r>
      <w:r w:rsidR="00945B1F">
        <w:rPr>
          <w:lang w:eastAsia="en-NZ"/>
        </w:rPr>
        <w:t>people.</w:t>
      </w:r>
    </w:p>
    <w:p w14:paraId="35A97F7A" w14:textId="4715BE72" w:rsidR="00501068" w:rsidRDefault="00090E73" w:rsidP="002E6693">
      <w:pPr>
        <w:rPr>
          <w:lang w:eastAsia="en-NZ"/>
        </w:rPr>
      </w:pPr>
      <w:r>
        <w:rPr>
          <w:lang w:eastAsia="en-NZ"/>
        </w:rPr>
        <w:t>A</w:t>
      </w:r>
      <w:r w:rsidR="003D640C">
        <w:rPr>
          <w:lang w:eastAsia="en-NZ"/>
        </w:rPr>
        <w:t xml:space="preserve"> </w:t>
      </w:r>
      <w:r>
        <w:rPr>
          <w:lang w:eastAsia="en-NZ"/>
        </w:rPr>
        <w:t>separate</w:t>
      </w:r>
      <w:r w:rsidR="003D640C">
        <w:rPr>
          <w:lang w:eastAsia="en-NZ"/>
        </w:rPr>
        <w:t xml:space="preserve"> </w:t>
      </w:r>
      <w:r>
        <w:rPr>
          <w:lang w:eastAsia="en-NZ"/>
        </w:rPr>
        <w:t>Aote</w:t>
      </w:r>
      <w:r w:rsidR="005F3480">
        <w:rPr>
          <w:lang w:eastAsia="en-NZ"/>
        </w:rPr>
        <w:t>a</w:t>
      </w:r>
      <w:r>
        <w:rPr>
          <w:lang w:eastAsia="en-NZ"/>
        </w:rPr>
        <w:t>roa-based</w:t>
      </w:r>
      <w:r w:rsidR="003D640C">
        <w:rPr>
          <w:lang w:eastAsia="en-NZ"/>
        </w:rPr>
        <w:t xml:space="preserve"> </w:t>
      </w:r>
      <w:r w:rsidR="00FD408D" w:rsidRPr="00BB6220">
        <w:rPr>
          <w:lang w:eastAsia="en-NZ"/>
        </w:rPr>
        <w:t>study</w:t>
      </w:r>
      <w:r w:rsidR="003D640C">
        <w:rPr>
          <w:lang w:eastAsia="en-NZ"/>
        </w:rPr>
        <w:t xml:space="preserve"> </w:t>
      </w:r>
      <w:r w:rsidR="0012323C">
        <w:rPr>
          <w:lang w:eastAsia="en-NZ"/>
        </w:rPr>
        <w:t>asked</w:t>
      </w:r>
      <w:r w:rsidR="003D640C">
        <w:rPr>
          <w:lang w:eastAsia="en-NZ"/>
        </w:rPr>
        <w:t xml:space="preserve"> </w:t>
      </w:r>
      <w:r w:rsidR="008106ED">
        <w:rPr>
          <w:lang w:eastAsia="en-NZ"/>
        </w:rPr>
        <w:t>participants</w:t>
      </w:r>
      <w:r w:rsidR="003D640C">
        <w:rPr>
          <w:lang w:eastAsia="en-NZ"/>
        </w:rPr>
        <w:t xml:space="preserve"> </w:t>
      </w:r>
      <w:r w:rsidR="008106ED">
        <w:rPr>
          <w:lang w:eastAsia="en-NZ"/>
        </w:rPr>
        <w:t>who</w:t>
      </w:r>
      <w:r w:rsidR="003D640C">
        <w:rPr>
          <w:lang w:eastAsia="en-NZ"/>
        </w:rPr>
        <w:t xml:space="preserve"> </w:t>
      </w:r>
      <w:r w:rsidR="00A83DF3">
        <w:rPr>
          <w:lang w:eastAsia="en-NZ"/>
        </w:rPr>
        <w:t>it was who</w:t>
      </w:r>
      <w:r w:rsidR="003D640C">
        <w:rPr>
          <w:lang w:eastAsia="en-NZ"/>
        </w:rPr>
        <w:t xml:space="preserve"> </w:t>
      </w:r>
      <w:r w:rsidR="008106ED">
        <w:rPr>
          <w:lang w:eastAsia="en-NZ"/>
        </w:rPr>
        <w:t>had</w:t>
      </w:r>
      <w:r w:rsidR="003D640C">
        <w:rPr>
          <w:lang w:eastAsia="en-NZ"/>
        </w:rPr>
        <w:t xml:space="preserve"> </w:t>
      </w:r>
      <w:r w:rsidR="008106ED">
        <w:rPr>
          <w:lang w:eastAsia="en-NZ"/>
        </w:rPr>
        <w:t>suggested</w:t>
      </w:r>
      <w:r w:rsidR="003D640C">
        <w:rPr>
          <w:lang w:eastAsia="en-NZ"/>
        </w:rPr>
        <w:t xml:space="preserve"> </w:t>
      </w:r>
      <w:r w:rsidR="00302C5C">
        <w:rPr>
          <w:lang w:eastAsia="en-NZ"/>
        </w:rPr>
        <w:t>to</w:t>
      </w:r>
      <w:r w:rsidR="003D640C">
        <w:rPr>
          <w:lang w:eastAsia="en-NZ"/>
        </w:rPr>
        <w:t xml:space="preserve"> </w:t>
      </w:r>
      <w:r w:rsidR="00302C5C">
        <w:rPr>
          <w:lang w:eastAsia="en-NZ"/>
        </w:rPr>
        <w:t>them</w:t>
      </w:r>
      <w:r w:rsidR="003D640C">
        <w:rPr>
          <w:lang w:eastAsia="en-NZ"/>
        </w:rPr>
        <w:t xml:space="preserve"> </w:t>
      </w:r>
      <w:r w:rsidR="00302C5C">
        <w:rPr>
          <w:lang w:eastAsia="en-NZ"/>
        </w:rPr>
        <w:t>that</w:t>
      </w:r>
      <w:r w:rsidR="003D640C">
        <w:rPr>
          <w:lang w:eastAsia="en-NZ"/>
        </w:rPr>
        <w:t xml:space="preserve"> </w:t>
      </w:r>
      <w:r w:rsidR="004E0D03">
        <w:rPr>
          <w:lang w:eastAsia="en-NZ"/>
        </w:rPr>
        <w:t>they</w:t>
      </w:r>
      <w:r w:rsidR="003D640C">
        <w:rPr>
          <w:lang w:eastAsia="en-NZ"/>
        </w:rPr>
        <w:t xml:space="preserve"> </w:t>
      </w:r>
      <w:r w:rsidR="004E0D03">
        <w:rPr>
          <w:lang w:eastAsia="en-NZ"/>
        </w:rPr>
        <w:t>undergo</w:t>
      </w:r>
      <w:r w:rsidR="003D640C">
        <w:rPr>
          <w:lang w:eastAsia="en-NZ"/>
        </w:rPr>
        <w:t xml:space="preserve"> </w:t>
      </w:r>
      <w:r w:rsidR="004E0D03">
        <w:rPr>
          <w:lang w:eastAsia="en-NZ"/>
        </w:rPr>
        <w:t>conversion</w:t>
      </w:r>
      <w:r w:rsidR="003D640C">
        <w:rPr>
          <w:lang w:eastAsia="en-NZ"/>
        </w:rPr>
        <w:t xml:space="preserve"> </w:t>
      </w:r>
      <w:r w:rsidR="004E0D03">
        <w:rPr>
          <w:lang w:eastAsia="en-NZ"/>
        </w:rPr>
        <w:t>practices.</w:t>
      </w:r>
      <w:r w:rsidR="003D640C">
        <w:rPr>
          <w:lang w:eastAsia="en-NZ"/>
        </w:rPr>
        <w:t xml:space="preserve"> </w:t>
      </w:r>
      <w:r w:rsidR="00C262D9">
        <w:rPr>
          <w:lang w:eastAsia="en-NZ"/>
        </w:rPr>
        <w:t>It</w:t>
      </w:r>
      <w:r w:rsidR="003D640C">
        <w:rPr>
          <w:lang w:eastAsia="en-NZ"/>
        </w:rPr>
        <w:t xml:space="preserve"> </w:t>
      </w:r>
      <w:r w:rsidR="00FD408D" w:rsidRPr="00BB6220">
        <w:rPr>
          <w:lang w:eastAsia="en-NZ"/>
        </w:rPr>
        <w:t>found</w:t>
      </w:r>
      <w:r w:rsidR="003D640C">
        <w:rPr>
          <w:lang w:eastAsia="en-NZ"/>
        </w:rPr>
        <w:t xml:space="preserve"> </w:t>
      </w:r>
      <w:r w:rsidR="00FD408D" w:rsidRPr="00BB6220">
        <w:rPr>
          <w:lang w:eastAsia="en-NZ"/>
        </w:rPr>
        <w:t>that</w:t>
      </w:r>
      <w:r w:rsidR="003D640C">
        <w:rPr>
          <w:lang w:eastAsia="en-NZ"/>
        </w:rPr>
        <w:t xml:space="preserve"> </w:t>
      </w:r>
      <w:r w:rsidR="00FD408D" w:rsidRPr="00BB6220">
        <w:rPr>
          <w:lang w:eastAsia="en-NZ"/>
        </w:rPr>
        <w:t>f</w:t>
      </w:r>
      <w:r w:rsidR="00D10DF5" w:rsidRPr="00BB6220">
        <w:rPr>
          <w:lang w:eastAsia="en-NZ"/>
        </w:rPr>
        <w:t>amily</w:t>
      </w:r>
      <w:r w:rsidR="003D640C">
        <w:rPr>
          <w:lang w:eastAsia="en-NZ"/>
        </w:rPr>
        <w:t xml:space="preserve"> </w:t>
      </w:r>
      <w:r w:rsidR="00D10DF5" w:rsidRPr="00BB6220">
        <w:rPr>
          <w:lang w:eastAsia="en-NZ"/>
        </w:rPr>
        <w:t>members</w:t>
      </w:r>
      <w:r w:rsidR="003D640C">
        <w:rPr>
          <w:lang w:eastAsia="en-NZ"/>
        </w:rPr>
        <w:t xml:space="preserve"> </w:t>
      </w:r>
      <w:r w:rsidR="00B2315E">
        <w:rPr>
          <w:lang w:eastAsia="en-NZ"/>
        </w:rPr>
        <w:t>were</w:t>
      </w:r>
      <w:r w:rsidR="003D640C">
        <w:rPr>
          <w:lang w:eastAsia="en-NZ"/>
        </w:rPr>
        <w:t xml:space="preserve"> </w:t>
      </w:r>
      <w:r w:rsidR="00D10DF5" w:rsidRPr="00BB6220">
        <w:rPr>
          <w:lang w:eastAsia="en-NZ"/>
        </w:rPr>
        <w:t>the</w:t>
      </w:r>
      <w:r w:rsidR="003D640C">
        <w:rPr>
          <w:lang w:eastAsia="en-NZ"/>
        </w:rPr>
        <w:t xml:space="preserve"> </w:t>
      </w:r>
      <w:r w:rsidR="00D10DF5" w:rsidRPr="00BB6220">
        <w:rPr>
          <w:lang w:eastAsia="en-NZ"/>
        </w:rPr>
        <w:t>most</w:t>
      </w:r>
      <w:r w:rsidR="003D640C">
        <w:rPr>
          <w:lang w:eastAsia="en-NZ"/>
        </w:rPr>
        <w:t xml:space="preserve"> </w:t>
      </w:r>
      <w:r w:rsidR="00D10DF5" w:rsidRPr="00BB6220">
        <w:rPr>
          <w:lang w:eastAsia="en-NZ"/>
        </w:rPr>
        <w:t>common</w:t>
      </w:r>
      <w:r w:rsidR="003D640C">
        <w:rPr>
          <w:lang w:eastAsia="en-NZ"/>
        </w:rPr>
        <w:t xml:space="preserve"> </w:t>
      </w:r>
      <w:r w:rsidR="00B2315E">
        <w:rPr>
          <w:lang w:eastAsia="en-NZ"/>
        </w:rPr>
        <w:t>‘</w:t>
      </w:r>
      <w:r w:rsidR="007C272E" w:rsidRPr="00BB6220">
        <w:rPr>
          <w:lang w:eastAsia="en-NZ"/>
        </w:rPr>
        <w:t>suggeste</w:t>
      </w:r>
      <w:r w:rsidR="00B2315E">
        <w:rPr>
          <w:lang w:eastAsia="en-NZ"/>
        </w:rPr>
        <w:t>rs’</w:t>
      </w:r>
      <w:r w:rsidR="003D640C">
        <w:rPr>
          <w:lang w:eastAsia="en-NZ"/>
        </w:rPr>
        <w:t xml:space="preserve"> </w:t>
      </w:r>
      <w:r w:rsidR="00D10DF5" w:rsidRPr="00BB6220">
        <w:rPr>
          <w:lang w:eastAsia="en-NZ"/>
        </w:rPr>
        <w:t>to</w:t>
      </w:r>
      <w:r w:rsidR="003D640C">
        <w:rPr>
          <w:lang w:eastAsia="en-NZ"/>
        </w:rPr>
        <w:t xml:space="preserve"> </w:t>
      </w:r>
      <w:r w:rsidR="00D10DF5" w:rsidRPr="00BB6220">
        <w:rPr>
          <w:lang w:eastAsia="en-NZ"/>
        </w:rPr>
        <w:t>transgender</w:t>
      </w:r>
      <w:r w:rsidR="003D640C">
        <w:rPr>
          <w:lang w:eastAsia="en-NZ"/>
        </w:rPr>
        <w:t xml:space="preserve"> </w:t>
      </w:r>
      <w:r w:rsidR="00D10DF5" w:rsidRPr="00BB6220">
        <w:rPr>
          <w:lang w:eastAsia="en-NZ"/>
        </w:rPr>
        <w:t>young</w:t>
      </w:r>
      <w:r w:rsidR="003D640C">
        <w:rPr>
          <w:lang w:eastAsia="en-NZ"/>
        </w:rPr>
        <w:t xml:space="preserve"> </w:t>
      </w:r>
      <w:r w:rsidR="00D10DF5" w:rsidRPr="00BB6220">
        <w:rPr>
          <w:lang w:eastAsia="en-NZ"/>
        </w:rPr>
        <w:t>people,</w:t>
      </w:r>
      <w:r w:rsidR="003D640C">
        <w:rPr>
          <w:lang w:eastAsia="en-NZ"/>
        </w:rPr>
        <w:t xml:space="preserve"> </w:t>
      </w:r>
      <w:r w:rsidR="00D10DF5" w:rsidRPr="00BB6220">
        <w:rPr>
          <w:lang w:eastAsia="en-NZ"/>
        </w:rPr>
        <w:t>followed</w:t>
      </w:r>
      <w:r w:rsidR="003D640C">
        <w:rPr>
          <w:lang w:eastAsia="en-NZ"/>
        </w:rPr>
        <w:t xml:space="preserve"> </w:t>
      </w:r>
      <w:r w:rsidR="00D10DF5" w:rsidRPr="00BB6220">
        <w:rPr>
          <w:lang w:eastAsia="en-NZ"/>
        </w:rPr>
        <w:t>by</w:t>
      </w:r>
      <w:r w:rsidR="003D640C">
        <w:rPr>
          <w:lang w:eastAsia="en-NZ"/>
        </w:rPr>
        <w:t xml:space="preserve"> </w:t>
      </w:r>
      <w:r w:rsidR="00D10DF5" w:rsidRPr="00BB6220">
        <w:rPr>
          <w:lang w:eastAsia="en-NZ"/>
        </w:rPr>
        <w:t>religious</w:t>
      </w:r>
      <w:r w:rsidR="003D640C">
        <w:rPr>
          <w:lang w:eastAsia="en-NZ"/>
        </w:rPr>
        <w:t xml:space="preserve"> </w:t>
      </w:r>
      <w:r w:rsidR="00D10DF5" w:rsidRPr="00BB6220">
        <w:rPr>
          <w:lang w:eastAsia="en-NZ"/>
        </w:rPr>
        <w:t>leaders.</w:t>
      </w:r>
      <w:r w:rsidR="005A193B" w:rsidRPr="00BB6220">
        <w:rPr>
          <w:rStyle w:val="FootnoteReference"/>
          <w:rFonts w:ascii="Calibri" w:eastAsia="Times New Roman" w:hAnsi="Calibri" w:cs="Calibri"/>
          <w:lang w:eastAsia="en-NZ"/>
        </w:rPr>
        <w:footnoteReference w:id="246"/>
      </w:r>
      <w:r w:rsidR="003D640C">
        <w:rPr>
          <w:lang w:eastAsia="en-NZ"/>
        </w:rPr>
        <w:t xml:space="preserve"> </w:t>
      </w:r>
    </w:p>
    <w:p w14:paraId="176EC84A" w14:textId="2AA27A07" w:rsidR="00501068" w:rsidRDefault="00342515" w:rsidP="002E6693">
      <w:pPr>
        <w:rPr>
          <w:rFonts w:ascii="Segoe UI" w:eastAsia="Times New Roman" w:hAnsi="Segoe UI" w:cs="Segoe UI"/>
          <w:sz w:val="18"/>
          <w:szCs w:val="18"/>
          <w:lang w:eastAsia="en-NZ"/>
        </w:rPr>
      </w:pPr>
      <w:bookmarkStart w:id="313" w:name="_Int_pvlivBkL"/>
      <w:r>
        <w:rPr>
          <w:rFonts w:ascii="Calibri" w:eastAsia="Times New Roman" w:hAnsi="Calibri" w:cs="Calibri"/>
          <w:lang w:eastAsia="en-NZ"/>
        </w:rPr>
        <w:t>T</w:t>
      </w:r>
      <w:r w:rsidR="008E00BD">
        <w:rPr>
          <w:rFonts w:ascii="Calibri" w:eastAsia="Times New Roman" w:hAnsi="Calibri" w:cs="Calibri"/>
          <w:lang w:eastAsia="en-NZ"/>
        </w:rPr>
        <w:t>ogether</w:t>
      </w:r>
      <w:r w:rsidR="000E5614">
        <w:rPr>
          <w:rFonts w:ascii="Calibri" w:eastAsia="Times New Roman" w:hAnsi="Calibri" w:cs="Calibri"/>
          <w:lang w:eastAsia="en-NZ"/>
        </w:rPr>
        <w:t>, t</w:t>
      </w:r>
      <w:r>
        <w:rPr>
          <w:rFonts w:ascii="Calibri" w:eastAsia="Times New Roman" w:hAnsi="Calibri" w:cs="Calibri"/>
          <w:lang w:eastAsia="en-NZ"/>
        </w:rPr>
        <w:t>he results of</w:t>
      </w:r>
      <w:bookmarkEnd w:id="313"/>
      <w:r w:rsidR="003D640C">
        <w:rPr>
          <w:rFonts w:ascii="Calibri" w:eastAsia="Times New Roman" w:hAnsi="Calibri" w:cs="Calibri"/>
          <w:lang w:eastAsia="en-NZ"/>
        </w:rPr>
        <w:t xml:space="preserve"> </w:t>
      </w:r>
      <w:r w:rsidR="00D10DF5" w:rsidRPr="00BB6220">
        <w:rPr>
          <w:rFonts w:ascii="Calibri" w:eastAsia="Times New Roman" w:hAnsi="Calibri" w:cs="Calibri"/>
          <w:lang w:eastAsia="en-NZ"/>
        </w:rPr>
        <w:t>these</w:t>
      </w:r>
      <w:r w:rsidR="003D640C">
        <w:rPr>
          <w:rFonts w:ascii="Calibri" w:eastAsia="Times New Roman" w:hAnsi="Calibri" w:cs="Calibri"/>
          <w:lang w:eastAsia="en-NZ"/>
        </w:rPr>
        <w:t xml:space="preserve"> </w:t>
      </w:r>
      <w:r w:rsidR="00D10DF5" w:rsidRPr="00BB6220">
        <w:rPr>
          <w:rFonts w:ascii="Calibri" w:eastAsia="Times New Roman" w:hAnsi="Calibri" w:cs="Calibri"/>
          <w:lang w:eastAsia="en-NZ"/>
        </w:rPr>
        <w:t>studies</w:t>
      </w:r>
      <w:r>
        <w:rPr>
          <w:rFonts w:ascii="Calibri" w:eastAsia="Times New Roman" w:hAnsi="Calibri" w:cs="Calibri"/>
          <w:lang w:eastAsia="en-NZ"/>
        </w:rPr>
        <w:t xml:space="preserve"> </w:t>
      </w:r>
      <w:r w:rsidR="00017C95">
        <w:rPr>
          <w:rFonts w:ascii="Calibri" w:eastAsia="Times New Roman" w:hAnsi="Calibri" w:cs="Calibri"/>
          <w:lang w:eastAsia="en-NZ"/>
        </w:rPr>
        <w:t>emphasise</w:t>
      </w:r>
      <w:r w:rsidR="003D640C">
        <w:rPr>
          <w:rFonts w:ascii="Calibri" w:eastAsia="Times New Roman" w:hAnsi="Calibri" w:cs="Calibri"/>
          <w:lang w:eastAsia="en-NZ"/>
        </w:rPr>
        <w:t xml:space="preserve"> </w:t>
      </w:r>
      <w:r w:rsidR="00017C95">
        <w:rPr>
          <w:rFonts w:ascii="Calibri" w:eastAsia="Times New Roman" w:hAnsi="Calibri" w:cs="Calibri"/>
          <w:lang w:eastAsia="en-NZ"/>
        </w:rPr>
        <w:t>the</w:t>
      </w:r>
      <w:r w:rsidR="003D640C">
        <w:rPr>
          <w:rFonts w:ascii="Calibri" w:eastAsia="Times New Roman" w:hAnsi="Calibri" w:cs="Calibri"/>
          <w:lang w:eastAsia="en-NZ"/>
        </w:rPr>
        <w:t xml:space="preserve"> </w:t>
      </w:r>
      <w:r w:rsidR="00017C95">
        <w:rPr>
          <w:rFonts w:ascii="Calibri" w:eastAsia="Times New Roman" w:hAnsi="Calibri" w:cs="Calibri"/>
          <w:lang w:eastAsia="en-NZ"/>
        </w:rPr>
        <w:t>importance</w:t>
      </w:r>
      <w:r w:rsidR="003D640C">
        <w:rPr>
          <w:rFonts w:ascii="Calibri" w:eastAsia="Times New Roman" w:hAnsi="Calibri" w:cs="Calibri"/>
          <w:lang w:eastAsia="en-NZ"/>
        </w:rPr>
        <w:t xml:space="preserve"> </w:t>
      </w:r>
      <w:r w:rsidR="000E5614">
        <w:rPr>
          <w:rFonts w:ascii="Calibri" w:eastAsia="Times New Roman" w:hAnsi="Calibri" w:cs="Calibri"/>
          <w:lang w:eastAsia="en-NZ"/>
        </w:rPr>
        <w:t xml:space="preserve">to trans people’s mental health </w:t>
      </w:r>
      <w:r w:rsidR="00017C95">
        <w:rPr>
          <w:rFonts w:ascii="Calibri" w:eastAsia="Times New Roman" w:hAnsi="Calibri" w:cs="Calibri"/>
          <w:lang w:eastAsia="en-NZ"/>
        </w:rPr>
        <w:t>of</w:t>
      </w:r>
      <w:r w:rsidR="003D640C">
        <w:rPr>
          <w:rFonts w:ascii="Calibri" w:eastAsia="Times New Roman" w:hAnsi="Calibri" w:cs="Calibri"/>
          <w:lang w:eastAsia="en-NZ"/>
        </w:rPr>
        <w:t xml:space="preserve"> </w:t>
      </w:r>
      <w:r w:rsidR="00017C95">
        <w:rPr>
          <w:rFonts w:ascii="Calibri" w:eastAsia="Times New Roman" w:hAnsi="Calibri" w:cs="Calibri"/>
          <w:lang w:eastAsia="en-NZ"/>
        </w:rPr>
        <w:t>accepting</w:t>
      </w:r>
      <w:r w:rsidR="003D640C">
        <w:rPr>
          <w:rFonts w:ascii="Calibri" w:eastAsia="Times New Roman" w:hAnsi="Calibri" w:cs="Calibri"/>
          <w:lang w:eastAsia="en-NZ"/>
        </w:rPr>
        <w:t xml:space="preserve"> </w:t>
      </w:r>
      <w:r w:rsidR="00017C95">
        <w:rPr>
          <w:rFonts w:ascii="Calibri" w:eastAsia="Times New Roman" w:hAnsi="Calibri" w:cs="Calibri"/>
          <w:lang w:eastAsia="en-NZ"/>
        </w:rPr>
        <w:t>and</w:t>
      </w:r>
      <w:r w:rsidR="003D640C">
        <w:rPr>
          <w:rFonts w:ascii="Calibri" w:eastAsia="Times New Roman" w:hAnsi="Calibri" w:cs="Calibri"/>
          <w:lang w:eastAsia="en-NZ"/>
        </w:rPr>
        <w:t xml:space="preserve"> </w:t>
      </w:r>
      <w:r w:rsidR="00017C95">
        <w:rPr>
          <w:rFonts w:ascii="Calibri" w:eastAsia="Times New Roman" w:hAnsi="Calibri" w:cs="Calibri"/>
          <w:lang w:eastAsia="en-NZ"/>
        </w:rPr>
        <w:t>affirming</w:t>
      </w:r>
      <w:r w:rsidR="003D640C">
        <w:rPr>
          <w:rFonts w:ascii="Calibri" w:eastAsia="Times New Roman" w:hAnsi="Calibri" w:cs="Calibri"/>
          <w:lang w:eastAsia="en-NZ"/>
        </w:rPr>
        <w:t xml:space="preserve"> </w:t>
      </w:r>
      <w:r w:rsidR="00E37A6E">
        <w:rPr>
          <w:rFonts w:ascii="Calibri" w:eastAsia="Times New Roman" w:hAnsi="Calibri" w:cs="Calibri"/>
          <w:lang w:eastAsia="en-NZ"/>
        </w:rPr>
        <w:t xml:space="preserve">their </w:t>
      </w:r>
      <w:r w:rsidR="00017C95">
        <w:rPr>
          <w:rFonts w:ascii="Calibri" w:eastAsia="Times New Roman" w:hAnsi="Calibri" w:cs="Calibri"/>
          <w:lang w:eastAsia="en-NZ"/>
        </w:rPr>
        <w:t>gender</w:t>
      </w:r>
      <w:r w:rsidR="003D640C">
        <w:rPr>
          <w:rFonts w:ascii="Calibri" w:eastAsia="Times New Roman" w:hAnsi="Calibri" w:cs="Calibri"/>
          <w:lang w:eastAsia="en-NZ"/>
        </w:rPr>
        <w:t xml:space="preserve"> </w:t>
      </w:r>
      <w:r w:rsidR="00017C95">
        <w:rPr>
          <w:rFonts w:ascii="Calibri" w:eastAsia="Times New Roman" w:hAnsi="Calibri" w:cs="Calibri"/>
          <w:lang w:eastAsia="en-NZ"/>
        </w:rPr>
        <w:t>identity</w:t>
      </w:r>
      <w:r w:rsidR="003D640C">
        <w:rPr>
          <w:rFonts w:ascii="Calibri" w:eastAsia="Times New Roman" w:hAnsi="Calibri" w:cs="Calibri"/>
          <w:lang w:eastAsia="en-NZ"/>
        </w:rPr>
        <w:t xml:space="preserve"> </w:t>
      </w:r>
      <w:r w:rsidR="00017C95">
        <w:rPr>
          <w:rFonts w:ascii="Calibri" w:eastAsia="Times New Roman" w:hAnsi="Calibri" w:cs="Calibri"/>
          <w:lang w:eastAsia="en-NZ"/>
        </w:rPr>
        <w:t>and</w:t>
      </w:r>
      <w:r w:rsidR="003D640C">
        <w:rPr>
          <w:rFonts w:ascii="Calibri" w:eastAsia="Times New Roman" w:hAnsi="Calibri" w:cs="Calibri"/>
          <w:lang w:eastAsia="en-NZ"/>
        </w:rPr>
        <w:t xml:space="preserve"> </w:t>
      </w:r>
      <w:r w:rsidR="00017C95">
        <w:rPr>
          <w:rFonts w:ascii="Calibri" w:eastAsia="Times New Roman" w:hAnsi="Calibri" w:cs="Calibri"/>
          <w:lang w:eastAsia="en-NZ"/>
        </w:rPr>
        <w:t>expression</w:t>
      </w:r>
      <w:r w:rsidR="003D640C">
        <w:rPr>
          <w:rFonts w:ascii="Calibri" w:eastAsia="Times New Roman" w:hAnsi="Calibri" w:cs="Calibri"/>
          <w:lang w:eastAsia="en-NZ"/>
        </w:rPr>
        <w:t xml:space="preserve"> </w:t>
      </w:r>
      <w:r w:rsidR="00B76787">
        <w:rPr>
          <w:rFonts w:ascii="Calibri" w:eastAsia="Times New Roman" w:hAnsi="Calibri" w:cs="Calibri"/>
          <w:lang w:eastAsia="en-NZ"/>
        </w:rPr>
        <w:t>in</w:t>
      </w:r>
      <w:r w:rsidR="003D640C">
        <w:rPr>
          <w:rFonts w:ascii="Calibri" w:eastAsia="Times New Roman" w:hAnsi="Calibri" w:cs="Calibri"/>
          <w:lang w:eastAsia="en-NZ"/>
        </w:rPr>
        <w:t xml:space="preserve"> </w:t>
      </w:r>
      <w:r w:rsidR="00B76787">
        <w:rPr>
          <w:rFonts w:ascii="Calibri" w:eastAsia="Times New Roman" w:hAnsi="Calibri" w:cs="Calibri"/>
          <w:lang w:eastAsia="en-NZ"/>
        </w:rPr>
        <w:t>social</w:t>
      </w:r>
      <w:r w:rsidR="003D640C">
        <w:rPr>
          <w:rFonts w:ascii="Calibri" w:eastAsia="Times New Roman" w:hAnsi="Calibri" w:cs="Calibri"/>
          <w:lang w:eastAsia="en-NZ"/>
        </w:rPr>
        <w:t xml:space="preserve"> </w:t>
      </w:r>
      <w:r w:rsidR="00B76787">
        <w:rPr>
          <w:rFonts w:ascii="Calibri" w:eastAsia="Times New Roman" w:hAnsi="Calibri" w:cs="Calibri"/>
          <w:lang w:eastAsia="en-NZ"/>
        </w:rPr>
        <w:t>and</w:t>
      </w:r>
      <w:r w:rsidR="003D640C">
        <w:rPr>
          <w:rFonts w:ascii="Calibri" w:eastAsia="Times New Roman" w:hAnsi="Calibri" w:cs="Calibri"/>
          <w:lang w:eastAsia="en-NZ"/>
        </w:rPr>
        <w:t xml:space="preserve"> </w:t>
      </w:r>
      <w:r w:rsidR="00B76787">
        <w:rPr>
          <w:rFonts w:ascii="Calibri" w:eastAsia="Times New Roman" w:hAnsi="Calibri" w:cs="Calibri"/>
          <w:lang w:eastAsia="en-NZ"/>
        </w:rPr>
        <w:t>medical</w:t>
      </w:r>
      <w:r w:rsidR="003D640C">
        <w:rPr>
          <w:rFonts w:ascii="Calibri" w:eastAsia="Times New Roman" w:hAnsi="Calibri" w:cs="Calibri"/>
          <w:lang w:eastAsia="en-NZ"/>
        </w:rPr>
        <w:t xml:space="preserve"> </w:t>
      </w:r>
      <w:r w:rsidR="00B76787">
        <w:rPr>
          <w:rFonts w:ascii="Calibri" w:eastAsia="Times New Roman" w:hAnsi="Calibri" w:cs="Calibri"/>
          <w:lang w:eastAsia="en-NZ"/>
        </w:rPr>
        <w:t>settings</w:t>
      </w:r>
      <w:r w:rsidR="00D10DF5" w:rsidRPr="00BB6220">
        <w:rPr>
          <w:rFonts w:ascii="Calibri" w:eastAsia="Times New Roman" w:hAnsi="Calibri" w:cs="Calibri"/>
          <w:lang w:eastAsia="en-NZ"/>
        </w:rPr>
        <w:t>.</w:t>
      </w:r>
      <w:r w:rsidR="003C1384" w:rsidRPr="00BB6220">
        <w:rPr>
          <w:rStyle w:val="FootnoteReference"/>
          <w:rFonts w:ascii="Calibri" w:eastAsia="Times New Roman" w:hAnsi="Calibri" w:cs="Calibri"/>
          <w:lang w:eastAsia="en-NZ"/>
        </w:rPr>
        <w:footnoteReference w:id="247"/>
      </w:r>
      <w:r w:rsidR="003D640C">
        <w:rPr>
          <w:rFonts w:ascii="Calibri" w:eastAsia="Times New Roman" w:hAnsi="Calibri" w:cs="Calibri"/>
          <w:lang w:eastAsia="en-NZ"/>
        </w:rPr>
        <w:t xml:space="preserve"> </w:t>
      </w:r>
      <w:r w:rsidR="00E45E91">
        <w:rPr>
          <w:rFonts w:ascii="Calibri" w:eastAsia="Times New Roman" w:hAnsi="Calibri" w:cs="Calibri"/>
          <w:lang w:eastAsia="en-NZ"/>
        </w:rPr>
        <w:lastRenderedPageBreak/>
        <w:t>I</w:t>
      </w:r>
      <w:r w:rsidR="00E45E91" w:rsidRPr="00BB6220">
        <w:rPr>
          <w:rFonts w:ascii="Calibri" w:eastAsia="Times New Roman" w:hAnsi="Calibri" w:cs="Calibri"/>
          <w:lang w:eastAsia="en-NZ"/>
        </w:rPr>
        <w:t>nternational</w:t>
      </w:r>
      <w:r w:rsidR="00E45E91" w:rsidRPr="00BB6220">
        <w:rPr>
          <w:rStyle w:val="FootnoteReference"/>
          <w:rFonts w:ascii="Calibri" w:eastAsia="Times New Roman" w:hAnsi="Calibri" w:cs="Calibri"/>
          <w:lang w:eastAsia="en-NZ"/>
        </w:rPr>
        <w:footnoteReference w:id="248"/>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local</w:t>
      </w:r>
      <w:r w:rsidR="00E45E91" w:rsidRPr="00BB6220">
        <w:rPr>
          <w:rStyle w:val="FootnoteReference"/>
          <w:rFonts w:ascii="Calibri" w:eastAsia="Times New Roman" w:hAnsi="Calibri" w:cs="Calibri"/>
          <w:lang w:eastAsia="en-NZ"/>
        </w:rPr>
        <w:footnoteReference w:id="249"/>
      </w:r>
      <w:r w:rsidR="003D640C">
        <w:rPr>
          <w:rFonts w:ascii="Calibri" w:eastAsia="Times New Roman" w:hAnsi="Calibri" w:cs="Calibri"/>
          <w:lang w:eastAsia="en-NZ"/>
        </w:rPr>
        <w:t xml:space="preserve"> </w:t>
      </w:r>
      <w:r w:rsidRPr="00BB6220">
        <w:rPr>
          <w:rFonts w:ascii="Calibri" w:eastAsia="Times New Roman" w:hAnsi="Calibri" w:cs="Calibri"/>
          <w:lang w:eastAsia="en-NZ"/>
        </w:rPr>
        <w:t>evidence</w:t>
      </w:r>
      <w:r>
        <w:rPr>
          <w:rFonts w:ascii="Calibri" w:eastAsia="Times New Roman" w:hAnsi="Calibri" w:cs="Calibri"/>
          <w:lang w:eastAsia="en-NZ"/>
        </w:rPr>
        <w:t xml:space="preserve"> </w:t>
      </w:r>
      <w:r w:rsidR="00E45E91">
        <w:rPr>
          <w:rFonts w:ascii="Calibri" w:eastAsia="Times New Roman" w:hAnsi="Calibri" w:cs="Calibri"/>
          <w:lang w:eastAsia="en-NZ"/>
        </w:rPr>
        <w:t>demonstrates</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that</w:t>
      </w:r>
      <w:r w:rsidR="003D640C">
        <w:rPr>
          <w:rFonts w:ascii="Calibri" w:eastAsia="Times New Roman" w:hAnsi="Calibri" w:cs="Calibri"/>
          <w:lang w:eastAsia="en-NZ"/>
        </w:rPr>
        <w:t xml:space="preserve"> </w:t>
      </w:r>
      <w:r w:rsidR="00E45E91">
        <w:rPr>
          <w:rFonts w:ascii="Calibri" w:eastAsia="Times New Roman" w:hAnsi="Calibri" w:cs="Calibri"/>
          <w:lang w:eastAsia="en-NZ"/>
        </w:rPr>
        <w:t>social</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acceptance</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gender</w:t>
      </w:r>
      <w:r w:rsidR="00827CA2">
        <w:rPr>
          <w:rFonts w:ascii="Calibri" w:eastAsia="Times New Roman" w:hAnsi="Calibri" w:cs="Calibri"/>
          <w:lang w:eastAsia="en-NZ"/>
        </w:rPr>
        <w:t>-</w:t>
      </w:r>
      <w:r w:rsidR="00E45E91" w:rsidRPr="00BB6220">
        <w:rPr>
          <w:rFonts w:ascii="Calibri" w:eastAsia="Times New Roman" w:hAnsi="Calibri" w:cs="Calibri"/>
          <w:lang w:eastAsia="en-NZ"/>
        </w:rPr>
        <w:t>affirming</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healthcare</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decrease</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suicidal</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thoughts</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other</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harms</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faced</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by</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transgender</w:t>
      </w:r>
      <w:r w:rsidR="003D640C">
        <w:rPr>
          <w:rFonts w:ascii="Calibri" w:eastAsia="Times New Roman" w:hAnsi="Calibri" w:cs="Calibri"/>
          <w:lang w:eastAsia="en-NZ"/>
        </w:rPr>
        <w:t xml:space="preserve"> </w:t>
      </w:r>
      <w:r w:rsidR="00E45E91" w:rsidRPr="00BB6220">
        <w:rPr>
          <w:rFonts w:ascii="Calibri" w:eastAsia="Times New Roman" w:hAnsi="Calibri" w:cs="Calibri"/>
          <w:lang w:eastAsia="en-NZ"/>
        </w:rPr>
        <w:t>people.</w:t>
      </w:r>
    </w:p>
    <w:p w14:paraId="3230D77C" w14:textId="428C3234" w:rsidR="00D10DF5" w:rsidRPr="00BB6220" w:rsidRDefault="00D10DF5" w:rsidP="002C6363">
      <w:pPr>
        <w:pStyle w:val="Heading3"/>
        <w:rPr>
          <w:rFonts w:ascii="Segoe UI" w:hAnsi="Segoe UI" w:cs="Segoe UI"/>
          <w:sz w:val="18"/>
          <w:szCs w:val="18"/>
        </w:rPr>
      </w:pPr>
      <w:bookmarkStart w:id="314" w:name="_Toc138325192"/>
      <w:bookmarkStart w:id="315" w:name="_Toc138343849"/>
      <w:bookmarkStart w:id="316" w:name="_Toc167780628"/>
      <w:bookmarkStart w:id="317" w:name="_Toc1308135253"/>
      <w:bookmarkStart w:id="318" w:name="_Toc174628688"/>
      <w:r w:rsidRPr="00BB6220">
        <w:t>What</w:t>
      </w:r>
      <w:r w:rsidR="003D640C">
        <w:t xml:space="preserve"> </w:t>
      </w:r>
      <w:r w:rsidR="00AF3CDC">
        <w:t>gender</w:t>
      </w:r>
      <w:r w:rsidR="003D640C">
        <w:t xml:space="preserve"> </w:t>
      </w:r>
      <w:r w:rsidR="00AF3CDC">
        <w:t>identity-based</w:t>
      </w:r>
      <w:r w:rsidR="003D640C">
        <w:t xml:space="preserve"> </w:t>
      </w:r>
      <w:r w:rsidRPr="00BB6220">
        <w:t>conversion</w:t>
      </w:r>
      <w:r w:rsidR="003D640C">
        <w:t xml:space="preserve"> </w:t>
      </w:r>
      <w:r w:rsidRPr="00BB6220">
        <w:t>practices</w:t>
      </w:r>
      <w:r w:rsidR="003D640C">
        <w:t xml:space="preserve"> </w:t>
      </w:r>
      <w:r w:rsidRPr="00BB6220">
        <w:t>look</w:t>
      </w:r>
      <w:r w:rsidR="003D640C">
        <w:t xml:space="preserve"> </w:t>
      </w:r>
      <w:r w:rsidRPr="00BB6220">
        <w:t>like</w:t>
      </w:r>
      <w:r w:rsidR="003D640C">
        <w:t xml:space="preserve"> </w:t>
      </w:r>
      <w:bookmarkEnd w:id="314"/>
      <w:bookmarkEnd w:id="315"/>
      <w:r w:rsidR="00AF3CDC">
        <w:t>in</w:t>
      </w:r>
      <w:r w:rsidR="003D640C">
        <w:t xml:space="preserve"> </w:t>
      </w:r>
      <w:r w:rsidR="00AF3CDC">
        <w:t>Aotearoa</w:t>
      </w:r>
      <w:bookmarkEnd w:id="316"/>
      <w:bookmarkEnd w:id="317"/>
      <w:bookmarkEnd w:id="318"/>
    </w:p>
    <w:p w14:paraId="63525A19" w14:textId="155610CD" w:rsidR="00501068" w:rsidRDefault="00027F6F" w:rsidP="002E6693">
      <w:pPr>
        <w:rPr>
          <w:lang w:eastAsia="en-NZ"/>
        </w:rPr>
      </w:pPr>
      <w:r w:rsidRPr="00BB6220">
        <w:rPr>
          <w:lang w:eastAsia="en-NZ"/>
        </w:rPr>
        <w:t>Transgender</w:t>
      </w:r>
      <w:r w:rsidR="003D640C">
        <w:rPr>
          <w:lang w:eastAsia="en-NZ"/>
        </w:rPr>
        <w:t xml:space="preserve"> </w:t>
      </w:r>
      <w:r w:rsidRPr="00BB6220">
        <w:rPr>
          <w:lang w:eastAsia="en-NZ"/>
        </w:rPr>
        <w:t>survivors</w:t>
      </w:r>
      <w:r w:rsidR="003D640C">
        <w:rPr>
          <w:lang w:eastAsia="en-NZ"/>
        </w:rPr>
        <w:t xml:space="preserve"> </w:t>
      </w:r>
      <w:r w:rsidRPr="00BB6220">
        <w:rPr>
          <w:lang w:eastAsia="en-NZ"/>
        </w:rPr>
        <w:t>repeatedly</w:t>
      </w:r>
      <w:r w:rsidR="003D640C">
        <w:rPr>
          <w:lang w:eastAsia="en-NZ"/>
        </w:rPr>
        <w:t xml:space="preserve"> </w:t>
      </w:r>
      <w:r w:rsidRPr="00BB6220">
        <w:rPr>
          <w:lang w:eastAsia="en-NZ"/>
        </w:rPr>
        <w:t>told</w:t>
      </w:r>
      <w:r w:rsidR="003D640C">
        <w:rPr>
          <w:lang w:eastAsia="en-NZ"/>
        </w:rPr>
        <w:t xml:space="preserve"> </w:t>
      </w:r>
      <w:r w:rsidRPr="00BB6220">
        <w:rPr>
          <w:lang w:eastAsia="en-NZ"/>
        </w:rPr>
        <w:t>us</w:t>
      </w:r>
      <w:r w:rsidR="003D640C">
        <w:rPr>
          <w:lang w:eastAsia="en-NZ"/>
        </w:rPr>
        <w:t xml:space="preserve"> </w:t>
      </w:r>
      <w:r w:rsidRPr="00BB6220">
        <w:rPr>
          <w:lang w:eastAsia="en-NZ"/>
        </w:rPr>
        <w:t>they</w:t>
      </w:r>
      <w:r w:rsidR="003D640C">
        <w:rPr>
          <w:lang w:eastAsia="en-NZ"/>
        </w:rPr>
        <w:t xml:space="preserve"> </w:t>
      </w:r>
      <w:r w:rsidRPr="00BB6220">
        <w:rPr>
          <w:lang w:eastAsia="en-NZ"/>
        </w:rPr>
        <w:t>experience</w:t>
      </w:r>
      <w:r w:rsidR="003D640C">
        <w:rPr>
          <w:lang w:eastAsia="en-NZ"/>
        </w:rPr>
        <w:t xml:space="preserve"> </w:t>
      </w:r>
      <w:r w:rsidR="00F91FA8">
        <w:rPr>
          <w:lang w:eastAsia="en-NZ"/>
        </w:rPr>
        <w:t xml:space="preserve">conversion </w:t>
      </w:r>
      <w:r w:rsidR="008D0380">
        <w:rPr>
          <w:lang w:eastAsia="en-NZ"/>
        </w:rPr>
        <w:t>practices tha</w:t>
      </w:r>
      <w:r w:rsidR="003C5C75">
        <w:rPr>
          <w:lang w:eastAsia="en-NZ"/>
        </w:rPr>
        <w:t>t m</w:t>
      </w:r>
      <w:r w:rsidR="00F91FA8">
        <w:rPr>
          <w:lang w:eastAsia="en-NZ"/>
        </w:rPr>
        <w:t>a</w:t>
      </w:r>
      <w:r w:rsidR="003C5C75">
        <w:rPr>
          <w:lang w:eastAsia="en-NZ"/>
        </w:rPr>
        <w:t xml:space="preserve">y meet </w:t>
      </w:r>
      <w:r w:rsidR="009557F0">
        <w:rPr>
          <w:lang w:eastAsia="en-NZ"/>
        </w:rPr>
        <w:t xml:space="preserve">the </w:t>
      </w:r>
      <w:r w:rsidR="003C5C75">
        <w:rPr>
          <w:lang w:eastAsia="en-NZ"/>
        </w:rPr>
        <w:t xml:space="preserve">threshold </w:t>
      </w:r>
      <w:r w:rsidR="00B96D7D">
        <w:rPr>
          <w:lang w:eastAsia="en-NZ"/>
        </w:rPr>
        <w:t xml:space="preserve">for </w:t>
      </w:r>
      <w:r w:rsidR="00F91FA8">
        <w:rPr>
          <w:lang w:eastAsia="en-NZ"/>
        </w:rPr>
        <w:t>unlawfulness</w:t>
      </w:r>
      <w:r w:rsidR="003D640C">
        <w:rPr>
          <w:lang w:eastAsia="en-NZ"/>
        </w:rPr>
        <w:t xml:space="preserve"> </w:t>
      </w:r>
      <w:r w:rsidRPr="00BB6220">
        <w:rPr>
          <w:lang w:eastAsia="en-NZ"/>
        </w:rPr>
        <w:t>across</w:t>
      </w:r>
      <w:r w:rsidR="003D640C">
        <w:rPr>
          <w:lang w:eastAsia="en-NZ"/>
        </w:rPr>
        <w:t xml:space="preserve"> </w:t>
      </w:r>
      <w:r w:rsidRPr="00BB6220">
        <w:rPr>
          <w:lang w:eastAsia="en-NZ"/>
        </w:rPr>
        <w:t>multiple</w:t>
      </w:r>
      <w:r w:rsidR="003D640C">
        <w:rPr>
          <w:lang w:eastAsia="en-NZ"/>
        </w:rPr>
        <w:t xml:space="preserve"> </w:t>
      </w:r>
      <w:r w:rsidRPr="00BB6220">
        <w:rPr>
          <w:lang w:eastAsia="en-NZ"/>
        </w:rPr>
        <w:t>settings.</w:t>
      </w:r>
      <w:r w:rsidR="003D640C">
        <w:rPr>
          <w:lang w:eastAsia="en-NZ"/>
        </w:rPr>
        <w:t xml:space="preserve"> </w:t>
      </w:r>
      <w:r w:rsidR="00942422">
        <w:rPr>
          <w:lang w:eastAsia="en-NZ"/>
        </w:rPr>
        <w:t>These</w:t>
      </w:r>
      <w:r w:rsidR="003D640C">
        <w:rPr>
          <w:lang w:eastAsia="en-NZ"/>
        </w:rPr>
        <w:t xml:space="preserve"> </w:t>
      </w:r>
      <w:r w:rsidR="00942422">
        <w:rPr>
          <w:lang w:eastAsia="en-NZ"/>
        </w:rPr>
        <w:t>can</w:t>
      </w:r>
      <w:r w:rsidR="003D640C">
        <w:rPr>
          <w:lang w:eastAsia="en-NZ"/>
        </w:rPr>
        <w:t xml:space="preserve"> </w:t>
      </w:r>
      <w:r w:rsidR="00942422">
        <w:rPr>
          <w:lang w:eastAsia="en-NZ"/>
        </w:rPr>
        <w:t>include</w:t>
      </w:r>
      <w:r w:rsidR="003D640C">
        <w:rPr>
          <w:lang w:eastAsia="en-NZ"/>
        </w:rPr>
        <w:t xml:space="preserve"> </w:t>
      </w:r>
      <w:r w:rsidR="00AA1D1C">
        <w:rPr>
          <w:lang w:eastAsia="en-NZ"/>
        </w:rPr>
        <w:t>within</w:t>
      </w:r>
      <w:r w:rsidR="003D640C">
        <w:rPr>
          <w:lang w:eastAsia="en-NZ"/>
        </w:rPr>
        <w:t xml:space="preserve"> </w:t>
      </w:r>
      <w:r w:rsidR="00AA1D1C">
        <w:rPr>
          <w:lang w:eastAsia="en-NZ"/>
        </w:rPr>
        <w:t>families,</w:t>
      </w:r>
      <w:r w:rsidR="003D640C">
        <w:rPr>
          <w:lang w:eastAsia="en-NZ"/>
        </w:rPr>
        <w:t xml:space="preserve"> </w:t>
      </w:r>
      <w:r w:rsidR="00AA1D1C">
        <w:rPr>
          <w:lang w:eastAsia="en-NZ"/>
        </w:rPr>
        <w:t>cultural</w:t>
      </w:r>
      <w:r w:rsidR="003D640C">
        <w:rPr>
          <w:lang w:eastAsia="en-NZ"/>
        </w:rPr>
        <w:t xml:space="preserve"> </w:t>
      </w:r>
      <w:r w:rsidR="00052D9B">
        <w:rPr>
          <w:lang w:eastAsia="en-NZ"/>
        </w:rPr>
        <w:t>and</w:t>
      </w:r>
      <w:r w:rsidR="003D640C">
        <w:rPr>
          <w:lang w:eastAsia="en-NZ"/>
        </w:rPr>
        <w:t xml:space="preserve"> </w:t>
      </w:r>
      <w:r w:rsidR="00052D9B">
        <w:rPr>
          <w:lang w:eastAsia="en-NZ"/>
        </w:rPr>
        <w:t>faith</w:t>
      </w:r>
      <w:r w:rsidR="003D640C">
        <w:rPr>
          <w:lang w:eastAsia="en-NZ"/>
        </w:rPr>
        <w:t xml:space="preserve"> </w:t>
      </w:r>
      <w:r w:rsidR="00AA1D1C">
        <w:rPr>
          <w:lang w:eastAsia="en-NZ"/>
        </w:rPr>
        <w:t>spaces,</w:t>
      </w:r>
      <w:r w:rsidR="003D640C">
        <w:rPr>
          <w:lang w:eastAsia="en-NZ"/>
        </w:rPr>
        <w:t xml:space="preserve"> </w:t>
      </w:r>
      <w:r w:rsidR="00536BF2">
        <w:rPr>
          <w:lang w:eastAsia="en-NZ"/>
        </w:rPr>
        <w:t>and</w:t>
      </w:r>
      <w:r w:rsidR="003D640C">
        <w:rPr>
          <w:lang w:eastAsia="en-NZ"/>
        </w:rPr>
        <w:t xml:space="preserve"> </w:t>
      </w:r>
      <w:r w:rsidR="00ED6EE4">
        <w:rPr>
          <w:lang w:eastAsia="en-NZ"/>
        </w:rPr>
        <w:t>school</w:t>
      </w:r>
      <w:r w:rsidR="003D640C">
        <w:rPr>
          <w:lang w:eastAsia="en-NZ"/>
        </w:rPr>
        <w:t xml:space="preserve"> </w:t>
      </w:r>
      <w:r w:rsidR="00ED6EE4">
        <w:rPr>
          <w:lang w:eastAsia="en-NZ"/>
        </w:rPr>
        <w:t>and</w:t>
      </w:r>
      <w:r w:rsidR="003D640C">
        <w:rPr>
          <w:lang w:eastAsia="en-NZ"/>
        </w:rPr>
        <w:t xml:space="preserve"> </w:t>
      </w:r>
      <w:r w:rsidR="00052D9B">
        <w:rPr>
          <w:lang w:eastAsia="en-NZ"/>
        </w:rPr>
        <w:t>healthcare</w:t>
      </w:r>
      <w:r w:rsidR="003D640C">
        <w:rPr>
          <w:lang w:eastAsia="en-NZ"/>
        </w:rPr>
        <w:t xml:space="preserve"> </w:t>
      </w:r>
      <w:r w:rsidR="00052D9B">
        <w:rPr>
          <w:lang w:eastAsia="en-NZ"/>
        </w:rPr>
        <w:t>settings.</w:t>
      </w:r>
      <w:r w:rsidR="003D640C">
        <w:rPr>
          <w:lang w:eastAsia="en-NZ"/>
        </w:rPr>
        <w:t xml:space="preserve"> </w:t>
      </w:r>
      <w:r w:rsidR="00DB0E4B">
        <w:rPr>
          <w:lang w:eastAsia="en-NZ"/>
        </w:rPr>
        <w:t>Our</w:t>
      </w:r>
      <w:r w:rsidR="003D640C">
        <w:rPr>
          <w:lang w:eastAsia="en-NZ"/>
        </w:rPr>
        <w:t xml:space="preserve"> </w:t>
      </w:r>
      <w:r w:rsidR="00DB0E4B" w:rsidRPr="00BB6220">
        <w:rPr>
          <w:lang w:eastAsia="en-NZ"/>
        </w:rPr>
        <w:t>engagement</w:t>
      </w:r>
      <w:r w:rsidR="003D640C">
        <w:rPr>
          <w:lang w:eastAsia="en-NZ"/>
        </w:rPr>
        <w:t xml:space="preserve"> </w:t>
      </w:r>
      <w:r w:rsidR="00DB0E4B" w:rsidRPr="00BB6220">
        <w:rPr>
          <w:lang w:eastAsia="en-NZ"/>
        </w:rPr>
        <w:t>with</w:t>
      </w:r>
      <w:r w:rsidR="003D640C">
        <w:rPr>
          <w:lang w:eastAsia="en-NZ"/>
        </w:rPr>
        <w:t xml:space="preserve"> </w:t>
      </w:r>
      <w:r w:rsidR="00DB0E4B" w:rsidRPr="00BB6220">
        <w:rPr>
          <w:lang w:eastAsia="en-NZ"/>
        </w:rPr>
        <w:t>survivors</w:t>
      </w:r>
      <w:r w:rsidR="003D640C">
        <w:rPr>
          <w:lang w:eastAsia="en-NZ"/>
        </w:rPr>
        <w:t xml:space="preserve"> </w:t>
      </w:r>
      <w:r w:rsidR="00DB0E4B" w:rsidRPr="00BB6220">
        <w:rPr>
          <w:lang w:eastAsia="en-NZ"/>
        </w:rPr>
        <w:t>showed</w:t>
      </w:r>
      <w:r w:rsidR="003D640C">
        <w:rPr>
          <w:lang w:eastAsia="en-NZ"/>
        </w:rPr>
        <w:t xml:space="preserve"> </w:t>
      </w:r>
      <w:r w:rsidR="00DB0E4B" w:rsidRPr="00BB6220">
        <w:rPr>
          <w:lang w:eastAsia="en-NZ"/>
        </w:rPr>
        <w:t>gender</w:t>
      </w:r>
      <w:r w:rsidR="003D640C">
        <w:rPr>
          <w:lang w:eastAsia="en-NZ"/>
        </w:rPr>
        <w:t xml:space="preserve"> </w:t>
      </w:r>
      <w:r w:rsidR="00DB0E4B">
        <w:rPr>
          <w:lang w:eastAsia="en-NZ"/>
        </w:rPr>
        <w:t>identity</w:t>
      </w:r>
      <w:r w:rsidR="003D640C">
        <w:rPr>
          <w:lang w:eastAsia="en-NZ"/>
        </w:rPr>
        <w:t xml:space="preserve"> </w:t>
      </w:r>
      <w:r w:rsidR="00DB0E4B">
        <w:rPr>
          <w:lang w:eastAsia="en-NZ"/>
        </w:rPr>
        <w:t>and</w:t>
      </w:r>
      <w:r w:rsidR="003D640C">
        <w:rPr>
          <w:lang w:eastAsia="en-NZ"/>
        </w:rPr>
        <w:t xml:space="preserve"> </w:t>
      </w:r>
      <w:r w:rsidR="00DB0E4B">
        <w:rPr>
          <w:lang w:eastAsia="en-NZ"/>
        </w:rPr>
        <w:t>expression</w:t>
      </w:r>
      <w:r w:rsidR="00F706BF">
        <w:rPr>
          <w:lang w:eastAsia="en-NZ"/>
        </w:rPr>
        <w:t>-based</w:t>
      </w:r>
      <w:r w:rsidR="003D640C">
        <w:rPr>
          <w:lang w:eastAsia="en-NZ"/>
        </w:rPr>
        <w:t xml:space="preserve"> </w:t>
      </w:r>
      <w:r w:rsidR="00DB0E4B" w:rsidRPr="00BB6220">
        <w:rPr>
          <w:lang w:eastAsia="en-NZ"/>
        </w:rPr>
        <w:t>conversion</w:t>
      </w:r>
      <w:r w:rsidR="003D640C">
        <w:rPr>
          <w:lang w:eastAsia="en-NZ"/>
        </w:rPr>
        <w:t xml:space="preserve"> </w:t>
      </w:r>
      <w:r w:rsidR="00DB0E4B" w:rsidRPr="00BB6220">
        <w:rPr>
          <w:lang w:eastAsia="en-NZ"/>
        </w:rPr>
        <w:t>practices</w:t>
      </w:r>
      <w:r w:rsidR="003D640C">
        <w:rPr>
          <w:lang w:eastAsia="en-NZ"/>
        </w:rPr>
        <w:t xml:space="preserve"> </w:t>
      </w:r>
      <w:r w:rsidR="00DB0E4B" w:rsidRPr="00BB6220">
        <w:rPr>
          <w:lang w:eastAsia="en-NZ"/>
        </w:rPr>
        <w:t>appeared</w:t>
      </w:r>
      <w:r w:rsidR="003D640C">
        <w:rPr>
          <w:lang w:eastAsia="en-NZ"/>
        </w:rPr>
        <w:t xml:space="preserve"> </w:t>
      </w:r>
      <w:r w:rsidR="00DB0E4B" w:rsidRPr="00BB6220">
        <w:rPr>
          <w:lang w:eastAsia="en-NZ"/>
        </w:rPr>
        <w:t>to</w:t>
      </w:r>
      <w:r w:rsidR="003D640C">
        <w:rPr>
          <w:lang w:eastAsia="en-NZ"/>
        </w:rPr>
        <w:t xml:space="preserve"> </w:t>
      </w:r>
      <w:r w:rsidR="00DB0E4B" w:rsidRPr="00BB6220">
        <w:rPr>
          <w:lang w:eastAsia="en-NZ"/>
        </w:rPr>
        <w:t>be</w:t>
      </w:r>
      <w:r w:rsidR="003D640C">
        <w:rPr>
          <w:lang w:eastAsia="en-NZ"/>
        </w:rPr>
        <w:t xml:space="preserve"> </w:t>
      </w:r>
      <w:r w:rsidR="00DB0E4B" w:rsidRPr="00BB6220">
        <w:rPr>
          <w:lang w:eastAsia="en-NZ"/>
        </w:rPr>
        <w:t>more</w:t>
      </w:r>
      <w:r w:rsidR="003D640C">
        <w:rPr>
          <w:lang w:eastAsia="en-NZ"/>
        </w:rPr>
        <w:t xml:space="preserve"> </w:t>
      </w:r>
      <w:r w:rsidR="20B95385" w:rsidRPr="5168427B">
        <w:rPr>
          <w:lang w:eastAsia="en-NZ"/>
        </w:rPr>
        <w:t xml:space="preserve">widely </w:t>
      </w:r>
      <w:r w:rsidR="00DB0E4B" w:rsidRPr="5168427B">
        <w:rPr>
          <w:lang w:eastAsia="en-NZ"/>
        </w:rPr>
        <w:t>socially</w:t>
      </w:r>
      <w:r w:rsidR="003D640C">
        <w:rPr>
          <w:lang w:eastAsia="en-NZ"/>
        </w:rPr>
        <w:t xml:space="preserve"> </w:t>
      </w:r>
      <w:r w:rsidR="00DB0E4B" w:rsidRPr="00BB6220">
        <w:rPr>
          <w:lang w:eastAsia="en-NZ"/>
        </w:rPr>
        <w:t>acceptable</w:t>
      </w:r>
      <w:r w:rsidR="003D640C">
        <w:rPr>
          <w:lang w:eastAsia="en-NZ"/>
        </w:rPr>
        <w:t xml:space="preserve"> </w:t>
      </w:r>
      <w:r w:rsidR="00DB0E4B" w:rsidRPr="00BB6220">
        <w:rPr>
          <w:lang w:eastAsia="en-NZ"/>
        </w:rPr>
        <w:t>than</w:t>
      </w:r>
      <w:r w:rsidR="003D640C">
        <w:rPr>
          <w:lang w:eastAsia="en-NZ"/>
        </w:rPr>
        <w:t xml:space="preserve"> </w:t>
      </w:r>
      <w:r w:rsidR="00DB0E4B" w:rsidRPr="00BB6220">
        <w:rPr>
          <w:lang w:eastAsia="en-NZ"/>
        </w:rPr>
        <w:t>those</w:t>
      </w:r>
      <w:r w:rsidR="003D640C">
        <w:rPr>
          <w:lang w:eastAsia="en-NZ"/>
        </w:rPr>
        <w:t xml:space="preserve"> </w:t>
      </w:r>
      <w:r w:rsidR="00DB0E4B" w:rsidRPr="00BB6220">
        <w:rPr>
          <w:lang w:eastAsia="en-NZ"/>
        </w:rPr>
        <w:t>focused</w:t>
      </w:r>
      <w:r w:rsidR="003D640C">
        <w:rPr>
          <w:lang w:eastAsia="en-NZ"/>
        </w:rPr>
        <w:t xml:space="preserve"> </w:t>
      </w:r>
      <w:r w:rsidR="00DB0E4B" w:rsidRPr="00BB6220">
        <w:rPr>
          <w:lang w:eastAsia="en-NZ"/>
        </w:rPr>
        <w:t>on</w:t>
      </w:r>
      <w:r w:rsidR="003D640C">
        <w:rPr>
          <w:lang w:eastAsia="en-NZ"/>
        </w:rPr>
        <w:t xml:space="preserve"> </w:t>
      </w:r>
      <w:r w:rsidR="00DB0E4B" w:rsidRPr="00BB6220">
        <w:rPr>
          <w:lang w:eastAsia="en-NZ"/>
        </w:rPr>
        <w:t>sexual</w:t>
      </w:r>
      <w:r w:rsidR="003D640C">
        <w:rPr>
          <w:lang w:eastAsia="en-NZ"/>
        </w:rPr>
        <w:t xml:space="preserve"> </w:t>
      </w:r>
      <w:r w:rsidR="00DB0E4B" w:rsidRPr="00BB6220">
        <w:rPr>
          <w:lang w:eastAsia="en-NZ"/>
        </w:rPr>
        <w:t>orientation.</w:t>
      </w:r>
      <w:r w:rsidR="00C14DFD" w:rsidRPr="00C14DFD">
        <w:rPr>
          <w:lang w:eastAsia="en-NZ"/>
        </w:rPr>
        <w:t xml:space="preserve"> </w:t>
      </w:r>
      <w:r w:rsidR="00C14DFD" w:rsidRPr="00BB6220">
        <w:rPr>
          <w:lang w:eastAsia="en-NZ"/>
        </w:rPr>
        <w:t>Survivors</w:t>
      </w:r>
      <w:r w:rsidR="00C14DFD">
        <w:rPr>
          <w:lang w:eastAsia="en-NZ"/>
        </w:rPr>
        <w:t xml:space="preserve"> </w:t>
      </w:r>
      <w:r w:rsidR="00C14DFD" w:rsidRPr="00BB6220">
        <w:rPr>
          <w:lang w:eastAsia="en-NZ"/>
        </w:rPr>
        <w:t>also</w:t>
      </w:r>
      <w:r w:rsidR="00C14DFD">
        <w:rPr>
          <w:lang w:eastAsia="en-NZ"/>
        </w:rPr>
        <w:t xml:space="preserve"> </w:t>
      </w:r>
      <w:r w:rsidR="00C14DFD" w:rsidRPr="00BB6220">
        <w:rPr>
          <w:lang w:eastAsia="en-NZ"/>
        </w:rPr>
        <w:t>spoke</w:t>
      </w:r>
      <w:r w:rsidR="00C14DFD">
        <w:rPr>
          <w:lang w:eastAsia="en-NZ"/>
        </w:rPr>
        <w:t xml:space="preserve"> </w:t>
      </w:r>
      <w:r w:rsidR="00C14DFD" w:rsidRPr="00BB6220">
        <w:rPr>
          <w:lang w:eastAsia="en-NZ"/>
        </w:rPr>
        <w:t>about</w:t>
      </w:r>
      <w:r w:rsidR="00C14DFD">
        <w:rPr>
          <w:lang w:eastAsia="en-NZ"/>
        </w:rPr>
        <w:t xml:space="preserve"> </w:t>
      </w:r>
      <w:r w:rsidR="00C14DFD" w:rsidRPr="00BB6220">
        <w:rPr>
          <w:lang w:eastAsia="en-NZ"/>
        </w:rPr>
        <w:t>how</w:t>
      </w:r>
      <w:r w:rsidR="00C14DFD">
        <w:rPr>
          <w:lang w:eastAsia="en-NZ"/>
        </w:rPr>
        <w:t xml:space="preserve"> </w:t>
      </w:r>
      <w:r w:rsidR="00C14DFD" w:rsidRPr="00BB6220">
        <w:rPr>
          <w:lang w:eastAsia="en-NZ"/>
        </w:rPr>
        <w:t>conversion</w:t>
      </w:r>
      <w:r w:rsidR="00C14DFD">
        <w:rPr>
          <w:lang w:eastAsia="en-NZ"/>
        </w:rPr>
        <w:t xml:space="preserve"> </w:t>
      </w:r>
      <w:r w:rsidR="00C14DFD" w:rsidRPr="00BB6220">
        <w:rPr>
          <w:lang w:eastAsia="en-NZ"/>
        </w:rPr>
        <w:t>practices</w:t>
      </w:r>
      <w:r w:rsidR="00C14DFD">
        <w:rPr>
          <w:lang w:eastAsia="en-NZ"/>
        </w:rPr>
        <w:t xml:space="preserve"> </w:t>
      </w:r>
      <w:r w:rsidR="00C14DFD" w:rsidRPr="00BB6220">
        <w:rPr>
          <w:lang w:eastAsia="en-NZ"/>
        </w:rPr>
        <w:t>affected</w:t>
      </w:r>
      <w:r w:rsidR="00C14DFD">
        <w:rPr>
          <w:lang w:eastAsia="en-NZ"/>
        </w:rPr>
        <w:t xml:space="preserve"> </w:t>
      </w:r>
      <w:r w:rsidR="00C14DFD" w:rsidRPr="00BB6220">
        <w:rPr>
          <w:lang w:eastAsia="en-NZ"/>
        </w:rPr>
        <w:t>their</w:t>
      </w:r>
      <w:r w:rsidR="00C14DFD">
        <w:rPr>
          <w:lang w:eastAsia="en-NZ"/>
        </w:rPr>
        <w:t xml:space="preserve"> </w:t>
      </w:r>
      <w:r w:rsidR="00C14DFD" w:rsidRPr="00BB6220">
        <w:rPr>
          <w:lang w:eastAsia="en-NZ"/>
        </w:rPr>
        <w:t>ability</w:t>
      </w:r>
      <w:r w:rsidR="00C14DFD">
        <w:rPr>
          <w:lang w:eastAsia="en-NZ"/>
        </w:rPr>
        <w:t xml:space="preserve"> </w:t>
      </w:r>
      <w:r w:rsidR="00C14DFD" w:rsidRPr="00BB6220">
        <w:rPr>
          <w:lang w:eastAsia="en-NZ"/>
        </w:rPr>
        <w:t>to</w:t>
      </w:r>
      <w:r w:rsidR="00C14DFD">
        <w:rPr>
          <w:lang w:eastAsia="en-NZ"/>
        </w:rPr>
        <w:t xml:space="preserve"> </w:t>
      </w:r>
      <w:r w:rsidR="00C14DFD" w:rsidRPr="00BB6220">
        <w:rPr>
          <w:lang w:eastAsia="en-NZ"/>
        </w:rPr>
        <w:t>come</w:t>
      </w:r>
      <w:r w:rsidR="00C14DFD">
        <w:rPr>
          <w:lang w:eastAsia="en-NZ"/>
        </w:rPr>
        <w:t xml:space="preserve"> </w:t>
      </w:r>
      <w:r w:rsidR="00C14DFD" w:rsidRPr="00BB6220">
        <w:rPr>
          <w:lang w:eastAsia="en-NZ"/>
        </w:rPr>
        <w:t>out</w:t>
      </w:r>
      <w:r w:rsidR="00C14DFD">
        <w:rPr>
          <w:lang w:eastAsia="en-NZ"/>
        </w:rPr>
        <w:t xml:space="preserve"> </w:t>
      </w:r>
      <w:r w:rsidR="00C14DFD" w:rsidRPr="00BB6220">
        <w:rPr>
          <w:lang w:eastAsia="en-NZ"/>
        </w:rPr>
        <w:t>or</w:t>
      </w:r>
      <w:r w:rsidR="00C14DFD">
        <w:rPr>
          <w:lang w:eastAsia="en-NZ"/>
        </w:rPr>
        <w:t xml:space="preserve"> </w:t>
      </w:r>
      <w:r w:rsidR="00C14DFD" w:rsidRPr="00BB6220">
        <w:rPr>
          <w:lang w:eastAsia="en-NZ"/>
        </w:rPr>
        <w:t>to</w:t>
      </w:r>
      <w:r w:rsidR="00C14DFD">
        <w:rPr>
          <w:lang w:eastAsia="en-NZ"/>
        </w:rPr>
        <w:t xml:space="preserve"> </w:t>
      </w:r>
      <w:r w:rsidR="00C14DFD" w:rsidRPr="00BB6220">
        <w:rPr>
          <w:lang w:eastAsia="en-NZ"/>
        </w:rPr>
        <w:t>live</w:t>
      </w:r>
      <w:r w:rsidR="00C14DFD">
        <w:rPr>
          <w:lang w:eastAsia="en-NZ"/>
        </w:rPr>
        <w:t xml:space="preserve"> </w:t>
      </w:r>
      <w:r w:rsidR="00C14DFD" w:rsidRPr="00BB6220">
        <w:rPr>
          <w:lang w:eastAsia="en-NZ"/>
        </w:rPr>
        <w:t>openly</w:t>
      </w:r>
      <w:r w:rsidR="00C14DFD">
        <w:rPr>
          <w:lang w:eastAsia="en-NZ"/>
        </w:rPr>
        <w:t xml:space="preserve"> </w:t>
      </w:r>
      <w:r w:rsidR="00C14DFD" w:rsidRPr="00BB6220">
        <w:rPr>
          <w:lang w:eastAsia="en-NZ"/>
        </w:rPr>
        <w:t>as</w:t>
      </w:r>
      <w:r w:rsidR="00C14DFD">
        <w:rPr>
          <w:lang w:eastAsia="en-NZ"/>
        </w:rPr>
        <w:t xml:space="preserve"> </w:t>
      </w:r>
      <w:r w:rsidR="00C14DFD" w:rsidRPr="00BB6220">
        <w:rPr>
          <w:lang w:eastAsia="en-NZ"/>
        </w:rPr>
        <w:t>they</w:t>
      </w:r>
      <w:r w:rsidR="00C14DFD">
        <w:rPr>
          <w:lang w:eastAsia="en-NZ"/>
        </w:rPr>
        <w:t xml:space="preserve"> </w:t>
      </w:r>
      <w:r w:rsidR="00C14DFD" w:rsidRPr="00BB6220">
        <w:rPr>
          <w:lang w:eastAsia="en-NZ"/>
        </w:rPr>
        <w:t>identified.</w:t>
      </w:r>
    </w:p>
    <w:p w14:paraId="59CFF8A2" w14:textId="4C03F26E" w:rsidR="00501068" w:rsidRDefault="00D10DF5" w:rsidP="002E6693">
      <w:pPr>
        <w:pStyle w:val="Quote"/>
        <w:rPr>
          <w:rFonts w:ascii="Segoe UI" w:hAnsi="Segoe UI" w:cs="Segoe UI"/>
          <w:sz w:val="18"/>
          <w:szCs w:val="18"/>
        </w:rPr>
      </w:pPr>
      <w:r w:rsidRPr="00BB6220">
        <w:t>“My</w:t>
      </w:r>
      <w:r w:rsidR="003D640C">
        <w:t xml:space="preserve"> </w:t>
      </w:r>
      <w:r w:rsidRPr="00BB6220">
        <w:t>father</w:t>
      </w:r>
      <w:r w:rsidR="003D640C">
        <w:t xml:space="preserve"> </w:t>
      </w:r>
      <w:r w:rsidRPr="00BB6220">
        <w:t>used</w:t>
      </w:r>
      <w:r w:rsidR="003D640C">
        <w:t xml:space="preserve"> </w:t>
      </w:r>
      <w:r w:rsidRPr="00BB6220">
        <w:t>to</w:t>
      </w:r>
      <w:r w:rsidR="003D640C">
        <w:t xml:space="preserve"> </w:t>
      </w:r>
      <w:r w:rsidRPr="00BB6220">
        <w:t>always</w:t>
      </w:r>
      <w:r w:rsidR="003D640C">
        <w:t xml:space="preserve"> </w:t>
      </w:r>
      <w:r w:rsidRPr="00BB6220">
        <w:t>yell</w:t>
      </w:r>
      <w:r w:rsidR="003D640C">
        <w:t xml:space="preserve"> </w:t>
      </w:r>
      <w:r w:rsidRPr="00BB6220">
        <w:t>at</w:t>
      </w:r>
      <w:r w:rsidR="003D640C">
        <w:t xml:space="preserve"> </w:t>
      </w:r>
      <w:r w:rsidRPr="00BB6220">
        <w:t>me</w:t>
      </w:r>
      <w:r w:rsidR="003D640C">
        <w:t xml:space="preserve"> </w:t>
      </w:r>
      <w:r w:rsidRPr="00BB6220">
        <w:t>for</w:t>
      </w:r>
      <w:r w:rsidR="003D640C">
        <w:t xml:space="preserve"> </w:t>
      </w:r>
      <w:r w:rsidRPr="00BB6220">
        <w:t>‘walking</w:t>
      </w:r>
      <w:r w:rsidR="003D640C">
        <w:t xml:space="preserve"> </w:t>
      </w:r>
      <w:r w:rsidRPr="00BB6220">
        <w:t>like</w:t>
      </w:r>
      <w:r w:rsidR="003D640C">
        <w:t xml:space="preserve"> </w:t>
      </w:r>
      <w:r w:rsidRPr="00BB6220">
        <w:t>a</w:t>
      </w:r>
      <w:r w:rsidR="003D640C">
        <w:t xml:space="preserve"> </w:t>
      </w:r>
      <w:r w:rsidRPr="00BB6220">
        <w:t>girl’</w:t>
      </w:r>
      <w:r w:rsidR="003D640C">
        <w:t xml:space="preserve"> </w:t>
      </w:r>
      <w:r w:rsidRPr="00BB6220">
        <w:t>and</w:t>
      </w:r>
      <w:r w:rsidR="003D640C">
        <w:t xml:space="preserve"> </w:t>
      </w:r>
      <w:r w:rsidRPr="00BB6220">
        <w:t>criticise</w:t>
      </w:r>
      <w:r w:rsidR="003D640C">
        <w:t xml:space="preserve"> </w:t>
      </w:r>
      <w:r w:rsidRPr="00BB6220">
        <w:t>other</w:t>
      </w:r>
      <w:r w:rsidR="003D640C">
        <w:t xml:space="preserve"> </w:t>
      </w:r>
      <w:r w:rsidRPr="00BB6220">
        <w:t>‘girl’</w:t>
      </w:r>
      <w:r w:rsidR="003D640C">
        <w:t xml:space="preserve"> </w:t>
      </w:r>
      <w:r w:rsidRPr="00BB6220">
        <w:t>things</w:t>
      </w:r>
      <w:r w:rsidR="003D640C">
        <w:t xml:space="preserve"> </w:t>
      </w:r>
      <w:r w:rsidRPr="00BB6220">
        <w:t>I</w:t>
      </w:r>
      <w:r w:rsidR="003D640C">
        <w:t xml:space="preserve"> </w:t>
      </w:r>
      <w:r w:rsidRPr="00BB6220">
        <w:t>used</w:t>
      </w:r>
      <w:r w:rsidR="003D640C">
        <w:t xml:space="preserve"> </w:t>
      </w:r>
      <w:r w:rsidRPr="00BB6220">
        <w:t>to</w:t>
      </w:r>
      <w:r w:rsidR="003D640C">
        <w:t xml:space="preserve"> </w:t>
      </w:r>
      <w:r w:rsidRPr="00BB6220">
        <w:t>do</w:t>
      </w:r>
      <w:r w:rsidR="003D640C">
        <w:t xml:space="preserve"> </w:t>
      </w:r>
      <w:r w:rsidRPr="00BB6220">
        <w:t>as</w:t>
      </w:r>
      <w:r w:rsidR="003D640C">
        <w:t xml:space="preserve"> </w:t>
      </w:r>
      <w:r w:rsidRPr="00BB6220">
        <w:t>a</w:t>
      </w:r>
      <w:r w:rsidR="003D640C">
        <w:t xml:space="preserve"> </w:t>
      </w:r>
      <w:r w:rsidRPr="00BB6220">
        <w:t>teenager.</w:t>
      </w:r>
      <w:r w:rsidR="003D640C">
        <w:t xml:space="preserve"> </w:t>
      </w:r>
      <w:r w:rsidRPr="00BB6220">
        <w:t>I</w:t>
      </w:r>
      <w:r w:rsidR="003D640C">
        <w:t xml:space="preserve"> </w:t>
      </w:r>
      <w:r w:rsidRPr="00BB6220">
        <w:t>remember</w:t>
      </w:r>
      <w:r w:rsidR="003D640C">
        <w:t xml:space="preserve"> </w:t>
      </w:r>
      <w:r w:rsidRPr="00BB6220">
        <w:t>one</w:t>
      </w:r>
      <w:r w:rsidR="003D640C">
        <w:t xml:space="preserve"> </w:t>
      </w:r>
      <w:r w:rsidRPr="00BB6220">
        <w:t>night</w:t>
      </w:r>
      <w:r w:rsidR="003D640C">
        <w:t xml:space="preserve"> </w:t>
      </w:r>
      <w:r w:rsidRPr="00BB6220">
        <w:t>I</w:t>
      </w:r>
      <w:r w:rsidR="003D640C">
        <w:t xml:space="preserve"> </w:t>
      </w:r>
      <w:r w:rsidRPr="00BB6220">
        <w:t>w</w:t>
      </w:r>
      <w:r w:rsidR="00C17AB1" w:rsidRPr="00BB6220">
        <w:t>a</w:t>
      </w:r>
      <w:r w:rsidRPr="00BB6220">
        <w:t>ndered</w:t>
      </w:r>
      <w:r w:rsidR="003D640C">
        <w:t xml:space="preserve"> </w:t>
      </w:r>
      <w:r w:rsidRPr="00BB6220">
        <w:t>off</w:t>
      </w:r>
      <w:r w:rsidR="003D640C">
        <w:t xml:space="preserve"> </w:t>
      </w:r>
      <w:r w:rsidRPr="00BB6220">
        <w:t>in</w:t>
      </w:r>
      <w:r w:rsidR="003D640C">
        <w:t xml:space="preserve"> </w:t>
      </w:r>
      <w:r w:rsidRPr="00BB6220">
        <w:t>the</w:t>
      </w:r>
      <w:r w:rsidR="003D640C">
        <w:t xml:space="preserve"> </w:t>
      </w:r>
      <w:r w:rsidRPr="00BB6220">
        <w:t>middle</w:t>
      </w:r>
      <w:r w:rsidR="003D640C">
        <w:t xml:space="preserve"> </w:t>
      </w:r>
      <w:r w:rsidRPr="00BB6220">
        <w:t>of</w:t>
      </w:r>
      <w:r w:rsidR="003D640C">
        <w:t xml:space="preserve"> </w:t>
      </w:r>
      <w:r w:rsidRPr="00BB6220">
        <w:t>the</w:t>
      </w:r>
      <w:r w:rsidR="003D640C">
        <w:t xml:space="preserve"> </w:t>
      </w:r>
      <w:r w:rsidRPr="00BB6220">
        <w:t>night</w:t>
      </w:r>
      <w:r w:rsidR="003D640C">
        <w:t xml:space="preserve"> </w:t>
      </w:r>
      <w:r w:rsidRPr="00BB6220">
        <w:t>and</w:t>
      </w:r>
      <w:r w:rsidR="003D640C">
        <w:t xml:space="preserve"> </w:t>
      </w:r>
      <w:r w:rsidRPr="00BB6220">
        <w:t>just</w:t>
      </w:r>
      <w:r w:rsidR="003D640C">
        <w:t xml:space="preserve"> </w:t>
      </w:r>
      <w:r w:rsidRPr="00BB6220">
        <w:t>stared</w:t>
      </w:r>
      <w:r w:rsidR="003D640C">
        <w:t xml:space="preserve"> </w:t>
      </w:r>
      <w:r w:rsidRPr="00BB6220">
        <w:t>at</w:t>
      </w:r>
      <w:r w:rsidR="003D640C">
        <w:t xml:space="preserve"> </w:t>
      </w:r>
      <w:r w:rsidRPr="00BB6220">
        <w:t>traffic,</w:t>
      </w:r>
      <w:r w:rsidR="003D640C">
        <w:t xml:space="preserve"> </w:t>
      </w:r>
      <w:r w:rsidRPr="00BB6220">
        <w:t>contemplating</w:t>
      </w:r>
      <w:r w:rsidR="003D640C">
        <w:t xml:space="preserve"> </w:t>
      </w:r>
      <w:r w:rsidRPr="00BB6220">
        <w:t>if</w:t>
      </w:r>
      <w:r w:rsidR="003D640C">
        <w:t xml:space="preserve"> </w:t>
      </w:r>
      <w:r w:rsidRPr="00BB6220">
        <w:t>I</w:t>
      </w:r>
      <w:r w:rsidR="003D640C">
        <w:t xml:space="preserve"> </w:t>
      </w:r>
      <w:r w:rsidRPr="00BB6220">
        <w:t>should</w:t>
      </w:r>
      <w:r w:rsidR="003D640C">
        <w:t xml:space="preserve"> </w:t>
      </w:r>
      <w:r w:rsidRPr="00BB6220">
        <w:t>just</w:t>
      </w:r>
      <w:r w:rsidR="003D640C">
        <w:t xml:space="preserve"> </w:t>
      </w:r>
      <w:r w:rsidRPr="00BB6220">
        <w:t>jump</w:t>
      </w:r>
      <w:r w:rsidR="003D640C">
        <w:t xml:space="preserve"> </w:t>
      </w:r>
      <w:r w:rsidRPr="00BB6220">
        <w:t>to</w:t>
      </w:r>
      <w:r w:rsidR="003D640C">
        <w:t xml:space="preserve"> </w:t>
      </w:r>
      <w:r w:rsidRPr="00BB6220">
        <w:t>end</w:t>
      </w:r>
      <w:r w:rsidR="003D640C">
        <w:t xml:space="preserve"> </w:t>
      </w:r>
      <w:r w:rsidRPr="00BB6220">
        <w:t>it</w:t>
      </w:r>
      <w:r w:rsidR="003D640C">
        <w:t xml:space="preserve"> </w:t>
      </w:r>
      <w:r w:rsidRPr="00BB6220">
        <w:t>all</w:t>
      </w:r>
      <w:r w:rsidR="003D640C">
        <w:t xml:space="preserve"> </w:t>
      </w:r>
      <w:r w:rsidRPr="00BB6220">
        <w:t>so</w:t>
      </w:r>
      <w:r w:rsidR="003D640C">
        <w:t xml:space="preserve"> </w:t>
      </w:r>
      <w:r w:rsidRPr="00BB6220">
        <w:t>that</w:t>
      </w:r>
      <w:r w:rsidR="003D640C">
        <w:t xml:space="preserve"> </w:t>
      </w:r>
      <w:r w:rsidRPr="00BB6220">
        <w:t>I</w:t>
      </w:r>
      <w:r w:rsidR="003D640C">
        <w:t xml:space="preserve"> </w:t>
      </w:r>
      <w:r w:rsidRPr="00BB6220">
        <w:t>am</w:t>
      </w:r>
      <w:r w:rsidR="003D640C">
        <w:t xml:space="preserve"> </w:t>
      </w:r>
      <w:r w:rsidRPr="00BB6220">
        <w:t>no</w:t>
      </w:r>
      <w:r w:rsidR="003D640C">
        <w:t xml:space="preserve"> </w:t>
      </w:r>
      <w:r w:rsidRPr="00BB6220">
        <w:t>longer</w:t>
      </w:r>
      <w:r w:rsidR="003D640C">
        <w:t xml:space="preserve"> </w:t>
      </w:r>
      <w:r w:rsidRPr="00BB6220">
        <w:t>a</w:t>
      </w:r>
      <w:r w:rsidR="003D640C">
        <w:t xml:space="preserve"> </w:t>
      </w:r>
      <w:r w:rsidRPr="00BB6220">
        <w:t>burden</w:t>
      </w:r>
      <w:r w:rsidR="003D640C">
        <w:t xml:space="preserve"> </w:t>
      </w:r>
      <w:r w:rsidRPr="00BB6220">
        <w:t>to</w:t>
      </w:r>
      <w:r w:rsidR="003D640C">
        <w:t xml:space="preserve"> </w:t>
      </w:r>
      <w:r w:rsidRPr="00BB6220">
        <w:t>my</w:t>
      </w:r>
      <w:r w:rsidR="003D640C">
        <w:t xml:space="preserve"> </w:t>
      </w:r>
      <w:r w:rsidRPr="00BB6220">
        <w:t>parents</w:t>
      </w:r>
      <w:r w:rsidR="00B930E5" w:rsidRPr="00BB6220">
        <w:t>.</w:t>
      </w:r>
      <w:r w:rsidRPr="00BB6220">
        <w:t>”</w:t>
      </w:r>
      <w:r w:rsidR="003D640C">
        <w:t xml:space="preserve"> </w:t>
      </w:r>
      <w:r w:rsidRPr="00BB6220">
        <w:t>South</w:t>
      </w:r>
      <w:r w:rsidR="003D640C">
        <w:t xml:space="preserve"> </w:t>
      </w:r>
      <w:r w:rsidRPr="00BB6220">
        <w:t>Asian</w:t>
      </w:r>
      <w:r w:rsidR="00076EF1" w:rsidRPr="00BB6220">
        <w:t>,</w:t>
      </w:r>
      <w:r w:rsidR="003D640C">
        <w:t xml:space="preserve"> </w:t>
      </w:r>
      <w:r w:rsidR="000E71D3" w:rsidRPr="00BB6220">
        <w:t>n</w:t>
      </w:r>
      <w:r w:rsidR="00076EF1" w:rsidRPr="00BB6220">
        <w:t>on-binary</w:t>
      </w:r>
      <w:r w:rsidR="003D640C">
        <w:t xml:space="preserve"> </w:t>
      </w:r>
    </w:p>
    <w:p w14:paraId="1AB33677" w14:textId="7F612728" w:rsidR="009E598F" w:rsidRPr="00BB6220" w:rsidRDefault="009E598F" w:rsidP="002E6693">
      <w:pPr>
        <w:rPr>
          <w:lang w:eastAsia="en-NZ"/>
        </w:rPr>
      </w:pPr>
      <w:r w:rsidRPr="00BB6220">
        <w:rPr>
          <w:lang w:eastAsia="en-NZ"/>
        </w:rPr>
        <w:t>Transgender</w:t>
      </w:r>
      <w:r w:rsidR="003D640C">
        <w:rPr>
          <w:lang w:eastAsia="en-NZ"/>
        </w:rPr>
        <w:t xml:space="preserve"> </w:t>
      </w:r>
      <w:r w:rsidRPr="00BB6220">
        <w:rPr>
          <w:lang w:eastAsia="en-NZ"/>
        </w:rPr>
        <w:t>people</w:t>
      </w:r>
      <w:r w:rsidR="003D640C">
        <w:rPr>
          <w:lang w:eastAsia="en-NZ"/>
        </w:rPr>
        <w:t xml:space="preserve"> </w:t>
      </w:r>
      <w:r w:rsidRPr="00BB6220">
        <w:rPr>
          <w:lang w:eastAsia="en-NZ"/>
        </w:rPr>
        <w:t>are</w:t>
      </w:r>
      <w:r w:rsidR="003D640C">
        <w:rPr>
          <w:lang w:eastAsia="en-NZ"/>
        </w:rPr>
        <w:t xml:space="preserve"> </w:t>
      </w:r>
      <w:r>
        <w:rPr>
          <w:lang w:eastAsia="en-NZ"/>
        </w:rPr>
        <w:t>uniquely</w:t>
      </w:r>
      <w:r w:rsidR="003D640C">
        <w:rPr>
          <w:lang w:eastAsia="en-NZ"/>
        </w:rPr>
        <w:t xml:space="preserve"> </w:t>
      </w:r>
      <w:r w:rsidRPr="00BB6220">
        <w:rPr>
          <w:lang w:eastAsia="en-NZ"/>
        </w:rPr>
        <w:t>susceptible</w:t>
      </w:r>
      <w:r w:rsidR="003D640C">
        <w:rPr>
          <w:lang w:eastAsia="en-NZ"/>
        </w:rPr>
        <w:t xml:space="preserve"> </w:t>
      </w:r>
      <w:r w:rsidRPr="00BB6220">
        <w:rPr>
          <w:lang w:eastAsia="en-NZ"/>
        </w:rPr>
        <w:t>to</w:t>
      </w:r>
      <w:r w:rsidR="003D640C">
        <w:rPr>
          <w:lang w:eastAsia="en-NZ"/>
        </w:rPr>
        <w:t xml:space="preserve"> </w:t>
      </w:r>
      <w:r w:rsidRPr="00BB6220">
        <w:rPr>
          <w:lang w:eastAsia="en-NZ"/>
        </w:rPr>
        <w:t>experiencing</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in</w:t>
      </w:r>
      <w:r w:rsidR="003D640C">
        <w:rPr>
          <w:lang w:eastAsia="en-NZ"/>
        </w:rPr>
        <w:t xml:space="preserve"> </w:t>
      </w:r>
      <w:r w:rsidRPr="00BB6220">
        <w:rPr>
          <w:lang w:eastAsia="en-NZ"/>
        </w:rPr>
        <w:t>healthcare</w:t>
      </w:r>
      <w:r w:rsidR="003D640C">
        <w:rPr>
          <w:lang w:eastAsia="en-NZ"/>
        </w:rPr>
        <w:t xml:space="preserve"> </w:t>
      </w:r>
      <w:r w:rsidRPr="00BB6220">
        <w:rPr>
          <w:lang w:eastAsia="en-NZ"/>
        </w:rPr>
        <w:t>settings,</w:t>
      </w:r>
      <w:r w:rsidR="003D640C">
        <w:rPr>
          <w:lang w:eastAsia="en-NZ"/>
        </w:rPr>
        <w:t xml:space="preserve"> </w:t>
      </w:r>
      <w:r w:rsidRPr="00BB6220">
        <w:rPr>
          <w:lang w:eastAsia="en-NZ"/>
        </w:rPr>
        <w:t>as</w:t>
      </w:r>
      <w:r w:rsidR="003D640C">
        <w:rPr>
          <w:lang w:eastAsia="en-NZ"/>
        </w:rPr>
        <w:t xml:space="preserve"> </w:t>
      </w:r>
      <w:r w:rsidRPr="00BB6220">
        <w:rPr>
          <w:lang w:eastAsia="en-NZ"/>
        </w:rPr>
        <w:t>many</w:t>
      </w:r>
      <w:r w:rsidR="003D640C">
        <w:rPr>
          <w:lang w:eastAsia="en-NZ"/>
        </w:rPr>
        <w:t xml:space="preserve"> </w:t>
      </w:r>
      <w:r w:rsidRPr="00BB6220">
        <w:rPr>
          <w:lang w:eastAsia="en-NZ"/>
        </w:rPr>
        <w:t>have</w:t>
      </w:r>
      <w:r w:rsidR="003D640C">
        <w:rPr>
          <w:lang w:eastAsia="en-NZ"/>
        </w:rPr>
        <w:t xml:space="preserve"> </w:t>
      </w:r>
      <w:r w:rsidRPr="00BB6220">
        <w:rPr>
          <w:lang w:eastAsia="en-NZ"/>
        </w:rPr>
        <w:t>contact</w:t>
      </w:r>
      <w:r w:rsidR="003D640C">
        <w:rPr>
          <w:lang w:eastAsia="en-NZ"/>
        </w:rPr>
        <w:t xml:space="preserve"> </w:t>
      </w:r>
      <w:r w:rsidRPr="00BB6220">
        <w:rPr>
          <w:lang w:eastAsia="en-NZ"/>
        </w:rPr>
        <w:t>with</w:t>
      </w:r>
      <w:r w:rsidR="003D640C">
        <w:rPr>
          <w:lang w:eastAsia="en-NZ"/>
        </w:rPr>
        <w:t xml:space="preserve"> </w:t>
      </w:r>
      <w:r w:rsidRPr="00BB6220">
        <w:rPr>
          <w:lang w:eastAsia="en-NZ"/>
        </w:rPr>
        <w:t>health</w:t>
      </w:r>
      <w:r w:rsidR="003D640C">
        <w:rPr>
          <w:lang w:eastAsia="en-NZ"/>
        </w:rPr>
        <w:t xml:space="preserve"> </w:t>
      </w:r>
      <w:r w:rsidRPr="00BB6220">
        <w:rPr>
          <w:lang w:eastAsia="en-NZ"/>
        </w:rPr>
        <w:t>professionals</w:t>
      </w:r>
      <w:r w:rsidR="003D640C">
        <w:rPr>
          <w:lang w:eastAsia="en-NZ"/>
        </w:rPr>
        <w:t xml:space="preserve"> </w:t>
      </w:r>
      <w:r w:rsidRPr="00BB6220">
        <w:rPr>
          <w:lang w:eastAsia="en-NZ"/>
        </w:rPr>
        <w:t>to</w:t>
      </w:r>
      <w:r w:rsidR="003D640C">
        <w:rPr>
          <w:lang w:eastAsia="en-NZ"/>
        </w:rPr>
        <w:t xml:space="preserve"> </w:t>
      </w:r>
      <w:r w:rsidRPr="00BB6220">
        <w:rPr>
          <w:lang w:eastAsia="en-NZ"/>
        </w:rPr>
        <w:t>access</w:t>
      </w:r>
      <w:r w:rsidR="003D640C">
        <w:rPr>
          <w:lang w:eastAsia="en-NZ"/>
        </w:rPr>
        <w:t xml:space="preserve"> </w:t>
      </w:r>
      <w:r w:rsidRPr="00BB6220">
        <w:rPr>
          <w:lang w:eastAsia="en-NZ"/>
        </w:rPr>
        <w:t>gender-affirming</w:t>
      </w:r>
      <w:r w:rsidR="003D640C">
        <w:rPr>
          <w:lang w:eastAsia="en-NZ"/>
        </w:rPr>
        <w:t xml:space="preserve"> </w:t>
      </w:r>
      <w:r w:rsidRPr="00BB6220">
        <w:rPr>
          <w:lang w:eastAsia="en-NZ"/>
        </w:rPr>
        <w:t>healthcare.</w:t>
      </w:r>
    </w:p>
    <w:p w14:paraId="7DF65D6A" w14:textId="4DDCF5ED" w:rsidR="00501068" w:rsidRDefault="00EA3F99" w:rsidP="002E6693">
      <w:pPr>
        <w:rPr>
          <w:rFonts w:ascii="Segoe UI" w:hAnsi="Segoe UI" w:cs="Segoe UI"/>
          <w:sz w:val="18"/>
          <w:szCs w:val="18"/>
          <w:lang w:eastAsia="en-NZ"/>
        </w:rPr>
      </w:pPr>
      <w:r>
        <w:rPr>
          <w:lang w:eastAsia="en-NZ"/>
        </w:rPr>
        <w:t>S</w:t>
      </w:r>
      <w:r w:rsidR="0B34F585" w:rsidRPr="00BB6220">
        <w:rPr>
          <w:lang w:eastAsia="en-NZ"/>
        </w:rPr>
        <w:t>ome</w:t>
      </w:r>
      <w:r w:rsidR="003D640C">
        <w:rPr>
          <w:lang w:eastAsia="en-NZ"/>
        </w:rPr>
        <w:t xml:space="preserve"> </w:t>
      </w:r>
      <w:r w:rsidR="00D10DF5" w:rsidRPr="00BB6220">
        <w:rPr>
          <w:lang w:eastAsia="en-NZ"/>
        </w:rPr>
        <w:t>survivors</w:t>
      </w:r>
      <w:r w:rsidR="003D640C">
        <w:rPr>
          <w:lang w:eastAsia="en-NZ"/>
        </w:rPr>
        <w:t xml:space="preserve"> </w:t>
      </w:r>
      <w:r>
        <w:rPr>
          <w:lang w:eastAsia="en-NZ"/>
        </w:rPr>
        <w:t>who</w:t>
      </w:r>
      <w:r w:rsidR="003D640C">
        <w:rPr>
          <w:lang w:eastAsia="en-NZ"/>
        </w:rPr>
        <w:t xml:space="preserve"> </w:t>
      </w:r>
      <w:r>
        <w:rPr>
          <w:lang w:eastAsia="en-NZ"/>
        </w:rPr>
        <w:t>spoke</w:t>
      </w:r>
      <w:r w:rsidR="003D640C">
        <w:rPr>
          <w:lang w:eastAsia="en-NZ"/>
        </w:rPr>
        <w:t xml:space="preserve"> </w:t>
      </w:r>
      <w:r>
        <w:rPr>
          <w:lang w:eastAsia="en-NZ"/>
        </w:rPr>
        <w:t>with</w:t>
      </w:r>
      <w:r w:rsidR="003D640C">
        <w:rPr>
          <w:lang w:eastAsia="en-NZ"/>
        </w:rPr>
        <w:t xml:space="preserve"> </w:t>
      </w:r>
      <w:r>
        <w:rPr>
          <w:lang w:eastAsia="en-NZ"/>
        </w:rPr>
        <w:t>us</w:t>
      </w:r>
      <w:r w:rsidR="003D640C">
        <w:rPr>
          <w:lang w:eastAsia="en-NZ"/>
        </w:rPr>
        <w:t xml:space="preserve"> </w:t>
      </w:r>
      <w:r w:rsidR="00D10DF5" w:rsidRPr="00BB6220">
        <w:rPr>
          <w:lang w:eastAsia="en-NZ"/>
        </w:rPr>
        <w:t>were</w:t>
      </w:r>
      <w:r w:rsidR="003D640C">
        <w:rPr>
          <w:lang w:eastAsia="en-NZ"/>
        </w:rPr>
        <w:t xml:space="preserve"> </w:t>
      </w:r>
      <w:r w:rsidR="00D10DF5" w:rsidRPr="00BB6220">
        <w:rPr>
          <w:lang w:eastAsia="en-NZ"/>
        </w:rPr>
        <w:t>under</w:t>
      </w:r>
      <w:r w:rsidR="003D640C">
        <w:rPr>
          <w:lang w:eastAsia="en-NZ"/>
        </w:rPr>
        <w:t xml:space="preserve"> </w:t>
      </w:r>
      <w:r w:rsidR="00D10DF5" w:rsidRPr="00BB6220">
        <w:rPr>
          <w:lang w:eastAsia="en-NZ"/>
        </w:rPr>
        <w:t>the</w:t>
      </w:r>
      <w:r w:rsidR="003D640C">
        <w:rPr>
          <w:lang w:eastAsia="en-NZ"/>
        </w:rPr>
        <w:t xml:space="preserve"> </w:t>
      </w:r>
      <w:r w:rsidR="00D10DF5" w:rsidRPr="00BB6220">
        <w:rPr>
          <w:lang w:eastAsia="en-NZ"/>
        </w:rPr>
        <w:t>impression</w:t>
      </w:r>
      <w:r w:rsidR="003D640C">
        <w:rPr>
          <w:lang w:eastAsia="en-NZ"/>
        </w:rPr>
        <w:t xml:space="preserve"> </w:t>
      </w:r>
      <w:r w:rsidR="00D10DF5" w:rsidRPr="00BB6220">
        <w:rPr>
          <w:lang w:eastAsia="en-NZ"/>
        </w:rPr>
        <w:t>that</w:t>
      </w:r>
      <w:r w:rsidR="00F5313E">
        <w:rPr>
          <w:lang w:eastAsia="en-NZ"/>
        </w:rPr>
        <w:t>,</w:t>
      </w:r>
      <w:r w:rsidR="003D640C">
        <w:rPr>
          <w:lang w:eastAsia="en-NZ"/>
        </w:rPr>
        <w:t xml:space="preserve"> </w:t>
      </w:r>
      <w:r w:rsidR="00D10DF5" w:rsidRPr="00BB6220">
        <w:rPr>
          <w:lang w:eastAsia="en-NZ"/>
        </w:rPr>
        <w:t>if</w:t>
      </w:r>
      <w:r w:rsidR="003D640C">
        <w:rPr>
          <w:lang w:eastAsia="en-NZ"/>
        </w:rPr>
        <w:t xml:space="preserve"> </w:t>
      </w:r>
      <w:r w:rsidR="00F5313E">
        <w:rPr>
          <w:lang w:eastAsia="en-NZ"/>
        </w:rPr>
        <w:t xml:space="preserve">health practitioners </w:t>
      </w:r>
      <w:r w:rsidR="00D513A8">
        <w:rPr>
          <w:lang w:eastAsia="en-NZ"/>
        </w:rPr>
        <w:t>tried</w:t>
      </w:r>
      <w:r w:rsidR="003D640C">
        <w:rPr>
          <w:lang w:eastAsia="en-NZ"/>
        </w:rPr>
        <w:t xml:space="preserve"> </w:t>
      </w:r>
      <w:r w:rsidR="00D513A8">
        <w:rPr>
          <w:lang w:eastAsia="en-NZ"/>
        </w:rPr>
        <w:t>to</w:t>
      </w:r>
      <w:r w:rsidR="003D640C">
        <w:rPr>
          <w:lang w:eastAsia="en-NZ"/>
        </w:rPr>
        <w:t xml:space="preserve"> </w:t>
      </w:r>
      <w:r w:rsidR="00D513A8">
        <w:rPr>
          <w:lang w:eastAsia="en-NZ"/>
        </w:rPr>
        <w:t>change</w:t>
      </w:r>
      <w:r w:rsidR="003D640C">
        <w:rPr>
          <w:lang w:eastAsia="en-NZ"/>
        </w:rPr>
        <w:t xml:space="preserve"> </w:t>
      </w:r>
      <w:r w:rsidR="00D513A8">
        <w:rPr>
          <w:lang w:eastAsia="en-NZ"/>
        </w:rPr>
        <w:t>or</w:t>
      </w:r>
      <w:r w:rsidR="003D640C">
        <w:rPr>
          <w:lang w:eastAsia="en-NZ"/>
        </w:rPr>
        <w:t xml:space="preserve"> </w:t>
      </w:r>
      <w:r w:rsidR="00D513A8">
        <w:rPr>
          <w:lang w:eastAsia="en-NZ"/>
        </w:rPr>
        <w:t>suppress</w:t>
      </w:r>
      <w:r w:rsidR="003D640C">
        <w:rPr>
          <w:lang w:eastAsia="en-NZ"/>
        </w:rPr>
        <w:t xml:space="preserve"> </w:t>
      </w:r>
      <w:r w:rsidR="00D513A8">
        <w:rPr>
          <w:lang w:eastAsia="en-NZ"/>
        </w:rPr>
        <w:t>a</w:t>
      </w:r>
      <w:r w:rsidR="003D640C">
        <w:rPr>
          <w:lang w:eastAsia="en-NZ"/>
        </w:rPr>
        <w:t xml:space="preserve"> </w:t>
      </w:r>
      <w:r w:rsidR="00D513A8">
        <w:rPr>
          <w:lang w:eastAsia="en-NZ"/>
        </w:rPr>
        <w:t>person’s</w:t>
      </w:r>
      <w:r w:rsidR="003D640C">
        <w:rPr>
          <w:lang w:eastAsia="en-NZ"/>
        </w:rPr>
        <w:t xml:space="preserve"> </w:t>
      </w:r>
      <w:r w:rsidR="00D513A8">
        <w:rPr>
          <w:lang w:eastAsia="en-NZ"/>
        </w:rPr>
        <w:t>gender</w:t>
      </w:r>
      <w:r w:rsidR="003D640C">
        <w:rPr>
          <w:lang w:eastAsia="en-NZ"/>
        </w:rPr>
        <w:t xml:space="preserve"> </w:t>
      </w:r>
      <w:r w:rsidR="00D513A8">
        <w:rPr>
          <w:lang w:eastAsia="en-NZ"/>
        </w:rPr>
        <w:t>identity,</w:t>
      </w:r>
      <w:r w:rsidR="003D640C">
        <w:rPr>
          <w:lang w:eastAsia="en-NZ"/>
        </w:rPr>
        <w:t xml:space="preserve"> </w:t>
      </w:r>
      <w:r w:rsidR="00D10DF5" w:rsidRPr="00BB6220">
        <w:rPr>
          <w:lang w:eastAsia="en-NZ"/>
        </w:rPr>
        <w:t>th</w:t>
      </w:r>
      <w:r w:rsidR="009828CE">
        <w:rPr>
          <w:lang w:eastAsia="en-NZ"/>
        </w:rPr>
        <w:t>is</w:t>
      </w:r>
      <w:r w:rsidR="003D640C">
        <w:rPr>
          <w:lang w:eastAsia="en-NZ"/>
        </w:rPr>
        <w:t xml:space="preserve"> </w:t>
      </w:r>
      <w:r w:rsidR="00D10DF5" w:rsidRPr="00BB6220">
        <w:rPr>
          <w:lang w:eastAsia="en-NZ"/>
        </w:rPr>
        <w:t>would</w:t>
      </w:r>
      <w:r w:rsidR="003D640C">
        <w:rPr>
          <w:lang w:eastAsia="en-NZ"/>
        </w:rPr>
        <w:t xml:space="preserve"> </w:t>
      </w:r>
      <w:r w:rsidR="00D10DF5" w:rsidRPr="00BB6220">
        <w:rPr>
          <w:lang w:eastAsia="en-NZ"/>
        </w:rPr>
        <w:t>fall</w:t>
      </w:r>
      <w:r w:rsidR="003D640C">
        <w:rPr>
          <w:lang w:eastAsia="en-NZ"/>
        </w:rPr>
        <w:t xml:space="preserve"> </w:t>
      </w:r>
      <w:r w:rsidR="00D10DF5" w:rsidRPr="00BB6220">
        <w:rPr>
          <w:lang w:eastAsia="en-NZ"/>
        </w:rPr>
        <w:t>outside</w:t>
      </w:r>
      <w:r w:rsidR="003D640C">
        <w:rPr>
          <w:lang w:eastAsia="en-NZ"/>
        </w:rPr>
        <w:t xml:space="preserve"> </w:t>
      </w:r>
      <w:r w:rsidR="00D10DF5" w:rsidRPr="00BB6220">
        <w:rPr>
          <w:lang w:eastAsia="en-NZ"/>
        </w:rPr>
        <w:t>the</w:t>
      </w:r>
      <w:r w:rsidR="003D640C">
        <w:rPr>
          <w:lang w:eastAsia="en-NZ"/>
        </w:rPr>
        <w:t xml:space="preserve"> </w:t>
      </w:r>
      <w:r w:rsidR="00D10DF5" w:rsidRPr="00BB6220">
        <w:rPr>
          <w:lang w:eastAsia="en-NZ"/>
        </w:rPr>
        <w:t>scope</w:t>
      </w:r>
      <w:r w:rsidR="003D640C">
        <w:rPr>
          <w:lang w:eastAsia="en-NZ"/>
        </w:rPr>
        <w:t xml:space="preserve"> </w:t>
      </w:r>
      <w:r w:rsidR="00D10DF5" w:rsidRPr="00BB6220">
        <w:rPr>
          <w:lang w:eastAsia="en-NZ"/>
        </w:rPr>
        <w:t>of</w:t>
      </w:r>
      <w:r w:rsidR="003D640C">
        <w:rPr>
          <w:lang w:eastAsia="en-NZ"/>
        </w:rPr>
        <w:t xml:space="preserve"> </w:t>
      </w:r>
      <w:r w:rsidR="00D10DF5" w:rsidRPr="00BB6220">
        <w:rPr>
          <w:lang w:eastAsia="en-NZ"/>
        </w:rPr>
        <w:t>the</w:t>
      </w:r>
      <w:r w:rsidR="003D640C">
        <w:rPr>
          <w:lang w:eastAsia="en-NZ"/>
        </w:rPr>
        <w:t xml:space="preserve"> </w:t>
      </w:r>
      <w:r w:rsidR="00C015B6" w:rsidRPr="00BB6220">
        <w:rPr>
          <w:lang w:eastAsia="en-NZ"/>
        </w:rPr>
        <w:t>CPPLA</w:t>
      </w:r>
      <w:r w:rsidR="00D10DF5" w:rsidRPr="00BB6220">
        <w:rPr>
          <w:lang w:eastAsia="en-NZ"/>
        </w:rPr>
        <w:t>.</w:t>
      </w:r>
      <w:r w:rsidR="003D640C">
        <w:rPr>
          <w:lang w:eastAsia="en-NZ"/>
        </w:rPr>
        <w:t xml:space="preserve"> </w:t>
      </w:r>
      <w:r w:rsidR="00D10DF5" w:rsidRPr="00BB6220">
        <w:rPr>
          <w:lang w:eastAsia="en-NZ"/>
        </w:rPr>
        <w:t>While</w:t>
      </w:r>
      <w:r w:rsidR="003D640C">
        <w:rPr>
          <w:lang w:eastAsia="en-NZ"/>
        </w:rPr>
        <w:t xml:space="preserve"> </w:t>
      </w:r>
      <w:r w:rsidR="00D10DF5" w:rsidRPr="00BB6220">
        <w:rPr>
          <w:lang w:eastAsia="en-NZ"/>
        </w:rPr>
        <w:t>there</w:t>
      </w:r>
      <w:r w:rsidR="003D640C">
        <w:rPr>
          <w:lang w:eastAsia="en-NZ"/>
        </w:rPr>
        <w:t xml:space="preserve"> </w:t>
      </w:r>
      <w:r w:rsidR="00D10DF5" w:rsidRPr="00BB6220">
        <w:rPr>
          <w:lang w:eastAsia="en-NZ"/>
        </w:rPr>
        <w:t>is</w:t>
      </w:r>
      <w:r w:rsidR="003D640C">
        <w:rPr>
          <w:lang w:eastAsia="en-NZ"/>
        </w:rPr>
        <w:t xml:space="preserve"> </w:t>
      </w:r>
      <w:r w:rsidR="00D10DF5" w:rsidRPr="00BB6220">
        <w:rPr>
          <w:lang w:eastAsia="en-NZ"/>
        </w:rPr>
        <w:t>a</w:t>
      </w:r>
      <w:r w:rsidR="003D640C">
        <w:rPr>
          <w:lang w:eastAsia="en-NZ"/>
        </w:rPr>
        <w:t xml:space="preserve"> </w:t>
      </w:r>
      <w:r w:rsidR="00D10DF5" w:rsidRPr="00BB6220">
        <w:rPr>
          <w:lang w:eastAsia="en-NZ"/>
        </w:rPr>
        <w:t>partial</w:t>
      </w:r>
      <w:r w:rsidR="003D640C">
        <w:rPr>
          <w:lang w:eastAsia="en-NZ"/>
        </w:rPr>
        <w:t xml:space="preserve"> </w:t>
      </w:r>
      <w:r w:rsidR="00D10DF5" w:rsidRPr="00BB6220">
        <w:rPr>
          <w:lang w:eastAsia="en-NZ"/>
        </w:rPr>
        <w:t>exemption</w:t>
      </w:r>
      <w:r w:rsidR="003D640C">
        <w:rPr>
          <w:lang w:eastAsia="en-NZ"/>
        </w:rPr>
        <w:t xml:space="preserve"> </w:t>
      </w:r>
      <w:r w:rsidR="00D10DF5" w:rsidRPr="00BB6220">
        <w:rPr>
          <w:lang w:eastAsia="en-NZ"/>
        </w:rPr>
        <w:t>for</w:t>
      </w:r>
      <w:r w:rsidR="003D640C">
        <w:rPr>
          <w:lang w:eastAsia="en-NZ"/>
        </w:rPr>
        <w:t xml:space="preserve"> </w:t>
      </w:r>
      <w:r w:rsidR="00D10DF5" w:rsidRPr="00BB6220">
        <w:rPr>
          <w:lang w:eastAsia="en-NZ"/>
        </w:rPr>
        <w:t>health</w:t>
      </w:r>
      <w:r w:rsidR="003D640C">
        <w:rPr>
          <w:lang w:eastAsia="en-NZ"/>
        </w:rPr>
        <w:t xml:space="preserve"> </w:t>
      </w:r>
      <w:r w:rsidR="00D10DF5" w:rsidRPr="00BB6220">
        <w:rPr>
          <w:lang w:eastAsia="en-NZ"/>
        </w:rPr>
        <w:t>practitioners</w:t>
      </w:r>
      <w:r w:rsidR="003D640C">
        <w:rPr>
          <w:lang w:eastAsia="en-NZ"/>
        </w:rPr>
        <w:t xml:space="preserve"> </w:t>
      </w:r>
      <w:r w:rsidR="00D10DF5" w:rsidRPr="00BB6220">
        <w:rPr>
          <w:lang w:eastAsia="en-NZ"/>
        </w:rPr>
        <w:t>in</w:t>
      </w:r>
      <w:r w:rsidR="003D640C">
        <w:rPr>
          <w:lang w:eastAsia="en-NZ"/>
        </w:rPr>
        <w:t xml:space="preserve"> </w:t>
      </w:r>
      <w:r w:rsidR="00F5313E">
        <w:rPr>
          <w:lang w:eastAsia="en-NZ"/>
        </w:rPr>
        <w:t xml:space="preserve">section 5 of </w:t>
      </w:r>
      <w:r w:rsidR="00D10DF5" w:rsidRPr="00BB6220">
        <w:rPr>
          <w:lang w:eastAsia="en-NZ"/>
        </w:rPr>
        <w:t>the</w:t>
      </w:r>
      <w:r w:rsidR="003D640C">
        <w:rPr>
          <w:lang w:eastAsia="en-NZ"/>
        </w:rPr>
        <w:t xml:space="preserve"> </w:t>
      </w:r>
      <w:r w:rsidR="00B930E5" w:rsidRPr="00BB6220">
        <w:rPr>
          <w:lang w:eastAsia="en-NZ"/>
        </w:rPr>
        <w:t>CPPLA</w:t>
      </w:r>
      <w:r w:rsidR="00D10DF5" w:rsidRPr="00BB6220">
        <w:rPr>
          <w:lang w:eastAsia="en-NZ"/>
        </w:rPr>
        <w:t>,</w:t>
      </w:r>
      <w:r w:rsidR="003D640C">
        <w:rPr>
          <w:lang w:eastAsia="en-NZ"/>
        </w:rPr>
        <w:t xml:space="preserve"> </w:t>
      </w:r>
      <w:r w:rsidR="00B930E5" w:rsidRPr="00BB6220">
        <w:rPr>
          <w:lang w:eastAsia="en-NZ"/>
        </w:rPr>
        <w:t>it</w:t>
      </w:r>
      <w:r w:rsidR="003D640C">
        <w:rPr>
          <w:lang w:eastAsia="en-NZ"/>
        </w:rPr>
        <w:t xml:space="preserve"> </w:t>
      </w:r>
      <w:r w:rsidR="00D10DF5" w:rsidRPr="00BB6220">
        <w:rPr>
          <w:lang w:eastAsia="en-NZ"/>
        </w:rPr>
        <w:t>is</w:t>
      </w:r>
      <w:r w:rsidR="003D640C">
        <w:rPr>
          <w:lang w:eastAsia="en-NZ"/>
        </w:rPr>
        <w:t xml:space="preserve"> </w:t>
      </w:r>
      <w:r w:rsidR="00D516F6" w:rsidRPr="00BB6220">
        <w:rPr>
          <w:lang w:eastAsia="en-NZ"/>
        </w:rPr>
        <w:t>designed</w:t>
      </w:r>
      <w:r w:rsidR="003D640C">
        <w:rPr>
          <w:lang w:eastAsia="en-NZ"/>
        </w:rPr>
        <w:t xml:space="preserve"> </w:t>
      </w:r>
      <w:r w:rsidR="00D516F6" w:rsidRPr="00BB6220">
        <w:rPr>
          <w:lang w:eastAsia="en-NZ"/>
        </w:rPr>
        <w:t>to</w:t>
      </w:r>
      <w:r w:rsidR="003D640C">
        <w:rPr>
          <w:lang w:eastAsia="en-NZ"/>
        </w:rPr>
        <w:t xml:space="preserve"> </w:t>
      </w:r>
      <w:r w:rsidR="00D516F6" w:rsidRPr="00BB6220">
        <w:rPr>
          <w:lang w:eastAsia="en-NZ"/>
        </w:rPr>
        <w:t>allow</w:t>
      </w:r>
      <w:r w:rsidR="003D640C">
        <w:rPr>
          <w:lang w:eastAsia="en-NZ"/>
        </w:rPr>
        <w:t xml:space="preserve"> </w:t>
      </w:r>
      <w:r w:rsidR="00D516F6" w:rsidRPr="00BB6220">
        <w:rPr>
          <w:lang w:eastAsia="en-NZ"/>
        </w:rPr>
        <w:t>for</w:t>
      </w:r>
      <w:r w:rsidR="003D640C">
        <w:rPr>
          <w:lang w:eastAsia="en-NZ"/>
        </w:rPr>
        <w:t xml:space="preserve"> </w:t>
      </w:r>
      <w:r w:rsidR="00D516F6" w:rsidRPr="00BB6220">
        <w:rPr>
          <w:lang w:eastAsia="en-NZ"/>
        </w:rPr>
        <w:t>health</w:t>
      </w:r>
      <w:r w:rsidR="003D640C">
        <w:rPr>
          <w:lang w:eastAsia="en-NZ"/>
        </w:rPr>
        <w:t xml:space="preserve"> </w:t>
      </w:r>
      <w:r w:rsidR="00D516F6" w:rsidRPr="00BB6220">
        <w:rPr>
          <w:lang w:eastAsia="en-NZ"/>
        </w:rPr>
        <w:t>pr</w:t>
      </w:r>
      <w:r w:rsidR="00B930E5" w:rsidRPr="00BB6220">
        <w:rPr>
          <w:lang w:eastAsia="en-NZ"/>
        </w:rPr>
        <w:t>actitioners</w:t>
      </w:r>
      <w:r w:rsidR="003D640C">
        <w:rPr>
          <w:lang w:eastAsia="en-NZ"/>
        </w:rPr>
        <w:t xml:space="preserve"> </w:t>
      </w:r>
      <w:r w:rsidR="00D516F6" w:rsidRPr="00BB6220">
        <w:rPr>
          <w:lang w:eastAsia="en-NZ"/>
        </w:rPr>
        <w:t>to</w:t>
      </w:r>
      <w:r w:rsidR="003D640C">
        <w:rPr>
          <w:lang w:eastAsia="en-NZ"/>
        </w:rPr>
        <w:t xml:space="preserve"> </w:t>
      </w:r>
      <w:r w:rsidR="00D516F6" w:rsidRPr="00BB6220">
        <w:rPr>
          <w:lang w:eastAsia="en-NZ"/>
        </w:rPr>
        <w:t>assist</w:t>
      </w:r>
      <w:r w:rsidR="003D640C">
        <w:rPr>
          <w:lang w:eastAsia="en-NZ"/>
        </w:rPr>
        <w:t xml:space="preserve"> </w:t>
      </w:r>
      <w:r w:rsidR="00D516F6" w:rsidRPr="00BB6220">
        <w:rPr>
          <w:lang w:eastAsia="en-NZ"/>
        </w:rPr>
        <w:t>individuals</w:t>
      </w:r>
      <w:r w:rsidR="003D640C">
        <w:rPr>
          <w:lang w:eastAsia="en-NZ"/>
        </w:rPr>
        <w:t xml:space="preserve"> </w:t>
      </w:r>
      <w:r w:rsidR="00D516F6" w:rsidRPr="00BB6220">
        <w:rPr>
          <w:lang w:eastAsia="en-NZ"/>
        </w:rPr>
        <w:t>to</w:t>
      </w:r>
      <w:r w:rsidR="003D640C">
        <w:rPr>
          <w:lang w:eastAsia="en-NZ"/>
        </w:rPr>
        <w:t xml:space="preserve"> </w:t>
      </w:r>
      <w:r w:rsidR="00D516F6" w:rsidRPr="00BB6220">
        <w:rPr>
          <w:lang w:eastAsia="en-NZ"/>
        </w:rPr>
        <w:t>explore</w:t>
      </w:r>
      <w:r w:rsidR="003D640C">
        <w:rPr>
          <w:lang w:eastAsia="en-NZ"/>
        </w:rPr>
        <w:t xml:space="preserve"> </w:t>
      </w:r>
      <w:r w:rsidR="00D516F6" w:rsidRPr="00BB6220">
        <w:rPr>
          <w:lang w:eastAsia="en-NZ"/>
        </w:rPr>
        <w:t>their</w:t>
      </w:r>
      <w:r w:rsidR="003D640C">
        <w:rPr>
          <w:lang w:eastAsia="en-NZ"/>
        </w:rPr>
        <w:t xml:space="preserve"> </w:t>
      </w:r>
      <w:r w:rsidR="00D516F6" w:rsidRPr="00BB6220">
        <w:rPr>
          <w:lang w:eastAsia="en-NZ"/>
        </w:rPr>
        <w:t>gender</w:t>
      </w:r>
      <w:r w:rsidR="003D640C">
        <w:rPr>
          <w:lang w:eastAsia="en-NZ"/>
        </w:rPr>
        <w:t xml:space="preserve"> </w:t>
      </w:r>
      <w:r w:rsidR="00D516F6" w:rsidRPr="00BB6220">
        <w:rPr>
          <w:lang w:eastAsia="en-NZ"/>
        </w:rPr>
        <w:t>identity</w:t>
      </w:r>
      <w:r w:rsidR="003D640C">
        <w:rPr>
          <w:lang w:eastAsia="en-NZ"/>
        </w:rPr>
        <w:t xml:space="preserve"> </w:t>
      </w:r>
      <w:r w:rsidR="00D516F6" w:rsidRPr="00BB6220">
        <w:rPr>
          <w:lang w:eastAsia="en-NZ"/>
        </w:rPr>
        <w:t>with</w:t>
      </w:r>
      <w:r w:rsidR="003D640C">
        <w:rPr>
          <w:lang w:eastAsia="en-NZ"/>
        </w:rPr>
        <w:t xml:space="preserve"> </w:t>
      </w:r>
      <w:r w:rsidR="00D516F6" w:rsidRPr="00BB6220">
        <w:rPr>
          <w:lang w:eastAsia="en-NZ"/>
        </w:rPr>
        <w:t>medically</w:t>
      </w:r>
      <w:r w:rsidR="003D640C">
        <w:rPr>
          <w:lang w:eastAsia="en-NZ"/>
        </w:rPr>
        <w:t xml:space="preserve"> </w:t>
      </w:r>
      <w:r w:rsidR="00D516F6" w:rsidRPr="00BB6220">
        <w:rPr>
          <w:lang w:eastAsia="en-NZ"/>
        </w:rPr>
        <w:t>appropriate</w:t>
      </w:r>
      <w:r w:rsidR="003D640C">
        <w:rPr>
          <w:lang w:eastAsia="en-NZ"/>
        </w:rPr>
        <w:t xml:space="preserve"> </w:t>
      </w:r>
      <w:r w:rsidR="00D516F6" w:rsidRPr="00BB6220">
        <w:rPr>
          <w:lang w:eastAsia="en-NZ"/>
        </w:rPr>
        <w:t>considerations</w:t>
      </w:r>
      <w:r w:rsidR="003D640C">
        <w:rPr>
          <w:lang w:eastAsia="en-NZ"/>
        </w:rPr>
        <w:t xml:space="preserve"> </w:t>
      </w:r>
      <w:r w:rsidR="00D516F6" w:rsidRPr="00BB6220">
        <w:rPr>
          <w:lang w:eastAsia="en-NZ"/>
        </w:rPr>
        <w:t>in</w:t>
      </w:r>
      <w:r w:rsidR="003D640C">
        <w:rPr>
          <w:lang w:eastAsia="en-NZ"/>
        </w:rPr>
        <w:t xml:space="preserve"> </w:t>
      </w:r>
      <w:r w:rsidR="00D516F6" w:rsidRPr="00BB6220">
        <w:rPr>
          <w:lang w:eastAsia="en-NZ"/>
        </w:rPr>
        <w:t>place.</w:t>
      </w:r>
      <w:r w:rsidR="003D640C">
        <w:rPr>
          <w:lang w:eastAsia="en-NZ"/>
        </w:rPr>
        <w:t xml:space="preserve"> </w:t>
      </w:r>
      <w:r w:rsidR="00592D44" w:rsidRPr="00BB6220">
        <w:rPr>
          <w:lang w:eastAsia="en-NZ"/>
        </w:rPr>
        <w:t>The</w:t>
      </w:r>
      <w:r w:rsidR="003D640C">
        <w:rPr>
          <w:lang w:eastAsia="en-NZ"/>
        </w:rPr>
        <w:t xml:space="preserve"> </w:t>
      </w:r>
      <w:r w:rsidR="00592D44" w:rsidRPr="00BB6220">
        <w:rPr>
          <w:lang w:eastAsia="en-NZ"/>
        </w:rPr>
        <w:t>exemption</w:t>
      </w:r>
      <w:r w:rsidR="003D640C">
        <w:rPr>
          <w:lang w:eastAsia="en-NZ"/>
        </w:rPr>
        <w:t xml:space="preserve"> </w:t>
      </w:r>
      <w:r w:rsidR="00D10DF5" w:rsidRPr="00BB6220">
        <w:rPr>
          <w:lang w:eastAsia="en-NZ"/>
        </w:rPr>
        <w:t>is</w:t>
      </w:r>
      <w:r w:rsidR="003D640C">
        <w:rPr>
          <w:lang w:eastAsia="en-NZ"/>
        </w:rPr>
        <w:t xml:space="preserve"> </w:t>
      </w:r>
      <w:r w:rsidR="00D10DF5" w:rsidRPr="00BB6220">
        <w:rPr>
          <w:lang w:eastAsia="en-NZ"/>
        </w:rPr>
        <w:t>not</w:t>
      </w:r>
      <w:r w:rsidR="003D640C">
        <w:rPr>
          <w:lang w:eastAsia="en-NZ"/>
        </w:rPr>
        <w:t xml:space="preserve"> </w:t>
      </w:r>
      <w:r w:rsidR="00D10DF5" w:rsidRPr="00BB6220">
        <w:rPr>
          <w:lang w:eastAsia="en-NZ"/>
        </w:rPr>
        <w:t>absolute</w:t>
      </w:r>
      <w:r w:rsidR="00D97612">
        <w:rPr>
          <w:lang w:eastAsia="en-NZ"/>
        </w:rPr>
        <w:t>,</w:t>
      </w:r>
      <w:r w:rsidR="003D640C">
        <w:rPr>
          <w:lang w:eastAsia="en-NZ"/>
        </w:rPr>
        <w:t xml:space="preserve"> </w:t>
      </w:r>
      <w:r w:rsidR="00D10DF5" w:rsidRPr="00BB6220">
        <w:rPr>
          <w:lang w:eastAsia="en-NZ"/>
        </w:rPr>
        <w:t>nor</w:t>
      </w:r>
      <w:r w:rsidR="003D640C">
        <w:rPr>
          <w:lang w:eastAsia="en-NZ"/>
        </w:rPr>
        <w:t xml:space="preserve"> </w:t>
      </w:r>
      <w:r w:rsidR="00452273">
        <w:rPr>
          <w:lang w:eastAsia="en-NZ"/>
        </w:rPr>
        <w:t>does</w:t>
      </w:r>
      <w:r w:rsidR="003D640C">
        <w:rPr>
          <w:lang w:eastAsia="en-NZ"/>
        </w:rPr>
        <w:t xml:space="preserve"> </w:t>
      </w:r>
      <w:r w:rsidR="00452273">
        <w:rPr>
          <w:lang w:eastAsia="en-NZ"/>
        </w:rPr>
        <w:t>it</w:t>
      </w:r>
      <w:r w:rsidR="003D640C">
        <w:rPr>
          <w:lang w:eastAsia="en-NZ"/>
        </w:rPr>
        <w:t xml:space="preserve"> </w:t>
      </w:r>
      <w:r w:rsidR="00D10DF5" w:rsidRPr="00BB6220">
        <w:rPr>
          <w:lang w:eastAsia="en-NZ"/>
        </w:rPr>
        <w:t>allow</w:t>
      </w:r>
      <w:r w:rsidR="003D640C">
        <w:rPr>
          <w:lang w:eastAsia="en-NZ"/>
        </w:rPr>
        <w:t xml:space="preserve"> </w:t>
      </w:r>
      <w:r w:rsidR="00D10DF5" w:rsidRPr="00BB6220">
        <w:rPr>
          <w:lang w:eastAsia="en-NZ"/>
        </w:rPr>
        <w:t>discret</w:t>
      </w:r>
      <w:r w:rsidR="004361BE">
        <w:rPr>
          <w:lang w:eastAsia="en-NZ"/>
        </w:rPr>
        <w:t>e</w:t>
      </w:r>
      <w:r w:rsidR="003D640C">
        <w:rPr>
          <w:lang w:eastAsia="en-NZ"/>
        </w:rPr>
        <w:t xml:space="preserve"> </w:t>
      </w:r>
      <w:r w:rsidR="00D10DF5" w:rsidRPr="00BB6220">
        <w:rPr>
          <w:lang w:eastAsia="en-NZ"/>
        </w:rPr>
        <w:t>form</w:t>
      </w:r>
      <w:r w:rsidR="00BE31D6">
        <w:rPr>
          <w:lang w:eastAsia="en-NZ"/>
        </w:rPr>
        <w:t>s</w:t>
      </w:r>
      <w:r w:rsidR="003D640C">
        <w:rPr>
          <w:lang w:eastAsia="en-NZ"/>
        </w:rPr>
        <w:t xml:space="preserve"> </w:t>
      </w:r>
      <w:r w:rsidR="00D10DF5" w:rsidRPr="00BB6220">
        <w:rPr>
          <w:lang w:eastAsia="en-NZ"/>
        </w:rPr>
        <w:t>of</w:t>
      </w:r>
      <w:r w:rsidR="003D640C">
        <w:rPr>
          <w:lang w:eastAsia="en-NZ"/>
        </w:rPr>
        <w:t xml:space="preserve"> </w:t>
      </w:r>
      <w:r w:rsidR="00D10DF5" w:rsidRPr="00BB6220">
        <w:rPr>
          <w:lang w:eastAsia="en-NZ"/>
        </w:rPr>
        <w:t>conversion</w:t>
      </w:r>
      <w:r w:rsidR="003D640C">
        <w:rPr>
          <w:lang w:eastAsia="en-NZ"/>
        </w:rPr>
        <w:t xml:space="preserve"> </w:t>
      </w:r>
      <w:r w:rsidR="00D10DF5" w:rsidRPr="00BB6220">
        <w:rPr>
          <w:lang w:eastAsia="en-NZ"/>
        </w:rPr>
        <w:t>practices</w:t>
      </w:r>
      <w:r w:rsidR="003D640C">
        <w:rPr>
          <w:lang w:eastAsia="en-NZ"/>
        </w:rPr>
        <w:t xml:space="preserve"> </w:t>
      </w:r>
      <w:r w:rsidR="00D10DF5" w:rsidRPr="00BB6220">
        <w:rPr>
          <w:lang w:eastAsia="en-NZ"/>
        </w:rPr>
        <w:t>to</w:t>
      </w:r>
      <w:r w:rsidR="003D640C">
        <w:rPr>
          <w:lang w:eastAsia="en-NZ"/>
        </w:rPr>
        <w:t xml:space="preserve"> </w:t>
      </w:r>
      <w:r w:rsidR="005533E0" w:rsidRPr="00BB6220">
        <w:rPr>
          <w:lang w:eastAsia="en-NZ"/>
        </w:rPr>
        <w:t>be</w:t>
      </w:r>
      <w:r w:rsidR="003D640C">
        <w:rPr>
          <w:lang w:eastAsia="en-NZ"/>
        </w:rPr>
        <w:t xml:space="preserve"> </w:t>
      </w:r>
      <w:r w:rsidR="005533E0" w:rsidRPr="00BB6220">
        <w:rPr>
          <w:lang w:eastAsia="en-NZ"/>
        </w:rPr>
        <w:t>carried</w:t>
      </w:r>
      <w:r w:rsidR="003D640C">
        <w:rPr>
          <w:lang w:eastAsia="en-NZ"/>
        </w:rPr>
        <w:t xml:space="preserve"> </w:t>
      </w:r>
      <w:r w:rsidR="005533E0" w:rsidRPr="00BB6220">
        <w:rPr>
          <w:lang w:eastAsia="en-NZ"/>
        </w:rPr>
        <w:t>out</w:t>
      </w:r>
      <w:r w:rsidR="003D640C">
        <w:rPr>
          <w:lang w:eastAsia="en-NZ"/>
        </w:rPr>
        <w:t xml:space="preserve"> </w:t>
      </w:r>
      <w:r w:rsidR="00D10DF5" w:rsidRPr="00BB6220">
        <w:rPr>
          <w:lang w:eastAsia="en-NZ"/>
        </w:rPr>
        <w:t>in</w:t>
      </w:r>
      <w:r w:rsidR="003D640C">
        <w:rPr>
          <w:lang w:eastAsia="en-NZ"/>
        </w:rPr>
        <w:t xml:space="preserve"> </w:t>
      </w:r>
      <w:r w:rsidR="00D10DF5" w:rsidRPr="00BB6220">
        <w:rPr>
          <w:lang w:eastAsia="en-NZ"/>
        </w:rPr>
        <w:t>healthcare</w:t>
      </w:r>
      <w:r w:rsidR="003D640C">
        <w:rPr>
          <w:lang w:eastAsia="en-NZ"/>
        </w:rPr>
        <w:t xml:space="preserve"> </w:t>
      </w:r>
      <w:r w:rsidR="00D10DF5" w:rsidRPr="00BB6220">
        <w:rPr>
          <w:lang w:eastAsia="en-NZ"/>
        </w:rPr>
        <w:t>settings.</w:t>
      </w:r>
      <w:r w:rsidR="00CD377D">
        <w:rPr>
          <w:rStyle w:val="FootnoteReference"/>
          <w:rFonts w:ascii="Calibri" w:eastAsia="Times New Roman" w:hAnsi="Calibri" w:cs="Calibri"/>
          <w:lang w:eastAsia="en-NZ"/>
        </w:rPr>
        <w:footnoteReference w:id="250"/>
      </w:r>
      <w:r w:rsidR="003D640C">
        <w:rPr>
          <w:lang w:eastAsia="en-NZ"/>
        </w:rPr>
        <w:t xml:space="preserve"> </w:t>
      </w:r>
    </w:p>
    <w:p w14:paraId="6819B001" w14:textId="2D18FF56" w:rsidR="00501068" w:rsidRDefault="0B34F585" w:rsidP="002E6693">
      <w:pPr>
        <w:rPr>
          <w:rFonts w:ascii="Segoe UI" w:hAnsi="Segoe UI" w:cs="Segoe UI"/>
          <w:sz w:val="18"/>
          <w:szCs w:val="18"/>
          <w:lang w:eastAsia="en-NZ"/>
        </w:rPr>
      </w:pPr>
      <w:r w:rsidRPr="00BB6220">
        <w:rPr>
          <w:lang w:eastAsia="en-NZ"/>
        </w:rPr>
        <w:t>Some</w:t>
      </w:r>
      <w:r w:rsidR="003D640C">
        <w:rPr>
          <w:lang w:eastAsia="en-NZ"/>
        </w:rPr>
        <w:t xml:space="preserve"> </w:t>
      </w:r>
      <w:r w:rsidRPr="00BB6220">
        <w:rPr>
          <w:lang w:eastAsia="en-NZ"/>
        </w:rPr>
        <w:t>survivors</w:t>
      </w:r>
      <w:r w:rsidR="003D640C">
        <w:rPr>
          <w:lang w:eastAsia="en-NZ"/>
        </w:rPr>
        <w:t xml:space="preserve"> </w:t>
      </w:r>
      <w:r w:rsidR="00AB3856" w:rsidRPr="00BB6220">
        <w:rPr>
          <w:lang w:eastAsia="en-NZ"/>
        </w:rPr>
        <w:t>from</w:t>
      </w:r>
      <w:r w:rsidR="003D640C">
        <w:rPr>
          <w:lang w:eastAsia="en-NZ"/>
        </w:rPr>
        <w:t xml:space="preserve"> </w:t>
      </w:r>
      <w:r w:rsidR="006A7AD2">
        <w:rPr>
          <w:lang w:eastAsia="en-NZ"/>
        </w:rPr>
        <w:t>diverse</w:t>
      </w:r>
      <w:r w:rsidR="003D640C">
        <w:rPr>
          <w:lang w:eastAsia="en-NZ"/>
        </w:rPr>
        <w:t xml:space="preserve"> </w:t>
      </w:r>
      <w:r w:rsidR="00AB3856" w:rsidRPr="00BB6220">
        <w:rPr>
          <w:lang w:eastAsia="en-NZ"/>
        </w:rPr>
        <w:t>ethnic</w:t>
      </w:r>
      <w:r w:rsidR="003D640C">
        <w:rPr>
          <w:lang w:eastAsia="en-NZ"/>
        </w:rPr>
        <w:t xml:space="preserve"> </w:t>
      </w:r>
      <w:r w:rsidR="00AB3856" w:rsidRPr="00BB6220">
        <w:rPr>
          <w:lang w:eastAsia="en-NZ"/>
        </w:rPr>
        <w:t>cultural</w:t>
      </w:r>
      <w:r w:rsidR="003D640C">
        <w:rPr>
          <w:lang w:eastAsia="en-NZ"/>
        </w:rPr>
        <w:t xml:space="preserve"> </w:t>
      </w:r>
      <w:r w:rsidR="00AB3856" w:rsidRPr="00BB6220">
        <w:rPr>
          <w:lang w:eastAsia="en-NZ"/>
        </w:rPr>
        <w:t>backgrounds</w:t>
      </w:r>
      <w:r w:rsidR="003D640C">
        <w:rPr>
          <w:lang w:eastAsia="en-NZ"/>
        </w:rPr>
        <w:t xml:space="preserve"> </w:t>
      </w:r>
      <w:r w:rsidR="00AB3856" w:rsidRPr="00BB6220">
        <w:rPr>
          <w:lang w:eastAsia="en-NZ"/>
        </w:rPr>
        <w:t>spoke</w:t>
      </w:r>
      <w:r w:rsidR="003D640C">
        <w:rPr>
          <w:lang w:eastAsia="en-NZ"/>
        </w:rPr>
        <w:t xml:space="preserve"> </w:t>
      </w:r>
      <w:r w:rsidR="00AB3856" w:rsidRPr="00BB6220">
        <w:rPr>
          <w:lang w:eastAsia="en-NZ"/>
        </w:rPr>
        <w:t>of</w:t>
      </w:r>
      <w:r w:rsidR="003D640C">
        <w:rPr>
          <w:lang w:eastAsia="en-NZ"/>
        </w:rPr>
        <w:t xml:space="preserve"> </w:t>
      </w:r>
      <w:r w:rsidR="00A86FEE" w:rsidRPr="00BB6220">
        <w:rPr>
          <w:lang w:eastAsia="en-NZ"/>
        </w:rPr>
        <w:t>the</w:t>
      </w:r>
      <w:r w:rsidR="003D640C">
        <w:rPr>
          <w:lang w:eastAsia="en-NZ"/>
        </w:rPr>
        <w:t xml:space="preserve"> </w:t>
      </w:r>
      <w:r w:rsidR="00A86FEE" w:rsidRPr="00BB6220">
        <w:rPr>
          <w:lang w:eastAsia="en-NZ"/>
        </w:rPr>
        <w:t>phenomenon</w:t>
      </w:r>
      <w:r w:rsidR="003D640C">
        <w:rPr>
          <w:lang w:eastAsia="en-NZ"/>
        </w:rPr>
        <w:t xml:space="preserve"> </w:t>
      </w:r>
      <w:r w:rsidR="00A86FEE" w:rsidRPr="00BB6220">
        <w:rPr>
          <w:lang w:eastAsia="en-NZ"/>
        </w:rPr>
        <w:t>of</w:t>
      </w:r>
      <w:r w:rsidR="003D640C">
        <w:rPr>
          <w:lang w:eastAsia="en-NZ"/>
        </w:rPr>
        <w:t xml:space="preserve"> </w:t>
      </w:r>
      <w:r w:rsidR="00044E21" w:rsidRPr="00BB6220">
        <w:rPr>
          <w:lang w:eastAsia="en-NZ"/>
        </w:rPr>
        <w:t>an</w:t>
      </w:r>
      <w:r w:rsidR="003D640C">
        <w:rPr>
          <w:lang w:eastAsia="en-NZ"/>
        </w:rPr>
        <w:t xml:space="preserve"> </w:t>
      </w:r>
      <w:r w:rsidR="00044E21" w:rsidRPr="00BB6220">
        <w:rPr>
          <w:lang w:eastAsia="en-NZ"/>
        </w:rPr>
        <w:t>adolescent</w:t>
      </w:r>
      <w:r w:rsidR="003D640C">
        <w:rPr>
          <w:lang w:eastAsia="en-NZ"/>
        </w:rPr>
        <w:t xml:space="preserve"> </w:t>
      </w:r>
      <w:r w:rsidR="00044E21" w:rsidRPr="00BB6220">
        <w:rPr>
          <w:lang w:eastAsia="en-NZ"/>
        </w:rPr>
        <w:t>family</w:t>
      </w:r>
      <w:r w:rsidR="003D640C">
        <w:rPr>
          <w:lang w:eastAsia="en-NZ"/>
        </w:rPr>
        <w:t xml:space="preserve"> </w:t>
      </w:r>
      <w:r w:rsidR="00044E21" w:rsidRPr="00BB6220">
        <w:rPr>
          <w:lang w:eastAsia="en-NZ"/>
        </w:rPr>
        <w:t>member</w:t>
      </w:r>
      <w:r w:rsidR="003D640C">
        <w:rPr>
          <w:lang w:eastAsia="en-NZ"/>
        </w:rPr>
        <w:t xml:space="preserve"> </w:t>
      </w:r>
      <w:r w:rsidR="00BB1CDD" w:rsidRPr="00BB6220">
        <w:rPr>
          <w:lang w:eastAsia="en-NZ"/>
        </w:rPr>
        <w:t>who</w:t>
      </w:r>
      <w:r w:rsidR="003D640C">
        <w:rPr>
          <w:lang w:eastAsia="en-NZ"/>
        </w:rPr>
        <w:t xml:space="preserve"> </w:t>
      </w:r>
      <w:r w:rsidR="00C202E6" w:rsidRPr="00BB6220">
        <w:rPr>
          <w:lang w:eastAsia="en-NZ"/>
        </w:rPr>
        <w:t>is</w:t>
      </w:r>
      <w:r w:rsidR="003D640C">
        <w:rPr>
          <w:lang w:eastAsia="en-NZ"/>
        </w:rPr>
        <w:t xml:space="preserve"> </w:t>
      </w:r>
      <w:r w:rsidR="00C202E6" w:rsidRPr="00BB6220">
        <w:rPr>
          <w:lang w:eastAsia="en-NZ"/>
        </w:rPr>
        <w:t>“naughty”</w:t>
      </w:r>
      <w:r w:rsidR="003D640C">
        <w:rPr>
          <w:lang w:eastAsia="en-NZ"/>
        </w:rPr>
        <w:t xml:space="preserve"> </w:t>
      </w:r>
      <w:r w:rsidR="00C202E6" w:rsidRPr="00BB6220">
        <w:rPr>
          <w:lang w:eastAsia="en-NZ"/>
        </w:rPr>
        <w:t>(or</w:t>
      </w:r>
      <w:r w:rsidR="003D640C">
        <w:rPr>
          <w:lang w:eastAsia="en-NZ"/>
        </w:rPr>
        <w:t xml:space="preserve"> </w:t>
      </w:r>
      <w:r w:rsidR="00BB1CDD" w:rsidRPr="00BB6220">
        <w:rPr>
          <w:lang w:eastAsia="en-NZ"/>
        </w:rPr>
        <w:t>exhibits</w:t>
      </w:r>
      <w:r w:rsidR="003D640C">
        <w:rPr>
          <w:lang w:eastAsia="en-NZ"/>
        </w:rPr>
        <w:t xml:space="preserve"> </w:t>
      </w:r>
      <w:r w:rsidR="00044E21" w:rsidRPr="00BB6220">
        <w:rPr>
          <w:lang w:eastAsia="en-NZ"/>
        </w:rPr>
        <w:t>problematic</w:t>
      </w:r>
      <w:r w:rsidR="003D640C">
        <w:rPr>
          <w:lang w:eastAsia="en-NZ"/>
        </w:rPr>
        <w:t xml:space="preserve"> </w:t>
      </w:r>
      <w:r w:rsidR="00044E21" w:rsidRPr="00BB6220">
        <w:rPr>
          <w:lang w:eastAsia="en-NZ"/>
        </w:rPr>
        <w:t>behaviour</w:t>
      </w:r>
      <w:r w:rsidR="00C202E6" w:rsidRPr="00BB6220">
        <w:rPr>
          <w:lang w:eastAsia="en-NZ"/>
        </w:rPr>
        <w:t>)</w:t>
      </w:r>
      <w:r w:rsidR="003D640C">
        <w:rPr>
          <w:lang w:eastAsia="en-NZ"/>
        </w:rPr>
        <w:t xml:space="preserve"> </w:t>
      </w:r>
      <w:r w:rsidR="00044E21" w:rsidRPr="00BB6220">
        <w:rPr>
          <w:lang w:eastAsia="en-NZ"/>
        </w:rPr>
        <w:t>being</w:t>
      </w:r>
      <w:r w:rsidR="003D640C">
        <w:rPr>
          <w:lang w:eastAsia="en-NZ"/>
        </w:rPr>
        <w:t xml:space="preserve"> </w:t>
      </w:r>
      <w:r w:rsidR="00044E21" w:rsidRPr="00BB6220">
        <w:rPr>
          <w:lang w:eastAsia="en-NZ"/>
        </w:rPr>
        <w:t>sent</w:t>
      </w:r>
      <w:r w:rsidR="003D640C">
        <w:rPr>
          <w:lang w:eastAsia="en-NZ"/>
        </w:rPr>
        <w:t xml:space="preserve"> </w:t>
      </w:r>
      <w:r w:rsidR="00044E21" w:rsidRPr="00BB6220">
        <w:rPr>
          <w:lang w:eastAsia="en-NZ"/>
        </w:rPr>
        <w:t>to</w:t>
      </w:r>
      <w:r w:rsidR="003D640C">
        <w:rPr>
          <w:lang w:eastAsia="en-NZ"/>
        </w:rPr>
        <w:t xml:space="preserve"> </w:t>
      </w:r>
      <w:r w:rsidR="00044E21" w:rsidRPr="00BB6220">
        <w:rPr>
          <w:lang w:eastAsia="en-NZ"/>
        </w:rPr>
        <w:t>live</w:t>
      </w:r>
      <w:r w:rsidR="003D640C">
        <w:rPr>
          <w:lang w:eastAsia="en-NZ"/>
        </w:rPr>
        <w:t xml:space="preserve"> </w:t>
      </w:r>
      <w:r w:rsidR="00044E21" w:rsidRPr="00BB6220">
        <w:rPr>
          <w:lang w:eastAsia="en-NZ"/>
        </w:rPr>
        <w:t>with</w:t>
      </w:r>
      <w:r w:rsidR="003D640C">
        <w:rPr>
          <w:lang w:eastAsia="en-NZ"/>
        </w:rPr>
        <w:t xml:space="preserve"> </w:t>
      </w:r>
      <w:r w:rsidR="00C202E6" w:rsidRPr="00BB6220">
        <w:rPr>
          <w:lang w:eastAsia="en-NZ"/>
        </w:rPr>
        <w:t>relatives</w:t>
      </w:r>
      <w:r w:rsidR="003D640C">
        <w:rPr>
          <w:lang w:eastAsia="en-NZ"/>
        </w:rPr>
        <w:t xml:space="preserve"> </w:t>
      </w:r>
      <w:r w:rsidR="00044E21" w:rsidRPr="00BB6220">
        <w:rPr>
          <w:lang w:eastAsia="en-NZ"/>
        </w:rPr>
        <w:t>(uncle,</w:t>
      </w:r>
      <w:r w:rsidR="003D640C">
        <w:rPr>
          <w:lang w:eastAsia="en-NZ"/>
        </w:rPr>
        <w:t xml:space="preserve"> </w:t>
      </w:r>
      <w:r w:rsidR="00044E21" w:rsidRPr="00BB6220">
        <w:rPr>
          <w:lang w:eastAsia="en-NZ"/>
        </w:rPr>
        <w:t>aunt,</w:t>
      </w:r>
      <w:r w:rsidR="003D640C">
        <w:rPr>
          <w:lang w:eastAsia="en-NZ"/>
        </w:rPr>
        <w:t xml:space="preserve"> </w:t>
      </w:r>
      <w:r w:rsidR="00044E21" w:rsidRPr="00BB6220">
        <w:rPr>
          <w:lang w:eastAsia="en-NZ"/>
        </w:rPr>
        <w:t>grandparent)</w:t>
      </w:r>
      <w:r w:rsidR="003D640C">
        <w:rPr>
          <w:lang w:eastAsia="en-NZ"/>
        </w:rPr>
        <w:t xml:space="preserve"> </w:t>
      </w:r>
      <w:r w:rsidR="00044E21" w:rsidRPr="00BB6220">
        <w:rPr>
          <w:lang w:eastAsia="en-NZ"/>
        </w:rPr>
        <w:t>as</w:t>
      </w:r>
      <w:r w:rsidR="003D640C">
        <w:rPr>
          <w:lang w:eastAsia="en-NZ"/>
        </w:rPr>
        <w:t xml:space="preserve"> </w:t>
      </w:r>
      <w:r w:rsidR="00044E21" w:rsidRPr="00BB6220">
        <w:rPr>
          <w:lang w:eastAsia="en-NZ"/>
        </w:rPr>
        <w:t>a</w:t>
      </w:r>
      <w:r w:rsidR="003D640C">
        <w:rPr>
          <w:lang w:eastAsia="en-NZ"/>
        </w:rPr>
        <w:t xml:space="preserve"> </w:t>
      </w:r>
      <w:r w:rsidR="00044E21" w:rsidRPr="00BB6220">
        <w:rPr>
          <w:lang w:eastAsia="en-NZ"/>
        </w:rPr>
        <w:t>form</w:t>
      </w:r>
      <w:r w:rsidR="003D640C">
        <w:rPr>
          <w:lang w:eastAsia="en-NZ"/>
        </w:rPr>
        <w:t xml:space="preserve"> </w:t>
      </w:r>
      <w:r w:rsidR="00044E21" w:rsidRPr="00BB6220">
        <w:rPr>
          <w:lang w:eastAsia="en-NZ"/>
        </w:rPr>
        <w:t>of</w:t>
      </w:r>
      <w:r w:rsidR="003D640C">
        <w:rPr>
          <w:lang w:eastAsia="en-NZ"/>
        </w:rPr>
        <w:t xml:space="preserve"> </w:t>
      </w:r>
      <w:r w:rsidR="00044E21" w:rsidRPr="00BB6220">
        <w:rPr>
          <w:lang w:eastAsia="en-NZ"/>
        </w:rPr>
        <w:t>punishment</w:t>
      </w:r>
      <w:r w:rsidR="003D640C">
        <w:rPr>
          <w:lang w:eastAsia="en-NZ"/>
        </w:rPr>
        <w:t xml:space="preserve"> </w:t>
      </w:r>
      <w:r w:rsidR="00044E21" w:rsidRPr="00BB6220">
        <w:rPr>
          <w:lang w:eastAsia="en-NZ"/>
        </w:rPr>
        <w:t>and</w:t>
      </w:r>
      <w:r w:rsidR="003D640C">
        <w:rPr>
          <w:lang w:eastAsia="en-NZ"/>
        </w:rPr>
        <w:t xml:space="preserve"> </w:t>
      </w:r>
      <w:r w:rsidR="00044E21" w:rsidRPr="00BB6220">
        <w:rPr>
          <w:lang w:eastAsia="en-NZ"/>
        </w:rPr>
        <w:t>discipline.</w:t>
      </w:r>
      <w:r w:rsidR="003D640C">
        <w:rPr>
          <w:lang w:eastAsia="en-NZ"/>
        </w:rPr>
        <w:t xml:space="preserve"> </w:t>
      </w:r>
      <w:r w:rsidR="00044E21" w:rsidRPr="00BB6220">
        <w:rPr>
          <w:lang w:eastAsia="en-NZ"/>
        </w:rPr>
        <w:t>They</w:t>
      </w:r>
      <w:r w:rsidR="003D640C">
        <w:rPr>
          <w:lang w:eastAsia="en-NZ"/>
        </w:rPr>
        <w:t xml:space="preserve"> </w:t>
      </w:r>
      <w:r w:rsidR="00044E21" w:rsidRPr="00BB6220">
        <w:rPr>
          <w:lang w:eastAsia="en-NZ"/>
        </w:rPr>
        <w:t>were</w:t>
      </w:r>
      <w:r w:rsidR="003D640C">
        <w:rPr>
          <w:lang w:eastAsia="en-NZ"/>
        </w:rPr>
        <w:t xml:space="preserve"> </w:t>
      </w:r>
      <w:r w:rsidR="00044E21" w:rsidRPr="00BB6220">
        <w:rPr>
          <w:lang w:eastAsia="en-NZ"/>
        </w:rPr>
        <w:t>concerned</w:t>
      </w:r>
      <w:r w:rsidR="003D640C">
        <w:rPr>
          <w:lang w:eastAsia="en-NZ"/>
        </w:rPr>
        <w:t xml:space="preserve"> </w:t>
      </w:r>
      <w:r w:rsidR="00044E21" w:rsidRPr="00BB6220">
        <w:rPr>
          <w:lang w:eastAsia="en-NZ"/>
        </w:rPr>
        <w:t>that</w:t>
      </w:r>
      <w:r w:rsidR="003D640C">
        <w:rPr>
          <w:lang w:eastAsia="en-NZ"/>
        </w:rPr>
        <w:t xml:space="preserve"> </w:t>
      </w:r>
      <w:r w:rsidR="00044E21" w:rsidRPr="00BB6220">
        <w:rPr>
          <w:lang w:eastAsia="en-NZ"/>
        </w:rPr>
        <w:t>this</w:t>
      </w:r>
      <w:r w:rsidR="003D640C">
        <w:rPr>
          <w:lang w:eastAsia="en-NZ"/>
        </w:rPr>
        <w:t xml:space="preserve"> </w:t>
      </w:r>
      <w:r w:rsidR="00044E21" w:rsidRPr="00BB6220">
        <w:rPr>
          <w:lang w:eastAsia="en-NZ"/>
        </w:rPr>
        <w:t>practice</w:t>
      </w:r>
      <w:r w:rsidR="003D640C">
        <w:rPr>
          <w:lang w:eastAsia="en-NZ"/>
        </w:rPr>
        <w:t xml:space="preserve"> </w:t>
      </w:r>
      <w:r w:rsidR="00044E21" w:rsidRPr="00BB6220">
        <w:rPr>
          <w:lang w:eastAsia="en-NZ"/>
        </w:rPr>
        <w:t>could</w:t>
      </w:r>
      <w:r w:rsidR="003D640C">
        <w:rPr>
          <w:lang w:eastAsia="en-NZ"/>
        </w:rPr>
        <w:t xml:space="preserve"> </w:t>
      </w:r>
      <w:r w:rsidR="00044E21" w:rsidRPr="00BB6220">
        <w:rPr>
          <w:lang w:eastAsia="en-NZ"/>
        </w:rPr>
        <w:t>be</w:t>
      </w:r>
      <w:r w:rsidR="003D640C">
        <w:rPr>
          <w:lang w:eastAsia="en-NZ"/>
        </w:rPr>
        <w:t xml:space="preserve"> </w:t>
      </w:r>
      <w:r w:rsidR="00044E21" w:rsidRPr="00BB6220">
        <w:rPr>
          <w:lang w:eastAsia="en-NZ"/>
        </w:rPr>
        <w:t>adopted</w:t>
      </w:r>
      <w:r w:rsidR="003D640C">
        <w:rPr>
          <w:lang w:eastAsia="en-NZ"/>
        </w:rPr>
        <w:t xml:space="preserve"> </w:t>
      </w:r>
      <w:r w:rsidR="00C202E6" w:rsidRPr="00BB6220">
        <w:rPr>
          <w:lang w:eastAsia="en-NZ"/>
        </w:rPr>
        <w:t>by</w:t>
      </w:r>
      <w:r w:rsidR="003D640C">
        <w:rPr>
          <w:lang w:eastAsia="en-NZ"/>
        </w:rPr>
        <w:t xml:space="preserve"> </w:t>
      </w:r>
      <w:r w:rsidR="00044E21" w:rsidRPr="00BB6220">
        <w:rPr>
          <w:lang w:eastAsia="en-NZ"/>
        </w:rPr>
        <w:t>families</w:t>
      </w:r>
      <w:r w:rsidR="5FA9DF5F" w:rsidRPr="22AA7641">
        <w:rPr>
          <w:lang w:eastAsia="en-NZ"/>
        </w:rPr>
        <w:t>,</w:t>
      </w:r>
      <w:r w:rsidR="003D640C">
        <w:rPr>
          <w:lang w:eastAsia="en-NZ"/>
        </w:rPr>
        <w:t xml:space="preserve"> </w:t>
      </w:r>
      <w:r w:rsidR="00A60614" w:rsidRPr="00BB6220">
        <w:rPr>
          <w:lang w:eastAsia="en-NZ"/>
        </w:rPr>
        <w:t>either</w:t>
      </w:r>
      <w:r w:rsidR="003D640C">
        <w:rPr>
          <w:lang w:eastAsia="en-NZ"/>
        </w:rPr>
        <w:t xml:space="preserve"> </w:t>
      </w:r>
      <w:r w:rsidR="00A60614" w:rsidRPr="00BB6220">
        <w:rPr>
          <w:lang w:eastAsia="en-NZ"/>
        </w:rPr>
        <w:t>consciously</w:t>
      </w:r>
      <w:r w:rsidR="003D640C">
        <w:rPr>
          <w:lang w:eastAsia="en-NZ"/>
        </w:rPr>
        <w:t xml:space="preserve"> </w:t>
      </w:r>
      <w:r w:rsidR="00A60614" w:rsidRPr="00BB6220">
        <w:rPr>
          <w:lang w:eastAsia="en-NZ"/>
        </w:rPr>
        <w:t>or</w:t>
      </w:r>
      <w:r w:rsidR="003D640C">
        <w:rPr>
          <w:lang w:eastAsia="en-NZ"/>
        </w:rPr>
        <w:t xml:space="preserve"> </w:t>
      </w:r>
      <w:r w:rsidR="00A60614" w:rsidRPr="00BB6220">
        <w:rPr>
          <w:lang w:eastAsia="en-NZ"/>
        </w:rPr>
        <w:t>unconsciously</w:t>
      </w:r>
      <w:r w:rsidR="289618F8" w:rsidRPr="22AA7641">
        <w:rPr>
          <w:lang w:eastAsia="en-NZ"/>
        </w:rPr>
        <w:t>,</w:t>
      </w:r>
      <w:r w:rsidR="003D640C">
        <w:rPr>
          <w:lang w:eastAsia="en-NZ"/>
        </w:rPr>
        <w:t xml:space="preserve"> </w:t>
      </w:r>
      <w:r w:rsidR="00044E21" w:rsidRPr="00BB6220">
        <w:rPr>
          <w:lang w:eastAsia="en-NZ"/>
        </w:rPr>
        <w:t>to</w:t>
      </w:r>
      <w:r w:rsidR="003D640C">
        <w:rPr>
          <w:lang w:eastAsia="en-NZ"/>
        </w:rPr>
        <w:t xml:space="preserve"> </w:t>
      </w:r>
      <w:r w:rsidR="00044E21" w:rsidRPr="00BB6220">
        <w:rPr>
          <w:lang w:eastAsia="en-NZ"/>
        </w:rPr>
        <w:t>perform</w:t>
      </w:r>
      <w:r w:rsidR="003D640C">
        <w:rPr>
          <w:lang w:eastAsia="en-NZ"/>
        </w:rPr>
        <w:t xml:space="preserve"> </w:t>
      </w:r>
      <w:r w:rsidR="00C202E6" w:rsidRPr="00BB6220">
        <w:rPr>
          <w:lang w:eastAsia="en-NZ"/>
        </w:rPr>
        <w:t>conversion</w:t>
      </w:r>
      <w:r w:rsidR="003D640C">
        <w:rPr>
          <w:lang w:eastAsia="en-NZ"/>
        </w:rPr>
        <w:t xml:space="preserve"> </w:t>
      </w:r>
      <w:r w:rsidR="00C202E6" w:rsidRPr="00BB6220">
        <w:rPr>
          <w:lang w:eastAsia="en-NZ"/>
        </w:rPr>
        <w:t>practices.</w:t>
      </w:r>
      <w:r w:rsidR="003D640C">
        <w:rPr>
          <w:lang w:eastAsia="en-NZ"/>
        </w:rPr>
        <w:t xml:space="preserve"> </w:t>
      </w:r>
      <w:r w:rsidR="009D02B6" w:rsidRPr="22AA7641">
        <w:rPr>
          <w:lang w:eastAsia="en-NZ"/>
        </w:rPr>
        <w:t>This</w:t>
      </w:r>
      <w:r w:rsidR="003D640C">
        <w:rPr>
          <w:lang w:eastAsia="en-NZ"/>
        </w:rPr>
        <w:t xml:space="preserve"> </w:t>
      </w:r>
      <w:r w:rsidR="009D02B6" w:rsidRPr="22AA7641">
        <w:rPr>
          <w:lang w:eastAsia="en-NZ"/>
        </w:rPr>
        <w:t>may</w:t>
      </w:r>
      <w:r w:rsidR="003D640C">
        <w:rPr>
          <w:lang w:eastAsia="en-NZ"/>
        </w:rPr>
        <w:t xml:space="preserve"> </w:t>
      </w:r>
      <w:r w:rsidR="009D02B6" w:rsidRPr="22AA7641">
        <w:rPr>
          <w:lang w:eastAsia="en-NZ"/>
        </w:rPr>
        <w:t>include</w:t>
      </w:r>
      <w:r w:rsidR="003D640C">
        <w:rPr>
          <w:lang w:eastAsia="en-NZ"/>
        </w:rPr>
        <w:t xml:space="preserve"> </w:t>
      </w:r>
      <w:r w:rsidR="009D02B6" w:rsidRPr="22AA7641">
        <w:rPr>
          <w:lang w:eastAsia="en-NZ"/>
        </w:rPr>
        <w:t>attempts</w:t>
      </w:r>
      <w:r w:rsidR="003D640C">
        <w:rPr>
          <w:lang w:eastAsia="en-NZ"/>
        </w:rPr>
        <w:t xml:space="preserve"> </w:t>
      </w:r>
      <w:r w:rsidR="009D02B6" w:rsidRPr="22AA7641">
        <w:rPr>
          <w:lang w:eastAsia="en-NZ"/>
        </w:rPr>
        <w:t>to</w:t>
      </w:r>
      <w:r w:rsidR="003D640C">
        <w:rPr>
          <w:lang w:eastAsia="en-NZ"/>
        </w:rPr>
        <w:t xml:space="preserve"> </w:t>
      </w:r>
      <w:r w:rsidR="009D02B6" w:rsidRPr="22AA7641">
        <w:rPr>
          <w:lang w:eastAsia="en-NZ"/>
        </w:rPr>
        <w:t>change</w:t>
      </w:r>
      <w:r w:rsidR="003D640C">
        <w:rPr>
          <w:lang w:eastAsia="en-NZ"/>
        </w:rPr>
        <w:t xml:space="preserve"> </w:t>
      </w:r>
      <w:r w:rsidR="009D02B6" w:rsidRPr="22AA7641">
        <w:rPr>
          <w:lang w:eastAsia="en-NZ"/>
        </w:rPr>
        <w:t>or</w:t>
      </w:r>
      <w:r w:rsidR="003D640C">
        <w:rPr>
          <w:lang w:eastAsia="en-NZ"/>
        </w:rPr>
        <w:t xml:space="preserve"> </w:t>
      </w:r>
      <w:r w:rsidR="009D02B6" w:rsidRPr="22AA7641">
        <w:rPr>
          <w:lang w:eastAsia="en-NZ"/>
        </w:rPr>
        <w:t>suppress</w:t>
      </w:r>
      <w:r w:rsidR="003D640C">
        <w:rPr>
          <w:lang w:eastAsia="en-NZ"/>
        </w:rPr>
        <w:t xml:space="preserve"> </w:t>
      </w:r>
      <w:r w:rsidR="009D02B6" w:rsidRPr="22AA7641">
        <w:rPr>
          <w:lang w:eastAsia="en-NZ"/>
        </w:rPr>
        <w:t>a</w:t>
      </w:r>
      <w:r w:rsidR="003D640C">
        <w:rPr>
          <w:lang w:eastAsia="en-NZ"/>
        </w:rPr>
        <w:t xml:space="preserve"> </w:t>
      </w:r>
      <w:r w:rsidR="39665ED8" w:rsidRPr="22AA7641">
        <w:rPr>
          <w:lang w:eastAsia="en-NZ"/>
        </w:rPr>
        <w:t>family</w:t>
      </w:r>
      <w:r w:rsidR="003D640C">
        <w:rPr>
          <w:lang w:eastAsia="en-NZ"/>
        </w:rPr>
        <w:t xml:space="preserve"> </w:t>
      </w:r>
      <w:r w:rsidR="39665ED8" w:rsidRPr="22AA7641">
        <w:rPr>
          <w:lang w:eastAsia="en-NZ"/>
        </w:rPr>
        <w:t>member’s</w:t>
      </w:r>
      <w:r w:rsidR="003D640C">
        <w:rPr>
          <w:lang w:eastAsia="en-NZ"/>
        </w:rPr>
        <w:t xml:space="preserve"> </w:t>
      </w:r>
      <w:r w:rsidR="009D02B6" w:rsidRPr="22AA7641">
        <w:rPr>
          <w:lang w:eastAsia="en-NZ"/>
        </w:rPr>
        <w:t>gender</w:t>
      </w:r>
      <w:r w:rsidR="003D640C">
        <w:rPr>
          <w:lang w:eastAsia="en-NZ"/>
        </w:rPr>
        <w:t xml:space="preserve"> </w:t>
      </w:r>
      <w:r w:rsidR="009D02B6" w:rsidRPr="22AA7641">
        <w:rPr>
          <w:lang w:eastAsia="en-NZ"/>
        </w:rPr>
        <w:t>expression,</w:t>
      </w:r>
      <w:r w:rsidR="003D640C">
        <w:rPr>
          <w:lang w:eastAsia="en-NZ"/>
        </w:rPr>
        <w:t xml:space="preserve"> </w:t>
      </w:r>
      <w:r w:rsidR="009D02B6" w:rsidRPr="22AA7641">
        <w:rPr>
          <w:lang w:eastAsia="en-NZ"/>
        </w:rPr>
        <w:t>such</w:t>
      </w:r>
      <w:r w:rsidR="003D640C">
        <w:rPr>
          <w:lang w:eastAsia="en-NZ"/>
        </w:rPr>
        <w:t xml:space="preserve"> </w:t>
      </w:r>
      <w:r w:rsidR="009D02B6" w:rsidRPr="22AA7641">
        <w:rPr>
          <w:lang w:eastAsia="en-NZ"/>
        </w:rPr>
        <w:t>as</w:t>
      </w:r>
      <w:r w:rsidR="003D640C">
        <w:rPr>
          <w:lang w:eastAsia="en-NZ"/>
        </w:rPr>
        <w:t xml:space="preserve"> </w:t>
      </w:r>
      <w:r w:rsidR="57C57D63" w:rsidRPr="22AA7641">
        <w:rPr>
          <w:lang w:eastAsia="en-NZ"/>
        </w:rPr>
        <w:t>policing</w:t>
      </w:r>
      <w:r w:rsidR="003D640C">
        <w:rPr>
          <w:lang w:eastAsia="en-NZ"/>
        </w:rPr>
        <w:t xml:space="preserve"> </w:t>
      </w:r>
      <w:r w:rsidR="009D02B6" w:rsidRPr="22AA7641">
        <w:rPr>
          <w:lang w:eastAsia="en-NZ"/>
        </w:rPr>
        <w:t>their</w:t>
      </w:r>
      <w:r w:rsidR="003D640C">
        <w:rPr>
          <w:lang w:eastAsia="en-NZ"/>
        </w:rPr>
        <w:t xml:space="preserve"> </w:t>
      </w:r>
      <w:r w:rsidR="009D02B6" w:rsidRPr="22AA7641">
        <w:rPr>
          <w:lang w:eastAsia="en-NZ"/>
        </w:rPr>
        <w:t>behaviours</w:t>
      </w:r>
      <w:r w:rsidR="003D640C">
        <w:rPr>
          <w:lang w:eastAsia="en-NZ"/>
        </w:rPr>
        <w:t xml:space="preserve"> </w:t>
      </w:r>
      <w:r w:rsidR="009D02B6" w:rsidRPr="22AA7641">
        <w:rPr>
          <w:lang w:eastAsia="en-NZ"/>
        </w:rPr>
        <w:t>or</w:t>
      </w:r>
      <w:r w:rsidR="003D640C">
        <w:rPr>
          <w:lang w:eastAsia="en-NZ"/>
        </w:rPr>
        <w:t xml:space="preserve"> </w:t>
      </w:r>
      <w:r w:rsidR="009D02B6" w:rsidRPr="22AA7641">
        <w:rPr>
          <w:lang w:eastAsia="en-NZ"/>
        </w:rPr>
        <w:t>mannerisms.</w:t>
      </w:r>
      <w:r w:rsidR="003D640C">
        <w:rPr>
          <w:lang w:eastAsia="en-NZ"/>
        </w:rPr>
        <w:t xml:space="preserve"> </w:t>
      </w:r>
      <w:r w:rsidR="00D10DF5" w:rsidRPr="00BB6220">
        <w:rPr>
          <w:lang w:eastAsia="en-NZ"/>
        </w:rPr>
        <w:t>Other</w:t>
      </w:r>
      <w:r w:rsidR="003D640C">
        <w:rPr>
          <w:lang w:eastAsia="en-NZ"/>
        </w:rPr>
        <w:t xml:space="preserve"> </w:t>
      </w:r>
      <w:r w:rsidR="00D10DF5" w:rsidRPr="00BB6220">
        <w:rPr>
          <w:lang w:eastAsia="en-NZ"/>
        </w:rPr>
        <w:t>survivors</w:t>
      </w:r>
      <w:r w:rsidR="003D640C">
        <w:rPr>
          <w:lang w:eastAsia="en-NZ"/>
        </w:rPr>
        <w:t xml:space="preserve"> </w:t>
      </w:r>
      <w:r w:rsidR="00D10DF5" w:rsidRPr="00BB6220">
        <w:rPr>
          <w:lang w:eastAsia="en-NZ"/>
        </w:rPr>
        <w:t>spoke</w:t>
      </w:r>
      <w:r w:rsidR="003D640C">
        <w:rPr>
          <w:lang w:eastAsia="en-NZ"/>
        </w:rPr>
        <w:t xml:space="preserve"> </w:t>
      </w:r>
      <w:r w:rsidR="00D10DF5" w:rsidRPr="00BB6220">
        <w:rPr>
          <w:lang w:eastAsia="en-NZ"/>
        </w:rPr>
        <w:t>of</w:t>
      </w:r>
      <w:r w:rsidR="003D640C">
        <w:rPr>
          <w:lang w:eastAsia="en-NZ"/>
        </w:rPr>
        <w:t xml:space="preserve"> </w:t>
      </w:r>
      <w:r w:rsidR="00D10DF5" w:rsidRPr="00BB6220">
        <w:rPr>
          <w:lang w:eastAsia="en-NZ"/>
        </w:rPr>
        <w:t>being</w:t>
      </w:r>
      <w:r w:rsidR="003D640C">
        <w:rPr>
          <w:lang w:eastAsia="en-NZ"/>
        </w:rPr>
        <w:t xml:space="preserve"> </w:t>
      </w:r>
      <w:r w:rsidR="00D10DF5" w:rsidRPr="00BB6220">
        <w:rPr>
          <w:lang w:eastAsia="en-NZ"/>
        </w:rPr>
        <w:t>forced</w:t>
      </w:r>
      <w:r w:rsidR="003D640C">
        <w:rPr>
          <w:lang w:eastAsia="en-NZ"/>
        </w:rPr>
        <w:t xml:space="preserve"> </w:t>
      </w:r>
      <w:r w:rsidR="00D10DF5" w:rsidRPr="00BB6220">
        <w:rPr>
          <w:lang w:eastAsia="en-NZ"/>
        </w:rPr>
        <w:t>to</w:t>
      </w:r>
      <w:r w:rsidR="003D640C">
        <w:rPr>
          <w:lang w:eastAsia="en-NZ"/>
        </w:rPr>
        <w:t xml:space="preserve"> </w:t>
      </w:r>
      <w:r w:rsidR="00D10DF5" w:rsidRPr="00BB6220">
        <w:rPr>
          <w:lang w:eastAsia="en-NZ"/>
        </w:rPr>
        <w:t>use</w:t>
      </w:r>
      <w:r w:rsidR="003D640C">
        <w:rPr>
          <w:lang w:eastAsia="en-NZ"/>
        </w:rPr>
        <w:t xml:space="preserve"> </w:t>
      </w:r>
      <w:r w:rsidR="00D10DF5" w:rsidRPr="00BB6220">
        <w:rPr>
          <w:lang w:eastAsia="en-NZ"/>
        </w:rPr>
        <w:t>black</w:t>
      </w:r>
      <w:r w:rsidR="003D640C">
        <w:rPr>
          <w:lang w:eastAsia="en-NZ"/>
        </w:rPr>
        <w:t xml:space="preserve"> </w:t>
      </w:r>
      <w:r w:rsidR="00D10DF5" w:rsidRPr="00BB6220">
        <w:rPr>
          <w:lang w:eastAsia="en-NZ"/>
        </w:rPr>
        <w:t>market</w:t>
      </w:r>
      <w:r w:rsidR="003D640C">
        <w:rPr>
          <w:lang w:eastAsia="en-NZ"/>
        </w:rPr>
        <w:t xml:space="preserve"> </w:t>
      </w:r>
      <w:r w:rsidR="00D10DF5" w:rsidRPr="00BB6220">
        <w:rPr>
          <w:lang w:eastAsia="en-NZ"/>
        </w:rPr>
        <w:t>hormones</w:t>
      </w:r>
      <w:r w:rsidR="003D640C">
        <w:rPr>
          <w:lang w:eastAsia="en-NZ"/>
        </w:rPr>
        <w:t xml:space="preserve"> </w:t>
      </w:r>
      <w:r w:rsidR="00D10DF5" w:rsidRPr="00BB6220">
        <w:rPr>
          <w:lang w:eastAsia="en-NZ"/>
        </w:rPr>
        <w:t>to</w:t>
      </w:r>
      <w:r w:rsidR="003D640C">
        <w:rPr>
          <w:lang w:eastAsia="en-NZ"/>
        </w:rPr>
        <w:t xml:space="preserve"> </w:t>
      </w:r>
      <w:r w:rsidR="00D10DF5" w:rsidRPr="00BB6220">
        <w:rPr>
          <w:lang w:eastAsia="en-NZ"/>
        </w:rPr>
        <w:t>correct</w:t>
      </w:r>
      <w:r w:rsidR="003D640C">
        <w:rPr>
          <w:lang w:eastAsia="en-NZ"/>
        </w:rPr>
        <w:t xml:space="preserve"> </w:t>
      </w:r>
      <w:r w:rsidR="00D10DF5" w:rsidRPr="00BB6220">
        <w:rPr>
          <w:lang w:eastAsia="en-NZ"/>
        </w:rPr>
        <w:t>perceived</w:t>
      </w:r>
      <w:r w:rsidR="003D640C">
        <w:rPr>
          <w:lang w:eastAsia="en-NZ"/>
        </w:rPr>
        <w:t xml:space="preserve"> </w:t>
      </w:r>
      <w:r w:rsidR="00D10DF5" w:rsidRPr="00BB6220">
        <w:rPr>
          <w:lang w:eastAsia="en-NZ"/>
        </w:rPr>
        <w:t>hormonal</w:t>
      </w:r>
      <w:r w:rsidR="003D640C">
        <w:rPr>
          <w:lang w:eastAsia="en-NZ"/>
        </w:rPr>
        <w:t xml:space="preserve"> </w:t>
      </w:r>
      <w:r w:rsidR="00D10DF5" w:rsidRPr="00BB6220">
        <w:rPr>
          <w:lang w:eastAsia="en-NZ"/>
        </w:rPr>
        <w:t>imbalances</w:t>
      </w:r>
      <w:r w:rsidR="003D640C">
        <w:rPr>
          <w:lang w:eastAsia="en-NZ"/>
        </w:rPr>
        <w:t xml:space="preserve"> </w:t>
      </w:r>
      <w:r w:rsidR="00D10DF5" w:rsidRPr="00BB6220">
        <w:rPr>
          <w:lang w:eastAsia="en-NZ"/>
        </w:rPr>
        <w:t>that</w:t>
      </w:r>
      <w:r w:rsidR="003D640C">
        <w:rPr>
          <w:lang w:eastAsia="en-NZ"/>
        </w:rPr>
        <w:t xml:space="preserve"> </w:t>
      </w:r>
      <w:r w:rsidR="00D10DF5" w:rsidRPr="00BB6220">
        <w:rPr>
          <w:lang w:eastAsia="en-NZ"/>
        </w:rPr>
        <w:t>‘caused’</w:t>
      </w:r>
      <w:r w:rsidR="003D640C">
        <w:rPr>
          <w:lang w:eastAsia="en-NZ"/>
        </w:rPr>
        <w:t xml:space="preserve"> </w:t>
      </w:r>
      <w:r w:rsidR="00D10DF5" w:rsidRPr="00BB6220">
        <w:rPr>
          <w:lang w:eastAsia="en-NZ"/>
        </w:rPr>
        <w:t>their</w:t>
      </w:r>
      <w:r w:rsidR="003D640C">
        <w:rPr>
          <w:lang w:eastAsia="en-NZ"/>
        </w:rPr>
        <w:t xml:space="preserve"> </w:t>
      </w:r>
      <w:r w:rsidR="00D10DF5" w:rsidRPr="00BB6220">
        <w:rPr>
          <w:lang w:eastAsia="en-NZ"/>
        </w:rPr>
        <w:t>diverse</w:t>
      </w:r>
      <w:r w:rsidR="003D640C">
        <w:rPr>
          <w:lang w:eastAsia="en-NZ"/>
        </w:rPr>
        <w:t xml:space="preserve"> </w:t>
      </w:r>
      <w:r w:rsidR="00D10DF5" w:rsidRPr="00BB6220">
        <w:rPr>
          <w:lang w:eastAsia="en-NZ"/>
        </w:rPr>
        <w:t>gender</w:t>
      </w:r>
      <w:r w:rsidR="003D640C">
        <w:rPr>
          <w:lang w:eastAsia="en-NZ"/>
        </w:rPr>
        <w:t xml:space="preserve"> </w:t>
      </w:r>
      <w:r w:rsidR="00D10DF5" w:rsidRPr="00BB6220">
        <w:rPr>
          <w:lang w:eastAsia="en-NZ"/>
        </w:rPr>
        <w:t>and/or</w:t>
      </w:r>
      <w:r w:rsidR="003D640C">
        <w:rPr>
          <w:lang w:eastAsia="en-NZ"/>
        </w:rPr>
        <w:t xml:space="preserve"> </w:t>
      </w:r>
      <w:r w:rsidR="00404B18" w:rsidRPr="00BB6220">
        <w:rPr>
          <w:lang w:eastAsia="en-NZ"/>
        </w:rPr>
        <w:t>sexual</w:t>
      </w:r>
      <w:r w:rsidR="003D640C">
        <w:rPr>
          <w:lang w:eastAsia="en-NZ"/>
        </w:rPr>
        <w:t xml:space="preserve"> </w:t>
      </w:r>
      <w:r w:rsidR="00404B18" w:rsidRPr="00BB6220">
        <w:rPr>
          <w:lang w:eastAsia="en-NZ"/>
        </w:rPr>
        <w:t>orientation</w:t>
      </w:r>
      <w:r w:rsidR="00D10DF5" w:rsidRPr="00BB6220">
        <w:rPr>
          <w:lang w:eastAsia="en-NZ"/>
        </w:rPr>
        <w:t>.</w:t>
      </w:r>
      <w:r w:rsidR="003D640C">
        <w:rPr>
          <w:lang w:eastAsia="en-NZ"/>
        </w:rPr>
        <w:t xml:space="preserve"> </w:t>
      </w:r>
    </w:p>
    <w:p w14:paraId="654C8E7C" w14:textId="5E7C9342" w:rsidR="00501068" w:rsidRDefault="00D10DF5" w:rsidP="002E6693">
      <w:pPr>
        <w:rPr>
          <w:lang w:eastAsia="en-NZ"/>
        </w:rPr>
      </w:pPr>
      <w:r w:rsidRPr="00BB6220">
        <w:rPr>
          <w:lang w:eastAsia="en-NZ"/>
        </w:rPr>
        <w:t>Some</w:t>
      </w:r>
      <w:r w:rsidR="003D640C">
        <w:rPr>
          <w:lang w:eastAsia="en-NZ"/>
        </w:rPr>
        <w:t xml:space="preserve"> </w:t>
      </w:r>
      <w:r w:rsidRPr="00BB6220">
        <w:rPr>
          <w:lang w:eastAsia="en-NZ"/>
        </w:rPr>
        <w:t>ethnic</w:t>
      </w:r>
      <w:r w:rsidR="003D640C">
        <w:rPr>
          <w:lang w:eastAsia="en-NZ"/>
        </w:rPr>
        <w:t xml:space="preserve"> </w:t>
      </w:r>
      <w:r w:rsidRPr="00BB6220">
        <w:rPr>
          <w:lang w:eastAsia="en-NZ"/>
        </w:rPr>
        <w:t>community</w:t>
      </w:r>
      <w:r w:rsidR="003D640C">
        <w:rPr>
          <w:lang w:eastAsia="en-NZ"/>
        </w:rPr>
        <w:t xml:space="preserve"> </w:t>
      </w:r>
      <w:r w:rsidRPr="00BB6220">
        <w:rPr>
          <w:lang w:eastAsia="en-NZ"/>
        </w:rPr>
        <w:t>and</w:t>
      </w:r>
      <w:r w:rsidR="003D640C">
        <w:rPr>
          <w:lang w:eastAsia="en-NZ"/>
        </w:rPr>
        <w:t xml:space="preserve"> </w:t>
      </w:r>
      <w:r w:rsidRPr="00BB6220">
        <w:rPr>
          <w:lang w:eastAsia="en-NZ"/>
        </w:rPr>
        <w:t>Pa</w:t>
      </w:r>
      <w:r w:rsidR="005B68C6" w:rsidRPr="00BB6220">
        <w:rPr>
          <w:lang w:eastAsia="en-NZ"/>
        </w:rPr>
        <w:t>cific</w:t>
      </w:r>
      <w:r w:rsidR="003D640C">
        <w:rPr>
          <w:lang w:eastAsia="en-NZ"/>
        </w:rPr>
        <w:t xml:space="preserve"> </w:t>
      </w:r>
      <w:r w:rsidRPr="00BB6220">
        <w:rPr>
          <w:lang w:eastAsia="en-NZ"/>
        </w:rPr>
        <w:t>transgender</w:t>
      </w:r>
      <w:r w:rsidR="003D640C">
        <w:rPr>
          <w:lang w:eastAsia="en-NZ"/>
        </w:rPr>
        <w:t xml:space="preserve"> </w:t>
      </w:r>
      <w:r w:rsidRPr="00BB6220">
        <w:rPr>
          <w:lang w:eastAsia="en-NZ"/>
        </w:rPr>
        <w:t>survivors</w:t>
      </w:r>
      <w:r w:rsidR="003D640C">
        <w:rPr>
          <w:lang w:eastAsia="en-NZ"/>
        </w:rPr>
        <w:t xml:space="preserve"> </w:t>
      </w:r>
      <w:r w:rsidR="45CA2A91" w:rsidRPr="22AA7641">
        <w:rPr>
          <w:lang w:eastAsia="en-NZ"/>
        </w:rPr>
        <w:t>spoke</w:t>
      </w:r>
      <w:r w:rsidR="003D640C">
        <w:rPr>
          <w:lang w:eastAsia="en-NZ"/>
        </w:rPr>
        <w:t xml:space="preserve"> </w:t>
      </w:r>
      <w:r w:rsidR="45CA2A91" w:rsidRPr="22AA7641">
        <w:rPr>
          <w:lang w:eastAsia="en-NZ"/>
        </w:rPr>
        <w:t>of</w:t>
      </w:r>
      <w:r w:rsidR="003D640C">
        <w:rPr>
          <w:lang w:eastAsia="en-NZ"/>
        </w:rPr>
        <w:t xml:space="preserve"> </w:t>
      </w:r>
      <w:r w:rsidR="45CA2A91" w:rsidRPr="22AA7641">
        <w:rPr>
          <w:lang w:eastAsia="en-NZ"/>
        </w:rPr>
        <w:t>physical</w:t>
      </w:r>
      <w:r w:rsidR="003D640C">
        <w:rPr>
          <w:lang w:eastAsia="en-NZ"/>
        </w:rPr>
        <w:t xml:space="preserve"> </w:t>
      </w:r>
      <w:r w:rsidR="45CA2A91" w:rsidRPr="22AA7641">
        <w:rPr>
          <w:lang w:eastAsia="en-NZ"/>
        </w:rPr>
        <w:t>abuse</w:t>
      </w:r>
      <w:r w:rsidR="003D640C">
        <w:rPr>
          <w:lang w:eastAsia="en-NZ"/>
        </w:rPr>
        <w:t xml:space="preserve"> </w:t>
      </w:r>
      <w:r w:rsidR="45CA2A91" w:rsidRPr="22AA7641">
        <w:rPr>
          <w:lang w:eastAsia="en-NZ"/>
        </w:rPr>
        <w:t>for</w:t>
      </w:r>
      <w:r w:rsidR="003D640C">
        <w:rPr>
          <w:lang w:eastAsia="en-NZ"/>
        </w:rPr>
        <w:t xml:space="preserve"> </w:t>
      </w:r>
      <w:r w:rsidR="45CA2A91" w:rsidRPr="22AA7641">
        <w:rPr>
          <w:lang w:eastAsia="en-NZ"/>
        </w:rPr>
        <w:t>not</w:t>
      </w:r>
      <w:r w:rsidR="003D640C">
        <w:rPr>
          <w:lang w:eastAsia="en-NZ"/>
        </w:rPr>
        <w:t xml:space="preserve"> </w:t>
      </w:r>
      <w:r w:rsidR="45CA2A91" w:rsidRPr="22AA7641">
        <w:rPr>
          <w:lang w:eastAsia="en-NZ"/>
        </w:rPr>
        <w:t>wearing</w:t>
      </w:r>
      <w:r w:rsidR="003D640C">
        <w:rPr>
          <w:lang w:eastAsia="en-NZ"/>
        </w:rPr>
        <w:t xml:space="preserve"> </w:t>
      </w:r>
      <w:r w:rsidR="45CA2A91" w:rsidRPr="22AA7641">
        <w:rPr>
          <w:lang w:eastAsia="en-NZ"/>
        </w:rPr>
        <w:t>clothing</w:t>
      </w:r>
      <w:r w:rsidR="003D640C">
        <w:rPr>
          <w:lang w:eastAsia="en-NZ"/>
        </w:rPr>
        <w:t xml:space="preserve"> </w:t>
      </w:r>
      <w:r w:rsidR="45CA2A91" w:rsidRPr="22AA7641">
        <w:rPr>
          <w:lang w:eastAsia="en-NZ"/>
        </w:rPr>
        <w:t>that</w:t>
      </w:r>
      <w:r w:rsidR="003D640C">
        <w:rPr>
          <w:lang w:eastAsia="en-NZ"/>
        </w:rPr>
        <w:t xml:space="preserve"> </w:t>
      </w:r>
      <w:r w:rsidR="45CA2A91" w:rsidRPr="22AA7641">
        <w:rPr>
          <w:lang w:eastAsia="en-NZ"/>
        </w:rPr>
        <w:t>conformed</w:t>
      </w:r>
      <w:r w:rsidR="003D640C">
        <w:rPr>
          <w:lang w:eastAsia="en-NZ"/>
        </w:rPr>
        <w:t xml:space="preserve"> </w:t>
      </w:r>
      <w:r w:rsidR="45CA2A91" w:rsidRPr="22AA7641">
        <w:rPr>
          <w:lang w:eastAsia="en-NZ"/>
        </w:rPr>
        <w:t>to</w:t>
      </w:r>
      <w:r w:rsidR="003D640C">
        <w:rPr>
          <w:lang w:eastAsia="en-NZ"/>
        </w:rPr>
        <w:t xml:space="preserve"> </w:t>
      </w:r>
      <w:r w:rsidR="45CA2A91" w:rsidRPr="22AA7641">
        <w:rPr>
          <w:lang w:eastAsia="en-NZ"/>
        </w:rPr>
        <w:t>their</w:t>
      </w:r>
      <w:r w:rsidR="003D640C">
        <w:rPr>
          <w:lang w:eastAsia="en-NZ"/>
        </w:rPr>
        <w:t xml:space="preserve"> </w:t>
      </w:r>
      <w:r w:rsidR="45CA2A91" w:rsidRPr="22AA7641">
        <w:rPr>
          <w:lang w:eastAsia="en-NZ"/>
        </w:rPr>
        <w:t>sex</w:t>
      </w:r>
      <w:r w:rsidR="003D640C">
        <w:rPr>
          <w:lang w:eastAsia="en-NZ"/>
        </w:rPr>
        <w:t xml:space="preserve"> </w:t>
      </w:r>
      <w:r w:rsidR="45CA2A91" w:rsidRPr="22AA7641">
        <w:rPr>
          <w:lang w:eastAsia="en-NZ"/>
        </w:rPr>
        <w:t>assigned</w:t>
      </w:r>
      <w:r w:rsidR="003D640C">
        <w:rPr>
          <w:lang w:eastAsia="en-NZ"/>
        </w:rPr>
        <w:t xml:space="preserve"> </w:t>
      </w:r>
      <w:r w:rsidR="45CA2A91" w:rsidRPr="22AA7641">
        <w:rPr>
          <w:lang w:eastAsia="en-NZ"/>
        </w:rPr>
        <w:t>at</w:t>
      </w:r>
      <w:r w:rsidR="003D640C">
        <w:rPr>
          <w:lang w:eastAsia="en-NZ"/>
        </w:rPr>
        <w:t xml:space="preserve"> </w:t>
      </w:r>
      <w:r w:rsidR="45CA2A91" w:rsidRPr="22AA7641">
        <w:rPr>
          <w:lang w:eastAsia="en-NZ"/>
        </w:rPr>
        <w:t>birth.</w:t>
      </w:r>
      <w:r w:rsidR="003D640C">
        <w:rPr>
          <w:lang w:eastAsia="en-NZ"/>
        </w:rPr>
        <w:t xml:space="preserve"> </w:t>
      </w:r>
      <w:r w:rsidR="45CA2A91" w:rsidRPr="22AA7641">
        <w:rPr>
          <w:lang w:eastAsia="en-NZ"/>
        </w:rPr>
        <w:t>Others</w:t>
      </w:r>
      <w:r w:rsidR="003D640C">
        <w:rPr>
          <w:lang w:eastAsia="en-NZ"/>
        </w:rPr>
        <w:t xml:space="preserve"> </w:t>
      </w:r>
      <w:r w:rsidRPr="00BB6220">
        <w:rPr>
          <w:lang w:eastAsia="en-NZ"/>
        </w:rPr>
        <w:t>reported</w:t>
      </w:r>
      <w:r w:rsidR="003D640C">
        <w:rPr>
          <w:lang w:eastAsia="en-NZ"/>
        </w:rPr>
        <w:t xml:space="preserve"> </w:t>
      </w:r>
      <w:r w:rsidRPr="00BB6220">
        <w:rPr>
          <w:lang w:eastAsia="en-NZ"/>
        </w:rPr>
        <w:t>a</w:t>
      </w:r>
      <w:r w:rsidR="003D640C">
        <w:rPr>
          <w:lang w:eastAsia="en-NZ"/>
        </w:rPr>
        <w:t xml:space="preserve"> </w:t>
      </w:r>
      <w:r w:rsidRPr="00BB6220">
        <w:rPr>
          <w:lang w:eastAsia="en-NZ"/>
        </w:rPr>
        <w:t>fear</w:t>
      </w:r>
      <w:r w:rsidR="003D640C">
        <w:rPr>
          <w:lang w:eastAsia="en-NZ"/>
        </w:rPr>
        <w:t xml:space="preserve"> </w:t>
      </w:r>
      <w:r w:rsidRPr="00BB6220">
        <w:rPr>
          <w:lang w:eastAsia="en-NZ"/>
        </w:rPr>
        <w:t>of</w:t>
      </w:r>
      <w:r w:rsidR="003D640C">
        <w:rPr>
          <w:lang w:eastAsia="en-NZ"/>
        </w:rPr>
        <w:t xml:space="preserve"> </w:t>
      </w:r>
      <w:r w:rsidRPr="00BB6220">
        <w:rPr>
          <w:lang w:eastAsia="en-NZ"/>
        </w:rPr>
        <w:t>being</w:t>
      </w:r>
      <w:r w:rsidR="003D640C">
        <w:rPr>
          <w:lang w:eastAsia="en-NZ"/>
        </w:rPr>
        <w:t xml:space="preserve"> </w:t>
      </w:r>
      <w:r w:rsidRPr="00BB6220">
        <w:rPr>
          <w:lang w:eastAsia="en-NZ"/>
        </w:rPr>
        <w:t>sent</w:t>
      </w:r>
      <w:r w:rsidR="003D640C">
        <w:rPr>
          <w:lang w:eastAsia="en-NZ"/>
        </w:rPr>
        <w:t xml:space="preserve"> </w:t>
      </w:r>
      <w:r w:rsidRPr="00BB6220">
        <w:rPr>
          <w:lang w:eastAsia="en-NZ"/>
        </w:rPr>
        <w:t>to</w:t>
      </w:r>
      <w:r w:rsidR="003D640C">
        <w:rPr>
          <w:lang w:eastAsia="en-NZ"/>
        </w:rPr>
        <w:t xml:space="preserve"> </w:t>
      </w:r>
      <w:r w:rsidRPr="00BB6220">
        <w:rPr>
          <w:lang w:eastAsia="en-NZ"/>
        </w:rPr>
        <w:t>their</w:t>
      </w:r>
      <w:r w:rsidR="003D640C">
        <w:rPr>
          <w:lang w:eastAsia="en-NZ"/>
        </w:rPr>
        <w:t xml:space="preserve"> </w:t>
      </w:r>
      <w:r w:rsidRPr="00BB6220">
        <w:rPr>
          <w:lang w:eastAsia="en-NZ"/>
        </w:rPr>
        <w:t>home</w:t>
      </w:r>
      <w:r w:rsidR="003D640C">
        <w:rPr>
          <w:lang w:eastAsia="en-NZ"/>
        </w:rPr>
        <w:t xml:space="preserve"> </w:t>
      </w:r>
      <w:r w:rsidRPr="00BB6220">
        <w:rPr>
          <w:lang w:eastAsia="en-NZ"/>
        </w:rPr>
        <w:t>countries</w:t>
      </w:r>
      <w:r w:rsidR="003D640C">
        <w:rPr>
          <w:lang w:eastAsia="en-NZ"/>
        </w:rPr>
        <w:t xml:space="preserve"> </w:t>
      </w:r>
      <w:r w:rsidRPr="00BB6220">
        <w:rPr>
          <w:lang w:eastAsia="en-NZ"/>
        </w:rPr>
        <w:t>where</w:t>
      </w:r>
      <w:r w:rsidR="003D640C">
        <w:rPr>
          <w:lang w:eastAsia="en-NZ"/>
        </w:rPr>
        <w:t xml:space="preserve"> </w:t>
      </w:r>
      <w:r w:rsidR="000825F8" w:rsidRPr="00BB6220">
        <w:rPr>
          <w:lang w:eastAsia="en-NZ"/>
        </w:rPr>
        <w:t>there</w:t>
      </w:r>
      <w:r w:rsidR="003D640C">
        <w:rPr>
          <w:lang w:eastAsia="en-NZ"/>
        </w:rPr>
        <w:t xml:space="preserve"> </w:t>
      </w:r>
      <w:r w:rsidR="000825F8" w:rsidRPr="00BB6220">
        <w:rPr>
          <w:lang w:eastAsia="en-NZ"/>
        </w:rPr>
        <w:t>are</w:t>
      </w:r>
      <w:r w:rsidR="003D640C">
        <w:rPr>
          <w:lang w:eastAsia="en-NZ"/>
        </w:rPr>
        <w:t xml:space="preserve"> </w:t>
      </w:r>
      <w:r w:rsidR="000825F8" w:rsidRPr="00BB6220">
        <w:rPr>
          <w:lang w:eastAsia="en-NZ"/>
        </w:rPr>
        <w:t>no</w:t>
      </w:r>
      <w:r w:rsidR="003D640C">
        <w:rPr>
          <w:lang w:eastAsia="en-NZ"/>
        </w:rPr>
        <w:t xml:space="preserve"> </w:t>
      </w:r>
      <w:r w:rsidR="000825F8" w:rsidRPr="00BB6220">
        <w:rPr>
          <w:lang w:eastAsia="en-NZ"/>
        </w:rPr>
        <w:t>legal</w:t>
      </w:r>
      <w:r w:rsidR="003D640C">
        <w:rPr>
          <w:lang w:eastAsia="en-NZ"/>
        </w:rPr>
        <w:t xml:space="preserve"> </w:t>
      </w:r>
      <w:r w:rsidR="000825F8" w:rsidRPr="00BB6220">
        <w:rPr>
          <w:lang w:eastAsia="en-NZ"/>
        </w:rPr>
        <w:t>protections</w:t>
      </w:r>
      <w:r w:rsidR="003D640C">
        <w:rPr>
          <w:lang w:eastAsia="en-NZ"/>
        </w:rPr>
        <w:t xml:space="preserve"> </w:t>
      </w:r>
      <w:r w:rsidR="000825F8" w:rsidRPr="00BB6220">
        <w:rPr>
          <w:lang w:eastAsia="en-NZ"/>
        </w:rPr>
        <w:t>against</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AE371D">
        <w:rPr>
          <w:lang w:eastAsia="en-NZ"/>
        </w:rPr>
        <w:t>,</w:t>
      </w:r>
      <w:r w:rsidR="007B5336">
        <w:rPr>
          <w:lang w:eastAsia="en-NZ"/>
        </w:rPr>
        <w:t xml:space="preserve"> and</w:t>
      </w:r>
      <w:r w:rsidR="003D640C">
        <w:rPr>
          <w:lang w:eastAsia="en-NZ"/>
        </w:rPr>
        <w:t xml:space="preserve"> </w:t>
      </w:r>
      <w:r w:rsidR="00104391" w:rsidRPr="00BB6220">
        <w:rPr>
          <w:lang w:eastAsia="en-NZ"/>
        </w:rPr>
        <w:t>where</w:t>
      </w:r>
      <w:r w:rsidR="003D640C">
        <w:rPr>
          <w:lang w:eastAsia="en-NZ"/>
        </w:rPr>
        <w:t xml:space="preserve"> </w:t>
      </w:r>
      <w:r w:rsidR="1061F3F8" w:rsidRPr="22AA7641">
        <w:rPr>
          <w:lang w:eastAsia="en-NZ"/>
        </w:rPr>
        <w:t>such</w:t>
      </w:r>
      <w:r w:rsidR="003D640C">
        <w:rPr>
          <w:lang w:eastAsia="en-NZ"/>
        </w:rPr>
        <w:t xml:space="preserve"> </w:t>
      </w:r>
      <w:r w:rsidR="1061F3F8" w:rsidRPr="22AA7641">
        <w:rPr>
          <w:lang w:eastAsia="en-NZ"/>
        </w:rPr>
        <w:t>practices</w:t>
      </w:r>
      <w:r w:rsidR="003D640C">
        <w:rPr>
          <w:lang w:eastAsia="en-NZ"/>
        </w:rPr>
        <w:t xml:space="preserve"> </w:t>
      </w:r>
      <w:r w:rsidR="00104391" w:rsidRPr="00BB6220">
        <w:rPr>
          <w:lang w:eastAsia="en-NZ"/>
        </w:rPr>
        <w:t>may</w:t>
      </w:r>
      <w:r w:rsidR="003D640C">
        <w:rPr>
          <w:lang w:eastAsia="en-NZ"/>
        </w:rPr>
        <w:t xml:space="preserve"> </w:t>
      </w:r>
      <w:r w:rsidR="00104391" w:rsidRPr="00BB6220">
        <w:rPr>
          <w:lang w:eastAsia="en-NZ"/>
        </w:rPr>
        <w:t>not</w:t>
      </w:r>
      <w:r w:rsidR="003D640C">
        <w:rPr>
          <w:lang w:eastAsia="en-NZ"/>
        </w:rPr>
        <w:t xml:space="preserve"> </w:t>
      </w:r>
      <w:r w:rsidR="00104391" w:rsidRPr="00BB6220">
        <w:rPr>
          <w:lang w:eastAsia="en-NZ"/>
        </w:rPr>
        <w:t>only</w:t>
      </w:r>
      <w:r w:rsidR="003D640C">
        <w:rPr>
          <w:lang w:eastAsia="en-NZ"/>
        </w:rPr>
        <w:t xml:space="preserve"> </w:t>
      </w:r>
      <w:r w:rsidR="00104391" w:rsidRPr="00BB6220">
        <w:rPr>
          <w:lang w:eastAsia="en-NZ"/>
        </w:rPr>
        <w:t>be</w:t>
      </w:r>
      <w:r w:rsidR="003D640C">
        <w:rPr>
          <w:lang w:eastAsia="en-NZ"/>
        </w:rPr>
        <w:t xml:space="preserve"> </w:t>
      </w:r>
      <w:r w:rsidR="00104391" w:rsidRPr="00BB6220">
        <w:rPr>
          <w:lang w:eastAsia="en-NZ"/>
        </w:rPr>
        <w:t>permissible</w:t>
      </w:r>
      <w:r w:rsidR="32870464" w:rsidRPr="22AA7641">
        <w:rPr>
          <w:lang w:eastAsia="en-NZ"/>
        </w:rPr>
        <w:t>,</w:t>
      </w:r>
      <w:r w:rsidR="003D640C">
        <w:rPr>
          <w:lang w:eastAsia="en-NZ"/>
        </w:rPr>
        <w:t xml:space="preserve"> </w:t>
      </w:r>
      <w:r w:rsidR="00104391" w:rsidRPr="00BB6220">
        <w:rPr>
          <w:lang w:eastAsia="en-NZ"/>
        </w:rPr>
        <w:t>but</w:t>
      </w:r>
      <w:r w:rsidR="003D640C">
        <w:rPr>
          <w:lang w:eastAsia="en-NZ"/>
        </w:rPr>
        <w:t xml:space="preserve"> </w:t>
      </w:r>
      <w:r w:rsidR="00BE31D6">
        <w:rPr>
          <w:lang w:eastAsia="en-NZ"/>
        </w:rPr>
        <w:t>also</w:t>
      </w:r>
      <w:r w:rsidR="003D640C">
        <w:rPr>
          <w:lang w:eastAsia="en-NZ"/>
        </w:rPr>
        <w:t xml:space="preserve"> </w:t>
      </w:r>
      <w:r w:rsidRPr="00BB6220">
        <w:rPr>
          <w:lang w:eastAsia="en-NZ"/>
        </w:rPr>
        <w:t>potentially</w:t>
      </w:r>
      <w:r w:rsidR="003D640C">
        <w:rPr>
          <w:lang w:eastAsia="en-NZ"/>
        </w:rPr>
        <w:t xml:space="preserve"> </w:t>
      </w:r>
      <w:r w:rsidR="007B5336">
        <w:rPr>
          <w:lang w:eastAsia="en-NZ"/>
        </w:rPr>
        <w:t>s</w:t>
      </w:r>
      <w:r w:rsidRPr="00BB6220">
        <w:rPr>
          <w:lang w:eastAsia="en-NZ"/>
        </w:rPr>
        <w:t>tate</w:t>
      </w:r>
      <w:r w:rsidR="00B930E5" w:rsidRPr="00BB6220">
        <w:rPr>
          <w:lang w:eastAsia="en-NZ"/>
        </w:rPr>
        <w:t>-</w:t>
      </w:r>
      <w:r w:rsidRPr="00BB6220">
        <w:rPr>
          <w:lang w:eastAsia="en-NZ"/>
        </w:rPr>
        <w:t>sanctioned</w:t>
      </w:r>
      <w:r w:rsidR="003D640C">
        <w:rPr>
          <w:lang w:eastAsia="en-NZ"/>
        </w:rPr>
        <w:t xml:space="preserve"> </w:t>
      </w:r>
      <w:r w:rsidRPr="00BB6220">
        <w:rPr>
          <w:lang w:eastAsia="en-NZ"/>
        </w:rPr>
        <w:t>and</w:t>
      </w:r>
      <w:r w:rsidR="003D640C">
        <w:rPr>
          <w:lang w:eastAsia="en-NZ"/>
        </w:rPr>
        <w:t xml:space="preserve"> </w:t>
      </w:r>
      <w:r w:rsidRPr="00BB6220">
        <w:rPr>
          <w:lang w:eastAsia="en-NZ"/>
        </w:rPr>
        <w:t>funded.</w:t>
      </w:r>
    </w:p>
    <w:p w14:paraId="2251EDF2" w14:textId="6C2A433C" w:rsidR="00501068" w:rsidRDefault="00D10DF5" w:rsidP="002E6693">
      <w:pPr>
        <w:rPr>
          <w:rFonts w:ascii="Segoe UI" w:hAnsi="Segoe UI" w:cs="Segoe UI"/>
          <w:sz w:val="18"/>
          <w:szCs w:val="18"/>
          <w:lang w:eastAsia="en-NZ"/>
        </w:rPr>
      </w:pPr>
      <w:r w:rsidRPr="00BB6220">
        <w:rPr>
          <w:lang w:eastAsia="en-NZ"/>
        </w:rPr>
        <w:t>The</w:t>
      </w:r>
      <w:r w:rsidR="003D640C">
        <w:rPr>
          <w:lang w:eastAsia="en-NZ"/>
        </w:rPr>
        <w:t xml:space="preserve"> </w:t>
      </w:r>
      <w:r w:rsidRPr="00BB6220">
        <w:rPr>
          <w:lang w:eastAsia="en-NZ"/>
        </w:rPr>
        <w:t>overarching</w:t>
      </w:r>
      <w:r w:rsidR="003D640C">
        <w:rPr>
          <w:lang w:eastAsia="en-NZ"/>
        </w:rPr>
        <w:t xml:space="preserve"> </w:t>
      </w:r>
      <w:r w:rsidRPr="00BB6220">
        <w:rPr>
          <w:lang w:eastAsia="en-NZ"/>
        </w:rPr>
        <w:t>theme</w:t>
      </w:r>
      <w:r w:rsidR="003D640C">
        <w:rPr>
          <w:lang w:eastAsia="en-NZ"/>
        </w:rPr>
        <w:t xml:space="preserve"> </w:t>
      </w:r>
      <w:r w:rsidRPr="00BB6220">
        <w:rPr>
          <w:lang w:eastAsia="en-NZ"/>
        </w:rPr>
        <w:t>for</w:t>
      </w:r>
      <w:r w:rsidR="003D640C">
        <w:rPr>
          <w:lang w:eastAsia="en-NZ"/>
        </w:rPr>
        <w:t xml:space="preserve"> </w:t>
      </w:r>
      <w:r w:rsidRPr="00BB6220">
        <w:rPr>
          <w:lang w:eastAsia="en-NZ"/>
        </w:rPr>
        <w:t>survivors</w:t>
      </w:r>
      <w:r w:rsidR="003D640C">
        <w:rPr>
          <w:lang w:eastAsia="en-NZ"/>
        </w:rPr>
        <w:t xml:space="preserve"> </w:t>
      </w:r>
      <w:r w:rsidRPr="00BB6220">
        <w:rPr>
          <w:lang w:eastAsia="en-NZ"/>
        </w:rPr>
        <w:t>of</w:t>
      </w:r>
      <w:r w:rsidR="003D640C">
        <w:rPr>
          <w:lang w:eastAsia="en-NZ"/>
        </w:rPr>
        <w:t xml:space="preserve"> </w:t>
      </w:r>
      <w:r w:rsidRPr="00BB6220">
        <w:rPr>
          <w:lang w:eastAsia="en-NZ"/>
        </w:rPr>
        <w:t>gender</w:t>
      </w:r>
      <w:r w:rsidR="003D640C">
        <w:rPr>
          <w:lang w:eastAsia="en-NZ"/>
        </w:rPr>
        <w:t xml:space="preserve"> </w:t>
      </w:r>
      <w:r w:rsidR="005D1457">
        <w:rPr>
          <w:lang w:eastAsia="en-NZ"/>
        </w:rPr>
        <w:t>identity</w:t>
      </w:r>
      <w:r w:rsidRPr="00BB6220">
        <w:rPr>
          <w:lang w:eastAsia="en-NZ"/>
        </w:rPr>
        <w:t>-based</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was</w:t>
      </w:r>
      <w:r w:rsidR="003D640C">
        <w:rPr>
          <w:lang w:eastAsia="en-NZ"/>
        </w:rPr>
        <w:t xml:space="preserve"> </w:t>
      </w:r>
      <w:r w:rsidRPr="00BB6220">
        <w:rPr>
          <w:lang w:eastAsia="en-NZ"/>
        </w:rPr>
        <w:t>that</w:t>
      </w:r>
      <w:r w:rsidR="003D640C">
        <w:rPr>
          <w:lang w:eastAsia="en-NZ"/>
        </w:rPr>
        <w:t xml:space="preserve"> </w:t>
      </w:r>
      <w:r w:rsidRPr="00BB6220">
        <w:rPr>
          <w:lang w:eastAsia="en-NZ"/>
        </w:rPr>
        <w:t>the</w:t>
      </w:r>
      <w:r w:rsidR="003D640C">
        <w:rPr>
          <w:lang w:eastAsia="en-NZ"/>
        </w:rPr>
        <w:t xml:space="preserve"> </w:t>
      </w:r>
      <w:r w:rsidRPr="00BB6220">
        <w:rPr>
          <w:lang w:eastAsia="en-NZ"/>
        </w:rPr>
        <w:t>harm</w:t>
      </w:r>
      <w:r w:rsidR="003D640C">
        <w:rPr>
          <w:lang w:eastAsia="en-NZ"/>
        </w:rPr>
        <w:t xml:space="preserve"> </w:t>
      </w:r>
      <w:r w:rsidRPr="00BB6220">
        <w:rPr>
          <w:lang w:eastAsia="en-NZ"/>
        </w:rPr>
        <w:t>caused</w:t>
      </w:r>
      <w:r w:rsidR="003D640C">
        <w:rPr>
          <w:lang w:eastAsia="en-NZ"/>
        </w:rPr>
        <w:t xml:space="preserve"> </w:t>
      </w:r>
      <w:r w:rsidRPr="00BB6220">
        <w:rPr>
          <w:lang w:eastAsia="en-NZ"/>
        </w:rPr>
        <w:t>was</w:t>
      </w:r>
      <w:r w:rsidR="003D640C">
        <w:rPr>
          <w:lang w:eastAsia="en-NZ"/>
        </w:rPr>
        <w:t xml:space="preserve"> </w:t>
      </w:r>
      <w:r w:rsidRPr="00BB6220">
        <w:rPr>
          <w:lang w:eastAsia="en-NZ"/>
        </w:rPr>
        <w:t>long-lasting</w:t>
      </w:r>
      <w:r w:rsidR="003D640C">
        <w:rPr>
          <w:lang w:eastAsia="en-NZ"/>
        </w:rPr>
        <w:t xml:space="preserve"> </w:t>
      </w:r>
      <w:r w:rsidRPr="00BB6220">
        <w:rPr>
          <w:lang w:eastAsia="en-NZ"/>
        </w:rPr>
        <w:t>and</w:t>
      </w:r>
      <w:r w:rsidR="003D640C">
        <w:rPr>
          <w:lang w:eastAsia="en-NZ"/>
        </w:rPr>
        <w:t xml:space="preserve"> </w:t>
      </w:r>
      <w:r w:rsidRPr="00BB6220">
        <w:rPr>
          <w:lang w:eastAsia="en-NZ"/>
        </w:rPr>
        <w:t>impacted</w:t>
      </w:r>
      <w:r w:rsidR="003D640C">
        <w:rPr>
          <w:lang w:eastAsia="en-NZ"/>
        </w:rPr>
        <w:t xml:space="preserve"> </w:t>
      </w:r>
      <w:r w:rsidRPr="00BB6220">
        <w:rPr>
          <w:lang w:eastAsia="en-NZ"/>
        </w:rPr>
        <w:t>many</w:t>
      </w:r>
      <w:r w:rsidR="003D640C">
        <w:rPr>
          <w:lang w:eastAsia="en-NZ"/>
        </w:rPr>
        <w:t xml:space="preserve"> </w:t>
      </w:r>
      <w:r w:rsidRPr="00BB6220">
        <w:rPr>
          <w:lang w:eastAsia="en-NZ"/>
        </w:rPr>
        <w:t>areas</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Pr="00BB6220">
        <w:rPr>
          <w:lang w:eastAsia="en-NZ"/>
        </w:rPr>
        <w:t>lives.</w:t>
      </w:r>
      <w:r w:rsidR="003D640C">
        <w:rPr>
          <w:lang w:eastAsia="en-NZ"/>
        </w:rPr>
        <w:t xml:space="preserve"> </w:t>
      </w:r>
    </w:p>
    <w:p w14:paraId="0522F83E" w14:textId="77777777" w:rsidR="00501068" w:rsidRDefault="00D10DF5" w:rsidP="002E6693">
      <w:pPr>
        <w:pStyle w:val="Quote"/>
      </w:pPr>
      <w:r w:rsidRPr="00BB6220">
        <w:t>“I</w:t>
      </w:r>
      <w:r w:rsidR="003D640C">
        <w:t xml:space="preserve"> </w:t>
      </w:r>
      <w:r w:rsidRPr="00BB6220">
        <w:t>was</w:t>
      </w:r>
      <w:r w:rsidR="003D640C">
        <w:t xml:space="preserve"> </w:t>
      </w:r>
      <w:r w:rsidRPr="00BB6220">
        <w:t>sent</w:t>
      </w:r>
      <w:r w:rsidR="003D640C">
        <w:t xml:space="preserve"> </w:t>
      </w:r>
      <w:r w:rsidRPr="00BB6220">
        <w:t>to</w:t>
      </w:r>
      <w:r w:rsidR="003D640C">
        <w:t xml:space="preserve"> </w:t>
      </w:r>
      <w:r w:rsidRPr="00BB6220">
        <w:t>a</w:t>
      </w:r>
      <w:r w:rsidR="003D640C">
        <w:t xml:space="preserve"> </w:t>
      </w:r>
      <w:r w:rsidRPr="00BB6220">
        <w:t>GP,</w:t>
      </w:r>
      <w:r w:rsidR="003D640C">
        <w:t xml:space="preserve"> </w:t>
      </w:r>
      <w:r w:rsidRPr="00BB6220">
        <w:t>he</w:t>
      </w:r>
      <w:r w:rsidR="003D640C">
        <w:t xml:space="preserve"> </w:t>
      </w:r>
      <w:r w:rsidRPr="00BB6220">
        <w:t>was</w:t>
      </w:r>
      <w:r w:rsidR="003D640C">
        <w:t xml:space="preserve"> </w:t>
      </w:r>
      <w:bookmarkStart w:id="319" w:name="_Int_jAJ5dJJU"/>
      <w:r w:rsidRPr="00BB6220">
        <w:t>actually</w:t>
      </w:r>
      <w:r w:rsidR="003D640C">
        <w:t xml:space="preserve"> </w:t>
      </w:r>
      <w:r w:rsidRPr="00BB6220">
        <w:t>from</w:t>
      </w:r>
      <w:bookmarkEnd w:id="319"/>
      <w:r w:rsidR="003D640C">
        <w:t xml:space="preserve"> </w:t>
      </w:r>
      <w:r w:rsidRPr="00BB6220">
        <w:t>the</w:t>
      </w:r>
      <w:r w:rsidR="003D640C">
        <w:t xml:space="preserve"> </w:t>
      </w:r>
      <w:r w:rsidRPr="00BB6220">
        <w:t>same</w:t>
      </w:r>
      <w:r w:rsidR="003D640C">
        <w:t xml:space="preserve"> </w:t>
      </w:r>
      <w:r w:rsidRPr="00BB6220">
        <w:t>church,</w:t>
      </w:r>
      <w:r w:rsidR="003D640C">
        <w:t xml:space="preserve"> </w:t>
      </w:r>
      <w:r w:rsidRPr="00BB6220">
        <w:t>and</w:t>
      </w:r>
      <w:r w:rsidR="003D640C">
        <w:t xml:space="preserve"> </w:t>
      </w:r>
      <w:r w:rsidRPr="00BB6220">
        <w:t>the</w:t>
      </w:r>
      <w:r w:rsidR="003D640C">
        <w:t xml:space="preserve"> </w:t>
      </w:r>
      <w:r w:rsidRPr="00BB6220">
        <w:t>counsellor</w:t>
      </w:r>
      <w:r w:rsidR="003D640C">
        <w:t xml:space="preserve"> </w:t>
      </w:r>
      <w:r w:rsidRPr="00BB6220">
        <w:t>he</w:t>
      </w:r>
      <w:r w:rsidR="003D640C">
        <w:t xml:space="preserve"> </w:t>
      </w:r>
      <w:r w:rsidRPr="00BB6220">
        <w:t>sent</w:t>
      </w:r>
      <w:r w:rsidR="003D640C">
        <w:t xml:space="preserve"> </w:t>
      </w:r>
      <w:r w:rsidRPr="00BB6220">
        <w:t>me</w:t>
      </w:r>
      <w:r w:rsidR="003D640C">
        <w:t xml:space="preserve"> </w:t>
      </w:r>
      <w:r w:rsidRPr="00BB6220">
        <w:t>to</w:t>
      </w:r>
      <w:r w:rsidR="003D640C">
        <w:t xml:space="preserve"> </w:t>
      </w:r>
      <w:r w:rsidRPr="00BB6220">
        <w:t>was</w:t>
      </w:r>
      <w:r w:rsidR="003D640C">
        <w:t xml:space="preserve"> </w:t>
      </w:r>
      <w:r w:rsidRPr="00BB6220">
        <w:t>also</w:t>
      </w:r>
      <w:r w:rsidR="003D640C">
        <w:t xml:space="preserve"> </w:t>
      </w:r>
      <w:r w:rsidRPr="00BB6220">
        <w:t>part</w:t>
      </w:r>
      <w:r w:rsidR="003D640C">
        <w:t xml:space="preserve"> </w:t>
      </w:r>
      <w:r w:rsidRPr="00BB6220">
        <w:t>of</w:t>
      </w:r>
      <w:r w:rsidR="003D640C">
        <w:t xml:space="preserve"> </w:t>
      </w:r>
      <w:r w:rsidRPr="00BB6220">
        <w:t>that</w:t>
      </w:r>
      <w:r w:rsidR="003D640C">
        <w:t xml:space="preserve"> </w:t>
      </w:r>
      <w:r w:rsidRPr="00BB6220">
        <w:t>broader</w:t>
      </w:r>
      <w:r w:rsidR="003D640C">
        <w:t xml:space="preserve"> </w:t>
      </w:r>
      <w:r w:rsidRPr="00BB6220">
        <w:t>church</w:t>
      </w:r>
      <w:r w:rsidR="003D640C">
        <w:t xml:space="preserve"> </w:t>
      </w:r>
      <w:r w:rsidRPr="00BB6220">
        <w:t>community.</w:t>
      </w:r>
      <w:r w:rsidR="003D640C">
        <w:t xml:space="preserve"> </w:t>
      </w:r>
      <w:r w:rsidRPr="00BB6220">
        <w:t>So</w:t>
      </w:r>
      <w:r w:rsidR="003D640C">
        <w:t xml:space="preserve"> </w:t>
      </w:r>
      <w:r w:rsidRPr="00BB6220">
        <w:t>you</w:t>
      </w:r>
      <w:r w:rsidR="003D640C">
        <w:t xml:space="preserve"> </w:t>
      </w:r>
      <w:r w:rsidRPr="00BB6220">
        <w:t>can</w:t>
      </w:r>
      <w:r w:rsidR="003D640C">
        <w:t xml:space="preserve"> </w:t>
      </w:r>
      <w:r w:rsidRPr="00BB6220">
        <w:t>see</w:t>
      </w:r>
      <w:r w:rsidR="003D640C">
        <w:t xml:space="preserve"> </w:t>
      </w:r>
      <w:r w:rsidRPr="00BB6220">
        <w:t>how</w:t>
      </w:r>
      <w:r w:rsidR="003D640C">
        <w:t xml:space="preserve"> </w:t>
      </w:r>
      <w:r w:rsidRPr="00BB6220">
        <w:t>it’s</w:t>
      </w:r>
      <w:r w:rsidR="003D640C">
        <w:t xml:space="preserve"> </w:t>
      </w:r>
      <w:r w:rsidRPr="00BB6220">
        <w:t>all</w:t>
      </w:r>
      <w:r w:rsidR="003D640C">
        <w:t xml:space="preserve"> </w:t>
      </w:r>
      <w:r w:rsidRPr="00BB6220">
        <w:t>interlinked,</w:t>
      </w:r>
      <w:r w:rsidR="003D640C">
        <w:t xml:space="preserve"> </w:t>
      </w:r>
      <w:r w:rsidRPr="00BB6220">
        <w:t>and</w:t>
      </w:r>
      <w:r w:rsidR="003D640C">
        <w:t xml:space="preserve"> </w:t>
      </w:r>
      <w:r w:rsidRPr="00BB6220">
        <w:lastRenderedPageBreak/>
        <w:t>it</w:t>
      </w:r>
      <w:r w:rsidR="003D640C">
        <w:t xml:space="preserve"> </w:t>
      </w:r>
      <w:r w:rsidRPr="00BB6220">
        <w:t>was</w:t>
      </w:r>
      <w:r w:rsidR="003D640C">
        <w:t xml:space="preserve"> </w:t>
      </w:r>
      <w:r w:rsidRPr="00BB6220">
        <w:t>bizarre</w:t>
      </w:r>
      <w:r w:rsidR="003D640C">
        <w:t xml:space="preserve"> </w:t>
      </w:r>
      <w:r w:rsidRPr="00BB6220">
        <w:t>but</w:t>
      </w:r>
      <w:r w:rsidR="003D640C">
        <w:t xml:space="preserve"> </w:t>
      </w:r>
      <w:r w:rsidRPr="00BB6220">
        <w:t>it</w:t>
      </w:r>
      <w:r w:rsidR="003D640C">
        <w:t xml:space="preserve"> </w:t>
      </w:r>
      <w:r w:rsidRPr="00BB6220">
        <w:t>didn’t</w:t>
      </w:r>
      <w:r w:rsidR="003D640C">
        <w:t xml:space="preserve"> </w:t>
      </w:r>
      <w:r w:rsidRPr="00BB6220">
        <w:t>feel</w:t>
      </w:r>
      <w:r w:rsidR="003D640C">
        <w:t xml:space="preserve"> </w:t>
      </w:r>
      <w:r w:rsidRPr="00BB6220">
        <w:t>like</w:t>
      </w:r>
      <w:r w:rsidR="003D640C">
        <w:t xml:space="preserve"> </w:t>
      </w:r>
      <w:r w:rsidRPr="00BB6220">
        <w:t>something</w:t>
      </w:r>
      <w:r w:rsidR="003D640C">
        <w:t xml:space="preserve"> </w:t>
      </w:r>
      <w:r w:rsidRPr="00BB6220">
        <w:t>I</w:t>
      </w:r>
      <w:r w:rsidR="003D640C">
        <w:t xml:space="preserve"> </w:t>
      </w:r>
      <w:r w:rsidRPr="00BB6220">
        <w:t>could</w:t>
      </w:r>
      <w:r w:rsidR="003D640C">
        <w:t xml:space="preserve"> </w:t>
      </w:r>
      <w:r w:rsidRPr="00BB6220">
        <w:t>say</w:t>
      </w:r>
      <w:r w:rsidR="003D640C">
        <w:t xml:space="preserve"> </w:t>
      </w:r>
      <w:r w:rsidRPr="00BB6220">
        <w:t>no</w:t>
      </w:r>
      <w:r w:rsidR="003D640C">
        <w:t xml:space="preserve"> </w:t>
      </w:r>
      <w:r w:rsidRPr="00BB6220">
        <w:t>to</w:t>
      </w:r>
      <w:r w:rsidR="003D640C">
        <w:t xml:space="preserve"> </w:t>
      </w:r>
      <w:r w:rsidR="00343284" w:rsidRPr="00BB6220">
        <w:t>it</w:t>
      </w:r>
      <w:r w:rsidRPr="00BB6220">
        <w:t>.</w:t>
      </w:r>
      <w:r w:rsidR="003D640C">
        <w:t xml:space="preserve"> </w:t>
      </w:r>
      <w:r w:rsidRPr="00BB6220">
        <w:t>At</w:t>
      </w:r>
      <w:r w:rsidR="003D640C">
        <w:t xml:space="preserve"> </w:t>
      </w:r>
      <w:r w:rsidRPr="00BB6220">
        <w:t>the</w:t>
      </w:r>
      <w:r w:rsidR="003D640C">
        <w:t xml:space="preserve"> </w:t>
      </w:r>
      <w:r w:rsidRPr="00BB6220">
        <w:t>time</w:t>
      </w:r>
      <w:r w:rsidR="003D640C">
        <w:t xml:space="preserve"> </w:t>
      </w:r>
      <w:r w:rsidRPr="00BB6220">
        <w:t>I</w:t>
      </w:r>
      <w:r w:rsidR="003D640C">
        <w:t xml:space="preserve"> </w:t>
      </w:r>
      <w:r w:rsidRPr="00BB6220">
        <w:t>was</w:t>
      </w:r>
      <w:r w:rsidR="003D640C">
        <w:t xml:space="preserve"> </w:t>
      </w:r>
      <w:r w:rsidRPr="00BB6220">
        <w:t>like</w:t>
      </w:r>
      <w:r w:rsidR="003D640C">
        <w:t xml:space="preserve"> </w:t>
      </w:r>
      <w:r w:rsidRPr="00BB6220">
        <w:t>completely</w:t>
      </w:r>
      <w:r w:rsidR="003D640C">
        <w:t xml:space="preserve"> </w:t>
      </w:r>
      <w:r w:rsidRPr="00BB6220">
        <w:t>depressed,</w:t>
      </w:r>
      <w:r w:rsidR="003D640C">
        <w:t xml:space="preserve"> </w:t>
      </w:r>
      <w:r w:rsidRPr="00BB6220">
        <w:t>and</w:t>
      </w:r>
      <w:r w:rsidR="003D640C">
        <w:t xml:space="preserve"> </w:t>
      </w:r>
      <w:r w:rsidRPr="00BB6220">
        <w:t>she</w:t>
      </w:r>
      <w:r w:rsidR="003D640C">
        <w:t xml:space="preserve"> </w:t>
      </w:r>
      <w:r w:rsidRPr="00BB6220">
        <w:t>was</w:t>
      </w:r>
      <w:r w:rsidR="003D640C">
        <w:t xml:space="preserve"> </w:t>
      </w:r>
      <w:r w:rsidRPr="00BB6220">
        <w:t>so</w:t>
      </w:r>
      <w:r w:rsidR="003D640C">
        <w:t xml:space="preserve"> </w:t>
      </w:r>
      <w:r w:rsidRPr="00BB6220">
        <w:t>loving</w:t>
      </w:r>
      <w:r w:rsidR="003D640C">
        <w:t xml:space="preserve"> </w:t>
      </w:r>
      <w:r w:rsidRPr="00BB6220">
        <w:t>and</w:t>
      </w:r>
      <w:r w:rsidR="003D640C">
        <w:t xml:space="preserve"> </w:t>
      </w:r>
      <w:r w:rsidRPr="00BB6220">
        <w:t>warm</w:t>
      </w:r>
      <w:r w:rsidR="003D640C">
        <w:t xml:space="preserve"> </w:t>
      </w:r>
      <w:r w:rsidRPr="00BB6220">
        <w:t>and</w:t>
      </w:r>
      <w:r w:rsidR="003D640C">
        <w:t xml:space="preserve"> </w:t>
      </w:r>
      <w:r w:rsidRPr="00BB6220">
        <w:t>I</w:t>
      </w:r>
      <w:r w:rsidR="003D640C">
        <w:t xml:space="preserve"> </w:t>
      </w:r>
      <w:r w:rsidRPr="00BB6220">
        <w:t>was</w:t>
      </w:r>
      <w:r w:rsidR="003D640C">
        <w:t xml:space="preserve"> </w:t>
      </w:r>
      <w:r w:rsidRPr="00BB6220">
        <w:t>completely</w:t>
      </w:r>
      <w:r w:rsidR="003D640C">
        <w:t xml:space="preserve"> </w:t>
      </w:r>
      <w:r w:rsidRPr="00BB6220">
        <w:t>taken</w:t>
      </w:r>
      <w:r w:rsidR="003D640C">
        <w:t xml:space="preserve"> </w:t>
      </w:r>
      <w:r w:rsidRPr="00BB6220">
        <w:t>in.</w:t>
      </w:r>
      <w:r w:rsidR="003D640C">
        <w:t xml:space="preserve"> </w:t>
      </w:r>
      <w:r w:rsidRPr="00BB6220">
        <w:t>This</w:t>
      </w:r>
      <w:r w:rsidR="003D640C">
        <w:t xml:space="preserve"> </w:t>
      </w:r>
      <w:r w:rsidRPr="00BB6220">
        <w:t>was</w:t>
      </w:r>
      <w:r w:rsidR="003D640C">
        <w:t xml:space="preserve"> </w:t>
      </w:r>
      <w:r w:rsidRPr="00BB6220">
        <w:t>deeply</w:t>
      </w:r>
      <w:r w:rsidR="003D640C">
        <w:t xml:space="preserve"> </w:t>
      </w:r>
      <w:r w:rsidRPr="00BB6220">
        <w:t>confusing</w:t>
      </w:r>
      <w:r w:rsidR="003D640C">
        <w:t xml:space="preserve"> </w:t>
      </w:r>
      <w:r w:rsidRPr="00BB6220">
        <w:t>and</w:t>
      </w:r>
      <w:r w:rsidR="003D640C">
        <w:t xml:space="preserve"> </w:t>
      </w:r>
      <w:r w:rsidRPr="00BB6220">
        <w:t>shaming</w:t>
      </w:r>
      <w:r w:rsidR="003D640C">
        <w:t xml:space="preserve"> </w:t>
      </w:r>
      <w:bookmarkStart w:id="320" w:name="_Int_Wj2C87bC"/>
      <w:r w:rsidRPr="00BB6220">
        <w:t>and</w:t>
      </w:r>
      <w:r w:rsidR="003D640C">
        <w:t xml:space="preserve"> </w:t>
      </w:r>
      <w:r w:rsidRPr="00BB6220">
        <w:t>also</w:t>
      </w:r>
      <w:bookmarkEnd w:id="320"/>
      <w:r w:rsidR="003D640C">
        <w:t xml:space="preserve"> </w:t>
      </w:r>
      <w:r w:rsidRPr="00BB6220">
        <w:t>prevented</w:t>
      </w:r>
      <w:r w:rsidR="003D640C">
        <w:t xml:space="preserve"> </w:t>
      </w:r>
      <w:r w:rsidRPr="00BB6220">
        <w:t>me</w:t>
      </w:r>
      <w:r w:rsidR="003D640C">
        <w:t xml:space="preserve"> </w:t>
      </w:r>
      <w:r w:rsidRPr="00BB6220">
        <w:t>from</w:t>
      </w:r>
      <w:r w:rsidR="003D640C">
        <w:t xml:space="preserve"> </w:t>
      </w:r>
      <w:r w:rsidRPr="00BB6220">
        <w:t>getting</w:t>
      </w:r>
      <w:r w:rsidR="003D640C">
        <w:t xml:space="preserve"> </w:t>
      </w:r>
      <w:r w:rsidRPr="00BB6220">
        <w:t>the</w:t>
      </w:r>
      <w:r w:rsidR="003D640C">
        <w:t xml:space="preserve"> </w:t>
      </w:r>
      <w:r w:rsidRPr="00BB6220">
        <w:t>support</w:t>
      </w:r>
      <w:r w:rsidR="003D640C">
        <w:t xml:space="preserve"> </w:t>
      </w:r>
      <w:r w:rsidRPr="00BB6220">
        <w:t>that</w:t>
      </w:r>
      <w:r w:rsidR="003D640C">
        <w:t xml:space="preserve"> </w:t>
      </w:r>
      <w:r w:rsidRPr="00BB6220">
        <w:t>I</w:t>
      </w:r>
      <w:r w:rsidR="003D640C">
        <w:t xml:space="preserve"> </w:t>
      </w:r>
      <w:r w:rsidRPr="00BB6220">
        <w:t>needed</w:t>
      </w:r>
      <w:r w:rsidR="003D640C">
        <w:t xml:space="preserve"> </w:t>
      </w:r>
      <w:r w:rsidRPr="00BB6220">
        <w:t>at</w:t>
      </w:r>
      <w:r w:rsidR="003D640C">
        <w:t xml:space="preserve"> </w:t>
      </w:r>
      <w:r w:rsidRPr="00BB6220">
        <w:t>the</w:t>
      </w:r>
      <w:r w:rsidR="003D640C">
        <w:t xml:space="preserve"> </w:t>
      </w:r>
      <w:r w:rsidRPr="00BB6220">
        <w:t>time.</w:t>
      </w:r>
      <w:r w:rsidR="003D640C">
        <w:t xml:space="preserve"> </w:t>
      </w:r>
      <w:r w:rsidRPr="00BB6220">
        <w:t>I</w:t>
      </w:r>
      <w:r w:rsidR="003D640C">
        <w:t xml:space="preserve"> </w:t>
      </w:r>
      <w:r w:rsidRPr="00BB6220">
        <w:t>went</w:t>
      </w:r>
      <w:r w:rsidR="003D640C">
        <w:t xml:space="preserve"> </w:t>
      </w:r>
      <w:r w:rsidRPr="00BB6220">
        <w:t>through</w:t>
      </w:r>
      <w:r w:rsidR="003D640C">
        <w:t xml:space="preserve"> </w:t>
      </w:r>
      <w:r w:rsidRPr="00BB6220">
        <w:t>major</w:t>
      </w:r>
      <w:r w:rsidR="003D640C">
        <w:t xml:space="preserve"> </w:t>
      </w:r>
      <w:r w:rsidRPr="00BB6220">
        <w:t>mental</w:t>
      </w:r>
      <w:r w:rsidR="003D640C">
        <w:t xml:space="preserve"> </w:t>
      </w:r>
      <w:r w:rsidRPr="00BB6220">
        <w:t>distress</w:t>
      </w:r>
      <w:r w:rsidR="003D640C">
        <w:t xml:space="preserve"> </w:t>
      </w:r>
      <w:r w:rsidRPr="00BB6220">
        <w:t>and</w:t>
      </w:r>
      <w:r w:rsidR="003D640C">
        <w:t xml:space="preserve"> </w:t>
      </w:r>
      <w:r w:rsidRPr="00BB6220">
        <w:t>suicidality</w:t>
      </w:r>
      <w:r w:rsidR="003D640C">
        <w:t xml:space="preserve"> </w:t>
      </w:r>
      <w:r w:rsidRPr="00BB6220">
        <w:t>because</w:t>
      </w:r>
      <w:r w:rsidR="003D640C">
        <w:t xml:space="preserve"> </w:t>
      </w:r>
      <w:r w:rsidRPr="00BB6220">
        <w:t>obviously</w:t>
      </w:r>
      <w:r w:rsidR="003D640C">
        <w:t xml:space="preserve"> </w:t>
      </w:r>
      <w:r w:rsidRPr="00BB6220">
        <w:t>what</w:t>
      </w:r>
      <w:r w:rsidR="003D640C">
        <w:t xml:space="preserve"> </w:t>
      </w:r>
      <w:r w:rsidRPr="00BB6220">
        <w:t>she</w:t>
      </w:r>
      <w:r w:rsidR="003D640C">
        <w:t xml:space="preserve"> </w:t>
      </w:r>
      <w:r w:rsidRPr="00BB6220">
        <w:t>was</w:t>
      </w:r>
      <w:r w:rsidR="003D640C">
        <w:t xml:space="preserve"> </w:t>
      </w:r>
      <w:r w:rsidRPr="00BB6220">
        <w:t>doing</w:t>
      </w:r>
      <w:r w:rsidR="003D640C">
        <w:t xml:space="preserve"> </w:t>
      </w:r>
      <w:r w:rsidRPr="00BB6220">
        <w:t>was</w:t>
      </w:r>
      <w:r w:rsidR="003D640C">
        <w:t xml:space="preserve"> </w:t>
      </w:r>
      <w:r w:rsidRPr="00BB6220">
        <w:t>making</w:t>
      </w:r>
      <w:r w:rsidR="003D640C">
        <w:t xml:space="preserve"> </w:t>
      </w:r>
      <w:r w:rsidRPr="00BB6220">
        <w:t>everything</w:t>
      </w:r>
      <w:r w:rsidR="003D640C">
        <w:t xml:space="preserve"> </w:t>
      </w:r>
      <w:r w:rsidRPr="00BB6220">
        <w:t>worse.”</w:t>
      </w:r>
      <w:r w:rsidR="003D640C">
        <w:t xml:space="preserve"> </w:t>
      </w:r>
      <w:r w:rsidR="004503FC" w:rsidRPr="00BB6220">
        <w:t>Pasifika</w:t>
      </w:r>
      <w:r w:rsidR="00195C7A" w:rsidRPr="00BB6220">
        <w:t>,</w:t>
      </w:r>
      <w:r w:rsidR="003D640C">
        <w:t xml:space="preserve"> </w:t>
      </w:r>
      <w:r w:rsidR="00EF5F1B" w:rsidRPr="00BB6220">
        <w:t>n</w:t>
      </w:r>
      <w:r w:rsidR="00195C7A" w:rsidRPr="00BB6220">
        <w:t>on-binary</w:t>
      </w:r>
    </w:p>
    <w:p w14:paraId="42A71AA3" w14:textId="0CA4D4C4" w:rsidR="00A60614" w:rsidRPr="00BB6220" w:rsidRDefault="00D10DF5" w:rsidP="002C6363">
      <w:pPr>
        <w:pStyle w:val="Heading3"/>
      </w:pPr>
      <w:bookmarkStart w:id="321" w:name="_Toc167780629"/>
      <w:bookmarkStart w:id="322" w:name="_Toc2139252647"/>
      <w:bookmarkStart w:id="323" w:name="_Toc174628689"/>
      <w:r w:rsidRPr="00BB6220">
        <w:t>Preventi</w:t>
      </w:r>
      <w:r w:rsidR="001C000F" w:rsidRPr="00BB6220">
        <w:t>on</w:t>
      </w:r>
      <w:r w:rsidR="003D640C">
        <w:t xml:space="preserve"> </w:t>
      </w:r>
      <w:r w:rsidR="001C000F" w:rsidRPr="00BB6220">
        <w:t>of</w:t>
      </w:r>
      <w:r w:rsidR="003D640C">
        <w:t xml:space="preserve"> </w:t>
      </w:r>
      <w:r w:rsidR="00107692">
        <w:t>gender</w:t>
      </w:r>
      <w:r w:rsidR="003D640C">
        <w:t xml:space="preserve"> </w:t>
      </w:r>
      <w:r w:rsidR="00107692">
        <w:t>identity-based</w:t>
      </w:r>
      <w:r w:rsidR="003D640C">
        <w:t xml:space="preserve"> </w:t>
      </w:r>
      <w:r w:rsidRPr="00BB6220">
        <w:t>conversion</w:t>
      </w:r>
      <w:r w:rsidR="003D640C">
        <w:t xml:space="preserve"> </w:t>
      </w:r>
      <w:r w:rsidRPr="00BB6220">
        <w:t>practices</w:t>
      </w:r>
      <w:bookmarkEnd w:id="321"/>
      <w:bookmarkEnd w:id="322"/>
      <w:bookmarkEnd w:id="323"/>
    </w:p>
    <w:p w14:paraId="151D28C4" w14:textId="149C5B9D" w:rsidR="00501068" w:rsidRDefault="00A10E7E" w:rsidP="001507A0">
      <w:pPr>
        <w:spacing w:after="0" w:line="240" w:lineRule="auto"/>
        <w:textAlignment w:val="baseline"/>
        <w:rPr>
          <w:rFonts w:ascii="Segoe UI" w:eastAsia="Times New Roman" w:hAnsi="Segoe UI" w:cs="Segoe UI"/>
          <w:sz w:val="18"/>
          <w:szCs w:val="18"/>
          <w:lang w:eastAsia="en-NZ"/>
        </w:rPr>
      </w:pPr>
      <w:r w:rsidRPr="00BB6220">
        <w:rPr>
          <w:rFonts w:ascii="Calibri" w:eastAsia="Times New Roman" w:hAnsi="Calibri" w:cs="Calibri"/>
          <w:lang w:eastAsia="en-NZ"/>
        </w:rPr>
        <w:t>Trans</w:t>
      </w:r>
      <w:r w:rsidR="003D640C">
        <w:rPr>
          <w:rFonts w:ascii="Calibri" w:eastAsia="Times New Roman" w:hAnsi="Calibri" w:cs="Calibri"/>
          <w:lang w:eastAsia="en-NZ"/>
        </w:rPr>
        <w:t xml:space="preserve"> </w:t>
      </w:r>
      <w:r w:rsidRPr="00BB6220">
        <w:rPr>
          <w:rFonts w:ascii="Calibri" w:eastAsia="Times New Roman" w:hAnsi="Calibri" w:cs="Calibri"/>
          <w:lang w:eastAsia="en-NZ"/>
        </w:rPr>
        <w:t>people</w:t>
      </w:r>
      <w:r w:rsidR="003D640C">
        <w:rPr>
          <w:rFonts w:ascii="Calibri" w:eastAsia="Times New Roman" w:hAnsi="Calibri" w:cs="Calibri"/>
          <w:lang w:eastAsia="en-NZ"/>
        </w:rPr>
        <w:t xml:space="preserve"> </w:t>
      </w:r>
      <w:r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same</w:t>
      </w:r>
      <w:r w:rsidR="003D640C">
        <w:rPr>
          <w:rFonts w:ascii="Calibri" w:eastAsia="Times New Roman" w:hAnsi="Calibri" w:cs="Calibri"/>
          <w:lang w:eastAsia="en-NZ"/>
        </w:rPr>
        <w:t xml:space="preserve"> </w:t>
      </w:r>
      <w:r w:rsidRPr="00BB6220">
        <w:rPr>
          <w:rFonts w:ascii="Calibri" w:eastAsia="Times New Roman" w:hAnsi="Calibri" w:cs="Calibri"/>
          <w:lang w:eastAsia="en-NZ"/>
        </w:rPr>
        <w:t>potential</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live</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healthy</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flourishing</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lives</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as</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everyone</w:t>
      </w:r>
      <w:r w:rsidR="003D640C">
        <w:rPr>
          <w:rFonts w:ascii="Calibri" w:eastAsia="Times New Roman" w:hAnsi="Calibri" w:cs="Calibri"/>
          <w:lang w:eastAsia="en-NZ"/>
        </w:rPr>
        <w:t xml:space="preserve"> </w:t>
      </w:r>
      <w:r w:rsidR="00CE2D99" w:rsidRPr="00BB6220">
        <w:rPr>
          <w:rFonts w:ascii="Calibri" w:eastAsia="Times New Roman" w:hAnsi="Calibri" w:cs="Calibri"/>
          <w:lang w:eastAsia="en-NZ"/>
        </w:rPr>
        <w:t>else.</w:t>
      </w:r>
      <w:r w:rsidR="003D640C">
        <w:rPr>
          <w:rFonts w:ascii="Calibri" w:eastAsia="Times New Roman" w:hAnsi="Calibri" w:cs="Calibri"/>
          <w:lang w:eastAsia="en-NZ"/>
        </w:rPr>
        <w:t xml:space="preserve"> </w:t>
      </w:r>
      <w:r w:rsidR="006256B2" w:rsidRPr="00BB6220">
        <w:rPr>
          <w:rFonts w:ascii="Calibri" w:eastAsia="Times New Roman" w:hAnsi="Calibri" w:cs="Calibri"/>
          <w:lang w:eastAsia="en-NZ"/>
        </w:rPr>
        <w:t>However,</w:t>
      </w:r>
      <w:r w:rsidR="003D640C">
        <w:rPr>
          <w:rFonts w:ascii="Calibri" w:eastAsia="Times New Roman" w:hAnsi="Calibri" w:cs="Calibri"/>
          <w:lang w:eastAsia="en-NZ"/>
        </w:rPr>
        <w:t xml:space="preserve"> </w:t>
      </w:r>
      <w:r w:rsidR="006256B2" w:rsidRPr="00BB6220">
        <w:rPr>
          <w:rFonts w:ascii="Calibri" w:eastAsia="Times New Roman" w:hAnsi="Calibri" w:cs="Calibri"/>
          <w:lang w:eastAsia="en-NZ"/>
        </w:rPr>
        <w:t>e</w:t>
      </w:r>
      <w:r w:rsidR="001507A0" w:rsidRPr="00BB6220">
        <w:rPr>
          <w:rFonts w:ascii="Calibri" w:eastAsia="Times New Roman" w:hAnsi="Calibri" w:cs="Calibri"/>
          <w:lang w:eastAsia="en-NZ"/>
        </w:rPr>
        <w:t>vidence</w:t>
      </w:r>
      <w:r w:rsidR="003D640C">
        <w:rPr>
          <w:rFonts w:ascii="Calibri" w:eastAsia="Times New Roman" w:hAnsi="Calibri" w:cs="Calibri"/>
          <w:lang w:eastAsia="en-NZ"/>
        </w:rPr>
        <w:t xml:space="preserve"> </w:t>
      </w:r>
      <w:r w:rsidR="006256B2" w:rsidRPr="00BB6220">
        <w:rPr>
          <w:rFonts w:ascii="Calibri" w:eastAsia="Times New Roman" w:hAnsi="Calibri" w:cs="Calibri"/>
          <w:lang w:eastAsia="en-NZ"/>
        </w:rPr>
        <w:t>shows</w:t>
      </w:r>
      <w:r w:rsidR="003D640C">
        <w:rPr>
          <w:rFonts w:ascii="Calibri" w:eastAsia="Times New Roman" w:hAnsi="Calibri" w:cs="Calibri"/>
          <w:lang w:eastAsia="en-NZ"/>
        </w:rPr>
        <w:t xml:space="preserve"> </w:t>
      </w:r>
      <w:r w:rsidR="006256B2" w:rsidRPr="00BB6220">
        <w:rPr>
          <w:rFonts w:ascii="Calibri" w:eastAsia="Times New Roman" w:hAnsi="Calibri" w:cs="Calibri"/>
          <w:lang w:eastAsia="en-NZ"/>
        </w:rPr>
        <w:t>that</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stigma</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discrimination</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towards</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transgender</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people</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drive</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negative</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outcomes.</w:t>
      </w:r>
      <w:r w:rsidR="000C59C1" w:rsidRPr="00BB6220">
        <w:rPr>
          <w:rStyle w:val="FootnoteReference"/>
          <w:rFonts w:ascii="Calibri" w:eastAsia="Times New Roman" w:hAnsi="Calibri" w:cs="Calibri"/>
          <w:lang w:eastAsia="en-NZ"/>
        </w:rPr>
        <w:footnoteReference w:id="251"/>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Focusing</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on</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increasing</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understanding</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transgender</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non-binary</w:t>
      </w:r>
      <w:r w:rsidR="003D640C">
        <w:rPr>
          <w:rFonts w:ascii="Calibri" w:eastAsia="Times New Roman" w:hAnsi="Calibri" w:cs="Calibri"/>
          <w:lang w:eastAsia="en-NZ"/>
        </w:rPr>
        <w:t xml:space="preserve"> </w:t>
      </w:r>
      <w:r w:rsidR="006256B2" w:rsidRPr="00BB6220">
        <w:rPr>
          <w:rFonts w:ascii="Calibri" w:eastAsia="Times New Roman" w:hAnsi="Calibri" w:cs="Calibri"/>
          <w:lang w:eastAsia="en-NZ"/>
        </w:rPr>
        <w:t>people</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will</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help</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counter</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disinformation</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particularly</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aggressive</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rhetoric</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underpinned</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by</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conversion</w:t>
      </w:r>
      <w:r w:rsidR="003D640C">
        <w:rPr>
          <w:rFonts w:ascii="Calibri" w:eastAsia="Times New Roman" w:hAnsi="Calibri" w:cs="Calibri"/>
          <w:lang w:eastAsia="en-NZ"/>
        </w:rPr>
        <w:t xml:space="preserve"> </w:t>
      </w:r>
      <w:r w:rsidR="001507A0" w:rsidRPr="00BB6220">
        <w:rPr>
          <w:rFonts w:ascii="Calibri" w:eastAsia="Times New Roman" w:hAnsi="Calibri" w:cs="Calibri"/>
          <w:lang w:eastAsia="en-NZ"/>
        </w:rPr>
        <w:t>ideology.</w:t>
      </w:r>
      <w:r w:rsidR="003D640C">
        <w:rPr>
          <w:rFonts w:ascii="Calibri" w:eastAsia="Times New Roman" w:hAnsi="Calibri" w:cs="Calibri"/>
          <w:lang w:eastAsia="en-NZ"/>
        </w:rPr>
        <w:t xml:space="preserve"> </w:t>
      </w:r>
    </w:p>
    <w:p w14:paraId="792440C6" w14:textId="7AA00A02" w:rsidR="00B354D8" w:rsidRPr="00BB6220" w:rsidRDefault="009C6F47" w:rsidP="002E6693">
      <w:pPr>
        <w:rPr>
          <w:lang w:eastAsia="en-NZ"/>
        </w:rPr>
      </w:pPr>
      <w:r w:rsidRPr="00B1465F">
        <w:rPr>
          <w:lang w:eastAsia="en-NZ"/>
        </w:rPr>
        <w:t>Preventing</w:t>
      </w:r>
      <w:r w:rsidR="003D640C">
        <w:rPr>
          <w:lang w:eastAsia="en-NZ"/>
        </w:rPr>
        <w:t xml:space="preserve"> </w:t>
      </w:r>
      <w:r w:rsidRPr="00B1465F">
        <w:rPr>
          <w:lang w:eastAsia="en-NZ"/>
        </w:rPr>
        <w:t>conversion</w:t>
      </w:r>
      <w:r w:rsidR="003D640C">
        <w:rPr>
          <w:lang w:eastAsia="en-NZ"/>
        </w:rPr>
        <w:t xml:space="preserve"> </w:t>
      </w:r>
      <w:r w:rsidRPr="00B1465F">
        <w:rPr>
          <w:lang w:eastAsia="en-NZ"/>
        </w:rPr>
        <w:t>practices</w:t>
      </w:r>
      <w:r w:rsidR="003D640C">
        <w:rPr>
          <w:lang w:eastAsia="en-NZ"/>
        </w:rPr>
        <w:t xml:space="preserve"> </w:t>
      </w:r>
      <w:r w:rsidRPr="00B1465F">
        <w:rPr>
          <w:lang w:eastAsia="en-NZ"/>
        </w:rPr>
        <w:t>for</w:t>
      </w:r>
      <w:r w:rsidR="003D640C">
        <w:rPr>
          <w:lang w:eastAsia="en-NZ"/>
        </w:rPr>
        <w:t xml:space="preserve"> </w:t>
      </w:r>
      <w:r w:rsidRPr="00B1465F">
        <w:rPr>
          <w:lang w:eastAsia="en-NZ"/>
        </w:rPr>
        <w:t>transgender</w:t>
      </w:r>
      <w:r w:rsidR="003D640C">
        <w:rPr>
          <w:lang w:eastAsia="en-NZ"/>
        </w:rPr>
        <w:t xml:space="preserve"> </w:t>
      </w:r>
      <w:r w:rsidRPr="00B1465F">
        <w:rPr>
          <w:lang w:eastAsia="en-NZ"/>
        </w:rPr>
        <w:t>people</w:t>
      </w:r>
      <w:r w:rsidR="003D640C">
        <w:rPr>
          <w:lang w:eastAsia="en-NZ"/>
        </w:rPr>
        <w:t xml:space="preserve"> </w:t>
      </w:r>
      <w:r w:rsidRPr="00B1465F">
        <w:rPr>
          <w:lang w:eastAsia="en-NZ"/>
        </w:rPr>
        <w:t>is</w:t>
      </w:r>
      <w:r w:rsidR="003D640C">
        <w:rPr>
          <w:lang w:eastAsia="en-NZ"/>
        </w:rPr>
        <w:t xml:space="preserve"> </w:t>
      </w:r>
      <w:r w:rsidRPr="00B1465F">
        <w:rPr>
          <w:lang w:eastAsia="en-NZ"/>
        </w:rPr>
        <w:t>necessary</w:t>
      </w:r>
      <w:r w:rsidR="003D640C">
        <w:rPr>
          <w:lang w:eastAsia="en-NZ"/>
        </w:rPr>
        <w:t xml:space="preserve"> </w:t>
      </w:r>
      <w:r w:rsidRPr="00B1465F">
        <w:rPr>
          <w:lang w:eastAsia="en-NZ"/>
        </w:rPr>
        <w:t>to</w:t>
      </w:r>
      <w:r w:rsidR="003D640C">
        <w:rPr>
          <w:lang w:eastAsia="en-NZ"/>
        </w:rPr>
        <w:t xml:space="preserve"> </w:t>
      </w:r>
      <w:r w:rsidRPr="00B1465F">
        <w:rPr>
          <w:lang w:eastAsia="en-NZ"/>
        </w:rPr>
        <w:t>uphold</w:t>
      </w:r>
      <w:r w:rsidR="003D640C">
        <w:rPr>
          <w:lang w:eastAsia="en-NZ"/>
        </w:rPr>
        <w:t xml:space="preserve"> </w:t>
      </w:r>
      <w:r w:rsidRPr="00B1465F">
        <w:rPr>
          <w:lang w:eastAsia="en-NZ"/>
        </w:rPr>
        <w:t>their</w:t>
      </w:r>
      <w:r w:rsidR="003D640C">
        <w:rPr>
          <w:lang w:eastAsia="en-NZ"/>
        </w:rPr>
        <w:t xml:space="preserve"> </w:t>
      </w:r>
      <w:r w:rsidRPr="00B1465F">
        <w:rPr>
          <w:lang w:eastAsia="en-NZ"/>
        </w:rPr>
        <w:t>right</w:t>
      </w:r>
      <w:r w:rsidR="003D640C">
        <w:rPr>
          <w:lang w:eastAsia="en-NZ"/>
        </w:rPr>
        <w:t xml:space="preserve"> </w:t>
      </w:r>
      <w:r w:rsidRPr="00B1465F">
        <w:rPr>
          <w:lang w:eastAsia="en-NZ"/>
        </w:rPr>
        <w:t>to</w:t>
      </w:r>
      <w:r w:rsidR="003D640C">
        <w:rPr>
          <w:lang w:eastAsia="en-NZ"/>
        </w:rPr>
        <w:t xml:space="preserve"> </w:t>
      </w:r>
      <w:r w:rsidRPr="00B1465F">
        <w:rPr>
          <w:lang w:eastAsia="en-NZ"/>
        </w:rPr>
        <w:t>live</w:t>
      </w:r>
      <w:r w:rsidR="003D640C">
        <w:rPr>
          <w:lang w:eastAsia="en-NZ"/>
        </w:rPr>
        <w:t xml:space="preserve"> </w:t>
      </w:r>
      <w:r w:rsidRPr="00B1465F">
        <w:rPr>
          <w:lang w:eastAsia="en-NZ"/>
        </w:rPr>
        <w:t>free</w:t>
      </w:r>
      <w:r w:rsidR="003D640C">
        <w:rPr>
          <w:lang w:eastAsia="en-NZ"/>
        </w:rPr>
        <w:t xml:space="preserve"> </w:t>
      </w:r>
      <w:r w:rsidRPr="00B1465F">
        <w:rPr>
          <w:lang w:eastAsia="en-NZ"/>
        </w:rPr>
        <w:t>from</w:t>
      </w:r>
      <w:r w:rsidR="003D640C">
        <w:rPr>
          <w:lang w:eastAsia="en-NZ"/>
        </w:rPr>
        <w:t xml:space="preserve"> </w:t>
      </w:r>
      <w:r w:rsidRPr="00B1465F">
        <w:rPr>
          <w:lang w:eastAsia="en-NZ"/>
        </w:rPr>
        <w:t>discrimination.</w:t>
      </w:r>
      <w:r w:rsidR="003D640C">
        <w:rPr>
          <w:lang w:eastAsia="en-NZ"/>
        </w:rPr>
        <w:t xml:space="preserve"> </w:t>
      </w:r>
      <w:r w:rsidRPr="00B1465F">
        <w:rPr>
          <w:lang w:eastAsia="en-NZ"/>
        </w:rPr>
        <w:t>Support</w:t>
      </w:r>
      <w:r w:rsidR="003D640C">
        <w:rPr>
          <w:lang w:eastAsia="en-NZ"/>
        </w:rPr>
        <w:t xml:space="preserve"> </w:t>
      </w:r>
      <w:r w:rsidRPr="00B1465F">
        <w:rPr>
          <w:lang w:eastAsia="en-NZ"/>
        </w:rPr>
        <w:t>and</w:t>
      </w:r>
      <w:r w:rsidR="003D640C">
        <w:rPr>
          <w:lang w:eastAsia="en-NZ"/>
        </w:rPr>
        <w:t xml:space="preserve"> </w:t>
      </w:r>
      <w:r w:rsidRPr="00B1465F">
        <w:rPr>
          <w:lang w:eastAsia="en-NZ"/>
        </w:rPr>
        <w:t>education</w:t>
      </w:r>
      <w:r w:rsidR="003D640C">
        <w:rPr>
          <w:lang w:eastAsia="en-NZ"/>
        </w:rPr>
        <w:t xml:space="preserve"> </w:t>
      </w:r>
      <w:r w:rsidR="00C47BCA">
        <w:rPr>
          <w:lang w:eastAsia="en-NZ"/>
        </w:rPr>
        <w:t xml:space="preserve">is required </w:t>
      </w:r>
      <w:r w:rsidRPr="00B1465F">
        <w:rPr>
          <w:lang w:eastAsia="en-NZ"/>
        </w:rPr>
        <w:t>for</w:t>
      </w:r>
      <w:r w:rsidR="003D640C">
        <w:rPr>
          <w:lang w:eastAsia="en-NZ"/>
        </w:rPr>
        <w:t xml:space="preserve"> </w:t>
      </w:r>
      <w:r w:rsidRPr="00BE31D6">
        <w:rPr>
          <w:lang w:eastAsia="en-NZ"/>
        </w:rPr>
        <w:t>families</w:t>
      </w:r>
      <w:r w:rsidR="003D640C">
        <w:rPr>
          <w:lang w:eastAsia="en-NZ"/>
        </w:rPr>
        <w:t xml:space="preserve"> </w:t>
      </w:r>
      <w:r w:rsidRPr="06A347F6">
        <w:rPr>
          <w:lang w:eastAsia="en-NZ"/>
        </w:rPr>
        <w:t>around</w:t>
      </w:r>
      <w:r w:rsidR="003D640C">
        <w:rPr>
          <w:lang w:eastAsia="en-NZ"/>
        </w:rPr>
        <w:t xml:space="preserve"> </w:t>
      </w:r>
      <w:r w:rsidRPr="06A347F6">
        <w:rPr>
          <w:lang w:eastAsia="en-NZ"/>
        </w:rPr>
        <w:t>the</w:t>
      </w:r>
      <w:r w:rsidR="003D640C">
        <w:rPr>
          <w:lang w:eastAsia="en-NZ"/>
        </w:rPr>
        <w:t xml:space="preserve"> </w:t>
      </w:r>
      <w:r w:rsidRPr="06A347F6">
        <w:rPr>
          <w:lang w:eastAsia="en-NZ"/>
        </w:rPr>
        <w:t>negative</w:t>
      </w:r>
      <w:r w:rsidR="003D640C">
        <w:rPr>
          <w:lang w:eastAsia="en-NZ"/>
        </w:rPr>
        <w:t xml:space="preserve"> </w:t>
      </w:r>
      <w:r w:rsidRPr="06A347F6">
        <w:rPr>
          <w:lang w:eastAsia="en-NZ"/>
        </w:rPr>
        <w:t>impacts</w:t>
      </w:r>
      <w:r w:rsidR="003D640C">
        <w:rPr>
          <w:lang w:eastAsia="en-NZ"/>
        </w:rPr>
        <w:t xml:space="preserve"> </w:t>
      </w:r>
      <w:r w:rsidRPr="06A347F6">
        <w:rPr>
          <w:lang w:eastAsia="en-NZ"/>
        </w:rPr>
        <w:t>of</w:t>
      </w:r>
      <w:r w:rsidR="003D640C">
        <w:rPr>
          <w:lang w:eastAsia="en-NZ"/>
        </w:rPr>
        <w:t xml:space="preserve"> </w:t>
      </w:r>
      <w:r w:rsidRPr="06A347F6">
        <w:rPr>
          <w:lang w:eastAsia="en-NZ"/>
        </w:rPr>
        <w:t>family</w:t>
      </w:r>
      <w:r w:rsidR="003D640C">
        <w:rPr>
          <w:lang w:eastAsia="en-NZ"/>
        </w:rPr>
        <w:t xml:space="preserve"> </w:t>
      </w:r>
      <w:r w:rsidRPr="06A347F6">
        <w:rPr>
          <w:lang w:eastAsia="en-NZ"/>
        </w:rPr>
        <w:t>and</w:t>
      </w:r>
      <w:r w:rsidR="003D640C">
        <w:rPr>
          <w:lang w:eastAsia="en-NZ"/>
        </w:rPr>
        <w:t xml:space="preserve"> </w:t>
      </w:r>
      <w:r w:rsidRPr="06A347F6">
        <w:rPr>
          <w:lang w:eastAsia="en-NZ"/>
        </w:rPr>
        <w:t>social</w:t>
      </w:r>
      <w:r w:rsidR="003D640C">
        <w:rPr>
          <w:lang w:eastAsia="en-NZ"/>
        </w:rPr>
        <w:t xml:space="preserve"> </w:t>
      </w:r>
      <w:r w:rsidRPr="06A347F6">
        <w:rPr>
          <w:lang w:eastAsia="en-NZ"/>
        </w:rPr>
        <w:t>rejection</w:t>
      </w:r>
      <w:r w:rsidR="009F5F5B">
        <w:rPr>
          <w:lang w:eastAsia="en-NZ"/>
        </w:rPr>
        <w:t>,</w:t>
      </w:r>
      <w:r w:rsidR="003D640C">
        <w:rPr>
          <w:lang w:eastAsia="en-NZ"/>
        </w:rPr>
        <w:t xml:space="preserve"> </w:t>
      </w:r>
      <w:r w:rsidRPr="06A347F6">
        <w:rPr>
          <w:lang w:eastAsia="en-NZ"/>
        </w:rPr>
        <w:t>and</w:t>
      </w:r>
      <w:r w:rsidR="003D640C">
        <w:rPr>
          <w:lang w:eastAsia="en-NZ"/>
        </w:rPr>
        <w:t xml:space="preserve"> </w:t>
      </w:r>
      <w:r w:rsidRPr="06A347F6">
        <w:rPr>
          <w:lang w:eastAsia="en-NZ"/>
        </w:rPr>
        <w:t>how</w:t>
      </w:r>
      <w:r w:rsidR="003D640C">
        <w:rPr>
          <w:lang w:eastAsia="en-NZ"/>
        </w:rPr>
        <w:t xml:space="preserve"> </w:t>
      </w:r>
      <w:r w:rsidRPr="06A347F6">
        <w:rPr>
          <w:lang w:eastAsia="en-NZ"/>
        </w:rPr>
        <w:t>to</w:t>
      </w:r>
      <w:r w:rsidR="003D640C">
        <w:rPr>
          <w:lang w:eastAsia="en-NZ"/>
        </w:rPr>
        <w:t xml:space="preserve"> </w:t>
      </w:r>
      <w:r w:rsidRPr="06A347F6">
        <w:rPr>
          <w:lang w:eastAsia="en-NZ"/>
        </w:rPr>
        <w:t>reconcile</w:t>
      </w:r>
      <w:r w:rsidR="003D640C">
        <w:rPr>
          <w:lang w:eastAsia="en-NZ"/>
        </w:rPr>
        <w:t xml:space="preserve"> </w:t>
      </w:r>
      <w:r w:rsidRPr="06A347F6">
        <w:rPr>
          <w:lang w:eastAsia="en-NZ"/>
        </w:rPr>
        <w:t>religion</w:t>
      </w:r>
      <w:r w:rsidR="003D640C">
        <w:rPr>
          <w:lang w:eastAsia="en-NZ"/>
        </w:rPr>
        <w:t xml:space="preserve"> </w:t>
      </w:r>
      <w:r w:rsidRPr="06A347F6">
        <w:rPr>
          <w:lang w:eastAsia="en-NZ"/>
        </w:rPr>
        <w:t>and</w:t>
      </w:r>
      <w:r w:rsidR="003D640C">
        <w:rPr>
          <w:lang w:eastAsia="en-NZ"/>
        </w:rPr>
        <w:t xml:space="preserve"> </w:t>
      </w:r>
      <w:r>
        <w:rPr>
          <w:lang w:eastAsia="en-NZ"/>
        </w:rPr>
        <w:t>Rainbow</w:t>
      </w:r>
      <w:r w:rsidR="003D640C">
        <w:rPr>
          <w:lang w:eastAsia="en-NZ"/>
        </w:rPr>
        <w:t xml:space="preserve"> </w:t>
      </w:r>
      <w:r w:rsidRPr="06A347F6">
        <w:rPr>
          <w:lang w:eastAsia="en-NZ"/>
        </w:rPr>
        <w:t>identities</w:t>
      </w:r>
      <w:r w:rsidR="00D10DF5" w:rsidRPr="00BB6220">
        <w:rPr>
          <w:lang w:eastAsia="en-NZ"/>
        </w:rPr>
        <w:t>.</w:t>
      </w:r>
      <w:r w:rsidR="003D640C">
        <w:rPr>
          <w:lang w:eastAsia="en-NZ"/>
        </w:rPr>
        <w:t xml:space="preserve"> </w:t>
      </w:r>
      <w:r w:rsidR="4D1AF14B" w:rsidRPr="5E09B617">
        <w:rPr>
          <w:lang w:eastAsia="en-NZ"/>
        </w:rPr>
        <w:t>Education</w:t>
      </w:r>
      <w:r w:rsidR="4D1AF14B" w:rsidRPr="42A1283E">
        <w:rPr>
          <w:lang w:eastAsia="en-NZ"/>
        </w:rPr>
        <w:t xml:space="preserve"> and training</w:t>
      </w:r>
      <w:r w:rsidR="4D1AF14B" w:rsidRPr="5E09B617">
        <w:rPr>
          <w:lang w:eastAsia="en-NZ"/>
        </w:rPr>
        <w:t xml:space="preserve"> for medical and health practitioners </w:t>
      </w:r>
      <w:r w:rsidR="4D1AF14B" w:rsidRPr="3731A0D9">
        <w:rPr>
          <w:lang w:eastAsia="en-NZ"/>
        </w:rPr>
        <w:t>is also important.</w:t>
      </w:r>
    </w:p>
    <w:p w14:paraId="298AE244" w14:textId="77777777" w:rsidR="00501068" w:rsidRDefault="00BA0612" w:rsidP="00501068">
      <w:pPr>
        <w:pStyle w:val="Heading2"/>
      </w:pPr>
      <w:bookmarkStart w:id="324" w:name="_Toc167780630"/>
      <w:bookmarkStart w:id="325" w:name="_Toc1893459562"/>
      <w:bookmarkStart w:id="326" w:name="_Toc174628690"/>
      <w:r>
        <w:t>Disable</w:t>
      </w:r>
      <w:r w:rsidR="007C2114">
        <w:t>d</w:t>
      </w:r>
      <w:r w:rsidR="003D640C">
        <w:t xml:space="preserve"> </w:t>
      </w:r>
      <w:r>
        <w:t>people</w:t>
      </w:r>
      <w:r w:rsidR="00D9156D">
        <w:t>’</w:t>
      </w:r>
      <w:r>
        <w:t>s</w:t>
      </w:r>
      <w:r w:rsidR="003D640C">
        <w:t xml:space="preserve"> </w:t>
      </w:r>
      <w:r>
        <w:t>experiences</w:t>
      </w:r>
      <w:r w:rsidR="003D640C">
        <w:t xml:space="preserve"> </w:t>
      </w:r>
      <w:r>
        <w:t>of</w:t>
      </w:r>
      <w:r w:rsidR="003D640C">
        <w:t xml:space="preserve"> </w:t>
      </w:r>
      <w:r>
        <w:t>c</w:t>
      </w:r>
      <w:r w:rsidR="00B354D8" w:rsidRPr="00BB6220">
        <w:t>onversion</w:t>
      </w:r>
      <w:r w:rsidR="003D640C">
        <w:t xml:space="preserve"> </w:t>
      </w:r>
      <w:r w:rsidR="00B354D8" w:rsidRPr="00BB6220">
        <w:t>practices</w:t>
      </w:r>
      <w:bookmarkEnd w:id="324"/>
      <w:bookmarkEnd w:id="325"/>
      <w:bookmarkEnd w:id="326"/>
      <w:r w:rsidR="003D640C">
        <w:t xml:space="preserve"> </w:t>
      </w:r>
    </w:p>
    <w:p w14:paraId="439466ED" w14:textId="7A4B3654" w:rsidR="00AB0BD0" w:rsidRDefault="00A31764" w:rsidP="002E6693">
      <w:pPr>
        <w:rPr>
          <w:lang w:eastAsia="en-NZ"/>
        </w:rPr>
      </w:pPr>
      <w:r w:rsidRPr="00A31764">
        <w:t>Ableism</w:t>
      </w:r>
      <w:r w:rsidR="003D640C">
        <w:t xml:space="preserve"> </w:t>
      </w:r>
      <w:r w:rsidRPr="00A31764">
        <w:t>is</w:t>
      </w:r>
      <w:r w:rsidR="003D640C">
        <w:t xml:space="preserve"> </w:t>
      </w:r>
      <w:r w:rsidR="00C47BCA">
        <w:t>“</w:t>
      </w:r>
      <w:r w:rsidRPr="00A31764">
        <w:t>a</w:t>
      </w:r>
      <w:r w:rsidR="003D640C">
        <w:t xml:space="preserve"> </w:t>
      </w:r>
      <w:r w:rsidRPr="00A31764">
        <w:t>value</w:t>
      </w:r>
      <w:r w:rsidR="003D640C">
        <w:t xml:space="preserve"> </w:t>
      </w:r>
      <w:r w:rsidRPr="00A31764">
        <w:t>system</w:t>
      </w:r>
      <w:r w:rsidR="003D640C">
        <w:t xml:space="preserve"> </w:t>
      </w:r>
      <w:r w:rsidRPr="00A31764">
        <w:t>that</w:t>
      </w:r>
      <w:r w:rsidR="003D640C">
        <w:t xml:space="preserve"> </w:t>
      </w:r>
      <w:r w:rsidRPr="00A31764">
        <w:t>considers</w:t>
      </w:r>
      <w:r w:rsidR="003D640C">
        <w:t xml:space="preserve"> </w:t>
      </w:r>
      <w:r w:rsidRPr="00A31764">
        <w:t>certain</w:t>
      </w:r>
      <w:r w:rsidR="003D640C">
        <w:t xml:space="preserve"> </w:t>
      </w:r>
      <w:r w:rsidRPr="00A31764">
        <w:t>typical</w:t>
      </w:r>
      <w:r w:rsidR="003D640C">
        <w:t xml:space="preserve"> </w:t>
      </w:r>
      <w:r w:rsidRPr="00A31764">
        <w:t>characteristics</w:t>
      </w:r>
      <w:r w:rsidR="003D640C">
        <w:t xml:space="preserve"> </w:t>
      </w:r>
      <w:r w:rsidRPr="00A31764">
        <w:t>of</w:t>
      </w:r>
      <w:r w:rsidR="003D640C">
        <w:t xml:space="preserve"> </w:t>
      </w:r>
      <w:r w:rsidRPr="00A31764">
        <w:t>body</w:t>
      </w:r>
      <w:r w:rsidR="003D640C">
        <w:t xml:space="preserve"> </w:t>
      </w:r>
      <w:r w:rsidRPr="00A31764">
        <w:t>and</w:t>
      </w:r>
      <w:r w:rsidR="003D640C">
        <w:t xml:space="preserve"> </w:t>
      </w:r>
      <w:r w:rsidRPr="00A31764">
        <w:t>mind</w:t>
      </w:r>
      <w:r w:rsidR="003D640C">
        <w:t xml:space="preserve"> </w:t>
      </w:r>
      <w:r w:rsidRPr="00A31764">
        <w:t>as</w:t>
      </w:r>
      <w:r w:rsidR="003D640C">
        <w:t xml:space="preserve"> </w:t>
      </w:r>
      <w:r w:rsidRPr="00A31764">
        <w:t>essential</w:t>
      </w:r>
      <w:r w:rsidR="003D640C">
        <w:t xml:space="preserve"> </w:t>
      </w:r>
      <w:r w:rsidRPr="00A31764">
        <w:t>for</w:t>
      </w:r>
      <w:r w:rsidR="003D640C">
        <w:t xml:space="preserve"> </w:t>
      </w:r>
      <w:r w:rsidRPr="00A31764">
        <w:t>living</w:t>
      </w:r>
      <w:r w:rsidR="003D640C">
        <w:t xml:space="preserve"> </w:t>
      </w:r>
      <w:r w:rsidRPr="00A31764">
        <w:t>a</w:t>
      </w:r>
      <w:r w:rsidR="003D640C">
        <w:t xml:space="preserve"> </w:t>
      </w:r>
      <w:r w:rsidRPr="00A31764">
        <w:t>life</w:t>
      </w:r>
      <w:r w:rsidR="003D640C">
        <w:t xml:space="preserve"> </w:t>
      </w:r>
      <w:r w:rsidRPr="00A31764">
        <w:t>of</w:t>
      </w:r>
      <w:r w:rsidR="003D640C">
        <w:t xml:space="preserve"> </w:t>
      </w:r>
      <w:r w:rsidRPr="00A31764">
        <w:t>value</w:t>
      </w:r>
      <w:r w:rsidR="003B071B">
        <w:t>.</w:t>
      </w:r>
      <w:r w:rsidR="00C47BCA">
        <w:t>”</w:t>
      </w:r>
      <w:r w:rsidR="009F68A2">
        <w:rPr>
          <w:rStyle w:val="FootnoteReference"/>
        </w:rPr>
        <w:footnoteReference w:id="252"/>
      </w:r>
      <w:r w:rsidR="003D640C">
        <w:t xml:space="preserve"> </w:t>
      </w:r>
      <w:r w:rsidRPr="00A31764">
        <w:t>Disablism</w:t>
      </w:r>
      <w:r w:rsidR="003D640C">
        <w:t xml:space="preserve"> </w:t>
      </w:r>
      <w:r w:rsidRPr="00A31764">
        <w:t>is</w:t>
      </w:r>
      <w:r w:rsidR="003D640C">
        <w:t xml:space="preserve"> </w:t>
      </w:r>
      <w:r w:rsidR="00C47BCA">
        <w:t>“</w:t>
      </w:r>
      <w:r w:rsidRPr="00A31764">
        <w:t>an</w:t>
      </w:r>
      <w:r w:rsidR="003D640C">
        <w:t xml:space="preserve"> </w:t>
      </w:r>
      <w:r w:rsidRPr="00A31764">
        <w:t>oppression</w:t>
      </w:r>
      <w:r w:rsidR="003D640C">
        <w:t xml:space="preserve"> </w:t>
      </w:r>
      <w:r w:rsidRPr="00A31764">
        <w:t>that</w:t>
      </w:r>
      <w:r w:rsidR="003D640C">
        <w:t xml:space="preserve"> </w:t>
      </w:r>
      <w:r w:rsidRPr="00A31764">
        <w:t>directly</w:t>
      </w:r>
      <w:r w:rsidR="003D640C">
        <w:t xml:space="preserve"> </w:t>
      </w:r>
      <w:r w:rsidRPr="00A31764">
        <w:t>targets</w:t>
      </w:r>
      <w:r w:rsidR="003D640C">
        <w:t xml:space="preserve"> </w:t>
      </w:r>
      <w:r w:rsidRPr="00A31764">
        <w:t>and</w:t>
      </w:r>
      <w:r w:rsidR="003D640C">
        <w:t xml:space="preserve"> </w:t>
      </w:r>
      <w:r w:rsidRPr="00A31764">
        <w:t>impacts</w:t>
      </w:r>
      <w:r w:rsidR="003D640C">
        <w:t xml:space="preserve"> </w:t>
      </w:r>
      <w:r w:rsidRPr="00A31764">
        <w:t>disabled</w:t>
      </w:r>
      <w:r w:rsidR="003D640C">
        <w:t xml:space="preserve"> </w:t>
      </w:r>
      <w:r w:rsidRPr="00A31764">
        <w:t>people,</w:t>
      </w:r>
      <w:r w:rsidR="003D640C">
        <w:t xml:space="preserve"> </w:t>
      </w:r>
      <w:r w:rsidRPr="00A31764">
        <w:t>such</w:t>
      </w:r>
      <w:r w:rsidR="003D640C">
        <w:t xml:space="preserve"> </w:t>
      </w:r>
      <w:r w:rsidRPr="00A31764">
        <w:t>as</w:t>
      </w:r>
      <w:r w:rsidR="003D640C">
        <w:t xml:space="preserve"> </w:t>
      </w:r>
      <w:r w:rsidRPr="00A31764">
        <w:t>abuse</w:t>
      </w:r>
      <w:r w:rsidR="003D640C">
        <w:t xml:space="preserve"> </w:t>
      </w:r>
      <w:r w:rsidRPr="00A31764">
        <w:t>and</w:t>
      </w:r>
      <w:r w:rsidR="003D640C">
        <w:t xml:space="preserve"> </w:t>
      </w:r>
      <w:r w:rsidRPr="00A31764">
        <w:t>violence</w:t>
      </w:r>
      <w:r w:rsidR="003D640C">
        <w:t xml:space="preserve"> </w:t>
      </w:r>
      <w:r w:rsidRPr="00A31764">
        <w:t>that</w:t>
      </w:r>
      <w:r w:rsidR="003D640C">
        <w:t xml:space="preserve"> </w:t>
      </w:r>
      <w:r w:rsidRPr="00A31764">
        <w:t>is</w:t>
      </w:r>
      <w:r w:rsidR="003D640C">
        <w:t xml:space="preserve"> </w:t>
      </w:r>
      <w:r w:rsidRPr="00A31764">
        <w:t>inflicted</w:t>
      </w:r>
      <w:r w:rsidR="003D640C">
        <w:t xml:space="preserve"> </w:t>
      </w:r>
      <w:r w:rsidRPr="00A31764">
        <w:t>on</w:t>
      </w:r>
      <w:r w:rsidR="003D640C">
        <w:t xml:space="preserve"> </w:t>
      </w:r>
      <w:r w:rsidRPr="00A31764">
        <w:t>disabled</w:t>
      </w:r>
      <w:r w:rsidR="003D640C">
        <w:t xml:space="preserve"> </w:t>
      </w:r>
      <w:r w:rsidRPr="00A31764">
        <w:t>people</w:t>
      </w:r>
      <w:r w:rsidR="003D640C">
        <w:t xml:space="preserve"> </w:t>
      </w:r>
      <w:r w:rsidRPr="00A31764">
        <w:t>because</w:t>
      </w:r>
      <w:r w:rsidR="003D640C">
        <w:t xml:space="preserve"> </w:t>
      </w:r>
      <w:r w:rsidRPr="00A31764">
        <w:t>they</w:t>
      </w:r>
      <w:r w:rsidR="003D640C">
        <w:t xml:space="preserve"> </w:t>
      </w:r>
      <w:r w:rsidRPr="00A31764">
        <w:t>are</w:t>
      </w:r>
      <w:r w:rsidR="003D640C">
        <w:t xml:space="preserve"> </w:t>
      </w:r>
      <w:r w:rsidR="00C47BCA">
        <w:t>‘</w:t>
      </w:r>
      <w:r w:rsidRPr="00A31764">
        <w:t>disabled</w:t>
      </w:r>
      <w:r w:rsidR="003B071B">
        <w:t>.</w:t>
      </w:r>
      <w:r w:rsidR="00C47BCA">
        <w:t>’”</w:t>
      </w:r>
      <w:r w:rsidR="00E81ED2">
        <w:rPr>
          <w:rStyle w:val="FootnoteReference"/>
        </w:rPr>
        <w:footnoteReference w:id="253"/>
      </w:r>
      <w:r w:rsidR="003D640C">
        <w:t xml:space="preserve"> </w:t>
      </w:r>
      <w:r w:rsidR="00AB0BD0" w:rsidRPr="00B8737D">
        <w:rPr>
          <w:color w:val="000000"/>
        </w:rPr>
        <w:t>Th</w:t>
      </w:r>
      <w:r w:rsidR="00D4139F">
        <w:rPr>
          <w:color w:val="000000"/>
        </w:rPr>
        <w:t>ese</w:t>
      </w:r>
      <w:r w:rsidR="003D640C">
        <w:rPr>
          <w:color w:val="000000"/>
        </w:rPr>
        <w:t xml:space="preserve"> </w:t>
      </w:r>
      <w:r w:rsidR="00D4139F">
        <w:rPr>
          <w:color w:val="000000"/>
        </w:rPr>
        <w:t>belief</w:t>
      </w:r>
      <w:r w:rsidR="003D640C">
        <w:rPr>
          <w:color w:val="000000"/>
        </w:rPr>
        <w:t xml:space="preserve"> </w:t>
      </w:r>
      <w:r w:rsidR="00D4139F">
        <w:rPr>
          <w:color w:val="000000"/>
        </w:rPr>
        <w:t>systems</w:t>
      </w:r>
      <w:r w:rsidR="003D640C">
        <w:rPr>
          <w:color w:val="000000"/>
        </w:rPr>
        <w:t xml:space="preserve"> </w:t>
      </w:r>
      <w:r w:rsidR="00AB0BD0" w:rsidRPr="00B8737D">
        <w:rPr>
          <w:color w:val="000000"/>
        </w:rPr>
        <w:t>negatively</w:t>
      </w:r>
      <w:r w:rsidR="003D640C">
        <w:rPr>
          <w:color w:val="000000"/>
        </w:rPr>
        <w:t xml:space="preserve"> </w:t>
      </w:r>
      <w:r w:rsidR="00AB0BD0" w:rsidRPr="00B8737D">
        <w:rPr>
          <w:color w:val="000000"/>
        </w:rPr>
        <w:t>frame</w:t>
      </w:r>
      <w:r w:rsidR="003D640C">
        <w:rPr>
          <w:color w:val="000000"/>
        </w:rPr>
        <w:t xml:space="preserve"> </w:t>
      </w:r>
      <w:r w:rsidR="00AB0BD0" w:rsidRPr="00B8737D">
        <w:rPr>
          <w:color w:val="000000"/>
        </w:rPr>
        <w:t>disability</w:t>
      </w:r>
      <w:r w:rsidR="003D640C">
        <w:rPr>
          <w:color w:val="000000"/>
        </w:rPr>
        <w:t xml:space="preserve"> </w:t>
      </w:r>
      <w:r w:rsidR="00AB0BD0" w:rsidRPr="00B8737D">
        <w:rPr>
          <w:color w:val="000000"/>
        </w:rPr>
        <w:t>as</w:t>
      </w:r>
      <w:r w:rsidR="003D640C">
        <w:rPr>
          <w:color w:val="000000"/>
        </w:rPr>
        <w:t xml:space="preserve"> </w:t>
      </w:r>
      <w:r w:rsidR="00AB0BD0" w:rsidRPr="00B8737D">
        <w:rPr>
          <w:color w:val="000000"/>
        </w:rPr>
        <w:t>a</w:t>
      </w:r>
      <w:r w:rsidR="003D640C">
        <w:rPr>
          <w:color w:val="000000"/>
        </w:rPr>
        <w:t xml:space="preserve"> </w:t>
      </w:r>
      <w:r w:rsidR="00AB0BD0" w:rsidRPr="00B8737D">
        <w:rPr>
          <w:color w:val="000000"/>
        </w:rPr>
        <w:t>problem</w:t>
      </w:r>
      <w:r w:rsidR="003D640C">
        <w:rPr>
          <w:color w:val="000000"/>
        </w:rPr>
        <w:t xml:space="preserve"> </w:t>
      </w:r>
      <w:r w:rsidR="00AB0BD0" w:rsidRPr="00B8737D">
        <w:rPr>
          <w:color w:val="000000"/>
        </w:rPr>
        <w:t>in</w:t>
      </w:r>
      <w:r w:rsidR="003D640C">
        <w:rPr>
          <w:color w:val="000000"/>
        </w:rPr>
        <w:t xml:space="preserve"> </w:t>
      </w:r>
      <w:r w:rsidR="00AB0BD0" w:rsidRPr="00B8737D">
        <w:rPr>
          <w:color w:val="000000"/>
        </w:rPr>
        <w:t>need</w:t>
      </w:r>
      <w:r w:rsidR="003D640C">
        <w:rPr>
          <w:color w:val="000000"/>
        </w:rPr>
        <w:t xml:space="preserve"> </w:t>
      </w:r>
      <w:r w:rsidR="00AB0BD0" w:rsidRPr="00B8737D">
        <w:rPr>
          <w:color w:val="000000"/>
        </w:rPr>
        <w:t>of</w:t>
      </w:r>
      <w:r w:rsidR="003D640C">
        <w:rPr>
          <w:color w:val="000000"/>
        </w:rPr>
        <w:t xml:space="preserve"> </w:t>
      </w:r>
      <w:r w:rsidR="00AB0BD0" w:rsidRPr="00B8737D">
        <w:rPr>
          <w:color w:val="000000"/>
        </w:rPr>
        <w:t>fixing,</w:t>
      </w:r>
      <w:r w:rsidR="003D640C">
        <w:rPr>
          <w:color w:val="000000"/>
        </w:rPr>
        <w:t xml:space="preserve"> </w:t>
      </w:r>
      <w:r w:rsidR="00AB0BD0" w:rsidRPr="00B8737D">
        <w:rPr>
          <w:color w:val="000000"/>
        </w:rPr>
        <w:t>contrary</w:t>
      </w:r>
      <w:r w:rsidR="003D640C">
        <w:rPr>
          <w:color w:val="000000"/>
        </w:rPr>
        <w:t xml:space="preserve"> </w:t>
      </w:r>
      <w:r w:rsidR="00AB0BD0" w:rsidRPr="00B8737D">
        <w:rPr>
          <w:color w:val="000000"/>
        </w:rPr>
        <w:t>to</w:t>
      </w:r>
      <w:r w:rsidR="003D640C">
        <w:rPr>
          <w:color w:val="000000"/>
        </w:rPr>
        <w:t xml:space="preserve"> </w:t>
      </w:r>
      <w:r w:rsidR="00AB0BD0" w:rsidRPr="00B8737D">
        <w:rPr>
          <w:color w:val="000000"/>
        </w:rPr>
        <w:t>the</w:t>
      </w:r>
      <w:r w:rsidR="003D640C">
        <w:rPr>
          <w:color w:val="000000"/>
        </w:rPr>
        <w:t xml:space="preserve"> </w:t>
      </w:r>
      <w:r w:rsidR="00AB0BD0" w:rsidRPr="00B8737D">
        <w:rPr>
          <w:color w:val="000000"/>
        </w:rPr>
        <w:t>social</w:t>
      </w:r>
      <w:r w:rsidR="003D640C">
        <w:rPr>
          <w:color w:val="000000"/>
        </w:rPr>
        <w:t xml:space="preserve"> </w:t>
      </w:r>
      <w:r w:rsidR="00AB0BD0" w:rsidRPr="00B8737D">
        <w:rPr>
          <w:color w:val="000000"/>
        </w:rPr>
        <w:t>model</w:t>
      </w:r>
      <w:r w:rsidR="003D640C">
        <w:rPr>
          <w:color w:val="000000"/>
        </w:rPr>
        <w:t xml:space="preserve"> </w:t>
      </w:r>
      <w:r w:rsidR="00AB0BD0" w:rsidRPr="00B8737D">
        <w:rPr>
          <w:color w:val="000000"/>
        </w:rPr>
        <w:t>of</w:t>
      </w:r>
      <w:r w:rsidR="003D640C">
        <w:rPr>
          <w:color w:val="000000"/>
        </w:rPr>
        <w:t xml:space="preserve"> </w:t>
      </w:r>
      <w:r w:rsidR="00AB0BD0" w:rsidRPr="00B8737D">
        <w:rPr>
          <w:color w:val="000000"/>
        </w:rPr>
        <w:t>disability</w:t>
      </w:r>
      <w:r w:rsidR="003D640C">
        <w:rPr>
          <w:color w:val="000000"/>
        </w:rPr>
        <w:t xml:space="preserve"> </w:t>
      </w:r>
      <w:r w:rsidR="00AB0BD0" w:rsidRPr="00B8737D">
        <w:rPr>
          <w:color w:val="000000"/>
        </w:rPr>
        <w:t>set</w:t>
      </w:r>
      <w:r w:rsidR="003D640C">
        <w:rPr>
          <w:color w:val="000000"/>
        </w:rPr>
        <w:t xml:space="preserve"> </w:t>
      </w:r>
      <w:r w:rsidR="00AB0BD0" w:rsidRPr="00B8737D">
        <w:rPr>
          <w:color w:val="000000"/>
        </w:rPr>
        <w:t>out</w:t>
      </w:r>
      <w:r w:rsidR="003D640C">
        <w:rPr>
          <w:color w:val="000000"/>
        </w:rPr>
        <w:t xml:space="preserve"> </w:t>
      </w:r>
      <w:r w:rsidR="00AB0BD0" w:rsidRPr="00B8737D">
        <w:rPr>
          <w:color w:val="000000"/>
        </w:rPr>
        <w:t>in</w:t>
      </w:r>
      <w:r w:rsidR="003D640C">
        <w:rPr>
          <w:color w:val="000000"/>
        </w:rPr>
        <w:t xml:space="preserve"> </w:t>
      </w:r>
      <w:r w:rsidR="00AB0BD0" w:rsidRPr="00B8737D">
        <w:rPr>
          <w:color w:val="000000"/>
        </w:rPr>
        <w:t>the</w:t>
      </w:r>
      <w:r w:rsidR="003D640C">
        <w:rPr>
          <w:color w:val="000000"/>
        </w:rPr>
        <w:t xml:space="preserve"> </w:t>
      </w:r>
      <w:r w:rsidR="00AB0BD0" w:rsidRPr="00B8737D">
        <w:rPr>
          <w:color w:val="000000"/>
        </w:rPr>
        <w:t>Convention</w:t>
      </w:r>
      <w:r w:rsidR="003D640C">
        <w:rPr>
          <w:color w:val="000000"/>
        </w:rPr>
        <w:t xml:space="preserve"> </w:t>
      </w:r>
      <w:r w:rsidR="00AB0BD0" w:rsidRPr="00B8737D">
        <w:rPr>
          <w:color w:val="000000"/>
        </w:rPr>
        <w:t>on</w:t>
      </w:r>
      <w:r w:rsidR="003D640C">
        <w:rPr>
          <w:color w:val="000000"/>
        </w:rPr>
        <w:t xml:space="preserve"> </w:t>
      </w:r>
      <w:r w:rsidR="00AB0BD0" w:rsidRPr="00B8737D">
        <w:rPr>
          <w:color w:val="000000"/>
        </w:rPr>
        <w:t>the</w:t>
      </w:r>
      <w:r w:rsidR="003D640C">
        <w:rPr>
          <w:color w:val="000000"/>
        </w:rPr>
        <w:t xml:space="preserve"> </w:t>
      </w:r>
      <w:r w:rsidR="00AB0BD0" w:rsidRPr="00B8737D">
        <w:rPr>
          <w:color w:val="000000"/>
        </w:rPr>
        <w:t>Rights</w:t>
      </w:r>
      <w:r w:rsidR="003D640C">
        <w:rPr>
          <w:color w:val="000000"/>
        </w:rPr>
        <w:t xml:space="preserve"> </w:t>
      </w:r>
      <w:r w:rsidR="00AB0BD0" w:rsidRPr="00B8737D">
        <w:rPr>
          <w:color w:val="000000"/>
        </w:rPr>
        <w:t>of</w:t>
      </w:r>
      <w:r w:rsidR="003D640C">
        <w:rPr>
          <w:color w:val="000000"/>
        </w:rPr>
        <w:t xml:space="preserve"> </w:t>
      </w:r>
      <w:r w:rsidR="00AB0BD0" w:rsidRPr="00B8737D">
        <w:rPr>
          <w:color w:val="000000"/>
        </w:rPr>
        <w:t>Persons</w:t>
      </w:r>
      <w:r w:rsidR="003D640C">
        <w:rPr>
          <w:color w:val="000000"/>
        </w:rPr>
        <w:t xml:space="preserve"> </w:t>
      </w:r>
      <w:r w:rsidR="00AB0BD0" w:rsidRPr="00B8737D">
        <w:rPr>
          <w:color w:val="000000"/>
        </w:rPr>
        <w:t>with</w:t>
      </w:r>
      <w:r w:rsidR="003D640C">
        <w:rPr>
          <w:color w:val="000000"/>
        </w:rPr>
        <w:t xml:space="preserve"> </w:t>
      </w:r>
      <w:r w:rsidR="00AB0BD0" w:rsidRPr="00B8737D">
        <w:rPr>
          <w:color w:val="000000"/>
        </w:rPr>
        <w:t>Disabilities.</w:t>
      </w:r>
      <w:r w:rsidR="003D640C">
        <w:rPr>
          <w:color w:val="000000"/>
        </w:rPr>
        <w:t xml:space="preserve"> </w:t>
      </w:r>
      <w:r w:rsidR="00AB0BD0" w:rsidRPr="00B8737D">
        <w:rPr>
          <w:color w:val="000000"/>
        </w:rPr>
        <w:t>The</w:t>
      </w:r>
      <w:r w:rsidR="003D640C">
        <w:rPr>
          <w:color w:val="000000"/>
        </w:rPr>
        <w:t xml:space="preserve"> </w:t>
      </w:r>
      <w:r w:rsidR="00AB0BD0" w:rsidRPr="00B8737D">
        <w:rPr>
          <w:color w:val="000000"/>
        </w:rPr>
        <w:t>social</w:t>
      </w:r>
      <w:r w:rsidR="003D640C">
        <w:rPr>
          <w:color w:val="000000"/>
        </w:rPr>
        <w:t xml:space="preserve"> </w:t>
      </w:r>
      <w:r w:rsidR="00AB0BD0" w:rsidRPr="00B8737D">
        <w:rPr>
          <w:color w:val="000000"/>
        </w:rPr>
        <w:t>model</w:t>
      </w:r>
      <w:r w:rsidR="003D640C">
        <w:rPr>
          <w:color w:val="000000"/>
        </w:rPr>
        <w:t xml:space="preserve"> </w:t>
      </w:r>
      <w:r w:rsidR="00AB0BD0" w:rsidRPr="00B8737D">
        <w:rPr>
          <w:color w:val="000000"/>
        </w:rPr>
        <w:t>focuses</w:t>
      </w:r>
      <w:r w:rsidR="003D640C">
        <w:rPr>
          <w:color w:val="000000"/>
        </w:rPr>
        <w:t xml:space="preserve"> </w:t>
      </w:r>
      <w:r w:rsidR="00AB0BD0" w:rsidRPr="00B8737D">
        <w:rPr>
          <w:color w:val="000000"/>
        </w:rPr>
        <w:t>on</w:t>
      </w:r>
      <w:r w:rsidR="003D640C">
        <w:rPr>
          <w:color w:val="000000"/>
        </w:rPr>
        <w:t xml:space="preserve"> </w:t>
      </w:r>
      <w:r w:rsidR="00AB0BD0" w:rsidRPr="00B8737D">
        <w:rPr>
          <w:color w:val="000000"/>
        </w:rPr>
        <w:t>the</w:t>
      </w:r>
      <w:r w:rsidR="003D640C">
        <w:rPr>
          <w:color w:val="000000"/>
        </w:rPr>
        <w:t xml:space="preserve"> </w:t>
      </w:r>
      <w:r w:rsidR="00AB0BD0" w:rsidRPr="00B8737D">
        <w:rPr>
          <w:color w:val="000000"/>
        </w:rPr>
        <w:t>barriers</w:t>
      </w:r>
      <w:r w:rsidR="003D640C">
        <w:rPr>
          <w:color w:val="000000"/>
        </w:rPr>
        <w:t xml:space="preserve"> </w:t>
      </w:r>
      <w:r w:rsidR="00AB0BD0" w:rsidRPr="00B8737D">
        <w:rPr>
          <w:color w:val="000000"/>
        </w:rPr>
        <w:t>within</w:t>
      </w:r>
      <w:r w:rsidR="003D640C">
        <w:rPr>
          <w:color w:val="000000"/>
        </w:rPr>
        <w:t xml:space="preserve"> </w:t>
      </w:r>
      <w:r w:rsidR="00AB0BD0" w:rsidRPr="00B8737D">
        <w:rPr>
          <w:color w:val="000000"/>
        </w:rPr>
        <w:t>society</w:t>
      </w:r>
      <w:r w:rsidR="003D640C">
        <w:rPr>
          <w:color w:val="000000"/>
        </w:rPr>
        <w:t xml:space="preserve"> </w:t>
      </w:r>
      <w:r w:rsidR="00AB0BD0" w:rsidRPr="00B8737D">
        <w:rPr>
          <w:color w:val="000000"/>
        </w:rPr>
        <w:t>that</w:t>
      </w:r>
      <w:r w:rsidR="003D640C">
        <w:rPr>
          <w:color w:val="000000"/>
        </w:rPr>
        <w:t xml:space="preserve"> </w:t>
      </w:r>
      <w:r w:rsidR="00AB0BD0" w:rsidRPr="00B8737D">
        <w:rPr>
          <w:color w:val="000000"/>
        </w:rPr>
        <w:t>prevent</w:t>
      </w:r>
      <w:r w:rsidR="003D640C">
        <w:rPr>
          <w:color w:val="000000"/>
        </w:rPr>
        <w:t xml:space="preserve"> </w:t>
      </w:r>
      <w:r w:rsidR="00AB0BD0" w:rsidRPr="00B8737D">
        <w:rPr>
          <w:color w:val="000000"/>
        </w:rPr>
        <w:t>a</w:t>
      </w:r>
      <w:r w:rsidR="003D640C">
        <w:rPr>
          <w:color w:val="000000"/>
        </w:rPr>
        <w:t xml:space="preserve"> </w:t>
      </w:r>
      <w:r w:rsidR="00AB0BD0" w:rsidRPr="00B8737D">
        <w:rPr>
          <w:color w:val="000000"/>
        </w:rPr>
        <w:t>disabled</w:t>
      </w:r>
      <w:r w:rsidR="003D640C">
        <w:rPr>
          <w:color w:val="000000"/>
        </w:rPr>
        <w:t xml:space="preserve"> </w:t>
      </w:r>
      <w:r w:rsidR="00AB0BD0" w:rsidRPr="00B8737D">
        <w:rPr>
          <w:color w:val="000000"/>
        </w:rPr>
        <w:t>person</w:t>
      </w:r>
      <w:r w:rsidR="003D640C">
        <w:rPr>
          <w:color w:val="000000"/>
        </w:rPr>
        <w:t xml:space="preserve"> </w:t>
      </w:r>
      <w:r w:rsidR="00AB0BD0" w:rsidRPr="00B8737D">
        <w:rPr>
          <w:color w:val="000000"/>
        </w:rPr>
        <w:t>from</w:t>
      </w:r>
      <w:r w:rsidR="003D640C">
        <w:rPr>
          <w:color w:val="000000"/>
        </w:rPr>
        <w:t xml:space="preserve"> </w:t>
      </w:r>
      <w:r w:rsidR="00AB0BD0" w:rsidRPr="00B8737D">
        <w:rPr>
          <w:color w:val="000000"/>
        </w:rPr>
        <w:t>participating</w:t>
      </w:r>
      <w:r w:rsidR="003D640C">
        <w:rPr>
          <w:color w:val="000000"/>
        </w:rPr>
        <w:t xml:space="preserve"> </w:t>
      </w:r>
      <w:r w:rsidR="00AB0BD0" w:rsidRPr="00B8737D">
        <w:rPr>
          <w:color w:val="000000"/>
        </w:rPr>
        <w:t>in</w:t>
      </w:r>
      <w:r w:rsidR="003D640C">
        <w:rPr>
          <w:color w:val="000000"/>
        </w:rPr>
        <w:t xml:space="preserve"> </w:t>
      </w:r>
      <w:r w:rsidR="00AB0BD0" w:rsidRPr="00B8737D">
        <w:rPr>
          <w:color w:val="000000"/>
        </w:rPr>
        <w:t>society</w:t>
      </w:r>
      <w:r w:rsidR="003D640C">
        <w:rPr>
          <w:color w:val="000000"/>
        </w:rPr>
        <w:t xml:space="preserve"> </w:t>
      </w:r>
      <w:r w:rsidR="00AB0BD0" w:rsidRPr="00B8737D">
        <w:rPr>
          <w:color w:val="000000"/>
        </w:rPr>
        <w:t>and</w:t>
      </w:r>
      <w:r w:rsidR="003D640C">
        <w:rPr>
          <w:color w:val="000000"/>
        </w:rPr>
        <w:t xml:space="preserve"> </w:t>
      </w:r>
      <w:r w:rsidR="00AB0BD0" w:rsidRPr="00B8737D">
        <w:rPr>
          <w:color w:val="000000"/>
        </w:rPr>
        <w:t>developing</w:t>
      </w:r>
      <w:r w:rsidR="003D640C">
        <w:rPr>
          <w:color w:val="000000"/>
        </w:rPr>
        <w:t xml:space="preserve"> </w:t>
      </w:r>
      <w:r w:rsidR="00AB0BD0" w:rsidRPr="00B8737D">
        <w:rPr>
          <w:color w:val="000000"/>
        </w:rPr>
        <w:t>their</w:t>
      </w:r>
      <w:r w:rsidR="003D640C">
        <w:rPr>
          <w:color w:val="000000"/>
        </w:rPr>
        <w:t xml:space="preserve"> </w:t>
      </w:r>
      <w:r w:rsidR="00AB0BD0" w:rsidRPr="00B8737D">
        <w:rPr>
          <w:color w:val="000000"/>
        </w:rPr>
        <w:t>full</w:t>
      </w:r>
      <w:r w:rsidR="003D640C">
        <w:rPr>
          <w:color w:val="000000"/>
        </w:rPr>
        <w:t xml:space="preserve"> </w:t>
      </w:r>
      <w:r w:rsidR="00AB0BD0" w:rsidRPr="00B8737D">
        <w:rPr>
          <w:color w:val="000000"/>
        </w:rPr>
        <w:t>potential</w:t>
      </w:r>
      <w:r w:rsidR="00CE10A3">
        <w:rPr>
          <w:color w:val="000000"/>
        </w:rPr>
        <w:t>.</w:t>
      </w:r>
      <w:r w:rsidR="003D640C">
        <w:rPr>
          <w:color w:val="000000"/>
          <w:sz w:val="14"/>
          <w:szCs w:val="14"/>
        </w:rPr>
        <w:t xml:space="preserve"> </w:t>
      </w:r>
      <w:r w:rsidR="00340B38" w:rsidRPr="00BB6220">
        <w:rPr>
          <w:lang w:eastAsia="en-NZ"/>
        </w:rPr>
        <w:t>These</w:t>
      </w:r>
      <w:r w:rsidR="003D640C">
        <w:rPr>
          <w:lang w:eastAsia="en-NZ"/>
        </w:rPr>
        <w:t xml:space="preserve"> </w:t>
      </w:r>
      <w:r w:rsidR="00340B38" w:rsidRPr="00BB6220">
        <w:rPr>
          <w:lang w:eastAsia="en-NZ"/>
        </w:rPr>
        <w:t>beliefs</w:t>
      </w:r>
      <w:r w:rsidR="003D640C">
        <w:rPr>
          <w:lang w:eastAsia="en-NZ"/>
        </w:rPr>
        <w:t xml:space="preserve"> </w:t>
      </w:r>
      <w:r w:rsidR="00340B38" w:rsidRPr="00BB6220">
        <w:rPr>
          <w:lang w:eastAsia="en-NZ"/>
        </w:rPr>
        <w:t>are</w:t>
      </w:r>
      <w:r w:rsidR="003D640C">
        <w:rPr>
          <w:lang w:eastAsia="en-NZ"/>
        </w:rPr>
        <w:t xml:space="preserve"> </w:t>
      </w:r>
      <w:r w:rsidR="00340B38" w:rsidRPr="00BB6220">
        <w:rPr>
          <w:lang w:eastAsia="en-NZ"/>
        </w:rPr>
        <w:t>not</w:t>
      </w:r>
      <w:r w:rsidR="003D640C">
        <w:rPr>
          <w:lang w:eastAsia="en-NZ"/>
        </w:rPr>
        <w:t xml:space="preserve"> </w:t>
      </w:r>
      <w:r w:rsidR="00340B38" w:rsidRPr="00BB6220">
        <w:rPr>
          <w:lang w:eastAsia="en-NZ"/>
        </w:rPr>
        <w:t>dissimilar</w:t>
      </w:r>
      <w:r w:rsidR="003D640C">
        <w:rPr>
          <w:lang w:eastAsia="en-NZ"/>
        </w:rPr>
        <w:t xml:space="preserve"> </w:t>
      </w:r>
      <w:r w:rsidR="00340B38" w:rsidRPr="00BB6220">
        <w:rPr>
          <w:lang w:eastAsia="en-NZ"/>
        </w:rPr>
        <w:t>to</w:t>
      </w:r>
      <w:r w:rsidR="003D640C">
        <w:rPr>
          <w:lang w:eastAsia="en-NZ"/>
        </w:rPr>
        <w:t xml:space="preserve"> </w:t>
      </w:r>
      <w:r w:rsidR="00340B38" w:rsidRPr="00BB6220">
        <w:rPr>
          <w:lang w:eastAsia="en-NZ"/>
        </w:rPr>
        <w:t>conversion</w:t>
      </w:r>
      <w:r w:rsidR="003D640C">
        <w:rPr>
          <w:lang w:eastAsia="en-NZ"/>
        </w:rPr>
        <w:t xml:space="preserve"> </w:t>
      </w:r>
      <w:r w:rsidR="00340B38" w:rsidRPr="00BB6220">
        <w:rPr>
          <w:lang w:eastAsia="en-NZ"/>
        </w:rPr>
        <w:t>ideology,</w:t>
      </w:r>
      <w:r w:rsidR="003D640C">
        <w:rPr>
          <w:lang w:eastAsia="en-NZ"/>
        </w:rPr>
        <w:t xml:space="preserve"> </w:t>
      </w:r>
      <w:r w:rsidR="00340B38" w:rsidRPr="00BB6220">
        <w:rPr>
          <w:lang w:eastAsia="en-NZ"/>
        </w:rPr>
        <w:t>since</w:t>
      </w:r>
      <w:r w:rsidR="003D640C">
        <w:rPr>
          <w:lang w:eastAsia="en-NZ"/>
        </w:rPr>
        <w:t xml:space="preserve"> </w:t>
      </w:r>
      <w:r w:rsidR="00340B38" w:rsidRPr="00BB6220">
        <w:rPr>
          <w:lang w:eastAsia="en-NZ"/>
        </w:rPr>
        <w:t>the</w:t>
      </w:r>
      <w:r w:rsidR="003D640C">
        <w:rPr>
          <w:lang w:eastAsia="en-NZ"/>
        </w:rPr>
        <w:t xml:space="preserve"> </w:t>
      </w:r>
      <w:r w:rsidR="00340B38" w:rsidRPr="00BB6220">
        <w:rPr>
          <w:lang w:eastAsia="en-NZ"/>
        </w:rPr>
        <w:t>individual</w:t>
      </w:r>
      <w:r w:rsidR="003D640C">
        <w:rPr>
          <w:lang w:eastAsia="en-NZ"/>
        </w:rPr>
        <w:t xml:space="preserve"> </w:t>
      </w:r>
      <w:r w:rsidR="00340B38" w:rsidRPr="00BB6220">
        <w:rPr>
          <w:lang w:eastAsia="en-NZ"/>
        </w:rPr>
        <w:t>becomes</w:t>
      </w:r>
      <w:r w:rsidR="003D640C">
        <w:rPr>
          <w:lang w:eastAsia="en-NZ"/>
        </w:rPr>
        <w:t xml:space="preserve"> </w:t>
      </w:r>
      <w:r w:rsidR="00340B38" w:rsidRPr="00BB6220">
        <w:rPr>
          <w:lang w:eastAsia="en-NZ"/>
        </w:rPr>
        <w:t>known</w:t>
      </w:r>
      <w:r w:rsidR="003D640C">
        <w:rPr>
          <w:lang w:eastAsia="en-NZ"/>
        </w:rPr>
        <w:t xml:space="preserve"> </w:t>
      </w:r>
      <w:r w:rsidR="00340B38" w:rsidRPr="00BB6220">
        <w:rPr>
          <w:lang w:eastAsia="en-NZ"/>
        </w:rPr>
        <w:t>as</w:t>
      </w:r>
      <w:r w:rsidR="003D640C">
        <w:rPr>
          <w:lang w:eastAsia="en-NZ"/>
        </w:rPr>
        <w:t xml:space="preserve"> </w:t>
      </w:r>
      <w:r w:rsidR="00340B38" w:rsidRPr="00BB6220">
        <w:rPr>
          <w:lang w:eastAsia="en-NZ"/>
        </w:rPr>
        <w:t>the</w:t>
      </w:r>
      <w:r w:rsidR="003D640C">
        <w:rPr>
          <w:lang w:eastAsia="en-NZ"/>
        </w:rPr>
        <w:t xml:space="preserve"> </w:t>
      </w:r>
      <w:r w:rsidR="00340B38" w:rsidRPr="00BB6220">
        <w:rPr>
          <w:lang w:eastAsia="en-NZ"/>
        </w:rPr>
        <w:t>‘problem’</w:t>
      </w:r>
      <w:r w:rsidR="003D640C">
        <w:rPr>
          <w:lang w:eastAsia="en-NZ"/>
        </w:rPr>
        <w:t xml:space="preserve"> </w:t>
      </w:r>
      <w:r w:rsidR="00340B38" w:rsidRPr="00BB6220">
        <w:rPr>
          <w:lang w:eastAsia="en-NZ"/>
        </w:rPr>
        <w:t>to</w:t>
      </w:r>
      <w:r w:rsidR="003D640C">
        <w:rPr>
          <w:lang w:eastAsia="en-NZ"/>
        </w:rPr>
        <w:t xml:space="preserve"> </w:t>
      </w:r>
      <w:r w:rsidR="00340B38" w:rsidRPr="00BB6220">
        <w:rPr>
          <w:lang w:eastAsia="en-NZ"/>
        </w:rPr>
        <w:t>be</w:t>
      </w:r>
      <w:r w:rsidR="003D640C">
        <w:rPr>
          <w:lang w:eastAsia="en-NZ"/>
        </w:rPr>
        <w:t xml:space="preserve"> </w:t>
      </w:r>
      <w:r w:rsidR="00340B38" w:rsidRPr="00BB6220">
        <w:rPr>
          <w:lang w:eastAsia="en-NZ"/>
        </w:rPr>
        <w:t>fixed</w:t>
      </w:r>
      <w:r w:rsidR="003D640C">
        <w:rPr>
          <w:lang w:eastAsia="en-NZ"/>
        </w:rPr>
        <w:t xml:space="preserve"> </w:t>
      </w:r>
      <w:r w:rsidR="00340B38" w:rsidRPr="00BB6220">
        <w:rPr>
          <w:lang w:eastAsia="en-NZ"/>
        </w:rPr>
        <w:t>via</w:t>
      </w:r>
      <w:r w:rsidR="003D640C">
        <w:rPr>
          <w:lang w:eastAsia="en-NZ"/>
        </w:rPr>
        <w:t xml:space="preserve"> </w:t>
      </w:r>
      <w:r w:rsidR="00340B38" w:rsidRPr="00BB6220">
        <w:rPr>
          <w:lang w:eastAsia="en-NZ"/>
        </w:rPr>
        <w:t>religious</w:t>
      </w:r>
      <w:r w:rsidR="003D640C">
        <w:rPr>
          <w:lang w:eastAsia="en-NZ"/>
        </w:rPr>
        <w:t xml:space="preserve"> </w:t>
      </w:r>
      <w:r w:rsidR="00340B38" w:rsidRPr="00BB6220">
        <w:rPr>
          <w:lang w:eastAsia="en-NZ"/>
        </w:rPr>
        <w:t>or</w:t>
      </w:r>
      <w:r w:rsidR="003D640C">
        <w:rPr>
          <w:lang w:eastAsia="en-NZ"/>
        </w:rPr>
        <w:t xml:space="preserve"> </w:t>
      </w:r>
      <w:r w:rsidR="00340B38" w:rsidRPr="00BB6220">
        <w:rPr>
          <w:lang w:eastAsia="en-NZ"/>
        </w:rPr>
        <w:t>cultural</w:t>
      </w:r>
      <w:r w:rsidR="003D640C">
        <w:rPr>
          <w:lang w:eastAsia="en-NZ"/>
        </w:rPr>
        <w:t xml:space="preserve"> </w:t>
      </w:r>
      <w:r w:rsidR="00340B38" w:rsidRPr="00BB6220">
        <w:rPr>
          <w:lang w:eastAsia="en-NZ"/>
        </w:rPr>
        <w:t>practices.</w:t>
      </w:r>
    </w:p>
    <w:p w14:paraId="628A4F6D" w14:textId="09FAB008" w:rsidR="00CB386A" w:rsidRDefault="00674A2A" w:rsidP="002E6693">
      <w:r>
        <w:rPr>
          <w:lang w:eastAsia="en-NZ"/>
        </w:rPr>
        <w:t>Given</w:t>
      </w:r>
      <w:r w:rsidR="003D640C">
        <w:rPr>
          <w:lang w:eastAsia="en-NZ"/>
        </w:rPr>
        <w:t xml:space="preserve"> </w:t>
      </w:r>
      <w:r>
        <w:rPr>
          <w:lang w:eastAsia="en-NZ"/>
        </w:rPr>
        <w:t>the</w:t>
      </w:r>
      <w:r w:rsidR="003D640C">
        <w:rPr>
          <w:lang w:eastAsia="en-NZ"/>
        </w:rPr>
        <w:t xml:space="preserve"> </w:t>
      </w:r>
      <w:r>
        <w:rPr>
          <w:lang w:eastAsia="en-NZ"/>
        </w:rPr>
        <w:t>pervasive</w:t>
      </w:r>
      <w:r w:rsidR="00926373">
        <w:rPr>
          <w:lang w:eastAsia="en-NZ"/>
        </w:rPr>
        <w:t>ness</w:t>
      </w:r>
      <w:r w:rsidR="003D640C">
        <w:rPr>
          <w:lang w:eastAsia="en-NZ"/>
        </w:rPr>
        <w:t xml:space="preserve"> </w:t>
      </w:r>
      <w:r w:rsidR="00926373">
        <w:rPr>
          <w:lang w:eastAsia="en-NZ"/>
        </w:rPr>
        <w:t>of</w:t>
      </w:r>
      <w:r w:rsidR="003D640C">
        <w:rPr>
          <w:lang w:eastAsia="en-NZ"/>
        </w:rPr>
        <w:t xml:space="preserve"> </w:t>
      </w:r>
      <w:r w:rsidR="00926373">
        <w:rPr>
          <w:lang w:eastAsia="en-NZ"/>
        </w:rPr>
        <w:t>such</w:t>
      </w:r>
      <w:r w:rsidR="003D640C">
        <w:rPr>
          <w:lang w:eastAsia="en-NZ"/>
        </w:rPr>
        <w:t xml:space="preserve"> </w:t>
      </w:r>
      <w:r w:rsidR="00926373">
        <w:rPr>
          <w:lang w:eastAsia="en-NZ"/>
        </w:rPr>
        <w:t>beliefs,</w:t>
      </w:r>
      <w:r w:rsidR="003D640C">
        <w:rPr>
          <w:lang w:eastAsia="en-NZ"/>
        </w:rPr>
        <w:t xml:space="preserve"> </w:t>
      </w:r>
      <w:r w:rsidR="00926373">
        <w:rPr>
          <w:lang w:eastAsia="en-NZ"/>
        </w:rPr>
        <w:t>the</w:t>
      </w:r>
      <w:r w:rsidR="003D640C">
        <w:rPr>
          <w:lang w:eastAsia="en-NZ"/>
        </w:rPr>
        <w:t xml:space="preserve"> </w:t>
      </w:r>
      <w:r w:rsidR="00926373">
        <w:rPr>
          <w:lang w:eastAsia="en-NZ"/>
        </w:rPr>
        <w:t>experience</w:t>
      </w:r>
      <w:r w:rsidR="003D640C">
        <w:rPr>
          <w:lang w:eastAsia="en-NZ"/>
        </w:rPr>
        <w:t xml:space="preserve"> </w:t>
      </w:r>
      <w:r w:rsidR="00926373">
        <w:rPr>
          <w:lang w:eastAsia="en-NZ"/>
        </w:rPr>
        <w:t>of</w:t>
      </w:r>
      <w:r w:rsidR="003D640C">
        <w:rPr>
          <w:lang w:eastAsia="en-NZ"/>
        </w:rPr>
        <w:t xml:space="preserve"> </w:t>
      </w:r>
      <w:r w:rsidR="004F5650">
        <w:rPr>
          <w:lang w:eastAsia="en-NZ"/>
        </w:rPr>
        <w:t xml:space="preserve">disabled </w:t>
      </w:r>
      <w:r w:rsidR="00926373">
        <w:rPr>
          <w:lang w:eastAsia="en-NZ"/>
        </w:rPr>
        <w:t>Rainbow</w:t>
      </w:r>
      <w:r w:rsidR="003D640C">
        <w:rPr>
          <w:lang w:eastAsia="en-NZ"/>
        </w:rPr>
        <w:t xml:space="preserve"> </w:t>
      </w:r>
      <w:r w:rsidR="00926373">
        <w:rPr>
          <w:lang w:eastAsia="en-NZ"/>
        </w:rPr>
        <w:t>people</w:t>
      </w:r>
      <w:r w:rsidR="003D640C">
        <w:rPr>
          <w:lang w:eastAsia="en-NZ"/>
        </w:rPr>
        <w:t xml:space="preserve"> </w:t>
      </w:r>
      <w:r w:rsidR="00926373">
        <w:rPr>
          <w:lang w:eastAsia="en-NZ"/>
        </w:rPr>
        <w:t>i</w:t>
      </w:r>
      <w:r w:rsidR="00E363C3">
        <w:rPr>
          <w:lang w:eastAsia="en-NZ"/>
        </w:rPr>
        <w:t>n</w:t>
      </w:r>
      <w:r w:rsidR="003D640C">
        <w:rPr>
          <w:lang w:eastAsia="en-NZ"/>
        </w:rPr>
        <w:t xml:space="preserve"> </w:t>
      </w:r>
      <w:r w:rsidR="00E363C3">
        <w:rPr>
          <w:lang w:eastAsia="en-NZ"/>
        </w:rPr>
        <w:t>relation</w:t>
      </w:r>
      <w:r w:rsidR="003D640C">
        <w:rPr>
          <w:lang w:eastAsia="en-NZ"/>
        </w:rPr>
        <w:t xml:space="preserve"> </w:t>
      </w:r>
      <w:r w:rsidR="00E363C3">
        <w:rPr>
          <w:lang w:eastAsia="en-NZ"/>
        </w:rPr>
        <w:t>to</w:t>
      </w:r>
      <w:r w:rsidR="003D640C">
        <w:rPr>
          <w:lang w:eastAsia="en-NZ"/>
        </w:rPr>
        <w:t xml:space="preserve"> </w:t>
      </w:r>
      <w:r w:rsidR="00E363C3">
        <w:rPr>
          <w:lang w:eastAsia="en-NZ"/>
        </w:rPr>
        <w:t>conversion</w:t>
      </w:r>
      <w:r w:rsidR="003D640C">
        <w:rPr>
          <w:lang w:eastAsia="en-NZ"/>
        </w:rPr>
        <w:t xml:space="preserve"> </w:t>
      </w:r>
      <w:r w:rsidR="00E363C3">
        <w:rPr>
          <w:lang w:eastAsia="en-NZ"/>
        </w:rPr>
        <w:t>practices</w:t>
      </w:r>
      <w:r w:rsidR="003D640C">
        <w:rPr>
          <w:lang w:eastAsia="en-NZ"/>
        </w:rPr>
        <w:t xml:space="preserve"> </w:t>
      </w:r>
      <w:r w:rsidR="00E363C3">
        <w:rPr>
          <w:lang w:eastAsia="en-NZ"/>
        </w:rPr>
        <w:t>is</w:t>
      </w:r>
      <w:r w:rsidR="003D640C">
        <w:rPr>
          <w:lang w:eastAsia="en-NZ"/>
        </w:rPr>
        <w:t xml:space="preserve"> </w:t>
      </w:r>
      <w:r w:rsidR="00E363C3">
        <w:rPr>
          <w:lang w:eastAsia="en-NZ"/>
        </w:rPr>
        <w:t>particularly</w:t>
      </w:r>
      <w:r w:rsidR="003D640C">
        <w:rPr>
          <w:lang w:eastAsia="en-NZ"/>
        </w:rPr>
        <w:t xml:space="preserve"> </w:t>
      </w:r>
      <w:r w:rsidR="00E363C3">
        <w:rPr>
          <w:lang w:eastAsia="en-NZ"/>
        </w:rPr>
        <w:t>concerning.</w:t>
      </w:r>
      <w:r w:rsidR="003D640C">
        <w:rPr>
          <w:lang w:eastAsia="en-NZ"/>
        </w:rPr>
        <w:t xml:space="preserve"> </w:t>
      </w:r>
      <w:r w:rsidR="00CB386A">
        <w:t>Sexuality</w:t>
      </w:r>
      <w:r w:rsidR="003D640C">
        <w:t xml:space="preserve"> </w:t>
      </w:r>
      <w:r w:rsidR="00CB386A">
        <w:t>and</w:t>
      </w:r>
      <w:r w:rsidR="003D640C">
        <w:t xml:space="preserve"> </w:t>
      </w:r>
      <w:r w:rsidR="00CB386A">
        <w:t>the</w:t>
      </w:r>
      <w:r w:rsidR="003D640C">
        <w:t xml:space="preserve"> </w:t>
      </w:r>
      <w:r w:rsidR="00CB386A">
        <w:t>freedom</w:t>
      </w:r>
      <w:r w:rsidR="003D640C">
        <w:t xml:space="preserve"> </w:t>
      </w:r>
      <w:r w:rsidR="00CB386A">
        <w:t>to</w:t>
      </w:r>
      <w:r w:rsidR="003D640C">
        <w:t xml:space="preserve"> </w:t>
      </w:r>
      <w:r w:rsidR="00CB386A">
        <w:t>express</w:t>
      </w:r>
      <w:r w:rsidR="003D640C">
        <w:t xml:space="preserve"> </w:t>
      </w:r>
      <w:r w:rsidR="00CB386A">
        <w:t>gender</w:t>
      </w:r>
      <w:r w:rsidR="003D640C">
        <w:t xml:space="preserve"> </w:t>
      </w:r>
      <w:r w:rsidR="00CB386A">
        <w:t>identity</w:t>
      </w:r>
      <w:r w:rsidR="003D640C">
        <w:t xml:space="preserve"> </w:t>
      </w:r>
      <w:r w:rsidR="00CB386A">
        <w:t>and</w:t>
      </w:r>
      <w:r w:rsidR="003D640C">
        <w:t xml:space="preserve"> </w:t>
      </w:r>
      <w:r w:rsidR="00CB386A">
        <w:t>expression</w:t>
      </w:r>
      <w:r w:rsidR="003D640C">
        <w:t xml:space="preserve"> </w:t>
      </w:r>
      <w:r w:rsidR="00CB386A">
        <w:t>is</w:t>
      </w:r>
      <w:r w:rsidR="003D640C">
        <w:t xml:space="preserve"> </w:t>
      </w:r>
      <w:r w:rsidR="00CB386A">
        <w:t>often</w:t>
      </w:r>
      <w:r w:rsidR="003D640C">
        <w:t xml:space="preserve"> </w:t>
      </w:r>
      <w:r w:rsidR="00CB386A">
        <w:t>denied</w:t>
      </w:r>
      <w:r w:rsidR="003D640C">
        <w:t xml:space="preserve"> </w:t>
      </w:r>
      <w:r w:rsidR="00CB386A">
        <w:t>in</w:t>
      </w:r>
      <w:r w:rsidR="003D640C">
        <w:t xml:space="preserve"> </w:t>
      </w:r>
      <w:r w:rsidR="00CB386A">
        <w:t>different</w:t>
      </w:r>
      <w:r w:rsidR="003D640C">
        <w:t xml:space="preserve"> </w:t>
      </w:r>
      <w:r w:rsidR="00CB386A">
        <w:t>ways</w:t>
      </w:r>
      <w:r w:rsidR="003D640C">
        <w:t xml:space="preserve"> </w:t>
      </w:r>
      <w:r w:rsidR="00CB386A">
        <w:t>to</w:t>
      </w:r>
      <w:r w:rsidR="003D640C">
        <w:t xml:space="preserve"> </w:t>
      </w:r>
      <w:r w:rsidR="00CB386A">
        <w:t>disabled</w:t>
      </w:r>
      <w:r w:rsidR="003D640C">
        <w:t xml:space="preserve"> </w:t>
      </w:r>
      <w:r w:rsidR="00CB386A">
        <w:t>people</w:t>
      </w:r>
      <w:r w:rsidR="00893DFA">
        <w:t>.</w:t>
      </w:r>
      <w:r w:rsidR="00324DBE">
        <w:rPr>
          <w:rStyle w:val="FootnoteReference"/>
        </w:rPr>
        <w:footnoteReference w:id="254"/>
      </w:r>
      <w:r w:rsidR="003D640C">
        <w:t xml:space="preserve"> </w:t>
      </w:r>
      <w:r w:rsidR="00CB386A">
        <w:t>For</w:t>
      </w:r>
      <w:r w:rsidR="003D640C">
        <w:t xml:space="preserve"> </w:t>
      </w:r>
      <w:r w:rsidR="00CB386A">
        <w:t>example,</w:t>
      </w:r>
      <w:r w:rsidR="003D640C">
        <w:t xml:space="preserve"> </w:t>
      </w:r>
      <w:r w:rsidR="00CB386A">
        <w:t>assumptions</w:t>
      </w:r>
      <w:r w:rsidR="003D640C">
        <w:t xml:space="preserve"> </w:t>
      </w:r>
      <w:r w:rsidR="00CB386A">
        <w:t>around</w:t>
      </w:r>
      <w:r w:rsidR="003D640C">
        <w:t xml:space="preserve"> </w:t>
      </w:r>
      <w:r w:rsidR="00CB386A">
        <w:t>sexual</w:t>
      </w:r>
      <w:r w:rsidR="003D640C">
        <w:t xml:space="preserve"> </w:t>
      </w:r>
      <w:r w:rsidR="00CB386A">
        <w:t>expression</w:t>
      </w:r>
      <w:r w:rsidR="003D640C">
        <w:t xml:space="preserve"> </w:t>
      </w:r>
      <w:r w:rsidR="00CB386A">
        <w:t>of</w:t>
      </w:r>
      <w:r w:rsidR="003D640C">
        <w:t xml:space="preserve"> </w:t>
      </w:r>
      <w:r w:rsidR="00CB386A">
        <w:t>people</w:t>
      </w:r>
      <w:r w:rsidR="003D640C">
        <w:t xml:space="preserve"> </w:t>
      </w:r>
      <w:r w:rsidR="00CB386A">
        <w:t>with</w:t>
      </w:r>
      <w:r w:rsidR="003D640C">
        <w:t xml:space="preserve"> </w:t>
      </w:r>
      <w:r w:rsidR="00CB386A">
        <w:t>intellectual</w:t>
      </w:r>
      <w:r w:rsidR="003D640C">
        <w:t xml:space="preserve"> </w:t>
      </w:r>
      <w:r w:rsidR="00CB386A">
        <w:t>disabilities</w:t>
      </w:r>
      <w:r w:rsidR="003D640C">
        <w:t xml:space="preserve"> </w:t>
      </w:r>
      <w:r w:rsidR="00CB386A">
        <w:t>are</w:t>
      </w:r>
      <w:r w:rsidR="003D640C">
        <w:t xml:space="preserve"> </w:t>
      </w:r>
      <w:r w:rsidR="00CB386A">
        <w:t>that</w:t>
      </w:r>
      <w:r w:rsidR="003D640C">
        <w:t xml:space="preserve"> </w:t>
      </w:r>
      <w:r w:rsidR="00CB386A">
        <w:t>they</w:t>
      </w:r>
      <w:r w:rsidR="003D640C">
        <w:t xml:space="preserve"> </w:t>
      </w:r>
      <w:r w:rsidR="00CB386A">
        <w:t>are</w:t>
      </w:r>
      <w:r w:rsidR="003D640C">
        <w:t xml:space="preserve"> </w:t>
      </w:r>
      <w:r w:rsidR="00CB386A">
        <w:t>either</w:t>
      </w:r>
      <w:r w:rsidR="003D640C">
        <w:t xml:space="preserve"> </w:t>
      </w:r>
      <w:r w:rsidR="00CB386A">
        <w:t>asexual</w:t>
      </w:r>
      <w:r w:rsidR="003D640C">
        <w:t xml:space="preserve"> </w:t>
      </w:r>
      <w:r w:rsidR="00CB386A">
        <w:t>or</w:t>
      </w:r>
      <w:r w:rsidR="003D640C">
        <w:t xml:space="preserve"> </w:t>
      </w:r>
      <w:r w:rsidR="00CB386A">
        <w:t>hypersexual,</w:t>
      </w:r>
      <w:r w:rsidR="003D640C">
        <w:t xml:space="preserve"> </w:t>
      </w:r>
      <w:r w:rsidR="00CB386A">
        <w:t>but</w:t>
      </w:r>
      <w:r w:rsidR="003D640C">
        <w:t xml:space="preserve"> </w:t>
      </w:r>
      <w:r w:rsidR="00CB386A">
        <w:t>if</w:t>
      </w:r>
      <w:r w:rsidR="003D640C">
        <w:t xml:space="preserve"> </w:t>
      </w:r>
      <w:r w:rsidR="00CB386A">
        <w:t>sexual,</w:t>
      </w:r>
      <w:r w:rsidR="003D640C">
        <w:t xml:space="preserve"> </w:t>
      </w:r>
      <w:r w:rsidR="00CB386A">
        <w:t>that</w:t>
      </w:r>
      <w:r w:rsidR="003D640C">
        <w:t xml:space="preserve"> </w:t>
      </w:r>
      <w:r w:rsidR="00CB386A">
        <w:t>they</w:t>
      </w:r>
      <w:r w:rsidR="003D640C">
        <w:t xml:space="preserve"> </w:t>
      </w:r>
      <w:r w:rsidR="00CB386A">
        <w:t>are</w:t>
      </w:r>
      <w:r w:rsidR="003D640C">
        <w:t xml:space="preserve"> </w:t>
      </w:r>
      <w:r w:rsidR="00CB386A">
        <w:t>heterosexual</w:t>
      </w:r>
      <w:r w:rsidR="00BE2EF6">
        <w:t>.</w:t>
      </w:r>
      <w:r w:rsidR="00CB386A">
        <w:rPr>
          <w:rStyle w:val="FootnoteReference"/>
        </w:rPr>
        <w:footnoteReference w:id="255"/>
      </w:r>
      <w:r w:rsidR="003D640C">
        <w:t xml:space="preserve"> </w:t>
      </w:r>
    </w:p>
    <w:p w14:paraId="7804CE99" w14:textId="050D1BCC" w:rsidR="008A49CD" w:rsidRDefault="00ED7142" w:rsidP="002E6693">
      <w:r>
        <w:t>In</w:t>
      </w:r>
      <w:r w:rsidR="003D640C">
        <w:t xml:space="preserve"> </w:t>
      </w:r>
      <w:r>
        <w:t>2023,</w:t>
      </w:r>
      <w:r w:rsidR="003D640C">
        <w:t xml:space="preserve"> </w:t>
      </w:r>
      <w:r w:rsidR="006F5271">
        <w:t>the</w:t>
      </w:r>
      <w:r w:rsidR="003D640C">
        <w:t xml:space="preserve"> </w:t>
      </w:r>
      <w:r w:rsidR="006F5271">
        <w:t>United</w:t>
      </w:r>
      <w:r w:rsidR="003D640C">
        <w:t xml:space="preserve"> </w:t>
      </w:r>
      <w:r w:rsidR="006F5271">
        <w:t>Nations</w:t>
      </w:r>
      <w:r w:rsidR="003D640C">
        <w:t xml:space="preserve"> </w:t>
      </w:r>
      <w:r w:rsidR="006F5271">
        <w:t>Independent</w:t>
      </w:r>
      <w:r w:rsidR="003D640C">
        <w:t xml:space="preserve"> </w:t>
      </w:r>
      <w:r w:rsidR="006F5271">
        <w:t>Expert</w:t>
      </w:r>
      <w:r w:rsidR="003D640C">
        <w:t xml:space="preserve"> </w:t>
      </w:r>
      <w:r w:rsidR="006F5271">
        <w:t>on</w:t>
      </w:r>
      <w:r w:rsidR="003D640C">
        <w:t xml:space="preserve"> </w:t>
      </w:r>
      <w:r w:rsidR="006F5271">
        <w:t>Protection</w:t>
      </w:r>
      <w:r w:rsidR="003D640C">
        <w:t xml:space="preserve"> </w:t>
      </w:r>
      <w:r w:rsidR="006F5271">
        <w:t>Against</w:t>
      </w:r>
      <w:r w:rsidR="003D640C">
        <w:t xml:space="preserve"> </w:t>
      </w:r>
      <w:r w:rsidR="006F5271">
        <w:t>Violence</w:t>
      </w:r>
      <w:r w:rsidR="003D640C">
        <w:t xml:space="preserve"> </w:t>
      </w:r>
      <w:r w:rsidR="006F5271">
        <w:t>and</w:t>
      </w:r>
      <w:r w:rsidR="003D640C">
        <w:t xml:space="preserve"> </w:t>
      </w:r>
      <w:r w:rsidR="006F5271">
        <w:t>Discrimination</w:t>
      </w:r>
      <w:r w:rsidR="003D640C">
        <w:t xml:space="preserve"> </w:t>
      </w:r>
      <w:r w:rsidR="006F5271">
        <w:t>Based</w:t>
      </w:r>
      <w:r w:rsidR="003D640C">
        <w:t xml:space="preserve"> </w:t>
      </w:r>
      <w:r w:rsidR="006F5271">
        <w:t>on</w:t>
      </w:r>
      <w:r w:rsidR="003D640C">
        <w:t xml:space="preserve"> </w:t>
      </w:r>
      <w:r w:rsidR="006F5271">
        <w:t>Sexual</w:t>
      </w:r>
      <w:r w:rsidR="003D640C">
        <w:t xml:space="preserve"> </w:t>
      </w:r>
      <w:r w:rsidR="006F5271">
        <w:t>Orientation</w:t>
      </w:r>
      <w:r w:rsidR="003D640C">
        <w:t xml:space="preserve"> </w:t>
      </w:r>
      <w:r w:rsidR="006F5271">
        <w:t>and</w:t>
      </w:r>
      <w:r w:rsidR="003D640C">
        <w:t xml:space="preserve"> </w:t>
      </w:r>
      <w:r w:rsidR="006F5271">
        <w:t>Gender</w:t>
      </w:r>
      <w:r w:rsidR="003D640C">
        <w:t xml:space="preserve"> </w:t>
      </w:r>
      <w:r w:rsidR="006F5271">
        <w:t>Identity</w:t>
      </w:r>
      <w:r w:rsidR="003D640C">
        <w:t xml:space="preserve"> </w:t>
      </w:r>
      <w:r w:rsidR="006F5271">
        <w:t>and</w:t>
      </w:r>
      <w:r w:rsidR="003D640C">
        <w:t xml:space="preserve"> </w:t>
      </w:r>
      <w:r w:rsidR="00F62AB6">
        <w:t xml:space="preserve">the </w:t>
      </w:r>
      <w:r w:rsidR="006F5271">
        <w:t>Special</w:t>
      </w:r>
      <w:r w:rsidR="003D640C">
        <w:t xml:space="preserve"> </w:t>
      </w:r>
      <w:r w:rsidR="006F5271">
        <w:t>Rap</w:t>
      </w:r>
      <w:r w:rsidR="001656DF">
        <w:t>p</w:t>
      </w:r>
      <w:r w:rsidR="006F5271">
        <w:t>orteur</w:t>
      </w:r>
      <w:r w:rsidR="003D640C">
        <w:t xml:space="preserve"> </w:t>
      </w:r>
      <w:r w:rsidR="006F5271">
        <w:t>on</w:t>
      </w:r>
      <w:r w:rsidR="003D640C">
        <w:t xml:space="preserve"> </w:t>
      </w:r>
      <w:r w:rsidR="006F5271">
        <w:t>the</w:t>
      </w:r>
      <w:r w:rsidR="003D640C">
        <w:t xml:space="preserve"> </w:t>
      </w:r>
      <w:r w:rsidR="006F5271">
        <w:t>Rights</w:t>
      </w:r>
      <w:r w:rsidR="003D640C">
        <w:t xml:space="preserve"> </w:t>
      </w:r>
      <w:r w:rsidR="006F5271">
        <w:t>of</w:t>
      </w:r>
      <w:r w:rsidR="003D640C">
        <w:t xml:space="preserve"> </w:t>
      </w:r>
      <w:r w:rsidR="006F5271">
        <w:t>Persons</w:t>
      </w:r>
      <w:r w:rsidR="003D640C">
        <w:t xml:space="preserve"> </w:t>
      </w:r>
      <w:r w:rsidR="006F5271">
        <w:t>with</w:t>
      </w:r>
      <w:r w:rsidR="003D640C">
        <w:t xml:space="preserve"> </w:t>
      </w:r>
      <w:r w:rsidR="006F5271">
        <w:t>Disabilities</w:t>
      </w:r>
      <w:r w:rsidR="003D640C">
        <w:t xml:space="preserve"> </w:t>
      </w:r>
      <w:r>
        <w:t>jointly</w:t>
      </w:r>
      <w:r w:rsidR="003D640C">
        <w:t xml:space="preserve"> </w:t>
      </w:r>
      <w:r>
        <w:t>issued</w:t>
      </w:r>
      <w:r w:rsidR="003D640C">
        <w:t xml:space="preserve"> </w:t>
      </w:r>
      <w:r>
        <w:t>a</w:t>
      </w:r>
      <w:r w:rsidR="003D640C">
        <w:t xml:space="preserve"> </w:t>
      </w:r>
      <w:r>
        <w:t>statement</w:t>
      </w:r>
      <w:r w:rsidR="003D640C">
        <w:t xml:space="preserve"> </w:t>
      </w:r>
      <w:r>
        <w:t>with</w:t>
      </w:r>
      <w:r w:rsidR="003D640C">
        <w:t xml:space="preserve"> </w:t>
      </w:r>
      <w:r>
        <w:t>regards</w:t>
      </w:r>
      <w:r w:rsidR="003D640C">
        <w:t xml:space="preserve"> </w:t>
      </w:r>
      <w:r>
        <w:t>to</w:t>
      </w:r>
      <w:r w:rsidR="003D640C">
        <w:t xml:space="preserve"> </w:t>
      </w:r>
      <w:r w:rsidR="001B4045">
        <w:t>the</w:t>
      </w:r>
      <w:r w:rsidR="003D640C">
        <w:t xml:space="preserve"> </w:t>
      </w:r>
      <w:r w:rsidR="00C158B9">
        <w:t>violence</w:t>
      </w:r>
      <w:r w:rsidR="003D640C">
        <w:t xml:space="preserve"> </w:t>
      </w:r>
      <w:r w:rsidR="00C158B9">
        <w:t>experienced</w:t>
      </w:r>
      <w:r w:rsidR="003D640C">
        <w:t xml:space="preserve"> </w:t>
      </w:r>
      <w:r w:rsidR="00EE2479">
        <w:t>against</w:t>
      </w:r>
      <w:r w:rsidR="003D640C">
        <w:t xml:space="preserve"> </w:t>
      </w:r>
      <w:r w:rsidR="004F5650">
        <w:t xml:space="preserve">disabled </w:t>
      </w:r>
      <w:r>
        <w:t>Rainbow</w:t>
      </w:r>
      <w:r w:rsidR="003D640C">
        <w:t xml:space="preserve"> </w:t>
      </w:r>
      <w:r>
        <w:t>people</w:t>
      </w:r>
      <w:r w:rsidR="00A529F4">
        <w:t>.</w:t>
      </w:r>
      <w:r w:rsidR="003D640C">
        <w:t xml:space="preserve"> </w:t>
      </w:r>
      <w:r w:rsidR="00A529F4">
        <w:t>T</w:t>
      </w:r>
      <w:r w:rsidR="00F374ED">
        <w:t>hey</w:t>
      </w:r>
      <w:r w:rsidR="003D640C">
        <w:t xml:space="preserve"> </w:t>
      </w:r>
      <w:r w:rsidR="009653F5">
        <w:t>expressed</w:t>
      </w:r>
      <w:r w:rsidR="003D640C">
        <w:t xml:space="preserve"> </w:t>
      </w:r>
      <w:r w:rsidR="009653F5">
        <w:t>deep</w:t>
      </w:r>
      <w:r w:rsidR="003D640C">
        <w:t xml:space="preserve"> </w:t>
      </w:r>
      <w:r w:rsidR="009653F5">
        <w:t>concern</w:t>
      </w:r>
      <w:r w:rsidR="003D640C">
        <w:t xml:space="preserve"> </w:t>
      </w:r>
      <w:r w:rsidR="001B4045">
        <w:t>about</w:t>
      </w:r>
      <w:r w:rsidR="003D640C">
        <w:t xml:space="preserve"> </w:t>
      </w:r>
      <w:r w:rsidR="00FF30B9">
        <w:t>the</w:t>
      </w:r>
      <w:r w:rsidR="003D640C">
        <w:t xml:space="preserve"> </w:t>
      </w:r>
      <w:r w:rsidR="00FF30B9">
        <w:t>widely</w:t>
      </w:r>
      <w:r w:rsidR="003D640C">
        <w:t xml:space="preserve"> </w:t>
      </w:r>
      <w:r w:rsidR="00FF30B9">
        <w:t>held</w:t>
      </w:r>
      <w:r w:rsidR="003D640C">
        <w:t xml:space="preserve"> </w:t>
      </w:r>
      <w:r w:rsidR="00FF30B9">
        <w:t>and</w:t>
      </w:r>
      <w:r w:rsidR="003D640C">
        <w:t xml:space="preserve"> </w:t>
      </w:r>
      <w:r w:rsidR="00FF30B9">
        <w:t>dangerous</w:t>
      </w:r>
      <w:r w:rsidR="003D640C">
        <w:t xml:space="preserve"> </w:t>
      </w:r>
      <w:r w:rsidR="00FF30B9">
        <w:t>assumption</w:t>
      </w:r>
      <w:r w:rsidR="003D640C">
        <w:t xml:space="preserve"> </w:t>
      </w:r>
      <w:r w:rsidR="007179FD">
        <w:t>that</w:t>
      </w:r>
      <w:r w:rsidR="003D640C">
        <w:t xml:space="preserve"> </w:t>
      </w:r>
      <w:r w:rsidR="00E04387">
        <w:t>Rainbow</w:t>
      </w:r>
      <w:r w:rsidR="003D640C">
        <w:t xml:space="preserve"> </w:t>
      </w:r>
      <w:r w:rsidR="00E04387">
        <w:t>people</w:t>
      </w:r>
      <w:r w:rsidR="003D640C">
        <w:t xml:space="preserve"> </w:t>
      </w:r>
      <w:r w:rsidR="00E04387">
        <w:t>with</w:t>
      </w:r>
      <w:r w:rsidR="003D640C">
        <w:t xml:space="preserve"> </w:t>
      </w:r>
      <w:r w:rsidR="00F979E3">
        <w:t>impairments</w:t>
      </w:r>
      <w:r w:rsidR="003D640C">
        <w:t xml:space="preserve"> </w:t>
      </w:r>
      <w:r w:rsidR="00E04387">
        <w:t>require</w:t>
      </w:r>
      <w:r w:rsidR="003D640C">
        <w:t xml:space="preserve"> </w:t>
      </w:r>
      <w:r w:rsidR="00E04387">
        <w:t>‘curing’</w:t>
      </w:r>
      <w:r w:rsidR="003D640C">
        <w:t xml:space="preserve"> </w:t>
      </w:r>
      <w:r w:rsidR="00E04387">
        <w:t>and</w:t>
      </w:r>
      <w:r w:rsidR="003D640C">
        <w:t xml:space="preserve"> </w:t>
      </w:r>
      <w:r w:rsidR="00E04387">
        <w:t>‘correcting’</w:t>
      </w:r>
      <w:r w:rsidR="00F62AB6">
        <w:t>.</w:t>
      </w:r>
    </w:p>
    <w:p w14:paraId="1FAB9F28" w14:textId="6A8019DE" w:rsidR="00501068" w:rsidRDefault="00A8698E" w:rsidP="002E6693">
      <w:pPr>
        <w:pStyle w:val="Quote"/>
      </w:pPr>
      <w:r>
        <w:lastRenderedPageBreak/>
        <w:t>This</w:t>
      </w:r>
      <w:r w:rsidR="003D640C">
        <w:t xml:space="preserve"> </w:t>
      </w:r>
      <w:r>
        <w:t>prejudice</w:t>
      </w:r>
      <w:r w:rsidR="003D640C">
        <w:t xml:space="preserve"> </w:t>
      </w:r>
      <w:r>
        <w:t>lies</w:t>
      </w:r>
      <w:r w:rsidR="003D640C">
        <w:t xml:space="preserve"> </w:t>
      </w:r>
      <w:r>
        <w:t>at</w:t>
      </w:r>
      <w:r w:rsidR="003D640C">
        <w:t xml:space="preserve"> </w:t>
      </w:r>
      <w:r>
        <w:t>the</w:t>
      </w:r>
      <w:r w:rsidR="003D640C">
        <w:t xml:space="preserve"> </w:t>
      </w:r>
      <w:r>
        <w:t>root</w:t>
      </w:r>
      <w:r w:rsidR="003D640C">
        <w:t xml:space="preserve"> </w:t>
      </w:r>
      <w:r>
        <w:t>of</w:t>
      </w:r>
      <w:r w:rsidR="003D640C">
        <w:t xml:space="preserve"> </w:t>
      </w:r>
      <w:r>
        <w:t>violence</w:t>
      </w:r>
      <w:r w:rsidR="003D640C">
        <w:t xml:space="preserve"> </w:t>
      </w:r>
      <w:r>
        <w:t>against</w:t>
      </w:r>
      <w:r w:rsidR="003D640C">
        <w:t xml:space="preserve"> </w:t>
      </w:r>
      <w:r>
        <w:t>them</w:t>
      </w:r>
      <w:r w:rsidR="00E953A1">
        <w:t>.</w:t>
      </w:r>
      <w:r w:rsidR="003D640C">
        <w:t xml:space="preserve"> </w:t>
      </w:r>
      <w:r w:rsidR="00E953A1">
        <w:t>Including</w:t>
      </w:r>
      <w:r w:rsidR="003D640C">
        <w:t xml:space="preserve"> </w:t>
      </w:r>
      <w:r w:rsidR="00E953A1">
        <w:t>practices</w:t>
      </w:r>
      <w:r w:rsidR="003D640C">
        <w:t xml:space="preserve"> </w:t>
      </w:r>
      <w:r w:rsidR="00E953A1">
        <w:t>of</w:t>
      </w:r>
      <w:r w:rsidR="003D640C">
        <w:t xml:space="preserve"> </w:t>
      </w:r>
      <w:r w:rsidR="00E953A1">
        <w:t>correction</w:t>
      </w:r>
      <w:r w:rsidR="003D640C">
        <w:t xml:space="preserve"> </w:t>
      </w:r>
      <w:r w:rsidR="00E953A1">
        <w:t>or</w:t>
      </w:r>
      <w:r w:rsidR="003D640C">
        <w:t xml:space="preserve"> </w:t>
      </w:r>
      <w:r w:rsidR="00E953A1">
        <w:t>conversion</w:t>
      </w:r>
      <w:r w:rsidR="003D640C">
        <w:t xml:space="preserve"> </w:t>
      </w:r>
      <w:r w:rsidR="00E953A1">
        <w:t>and</w:t>
      </w:r>
      <w:r w:rsidR="003D640C">
        <w:t xml:space="preserve"> </w:t>
      </w:r>
      <w:r w:rsidR="00E953A1">
        <w:t>the</w:t>
      </w:r>
      <w:r w:rsidR="003D640C">
        <w:t xml:space="preserve"> </w:t>
      </w:r>
      <w:r w:rsidR="00E953A1">
        <w:t>denial</w:t>
      </w:r>
      <w:r w:rsidR="003D640C">
        <w:t xml:space="preserve"> </w:t>
      </w:r>
      <w:r w:rsidR="00E953A1">
        <w:t>of</w:t>
      </w:r>
      <w:r w:rsidR="003D640C">
        <w:t xml:space="preserve"> </w:t>
      </w:r>
      <w:r w:rsidR="00E953A1">
        <w:t>agency</w:t>
      </w:r>
      <w:r w:rsidR="003D640C">
        <w:t xml:space="preserve"> </w:t>
      </w:r>
      <w:r w:rsidR="00E953A1">
        <w:t>in</w:t>
      </w:r>
      <w:r w:rsidR="003D640C">
        <w:t xml:space="preserve"> </w:t>
      </w:r>
      <w:r w:rsidR="00E953A1">
        <w:t>decisions</w:t>
      </w:r>
      <w:r w:rsidR="003D640C">
        <w:t xml:space="preserve"> </w:t>
      </w:r>
      <w:r w:rsidR="00E953A1">
        <w:t>about</w:t>
      </w:r>
      <w:r w:rsidR="003D640C">
        <w:t xml:space="preserve"> </w:t>
      </w:r>
      <w:r w:rsidR="00E953A1">
        <w:t>their</w:t>
      </w:r>
      <w:r w:rsidR="003D640C">
        <w:t xml:space="preserve"> </w:t>
      </w:r>
      <w:r w:rsidR="00E953A1">
        <w:t>bodies,</w:t>
      </w:r>
      <w:r w:rsidR="003D640C">
        <w:t xml:space="preserve"> </w:t>
      </w:r>
      <w:r w:rsidR="00E953A1">
        <w:t>forced</w:t>
      </w:r>
      <w:r w:rsidR="003D640C">
        <w:t xml:space="preserve"> </w:t>
      </w:r>
      <w:r w:rsidR="00E953A1">
        <w:t>sterilisation,</w:t>
      </w:r>
      <w:r w:rsidR="003D640C">
        <w:t xml:space="preserve"> </w:t>
      </w:r>
      <w:r w:rsidR="00E953A1">
        <w:t>and</w:t>
      </w:r>
      <w:r w:rsidR="003D640C">
        <w:t xml:space="preserve"> </w:t>
      </w:r>
      <w:r w:rsidR="00E953A1">
        <w:t>interventions</w:t>
      </w:r>
      <w:r w:rsidR="003D640C">
        <w:t xml:space="preserve"> </w:t>
      </w:r>
      <w:r w:rsidR="00F62AB6">
        <w:t>–</w:t>
      </w:r>
      <w:r w:rsidR="003D640C">
        <w:t xml:space="preserve"> </w:t>
      </w:r>
      <w:r w:rsidR="00E953A1">
        <w:t>medical</w:t>
      </w:r>
      <w:r w:rsidR="003D640C">
        <w:t xml:space="preserve"> </w:t>
      </w:r>
      <w:r w:rsidR="00E953A1">
        <w:t>or</w:t>
      </w:r>
      <w:r w:rsidR="003D640C">
        <w:t xml:space="preserve"> </w:t>
      </w:r>
      <w:r w:rsidR="00E953A1">
        <w:t>otherwise</w:t>
      </w:r>
      <w:r w:rsidR="003D640C">
        <w:t xml:space="preserve"> </w:t>
      </w:r>
      <w:r w:rsidR="00F62AB6">
        <w:t>–</w:t>
      </w:r>
      <w:r w:rsidR="003D640C">
        <w:t xml:space="preserve"> </w:t>
      </w:r>
      <w:r w:rsidR="00E953A1">
        <w:t>to</w:t>
      </w:r>
      <w:r w:rsidR="003D640C">
        <w:t xml:space="preserve"> </w:t>
      </w:r>
      <w:r w:rsidR="00E953A1">
        <w:t>which</w:t>
      </w:r>
      <w:r w:rsidR="003D640C">
        <w:t xml:space="preserve"> </w:t>
      </w:r>
      <w:r w:rsidR="00E953A1">
        <w:t>they</w:t>
      </w:r>
      <w:r w:rsidR="003D640C">
        <w:t xml:space="preserve"> </w:t>
      </w:r>
      <w:r w:rsidR="00E953A1">
        <w:t>are</w:t>
      </w:r>
      <w:r w:rsidR="003D640C">
        <w:t xml:space="preserve"> </w:t>
      </w:r>
      <w:r w:rsidR="00E953A1">
        <w:t>subjected</w:t>
      </w:r>
      <w:r w:rsidR="00FF30B9">
        <w:t>.</w:t>
      </w:r>
      <w:r w:rsidR="00F450F8">
        <w:rPr>
          <w:rStyle w:val="FootnoteReference"/>
        </w:rPr>
        <w:footnoteReference w:id="256"/>
      </w:r>
    </w:p>
    <w:p w14:paraId="092B9BF8" w14:textId="4ECEC5DD" w:rsidR="0027639D" w:rsidRDefault="007E1CD4" w:rsidP="002C6363">
      <w:pPr>
        <w:pStyle w:val="Heading3"/>
      </w:pPr>
      <w:bookmarkStart w:id="327" w:name="_Toc414883471"/>
      <w:bookmarkStart w:id="328" w:name="_Toc174628691"/>
      <w:r>
        <w:t>Data</w:t>
      </w:r>
      <w:r w:rsidR="003D640C">
        <w:t xml:space="preserve"> </w:t>
      </w:r>
      <w:r>
        <w:t>on</w:t>
      </w:r>
      <w:r w:rsidR="003D640C">
        <w:t xml:space="preserve"> </w:t>
      </w:r>
      <w:r w:rsidR="004F5650">
        <w:t xml:space="preserve">disabled </w:t>
      </w:r>
      <w:r>
        <w:t>Rainbow</w:t>
      </w:r>
      <w:r w:rsidR="003D640C">
        <w:t xml:space="preserve"> </w:t>
      </w:r>
      <w:r w:rsidR="00EF310F">
        <w:t>people</w:t>
      </w:r>
      <w:bookmarkEnd w:id="327"/>
      <w:bookmarkEnd w:id="328"/>
      <w:r w:rsidR="00EF310F">
        <w:t xml:space="preserve"> </w:t>
      </w:r>
    </w:p>
    <w:p w14:paraId="49DF5D25" w14:textId="39A2941C" w:rsidR="00432033" w:rsidRPr="00BB6220" w:rsidRDefault="00432033" w:rsidP="002E6693">
      <w:r w:rsidRPr="00BB6220">
        <w:t>In</w:t>
      </w:r>
      <w:r w:rsidR="003D640C">
        <w:t xml:space="preserve"> </w:t>
      </w:r>
      <w:r w:rsidRPr="00BB6220">
        <w:t>Aotearoa,</w:t>
      </w:r>
      <w:r w:rsidR="003D640C">
        <w:t xml:space="preserve"> </w:t>
      </w:r>
      <w:r w:rsidR="00820CD8" w:rsidRPr="00820CD8">
        <w:t>Stat</w:t>
      </w:r>
      <w:r w:rsidR="00F62AB6">
        <w:t>s</w:t>
      </w:r>
      <w:r w:rsidR="003D640C">
        <w:t xml:space="preserve"> </w:t>
      </w:r>
      <w:r w:rsidR="00820CD8" w:rsidRPr="00820CD8">
        <w:t>NZ</w:t>
      </w:r>
      <w:r w:rsidR="00CD3E06">
        <w:t>’</w:t>
      </w:r>
      <w:r w:rsidR="00820CD8" w:rsidRPr="00820CD8">
        <w:t>s</w:t>
      </w:r>
      <w:r w:rsidR="003D640C">
        <w:t xml:space="preserve"> </w:t>
      </w:r>
      <w:r w:rsidR="00820CD8" w:rsidRPr="00820CD8">
        <w:t>202</w:t>
      </w:r>
      <w:r w:rsidR="003B3B95">
        <w:t>1</w:t>
      </w:r>
      <w:r w:rsidR="003D640C">
        <w:t xml:space="preserve"> </w:t>
      </w:r>
      <w:r w:rsidR="00820CD8" w:rsidRPr="00820CD8">
        <w:t>Household</w:t>
      </w:r>
      <w:r w:rsidR="003D640C">
        <w:t xml:space="preserve"> </w:t>
      </w:r>
      <w:r w:rsidR="00820CD8" w:rsidRPr="00820CD8">
        <w:t>Economic</w:t>
      </w:r>
      <w:r w:rsidR="003D640C">
        <w:t xml:space="preserve"> </w:t>
      </w:r>
      <w:r w:rsidR="00820CD8" w:rsidRPr="00820CD8">
        <w:t>Survey</w:t>
      </w:r>
      <w:r w:rsidR="003D640C">
        <w:t xml:space="preserve"> </w:t>
      </w:r>
      <w:r w:rsidR="00820CD8" w:rsidRPr="00820CD8">
        <w:t>classified</w:t>
      </w:r>
      <w:r w:rsidR="003D640C">
        <w:t xml:space="preserve"> </w:t>
      </w:r>
      <w:r w:rsidR="1F254826" w:rsidRPr="00BB6220">
        <w:t>about</w:t>
      </w:r>
      <w:r w:rsidR="003D640C">
        <w:t xml:space="preserve"> </w:t>
      </w:r>
      <w:r w:rsidRPr="00BB6220">
        <w:t>1</w:t>
      </w:r>
      <w:r w:rsidR="00AD1C9A" w:rsidRPr="00BB6220">
        <w:t>6</w:t>
      </w:r>
      <w:r w:rsidR="001D1BF7">
        <w:t xml:space="preserve"> percent</w:t>
      </w:r>
      <w:r w:rsidR="003D640C">
        <w:t xml:space="preserve"> </w:t>
      </w:r>
      <w:r w:rsidRPr="00BB6220">
        <w:t>of</w:t>
      </w:r>
      <w:r w:rsidR="003D640C">
        <w:t xml:space="preserve"> </w:t>
      </w:r>
      <w:r w:rsidR="006F25B7">
        <w:t>LGBT+</w:t>
      </w:r>
      <w:r w:rsidR="003D640C">
        <w:t xml:space="preserve"> </w:t>
      </w:r>
      <w:r w:rsidRPr="00BB6220">
        <w:t>adults</w:t>
      </w:r>
      <w:r w:rsidR="003D640C">
        <w:t xml:space="preserve"> </w:t>
      </w:r>
      <w:r w:rsidR="009D5C34">
        <w:t>as</w:t>
      </w:r>
      <w:r w:rsidR="003D640C">
        <w:t xml:space="preserve"> </w:t>
      </w:r>
      <w:r w:rsidRPr="00BB6220">
        <w:t>disab</w:t>
      </w:r>
      <w:r w:rsidR="0082104D">
        <w:t>le</w:t>
      </w:r>
      <w:r w:rsidRPr="00BB6220">
        <w:t>d</w:t>
      </w:r>
      <w:r w:rsidR="003D640C">
        <w:t xml:space="preserve"> </w:t>
      </w:r>
      <w:r w:rsidRPr="00BB6220">
        <w:t>compared</w:t>
      </w:r>
      <w:r w:rsidR="003D640C">
        <w:t xml:space="preserve"> </w:t>
      </w:r>
      <w:r w:rsidR="00957DED">
        <w:t xml:space="preserve">to </w:t>
      </w:r>
      <w:r w:rsidRPr="00BB6220">
        <w:t>12</w:t>
      </w:r>
      <w:r w:rsidR="001D1BF7">
        <w:t xml:space="preserve"> percent</w:t>
      </w:r>
      <w:r w:rsidR="003D640C">
        <w:t xml:space="preserve"> </w:t>
      </w:r>
      <w:r w:rsidR="00F62AB6">
        <w:t xml:space="preserve">of </w:t>
      </w:r>
      <w:r w:rsidRPr="00BB6220">
        <w:t>non-</w:t>
      </w:r>
      <w:r w:rsidR="00CD6609">
        <w:t>LGBT+</w:t>
      </w:r>
      <w:r w:rsidR="003D640C">
        <w:t xml:space="preserve"> </w:t>
      </w:r>
      <w:r w:rsidRPr="00BB6220">
        <w:t>adults.</w:t>
      </w:r>
      <w:r w:rsidR="00A35A1F" w:rsidRPr="00BB6220">
        <w:rPr>
          <w:rStyle w:val="FootnoteReference"/>
          <w:rFonts w:ascii="Calibri" w:hAnsi="Calibri" w:cs="Calibri"/>
        </w:rPr>
        <w:footnoteReference w:id="257"/>
      </w:r>
      <w:r w:rsidR="003D640C">
        <w:t xml:space="preserve"> </w:t>
      </w:r>
      <w:r w:rsidRPr="00BB6220">
        <w:t>This</w:t>
      </w:r>
      <w:r w:rsidR="003D640C">
        <w:t xml:space="preserve"> </w:t>
      </w:r>
      <w:r w:rsidRPr="00BB6220">
        <w:t>disparity</w:t>
      </w:r>
      <w:r w:rsidR="003D640C">
        <w:t xml:space="preserve"> </w:t>
      </w:r>
      <w:r w:rsidR="00F41CBC">
        <w:t>may</w:t>
      </w:r>
      <w:r w:rsidR="003D640C">
        <w:t xml:space="preserve"> </w:t>
      </w:r>
      <w:r w:rsidR="00F41CBC">
        <w:t>be</w:t>
      </w:r>
      <w:r w:rsidR="003D640C">
        <w:t xml:space="preserve"> </w:t>
      </w:r>
      <w:r w:rsidRPr="00BB6220">
        <w:t>wide</w:t>
      </w:r>
      <w:r w:rsidR="00E045A3" w:rsidRPr="00BB6220">
        <w:t>r</w:t>
      </w:r>
      <w:r w:rsidR="003D640C">
        <w:t xml:space="preserve"> </w:t>
      </w:r>
      <w:r w:rsidR="00DB478B" w:rsidRPr="00BB6220">
        <w:t>among</w:t>
      </w:r>
      <w:r w:rsidR="003D640C">
        <w:t xml:space="preserve"> </w:t>
      </w:r>
      <w:r w:rsidRPr="00BB6220">
        <w:t>youth,</w:t>
      </w:r>
      <w:r w:rsidR="003D640C">
        <w:t xml:space="preserve"> </w:t>
      </w:r>
      <w:r w:rsidRPr="00BB6220">
        <w:t>with</w:t>
      </w:r>
      <w:r w:rsidR="003D640C">
        <w:t xml:space="preserve"> </w:t>
      </w:r>
      <w:r w:rsidRPr="00BB6220">
        <w:t>a</w:t>
      </w:r>
      <w:r w:rsidR="003D640C">
        <w:t xml:space="preserve"> </w:t>
      </w:r>
      <w:r w:rsidRPr="00BB6220">
        <w:t>2022</w:t>
      </w:r>
      <w:r w:rsidR="003D640C">
        <w:t xml:space="preserve"> </w:t>
      </w:r>
      <w:r w:rsidRPr="00BB6220">
        <w:t>study</w:t>
      </w:r>
      <w:r w:rsidR="003D640C">
        <w:t xml:space="preserve"> </w:t>
      </w:r>
      <w:r w:rsidRPr="00BB6220">
        <w:t>reporting</w:t>
      </w:r>
      <w:r w:rsidR="003D640C">
        <w:t xml:space="preserve"> </w:t>
      </w:r>
      <w:r w:rsidRPr="00BB6220">
        <w:t>that</w:t>
      </w:r>
      <w:r w:rsidR="003D640C">
        <w:t xml:space="preserve"> </w:t>
      </w:r>
      <w:r w:rsidR="58AF106A" w:rsidRPr="00BB6220">
        <w:t>about</w:t>
      </w:r>
      <w:r w:rsidR="003D640C">
        <w:t xml:space="preserve"> </w:t>
      </w:r>
      <w:r w:rsidRPr="00BB6220">
        <w:t>40</w:t>
      </w:r>
      <w:r w:rsidR="001D1BF7">
        <w:t xml:space="preserve"> percent</w:t>
      </w:r>
      <w:r w:rsidR="003D640C">
        <w:t xml:space="preserve"> </w:t>
      </w:r>
      <w:r w:rsidRPr="00BB6220">
        <w:t>of</w:t>
      </w:r>
      <w:r w:rsidR="003D640C">
        <w:t xml:space="preserve"> </w:t>
      </w:r>
      <w:r w:rsidR="00BE31D6">
        <w:t>Rainbow</w:t>
      </w:r>
      <w:r w:rsidR="003D640C">
        <w:t xml:space="preserve"> </w:t>
      </w:r>
      <w:r w:rsidRPr="00BB6220">
        <w:t>young</w:t>
      </w:r>
      <w:r w:rsidR="003D640C">
        <w:t xml:space="preserve"> </w:t>
      </w:r>
      <w:r w:rsidRPr="00BB6220">
        <w:t>people</w:t>
      </w:r>
      <w:r w:rsidR="003D640C">
        <w:t xml:space="preserve"> </w:t>
      </w:r>
      <w:r w:rsidR="004916D7">
        <w:t>surveyed</w:t>
      </w:r>
      <w:r w:rsidR="003D640C">
        <w:t xml:space="preserve"> </w:t>
      </w:r>
      <w:r w:rsidR="00F41CBC">
        <w:t>identified</w:t>
      </w:r>
      <w:r w:rsidR="003D640C">
        <w:t xml:space="preserve"> </w:t>
      </w:r>
      <w:r w:rsidR="00F41CBC">
        <w:t>as</w:t>
      </w:r>
      <w:r w:rsidR="003D640C">
        <w:t xml:space="preserve"> </w:t>
      </w:r>
      <w:r w:rsidR="001C46BF" w:rsidRPr="00BB6220">
        <w:t>neurodiverse</w:t>
      </w:r>
      <w:r w:rsidR="003D640C">
        <w:t xml:space="preserve"> </w:t>
      </w:r>
      <w:r w:rsidR="001C46BF" w:rsidRPr="00BB6220">
        <w:t>or</w:t>
      </w:r>
      <w:r w:rsidR="003D640C">
        <w:t xml:space="preserve"> </w:t>
      </w:r>
      <w:r w:rsidR="001C46BF" w:rsidRPr="00BB6220">
        <w:t>physically</w:t>
      </w:r>
      <w:r w:rsidR="003D640C">
        <w:t xml:space="preserve"> </w:t>
      </w:r>
      <w:r w:rsidRPr="00BB6220">
        <w:t>disabled.</w:t>
      </w:r>
      <w:r w:rsidR="00205EC7" w:rsidRPr="00BB6220">
        <w:rPr>
          <w:rStyle w:val="FootnoteReference"/>
          <w:rFonts w:ascii="Calibri" w:hAnsi="Calibri" w:cs="Calibri"/>
        </w:rPr>
        <w:footnoteReference w:id="258"/>
      </w:r>
      <w:r w:rsidR="003D640C">
        <w:t xml:space="preserve"> </w:t>
      </w:r>
    </w:p>
    <w:p w14:paraId="5E4ECE6A" w14:textId="45EEBC78" w:rsidR="00D51079" w:rsidRDefault="005973BC" w:rsidP="002E6693">
      <w:r>
        <w:t>Youth19</w:t>
      </w:r>
      <w:r w:rsidR="003D640C">
        <w:t xml:space="preserve"> </w:t>
      </w:r>
      <w:r w:rsidR="00B53680">
        <w:t>is</w:t>
      </w:r>
      <w:r w:rsidR="003D640C">
        <w:t xml:space="preserve"> </w:t>
      </w:r>
      <w:r>
        <w:t>a</w:t>
      </w:r>
      <w:r w:rsidR="003D640C">
        <w:t xml:space="preserve"> </w:t>
      </w:r>
      <w:r>
        <w:t>study</w:t>
      </w:r>
      <w:r w:rsidR="003D640C">
        <w:t xml:space="preserve"> </w:t>
      </w:r>
      <w:r w:rsidR="00D73874">
        <w:t>exploring</w:t>
      </w:r>
      <w:r w:rsidR="003D640C">
        <w:t xml:space="preserve"> </w:t>
      </w:r>
      <w:r w:rsidR="00D73874">
        <w:t>the</w:t>
      </w:r>
      <w:r w:rsidR="003D640C">
        <w:t xml:space="preserve"> </w:t>
      </w:r>
      <w:r w:rsidR="00D73874">
        <w:t>wellbeing</w:t>
      </w:r>
      <w:r w:rsidR="003D640C">
        <w:t xml:space="preserve"> </w:t>
      </w:r>
      <w:r w:rsidR="00D73874">
        <w:t>of</w:t>
      </w:r>
      <w:r w:rsidR="003D640C">
        <w:t xml:space="preserve"> </w:t>
      </w:r>
      <w:r w:rsidR="00D73874">
        <w:t>Aotearoa</w:t>
      </w:r>
      <w:r w:rsidR="003D640C">
        <w:t xml:space="preserve"> </w:t>
      </w:r>
      <w:r w:rsidR="00D73874">
        <w:t>New</w:t>
      </w:r>
      <w:r w:rsidR="003D640C">
        <w:t xml:space="preserve"> </w:t>
      </w:r>
      <w:r w:rsidR="00D73874">
        <w:t>Zealand</w:t>
      </w:r>
      <w:r w:rsidR="003D640C">
        <w:t xml:space="preserve"> </w:t>
      </w:r>
      <w:r w:rsidR="00D73874">
        <w:t>secondary</w:t>
      </w:r>
      <w:r w:rsidR="003D640C">
        <w:t xml:space="preserve"> </w:t>
      </w:r>
      <w:r w:rsidR="00D73874">
        <w:t>school</w:t>
      </w:r>
      <w:r w:rsidR="003D640C">
        <w:t xml:space="preserve"> </w:t>
      </w:r>
      <w:r w:rsidR="00E84ED9">
        <w:t>students</w:t>
      </w:r>
      <w:r w:rsidR="003D640C">
        <w:t xml:space="preserve"> </w:t>
      </w:r>
      <w:r w:rsidR="00E84ED9">
        <w:t>w</w:t>
      </w:r>
      <w:r w:rsidR="00B73982">
        <w:t>i</w:t>
      </w:r>
      <w:r w:rsidR="00E84ED9">
        <w:t>th</w:t>
      </w:r>
      <w:r w:rsidR="003D640C">
        <w:t xml:space="preserve"> </w:t>
      </w:r>
      <w:r w:rsidR="00E84ED9">
        <w:t>an</w:t>
      </w:r>
      <w:r w:rsidR="003D640C">
        <w:t xml:space="preserve"> </w:t>
      </w:r>
      <w:r w:rsidR="00E84ED9">
        <w:t>intersectional</w:t>
      </w:r>
      <w:r w:rsidR="003D640C">
        <w:t xml:space="preserve"> </w:t>
      </w:r>
      <w:r w:rsidR="00E84ED9">
        <w:t>lens</w:t>
      </w:r>
      <w:r w:rsidR="003D640C">
        <w:t xml:space="preserve"> </w:t>
      </w:r>
      <w:r w:rsidR="00B53680">
        <w:t>that</w:t>
      </w:r>
      <w:r w:rsidR="003D640C">
        <w:t xml:space="preserve"> </w:t>
      </w:r>
      <w:r w:rsidR="00B53680">
        <w:t>provides</w:t>
      </w:r>
      <w:r w:rsidR="003D640C">
        <w:t xml:space="preserve"> </w:t>
      </w:r>
      <w:r w:rsidR="00B53680">
        <w:t>some</w:t>
      </w:r>
      <w:r w:rsidR="003D640C">
        <w:t xml:space="preserve"> </w:t>
      </w:r>
      <w:r w:rsidR="00B53680">
        <w:t>insights</w:t>
      </w:r>
      <w:r w:rsidR="003D640C">
        <w:t xml:space="preserve"> </w:t>
      </w:r>
      <w:r w:rsidR="00B53680">
        <w:t>on</w:t>
      </w:r>
      <w:r w:rsidR="003D640C">
        <w:t xml:space="preserve"> </w:t>
      </w:r>
      <w:r w:rsidR="00B53680">
        <w:t>the</w:t>
      </w:r>
      <w:r w:rsidR="003D640C">
        <w:t xml:space="preserve"> </w:t>
      </w:r>
      <w:r w:rsidR="00B53680">
        <w:t>intersectional</w:t>
      </w:r>
      <w:r w:rsidR="003D640C">
        <w:t xml:space="preserve"> </w:t>
      </w:r>
      <w:r w:rsidR="00B53680">
        <w:t>experience</w:t>
      </w:r>
      <w:r w:rsidR="003D640C">
        <w:t xml:space="preserve"> </w:t>
      </w:r>
      <w:r w:rsidR="00B53680">
        <w:t>of</w:t>
      </w:r>
      <w:r w:rsidR="003D640C">
        <w:t xml:space="preserve"> </w:t>
      </w:r>
      <w:r w:rsidR="004F5650">
        <w:t xml:space="preserve">disabled </w:t>
      </w:r>
      <w:r w:rsidR="00B53680">
        <w:t>Rainbow</w:t>
      </w:r>
      <w:r w:rsidR="003D640C">
        <w:t xml:space="preserve"> </w:t>
      </w:r>
      <w:r w:rsidR="00B53680">
        <w:t>young</w:t>
      </w:r>
      <w:r w:rsidR="003D640C">
        <w:t xml:space="preserve"> </w:t>
      </w:r>
      <w:r w:rsidR="00B53680">
        <w:t>people</w:t>
      </w:r>
      <w:r w:rsidR="00F62AB6">
        <w:t>.</w:t>
      </w:r>
      <w:r w:rsidR="00B53680">
        <w:rPr>
          <w:rStyle w:val="FootnoteReference"/>
          <w:rFonts w:ascii="Calibri" w:hAnsi="Calibri" w:cs="Calibri"/>
        </w:rPr>
        <w:footnoteReference w:id="259"/>
      </w:r>
      <w:r w:rsidR="003D640C">
        <w:t xml:space="preserve"> </w:t>
      </w:r>
      <w:r w:rsidR="00CC4658">
        <w:t>This</w:t>
      </w:r>
      <w:r w:rsidR="003D640C">
        <w:t xml:space="preserve"> </w:t>
      </w:r>
      <w:r w:rsidR="00CC4658">
        <w:t>study</w:t>
      </w:r>
      <w:r w:rsidR="003D640C">
        <w:t xml:space="preserve"> </w:t>
      </w:r>
      <w:r w:rsidR="0048043D">
        <w:t>draws</w:t>
      </w:r>
      <w:r w:rsidR="003D640C">
        <w:t xml:space="preserve"> </w:t>
      </w:r>
      <w:r w:rsidR="0048043D">
        <w:t>from</w:t>
      </w:r>
      <w:r w:rsidR="003D640C">
        <w:t xml:space="preserve"> </w:t>
      </w:r>
      <w:r w:rsidR="0048043D">
        <w:t>survey</w:t>
      </w:r>
      <w:r w:rsidR="002326AF">
        <w:t>s</w:t>
      </w:r>
      <w:r w:rsidR="003D640C">
        <w:t xml:space="preserve"> </w:t>
      </w:r>
      <w:r w:rsidR="002326AF">
        <w:t>with</w:t>
      </w:r>
      <w:r w:rsidR="003D640C">
        <w:t xml:space="preserve"> </w:t>
      </w:r>
      <w:r w:rsidR="002326AF">
        <w:t>36,000</w:t>
      </w:r>
      <w:r w:rsidR="003D640C">
        <w:t xml:space="preserve"> </w:t>
      </w:r>
      <w:r w:rsidR="002326AF">
        <w:t>young</w:t>
      </w:r>
      <w:r w:rsidR="003D640C">
        <w:t xml:space="preserve"> </w:t>
      </w:r>
      <w:r w:rsidR="002326AF">
        <w:t>people</w:t>
      </w:r>
      <w:r w:rsidR="003D640C">
        <w:t xml:space="preserve"> </w:t>
      </w:r>
      <w:r w:rsidR="002725DD">
        <w:t>conducted</w:t>
      </w:r>
      <w:r w:rsidR="003D640C">
        <w:t xml:space="preserve"> </w:t>
      </w:r>
      <w:r w:rsidR="002725DD">
        <w:t>in</w:t>
      </w:r>
      <w:r w:rsidR="003D640C">
        <w:t xml:space="preserve"> </w:t>
      </w:r>
      <w:r w:rsidR="002725DD">
        <w:t>2019</w:t>
      </w:r>
      <w:r w:rsidR="00C342F3">
        <w:t>.</w:t>
      </w:r>
      <w:r w:rsidR="003D640C">
        <w:t xml:space="preserve"> </w:t>
      </w:r>
      <w:r w:rsidR="00C342F3">
        <w:t>The</w:t>
      </w:r>
      <w:r w:rsidR="003D640C">
        <w:t xml:space="preserve"> </w:t>
      </w:r>
      <w:r w:rsidR="00CC4658">
        <w:t>study</w:t>
      </w:r>
      <w:r w:rsidR="003D640C">
        <w:t xml:space="preserve"> </w:t>
      </w:r>
      <w:r w:rsidR="009E512D">
        <w:t>found</w:t>
      </w:r>
      <w:r w:rsidR="003D640C">
        <w:t xml:space="preserve"> </w:t>
      </w:r>
      <w:r w:rsidR="009E512D">
        <w:t>that</w:t>
      </w:r>
      <w:r w:rsidR="003D640C">
        <w:t xml:space="preserve"> </w:t>
      </w:r>
      <w:r w:rsidR="009E512D">
        <w:t>disabled</w:t>
      </w:r>
      <w:r w:rsidR="003D640C">
        <w:t xml:space="preserve"> </w:t>
      </w:r>
      <w:r w:rsidR="009E512D">
        <w:t>Rainbow</w:t>
      </w:r>
      <w:r w:rsidR="003D640C">
        <w:t xml:space="preserve"> </w:t>
      </w:r>
      <w:r w:rsidR="009E512D">
        <w:t>young</w:t>
      </w:r>
      <w:r w:rsidR="003D640C">
        <w:t xml:space="preserve"> </w:t>
      </w:r>
      <w:r w:rsidR="009E512D">
        <w:t>people</w:t>
      </w:r>
      <w:r w:rsidR="003D640C">
        <w:t xml:space="preserve"> </w:t>
      </w:r>
      <w:r w:rsidR="00A92764">
        <w:t>reported</w:t>
      </w:r>
      <w:r w:rsidR="003D640C">
        <w:t xml:space="preserve"> </w:t>
      </w:r>
      <w:r w:rsidR="00A92764">
        <w:t>multiple</w:t>
      </w:r>
      <w:r w:rsidR="003D640C">
        <w:t xml:space="preserve"> </w:t>
      </w:r>
      <w:r w:rsidR="00A92764">
        <w:t>inequities</w:t>
      </w:r>
      <w:r w:rsidR="003D640C">
        <w:t xml:space="preserve"> </w:t>
      </w:r>
      <w:r w:rsidR="00A92764">
        <w:t>and</w:t>
      </w:r>
      <w:r w:rsidR="003D640C">
        <w:t xml:space="preserve"> </w:t>
      </w:r>
      <w:r w:rsidR="00A92764">
        <w:t>challenges</w:t>
      </w:r>
      <w:r w:rsidR="00576717">
        <w:t>.</w:t>
      </w:r>
      <w:r w:rsidR="003D640C">
        <w:t xml:space="preserve"> </w:t>
      </w:r>
      <w:r w:rsidR="00576717">
        <w:t>Rainbow</w:t>
      </w:r>
      <w:r w:rsidR="003D640C">
        <w:t xml:space="preserve"> </w:t>
      </w:r>
      <w:r w:rsidR="00576717">
        <w:t>young</w:t>
      </w:r>
      <w:r w:rsidR="003D640C">
        <w:t xml:space="preserve"> </w:t>
      </w:r>
      <w:r w:rsidR="00576717">
        <w:t>people</w:t>
      </w:r>
      <w:r w:rsidR="003D640C">
        <w:t xml:space="preserve"> </w:t>
      </w:r>
      <w:r w:rsidR="00576717">
        <w:t>with</w:t>
      </w:r>
      <w:r w:rsidR="003D640C">
        <w:t xml:space="preserve"> </w:t>
      </w:r>
      <w:r w:rsidR="00576717">
        <w:t>a</w:t>
      </w:r>
      <w:r w:rsidR="003D640C">
        <w:t xml:space="preserve"> </w:t>
      </w:r>
      <w:r w:rsidR="00576717">
        <w:t>disability</w:t>
      </w:r>
      <w:r w:rsidR="003D640C">
        <w:t xml:space="preserve"> </w:t>
      </w:r>
      <w:r w:rsidR="00576717">
        <w:t>or</w:t>
      </w:r>
      <w:r w:rsidR="003D640C">
        <w:t xml:space="preserve"> </w:t>
      </w:r>
      <w:r w:rsidR="00576717">
        <w:t>chronic</w:t>
      </w:r>
      <w:r w:rsidR="003D640C">
        <w:t xml:space="preserve"> </w:t>
      </w:r>
      <w:r w:rsidR="00576717">
        <w:t>condition</w:t>
      </w:r>
      <w:r w:rsidR="003D640C">
        <w:t xml:space="preserve"> </w:t>
      </w:r>
      <w:r w:rsidR="00D51079">
        <w:t>compared</w:t>
      </w:r>
      <w:r w:rsidR="003D640C">
        <w:t xml:space="preserve"> </w:t>
      </w:r>
      <w:r w:rsidR="00D51079">
        <w:t>to</w:t>
      </w:r>
      <w:r w:rsidR="003D640C">
        <w:t xml:space="preserve"> </w:t>
      </w:r>
      <w:r w:rsidR="00D51079">
        <w:t>non-Rainbow</w:t>
      </w:r>
      <w:r w:rsidR="003D640C">
        <w:t xml:space="preserve"> </w:t>
      </w:r>
      <w:r w:rsidR="00D51079">
        <w:t>young</w:t>
      </w:r>
      <w:r w:rsidR="003D640C">
        <w:t xml:space="preserve"> </w:t>
      </w:r>
      <w:r w:rsidR="00D51079">
        <w:t>people</w:t>
      </w:r>
      <w:r w:rsidR="003D640C">
        <w:t xml:space="preserve"> </w:t>
      </w:r>
      <w:r w:rsidR="00D51079">
        <w:t>without</w:t>
      </w:r>
      <w:r w:rsidR="003D640C">
        <w:t xml:space="preserve"> </w:t>
      </w:r>
      <w:r w:rsidR="00D51079">
        <w:t>a</w:t>
      </w:r>
      <w:r w:rsidR="003D640C">
        <w:t xml:space="preserve"> </w:t>
      </w:r>
      <w:r w:rsidR="00D51079">
        <w:t>disability</w:t>
      </w:r>
      <w:r w:rsidR="003D640C">
        <w:t xml:space="preserve"> </w:t>
      </w:r>
      <w:r w:rsidR="00D51079">
        <w:t>or</w:t>
      </w:r>
      <w:r w:rsidR="003D640C">
        <w:t xml:space="preserve"> </w:t>
      </w:r>
      <w:r w:rsidR="00D51079">
        <w:t>chronic</w:t>
      </w:r>
      <w:r w:rsidR="003D640C">
        <w:t xml:space="preserve"> </w:t>
      </w:r>
      <w:r w:rsidR="00D51079">
        <w:t>condition</w:t>
      </w:r>
      <w:r w:rsidR="003D640C">
        <w:t xml:space="preserve"> </w:t>
      </w:r>
      <w:r w:rsidR="00524FAE">
        <w:t>were</w:t>
      </w:r>
      <w:r w:rsidR="003D640C">
        <w:t xml:space="preserve"> </w:t>
      </w:r>
      <w:r w:rsidR="00524FAE">
        <w:t>found</w:t>
      </w:r>
      <w:r w:rsidR="003D640C">
        <w:t xml:space="preserve"> </w:t>
      </w:r>
      <w:r w:rsidR="00524FAE">
        <w:t>to</w:t>
      </w:r>
      <w:r w:rsidR="003D640C">
        <w:t xml:space="preserve"> </w:t>
      </w:r>
      <w:r w:rsidR="00524FAE">
        <w:t>have</w:t>
      </w:r>
      <w:r w:rsidR="003D640C">
        <w:t xml:space="preserve"> </w:t>
      </w:r>
      <w:r w:rsidR="00524FAE">
        <w:t>statistically</w:t>
      </w:r>
      <w:r w:rsidR="003D640C">
        <w:t xml:space="preserve"> </w:t>
      </w:r>
      <w:r w:rsidR="00524FAE">
        <w:t>significant</w:t>
      </w:r>
      <w:r w:rsidR="003D640C">
        <w:t xml:space="preserve"> </w:t>
      </w:r>
      <w:r w:rsidR="00524FAE">
        <w:t>higher</w:t>
      </w:r>
      <w:r w:rsidR="003D640C">
        <w:t xml:space="preserve"> </w:t>
      </w:r>
      <w:r w:rsidR="00524FAE">
        <w:t>rates</w:t>
      </w:r>
      <w:r w:rsidR="003D640C">
        <w:t xml:space="preserve"> </w:t>
      </w:r>
      <w:r w:rsidR="00524FAE">
        <w:t>of</w:t>
      </w:r>
      <w:r w:rsidR="003D640C">
        <w:t xml:space="preserve"> </w:t>
      </w:r>
      <w:r w:rsidR="00847457">
        <w:t>the</w:t>
      </w:r>
      <w:r w:rsidR="003D640C">
        <w:t xml:space="preserve"> </w:t>
      </w:r>
      <w:r w:rsidR="00847457">
        <w:t>following</w:t>
      </w:r>
      <w:r w:rsidR="003D640C">
        <w:t xml:space="preserve"> </w:t>
      </w:r>
      <w:r w:rsidR="006664D8">
        <w:t>concerns</w:t>
      </w:r>
      <w:r w:rsidR="00753E6D">
        <w:t>:</w:t>
      </w:r>
    </w:p>
    <w:p w14:paraId="29647896" w14:textId="72C12D7E" w:rsidR="00D51079" w:rsidRDefault="007F0C98" w:rsidP="009D720A">
      <w:pPr>
        <w:pStyle w:val="Bullet"/>
        <w:numPr>
          <w:ilvl w:val="0"/>
          <w:numId w:val="124"/>
        </w:numPr>
      </w:pPr>
      <w:r>
        <w:t>g</w:t>
      </w:r>
      <w:r w:rsidR="00D51079">
        <w:t>reater</w:t>
      </w:r>
      <w:r w:rsidR="003D640C">
        <w:t xml:space="preserve"> </w:t>
      </w:r>
      <w:r w:rsidR="00D51079">
        <w:t>challenges</w:t>
      </w:r>
      <w:r w:rsidR="003D640C">
        <w:t xml:space="preserve"> </w:t>
      </w:r>
      <w:r w:rsidR="00D51079">
        <w:t>on</w:t>
      </w:r>
      <w:r w:rsidR="003D640C">
        <w:t xml:space="preserve"> </w:t>
      </w:r>
      <w:r w:rsidR="00D51079">
        <w:t>family</w:t>
      </w:r>
      <w:r w:rsidR="003D640C">
        <w:t xml:space="preserve"> </w:t>
      </w:r>
      <w:r w:rsidR="00D51079">
        <w:t>indicators</w:t>
      </w:r>
      <w:r w:rsidR="003D640C">
        <w:t xml:space="preserve"> </w:t>
      </w:r>
      <w:r w:rsidR="00D51079">
        <w:t>(acceptance,</w:t>
      </w:r>
      <w:r w:rsidR="003D640C">
        <w:t xml:space="preserve"> </w:t>
      </w:r>
      <w:r w:rsidR="00D51079">
        <w:t>closeness</w:t>
      </w:r>
      <w:r w:rsidR="004419D7">
        <w:t>,</w:t>
      </w:r>
      <w:r w:rsidR="003D640C">
        <w:t xml:space="preserve"> </w:t>
      </w:r>
      <w:r w:rsidR="00D51079">
        <w:t>and</w:t>
      </w:r>
      <w:r w:rsidR="003D640C">
        <w:t xml:space="preserve"> </w:t>
      </w:r>
      <w:r w:rsidR="00D51079">
        <w:t>safety)</w:t>
      </w:r>
      <w:r w:rsidR="004419D7">
        <w:t>.</w:t>
      </w:r>
    </w:p>
    <w:p w14:paraId="70171E6F" w14:textId="77FB3C2C" w:rsidR="00CC1A7F" w:rsidRDefault="007F0C98" w:rsidP="009D720A">
      <w:pPr>
        <w:pStyle w:val="Bullet"/>
        <w:numPr>
          <w:ilvl w:val="0"/>
          <w:numId w:val="124"/>
        </w:numPr>
      </w:pPr>
      <w:r>
        <w:t>h</w:t>
      </w:r>
      <w:r w:rsidR="00CC1A7F">
        <w:t>igher</w:t>
      </w:r>
      <w:r w:rsidR="003D640C">
        <w:t xml:space="preserve"> </w:t>
      </w:r>
      <w:r w:rsidR="00CC1A7F">
        <w:t>housing</w:t>
      </w:r>
      <w:r w:rsidR="003D640C">
        <w:t xml:space="preserve"> </w:t>
      </w:r>
      <w:r w:rsidR="00CC1A7F">
        <w:t>instability</w:t>
      </w:r>
      <w:r w:rsidR="003D640C">
        <w:t xml:space="preserve"> </w:t>
      </w:r>
      <w:r w:rsidR="00CC1A7F">
        <w:t>and</w:t>
      </w:r>
      <w:r w:rsidR="003D640C">
        <w:t xml:space="preserve"> </w:t>
      </w:r>
      <w:r w:rsidR="00CC1A7F">
        <w:t>food</w:t>
      </w:r>
      <w:r w:rsidR="003D640C">
        <w:t xml:space="preserve"> </w:t>
      </w:r>
      <w:r w:rsidR="00CC1A7F">
        <w:t>insecurity</w:t>
      </w:r>
      <w:r w:rsidR="004419D7">
        <w:t>.</w:t>
      </w:r>
    </w:p>
    <w:p w14:paraId="22644FC6" w14:textId="7C40587F" w:rsidR="0030459C" w:rsidRDefault="007F0C98" w:rsidP="009D720A">
      <w:pPr>
        <w:pStyle w:val="Bullet"/>
        <w:numPr>
          <w:ilvl w:val="0"/>
          <w:numId w:val="124"/>
        </w:numPr>
      </w:pPr>
      <w:r>
        <w:t>i</w:t>
      </w:r>
      <w:r w:rsidR="0030459C">
        <w:t>nequities</w:t>
      </w:r>
      <w:r w:rsidR="003D640C">
        <w:t xml:space="preserve"> </w:t>
      </w:r>
      <w:r w:rsidR="0030459C">
        <w:t>on</w:t>
      </w:r>
      <w:r w:rsidR="003D640C">
        <w:t xml:space="preserve"> </w:t>
      </w:r>
      <w:r w:rsidR="0030459C">
        <w:t>all</w:t>
      </w:r>
      <w:r w:rsidR="003D640C">
        <w:t xml:space="preserve"> </w:t>
      </w:r>
      <w:r w:rsidR="0030459C">
        <w:t>school</w:t>
      </w:r>
      <w:r w:rsidR="003D640C">
        <w:t xml:space="preserve"> </w:t>
      </w:r>
      <w:r w:rsidR="0030459C">
        <w:t>indicators</w:t>
      </w:r>
      <w:r w:rsidR="003D640C">
        <w:t xml:space="preserve"> </w:t>
      </w:r>
      <w:r w:rsidR="0030459C">
        <w:t>(part</w:t>
      </w:r>
      <w:r w:rsidR="003D640C">
        <w:t xml:space="preserve"> </w:t>
      </w:r>
      <w:r w:rsidR="0030459C">
        <w:t>of</w:t>
      </w:r>
      <w:r w:rsidR="003D640C">
        <w:t xml:space="preserve"> </w:t>
      </w:r>
      <w:r w:rsidR="0030459C">
        <w:t>school,</w:t>
      </w:r>
      <w:r w:rsidR="003D640C">
        <w:t xml:space="preserve"> </w:t>
      </w:r>
      <w:r w:rsidR="0030459C">
        <w:t>teacher</w:t>
      </w:r>
      <w:r w:rsidR="003D640C">
        <w:t xml:space="preserve"> </w:t>
      </w:r>
      <w:r w:rsidR="0030459C">
        <w:t>expectations</w:t>
      </w:r>
      <w:r w:rsidR="004419D7">
        <w:t>,</w:t>
      </w:r>
      <w:r w:rsidR="003D640C">
        <w:t xml:space="preserve"> </w:t>
      </w:r>
      <w:r w:rsidR="0030459C">
        <w:t>and</w:t>
      </w:r>
      <w:r w:rsidR="003D640C">
        <w:t xml:space="preserve"> </w:t>
      </w:r>
      <w:r w:rsidR="0030459C">
        <w:t>feeling</w:t>
      </w:r>
      <w:r w:rsidR="003D640C">
        <w:t xml:space="preserve"> </w:t>
      </w:r>
      <w:r w:rsidR="0030459C">
        <w:t>safe</w:t>
      </w:r>
      <w:r w:rsidR="003D640C">
        <w:t xml:space="preserve"> </w:t>
      </w:r>
      <w:r w:rsidR="0030459C">
        <w:t>at</w:t>
      </w:r>
      <w:r w:rsidR="003D640C">
        <w:t xml:space="preserve"> </w:t>
      </w:r>
      <w:r w:rsidR="0030459C">
        <w:t>home)</w:t>
      </w:r>
      <w:r w:rsidR="004419D7">
        <w:t>.</w:t>
      </w:r>
    </w:p>
    <w:p w14:paraId="26618452" w14:textId="4B8FEB5C" w:rsidR="00CC1A7F" w:rsidRDefault="007F0C98" w:rsidP="009D720A">
      <w:pPr>
        <w:pStyle w:val="Bullet"/>
        <w:numPr>
          <w:ilvl w:val="0"/>
          <w:numId w:val="124"/>
        </w:numPr>
      </w:pPr>
      <w:r>
        <w:t>g</w:t>
      </w:r>
      <w:r w:rsidR="00CC1A7F">
        <w:t>reater</w:t>
      </w:r>
      <w:r w:rsidR="003D640C">
        <w:t xml:space="preserve"> </w:t>
      </w:r>
      <w:r w:rsidR="00CC1A7F">
        <w:t>challenges</w:t>
      </w:r>
      <w:r w:rsidR="003D640C">
        <w:t xml:space="preserve"> </w:t>
      </w:r>
      <w:r w:rsidR="00CC1A7F">
        <w:t>in</w:t>
      </w:r>
      <w:r w:rsidR="003D640C">
        <w:t xml:space="preserve"> </w:t>
      </w:r>
      <w:r w:rsidR="00CC1A7F">
        <w:t>terms</w:t>
      </w:r>
      <w:r w:rsidR="003D640C">
        <w:t xml:space="preserve"> </w:t>
      </w:r>
      <w:r w:rsidR="00CC1A7F">
        <w:t>of</w:t>
      </w:r>
      <w:r w:rsidR="003D640C">
        <w:t xml:space="preserve"> </w:t>
      </w:r>
      <w:r w:rsidR="00CC1A7F">
        <w:t>community</w:t>
      </w:r>
      <w:r w:rsidR="003D640C">
        <w:t xml:space="preserve"> </w:t>
      </w:r>
      <w:r w:rsidR="00CC1A7F">
        <w:t>and</w:t>
      </w:r>
      <w:r w:rsidR="003D640C">
        <w:t xml:space="preserve"> </w:t>
      </w:r>
      <w:r w:rsidR="00CC1A7F">
        <w:t>friendships</w:t>
      </w:r>
      <w:r w:rsidR="004419D7">
        <w:t>.</w:t>
      </w:r>
    </w:p>
    <w:p w14:paraId="025B293D" w14:textId="6B44FF90" w:rsidR="00764DB7" w:rsidRDefault="007F0C98" w:rsidP="009D720A">
      <w:pPr>
        <w:pStyle w:val="Bullet"/>
        <w:numPr>
          <w:ilvl w:val="0"/>
          <w:numId w:val="124"/>
        </w:numPr>
      </w:pPr>
      <w:r>
        <w:t>b</w:t>
      </w:r>
      <w:r w:rsidR="00764DB7">
        <w:t>eing</w:t>
      </w:r>
      <w:r w:rsidR="003D640C">
        <w:t xml:space="preserve"> </w:t>
      </w:r>
      <w:r w:rsidR="00764DB7">
        <w:t>more</w:t>
      </w:r>
      <w:r w:rsidR="003D640C">
        <w:t xml:space="preserve"> </w:t>
      </w:r>
      <w:r w:rsidR="00764DB7">
        <w:t>likely</w:t>
      </w:r>
      <w:r w:rsidR="003D640C">
        <w:t xml:space="preserve"> </w:t>
      </w:r>
      <w:r w:rsidR="00764DB7">
        <w:t>to</w:t>
      </w:r>
      <w:r w:rsidR="003D640C">
        <w:t xml:space="preserve"> </w:t>
      </w:r>
      <w:r w:rsidR="00764DB7">
        <w:t>have</w:t>
      </w:r>
      <w:r w:rsidR="003D640C">
        <w:t xml:space="preserve"> </w:t>
      </w:r>
      <w:r w:rsidR="00764DB7">
        <w:t>forgone</w:t>
      </w:r>
      <w:r w:rsidR="003D640C">
        <w:t xml:space="preserve"> </w:t>
      </w:r>
      <w:r w:rsidR="00764DB7">
        <w:t>healthcare</w:t>
      </w:r>
      <w:r w:rsidR="003D640C">
        <w:t xml:space="preserve"> </w:t>
      </w:r>
      <w:r w:rsidR="00764DB7">
        <w:t>when</w:t>
      </w:r>
      <w:r w:rsidR="003D640C">
        <w:t xml:space="preserve"> </w:t>
      </w:r>
      <w:r w:rsidR="00764DB7">
        <w:t>they</w:t>
      </w:r>
      <w:r w:rsidR="003D640C">
        <w:t xml:space="preserve"> </w:t>
      </w:r>
      <w:r w:rsidR="00764DB7">
        <w:t>needed</w:t>
      </w:r>
      <w:r w:rsidR="00D07B27">
        <w:t xml:space="preserve"> it</w:t>
      </w:r>
      <w:r w:rsidR="003D640C">
        <w:t xml:space="preserve"> </w:t>
      </w:r>
      <w:r w:rsidR="00764DB7">
        <w:t>and</w:t>
      </w:r>
      <w:r w:rsidR="003D640C">
        <w:t xml:space="preserve"> </w:t>
      </w:r>
      <w:r w:rsidR="00764DB7">
        <w:t>more</w:t>
      </w:r>
      <w:r w:rsidR="003D640C">
        <w:t xml:space="preserve"> </w:t>
      </w:r>
      <w:r w:rsidR="00764DB7">
        <w:t>likely</w:t>
      </w:r>
      <w:r w:rsidR="003D640C">
        <w:t xml:space="preserve"> </w:t>
      </w:r>
      <w:r w:rsidR="00764DB7">
        <w:t>to</w:t>
      </w:r>
      <w:r w:rsidR="003D640C">
        <w:t xml:space="preserve"> </w:t>
      </w:r>
      <w:r w:rsidR="00764DB7">
        <w:t>report</w:t>
      </w:r>
      <w:r w:rsidR="003D640C">
        <w:t xml:space="preserve"> </w:t>
      </w:r>
      <w:r w:rsidR="00764DB7">
        <w:t>discrimination</w:t>
      </w:r>
      <w:r w:rsidR="003D640C">
        <w:t xml:space="preserve"> </w:t>
      </w:r>
      <w:r w:rsidR="00764DB7">
        <w:t>by</w:t>
      </w:r>
      <w:r w:rsidR="003D640C">
        <w:t xml:space="preserve"> </w:t>
      </w:r>
      <w:r w:rsidR="00764DB7">
        <w:t>healthcare</w:t>
      </w:r>
      <w:r w:rsidR="003D640C">
        <w:t xml:space="preserve"> </w:t>
      </w:r>
      <w:r w:rsidR="00764DB7">
        <w:t>providers</w:t>
      </w:r>
      <w:r w:rsidR="004419D7">
        <w:t>.</w:t>
      </w:r>
    </w:p>
    <w:p w14:paraId="6E7CF052" w14:textId="5C1CBF52" w:rsidR="00501068" w:rsidRDefault="003D640C" w:rsidP="009D720A">
      <w:pPr>
        <w:pStyle w:val="Bullet"/>
        <w:numPr>
          <w:ilvl w:val="0"/>
          <w:numId w:val="124"/>
        </w:numPr>
      </w:pPr>
      <w:r>
        <w:t xml:space="preserve"> </w:t>
      </w:r>
      <w:r w:rsidR="007A457D">
        <w:t>much</w:t>
      </w:r>
      <w:r>
        <w:t xml:space="preserve"> </w:t>
      </w:r>
      <w:r w:rsidR="007A457D">
        <w:t>poorer</w:t>
      </w:r>
      <w:r>
        <w:t xml:space="preserve"> </w:t>
      </w:r>
      <w:r w:rsidR="007A457D">
        <w:t>mental</w:t>
      </w:r>
      <w:r>
        <w:t xml:space="preserve"> </w:t>
      </w:r>
      <w:r w:rsidR="007A457D">
        <w:t>health</w:t>
      </w:r>
      <w:r>
        <w:t xml:space="preserve"> </w:t>
      </w:r>
      <w:r w:rsidR="007A457D">
        <w:t>and</w:t>
      </w:r>
      <w:r>
        <w:t xml:space="preserve"> </w:t>
      </w:r>
      <w:r w:rsidR="007A457D">
        <w:t>wellbeing</w:t>
      </w:r>
    </w:p>
    <w:p w14:paraId="40DA1E85" w14:textId="571EE95E" w:rsidR="00501068" w:rsidRDefault="000174A3" w:rsidP="002E6693">
      <w:pPr>
        <w:rPr>
          <w:lang w:eastAsia="en-NZ"/>
        </w:rPr>
      </w:pPr>
      <w:r>
        <w:rPr>
          <w:lang w:eastAsia="en-NZ"/>
        </w:rPr>
        <w:t>While</w:t>
      </w:r>
      <w:r w:rsidR="003D640C">
        <w:rPr>
          <w:lang w:eastAsia="en-NZ"/>
        </w:rPr>
        <w:t xml:space="preserve"> </w:t>
      </w:r>
      <w:r w:rsidR="00427DD2">
        <w:rPr>
          <w:lang w:eastAsia="en-NZ"/>
        </w:rPr>
        <w:t>this</w:t>
      </w:r>
      <w:r w:rsidR="003D640C">
        <w:rPr>
          <w:lang w:eastAsia="en-NZ"/>
        </w:rPr>
        <w:t xml:space="preserve"> </w:t>
      </w:r>
      <w:r w:rsidR="00427DD2">
        <w:rPr>
          <w:lang w:eastAsia="en-NZ"/>
        </w:rPr>
        <w:t>study</w:t>
      </w:r>
      <w:r w:rsidR="003D640C">
        <w:rPr>
          <w:lang w:eastAsia="en-NZ"/>
        </w:rPr>
        <w:t xml:space="preserve"> </w:t>
      </w:r>
      <w:r w:rsidR="00427DD2">
        <w:rPr>
          <w:lang w:eastAsia="en-NZ"/>
        </w:rPr>
        <w:t>does</w:t>
      </w:r>
      <w:r w:rsidR="003D640C">
        <w:rPr>
          <w:lang w:eastAsia="en-NZ"/>
        </w:rPr>
        <w:t xml:space="preserve"> </w:t>
      </w:r>
      <w:r w:rsidR="00427DD2">
        <w:rPr>
          <w:lang w:eastAsia="en-NZ"/>
        </w:rPr>
        <w:t>not</w:t>
      </w:r>
      <w:r w:rsidR="003D640C">
        <w:rPr>
          <w:lang w:eastAsia="en-NZ"/>
        </w:rPr>
        <w:t xml:space="preserve"> </w:t>
      </w:r>
      <w:r w:rsidR="00427DD2">
        <w:rPr>
          <w:lang w:eastAsia="en-NZ"/>
        </w:rPr>
        <w:t>address</w:t>
      </w:r>
      <w:r w:rsidR="003D640C">
        <w:rPr>
          <w:lang w:eastAsia="en-NZ"/>
        </w:rPr>
        <w:t xml:space="preserve"> </w:t>
      </w:r>
      <w:r w:rsidR="00427DD2">
        <w:rPr>
          <w:lang w:eastAsia="en-NZ"/>
        </w:rPr>
        <w:t>the</w:t>
      </w:r>
      <w:r w:rsidR="003D640C">
        <w:rPr>
          <w:lang w:eastAsia="en-NZ"/>
        </w:rPr>
        <w:t xml:space="preserve"> </w:t>
      </w:r>
      <w:r w:rsidR="008B50EF">
        <w:rPr>
          <w:lang w:eastAsia="en-NZ"/>
        </w:rPr>
        <w:t>experiences</w:t>
      </w:r>
      <w:r w:rsidR="003D640C">
        <w:rPr>
          <w:lang w:eastAsia="en-NZ"/>
        </w:rPr>
        <w:t xml:space="preserve"> </w:t>
      </w:r>
      <w:r w:rsidR="00C966D5">
        <w:rPr>
          <w:lang w:eastAsia="en-NZ"/>
        </w:rPr>
        <w:t>of</w:t>
      </w:r>
      <w:r w:rsidR="003D640C">
        <w:rPr>
          <w:lang w:eastAsia="en-NZ"/>
        </w:rPr>
        <w:t xml:space="preserve"> </w:t>
      </w:r>
      <w:r w:rsidR="00C966D5">
        <w:rPr>
          <w:lang w:eastAsia="en-NZ"/>
        </w:rPr>
        <w:t>conversion</w:t>
      </w:r>
      <w:r w:rsidR="003D640C">
        <w:rPr>
          <w:lang w:eastAsia="en-NZ"/>
        </w:rPr>
        <w:t xml:space="preserve"> </w:t>
      </w:r>
      <w:r w:rsidR="00C966D5">
        <w:rPr>
          <w:lang w:eastAsia="en-NZ"/>
        </w:rPr>
        <w:t>practices</w:t>
      </w:r>
      <w:r w:rsidR="003D640C">
        <w:rPr>
          <w:lang w:eastAsia="en-NZ"/>
        </w:rPr>
        <w:t xml:space="preserve"> </w:t>
      </w:r>
      <w:r w:rsidR="00C966D5">
        <w:rPr>
          <w:lang w:eastAsia="en-NZ"/>
        </w:rPr>
        <w:t>among</w:t>
      </w:r>
      <w:r w:rsidR="003D640C">
        <w:rPr>
          <w:lang w:eastAsia="en-NZ"/>
        </w:rPr>
        <w:t xml:space="preserve"> </w:t>
      </w:r>
      <w:r w:rsidR="00C966D5">
        <w:rPr>
          <w:lang w:eastAsia="en-NZ"/>
        </w:rPr>
        <w:t>disabled</w:t>
      </w:r>
      <w:r w:rsidR="003D640C">
        <w:rPr>
          <w:lang w:eastAsia="en-NZ"/>
        </w:rPr>
        <w:t xml:space="preserve"> </w:t>
      </w:r>
      <w:r w:rsidR="00C966D5">
        <w:rPr>
          <w:lang w:eastAsia="en-NZ"/>
        </w:rPr>
        <w:t>Rainbow</w:t>
      </w:r>
      <w:r w:rsidR="003D640C">
        <w:rPr>
          <w:lang w:eastAsia="en-NZ"/>
        </w:rPr>
        <w:t xml:space="preserve"> </w:t>
      </w:r>
      <w:r w:rsidR="00C966D5">
        <w:rPr>
          <w:lang w:eastAsia="en-NZ"/>
        </w:rPr>
        <w:t>people,</w:t>
      </w:r>
      <w:r w:rsidR="003D640C">
        <w:rPr>
          <w:lang w:eastAsia="en-NZ"/>
        </w:rPr>
        <w:t xml:space="preserve"> </w:t>
      </w:r>
      <w:r w:rsidR="00427DD2">
        <w:rPr>
          <w:lang w:eastAsia="en-NZ"/>
        </w:rPr>
        <w:t>it</w:t>
      </w:r>
      <w:r w:rsidR="003D640C">
        <w:rPr>
          <w:lang w:eastAsia="en-NZ"/>
        </w:rPr>
        <w:t xml:space="preserve"> </w:t>
      </w:r>
      <w:r w:rsidR="00427DD2">
        <w:rPr>
          <w:lang w:eastAsia="en-NZ"/>
        </w:rPr>
        <w:t>does</w:t>
      </w:r>
      <w:r w:rsidR="003D640C">
        <w:rPr>
          <w:lang w:eastAsia="en-NZ"/>
        </w:rPr>
        <w:t xml:space="preserve"> </w:t>
      </w:r>
      <w:r w:rsidR="00427DD2">
        <w:rPr>
          <w:lang w:eastAsia="en-NZ"/>
        </w:rPr>
        <w:t>suggest</w:t>
      </w:r>
      <w:r w:rsidR="003D640C">
        <w:rPr>
          <w:lang w:eastAsia="en-NZ"/>
        </w:rPr>
        <w:t xml:space="preserve"> </w:t>
      </w:r>
      <w:r w:rsidR="00C966D5">
        <w:rPr>
          <w:lang w:eastAsia="en-NZ"/>
        </w:rPr>
        <w:t>that</w:t>
      </w:r>
      <w:r w:rsidR="003D640C">
        <w:rPr>
          <w:lang w:eastAsia="en-NZ"/>
        </w:rPr>
        <w:t xml:space="preserve"> </w:t>
      </w:r>
      <w:r w:rsidR="004F5650">
        <w:rPr>
          <w:lang w:eastAsia="en-NZ"/>
        </w:rPr>
        <w:t xml:space="preserve">disabled </w:t>
      </w:r>
      <w:r w:rsidR="00C966D5">
        <w:rPr>
          <w:lang w:eastAsia="en-NZ"/>
        </w:rPr>
        <w:t>Rainbow</w:t>
      </w:r>
      <w:r w:rsidR="003D640C">
        <w:rPr>
          <w:lang w:eastAsia="en-NZ"/>
        </w:rPr>
        <w:t xml:space="preserve"> </w:t>
      </w:r>
      <w:r w:rsidR="00C966D5">
        <w:rPr>
          <w:lang w:eastAsia="en-NZ"/>
        </w:rPr>
        <w:t>youth</w:t>
      </w:r>
      <w:r w:rsidR="003D640C">
        <w:rPr>
          <w:lang w:eastAsia="en-NZ"/>
        </w:rPr>
        <w:t xml:space="preserve"> </w:t>
      </w:r>
      <w:r>
        <w:rPr>
          <w:lang w:eastAsia="en-NZ"/>
        </w:rPr>
        <w:t>generally</w:t>
      </w:r>
      <w:r w:rsidR="003D640C">
        <w:rPr>
          <w:lang w:eastAsia="en-NZ"/>
        </w:rPr>
        <w:t xml:space="preserve"> </w:t>
      </w:r>
      <w:r w:rsidR="009A1A4E">
        <w:rPr>
          <w:lang w:eastAsia="en-NZ"/>
        </w:rPr>
        <w:t>face</w:t>
      </w:r>
      <w:r w:rsidR="003D640C">
        <w:rPr>
          <w:lang w:eastAsia="en-NZ"/>
        </w:rPr>
        <w:t xml:space="preserve"> </w:t>
      </w:r>
      <w:r w:rsidR="009A1A4E">
        <w:rPr>
          <w:lang w:eastAsia="en-NZ"/>
        </w:rPr>
        <w:t>multiple</w:t>
      </w:r>
      <w:r w:rsidR="003D640C">
        <w:rPr>
          <w:lang w:eastAsia="en-NZ"/>
        </w:rPr>
        <w:t xml:space="preserve"> </w:t>
      </w:r>
      <w:r w:rsidR="009A1A4E">
        <w:rPr>
          <w:lang w:eastAsia="en-NZ"/>
        </w:rPr>
        <w:t>challenges</w:t>
      </w:r>
      <w:r w:rsidR="003D640C">
        <w:rPr>
          <w:lang w:eastAsia="en-NZ"/>
        </w:rPr>
        <w:t xml:space="preserve"> </w:t>
      </w:r>
      <w:r>
        <w:rPr>
          <w:lang w:eastAsia="en-NZ"/>
        </w:rPr>
        <w:t>or</w:t>
      </w:r>
      <w:r w:rsidR="003D640C">
        <w:rPr>
          <w:lang w:eastAsia="en-NZ"/>
        </w:rPr>
        <w:t xml:space="preserve"> </w:t>
      </w:r>
      <w:r>
        <w:rPr>
          <w:lang w:eastAsia="en-NZ"/>
        </w:rPr>
        <w:t>particularly</w:t>
      </w:r>
      <w:r w:rsidR="003D640C">
        <w:rPr>
          <w:lang w:eastAsia="en-NZ"/>
        </w:rPr>
        <w:t xml:space="preserve"> </w:t>
      </w:r>
      <w:r w:rsidR="006664D8">
        <w:rPr>
          <w:lang w:eastAsia="en-NZ"/>
        </w:rPr>
        <w:t>serious</w:t>
      </w:r>
      <w:r w:rsidR="003D640C">
        <w:rPr>
          <w:lang w:eastAsia="en-NZ"/>
        </w:rPr>
        <w:t xml:space="preserve"> </w:t>
      </w:r>
      <w:r>
        <w:rPr>
          <w:lang w:eastAsia="en-NZ"/>
        </w:rPr>
        <w:t>challenges.</w:t>
      </w:r>
      <w:r w:rsidR="003D640C">
        <w:rPr>
          <w:lang w:eastAsia="en-NZ"/>
        </w:rPr>
        <w:t xml:space="preserve"> </w:t>
      </w:r>
    </w:p>
    <w:p w14:paraId="7816B180" w14:textId="7D51CD1E" w:rsidR="00BE6810" w:rsidRDefault="00BE6810" w:rsidP="002C6363">
      <w:pPr>
        <w:pStyle w:val="Heading3"/>
      </w:pPr>
      <w:bookmarkStart w:id="329" w:name="_Toc75504868"/>
      <w:bookmarkStart w:id="330" w:name="_Toc174628692"/>
      <w:r>
        <w:t>Experiences</w:t>
      </w:r>
      <w:r w:rsidR="003D640C">
        <w:t xml:space="preserve"> </w:t>
      </w:r>
      <w:r>
        <w:t>of</w:t>
      </w:r>
      <w:r w:rsidR="003D640C">
        <w:t xml:space="preserve"> </w:t>
      </w:r>
      <w:r w:rsidR="004419D7">
        <w:t>c</w:t>
      </w:r>
      <w:r>
        <w:t>onversion</w:t>
      </w:r>
      <w:r w:rsidR="003D640C">
        <w:t xml:space="preserve"> </w:t>
      </w:r>
      <w:r w:rsidR="004419D7">
        <w:t>p</w:t>
      </w:r>
      <w:r>
        <w:t>ractices</w:t>
      </w:r>
      <w:bookmarkEnd w:id="329"/>
      <w:bookmarkEnd w:id="330"/>
    </w:p>
    <w:p w14:paraId="2CD753C6" w14:textId="5B82F530" w:rsidR="00BB4F88" w:rsidRDefault="005F06B0" w:rsidP="002E6693">
      <w:pPr>
        <w:rPr>
          <w:lang w:eastAsia="en-NZ"/>
        </w:rPr>
      </w:pPr>
      <w:r>
        <w:rPr>
          <w:lang w:eastAsia="en-NZ"/>
        </w:rPr>
        <w:t>A</w:t>
      </w:r>
      <w:r w:rsidR="003D640C">
        <w:rPr>
          <w:lang w:eastAsia="en-NZ"/>
        </w:rPr>
        <w:t xml:space="preserve"> </w:t>
      </w:r>
      <w:r>
        <w:rPr>
          <w:lang w:eastAsia="en-NZ"/>
        </w:rPr>
        <w:t>disabled</w:t>
      </w:r>
      <w:r w:rsidR="003D640C">
        <w:rPr>
          <w:lang w:eastAsia="en-NZ"/>
        </w:rPr>
        <w:t xml:space="preserve"> </w:t>
      </w:r>
      <w:r>
        <w:rPr>
          <w:lang w:eastAsia="en-NZ"/>
        </w:rPr>
        <w:t>person-led</w:t>
      </w:r>
      <w:r w:rsidR="003D640C">
        <w:rPr>
          <w:lang w:eastAsia="en-NZ"/>
        </w:rPr>
        <w:t xml:space="preserve"> </w:t>
      </w:r>
      <w:r>
        <w:rPr>
          <w:lang w:eastAsia="en-NZ"/>
        </w:rPr>
        <w:t>monitoring</w:t>
      </w:r>
      <w:r w:rsidR="003D640C">
        <w:rPr>
          <w:lang w:eastAsia="en-NZ"/>
        </w:rPr>
        <w:t xml:space="preserve"> </w:t>
      </w:r>
      <w:r>
        <w:rPr>
          <w:lang w:eastAsia="en-NZ"/>
        </w:rPr>
        <w:t>report</w:t>
      </w:r>
      <w:r w:rsidR="003D640C">
        <w:rPr>
          <w:lang w:eastAsia="en-NZ"/>
        </w:rPr>
        <w:t xml:space="preserve"> </w:t>
      </w:r>
      <w:r>
        <w:rPr>
          <w:lang w:eastAsia="en-NZ"/>
        </w:rPr>
        <w:t>on</w:t>
      </w:r>
      <w:r w:rsidR="003D640C">
        <w:rPr>
          <w:lang w:eastAsia="en-NZ"/>
        </w:rPr>
        <w:t xml:space="preserve"> </w:t>
      </w:r>
      <w:r>
        <w:rPr>
          <w:lang w:eastAsia="en-NZ"/>
        </w:rPr>
        <w:t>the</w:t>
      </w:r>
      <w:r w:rsidR="003D640C">
        <w:rPr>
          <w:lang w:eastAsia="en-NZ"/>
        </w:rPr>
        <w:t xml:space="preserve"> </w:t>
      </w:r>
      <w:r>
        <w:rPr>
          <w:lang w:eastAsia="en-NZ"/>
        </w:rPr>
        <w:t>United</w:t>
      </w:r>
      <w:r w:rsidR="003D640C">
        <w:rPr>
          <w:lang w:eastAsia="en-NZ"/>
        </w:rPr>
        <w:t xml:space="preserve"> </w:t>
      </w:r>
      <w:r>
        <w:rPr>
          <w:lang w:eastAsia="en-NZ"/>
        </w:rPr>
        <w:t>Nations</w:t>
      </w:r>
      <w:r w:rsidR="003D640C">
        <w:rPr>
          <w:lang w:eastAsia="en-NZ"/>
        </w:rPr>
        <w:t xml:space="preserve"> </w:t>
      </w:r>
      <w:r>
        <w:rPr>
          <w:lang w:eastAsia="en-NZ"/>
        </w:rPr>
        <w:t>Convention</w:t>
      </w:r>
      <w:r w:rsidR="003D640C">
        <w:rPr>
          <w:lang w:eastAsia="en-NZ"/>
        </w:rPr>
        <w:t xml:space="preserve"> </w:t>
      </w:r>
      <w:r>
        <w:rPr>
          <w:lang w:eastAsia="en-NZ"/>
        </w:rPr>
        <w:t>on</w:t>
      </w:r>
      <w:r w:rsidR="003D640C">
        <w:rPr>
          <w:lang w:eastAsia="en-NZ"/>
        </w:rPr>
        <w:t xml:space="preserve"> </w:t>
      </w:r>
      <w:r>
        <w:rPr>
          <w:lang w:eastAsia="en-NZ"/>
        </w:rPr>
        <w:t>the</w:t>
      </w:r>
      <w:r w:rsidR="003D640C">
        <w:rPr>
          <w:lang w:eastAsia="en-NZ"/>
        </w:rPr>
        <w:t xml:space="preserve"> </w:t>
      </w:r>
      <w:r>
        <w:rPr>
          <w:lang w:eastAsia="en-NZ"/>
        </w:rPr>
        <w:t>Rights</w:t>
      </w:r>
      <w:r w:rsidR="003D640C">
        <w:rPr>
          <w:lang w:eastAsia="en-NZ"/>
        </w:rPr>
        <w:t xml:space="preserve"> </w:t>
      </w:r>
      <w:r>
        <w:rPr>
          <w:lang w:eastAsia="en-NZ"/>
        </w:rPr>
        <w:t>of</w:t>
      </w:r>
      <w:r w:rsidR="003D640C">
        <w:rPr>
          <w:lang w:eastAsia="en-NZ"/>
        </w:rPr>
        <w:t xml:space="preserve"> </w:t>
      </w:r>
      <w:r>
        <w:rPr>
          <w:lang w:eastAsia="en-NZ"/>
        </w:rPr>
        <w:t>Person</w:t>
      </w:r>
      <w:r w:rsidR="003D640C">
        <w:rPr>
          <w:lang w:eastAsia="en-NZ"/>
        </w:rPr>
        <w:t xml:space="preserve"> </w:t>
      </w:r>
      <w:r>
        <w:rPr>
          <w:lang w:eastAsia="en-NZ"/>
        </w:rPr>
        <w:t>with</w:t>
      </w:r>
      <w:r w:rsidR="003D640C">
        <w:rPr>
          <w:lang w:eastAsia="en-NZ"/>
        </w:rPr>
        <w:t xml:space="preserve"> </w:t>
      </w:r>
      <w:r>
        <w:rPr>
          <w:lang w:eastAsia="en-NZ"/>
        </w:rPr>
        <w:t>Disabilities</w:t>
      </w:r>
      <w:r w:rsidR="003D640C">
        <w:rPr>
          <w:lang w:eastAsia="en-NZ"/>
        </w:rPr>
        <w:t xml:space="preserve"> </w:t>
      </w:r>
      <w:r w:rsidR="009D60A8">
        <w:rPr>
          <w:lang w:eastAsia="en-NZ"/>
        </w:rPr>
        <w:t>found</w:t>
      </w:r>
      <w:r w:rsidR="003D640C">
        <w:rPr>
          <w:lang w:eastAsia="en-NZ"/>
        </w:rPr>
        <w:t xml:space="preserve"> </w:t>
      </w:r>
      <w:r w:rsidR="00371365">
        <w:rPr>
          <w:lang w:eastAsia="en-NZ"/>
        </w:rPr>
        <w:t>that</w:t>
      </w:r>
      <w:r w:rsidR="003D640C">
        <w:rPr>
          <w:lang w:eastAsia="en-NZ"/>
        </w:rPr>
        <w:t xml:space="preserve"> </w:t>
      </w:r>
      <w:r w:rsidR="00371365">
        <w:rPr>
          <w:lang w:eastAsia="en-NZ"/>
        </w:rPr>
        <w:t>disabled</w:t>
      </w:r>
      <w:r w:rsidR="003D640C">
        <w:rPr>
          <w:lang w:eastAsia="en-NZ"/>
        </w:rPr>
        <w:t xml:space="preserve"> </w:t>
      </w:r>
      <w:r w:rsidR="00371365">
        <w:rPr>
          <w:lang w:eastAsia="en-NZ"/>
        </w:rPr>
        <w:t>people</w:t>
      </w:r>
      <w:r w:rsidR="003D640C">
        <w:rPr>
          <w:lang w:eastAsia="en-NZ"/>
        </w:rPr>
        <w:t xml:space="preserve"> </w:t>
      </w:r>
      <w:r w:rsidR="00371365">
        <w:rPr>
          <w:lang w:eastAsia="en-NZ"/>
        </w:rPr>
        <w:t>reported</w:t>
      </w:r>
      <w:r w:rsidR="003D640C">
        <w:rPr>
          <w:lang w:eastAsia="en-NZ"/>
        </w:rPr>
        <w:t xml:space="preserve"> </w:t>
      </w:r>
      <w:r w:rsidR="002D384B">
        <w:rPr>
          <w:lang w:eastAsia="en-NZ"/>
        </w:rPr>
        <w:t>th</w:t>
      </w:r>
      <w:r w:rsidR="00AF5431">
        <w:rPr>
          <w:lang w:eastAsia="en-NZ"/>
        </w:rPr>
        <w:t>e</w:t>
      </w:r>
      <w:r w:rsidR="003D640C">
        <w:rPr>
          <w:lang w:eastAsia="en-NZ"/>
        </w:rPr>
        <w:t xml:space="preserve"> </w:t>
      </w:r>
      <w:r w:rsidR="00A95B01">
        <w:rPr>
          <w:lang w:eastAsia="en-NZ"/>
        </w:rPr>
        <w:t>experience</w:t>
      </w:r>
      <w:r w:rsidR="003D640C">
        <w:rPr>
          <w:lang w:eastAsia="en-NZ"/>
        </w:rPr>
        <w:t xml:space="preserve"> </w:t>
      </w:r>
      <w:r w:rsidR="00A95B01">
        <w:rPr>
          <w:lang w:eastAsia="en-NZ"/>
        </w:rPr>
        <w:t>of</w:t>
      </w:r>
      <w:r w:rsidR="003D640C">
        <w:rPr>
          <w:lang w:eastAsia="en-NZ"/>
        </w:rPr>
        <w:t xml:space="preserve"> </w:t>
      </w:r>
      <w:r w:rsidR="00754823">
        <w:rPr>
          <w:lang w:eastAsia="en-NZ"/>
        </w:rPr>
        <w:t>denial</w:t>
      </w:r>
      <w:r w:rsidR="003D640C">
        <w:rPr>
          <w:lang w:eastAsia="en-NZ"/>
        </w:rPr>
        <w:t xml:space="preserve"> </w:t>
      </w:r>
      <w:r w:rsidR="00754823">
        <w:rPr>
          <w:lang w:eastAsia="en-NZ"/>
        </w:rPr>
        <w:t>of</w:t>
      </w:r>
      <w:r w:rsidR="003D640C">
        <w:rPr>
          <w:lang w:eastAsia="en-NZ"/>
        </w:rPr>
        <w:t xml:space="preserve"> </w:t>
      </w:r>
      <w:r w:rsidR="00754823">
        <w:rPr>
          <w:lang w:eastAsia="en-NZ"/>
        </w:rPr>
        <w:t>sexual</w:t>
      </w:r>
      <w:r w:rsidR="003D640C">
        <w:rPr>
          <w:lang w:eastAsia="en-NZ"/>
        </w:rPr>
        <w:t xml:space="preserve"> </w:t>
      </w:r>
      <w:r w:rsidR="00754823">
        <w:rPr>
          <w:lang w:eastAsia="en-NZ"/>
        </w:rPr>
        <w:t>and</w:t>
      </w:r>
      <w:r w:rsidR="003D640C">
        <w:rPr>
          <w:lang w:eastAsia="en-NZ"/>
        </w:rPr>
        <w:t xml:space="preserve"> </w:t>
      </w:r>
      <w:r w:rsidR="00754823">
        <w:rPr>
          <w:lang w:eastAsia="en-NZ"/>
        </w:rPr>
        <w:t>gender</w:t>
      </w:r>
      <w:r w:rsidR="003D640C">
        <w:rPr>
          <w:lang w:eastAsia="en-NZ"/>
        </w:rPr>
        <w:t xml:space="preserve"> </w:t>
      </w:r>
      <w:r w:rsidR="00754823">
        <w:rPr>
          <w:lang w:eastAsia="en-NZ"/>
        </w:rPr>
        <w:t>identities</w:t>
      </w:r>
      <w:r w:rsidR="003D640C">
        <w:rPr>
          <w:lang w:eastAsia="en-NZ"/>
        </w:rPr>
        <w:t xml:space="preserve"> </w:t>
      </w:r>
      <w:r w:rsidR="00754823">
        <w:rPr>
          <w:lang w:eastAsia="en-NZ"/>
        </w:rPr>
        <w:t>by</w:t>
      </w:r>
      <w:r w:rsidR="003D640C">
        <w:rPr>
          <w:lang w:eastAsia="en-NZ"/>
        </w:rPr>
        <w:t xml:space="preserve"> </w:t>
      </w:r>
      <w:r w:rsidR="00754823">
        <w:rPr>
          <w:lang w:eastAsia="en-NZ"/>
        </w:rPr>
        <w:t>health</w:t>
      </w:r>
      <w:r w:rsidR="003D640C">
        <w:rPr>
          <w:lang w:eastAsia="en-NZ"/>
        </w:rPr>
        <w:t xml:space="preserve"> </w:t>
      </w:r>
      <w:r w:rsidR="00754823">
        <w:rPr>
          <w:lang w:eastAsia="en-NZ"/>
        </w:rPr>
        <w:t>practitioners</w:t>
      </w:r>
      <w:r w:rsidR="003D640C">
        <w:rPr>
          <w:lang w:eastAsia="en-NZ"/>
        </w:rPr>
        <w:t xml:space="preserve"> </w:t>
      </w:r>
      <w:r w:rsidR="00754823">
        <w:rPr>
          <w:lang w:eastAsia="en-NZ"/>
        </w:rPr>
        <w:t>as</w:t>
      </w:r>
      <w:r w:rsidR="003D640C">
        <w:rPr>
          <w:lang w:eastAsia="en-NZ"/>
        </w:rPr>
        <w:t xml:space="preserve"> </w:t>
      </w:r>
      <w:r w:rsidR="00754823">
        <w:rPr>
          <w:lang w:eastAsia="en-NZ"/>
        </w:rPr>
        <w:t>a</w:t>
      </w:r>
      <w:r w:rsidR="003D640C">
        <w:rPr>
          <w:lang w:eastAsia="en-NZ"/>
        </w:rPr>
        <w:t xml:space="preserve"> </w:t>
      </w:r>
      <w:r w:rsidR="00754823">
        <w:rPr>
          <w:lang w:eastAsia="en-NZ"/>
        </w:rPr>
        <w:t>matter</w:t>
      </w:r>
      <w:r w:rsidR="003D640C">
        <w:rPr>
          <w:lang w:eastAsia="en-NZ"/>
        </w:rPr>
        <w:t xml:space="preserve"> </w:t>
      </w:r>
      <w:r w:rsidR="00754823">
        <w:rPr>
          <w:lang w:eastAsia="en-NZ"/>
        </w:rPr>
        <w:t>of</w:t>
      </w:r>
      <w:r w:rsidR="003D640C">
        <w:rPr>
          <w:lang w:eastAsia="en-NZ"/>
        </w:rPr>
        <w:t xml:space="preserve"> </w:t>
      </w:r>
      <w:r w:rsidR="00754823">
        <w:rPr>
          <w:lang w:eastAsia="en-NZ"/>
        </w:rPr>
        <w:t>concern</w:t>
      </w:r>
      <w:r w:rsidR="0094385F">
        <w:rPr>
          <w:lang w:eastAsia="en-NZ"/>
        </w:rPr>
        <w:t>.</w:t>
      </w:r>
      <w:r w:rsidR="00754823">
        <w:rPr>
          <w:rStyle w:val="FootnoteReference"/>
          <w:rFonts w:ascii="Calibri" w:eastAsia="Times New Roman" w:hAnsi="Calibri" w:cs="Calibri"/>
          <w:lang w:eastAsia="en-NZ"/>
        </w:rPr>
        <w:footnoteReference w:id="260"/>
      </w:r>
      <w:r w:rsidR="003D640C">
        <w:rPr>
          <w:lang w:eastAsia="en-NZ"/>
        </w:rPr>
        <w:t xml:space="preserve"> </w:t>
      </w:r>
      <w:r w:rsidR="00D57FC3">
        <w:rPr>
          <w:lang w:eastAsia="en-NZ"/>
        </w:rPr>
        <w:t>The</w:t>
      </w:r>
      <w:r w:rsidR="003D640C">
        <w:rPr>
          <w:lang w:eastAsia="en-NZ"/>
        </w:rPr>
        <w:t xml:space="preserve"> </w:t>
      </w:r>
      <w:r w:rsidR="00D57FC3">
        <w:rPr>
          <w:lang w:eastAsia="en-NZ"/>
        </w:rPr>
        <w:t>report</w:t>
      </w:r>
      <w:r w:rsidR="003D640C">
        <w:rPr>
          <w:lang w:eastAsia="en-NZ"/>
        </w:rPr>
        <w:t xml:space="preserve"> </w:t>
      </w:r>
      <w:r w:rsidR="00D57FC3">
        <w:rPr>
          <w:lang w:eastAsia="en-NZ"/>
        </w:rPr>
        <w:t>also</w:t>
      </w:r>
      <w:r w:rsidR="003D640C">
        <w:rPr>
          <w:lang w:eastAsia="en-NZ"/>
        </w:rPr>
        <w:t xml:space="preserve"> </w:t>
      </w:r>
      <w:r w:rsidR="00450B4E">
        <w:rPr>
          <w:lang w:eastAsia="en-NZ"/>
        </w:rPr>
        <w:t>found</w:t>
      </w:r>
      <w:r w:rsidR="003D640C">
        <w:rPr>
          <w:lang w:eastAsia="en-NZ"/>
        </w:rPr>
        <w:t xml:space="preserve"> </w:t>
      </w:r>
      <w:r w:rsidR="00450B4E">
        <w:rPr>
          <w:lang w:eastAsia="en-NZ"/>
        </w:rPr>
        <w:t>that</w:t>
      </w:r>
      <w:r w:rsidR="003D640C">
        <w:rPr>
          <w:lang w:eastAsia="en-NZ"/>
        </w:rPr>
        <w:t xml:space="preserve"> </w:t>
      </w:r>
      <w:r w:rsidR="00A63726">
        <w:rPr>
          <w:lang w:eastAsia="en-NZ"/>
        </w:rPr>
        <w:t>disabled</w:t>
      </w:r>
      <w:r w:rsidR="003D640C">
        <w:rPr>
          <w:lang w:eastAsia="en-NZ"/>
        </w:rPr>
        <w:t xml:space="preserve"> </w:t>
      </w:r>
      <w:r w:rsidR="00A63726">
        <w:rPr>
          <w:lang w:eastAsia="en-NZ"/>
        </w:rPr>
        <w:t>people’s</w:t>
      </w:r>
      <w:r w:rsidR="003D640C">
        <w:rPr>
          <w:lang w:eastAsia="en-NZ"/>
        </w:rPr>
        <w:t xml:space="preserve"> </w:t>
      </w:r>
      <w:r w:rsidR="00A63726">
        <w:rPr>
          <w:lang w:eastAsia="en-NZ"/>
        </w:rPr>
        <w:t>access</w:t>
      </w:r>
      <w:r w:rsidR="003D640C">
        <w:rPr>
          <w:lang w:eastAsia="en-NZ"/>
        </w:rPr>
        <w:t xml:space="preserve"> </w:t>
      </w:r>
      <w:r w:rsidR="00A63726">
        <w:rPr>
          <w:lang w:eastAsia="en-NZ"/>
        </w:rPr>
        <w:t>to</w:t>
      </w:r>
      <w:r w:rsidR="003D640C">
        <w:rPr>
          <w:lang w:eastAsia="en-NZ"/>
        </w:rPr>
        <w:t xml:space="preserve"> </w:t>
      </w:r>
      <w:r w:rsidR="00A63726">
        <w:rPr>
          <w:lang w:eastAsia="en-NZ"/>
        </w:rPr>
        <w:t>sexual</w:t>
      </w:r>
      <w:r w:rsidR="003D640C">
        <w:rPr>
          <w:lang w:eastAsia="en-NZ"/>
        </w:rPr>
        <w:t xml:space="preserve"> </w:t>
      </w:r>
      <w:r w:rsidR="00A63726">
        <w:rPr>
          <w:lang w:eastAsia="en-NZ"/>
        </w:rPr>
        <w:t>and</w:t>
      </w:r>
      <w:r w:rsidR="003D640C">
        <w:rPr>
          <w:lang w:eastAsia="en-NZ"/>
        </w:rPr>
        <w:t xml:space="preserve"> </w:t>
      </w:r>
      <w:r w:rsidR="00A63726">
        <w:rPr>
          <w:lang w:eastAsia="en-NZ"/>
        </w:rPr>
        <w:t>reproductive</w:t>
      </w:r>
      <w:r w:rsidR="003D640C">
        <w:rPr>
          <w:lang w:eastAsia="en-NZ"/>
        </w:rPr>
        <w:t xml:space="preserve"> </w:t>
      </w:r>
      <w:r w:rsidR="00A63726">
        <w:rPr>
          <w:lang w:eastAsia="en-NZ"/>
        </w:rPr>
        <w:t>health</w:t>
      </w:r>
      <w:r w:rsidR="003D640C">
        <w:rPr>
          <w:lang w:eastAsia="en-NZ"/>
        </w:rPr>
        <w:t xml:space="preserve"> </w:t>
      </w:r>
      <w:r w:rsidR="00A63726">
        <w:rPr>
          <w:lang w:eastAsia="en-NZ"/>
        </w:rPr>
        <w:t>was</w:t>
      </w:r>
      <w:r w:rsidR="003D640C">
        <w:rPr>
          <w:lang w:eastAsia="en-NZ"/>
        </w:rPr>
        <w:t xml:space="preserve"> </w:t>
      </w:r>
      <w:r w:rsidR="00A63726">
        <w:rPr>
          <w:lang w:eastAsia="en-NZ"/>
        </w:rPr>
        <w:t>impeded</w:t>
      </w:r>
      <w:r w:rsidR="003D640C">
        <w:rPr>
          <w:lang w:eastAsia="en-NZ"/>
        </w:rPr>
        <w:t xml:space="preserve"> </w:t>
      </w:r>
      <w:r w:rsidR="00A63726">
        <w:rPr>
          <w:lang w:eastAsia="en-NZ"/>
        </w:rPr>
        <w:t>by</w:t>
      </w:r>
      <w:r w:rsidR="003D640C">
        <w:rPr>
          <w:lang w:eastAsia="en-NZ"/>
        </w:rPr>
        <w:t xml:space="preserve"> </w:t>
      </w:r>
      <w:r w:rsidR="004419D7">
        <w:rPr>
          <w:lang w:eastAsia="en-NZ"/>
        </w:rPr>
        <w:t>“</w:t>
      </w:r>
      <w:r w:rsidR="00AE4386">
        <w:t>a</w:t>
      </w:r>
      <w:r w:rsidR="003D640C">
        <w:t xml:space="preserve"> </w:t>
      </w:r>
      <w:r w:rsidR="00AE4386">
        <w:t>lack</w:t>
      </w:r>
      <w:r w:rsidR="003D640C">
        <w:t xml:space="preserve"> </w:t>
      </w:r>
      <w:r w:rsidR="00AE4386">
        <w:t>of</w:t>
      </w:r>
      <w:r w:rsidR="003D640C">
        <w:t xml:space="preserve"> </w:t>
      </w:r>
      <w:r w:rsidR="00AE4386">
        <w:t>knowledge</w:t>
      </w:r>
      <w:r w:rsidR="003D640C">
        <w:t xml:space="preserve"> </w:t>
      </w:r>
      <w:r w:rsidR="00AE4386">
        <w:t>around</w:t>
      </w:r>
      <w:r w:rsidR="003D640C">
        <w:t xml:space="preserve"> </w:t>
      </w:r>
      <w:r w:rsidR="00AE4386">
        <w:t>gender</w:t>
      </w:r>
      <w:r w:rsidR="003D640C">
        <w:t xml:space="preserve"> </w:t>
      </w:r>
      <w:r w:rsidR="00AE4386">
        <w:t>affirming</w:t>
      </w:r>
      <w:r w:rsidR="003D640C">
        <w:t xml:space="preserve"> </w:t>
      </w:r>
      <w:r w:rsidR="00AE4386">
        <w:t>healthcare</w:t>
      </w:r>
      <w:r w:rsidR="003D640C">
        <w:t xml:space="preserve"> </w:t>
      </w:r>
      <w:r w:rsidR="00AE4386">
        <w:t>and</w:t>
      </w:r>
      <w:r w:rsidR="003D640C">
        <w:t xml:space="preserve"> </w:t>
      </w:r>
      <w:r w:rsidR="00AE4386">
        <w:t>disability</w:t>
      </w:r>
      <w:r w:rsidR="004419D7">
        <w:t>”</w:t>
      </w:r>
      <w:r w:rsidR="00BE2EF6">
        <w:t>.</w:t>
      </w:r>
      <w:r w:rsidR="00A07E6D">
        <w:rPr>
          <w:rStyle w:val="FootnoteReference"/>
        </w:rPr>
        <w:footnoteReference w:id="261"/>
      </w:r>
    </w:p>
    <w:p w14:paraId="2542B532" w14:textId="2D8139B1" w:rsidR="00152162" w:rsidRDefault="00152162" w:rsidP="002E6693">
      <w:r>
        <w:t>Conversion</w:t>
      </w:r>
      <w:r w:rsidR="003D640C">
        <w:t xml:space="preserve"> </w:t>
      </w:r>
      <w:r>
        <w:t>practices</w:t>
      </w:r>
      <w:r w:rsidR="003D640C">
        <w:t xml:space="preserve"> </w:t>
      </w:r>
      <w:r w:rsidR="003F745E">
        <w:t>on</w:t>
      </w:r>
      <w:r w:rsidR="003D640C">
        <w:t xml:space="preserve"> </w:t>
      </w:r>
      <w:r w:rsidR="004554CC">
        <w:t>disabled</w:t>
      </w:r>
      <w:r w:rsidR="003D640C">
        <w:t xml:space="preserve"> </w:t>
      </w:r>
      <w:r w:rsidR="004554CC">
        <w:t>people</w:t>
      </w:r>
      <w:r w:rsidR="003D640C">
        <w:t xml:space="preserve"> </w:t>
      </w:r>
      <w:r w:rsidR="004554CC">
        <w:t>and</w:t>
      </w:r>
      <w:r w:rsidR="003D640C">
        <w:t xml:space="preserve"> </w:t>
      </w:r>
      <w:r w:rsidR="003F745E">
        <w:t>those</w:t>
      </w:r>
      <w:r w:rsidR="003D640C">
        <w:t xml:space="preserve"> </w:t>
      </w:r>
      <w:r w:rsidR="003F745E">
        <w:t>experiencing</w:t>
      </w:r>
      <w:r w:rsidR="003D640C">
        <w:t xml:space="preserve"> </w:t>
      </w:r>
      <w:r w:rsidR="003F745E">
        <w:t>mental</w:t>
      </w:r>
      <w:r w:rsidR="003D640C">
        <w:t xml:space="preserve"> </w:t>
      </w:r>
      <w:r w:rsidR="003F745E">
        <w:t>distress</w:t>
      </w:r>
      <w:r w:rsidR="003D640C">
        <w:t xml:space="preserve"> </w:t>
      </w:r>
      <w:r>
        <w:t>ha</w:t>
      </w:r>
      <w:r w:rsidR="000E2B60">
        <w:t>s</w:t>
      </w:r>
      <w:r w:rsidR="003D640C">
        <w:t xml:space="preserve"> </w:t>
      </w:r>
      <w:r>
        <w:t>been</w:t>
      </w:r>
      <w:r w:rsidR="003D640C">
        <w:t xml:space="preserve"> </w:t>
      </w:r>
      <w:r>
        <w:t>documented</w:t>
      </w:r>
      <w:r w:rsidR="003D640C">
        <w:t xml:space="preserve"> </w:t>
      </w:r>
      <w:r>
        <w:t>in</w:t>
      </w:r>
      <w:r w:rsidR="003D640C">
        <w:t xml:space="preserve"> </w:t>
      </w:r>
      <w:r w:rsidR="000E2B60">
        <w:t>the</w:t>
      </w:r>
      <w:r w:rsidR="003D640C">
        <w:t xml:space="preserve"> </w:t>
      </w:r>
      <w:r w:rsidR="000E2B60">
        <w:t>Aotearoa</w:t>
      </w:r>
      <w:r w:rsidR="003D640C">
        <w:t xml:space="preserve"> </w:t>
      </w:r>
      <w:r w:rsidR="000E2B60">
        <w:t>context</w:t>
      </w:r>
      <w:r w:rsidR="003D640C">
        <w:t xml:space="preserve"> </w:t>
      </w:r>
      <w:r w:rsidR="000E2B60">
        <w:t>through</w:t>
      </w:r>
      <w:r w:rsidR="003D640C">
        <w:t xml:space="preserve"> </w:t>
      </w:r>
      <w:r>
        <w:t>the</w:t>
      </w:r>
      <w:r w:rsidR="003D640C">
        <w:t xml:space="preserve"> </w:t>
      </w:r>
      <w:r>
        <w:t>Royal</w:t>
      </w:r>
      <w:r w:rsidR="003D640C">
        <w:t xml:space="preserve"> </w:t>
      </w:r>
      <w:r>
        <w:t>Commission</w:t>
      </w:r>
      <w:r w:rsidR="003D640C">
        <w:t xml:space="preserve"> </w:t>
      </w:r>
      <w:r>
        <w:t>of</w:t>
      </w:r>
      <w:r w:rsidR="003D640C">
        <w:t xml:space="preserve"> </w:t>
      </w:r>
      <w:r>
        <w:t>Inquiry</w:t>
      </w:r>
      <w:r w:rsidR="003D640C">
        <w:t xml:space="preserve"> </w:t>
      </w:r>
      <w:r>
        <w:t>into</w:t>
      </w:r>
      <w:r w:rsidR="003D640C">
        <w:t xml:space="preserve"> </w:t>
      </w:r>
      <w:r>
        <w:t>the</w:t>
      </w:r>
      <w:r w:rsidR="003D640C">
        <w:t xml:space="preserve"> </w:t>
      </w:r>
      <w:r>
        <w:t>Abuse</w:t>
      </w:r>
      <w:r w:rsidR="003D640C">
        <w:t xml:space="preserve"> </w:t>
      </w:r>
      <w:r>
        <w:t>in</w:t>
      </w:r>
      <w:r w:rsidR="003D640C">
        <w:t xml:space="preserve"> </w:t>
      </w:r>
      <w:r>
        <w:lastRenderedPageBreak/>
        <w:t>Care</w:t>
      </w:r>
      <w:r w:rsidR="00222A91">
        <w:t>.</w:t>
      </w:r>
      <w:r w:rsidR="003D640C">
        <w:t xml:space="preserve"> </w:t>
      </w:r>
      <w:r w:rsidR="00222A91">
        <w:t>These</w:t>
      </w:r>
      <w:r w:rsidR="003D640C">
        <w:t xml:space="preserve"> </w:t>
      </w:r>
      <w:r w:rsidR="00222A91">
        <w:t>practices</w:t>
      </w:r>
      <w:r w:rsidR="003D640C">
        <w:t xml:space="preserve"> </w:t>
      </w:r>
      <w:r w:rsidR="002E6868">
        <w:t>are</w:t>
      </w:r>
      <w:r w:rsidR="003D640C">
        <w:t xml:space="preserve"> </w:t>
      </w:r>
      <w:r w:rsidR="002E6868">
        <w:t>discussed</w:t>
      </w:r>
      <w:r w:rsidR="003D640C">
        <w:t xml:space="preserve"> </w:t>
      </w:r>
      <w:r w:rsidR="000511A0">
        <w:t>in</w:t>
      </w:r>
      <w:r w:rsidR="003D640C">
        <w:t xml:space="preserve"> </w:t>
      </w:r>
      <w:r w:rsidR="00282786">
        <w:t xml:space="preserve">a </w:t>
      </w:r>
      <w:r w:rsidR="000511A0">
        <w:t>case</w:t>
      </w:r>
      <w:r w:rsidR="003D640C">
        <w:t xml:space="preserve"> </w:t>
      </w:r>
      <w:r w:rsidR="000511A0">
        <w:t>study</w:t>
      </w:r>
      <w:r w:rsidR="003D640C">
        <w:t xml:space="preserve"> </w:t>
      </w:r>
      <w:r w:rsidR="000511A0">
        <w:t>report</w:t>
      </w:r>
      <w:r>
        <w:rPr>
          <w:rStyle w:val="FootnoteReference"/>
        </w:rPr>
        <w:footnoteReference w:id="262"/>
      </w:r>
      <w:r w:rsidR="003D640C">
        <w:t xml:space="preserve"> </w:t>
      </w:r>
      <w:r w:rsidR="00282786">
        <w:t xml:space="preserve">that </w:t>
      </w:r>
      <w:r w:rsidR="000511A0">
        <w:t>addresses</w:t>
      </w:r>
      <w:r w:rsidR="003D640C">
        <w:t xml:space="preserve"> </w:t>
      </w:r>
      <w:r w:rsidR="000511A0">
        <w:t>the</w:t>
      </w:r>
      <w:r w:rsidR="003D640C">
        <w:t xml:space="preserve"> </w:t>
      </w:r>
      <w:r w:rsidR="00E61218">
        <w:t>abuse</w:t>
      </w:r>
      <w:r w:rsidR="003D640C">
        <w:t xml:space="preserve"> </w:t>
      </w:r>
      <w:r w:rsidR="00282786">
        <w:t xml:space="preserve">that </w:t>
      </w:r>
      <w:r w:rsidR="00E61218">
        <w:t>took</w:t>
      </w:r>
      <w:r w:rsidR="003D640C">
        <w:t xml:space="preserve"> </w:t>
      </w:r>
      <w:r w:rsidR="00E61218">
        <w:t>place</w:t>
      </w:r>
      <w:r w:rsidR="003D640C">
        <w:t xml:space="preserve"> </w:t>
      </w:r>
      <w:r w:rsidR="00E61218">
        <w:t>at</w:t>
      </w:r>
      <w:r w:rsidR="003D640C">
        <w:t xml:space="preserve"> </w:t>
      </w:r>
      <w:r w:rsidR="00E61218">
        <w:t>the</w:t>
      </w:r>
      <w:r w:rsidR="003D640C">
        <w:t xml:space="preserve"> </w:t>
      </w:r>
      <w:r w:rsidR="000511A0">
        <w:t>Lake</w:t>
      </w:r>
      <w:r w:rsidR="003D640C">
        <w:t xml:space="preserve"> </w:t>
      </w:r>
      <w:r w:rsidR="000511A0">
        <w:t>Alice</w:t>
      </w:r>
      <w:r w:rsidR="003D640C">
        <w:t xml:space="preserve"> </w:t>
      </w:r>
      <w:r w:rsidR="000511A0">
        <w:t>Child</w:t>
      </w:r>
      <w:r w:rsidR="003D640C">
        <w:t xml:space="preserve"> </w:t>
      </w:r>
      <w:r w:rsidR="000511A0">
        <w:t>and</w:t>
      </w:r>
      <w:r w:rsidR="003D640C">
        <w:t xml:space="preserve"> </w:t>
      </w:r>
      <w:r w:rsidR="000511A0">
        <w:t>Adolescent</w:t>
      </w:r>
      <w:r w:rsidR="003D640C">
        <w:t xml:space="preserve"> </w:t>
      </w:r>
      <w:r w:rsidR="000511A0">
        <w:t>Psychiatric</w:t>
      </w:r>
      <w:r w:rsidR="003D640C">
        <w:t xml:space="preserve"> </w:t>
      </w:r>
      <w:r w:rsidR="000511A0">
        <w:t>Unit.</w:t>
      </w:r>
      <w:r w:rsidR="003D640C">
        <w:t xml:space="preserve"> </w:t>
      </w:r>
      <w:r w:rsidR="00BA714B">
        <w:t>The</w:t>
      </w:r>
      <w:r w:rsidR="003D640C">
        <w:t xml:space="preserve"> </w:t>
      </w:r>
      <w:r w:rsidR="00BA714B">
        <w:t>report</w:t>
      </w:r>
      <w:r w:rsidR="003D640C">
        <w:t xml:space="preserve"> </w:t>
      </w:r>
      <w:r w:rsidR="00BA714B">
        <w:t>finds</w:t>
      </w:r>
      <w:r w:rsidR="003D640C">
        <w:t xml:space="preserve"> </w:t>
      </w:r>
      <w:r w:rsidR="00BA714B">
        <w:t>that</w:t>
      </w:r>
      <w:r w:rsidR="003D640C">
        <w:t xml:space="preserve"> </w:t>
      </w:r>
      <w:r w:rsidR="00BA714B">
        <w:t>the</w:t>
      </w:r>
      <w:r w:rsidR="003D640C">
        <w:t xml:space="preserve"> </w:t>
      </w:r>
      <w:r w:rsidR="00B24164" w:rsidRPr="00B24164">
        <w:t>homophobic</w:t>
      </w:r>
      <w:r w:rsidR="003D640C">
        <w:t xml:space="preserve"> </w:t>
      </w:r>
      <w:r w:rsidR="00B24164" w:rsidRPr="00B24164">
        <w:t>and</w:t>
      </w:r>
      <w:r w:rsidR="003D640C">
        <w:t xml:space="preserve"> </w:t>
      </w:r>
      <w:r w:rsidR="00B24164" w:rsidRPr="00B24164">
        <w:t>transphobic</w:t>
      </w:r>
      <w:r w:rsidR="003D640C">
        <w:t xml:space="preserve"> </w:t>
      </w:r>
      <w:r w:rsidR="00B24164" w:rsidRPr="00B24164">
        <w:t>abuse</w:t>
      </w:r>
      <w:r w:rsidR="003D640C">
        <w:t xml:space="preserve"> </w:t>
      </w:r>
      <w:r w:rsidR="00BA714B">
        <w:t>that</w:t>
      </w:r>
      <w:r w:rsidR="003D640C">
        <w:t xml:space="preserve"> </w:t>
      </w:r>
      <w:r w:rsidR="00BA714B">
        <w:t>took</w:t>
      </w:r>
      <w:r w:rsidR="003D640C">
        <w:t xml:space="preserve"> </w:t>
      </w:r>
      <w:r w:rsidR="00BA714B">
        <w:t>place</w:t>
      </w:r>
      <w:r w:rsidR="003D640C">
        <w:t xml:space="preserve"> </w:t>
      </w:r>
      <w:r w:rsidR="00BA714B">
        <w:t>in</w:t>
      </w:r>
      <w:r w:rsidR="003D640C">
        <w:t xml:space="preserve"> </w:t>
      </w:r>
      <w:r w:rsidR="00BA714B">
        <w:t>the</w:t>
      </w:r>
      <w:r w:rsidR="003D640C">
        <w:t xml:space="preserve"> </w:t>
      </w:r>
      <w:r w:rsidR="00BA714B">
        <w:t>unit</w:t>
      </w:r>
      <w:r w:rsidR="003D640C">
        <w:t xml:space="preserve"> </w:t>
      </w:r>
      <w:r w:rsidR="00B24164" w:rsidRPr="00B24164">
        <w:t>has</w:t>
      </w:r>
      <w:r w:rsidR="003D640C">
        <w:t xml:space="preserve"> </w:t>
      </w:r>
      <w:r w:rsidR="00B24164" w:rsidRPr="00B24164">
        <w:t>had</w:t>
      </w:r>
      <w:r w:rsidR="003D640C">
        <w:t xml:space="preserve"> </w:t>
      </w:r>
      <w:r w:rsidR="00B24164" w:rsidRPr="00B24164">
        <w:t>a</w:t>
      </w:r>
      <w:r w:rsidR="003D640C">
        <w:t xml:space="preserve"> </w:t>
      </w:r>
      <w:r w:rsidR="00B24164" w:rsidRPr="00B24164">
        <w:t>profound</w:t>
      </w:r>
      <w:r w:rsidR="003D640C">
        <w:t xml:space="preserve"> </w:t>
      </w:r>
      <w:r w:rsidR="00B24164" w:rsidRPr="00B24164">
        <w:t>and</w:t>
      </w:r>
      <w:r w:rsidR="003D640C">
        <w:t xml:space="preserve"> </w:t>
      </w:r>
      <w:r w:rsidR="00B24164" w:rsidRPr="00B24164">
        <w:t>enduring</w:t>
      </w:r>
      <w:r w:rsidR="003D640C">
        <w:t xml:space="preserve"> </w:t>
      </w:r>
      <w:r w:rsidR="00B24164" w:rsidRPr="00B24164">
        <w:t>impact</w:t>
      </w:r>
      <w:r w:rsidR="003D640C">
        <w:t xml:space="preserve"> </w:t>
      </w:r>
      <w:r w:rsidR="00B24164" w:rsidRPr="00B24164">
        <w:t>on</w:t>
      </w:r>
      <w:r w:rsidR="003D640C">
        <w:t xml:space="preserve"> </w:t>
      </w:r>
      <w:r w:rsidR="00B24164" w:rsidRPr="00B24164">
        <w:t>those</w:t>
      </w:r>
      <w:r w:rsidR="003D640C">
        <w:t xml:space="preserve"> </w:t>
      </w:r>
      <w:r w:rsidR="00B24164" w:rsidRPr="00B24164">
        <w:t>harmed.</w:t>
      </w:r>
    </w:p>
    <w:p w14:paraId="2B604BB1" w14:textId="7CA5219C" w:rsidR="00B51F0B" w:rsidRDefault="13239A7C" w:rsidP="002E6693">
      <w:pPr>
        <w:rPr>
          <w:lang w:eastAsia="en-NZ"/>
        </w:rPr>
      </w:pPr>
      <w:r>
        <w:rPr>
          <w:lang w:eastAsia="en-NZ"/>
        </w:rPr>
        <w:t>Through</w:t>
      </w:r>
      <w:r w:rsidR="003D640C">
        <w:rPr>
          <w:lang w:eastAsia="en-NZ"/>
        </w:rPr>
        <w:t xml:space="preserve"> </w:t>
      </w:r>
      <w:r>
        <w:rPr>
          <w:lang w:eastAsia="en-NZ"/>
        </w:rPr>
        <w:t>our</w:t>
      </w:r>
      <w:r w:rsidR="003D640C">
        <w:rPr>
          <w:lang w:eastAsia="en-NZ"/>
        </w:rPr>
        <w:t xml:space="preserve"> </w:t>
      </w:r>
      <w:r>
        <w:rPr>
          <w:lang w:eastAsia="en-NZ"/>
        </w:rPr>
        <w:t>engagement,</w:t>
      </w:r>
      <w:r w:rsidR="003D640C">
        <w:rPr>
          <w:lang w:eastAsia="en-NZ"/>
        </w:rPr>
        <w:t xml:space="preserve"> </w:t>
      </w:r>
      <w:r>
        <w:rPr>
          <w:lang w:eastAsia="en-NZ"/>
        </w:rPr>
        <w:t>we</w:t>
      </w:r>
      <w:r w:rsidR="003D640C">
        <w:rPr>
          <w:lang w:eastAsia="en-NZ"/>
        </w:rPr>
        <w:t xml:space="preserve"> </w:t>
      </w:r>
      <w:r w:rsidR="6EC1EEA3">
        <w:rPr>
          <w:lang w:eastAsia="en-NZ"/>
        </w:rPr>
        <w:t>spoke</w:t>
      </w:r>
      <w:r w:rsidR="003D640C">
        <w:rPr>
          <w:lang w:eastAsia="en-NZ"/>
        </w:rPr>
        <w:t xml:space="preserve"> </w:t>
      </w:r>
      <w:r w:rsidR="6EC1EEA3">
        <w:rPr>
          <w:lang w:eastAsia="en-NZ"/>
        </w:rPr>
        <w:t>with</w:t>
      </w:r>
      <w:r w:rsidR="003D640C">
        <w:rPr>
          <w:lang w:eastAsia="en-NZ"/>
        </w:rPr>
        <w:t xml:space="preserve"> </w:t>
      </w:r>
      <w:r w:rsidR="4DF87A0E" w:rsidRPr="00BB6220">
        <w:rPr>
          <w:lang w:eastAsia="en-NZ"/>
        </w:rPr>
        <w:t>survivors</w:t>
      </w:r>
      <w:r w:rsidR="003D640C">
        <w:rPr>
          <w:lang w:eastAsia="en-NZ"/>
        </w:rPr>
        <w:t xml:space="preserve"> </w:t>
      </w:r>
      <w:r w:rsidR="6EC1EEA3">
        <w:rPr>
          <w:lang w:eastAsia="en-NZ"/>
        </w:rPr>
        <w:t>who</w:t>
      </w:r>
      <w:r w:rsidR="003D640C">
        <w:rPr>
          <w:lang w:eastAsia="en-NZ"/>
        </w:rPr>
        <w:t xml:space="preserve"> </w:t>
      </w:r>
      <w:r w:rsidR="14BF78DE" w:rsidRPr="00BB6220">
        <w:rPr>
          <w:lang w:eastAsia="en-NZ"/>
        </w:rPr>
        <w:t>described</w:t>
      </w:r>
      <w:r w:rsidR="003D640C">
        <w:rPr>
          <w:lang w:eastAsia="en-NZ"/>
        </w:rPr>
        <w:t xml:space="preserve"> </w:t>
      </w:r>
      <w:r w:rsidR="18E65CC6" w:rsidRPr="00BB6220">
        <w:rPr>
          <w:lang w:eastAsia="en-NZ"/>
        </w:rPr>
        <w:t>experiences</w:t>
      </w:r>
      <w:r w:rsidR="003D640C">
        <w:rPr>
          <w:lang w:eastAsia="en-NZ"/>
        </w:rPr>
        <w:t xml:space="preserve"> </w:t>
      </w:r>
      <w:r w:rsidR="18E65CC6" w:rsidRPr="00BB6220">
        <w:rPr>
          <w:lang w:eastAsia="en-NZ"/>
        </w:rPr>
        <w:t>in</w:t>
      </w:r>
      <w:r w:rsidR="003D640C">
        <w:rPr>
          <w:lang w:eastAsia="en-NZ"/>
        </w:rPr>
        <w:t xml:space="preserve"> </w:t>
      </w:r>
      <w:r w:rsidR="38614B39" w:rsidRPr="00BB6220">
        <w:rPr>
          <w:lang w:eastAsia="en-NZ"/>
        </w:rPr>
        <w:t>religious</w:t>
      </w:r>
      <w:r w:rsidR="003D640C">
        <w:rPr>
          <w:lang w:eastAsia="en-NZ"/>
        </w:rPr>
        <w:t xml:space="preserve"> </w:t>
      </w:r>
      <w:r w:rsidR="027FD74C" w:rsidRPr="00BB6220">
        <w:rPr>
          <w:lang w:eastAsia="en-NZ"/>
        </w:rPr>
        <w:t>settings</w:t>
      </w:r>
      <w:r w:rsidR="003D640C">
        <w:rPr>
          <w:lang w:eastAsia="en-NZ"/>
        </w:rPr>
        <w:t xml:space="preserve"> </w:t>
      </w:r>
      <w:r w:rsidR="027FD74C" w:rsidRPr="00BB6220">
        <w:rPr>
          <w:lang w:eastAsia="en-NZ"/>
        </w:rPr>
        <w:t>that</w:t>
      </w:r>
      <w:r w:rsidR="003D640C">
        <w:rPr>
          <w:lang w:eastAsia="en-NZ"/>
        </w:rPr>
        <w:t xml:space="preserve"> </w:t>
      </w:r>
      <w:r w:rsidR="5F74327C" w:rsidRPr="00BB6220">
        <w:rPr>
          <w:lang w:eastAsia="en-NZ"/>
        </w:rPr>
        <w:t>attempted</w:t>
      </w:r>
      <w:r w:rsidR="003D640C">
        <w:rPr>
          <w:lang w:eastAsia="en-NZ"/>
        </w:rPr>
        <w:t xml:space="preserve"> </w:t>
      </w:r>
      <w:r w:rsidR="027FD74C" w:rsidRPr="00BB6220">
        <w:rPr>
          <w:lang w:eastAsia="en-NZ"/>
        </w:rPr>
        <w:t>to</w:t>
      </w:r>
      <w:r w:rsidR="003D640C">
        <w:rPr>
          <w:lang w:eastAsia="en-NZ"/>
        </w:rPr>
        <w:t xml:space="preserve"> </w:t>
      </w:r>
      <w:r w:rsidR="39CC2DEC" w:rsidRPr="00BB6220">
        <w:rPr>
          <w:lang w:eastAsia="en-NZ"/>
        </w:rPr>
        <w:t>change</w:t>
      </w:r>
      <w:r w:rsidR="003D640C">
        <w:rPr>
          <w:lang w:eastAsia="en-NZ"/>
        </w:rPr>
        <w:t xml:space="preserve"> </w:t>
      </w:r>
      <w:r w:rsidR="39CC2DEC" w:rsidRPr="00BB6220">
        <w:rPr>
          <w:lang w:eastAsia="en-NZ"/>
        </w:rPr>
        <w:t>or</w:t>
      </w:r>
      <w:r w:rsidR="003D640C">
        <w:rPr>
          <w:lang w:eastAsia="en-NZ"/>
        </w:rPr>
        <w:t xml:space="preserve"> </w:t>
      </w:r>
      <w:r w:rsidR="027FD74C" w:rsidRPr="00BB6220">
        <w:rPr>
          <w:lang w:eastAsia="en-NZ"/>
        </w:rPr>
        <w:t>suppress</w:t>
      </w:r>
      <w:r w:rsidR="003D640C">
        <w:rPr>
          <w:lang w:eastAsia="en-NZ"/>
        </w:rPr>
        <w:t xml:space="preserve"> </w:t>
      </w:r>
      <w:r w:rsidR="2A994873" w:rsidRPr="00BB6220">
        <w:rPr>
          <w:lang w:eastAsia="en-NZ"/>
        </w:rPr>
        <w:t>both</w:t>
      </w:r>
      <w:r w:rsidR="003D640C">
        <w:rPr>
          <w:lang w:eastAsia="en-NZ"/>
        </w:rPr>
        <w:t xml:space="preserve"> </w:t>
      </w:r>
      <w:r w:rsidR="027FD74C" w:rsidRPr="00BB6220">
        <w:rPr>
          <w:lang w:eastAsia="en-NZ"/>
        </w:rPr>
        <w:t>the</w:t>
      </w:r>
      <w:r w:rsidR="127A7074" w:rsidRPr="00BB6220">
        <w:rPr>
          <w:lang w:eastAsia="en-NZ"/>
        </w:rPr>
        <w:t>ir</w:t>
      </w:r>
      <w:r w:rsidR="003D640C">
        <w:rPr>
          <w:lang w:eastAsia="en-NZ"/>
        </w:rPr>
        <w:t xml:space="preserve"> </w:t>
      </w:r>
      <w:r w:rsidR="2205B366" w:rsidRPr="00BB6220">
        <w:rPr>
          <w:lang w:eastAsia="en-NZ"/>
        </w:rPr>
        <w:t>Rainbow</w:t>
      </w:r>
      <w:r w:rsidR="003D640C">
        <w:rPr>
          <w:lang w:eastAsia="en-NZ"/>
        </w:rPr>
        <w:t xml:space="preserve"> </w:t>
      </w:r>
      <w:r w:rsidR="027FD74C" w:rsidRPr="00BB6220">
        <w:rPr>
          <w:lang w:eastAsia="en-NZ"/>
        </w:rPr>
        <w:t>identity</w:t>
      </w:r>
      <w:r w:rsidR="003D640C">
        <w:rPr>
          <w:lang w:eastAsia="en-NZ"/>
        </w:rPr>
        <w:t xml:space="preserve"> </w:t>
      </w:r>
      <w:r w:rsidR="36A7A07C" w:rsidRPr="00BB6220">
        <w:rPr>
          <w:lang w:eastAsia="en-NZ"/>
        </w:rPr>
        <w:t>and</w:t>
      </w:r>
      <w:r w:rsidR="003D640C">
        <w:rPr>
          <w:lang w:eastAsia="en-NZ"/>
        </w:rPr>
        <w:t xml:space="preserve"> </w:t>
      </w:r>
      <w:r w:rsidR="027FD74C" w:rsidRPr="00BB6220">
        <w:rPr>
          <w:lang w:eastAsia="en-NZ"/>
        </w:rPr>
        <w:t>the</w:t>
      </w:r>
      <w:r w:rsidR="36A7A07C" w:rsidRPr="00BB6220">
        <w:rPr>
          <w:lang w:eastAsia="en-NZ"/>
        </w:rPr>
        <w:t>ir</w:t>
      </w:r>
      <w:r w:rsidR="003D640C">
        <w:rPr>
          <w:lang w:eastAsia="en-NZ"/>
        </w:rPr>
        <w:t xml:space="preserve"> </w:t>
      </w:r>
      <w:r w:rsidR="027FD74C" w:rsidRPr="00BB6220">
        <w:rPr>
          <w:lang w:eastAsia="en-NZ"/>
        </w:rPr>
        <w:t>disability.</w:t>
      </w:r>
      <w:r w:rsidR="003D640C">
        <w:rPr>
          <w:lang w:eastAsia="en-NZ"/>
        </w:rPr>
        <w:t xml:space="preserve"> </w:t>
      </w:r>
      <w:r w:rsidR="37A4950B" w:rsidRPr="00BB6220">
        <w:rPr>
          <w:lang w:eastAsia="en-NZ"/>
        </w:rPr>
        <w:t>This</w:t>
      </w:r>
      <w:r w:rsidR="003D640C">
        <w:rPr>
          <w:lang w:eastAsia="en-NZ"/>
        </w:rPr>
        <w:t xml:space="preserve"> </w:t>
      </w:r>
      <w:r w:rsidR="37A4950B" w:rsidRPr="00BB6220">
        <w:rPr>
          <w:lang w:eastAsia="en-NZ"/>
        </w:rPr>
        <w:t>intersection</w:t>
      </w:r>
      <w:r w:rsidR="003D640C">
        <w:rPr>
          <w:lang w:eastAsia="en-NZ"/>
        </w:rPr>
        <w:t xml:space="preserve"> </w:t>
      </w:r>
      <w:r w:rsidR="37A4950B" w:rsidRPr="00BB6220">
        <w:rPr>
          <w:lang w:eastAsia="en-NZ"/>
        </w:rPr>
        <w:t>between</w:t>
      </w:r>
      <w:r w:rsidR="003D640C">
        <w:rPr>
          <w:lang w:eastAsia="en-NZ"/>
        </w:rPr>
        <w:t xml:space="preserve"> </w:t>
      </w:r>
      <w:r w:rsidR="37A4950B" w:rsidRPr="00BB6220">
        <w:rPr>
          <w:lang w:eastAsia="en-NZ"/>
        </w:rPr>
        <w:t>being</w:t>
      </w:r>
      <w:r w:rsidR="003D640C">
        <w:rPr>
          <w:lang w:eastAsia="en-NZ"/>
        </w:rPr>
        <w:t xml:space="preserve"> </w:t>
      </w:r>
      <w:r w:rsidR="37A4950B" w:rsidRPr="00BB6220">
        <w:rPr>
          <w:lang w:eastAsia="en-NZ"/>
        </w:rPr>
        <w:t>disabled,</w:t>
      </w:r>
      <w:r w:rsidR="003D640C">
        <w:rPr>
          <w:lang w:eastAsia="en-NZ"/>
        </w:rPr>
        <w:t xml:space="preserve"> </w:t>
      </w:r>
      <w:r w:rsidR="00B508BF">
        <w:rPr>
          <w:lang w:eastAsia="en-NZ"/>
        </w:rPr>
        <w:t xml:space="preserve">being </w:t>
      </w:r>
      <w:r w:rsidR="2205B366" w:rsidRPr="00BB6220">
        <w:rPr>
          <w:lang w:eastAsia="en-NZ"/>
        </w:rPr>
        <w:t>R</w:t>
      </w:r>
      <w:r w:rsidR="37A4950B" w:rsidRPr="00BB6220">
        <w:rPr>
          <w:lang w:eastAsia="en-NZ"/>
        </w:rPr>
        <w:t>ainbow</w:t>
      </w:r>
      <w:r w:rsidR="4CB2A89B">
        <w:rPr>
          <w:lang w:eastAsia="en-NZ"/>
        </w:rPr>
        <w:t>,</w:t>
      </w:r>
      <w:r w:rsidR="003D640C">
        <w:rPr>
          <w:lang w:eastAsia="en-NZ"/>
        </w:rPr>
        <w:t xml:space="preserve"> </w:t>
      </w:r>
      <w:r w:rsidR="37A4950B" w:rsidRPr="00BB6220">
        <w:rPr>
          <w:lang w:eastAsia="en-NZ"/>
        </w:rPr>
        <w:t>and</w:t>
      </w:r>
      <w:r w:rsidR="003D640C">
        <w:rPr>
          <w:lang w:eastAsia="en-NZ"/>
        </w:rPr>
        <w:t xml:space="preserve"> </w:t>
      </w:r>
      <w:r w:rsidR="37A4950B" w:rsidRPr="00BB6220">
        <w:rPr>
          <w:lang w:eastAsia="en-NZ"/>
        </w:rPr>
        <w:t>having</w:t>
      </w:r>
      <w:r w:rsidR="003D640C">
        <w:rPr>
          <w:lang w:eastAsia="en-NZ"/>
        </w:rPr>
        <w:t xml:space="preserve"> </w:t>
      </w:r>
      <w:r w:rsidR="37A4950B" w:rsidRPr="00BB6220">
        <w:rPr>
          <w:lang w:eastAsia="en-NZ"/>
        </w:rPr>
        <w:t>a</w:t>
      </w:r>
      <w:r w:rsidR="003D640C">
        <w:rPr>
          <w:lang w:eastAsia="en-NZ"/>
        </w:rPr>
        <w:t xml:space="preserve"> </w:t>
      </w:r>
      <w:r w:rsidR="37A4950B" w:rsidRPr="00BB6220">
        <w:rPr>
          <w:lang w:eastAsia="en-NZ"/>
        </w:rPr>
        <w:t>religious</w:t>
      </w:r>
      <w:r w:rsidR="003D640C">
        <w:rPr>
          <w:lang w:eastAsia="en-NZ"/>
        </w:rPr>
        <w:t xml:space="preserve"> </w:t>
      </w:r>
      <w:r w:rsidR="37A4950B" w:rsidRPr="00BB6220">
        <w:rPr>
          <w:lang w:eastAsia="en-NZ"/>
        </w:rPr>
        <w:t>or</w:t>
      </w:r>
      <w:r w:rsidR="003D640C">
        <w:rPr>
          <w:lang w:eastAsia="en-NZ"/>
        </w:rPr>
        <w:t xml:space="preserve"> </w:t>
      </w:r>
      <w:r w:rsidR="37A4950B" w:rsidRPr="00BB6220">
        <w:rPr>
          <w:lang w:eastAsia="en-NZ"/>
        </w:rPr>
        <w:t>cultural</w:t>
      </w:r>
      <w:r w:rsidR="003D640C">
        <w:rPr>
          <w:lang w:eastAsia="en-NZ"/>
        </w:rPr>
        <w:t xml:space="preserve"> </w:t>
      </w:r>
      <w:r w:rsidR="37A4950B" w:rsidRPr="00BB6220">
        <w:rPr>
          <w:lang w:eastAsia="en-NZ"/>
        </w:rPr>
        <w:t>identity</w:t>
      </w:r>
      <w:r w:rsidR="003D640C">
        <w:rPr>
          <w:lang w:eastAsia="en-NZ"/>
        </w:rPr>
        <w:t xml:space="preserve"> </w:t>
      </w:r>
      <w:r w:rsidR="4BAAD290" w:rsidRPr="00BB6220">
        <w:rPr>
          <w:lang w:eastAsia="en-NZ"/>
        </w:rPr>
        <w:t>warrants</w:t>
      </w:r>
      <w:r w:rsidR="003D640C">
        <w:rPr>
          <w:lang w:eastAsia="en-NZ"/>
        </w:rPr>
        <w:t xml:space="preserve"> </w:t>
      </w:r>
      <w:r w:rsidR="4BAAD290" w:rsidRPr="00BB6220">
        <w:rPr>
          <w:lang w:eastAsia="en-NZ"/>
        </w:rPr>
        <w:t>further</w:t>
      </w:r>
      <w:r w:rsidR="003D640C">
        <w:rPr>
          <w:lang w:eastAsia="en-NZ"/>
        </w:rPr>
        <w:t xml:space="preserve"> </w:t>
      </w:r>
      <w:r w:rsidR="4BAAD290" w:rsidRPr="00BB6220">
        <w:rPr>
          <w:lang w:eastAsia="en-NZ"/>
        </w:rPr>
        <w:t>exploration</w:t>
      </w:r>
      <w:r w:rsidR="003D640C">
        <w:rPr>
          <w:lang w:eastAsia="en-NZ"/>
        </w:rPr>
        <w:t xml:space="preserve"> </w:t>
      </w:r>
      <w:r w:rsidR="37A4950B" w:rsidRPr="00BB6220">
        <w:rPr>
          <w:lang w:eastAsia="en-NZ"/>
        </w:rPr>
        <w:t>in</w:t>
      </w:r>
      <w:r w:rsidR="003D640C">
        <w:rPr>
          <w:lang w:eastAsia="en-NZ"/>
        </w:rPr>
        <w:t xml:space="preserve"> </w:t>
      </w:r>
      <w:r w:rsidR="37A4950B" w:rsidRPr="00BB6220">
        <w:rPr>
          <w:lang w:eastAsia="en-NZ"/>
        </w:rPr>
        <w:t>the</w:t>
      </w:r>
      <w:r w:rsidR="003D640C">
        <w:rPr>
          <w:lang w:eastAsia="en-NZ"/>
        </w:rPr>
        <w:t xml:space="preserve"> </w:t>
      </w:r>
      <w:r w:rsidR="37A4950B" w:rsidRPr="00BB6220">
        <w:rPr>
          <w:lang w:eastAsia="en-NZ"/>
        </w:rPr>
        <w:t>context</w:t>
      </w:r>
      <w:r w:rsidR="003D640C">
        <w:rPr>
          <w:lang w:eastAsia="en-NZ"/>
        </w:rPr>
        <w:t xml:space="preserve"> </w:t>
      </w:r>
      <w:r w:rsidR="37A4950B" w:rsidRPr="00BB6220">
        <w:rPr>
          <w:lang w:eastAsia="en-NZ"/>
        </w:rPr>
        <w:t>of</w:t>
      </w:r>
      <w:r w:rsidR="003D640C">
        <w:rPr>
          <w:lang w:eastAsia="en-NZ"/>
        </w:rPr>
        <w:t xml:space="preserve"> </w:t>
      </w:r>
      <w:r w:rsidR="37A4950B" w:rsidRPr="00BB6220">
        <w:rPr>
          <w:lang w:eastAsia="en-NZ"/>
        </w:rPr>
        <w:t>conversion</w:t>
      </w:r>
      <w:r w:rsidR="003D640C">
        <w:rPr>
          <w:lang w:eastAsia="en-NZ"/>
        </w:rPr>
        <w:t xml:space="preserve"> </w:t>
      </w:r>
      <w:r w:rsidR="37A4950B" w:rsidRPr="00BB6220">
        <w:rPr>
          <w:lang w:eastAsia="en-NZ"/>
        </w:rPr>
        <w:t>practices.</w:t>
      </w:r>
      <w:r w:rsidR="003D640C">
        <w:rPr>
          <w:lang w:eastAsia="en-NZ"/>
        </w:rPr>
        <w:t xml:space="preserve"> </w:t>
      </w:r>
      <w:r w:rsidR="37A4950B" w:rsidRPr="00BB6220">
        <w:rPr>
          <w:lang w:eastAsia="en-NZ"/>
        </w:rPr>
        <w:t>For</w:t>
      </w:r>
      <w:r w:rsidR="003D640C">
        <w:rPr>
          <w:lang w:eastAsia="en-NZ"/>
        </w:rPr>
        <w:t xml:space="preserve"> </w:t>
      </w:r>
      <w:r w:rsidR="37A4950B" w:rsidRPr="00BB6220">
        <w:rPr>
          <w:lang w:eastAsia="en-NZ"/>
        </w:rPr>
        <w:t>example,</w:t>
      </w:r>
      <w:r w:rsidR="003D640C">
        <w:rPr>
          <w:lang w:eastAsia="en-NZ"/>
        </w:rPr>
        <w:t xml:space="preserve"> </w:t>
      </w:r>
      <w:r w:rsidR="37A4950B" w:rsidRPr="00BB6220">
        <w:rPr>
          <w:lang w:eastAsia="en-NZ"/>
        </w:rPr>
        <w:t>work</w:t>
      </w:r>
      <w:r w:rsidR="003D640C">
        <w:rPr>
          <w:lang w:eastAsia="en-NZ"/>
        </w:rPr>
        <w:t xml:space="preserve"> </w:t>
      </w:r>
      <w:r w:rsidR="37A4950B" w:rsidRPr="00BB6220">
        <w:rPr>
          <w:lang w:eastAsia="en-NZ"/>
        </w:rPr>
        <w:t>is</w:t>
      </w:r>
      <w:r w:rsidR="003D640C">
        <w:rPr>
          <w:lang w:eastAsia="en-NZ"/>
        </w:rPr>
        <w:t xml:space="preserve"> </w:t>
      </w:r>
      <w:r w:rsidR="37A4950B" w:rsidRPr="00BB6220">
        <w:rPr>
          <w:lang w:eastAsia="en-NZ"/>
        </w:rPr>
        <w:t>occurring</w:t>
      </w:r>
      <w:r w:rsidR="003D640C">
        <w:rPr>
          <w:lang w:eastAsia="en-NZ"/>
        </w:rPr>
        <w:t xml:space="preserve"> </w:t>
      </w:r>
      <w:r w:rsidR="37A4950B" w:rsidRPr="00BB6220">
        <w:rPr>
          <w:lang w:eastAsia="en-NZ"/>
        </w:rPr>
        <w:t>by</w:t>
      </w:r>
      <w:r w:rsidR="003D640C">
        <w:rPr>
          <w:lang w:eastAsia="en-NZ"/>
        </w:rPr>
        <w:t xml:space="preserve"> </w:t>
      </w:r>
      <w:r w:rsidR="37A4950B" w:rsidRPr="00BB6220">
        <w:rPr>
          <w:lang w:eastAsia="en-NZ"/>
        </w:rPr>
        <w:t>some</w:t>
      </w:r>
      <w:r w:rsidR="003D640C">
        <w:rPr>
          <w:lang w:eastAsia="en-NZ"/>
        </w:rPr>
        <w:t xml:space="preserve"> </w:t>
      </w:r>
      <w:r w:rsidR="37A4950B" w:rsidRPr="00BB6220">
        <w:rPr>
          <w:lang w:eastAsia="en-NZ"/>
        </w:rPr>
        <w:t>disabled</w:t>
      </w:r>
      <w:r w:rsidR="003D640C">
        <w:rPr>
          <w:lang w:eastAsia="en-NZ"/>
        </w:rPr>
        <w:t xml:space="preserve"> </w:t>
      </w:r>
      <w:r w:rsidR="37A4950B" w:rsidRPr="00BB6220">
        <w:rPr>
          <w:lang w:eastAsia="en-NZ"/>
        </w:rPr>
        <w:t>people</w:t>
      </w:r>
      <w:r w:rsidR="003D640C">
        <w:rPr>
          <w:lang w:eastAsia="en-NZ"/>
        </w:rPr>
        <w:t xml:space="preserve"> </w:t>
      </w:r>
      <w:r w:rsidR="37A4950B" w:rsidRPr="00BB6220">
        <w:rPr>
          <w:lang w:eastAsia="en-NZ"/>
        </w:rPr>
        <w:t>and</w:t>
      </w:r>
      <w:r w:rsidR="003D640C">
        <w:rPr>
          <w:lang w:eastAsia="en-NZ"/>
        </w:rPr>
        <w:t xml:space="preserve"> </w:t>
      </w:r>
      <w:r w:rsidR="37A4950B" w:rsidRPr="00BB6220">
        <w:rPr>
          <w:lang w:eastAsia="en-NZ"/>
        </w:rPr>
        <w:t>mental</w:t>
      </w:r>
      <w:r w:rsidR="003D640C">
        <w:rPr>
          <w:lang w:eastAsia="en-NZ"/>
        </w:rPr>
        <w:t xml:space="preserve"> </w:t>
      </w:r>
      <w:r w:rsidR="37A4950B" w:rsidRPr="00BB6220">
        <w:rPr>
          <w:lang w:eastAsia="en-NZ"/>
        </w:rPr>
        <w:t>health</w:t>
      </w:r>
      <w:r w:rsidR="003D640C">
        <w:rPr>
          <w:lang w:eastAsia="en-NZ"/>
        </w:rPr>
        <w:t xml:space="preserve"> </w:t>
      </w:r>
      <w:r w:rsidR="37A4950B" w:rsidRPr="00BB6220">
        <w:rPr>
          <w:lang w:eastAsia="en-NZ"/>
        </w:rPr>
        <w:t>advocates</w:t>
      </w:r>
      <w:r w:rsidR="003D640C">
        <w:rPr>
          <w:lang w:eastAsia="en-NZ"/>
        </w:rPr>
        <w:t xml:space="preserve"> </w:t>
      </w:r>
      <w:r w:rsidR="37A4950B" w:rsidRPr="00BB6220">
        <w:rPr>
          <w:lang w:eastAsia="en-NZ"/>
        </w:rPr>
        <w:t>to</w:t>
      </w:r>
      <w:r w:rsidR="003D640C">
        <w:rPr>
          <w:lang w:eastAsia="en-NZ"/>
        </w:rPr>
        <w:t xml:space="preserve"> </w:t>
      </w:r>
      <w:r w:rsidR="37A4950B" w:rsidRPr="00BB6220">
        <w:rPr>
          <w:lang w:eastAsia="en-NZ"/>
        </w:rPr>
        <w:t>reduce</w:t>
      </w:r>
      <w:r w:rsidR="003D640C">
        <w:rPr>
          <w:lang w:eastAsia="en-NZ"/>
        </w:rPr>
        <w:t xml:space="preserve"> </w:t>
      </w:r>
      <w:r w:rsidR="37A4950B" w:rsidRPr="00BB6220">
        <w:rPr>
          <w:lang w:eastAsia="en-NZ"/>
        </w:rPr>
        <w:t>stigma</w:t>
      </w:r>
      <w:r w:rsidR="003D640C">
        <w:rPr>
          <w:lang w:eastAsia="en-NZ"/>
        </w:rPr>
        <w:t xml:space="preserve"> </w:t>
      </w:r>
      <w:r w:rsidR="37A4950B" w:rsidRPr="00BB6220">
        <w:rPr>
          <w:lang w:eastAsia="en-NZ"/>
        </w:rPr>
        <w:t>based</w:t>
      </w:r>
      <w:r w:rsidR="003D640C">
        <w:rPr>
          <w:lang w:eastAsia="en-NZ"/>
        </w:rPr>
        <w:t xml:space="preserve"> </w:t>
      </w:r>
      <w:r w:rsidR="37A4950B" w:rsidRPr="00BB6220">
        <w:rPr>
          <w:lang w:eastAsia="en-NZ"/>
        </w:rPr>
        <w:t>on</w:t>
      </w:r>
      <w:r w:rsidR="003D640C">
        <w:rPr>
          <w:lang w:eastAsia="en-NZ"/>
        </w:rPr>
        <w:t xml:space="preserve"> </w:t>
      </w:r>
      <w:r w:rsidR="37A4950B" w:rsidRPr="00BB6220">
        <w:rPr>
          <w:lang w:eastAsia="en-NZ"/>
        </w:rPr>
        <w:t>religious</w:t>
      </w:r>
      <w:r w:rsidR="003D640C">
        <w:rPr>
          <w:lang w:eastAsia="en-NZ"/>
        </w:rPr>
        <w:t xml:space="preserve"> </w:t>
      </w:r>
      <w:r w:rsidR="37A4950B" w:rsidRPr="00BB6220">
        <w:rPr>
          <w:lang w:eastAsia="en-NZ"/>
        </w:rPr>
        <w:t>beliefs</w:t>
      </w:r>
      <w:r w:rsidR="003D640C">
        <w:rPr>
          <w:lang w:eastAsia="en-NZ"/>
        </w:rPr>
        <w:t xml:space="preserve"> </w:t>
      </w:r>
      <w:r w:rsidR="37A4950B" w:rsidRPr="00BB6220">
        <w:rPr>
          <w:lang w:eastAsia="en-NZ"/>
        </w:rPr>
        <w:t>or</w:t>
      </w:r>
      <w:r w:rsidR="003D640C">
        <w:rPr>
          <w:lang w:eastAsia="en-NZ"/>
        </w:rPr>
        <w:t xml:space="preserve"> </w:t>
      </w:r>
      <w:r w:rsidR="37A4950B" w:rsidRPr="00BB6220">
        <w:rPr>
          <w:lang w:eastAsia="en-NZ"/>
        </w:rPr>
        <w:t>superstitions</w:t>
      </w:r>
      <w:r w:rsidR="003D640C">
        <w:rPr>
          <w:lang w:eastAsia="en-NZ"/>
        </w:rPr>
        <w:t xml:space="preserve"> </w:t>
      </w:r>
      <w:r w:rsidR="37A4950B" w:rsidRPr="00BB6220">
        <w:rPr>
          <w:lang w:eastAsia="en-NZ"/>
        </w:rPr>
        <w:t>that</w:t>
      </w:r>
      <w:r w:rsidR="003D640C">
        <w:rPr>
          <w:lang w:eastAsia="en-NZ"/>
        </w:rPr>
        <w:t xml:space="preserve"> </w:t>
      </w:r>
      <w:r w:rsidR="37A4950B" w:rsidRPr="00BB6220">
        <w:rPr>
          <w:lang w:eastAsia="en-NZ"/>
        </w:rPr>
        <w:t>disability</w:t>
      </w:r>
      <w:r w:rsidR="003D640C">
        <w:rPr>
          <w:lang w:eastAsia="en-NZ"/>
        </w:rPr>
        <w:t xml:space="preserve"> </w:t>
      </w:r>
      <w:r w:rsidR="37A4950B" w:rsidRPr="00BB6220">
        <w:rPr>
          <w:lang w:eastAsia="en-NZ"/>
        </w:rPr>
        <w:t>and/or</w:t>
      </w:r>
      <w:r w:rsidR="003D640C">
        <w:rPr>
          <w:lang w:eastAsia="en-NZ"/>
        </w:rPr>
        <w:t xml:space="preserve"> </w:t>
      </w:r>
      <w:r w:rsidR="37A4950B" w:rsidRPr="00BB6220">
        <w:rPr>
          <w:lang w:eastAsia="en-NZ"/>
        </w:rPr>
        <w:t>mental</w:t>
      </w:r>
      <w:r w:rsidR="003D640C">
        <w:rPr>
          <w:lang w:eastAsia="en-NZ"/>
        </w:rPr>
        <w:t xml:space="preserve"> </w:t>
      </w:r>
      <w:r w:rsidR="37A4950B" w:rsidRPr="00BB6220">
        <w:rPr>
          <w:lang w:eastAsia="en-NZ"/>
        </w:rPr>
        <w:t>health</w:t>
      </w:r>
      <w:r w:rsidR="003D640C">
        <w:rPr>
          <w:lang w:eastAsia="en-NZ"/>
        </w:rPr>
        <w:t xml:space="preserve"> </w:t>
      </w:r>
      <w:r w:rsidR="37A4950B" w:rsidRPr="00BB6220">
        <w:rPr>
          <w:lang w:eastAsia="en-NZ"/>
        </w:rPr>
        <w:t>distress</w:t>
      </w:r>
      <w:r w:rsidR="003D640C">
        <w:rPr>
          <w:lang w:eastAsia="en-NZ"/>
        </w:rPr>
        <w:t xml:space="preserve"> </w:t>
      </w:r>
      <w:r w:rsidR="37A4950B" w:rsidRPr="00BB6220">
        <w:rPr>
          <w:lang w:eastAsia="en-NZ"/>
        </w:rPr>
        <w:t>is</w:t>
      </w:r>
      <w:r w:rsidR="003D640C">
        <w:rPr>
          <w:lang w:eastAsia="en-NZ"/>
        </w:rPr>
        <w:t xml:space="preserve"> </w:t>
      </w:r>
      <w:r w:rsidR="37A4950B" w:rsidRPr="00BB6220">
        <w:rPr>
          <w:lang w:eastAsia="en-NZ"/>
        </w:rPr>
        <w:t>a</w:t>
      </w:r>
      <w:r w:rsidR="003D640C">
        <w:rPr>
          <w:lang w:eastAsia="en-NZ"/>
        </w:rPr>
        <w:t xml:space="preserve"> </w:t>
      </w:r>
      <w:r w:rsidR="37A4950B" w:rsidRPr="00BB6220">
        <w:rPr>
          <w:lang w:eastAsia="en-NZ"/>
        </w:rPr>
        <w:t>result</w:t>
      </w:r>
      <w:r w:rsidR="003D640C">
        <w:rPr>
          <w:lang w:eastAsia="en-NZ"/>
        </w:rPr>
        <w:t xml:space="preserve"> </w:t>
      </w:r>
      <w:r w:rsidR="37A4950B" w:rsidRPr="00BB6220">
        <w:rPr>
          <w:lang w:eastAsia="en-NZ"/>
        </w:rPr>
        <w:t>of</w:t>
      </w:r>
      <w:r w:rsidR="003D640C">
        <w:rPr>
          <w:lang w:eastAsia="en-NZ"/>
        </w:rPr>
        <w:t xml:space="preserve"> </w:t>
      </w:r>
      <w:r w:rsidR="37A4950B" w:rsidRPr="00BB6220">
        <w:rPr>
          <w:lang w:eastAsia="en-NZ"/>
        </w:rPr>
        <w:t>a</w:t>
      </w:r>
      <w:r w:rsidR="003D640C">
        <w:rPr>
          <w:lang w:eastAsia="en-NZ"/>
        </w:rPr>
        <w:t xml:space="preserve"> </w:t>
      </w:r>
      <w:r w:rsidR="37A4950B" w:rsidRPr="00BB6220">
        <w:rPr>
          <w:lang w:eastAsia="en-NZ"/>
        </w:rPr>
        <w:t>spiritual</w:t>
      </w:r>
      <w:r w:rsidR="003D640C">
        <w:rPr>
          <w:lang w:eastAsia="en-NZ"/>
        </w:rPr>
        <w:t xml:space="preserve"> </w:t>
      </w:r>
      <w:r w:rsidR="37A4950B" w:rsidRPr="00BB6220">
        <w:rPr>
          <w:lang w:eastAsia="en-NZ"/>
        </w:rPr>
        <w:t>transgression</w:t>
      </w:r>
      <w:r w:rsidR="003D640C">
        <w:rPr>
          <w:lang w:eastAsia="en-NZ"/>
        </w:rPr>
        <w:t xml:space="preserve"> </w:t>
      </w:r>
      <w:r w:rsidR="37A4950B" w:rsidRPr="00BB6220">
        <w:rPr>
          <w:lang w:eastAsia="en-NZ"/>
        </w:rPr>
        <w:t>of</w:t>
      </w:r>
      <w:r w:rsidR="003D640C">
        <w:rPr>
          <w:lang w:eastAsia="en-NZ"/>
        </w:rPr>
        <w:t xml:space="preserve"> </w:t>
      </w:r>
      <w:r w:rsidR="37A4950B" w:rsidRPr="00BB6220">
        <w:rPr>
          <w:lang w:eastAsia="en-NZ"/>
        </w:rPr>
        <w:t>an</w:t>
      </w:r>
      <w:r w:rsidR="003D640C">
        <w:rPr>
          <w:lang w:eastAsia="en-NZ"/>
        </w:rPr>
        <w:t xml:space="preserve"> </w:t>
      </w:r>
      <w:r w:rsidR="37A4950B" w:rsidRPr="00BB6220">
        <w:rPr>
          <w:lang w:eastAsia="en-NZ"/>
        </w:rPr>
        <w:t>individual</w:t>
      </w:r>
      <w:r w:rsidR="003D640C">
        <w:rPr>
          <w:lang w:eastAsia="en-NZ"/>
        </w:rPr>
        <w:t xml:space="preserve"> </w:t>
      </w:r>
      <w:r w:rsidR="37A4950B" w:rsidRPr="00BB6220">
        <w:rPr>
          <w:lang w:eastAsia="en-NZ"/>
        </w:rPr>
        <w:t>or</w:t>
      </w:r>
      <w:r w:rsidR="003D640C">
        <w:rPr>
          <w:lang w:eastAsia="en-NZ"/>
        </w:rPr>
        <w:t xml:space="preserve"> </w:t>
      </w:r>
      <w:r w:rsidR="37A4950B" w:rsidRPr="00BB6220">
        <w:rPr>
          <w:lang w:eastAsia="en-NZ"/>
        </w:rPr>
        <w:t>a</w:t>
      </w:r>
      <w:r w:rsidR="003D640C">
        <w:rPr>
          <w:lang w:eastAsia="en-NZ"/>
        </w:rPr>
        <w:t xml:space="preserve"> </w:t>
      </w:r>
      <w:r w:rsidR="37A4950B" w:rsidRPr="00BB6220">
        <w:rPr>
          <w:lang w:eastAsia="en-NZ"/>
        </w:rPr>
        <w:t>close</w:t>
      </w:r>
      <w:r w:rsidR="003D640C">
        <w:rPr>
          <w:lang w:eastAsia="en-NZ"/>
        </w:rPr>
        <w:t xml:space="preserve"> </w:t>
      </w:r>
      <w:r w:rsidR="37A4950B" w:rsidRPr="00BB6220">
        <w:rPr>
          <w:lang w:eastAsia="en-NZ"/>
        </w:rPr>
        <w:t>relative</w:t>
      </w:r>
      <w:r w:rsidR="003D640C">
        <w:rPr>
          <w:lang w:eastAsia="en-NZ"/>
        </w:rPr>
        <w:t xml:space="preserve"> </w:t>
      </w:r>
      <w:r w:rsidR="37A4950B" w:rsidRPr="00BB6220">
        <w:rPr>
          <w:lang w:eastAsia="en-NZ"/>
        </w:rPr>
        <w:t>or</w:t>
      </w:r>
      <w:r w:rsidR="003D640C">
        <w:rPr>
          <w:lang w:eastAsia="en-NZ"/>
        </w:rPr>
        <w:t xml:space="preserve"> </w:t>
      </w:r>
      <w:r w:rsidR="37A4950B" w:rsidRPr="00BB6220">
        <w:rPr>
          <w:lang w:eastAsia="en-NZ"/>
        </w:rPr>
        <w:t>ancestor.</w:t>
      </w:r>
      <w:r w:rsidR="00B930E5" w:rsidRPr="00BB6220">
        <w:rPr>
          <w:rStyle w:val="FootnoteReference"/>
          <w:rFonts w:ascii="Calibri" w:eastAsia="Times New Roman" w:hAnsi="Calibri" w:cs="Calibri"/>
          <w:lang w:eastAsia="en-NZ"/>
        </w:rPr>
        <w:footnoteReference w:id="263"/>
      </w:r>
      <w:r w:rsidR="003D640C">
        <w:rPr>
          <w:lang w:eastAsia="en-NZ"/>
        </w:rPr>
        <w:t xml:space="preserve"> </w:t>
      </w:r>
    </w:p>
    <w:p w14:paraId="61F7FA99" w14:textId="77777777" w:rsidR="00B51F0B" w:rsidRDefault="00B51F0B">
      <w:pPr>
        <w:rPr>
          <w:lang w:eastAsia="en-NZ"/>
        </w:rPr>
      </w:pPr>
      <w:r>
        <w:rPr>
          <w:lang w:eastAsia="en-NZ"/>
        </w:rPr>
        <w:br w:type="page"/>
      </w:r>
    </w:p>
    <w:p w14:paraId="6B691BF2" w14:textId="633E1D88" w:rsidR="00501068" w:rsidRDefault="00CF4A69" w:rsidP="00501BC4">
      <w:pPr>
        <w:pStyle w:val="Heading1"/>
      </w:pPr>
      <w:bookmarkStart w:id="331" w:name="_Toc138325194"/>
      <w:bookmarkStart w:id="332" w:name="_Toc138343851"/>
      <w:bookmarkStart w:id="333" w:name="_Toc167780631"/>
      <w:bookmarkStart w:id="334" w:name="_Toc922866601"/>
      <w:bookmarkStart w:id="335" w:name="_Toc174628693"/>
      <w:r w:rsidRPr="00BB6220" w:rsidDel="00727A48">
        <w:lastRenderedPageBreak/>
        <w:t>Supporting</w:t>
      </w:r>
      <w:r w:rsidR="003D640C">
        <w:t xml:space="preserve"> </w:t>
      </w:r>
      <w:r w:rsidRPr="00BB6220">
        <w:t>and</w:t>
      </w:r>
      <w:r w:rsidR="003D640C">
        <w:t xml:space="preserve"> </w:t>
      </w:r>
      <w:r w:rsidRPr="00BB6220">
        <w:t>working</w:t>
      </w:r>
      <w:r w:rsidR="003D640C">
        <w:t xml:space="preserve"> </w:t>
      </w:r>
      <w:r w:rsidRPr="00BB6220">
        <w:t>with</w:t>
      </w:r>
      <w:r w:rsidR="003D640C">
        <w:t xml:space="preserve"> </w:t>
      </w:r>
      <w:r w:rsidRPr="00BB6220">
        <w:t>survivors</w:t>
      </w:r>
      <w:bookmarkEnd w:id="331"/>
      <w:bookmarkEnd w:id="332"/>
      <w:bookmarkEnd w:id="333"/>
      <w:bookmarkEnd w:id="334"/>
      <w:bookmarkEnd w:id="335"/>
    </w:p>
    <w:p w14:paraId="052A38BB" w14:textId="20E72169" w:rsidR="00E54BC6" w:rsidRPr="00BB6220" w:rsidRDefault="00CF4A69" w:rsidP="00B51F0B">
      <w:r w:rsidRPr="00BB6220">
        <w:t>This</w:t>
      </w:r>
      <w:r w:rsidR="003D640C">
        <w:t xml:space="preserve"> </w:t>
      </w:r>
      <w:r w:rsidRPr="00BB6220">
        <w:t>chapter</w:t>
      </w:r>
      <w:r w:rsidR="003D640C">
        <w:t xml:space="preserve"> </w:t>
      </w:r>
      <w:r w:rsidRPr="00BB6220">
        <w:t>provides</w:t>
      </w:r>
      <w:r w:rsidR="003D640C">
        <w:t xml:space="preserve"> </w:t>
      </w:r>
      <w:r w:rsidRPr="00BB6220">
        <w:t>advice</w:t>
      </w:r>
      <w:r w:rsidR="003D640C">
        <w:t xml:space="preserve"> </w:t>
      </w:r>
      <w:r w:rsidRPr="00BB6220">
        <w:t>on</w:t>
      </w:r>
      <w:r w:rsidR="003D640C">
        <w:t xml:space="preserve"> </w:t>
      </w:r>
      <w:r w:rsidRPr="00BB6220">
        <w:t>how</w:t>
      </w:r>
      <w:r w:rsidR="003D640C">
        <w:t xml:space="preserve"> </w:t>
      </w:r>
      <w:r w:rsidRPr="00BB6220">
        <w:t>to</w:t>
      </w:r>
      <w:r w:rsidR="003D640C">
        <w:t xml:space="preserve"> </w:t>
      </w:r>
      <w:r w:rsidRPr="00BB6220">
        <w:t>support</w:t>
      </w:r>
      <w:r w:rsidR="003D640C">
        <w:t xml:space="preserve"> </w:t>
      </w:r>
      <w:r w:rsidRPr="00BB6220">
        <w:t>survivors</w:t>
      </w:r>
      <w:r w:rsidR="003D640C">
        <w:t xml:space="preserve"> </w:t>
      </w:r>
      <w:r w:rsidRPr="00BB6220">
        <w:t>of</w:t>
      </w:r>
      <w:r w:rsidR="003D640C">
        <w:t xml:space="preserve"> </w:t>
      </w:r>
      <w:r w:rsidRPr="00BB6220">
        <w:t>conversion</w:t>
      </w:r>
      <w:r w:rsidR="003D640C">
        <w:t xml:space="preserve"> </w:t>
      </w:r>
      <w:r w:rsidRPr="00BB6220">
        <w:t>practices.</w:t>
      </w:r>
      <w:r w:rsidR="003D640C">
        <w:t xml:space="preserve"> </w:t>
      </w:r>
      <w:r w:rsidRPr="00BB6220">
        <w:t>It</w:t>
      </w:r>
      <w:r w:rsidR="003D640C">
        <w:t xml:space="preserve"> </w:t>
      </w:r>
      <w:r w:rsidRPr="00BB6220">
        <w:t>includes</w:t>
      </w:r>
      <w:r w:rsidR="003D640C">
        <w:t xml:space="preserve"> </w:t>
      </w:r>
      <w:r w:rsidRPr="00BB6220">
        <w:t>survivors’</w:t>
      </w:r>
      <w:r w:rsidR="003D640C">
        <w:t xml:space="preserve"> </w:t>
      </w:r>
      <w:r w:rsidRPr="00BB6220">
        <w:t>requests</w:t>
      </w:r>
      <w:r w:rsidR="003D640C">
        <w:t xml:space="preserve"> </w:t>
      </w:r>
      <w:r w:rsidRPr="00BB6220">
        <w:t>of</w:t>
      </w:r>
      <w:r w:rsidR="003D640C">
        <w:t xml:space="preserve"> </w:t>
      </w:r>
      <w:r w:rsidRPr="00BB6220">
        <w:t>their</w:t>
      </w:r>
      <w:r w:rsidR="003D640C">
        <w:t xml:space="preserve"> </w:t>
      </w:r>
      <w:r w:rsidRPr="00BB6220">
        <w:t>communities</w:t>
      </w:r>
      <w:r w:rsidR="003D640C">
        <w:t xml:space="preserve"> </w:t>
      </w:r>
      <w:r w:rsidRPr="00BB6220">
        <w:t>and</w:t>
      </w:r>
      <w:r w:rsidR="003D640C">
        <w:t xml:space="preserve"> </w:t>
      </w:r>
      <w:r w:rsidRPr="00BB6220">
        <w:t>healthcare</w:t>
      </w:r>
      <w:r w:rsidR="003D640C">
        <w:t xml:space="preserve"> </w:t>
      </w:r>
      <w:r w:rsidRPr="00BB6220">
        <w:t>professionals</w:t>
      </w:r>
      <w:r w:rsidR="003D640C">
        <w:t xml:space="preserve"> </w:t>
      </w:r>
      <w:r w:rsidRPr="00BB6220">
        <w:t>as</w:t>
      </w:r>
      <w:r w:rsidR="003D640C">
        <w:t xml:space="preserve"> </w:t>
      </w:r>
      <w:r w:rsidRPr="00BB6220">
        <w:t>well</w:t>
      </w:r>
      <w:r w:rsidR="003D640C">
        <w:t xml:space="preserve"> </w:t>
      </w:r>
      <w:r w:rsidRPr="00BB6220">
        <w:t>as</w:t>
      </w:r>
      <w:r w:rsidR="003D640C">
        <w:t xml:space="preserve"> </w:t>
      </w:r>
      <w:r w:rsidRPr="00BB6220">
        <w:t>advice</w:t>
      </w:r>
      <w:r w:rsidR="003D640C">
        <w:t xml:space="preserve"> </w:t>
      </w:r>
      <w:r w:rsidRPr="00BB6220">
        <w:t>to</w:t>
      </w:r>
      <w:r w:rsidR="003D640C">
        <w:t xml:space="preserve"> </w:t>
      </w:r>
      <w:r w:rsidRPr="00BB6220">
        <w:t>peers</w:t>
      </w:r>
      <w:r w:rsidR="003D640C">
        <w:t xml:space="preserve"> </w:t>
      </w:r>
      <w:r w:rsidRPr="00BB6220">
        <w:t>who</w:t>
      </w:r>
      <w:r w:rsidR="003D640C">
        <w:t xml:space="preserve"> </w:t>
      </w:r>
      <w:r w:rsidRPr="00BB6220">
        <w:t>may</w:t>
      </w:r>
      <w:r w:rsidR="003D640C">
        <w:t xml:space="preserve"> </w:t>
      </w:r>
      <w:r w:rsidRPr="00BB6220">
        <w:t>be</w:t>
      </w:r>
      <w:r w:rsidR="003D640C">
        <w:t xml:space="preserve"> </w:t>
      </w:r>
      <w:r w:rsidRPr="00BB6220">
        <w:t>at</w:t>
      </w:r>
      <w:r w:rsidR="003D640C">
        <w:t xml:space="preserve"> </w:t>
      </w:r>
      <w:r w:rsidRPr="00BB6220">
        <w:t>risk</w:t>
      </w:r>
      <w:r w:rsidR="003D640C">
        <w:t xml:space="preserve"> </w:t>
      </w:r>
      <w:r w:rsidRPr="00BB6220">
        <w:t>of,</w:t>
      </w:r>
      <w:r w:rsidR="003D640C">
        <w:t xml:space="preserve"> </w:t>
      </w:r>
      <w:r w:rsidRPr="00BB6220">
        <w:t>or</w:t>
      </w:r>
      <w:r w:rsidR="003D640C">
        <w:t xml:space="preserve"> </w:t>
      </w:r>
      <w:r w:rsidRPr="00BB6220">
        <w:t>have</w:t>
      </w:r>
      <w:r w:rsidR="003D640C">
        <w:t xml:space="preserve"> </w:t>
      </w:r>
      <w:r w:rsidRPr="00BB6220">
        <w:t>experienced,</w:t>
      </w:r>
      <w:r w:rsidR="003D640C">
        <w:t xml:space="preserve"> </w:t>
      </w:r>
      <w:r w:rsidRPr="00BB6220">
        <w:t>conversion</w:t>
      </w:r>
      <w:r w:rsidR="003D640C">
        <w:t xml:space="preserve"> </w:t>
      </w:r>
      <w:r w:rsidRPr="00BB6220">
        <w:t>practices.</w:t>
      </w:r>
      <w:r w:rsidR="003D640C">
        <w:t xml:space="preserve"> </w:t>
      </w:r>
      <w:r w:rsidR="00187536" w:rsidRPr="00E8092E">
        <w:t>It is worth noting that those attempting to exit situations where they are expose</w:t>
      </w:r>
      <w:r w:rsidR="003D3504" w:rsidRPr="00E8092E">
        <w:t>d</w:t>
      </w:r>
      <w:r w:rsidR="00187536" w:rsidRPr="00E8092E">
        <w:t xml:space="preserve"> to conversion practices may face significant </w:t>
      </w:r>
      <w:r w:rsidR="001D0DFA" w:rsidRPr="00E8092E">
        <w:t xml:space="preserve">economic barriers, if they were </w:t>
      </w:r>
      <w:r w:rsidR="002B4BC5" w:rsidRPr="00E8092E">
        <w:t xml:space="preserve">financially </w:t>
      </w:r>
      <w:r w:rsidR="001D0DFA" w:rsidRPr="00E8092E">
        <w:t>reliant on the community or whānau setting in which it was taking place to meet their basic needs.</w:t>
      </w:r>
      <w:r w:rsidR="002B4BC5" w:rsidRPr="00E8092E">
        <w:t xml:space="preserve"> Escaping conversion practices may require securing safe housing</w:t>
      </w:r>
      <w:r w:rsidR="00EA61AC" w:rsidRPr="00E8092E">
        <w:t>, travel costs, as well as any costs associated with mental health support required to work through the trauma of the experience.</w:t>
      </w:r>
      <w:r w:rsidR="002B4BC5">
        <w:t xml:space="preserve"> </w:t>
      </w:r>
    </w:p>
    <w:p w14:paraId="5E7323DB" w14:textId="06CB49DD" w:rsidR="00501068" w:rsidRDefault="00CF4A69" w:rsidP="00B51F0B">
      <w:pPr>
        <w:rPr>
          <w:rFonts w:eastAsia="Times New Roman"/>
          <w:lang w:eastAsia="en-NZ"/>
        </w:rPr>
      </w:pPr>
      <w:r w:rsidRPr="00BB6220">
        <w:rPr>
          <w:rFonts w:eastAsia="Times New Roman"/>
          <w:lang w:eastAsia="en-NZ"/>
        </w:rPr>
        <w:t>Key</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supporting</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working</w:t>
      </w:r>
      <w:r w:rsidR="003D640C">
        <w:rPr>
          <w:rFonts w:eastAsia="Times New Roman"/>
          <w:lang w:eastAsia="en-NZ"/>
        </w:rPr>
        <w:t xml:space="preserve"> </w:t>
      </w:r>
      <w:r w:rsidRPr="00BB6220">
        <w:rPr>
          <w:rFonts w:eastAsia="Times New Roman"/>
          <w:lang w:eastAsia="en-NZ"/>
        </w:rPr>
        <w:t>effectively</w:t>
      </w:r>
      <w:r w:rsidR="003D640C">
        <w:rPr>
          <w:rFonts w:eastAsia="Times New Roman"/>
          <w:lang w:eastAsia="en-NZ"/>
        </w:rPr>
        <w:t xml:space="preserve"> </w:t>
      </w:r>
      <w:r w:rsidRPr="00BB6220">
        <w:rPr>
          <w:rFonts w:eastAsia="Times New Roman"/>
          <w:lang w:eastAsia="en-NZ"/>
        </w:rPr>
        <w:t>with</w:t>
      </w:r>
      <w:r w:rsidR="003D640C">
        <w:rPr>
          <w:rFonts w:eastAsia="Times New Roman"/>
          <w:lang w:eastAsia="en-NZ"/>
        </w:rPr>
        <w:t xml:space="preserve"> </w:t>
      </w:r>
      <w:r w:rsidRPr="00BB6220">
        <w:rPr>
          <w:rFonts w:eastAsia="Times New Roman"/>
          <w:lang w:eastAsia="en-NZ"/>
        </w:rPr>
        <w:t>survivors</w:t>
      </w:r>
      <w:r w:rsidR="003D640C">
        <w:rPr>
          <w:rFonts w:eastAsia="Times New Roman"/>
          <w:lang w:eastAsia="en-NZ"/>
        </w:rPr>
        <w:t xml:space="preserve"> </w:t>
      </w:r>
      <w:r w:rsidRPr="00BB6220">
        <w:rPr>
          <w:rFonts w:eastAsia="Times New Roman"/>
          <w:lang w:eastAsia="en-NZ"/>
        </w:rPr>
        <w:t>is</w:t>
      </w:r>
      <w:r w:rsidR="003D640C">
        <w:rPr>
          <w:rFonts w:eastAsia="Times New Roman"/>
          <w:lang w:eastAsia="en-NZ"/>
        </w:rPr>
        <w:t xml:space="preserve"> </w:t>
      </w:r>
      <w:r w:rsidRPr="00BB6220">
        <w:rPr>
          <w:rFonts w:eastAsia="Times New Roman"/>
          <w:lang w:eastAsia="en-NZ"/>
        </w:rPr>
        <w:t>understanding</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life</w:t>
      </w:r>
      <w:r w:rsidR="004A4008">
        <w:rPr>
          <w:rFonts w:eastAsia="Times New Roman"/>
          <w:lang w:eastAsia="en-NZ"/>
        </w:rPr>
        <w:t xml:space="preserve"> </w:t>
      </w:r>
      <w:r w:rsidRPr="00BB6220">
        <w:rPr>
          <w:rFonts w:eastAsia="Times New Roman"/>
          <w:lang w:eastAsia="en-NZ"/>
        </w:rPr>
        <w:t>cycle</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conversion</w:t>
      </w:r>
      <w:r w:rsidR="003D640C">
        <w:rPr>
          <w:rFonts w:eastAsia="Times New Roman"/>
          <w:lang w:eastAsia="en-NZ"/>
        </w:rPr>
        <w:t xml:space="preserve"> </w:t>
      </w:r>
      <w:r w:rsidRPr="00BB6220">
        <w:rPr>
          <w:rFonts w:eastAsia="Times New Roman"/>
          <w:lang w:eastAsia="en-NZ"/>
        </w:rPr>
        <w:t>practices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pervasive</w:t>
      </w:r>
      <w:r w:rsidR="003D640C">
        <w:rPr>
          <w:rFonts w:eastAsia="Times New Roman"/>
          <w:lang w:eastAsia="en-NZ"/>
        </w:rPr>
        <w:t xml:space="preserve"> </w:t>
      </w:r>
      <w:r w:rsidRPr="00BB6220">
        <w:rPr>
          <w:rFonts w:eastAsia="Times New Roman"/>
          <w:lang w:eastAsia="en-NZ"/>
        </w:rPr>
        <w:t>nature</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harm</w:t>
      </w:r>
      <w:r w:rsidR="003D640C">
        <w:rPr>
          <w:rFonts w:eastAsia="Times New Roman"/>
          <w:lang w:eastAsia="en-NZ"/>
        </w:rPr>
        <w:t xml:space="preserve"> </w:t>
      </w:r>
      <w:r w:rsidR="00F37049" w:rsidRPr="00BB6220">
        <w:rPr>
          <w:rFonts w:eastAsia="Times New Roman"/>
          <w:lang w:eastAsia="en-NZ"/>
        </w:rPr>
        <w:t>throughout</w:t>
      </w:r>
      <w:r w:rsidR="003D640C">
        <w:rPr>
          <w:rFonts w:eastAsia="Times New Roman"/>
          <w:lang w:eastAsia="en-NZ"/>
        </w:rPr>
        <w:t xml:space="preserve"> </w:t>
      </w:r>
      <w:r w:rsidR="00096158" w:rsidRPr="00BB6220">
        <w:rPr>
          <w:rFonts w:eastAsia="Times New Roman"/>
          <w:lang w:eastAsia="en-NZ"/>
        </w:rPr>
        <w:t>multiple</w:t>
      </w:r>
      <w:r w:rsidR="003D640C">
        <w:rPr>
          <w:rFonts w:eastAsia="Times New Roman"/>
          <w:lang w:eastAsia="en-NZ"/>
        </w:rPr>
        <w:t xml:space="preserve"> </w:t>
      </w:r>
      <w:r w:rsidR="00096158" w:rsidRPr="00BB6220">
        <w:rPr>
          <w:rFonts w:eastAsia="Times New Roman"/>
          <w:lang w:eastAsia="en-NZ"/>
        </w:rPr>
        <w:t>layers</w:t>
      </w:r>
      <w:r w:rsidR="003D640C">
        <w:rPr>
          <w:rFonts w:eastAsia="Times New Roman"/>
          <w:lang w:eastAsia="en-NZ"/>
        </w:rPr>
        <w:t xml:space="preserve"> </w:t>
      </w:r>
      <w:r w:rsidR="00096158" w:rsidRPr="00BB6220">
        <w:rPr>
          <w:rFonts w:eastAsia="Times New Roman"/>
          <w:lang w:eastAsia="en-NZ"/>
        </w:rPr>
        <w:t>of</w:t>
      </w:r>
      <w:r w:rsidR="003D640C">
        <w:rPr>
          <w:rFonts w:eastAsia="Times New Roman"/>
          <w:lang w:eastAsia="en-NZ"/>
        </w:rPr>
        <w:t xml:space="preserve"> </w:t>
      </w:r>
      <w:r w:rsidR="00096158" w:rsidRPr="00BB6220">
        <w:rPr>
          <w:rFonts w:eastAsia="Times New Roman"/>
          <w:lang w:eastAsia="en-NZ"/>
        </w:rPr>
        <w:t>their</w:t>
      </w:r>
      <w:r w:rsidR="003D640C">
        <w:rPr>
          <w:rFonts w:eastAsia="Times New Roman"/>
          <w:lang w:eastAsia="en-NZ"/>
        </w:rPr>
        <w:t xml:space="preserve"> </w:t>
      </w:r>
      <w:r w:rsidR="00096158" w:rsidRPr="00BB6220">
        <w:rPr>
          <w:rFonts w:eastAsia="Times New Roman"/>
          <w:lang w:eastAsia="en-NZ"/>
        </w:rPr>
        <w:t>lives</w:t>
      </w:r>
      <w:r w:rsidRPr="00BB6220">
        <w:rPr>
          <w:rFonts w:eastAsia="Times New Roman"/>
          <w:lang w:eastAsia="en-NZ"/>
        </w:rPr>
        <w:t>,</w:t>
      </w:r>
      <w:r w:rsidR="003D640C">
        <w:rPr>
          <w:rFonts w:eastAsia="Times New Roman"/>
          <w:lang w:eastAsia="en-NZ"/>
        </w:rPr>
        <w:t xml:space="preserve"> </w:t>
      </w:r>
      <w:r w:rsidRPr="00BB6220">
        <w:rPr>
          <w:rFonts w:eastAsia="Times New Roman"/>
          <w:lang w:eastAsia="en-NZ"/>
        </w:rPr>
        <w:t>illustrated</w:t>
      </w:r>
      <w:r w:rsidR="003D640C">
        <w:rPr>
          <w:rFonts w:eastAsia="Times New Roman"/>
          <w:lang w:eastAsia="en-NZ"/>
        </w:rPr>
        <w:t xml:space="preserve"> </w:t>
      </w:r>
      <w:r w:rsidR="00254737">
        <w:rPr>
          <w:rFonts w:eastAsia="Times New Roman"/>
          <w:lang w:eastAsia="en-NZ"/>
        </w:rPr>
        <w:t xml:space="preserve">in </w:t>
      </w:r>
      <w:r w:rsidRPr="00BB6220">
        <w:rPr>
          <w:rFonts w:eastAsia="Times New Roman"/>
          <w:lang w:eastAsia="en-NZ"/>
        </w:rPr>
        <w:t>Figures</w:t>
      </w:r>
      <w:r w:rsidR="003D640C">
        <w:rPr>
          <w:rFonts w:eastAsia="Times New Roman"/>
          <w:lang w:eastAsia="en-NZ"/>
        </w:rPr>
        <w:t xml:space="preserve"> </w:t>
      </w:r>
      <w:r w:rsidR="0064680A">
        <w:rPr>
          <w:rFonts w:eastAsia="Times New Roman"/>
          <w:lang w:eastAsia="en-NZ"/>
        </w:rPr>
        <w:t>1</w:t>
      </w:r>
      <w:r w:rsidR="00AD4627">
        <w:rPr>
          <w:rFonts w:eastAsia="Times New Roman"/>
          <w:lang w:eastAsia="en-NZ"/>
        </w:rPr>
        <w:t>1</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00BE31D6">
        <w:rPr>
          <w:rFonts w:eastAsia="Times New Roman"/>
          <w:lang w:eastAsia="en-NZ"/>
        </w:rPr>
        <w:t>1</w:t>
      </w:r>
      <w:r w:rsidR="00AD4627">
        <w:rPr>
          <w:rFonts w:eastAsia="Times New Roman"/>
          <w:lang w:eastAsia="en-NZ"/>
        </w:rPr>
        <w:t>2</w:t>
      </w:r>
      <w:r w:rsidR="003D640C">
        <w:rPr>
          <w:rFonts w:eastAsia="Times New Roman"/>
          <w:lang w:eastAsia="en-NZ"/>
        </w:rPr>
        <w:t xml:space="preserve"> </w:t>
      </w:r>
      <w:r w:rsidR="00C64E83" w:rsidRPr="00BB6220">
        <w:rPr>
          <w:rFonts w:eastAsia="Times New Roman"/>
          <w:lang w:eastAsia="en-NZ"/>
        </w:rPr>
        <w:t>below</w:t>
      </w:r>
      <w:r w:rsidR="003D640C">
        <w:rPr>
          <w:rFonts w:eastAsia="Times New Roman"/>
          <w:lang w:eastAsia="en-NZ"/>
        </w:rPr>
        <w:t xml:space="preserve"> </w:t>
      </w:r>
      <w:r w:rsidR="00C64E83" w:rsidRPr="00BB6220">
        <w:rPr>
          <w:rFonts w:eastAsia="Times New Roman"/>
          <w:lang w:eastAsia="en-NZ"/>
        </w:rPr>
        <w:t>and</w:t>
      </w:r>
      <w:r w:rsidR="003D640C">
        <w:rPr>
          <w:rFonts w:eastAsia="Times New Roman"/>
          <w:lang w:eastAsia="en-NZ"/>
        </w:rPr>
        <w:t xml:space="preserve"> </w:t>
      </w:r>
      <w:r w:rsidR="00C64E83" w:rsidRPr="00BB6220">
        <w:rPr>
          <w:rFonts w:eastAsia="Times New Roman"/>
          <w:lang w:eastAsia="en-NZ"/>
        </w:rPr>
        <w:t>discussed</w:t>
      </w:r>
      <w:r w:rsidR="003D640C">
        <w:rPr>
          <w:rFonts w:eastAsia="Times New Roman"/>
          <w:lang w:eastAsia="en-NZ"/>
        </w:rPr>
        <w:t xml:space="preserve"> </w:t>
      </w:r>
      <w:r w:rsidR="00C64E83" w:rsidRPr="00BB6220">
        <w:rPr>
          <w:rFonts w:eastAsia="Times New Roman"/>
          <w:lang w:eastAsia="en-NZ"/>
        </w:rPr>
        <w:t>in</w:t>
      </w:r>
      <w:r w:rsidR="003D640C">
        <w:rPr>
          <w:rFonts w:eastAsia="Times New Roman"/>
          <w:lang w:eastAsia="en-NZ"/>
        </w:rPr>
        <w:t xml:space="preserve"> </w:t>
      </w:r>
      <w:r w:rsidR="00C64E83" w:rsidRPr="00BB6220">
        <w:rPr>
          <w:rFonts w:eastAsia="Times New Roman"/>
          <w:lang w:eastAsia="en-NZ"/>
        </w:rPr>
        <w:t>more</w:t>
      </w:r>
      <w:r w:rsidR="003D640C">
        <w:rPr>
          <w:rFonts w:eastAsia="Times New Roman"/>
          <w:lang w:eastAsia="en-NZ"/>
        </w:rPr>
        <w:t xml:space="preserve"> </w:t>
      </w:r>
      <w:r w:rsidR="00C64E83" w:rsidRPr="00BB6220">
        <w:rPr>
          <w:rFonts w:eastAsia="Times New Roman"/>
          <w:lang w:eastAsia="en-NZ"/>
        </w:rPr>
        <w:t>detail</w:t>
      </w:r>
      <w:r w:rsidR="003D640C">
        <w:rPr>
          <w:rFonts w:eastAsia="Times New Roman"/>
          <w:lang w:eastAsia="en-NZ"/>
        </w:rPr>
        <w:t xml:space="preserve"> </w:t>
      </w:r>
      <w:r w:rsidR="00C64E83" w:rsidRPr="00BB6220">
        <w:rPr>
          <w:rFonts w:eastAsia="Times New Roman"/>
          <w:lang w:eastAsia="en-NZ"/>
        </w:rPr>
        <w:t>in</w:t>
      </w:r>
      <w:r w:rsidR="003D640C">
        <w:rPr>
          <w:rFonts w:eastAsia="Times New Roman"/>
          <w:lang w:eastAsia="en-NZ"/>
        </w:rPr>
        <w:t xml:space="preserve"> </w:t>
      </w:r>
      <w:r w:rsidR="00BE31D6">
        <w:rPr>
          <w:rFonts w:eastAsia="Times New Roman"/>
          <w:lang w:eastAsia="en-NZ"/>
        </w:rPr>
        <w:t>chapter</w:t>
      </w:r>
      <w:r w:rsidR="003D640C">
        <w:rPr>
          <w:rFonts w:eastAsia="Times New Roman"/>
          <w:lang w:eastAsia="en-NZ"/>
        </w:rPr>
        <w:t xml:space="preserve"> </w:t>
      </w:r>
      <w:r w:rsidR="00B22E77">
        <w:rPr>
          <w:rFonts w:eastAsia="Times New Roman"/>
          <w:lang w:eastAsia="en-NZ"/>
        </w:rPr>
        <w:fldChar w:fldCharType="begin"/>
      </w:r>
      <w:r w:rsidR="00B22E77">
        <w:rPr>
          <w:rFonts w:eastAsia="Times New Roman"/>
          <w:lang w:eastAsia="en-NZ"/>
        </w:rPr>
        <w:instrText xml:space="preserve"> REF _Ref168394032 \r \h </w:instrText>
      </w:r>
      <w:r w:rsidR="00B22E77">
        <w:rPr>
          <w:rFonts w:eastAsia="Times New Roman"/>
          <w:lang w:eastAsia="en-NZ"/>
        </w:rPr>
      </w:r>
      <w:r w:rsidR="00B22E77">
        <w:rPr>
          <w:rFonts w:eastAsia="Times New Roman"/>
          <w:lang w:eastAsia="en-NZ"/>
        </w:rPr>
        <w:fldChar w:fldCharType="separate"/>
      </w:r>
      <w:r w:rsidR="00B22E77">
        <w:rPr>
          <w:rFonts w:eastAsia="Times New Roman"/>
          <w:lang w:eastAsia="en-NZ"/>
        </w:rPr>
        <w:t>5</w:t>
      </w:r>
      <w:r w:rsidR="00B22E77">
        <w:rPr>
          <w:rFonts w:eastAsia="Times New Roman"/>
          <w:lang w:eastAsia="en-NZ"/>
        </w:rPr>
        <w:fldChar w:fldCharType="end"/>
      </w:r>
      <w:r w:rsidR="003D640C">
        <w:rPr>
          <w:rFonts w:eastAsia="Times New Roman"/>
          <w:lang w:eastAsia="en-NZ"/>
        </w:rPr>
        <w:t xml:space="preserve"> </w:t>
      </w:r>
      <w:r w:rsidR="00BE31D6">
        <w:rPr>
          <w:rFonts w:eastAsia="Times New Roman"/>
          <w:lang w:eastAsia="en-NZ"/>
        </w:rPr>
        <w:t>of</w:t>
      </w:r>
      <w:r w:rsidR="003D640C">
        <w:rPr>
          <w:rFonts w:eastAsia="Times New Roman"/>
          <w:lang w:eastAsia="en-NZ"/>
        </w:rPr>
        <w:t xml:space="preserve"> </w:t>
      </w:r>
      <w:r w:rsidR="00BE31D6">
        <w:rPr>
          <w:rFonts w:eastAsia="Times New Roman"/>
          <w:lang w:eastAsia="en-NZ"/>
        </w:rPr>
        <w:t>this</w:t>
      </w:r>
      <w:r w:rsidR="003D640C">
        <w:rPr>
          <w:rFonts w:eastAsia="Times New Roman"/>
          <w:lang w:eastAsia="en-NZ"/>
        </w:rPr>
        <w:t xml:space="preserve"> </w:t>
      </w:r>
      <w:r w:rsidR="00BE31D6">
        <w:rPr>
          <w:rFonts w:eastAsia="Times New Roman"/>
          <w:lang w:eastAsia="en-NZ"/>
        </w:rPr>
        <w:t>report</w:t>
      </w:r>
      <w:r w:rsidRPr="00BB6220">
        <w:rPr>
          <w:rFonts w:eastAsia="Times New Roman"/>
          <w:lang w:eastAsia="en-NZ"/>
        </w:rPr>
        <w:t>.</w:t>
      </w:r>
    </w:p>
    <w:p w14:paraId="096F47ED" w14:textId="1670A30E" w:rsidR="00501068" w:rsidRDefault="00BD6534" w:rsidP="00B51F0B">
      <w:pPr>
        <w:rPr>
          <w:rFonts w:eastAsia="Times New Roman" w:cstheme="minorHAnsi"/>
          <w:lang w:eastAsia="en-NZ"/>
        </w:rPr>
      </w:pPr>
      <w:r>
        <w:rPr>
          <w:rFonts w:eastAsia="Times New Roman" w:cstheme="minorHAnsi"/>
          <w:noProof/>
          <w:lang w:eastAsia="en-NZ"/>
        </w:rPr>
        <w:drawing>
          <wp:inline distT="0" distB="0" distL="0" distR="0" wp14:anchorId="7A2C0F79" wp14:editId="40027EB5">
            <wp:extent cx="5731510" cy="2080895"/>
            <wp:effectExtent l="0" t="0" r="2540" b="0"/>
            <wp:docPr id="1033104744" name="Picture 1" descr="A diagram of a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04744" name="Picture 1" descr="A diagram of a cy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2080895"/>
                    </a:xfrm>
                    <a:prstGeom prst="rect">
                      <a:avLst/>
                    </a:prstGeom>
                  </pic:spPr>
                </pic:pic>
              </a:graphicData>
            </a:graphic>
          </wp:inline>
        </w:drawing>
      </w:r>
      <w:r w:rsidR="003D640C">
        <w:rPr>
          <w:rFonts w:eastAsia="Times New Roman" w:cstheme="minorHAnsi"/>
          <w:lang w:eastAsia="en-NZ"/>
        </w:rPr>
        <w:t xml:space="preserve"> </w:t>
      </w:r>
    </w:p>
    <w:p w14:paraId="2EA2F2A9" w14:textId="6DAFB239" w:rsidR="00501068" w:rsidRDefault="00955306" w:rsidP="00955306">
      <w:pPr>
        <w:pStyle w:val="Caption"/>
        <w:rPr>
          <w:rFonts w:eastAsia="Times New Roman" w:cstheme="minorHAnsi"/>
          <w:b/>
          <w:bCs/>
          <w:lang w:eastAsia="en-NZ"/>
        </w:rPr>
      </w:pPr>
      <w:bookmarkStart w:id="336" w:name="_Toc174628738"/>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11</w:t>
      </w:r>
      <w:r w:rsidRPr="007B527F">
        <w:fldChar w:fldCharType="end"/>
      </w:r>
      <w:r w:rsidR="00BE31D6" w:rsidRPr="00B1465F">
        <w:rPr>
          <w:rFonts w:eastAsia="Times New Roman" w:cstheme="minorHAnsi"/>
          <w:lang w:eastAsia="en-NZ"/>
        </w:rPr>
        <w:t>:</w:t>
      </w:r>
      <w:r w:rsidR="003D640C">
        <w:rPr>
          <w:rFonts w:eastAsia="Times New Roman" w:cstheme="minorHAnsi"/>
          <w:b/>
          <w:bCs/>
          <w:lang w:eastAsia="en-NZ"/>
        </w:rPr>
        <w:t xml:space="preserve"> </w:t>
      </w:r>
      <w:r w:rsidR="00BE31D6" w:rsidRPr="00B1465F">
        <w:t>The</w:t>
      </w:r>
      <w:r w:rsidR="003D640C">
        <w:t xml:space="preserve"> </w:t>
      </w:r>
      <w:r w:rsidR="00BE31D6" w:rsidRPr="00B1465F">
        <w:t>life</w:t>
      </w:r>
      <w:r w:rsidR="003D640C">
        <w:t xml:space="preserve"> </w:t>
      </w:r>
      <w:r w:rsidR="00BE31D6" w:rsidRPr="00B1465F">
        <w:t>cycle</w:t>
      </w:r>
      <w:r w:rsidR="003D640C">
        <w:t xml:space="preserve"> </w:t>
      </w:r>
      <w:r w:rsidR="00BE31D6" w:rsidRPr="00B1465F">
        <w:t>of</w:t>
      </w:r>
      <w:r w:rsidR="003D640C">
        <w:t xml:space="preserve"> </w:t>
      </w:r>
      <w:r w:rsidR="00BE31D6" w:rsidRPr="00B1465F">
        <w:t>repeated</w:t>
      </w:r>
      <w:r w:rsidR="003D640C">
        <w:t xml:space="preserve"> </w:t>
      </w:r>
      <w:r w:rsidR="00BE31D6" w:rsidRPr="00B1465F">
        <w:t>conversion</w:t>
      </w:r>
      <w:r w:rsidR="003D640C">
        <w:t xml:space="preserve"> </w:t>
      </w:r>
      <w:r w:rsidR="00BE31D6" w:rsidRPr="00B1465F">
        <w:t>practices</w:t>
      </w:r>
      <w:r w:rsidR="003D640C">
        <w:t xml:space="preserve"> </w:t>
      </w:r>
      <w:r w:rsidR="00BE31D6" w:rsidRPr="00B1465F">
        <w:t>until</w:t>
      </w:r>
      <w:r w:rsidR="003D640C">
        <w:t xml:space="preserve"> </w:t>
      </w:r>
      <w:r w:rsidR="00BE31D6" w:rsidRPr="00B1465F">
        <w:t>the</w:t>
      </w:r>
      <w:r w:rsidR="003D640C">
        <w:t xml:space="preserve"> </w:t>
      </w:r>
      <w:r w:rsidR="00BE31D6" w:rsidRPr="00B1465F">
        <w:t>survivor</w:t>
      </w:r>
      <w:r w:rsidR="003D640C">
        <w:t xml:space="preserve"> </w:t>
      </w:r>
      <w:r w:rsidR="00BE31D6" w:rsidRPr="00B1465F">
        <w:t>exits</w:t>
      </w:r>
      <w:r w:rsidR="009623B5">
        <w:t>.</w:t>
      </w:r>
      <w:bookmarkEnd w:id="336"/>
      <w:r w:rsidR="003D640C">
        <w:rPr>
          <w:rFonts w:eastAsia="Times New Roman" w:cstheme="minorHAnsi"/>
          <w:b/>
          <w:bCs/>
          <w:lang w:eastAsia="en-NZ"/>
        </w:rPr>
        <w:t xml:space="preserve"> </w:t>
      </w:r>
    </w:p>
    <w:p w14:paraId="1AB90462" w14:textId="2D4FD9EB" w:rsidR="00501068" w:rsidRDefault="00BD6534" w:rsidP="00B51F0B">
      <w:pPr>
        <w:rPr>
          <w:rFonts w:eastAsia="Times New Roman" w:cstheme="minorHAnsi"/>
          <w:b/>
          <w:bCs/>
          <w:lang w:eastAsia="en-NZ"/>
        </w:rPr>
      </w:pPr>
      <w:r>
        <w:rPr>
          <w:rFonts w:eastAsia="Times New Roman" w:cstheme="minorHAnsi"/>
          <w:b/>
          <w:bCs/>
          <w:noProof/>
          <w:lang w:eastAsia="en-NZ"/>
        </w:rPr>
        <w:lastRenderedPageBreak/>
        <w:drawing>
          <wp:inline distT="0" distB="0" distL="0" distR="0" wp14:anchorId="6B67E36F" wp14:editId="2F57AFD9">
            <wp:extent cx="5731510" cy="4138295"/>
            <wp:effectExtent l="0" t="0" r="2540" b="0"/>
            <wp:docPr id="264282438" name="Picture 2" descr="A diagram of the health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82438" name="Picture 2" descr="A diagram of the health system&#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731510" cy="4138295"/>
                    </a:xfrm>
                    <a:prstGeom prst="rect">
                      <a:avLst/>
                    </a:prstGeom>
                  </pic:spPr>
                </pic:pic>
              </a:graphicData>
            </a:graphic>
          </wp:inline>
        </w:drawing>
      </w:r>
    </w:p>
    <w:p w14:paraId="216AB2E5" w14:textId="09BB9DED" w:rsidR="00CF4A69" w:rsidRPr="00B1465F" w:rsidRDefault="00955306" w:rsidP="00955306">
      <w:pPr>
        <w:pStyle w:val="Caption"/>
        <w:rPr>
          <w:rFonts w:eastAsia="Times New Roman" w:cstheme="minorHAnsi"/>
          <w:lang w:eastAsia="en-NZ"/>
        </w:rPr>
      </w:pPr>
      <w:bookmarkStart w:id="337" w:name="_Toc174628739"/>
      <w:r w:rsidRPr="007B527F">
        <w:t>Figure</w:t>
      </w:r>
      <w:r w:rsidR="003D640C">
        <w:t xml:space="preserve"> </w:t>
      </w:r>
      <w:r w:rsidRPr="007B527F">
        <w:fldChar w:fldCharType="begin"/>
      </w:r>
      <w:r w:rsidRPr="007B527F">
        <w:instrText xml:space="preserve"> SEQ Figure \* ARABIC </w:instrText>
      </w:r>
      <w:r w:rsidRPr="007B527F">
        <w:fldChar w:fldCharType="separate"/>
      </w:r>
      <w:r>
        <w:rPr>
          <w:noProof/>
        </w:rPr>
        <w:t>12</w:t>
      </w:r>
      <w:r w:rsidRPr="007B527F">
        <w:fldChar w:fldCharType="end"/>
      </w:r>
      <w:r w:rsidR="00BE31D6" w:rsidRPr="00B1465F">
        <w:rPr>
          <w:rFonts w:eastAsia="Times New Roman" w:cstheme="minorHAnsi"/>
          <w:lang w:eastAsia="en-NZ"/>
        </w:rPr>
        <w:t>:</w:t>
      </w:r>
      <w:r w:rsidR="003D640C">
        <w:rPr>
          <w:rFonts w:eastAsia="Times New Roman" w:cstheme="minorHAnsi"/>
          <w:lang w:eastAsia="en-NZ"/>
        </w:rPr>
        <w:t xml:space="preserve"> </w:t>
      </w:r>
      <w:r w:rsidR="00BE31D6" w:rsidRPr="00B1465F">
        <w:t>Model</w:t>
      </w:r>
      <w:r w:rsidR="003D640C">
        <w:t xml:space="preserve"> </w:t>
      </w:r>
      <w:r w:rsidR="00BE31D6" w:rsidRPr="00B1465F">
        <w:t>of</w:t>
      </w:r>
      <w:r w:rsidR="003D640C">
        <w:t xml:space="preserve"> </w:t>
      </w:r>
      <w:r w:rsidR="00BE31D6" w:rsidRPr="00B1465F">
        <w:t>multidimensional</w:t>
      </w:r>
      <w:r w:rsidR="003D640C">
        <w:t xml:space="preserve"> </w:t>
      </w:r>
      <w:r w:rsidR="00BE31D6" w:rsidRPr="00B1465F">
        <w:t>harms</w:t>
      </w:r>
      <w:r w:rsidR="003D640C">
        <w:t xml:space="preserve"> </w:t>
      </w:r>
      <w:r w:rsidR="00BE31D6" w:rsidRPr="00B1465F">
        <w:t>caused</w:t>
      </w:r>
      <w:r w:rsidR="003D640C">
        <w:t xml:space="preserve"> </w:t>
      </w:r>
      <w:r w:rsidR="00BE31D6" w:rsidRPr="00B1465F">
        <w:t>by</w:t>
      </w:r>
      <w:r w:rsidR="003D640C">
        <w:t xml:space="preserve"> </w:t>
      </w:r>
      <w:r w:rsidR="00BE31D6" w:rsidRPr="00B1465F">
        <w:t>conversion</w:t>
      </w:r>
      <w:r w:rsidR="003D640C">
        <w:t xml:space="preserve"> </w:t>
      </w:r>
      <w:r w:rsidR="00BE31D6" w:rsidRPr="00B1465F">
        <w:t>practices.</w:t>
      </w:r>
      <w:bookmarkEnd w:id="337"/>
    </w:p>
    <w:p w14:paraId="155DBDF5" w14:textId="642297AE" w:rsidR="00CF4A69" w:rsidRPr="00BB6220" w:rsidRDefault="00CF4A69" w:rsidP="00B51F0B">
      <w:r w:rsidRPr="00BB6220">
        <w:rPr>
          <w:lang w:eastAsia="en-NZ"/>
        </w:rPr>
        <w:t>The</w:t>
      </w:r>
      <w:r w:rsidR="003D640C">
        <w:rPr>
          <w:lang w:eastAsia="en-NZ"/>
        </w:rPr>
        <w:t xml:space="preserve"> </w:t>
      </w:r>
      <w:r w:rsidRPr="00BB6220">
        <w:rPr>
          <w:lang w:eastAsia="en-NZ"/>
        </w:rPr>
        <w:t>harms</w:t>
      </w:r>
      <w:r w:rsidR="003D640C">
        <w:rPr>
          <w:lang w:eastAsia="en-NZ"/>
        </w:rPr>
        <w:t xml:space="preserve"> </w:t>
      </w:r>
      <w:r w:rsidRPr="00BB6220">
        <w:rPr>
          <w:lang w:eastAsia="en-NZ"/>
        </w:rPr>
        <w:t>associated</w:t>
      </w:r>
      <w:r w:rsidR="003D640C">
        <w:rPr>
          <w:lang w:eastAsia="en-NZ"/>
        </w:rPr>
        <w:t xml:space="preserve"> </w:t>
      </w:r>
      <w:r w:rsidRPr="00BB6220">
        <w:rPr>
          <w:lang w:eastAsia="en-NZ"/>
        </w:rPr>
        <w:t>with</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are</w:t>
      </w:r>
      <w:r w:rsidR="003D640C">
        <w:rPr>
          <w:lang w:eastAsia="en-NZ"/>
        </w:rPr>
        <w:t xml:space="preserve"> </w:t>
      </w:r>
      <w:r w:rsidRPr="00BB6220">
        <w:rPr>
          <w:lang w:eastAsia="en-NZ"/>
        </w:rPr>
        <w:t>documented</w:t>
      </w:r>
      <w:r w:rsidR="003D640C">
        <w:rPr>
          <w:lang w:eastAsia="en-NZ"/>
        </w:rPr>
        <w:t xml:space="preserve"> </w:t>
      </w:r>
      <w:r w:rsidRPr="00BB6220">
        <w:rPr>
          <w:lang w:eastAsia="en-NZ"/>
        </w:rPr>
        <w:t>in</w:t>
      </w:r>
      <w:r w:rsidR="003D640C">
        <w:rPr>
          <w:lang w:eastAsia="en-NZ"/>
        </w:rPr>
        <w:t xml:space="preserve"> </w:t>
      </w:r>
      <w:r w:rsidRPr="00BB6220">
        <w:rPr>
          <w:lang w:eastAsia="en-NZ"/>
        </w:rPr>
        <w:t>an</w:t>
      </w:r>
      <w:r w:rsidR="003D640C">
        <w:rPr>
          <w:lang w:eastAsia="en-NZ"/>
        </w:rPr>
        <w:t xml:space="preserve"> </w:t>
      </w:r>
      <w:r w:rsidRPr="00BB6220">
        <w:rPr>
          <w:lang w:eastAsia="en-NZ"/>
        </w:rPr>
        <w:t>overwhelming</w:t>
      </w:r>
      <w:r w:rsidR="003D640C">
        <w:rPr>
          <w:lang w:eastAsia="en-NZ"/>
        </w:rPr>
        <w:t xml:space="preserve"> </w:t>
      </w:r>
      <w:r w:rsidRPr="00BB6220">
        <w:rPr>
          <w:lang w:eastAsia="en-NZ"/>
        </w:rPr>
        <w:t>body</w:t>
      </w:r>
      <w:r w:rsidR="003D640C">
        <w:rPr>
          <w:lang w:eastAsia="en-NZ"/>
        </w:rPr>
        <w:t xml:space="preserve"> </w:t>
      </w:r>
      <w:r w:rsidRPr="00BB6220">
        <w:rPr>
          <w:lang w:eastAsia="en-NZ"/>
        </w:rPr>
        <w:t>of</w:t>
      </w:r>
      <w:r w:rsidR="003D640C">
        <w:rPr>
          <w:lang w:eastAsia="en-NZ"/>
        </w:rPr>
        <w:t xml:space="preserve"> </w:t>
      </w:r>
      <w:r w:rsidRPr="00BB6220">
        <w:rPr>
          <w:lang w:eastAsia="en-NZ"/>
        </w:rPr>
        <w:t>literature</w:t>
      </w:r>
      <w:r w:rsidR="003D640C">
        <w:rPr>
          <w:lang w:eastAsia="en-NZ"/>
        </w:rPr>
        <w:t xml:space="preserve"> </w:t>
      </w:r>
      <w:r w:rsidRPr="00BB6220">
        <w:rPr>
          <w:lang w:eastAsia="en-NZ"/>
        </w:rPr>
        <w:t>and</w:t>
      </w:r>
      <w:r w:rsidR="003D640C">
        <w:rPr>
          <w:lang w:eastAsia="en-NZ"/>
        </w:rPr>
        <w:t xml:space="preserve"> </w:t>
      </w:r>
      <w:r w:rsidRPr="00BB6220">
        <w:rPr>
          <w:lang w:eastAsia="en-NZ"/>
        </w:rPr>
        <w:t>peer-reviewed</w:t>
      </w:r>
      <w:r w:rsidR="003D640C">
        <w:rPr>
          <w:lang w:eastAsia="en-NZ"/>
        </w:rPr>
        <w:t xml:space="preserve"> </w:t>
      </w:r>
      <w:r w:rsidRPr="00BB6220">
        <w:rPr>
          <w:lang w:eastAsia="en-NZ"/>
        </w:rPr>
        <w:t>research</w:t>
      </w:r>
      <w:r w:rsidR="003D640C">
        <w:rPr>
          <w:lang w:eastAsia="en-NZ"/>
        </w:rPr>
        <w:t xml:space="preserve"> </w:t>
      </w:r>
      <w:r w:rsidRPr="00BB6220">
        <w:rPr>
          <w:lang w:eastAsia="en-NZ"/>
        </w:rPr>
        <w:t>evidence.</w:t>
      </w:r>
      <w:r w:rsidR="003D640C">
        <w:rPr>
          <w:lang w:eastAsia="en-NZ"/>
        </w:rPr>
        <w:t xml:space="preserve"> </w:t>
      </w:r>
      <w:r w:rsidRPr="00BB6220">
        <w:rPr>
          <w:lang w:eastAsia="en-NZ"/>
        </w:rPr>
        <w:t>Significant</w:t>
      </w:r>
      <w:r w:rsidR="003D640C">
        <w:rPr>
          <w:lang w:eastAsia="en-NZ"/>
        </w:rPr>
        <w:t xml:space="preserve"> </w:t>
      </w:r>
      <w:r w:rsidRPr="00BB6220">
        <w:rPr>
          <w:lang w:eastAsia="en-NZ"/>
        </w:rPr>
        <w:t>research</w:t>
      </w:r>
      <w:r w:rsidR="003D640C">
        <w:rPr>
          <w:lang w:eastAsia="en-NZ"/>
        </w:rPr>
        <w:t xml:space="preserve"> </w:t>
      </w:r>
      <w:r w:rsidRPr="00BB6220">
        <w:rPr>
          <w:lang w:eastAsia="en-NZ"/>
        </w:rPr>
        <w:t>has</w:t>
      </w:r>
      <w:r w:rsidR="003D640C">
        <w:rPr>
          <w:lang w:eastAsia="en-NZ"/>
        </w:rPr>
        <w:t xml:space="preserve"> </w:t>
      </w:r>
      <w:r w:rsidRPr="00BB6220">
        <w:rPr>
          <w:lang w:eastAsia="en-NZ"/>
        </w:rPr>
        <w:t>also</w:t>
      </w:r>
      <w:r w:rsidR="003D640C">
        <w:rPr>
          <w:lang w:eastAsia="en-NZ"/>
        </w:rPr>
        <w:t xml:space="preserve"> </w:t>
      </w:r>
      <w:r w:rsidRPr="00BB6220">
        <w:rPr>
          <w:lang w:eastAsia="en-NZ"/>
        </w:rPr>
        <w:t>been</w:t>
      </w:r>
      <w:r w:rsidR="003D640C">
        <w:rPr>
          <w:lang w:eastAsia="en-NZ"/>
        </w:rPr>
        <w:t xml:space="preserve"> </w:t>
      </w:r>
      <w:r w:rsidRPr="00BB6220">
        <w:rPr>
          <w:lang w:eastAsia="en-NZ"/>
        </w:rPr>
        <w:t>done</w:t>
      </w:r>
      <w:r w:rsidR="003D640C">
        <w:rPr>
          <w:lang w:eastAsia="en-NZ"/>
        </w:rPr>
        <w:t xml:space="preserve"> </w:t>
      </w:r>
      <w:r w:rsidRPr="00BB6220">
        <w:rPr>
          <w:lang w:eastAsia="en-NZ"/>
        </w:rPr>
        <w:t>on</w:t>
      </w:r>
      <w:r w:rsidR="003D640C">
        <w:rPr>
          <w:lang w:eastAsia="en-NZ"/>
        </w:rPr>
        <w:t xml:space="preserve"> </w:t>
      </w:r>
      <w:r w:rsidRPr="00BB6220">
        <w:rPr>
          <w:lang w:eastAsia="en-NZ"/>
        </w:rPr>
        <w:t>how</w:t>
      </w:r>
      <w:r w:rsidR="003D640C">
        <w:rPr>
          <w:lang w:eastAsia="en-NZ"/>
        </w:rPr>
        <w:t xml:space="preserve"> </w:t>
      </w:r>
      <w:r w:rsidRPr="00BB6220">
        <w:rPr>
          <w:lang w:eastAsia="en-NZ"/>
        </w:rPr>
        <w:t>to</w:t>
      </w:r>
      <w:r w:rsidR="003D640C">
        <w:rPr>
          <w:lang w:eastAsia="en-NZ"/>
        </w:rPr>
        <w:t xml:space="preserve"> </w:t>
      </w:r>
      <w:r w:rsidRPr="00BB6220">
        <w:rPr>
          <w:lang w:eastAsia="en-NZ"/>
        </w:rPr>
        <w:t>best</w:t>
      </w:r>
      <w:r w:rsidR="003D640C">
        <w:rPr>
          <w:lang w:eastAsia="en-NZ"/>
        </w:rPr>
        <w:t xml:space="preserve"> </w:t>
      </w:r>
      <w:r w:rsidRPr="00BB6220">
        <w:rPr>
          <w:lang w:eastAsia="en-NZ"/>
        </w:rPr>
        <w:t>support</w:t>
      </w:r>
      <w:r w:rsidR="003D640C">
        <w:rPr>
          <w:lang w:eastAsia="en-NZ"/>
        </w:rPr>
        <w:t xml:space="preserve"> </w:t>
      </w:r>
      <w:r w:rsidRPr="00BB6220">
        <w:rPr>
          <w:lang w:eastAsia="en-NZ"/>
        </w:rPr>
        <w:t>survivors</w:t>
      </w:r>
      <w:r w:rsidR="003D640C">
        <w:rPr>
          <w:lang w:eastAsia="en-NZ"/>
        </w:rPr>
        <w:t xml:space="preserve"> </w:t>
      </w:r>
      <w:r w:rsidRPr="00BB6220">
        <w:rPr>
          <w:lang w:eastAsia="en-NZ"/>
        </w:rPr>
        <w:t>through</w:t>
      </w:r>
      <w:r w:rsidR="003D640C">
        <w:rPr>
          <w:lang w:eastAsia="en-NZ"/>
        </w:rPr>
        <w:t xml:space="preserve"> </w:t>
      </w:r>
      <w:r w:rsidRPr="00BB6220">
        <w:rPr>
          <w:lang w:eastAsia="en-NZ"/>
        </w:rPr>
        <w:t>recovery,</w:t>
      </w:r>
      <w:r w:rsidR="003D640C">
        <w:rPr>
          <w:lang w:eastAsia="en-NZ"/>
        </w:rPr>
        <w:t xml:space="preserve"> </w:t>
      </w:r>
      <w:r w:rsidRPr="00BB6220">
        <w:rPr>
          <w:lang w:eastAsia="en-NZ"/>
        </w:rPr>
        <w:t>which</w:t>
      </w:r>
      <w:r w:rsidR="003D640C">
        <w:rPr>
          <w:lang w:eastAsia="en-NZ"/>
        </w:rPr>
        <w:t xml:space="preserve"> </w:t>
      </w:r>
      <w:r w:rsidRPr="00BB6220">
        <w:rPr>
          <w:lang w:eastAsia="en-NZ"/>
        </w:rPr>
        <w:t>is</w:t>
      </w:r>
      <w:r w:rsidR="003D640C">
        <w:rPr>
          <w:lang w:eastAsia="en-NZ"/>
        </w:rPr>
        <w:t xml:space="preserve"> </w:t>
      </w:r>
      <w:r w:rsidRPr="00BB6220">
        <w:rPr>
          <w:lang w:eastAsia="en-NZ"/>
        </w:rPr>
        <w:t>often</w:t>
      </w:r>
      <w:r w:rsidR="003D640C">
        <w:rPr>
          <w:lang w:eastAsia="en-NZ"/>
        </w:rPr>
        <w:t xml:space="preserve"> </w:t>
      </w:r>
      <w:r w:rsidRPr="00BB6220">
        <w:rPr>
          <w:lang w:eastAsia="en-NZ"/>
        </w:rPr>
        <w:t>not</w:t>
      </w:r>
      <w:r w:rsidR="003D640C">
        <w:rPr>
          <w:lang w:eastAsia="en-NZ"/>
        </w:rPr>
        <w:t xml:space="preserve"> </w:t>
      </w:r>
      <w:r w:rsidR="6EDA472D" w:rsidRPr="00BB6220">
        <w:rPr>
          <w:lang w:eastAsia="en-NZ"/>
        </w:rPr>
        <w:t>straightforward</w:t>
      </w:r>
      <w:r w:rsidR="003D640C">
        <w:rPr>
          <w:lang w:eastAsia="en-NZ"/>
        </w:rPr>
        <w:t xml:space="preserve"> </w:t>
      </w:r>
      <w:r w:rsidRPr="00BB6220">
        <w:rPr>
          <w:lang w:eastAsia="en-NZ"/>
        </w:rPr>
        <w:t>and</w:t>
      </w:r>
      <w:r w:rsidR="003D640C">
        <w:rPr>
          <w:lang w:eastAsia="en-NZ"/>
        </w:rPr>
        <w:t xml:space="preserve"> </w:t>
      </w:r>
      <w:r w:rsidRPr="00BB6220">
        <w:rPr>
          <w:lang w:eastAsia="en-NZ"/>
        </w:rPr>
        <w:t>can</w:t>
      </w:r>
      <w:r w:rsidR="003D640C">
        <w:rPr>
          <w:lang w:eastAsia="en-NZ"/>
        </w:rPr>
        <w:t xml:space="preserve"> </w:t>
      </w:r>
      <w:r w:rsidRPr="00BB6220">
        <w:rPr>
          <w:lang w:eastAsia="en-NZ"/>
        </w:rPr>
        <w:t>be</w:t>
      </w:r>
      <w:r w:rsidR="003D640C">
        <w:rPr>
          <w:lang w:eastAsia="en-NZ"/>
        </w:rPr>
        <w:t xml:space="preserve"> </w:t>
      </w:r>
      <w:r w:rsidRPr="00BB6220">
        <w:rPr>
          <w:lang w:eastAsia="en-NZ"/>
        </w:rPr>
        <w:t>a</w:t>
      </w:r>
      <w:r w:rsidR="003D640C">
        <w:rPr>
          <w:lang w:eastAsia="en-NZ"/>
        </w:rPr>
        <w:t xml:space="preserve"> </w:t>
      </w:r>
      <w:r w:rsidRPr="00BB6220">
        <w:rPr>
          <w:lang w:eastAsia="en-NZ"/>
        </w:rPr>
        <w:t>lifelong</w:t>
      </w:r>
      <w:r w:rsidR="003D640C">
        <w:rPr>
          <w:lang w:eastAsia="en-NZ"/>
        </w:rPr>
        <w:t xml:space="preserve"> </w:t>
      </w:r>
      <w:r w:rsidRPr="00BB6220">
        <w:rPr>
          <w:lang w:eastAsia="en-NZ"/>
        </w:rPr>
        <w:t>process.</w:t>
      </w:r>
      <w:r w:rsidRPr="00BB6220">
        <w:rPr>
          <w:rStyle w:val="FootnoteReference"/>
          <w:rFonts w:eastAsia="Times New Roman"/>
          <w:lang w:eastAsia="en-NZ"/>
        </w:rPr>
        <w:footnoteReference w:id="264"/>
      </w:r>
      <w:r w:rsidR="003D640C">
        <w:rPr>
          <w:lang w:eastAsia="en-NZ"/>
        </w:rPr>
        <w:t xml:space="preserve"> </w:t>
      </w:r>
    </w:p>
    <w:p w14:paraId="136B91C3" w14:textId="26575C25" w:rsidR="00501068" w:rsidRDefault="00CF4A69" w:rsidP="00B51F0B">
      <w:r w:rsidRPr="00BB6220">
        <w:t>Those</w:t>
      </w:r>
      <w:r w:rsidR="003D640C">
        <w:t xml:space="preserve"> </w:t>
      </w:r>
      <w:r w:rsidRPr="00BB6220">
        <w:t>facing</w:t>
      </w:r>
      <w:r w:rsidR="003D640C">
        <w:t xml:space="preserve"> </w:t>
      </w:r>
      <w:r w:rsidRPr="00BB6220">
        <w:t>crises</w:t>
      </w:r>
      <w:r w:rsidR="003D640C">
        <w:t xml:space="preserve"> </w:t>
      </w:r>
      <w:r w:rsidRPr="00BB6220">
        <w:t>of</w:t>
      </w:r>
      <w:r w:rsidR="003D640C">
        <w:t xml:space="preserve"> </w:t>
      </w:r>
      <w:r w:rsidRPr="00BB6220">
        <w:t>identity,</w:t>
      </w:r>
      <w:r w:rsidR="003D640C">
        <w:t xml:space="preserve"> </w:t>
      </w:r>
      <w:r w:rsidRPr="00BB6220">
        <w:t>disembodiment,</w:t>
      </w:r>
      <w:r w:rsidR="003D640C">
        <w:t xml:space="preserve"> </w:t>
      </w:r>
      <w:r w:rsidRPr="00BB6220">
        <w:t>shame</w:t>
      </w:r>
      <w:r w:rsidR="003D640C">
        <w:t xml:space="preserve"> </w:t>
      </w:r>
      <w:r w:rsidRPr="00BB6220">
        <w:t>and</w:t>
      </w:r>
      <w:r w:rsidR="003D640C">
        <w:t xml:space="preserve"> </w:t>
      </w:r>
      <w:r w:rsidRPr="00BB6220">
        <w:t>guilt,</w:t>
      </w:r>
      <w:r w:rsidR="003D640C">
        <w:t xml:space="preserve"> </w:t>
      </w:r>
      <w:r w:rsidRPr="00BB6220">
        <w:t>anxiety</w:t>
      </w:r>
      <w:r w:rsidR="003D640C">
        <w:t xml:space="preserve"> </w:t>
      </w:r>
      <w:r w:rsidRPr="00BB6220">
        <w:t>and</w:t>
      </w:r>
      <w:r w:rsidR="003D640C">
        <w:t xml:space="preserve"> </w:t>
      </w:r>
      <w:r w:rsidRPr="00BB6220">
        <w:t>depression,</w:t>
      </w:r>
      <w:r w:rsidR="003D640C">
        <w:t xml:space="preserve"> </w:t>
      </w:r>
      <w:r w:rsidRPr="00BB6220">
        <w:t>and</w:t>
      </w:r>
      <w:r w:rsidR="003D640C">
        <w:t xml:space="preserve"> </w:t>
      </w:r>
      <w:r w:rsidRPr="00BB6220">
        <w:t>loss</w:t>
      </w:r>
      <w:r w:rsidR="003D640C">
        <w:t xml:space="preserve"> </w:t>
      </w:r>
      <w:r w:rsidRPr="00BB6220">
        <w:t>of</w:t>
      </w:r>
      <w:r w:rsidR="003D640C">
        <w:t xml:space="preserve"> </w:t>
      </w:r>
      <w:r w:rsidRPr="00BB6220">
        <w:t>social</w:t>
      </w:r>
      <w:r w:rsidR="003D640C">
        <w:t xml:space="preserve"> </w:t>
      </w:r>
      <w:r w:rsidRPr="00BB6220">
        <w:t>networks</w:t>
      </w:r>
      <w:r w:rsidR="003D640C">
        <w:t xml:space="preserve"> </w:t>
      </w:r>
      <w:r w:rsidRPr="00BB6220">
        <w:t>need</w:t>
      </w:r>
      <w:r w:rsidR="003D640C">
        <w:t xml:space="preserve"> </w:t>
      </w:r>
      <w:r w:rsidRPr="00BB6220">
        <w:t>careful</w:t>
      </w:r>
      <w:r w:rsidR="003D640C">
        <w:t xml:space="preserve"> </w:t>
      </w:r>
      <w:r w:rsidRPr="00BB6220">
        <w:t>and</w:t>
      </w:r>
      <w:r w:rsidR="003D640C">
        <w:t xml:space="preserve"> </w:t>
      </w:r>
      <w:r w:rsidRPr="00BB6220">
        <w:t>deliberate</w:t>
      </w:r>
      <w:r w:rsidR="003D640C">
        <w:t xml:space="preserve"> </w:t>
      </w:r>
      <w:r w:rsidRPr="00BB6220">
        <w:t>support</w:t>
      </w:r>
      <w:r w:rsidR="003D640C">
        <w:t xml:space="preserve"> </w:t>
      </w:r>
      <w:r w:rsidRPr="00BB6220">
        <w:t>from</w:t>
      </w:r>
      <w:r w:rsidR="003D640C">
        <w:t xml:space="preserve"> </w:t>
      </w:r>
      <w:r w:rsidRPr="00BB6220">
        <w:t>a</w:t>
      </w:r>
      <w:r w:rsidR="003D640C">
        <w:t xml:space="preserve"> </w:t>
      </w:r>
      <w:r w:rsidRPr="00BB6220">
        <w:t>range</w:t>
      </w:r>
      <w:r w:rsidR="003D640C">
        <w:t xml:space="preserve"> </w:t>
      </w:r>
      <w:r w:rsidRPr="00BB6220">
        <w:t>of</w:t>
      </w:r>
      <w:r w:rsidR="003D640C">
        <w:t xml:space="preserve"> </w:t>
      </w:r>
      <w:r w:rsidRPr="00BB6220">
        <w:t>sources</w:t>
      </w:r>
      <w:r w:rsidR="00F46721">
        <w:t>,</w:t>
      </w:r>
      <w:r w:rsidR="003D640C">
        <w:t xml:space="preserve"> </w:t>
      </w:r>
      <w:r w:rsidR="00F46721">
        <w:t>including</w:t>
      </w:r>
      <w:r w:rsidR="001E4347">
        <w:t>,</w:t>
      </w:r>
      <w:r w:rsidR="003D640C">
        <w:t xml:space="preserve"> </w:t>
      </w:r>
      <w:r w:rsidR="00F46721">
        <w:t>for</w:t>
      </w:r>
      <w:r w:rsidR="003D640C">
        <w:t xml:space="preserve"> </w:t>
      </w:r>
      <w:r w:rsidR="00F46721">
        <w:t>some,</w:t>
      </w:r>
      <w:r w:rsidR="003D640C">
        <w:t xml:space="preserve"> </w:t>
      </w:r>
      <w:r w:rsidR="00F46721">
        <w:t>affirming</w:t>
      </w:r>
      <w:r w:rsidR="003D640C">
        <w:t xml:space="preserve"> </w:t>
      </w:r>
      <w:r w:rsidR="00F46721">
        <w:t>hea</w:t>
      </w:r>
      <w:r w:rsidR="001E4347">
        <w:t>l</w:t>
      </w:r>
      <w:r w:rsidR="00F46721">
        <w:t>th</w:t>
      </w:r>
      <w:r w:rsidR="003D640C">
        <w:t xml:space="preserve"> </w:t>
      </w:r>
      <w:r w:rsidR="00F46721">
        <w:t>trea</w:t>
      </w:r>
      <w:r w:rsidR="00D66301">
        <w:t>t</w:t>
      </w:r>
      <w:r w:rsidR="00F46721">
        <w:t>ment</w:t>
      </w:r>
      <w:r w:rsidRPr="00BB6220">
        <w:t>.</w:t>
      </w:r>
      <w:r w:rsidR="003D640C">
        <w:t xml:space="preserve"> </w:t>
      </w:r>
      <w:r w:rsidRPr="00BB6220">
        <w:t>Acceptance</w:t>
      </w:r>
      <w:r w:rsidR="003D640C">
        <w:t xml:space="preserve"> </w:t>
      </w:r>
      <w:r w:rsidRPr="00BB6220">
        <w:t>and</w:t>
      </w:r>
      <w:r w:rsidR="003D640C">
        <w:t xml:space="preserve"> </w:t>
      </w:r>
      <w:r w:rsidRPr="00BB6220">
        <w:t>support</w:t>
      </w:r>
      <w:r w:rsidR="003D640C">
        <w:t xml:space="preserve"> </w:t>
      </w:r>
      <w:r w:rsidRPr="00BB6220">
        <w:t>to</w:t>
      </w:r>
      <w:r w:rsidR="003D640C">
        <w:t xml:space="preserve"> </w:t>
      </w:r>
      <w:r w:rsidRPr="00BB6220">
        <w:t>rebuild</w:t>
      </w:r>
      <w:r w:rsidR="003D640C">
        <w:t xml:space="preserve"> </w:t>
      </w:r>
      <w:r w:rsidRPr="00BB6220">
        <w:t>one’s</w:t>
      </w:r>
      <w:r w:rsidR="003D640C">
        <w:t xml:space="preserve"> </w:t>
      </w:r>
      <w:r w:rsidRPr="00BB6220">
        <w:t>identity</w:t>
      </w:r>
      <w:r w:rsidR="003D640C">
        <w:t xml:space="preserve"> </w:t>
      </w:r>
      <w:r w:rsidRPr="00BB6220">
        <w:t>is</w:t>
      </w:r>
      <w:r w:rsidR="003D640C">
        <w:t xml:space="preserve"> </w:t>
      </w:r>
      <w:r w:rsidRPr="00BB6220">
        <w:t>key.</w:t>
      </w:r>
      <w:r w:rsidR="003D640C">
        <w:t xml:space="preserve"> </w:t>
      </w:r>
      <w:r w:rsidR="00133F8F">
        <w:t>Autonomy</w:t>
      </w:r>
      <w:r w:rsidR="003D640C">
        <w:t xml:space="preserve"> </w:t>
      </w:r>
      <w:r w:rsidR="00133F8F">
        <w:t>is</w:t>
      </w:r>
      <w:r w:rsidR="003D640C">
        <w:t xml:space="preserve"> </w:t>
      </w:r>
      <w:r w:rsidR="00133F8F">
        <w:t>centrally</w:t>
      </w:r>
      <w:r w:rsidR="003D640C">
        <w:t xml:space="preserve"> </w:t>
      </w:r>
      <w:r w:rsidR="00133F8F">
        <w:t>important</w:t>
      </w:r>
      <w:r w:rsidR="003D640C">
        <w:t xml:space="preserve"> </w:t>
      </w:r>
      <w:r w:rsidR="00133F8F">
        <w:t>for</w:t>
      </w:r>
      <w:r w:rsidR="003D640C">
        <w:t xml:space="preserve"> </w:t>
      </w:r>
      <w:r w:rsidR="00133F8F">
        <w:t>a</w:t>
      </w:r>
      <w:r w:rsidR="003D640C">
        <w:t xml:space="preserve"> </w:t>
      </w:r>
      <w:r w:rsidR="00133F8F">
        <w:t>survivor</w:t>
      </w:r>
      <w:r w:rsidR="003D640C">
        <w:t xml:space="preserve"> </w:t>
      </w:r>
      <w:r w:rsidR="00133F8F">
        <w:t>in</w:t>
      </w:r>
      <w:r w:rsidR="003D640C">
        <w:t xml:space="preserve"> </w:t>
      </w:r>
      <w:r w:rsidR="00133F8F">
        <w:t>their</w:t>
      </w:r>
      <w:r w:rsidR="003D640C">
        <w:t xml:space="preserve"> </w:t>
      </w:r>
      <w:r w:rsidR="00133F8F">
        <w:t>recovery.</w:t>
      </w:r>
      <w:r w:rsidR="003D640C">
        <w:t xml:space="preserve"> </w:t>
      </w:r>
    </w:p>
    <w:p w14:paraId="09D7F5DF" w14:textId="4F3D4E6B" w:rsidR="00501068" w:rsidRDefault="000B086A" w:rsidP="00B51F0B">
      <w:pPr>
        <w:pBdr>
          <w:top w:val="single" w:sz="4" w:space="1" w:color="auto"/>
          <w:left w:val="single" w:sz="4" w:space="4" w:color="auto"/>
          <w:bottom w:val="single" w:sz="4" w:space="1" w:color="auto"/>
          <w:right w:val="single" w:sz="4" w:space="4" w:color="auto"/>
        </w:pBdr>
        <w:rPr>
          <w:rFonts w:eastAsia="Times New Roman"/>
          <w:lang w:eastAsia="en-NZ"/>
        </w:rPr>
      </w:pPr>
      <w:r>
        <w:t>M</w:t>
      </w:r>
      <w:r w:rsidR="000D3285">
        <w:t>ost</w:t>
      </w:r>
      <w:r w:rsidR="003D640C">
        <w:t xml:space="preserve"> </w:t>
      </w:r>
      <w:r>
        <w:t>s</w:t>
      </w:r>
      <w:r w:rsidR="00CF4A69" w:rsidRPr="00BB6220">
        <w:t>urvivors</w:t>
      </w:r>
      <w:r w:rsidR="003D640C">
        <w:t xml:space="preserve"> </w:t>
      </w:r>
      <w:r w:rsidR="00CF4A69" w:rsidRPr="00BB6220">
        <w:t>of</w:t>
      </w:r>
      <w:r w:rsidR="003D640C">
        <w:t xml:space="preserve"> </w:t>
      </w:r>
      <w:r w:rsidR="00CF4A69" w:rsidRPr="00BB6220">
        <w:t>conversion</w:t>
      </w:r>
      <w:r w:rsidR="003D640C">
        <w:t xml:space="preserve"> </w:t>
      </w:r>
      <w:r w:rsidR="00CF4A69" w:rsidRPr="00BB6220">
        <w:t>practices</w:t>
      </w:r>
      <w:r w:rsidR="003D640C">
        <w:t xml:space="preserve"> </w:t>
      </w:r>
      <w:r w:rsidR="00CF4A69" w:rsidRPr="00BB6220">
        <w:t>have</w:t>
      </w:r>
      <w:r w:rsidR="003D640C">
        <w:t xml:space="preserve"> </w:t>
      </w:r>
      <w:r w:rsidR="00CF4A69" w:rsidRPr="00BB6220">
        <w:t>experienced</w:t>
      </w:r>
      <w:r w:rsidR="003D640C">
        <w:t xml:space="preserve"> </w:t>
      </w:r>
      <w:r w:rsidR="00CF4A69" w:rsidRPr="00BB6220">
        <w:t>control</w:t>
      </w:r>
      <w:r w:rsidR="003D640C">
        <w:t xml:space="preserve"> </w:t>
      </w:r>
      <w:r w:rsidR="00CF4A69" w:rsidRPr="00BB6220">
        <w:t>and</w:t>
      </w:r>
      <w:r w:rsidR="003D640C">
        <w:t xml:space="preserve"> </w:t>
      </w:r>
      <w:r w:rsidR="00CF4A69" w:rsidRPr="00BB6220">
        <w:t>misuse</w:t>
      </w:r>
      <w:r w:rsidR="003D640C">
        <w:t xml:space="preserve"> </w:t>
      </w:r>
      <w:r w:rsidR="00CF4A69" w:rsidRPr="00BB6220">
        <w:t>of</w:t>
      </w:r>
      <w:r w:rsidR="003D640C">
        <w:t xml:space="preserve"> </w:t>
      </w:r>
      <w:r w:rsidR="00CF4A69" w:rsidRPr="00BB6220">
        <w:t>authority.</w:t>
      </w:r>
      <w:r w:rsidR="003D640C">
        <w:t xml:space="preserve"> </w:t>
      </w:r>
      <w:r w:rsidR="00CF4A69" w:rsidRPr="00BB6220">
        <w:t>Support</w:t>
      </w:r>
      <w:r w:rsidR="003D640C">
        <w:t xml:space="preserve"> </w:t>
      </w:r>
      <w:r w:rsidR="00CF4A69" w:rsidRPr="00BB6220">
        <w:t>for</w:t>
      </w:r>
      <w:r w:rsidR="003D640C">
        <w:t xml:space="preserve"> </w:t>
      </w:r>
      <w:r w:rsidR="00CF4A69" w:rsidRPr="00BB6220">
        <w:t>recovery</w:t>
      </w:r>
      <w:r w:rsidR="003D640C">
        <w:t xml:space="preserve"> </w:t>
      </w:r>
      <w:r w:rsidR="00CF4A69" w:rsidRPr="00BB6220">
        <w:t>must</w:t>
      </w:r>
      <w:r w:rsidR="003D640C">
        <w:t xml:space="preserve"> </w:t>
      </w:r>
      <w:r w:rsidR="00CF4A69" w:rsidRPr="00BB6220">
        <w:t>not</w:t>
      </w:r>
      <w:r w:rsidR="003D640C">
        <w:t xml:space="preserve"> </w:t>
      </w:r>
      <w:r w:rsidR="00CF4A69" w:rsidRPr="00BB6220">
        <w:t>mimic</w:t>
      </w:r>
      <w:r w:rsidR="003D640C">
        <w:t xml:space="preserve"> </w:t>
      </w:r>
      <w:r w:rsidR="00CF4A69" w:rsidRPr="00BB6220">
        <w:t>these</w:t>
      </w:r>
      <w:r w:rsidR="003D640C">
        <w:t xml:space="preserve"> </w:t>
      </w:r>
      <w:r w:rsidR="00CF4A69" w:rsidRPr="00BB6220">
        <w:t>experiences</w:t>
      </w:r>
      <w:r w:rsidR="003D640C">
        <w:t xml:space="preserve"> </w:t>
      </w:r>
      <w:r w:rsidR="00CF4A69" w:rsidRPr="00BB6220">
        <w:t>as</w:t>
      </w:r>
      <w:r w:rsidR="003D640C">
        <w:t xml:space="preserve"> </w:t>
      </w:r>
      <w:r w:rsidR="00CF4A69" w:rsidRPr="00BB6220">
        <w:t>this</w:t>
      </w:r>
      <w:r w:rsidR="003D640C">
        <w:t xml:space="preserve"> </w:t>
      </w:r>
      <w:r w:rsidR="00CF4A69" w:rsidRPr="00BB6220">
        <w:t>risks</w:t>
      </w:r>
      <w:r w:rsidR="003D640C">
        <w:t xml:space="preserve"> </w:t>
      </w:r>
      <w:r w:rsidR="6F5A0FAA" w:rsidRPr="00BB6220">
        <w:t>retrau</w:t>
      </w:r>
      <w:r w:rsidR="6EDA472D" w:rsidRPr="00BB6220">
        <w:t>matising</w:t>
      </w:r>
      <w:r w:rsidR="003D640C">
        <w:t xml:space="preserve"> </w:t>
      </w:r>
      <w:r w:rsidR="00CF4A69" w:rsidRPr="00BB6220">
        <w:t>the</w:t>
      </w:r>
      <w:r w:rsidR="003D640C">
        <w:t xml:space="preserve"> </w:t>
      </w:r>
      <w:r w:rsidR="00CF4A69" w:rsidRPr="00BB6220">
        <w:t>survivor</w:t>
      </w:r>
      <w:r w:rsidR="003D640C">
        <w:t xml:space="preserve"> </w:t>
      </w:r>
      <w:r w:rsidR="00CF4A69" w:rsidRPr="00BB6220">
        <w:t>and</w:t>
      </w:r>
      <w:r w:rsidR="003D640C">
        <w:t xml:space="preserve"> </w:t>
      </w:r>
      <w:r w:rsidR="00CF4A69" w:rsidRPr="00BB6220">
        <w:t>setting</w:t>
      </w:r>
      <w:r w:rsidR="003D640C">
        <w:t xml:space="preserve"> </w:t>
      </w:r>
      <w:r w:rsidR="00CF4A69" w:rsidRPr="00BB6220">
        <w:t>back</w:t>
      </w:r>
      <w:r w:rsidR="003D640C">
        <w:t xml:space="preserve"> </w:t>
      </w:r>
      <w:r w:rsidR="00CF4A69" w:rsidRPr="00BB6220">
        <w:t>their</w:t>
      </w:r>
      <w:r w:rsidR="003D640C">
        <w:t xml:space="preserve"> </w:t>
      </w:r>
      <w:r w:rsidR="00CF4A69" w:rsidRPr="00BB6220">
        <w:t>recovery.</w:t>
      </w:r>
      <w:r w:rsidR="003D640C">
        <w:t xml:space="preserve"> </w:t>
      </w:r>
      <w:r w:rsidR="00CF4A69" w:rsidRPr="00BB6220">
        <w:t>Rather,</w:t>
      </w:r>
      <w:r w:rsidR="003D640C">
        <w:t xml:space="preserve"> </w:t>
      </w:r>
      <w:r w:rsidR="00CF4A69" w:rsidRPr="00BB6220">
        <w:t>survivors</w:t>
      </w:r>
      <w:r w:rsidR="003D640C">
        <w:t xml:space="preserve"> </w:t>
      </w:r>
      <w:r w:rsidR="00CF4A69" w:rsidRPr="00BB6220">
        <w:t>must</w:t>
      </w:r>
      <w:r w:rsidR="003D640C">
        <w:t xml:space="preserve"> </w:t>
      </w:r>
      <w:r w:rsidR="00CF4A69" w:rsidRPr="00BB6220">
        <w:t>be</w:t>
      </w:r>
      <w:r w:rsidR="003D640C">
        <w:t xml:space="preserve"> </w:t>
      </w:r>
      <w:r w:rsidR="00CF4A69" w:rsidRPr="00BB6220">
        <w:t>supported</w:t>
      </w:r>
      <w:r w:rsidR="003D640C">
        <w:t xml:space="preserve"> </w:t>
      </w:r>
      <w:r w:rsidR="00CF4A69" w:rsidRPr="00BB6220">
        <w:t>to</w:t>
      </w:r>
      <w:r w:rsidR="003D640C">
        <w:t xml:space="preserve"> </w:t>
      </w:r>
      <w:r w:rsidR="00CF4A69" w:rsidRPr="00BB6220">
        <w:t>build</w:t>
      </w:r>
      <w:r w:rsidR="003D640C">
        <w:t xml:space="preserve"> </w:t>
      </w:r>
      <w:r w:rsidR="00CF4A69" w:rsidRPr="00BB6220">
        <w:t>their</w:t>
      </w:r>
      <w:r w:rsidR="003D640C">
        <w:t xml:space="preserve"> </w:t>
      </w:r>
      <w:r w:rsidR="00CF4A69" w:rsidRPr="00BB6220">
        <w:t>voice</w:t>
      </w:r>
      <w:r w:rsidR="003D640C">
        <w:t xml:space="preserve"> </w:t>
      </w:r>
      <w:r w:rsidR="00CF4A69" w:rsidRPr="00BB6220">
        <w:t>and</w:t>
      </w:r>
      <w:r w:rsidR="003D640C">
        <w:t xml:space="preserve"> </w:t>
      </w:r>
      <w:r w:rsidR="00CF4A69" w:rsidRPr="00BB6220">
        <w:t>agency,</w:t>
      </w:r>
      <w:r w:rsidR="003D640C">
        <w:t xml:space="preserve"> </w:t>
      </w:r>
      <w:r w:rsidR="00CF4A69" w:rsidRPr="00BB6220">
        <w:t>and</w:t>
      </w:r>
      <w:r w:rsidR="003D640C">
        <w:t xml:space="preserve"> </w:t>
      </w:r>
      <w:r w:rsidR="00CF4A69" w:rsidRPr="00BB6220">
        <w:t>they</w:t>
      </w:r>
      <w:r w:rsidR="003D640C">
        <w:t xml:space="preserve"> </w:t>
      </w:r>
      <w:r w:rsidR="00CF4A69" w:rsidRPr="00BB6220">
        <w:t>should</w:t>
      </w:r>
      <w:r w:rsidR="003D640C">
        <w:t xml:space="preserve"> </w:t>
      </w:r>
      <w:r w:rsidR="00CF4A69" w:rsidRPr="00BB6220">
        <w:t>be</w:t>
      </w:r>
      <w:r w:rsidR="003D640C">
        <w:t xml:space="preserve"> </w:t>
      </w:r>
      <w:r w:rsidR="00CF4A69" w:rsidRPr="00BB6220">
        <w:t>free</w:t>
      </w:r>
      <w:r w:rsidR="003D640C">
        <w:t xml:space="preserve"> </w:t>
      </w:r>
      <w:r w:rsidR="00CF4A69" w:rsidRPr="00BB6220">
        <w:t>to</w:t>
      </w:r>
      <w:r w:rsidR="003D640C">
        <w:t xml:space="preserve"> </w:t>
      </w:r>
      <w:r w:rsidR="00CF4A69" w:rsidRPr="00BB6220">
        <w:t>rebuild</w:t>
      </w:r>
      <w:r w:rsidR="003D640C">
        <w:t xml:space="preserve"> </w:t>
      </w:r>
      <w:r w:rsidR="00CF4A69" w:rsidRPr="00BB6220">
        <w:t>their</w:t>
      </w:r>
      <w:r w:rsidR="003D640C">
        <w:t xml:space="preserve"> </w:t>
      </w:r>
      <w:r w:rsidR="00CF4A69" w:rsidRPr="00BB6220">
        <w:t>own</w:t>
      </w:r>
      <w:r w:rsidR="003D640C">
        <w:t xml:space="preserve"> </w:t>
      </w:r>
      <w:r w:rsidR="00CF4A69" w:rsidRPr="00BB6220">
        <w:t>identity</w:t>
      </w:r>
      <w:r w:rsidR="003D640C">
        <w:t xml:space="preserve"> </w:t>
      </w:r>
      <w:r w:rsidR="00CF4A69" w:rsidRPr="00BB6220">
        <w:t>free</w:t>
      </w:r>
      <w:r w:rsidR="003D640C">
        <w:t xml:space="preserve"> </w:t>
      </w:r>
      <w:r w:rsidR="00CF4A69" w:rsidRPr="00BB6220">
        <w:t>from</w:t>
      </w:r>
      <w:r w:rsidR="003D640C">
        <w:t xml:space="preserve"> </w:t>
      </w:r>
      <w:r w:rsidR="00CF4A69" w:rsidRPr="00BB6220">
        <w:t>controlling</w:t>
      </w:r>
      <w:r w:rsidR="003D640C">
        <w:t xml:space="preserve"> </w:t>
      </w:r>
      <w:r w:rsidR="00CF4A69" w:rsidRPr="00BB6220">
        <w:t>influences.</w:t>
      </w:r>
      <w:r w:rsidR="00CF4A69" w:rsidRPr="00BB6220">
        <w:rPr>
          <w:rStyle w:val="FootnoteReference"/>
        </w:rPr>
        <w:footnoteReference w:id="265"/>
      </w:r>
      <w:r w:rsidR="003D640C">
        <w:t xml:space="preserve"> </w:t>
      </w:r>
      <w:r w:rsidR="00CF4A69" w:rsidRPr="00BB6220">
        <w:t>Friends,</w:t>
      </w:r>
      <w:r w:rsidR="003D640C">
        <w:t xml:space="preserve"> </w:t>
      </w:r>
      <w:r w:rsidR="00CF4A69" w:rsidRPr="00BB6220">
        <w:t>whānau,</w:t>
      </w:r>
      <w:r w:rsidR="003D640C">
        <w:t xml:space="preserve"> </w:t>
      </w:r>
      <w:r w:rsidR="00CF4A69" w:rsidRPr="00BB6220">
        <w:t>therapists</w:t>
      </w:r>
      <w:r w:rsidR="001E4347">
        <w:t>,</w:t>
      </w:r>
      <w:r w:rsidR="003D640C">
        <w:t xml:space="preserve"> </w:t>
      </w:r>
      <w:r w:rsidR="00CF4A69" w:rsidRPr="00BB6220">
        <w:t>and</w:t>
      </w:r>
      <w:r w:rsidR="003D640C">
        <w:t xml:space="preserve"> </w:t>
      </w:r>
      <w:r w:rsidR="00CF4A69" w:rsidRPr="00BB6220">
        <w:t>supporters</w:t>
      </w:r>
      <w:r w:rsidR="003D640C">
        <w:t xml:space="preserve"> </w:t>
      </w:r>
      <w:r w:rsidR="00CF4A69" w:rsidRPr="00BB6220">
        <w:t>should</w:t>
      </w:r>
      <w:r w:rsidR="003D640C">
        <w:t xml:space="preserve"> </w:t>
      </w:r>
      <w:r w:rsidR="00CF4A69" w:rsidRPr="00BB6220">
        <w:t>work</w:t>
      </w:r>
      <w:r w:rsidR="003D640C">
        <w:t xml:space="preserve"> </w:t>
      </w:r>
      <w:r w:rsidR="00CF4A69" w:rsidRPr="00BB6220">
        <w:t>on</w:t>
      </w:r>
      <w:r w:rsidR="003D640C">
        <w:t xml:space="preserve"> </w:t>
      </w:r>
      <w:r w:rsidR="00CF4A69" w:rsidRPr="00BB6220">
        <w:rPr>
          <w:rFonts w:eastAsia="Times New Roman"/>
          <w:lang w:eastAsia="en-NZ"/>
        </w:rPr>
        <w:t>providing</w:t>
      </w:r>
      <w:r w:rsidR="003D640C">
        <w:rPr>
          <w:rFonts w:eastAsia="Times New Roman"/>
          <w:lang w:eastAsia="en-NZ"/>
        </w:rPr>
        <w:t xml:space="preserve"> </w:t>
      </w:r>
      <w:r w:rsidR="00CF4A69" w:rsidRPr="00BB6220">
        <w:rPr>
          <w:rFonts w:eastAsia="Times New Roman"/>
          <w:lang w:eastAsia="en-NZ"/>
        </w:rPr>
        <w:t>for</w:t>
      </w:r>
      <w:r w:rsidR="003D640C">
        <w:rPr>
          <w:rFonts w:eastAsia="Times New Roman"/>
          <w:lang w:eastAsia="en-NZ"/>
        </w:rPr>
        <w:t xml:space="preserve"> </w:t>
      </w:r>
      <w:r w:rsidR="00CF4A69" w:rsidRPr="00BB6220">
        <w:rPr>
          <w:rFonts w:eastAsia="Times New Roman"/>
          <w:lang w:eastAsia="en-NZ"/>
        </w:rPr>
        <w:t>survivors’</w:t>
      </w:r>
      <w:r w:rsidR="003D640C">
        <w:rPr>
          <w:rFonts w:eastAsia="Times New Roman"/>
          <w:lang w:eastAsia="en-NZ"/>
        </w:rPr>
        <w:t xml:space="preserve"> </w:t>
      </w:r>
      <w:r w:rsidR="00CF4A69" w:rsidRPr="00BB6220">
        <w:rPr>
          <w:rFonts w:eastAsia="Times New Roman"/>
          <w:lang w:eastAsia="en-NZ"/>
        </w:rPr>
        <w:t>increasing</w:t>
      </w:r>
      <w:r w:rsidR="003D640C">
        <w:rPr>
          <w:rFonts w:eastAsia="Times New Roman"/>
          <w:lang w:eastAsia="en-NZ"/>
        </w:rPr>
        <w:t xml:space="preserve"> </w:t>
      </w:r>
      <w:r w:rsidR="003A6ED4" w:rsidRPr="00BB6220">
        <w:rPr>
          <w:rFonts w:eastAsia="Times New Roman"/>
          <w:lang w:eastAsia="en-NZ"/>
        </w:rPr>
        <w:t>autonomy</w:t>
      </w:r>
      <w:r w:rsidR="003D640C">
        <w:rPr>
          <w:rFonts w:eastAsia="Times New Roman"/>
          <w:lang w:eastAsia="en-NZ"/>
        </w:rPr>
        <w:t xml:space="preserve"> </w:t>
      </w:r>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all</w:t>
      </w:r>
      <w:r w:rsidR="003D640C">
        <w:rPr>
          <w:rFonts w:eastAsia="Times New Roman"/>
          <w:lang w:eastAsia="en-NZ"/>
        </w:rPr>
        <w:t xml:space="preserve"> </w:t>
      </w:r>
      <w:r w:rsidR="00CF4A69" w:rsidRPr="00BB6220">
        <w:rPr>
          <w:rFonts w:eastAsia="Times New Roman"/>
          <w:lang w:eastAsia="en-NZ"/>
        </w:rPr>
        <w:t>aspects</w:t>
      </w:r>
      <w:r w:rsidR="003D640C">
        <w:rPr>
          <w:rFonts w:eastAsia="Times New Roman"/>
          <w:lang w:eastAsia="en-NZ"/>
        </w:rPr>
        <w:t xml:space="preserve"> </w:t>
      </w:r>
      <w:r w:rsidR="00CF4A69" w:rsidRPr="00BB6220">
        <w:rPr>
          <w:rFonts w:eastAsia="Times New Roman"/>
          <w:lang w:eastAsia="en-NZ"/>
        </w:rPr>
        <w:t>of</w:t>
      </w:r>
      <w:r w:rsidR="003D640C">
        <w:rPr>
          <w:rFonts w:eastAsia="Times New Roman"/>
          <w:lang w:eastAsia="en-NZ"/>
        </w:rPr>
        <w:t xml:space="preserve"> </w:t>
      </w:r>
      <w:r w:rsidR="00CF4A69" w:rsidRPr="00BB6220">
        <w:rPr>
          <w:rFonts w:eastAsia="Times New Roman"/>
          <w:lang w:eastAsia="en-NZ"/>
        </w:rPr>
        <w:t>their</w:t>
      </w:r>
      <w:r w:rsidR="003D640C">
        <w:rPr>
          <w:rFonts w:eastAsia="Times New Roman"/>
          <w:lang w:eastAsia="en-NZ"/>
        </w:rPr>
        <w:t xml:space="preserve"> </w:t>
      </w:r>
      <w:r w:rsidR="00CF4A69" w:rsidRPr="00BB6220">
        <w:rPr>
          <w:rFonts w:eastAsia="Times New Roman"/>
          <w:lang w:eastAsia="en-NZ"/>
        </w:rPr>
        <w:t>life,</w:t>
      </w:r>
      <w:r w:rsidR="003D640C">
        <w:rPr>
          <w:rFonts w:eastAsia="Times New Roman"/>
          <w:lang w:eastAsia="en-NZ"/>
        </w:rPr>
        <w:t xml:space="preserve"> </w:t>
      </w:r>
      <w:r w:rsidR="00CF4A69" w:rsidRPr="00BB6220">
        <w:rPr>
          <w:rFonts w:eastAsia="Times New Roman"/>
          <w:lang w:eastAsia="en-NZ"/>
        </w:rPr>
        <w:t>including</w:t>
      </w:r>
      <w:r w:rsidR="003D640C">
        <w:rPr>
          <w:rFonts w:eastAsia="Times New Roman"/>
          <w:lang w:eastAsia="en-NZ"/>
        </w:rPr>
        <w:t xml:space="preserve"> </w:t>
      </w:r>
      <w:r w:rsidR="00CF4A69" w:rsidRPr="00BB6220">
        <w:rPr>
          <w:rFonts w:eastAsia="Times New Roman"/>
          <w:lang w:eastAsia="en-NZ"/>
        </w:rPr>
        <w:t>any</w:t>
      </w:r>
      <w:r w:rsidR="003D640C">
        <w:rPr>
          <w:rFonts w:eastAsia="Times New Roman"/>
          <w:lang w:eastAsia="en-NZ"/>
        </w:rPr>
        <w:t xml:space="preserve"> </w:t>
      </w:r>
      <w:r w:rsidR="00CF4A69" w:rsidRPr="00BB6220">
        <w:rPr>
          <w:rFonts w:eastAsia="Times New Roman"/>
          <w:lang w:eastAsia="en-NZ"/>
        </w:rPr>
        <w:t>engagement</w:t>
      </w:r>
      <w:r w:rsidR="003D640C">
        <w:rPr>
          <w:rFonts w:eastAsia="Times New Roman"/>
          <w:lang w:eastAsia="en-NZ"/>
        </w:rPr>
        <w:t xml:space="preserve"> </w:t>
      </w:r>
      <w:r w:rsidR="00CF4A69" w:rsidRPr="00BB6220">
        <w:rPr>
          <w:rFonts w:eastAsia="Times New Roman"/>
          <w:lang w:eastAsia="en-NZ"/>
        </w:rPr>
        <w:t>or</w:t>
      </w:r>
      <w:r w:rsidR="003D640C">
        <w:rPr>
          <w:rFonts w:eastAsia="Times New Roman"/>
          <w:lang w:eastAsia="en-NZ"/>
        </w:rPr>
        <w:t xml:space="preserve"> </w:t>
      </w:r>
      <w:r w:rsidR="00CF4A69" w:rsidRPr="00BB6220">
        <w:rPr>
          <w:rFonts w:eastAsia="Times New Roman"/>
          <w:lang w:eastAsia="en-NZ"/>
        </w:rPr>
        <w:t>re-engagement</w:t>
      </w:r>
      <w:r w:rsidR="003D640C">
        <w:rPr>
          <w:rFonts w:eastAsia="Times New Roman"/>
          <w:lang w:eastAsia="en-NZ"/>
        </w:rPr>
        <w:t xml:space="preserve"> </w:t>
      </w:r>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their</w:t>
      </w:r>
      <w:r w:rsidR="003D640C">
        <w:rPr>
          <w:rFonts w:eastAsia="Times New Roman"/>
          <w:lang w:eastAsia="en-NZ"/>
        </w:rPr>
        <w:t xml:space="preserve"> </w:t>
      </w:r>
      <w:r w:rsidR="00CF4A69" w:rsidRPr="00BB6220">
        <w:rPr>
          <w:rFonts w:eastAsia="Times New Roman"/>
          <w:lang w:eastAsia="en-NZ"/>
        </w:rPr>
        <w:t>previous</w:t>
      </w:r>
      <w:r w:rsidR="003D640C">
        <w:rPr>
          <w:rFonts w:eastAsia="Times New Roman"/>
          <w:lang w:eastAsia="en-NZ"/>
        </w:rPr>
        <w:t xml:space="preserve"> </w:t>
      </w:r>
      <w:r w:rsidR="00CF4A69" w:rsidRPr="00BB6220">
        <w:rPr>
          <w:rFonts w:eastAsia="Times New Roman"/>
          <w:lang w:eastAsia="en-NZ"/>
        </w:rPr>
        <w:t>communities.</w:t>
      </w:r>
      <w:r w:rsidR="00CF4A69" w:rsidRPr="00BB6220">
        <w:rPr>
          <w:rStyle w:val="FootnoteReference"/>
          <w:rFonts w:eastAsia="Times New Roman"/>
          <w:lang w:eastAsia="en-NZ"/>
        </w:rPr>
        <w:footnoteReference w:id="266"/>
      </w:r>
    </w:p>
    <w:p w14:paraId="60BC9881" w14:textId="77777777" w:rsidR="00501068" w:rsidRDefault="00CF4A69" w:rsidP="00501068">
      <w:pPr>
        <w:pStyle w:val="Heading2"/>
      </w:pPr>
      <w:bookmarkStart w:id="338" w:name="_Toc138325197"/>
      <w:bookmarkStart w:id="339" w:name="_Toc138343854"/>
      <w:bookmarkStart w:id="340" w:name="_Toc167780632"/>
      <w:bookmarkStart w:id="341" w:name="_Toc825104407"/>
      <w:bookmarkStart w:id="342" w:name="_Toc174628694"/>
      <w:r w:rsidRPr="00BB6220">
        <w:t>Survivors’</w:t>
      </w:r>
      <w:r w:rsidR="003D640C">
        <w:t xml:space="preserve"> </w:t>
      </w:r>
      <w:r w:rsidRPr="00BB6220">
        <w:t>advice</w:t>
      </w:r>
      <w:r w:rsidR="003D640C">
        <w:t xml:space="preserve"> </w:t>
      </w:r>
      <w:r w:rsidRPr="00BB6220">
        <w:t>for</w:t>
      </w:r>
      <w:r w:rsidR="003D640C">
        <w:t xml:space="preserve"> </w:t>
      </w:r>
      <w:r w:rsidRPr="00BB6220">
        <w:t>communities</w:t>
      </w:r>
      <w:bookmarkEnd w:id="338"/>
      <w:bookmarkEnd w:id="339"/>
      <w:bookmarkEnd w:id="340"/>
      <w:bookmarkEnd w:id="341"/>
      <w:bookmarkEnd w:id="342"/>
      <w:r w:rsidR="003D640C">
        <w:t xml:space="preserve"> </w:t>
      </w:r>
    </w:p>
    <w:p w14:paraId="64521727" w14:textId="44491908" w:rsidR="00CF4A69" w:rsidRPr="00BB6220" w:rsidRDefault="00CF4A69" w:rsidP="00B51F0B">
      <w:pPr>
        <w:pStyle w:val="Bullet"/>
        <w:rPr>
          <w:lang w:eastAsia="en-NZ"/>
        </w:rPr>
      </w:pPr>
      <w:r w:rsidRPr="00BB6220">
        <w:rPr>
          <w:b/>
          <w:bCs/>
          <w:lang w:eastAsia="en-NZ"/>
        </w:rPr>
        <w:t>Validate</w:t>
      </w:r>
      <w:r w:rsidR="003D640C">
        <w:rPr>
          <w:b/>
          <w:bCs/>
          <w:lang w:eastAsia="en-NZ"/>
        </w:rPr>
        <w:t xml:space="preserve"> </w:t>
      </w:r>
      <w:r w:rsidRPr="00BB6220">
        <w:rPr>
          <w:b/>
          <w:lang w:eastAsia="en-NZ"/>
        </w:rPr>
        <w:t>the</w:t>
      </w:r>
      <w:r w:rsidR="003D640C">
        <w:rPr>
          <w:b/>
          <w:lang w:eastAsia="en-NZ"/>
        </w:rPr>
        <w:t xml:space="preserve"> </w:t>
      </w:r>
      <w:r w:rsidRPr="00BB6220">
        <w:rPr>
          <w:b/>
          <w:lang w:eastAsia="en-NZ"/>
        </w:rPr>
        <w:t>survivor’s</w:t>
      </w:r>
      <w:r w:rsidR="003D640C">
        <w:rPr>
          <w:b/>
          <w:lang w:eastAsia="en-NZ"/>
        </w:rPr>
        <w:t xml:space="preserve"> </w:t>
      </w:r>
      <w:r w:rsidRPr="00BB6220">
        <w:rPr>
          <w:b/>
          <w:lang w:eastAsia="en-NZ"/>
        </w:rPr>
        <w:t>e</w:t>
      </w:r>
      <w:r w:rsidRPr="00BB6220">
        <w:rPr>
          <w:b/>
          <w:bCs/>
          <w:lang w:eastAsia="en-NZ"/>
        </w:rPr>
        <w:t>xperience</w:t>
      </w:r>
      <w:r w:rsidR="003D640C">
        <w:rPr>
          <w:b/>
          <w:bCs/>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harm</w:t>
      </w:r>
      <w:r w:rsidR="003D640C">
        <w:rPr>
          <w:lang w:eastAsia="en-NZ"/>
        </w:rPr>
        <w:t xml:space="preserve"> </w:t>
      </w:r>
      <w:r w:rsidRPr="00BB6220">
        <w:rPr>
          <w:lang w:eastAsia="en-NZ"/>
        </w:rPr>
        <w:t>they</w:t>
      </w:r>
      <w:r w:rsidR="003D640C">
        <w:rPr>
          <w:lang w:eastAsia="en-NZ"/>
        </w:rPr>
        <w:t xml:space="preserve"> </w:t>
      </w:r>
      <w:r w:rsidRPr="00BB6220">
        <w:rPr>
          <w:lang w:eastAsia="en-NZ"/>
        </w:rPr>
        <w:t>have</w:t>
      </w:r>
      <w:r w:rsidR="003D640C">
        <w:rPr>
          <w:lang w:eastAsia="en-NZ"/>
        </w:rPr>
        <w:t xml:space="preserve"> </w:t>
      </w:r>
      <w:r w:rsidRPr="00BB6220">
        <w:rPr>
          <w:lang w:eastAsia="en-NZ"/>
        </w:rPr>
        <w:t>endured.</w:t>
      </w:r>
      <w:r w:rsidR="003D640C">
        <w:rPr>
          <w:lang w:eastAsia="en-NZ"/>
        </w:rPr>
        <w:t xml:space="preserve"> </w:t>
      </w:r>
      <w:r w:rsidRPr="00BB6220">
        <w:rPr>
          <w:lang w:eastAsia="en-NZ"/>
        </w:rPr>
        <w:t>Show</w:t>
      </w:r>
      <w:r w:rsidR="003D640C">
        <w:rPr>
          <w:lang w:eastAsia="en-NZ"/>
        </w:rPr>
        <w:t xml:space="preserve"> </w:t>
      </w:r>
      <w:r w:rsidRPr="00BB6220">
        <w:rPr>
          <w:lang w:eastAsia="en-NZ"/>
        </w:rPr>
        <w:t>empathy</w:t>
      </w:r>
      <w:r w:rsidR="003D640C">
        <w:rPr>
          <w:lang w:eastAsia="en-NZ"/>
        </w:rPr>
        <w:t xml:space="preserve"> </w:t>
      </w:r>
      <w:r w:rsidRPr="00BB6220">
        <w:rPr>
          <w:lang w:eastAsia="en-NZ"/>
        </w:rPr>
        <w:t>and</w:t>
      </w:r>
      <w:r w:rsidR="003D640C">
        <w:rPr>
          <w:lang w:eastAsia="en-NZ"/>
        </w:rPr>
        <w:t xml:space="preserve"> </w:t>
      </w:r>
      <w:r w:rsidRPr="00BB6220">
        <w:rPr>
          <w:lang w:eastAsia="en-NZ"/>
        </w:rPr>
        <w:t>understanding,</w:t>
      </w:r>
      <w:r w:rsidR="003D640C">
        <w:rPr>
          <w:lang w:eastAsia="en-NZ"/>
        </w:rPr>
        <w:t xml:space="preserve"> </w:t>
      </w:r>
      <w:r w:rsidRPr="00BB6220">
        <w:rPr>
          <w:lang w:eastAsia="en-NZ"/>
        </w:rPr>
        <w:t>emphasising</w:t>
      </w:r>
      <w:r w:rsidR="003D640C">
        <w:rPr>
          <w:lang w:eastAsia="en-NZ"/>
        </w:rPr>
        <w:t xml:space="preserve"> </w:t>
      </w:r>
      <w:r w:rsidRPr="00BB6220">
        <w:rPr>
          <w:lang w:eastAsia="en-NZ"/>
        </w:rPr>
        <w:t>their</w:t>
      </w:r>
      <w:r w:rsidR="003D640C">
        <w:rPr>
          <w:lang w:eastAsia="en-NZ"/>
        </w:rPr>
        <w:t xml:space="preserve"> </w:t>
      </w:r>
      <w:r w:rsidRPr="00BB6220">
        <w:rPr>
          <w:lang w:eastAsia="en-NZ"/>
        </w:rPr>
        <w:t>emotions</w:t>
      </w:r>
      <w:r w:rsidR="003D640C">
        <w:rPr>
          <w:lang w:eastAsia="en-NZ"/>
        </w:rPr>
        <w:t xml:space="preserve"> </w:t>
      </w:r>
      <w:r w:rsidRPr="00BB6220">
        <w:rPr>
          <w:lang w:eastAsia="en-NZ"/>
        </w:rPr>
        <w:t>and</w:t>
      </w:r>
      <w:r w:rsidR="003D640C">
        <w:rPr>
          <w:lang w:eastAsia="en-NZ"/>
        </w:rPr>
        <w:t xml:space="preserve"> </w:t>
      </w:r>
      <w:r w:rsidRPr="00BB6220">
        <w:rPr>
          <w:lang w:eastAsia="en-NZ"/>
        </w:rPr>
        <w:t>reactions</w:t>
      </w:r>
      <w:r w:rsidR="003D640C">
        <w:rPr>
          <w:lang w:eastAsia="en-NZ"/>
        </w:rPr>
        <w:t xml:space="preserve"> </w:t>
      </w:r>
      <w:r w:rsidRPr="00BB6220">
        <w:rPr>
          <w:lang w:eastAsia="en-NZ"/>
        </w:rPr>
        <w:t>are</w:t>
      </w:r>
      <w:r w:rsidR="003D640C">
        <w:rPr>
          <w:lang w:eastAsia="en-NZ"/>
        </w:rPr>
        <w:t xml:space="preserve"> </w:t>
      </w:r>
      <w:r w:rsidRPr="00BB6220">
        <w:rPr>
          <w:lang w:eastAsia="en-NZ"/>
        </w:rPr>
        <w:t>valid</w:t>
      </w:r>
      <w:r w:rsidR="003D640C">
        <w:rPr>
          <w:lang w:eastAsia="en-NZ"/>
        </w:rPr>
        <w:t xml:space="preserve"> </w:t>
      </w:r>
      <w:r w:rsidRPr="00BB6220">
        <w:rPr>
          <w:lang w:eastAsia="en-NZ"/>
        </w:rPr>
        <w:t>and</w:t>
      </w:r>
      <w:r w:rsidR="003D640C">
        <w:rPr>
          <w:lang w:eastAsia="en-NZ"/>
        </w:rPr>
        <w:t xml:space="preserve"> </w:t>
      </w:r>
      <w:r w:rsidRPr="00BB6220">
        <w:rPr>
          <w:lang w:eastAsia="en-NZ"/>
        </w:rPr>
        <w:t>justified.</w:t>
      </w:r>
      <w:r w:rsidR="003D640C">
        <w:rPr>
          <w:lang w:eastAsia="en-NZ"/>
        </w:rPr>
        <w:t xml:space="preserve"> </w:t>
      </w:r>
      <w:r w:rsidRPr="00BB6220">
        <w:rPr>
          <w:lang w:eastAsia="en-NZ"/>
        </w:rPr>
        <w:t>Affirm</w:t>
      </w:r>
      <w:r w:rsidR="003D640C">
        <w:rPr>
          <w:lang w:eastAsia="en-NZ"/>
        </w:rPr>
        <w:t xml:space="preserve"> </w:t>
      </w:r>
      <w:r w:rsidRPr="00BB6220">
        <w:rPr>
          <w:lang w:eastAsia="en-NZ"/>
        </w:rPr>
        <w:t>their</w:t>
      </w:r>
      <w:r w:rsidR="003D640C">
        <w:rPr>
          <w:lang w:eastAsia="en-NZ"/>
        </w:rPr>
        <w:t xml:space="preserve"> </w:t>
      </w:r>
      <w:r w:rsidRPr="00BB6220">
        <w:rPr>
          <w:lang w:eastAsia="en-NZ"/>
        </w:rPr>
        <w:lastRenderedPageBreak/>
        <w:t>authentic</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and</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3D640C">
        <w:rPr>
          <w:lang w:eastAsia="en-NZ"/>
        </w:rPr>
        <w:t xml:space="preserve"> </w:t>
      </w:r>
      <w:r w:rsidR="003A6ED4" w:rsidRPr="00BB6220">
        <w:rPr>
          <w:lang w:eastAsia="en-NZ"/>
        </w:rPr>
        <w:t>in</w:t>
      </w:r>
      <w:r w:rsidR="003D640C">
        <w:rPr>
          <w:lang w:eastAsia="en-NZ"/>
        </w:rPr>
        <w:t xml:space="preserve"> </w:t>
      </w:r>
      <w:r w:rsidR="003A6ED4" w:rsidRPr="00BB6220">
        <w:rPr>
          <w:lang w:eastAsia="en-NZ"/>
        </w:rPr>
        <w:t>the</w:t>
      </w:r>
      <w:r w:rsidR="003D640C">
        <w:rPr>
          <w:lang w:eastAsia="en-NZ"/>
        </w:rPr>
        <w:t xml:space="preserve"> </w:t>
      </w:r>
      <w:r w:rsidR="003A6ED4" w:rsidRPr="00BB6220">
        <w:rPr>
          <w:lang w:eastAsia="en-NZ"/>
        </w:rPr>
        <w:t>same</w:t>
      </w:r>
      <w:r w:rsidR="003D640C">
        <w:rPr>
          <w:lang w:eastAsia="en-NZ"/>
        </w:rPr>
        <w:t xml:space="preserve"> </w:t>
      </w:r>
      <w:r w:rsidR="003A6ED4" w:rsidRPr="00BB6220">
        <w:rPr>
          <w:lang w:eastAsia="en-NZ"/>
        </w:rPr>
        <w:t>way</w:t>
      </w:r>
      <w:r w:rsidR="003D640C">
        <w:rPr>
          <w:lang w:eastAsia="en-NZ"/>
        </w:rPr>
        <w:t xml:space="preserve"> </w:t>
      </w:r>
      <w:r w:rsidR="003A6ED4" w:rsidRPr="00BB6220">
        <w:rPr>
          <w:lang w:eastAsia="en-NZ"/>
        </w:rPr>
        <w:t>heterosexual</w:t>
      </w:r>
      <w:r w:rsidR="003D640C">
        <w:rPr>
          <w:lang w:eastAsia="en-NZ"/>
        </w:rPr>
        <w:t xml:space="preserve"> </w:t>
      </w:r>
      <w:r w:rsidR="003A6ED4" w:rsidRPr="00BB6220">
        <w:rPr>
          <w:lang w:eastAsia="en-NZ"/>
        </w:rPr>
        <w:t>and</w:t>
      </w:r>
      <w:r w:rsidR="003D640C">
        <w:rPr>
          <w:lang w:eastAsia="en-NZ"/>
        </w:rPr>
        <w:t xml:space="preserve"> </w:t>
      </w:r>
      <w:r w:rsidR="003A6ED4" w:rsidRPr="00BB6220">
        <w:rPr>
          <w:lang w:eastAsia="en-NZ"/>
        </w:rPr>
        <w:t>cisgender</w:t>
      </w:r>
      <w:r w:rsidR="003D640C">
        <w:rPr>
          <w:lang w:eastAsia="en-NZ"/>
        </w:rPr>
        <w:t xml:space="preserve"> </w:t>
      </w:r>
      <w:r w:rsidR="00CC505B" w:rsidRPr="00BB6220">
        <w:rPr>
          <w:lang w:eastAsia="en-NZ"/>
        </w:rPr>
        <w:t>people</w:t>
      </w:r>
      <w:r w:rsidR="003D640C">
        <w:rPr>
          <w:lang w:eastAsia="en-NZ"/>
        </w:rPr>
        <w:t xml:space="preserve"> </w:t>
      </w:r>
      <w:r w:rsidR="00CC505B" w:rsidRPr="00BB6220">
        <w:rPr>
          <w:lang w:eastAsia="en-NZ"/>
        </w:rPr>
        <w:t>are</w:t>
      </w:r>
      <w:r w:rsidR="003D640C">
        <w:rPr>
          <w:lang w:eastAsia="en-NZ"/>
        </w:rPr>
        <w:t xml:space="preserve"> </w:t>
      </w:r>
      <w:r w:rsidR="00CC505B" w:rsidRPr="00BB6220">
        <w:rPr>
          <w:lang w:eastAsia="en-NZ"/>
        </w:rPr>
        <w:t>affirmed</w:t>
      </w:r>
      <w:r w:rsidR="003D640C">
        <w:rPr>
          <w:lang w:eastAsia="en-NZ"/>
        </w:rPr>
        <w:t xml:space="preserve"> </w:t>
      </w:r>
      <w:r w:rsidR="00CC505B" w:rsidRPr="00BB6220">
        <w:rPr>
          <w:lang w:eastAsia="en-NZ"/>
        </w:rPr>
        <w:t>throughout</w:t>
      </w:r>
      <w:r w:rsidR="003D640C">
        <w:rPr>
          <w:lang w:eastAsia="en-NZ"/>
        </w:rPr>
        <w:t xml:space="preserve"> </w:t>
      </w:r>
      <w:r w:rsidR="00CC505B" w:rsidRPr="00BB6220">
        <w:rPr>
          <w:lang w:eastAsia="en-NZ"/>
        </w:rPr>
        <w:t>their</w:t>
      </w:r>
      <w:r w:rsidR="003D640C">
        <w:rPr>
          <w:lang w:eastAsia="en-NZ"/>
        </w:rPr>
        <w:t xml:space="preserve"> </w:t>
      </w:r>
      <w:r w:rsidR="00CC505B" w:rsidRPr="00BB6220">
        <w:rPr>
          <w:lang w:eastAsia="en-NZ"/>
        </w:rPr>
        <w:t>lives</w:t>
      </w:r>
      <w:r w:rsidRPr="00BB6220">
        <w:rPr>
          <w:lang w:eastAsia="en-NZ"/>
        </w:rPr>
        <w:t>.</w:t>
      </w:r>
      <w:r w:rsidR="003D640C">
        <w:rPr>
          <w:lang w:eastAsia="en-NZ"/>
        </w:rPr>
        <w:t xml:space="preserve"> </w:t>
      </w:r>
      <w:r w:rsidRPr="00BB6220">
        <w:rPr>
          <w:lang w:eastAsia="en-NZ"/>
        </w:rPr>
        <w:t>Encourage</w:t>
      </w:r>
      <w:r w:rsidR="003D640C">
        <w:rPr>
          <w:lang w:eastAsia="en-NZ"/>
        </w:rPr>
        <w:t xml:space="preserve"> </w:t>
      </w:r>
      <w:r w:rsidRPr="00BB6220">
        <w:rPr>
          <w:lang w:eastAsia="en-NZ"/>
        </w:rPr>
        <w:t>self-acceptance,</w:t>
      </w:r>
      <w:r w:rsidR="003D640C">
        <w:rPr>
          <w:lang w:eastAsia="en-NZ"/>
        </w:rPr>
        <w:t xml:space="preserve"> </w:t>
      </w:r>
      <w:r w:rsidRPr="00BB6220">
        <w:rPr>
          <w:lang w:eastAsia="en-NZ"/>
        </w:rPr>
        <w:t>self-expression,</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exploration</w:t>
      </w:r>
      <w:r w:rsidR="003D640C">
        <w:rPr>
          <w:lang w:eastAsia="en-NZ"/>
        </w:rPr>
        <w:t xml:space="preserve"> </w:t>
      </w:r>
      <w:r w:rsidRPr="00BB6220">
        <w:rPr>
          <w:lang w:eastAsia="en-NZ"/>
        </w:rPr>
        <w:t>of</w:t>
      </w:r>
      <w:r w:rsidR="003D640C">
        <w:rPr>
          <w:lang w:eastAsia="en-NZ"/>
        </w:rPr>
        <w:t xml:space="preserve"> </w:t>
      </w:r>
      <w:r w:rsidRPr="00BB6220">
        <w:rPr>
          <w:lang w:eastAsia="en-NZ"/>
        </w:rPr>
        <w:t>healthy</w:t>
      </w:r>
      <w:r w:rsidR="003D640C">
        <w:rPr>
          <w:lang w:eastAsia="en-NZ"/>
        </w:rPr>
        <w:t xml:space="preserve"> </w:t>
      </w:r>
      <w:r w:rsidRPr="00BB6220">
        <w:rPr>
          <w:lang w:eastAsia="en-NZ"/>
        </w:rPr>
        <w:t>relationships</w:t>
      </w:r>
      <w:r w:rsidR="003D640C">
        <w:rPr>
          <w:lang w:eastAsia="en-NZ"/>
        </w:rPr>
        <w:t xml:space="preserve"> </w:t>
      </w:r>
      <w:r w:rsidRPr="00BB6220">
        <w:rPr>
          <w:lang w:eastAsia="en-NZ"/>
        </w:rPr>
        <w:t>and</w:t>
      </w:r>
      <w:r w:rsidR="003D640C">
        <w:rPr>
          <w:lang w:eastAsia="en-NZ"/>
        </w:rPr>
        <w:t xml:space="preserve"> </w:t>
      </w:r>
      <w:r w:rsidRPr="00BB6220">
        <w:rPr>
          <w:lang w:eastAsia="en-NZ"/>
        </w:rPr>
        <w:t>connections</w:t>
      </w:r>
      <w:r w:rsidR="003D640C">
        <w:rPr>
          <w:lang w:eastAsia="en-NZ"/>
        </w:rPr>
        <w:t xml:space="preserve"> </w:t>
      </w:r>
      <w:r w:rsidRPr="00BB6220">
        <w:rPr>
          <w:lang w:eastAsia="en-NZ"/>
        </w:rPr>
        <w:t>within</w:t>
      </w:r>
      <w:r w:rsidR="003D640C">
        <w:rPr>
          <w:lang w:eastAsia="en-NZ"/>
        </w:rPr>
        <w:t xml:space="preserve"> </w:t>
      </w:r>
      <w:r w:rsidRPr="00BB6220">
        <w:rPr>
          <w:lang w:eastAsia="en-NZ"/>
        </w:rPr>
        <w:t>the</w:t>
      </w:r>
      <w:r w:rsidR="003D640C">
        <w:rPr>
          <w:lang w:eastAsia="en-NZ"/>
        </w:rPr>
        <w:t xml:space="preserve"> </w:t>
      </w:r>
      <w:r w:rsidR="002D1DD6" w:rsidRPr="00BB6220">
        <w:rPr>
          <w:lang w:eastAsia="en-NZ"/>
        </w:rPr>
        <w:t>Rainbow</w:t>
      </w:r>
      <w:r w:rsidR="003D640C">
        <w:rPr>
          <w:lang w:eastAsia="en-NZ"/>
        </w:rPr>
        <w:t xml:space="preserve"> </w:t>
      </w:r>
      <w:r w:rsidRPr="00BB6220">
        <w:rPr>
          <w:lang w:eastAsia="en-NZ"/>
        </w:rPr>
        <w:t>community</w:t>
      </w:r>
      <w:r w:rsidR="00CC505B" w:rsidRPr="00BB6220">
        <w:rPr>
          <w:lang w:eastAsia="en-NZ"/>
        </w:rPr>
        <w:t>,</w:t>
      </w:r>
      <w:r w:rsidR="003D640C">
        <w:rPr>
          <w:lang w:eastAsia="en-NZ"/>
        </w:rPr>
        <w:t xml:space="preserve"> </w:t>
      </w:r>
      <w:r w:rsidR="00CC505B" w:rsidRPr="00BB6220">
        <w:rPr>
          <w:lang w:eastAsia="en-NZ"/>
        </w:rPr>
        <w:t>just</w:t>
      </w:r>
      <w:r w:rsidR="003D640C">
        <w:rPr>
          <w:lang w:eastAsia="en-NZ"/>
        </w:rPr>
        <w:t xml:space="preserve"> </w:t>
      </w:r>
      <w:r w:rsidR="00CC505B" w:rsidRPr="00BB6220">
        <w:rPr>
          <w:lang w:eastAsia="en-NZ"/>
        </w:rPr>
        <w:t>as</w:t>
      </w:r>
      <w:r w:rsidR="003D640C">
        <w:rPr>
          <w:lang w:eastAsia="en-NZ"/>
        </w:rPr>
        <w:t xml:space="preserve"> </w:t>
      </w:r>
      <w:r w:rsidR="00CC505B" w:rsidRPr="00BB6220">
        <w:rPr>
          <w:lang w:eastAsia="en-NZ"/>
        </w:rPr>
        <w:t>is</w:t>
      </w:r>
      <w:r w:rsidR="003D640C">
        <w:rPr>
          <w:lang w:eastAsia="en-NZ"/>
        </w:rPr>
        <w:t xml:space="preserve"> </w:t>
      </w:r>
      <w:r w:rsidR="00CC505B" w:rsidRPr="00BB6220">
        <w:rPr>
          <w:lang w:eastAsia="en-NZ"/>
        </w:rPr>
        <w:t>the</w:t>
      </w:r>
      <w:r w:rsidR="003D640C">
        <w:rPr>
          <w:lang w:eastAsia="en-NZ"/>
        </w:rPr>
        <w:t xml:space="preserve"> </w:t>
      </w:r>
      <w:r w:rsidR="00CC505B" w:rsidRPr="00BB6220">
        <w:rPr>
          <w:lang w:eastAsia="en-NZ"/>
        </w:rPr>
        <w:t>case</w:t>
      </w:r>
      <w:r w:rsidR="003D640C">
        <w:rPr>
          <w:lang w:eastAsia="en-NZ"/>
        </w:rPr>
        <w:t xml:space="preserve"> </w:t>
      </w:r>
      <w:r w:rsidR="00CC505B" w:rsidRPr="00BB6220">
        <w:rPr>
          <w:lang w:eastAsia="en-NZ"/>
        </w:rPr>
        <w:t>for</w:t>
      </w:r>
      <w:r w:rsidR="003D640C">
        <w:rPr>
          <w:lang w:eastAsia="en-NZ"/>
        </w:rPr>
        <w:t xml:space="preserve"> </w:t>
      </w:r>
      <w:r w:rsidR="00CC505B" w:rsidRPr="00BB6220">
        <w:rPr>
          <w:lang w:eastAsia="en-NZ"/>
        </w:rPr>
        <w:t>heterosexual</w:t>
      </w:r>
      <w:r w:rsidR="003D640C">
        <w:rPr>
          <w:lang w:eastAsia="en-NZ"/>
        </w:rPr>
        <w:t xml:space="preserve"> </w:t>
      </w:r>
      <w:r w:rsidR="00CC505B" w:rsidRPr="00BB6220">
        <w:rPr>
          <w:lang w:eastAsia="en-NZ"/>
        </w:rPr>
        <w:t>and</w:t>
      </w:r>
      <w:r w:rsidR="003D640C">
        <w:rPr>
          <w:lang w:eastAsia="en-NZ"/>
        </w:rPr>
        <w:t xml:space="preserve"> </w:t>
      </w:r>
      <w:r w:rsidR="00CC505B" w:rsidRPr="00BB6220">
        <w:rPr>
          <w:lang w:eastAsia="en-NZ"/>
        </w:rPr>
        <w:t>cisgender</w:t>
      </w:r>
      <w:r w:rsidR="003D640C">
        <w:rPr>
          <w:lang w:eastAsia="en-NZ"/>
        </w:rPr>
        <w:t xml:space="preserve"> </w:t>
      </w:r>
      <w:r w:rsidR="00CC505B" w:rsidRPr="00BB6220">
        <w:rPr>
          <w:lang w:eastAsia="en-NZ"/>
        </w:rPr>
        <w:t>people</w:t>
      </w:r>
      <w:r w:rsidRPr="00BB6220">
        <w:rPr>
          <w:lang w:eastAsia="en-NZ"/>
        </w:rPr>
        <w:t>.</w:t>
      </w:r>
    </w:p>
    <w:p w14:paraId="3C4F2D3A" w14:textId="7600B282" w:rsidR="00CF4A69" w:rsidRPr="00BB6220" w:rsidRDefault="00CF4A69" w:rsidP="00B51F0B">
      <w:pPr>
        <w:pStyle w:val="Bullet"/>
        <w:rPr>
          <w:lang w:eastAsia="en-NZ"/>
        </w:rPr>
      </w:pPr>
      <w:r w:rsidRPr="00BB6220">
        <w:rPr>
          <w:b/>
          <w:bCs/>
          <w:lang w:eastAsia="en-NZ"/>
        </w:rPr>
        <w:t>Create</w:t>
      </w:r>
      <w:r w:rsidR="003D640C">
        <w:rPr>
          <w:b/>
          <w:bCs/>
          <w:lang w:eastAsia="en-NZ"/>
        </w:rPr>
        <w:t xml:space="preserve"> </w:t>
      </w:r>
      <w:r w:rsidRPr="00BB6220">
        <w:rPr>
          <w:b/>
          <w:bCs/>
          <w:lang w:eastAsia="en-NZ"/>
        </w:rPr>
        <w:t>safe</w:t>
      </w:r>
      <w:r w:rsidR="003D640C">
        <w:rPr>
          <w:b/>
          <w:bCs/>
          <w:lang w:eastAsia="en-NZ"/>
        </w:rPr>
        <w:t xml:space="preserve"> </w:t>
      </w:r>
      <w:r w:rsidRPr="00BB6220">
        <w:rPr>
          <w:b/>
          <w:bCs/>
          <w:lang w:eastAsia="en-NZ"/>
        </w:rPr>
        <w:t>and</w:t>
      </w:r>
      <w:r w:rsidR="003D640C">
        <w:rPr>
          <w:b/>
          <w:bCs/>
          <w:lang w:eastAsia="en-NZ"/>
        </w:rPr>
        <w:t xml:space="preserve"> </w:t>
      </w:r>
      <w:r w:rsidRPr="00BB6220">
        <w:rPr>
          <w:b/>
          <w:bCs/>
          <w:lang w:eastAsia="en-NZ"/>
        </w:rPr>
        <w:t>supportive</w:t>
      </w:r>
      <w:r w:rsidR="003D640C">
        <w:rPr>
          <w:b/>
          <w:bCs/>
          <w:lang w:eastAsia="en-NZ"/>
        </w:rPr>
        <w:t xml:space="preserve"> </w:t>
      </w:r>
      <w:r w:rsidRPr="00BB6220">
        <w:rPr>
          <w:b/>
          <w:bCs/>
          <w:lang w:eastAsia="en-NZ"/>
        </w:rPr>
        <w:t>spaces</w:t>
      </w:r>
      <w:r w:rsidR="003D640C">
        <w:rPr>
          <w:lang w:eastAsia="en-NZ"/>
        </w:rPr>
        <w:t xml:space="preserve"> </w:t>
      </w:r>
      <w:r w:rsidRPr="00BB6220">
        <w:rPr>
          <w:lang w:eastAsia="en-NZ"/>
        </w:rPr>
        <w:t>where</w:t>
      </w:r>
      <w:r w:rsidR="003D640C">
        <w:rPr>
          <w:lang w:eastAsia="en-NZ"/>
        </w:rPr>
        <w:t xml:space="preserve"> </w:t>
      </w:r>
      <w:r w:rsidRPr="00BB6220">
        <w:rPr>
          <w:lang w:eastAsia="en-NZ"/>
        </w:rPr>
        <w:t>survivors</w:t>
      </w:r>
      <w:r w:rsidR="003D640C">
        <w:rPr>
          <w:lang w:eastAsia="en-NZ"/>
        </w:rPr>
        <w:t xml:space="preserve"> </w:t>
      </w:r>
      <w:r w:rsidRPr="00BB6220">
        <w:rPr>
          <w:lang w:eastAsia="en-NZ"/>
        </w:rPr>
        <w:t>can</w:t>
      </w:r>
      <w:r w:rsidR="003D640C">
        <w:rPr>
          <w:lang w:eastAsia="en-NZ"/>
        </w:rPr>
        <w:t xml:space="preserve"> </w:t>
      </w:r>
      <w:r w:rsidRPr="00BB6220">
        <w:rPr>
          <w:lang w:eastAsia="en-NZ"/>
        </w:rPr>
        <w:t>share</w:t>
      </w:r>
      <w:r w:rsidR="003D640C">
        <w:rPr>
          <w:lang w:eastAsia="en-NZ"/>
        </w:rPr>
        <w:t xml:space="preserve"> </w:t>
      </w:r>
      <w:r w:rsidRPr="00BB6220">
        <w:rPr>
          <w:lang w:eastAsia="en-NZ"/>
        </w:rPr>
        <w:t>their</w:t>
      </w:r>
      <w:r w:rsidR="003D640C">
        <w:rPr>
          <w:lang w:eastAsia="en-NZ"/>
        </w:rPr>
        <w:t xml:space="preserve"> </w:t>
      </w:r>
      <w:r w:rsidRPr="00BB6220">
        <w:rPr>
          <w:lang w:eastAsia="en-NZ"/>
        </w:rPr>
        <w:t>stories</w:t>
      </w:r>
      <w:r w:rsidR="003D640C">
        <w:rPr>
          <w:lang w:eastAsia="en-NZ"/>
        </w:rPr>
        <w:t xml:space="preserve"> </w:t>
      </w:r>
      <w:r w:rsidRPr="00BB6220">
        <w:rPr>
          <w:lang w:eastAsia="en-NZ"/>
        </w:rPr>
        <w:t>and,</w:t>
      </w:r>
      <w:r w:rsidR="003D640C">
        <w:rPr>
          <w:lang w:eastAsia="en-NZ"/>
        </w:rPr>
        <w:t xml:space="preserve"> </w:t>
      </w:r>
      <w:r w:rsidRPr="00BB6220">
        <w:rPr>
          <w:lang w:eastAsia="en-NZ"/>
        </w:rPr>
        <w:t>where</w:t>
      </w:r>
      <w:r w:rsidR="003D640C">
        <w:rPr>
          <w:lang w:eastAsia="en-NZ"/>
        </w:rPr>
        <w:t xml:space="preserve"> </w:t>
      </w:r>
      <w:r w:rsidRPr="00BB6220">
        <w:rPr>
          <w:lang w:eastAsia="en-NZ"/>
        </w:rPr>
        <w:t>possible,</w:t>
      </w:r>
      <w:r w:rsidR="003D640C">
        <w:rPr>
          <w:lang w:eastAsia="en-NZ"/>
        </w:rPr>
        <w:t xml:space="preserve"> </w:t>
      </w:r>
      <w:r w:rsidRPr="00BB6220">
        <w:rPr>
          <w:lang w:eastAsia="en-NZ"/>
        </w:rPr>
        <w:t>connect</w:t>
      </w:r>
      <w:r w:rsidR="003D640C">
        <w:rPr>
          <w:lang w:eastAsia="en-NZ"/>
        </w:rPr>
        <w:t xml:space="preserve"> </w:t>
      </w:r>
      <w:r w:rsidRPr="00BB6220">
        <w:rPr>
          <w:lang w:eastAsia="en-NZ"/>
        </w:rPr>
        <w:t>with</w:t>
      </w:r>
      <w:r w:rsidR="003D640C">
        <w:rPr>
          <w:lang w:eastAsia="en-NZ"/>
        </w:rPr>
        <w:t xml:space="preserve"> </w:t>
      </w:r>
      <w:r w:rsidRPr="00BB6220">
        <w:rPr>
          <w:lang w:eastAsia="en-NZ"/>
        </w:rPr>
        <w:t>others</w:t>
      </w:r>
      <w:r w:rsidR="003D640C">
        <w:rPr>
          <w:lang w:eastAsia="en-NZ"/>
        </w:rPr>
        <w:t xml:space="preserve"> </w:t>
      </w:r>
      <w:r w:rsidRPr="00BB6220">
        <w:rPr>
          <w:lang w:eastAsia="en-NZ"/>
        </w:rPr>
        <w:t>who</w:t>
      </w:r>
      <w:r w:rsidR="003D640C">
        <w:rPr>
          <w:lang w:eastAsia="en-NZ"/>
        </w:rPr>
        <w:t xml:space="preserve"> </w:t>
      </w:r>
      <w:r w:rsidRPr="00BB6220">
        <w:rPr>
          <w:lang w:eastAsia="en-NZ"/>
        </w:rPr>
        <w:t>have</w:t>
      </w:r>
      <w:r w:rsidR="003D640C">
        <w:rPr>
          <w:lang w:eastAsia="en-NZ"/>
        </w:rPr>
        <w:t xml:space="preserve"> </w:t>
      </w:r>
      <w:r w:rsidRPr="00BB6220">
        <w:rPr>
          <w:lang w:eastAsia="en-NZ"/>
        </w:rPr>
        <w:t>had</w:t>
      </w:r>
      <w:r w:rsidR="003D640C">
        <w:rPr>
          <w:lang w:eastAsia="en-NZ"/>
        </w:rPr>
        <w:t xml:space="preserve"> </w:t>
      </w:r>
      <w:r w:rsidRPr="00BB6220">
        <w:rPr>
          <w:lang w:eastAsia="en-NZ"/>
        </w:rPr>
        <w:t>similar</w:t>
      </w:r>
      <w:r w:rsidR="003D640C">
        <w:rPr>
          <w:lang w:eastAsia="en-NZ"/>
        </w:rPr>
        <w:t xml:space="preserve"> </w:t>
      </w:r>
      <w:r w:rsidRPr="00BB6220">
        <w:rPr>
          <w:lang w:eastAsia="en-NZ"/>
        </w:rPr>
        <w:t>experiences.</w:t>
      </w:r>
      <w:r w:rsidR="003D640C">
        <w:rPr>
          <w:lang w:eastAsia="en-NZ"/>
        </w:rPr>
        <w:t xml:space="preserve"> </w:t>
      </w:r>
      <w:r w:rsidR="002D1DD6" w:rsidRPr="00BB6220">
        <w:rPr>
          <w:lang w:eastAsia="en-NZ"/>
        </w:rPr>
        <w:t>Rainbow</w:t>
      </w:r>
      <w:r w:rsidR="003D640C">
        <w:rPr>
          <w:lang w:eastAsia="en-NZ"/>
        </w:rPr>
        <w:t xml:space="preserve"> </w:t>
      </w:r>
      <w:r w:rsidRPr="00BB6220">
        <w:rPr>
          <w:lang w:eastAsia="en-NZ"/>
        </w:rPr>
        <w:t>support</w:t>
      </w:r>
      <w:r w:rsidR="003D640C">
        <w:rPr>
          <w:lang w:eastAsia="en-NZ"/>
        </w:rPr>
        <w:t xml:space="preserve"> </w:t>
      </w:r>
      <w:r w:rsidRPr="00BB6220">
        <w:rPr>
          <w:lang w:eastAsia="en-NZ"/>
        </w:rPr>
        <w:t>groups,</w:t>
      </w:r>
      <w:r w:rsidR="003D640C">
        <w:rPr>
          <w:lang w:eastAsia="en-NZ"/>
        </w:rPr>
        <w:t xml:space="preserve"> </w:t>
      </w:r>
      <w:r w:rsidRPr="00BB6220">
        <w:rPr>
          <w:lang w:eastAsia="en-NZ"/>
        </w:rPr>
        <w:t>online</w:t>
      </w:r>
      <w:r w:rsidR="003D640C">
        <w:rPr>
          <w:lang w:eastAsia="en-NZ"/>
        </w:rPr>
        <w:t xml:space="preserve"> </w:t>
      </w:r>
      <w:r w:rsidRPr="00BB6220">
        <w:rPr>
          <w:lang w:eastAsia="en-NZ"/>
        </w:rPr>
        <w:t>communities,</w:t>
      </w:r>
      <w:r w:rsidR="003D640C">
        <w:rPr>
          <w:lang w:eastAsia="en-NZ"/>
        </w:rPr>
        <w:t xml:space="preserve"> </w:t>
      </w:r>
      <w:r w:rsidRPr="00BB6220">
        <w:rPr>
          <w:lang w:eastAsia="en-NZ"/>
        </w:rPr>
        <w:t>or</w:t>
      </w:r>
      <w:r w:rsidR="003D640C">
        <w:rPr>
          <w:lang w:eastAsia="en-NZ"/>
        </w:rPr>
        <w:t xml:space="preserve"> </w:t>
      </w:r>
      <w:r w:rsidRPr="00BB6220">
        <w:rPr>
          <w:lang w:eastAsia="en-NZ"/>
        </w:rPr>
        <w:t>therapy</w:t>
      </w:r>
      <w:r w:rsidR="003D640C">
        <w:rPr>
          <w:lang w:eastAsia="en-NZ"/>
        </w:rPr>
        <w:t xml:space="preserve"> </w:t>
      </w:r>
      <w:r w:rsidRPr="00BB6220">
        <w:rPr>
          <w:lang w:eastAsia="en-NZ"/>
        </w:rPr>
        <w:t>groups</w:t>
      </w:r>
      <w:r w:rsidR="003D640C">
        <w:rPr>
          <w:lang w:eastAsia="en-NZ"/>
        </w:rPr>
        <w:t xml:space="preserve"> </w:t>
      </w:r>
      <w:r w:rsidRPr="00BB6220">
        <w:rPr>
          <w:lang w:eastAsia="en-NZ"/>
        </w:rPr>
        <w:t>specifically</w:t>
      </w:r>
      <w:r w:rsidR="003D640C">
        <w:rPr>
          <w:lang w:eastAsia="en-NZ"/>
        </w:rPr>
        <w:t xml:space="preserve"> </w:t>
      </w:r>
      <w:r w:rsidRPr="00BB6220">
        <w:rPr>
          <w:lang w:eastAsia="en-NZ"/>
        </w:rPr>
        <w:t>tailored</w:t>
      </w:r>
      <w:r w:rsidR="003D640C">
        <w:rPr>
          <w:lang w:eastAsia="en-NZ"/>
        </w:rPr>
        <w:t xml:space="preserve"> </w:t>
      </w:r>
      <w:r w:rsidRPr="00BB6220">
        <w:rPr>
          <w:lang w:eastAsia="en-NZ"/>
        </w:rPr>
        <w:t>for</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survivors</w:t>
      </w:r>
      <w:r w:rsidR="003D640C">
        <w:rPr>
          <w:lang w:eastAsia="en-NZ"/>
        </w:rPr>
        <w:t xml:space="preserve"> </w:t>
      </w:r>
      <w:r w:rsidRPr="00BB6220">
        <w:rPr>
          <w:lang w:eastAsia="en-NZ"/>
        </w:rPr>
        <w:t>can</w:t>
      </w:r>
      <w:r w:rsidR="003D640C">
        <w:rPr>
          <w:lang w:eastAsia="en-NZ"/>
        </w:rPr>
        <w:t xml:space="preserve"> </w:t>
      </w:r>
      <w:r w:rsidRPr="00BB6220">
        <w:rPr>
          <w:lang w:eastAsia="en-NZ"/>
        </w:rPr>
        <w:t>be</w:t>
      </w:r>
      <w:r w:rsidR="003D640C">
        <w:rPr>
          <w:lang w:eastAsia="en-NZ"/>
        </w:rPr>
        <w:t xml:space="preserve"> </w:t>
      </w:r>
      <w:r w:rsidRPr="00BB6220">
        <w:rPr>
          <w:lang w:eastAsia="en-NZ"/>
        </w:rPr>
        <w:t>invaluable</w:t>
      </w:r>
      <w:r w:rsidR="003D640C">
        <w:rPr>
          <w:lang w:eastAsia="en-NZ"/>
        </w:rPr>
        <w:t xml:space="preserve"> </w:t>
      </w:r>
      <w:r w:rsidRPr="00BB6220">
        <w:rPr>
          <w:lang w:eastAsia="en-NZ"/>
        </w:rPr>
        <w:t>in</w:t>
      </w:r>
      <w:r w:rsidR="003D640C">
        <w:rPr>
          <w:lang w:eastAsia="en-NZ"/>
        </w:rPr>
        <w:t xml:space="preserve"> </w:t>
      </w:r>
      <w:r w:rsidRPr="00BB6220">
        <w:rPr>
          <w:lang w:eastAsia="en-NZ"/>
        </w:rPr>
        <w:t>fostering</w:t>
      </w:r>
      <w:r w:rsidR="003D640C">
        <w:rPr>
          <w:lang w:eastAsia="en-NZ"/>
        </w:rPr>
        <w:t xml:space="preserve"> </w:t>
      </w:r>
      <w:r w:rsidRPr="00BB6220">
        <w:rPr>
          <w:lang w:eastAsia="en-NZ"/>
        </w:rPr>
        <w:t>a</w:t>
      </w:r>
      <w:r w:rsidR="003D640C">
        <w:rPr>
          <w:lang w:eastAsia="en-NZ"/>
        </w:rPr>
        <w:t xml:space="preserve"> </w:t>
      </w:r>
      <w:r w:rsidRPr="00BB6220">
        <w:rPr>
          <w:lang w:eastAsia="en-NZ"/>
        </w:rPr>
        <w:t>sense</w:t>
      </w:r>
      <w:r w:rsidR="003D640C">
        <w:rPr>
          <w:lang w:eastAsia="en-NZ"/>
        </w:rPr>
        <w:t xml:space="preserve"> </w:t>
      </w:r>
      <w:r w:rsidRPr="00BB6220">
        <w:rPr>
          <w:lang w:eastAsia="en-NZ"/>
        </w:rPr>
        <w:t>of</w:t>
      </w:r>
      <w:r w:rsidR="003D640C">
        <w:rPr>
          <w:lang w:eastAsia="en-NZ"/>
        </w:rPr>
        <w:t xml:space="preserve"> </w:t>
      </w:r>
      <w:r w:rsidRPr="00BB6220">
        <w:rPr>
          <w:lang w:eastAsia="en-NZ"/>
        </w:rPr>
        <w:t>belonging</w:t>
      </w:r>
      <w:r w:rsidR="003D640C">
        <w:rPr>
          <w:lang w:eastAsia="en-NZ"/>
        </w:rPr>
        <w:t xml:space="preserve"> </w:t>
      </w:r>
      <w:r w:rsidRPr="00BB6220">
        <w:rPr>
          <w:lang w:eastAsia="en-NZ"/>
        </w:rPr>
        <w:t>and</w:t>
      </w:r>
      <w:r w:rsidR="003D640C">
        <w:rPr>
          <w:lang w:eastAsia="en-NZ"/>
        </w:rPr>
        <w:t xml:space="preserve"> </w:t>
      </w:r>
      <w:r w:rsidRPr="00BB6220">
        <w:rPr>
          <w:lang w:eastAsia="en-NZ"/>
        </w:rPr>
        <w:t>validation.</w:t>
      </w:r>
    </w:p>
    <w:p w14:paraId="4486DFCA" w14:textId="25F65055" w:rsidR="00CF4A69" w:rsidRPr="00BB6220" w:rsidRDefault="00CF4A69" w:rsidP="00B51F0B">
      <w:pPr>
        <w:pStyle w:val="Bullet"/>
      </w:pPr>
      <w:r w:rsidRPr="00BB6220">
        <w:rPr>
          <w:b/>
          <w:bCs/>
        </w:rPr>
        <w:t>Engage</w:t>
      </w:r>
      <w:r w:rsidR="003D640C">
        <w:rPr>
          <w:b/>
          <w:bCs/>
        </w:rPr>
        <w:t xml:space="preserve"> </w:t>
      </w:r>
      <w:r w:rsidRPr="00BB6220">
        <w:rPr>
          <w:b/>
          <w:bCs/>
        </w:rPr>
        <w:t>in</w:t>
      </w:r>
      <w:r w:rsidR="003D640C">
        <w:rPr>
          <w:b/>
          <w:bCs/>
        </w:rPr>
        <w:t xml:space="preserve"> </w:t>
      </w:r>
      <w:r w:rsidRPr="00BB6220">
        <w:rPr>
          <w:b/>
          <w:bCs/>
        </w:rPr>
        <w:t>brave</w:t>
      </w:r>
      <w:r w:rsidR="003D640C">
        <w:rPr>
          <w:b/>
          <w:bCs/>
        </w:rPr>
        <w:t xml:space="preserve"> </w:t>
      </w:r>
      <w:r w:rsidRPr="00BB6220">
        <w:rPr>
          <w:b/>
          <w:bCs/>
        </w:rPr>
        <w:t>and</w:t>
      </w:r>
      <w:r w:rsidR="003D640C">
        <w:rPr>
          <w:b/>
          <w:bCs/>
        </w:rPr>
        <w:t xml:space="preserve"> </w:t>
      </w:r>
      <w:r w:rsidRPr="00BB6220">
        <w:rPr>
          <w:b/>
          <w:bCs/>
        </w:rPr>
        <w:t>constructive</w:t>
      </w:r>
      <w:r w:rsidR="003D640C">
        <w:rPr>
          <w:b/>
          <w:bCs/>
        </w:rPr>
        <w:t xml:space="preserve"> </w:t>
      </w:r>
      <w:r w:rsidRPr="00BB6220">
        <w:rPr>
          <w:b/>
          <w:bCs/>
        </w:rPr>
        <w:t>discussions</w:t>
      </w:r>
      <w:r w:rsidR="003D640C">
        <w:t xml:space="preserve"> </w:t>
      </w:r>
      <w:r w:rsidRPr="00BB6220">
        <w:t>so</w:t>
      </w:r>
      <w:r w:rsidR="003D640C">
        <w:t xml:space="preserve"> </w:t>
      </w:r>
      <w:r w:rsidRPr="00BB6220">
        <w:t>communities</w:t>
      </w:r>
      <w:r w:rsidR="003D640C">
        <w:t xml:space="preserve"> </w:t>
      </w:r>
      <w:r w:rsidRPr="00BB6220">
        <w:t>learn</w:t>
      </w:r>
      <w:r w:rsidR="003D640C">
        <w:t xml:space="preserve"> </w:t>
      </w:r>
      <w:r w:rsidRPr="00BB6220">
        <w:t>how</w:t>
      </w:r>
      <w:r w:rsidR="003D640C">
        <w:t xml:space="preserve"> </w:t>
      </w:r>
      <w:r w:rsidRPr="00BB6220">
        <w:t>to</w:t>
      </w:r>
      <w:r w:rsidR="003D640C">
        <w:t xml:space="preserve"> </w:t>
      </w:r>
      <w:r w:rsidRPr="00BB6220">
        <w:t>have</w:t>
      </w:r>
      <w:r w:rsidR="003D640C">
        <w:t xml:space="preserve"> </w:t>
      </w:r>
      <w:r w:rsidR="000E098F" w:rsidRPr="00BB6220">
        <w:t>safer</w:t>
      </w:r>
      <w:r w:rsidR="003D640C">
        <w:t xml:space="preserve"> </w:t>
      </w:r>
      <w:r w:rsidR="000E098F" w:rsidRPr="00BB6220">
        <w:t>and</w:t>
      </w:r>
      <w:r w:rsidR="003D640C">
        <w:t xml:space="preserve"> </w:t>
      </w:r>
      <w:r w:rsidR="000E098F" w:rsidRPr="00BB6220">
        <w:t>more</w:t>
      </w:r>
      <w:r w:rsidR="003D640C">
        <w:t xml:space="preserve"> </w:t>
      </w:r>
      <w:r w:rsidR="000E098F" w:rsidRPr="00BB6220">
        <w:t>evidence-based</w:t>
      </w:r>
      <w:r w:rsidR="003D640C">
        <w:t xml:space="preserve"> </w:t>
      </w:r>
      <w:r w:rsidRPr="00BB6220">
        <w:t>discussions</w:t>
      </w:r>
      <w:r w:rsidR="003D640C">
        <w:t xml:space="preserve"> </w:t>
      </w:r>
      <w:r w:rsidRPr="00BB6220">
        <w:t>about</w:t>
      </w:r>
      <w:r w:rsidR="003D640C">
        <w:t xml:space="preserve"> </w:t>
      </w:r>
      <w:r w:rsidRPr="00BB6220">
        <w:t>diverse</w:t>
      </w:r>
      <w:r w:rsidR="003D640C">
        <w:t xml:space="preserve"> </w:t>
      </w:r>
      <w:r w:rsidRPr="00BB6220">
        <w:t>gender</w:t>
      </w:r>
      <w:r w:rsidR="003D640C">
        <w:t xml:space="preserve"> </w:t>
      </w:r>
      <w:r w:rsidRPr="00BB6220">
        <w:t>and</w:t>
      </w:r>
      <w:r w:rsidR="003D640C">
        <w:t xml:space="preserve"> </w:t>
      </w:r>
      <w:r w:rsidRPr="00BB6220">
        <w:t>sexualities.</w:t>
      </w:r>
      <w:r w:rsidR="003D640C">
        <w:t xml:space="preserve"> </w:t>
      </w:r>
      <w:r w:rsidR="00133F8F">
        <w:t>I</w:t>
      </w:r>
      <w:r w:rsidRPr="00BB6220">
        <w:t>n</w:t>
      </w:r>
      <w:r w:rsidR="003D640C">
        <w:t xml:space="preserve"> </w:t>
      </w:r>
      <w:r w:rsidRPr="00BB6220">
        <w:t>the</w:t>
      </w:r>
      <w:r w:rsidR="003D640C">
        <w:t xml:space="preserve"> </w:t>
      </w:r>
      <w:r w:rsidRPr="00BB6220">
        <w:t>context</w:t>
      </w:r>
      <w:r w:rsidR="003D640C">
        <w:t xml:space="preserve"> </w:t>
      </w:r>
      <w:r w:rsidRPr="00BB6220">
        <w:t>of</w:t>
      </w:r>
      <w:r w:rsidR="003D640C">
        <w:t xml:space="preserve"> </w:t>
      </w:r>
      <w:r w:rsidRPr="00BB6220">
        <w:t>faith</w:t>
      </w:r>
      <w:r w:rsidR="003D640C">
        <w:t xml:space="preserve"> </w:t>
      </w:r>
      <w:r w:rsidRPr="00BB6220">
        <w:t>communities,</w:t>
      </w:r>
      <w:r w:rsidR="003D640C">
        <w:t xml:space="preserve"> </w:t>
      </w:r>
      <w:r w:rsidR="00133F8F">
        <w:t>o</w:t>
      </w:r>
      <w:r w:rsidR="00133F8F" w:rsidRPr="00BB6220">
        <w:t>ne</w:t>
      </w:r>
      <w:r w:rsidR="003D640C">
        <w:t xml:space="preserve"> </w:t>
      </w:r>
      <w:r w:rsidR="00133F8F" w:rsidRPr="00BB6220">
        <w:t>survivor</w:t>
      </w:r>
      <w:r w:rsidR="003D640C">
        <w:t xml:space="preserve"> </w:t>
      </w:r>
      <w:r w:rsidR="00133F8F" w:rsidRPr="00BB6220">
        <w:t>explains,</w:t>
      </w:r>
      <w:r w:rsidR="003D640C">
        <w:t xml:space="preserve"> </w:t>
      </w:r>
      <w:r w:rsidRPr="00BB6220">
        <w:t>“</w:t>
      </w:r>
      <w:r w:rsidR="001E4347">
        <w:t>U</w:t>
      </w:r>
      <w:r w:rsidRPr="00BB6220">
        <w:t>nless</w:t>
      </w:r>
      <w:r w:rsidR="003D640C">
        <w:t xml:space="preserve"> </w:t>
      </w:r>
      <w:r w:rsidRPr="00BB6220">
        <w:t>we</w:t>
      </w:r>
      <w:r w:rsidR="003D640C">
        <w:t xml:space="preserve"> </w:t>
      </w:r>
      <w:r w:rsidRPr="00BB6220">
        <w:t>provide</w:t>
      </w:r>
      <w:r w:rsidR="003D640C">
        <w:t xml:space="preserve"> </w:t>
      </w:r>
      <w:r w:rsidRPr="00BB6220">
        <w:t>an</w:t>
      </w:r>
      <w:r w:rsidR="003D640C">
        <w:t xml:space="preserve"> </w:t>
      </w:r>
      <w:r w:rsidRPr="00BB6220">
        <w:t>alternative</w:t>
      </w:r>
      <w:r w:rsidR="003D640C">
        <w:t xml:space="preserve"> </w:t>
      </w:r>
      <w:r w:rsidRPr="00BB6220">
        <w:t>narrative</w:t>
      </w:r>
      <w:r w:rsidR="003D640C">
        <w:t xml:space="preserve"> </w:t>
      </w:r>
      <w:r w:rsidRPr="00BB6220">
        <w:t>to</w:t>
      </w:r>
      <w:r w:rsidR="003D640C">
        <w:t xml:space="preserve"> </w:t>
      </w:r>
      <w:r w:rsidRPr="00BB6220">
        <w:t>conversion</w:t>
      </w:r>
      <w:r w:rsidR="003D640C">
        <w:t xml:space="preserve"> </w:t>
      </w:r>
      <w:r w:rsidRPr="00BB6220">
        <w:t>practices</w:t>
      </w:r>
      <w:r w:rsidR="003D640C">
        <w:t xml:space="preserve"> </w:t>
      </w:r>
      <w:r w:rsidRPr="00BB6220">
        <w:t>that</w:t>
      </w:r>
      <w:r w:rsidR="003D640C">
        <w:t xml:space="preserve"> </w:t>
      </w:r>
      <w:r w:rsidRPr="00BB6220">
        <w:t>can</w:t>
      </w:r>
      <w:r w:rsidR="003D640C">
        <w:t xml:space="preserve"> </w:t>
      </w:r>
      <w:r w:rsidRPr="00BB6220">
        <w:t>be</w:t>
      </w:r>
      <w:r w:rsidR="003D640C">
        <w:t xml:space="preserve"> </w:t>
      </w:r>
      <w:r w:rsidRPr="00BB6220">
        <w:t>backed</w:t>
      </w:r>
      <w:r w:rsidR="003D640C">
        <w:t xml:space="preserve"> </w:t>
      </w:r>
      <w:r w:rsidRPr="00BB6220">
        <w:t>by</w:t>
      </w:r>
      <w:r w:rsidR="003D640C">
        <w:t xml:space="preserve"> </w:t>
      </w:r>
      <w:r w:rsidRPr="00BB6220">
        <w:t>the</w:t>
      </w:r>
      <w:r w:rsidR="003D640C">
        <w:t xml:space="preserve"> </w:t>
      </w:r>
      <w:r w:rsidRPr="00BB6220">
        <w:t>church,</w:t>
      </w:r>
      <w:r w:rsidR="003D640C">
        <w:t xml:space="preserve"> </w:t>
      </w:r>
      <w:r w:rsidRPr="00BB6220">
        <w:t>there</w:t>
      </w:r>
      <w:r w:rsidR="003D640C">
        <w:t xml:space="preserve"> </w:t>
      </w:r>
      <w:r w:rsidRPr="00BB6220">
        <w:t>is</w:t>
      </w:r>
      <w:r w:rsidR="003D640C">
        <w:t xml:space="preserve"> </w:t>
      </w:r>
      <w:r w:rsidRPr="00BB6220">
        <w:t>no</w:t>
      </w:r>
      <w:r w:rsidR="003D640C">
        <w:t xml:space="preserve"> </w:t>
      </w:r>
      <w:r w:rsidRPr="00BB6220">
        <w:t>way</w:t>
      </w:r>
      <w:r w:rsidR="003D640C">
        <w:t xml:space="preserve"> </w:t>
      </w:r>
      <w:r w:rsidRPr="00BB6220">
        <w:t>this</w:t>
      </w:r>
      <w:r w:rsidR="003D640C">
        <w:t xml:space="preserve"> </w:t>
      </w:r>
      <w:r w:rsidRPr="00BB6220">
        <w:t>is</w:t>
      </w:r>
      <w:r w:rsidR="003D640C">
        <w:t xml:space="preserve"> </w:t>
      </w:r>
      <w:r w:rsidRPr="00BB6220">
        <w:t>not</w:t>
      </w:r>
      <w:r w:rsidR="003D640C">
        <w:t xml:space="preserve"> </w:t>
      </w:r>
      <w:r w:rsidRPr="00BB6220">
        <w:t>going</w:t>
      </w:r>
      <w:r w:rsidR="003D640C">
        <w:t xml:space="preserve"> </w:t>
      </w:r>
      <w:r w:rsidRPr="00BB6220">
        <w:t>to</w:t>
      </w:r>
      <w:r w:rsidR="003D640C">
        <w:t xml:space="preserve"> </w:t>
      </w:r>
      <w:r w:rsidRPr="00BB6220">
        <w:t>carry</w:t>
      </w:r>
      <w:r w:rsidR="003D640C">
        <w:t xml:space="preserve"> </w:t>
      </w:r>
      <w:r w:rsidRPr="00BB6220">
        <w:t>on.</w:t>
      </w:r>
      <w:r w:rsidR="003D640C">
        <w:t xml:space="preserve"> </w:t>
      </w:r>
      <w:r w:rsidRPr="00BB6220">
        <w:t>It’s</w:t>
      </w:r>
      <w:r w:rsidR="003D640C">
        <w:t xml:space="preserve"> </w:t>
      </w:r>
      <w:r w:rsidRPr="00BB6220">
        <w:t>going</w:t>
      </w:r>
      <w:r w:rsidR="003D640C">
        <w:t xml:space="preserve"> </w:t>
      </w:r>
      <w:r w:rsidRPr="00BB6220">
        <w:t>to</w:t>
      </w:r>
      <w:r w:rsidR="003D640C">
        <w:t xml:space="preserve"> </w:t>
      </w:r>
      <w:r w:rsidRPr="00BB6220">
        <w:t>be</w:t>
      </w:r>
      <w:r w:rsidR="003D640C">
        <w:t xml:space="preserve"> </w:t>
      </w:r>
      <w:r w:rsidRPr="00BB6220">
        <w:t>pushed</w:t>
      </w:r>
      <w:r w:rsidR="003D640C">
        <w:t xml:space="preserve"> </w:t>
      </w:r>
      <w:r w:rsidRPr="00BB6220">
        <w:t>underground</w:t>
      </w:r>
      <w:r w:rsidR="00A37A04">
        <w:t>.</w:t>
      </w:r>
      <w:r w:rsidRPr="00BB6220">
        <w:t>”</w:t>
      </w:r>
    </w:p>
    <w:p w14:paraId="05441A6F" w14:textId="590FEEC3" w:rsidR="00CF4A69" w:rsidRPr="00BB6220" w:rsidRDefault="00CF4A69" w:rsidP="00B51F0B">
      <w:pPr>
        <w:pStyle w:val="Bullet"/>
        <w:rPr>
          <w:lang w:eastAsia="en-NZ"/>
        </w:rPr>
      </w:pPr>
      <w:r w:rsidRPr="00BB6220">
        <w:rPr>
          <w:b/>
          <w:lang w:eastAsia="en-NZ"/>
        </w:rPr>
        <w:t>Provide</w:t>
      </w:r>
      <w:r w:rsidR="003D640C">
        <w:rPr>
          <w:b/>
          <w:lang w:eastAsia="en-NZ"/>
        </w:rPr>
        <w:t xml:space="preserve"> </w:t>
      </w:r>
      <w:r w:rsidR="002D1DD6" w:rsidRPr="00B1465F">
        <w:rPr>
          <w:b/>
          <w:bCs/>
          <w:lang w:eastAsia="en-NZ"/>
        </w:rPr>
        <w:t>Rainbow</w:t>
      </w:r>
      <w:r w:rsidR="00133F8F">
        <w:rPr>
          <w:lang w:eastAsia="en-NZ"/>
        </w:rPr>
        <w:t>-</w:t>
      </w:r>
      <w:r w:rsidRPr="00BB6220">
        <w:rPr>
          <w:b/>
          <w:lang w:eastAsia="en-NZ"/>
        </w:rPr>
        <w:t>affirming</w:t>
      </w:r>
      <w:r w:rsidR="003D640C">
        <w:rPr>
          <w:b/>
          <w:lang w:eastAsia="en-NZ"/>
        </w:rPr>
        <w:t xml:space="preserve"> </w:t>
      </w:r>
      <w:r w:rsidRPr="00BB6220">
        <w:rPr>
          <w:b/>
          <w:lang w:eastAsia="en-NZ"/>
        </w:rPr>
        <w:t>resources</w:t>
      </w:r>
      <w:r w:rsidR="003D640C">
        <w:rPr>
          <w:b/>
          <w:lang w:eastAsia="en-NZ"/>
        </w:rPr>
        <w:t xml:space="preserve"> </w:t>
      </w:r>
      <w:r w:rsidRPr="00BB6220">
        <w:rPr>
          <w:lang w:eastAsia="en-NZ"/>
        </w:rPr>
        <w:t>to</w:t>
      </w:r>
      <w:r w:rsidR="003D640C">
        <w:rPr>
          <w:lang w:eastAsia="en-NZ"/>
        </w:rPr>
        <w:t xml:space="preserve"> </w:t>
      </w:r>
      <w:r w:rsidRPr="00BB6220">
        <w:rPr>
          <w:lang w:eastAsia="en-NZ"/>
        </w:rPr>
        <w:t>survivors</w:t>
      </w:r>
      <w:r w:rsidR="003D640C">
        <w:rPr>
          <w:lang w:eastAsia="en-NZ"/>
        </w:rPr>
        <w:t xml:space="preserve"> </w:t>
      </w:r>
      <w:r w:rsidRPr="00BB6220">
        <w:rPr>
          <w:lang w:eastAsia="en-NZ"/>
        </w:rPr>
        <w:t>and</w:t>
      </w:r>
      <w:r w:rsidR="003D640C">
        <w:rPr>
          <w:lang w:eastAsia="en-NZ"/>
        </w:rPr>
        <w:t xml:space="preserve"> </w:t>
      </w:r>
      <w:r w:rsidRPr="00BB6220">
        <w:rPr>
          <w:lang w:eastAsia="en-NZ"/>
        </w:rPr>
        <w:t>connect</w:t>
      </w:r>
      <w:r w:rsidR="003D640C">
        <w:rPr>
          <w:lang w:eastAsia="en-NZ"/>
        </w:rPr>
        <w:t xml:space="preserve"> </w:t>
      </w:r>
      <w:r w:rsidRPr="00BB6220">
        <w:rPr>
          <w:lang w:eastAsia="en-NZ"/>
        </w:rPr>
        <w:t>them</w:t>
      </w:r>
      <w:r w:rsidR="003D640C">
        <w:rPr>
          <w:lang w:eastAsia="en-NZ"/>
        </w:rPr>
        <w:t xml:space="preserve"> </w:t>
      </w:r>
      <w:r w:rsidRPr="00BB6220">
        <w:rPr>
          <w:lang w:eastAsia="en-NZ"/>
        </w:rPr>
        <w:t>with</w:t>
      </w:r>
      <w:r w:rsidR="003D640C">
        <w:rPr>
          <w:lang w:eastAsia="en-NZ"/>
        </w:rPr>
        <w:t xml:space="preserve"> </w:t>
      </w:r>
      <w:r w:rsidRPr="00BB6220">
        <w:rPr>
          <w:lang w:eastAsia="en-NZ"/>
        </w:rPr>
        <w:t>organisations</w:t>
      </w:r>
      <w:r w:rsidR="003D640C">
        <w:rPr>
          <w:lang w:eastAsia="en-NZ"/>
        </w:rPr>
        <w:t xml:space="preserve"> </w:t>
      </w:r>
      <w:r w:rsidRPr="00BB6220">
        <w:rPr>
          <w:lang w:eastAsia="en-NZ"/>
        </w:rPr>
        <w:t>that</w:t>
      </w:r>
      <w:r w:rsidR="003D640C">
        <w:rPr>
          <w:lang w:eastAsia="en-NZ"/>
        </w:rPr>
        <w:t xml:space="preserve"> </w:t>
      </w:r>
      <w:r w:rsidRPr="00BB6220">
        <w:rPr>
          <w:lang w:eastAsia="en-NZ"/>
        </w:rPr>
        <w:t>provide</w:t>
      </w:r>
      <w:r w:rsidR="003D640C">
        <w:rPr>
          <w:lang w:eastAsia="en-NZ"/>
        </w:rPr>
        <w:t xml:space="preserve"> </w:t>
      </w:r>
      <w:r w:rsidRPr="00BB6220">
        <w:rPr>
          <w:lang w:eastAsia="en-NZ"/>
        </w:rPr>
        <w:t>support</w:t>
      </w:r>
      <w:r w:rsidR="003D640C">
        <w:rPr>
          <w:lang w:eastAsia="en-NZ"/>
        </w:rPr>
        <w:t xml:space="preserve"> </w:t>
      </w:r>
      <w:r w:rsidRPr="00BB6220">
        <w:rPr>
          <w:lang w:eastAsia="en-NZ"/>
        </w:rPr>
        <w:t>tailored</w:t>
      </w:r>
      <w:r w:rsidR="003D640C">
        <w:rPr>
          <w:lang w:eastAsia="en-NZ"/>
        </w:rPr>
        <w:t xml:space="preserve"> </w:t>
      </w:r>
      <w:r w:rsidRPr="00BB6220">
        <w:rPr>
          <w:lang w:eastAsia="en-NZ"/>
        </w:rPr>
        <w:t>to</w:t>
      </w:r>
      <w:r w:rsidR="003D640C">
        <w:rPr>
          <w:lang w:eastAsia="en-NZ"/>
        </w:rPr>
        <w:t xml:space="preserve"> </w:t>
      </w:r>
      <w:r w:rsidRPr="00BB6220">
        <w:rPr>
          <w:lang w:eastAsia="en-NZ"/>
        </w:rPr>
        <w:t>their</w:t>
      </w:r>
      <w:r w:rsidR="003D640C">
        <w:rPr>
          <w:lang w:eastAsia="en-NZ"/>
        </w:rPr>
        <w:t xml:space="preserve"> </w:t>
      </w:r>
      <w:r w:rsidRPr="00BB6220">
        <w:rPr>
          <w:lang w:eastAsia="en-NZ"/>
        </w:rPr>
        <w:t>needs.</w:t>
      </w:r>
      <w:r w:rsidR="003D640C">
        <w:rPr>
          <w:lang w:eastAsia="en-NZ"/>
        </w:rPr>
        <w:t xml:space="preserve"> </w:t>
      </w:r>
      <w:r w:rsidRPr="00BB6220">
        <w:rPr>
          <w:lang w:eastAsia="en-NZ"/>
        </w:rPr>
        <w:t>Affirming</w:t>
      </w:r>
      <w:r w:rsidR="003D640C">
        <w:rPr>
          <w:lang w:eastAsia="en-NZ"/>
        </w:rPr>
        <w:t xml:space="preserve"> </w:t>
      </w:r>
      <w:r w:rsidRPr="00BB6220">
        <w:rPr>
          <w:lang w:eastAsia="en-NZ"/>
        </w:rPr>
        <w:t>resources</w:t>
      </w:r>
      <w:r w:rsidR="003D640C">
        <w:rPr>
          <w:lang w:eastAsia="en-NZ"/>
        </w:rPr>
        <w:t xml:space="preserve"> </w:t>
      </w:r>
      <w:r w:rsidRPr="00BB6220">
        <w:rPr>
          <w:lang w:eastAsia="en-NZ"/>
        </w:rPr>
        <w:t>help</w:t>
      </w:r>
      <w:r w:rsidR="003D640C">
        <w:rPr>
          <w:lang w:eastAsia="en-NZ"/>
        </w:rPr>
        <w:t xml:space="preserve"> </w:t>
      </w:r>
      <w:r w:rsidRPr="00BB6220">
        <w:rPr>
          <w:lang w:eastAsia="en-NZ"/>
        </w:rPr>
        <w:t>with</w:t>
      </w:r>
      <w:r w:rsidR="003D640C">
        <w:rPr>
          <w:lang w:eastAsia="en-NZ"/>
        </w:rPr>
        <w:t xml:space="preserve"> </w:t>
      </w:r>
      <w:r w:rsidRPr="00BB6220">
        <w:rPr>
          <w:lang w:eastAsia="en-NZ"/>
        </w:rPr>
        <w:t>building</w:t>
      </w:r>
      <w:r w:rsidR="003D640C">
        <w:rPr>
          <w:lang w:eastAsia="en-NZ"/>
        </w:rPr>
        <w:t xml:space="preserve"> </w:t>
      </w:r>
      <w:r w:rsidRPr="00BB6220">
        <w:rPr>
          <w:lang w:eastAsia="en-NZ"/>
        </w:rPr>
        <w:t>self-acceptance,</w:t>
      </w:r>
      <w:r w:rsidR="003D640C">
        <w:rPr>
          <w:lang w:eastAsia="en-NZ"/>
        </w:rPr>
        <w:t xml:space="preserve"> </w:t>
      </w:r>
      <w:r w:rsidRPr="00BB6220">
        <w:rPr>
          <w:lang w:eastAsia="en-NZ"/>
        </w:rPr>
        <w:t>self-esteem,</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affirm</w:t>
      </w:r>
      <w:r w:rsidR="000E098F" w:rsidRPr="00BB6220">
        <w:rPr>
          <w:lang w:eastAsia="en-NZ"/>
        </w:rPr>
        <w:t>ation</w:t>
      </w:r>
      <w:r w:rsidR="003D640C">
        <w:rPr>
          <w:lang w:eastAsia="en-NZ"/>
        </w:rPr>
        <w:t xml:space="preserve"> </w:t>
      </w:r>
      <w:r w:rsidRPr="00BB6220">
        <w:rPr>
          <w:lang w:eastAsia="en-NZ"/>
        </w:rPr>
        <w:t>of</w:t>
      </w:r>
      <w:r w:rsidR="003D640C">
        <w:rPr>
          <w:lang w:eastAsia="en-NZ"/>
        </w:rPr>
        <w:t xml:space="preserve"> </w:t>
      </w:r>
      <w:r w:rsidRPr="00BB6220">
        <w:rPr>
          <w:lang w:eastAsia="en-NZ"/>
        </w:rPr>
        <w:t>true</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6C7815" w:rsidRPr="00BB6220">
        <w:rPr>
          <w:lang w:eastAsia="en-NZ"/>
        </w:rPr>
        <w:t>,</w:t>
      </w:r>
      <w:r w:rsidR="003D640C">
        <w:rPr>
          <w:lang w:eastAsia="en-NZ"/>
        </w:rPr>
        <w:t xml:space="preserve"> </w:t>
      </w:r>
      <w:r w:rsidRPr="00BB6220">
        <w:rPr>
          <w:lang w:eastAsia="en-NZ"/>
        </w:rPr>
        <w:t>gender</w:t>
      </w:r>
      <w:r w:rsidR="003D640C">
        <w:rPr>
          <w:lang w:eastAsia="en-NZ"/>
        </w:rPr>
        <w:t xml:space="preserve"> </w:t>
      </w:r>
      <w:r w:rsidRPr="00BB6220">
        <w:rPr>
          <w:lang w:eastAsia="en-NZ"/>
        </w:rPr>
        <w:t>identit</w:t>
      </w:r>
      <w:r w:rsidR="006C7815" w:rsidRPr="00BB6220">
        <w:rPr>
          <w:lang w:eastAsia="en-NZ"/>
        </w:rPr>
        <w:t>y</w:t>
      </w:r>
      <w:r w:rsidR="29FF3049"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gender</w:t>
      </w:r>
      <w:r w:rsidR="003D640C">
        <w:rPr>
          <w:lang w:eastAsia="en-NZ"/>
        </w:rPr>
        <w:t xml:space="preserve"> </w:t>
      </w:r>
      <w:r w:rsidR="006C7815" w:rsidRPr="00BB6220">
        <w:rPr>
          <w:lang w:eastAsia="en-NZ"/>
        </w:rPr>
        <w:t>expression</w:t>
      </w:r>
      <w:r w:rsidRPr="00BB6220">
        <w:rPr>
          <w:lang w:eastAsia="en-NZ"/>
        </w:rPr>
        <w:t>.</w:t>
      </w:r>
    </w:p>
    <w:p w14:paraId="20B6C3D5" w14:textId="535DD07E" w:rsidR="00CF4A69" w:rsidRPr="00BB6220" w:rsidRDefault="00CF4A69" w:rsidP="00B51F0B">
      <w:pPr>
        <w:pStyle w:val="Bullet"/>
        <w:rPr>
          <w:lang w:eastAsia="en-NZ"/>
        </w:rPr>
      </w:pPr>
      <w:r w:rsidRPr="00BB6220">
        <w:rPr>
          <w:b/>
          <w:bCs/>
          <w:lang w:eastAsia="en-NZ"/>
        </w:rPr>
        <w:t>Suggest</w:t>
      </w:r>
      <w:r w:rsidR="003D640C">
        <w:rPr>
          <w:b/>
          <w:bCs/>
          <w:lang w:eastAsia="en-NZ"/>
        </w:rPr>
        <w:t xml:space="preserve"> </w:t>
      </w:r>
      <w:r w:rsidRPr="00BB6220">
        <w:rPr>
          <w:b/>
          <w:bCs/>
          <w:lang w:eastAsia="en-NZ"/>
        </w:rPr>
        <w:t>mental</w:t>
      </w:r>
      <w:r w:rsidR="003D640C">
        <w:rPr>
          <w:b/>
          <w:bCs/>
          <w:lang w:eastAsia="en-NZ"/>
        </w:rPr>
        <w:t xml:space="preserve"> </w:t>
      </w:r>
      <w:r w:rsidRPr="00BB6220">
        <w:rPr>
          <w:b/>
          <w:bCs/>
          <w:lang w:eastAsia="en-NZ"/>
        </w:rPr>
        <w:t>health</w:t>
      </w:r>
      <w:r w:rsidR="003D640C">
        <w:rPr>
          <w:b/>
          <w:bCs/>
          <w:lang w:eastAsia="en-NZ"/>
        </w:rPr>
        <w:t xml:space="preserve"> </w:t>
      </w:r>
      <w:r w:rsidRPr="00BB6220">
        <w:rPr>
          <w:b/>
          <w:bCs/>
          <w:lang w:eastAsia="en-NZ"/>
        </w:rPr>
        <w:t>support</w:t>
      </w:r>
      <w:r w:rsidR="003D640C">
        <w:rPr>
          <w:lang w:eastAsia="en-NZ"/>
        </w:rPr>
        <w:t xml:space="preserve"> </w:t>
      </w:r>
      <w:r w:rsidRPr="00BB6220">
        <w:rPr>
          <w:lang w:eastAsia="en-NZ"/>
        </w:rPr>
        <w:t>and</w:t>
      </w:r>
      <w:r w:rsidR="003D640C">
        <w:rPr>
          <w:lang w:eastAsia="en-NZ"/>
        </w:rPr>
        <w:t xml:space="preserve"> </w:t>
      </w:r>
      <w:r w:rsidRPr="00BB6220">
        <w:rPr>
          <w:lang w:eastAsia="en-NZ"/>
        </w:rPr>
        <w:t>encourage</w:t>
      </w:r>
      <w:r w:rsidR="003D640C">
        <w:rPr>
          <w:lang w:eastAsia="en-NZ"/>
        </w:rPr>
        <w:t xml:space="preserve"> </w:t>
      </w:r>
      <w:r w:rsidRPr="00BB6220">
        <w:rPr>
          <w:lang w:eastAsia="en-NZ"/>
        </w:rPr>
        <w:t>survivors</w:t>
      </w:r>
      <w:r w:rsidR="003D640C">
        <w:rPr>
          <w:lang w:eastAsia="en-NZ"/>
        </w:rPr>
        <w:t xml:space="preserve"> </w:t>
      </w:r>
      <w:r w:rsidRPr="00BB6220">
        <w:rPr>
          <w:lang w:eastAsia="en-NZ"/>
        </w:rPr>
        <w:t>to</w:t>
      </w:r>
      <w:r w:rsidR="003D640C">
        <w:rPr>
          <w:lang w:eastAsia="en-NZ"/>
        </w:rPr>
        <w:t xml:space="preserve"> </w:t>
      </w:r>
      <w:r w:rsidRPr="00BB6220">
        <w:rPr>
          <w:lang w:eastAsia="en-NZ"/>
        </w:rPr>
        <w:t>seek</w:t>
      </w:r>
      <w:r w:rsidR="003D640C">
        <w:rPr>
          <w:lang w:eastAsia="en-NZ"/>
        </w:rPr>
        <w:t xml:space="preserve"> </w:t>
      </w:r>
      <w:r w:rsidRPr="00BB6220">
        <w:rPr>
          <w:lang w:eastAsia="en-NZ"/>
        </w:rPr>
        <w:t>support</w:t>
      </w:r>
      <w:r w:rsidR="003D640C">
        <w:rPr>
          <w:lang w:eastAsia="en-NZ"/>
        </w:rPr>
        <w:t xml:space="preserve"> </w:t>
      </w:r>
      <w:r w:rsidRPr="00BB6220">
        <w:rPr>
          <w:lang w:eastAsia="en-NZ"/>
        </w:rPr>
        <w:t>from</w:t>
      </w:r>
      <w:r w:rsidR="003D640C">
        <w:rPr>
          <w:lang w:eastAsia="en-NZ"/>
        </w:rPr>
        <w:t xml:space="preserve"> </w:t>
      </w:r>
      <w:r w:rsidRPr="00BB6220">
        <w:rPr>
          <w:lang w:eastAsia="en-NZ"/>
        </w:rPr>
        <w:t>therapists</w:t>
      </w:r>
      <w:r w:rsidR="003D640C">
        <w:rPr>
          <w:lang w:eastAsia="en-NZ"/>
        </w:rPr>
        <w:t xml:space="preserve"> </w:t>
      </w:r>
      <w:r w:rsidRPr="00BB6220">
        <w:rPr>
          <w:lang w:eastAsia="en-NZ"/>
        </w:rPr>
        <w:t>or</w:t>
      </w:r>
      <w:r w:rsidR="003D640C">
        <w:rPr>
          <w:lang w:eastAsia="en-NZ"/>
        </w:rPr>
        <w:t xml:space="preserve"> </w:t>
      </w:r>
      <w:r w:rsidRPr="00BB6220">
        <w:rPr>
          <w:lang w:eastAsia="en-NZ"/>
        </w:rPr>
        <w:t>counsellors</w:t>
      </w:r>
      <w:r w:rsidR="003D640C">
        <w:rPr>
          <w:lang w:eastAsia="en-NZ"/>
        </w:rPr>
        <w:t xml:space="preserve"> </w:t>
      </w:r>
      <w:r w:rsidRPr="00BB6220">
        <w:rPr>
          <w:lang w:eastAsia="en-NZ"/>
        </w:rPr>
        <w:t>experienced</w:t>
      </w:r>
      <w:r w:rsidR="003D640C">
        <w:rPr>
          <w:lang w:eastAsia="en-NZ"/>
        </w:rPr>
        <w:t xml:space="preserve"> </w:t>
      </w:r>
      <w:r w:rsidRPr="00BB6220">
        <w:rPr>
          <w:lang w:eastAsia="en-NZ"/>
        </w:rPr>
        <w:t>in</w:t>
      </w:r>
      <w:r w:rsidR="003D640C">
        <w:rPr>
          <w:lang w:eastAsia="en-NZ"/>
        </w:rPr>
        <w:t xml:space="preserve"> </w:t>
      </w:r>
      <w:r w:rsidR="002D1DD6" w:rsidRPr="00BB6220">
        <w:rPr>
          <w:lang w:eastAsia="en-NZ"/>
        </w:rPr>
        <w:t>Rainbow</w:t>
      </w:r>
      <w:r w:rsidR="003D640C">
        <w:rPr>
          <w:lang w:eastAsia="en-NZ"/>
        </w:rPr>
        <w:t xml:space="preserve"> </w:t>
      </w:r>
      <w:r w:rsidRPr="00BB6220">
        <w:rPr>
          <w:lang w:eastAsia="en-NZ"/>
        </w:rPr>
        <w:t>issues</w:t>
      </w:r>
      <w:r w:rsidR="003D640C">
        <w:rPr>
          <w:lang w:eastAsia="en-NZ"/>
        </w:rPr>
        <w:t xml:space="preserve"> </w:t>
      </w:r>
      <w:r w:rsidRPr="00BB6220">
        <w:rPr>
          <w:lang w:eastAsia="en-NZ"/>
        </w:rPr>
        <w:t>and,</w:t>
      </w:r>
      <w:r w:rsidR="003D640C">
        <w:rPr>
          <w:lang w:eastAsia="en-NZ"/>
        </w:rPr>
        <w:t xml:space="preserve"> </w:t>
      </w:r>
      <w:r w:rsidRPr="00BB6220">
        <w:rPr>
          <w:lang w:eastAsia="en-NZ"/>
        </w:rPr>
        <w:t>ideally,</w:t>
      </w:r>
      <w:r w:rsidR="003D640C">
        <w:rPr>
          <w:lang w:eastAsia="en-NZ"/>
        </w:rPr>
        <w:t xml:space="preserve"> </w:t>
      </w:r>
      <w:r w:rsidRPr="00BB6220">
        <w:rPr>
          <w:lang w:eastAsia="en-NZ"/>
        </w:rPr>
        <w:t>recovery</w:t>
      </w:r>
      <w:r w:rsidR="003D640C">
        <w:rPr>
          <w:lang w:eastAsia="en-NZ"/>
        </w:rPr>
        <w:t xml:space="preserve"> </w:t>
      </w:r>
      <w:r w:rsidRPr="00BB6220">
        <w:rPr>
          <w:lang w:eastAsia="en-NZ"/>
        </w:rPr>
        <w:t>from</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A76857" w:rsidRPr="00BB6220">
        <w:rPr>
          <w:lang w:eastAsia="en-NZ"/>
        </w:rPr>
        <w:t>Therapists</w:t>
      </w:r>
      <w:r w:rsidR="003D640C">
        <w:rPr>
          <w:lang w:eastAsia="en-NZ"/>
        </w:rPr>
        <w:t xml:space="preserve"> </w:t>
      </w:r>
      <w:r w:rsidR="00A76857" w:rsidRPr="00BB6220">
        <w:rPr>
          <w:lang w:eastAsia="en-NZ"/>
        </w:rPr>
        <w:t>who</w:t>
      </w:r>
      <w:r w:rsidR="003D640C">
        <w:rPr>
          <w:lang w:eastAsia="en-NZ"/>
        </w:rPr>
        <w:t xml:space="preserve"> </w:t>
      </w:r>
      <w:r w:rsidR="00A76857" w:rsidRPr="00BB6220">
        <w:rPr>
          <w:lang w:eastAsia="en-NZ"/>
        </w:rPr>
        <w:t>are</w:t>
      </w:r>
      <w:r w:rsidR="003D640C">
        <w:rPr>
          <w:lang w:eastAsia="en-NZ"/>
        </w:rPr>
        <w:t xml:space="preserve"> </w:t>
      </w:r>
      <w:r w:rsidR="00A76857" w:rsidRPr="00BB6220">
        <w:rPr>
          <w:lang w:eastAsia="en-NZ"/>
        </w:rPr>
        <w:t>part</w:t>
      </w:r>
      <w:r w:rsidR="003D640C">
        <w:rPr>
          <w:lang w:eastAsia="en-NZ"/>
        </w:rPr>
        <w:t xml:space="preserve"> </w:t>
      </w:r>
      <w:r w:rsidR="00A76857" w:rsidRPr="00BB6220">
        <w:rPr>
          <w:lang w:eastAsia="en-NZ"/>
        </w:rPr>
        <w:t>of</w:t>
      </w:r>
      <w:r w:rsidR="003D640C">
        <w:rPr>
          <w:lang w:eastAsia="en-NZ"/>
        </w:rPr>
        <w:t xml:space="preserve"> </w:t>
      </w:r>
      <w:r w:rsidR="00A76857" w:rsidRPr="00BB6220">
        <w:rPr>
          <w:lang w:eastAsia="en-NZ"/>
        </w:rPr>
        <w:t>the</w:t>
      </w:r>
      <w:r w:rsidR="003D640C">
        <w:rPr>
          <w:lang w:eastAsia="en-NZ"/>
        </w:rPr>
        <w:t xml:space="preserve"> </w:t>
      </w:r>
      <w:r w:rsidR="002D1DD6" w:rsidRPr="00BB6220">
        <w:rPr>
          <w:lang w:eastAsia="en-NZ"/>
        </w:rPr>
        <w:t>Rainbow</w:t>
      </w:r>
      <w:r w:rsidR="003D640C">
        <w:rPr>
          <w:lang w:eastAsia="en-NZ"/>
        </w:rPr>
        <w:t xml:space="preserve"> </w:t>
      </w:r>
      <w:r w:rsidR="00A76857" w:rsidRPr="00BB6220">
        <w:rPr>
          <w:lang w:eastAsia="en-NZ"/>
        </w:rPr>
        <w:t>community</w:t>
      </w:r>
      <w:r w:rsidR="003D640C">
        <w:rPr>
          <w:lang w:eastAsia="en-NZ"/>
        </w:rPr>
        <w:t xml:space="preserve"> </w:t>
      </w:r>
      <w:r w:rsidR="00A76857" w:rsidRPr="00BB6220">
        <w:rPr>
          <w:lang w:eastAsia="en-NZ"/>
        </w:rPr>
        <w:t>can</w:t>
      </w:r>
      <w:r w:rsidR="003D640C">
        <w:rPr>
          <w:lang w:eastAsia="en-NZ"/>
        </w:rPr>
        <w:t xml:space="preserve"> </w:t>
      </w:r>
      <w:r w:rsidR="00A76857" w:rsidRPr="00BB6220">
        <w:rPr>
          <w:lang w:eastAsia="en-NZ"/>
        </w:rPr>
        <w:t>be</w:t>
      </w:r>
      <w:r w:rsidR="003D640C">
        <w:rPr>
          <w:lang w:eastAsia="en-NZ"/>
        </w:rPr>
        <w:t xml:space="preserve"> </w:t>
      </w:r>
      <w:r w:rsidR="00A76857" w:rsidRPr="00BB6220">
        <w:rPr>
          <w:lang w:eastAsia="en-NZ"/>
        </w:rPr>
        <w:t>best</w:t>
      </w:r>
      <w:r w:rsidR="003D640C">
        <w:rPr>
          <w:lang w:eastAsia="en-NZ"/>
        </w:rPr>
        <w:t xml:space="preserve"> </w:t>
      </w:r>
      <w:r w:rsidR="00A76857" w:rsidRPr="00BB6220">
        <w:rPr>
          <w:lang w:eastAsia="en-NZ"/>
        </w:rPr>
        <w:t>placed</w:t>
      </w:r>
      <w:r w:rsidR="003D640C">
        <w:rPr>
          <w:lang w:eastAsia="en-NZ"/>
        </w:rPr>
        <w:t xml:space="preserve"> </w:t>
      </w:r>
      <w:r w:rsidR="00A76857" w:rsidRPr="00BB6220">
        <w:rPr>
          <w:lang w:eastAsia="en-NZ"/>
        </w:rPr>
        <w:t>to</w:t>
      </w:r>
      <w:r w:rsidR="003D640C">
        <w:rPr>
          <w:lang w:eastAsia="en-NZ"/>
        </w:rPr>
        <w:t xml:space="preserve"> </w:t>
      </w:r>
      <w:r w:rsidR="00A76857" w:rsidRPr="00BB6220">
        <w:rPr>
          <w:lang w:eastAsia="en-NZ"/>
        </w:rPr>
        <w:t>provide</w:t>
      </w:r>
      <w:r w:rsidR="003D640C">
        <w:rPr>
          <w:lang w:eastAsia="en-NZ"/>
        </w:rPr>
        <w:t xml:space="preserve"> </w:t>
      </w:r>
      <w:r w:rsidR="00A76857" w:rsidRPr="00BB6220">
        <w:rPr>
          <w:lang w:eastAsia="en-NZ"/>
        </w:rPr>
        <w:t>safe</w:t>
      </w:r>
      <w:r w:rsidR="003D640C">
        <w:rPr>
          <w:lang w:eastAsia="en-NZ"/>
        </w:rPr>
        <w:t xml:space="preserve"> </w:t>
      </w:r>
      <w:r w:rsidR="00A76857" w:rsidRPr="00BB6220">
        <w:rPr>
          <w:lang w:eastAsia="en-NZ"/>
        </w:rPr>
        <w:t>support.</w:t>
      </w:r>
      <w:r w:rsidR="003D640C">
        <w:rPr>
          <w:lang w:eastAsia="en-NZ"/>
        </w:rPr>
        <w:t xml:space="preserve"> </w:t>
      </w:r>
      <w:r w:rsidRPr="00BB6220">
        <w:rPr>
          <w:lang w:eastAsia="en-NZ"/>
        </w:rPr>
        <w:t>T</w:t>
      </w:r>
      <w:r w:rsidR="006C7815" w:rsidRPr="00BB6220">
        <w:rPr>
          <w:lang w:eastAsia="en-NZ"/>
        </w:rPr>
        <w:t>he</w:t>
      </w:r>
      <w:r w:rsidR="003D640C">
        <w:rPr>
          <w:lang w:eastAsia="en-NZ"/>
        </w:rPr>
        <w:t xml:space="preserve"> </w:t>
      </w:r>
      <w:r w:rsidR="00A76857" w:rsidRPr="00BB6220">
        <w:rPr>
          <w:lang w:eastAsia="en-NZ"/>
        </w:rPr>
        <w:t>therapist’s</w:t>
      </w:r>
      <w:r w:rsidR="003D640C">
        <w:rPr>
          <w:lang w:eastAsia="en-NZ"/>
        </w:rPr>
        <w:t xml:space="preserve"> </w:t>
      </w:r>
      <w:r w:rsidR="006C7815" w:rsidRPr="00BB6220">
        <w:rPr>
          <w:lang w:eastAsia="en-NZ"/>
        </w:rPr>
        <w:t>role</w:t>
      </w:r>
      <w:r w:rsidR="003D640C">
        <w:rPr>
          <w:lang w:eastAsia="en-NZ"/>
        </w:rPr>
        <w:t xml:space="preserve"> </w:t>
      </w:r>
      <w:r w:rsidR="00477ECC">
        <w:rPr>
          <w:lang w:eastAsia="en-NZ"/>
        </w:rPr>
        <w:t>is critical in</w:t>
      </w:r>
      <w:r w:rsidR="003D640C">
        <w:rPr>
          <w:lang w:eastAsia="en-NZ"/>
        </w:rPr>
        <w:t xml:space="preserve"> </w:t>
      </w:r>
      <w:r w:rsidRPr="00BB6220">
        <w:rPr>
          <w:lang w:eastAsia="en-NZ"/>
        </w:rPr>
        <w:t>provid</w:t>
      </w:r>
      <w:r w:rsidR="00477ECC">
        <w:rPr>
          <w:lang w:eastAsia="en-NZ"/>
        </w:rPr>
        <w:t>ing</w:t>
      </w:r>
      <w:r w:rsidR="003D640C">
        <w:rPr>
          <w:lang w:eastAsia="en-NZ"/>
        </w:rPr>
        <w:t xml:space="preserve"> </w:t>
      </w:r>
      <w:r w:rsidRPr="00BB6220">
        <w:rPr>
          <w:lang w:eastAsia="en-NZ"/>
        </w:rPr>
        <w:t>a</w:t>
      </w:r>
      <w:r w:rsidR="003D640C">
        <w:rPr>
          <w:lang w:eastAsia="en-NZ"/>
        </w:rPr>
        <w:t xml:space="preserve"> </w:t>
      </w:r>
      <w:r w:rsidRPr="00BB6220">
        <w:rPr>
          <w:lang w:eastAsia="en-NZ"/>
        </w:rPr>
        <w:t>safe</w:t>
      </w:r>
      <w:r w:rsidR="003D640C">
        <w:rPr>
          <w:lang w:eastAsia="en-NZ"/>
        </w:rPr>
        <w:t xml:space="preserve"> </w:t>
      </w:r>
      <w:r w:rsidRPr="00BB6220">
        <w:rPr>
          <w:lang w:eastAsia="en-NZ"/>
        </w:rPr>
        <w:t>and</w:t>
      </w:r>
      <w:r w:rsidR="003D640C">
        <w:rPr>
          <w:lang w:eastAsia="en-NZ"/>
        </w:rPr>
        <w:t xml:space="preserve"> </w:t>
      </w:r>
      <w:r w:rsidRPr="00BB6220">
        <w:rPr>
          <w:lang w:eastAsia="en-NZ"/>
        </w:rPr>
        <w:t>confidential</w:t>
      </w:r>
      <w:r w:rsidR="003D640C">
        <w:rPr>
          <w:lang w:eastAsia="en-NZ"/>
        </w:rPr>
        <w:t xml:space="preserve"> </w:t>
      </w:r>
      <w:r w:rsidRPr="00BB6220">
        <w:rPr>
          <w:lang w:eastAsia="en-NZ"/>
        </w:rPr>
        <w:t>environment</w:t>
      </w:r>
      <w:r w:rsidR="003D640C">
        <w:rPr>
          <w:lang w:eastAsia="en-NZ"/>
        </w:rPr>
        <w:t xml:space="preserve"> </w:t>
      </w:r>
      <w:r w:rsidRPr="00BB6220">
        <w:rPr>
          <w:lang w:eastAsia="en-NZ"/>
        </w:rPr>
        <w:t>where</w:t>
      </w:r>
      <w:r w:rsidR="003D640C">
        <w:rPr>
          <w:lang w:eastAsia="en-NZ"/>
        </w:rPr>
        <w:t xml:space="preserve"> </w:t>
      </w:r>
      <w:r w:rsidRPr="00BB6220">
        <w:rPr>
          <w:lang w:eastAsia="en-NZ"/>
        </w:rPr>
        <w:t>survivors</w:t>
      </w:r>
      <w:r w:rsidR="003D640C">
        <w:rPr>
          <w:lang w:eastAsia="en-NZ"/>
        </w:rPr>
        <w:t xml:space="preserve"> </w:t>
      </w:r>
      <w:r w:rsidRPr="00BB6220">
        <w:rPr>
          <w:lang w:eastAsia="en-NZ"/>
        </w:rPr>
        <w:t>can</w:t>
      </w:r>
      <w:r w:rsidR="003D640C">
        <w:rPr>
          <w:lang w:eastAsia="en-NZ"/>
        </w:rPr>
        <w:t xml:space="preserve"> </w:t>
      </w:r>
      <w:r w:rsidRPr="00BB6220">
        <w:rPr>
          <w:lang w:eastAsia="en-NZ"/>
        </w:rPr>
        <w:t>process</w:t>
      </w:r>
      <w:r w:rsidR="003D640C">
        <w:rPr>
          <w:lang w:eastAsia="en-NZ"/>
        </w:rPr>
        <w:t xml:space="preserve"> </w:t>
      </w:r>
      <w:r w:rsidRPr="00BB6220">
        <w:rPr>
          <w:lang w:eastAsia="en-NZ"/>
        </w:rPr>
        <w:t>their</w:t>
      </w:r>
      <w:r w:rsidR="003D640C">
        <w:rPr>
          <w:lang w:eastAsia="en-NZ"/>
        </w:rPr>
        <w:t xml:space="preserve"> </w:t>
      </w:r>
      <w:r w:rsidRPr="00BB6220">
        <w:rPr>
          <w:lang w:eastAsia="en-NZ"/>
        </w:rPr>
        <w:t>emotions,</w:t>
      </w:r>
      <w:r w:rsidR="003D640C">
        <w:rPr>
          <w:lang w:eastAsia="en-NZ"/>
        </w:rPr>
        <w:t xml:space="preserve"> </w:t>
      </w:r>
      <w:r w:rsidRPr="00BB6220">
        <w:rPr>
          <w:lang w:eastAsia="en-NZ"/>
        </w:rPr>
        <w:t>address</w:t>
      </w:r>
      <w:r w:rsidR="003D640C">
        <w:rPr>
          <w:lang w:eastAsia="en-NZ"/>
        </w:rPr>
        <w:t xml:space="preserve"> </w:t>
      </w:r>
      <w:r w:rsidRPr="00BB6220">
        <w:rPr>
          <w:lang w:eastAsia="en-NZ"/>
        </w:rPr>
        <w:t>trauma,</w:t>
      </w:r>
      <w:r w:rsidR="003D640C">
        <w:rPr>
          <w:lang w:eastAsia="en-NZ"/>
        </w:rPr>
        <w:t xml:space="preserve"> </w:t>
      </w:r>
      <w:r w:rsidRPr="00BB6220">
        <w:rPr>
          <w:lang w:eastAsia="en-NZ"/>
        </w:rPr>
        <w:t>and</w:t>
      </w:r>
      <w:r w:rsidR="003D640C">
        <w:rPr>
          <w:lang w:eastAsia="en-NZ"/>
        </w:rPr>
        <w:t xml:space="preserve"> </w:t>
      </w:r>
      <w:r w:rsidRPr="00BB6220">
        <w:rPr>
          <w:lang w:eastAsia="en-NZ"/>
        </w:rPr>
        <w:t>develop</w:t>
      </w:r>
      <w:r w:rsidR="003D640C">
        <w:rPr>
          <w:lang w:eastAsia="en-NZ"/>
        </w:rPr>
        <w:t xml:space="preserve"> </w:t>
      </w:r>
      <w:r w:rsidRPr="00BB6220">
        <w:rPr>
          <w:lang w:eastAsia="en-NZ"/>
        </w:rPr>
        <w:t>coping</w:t>
      </w:r>
      <w:r w:rsidR="003D640C">
        <w:rPr>
          <w:lang w:eastAsia="en-NZ"/>
        </w:rPr>
        <w:t xml:space="preserve"> </w:t>
      </w:r>
      <w:r w:rsidRPr="00BB6220">
        <w:rPr>
          <w:lang w:eastAsia="en-NZ"/>
        </w:rPr>
        <w:t>strategies.</w:t>
      </w:r>
    </w:p>
    <w:p w14:paraId="5939480C" w14:textId="77777777" w:rsidR="00501068" w:rsidRDefault="00CF4A69" w:rsidP="00B51F0B">
      <w:pPr>
        <w:pStyle w:val="Bullet"/>
        <w:rPr>
          <w:lang w:eastAsia="en-NZ"/>
        </w:rPr>
      </w:pPr>
      <w:r w:rsidRPr="00BB6220">
        <w:rPr>
          <w:b/>
          <w:bCs/>
          <w:lang w:eastAsia="en-NZ"/>
        </w:rPr>
        <w:t>Educate</w:t>
      </w:r>
      <w:r w:rsidR="003D640C">
        <w:rPr>
          <w:b/>
          <w:bCs/>
          <w:lang w:eastAsia="en-NZ"/>
        </w:rPr>
        <w:t xml:space="preserve"> </w:t>
      </w:r>
      <w:r w:rsidRPr="00BB6220">
        <w:rPr>
          <w:b/>
          <w:bCs/>
          <w:lang w:eastAsia="en-NZ"/>
        </w:rPr>
        <w:t>and</w:t>
      </w:r>
      <w:r w:rsidR="003D640C">
        <w:rPr>
          <w:b/>
          <w:bCs/>
          <w:lang w:eastAsia="en-NZ"/>
        </w:rPr>
        <w:t xml:space="preserve"> </w:t>
      </w:r>
      <w:r w:rsidRPr="00BB6220">
        <w:rPr>
          <w:b/>
          <w:bCs/>
          <w:lang w:eastAsia="en-NZ"/>
        </w:rPr>
        <w:t>advocate</w:t>
      </w:r>
      <w:r w:rsidR="003D640C">
        <w:rPr>
          <w:lang w:eastAsia="en-NZ"/>
        </w:rPr>
        <w:t xml:space="preserve"> </w:t>
      </w:r>
      <w:r w:rsidRPr="00BB6220">
        <w:rPr>
          <w:lang w:eastAsia="en-NZ"/>
        </w:rPr>
        <w:t>about</w:t>
      </w:r>
      <w:r w:rsidR="003D640C">
        <w:rPr>
          <w:lang w:eastAsia="en-NZ"/>
        </w:rPr>
        <w:t xml:space="preserve"> </w:t>
      </w:r>
      <w:r w:rsidRPr="00BB6220">
        <w:rPr>
          <w:lang w:eastAsia="en-NZ"/>
        </w:rPr>
        <w:t>the</w:t>
      </w:r>
      <w:r w:rsidR="003D640C">
        <w:rPr>
          <w:lang w:eastAsia="en-NZ"/>
        </w:rPr>
        <w:t xml:space="preserve"> </w:t>
      </w:r>
      <w:r w:rsidRPr="00BB6220">
        <w:rPr>
          <w:lang w:eastAsia="en-NZ"/>
        </w:rPr>
        <w:t>harms</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Support</w:t>
      </w:r>
      <w:r w:rsidR="003D640C">
        <w:rPr>
          <w:lang w:eastAsia="en-NZ"/>
        </w:rPr>
        <w:t xml:space="preserve"> </w:t>
      </w:r>
      <w:r w:rsidRPr="00BB6220">
        <w:rPr>
          <w:lang w:eastAsia="en-NZ"/>
        </w:rPr>
        <w:t>inclusive</w:t>
      </w:r>
      <w:r w:rsidR="003D640C">
        <w:rPr>
          <w:lang w:eastAsia="en-NZ"/>
        </w:rPr>
        <w:t xml:space="preserve"> </w:t>
      </w:r>
      <w:r w:rsidRPr="00BB6220">
        <w:rPr>
          <w:lang w:eastAsia="en-NZ"/>
        </w:rPr>
        <w:t>events</w:t>
      </w:r>
      <w:r w:rsidR="003D640C">
        <w:rPr>
          <w:lang w:eastAsia="en-NZ"/>
        </w:rPr>
        <w:t xml:space="preserve"> </w:t>
      </w:r>
      <w:r w:rsidRPr="00BB6220">
        <w:rPr>
          <w:lang w:eastAsia="en-NZ"/>
        </w:rPr>
        <w:t>and</w:t>
      </w:r>
      <w:r w:rsidR="003D640C">
        <w:rPr>
          <w:lang w:eastAsia="en-NZ"/>
        </w:rPr>
        <w:t xml:space="preserve"> </w:t>
      </w:r>
      <w:r w:rsidRPr="00BB6220">
        <w:rPr>
          <w:lang w:eastAsia="en-NZ"/>
        </w:rPr>
        <w:t>initiatives</w:t>
      </w:r>
      <w:r w:rsidR="003D640C">
        <w:rPr>
          <w:lang w:eastAsia="en-NZ"/>
        </w:rPr>
        <w:t xml:space="preserve"> </w:t>
      </w:r>
      <w:r w:rsidRPr="00BB6220">
        <w:rPr>
          <w:lang w:eastAsia="en-NZ"/>
        </w:rPr>
        <w:t>and</w:t>
      </w:r>
      <w:r w:rsidR="003D640C">
        <w:rPr>
          <w:lang w:eastAsia="en-NZ"/>
        </w:rPr>
        <w:t xml:space="preserve"> </w:t>
      </w:r>
      <w:r w:rsidRPr="00BB6220">
        <w:rPr>
          <w:lang w:eastAsia="en-NZ"/>
        </w:rPr>
        <w:t>advocate</w:t>
      </w:r>
      <w:r w:rsidR="003D640C">
        <w:rPr>
          <w:lang w:eastAsia="en-NZ"/>
        </w:rPr>
        <w:t xml:space="preserve"> </w:t>
      </w:r>
      <w:r w:rsidRPr="00BB6220">
        <w:rPr>
          <w:lang w:eastAsia="en-NZ"/>
        </w:rPr>
        <w:t>for</w:t>
      </w:r>
      <w:r w:rsidR="003D640C">
        <w:rPr>
          <w:lang w:eastAsia="en-NZ"/>
        </w:rPr>
        <w:t xml:space="preserve"> </w:t>
      </w:r>
      <w:r w:rsidRPr="00BB6220">
        <w:rPr>
          <w:lang w:eastAsia="en-NZ"/>
        </w:rPr>
        <w:t>inclusive</w:t>
      </w:r>
      <w:r w:rsidR="003D640C">
        <w:rPr>
          <w:lang w:eastAsia="en-NZ"/>
        </w:rPr>
        <w:t xml:space="preserve"> </w:t>
      </w:r>
      <w:r w:rsidRPr="00BB6220">
        <w:rPr>
          <w:lang w:eastAsia="en-NZ"/>
        </w:rPr>
        <w:t>and</w:t>
      </w:r>
      <w:r w:rsidR="003D640C">
        <w:rPr>
          <w:lang w:eastAsia="en-NZ"/>
        </w:rPr>
        <w:t xml:space="preserve"> </w:t>
      </w:r>
      <w:r w:rsidRPr="00BB6220">
        <w:rPr>
          <w:lang w:eastAsia="en-NZ"/>
        </w:rPr>
        <w:t>affirming</w:t>
      </w:r>
      <w:r w:rsidR="003D640C">
        <w:rPr>
          <w:lang w:eastAsia="en-NZ"/>
        </w:rPr>
        <w:t xml:space="preserve"> </w:t>
      </w:r>
      <w:r w:rsidRPr="00BB6220">
        <w:rPr>
          <w:lang w:eastAsia="en-NZ"/>
        </w:rPr>
        <w:t>policies</w:t>
      </w:r>
      <w:r w:rsidR="003D640C">
        <w:rPr>
          <w:lang w:eastAsia="en-NZ"/>
        </w:rPr>
        <w:t xml:space="preserve"> </w:t>
      </w:r>
      <w:r w:rsidRPr="00BB6220">
        <w:rPr>
          <w:lang w:eastAsia="en-NZ"/>
        </w:rPr>
        <w:t>that</w:t>
      </w:r>
      <w:r w:rsidR="003D640C">
        <w:rPr>
          <w:lang w:eastAsia="en-NZ"/>
        </w:rPr>
        <w:t xml:space="preserve"> </w:t>
      </w:r>
      <w:r w:rsidRPr="00BB6220">
        <w:rPr>
          <w:lang w:eastAsia="en-NZ"/>
        </w:rPr>
        <w:t>protect</w:t>
      </w:r>
      <w:r w:rsidR="003D640C">
        <w:rPr>
          <w:lang w:eastAsia="en-NZ"/>
        </w:rPr>
        <w:t xml:space="preserve"> </w:t>
      </w:r>
      <w:r w:rsidR="00133F8F">
        <w:rPr>
          <w:lang w:eastAsia="en-NZ"/>
        </w:rPr>
        <w:t>Rainbow</w:t>
      </w:r>
      <w:r w:rsidR="003D640C">
        <w:rPr>
          <w:lang w:eastAsia="en-NZ"/>
        </w:rPr>
        <w:t xml:space="preserve"> </w:t>
      </w:r>
      <w:r w:rsidRPr="00BB6220">
        <w:rPr>
          <w:lang w:eastAsia="en-NZ"/>
        </w:rPr>
        <w:t>people</w:t>
      </w:r>
      <w:r w:rsidR="003D640C">
        <w:rPr>
          <w:lang w:eastAsia="en-NZ"/>
        </w:rPr>
        <w:t xml:space="preserve"> </w:t>
      </w:r>
      <w:r w:rsidRPr="00BB6220">
        <w:rPr>
          <w:lang w:eastAsia="en-NZ"/>
        </w:rPr>
        <w:t>from</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harmful</w:t>
      </w:r>
      <w:r w:rsidR="003D640C">
        <w:rPr>
          <w:lang w:eastAsia="en-NZ"/>
        </w:rPr>
        <w:t xml:space="preserve"> </w:t>
      </w:r>
      <w:r w:rsidRPr="00BB6220">
        <w:rPr>
          <w:lang w:eastAsia="en-NZ"/>
        </w:rPr>
        <w:t>indoctrination</w:t>
      </w:r>
      <w:r w:rsidR="003D640C">
        <w:rPr>
          <w:lang w:eastAsia="en-NZ"/>
        </w:rPr>
        <w:t xml:space="preserve"> </w:t>
      </w:r>
      <w:r w:rsidRPr="00BB6220">
        <w:rPr>
          <w:lang w:eastAsia="en-NZ"/>
        </w:rPr>
        <w:t>that</w:t>
      </w:r>
      <w:r w:rsidR="003D640C">
        <w:rPr>
          <w:lang w:eastAsia="en-NZ"/>
        </w:rPr>
        <w:t xml:space="preserve"> </w:t>
      </w:r>
      <w:r w:rsidRPr="00BB6220">
        <w:rPr>
          <w:lang w:eastAsia="en-NZ"/>
        </w:rPr>
        <w:t>can</w:t>
      </w:r>
      <w:r w:rsidR="003D640C">
        <w:rPr>
          <w:lang w:eastAsia="en-NZ"/>
        </w:rPr>
        <w:t xml:space="preserve"> </w:t>
      </w:r>
      <w:r w:rsidRPr="00BB6220">
        <w:rPr>
          <w:lang w:eastAsia="en-NZ"/>
        </w:rPr>
        <w:t>accompany</w:t>
      </w:r>
      <w:r w:rsidR="003D640C">
        <w:rPr>
          <w:lang w:eastAsia="en-NZ"/>
        </w:rPr>
        <w:t xml:space="preserve"> </w:t>
      </w:r>
      <w:r w:rsidRPr="00BB6220">
        <w:rPr>
          <w:lang w:eastAsia="en-NZ"/>
        </w:rPr>
        <w:t>them.</w:t>
      </w:r>
      <w:r w:rsidR="003D640C">
        <w:rPr>
          <w:lang w:eastAsia="en-NZ"/>
        </w:rPr>
        <w:t xml:space="preserve"> </w:t>
      </w:r>
    </w:p>
    <w:p w14:paraId="2DC199F7" w14:textId="77777777" w:rsidR="00501068" w:rsidRDefault="00AF2157" w:rsidP="00B51F0B">
      <w:pPr>
        <w:pStyle w:val="Quote"/>
      </w:pPr>
      <w:r w:rsidRPr="00BB6220">
        <w:t>“I’d</w:t>
      </w:r>
      <w:r w:rsidR="003D640C">
        <w:t xml:space="preserve"> </w:t>
      </w:r>
      <w:r w:rsidRPr="00BB6220">
        <w:t>love</w:t>
      </w:r>
      <w:r w:rsidR="003D640C">
        <w:t xml:space="preserve"> </w:t>
      </w:r>
      <w:r w:rsidRPr="00BB6220">
        <w:t>to</w:t>
      </w:r>
      <w:r w:rsidR="003D640C">
        <w:t xml:space="preserve"> </w:t>
      </w:r>
      <w:r w:rsidRPr="00BB6220">
        <w:t>see</w:t>
      </w:r>
      <w:r w:rsidR="003D640C">
        <w:t xml:space="preserve"> </w:t>
      </w:r>
      <w:r w:rsidRPr="00BB6220">
        <w:t>people</w:t>
      </w:r>
      <w:r w:rsidR="003D640C">
        <w:t xml:space="preserve"> </w:t>
      </w:r>
      <w:r w:rsidRPr="00BB6220">
        <w:t>becoming</w:t>
      </w:r>
      <w:r w:rsidR="003D640C">
        <w:t xml:space="preserve"> </w:t>
      </w:r>
      <w:r w:rsidRPr="00BB6220">
        <w:t>aware</w:t>
      </w:r>
      <w:r w:rsidR="003D640C">
        <w:t xml:space="preserve"> </w:t>
      </w:r>
      <w:r w:rsidRPr="00BB6220">
        <w:t>and</w:t>
      </w:r>
      <w:r w:rsidR="003D640C">
        <w:t xml:space="preserve"> </w:t>
      </w:r>
      <w:r w:rsidRPr="00BB6220">
        <w:t>more</w:t>
      </w:r>
      <w:r w:rsidR="003D640C">
        <w:t xml:space="preserve"> </w:t>
      </w:r>
      <w:r w:rsidRPr="00BB6220">
        <w:t>sensitive</w:t>
      </w:r>
      <w:r w:rsidR="003D640C">
        <w:t xml:space="preserve"> </w:t>
      </w:r>
      <w:r w:rsidRPr="00BB6220">
        <w:t>about</w:t>
      </w:r>
      <w:r w:rsidR="003D640C">
        <w:t xml:space="preserve"> </w:t>
      </w:r>
      <w:r w:rsidRPr="00BB6220">
        <w:t>the</w:t>
      </w:r>
      <w:r w:rsidR="003D640C">
        <w:t xml:space="preserve"> </w:t>
      </w:r>
      <w:r w:rsidRPr="00BB6220">
        <w:t>conversation</w:t>
      </w:r>
      <w:r w:rsidR="003D640C">
        <w:t xml:space="preserve"> </w:t>
      </w:r>
      <w:r w:rsidRPr="00BB6220">
        <w:t>and</w:t>
      </w:r>
      <w:r w:rsidR="003D640C">
        <w:t xml:space="preserve"> </w:t>
      </w:r>
      <w:r w:rsidRPr="00BB6220">
        <w:t>becoming</w:t>
      </w:r>
      <w:r w:rsidR="003D640C">
        <w:t xml:space="preserve"> </w:t>
      </w:r>
      <w:r w:rsidRPr="00BB6220">
        <w:t>actively</w:t>
      </w:r>
      <w:r w:rsidR="003D640C">
        <w:t xml:space="preserve"> </w:t>
      </w:r>
      <w:r w:rsidRPr="00BB6220">
        <w:t>engaged.</w:t>
      </w:r>
      <w:r w:rsidR="003D640C">
        <w:t xml:space="preserve"> </w:t>
      </w:r>
      <w:r w:rsidRPr="00BB6220">
        <w:t>And</w:t>
      </w:r>
      <w:r w:rsidR="003D640C">
        <w:t xml:space="preserve"> </w:t>
      </w:r>
      <w:r w:rsidRPr="00BB6220">
        <w:t>not</w:t>
      </w:r>
      <w:r w:rsidR="003D640C">
        <w:t xml:space="preserve"> </w:t>
      </w:r>
      <w:r w:rsidRPr="00BB6220">
        <w:t>defend</w:t>
      </w:r>
      <w:r w:rsidR="003D640C">
        <w:t xml:space="preserve"> </w:t>
      </w:r>
      <w:r w:rsidRPr="00BB6220">
        <w:t>conversion</w:t>
      </w:r>
      <w:r w:rsidR="003D640C">
        <w:t xml:space="preserve"> </w:t>
      </w:r>
      <w:r w:rsidRPr="00BB6220">
        <w:t>therapy</w:t>
      </w:r>
      <w:r w:rsidR="003D640C">
        <w:t xml:space="preserve"> </w:t>
      </w:r>
      <w:r w:rsidRPr="00BB6220">
        <w:t>as</w:t>
      </w:r>
      <w:r w:rsidR="003D640C">
        <w:t xml:space="preserve"> </w:t>
      </w:r>
      <w:r w:rsidRPr="00BB6220">
        <w:t>freedom</w:t>
      </w:r>
      <w:r w:rsidR="003D640C">
        <w:t xml:space="preserve"> </w:t>
      </w:r>
      <w:r w:rsidRPr="00BB6220">
        <w:t>of</w:t>
      </w:r>
      <w:r w:rsidR="003D640C">
        <w:t xml:space="preserve"> </w:t>
      </w:r>
      <w:r w:rsidRPr="00BB6220">
        <w:t>speech</w:t>
      </w:r>
      <w:r w:rsidR="003D640C">
        <w:t xml:space="preserve"> </w:t>
      </w:r>
      <w:r w:rsidRPr="00BB6220">
        <w:t>and</w:t>
      </w:r>
      <w:r w:rsidR="003D640C">
        <w:t xml:space="preserve"> </w:t>
      </w:r>
      <w:r w:rsidRPr="00BB6220">
        <w:t>not</w:t>
      </w:r>
      <w:r w:rsidR="003D640C">
        <w:t xml:space="preserve"> </w:t>
      </w:r>
      <w:r w:rsidRPr="00BB6220">
        <w:t>think</w:t>
      </w:r>
      <w:r w:rsidR="003D640C">
        <w:t xml:space="preserve"> </w:t>
      </w:r>
      <w:r w:rsidRPr="00BB6220">
        <w:t>that</w:t>
      </w:r>
      <w:r w:rsidR="003D640C">
        <w:t xml:space="preserve"> </w:t>
      </w:r>
      <w:r w:rsidRPr="00BB6220">
        <w:t>we’re</w:t>
      </w:r>
      <w:r w:rsidR="003D640C">
        <w:t xml:space="preserve"> </w:t>
      </w:r>
      <w:r w:rsidRPr="00BB6220">
        <w:t>attacking</w:t>
      </w:r>
      <w:r w:rsidR="003D640C">
        <w:t xml:space="preserve"> </w:t>
      </w:r>
      <w:r w:rsidRPr="00BB6220">
        <w:t>religious</w:t>
      </w:r>
      <w:r w:rsidR="003D640C">
        <w:t xml:space="preserve"> </w:t>
      </w:r>
      <w:r w:rsidRPr="00BB6220">
        <w:t>freedom</w:t>
      </w:r>
      <w:r w:rsidR="003D640C">
        <w:t xml:space="preserve"> </w:t>
      </w:r>
      <w:r w:rsidRPr="00BB6220">
        <w:t>and</w:t>
      </w:r>
      <w:r w:rsidR="003D640C">
        <w:t xml:space="preserve"> </w:t>
      </w:r>
      <w:r w:rsidRPr="00BB6220">
        <w:t>practi</w:t>
      </w:r>
      <w:r w:rsidR="222B7585" w:rsidRPr="00BB6220">
        <w:t>c</w:t>
      </w:r>
      <w:r w:rsidRPr="00BB6220">
        <w:t>e.</w:t>
      </w:r>
      <w:r w:rsidR="003D640C">
        <w:t xml:space="preserve"> </w:t>
      </w:r>
      <w:r w:rsidRPr="00BB6220">
        <w:t>This</w:t>
      </w:r>
      <w:r w:rsidR="003D640C">
        <w:t xml:space="preserve"> </w:t>
      </w:r>
      <w:r w:rsidRPr="00BB6220">
        <w:t>isn’t</w:t>
      </w:r>
      <w:r w:rsidR="003D640C">
        <w:t xml:space="preserve"> </w:t>
      </w:r>
      <w:r w:rsidRPr="00BB6220">
        <w:t>what</w:t>
      </w:r>
      <w:r w:rsidR="003D640C">
        <w:t xml:space="preserve"> </w:t>
      </w:r>
      <w:r w:rsidRPr="00BB6220">
        <w:t>I’m</w:t>
      </w:r>
      <w:r w:rsidR="003D640C">
        <w:t xml:space="preserve"> </w:t>
      </w:r>
      <w:r w:rsidRPr="00BB6220">
        <w:t>trying</w:t>
      </w:r>
      <w:r w:rsidR="003D640C">
        <w:t xml:space="preserve"> </w:t>
      </w:r>
      <w:r w:rsidRPr="00BB6220">
        <w:t>to</w:t>
      </w:r>
      <w:r w:rsidR="003D640C">
        <w:t xml:space="preserve"> </w:t>
      </w:r>
      <w:r w:rsidRPr="00BB6220">
        <w:t>attack</w:t>
      </w:r>
      <w:r w:rsidR="003D640C">
        <w:t xml:space="preserve"> </w:t>
      </w:r>
      <w:r w:rsidRPr="00BB6220">
        <w:t>here.</w:t>
      </w:r>
      <w:r w:rsidR="003D640C">
        <w:t xml:space="preserve"> </w:t>
      </w:r>
      <w:r w:rsidRPr="00BB6220">
        <w:t>It’s</w:t>
      </w:r>
      <w:r w:rsidR="003D640C">
        <w:t xml:space="preserve"> </w:t>
      </w:r>
      <w:r w:rsidRPr="00BB6220">
        <w:t>abuse.</w:t>
      </w:r>
      <w:r w:rsidR="003D640C">
        <w:t xml:space="preserve"> </w:t>
      </w:r>
      <w:r w:rsidRPr="00BB6220">
        <w:t>And</w:t>
      </w:r>
      <w:r w:rsidR="003D640C">
        <w:t xml:space="preserve"> </w:t>
      </w:r>
      <w:r w:rsidRPr="00BB6220">
        <w:t>to</w:t>
      </w:r>
      <w:r w:rsidR="003D640C">
        <w:t xml:space="preserve"> </w:t>
      </w:r>
      <w:r w:rsidRPr="00BB6220">
        <w:t>recognise</w:t>
      </w:r>
      <w:r w:rsidR="003D640C">
        <w:t xml:space="preserve"> </w:t>
      </w:r>
      <w:r w:rsidRPr="00BB6220">
        <w:t>that</w:t>
      </w:r>
      <w:r w:rsidR="003D640C">
        <w:t xml:space="preserve"> </w:t>
      </w:r>
      <w:r w:rsidRPr="00BB6220">
        <w:t>conversion</w:t>
      </w:r>
      <w:r w:rsidR="003D640C">
        <w:t xml:space="preserve"> </w:t>
      </w:r>
      <w:r w:rsidRPr="00BB6220">
        <w:t>therapy</w:t>
      </w:r>
      <w:r w:rsidR="003D640C">
        <w:t xml:space="preserve"> </w:t>
      </w:r>
      <w:r w:rsidRPr="00BB6220">
        <w:t>is</w:t>
      </w:r>
      <w:r w:rsidR="003D640C">
        <w:t xml:space="preserve"> </w:t>
      </w:r>
      <w:r w:rsidRPr="00BB6220">
        <w:t>abuse.”</w:t>
      </w:r>
      <w:r w:rsidR="003D640C">
        <w:t xml:space="preserve"> </w:t>
      </w:r>
      <w:r w:rsidR="001F2212" w:rsidRPr="00BB6220">
        <w:t>Samoan,</w:t>
      </w:r>
      <w:r w:rsidR="003D640C">
        <w:t xml:space="preserve"> </w:t>
      </w:r>
      <w:r w:rsidR="001F2212" w:rsidRPr="00BB6220">
        <w:t>male</w:t>
      </w:r>
    </w:p>
    <w:p w14:paraId="3538D9A0" w14:textId="058DD8C4" w:rsidR="00CF4A69" w:rsidRPr="00BB6220" w:rsidRDefault="00CF4A69" w:rsidP="00282ED0">
      <w:pPr>
        <w:pStyle w:val="Heading2"/>
        <w:keepNext/>
      </w:pPr>
      <w:bookmarkStart w:id="343" w:name="_Toc138325198"/>
      <w:bookmarkStart w:id="344" w:name="_Toc138343855"/>
      <w:bookmarkStart w:id="345" w:name="_Toc167780633"/>
      <w:bookmarkStart w:id="346" w:name="_Toc1737621204"/>
      <w:bookmarkStart w:id="347" w:name="_Toc174628695"/>
      <w:r w:rsidRPr="00BB6220">
        <w:t>Survivors’</w:t>
      </w:r>
      <w:r w:rsidR="003D640C">
        <w:t xml:space="preserve"> </w:t>
      </w:r>
      <w:r w:rsidRPr="00BB6220">
        <w:t>advice</w:t>
      </w:r>
      <w:r w:rsidR="003D640C">
        <w:t xml:space="preserve"> </w:t>
      </w:r>
      <w:r w:rsidRPr="00BB6220">
        <w:t>for</w:t>
      </w:r>
      <w:r w:rsidR="003D640C">
        <w:t xml:space="preserve"> </w:t>
      </w:r>
      <w:r w:rsidRPr="00BB6220">
        <w:t>therapists</w:t>
      </w:r>
      <w:bookmarkEnd w:id="343"/>
      <w:bookmarkEnd w:id="344"/>
      <w:bookmarkEnd w:id="345"/>
      <w:bookmarkEnd w:id="346"/>
      <w:bookmarkEnd w:id="347"/>
    </w:p>
    <w:p w14:paraId="6101AFDB" w14:textId="56F3B9DA" w:rsidR="00CF4A69" w:rsidRPr="00BB6220" w:rsidRDefault="00133F8F" w:rsidP="00B51F0B">
      <w:bookmarkStart w:id="348" w:name="_Toc138325199"/>
      <w:bookmarkStart w:id="349" w:name="_Toc138343856"/>
      <w:r>
        <w:rPr>
          <w:lang w:eastAsia="en-NZ"/>
        </w:rPr>
        <w:t>This</w:t>
      </w:r>
      <w:r w:rsidR="003D640C">
        <w:rPr>
          <w:lang w:eastAsia="en-NZ"/>
        </w:rPr>
        <w:t xml:space="preserve"> </w:t>
      </w:r>
      <w:r>
        <w:rPr>
          <w:lang w:eastAsia="en-NZ"/>
        </w:rPr>
        <w:t>section</w:t>
      </w:r>
      <w:r w:rsidR="003D640C">
        <w:rPr>
          <w:lang w:eastAsia="en-NZ"/>
        </w:rPr>
        <w:t xml:space="preserve"> </w:t>
      </w:r>
      <w:r>
        <w:rPr>
          <w:lang w:eastAsia="en-NZ"/>
        </w:rPr>
        <w:t>outlines</w:t>
      </w:r>
      <w:r w:rsidR="003D640C">
        <w:rPr>
          <w:lang w:eastAsia="en-NZ"/>
        </w:rPr>
        <w:t xml:space="preserve"> </w:t>
      </w:r>
      <w:r>
        <w:rPr>
          <w:lang w:eastAsia="en-NZ"/>
        </w:rPr>
        <w:t>survivors’</w:t>
      </w:r>
      <w:r w:rsidR="003D640C">
        <w:rPr>
          <w:lang w:eastAsia="en-NZ"/>
        </w:rPr>
        <w:t xml:space="preserve"> </w:t>
      </w:r>
      <w:r>
        <w:rPr>
          <w:lang w:eastAsia="en-NZ"/>
        </w:rPr>
        <w:t>advice</w:t>
      </w:r>
      <w:r w:rsidR="003D640C">
        <w:rPr>
          <w:lang w:eastAsia="en-NZ"/>
        </w:rPr>
        <w:t xml:space="preserve"> </w:t>
      </w:r>
      <w:r>
        <w:rPr>
          <w:lang w:eastAsia="en-NZ"/>
        </w:rPr>
        <w:t>for</w:t>
      </w:r>
      <w:r w:rsidR="003D640C">
        <w:rPr>
          <w:lang w:eastAsia="en-NZ"/>
        </w:rPr>
        <w:t xml:space="preserve"> </w:t>
      </w:r>
      <w:r>
        <w:rPr>
          <w:lang w:eastAsia="en-NZ"/>
        </w:rPr>
        <w:t>therapists,</w:t>
      </w:r>
      <w:r w:rsidR="003D640C">
        <w:rPr>
          <w:lang w:eastAsia="en-NZ"/>
        </w:rPr>
        <w:t xml:space="preserve"> </w:t>
      </w:r>
      <w:r>
        <w:rPr>
          <w:lang w:eastAsia="en-NZ"/>
        </w:rPr>
        <w:t>focusing</w:t>
      </w:r>
      <w:r w:rsidR="003D640C">
        <w:rPr>
          <w:lang w:eastAsia="en-NZ"/>
        </w:rPr>
        <w:t xml:space="preserve"> </w:t>
      </w:r>
      <w:r>
        <w:rPr>
          <w:lang w:eastAsia="en-NZ"/>
        </w:rPr>
        <w:t>on</w:t>
      </w:r>
      <w:r w:rsidR="003D640C">
        <w:rPr>
          <w:lang w:eastAsia="en-NZ"/>
        </w:rPr>
        <w:t xml:space="preserve"> </w:t>
      </w:r>
      <w:r>
        <w:rPr>
          <w:lang w:eastAsia="en-NZ"/>
        </w:rPr>
        <w:t>trauma</w:t>
      </w:r>
      <w:r w:rsidR="003D640C">
        <w:rPr>
          <w:lang w:eastAsia="en-NZ"/>
        </w:rPr>
        <w:t xml:space="preserve"> </w:t>
      </w:r>
      <w:r>
        <w:rPr>
          <w:lang w:eastAsia="en-NZ"/>
        </w:rPr>
        <w:t>and</w:t>
      </w:r>
      <w:r w:rsidR="003D640C">
        <w:rPr>
          <w:lang w:eastAsia="en-NZ"/>
        </w:rPr>
        <w:t xml:space="preserve"> </w:t>
      </w:r>
      <w:r>
        <w:rPr>
          <w:lang w:eastAsia="en-NZ"/>
        </w:rPr>
        <w:t>how</w:t>
      </w:r>
      <w:r w:rsidR="003D640C">
        <w:rPr>
          <w:lang w:eastAsia="en-NZ"/>
        </w:rPr>
        <w:t xml:space="preserve"> </w:t>
      </w:r>
      <w:r>
        <w:rPr>
          <w:lang w:eastAsia="en-NZ"/>
        </w:rPr>
        <w:t>it</w:t>
      </w:r>
      <w:r w:rsidR="003D640C">
        <w:rPr>
          <w:lang w:eastAsia="en-NZ"/>
        </w:rPr>
        <w:t xml:space="preserve"> </w:t>
      </w:r>
      <w:r>
        <w:rPr>
          <w:lang w:eastAsia="en-NZ"/>
        </w:rPr>
        <w:t>impacts</w:t>
      </w:r>
      <w:r w:rsidR="003D640C">
        <w:rPr>
          <w:lang w:eastAsia="en-NZ"/>
        </w:rPr>
        <w:t xml:space="preserve"> </w:t>
      </w:r>
      <w:r>
        <w:rPr>
          <w:lang w:eastAsia="en-NZ"/>
        </w:rPr>
        <w:t>the</w:t>
      </w:r>
      <w:r w:rsidR="003D640C">
        <w:rPr>
          <w:lang w:eastAsia="en-NZ"/>
        </w:rPr>
        <w:t xml:space="preserve"> </w:t>
      </w:r>
      <w:r>
        <w:rPr>
          <w:lang w:eastAsia="en-NZ"/>
        </w:rPr>
        <w:t>provision</w:t>
      </w:r>
      <w:r w:rsidR="003D640C">
        <w:rPr>
          <w:lang w:eastAsia="en-NZ"/>
        </w:rPr>
        <w:t xml:space="preserve"> </w:t>
      </w:r>
      <w:r>
        <w:rPr>
          <w:lang w:eastAsia="en-NZ"/>
        </w:rPr>
        <w:t>of</w:t>
      </w:r>
      <w:r w:rsidR="003D640C">
        <w:rPr>
          <w:lang w:eastAsia="en-NZ"/>
        </w:rPr>
        <w:t xml:space="preserve"> </w:t>
      </w:r>
      <w:r>
        <w:rPr>
          <w:lang w:eastAsia="en-NZ"/>
        </w:rPr>
        <w:t>professional</w:t>
      </w:r>
      <w:r w:rsidR="003D640C">
        <w:rPr>
          <w:lang w:eastAsia="en-NZ"/>
        </w:rPr>
        <w:t xml:space="preserve"> </w:t>
      </w:r>
      <w:r>
        <w:rPr>
          <w:lang w:eastAsia="en-NZ"/>
        </w:rPr>
        <w:t>support.</w:t>
      </w:r>
      <w:bookmarkEnd w:id="348"/>
      <w:bookmarkEnd w:id="349"/>
    </w:p>
    <w:p w14:paraId="18C45182" w14:textId="2E934733" w:rsidR="00CF4A69" w:rsidRPr="00BB6220" w:rsidRDefault="00CF4A69" w:rsidP="00B51F0B">
      <w:pPr>
        <w:pBdr>
          <w:top w:val="single" w:sz="4" w:space="1" w:color="auto"/>
          <w:left w:val="single" w:sz="4" w:space="4" w:color="auto"/>
          <w:bottom w:val="single" w:sz="4" w:space="1" w:color="auto"/>
          <w:right w:val="single" w:sz="4" w:space="4" w:color="auto"/>
        </w:pBdr>
        <w:rPr>
          <w:lang w:eastAsia="en-NZ"/>
        </w:rPr>
      </w:pP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are</w:t>
      </w:r>
      <w:r w:rsidR="003D640C">
        <w:rPr>
          <w:lang w:eastAsia="en-NZ"/>
        </w:rPr>
        <w:t xml:space="preserve"> </w:t>
      </w:r>
      <w:r w:rsidRPr="00BB6220">
        <w:rPr>
          <w:lang w:eastAsia="en-NZ"/>
        </w:rPr>
        <w:t>often</w:t>
      </w:r>
      <w:r w:rsidR="003D640C">
        <w:rPr>
          <w:lang w:eastAsia="en-NZ"/>
        </w:rPr>
        <w:t xml:space="preserve"> </w:t>
      </w:r>
      <w:r w:rsidRPr="00BB6220">
        <w:rPr>
          <w:lang w:eastAsia="en-NZ"/>
        </w:rPr>
        <w:t>pseudo-therapies</w:t>
      </w:r>
      <w:r w:rsidR="003D640C">
        <w:rPr>
          <w:lang w:eastAsia="en-NZ"/>
        </w:rPr>
        <w:t xml:space="preserve"> </w:t>
      </w:r>
      <w:r w:rsidRPr="00BB6220">
        <w:rPr>
          <w:lang w:eastAsia="en-NZ"/>
        </w:rPr>
        <w:t>masquerading</w:t>
      </w:r>
      <w:r w:rsidR="003D640C">
        <w:rPr>
          <w:lang w:eastAsia="en-NZ"/>
        </w:rPr>
        <w:t xml:space="preserve"> </w:t>
      </w:r>
      <w:r w:rsidRPr="00BB6220">
        <w:rPr>
          <w:lang w:eastAsia="en-NZ"/>
        </w:rPr>
        <w:t>as</w:t>
      </w:r>
      <w:r w:rsidR="003D640C">
        <w:rPr>
          <w:lang w:eastAsia="en-NZ"/>
        </w:rPr>
        <w:t xml:space="preserve"> </w:t>
      </w:r>
      <w:r w:rsidRPr="00BB6220">
        <w:rPr>
          <w:lang w:eastAsia="en-NZ"/>
        </w:rPr>
        <w:t>professional</w:t>
      </w:r>
      <w:r w:rsidR="003D640C">
        <w:rPr>
          <w:lang w:eastAsia="en-NZ"/>
        </w:rPr>
        <w:t xml:space="preserve"> </w:t>
      </w:r>
      <w:r w:rsidRPr="00BB6220">
        <w:rPr>
          <w:lang w:eastAsia="en-NZ"/>
        </w:rPr>
        <w:t>mental</w:t>
      </w:r>
      <w:r w:rsidR="003D640C">
        <w:rPr>
          <w:lang w:eastAsia="en-NZ"/>
        </w:rPr>
        <w:t xml:space="preserve"> </w:t>
      </w:r>
      <w:r w:rsidRPr="00BB6220">
        <w:rPr>
          <w:lang w:eastAsia="en-NZ"/>
        </w:rPr>
        <w:t>health</w:t>
      </w:r>
      <w:r w:rsidR="003D640C">
        <w:rPr>
          <w:lang w:eastAsia="en-NZ"/>
        </w:rPr>
        <w:t xml:space="preserve"> </w:t>
      </w:r>
      <w:r w:rsidRPr="00BB6220">
        <w:rPr>
          <w:lang w:eastAsia="en-NZ"/>
        </w:rPr>
        <w:t>support.</w:t>
      </w:r>
      <w:r w:rsidR="003D640C">
        <w:rPr>
          <w:lang w:eastAsia="en-NZ"/>
        </w:rPr>
        <w:t xml:space="preserve"> </w:t>
      </w:r>
      <w:r w:rsidRPr="00BB6220">
        <w:rPr>
          <w:lang w:eastAsia="en-NZ"/>
        </w:rPr>
        <w:t>This</w:t>
      </w:r>
      <w:r w:rsidR="003D640C">
        <w:rPr>
          <w:lang w:eastAsia="en-NZ"/>
        </w:rPr>
        <w:t xml:space="preserve"> </w:t>
      </w:r>
      <w:r w:rsidR="00282ED0">
        <w:rPr>
          <w:lang w:eastAsia="en-NZ"/>
        </w:rPr>
        <w:t>‘</w:t>
      </w:r>
      <w:r w:rsidRPr="00BB6220">
        <w:rPr>
          <w:lang w:eastAsia="en-NZ"/>
        </w:rPr>
        <w:t>therapy</w:t>
      </w:r>
      <w:r w:rsidR="00282ED0">
        <w:rPr>
          <w:lang w:eastAsia="en-NZ"/>
        </w:rPr>
        <w:t>’</w:t>
      </w:r>
      <w:r w:rsidR="003D640C">
        <w:rPr>
          <w:lang w:eastAsia="en-NZ"/>
        </w:rPr>
        <w:t xml:space="preserve"> </w:t>
      </w:r>
      <w:r w:rsidRPr="00BB6220">
        <w:rPr>
          <w:lang w:eastAsia="en-NZ"/>
        </w:rPr>
        <w:t>can</w:t>
      </w:r>
      <w:r w:rsidR="003D640C">
        <w:rPr>
          <w:lang w:eastAsia="en-NZ"/>
        </w:rPr>
        <w:t xml:space="preserve"> </w:t>
      </w:r>
      <w:r w:rsidRPr="00BB6220">
        <w:rPr>
          <w:lang w:eastAsia="en-NZ"/>
        </w:rPr>
        <w:t>cause</w:t>
      </w:r>
      <w:r w:rsidR="003D640C">
        <w:rPr>
          <w:lang w:eastAsia="en-NZ"/>
        </w:rPr>
        <w:t xml:space="preserve"> </w:t>
      </w:r>
      <w:r w:rsidRPr="00BB6220">
        <w:rPr>
          <w:lang w:eastAsia="en-NZ"/>
        </w:rPr>
        <w:t>significant</w:t>
      </w:r>
      <w:r w:rsidR="003D640C">
        <w:rPr>
          <w:lang w:eastAsia="en-NZ"/>
        </w:rPr>
        <w:t xml:space="preserve"> </w:t>
      </w:r>
      <w:r w:rsidRPr="00BB6220">
        <w:rPr>
          <w:lang w:eastAsia="en-NZ"/>
        </w:rPr>
        <w:t>trauma</w:t>
      </w:r>
      <w:r w:rsidR="003D640C">
        <w:rPr>
          <w:lang w:eastAsia="en-NZ"/>
        </w:rPr>
        <w:t xml:space="preserve"> </w:t>
      </w:r>
      <w:r w:rsidRPr="00BB6220">
        <w:rPr>
          <w:lang w:eastAsia="en-NZ"/>
        </w:rPr>
        <w:t>for</w:t>
      </w:r>
      <w:r w:rsidR="003D640C">
        <w:rPr>
          <w:lang w:eastAsia="en-NZ"/>
        </w:rPr>
        <w:t xml:space="preserve"> </w:t>
      </w:r>
      <w:r w:rsidRPr="00BB6220">
        <w:rPr>
          <w:lang w:eastAsia="en-NZ"/>
        </w:rPr>
        <w:t>survivors,</w:t>
      </w:r>
      <w:r w:rsidR="003D640C">
        <w:rPr>
          <w:lang w:eastAsia="en-NZ"/>
        </w:rPr>
        <w:t xml:space="preserve"> </w:t>
      </w:r>
      <w:r w:rsidRPr="00BB6220">
        <w:rPr>
          <w:lang w:eastAsia="en-NZ"/>
        </w:rPr>
        <w:t>which</w:t>
      </w:r>
      <w:r w:rsidR="003D640C">
        <w:rPr>
          <w:lang w:eastAsia="en-NZ"/>
        </w:rPr>
        <w:t xml:space="preserve"> </w:t>
      </w:r>
      <w:r w:rsidRPr="00BB6220">
        <w:rPr>
          <w:lang w:eastAsia="en-NZ"/>
        </w:rPr>
        <w:t>causes</w:t>
      </w:r>
      <w:r w:rsidR="003D640C">
        <w:rPr>
          <w:lang w:eastAsia="en-NZ"/>
        </w:rPr>
        <w:t xml:space="preserve"> </w:t>
      </w:r>
      <w:r w:rsidRPr="00BB6220">
        <w:rPr>
          <w:lang w:eastAsia="en-NZ"/>
        </w:rPr>
        <w:t>complications</w:t>
      </w:r>
      <w:r w:rsidR="003D640C">
        <w:rPr>
          <w:lang w:eastAsia="en-NZ"/>
        </w:rPr>
        <w:t xml:space="preserve"> </w:t>
      </w:r>
      <w:r w:rsidRPr="00BB6220">
        <w:rPr>
          <w:lang w:eastAsia="en-NZ"/>
        </w:rPr>
        <w:t>when</w:t>
      </w:r>
      <w:r w:rsidR="003D640C">
        <w:rPr>
          <w:lang w:eastAsia="en-NZ"/>
        </w:rPr>
        <w:t xml:space="preserve"> </w:t>
      </w:r>
      <w:r w:rsidRPr="00BB6220">
        <w:rPr>
          <w:lang w:eastAsia="en-NZ"/>
        </w:rPr>
        <w:t>they</w:t>
      </w:r>
      <w:r w:rsidR="003D640C">
        <w:rPr>
          <w:lang w:eastAsia="en-NZ"/>
        </w:rPr>
        <w:t xml:space="preserve"> </w:t>
      </w:r>
      <w:r w:rsidRPr="00BB6220">
        <w:rPr>
          <w:lang w:eastAsia="en-NZ"/>
        </w:rPr>
        <w:t>seek</w:t>
      </w:r>
      <w:r w:rsidR="003D640C">
        <w:rPr>
          <w:lang w:eastAsia="en-NZ"/>
        </w:rPr>
        <w:t xml:space="preserve"> </w:t>
      </w:r>
      <w:r w:rsidRPr="00BB6220">
        <w:rPr>
          <w:lang w:eastAsia="en-NZ"/>
        </w:rPr>
        <w:t>mental</w:t>
      </w:r>
      <w:r w:rsidR="003D640C">
        <w:rPr>
          <w:lang w:eastAsia="en-NZ"/>
        </w:rPr>
        <w:t xml:space="preserve"> </w:t>
      </w:r>
      <w:r w:rsidRPr="00BB6220">
        <w:rPr>
          <w:lang w:eastAsia="en-NZ"/>
        </w:rPr>
        <w:t>health</w:t>
      </w:r>
      <w:r w:rsidR="003D640C">
        <w:rPr>
          <w:lang w:eastAsia="en-NZ"/>
        </w:rPr>
        <w:t xml:space="preserve"> </w:t>
      </w:r>
      <w:r w:rsidRPr="00BB6220">
        <w:rPr>
          <w:lang w:eastAsia="en-NZ"/>
        </w:rPr>
        <w:t>support</w:t>
      </w:r>
      <w:r w:rsidR="003D640C">
        <w:rPr>
          <w:lang w:eastAsia="en-NZ"/>
        </w:rPr>
        <w:t xml:space="preserve"> </w:t>
      </w:r>
      <w:r w:rsidRPr="00BB6220">
        <w:rPr>
          <w:lang w:eastAsia="en-NZ"/>
        </w:rPr>
        <w:t>as</w:t>
      </w:r>
      <w:r w:rsidR="003D640C">
        <w:rPr>
          <w:lang w:eastAsia="en-NZ"/>
        </w:rPr>
        <w:t xml:space="preserve"> </w:t>
      </w:r>
      <w:r w:rsidRPr="00BB6220">
        <w:rPr>
          <w:lang w:eastAsia="en-NZ"/>
        </w:rPr>
        <w:t>part</w:t>
      </w:r>
      <w:r w:rsidR="003D640C">
        <w:rPr>
          <w:lang w:eastAsia="en-NZ"/>
        </w:rPr>
        <w:t xml:space="preserve"> </w:t>
      </w:r>
      <w:r w:rsidRPr="00BB6220">
        <w:rPr>
          <w:lang w:eastAsia="en-NZ"/>
        </w:rPr>
        <w:t>of</w:t>
      </w:r>
      <w:r w:rsidR="003D640C">
        <w:rPr>
          <w:lang w:eastAsia="en-NZ"/>
        </w:rPr>
        <w:t xml:space="preserve"> </w:t>
      </w:r>
      <w:r w:rsidRPr="00BB6220">
        <w:rPr>
          <w:lang w:eastAsia="en-NZ"/>
        </w:rPr>
        <w:t>recovery</w:t>
      </w:r>
      <w:r w:rsidR="003D640C">
        <w:rPr>
          <w:lang w:eastAsia="en-NZ"/>
        </w:rPr>
        <w:t xml:space="preserve"> </w:t>
      </w:r>
      <w:r w:rsidRPr="00BB6220">
        <w:rPr>
          <w:lang w:eastAsia="en-NZ"/>
        </w:rPr>
        <w:t>from</w:t>
      </w:r>
      <w:r w:rsidR="003D640C">
        <w:rPr>
          <w:lang w:eastAsia="en-NZ"/>
        </w:rPr>
        <w:t xml:space="preserve"> </w:t>
      </w:r>
      <w:r w:rsidRPr="00BB6220">
        <w:rPr>
          <w:lang w:eastAsia="en-NZ"/>
        </w:rPr>
        <w:t>this</w:t>
      </w:r>
      <w:r w:rsidR="003D640C">
        <w:rPr>
          <w:lang w:eastAsia="en-NZ"/>
        </w:rPr>
        <w:t xml:space="preserve"> </w:t>
      </w:r>
      <w:r w:rsidRPr="00BB6220">
        <w:rPr>
          <w:lang w:eastAsia="en-NZ"/>
        </w:rPr>
        <w:t>trauma.</w:t>
      </w:r>
    </w:p>
    <w:p w14:paraId="7165A775" w14:textId="08C01B5F" w:rsidR="00C90505" w:rsidRPr="00BB6220" w:rsidRDefault="00CF4A69" w:rsidP="00B51F0B">
      <w:pPr>
        <w:pBdr>
          <w:top w:val="single" w:sz="4" w:space="1" w:color="auto"/>
          <w:left w:val="single" w:sz="4" w:space="4" w:color="auto"/>
          <w:bottom w:val="single" w:sz="4" w:space="1" w:color="auto"/>
          <w:right w:val="single" w:sz="4" w:space="4" w:color="auto"/>
        </w:pBdr>
        <w:rPr>
          <w:lang w:eastAsia="en-NZ"/>
        </w:rPr>
      </w:pPr>
      <w:r w:rsidRPr="00BB6220">
        <w:rPr>
          <w:lang w:eastAsia="en-NZ"/>
        </w:rPr>
        <w:t>The</w:t>
      </w:r>
      <w:r w:rsidR="003D640C">
        <w:rPr>
          <w:lang w:eastAsia="en-NZ"/>
        </w:rPr>
        <w:t xml:space="preserve"> </w:t>
      </w:r>
      <w:r w:rsidRPr="00BB6220">
        <w:rPr>
          <w:lang w:eastAsia="en-NZ"/>
        </w:rPr>
        <w:t>very</w:t>
      </w:r>
      <w:r w:rsidR="003D640C">
        <w:rPr>
          <w:lang w:eastAsia="en-NZ"/>
        </w:rPr>
        <w:t xml:space="preserve"> </w:t>
      </w:r>
      <w:r w:rsidRPr="00BB6220">
        <w:rPr>
          <w:lang w:eastAsia="en-NZ"/>
        </w:rPr>
        <w:t>manner</w:t>
      </w:r>
      <w:r w:rsidR="003D640C">
        <w:rPr>
          <w:lang w:eastAsia="en-NZ"/>
        </w:rPr>
        <w:t xml:space="preserve"> </w:t>
      </w:r>
      <w:r w:rsidRPr="00BB6220">
        <w:rPr>
          <w:lang w:eastAsia="en-NZ"/>
        </w:rPr>
        <w:t>in</w:t>
      </w:r>
      <w:r w:rsidR="003D640C">
        <w:rPr>
          <w:lang w:eastAsia="en-NZ"/>
        </w:rPr>
        <w:t xml:space="preserve"> </w:t>
      </w:r>
      <w:r w:rsidRPr="00BB6220">
        <w:rPr>
          <w:lang w:eastAsia="en-NZ"/>
        </w:rPr>
        <w:t>which</w:t>
      </w:r>
      <w:r w:rsidR="003D640C">
        <w:rPr>
          <w:lang w:eastAsia="en-NZ"/>
        </w:rPr>
        <w:t xml:space="preserve"> </w:t>
      </w:r>
      <w:r w:rsidRPr="00BB6220">
        <w:rPr>
          <w:lang w:eastAsia="en-NZ"/>
        </w:rPr>
        <w:t>therapeutic</w:t>
      </w:r>
      <w:r w:rsidR="003D640C">
        <w:rPr>
          <w:lang w:eastAsia="en-NZ"/>
        </w:rPr>
        <w:t xml:space="preserve"> </w:t>
      </w:r>
      <w:r w:rsidRPr="00BB6220">
        <w:rPr>
          <w:lang w:eastAsia="en-NZ"/>
        </w:rPr>
        <w:t>approaches</w:t>
      </w:r>
      <w:r w:rsidR="003D640C">
        <w:rPr>
          <w:lang w:eastAsia="en-NZ"/>
        </w:rPr>
        <w:t xml:space="preserve"> </w:t>
      </w:r>
      <w:r w:rsidRPr="00BB6220">
        <w:rPr>
          <w:lang w:eastAsia="en-NZ"/>
        </w:rPr>
        <w:t>are</w:t>
      </w:r>
      <w:r w:rsidR="003D640C">
        <w:rPr>
          <w:lang w:eastAsia="en-NZ"/>
        </w:rPr>
        <w:t xml:space="preserve"> </w:t>
      </w:r>
      <w:r w:rsidRPr="00BB6220">
        <w:rPr>
          <w:lang w:eastAsia="en-NZ"/>
        </w:rPr>
        <w:t>delivered</w:t>
      </w:r>
      <w:r w:rsidR="003D640C">
        <w:rPr>
          <w:lang w:eastAsia="en-NZ"/>
        </w:rPr>
        <w:t xml:space="preserve"> </w:t>
      </w:r>
      <w:r w:rsidR="00C2419E" w:rsidRPr="00BB6220">
        <w:rPr>
          <w:lang w:eastAsia="en-NZ"/>
        </w:rPr>
        <w:t>often</w:t>
      </w:r>
      <w:r w:rsidR="003D640C">
        <w:rPr>
          <w:lang w:eastAsia="en-NZ"/>
        </w:rPr>
        <w:t xml:space="preserve"> </w:t>
      </w:r>
      <w:r w:rsidRPr="00BB6220">
        <w:rPr>
          <w:lang w:eastAsia="en-NZ"/>
        </w:rPr>
        <w:t>retraumatise</w:t>
      </w:r>
      <w:r w:rsidR="00C2419E" w:rsidRPr="00BB6220">
        <w:rPr>
          <w:lang w:eastAsia="en-NZ"/>
        </w:rPr>
        <w:t>s</w:t>
      </w:r>
      <w:r w:rsidR="003D640C">
        <w:rPr>
          <w:lang w:eastAsia="en-NZ"/>
        </w:rPr>
        <w:t xml:space="preserve"> </w:t>
      </w:r>
      <w:r w:rsidRPr="00BB6220">
        <w:rPr>
          <w:lang w:eastAsia="en-NZ"/>
        </w:rPr>
        <w:t>survivors,</w:t>
      </w:r>
      <w:r w:rsidR="003D640C">
        <w:rPr>
          <w:lang w:eastAsia="en-NZ"/>
        </w:rPr>
        <w:t xml:space="preserve"> </w:t>
      </w:r>
      <w:r w:rsidR="00C2419E" w:rsidRPr="00BB6220">
        <w:rPr>
          <w:lang w:eastAsia="en-NZ"/>
        </w:rPr>
        <w:t>particularly</w:t>
      </w:r>
      <w:r w:rsidR="003D640C">
        <w:rPr>
          <w:lang w:eastAsia="en-NZ"/>
        </w:rPr>
        <w:t xml:space="preserve"> </w:t>
      </w:r>
      <w:r w:rsidRPr="00BB6220">
        <w:rPr>
          <w:lang w:eastAsia="en-NZ"/>
        </w:rPr>
        <w:t>if</w:t>
      </w:r>
      <w:r w:rsidR="00133F8F">
        <w:rPr>
          <w:lang w:eastAsia="en-NZ"/>
        </w:rPr>
        <w:t>,</w:t>
      </w:r>
      <w:r w:rsidR="003D640C">
        <w:rPr>
          <w:lang w:eastAsia="en-NZ"/>
        </w:rPr>
        <w:t xml:space="preserve"> </w:t>
      </w:r>
      <w:r w:rsidR="00A20FCF" w:rsidRPr="00BB6220">
        <w:rPr>
          <w:lang w:eastAsia="en-NZ"/>
        </w:rPr>
        <w:t>from</w:t>
      </w:r>
      <w:r w:rsidR="003D640C">
        <w:rPr>
          <w:lang w:eastAsia="en-NZ"/>
        </w:rPr>
        <w:t xml:space="preserve"> </w:t>
      </w:r>
      <w:r w:rsidR="00A20FCF" w:rsidRPr="00BB6220">
        <w:rPr>
          <w:lang w:eastAsia="en-NZ"/>
        </w:rPr>
        <w:t>the</w:t>
      </w:r>
      <w:r w:rsidR="003D640C">
        <w:rPr>
          <w:lang w:eastAsia="en-NZ"/>
        </w:rPr>
        <w:t xml:space="preserve"> </w:t>
      </w:r>
      <w:r w:rsidR="00A20FCF" w:rsidRPr="00BB6220">
        <w:rPr>
          <w:lang w:eastAsia="en-NZ"/>
        </w:rPr>
        <w:t>point</w:t>
      </w:r>
      <w:r w:rsidR="003D640C">
        <w:rPr>
          <w:lang w:eastAsia="en-NZ"/>
        </w:rPr>
        <w:t xml:space="preserve"> </w:t>
      </w:r>
      <w:r w:rsidR="00A20FCF" w:rsidRPr="00BB6220">
        <w:rPr>
          <w:lang w:eastAsia="en-NZ"/>
        </w:rPr>
        <w:t>of</w:t>
      </w:r>
      <w:r w:rsidR="003D640C">
        <w:rPr>
          <w:lang w:eastAsia="en-NZ"/>
        </w:rPr>
        <w:t xml:space="preserve"> </w:t>
      </w:r>
      <w:r w:rsidR="00A20FCF" w:rsidRPr="00BB6220">
        <w:rPr>
          <w:lang w:eastAsia="en-NZ"/>
        </w:rPr>
        <w:t>view</w:t>
      </w:r>
      <w:r w:rsidR="003D640C">
        <w:rPr>
          <w:lang w:eastAsia="en-NZ"/>
        </w:rPr>
        <w:t xml:space="preserve"> </w:t>
      </w:r>
      <w:r w:rsidR="00A20FCF" w:rsidRPr="00BB6220">
        <w:rPr>
          <w:lang w:eastAsia="en-NZ"/>
        </w:rPr>
        <w:t>of</w:t>
      </w:r>
      <w:r w:rsidR="003D640C">
        <w:rPr>
          <w:lang w:eastAsia="en-NZ"/>
        </w:rPr>
        <w:t xml:space="preserve"> </w:t>
      </w:r>
      <w:r w:rsidR="00A20FCF" w:rsidRPr="00BB6220">
        <w:rPr>
          <w:lang w:eastAsia="en-NZ"/>
        </w:rPr>
        <w:t>the</w:t>
      </w:r>
      <w:r w:rsidR="003D640C">
        <w:rPr>
          <w:lang w:eastAsia="en-NZ"/>
        </w:rPr>
        <w:t xml:space="preserve"> </w:t>
      </w:r>
      <w:r w:rsidR="00A20FCF" w:rsidRPr="00BB6220">
        <w:rPr>
          <w:lang w:eastAsia="en-NZ"/>
        </w:rPr>
        <w:t>survivor</w:t>
      </w:r>
      <w:r w:rsidR="00133F8F">
        <w:rPr>
          <w:lang w:eastAsia="en-NZ"/>
        </w:rPr>
        <w:t>,</w:t>
      </w:r>
      <w:r w:rsidR="003D640C">
        <w:rPr>
          <w:lang w:eastAsia="en-NZ"/>
        </w:rPr>
        <w:t xml:space="preserve"> </w:t>
      </w:r>
      <w:r w:rsidRPr="00BB6220">
        <w:rPr>
          <w:lang w:eastAsia="en-NZ"/>
        </w:rPr>
        <w:t>th</w:t>
      </w:r>
      <w:r w:rsidR="00A20FCF" w:rsidRPr="00BB6220">
        <w:rPr>
          <w:lang w:eastAsia="en-NZ"/>
        </w:rPr>
        <w:t>e</w:t>
      </w:r>
      <w:r w:rsidR="003D640C">
        <w:rPr>
          <w:lang w:eastAsia="en-NZ"/>
        </w:rPr>
        <w:t xml:space="preserve"> </w:t>
      </w:r>
      <w:r w:rsidR="00A20FCF" w:rsidRPr="00BB6220">
        <w:rPr>
          <w:lang w:eastAsia="en-NZ"/>
        </w:rPr>
        <w:t>therapy</w:t>
      </w:r>
      <w:r w:rsidR="003D640C">
        <w:rPr>
          <w:lang w:eastAsia="en-NZ"/>
        </w:rPr>
        <w:t xml:space="preserve"> </w:t>
      </w:r>
      <w:r w:rsidR="00A20FCF" w:rsidRPr="00BB6220">
        <w:rPr>
          <w:lang w:eastAsia="en-NZ"/>
        </w:rPr>
        <w:t>technique</w:t>
      </w:r>
      <w:r w:rsidR="003D640C">
        <w:rPr>
          <w:lang w:eastAsia="en-NZ"/>
        </w:rPr>
        <w:t xml:space="preserve"> </w:t>
      </w:r>
      <w:r w:rsidR="00A20FCF" w:rsidRPr="00BB6220">
        <w:rPr>
          <w:lang w:eastAsia="en-NZ"/>
        </w:rPr>
        <w:t>in</w:t>
      </w:r>
      <w:r w:rsidR="003D640C">
        <w:rPr>
          <w:lang w:eastAsia="en-NZ"/>
        </w:rPr>
        <w:t xml:space="preserve"> </w:t>
      </w:r>
      <w:r w:rsidR="00A20FCF" w:rsidRPr="00BB6220">
        <w:rPr>
          <w:lang w:eastAsia="en-NZ"/>
        </w:rPr>
        <w:t>any</w:t>
      </w:r>
      <w:r w:rsidR="003D640C">
        <w:rPr>
          <w:lang w:eastAsia="en-NZ"/>
        </w:rPr>
        <w:t xml:space="preserve"> </w:t>
      </w:r>
      <w:r w:rsidR="00A20FCF" w:rsidRPr="00BB6220">
        <w:rPr>
          <w:lang w:eastAsia="en-NZ"/>
        </w:rPr>
        <w:t>way</w:t>
      </w:r>
      <w:r w:rsidR="003D640C">
        <w:rPr>
          <w:lang w:eastAsia="en-NZ"/>
        </w:rPr>
        <w:t xml:space="preserve"> </w:t>
      </w:r>
      <w:r w:rsidR="00A20FCF" w:rsidRPr="00BB6220">
        <w:rPr>
          <w:lang w:eastAsia="en-NZ"/>
        </w:rPr>
        <w:t>resembles</w:t>
      </w:r>
      <w:r w:rsidR="003D640C">
        <w:rPr>
          <w:lang w:eastAsia="en-NZ"/>
        </w:rPr>
        <w:t xml:space="preserve"> </w:t>
      </w:r>
      <w:r w:rsidRPr="00BB6220">
        <w:rPr>
          <w:lang w:eastAsia="en-NZ"/>
        </w:rPr>
        <w:t>the</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they</w:t>
      </w:r>
      <w:r w:rsidR="003D640C">
        <w:rPr>
          <w:lang w:eastAsia="en-NZ"/>
        </w:rPr>
        <w:t xml:space="preserve"> </w:t>
      </w:r>
      <w:r w:rsidRPr="00BB6220">
        <w:rPr>
          <w:lang w:eastAsia="en-NZ"/>
        </w:rPr>
        <w:t>experienced.</w:t>
      </w:r>
      <w:r w:rsidR="003D640C">
        <w:rPr>
          <w:lang w:eastAsia="en-NZ"/>
        </w:rPr>
        <w:t xml:space="preserve"> </w:t>
      </w:r>
      <w:r w:rsidRPr="00BB6220">
        <w:rPr>
          <w:lang w:eastAsia="en-NZ"/>
        </w:rPr>
        <w:t>This</w:t>
      </w:r>
      <w:r w:rsidR="003D640C">
        <w:rPr>
          <w:lang w:eastAsia="en-NZ"/>
        </w:rPr>
        <w:t xml:space="preserve"> </w:t>
      </w:r>
      <w:r w:rsidRPr="00BB6220">
        <w:rPr>
          <w:lang w:eastAsia="en-NZ"/>
        </w:rPr>
        <w:t>makes</w:t>
      </w:r>
      <w:r w:rsidR="003D640C">
        <w:rPr>
          <w:lang w:eastAsia="en-NZ"/>
        </w:rPr>
        <w:t xml:space="preserve"> </w:t>
      </w:r>
      <w:r w:rsidRPr="00BB6220">
        <w:rPr>
          <w:lang w:eastAsia="en-NZ"/>
        </w:rPr>
        <w:t>it</w:t>
      </w:r>
      <w:r w:rsidR="003D640C">
        <w:rPr>
          <w:lang w:eastAsia="en-NZ"/>
        </w:rPr>
        <w:t xml:space="preserve"> </w:t>
      </w:r>
      <w:r w:rsidRPr="00BB6220">
        <w:rPr>
          <w:lang w:eastAsia="en-NZ"/>
        </w:rPr>
        <w:t>imperative</w:t>
      </w:r>
      <w:r w:rsidR="003D640C">
        <w:rPr>
          <w:lang w:eastAsia="en-NZ"/>
        </w:rPr>
        <w:t xml:space="preserve"> </w:t>
      </w:r>
      <w:r w:rsidRPr="00BB6220">
        <w:rPr>
          <w:lang w:eastAsia="en-NZ"/>
        </w:rPr>
        <w:t>to</w:t>
      </w:r>
      <w:r w:rsidR="003D640C">
        <w:rPr>
          <w:lang w:eastAsia="en-NZ"/>
        </w:rPr>
        <w:t xml:space="preserve"> </w:t>
      </w:r>
      <w:r w:rsidRPr="00BB6220">
        <w:rPr>
          <w:lang w:eastAsia="en-NZ"/>
        </w:rPr>
        <w:t>approach</w:t>
      </w:r>
      <w:r w:rsidR="003D640C">
        <w:rPr>
          <w:lang w:eastAsia="en-NZ"/>
        </w:rPr>
        <w:t xml:space="preserve"> </w:t>
      </w:r>
      <w:r w:rsidRPr="00BB6220">
        <w:rPr>
          <w:lang w:eastAsia="en-NZ"/>
        </w:rPr>
        <w:t>the</w:t>
      </w:r>
      <w:r w:rsidR="003D640C">
        <w:rPr>
          <w:lang w:eastAsia="en-NZ"/>
        </w:rPr>
        <w:t xml:space="preserve"> </w:t>
      </w:r>
      <w:r w:rsidRPr="00BB6220">
        <w:rPr>
          <w:lang w:eastAsia="en-NZ"/>
        </w:rPr>
        <w:t>recovery</w:t>
      </w:r>
      <w:r w:rsidR="003D640C">
        <w:rPr>
          <w:lang w:eastAsia="en-NZ"/>
        </w:rPr>
        <w:t xml:space="preserve"> </w:t>
      </w:r>
      <w:r w:rsidRPr="00BB6220">
        <w:rPr>
          <w:lang w:eastAsia="en-NZ"/>
        </w:rPr>
        <w:t>process</w:t>
      </w:r>
      <w:r w:rsidR="003D640C">
        <w:rPr>
          <w:lang w:eastAsia="en-NZ"/>
        </w:rPr>
        <w:t xml:space="preserve"> </w:t>
      </w:r>
      <w:r w:rsidRPr="00BB6220">
        <w:rPr>
          <w:lang w:eastAsia="en-NZ"/>
        </w:rPr>
        <w:t>cautiously</w:t>
      </w:r>
      <w:r w:rsidR="003D640C">
        <w:rPr>
          <w:lang w:eastAsia="en-NZ"/>
        </w:rPr>
        <w:t xml:space="preserve"> </w:t>
      </w:r>
      <w:r w:rsidRPr="00BB6220">
        <w:rPr>
          <w:lang w:eastAsia="en-NZ"/>
        </w:rPr>
        <w:t>and</w:t>
      </w:r>
      <w:r w:rsidR="003D640C">
        <w:rPr>
          <w:lang w:eastAsia="en-NZ"/>
        </w:rPr>
        <w:t xml:space="preserve"> </w:t>
      </w:r>
      <w:r w:rsidRPr="00BB6220">
        <w:rPr>
          <w:lang w:eastAsia="en-NZ"/>
        </w:rPr>
        <w:t>consider</w:t>
      </w:r>
      <w:r w:rsidR="003D640C">
        <w:rPr>
          <w:lang w:eastAsia="en-NZ"/>
        </w:rPr>
        <w:t xml:space="preserve"> </w:t>
      </w:r>
      <w:r w:rsidRPr="00BB6220">
        <w:rPr>
          <w:lang w:eastAsia="en-NZ"/>
        </w:rPr>
        <w:t>alternative</w:t>
      </w:r>
      <w:r w:rsidR="003D640C">
        <w:rPr>
          <w:lang w:eastAsia="en-NZ"/>
        </w:rPr>
        <w:t xml:space="preserve"> </w:t>
      </w:r>
      <w:r w:rsidRPr="00BB6220">
        <w:rPr>
          <w:lang w:eastAsia="en-NZ"/>
        </w:rPr>
        <w:t>methods</w:t>
      </w:r>
      <w:r w:rsidR="003D640C">
        <w:rPr>
          <w:lang w:eastAsia="en-NZ"/>
        </w:rPr>
        <w:t xml:space="preserve"> </w:t>
      </w:r>
      <w:r w:rsidRPr="00BB6220">
        <w:rPr>
          <w:lang w:eastAsia="en-NZ"/>
        </w:rPr>
        <w:t>of</w:t>
      </w:r>
      <w:r w:rsidR="003D640C">
        <w:rPr>
          <w:lang w:eastAsia="en-NZ"/>
        </w:rPr>
        <w:t xml:space="preserve"> </w:t>
      </w:r>
      <w:r w:rsidRPr="00BB6220">
        <w:rPr>
          <w:lang w:eastAsia="en-NZ"/>
        </w:rPr>
        <w:t>support</w:t>
      </w:r>
      <w:r w:rsidR="003D640C">
        <w:rPr>
          <w:lang w:eastAsia="en-NZ"/>
        </w:rPr>
        <w:t xml:space="preserve"> </w:t>
      </w:r>
      <w:r w:rsidRPr="00BB6220">
        <w:rPr>
          <w:lang w:eastAsia="en-NZ"/>
        </w:rPr>
        <w:t>that</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better</w:t>
      </w:r>
      <w:r w:rsidR="003D640C">
        <w:rPr>
          <w:lang w:eastAsia="en-NZ"/>
        </w:rPr>
        <w:t xml:space="preserve"> </w:t>
      </w:r>
      <w:r w:rsidRPr="00BB6220">
        <w:rPr>
          <w:lang w:eastAsia="en-NZ"/>
        </w:rPr>
        <w:t>suited</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individual’s</w:t>
      </w:r>
      <w:r w:rsidR="003D640C">
        <w:rPr>
          <w:lang w:eastAsia="en-NZ"/>
        </w:rPr>
        <w:t xml:space="preserve"> </w:t>
      </w:r>
      <w:r w:rsidRPr="00BB6220">
        <w:rPr>
          <w:lang w:eastAsia="en-NZ"/>
        </w:rPr>
        <w:t>situation</w:t>
      </w:r>
      <w:r w:rsidR="003D640C">
        <w:rPr>
          <w:lang w:eastAsia="en-NZ"/>
        </w:rPr>
        <w:t xml:space="preserve"> </w:t>
      </w:r>
      <w:r w:rsidRPr="00BB6220">
        <w:rPr>
          <w:lang w:eastAsia="en-NZ"/>
        </w:rPr>
        <w:t>and</w:t>
      </w:r>
      <w:r w:rsidR="003D640C">
        <w:rPr>
          <w:lang w:eastAsia="en-NZ"/>
        </w:rPr>
        <w:t xml:space="preserve"> </w:t>
      </w:r>
      <w:r w:rsidRPr="00BB6220">
        <w:rPr>
          <w:lang w:eastAsia="en-NZ"/>
        </w:rPr>
        <w:t>needs.</w:t>
      </w:r>
      <w:r w:rsidR="003D640C">
        <w:rPr>
          <w:lang w:eastAsia="en-NZ"/>
        </w:rPr>
        <w:t xml:space="preserve"> </w:t>
      </w:r>
    </w:p>
    <w:p w14:paraId="3E779FC0" w14:textId="22BC0DD8" w:rsidR="00CF4A69" w:rsidRPr="00BB6220" w:rsidRDefault="00624167" w:rsidP="00B51F0B">
      <w:pPr>
        <w:pBdr>
          <w:top w:val="single" w:sz="4" w:space="1" w:color="auto"/>
          <w:left w:val="single" w:sz="4" w:space="4" w:color="auto"/>
          <w:bottom w:val="single" w:sz="4" w:space="1" w:color="auto"/>
          <w:right w:val="single" w:sz="4" w:space="4" w:color="auto"/>
        </w:pBdr>
      </w:pPr>
      <w:r w:rsidRPr="00BB6220">
        <w:rPr>
          <w:lang w:eastAsia="en-NZ"/>
        </w:rPr>
        <w:t>Even</w:t>
      </w:r>
      <w:r w:rsidR="003D640C">
        <w:rPr>
          <w:lang w:eastAsia="en-NZ"/>
        </w:rPr>
        <w:t xml:space="preserve"> </w:t>
      </w:r>
      <w:r w:rsidRPr="00BB6220">
        <w:rPr>
          <w:lang w:eastAsia="en-NZ"/>
        </w:rPr>
        <w:t>if</w:t>
      </w:r>
      <w:r w:rsidR="003D640C">
        <w:rPr>
          <w:lang w:eastAsia="en-NZ"/>
        </w:rPr>
        <w:t xml:space="preserve"> </w:t>
      </w:r>
      <w:r w:rsidRPr="00BB6220">
        <w:rPr>
          <w:lang w:eastAsia="en-NZ"/>
        </w:rPr>
        <w:t>a</w:t>
      </w:r>
      <w:r w:rsidR="003D640C">
        <w:rPr>
          <w:lang w:eastAsia="en-NZ"/>
        </w:rPr>
        <w:t xml:space="preserve"> </w:t>
      </w:r>
      <w:r w:rsidRPr="00BB6220">
        <w:rPr>
          <w:lang w:eastAsia="en-NZ"/>
        </w:rPr>
        <w:t>therapy</w:t>
      </w:r>
      <w:r w:rsidR="003D640C">
        <w:rPr>
          <w:lang w:eastAsia="en-NZ"/>
        </w:rPr>
        <w:t xml:space="preserve"> </w:t>
      </w:r>
      <w:r w:rsidRPr="00BB6220">
        <w:rPr>
          <w:lang w:eastAsia="en-NZ"/>
        </w:rPr>
        <w:t>technique</w:t>
      </w:r>
      <w:r w:rsidR="003D640C">
        <w:rPr>
          <w:lang w:eastAsia="en-NZ"/>
        </w:rPr>
        <w:t xml:space="preserve"> </w:t>
      </w:r>
      <w:r w:rsidRPr="00BB6220">
        <w:rPr>
          <w:lang w:eastAsia="en-NZ"/>
        </w:rPr>
        <w:t>is</w:t>
      </w:r>
      <w:r w:rsidR="003D640C">
        <w:rPr>
          <w:lang w:eastAsia="en-NZ"/>
        </w:rPr>
        <w:t xml:space="preserve"> </w:t>
      </w:r>
      <w:r w:rsidR="00CF4A69" w:rsidRPr="00BB6220">
        <w:rPr>
          <w:lang w:eastAsia="en-NZ"/>
        </w:rPr>
        <w:t>reputable</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evidence-based</w:t>
      </w:r>
      <w:r w:rsidRPr="00BB6220">
        <w:rPr>
          <w:lang w:eastAsia="en-NZ"/>
        </w:rPr>
        <w:t>,</w:t>
      </w:r>
      <w:r w:rsidR="003D640C">
        <w:rPr>
          <w:lang w:eastAsia="en-NZ"/>
        </w:rPr>
        <w:t xml:space="preserve"> </w:t>
      </w:r>
      <w:r w:rsidRPr="00BB6220">
        <w:rPr>
          <w:lang w:eastAsia="en-NZ"/>
        </w:rPr>
        <w:t>it</w:t>
      </w:r>
      <w:r w:rsidR="003D640C">
        <w:rPr>
          <w:lang w:eastAsia="en-NZ"/>
        </w:rPr>
        <w:t xml:space="preserve"> </w:t>
      </w:r>
      <w:r w:rsidRPr="00BB6220">
        <w:rPr>
          <w:lang w:eastAsia="en-NZ"/>
        </w:rPr>
        <w:t>will</w:t>
      </w:r>
      <w:r w:rsidR="003D640C">
        <w:rPr>
          <w:lang w:eastAsia="en-NZ"/>
        </w:rPr>
        <w:t xml:space="preserve"> </w:t>
      </w:r>
      <w:r w:rsidRPr="00BB6220">
        <w:rPr>
          <w:lang w:eastAsia="en-NZ"/>
        </w:rPr>
        <w:t>be</w:t>
      </w:r>
      <w:r w:rsidR="003D640C">
        <w:rPr>
          <w:lang w:eastAsia="en-NZ"/>
        </w:rPr>
        <w:t xml:space="preserve"> </w:t>
      </w:r>
      <w:r w:rsidR="00CF4A69" w:rsidRPr="00BB6220">
        <w:rPr>
          <w:lang w:eastAsia="en-NZ"/>
        </w:rPr>
        <w:t>inappropriate</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harmful</w:t>
      </w:r>
      <w:r w:rsidR="003D640C">
        <w:rPr>
          <w:lang w:eastAsia="en-NZ"/>
        </w:rPr>
        <w:t xml:space="preserve"> </w:t>
      </w:r>
      <w:r w:rsidR="00CF4A69" w:rsidRPr="00BB6220">
        <w:rPr>
          <w:lang w:eastAsia="en-NZ"/>
        </w:rPr>
        <w:t>if</w:t>
      </w:r>
      <w:r w:rsidR="003D640C">
        <w:rPr>
          <w:lang w:eastAsia="en-NZ"/>
        </w:rPr>
        <w:t xml:space="preserve"> </w:t>
      </w:r>
      <w:r w:rsidR="00CF4A69" w:rsidRPr="00BB6220">
        <w:rPr>
          <w:lang w:eastAsia="en-NZ"/>
        </w:rPr>
        <w:t>it</w:t>
      </w:r>
      <w:r w:rsidR="003D640C">
        <w:rPr>
          <w:lang w:eastAsia="en-NZ"/>
        </w:rPr>
        <w:t xml:space="preserve"> </w:t>
      </w:r>
      <w:r w:rsidR="00CF4A69" w:rsidRPr="00BB6220">
        <w:rPr>
          <w:lang w:eastAsia="en-NZ"/>
        </w:rPr>
        <w:t>mimics</w:t>
      </w:r>
      <w:r w:rsidR="003D640C">
        <w:rPr>
          <w:lang w:eastAsia="en-NZ"/>
        </w:rPr>
        <w:t xml:space="preserve"> </w:t>
      </w:r>
      <w:r w:rsidR="00CF4A69" w:rsidRPr="00BB6220">
        <w:rPr>
          <w:lang w:eastAsia="en-NZ"/>
        </w:rPr>
        <w:t>the</w:t>
      </w:r>
      <w:r w:rsidR="003D640C">
        <w:rPr>
          <w:lang w:eastAsia="en-NZ"/>
        </w:rPr>
        <w:t xml:space="preserve"> </w:t>
      </w:r>
      <w:r w:rsidR="00CF4A69" w:rsidRPr="00BB6220">
        <w:rPr>
          <w:lang w:eastAsia="en-NZ"/>
        </w:rPr>
        <w:t>vehicle</w:t>
      </w:r>
      <w:r w:rsidR="003D640C">
        <w:rPr>
          <w:lang w:eastAsia="en-NZ"/>
        </w:rPr>
        <w:t xml:space="preserve"> </w:t>
      </w:r>
      <w:r w:rsidR="00CF4A69" w:rsidRPr="00BB6220">
        <w:rPr>
          <w:lang w:eastAsia="en-NZ"/>
        </w:rPr>
        <w:t>by</w:t>
      </w:r>
      <w:r w:rsidR="003D640C">
        <w:rPr>
          <w:lang w:eastAsia="en-NZ"/>
        </w:rPr>
        <w:t xml:space="preserve"> </w:t>
      </w:r>
      <w:r w:rsidR="00CF4A69" w:rsidRPr="00BB6220">
        <w:rPr>
          <w:lang w:eastAsia="en-NZ"/>
        </w:rPr>
        <w:t>which</w:t>
      </w:r>
      <w:r w:rsidR="003D640C">
        <w:rPr>
          <w:lang w:eastAsia="en-NZ"/>
        </w:rPr>
        <w:t xml:space="preserve"> </w:t>
      </w:r>
      <w:r w:rsidR="00CF4A69" w:rsidRPr="00BB6220">
        <w:rPr>
          <w:lang w:eastAsia="en-NZ"/>
        </w:rPr>
        <w:t>a</w:t>
      </w:r>
      <w:r w:rsidR="003D640C">
        <w:rPr>
          <w:lang w:eastAsia="en-NZ"/>
        </w:rPr>
        <w:t xml:space="preserve"> </w:t>
      </w:r>
      <w:r w:rsidR="00CF4A69" w:rsidRPr="00BB6220">
        <w:rPr>
          <w:lang w:eastAsia="en-NZ"/>
        </w:rPr>
        <w:t>survivor</w:t>
      </w:r>
      <w:r w:rsidR="003D640C">
        <w:rPr>
          <w:lang w:eastAsia="en-NZ"/>
        </w:rPr>
        <w:t xml:space="preserve"> </w:t>
      </w:r>
      <w:r w:rsidR="00CF4A69" w:rsidRPr="00BB6220">
        <w:rPr>
          <w:lang w:eastAsia="en-NZ"/>
        </w:rPr>
        <w:t>experienced</w:t>
      </w:r>
      <w:r w:rsidR="003D640C">
        <w:rPr>
          <w:lang w:eastAsia="en-NZ"/>
        </w:rPr>
        <w:t xml:space="preserve"> </w:t>
      </w:r>
      <w:r w:rsidR="00C90505" w:rsidRPr="00BB6220">
        <w:rPr>
          <w:lang w:eastAsia="en-NZ"/>
        </w:rPr>
        <w:t>their</w:t>
      </w:r>
      <w:r w:rsidR="003D640C">
        <w:rPr>
          <w:lang w:eastAsia="en-NZ"/>
        </w:rPr>
        <w:t xml:space="preserve"> </w:t>
      </w:r>
      <w:r w:rsidR="00C90505" w:rsidRPr="00BB6220">
        <w:rPr>
          <w:lang w:eastAsia="en-NZ"/>
        </w:rPr>
        <w:t>abusive</w:t>
      </w:r>
      <w:r w:rsidR="003D640C">
        <w:rPr>
          <w:lang w:eastAsia="en-NZ"/>
        </w:rPr>
        <w:t xml:space="preserve"> </w:t>
      </w:r>
      <w:r w:rsidR="00CF4A69" w:rsidRPr="00BB6220">
        <w:rPr>
          <w:lang w:eastAsia="en-NZ"/>
        </w:rPr>
        <w:t>conversion</w:t>
      </w:r>
      <w:r w:rsidR="003D640C">
        <w:rPr>
          <w:lang w:eastAsia="en-NZ"/>
        </w:rPr>
        <w:t xml:space="preserve"> </w:t>
      </w:r>
      <w:r w:rsidR="00CF4A69" w:rsidRPr="00BB6220">
        <w:rPr>
          <w:lang w:eastAsia="en-NZ"/>
        </w:rPr>
        <w:t>practices.</w:t>
      </w:r>
    </w:p>
    <w:p w14:paraId="0E385315" w14:textId="4ABBE7A6" w:rsidR="00CF4A69" w:rsidRPr="00BB6220" w:rsidRDefault="00CF4A69" w:rsidP="00B51F0B">
      <w:pPr>
        <w:pStyle w:val="Bullet"/>
        <w:rPr>
          <w:lang w:eastAsia="en-NZ"/>
        </w:rPr>
      </w:pPr>
      <w:r w:rsidRPr="00BB6220">
        <w:rPr>
          <w:b/>
          <w:lang w:eastAsia="en-NZ"/>
        </w:rPr>
        <w:lastRenderedPageBreak/>
        <w:t>Carefully</w:t>
      </w:r>
      <w:r w:rsidR="003D640C">
        <w:rPr>
          <w:b/>
          <w:lang w:eastAsia="en-NZ"/>
        </w:rPr>
        <w:t xml:space="preserve"> </w:t>
      </w:r>
      <w:r w:rsidRPr="00BB6220">
        <w:rPr>
          <w:b/>
          <w:lang w:eastAsia="en-NZ"/>
        </w:rPr>
        <w:t>consider</w:t>
      </w:r>
      <w:r w:rsidR="003D640C">
        <w:rPr>
          <w:b/>
          <w:lang w:eastAsia="en-NZ"/>
        </w:rPr>
        <w:t xml:space="preserve"> </w:t>
      </w:r>
      <w:r w:rsidRPr="00BB6220">
        <w:rPr>
          <w:b/>
          <w:lang w:eastAsia="en-NZ"/>
        </w:rPr>
        <w:t>which</w:t>
      </w:r>
      <w:r w:rsidR="003D640C">
        <w:rPr>
          <w:b/>
          <w:lang w:eastAsia="en-NZ"/>
        </w:rPr>
        <w:t xml:space="preserve"> </w:t>
      </w:r>
      <w:r w:rsidRPr="00BB6220">
        <w:rPr>
          <w:b/>
          <w:lang w:eastAsia="en-NZ"/>
        </w:rPr>
        <w:t>approaches</w:t>
      </w:r>
      <w:r w:rsidR="003D640C">
        <w:rPr>
          <w:b/>
          <w:lang w:eastAsia="en-NZ"/>
        </w:rPr>
        <w:t xml:space="preserve"> </w:t>
      </w:r>
      <w:r w:rsidRPr="00BB6220">
        <w:rPr>
          <w:b/>
          <w:lang w:eastAsia="en-NZ"/>
        </w:rPr>
        <w:t>are</w:t>
      </w:r>
      <w:r w:rsidR="003D640C">
        <w:rPr>
          <w:b/>
          <w:lang w:eastAsia="en-NZ"/>
        </w:rPr>
        <w:t xml:space="preserve"> </w:t>
      </w:r>
      <w:r w:rsidRPr="00BB6220">
        <w:rPr>
          <w:b/>
          <w:lang w:eastAsia="en-NZ"/>
        </w:rPr>
        <w:t>safest</w:t>
      </w:r>
      <w:r w:rsidR="003D640C">
        <w:rPr>
          <w:b/>
          <w:lang w:eastAsia="en-NZ"/>
        </w:rPr>
        <w:t xml:space="preserve"> </w:t>
      </w:r>
      <w:r w:rsidRPr="00BB6220">
        <w:rPr>
          <w:b/>
          <w:lang w:eastAsia="en-NZ"/>
        </w:rPr>
        <w:t>for</w:t>
      </w:r>
      <w:r w:rsidR="003D640C">
        <w:rPr>
          <w:b/>
          <w:lang w:eastAsia="en-NZ"/>
        </w:rPr>
        <w:t xml:space="preserve"> </w:t>
      </w:r>
      <w:r w:rsidRPr="00BB6220">
        <w:rPr>
          <w:b/>
          <w:lang w:eastAsia="en-NZ"/>
        </w:rPr>
        <w:t>the</w:t>
      </w:r>
      <w:r w:rsidR="003D640C">
        <w:rPr>
          <w:b/>
          <w:lang w:eastAsia="en-NZ"/>
        </w:rPr>
        <w:t xml:space="preserve"> </w:t>
      </w:r>
      <w:r w:rsidRPr="00BB6220">
        <w:rPr>
          <w:b/>
          <w:lang w:eastAsia="en-NZ"/>
        </w:rPr>
        <w:t>survivor</w:t>
      </w:r>
      <w:r w:rsidRPr="00BB6220">
        <w:rPr>
          <w:lang w:eastAsia="en-NZ"/>
        </w:rPr>
        <w:t>,</w:t>
      </w:r>
      <w:r w:rsidR="003D640C">
        <w:rPr>
          <w:lang w:eastAsia="en-NZ"/>
        </w:rPr>
        <w:t xml:space="preserve"> </w:t>
      </w:r>
      <w:r w:rsidRPr="00BB6220">
        <w:rPr>
          <w:lang w:eastAsia="en-NZ"/>
        </w:rPr>
        <w:t>acknowledging</w:t>
      </w:r>
      <w:r w:rsidR="003D640C">
        <w:rPr>
          <w:lang w:eastAsia="en-NZ"/>
        </w:rPr>
        <w:t xml:space="preserve"> </w:t>
      </w:r>
      <w:r w:rsidRPr="00BB6220">
        <w:rPr>
          <w:lang w:eastAsia="en-NZ"/>
        </w:rPr>
        <w:t>that</w:t>
      </w:r>
      <w:r w:rsidR="003D640C">
        <w:rPr>
          <w:lang w:eastAsia="en-NZ"/>
        </w:rPr>
        <w:t xml:space="preserve"> </w:t>
      </w:r>
      <w:r w:rsidRPr="00BB6220">
        <w:rPr>
          <w:lang w:eastAsia="en-NZ"/>
        </w:rPr>
        <w:t>usual</w:t>
      </w:r>
      <w:r w:rsidR="003D640C">
        <w:rPr>
          <w:lang w:eastAsia="en-NZ"/>
        </w:rPr>
        <w:t xml:space="preserve"> </w:t>
      </w:r>
      <w:r w:rsidRPr="00BB6220">
        <w:rPr>
          <w:lang w:eastAsia="en-NZ"/>
        </w:rPr>
        <w:t>methods</w:t>
      </w:r>
      <w:r w:rsidR="003D640C">
        <w:rPr>
          <w:lang w:eastAsia="en-NZ"/>
        </w:rPr>
        <w:t xml:space="preserve"> </w:t>
      </w:r>
      <w:r w:rsidRPr="00BB6220">
        <w:rPr>
          <w:lang w:eastAsia="en-NZ"/>
        </w:rPr>
        <w:t>and</w:t>
      </w:r>
      <w:r w:rsidR="003D640C">
        <w:rPr>
          <w:lang w:eastAsia="en-NZ"/>
        </w:rPr>
        <w:t xml:space="preserve"> </w:t>
      </w:r>
      <w:r w:rsidRPr="00BB6220">
        <w:rPr>
          <w:lang w:eastAsia="en-NZ"/>
        </w:rPr>
        <w:t>tools,</w:t>
      </w:r>
      <w:r w:rsidR="003D640C">
        <w:rPr>
          <w:lang w:eastAsia="en-NZ"/>
        </w:rPr>
        <w:t xml:space="preserve"> </w:t>
      </w:r>
      <w:r w:rsidRPr="00BB6220">
        <w:rPr>
          <w:lang w:eastAsia="en-NZ"/>
        </w:rPr>
        <w:t>no</w:t>
      </w:r>
      <w:r w:rsidR="003D640C">
        <w:rPr>
          <w:lang w:eastAsia="en-NZ"/>
        </w:rPr>
        <w:t xml:space="preserve"> </w:t>
      </w:r>
      <w:r w:rsidRPr="00BB6220">
        <w:rPr>
          <w:lang w:eastAsia="en-NZ"/>
        </w:rPr>
        <w:t>matter</w:t>
      </w:r>
      <w:r w:rsidR="003D640C">
        <w:rPr>
          <w:lang w:eastAsia="en-NZ"/>
        </w:rPr>
        <w:t xml:space="preserve"> </w:t>
      </w:r>
      <w:r w:rsidR="00133F8F">
        <w:rPr>
          <w:lang w:eastAsia="en-NZ"/>
        </w:rPr>
        <w:t>what</w:t>
      </w:r>
      <w:r w:rsidR="003D640C">
        <w:rPr>
          <w:lang w:eastAsia="en-NZ"/>
        </w:rPr>
        <w:t xml:space="preserve"> </w:t>
      </w:r>
      <w:r w:rsidRPr="00BB6220">
        <w:rPr>
          <w:lang w:eastAsia="en-NZ"/>
        </w:rPr>
        <w:t>their</w:t>
      </w:r>
      <w:r w:rsidR="003D640C">
        <w:rPr>
          <w:lang w:eastAsia="en-NZ"/>
        </w:rPr>
        <w:t xml:space="preserve"> </w:t>
      </w:r>
      <w:r w:rsidRPr="00BB6220">
        <w:rPr>
          <w:lang w:eastAsia="en-NZ"/>
        </w:rPr>
        <w:t>evidence</w:t>
      </w:r>
      <w:r w:rsidR="003D640C">
        <w:rPr>
          <w:lang w:eastAsia="en-NZ"/>
        </w:rPr>
        <w:t xml:space="preserve"> </w:t>
      </w:r>
      <w:r w:rsidRPr="00BB6220">
        <w:rPr>
          <w:lang w:eastAsia="en-NZ"/>
        </w:rPr>
        <w:t>base,</w:t>
      </w:r>
      <w:r w:rsidR="003D640C">
        <w:rPr>
          <w:lang w:eastAsia="en-NZ"/>
        </w:rPr>
        <w:t xml:space="preserve"> </w:t>
      </w:r>
      <w:r w:rsidRPr="00BB6220">
        <w:rPr>
          <w:lang w:eastAsia="en-NZ"/>
        </w:rPr>
        <w:t>may</w:t>
      </w:r>
      <w:r w:rsidR="003D640C">
        <w:rPr>
          <w:lang w:eastAsia="en-NZ"/>
        </w:rPr>
        <w:t xml:space="preserve"> </w:t>
      </w:r>
      <w:r w:rsidRPr="00BB6220">
        <w:rPr>
          <w:lang w:eastAsia="en-NZ"/>
        </w:rPr>
        <w:t>risk</w:t>
      </w:r>
      <w:r w:rsidR="003D640C">
        <w:rPr>
          <w:lang w:eastAsia="en-NZ"/>
        </w:rPr>
        <w:t xml:space="preserve"> </w:t>
      </w:r>
      <w:r w:rsidRPr="00BB6220">
        <w:rPr>
          <w:lang w:eastAsia="en-NZ"/>
        </w:rPr>
        <w:t>retraumatising</w:t>
      </w:r>
      <w:r w:rsidR="003D640C">
        <w:rPr>
          <w:lang w:eastAsia="en-NZ"/>
        </w:rPr>
        <w:t xml:space="preserve"> </w:t>
      </w:r>
      <w:r w:rsidRPr="00BB6220">
        <w:rPr>
          <w:lang w:eastAsia="en-NZ"/>
        </w:rPr>
        <w:t>the</w:t>
      </w:r>
      <w:r w:rsidR="003D640C">
        <w:rPr>
          <w:lang w:eastAsia="en-NZ"/>
        </w:rPr>
        <w:t xml:space="preserve"> </w:t>
      </w:r>
      <w:r w:rsidRPr="00BB6220">
        <w:rPr>
          <w:lang w:eastAsia="en-NZ"/>
        </w:rPr>
        <w:t>survivor</w:t>
      </w:r>
      <w:r w:rsidR="003D640C">
        <w:rPr>
          <w:lang w:eastAsia="en-NZ"/>
        </w:rPr>
        <w:t xml:space="preserve"> </w:t>
      </w:r>
      <w:r w:rsidRPr="00BB6220">
        <w:rPr>
          <w:lang w:eastAsia="en-NZ"/>
        </w:rPr>
        <w:t>and</w:t>
      </w:r>
      <w:r w:rsidR="003D640C">
        <w:rPr>
          <w:lang w:eastAsia="en-NZ"/>
        </w:rPr>
        <w:t xml:space="preserve"> </w:t>
      </w:r>
      <w:r w:rsidR="00C90505" w:rsidRPr="00BB6220">
        <w:rPr>
          <w:lang w:eastAsia="en-NZ"/>
        </w:rPr>
        <w:t>would</w:t>
      </w:r>
      <w:r w:rsidR="003D640C">
        <w:rPr>
          <w:lang w:eastAsia="en-NZ"/>
        </w:rPr>
        <w:t xml:space="preserve"> </w:t>
      </w:r>
      <w:r w:rsidRPr="00BB6220">
        <w:rPr>
          <w:lang w:eastAsia="en-NZ"/>
        </w:rPr>
        <w:t>therefore</w:t>
      </w:r>
      <w:r w:rsidR="003D640C">
        <w:rPr>
          <w:lang w:eastAsia="en-NZ"/>
        </w:rPr>
        <w:t xml:space="preserve"> </w:t>
      </w:r>
      <w:r w:rsidRPr="00BB6220">
        <w:rPr>
          <w:lang w:eastAsia="en-NZ"/>
        </w:rPr>
        <w:t>be</w:t>
      </w:r>
      <w:r w:rsidR="003D640C">
        <w:rPr>
          <w:lang w:eastAsia="en-NZ"/>
        </w:rPr>
        <w:t xml:space="preserve"> </w:t>
      </w:r>
      <w:r w:rsidRPr="00BB6220">
        <w:rPr>
          <w:lang w:eastAsia="en-NZ"/>
        </w:rPr>
        <w:t>inappropriate.</w:t>
      </w:r>
      <w:r w:rsidR="003D640C">
        <w:rPr>
          <w:lang w:eastAsia="en-NZ"/>
        </w:rPr>
        <w:t xml:space="preserve"> </w:t>
      </w:r>
      <w:r w:rsidRPr="00BB6220">
        <w:rPr>
          <w:lang w:eastAsia="en-NZ"/>
        </w:rPr>
        <w:t>Avoid</w:t>
      </w:r>
      <w:r w:rsidR="003D640C">
        <w:rPr>
          <w:lang w:eastAsia="en-NZ"/>
        </w:rPr>
        <w:t xml:space="preserve"> </w:t>
      </w:r>
      <w:r w:rsidRPr="00BB6220">
        <w:rPr>
          <w:lang w:eastAsia="en-NZ"/>
        </w:rPr>
        <w:t>any</w:t>
      </w:r>
      <w:r w:rsidR="003D640C">
        <w:rPr>
          <w:lang w:eastAsia="en-NZ"/>
        </w:rPr>
        <w:t xml:space="preserve"> </w:t>
      </w:r>
      <w:r w:rsidRPr="00BB6220">
        <w:rPr>
          <w:lang w:eastAsia="en-NZ"/>
        </w:rPr>
        <w:t>technique</w:t>
      </w:r>
      <w:r w:rsidR="003D640C">
        <w:rPr>
          <w:lang w:eastAsia="en-NZ"/>
        </w:rPr>
        <w:t xml:space="preserve"> </w:t>
      </w:r>
      <w:r w:rsidRPr="00BB6220">
        <w:rPr>
          <w:lang w:eastAsia="en-NZ"/>
        </w:rPr>
        <w:t>that</w:t>
      </w:r>
      <w:r w:rsidR="003D640C">
        <w:rPr>
          <w:lang w:eastAsia="en-NZ"/>
        </w:rPr>
        <w:t xml:space="preserve"> </w:t>
      </w:r>
      <w:r w:rsidRPr="00BB6220">
        <w:rPr>
          <w:lang w:eastAsia="en-NZ"/>
        </w:rPr>
        <w:t>mimics</w:t>
      </w:r>
      <w:r w:rsidR="003D640C">
        <w:rPr>
          <w:lang w:eastAsia="en-NZ"/>
        </w:rPr>
        <w:t xml:space="preserve"> </w:t>
      </w:r>
      <w:r w:rsidRPr="00BB6220">
        <w:rPr>
          <w:lang w:eastAsia="en-NZ"/>
        </w:rPr>
        <w:t>the</w:t>
      </w:r>
      <w:r w:rsidR="003D640C">
        <w:rPr>
          <w:lang w:eastAsia="en-NZ"/>
        </w:rPr>
        <w:t xml:space="preserve"> </w:t>
      </w:r>
      <w:r w:rsidRPr="00BB6220">
        <w:rPr>
          <w:lang w:eastAsia="en-NZ"/>
        </w:rPr>
        <w:t>directive</w:t>
      </w:r>
      <w:r w:rsidR="003D640C">
        <w:rPr>
          <w:lang w:eastAsia="en-NZ"/>
        </w:rPr>
        <w:t xml:space="preserve"> </w:t>
      </w:r>
      <w:r w:rsidRPr="00BB6220">
        <w:rPr>
          <w:lang w:eastAsia="en-NZ"/>
        </w:rPr>
        <w:t>and</w:t>
      </w:r>
      <w:r w:rsidR="003D640C">
        <w:rPr>
          <w:lang w:eastAsia="en-NZ"/>
        </w:rPr>
        <w:t xml:space="preserve"> </w:t>
      </w:r>
      <w:r w:rsidRPr="00BB6220">
        <w:rPr>
          <w:lang w:eastAsia="en-NZ"/>
        </w:rPr>
        <w:t>controlling</w:t>
      </w:r>
      <w:r w:rsidR="003D640C">
        <w:rPr>
          <w:lang w:eastAsia="en-NZ"/>
        </w:rPr>
        <w:t xml:space="preserve"> </w:t>
      </w:r>
      <w:r w:rsidRPr="00BB6220">
        <w:rPr>
          <w:lang w:eastAsia="en-NZ"/>
        </w:rPr>
        <w:t>nature</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(such</w:t>
      </w:r>
      <w:r w:rsidR="003D640C">
        <w:rPr>
          <w:lang w:eastAsia="en-NZ"/>
        </w:rPr>
        <w:t xml:space="preserve"> </w:t>
      </w:r>
      <w:r w:rsidRPr="00BB6220">
        <w:rPr>
          <w:lang w:eastAsia="en-NZ"/>
        </w:rPr>
        <w:t>as</w:t>
      </w:r>
      <w:r w:rsidR="003D640C">
        <w:rPr>
          <w:lang w:eastAsia="en-NZ"/>
        </w:rPr>
        <w:t xml:space="preserve"> </w:t>
      </w:r>
      <w:r w:rsidR="00282ED0">
        <w:t>e</w:t>
      </w:r>
      <w:r w:rsidR="00282ED0" w:rsidRPr="00BB6220">
        <w:t>ye</w:t>
      </w:r>
      <w:r w:rsidR="00282ED0">
        <w:t xml:space="preserve"> m</w:t>
      </w:r>
      <w:r w:rsidR="00282ED0" w:rsidRPr="00BB6220">
        <w:t>ovement</w:t>
      </w:r>
      <w:r w:rsidR="00282ED0">
        <w:t xml:space="preserve"> d</w:t>
      </w:r>
      <w:r w:rsidR="00282ED0" w:rsidRPr="00BB6220">
        <w:t>esensitisation</w:t>
      </w:r>
      <w:r w:rsidR="00282ED0">
        <w:t xml:space="preserve"> </w:t>
      </w:r>
      <w:r w:rsidR="00282ED0" w:rsidRPr="00BB6220">
        <w:t>and</w:t>
      </w:r>
      <w:r w:rsidR="00282ED0">
        <w:t xml:space="preserve"> r</w:t>
      </w:r>
      <w:r w:rsidR="00282ED0" w:rsidRPr="00BB6220">
        <w:t>eprocessing</w:t>
      </w:r>
      <w:r w:rsidR="003D640C">
        <w:rPr>
          <w:lang w:eastAsia="en-NZ"/>
        </w:rPr>
        <w:t xml:space="preserve"> </w:t>
      </w:r>
      <w:r w:rsidRPr="00BB6220">
        <w:rPr>
          <w:lang w:eastAsia="en-NZ"/>
        </w:rPr>
        <w:t>or</w:t>
      </w:r>
      <w:r w:rsidR="003D640C">
        <w:rPr>
          <w:lang w:eastAsia="en-NZ"/>
        </w:rPr>
        <w:t xml:space="preserve"> </w:t>
      </w:r>
      <w:r w:rsidRPr="00BB6220">
        <w:rPr>
          <w:lang w:eastAsia="en-NZ"/>
        </w:rPr>
        <w:t>Gestalt</w:t>
      </w:r>
      <w:r w:rsidR="003D640C">
        <w:rPr>
          <w:lang w:eastAsia="en-NZ"/>
        </w:rPr>
        <w:t xml:space="preserve"> </w:t>
      </w:r>
      <w:r w:rsidRPr="00BB6220">
        <w:rPr>
          <w:lang w:eastAsia="en-NZ"/>
        </w:rPr>
        <w:t>therapy).</w:t>
      </w:r>
      <w:r w:rsidR="003D640C">
        <w:rPr>
          <w:lang w:eastAsia="en-NZ"/>
        </w:rPr>
        <w:t xml:space="preserve"> </w:t>
      </w:r>
      <w:r w:rsidR="0056555B" w:rsidRPr="00BB6220">
        <w:rPr>
          <w:lang w:eastAsia="en-NZ"/>
        </w:rPr>
        <w:t>Even</w:t>
      </w:r>
      <w:r w:rsidR="003D640C">
        <w:rPr>
          <w:lang w:eastAsia="en-NZ"/>
        </w:rPr>
        <w:t xml:space="preserve"> </w:t>
      </w:r>
      <w:r w:rsidR="0056555B" w:rsidRPr="00BB6220">
        <w:rPr>
          <w:lang w:eastAsia="en-NZ"/>
        </w:rPr>
        <w:t>the</w:t>
      </w:r>
      <w:r w:rsidR="003D640C">
        <w:rPr>
          <w:lang w:eastAsia="en-NZ"/>
        </w:rPr>
        <w:t xml:space="preserve"> </w:t>
      </w:r>
      <w:r w:rsidR="0056555B" w:rsidRPr="00BB6220">
        <w:rPr>
          <w:lang w:eastAsia="en-NZ"/>
        </w:rPr>
        <w:t>appearance</w:t>
      </w:r>
      <w:r w:rsidR="003D640C">
        <w:rPr>
          <w:lang w:eastAsia="en-NZ"/>
        </w:rPr>
        <w:t xml:space="preserve"> </w:t>
      </w:r>
      <w:r w:rsidR="0056555B" w:rsidRPr="00BB6220">
        <w:rPr>
          <w:lang w:eastAsia="en-NZ"/>
        </w:rPr>
        <w:t>and</w:t>
      </w:r>
      <w:r w:rsidR="003D640C">
        <w:rPr>
          <w:lang w:eastAsia="en-NZ"/>
        </w:rPr>
        <w:t xml:space="preserve"> </w:t>
      </w:r>
      <w:r w:rsidR="0056555B" w:rsidRPr="00BB6220">
        <w:rPr>
          <w:lang w:eastAsia="en-NZ"/>
        </w:rPr>
        <w:t>layout</w:t>
      </w:r>
      <w:r w:rsidR="003D640C">
        <w:rPr>
          <w:lang w:eastAsia="en-NZ"/>
        </w:rPr>
        <w:t xml:space="preserve"> </w:t>
      </w:r>
      <w:r w:rsidR="0056555B" w:rsidRPr="00BB6220">
        <w:rPr>
          <w:lang w:eastAsia="en-NZ"/>
        </w:rPr>
        <w:t>of</w:t>
      </w:r>
      <w:r w:rsidR="003D640C">
        <w:rPr>
          <w:lang w:eastAsia="en-NZ"/>
        </w:rPr>
        <w:t xml:space="preserve"> </w:t>
      </w:r>
      <w:r w:rsidR="0056555B" w:rsidRPr="00BB6220">
        <w:rPr>
          <w:lang w:eastAsia="en-NZ"/>
        </w:rPr>
        <w:t>the</w:t>
      </w:r>
      <w:r w:rsidR="003D640C">
        <w:rPr>
          <w:lang w:eastAsia="en-NZ"/>
        </w:rPr>
        <w:t xml:space="preserve"> </w:t>
      </w:r>
      <w:r w:rsidR="0056555B" w:rsidRPr="00BB6220">
        <w:rPr>
          <w:lang w:eastAsia="en-NZ"/>
        </w:rPr>
        <w:t>therapy</w:t>
      </w:r>
      <w:r w:rsidR="003D640C">
        <w:rPr>
          <w:lang w:eastAsia="en-NZ"/>
        </w:rPr>
        <w:t xml:space="preserve"> </w:t>
      </w:r>
      <w:r w:rsidR="0056555B" w:rsidRPr="00BB6220">
        <w:rPr>
          <w:lang w:eastAsia="en-NZ"/>
        </w:rPr>
        <w:t>room</w:t>
      </w:r>
      <w:r w:rsidR="003D640C">
        <w:rPr>
          <w:lang w:eastAsia="en-NZ"/>
        </w:rPr>
        <w:t xml:space="preserve"> </w:t>
      </w:r>
      <w:r w:rsidR="0056555B" w:rsidRPr="00BB6220">
        <w:rPr>
          <w:lang w:eastAsia="en-NZ"/>
        </w:rPr>
        <w:t>may</w:t>
      </w:r>
      <w:r w:rsidR="003D640C">
        <w:rPr>
          <w:lang w:eastAsia="en-NZ"/>
        </w:rPr>
        <w:t xml:space="preserve"> </w:t>
      </w:r>
      <w:r w:rsidR="0056555B" w:rsidRPr="00BB6220">
        <w:rPr>
          <w:lang w:eastAsia="en-NZ"/>
        </w:rPr>
        <w:t>be</w:t>
      </w:r>
      <w:r w:rsidR="003D640C">
        <w:rPr>
          <w:lang w:eastAsia="en-NZ"/>
        </w:rPr>
        <w:t xml:space="preserve"> </w:t>
      </w:r>
      <w:r w:rsidR="0056555B" w:rsidRPr="00BB6220">
        <w:rPr>
          <w:lang w:eastAsia="en-NZ"/>
        </w:rPr>
        <w:t>retraumatising.</w:t>
      </w:r>
      <w:r w:rsidR="003D640C">
        <w:rPr>
          <w:lang w:eastAsia="en-NZ"/>
        </w:rPr>
        <w:t xml:space="preserve">  </w:t>
      </w:r>
    </w:p>
    <w:p w14:paraId="21D8074D" w14:textId="63B1CF71" w:rsidR="00CF4A69" w:rsidRPr="00BB6220" w:rsidRDefault="00CF4A69" w:rsidP="00B51F0B">
      <w:pPr>
        <w:pStyle w:val="Bullet"/>
        <w:rPr>
          <w:lang w:eastAsia="en-NZ"/>
        </w:rPr>
      </w:pPr>
      <w:r w:rsidRPr="00BB6220">
        <w:rPr>
          <w:b/>
          <w:lang w:eastAsia="en-NZ"/>
        </w:rPr>
        <w:t>Use</w:t>
      </w:r>
      <w:r w:rsidR="003D640C">
        <w:rPr>
          <w:b/>
          <w:lang w:eastAsia="en-NZ"/>
        </w:rPr>
        <w:t xml:space="preserve"> </w:t>
      </w:r>
      <w:r w:rsidRPr="00BB6220">
        <w:rPr>
          <w:b/>
          <w:lang w:eastAsia="en-NZ"/>
        </w:rPr>
        <w:t>trauma-informed</w:t>
      </w:r>
      <w:r w:rsidR="003D640C">
        <w:rPr>
          <w:b/>
          <w:lang w:eastAsia="en-NZ"/>
        </w:rPr>
        <w:t xml:space="preserve"> </w:t>
      </w:r>
      <w:r w:rsidRPr="00BB6220">
        <w:rPr>
          <w:b/>
          <w:lang w:eastAsia="en-NZ"/>
        </w:rPr>
        <w:t>techniques</w:t>
      </w:r>
      <w:r w:rsidR="003D640C">
        <w:rPr>
          <w:lang w:eastAsia="en-NZ"/>
        </w:rPr>
        <w:t xml:space="preserve"> </w:t>
      </w:r>
      <w:r w:rsidRPr="00BB6220">
        <w:rPr>
          <w:lang w:eastAsia="en-NZ"/>
        </w:rPr>
        <w:t>that</w:t>
      </w:r>
      <w:r w:rsidR="003D640C">
        <w:rPr>
          <w:lang w:eastAsia="en-NZ"/>
        </w:rPr>
        <w:t xml:space="preserve"> </w:t>
      </w:r>
      <w:r w:rsidRPr="00BB6220">
        <w:rPr>
          <w:lang w:eastAsia="en-NZ"/>
        </w:rPr>
        <w:t>prioritise</w:t>
      </w:r>
      <w:r w:rsidR="003D640C">
        <w:rPr>
          <w:lang w:eastAsia="en-NZ"/>
        </w:rPr>
        <w:t xml:space="preserve"> </w:t>
      </w:r>
      <w:r w:rsidRPr="00BB6220">
        <w:rPr>
          <w:lang w:eastAsia="en-NZ"/>
        </w:rPr>
        <w:t>safety,</w:t>
      </w:r>
      <w:r w:rsidR="003D640C">
        <w:rPr>
          <w:lang w:eastAsia="en-NZ"/>
        </w:rPr>
        <w:t xml:space="preserve"> </w:t>
      </w:r>
      <w:r w:rsidRPr="00BB6220">
        <w:rPr>
          <w:lang w:eastAsia="en-NZ"/>
        </w:rPr>
        <w:t>trust</w:t>
      </w:r>
      <w:r w:rsidR="4EAC8243"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empowerment</w:t>
      </w:r>
      <w:r w:rsidR="003D640C">
        <w:rPr>
          <w:lang w:eastAsia="en-NZ"/>
        </w:rPr>
        <w:t xml:space="preserve"> </w:t>
      </w:r>
      <w:r w:rsidRPr="00BB6220">
        <w:rPr>
          <w:lang w:eastAsia="en-NZ"/>
        </w:rPr>
        <w:t>while</w:t>
      </w:r>
      <w:r w:rsidR="003D640C">
        <w:rPr>
          <w:lang w:eastAsia="en-NZ"/>
        </w:rPr>
        <w:t xml:space="preserve"> </w:t>
      </w:r>
      <w:r w:rsidRPr="00BB6220">
        <w:rPr>
          <w:lang w:eastAsia="en-NZ"/>
        </w:rPr>
        <w:t>addressing</w:t>
      </w:r>
      <w:r w:rsidR="003D640C">
        <w:rPr>
          <w:lang w:eastAsia="en-NZ"/>
        </w:rPr>
        <w:t xml:space="preserve"> </w:t>
      </w:r>
      <w:r w:rsidRPr="00BB6220">
        <w:rPr>
          <w:lang w:eastAsia="en-NZ"/>
        </w:rPr>
        <w:t>the</w:t>
      </w:r>
      <w:r w:rsidR="003D640C">
        <w:rPr>
          <w:lang w:eastAsia="en-NZ"/>
        </w:rPr>
        <w:t xml:space="preserve"> </w:t>
      </w:r>
      <w:r w:rsidRPr="00BB6220">
        <w:rPr>
          <w:lang w:eastAsia="en-NZ"/>
        </w:rPr>
        <w:t>emotional</w:t>
      </w:r>
      <w:r w:rsidR="003D640C">
        <w:rPr>
          <w:lang w:eastAsia="en-NZ"/>
        </w:rPr>
        <w:t xml:space="preserve"> </w:t>
      </w:r>
      <w:r w:rsidRPr="00BB6220">
        <w:rPr>
          <w:lang w:eastAsia="en-NZ"/>
        </w:rPr>
        <w:t>impact</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Expect</w:t>
      </w:r>
      <w:r w:rsidR="003D640C">
        <w:rPr>
          <w:lang w:eastAsia="en-NZ"/>
        </w:rPr>
        <w:t xml:space="preserve"> </w:t>
      </w:r>
      <w:r w:rsidRPr="00BB6220">
        <w:rPr>
          <w:lang w:eastAsia="en-NZ"/>
        </w:rPr>
        <w:t>that</w:t>
      </w:r>
      <w:r w:rsidR="00282ED0">
        <w:rPr>
          <w:lang w:eastAsia="en-NZ"/>
        </w:rPr>
        <w:t>,</w:t>
      </w:r>
      <w:r w:rsidR="003D640C">
        <w:rPr>
          <w:lang w:eastAsia="en-NZ"/>
        </w:rPr>
        <w:t xml:space="preserve"> </w:t>
      </w:r>
      <w:r w:rsidRPr="00BB6220">
        <w:rPr>
          <w:lang w:eastAsia="en-NZ"/>
        </w:rPr>
        <w:t>while</w:t>
      </w:r>
      <w:r w:rsidR="003D640C">
        <w:rPr>
          <w:lang w:eastAsia="en-NZ"/>
        </w:rPr>
        <w:t xml:space="preserve"> </w:t>
      </w:r>
      <w:r w:rsidRPr="00BB6220">
        <w:rPr>
          <w:lang w:eastAsia="en-NZ"/>
        </w:rPr>
        <w:t>some</w:t>
      </w:r>
      <w:r w:rsidR="003D640C">
        <w:rPr>
          <w:lang w:eastAsia="en-NZ"/>
        </w:rPr>
        <w:t xml:space="preserve"> </w:t>
      </w:r>
      <w:r w:rsidRPr="00BB6220">
        <w:rPr>
          <w:lang w:eastAsia="en-NZ"/>
        </w:rPr>
        <w:t>clients</w:t>
      </w:r>
      <w:r w:rsidR="003D640C">
        <w:rPr>
          <w:lang w:eastAsia="en-NZ"/>
        </w:rPr>
        <w:t xml:space="preserve"> </w:t>
      </w:r>
      <w:r w:rsidRPr="00BB6220">
        <w:rPr>
          <w:lang w:eastAsia="en-NZ"/>
        </w:rPr>
        <w:t>will</w:t>
      </w:r>
      <w:r w:rsidR="003D640C">
        <w:rPr>
          <w:lang w:eastAsia="en-NZ"/>
        </w:rPr>
        <w:t xml:space="preserve"> </w:t>
      </w:r>
      <w:r w:rsidRPr="00BB6220">
        <w:rPr>
          <w:lang w:eastAsia="en-NZ"/>
        </w:rPr>
        <w:t>have</w:t>
      </w:r>
      <w:r w:rsidR="003D640C">
        <w:rPr>
          <w:lang w:eastAsia="en-NZ"/>
        </w:rPr>
        <w:t xml:space="preserve"> </w:t>
      </w:r>
      <w:r w:rsidRPr="00BB6220">
        <w:rPr>
          <w:lang w:eastAsia="en-NZ"/>
        </w:rPr>
        <w:t>experience</w:t>
      </w:r>
      <w:r w:rsidR="00A9341E" w:rsidRPr="00BB6220">
        <w:rPr>
          <w:lang w:eastAsia="en-NZ"/>
        </w:rPr>
        <w:t>d</w:t>
      </w:r>
      <w:r w:rsidR="003D640C">
        <w:rPr>
          <w:lang w:eastAsia="en-NZ"/>
        </w:rPr>
        <w:t xml:space="preserve"> </w:t>
      </w:r>
      <w:r w:rsidRPr="00BB6220">
        <w:rPr>
          <w:lang w:eastAsia="en-NZ"/>
        </w:rPr>
        <w:t>major</w:t>
      </w:r>
      <w:r w:rsidR="003D640C">
        <w:rPr>
          <w:lang w:eastAsia="en-NZ"/>
        </w:rPr>
        <w:t xml:space="preserve"> </w:t>
      </w:r>
      <w:r w:rsidRPr="00BB6220">
        <w:rPr>
          <w:lang w:eastAsia="en-NZ"/>
        </w:rPr>
        <w:t>traumatic</w:t>
      </w:r>
      <w:r w:rsidR="003D640C">
        <w:rPr>
          <w:lang w:eastAsia="en-NZ"/>
        </w:rPr>
        <w:t xml:space="preserve"> </w:t>
      </w:r>
      <w:r w:rsidRPr="00BB6220">
        <w:rPr>
          <w:lang w:eastAsia="en-NZ"/>
        </w:rPr>
        <w:t>events,</w:t>
      </w:r>
      <w:r w:rsidR="003D640C">
        <w:rPr>
          <w:lang w:eastAsia="en-NZ"/>
        </w:rPr>
        <w:t xml:space="preserve"> </w:t>
      </w:r>
      <w:r w:rsidR="00906194" w:rsidRPr="00BB6220">
        <w:rPr>
          <w:lang w:eastAsia="en-NZ"/>
        </w:rPr>
        <w:t>nearly</w:t>
      </w:r>
      <w:r w:rsidR="003D640C">
        <w:rPr>
          <w:lang w:eastAsia="en-NZ"/>
        </w:rPr>
        <w:t xml:space="preserve"> </w:t>
      </w:r>
      <w:r w:rsidR="00906194" w:rsidRPr="00BB6220">
        <w:rPr>
          <w:lang w:eastAsia="en-NZ"/>
        </w:rPr>
        <w:t>all</w:t>
      </w:r>
      <w:r w:rsidR="003D640C">
        <w:rPr>
          <w:lang w:eastAsia="en-NZ"/>
        </w:rPr>
        <w:t xml:space="preserve"> </w:t>
      </w:r>
      <w:r w:rsidRPr="00BB6220">
        <w:rPr>
          <w:lang w:eastAsia="en-NZ"/>
        </w:rPr>
        <w:t>clients</w:t>
      </w:r>
      <w:r w:rsidR="003D640C">
        <w:rPr>
          <w:lang w:eastAsia="en-NZ"/>
        </w:rPr>
        <w:t xml:space="preserve"> </w:t>
      </w:r>
      <w:r w:rsidRPr="00BB6220">
        <w:rPr>
          <w:lang w:eastAsia="en-NZ"/>
        </w:rPr>
        <w:t>will</w:t>
      </w:r>
      <w:r w:rsidR="003D640C">
        <w:rPr>
          <w:lang w:eastAsia="en-NZ"/>
        </w:rPr>
        <w:t xml:space="preserve"> </w:t>
      </w:r>
      <w:r w:rsidRPr="00BB6220">
        <w:rPr>
          <w:lang w:eastAsia="en-NZ"/>
        </w:rPr>
        <w:t>be</w:t>
      </w:r>
      <w:r w:rsidR="003D640C">
        <w:rPr>
          <w:lang w:eastAsia="en-NZ"/>
        </w:rPr>
        <w:t xml:space="preserve"> </w:t>
      </w:r>
      <w:r w:rsidRPr="00BB6220">
        <w:rPr>
          <w:lang w:eastAsia="en-NZ"/>
        </w:rPr>
        <w:t>processing</w:t>
      </w:r>
      <w:r w:rsidR="003D640C">
        <w:rPr>
          <w:lang w:eastAsia="en-NZ"/>
        </w:rPr>
        <w:t xml:space="preserve"> </w:t>
      </w:r>
      <w:r w:rsidRPr="00BB6220">
        <w:rPr>
          <w:lang w:eastAsia="en-NZ"/>
        </w:rPr>
        <w:t>a</w:t>
      </w:r>
      <w:r w:rsidR="003D640C">
        <w:rPr>
          <w:lang w:eastAsia="en-NZ"/>
        </w:rPr>
        <w:t xml:space="preserve"> </w:t>
      </w:r>
      <w:r w:rsidRPr="00BB6220">
        <w:rPr>
          <w:lang w:eastAsia="en-NZ"/>
        </w:rPr>
        <w:t>large</w:t>
      </w:r>
      <w:r w:rsidR="003D640C">
        <w:rPr>
          <w:lang w:eastAsia="en-NZ"/>
        </w:rPr>
        <w:t xml:space="preserve"> </w:t>
      </w:r>
      <w:r w:rsidRPr="00BB6220">
        <w:rPr>
          <w:lang w:eastAsia="en-NZ"/>
        </w:rPr>
        <w:t>accumulation</w:t>
      </w:r>
      <w:r w:rsidR="003D640C">
        <w:rPr>
          <w:lang w:eastAsia="en-NZ"/>
        </w:rPr>
        <w:t xml:space="preserve"> </w:t>
      </w:r>
      <w:r w:rsidRPr="00BB6220">
        <w:rPr>
          <w:lang w:eastAsia="en-NZ"/>
        </w:rPr>
        <w:t>of</w:t>
      </w:r>
      <w:r w:rsidR="003D640C">
        <w:rPr>
          <w:lang w:eastAsia="en-NZ"/>
        </w:rPr>
        <w:t xml:space="preserve"> </w:t>
      </w:r>
      <w:r w:rsidRPr="00BB6220">
        <w:rPr>
          <w:lang w:eastAsia="en-NZ"/>
        </w:rPr>
        <w:t>microtraumas.</w:t>
      </w:r>
      <w:r w:rsidR="003D640C">
        <w:rPr>
          <w:lang w:eastAsia="en-NZ"/>
        </w:rPr>
        <w:t xml:space="preserve"> </w:t>
      </w:r>
      <w:r w:rsidRPr="00BB6220">
        <w:rPr>
          <w:lang w:eastAsia="en-NZ"/>
        </w:rPr>
        <w:t>Recognise</w:t>
      </w:r>
      <w:r w:rsidR="003D640C">
        <w:rPr>
          <w:lang w:eastAsia="en-NZ"/>
        </w:rPr>
        <w:t xml:space="preserve"> </w:t>
      </w:r>
      <w:r w:rsidRPr="00BB6220">
        <w:rPr>
          <w:lang w:eastAsia="en-NZ"/>
        </w:rPr>
        <w:t>there</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high</w:t>
      </w:r>
      <w:r w:rsidR="003D640C">
        <w:rPr>
          <w:lang w:eastAsia="en-NZ"/>
        </w:rPr>
        <w:t xml:space="preserve"> </w:t>
      </w:r>
      <w:r w:rsidRPr="00BB6220">
        <w:rPr>
          <w:lang w:eastAsia="en-NZ"/>
        </w:rPr>
        <w:t>levels</w:t>
      </w:r>
      <w:r w:rsidR="003D640C">
        <w:rPr>
          <w:lang w:eastAsia="en-NZ"/>
        </w:rPr>
        <w:t xml:space="preserve"> </w:t>
      </w:r>
      <w:r w:rsidRPr="00BB6220">
        <w:rPr>
          <w:lang w:eastAsia="en-NZ"/>
        </w:rPr>
        <w:t>of</w:t>
      </w:r>
      <w:r w:rsidR="003D640C">
        <w:rPr>
          <w:lang w:eastAsia="en-NZ"/>
        </w:rPr>
        <w:t xml:space="preserve"> </w:t>
      </w:r>
      <w:r w:rsidRPr="00BB6220">
        <w:rPr>
          <w:lang w:eastAsia="en-NZ"/>
        </w:rPr>
        <w:t>mistrust</w:t>
      </w:r>
      <w:r w:rsidR="003D640C">
        <w:rPr>
          <w:lang w:eastAsia="en-NZ"/>
        </w:rPr>
        <w:t xml:space="preserve"> </w:t>
      </w:r>
      <w:r w:rsidRPr="00BB6220">
        <w:rPr>
          <w:lang w:eastAsia="en-NZ"/>
        </w:rPr>
        <w:t>in</w:t>
      </w:r>
      <w:r w:rsidR="003D640C">
        <w:rPr>
          <w:lang w:eastAsia="en-NZ"/>
        </w:rPr>
        <w:t xml:space="preserve"> </w:t>
      </w:r>
      <w:r w:rsidRPr="00BB6220">
        <w:rPr>
          <w:lang w:eastAsia="en-NZ"/>
        </w:rPr>
        <w:t>a</w:t>
      </w:r>
      <w:r w:rsidR="003D640C">
        <w:rPr>
          <w:lang w:eastAsia="en-NZ"/>
        </w:rPr>
        <w:t xml:space="preserve"> </w:t>
      </w:r>
      <w:r w:rsidRPr="00BB6220">
        <w:rPr>
          <w:lang w:eastAsia="en-NZ"/>
        </w:rPr>
        <w:t>clinical</w:t>
      </w:r>
      <w:r w:rsidR="003D640C">
        <w:rPr>
          <w:lang w:eastAsia="en-NZ"/>
        </w:rPr>
        <w:t xml:space="preserve"> </w:t>
      </w:r>
      <w:r w:rsidRPr="00BB6220">
        <w:rPr>
          <w:lang w:eastAsia="en-NZ"/>
        </w:rPr>
        <w:t>setting</w:t>
      </w:r>
      <w:r w:rsidR="003D640C">
        <w:rPr>
          <w:lang w:eastAsia="en-NZ"/>
        </w:rPr>
        <w:t xml:space="preserve"> </w:t>
      </w:r>
      <w:r w:rsidRPr="00BB6220">
        <w:rPr>
          <w:lang w:eastAsia="en-NZ"/>
        </w:rPr>
        <w:t>due</w:t>
      </w:r>
      <w:r w:rsidR="003D640C">
        <w:rPr>
          <w:lang w:eastAsia="en-NZ"/>
        </w:rPr>
        <w:t xml:space="preserve"> </w:t>
      </w:r>
      <w:r w:rsidRPr="00BB6220">
        <w:rPr>
          <w:lang w:eastAsia="en-NZ"/>
        </w:rPr>
        <w:t>to</w:t>
      </w:r>
      <w:r w:rsidR="003D640C">
        <w:rPr>
          <w:lang w:eastAsia="en-NZ"/>
        </w:rPr>
        <w:t xml:space="preserve"> </w:t>
      </w:r>
      <w:r w:rsidRPr="00BB6220">
        <w:rPr>
          <w:lang w:eastAsia="en-NZ"/>
        </w:rPr>
        <w:t>historical</w:t>
      </w:r>
      <w:r w:rsidR="003D640C">
        <w:rPr>
          <w:lang w:eastAsia="en-NZ"/>
        </w:rPr>
        <w:t xml:space="preserve"> </w:t>
      </w:r>
      <w:r w:rsidRPr="00BB6220">
        <w:rPr>
          <w:lang w:eastAsia="en-NZ"/>
        </w:rPr>
        <w:t>trauma</w:t>
      </w:r>
      <w:r w:rsidR="003D640C">
        <w:rPr>
          <w:lang w:eastAsia="en-NZ"/>
        </w:rPr>
        <w:t xml:space="preserve"> </w:t>
      </w:r>
      <w:r w:rsidR="00906194" w:rsidRPr="00BB6220">
        <w:rPr>
          <w:lang w:eastAsia="en-NZ"/>
        </w:rPr>
        <w:t>from</w:t>
      </w:r>
      <w:r w:rsidR="003D640C">
        <w:rPr>
          <w:lang w:eastAsia="en-NZ"/>
        </w:rPr>
        <w:t xml:space="preserve"> </w:t>
      </w:r>
      <w:r w:rsidR="00906194" w:rsidRPr="00BB6220">
        <w:rPr>
          <w:lang w:eastAsia="en-NZ"/>
        </w:rPr>
        <w:t>counsellors</w:t>
      </w:r>
      <w:r w:rsidR="003D640C">
        <w:rPr>
          <w:lang w:eastAsia="en-NZ"/>
        </w:rPr>
        <w:t xml:space="preserve"> </w:t>
      </w:r>
      <w:r w:rsidR="00906194" w:rsidRPr="00BB6220">
        <w:rPr>
          <w:lang w:eastAsia="en-NZ"/>
        </w:rPr>
        <w:t>and</w:t>
      </w:r>
      <w:r w:rsidR="003D640C">
        <w:rPr>
          <w:lang w:eastAsia="en-NZ"/>
        </w:rPr>
        <w:t xml:space="preserve"> </w:t>
      </w:r>
      <w:r w:rsidR="00906194" w:rsidRPr="00BB6220">
        <w:rPr>
          <w:lang w:eastAsia="en-NZ"/>
        </w:rPr>
        <w:t>therapists</w:t>
      </w:r>
      <w:r w:rsidRPr="00BB6220">
        <w:rPr>
          <w:lang w:eastAsia="en-NZ"/>
        </w:rPr>
        <w:t>.</w:t>
      </w:r>
      <w:r w:rsidR="003D640C">
        <w:rPr>
          <w:lang w:eastAsia="en-NZ"/>
        </w:rPr>
        <w:t xml:space="preserve"> </w:t>
      </w:r>
    </w:p>
    <w:p w14:paraId="779CD110" w14:textId="2A074EA5" w:rsidR="00CF4A69" w:rsidRPr="00BB6220" w:rsidRDefault="00CF4A69" w:rsidP="00B51F0B">
      <w:pPr>
        <w:pStyle w:val="Bullet"/>
        <w:rPr>
          <w:lang w:eastAsia="en-NZ"/>
        </w:rPr>
      </w:pPr>
      <w:r w:rsidRPr="00BB6220">
        <w:rPr>
          <w:b/>
          <w:lang w:eastAsia="en-NZ"/>
        </w:rPr>
        <w:t>Expect</w:t>
      </w:r>
      <w:r w:rsidR="003D640C">
        <w:rPr>
          <w:b/>
          <w:lang w:eastAsia="en-NZ"/>
        </w:rPr>
        <w:t xml:space="preserve"> </w:t>
      </w:r>
      <w:r w:rsidR="00655F83">
        <w:rPr>
          <w:b/>
          <w:lang w:eastAsia="en-NZ"/>
        </w:rPr>
        <w:t xml:space="preserve">less </w:t>
      </w:r>
      <w:r w:rsidRPr="00BB6220">
        <w:rPr>
          <w:b/>
          <w:lang w:eastAsia="en-NZ"/>
        </w:rPr>
        <w:t>common</w:t>
      </w:r>
      <w:r w:rsidR="003D640C">
        <w:rPr>
          <w:b/>
          <w:lang w:eastAsia="en-NZ"/>
        </w:rPr>
        <w:t xml:space="preserve"> </w:t>
      </w:r>
      <w:r w:rsidRPr="00BB6220">
        <w:rPr>
          <w:b/>
          <w:lang w:eastAsia="en-NZ"/>
        </w:rPr>
        <w:t>reactions</w:t>
      </w:r>
      <w:r w:rsidR="003D640C">
        <w:rPr>
          <w:b/>
          <w:lang w:eastAsia="en-NZ"/>
        </w:rPr>
        <w:t xml:space="preserve"> </w:t>
      </w:r>
      <w:r w:rsidRPr="00BB6220">
        <w:rPr>
          <w:b/>
          <w:lang w:eastAsia="en-NZ"/>
        </w:rPr>
        <w:t>to</w:t>
      </w:r>
      <w:r w:rsidR="003D640C">
        <w:rPr>
          <w:b/>
          <w:lang w:eastAsia="en-NZ"/>
        </w:rPr>
        <w:t xml:space="preserve"> </w:t>
      </w:r>
      <w:r w:rsidRPr="00BB6220">
        <w:rPr>
          <w:b/>
          <w:lang w:eastAsia="en-NZ"/>
        </w:rPr>
        <w:t>therapy</w:t>
      </w:r>
      <w:r w:rsidR="003D640C">
        <w:rPr>
          <w:lang w:eastAsia="en-NZ"/>
        </w:rPr>
        <w:t xml:space="preserve"> </w:t>
      </w:r>
      <w:bookmarkStart w:id="350" w:name="_Int_aW65Yet3"/>
      <w:r w:rsidRPr="00BB6220">
        <w:rPr>
          <w:lang w:eastAsia="en-NZ"/>
        </w:rPr>
        <w:t>as</w:t>
      </w:r>
      <w:r w:rsidR="003D640C">
        <w:rPr>
          <w:lang w:eastAsia="en-NZ"/>
        </w:rPr>
        <w:t xml:space="preserve"> </w:t>
      </w:r>
      <w:r w:rsidRPr="00BB6220">
        <w:rPr>
          <w:lang w:eastAsia="en-NZ"/>
        </w:rPr>
        <w:t>a</w:t>
      </w:r>
      <w:r w:rsidR="003D640C">
        <w:rPr>
          <w:lang w:eastAsia="en-NZ"/>
        </w:rPr>
        <w:t xml:space="preserve"> </w:t>
      </w:r>
      <w:r w:rsidRPr="00BB6220">
        <w:rPr>
          <w:lang w:eastAsia="en-NZ"/>
        </w:rPr>
        <w:t>result</w:t>
      </w:r>
      <w:r w:rsidR="003D640C">
        <w:rPr>
          <w:lang w:eastAsia="en-NZ"/>
        </w:rPr>
        <w:t xml:space="preserve"> </w:t>
      </w:r>
      <w:r w:rsidRPr="00BB6220">
        <w:rPr>
          <w:lang w:eastAsia="en-NZ"/>
        </w:rPr>
        <w:t>of</w:t>
      </w:r>
      <w:bookmarkEnd w:id="350"/>
      <w:r w:rsidR="003D640C">
        <w:rPr>
          <w:lang w:eastAsia="en-NZ"/>
        </w:rPr>
        <w:t xml:space="preserve"> </w:t>
      </w:r>
      <w:r w:rsidRPr="00BB6220">
        <w:rPr>
          <w:lang w:eastAsia="en-NZ"/>
        </w:rPr>
        <w:t>the</w:t>
      </w:r>
      <w:r w:rsidR="003D640C">
        <w:rPr>
          <w:lang w:eastAsia="en-NZ"/>
        </w:rPr>
        <w:t xml:space="preserve"> </w:t>
      </w:r>
      <w:r w:rsidRPr="00BB6220">
        <w:rPr>
          <w:lang w:eastAsia="en-NZ"/>
        </w:rPr>
        <w:t>combination</w:t>
      </w:r>
      <w:r w:rsidR="003D640C">
        <w:rPr>
          <w:lang w:eastAsia="en-NZ"/>
        </w:rPr>
        <w:t xml:space="preserve"> </w:t>
      </w:r>
      <w:r w:rsidRPr="00BB6220">
        <w:rPr>
          <w:lang w:eastAsia="en-NZ"/>
        </w:rPr>
        <w:t>of</w:t>
      </w:r>
      <w:r w:rsidR="003D640C">
        <w:rPr>
          <w:lang w:eastAsia="en-NZ"/>
        </w:rPr>
        <w:t xml:space="preserve"> </w:t>
      </w:r>
      <w:r w:rsidRPr="00BB6220">
        <w:rPr>
          <w:lang w:eastAsia="en-NZ"/>
        </w:rPr>
        <w:t>exhaustion,</w:t>
      </w:r>
      <w:r w:rsidR="003D640C">
        <w:rPr>
          <w:lang w:eastAsia="en-NZ"/>
        </w:rPr>
        <w:t xml:space="preserve"> </w:t>
      </w:r>
      <w:r w:rsidRPr="00BB6220">
        <w:rPr>
          <w:lang w:eastAsia="en-NZ"/>
        </w:rPr>
        <w:t>striving</w:t>
      </w:r>
      <w:r w:rsidR="003D640C">
        <w:rPr>
          <w:lang w:eastAsia="en-NZ"/>
        </w:rPr>
        <w:t xml:space="preserve"> </w:t>
      </w:r>
      <w:r w:rsidRPr="00BB6220">
        <w:rPr>
          <w:lang w:eastAsia="en-NZ"/>
        </w:rPr>
        <w:t>to</w:t>
      </w:r>
      <w:r w:rsidR="003D640C">
        <w:rPr>
          <w:lang w:eastAsia="en-NZ"/>
        </w:rPr>
        <w:t xml:space="preserve"> </w:t>
      </w:r>
      <w:r w:rsidRPr="00BB6220">
        <w:rPr>
          <w:lang w:eastAsia="en-NZ"/>
        </w:rPr>
        <w:t>achieve</w:t>
      </w:r>
      <w:r w:rsidR="003D640C">
        <w:rPr>
          <w:lang w:eastAsia="en-NZ"/>
        </w:rPr>
        <w:t xml:space="preserve"> </w:t>
      </w:r>
      <w:r w:rsidRPr="00BB6220">
        <w:rPr>
          <w:lang w:eastAsia="en-NZ"/>
        </w:rPr>
        <w:t>perfectionism,</w:t>
      </w:r>
      <w:r w:rsidR="003D640C">
        <w:rPr>
          <w:lang w:eastAsia="en-NZ"/>
        </w:rPr>
        <w:t xml:space="preserve"> </w:t>
      </w:r>
      <w:r w:rsidRPr="00BB6220">
        <w:rPr>
          <w:lang w:eastAsia="en-NZ"/>
        </w:rPr>
        <w:t>and</w:t>
      </w:r>
      <w:r w:rsidR="003D640C">
        <w:rPr>
          <w:lang w:eastAsia="en-NZ"/>
        </w:rPr>
        <w:t xml:space="preserve"> </w:t>
      </w:r>
      <w:r w:rsidRPr="00BB6220">
        <w:rPr>
          <w:lang w:eastAsia="en-NZ"/>
        </w:rPr>
        <w:t>what</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the</w:t>
      </w:r>
      <w:r w:rsidR="003D640C">
        <w:rPr>
          <w:lang w:eastAsia="en-NZ"/>
        </w:rPr>
        <w:t xml:space="preserve"> </w:t>
      </w:r>
      <w:r w:rsidRPr="00BB6220">
        <w:rPr>
          <w:lang w:eastAsia="en-NZ"/>
        </w:rPr>
        <w:t>first</w:t>
      </w:r>
      <w:r w:rsidR="003D640C">
        <w:rPr>
          <w:lang w:eastAsia="en-NZ"/>
        </w:rPr>
        <w:t xml:space="preserve"> </w:t>
      </w:r>
      <w:r w:rsidRPr="00BB6220">
        <w:rPr>
          <w:lang w:eastAsia="en-NZ"/>
        </w:rPr>
        <w:t>time</w:t>
      </w:r>
      <w:r w:rsidR="003D640C">
        <w:rPr>
          <w:lang w:eastAsia="en-NZ"/>
        </w:rPr>
        <w:t xml:space="preserve"> </w:t>
      </w:r>
      <w:r w:rsidRPr="00BB6220">
        <w:rPr>
          <w:lang w:eastAsia="en-NZ"/>
        </w:rPr>
        <w:t>a</w:t>
      </w:r>
      <w:r w:rsidR="003D640C">
        <w:rPr>
          <w:lang w:eastAsia="en-NZ"/>
        </w:rPr>
        <w:t xml:space="preserve"> </w:t>
      </w:r>
      <w:r w:rsidRPr="00BB6220">
        <w:rPr>
          <w:lang w:eastAsia="en-NZ"/>
        </w:rPr>
        <w:t>survivor</w:t>
      </w:r>
      <w:r w:rsidR="003D640C">
        <w:rPr>
          <w:lang w:eastAsia="en-NZ"/>
        </w:rPr>
        <w:t xml:space="preserve"> </w:t>
      </w:r>
      <w:r w:rsidRPr="00BB6220">
        <w:rPr>
          <w:lang w:eastAsia="en-NZ"/>
        </w:rPr>
        <w:t>has</w:t>
      </w:r>
      <w:r w:rsidR="003D640C">
        <w:rPr>
          <w:lang w:eastAsia="en-NZ"/>
        </w:rPr>
        <w:t xml:space="preserve"> </w:t>
      </w:r>
      <w:r w:rsidRPr="00BB6220">
        <w:rPr>
          <w:lang w:eastAsia="en-NZ"/>
        </w:rPr>
        <w:t>had</w:t>
      </w:r>
      <w:r w:rsidR="003D640C">
        <w:rPr>
          <w:lang w:eastAsia="en-NZ"/>
        </w:rPr>
        <w:t xml:space="preserve"> </w:t>
      </w:r>
      <w:r w:rsidRPr="00BB6220">
        <w:rPr>
          <w:lang w:eastAsia="en-NZ"/>
        </w:rPr>
        <w:t>their</w:t>
      </w:r>
      <w:r w:rsidR="003D640C">
        <w:rPr>
          <w:lang w:eastAsia="en-NZ"/>
        </w:rPr>
        <w:t xml:space="preserve"> </w:t>
      </w:r>
      <w:r w:rsidRPr="00BB6220">
        <w:rPr>
          <w:lang w:eastAsia="en-NZ"/>
        </w:rPr>
        <w:t>story</w:t>
      </w:r>
      <w:r w:rsidR="003D640C">
        <w:rPr>
          <w:lang w:eastAsia="en-NZ"/>
        </w:rPr>
        <w:t xml:space="preserve"> </w:t>
      </w:r>
      <w:r w:rsidRPr="00BB6220">
        <w:rPr>
          <w:lang w:eastAsia="en-NZ"/>
        </w:rPr>
        <w:t>listened</w:t>
      </w:r>
      <w:r w:rsidR="003D640C">
        <w:rPr>
          <w:lang w:eastAsia="en-NZ"/>
        </w:rPr>
        <w:t xml:space="preserve"> </w:t>
      </w:r>
      <w:r w:rsidRPr="00BB6220">
        <w:rPr>
          <w:lang w:eastAsia="en-NZ"/>
        </w:rPr>
        <w:t>to.</w:t>
      </w:r>
      <w:r w:rsidR="003D640C">
        <w:rPr>
          <w:lang w:eastAsia="en-NZ"/>
        </w:rPr>
        <w:t xml:space="preserve"> </w:t>
      </w:r>
      <w:r w:rsidRPr="00BB6220">
        <w:rPr>
          <w:lang w:eastAsia="en-NZ"/>
        </w:rPr>
        <w:t>Survivors</w:t>
      </w:r>
      <w:r w:rsidR="003D640C">
        <w:rPr>
          <w:lang w:eastAsia="en-NZ"/>
        </w:rPr>
        <w:t xml:space="preserve"> </w:t>
      </w:r>
      <w:r w:rsidRPr="00BB6220">
        <w:rPr>
          <w:lang w:eastAsia="en-NZ"/>
        </w:rPr>
        <w:t>can</w:t>
      </w:r>
      <w:r w:rsidR="003D640C">
        <w:rPr>
          <w:lang w:eastAsia="en-NZ"/>
        </w:rPr>
        <w:t xml:space="preserve"> </w:t>
      </w:r>
      <w:r w:rsidRPr="00BB6220">
        <w:rPr>
          <w:lang w:eastAsia="en-NZ"/>
        </w:rPr>
        <w:t>experience</w:t>
      </w:r>
      <w:r w:rsidR="003D640C">
        <w:rPr>
          <w:lang w:eastAsia="en-NZ"/>
        </w:rPr>
        <w:t xml:space="preserve"> </w:t>
      </w:r>
      <w:r w:rsidRPr="00BB6220">
        <w:rPr>
          <w:lang w:eastAsia="en-NZ"/>
        </w:rPr>
        <w:t>memory</w:t>
      </w:r>
      <w:r w:rsidR="003D640C">
        <w:rPr>
          <w:lang w:eastAsia="en-NZ"/>
        </w:rPr>
        <w:t xml:space="preserve"> </w:t>
      </w:r>
      <w:r w:rsidRPr="00BB6220">
        <w:rPr>
          <w:lang w:eastAsia="en-NZ"/>
        </w:rPr>
        <w:t>loss,</w:t>
      </w:r>
      <w:r w:rsidR="003D640C">
        <w:rPr>
          <w:lang w:eastAsia="en-NZ"/>
        </w:rPr>
        <w:t xml:space="preserve"> </w:t>
      </w:r>
      <w:r w:rsidRPr="00BB6220">
        <w:rPr>
          <w:lang w:eastAsia="en-NZ"/>
        </w:rPr>
        <w:t>relay</w:t>
      </w:r>
      <w:r w:rsidR="003D640C">
        <w:rPr>
          <w:lang w:eastAsia="en-NZ"/>
        </w:rPr>
        <w:t xml:space="preserve"> </w:t>
      </w:r>
      <w:r w:rsidRPr="00BB6220">
        <w:rPr>
          <w:lang w:eastAsia="en-NZ"/>
        </w:rPr>
        <w:t>conflicting</w:t>
      </w:r>
      <w:r w:rsidR="003D640C">
        <w:rPr>
          <w:lang w:eastAsia="en-NZ"/>
        </w:rPr>
        <w:t xml:space="preserve"> </w:t>
      </w:r>
      <w:r w:rsidRPr="00BB6220">
        <w:rPr>
          <w:lang w:eastAsia="en-NZ"/>
        </w:rPr>
        <w:t>narratives,</w:t>
      </w:r>
      <w:r w:rsidR="003D640C">
        <w:rPr>
          <w:lang w:eastAsia="en-NZ"/>
        </w:rPr>
        <w:t xml:space="preserve"> </w:t>
      </w:r>
      <w:r w:rsidRPr="00BB6220">
        <w:rPr>
          <w:lang w:eastAsia="en-NZ"/>
        </w:rPr>
        <w:t>and</w:t>
      </w:r>
      <w:r w:rsidR="003D640C">
        <w:rPr>
          <w:lang w:eastAsia="en-NZ"/>
        </w:rPr>
        <w:t xml:space="preserve"> </w:t>
      </w:r>
      <w:r w:rsidRPr="00BB6220">
        <w:rPr>
          <w:lang w:eastAsia="en-NZ"/>
        </w:rPr>
        <w:t>wish</w:t>
      </w:r>
      <w:r w:rsidR="003D640C">
        <w:rPr>
          <w:lang w:eastAsia="en-NZ"/>
        </w:rPr>
        <w:t xml:space="preserve"> </w:t>
      </w:r>
      <w:r w:rsidRPr="00BB6220">
        <w:rPr>
          <w:lang w:eastAsia="en-NZ"/>
        </w:rPr>
        <w:t>to</w:t>
      </w:r>
      <w:r w:rsidR="003D640C">
        <w:rPr>
          <w:lang w:eastAsia="en-NZ"/>
        </w:rPr>
        <w:t xml:space="preserve"> </w:t>
      </w:r>
      <w:r w:rsidRPr="00BB6220">
        <w:rPr>
          <w:lang w:eastAsia="en-NZ"/>
        </w:rPr>
        <w:t>spend</w:t>
      </w:r>
      <w:r w:rsidR="003D640C">
        <w:rPr>
          <w:lang w:eastAsia="en-NZ"/>
        </w:rPr>
        <w:t xml:space="preserve"> </w:t>
      </w:r>
      <w:r w:rsidRPr="00BB6220">
        <w:rPr>
          <w:lang w:eastAsia="en-NZ"/>
        </w:rPr>
        <w:t>significant</w:t>
      </w:r>
      <w:r w:rsidR="003D640C">
        <w:rPr>
          <w:lang w:eastAsia="en-NZ"/>
        </w:rPr>
        <w:t xml:space="preserve"> </w:t>
      </w:r>
      <w:r w:rsidRPr="00BB6220">
        <w:rPr>
          <w:lang w:eastAsia="en-NZ"/>
        </w:rPr>
        <w:t>time</w:t>
      </w:r>
      <w:r w:rsidR="003D640C">
        <w:rPr>
          <w:lang w:eastAsia="en-NZ"/>
        </w:rPr>
        <w:t xml:space="preserve"> </w:t>
      </w:r>
      <w:r w:rsidRPr="00BB6220">
        <w:rPr>
          <w:lang w:eastAsia="en-NZ"/>
        </w:rPr>
        <w:t>recounting</w:t>
      </w:r>
      <w:r w:rsidR="003D640C">
        <w:rPr>
          <w:lang w:eastAsia="en-NZ"/>
        </w:rPr>
        <w:t xml:space="preserve"> </w:t>
      </w:r>
      <w:r w:rsidRPr="00BB6220">
        <w:rPr>
          <w:lang w:eastAsia="en-NZ"/>
        </w:rPr>
        <w:t>their</w:t>
      </w:r>
      <w:r w:rsidR="003D640C">
        <w:rPr>
          <w:lang w:eastAsia="en-NZ"/>
        </w:rPr>
        <w:t xml:space="preserve"> </w:t>
      </w:r>
      <w:r w:rsidRPr="00BB6220">
        <w:rPr>
          <w:lang w:eastAsia="en-NZ"/>
        </w:rPr>
        <w:t>story.</w:t>
      </w:r>
    </w:p>
    <w:p w14:paraId="560D4693" w14:textId="27DD51CF" w:rsidR="00CF4A69" w:rsidRPr="00BB6220" w:rsidRDefault="00CF4A69" w:rsidP="00B51F0B">
      <w:pPr>
        <w:pStyle w:val="Bullet"/>
        <w:rPr>
          <w:rFonts w:eastAsia="Times New Roman" w:cstheme="minorHAnsi"/>
          <w:lang w:eastAsia="en-NZ"/>
        </w:rPr>
      </w:pPr>
      <w:r w:rsidRPr="00BB6220">
        <w:rPr>
          <w:rFonts w:eastAsia="Times New Roman"/>
          <w:b/>
          <w:lang w:eastAsia="en-NZ"/>
        </w:rPr>
        <w:t>Support</w:t>
      </w:r>
      <w:r w:rsidR="003D640C">
        <w:rPr>
          <w:rFonts w:eastAsia="Times New Roman"/>
          <w:b/>
          <w:lang w:eastAsia="en-NZ"/>
        </w:rPr>
        <w:t xml:space="preserve"> </w:t>
      </w:r>
      <w:r w:rsidR="00906194" w:rsidRPr="00BB6220">
        <w:rPr>
          <w:rFonts w:eastAsia="Times New Roman"/>
          <w:b/>
          <w:lang w:eastAsia="en-NZ"/>
        </w:rPr>
        <w:t>survivors</w:t>
      </w:r>
      <w:r w:rsidR="003D640C">
        <w:rPr>
          <w:rFonts w:eastAsia="Times New Roman"/>
          <w:b/>
          <w:lang w:eastAsia="en-NZ"/>
        </w:rPr>
        <w:t xml:space="preserve"> </w:t>
      </w:r>
      <w:r w:rsidRPr="00BB6220">
        <w:rPr>
          <w:rFonts w:eastAsia="Times New Roman"/>
          <w:b/>
          <w:lang w:eastAsia="en-NZ"/>
        </w:rPr>
        <w:t>in</w:t>
      </w:r>
      <w:r w:rsidR="003D640C">
        <w:rPr>
          <w:rFonts w:eastAsia="Times New Roman"/>
          <w:b/>
          <w:lang w:eastAsia="en-NZ"/>
        </w:rPr>
        <w:t xml:space="preserve"> </w:t>
      </w:r>
      <w:r w:rsidRPr="00BB6220">
        <w:rPr>
          <w:rFonts w:eastAsia="Times New Roman"/>
          <w:b/>
          <w:lang w:eastAsia="en-NZ"/>
        </w:rPr>
        <w:t>developing</w:t>
      </w:r>
      <w:r w:rsidR="003D640C">
        <w:rPr>
          <w:rFonts w:eastAsia="Times New Roman"/>
          <w:b/>
          <w:lang w:eastAsia="en-NZ"/>
        </w:rPr>
        <w:t xml:space="preserve"> </w:t>
      </w:r>
      <w:r w:rsidRPr="00BB6220">
        <w:rPr>
          <w:rFonts w:eastAsia="Times New Roman"/>
          <w:b/>
          <w:lang w:eastAsia="en-NZ"/>
        </w:rPr>
        <w:t>healthy</w:t>
      </w:r>
      <w:r w:rsidR="003D640C">
        <w:rPr>
          <w:rFonts w:eastAsia="Times New Roman"/>
          <w:b/>
          <w:lang w:eastAsia="en-NZ"/>
        </w:rPr>
        <w:t xml:space="preserve"> </w:t>
      </w:r>
      <w:r w:rsidRPr="00BB6220">
        <w:rPr>
          <w:rFonts w:eastAsia="Times New Roman"/>
          <w:b/>
          <w:lang w:eastAsia="en-NZ"/>
        </w:rPr>
        <w:t>coping</w:t>
      </w:r>
      <w:r w:rsidR="003D640C">
        <w:rPr>
          <w:rFonts w:eastAsia="Times New Roman"/>
          <w:b/>
          <w:lang w:eastAsia="en-NZ"/>
        </w:rPr>
        <w:t xml:space="preserve"> </w:t>
      </w:r>
      <w:r w:rsidRPr="00BB6220">
        <w:rPr>
          <w:rFonts w:eastAsia="Times New Roman"/>
          <w:b/>
          <w:lang w:eastAsia="en-NZ"/>
        </w:rPr>
        <w:t>strategies</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manage</w:t>
      </w:r>
      <w:r w:rsidR="003D640C">
        <w:rPr>
          <w:rFonts w:eastAsia="Times New Roman"/>
          <w:lang w:eastAsia="en-NZ"/>
        </w:rPr>
        <w:t xml:space="preserve"> </w:t>
      </w:r>
      <w:r w:rsidRPr="00BB6220">
        <w:rPr>
          <w:rFonts w:eastAsia="Times New Roman"/>
          <w:lang w:eastAsia="en-NZ"/>
        </w:rPr>
        <w:t>past</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ongoing</w:t>
      </w:r>
      <w:r w:rsidR="003D640C">
        <w:rPr>
          <w:rFonts w:eastAsia="Times New Roman"/>
          <w:lang w:eastAsia="en-NZ"/>
        </w:rPr>
        <w:t xml:space="preserve"> </w:t>
      </w:r>
      <w:r w:rsidRPr="00BB6220">
        <w:rPr>
          <w:rFonts w:eastAsia="Times New Roman"/>
          <w:lang w:eastAsia="en-NZ"/>
        </w:rPr>
        <w:t>emotional</w:t>
      </w:r>
      <w:r w:rsidR="003D640C">
        <w:rPr>
          <w:rFonts w:eastAsia="Times New Roman"/>
          <w:lang w:eastAsia="en-NZ"/>
        </w:rPr>
        <w:t xml:space="preserve"> </w:t>
      </w:r>
      <w:r w:rsidRPr="00BB6220">
        <w:rPr>
          <w:rFonts w:eastAsia="Times New Roman"/>
          <w:lang w:eastAsia="en-NZ"/>
        </w:rPr>
        <w:t>distress.</w:t>
      </w:r>
      <w:r w:rsidR="003D640C">
        <w:rPr>
          <w:rFonts w:eastAsia="Times New Roman"/>
          <w:lang w:eastAsia="en-NZ"/>
        </w:rPr>
        <w:t xml:space="preserve"> </w:t>
      </w:r>
      <w:r w:rsidRPr="00BB6220">
        <w:rPr>
          <w:rFonts w:eastAsia="Times New Roman"/>
          <w:lang w:eastAsia="en-NZ"/>
        </w:rPr>
        <w:t>This</w:t>
      </w:r>
      <w:r w:rsidR="003D640C">
        <w:rPr>
          <w:rFonts w:eastAsia="Times New Roman"/>
          <w:lang w:eastAsia="en-NZ"/>
        </w:rPr>
        <w:t xml:space="preserve"> </w:t>
      </w:r>
      <w:r w:rsidRPr="00BB6220">
        <w:rPr>
          <w:rFonts w:eastAsia="Times New Roman"/>
          <w:lang w:eastAsia="en-NZ"/>
        </w:rPr>
        <w:t>may</w:t>
      </w:r>
      <w:r w:rsidR="003D640C">
        <w:rPr>
          <w:rFonts w:eastAsia="Times New Roman"/>
          <w:lang w:eastAsia="en-NZ"/>
        </w:rPr>
        <w:t xml:space="preserve"> </w:t>
      </w:r>
      <w:r w:rsidRPr="00BB6220">
        <w:rPr>
          <w:rFonts w:eastAsia="Times New Roman"/>
          <w:lang w:eastAsia="en-NZ"/>
        </w:rPr>
        <w:t>include</w:t>
      </w:r>
      <w:r w:rsidR="003D640C">
        <w:rPr>
          <w:rFonts w:eastAsia="Times New Roman"/>
          <w:lang w:eastAsia="en-NZ"/>
        </w:rPr>
        <w:t xml:space="preserve"> </w:t>
      </w:r>
      <w:r w:rsidRPr="00BB6220">
        <w:rPr>
          <w:rFonts w:eastAsia="Times New Roman"/>
          <w:lang w:eastAsia="en-NZ"/>
        </w:rPr>
        <w:t>mindfulness</w:t>
      </w:r>
      <w:r w:rsidR="003D640C">
        <w:rPr>
          <w:rFonts w:eastAsia="Times New Roman"/>
          <w:lang w:eastAsia="en-NZ"/>
        </w:rPr>
        <w:t xml:space="preserve"> </w:t>
      </w:r>
      <w:r w:rsidRPr="00BB6220">
        <w:rPr>
          <w:rFonts w:eastAsia="Times New Roman"/>
          <w:lang w:eastAsia="en-NZ"/>
        </w:rPr>
        <w:t>techniques,</w:t>
      </w:r>
      <w:r w:rsidR="003D640C">
        <w:rPr>
          <w:rFonts w:eastAsia="Times New Roman"/>
          <w:lang w:eastAsia="en-NZ"/>
        </w:rPr>
        <w:t xml:space="preserve"> </w:t>
      </w:r>
      <w:r w:rsidRPr="00BB6220">
        <w:rPr>
          <w:rFonts w:eastAsia="Times New Roman"/>
          <w:lang w:eastAsia="en-NZ"/>
        </w:rPr>
        <w:t>journal</w:t>
      </w:r>
      <w:r w:rsidR="00135490">
        <w:rPr>
          <w:rFonts w:eastAsia="Times New Roman"/>
          <w:lang w:eastAsia="en-NZ"/>
        </w:rPr>
        <w:t>l</w:t>
      </w:r>
      <w:r w:rsidRPr="00BB6220">
        <w:rPr>
          <w:rFonts w:eastAsia="Times New Roman"/>
          <w:lang w:eastAsia="en-NZ"/>
        </w:rPr>
        <w:t>ing,</w:t>
      </w:r>
      <w:r w:rsidR="003D640C">
        <w:rPr>
          <w:rFonts w:eastAsia="Times New Roman"/>
          <w:lang w:eastAsia="en-NZ"/>
        </w:rPr>
        <w:t xml:space="preserve"> </w:t>
      </w:r>
      <w:r w:rsidRPr="00BB6220">
        <w:rPr>
          <w:rFonts w:eastAsia="Times New Roman"/>
          <w:lang w:eastAsia="en-NZ"/>
        </w:rPr>
        <w:t>art</w:t>
      </w:r>
      <w:r w:rsidR="003D640C">
        <w:rPr>
          <w:rFonts w:eastAsia="Times New Roman"/>
          <w:lang w:eastAsia="en-NZ"/>
        </w:rPr>
        <w:t xml:space="preserve"> </w:t>
      </w:r>
      <w:r w:rsidRPr="00BB6220">
        <w:rPr>
          <w:rFonts w:eastAsia="Times New Roman"/>
          <w:lang w:eastAsia="en-NZ"/>
        </w:rPr>
        <w:t>therapy,</w:t>
      </w:r>
      <w:r w:rsidR="003D640C">
        <w:rPr>
          <w:rFonts w:eastAsia="Times New Roman"/>
          <w:lang w:eastAsia="en-NZ"/>
        </w:rPr>
        <w:t xml:space="preserve"> </w:t>
      </w:r>
      <w:r w:rsidRPr="00BB6220">
        <w:rPr>
          <w:rFonts w:eastAsia="Times New Roman"/>
          <w:lang w:eastAsia="en-NZ"/>
        </w:rPr>
        <w:t>physical</w:t>
      </w:r>
      <w:r w:rsidR="003D640C">
        <w:rPr>
          <w:rFonts w:eastAsia="Times New Roman"/>
          <w:lang w:eastAsia="en-NZ"/>
        </w:rPr>
        <w:t xml:space="preserve"> </w:t>
      </w:r>
      <w:r w:rsidRPr="00BB6220">
        <w:rPr>
          <w:rFonts w:eastAsia="Times New Roman"/>
          <w:lang w:eastAsia="en-NZ"/>
        </w:rPr>
        <w:t>exercise,</w:t>
      </w:r>
      <w:r w:rsidR="003D640C">
        <w:rPr>
          <w:rFonts w:eastAsia="Times New Roman"/>
          <w:lang w:eastAsia="en-NZ"/>
        </w:rPr>
        <w:t xml:space="preserve"> </w:t>
      </w:r>
      <w:r w:rsidRPr="00BB6220">
        <w:rPr>
          <w:rFonts w:eastAsia="Times New Roman"/>
          <w:lang w:eastAsia="en-NZ"/>
        </w:rPr>
        <w:t>deep</w:t>
      </w:r>
      <w:r w:rsidR="003D640C">
        <w:rPr>
          <w:rFonts w:eastAsia="Times New Roman"/>
          <w:lang w:eastAsia="en-NZ"/>
        </w:rPr>
        <w:t xml:space="preserve"> </w:t>
      </w:r>
      <w:r w:rsidRPr="00BB6220">
        <w:rPr>
          <w:rFonts w:eastAsia="Times New Roman"/>
          <w:lang w:eastAsia="en-NZ"/>
        </w:rPr>
        <w:t>breathing</w:t>
      </w:r>
      <w:r w:rsidR="003D640C">
        <w:rPr>
          <w:rFonts w:eastAsia="Times New Roman"/>
          <w:lang w:eastAsia="en-NZ"/>
        </w:rPr>
        <w:t xml:space="preserve"> </w:t>
      </w:r>
      <w:r w:rsidRPr="00BB6220">
        <w:rPr>
          <w:rFonts w:eastAsia="Times New Roman"/>
          <w:lang w:eastAsia="en-NZ"/>
        </w:rPr>
        <w:t>exercises,</w:t>
      </w:r>
      <w:r w:rsidR="003D640C">
        <w:rPr>
          <w:rFonts w:eastAsia="Times New Roman"/>
          <w:lang w:eastAsia="en-NZ"/>
        </w:rPr>
        <w:t xml:space="preserve"> </w:t>
      </w:r>
      <w:r w:rsidRPr="00BB6220">
        <w:rPr>
          <w:rFonts w:eastAsia="Times New Roman"/>
          <w:lang w:eastAsia="en-NZ"/>
        </w:rPr>
        <w:t>or</w:t>
      </w:r>
      <w:r w:rsidR="003D640C">
        <w:rPr>
          <w:rFonts w:eastAsia="Times New Roman"/>
          <w:lang w:eastAsia="en-NZ"/>
        </w:rPr>
        <w:t xml:space="preserve"> </w:t>
      </w:r>
      <w:r w:rsidRPr="00BB6220">
        <w:rPr>
          <w:rFonts w:eastAsia="Times New Roman"/>
          <w:lang w:eastAsia="en-NZ"/>
        </w:rPr>
        <w:t>engaging</w:t>
      </w:r>
      <w:r w:rsidR="003D640C">
        <w:rPr>
          <w:rFonts w:eastAsia="Times New Roman"/>
          <w:lang w:eastAsia="en-NZ"/>
        </w:rPr>
        <w:t xml:space="preserve"> </w:t>
      </w:r>
      <w:r w:rsidRPr="00BB6220">
        <w:rPr>
          <w:rFonts w:eastAsia="Times New Roman"/>
          <w:lang w:eastAsia="en-NZ"/>
        </w:rPr>
        <w:t>in</w:t>
      </w:r>
      <w:r w:rsidR="003D640C">
        <w:rPr>
          <w:rFonts w:eastAsia="Times New Roman"/>
          <w:lang w:eastAsia="en-NZ"/>
        </w:rPr>
        <w:t xml:space="preserve"> </w:t>
      </w:r>
      <w:r w:rsidRPr="00BB6220">
        <w:rPr>
          <w:rFonts w:eastAsia="Times New Roman"/>
          <w:lang w:eastAsia="en-NZ"/>
        </w:rPr>
        <w:t>activities</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bring</w:t>
      </w:r>
      <w:r w:rsidR="003D640C">
        <w:rPr>
          <w:rFonts w:eastAsia="Times New Roman"/>
          <w:lang w:eastAsia="en-NZ"/>
        </w:rPr>
        <w:t xml:space="preserve"> </w:t>
      </w:r>
      <w:r w:rsidRPr="00BB6220">
        <w:rPr>
          <w:rFonts w:eastAsia="Times New Roman"/>
          <w:lang w:eastAsia="en-NZ"/>
        </w:rPr>
        <w:t>joy</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relaxation.</w:t>
      </w:r>
      <w:r w:rsidR="003D640C">
        <w:rPr>
          <w:rFonts w:eastAsia="Times New Roman"/>
          <w:lang w:eastAsia="en-NZ"/>
        </w:rPr>
        <w:t xml:space="preserve"> </w:t>
      </w:r>
      <w:r w:rsidRPr="00BB6220">
        <w:rPr>
          <w:rFonts w:eastAsia="Times New Roman"/>
          <w:lang w:eastAsia="en-NZ"/>
        </w:rPr>
        <w:t>Be</w:t>
      </w:r>
      <w:r w:rsidR="003D640C">
        <w:rPr>
          <w:rFonts w:eastAsia="Times New Roman"/>
          <w:lang w:eastAsia="en-NZ"/>
        </w:rPr>
        <w:t xml:space="preserve"> </w:t>
      </w:r>
      <w:r w:rsidRPr="00BB6220">
        <w:rPr>
          <w:rFonts w:eastAsia="Times New Roman"/>
          <w:lang w:eastAsia="en-NZ"/>
        </w:rPr>
        <w:t>patient</w:t>
      </w:r>
      <w:r w:rsidR="003D640C">
        <w:rPr>
          <w:rFonts w:eastAsia="Times New Roman"/>
          <w:lang w:eastAsia="en-NZ"/>
        </w:rPr>
        <w:t xml:space="preserve"> </w:t>
      </w:r>
      <w:r w:rsidRPr="00BB6220">
        <w:rPr>
          <w:rFonts w:eastAsia="Times New Roman"/>
          <w:lang w:eastAsia="en-NZ"/>
        </w:rPr>
        <w:t>with</w:t>
      </w:r>
      <w:r w:rsidR="003D640C">
        <w:rPr>
          <w:rFonts w:eastAsia="Times New Roman"/>
          <w:lang w:eastAsia="en-NZ"/>
        </w:rPr>
        <w:t xml:space="preserve"> </w:t>
      </w:r>
      <w:r w:rsidRPr="00BB6220">
        <w:rPr>
          <w:rFonts w:eastAsia="Times New Roman"/>
          <w:lang w:eastAsia="en-NZ"/>
        </w:rPr>
        <w:t>survivors</w:t>
      </w:r>
      <w:r w:rsidR="003D640C">
        <w:rPr>
          <w:rFonts w:eastAsia="Times New Roman"/>
          <w:lang w:eastAsia="en-NZ"/>
        </w:rPr>
        <w:t xml:space="preserve"> </w:t>
      </w:r>
      <w:r w:rsidRPr="00BB6220">
        <w:rPr>
          <w:rFonts w:eastAsia="Times New Roman"/>
          <w:lang w:eastAsia="en-NZ"/>
        </w:rPr>
        <w:t>who</w:t>
      </w:r>
      <w:r w:rsidR="003D640C">
        <w:rPr>
          <w:rFonts w:eastAsia="Times New Roman"/>
          <w:lang w:eastAsia="en-NZ"/>
        </w:rPr>
        <w:t xml:space="preserve"> </w:t>
      </w:r>
      <w:r w:rsidRPr="00BB6220">
        <w:rPr>
          <w:rFonts w:eastAsia="Times New Roman"/>
          <w:lang w:eastAsia="en-NZ"/>
        </w:rPr>
        <w:t>may</w:t>
      </w:r>
      <w:r w:rsidR="003D640C">
        <w:rPr>
          <w:rFonts w:eastAsia="Times New Roman"/>
          <w:lang w:eastAsia="en-NZ"/>
        </w:rPr>
        <w:t xml:space="preserve"> </w:t>
      </w:r>
      <w:r w:rsidRPr="00BB6220">
        <w:rPr>
          <w:rFonts w:eastAsia="Times New Roman"/>
          <w:lang w:eastAsia="en-NZ"/>
        </w:rPr>
        <w:t>not</w:t>
      </w:r>
      <w:r w:rsidR="003D640C">
        <w:rPr>
          <w:rFonts w:eastAsia="Times New Roman"/>
          <w:lang w:eastAsia="en-NZ"/>
        </w:rPr>
        <w:t xml:space="preserve"> </w:t>
      </w:r>
      <w:r w:rsidRPr="00BB6220">
        <w:rPr>
          <w:rFonts w:eastAsia="Times New Roman"/>
          <w:lang w:eastAsia="en-NZ"/>
        </w:rPr>
        <w:t>have</w:t>
      </w:r>
      <w:r w:rsidR="003D640C">
        <w:rPr>
          <w:rFonts w:eastAsia="Times New Roman"/>
          <w:lang w:eastAsia="en-NZ"/>
        </w:rPr>
        <w:t xml:space="preserve"> </w:t>
      </w:r>
      <w:r w:rsidRPr="00BB6220">
        <w:rPr>
          <w:rFonts w:eastAsia="Times New Roman"/>
          <w:lang w:eastAsia="en-NZ"/>
        </w:rPr>
        <w:t>sufficient</w:t>
      </w:r>
      <w:r w:rsidR="003D640C">
        <w:rPr>
          <w:rFonts w:eastAsia="Times New Roman"/>
          <w:lang w:eastAsia="en-NZ"/>
        </w:rPr>
        <w:t xml:space="preserve"> </w:t>
      </w:r>
      <w:r w:rsidRPr="00BB6220">
        <w:rPr>
          <w:rFonts w:eastAsia="Times New Roman"/>
          <w:lang w:eastAsia="en-NZ"/>
        </w:rPr>
        <w:t>self-identity</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know</w:t>
      </w:r>
      <w:r w:rsidR="003D640C">
        <w:rPr>
          <w:rFonts w:eastAsia="Times New Roman"/>
          <w:lang w:eastAsia="en-NZ"/>
        </w:rPr>
        <w:t xml:space="preserve"> </w:t>
      </w:r>
      <w:r w:rsidRPr="00BB6220">
        <w:rPr>
          <w:rFonts w:eastAsia="Times New Roman"/>
          <w:lang w:eastAsia="en-NZ"/>
        </w:rPr>
        <w:t>what</w:t>
      </w:r>
      <w:r w:rsidR="003D640C">
        <w:rPr>
          <w:rFonts w:eastAsia="Times New Roman"/>
          <w:lang w:eastAsia="en-NZ"/>
        </w:rPr>
        <w:t xml:space="preserve"> </w:t>
      </w:r>
      <w:r w:rsidRPr="00BB6220">
        <w:rPr>
          <w:rFonts w:eastAsia="Times New Roman"/>
          <w:lang w:eastAsia="en-NZ"/>
        </w:rPr>
        <w:t>brings</w:t>
      </w:r>
      <w:r w:rsidR="003D640C">
        <w:rPr>
          <w:rFonts w:eastAsia="Times New Roman"/>
          <w:lang w:eastAsia="en-NZ"/>
        </w:rPr>
        <w:t xml:space="preserve"> </w:t>
      </w:r>
      <w:r w:rsidRPr="00BB6220">
        <w:rPr>
          <w:rFonts w:eastAsia="Times New Roman"/>
          <w:lang w:eastAsia="en-NZ"/>
        </w:rPr>
        <w:t>them</w:t>
      </w:r>
      <w:r w:rsidR="003D640C">
        <w:rPr>
          <w:rFonts w:eastAsia="Times New Roman"/>
          <w:lang w:eastAsia="en-NZ"/>
        </w:rPr>
        <w:t xml:space="preserve"> </w:t>
      </w:r>
      <w:r w:rsidRPr="00BB6220">
        <w:rPr>
          <w:rFonts w:eastAsia="Times New Roman"/>
          <w:lang w:eastAsia="en-NZ"/>
        </w:rPr>
        <w:t>joy,</w:t>
      </w:r>
      <w:r w:rsidR="003D640C">
        <w:rPr>
          <w:rFonts w:eastAsia="Times New Roman"/>
          <w:lang w:eastAsia="en-NZ"/>
        </w:rPr>
        <w:t xml:space="preserve"> </w:t>
      </w:r>
      <w:r w:rsidRPr="00BB6220">
        <w:rPr>
          <w:rFonts w:eastAsia="Times New Roman"/>
          <w:lang w:eastAsia="en-NZ"/>
        </w:rPr>
        <w:t>or</w:t>
      </w:r>
      <w:r w:rsidR="003D640C">
        <w:rPr>
          <w:rFonts w:eastAsia="Times New Roman"/>
          <w:lang w:eastAsia="en-NZ"/>
        </w:rPr>
        <w:t xml:space="preserve"> </w:t>
      </w:r>
      <w:r w:rsidRPr="00BB6220">
        <w:rPr>
          <w:rFonts w:eastAsia="Times New Roman"/>
          <w:lang w:eastAsia="en-NZ"/>
        </w:rPr>
        <w:t>who</w:t>
      </w:r>
      <w:r w:rsidR="003D640C">
        <w:rPr>
          <w:rFonts w:eastAsia="Times New Roman"/>
          <w:lang w:eastAsia="en-NZ"/>
        </w:rPr>
        <w:t xml:space="preserve"> </w:t>
      </w:r>
      <w:r w:rsidRPr="00BB6220">
        <w:rPr>
          <w:rFonts w:eastAsia="Times New Roman"/>
          <w:lang w:eastAsia="en-NZ"/>
        </w:rPr>
        <w:t>may</w:t>
      </w:r>
      <w:r w:rsidR="003D640C">
        <w:rPr>
          <w:rFonts w:eastAsia="Times New Roman"/>
          <w:lang w:eastAsia="en-NZ"/>
        </w:rPr>
        <w:t xml:space="preserve"> </w:t>
      </w:r>
      <w:r w:rsidRPr="00BB6220">
        <w:rPr>
          <w:rFonts w:eastAsia="Times New Roman"/>
          <w:lang w:eastAsia="en-NZ"/>
        </w:rPr>
        <w:t>be</w:t>
      </w:r>
      <w:r w:rsidR="003D640C">
        <w:rPr>
          <w:rFonts w:eastAsia="Times New Roman"/>
          <w:lang w:eastAsia="en-NZ"/>
        </w:rPr>
        <w:t xml:space="preserve"> </w:t>
      </w:r>
      <w:r w:rsidRPr="00BB6220">
        <w:rPr>
          <w:rFonts w:eastAsia="Times New Roman"/>
          <w:lang w:eastAsia="en-NZ"/>
        </w:rPr>
        <w:t>so</w:t>
      </w:r>
      <w:r w:rsidR="003D640C">
        <w:rPr>
          <w:rFonts w:eastAsia="Times New Roman"/>
          <w:lang w:eastAsia="en-NZ"/>
        </w:rPr>
        <w:t xml:space="preserve"> </w:t>
      </w:r>
      <w:r w:rsidRPr="00BB6220">
        <w:rPr>
          <w:rFonts w:eastAsia="Times New Roman"/>
          <w:lang w:eastAsia="en-NZ"/>
        </w:rPr>
        <w:t>exhausted</w:t>
      </w:r>
      <w:r w:rsidR="003D640C">
        <w:rPr>
          <w:rFonts w:eastAsia="Times New Roman"/>
          <w:lang w:eastAsia="en-NZ"/>
        </w:rPr>
        <w:t xml:space="preserve"> </w:t>
      </w:r>
      <w:r w:rsidRPr="00BB6220">
        <w:rPr>
          <w:rFonts w:eastAsia="Times New Roman"/>
          <w:lang w:eastAsia="en-NZ"/>
        </w:rPr>
        <w:t>by</w:t>
      </w:r>
      <w:r w:rsidR="003D640C">
        <w:rPr>
          <w:rFonts w:eastAsia="Times New Roman"/>
          <w:lang w:eastAsia="en-NZ"/>
        </w:rPr>
        <w:t xml:space="preserve"> </w:t>
      </w:r>
      <w:r w:rsidRPr="00BB6220">
        <w:rPr>
          <w:rFonts w:eastAsia="Times New Roman"/>
          <w:lang w:eastAsia="en-NZ"/>
        </w:rPr>
        <w:t>trauma</w:t>
      </w:r>
      <w:r w:rsidR="003D640C">
        <w:rPr>
          <w:rFonts w:eastAsia="Times New Roman"/>
          <w:lang w:eastAsia="en-NZ"/>
        </w:rPr>
        <w:t xml:space="preserve"> </w:t>
      </w:r>
      <w:r w:rsidRPr="00BB6220">
        <w:rPr>
          <w:rFonts w:eastAsia="Times New Roman"/>
          <w:lang w:eastAsia="en-NZ"/>
        </w:rPr>
        <w:t>they</w:t>
      </w:r>
      <w:r w:rsidR="003D640C">
        <w:rPr>
          <w:rFonts w:eastAsia="Times New Roman"/>
          <w:lang w:eastAsia="en-NZ"/>
        </w:rPr>
        <w:t xml:space="preserve"> </w:t>
      </w:r>
      <w:r w:rsidRPr="00BB6220">
        <w:rPr>
          <w:rFonts w:eastAsia="Times New Roman"/>
          <w:lang w:eastAsia="en-NZ"/>
        </w:rPr>
        <w:t>lack</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motivation</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work</w:t>
      </w:r>
      <w:r w:rsidR="003D640C">
        <w:rPr>
          <w:rFonts w:eastAsia="Times New Roman"/>
          <w:lang w:eastAsia="en-NZ"/>
        </w:rPr>
        <w:t xml:space="preserve"> </w:t>
      </w:r>
      <w:r w:rsidRPr="00BB6220">
        <w:rPr>
          <w:rFonts w:eastAsia="Times New Roman"/>
          <w:lang w:eastAsia="en-NZ"/>
        </w:rPr>
        <w:t>at</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recovery.</w:t>
      </w:r>
    </w:p>
    <w:p w14:paraId="565967AB" w14:textId="6BAA7DFA" w:rsidR="00CF4A69" w:rsidRPr="00BB6220" w:rsidRDefault="00CF4A69" w:rsidP="00B51F0B">
      <w:pPr>
        <w:pStyle w:val="Bullet"/>
        <w:rPr>
          <w:lang w:eastAsia="en-NZ"/>
        </w:rPr>
      </w:pPr>
      <w:r w:rsidRPr="00BB6220">
        <w:rPr>
          <w:b/>
          <w:bCs/>
          <w:lang w:eastAsia="en-NZ"/>
        </w:rPr>
        <w:t>Consider</w:t>
      </w:r>
      <w:r w:rsidR="003D640C">
        <w:rPr>
          <w:b/>
          <w:bCs/>
          <w:lang w:eastAsia="en-NZ"/>
        </w:rPr>
        <w:t xml:space="preserve"> </w:t>
      </w:r>
      <w:r w:rsidRPr="00BB6220">
        <w:rPr>
          <w:b/>
          <w:bCs/>
          <w:lang w:eastAsia="en-NZ"/>
        </w:rPr>
        <w:t>formal</w:t>
      </w:r>
      <w:r w:rsidR="003D640C">
        <w:rPr>
          <w:b/>
          <w:bCs/>
          <w:lang w:eastAsia="en-NZ"/>
        </w:rPr>
        <w:t xml:space="preserve"> </w:t>
      </w:r>
      <w:r w:rsidRPr="00BB6220">
        <w:rPr>
          <w:b/>
          <w:bCs/>
          <w:lang w:eastAsia="en-NZ"/>
        </w:rPr>
        <w:t>diagnoses</w:t>
      </w:r>
      <w:r w:rsidR="003D640C">
        <w:rPr>
          <w:b/>
          <w:bCs/>
          <w:lang w:eastAsia="en-NZ"/>
        </w:rPr>
        <w:t xml:space="preserve"> </w:t>
      </w:r>
      <w:r w:rsidRPr="00BB6220">
        <w:rPr>
          <w:b/>
          <w:bCs/>
          <w:lang w:eastAsia="en-NZ"/>
        </w:rPr>
        <w:t>carefully,</w:t>
      </w:r>
      <w:r w:rsidR="003D640C">
        <w:rPr>
          <w:b/>
          <w:bCs/>
          <w:lang w:eastAsia="en-NZ"/>
        </w:rPr>
        <w:t xml:space="preserve"> </w:t>
      </w:r>
      <w:r w:rsidRPr="00BB6220">
        <w:rPr>
          <w:b/>
          <w:bCs/>
          <w:lang w:eastAsia="en-NZ"/>
        </w:rPr>
        <w:t>including</w:t>
      </w:r>
      <w:r w:rsidR="003D640C">
        <w:rPr>
          <w:b/>
          <w:bCs/>
          <w:lang w:eastAsia="en-NZ"/>
        </w:rPr>
        <w:t xml:space="preserve"> </w:t>
      </w:r>
      <w:r w:rsidRPr="00BB6220">
        <w:rPr>
          <w:b/>
          <w:bCs/>
          <w:lang w:eastAsia="en-NZ"/>
        </w:rPr>
        <w:t>historical</w:t>
      </w:r>
      <w:r w:rsidR="003D640C">
        <w:rPr>
          <w:b/>
          <w:bCs/>
          <w:lang w:eastAsia="en-NZ"/>
        </w:rPr>
        <w:t xml:space="preserve"> </w:t>
      </w:r>
      <w:r w:rsidRPr="00BB6220">
        <w:rPr>
          <w:b/>
          <w:bCs/>
          <w:lang w:eastAsia="en-NZ"/>
        </w:rPr>
        <w:t>ones.</w:t>
      </w:r>
      <w:r w:rsidR="003D640C">
        <w:rPr>
          <w:lang w:eastAsia="en-NZ"/>
        </w:rPr>
        <w:t xml:space="preserve"> </w:t>
      </w:r>
      <w:r w:rsidR="00937DD1" w:rsidRPr="00BB6220">
        <w:rPr>
          <w:lang w:eastAsia="en-NZ"/>
        </w:rPr>
        <w:t>During</w:t>
      </w:r>
      <w:r w:rsidR="003D640C">
        <w:rPr>
          <w:lang w:eastAsia="en-NZ"/>
        </w:rPr>
        <w:t xml:space="preserve"> </w:t>
      </w:r>
      <w:r w:rsidR="00937DD1" w:rsidRPr="00BB6220">
        <w:rPr>
          <w:lang w:eastAsia="en-NZ"/>
        </w:rPr>
        <w:t>years</w:t>
      </w:r>
      <w:r w:rsidR="003D640C">
        <w:rPr>
          <w:lang w:eastAsia="en-NZ"/>
        </w:rPr>
        <w:t xml:space="preserve"> </w:t>
      </w:r>
      <w:r w:rsidR="00937DD1" w:rsidRPr="00BB6220">
        <w:rPr>
          <w:lang w:eastAsia="en-NZ"/>
        </w:rPr>
        <w:t>of</w:t>
      </w:r>
      <w:r w:rsidR="003D640C">
        <w:rPr>
          <w:lang w:eastAsia="en-NZ"/>
        </w:rPr>
        <w:t xml:space="preserve"> </w:t>
      </w:r>
      <w:r w:rsidR="00937DD1" w:rsidRPr="00BB6220">
        <w:rPr>
          <w:lang w:eastAsia="en-NZ"/>
        </w:rPr>
        <w:t>prolonged</w:t>
      </w:r>
      <w:r w:rsidR="003D640C">
        <w:rPr>
          <w:lang w:eastAsia="en-NZ"/>
        </w:rPr>
        <w:t xml:space="preserve"> </w:t>
      </w:r>
      <w:r w:rsidR="00937DD1" w:rsidRPr="00BB6220">
        <w:rPr>
          <w:lang w:eastAsia="en-NZ"/>
        </w:rPr>
        <w:t>stress</w:t>
      </w:r>
      <w:r w:rsidR="003D640C">
        <w:rPr>
          <w:lang w:eastAsia="en-NZ"/>
        </w:rPr>
        <w:t xml:space="preserve"> </w:t>
      </w:r>
      <w:r w:rsidR="00690745" w:rsidRPr="00BB6220">
        <w:rPr>
          <w:lang w:eastAsia="en-NZ"/>
        </w:rPr>
        <w:t>and</w:t>
      </w:r>
      <w:r w:rsidR="003D640C">
        <w:rPr>
          <w:lang w:eastAsia="en-NZ"/>
        </w:rPr>
        <w:t xml:space="preserve"> </w:t>
      </w:r>
      <w:r w:rsidR="00690745" w:rsidRPr="00BB6220">
        <w:rPr>
          <w:lang w:eastAsia="en-NZ"/>
        </w:rPr>
        <w:t>the</w:t>
      </w:r>
      <w:r w:rsidR="003D640C">
        <w:rPr>
          <w:lang w:eastAsia="en-NZ"/>
        </w:rPr>
        <w:t xml:space="preserve"> </w:t>
      </w:r>
      <w:r w:rsidR="00690745" w:rsidRPr="00BB6220">
        <w:rPr>
          <w:lang w:eastAsia="en-NZ"/>
        </w:rPr>
        <w:t>related</w:t>
      </w:r>
      <w:r w:rsidR="003D640C">
        <w:rPr>
          <w:lang w:eastAsia="en-NZ"/>
        </w:rPr>
        <w:t xml:space="preserve"> </w:t>
      </w:r>
      <w:r w:rsidR="00690745" w:rsidRPr="00BB6220">
        <w:rPr>
          <w:lang w:eastAsia="en-NZ"/>
        </w:rPr>
        <w:t>physical</w:t>
      </w:r>
      <w:r w:rsidR="003D640C">
        <w:rPr>
          <w:lang w:eastAsia="en-NZ"/>
        </w:rPr>
        <w:t xml:space="preserve"> </w:t>
      </w:r>
      <w:r w:rsidR="004E7067" w:rsidRPr="00BB6220">
        <w:rPr>
          <w:lang w:eastAsia="en-NZ"/>
        </w:rPr>
        <w:t>and</w:t>
      </w:r>
      <w:r w:rsidR="003D640C">
        <w:rPr>
          <w:lang w:eastAsia="en-NZ"/>
        </w:rPr>
        <w:t xml:space="preserve"> </w:t>
      </w:r>
      <w:r w:rsidR="004E7067" w:rsidRPr="00BB6220">
        <w:rPr>
          <w:lang w:eastAsia="en-NZ"/>
        </w:rPr>
        <w:t>mental</w:t>
      </w:r>
      <w:r w:rsidR="003D640C">
        <w:rPr>
          <w:lang w:eastAsia="en-NZ"/>
        </w:rPr>
        <w:t xml:space="preserve"> </w:t>
      </w:r>
      <w:r w:rsidR="00690745" w:rsidRPr="00BB6220">
        <w:rPr>
          <w:lang w:eastAsia="en-NZ"/>
        </w:rPr>
        <w:t>health</w:t>
      </w:r>
      <w:r w:rsidR="003D640C">
        <w:rPr>
          <w:lang w:eastAsia="en-NZ"/>
        </w:rPr>
        <w:t xml:space="preserve"> </w:t>
      </w:r>
      <w:r w:rsidR="00690745" w:rsidRPr="00BB6220">
        <w:rPr>
          <w:lang w:eastAsia="en-NZ"/>
        </w:rPr>
        <w:t>complaints,</w:t>
      </w:r>
      <w:r w:rsidR="003D640C">
        <w:rPr>
          <w:lang w:eastAsia="en-NZ"/>
        </w:rPr>
        <w:t xml:space="preserve"> </w:t>
      </w:r>
      <w:r w:rsidR="00580F62" w:rsidRPr="00BB6220">
        <w:rPr>
          <w:lang w:eastAsia="en-NZ"/>
        </w:rPr>
        <w:t>some</w:t>
      </w:r>
      <w:r w:rsidR="003D640C">
        <w:rPr>
          <w:lang w:eastAsia="en-NZ"/>
        </w:rPr>
        <w:t xml:space="preserve"> </w:t>
      </w:r>
      <w:r w:rsidR="00937DD1" w:rsidRPr="00BB6220">
        <w:rPr>
          <w:lang w:eastAsia="en-NZ"/>
        </w:rPr>
        <w:t>survivors</w:t>
      </w:r>
      <w:r w:rsidR="003D640C">
        <w:rPr>
          <w:lang w:eastAsia="en-NZ"/>
        </w:rPr>
        <w:t xml:space="preserve"> </w:t>
      </w:r>
      <w:r w:rsidR="00937DD1" w:rsidRPr="00BB6220">
        <w:rPr>
          <w:lang w:eastAsia="en-NZ"/>
        </w:rPr>
        <w:t>report</w:t>
      </w:r>
      <w:r w:rsidR="003D640C">
        <w:rPr>
          <w:lang w:eastAsia="en-NZ"/>
        </w:rPr>
        <w:t xml:space="preserve"> </w:t>
      </w:r>
      <w:r w:rsidR="00937DD1" w:rsidRPr="00BB6220">
        <w:rPr>
          <w:lang w:eastAsia="en-NZ"/>
        </w:rPr>
        <w:t>seeing</w:t>
      </w:r>
      <w:r w:rsidR="003D640C">
        <w:rPr>
          <w:lang w:eastAsia="en-NZ"/>
        </w:rPr>
        <w:t xml:space="preserve"> </w:t>
      </w:r>
      <w:r w:rsidR="00937DD1" w:rsidRPr="00BB6220">
        <w:rPr>
          <w:lang w:eastAsia="en-NZ"/>
        </w:rPr>
        <w:t>a</w:t>
      </w:r>
      <w:r w:rsidR="003D640C">
        <w:rPr>
          <w:lang w:eastAsia="en-NZ"/>
        </w:rPr>
        <w:t xml:space="preserve"> </w:t>
      </w:r>
      <w:r w:rsidR="00937DD1" w:rsidRPr="00BB6220">
        <w:rPr>
          <w:lang w:eastAsia="en-NZ"/>
        </w:rPr>
        <w:t>range</w:t>
      </w:r>
      <w:r w:rsidR="003D640C">
        <w:rPr>
          <w:lang w:eastAsia="en-NZ"/>
        </w:rPr>
        <w:t xml:space="preserve"> </w:t>
      </w:r>
      <w:r w:rsidR="00937DD1" w:rsidRPr="00BB6220">
        <w:rPr>
          <w:lang w:eastAsia="en-NZ"/>
        </w:rPr>
        <w:t>of</w:t>
      </w:r>
      <w:r w:rsidR="003D640C">
        <w:rPr>
          <w:lang w:eastAsia="en-NZ"/>
        </w:rPr>
        <w:t xml:space="preserve"> </w:t>
      </w:r>
      <w:r w:rsidR="004E7067" w:rsidRPr="00BB6220">
        <w:rPr>
          <w:lang w:eastAsia="en-NZ"/>
        </w:rPr>
        <w:t>practitioners</w:t>
      </w:r>
      <w:r w:rsidR="003D640C">
        <w:rPr>
          <w:lang w:eastAsia="en-NZ"/>
        </w:rPr>
        <w:t xml:space="preserve"> </w:t>
      </w:r>
      <w:r w:rsidR="00937DD1" w:rsidRPr="00BB6220">
        <w:rPr>
          <w:lang w:eastAsia="en-NZ"/>
        </w:rPr>
        <w:t>and</w:t>
      </w:r>
      <w:r w:rsidR="003D640C">
        <w:rPr>
          <w:lang w:eastAsia="en-NZ"/>
        </w:rPr>
        <w:t xml:space="preserve"> </w:t>
      </w:r>
      <w:r w:rsidR="00937DD1" w:rsidRPr="00BB6220">
        <w:rPr>
          <w:lang w:eastAsia="en-NZ"/>
        </w:rPr>
        <w:t>being</w:t>
      </w:r>
      <w:r w:rsidR="003D640C">
        <w:rPr>
          <w:lang w:eastAsia="en-NZ"/>
        </w:rPr>
        <w:t xml:space="preserve"> </w:t>
      </w:r>
      <w:r w:rsidR="00937DD1" w:rsidRPr="00BB6220">
        <w:rPr>
          <w:lang w:eastAsia="en-NZ"/>
        </w:rPr>
        <w:t>diagnosed</w:t>
      </w:r>
      <w:r w:rsidR="003D640C">
        <w:rPr>
          <w:lang w:eastAsia="en-NZ"/>
        </w:rPr>
        <w:t xml:space="preserve"> </w:t>
      </w:r>
      <w:r w:rsidR="00937DD1" w:rsidRPr="00BB6220">
        <w:rPr>
          <w:lang w:eastAsia="en-NZ"/>
        </w:rPr>
        <w:t>with</w:t>
      </w:r>
      <w:r w:rsidR="003D640C">
        <w:rPr>
          <w:lang w:eastAsia="en-NZ"/>
        </w:rPr>
        <w:t xml:space="preserve"> </w:t>
      </w:r>
      <w:r w:rsidR="00937DD1" w:rsidRPr="00BB6220">
        <w:rPr>
          <w:lang w:eastAsia="en-NZ"/>
        </w:rPr>
        <w:t>a</w:t>
      </w:r>
      <w:r w:rsidR="003D640C">
        <w:rPr>
          <w:lang w:eastAsia="en-NZ"/>
        </w:rPr>
        <w:t xml:space="preserve"> </w:t>
      </w:r>
      <w:r w:rsidR="00937DD1" w:rsidRPr="00BB6220">
        <w:rPr>
          <w:lang w:eastAsia="en-NZ"/>
        </w:rPr>
        <w:t>variety</w:t>
      </w:r>
      <w:r w:rsidR="003D640C">
        <w:rPr>
          <w:lang w:eastAsia="en-NZ"/>
        </w:rPr>
        <w:t xml:space="preserve"> </w:t>
      </w:r>
      <w:r w:rsidR="00937DD1" w:rsidRPr="00BB6220">
        <w:rPr>
          <w:lang w:eastAsia="en-NZ"/>
        </w:rPr>
        <w:t>of</w:t>
      </w:r>
      <w:r w:rsidR="003D640C">
        <w:rPr>
          <w:lang w:eastAsia="en-NZ"/>
        </w:rPr>
        <w:t xml:space="preserve"> </w:t>
      </w:r>
      <w:r w:rsidR="00C31626" w:rsidRPr="00BB6220">
        <w:rPr>
          <w:lang w:eastAsia="en-NZ"/>
        </w:rPr>
        <w:t>conditions,</w:t>
      </w:r>
      <w:r w:rsidR="003D640C">
        <w:rPr>
          <w:lang w:eastAsia="en-NZ"/>
        </w:rPr>
        <w:t xml:space="preserve"> </w:t>
      </w:r>
      <w:r w:rsidR="00C31626" w:rsidRPr="00BB6220">
        <w:rPr>
          <w:lang w:eastAsia="en-NZ"/>
        </w:rPr>
        <w:t>often</w:t>
      </w:r>
      <w:r w:rsidR="003D640C">
        <w:rPr>
          <w:lang w:eastAsia="en-NZ"/>
        </w:rPr>
        <w:t xml:space="preserve"> </w:t>
      </w:r>
      <w:r w:rsidR="00B57330" w:rsidRPr="00BB6220">
        <w:rPr>
          <w:lang w:eastAsia="en-NZ"/>
        </w:rPr>
        <w:t>idiopathic</w:t>
      </w:r>
      <w:r w:rsidR="003D640C">
        <w:rPr>
          <w:lang w:eastAsia="en-NZ"/>
        </w:rPr>
        <w:t xml:space="preserve"> </w:t>
      </w:r>
      <w:r w:rsidR="00B57330" w:rsidRPr="00BB6220">
        <w:rPr>
          <w:lang w:eastAsia="en-NZ"/>
        </w:rPr>
        <w:t>or</w:t>
      </w:r>
      <w:r w:rsidR="003D640C">
        <w:rPr>
          <w:lang w:eastAsia="en-NZ"/>
        </w:rPr>
        <w:t xml:space="preserve"> </w:t>
      </w:r>
      <w:r w:rsidR="00367559" w:rsidRPr="00BB6220">
        <w:rPr>
          <w:lang w:eastAsia="en-NZ"/>
        </w:rPr>
        <w:t>diagnoses</w:t>
      </w:r>
      <w:r w:rsidR="003D640C">
        <w:rPr>
          <w:lang w:eastAsia="en-NZ"/>
        </w:rPr>
        <w:t xml:space="preserve"> </w:t>
      </w:r>
      <w:r w:rsidR="00367559" w:rsidRPr="00BB6220">
        <w:rPr>
          <w:lang w:eastAsia="en-NZ"/>
        </w:rPr>
        <w:t>of</w:t>
      </w:r>
      <w:r w:rsidR="003D640C">
        <w:rPr>
          <w:lang w:eastAsia="en-NZ"/>
        </w:rPr>
        <w:t xml:space="preserve"> </w:t>
      </w:r>
      <w:r w:rsidR="00367559" w:rsidRPr="00BB6220">
        <w:rPr>
          <w:lang w:eastAsia="en-NZ"/>
        </w:rPr>
        <w:t>exclusion</w:t>
      </w:r>
      <w:r w:rsidR="00D70742" w:rsidRPr="00BB6220">
        <w:rPr>
          <w:lang w:eastAsia="en-NZ"/>
        </w:rPr>
        <w:t>.</w:t>
      </w:r>
      <w:r w:rsidR="003D640C">
        <w:rPr>
          <w:lang w:eastAsia="en-NZ"/>
        </w:rPr>
        <w:t xml:space="preserve"> </w:t>
      </w:r>
      <w:r w:rsidR="00D70742" w:rsidRPr="00BB6220">
        <w:rPr>
          <w:lang w:eastAsia="en-NZ"/>
        </w:rPr>
        <w:t>This</w:t>
      </w:r>
      <w:r w:rsidR="003D640C">
        <w:rPr>
          <w:lang w:eastAsia="en-NZ"/>
        </w:rPr>
        <w:t xml:space="preserve"> </w:t>
      </w:r>
      <w:r w:rsidR="00D70742" w:rsidRPr="00BB6220">
        <w:rPr>
          <w:lang w:eastAsia="en-NZ"/>
        </w:rPr>
        <w:t>is</w:t>
      </w:r>
      <w:r w:rsidR="003D640C">
        <w:rPr>
          <w:lang w:eastAsia="en-NZ"/>
        </w:rPr>
        <w:t xml:space="preserve"> </w:t>
      </w:r>
      <w:r w:rsidR="00D70742" w:rsidRPr="00BB6220">
        <w:rPr>
          <w:lang w:eastAsia="en-NZ"/>
        </w:rPr>
        <w:t>more</w:t>
      </w:r>
      <w:r w:rsidR="003D640C">
        <w:rPr>
          <w:lang w:eastAsia="en-NZ"/>
        </w:rPr>
        <w:t xml:space="preserve"> </w:t>
      </w:r>
      <w:r w:rsidR="00D70742" w:rsidRPr="00BB6220">
        <w:rPr>
          <w:lang w:eastAsia="en-NZ"/>
        </w:rPr>
        <w:t>common</w:t>
      </w:r>
      <w:r w:rsidR="003D640C">
        <w:rPr>
          <w:lang w:eastAsia="en-NZ"/>
        </w:rPr>
        <w:t xml:space="preserve"> </w:t>
      </w:r>
      <w:r w:rsidR="00D70742" w:rsidRPr="00BB6220">
        <w:rPr>
          <w:lang w:eastAsia="en-NZ"/>
        </w:rPr>
        <w:t>in</w:t>
      </w:r>
      <w:r w:rsidR="003D640C">
        <w:rPr>
          <w:lang w:eastAsia="en-NZ"/>
        </w:rPr>
        <w:t xml:space="preserve"> </w:t>
      </w:r>
      <w:r w:rsidR="00D70742" w:rsidRPr="00BB6220">
        <w:rPr>
          <w:lang w:eastAsia="en-NZ"/>
        </w:rPr>
        <w:t>survivors</w:t>
      </w:r>
      <w:r w:rsidR="003D640C">
        <w:rPr>
          <w:lang w:eastAsia="en-NZ"/>
        </w:rPr>
        <w:t xml:space="preserve"> </w:t>
      </w:r>
      <w:r w:rsidR="00D70742" w:rsidRPr="00BB6220">
        <w:rPr>
          <w:lang w:eastAsia="en-NZ"/>
        </w:rPr>
        <w:t>with</w:t>
      </w:r>
      <w:r w:rsidR="003D640C">
        <w:rPr>
          <w:lang w:eastAsia="en-NZ"/>
        </w:rPr>
        <w:t xml:space="preserve"> </w:t>
      </w:r>
      <w:r w:rsidR="00D70742" w:rsidRPr="00BB6220">
        <w:rPr>
          <w:lang w:eastAsia="en-NZ"/>
        </w:rPr>
        <w:t>long</w:t>
      </w:r>
      <w:r w:rsidR="003D640C">
        <w:rPr>
          <w:lang w:eastAsia="en-NZ"/>
        </w:rPr>
        <w:t xml:space="preserve"> </w:t>
      </w:r>
      <w:r w:rsidR="00D70742" w:rsidRPr="00BB6220">
        <w:rPr>
          <w:lang w:eastAsia="en-NZ"/>
        </w:rPr>
        <w:t>histories</w:t>
      </w:r>
      <w:r w:rsidR="003D640C">
        <w:rPr>
          <w:lang w:eastAsia="en-NZ"/>
        </w:rPr>
        <w:t xml:space="preserve"> </w:t>
      </w:r>
      <w:r w:rsidR="00D70742" w:rsidRPr="00BB6220">
        <w:rPr>
          <w:lang w:eastAsia="en-NZ"/>
        </w:rPr>
        <w:t>in</w:t>
      </w:r>
      <w:r w:rsidR="003D640C">
        <w:rPr>
          <w:lang w:eastAsia="en-NZ"/>
        </w:rPr>
        <w:t xml:space="preserve"> </w:t>
      </w:r>
      <w:r w:rsidR="00D70742" w:rsidRPr="00BB6220">
        <w:rPr>
          <w:lang w:eastAsia="en-NZ"/>
        </w:rPr>
        <w:t>conversion</w:t>
      </w:r>
      <w:r w:rsidR="003D640C">
        <w:rPr>
          <w:lang w:eastAsia="en-NZ"/>
        </w:rPr>
        <w:t xml:space="preserve"> </w:t>
      </w:r>
      <w:r w:rsidR="00D70742" w:rsidRPr="00BB6220">
        <w:rPr>
          <w:lang w:eastAsia="en-NZ"/>
        </w:rPr>
        <w:t>practices</w:t>
      </w:r>
      <w:r w:rsidR="00C31626" w:rsidRPr="00BB6220">
        <w:rPr>
          <w:lang w:eastAsia="en-NZ"/>
        </w:rPr>
        <w:t>.</w:t>
      </w:r>
      <w:r w:rsidR="003D640C">
        <w:rPr>
          <w:lang w:eastAsia="en-NZ"/>
        </w:rPr>
        <w:t xml:space="preserve"> </w:t>
      </w:r>
      <w:r w:rsidR="00346383" w:rsidRPr="00BB6220">
        <w:rPr>
          <w:lang w:eastAsia="en-NZ"/>
        </w:rPr>
        <w:t>It</w:t>
      </w:r>
      <w:r w:rsidR="003D640C">
        <w:rPr>
          <w:lang w:eastAsia="en-NZ"/>
        </w:rPr>
        <w:t xml:space="preserve"> </w:t>
      </w:r>
      <w:r w:rsidR="00346383" w:rsidRPr="00BB6220">
        <w:rPr>
          <w:lang w:eastAsia="en-NZ"/>
        </w:rPr>
        <w:t>will</w:t>
      </w:r>
      <w:r w:rsidR="003D640C">
        <w:rPr>
          <w:lang w:eastAsia="en-NZ"/>
        </w:rPr>
        <w:t xml:space="preserve"> </w:t>
      </w:r>
      <w:r w:rsidR="00346383" w:rsidRPr="00BB6220">
        <w:rPr>
          <w:lang w:eastAsia="en-NZ"/>
        </w:rPr>
        <w:t>be</w:t>
      </w:r>
      <w:r w:rsidR="003D640C">
        <w:rPr>
          <w:lang w:eastAsia="en-NZ"/>
        </w:rPr>
        <w:t xml:space="preserve"> </w:t>
      </w:r>
      <w:r w:rsidR="00346383" w:rsidRPr="00BB6220">
        <w:rPr>
          <w:lang w:eastAsia="en-NZ"/>
        </w:rPr>
        <w:t>important</w:t>
      </w:r>
      <w:r w:rsidR="003D640C">
        <w:rPr>
          <w:lang w:eastAsia="en-NZ"/>
        </w:rPr>
        <w:t xml:space="preserve"> </w:t>
      </w:r>
      <w:r w:rsidR="00346383" w:rsidRPr="00BB6220">
        <w:rPr>
          <w:lang w:eastAsia="en-NZ"/>
        </w:rPr>
        <w:t>for</w:t>
      </w:r>
      <w:r w:rsidR="003D640C">
        <w:rPr>
          <w:lang w:eastAsia="en-NZ"/>
        </w:rPr>
        <w:t xml:space="preserve"> </w:t>
      </w:r>
      <w:r w:rsidR="00346383" w:rsidRPr="00BB6220">
        <w:rPr>
          <w:lang w:eastAsia="en-NZ"/>
        </w:rPr>
        <w:t>some</w:t>
      </w:r>
      <w:r w:rsidR="003D640C">
        <w:rPr>
          <w:lang w:eastAsia="en-NZ"/>
        </w:rPr>
        <w:t xml:space="preserve"> </w:t>
      </w:r>
      <w:r w:rsidR="00A00C6F" w:rsidRPr="00BB6220">
        <w:rPr>
          <w:lang w:eastAsia="en-NZ"/>
        </w:rPr>
        <w:t>s</w:t>
      </w:r>
      <w:r w:rsidRPr="00BB6220">
        <w:rPr>
          <w:lang w:eastAsia="en-NZ"/>
        </w:rPr>
        <w:t>urvivors</w:t>
      </w:r>
      <w:r w:rsidR="003D640C">
        <w:rPr>
          <w:lang w:eastAsia="en-NZ"/>
        </w:rPr>
        <w:t xml:space="preserve"> </w:t>
      </w:r>
      <w:r w:rsidRPr="00BB6220">
        <w:rPr>
          <w:lang w:eastAsia="en-NZ"/>
        </w:rPr>
        <w:t>to</w:t>
      </w:r>
      <w:r w:rsidR="003D640C">
        <w:rPr>
          <w:lang w:eastAsia="en-NZ"/>
        </w:rPr>
        <w:t xml:space="preserve"> </w:t>
      </w:r>
      <w:r w:rsidRPr="00BB6220">
        <w:rPr>
          <w:lang w:eastAsia="en-NZ"/>
        </w:rPr>
        <w:t>shed</w:t>
      </w:r>
      <w:r w:rsidR="003D640C">
        <w:rPr>
          <w:lang w:eastAsia="en-NZ"/>
        </w:rPr>
        <w:t xml:space="preserve"> </w:t>
      </w:r>
      <w:r w:rsidR="00346383" w:rsidRPr="00BB6220">
        <w:rPr>
          <w:lang w:eastAsia="en-NZ"/>
        </w:rPr>
        <w:t>such</w:t>
      </w:r>
      <w:r w:rsidR="003D640C">
        <w:rPr>
          <w:lang w:eastAsia="en-NZ"/>
        </w:rPr>
        <w:t xml:space="preserve"> </w:t>
      </w:r>
      <w:r w:rsidRPr="00BB6220">
        <w:rPr>
          <w:lang w:eastAsia="en-NZ"/>
        </w:rPr>
        <w:t>past</w:t>
      </w:r>
      <w:r w:rsidR="003D640C">
        <w:rPr>
          <w:lang w:eastAsia="en-NZ"/>
        </w:rPr>
        <w:t xml:space="preserve"> </w:t>
      </w:r>
      <w:r w:rsidRPr="00BB6220">
        <w:rPr>
          <w:lang w:eastAsia="en-NZ"/>
        </w:rPr>
        <w:t>diagnoses</w:t>
      </w:r>
      <w:r w:rsidR="003D640C">
        <w:rPr>
          <w:lang w:eastAsia="en-NZ"/>
        </w:rPr>
        <w:t xml:space="preserve"> </w:t>
      </w:r>
      <w:r w:rsidR="0001671A" w:rsidRPr="00BB6220">
        <w:rPr>
          <w:lang w:eastAsia="en-NZ"/>
        </w:rPr>
        <w:t>as</w:t>
      </w:r>
      <w:r w:rsidR="003D640C">
        <w:rPr>
          <w:lang w:eastAsia="en-NZ"/>
        </w:rPr>
        <w:t xml:space="preserve"> </w:t>
      </w:r>
      <w:r w:rsidR="0001671A" w:rsidRPr="00BB6220">
        <w:rPr>
          <w:lang w:eastAsia="en-NZ"/>
        </w:rPr>
        <w:t>they</w:t>
      </w:r>
      <w:r w:rsidR="003D640C">
        <w:rPr>
          <w:lang w:eastAsia="en-NZ"/>
        </w:rPr>
        <w:t xml:space="preserve"> </w:t>
      </w:r>
      <w:r w:rsidR="0001671A" w:rsidRPr="00BB6220">
        <w:rPr>
          <w:lang w:eastAsia="en-NZ"/>
        </w:rPr>
        <w:t>find</w:t>
      </w:r>
      <w:r w:rsidR="003D640C">
        <w:rPr>
          <w:lang w:eastAsia="en-NZ"/>
        </w:rPr>
        <w:t xml:space="preserve"> </w:t>
      </w:r>
      <w:r w:rsidR="0001671A" w:rsidRPr="00BB6220">
        <w:rPr>
          <w:lang w:eastAsia="en-NZ"/>
        </w:rPr>
        <w:t>new</w:t>
      </w:r>
      <w:r w:rsidR="003D640C">
        <w:rPr>
          <w:lang w:eastAsia="en-NZ"/>
        </w:rPr>
        <w:t xml:space="preserve"> </w:t>
      </w:r>
      <w:r w:rsidR="0001671A" w:rsidRPr="00BB6220">
        <w:rPr>
          <w:lang w:eastAsia="en-NZ"/>
        </w:rPr>
        <w:t>hope</w:t>
      </w:r>
      <w:r w:rsidR="003D640C">
        <w:rPr>
          <w:lang w:eastAsia="en-NZ"/>
        </w:rPr>
        <w:t xml:space="preserve"> </w:t>
      </w:r>
      <w:r w:rsidR="0001671A" w:rsidRPr="00BB6220">
        <w:rPr>
          <w:lang w:eastAsia="en-NZ"/>
        </w:rPr>
        <w:t>and</w:t>
      </w:r>
      <w:r w:rsidR="003D640C">
        <w:rPr>
          <w:lang w:eastAsia="en-NZ"/>
        </w:rPr>
        <w:t xml:space="preserve"> </w:t>
      </w:r>
      <w:r w:rsidR="0001671A" w:rsidRPr="00BB6220">
        <w:rPr>
          <w:lang w:eastAsia="en-NZ"/>
        </w:rPr>
        <w:t>self-confidence</w:t>
      </w:r>
      <w:r w:rsidR="003D640C">
        <w:rPr>
          <w:lang w:eastAsia="en-NZ"/>
        </w:rPr>
        <w:t xml:space="preserve"> </w:t>
      </w:r>
      <w:r w:rsidR="0001671A" w:rsidRPr="00BB6220">
        <w:rPr>
          <w:lang w:eastAsia="en-NZ"/>
        </w:rPr>
        <w:t>in</w:t>
      </w:r>
      <w:r w:rsidR="003D640C">
        <w:rPr>
          <w:lang w:eastAsia="en-NZ"/>
        </w:rPr>
        <w:t xml:space="preserve"> </w:t>
      </w:r>
      <w:r w:rsidR="0001671A" w:rsidRPr="00BB6220">
        <w:rPr>
          <w:lang w:eastAsia="en-NZ"/>
        </w:rPr>
        <w:t>their</w:t>
      </w:r>
      <w:r w:rsidR="003D640C">
        <w:rPr>
          <w:lang w:eastAsia="en-NZ"/>
        </w:rPr>
        <w:t xml:space="preserve"> </w:t>
      </w:r>
      <w:r w:rsidR="002D1DD6" w:rsidRPr="00BB6220">
        <w:rPr>
          <w:lang w:eastAsia="en-NZ"/>
        </w:rPr>
        <w:t>Rainbow</w:t>
      </w:r>
      <w:r w:rsidR="003D640C">
        <w:rPr>
          <w:lang w:eastAsia="en-NZ"/>
        </w:rPr>
        <w:t xml:space="preserve"> </w:t>
      </w:r>
      <w:r w:rsidR="00F51BE2" w:rsidRPr="00BB6220">
        <w:rPr>
          <w:lang w:eastAsia="en-NZ"/>
        </w:rPr>
        <w:t>identity.</w:t>
      </w:r>
      <w:r w:rsidR="003D640C">
        <w:rPr>
          <w:lang w:eastAsia="en-NZ"/>
        </w:rPr>
        <w:t xml:space="preserve"> </w:t>
      </w:r>
      <w:r w:rsidR="00346383" w:rsidRPr="00BB6220">
        <w:rPr>
          <w:lang w:eastAsia="en-NZ"/>
        </w:rPr>
        <w:t>Other</w:t>
      </w:r>
      <w:r w:rsidR="00F51BE2" w:rsidRPr="00BB6220">
        <w:rPr>
          <w:lang w:eastAsia="en-NZ"/>
        </w:rPr>
        <w:t>s</w:t>
      </w:r>
      <w:r w:rsidR="003D640C">
        <w:rPr>
          <w:lang w:eastAsia="en-NZ"/>
        </w:rPr>
        <w:t xml:space="preserve"> </w:t>
      </w:r>
      <w:r w:rsidR="00EA0963" w:rsidRPr="00BB6220">
        <w:rPr>
          <w:lang w:eastAsia="en-NZ"/>
        </w:rPr>
        <w:t>will</w:t>
      </w:r>
      <w:r w:rsidR="003D640C">
        <w:rPr>
          <w:lang w:eastAsia="en-NZ"/>
        </w:rPr>
        <w:t xml:space="preserve"> </w:t>
      </w:r>
      <w:r w:rsidR="00EA0963" w:rsidRPr="00BB6220">
        <w:rPr>
          <w:lang w:eastAsia="en-NZ"/>
        </w:rPr>
        <w:t>be</w:t>
      </w:r>
      <w:r w:rsidR="003D640C">
        <w:rPr>
          <w:lang w:eastAsia="en-NZ"/>
        </w:rPr>
        <w:t xml:space="preserve"> </w:t>
      </w:r>
      <w:r w:rsidR="00EA0963" w:rsidRPr="00BB6220">
        <w:rPr>
          <w:lang w:eastAsia="en-NZ"/>
        </w:rPr>
        <w:t>reluctant</w:t>
      </w:r>
      <w:r w:rsidR="003D640C">
        <w:rPr>
          <w:lang w:eastAsia="en-NZ"/>
        </w:rPr>
        <w:t xml:space="preserve"> </w:t>
      </w:r>
      <w:r w:rsidR="00F51BE2" w:rsidRPr="00BB6220">
        <w:rPr>
          <w:lang w:eastAsia="en-NZ"/>
        </w:rPr>
        <w:t>to</w:t>
      </w:r>
      <w:r w:rsidR="003D640C">
        <w:rPr>
          <w:lang w:eastAsia="en-NZ"/>
        </w:rPr>
        <w:t xml:space="preserve"> </w:t>
      </w:r>
      <w:r w:rsidR="00F51BE2" w:rsidRPr="00BB6220">
        <w:rPr>
          <w:lang w:eastAsia="en-NZ"/>
        </w:rPr>
        <w:t>shed</w:t>
      </w:r>
      <w:r w:rsidR="003D640C">
        <w:rPr>
          <w:lang w:eastAsia="en-NZ"/>
        </w:rPr>
        <w:t xml:space="preserve"> </w:t>
      </w:r>
      <w:r w:rsidR="00F51BE2" w:rsidRPr="00BB6220">
        <w:rPr>
          <w:lang w:eastAsia="en-NZ"/>
        </w:rPr>
        <w:t>these</w:t>
      </w:r>
      <w:r w:rsidR="003D640C">
        <w:rPr>
          <w:lang w:eastAsia="en-NZ"/>
        </w:rPr>
        <w:t xml:space="preserve"> </w:t>
      </w:r>
      <w:r w:rsidR="00F51BE2" w:rsidRPr="00BB6220">
        <w:rPr>
          <w:lang w:eastAsia="en-NZ"/>
        </w:rPr>
        <w:t>diagnoses,</w:t>
      </w:r>
      <w:r w:rsidR="003D640C">
        <w:rPr>
          <w:lang w:eastAsia="en-NZ"/>
        </w:rPr>
        <w:t xml:space="preserve"> </w:t>
      </w:r>
      <w:r w:rsidR="00F51BE2" w:rsidRPr="00BB6220">
        <w:rPr>
          <w:lang w:eastAsia="en-NZ"/>
        </w:rPr>
        <w:t>even</w:t>
      </w:r>
      <w:r w:rsidR="003D640C">
        <w:rPr>
          <w:lang w:eastAsia="en-NZ"/>
        </w:rPr>
        <w:t xml:space="preserve"> </w:t>
      </w:r>
      <w:r w:rsidR="00F51BE2" w:rsidRPr="00BB6220">
        <w:rPr>
          <w:lang w:eastAsia="en-NZ"/>
        </w:rPr>
        <w:t>if</w:t>
      </w:r>
      <w:r w:rsidR="003D640C">
        <w:rPr>
          <w:lang w:eastAsia="en-NZ"/>
        </w:rPr>
        <w:t xml:space="preserve"> </w:t>
      </w:r>
      <w:r w:rsidR="00F51BE2" w:rsidRPr="00BB6220">
        <w:rPr>
          <w:lang w:eastAsia="en-NZ"/>
        </w:rPr>
        <w:t>the</w:t>
      </w:r>
      <w:r w:rsidR="00580F62" w:rsidRPr="00BB6220">
        <w:rPr>
          <w:lang w:eastAsia="en-NZ"/>
        </w:rPr>
        <w:t>y</w:t>
      </w:r>
      <w:r w:rsidR="003D640C">
        <w:rPr>
          <w:lang w:eastAsia="en-NZ"/>
        </w:rPr>
        <w:t xml:space="preserve"> </w:t>
      </w:r>
      <w:r w:rsidR="00F51BE2" w:rsidRPr="00BB6220">
        <w:rPr>
          <w:lang w:eastAsia="en-NZ"/>
        </w:rPr>
        <w:t>experience</w:t>
      </w:r>
      <w:r w:rsidR="003D640C">
        <w:rPr>
          <w:lang w:eastAsia="en-NZ"/>
        </w:rPr>
        <w:t xml:space="preserve"> </w:t>
      </w:r>
      <w:r w:rsidR="00F51BE2" w:rsidRPr="00BB6220">
        <w:rPr>
          <w:lang w:eastAsia="en-NZ"/>
        </w:rPr>
        <w:t>a</w:t>
      </w:r>
      <w:r w:rsidR="003D640C">
        <w:rPr>
          <w:lang w:eastAsia="en-NZ"/>
        </w:rPr>
        <w:t xml:space="preserve"> </w:t>
      </w:r>
      <w:r w:rsidR="00F51BE2" w:rsidRPr="00BB6220">
        <w:rPr>
          <w:lang w:eastAsia="en-NZ"/>
        </w:rPr>
        <w:t>reduction</w:t>
      </w:r>
      <w:r w:rsidR="003D640C">
        <w:rPr>
          <w:lang w:eastAsia="en-NZ"/>
        </w:rPr>
        <w:t xml:space="preserve"> </w:t>
      </w:r>
      <w:r w:rsidR="00F51BE2" w:rsidRPr="00BB6220">
        <w:rPr>
          <w:lang w:eastAsia="en-NZ"/>
        </w:rPr>
        <w:t>in</w:t>
      </w:r>
      <w:r w:rsidR="003D640C">
        <w:rPr>
          <w:lang w:eastAsia="en-NZ"/>
        </w:rPr>
        <w:t xml:space="preserve"> </w:t>
      </w:r>
      <w:r w:rsidR="00F51BE2" w:rsidRPr="00BB6220">
        <w:rPr>
          <w:lang w:eastAsia="en-NZ"/>
        </w:rPr>
        <w:t>symptoms</w:t>
      </w:r>
      <w:r w:rsidR="003D640C">
        <w:rPr>
          <w:lang w:eastAsia="en-NZ"/>
        </w:rPr>
        <w:t xml:space="preserve"> </w:t>
      </w:r>
      <w:r w:rsidR="00F51BE2" w:rsidRPr="00BB6220">
        <w:rPr>
          <w:lang w:eastAsia="en-NZ"/>
        </w:rPr>
        <w:t>as</w:t>
      </w:r>
      <w:r w:rsidR="003D640C">
        <w:rPr>
          <w:lang w:eastAsia="en-NZ"/>
        </w:rPr>
        <w:t xml:space="preserve"> </w:t>
      </w:r>
      <w:r w:rsidR="00F51BE2" w:rsidRPr="00BB6220">
        <w:rPr>
          <w:lang w:eastAsia="en-NZ"/>
        </w:rPr>
        <w:t>the</w:t>
      </w:r>
      <w:r w:rsidR="007E4507" w:rsidRPr="00BB6220">
        <w:rPr>
          <w:lang w:eastAsia="en-NZ"/>
        </w:rPr>
        <w:t>y</w:t>
      </w:r>
      <w:r w:rsidR="003D640C">
        <w:rPr>
          <w:lang w:eastAsia="en-NZ"/>
        </w:rPr>
        <w:t xml:space="preserve"> </w:t>
      </w:r>
      <w:r w:rsidR="00F51BE2" w:rsidRPr="00BB6220">
        <w:rPr>
          <w:lang w:eastAsia="en-NZ"/>
        </w:rPr>
        <w:t>recover</w:t>
      </w:r>
      <w:r w:rsidR="00133F8F">
        <w:rPr>
          <w:lang w:eastAsia="en-NZ"/>
        </w:rPr>
        <w:t>.</w:t>
      </w:r>
      <w:r w:rsidR="003D640C">
        <w:rPr>
          <w:lang w:eastAsia="en-NZ"/>
        </w:rPr>
        <w:t xml:space="preserve"> </w:t>
      </w:r>
      <w:r w:rsidR="00133F8F">
        <w:rPr>
          <w:lang w:eastAsia="en-NZ"/>
        </w:rPr>
        <w:t>This</w:t>
      </w:r>
      <w:r w:rsidR="003D640C">
        <w:rPr>
          <w:lang w:eastAsia="en-NZ"/>
        </w:rPr>
        <w:t xml:space="preserve"> </w:t>
      </w:r>
      <w:r w:rsidR="00133F8F">
        <w:rPr>
          <w:lang w:eastAsia="en-NZ"/>
        </w:rPr>
        <w:t>reluctance</w:t>
      </w:r>
      <w:r w:rsidR="003D640C">
        <w:rPr>
          <w:lang w:eastAsia="en-NZ"/>
        </w:rPr>
        <w:t xml:space="preserve"> </w:t>
      </w:r>
      <w:r w:rsidR="00133F8F">
        <w:rPr>
          <w:lang w:eastAsia="en-NZ"/>
        </w:rPr>
        <w:t>is</w:t>
      </w:r>
      <w:r w:rsidR="003D640C">
        <w:rPr>
          <w:lang w:eastAsia="en-NZ"/>
        </w:rPr>
        <w:t xml:space="preserve"> </w:t>
      </w:r>
      <w:r w:rsidR="00F51BE2" w:rsidRPr="00BB6220">
        <w:rPr>
          <w:lang w:eastAsia="en-NZ"/>
        </w:rPr>
        <w:t>because</w:t>
      </w:r>
      <w:r w:rsidR="003D640C">
        <w:rPr>
          <w:lang w:eastAsia="en-NZ"/>
        </w:rPr>
        <w:t xml:space="preserve"> </w:t>
      </w:r>
      <w:r w:rsidR="00EA0963" w:rsidRPr="00BB6220">
        <w:rPr>
          <w:lang w:eastAsia="en-NZ"/>
        </w:rPr>
        <w:t>the</w:t>
      </w:r>
      <w:r w:rsidR="003D640C">
        <w:rPr>
          <w:lang w:eastAsia="en-NZ"/>
        </w:rPr>
        <w:t xml:space="preserve"> </w:t>
      </w:r>
      <w:r w:rsidR="00F51BE2" w:rsidRPr="00BB6220">
        <w:rPr>
          <w:lang w:eastAsia="en-NZ"/>
        </w:rPr>
        <w:t>diagnoses</w:t>
      </w:r>
      <w:r w:rsidR="003D640C">
        <w:rPr>
          <w:lang w:eastAsia="en-NZ"/>
        </w:rPr>
        <w:t xml:space="preserve"> </w:t>
      </w:r>
      <w:r w:rsidR="00EA0963" w:rsidRPr="00BB6220">
        <w:rPr>
          <w:lang w:eastAsia="en-NZ"/>
        </w:rPr>
        <w:t>have</w:t>
      </w:r>
      <w:r w:rsidR="003D640C">
        <w:rPr>
          <w:lang w:eastAsia="en-NZ"/>
        </w:rPr>
        <w:t xml:space="preserve"> </w:t>
      </w:r>
      <w:r w:rsidR="004C7F6A" w:rsidRPr="00BB6220">
        <w:rPr>
          <w:lang w:eastAsia="en-NZ"/>
        </w:rPr>
        <w:t>or</w:t>
      </w:r>
      <w:r w:rsidR="003D640C">
        <w:rPr>
          <w:lang w:eastAsia="en-NZ"/>
        </w:rPr>
        <w:t xml:space="preserve"> </w:t>
      </w:r>
      <w:r w:rsidR="00BE641A" w:rsidRPr="00BB6220">
        <w:rPr>
          <w:lang w:eastAsia="en-NZ"/>
        </w:rPr>
        <w:t>are</w:t>
      </w:r>
      <w:r w:rsidR="003D640C">
        <w:rPr>
          <w:lang w:eastAsia="en-NZ"/>
        </w:rPr>
        <w:t xml:space="preserve"> </w:t>
      </w:r>
      <w:r w:rsidR="00BE641A" w:rsidRPr="00BB6220">
        <w:rPr>
          <w:lang w:eastAsia="en-NZ"/>
        </w:rPr>
        <w:t>still</w:t>
      </w:r>
      <w:r w:rsidR="003D640C">
        <w:rPr>
          <w:lang w:eastAsia="en-NZ"/>
        </w:rPr>
        <w:t xml:space="preserve"> </w:t>
      </w:r>
      <w:r w:rsidR="00EA0963" w:rsidRPr="00BB6220">
        <w:rPr>
          <w:lang w:eastAsia="en-NZ"/>
        </w:rPr>
        <w:t>provid</w:t>
      </w:r>
      <w:r w:rsidR="00BE641A" w:rsidRPr="00BB6220">
        <w:rPr>
          <w:lang w:eastAsia="en-NZ"/>
        </w:rPr>
        <w:t>ing</w:t>
      </w:r>
      <w:r w:rsidR="003D640C">
        <w:rPr>
          <w:lang w:eastAsia="en-NZ"/>
        </w:rPr>
        <w:t xml:space="preserve"> </w:t>
      </w:r>
      <w:r w:rsidR="00EA0963" w:rsidRPr="00BB6220">
        <w:rPr>
          <w:lang w:eastAsia="en-NZ"/>
        </w:rPr>
        <w:t>a</w:t>
      </w:r>
      <w:r w:rsidR="003D640C">
        <w:rPr>
          <w:lang w:eastAsia="en-NZ"/>
        </w:rPr>
        <w:t xml:space="preserve"> </w:t>
      </w:r>
      <w:r w:rsidR="00EA0963" w:rsidRPr="00BB6220">
        <w:rPr>
          <w:lang w:eastAsia="en-NZ"/>
        </w:rPr>
        <w:t>level</w:t>
      </w:r>
      <w:r w:rsidR="003D640C">
        <w:rPr>
          <w:lang w:eastAsia="en-NZ"/>
        </w:rPr>
        <w:t xml:space="preserve"> </w:t>
      </w:r>
      <w:r w:rsidR="00EA0963" w:rsidRPr="00BB6220">
        <w:rPr>
          <w:lang w:eastAsia="en-NZ"/>
        </w:rPr>
        <w:t>of</w:t>
      </w:r>
      <w:r w:rsidR="003D640C">
        <w:rPr>
          <w:lang w:eastAsia="en-NZ"/>
        </w:rPr>
        <w:t xml:space="preserve"> </w:t>
      </w:r>
      <w:r w:rsidR="00EA0963" w:rsidRPr="00BB6220">
        <w:rPr>
          <w:lang w:eastAsia="en-NZ"/>
        </w:rPr>
        <w:t>comfort</w:t>
      </w:r>
      <w:r w:rsidR="007E4507" w:rsidRPr="00BB6220">
        <w:rPr>
          <w:lang w:eastAsia="en-NZ"/>
        </w:rPr>
        <w:t>,</w:t>
      </w:r>
      <w:r w:rsidR="003D640C">
        <w:rPr>
          <w:lang w:eastAsia="en-NZ"/>
        </w:rPr>
        <w:t xml:space="preserve"> </w:t>
      </w:r>
      <w:r w:rsidR="009F3E61" w:rsidRPr="00BB6220">
        <w:rPr>
          <w:lang w:eastAsia="en-NZ"/>
        </w:rPr>
        <w:t>allowing</w:t>
      </w:r>
      <w:r w:rsidR="003D640C">
        <w:rPr>
          <w:lang w:eastAsia="en-NZ"/>
        </w:rPr>
        <w:t xml:space="preserve"> </w:t>
      </w:r>
      <w:r w:rsidR="009F3E61" w:rsidRPr="00BB6220">
        <w:rPr>
          <w:lang w:eastAsia="en-NZ"/>
        </w:rPr>
        <w:t>the</w:t>
      </w:r>
      <w:r w:rsidR="003D640C">
        <w:rPr>
          <w:lang w:eastAsia="en-NZ"/>
        </w:rPr>
        <w:t xml:space="preserve"> </w:t>
      </w:r>
      <w:r w:rsidR="009F3E61" w:rsidRPr="00BB6220">
        <w:rPr>
          <w:lang w:eastAsia="en-NZ"/>
        </w:rPr>
        <w:t>survivor</w:t>
      </w:r>
      <w:r w:rsidR="003D640C">
        <w:rPr>
          <w:lang w:eastAsia="en-NZ"/>
        </w:rPr>
        <w:t xml:space="preserve"> </w:t>
      </w:r>
      <w:r w:rsidR="009F3E61" w:rsidRPr="00BB6220">
        <w:rPr>
          <w:lang w:eastAsia="en-NZ"/>
        </w:rPr>
        <w:t>to</w:t>
      </w:r>
      <w:r w:rsidR="003D640C">
        <w:rPr>
          <w:lang w:eastAsia="en-NZ"/>
        </w:rPr>
        <w:t xml:space="preserve"> </w:t>
      </w:r>
      <w:r w:rsidR="009F3E61" w:rsidRPr="00BB6220">
        <w:rPr>
          <w:lang w:eastAsia="en-NZ"/>
        </w:rPr>
        <w:t>blame</w:t>
      </w:r>
      <w:r w:rsidR="003D640C">
        <w:rPr>
          <w:lang w:eastAsia="en-NZ"/>
        </w:rPr>
        <w:t xml:space="preserve"> </w:t>
      </w:r>
      <w:r w:rsidR="004C7F6A" w:rsidRPr="00BB6220">
        <w:rPr>
          <w:lang w:eastAsia="en-NZ"/>
        </w:rPr>
        <w:t>diagnosed</w:t>
      </w:r>
      <w:r w:rsidR="003D640C">
        <w:rPr>
          <w:lang w:eastAsia="en-NZ"/>
        </w:rPr>
        <w:t xml:space="preserve"> </w:t>
      </w:r>
      <w:r w:rsidR="009F3E61" w:rsidRPr="00BB6220">
        <w:rPr>
          <w:lang w:eastAsia="en-NZ"/>
        </w:rPr>
        <w:t>conditions</w:t>
      </w:r>
      <w:r w:rsidR="003D640C">
        <w:rPr>
          <w:lang w:eastAsia="en-NZ"/>
        </w:rPr>
        <w:t xml:space="preserve"> </w:t>
      </w:r>
      <w:r w:rsidR="009F3E61" w:rsidRPr="00BB6220">
        <w:rPr>
          <w:lang w:eastAsia="en-NZ"/>
        </w:rPr>
        <w:t>for</w:t>
      </w:r>
      <w:r w:rsidR="003D640C">
        <w:rPr>
          <w:lang w:eastAsia="en-NZ"/>
        </w:rPr>
        <w:t xml:space="preserve"> </w:t>
      </w:r>
      <w:r w:rsidR="00BE641A" w:rsidRPr="00BB6220">
        <w:rPr>
          <w:lang w:eastAsia="en-NZ"/>
        </w:rPr>
        <w:t>their</w:t>
      </w:r>
      <w:r w:rsidR="003D640C">
        <w:rPr>
          <w:lang w:eastAsia="en-NZ"/>
        </w:rPr>
        <w:t xml:space="preserve"> </w:t>
      </w:r>
      <w:r w:rsidR="004C7F6A" w:rsidRPr="00BB6220">
        <w:rPr>
          <w:lang w:eastAsia="en-NZ"/>
        </w:rPr>
        <w:t>mental</w:t>
      </w:r>
      <w:r w:rsidR="003D640C">
        <w:rPr>
          <w:lang w:eastAsia="en-NZ"/>
        </w:rPr>
        <w:t xml:space="preserve"> </w:t>
      </w:r>
      <w:r w:rsidR="004C7F6A" w:rsidRPr="00BB6220">
        <w:rPr>
          <w:lang w:eastAsia="en-NZ"/>
        </w:rPr>
        <w:t>and</w:t>
      </w:r>
      <w:r w:rsidR="003D640C">
        <w:rPr>
          <w:lang w:eastAsia="en-NZ"/>
        </w:rPr>
        <w:t xml:space="preserve"> </w:t>
      </w:r>
      <w:r w:rsidR="004C7F6A" w:rsidRPr="00BB6220">
        <w:rPr>
          <w:lang w:eastAsia="en-NZ"/>
        </w:rPr>
        <w:t>physical</w:t>
      </w:r>
      <w:r w:rsidR="003D640C">
        <w:rPr>
          <w:lang w:eastAsia="en-NZ"/>
        </w:rPr>
        <w:t xml:space="preserve"> </w:t>
      </w:r>
      <w:r w:rsidR="00BE641A" w:rsidRPr="00BB6220">
        <w:rPr>
          <w:lang w:eastAsia="en-NZ"/>
        </w:rPr>
        <w:t>complaint</w:t>
      </w:r>
      <w:r w:rsidR="001C607A" w:rsidRPr="00BB6220">
        <w:rPr>
          <w:lang w:eastAsia="en-NZ"/>
        </w:rPr>
        <w:t>s</w:t>
      </w:r>
      <w:r w:rsidR="003D640C">
        <w:rPr>
          <w:lang w:eastAsia="en-NZ"/>
        </w:rPr>
        <w:t xml:space="preserve"> </w:t>
      </w:r>
      <w:r w:rsidR="00BE641A" w:rsidRPr="00BB6220">
        <w:rPr>
          <w:lang w:eastAsia="en-NZ"/>
        </w:rPr>
        <w:t>rather</w:t>
      </w:r>
      <w:r w:rsidR="003D640C">
        <w:rPr>
          <w:lang w:eastAsia="en-NZ"/>
        </w:rPr>
        <w:t xml:space="preserve"> </w:t>
      </w:r>
      <w:r w:rsidR="00BE641A" w:rsidRPr="00BB6220">
        <w:rPr>
          <w:lang w:eastAsia="en-NZ"/>
        </w:rPr>
        <w:t>than</w:t>
      </w:r>
      <w:r w:rsidR="003D640C">
        <w:rPr>
          <w:lang w:eastAsia="en-NZ"/>
        </w:rPr>
        <w:t xml:space="preserve"> </w:t>
      </w:r>
      <w:r w:rsidR="00BE641A" w:rsidRPr="00BB6220">
        <w:rPr>
          <w:lang w:eastAsia="en-NZ"/>
        </w:rPr>
        <w:t>facing</w:t>
      </w:r>
      <w:r w:rsidR="003D640C">
        <w:rPr>
          <w:lang w:eastAsia="en-NZ"/>
        </w:rPr>
        <w:t xml:space="preserve"> </w:t>
      </w:r>
      <w:r w:rsidR="00BE641A" w:rsidRPr="00BB6220">
        <w:rPr>
          <w:lang w:eastAsia="en-NZ"/>
        </w:rPr>
        <w:t>the</w:t>
      </w:r>
      <w:r w:rsidR="003D640C">
        <w:rPr>
          <w:lang w:eastAsia="en-NZ"/>
        </w:rPr>
        <w:t xml:space="preserve"> </w:t>
      </w:r>
      <w:r w:rsidR="00BE641A" w:rsidRPr="00BB6220">
        <w:rPr>
          <w:lang w:eastAsia="en-NZ"/>
        </w:rPr>
        <w:t>possibility</w:t>
      </w:r>
      <w:r w:rsidR="003D640C">
        <w:rPr>
          <w:lang w:eastAsia="en-NZ"/>
        </w:rPr>
        <w:t xml:space="preserve"> </w:t>
      </w:r>
      <w:r w:rsidR="00564BF4" w:rsidRPr="00BB6220">
        <w:rPr>
          <w:lang w:eastAsia="en-NZ"/>
        </w:rPr>
        <w:t>they</w:t>
      </w:r>
      <w:r w:rsidR="003D640C">
        <w:rPr>
          <w:lang w:eastAsia="en-NZ"/>
        </w:rPr>
        <w:t xml:space="preserve"> </w:t>
      </w:r>
      <w:r w:rsidR="00564BF4" w:rsidRPr="00BB6220">
        <w:rPr>
          <w:lang w:eastAsia="en-NZ"/>
        </w:rPr>
        <w:t>are</w:t>
      </w:r>
      <w:r w:rsidR="003D640C">
        <w:rPr>
          <w:lang w:eastAsia="en-NZ"/>
        </w:rPr>
        <w:t xml:space="preserve"> </w:t>
      </w:r>
      <w:r w:rsidR="00564BF4" w:rsidRPr="00BB6220">
        <w:rPr>
          <w:lang w:eastAsia="en-NZ"/>
        </w:rPr>
        <w:t>a</w:t>
      </w:r>
      <w:r w:rsidR="003D640C">
        <w:rPr>
          <w:lang w:eastAsia="en-NZ"/>
        </w:rPr>
        <w:t xml:space="preserve"> </w:t>
      </w:r>
      <w:r w:rsidR="00564BF4" w:rsidRPr="00BB6220">
        <w:rPr>
          <w:lang w:eastAsia="en-NZ"/>
        </w:rPr>
        <w:t>direct</w:t>
      </w:r>
      <w:r w:rsidR="003D640C">
        <w:rPr>
          <w:lang w:eastAsia="en-NZ"/>
        </w:rPr>
        <w:t xml:space="preserve"> </w:t>
      </w:r>
      <w:r w:rsidR="00564BF4" w:rsidRPr="00BB6220">
        <w:rPr>
          <w:lang w:eastAsia="en-NZ"/>
        </w:rPr>
        <w:t>result</w:t>
      </w:r>
      <w:r w:rsidR="003D640C">
        <w:rPr>
          <w:lang w:eastAsia="en-NZ"/>
        </w:rPr>
        <w:t xml:space="preserve"> </w:t>
      </w:r>
      <w:r w:rsidR="00564BF4" w:rsidRPr="00BB6220">
        <w:rPr>
          <w:lang w:eastAsia="en-NZ"/>
        </w:rPr>
        <w:t>of</w:t>
      </w:r>
      <w:r w:rsidR="003D640C">
        <w:rPr>
          <w:lang w:eastAsia="en-NZ"/>
        </w:rPr>
        <w:t xml:space="preserve"> </w:t>
      </w:r>
      <w:r w:rsidR="00564BF4" w:rsidRPr="00BB6220">
        <w:rPr>
          <w:lang w:eastAsia="en-NZ"/>
        </w:rPr>
        <w:t>chronic</w:t>
      </w:r>
      <w:r w:rsidR="003D640C">
        <w:rPr>
          <w:lang w:eastAsia="en-NZ"/>
        </w:rPr>
        <w:t xml:space="preserve"> </w:t>
      </w:r>
      <w:r w:rsidR="00564BF4" w:rsidRPr="00BB6220">
        <w:rPr>
          <w:lang w:eastAsia="en-NZ"/>
        </w:rPr>
        <w:t>exposure</w:t>
      </w:r>
      <w:r w:rsidR="003D640C">
        <w:rPr>
          <w:lang w:eastAsia="en-NZ"/>
        </w:rPr>
        <w:t xml:space="preserve"> </w:t>
      </w:r>
      <w:r w:rsidR="00564BF4" w:rsidRPr="00BB6220">
        <w:rPr>
          <w:lang w:eastAsia="en-NZ"/>
        </w:rPr>
        <w:t>to</w:t>
      </w:r>
      <w:r w:rsidR="003D640C">
        <w:rPr>
          <w:lang w:eastAsia="en-NZ"/>
        </w:rPr>
        <w:t xml:space="preserve"> </w:t>
      </w:r>
      <w:r w:rsidR="007819FD" w:rsidRPr="00BB6220">
        <w:rPr>
          <w:lang w:eastAsia="en-NZ"/>
        </w:rPr>
        <w:t>mental</w:t>
      </w:r>
      <w:r w:rsidR="003D640C">
        <w:rPr>
          <w:lang w:eastAsia="en-NZ"/>
        </w:rPr>
        <w:t xml:space="preserve"> </w:t>
      </w:r>
      <w:r w:rsidR="007819FD" w:rsidRPr="00BB6220">
        <w:rPr>
          <w:lang w:eastAsia="en-NZ"/>
        </w:rPr>
        <w:t>distress</w:t>
      </w:r>
      <w:r w:rsidR="003D640C">
        <w:rPr>
          <w:lang w:eastAsia="en-NZ"/>
        </w:rPr>
        <w:t xml:space="preserve"> </w:t>
      </w:r>
      <w:r w:rsidR="007819FD" w:rsidRPr="00BB6220">
        <w:rPr>
          <w:lang w:eastAsia="en-NZ"/>
        </w:rPr>
        <w:t>and</w:t>
      </w:r>
      <w:r w:rsidR="003D640C">
        <w:rPr>
          <w:lang w:eastAsia="en-NZ"/>
        </w:rPr>
        <w:t xml:space="preserve"> </w:t>
      </w:r>
      <w:r w:rsidR="00D53FDA" w:rsidRPr="00BB6220">
        <w:rPr>
          <w:lang w:eastAsia="en-NZ"/>
        </w:rPr>
        <w:t>stress</w:t>
      </w:r>
      <w:r w:rsidR="003D640C">
        <w:rPr>
          <w:lang w:eastAsia="en-NZ"/>
        </w:rPr>
        <w:t xml:space="preserve"> </w:t>
      </w:r>
      <w:r w:rsidR="007819FD" w:rsidRPr="00BB6220">
        <w:rPr>
          <w:lang w:eastAsia="en-NZ"/>
        </w:rPr>
        <w:t>hormones</w:t>
      </w:r>
      <w:r w:rsidR="003D640C">
        <w:rPr>
          <w:lang w:eastAsia="en-NZ"/>
        </w:rPr>
        <w:t xml:space="preserve"> </w:t>
      </w:r>
      <w:r w:rsidR="00D53FDA" w:rsidRPr="00BB6220">
        <w:rPr>
          <w:lang w:eastAsia="en-NZ"/>
        </w:rPr>
        <w:t>related</w:t>
      </w:r>
      <w:r w:rsidR="003D640C">
        <w:rPr>
          <w:lang w:eastAsia="en-NZ"/>
        </w:rPr>
        <w:t xml:space="preserve"> </w:t>
      </w:r>
      <w:r w:rsidR="00D53FDA" w:rsidRPr="00BB6220">
        <w:rPr>
          <w:lang w:eastAsia="en-NZ"/>
        </w:rPr>
        <w:t>to</w:t>
      </w:r>
      <w:r w:rsidR="003D640C">
        <w:rPr>
          <w:lang w:eastAsia="en-NZ"/>
        </w:rPr>
        <w:t xml:space="preserve"> </w:t>
      </w:r>
      <w:r w:rsidR="00D53FDA" w:rsidRPr="00BB6220">
        <w:rPr>
          <w:lang w:eastAsia="en-NZ"/>
        </w:rPr>
        <w:t>conversion</w:t>
      </w:r>
      <w:r w:rsidR="003D640C">
        <w:rPr>
          <w:lang w:eastAsia="en-NZ"/>
        </w:rPr>
        <w:t xml:space="preserve"> </w:t>
      </w:r>
      <w:r w:rsidR="00D53FDA" w:rsidRPr="00BB6220">
        <w:rPr>
          <w:lang w:eastAsia="en-NZ"/>
        </w:rPr>
        <w:t>practices</w:t>
      </w:r>
      <w:r w:rsidRPr="00BB6220">
        <w:rPr>
          <w:lang w:eastAsia="en-NZ"/>
        </w:rPr>
        <w:t>.</w:t>
      </w:r>
      <w:r w:rsidR="003D640C">
        <w:rPr>
          <w:lang w:eastAsia="en-NZ"/>
        </w:rPr>
        <w:t xml:space="preserve"> </w:t>
      </w:r>
    </w:p>
    <w:p w14:paraId="4C33409E" w14:textId="58CAD02C" w:rsidR="00E070BA" w:rsidRPr="00BB6220" w:rsidRDefault="00CF4A69" w:rsidP="00B51F0B">
      <w:pPr>
        <w:pStyle w:val="Bullet"/>
        <w:rPr>
          <w:lang w:eastAsia="en-NZ"/>
        </w:rPr>
      </w:pPr>
      <w:r w:rsidRPr="00BB6220">
        <w:rPr>
          <w:b/>
          <w:lang w:eastAsia="en-NZ"/>
        </w:rPr>
        <w:t>Help</w:t>
      </w:r>
      <w:r w:rsidR="003D640C">
        <w:rPr>
          <w:b/>
          <w:lang w:eastAsia="en-NZ"/>
        </w:rPr>
        <w:t xml:space="preserve"> </w:t>
      </w:r>
      <w:r w:rsidRPr="00BB6220">
        <w:rPr>
          <w:b/>
          <w:lang w:eastAsia="en-NZ"/>
        </w:rPr>
        <w:t>survivors</w:t>
      </w:r>
      <w:r w:rsidR="003D640C">
        <w:rPr>
          <w:b/>
          <w:lang w:eastAsia="en-NZ"/>
        </w:rPr>
        <w:t xml:space="preserve"> </w:t>
      </w:r>
      <w:r w:rsidRPr="00BB6220">
        <w:rPr>
          <w:b/>
          <w:lang w:eastAsia="en-NZ"/>
        </w:rPr>
        <w:t>challenge</w:t>
      </w:r>
      <w:r w:rsidR="003D640C">
        <w:rPr>
          <w:b/>
          <w:lang w:eastAsia="en-NZ"/>
        </w:rPr>
        <w:t xml:space="preserve"> </w:t>
      </w:r>
      <w:r w:rsidRPr="00BB6220">
        <w:rPr>
          <w:b/>
          <w:lang w:eastAsia="en-NZ"/>
        </w:rPr>
        <w:t>the</w:t>
      </w:r>
      <w:r w:rsidR="003D640C">
        <w:rPr>
          <w:b/>
          <w:lang w:eastAsia="en-NZ"/>
        </w:rPr>
        <w:t xml:space="preserve"> </w:t>
      </w:r>
      <w:r w:rsidRPr="00BB6220">
        <w:rPr>
          <w:b/>
          <w:lang w:eastAsia="en-NZ"/>
        </w:rPr>
        <w:t>internalised</w:t>
      </w:r>
      <w:r w:rsidR="003D640C">
        <w:rPr>
          <w:b/>
          <w:lang w:eastAsia="en-NZ"/>
        </w:rPr>
        <w:t xml:space="preserve"> </w:t>
      </w:r>
      <w:r w:rsidRPr="00BB6220">
        <w:rPr>
          <w:b/>
          <w:lang w:eastAsia="en-NZ"/>
        </w:rPr>
        <w:t>shame</w:t>
      </w:r>
      <w:r w:rsidR="003D640C">
        <w:rPr>
          <w:b/>
          <w:lang w:eastAsia="en-NZ"/>
        </w:rPr>
        <w:t xml:space="preserve"> </w:t>
      </w:r>
      <w:r w:rsidRPr="00BB6220">
        <w:rPr>
          <w:lang w:eastAsia="en-NZ"/>
        </w:rPr>
        <w:t>associated</w:t>
      </w:r>
      <w:r w:rsidR="003D640C">
        <w:rPr>
          <w:lang w:eastAsia="en-NZ"/>
        </w:rPr>
        <w:t xml:space="preserve"> </w:t>
      </w:r>
      <w:r w:rsidRPr="00BB6220">
        <w:rPr>
          <w:lang w:eastAsia="en-NZ"/>
        </w:rPr>
        <w:t>with</w:t>
      </w:r>
      <w:r w:rsidR="003D640C">
        <w:rPr>
          <w:lang w:eastAsia="en-NZ"/>
        </w:rPr>
        <w:t xml:space="preserve"> </w:t>
      </w:r>
      <w:r w:rsidRPr="00BB6220">
        <w:rPr>
          <w:lang w:eastAsia="en-NZ"/>
        </w:rPr>
        <w:t>their</w:t>
      </w:r>
      <w:r w:rsidR="003D640C">
        <w:rPr>
          <w:lang w:eastAsia="en-NZ"/>
        </w:rPr>
        <w:t xml:space="preserve"> </w:t>
      </w:r>
      <w:r w:rsidRPr="00BB6220">
        <w:rPr>
          <w:lang w:eastAsia="en-NZ"/>
        </w:rPr>
        <w:t>sexual</w:t>
      </w:r>
      <w:r w:rsidR="003D640C">
        <w:rPr>
          <w:lang w:eastAsia="en-NZ"/>
        </w:rPr>
        <w:t xml:space="preserve"> </w:t>
      </w:r>
      <w:r w:rsidRPr="00BB6220">
        <w:rPr>
          <w:lang w:eastAsia="en-NZ"/>
        </w:rPr>
        <w:t>orientation</w:t>
      </w:r>
      <w:r w:rsidR="003D640C">
        <w:rPr>
          <w:lang w:eastAsia="en-NZ"/>
        </w:rPr>
        <w:t xml:space="preserve"> </w:t>
      </w:r>
      <w:r w:rsidRPr="00BB6220">
        <w:rPr>
          <w:lang w:eastAsia="en-NZ"/>
        </w:rPr>
        <w:t>or</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3D640C">
        <w:rPr>
          <w:lang w:eastAsia="en-NZ"/>
        </w:rPr>
        <w:t xml:space="preserve"> </w:t>
      </w:r>
      <w:r w:rsidRPr="00BB6220">
        <w:rPr>
          <w:lang w:eastAsia="en-NZ"/>
        </w:rPr>
        <w:t>Education,</w:t>
      </w:r>
      <w:r w:rsidR="003D640C">
        <w:rPr>
          <w:lang w:eastAsia="en-NZ"/>
        </w:rPr>
        <w:t xml:space="preserve"> </w:t>
      </w:r>
      <w:r w:rsidRPr="00BB6220">
        <w:rPr>
          <w:lang w:eastAsia="en-NZ"/>
        </w:rPr>
        <w:t>awareness,</w:t>
      </w:r>
      <w:r w:rsidR="003D640C">
        <w:rPr>
          <w:lang w:eastAsia="en-NZ"/>
        </w:rPr>
        <w:t xml:space="preserve"> </w:t>
      </w:r>
      <w:r w:rsidRPr="00BB6220">
        <w:rPr>
          <w:lang w:eastAsia="en-NZ"/>
        </w:rPr>
        <w:t>and</w:t>
      </w:r>
      <w:r w:rsidR="003D640C">
        <w:rPr>
          <w:lang w:eastAsia="en-NZ"/>
        </w:rPr>
        <w:t xml:space="preserve"> </w:t>
      </w:r>
      <w:r w:rsidRPr="00BB6220">
        <w:rPr>
          <w:lang w:eastAsia="en-NZ"/>
        </w:rPr>
        <w:t>engaging</w:t>
      </w:r>
      <w:r w:rsidR="003D640C">
        <w:rPr>
          <w:lang w:eastAsia="en-NZ"/>
        </w:rPr>
        <w:t xml:space="preserve"> </w:t>
      </w:r>
      <w:r w:rsidRPr="00BB6220">
        <w:rPr>
          <w:lang w:eastAsia="en-NZ"/>
        </w:rPr>
        <w:t>with</w:t>
      </w:r>
      <w:r w:rsidR="003D640C">
        <w:rPr>
          <w:lang w:eastAsia="en-NZ"/>
        </w:rPr>
        <w:t xml:space="preserve"> </w:t>
      </w:r>
      <w:r w:rsidR="002D1DD6" w:rsidRPr="00BB6220">
        <w:rPr>
          <w:lang w:eastAsia="en-NZ"/>
        </w:rPr>
        <w:t>Rainbow</w:t>
      </w:r>
      <w:r w:rsidR="00135490">
        <w:rPr>
          <w:lang w:eastAsia="en-NZ"/>
        </w:rPr>
        <w:t>-</w:t>
      </w:r>
      <w:r w:rsidRPr="00BB6220">
        <w:rPr>
          <w:lang w:eastAsia="en-NZ"/>
        </w:rPr>
        <w:t>affirming</w:t>
      </w:r>
      <w:r w:rsidR="003D640C">
        <w:rPr>
          <w:lang w:eastAsia="en-NZ"/>
        </w:rPr>
        <w:t xml:space="preserve"> </w:t>
      </w:r>
      <w:r w:rsidRPr="00BB6220">
        <w:rPr>
          <w:lang w:eastAsia="en-NZ"/>
        </w:rPr>
        <w:t>resources</w:t>
      </w:r>
      <w:r w:rsidR="003D640C">
        <w:rPr>
          <w:lang w:eastAsia="en-NZ"/>
        </w:rPr>
        <w:t xml:space="preserve"> </w:t>
      </w:r>
      <w:r w:rsidRPr="00BB6220">
        <w:rPr>
          <w:lang w:eastAsia="en-NZ"/>
        </w:rPr>
        <w:t>will</w:t>
      </w:r>
      <w:r w:rsidR="003D640C">
        <w:rPr>
          <w:lang w:eastAsia="en-NZ"/>
        </w:rPr>
        <w:t xml:space="preserve"> </w:t>
      </w:r>
      <w:r w:rsidRPr="00BB6220">
        <w:rPr>
          <w:lang w:eastAsia="en-NZ"/>
        </w:rPr>
        <w:t>assist</w:t>
      </w:r>
      <w:r w:rsidR="003D640C">
        <w:rPr>
          <w:lang w:eastAsia="en-NZ"/>
        </w:rPr>
        <w:t xml:space="preserve"> </w:t>
      </w:r>
      <w:r w:rsidRPr="00BB6220">
        <w:rPr>
          <w:lang w:eastAsia="en-NZ"/>
        </w:rPr>
        <w:t>in</w:t>
      </w:r>
      <w:r w:rsidR="003D640C">
        <w:rPr>
          <w:lang w:eastAsia="en-NZ"/>
        </w:rPr>
        <w:t xml:space="preserve"> </w:t>
      </w:r>
      <w:r w:rsidRPr="00BB6220">
        <w:rPr>
          <w:lang w:eastAsia="en-NZ"/>
        </w:rPr>
        <w:t>reframing</w:t>
      </w:r>
      <w:r w:rsidR="003D640C">
        <w:rPr>
          <w:lang w:eastAsia="en-NZ"/>
        </w:rPr>
        <w:t xml:space="preserve"> </w:t>
      </w:r>
      <w:r w:rsidRPr="00BB6220">
        <w:rPr>
          <w:lang w:eastAsia="en-NZ"/>
        </w:rPr>
        <w:t>negative</w:t>
      </w:r>
      <w:r w:rsidR="003D640C">
        <w:rPr>
          <w:lang w:eastAsia="en-NZ"/>
        </w:rPr>
        <w:t xml:space="preserve"> </w:t>
      </w:r>
      <w:r w:rsidRPr="00BB6220">
        <w:rPr>
          <w:lang w:eastAsia="en-NZ"/>
        </w:rPr>
        <w:t>beliefs</w:t>
      </w:r>
      <w:r w:rsidR="003D640C">
        <w:rPr>
          <w:lang w:eastAsia="en-NZ"/>
        </w:rPr>
        <w:t xml:space="preserve"> </w:t>
      </w:r>
      <w:r w:rsidRPr="00BB6220">
        <w:rPr>
          <w:lang w:eastAsia="en-NZ"/>
        </w:rPr>
        <w:t>and</w:t>
      </w:r>
      <w:r w:rsidR="003D640C">
        <w:rPr>
          <w:lang w:eastAsia="en-NZ"/>
        </w:rPr>
        <w:t xml:space="preserve"> </w:t>
      </w:r>
      <w:r w:rsidRPr="00BB6220">
        <w:rPr>
          <w:lang w:eastAsia="en-NZ"/>
        </w:rPr>
        <w:t>building</w:t>
      </w:r>
      <w:r w:rsidR="003D640C">
        <w:rPr>
          <w:lang w:eastAsia="en-NZ"/>
        </w:rPr>
        <w:t xml:space="preserve"> </w:t>
      </w:r>
      <w:r w:rsidRPr="00BB6220">
        <w:rPr>
          <w:lang w:eastAsia="en-NZ"/>
        </w:rPr>
        <w:t>a</w:t>
      </w:r>
      <w:r w:rsidR="003D640C">
        <w:rPr>
          <w:lang w:eastAsia="en-NZ"/>
        </w:rPr>
        <w:t xml:space="preserve"> </w:t>
      </w:r>
      <w:r w:rsidRPr="00BB6220">
        <w:rPr>
          <w:lang w:eastAsia="en-NZ"/>
        </w:rPr>
        <w:t>positive</w:t>
      </w:r>
      <w:r w:rsidR="003D640C">
        <w:rPr>
          <w:lang w:eastAsia="en-NZ"/>
        </w:rPr>
        <w:t xml:space="preserve"> </w:t>
      </w:r>
      <w:r w:rsidRPr="00BB6220">
        <w:rPr>
          <w:lang w:eastAsia="en-NZ"/>
        </w:rPr>
        <w:t>self-image.</w:t>
      </w:r>
      <w:r w:rsidR="003D640C">
        <w:rPr>
          <w:lang w:eastAsia="en-NZ"/>
        </w:rPr>
        <w:t xml:space="preserve"> </w:t>
      </w:r>
      <w:r w:rsidRPr="00BB6220">
        <w:rPr>
          <w:lang w:eastAsia="en-NZ"/>
        </w:rPr>
        <w:t>Not</w:t>
      </w:r>
      <w:r w:rsidR="003D640C">
        <w:rPr>
          <w:lang w:eastAsia="en-NZ"/>
        </w:rPr>
        <w:t xml:space="preserve"> </w:t>
      </w:r>
      <w:r w:rsidRPr="00BB6220">
        <w:rPr>
          <w:lang w:eastAsia="en-NZ"/>
        </w:rPr>
        <w:t>all</w:t>
      </w:r>
      <w:r w:rsidR="003D640C">
        <w:rPr>
          <w:lang w:eastAsia="en-NZ"/>
        </w:rPr>
        <w:t xml:space="preserve"> </w:t>
      </w:r>
      <w:r w:rsidRPr="00BB6220">
        <w:rPr>
          <w:lang w:eastAsia="en-NZ"/>
        </w:rPr>
        <w:t>survivors</w:t>
      </w:r>
      <w:r w:rsidR="003D640C">
        <w:rPr>
          <w:lang w:eastAsia="en-NZ"/>
        </w:rPr>
        <w:t xml:space="preserve"> </w:t>
      </w:r>
      <w:r w:rsidRPr="00BB6220">
        <w:rPr>
          <w:lang w:eastAsia="en-NZ"/>
        </w:rPr>
        <w:t>will</w:t>
      </w:r>
      <w:r w:rsidR="003D640C">
        <w:rPr>
          <w:lang w:eastAsia="en-NZ"/>
        </w:rPr>
        <w:t xml:space="preserve"> </w:t>
      </w:r>
      <w:r w:rsidRPr="00BB6220">
        <w:rPr>
          <w:lang w:eastAsia="en-NZ"/>
        </w:rPr>
        <w:t>make</w:t>
      </w:r>
      <w:r w:rsidR="003D640C">
        <w:rPr>
          <w:lang w:eastAsia="en-NZ"/>
        </w:rPr>
        <w:t xml:space="preserve"> </w:t>
      </w:r>
      <w:r w:rsidRPr="00BB6220">
        <w:rPr>
          <w:lang w:eastAsia="en-NZ"/>
        </w:rPr>
        <w:t>progress</w:t>
      </w:r>
      <w:r w:rsidR="003D640C">
        <w:rPr>
          <w:lang w:eastAsia="en-NZ"/>
        </w:rPr>
        <w:t xml:space="preserve"> </w:t>
      </w:r>
      <w:r w:rsidRPr="00BB6220">
        <w:rPr>
          <w:lang w:eastAsia="en-NZ"/>
        </w:rPr>
        <w:t>at</w:t>
      </w:r>
      <w:r w:rsidR="003D640C">
        <w:rPr>
          <w:lang w:eastAsia="en-NZ"/>
        </w:rPr>
        <w:t xml:space="preserve"> </w:t>
      </w:r>
      <w:r w:rsidRPr="00BB6220">
        <w:rPr>
          <w:lang w:eastAsia="en-NZ"/>
        </w:rPr>
        <w:t>the</w:t>
      </w:r>
      <w:r w:rsidR="003D640C">
        <w:rPr>
          <w:lang w:eastAsia="en-NZ"/>
        </w:rPr>
        <w:t xml:space="preserve"> </w:t>
      </w:r>
      <w:r w:rsidRPr="00BB6220">
        <w:rPr>
          <w:lang w:eastAsia="en-NZ"/>
        </w:rPr>
        <w:t>same</w:t>
      </w:r>
      <w:r w:rsidR="003D640C">
        <w:rPr>
          <w:lang w:eastAsia="en-NZ"/>
        </w:rPr>
        <w:t xml:space="preserve"> </w:t>
      </w:r>
      <w:r w:rsidRPr="00BB6220">
        <w:rPr>
          <w:lang w:eastAsia="en-NZ"/>
        </w:rPr>
        <w:t>pace.</w:t>
      </w:r>
    </w:p>
    <w:p w14:paraId="55B2349B" w14:textId="1EC4A6E0" w:rsidR="00CF4A69" w:rsidRPr="00BB6220" w:rsidRDefault="00CF4A69" w:rsidP="00B51F0B">
      <w:pPr>
        <w:pStyle w:val="Bullet"/>
        <w:rPr>
          <w:rFonts w:cstheme="minorHAnsi"/>
          <w:lang w:eastAsia="en-NZ"/>
        </w:rPr>
      </w:pPr>
      <w:r w:rsidRPr="00BB6220">
        <w:rPr>
          <w:b/>
          <w:lang w:eastAsia="en-NZ"/>
        </w:rPr>
        <w:t>Support</w:t>
      </w:r>
      <w:r w:rsidR="003D640C">
        <w:rPr>
          <w:b/>
          <w:lang w:eastAsia="en-NZ"/>
        </w:rPr>
        <w:t xml:space="preserve"> </w:t>
      </w:r>
      <w:r w:rsidRPr="00BB6220">
        <w:rPr>
          <w:b/>
          <w:lang w:eastAsia="en-NZ"/>
        </w:rPr>
        <w:t>survivors</w:t>
      </w:r>
      <w:r w:rsidR="003D640C">
        <w:rPr>
          <w:b/>
          <w:lang w:eastAsia="en-NZ"/>
        </w:rPr>
        <w:t xml:space="preserve"> </w:t>
      </w:r>
      <w:r w:rsidRPr="00BB6220">
        <w:rPr>
          <w:b/>
          <w:lang w:eastAsia="en-NZ"/>
        </w:rPr>
        <w:t>to</w:t>
      </w:r>
      <w:r w:rsidR="003D640C">
        <w:rPr>
          <w:b/>
          <w:lang w:eastAsia="en-NZ"/>
        </w:rPr>
        <w:t xml:space="preserve"> </w:t>
      </w:r>
      <w:r w:rsidRPr="00BB6220">
        <w:rPr>
          <w:b/>
          <w:lang w:eastAsia="en-NZ"/>
        </w:rPr>
        <w:t>build</w:t>
      </w:r>
      <w:r w:rsidR="003D640C">
        <w:rPr>
          <w:b/>
          <w:lang w:eastAsia="en-NZ"/>
        </w:rPr>
        <w:t xml:space="preserve"> </w:t>
      </w:r>
      <w:r w:rsidRPr="00BB6220">
        <w:rPr>
          <w:b/>
          <w:lang w:eastAsia="en-NZ"/>
        </w:rPr>
        <w:t>resilience</w:t>
      </w:r>
      <w:r w:rsidR="003D640C">
        <w:rPr>
          <w:lang w:eastAsia="en-NZ"/>
        </w:rPr>
        <w:t xml:space="preserve"> </w:t>
      </w:r>
      <w:r w:rsidRPr="00BB6220">
        <w:rPr>
          <w:lang w:eastAsia="en-NZ"/>
        </w:rPr>
        <w:t>by</w:t>
      </w:r>
      <w:r w:rsidR="003D640C">
        <w:rPr>
          <w:lang w:eastAsia="en-NZ"/>
        </w:rPr>
        <w:t xml:space="preserve"> </w:t>
      </w:r>
      <w:r w:rsidRPr="00BB6220">
        <w:rPr>
          <w:lang w:eastAsia="en-NZ"/>
        </w:rPr>
        <w:t>helping</w:t>
      </w:r>
      <w:r w:rsidR="003D640C">
        <w:rPr>
          <w:lang w:eastAsia="en-NZ"/>
        </w:rPr>
        <w:t xml:space="preserve"> </w:t>
      </w:r>
      <w:r w:rsidRPr="00BB6220">
        <w:rPr>
          <w:lang w:eastAsia="en-NZ"/>
        </w:rPr>
        <w:t>them</w:t>
      </w:r>
      <w:r w:rsidR="003D640C">
        <w:rPr>
          <w:lang w:eastAsia="en-NZ"/>
        </w:rPr>
        <w:t xml:space="preserve"> </w:t>
      </w:r>
      <w:r w:rsidRPr="00BB6220">
        <w:rPr>
          <w:lang w:eastAsia="en-NZ"/>
        </w:rPr>
        <w:t>identify</w:t>
      </w:r>
      <w:r w:rsidR="003D640C">
        <w:rPr>
          <w:lang w:eastAsia="en-NZ"/>
        </w:rPr>
        <w:t xml:space="preserve"> </w:t>
      </w:r>
      <w:r w:rsidRPr="00BB6220">
        <w:rPr>
          <w:lang w:eastAsia="en-NZ"/>
        </w:rPr>
        <w:t>and</w:t>
      </w:r>
      <w:r w:rsidR="003D640C">
        <w:rPr>
          <w:lang w:eastAsia="en-NZ"/>
        </w:rPr>
        <w:t xml:space="preserve"> </w:t>
      </w:r>
      <w:r w:rsidRPr="00BB6220">
        <w:rPr>
          <w:lang w:eastAsia="en-NZ"/>
        </w:rPr>
        <w:t>utilise</w:t>
      </w:r>
      <w:r w:rsidR="003D640C">
        <w:rPr>
          <w:lang w:eastAsia="en-NZ"/>
        </w:rPr>
        <w:t xml:space="preserve"> </w:t>
      </w:r>
      <w:r w:rsidRPr="00BB6220">
        <w:rPr>
          <w:lang w:eastAsia="en-NZ"/>
        </w:rPr>
        <w:t>personal</w:t>
      </w:r>
      <w:r w:rsidR="003D640C">
        <w:rPr>
          <w:lang w:eastAsia="en-NZ"/>
        </w:rPr>
        <w:t xml:space="preserve"> </w:t>
      </w:r>
      <w:r w:rsidRPr="00BB6220">
        <w:rPr>
          <w:lang w:eastAsia="en-NZ"/>
        </w:rPr>
        <w:t>strengths</w:t>
      </w:r>
      <w:r w:rsidR="003D640C">
        <w:rPr>
          <w:lang w:eastAsia="en-NZ"/>
        </w:rPr>
        <w:t xml:space="preserve"> </w:t>
      </w:r>
      <w:r w:rsidRPr="00BB6220">
        <w:rPr>
          <w:lang w:eastAsia="en-NZ"/>
        </w:rPr>
        <w:t>and</w:t>
      </w:r>
      <w:r w:rsidR="003D640C">
        <w:rPr>
          <w:lang w:eastAsia="en-NZ"/>
        </w:rPr>
        <w:t xml:space="preserve"> </w:t>
      </w:r>
      <w:r w:rsidRPr="00BB6220">
        <w:rPr>
          <w:lang w:eastAsia="en-NZ"/>
        </w:rPr>
        <w:t>resources.</w:t>
      </w:r>
      <w:r w:rsidR="003D640C">
        <w:rPr>
          <w:lang w:eastAsia="en-NZ"/>
        </w:rPr>
        <w:t xml:space="preserve"> </w:t>
      </w:r>
      <w:r w:rsidRPr="00BB6220">
        <w:rPr>
          <w:lang w:eastAsia="en-NZ"/>
        </w:rPr>
        <w:t>This</w:t>
      </w:r>
      <w:r w:rsidR="003D640C">
        <w:rPr>
          <w:lang w:eastAsia="en-NZ"/>
        </w:rPr>
        <w:t xml:space="preserve"> </w:t>
      </w:r>
      <w:r w:rsidRPr="00BB6220">
        <w:rPr>
          <w:lang w:eastAsia="en-NZ"/>
        </w:rPr>
        <w:t>may</w:t>
      </w:r>
      <w:r w:rsidR="003D640C">
        <w:rPr>
          <w:lang w:eastAsia="en-NZ"/>
        </w:rPr>
        <w:t xml:space="preserve"> </w:t>
      </w:r>
      <w:r w:rsidRPr="00BB6220">
        <w:rPr>
          <w:lang w:eastAsia="en-NZ"/>
        </w:rPr>
        <w:t>involve</w:t>
      </w:r>
      <w:r w:rsidR="003D640C">
        <w:rPr>
          <w:lang w:eastAsia="en-NZ"/>
        </w:rPr>
        <w:t xml:space="preserve"> </w:t>
      </w:r>
      <w:r w:rsidRPr="00BB6220">
        <w:rPr>
          <w:lang w:eastAsia="en-NZ"/>
        </w:rPr>
        <w:t>developing</w:t>
      </w:r>
      <w:r w:rsidR="003D640C">
        <w:rPr>
          <w:lang w:eastAsia="en-NZ"/>
        </w:rPr>
        <w:t xml:space="preserve"> </w:t>
      </w:r>
      <w:r w:rsidRPr="00BB6220">
        <w:rPr>
          <w:lang w:eastAsia="en-NZ"/>
        </w:rPr>
        <w:t>problem-solving</w:t>
      </w:r>
      <w:r w:rsidR="003D640C">
        <w:rPr>
          <w:lang w:eastAsia="en-NZ"/>
        </w:rPr>
        <w:t xml:space="preserve"> </w:t>
      </w:r>
      <w:r w:rsidRPr="00BB6220">
        <w:rPr>
          <w:lang w:eastAsia="en-NZ"/>
        </w:rPr>
        <w:t>skills,</w:t>
      </w:r>
      <w:r w:rsidR="003D640C">
        <w:rPr>
          <w:lang w:eastAsia="en-NZ"/>
        </w:rPr>
        <w:t xml:space="preserve"> </w:t>
      </w:r>
      <w:r w:rsidRPr="00BB6220">
        <w:rPr>
          <w:lang w:eastAsia="en-NZ"/>
        </w:rPr>
        <w:t>fostering</w:t>
      </w:r>
      <w:r w:rsidR="003D640C">
        <w:rPr>
          <w:lang w:eastAsia="en-NZ"/>
        </w:rPr>
        <w:t xml:space="preserve"> </w:t>
      </w:r>
      <w:r w:rsidRPr="00BB6220">
        <w:rPr>
          <w:lang w:eastAsia="en-NZ"/>
        </w:rPr>
        <w:t>positive</w:t>
      </w:r>
      <w:r w:rsidR="003D640C">
        <w:rPr>
          <w:lang w:eastAsia="en-NZ"/>
        </w:rPr>
        <w:t xml:space="preserve"> </w:t>
      </w:r>
      <w:r w:rsidRPr="00BB6220">
        <w:rPr>
          <w:lang w:eastAsia="en-NZ"/>
        </w:rPr>
        <w:t>relationships,</w:t>
      </w:r>
      <w:r w:rsidR="003D640C">
        <w:rPr>
          <w:lang w:eastAsia="en-NZ"/>
        </w:rPr>
        <w:t xml:space="preserve"> </w:t>
      </w:r>
      <w:r w:rsidRPr="00BB6220">
        <w:rPr>
          <w:lang w:eastAsia="en-NZ"/>
        </w:rPr>
        <w:t>and</w:t>
      </w:r>
      <w:r w:rsidR="003D640C">
        <w:rPr>
          <w:lang w:eastAsia="en-NZ"/>
        </w:rPr>
        <w:t xml:space="preserve"> </w:t>
      </w:r>
      <w:r w:rsidRPr="00BB6220">
        <w:rPr>
          <w:lang w:eastAsia="en-NZ"/>
        </w:rPr>
        <w:t>engaging</w:t>
      </w:r>
      <w:r w:rsidR="003D640C">
        <w:rPr>
          <w:lang w:eastAsia="en-NZ"/>
        </w:rPr>
        <w:t xml:space="preserve"> </w:t>
      </w:r>
      <w:r w:rsidRPr="00BB6220">
        <w:rPr>
          <w:lang w:eastAsia="en-NZ"/>
        </w:rPr>
        <w:t>in</w:t>
      </w:r>
      <w:r w:rsidR="003D640C">
        <w:rPr>
          <w:lang w:eastAsia="en-NZ"/>
        </w:rPr>
        <w:t xml:space="preserve"> </w:t>
      </w:r>
      <w:r w:rsidRPr="00BB6220">
        <w:rPr>
          <w:lang w:eastAsia="en-NZ"/>
        </w:rPr>
        <w:t>activities</w:t>
      </w:r>
      <w:r w:rsidR="003D640C">
        <w:rPr>
          <w:lang w:eastAsia="en-NZ"/>
        </w:rPr>
        <w:t xml:space="preserve"> </w:t>
      </w:r>
      <w:r w:rsidRPr="00BB6220">
        <w:rPr>
          <w:lang w:eastAsia="en-NZ"/>
        </w:rPr>
        <w:t>that</w:t>
      </w:r>
      <w:r w:rsidR="003D640C">
        <w:rPr>
          <w:lang w:eastAsia="en-NZ"/>
        </w:rPr>
        <w:t xml:space="preserve"> </w:t>
      </w:r>
      <w:r w:rsidRPr="00BB6220">
        <w:rPr>
          <w:lang w:eastAsia="en-NZ"/>
        </w:rPr>
        <w:t>promote</w:t>
      </w:r>
      <w:r w:rsidR="003D640C">
        <w:rPr>
          <w:lang w:eastAsia="en-NZ"/>
        </w:rPr>
        <w:t xml:space="preserve"> </w:t>
      </w:r>
      <w:r w:rsidRPr="00BB6220">
        <w:rPr>
          <w:lang w:eastAsia="en-NZ"/>
        </w:rPr>
        <w:t>personal</w:t>
      </w:r>
      <w:r w:rsidR="003D640C">
        <w:rPr>
          <w:lang w:eastAsia="en-NZ"/>
        </w:rPr>
        <w:t xml:space="preserve"> </w:t>
      </w:r>
      <w:r w:rsidRPr="00BB6220">
        <w:rPr>
          <w:lang w:eastAsia="en-NZ"/>
        </w:rPr>
        <w:t>growth</w:t>
      </w:r>
      <w:r w:rsidR="003D640C">
        <w:rPr>
          <w:lang w:eastAsia="en-NZ"/>
        </w:rPr>
        <w:t xml:space="preserve"> </w:t>
      </w:r>
      <w:r w:rsidRPr="00BB6220">
        <w:rPr>
          <w:lang w:eastAsia="en-NZ"/>
        </w:rPr>
        <w:t>and</w:t>
      </w:r>
      <w:r w:rsidR="003D640C">
        <w:rPr>
          <w:lang w:eastAsia="en-NZ"/>
        </w:rPr>
        <w:t xml:space="preserve"> </w:t>
      </w:r>
      <w:r w:rsidRPr="00BB6220">
        <w:rPr>
          <w:lang w:eastAsia="en-NZ"/>
        </w:rPr>
        <w:t>empowerment.</w:t>
      </w:r>
    </w:p>
    <w:p w14:paraId="30990CE7" w14:textId="5B56A204" w:rsidR="00CF4A69" w:rsidRPr="00BB6220" w:rsidRDefault="00CF4A69" w:rsidP="00B51F0B">
      <w:pPr>
        <w:pStyle w:val="Bullet"/>
        <w:rPr>
          <w:lang w:eastAsia="en-NZ"/>
        </w:rPr>
      </w:pPr>
      <w:r w:rsidRPr="00BB6220">
        <w:rPr>
          <w:b/>
          <w:lang w:eastAsia="en-NZ"/>
        </w:rPr>
        <w:t>Encourage</w:t>
      </w:r>
      <w:r w:rsidR="003D640C">
        <w:rPr>
          <w:b/>
          <w:lang w:eastAsia="en-NZ"/>
        </w:rPr>
        <w:t xml:space="preserve"> </w:t>
      </w:r>
      <w:r w:rsidRPr="00BB6220">
        <w:rPr>
          <w:b/>
          <w:lang w:eastAsia="en-NZ"/>
        </w:rPr>
        <w:t>survivors</w:t>
      </w:r>
      <w:r w:rsidR="003D640C">
        <w:rPr>
          <w:b/>
          <w:lang w:eastAsia="en-NZ"/>
        </w:rPr>
        <w:t xml:space="preserve"> </w:t>
      </w:r>
      <w:r w:rsidRPr="00BB6220">
        <w:rPr>
          <w:b/>
          <w:lang w:eastAsia="en-NZ"/>
        </w:rPr>
        <w:t>to</w:t>
      </w:r>
      <w:r w:rsidR="003D640C">
        <w:rPr>
          <w:b/>
          <w:lang w:eastAsia="en-NZ"/>
        </w:rPr>
        <w:t xml:space="preserve"> </w:t>
      </w:r>
      <w:r w:rsidRPr="00BB6220">
        <w:rPr>
          <w:b/>
          <w:lang w:eastAsia="en-NZ"/>
        </w:rPr>
        <w:t>explore</w:t>
      </w:r>
      <w:r w:rsidR="003D640C">
        <w:rPr>
          <w:b/>
          <w:lang w:eastAsia="en-NZ"/>
        </w:rPr>
        <w:t xml:space="preserve"> </w:t>
      </w:r>
      <w:r w:rsidRPr="00BB6220">
        <w:rPr>
          <w:b/>
          <w:lang w:eastAsia="en-NZ"/>
        </w:rPr>
        <w:t>the</w:t>
      </w:r>
      <w:r w:rsidR="003D640C">
        <w:rPr>
          <w:b/>
          <w:lang w:eastAsia="en-NZ"/>
        </w:rPr>
        <w:t xml:space="preserve"> </w:t>
      </w:r>
      <w:r w:rsidRPr="00BB6220">
        <w:rPr>
          <w:b/>
          <w:lang w:eastAsia="en-NZ"/>
        </w:rPr>
        <w:t>concept</w:t>
      </w:r>
      <w:r w:rsidR="003D640C">
        <w:rPr>
          <w:b/>
          <w:lang w:eastAsia="en-NZ"/>
        </w:rPr>
        <w:t xml:space="preserve"> </w:t>
      </w:r>
      <w:r w:rsidRPr="00BB6220">
        <w:rPr>
          <w:b/>
          <w:lang w:eastAsia="en-NZ"/>
        </w:rPr>
        <w:t>of</w:t>
      </w:r>
      <w:r w:rsidR="003D640C">
        <w:rPr>
          <w:b/>
          <w:lang w:eastAsia="en-NZ"/>
        </w:rPr>
        <w:t xml:space="preserve"> </w:t>
      </w:r>
      <w:r w:rsidRPr="00BB6220">
        <w:rPr>
          <w:b/>
          <w:lang w:eastAsia="en-NZ"/>
        </w:rPr>
        <w:t>post-traumatic</w:t>
      </w:r>
      <w:r w:rsidR="003D640C">
        <w:rPr>
          <w:b/>
          <w:lang w:eastAsia="en-NZ"/>
        </w:rPr>
        <w:t xml:space="preserve"> </w:t>
      </w:r>
      <w:r w:rsidRPr="00BB6220">
        <w:rPr>
          <w:b/>
          <w:lang w:eastAsia="en-NZ"/>
        </w:rPr>
        <w:t>growth</w:t>
      </w:r>
      <w:r w:rsidRPr="00BB6220">
        <w:rPr>
          <w:lang w:eastAsia="en-NZ"/>
        </w:rPr>
        <w:t>,</w:t>
      </w:r>
      <w:r w:rsidR="003D640C">
        <w:rPr>
          <w:lang w:eastAsia="en-NZ"/>
        </w:rPr>
        <w:t xml:space="preserve"> </w:t>
      </w:r>
      <w:r w:rsidRPr="00BB6220">
        <w:rPr>
          <w:lang w:eastAsia="en-NZ"/>
        </w:rPr>
        <w:t>which</w:t>
      </w:r>
      <w:r w:rsidR="003D640C">
        <w:rPr>
          <w:lang w:eastAsia="en-NZ"/>
        </w:rPr>
        <w:t xml:space="preserve"> </w:t>
      </w:r>
      <w:r w:rsidRPr="00BB6220">
        <w:rPr>
          <w:lang w:eastAsia="en-NZ"/>
        </w:rPr>
        <w:t>refers</w:t>
      </w:r>
      <w:r w:rsidR="003D640C">
        <w:rPr>
          <w:lang w:eastAsia="en-NZ"/>
        </w:rPr>
        <w:t xml:space="preserve"> </w:t>
      </w:r>
      <w:r w:rsidRPr="00BB6220">
        <w:rPr>
          <w:lang w:eastAsia="en-NZ"/>
        </w:rPr>
        <w:t>to</w:t>
      </w:r>
      <w:r w:rsidR="003D640C">
        <w:rPr>
          <w:lang w:eastAsia="en-NZ"/>
        </w:rPr>
        <w:t xml:space="preserve"> </w:t>
      </w:r>
      <w:r w:rsidRPr="00BB6220">
        <w:rPr>
          <w:lang w:eastAsia="en-NZ"/>
        </w:rPr>
        <w:t>positive</w:t>
      </w:r>
      <w:r w:rsidR="003D640C">
        <w:rPr>
          <w:lang w:eastAsia="en-NZ"/>
        </w:rPr>
        <w:t xml:space="preserve"> </w:t>
      </w:r>
      <w:r w:rsidRPr="00BB6220">
        <w:rPr>
          <w:lang w:eastAsia="en-NZ"/>
        </w:rPr>
        <w:t>changes</w:t>
      </w:r>
      <w:r w:rsidR="003D640C">
        <w:rPr>
          <w:lang w:eastAsia="en-NZ"/>
        </w:rPr>
        <w:t xml:space="preserve"> </w:t>
      </w:r>
      <w:r w:rsidRPr="00BB6220">
        <w:rPr>
          <w:lang w:eastAsia="en-NZ"/>
        </w:rPr>
        <w:t>that</w:t>
      </w:r>
      <w:r w:rsidR="003D640C">
        <w:rPr>
          <w:lang w:eastAsia="en-NZ"/>
        </w:rPr>
        <w:t xml:space="preserve"> </w:t>
      </w:r>
      <w:r w:rsidRPr="00BB6220">
        <w:rPr>
          <w:lang w:eastAsia="en-NZ"/>
        </w:rPr>
        <w:t>can</w:t>
      </w:r>
      <w:r w:rsidR="003D640C">
        <w:rPr>
          <w:lang w:eastAsia="en-NZ"/>
        </w:rPr>
        <w:t xml:space="preserve"> </w:t>
      </w:r>
      <w:r w:rsidRPr="00BB6220">
        <w:rPr>
          <w:lang w:eastAsia="en-NZ"/>
        </w:rPr>
        <w:t>occur</w:t>
      </w:r>
      <w:r w:rsidR="003D640C">
        <w:rPr>
          <w:lang w:eastAsia="en-NZ"/>
        </w:rPr>
        <w:t xml:space="preserve"> </w:t>
      </w:r>
      <w:r w:rsidRPr="00BB6220">
        <w:rPr>
          <w:lang w:eastAsia="en-NZ"/>
        </w:rPr>
        <w:t>following</w:t>
      </w:r>
      <w:r w:rsidR="003D640C">
        <w:rPr>
          <w:lang w:eastAsia="en-NZ"/>
        </w:rPr>
        <w:t xml:space="preserve"> </w:t>
      </w:r>
      <w:r w:rsidRPr="00BB6220">
        <w:rPr>
          <w:lang w:eastAsia="en-NZ"/>
        </w:rPr>
        <w:t>adversity.</w:t>
      </w:r>
      <w:r w:rsidR="003D640C">
        <w:rPr>
          <w:lang w:eastAsia="en-NZ"/>
        </w:rPr>
        <w:t xml:space="preserve"> </w:t>
      </w:r>
      <w:r w:rsidRPr="00BB6220">
        <w:rPr>
          <w:lang w:eastAsia="en-NZ"/>
        </w:rPr>
        <w:t>Encourage</w:t>
      </w:r>
      <w:r w:rsidR="003D640C">
        <w:rPr>
          <w:lang w:eastAsia="en-NZ"/>
        </w:rPr>
        <w:t xml:space="preserve"> </w:t>
      </w:r>
      <w:r w:rsidRPr="00BB6220">
        <w:rPr>
          <w:lang w:eastAsia="en-NZ"/>
        </w:rPr>
        <w:t>them</w:t>
      </w:r>
      <w:r w:rsidR="003D640C">
        <w:rPr>
          <w:lang w:eastAsia="en-NZ"/>
        </w:rPr>
        <w:t xml:space="preserve"> </w:t>
      </w:r>
      <w:r w:rsidRPr="00BB6220">
        <w:rPr>
          <w:lang w:eastAsia="en-NZ"/>
        </w:rPr>
        <w:t>to</w:t>
      </w:r>
      <w:r w:rsidR="003D640C">
        <w:rPr>
          <w:lang w:eastAsia="en-NZ"/>
        </w:rPr>
        <w:t xml:space="preserve"> </w:t>
      </w:r>
      <w:r w:rsidRPr="00BB6220">
        <w:rPr>
          <w:lang w:eastAsia="en-NZ"/>
        </w:rPr>
        <w:t>identify</w:t>
      </w:r>
      <w:r w:rsidR="003D640C">
        <w:rPr>
          <w:lang w:eastAsia="en-NZ"/>
        </w:rPr>
        <w:t xml:space="preserve"> </w:t>
      </w:r>
      <w:r w:rsidRPr="00BB6220">
        <w:rPr>
          <w:lang w:eastAsia="en-NZ"/>
        </w:rPr>
        <w:t>areas</w:t>
      </w:r>
      <w:r w:rsidR="003D640C">
        <w:rPr>
          <w:lang w:eastAsia="en-NZ"/>
        </w:rPr>
        <w:t xml:space="preserve"> </w:t>
      </w:r>
      <w:r w:rsidRPr="00BB6220">
        <w:rPr>
          <w:lang w:eastAsia="en-NZ"/>
        </w:rPr>
        <w:t>of</w:t>
      </w:r>
      <w:r w:rsidR="003D640C">
        <w:rPr>
          <w:lang w:eastAsia="en-NZ"/>
        </w:rPr>
        <w:t xml:space="preserve"> </w:t>
      </w:r>
      <w:r w:rsidRPr="00BB6220">
        <w:rPr>
          <w:lang w:eastAsia="en-NZ"/>
        </w:rPr>
        <w:t>personal</w:t>
      </w:r>
      <w:r w:rsidR="003D640C">
        <w:rPr>
          <w:lang w:eastAsia="en-NZ"/>
        </w:rPr>
        <w:t xml:space="preserve"> </w:t>
      </w:r>
      <w:r w:rsidRPr="00BB6220">
        <w:rPr>
          <w:lang w:eastAsia="en-NZ"/>
        </w:rPr>
        <w:t>growth</w:t>
      </w:r>
      <w:r w:rsidR="003D640C">
        <w:rPr>
          <w:lang w:eastAsia="en-NZ"/>
        </w:rPr>
        <w:t xml:space="preserve"> </w:t>
      </w:r>
      <w:r w:rsidRPr="00BB6220">
        <w:rPr>
          <w:lang w:eastAsia="en-NZ"/>
        </w:rPr>
        <w:t>they</w:t>
      </w:r>
      <w:r w:rsidR="003D640C">
        <w:rPr>
          <w:lang w:eastAsia="en-NZ"/>
        </w:rPr>
        <w:t xml:space="preserve"> </w:t>
      </w:r>
      <w:r w:rsidRPr="00BB6220">
        <w:rPr>
          <w:lang w:eastAsia="en-NZ"/>
        </w:rPr>
        <w:t>would</w:t>
      </w:r>
      <w:r w:rsidR="003D640C">
        <w:rPr>
          <w:lang w:eastAsia="en-NZ"/>
        </w:rPr>
        <w:t xml:space="preserve"> </w:t>
      </w:r>
      <w:r w:rsidRPr="00BB6220">
        <w:rPr>
          <w:lang w:eastAsia="en-NZ"/>
        </w:rPr>
        <w:t>like</w:t>
      </w:r>
      <w:r w:rsidR="003D640C">
        <w:rPr>
          <w:lang w:eastAsia="en-NZ"/>
        </w:rPr>
        <w:t xml:space="preserve"> </w:t>
      </w:r>
      <w:r w:rsidRPr="00BB6220">
        <w:rPr>
          <w:lang w:eastAsia="en-NZ"/>
        </w:rPr>
        <w:t>to</w:t>
      </w:r>
      <w:r w:rsidR="003D640C">
        <w:rPr>
          <w:lang w:eastAsia="en-NZ"/>
        </w:rPr>
        <w:t xml:space="preserve"> </w:t>
      </w:r>
      <w:r w:rsidRPr="00BB6220">
        <w:rPr>
          <w:lang w:eastAsia="en-NZ"/>
        </w:rPr>
        <w:t>explore</w:t>
      </w:r>
      <w:r w:rsidR="003D640C">
        <w:rPr>
          <w:lang w:eastAsia="en-NZ"/>
        </w:rPr>
        <w:t xml:space="preserve"> </w:t>
      </w:r>
      <w:r w:rsidRPr="00BB6220">
        <w:rPr>
          <w:lang w:eastAsia="en-NZ"/>
        </w:rPr>
        <w:t>such</w:t>
      </w:r>
      <w:r w:rsidR="003D640C">
        <w:rPr>
          <w:lang w:eastAsia="en-NZ"/>
        </w:rPr>
        <w:t xml:space="preserve"> </w:t>
      </w:r>
      <w:r w:rsidRPr="00BB6220">
        <w:rPr>
          <w:lang w:eastAsia="en-NZ"/>
        </w:rPr>
        <w:t>as</w:t>
      </w:r>
      <w:r w:rsidR="003D640C">
        <w:rPr>
          <w:lang w:eastAsia="en-NZ"/>
        </w:rPr>
        <w:t xml:space="preserve"> </w:t>
      </w:r>
      <w:r w:rsidRPr="00BB6220">
        <w:rPr>
          <w:lang w:eastAsia="en-NZ"/>
        </w:rPr>
        <w:t>increased</w:t>
      </w:r>
      <w:r w:rsidR="003D640C">
        <w:rPr>
          <w:lang w:eastAsia="en-NZ"/>
        </w:rPr>
        <w:t xml:space="preserve"> </w:t>
      </w:r>
      <w:r w:rsidRPr="00BB6220">
        <w:rPr>
          <w:lang w:eastAsia="en-NZ"/>
        </w:rPr>
        <w:t>self-awareness,</w:t>
      </w:r>
      <w:r w:rsidR="003D640C">
        <w:rPr>
          <w:lang w:eastAsia="en-NZ"/>
        </w:rPr>
        <w:t xml:space="preserve"> </w:t>
      </w:r>
      <w:r w:rsidRPr="00BB6220">
        <w:rPr>
          <w:lang w:eastAsia="en-NZ"/>
        </w:rPr>
        <w:t>resilience,</w:t>
      </w:r>
      <w:r w:rsidR="003D640C">
        <w:rPr>
          <w:lang w:eastAsia="en-NZ"/>
        </w:rPr>
        <w:t xml:space="preserve"> </w:t>
      </w:r>
      <w:r w:rsidRPr="00BB6220">
        <w:rPr>
          <w:lang w:eastAsia="en-NZ"/>
        </w:rPr>
        <w:t>empathy</w:t>
      </w:r>
      <w:r w:rsidR="26FCD68C"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a</w:t>
      </w:r>
      <w:r w:rsidR="003D640C">
        <w:rPr>
          <w:lang w:eastAsia="en-NZ"/>
        </w:rPr>
        <w:t xml:space="preserve"> </w:t>
      </w:r>
      <w:r w:rsidRPr="00BB6220">
        <w:rPr>
          <w:lang w:eastAsia="en-NZ"/>
        </w:rPr>
        <w:t>deeper</w:t>
      </w:r>
      <w:r w:rsidR="003D640C">
        <w:rPr>
          <w:lang w:eastAsia="en-NZ"/>
        </w:rPr>
        <w:t xml:space="preserve"> </w:t>
      </w:r>
      <w:r w:rsidRPr="00BB6220">
        <w:rPr>
          <w:lang w:eastAsia="en-NZ"/>
        </w:rPr>
        <w:t>appreciation</w:t>
      </w:r>
      <w:r w:rsidR="003D640C">
        <w:rPr>
          <w:lang w:eastAsia="en-NZ"/>
        </w:rPr>
        <w:t xml:space="preserve"> </w:t>
      </w:r>
      <w:r w:rsidRPr="00BB6220">
        <w:rPr>
          <w:lang w:eastAsia="en-NZ"/>
        </w:rPr>
        <w:t>for</w:t>
      </w:r>
      <w:r w:rsidR="003D640C">
        <w:rPr>
          <w:lang w:eastAsia="en-NZ"/>
        </w:rPr>
        <w:t xml:space="preserve"> </w:t>
      </w:r>
      <w:r w:rsidRPr="00BB6220">
        <w:rPr>
          <w:lang w:eastAsia="en-NZ"/>
        </w:rPr>
        <w:t>their</w:t>
      </w:r>
      <w:r w:rsidR="003D640C">
        <w:rPr>
          <w:lang w:eastAsia="en-NZ"/>
        </w:rPr>
        <w:t xml:space="preserve"> </w:t>
      </w:r>
      <w:r w:rsidRPr="00BB6220">
        <w:rPr>
          <w:lang w:eastAsia="en-NZ"/>
        </w:rPr>
        <w:t>authentic</w:t>
      </w:r>
      <w:r w:rsidR="003D640C">
        <w:rPr>
          <w:lang w:eastAsia="en-NZ"/>
        </w:rPr>
        <w:t xml:space="preserve"> </w:t>
      </w:r>
      <w:r w:rsidRPr="00BB6220">
        <w:rPr>
          <w:lang w:eastAsia="en-NZ"/>
        </w:rPr>
        <w:t>selves.</w:t>
      </w:r>
      <w:r w:rsidR="003D640C">
        <w:rPr>
          <w:lang w:eastAsia="en-NZ"/>
        </w:rPr>
        <w:t xml:space="preserve"> </w:t>
      </w:r>
      <w:r w:rsidR="001C607A" w:rsidRPr="00BB6220">
        <w:rPr>
          <w:lang w:eastAsia="en-NZ"/>
        </w:rPr>
        <w:t>Help</w:t>
      </w:r>
      <w:r w:rsidR="003D640C">
        <w:rPr>
          <w:lang w:eastAsia="en-NZ"/>
        </w:rPr>
        <w:t xml:space="preserve"> </w:t>
      </w:r>
      <w:r w:rsidR="001C607A" w:rsidRPr="00BB6220">
        <w:rPr>
          <w:lang w:eastAsia="en-NZ"/>
        </w:rPr>
        <w:t>them</w:t>
      </w:r>
      <w:r w:rsidR="003D640C">
        <w:rPr>
          <w:lang w:eastAsia="en-NZ"/>
        </w:rPr>
        <w:t xml:space="preserve"> </w:t>
      </w:r>
      <w:r w:rsidR="001C607A" w:rsidRPr="00BB6220">
        <w:rPr>
          <w:lang w:eastAsia="en-NZ"/>
        </w:rPr>
        <w:t>understand</w:t>
      </w:r>
      <w:r w:rsidR="003D640C">
        <w:rPr>
          <w:lang w:eastAsia="en-NZ"/>
        </w:rPr>
        <w:t xml:space="preserve"> </w:t>
      </w:r>
      <w:r w:rsidR="001C607A" w:rsidRPr="00BB6220">
        <w:rPr>
          <w:lang w:eastAsia="en-NZ"/>
        </w:rPr>
        <w:t>how</w:t>
      </w:r>
      <w:r w:rsidR="003D640C">
        <w:rPr>
          <w:lang w:eastAsia="en-NZ"/>
        </w:rPr>
        <w:t xml:space="preserve"> </w:t>
      </w:r>
      <w:r w:rsidR="001C607A" w:rsidRPr="00BB6220">
        <w:rPr>
          <w:lang w:eastAsia="en-NZ"/>
        </w:rPr>
        <w:t>their</w:t>
      </w:r>
      <w:r w:rsidR="003D640C">
        <w:rPr>
          <w:lang w:eastAsia="en-NZ"/>
        </w:rPr>
        <w:t xml:space="preserve"> </w:t>
      </w:r>
      <w:r w:rsidR="001C607A" w:rsidRPr="00BB6220">
        <w:rPr>
          <w:lang w:eastAsia="en-NZ"/>
        </w:rPr>
        <w:t>experiences</w:t>
      </w:r>
      <w:r w:rsidR="003D640C">
        <w:rPr>
          <w:lang w:eastAsia="en-NZ"/>
        </w:rPr>
        <w:t xml:space="preserve"> </w:t>
      </w:r>
      <w:r w:rsidR="001C607A" w:rsidRPr="00BB6220">
        <w:rPr>
          <w:lang w:eastAsia="en-NZ"/>
        </w:rPr>
        <w:t>may</w:t>
      </w:r>
      <w:r w:rsidR="003D640C">
        <w:rPr>
          <w:lang w:eastAsia="en-NZ"/>
        </w:rPr>
        <w:t xml:space="preserve"> </w:t>
      </w:r>
      <w:r w:rsidR="001C607A" w:rsidRPr="00BB6220">
        <w:rPr>
          <w:lang w:eastAsia="en-NZ"/>
        </w:rPr>
        <w:t>contribute</w:t>
      </w:r>
      <w:r w:rsidR="003D640C">
        <w:rPr>
          <w:lang w:eastAsia="en-NZ"/>
        </w:rPr>
        <w:t xml:space="preserve"> </w:t>
      </w:r>
      <w:r w:rsidR="001C607A" w:rsidRPr="00BB6220">
        <w:rPr>
          <w:lang w:eastAsia="en-NZ"/>
        </w:rPr>
        <w:t>to</w:t>
      </w:r>
      <w:r w:rsidR="003D640C">
        <w:rPr>
          <w:lang w:eastAsia="en-NZ"/>
        </w:rPr>
        <w:t xml:space="preserve"> </w:t>
      </w:r>
      <w:r w:rsidR="001C607A" w:rsidRPr="00BB6220">
        <w:rPr>
          <w:lang w:eastAsia="en-NZ"/>
        </w:rPr>
        <w:t>unique</w:t>
      </w:r>
      <w:r w:rsidR="003D640C">
        <w:rPr>
          <w:lang w:eastAsia="en-NZ"/>
        </w:rPr>
        <w:t xml:space="preserve"> </w:t>
      </w:r>
      <w:r w:rsidR="001C607A" w:rsidRPr="00BB6220">
        <w:rPr>
          <w:lang w:eastAsia="en-NZ"/>
        </w:rPr>
        <w:t>strengths</w:t>
      </w:r>
      <w:r w:rsidR="003D640C">
        <w:rPr>
          <w:lang w:eastAsia="en-NZ"/>
        </w:rPr>
        <w:t xml:space="preserve"> </w:t>
      </w:r>
      <w:r w:rsidR="001C607A" w:rsidRPr="00BB6220">
        <w:rPr>
          <w:lang w:eastAsia="en-NZ"/>
        </w:rPr>
        <w:t>and</w:t>
      </w:r>
      <w:r w:rsidR="003D640C">
        <w:rPr>
          <w:lang w:eastAsia="en-NZ"/>
        </w:rPr>
        <w:t xml:space="preserve"> </w:t>
      </w:r>
      <w:r w:rsidR="001C607A" w:rsidRPr="00BB6220">
        <w:rPr>
          <w:lang w:eastAsia="en-NZ"/>
        </w:rPr>
        <w:t>empathy</w:t>
      </w:r>
      <w:r w:rsidR="003D640C">
        <w:rPr>
          <w:lang w:eastAsia="en-NZ"/>
        </w:rPr>
        <w:t xml:space="preserve"> </w:t>
      </w:r>
      <w:r w:rsidR="001C607A" w:rsidRPr="00BB6220">
        <w:rPr>
          <w:lang w:eastAsia="en-NZ"/>
        </w:rPr>
        <w:t>for</w:t>
      </w:r>
      <w:r w:rsidR="003D640C">
        <w:rPr>
          <w:lang w:eastAsia="en-NZ"/>
        </w:rPr>
        <w:t xml:space="preserve"> </w:t>
      </w:r>
      <w:r w:rsidR="001C607A" w:rsidRPr="00BB6220">
        <w:rPr>
          <w:lang w:eastAsia="en-NZ"/>
        </w:rPr>
        <w:t>others</w:t>
      </w:r>
      <w:r w:rsidR="003D640C">
        <w:rPr>
          <w:lang w:eastAsia="en-NZ"/>
        </w:rPr>
        <w:t xml:space="preserve"> </w:t>
      </w:r>
      <w:r w:rsidR="001C607A" w:rsidRPr="00BB6220">
        <w:rPr>
          <w:lang w:eastAsia="en-NZ"/>
        </w:rPr>
        <w:t>as</w:t>
      </w:r>
      <w:r w:rsidR="003D640C">
        <w:rPr>
          <w:lang w:eastAsia="en-NZ"/>
        </w:rPr>
        <w:t xml:space="preserve"> </w:t>
      </w:r>
      <w:r w:rsidR="001C607A" w:rsidRPr="00BB6220">
        <w:rPr>
          <w:lang w:eastAsia="en-NZ"/>
        </w:rPr>
        <w:t>the</w:t>
      </w:r>
      <w:r w:rsidR="201333B0" w:rsidRPr="00BB6220">
        <w:rPr>
          <w:lang w:eastAsia="en-NZ"/>
        </w:rPr>
        <w:t>ir</w:t>
      </w:r>
      <w:r w:rsidR="003D640C">
        <w:rPr>
          <w:lang w:eastAsia="en-NZ"/>
        </w:rPr>
        <w:t xml:space="preserve"> </w:t>
      </w:r>
      <w:r w:rsidR="001C607A" w:rsidRPr="00BB6220">
        <w:rPr>
          <w:lang w:eastAsia="en-NZ"/>
        </w:rPr>
        <w:t>recovery</w:t>
      </w:r>
      <w:r w:rsidR="003D640C">
        <w:rPr>
          <w:lang w:eastAsia="en-NZ"/>
        </w:rPr>
        <w:t xml:space="preserve"> </w:t>
      </w:r>
      <w:r w:rsidR="001C607A" w:rsidRPr="00BB6220">
        <w:rPr>
          <w:lang w:eastAsia="en-NZ"/>
        </w:rPr>
        <w:t>progresses.</w:t>
      </w:r>
    </w:p>
    <w:p w14:paraId="7A90D7A6" w14:textId="34DE4C07" w:rsidR="00CF4A69" w:rsidRPr="00BB6220" w:rsidRDefault="00CF4A69" w:rsidP="00B51F0B">
      <w:pPr>
        <w:pStyle w:val="Bullet"/>
        <w:rPr>
          <w:lang w:eastAsia="en-NZ"/>
        </w:rPr>
      </w:pPr>
      <w:r w:rsidRPr="00BB6220">
        <w:rPr>
          <w:b/>
          <w:lang w:eastAsia="en-NZ"/>
        </w:rPr>
        <w:t>At</w:t>
      </w:r>
      <w:r w:rsidR="003D640C">
        <w:rPr>
          <w:b/>
          <w:lang w:eastAsia="en-NZ"/>
        </w:rPr>
        <w:t xml:space="preserve"> </w:t>
      </w:r>
      <w:r w:rsidRPr="00BB6220">
        <w:rPr>
          <w:b/>
          <w:lang w:eastAsia="en-NZ"/>
        </w:rPr>
        <w:t>the</w:t>
      </w:r>
      <w:r w:rsidR="003D640C">
        <w:rPr>
          <w:b/>
          <w:lang w:eastAsia="en-NZ"/>
        </w:rPr>
        <w:t xml:space="preserve"> </w:t>
      </w:r>
      <w:r w:rsidRPr="00BB6220">
        <w:rPr>
          <w:b/>
          <w:lang w:eastAsia="en-NZ"/>
        </w:rPr>
        <w:t>same</w:t>
      </w:r>
      <w:r w:rsidR="003D640C">
        <w:rPr>
          <w:b/>
          <w:lang w:eastAsia="en-NZ"/>
        </w:rPr>
        <w:t xml:space="preserve"> </w:t>
      </w:r>
      <w:r w:rsidRPr="00BB6220">
        <w:rPr>
          <w:b/>
          <w:lang w:eastAsia="en-NZ"/>
        </w:rPr>
        <w:t>time,</w:t>
      </w:r>
      <w:r w:rsidR="003D640C">
        <w:rPr>
          <w:b/>
          <w:lang w:eastAsia="en-NZ"/>
        </w:rPr>
        <w:t xml:space="preserve"> </w:t>
      </w:r>
      <w:r w:rsidRPr="00BB6220">
        <w:rPr>
          <w:b/>
          <w:lang w:eastAsia="en-NZ"/>
        </w:rPr>
        <w:t>remember</w:t>
      </w:r>
      <w:r w:rsidR="003D640C">
        <w:rPr>
          <w:b/>
          <w:lang w:eastAsia="en-NZ"/>
        </w:rPr>
        <w:t xml:space="preserve"> </w:t>
      </w:r>
      <w:r w:rsidRPr="00BB6220">
        <w:rPr>
          <w:b/>
          <w:lang w:eastAsia="en-NZ"/>
        </w:rPr>
        <w:t>that</w:t>
      </w:r>
      <w:r w:rsidR="003D640C">
        <w:rPr>
          <w:b/>
          <w:lang w:eastAsia="en-NZ"/>
        </w:rPr>
        <w:t xml:space="preserve"> </w:t>
      </w:r>
      <w:r w:rsidRPr="00BB6220">
        <w:rPr>
          <w:b/>
          <w:lang w:eastAsia="en-NZ"/>
        </w:rPr>
        <w:t>trauma</w:t>
      </w:r>
      <w:r w:rsidR="003D640C">
        <w:rPr>
          <w:b/>
          <w:lang w:eastAsia="en-NZ"/>
        </w:rPr>
        <w:t xml:space="preserve"> </w:t>
      </w:r>
      <w:r w:rsidRPr="00BB6220">
        <w:rPr>
          <w:b/>
          <w:lang w:eastAsia="en-NZ"/>
        </w:rPr>
        <w:t>is</w:t>
      </w:r>
      <w:r w:rsidR="003D640C">
        <w:rPr>
          <w:b/>
          <w:lang w:eastAsia="en-NZ"/>
        </w:rPr>
        <w:t xml:space="preserve"> </w:t>
      </w:r>
      <w:r w:rsidRPr="00BB6220">
        <w:rPr>
          <w:b/>
          <w:lang w:eastAsia="en-NZ"/>
        </w:rPr>
        <w:t>likely</w:t>
      </w:r>
      <w:r w:rsidR="003D640C">
        <w:rPr>
          <w:b/>
          <w:lang w:eastAsia="en-NZ"/>
        </w:rPr>
        <w:t xml:space="preserve"> </w:t>
      </w:r>
      <w:r w:rsidRPr="00BB6220">
        <w:rPr>
          <w:b/>
          <w:lang w:eastAsia="en-NZ"/>
        </w:rPr>
        <w:t>to</w:t>
      </w:r>
      <w:r w:rsidR="003D640C">
        <w:rPr>
          <w:b/>
          <w:lang w:eastAsia="en-NZ"/>
        </w:rPr>
        <w:t xml:space="preserve"> </w:t>
      </w:r>
      <w:r w:rsidRPr="00BB6220">
        <w:rPr>
          <w:b/>
          <w:lang w:eastAsia="en-NZ"/>
        </w:rPr>
        <w:t>continue</w:t>
      </w:r>
      <w:r w:rsidR="003D640C">
        <w:rPr>
          <w:b/>
          <w:lang w:eastAsia="en-NZ"/>
        </w:rPr>
        <w:t xml:space="preserve"> </w:t>
      </w:r>
      <w:r w:rsidRPr="00BB6220">
        <w:rPr>
          <w:b/>
          <w:lang w:eastAsia="en-NZ"/>
        </w:rPr>
        <w:t>for</w:t>
      </w:r>
      <w:r w:rsidR="003D640C">
        <w:rPr>
          <w:b/>
          <w:lang w:eastAsia="en-NZ"/>
        </w:rPr>
        <w:t xml:space="preserve"> </w:t>
      </w:r>
      <w:r w:rsidRPr="00BB6220">
        <w:rPr>
          <w:b/>
          <w:lang w:eastAsia="en-NZ"/>
        </w:rPr>
        <w:t>the</w:t>
      </w:r>
      <w:r w:rsidR="003D640C">
        <w:rPr>
          <w:b/>
          <w:lang w:eastAsia="en-NZ"/>
        </w:rPr>
        <w:t xml:space="preserve"> </w:t>
      </w:r>
      <w:r w:rsidRPr="00BB6220">
        <w:rPr>
          <w:b/>
          <w:lang w:eastAsia="en-NZ"/>
        </w:rPr>
        <w:t>survivor</w:t>
      </w:r>
      <w:r w:rsidRPr="00BB6220">
        <w:rPr>
          <w:lang w:eastAsia="en-NZ"/>
        </w:rPr>
        <w:t>.</w:t>
      </w:r>
      <w:r w:rsidR="003D640C">
        <w:rPr>
          <w:lang w:eastAsia="en-NZ"/>
        </w:rPr>
        <w:t xml:space="preserve"> </w:t>
      </w:r>
      <w:r w:rsidRPr="00BB6220">
        <w:rPr>
          <w:lang w:eastAsia="en-NZ"/>
        </w:rPr>
        <w:t>They</w:t>
      </w:r>
      <w:r w:rsidR="003D640C">
        <w:rPr>
          <w:lang w:eastAsia="en-NZ"/>
        </w:rPr>
        <w:t xml:space="preserve"> </w:t>
      </w:r>
      <w:r w:rsidRPr="00BB6220">
        <w:rPr>
          <w:lang w:eastAsia="en-NZ"/>
        </w:rPr>
        <w:t>can</w:t>
      </w:r>
      <w:r w:rsidR="003D640C">
        <w:rPr>
          <w:lang w:eastAsia="en-NZ"/>
        </w:rPr>
        <w:t xml:space="preserve"> </w:t>
      </w:r>
      <w:r w:rsidRPr="00BB6220">
        <w:rPr>
          <w:lang w:eastAsia="en-NZ"/>
        </w:rPr>
        <w:t>experience</w:t>
      </w:r>
      <w:r w:rsidR="003D640C">
        <w:rPr>
          <w:lang w:eastAsia="en-NZ"/>
        </w:rPr>
        <w:t xml:space="preserve"> </w:t>
      </w:r>
      <w:r w:rsidRPr="00BB6220">
        <w:rPr>
          <w:lang w:eastAsia="en-NZ"/>
        </w:rPr>
        <w:t>ongoing</w:t>
      </w:r>
      <w:r w:rsidR="003D640C">
        <w:rPr>
          <w:lang w:eastAsia="en-NZ"/>
        </w:rPr>
        <w:t xml:space="preserve"> </w:t>
      </w:r>
      <w:r w:rsidRPr="00BB6220">
        <w:rPr>
          <w:lang w:eastAsia="en-NZ"/>
        </w:rPr>
        <w:t>issues</w:t>
      </w:r>
      <w:r w:rsidR="003D640C">
        <w:rPr>
          <w:lang w:eastAsia="en-NZ"/>
        </w:rPr>
        <w:t xml:space="preserve"> </w:t>
      </w:r>
      <w:r w:rsidRPr="00BB6220">
        <w:rPr>
          <w:lang w:eastAsia="en-NZ"/>
        </w:rPr>
        <w:t>with</w:t>
      </w:r>
      <w:r w:rsidR="003D640C">
        <w:rPr>
          <w:lang w:eastAsia="en-NZ"/>
        </w:rPr>
        <w:t xml:space="preserve"> </w:t>
      </w:r>
      <w:r w:rsidRPr="00BB6220">
        <w:rPr>
          <w:lang w:eastAsia="en-NZ"/>
        </w:rPr>
        <w:t>employment,</w:t>
      </w:r>
      <w:r w:rsidR="003D640C">
        <w:rPr>
          <w:lang w:eastAsia="en-NZ"/>
        </w:rPr>
        <w:t xml:space="preserve"> </w:t>
      </w:r>
      <w:r w:rsidRPr="00BB6220">
        <w:rPr>
          <w:lang w:eastAsia="en-NZ"/>
        </w:rPr>
        <w:t>relationships</w:t>
      </w:r>
      <w:r w:rsidR="003D640C">
        <w:rPr>
          <w:lang w:eastAsia="en-NZ"/>
        </w:rPr>
        <w:t xml:space="preserve"> </w:t>
      </w:r>
      <w:r w:rsidRPr="00BB6220">
        <w:rPr>
          <w:lang w:eastAsia="en-NZ"/>
        </w:rPr>
        <w:t>and</w:t>
      </w:r>
      <w:r w:rsidR="003D640C">
        <w:rPr>
          <w:lang w:eastAsia="en-NZ"/>
        </w:rPr>
        <w:t xml:space="preserve"> </w:t>
      </w:r>
      <w:r w:rsidRPr="00BB6220">
        <w:rPr>
          <w:lang w:eastAsia="en-NZ"/>
        </w:rPr>
        <w:t>marriage,</w:t>
      </w:r>
      <w:r w:rsidR="003D640C">
        <w:rPr>
          <w:lang w:eastAsia="en-NZ"/>
        </w:rPr>
        <w:t xml:space="preserve"> </w:t>
      </w:r>
      <w:r w:rsidRPr="00BB6220">
        <w:rPr>
          <w:lang w:eastAsia="en-NZ"/>
        </w:rPr>
        <w:t>challenging</w:t>
      </w:r>
      <w:r w:rsidR="003D640C">
        <w:rPr>
          <w:lang w:eastAsia="en-NZ"/>
        </w:rPr>
        <w:t xml:space="preserve"> </w:t>
      </w:r>
      <w:r w:rsidRPr="00BB6220">
        <w:rPr>
          <w:lang w:eastAsia="en-NZ"/>
        </w:rPr>
        <w:t>dynamics</w:t>
      </w:r>
      <w:r w:rsidR="003D640C">
        <w:rPr>
          <w:lang w:eastAsia="en-NZ"/>
        </w:rPr>
        <w:t xml:space="preserve"> </w:t>
      </w:r>
      <w:r w:rsidRPr="00BB6220">
        <w:rPr>
          <w:lang w:eastAsia="en-NZ"/>
        </w:rPr>
        <w:t>within</w:t>
      </w:r>
      <w:r w:rsidR="003D640C">
        <w:rPr>
          <w:lang w:eastAsia="en-NZ"/>
        </w:rPr>
        <w:t xml:space="preserve"> </w:t>
      </w:r>
      <w:r w:rsidRPr="00BB6220">
        <w:rPr>
          <w:lang w:eastAsia="en-NZ"/>
        </w:rPr>
        <w:t>the</w:t>
      </w:r>
      <w:r w:rsidR="003D640C">
        <w:rPr>
          <w:lang w:eastAsia="en-NZ"/>
        </w:rPr>
        <w:t xml:space="preserve"> </w:t>
      </w:r>
      <w:r w:rsidR="002D1DD6" w:rsidRPr="00BB6220">
        <w:rPr>
          <w:rFonts w:cstheme="minorHAnsi"/>
          <w:lang w:eastAsia="en-NZ"/>
        </w:rPr>
        <w:t>Rainbow</w:t>
      </w:r>
      <w:r w:rsidR="003D640C">
        <w:rPr>
          <w:rFonts w:cstheme="minorHAnsi"/>
          <w:lang w:eastAsia="en-NZ"/>
        </w:rPr>
        <w:t xml:space="preserve"> </w:t>
      </w:r>
      <w:r w:rsidRPr="00BB6220">
        <w:rPr>
          <w:lang w:eastAsia="en-NZ"/>
        </w:rPr>
        <w:t>community,</w:t>
      </w:r>
      <w:r w:rsidR="003D640C">
        <w:rPr>
          <w:lang w:eastAsia="en-NZ"/>
        </w:rPr>
        <w:t xml:space="preserve"> </w:t>
      </w:r>
      <w:r w:rsidRPr="00BB6220">
        <w:rPr>
          <w:lang w:eastAsia="en-NZ"/>
        </w:rPr>
        <w:t>and</w:t>
      </w:r>
      <w:r w:rsidR="003D640C">
        <w:rPr>
          <w:lang w:eastAsia="en-NZ"/>
        </w:rPr>
        <w:t xml:space="preserve"> </w:t>
      </w:r>
      <w:r w:rsidRPr="00BB6220">
        <w:rPr>
          <w:lang w:eastAsia="en-NZ"/>
        </w:rPr>
        <w:t>repeated</w:t>
      </w:r>
      <w:r w:rsidR="003D640C">
        <w:rPr>
          <w:lang w:eastAsia="en-NZ"/>
        </w:rPr>
        <w:t xml:space="preserve"> </w:t>
      </w:r>
      <w:r w:rsidR="009B5B12" w:rsidRPr="00BB6220">
        <w:rPr>
          <w:lang w:eastAsia="en-NZ"/>
        </w:rPr>
        <w:t>negative</w:t>
      </w:r>
      <w:r w:rsidR="003D640C">
        <w:rPr>
          <w:lang w:eastAsia="en-NZ"/>
        </w:rPr>
        <w:t xml:space="preserve"> </w:t>
      </w:r>
      <w:r w:rsidRPr="00BB6220">
        <w:rPr>
          <w:lang w:eastAsia="en-NZ"/>
        </w:rPr>
        <w:t>coming</w:t>
      </w:r>
      <w:r w:rsidR="003D640C">
        <w:rPr>
          <w:lang w:eastAsia="en-NZ"/>
        </w:rPr>
        <w:t xml:space="preserve"> </w:t>
      </w:r>
      <w:r w:rsidRPr="00BB6220">
        <w:rPr>
          <w:lang w:eastAsia="en-NZ"/>
        </w:rPr>
        <w:t>out</w:t>
      </w:r>
      <w:r w:rsidR="003D640C">
        <w:rPr>
          <w:lang w:eastAsia="en-NZ"/>
        </w:rPr>
        <w:t xml:space="preserve"> </w:t>
      </w:r>
      <w:r w:rsidR="009B5B12" w:rsidRPr="00BB6220">
        <w:rPr>
          <w:lang w:eastAsia="en-NZ"/>
        </w:rPr>
        <w:t>experiences</w:t>
      </w:r>
      <w:r w:rsidRPr="00BB6220">
        <w:rPr>
          <w:lang w:eastAsia="en-NZ"/>
        </w:rPr>
        <w:t>.</w:t>
      </w:r>
      <w:r w:rsidR="003D640C">
        <w:rPr>
          <w:lang w:eastAsia="en-NZ"/>
        </w:rPr>
        <w:t xml:space="preserve"> </w:t>
      </w:r>
      <w:r w:rsidRPr="00BB6220">
        <w:rPr>
          <w:lang w:eastAsia="en-NZ"/>
        </w:rPr>
        <w:t>Note</w:t>
      </w:r>
      <w:r w:rsidR="003D640C">
        <w:rPr>
          <w:lang w:eastAsia="en-NZ"/>
        </w:rPr>
        <w:t xml:space="preserve"> </w:t>
      </w:r>
      <w:r w:rsidRPr="00BB6220">
        <w:rPr>
          <w:lang w:eastAsia="en-NZ"/>
        </w:rPr>
        <w:t>that</w:t>
      </w:r>
      <w:r w:rsidR="003D640C">
        <w:rPr>
          <w:lang w:eastAsia="en-NZ"/>
        </w:rPr>
        <w:t xml:space="preserve"> </w:t>
      </w:r>
      <w:r w:rsidRPr="00BB6220">
        <w:rPr>
          <w:lang w:eastAsia="en-NZ"/>
        </w:rPr>
        <w:t>family</w:t>
      </w:r>
      <w:r w:rsidR="003D640C">
        <w:rPr>
          <w:lang w:eastAsia="en-NZ"/>
        </w:rPr>
        <w:t xml:space="preserve"> </w:t>
      </w:r>
      <w:r w:rsidRPr="00BB6220">
        <w:rPr>
          <w:lang w:eastAsia="en-NZ"/>
        </w:rPr>
        <w:t>milestones</w:t>
      </w:r>
      <w:r w:rsidR="003D640C">
        <w:rPr>
          <w:lang w:eastAsia="en-NZ"/>
        </w:rPr>
        <w:t xml:space="preserve"> </w:t>
      </w:r>
      <w:r w:rsidRPr="00BB6220">
        <w:rPr>
          <w:lang w:eastAsia="en-NZ"/>
        </w:rPr>
        <w:t>are</w:t>
      </w:r>
      <w:r w:rsidR="003D640C">
        <w:rPr>
          <w:lang w:eastAsia="en-NZ"/>
        </w:rPr>
        <w:t xml:space="preserve"> </w:t>
      </w:r>
      <w:r w:rsidRPr="00BB6220">
        <w:rPr>
          <w:lang w:eastAsia="en-NZ"/>
        </w:rPr>
        <w:t>often</w:t>
      </w:r>
      <w:r w:rsidR="003D640C">
        <w:rPr>
          <w:lang w:eastAsia="en-NZ"/>
        </w:rPr>
        <w:t xml:space="preserve"> </w:t>
      </w:r>
      <w:r w:rsidRPr="00BB6220">
        <w:rPr>
          <w:lang w:eastAsia="en-NZ"/>
        </w:rPr>
        <w:t>a</w:t>
      </w:r>
      <w:r w:rsidR="003D640C">
        <w:rPr>
          <w:lang w:eastAsia="en-NZ"/>
        </w:rPr>
        <w:t xml:space="preserve"> </w:t>
      </w:r>
      <w:r w:rsidRPr="00BB6220">
        <w:rPr>
          <w:lang w:eastAsia="en-NZ"/>
        </w:rPr>
        <w:t>point</w:t>
      </w:r>
      <w:r w:rsidR="003D640C">
        <w:rPr>
          <w:lang w:eastAsia="en-NZ"/>
        </w:rPr>
        <w:t xml:space="preserve"> </w:t>
      </w:r>
      <w:r w:rsidRPr="00BB6220">
        <w:rPr>
          <w:lang w:eastAsia="en-NZ"/>
        </w:rPr>
        <w:t>of</w:t>
      </w:r>
      <w:r w:rsidR="003D640C">
        <w:rPr>
          <w:lang w:eastAsia="en-NZ"/>
        </w:rPr>
        <w:t xml:space="preserve"> </w:t>
      </w:r>
      <w:r w:rsidRPr="00BB6220">
        <w:rPr>
          <w:lang w:eastAsia="en-NZ"/>
        </w:rPr>
        <w:t>regression</w:t>
      </w:r>
      <w:r w:rsidR="003D640C">
        <w:rPr>
          <w:lang w:eastAsia="en-NZ"/>
        </w:rPr>
        <w:t xml:space="preserve"> </w:t>
      </w:r>
      <w:r w:rsidRPr="00BB6220">
        <w:rPr>
          <w:lang w:eastAsia="en-NZ"/>
        </w:rPr>
        <w:t>for</w:t>
      </w:r>
      <w:r w:rsidR="003D640C">
        <w:rPr>
          <w:lang w:eastAsia="en-NZ"/>
        </w:rPr>
        <w:t xml:space="preserve"> </w:t>
      </w:r>
      <w:r w:rsidRPr="00BB6220">
        <w:rPr>
          <w:lang w:eastAsia="en-NZ"/>
        </w:rPr>
        <w:t>survivors.</w:t>
      </w:r>
      <w:r w:rsidR="003D640C">
        <w:rPr>
          <w:lang w:eastAsia="en-NZ"/>
        </w:rPr>
        <w:t xml:space="preserve"> </w:t>
      </w:r>
      <w:r w:rsidRPr="00BB6220">
        <w:rPr>
          <w:lang w:eastAsia="en-NZ"/>
        </w:rPr>
        <w:t>Recognise</w:t>
      </w:r>
      <w:r w:rsidR="003D640C">
        <w:rPr>
          <w:lang w:eastAsia="en-NZ"/>
        </w:rPr>
        <w:t xml:space="preserve"> </w:t>
      </w:r>
      <w:r w:rsidRPr="00BB6220">
        <w:rPr>
          <w:lang w:eastAsia="en-NZ"/>
        </w:rPr>
        <w:t>that</w:t>
      </w:r>
      <w:r w:rsidR="003D640C">
        <w:rPr>
          <w:lang w:eastAsia="en-NZ"/>
        </w:rPr>
        <w:t xml:space="preserve"> </w:t>
      </w:r>
      <w:r w:rsidRPr="00BB6220">
        <w:rPr>
          <w:lang w:eastAsia="en-NZ"/>
        </w:rPr>
        <w:t>trauma</w:t>
      </w:r>
      <w:r w:rsidR="003D640C">
        <w:rPr>
          <w:lang w:eastAsia="en-NZ"/>
        </w:rPr>
        <w:t xml:space="preserve"> </w:t>
      </w:r>
      <w:r w:rsidRPr="00BB6220">
        <w:rPr>
          <w:lang w:eastAsia="en-NZ"/>
        </w:rPr>
        <w:t>associated</w:t>
      </w:r>
      <w:r w:rsidR="003D640C">
        <w:rPr>
          <w:lang w:eastAsia="en-NZ"/>
        </w:rPr>
        <w:t xml:space="preserve"> </w:t>
      </w:r>
      <w:r w:rsidRPr="00BB6220">
        <w:rPr>
          <w:lang w:eastAsia="en-NZ"/>
        </w:rPr>
        <w:lastRenderedPageBreak/>
        <w:t>with</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is</w:t>
      </w:r>
      <w:r w:rsidR="003D640C">
        <w:rPr>
          <w:lang w:eastAsia="en-NZ"/>
        </w:rPr>
        <w:t xml:space="preserve"> </w:t>
      </w:r>
      <w:r w:rsidRPr="00BB6220">
        <w:rPr>
          <w:lang w:eastAsia="en-NZ"/>
        </w:rPr>
        <w:t>unique</w:t>
      </w:r>
      <w:r w:rsidR="003D640C">
        <w:rPr>
          <w:lang w:eastAsia="en-NZ"/>
        </w:rPr>
        <w:t xml:space="preserve"> </w:t>
      </w:r>
      <w:r w:rsidRPr="00BB6220">
        <w:rPr>
          <w:lang w:eastAsia="en-NZ"/>
        </w:rPr>
        <w:t>in</w:t>
      </w:r>
      <w:r w:rsidR="003D640C">
        <w:rPr>
          <w:lang w:eastAsia="en-NZ"/>
        </w:rPr>
        <w:t xml:space="preserve"> </w:t>
      </w:r>
      <w:r w:rsidRPr="00BB6220">
        <w:rPr>
          <w:lang w:eastAsia="en-NZ"/>
        </w:rPr>
        <w:t>that</w:t>
      </w:r>
      <w:r w:rsidR="003D640C">
        <w:rPr>
          <w:lang w:eastAsia="en-NZ"/>
        </w:rPr>
        <w:t xml:space="preserve"> </w:t>
      </w:r>
      <w:r w:rsidRPr="00BB6220">
        <w:rPr>
          <w:lang w:eastAsia="en-NZ"/>
        </w:rPr>
        <w:t>it</w:t>
      </w:r>
      <w:r w:rsidR="003D640C">
        <w:rPr>
          <w:lang w:eastAsia="en-NZ"/>
        </w:rPr>
        <w:t xml:space="preserve"> </w:t>
      </w:r>
      <w:r w:rsidRPr="00BB6220">
        <w:rPr>
          <w:lang w:eastAsia="en-NZ"/>
        </w:rPr>
        <w:t>is</w:t>
      </w:r>
      <w:r w:rsidR="003D640C">
        <w:rPr>
          <w:lang w:eastAsia="en-NZ"/>
        </w:rPr>
        <w:t xml:space="preserve"> </w:t>
      </w:r>
      <w:r w:rsidRPr="00BB6220">
        <w:rPr>
          <w:lang w:eastAsia="en-NZ"/>
        </w:rPr>
        <w:t>associated</w:t>
      </w:r>
      <w:r w:rsidR="003D640C">
        <w:rPr>
          <w:lang w:eastAsia="en-NZ"/>
        </w:rPr>
        <w:t xml:space="preserve"> </w:t>
      </w:r>
      <w:r w:rsidRPr="00BB6220">
        <w:rPr>
          <w:lang w:eastAsia="en-NZ"/>
        </w:rPr>
        <w:t>with</w:t>
      </w:r>
      <w:r w:rsidR="003D640C">
        <w:rPr>
          <w:lang w:eastAsia="en-NZ"/>
        </w:rPr>
        <w:t xml:space="preserve"> </w:t>
      </w:r>
      <w:r w:rsidRPr="00BB6220">
        <w:rPr>
          <w:lang w:eastAsia="en-NZ"/>
        </w:rPr>
        <w:t>what</w:t>
      </w:r>
      <w:r w:rsidR="003D640C">
        <w:rPr>
          <w:lang w:eastAsia="en-NZ"/>
        </w:rPr>
        <w:t xml:space="preserve"> </w:t>
      </w:r>
      <w:r w:rsidRPr="00BB6220">
        <w:rPr>
          <w:lang w:eastAsia="en-NZ"/>
        </w:rPr>
        <w:t>are</w:t>
      </w:r>
      <w:r w:rsidR="003D640C">
        <w:rPr>
          <w:lang w:eastAsia="en-NZ"/>
        </w:rPr>
        <w:t xml:space="preserve"> </w:t>
      </w:r>
      <w:r w:rsidRPr="00BB6220">
        <w:rPr>
          <w:lang w:eastAsia="en-NZ"/>
        </w:rPr>
        <w:t>typically</w:t>
      </w:r>
      <w:r w:rsidR="003D640C">
        <w:rPr>
          <w:lang w:eastAsia="en-NZ"/>
        </w:rPr>
        <w:t xml:space="preserve"> </w:t>
      </w:r>
      <w:r w:rsidRPr="00BB6220">
        <w:rPr>
          <w:lang w:eastAsia="en-NZ"/>
        </w:rPr>
        <w:t>protective</w:t>
      </w:r>
      <w:r w:rsidR="003D640C">
        <w:rPr>
          <w:lang w:eastAsia="en-NZ"/>
        </w:rPr>
        <w:t xml:space="preserve"> </w:t>
      </w:r>
      <w:r w:rsidRPr="00BB6220">
        <w:rPr>
          <w:lang w:eastAsia="en-NZ"/>
        </w:rPr>
        <w:t>factors</w:t>
      </w:r>
      <w:r w:rsidR="003D640C">
        <w:rPr>
          <w:lang w:eastAsia="en-NZ"/>
        </w:rPr>
        <w:t xml:space="preserve"> </w:t>
      </w:r>
      <w:r w:rsidRPr="00BB6220">
        <w:rPr>
          <w:lang w:eastAsia="en-NZ"/>
        </w:rPr>
        <w:t>in</w:t>
      </w:r>
      <w:r w:rsidR="003D640C">
        <w:rPr>
          <w:lang w:eastAsia="en-NZ"/>
        </w:rPr>
        <w:t xml:space="preserve"> </w:t>
      </w:r>
      <w:r w:rsidRPr="00BB6220">
        <w:rPr>
          <w:lang w:eastAsia="en-NZ"/>
        </w:rPr>
        <w:t>any</w:t>
      </w:r>
      <w:r w:rsidR="003D640C">
        <w:rPr>
          <w:lang w:eastAsia="en-NZ"/>
        </w:rPr>
        <w:t xml:space="preserve"> </w:t>
      </w:r>
      <w:r w:rsidRPr="00BB6220">
        <w:rPr>
          <w:lang w:eastAsia="en-NZ"/>
        </w:rPr>
        <w:t>other</w:t>
      </w:r>
      <w:r w:rsidR="003D640C">
        <w:rPr>
          <w:lang w:eastAsia="en-NZ"/>
        </w:rPr>
        <w:t xml:space="preserve"> </w:t>
      </w:r>
      <w:r w:rsidRPr="00BB6220">
        <w:rPr>
          <w:lang w:eastAsia="en-NZ"/>
        </w:rPr>
        <w:t>situation</w:t>
      </w:r>
      <w:r w:rsidR="00CC127B" w:rsidRPr="00BB6220">
        <w:rPr>
          <w:lang w:eastAsia="en-NZ"/>
        </w:rPr>
        <w:t>,</w:t>
      </w:r>
      <w:r w:rsidR="003D640C">
        <w:rPr>
          <w:lang w:eastAsia="en-NZ"/>
        </w:rPr>
        <w:t xml:space="preserve"> </w:t>
      </w:r>
      <w:r w:rsidR="00CC127B" w:rsidRPr="00BB6220">
        <w:rPr>
          <w:lang w:eastAsia="en-NZ"/>
        </w:rPr>
        <w:t>and</w:t>
      </w:r>
      <w:r w:rsidR="003D640C">
        <w:rPr>
          <w:lang w:eastAsia="en-NZ"/>
        </w:rPr>
        <w:t xml:space="preserve"> </w:t>
      </w:r>
      <w:r w:rsidR="00CC127B" w:rsidRPr="00BB6220">
        <w:rPr>
          <w:lang w:eastAsia="en-NZ"/>
        </w:rPr>
        <w:t>because</w:t>
      </w:r>
      <w:r w:rsidR="003D640C">
        <w:rPr>
          <w:lang w:eastAsia="en-NZ"/>
        </w:rPr>
        <w:t xml:space="preserve"> </w:t>
      </w:r>
      <w:r w:rsidR="00CC127B" w:rsidRPr="00BB6220">
        <w:rPr>
          <w:lang w:eastAsia="en-NZ"/>
        </w:rPr>
        <w:t>they</w:t>
      </w:r>
      <w:r w:rsidR="003D640C">
        <w:rPr>
          <w:lang w:eastAsia="en-NZ"/>
        </w:rPr>
        <w:t xml:space="preserve"> </w:t>
      </w:r>
      <w:r w:rsidR="00CC127B" w:rsidRPr="00BB6220">
        <w:rPr>
          <w:lang w:eastAsia="en-NZ"/>
        </w:rPr>
        <w:t>are</w:t>
      </w:r>
      <w:r w:rsidR="003D640C">
        <w:rPr>
          <w:lang w:eastAsia="en-NZ"/>
        </w:rPr>
        <w:t xml:space="preserve"> </w:t>
      </w:r>
      <w:r w:rsidR="00CC127B" w:rsidRPr="00BB6220">
        <w:rPr>
          <w:lang w:eastAsia="en-NZ"/>
        </w:rPr>
        <w:t>still</w:t>
      </w:r>
      <w:r w:rsidR="003D640C">
        <w:rPr>
          <w:lang w:eastAsia="en-NZ"/>
        </w:rPr>
        <w:t xml:space="preserve"> </w:t>
      </w:r>
      <w:r w:rsidR="00CC127B" w:rsidRPr="00BB6220">
        <w:rPr>
          <w:lang w:eastAsia="en-NZ"/>
        </w:rPr>
        <w:t>supported</w:t>
      </w:r>
      <w:r w:rsidR="003D640C">
        <w:rPr>
          <w:lang w:eastAsia="en-NZ"/>
        </w:rPr>
        <w:t xml:space="preserve"> </w:t>
      </w:r>
      <w:r w:rsidR="00CC127B" w:rsidRPr="00BB6220">
        <w:rPr>
          <w:lang w:eastAsia="en-NZ"/>
        </w:rPr>
        <w:t>and</w:t>
      </w:r>
      <w:r w:rsidR="003D640C">
        <w:rPr>
          <w:lang w:eastAsia="en-NZ"/>
        </w:rPr>
        <w:t xml:space="preserve"> </w:t>
      </w:r>
      <w:r w:rsidR="00CC127B" w:rsidRPr="00BB6220">
        <w:rPr>
          <w:lang w:eastAsia="en-NZ"/>
        </w:rPr>
        <w:t>propagated</w:t>
      </w:r>
      <w:r w:rsidR="003D640C">
        <w:rPr>
          <w:lang w:eastAsia="en-NZ"/>
        </w:rPr>
        <w:t xml:space="preserve"> </w:t>
      </w:r>
      <w:r w:rsidR="00CC127B" w:rsidRPr="00BB6220">
        <w:rPr>
          <w:lang w:eastAsia="en-NZ"/>
        </w:rPr>
        <w:t>by</w:t>
      </w:r>
      <w:r w:rsidR="003D640C">
        <w:rPr>
          <w:lang w:eastAsia="en-NZ"/>
        </w:rPr>
        <w:t xml:space="preserve"> </w:t>
      </w:r>
      <w:r w:rsidR="00CC127B" w:rsidRPr="00BB6220">
        <w:rPr>
          <w:lang w:eastAsia="en-NZ"/>
        </w:rPr>
        <w:t>large,</w:t>
      </w:r>
      <w:r w:rsidR="003D640C">
        <w:rPr>
          <w:lang w:eastAsia="en-NZ"/>
        </w:rPr>
        <w:t xml:space="preserve"> </w:t>
      </w:r>
      <w:r w:rsidR="00CC127B" w:rsidRPr="00BB6220">
        <w:rPr>
          <w:lang w:eastAsia="en-NZ"/>
        </w:rPr>
        <w:t>organised</w:t>
      </w:r>
      <w:r w:rsidR="07B290DF" w:rsidRPr="00BB6220">
        <w:rPr>
          <w:lang w:eastAsia="en-NZ"/>
        </w:rPr>
        <w:t>,</w:t>
      </w:r>
      <w:r w:rsidR="003D640C">
        <w:rPr>
          <w:lang w:eastAsia="en-NZ"/>
        </w:rPr>
        <w:t xml:space="preserve"> </w:t>
      </w:r>
      <w:r w:rsidR="00CC127B" w:rsidRPr="00BB6220">
        <w:rPr>
          <w:lang w:eastAsia="en-NZ"/>
        </w:rPr>
        <w:t>and</w:t>
      </w:r>
      <w:r w:rsidR="003D640C">
        <w:rPr>
          <w:lang w:eastAsia="en-NZ"/>
        </w:rPr>
        <w:t xml:space="preserve"> </w:t>
      </w:r>
      <w:r w:rsidR="00CC127B" w:rsidRPr="00BB6220">
        <w:rPr>
          <w:lang w:eastAsia="en-NZ"/>
        </w:rPr>
        <w:t>well-funded</w:t>
      </w:r>
      <w:r w:rsidR="003D640C">
        <w:rPr>
          <w:lang w:eastAsia="en-NZ"/>
        </w:rPr>
        <w:t xml:space="preserve"> </w:t>
      </w:r>
      <w:r w:rsidR="00CC127B" w:rsidRPr="00BB6220">
        <w:rPr>
          <w:lang w:eastAsia="en-NZ"/>
        </w:rPr>
        <w:t>parts</w:t>
      </w:r>
      <w:r w:rsidR="003D640C">
        <w:rPr>
          <w:lang w:eastAsia="en-NZ"/>
        </w:rPr>
        <w:t xml:space="preserve"> </w:t>
      </w:r>
      <w:r w:rsidR="00CC127B" w:rsidRPr="00BB6220">
        <w:rPr>
          <w:lang w:eastAsia="en-NZ"/>
        </w:rPr>
        <w:t>of</w:t>
      </w:r>
      <w:r w:rsidR="003D640C">
        <w:rPr>
          <w:lang w:eastAsia="en-NZ"/>
        </w:rPr>
        <w:t xml:space="preserve"> </w:t>
      </w:r>
      <w:r w:rsidR="00CC127B" w:rsidRPr="00BB6220">
        <w:rPr>
          <w:lang w:eastAsia="en-NZ"/>
        </w:rPr>
        <w:t>society</w:t>
      </w:r>
      <w:r w:rsidRPr="00BB6220">
        <w:rPr>
          <w:lang w:eastAsia="en-NZ"/>
        </w:rPr>
        <w:t>.</w:t>
      </w:r>
      <w:r w:rsidR="003D640C">
        <w:rPr>
          <w:lang w:eastAsia="en-NZ"/>
        </w:rPr>
        <w:t xml:space="preserve"> </w:t>
      </w:r>
      <w:r w:rsidR="001F7DB8">
        <w:rPr>
          <w:lang w:eastAsia="en-NZ"/>
        </w:rPr>
        <w:t>T</w:t>
      </w:r>
      <w:r w:rsidRPr="00BB6220">
        <w:rPr>
          <w:lang w:eastAsia="en-NZ"/>
        </w:rPr>
        <w:t>h</w:t>
      </w:r>
      <w:r w:rsidR="0080259A">
        <w:rPr>
          <w:lang w:eastAsia="en-NZ"/>
        </w:rPr>
        <w:t>ose</w:t>
      </w:r>
      <w:r w:rsidR="003D640C">
        <w:rPr>
          <w:lang w:eastAsia="en-NZ"/>
        </w:rPr>
        <w:t xml:space="preserve"> </w:t>
      </w:r>
      <w:r w:rsidR="0080259A">
        <w:rPr>
          <w:lang w:eastAsia="en-NZ"/>
        </w:rPr>
        <w:t>recovering</w:t>
      </w:r>
      <w:r w:rsidR="003D640C">
        <w:rPr>
          <w:lang w:eastAsia="en-NZ"/>
        </w:rPr>
        <w:t xml:space="preserve"> </w:t>
      </w:r>
      <w:r w:rsidR="0080259A">
        <w:rPr>
          <w:lang w:eastAsia="en-NZ"/>
        </w:rPr>
        <w:t>from</w:t>
      </w:r>
      <w:r w:rsidR="003D640C">
        <w:rPr>
          <w:lang w:eastAsia="en-NZ"/>
        </w:rPr>
        <w:t xml:space="preserve"> </w:t>
      </w:r>
      <w:r w:rsidR="0080259A">
        <w:rPr>
          <w:lang w:eastAsia="en-NZ"/>
        </w:rPr>
        <w:t>lived</w:t>
      </w:r>
      <w:r w:rsidR="003D640C">
        <w:rPr>
          <w:lang w:eastAsia="en-NZ"/>
        </w:rPr>
        <w:t xml:space="preserve"> </w:t>
      </w:r>
      <w:r w:rsidR="0080259A">
        <w:rPr>
          <w:lang w:eastAsia="en-NZ"/>
        </w:rPr>
        <w:t>experiences</w:t>
      </w:r>
      <w:r w:rsidR="003D640C">
        <w:rPr>
          <w:lang w:eastAsia="en-NZ"/>
        </w:rPr>
        <w:t xml:space="preserve"> </w:t>
      </w:r>
      <w:r w:rsidR="0080259A">
        <w:rPr>
          <w:lang w:eastAsia="en-NZ"/>
        </w:rPr>
        <w:t>of</w:t>
      </w:r>
      <w:r w:rsidR="003D640C">
        <w:rPr>
          <w:lang w:eastAsia="en-NZ"/>
        </w:rPr>
        <w:t xml:space="preserve"> </w:t>
      </w:r>
      <w:r w:rsidR="0080259A">
        <w:rPr>
          <w:lang w:eastAsia="en-NZ"/>
        </w:rPr>
        <w:t>conversion</w:t>
      </w:r>
      <w:r w:rsidR="003D640C">
        <w:rPr>
          <w:lang w:eastAsia="en-NZ"/>
        </w:rPr>
        <w:t xml:space="preserve"> </w:t>
      </w:r>
      <w:r w:rsidR="0080259A">
        <w:rPr>
          <w:lang w:eastAsia="en-NZ"/>
        </w:rPr>
        <w:t>practices</w:t>
      </w:r>
      <w:r w:rsidR="003D640C">
        <w:rPr>
          <w:lang w:eastAsia="en-NZ"/>
        </w:rPr>
        <w:t xml:space="preserve"> </w:t>
      </w:r>
      <w:r w:rsidR="0080259A">
        <w:rPr>
          <w:lang w:eastAsia="en-NZ"/>
        </w:rPr>
        <w:t>and</w:t>
      </w:r>
      <w:r w:rsidR="003D640C">
        <w:rPr>
          <w:lang w:eastAsia="en-NZ"/>
        </w:rPr>
        <w:t xml:space="preserve"> </w:t>
      </w:r>
      <w:r w:rsidR="0080259A">
        <w:rPr>
          <w:lang w:eastAsia="en-NZ"/>
        </w:rPr>
        <w:t>associated</w:t>
      </w:r>
      <w:r w:rsidR="003D640C">
        <w:rPr>
          <w:lang w:eastAsia="en-NZ"/>
        </w:rPr>
        <w:t xml:space="preserve"> </w:t>
      </w:r>
      <w:r w:rsidR="0080259A">
        <w:rPr>
          <w:lang w:eastAsia="en-NZ"/>
        </w:rPr>
        <w:t>trauma</w:t>
      </w:r>
      <w:r w:rsidR="003D640C">
        <w:rPr>
          <w:lang w:eastAsia="en-NZ"/>
        </w:rPr>
        <w:t xml:space="preserve"> </w:t>
      </w:r>
      <w:r w:rsidR="0080259A">
        <w:rPr>
          <w:lang w:eastAsia="en-NZ"/>
        </w:rPr>
        <w:t>are</w:t>
      </w:r>
      <w:r w:rsidR="003D640C">
        <w:rPr>
          <w:lang w:eastAsia="en-NZ"/>
        </w:rPr>
        <w:t xml:space="preserve"> </w:t>
      </w:r>
      <w:r w:rsidR="00F966B6">
        <w:rPr>
          <w:lang w:eastAsia="en-NZ"/>
        </w:rPr>
        <w:t>often</w:t>
      </w:r>
      <w:r w:rsidR="003D640C">
        <w:rPr>
          <w:lang w:eastAsia="en-NZ"/>
        </w:rPr>
        <w:t xml:space="preserve"> </w:t>
      </w:r>
      <w:r w:rsidR="0011478E">
        <w:rPr>
          <w:lang w:eastAsia="en-NZ"/>
        </w:rPr>
        <w:t>doing</w:t>
      </w:r>
      <w:r w:rsidR="003D640C">
        <w:rPr>
          <w:lang w:eastAsia="en-NZ"/>
        </w:rPr>
        <w:t xml:space="preserve"> </w:t>
      </w:r>
      <w:r w:rsidR="0011478E">
        <w:rPr>
          <w:lang w:eastAsia="en-NZ"/>
        </w:rPr>
        <w:t>so</w:t>
      </w:r>
      <w:r w:rsidR="003D640C">
        <w:rPr>
          <w:lang w:eastAsia="en-NZ"/>
        </w:rPr>
        <w:t xml:space="preserve"> </w:t>
      </w:r>
      <w:r w:rsidR="0011478E">
        <w:rPr>
          <w:lang w:eastAsia="en-NZ"/>
        </w:rPr>
        <w:t>in</w:t>
      </w:r>
      <w:r w:rsidR="003D640C">
        <w:rPr>
          <w:lang w:eastAsia="en-NZ"/>
        </w:rPr>
        <w:t xml:space="preserve"> </w:t>
      </w:r>
      <w:r w:rsidR="0011478E">
        <w:rPr>
          <w:lang w:eastAsia="en-NZ"/>
        </w:rPr>
        <w:t>a</w:t>
      </w:r>
      <w:r w:rsidR="003D640C">
        <w:rPr>
          <w:lang w:eastAsia="en-NZ"/>
        </w:rPr>
        <w:t xml:space="preserve"> </w:t>
      </w:r>
      <w:r w:rsidR="0011478E">
        <w:rPr>
          <w:lang w:eastAsia="en-NZ"/>
        </w:rPr>
        <w:t>context</w:t>
      </w:r>
      <w:r w:rsidR="003D640C">
        <w:rPr>
          <w:lang w:eastAsia="en-NZ"/>
        </w:rPr>
        <w:t xml:space="preserve"> </w:t>
      </w:r>
      <w:r w:rsidR="0011478E">
        <w:rPr>
          <w:lang w:eastAsia="en-NZ"/>
        </w:rPr>
        <w:t>where</w:t>
      </w:r>
      <w:r w:rsidR="003D640C">
        <w:rPr>
          <w:lang w:eastAsia="en-NZ"/>
        </w:rPr>
        <w:t xml:space="preserve"> </w:t>
      </w:r>
      <w:r w:rsidR="0011478E">
        <w:rPr>
          <w:lang w:eastAsia="en-NZ"/>
        </w:rPr>
        <w:t>they</w:t>
      </w:r>
      <w:r w:rsidR="003D640C">
        <w:rPr>
          <w:lang w:eastAsia="en-NZ"/>
        </w:rPr>
        <w:t xml:space="preserve"> </w:t>
      </w:r>
      <w:r w:rsidR="0011478E">
        <w:rPr>
          <w:lang w:eastAsia="en-NZ"/>
        </w:rPr>
        <w:t>face</w:t>
      </w:r>
      <w:r w:rsidR="003D640C">
        <w:rPr>
          <w:lang w:eastAsia="en-NZ"/>
        </w:rPr>
        <w:t xml:space="preserve"> </w:t>
      </w:r>
      <w:r w:rsidR="0011478E">
        <w:rPr>
          <w:lang w:eastAsia="en-NZ"/>
        </w:rPr>
        <w:t>ongoing</w:t>
      </w:r>
      <w:r w:rsidR="003D640C">
        <w:rPr>
          <w:lang w:eastAsia="en-NZ"/>
        </w:rPr>
        <w:t xml:space="preserve"> </w:t>
      </w:r>
      <w:r w:rsidR="0011478E">
        <w:rPr>
          <w:lang w:eastAsia="en-NZ"/>
        </w:rPr>
        <w:t>discrimination</w:t>
      </w:r>
      <w:r w:rsidR="003D640C">
        <w:rPr>
          <w:lang w:eastAsia="en-NZ"/>
        </w:rPr>
        <w:t xml:space="preserve"> </w:t>
      </w:r>
      <w:r w:rsidR="0011478E">
        <w:rPr>
          <w:lang w:eastAsia="en-NZ"/>
        </w:rPr>
        <w:t>as</w:t>
      </w:r>
      <w:r w:rsidR="003D640C">
        <w:rPr>
          <w:lang w:eastAsia="en-NZ"/>
        </w:rPr>
        <w:t xml:space="preserve"> </w:t>
      </w:r>
      <w:r w:rsidR="0011478E">
        <w:rPr>
          <w:lang w:eastAsia="en-NZ"/>
        </w:rPr>
        <w:t>a</w:t>
      </w:r>
      <w:r w:rsidR="003D640C">
        <w:rPr>
          <w:lang w:eastAsia="en-NZ"/>
        </w:rPr>
        <w:t xml:space="preserve"> </w:t>
      </w:r>
      <w:r w:rsidR="0011478E">
        <w:rPr>
          <w:lang w:eastAsia="en-NZ"/>
        </w:rPr>
        <w:t>Rainbow</w:t>
      </w:r>
      <w:r w:rsidR="003D640C">
        <w:rPr>
          <w:lang w:eastAsia="en-NZ"/>
        </w:rPr>
        <w:t xml:space="preserve"> </w:t>
      </w:r>
      <w:r w:rsidR="0011478E">
        <w:rPr>
          <w:lang w:eastAsia="en-NZ"/>
        </w:rPr>
        <w:t>person.</w:t>
      </w:r>
      <w:r w:rsidR="003D640C">
        <w:rPr>
          <w:lang w:eastAsia="en-NZ"/>
        </w:rPr>
        <w:t xml:space="preserve"> </w:t>
      </w:r>
    </w:p>
    <w:p w14:paraId="641B472F" w14:textId="5E8E4426" w:rsidR="00501068" w:rsidRDefault="00CF4A69" w:rsidP="00B51F0B">
      <w:pPr>
        <w:pStyle w:val="Bullet"/>
        <w:rPr>
          <w:lang w:eastAsia="en-NZ"/>
        </w:rPr>
      </w:pPr>
      <w:r w:rsidRPr="00BB6220">
        <w:rPr>
          <w:b/>
          <w:lang w:eastAsia="en-NZ"/>
        </w:rPr>
        <w:t>Be</w:t>
      </w:r>
      <w:r w:rsidR="003D640C">
        <w:rPr>
          <w:b/>
          <w:lang w:eastAsia="en-NZ"/>
        </w:rPr>
        <w:t xml:space="preserve"> </w:t>
      </w:r>
      <w:r w:rsidRPr="00BB6220">
        <w:rPr>
          <w:b/>
          <w:lang w:eastAsia="en-NZ"/>
        </w:rPr>
        <w:t>prepared</w:t>
      </w:r>
      <w:r w:rsidR="003D640C">
        <w:rPr>
          <w:b/>
          <w:lang w:eastAsia="en-NZ"/>
        </w:rPr>
        <w:t xml:space="preserve"> </w:t>
      </w:r>
      <w:r w:rsidRPr="00BB6220">
        <w:rPr>
          <w:b/>
          <w:lang w:eastAsia="en-NZ"/>
        </w:rPr>
        <w:t>to</w:t>
      </w:r>
      <w:r w:rsidR="003D640C">
        <w:rPr>
          <w:b/>
          <w:lang w:eastAsia="en-NZ"/>
        </w:rPr>
        <w:t xml:space="preserve"> </w:t>
      </w:r>
      <w:r w:rsidRPr="00BB6220">
        <w:rPr>
          <w:b/>
          <w:lang w:eastAsia="en-NZ"/>
        </w:rPr>
        <w:t>refer</w:t>
      </w:r>
      <w:r w:rsidR="003D640C">
        <w:rPr>
          <w:b/>
          <w:lang w:eastAsia="en-NZ"/>
        </w:rPr>
        <w:t xml:space="preserve"> </w:t>
      </w:r>
      <w:r w:rsidRPr="00BB6220">
        <w:rPr>
          <w:b/>
          <w:lang w:eastAsia="en-NZ"/>
        </w:rPr>
        <w:t>them</w:t>
      </w:r>
      <w:r w:rsidR="003D640C">
        <w:rPr>
          <w:b/>
          <w:lang w:eastAsia="en-NZ"/>
        </w:rPr>
        <w:t xml:space="preserve"> </w:t>
      </w:r>
      <w:r w:rsidRPr="00BB6220">
        <w:rPr>
          <w:b/>
          <w:lang w:eastAsia="en-NZ"/>
        </w:rPr>
        <w:t>on</w:t>
      </w:r>
      <w:r w:rsidR="003D640C">
        <w:rPr>
          <w:b/>
          <w:lang w:eastAsia="en-NZ"/>
        </w:rPr>
        <w:t xml:space="preserve"> </w:t>
      </w:r>
      <w:r w:rsidRPr="00BB6220">
        <w:rPr>
          <w:b/>
          <w:lang w:eastAsia="en-NZ"/>
        </w:rPr>
        <w:t>to</w:t>
      </w:r>
      <w:r w:rsidR="003D640C">
        <w:rPr>
          <w:b/>
          <w:lang w:eastAsia="en-NZ"/>
        </w:rPr>
        <w:t xml:space="preserve"> </w:t>
      </w:r>
      <w:r w:rsidRPr="00BB6220">
        <w:rPr>
          <w:b/>
          <w:lang w:eastAsia="en-NZ"/>
        </w:rPr>
        <w:t>someone</w:t>
      </w:r>
      <w:r w:rsidR="003D640C">
        <w:rPr>
          <w:b/>
          <w:lang w:eastAsia="en-NZ"/>
        </w:rPr>
        <w:t xml:space="preserve"> </w:t>
      </w:r>
      <w:r w:rsidRPr="00BB6220">
        <w:rPr>
          <w:b/>
          <w:lang w:eastAsia="en-NZ"/>
        </w:rPr>
        <w:t>else</w:t>
      </w:r>
      <w:r w:rsidR="003D640C">
        <w:rPr>
          <w:lang w:eastAsia="en-NZ"/>
        </w:rPr>
        <w:t xml:space="preserve"> </w:t>
      </w:r>
      <w:r w:rsidRPr="00BB6220">
        <w:rPr>
          <w:lang w:eastAsia="en-NZ"/>
        </w:rPr>
        <w:t>who</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better</w:t>
      </w:r>
      <w:r w:rsidR="003D640C">
        <w:rPr>
          <w:lang w:eastAsia="en-NZ"/>
        </w:rPr>
        <w:t xml:space="preserve"> </w:t>
      </w:r>
      <w:r w:rsidRPr="00BB6220">
        <w:rPr>
          <w:lang w:eastAsia="en-NZ"/>
        </w:rPr>
        <w:t>able</w:t>
      </w:r>
      <w:r w:rsidR="003D640C">
        <w:rPr>
          <w:lang w:eastAsia="en-NZ"/>
        </w:rPr>
        <w:t xml:space="preserve"> </w:t>
      </w:r>
      <w:r w:rsidRPr="00BB6220">
        <w:rPr>
          <w:lang w:eastAsia="en-NZ"/>
        </w:rPr>
        <w:t>to</w:t>
      </w:r>
      <w:r w:rsidR="003D640C">
        <w:rPr>
          <w:lang w:eastAsia="en-NZ"/>
        </w:rPr>
        <w:t xml:space="preserve"> </w:t>
      </w:r>
      <w:r w:rsidRPr="00BB6220">
        <w:rPr>
          <w:lang w:eastAsia="en-NZ"/>
        </w:rPr>
        <w:t>support</w:t>
      </w:r>
      <w:r w:rsidR="003D640C">
        <w:rPr>
          <w:lang w:eastAsia="en-NZ"/>
        </w:rPr>
        <w:t xml:space="preserve"> </w:t>
      </w:r>
      <w:r w:rsidRPr="00BB6220">
        <w:rPr>
          <w:lang w:eastAsia="en-NZ"/>
        </w:rPr>
        <w:t>them</w:t>
      </w:r>
      <w:r w:rsidR="003D640C">
        <w:rPr>
          <w:lang w:eastAsia="en-NZ"/>
        </w:rPr>
        <w:t xml:space="preserve"> </w:t>
      </w:r>
      <w:r w:rsidRPr="00BB6220">
        <w:rPr>
          <w:lang w:eastAsia="en-NZ"/>
        </w:rPr>
        <w:t>because</w:t>
      </w:r>
      <w:r w:rsidR="003D640C">
        <w:rPr>
          <w:lang w:eastAsia="en-NZ"/>
        </w:rPr>
        <w:t xml:space="preserve"> </w:t>
      </w:r>
      <w:r w:rsidR="00337452" w:rsidRPr="00BB6220">
        <w:rPr>
          <w:lang w:eastAsia="en-NZ"/>
        </w:rPr>
        <w:t>th</w:t>
      </w:r>
      <w:r w:rsidR="43CFA9B8" w:rsidRPr="00BB6220">
        <w:rPr>
          <w:lang w:eastAsia="en-NZ"/>
        </w:rPr>
        <w:t>at</w:t>
      </w:r>
      <w:r w:rsidR="003D640C">
        <w:rPr>
          <w:lang w:eastAsia="en-NZ"/>
        </w:rPr>
        <w:t xml:space="preserve"> </w:t>
      </w:r>
      <w:r w:rsidR="43CFA9B8" w:rsidRPr="00BB6220">
        <w:rPr>
          <w:lang w:eastAsia="en-NZ"/>
        </w:rPr>
        <w:t>counsellor</w:t>
      </w:r>
      <w:r w:rsidR="003D640C">
        <w:rPr>
          <w:lang w:eastAsia="en-NZ"/>
        </w:rPr>
        <w:t xml:space="preserve"> </w:t>
      </w:r>
      <w:r w:rsidR="43CFA9B8" w:rsidRPr="00BB6220">
        <w:rPr>
          <w:lang w:eastAsia="en-NZ"/>
        </w:rPr>
        <w:t>or</w:t>
      </w:r>
      <w:r w:rsidR="003D640C">
        <w:rPr>
          <w:lang w:eastAsia="en-NZ"/>
        </w:rPr>
        <w:t xml:space="preserve"> </w:t>
      </w:r>
      <w:r w:rsidR="43CFA9B8" w:rsidRPr="00BB6220">
        <w:rPr>
          <w:lang w:eastAsia="en-NZ"/>
        </w:rPr>
        <w:t>therapist</w:t>
      </w:r>
      <w:r w:rsidR="003D640C">
        <w:rPr>
          <w:lang w:eastAsia="en-NZ"/>
        </w:rPr>
        <w:t xml:space="preserve"> </w:t>
      </w:r>
      <w:r w:rsidR="4EB1CCF9" w:rsidRPr="00BB6220">
        <w:rPr>
          <w:lang w:eastAsia="en-NZ"/>
        </w:rPr>
        <w:t>is</w:t>
      </w:r>
      <w:r w:rsidR="003D640C">
        <w:rPr>
          <w:lang w:eastAsia="en-NZ"/>
        </w:rPr>
        <w:t xml:space="preserve"> </w:t>
      </w:r>
      <w:r w:rsidR="002D1DD6" w:rsidRPr="00BB6220">
        <w:rPr>
          <w:rFonts w:cstheme="minorHAnsi"/>
          <w:lang w:eastAsia="en-NZ"/>
        </w:rPr>
        <w:t>Rainbow</w:t>
      </w:r>
      <w:r w:rsidR="003D640C">
        <w:rPr>
          <w:rFonts w:cstheme="minorHAnsi"/>
          <w:lang w:eastAsia="en-NZ"/>
        </w:rPr>
        <w:t xml:space="preserve"> </w:t>
      </w:r>
      <w:r w:rsidR="00C07E32">
        <w:rPr>
          <w:rFonts w:cstheme="minorHAnsi"/>
          <w:lang w:eastAsia="en-NZ"/>
        </w:rPr>
        <w:t>themselves</w:t>
      </w:r>
      <w:r w:rsidR="002D1DD6" w:rsidRPr="00BB6220">
        <w:rPr>
          <w:rFonts w:cstheme="minorHAnsi"/>
          <w:lang w:eastAsia="en-NZ"/>
        </w:rPr>
        <w:t>.</w:t>
      </w:r>
    </w:p>
    <w:p w14:paraId="1C2CAF26" w14:textId="773C6C7F" w:rsidR="00CF4A69" w:rsidRPr="00BB6220" w:rsidRDefault="00CF4A69" w:rsidP="002C6363">
      <w:pPr>
        <w:pStyle w:val="Heading3"/>
        <w:rPr>
          <w:rStyle w:val="Heading3Char"/>
          <w:b/>
        </w:rPr>
      </w:pPr>
      <w:bookmarkStart w:id="351" w:name="_Toc138325200"/>
      <w:bookmarkStart w:id="352" w:name="_Toc138343857"/>
      <w:bookmarkStart w:id="353" w:name="_Toc167780634"/>
      <w:bookmarkStart w:id="354" w:name="_Toc1336318239"/>
      <w:bookmarkStart w:id="355" w:name="_Toc174628696"/>
      <w:r w:rsidRPr="00BB6220">
        <w:t>A</w:t>
      </w:r>
      <w:r w:rsidR="003D640C">
        <w:t xml:space="preserve"> </w:t>
      </w:r>
      <w:r w:rsidRPr="00BB6220">
        <w:rPr>
          <w:rStyle w:val="Heading3Char"/>
          <w:b/>
        </w:rPr>
        <w:t>note</w:t>
      </w:r>
      <w:r w:rsidR="003D640C">
        <w:rPr>
          <w:rStyle w:val="Heading3Char"/>
          <w:b/>
        </w:rPr>
        <w:t xml:space="preserve"> </w:t>
      </w:r>
      <w:r w:rsidRPr="00BB6220">
        <w:rPr>
          <w:rStyle w:val="Heading3Char"/>
          <w:b/>
        </w:rPr>
        <w:t>on</w:t>
      </w:r>
      <w:r w:rsidR="003D640C">
        <w:rPr>
          <w:rStyle w:val="Heading3Char"/>
          <w:b/>
        </w:rPr>
        <w:t xml:space="preserve"> </w:t>
      </w:r>
      <w:r w:rsidRPr="00BB6220">
        <w:rPr>
          <w:rStyle w:val="Heading3Char"/>
          <w:b/>
        </w:rPr>
        <w:t>intersectionality</w:t>
      </w:r>
      <w:bookmarkEnd w:id="351"/>
      <w:bookmarkEnd w:id="352"/>
      <w:bookmarkEnd w:id="353"/>
      <w:bookmarkEnd w:id="354"/>
      <w:bookmarkEnd w:id="355"/>
    </w:p>
    <w:p w14:paraId="79480CF5" w14:textId="14A65FD4" w:rsidR="00CF4A69" w:rsidRPr="00BB6220" w:rsidRDefault="00CF4A69" w:rsidP="00B51F0B">
      <w:pPr>
        <w:pBdr>
          <w:top w:val="single" w:sz="4" w:space="1" w:color="auto"/>
          <w:left w:val="single" w:sz="4" w:space="4" w:color="auto"/>
          <w:bottom w:val="single" w:sz="4" w:space="1" w:color="auto"/>
          <w:right w:val="single" w:sz="4" w:space="4" w:color="auto"/>
        </w:pBdr>
      </w:pPr>
      <w:r w:rsidRPr="00BB6220">
        <w:t>A</w:t>
      </w:r>
      <w:r w:rsidR="003D640C">
        <w:t xml:space="preserve"> </w:t>
      </w:r>
      <w:r w:rsidRPr="00BB6220">
        <w:t>survivor</w:t>
      </w:r>
      <w:r w:rsidR="003D640C">
        <w:t xml:space="preserve"> </w:t>
      </w:r>
      <w:r w:rsidRPr="00BB6220">
        <w:t>will</w:t>
      </w:r>
      <w:r w:rsidR="003D640C">
        <w:t xml:space="preserve"> </w:t>
      </w:r>
      <w:r w:rsidRPr="00BB6220">
        <w:t>be</w:t>
      </w:r>
      <w:r w:rsidR="003D640C">
        <w:t xml:space="preserve"> </w:t>
      </w:r>
      <w:r w:rsidRPr="00BB6220">
        <w:t>affected</w:t>
      </w:r>
      <w:r w:rsidR="003D640C">
        <w:t xml:space="preserve"> </w:t>
      </w:r>
      <w:r w:rsidRPr="00BB6220">
        <w:t>by</w:t>
      </w:r>
      <w:r w:rsidR="003D640C">
        <w:t xml:space="preserve"> </w:t>
      </w:r>
      <w:r w:rsidRPr="00BB6220">
        <w:t>their</w:t>
      </w:r>
      <w:r w:rsidR="003D640C">
        <w:t xml:space="preserve"> </w:t>
      </w:r>
      <w:r w:rsidRPr="00BB6220">
        <w:t>lived</w:t>
      </w:r>
      <w:r w:rsidR="003D640C">
        <w:t xml:space="preserve"> </w:t>
      </w:r>
      <w:r w:rsidRPr="00BB6220">
        <w:t>experience</w:t>
      </w:r>
      <w:r w:rsidR="002D1DD6" w:rsidRPr="00BB6220">
        <w:t>,</w:t>
      </w:r>
      <w:r w:rsidR="003D640C">
        <w:t xml:space="preserve"> </w:t>
      </w:r>
      <w:r w:rsidRPr="00BB6220">
        <w:t>which</w:t>
      </w:r>
      <w:r w:rsidR="003D640C">
        <w:t xml:space="preserve"> </w:t>
      </w:r>
      <w:r w:rsidRPr="00BB6220">
        <w:t>may</w:t>
      </w:r>
      <w:r w:rsidR="003D640C">
        <w:t xml:space="preserve"> </w:t>
      </w:r>
      <w:r w:rsidRPr="00BB6220">
        <w:t>include</w:t>
      </w:r>
      <w:r w:rsidR="003D640C">
        <w:t xml:space="preserve"> </w:t>
      </w:r>
      <w:r w:rsidRPr="00BB6220">
        <w:t>overlapping</w:t>
      </w:r>
      <w:r w:rsidR="003D640C">
        <w:t xml:space="preserve"> </w:t>
      </w:r>
      <w:r w:rsidRPr="00BB6220">
        <w:t>forms</w:t>
      </w:r>
      <w:r w:rsidR="003D640C">
        <w:t xml:space="preserve"> </w:t>
      </w:r>
      <w:r w:rsidRPr="00BB6220">
        <w:t>of</w:t>
      </w:r>
      <w:r w:rsidR="003D640C">
        <w:t xml:space="preserve"> </w:t>
      </w:r>
      <w:r w:rsidRPr="00BB6220">
        <w:t>discrimination,</w:t>
      </w:r>
      <w:r w:rsidR="003D640C">
        <w:t xml:space="preserve"> </w:t>
      </w:r>
      <w:r w:rsidRPr="00BB6220">
        <w:t>for</w:t>
      </w:r>
      <w:r w:rsidR="003D640C">
        <w:t xml:space="preserve"> </w:t>
      </w:r>
      <w:r w:rsidRPr="00BB6220">
        <w:t>example</w:t>
      </w:r>
      <w:r w:rsidR="44875F26" w:rsidRPr="00BB6220">
        <w:t>,</w:t>
      </w:r>
      <w:r w:rsidR="003D640C">
        <w:t xml:space="preserve"> </w:t>
      </w:r>
      <w:r w:rsidRPr="00BB6220">
        <w:t>transphobia,</w:t>
      </w:r>
      <w:r w:rsidR="003D640C">
        <w:t xml:space="preserve"> </w:t>
      </w:r>
      <w:r w:rsidRPr="00BB6220">
        <w:t>racism</w:t>
      </w:r>
      <w:r w:rsidR="60176DCE" w:rsidRPr="00BB6220">
        <w:t>,</w:t>
      </w:r>
      <w:r w:rsidR="003D640C">
        <w:t xml:space="preserve"> </w:t>
      </w:r>
      <w:r w:rsidRPr="00BB6220">
        <w:t>and</w:t>
      </w:r>
      <w:r w:rsidR="003D640C">
        <w:t xml:space="preserve"> </w:t>
      </w:r>
      <w:r w:rsidRPr="00BB6220">
        <w:t>ableism.</w:t>
      </w:r>
      <w:r w:rsidR="003D640C">
        <w:t xml:space="preserve"> </w:t>
      </w:r>
      <w:r w:rsidR="00176E5D" w:rsidRPr="00BB6220">
        <w:t>This</w:t>
      </w:r>
      <w:r w:rsidR="003D640C">
        <w:t xml:space="preserve"> </w:t>
      </w:r>
      <w:r w:rsidR="00176E5D" w:rsidRPr="00BB6220">
        <w:t>is</w:t>
      </w:r>
      <w:r w:rsidR="003D640C">
        <w:t xml:space="preserve"> </w:t>
      </w:r>
      <w:r w:rsidR="00176E5D" w:rsidRPr="00BB6220">
        <w:t>o</w:t>
      </w:r>
      <w:r w:rsidRPr="00BB6220">
        <w:t>ften</w:t>
      </w:r>
      <w:r w:rsidR="003D640C">
        <w:t xml:space="preserve"> </w:t>
      </w:r>
      <w:r w:rsidRPr="00BB6220">
        <w:t>referred</w:t>
      </w:r>
      <w:r w:rsidR="003D640C">
        <w:t xml:space="preserve"> </w:t>
      </w:r>
      <w:r w:rsidRPr="00BB6220">
        <w:t>to</w:t>
      </w:r>
      <w:r w:rsidR="003D640C">
        <w:t xml:space="preserve"> </w:t>
      </w:r>
      <w:r w:rsidRPr="00BB6220">
        <w:t>as</w:t>
      </w:r>
      <w:r w:rsidR="003D640C">
        <w:t xml:space="preserve"> </w:t>
      </w:r>
      <w:r w:rsidRPr="00BB6220">
        <w:t>intersectionality.</w:t>
      </w:r>
    </w:p>
    <w:p w14:paraId="5C261022" w14:textId="7B3A9F98" w:rsidR="00CF4A69" w:rsidRPr="00BB6220" w:rsidRDefault="00CF4A69" w:rsidP="00B51F0B">
      <w:pPr>
        <w:pBdr>
          <w:top w:val="single" w:sz="4" w:space="1" w:color="auto"/>
          <w:left w:val="single" w:sz="4" w:space="4" w:color="auto"/>
          <w:bottom w:val="single" w:sz="4" w:space="1" w:color="auto"/>
          <w:right w:val="single" w:sz="4" w:space="4" w:color="auto"/>
        </w:pBdr>
      </w:pPr>
      <w:r w:rsidRPr="00BB6220">
        <w:t>In</w:t>
      </w:r>
      <w:r w:rsidR="003D640C">
        <w:t xml:space="preserve"> </w:t>
      </w:r>
      <w:r w:rsidRPr="00BB6220">
        <w:t>general,</w:t>
      </w:r>
      <w:r w:rsidR="003D640C">
        <w:t xml:space="preserve"> </w:t>
      </w:r>
      <w:r w:rsidRPr="00BB6220">
        <w:t>the</w:t>
      </w:r>
      <w:r w:rsidR="003D640C">
        <w:t xml:space="preserve"> </w:t>
      </w:r>
      <w:r w:rsidRPr="00BB6220">
        <w:t>immediate</w:t>
      </w:r>
      <w:r w:rsidR="003D640C">
        <w:t xml:space="preserve"> </w:t>
      </w:r>
      <w:r w:rsidRPr="00BB6220">
        <w:t>removal</w:t>
      </w:r>
      <w:r w:rsidR="003D640C">
        <w:t xml:space="preserve"> </w:t>
      </w:r>
      <w:r w:rsidRPr="00BB6220">
        <w:t>of</w:t>
      </w:r>
      <w:r w:rsidR="003D640C">
        <w:t xml:space="preserve"> </w:t>
      </w:r>
      <w:r w:rsidRPr="00BB6220">
        <w:t>someone</w:t>
      </w:r>
      <w:r w:rsidR="003D640C">
        <w:t xml:space="preserve"> </w:t>
      </w:r>
      <w:r w:rsidRPr="00BB6220">
        <w:t>from</w:t>
      </w:r>
      <w:r w:rsidR="003D640C">
        <w:t xml:space="preserve"> </w:t>
      </w:r>
      <w:r w:rsidRPr="00BB6220">
        <w:t>their</w:t>
      </w:r>
      <w:r w:rsidR="003D640C">
        <w:t xml:space="preserve"> </w:t>
      </w:r>
      <w:r w:rsidRPr="00BB6220">
        <w:t>home</w:t>
      </w:r>
      <w:r w:rsidR="003D640C">
        <w:t xml:space="preserve"> </w:t>
      </w:r>
      <w:r w:rsidRPr="00BB6220">
        <w:t>or</w:t>
      </w:r>
      <w:r w:rsidR="003D640C">
        <w:t xml:space="preserve"> </w:t>
      </w:r>
      <w:r w:rsidRPr="00BB6220">
        <w:t>community</w:t>
      </w:r>
      <w:r w:rsidR="003D640C">
        <w:t xml:space="preserve"> </w:t>
      </w:r>
      <w:r w:rsidRPr="00BB6220">
        <w:t>is</w:t>
      </w:r>
      <w:r w:rsidR="003D640C">
        <w:t xml:space="preserve"> </w:t>
      </w:r>
      <w:r w:rsidRPr="00BB6220">
        <w:t>not</w:t>
      </w:r>
      <w:r w:rsidR="003D640C">
        <w:t xml:space="preserve"> </w:t>
      </w:r>
      <w:r w:rsidRPr="00BB6220">
        <w:t>recommended.</w:t>
      </w:r>
      <w:r w:rsidR="003D640C">
        <w:t xml:space="preserve"> </w:t>
      </w:r>
      <w:r w:rsidRPr="00BB6220">
        <w:t>They</w:t>
      </w:r>
      <w:r w:rsidR="003D640C">
        <w:t xml:space="preserve"> </w:t>
      </w:r>
      <w:r w:rsidRPr="00BB6220">
        <w:t>may</w:t>
      </w:r>
      <w:r w:rsidR="003D640C">
        <w:t xml:space="preserve"> </w:t>
      </w:r>
      <w:r w:rsidRPr="00BB6220">
        <w:t>wish</w:t>
      </w:r>
      <w:r w:rsidR="003D640C">
        <w:t xml:space="preserve"> </w:t>
      </w:r>
      <w:r w:rsidRPr="00BB6220">
        <w:t>to</w:t>
      </w:r>
      <w:r w:rsidR="003D640C">
        <w:t xml:space="preserve"> </w:t>
      </w:r>
      <w:r w:rsidRPr="00BB6220">
        <w:t>remain</w:t>
      </w:r>
      <w:r w:rsidR="003D640C">
        <w:t xml:space="preserve"> </w:t>
      </w:r>
      <w:r w:rsidRPr="00BB6220">
        <w:t>due</w:t>
      </w:r>
      <w:r w:rsidR="003D640C">
        <w:t xml:space="preserve"> </w:t>
      </w:r>
      <w:r w:rsidRPr="00BB6220">
        <w:t>to</w:t>
      </w:r>
      <w:r w:rsidR="003D640C">
        <w:t xml:space="preserve"> </w:t>
      </w:r>
      <w:r w:rsidRPr="00BB6220">
        <w:t>ties</w:t>
      </w:r>
      <w:r w:rsidR="003D640C">
        <w:t xml:space="preserve"> </w:t>
      </w:r>
      <w:r w:rsidRPr="00BB6220">
        <w:t>with</w:t>
      </w:r>
      <w:r w:rsidR="003D640C">
        <w:t xml:space="preserve"> </w:t>
      </w:r>
      <w:r w:rsidRPr="00BB6220">
        <w:t>their</w:t>
      </w:r>
      <w:r w:rsidR="003D640C">
        <w:t xml:space="preserve"> </w:t>
      </w:r>
      <w:r w:rsidRPr="00BB6220">
        <w:t>whānau</w:t>
      </w:r>
      <w:r w:rsidR="003D640C">
        <w:t xml:space="preserve"> </w:t>
      </w:r>
      <w:r w:rsidRPr="00BB6220">
        <w:t>and</w:t>
      </w:r>
      <w:r w:rsidR="003D640C">
        <w:t xml:space="preserve"> </w:t>
      </w:r>
      <w:r w:rsidRPr="00BB6220">
        <w:t>community.</w:t>
      </w:r>
      <w:r w:rsidR="003D640C">
        <w:t xml:space="preserve"> </w:t>
      </w:r>
      <w:r w:rsidRPr="00BB6220">
        <w:t>This</w:t>
      </w:r>
      <w:r w:rsidR="003D640C">
        <w:t xml:space="preserve"> </w:t>
      </w:r>
      <w:r w:rsidR="00337452" w:rsidRPr="00BB6220">
        <w:t>can</w:t>
      </w:r>
      <w:r w:rsidR="003D640C">
        <w:t xml:space="preserve"> </w:t>
      </w:r>
      <w:r w:rsidR="00337452" w:rsidRPr="00BB6220">
        <w:t>be</w:t>
      </w:r>
      <w:r w:rsidR="003D640C">
        <w:t xml:space="preserve"> </w:t>
      </w:r>
      <w:r w:rsidRPr="00BB6220">
        <w:t>especially</w:t>
      </w:r>
      <w:r w:rsidR="003D640C">
        <w:t xml:space="preserve"> </w:t>
      </w:r>
      <w:r w:rsidRPr="00BB6220">
        <w:t>so</w:t>
      </w:r>
      <w:r w:rsidR="003D640C">
        <w:t xml:space="preserve"> </w:t>
      </w:r>
      <w:r w:rsidRPr="00BB6220">
        <w:t>for</w:t>
      </w:r>
      <w:r w:rsidR="003D640C">
        <w:t xml:space="preserve"> </w:t>
      </w:r>
      <w:r w:rsidRPr="00BB6220">
        <w:t>survivors</w:t>
      </w:r>
      <w:r w:rsidR="003D640C">
        <w:t xml:space="preserve"> </w:t>
      </w:r>
      <w:r w:rsidRPr="00BB6220">
        <w:t>who</w:t>
      </w:r>
      <w:r w:rsidR="003D640C">
        <w:t xml:space="preserve"> </w:t>
      </w:r>
      <w:r w:rsidRPr="00BB6220">
        <w:t>are</w:t>
      </w:r>
      <w:r w:rsidR="003D640C">
        <w:t xml:space="preserve"> </w:t>
      </w:r>
      <w:r w:rsidRPr="00BB6220">
        <w:t>Māori,</w:t>
      </w:r>
      <w:r w:rsidR="003D640C">
        <w:t xml:space="preserve"> </w:t>
      </w:r>
      <w:r w:rsidRPr="00BB6220">
        <w:t>Pacific</w:t>
      </w:r>
      <w:r w:rsidR="2CDC4A66" w:rsidRPr="00BB6220">
        <w:t>,</w:t>
      </w:r>
      <w:r w:rsidR="003D640C">
        <w:t xml:space="preserve"> </w:t>
      </w:r>
      <w:r w:rsidR="001D6363" w:rsidRPr="00BB6220">
        <w:t>or</w:t>
      </w:r>
      <w:r w:rsidR="003D640C">
        <w:t xml:space="preserve"> </w:t>
      </w:r>
      <w:r w:rsidR="001D6363" w:rsidRPr="00BB6220">
        <w:t>from</w:t>
      </w:r>
      <w:r w:rsidR="003D640C">
        <w:t xml:space="preserve"> </w:t>
      </w:r>
      <w:r w:rsidR="001D6363" w:rsidRPr="00BB6220">
        <w:t>a</w:t>
      </w:r>
      <w:r w:rsidR="003D640C">
        <w:t xml:space="preserve"> </w:t>
      </w:r>
      <w:r w:rsidR="001D6363" w:rsidRPr="00BB6220">
        <w:t>family-centric</w:t>
      </w:r>
      <w:r w:rsidR="003D640C">
        <w:t xml:space="preserve"> </w:t>
      </w:r>
      <w:r w:rsidRPr="00BB6220">
        <w:t>ethnic</w:t>
      </w:r>
      <w:r w:rsidR="003D640C">
        <w:t xml:space="preserve"> </w:t>
      </w:r>
      <w:r w:rsidR="001D6363" w:rsidRPr="00BB6220">
        <w:t>culture</w:t>
      </w:r>
      <w:r w:rsidRPr="00BB6220">
        <w:t>.</w:t>
      </w:r>
      <w:r w:rsidR="003D640C">
        <w:t xml:space="preserve"> </w:t>
      </w:r>
    </w:p>
    <w:p w14:paraId="3B45CF61" w14:textId="54651509" w:rsidR="00CF4A69" w:rsidRPr="00BB6220" w:rsidRDefault="00CF4A69" w:rsidP="00B51F0B">
      <w:pPr>
        <w:pBdr>
          <w:top w:val="single" w:sz="4" w:space="1" w:color="auto"/>
          <w:left w:val="single" w:sz="4" w:space="4" w:color="auto"/>
          <w:bottom w:val="single" w:sz="4" w:space="1" w:color="auto"/>
          <w:right w:val="single" w:sz="4" w:space="4" w:color="auto"/>
        </w:pBdr>
      </w:pPr>
      <w:r w:rsidRPr="00BB6220">
        <w:t>The</w:t>
      </w:r>
      <w:r w:rsidR="003D640C">
        <w:t xml:space="preserve"> </w:t>
      </w:r>
      <w:r w:rsidRPr="00BB6220">
        <w:t>Commission</w:t>
      </w:r>
      <w:r w:rsidR="003D640C">
        <w:t xml:space="preserve"> </w:t>
      </w:r>
      <w:r w:rsidRPr="00BB6220">
        <w:t>heard</w:t>
      </w:r>
      <w:r w:rsidR="003D640C">
        <w:t xml:space="preserve"> </w:t>
      </w:r>
      <w:r w:rsidRPr="00BB6220">
        <w:t>from</w:t>
      </w:r>
      <w:r w:rsidR="003D640C">
        <w:t xml:space="preserve"> </w:t>
      </w:r>
      <w:r w:rsidRPr="00BB6220">
        <w:t>Māori</w:t>
      </w:r>
      <w:r w:rsidR="003D640C">
        <w:t xml:space="preserve"> </w:t>
      </w:r>
      <w:r w:rsidRPr="00BB6220">
        <w:t>survivors</w:t>
      </w:r>
      <w:r w:rsidR="003D640C">
        <w:t xml:space="preserve"> </w:t>
      </w:r>
      <w:r w:rsidRPr="00BB6220">
        <w:t>that</w:t>
      </w:r>
      <w:r w:rsidR="003D640C">
        <w:t xml:space="preserve"> </w:t>
      </w:r>
      <w:r w:rsidRPr="00BB6220">
        <w:t>they</w:t>
      </w:r>
      <w:r w:rsidR="003D640C">
        <w:t xml:space="preserve"> </w:t>
      </w:r>
      <w:r w:rsidRPr="00BB6220">
        <w:t>wished</w:t>
      </w:r>
      <w:r w:rsidR="003D640C">
        <w:t xml:space="preserve"> </w:t>
      </w:r>
      <w:r w:rsidRPr="00BB6220">
        <w:t>to</w:t>
      </w:r>
      <w:r w:rsidR="003D640C">
        <w:t xml:space="preserve"> </w:t>
      </w:r>
      <w:r w:rsidRPr="00BB6220">
        <w:t>be</w:t>
      </w:r>
      <w:r w:rsidR="003D640C">
        <w:t xml:space="preserve"> </w:t>
      </w:r>
      <w:r w:rsidRPr="00BB6220">
        <w:t>seen</w:t>
      </w:r>
      <w:r w:rsidR="003D640C">
        <w:t xml:space="preserve"> </w:t>
      </w:r>
      <w:r w:rsidRPr="00BB6220">
        <w:t>as</w:t>
      </w:r>
      <w:r w:rsidR="003D640C">
        <w:t xml:space="preserve"> </w:t>
      </w:r>
      <w:r w:rsidRPr="00BB6220">
        <w:t>Māori</w:t>
      </w:r>
      <w:r w:rsidR="003D640C">
        <w:t xml:space="preserve"> </w:t>
      </w:r>
      <w:r w:rsidRPr="00BB6220">
        <w:t>before</w:t>
      </w:r>
      <w:r w:rsidR="003D640C">
        <w:t xml:space="preserve"> </w:t>
      </w:r>
      <w:r w:rsidRPr="00BB6220">
        <w:t>anything</w:t>
      </w:r>
      <w:r w:rsidR="003D640C">
        <w:t xml:space="preserve"> </w:t>
      </w:r>
      <w:r w:rsidRPr="00BB6220">
        <w:t>else</w:t>
      </w:r>
      <w:r w:rsidR="00E47673">
        <w:t>,</w:t>
      </w:r>
      <w:r w:rsidR="003D640C">
        <w:t xml:space="preserve"> </w:t>
      </w:r>
      <w:r w:rsidRPr="00BB6220">
        <w:t>and</w:t>
      </w:r>
      <w:r w:rsidR="003D640C">
        <w:t xml:space="preserve"> </w:t>
      </w:r>
      <w:r w:rsidRPr="00BB6220">
        <w:t>needed</w:t>
      </w:r>
      <w:r w:rsidR="003D640C">
        <w:t xml:space="preserve"> </w:t>
      </w:r>
      <w:r w:rsidRPr="00BB6220">
        <w:t>to</w:t>
      </w:r>
      <w:r w:rsidR="003D640C">
        <w:t xml:space="preserve"> </w:t>
      </w:r>
      <w:r w:rsidRPr="00BB6220">
        <w:t>be</w:t>
      </w:r>
      <w:r w:rsidR="003D640C">
        <w:t xml:space="preserve"> </w:t>
      </w:r>
      <w:r w:rsidRPr="00BB6220">
        <w:t>able</w:t>
      </w:r>
      <w:r w:rsidR="003D640C">
        <w:t xml:space="preserve"> </w:t>
      </w:r>
      <w:r w:rsidRPr="00BB6220">
        <w:t>to</w:t>
      </w:r>
      <w:r w:rsidR="003D640C">
        <w:t xml:space="preserve"> </w:t>
      </w:r>
      <w:r w:rsidRPr="00BB6220">
        <w:t>design</w:t>
      </w:r>
      <w:r w:rsidR="003D640C">
        <w:t xml:space="preserve"> </w:t>
      </w:r>
      <w:r w:rsidRPr="00BB6220">
        <w:t>and</w:t>
      </w:r>
      <w:r w:rsidR="003D640C">
        <w:t xml:space="preserve"> </w:t>
      </w:r>
      <w:r w:rsidRPr="00BB6220">
        <w:t>implement</w:t>
      </w:r>
      <w:r w:rsidR="003D640C">
        <w:t xml:space="preserve"> </w:t>
      </w:r>
      <w:r w:rsidRPr="00BB6220">
        <w:t>a</w:t>
      </w:r>
      <w:r w:rsidR="003D640C">
        <w:t xml:space="preserve"> </w:t>
      </w:r>
      <w:r w:rsidRPr="00BB6220">
        <w:t>recovery</w:t>
      </w:r>
      <w:r w:rsidR="003D640C">
        <w:t xml:space="preserve"> </w:t>
      </w:r>
      <w:r w:rsidR="00135490">
        <w:t xml:space="preserve">that </w:t>
      </w:r>
      <w:r w:rsidRPr="00BB6220">
        <w:t>involved,</w:t>
      </w:r>
      <w:r w:rsidR="003D640C">
        <w:t xml:space="preserve"> </w:t>
      </w:r>
      <w:r w:rsidRPr="00BB6220">
        <w:t>if</w:t>
      </w:r>
      <w:r w:rsidR="003D640C">
        <w:t xml:space="preserve"> </w:t>
      </w:r>
      <w:r w:rsidRPr="00BB6220">
        <w:t>possible,</w:t>
      </w:r>
      <w:r w:rsidR="003D640C">
        <w:t xml:space="preserve"> </w:t>
      </w:r>
      <w:r w:rsidR="00C510B0" w:rsidRPr="00BB6220">
        <w:t>ongoing</w:t>
      </w:r>
      <w:r w:rsidR="003D640C">
        <w:t xml:space="preserve"> </w:t>
      </w:r>
      <w:r w:rsidR="00C510B0" w:rsidRPr="00BB6220">
        <w:t>connection</w:t>
      </w:r>
      <w:r w:rsidR="003D640C">
        <w:t xml:space="preserve"> </w:t>
      </w:r>
      <w:r w:rsidR="00C510B0" w:rsidRPr="00BB6220">
        <w:t>with</w:t>
      </w:r>
      <w:r w:rsidR="003D640C">
        <w:t xml:space="preserve"> </w:t>
      </w:r>
      <w:r w:rsidRPr="00BB6220">
        <w:t>their</w:t>
      </w:r>
      <w:r w:rsidR="003D640C">
        <w:t xml:space="preserve"> </w:t>
      </w:r>
      <w:r w:rsidRPr="00BB6220">
        <w:t>respective</w:t>
      </w:r>
      <w:r w:rsidR="003D640C">
        <w:t xml:space="preserve"> </w:t>
      </w:r>
      <w:r w:rsidRPr="00BB6220">
        <w:t>whānau,</w:t>
      </w:r>
      <w:r w:rsidR="003D640C">
        <w:t xml:space="preserve"> </w:t>
      </w:r>
      <w:r w:rsidRPr="00BB6220">
        <w:t>hapū</w:t>
      </w:r>
      <w:r w:rsidR="00135490">
        <w:t>,</w:t>
      </w:r>
      <w:r w:rsidR="003D640C">
        <w:t xml:space="preserve"> </w:t>
      </w:r>
      <w:r w:rsidRPr="00BB6220">
        <w:t>and</w:t>
      </w:r>
      <w:r w:rsidR="003D640C">
        <w:t xml:space="preserve"> </w:t>
      </w:r>
      <w:r w:rsidRPr="00BB6220">
        <w:t>iwi.</w:t>
      </w:r>
      <w:r w:rsidR="003D640C">
        <w:t xml:space="preserve"> </w:t>
      </w:r>
    </w:p>
    <w:p w14:paraId="00318CB7" w14:textId="12B9A54B" w:rsidR="00CF4A69" w:rsidRPr="00BB6220" w:rsidRDefault="00C510B0" w:rsidP="00B51F0B">
      <w:pPr>
        <w:pBdr>
          <w:top w:val="single" w:sz="4" w:space="1" w:color="auto"/>
          <w:left w:val="single" w:sz="4" w:space="4" w:color="auto"/>
          <w:bottom w:val="single" w:sz="4" w:space="1" w:color="auto"/>
          <w:right w:val="single" w:sz="4" w:space="4" w:color="auto"/>
        </w:pBdr>
      </w:pPr>
      <w:r w:rsidRPr="00BB6220">
        <w:t>Fo</w:t>
      </w:r>
      <w:r w:rsidR="00CF4A69" w:rsidRPr="00BB6220">
        <w:t>r</w:t>
      </w:r>
      <w:r w:rsidR="003D640C">
        <w:t xml:space="preserve"> </w:t>
      </w:r>
      <w:r w:rsidR="00CF4A69" w:rsidRPr="00BB6220">
        <w:t>survivors</w:t>
      </w:r>
      <w:r w:rsidR="003D640C">
        <w:t xml:space="preserve"> </w:t>
      </w:r>
      <w:r w:rsidR="00CF4A69" w:rsidRPr="00BB6220">
        <w:t>carrying</w:t>
      </w:r>
      <w:r w:rsidR="003D640C">
        <w:t xml:space="preserve"> </w:t>
      </w:r>
      <w:r w:rsidR="00CF4A69" w:rsidRPr="00BB6220">
        <w:t>intersectional</w:t>
      </w:r>
      <w:r w:rsidR="003D640C">
        <w:t xml:space="preserve"> </w:t>
      </w:r>
      <w:r w:rsidR="00CF4A69" w:rsidRPr="00BB6220">
        <w:t>cultural</w:t>
      </w:r>
      <w:r w:rsidR="003D640C">
        <w:t xml:space="preserve"> </w:t>
      </w:r>
      <w:r w:rsidR="00CF4A69" w:rsidRPr="00BB6220">
        <w:t>identities</w:t>
      </w:r>
      <w:r w:rsidR="00EC43AD" w:rsidRPr="00BB6220">
        <w:t>,</w:t>
      </w:r>
      <w:r w:rsidR="003D640C">
        <w:t xml:space="preserve"> </w:t>
      </w:r>
      <w:r w:rsidRPr="00BB6220">
        <w:t>some</w:t>
      </w:r>
      <w:r w:rsidR="003D640C">
        <w:t xml:space="preserve"> </w:t>
      </w:r>
      <w:r w:rsidR="002D1DD6" w:rsidRPr="00BB6220">
        <w:t>R</w:t>
      </w:r>
      <w:r w:rsidR="00CF4A69" w:rsidRPr="00BB6220">
        <w:t>ainbow</w:t>
      </w:r>
      <w:r w:rsidR="003D640C">
        <w:t xml:space="preserve"> </w:t>
      </w:r>
      <w:r w:rsidR="00CF4A69" w:rsidRPr="00BB6220">
        <w:t>organisations</w:t>
      </w:r>
      <w:r w:rsidR="003D640C">
        <w:t xml:space="preserve"> </w:t>
      </w:r>
      <w:r w:rsidR="00CF4A69" w:rsidRPr="00BB6220">
        <w:t>may</w:t>
      </w:r>
      <w:r w:rsidR="003D640C">
        <w:t xml:space="preserve"> </w:t>
      </w:r>
      <w:r w:rsidR="00CF4A69" w:rsidRPr="00BB6220">
        <w:t>not</w:t>
      </w:r>
      <w:r w:rsidR="003D640C">
        <w:t xml:space="preserve"> </w:t>
      </w:r>
      <w:r w:rsidR="00E425B9" w:rsidRPr="00BB6220">
        <w:t>initially</w:t>
      </w:r>
      <w:r w:rsidR="003D640C">
        <w:t xml:space="preserve"> </w:t>
      </w:r>
      <w:r w:rsidR="00CF4A69" w:rsidRPr="00BB6220">
        <w:t>be</w:t>
      </w:r>
      <w:r w:rsidR="003D640C">
        <w:t xml:space="preserve"> </w:t>
      </w:r>
      <w:r w:rsidR="00CF4A69" w:rsidRPr="00BB6220">
        <w:t>the</w:t>
      </w:r>
      <w:r w:rsidR="003D640C">
        <w:t xml:space="preserve"> </w:t>
      </w:r>
      <w:r w:rsidR="00CF4A69" w:rsidRPr="00BB6220">
        <w:t>right</w:t>
      </w:r>
      <w:r w:rsidR="003D640C">
        <w:t xml:space="preserve"> </w:t>
      </w:r>
      <w:r w:rsidR="00CF4A69" w:rsidRPr="00BB6220">
        <w:t>space</w:t>
      </w:r>
      <w:r w:rsidR="003D640C">
        <w:t xml:space="preserve"> </w:t>
      </w:r>
      <w:r w:rsidR="00CF4A69" w:rsidRPr="00BB6220">
        <w:t>for</w:t>
      </w:r>
      <w:r w:rsidR="003D640C">
        <w:t xml:space="preserve"> </w:t>
      </w:r>
      <w:r w:rsidR="00CF4A69" w:rsidRPr="00BB6220">
        <w:t>them</w:t>
      </w:r>
      <w:r w:rsidR="003D640C">
        <w:t xml:space="preserve"> </w:t>
      </w:r>
      <w:r w:rsidR="00CF4A69" w:rsidRPr="00BB6220">
        <w:t>to</w:t>
      </w:r>
      <w:r w:rsidR="003D640C">
        <w:t xml:space="preserve"> </w:t>
      </w:r>
      <w:r w:rsidR="00E425B9" w:rsidRPr="00BB6220">
        <w:t>find</w:t>
      </w:r>
      <w:r w:rsidR="003D640C">
        <w:t xml:space="preserve"> </w:t>
      </w:r>
      <w:r w:rsidR="00CF4A69" w:rsidRPr="00BB6220">
        <w:t>support.</w:t>
      </w:r>
      <w:r w:rsidR="003D640C">
        <w:t xml:space="preserve"> </w:t>
      </w:r>
      <w:r w:rsidR="00E425B9" w:rsidRPr="00BB6220">
        <w:t>If</w:t>
      </w:r>
      <w:r w:rsidR="003D640C">
        <w:t xml:space="preserve"> </w:t>
      </w:r>
      <w:r w:rsidR="00E425B9" w:rsidRPr="00BB6220">
        <w:t>t</w:t>
      </w:r>
      <w:r w:rsidR="00CF4A69" w:rsidRPr="00BB6220">
        <w:t>hese</w:t>
      </w:r>
      <w:r w:rsidR="003D640C">
        <w:t xml:space="preserve"> </w:t>
      </w:r>
      <w:r w:rsidR="00CF4A69" w:rsidRPr="00BB6220">
        <w:t>spaces</w:t>
      </w:r>
      <w:r w:rsidR="003D640C">
        <w:t xml:space="preserve"> </w:t>
      </w:r>
      <w:r w:rsidR="00CF4A69" w:rsidRPr="00BB6220">
        <w:t>bring</w:t>
      </w:r>
      <w:r w:rsidR="003D640C">
        <w:t xml:space="preserve"> </w:t>
      </w:r>
      <w:r w:rsidR="00CF4A69" w:rsidRPr="00BB6220">
        <w:t>tension</w:t>
      </w:r>
      <w:r w:rsidR="003D640C">
        <w:t xml:space="preserve"> </w:t>
      </w:r>
      <w:r w:rsidR="00CF4A69" w:rsidRPr="00BB6220">
        <w:t>due</w:t>
      </w:r>
      <w:r w:rsidR="003D640C">
        <w:t xml:space="preserve"> </w:t>
      </w:r>
      <w:r w:rsidR="00CF4A69" w:rsidRPr="00BB6220">
        <w:t>to</w:t>
      </w:r>
      <w:r w:rsidR="003D640C">
        <w:t xml:space="preserve"> </w:t>
      </w:r>
      <w:r w:rsidR="00CF4A69" w:rsidRPr="00BB6220">
        <w:t>clashing</w:t>
      </w:r>
      <w:r w:rsidR="003D640C">
        <w:t xml:space="preserve"> </w:t>
      </w:r>
      <w:r w:rsidR="00CF4A69" w:rsidRPr="00BB6220">
        <w:t>cultural</w:t>
      </w:r>
      <w:r w:rsidR="003D640C">
        <w:t xml:space="preserve"> </w:t>
      </w:r>
      <w:r w:rsidR="00CF4A69" w:rsidRPr="00BB6220">
        <w:t>and</w:t>
      </w:r>
      <w:r w:rsidR="003D640C">
        <w:t xml:space="preserve"> </w:t>
      </w:r>
      <w:r w:rsidR="00CF4A69" w:rsidRPr="00BB6220">
        <w:t>religious</w:t>
      </w:r>
      <w:r w:rsidR="003D640C">
        <w:t xml:space="preserve"> </w:t>
      </w:r>
      <w:r w:rsidR="00CF4A69" w:rsidRPr="00BB6220">
        <w:t>influences</w:t>
      </w:r>
      <w:r w:rsidR="00302B81" w:rsidRPr="00BB6220">
        <w:t>,</w:t>
      </w:r>
      <w:r w:rsidR="003D640C">
        <w:t xml:space="preserve"> </w:t>
      </w:r>
      <w:r w:rsidR="00302B81" w:rsidRPr="00BB6220">
        <w:t>t</w:t>
      </w:r>
      <w:r w:rsidR="00CF4A69" w:rsidRPr="00BB6220">
        <w:t>his</w:t>
      </w:r>
      <w:r w:rsidR="003D640C">
        <w:t xml:space="preserve"> </w:t>
      </w:r>
      <w:r w:rsidR="00CF4A69" w:rsidRPr="00BB6220">
        <w:t>will</w:t>
      </w:r>
      <w:r w:rsidR="003D640C">
        <w:t xml:space="preserve"> </w:t>
      </w:r>
      <w:r w:rsidR="00CF4A69" w:rsidRPr="00BB6220">
        <w:t>be</w:t>
      </w:r>
      <w:r w:rsidR="003D640C">
        <w:t xml:space="preserve"> </w:t>
      </w:r>
      <w:r w:rsidR="00CF4A69" w:rsidRPr="00BB6220">
        <w:t>exhausting</w:t>
      </w:r>
      <w:r w:rsidR="003D640C">
        <w:t xml:space="preserve"> </w:t>
      </w:r>
      <w:r w:rsidR="00CF4A69" w:rsidRPr="00BB6220">
        <w:t>for</w:t>
      </w:r>
      <w:r w:rsidR="003D640C">
        <w:t xml:space="preserve"> </w:t>
      </w:r>
      <w:r w:rsidR="00CF4A69" w:rsidRPr="00BB6220">
        <w:t>the</w:t>
      </w:r>
      <w:r w:rsidR="003D640C">
        <w:t xml:space="preserve"> </w:t>
      </w:r>
      <w:r w:rsidR="00CF4A69" w:rsidRPr="00BB6220">
        <w:t>survivor</w:t>
      </w:r>
      <w:r w:rsidR="003D640C">
        <w:t xml:space="preserve"> </w:t>
      </w:r>
      <w:r w:rsidR="00CF4A69" w:rsidRPr="00BB6220">
        <w:t>and</w:t>
      </w:r>
      <w:r w:rsidR="003D640C">
        <w:t xml:space="preserve"> </w:t>
      </w:r>
      <w:r w:rsidR="00CF4A69" w:rsidRPr="00BB6220">
        <w:t>may</w:t>
      </w:r>
      <w:r w:rsidR="003D640C">
        <w:t xml:space="preserve"> </w:t>
      </w:r>
      <w:r w:rsidR="00CF4A69" w:rsidRPr="00BB6220">
        <w:t>result</w:t>
      </w:r>
      <w:r w:rsidR="003D640C">
        <w:t xml:space="preserve"> </w:t>
      </w:r>
      <w:r w:rsidR="00CF4A69" w:rsidRPr="00BB6220">
        <w:t>in</w:t>
      </w:r>
      <w:r w:rsidR="003D640C">
        <w:t xml:space="preserve"> </w:t>
      </w:r>
      <w:r w:rsidR="00CF4A69" w:rsidRPr="00BB6220">
        <w:t>them</w:t>
      </w:r>
      <w:r w:rsidR="003D640C">
        <w:t xml:space="preserve"> </w:t>
      </w:r>
      <w:r w:rsidR="00CF4A69" w:rsidRPr="00BB6220">
        <w:t>retreating</w:t>
      </w:r>
      <w:r w:rsidR="003D640C">
        <w:t xml:space="preserve"> </w:t>
      </w:r>
      <w:r w:rsidR="00302B81" w:rsidRPr="00BB6220">
        <w:t>in</w:t>
      </w:r>
      <w:r w:rsidR="00CF4A69" w:rsidRPr="00BB6220">
        <w:t>to</w:t>
      </w:r>
      <w:r w:rsidR="003D640C">
        <w:t xml:space="preserve"> </w:t>
      </w:r>
      <w:r w:rsidR="00302B81" w:rsidRPr="00BB6220">
        <w:t>harmful</w:t>
      </w:r>
      <w:r w:rsidR="003D640C">
        <w:t xml:space="preserve"> </w:t>
      </w:r>
      <w:r w:rsidR="00302B81" w:rsidRPr="00BB6220">
        <w:t>elements</w:t>
      </w:r>
      <w:r w:rsidR="003D640C">
        <w:t xml:space="preserve"> </w:t>
      </w:r>
      <w:r w:rsidR="00302B81" w:rsidRPr="00BB6220">
        <w:t>of</w:t>
      </w:r>
      <w:r w:rsidR="003D640C">
        <w:t xml:space="preserve"> </w:t>
      </w:r>
      <w:r w:rsidR="00302B81" w:rsidRPr="00BB6220">
        <w:t>their</w:t>
      </w:r>
      <w:r w:rsidR="003D640C">
        <w:t xml:space="preserve"> </w:t>
      </w:r>
      <w:r w:rsidR="00CF4A69" w:rsidRPr="00BB6220">
        <w:t>environment.</w:t>
      </w:r>
      <w:r w:rsidR="003D640C">
        <w:t xml:space="preserve"> </w:t>
      </w:r>
    </w:p>
    <w:p w14:paraId="7DB14E3F" w14:textId="160AF689" w:rsidR="00133F8F" w:rsidRDefault="00CF4A69" w:rsidP="00B51F0B">
      <w:pPr>
        <w:pBdr>
          <w:top w:val="single" w:sz="4" w:space="1" w:color="auto"/>
          <w:left w:val="single" w:sz="4" w:space="4" w:color="auto"/>
          <w:bottom w:val="single" w:sz="4" w:space="1" w:color="auto"/>
          <w:right w:val="single" w:sz="4" w:space="4" w:color="auto"/>
        </w:pBdr>
        <w:rPr>
          <w:rFonts w:eastAsia="Times New Roman"/>
          <w:lang w:eastAsia="en-NZ"/>
        </w:rPr>
      </w:pPr>
      <w:r w:rsidRPr="00BB6220">
        <w:rPr>
          <w:rFonts w:eastAsia="Times New Roman"/>
          <w:lang w:eastAsia="en-NZ"/>
        </w:rPr>
        <w:t>One</w:t>
      </w:r>
      <w:r w:rsidR="003D640C">
        <w:rPr>
          <w:rFonts w:eastAsia="Times New Roman"/>
          <w:lang w:eastAsia="en-NZ"/>
        </w:rPr>
        <w:t xml:space="preserve"> </w:t>
      </w:r>
      <w:r w:rsidRPr="00BB6220">
        <w:rPr>
          <w:rFonts w:eastAsia="Times New Roman"/>
          <w:lang w:eastAsia="en-NZ"/>
        </w:rPr>
        <w:t>therapist</w:t>
      </w:r>
      <w:r w:rsidR="003D640C">
        <w:rPr>
          <w:rFonts w:eastAsia="Times New Roman"/>
          <w:lang w:eastAsia="en-NZ"/>
        </w:rPr>
        <w:t xml:space="preserve"> </w:t>
      </w:r>
      <w:r w:rsidRPr="00BB6220">
        <w:rPr>
          <w:rFonts w:eastAsia="Times New Roman"/>
          <w:lang w:eastAsia="en-NZ"/>
        </w:rPr>
        <w:t>described</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strong</w:t>
      </w:r>
      <w:r w:rsidR="003D640C">
        <w:rPr>
          <w:rFonts w:eastAsia="Times New Roman"/>
          <w:lang w:eastAsia="en-NZ"/>
        </w:rPr>
        <w:t xml:space="preserve"> </w:t>
      </w:r>
      <w:r w:rsidRPr="00BB6220">
        <w:rPr>
          <w:rFonts w:eastAsia="Times New Roman"/>
          <w:lang w:eastAsia="en-NZ"/>
        </w:rPr>
        <w:t>reaction</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a</w:t>
      </w:r>
      <w:r w:rsidR="003D640C">
        <w:rPr>
          <w:rFonts w:eastAsia="Times New Roman"/>
          <w:lang w:eastAsia="en-NZ"/>
        </w:rPr>
        <w:t xml:space="preserve"> </w:t>
      </w:r>
      <w:r w:rsidRPr="00BB6220">
        <w:rPr>
          <w:rFonts w:eastAsia="Times New Roman"/>
          <w:lang w:eastAsia="en-NZ"/>
        </w:rPr>
        <w:t>new</w:t>
      </w:r>
      <w:r w:rsidR="003D640C">
        <w:rPr>
          <w:rFonts w:eastAsia="Times New Roman"/>
          <w:lang w:eastAsia="en-NZ"/>
        </w:rPr>
        <w:t xml:space="preserve"> </w:t>
      </w:r>
      <w:r w:rsidRPr="00BB6220">
        <w:rPr>
          <w:rFonts w:eastAsia="Times New Roman"/>
          <w:lang w:eastAsia="en-NZ"/>
        </w:rPr>
        <w:t>client’s</w:t>
      </w:r>
      <w:r w:rsidR="003D640C">
        <w:rPr>
          <w:rFonts w:eastAsia="Times New Roman"/>
          <w:lang w:eastAsia="en-NZ"/>
        </w:rPr>
        <w:t xml:space="preserve"> </w:t>
      </w:r>
      <w:r w:rsidRPr="00BB6220">
        <w:rPr>
          <w:rFonts w:eastAsia="Times New Roman"/>
          <w:lang w:eastAsia="en-NZ"/>
        </w:rPr>
        <w:t>obvious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acute</w:t>
      </w:r>
      <w:r w:rsidR="003D640C">
        <w:rPr>
          <w:rFonts w:eastAsia="Times New Roman"/>
          <w:lang w:eastAsia="en-NZ"/>
        </w:rPr>
        <w:t xml:space="preserve"> </w:t>
      </w:r>
      <w:r w:rsidRPr="00BB6220">
        <w:rPr>
          <w:rFonts w:eastAsia="Times New Roman"/>
          <w:lang w:eastAsia="en-NZ"/>
        </w:rPr>
        <w:t>discomfort</w:t>
      </w:r>
      <w:r w:rsidR="006A48D6">
        <w:rPr>
          <w:rFonts w:eastAsia="Times New Roman"/>
          <w:lang w:eastAsia="en-NZ"/>
        </w:rPr>
        <w:t>.</w:t>
      </w:r>
      <w:r w:rsidRPr="00BB6220">
        <w:rPr>
          <w:rStyle w:val="FootnoteReference"/>
          <w:rFonts w:eastAsia="Times New Roman"/>
          <w:lang w:eastAsia="en-NZ"/>
        </w:rPr>
        <w:footnoteReference w:id="267"/>
      </w:r>
      <w:r w:rsidR="003D640C">
        <w:rPr>
          <w:rFonts w:eastAsia="Times New Roman"/>
          <w:lang w:eastAsia="en-NZ"/>
        </w:rPr>
        <w:t xml:space="preserve"> </w:t>
      </w:r>
    </w:p>
    <w:p w14:paraId="07EFFF1B" w14:textId="2EFB6E17" w:rsidR="00CF4A69" w:rsidRPr="00BB6220" w:rsidRDefault="003A11C2" w:rsidP="003A11C2">
      <w:pPr>
        <w:pBdr>
          <w:top w:val="single" w:sz="4" w:space="1" w:color="auto"/>
          <w:left w:val="single" w:sz="4" w:space="4" w:color="auto"/>
          <w:bottom w:val="single" w:sz="4" w:space="1" w:color="auto"/>
          <w:right w:val="single" w:sz="4" w:space="4" w:color="auto"/>
        </w:pBdr>
        <w:ind w:left="567" w:hanging="567"/>
      </w:pPr>
      <w:r>
        <w:rPr>
          <w:rFonts w:eastAsia="Times New Roman"/>
          <w:lang w:eastAsia="en-NZ"/>
        </w:rPr>
        <w:t xml:space="preserve">           </w:t>
      </w:r>
      <w:r w:rsidR="00CF4A69" w:rsidRPr="00BB6220">
        <w:rPr>
          <w:rFonts w:eastAsia="Times New Roman"/>
          <w:lang w:eastAsia="en-NZ"/>
        </w:rPr>
        <w:t>“My</w:t>
      </w:r>
      <w:r w:rsidR="003D640C">
        <w:rPr>
          <w:rFonts w:eastAsia="Times New Roman"/>
          <w:lang w:eastAsia="en-NZ"/>
        </w:rPr>
        <w:t xml:space="preserve"> </w:t>
      </w:r>
      <w:r w:rsidR="00CF4A69" w:rsidRPr="00BB6220">
        <w:rPr>
          <w:rFonts w:eastAsia="Times New Roman"/>
          <w:lang w:eastAsia="en-NZ"/>
        </w:rPr>
        <w:t>primary</w:t>
      </w:r>
      <w:r w:rsidR="003D640C">
        <w:rPr>
          <w:rFonts w:eastAsia="Times New Roman"/>
          <w:lang w:eastAsia="en-NZ"/>
        </w:rPr>
        <w:t xml:space="preserve"> </w:t>
      </w:r>
      <w:r w:rsidR="00CF4A69" w:rsidRPr="00BB6220">
        <w:rPr>
          <w:rFonts w:eastAsia="Times New Roman"/>
          <w:lang w:eastAsia="en-NZ"/>
        </w:rPr>
        <w:t>goal</w:t>
      </w:r>
      <w:r w:rsidR="003D640C">
        <w:rPr>
          <w:rFonts w:eastAsia="Times New Roman"/>
          <w:lang w:eastAsia="en-NZ"/>
        </w:rPr>
        <w:t xml:space="preserve"> </w:t>
      </w:r>
      <w:r w:rsidR="00CF4A69" w:rsidRPr="00BB6220">
        <w:rPr>
          <w:rFonts w:eastAsia="Times New Roman"/>
          <w:lang w:eastAsia="en-NZ"/>
        </w:rPr>
        <w:t>during</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intake</w:t>
      </w:r>
      <w:r w:rsidR="003D640C">
        <w:rPr>
          <w:rFonts w:eastAsia="Times New Roman"/>
          <w:lang w:eastAsia="en-NZ"/>
        </w:rPr>
        <w:t xml:space="preserve"> </w:t>
      </w:r>
      <w:r w:rsidR="00CF4A69" w:rsidRPr="00BB6220">
        <w:rPr>
          <w:rFonts w:eastAsia="Times New Roman"/>
          <w:lang w:eastAsia="en-NZ"/>
        </w:rPr>
        <w:t>session</w:t>
      </w:r>
      <w:r w:rsidR="003D640C">
        <w:rPr>
          <w:rFonts w:eastAsia="Times New Roman"/>
          <w:lang w:eastAsia="en-NZ"/>
        </w:rPr>
        <w:t xml:space="preserve"> </w:t>
      </w:r>
      <w:r w:rsidR="00CF4A69" w:rsidRPr="00BB6220">
        <w:rPr>
          <w:rFonts w:eastAsia="Times New Roman"/>
          <w:lang w:eastAsia="en-NZ"/>
        </w:rPr>
        <w:t>was</w:t>
      </w:r>
      <w:r w:rsidR="003D640C">
        <w:rPr>
          <w:rFonts w:eastAsia="Times New Roman"/>
          <w:lang w:eastAsia="en-NZ"/>
        </w:rPr>
        <w:t xml:space="preserve"> </w:t>
      </w:r>
      <w:r w:rsidR="00CF4A69" w:rsidRPr="00BB6220">
        <w:rPr>
          <w:rFonts w:eastAsia="Times New Roman"/>
          <w:lang w:eastAsia="en-NZ"/>
        </w:rPr>
        <w:t>to</w:t>
      </w:r>
      <w:r w:rsidR="003D640C">
        <w:rPr>
          <w:rFonts w:eastAsia="Times New Roman"/>
          <w:lang w:eastAsia="en-NZ"/>
        </w:rPr>
        <w:t xml:space="preserve"> </w:t>
      </w:r>
      <w:r w:rsidR="00CF4A69" w:rsidRPr="00BB6220">
        <w:rPr>
          <w:rFonts w:eastAsia="Times New Roman"/>
          <w:lang w:eastAsia="en-NZ"/>
        </w:rPr>
        <w:t>provide</w:t>
      </w:r>
      <w:r w:rsidR="003D640C">
        <w:rPr>
          <w:rFonts w:eastAsia="Times New Roman"/>
          <w:lang w:eastAsia="en-NZ"/>
        </w:rPr>
        <w:t xml:space="preserve"> </w:t>
      </w:r>
      <w:r w:rsidR="00CF4A69" w:rsidRPr="00BB6220">
        <w:rPr>
          <w:rFonts w:eastAsia="Times New Roman"/>
          <w:lang w:eastAsia="en-NZ"/>
        </w:rPr>
        <w:t>constant</w:t>
      </w:r>
      <w:r w:rsidR="003D640C">
        <w:rPr>
          <w:rFonts w:eastAsia="Times New Roman"/>
          <w:lang w:eastAsia="en-NZ"/>
        </w:rPr>
        <w:t xml:space="preserve"> </w:t>
      </w:r>
      <w:r w:rsidR="00CF4A69" w:rsidRPr="00BB6220">
        <w:rPr>
          <w:rFonts w:eastAsia="Times New Roman"/>
          <w:lang w:eastAsia="en-NZ"/>
        </w:rPr>
        <w:t>reassurance,</w:t>
      </w:r>
      <w:r w:rsidR="003D640C">
        <w:rPr>
          <w:rFonts w:eastAsia="Times New Roman"/>
          <w:lang w:eastAsia="en-NZ"/>
        </w:rPr>
        <w:t xml:space="preserve"> </w:t>
      </w:r>
      <w:r w:rsidR="00CF4A69" w:rsidRPr="00BB6220">
        <w:rPr>
          <w:rFonts w:eastAsia="Times New Roman"/>
          <w:lang w:eastAsia="en-NZ"/>
        </w:rPr>
        <w:t>validation,</w:t>
      </w:r>
      <w:r w:rsidR="003D640C">
        <w:rPr>
          <w:rFonts w:eastAsia="Times New Roman"/>
          <w:lang w:eastAsia="en-NZ"/>
        </w:rPr>
        <w:t xml:space="preserve"> </w:t>
      </w:r>
      <w:r w:rsidR="00CF4A69" w:rsidRPr="00BB6220">
        <w:rPr>
          <w:rFonts w:eastAsia="Times New Roman"/>
          <w:lang w:eastAsia="en-NZ"/>
        </w:rPr>
        <w:t>and</w:t>
      </w:r>
      <w:r w:rsidR="003D640C">
        <w:rPr>
          <w:rFonts w:eastAsia="Times New Roman"/>
          <w:lang w:eastAsia="en-NZ"/>
        </w:rPr>
        <w:t xml:space="preserve"> </w:t>
      </w:r>
      <w:r w:rsidR="00CF4A69" w:rsidRPr="00BB6220">
        <w:rPr>
          <w:rFonts w:eastAsia="Times New Roman"/>
          <w:lang w:eastAsia="en-NZ"/>
        </w:rPr>
        <w:t>a</w:t>
      </w:r>
      <w:r w:rsidR="003D640C">
        <w:rPr>
          <w:rFonts w:eastAsia="Times New Roman"/>
          <w:lang w:eastAsia="en-NZ"/>
        </w:rPr>
        <w:t xml:space="preserve"> </w:t>
      </w:r>
      <w:r w:rsidR="00CF4A69" w:rsidRPr="00BB6220">
        <w:rPr>
          <w:rFonts w:eastAsia="Times New Roman"/>
          <w:lang w:eastAsia="en-NZ"/>
        </w:rPr>
        <w:t>sense</w:t>
      </w:r>
      <w:r w:rsidR="003D640C">
        <w:rPr>
          <w:rFonts w:eastAsia="Times New Roman"/>
          <w:lang w:eastAsia="en-NZ"/>
        </w:rPr>
        <w:t xml:space="preserve"> </w:t>
      </w:r>
      <w:r w:rsidR="00CF4A69" w:rsidRPr="00BB6220">
        <w:rPr>
          <w:rFonts w:eastAsia="Times New Roman"/>
          <w:lang w:eastAsia="en-NZ"/>
        </w:rPr>
        <w:t>of</w:t>
      </w:r>
      <w:r w:rsidR="003D640C">
        <w:rPr>
          <w:rFonts w:eastAsia="Times New Roman"/>
          <w:lang w:eastAsia="en-NZ"/>
        </w:rPr>
        <w:t xml:space="preserve"> </w:t>
      </w:r>
      <w:r w:rsidR="00CF4A69" w:rsidRPr="00BB6220">
        <w:rPr>
          <w:rFonts w:eastAsia="Times New Roman"/>
          <w:lang w:eastAsia="en-NZ"/>
        </w:rPr>
        <w:t>safety</w:t>
      </w:r>
      <w:r w:rsidR="003D640C">
        <w:rPr>
          <w:rFonts w:eastAsia="Times New Roman"/>
          <w:lang w:eastAsia="en-NZ"/>
        </w:rPr>
        <w:t xml:space="preserve"> </w:t>
      </w:r>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hopes</w:t>
      </w:r>
      <w:r w:rsidR="003D640C">
        <w:rPr>
          <w:rFonts w:eastAsia="Times New Roman"/>
          <w:lang w:eastAsia="en-NZ"/>
        </w:rPr>
        <w:t xml:space="preserve"> </w:t>
      </w:r>
      <w:r w:rsidR="00CF4A69" w:rsidRPr="00BB6220">
        <w:rPr>
          <w:rFonts w:eastAsia="Times New Roman"/>
          <w:lang w:eastAsia="en-NZ"/>
        </w:rPr>
        <w:t>of</w:t>
      </w:r>
      <w:r w:rsidR="003D640C">
        <w:rPr>
          <w:rFonts w:eastAsia="Times New Roman"/>
          <w:lang w:eastAsia="en-NZ"/>
        </w:rPr>
        <w:t xml:space="preserve"> </w:t>
      </w:r>
      <w:r w:rsidR="00CF4A69" w:rsidRPr="00BB6220">
        <w:rPr>
          <w:rFonts w:eastAsia="Times New Roman"/>
          <w:lang w:eastAsia="en-NZ"/>
        </w:rPr>
        <w:t>creating</w:t>
      </w:r>
      <w:r w:rsidR="003D640C">
        <w:rPr>
          <w:rFonts w:eastAsia="Times New Roman"/>
          <w:lang w:eastAsia="en-NZ"/>
        </w:rPr>
        <w:t xml:space="preserve"> </w:t>
      </w:r>
      <w:r w:rsidR="00CF4A69" w:rsidRPr="00BB6220">
        <w:rPr>
          <w:rFonts w:eastAsia="Times New Roman"/>
          <w:lang w:eastAsia="en-NZ"/>
        </w:rPr>
        <w:t>a</w:t>
      </w:r>
      <w:r w:rsidR="003D640C">
        <w:rPr>
          <w:rFonts w:eastAsia="Times New Roman"/>
          <w:lang w:eastAsia="en-NZ"/>
        </w:rPr>
        <w:t xml:space="preserve"> </w:t>
      </w:r>
      <w:r w:rsidR="00CF4A69" w:rsidRPr="00BB6220">
        <w:rPr>
          <w:rFonts w:eastAsia="Times New Roman"/>
          <w:lang w:eastAsia="en-NZ"/>
        </w:rPr>
        <w:t>mini-corrective</w:t>
      </w:r>
      <w:r w:rsidR="003D640C">
        <w:rPr>
          <w:rFonts w:eastAsia="Times New Roman"/>
          <w:lang w:eastAsia="en-NZ"/>
        </w:rPr>
        <w:t xml:space="preserve"> </w:t>
      </w:r>
      <w:r w:rsidR="00CF4A69" w:rsidRPr="00BB6220">
        <w:rPr>
          <w:rFonts w:eastAsia="Times New Roman"/>
          <w:lang w:eastAsia="en-NZ"/>
        </w:rPr>
        <w:t>emotional</w:t>
      </w:r>
      <w:r w:rsidR="003D640C">
        <w:rPr>
          <w:rFonts w:eastAsia="Times New Roman"/>
          <w:lang w:eastAsia="en-NZ"/>
        </w:rPr>
        <w:t xml:space="preserve"> </w:t>
      </w:r>
      <w:r w:rsidR="00CF4A69" w:rsidRPr="00BB6220">
        <w:rPr>
          <w:rFonts w:eastAsia="Times New Roman"/>
          <w:lang w:eastAsia="en-NZ"/>
        </w:rPr>
        <w:t>experience</w:t>
      </w:r>
      <w:r w:rsidR="003D640C">
        <w:rPr>
          <w:rFonts w:eastAsia="Times New Roman"/>
          <w:lang w:eastAsia="en-NZ"/>
        </w:rPr>
        <w:t xml:space="preserve"> </w:t>
      </w:r>
      <w:r w:rsidR="00CF4A69" w:rsidRPr="00BB6220">
        <w:rPr>
          <w:rFonts w:eastAsia="Times New Roman"/>
          <w:lang w:eastAsia="en-NZ"/>
        </w:rPr>
        <w:t>that</w:t>
      </w:r>
      <w:r w:rsidR="003D640C">
        <w:rPr>
          <w:rFonts w:eastAsia="Times New Roman"/>
          <w:lang w:eastAsia="en-NZ"/>
        </w:rPr>
        <w:t xml:space="preserve"> </w:t>
      </w:r>
      <w:r w:rsidR="00CF4A69" w:rsidRPr="00BB6220">
        <w:rPr>
          <w:rFonts w:eastAsia="Times New Roman"/>
          <w:lang w:eastAsia="en-NZ"/>
        </w:rPr>
        <w:t>would</w:t>
      </w:r>
      <w:r w:rsidR="003D640C">
        <w:rPr>
          <w:rFonts w:eastAsia="Times New Roman"/>
          <w:lang w:eastAsia="en-NZ"/>
        </w:rPr>
        <w:t xml:space="preserve"> </w:t>
      </w:r>
      <w:r w:rsidR="00CF4A69" w:rsidRPr="00BB6220">
        <w:rPr>
          <w:rFonts w:eastAsia="Times New Roman"/>
          <w:lang w:eastAsia="en-NZ"/>
        </w:rPr>
        <w:t>be</w:t>
      </w:r>
      <w:r w:rsidR="003D640C">
        <w:rPr>
          <w:rFonts w:eastAsia="Times New Roman"/>
          <w:lang w:eastAsia="en-NZ"/>
        </w:rPr>
        <w:t xml:space="preserve"> </w:t>
      </w:r>
      <w:r w:rsidR="00CF4A69" w:rsidRPr="00BB6220">
        <w:rPr>
          <w:rFonts w:eastAsia="Times New Roman"/>
          <w:lang w:eastAsia="en-NZ"/>
        </w:rPr>
        <w:t>just</w:t>
      </w:r>
      <w:r w:rsidR="003D640C">
        <w:rPr>
          <w:rFonts w:eastAsia="Times New Roman"/>
          <w:lang w:eastAsia="en-NZ"/>
        </w:rPr>
        <w:t xml:space="preserve"> </w:t>
      </w:r>
      <w:r w:rsidR="00CF4A69" w:rsidRPr="00BB6220">
        <w:rPr>
          <w:rFonts w:eastAsia="Times New Roman"/>
          <w:lang w:eastAsia="en-NZ"/>
        </w:rPr>
        <w:t>enough</w:t>
      </w:r>
      <w:r w:rsidR="003D640C">
        <w:rPr>
          <w:rFonts w:eastAsia="Times New Roman"/>
          <w:lang w:eastAsia="en-NZ"/>
        </w:rPr>
        <w:t xml:space="preserve"> </w:t>
      </w:r>
      <w:r w:rsidR="00CF4A69" w:rsidRPr="00BB6220">
        <w:rPr>
          <w:rFonts w:eastAsia="Times New Roman"/>
          <w:lang w:eastAsia="en-NZ"/>
        </w:rPr>
        <w:t>to</w:t>
      </w:r>
      <w:r w:rsidR="003D640C">
        <w:rPr>
          <w:rFonts w:eastAsia="Times New Roman"/>
          <w:lang w:eastAsia="en-NZ"/>
        </w:rPr>
        <w:t xml:space="preserve"> </w:t>
      </w:r>
      <w:r w:rsidR="00CF4A69" w:rsidRPr="00BB6220">
        <w:rPr>
          <w:rFonts w:eastAsia="Times New Roman"/>
          <w:lang w:eastAsia="en-NZ"/>
        </w:rPr>
        <w:t>bring</w:t>
      </w:r>
      <w:r w:rsidR="003D640C">
        <w:rPr>
          <w:rFonts w:eastAsia="Times New Roman"/>
          <w:lang w:eastAsia="en-NZ"/>
        </w:rPr>
        <w:t xml:space="preserve"> </w:t>
      </w:r>
      <w:r w:rsidR="00CF4A69" w:rsidRPr="00BB6220">
        <w:rPr>
          <w:rFonts w:eastAsia="Times New Roman"/>
          <w:lang w:eastAsia="en-NZ"/>
        </w:rPr>
        <w:t>him</w:t>
      </w:r>
      <w:r w:rsidR="003D640C">
        <w:rPr>
          <w:rFonts w:eastAsia="Times New Roman"/>
          <w:lang w:eastAsia="en-NZ"/>
        </w:rPr>
        <w:t xml:space="preserve"> </w:t>
      </w:r>
      <w:r w:rsidR="00CF4A69" w:rsidRPr="00BB6220">
        <w:rPr>
          <w:rFonts w:eastAsia="Times New Roman"/>
          <w:lang w:eastAsia="en-NZ"/>
        </w:rPr>
        <w:t>back</w:t>
      </w:r>
      <w:r w:rsidR="003D640C">
        <w:rPr>
          <w:rFonts w:eastAsia="Times New Roman"/>
          <w:lang w:eastAsia="en-NZ"/>
        </w:rPr>
        <w:t xml:space="preserve"> </w:t>
      </w:r>
      <w:r w:rsidR="00CF4A69" w:rsidRPr="00BB6220">
        <w:rPr>
          <w:rFonts w:eastAsia="Times New Roman"/>
          <w:lang w:eastAsia="en-NZ"/>
        </w:rPr>
        <w:t>for</w:t>
      </w:r>
      <w:r w:rsidR="003D640C">
        <w:rPr>
          <w:rFonts w:eastAsia="Times New Roman"/>
          <w:lang w:eastAsia="en-NZ"/>
        </w:rPr>
        <w:t xml:space="preserve"> </w:t>
      </w:r>
      <w:r w:rsidR="00CF4A69" w:rsidRPr="00BB6220">
        <w:rPr>
          <w:rFonts w:eastAsia="Times New Roman"/>
          <w:lang w:eastAsia="en-NZ"/>
        </w:rPr>
        <w:t>continued</w:t>
      </w:r>
      <w:r w:rsidR="003D640C">
        <w:rPr>
          <w:rFonts w:eastAsia="Times New Roman"/>
          <w:lang w:eastAsia="en-NZ"/>
        </w:rPr>
        <w:t xml:space="preserve"> </w:t>
      </w:r>
      <w:r w:rsidR="00CF4A69" w:rsidRPr="00BB6220">
        <w:rPr>
          <w:rFonts w:eastAsia="Times New Roman"/>
          <w:lang w:eastAsia="en-NZ"/>
        </w:rPr>
        <w:t>services.</w:t>
      </w:r>
      <w:r w:rsidR="003D640C">
        <w:rPr>
          <w:rFonts w:eastAsia="Times New Roman"/>
          <w:lang w:eastAsia="en-NZ"/>
        </w:rPr>
        <w:t xml:space="preserve"> </w:t>
      </w:r>
      <w:bookmarkStart w:id="356" w:name="_Int_ZDYUXyVL"/>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an</w:t>
      </w:r>
      <w:r w:rsidR="003D640C">
        <w:rPr>
          <w:rFonts w:eastAsia="Times New Roman"/>
          <w:lang w:eastAsia="en-NZ"/>
        </w:rPr>
        <w:t xml:space="preserve"> </w:t>
      </w:r>
      <w:r w:rsidR="00CF4A69" w:rsidRPr="00BB6220">
        <w:rPr>
          <w:rFonts w:eastAsia="Times New Roman"/>
          <w:lang w:eastAsia="en-NZ"/>
        </w:rPr>
        <w:t>attempt</w:t>
      </w:r>
      <w:r w:rsidR="003D640C">
        <w:rPr>
          <w:rFonts w:eastAsia="Times New Roman"/>
          <w:lang w:eastAsia="en-NZ"/>
        </w:rPr>
        <w:t xml:space="preserve"> </w:t>
      </w:r>
      <w:r w:rsidR="00CF4A69" w:rsidRPr="00BB6220">
        <w:rPr>
          <w:rFonts w:eastAsia="Times New Roman"/>
          <w:lang w:eastAsia="en-NZ"/>
        </w:rPr>
        <w:t>to</w:t>
      </w:r>
      <w:bookmarkEnd w:id="356"/>
      <w:r w:rsidR="003D640C">
        <w:rPr>
          <w:rFonts w:eastAsia="Times New Roman"/>
          <w:lang w:eastAsia="en-NZ"/>
        </w:rPr>
        <w:t xml:space="preserve"> </w:t>
      </w:r>
      <w:r w:rsidR="00CF4A69" w:rsidRPr="00BB6220">
        <w:rPr>
          <w:rFonts w:eastAsia="Times New Roman"/>
          <w:lang w:eastAsia="en-NZ"/>
        </w:rPr>
        <w:t>be</w:t>
      </w:r>
      <w:r w:rsidR="003D640C">
        <w:rPr>
          <w:rFonts w:eastAsia="Times New Roman"/>
          <w:lang w:eastAsia="en-NZ"/>
        </w:rPr>
        <w:t xml:space="preserve"> </w:t>
      </w:r>
      <w:r w:rsidR="00CF4A69" w:rsidRPr="00BB6220">
        <w:rPr>
          <w:rFonts w:eastAsia="Times New Roman"/>
          <w:lang w:eastAsia="en-NZ"/>
        </w:rPr>
        <w:t>as</w:t>
      </w:r>
      <w:r w:rsidR="003D640C">
        <w:rPr>
          <w:rFonts w:eastAsia="Times New Roman"/>
          <w:lang w:eastAsia="en-NZ"/>
        </w:rPr>
        <w:t xml:space="preserve"> </w:t>
      </w:r>
      <w:r w:rsidR="00CF4A69" w:rsidRPr="00BB6220">
        <w:rPr>
          <w:rFonts w:eastAsia="Times New Roman"/>
          <w:lang w:eastAsia="en-NZ"/>
        </w:rPr>
        <w:t>affirmative</w:t>
      </w:r>
      <w:r w:rsidR="003D640C">
        <w:rPr>
          <w:rFonts w:eastAsia="Times New Roman"/>
          <w:lang w:eastAsia="en-NZ"/>
        </w:rPr>
        <w:t xml:space="preserve"> </w:t>
      </w:r>
      <w:r w:rsidR="00CF4A69" w:rsidRPr="00BB6220">
        <w:rPr>
          <w:rFonts w:eastAsia="Times New Roman"/>
          <w:lang w:eastAsia="en-NZ"/>
        </w:rPr>
        <w:t>as</w:t>
      </w:r>
      <w:r w:rsidR="003D640C">
        <w:rPr>
          <w:rFonts w:eastAsia="Times New Roman"/>
          <w:lang w:eastAsia="en-NZ"/>
        </w:rPr>
        <w:t xml:space="preserve"> </w:t>
      </w:r>
      <w:r w:rsidR="00CF4A69" w:rsidRPr="00BB6220">
        <w:rPr>
          <w:rFonts w:eastAsia="Times New Roman"/>
          <w:lang w:eastAsia="en-NZ"/>
        </w:rPr>
        <w:t>possible,</w:t>
      </w:r>
      <w:r w:rsidR="003D640C">
        <w:rPr>
          <w:rFonts w:eastAsia="Times New Roman"/>
          <w:lang w:eastAsia="en-NZ"/>
        </w:rPr>
        <w:t xml:space="preserve"> </w:t>
      </w:r>
      <w:r w:rsidR="00CF4A69" w:rsidRPr="00BB6220">
        <w:rPr>
          <w:rFonts w:eastAsia="Times New Roman"/>
          <w:lang w:eastAsia="en-NZ"/>
        </w:rPr>
        <w:t>I</w:t>
      </w:r>
      <w:r w:rsidR="003D640C">
        <w:rPr>
          <w:rFonts w:eastAsia="Times New Roman"/>
          <w:lang w:eastAsia="en-NZ"/>
        </w:rPr>
        <w:t xml:space="preserve"> </w:t>
      </w:r>
      <w:r w:rsidR="00CF4A69" w:rsidRPr="00BB6220">
        <w:rPr>
          <w:rFonts w:eastAsia="Times New Roman"/>
          <w:lang w:eastAsia="en-NZ"/>
        </w:rPr>
        <w:t>made</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mistake</w:t>
      </w:r>
      <w:r w:rsidR="003D640C">
        <w:rPr>
          <w:rFonts w:eastAsia="Times New Roman"/>
          <w:lang w:eastAsia="en-NZ"/>
        </w:rPr>
        <w:t xml:space="preserve"> </w:t>
      </w:r>
      <w:r w:rsidR="00CF4A69" w:rsidRPr="00BB6220">
        <w:rPr>
          <w:rFonts w:eastAsia="Times New Roman"/>
          <w:lang w:eastAsia="en-NZ"/>
        </w:rPr>
        <w:t>of</w:t>
      </w:r>
      <w:r w:rsidR="003D640C">
        <w:rPr>
          <w:rFonts w:eastAsia="Times New Roman"/>
          <w:lang w:eastAsia="en-NZ"/>
        </w:rPr>
        <w:t xml:space="preserve"> </w:t>
      </w:r>
      <w:r w:rsidR="00CF4A69" w:rsidRPr="00BB6220">
        <w:rPr>
          <w:rFonts w:eastAsia="Times New Roman"/>
          <w:lang w:eastAsia="en-NZ"/>
        </w:rPr>
        <w:t>openly</w:t>
      </w:r>
      <w:r w:rsidR="003D640C">
        <w:rPr>
          <w:rFonts w:eastAsia="Times New Roman"/>
          <w:lang w:eastAsia="en-NZ"/>
        </w:rPr>
        <w:t xml:space="preserve"> </w:t>
      </w:r>
      <w:r w:rsidR="00CF4A69" w:rsidRPr="00BB6220">
        <w:rPr>
          <w:rFonts w:eastAsia="Times New Roman"/>
          <w:lang w:eastAsia="en-NZ"/>
        </w:rPr>
        <w:t>judging</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community</w:t>
      </w:r>
      <w:r w:rsidR="003D640C">
        <w:rPr>
          <w:rFonts w:eastAsia="Times New Roman"/>
          <w:lang w:eastAsia="en-NZ"/>
        </w:rPr>
        <w:t xml:space="preserve"> </w:t>
      </w:r>
      <w:r w:rsidR="00CF4A69" w:rsidRPr="00BB6220">
        <w:rPr>
          <w:rFonts w:eastAsia="Times New Roman"/>
          <w:lang w:eastAsia="en-NZ"/>
        </w:rPr>
        <w:t>and</w:t>
      </w:r>
      <w:r w:rsidR="003D640C">
        <w:rPr>
          <w:rFonts w:eastAsia="Times New Roman"/>
          <w:lang w:eastAsia="en-NZ"/>
        </w:rPr>
        <w:t xml:space="preserve"> </w:t>
      </w:r>
      <w:r w:rsidR="00CF4A69" w:rsidRPr="00BB6220">
        <w:rPr>
          <w:rFonts w:eastAsia="Times New Roman"/>
          <w:lang w:eastAsia="en-NZ"/>
        </w:rPr>
        <w:t>family</w:t>
      </w:r>
      <w:r w:rsidR="003D640C">
        <w:rPr>
          <w:rFonts w:eastAsia="Times New Roman"/>
          <w:lang w:eastAsia="en-NZ"/>
        </w:rPr>
        <w:t xml:space="preserve"> </w:t>
      </w:r>
      <w:r w:rsidR="00CF4A69" w:rsidRPr="00BB6220">
        <w:rPr>
          <w:rFonts w:eastAsia="Times New Roman"/>
          <w:lang w:eastAsia="en-NZ"/>
        </w:rPr>
        <w:t>from</w:t>
      </w:r>
      <w:r w:rsidR="003D640C">
        <w:rPr>
          <w:rFonts w:eastAsia="Times New Roman"/>
          <w:lang w:eastAsia="en-NZ"/>
        </w:rPr>
        <w:t xml:space="preserve"> </w:t>
      </w:r>
      <w:r w:rsidR="00CF4A69" w:rsidRPr="00BB6220">
        <w:rPr>
          <w:rFonts w:eastAsia="Times New Roman"/>
          <w:lang w:eastAsia="en-NZ"/>
        </w:rPr>
        <w:t>which</w:t>
      </w:r>
      <w:r w:rsidR="003D640C">
        <w:rPr>
          <w:rFonts w:eastAsia="Times New Roman"/>
          <w:lang w:eastAsia="en-NZ"/>
        </w:rPr>
        <w:t xml:space="preserve"> </w:t>
      </w:r>
      <w:r w:rsidR="00CF4A69" w:rsidRPr="00BB6220">
        <w:rPr>
          <w:rFonts w:eastAsia="Times New Roman"/>
          <w:lang w:eastAsia="en-NZ"/>
        </w:rPr>
        <w:t>he</w:t>
      </w:r>
      <w:r w:rsidR="003D640C">
        <w:rPr>
          <w:rFonts w:eastAsia="Times New Roman"/>
          <w:lang w:eastAsia="en-NZ"/>
        </w:rPr>
        <w:t xml:space="preserve"> </w:t>
      </w:r>
      <w:r w:rsidR="00CF4A69" w:rsidRPr="00BB6220">
        <w:rPr>
          <w:rFonts w:eastAsia="Times New Roman"/>
          <w:lang w:eastAsia="en-NZ"/>
        </w:rPr>
        <w:t>came,</w:t>
      </w:r>
      <w:r w:rsidR="003D640C">
        <w:rPr>
          <w:rFonts w:eastAsia="Times New Roman"/>
          <w:lang w:eastAsia="en-NZ"/>
        </w:rPr>
        <w:t xml:space="preserve"> </w:t>
      </w:r>
      <w:r w:rsidR="00CF4A69" w:rsidRPr="00BB6220">
        <w:rPr>
          <w:rFonts w:eastAsia="Times New Roman"/>
          <w:lang w:eastAsia="en-NZ"/>
        </w:rPr>
        <w:t>and</w:t>
      </w:r>
      <w:r w:rsidR="003D640C">
        <w:rPr>
          <w:rFonts w:eastAsia="Times New Roman"/>
          <w:lang w:eastAsia="en-NZ"/>
        </w:rPr>
        <w:t xml:space="preserve"> </w:t>
      </w:r>
      <w:r w:rsidR="00CF4A69" w:rsidRPr="00BB6220">
        <w:rPr>
          <w:rFonts w:eastAsia="Times New Roman"/>
          <w:lang w:eastAsia="en-NZ"/>
        </w:rPr>
        <w:t>I</w:t>
      </w:r>
      <w:r w:rsidR="003D640C">
        <w:rPr>
          <w:rFonts w:eastAsia="Times New Roman"/>
          <w:lang w:eastAsia="en-NZ"/>
        </w:rPr>
        <w:t xml:space="preserve"> </w:t>
      </w:r>
      <w:r w:rsidR="00CF4A69" w:rsidRPr="00BB6220">
        <w:rPr>
          <w:rFonts w:eastAsia="Times New Roman"/>
          <w:lang w:eastAsia="en-NZ"/>
        </w:rPr>
        <w:t>rushed</w:t>
      </w:r>
      <w:r w:rsidR="003D640C">
        <w:rPr>
          <w:rFonts w:eastAsia="Times New Roman"/>
          <w:lang w:eastAsia="en-NZ"/>
        </w:rPr>
        <w:t xml:space="preserve"> </w:t>
      </w:r>
      <w:r w:rsidR="00CF4A69" w:rsidRPr="00BB6220">
        <w:rPr>
          <w:rFonts w:eastAsia="Times New Roman"/>
          <w:lang w:eastAsia="en-NZ"/>
        </w:rPr>
        <w:t>to</w:t>
      </w:r>
      <w:r w:rsidR="003D640C">
        <w:rPr>
          <w:rFonts w:eastAsia="Times New Roman"/>
          <w:lang w:eastAsia="en-NZ"/>
        </w:rPr>
        <w:t xml:space="preserve"> </w:t>
      </w:r>
      <w:r w:rsidR="00CF4A69" w:rsidRPr="00BB6220">
        <w:rPr>
          <w:rFonts w:eastAsia="Times New Roman"/>
          <w:lang w:eastAsia="en-NZ"/>
        </w:rPr>
        <w:t>reassure</w:t>
      </w:r>
      <w:r w:rsidR="003D640C">
        <w:rPr>
          <w:rFonts w:eastAsia="Times New Roman"/>
          <w:lang w:eastAsia="en-NZ"/>
        </w:rPr>
        <w:t xml:space="preserve"> </w:t>
      </w:r>
      <w:r w:rsidR="00CF4A69" w:rsidRPr="00BB6220">
        <w:rPr>
          <w:rFonts w:eastAsia="Times New Roman"/>
          <w:lang w:eastAsia="en-NZ"/>
        </w:rPr>
        <w:t>him</w:t>
      </w:r>
      <w:r w:rsidR="003D640C">
        <w:rPr>
          <w:rFonts w:eastAsia="Times New Roman"/>
          <w:lang w:eastAsia="en-NZ"/>
        </w:rPr>
        <w:t xml:space="preserve"> </w:t>
      </w:r>
      <w:r w:rsidR="00CF4A69" w:rsidRPr="00BB6220">
        <w:rPr>
          <w:rFonts w:eastAsia="Times New Roman"/>
          <w:lang w:eastAsia="en-NZ"/>
        </w:rPr>
        <w:t>that</w:t>
      </w:r>
      <w:r w:rsidR="003D640C">
        <w:rPr>
          <w:rFonts w:eastAsia="Times New Roman"/>
          <w:lang w:eastAsia="en-NZ"/>
        </w:rPr>
        <w:t xml:space="preserve"> </w:t>
      </w:r>
      <w:r w:rsidR="00CF4A69" w:rsidRPr="00BB6220">
        <w:rPr>
          <w:rFonts w:eastAsia="Times New Roman"/>
          <w:lang w:eastAsia="en-NZ"/>
        </w:rPr>
        <w:t>he</w:t>
      </w:r>
      <w:r w:rsidR="003D640C">
        <w:rPr>
          <w:rFonts w:eastAsia="Times New Roman"/>
          <w:lang w:eastAsia="en-NZ"/>
        </w:rPr>
        <w:t xml:space="preserve"> </w:t>
      </w:r>
      <w:r w:rsidR="00CF4A69" w:rsidRPr="00BB6220">
        <w:rPr>
          <w:rFonts w:eastAsia="Times New Roman"/>
          <w:lang w:eastAsia="en-NZ"/>
        </w:rPr>
        <w:t>had</w:t>
      </w:r>
      <w:r w:rsidR="003D640C">
        <w:rPr>
          <w:rFonts w:eastAsia="Times New Roman"/>
          <w:lang w:eastAsia="en-NZ"/>
        </w:rPr>
        <w:t xml:space="preserve"> </w:t>
      </w:r>
      <w:r w:rsidR="00CF4A69" w:rsidRPr="00BB6220">
        <w:rPr>
          <w:rFonts w:eastAsia="Times New Roman"/>
          <w:lang w:eastAsia="en-NZ"/>
        </w:rPr>
        <w:t>a</w:t>
      </w:r>
      <w:r w:rsidR="003D640C">
        <w:rPr>
          <w:rFonts w:eastAsia="Times New Roman"/>
          <w:lang w:eastAsia="en-NZ"/>
        </w:rPr>
        <w:t xml:space="preserve"> </w:t>
      </w:r>
      <w:r w:rsidR="00CF4A69" w:rsidRPr="00BB6220">
        <w:rPr>
          <w:rFonts w:eastAsia="Times New Roman"/>
          <w:lang w:eastAsia="en-NZ"/>
        </w:rPr>
        <w:t>place</w:t>
      </w:r>
      <w:r w:rsidR="003D640C">
        <w:rPr>
          <w:rFonts w:eastAsia="Times New Roman"/>
          <w:lang w:eastAsia="en-NZ"/>
        </w:rPr>
        <w:t xml:space="preserve"> </w:t>
      </w:r>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LGBT</w:t>
      </w:r>
      <w:r w:rsidR="003D640C">
        <w:rPr>
          <w:rFonts w:eastAsia="Times New Roman"/>
          <w:lang w:eastAsia="en-NZ"/>
        </w:rPr>
        <w:t xml:space="preserve"> </w:t>
      </w:r>
      <w:r w:rsidR="00CF4A69" w:rsidRPr="00BB6220">
        <w:rPr>
          <w:rFonts w:eastAsia="Times New Roman"/>
          <w:lang w:eastAsia="en-NZ"/>
        </w:rPr>
        <w:t>community.</w:t>
      </w:r>
      <w:r w:rsidR="003D640C">
        <w:rPr>
          <w:rFonts w:eastAsia="Times New Roman"/>
          <w:lang w:eastAsia="en-NZ"/>
        </w:rPr>
        <w:t xml:space="preserve"> </w:t>
      </w:r>
      <w:r w:rsidR="00CF4A69" w:rsidRPr="00BB6220">
        <w:rPr>
          <w:rFonts w:eastAsia="Times New Roman"/>
          <w:lang w:eastAsia="en-NZ"/>
        </w:rPr>
        <w:t>As</w:t>
      </w:r>
      <w:r w:rsidR="003D640C">
        <w:rPr>
          <w:rFonts w:eastAsia="Times New Roman"/>
          <w:lang w:eastAsia="en-NZ"/>
        </w:rPr>
        <w:t xml:space="preserve"> </w:t>
      </w:r>
      <w:r w:rsidR="00CF4A69" w:rsidRPr="00BB6220">
        <w:rPr>
          <w:rFonts w:eastAsia="Times New Roman"/>
          <w:lang w:eastAsia="en-NZ"/>
        </w:rPr>
        <w:t>discussed,</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literature</w:t>
      </w:r>
      <w:r w:rsidR="003D640C">
        <w:rPr>
          <w:rFonts w:eastAsia="Times New Roman"/>
          <w:lang w:eastAsia="en-NZ"/>
        </w:rPr>
        <w:t xml:space="preserve"> </w:t>
      </w:r>
      <w:r w:rsidR="00CF4A69" w:rsidRPr="00BB6220">
        <w:rPr>
          <w:rFonts w:eastAsia="Times New Roman"/>
          <w:lang w:eastAsia="en-NZ"/>
        </w:rPr>
        <w:t>reveals</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danger</w:t>
      </w:r>
      <w:r w:rsidR="003D640C">
        <w:rPr>
          <w:rFonts w:eastAsia="Times New Roman"/>
          <w:lang w:eastAsia="en-NZ"/>
        </w:rPr>
        <w:t xml:space="preserve"> </w:t>
      </w:r>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using</w:t>
      </w:r>
      <w:r w:rsidR="003D640C">
        <w:rPr>
          <w:rFonts w:eastAsia="Times New Roman"/>
          <w:lang w:eastAsia="en-NZ"/>
        </w:rPr>
        <w:t xml:space="preserve"> </w:t>
      </w:r>
      <w:r w:rsidR="00CF4A69" w:rsidRPr="00BB6220">
        <w:rPr>
          <w:rFonts w:eastAsia="Times New Roman"/>
          <w:lang w:eastAsia="en-NZ"/>
        </w:rPr>
        <w:t>such</w:t>
      </w:r>
      <w:r w:rsidR="003D640C">
        <w:rPr>
          <w:rFonts w:eastAsia="Times New Roman"/>
          <w:lang w:eastAsia="en-NZ"/>
        </w:rPr>
        <w:t xml:space="preserve"> </w:t>
      </w:r>
      <w:r w:rsidR="00CF4A69" w:rsidRPr="00BB6220">
        <w:rPr>
          <w:rFonts w:eastAsia="Times New Roman"/>
          <w:lang w:eastAsia="en-NZ"/>
        </w:rPr>
        <w:t>a</w:t>
      </w:r>
      <w:r w:rsidR="003D640C">
        <w:rPr>
          <w:rFonts w:eastAsia="Times New Roman"/>
          <w:lang w:eastAsia="en-NZ"/>
        </w:rPr>
        <w:t xml:space="preserve"> </w:t>
      </w:r>
      <w:r w:rsidR="00CF4A69" w:rsidRPr="00BB6220">
        <w:rPr>
          <w:rFonts w:eastAsia="Times New Roman"/>
          <w:lang w:eastAsia="en-NZ"/>
        </w:rPr>
        <w:t>tactic.</w:t>
      </w:r>
      <w:r w:rsidR="003D640C">
        <w:rPr>
          <w:rFonts w:eastAsia="Times New Roman"/>
          <w:lang w:eastAsia="en-NZ"/>
        </w:rPr>
        <w:t xml:space="preserve"> </w:t>
      </w:r>
      <w:r w:rsidR="00CF4A69" w:rsidRPr="00BB6220">
        <w:rPr>
          <w:rFonts w:eastAsia="Times New Roman"/>
          <w:lang w:eastAsia="en-NZ"/>
        </w:rPr>
        <w:t>In</w:t>
      </w:r>
      <w:r w:rsidR="003D640C">
        <w:rPr>
          <w:rFonts w:eastAsia="Times New Roman"/>
          <w:lang w:eastAsia="en-NZ"/>
        </w:rPr>
        <w:t xml:space="preserve"> </w:t>
      </w:r>
      <w:r w:rsidR="00CF4A69" w:rsidRPr="00BB6220">
        <w:rPr>
          <w:rFonts w:eastAsia="Times New Roman"/>
          <w:lang w:eastAsia="en-NZ"/>
        </w:rPr>
        <w:t>my</w:t>
      </w:r>
      <w:r w:rsidR="003D640C">
        <w:rPr>
          <w:rFonts w:eastAsia="Times New Roman"/>
          <w:lang w:eastAsia="en-NZ"/>
        </w:rPr>
        <w:t xml:space="preserve"> </w:t>
      </w:r>
      <w:r w:rsidR="00CF4A69" w:rsidRPr="00BB6220">
        <w:rPr>
          <w:rFonts w:eastAsia="Times New Roman"/>
          <w:lang w:eastAsia="en-NZ"/>
        </w:rPr>
        <w:t>concern</w:t>
      </w:r>
      <w:r w:rsidR="003D640C">
        <w:rPr>
          <w:rFonts w:eastAsia="Times New Roman"/>
          <w:lang w:eastAsia="en-NZ"/>
        </w:rPr>
        <w:t xml:space="preserve"> </w:t>
      </w:r>
      <w:r w:rsidR="00CF4A69" w:rsidRPr="00BB6220">
        <w:rPr>
          <w:rFonts w:eastAsia="Times New Roman"/>
          <w:lang w:eastAsia="en-NZ"/>
        </w:rPr>
        <w:t>for</w:t>
      </w:r>
      <w:r w:rsidR="003D640C">
        <w:rPr>
          <w:rFonts w:eastAsia="Times New Roman"/>
          <w:lang w:eastAsia="en-NZ"/>
        </w:rPr>
        <w:t xml:space="preserve"> </w:t>
      </w:r>
      <w:r w:rsidR="00CF4A69" w:rsidRPr="00BB6220">
        <w:rPr>
          <w:rFonts w:eastAsia="Times New Roman"/>
          <w:lang w:eastAsia="en-NZ"/>
        </w:rPr>
        <w:t>his</w:t>
      </w:r>
      <w:r w:rsidR="003D640C">
        <w:rPr>
          <w:rFonts w:eastAsia="Times New Roman"/>
          <w:lang w:eastAsia="en-NZ"/>
        </w:rPr>
        <w:t xml:space="preserve"> </w:t>
      </w:r>
      <w:r w:rsidR="00CF4A69" w:rsidRPr="00BB6220">
        <w:rPr>
          <w:rFonts w:eastAsia="Times New Roman"/>
          <w:lang w:eastAsia="en-NZ"/>
        </w:rPr>
        <w:t>wellbeing,</w:t>
      </w:r>
      <w:r w:rsidR="003D640C">
        <w:rPr>
          <w:rFonts w:eastAsia="Times New Roman"/>
          <w:lang w:eastAsia="en-NZ"/>
        </w:rPr>
        <w:t xml:space="preserve"> </w:t>
      </w:r>
      <w:r w:rsidR="00CF4A69" w:rsidRPr="00BB6220">
        <w:rPr>
          <w:rFonts w:eastAsia="Times New Roman"/>
          <w:lang w:eastAsia="en-NZ"/>
        </w:rPr>
        <w:t>I</w:t>
      </w:r>
      <w:r w:rsidR="003D640C">
        <w:rPr>
          <w:rFonts w:eastAsia="Times New Roman"/>
          <w:lang w:eastAsia="en-NZ"/>
        </w:rPr>
        <w:t xml:space="preserve"> </w:t>
      </w:r>
      <w:r w:rsidR="00CF4A69" w:rsidRPr="00BB6220">
        <w:rPr>
          <w:rFonts w:eastAsia="Times New Roman"/>
          <w:lang w:eastAsia="en-NZ"/>
        </w:rPr>
        <w:t>was</w:t>
      </w:r>
      <w:r w:rsidR="003D640C">
        <w:rPr>
          <w:rFonts w:eastAsia="Times New Roman"/>
          <w:lang w:eastAsia="en-NZ"/>
        </w:rPr>
        <w:t xml:space="preserve"> </w:t>
      </w:r>
      <w:r w:rsidR="00CF4A69" w:rsidRPr="00BB6220">
        <w:rPr>
          <w:rFonts w:eastAsia="Times New Roman"/>
          <w:lang w:eastAsia="en-NZ"/>
        </w:rPr>
        <w:t>extremely</w:t>
      </w:r>
      <w:r w:rsidR="003D640C">
        <w:rPr>
          <w:rFonts w:eastAsia="Times New Roman"/>
          <w:lang w:eastAsia="en-NZ"/>
        </w:rPr>
        <w:t xml:space="preserve"> </w:t>
      </w:r>
      <w:r w:rsidR="00CF4A69" w:rsidRPr="00BB6220">
        <w:rPr>
          <w:rFonts w:eastAsia="Times New Roman"/>
          <w:lang w:eastAsia="en-NZ"/>
        </w:rPr>
        <w:t>eager</w:t>
      </w:r>
      <w:r w:rsidR="003D640C">
        <w:rPr>
          <w:rFonts w:eastAsia="Times New Roman"/>
          <w:lang w:eastAsia="en-NZ"/>
        </w:rPr>
        <w:t xml:space="preserve"> </w:t>
      </w:r>
      <w:r w:rsidR="00CF4A69" w:rsidRPr="00BB6220">
        <w:rPr>
          <w:rFonts w:eastAsia="Times New Roman"/>
          <w:lang w:eastAsia="en-NZ"/>
        </w:rPr>
        <w:t>to</w:t>
      </w:r>
      <w:r w:rsidR="003D640C">
        <w:rPr>
          <w:rFonts w:eastAsia="Times New Roman"/>
          <w:lang w:eastAsia="en-NZ"/>
        </w:rPr>
        <w:t xml:space="preserve"> </w:t>
      </w:r>
      <w:r w:rsidR="00CF4A69" w:rsidRPr="00BB6220">
        <w:rPr>
          <w:rFonts w:eastAsia="Times New Roman"/>
          <w:lang w:eastAsia="en-NZ"/>
        </w:rPr>
        <w:t>whisk</w:t>
      </w:r>
      <w:r w:rsidR="003D640C">
        <w:rPr>
          <w:rFonts w:eastAsia="Times New Roman"/>
          <w:lang w:eastAsia="en-NZ"/>
        </w:rPr>
        <w:t xml:space="preserve"> </w:t>
      </w:r>
      <w:r w:rsidR="00CF4A69" w:rsidRPr="00BB6220">
        <w:rPr>
          <w:rFonts w:eastAsia="Times New Roman"/>
          <w:lang w:eastAsia="en-NZ"/>
        </w:rPr>
        <w:t>him</w:t>
      </w:r>
      <w:r w:rsidR="003D640C">
        <w:rPr>
          <w:rFonts w:eastAsia="Times New Roman"/>
          <w:lang w:eastAsia="en-NZ"/>
        </w:rPr>
        <w:t xml:space="preserve"> </w:t>
      </w:r>
      <w:r w:rsidR="00CF4A69" w:rsidRPr="00BB6220">
        <w:rPr>
          <w:rFonts w:eastAsia="Times New Roman"/>
          <w:lang w:eastAsia="en-NZ"/>
        </w:rPr>
        <w:t>away</w:t>
      </w:r>
      <w:r w:rsidR="003D640C">
        <w:rPr>
          <w:rFonts w:eastAsia="Times New Roman"/>
          <w:lang w:eastAsia="en-NZ"/>
        </w:rPr>
        <w:t xml:space="preserve"> </w:t>
      </w:r>
      <w:r w:rsidR="00CF4A69" w:rsidRPr="00BB6220">
        <w:rPr>
          <w:rFonts w:eastAsia="Times New Roman"/>
          <w:lang w:eastAsia="en-NZ"/>
        </w:rPr>
        <w:t>from</w:t>
      </w:r>
      <w:r w:rsidR="003D640C">
        <w:rPr>
          <w:rFonts w:eastAsia="Times New Roman"/>
          <w:lang w:eastAsia="en-NZ"/>
        </w:rPr>
        <w:t xml:space="preserve"> </w:t>
      </w:r>
      <w:r w:rsidR="00CF4A69" w:rsidRPr="00BB6220">
        <w:rPr>
          <w:rFonts w:eastAsia="Times New Roman"/>
          <w:lang w:eastAsia="en-NZ"/>
        </w:rPr>
        <w:t>his</w:t>
      </w:r>
      <w:r w:rsidR="003D640C">
        <w:rPr>
          <w:rFonts w:eastAsia="Times New Roman"/>
          <w:lang w:eastAsia="en-NZ"/>
        </w:rPr>
        <w:t xml:space="preserve"> </w:t>
      </w:r>
      <w:r w:rsidR="00CF4A69" w:rsidRPr="00BB6220">
        <w:rPr>
          <w:rFonts w:eastAsia="Times New Roman"/>
          <w:lang w:eastAsia="en-NZ"/>
        </w:rPr>
        <w:t>abusive</w:t>
      </w:r>
      <w:r w:rsidR="003D640C">
        <w:rPr>
          <w:rFonts w:eastAsia="Times New Roman"/>
          <w:lang w:eastAsia="en-NZ"/>
        </w:rPr>
        <w:t xml:space="preserve"> </w:t>
      </w:r>
      <w:r w:rsidR="00CF4A69" w:rsidRPr="00BB6220">
        <w:rPr>
          <w:rFonts w:eastAsia="Times New Roman"/>
          <w:lang w:eastAsia="en-NZ"/>
        </w:rPr>
        <w:t>family</w:t>
      </w:r>
      <w:r w:rsidR="003D640C">
        <w:rPr>
          <w:rFonts w:eastAsia="Times New Roman"/>
          <w:lang w:eastAsia="en-NZ"/>
        </w:rPr>
        <w:t xml:space="preserve"> </w:t>
      </w:r>
      <w:r w:rsidR="00CF4A69" w:rsidRPr="00BB6220">
        <w:rPr>
          <w:rFonts w:eastAsia="Times New Roman"/>
          <w:lang w:eastAsia="en-NZ"/>
        </w:rPr>
        <w:t>and</w:t>
      </w:r>
      <w:r w:rsidR="003D640C">
        <w:rPr>
          <w:rFonts w:eastAsia="Times New Roman"/>
          <w:lang w:eastAsia="en-NZ"/>
        </w:rPr>
        <w:t xml:space="preserve"> </w:t>
      </w:r>
      <w:r w:rsidR="00CF4A69" w:rsidRPr="00BB6220">
        <w:rPr>
          <w:rFonts w:eastAsia="Times New Roman"/>
          <w:lang w:eastAsia="en-NZ"/>
        </w:rPr>
        <w:t>community</w:t>
      </w:r>
      <w:r w:rsidR="003D640C">
        <w:rPr>
          <w:rFonts w:eastAsia="Times New Roman"/>
          <w:lang w:eastAsia="en-NZ"/>
        </w:rPr>
        <w:t xml:space="preserve"> </w:t>
      </w:r>
      <w:r w:rsidR="00CF4A69" w:rsidRPr="00BB6220">
        <w:rPr>
          <w:rFonts w:eastAsia="Times New Roman"/>
          <w:lang w:eastAsia="en-NZ"/>
        </w:rPr>
        <w:t>into</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LGBT</w:t>
      </w:r>
      <w:r w:rsidR="003D640C">
        <w:rPr>
          <w:rFonts w:eastAsia="Times New Roman"/>
          <w:lang w:eastAsia="en-NZ"/>
        </w:rPr>
        <w:t xml:space="preserve"> </w:t>
      </w:r>
      <w:r w:rsidR="00CF4A69" w:rsidRPr="00BB6220">
        <w:rPr>
          <w:rFonts w:eastAsia="Times New Roman"/>
          <w:lang w:eastAsia="en-NZ"/>
        </w:rPr>
        <w:t>community</w:t>
      </w:r>
      <w:r w:rsidR="003D640C">
        <w:rPr>
          <w:rFonts w:eastAsia="Times New Roman"/>
          <w:lang w:eastAsia="en-NZ"/>
        </w:rPr>
        <w:t xml:space="preserve"> </w:t>
      </w:r>
      <w:r w:rsidR="00CF4A69" w:rsidRPr="00BB6220">
        <w:rPr>
          <w:rFonts w:eastAsia="Times New Roman"/>
          <w:lang w:eastAsia="en-NZ"/>
        </w:rPr>
        <w:t>with</w:t>
      </w:r>
      <w:r w:rsidR="003D640C">
        <w:rPr>
          <w:rFonts w:eastAsia="Times New Roman"/>
          <w:lang w:eastAsia="en-NZ"/>
        </w:rPr>
        <w:t xml:space="preserve"> </w:t>
      </w:r>
      <w:r w:rsidR="00CF4A69" w:rsidRPr="00BB6220">
        <w:rPr>
          <w:rFonts w:eastAsia="Times New Roman"/>
          <w:lang w:eastAsia="en-NZ"/>
        </w:rPr>
        <w:t>which</w:t>
      </w:r>
      <w:r w:rsidR="003D640C">
        <w:rPr>
          <w:rFonts w:eastAsia="Times New Roman"/>
          <w:lang w:eastAsia="en-NZ"/>
        </w:rPr>
        <w:t xml:space="preserve"> </w:t>
      </w:r>
      <w:r w:rsidR="00CF4A69" w:rsidRPr="00BB6220">
        <w:rPr>
          <w:rFonts w:eastAsia="Times New Roman"/>
          <w:lang w:eastAsia="en-NZ"/>
        </w:rPr>
        <w:t>he</w:t>
      </w:r>
      <w:r w:rsidR="003D640C">
        <w:rPr>
          <w:rFonts w:eastAsia="Times New Roman"/>
          <w:lang w:eastAsia="en-NZ"/>
        </w:rPr>
        <w:t xml:space="preserve"> </w:t>
      </w:r>
      <w:r w:rsidR="00CF4A69" w:rsidRPr="00BB6220">
        <w:rPr>
          <w:rFonts w:eastAsia="Times New Roman"/>
          <w:lang w:eastAsia="en-NZ"/>
        </w:rPr>
        <w:t>may</w:t>
      </w:r>
      <w:r w:rsidR="003D640C">
        <w:rPr>
          <w:rFonts w:eastAsia="Times New Roman"/>
          <w:lang w:eastAsia="en-NZ"/>
        </w:rPr>
        <w:t xml:space="preserve"> </w:t>
      </w:r>
      <w:r w:rsidR="00CF4A69" w:rsidRPr="00BB6220">
        <w:rPr>
          <w:rFonts w:eastAsia="Times New Roman"/>
          <w:lang w:eastAsia="en-NZ"/>
        </w:rPr>
        <w:t>not</w:t>
      </w:r>
      <w:r w:rsidR="003D640C">
        <w:rPr>
          <w:rFonts w:eastAsia="Times New Roman"/>
          <w:lang w:eastAsia="en-NZ"/>
        </w:rPr>
        <w:t xml:space="preserve"> </w:t>
      </w:r>
      <w:r w:rsidR="00CF4A69" w:rsidRPr="00BB6220">
        <w:rPr>
          <w:rFonts w:eastAsia="Times New Roman"/>
          <w:lang w:eastAsia="en-NZ"/>
        </w:rPr>
        <w:t>yet,</w:t>
      </w:r>
      <w:r w:rsidR="003D640C">
        <w:rPr>
          <w:rFonts w:eastAsia="Times New Roman"/>
          <w:lang w:eastAsia="en-NZ"/>
        </w:rPr>
        <w:t xml:space="preserve"> </w:t>
      </w:r>
      <w:r w:rsidR="00CF4A69" w:rsidRPr="00BB6220">
        <w:rPr>
          <w:rFonts w:eastAsia="Times New Roman"/>
          <w:lang w:eastAsia="en-NZ"/>
        </w:rPr>
        <w:t>or</w:t>
      </w:r>
      <w:r w:rsidR="003D640C">
        <w:rPr>
          <w:rFonts w:eastAsia="Times New Roman"/>
          <w:lang w:eastAsia="en-NZ"/>
        </w:rPr>
        <w:t xml:space="preserve"> </w:t>
      </w:r>
      <w:r w:rsidR="00CF4A69" w:rsidRPr="00BB6220">
        <w:rPr>
          <w:rFonts w:eastAsia="Times New Roman"/>
          <w:lang w:eastAsia="en-NZ"/>
        </w:rPr>
        <w:t>ever,</w:t>
      </w:r>
      <w:r w:rsidR="003D640C">
        <w:rPr>
          <w:rFonts w:eastAsia="Times New Roman"/>
          <w:lang w:eastAsia="en-NZ"/>
        </w:rPr>
        <w:t xml:space="preserve"> </w:t>
      </w:r>
      <w:r w:rsidR="00CF4A69" w:rsidRPr="00BB6220">
        <w:rPr>
          <w:rFonts w:eastAsia="Times New Roman"/>
          <w:lang w:eastAsia="en-NZ"/>
        </w:rPr>
        <w:t>identify.</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outrage</w:t>
      </w:r>
      <w:r w:rsidR="003D640C">
        <w:rPr>
          <w:rFonts w:eastAsia="Times New Roman"/>
          <w:lang w:eastAsia="en-NZ"/>
        </w:rPr>
        <w:t xml:space="preserve"> </w:t>
      </w:r>
      <w:r w:rsidR="00CF4A69" w:rsidRPr="00BB6220">
        <w:rPr>
          <w:rFonts w:eastAsia="Times New Roman"/>
          <w:lang w:eastAsia="en-NZ"/>
        </w:rPr>
        <w:t>one</w:t>
      </w:r>
      <w:r w:rsidR="003D640C">
        <w:rPr>
          <w:rFonts w:eastAsia="Times New Roman"/>
          <w:lang w:eastAsia="en-NZ"/>
        </w:rPr>
        <w:t xml:space="preserve"> </w:t>
      </w:r>
      <w:r w:rsidR="00CF4A69" w:rsidRPr="00BB6220">
        <w:rPr>
          <w:rFonts w:eastAsia="Times New Roman"/>
          <w:lang w:eastAsia="en-NZ"/>
        </w:rPr>
        <w:t>feels</w:t>
      </w:r>
      <w:r w:rsidR="003D640C">
        <w:rPr>
          <w:rFonts w:eastAsia="Times New Roman"/>
          <w:lang w:eastAsia="en-NZ"/>
        </w:rPr>
        <w:t xml:space="preserve"> </w:t>
      </w:r>
      <w:r w:rsidR="00CF4A69" w:rsidRPr="00BB6220">
        <w:rPr>
          <w:rFonts w:eastAsia="Times New Roman"/>
          <w:lang w:eastAsia="en-NZ"/>
        </w:rPr>
        <w:t>for</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devastating</w:t>
      </w:r>
      <w:r w:rsidR="003D640C">
        <w:rPr>
          <w:rFonts w:eastAsia="Times New Roman"/>
          <w:lang w:eastAsia="en-NZ"/>
        </w:rPr>
        <w:t xml:space="preserve"> </w:t>
      </w:r>
      <w:r w:rsidR="00CF4A69" w:rsidRPr="00BB6220">
        <w:rPr>
          <w:rFonts w:eastAsia="Times New Roman"/>
          <w:lang w:eastAsia="en-NZ"/>
        </w:rPr>
        <w:t>effects</w:t>
      </w:r>
      <w:r w:rsidR="003D640C">
        <w:rPr>
          <w:rFonts w:eastAsia="Times New Roman"/>
          <w:lang w:eastAsia="en-NZ"/>
        </w:rPr>
        <w:t xml:space="preserve"> </w:t>
      </w:r>
      <w:r w:rsidR="00CF4A69" w:rsidRPr="00BB6220">
        <w:rPr>
          <w:rFonts w:eastAsia="Times New Roman"/>
          <w:lang w:eastAsia="en-NZ"/>
        </w:rPr>
        <w:t>such</w:t>
      </w:r>
      <w:r w:rsidR="003D640C">
        <w:rPr>
          <w:rFonts w:eastAsia="Times New Roman"/>
          <w:lang w:eastAsia="en-NZ"/>
        </w:rPr>
        <w:t xml:space="preserve"> </w:t>
      </w:r>
      <w:r w:rsidR="00CF4A69" w:rsidRPr="00BB6220">
        <w:rPr>
          <w:rFonts w:eastAsia="Times New Roman"/>
          <w:lang w:eastAsia="en-NZ"/>
        </w:rPr>
        <w:t>overt</w:t>
      </w:r>
      <w:r w:rsidR="003D640C">
        <w:rPr>
          <w:rFonts w:eastAsia="Times New Roman"/>
          <w:lang w:eastAsia="en-NZ"/>
        </w:rPr>
        <w:t xml:space="preserve"> </w:t>
      </w:r>
      <w:r w:rsidR="00CF4A69" w:rsidRPr="00BB6220">
        <w:rPr>
          <w:rFonts w:eastAsia="Times New Roman"/>
          <w:lang w:eastAsia="en-NZ"/>
        </w:rPr>
        <w:t>hate</w:t>
      </w:r>
      <w:r w:rsidR="003D640C">
        <w:rPr>
          <w:rFonts w:eastAsia="Times New Roman"/>
          <w:lang w:eastAsia="en-NZ"/>
        </w:rPr>
        <w:t xml:space="preserve"> </w:t>
      </w:r>
      <w:r w:rsidR="00CF4A69" w:rsidRPr="00BB6220">
        <w:rPr>
          <w:rFonts w:eastAsia="Times New Roman"/>
          <w:lang w:eastAsia="en-NZ"/>
        </w:rPr>
        <w:t>and</w:t>
      </w:r>
      <w:r w:rsidR="003D640C">
        <w:rPr>
          <w:rFonts w:eastAsia="Times New Roman"/>
          <w:lang w:eastAsia="en-NZ"/>
        </w:rPr>
        <w:t xml:space="preserve"> </w:t>
      </w:r>
      <w:r w:rsidR="00CF4A69" w:rsidRPr="00BB6220">
        <w:rPr>
          <w:rFonts w:eastAsia="Times New Roman"/>
          <w:lang w:eastAsia="en-NZ"/>
        </w:rPr>
        <w:t>discrimination</w:t>
      </w:r>
      <w:r w:rsidR="003D640C">
        <w:rPr>
          <w:rFonts w:eastAsia="Times New Roman"/>
          <w:lang w:eastAsia="en-NZ"/>
        </w:rPr>
        <w:t xml:space="preserve"> </w:t>
      </w:r>
      <w:r w:rsidR="00CF4A69" w:rsidRPr="00BB6220">
        <w:rPr>
          <w:rFonts w:eastAsia="Times New Roman"/>
          <w:lang w:eastAsia="en-NZ"/>
        </w:rPr>
        <w:t>produce</w:t>
      </w:r>
      <w:r w:rsidR="003D640C">
        <w:rPr>
          <w:rFonts w:eastAsia="Times New Roman"/>
          <w:lang w:eastAsia="en-NZ"/>
        </w:rPr>
        <w:t xml:space="preserve"> </w:t>
      </w:r>
      <w:r w:rsidR="00CF4A69" w:rsidRPr="00BB6220">
        <w:rPr>
          <w:rFonts w:eastAsia="Times New Roman"/>
          <w:lang w:eastAsia="en-NZ"/>
        </w:rPr>
        <w:t>may</w:t>
      </w:r>
      <w:r w:rsidR="003D640C">
        <w:rPr>
          <w:rFonts w:eastAsia="Times New Roman"/>
          <w:lang w:eastAsia="en-NZ"/>
        </w:rPr>
        <w:t xml:space="preserve"> </w:t>
      </w:r>
      <w:r w:rsidR="00CF4A69" w:rsidRPr="00BB6220">
        <w:rPr>
          <w:rFonts w:eastAsia="Times New Roman"/>
          <w:lang w:eastAsia="en-NZ"/>
        </w:rPr>
        <w:t>be</w:t>
      </w:r>
      <w:r w:rsidR="003D640C">
        <w:rPr>
          <w:rFonts w:eastAsia="Times New Roman"/>
          <w:lang w:eastAsia="en-NZ"/>
        </w:rPr>
        <w:t xml:space="preserve"> </w:t>
      </w:r>
      <w:r w:rsidR="00CF4A69" w:rsidRPr="00BB6220">
        <w:rPr>
          <w:rFonts w:eastAsia="Times New Roman"/>
          <w:lang w:eastAsia="en-NZ"/>
        </w:rPr>
        <w:t>one</w:t>
      </w:r>
      <w:r w:rsidR="003D640C">
        <w:rPr>
          <w:rFonts w:eastAsia="Times New Roman"/>
          <w:lang w:eastAsia="en-NZ"/>
        </w:rPr>
        <w:t xml:space="preserve"> </w:t>
      </w:r>
      <w:r w:rsidR="00CF4A69" w:rsidRPr="00BB6220">
        <w:rPr>
          <w:rFonts w:eastAsia="Times New Roman"/>
          <w:lang w:eastAsia="en-NZ"/>
        </w:rPr>
        <w:t>of</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most</w:t>
      </w:r>
      <w:r w:rsidR="003D640C">
        <w:rPr>
          <w:rFonts w:eastAsia="Times New Roman"/>
          <w:lang w:eastAsia="en-NZ"/>
        </w:rPr>
        <w:t xml:space="preserve"> </w:t>
      </w:r>
      <w:r w:rsidR="00CF4A69" w:rsidRPr="00BB6220">
        <w:rPr>
          <w:rFonts w:eastAsia="Times New Roman"/>
          <w:lang w:eastAsia="en-NZ"/>
        </w:rPr>
        <w:t>difficult</w:t>
      </w:r>
      <w:r w:rsidR="003D640C">
        <w:rPr>
          <w:rFonts w:eastAsia="Times New Roman"/>
          <w:lang w:eastAsia="en-NZ"/>
        </w:rPr>
        <w:t xml:space="preserve"> </w:t>
      </w:r>
      <w:r w:rsidR="00CF4A69" w:rsidRPr="00BB6220">
        <w:rPr>
          <w:rFonts w:eastAsia="Times New Roman"/>
          <w:lang w:eastAsia="en-NZ"/>
        </w:rPr>
        <w:t>emotions</w:t>
      </w:r>
      <w:r w:rsidR="003D640C">
        <w:rPr>
          <w:rFonts w:eastAsia="Times New Roman"/>
          <w:lang w:eastAsia="en-NZ"/>
        </w:rPr>
        <w:t xml:space="preserve"> </w:t>
      </w:r>
      <w:r w:rsidR="00CF4A69" w:rsidRPr="00BB6220">
        <w:rPr>
          <w:rFonts w:eastAsia="Times New Roman"/>
          <w:lang w:eastAsia="en-NZ"/>
        </w:rPr>
        <w:t>for</w:t>
      </w:r>
      <w:r w:rsidR="003D640C">
        <w:rPr>
          <w:rFonts w:eastAsia="Times New Roman"/>
          <w:lang w:eastAsia="en-NZ"/>
        </w:rPr>
        <w:t xml:space="preserve"> </w:t>
      </w:r>
      <w:r w:rsidR="00CF4A69" w:rsidRPr="00BB6220">
        <w:rPr>
          <w:rFonts w:eastAsia="Times New Roman"/>
          <w:lang w:eastAsia="en-NZ"/>
        </w:rPr>
        <w:t>clinicians</w:t>
      </w:r>
      <w:r w:rsidR="003D640C">
        <w:rPr>
          <w:rFonts w:eastAsia="Times New Roman"/>
          <w:lang w:eastAsia="en-NZ"/>
        </w:rPr>
        <w:t xml:space="preserve"> </w:t>
      </w:r>
      <w:r w:rsidR="00CF4A69" w:rsidRPr="00BB6220">
        <w:rPr>
          <w:rFonts w:eastAsia="Times New Roman"/>
          <w:lang w:eastAsia="en-NZ"/>
        </w:rPr>
        <w:t>working</w:t>
      </w:r>
      <w:r w:rsidR="003D640C">
        <w:rPr>
          <w:rFonts w:eastAsia="Times New Roman"/>
          <w:lang w:eastAsia="en-NZ"/>
        </w:rPr>
        <w:t xml:space="preserve"> </w:t>
      </w:r>
      <w:r w:rsidR="00CF4A69" w:rsidRPr="00BB6220">
        <w:rPr>
          <w:rFonts w:eastAsia="Times New Roman"/>
          <w:lang w:eastAsia="en-NZ"/>
        </w:rPr>
        <w:t>with</w:t>
      </w:r>
      <w:r w:rsidR="003D640C">
        <w:rPr>
          <w:rFonts w:eastAsia="Times New Roman"/>
          <w:lang w:eastAsia="en-NZ"/>
        </w:rPr>
        <w:t xml:space="preserve"> </w:t>
      </w:r>
      <w:r w:rsidR="00CF4A69" w:rsidRPr="00BB6220">
        <w:rPr>
          <w:rFonts w:eastAsia="Times New Roman"/>
          <w:lang w:eastAsia="en-NZ"/>
        </w:rPr>
        <w:t>clients</w:t>
      </w:r>
      <w:r w:rsidR="003D640C">
        <w:rPr>
          <w:rFonts w:eastAsia="Times New Roman"/>
          <w:lang w:eastAsia="en-NZ"/>
        </w:rPr>
        <w:t xml:space="preserve"> </w:t>
      </w:r>
      <w:r w:rsidR="00CF4A69" w:rsidRPr="00BB6220">
        <w:rPr>
          <w:rFonts w:eastAsia="Times New Roman"/>
          <w:lang w:eastAsia="en-NZ"/>
        </w:rPr>
        <w:t>post-conversion</w:t>
      </w:r>
      <w:r w:rsidR="003D640C">
        <w:rPr>
          <w:rFonts w:eastAsia="Times New Roman"/>
          <w:lang w:eastAsia="en-NZ"/>
        </w:rPr>
        <w:t xml:space="preserve"> </w:t>
      </w:r>
      <w:r w:rsidR="00CF4A69" w:rsidRPr="00BB6220">
        <w:rPr>
          <w:rFonts w:eastAsia="Times New Roman"/>
          <w:lang w:eastAsia="en-NZ"/>
        </w:rPr>
        <w:t>therapy.</w:t>
      </w:r>
      <w:r w:rsidR="003D640C">
        <w:rPr>
          <w:rFonts w:eastAsia="Times New Roman"/>
          <w:lang w:eastAsia="en-NZ"/>
        </w:rPr>
        <w:t xml:space="preserve"> </w:t>
      </w:r>
      <w:r w:rsidR="00CF4A69" w:rsidRPr="00BB6220">
        <w:rPr>
          <w:rFonts w:eastAsia="Times New Roman"/>
          <w:lang w:eastAsia="en-NZ"/>
        </w:rPr>
        <w:t>It</w:t>
      </w:r>
      <w:r w:rsidR="003D640C">
        <w:rPr>
          <w:rFonts w:eastAsia="Times New Roman"/>
          <w:lang w:eastAsia="en-NZ"/>
        </w:rPr>
        <w:t xml:space="preserve"> </w:t>
      </w:r>
      <w:r w:rsidR="00CF4A69" w:rsidRPr="00BB6220">
        <w:rPr>
          <w:rFonts w:eastAsia="Times New Roman"/>
          <w:lang w:eastAsia="en-NZ"/>
        </w:rPr>
        <w:t>triggers</w:t>
      </w:r>
      <w:r w:rsidR="003D640C">
        <w:rPr>
          <w:rFonts w:eastAsia="Times New Roman"/>
          <w:lang w:eastAsia="en-NZ"/>
        </w:rPr>
        <w:t xml:space="preserve"> </w:t>
      </w:r>
      <w:r w:rsidR="00CF4A69" w:rsidRPr="00BB6220">
        <w:rPr>
          <w:rFonts w:eastAsia="Times New Roman"/>
          <w:lang w:eastAsia="en-NZ"/>
        </w:rPr>
        <w:t>an</w:t>
      </w:r>
      <w:r w:rsidR="003D640C">
        <w:rPr>
          <w:rFonts w:eastAsia="Times New Roman"/>
          <w:lang w:eastAsia="en-NZ"/>
        </w:rPr>
        <w:t xml:space="preserve"> </w:t>
      </w:r>
      <w:r w:rsidR="00CF4A69" w:rsidRPr="00BB6220">
        <w:rPr>
          <w:rFonts w:eastAsia="Times New Roman"/>
          <w:lang w:eastAsia="en-NZ"/>
        </w:rPr>
        <w:t>impulse</w:t>
      </w:r>
      <w:r w:rsidR="003D640C">
        <w:rPr>
          <w:rFonts w:eastAsia="Times New Roman"/>
          <w:lang w:eastAsia="en-NZ"/>
        </w:rPr>
        <w:t xml:space="preserve"> </w:t>
      </w:r>
      <w:r w:rsidR="00CF4A69" w:rsidRPr="00BB6220">
        <w:rPr>
          <w:rFonts w:eastAsia="Times New Roman"/>
          <w:lang w:eastAsia="en-NZ"/>
        </w:rPr>
        <w:t>to</w:t>
      </w:r>
      <w:r w:rsidR="003D640C">
        <w:rPr>
          <w:rFonts w:eastAsia="Times New Roman"/>
          <w:lang w:eastAsia="en-NZ"/>
        </w:rPr>
        <w:t xml:space="preserve"> </w:t>
      </w:r>
      <w:r w:rsidR="00CF4A69" w:rsidRPr="00BB6220">
        <w:rPr>
          <w:rFonts w:eastAsia="Times New Roman"/>
          <w:lang w:eastAsia="en-NZ"/>
        </w:rPr>
        <w:t>‘rescue’</w:t>
      </w:r>
      <w:r w:rsidR="003D640C">
        <w:rPr>
          <w:rFonts w:eastAsia="Times New Roman"/>
          <w:lang w:eastAsia="en-NZ"/>
        </w:rPr>
        <w:t xml:space="preserve"> </w:t>
      </w:r>
      <w:r w:rsidR="00CF4A69" w:rsidRPr="00BB6220">
        <w:rPr>
          <w:rFonts w:eastAsia="Times New Roman"/>
          <w:lang w:eastAsia="en-NZ"/>
        </w:rPr>
        <w:t>or</w:t>
      </w:r>
      <w:r w:rsidR="003D640C">
        <w:rPr>
          <w:rFonts w:eastAsia="Times New Roman"/>
          <w:lang w:eastAsia="en-NZ"/>
        </w:rPr>
        <w:t xml:space="preserve"> </w:t>
      </w:r>
      <w:r w:rsidR="00CF4A69" w:rsidRPr="00BB6220">
        <w:rPr>
          <w:rFonts w:eastAsia="Times New Roman"/>
          <w:lang w:eastAsia="en-NZ"/>
        </w:rPr>
        <w:t>‘save’</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client</w:t>
      </w:r>
      <w:r w:rsidR="003D640C">
        <w:rPr>
          <w:rFonts w:eastAsia="Times New Roman"/>
          <w:lang w:eastAsia="en-NZ"/>
        </w:rPr>
        <w:t xml:space="preserve"> </w:t>
      </w:r>
      <w:r w:rsidR="00CF4A69" w:rsidRPr="00BB6220">
        <w:rPr>
          <w:rFonts w:eastAsia="Times New Roman"/>
          <w:lang w:eastAsia="en-NZ"/>
        </w:rPr>
        <w:t>which,</w:t>
      </w:r>
      <w:r w:rsidR="003D640C">
        <w:rPr>
          <w:rFonts w:eastAsia="Times New Roman"/>
          <w:lang w:eastAsia="en-NZ"/>
        </w:rPr>
        <w:t xml:space="preserve"> </w:t>
      </w:r>
      <w:r w:rsidR="00CF4A69" w:rsidRPr="00BB6220">
        <w:rPr>
          <w:rFonts w:eastAsia="Times New Roman"/>
          <w:lang w:eastAsia="en-NZ"/>
        </w:rPr>
        <w:t>ironically,</w:t>
      </w:r>
      <w:r w:rsidR="003D640C">
        <w:rPr>
          <w:rFonts w:eastAsia="Times New Roman"/>
          <w:lang w:eastAsia="en-NZ"/>
        </w:rPr>
        <w:t xml:space="preserve"> </w:t>
      </w:r>
      <w:r w:rsidR="00CF4A69" w:rsidRPr="00BB6220">
        <w:rPr>
          <w:rFonts w:eastAsia="Times New Roman"/>
          <w:lang w:eastAsia="en-NZ"/>
        </w:rPr>
        <w:t>are</w:t>
      </w:r>
      <w:r w:rsidR="003D640C">
        <w:rPr>
          <w:rFonts w:eastAsia="Times New Roman"/>
          <w:lang w:eastAsia="en-NZ"/>
        </w:rPr>
        <w:t xml:space="preserve"> </w:t>
      </w:r>
      <w:r w:rsidR="00CF4A69" w:rsidRPr="00BB6220">
        <w:rPr>
          <w:rFonts w:eastAsia="Times New Roman"/>
          <w:lang w:eastAsia="en-NZ"/>
        </w:rPr>
        <w:t>some</w:t>
      </w:r>
      <w:r w:rsidR="003D640C">
        <w:rPr>
          <w:rFonts w:eastAsia="Times New Roman"/>
          <w:lang w:eastAsia="en-NZ"/>
        </w:rPr>
        <w:t xml:space="preserve"> </w:t>
      </w:r>
      <w:r w:rsidR="00CF4A69" w:rsidRPr="00BB6220">
        <w:rPr>
          <w:rFonts w:eastAsia="Times New Roman"/>
          <w:lang w:eastAsia="en-NZ"/>
        </w:rPr>
        <w:t>of</w:t>
      </w:r>
      <w:r w:rsidR="003D640C">
        <w:rPr>
          <w:rFonts w:eastAsia="Times New Roman"/>
          <w:lang w:eastAsia="en-NZ"/>
        </w:rPr>
        <w:t xml:space="preserve"> </w:t>
      </w:r>
      <w:r w:rsidR="00CF4A69" w:rsidRPr="00BB6220">
        <w:rPr>
          <w:rFonts w:eastAsia="Times New Roman"/>
          <w:lang w:eastAsia="en-NZ"/>
        </w:rPr>
        <w:t>the</w:t>
      </w:r>
      <w:r w:rsidR="003D640C">
        <w:rPr>
          <w:rFonts w:eastAsia="Times New Roman"/>
          <w:lang w:eastAsia="en-NZ"/>
        </w:rPr>
        <w:t xml:space="preserve"> </w:t>
      </w:r>
      <w:r w:rsidR="00CF4A69" w:rsidRPr="00BB6220">
        <w:rPr>
          <w:rFonts w:eastAsia="Times New Roman"/>
          <w:lang w:eastAsia="en-NZ"/>
        </w:rPr>
        <w:t>same</w:t>
      </w:r>
      <w:r w:rsidR="003D640C">
        <w:rPr>
          <w:rFonts w:eastAsia="Times New Roman"/>
          <w:lang w:eastAsia="en-NZ"/>
        </w:rPr>
        <w:t xml:space="preserve"> </w:t>
      </w:r>
      <w:r w:rsidR="00CF4A69" w:rsidRPr="00BB6220">
        <w:rPr>
          <w:rFonts w:eastAsia="Times New Roman"/>
          <w:lang w:eastAsia="en-NZ"/>
        </w:rPr>
        <w:t>verbs</w:t>
      </w:r>
      <w:r w:rsidR="003D640C">
        <w:rPr>
          <w:rFonts w:eastAsia="Times New Roman"/>
          <w:lang w:eastAsia="en-NZ"/>
        </w:rPr>
        <w:t xml:space="preserve"> </w:t>
      </w:r>
      <w:r w:rsidR="00CF4A69" w:rsidRPr="00BB6220">
        <w:rPr>
          <w:rFonts w:eastAsia="Times New Roman"/>
          <w:lang w:eastAsia="en-NZ"/>
        </w:rPr>
        <w:t>used</w:t>
      </w:r>
      <w:r w:rsidR="003D640C">
        <w:rPr>
          <w:rFonts w:eastAsia="Times New Roman"/>
          <w:lang w:eastAsia="en-NZ"/>
        </w:rPr>
        <w:t xml:space="preserve"> </w:t>
      </w:r>
      <w:r w:rsidR="00CF4A69" w:rsidRPr="00BB6220">
        <w:rPr>
          <w:rFonts w:eastAsia="Times New Roman"/>
          <w:lang w:eastAsia="en-NZ"/>
        </w:rPr>
        <w:t>by</w:t>
      </w:r>
      <w:r w:rsidR="003D640C">
        <w:rPr>
          <w:rFonts w:eastAsia="Times New Roman"/>
          <w:lang w:eastAsia="en-NZ"/>
        </w:rPr>
        <w:t xml:space="preserve"> </w:t>
      </w:r>
      <w:r w:rsidR="00CF4A69" w:rsidRPr="00BB6220">
        <w:rPr>
          <w:rFonts w:eastAsia="Times New Roman"/>
          <w:lang w:eastAsia="en-NZ"/>
        </w:rPr>
        <w:t>conversion</w:t>
      </w:r>
      <w:r w:rsidR="003D640C">
        <w:rPr>
          <w:rFonts w:eastAsia="Times New Roman"/>
          <w:lang w:eastAsia="en-NZ"/>
        </w:rPr>
        <w:t xml:space="preserve"> </w:t>
      </w:r>
      <w:r w:rsidR="00CF4A69" w:rsidRPr="00BB6220">
        <w:rPr>
          <w:rFonts w:eastAsia="Times New Roman"/>
          <w:lang w:eastAsia="en-NZ"/>
        </w:rPr>
        <w:t>therapists</w:t>
      </w:r>
      <w:r w:rsidR="003D640C">
        <w:rPr>
          <w:rFonts w:eastAsia="Times New Roman"/>
          <w:lang w:eastAsia="en-NZ"/>
        </w:rPr>
        <w:t xml:space="preserve"> </w:t>
      </w:r>
      <w:r w:rsidR="00CF4A69" w:rsidRPr="00BB6220">
        <w:rPr>
          <w:rFonts w:eastAsia="Times New Roman"/>
          <w:lang w:eastAsia="en-NZ"/>
        </w:rPr>
        <w:t>to</w:t>
      </w:r>
      <w:r w:rsidR="003D640C">
        <w:rPr>
          <w:rFonts w:eastAsia="Times New Roman"/>
          <w:lang w:eastAsia="en-NZ"/>
        </w:rPr>
        <w:t xml:space="preserve"> </w:t>
      </w:r>
      <w:r w:rsidR="00CF4A69" w:rsidRPr="00BB6220">
        <w:rPr>
          <w:rFonts w:eastAsia="Times New Roman"/>
          <w:lang w:eastAsia="en-NZ"/>
        </w:rPr>
        <w:t>justify</w:t>
      </w:r>
      <w:r w:rsidR="003D640C">
        <w:rPr>
          <w:rFonts w:eastAsia="Times New Roman"/>
          <w:lang w:eastAsia="en-NZ"/>
        </w:rPr>
        <w:t xml:space="preserve"> </w:t>
      </w:r>
      <w:r w:rsidR="00CF4A69" w:rsidRPr="00BB6220">
        <w:rPr>
          <w:rFonts w:eastAsia="Times New Roman"/>
          <w:lang w:eastAsia="en-NZ"/>
        </w:rPr>
        <w:t>their</w:t>
      </w:r>
      <w:r w:rsidR="003D640C">
        <w:rPr>
          <w:rFonts w:eastAsia="Times New Roman"/>
          <w:lang w:eastAsia="en-NZ"/>
        </w:rPr>
        <w:t xml:space="preserve"> </w:t>
      </w:r>
      <w:r w:rsidR="00CF4A69" w:rsidRPr="00BB6220">
        <w:rPr>
          <w:rFonts w:eastAsia="Times New Roman"/>
          <w:lang w:eastAsia="en-NZ"/>
        </w:rPr>
        <w:t>work.</w:t>
      </w:r>
      <w:r w:rsidR="003D640C">
        <w:rPr>
          <w:rFonts w:eastAsia="Times New Roman"/>
          <w:lang w:eastAsia="en-NZ"/>
        </w:rPr>
        <w:t xml:space="preserve"> </w:t>
      </w:r>
      <w:r w:rsidR="00CF4A69" w:rsidRPr="00BB6220">
        <w:rPr>
          <w:rFonts w:eastAsia="Times New Roman"/>
          <w:lang w:eastAsia="en-NZ"/>
        </w:rPr>
        <w:t>This</w:t>
      </w:r>
      <w:r w:rsidR="003D640C">
        <w:rPr>
          <w:rFonts w:eastAsia="Times New Roman"/>
          <w:lang w:eastAsia="en-NZ"/>
        </w:rPr>
        <w:t xml:space="preserve"> </w:t>
      </w:r>
      <w:r w:rsidR="00CF4A69" w:rsidRPr="00BB6220">
        <w:rPr>
          <w:rFonts w:eastAsia="Times New Roman"/>
          <w:lang w:eastAsia="en-NZ"/>
        </w:rPr>
        <w:t>is</w:t>
      </w:r>
      <w:r w:rsidR="003D640C">
        <w:rPr>
          <w:rFonts w:eastAsia="Times New Roman"/>
          <w:lang w:eastAsia="en-NZ"/>
        </w:rPr>
        <w:t xml:space="preserve"> </w:t>
      </w:r>
      <w:r w:rsidR="00CF4A69" w:rsidRPr="00BB6220">
        <w:rPr>
          <w:rFonts w:eastAsia="Times New Roman"/>
          <w:lang w:eastAsia="en-NZ"/>
        </w:rPr>
        <w:t>a</w:t>
      </w:r>
      <w:r w:rsidR="003D640C">
        <w:rPr>
          <w:rFonts w:eastAsia="Times New Roman"/>
          <w:lang w:eastAsia="en-NZ"/>
        </w:rPr>
        <w:t xml:space="preserve"> </w:t>
      </w:r>
      <w:r w:rsidR="00CF4A69" w:rsidRPr="00BB6220">
        <w:rPr>
          <w:rFonts w:eastAsia="Times New Roman"/>
          <w:lang w:eastAsia="en-NZ"/>
        </w:rPr>
        <w:t>sobering</w:t>
      </w:r>
      <w:r w:rsidR="003D640C">
        <w:rPr>
          <w:rFonts w:eastAsia="Times New Roman"/>
          <w:lang w:eastAsia="en-NZ"/>
        </w:rPr>
        <w:t xml:space="preserve"> </w:t>
      </w:r>
      <w:r w:rsidR="00CF4A69" w:rsidRPr="00BB6220">
        <w:rPr>
          <w:rFonts w:eastAsia="Times New Roman"/>
          <w:lang w:eastAsia="en-NZ"/>
        </w:rPr>
        <w:t>realisation.”</w:t>
      </w:r>
    </w:p>
    <w:p w14:paraId="1F1107E7" w14:textId="673870EF" w:rsidR="00501068" w:rsidRDefault="00CF4A69" w:rsidP="00B51F0B">
      <w:pPr>
        <w:pBdr>
          <w:top w:val="single" w:sz="4" w:space="1" w:color="auto"/>
          <w:left w:val="single" w:sz="4" w:space="4" w:color="auto"/>
          <w:bottom w:val="single" w:sz="4" w:space="1" w:color="auto"/>
          <w:right w:val="single" w:sz="4" w:space="4" w:color="auto"/>
        </w:pBdr>
        <w:rPr>
          <w:rFonts w:eastAsia="Times New Roman" w:cstheme="minorHAnsi"/>
          <w:lang w:eastAsia="en-NZ"/>
        </w:rPr>
      </w:pPr>
      <w:r w:rsidRPr="00BB6220">
        <w:t>Whakawhanaungatanga</w:t>
      </w:r>
      <w:r w:rsidR="003D640C">
        <w:t xml:space="preserve"> </w:t>
      </w:r>
      <w:r w:rsidRPr="00BB6220">
        <w:t>is</w:t>
      </w:r>
      <w:r w:rsidR="003D640C">
        <w:t xml:space="preserve"> </w:t>
      </w:r>
      <w:r w:rsidRPr="00BB6220">
        <w:t>a</w:t>
      </w:r>
      <w:r w:rsidR="003D640C">
        <w:t xml:space="preserve"> </w:t>
      </w:r>
      <w:r w:rsidRPr="00BB6220">
        <w:t>crucial</w:t>
      </w:r>
      <w:r w:rsidR="003D640C">
        <w:t xml:space="preserve"> </w:t>
      </w:r>
      <w:r w:rsidRPr="00BB6220">
        <w:t>element</w:t>
      </w:r>
      <w:r w:rsidR="003D640C">
        <w:t xml:space="preserve"> </w:t>
      </w:r>
      <w:r w:rsidRPr="00BB6220">
        <w:t>in</w:t>
      </w:r>
      <w:r w:rsidR="003D640C">
        <w:t xml:space="preserve"> </w:t>
      </w:r>
      <w:r w:rsidRPr="00BB6220">
        <w:t>understanding</w:t>
      </w:r>
      <w:r w:rsidR="003D640C">
        <w:t xml:space="preserve"> </w:t>
      </w:r>
      <w:r w:rsidRPr="00BB6220">
        <w:t>the</w:t>
      </w:r>
      <w:r w:rsidR="003D640C">
        <w:t xml:space="preserve"> </w:t>
      </w:r>
      <w:r w:rsidRPr="00BB6220">
        <w:t>complexities</w:t>
      </w:r>
      <w:r w:rsidR="003D640C">
        <w:t xml:space="preserve"> </w:t>
      </w:r>
      <w:r w:rsidRPr="00BB6220">
        <w:t>of</w:t>
      </w:r>
      <w:r w:rsidR="003D640C">
        <w:t xml:space="preserve"> </w:t>
      </w:r>
      <w:r w:rsidRPr="00BB6220">
        <w:t>a</w:t>
      </w:r>
      <w:r w:rsidR="003D640C">
        <w:t xml:space="preserve"> </w:t>
      </w:r>
      <w:r w:rsidRPr="00BB6220">
        <w:t>survivor</w:t>
      </w:r>
      <w:r w:rsidR="00CD3E06">
        <w:t>’</w:t>
      </w:r>
      <w:r w:rsidRPr="00BB6220">
        <w:t>s</w:t>
      </w:r>
      <w:r w:rsidR="003D640C">
        <w:t xml:space="preserve"> </w:t>
      </w:r>
      <w:r w:rsidRPr="00BB6220">
        <w:t>relational</w:t>
      </w:r>
      <w:r w:rsidR="003D640C">
        <w:t xml:space="preserve"> </w:t>
      </w:r>
      <w:r w:rsidRPr="00BB6220">
        <w:t>ties</w:t>
      </w:r>
      <w:r w:rsidR="003D640C">
        <w:t xml:space="preserve"> </w:t>
      </w:r>
      <w:r w:rsidRPr="00BB6220">
        <w:t>to</w:t>
      </w:r>
      <w:r w:rsidR="003D640C">
        <w:t xml:space="preserve"> </w:t>
      </w:r>
      <w:r w:rsidRPr="00BB6220">
        <w:t>their</w:t>
      </w:r>
      <w:r w:rsidR="003D640C">
        <w:t xml:space="preserve"> </w:t>
      </w:r>
      <w:r w:rsidRPr="00BB6220">
        <w:t>communities</w:t>
      </w:r>
      <w:r w:rsidR="003D640C">
        <w:t xml:space="preserve"> </w:t>
      </w:r>
      <w:r w:rsidRPr="00BB6220">
        <w:t>and</w:t>
      </w:r>
      <w:r w:rsidR="003D640C">
        <w:t xml:space="preserve"> </w:t>
      </w:r>
      <w:r w:rsidRPr="00BB6220">
        <w:t>whānau.</w:t>
      </w:r>
      <w:r w:rsidR="003D640C">
        <w:t xml:space="preserve"> </w:t>
      </w:r>
      <w:r w:rsidRPr="00BB6220">
        <w:t>This</w:t>
      </w:r>
      <w:r w:rsidR="003D640C">
        <w:t xml:space="preserve"> </w:t>
      </w:r>
      <w:r w:rsidRPr="00BB6220">
        <w:t>should</w:t>
      </w:r>
      <w:r w:rsidR="003D640C">
        <w:t xml:space="preserve"> </w:t>
      </w:r>
      <w:r w:rsidRPr="00BB6220">
        <w:t>be</w:t>
      </w:r>
      <w:r w:rsidR="003D640C">
        <w:t xml:space="preserve"> </w:t>
      </w:r>
      <w:r w:rsidRPr="00BB6220">
        <w:t>prioritised</w:t>
      </w:r>
      <w:r w:rsidR="003D640C">
        <w:t xml:space="preserve"> </w:t>
      </w:r>
      <w:r w:rsidRPr="00BB6220">
        <w:t>and</w:t>
      </w:r>
      <w:r w:rsidR="003D640C">
        <w:t xml:space="preserve"> </w:t>
      </w:r>
      <w:r w:rsidRPr="00BB6220">
        <w:t>purposefully</w:t>
      </w:r>
      <w:r w:rsidR="003D640C">
        <w:t xml:space="preserve"> </w:t>
      </w:r>
      <w:r w:rsidRPr="00BB6220">
        <w:t>considered.</w:t>
      </w:r>
    </w:p>
    <w:p w14:paraId="1A9DAF06" w14:textId="0586CA71" w:rsidR="00CF4A69" w:rsidRPr="00BB6220" w:rsidRDefault="00CF4A69" w:rsidP="002C6363">
      <w:pPr>
        <w:pStyle w:val="Heading3"/>
      </w:pPr>
      <w:bookmarkStart w:id="357" w:name="_Toc138325201"/>
      <w:bookmarkStart w:id="358" w:name="_Toc138343858"/>
      <w:bookmarkStart w:id="359" w:name="_Toc167780635"/>
      <w:bookmarkStart w:id="360" w:name="_Toc1489342199"/>
      <w:bookmarkStart w:id="361" w:name="_Toc174628697"/>
      <w:r w:rsidRPr="00BB6220">
        <w:lastRenderedPageBreak/>
        <w:t>Research</w:t>
      </w:r>
      <w:r w:rsidR="003D640C">
        <w:t xml:space="preserve"> </w:t>
      </w:r>
      <w:r w:rsidRPr="00BB6220">
        <w:t>support</w:t>
      </w:r>
      <w:r w:rsidR="00133F8F">
        <w:t>ing</w:t>
      </w:r>
      <w:r w:rsidR="003D640C">
        <w:t xml:space="preserve"> </w:t>
      </w:r>
      <w:r w:rsidRPr="00BB6220">
        <w:t>survivors’</w:t>
      </w:r>
      <w:r w:rsidR="003D640C">
        <w:t xml:space="preserve"> </w:t>
      </w:r>
      <w:r w:rsidRPr="00BB6220">
        <w:t>advice</w:t>
      </w:r>
      <w:r w:rsidR="003D640C">
        <w:t xml:space="preserve"> </w:t>
      </w:r>
      <w:r w:rsidRPr="00BB6220">
        <w:t>to</w:t>
      </w:r>
      <w:r w:rsidR="003D640C">
        <w:t xml:space="preserve"> </w:t>
      </w:r>
      <w:r w:rsidRPr="00BB6220">
        <w:t>therapists</w:t>
      </w:r>
      <w:bookmarkEnd w:id="357"/>
      <w:bookmarkEnd w:id="358"/>
      <w:bookmarkEnd w:id="359"/>
      <w:bookmarkEnd w:id="360"/>
      <w:bookmarkEnd w:id="361"/>
    </w:p>
    <w:p w14:paraId="2E504319" w14:textId="412BD946" w:rsidR="00CF4A69" w:rsidRPr="00BB6220" w:rsidRDefault="00F47F0E" w:rsidP="00B51F0B">
      <w:pPr>
        <w:rPr>
          <w:lang w:eastAsia="en-NZ"/>
        </w:rPr>
      </w:pPr>
      <w:r>
        <w:rPr>
          <w:lang w:eastAsia="en-NZ"/>
        </w:rPr>
        <w:t>This section describes the findings from a 2022</w:t>
      </w:r>
      <w:r w:rsidR="003D640C">
        <w:rPr>
          <w:lang w:eastAsia="en-NZ"/>
        </w:rPr>
        <w:t xml:space="preserve"> </w:t>
      </w:r>
      <w:r w:rsidR="00CF4A69" w:rsidRPr="00BB6220">
        <w:rPr>
          <w:lang w:eastAsia="en-NZ"/>
        </w:rPr>
        <w:t>Australian</w:t>
      </w:r>
      <w:r w:rsidR="003D640C">
        <w:rPr>
          <w:lang w:eastAsia="en-NZ"/>
        </w:rPr>
        <w:t xml:space="preserve"> </w:t>
      </w:r>
      <w:r w:rsidR="00CF4A69" w:rsidRPr="00BB6220">
        <w:rPr>
          <w:lang w:eastAsia="en-NZ"/>
        </w:rPr>
        <w:t>study</w:t>
      </w:r>
      <w:r>
        <w:rPr>
          <w:lang w:eastAsia="en-NZ"/>
        </w:rPr>
        <w:t>.</w:t>
      </w:r>
      <w:r w:rsidRPr="00BB6220">
        <w:rPr>
          <w:rStyle w:val="FootnoteReference"/>
          <w:rFonts w:eastAsia="Times New Roman"/>
          <w:lang w:eastAsia="en-NZ"/>
        </w:rPr>
        <w:footnoteReference w:id="268"/>
      </w:r>
      <w:r w:rsidR="003D640C">
        <w:rPr>
          <w:lang w:eastAsia="en-NZ"/>
        </w:rPr>
        <w:t xml:space="preserve"> </w:t>
      </w:r>
      <w:r>
        <w:rPr>
          <w:lang w:eastAsia="en-NZ"/>
        </w:rPr>
        <w:t xml:space="preserve">It </w:t>
      </w:r>
      <w:r w:rsidR="00CF4A69" w:rsidRPr="00BB6220">
        <w:rPr>
          <w:lang w:eastAsia="en-NZ"/>
        </w:rPr>
        <w:t>found</w:t>
      </w:r>
      <w:r w:rsidR="003D640C">
        <w:rPr>
          <w:lang w:eastAsia="en-NZ"/>
        </w:rPr>
        <w:t xml:space="preserve"> </w:t>
      </w:r>
      <w:r w:rsidR="00CF4A69" w:rsidRPr="00BB6220">
        <w:rPr>
          <w:lang w:eastAsia="en-NZ"/>
        </w:rPr>
        <w:t>there</w:t>
      </w:r>
      <w:r w:rsidR="003D640C">
        <w:rPr>
          <w:lang w:eastAsia="en-NZ"/>
        </w:rPr>
        <w:t xml:space="preserve"> </w:t>
      </w:r>
      <w:r w:rsidR="00CF4A69" w:rsidRPr="00BB6220">
        <w:rPr>
          <w:lang w:eastAsia="en-NZ"/>
        </w:rPr>
        <w:t>were</w:t>
      </w:r>
      <w:r w:rsidR="003D640C">
        <w:rPr>
          <w:lang w:eastAsia="en-NZ"/>
        </w:rPr>
        <w:t xml:space="preserve"> </w:t>
      </w:r>
      <w:r w:rsidR="00CF4A69" w:rsidRPr="00BB6220">
        <w:rPr>
          <w:lang w:eastAsia="en-NZ"/>
        </w:rPr>
        <w:t>three</w:t>
      </w:r>
      <w:r w:rsidR="003D640C">
        <w:rPr>
          <w:lang w:eastAsia="en-NZ"/>
        </w:rPr>
        <w:t xml:space="preserve"> </w:t>
      </w:r>
      <w:r w:rsidR="00CF4A69" w:rsidRPr="00BB6220">
        <w:rPr>
          <w:lang w:eastAsia="en-NZ"/>
        </w:rPr>
        <w:t>key</w:t>
      </w:r>
      <w:r w:rsidR="003D640C">
        <w:rPr>
          <w:lang w:eastAsia="en-NZ"/>
        </w:rPr>
        <w:t xml:space="preserve"> </w:t>
      </w:r>
      <w:r w:rsidR="00CF4A69" w:rsidRPr="00BB6220">
        <w:rPr>
          <w:lang w:eastAsia="en-NZ"/>
        </w:rPr>
        <w:t>components</w:t>
      </w:r>
      <w:r w:rsidR="003D640C">
        <w:rPr>
          <w:lang w:eastAsia="en-NZ"/>
        </w:rPr>
        <w:t xml:space="preserve"> </w:t>
      </w:r>
      <w:r w:rsidR="00CF4A69" w:rsidRPr="00BB6220">
        <w:rPr>
          <w:lang w:eastAsia="en-NZ"/>
        </w:rPr>
        <w:t>to</w:t>
      </w:r>
      <w:r w:rsidR="003D640C">
        <w:rPr>
          <w:lang w:eastAsia="en-NZ"/>
        </w:rPr>
        <w:t xml:space="preserve"> </w:t>
      </w:r>
      <w:r w:rsidR="00CF4A69" w:rsidRPr="00BB6220">
        <w:rPr>
          <w:lang w:eastAsia="en-NZ"/>
        </w:rPr>
        <w:t>a</w:t>
      </w:r>
      <w:r w:rsidR="003D640C">
        <w:rPr>
          <w:lang w:eastAsia="en-NZ"/>
        </w:rPr>
        <w:t xml:space="preserve"> </w:t>
      </w:r>
      <w:r w:rsidR="00CF4A69" w:rsidRPr="00BB6220">
        <w:rPr>
          <w:lang w:eastAsia="en-NZ"/>
        </w:rPr>
        <w:t>successful</w:t>
      </w:r>
      <w:r w:rsidR="003D640C">
        <w:rPr>
          <w:lang w:eastAsia="en-NZ"/>
        </w:rPr>
        <w:t xml:space="preserve"> </w:t>
      </w:r>
      <w:r w:rsidR="00CF4A69" w:rsidRPr="00BB6220">
        <w:rPr>
          <w:lang w:eastAsia="en-NZ"/>
        </w:rPr>
        <w:t>recovery</w:t>
      </w:r>
      <w:r w:rsidR="00CD5809">
        <w:rPr>
          <w:lang w:eastAsia="en-NZ"/>
        </w:rPr>
        <w:t>.</w:t>
      </w:r>
      <w:r w:rsidR="003D640C">
        <w:rPr>
          <w:lang w:eastAsia="en-NZ"/>
        </w:rPr>
        <w:t xml:space="preserve"> </w:t>
      </w:r>
    </w:p>
    <w:p w14:paraId="582AE3F8" w14:textId="4A3B3316" w:rsidR="00CF4A69" w:rsidRPr="00BB6220" w:rsidRDefault="00EC052E" w:rsidP="00B51F0B">
      <w:pPr>
        <w:pStyle w:val="Bullet"/>
        <w:rPr>
          <w:lang w:eastAsia="en-NZ"/>
        </w:rPr>
      </w:pPr>
      <w:r>
        <w:rPr>
          <w:lang w:eastAsia="en-NZ"/>
        </w:rPr>
        <w:t>A</w:t>
      </w:r>
      <w:r w:rsidR="00CF4A69" w:rsidRPr="00BB6220">
        <w:rPr>
          <w:lang w:eastAsia="en-NZ"/>
        </w:rPr>
        <w:t>ccess</w:t>
      </w:r>
      <w:r w:rsidR="003D640C">
        <w:rPr>
          <w:lang w:eastAsia="en-NZ"/>
        </w:rPr>
        <w:t xml:space="preserve"> </w:t>
      </w:r>
      <w:r w:rsidR="00CF4A69" w:rsidRPr="00BB6220">
        <w:rPr>
          <w:lang w:eastAsia="en-NZ"/>
        </w:rPr>
        <w:t>to</w:t>
      </w:r>
      <w:r w:rsidR="003D640C">
        <w:rPr>
          <w:lang w:eastAsia="en-NZ"/>
        </w:rPr>
        <w:t xml:space="preserve"> </w:t>
      </w:r>
      <w:r w:rsidR="00CF4A69" w:rsidRPr="00BB6220">
        <w:rPr>
          <w:lang w:eastAsia="en-NZ"/>
        </w:rPr>
        <w:t>people</w:t>
      </w:r>
      <w:r w:rsidR="003D640C">
        <w:rPr>
          <w:lang w:eastAsia="en-NZ"/>
        </w:rPr>
        <w:t xml:space="preserve"> </w:t>
      </w:r>
      <w:r w:rsidR="00CF4A69" w:rsidRPr="00BB6220">
        <w:rPr>
          <w:lang w:eastAsia="en-NZ"/>
        </w:rPr>
        <w:t>who</w:t>
      </w:r>
      <w:r w:rsidR="003D640C">
        <w:rPr>
          <w:lang w:eastAsia="en-NZ"/>
        </w:rPr>
        <w:t xml:space="preserve"> </w:t>
      </w:r>
      <w:r w:rsidR="00CF4A69" w:rsidRPr="00BB6220">
        <w:rPr>
          <w:lang w:eastAsia="en-NZ"/>
        </w:rPr>
        <w:t>are</w:t>
      </w:r>
      <w:r w:rsidR="003D640C">
        <w:rPr>
          <w:lang w:eastAsia="en-NZ"/>
        </w:rPr>
        <w:t xml:space="preserve"> </w:t>
      </w:r>
      <w:r w:rsidR="00CF4A69" w:rsidRPr="00BB6220">
        <w:rPr>
          <w:lang w:eastAsia="en-NZ"/>
        </w:rPr>
        <w:t>affirming</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with</w:t>
      </w:r>
      <w:r w:rsidR="003D640C">
        <w:rPr>
          <w:lang w:eastAsia="en-NZ"/>
        </w:rPr>
        <w:t xml:space="preserve"> </w:t>
      </w:r>
      <w:r w:rsidR="00CF4A69" w:rsidRPr="00BB6220">
        <w:rPr>
          <w:lang w:eastAsia="en-NZ"/>
        </w:rPr>
        <w:t>whom</w:t>
      </w:r>
      <w:r w:rsidR="003D640C">
        <w:rPr>
          <w:lang w:eastAsia="en-NZ"/>
        </w:rPr>
        <w:t xml:space="preserve"> </w:t>
      </w:r>
      <w:r w:rsidR="00CF4A69" w:rsidRPr="00BB6220">
        <w:rPr>
          <w:lang w:eastAsia="en-NZ"/>
        </w:rPr>
        <w:t>a</w:t>
      </w:r>
      <w:r w:rsidR="003D640C">
        <w:rPr>
          <w:lang w:eastAsia="en-NZ"/>
        </w:rPr>
        <w:t xml:space="preserve"> </w:t>
      </w:r>
      <w:r w:rsidR="00CF4A69" w:rsidRPr="00BB6220">
        <w:rPr>
          <w:lang w:eastAsia="en-NZ"/>
        </w:rPr>
        <w:t>survivor</w:t>
      </w:r>
      <w:r w:rsidR="003D640C">
        <w:rPr>
          <w:lang w:eastAsia="en-NZ"/>
        </w:rPr>
        <w:t xml:space="preserve"> </w:t>
      </w:r>
      <w:r w:rsidR="00CF4A69" w:rsidRPr="00BB6220">
        <w:rPr>
          <w:lang w:eastAsia="en-NZ"/>
        </w:rPr>
        <w:t>can</w:t>
      </w:r>
      <w:r w:rsidR="003D640C">
        <w:rPr>
          <w:lang w:eastAsia="en-NZ"/>
        </w:rPr>
        <w:t xml:space="preserve"> </w:t>
      </w:r>
      <w:r w:rsidR="00CF4A69" w:rsidRPr="00BB6220">
        <w:rPr>
          <w:lang w:eastAsia="en-NZ"/>
        </w:rPr>
        <w:t>be</w:t>
      </w:r>
      <w:r w:rsidR="003D640C">
        <w:rPr>
          <w:lang w:eastAsia="en-NZ"/>
        </w:rPr>
        <w:t xml:space="preserve"> </w:t>
      </w:r>
      <w:r w:rsidR="00CF4A69" w:rsidRPr="00BB6220">
        <w:rPr>
          <w:lang w:eastAsia="en-NZ"/>
        </w:rPr>
        <w:t>freely</w:t>
      </w:r>
      <w:r w:rsidR="003D640C">
        <w:rPr>
          <w:lang w:eastAsia="en-NZ"/>
        </w:rPr>
        <w:t xml:space="preserve"> </w:t>
      </w:r>
      <w:r w:rsidR="00CF4A69" w:rsidRPr="00BB6220">
        <w:rPr>
          <w:lang w:eastAsia="en-NZ"/>
        </w:rPr>
        <w:t>themselves</w:t>
      </w:r>
      <w:r w:rsidR="003D640C">
        <w:rPr>
          <w:lang w:eastAsia="en-NZ"/>
        </w:rPr>
        <w:t xml:space="preserve"> </w:t>
      </w:r>
      <w:r w:rsidR="00CF4A69" w:rsidRPr="00BB6220">
        <w:rPr>
          <w:lang w:eastAsia="en-NZ"/>
        </w:rPr>
        <w:t>–</w:t>
      </w:r>
      <w:r w:rsidR="003D640C">
        <w:rPr>
          <w:lang w:eastAsia="en-NZ"/>
        </w:rPr>
        <w:t xml:space="preserve"> </w:t>
      </w:r>
      <w:r w:rsidR="00CF4A69" w:rsidRPr="00BB6220">
        <w:rPr>
          <w:lang w:eastAsia="en-NZ"/>
        </w:rPr>
        <w:t>especially</w:t>
      </w:r>
      <w:r w:rsidR="003D640C">
        <w:rPr>
          <w:lang w:eastAsia="en-NZ"/>
        </w:rPr>
        <w:t xml:space="preserve"> </w:t>
      </w:r>
      <w:r w:rsidR="00CF4A69" w:rsidRPr="00BB6220">
        <w:rPr>
          <w:lang w:eastAsia="en-NZ"/>
        </w:rPr>
        <w:t>health</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mental</w:t>
      </w:r>
      <w:r w:rsidR="003D640C">
        <w:rPr>
          <w:lang w:eastAsia="en-NZ"/>
        </w:rPr>
        <w:t xml:space="preserve"> </w:t>
      </w:r>
      <w:r w:rsidR="00CF4A69" w:rsidRPr="00BB6220">
        <w:rPr>
          <w:lang w:eastAsia="en-NZ"/>
        </w:rPr>
        <w:t>health</w:t>
      </w:r>
      <w:r w:rsidR="003D640C">
        <w:rPr>
          <w:lang w:eastAsia="en-NZ"/>
        </w:rPr>
        <w:t xml:space="preserve"> </w:t>
      </w:r>
      <w:r w:rsidR="00CF4A69" w:rsidRPr="00BB6220">
        <w:rPr>
          <w:lang w:eastAsia="en-NZ"/>
        </w:rPr>
        <w:t>practitioners,</w:t>
      </w:r>
      <w:r w:rsidR="003D640C">
        <w:rPr>
          <w:lang w:eastAsia="en-NZ"/>
        </w:rPr>
        <w:t xml:space="preserve"> </w:t>
      </w:r>
      <w:r w:rsidR="00CF4A69" w:rsidRPr="00BB6220">
        <w:rPr>
          <w:lang w:eastAsia="en-NZ"/>
        </w:rPr>
        <w:t>family</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friends,</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survivor</w:t>
      </w:r>
      <w:r w:rsidR="003D640C">
        <w:rPr>
          <w:lang w:eastAsia="en-NZ"/>
        </w:rPr>
        <w:t xml:space="preserve"> </w:t>
      </w:r>
      <w:r w:rsidR="00CF4A69" w:rsidRPr="00BB6220">
        <w:rPr>
          <w:lang w:eastAsia="en-NZ"/>
        </w:rPr>
        <w:t>support</w:t>
      </w:r>
      <w:r w:rsidR="003D640C">
        <w:rPr>
          <w:lang w:eastAsia="en-NZ"/>
        </w:rPr>
        <w:t xml:space="preserve"> </w:t>
      </w:r>
      <w:r w:rsidR="00CF4A69" w:rsidRPr="00BB6220">
        <w:rPr>
          <w:lang w:eastAsia="en-NZ"/>
        </w:rPr>
        <w:t>groups</w:t>
      </w:r>
      <w:r w:rsidR="00133F8F">
        <w:rPr>
          <w:lang w:eastAsia="en-NZ"/>
        </w:rPr>
        <w:t>.</w:t>
      </w:r>
    </w:p>
    <w:p w14:paraId="0078870A" w14:textId="5C23B8F8" w:rsidR="00CF4A69" w:rsidRPr="00BB6220" w:rsidRDefault="00EC052E" w:rsidP="00B51F0B">
      <w:pPr>
        <w:pStyle w:val="Bullet"/>
        <w:rPr>
          <w:lang w:eastAsia="en-NZ"/>
        </w:rPr>
      </w:pPr>
      <w:r>
        <w:rPr>
          <w:lang w:eastAsia="en-NZ"/>
        </w:rPr>
        <w:t>C</w:t>
      </w:r>
      <w:r w:rsidR="00CF4A69" w:rsidRPr="00BB6220">
        <w:rPr>
          <w:lang w:eastAsia="en-NZ"/>
        </w:rPr>
        <w:t>onsiderable</w:t>
      </w:r>
      <w:r w:rsidR="003D640C">
        <w:rPr>
          <w:lang w:eastAsia="en-NZ"/>
        </w:rPr>
        <w:t xml:space="preserve"> </w:t>
      </w:r>
      <w:r w:rsidR="00CF4A69" w:rsidRPr="00BB6220">
        <w:rPr>
          <w:lang w:eastAsia="en-NZ"/>
        </w:rPr>
        <w:t>time</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internal</w:t>
      </w:r>
      <w:r w:rsidR="003D640C">
        <w:rPr>
          <w:lang w:eastAsia="en-NZ"/>
        </w:rPr>
        <w:t xml:space="preserve"> </w:t>
      </w:r>
      <w:r w:rsidR="00CF4A69" w:rsidRPr="00BB6220">
        <w:rPr>
          <w:lang w:eastAsia="en-NZ"/>
        </w:rPr>
        <w:t>motivation</w:t>
      </w:r>
      <w:r w:rsidR="003D640C">
        <w:rPr>
          <w:lang w:eastAsia="en-NZ"/>
        </w:rPr>
        <w:t xml:space="preserve"> </w:t>
      </w:r>
      <w:r w:rsidR="00CF4A69" w:rsidRPr="00BB6220">
        <w:rPr>
          <w:lang w:eastAsia="en-NZ"/>
        </w:rPr>
        <w:t>to</w:t>
      </w:r>
      <w:r w:rsidR="003D640C">
        <w:rPr>
          <w:lang w:eastAsia="en-NZ"/>
        </w:rPr>
        <w:t xml:space="preserve"> </w:t>
      </w:r>
      <w:r w:rsidR="00CF4A69" w:rsidRPr="00BB6220">
        <w:rPr>
          <w:lang w:eastAsia="en-NZ"/>
        </w:rPr>
        <w:t>enable</w:t>
      </w:r>
      <w:r w:rsidR="003D640C">
        <w:rPr>
          <w:lang w:eastAsia="en-NZ"/>
        </w:rPr>
        <w:t xml:space="preserve"> </w:t>
      </w:r>
      <w:r w:rsidR="00CF4A69" w:rsidRPr="00BB6220">
        <w:rPr>
          <w:lang w:eastAsia="en-NZ"/>
        </w:rPr>
        <w:t>support</w:t>
      </w:r>
      <w:r w:rsidR="003D640C">
        <w:rPr>
          <w:lang w:eastAsia="en-NZ"/>
        </w:rPr>
        <w:t xml:space="preserve"> </w:t>
      </w:r>
      <w:r w:rsidR="00CF4A69" w:rsidRPr="00BB6220">
        <w:rPr>
          <w:lang w:eastAsia="en-NZ"/>
        </w:rPr>
        <w:t>to</w:t>
      </w:r>
      <w:r w:rsidR="003D640C">
        <w:rPr>
          <w:lang w:eastAsia="en-NZ"/>
        </w:rPr>
        <w:t xml:space="preserve"> </w:t>
      </w:r>
      <w:r w:rsidR="00CF4A69" w:rsidRPr="00BB6220">
        <w:rPr>
          <w:lang w:eastAsia="en-NZ"/>
        </w:rPr>
        <w:t>be</w:t>
      </w:r>
      <w:r w:rsidR="003D640C">
        <w:rPr>
          <w:lang w:eastAsia="en-NZ"/>
        </w:rPr>
        <w:t xml:space="preserve"> </w:t>
      </w:r>
      <w:r w:rsidR="00CF4A69" w:rsidRPr="00BB6220">
        <w:rPr>
          <w:lang w:eastAsia="en-NZ"/>
        </w:rPr>
        <w:t>effective</w:t>
      </w:r>
      <w:r>
        <w:rPr>
          <w:lang w:eastAsia="en-NZ"/>
        </w:rPr>
        <w:t>.</w:t>
      </w:r>
    </w:p>
    <w:p w14:paraId="30A262F3" w14:textId="617BE419" w:rsidR="00501068" w:rsidRDefault="00EC052E" w:rsidP="00B51F0B">
      <w:pPr>
        <w:pStyle w:val="Bullet"/>
        <w:rPr>
          <w:lang w:eastAsia="en-NZ"/>
        </w:rPr>
      </w:pPr>
      <w:r>
        <w:rPr>
          <w:lang w:eastAsia="en-NZ"/>
        </w:rPr>
        <w:t>S</w:t>
      </w:r>
      <w:r w:rsidR="00CF4A69" w:rsidRPr="00BB6220">
        <w:rPr>
          <w:lang w:eastAsia="en-NZ"/>
        </w:rPr>
        <w:t>upport</w:t>
      </w:r>
      <w:r w:rsidR="003D640C">
        <w:rPr>
          <w:lang w:eastAsia="en-NZ"/>
        </w:rPr>
        <w:t xml:space="preserve"> </w:t>
      </w:r>
      <w:r w:rsidR="00CF4A69" w:rsidRPr="00BB6220">
        <w:rPr>
          <w:lang w:eastAsia="en-NZ"/>
        </w:rPr>
        <w:t>to</w:t>
      </w:r>
      <w:r w:rsidR="003D640C">
        <w:rPr>
          <w:lang w:eastAsia="en-NZ"/>
        </w:rPr>
        <w:t xml:space="preserve"> </w:t>
      </w:r>
      <w:r w:rsidR="00CF4A69" w:rsidRPr="00BB6220">
        <w:rPr>
          <w:lang w:eastAsia="en-NZ"/>
        </w:rPr>
        <w:t>settle</w:t>
      </w:r>
      <w:r w:rsidR="003D640C">
        <w:rPr>
          <w:lang w:eastAsia="en-NZ"/>
        </w:rPr>
        <w:t xml:space="preserve"> </w:t>
      </w:r>
      <w:r w:rsidR="00CF4A69" w:rsidRPr="00BB6220">
        <w:rPr>
          <w:lang w:eastAsia="en-NZ"/>
        </w:rPr>
        <w:t>conflicting</w:t>
      </w:r>
      <w:r w:rsidR="003D640C">
        <w:rPr>
          <w:lang w:eastAsia="en-NZ"/>
        </w:rPr>
        <w:t xml:space="preserve"> </w:t>
      </w:r>
      <w:r w:rsidR="00CF4A69" w:rsidRPr="00BB6220">
        <w:rPr>
          <w:lang w:eastAsia="en-NZ"/>
        </w:rPr>
        <w:t>aspects</w:t>
      </w:r>
      <w:r w:rsidR="003D640C">
        <w:rPr>
          <w:lang w:eastAsia="en-NZ"/>
        </w:rPr>
        <w:t xml:space="preserve"> </w:t>
      </w:r>
      <w:r w:rsidR="00CF4A69" w:rsidRPr="00BB6220">
        <w:rPr>
          <w:lang w:eastAsia="en-NZ"/>
        </w:rPr>
        <w:t>of</w:t>
      </w:r>
      <w:r w:rsidR="003D640C">
        <w:rPr>
          <w:lang w:eastAsia="en-NZ"/>
        </w:rPr>
        <w:t xml:space="preserve"> </w:t>
      </w:r>
      <w:r w:rsidR="00CF4A69" w:rsidRPr="00BB6220">
        <w:rPr>
          <w:lang w:eastAsia="en-NZ"/>
        </w:rPr>
        <w:t>their</w:t>
      </w:r>
      <w:r w:rsidR="003D640C">
        <w:rPr>
          <w:lang w:eastAsia="en-NZ"/>
        </w:rPr>
        <w:t xml:space="preserve"> </w:t>
      </w:r>
      <w:r w:rsidR="00CF4A69" w:rsidRPr="00BB6220">
        <w:rPr>
          <w:lang w:eastAsia="en-NZ"/>
        </w:rPr>
        <w:t>identity</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beliefs,</w:t>
      </w:r>
      <w:r w:rsidR="003D640C">
        <w:rPr>
          <w:lang w:eastAsia="en-NZ"/>
        </w:rPr>
        <w:t xml:space="preserve"> </w:t>
      </w:r>
      <w:r w:rsidR="00CF4A69" w:rsidRPr="00BB6220">
        <w:rPr>
          <w:lang w:eastAsia="en-NZ"/>
        </w:rPr>
        <w:t>with</w:t>
      </w:r>
      <w:r w:rsidR="003D640C">
        <w:rPr>
          <w:lang w:eastAsia="en-NZ"/>
        </w:rPr>
        <w:t xml:space="preserve"> </w:t>
      </w:r>
      <w:r w:rsidR="00CF4A69" w:rsidRPr="00BB6220">
        <w:rPr>
          <w:lang w:eastAsia="en-NZ"/>
        </w:rPr>
        <w:t>the</w:t>
      </w:r>
      <w:r w:rsidR="003D640C">
        <w:rPr>
          <w:lang w:eastAsia="en-NZ"/>
        </w:rPr>
        <w:t xml:space="preserve"> </w:t>
      </w:r>
      <w:r w:rsidR="00CF4A69" w:rsidRPr="00BB6220">
        <w:rPr>
          <w:lang w:eastAsia="en-NZ"/>
        </w:rPr>
        <w:t>survivor</w:t>
      </w:r>
      <w:r w:rsidR="003D640C">
        <w:rPr>
          <w:lang w:eastAsia="en-NZ"/>
        </w:rPr>
        <w:t xml:space="preserve"> </w:t>
      </w:r>
      <w:r w:rsidR="00CF4A69" w:rsidRPr="00BB6220">
        <w:rPr>
          <w:lang w:eastAsia="en-NZ"/>
        </w:rPr>
        <w:t>taking</w:t>
      </w:r>
      <w:r w:rsidR="003D640C">
        <w:rPr>
          <w:lang w:eastAsia="en-NZ"/>
        </w:rPr>
        <w:t xml:space="preserve"> </w:t>
      </w:r>
      <w:r w:rsidR="00CF4A69" w:rsidRPr="00BB6220">
        <w:rPr>
          <w:lang w:eastAsia="en-NZ"/>
        </w:rPr>
        <w:t>the</w:t>
      </w:r>
      <w:r w:rsidR="003D640C">
        <w:rPr>
          <w:lang w:eastAsia="en-NZ"/>
        </w:rPr>
        <w:t xml:space="preserve"> </w:t>
      </w:r>
      <w:r w:rsidR="00CF4A69" w:rsidRPr="00BB6220">
        <w:rPr>
          <w:lang w:eastAsia="en-NZ"/>
        </w:rPr>
        <w:t>lead</w:t>
      </w:r>
      <w:r w:rsidR="003D640C">
        <w:rPr>
          <w:lang w:eastAsia="en-NZ"/>
        </w:rPr>
        <w:t xml:space="preserve"> </w:t>
      </w:r>
      <w:r w:rsidR="00CF4A69" w:rsidRPr="00BB6220">
        <w:rPr>
          <w:lang w:eastAsia="en-NZ"/>
        </w:rPr>
        <w:t>in</w:t>
      </w:r>
      <w:r w:rsidR="003D640C">
        <w:rPr>
          <w:lang w:eastAsia="en-NZ"/>
        </w:rPr>
        <w:t xml:space="preserve"> </w:t>
      </w:r>
      <w:r w:rsidR="00CF4A69" w:rsidRPr="00BB6220">
        <w:rPr>
          <w:lang w:eastAsia="en-NZ"/>
        </w:rPr>
        <w:t>how</w:t>
      </w:r>
      <w:r w:rsidR="003D640C">
        <w:rPr>
          <w:lang w:eastAsia="en-NZ"/>
        </w:rPr>
        <w:t xml:space="preserve"> </w:t>
      </w:r>
      <w:r w:rsidR="00CF4A69" w:rsidRPr="00BB6220">
        <w:rPr>
          <w:lang w:eastAsia="en-NZ"/>
        </w:rPr>
        <w:t>this</w:t>
      </w:r>
      <w:r w:rsidR="003D640C">
        <w:rPr>
          <w:lang w:eastAsia="en-NZ"/>
        </w:rPr>
        <w:t xml:space="preserve"> </w:t>
      </w:r>
      <w:r w:rsidR="00D16BEE" w:rsidRPr="00BB6220">
        <w:rPr>
          <w:lang w:eastAsia="en-NZ"/>
        </w:rPr>
        <w:t>is</w:t>
      </w:r>
      <w:r w:rsidR="003D640C">
        <w:rPr>
          <w:lang w:eastAsia="en-NZ"/>
        </w:rPr>
        <w:t xml:space="preserve"> </w:t>
      </w:r>
      <w:r w:rsidR="00CF4A69" w:rsidRPr="00BB6220">
        <w:rPr>
          <w:lang w:eastAsia="en-NZ"/>
        </w:rPr>
        <w:t>done</w:t>
      </w:r>
      <w:r>
        <w:rPr>
          <w:lang w:eastAsia="en-NZ"/>
        </w:rPr>
        <w:t>.</w:t>
      </w:r>
    </w:p>
    <w:p w14:paraId="7CB6ED41" w14:textId="77777777" w:rsidR="00501068" w:rsidRDefault="00CF4A69" w:rsidP="00B51F0B">
      <w:pPr>
        <w:rPr>
          <w:lang w:eastAsia="en-NZ"/>
        </w:rPr>
      </w:pPr>
      <w:r w:rsidRPr="00BB6220">
        <w:rPr>
          <w:lang w:eastAsia="en-NZ"/>
        </w:rPr>
        <w:t>The</w:t>
      </w:r>
      <w:r w:rsidR="003D640C">
        <w:rPr>
          <w:lang w:eastAsia="en-NZ"/>
        </w:rPr>
        <w:t xml:space="preserve"> </w:t>
      </w:r>
      <w:r w:rsidRPr="00BB6220">
        <w:rPr>
          <w:lang w:eastAsia="en-NZ"/>
        </w:rPr>
        <w:t>study</w:t>
      </w:r>
      <w:r w:rsidR="003D640C">
        <w:rPr>
          <w:lang w:eastAsia="en-NZ"/>
        </w:rPr>
        <w:t xml:space="preserve"> </w:t>
      </w:r>
      <w:r w:rsidRPr="00BB6220">
        <w:rPr>
          <w:lang w:eastAsia="en-NZ"/>
        </w:rPr>
        <w:t>also</w:t>
      </w:r>
      <w:r w:rsidR="003D640C">
        <w:rPr>
          <w:lang w:eastAsia="en-NZ"/>
        </w:rPr>
        <w:t xml:space="preserve"> </w:t>
      </w:r>
      <w:r w:rsidRPr="00BB6220">
        <w:rPr>
          <w:lang w:eastAsia="en-NZ"/>
        </w:rPr>
        <w:t>found</w:t>
      </w:r>
      <w:r w:rsidR="003D640C">
        <w:rPr>
          <w:lang w:eastAsia="en-NZ"/>
        </w:rPr>
        <w:t xml:space="preserve"> </w:t>
      </w:r>
      <w:r w:rsidRPr="00BB6220">
        <w:rPr>
          <w:lang w:eastAsia="en-NZ"/>
        </w:rPr>
        <w:t>survivors</w:t>
      </w:r>
      <w:r w:rsidR="003D640C">
        <w:rPr>
          <w:lang w:eastAsia="en-NZ"/>
        </w:rPr>
        <w:t xml:space="preserve"> </w:t>
      </w:r>
      <w:r w:rsidRPr="00BB6220">
        <w:rPr>
          <w:lang w:eastAsia="en-NZ"/>
        </w:rPr>
        <w:t>were</w:t>
      </w:r>
      <w:r w:rsidR="003D640C">
        <w:rPr>
          <w:lang w:eastAsia="en-NZ"/>
        </w:rPr>
        <w:t xml:space="preserve"> </w:t>
      </w:r>
      <w:r w:rsidRPr="00BB6220">
        <w:rPr>
          <w:lang w:eastAsia="en-NZ"/>
        </w:rPr>
        <w:t>helped</w:t>
      </w:r>
      <w:r w:rsidR="003D640C">
        <w:rPr>
          <w:lang w:eastAsia="en-NZ"/>
        </w:rPr>
        <w:t xml:space="preserve"> </w:t>
      </w:r>
      <w:r w:rsidRPr="00BB6220">
        <w:rPr>
          <w:lang w:eastAsia="en-NZ"/>
        </w:rPr>
        <w:t>by</w:t>
      </w:r>
      <w:r w:rsidR="003D640C">
        <w:rPr>
          <w:lang w:eastAsia="en-NZ"/>
        </w:rPr>
        <w:t xml:space="preserve"> </w:t>
      </w:r>
      <w:r w:rsidRPr="00BB6220">
        <w:rPr>
          <w:lang w:eastAsia="en-NZ"/>
        </w:rPr>
        <w:t>practitioners</w:t>
      </w:r>
      <w:r w:rsidR="003D640C">
        <w:rPr>
          <w:lang w:eastAsia="en-NZ"/>
        </w:rPr>
        <w:t xml:space="preserve"> </w:t>
      </w:r>
      <w:r w:rsidRPr="00BB6220">
        <w:rPr>
          <w:lang w:eastAsia="en-NZ"/>
        </w:rPr>
        <w:t>who</w:t>
      </w:r>
      <w:r w:rsidR="003D640C">
        <w:rPr>
          <w:lang w:eastAsia="en-NZ"/>
        </w:rPr>
        <w:t xml:space="preserve"> </w:t>
      </w:r>
      <w:r w:rsidRPr="00BB6220">
        <w:rPr>
          <w:lang w:eastAsia="en-NZ"/>
        </w:rPr>
        <w:t>were</w:t>
      </w:r>
      <w:r w:rsidR="003D640C">
        <w:rPr>
          <w:lang w:eastAsia="en-NZ"/>
        </w:rPr>
        <w:t xml:space="preserve"> </w:t>
      </w:r>
      <w:r w:rsidRPr="00BB6220">
        <w:rPr>
          <w:lang w:eastAsia="en-NZ"/>
        </w:rPr>
        <w:t>educated</w:t>
      </w:r>
      <w:r w:rsidR="003D640C">
        <w:rPr>
          <w:lang w:eastAsia="en-NZ"/>
        </w:rPr>
        <w:t xml:space="preserve"> </w:t>
      </w:r>
      <w:r w:rsidRPr="00BB6220">
        <w:rPr>
          <w:lang w:eastAsia="en-NZ"/>
        </w:rPr>
        <w:t>about:</w:t>
      </w:r>
    </w:p>
    <w:p w14:paraId="2B5E172A" w14:textId="60BAE382" w:rsidR="00CF4A69" w:rsidRPr="00BB6220" w:rsidRDefault="001B0622" w:rsidP="00B51F0B">
      <w:pPr>
        <w:pStyle w:val="Bullet"/>
        <w:rPr>
          <w:lang w:eastAsia="en-NZ"/>
        </w:rPr>
      </w:pPr>
      <w:r>
        <w:rPr>
          <w:lang w:eastAsia="en-NZ"/>
        </w:rPr>
        <w:t>c</w:t>
      </w:r>
      <w:r w:rsidR="00CF4A69" w:rsidRPr="00BB6220">
        <w:rPr>
          <w:lang w:eastAsia="en-NZ"/>
        </w:rPr>
        <w:t>onversion</w:t>
      </w:r>
      <w:r w:rsidR="003D640C">
        <w:rPr>
          <w:lang w:eastAsia="en-NZ"/>
        </w:rPr>
        <w:t xml:space="preserve"> </w:t>
      </w:r>
      <w:r w:rsidR="00CF4A69" w:rsidRPr="00BB6220">
        <w:rPr>
          <w:lang w:eastAsia="en-NZ"/>
        </w:rPr>
        <w:t>practices</w:t>
      </w:r>
    </w:p>
    <w:p w14:paraId="53AB678F" w14:textId="62D69AD2" w:rsidR="00CF4A69" w:rsidRPr="00BB6220" w:rsidRDefault="001B0622" w:rsidP="00B51F0B">
      <w:pPr>
        <w:pStyle w:val="Bullet"/>
        <w:rPr>
          <w:lang w:eastAsia="en-NZ"/>
        </w:rPr>
      </w:pPr>
      <w:r>
        <w:rPr>
          <w:lang w:eastAsia="en-NZ"/>
        </w:rPr>
        <w:t>t</w:t>
      </w:r>
      <w:r w:rsidR="00CF4A69" w:rsidRPr="00BB6220">
        <w:rPr>
          <w:lang w:eastAsia="en-NZ"/>
        </w:rPr>
        <w:t>he</w:t>
      </w:r>
      <w:r w:rsidR="003D640C">
        <w:rPr>
          <w:lang w:eastAsia="en-NZ"/>
        </w:rPr>
        <w:t xml:space="preserve"> </w:t>
      </w:r>
      <w:r w:rsidR="00CF4A69" w:rsidRPr="00BB6220">
        <w:rPr>
          <w:lang w:eastAsia="en-NZ"/>
        </w:rPr>
        <w:t>kinds</w:t>
      </w:r>
      <w:r w:rsidR="003D640C">
        <w:rPr>
          <w:lang w:eastAsia="en-NZ"/>
        </w:rPr>
        <w:t xml:space="preserve"> </w:t>
      </w:r>
      <w:r w:rsidR="00CF4A69" w:rsidRPr="00BB6220">
        <w:rPr>
          <w:lang w:eastAsia="en-NZ"/>
        </w:rPr>
        <w:t>of</w:t>
      </w:r>
      <w:r w:rsidR="003D640C">
        <w:rPr>
          <w:lang w:eastAsia="en-NZ"/>
        </w:rPr>
        <w:t xml:space="preserve"> </w:t>
      </w:r>
      <w:r w:rsidR="00CF4A69" w:rsidRPr="00BB6220">
        <w:rPr>
          <w:lang w:eastAsia="en-NZ"/>
        </w:rPr>
        <w:t>challenges</w:t>
      </w:r>
      <w:r w:rsidR="003D640C">
        <w:rPr>
          <w:lang w:eastAsia="en-NZ"/>
        </w:rPr>
        <w:t xml:space="preserve"> </w:t>
      </w:r>
      <w:r w:rsidR="00CF4A69" w:rsidRPr="00BB6220">
        <w:rPr>
          <w:lang w:eastAsia="en-NZ"/>
        </w:rPr>
        <w:t>faced</w:t>
      </w:r>
      <w:r w:rsidR="003D640C">
        <w:rPr>
          <w:lang w:eastAsia="en-NZ"/>
        </w:rPr>
        <w:t xml:space="preserve"> </w:t>
      </w:r>
      <w:r w:rsidR="00CF4A69" w:rsidRPr="00BB6220">
        <w:rPr>
          <w:lang w:eastAsia="en-NZ"/>
        </w:rPr>
        <w:t>in</w:t>
      </w:r>
      <w:r w:rsidR="003D640C">
        <w:rPr>
          <w:lang w:eastAsia="en-NZ"/>
        </w:rPr>
        <w:t xml:space="preserve"> </w:t>
      </w:r>
      <w:r w:rsidR="00CF4A69" w:rsidRPr="00BB6220">
        <w:rPr>
          <w:lang w:eastAsia="en-NZ"/>
        </w:rPr>
        <w:t>indoctrinating</w:t>
      </w:r>
      <w:r w:rsidR="003D640C">
        <w:rPr>
          <w:lang w:eastAsia="en-NZ"/>
        </w:rPr>
        <w:t xml:space="preserve"> </w:t>
      </w:r>
      <w:r w:rsidR="00CF4A69" w:rsidRPr="00BB6220">
        <w:rPr>
          <w:lang w:eastAsia="en-NZ"/>
        </w:rPr>
        <w:t>environments</w:t>
      </w:r>
      <w:r w:rsidR="003D640C">
        <w:rPr>
          <w:lang w:eastAsia="en-NZ"/>
        </w:rPr>
        <w:t xml:space="preserve"> </w:t>
      </w:r>
      <w:r w:rsidR="00CF4A69" w:rsidRPr="00BB6220">
        <w:rPr>
          <w:lang w:eastAsia="en-NZ"/>
        </w:rPr>
        <w:t>where</w:t>
      </w:r>
      <w:r w:rsidR="003D640C">
        <w:rPr>
          <w:lang w:eastAsia="en-NZ"/>
        </w:rPr>
        <w:t xml:space="preserve"> </w:t>
      </w:r>
      <w:r w:rsidR="00CF4A69" w:rsidRPr="00BB6220">
        <w:rPr>
          <w:lang w:eastAsia="en-NZ"/>
        </w:rPr>
        <w:t>they</w:t>
      </w:r>
      <w:r w:rsidR="003D640C">
        <w:rPr>
          <w:lang w:eastAsia="en-NZ"/>
        </w:rPr>
        <w:t xml:space="preserve"> </w:t>
      </w:r>
      <w:r w:rsidR="00CF4A69" w:rsidRPr="00BB6220">
        <w:rPr>
          <w:lang w:eastAsia="en-NZ"/>
        </w:rPr>
        <w:t>take</w:t>
      </w:r>
      <w:r w:rsidR="003D640C">
        <w:rPr>
          <w:lang w:eastAsia="en-NZ"/>
        </w:rPr>
        <w:t xml:space="preserve"> </w:t>
      </w:r>
      <w:r w:rsidR="00CF4A69" w:rsidRPr="00BB6220">
        <w:rPr>
          <w:lang w:eastAsia="en-NZ"/>
        </w:rPr>
        <w:t>place</w:t>
      </w:r>
    </w:p>
    <w:p w14:paraId="1F8B90DD" w14:textId="3940607C" w:rsidR="00501068" w:rsidRDefault="001B0622" w:rsidP="00B51F0B">
      <w:pPr>
        <w:pStyle w:val="Bullet"/>
        <w:rPr>
          <w:lang w:eastAsia="en-NZ"/>
        </w:rPr>
      </w:pPr>
      <w:r>
        <w:rPr>
          <w:lang w:eastAsia="en-NZ"/>
        </w:rPr>
        <w:t>i</w:t>
      </w:r>
      <w:r w:rsidR="00CF4A69" w:rsidRPr="00BB6220">
        <w:rPr>
          <w:lang w:eastAsia="en-NZ"/>
        </w:rPr>
        <w:t>ntersectionality</w:t>
      </w:r>
      <w:r w:rsidR="00EC052E">
        <w:rPr>
          <w:lang w:eastAsia="en-NZ"/>
        </w:rPr>
        <w:t>.</w:t>
      </w:r>
      <w:r w:rsidR="003D640C">
        <w:rPr>
          <w:lang w:eastAsia="en-NZ"/>
        </w:rPr>
        <w:t xml:space="preserve"> </w:t>
      </w:r>
    </w:p>
    <w:p w14:paraId="3D1619C5" w14:textId="53E147E1" w:rsidR="00CF4A69" w:rsidRPr="00BB6220" w:rsidRDefault="00CF4A69" w:rsidP="00B51F0B">
      <w:pPr>
        <w:rPr>
          <w:rFonts w:cstheme="minorHAnsi"/>
          <w:lang w:eastAsia="en-NZ"/>
        </w:rPr>
      </w:pPr>
      <w:r w:rsidRPr="00BB6220">
        <w:rPr>
          <w:lang w:eastAsia="en-NZ"/>
        </w:rPr>
        <w:t>A</w:t>
      </w:r>
      <w:r w:rsidR="003D640C">
        <w:rPr>
          <w:lang w:eastAsia="en-NZ"/>
        </w:rPr>
        <w:t xml:space="preserve"> </w:t>
      </w:r>
      <w:r w:rsidRPr="00BB6220">
        <w:rPr>
          <w:lang w:eastAsia="en-NZ"/>
        </w:rPr>
        <w:t>trans</w:t>
      </w:r>
      <w:r w:rsidR="003D640C">
        <w:rPr>
          <w:lang w:eastAsia="en-NZ"/>
        </w:rPr>
        <w:t xml:space="preserve"> </w:t>
      </w:r>
      <w:r w:rsidRPr="00BB6220">
        <w:rPr>
          <w:lang w:eastAsia="en-NZ"/>
        </w:rPr>
        <w:t>woman</w:t>
      </w:r>
      <w:r w:rsidR="003D640C">
        <w:rPr>
          <w:lang w:eastAsia="en-NZ"/>
        </w:rPr>
        <w:t xml:space="preserve"> </w:t>
      </w:r>
      <w:r w:rsidRPr="00BB6220">
        <w:rPr>
          <w:lang w:eastAsia="en-NZ"/>
        </w:rPr>
        <w:t>reported</w:t>
      </w:r>
      <w:r w:rsidR="003D640C">
        <w:rPr>
          <w:lang w:eastAsia="en-NZ"/>
        </w:rPr>
        <w:t xml:space="preserve"> </w:t>
      </w:r>
      <w:r w:rsidRPr="00BB6220">
        <w:rPr>
          <w:lang w:eastAsia="en-NZ"/>
        </w:rPr>
        <w:t>having</w:t>
      </w:r>
      <w:r w:rsidR="003D640C">
        <w:rPr>
          <w:lang w:eastAsia="en-NZ"/>
        </w:rPr>
        <w:t xml:space="preserve"> </w:t>
      </w:r>
      <w:r w:rsidRPr="00BB6220">
        <w:rPr>
          <w:lang w:eastAsia="en-NZ"/>
        </w:rPr>
        <w:t>to</w:t>
      </w:r>
      <w:r w:rsidR="003D640C">
        <w:rPr>
          <w:lang w:eastAsia="en-NZ"/>
        </w:rPr>
        <w:t xml:space="preserve"> </w:t>
      </w:r>
      <w:r w:rsidRPr="00BB6220">
        <w:rPr>
          <w:lang w:eastAsia="en-NZ"/>
        </w:rPr>
        <w:t>educate</w:t>
      </w:r>
      <w:r w:rsidR="003D640C">
        <w:rPr>
          <w:lang w:eastAsia="en-NZ"/>
        </w:rPr>
        <w:t xml:space="preserve"> </w:t>
      </w:r>
      <w:r w:rsidRPr="00BB6220">
        <w:rPr>
          <w:lang w:eastAsia="en-NZ"/>
        </w:rPr>
        <w:t>her</w:t>
      </w:r>
      <w:r w:rsidR="003D640C">
        <w:rPr>
          <w:lang w:eastAsia="en-NZ"/>
        </w:rPr>
        <w:t xml:space="preserve"> </w:t>
      </w:r>
      <w:r w:rsidRPr="00BB6220">
        <w:rPr>
          <w:lang w:eastAsia="en-NZ"/>
        </w:rPr>
        <w:t>therapist</w:t>
      </w:r>
      <w:r w:rsidR="003D640C">
        <w:rPr>
          <w:lang w:eastAsia="en-NZ"/>
        </w:rPr>
        <w:t xml:space="preserve"> </w:t>
      </w:r>
      <w:r w:rsidRPr="00BB6220">
        <w:rPr>
          <w:lang w:eastAsia="en-NZ"/>
        </w:rPr>
        <w:t>that</w:t>
      </w:r>
      <w:r w:rsidR="003D640C">
        <w:rPr>
          <w:lang w:eastAsia="en-NZ"/>
        </w:rPr>
        <w:t xml:space="preserve"> </w:t>
      </w:r>
      <w:r w:rsidRPr="00BB6220">
        <w:rPr>
          <w:lang w:eastAsia="en-NZ"/>
        </w:rPr>
        <w:t>the</w:t>
      </w:r>
      <w:r w:rsidR="003D640C">
        <w:rPr>
          <w:lang w:eastAsia="en-NZ"/>
        </w:rPr>
        <w:t xml:space="preserve"> </w:t>
      </w:r>
      <w:r w:rsidRPr="00BB6220">
        <w:rPr>
          <w:lang w:eastAsia="en-NZ"/>
        </w:rPr>
        <w:t>relationship</w:t>
      </w:r>
      <w:r w:rsidR="003D640C">
        <w:rPr>
          <w:lang w:eastAsia="en-NZ"/>
        </w:rPr>
        <w:t xml:space="preserve"> </w:t>
      </w:r>
      <w:r w:rsidRPr="00BB6220">
        <w:rPr>
          <w:lang w:eastAsia="en-NZ"/>
        </w:rPr>
        <w:t>between</w:t>
      </w:r>
      <w:r w:rsidR="003D640C">
        <w:rPr>
          <w:lang w:eastAsia="en-NZ"/>
        </w:rPr>
        <w:t xml:space="preserve"> </w:t>
      </w:r>
      <w:r w:rsidRPr="00BB6220">
        <w:rPr>
          <w:lang w:eastAsia="en-NZ"/>
        </w:rPr>
        <w:t>childhood</w:t>
      </w:r>
      <w:r w:rsidR="003D640C">
        <w:rPr>
          <w:lang w:eastAsia="en-NZ"/>
        </w:rPr>
        <w:t xml:space="preserve"> </w:t>
      </w:r>
      <w:r w:rsidRPr="00BB6220">
        <w:rPr>
          <w:lang w:eastAsia="en-NZ"/>
        </w:rPr>
        <w:t>trauma/sexual</w:t>
      </w:r>
      <w:r w:rsidR="003D640C">
        <w:rPr>
          <w:lang w:eastAsia="en-NZ"/>
        </w:rPr>
        <w:t xml:space="preserve"> </w:t>
      </w:r>
      <w:r w:rsidRPr="00BB6220">
        <w:rPr>
          <w:lang w:eastAsia="en-NZ"/>
        </w:rPr>
        <w:t>abuse</w:t>
      </w:r>
      <w:r w:rsidR="003D640C">
        <w:rPr>
          <w:lang w:eastAsia="en-NZ"/>
        </w:rPr>
        <w:t xml:space="preserve"> </w:t>
      </w:r>
      <w:r w:rsidRPr="00BB6220">
        <w:rPr>
          <w:lang w:eastAsia="en-NZ"/>
        </w:rPr>
        <w:t>and</w:t>
      </w:r>
      <w:r w:rsidR="003D640C">
        <w:rPr>
          <w:lang w:eastAsia="en-NZ"/>
        </w:rPr>
        <w:t xml:space="preserve"> </w:t>
      </w:r>
      <w:r w:rsidRPr="00BB6220">
        <w:rPr>
          <w:lang w:eastAsia="en-NZ"/>
        </w:rPr>
        <w:t>being</w:t>
      </w:r>
      <w:r w:rsidR="003D640C">
        <w:rPr>
          <w:lang w:eastAsia="en-NZ"/>
        </w:rPr>
        <w:t xml:space="preserve"> </w:t>
      </w:r>
      <w:r w:rsidR="002D1DD6" w:rsidRPr="00BB6220">
        <w:rPr>
          <w:lang w:eastAsia="en-NZ"/>
        </w:rPr>
        <w:t>Rainbow</w:t>
      </w:r>
      <w:r w:rsidR="003D640C">
        <w:rPr>
          <w:lang w:eastAsia="en-NZ"/>
        </w:rPr>
        <w:t xml:space="preserve"> </w:t>
      </w:r>
      <w:r w:rsidRPr="00BB6220">
        <w:rPr>
          <w:lang w:eastAsia="en-NZ"/>
        </w:rPr>
        <w:t>is</w:t>
      </w:r>
      <w:r w:rsidR="003D640C">
        <w:rPr>
          <w:lang w:eastAsia="en-NZ"/>
        </w:rPr>
        <w:t xml:space="preserve"> </w:t>
      </w:r>
      <w:r w:rsidRPr="00BB6220">
        <w:rPr>
          <w:lang w:eastAsia="en-NZ"/>
        </w:rPr>
        <w:t>not</w:t>
      </w:r>
      <w:r w:rsidR="003D640C">
        <w:rPr>
          <w:lang w:eastAsia="en-NZ"/>
        </w:rPr>
        <w:t xml:space="preserve"> </w:t>
      </w:r>
      <w:r w:rsidRPr="00BB6220">
        <w:rPr>
          <w:lang w:eastAsia="en-NZ"/>
        </w:rPr>
        <w:t>causal,</w:t>
      </w:r>
      <w:r w:rsidR="003D640C">
        <w:rPr>
          <w:lang w:eastAsia="en-NZ"/>
        </w:rPr>
        <w:t xml:space="preserve"> </w:t>
      </w:r>
      <w:r w:rsidRPr="00BB6220">
        <w:rPr>
          <w:lang w:eastAsia="en-NZ"/>
        </w:rPr>
        <w:t>if</w:t>
      </w:r>
      <w:r w:rsidR="003D640C">
        <w:rPr>
          <w:lang w:eastAsia="en-NZ"/>
        </w:rPr>
        <w:t xml:space="preserve"> </w:t>
      </w:r>
      <w:r w:rsidRPr="00BB6220">
        <w:rPr>
          <w:lang w:eastAsia="en-NZ"/>
        </w:rPr>
        <w:t>there</w:t>
      </w:r>
      <w:r w:rsidR="003D640C">
        <w:rPr>
          <w:lang w:eastAsia="en-NZ"/>
        </w:rPr>
        <w:t xml:space="preserve"> </w:t>
      </w:r>
      <w:r w:rsidRPr="00BB6220">
        <w:rPr>
          <w:lang w:eastAsia="en-NZ"/>
        </w:rPr>
        <w:t>even</w:t>
      </w:r>
      <w:r w:rsidR="003D640C">
        <w:rPr>
          <w:lang w:eastAsia="en-NZ"/>
        </w:rPr>
        <w:t xml:space="preserve"> </w:t>
      </w:r>
      <w:r w:rsidRPr="00BB6220">
        <w:rPr>
          <w:lang w:eastAsia="en-NZ"/>
        </w:rPr>
        <w:t>is</w:t>
      </w:r>
      <w:r w:rsidR="003D640C">
        <w:rPr>
          <w:lang w:eastAsia="en-NZ"/>
        </w:rPr>
        <w:t xml:space="preserve"> </w:t>
      </w:r>
      <w:r w:rsidRPr="00BB6220">
        <w:rPr>
          <w:lang w:eastAsia="en-NZ"/>
        </w:rPr>
        <w:t>one</w:t>
      </w:r>
      <w:r w:rsidR="000C3685" w:rsidRPr="00BB6220">
        <w:rPr>
          <w:lang w:eastAsia="en-NZ"/>
        </w:rPr>
        <w:t>.</w:t>
      </w:r>
      <w:r w:rsidR="003D640C">
        <w:rPr>
          <w:lang w:eastAsia="en-NZ"/>
        </w:rPr>
        <w:t xml:space="preserve"> </w:t>
      </w:r>
    </w:p>
    <w:p w14:paraId="13E76174" w14:textId="74EE52D6" w:rsidR="00CF4A69" w:rsidRPr="00BB6220" w:rsidRDefault="00CF4A69" w:rsidP="00B51F0B">
      <w:pPr>
        <w:rPr>
          <w:rFonts w:cstheme="minorHAnsi"/>
          <w:lang w:eastAsia="en-NZ"/>
        </w:rPr>
      </w:pPr>
      <w:r w:rsidRPr="00BB6220">
        <w:rPr>
          <w:lang w:eastAsia="en-NZ"/>
        </w:rPr>
        <w:t>One</w:t>
      </w:r>
      <w:r w:rsidR="003D640C">
        <w:rPr>
          <w:lang w:eastAsia="en-NZ"/>
        </w:rPr>
        <w:t xml:space="preserve"> </w:t>
      </w:r>
      <w:r w:rsidRPr="00BB6220">
        <w:rPr>
          <w:lang w:eastAsia="en-NZ"/>
        </w:rPr>
        <w:t>South</w:t>
      </w:r>
      <w:r w:rsidR="00881E37" w:rsidRPr="00BB6220">
        <w:rPr>
          <w:lang w:eastAsia="en-NZ"/>
        </w:rPr>
        <w:t>e</w:t>
      </w:r>
      <w:r w:rsidRPr="00BB6220">
        <w:rPr>
          <w:lang w:eastAsia="en-NZ"/>
        </w:rPr>
        <w:t>ast</w:t>
      </w:r>
      <w:r w:rsidR="003D640C">
        <w:rPr>
          <w:lang w:eastAsia="en-NZ"/>
        </w:rPr>
        <w:t xml:space="preserve"> </w:t>
      </w:r>
      <w:r w:rsidRPr="00BB6220">
        <w:rPr>
          <w:lang w:eastAsia="en-NZ"/>
        </w:rPr>
        <w:t>Asian</w:t>
      </w:r>
      <w:r w:rsidR="003D640C">
        <w:rPr>
          <w:lang w:eastAsia="en-NZ"/>
        </w:rPr>
        <w:t xml:space="preserve"> </w:t>
      </w:r>
      <w:r w:rsidRPr="00BB6220">
        <w:rPr>
          <w:lang w:eastAsia="en-NZ"/>
        </w:rPr>
        <w:t>participant</w:t>
      </w:r>
      <w:r w:rsidR="003D640C">
        <w:rPr>
          <w:lang w:eastAsia="en-NZ"/>
        </w:rPr>
        <w:t xml:space="preserve"> </w:t>
      </w:r>
      <w:r w:rsidRPr="00BB6220">
        <w:rPr>
          <w:lang w:eastAsia="en-NZ"/>
        </w:rPr>
        <w:t>noted,</w:t>
      </w:r>
      <w:r w:rsidR="003D640C">
        <w:rPr>
          <w:lang w:eastAsia="en-NZ"/>
        </w:rPr>
        <w:t xml:space="preserve"> </w:t>
      </w:r>
      <w:r w:rsidRPr="00BB6220">
        <w:rPr>
          <w:lang w:eastAsia="en-NZ"/>
        </w:rPr>
        <w:t>“</w:t>
      </w:r>
      <w:r w:rsidR="00EC052E">
        <w:rPr>
          <w:lang w:eastAsia="en-NZ"/>
        </w:rPr>
        <w:t>W</w:t>
      </w:r>
      <w:r w:rsidRPr="00BB6220">
        <w:rPr>
          <w:lang w:eastAsia="en-NZ"/>
        </w:rPr>
        <w:t>hen</w:t>
      </w:r>
      <w:r w:rsidR="003D640C">
        <w:rPr>
          <w:lang w:eastAsia="en-NZ"/>
        </w:rPr>
        <w:t xml:space="preserve"> </w:t>
      </w:r>
      <w:r w:rsidRPr="00BB6220">
        <w:rPr>
          <w:lang w:eastAsia="en-NZ"/>
        </w:rPr>
        <w:t>you</w:t>
      </w:r>
      <w:r w:rsidR="003D640C">
        <w:rPr>
          <w:lang w:eastAsia="en-NZ"/>
        </w:rPr>
        <w:t xml:space="preserve"> </w:t>
      </w:r>
      <w:r w:rsidRPr="00BB6220">
        <w:rPr>
          <w:lang w:eastAsia="en-NZ"/>
        </w:rPr>
        <w:t>put</w:t>
      </w:r>
      <w:r w:rsidR="003D640C">
        <w:rPr>
          <w:lang w:eastAsia="en-NZ"/>
        </w:rPr>
        <w:t xml:space="preserve"> </w:t>
      </w:r>
      <w:r w:rsidRPr="00BB6220">
        <w:rPr>
          <w:lang w:eastAsia="en-NZ"/>
        </w:rPr>
        <w:t>a</w:t>
      </w:r>
      <w:r w:rsidR="003D640C">
        <w:rPr>
          <w:lang w:eastAsia="en-NZ"/>
        </w:rPr>
        <w:t xml:space="preserve"> </w:t>
      </w:r>
      <w:r w:rsidRPr="00BB6220">
        <w:rPr>
          <w:lang w:eastAsia="en-NZ"/>
        </w:rPr>
        <w:t>minority</w:t>
      </w:r>
      <w:r w:rsidR="003D640C">
        <w:rPr>
          <w:lang w:eastAsia="en-NZ"/>
        </w:rPr>
        <w:t xml:space="preserve"> </w:t>
      </w:r>
      <w:r w:rsidRPr="00BB6220">
        <w:rPr>
          <w:lang w:eastAsia="en-NZ"/>
        </w:rPr>
        <w:t>within</w:t>
      </w:r>
      <w:r w:rsidR="003D640C">
        <w:rPr>
          <w:lang w:eastAsia="en-NZ"/>
        </w:rPr>
        <w:t xml:space="preserve"> </w:t>
      </w:r>
      <w:r w:rsidRPr="00BB6220">
        <w:rPr>
          <w:lang w:eastAsia="en-NZ"/>
        </w:rPr>
        <w:t>a</w:t>
      </w:r>
      <w:r w:rsidR="003D640C">
        <w:rPr>
          <w:lang w:eastAsia="en-NZ"/>
        </w:rPr>
        <w:t xml:space="preserve"> </w:t>
      </w:r>
      <w:r w:rsidRPr="00BB6220">
        <w:rPr>
          <w:lang w:eastAsia="en-NZ"/>
        </w:rPr>
        <w:t>minority</w:t>
      </w:r>
      <w:r w:rsidR="003D640C">
        <w:rPr>
          <w:lang w:eastAsia="en-NZ"/>
        </w:rPr>
        <w:t xml:space="preserve"> </w:t>
      </w:r>
      <w:r w:rsidRPr="00BB6220">
        <w:rPr>
          <w:lang w:eastAsia="en-NZ"/>
        </w:rPr>
        <w:t>and</w:t>
      </w:r>
      <w:r w:rsidR="003D640C">
        <w:rPr>
          <w:lang w:eastAsia="en-NZ"/>
        </w:rPr>
        <w:t xml:space="preserve"> </w:t>
      </w:r>
      <w:r w:rsidRPr="00BB6220">
        <w:rPr>
          <w:lang w:eastAsia="en-NZ"/>
        </w:rPr>
        <w:t>then</w:t>
      </w:r>
      <w:r w:rsidR="003D640C">
        <w:rPr>
          <w:lang w:eastAsia="en-NZ"/>
        </w:rPr>
        <w:t xml:space="preserve"> </w:t>
      </w:r>
      <w:r w:rsidRPr="00BB6220">
        <w:rPr>
          <w:lang w:eastAsia="en-NZ"/>
        </w:rPr>
        <w:t>throw</w:t>
      </w:r>
      <w:r w:rsidR="003D640C">
        <w:rPr>
          <w:lang w:eastAsia="en-NZ"/>
        </w:rPr>
        <w:t xml:space="preserve"> </w:t>
      </w:r>
      <w:r w:rsidRPr="00BB6220">
        <w:rPr>
          <w:lang w:eastAsia="en-NZ"/>
        </w:rPr>
        <w:t>the</w:t>
      </w:r>
      <w:r w:rsidR="003D640C">
        <w:rPr>
          <w:lang w:eastAsia="en-NZ"/>
        </w:rPr>
        <w:t xml:space="preserve"> </w:t>
      </w:r>
      <w:r w:rsidRPr="00BB6220">
        <w:rPr>
          <w:lang w:eastAsia="en-NZ"/>
        </w:rPr>
        <w:t>faith</w:t>
      </w:r>
      <w:r w:rsidR="003D640C">
        <w:rPr>
          <w:lang w:eastAsia="en-NZ"/>
        </w:rPr>
        <w:t xml:space="preserve"> </w:t>
      </w:r>
      <w:r w:rsidRPr="00BB6220">
        <w:rPr>
          <w:lang w:eastAsia="en-NZ"/>
        </w:rPr>
        <w:t>stuff</w:t>
      </w:r>
      <w:r w:rsidR="003D640C">
        <w:rPr>
          <w:lang w:eastAsia="en-NZ"/>
        </w:rPr>
        <w:t xml:space="preserve"> </w:t>
      </w:r>
      <w:r w:rsidRPr="00BB6220">
        <w:rPr>
          <w:lang w:eastAsia="en-NZ"/>
        </w:rPr>
        <w:t>in</w:t>
      </w:r>
      <w:r w:rsidR="003D640C">
        <w:rPr>
          <w:lang w:eastAsia="en-NZ"/>
        </w:rPr>
        <w:t xml:space="preserve"> </w:t>
      </w:r>
      <w:r w:rsidRPr="00BB6220">
        <w:rPr>
          <w:lang w:eastAsia="en-NZ"/>
        </w:rPr>
        <w:t>there,</w:t>
      </w:r>
      <w:r w:rsidR="003D640C">
        <w:rPr>
          <w:lang w:eastAsia="en-NZ"/>
        </w:rPr>
        <w:t xml:space="preserve"> </w:t>
      </w:r>
      <w:r w:rsidRPr="00BB6220">
        <w:rPr>
          <w:lang w:eastAsia="en-NZ"/>
        </w:rPr>
        <w:t>a</w:t>
      </w:r>
      <w:r w:rsidR="003D640C">
        <w:rPr>
          <w:lang w:eastAsia="en-NZ"/>
        </w:rPr>
        <w:t xml:space="preserve"> </w:t>
      </w:r>
      <w:r w:rsidRPr="00BB6220">
        <w:rPr>
          <w:lang w:eastAsia="en-NZ"/>
        </w:rPr>
        <w:t>lot</w:t>
      </w:r>
      <w:r w:rsidR="003D640C">
        <w:rPr>
          <w:lang w:eastAsia="en-NZ"/>
        </w:rPr>
        <w:t xml:space="preserve"> </w:t>
      </w:r>
      <w:r w:rsidRPr="00BB6220">
        <w:rPr>
          <w:lang w:eastAsia="en-NZ"/>
        </w:rPr>
        <w:t>of</w:t>
      </w:r>
      <w:r w:rsidR="003D640C">
        <w:rPr>
          <w:lang w:eastAsia="en-NZ"/>
        </w:rPr>
        <w:t xml:space="preserve"> </w:t>
      </w:r>
      <w:r w:rsidRPr="00BB6220">
        <w:rPr>
          <w:lang w:eastAsia="en-NZ"/>
        </w:rPr>
        <w:t>these</w:t>
      </w:r>
      <w:r w:rsidR="003D640C">
        <w:rPr>
          <w:lang w:eastAsia="en-NZ"/>
        </w:rPr>
        <w:t xml:space="preserve"> </w:t>
      </w:r>
      <w:r w:rsidRPr="00BB6220">
        <w:rPr>
          <w:lang w:eastAsia="en-NZ"/>
        </w:rPr>
        <w:t>professionals</w:t>
      </w:r>
      <w:r w:rsidR="003D640C">
        <w:rPr>
          <w:lang w:eastAsia="en-NZ"/>
        </w:rPr>
        <w:t xml:space="preserve"> </w:t>
      </w:r>
      <w:r w:rsidRPr="00BB6220">
        <w:rPr>
          <w:lang w:eastAsia="en-NZ"/>
        </w:rPr>
        <w:t>have</w:t>
      </w:r>
      <w:r w:rsidR="003D640C">
        <w:rPr>
          <w:lang w:eastAsia="en-NZ"/>
        </w:rPr>
        <w:t xml:space="preserve"> </w:t>
      </w:r>
      <w:r w:rsidRPr="00BB6220">
        <w:rPr>
          <w:lang w:eastAsia="en-NZ"/>
        </w:rPr>
        <w:t>no</w:t>
      </w:r>
      <w:r w:rsidR="003D640C">
        <w:rPr>
          <w:lang w:eastAsia="en-NZ"/>
        </w:rPr>
        <w:t xml:space="preserve"> </w:t>
      </w:r>
      <w:r w:rsidRPr="00BB6220">
        <w:rPr>
          <w:lang w:eastAsia="en-NZ"/>
        </w:rPr>
        <w:t>idea</w:t>
      </w:r>
      <w:r w:rsidR="003D640C">
        <w:rPr>
          <w:lang w:eastAsia="en-NZ"/>
        </w:rPr>
        <w:t xml:space="preserve"> </w:t>
      </w:r>
      <w:r w:rsidRPr="00BB6220">
        <w:rPr>
          <w:lang w:eastAsia="en-NZ"/>
        </w:rPr>
        <w:t>how</w:t>
      </w:r>
      <w:r w:rsidR="003D640C">
        <w:rPr>
          <w:lang w:eastAsia="en-NZ"/>
        </w:rPr>
        <w:t xml:space="preserve"> </w:t>
      </w:r>
      <w:r w:rsidRPr="00BB6220">
        <w:rPr>
          <w:lang w:eastAsia="en-NZ"/>
        </w:rPr>
        <w:t>to</w:t>
      </w:r>
      <w:r w:rsidR="003D640C">
        <w:rPr>
          <w:lang w:eastAsia="en-NZ"/>
        </w:rPr>
        <w:t xml:space="preserve"> </w:t>
      </w:r>
      <w:r w:rsidRPr="00BB6220">
        <w:rPr>
          <w:lang w:eastAsia="en-NZ"/>
        </w:rPr>
        <w:t>help.</w:t>
      </w:r>
      <w:r w:rsidR="003D640C">
        <w:rPr>
          <w:lang w:eastAsia="en-NZ"/>
        </w:rPr>
        <w:t xml:space="preserve"> </w:t>
      </w:r>
      <w:r w:rsidRPr="00BB6220">
        <w:rPr>
          <w:lang w:eastAsia="en-NZ"/>
        </w:rPr>
        <w:t>You</w:t>
      </w:r>
      <w:r w:rsidR="003D640C">
        <w:rPr>
          <w:lang w:eastAsia="en-NZ"/>
        </w:rPr>
        <w:t xml:space="preserve"> </w:t>
      </w:r>
      <w:r w:rsidRPr="00BB6220">
        <w:rPr>
          <w:lang w:eastAsia="en-NZ"/>
        </w:rPr>
        <w:t>end</w:t>
      </w:r>
      <w:r w:rsidR="003D640C">
        <w:rPr>
          <w:lang w:eastAsia="en-NZ"/>
        </w:rPr>
        <w:t xml:space="preserve"> </w:t>
      </w:r>
      <w:r w:rsidRPr="00BB6220">
        <w:rPr>
          <w:lang w:eastAsia="en-NZ"/>
        </w:rPr>
        <w:t>up</w:t>
      </w:r>
      <w:r w:rsidR="003D640C">
        <w:rPr>
          <w:lang w:eastAsia="en-NZ"/>
        </w:rPr>
        <w:t xml:space="preserve"> </w:t>
      </w:r>
      <w:r w:rsidRPr="00BB6220">
        <w:rPr>
          <w:lang w:eastAsia="en-NZ"/>
        </w:rPr>
        <w:t>supporting</w:t>
      </w:r>
      <w:r w:rsidR="003D640C">
        <w:rPr>
          <w:lang w:eastAsia="en-NZ"/>
        </w:rPr>
        <w:t xml:space="preserve"> </w:t>
      </w:r>
      <w:r w:rsidRPr="00BB6220">
        <w:rPr>
          <w:lang w:eastAsia="en-NZ"/>
        </w:rPr>
        <w:t>them</w:t>
      </w:r>
      <w:r w:rsidR="003D640C">
        <w:rPr>
          <w:lang w:eastAsia="en-NZ"/>
        </w:rPr>
        <w:t xml:space="preserve"> </w:t>
      </w:r>
      <w:r w:rsidRPr="00BB6220">
        <w:rPr>
          <w:lang w:eastAsia="en-NZ"/>
        </w:rPr>
        <w:t>to</w:t>
      </w:r>
      <w:r w:rsidR="003D640C">
        <w:rPr>
          <w:lang w:eastAsia="en-NZ"/>
        </w:rPr>
        <w:t xml:space="preserve"> </w:t>
      </w:r>
      <w:r w:rsidRPr="00BB6220">
        <w:rPr>
          <w:lang w:eastAsia="en-NZ"/>
        </w:rPr>
        <w:t>support</w:t>
      </w:r>
      <w:r w:rsidR="003D640C">
        <w:rPr>
          <w:lang w:eastAsia="en-NZ"/>
        </w:rPr>
        <w:t xml:space="preserve"> </w:t>
      </w:r>
      <w:r w:rsidRPr="00BB6220">
        <w:rPr>
          <w:lang w:eastAsia="en-NZ"/>
        </w:rPr>
        <w:t>you.”</w:t>
      </w:r>
    </w:p>
    <w:p w14:paraId="697C6837" w14:textId="17B68795" w:rsidR="009772B4" w:rsidRPr="00BB6220" w:rsidRDefault="00CF4A69" w:rsidP="00B51F0B">
      <w:pPr>
        <w:rPr>
          <w:rFonts w:cstheme="minorHAnsi"/>
          <w:lang w:eastAsia="en-NZ"/>
        </w:rPr>
      </w:pPr>
      <w:r w:rsidRPr="00BB6220">
        <w:rPr>
          <w:rFonts w:cstheme="minorHAnsi"/>
          <w:lang w:eastAsia="en-NZ"/>
        </w:rPr>
        <w:t>Some</w:t>
      </w:r>
      <w:r w:rsidR="003D640C">
        <w:rPr>
          <w:rFonts w:cstheme="minorHAnsi"/>
          <w:lang w:eastAsia="en-NZ"/>
        </w:rPr>
        <w:t xml:space="preserve"> </w:t>
      </w:r>
      <w:r w:rsidRPr="00BB6220">
        <w:rPr>
          <w:rFonts w:cstheme="minorHAnsi"/>
          <w:lang w:eastAsia="en-NZ"/>
        </w:rPr>
        <w:t>of</w:t>
      </w:r>
      <w:r w:rsidR="003D640C">
        <w:rPr>
          <w:rFonts w:cstheme="minorHAnsi"/>
          <w:lang w:eastAsia="en-NZ"/>
        </w:rPr>
        <w:t xml:space="preserve"> </w:t>
      </w:r>
      <w:r w:rsidRPr="00BB6220">
        <w:rPr>
          <w:rFonts w:cstheme="minorHAnsi"/>
          <w:lang w:eastAsia="en-NZ"/>
        </w:rPr>
        <w:t>the</w:t>
      </w:r>
      <w:r w:rsidR="003D640C">
        <w:rPr>
          <w:rFonts w:cstheme="minorHAnsi"/>
          <w:lang w:eastAsia="en-NZ"/>
        </w:rPr>
        <w:t xml:space="preserve"> </w:t>
      </w:r>
      <w:r w:rsidRPr="00BB6220">
        <w:rPr>
          <w:rFonts w:cstheme="minorHAnsi"/>
          <w:lang w:eastAsia="en-NZ"/>
        </w:rPr>
        <w:t>unique</w:t>
      </w:r>
      <w:r w:rsidR="003D640C">
        <w:rPr>
          <w:rFonts w:cstheme="minorHAnsi"/>
          <w:lang w:eastAsia="en-NZ"/>
        </w:rPr>
        <w:t xml:space="preserve"> </w:t>
      </w:r>
      <w:r w:rsidRPr="00BB6220">
        <w:rPr>
          <w:rFonts w:cstheme="minorHAnsi"/>
          <w:lang w:eastAsia="en-NZ"/>
        </w:rPr>
        <w:t>complexities</w:t>
      </w:r>
      <w:r w:rsidR="003D640C">
        <w:rPr>
          <w:rFonts w:cstheme="minorHAnsi"/>
          <w:lang w:eastAsia="en-NZ"/>
        </w:rPr>
        <w:t xml:space="preserve"> </w:t>
      </w:r>
      <w:r w:rsidRPr="00BB6220">
        <w:rPr>
          <w:rFonts w:cstheme="minorHAnsi"/>
          <w:lang w:eastAsia="en-NZ"/>
        </w:rPr>
        <w:t>of</w:t>
      </w:r>
      <w:r w:rsidR="003D640C">
        <w:rPr>
          <w:rFonts w:cstheme="minorHAnsi"/>
          <w:lang w:eastAsia="en-NZ"/>
        </w:rPr>
        <w:t xml:space="preserve"> </w:t>
      </w:r>
      <w:r w:rsidRPr="00BB6220">
        <w:rPr>
          <w:rFonts w:cstheme="minorHAnsi"/>
          <w:lang w:eastAsia="en-NZ"/>
        </w:rPr>
        <w:t>recovery</w:t>
      </w:r>
      <w:r w:rsidR="003D640C">
        <w:rPr>
          <w:rFonts w:cstheme="minorHAnsi"/>
          <w:lang w:eastAsia="en-NZ"/>
        </w:rPr>
        <w:t xml:space="preserve"> </w:t>
      </w:r>
      <w:r w:rsidR="00F47F0E">
        <w:rPr>
          <w:rFonts w:cstheme="minorHAnsi"/>
          <w:lang w:eastAsia="en-NZ"/>
        </w:rPr>
        <w:t xml:space="preserve">– </w:t>
      </w:r>
      <w:r w:rsidRPr="00BB6220">
        <w:rPr>
          <w:rFonts w:cstheme="minorHAnsi"/>
          <w:lang w:eastAsia="en-NZ"/>
        </w:rPr>
        <w:t>such</w:t>
      </w:r>
      <w:r w:rsidR="003D640C">
        <w:rPr>
          <w:rFonts w:cstheme="minorHAnsi"/>
          <w:lang w:eastAsia="en-NZ"/>
        </w:rPr>
        <w:t xml:space="preserve"> </w:t>
      </w:r>
      <w:r w:rsidRPr="00BB6220">
        <w:rPr>
          <w:rFonts w:cstheme="minorHAnsi"/>
          <w:lang w:eastAsia="en-NZ"/>
        </w:rPr>
        <w:t>as</w:t>
      </w:r>
      <w:r w:rsidR="003D640C">
        <w:rPr>
          <w:rFonts w:cstheme="minorHAnsi"/>
          <w:lang w:eastAsia="en-NZ"/>
        </w:rPr>
        <w:t xml:space="preserve"> </w:t>
      </w:r>
      <w:r w:rsidRPr="00BB6220">
        <w:rPr>
          <w:rFonts w:cstheme="minorHAnsi"/>
          <w:lang w:eastAsia="en-NZ"/>
        </w:rPr>
        <w:t>the</w:t>
      </w:r>
      <w:r w:rsidR="003D640C">
        <w:rPr>
          <w:rFonts w:cstheme="minorHAnsi"/>
          <w:lang w:eastAsia="en-NZ"/>
        </w:rPr>
        <w:t xml:space="preserve"> </w:t>
      </w:r>
      <w:r w:rsidRPr="00BB6220">
        <w:rPr>
          <w:rFonts w:cstheme="minorHAnsi"/>
          <w:lang w:eastAsia="en-NZ"/>
        </w:rPr>
        <w:t>duality</w:t>
      </w:r>
      <w:r w:rsidR="003D640C">
        <w:rPr>
          <w:rFonts w:cstheme="minorHAnsi"/>
          <w:lang w:eastAsia="en-NZ"/>
        </w:rPr>
        <w:t xml:space="preserve"> </w:t>
      </w:r>
      <w:r w:rsidRPr="00BB6220">
        <w:rPr>
          <w:rFonts w:cstheme="minorHAnsi"/>
          <w:lang w:eastAsia="en-NZ"/>
        </w:rPr>
        <w:t>of</w:t>
      </w:r>
      <w:r w:rsidR="003D640C">
        <w:rPr>
          <w:rFonts w:cstheme="minorHAnsi"/>
          <w:lang w:eastAsia="en-NZ"/>
        </w:rPr>
        <w:t xml:space="preserve"> </w:t>
      </w:r>
      <w:r w:rsidRPr="00BB6220">
        <w:rPr>
          <w:rFonts w:cstheme="minorHAnsi"/>
          <w:lang w:eastAsia="en-NZ"/>
        </w:rPr>
        <w:t>feeling</w:t>
      </w:r>
      <w:r w:rsidR="003D640C">
        <w:rPr>
          <w:rFonts w:cstheme="minorHAnsi"/>
          <w:lang w:eastAsia="en-NZ"/>
        </w:rPr>
        <w:t xml:space="preserve"> </w:t>
      </w:r>
      <w:r w:rsidRPr="00BB6220">
        <w:rPr>
          <w:rFonts w:cstheme="minorHAnsi"/>
          <w:lang w:eastAsia="en-NZ"/>
        </w:rPr>
        <w:t>emotional</w:t>
      </w:r>
      <w:r w:rsidR="003D640C">
        <w:rPr>
          <w:rFonts w:cstheme="minorHAnsi"/>
          <w:lang w:eastAsia="en-NZ"/>
        </w:rPr>
        <w:t xml:space="preserve"> </w:t>
      </w:r>
      <w:r w:rsidRPr="00BB6220">
        <w:rPr>
          <w:rFonts w:cstheme="minorHAnsi"/>
          <w:lang w:eastAsia="en-NZ"/>
        </w:rPr>
        <w:t>fatigue</w:t>
      </w:r>
      <w:r w:rsidR="003D640C">
        <w:rPr>
          <w:rFonts w:cstheme="minorHAnsi"/>
          <w:lang w:eastAsia="en-NZ"/>
        </w:rPr>
        <w:t xml:space="preserve"> </w:t>
      </w:r>
      <w:r w:rsidRPr="00BB6220">
        <w:rPr>
          <w:rFonts w:cstheme="minorHAnsi"/>
          <w:lang w:eastAsia="en-NZ"/>
        </w:rPr>
        <w:t>at</w:t>
      </w:r>
      <w:r w:rsidR="003D640C">
        <w:rPr>
          <w:rFonts w:cstheme="minorHAnsi"/>
          <w:lang w:eastAsia="en-NZ"/>
        </w:rPr>
        <w:t xml:space="preserve"> </w:t>
      </w:r>
      <w:r w:rsidRPr="00BB6220">
        <w:rPr>
          <w:rFonts w:cstheme="minorHAnsi"/>
          <w:lang w:eastAsia="en-NZ"/>
        </w:rPr>
        <w:t>the</w:t>
      </w:r>
      <w:r w:rsidR="003D640C">
        <w:rPr>
          <w:rFonts w:cstheme="minorHAnsi"/>
          <w:lang w:eastAsia="en-NZ"/>
        </w:rPr>
        <w:t xml:space="preserve"> </w:t>
      </w:r>
      <w:r w:rsidRPr="00BB6220">
        <w:rPr>
          <w:rFonts w:cstheme="minorHAnsi"/>
          <w:lang w:eastAsia="en-NZ"/>
        </w:rPr>
        <w:t>same</w:t>
      </w:r>
      <w:r w:rsidR="003D640C">
        <w:rPr>
          <w:rFonts w:cstheme="minorHAnsi"/>
          <w:lang w:eastAsia="en-NZ"/>
        </w:rPr>
        <w:t xml:space="preserve"> </w:t>
      </w:r>
      <w:r w:rsidRPr="00BB6220">
        <w:rPr>
          <w:rFonts w:cstheme="minorHAnsi"/>
          <w:lang w:eastAsia="en-NZ"/>
        </w:rPr>
        <w:t>time</w:t>
      </w:r>
      <w:r w:rsidR="003D640C">
        <w:rPr>
          <w:rFonts w:cstheme="minorHAnsi"/>
          <w:lang w:eastAsia="en-NZ"/>
        </w:rPr>
        <w:t xml:space="preserve"> </w:t>
      </w:r>
      <w:r w:rsidRPr="00BB6220">
        <w:rPr>
          <w:rFonts w:cstheme="minorHAnsi"/>
          <w:lang w:eastAsia="en-NZ"/>
        </w:rPr>
        <w:t>as</w:t>
      </w:r>
      <w:r w:rsidR="003D640C">
        <w:rPr>
          <w:rFonts w:cstheme="minorHAnsi"/>
          <w:lang w:eastAsia="en-NZ"/>
        </w:rPr>
        <w:t xml:space="preserve"> </w:t>
      </w:r>
      <w:r w:rsidRPr="00BB6220">
        <w:rPr>
          <w:rFonts w:cstheme="minorHAnsi"/>
          <w:lang w:eastAsia="en-NZ"/>
        </w:rPr>
        <w:t>feeling</w:t>
      </w:r>
      <w:r w:rsidR="003D640C">
        <w:rPr>
          <w:rFonts w:cstheme="minorHAnsi"/>
          <w:lang w:eastAsia="en-NZ"/>
        </w:rPr>
        <w:t xml:space="preserve"> </w:t>
      </w:r>
      <w:r w:rsidRPr="00BB6220">
        <w:rPr>
          <w:rFonts w:cstheme="minorHAnsi"/>
          <w:lang w:eastAsia="en-NZ"/>
        </w:rPr>
        <w:t>free</w:t>
      </w:r>
      <w:r w:rsidR="003D640C">
        <w:rPr>
          <w:rFonts w:cstheme="minorHAnsi"/>
          <w:lang w:eastAsia="en-NZ"/>
        </w:rPr>
        <w:t xml:space="preserve"> </w:t>
      </w:r>
      <w:r w:rsidRPr="00BB6220">
        <w:rPr>
          <w:rFonts w:cstheme="minorHAnsi"/>
          <w:lang w:eastAsia="en-NZ"/>
        </w:rPr>
        <w:t>for</w:t>
      </w:r>
      <w:r w:rsidR="003D640C">
        <w:rPr>
          <w:rFonts w:cstheme="minorHAnsi"/>
          <w:lang w:eastAsia="en-NZ"/>
        </w:rPr>
        <w:t xml:space="preserve"> </w:t>
      </w:r>
      <w:r w:rsidRPr="00BB6220">
        <w:rPr>
          <w:rFonts w:cstheme="minorHAnsi"/>
          <w:lang w:eastAsia="en-NZ"/>
        </w:rPr>
        <w:t>what</w:t>
      </w:r>
      <w:r w:rsidR="003D640C">
        <w:rPr>
          <w:rFonts w:cstheme="minorHAnsi"/>
          <w:lang w:eastAsia="en-NZ"/>
        </w:rPr>
        <w:t xml:space="preserve"> </w:t>
      </w:r>
      <w:r w:rsidRPr="00BB6220">
        <w:rPr>
          <w:rFonts w:cstheme="minorHAnsi"/>
          <w:lang w:eastAsia="en-NZ"/>
        </w:rPr>
        <w:t>may</w:t>
      </w:r>
      <w:r w:rsidR="003D640C">
        <w:rPr>
          <w:rFonts w:cstheme="minorHAnsi"/>
          <w:lang w:eastAsia="en-NZ"/>
        </w:rPr>
        <w:t xml:space="preserve"> </w:t>
      </w:r>
      <w:r w:rsidRPr="00BB6220">
        <w:rPr>
          <w:rFonts w:cstheme="minorHAnsi"/>
          <w:lang w:eastAsia="en-NZ"/>
        </w:rPr>
        <w:t>be</w:t>
      </w:r>
      <w:r w:rsidR="003D640C">
        <w:rPr>
          <w:rFonts w:cstheme="minorHAnsi"/>
          <w:lang w:eastAsia="en-NZ"/>
        </w:rPr>
        <w:t xml:space="preserve"> </w:t>
      </w:r>
      <w:r w:rsidRPr="00BB6220">
        <w:rPr>
          <w:rFonts w:cstheme="minorHAnsi"/>
          <w:lang w:eastAsia="en-NZ"/>
        </w:rPr>
        <w:t>the</w:t>
      </w:r>
      <w:r w:rsidR="003D640C">
        <w:rPr>
          <w:rFonts w:cstheme="minorHAnsi"/>
          <w:lang w:eastAsia="en-NZ"/>
        </w:rPr>
        <w:t xml:space="preserve"> </w:t>
      </w:r>
      <w:r w:rsidRPr="00BB6220">
        <w:rPr>
          <w:rFonts w:cstheme="minorHAnsi"/>
          <w:lang w:eastAsia="en-NZ"/>
        </w:rPr>
        <w:t>first</w:t>
      </w:r>
      <w:r w:rsidR="003D640C">
        <w:rPr>
          <w:rFonts w:cstheme="minorHAnsi"/>
          <w:lang w:eastAsia="en-NZ"/>
        </w:rPr>
        <w:t xml:space="preserve"> </w:t>
      </w:r>
      <w:r w:rsidRPr="00BB6220">
        <w:rPr>
          <w:rFonts w:cstheme="minorHAnsi"/>
          <w:lang w:eastAsia="en-NZ"/>
        </w:rPr>
        <w:t>time</w:t>
      </w:r>
      <w:r w:rsidR="00F47F0E">
        <w:rPr>
          <w:rFonts w:cstheme="minorHAnsi"/>
          <w:lang w:eastAsia="en-NZ"/>
        </w:rPr>
        <w:t xml:space="preserve"> –</w:t>
      </w:r>
      <w:r w:rsidR="003D640C">
        <w:rPr>
          <w:rFonts w:cstheme="minorHAnsi"/>
          <w:lang w:eastAsia="en-NZ"/>
        </w:rPr>
        <w:t xml:space="preserve"> </w:t>
      </w:r>
      <w:r w:rsidRPr="00BB6220">
        <w:rPr>
          <w:rFonts w:cstheme="minorHAnsi"/>
          <w:lang w:eastAsia="en-NZ"/>
        </w:rPr>
        <w:t>were</w:t>
      </w:r>
      <w:r w:rsidR="003D640C">
        <w:rPr>
          <w:rFonts w:cstheme="minorHAnsi"/>
          <w:lang w:eastAsia="en-NZ"/>
        </w:rPr>
        <w:t xml:space="preserve"> </w:t>
      </w:r>
      <w:r w:rsidRPr="00BB6220">
        <w:rPr>
          <w:rFonts w:cstheme="minorHAnsi"/>
          <w:lang w:eastAsia="en-NZ"/>
        </w:rPr>
        <w:t>also</w:t>
      </w:r>
      <w:r w:rsidR="003D640C">
        <w:rPr>
          <w:rFonts w:cstheme="minorHAnsi"/>
          <w:lang w:eastAsia="en-NZ"/>
        </w:rPr>
        <w:t xml:space="preserve"> </w:t>
      </w:r>
      <w:r w:rsidRPr="00BB6220">
        <w:rPr>
          <w:rFonts w:cstheme="minorHAnsi"/>
          <w:lang w:eastAsia="en-NZ"/>
        </w:rPr>
        <w:t>cited</w:t>
      </w:r>
      <w:r w:rsidR="003D640C">
        <w:rPr>
          <w:rFonts w:cstheme="minorHAnsi"/>
          <w:lang w:eastAsia="en-NZ"/>
        </w:rPr>
        <w:t xml:space="preserve"> </w:t>
      </w:r>
      <w:r w:rsidRPr="00BB6220">
        <w:rPr>
          <w:rFonts w:cstheme="minorHAnsi"/>
          <w:lang w:eastAsia="en-NZ"/>
        </w:rPr>
        <w:t>as</w:t>
      </w:r>
      <w:r w:rsidR="003D640C">
        <w:rPr>
          <w:rFonts w:cstheme="minorHAnsi"/>
          <w:lang w:eastAsia="en-NZ"/>
        </w:rPr>
        <w:t xml:space="preserve"> </w:t>
      </w:r>
      <w:r w:rsidRPr="00BB6220">
        <w:rPr>
          <w:rFonts w:cstheme="minorHAnsi"/>
          <w:lang w:eastAsia="en-NZ"/>
        </w:rPr>
        <w:t>areas</w:t>
      </w:r>
      <w:r w:rsidR="003D640C">
        <w:rPr>
          <w:rFonts w:cstheme="minorHAnsi"/>
          <w:lang w:eastAsia="en-NZ"/>
        </w:rPr>
        <w:t xml:space="preserve"> </w:t>
      </w:r>
      <w:r w:rsidRPr="00BB6220">
        <w:rPr>
          <w:rFonts w:cstheme="minorHAnsi"/>
          <w:lang w:eastAsia="en-NZ"/>
        </w:rPr>
        <w:t>where</w:t>
      </w:r>
      <w:r w:rsidR="003D640C">
        <w:rPr>
          <w:rFonts w:cstheme="minorHAnsi"/>
          <w:lang w:eastAsia="en-NZ"/>
        </w:rPr>
        <w:t xml:space="preserve"> </w:t>
      </w:r>
      <w:r w:rsidRPr="00BB6220">
        <w:rPr>
          <w:rFonts w:cstheme="minorHAnsi"/>
          <w:lang w:eastAsia="en-NZ"/>
        </w:rPr>
        <w:t>competency</w:t>
      </w:r>
      <w:r w:rsidR="003D640C">
        <w:rPr>
          <w:rFonts w:cstheme="minorHAnsi"/>
          <w:lang w:eastAsia="en-NZ"/>
        </w:rPr>
        <w:t xml:space="preserve"> </w:t>
      </w:r>
      <w:r w:rsidRPr="00BB6220">
        <w:rPr>
          <w:rFonts w:cstheme="minorHAnsi"/>
          <w:lang w:eastAsia="en-NZ"/>
        </w:rPr>
        <w:t>in</w:t>
      </w:r>
      <w:r w:rsidR="003D640C">
        <w:rPr>
          <w:rFonts w:cstheme="minorHAnsi"/>
          <w:lang w:eastAsia="en-NZ"/>
        </w:rPr>
        <w:t xml:space="preserve"> </w:t>
      </w:r>
      <w:r w:rsidRPr="00BB6220">
        <w:rPr>
          <w:rFonts w:cstheme="minorHAnsi"/>
          <w:lang w:eastAsia="en-NZ"/>
        </w:rPr>
        <w:t>practitioners</w:t>
      </w:r>
      <w:r w:rsidR="003D640C">
        <w:rPr>
          <w:rFonts w:cstheme="minorHAnsi"/>
          <w:lang w:eastAsia="en-NZ"/>
        </w:rPr>
        <w:t xml:space="preserve"> </w:t>
      </w:r>
      <w:r w:rsidRPr="00BB6220">
        <w:rPr>
          <w:rFonts w:cstheme="minorHAnsi"/>
          <w:lang w:eastAsia="en-NZ"/>
        </w:rPr>
        <w:t>could</w:t>
      </w:r>
      <w:r w:rsidR="003D640C">
        <w:rPr>
          <w:rFonts w:cstheme="minorHAnsi"/>
          <w:lang w:eastAsia="en-NZ"/>
        </w:rPr>
        <w:t xml:space="preserve"> </w:t>
      </w:r>
      <w:r w:rsidRPr="00BB6220">
        <w:rPr>
          <w:rFonts w:cstheme="minorHAnsi"/>
          <w:lang w:eastAsia="en-NZ"/>
        </w:rPr>
        <w:t>be</w:t>
      </w:r>
      <w:r w:rsidR="003D640C">
        <w:rPr>
          <w:rFonts w:cstheme="minorHAnsi"/>
          <w:lang w:eastAsia="en-NZ"/>
        </w:rPr>
        <w:t xml:space="preserve"> </w:t>
      </w:r>
      <w:r w:rsidRPr="00BB6220">
        <w:rPr>
          <w:rFonts w:cstheme="minorHAnsi"/>
          <w:lang w:eastAsia="en-NZ"/>
        </w:rPr>
        <w:t>improved.</w:t>
      </w:r>
      <w:r w:rsidR="003D640C">
        <w:rPr>
          <w:rFonts w:cstheme="minorHAnsi"/>
          <w:lang w:eastAsia="en-NZ"/>
        </w:rPr>
        <w:t xml:space="preserve"> </w:t>
      </w:r>
    </w:p>
    <w:p w14:paraId="7A9E2E1D" w14:textId="507C1959" w:rsidR="00133F8F" w:rsidRDefault="00CF4A69" w:rsidP="00B51F0B">
      <w:pPr>
        <w:rPr>
          <w:lang w:eastAsia="en-NZ"/>
        </w:rPr>
      </w:pPr>
      <w:r w:rsidRPr="00BB6220">
        <w:rPr>
          <w:lang w:eastAsia="en-NZ"/>
        </w:rPr>
        <w:t>A</w:t>
      </w:r>
      <w:r w:rsidR="003D640C">
        <w:rPr>
          <w:lang w:eastAsia="en-NZ"/>
        </w:rPr>
        <w:t xml:space="preserve"> </w:t>
      </w:r>
      <w:r w:rsidRPr="00BB6220">
        <w:rPr>
          <w:lang w:eastAsia="en-NZ"/>
        </w:rPr>
        <w:t>bisexual</w:t>
      </w:r>
      <w:r w:rsidR="003D640C">
        <w:rPr>
          <w:lang w:eastAsia="en-NZ"/>
        </w:rPr>
        <w:t xml:space="preserve"> </w:t>
      </w:r>
      <w:r w:rsidRPr="00BB6220">
        <w:rPr>
          <w:lang w:eastAsia="en-NZ"/>
        </w:rPr>
        <w:t>non-binary</w:t>
      </w:r>
      <w:r w:rsidR="003D640C">
        <w:rPr>
          <w:lang w:eastAsia="en-NZ"/>
        </w:rPr>
        <w:t xml:space="preserve"> </w:t>
      </w:r>
      <w:r w:rsidRPr="00BB6220">
        <w:rPr>
          <w:lang w:eastAsia="en-NZ"/>
        </w:rPr>
        <w:t>Christian</w:t>
      </w:r>
      <w:r w:rsidR="003D640C">
        <w:rPr>
          <w:lang w:eastAsia="en-NZ"/>
        </w:rPr>
        <w:t xml:space="preserve"> </w:t>
      </w:r>
      <w:r w:rsidRPr="00BB6220">
        <w:rPr>
          <w:lang w:eastAsia="en-NZ"/>
        </w:rPr>
        <w:t>survivor</w:t>
      </w:r>
      <w:r w:rsidR="003D640C">
        <w:rPr>
          <w:lang w:eastAsia="en-NZ"/>
        </w:rPr>
        <w:t xml:space="preserve"> </w:t>
      </w:r>
      <w:r w:rsidRPr="00BB6220">
        <w:rPr>
          <w:lang w:eastAsia="en-NZ"/>
        </w:rPr>
        <w:t>spoke</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importance</w:t>
      </w:r>
      <w:r w:rsidR="003D640C">
        <w:rPr>
          <w:lang w:eastAsia="en-NZ"/>
        </w:rPr>
        <w:t xml:space="preserve"> </w:t>
      </w:r>
      <w:r w:rsidRPr="00BB6220">
        <w:rPr>
          <w:lang w:eastAsia="en-NZ"/>
        </w:rPr>
        <w:t>of</w:t>
      </w:r>
      <w:r w:rsidR="003D640C">
        <w:rPr>
          <w:lang w:eastAsia="en-NZ"/>
        </w:rPr>
        <w:t xml:space="preserve"> </w:t>
      </w:r>
      <w:r w:rsidRPr="00BB6220">
        <w:rPr>
          <w:lang w:eastAsia="en-NZ"/>
        </w:rPr>
        <w:t>therapists</w:t>
      </w:r>
      <w:r w:rsidR="003D640C">
        <w:rPr>
          <w:lang w:eastAsia="en-NZ"/>
        </w:rPr>
        <w:t xml:space="preserve"> </w:t>
      </w:r>
      <w:r w:rsidRPr="00BB6220">
        <w:rPr>
          <w:lang w:eastAsia="en-NZ"/>
        </w:rPr>
        <w:t>acknowledging</w:t>
      </w:r>
      <w:r w:rsidR="003D640C">
        <w:rPr>
          <w:lang w:eastAsia="en-NZ"/>
        </w:rPr>
        <w:t xml:space="preserve"> </w:t>
      </w:r>
      <w:r w:rsidRPr="00BB6220">
        <w:rPr>
          <w:lang w:eastAsia="en-NZ"/>
        </w:rPr>
        <w:t>dualities</w:t>
      </w:r>
      <w:r w:rsidR="003D640C">
        <w:rPr>
          <w:lang w:eastAsia="en-NZ"/>
        </w:rPr>
        <w:t xml:space="preserve"> </w:t>
      </w:r>
      <w:r w:rsidRPr="00BB6220">
        <w:rPr>
          <w:lang w:eastAsia="en-NZ"/>
        </w:rPr>
        <w:t>like</w:t>
      </w:r>
      <w:r w:rsidR="003D640C">
        <w:rPr>
          <w:lang w:eastAsia="en-NZ"/>
        </w:rPr>
        <w:t xml:space="preserve"> </w:t>
      </w:r>
      <w:r w:rsidRPr="00BB6220">
        <w:rPr>
          <w:lang w:eastAsia="en-NZ"/>
        </w:rPr>
        <w:t>this</w:t>
      </w:r>
      <w:r w:rsidR="006A48D6">
        <w:rPr>
          <w:lang w:eastAsia="en-NZ"/>
        </w:rPr>
        <w:t>.</w:t>
      </w:r>
      <w:r w:rsidR="003D640C">
        <w:rPr>
          <w:lang w:eastAsia="en-NZ"/>
        </w:rPr>
        <w:t xml:space="preserve"> </w:t>
      </w:r>
    </w:p>
    <w:p w14:paraId="2E924C2D" w14:textId="1C3028DB" w:rsidR="00CF4A69" w:rsidRPr="00BB6220" w:rsidRDefault="00CF4A69" w:rsidP="00B51F0B">
      <w:pPr>
        <w:pStyle w:val="Quote"/>
      </w:pPr>
      <w:r w:rsidRPr="00BB6220">
        <w:t>“I</w:t>
      </w:r>
      <w:r w:rsidR="003D640C">
        <w:t xml:space="preserve"> </w:t>
      </w:r>
      <w:r w:rsidRPr="00BB6220">
        <w:t>felt</w:t>
      </w:r>
      <w:r w:rsidR="003D640C">
        <w:t xml:space="preserve"> </w:t>
      </w:r>
      <w:r w:rsidRPr="00BB6220">
        <w:t>this</w:t>
      </w:r>
      <w:r w:rsidR="003D640C">
        <w:t xml:space="preserve"> </w:t>
      </w:r>
      <w:r w:rsidRPr="00BB6220">
        <w:t>weakness.</w:t>
      </w:r>
      <w:r w:rsidR="003D640C">
        <w:t xml:space="preserve"> </w:t>
      </w:r>
      <w:r w:rsidRPr="00BB6220">
        <w:t>And</w:t>
      </w:r>
      <w:r w:rsidR="003D640C">
        <w:t xml:space="preserve"> </w:t>
      </w:r>
      <w:r w:rsidRPr="00BB6220">
        <w:t>being</w:t>
      </w:r>
      <w:r w:rsidR="003D640C">
        <w:t xml:space="preserve"> </w:t>
      </w:r>
      <w:r w:rsidRPr="00BB6220">
        <w:t>able</w:t>
      </w:r>
      <w:r w:rsidR="003D640C">
        <w:t xml:space="preserve"> </w:t>
      </w:r>
      <w:r w:rsidRPr="00BB6220">
        <w:t>to</w:t>
      </w:r>
      <w:r w:rsidR="003D640C">
        <w:t xml:space="preserve"> </w:t>
      </w:r>
      <w:r w:rsidRPr="00BB6220">
        <w:t>have</w:t>
      </w:r>
      <w:r w:rsidR="003D640C">
        <w:t xml:space="preserve"> </w:t>
      </w:r>
      <w:r w:rsidRPr="00BB6220">
        <w:t>the</w:t>
      </w:r>
      <w:r w:rsidR="003D640C">
        <w:t xml:space="preserve"> </w:t>
      </w:r>
      <w:r w:rsidRPr="00BB6220">
        <w:t>counsellor</w:t>
      </w:r>
      <w:r w:rsidR="003D640C">
        <w:t xml:space="preserve"> </w:t>
      </w:r>
      <w:bookmarkStart w:id="362" w:name="_Int_KKAEfHU7"/>
      <w:r w:rsidRPr="00BB6220">
        <w:t>actually</w:t>
      </w:r>
      <w:r w:rsidR="003D640C">
        <w:t xml:space="preserve"> </w:t>
      </w:r>
      <w:r w:rsidRPr="00BB6220">
        <w:t>understand</w:t>
      </w:r>
      <w:bookmarkEnd w:id="362"/>
      <w:r w:rsidR="003D640C">
        <w:t xml:space="preserve"> </w:t>
      </w:r>
      <w:r w:rsidRPr="00BB6220">
        <w:t>that</w:t>
      </w:r>
      <w:r w:rsidR="003D640C">
        <w:t xml:space="preserve"> </w:t>
      </w:r>
      <w:r w:rsidRPr="00BB6220">
        <w:t>…</w:t>
      </w:r>
      <w:r w:rsidR="003D640C">
        <w:t xml:space="preserve"> </w:t>
      </w:r>
      <w:r w:rsidRPr="00BB6220">
        <w:t>but</w:t>
      </w:r>
      <w:r w:rsidR="003D640C">
        <w:t xml:space="preserve"> </w:t>
      </w:r>
      <w:r w:rsidRPr="00BB6220">
        <w:t>then</w:t>
      </w:r>
      <w:r w:rsidR="003D640C">
        <w:t xml:space="preserve"> </w:t>
      </w:r>
      <w:r w:rsidRPr="00BB6220">
        <w:t>also</w:t>
      </w:r>
      <w:r w:rsidR="003D640C">
        <w:t xml:space="preserve"> </w:t>
      </w:r>
      <w:r w:rsidRPr="00BB6220">
        <w:t>say,</w:t>
      </w:r>
      <w:r w:rsidR="003D640C">
        <w:t xml:space="preserve"> </w:t>
      </w:r>
      <w:r w:rsidRPr="00BB6220">
        <w:t>‘here’s</w:t>
      </w:r>
      <w:r w:rsidR="003D640C">
        <w:t xml:space="preserve"> </w:t>
      </w:r>
      <w:r w:rsidRPr="00BB6220">
        <w:t>how</w:t>
      </w:r>
      <w:r w:rsidR="003D640C">
        <w:t xml:space="preserve"> </w:t>
      </w:r>
      <w:r w:rsidRPr="00BB6220">
        <w:t>you’re</w:t>
      </w:r>
      <w:r w:rsidR="003D640C">
        <w:t xml:space="preserve"> </w:t>
      </w:r>
      <w:r w:rsidRPr="00BB6220">
        <w:t>strong’</w:t>
      </w:r>
      <w:r w:rsidR="003D640C">
        <w:t xml:space="preserve"> </w:t>
      </w:r>
      <w:r w:rsidRPr="00BB6220">
        <w:t>was</w:t>
      </w:r>
      <w:r w:rsidR="003D640C">
        <w:t xml:space="preserve"> </w:t>
      </w:r>
      <w:r w:rsidRPr="00BB6220">
        <w:t>important</w:t>
      </w:r>
      <w:r w:rsidR="003D640C">
        <w:t xml:space="preserve"> </w:t>
      </w:r>
      <w:r w:rsidRPr="00BB6220">
        <w:t>…</w:t>
      </w:r>
      <w:r w:rsidR="003D640C">
        <w:t xml:space="preserve"> </w:t>
      </w:r>
      <w:r w:rsidRPr="00BB6220">
        <w:t>And</w:t>
      </w:r>
      <w:r w:rsidR="003D640C">
        <w:t xml:space="preserve"> </w:t>
      </w:r>
      <w:r w:rsidRPr="00BB6220">
        <w:t>the</w:t>
      </w:r>
      <w:r w:rsidR="003D640C">
        <w:t xml:space="preserve"> </w:t>
      </w:r>
      <w:r w:rsidRPr="00BB6220">
        <w:t>times</w:t>
      </w:r>
      <w:r w:rsidR="003D640C">
        <w:t xml:space="preserve"> </w:t>
      </w:r>
      <w:r w:rsidRPr="00BB6220">
        <w:t>where</w:t>
      </w:r>
      <w:r w:rsidR="003D640C">
        <w:t xml:space="preserve"> </w:t>
      </w:r>
      <w:r w:rsidRPr="00BB6220">
        <w:t>I’ve</w:t>
      </w:r>
      <w:r w:rsidR="003D640C">
        <w:t xml:space="preserve"> </w:t>
      </w:r>
      <w:r w:rsidRPr="00BB6220">
        <w:t>felt</w:t>
      </w:r>
      <w:r w:rsidR="003D640C">
        <w:t xml:space="preserve"> </w:t>
      </w:r>
      <w:r w:rsidRPr="00BB6220">
        <w:t>very</w:t>
      </w:r>
      <w:r w:rsidR="003D640C">
        <w:t xml:space="preserve"> </w:t>
      </w:r>
      <w:r w:rsidRPr="00BB6220">
        <w:t>unheard</w:t>
      </w:r>
      <w:r w:rsidR="003D640C">
        <w:t xml:space="preserve"> </w:t>
      </w:r>
      <w:r w:rsidRPr="00BB6220">
        <w:t>and</w:t>
      </w:r>
      <w:r w:rsidR="003D640C">
        <w:t xml:space="preserve"> </w:t>
      </w:r>
      <w:r w:rsidRPr="00BB6220">
        <w:t>unseen</w:t>
      </w:r>
      <w:r w:rsidR="003D640C">
        <w:t xml:space="preserve"> </w:t>
      </w:r>
      <w:r w:rsidRPr="00BB6220">
        <w:t>by</w:t>
      </w:r>
      <w:r w:rsidR="003D640C">
        <w:t xml:space="preserve"> </w:t>
      </w:r>
      <w:r w:rsidRPr="00BB6220">
        <w:t>allies</w:t>
      </w:r>
      <w:r w:rsidR="003D640C">
        <w:t xml:space="preserve"> </w:t>
      </w:r>
      <w:r w:rsidRPr="00BB6220">
        <w:t>or,</w:t>
      </w:r>
      <w:r w:rsidR="003D640C">
        <w:t xml:space="preserve"> </w:t>
      </w:r>
      <w:r w:rsidRPr="00BB6220">
        <w:t>I</w:t>
      </w:r>
      <w:r w:rsidR="003D640C">
        <w:t xml:space="preserve"> </w:t>
      </w:r>
      <w:r w:rsidRPr="00BB6220">
        <w:t>guess,</w:t>
      </w:r>
      <w:r w:rsidR="003D640C">
        <w:t xml:space="preserve"> </w:t>
      </w:r>
      <w:r w:rsidRPr="00BB6220">
        <w:t>people</w:t>
      </w:r>
      <w:r w:rsidR="003D640C">
        <w:t xml:space="preserve"> </w:t>
      </w:r>
      <w:r w:rsidRPr="00BB6220">
        <w:t>who</w:t>
      </w:r>
      <w:r w:rsidR="003D640C">
        <w:t xml:space="preserve"> </w:t>
      </w:r>
      <w:r w:rsidRPr="00BB6220">
        <w:t>are</w:t>
      </w:r>
      <w:r w:rsidR="003D640C">
        <w:t xml:space="preserve"> </w:t>
      </w:r>
      <w:r w:rsidRPr="00BB6220">
        <w:t>trying</w:t>
      </w:r>
      <w:r w:rsidR="003D640C">
        <w:t xml:space="preserve"> </w:t>
      </w:r>
      <w:r w:rsidRPr="00BB6220">
        <w:t>to</w:t>
      </w:r>
      <w:r w:rsidR="003D640C">
        <w:t xml:space="preserve"> </w:t>
      </w:r>
      <w:r w:rsidRPr="00BB6220">
        <w:t>be</w:t>
      </w:r>
      <w:r w:rsidR="003D640C">
        <w:t xml:space="preserve"> </w:t>
      </w:r>
      <w:r w:rsidRPr="00BB6220">
        <w:t>supportive,</w:t>
      </w:r>
      <w:r w:rsidR="003D640C">
        <w:t xml:space="preserve"> </w:t>
      </w:r>
      <w:r w:rsidRPr="00BB6220">
        <w:t>is</w:t>
      </w:r>
      <w:r w:rsidR="003D640C">
        <w:t xml:space="preserve"> </w:t>
      </w:r>
      <w:r w:rsidRPr="00BB6220">
        <w:t>when</w:t>
      </w:r>
      <w:r w:rsidR="003D640C">
        <w:t xml:space="preserve"> </w:t>
      </w:r>
      <w:r w:rsidRPr="00BB6220">
        <w:t>they</w:t>
      </w:r>
      <w:r w:rsidR="003D640C">
        <w:t xml:space="preserve"> </w:t>
      </w:r>
      <w:r w:rsidRPr="00BB6220">
        <w:t>can’t</w:t>
      </w:r>
      <w:r w:rsidR="003D640C">
        <w:t xml:space="preserve"> </w:t>
      </w:r>
      <w:r w:rsidRPr="00BB6220">
        <w:t>acknowledge</w:t>
      </w:r>
      <w:r w:rsidR="003D640C">
        <w:t xml:space="preserve"> </w:t>
      </w:r>
      <w:r w:rsidRPr="00BB6220">
        <w:t>those</w:t>
      </w:r>
      <w:r w:rsidR="003D640C">
        <w:t xml:space="preserve"> </w:t>
      </w:r>
      <w:r w:rsidRPr="00BB6220">
        <w:t>dualities</w:t>
      </w:r>
      <w:r w:rsidR="00A37A04">
        <w:t>.</w:t>
      </w:r>
      <w:r w:rsidRPr="00BB6220">
        <w:t>”</w:t>
      </w:r>
    </w:p>
    <w:p w14:paraId="3D811431" w14:textId="41DE5446" w:rsidR="00CF4A69" w:rsidRPr="00BB6220" w:rsidRDefault="00C23530" w:rsidP="00B51F0B">
      <w:pPr>
        <w:rPr>
          <w:lang w:eastAsia="en-NZ"/>
        </w:rPr>
      </w:pPr>
      <w:r>
        <w:rPr>
          <w:lang w:eastAsia="en-NZ"/>
        </w:rPr>
        <w:t>S</w:t>
      </w:r>
      <w:r w:rsidR="00CF4A69" w:rsidRPr="00BB6220">
        <w:rPr>
          <w:lang w:eastAsia="en-NZ"/>
        </w:rPr>
        <w:t>tudy</w:t>
      </w:r>
      <w:r w:rsidR="003D640C">
        <w:rPr>
          <w:lang w:eastAsia="en-NZ"/>
        </w:rPr>
        <w:t xml:space="preserve"> </w:t>
      </w:r>
      <w:r w:rsidR="00CF4A69" w:rsidRPr="00BB6220">
        <w:rPr>
          <w:lang w:eastAsia="en-NZ"/>
        </w:rPr>
        <w:t>participants</w:t>
      </w:r>
      <w:r w:rsidR="003D640C">
        <w:rPr>
          <w:lang w:eastAsia="en-NZ"/>
        </w:rPr>
        <w:t xml:space="preserve"> </w:t>
      </w:r>
      <w:r w:rsidR="00CF4A69" w:rsidRPr="00BB6220">
        <w:rPr>
          <w:lang w:eastAsia="en-NZ"/>
        </w:rPr>
        <w:t>also</w:t>
      </w:r>
      <w:r w:rsidR="003D640C">
        <w:rPr>
          <w:lang w:eastAsia="en-NZ"/>
        </w:rPr>
        <w:t xml:space="preserve"> </w:t>
      </w:r>
      <w:r w:rsidR="00CF4A69" w:rsidRPr="00BB6220">
        <w:rPr>
          <w:lang w:eastAsia="en-NZ"/>
        </w:rPr>
        <w:t>found</w:t>
      </w:r>
      <w:r w:rsidR="003D640C">
        <w:rPr>
          <w:lang w:eastAsia="en-NZ"/>
        </w:rPr>
        <w:t xml:space="preserve"> </w:t>
      </w:r>
      <w:r w:rsidR="00CF4A69" w:rsidRPr="00BB6220">
        <w:rPr>
          <w:lang w:eastAsia="en-NZ"/>
        </w:rPr>
        <w:t>therapists</w:t>
      </w:r>
      <w:r w:rsidR="003D640C">
        <w:rPr>
          <w:lang w:eastAsia="en-NZ"/>
        </w:rPr>
        <w:t xml:space="preserve"> </w:t>
      </w:r>
      <w:r w:rsidR="00CF4A69" w:rsidRPr="00BB6220">
        <w:rPr>
          <w:lang w:eastAsia="en-NZ"/>
        </w:rPr>
        <w:t>made</w:t>
      </w:r>
      <w:r w:rsidR="003D640C">
        <w:rPr>
          <w:lang w:eastAsia="en-NZ"/>
        </w:rPr>
        <w:t xml:space="preserve"> </w:t>
      </w:r>
      <w:r w:rsidR="00CF4A69" w:rsidRPr="00BB6220">
        <w:rPr>
          <w:lang w:eastAsia="en-NZ"/>
        </w:rPr>
        <w:t>unwanted</w:t>
      </w:r>
      <w:r w:rsidR="003D640C">
        <w:rPr>
          <w:lang w:eastAsia="en-NZ"/>
        </w:rPr>
        <w:t xml:space="preserve"> </w:t>
      </w:r>
      <w:r w:rsidR="00CF4A69" w:rsidRPr="00BB6220">
        <w:rPr>
          <w:lang w:eastAsia="en-NZ"/>
        </w:rPr>
        <w:t>assumptions</w:t>
      </w:r>
      <w:r w:rsidR="003D640C">
        <w:rPr>
          <w:lang w:eastAsia="en-NZ"/>
        </w:rPr>
        <w:t xml:space="preserve"> </w:t>
      </w:r>
      <w:r w:rsidR="00CF4A69" w:rsidRPr="00BB6220">
        <w:rPr>
          <w:lang w:eastAsia="en-NZ"/>
        </w:rPr>
        <w:t>about</w:t>
      </w:r>
      <w:r w:rsidR="003D640C">
        <w:rPr>
          <w:lang w:eastAsia="en-NZ"/>
        </w:rPr>
        <w:t xml:space="preserve"> </w:t>
      </w:r>
      <w:r w:rsidR="00CF4A69" w:rsidRPr="00BB6220">
        <w:rPr>
          <w:lang w:eastAsia="en-NZ"/>
        </w:rPr>
        <w:t>clients’</w:t>
      </w:r>
      <w:r w:rsidR="003D640C">
        <w:rPr>
          <w:lang w:eastAsia="en-NZ"/>
        </w:rPr>
        <w:t xml:space="preserve"> </w:t>
      </w:r>
      <w:r w:rsidR="00CF4A69" w:rsidRPr="00BB6220">
        <w:rPr>
          <w:lang w:eastAsia="en-NZ"/>
        </w:rPr>
        <w:t>faith</w:t>
      </w:r>
      <w:r w:rsidR="003D640C">
        <w:rPr>
          <w:lang w:eastAsia="en-NZ"/>
        </w:rPr>
        <w:t xml:space="preserve"> </w:t>
      </w:r>
      <w:r w:rsidR="00CF4A69" w:rsidRPr="00BB6220">
        <w:rPr>
          <w:lang w:eastAsia="en-NZ"/>
        </w:rPr>
        <w:t>goals</w:t>
      </w:r>
      <w:r w:rsidR="003D640C">
        <w:rPr>
          <w:lang w:eastAsia="en-NZ"/>
        </w:rPr>
        <w:t xml:space="preserve"> </w:t>
      </w:r>
      <w:r w:rsidR="00CF4A69" w:rsidRPr="00BB6220">
        <w:rPr>
          <w:lang w:eastAsia="en-NZ"/>
        </w:rPr>
        <w:t>and</w:t>
      </w:r>
      <w:r w:rsidR="003D640C">
        <w:rPr>
          <w:lang w:eastAsia="en-NZ"/>
        </w:rPr>
        <w:t xml:space="preserve"> </w:t>
      </w:r>
      <w:r w:rsidR="00CF4A69" w:rsidRPr="00BB6220">
        <w:rPr>
          <w:lang w:eastAsia="en-NZ"/>
        </w:rPr>
        <w:t>about</w:t>
      </w:r>
      <w:r w:rsidR="003D640C">
        <w:rPr>
          <w:lang w:eastAsia="en-NZ"/>
        </w:rPr>
        <w:t xml:space="preserve"> </w:t>
      </w:r>
      <w:r w:rsidR="00CF4A69" w:rsidRPr="00BB6220">
        <w:rPr>
          <w:lang w:eastAsia="en-NZ"/>
        </w:rPr>
        <w:t>their</w:t>
      </w:r>
      <w:r w:rsidR="003D640C">
        <w:rPr>
          <w:lang w:eastAsia="en-NZ"/>
        </w:rPr>
        <w:t xml:space="preserve"> </w:t>
      </w:r>
      <w:r w:rsidR="00CF4A69" w:rsidRPr="00BB6220">
        <w:rPr>
          <w:lang w:eastAsia="en-NZ"/>
        </w:rPr>
        <w:t>leaving</w:t>
      </w:r>
      <w:r w:rsidR="003D640C">
        <w:rPr>
          <w:lang w:eastAsia="en-NZ"/>
        </w:rPr>
        <w:t xml:space="preserve"> </w:t>
      </w:r>
      <w:r w:rsidR="00CF4A69" w:rsidRPr="00BB6220">
        <w:rPr>
          <w:lang w:eastAsia="en-NZ"/>
        </w:rPr>
        <w:t>or</w:t>
      </w:r>
      <w:r w:rsidR="003D640C">
        <w:rPr>
          <w:lang w:eastAsia="en-NZ"/>
        </w:rPr>
        <w:t xml:space="preserve"> </w:t>
      </w:r>
      <w:r w:rsidR="00CF4A69" w:rsidRPr="00BB6220">
        <w:rPr>
          <w:lang w:eastAsia="en-NZ"/>
        </w:rPr>
        <w:t>remaining</w:t>
      </w:r>
      <w:r w:rsidR="003D640C">
        <w:rPr>
          <w:lang w:eastAsia="en-NZ"/>
        </w:rPr>
        <w:t xml:space="preserve"> </w:t>
      </w:r>
      <w:r w:rsidR="00CF4A69" w:rsidRPr="00BB6220">
        <w:rPr>
          <w:lang w:eastAsia="en-NZ"/>
        </w:rPr>
        <w:t>in</w:t>
      </w:r>
      <w:r w:rsidR="003D640C">
        <w:rPr>
          <w:lang w:eastAsia="en-NZ"/>
        </w:rPr>
        <w:t xml:space="preserve"> </w:t>
      </w:r>
      <w:r w:rsidR="00CF4A69" w:rsidRPr="00BB6220">
        <w:rPr>
          <w:lang w:eastAsia="en-NZ"/>
        </w:rPr>
        <w:t>faith</w:t>
      </w:r>
      <w:r w:rsidR="003D640C">
        <w:rPr>
          <w:lang w:eastAsia="en-NZ"/>
        </w:rPr>
        <w:t xml:space="preserve"> </w:t>
      </w:r>
      <w:r w:rsidR="00CF4A69" w:rsidRPr="00BB6220">
        <w:rPr>
          <w:lang w:eastAsia="en-NZ"/>
        </w:rPr>
        <w:t>or</w:t>
      </w:r>
      <w:r w:rsidR="003D640C">
        <w:rPr>
          <w:lang w:eastAsia="en-NZ"/>
        </w:rPr>
        <w:t xml:space="preserve"> </w:t>
      </w:r>
      <w:r w:rsidR="00CF4A69" w:rsidRPr="00BB6220">
        <w:rPr>
          <w:lang w:eastAsia="en-NZ"/>
        </w:rPr>
        <w:t>cultural</w:t>
      </w:r>
      <w:r w:rsidR="003D640C">
        <w:rPr>
          <w:lang w:eastAsia="en-NZ"/>
        </w:rPr>
        <w:t xml:space="preserve"> </w:t>
      </w:r>
      <w:r w:rsidR="00CF4A69" w:rsidRPr="00BB6220">
        <w:rPr>
          <w:lang w:eastAsia="en-NZ"/>
        </w:rPr>
        <w:t>communities.</w:t>
      </w:r>
      <w:r w:rsidR="003D640C">
        <w:rPr>
          <w:lang w:eastAsia="en-NZ"/>
        </w:rPr>
        <w:t xml:space="preserve"> </w:t>
      </w:r>
      <w:r w:rsidR="00CF4A69" w:rsidRPr="00BB6220">
        <w:rPr>
          <w:lang w:eastAsia="en-NZ"/>
        </w:rPr>
        <w:t>A</w:t>
      </w:r>
      <w:r w:rsidR="003D640C">
        <w:rPr>
          <w:lang w:eastAsia="en-NZ"/>
        </w:rPr>
        <w:t xml:space="preserve"> </w:t>
      </w:r>
      <w:r w:rsidR="00CF4A69" w:rsidRPr="00BB6220">
        <w:rPr>
          <w:lang w:eastAsia="en-NZ"/>
        </w:rPr>
        <w:t>trans</w:t>
      </w:r>
      <w:r w:rsidR="003D640C">
        <w:rPr>
          <w:lang w:eastAsia="en-NZ"/>
        </w:rPr>
        <w:t xml:space="preserve"> </w:t>
      </w:r>
      <w:r w:rsidR="00CF4A69" w:rsidRPr="00BB6220">
        <w:rPr>
          <w:lang w:eastAsia="en-NZ"/>
        </w:rPr>
        <w:t>participant</w:t>
      </w:r>
      <w:r w:rsidR="003D640C">
        <w:rPr>
          <w:lang w:eastAsia="en-NZ"/>
        </w:rPr>
        <w:t xml:space="preserve"> </w:t>
      </w:r>
      <w:r w:rsidR="00CF4A69" w:rsidRPr="00BB6220">
        <w:rPr>
          <w:lang w:eastAsia="en-NZ"/>
        </w:rPr>
        <w:t>abandoned</w:t>
      </w:r>
      <w:r w:rsidR="003D640C">
        <w:rPr>
          <w:lang w:eastAsia="en-NZ"/>
        </w:rPr>
        <w:t xml:space="preserve"> </w:t>
      </w:r>
      <w:r w:rsidR="00CF4A69" w:rsidRPr="00BB6220">
        <w:rPr>
          <w:lang w:eastAsia="en-NZ"/>
        </w:rPr>
        <w:t>therapy</w:t>
      </w:r>
      <w:r w:rsidR="003D640C">
        <w:rPr>
          <w:lang w:eastAsia="en-NZ"/>
        </w:rPr>
        <w:t xml:space="preserve"> </w:t>
      </w:r>
      <w:r w:rsidR="00CF4A69" w:rsidRPr="00BB6220">
        <w:rPr>
          <w:lang w:eastAsia="en-NZ"/>
        </w:rPr>
        <w:t>when</w:t>
      </w:r>
      <w:r w:rsidR="003D640C">
        <w:rPr>
          <w:lang w:eastAsia="en-NZ"/>
        </w:rPr>
        <w:t xml:space="preserve"> </w:t>
      </w:r>
      <w:r w:rsidR="00CF4A69" w:rsidRPr="00BB6220">
        <w:rPr>
          <w:lang w:eastAsia="en-NZ"/>
        </w:rPr>
        <w:t>asked,</w:t>
      </w:r>
      <w:r w:rsidR="003D640C">
        <w:rPr>
          <w:lang w:eastAsia="en-NZ"/>
        </w:rPr>
        <w:t xml:space="preserve"> </w:t>
      </w:r>
      <w:r w:rsidR="00CF4A69" w:rsidRPr="00BB6220">
        <w:rPr>
          <w:lang w:eastAsia="en-NZ"/>
        </w:rPr>
        <w:t>“Can</w:t>
      </w:r>
      <w:r w:rsidR="003D640C">
        <w:rPr>
          <w:lang w:eastAsia="en-NZ"/>
        </w:rPr>
        <w:t xml:space="preserve"> </w:t>
      </w:r>
      <w:r w:rsidR="00CF4A69" w:rsidRPr="00BB6220">
        <w:rPr>
          <w:lang w:eastAsia="en-NZ"/>
        </w:rPr>
        <w:t>you</w:t>
      </w:r>
      <w:r w:rsidR="003D640C">
        <w:rPr>
          <w:lang w:eastAsia="en-NZ"/>
        </w:rPr>
        <w:t xml:space="preserve"> </w:t>
      </w:r>
      <w:r w:rsidR="00CF4A69" w:rsidRPr="00BB6220">
        <w:rPr>
          <w:lang w:eastAsia="en-NZ"/>
        </w:rPr>
        <w:t>see</w:t>
      </w:r>
      <w:r w:rsidR="003D640C">
        <w:rPr>
          <w:lang w:eastAsia="en-NZ"/>
        </w:rPr>
        <w:t xml:space="preserve"> </w:t>
      </w:r>
      <w:r w:rsidR="00CF4A69" w:rsidRPr="00BB6220">
        <w:rPr>
          <w:lang w:eastAsia="en-NZ"/>
        </w:rPr>
        <w:t>how</w:t>
      </w:r>
      <w:r w:rsidR="003D640C">
        <w:rPr>
          <w:lang w:eastAsia="en-NZ"/>
        </w:rPr>
        <w:t xml:space="preserve"> </w:t>
      </w:r>
      <w:r w:rsidR="00CF4A69" w:rsidRPr="00BB6220">
        <w:rPr>
          <w:lang w:eastAsia="en-NZ"/>
        </w:rPr>
        <w:t>it</w:t>
      </w:r>
      <w:r w:rsidR="003D640C">
        <w:rPr>
          <w:lang w:eastAsia="en-NZ"/>
        </w:rPr>
        <w:t xml:space="preserve"> </w:t>
      </w:r>
      <w:r w:rsidR="00CF4A69" w:rsidRPr="00BB6220">
        <w:rPr>
          <w:lang w:eastAsia="en-NZ"/>
        </w:rPr>
        <w:t>might</w:t>
      </w:r>
      <w:r w:rsidR="003D640C">
        <w:rPr>
          <w:lang w:eastAsia="en-NZ"/>
        </w:rPr>
        <w:t xml:space="preserve"> </w:t>
      </w:r>
      <w:r w:rsidR="00CF4A69" w:rsidRPr="00BB6220">
        <w:rPr>
          <w:lang w:eastAsia="en-NZ"/>
        </w:rPr>
        <w:t>be</w:t>
      </w:r>
      <w:r w:rsidR="003D640C">
        <w:rPr>
          <w:lang w:eastAsia="en-NZ"/>
        </w:rPr>
        <w:t xml:space="preserve"> </w:t>
      </w:r>
      <w:r w:rsidR="00CF4A69" w:rsidRPr="00BB6220">
        <w:rPr>
          <w:lang w:eastAsia="en-NZ"/>
        </w:rPr>
        <w:t>delusional</w:t>
      </w:r>
      <w:r w:rsidR="003D640C">
        <w:rPr>
          <w:lang w:eastAsia="en-NZ"/>
        </w:rPr>
        <w:t xml:space="preserve"> </w:t>
      </w:r>
      <w:r w:rsidR="00CF4A69" w:rsidRPr="00BB6220">
        <w:rPr>
          <w:lang w:eastAsia="en-NZ"/>
        </w:rPr>
        <w:t>for</w:t>
      </w:r>
      <w:r w:rsidR="003D640C">
        <w:rPr>
          <w:lang w:eastAsia="en-NZ"/>
        </w:rPr>
        <w:t xml:space="preserve"> </w:t>
      </w:r>
      <w:r w:rsidR="00CF4A69" w:rsidRPr="00BB6220">
        <w:rPr>
          <w:lang w:eastAsia="en-NZ"/>
        </w:rPr>
        <w:t>you</w:t>
      </w:r>
      <w:r w:rsidR="003D640C">
        <w:rPr>
          <w:lang w:eastAsia="en-NZ"/>
        </w:rPr>
        <w:t xml:space="preserve"> </w:t>
      </w:r>
      <w:r w:rsidR="00CF4A69" w:rsidRPr="00BB6220">
        <w:rPr>
          <w:lang w:eastAsia="en-NZ"/>
        </w:rPr>
        <w:t>to</w:t>
      </w:r>
      <w:r w:rsidR="003D640C">
        <w:rPr>
          <w:lang w:eastAsia="en-NZ"/>
        </w:rPr>
        <w:t xml:space="preserve"> </w:t>
      </w:r>
      <w:r w:rsidR="00CF4A69" w:rsidRPr="00BB6220">
        <w:rPr>
          <w:lang w:eastAsia="en-NZ"/>
        </w:rPr>
        <w:t>remain</w:t>
      </w:r>
      <w:r w:rsidR="003D640C">
        <w:rPr>
          <w:lang w:eastAsia="en-NZ"/>
        </w:rPr>
        <w:t xml:space="preserve"> </w:t>
      </w:r>
      <w:r w:rsidR="00CF4A69" w:rsidRPr="00BB6220">
        <w:rPr>
          <w:lang w:eastAsia="en-NZ"/>
        </w:rPr>
        <w:t>in</w:t>
      </w:r>
      <w:r w:rsidR="003D640C">
        <w:rPr>
          <w:lang w:eastAsia="en-NZ"/>
        </w:rPr>
        <w:t xml:space="preserve"> </w:t>
      </w:r>
      <w:r w:rsidR="00CF4A69" w:rsidRPr="00BB6220">
        <w:rPr>
          <w:lang w:eastAsia="en-NZ"/>
        </w:rPr>
        <w:t>your</w:t>
      </w:r>
      <w:r w:rsidR="003D640C">
        <w:rPr>
          <w:lang w:eastAsia="en-NZ"/>
        </w:rPr>
        <w:t xml:space="preserve"> </w:t>
      </w:r>
      <w:r w:rsidR="00CF4A69" w:rsidRPr="00BB6220">
        <w:rPr>
          <w:lang w:eastAsia="en-NZ"/>
        </w:rPr>
        <w:t>church?”</w:t>
      </w:r>
    </w:p>
    <w:p w14:paraId="1BF07E56" w14:textId="7E237642" w:rsidR="00CF4A69" w:rsidRPr="00BB6220" w:rsidRDefault="00CF4A69" w:rsidP="00B51F0B">
      <w:pPr>
        <w:rPr>
          <w:rFonts w:eastAsia="Times New Roman" w:cstheme="minorHAnsi"/>
          <w:lang w:eastAsia="en-NZ"/>
        </w:rPr>
      </w:pPr>
      <w:r w:rsidRPr="00BB6220">
        <w:rPr>
          <w:rFonts w:eastAsia="Times New Roman"/>
          <w:lang w:eastAsia="en-NZ"/>
        </w:rPr>
        <w:t>A</w:t>
      </w:r>
      <w:r w:rsidR="003D640C">
        <w:rPr>
          <w:rFonts w:eastAsia="Times New Roman"/>
          <w:lang w:eastAsia="en-NZ"/>
        </w:rPr>
        <w:t xml:space="preserve"> </w:t>
      </w:r>
      <w:r w:rsidRPr="00BB6220">
        <w:rPr>
          <w:rFonts w:eastAsia="Times New Roman"/>
          <w:lang w:eastAsia="en-NZ"/>
        </w:rPr>
        <w:t>M</w:t>
      </w:r>
      <w:r w:rsidRPr="00BB6220">
        <w:rPr>
          <w:rFonts w:eastAsia="Times New Roman"/>
          <w:lang w:val="mi-NZ" w:eastAsia="en-NZ"/>
        </w:rPr>
        <w:t>āori</w:t>
      </w:r>
      <w:r w:rsidR="003D640C">
        <w:rPr>
          <w:rFonts w:eastAsia="Times New Roman"/>
          <w:lang w:eastAsia="en-NZ"/>
        </w:rPr>
        <w:t xml:space="preserve"> </w:t>
      </w:r>
      <w:r w:rsidRPr="00BB6220">
        <w:rPr>
          <w:rFonts w:eastAsia="Times New Roman"/>
          <w:lang w:eastAsia="en-NZ"/>
        </w:rPr>
        <w:t>participant</w:t>
      </w:r>
      <w:r w:rsidR="003D640C">
        <w:rPr>
          <w:rFonts w:eastAsia="Times New Roman"/>
          <w:lang w:eastAsia="en-NZ"/>
        </w:rPr>
        <w:t xml:space="preserve"> </w:t>
      </w:r>
      <w:r w:rsidR="00133F8F">
        <w:rPr>
          <w:rFonts w:eastAsia="Times New Roman"/>
          <w:lang w:eastAsia="en-NZ"/>
        </w:rPr>
        <w:t>in</w:t>
      </w:r>
      <w:r w:rsidR="003D640C">
        <w:rPr>
          <w:rFonts w:eastAsia="Times New Roman"/>
          <w:lang w:eastAsia="en-NZ"/>
        </w:rPr>
        <w:t xml:space="preserve"> </w:t>
      </w:r>
      <w:r w:rsidR="00133F8F">
        <w:rPr>
          <w:rFonts w:eastAsia="Times New Roman"/>
          <w:lang w:eastAsia="en-NZ"/>
        </w:rPr>
        <w:t>this</w:t>
      </w:r>
      <w:r w:rsidR="003D640C">
        <w:rPr>
          <w:rFonts w:eastAsia="Times New Roman"/>
          <w:lang w:eastAsia="en-NZ"/>
        </w:rPr>
        <w:t xml:space="preserve"> </w:t>
      </w:r>
      <w:r w:rsidR="00133F8F">
        <w:rPr>
          <w:rFonts w:eastAsia="Times New Roman"/>
          <w:lang w:eastAsia="en-NZ"/>
        </w:rPr>
        <w:t>study</w:t>
      </w:r>
      <w:r w:rsidR="003D640C">
        <w:rPr>
          <w:rFonts w:eastAsia="Times New Roman"/>
          <w:lang w:eastAsia="en-NZ"/>
        </w:rPr>
        <w:t xml:space="preserve"> </w:t>
      </w:r>
      <w:r w:rsidRPr="00BB6220">
        <w:rPr>
          <w:rFonts w:eastAsia="Times New Roman"/>
          <w:lang w:eastAsia="en-NZ"/>
        </w:rPr>
        <w:t>reported</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therapist</w:t>
      </w:r>
      <w:r w:rsidR="003D640C">
        <w:rPr>
          <w:rFonts w:eastAsia="Times New Roman"/>
          <w:lang w:eastAsia="en-NZ"/>
        </w:rPr>
        <w:t xml:space="preserve"> </w:t>
      </w:r>
      <w:r w:rsidRPr="00BB6220">
        <w:rPr>
          <w:rFonts w:eastAsia="Times New Roman"/>
          <w:lang w:eastAsia="en-NZ"/>
        </w:rPr>
        <w:t>“definitely</w:t>
      </w:r>
      <w:r w:rsidR="003D640C">
        <w:rPr>
          <w:rFonts w:eastAsia="Times New Roman"/>
          <w:lang w:eastAsia="en-NZ"/>
        </w:rPr>
        <w:t xml:space="preserve"> </w:t>
      </w:r>
      <w:r w:rsidRPr="00BB6220">
        <w:rPr>
          <w:rFonts w:eastAsia="Times New Roman"/>
          <w:lang w:eastAsia="en-NZ"/>
        </w:rPr>
        <w:t>encouraged</w:t>
      </w:r>
      <w:r w:rsidR="003D640C">
        <w:rPr>
          <w:rFonts w:eastAsia="Times New Roman"/>
          <w:lang w:eastAsia="en-NZ"/>
        </w:rPr>
        <w:t xml:space="preserve"> </w:t>
      </w:r>
      <w:r w:rsidRPr="00BB6220">
        <w:rPr>
          <w:rFonts w:eastAsia="Times New Roman"/>
          <w:lang w:eastAsia="en-NZ"/>
        </w:rPr>
        <w:t>me</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preference</w:t>
      </w:r>
      <w:r w:rsidR="003D640C">
        <w:rPr>
          <w:rFonts w:eastAsia="Times New Roman"/>
          <w:lang w:eastAsia="en-NZ"/>
        </w:rPr>
        <w:t xml:space="preserve"> </w:t>
      </w:r>
      <w:r w:rsidRPr="00BB6220">
        <w:rPr>
          <w:rFonts w:eastAsia="Times New Roman"/>
          <w:lang w:eastAsia="en-NZ"/>
        </w:rPr>
        <w:t>my</w:t>
      </w:r>
      <w:r w:rsidR="003D640C">
        <w:rPr>
          <w:rFonts w:eastAsia="Times New Roman"/>
          <w:lang w:eastAsia="en-NZ"/>
        </w:rPr>
        <w:t xml:space="preserve"> </w:t>
      </w:r>
      <w:r w:rsidRPr="00BB6220">
        <w:rPr>
          <w:rFonts w:eastAsia="Times New Roman"/>
          <w:lang w:eastAsia="en-NZ"/>
        </w:rPr>
        <w:t>queer</w:t>
      </w:r>
      <w:r w:rsidR="003D640C">
        <w:rPr>
          <w:rFonts w:eastAsia="Times New Roman"/>
          <w:lang w:eastAsia="en-NZ"/>
        </w:rPr>
        <w:t xml:space="preserve"> </w:t>
      </w:r>
      <w:r w:rsidRPr="00BB6220">
        <w:rPr>
          <w:rFonts w:eastAsia="Times New Roman"/>
          <w:lang w:eastAsia="en-NZ"/>
        </w:rPr>
        <w:t>identity</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my</w:t>
      </w:r>
      <w:r w:rsidR="003D640C">
        <w:rPr>
          <w:rFonts w:eastAsia="Times New Roman"/>
          <w:lang w:eastAsia="en-NZ"/>
        </w:rPr>
        <w:t xml:space="preserve"> </w:t>
      </w:r>
      <w:r w:rsidRPr="00BB6220">
        <w:rPr>
          <w:rFonts w:eastAsia="Times New Roman"/>
          <w:lang w:eastAsia="en-NZ"/>
        </w:rPr>
        <w:t>secularised</w:t>
      </w:r>
      <w:r w:rsidR="003D640C">
        <w:rPr>
          <w:rFonts w:eastAsia="Times New Roman"/>
          <w:lang w:eastAsia="en-NZ"/>
        </w:rPr>
        <w:t xml:space="preserve"> </w:t>
      </w:r>
      <w:r w:rsidRPr="00BB6220">
        <w:rPr>
          <w:rFonts w:eastAsia="Times New Roman"/>
          <w:lang w:eastAsia="en-NZ"/>
        </w:rPr>
        <w:t>world</w:t>
      </w:r>
      <w:r w:rsidR="003D640C">
        <w:rPr>
          <w:rFonts w:eastAsia="Times New Roman"/>
          <w:lang w:eastAsia="en-NZ"/>
        </w:rPr>
        <w:t xml:space="preserve"> </w:t>
      </w:r>
      <w:r w:rsidRPr="00BB6220">
        <w:rPr>
          <w:rFonts w:eastAsia="Times New Roman"/>
          <w:lang w:eastAsia="en-NZ"/>
        </w:rPr>
        <w:t>over</w:t>
      </w:r>
      <w:r w:rsidR="003D640C">
        <w:rPr>
          <w:rFonts w:eastAsia="Times New Roman"/>
          <w:lang w:eastAsia="en-NZ"/>
        </w:rPr>
        <w:t xml:space="preserve"> </w:t>
      </w:r>
      <w:r w:rsidRPr="00BB6220">
        <w:rPr>
          <w:rFonts w:eastAsia="Times New Roman"/>
          <w:lang w:eastAsia="en-NZ"/>
        </w:rPr>
        <w:t>my</w:t>
      </w:r>
      <w:r w:rsidR="003D640C">
        <w:rPr>
          <w:rFonts w:eastAsia="Times New Roman"/>
          <w:lang w:eastAsia="en-NZ"/>
        </w:rPr>
        <w:t xml:space="preserve"> </w:t>
      </w:r>
      <w:r w:rsidRPr="00BB6220">
        <w:rPr>
          <w:rFonts w:eastAsia="Times New Roman"/>
          <w:lang w:eastAsia="en-NZ"/>
        </w:rPr>
        <w:t>faith,</w:t>
      </w:r>
      <w:r w:rsidR="003D640C">
        <w:rPr>
          <w:rFonts w:eastAsia="Times New Roman"/>
          <w:lang w:eastAsia="en-NZ"/>
        </w:rPr>
        <w:t xml:space="preserve"> </w:t>
      </w:r>
      <w:r w:rsidRPr="00BB6220">
        <w:rPr>
          <w:rFonts w:eastAsia="Times New Roman"/>
          <w:lang w:eastAsia="en-NZ"/>
        </w:rPr>
        <w:t>when</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was</w:t>
      </w:r>
      <w:r w:rsidR="003D640C">
        <w:rPr>
          <w:rFonts w:eastAsia="Times New Roman"/>
          <w:lang w:eastAsia="en-NZ"/>
        </w:rPr>
        <w:t xml:space="preserve"> </w:t>
      </w:r>
      <w:r w:rsidRPr="00BB6220">
        <w:rPr>
          <w:rFonts w:eastAsia="Times New Roman"/>
          <w:lang w:eastAsia="en-NZ"/>
        </w:rPr>
        <w:t>really</w:t>
      </w:r>
      <w:r w:rsidR="003D640C">
        <w:rPr>
          <w:rFonts w:eastAsia="Times New Roman"/>
          <w:lang w:eastAsia="en-NZ"/>
        </w:rPr>
        <w:t xml:space="preserve"> </w:t>
      </w:r>
      <w:r w:rsidRPr="00BB6220">
        <w:rPr>
          <w:rFonts w:eastAsia="Times New Roman"/>
          <w:lang w:eastAsia="en-NZ"/>
        </w:rPr>
        <w:t>impossible</w:t>
      </w:r>
      <w:r w:rsidR="003D640C">
        <w:rPr>
          <w:rFonts w:eastAsia="Times New Roman"/>
          <w:lang w:eastAsia="en-NZ"/>
        </w:rPr>
        <w:t xml:space="preserve"> </w:t>
      </w:r>
      <w:r w:rsidRPr="00BB6220">
        <w:rPr>
          <w:rFonts w:eastAsia="Times New Roman"/>
          <w:lang w:eastAsia="en-NZ"/>
        </w:rPr>
        <w:t>for</w:t>
      </w:r>
      <w:r w:rsidR="003D640C">
        <w:rPr>
          <w:rFonts w:eastAsia="Times New Roman"/>
          <w:lang w:eastAsia="en-NZ"/>
        </w:rPr>
        <w:t xml:space="preserve"> </w:t>
      </w:r>
      <w:r w:rsidRPr="00BB6220">
        <w:rPr>
          <w:rFonts w:eastAsia="Times New Roman"/>
          <w:lang w:eastAsia="en-NZ"/>
        </w:rPr>
        <w:t>me</w:t>
      </w:r>
      <w:r w:rsidR="00063FEB">
        <w:rPr>
          <w:rFonts w:eastAsia="Times New Roman"/>
          <w:lang w:eastAsia="en-NZ"/>
        </w:rPr>
        <w:t>.</w:t>
      </w:r>
      <w:r w:rsidR="6EDA472D" w:rsidRPr="00BB6220">
        <w:rPr>
          <w:rFonts w:eastAsia="Times New Roman"/>
          <w:lang w:eastAsia="en-NZ"/>
        </w:rPr>
        <w:t>”</w:t>
      </w:r>
    </w:p>
    <w:p w14:paraId="742B573F" w14:textId="3EB0B4A1" w:rsidR="00CF4A69" w:rsidRPr="00BB6220" w:rsidRDefault="00CF4A69" w:rsidP="00B51F0B">
      <w:pPr>
        <w:rPr>
          <w:rFonts w:eastAsia="Times New Roman"/>
          <w:lang w:eastAsia="en-NZ"/>
        </w:rPr>
      </w:pPr>
      <w:r w:rsidRPr="00BB6220">
        <w:rPr>
          <w:rFonts w:eastAsia="Times New Roman"/>
          <w:lang w:eastAsia="en-NZ"/>
        </w:rPr>
        <w:t>A</w:t>
      </w:r>
      <w:r w:rsidR="003D640C">
        <w:rPr>
          <w:rFonts w:eastAsia="Times New Roman"/>
          <w:lang w:eastAsia="en-NZ"/>
        </w:rPr>
        <w:t xml:space="preserve"> </w:t>
      </w:r>
      <w:r w:rsidRPr="00BB6220">
        <w:rPr>
          <w:rFonts w:eastAsia="Times New Roman"/>
          <w:lang w:eastAsia="en-NZ"/>
        </w:rPr>
        <w:t>cisgender</w:t>
      </w:r>
      <w:r w:rsidR="003D640C">
        <w:rPr>
          <w:rFonts w:eastAsia="Times New Roman"/>
          <w:lang w:eastAsia="en-NZ"/>
        </w:rPr>
        <w:t xml:space="preserve"> </w:t>
      </w:r>
      <w:r w:rsidRPr="00BB6220">
        <w:rPr>
          <w:rFonts w:eastAsia="Times New Roman"/>
          <w:lang w:eastAsia="en-NZ"/>
        </w:rPr>
        <w:t>gay</w:t>
      </w:r>
      <w:r w:rsidR="003D640C">
        <w:rPr>
          <w:rFonts w:eastAsia="Times New Roman"/>
          <w:lang w:eastAsia="en-NZ"/>
        </w:rPr>
        <w:t xml:space="preserve"> </w:t>
      </w:r>
      <w:r w:rsidRPr="00BB6220">
        <w:rPr>
          <w:rFonts w:eastAsia="Times New Roman"/>
          <w:lang w:eastAsia="en-NZ"/>
        </w:rPr>
        <w:t>male</w:t>
      </w:r>
      <w:r w:rsidR="003D640C">
        <w:rPr>
          <w:rFonts w:eastAsia="Times New Roman"/>
          <w:lang w:eastAsia="en-NZ"/>
        </w:rPr>
        <w:t xml:space="preserve"> </w:t>
      </w:r>
      <w:r w:rsidRPr="00BB6220">
        <w:rPr>
          <w:rFonts w:eastAsia="Times New Roman"/>
          <w:lang w:eastAsia="en-NZ"/>
        </w:rPr>
        <w:t>participant,</w:t>
      </w:r>
      <w:r w:rsidR="003D640C">
        <w:rPr>
          <w:rFonts w:eastAsia="Times New Roman"/>
          <w:lang w:eastAsia="en-NZ"/>
        </w:rPr>
        <w:t xml:space="preserve"> </w:t>
      </w:r>
      <w:r w:rsidRPr="00BB6220">
        <w:rPr>
          <w:rFonts w:eastAsia="Times New Roman"/>
          <w:lang w:eastAsia="en-NZ"/>
        </w:rPr>
        <w:t>after</w:t>
      </w:r>
      <w:r w:rsidR="003D640C">
        <w:rPr>
          <w:rFonts w:eastAsia="Times New Roman"/>
          <w:lang w:eastAsia="en-NZ"/>
        </w:rPr>
        <w:t xml:space="preserve"> </w:t>
      </w:r>
      <w:r w:rsidRPr="00BB6220">
        <w:rPr>
          <w:rFonts w:eastAsia="Times New Roman"/>
          <w:lang w:eastAsia="en-NZ"/>
        </w:rPr>
        <w:t>clarifying</w:t>
      </w:r>
      <w:r w:rsidR="003D640C">
        <w:rPr>
          <w:rFonts w:eastAsia="Times New Roman"/>
          <w:lang w:eastAsia="en-NZ"/>
        </w:rPr>
        <w:t xml:space="preserve"> </w:t>
      </w:r>
      <w:r w:rsidRPr="00BB6220">
        <w:rPr>
          <w:rFonts w:eastAsia="Times New Roman"/>
          <w:lang w:eastAsia="en-NZ"/>
        </w:rPr>
        <w:t>with</w:t>
      </w:r>
      <w:r w:rsidR="003D640C">
        <w:rPr>
          <w:rFonts w:eastAsia="Times New Roman"/>
          <w:lang w:eastAsia="en-NZ"/>
        </w:rPr>
        <w:t xml:space="preserve"> </w:t>
      </w:r>
      <w:r w:rsidRPr="00BB6220">
        <w:rPr>
          <w:rFonts w:eastAsia="Times New Roman"/>
          <w:lang w:eastAsia="en-NZ"/>
        </w:rPr>
        <w:t>his</w:t>
      </w:r>
      <w:r w:rsidR="003D640C">
        <w:rPr>
          <w:rFonts w:eastAsia="Times New Roman"/>
          <w:lang w:eastAsia="en-NZ"/>
        </w:rPr>
        <w:t xml:space="preserve"> </w:t>
      </w:r>
      <w:r w:rsidRPr="00BB6220">
        <w:rPr>
          <w:rFonts w:eastAsia="Times New Roman"/>
          <w:lang w:eastAsia="en-NZ"/>
        </w:rPr>
        <w:t>therapist</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he</w:t>
      </w:r>
      <w:r w:rsidR="003D640C">
        <w:rPr>
          <w:rFonts w:eastAsia="Times New Roman"/>
          <w:lang w:eastAsia="en-NZ"/>
        </w:rPr>
        <w:t xml:space="preserve"> </w:t>
      </w:r>
      <w:r w:rsidRPr="00BB6220">
        <w:rPr>
          <w:rFonts w:eastAsia="Times New Roman"/>
          <w:lang w:eastAsia="en-NZ"/>
        </w:rPr>
        <w:t>still</w:t>
      </w:r>
      <w:r w:rsidR="003D640C">
        <w:rPr>
          <w:rFonts w:eastAsia="Times New Roman"/>
          <w:lang w:eastAsia="en-NZ"/>
        </w:rPr>
        <w:t xml:space="preserve"> </w:t>
      </w:r>
      <w:r w:rsidRPr="00BB6220">
        <w:rPr>
          <w:rFonts w:eastAsia="Times New Roman"/>
          <w:lang w:eastAsia="en-NZ"/>
        </w:rPr>
        <w:t>identified</w:t>
      </w:r>
      <w:r w:rsidR="003D640C">
        <w:rPr>
          <w:rFonts w:eastAsia="Times New Roman"/>
          <w:lang w:eastAsia="en-NZ"/>
        </w:rPr>
        <w:t xml:space="preserve"> </w:t>
      </w:r>
      <w:r w:rsidRPr="00BB6220">
        <w:rPr>
          <w:rFonts w:eastAsia="Times New Roman"/>
          <w:lang w:eastAsia="en-NZ"/>
        </w:rPr>
        <w:t>as</w:t>
      </w:r>
      <w:r w:rsidR="003D640C">
        <w:rPr>
          <w:rFonts w:eastAsia="Times New Roman"/>
          <w:lang w:eastAsia="en-NZ"/>
        </w:rPr>
        <w:t xml:space="preserve"> </w:t>
      </w:r>
      <w:r w:rsidRPr="00BB6220">
        <w:rPr>
          <w:rFonts w:eastAsia="Times New Roman"/>
          <w:lang w:eastAsia="en-NZ"/>
        </w:rPr>
        <w:t>Christian,</w:t>
      </w:r>
      <w:r w:rsidR="003D640C">
        <w:rPr>
          <w:rFonts w:eastAsia="Times New Roman"/>
          <w:lang w:eastAsia="en-NZ"/>
        </w:rPr>
        <w:t xml:space="preserve"> </w:t>
      </w:r>
      <w:r w:rsidRPr="00BB6220">
        <w:rPr>
          <w:rFonts w:eastAsia="Times New Roman"/>
          <w:lang w:eastAsia="en-NZ"/>
        </w:rPr>
        <w:t>objected</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subsequent</w:t>
      </w:r>
      <w:r w:rsidR="003D640C">
        <w:rPr>
          <w:rFonts w:eastAsia="Times New Roman"/>
          <w:lang w:eastAsia="en-NZ"/>
        </w:rPr>
        <w:t xml:space="preserve"> </w:t>
      </w:r>
      <w:r w:rsidRPr="00BB6220">
        <w:rPr>
          <w:rFonts w:eastAsia="Times New Roman"/>
          <w:lang w:eastAsia="en-NZ"/>
        </w:rPr>
        <w:t>forced</w:t>
      </w:r>
      <w:r w:rsidR="003D640C">
        <w:rPr>
          <w:rFonts w:eastAsia="Times New Roman"/>
          <w:lang w:eastAsia="en-NZ"/>
        </w:rPr>
        <w:t xml:space="preserve"> </w:t>
      </w:r>
      <w:r w:rsidRPr="00BB6220">
        <w:rPr>
          <w:rFonts w:eastAsia="Times New Roman"/>
          <w:lang w:eastAsia="en-NZ"/>
        </w:rPr>
        <w:t>approach</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‘visualising</w:t>
      </w:r>
      <w:r w:rsidR="003D640C">
        <w:rPr>
          <w:rFonts w:eastAsia="Times New Roman"/>
          <w:lang w:eastAsia="en-NZ"/>
        </w:rPr>
        <w:t xml:space="preserve"> </w:t>
      </w:r>
      <w:r w:rsidRPr="00BB6220">
        <w:rPr>
          <w:rFonts w:eastAsia="Times New Roman"/>
          <w:lang w:eastAsia="en-NZ"/>
        </w:rPr>
        <w:t>Jesus</w:t>
      </w:r>
      <w:r w:rsidR="003D640C">
        <w:rPr>
          <w:rFonts w:eastAsia="Times New Roman"/>
          <w:lang w:eastAsia="en-NZ"/>
        </w:rPr>
        <w:t xml:space="preserve"> </w:t>
      </w:r>
      <w:r w:rsidRPr="00BB6220">
        <w:rPr>
          <w:rFonts w:eastAsia="Times New Roman"/>
          <w:lang w:eastAsia="en-NZ"/>
        </w:rPr>
        <w:t>coming</w:t>
      </w:r>
      <w:r w:rsidR="003D640C">
        <w:rPr>
          <w:rFonts w:eastAsia="Times New Roman"/>
          <w:lang w:eastAsia="en-NZ"/>
        </w:rPr>
        <w:t xml:space="preserve"> </w:t>
      </w:r>
      <w:r w:rsidRPr="00BB6220">
        <w:rPr>
          <w:rFonts w:eastAsia="Times New Roman"/>
          <w:lang w:eastAsia="en-NZ"/>
        </w:rPr>
        <w:t>back</w:t>
      </w:r>
      <w:r w:rsidR="003D640C">
        <w:rPr>
          <w:rFonts w:eastAsia="Times New Roman"/>
          <w:lang w:eastAsia="en-NZ"/>
        </w:rPr>
        <w:t xml:space="preserve"> </w:t>
      </w:r>
      <w:r w:rsidRPr="00BB6220">
        <w:rPr>
          <w:rFonts w:eastAsia="Times New Roman"/>
          <w:lang w:eastAsia="en-NZ"/>
        </w:rPr>
        <w:t>into</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picture</w:t>
      </w:r>
      <w:bookmarkStart w:id="363" w:name="_Int_9bNm8eDe"/>
      <w:r w:rsidRPr="00BB6220">
        <w:rPr>
          <w:rFonts w:eastAsia="Times New Roman"/>
          <w:lang w:eastAsia="en-NZ"/>
        </w:rPr>
        <w:t>’.</w:t>
      </w:r>
      <w:bookmarkEnd w:id="363"/>
      <w:r w:rsidR="003D640C">
        <w:rPr>
          <w:rFonts w:eastAsia="Times New Roman"/>
          <w:lang w:eastAsia="en-NZ"/>
        </w:rPr>
        <w:t xml:space="preserve"> </w:t>
      </w:r>
      <w:r w:rsidRPr="00BB6220">
        <w:rPr>
          <w:rFonts w:eastAsia="Times New Roman"/>
          <w:lang w:eastAsia="en-NZ"/>
        </w:rPr>
        <w:t>“Someone</w:t>
      </w:r>
      <w:r w:rsidR="003D640C">
        <w:rPr>
          <w:rFonts w:eastAsia="Times New Roman"/>
          <w:lang w:eastAsia="en-NZ"/>
        </w:rPr>
        <w:t xml:space="preserve"> </w:t>
      </w:r>
      <w:r w:rsidRPr="00BB6220">
        <w:rPr>
          <w:rFonts w:eastAsia="Times New Roman"/>
          <w:lang w:eastAsia="en-NZ"/>
        </w:rPr>
        <w:t>else</w:t>
      </w:r>
      <w:r w:rsidR="003D640C">
        <w:rPr>
          <w:rFonts w:eastAsia="Times New Roman"/>
          <w:lang w:eastAsia="en-NZ"/>
        </w:rPr>
        <w:t xml:space="preserve"> </w:t>
      </w:r>
      <w:r w:rsidRPr="00BB6220">
        <w:rPr>
          <w:rFonts w:eastAsia="Times New Roman"/>
          <w:lang w:eastAsia="en-NZ"/>
        </w:rPr>
        <w:t>putting</w:t>
      </w:r>
      <w:r w:rsidR="003D640C">
        <w:rPr>
          <w:rFonts w:eastAsia="Times New Roman"/>
          <w:lang w:eastAsia="en-NZ"/>
        </w:rPr>
        <w:t xml:space="preserve"> </w:t>
      </w:r>
      <w:r w:rsidRPr="00BB6220">
        <w:rPr>
          <w:rFonts w:eastAsia="Times New Roman"/>
          <w:lang w:eastAsia="en-NZ"/>
        </w:rPr>
        <w:t>God</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Jesus</w:t>
      </w:r>
      <w:r w:rsidR="003D640C">
        <w:rPr>
          <w:rFonts w:eastAsia="Times New Roman"/>
          <w:lang w:eastAsia="en-NZ"/>
        </w:rPr>
        <w:t xml:space="preserve"> </w:t>
      </w:r>
      <w:r w:rsidRPr="00BB6220">
        <w:rPr>
          <w:rFonts w:eastAsia="Times New Roman"/>
          <w:lang w:eastAsia="en-NZ"/>
        </w:rPr>
        <w:t>back</w:t>
      </w:r>
      <w:r w:rsidR="003D640C">
        <w:rPr>
          <w:rFonts w:eastAsia="Times New Roman"/>
          <w:lang w:eastAsia="en-NZ"/>
        </w:rPr>
        <w:t xml:space="preserve"> </w:t>
      </w:r>
      <w:r w:rsidRPr="00BB6220">
        <w:rPr>
          <w:rFonts w:eastAsia="Times New Roman"/>
          <w:lang w:eastAsia="en-NZ"/>
        </w:rPr>
        <w:t>in</w:t>
      </w:r>
      <w:r w:rsidR="003D640C">
        <w:rPr>
          <w:rFonts w:eastAsia="Times New Roman"/>
          <w:lang w:eastAsia="en-NZ"/>
        </w:rPr>
        <w:t xml:space="preserve"> </w:t>
      </w:r>
      <w:r w:rsidRPr="00BB6220">
        <w:rPr>
          <w:rFonts w:eastAsia="Times New Roman"/>
          <w:lang w:eastAsia="en-NZ"/>
        </w:rPr>
        <w:t>like</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was</w:t>
      </w:r>
      <w:r w:rsidR="003D640C">
        <w:rPr>
          <w:rFonts w:eastAsia="Times New Roman"/>
          <w:lang w:eastAsia="en-NZ"/>
        </w:rPr>
        <w:t xml:space="preserve"> </w:t>
      </w:r>
      <w:r w:rsidRPr="00BB6220">
        <w:rPr>
          <w:rFonts w:eastAsia="Times New Roman"/>
          <w:lang w:eastAsia="en-NZ"/>
        </w:rPr>
        <w:t>really</w:t>
      </w:r>
      <w:r w:rsidR="003D640C">
        <w:rPr>
          <w:rFonts w:eastAsia="Times New Roman"/>
          <w:lang w:eastAsia="en-NZ"/>
        </w:rPr>
        <w:t xml:space="preserve"> </w:t>
      </w:r>
      <w:r w:rsidRPr="00BB6220">
        <w:rPr>
          <w:rFonts w:eastAsia="Times New Roman"/>
          <w:lang w:eastAsia="en-NZ"/>
        </w:rPr>
        <w:t>confronting</w:t>
      </w:r>
      <w:r w:rsidR="003D640C">
        <w:rPr>
          <w:rFonts w:eastAsia="Times New Roman"/>
          <w:lang w:eastAsia="en-NZ"/>
        </w:rPr>
        <w:t xml:space="preserve"> </w:t>
      </w:r>
      <w:r w:rsidRPr="00BB6220">
        <w:rPr>
          <w:rFonts w:eastAsia="Times New Roman"/>
          <w:lang w:eastAsia="en-NZ"/>
        </w:rPr>
        <w:t>given</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wasn’t</w:t>
      </w:r>
      <w:r w:rsidR="003D640C">
        <w:rPr>
          <w:rFonts w:eastAsia="Times New Roman"/>
          <w:lang w:eastAsia="en-NZ"/>
        </w:rPr>
        <w:t xml:space="preserve"> </w:t>
      </w:r>
      <w:r w:rsidRPr="00BB6220">
        <w:rPr>
          <w:rFonts w:eastAsia="Times New Roman"/>
          <w:lang w:eastAsia="en-NZ"/>
        </w:rPr>
        <w:t>my</w:t>
      </w:r>
      <w:r w:rsidR="003D640C">
        <w:rPr>
          <w:rFonts w:eastAsia="Times New Roman"/>
          <w:lang w:eastAsia="en-NZ"/>
        </w:rPr>
        <w:t xml:space="preserve"> </w:t>
      </w:r>
      <w:r w:rsidRPr="00BB6220">
        <w:rPr>
          <w:rFonts w:eastAsia="Times New Roman"/>
          <w:lang w:eastAsia="en-NZ"/>
        </w:rPr>
        <w:t>own</w:t>
      </w:r>
      <w:r w:rsidR="003D640C">
        <w:rPr>
          <w:rFonts w:eastAsia="Times New Roman"/>
          <w:lang w:eastAsia="en-NZ"/>
        </w:rPr>
        <w:t xml:space="preserve"> </w:t>
      </w:r>
      <w:r w:rsidRPr="00BB6220">
        <w:rPr>
          <w:rFonts w:eastAsia="Times New Roman"/>
          <w:lang w:eastAsia="en-NZ"/>
        </w:rPr>
        <w:t>goal</w:t>
      </w:r>
      <w:r w:rsidR="00A37A04">
        <w:rPr>
          <w:rFonts w:eastAsia="Times New Roman"/>
          <w:lang w:eastAsia="en-NZ"/>
        </w:rPr>
        <w:t>.</w:t>
      </w:r>
      <w:r w:rsidRPr="00BB6220">
        <w:rPr>
          <w:rFonts w:eastAsia="Times New Roman"/>
          <w:lang w:eastAsia="en-NZ"/>
        </w:rPr>
        <w:t>”</w:t>
      </w:r>
      <w:r w:rsidR="003D640C">
        <w:rPr>
          <w:rFonts w:eastAsia="Times New Roman"/>
          <w:lang w:eastAsia="en-NZ"/>
        </w:rPr>
        <w:t xml:space="preserve"> </w:t>
      </w:r>
      <w:r w:rsidR="00133F8F">
        <w:rPr>
          <w:rFonts w:eastAsia="Times New Roman"/>
          <w:lang w:eastAsia="en-NZ"/>
        </w:rPr>
        <w:t>This</w:t>
      </w:r>
      <w:r w:rsidR="003D640C">
        <w:rPr>
          <w:rFonts w:eastAsia="Times New Roman"/>
          <w:lang w:eastAsia="en-NZ"/>
        </w:rPr>
        <w:t xml:space="preserve"> </w:t>
      </w:r>
      <w:r w:rsidR="00133F8F">
        <w:rPr>
          <w:rFonts w:eastAsia="Times New Roman"/>
          <w:lang w:eastAsia="en-NZ"/>
        </w:rPr>
        <w:t>participant</w:t>
      </w:r>
      <w:r w:rsidR="003D640C">
        <w:rPr>
          <w:rFonts w:eastAsia="Times New Roman"/>
          <w:lang w:eastAsia="en-NZ"/>
        </w:rPr>
        <w:t xml:space="preserve"> </w:t>
      </w:r>
      <w:r w:rsidR="00133F8F">
        <w:rPr>
          <w:rFonts w:eastAsia="Times New Roman"/>
          <w:lang w:eastAsia="en-NZ"/>
        </w:rPr>
        <w:t>e</w:t>
      </w:r>
      <w:r w:rsidRPr="00BB6220">
        <w:rPr>
          <w:rFonts w:eastAsia="Times New Roman"/>
          <w:lang w:eastAsia="en-NZ"/>
        </w:rPr>
        <w:t>qually</w:t>
      </w:r>
      <w:r w:rsidR="003D640C">
        <w:rPr>
          <w:rFonts w:eastAsia="Times New Roman"/>
          <w:lang w:eastAsia="en-NZ"/>
        </w:rPr>
        <w:t xml:space="preserve"> </w:t>
      </w:r>
      <w:r w:rsidRPr="00BB6220">
        <w:rPr>
          <w:rFonts w:eastAsia="Times New Roman"/>
          <w:lang w:eastAsia="en-NZ"/>
        </w:rPr>
        <w:t>rejected</w:t>
      </w:r>
      <w:r w:rsidR="003D640C">
        <w:rPr>
          <w:rFonts w:eastAsia="Times New Roman"/>
          <w:lang w:eastAsia="en-NZ"/>
        </w:rPr>
        <w:t xml:space="preserve"> </w:t>
      </w:r>
      <w:r w:rsidRPr="00BB6220">
        <w:rPr>
          <w:rFonts w:eastAsia="Times New Roman"/>
          <w:lang w:eastAsia="en-NZ"/>
        </w:rPr>
        <w:t>receiving</w:t>
      </w:r>
      <w:r w:rsidR="003D640C">
        <w:rPr>
          <w:rFonts w:eastAsia="Times New Roman"/>
          <w:lang w:eastAsia="en-NZ"/>
        </w:rPr>
        <w:t xml:space="preserve"> </w:t>
      </w:r>
      <w:r w:rsidRPr="00BB6220">
        <w:rPr>
          <w:rFonts w:eastAsia="Times New Roman"/>
          <w:lang w:eastAsia="en-NZ"/>
        </w:rPr>
        <w:t>affirming</w:t>
      </w:r>
      <w:r w:rsidR="003D640C">
        <w:rPr>
          <w:rFonts w:eastAsia="Times New Roman"/>
          <w:lang w:eastAsia="en-NZ"/>
        </w:rPr>
        <w:t xml:space="preserve"> </w:t>
      </w:r>
      <w:r w:rsidRPr="00BB6220">
        <w:rPr>
          <w:rFonts w:eastAsia="Times New Roman"/>
          <w:lang w:eastAsia="en-NZ"/>
        </w:rPr>
        <w:t>church</w:t>
      </w:r>
      <w:r w:rsidR="003D640C">
        <w:rPr>
          <w:rFonts w:eastAsia="Times New Roman"/>
          <w:lang w:eastAsia="en-NZ"/>
        </w:rPr>
        <w:t xml:space="preserve"> </w:t>
      </w:r>
      <w:r w:rsidRPr="00BB6220">
        <w:rPr>
          <w:rFonts w:eastAsia="Times New Roman"/>
          <w:lang w:eastAsia="en-NZ"/>
        </w:rPr>
        <w:t>referrals.</w:t>
      </w:r>
    </w:p>
    <w:p w14:paraId="06E6D9F0" w14:textId="657352B1" w:rsidR="00501068" w:rsidRDefault="00CF4A69" w:rsidP="00B51F0B">
      <w:pPr>
        <w:rPr>
          <w:rFonts w:eastAsia="Times New Roman"/>
          <w:lang w:eastAsia="en-NZ"/>
        </w:rPr>
      </w:pPr>
      <w:r w:rsidRPr="00BB6220">
        <w:rPr>
          <w:rFonts w:eastAsia="Times New Roman"/>
          <w:lang w:eastAsia="en-NZ"/>
        </w:rPr>
        <w:t>Th</w:t>
      </w:r>
      <w:r w:rsidR="00133F8F">
        <w:rPr>
          <w:rFonts w:eastAsia="Times New Roman"/>
          <w:lang w:eastAsia="en-NZ"/>
        </w:rPr>
        <w:t>e</w:t>
      </w:r>
      <w:r w:rsidR="003D640C">
        <w:rPr>
          <w:rFonts w:eastAsia="Times New Roman"/>
          <w:lang w:eastAsia="en-NZ"/>
        </w:rPr>
        <w:t xml:space="preserve"> </w:t>
      </w:r>
      <w:r w:rsidR="00133F8F">
        <w:rPr>
          <w:rFonts w:eastAsia="Times New Roman"/>
          <w:lang w:eastAsia="en-NZ"/>
        </w:rPr>
        <w:t>examples</w:t>
      </w:r>
      <w:r w:rsidR="003D640C">
        <w:rPr>
          <w:rFonts w:eastAsia="Times New Roman"/>
          <w:lang w:eastAsia="en-NZ"/>
        </w:rPr>
        <w:t xml:space="preserve"> </w:t>
      </w:r>
      <w:r w:rsidR="00C23530">
        <w:rPr>
          <w:rFonts w:eastAsia="Times New Roman"/>
          <w:lang w:eastAsia="en-NZ"/>
        </w:rPr>
        <w:t xml:space="preserve">from the Australian study above </w:t>
      </w:r>
      <w:r w:rsidRPr="00BB6220">
        <w:rPr>
          <w:rFonts w:eastAsia="Times New Roman"/>
          <w:lang w:eastAsia="en-NZ"/>
        </w:rPr>
        <w:t>illustrate</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degree</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which</w:t>
      </w:r>
      <w:r w:rsidR="003D640C">
        <w:rPr>
          <w:rFonts w:eastAsia="Times New Roman"/>
          <w:lang w:eastAsia="en-NZ"/>
        </w:rPr>
        <w:t xml:space="preserve"> </w:t>
      </w:r>
      <w:r w:rsidRPr="00BB6220">
        <w:rPr>
          <w:rFonts w:eastAsia="Times New Roman"/>
          <w:lang w:eastAsia="en-NZ"/>
        </w:rPr>
        <w:t>therapists</w:t>
      </w:r>
      <w:r w:rsidR="003D640C">
        <w:rPr>
          <w:rFonts w:eastAsia="Times New Roman"/>
          <w:lang w:eastAsia="en-NZ"/>
        </w:rPr>
        <w:t xml:space="preserve"> </w:t>
      </w:r>
      <w:r w:rsidRPr="00BB6220">
        <w:rPr>
          <w:rFonts w:eastAsia="Times New Roman"/>
          <w:lang w:eastAsia="en-NZ"/>
        </w:rPr>
        <w:t>must</w:t>
      </w:r>
      <w:r w:rsidR="003D640C">
        <w:rPr>
          <w:rFonts w:eastAsia="Times New Roman"/>
          <w:lang w:eastAsia="en-NZ"/>
        </w:rPr>
        <w:t xml:space="preserve"> </w:t>
      </w:r>
      <w:r w:rsidRPr="00BB6220">
        <w:rPr>
          <w:rFonts w:eastAsia="Times New Roman"/>
          <w:lang w:eastAsia="en-NZ"/>
        </w:rPr>
        <w:t>avoid</w:t>
      </w:r>
      <w:r w:rsidR="003D640C">
        <w:rPr>
          <w:rFonts w:eastAsia="Times New Roman"/>
          <w:lang w:eastAsia="en-NZ"/>
        </w:rPr>
        <w:t xml:space="preserve"> </w:t>
      </w:r>
      <w:r w:rsidRPr="00BB6220">
        <w:rPr>
          <w:rFonts w:eastAsia="Times New Roman"/>
          <w:lang w:eastAsia="en-NZ"/>
        </w:rPr>
        <w:t>operating</w:t>
      </w:r>
      <w:r w:rsidR="003D640C">
        <w:rPr>
          <w:rFonts w:eastAsia="Times New Roman"/>
          <w:lang w:eastAsia="en-NZ"/>
        </w:rPr>
        <w:t xml:space="preserve"> </w:t>
      </w:r>
      <w:r w:rsidRPr="00BB6220">
        <w:rPr>
          <w:rFonts w:eastAsia="Times New Roman"/>
          <w:lang w:eastAsia="en-NZ"/>
        </w:rPr>
        <w:t>on</w:t>
      </w:r>
      <w:r w:rsidR="003D640C">
        <w:rPr>
          <w:rFonts w:eastAsia="Times New Roman"/>
          <w:lang w:eastAsia="en-NZ"/>
        </w:rPr>
        <w:t xml:space="preserve"> </w:t>
      </w:r>
      <w:r w:rsidRPr="00BB6220">
        <w:rPr>
          <w:rFonts w:eastAsia="Times New Roman"/>
          <w:lang w:eastAsia="en-NZ"/>
        </w:rPr>
        <w:t>‘auto-pilot’.</w:t>
      </w:r>
      <w:r w:rsidR="003D640C">
        <w:rPr>
          <w:rFonts w:eastAsia="Times New Roman"/>
          <w:lang w:eastAsia="en-NZ"/>
        </w:rPr>
        <w:t xml:space="preserve"> </w:t>
      </w:r>
      <w:r w:rsidR="003E269D">
        <w:rPr>
          <w:rFonts w:eastAsia="Times New Roman"/>
          <w:lang w:eastAsia="en-NZ"/>
        </w:rPr>
        <w:t>From</w:t>
      </w:r>
      <w:r w:rsidR="003D640C">
        <w:rPr>
          <w:rFonts w:eastAsia="Times New Roman"/>
          <w:lang w:eastAsia="en-NZ"/>
        </w:rPr>
        <w:t xml:space="preserve"> </w:t>
      </w:r>
      <w:r w:rsidR="003E269D">
        <w:rPr>
          <w:rFonts w:eastAsia="Times New Roman"/>
          <w:lang w:eastAsia="en-NZ"/>
        </w:rPr>
        <w:t>our</w:t>
      </w:r>
      <w:r w:rsidR="003D640C">
        <w:rPr>
          <w:rFonts w:eastAsia="Times New Roman"/>
          <w:lang w:eastAsia="en-NZ"/>
        </w:rPr>
        <w:t xml:space="preserve"> </w:t>
      </w:r>
      <w:r w:rsidR="003E269D">
        <w:rPr>
          <w:rFonts w:eastAsia="Times New Roman"/>
          <w:lang w:eastAsia="en-NZ"/>
        </w:rPr>
        <w:t>engagement,</w:t>
      </w:r>
      <w:r w:rsidR="003D640C">
        <w:rPr>
          <w:rFonts w:eastAsia="Times New Roman"/>
          <w:lang w:eastAsia="en-NZ"/>
        </w:rPr>
        <w:t xml:space="preserve"> </w:t>
      </w:r>
      <w:r w:rsidR="003E269D">
        <w:rPr>
          <w:rFonts w:eastAsia="Times New Roman"/>
          <w:lang w:eastAsia="en-NZ"/>
        </w:rPr>
        <w:t>we</w:t>
      </w:r>
      <w:r w:rsidR="003D640C">
        <w:rPr>
          <w:rFonts w:eastAsia="Times New Roman"/>
          <w:lang w:eastAsia="en-NZ"/>
        </w:rPr>
        <w:t xml:space="preserve"> </w:t>
      </w:r>
      <w:r w:rsidR="003E269D">
        <w:rPr>
          <w:rFonts w:eastAsia="Times New Roman"/>
          <w:lang w:eastAsia="en-NZ"/>
        </w:rPr>
        <w:t>understand</w:t>
      </w:r>
      <w:r w:rsidR="003D640C">
        <w:rPr>
          <w:rFonts w:eastAsia="Times New Roman"/>
          <w:lang w:eastAsia="en-NZ"/>
        </w:rPr>
        <w:t xml:space="preserve"> </w:t>
      </w:r>
      <w:r w:rsidR="003E269D">
        <w:rPr>
          <w:rFonts w:eastAsia="Times New Roman"/>
          <w:lang w:eastAsia="en-NZ"/>
        </w:rPr>
        <w:t>that</w:t>
      </w:r>
      <w:r w:rsidR="003D640C">
        <w:rPr>
          <w:rFonts w:eastAsia="Times New Roman"/>
          <w:lang w:eastAsia="en-NZ"/>
        </w:rPr>
        <w:t xml:space="preserve"> </w:t>
      </w:r>
      <w:r w:rsidR="003E269D">
        <w:rPr>
          <w:rFonts w:eastAsia="Times New Roman"/>
          <w:lang w:eastAsia="en-NZ"/>
        </w:rPr>
        <w:t>d</w:t>
      </w:r>
      <w:r w:rsidRPr="00BB6220">
        <w:rPr>
          <w:rFonts w:eastAsia="Times New Roman"/>
          <w:lang w:eastAsia="en-NZ"/>
        </w:rPr>
        <w:t>oing</w:t>
      </w:r>
      <w:r w:rsidR="003D640C">
        <w:rPr>
          <w:rFonts w:eastAsia="Times New Roman"/>
          <w:lang w:eastAsia="en-NZ"/>
        </w:rPr>
        <w:t xml:space="preserve"> </w:t>
      </w:r>
      <w:r w:rsidRPr="00BB6220">
        <w:rPr>
          <w:rFonts w:eastAsia="Times New Roman"/>
          <w:lang w:eastAsia="en-NZ"/>
        </w:rPr>
        <w:t>so</w:t>
      </w:r>
      <w:r w:rsidR="003D640C">
        <w:rPr>
          <w:rFonts w:eastAsia="Times New Roman"/>
          <w:lang w:eastAsia="en-NZ"/>
        </w:rPr>
        <w:t xml:space="preserve"> </w:t>
      </w:r>
      <w:r w:rsidRPr="00BB6220">
        <w:rPr>
          <w:rFonts w:eastAsia="Times New Roman"/>
          <w:lang w:eastAsia="en-NZ"/>
        </w:rPr>
        <w:t>risks</w:t>
      </w:r>
      <w:r w:rsidR="003D640C">
        <w:rPr>
          <w:rFonts w:eastAsia="Times New Roman"/>
          <w:lang w:eastAsia="en-NZ"/>
        </w:rPr>
        <w:t xml:space="preserve"> </w:t>
      </w:r>
      <w:r w:rsidRPr="00BB6220">
        <w:rPr>
          <w:rFonts w:eastAsia="Times New Roman"/>
          <w:lang w:eastAsia="en-NZ"/>
        </w:rPr>
        <w:t>missing</w:t>
      </w:r>
      <w:r w:rsidR="003D640C">
        <w:rPr>
          <w:rFonts w:eastAsia="Times New Roman"/>
          <w:lang w:eastAsia="en-NZ"/>
        </w:rPr>
        <w:t xml:space="preserve"> </w:t>
      </w:r>
      <w:r w:rsidRPr="00BB6220">
        <w:rPr>
          <w:rFonts w:eastAsia="Times New Roman"/>
          <w:lang w:eastAsia="en-NZ"/>
        </w:rPr>
        <w:lastRenderedPageBreak/>
        <w:t>important</w:t>
      </w:r>
      <w:r w:rsidR="003D640C">
        <w:rPr>
          <w:rFonts w:eastAsia="Times New Roman"/>
          <w:lang w:eastAsia="en-NZ"/>
        </w:rPr>
        <w:t xml:space="preserve"> </w:t>
      </w:r>
      <w:r w:rsidRPr="00BB6220">
        <w:rPr>
          <w:rFonts w:eastAsia="Times New Roman"/>
          <w:lang w:eastAsia="en-NZ"/>
        </w:rPr>
        <w:t>trends,</w:t>
      </w:r>
      <w:r w:rsidR="003D640C">
        <w:rPr>
          <w:rFonts w:eastAsia="Times New Roman"/>
          <w:lang w:eastAsia="en-NZ"/>
        </w:rPr>
        <w:t xml:space="preserve"> </w:t>
      </w:r>
      <w:r w:rsidRPr="00BB6220">
        <w:rPr>
          <w:rFonts w:eastAsia="Times New Roman"/>
          <w:lang w:eastAsia="en-NZ"/>
        </w:rPr>
        <w:t>such</w:t>
      </w:r>
      <w:r w:rsidR="003D640C">
        <w:rPr>
          <w:rFonts w:eastAsia="Times New Roman"/>
          <w:lang w:eastAsia="en-NZ"/>
        </w:rPr>
        <w:t xml:space="preserve"> </w:t>
      </w:r>
      <w:r w:rsidRPr="00BB6220">
        <w:rPr>
          <w:rFonts w:eastAsia="Times New Roman"/>
          <w:lang w:eastAsia="en-NZ"/>
        </w:rPr>
        <w:t>as</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risk</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suicide</w:t>
      </w:r>
      <w:r w:rsidR="003D640C">
        <w:rPr>
          <w:rFonts w:eastAsia="Times New Roman"/>
          <w:lang w:eastAsia="en-NZ"/>
        </w:rPr>
        <w:t xml:space="preserve"> </w:t>
      </w:r>
      <w:r w:rsidRPr="00BB6220">
        <w:rPr>
          <w:rFonts w:eastAsia="Times New Roman"/>
          <w:lang w:eastAsia="en-NZ"/>
        </w:rPr>
        <w:t>for</w:t>
      </w:r>
      <w:r w:rsidR="003D640C">
        <w:rPr>
          <w:rFonts w:eastAsia="Times New Roman"/>
          <w:lang w:eastAsia="en-NZ"/>
        </w:rPr>
        <w:t xml:space="preserve"> </w:t>
      </w:r>
      <w:r w:rsidRPr="00BB6220">
        <w:rPr>
          <w:rFonts w:eastAsia="Times New Roman"/>
          <w:lang w:eastAsia="en-NZ"/>
        </w:rPr>
        <w:t>survivors</w:t>
      </w:r>
      <w:r w:rsidR="003D640C">
        <w:rPr>
          <w:rFonts w:eastAsia="Times New Roman"/>
          <w:lang w:eastAsia="en-NZ"/>
        </w:rPr>
        <w:t xml:space="preserve"> </w:t>
      </w:r>
      <w:r w:rsidRPr="00BB6220">
        <w:rPr>
          <w:rFonts w:eastAsia="Times New Roman"/>
          <w:lang w:eastAsia="en-NZ"/>
        </w:rPr>
        <w:t>who</w:t>
      </w:r>
      <w:r w:rsidR="003D640C">
        <w:rPr>
          <w:rFonts w:eastAsia="Times New Roman"/>
          <w:lang w:eastAsia="en-NZ"/>
        </w:rPr>
        <w:t xml:space="preserve"> </w:t>
      </w:r>
      <w:r w:rsidRPr="00BB6220">
        <w:rPr>
          <w:rFonts w:eastAsia="Times New Roman"/>
          <w:lang w:eastAsia="en-NZ"/>
        </w:rPr>
        <w:t>leave</w:t>
      </w:r>
      <w:r w:rsidR="003D640C">
        <w:rPr>
          <w:rFonts w:eastAsia="Times New Roman"/>
          <w:lang w:eastAsia="en-NZ"/>
        </w:rPr>
        <w:t xml:space="preserve"> </w:t>
      </w:r>
      <w:r w:rsidRPr="00BB6220">
        <w:rPr>
          <w:rFonts w:eastAsia="Times New Roman"/>
          <w:lang w:eastAsia="en-NZ"/>
        </w:rPr>
        <w:t>conversion</w:t>
      </w:r>
      <w:r w:rsidR="003D640C">
        <w:rPr>
          <w:rFonts w:eastAsia="Times New Roman"/>
          <w:lang w:eastAsia="en-NZ"/>
        </w:rPr>
        <w:t xml:space="preserve"> </w:t>
      </w:r>
      <w:r w:rsidRPr="00BB6220">
        <w:rPr>
          <w:rFonts w:eastAsia="Times New Roman"/>
          <w:lang w:eastAsia="en-NZ"/>
        </w:rPr>
        <w:t>practices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find</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wh</w:t>
      </w:r>
      <w:r w:rsidR="00704A32" w:rsidRPr="00BB6220">
        <w:rPr>
          <w:rFonts w:eastAsia="Times New Roman"/>
          <w:lang w:eastAsia="en-NZ"/>
        </w:rPr>
        <w:t>ā</w:t>
      </w:r>
      <w:r w:rsidRPr="00BB6220">
        <w:rPr>
          <w:rFonts w:eastAsia="Times New Roman"/>
          <w:lang w:eastAsia="en-NZ"/>
        </w:rPr>
        <w:t>nau,</w:t>
      </w:r>
      <w:r w:rsidR="003D640C">
        <w:rPr>
          <w:rFonts w:eastAsia="Times New Roman"/>
          <w:lang w:eastAsia="en-NZ"/>
        </w:rPr>
        <w:t xml:space="preserve"> </w:t>
      </w:r>
      <w:r w:rsidRPr="00BB6220">
        <w:rPr>
          <w:rFonts w:eastAsia="Times New Roman"/>
          <w:lang w:eastAsia="en-NZ"/>
        </w:rPr>
        <w:t>friends</w:t>
      </w:r>
      <w:r w:rsidR="552D7857" w:rsidRPr="00BB6220">
        <w:rPr>
          <w:rFonts w:eastAsia="Times New Roman"/>
          <w:lang w:eastAsia="en-NZ"/>
        </w:rPr>
        <w:t>,</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even</w:t>
      </w:r>
      <w:r w:rsidR="003D640C">
        <w:rPr>
          <w:rFonts w:eastAsia="Times New Roman"/>
          <w:lang w:eastAsia="en-NZ"/>
        </w:rPr>
        <w:t xml:space="preserve"> </w:t>
      </w:r>
      <w:r w:rsidRPr="00BB6220">
        <w:rPr>
          <w:rFonts w:eastAsia="Times New Roman"/>
          <w:lang w:eastAsia="en-NZ"/>
        </w:rPr>
        <w:t>employers</w:t>
      </w:r>
      <w:r w:rsidR="003D640C">
        <w:rPr>
          <w:rFonts w:eastAsia="Times New Roman"/>
          <w:lang w:eastAsia="en-NZ"/>
        </w:rPr>
        <w:t xml:space="preserve"> </w:t>
      </w:r>
      <w:r w:rsidRPr="00BB6220">
        <w:rPr>
          <w:rFonts w:eastAsia="Times New Roman"/>
          <w:lang w:eastAsia="en-NZ"/>
        </w:rPr>
        <w:t>reject</w:t>
      </w:r>
      <w:r w:rsidR="003D640C">
        <w:rPr>
          <w:rFonts w:eastAsia="Times New Roman"/>
          <w:lang w:eastAsia="en-NZ"/>
        </w:rPr>
        <w:t xml:space="preserve"> </w:t>
      </w:r>
      <w:r w:rsidRPr="00BB6220">
        <w:rPr>
          <w:rFonts w:eastAsia="Times New Roman"/>
          <w:lang w:eastAsia="en-NZ"/>
        </w:rPr>
        <w:t>them.</w:t>
      </w:r>
      <w:r w:rsidR="003D640C">
        <w:rPr>
          <w:rFonts w:eastAsia="Times New Roman"/>
          <w:lang w:eastAsia="en-NZ"/>
        </w:rPr>
        <w:t xml:space="preserve"> </w:t>
      </w:r>
    </w:p>
    <w:p w14:paraId="73D921B2" w14:textId="14383B74" w:rsidR="00501068" w:rsidRDefault="001D33FF" w:rsidP="00B51F0B">
      <w:pPr>
        <w:pStyle w:val="Quote"/>
        <w:rPr>
          <w:lang w:val="mi-NZ"/>
        </w:rPr>
      </w:pPr>
      <w:r w:rsidRPr="00BB6220">
        <w:t>“I</w:t>
      </w:r>
      <w:r w:rsidR="003D640C">
        <w:t xml:space="preserve"> </w:t>
      </w:r>
      <w:r w:rsidRPr="00BB6220">
        <w:t>had</w:t>
      </w:r>
      <w:r w:rsidR="003D640C">
        <w:t xml:space="preserve"> </w:t>
      </w:r>
      <w:r w:rsidRPr="00BB6220">
        <w:t>such</w:t>
      </w:r>
      <w:r w:rsidR="003D640C">
        <w:t xml:space="preserve"> </w:t>
      </w:r>
      <w:r w:rsidRPr="00BB6220">
        <w:t>bad</w:t>
      </w:r>
      <w:r w:rsidR="003D640C">
        <w:t xml:space="preserve"> </w:t>
      </w:r>
      <w:r w:rsidRPr="00BB6220">
        <w:t>experiences</w:t>
      </w:r>
      <w:r w:rsidR="003D640C">
        <w:t xml:space="preserve"> </w:t>
      </w:r>
      <w:r w:rsidRPr="00BB6220">
        <w:t>with</w:t>
      </w:r>
      <w:r w:rsidR="003D640C">
        <w:t xml:space="preserve"> </w:t>
      </w:r>
      <w:r w:rsidRPr="00BB6220">
        <w:t>therapy</w:t>
      </w:r>
      <w:r w:rsidR="003D640C">
        <w:t xml:space="preserve"> </w:t>
      </w:r>
      <w:r w:rsidRPr="00BB6220">
        <w:t>after</w:t>
      </w:r>
      <w:r w:rsidR="003D640C">
        <w:t xml:space="preserve"> </w:t>
      </w:r>
      <w:r w:rsidRPr="00BB6220">
        <w:t>I</w:t>
      </w:r>
      <w:r w:rsidR="003D640C">
        <w:t xml:space="preserve"> </w:t>
      </w:r>
      <w:r w:rsidRPr="00BB6220">
        <w:t>stopped</w:t>
      </w:r>
      <w:r w:rsidR="003D640C">
        <w:t xml:space="preserve"> </w:t>
      </w:r>
      <w:r w:rsidRPr="00BB6220">
        <w:t>conversion</w:t>
      </w:r>
      <w:r w:rsidR="003D640C">
        <w:t xml:space="preserve"> </w:t>
      </w:r>
      <w:r w:rsidRPr="00BB6220">
        <w:t>practices.</w:t>
      </w:r>
      <w:r w:rsidR="003D640C">
        <w:t xml:space="preserve"> </w:t>
      </w:r>
      <w:r w:rsidRPr="00BB6220">
        <w:t>I</w:t>
      </w:r>
      <w:r w:rsidR="003D640C">
        <w:t xml:space="preserve"> </w:t>
      </w:r>
      <w:r w:rsidRPr="00BB6220">
        <w:t>knew</w:t>
      </w:r>
      <w:r w:rsidR="003D640C">
        <w:t xml:space="preserve"> </w:t>
      </w:r>
      <w:r w:rsidRPr="00BB6220">
        <w:t>I</w:t>
      </w:r>
      <w:r w:rsidR="003D640C">
        <w:t xml:space="preserve"> </w:t>
      </w:r>
      <w:r w:rsidRPr="00BB6220">
        <w:t>needed</w:t>
      </w:r>
      <w:r w:rsidR="003D640C">
        <w:t xml:space="preserve"> </w:t>
      </w:r>
      <w:r w:rsidRPr="00BB6220">
        <w:t>help</w:t>
      </w:r>
      <w:r w:rsidR="003D640C">
        <w:t xml:space="preserve"> </w:t>
      </w:r>
      <w:r w:rsidRPr="00BB6220">
        <w:t>but</w:t>
      </w:r>
      <w:r w:rsidR="003D640C">
        <w:t xml:space="preserve"> </w:t>
      </w:r>
      <w:r w:rsidRPr="00BB6220">
        <w:t>everything</w:t>
      </w:r>
      <w:r w:rsidR="003D640C">
        <w:t xml:space="preserve"> </w:t>
      </w:r>
      <w:r w:rsidRPr="00BB6220">
        <w:t>just</w:t>
      </w:r>
      <w:r w:rsidR="003D640C">
        <w:t xml:space="preserve"> </w:t>
      </w:r>
      <w:r w:rsidRPr="00BB6220">
        <w:t>reminded</w:t>
      </w:r>
      <w:r w:rsidR="003D640C">
        <w:t xml:space="preserve"> </w:t>
      </w:r>
      <w:r w:rsidRPr="00BB6220">
        <w:t>me</w:t>
      </w:r>
      <w:r w:rsidR="003D640C">
        <w:t xml:space="preserve"> </w:t>
      </w:r>
      <w:r w:rsidRPr="00BB6220">
        <w:t>of</w:t>
      </w:r>
      <w:r w:rsidR="003D640C">
        <w:t xml:space="preserve"> </w:t>
      </w:r>
      <w:r w:rsidR="00EF6DE7" w:rsidRPr="00BB6220">
        <w:t>the</w:t>
      </w:r>
      <w:r w:rsidR="003D640C">
        <w:t xml:space="preserve"> </w:t>
      </w:r>
      <w:r w:rsidR="00EF6DE7" w:rsidRPr="00BB6220">
        <w:t>counsellors</w:t>
      </w:r>
      <w:r w:rsidR="003D640C">
        <w:t xml:space="preserve"> </w:t>
      </w:r>
      <w:r w:rsidR="00EF6DE7" w:rsidRPr="00BB6220">
        <w:t>who</w:t>
      </w:r>
      <w:r w:rsidR="003D640C">
        <w:t xml:space="preserve"> </w:t>
      </w:r>
      <w:r w:rsidR="00EF6DE7" w:rsidRPr="00BB6220">
        <w:t>tried</w:t>
      </w:r>
      <w:r w:rsidR="003D640C">
        <w:t xml:space="preserve"> </w:t>
      </w:r>
      <w:r w:rsidR="00EF6DE7" w:rsidRPr="00BB6220">
        <w:t>to</w:t>
      </w:r>
      <w:r w:rsidR="003D640C">
        <w:t xml:space="preserve"> </w:t>
      </w:r>
      <w:r w:rsidR="00EF6DE7" w:rsidRPr="00BB6220">
        <w:t>convert</w:t>
      </w:r>
      <w:r w:rsidR="003D640C">
        <w:t xml:space="preserve"> </w:t>
      </w:r>
      <w:r w:rsidR="00EF6DE7" w:rsidRPr="00BB6220">
        <w:t>me.</w:t>
      </w:r>
      <w:r w:rsidR="003D640C">
        <w:t xml:space="preserve"> </w:t>
      </w:r>
      <w:r w:rsidR="00EF6DE7" w:rsidRPr="00BB6220">
        <w:t>I</w:t>
      </w:r>
      <w:r w:rsidR="003D640C">
        <w:t xml:space="preserve"> </w:t>
      </w:r>
      <w:r w:rsidR="002403A5" w:rsidRPr="00BB6220">
        <w:t>even</w:t>
      </w:r>
      <w:r w:rsidR="003D640C">
        <w:t xml:space="preserve"> </w:t>
      </w:r>
      <w:r w:rsidR="002403A5" w:rsidRPr="00BB6220">
        <w:t>went</w:t>
      </w:r>
      <w:r w:rsidR="003D640C">
        <w:t xml:space="preserve"> </w:t>
      </w:r>
      <w:r w:rsidR="002403A5" w:rsidRPr="00BB6220">
        <w:t>to</w:t>
      </w:r>
      <w:r w:rsidR="003D640C">
        <w:t xml:space="preserve"> </w:t>
      </w:r>
      <w:r w:rsidR="002403A5" w:rsidRPr="00BB6220">
        <w:t>a</w:t>
      </w:r>
      <w:r w:rsidR="003D640C">
        <w:t xml:space="preserve"> </w:t>
      </w:r>
      <w:r w:rsidR="002403A5" w:rsidRPr="00BB6220">
        <w:t>queer</w:t>
      </w:r>
      <w:r w:rsidR="003D640C">
        <w:t xml:space="preserve"> </w:t>
      </w:r>
      <w:r w:rsidR="002403A5" w:rsidRPr="00BB6220">
        <w:t>therapist</w:t>
      </w:r>
      <w:r w:rsidR="003D640C">
        <w:t xml:space="preserve"> </w:t>
      </w:r>
      <w:r w:rsidR="002403A5" w:rsidRPr="00BB6220">
        <w:t>but</w:t>
      </w:r>
      <w:r w:rsidR="003D640C">
        <w:t xml:space="preserve"> </w:t>
      </w:r>
      <w:r w:rsidR="002403A5" w:rsidRPr="00BB6220">
        <w:t>he</w:t>
      </w:r>
      <w:r w:rsidR="003D640C">
        <w:t xml:space="preserve"> </w:t>
      </w:r>
      <w:r w:rsidR="002403A5" w:rsidRPr="00BB6220">
        <w:t>kept</w:t>
      </w:r>
      <w:r w:rsidR="003D640C">
        <w:t xml:space="preserve"> </w:t>
      </w:r>
      <w:r w:rsidR="002403A5" w:rsidRPr="00BB6220">
        <w:t>pushing</w:t>
      </w:r>
      <w:r w:rsidR="003D640C">
        <w:t xml:space="preserve"> </w:t>
      </w:r>
      <w:r w:rsidR="002403A5" w:rsidRPr="00BB6220">
        <w:t>his</w:t>
      </w:r>
      <w:r w:rsidR="003D640C">
        <w:t xml:space="preserve"> </w:t>
      </w:r>
      <w:r w:rsidR="002403A5" w:rsidRPr="00BB6220">
        <w:t>favourite</w:t>
      </w:r>
      <w:r w:rsidR="003D640C">
        <w:t xml:space="preserve"> </w:t>
      </w:r>
      <w:r w:rsidR="002403A5" w:rsidRPr="00BB6220">
        <w:t>method</w:t>
      </w:r>
      <w:r w:rsidR="003D640C">
        <w:t xml:space="preserve"> </w:t>
      </w:r>
      <w:r w:rsidR="002403A5" w:rsidRPr="00BB6220">
        <w:t>on</w:t>
      </w:r>
      <w:r w:rsidR="003D640C">
        <w:t xml:space="preserve"> </w:t>
      </w:r>
      <w:r w:rsidR="002403A5" w:rsidRPr="00BB6220">
        <w:t>me</w:t>
      </w:r>
      <w:r w:rsidR="00C01805" w:rsidRPr="00BB6220">
        <w:t>.</w:t>
      </w:r>
      <w:r w:rsidR="003D640C">
        <w:t xml:space="preserve"> </w:t>
      </w:r>
      <w:r w:rsidR="00C01805" w:rsidRPr="00BB6220">
        <w:t>I</w:t>
      </w:r>
      <w:r w:rsidR="003D640C">
        <w:t xml:space="preserve"> </w:t>
      </w:r>
      <w:r w:rsidR="00C01805" w:rsidRPr="00BB6220">
        <w:t>was</w:t>
      </w:r>
      <w:r w:rsidR="003D640C">
        <w:t xml:space="preserve"> </w:t>
      </w:r>
      <w:r w:rsidR="00C01805" w:rsidRPr="00BB6220">
        <w:t>like,</w:t>
      </w:r>
      <w:r w:rsidR="003D640C">
        <w:t xml:space="preserve"> </w:t>
      </w:r>
      <w:r w:rsidR="00C01805" w:rsidRPr="00BB6220">
        <w:t>‘This</w:t>
      </w:r>
      <w:r w:rsidR="003D640C">
        <w:t xml:space="preserve"> </w:t>
      </w:r>
      <w:r w:rsidR="00C01805" w:rsidRPr="00BB6220">
        <w:t>isn’t</w:t>
      </w:r>
      <w:r w:rsidR="003D640C">
        <w:t xml:space="preserve"> </w:t>
      </w:r>
      <w:r w:rsidR="00C01805" w:rsidRPr="00BB6220">
        <w:t>helping,</w:t>
      </w:r>
      <w:r w:rsidR="003D640C">
        <w:t xml:space="preserve"> </w:t>
      </w:r>
      <w:r w:rsidR="00C01805" w:rsidRPr="00BB6220">
        <w:t>I’m</w:t>
      </w:r>
      <w:r w:rsidR="003D640C">
        <w:t xml:space="preserve"> </w:t>
      </w:r>
      <w:r w:rsidR="007749DB" w:rsidRPr="00BB6220">
        <w:t>literally</w:t>
      </w:r>
      <w:r w:rsidR="003D640C">
        <w:t xml:space="preserve"> </w:t>
      </w:r>
      <w:r w:rsidR="00C01805" w:rsidRPr="00BB6220">
        <w:t>sitting</w:t>
      </w:r>
      <w:r w:rsidR="003D640C">
        <w:t xml:space="preserve"> </w:t>
      </w:r>
      <w:r w:rsidR="00C01805" w:rsidRPr="00BB6220">
        <w:t>here</w:t>
      </w:r>
      <w:r w:rsidR="003D640C">
        <w:t xml:space="preserve"> </w:t>
      </w:r>
      <w:r w:rsidR="00C01805" w:rsidRPr="00BB6220">
        <w:t>shaking</w:t>
      </w:r>
      <w:r w:rsidR="003D640C">
        <w:t xml:space="preserve"> </w:t>
      </w:r>
      <w:r w:rsidR="00C01805" w:rsidRPr="00BB6220">
        <w:t>from</w:t>
      </w:r>
      <w:r w:rsidR="003D640C">
        <w:t xml:space="preserve"> </w:t>
      </w:r>
      <w:r w:rsidR="00C01805" w:rsidRPr="00BB6220">
        <w:t>the</w:t>
      </w:r>
      <w:r w:rsidR="003D640C">
        <w:t xml:space="preserve"> </w:t>
      </w:r>
      <w:r w:rsidR="00C01805" w:rsidRPr="00BB6220">
        <w:t>PTSD!’</w:t>
      </w:r>
      <w:r w:rsidR="003D640C">
        <w:t xml:space="preserve"> </w:t>
      </w:r>
      <w:r w:rsidR="00C01805" w:rsidRPr="00BB6220">
        <w:t>But</w:t>
      </w:r>
      <w:r w:rsidR="003D640C">
        <w:t xml:space="preserve"> </w:t>
      </w:r>
      <w:r w:rsidR="00C01805" w:rsidRPr="00BB6220">
        <w:t>he</w:t>
      </w:r>
      <w:r w:rsidR="003D640C">
        <w:t xml:space="preserve"> </w:t>
      </w:r>
      <w:r w:rsidR="00C01805" w:rsidRPr="00BB6220">
        <w:t>kept</w:t>
      </w:r>
      <w:r w:rsidR="003D640C">
        <w:t xml:space="preserve"> </w:t>
      </w:r>
      <w:r w:rsidR="00C01805" w:rsidRPr="00BB6220">
        <w:t>saying</w:t>
      </w:r>
      <w:r w:rsidR="00363E34" w:rsidRPr="00BB6220">
        <w:t>,</w:t>
      </w:r>
      <w:r w:rsidR="003D640C">
        <w:t xml:space="preserve"> </w:t>
      </w:r>
      <w:r w:rsidR="00363E34" w:rsidRPr="00BB6220">
        <w:t>‘T</w:t>
      </w:r>
      <w:r w:rsidR="007749DB" w:rsidRPr="00BB6220">
        <w:t>his</w:t>
      </w:r>
      <w:r w:rsidR="003D640C">
        <w:t xml:space="preserve"> </w:t>
      </w:r>
      <w:r w:rsidR="007749DB" w:rsidRPr="00BB6220">
        <w:t>really</w:t>
      </w:r>
      <w:r w:rsidR="003D640C">
        <w:t xml:space="preserve"> </w:t>
      </w:r>
      <w:r w:rsidR="007749DB" w:rsidRPr="00BB6220">
        <w:t>works,</w:t>
      </w:r>
      <w:r w:rsidR="003D640C">
        <w:t xml:space="preserve"> </w:t>
      </w:r>
      <w:r w:rsidR="007749DB" w:rsidRPr="00BB6220">
        <w:t>there</w:t>
      </w:r>
      <w:r w:rsidR="003D640C">
        <w:t xml:space="preserve"> </w:t>
      </w:r>
      <w:r w:rsidR="007749DB" w:rsidRPr="00BB6220">
        <w:t>is</w:t>
      </w:r>
      <w:r w:rsidR="003D640C">
        <w:t xml:space="preserve"> </w:t>
      </w:r>
      <w:r w:rsidR="007749DB" w:rsidRPr="00BB6220">
        <w:t>a</w:t>
      </w:r>
      <w:r w:rsidR="003D640C">
        <w:t xml:space="preserve"> </w:t>
      </w:r>
      <w:r w:rsidR="007749DB" w:rsidRPr="00BB6220">
        <w:t>lot</w:t>
      </w:r>
      <w:r w:rsidR="003D640C">
        <w:t xml:space="preserve"> </w:t>
      </w:r>
      <w:r w:rsidR="007749DB" w:rsidRPr="00BB6220">
        <w:t>of</w:t>
      </w:r>
      <w:r w:rsidR="003D640C">
        <w:t xml:space="preserve"> </w:t>
      </w:r>
      <w:r w:rsidR="007749DB" w:rsidRPr="00BB6220">
        <w:t>evidence</w:t>
      </w:r>
      <w:r w:rsidR="003D640C">
        <w:t xml:space="preserve"> </w:t>
      </w:r>
      <w:r w:rsidR="007749DB" w:rsidRPr="00BB6220">
        <w:t>to</w:t>
      </w:r>
      <w:r w:rsidR="003D640C">
        <w:t xml:space="preserve"> </w:t>
      </w:r>
      <w:r w:rsidR="007749DB" w:rsidRPr="00BB6220">
        <w:t>support</w:t>
      </w:r>
      <w:r w:rsidR="003D640C">
        <w:t xml:space="preserve"> </w:t>
      </w:r>
      <w:r w:rsidR="007749DB" w:rsidRPr="00BB6220">
        <w:t>it.</w:t>
      </w:r>
      <w:r w:rsidR="00363E34" w:rsidRPr="00BB6220">
        <w:t>’</w:t>
      </w:r>
      <w:r w:rsidR="003D640C">
        <w:t xml:space="preserve"> </w:t>
      </w:r>
      <w:r w:rsidR="007749DB" w:rsidRPr="00BB6220">
        <w:t>He</w:t>
      </w:r>
      <w:r w:rsidR="003D640C">
        <w:t xml:space="preserve"> </w:t>
      </w:r>
      <w:r w:rsidR="007749DB" w:rsidRPr="00BB6220">
        <w:t>just</w:t>
      </w:r>
      <w:r w:rsidR="003D640C">
        <w:t xml:space="preserve"> </w:t>
      </w:r>
      <w:r w:rsidR="007749DB" w:rsidRPr="00BB6220">
        <w:t>wouldn’t</w:t>
      </w:r>
      <w:r w:rsidR="003D640C">
        <w:t xml:space="preserve"> </w:t>
      </w:r>
      <w:r w:rsidR="007749DB" w:rsidRPr="00BB6220">
        <w:t>listen</w:t>
      </w:r>
      <w:r w:rsidR="00EF5058" w:rsidRPr="00BB6220">
        <w:t>.</w:t>
      </w:r>
      <w:r w:rsidR="003D640C">
        <w:t xml:space="preserve"> </w:t>
      </w:r>
      <w:r w:rsidR="00EF5058" w:rsidRPr="00BB6220">
        <w:t>I</w:t>
      </w:r>
      <w:r w:rsidR="003D640C">
        <w:t xml:space="preserve"> </w:t>
      </w:r>
      <w:r w:rsidR="00EF5058" w:rsidRPr="00BB6220">
        <w:t>felt</w:t>
      </w:r>
      <w:r w:rsidR="003D640C">
        <w:t xml:space="preserve"> </w:t>
      </w:r>
      <w:r w:rsidR="00EF5058" w:rsidRPr="00BB6220">
        <w:t>really</w:t>
      </w:r>
      <w:r w:rsidR="003D640C">
        <w:t xml:space="preserve"> </w:t>
      </w:r>
      <w:r w:rsidR="00EF5058" w:rsidRPr="00BB6220">
        <w:t>traumatised.</w:t>
      </w:r>
      <w:r w:rsidR="00F20E7B" w:rsidRPr="00BB6220">
        <w:t>”</w:t>
      </w:r>
      <w:r w:rsidR="003D640C">
        <w:t xml:space="preserve"> </w:t>
      </w:r>
      <w:r w:rsidR="00F20E7B" w:rsidRPr="00BB6220">
        <w:t>P</w:t>
      </w:r>
      <w:r w:rsidR="00F20E7B" w:rsidRPr="00BB6220">
        <w:rPr>
          <w:lang w:val="mi-NZ"/>
        </w:rPr>
        <w:t>ā</w:t>
      </w:r>
      <w:r w:rsidR="00EF5058" w:rsidRPr="00BB6220">
        <w:rPr>
          <w:lang w:val="mi-NZ"/>
        </w:rPr>
        <w:t>kehā,</w:t>
      </w:r>
      <w:r w:rsidR="003D640C">
        <w:rPr>
          <w:lang w:val="mi-NZ"/>
        </w:rPr>
        <w:t xml:space="preserve"> </w:t>
      </w:r>
      <w:r w:rsidR="00EF5058" w:rsidRPr="00BB6220">
        <w:rPr>
          <w:lang w:val="mi-NZ"/>
        </w:rPr>
        <w:t>female</w:t>
      </w:r>
      <w:r w:rsidR="003D640C">
        <w:rPr>
          <w:lang w:val="mi-NZ"/>
        </w:rPr>
        <w:t xml:space="preserve"> </w:t>
      </w:r>
    </w:p>
    <w:p w14:paraId="6287FF66" w14:textId="7E4EF07E" w:rsidR="00CF4A69" w:rsidRPr="00BB6220" w:rsidRDefault="00CF4A69" w:rsidP="00B51F0B">
      <w:pPr>
        <w:rPr>
          <w:lang w:eastAsia="en-NZ"/>
        </w:rPr>
      </w:pPr>
      <w:r w:rsidRPr="00BB6220">
        <w:rPr>
          <w:lang w:eastAsia="en-NZ"/>
        </w:rPr>
        <w:t>Therapists</w:t>
      </w:r>
      <w:r w:rsidR="003D640C">
        <w:rPr>
          <w:lang w:eastAsia="en-NZ"/>
        </w:rPr>
        <w:t xml:space="preserve"> </w:t>
      </w:r>
      <w:r w:rsidRPr="00BB6220">
        <w:rPr>
          <w:lang w:eastAsia="en-NZ"/>
        </w:rPr>
        <w:t>are</w:t>
      </w:r>
      <w:r w:rsidR="003D640C">
        <w:rPr>
          <w:lang w:eastAsia="en-NZ"/>
        </w:rPr>
        <w:t xml:space="preserve"> </w:t>
      </w:r>
      <w:r w:rsidR="00D16BEE" w:rsidRPr="00BB6220">
        <w:rPr>
          <w:lang w:eastAsia="en-NZ"/>
        </w:rPr>
        <w:t>also</w:t>
      </w:r>
      <w:r w:rsidR="003D640C">
        <w:rPr>
          <w:lang w:eastAsia="en-NZ"/>
        </w:rPr>
        <w:t xml:space="preserve"> </w:t>
      </w:r>
      <w:r w:rsidRPr="00BB6220">
        <w:rPr>
          <w:lang w:eastAsia="en-NZ"/>
        </w:rPr>
        <w:t>advised</w:t>
      </w:r>
      <w:r w:rsidR="003D640C">
        <w:rPr>
          <w:lang w:eastAsia="en-NZ"/>
        </w:rPr>
        <w:t xml:space="preserve"> </w:t>
      </w:r>
      <w:r w:rsidRPr="00BB6220">
        <w:rPr>
          <w:lang w:eastAsia="en-NZ"/>
        </w:rPr>
        <w:t>to</w:t>
      </w:r>
      <w:r w:rsidR="003D640C">
        <w:rPr>
          <w:lang w:eastAsia="en-NZ"/>
        </w:rPr>
        <w:t xml:space="preserve"> </w:t>
      </w:r>
      <w:r w:rsidRPr="00BB6220">
        <w:rPr>
          <w:lang w:eastAsia="en-NZ"/>
        </w:rPr>
        <w:t>treat</w:t>
      </w:r>
      <w:r w:rsidR="003D640C">
        <w:rPr>
          <w:lang w:eastAsia="en-NZ"/>
        </w:rPr>
        <w:t xml:space="preserve"> </w:t>
      </w:r>
      <w:r w:rsidRPr="00BB6220">
        <w:rPr>
          <w:lang w:eastAsia="en-NZ"/>
        </w:rPr>
        <w:t>the</w:t>
      </w:r>
      <w:r w:rsidR="003D640C">
        <w:rPr>
          <w:lang w:eastAsia="en-NZ"/>
        </w:rPr>
        <w:t xml:space="preserve"> </w:t>
      </w:r>
      <w:r w:rsidRPr="00BB6220">
        <w:rPr>
          <w:lang w:eastAsia="en-NZ"/>
        </w:rPr>
        <w:t>first</w:t>
      </w:r>
      <w:r w:rsidR="003D640C">
        <w:rPr>
          <w:lang w:eastAsia="en-NZ"/>
        </w:rPr>
        <w:t xml:space="preserve"> </w:t>
      </w:r>
      <w:r w:rsidRPr="00BB6220">
        <w:rPr>
          <w:lang w:eastAsia="en-NZ"/>
        </w:rPr>
        <w:t>session</w:t>
      </w:r>
      <w:r w:rsidR="003D640C">
        <w:rPr>
          <w:lang w:eastAsia="en-NZ"/>
        </w:rPr>
        <w:t xml:space="preserve"> </w:t>
      </w:r>
      <w:r w:rsidRPr="00BB6220">
        <w:rPr>
          <w:lang w:eastAsia="en-NZ"/>
        </w:rPr>
        <w:t>with</w:t>
      </w:r>
      <w:r w:rsidR="003D640C">
        <w:rPr>
          <w:lang w:eastAsia="en-NZ"/>
        </w:rPr>
        <w:t xml:space="preserve"> </w:t>
      </w:r>
      <w:r w:rsidRPr="00BB6220">
        <w:rPr>
          <w:lang w:eastAsia="en-NZ"/>
        </w:rPr>
        <w:t>a</w:t>
      </w:r>
      <w:r w:rsidR="003D640C">
        <w:rPr>
          <w:lang w:eastAsia="en-NZ"/>
        </w:rPr>
        <w:t xml:space="preserve"> </w:t>
      </w:r>
      <w:r w:rsidRPr="00BB6220">
        <w:rPr>
          <w:lang w:eastAsia="en-NZ"/>
        </w:rPr>
        <w:t>survivor</w:t>
      </w:r>
      <w:r w:rsidR="003D640C">
        <w:rPr>
          <w:lang w:eastAsia="en-NZ"/>
        </w:rPr>
        <w:t xml:space="preserve"> </w:t>
      </w:r>
      <w:r w:rsidRPr="00BB6220">
        <w:rPr>
          <w:lang w:eastAsia="en-NZ"/>
        </w:rPr>
        <w:t>as</w:t>
      </w:r>
      <w:r w:rsidR="003D640C">
        <w:rPr>
          <w:lang w:eastAsia="en-NZ"/>
        </w:rPr>
        <w:t xml:space="preserve"> </w:t>
      </w:r>
      <w:r w:rsidRPr="00BB6220">
        <w:rPr>
          <w:lang w:eastAsia="en-NZ"/>
        </w:rPr>
        <w:t>the</w:t>
      </w:r>
      <w:r w:rsidR="003D640C">
        <w:rPr>
          <w:lang w:eastAsia="en-NZ"/>
        </w:rPr>
        <w:t xml:space="preserve"> </w:t>
      </w:r>
      <w:r w:rsidRPr="00BB6220">
        <w:rPr>
          <w:lang w:eastAsia="en-NZ"/>
        </w:rPr>
        <w:t>only</w:t>
      </w:r>
      <w:r w:rsidR="003D640C">
        <w:rPr>
          <w:lang w:eastAsia="en-NZ"/>
        </w:rPr>
        <w:t xml:space="preserve"> </w:t>
      </w:r>
      <w:r w:rsidRPr="00BB6220">
        <w:rPr>
          <w:lang w:eastAsia="en-NZ"/>
        </w:rPr>
        <w:t>chance</w:t>
      </w:r>
      <w:r w:rsidR="003D640C">
        <w:rPr>
          <w:lang w:eastAsia="en-NZ"/>
        </w:rPr>
        <w:t xml:space="preserve"> </w:t>
      </w:r>
      <w:r w:rsidRPr="00BB6220">
        <w:rPr>
          <w:lang w:eastAsia="en-NZ"/>
        </w:rPr>
        <w:t>to</w:t>
      </w:r>
      <w:r w:rsidR="003D640C">
        <w:rPr>
          <w:lang w:eastAsia="en-NZ"/>
        </w:rPr>
        <w:t xml:space="preserve"> </w:t>
      </w:r>
      <w:r w:rsidRPr="00BB6220">
        <w:rPr>
          <w:lang w:eastAsia="en-NZ"/>
        </w:rPr>
        <w:t>cover</w:t>
      </w:r>
      <w:r w:rsidR="003D640C">
        <w:rPr>
          <w:lang w:eastAsia="en-NZ"/>
        </w:rPr>
        <w:t xml:space="preserve"> </w:t>
      </w:r>
      <w:r w:rsidRPr="00BB6220">
        <w:rPr>
          <w:lang w:eastAsia="en-NZ"/>
        </w:rPr>
        <w:t>safety</w:t>
      </w:r>
      <w:r w:rsidR="003D640C">
        <w:rPr>
          <w:lang w:eastAsia="en-NZ"/>
        </w:rPr>
        <w:t xml:space="preserve"> </w:t>
      </w:r>
      <w:r w:rsidRPr="00BB6220">
        <w:rPr>
          <w:lang w:eastAsia="en-NZ"/>
        </w:rPr>
        <w:t>with</w:t>
      </w:r>
      <w:r w:rsidR="003D640C">
        <w:rPr>
          <w:lang w:eastAsia="en-NZ"/>
        </w:rPr>
        <w:t xml:space="preserve"> </w:t>
      </w:r>
      <w:r w:rsidRPr="00BB6220">
        <w:rPr>
          <w:lang w:eastAsia="en-NZ"/>
        </w:rPr>
        <w:t>them,</w:t>
      </w:r>
      <w:r w:rsidR="003D640C">
        <w:rPr>
          <w:lang w:eastAsia="en-NZ"/>
        </w:rPr>
        <w:t xml:space="preserve"> </w:t>
      </w:r>
      <w:r w:rsidRPr="00BB6220">
        <w:rPr>
          <w:lang w:eastAsia="en-NZ"/>
        </w:rPr>
        <w:t>such</w:t>
      </w:r>
      <w:r w:rsidR="003D640C">
        <w:rPr>
          <w:lang w:eastAsia="en-NZ"/>
        </w:rPr>
        <w:t xml:space="preserve"> </w:t>
      </w:r>
      <w:r w:rsidRPr="00BB6220">
        <w:rPr>
          <w:lang w:eastAsia="en-NZ"/>
        </w:rPr>
        <w:t>as</w:t>
      </w:r>
      <w:r w:rsidR="003D640C">
        <w:rPr>
          <w:lang w:eastAsia="en-NZ"/>
        </w:rPr>
        <w:t xml:space="preserve"> </w:t>
      </w:r>
      <w:r w:rsidRPr="00BB6220">
        <w:rPr>
          <w:lang w:eastAsia="en-NZ"/>
        </w:rPr>
        <w:t>telephone</w:t>
      </w:r>
      <w:r w:rsidR="003D640C">
        <w:rPr>
          <w:lang w:eastAsia="en-NZ"/>
        </w:rPr>
        <w:t xml:space="preserve"> </w:t>
      </w:r>
      <w:r w:rsidRPr="00BB6220">
        <w:rPr>
          <w:lang w:eastAsia="en-NZ"/>
        </w:rPr>
        <w:t>help</w:t>
      </w:r>
      <w:r w:rsidR="003D640C">
        <w:rPr>
          <w:lang w:eastAsia="en-NZ"/>
        </w:rPr>
        <w:t xml:space="preserve"> </w:t>
      </w:r>
      <w:r w:rsidRPr="00BB6220">
        <w:rPr>
          <w:lang w:eastAsia="en-NZ"/>
        </w:rPr>
        <w:t>lines,</w:t>
      </w:r>
      <w:r w:rsidR="003D640C">
        <w:rPr>
          <w:lang w:eastAsia="en-NZ"/>
        </w:rPr>
        <w:t xml:space="preserve"> </w:t>
      </w:r>
      <w:r w:rsidRPr="00BB6220">
        <w:rPr>
          <w:lang w:eastAsia="en-NZ"/>
        </w:rPr>
        <w:t>breathing</w:t>
      </w:r>
      <w:r w:rsidR="003D640C">
        <w:rPr>
          <w:lang w:eastAsia="en-NZ"/>
        </w:rPr>
        <w:t xml:space="preserve"> </w:t>
      </w:r>
      <w:r w:rsidRPr="00BB6220">
        <w:rPr>
          <w:lang w:eastAsia="en-NZ"/>
        </w:rPr>
        <w:t>techniques</w:t>
      </w:r>
      <w:r w:rsidR="003D640C">
        <w:rPr>
          <w:lang w:eastAsia="en-NZ"/>
        </w:rPr>
        <w:t xml:space="preserve"> </w:t>
      </w:r>
      <w:r w:rsidRPr="00BB6220">
        <w:rPr>
          <w:lang w:eastAsia="en-NZ"/>
        </w:rPr>
        <w:t>to</w:t>
      </w:r>
      <w:r w:rsidR="003D640C">
        <w:rPr>
          <w:lang w:eastAsia="en-NZ"/>
        </w:rPr>
        <w:t xml:space="preserve"> </w:t>
      </w:r>
      <w:r w:rsidRPr="00BB6220">
        <w:rPr>
          <w:lang w:eastAsia="en-NZ"/>
        </w:rPr>
        <w:t>manage</w:t>
      </w:r>
      <w:r w:rsidR="003D640C">
        <w:rPr>
          <w:lang w:eastAsia="en-NZ"/>
        </w:rPr>
        <w:t xml:space="preserve"> </w:t>
      </w:r>
      <w:r w:rsidRPr="00BB6220">
        <w:rPr>
          <w:lang w:eastAsia="en-NZ"/>
        </w:rPr>
        <w:t>anxiety,</w:t>
      </w:r>
      <w:r w:rsidR="003D640C">
        <w:rPr>
          <w:lang w:eastAsia="en-NZ"/>
        </w:rPr>
        <w:t xml:space="preserve"> </w:t>
      </w:r>
      <w:r w:rsidRPr="00BB6220">
        <w:rPr>
          <w:lang w:eastAsia="en-NZ"/>
        </w:rPr>
        <w:t>and</w:t>
      </w:r>
      <w:r w:rsidR="003D640C">
        <w:rPr>
          <w:lang w:eastAsia="en-NZ"/>
        </w:rPr>
        <w:t xml:space="preserve"> </w:t>
      </w:r>
      <w:r w:rsidRPr="00BB6220">
        <w:rPr>
          <w:lang w:eastAsia="en-NZ"/>
        </w:rPr>
        <w:t>identifying</w:t>
      </w:r>
      <w:r w:rsidR="003D640C">
        <w:rPr>
          <w:lang w:eastAsia="en-NZ"/>
        </w:rPr>
        <w:t xml:space="preserve"> </w:t>
      </w:r>
      <w:r w:rsidRPr="00BB6220">
        <w:rPr>
          <w:lang w:eastAsia="en-NZ"/>
        </w:rPr>
        <w:t>safe</w:t>
      </w:r>
      <w:r w:rsidR="003D640C">
        <w:rPr>
          <w:lang w:eastAsia="en-NZ"/>
        </w:rPr>
        <w:t xml:space="preserve"> </w:t>
      </w:r>
      <w:r w:rsidRPr="00BB6220">
        <w:rPr>
          <w:lang w:eastAsia="en-NZ"/>
        </w:rPr>
        <w:t>people</w:t>
      </w:r>
      <w:r w:rsidR="003D640C">
        <w:rPr>
          <w:lang w:eastAsia="en-NZ"/>
        </w:rPr>
        <w:t xml:space="preserve"> </w:t>
      </w:r>
      <w:r w:rsidRPr="00BB6220">
        <w:rPr>
          <w:lang w:eastAsia="en-NZ"/>
        </w:rPr>
        <w:t>and</w:t>
      </w:r>
      <w:r w:rsidR="003D640C">
        <w:rPr>
          <w:lang w:eastAsia="en-NZ"/>
        </w:rPr>
        <w:t xml:space="preserve"> </w:t>
      </w:r>
      <w:r w:rsidRPr="00BB6220">
        <w:rPr>
          <w:lang w:eastAsia="en-NZ"/>
        </w:rPr>
        <w:t>places</w:t>
      </w:r>
      <w:r w:rsidR="003D640C">
        <w:rPr>
          <w:lang w:eastAsia="en-NZ"/>
        </w:rPr>
        <w:t xml:space="preserve"> </w:t>
      </w:r>
      <w:r w:rsidRPr="00BB6220">
        <w:rPr>
          <w:lang w:eastAsia="en-NZ"/>
        </w:rPr>
        <w:t>to</w:t>
      </w:r>
      <w:r w:rsidR="003D640C">
        <w:rPr>
          <w:lang w:eastAsia="en-NZ"/>
        </w:rPr>
        <w:t xml:space="preserve"> </w:t>
      </w:r>
      <w:r w:rsidRPr="00BB6220">
        <w:rPr>
          <w:lang w:eastAsia="en-NZ"/>
        </w:rPr>
        <w:t>go</w:t>
      </w:r>
      <w:r w:rsidR="003D640C">
        <w:rPr>
          <w:lang w:eastAsia="en-NZ"/>
        </w:rPr>
        <w:t xml:space="preserve"> </w:t>
      </w:r>
      <w:r w:rsidR="001D33FF" w:rsidRPr="00BB6220">
        <w:rPr>
          <w:lang w:eastAsia="en-NZ"/>
        </w:rPr>
        <w:t>to</w:t>
      </w:r>
      <w:r w:rsidR="003D640C">
        <w:rPr>
          <w:lang w:eastAsia="en-NZ"/>
        </w:rPr>
        <w:t xml:space="preserve"> </w:t>
      </w:r>
      <w:r w:rsidR="001D33FF" w:rsidRPr="00BB6220">
        <w:rPr>
          <w:lang w:eastAsia="en-NZ"/>
        </w:rPr>
        <w:t>in</w:t>
      </w:r>
      <w:r w:rsidR="003D640C">
        <w:rPr>
          <w:lang w:eastAsia="en-NZ"/>
        </w:rPr>
        <w:t xml:space="preserve"> </w:t>
      </w:r>
      <w:r w:rsidR="001D33FF" w:rsidRPr="00BB6220">
        <w:rPr>
          <w:lang w:eastAsia="en-NZ"/>
        </w:rPr>
        <w:t>a</w:t>
      </w:r>
      <w:r w:rsidR="003D640C">
        <w:rPr>
          <w:lang w:eastAsia="en-NZ"/>
        </w:rPr>
        <w:t xml:space="preserve"> </w:t>
      </w:r>
      <w:r w:rsidR="001D33FF" w:rsidRPr="00BB6220">
        <w:rPr>
          <w:lang w:eastAsia="en-NZ"/>
        </w:rPr>
        <w:t>crisis</w:t>
      </w:r>
      <w:r w:rsidRPr="00BB6220">
        <w:rPr>
          <w:lang w:eastAsia="en-NZ"/>
        </w:rPr>
        <w:t>.</w:t>
      </w:r>
      <w:r w:rsidR="003D640C">
        <w:rPr>
          <w:lang w:eastAsia="en-NZ"/>
        </w:rPr>
        <w:t xml:space="preserve"> </w:t>
      </w:r>
      <w:r w:rsidRPr="00BB6220">
        <w:rPr>
          <w:lang w:eastAsia="en-NZ"/>
        </w:rPr>
        <w:t>Help</w:t>
      </w:r>
      <w:r w:rsidR="003D640C">
        <w:rPr>
          <w:lang w:eastAsia="en-NZ"/>
        </w:rPr>
        <w:t xml:space="preserve"> </w:t>
      </w:r>
      <w:r w:rsidRPr="00BB6220">
        <w:rPr>
          <w:lang w:eastAsia="en-NZ"/>
        </w:rPr>
        <w:t>the</w:t>
      </w:r>
      <w:r w:rsidR="003D640C">
        <w:rPr>
          <w:lang w:eastAsia="en-NZ"/>
        </w:rPr>
        <w:t xml:space="preserve"> </w:t>
      </w:r>
      <w:r w:rsidRPr="00BB6220">
        <w:rPr>
          <w:lang w:eastAsia="en-NZ"/>
        </w:rPr>
        <w:t>survivor</w:t>
      </w:r>
      <w:r w:rsidR="003D640C">
        <w:rPr>
          <w:lang w:eastAsia="en-NZ"/>
        </w:rPr>
        <w:t xml:space="preserve"> </w:t>
      </w:r>
      <w:r w:rsidRPr="00BB6220">
        <w:rPr>
          <w:lang w:eastAsia="en-NZ"/>
        </w:rPr>
        <w:t>consider</w:t>
      </w:r>
      <w:r w:rsidR="003D640C">
        <w:rPr>
          <w:lang w:eastAsia="en-NZ"/>
        </w:rPr>
        <w:t xml:space="preserve"> </w:t>
      </w:r>
      <w:r w:rsidRPr="00BB6220">
        <w:rPr>
          <w:lang w:eastAsia="en-NZ"/>
        </w:rPr>
        <w:t>and</w:t>
      </w:r>
      <w:r w:rsidR="003D640C">
        <w:rPr>
          <w:lang w:eastAsia="en-NZ"/>
        </w:rPr>
        <w:t xml:space="preserve"> </w:t>
      </w:r>
      <w:r w:rsidRPr="00BB6220">
        <w:rPr>
          <w:lang w:eastAsia="en-NZ"/>
        </w:rPr>
        <w:t>develop</w:t>
      </w:r>
      <w:r w:rsidR="003D640C">
        <w:rPr>
          <w:lang w:eastAsia="en-NZ"/>
        </w:rPr>
        <w:t xml:space="preserve"> </w:t>
      </w:r>
      <w:r w:rsidRPr="00BB6220">
        <w:rPr>
          <w:lang w:eastAsia="en-NZ"/>
        </w:rPr>
        <w:t>back-up</w:t>
      </w:r>
      <w:r w:rsidR="003D640C">
        <w:rPr>
          <w:lang w:eastAsia="en-NZ"/>
        </w:rPr>
        <w:t xml:space="preserve"> </w:t>
      </w:r>
      <w:r w:rsidRPr="00BB6220">
        <w:rPr>
          <w:lang w:eastAsia="en-NZ"/>
        </w:rPr>
        <w:t>plans</w:t>
      </w:r>
      <w:r w:rsidR="003D640C">
        <w:rPr>
          <w:lang w:eastAsia="en-NZ"/>
        </w:rPr>
        <w:t xml:space="preserve"> </w:t>
      </w:r>
      <w:r w:rsidRPr="00BB6220">
        <w:rPr>
          <w:lang w:eastAsia="en-NZ"/>
        </w:rPr>
        <w:t>should</w:t>
      </w:r>
      <w:r w:rsidR="003D640C">
        <w:rPr>
          <w:lang w:eastAsia="en-NZ"/>
        </w:rPr>
        <w:t xml:space="preserve"> </w:t>
      </w:r>
      <w:r w:rsidRPr="00BB6220">
        <w:rPr>
          <w:lang w:eastAsia="en-NZ"/>
        </w:rPr>
        <w:t>they</w:t>
      </w:r>
      <w:r w:rsidR="003D640C">
        <w:rPr>
          <w:lang w:eastAsia="en-NZ"/>
        </w:rPr>
        <w:t xml:space="preserve"> </w:t>
      </w:r>
      <w:r w:rsidRPr="00BB6220">
        <w:rPr>
          <w:lang w:eastAsia="en-NZ"/>
        </w:rPr>
        <w:t>find</w:t>
      </w:r>
      <w:r w:rsidR="003D640C">
        <w:rPr>
          <w:lang w:eastAsia="en-NZ"/>
        </w:rPr>
        <w:t xml:space="preserve"> </w:t>
      </w:r>
      <w:r w:rsidRPr="00BB6220">
        <w:rPr>
          <w:lang w:eastAsia="en-NZ"/>
        </w:rPr>
        <w:t>themselves</w:t>
      </w:r>
      <w:r w:rsidR="003D640C">
        <w:rPr>
          <w:lang w:eastAsia="en-NZ"/>
        </w:rPr>
        <w:t xml:space="preserve"> </w:t>
      </w:r>
      <w:r w:rsidRPr="00BB6220">
        <w:rPr>
          <w:lang w:eastAsia="en-NZ"/>
        </w:rPr>
        <w:t>without</w:t>
      </w:r>
      <w:r w:rsidR="003D640C">
        <w:rPr>
          <w:lang w:eastAsia="en-NZ"/>
        </w:rPr>
        <w:t xml:space="preserve"> </w:t>
      </w:r>
      <w:r w:rsidRPr="00BB6220">
        <w:rPr>
          <w:lang w:eastAsia="en-NZ"/>
        </w:rPr>
        <w:t>work</w:t>
      </w:r>
      <w:r w:rsidR="003D640C">
        <w:rPr>
          <w:lang w:eastAsia="en-NZ"/>
        </w:rPr>
        <w:t xml:space="preserve"> </w:t>
      </w:r>
      <w:r w:rsidRPr="00BB6220">
        <w:rPr>
          <w:lang w:eastAsia="en-NZ"/>
        </w:rPr>
        <w:t>or</w:t>
      </w:r>
      <w:r w:rsidR="003D640C">
        <w:rPr>
          <w:lang w:eastAsia="en-NZ"/>
        </w:rPr>
        <w:t xml:space="preserve"> </w:t>
      </w:r>
      <w:r w:rsidRPr="00BB6220">
        <w:rPr>
          <w:lang w:eastAsia="en-NZ"/>
        </w:rPr>
        <w:t>a</w:t>
      </w:r>
      <w:r w:rsidR="003D640C">
        <w:rPr>
          <w:lang w:eastAsia="en-NZ"/>
        </w:rPr>
        <w:t xml:space="preserve"> </w:t>
      </w:r>
      <w:r w:rsidRPr="00BB6220">
        <w:rPr>
          <w:lang w:eastAsia="en-NZ"/>
        </w:rPr>
        <w:t>place</w:t>
      </w:r>
      <w:r w:rsidR="003D640C">
        <w:rPr>
          <w:lang w:eastAsia="en-NZ"/>
        </w:rPr>
        <w:t xml:space="preserve"> </w:t>
      </w:r>
      <w:r w:rsidRPr="00BB6220">
        <w:rPr>
          <w:lang w:eastAsia="en-NZ"/>
        </w:rPr>
        <w:t>to</w:t>
      </w:r>
      <w:r w:rsidR="003D640C">
        <w:rPr>
          <w:lang w:eastAsia="en-NZ"/>
        </w:rPr>
        <w:t xml:space="preserve"> </w:t>
      </w:r>
      <w:r w:rsidRPr="00BB6220">
        <w:rPr>
          <w:lang w:eastAsia="en-NZ"/>
        </w:rPr>
        <w:t>live.</w:t>
      </w:r>
    </w:p>
    <w:p w14:paraId="3DEEDBB5" w14:textId="77777777" w:rsidR="00501068" w:rsidRDefault="00CF4A69" w:rsidP="00501068">
      <w:pPr>
        <w:pStyle w:val="Heading2"/>
      </w:pPr>
      <w:bookmarkStart w:id="364" w:name="_Toc138325202"/>
      <w:bookmarkStart w:id="365" w:name="_Toc138343859"/>
      <w:bookmarkStart w:id="366" w:name="_Toc167780636"/>
      <w:bookmarkStart w:id="367" w:name="_Toc150366311"/>
      <w:bookmarkStart w:id="368" w:name="_Toc174628698"/>
      <w:r w:rsidRPr="00BB6220">
        <w:t>Survivors’</w:t>
      </w:r>
      <w:r w:rsidR="003D640C">
        <w:t xml:space="preserve"> </w:t>
      </w:r>
      <w:r w:rsidRPr="00BB6220">
        <w:t>advice</w:t>
      </w:r>
      <w:r w:rsidR="003D640C">
        <w:t xml:space="preserve"> </w:t>
      </w:r>
      <w:r w:rsidRPr="00BB6220">
        <w:t>to</w:t>
      </w:r>
      <w:r w:rsidR="003D640C">
        <w:t xml:space="preserve"> </w:t>
      </w:r>
      <w:r w:rsidRPr="00BB6220">
        <w:t>people</w:t>
      </w:r>
      <w:r w:rsidR="003D640C">
        <w:t xml:space="preserve"> </w:t>
      </w:r>
      <w:r w:rsidRPr="00BB6220">
        <w:t>experiencing</w:t>
      </w:r>
      <w:r w:rsidR="003D640C">
        <w:t xml:space="preserve"> </w:t>
      </w:r>
      <w:r w:rsidRPr="00BB6220">
        <w:t>or</w:t>
      </w:r>
      <w:r w:rsidR="003D640C">
        <w:t xml:space="preserve"> </w:t>
      </w:r>
      <w:r w:rsidRPr="00BB6220">
        <w:t>recovering</w:t>
      </w:r>
      <w:r w:rsidR="003D640C">
        <w:t xml:space="preserve"> </w:t>
      </w:r>
      <w:r w:rsidRPr="00BB6220">
        <w:t>from</w:t>
      </w:r>
      <w:r w:rsidR="003D640C">
        <w:t xml:space="preserve"> </w:t>
      </w:r>
      <w:r w:rsidRPr="00BB6220">
        <w:t>conversion</w:t>
      </w:r>
      <w:r w:rsidR="003D640C">
        <w:t xml:space="preserve"> </w:t>
      </w:r>
      <w:r w:rsidRPr="00BB6220">
        <w:t>practices</w:t>
      </w:r>
      <w:bookmarkEnd w:id="364"/>
      <w:bookmarkEnd w:id="365"/>
      <w:bookmarkEnd w:id="366"/>
      <w:bookmarkEnd w:id="367"/>
      <w:bookmarkEnd w:id="368"/>
      <w:r w:rsidR="003D640C">
        <w:t xml:space="preserve"> </w:t>
      </w:r>
    </w:p>
    <w:p w14:paraId="277208DF" w14:textId="6BEEA9A4" w:rsidR="00CF4A69" w:rsidRPr="00BB6220" w:rsidRDefault="00CF4A69" w:rsidP="009B6B4C">
      <w:pPr>
        <w:pStyle w:val="Bullet"/>
        <w:rPr>
          <w:lang w:eastAsia="en-NZ"/>
        </w:rPr>
      </w:pPr>
      <w:r w:rsidRPr="00BB6220">
        <w:rPr>
          <w:b/>
          <w:lang w:eastAsia="en-NZ"/>
        </w:rPr>
        <w:t>Build</w:t>
      </w:r>
      <w:r w:rsidR="003D640C">
        <w:rPr>
          <w:b/>
          <w:lang w:eastAsia="en-NZ"/>
        </w:rPr>
        <w:t xml:space="preserve"> </w:t>
      </w:r>
      <w:r w:rsidRPr="00BB6220">
        <w:rPr>
          <w:b/>
          <w:lang w:eastAsia="en-NZ"/>
        </w:rPr>
        <w:t>a</w:t>
      </w:r>
      <w:r w:rsidR="003D640C">
        <w:rPr>
          <w:b/>
          <w:lang w:eastAsia="en-NZ"/>
        </w:rPr>
        <w:t xml:space="preserve"> </w:t>
      </w:r>
      <w:r w:rsidRPr="00BB6220">
        <w:rPr>
          <w:b/>
          <w:lang w:eastAsia="en-NZ"/>
        </w:rPr>
        <w:t>supportive</w:t>
      </w:r>
      <w:r w:rsidR="003D640C">
        <w:rPr>
          <w:b/>
          <w:lang w:eastAsia="en-NZ"/>
        </w:rPr>
        <w:t xml:space="preserve"> </w:t>
      </w:r>
      <w:r w:rsidRPr="00BB6220">
        <w:rPr>
          <w:b/>
          <w:lang w:eastAsia="en-NZ"/>
        </w:rPr>
        <w:t>network.</w:t>
      </w:r>
      <w:r w:rsidR="003D640C">
        <w:rPr>
          <w:lang w:eastAsia="en-NZ"/>
        </w:rPr>
        <w:t xml:space="preserve"> </w:t>
      </w:r>
      <w:r w:rsidRPr="00BB6220">
        <w:rPr>
          <w:lang w:eastAsia="en-NZ"/>
        </w:rPr>
        <w:t>Develop</w:t>
      </w:r>
      <w:r w:rsidR="003D640C">
        <w:rPr>
          <w:lang w:eastAsia="en-NZ"/>
        </w:rPr>
        <w:t xml:space="preserve"> </w:t>
      </w:r>
      <w:r w:rsidRPr="00BB6220">
        <w:rPr>
          <w:lang w:eastAsia="en-NZ"/>
        </w:rPr>
        <w:t>and</w:t>
      </w:r>
      <w:r w:rsidR="003D640C">
        <w:rPr>
          <w:lang w:eastAsia="en-NZ"/>
        </w:rPr>
        <w:t xml:space="preserve"> </w:t>
      </w:r>
      <w:r w:rsidRPr="00BB6220">
        <w:rPr>
          <w:lang w:eastAsia="en-NZ"/>
        </w:rPr>
        <w:t>nurture</w:t>
      </w:r>
      <w:r w:rsidR="003D640C">
        <w:rPr>
          <w:lang w:eastAsia="en-NZ"/>
        </w:rPr>
        <w:t xml:space="preserve"> </w:t>
      </w:r>
      <w:r w:rsidRPr="00BB6220">
        <w:rPr>
          <w:lang w:eastAsia="en-NZ"/>
        </w:rPr>
        <w:t>relationships</w:t>
      </w:r>
      <w:r w:rsidR="003D640C">
        <w:rPr>
          <w:lang w:eastAsia="en-NZ"/>
        </w:rPr>
        <w:t xml:space="preserve"> </w:t>
      </w:r>
      <w:r w:rsidRPr="00BB6220">
        <w:rPr>
          <w:lang w:eastAsia="en-NZ"/>
        </w:rPr>
        <w:t>with</w:t>
      </w:r>
      <w:r w:rsidR="003D640C">
        <w:rPr>
          <w:lang w:eastAsia="en-NZ"/>
        </w:rPr>
        <w:t xml:space="preserve"> </w:t>
      </w:r>
      <w:r w:rsidRPr="00BB6220">
        <w:rPr>
          <w:lang w:eastAsia="en-NZ"/>
        </w:rPr>
        <w:t>supportive</w:t>
      </w:r>
      <w:r w:rsidR="003D640C">
        <w:rPr>
          <w:lang w:eastAsia="en-NZ"/>
        </w:rPr>
        <w:t xml:space="preserve"> </w:t>
      </w:r>
      <w:r w:rsidRPr="00BB6220">
        <w:rPr>
          <w:lang w:eastAsia="en-NZ"/>
        </w:rPr>
        <w:t>family</w:t>
      </w:r>
      <w:r w:rsidR="003D640C">
        <w:rPr>
          <w:lang w:eastAsia="en-NZ"/>
        </w:rPr>
        <w:t xml:space="preserve"> </w:t>
      </w:r>
      <w:r w:rsidRPr="00BB6220">
        <w:rPr>
          <w:lang w:eastAsia="en-NZ"/>
        </w:rPr>
        <w:t>members</w:t>
      </w:r>
      <w:r w:rsidR="003D640C">
        <w:rPr>
          <w:lang w:eastAsia="en-NZ"/>
        </w:rPr>
        <w:t xml:space="preserve"> </w:t>
      </w:r>
      <w:r w:rsidRPr="00BB6220">
        <w:rPr>
          <w:lang w:eastAsia="en-NZ"/>
        </w:rPr>
        <w:t>and</w:t>
      </w:r>
      <w:r w:rsidR="003D640C">
        <w:rPr>
          <w:lang w:eastAsia="en-NZ"/>
        </w:rPr>
        <w:t xml:space="preserve"> </w:t>
      </w:r>
      <w:r w:rsidRPr="00BB6220">
        <w:rPr>
          <w:lang w:eastAsia="en-NZ"/>
        </w:rPr>
        <w:t>friends</w:t>
      </w:r>
      <w:r w:rsidR="003D640C">
        <w:rPr>
          <w:lang w:eastAsia="en-NZ"/>
        </w:rPr>
        <w:t xml:space="preserve"> </w:t>
      </w:r>
      <w:r w:rsidRPr="00BB6220">
        <w:rPr>
          <w:lang w:eastAsia="en-NZ"/>
        </w:rPr>
        <w:t>or</w:t>
      </w:r>
      <w:r w:rsidR="003D640C">
        <w:rPr>
          <w:lang w:eastAsia="en-NZ"/>
        </w:rPr>
        <w:t xml:space="preserve"> </w:t>
      </w:r>
      <w:r w:rsidRPr="00BB6220">
        <w:rPr>
          <w:lang w:eastAsia="en-NZ"/>
        </w:rPr>
        <w:t>allies</w:t>
      </w:r>
      <w:r w:rsidR="003D640C">
        <w:rPr>
          <w:lang w:eastAsia="en-NZ"/>
        </w:rPr>
        <w:t xml:space="preserve"> </w:t>
      </w:r>
      <w:r w:rsidRPr="00BB6220">
        <w:rPr>
          <w:lang w:eastAsia="en-NZ"/>
        </w:rPr>
        <w:t>who</w:t>
      </w:r>
      <w:r w:rsidR="003D640C">
        <w:rPr>
          <w:lang w:eastAsia="en-NZ"/>
        </w:rPr>
        <w:t xml:space="preserve"> </w:t>
      </w:r>
      <w:r w:rsidRPr="00BB6220">
        <w:rPr>
          <w:lang w:eastAsia="en-NZ"/>
        </w:rPr>
        <w:t>can</w:t>
      </w:r>
      <w:r w:rsidR="003D640C">
        <w:rPr>
          <w:lang w:eastAsia="en-NZ"/>
        </w:rPr>
        <w:t xml:space="preserve"> </w:t>
      </w:r>
      <w:r w:rsidRPr="00BB6220">
        <w:rPr>
          <w:lang w:eastAsia="en-NZ"/>
        </w:rPr>
        <w:t>provide</w:t>
      </w:r>
      <w:r w:rsidR="003D640C">
        <w:rPr>
          <w:lang w:eastAsia="en-NZ"/>
        </w:rPr>
        <w:t xml:space="preserve"> </w:t>
      </w:r>
      <w:r w:rsidRPr="00BB6220">
        <w:rPr>
          <w:lang w:eastAsia="en-NZ"/>
        </w:rPr>
        <w:t>love,</w:t>
      </w:r>
      <w:r w:rsidR="003D640C">
        <w:rPr>
          <w:lang w:eastAsia="en-NZ"/>
        </w:rPr>
        <w:t xml:space="preserve"> </w:t>
      </w:r>
      <w:r w:rsidRPr="00BB6220">
        <w:rPr>
          <w:lang w:eastAsia="en-NZ"/>
        </w:rPr>
        <w:t>acceptance</w:t>
      </w:r>
      <w:r w:rsidR="0E617DB7"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non-judgemental</w:t>
      </w:r>
      <w:r w:rsidR="003D640C">
        <w:rPr>
          <w:lang w:eastAsia="en-NZ"/>
        </w:rPr>
        <w:t xml:space="preserve"> </w:t>
      </w:r>
      <w:r w:rsidRPr="00BB6220">
        <w:rPr>
          <w:lang w:eastAsia="en-NZ"/>
        </w:rPr>
        <w:t>understanding.</w:t>
      </w:r>
      <w:r w:rsidR="003D640C">
        <w:rPr>
          <w:lang w:eastAsia="en-NZ"/>
        </w:rPr>
        <w:t xml:space="preserve"> </w:t>
      </w:r>
      <w:r w:rsidRPr="00BB6220">
        <w:rPr>
          <w:lang w:eastAsia="en-NZ"/>
        </w:rPr>
        <w:t>In</w:t>
      </w:r>
      <w:r w:rsidR="003D640C">
        <w:rPr>
          <w:lang w:eastAsia="en-NZ"/>
        </w:rPr>
        <w:t xml:space="preserve"> </w:t>
      </w:r>
      <w:r w:rsidRPr="00BB6220">
        <w:rPr>
          <w:lang w:eastAsia="en-NZ"/>
        </w:rPr>
        <w:t>some</w:t>
      </w:r>
      <w:r w:rsidR="003D640C">
        <w:rPr>
          <w:lang w:eastAsia="en-NZ"/>
        </w:rPr>
        <w:t xml:space="preserve"> </w:t>
      </w:r>
      <w:r w:rsidRPr="00BB6220">
        <w:rPr>
          <w:lang w:eastAsia="en-NZ"/>
        </w:rPr>
        <w:t>existing</w:t>
      </w:r>
      <w:r w:rsidR="003D640C">
        <w:rPr>
          <w:lang w:eastAsia="en-NZ"/>
        </w:rPr>
        <w:t xml:space="preserve"> </w:t>
      </w:r>
      <w:r w:rsidRPr="00BB6220">
        <w:rPr>
          <w:lang w:eastAsia="en-NZ"/>
        </w:rPr>
        <w:t>relationships</w:t>
      </w:r>
      <w:r w:rsidR="00133F8F">
        <w:rPr>
          <w:lang w:eastAsia="en-NZ"/>
        </w:rPr>
        <w:t>,</w:t>
      </w:r>
      <w:r w:rsidR="003D640C">
        <w:rPr>
          <w:lang w:eastAsia="en-NZ"/>
        </w:rPr>
        <w:t xml:space="preserve"> </w:t>
      </w:r>
      <w:r w:rsidRPr="00BB6220">
        <w:rPr>
          <w:lang w:eastAsia="en-NZ"/>
        </w:rPr>
        <w:t>survivors</w:t>
      </w:r>
      <w:r w:rsidR="003D640C">
        <w:rPr>
          <w:lang w:eastAsia="en-NZ"/>
        </w:rPr>
        <w:t xml:space="preserve"> </w:t>
      </w:r>
      <w:r w:rsidRPr="00BB6220">
        <w:rPr>
          <w:lang w:eastAsia="en-NZ"/>
        </w:rPr>
        <w:t>may</w:t>
      </w:r>
      <w:r w:rsidR="003D640C">
        <w:rPr>
          <w:lang w:eastAsia="en-NZ"/>
        </w:rPr>
        <w:t xml:space="preserve"> </w:t>
      </w:r>
      <w:r w:rsidRPr="00BB6220">
        <w:rPr>
          <w:lang w:eastAsia="en-NZ"/>
        </w:rPr>
        <w:t>need</w:t>
      </w:r>
      <w:r w:rsidR="003D640C">
        <w:rPr>
          <w:lang w:eastAsia="en-NZ"/>
        </w:rPr>
        <w:t xml:space="preserve"> </w:t>
      </w:r>
      <w:r w:rsidRPr="00BB6220">
        <w:rPr>
          <w:lang w:eastAsia="en-NZ"/>
        </w:rPr>
        <w:t>to</w:t>
      </w:r>
      <w:r w:rsidR="003D640C">
        <w:rPr>
          <w:lang w:eastAsia="en-NZ"/>
        </w:rPr>
        <w:t xml:space="preserve"> </w:t>
      </w:r>
      <w:r w:rsidRPr="00BB6220">
        <w:rPr>
          <w:lang w:eastAsia="en-NZ"/>
        </w:rPr>
        <w:t>set</w:t>
      </w:r>
      <w:r w:rsidR="003D640C">
        <w:rPr>
          <w:lang w:eastAsia="en-NZ"/>
        </w:rPr>
        <w:t xml:space="preserve"> </w:t>
      </w:r>
      <w:r w:rsidRPr="00BB6220">
        <w:rPr>
          <w:lang w:eastAsia="en-NZ"/>
        </w:rPr>
        <w:t>boundaries.</w:t>
      </w:r>
      <w:r w:rsidR="003D640C">
        <w:rPr>
          <w:lang w:eastAsia="en-NZ"/>
        </w:rPr>
        <w:t xml:space="preserve"> </w:t>
      </w:r>
      <w:r w:rsidRPr="00BB6220">
        <w:rPr>
          <w:lang w:eastAsia="en-NZ"/>
        </w:rPr>
        <w:t>Building</w:t>
      </w:r>
      <w:r w:rsidR="003D640C">
        <w:rPr>
          <w:lang w:eastAsia="en-NZ"/>
        </w:rPr>
        <w:t xml:space="preserve"> </w:t>
      </w:r>
      <w:r w:rsidRPr="00BB6220">
        <w:rPr>
          <w:lang w:eastAsia="en-NZ"/>
        </w:rPr>
        <w:t>a</w:t>
      </w:r>
      <w:r w:rsidR="003D640C">
        <w:rPr>
          <w:lang w:eastAsia="en-NZ"/>
        </w:rPr>
        <w:t xml:space="preserve"> </w:t>
      </w:r>
      <w:r w:rsidRPr="00BB6220">
        <w:rPr>
          <w:lang w:eastAsia="en-NZ"/>
        </w:rPr>
        <w:t>strong</w:t>
      </w:r>
      <w:r w:rsidR="003D640C">
        <w:rPr>
          <w:lang w:eastAsia="en-NZ"/>
        </w:rPr>
        <w:t xml:space="preserve"> </w:t>
      </w:r>
      <w:r w:rsidRPr="00BB6220">
        <w:rPr>
          <w:lang w:eastAsia="en-NZ"/>
        </w:rPr>
        <w:t>support</w:t>
      </w:r>
      <w:r w:rsidR="003D640C">
        <w:rPr>
          <w:lang w:eastAsia="en-NZ"/>
        </w:rPr>
        <w:t xml:space="preserve"> </w:t>
      </w:r>
      <w:r w:rsidRPr="00BB6220">
        <w:rPr>
          <w:lang w:eastAsia="en-NZ"/>
        </w:rPr>
        <w:t>network</w:t>
      </w:r>
      <w:r w:rsidR="003D640C">
        <w:rPr>
          <w:lang w:eastAsia="en-NZ"/>
        </w:rPr>
        <w:t xml:space="preserve"> </w:t>
      </w:r>
      <w:r w:rsidRPr="00BB6220">
        <w:rPr>
          <w:lang w:eastAsia="en-NZ"/>
        </w:rPr>
        <w:t>helps</w:t>
      </w:r>
      <w:r w:rsidR="003D640C">
        <w:rPr>
          <w:lang w:eastAsia="en-NZ"/>
        </w:rPr>
        <w:t xml:space="preserve"> </w:t>
      </w:r>
      <w:r w:rsidRPr="00BB6220">
        <w:rPr>
          <w:lang w:eastAsia="en-NZ"/>
        </w:rPr>
        <w:t>to</w:t>
      </w:r>
      <w:r w:rsidR="003D640C">
        <w:rPr>
          <w:lang w:eastAsia="en-NZ"/>
        </w:rPr>
        <w:t xml:space="preserve"> </w:t>
      </w:r>
      <w:r w:rsidRPr="00BB6220">
        <w:rPr>
          <w:lang w:eastAsia="en-NZ"/>
        </w:rPr>
        <w:t>counteract</w:t>
      </w:r>
      <w:r w:rsidR="003D640C">
        <w:rPr>
          <w:lang w:eastAsia="en-NZ"/>
        </w:rPr>
        <w:t xml:space="preserve"> </w:t>
      </w:r>
      <w:r w:rsidRPr="00BB6220">
        <w:rPr>
          <w:lang w:eastAsia="en-NZ"/>
        </w:rPr>
        <w:t>the</w:t>
      </w:r>
      <w:r w:rsidR="003D640C">
        <w:rPr>
          <w:lang w:eastAsia="en-NZ"/>
        </w:rPr>
        <w:t xml:space="preserve"> </w:t>
      </w:r>
      <w:r w:rsidRPr="00BB6220">
        <w:rPr>
          <w:lang w:eastAsia="en-NZ"/>
        </w:rPr>
        <w:t>isolation</w:t>
      </w:r>
      <w:r w:rsidR="003D640C">
        <w:rPr>
          <w:lang w:eastAsia="en-NZ"/>
        </w:rPr>
        <w:t xml:space="preserve"> </w:t>
      </w:r>
      <w:r w:rsidRPr="00BB6220">
        <w:rPr>
          <w:lang w:eastAsia="en-NZ"/>
        </w:rPr>
        <w:t>and</w:t>
      </w:r>
      <w:r w:rsidR="003D640C">
        <w:rPr>
          <w:lang w:eastAsia="en-NZ"/>
        </w:rPr>
        <w:t xml:space="preserve"> </w:t>
      </w:r>
      <w:r w:rsidRPr="00BB6220">
        <w:rPr>
          <w:lang w:eastAsia="en-NZ"/>
        </w:rPr>
        <w:t>alienation</w:t>
      </w:r>
      <w:r w:rsidR="003D640C">
        <w:rPr>
          <w:lang w:eastAsia="en-NZ"/>
        </w:rPr>
        <w:t xml:space="preserve"> </w:t>
      </w:r>
      <w:r w:rsidRPr="00BB6220">
        <w:rPr>
          <w:lang w:eastAsia="en-NZ"/>
        </w:rPr>
        <w:t>that</w:t>
      </w:r>
      <w:r w:rsidR="003D640C">
        <w:rPr>
          <w:lang w:eastAsia="en-NZ"/>
        </w:rPr>
        <w:t xml:space="preserve"> </w:t>
      </w:r>
      <w:r w:rsidRPr="00BB6220">
        <w:rPr>
          <w:lang w:eastAsia="en-NZ"/>
        </w:rPr>
        <w:t>often</w:t>
      </w:r>
      <w:r w:rsidR="003D640C">
        <w:rPr>
          <w:lang w:eastAsia="en-NZ"/>
        </w:rPr>
        <w:t xml:space="preserve"> </w:t>
      </w:r>
      <w:r w:rsidRPr="00BB6220">
        <w:rPr>
          <w:lang w:eastAsia="en-NZ"/>
        </w:rPr>
        <w:t>follows</w:t>
      </w:r>
      <w:r w:rsidR="003D640C">
        <w:rPr>
          <w:lang w:eastAsia="en-NZ"/>
        </w:rPr>
        <w:t xml:space="preserve"> </w:t>
      </w:r>
      <w:r w:rsidRPr="00BB6220">
        <w:rPr>
          <w:lang w:eastAsia="en-NZ"/>
        </w:rPr>
        <w:t>an</w:t>
      </w:r>
      <w:r w:rsidR="003D640C">
        <w:rPr>
          <w:lang w:eastAsia="en-NZ"/>
        </w:rPr>
        <w:t xml:space="preserve"> </w:t>
      </w:r>
      <w:r w:rsidRPr="00BB6220">
        <w:rPr>
          <w:lang w:eastAsia="en-NZ"/>
        </w:rPr>
        <w:t>exit</w:t>
      </w:r>
      <w:r w:rsidR="003D640C">
        <w:rPr>
          <w:lang w:eastAsia="en-NZ"/>
        </w:rPr>
        <w:t xml:space="preserve"> </w:t>
      </w:r>
      <w:r w:rsidRPr="00BB6220">
        <w:rPr>
          <w:lang w:eastAsia="en-NZ"/>
        </w:rPr>
        <w:t>from</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Survivor</w:t>
      </w:r>
      <w:r w:rsidR="003D640C">
        <w:rPr>
          <w:lang w:eastAsia="en-NZ"/>
        </w:rPr>
        <w:t xml:space="preserve"> </w:t>
      </w:r>
      <w:r w:rsidRPr="00BB6220">
        <w:rPr>
          <w:lang w:eastAsia="en-NZ"/>
        </w:rPr>
        <w:t>support</w:t>
      </w:r>
      <w:r w:rsidR="003D640C">
        <w:rPr>
          <w:lang w:eastAsia="en-NZ"/>
        </w:rPr>
        <w:t xml:space="preserve"> </w:t>
      </w:r>
      <w:r w:rsidRPr="00BB6220">
        <w:rPr>
          <w:lang w:eastAsia="en-NZ"/>
        </w:rPr>
        <w:t>networks</w:t>
      </w:r>
      <w:r w:rsidR="003D640C">
        <w:rPr>
          <w:lang w:eastAsia="en-NZ"/>
        </w:rPr>
        <w:t xml:space="preserve"> </w:t>
      </w:r>
      <w:r w:rsidRPr="00BB6220">
        <w:rPr>
          <w:lang w:eastAsia="en-NZ"/>
        </w:rPr>
        <w:t>can</w:t>
      </w:r>
      <w:r w:rsidR="003D640C">
        <w:rPr>
          <w:lang w:eastAsia="en-NZ"/>
        </w:rPr>
        <w:t xml:space="preserve"> </w:t>
      </w:r>
      <w:r w:rsidRPr="00BB6220">
        <w:rPr>
          <w:lang w:eastAsia="en-NZ"/>
        </w:rPr>
        <w:t>be</w:t>
      </w:r>
      <w:r w:rsidR="003D640C">
        <w:rPr>
          <w:lang w:eastAsia="en-NZ"/>
        </w:rPr>
        <w:t xml:space="preserve"> </w:t>
      </w:r>
      <w:r w:rsidRPr="00BB6220">
        <w:rPr>
          <w:lang w:eastAsia="en-NZ"/>
        </w:rPr>
        <w:t>an</w:t>
      </w:r>
      <w:r w:rsidR="003D640C">
        <w:rPr>
          <w:lang w:eastAsia="en-NZ"/>
        </w:rPr>
        <w:t xml:space="preserve"> </w:t>
      </w:r>
      <w:r w:rsidRPr="00BB6220">
        <w:rPr>
          <w:lang w:eastAsia="en-NZ"/>
        </w:rPr>
        <w:t>excellent</w:t>
      </w:r>
      <w:r w:rsidR="003D640C">
        <w:rPr>
          <w:lang w:eastAsia="en-NZ"/>
        </w:rPr>
        <w:t xml:space="preserve"> </w:t>
      </w:r>
      <w:r w:rsidRPr="00BB6220">
        <w:rPr>
          <w:lang w:eastAsia="en-NZ"/>
        </w:rPr>
        <w:t>source</w:t>
      </w:r>
      <w:r w:rsidR="003D640C">
        <w:rPr>
          <w:lang w:eastAsia="en-NZ"/>
        </w:rPr>
        <w:t xml:space="preserve"> </w:t>
      </w:r>
      <w:r w:rsidRPr="00BB6220">
        <w:rPr>
          <w:lang w:eastAsia="en-NZ"/>
        </w:rPr>
        <w:t>of</w:t>
      </w:r>
      <w:r w:rsidR="003D640C">
        <w:rPr>
          <w:lang w:eastAsia="en-NZ"/>
        </w:rPr>
        <w:t xml:space="preserve"> </w:t>
      </w:r>
      <w:r w:rsidRPr="00BB6220">
        <w:rPr>
          <w:lang w:eastAsia="en-NZ"/>
        </w:rPr>
        <w:t>peer</w:t>
      </w:r>
      <w:r w:rsidR="003D640C">
        <w:rPr>
          <w:lang w:eastAsia="en-NZ"/>
        </w:rPr>
        <w:t xml:space="preserve"> </w:t>
      </w:r>
      <w:r w:rsidRPr="00BB6220">
        <w:rPr>
          <w:lang w:eastAsia="en-NZ"/>
        </w:rPr>
        <w:t>connection.</w:t>
      </w:r>
      <w:r w:rsidR="003D640C">
        <w:rPr>
          <w:lang w:eastAsia="en-NZ"/>
        </w:rPr>
        <w:t xml:space="preserve"> </w:t>
      </w:r>
    </w:p>
    <w:p w14:paraId="5CCB2761" w14:textId="253E7AF0" w:rsidR="00CF4A69" w:rsidRPr="00BB6220" w:rsidRDefault="00CF4A69" w:rsidP="009B6B4C">
      <w:pPr>
        <w:pStyle w:val="Bullet"/>
        <w:rPr>
          <w:b/>
          <w:bCs/>
          <w:lang w:eastAsia="en-NZ"/>
        </w:rPr>
      </w:pPr>
      <w:r w:rsidRPr="00BB6220">
        <w:rPr>
          <w:b/>
          <w:bCs/>
          <w:lang w:eastAsia="en-NZ"/>
        </w:rPr>
        <w:t>Engage</w:t>
      </w:r>
      <w:r w:rsidR="003D640C">
        <w:rPr>
          <w:b/>
          <w:bCs/>
          <w:lang w:eastAsia="en-NZ"/>
        </w:rPr>
        <w:t xml:space="preserve"> </w:t>
      </w:r>
      <w:r w:rsidRPr="00BB6220">
        <w:rPr>
          <w:b/>
          <w:bCs/>
          <w:lang w:eastAsia="en-NZ"/>
        </w:rPr>
        <w:t>in</w:t>
      </w:r>
      <w:r w:rsidR="003D640C">
        <w:rPr>
          <w:b/>
          <w:bCs/>
          <w:lang w:eastAsia="en-NZ"/>
        </w:rPr>
        <w:t xml:space="preserve"> </w:t>
      </w:r>
      <w:r w:rsidRPr="00BB6220">
        <w:rPr>
          <w:b/>
          <w:bCs/>
          <w:lang w:eastAsia="en-NZ"/>
        </w:rPr>
        <w:t>survivor</w:t>
      </w:r>
      <w:r w:rsidR="003D640C">
        <w:rPr>
          <w:b/>
          <w:bCs/>
          <w:lang w:eastAsia="en-NZ"/>
        </w:rPr>
        <w:t xml:space="preserve"> </w:t>
      </w:r>
      <w:r w:rsidRPr="00BB6220">
        <w:rPr>
          <w:b/>
          <w:bCs/>
          <w:lang w:eastAsia="en-NZ"/>
        </w:rPr>
        <w:t>peer</w:t>
      </w:r>
      <w:r w:rsidR="003D640C">
        <w:rPr>
          <w:b/>
          <w:bCs/>
          <w:lang w:eastAsia="en-NZ"/>
        </w:rPr>
        <w:t xml:space="preserve"> </w:t>
      </w:r>
      <w:r w:rsidRPr="00BB6220">
        <w:rPr>
          <w:b/>
          <w:bCs/>
          <w:lang w:eastAsia="en-NZ"/>
        </w:rPr>
        <w:t>support</w:t>
      </w:r>
      <w:r w:rsidR="00A33D6E" w:rsidRPr="00BB6220">
        <w:rPr>
          <w:b/>
          <w:bCs/>
          <w:lang w:eastAsia="en-NZ"/>
        </w:rPr>
        <w:t>.</w:t>
      </w:r>
      <w:r w:rsidR="003D640C">
        <w:rPr>
          <w:b/>
          <w:bCs/>
          <w:lang w:eastAsia="en-NZ"/>
        </w:rPr>
        <w:t xml:space="preserve"> </w:t>
      </w:r>
      <w:r w:rsidR="002D1DD6" w:rsidRPr="00BB6220">
        <w:rPr>
          <w:lang w:eastAsia="en-NZ"/>
        </w:rPr>
        <w:t>A</w:t>
      </w:r>
      <w:r w:rsidR="003D640C">
        <w:rPr>
          <w:lang w:eastAsia="en-NZ"/>
        </w:rPr>
        <w:t xml:space="preserve"> </w:t>
      </w:r>
      <w:r w:rsidR="002D1DD6" w:rsidRPr="00BB6220">
        <w:rPr>
          <w:lang w:eastAsia="en-NZ"/>
        </w:rPr>
        <w:t>n</w:t>
      </w:r>
      <w:r w:rsidR="00623D57">
        <w:rPr>
          <w:lang w:eastAsia="en-NZ"/>
        </w:rPr>
        <w:t>ationwide</w:t>
      </w:r>
      <w:r w:rsidR="003D640C">
        <w:rPr>
          <w:lang w:eastAsia="en-NZ"/>
        </w:rPr>
        <w:t xml:space="preserve"> </w:t>
      </w:r>
      <w:r w:rsidR="00A33D6E" w:rsidRPr="00BB6220">
        <w:rPr>
          <w:lang w:eastAsia="en-NZ"/>
        </w:rPr>
        <w:t>conversion</w:t>
      </w:r>
      <w:r w:rsidR="003D640C">
        <w:rPr>
          <w:lang w:eastAsia="en-NZ"/>
        </w:rPr>
        <w:t xml:space="preserve"> </w:t>
      </w:r>
      <w:r w:rsidR="00A33D6E" w:rsidRPr="00BB6220">
        <w:rPr>
          <w:lang w:eastAsia="en-NZ"/>
        </w:rPr>
        <w:t>practices</w:t>
      </w:r>
      <w:r w:rsidR="003D640C">
        <w:rPr>
          <w:lang w:eastAsia="en-NZ"/>
        </w:rPr>
        <w:t xml:space="preserve"> </w:t>
      </w:r>
      <w:r w:rsidR="00A33D6E" w:rsidRPr="00BB6220">
        <w:rPr>
          <w:lang w:eastAsia="en-NZ"/>
        </w:rPr>
        <w:t>peer-support</w:t>
      </w:r>
      <w:r w:rsidR="003D640C">
        <w:rPr>
          <w:lang w:eastAsia="en-NZ"/>
        </w:rPr>
        <w:t xml:space="preserve"> </w:t>
      </w:r>
      <w:r w:rsidR="00A33D6E" w:rsidRPr="00BB6220">
        <w:rPr>
          <w:lang w:eastAsia="en-NZ"/>
        </w:rPr>
        <w:t>network</w:t>
      </w:r>
      <w:r w:rsidR="00FF241C">
        <w:rPr>
          <w:lang w:eastAsia="en-NZ"/>
        </w:rPr>
        <w:t xml:space="preserve"> (</w:t>
      </w:r>
      <w:hyperlink r:id="rId21" w:history="1">
        <w:r w:rsidR="006A48D6" w:rsidRPr="008C4900">
          <w:rPr>
            <w:rStyle w:val="Hyperlink"/>
            <w:lang w:eastAsia="en-NZ"/>
          </w:rPr>
          <w:t>https://outline.org.nz/conversion-practices-survivor-network</w:t>
        </w:r>
      </w:hyperlink>
      <w:r w:rsidR="00FF241C">
        <w:rPr>
          <w:lang w:eastAsia="en-NZ"/>
        </w:rPr>
        <w:t>)</w:t>
      </w:r>
      <w:r w:rsidR="003D640C">
        <w:rPr>
          <w:lang w:eastAsia="en-NZ"/>
        </w:rPr>
        <w:t xml:space="preserve"> </w:t>
      </w:r>
      <w:r w:rsidR="002D1DD6" w:rsidRPr="00BB6220">
        <w:rPr>
          <w:lang w:eastAsia="en-NZ"/>
        </w:rPr>
        <w:t>was</w:t>
      </w:r>
      <w:r w:rsidR="003D640C">
        <w:rPr>
          <w:lang w:eastAsia="en-NZ"/>
        </w:rPr>
        <w:t xml:space="preserve"> </w:t>
      </w:r>
      <w:r w:rsidR="00A33D6E" w:rsidRPr="00BB6220">
        <w:rPr>
          <w:lang w:eastAsia="en-NZ"/>
        </w:rPr>
        <w:t>launched</w:t>
      </w:r>
      <w:r w:rsidR="003D640C">
        <w:rPr>
          <w:lang w:eastAsia="en-NZ"/>
        </w:rPr>
        <w:t xml:space="preserve"> </w:t>
      </w:r>
      <w:r w:rsidR="00A33D6E" w:rsidRPr="00BB6220">
        <w:rPr>
          <w:lang w:eastAsia="en-NZ"/>
        </w:rPr>
        <w:t>in</w:t>
      </w:r>
      <w:r w:rsidR="003D640C">
        <w:rPr>
          <w:lang w:eastAsia="en-NZ"/>
        </w:rPr>
        <w:t xml:space="preserve"> </w:t>
      </w:r>
      <w:r w:rsidR="00A33D6E" w:rsidRPr="00BB6220">
        <w:rPr>
          <w:lang w:eastAsia="en-NZ"/>
        </w:rPr>
        <w:t>late</w:t>
      </w:r>
      <w:r w:rsidR="003D640C">
        <w:rPr>
          <w:lang w:eastAsia="en-NZ"/>
        </w:rPr>
        <w:t xml:space="preserve"> </w:t>
      </w:r>
      <w:r w:rsidR="00A33D6E" w:rsidRPr="00BB6220">
        <w:rPr>
          <w:lang w:eastAsia="en-NZ"/>
        </w:rPr>
        <w:t>2023</w:t>
      </w:r>
      <w:r w:rsidR="00941E4E" w:rsidRPr="00BB6220">
        <w:rPr>
          <w:lang w:eastAsia="en-NZ"/>
        </w:rPr>
        <w:t>.</w:t>
      </w:r>
      <w:r w:rsidR="003D640C">
        <w:rPr>
          <w:lang w:eastAsia="en-NZ"/>
        </w:rPr>
        <w:t xml:space="preserve"> </w:t>
      </w:r>
      <w:r w:rsidR="00941E4E" w:rsidRPr="00BB6220">
        <w:rPr>
          <w:lang w:eastAsia="en-NZ"/>
        </w:rPr>
        <w:t>Connection</w:t>
      </w:r>
      <w:r w:rsidR="003D640C">
        <w:rPr>
          <w:lang w:eastAsia="en-NZ"/>
        </w:rPr>
        <w:t xml:space="preserve"> </w:t>
      </w:r>
      <w:r w:rsidR="00941E4E" w:rsidRPr="00BB6220">
        <w:rPr>
          <w:lang w:eastAsia="en-NZ"/>
        </w:rPr>
        <w:t>with</w:t>
      </w:r>
      <w:r w:rsidR="003D640C">
        <w:rPr>
          <w:lang w:eastAsia="en-NZ"/>
        </w:rPr>
        <w:t xml:space="preserve"> </w:t>
      </w:r>
      <w:r w:rsidR="00941E4E" w:rsidRPr="00BB6220">
        <w:rPr>
          <w:lang w:eastAsia="en-NZ"/>
        </w:rPr>
        <w:t>fellow</w:t>
      </w:r>
      <w:r w:rsidR="003D640C">
        <w:rPr>
          <w:lang w:eastAsia="en-NZ"/>
        </w:rPr>
        <w:t xml:space="preserve"> </w:t>
      </w:r>
      <w:r w:rsidR="00941E4E" w:rsidRPr="00BB6220">
        <w:rPr>
          <w:lang w:eastAsia="en-NZ"/>
        </w:rPr>
        <w:t>survivors</w:t>
      </w:r>
      <w:r w:rsidR="003D640C">
        <w:rPr>
          <w:lang w:eastAsia="en-NZ"/>
        </w:rPr>
        <w:t xml:space="preserve"> </w:t>
      </w:r>
      <w:r w:rsidR="00941E4E" w:rsidRPr="00BB6220">
        <w:rPr>
          <w:lang w:eastAsia="en-NZ"/>
        </w:rPr>
        <w:t>is</w:t>
      </w:r>
      <w:r w:rsidR="003D640C">
        <w:rPr>
          <w:lang w:eastAsia="en-NZ"/>
        </w:rPr>
        <w:t xml:space="preserve"> </w:t>
      </w:r>
      <w:r w:rsidR="00941E4E" w:rsidRPr="00BB6220">
        <w:rPr>
          <w:lang w:eastAsia="en-NZ"/>
        </w:rPr>
        <w:t>key</w:t>
      </w:r>
      <w:r w:rsidR="003D640C">
        <w:rPr>
          <w:lang w:eastAsia="en-NZ"/>
        </w:rPr>
        <w:t xml:space="preserve"> </w:t>
      </w:r>
      <w:r w:rsidR="00941E4E" w:rsidRPr="00BB6220">
        <w:rPr>
          <w:lang w:eastAsia="en-NZ"/>
        </w:rPr>
        <w:t>to</w:t>
      </w:r>
      <w:r w:rsidR="003D640C">
        <w:rPr>
          <w:lang w:eastAsia="en-NZ"/>
        </w:rPr>
        <w:t xml:space="preserve"> </w:t>
      </w:r>
      <w:r w:rsidR="00941E4E" w:rsidRPr="00BB6220">
        <w:rPr>
          <w:lang w:eastAsia="en-NZ"/>
        </w:rPr>
        <w:t>breaking</w:t>
      </w:r>
      <w:r w:rsidR="003D640C">
        <w:rPr>
          <w:lang w:eastAsia="en-NZ"/>
        </w:rPr>
        <w:t xml:space="preserve"> </w:t>
      </w:r>
      <w:r w:rsidR="00941E4E" w:rsidRPr="00BB6220">
        <w:rPr>
          <w:lang w:eastAsia="en-NZ"/>
        </w:rPr>
        <w:t>down</w:t>
      </w:r>
      <w:r w:rsidR="003D640C">
        <w:rPr>
          <w:lang w:eastAsia="en-NZ"/>
        </w:rPr>
        <w:t xml:space="preserve"> </w:t>
      </w:r>
      <w:r w:rsidR="00941E4E" w:rsidRPr="00BB6220">
        <w:rPr>
          <w:lang w:eastAsia="en-NZ"/>
        </w:rPr>
        <w:t>isolation,</w:t>
      </w:r>
      <w:r w:rsidR="003D640C">
        <w:rPr>
          <w:lang w:eastAsia="en-NZ"/>
        </w:rPr>
        <w:t xml:space="preserve"> </w:t>
      </w:r>
      <w:r w:rsidR="00941E4E" w:rsidRPr="00BB6220">
        <w:rPr>
          <w:lang w:eastAsia="en-NZ"/>
        </w:rPr>
        <w:t>self-blame</w:t>
      </w:r>
      <w:r w:rsidR="1C46832E" w:rsidRPr="00BB6220">
        <w:rPr>
          <w:lang w:eastAsia="en-NZ"/>
        </w:rPr>
        <w:t>,</w:t>
      </w:r>
      <w:r w:rsidR="003D640C">
        <w:rPr>
          <w:lang w:eastAsia="en-NZ"/>
        </w:rPr>
        <w:t xml:space="preserve"> </w:t>
      </w:r>
      <w:r w:rsidR="00840F3E" w:rsidRPr="00BB6220">
        <w:rPr>
          <w:lang w:eastAsia="en-NZ"/>
        </w:rPr>
        <w:t>and</w:t>
      </w:r>
      <w:r w:rsidR="003D640C">
        <w:rPr>
          <w:lang w:eastAsia="en-NZ"/>
        </w:rPr>
        <w:t xml:space="preserve"> </w:t>
      </w:r>
      <w:r w:rsidR="00840F3E" w:rsidRPr="00BB6220">
        <w:rPr>
          <w:lang w:eastAsia="en-NZ"/>
        </w:rPr>
        <w:t>self-stigmatisation.</w:t>
      </w:r>
      <w:r w:rsidR="003D640C">
        <w:rPr>
          <w:lang w:eastAsia="en-NZ"/>
        </w:rPr>
        <w:t xml:space="preserve"> </w:t>
      </w:r>
      <w:r w:rsidR="0077725A" w:rsidRPr="00BB6220">
        <w:rPr>
          <w:lang w:eastAsia="en-NZ"/>
        </w:rPr>
        <w:t>All</w:t>
      </w:r>
      <w:r w:rsidR="003D640C">
        <w:rPr>
          <w:lang w:eastAsia="en-NZ"/>
        </w:rPr>
        <w:t xml:space="preserve"> </w:t>
      </w:r>
      <w:r w:rsidR="0077725A" w:rsidRPr="00BB6220">
        <w:rPr>
          <w:lang w:eastAsia="en-NZ"/>
        </w:rPr>
        <w:t>survivors</w:t>
      </w:r>
      <w:r w:rsidR="003D640C">
        <w:rPr>
          <w:lang w:eastAsia="en-NZ"/>
        </w:rPr>
        <w:t xml:space="preserve"> </w:t>
      </w:r>
      <w:r w:rsidR="0077725A" w:rsidRPr="00BB6220">
        <w:rPr>
          <w:lang w:eastAsia="en-NZ"/>
        </w:rPr>
        <w:t>are</w:t>
      </w:r>
      <w:r w:rsidR="003D640C">
        <w:rPr>
          <w:lang w:eastAsia="en-NZ"/>
        </w:rPr>
        <w:t xml:space="preserve"> </w:t>
      </w:r>
      <w:r w:rsidR="0077725A" w:rsidRPr="00BB6220">
        <w:rPr>
          <w:lang w:eastAsia="en-NZ"/>
        </w:rPr>
        <w:t>encouraged</w:t>
      </w:r>
      <w:r w:rsidR="003D640C">
        <w:rPr>
          <w:lang w:eastAsia="en-NZ"/>
        </w:rPr>
        <w:t xml:space="preserve"> </w:t>
      </w:r>
      <w:r w:rsidR="0077725A" w:rsidRPr="00BB6220">
        <w:rPr>
          <w:lang w:eastAsia="en-NZ"/>
        </w:rPr>
        <w:t>to</w:t>
      </w:r>
      <w:r w:rsidR="003D640C">
        <w:rPr>
          <w:lang w:eastAsia="en-NZ"/>
        </w:rPr>
        <w:t xml:space="preserve"> </w:t>
      </w:r>
      <w:r w:rsidR="0077725A" w:rsidRPr="00BB6220">
        <w:rPr>
          <w:lang w:eastAsia="en-NZ"/>
        </w:rPr>
        <w:t>engage</w:t>
      </w:r>
      <w:r w:rsidR="003D640C">
        <w:rPr>
          <w:lang w:eastAsia="en-NZ"/>
        </w:rPr>
        <w:t xml:space="preserve"> </w:t>
      </w:r>
      <w:r w:rsidR="0077725A" w:rsidRPr="00BB6220">
        <w:rPr>
          <w:lang w:eastAsia="en-NZ"/>
        </w:rPr>
        <w:t>with</w:t>
      </w:r>
      <w:r w:rsidR="003D640C">
        <w:rPr>
          <w:lang w:eastAsia="en-NZ"/>
        </w:rPr>
        <w:t xml:space="preserve"> </w:t>
      </w:r>
      <w:r w:rsidR="0077725A" w:rsidRPr="00BB6220">
        <w:rPr>
          <w:lang w:eastAsia="en-NZ"/>
        </w:rPr>
        <w:t>the</w:t>
      </w:r>
      <w:r w:rsidR="003D640C">
        <w:rPr>
          <w:lang w:eastAsia="en-NZ"/>
        </w:rPr>
        <w:t xml:space="preserve"> </w:t>
      </w:r>
      <w:r w:rsidR="00506EA3" w:rsidRPr="00BB6220">
        <w:rPr>
          <w:lang w:eastAsia="en-NZ"/>
        </w:rPr>
        <w:t>support</w:t>
      </w:r>
      <w:r w:rsidR="003D640C">
        <w:rPr>
          <w:lang w:eastAsia="en-NZ"/>
        </w:rPr>
        <w:t xml:space="preserve"> </w:t>
      </w:r>
      <w:r w:rsidR="00506EA3" w:rsidRPr="00BB6220">
        <w:rPr>
          <w:lang w:eastAsia="en-NZ"/>
        </w:rPr>
        <w:t>the</w:t>
      </w:r>
      <w:r w:rsidR="003D640C">
        <w:rPr>
          <w:lang w:eastAsia="en-NZ"/>
        </w:rPr>
        <w:t xml:space="preserve"> </w:t>
      </w:r>
      <w:r w:rsidR="0077725A" w:rsidRPr="00BB6220">
        <w:rPr>
          <w:lang w:eastAsia="en-NZ"/>
        </w:rPr>
        <w:t>network</w:t>
      </w:r>
      <w:r w:rsidR="003D640C">
        <w:rPr>
          <w:lang w:eastAsia="en-NZ"/>
        </w:rPr>
        <w:t xml:space="preserve"> </w:t>
      </w:r>
      <w:r w:rsidR="00506EA3" w:rsidRPr="00BB6220">
        <w:rPr>
          <w:lang w:eastAsia="en-NZ"/>
        </w:rPr>
        <w:t>will</w:t>
      </w:r>
      <w:r w:rsidR="003D640C">
        <w:rPr>
          <w:lang w:eastAsia="en-NZ"/>
        </w:rPr>
        <w:t xml:space="preserve"> </w:t>
      </w:r>
      <w:r w:rsidR="00506EA3" w:rsidRPr="00BB6220">
        <w:rPr>
          <w:lang w:eastAsia="en-NZ"/>
        </w:rPr>
        <w:t>offer.</w:t>
      </w:r>
    </w:p>
    <w:p w14:paraId="78B2A24E" w14:textId="6D876C81" w:rsidR="00CF4A69" w:rsidRPr="00BB6220" w:rsidRDefault="00CF4A69" w:rsidP="009B6B4C">
      <w:pPr>
        <w:pStyle w:val="Bullet"/>
        <w:rPr>
          <w:lang w:eastAsia="en-NZ"/>
        </w:rPr>
      </w:pPr>
      <w:r w:rsidRPr="00BB6220">
        <w:rPr>
          <w:b/>
          <w:lang w:eastAsia="en-NZ"/>
        </w:rPr>
        <w:t>Practice</w:t>
      </w:r>
      <w:r w:rsidR="003D640C">
        <w:rPr>
          <w:b/>
          <w:lang w:eastAsia="en-NZ"/>
        </w:rPr>
        <w:t xml:space="preserve"> </w:t>
      </w:r>
      <w:r w:rsidRPr="00BB6220">
        <w:rPr>
          <w:b/>
          <w:lang w:eastAsia="en-NZ"/>
        </w:rPr>
        <w:t>self-care</w:t>
      </w:r>
      <w:r w:rsidR="003D640C">
        <w:rPr>
          <w:b/>
          <w:lang w:eastAsia="en-NZ"/>
        </w:rPr>
        <w:t xml:space="preserve"> </w:t>
      </w:r>
      <w:r w:rsidRPr="00BB6220">
        <w:rPr>
          <w:lang w:eastAsia="en-NZ"/>
        </w:rPr>
        <w:t>by</w:t>
      </w:r>
      <w:r w:rsidR="003D640C">
        <w:rPr>
          <w:lang w:eastAsia="en-NZ"/>
        </w:rPr>
        <w:t xml:space="preserve"> </w:t>
      </w:r>
      <w:r w:rsidRPr="00BB6220">
        <w:rPr>
          <w:lang w:eastAsia="en-NZ"/>
        </w:rPr>
        <w:t>engaging</w:t>
      </w:r>
      <w:r w:rsidR="003D640C">
        <w:rPr>
          <w:lang w:eastAsia="en-NZ"/>
        </w:rPr>
        <w:t xml:space="preserve"> </w:t>
      </w:r>
      <w:r w:rsidRPr="00BB6220">
        <w:rPr>
          <w:lang w:eastAsia="en-NZ"/>
        </w:rPr>
        <w:t>in</w:t>
      </w:r>
      <w:r w:rsidR="003D640C">
        <w:rPr>
          <w:lang w:eastAsia="en-NZ"/>
        </w:rPr>
        <w:t xml:space="preserve"> </w:t>
      </w:r>
      <w:r w:rsidRPr="00BB6220">
        <w:rPr>
          <w:lang w:eastAsia="en-NZ"/>
        </w:rPr>
        <w:t>activities</w:t>
      </w:r>
      <w:r w:rsidR="003D640C">
        <w:rPr>
          <w:lang w:eastAsia="en-NZ"/>
        </w:rPr>
        <w:t xml:space="preserve"> </w:t>
      </w:r>
      <w:r w:rsidRPr="00BB6220">
        <w:rPr>
          <w:lang w:eastAsia="en-NZ"/>
        </w:rPr>
        <w:t>that</w:t>
      </w:r>
      <w:r w:rsidR="003D640C">
        <w:rPr>
          <w:lang w:eastAsia="en-NZ"/>
        </w:rPr>
        <w:t xml:space="preserve"> </w:t>
      </w:r>
      <w:r w:rsidRPr="00BB6220">
        <w:rPr>
          <w:lang w:eastAsia="en-NZ"/>
        </w:rPr>
        <w:t>bring</w:t>
      </w:r>
      <w:r w:rsidR="003D640C">
        <w:rPr>
          <w:lang w:eastAsia="en-NZ"/>
        </w:rPr>
        <w:t xml:space="preserve"> </w:t>
      </w:r>
      <w:r w:rsidRPr="00BB6220">
        <w:rPr>
          <w:lang w:eastAsia="en-NZ"/>
        </w:rPr>
        <w:t>joy</w:t>
      </w:r>
      <w:r w:rsidR="003D640C">
        <w:rPr>
          <w:lang w:eastAsia="en-NZ"/>
        </w:rPr>
        <w:t xml:space="preserve"> </w:t>
      </w:r>
      <w:r w:rsidRPr="00BB6220">
        <w:rPr>
          <w:lang w:eastAsia="en-NZ"/>
        </w:rPr>
        <w:t>and</w:t>
      </w:r>
      <w:r w:rsidR="003D640C">
        <w:rPr>
          <w:lang w:eastAsia="en-NZ"/>
        </w:rPr>
        <w:t xml:space="preserve"> </w:t>
      </w:r>
      <w:r w:rsidRPr="00BB6220">
        <w:rPr>
          <w:lang w:eastAsia="en-NZ"/>
        </w:rPr>
        <w:t>relaxation.</w:t>
      </w:r>
      <w:r w:rsidR="003D640C">
        <w:rPr>
          <w:lang w:eastAsia="en-NZ"/>
        </w:rPr>
        <w:t xml:space="preserve"> </w:t>
      </w:r>
      <w:r w:rsidRPr="00BB6220">
        <w:rPr>
          <w:lang w:eastAsia="en-NZ"/>
        </w:rPr>
        <w:t>Try</w:t>
      </w:r>
      <w:r w:rsidR="003D640C">
        <w:rPr>
          <w:lang w:eastAsia="en-NZ"/>
        </w:rPr>
        <w:t xml:space="preserve"> </w:t>
      </w:r>
      <w:r w:rsidRPr="00BB6220">
        <w:rPr>
          <w:lang w:eastAsia="en-NZ"/>
        </w:rPr>
        <w:t>a</w:t>
      </w:r>
      <w:r w:rsidR="003D640C">
        <w:rPr>
          <w:lang w:eastAsia="en-NZ"/>
        </w:rPr>
        <w:t xml:space="preserve"> </w:t>
      </w:r>
      <w:r w:rsidRPr="00BB6220">
        <w:rPr>
          <w:lang w:eastAsia="en-NZ"/>
        </w:rPr>
        <w:t>range</w:t>
      </w:r>
      <w:r w:rsidR="003D640C">
        <w:rPr>
          <w:lang w:eastAsia="en-NZ"/>
        </w:rPr>
        <w:t xml:space="preserve"> </w:t>
      </w:r>
      <w:r w:rsidRPr="00BB6220">
        <w:rPr>
          <w:lang w:eastAsia="en-NZ"/>
        </w:rPr>
        <w:t>of</w:t>
      </w:r>
      <w:r w:rsidR="003D640C">
        <w:rPr>
          <w:lang w:eastAsia="en-NZ"/>
        </w:rPr>
        <w:t xml:space="preserve"> </w:t>
      </w:r>
      <w:r w:rsidRPr="00BB6220">
        <w:rPr>
          <w:lang w:eastAsia="en-NZ"/>
        </w:rPr>
        <w:t>different</w:t>
      </w:r>
      <w:r w:rsidR="003D640C">
        <w:rPr>
          <w:lang w:eastAsia="en-NZ"/>
        </w:rPr>
        <w:t xml:space="preserve"> </w:t>
      </w:r>
      <w:r w:rsidRPr="00BB6220">
        <w:rPr>
          <w:lang w:eastAsia="en-NZ"/>
        </w:rPr>
        <w:t>things</w:t>
      </w:r>
      <w:r w:rsidR="003D640C">
        <w:rPr>
          <w:lang w:eastAsia="en-NZ"/>
        </w:rPr>
        <w:t xml:space="preserve"> </w:t>
      </w:r>
      <w:r w:rsidRPr="00BB6220">
        <w:rPr>
          <w:lang w:eastAsia="en-NZ"/>
        </w:rPr>
        <w:t>because</w:t>
      </w:r>
      <w:r w:rsidR="003D640C">
        <w:rPr>
          <w:lang w:eastAsia="en-NZ"/>
        </w:rPr>
        <w:t xml:space="preserve"> </w:t>
      </w:r>
      <w:r w:rsidRPr="00BB6220">
        <w:rPr>
          <w:lang w:eastAsia="en-NZ"/>
        </w:rPr>
        <w:t>it’s</w:t>
      </w:r>
      <w:r w:rsidR="003D640C">
        <w:rPr>
          <w:lang w:eastAsia="en-NZ"/>
        </w:rPr>
        <w:t xml:space="preserve"> </w:t>
      </w:r>
      <w:r w:rsidRPr="00BB6220">
        <w:rPr>
          <w:lang w:eastAsia="en-NZ"/>
        </w:rPr>
        <w:t>normal</w:t>
      </w:r>
      <w:r w:rsidR="003D640C">
        <w:rPr>
          <w:lang w:eastAsia="en-NZ"/>
        </w:rPr>
        <w:t xml:space="preserve"> </w:t>
      </w:r>
      <w:r w:rsidRPr="00BB6220">
        <w:rPr>
          <w:lang w:eastAsia="en-NZ"/>
        </w:rPr>
        <w:t>to</w:t>
      </w:r>
      <w:r w:rsidR="003D640C">
        <w:rPr>
          <w:lang w:eastAsia="en-NZ"/>
        </w:rPr>
        <w:t xml:space="preserve"> </w:t>
      </w:r>
      <w:r w:rsidR="00A67914" w:rsidRPr="00BB6220">
        <w:rPr>
          <w:lang w:eastAsia="en-NZ"/>
        </w:rPr>
        <w:t>not</w:t>
      </w:r>
      <w:r w:rsidR="003D640C">
        <w:rPr>
          <w:lang w:eastAsia="en-NZ"/>
        </w:rPr>
        <w:t xml:space="preserve"> </w:t>
      </w:r>
      <w:r w:rsidRPr="00BB6220">
        <w:rPr>
          <w:lang w:eastAsia="en-NZ"/>
        </w:rPr>
        <w:t>know</w:t>
      </w:r>
      <w:r w:rsidR="003D640C">
        <w:rPr>
          <w:lang w:eastAsia="en-NZ"/>
        </w:rPr>
        <w:t xml:space="preserve"> </w:t>
      </w:r>
      <w:r w:rsidRPr="00BB6220">
        <w:rPr>
          <w:lang w:eastAsia="en-NZ"/>
        </w:rPr>
        <w:t>what</w:t>
      </w:r>
      <w:r w:rsidR="003D640C">
        <w:rPr>
          <w:lang w:eastAsia="en-NZ"/>
        </w:rPr>
        <w:t xml:space="preserve"> </w:t>
      </w:r>
      <w:r w:rsidRPr="00BB6220">
        <w:rPr>
          <w:lang w:eastAsia="en-NZ"/>
        </w:rPr>
        <w:t>helps</w:t>
      </w:r>
      <w:r w:rsidR="003D640C">
        <w:rPr>
          <w:lang w:eastAsia="en-NZ"/>
        </w:rPr>
        <w:t xml:space="preserve"> </w:t>
      </w:r>
      <w:r w:rsidRPr="00BB6220">
        <w:rPr>
          <w:lang w:eastAsia="en-NZ"/>
        </w:rPr>
        <w:t>when</w:t>
      </w:r>
      <w:r w:rsidR="003D640C">
        <w:rPr>
          <w:lang w:eastAsia="en-NZ"/>
        </w:rPr>
        <w:t xml:space="preserve"> </w:t>
      </w:r>
      <w:r w:rsidRPr="00BB6220">
        <w:rPr>
          <w:lang w:eastAsia="en-NZ"/>
        </w:rPr>
        <w:t>you</w:t>
      </w:r>
      <w:r w:rsidR="003D640C">
        <w:rPr>
          <w:lang w:eastAsia="en-NZ"/>
        </w:rPr>
        <w:t xml:space="preserve"> </w:t>
      </w:r>
      <w:r w:rsidRPr="00BB6220">
        <w:rPr>
          <w:lang w:eastAsia="en-NZ"/>
        </w:rPr>
        <w:t>have</w:t>
      </w:r>
      <w:r w:rsidR="003D640C">
        <w:rPr>
          <w:lang w:eastAsia="en-NZ"/>
        </w:rPr>
        <w:t xml:space="preserve"> </w:t>
      </w:r>
      <w:r w:rsidRPr="00BB6220">
        <w:rPr>
          <w:lang w:eastAsia="en-NZ"/>
        </w:rPr>
        <w:t>been</w:t>
      </w:r>
      <w:r w:rsidR="003D640C">
        <w:rPr>
          <w:lang w:eastAsia="en-NZ"/>
        </w:rPr>
        <w:t xml:space="preserve"> </w:t>
      </w:r>
      <w:r w:rsidRPr="00BB6220">
        <w:rPr>
          <w:lang w:eastAsia="en-NZ"/>
        </w:rPr>
        <w:t>focused</w:t>
      </w:r>
      <w:r w:rsidR="003D640C">
        <w:rPr>
          <w:lang w:eastAsia="en-NZ"/>
        </w:rPr>
        <w:t xml:space="preserve"> </w:t>
      </w:r>
      <w:r w:rsidRPr="00BB6220">
        <w:rPr>
          <w:lang w:eastAsia="en-NZ"/>
        </w:rPr>
        <w:t>on</w:t>
      </w:r>
      <w:r w:rsidR="003D640C">
        <w:rPr>
          <w:lang w:eastAsia="en-NZ"/>
        </w:rPr>
        <w:t xml:space="preserve"> </w:t>
      </w:r>
      <w:r w:rsidRPr="00BB6220">
        <w:rPr>
          <w:lang w:eastAsia="en-NZ"/>
        </w:rPr>
        <w:t>pretending</w:t>
      </w:r>
      <w:r w:rsidR="003D640C">
        <w:rPr>
          <w:lang w:eastAsia="en-NZ"/>
        </w:rPr>
        <w:t xml:space="preserve"> </w:t>
      </w:r>
      <w:r w:rsidRPr="00BB6220">
        <w:rPr>
          <w:lang w:eastAsia="en-NZ"/>
        </w:rPr>
        <w:t>to</w:t>
      </w:r>
      <w:r w:rsidR="003D640C">
        <w:rPr>
          <w:lang w:eastAsia="en-NZ"/>
        </w:rPr>
        <w:t xml:space="preserve"> </w:t>
      </w:r>
      <w:r w:rsidRPr="00BB6220">
        <w:rPr>
          <w:lang w:eastAsia="en-NZ"/>
        </w:rPr>
        <w:t>be</w:t>
      </w:r>
      <w:r w:rsidR="003D640C">
        <w:rPr>
          <w:lang w:eastAsia="en-NZ"/>
        </w:rPr>
        <w:t xml:space="preserve"> </w:t>
      </w:r>
      <w:r w:rsidRPr="00BB6220">
        <w:rPr>
          <w:lang w:eastAsia="en-NZ"/>
        </w:rPr>
        <w:t>someone</w:t>
      </w:r>
      <w:r w:rsidR="003D640C">
        <w:rPr>
          <w:lang w:eastAsia="en-NZ"/>
        </w:rPr>
        <w:t xml:space="preserve"> </w:t>
      </w:r>
      <w:r w:rsidRPr="00BB6220">
        <w:rPr>
          <w:lang w:eastAsia="en-NZ"/>
        </w:rPr>
        <w:t>else</w:t>
      </w:r>
      <w:r w:rsidR="003D640C">
        <w:rPr>
          <w:lang w:eastAsia="en-NZ"/>
        </w:rPr>
        <w:t xml:space="preserve"> </w:t>
      </w:r>
      <w:r w:rsidRPr="00BB6220">
        <w:rPr>
          <w:lang w:eastAsia="en-NZ"/>
        </w:rPr>
        <w:t>for</w:t>
      </w:r>
      <w:r w:rsidR="003D640C">
        <w:rPr>
          <w:lang w:eastAsia="en-NZ"/>
        </w:rPr>
        <w:t xml:space="preserve"> </w:t>
      </w:r>
      <w:r w:rsidRPr="00BB6220">
        <w:rPr>
          <w:lang w:eastAsia="en-NZ"/>
        </w:rPr>
        <w:t>so</w:t>
      </w:r>
      <w:r w:rsidR="003D640C">
        <w:rPr>
          <w:lang w:eastAsia="en-NZ"/>
        </w:rPr>
        <w:t xml:space="preserve"> </w:t>
      </w:r>
      <w:r w:rsidRPr="00BB6220">
        <w:rPr>
          <w:lang w:eastAsia="en-NZ"/>
        </w:rPr>
        <w:t>long.</w:t>
      </w:r>
      <w:r w:rsidR="003D640C">
        <w:rPr>
          <w:lang w:eastAsia="en-NZ"/>
        </w:rPr>
        <w:t xml:space="preserve"> </w:t>
      </w:r>
      <w:r w:rsidRPr="00BB6220">
        <w:rPr>
          <w:lang w:eastAsia="en-NZ"/>
        </w:rPr>
        <w:t>Develop</w:t>
      </w:r>
      <w:r w:rsidR="003D640C">
        <w:rPr>
          <w:lang w:eastAsia="en-NZ"/>
        </w:rPr>
        <w:t xml:space="preserve"> </w:t>
      </w:r>
      <w:r w:rsidRPr="00BB6220">
        <w:rPr>
          <w:lang w:eastAsia="en-NZ"/>
        </w:rPr>
        <w:t>daily</w:t>
      </w:r>
      <w:r w:rsidR="003D640C">
        <w:rPr>
          <w:lang w:eastAsia="en-NZ"/>
        </w:rPr>
        <w:t xml:space="preserve"> </w:t>
      </w:r>
      <w:r w:rsidRPr="00BB6220">
        <w:rPr>
          <w:lang w:eastAsia="en-NZ"/>
        </w:rPr>
        <w:t>coping</w:t>
      </w:r>
      <w:r w:rsidR="003D640C">
        <w:rPr>
          <w:lang w:eastAsia="en-NZ"/>
        </w:rPr>
        <w:t xml:space="preserve"> </w:t>
      </w:r>
      <w:r w:rsidRPr="00BB6220">
        <w:rPr>
          <w:lang w:eastAsia="en-NZ"/>
        </w:rPr>
        <w:t>strategies</w:t>
      </w:r>
      <w:r w:rsidR="003D640C">
        <w:rPr>
          <w:lang w:eastAsia="en-NZ"/>
        </w:rPr>
        <w:t xml:space="preserve"> </w:t>
      </w:r>
      <w:r w:rsidRPr="00BB6220">
        <w:rPr>
          <w:lang w:eastAsia="en-NZ"/>
        </w:rPr>
        <w:t>that</w:t>
      </w:r>
      <w:r w:rsidR="003D640C">
        <w:rPr>
          <w:lang w:eastAsia="en-NZ"/>
        </w:rPr>
        <w:t xml:space="preserve"> </w:t>
      </w:r>
      <w:r w:rsidRPr="00BB6220">
        <w:rPr>
          <w:lang w:eastAsia="en-NZ"/>
        </w:rPr>
        <w:t>support</w:t>
      </w:r>
      <w:r w:rsidR="003D640C">
        <w:rPr>
          <w:lang w:eastAsia="en-NZ"/>
        </w:rPr>
        <w:t xml:space="preserve"> </w:t>
      </w:r>
      <w:r w:rsidRPr="00BB6220">
        <w:rPr>
          <w:lang w:eastAsia="en-NZ"/>
        </w:rPr>
        <w:t>emotional</w:t>
      </w:r>
      <w:r w:rsidR="003D640C">
        <w:rPr>
          <w:lang w:eastAsia="en-NZ"/>
        </w:rPr>
        <w:t xml:space="preserve"> </w:t>
      </w:r>
      <w:r w:rsidR="5C949423" w:rsidRPr="7C0AAEEA">
        <w:rPr>
          <w:lang w:eastAsia="en-NZ"/>
        </w:rPr>
        <w:t>wellbeing</w:t>
      </w:r>
      <w:r w:rsidRPr="00BB6220">
        <w:rPr>
          <w:lang w:eastAsia="en-NZ"/>
        </w:rPr>
        <w:t>,</w:t>
      </w:r>
      <w:r w:rsidR="003D640C">
        <w:rPr>
          <w:lang w:eastAsia="en-NZ"/>
        </w:rPr>
        <w:t xml:space="preserve"> </w:t>
      </w:r>
      <w:r w:rsidRPr="00BB6220">
        <w:rPr>
          <w:lang w:eastAsia="en-NZ"/>
        </w:rPr>
        <w:t>for</w:t>
      </w:r>
      <w:r w:rsidR="003D640C">
        <w:rPr>
          <w:lang w:eastAsia="en-NZ"/>
        </w:rPr>
        <w:t xml:space="preserve"> </w:t>
      </w:r>
      <w:r w:rsidRPr="00BB6220">
        <w:rPr>
          <w:lang w:eastAsia="en-NZ"/>
        </w:rPr>
        <w:t>example</w:t>
      </w:r>
      <w:r w:rsidR="00FF241C">
        <w:rPr>
          <w:lang w:eastAsia="en-NZ"/>
        </w:rPr>
        <w:t>,</w:t>
      </w:r>
      <w:r w:rsidR="003D640C">
        <w:rPr>
          <w:lang w:eastAsia="en-NZ"/>
        </w:rPr>
        <w:t xml:space="preserve"> </w:t>
      </w:r>
      <w:r w:rsidRPr="00BB6220">
        <w:rPr>
          <w:lang w:eastAsia="en-NZ"/>
        </w:rPr>
        <w:t>look</w:t>
      </w:r>
      <w:r w:rsidR="003D640C">
        <w:rPr>
          <w:lang w:eastAsia="en-NZ"/>
        </w:rPr>
        <w:t xml:space="preserve"> </w:t>
      </w:r>
      <w:r w:rsidRPr="00BB6220">
        <w:rPr>
          <w:lang w:eastAsia="en-NZ"/>
        </w:rPr>
        <w:t>after</w:t>
      </w:r>
      <w:r w:rsidR="003D640C">
        <w:rPr>
          <w:lang w:eastAsia="en-NZ"/>
        </w:rPr>
        <w:t xml:space="preserve"> </w:t>
      </w:r>
      <w:r w:rsidRPr="00BB6220">
        <w:rPr>
          <w:lang w:eastAsia="en-NZ"/>
        </w:rPr>
        <w:t>daily</w:t>
      </w:r>
      <w:r w:rsidR="003D640C">
        <w:rPr>
          <w:lang w:eastAsia="en-NZ"/>
        </w:rPr>
        <w:t xml:space="preserve"> </w:t>
      </w:r>
      <w:r w:rsidRPr="00BB6220">
        <w:rPr>
          <w:lang w:eastAsia="en-NZ"/>
        </w:rPr>
        <w:t>sleep,</w:t>
      </w:r>
      <w:r w:rsidR="003D640C">
        <w:rPr>
          <w:lang w:eastAsia="en-NZ"/>
        </w:rPr>
        <w:t xml:space="preserve"> </w:t>
      </w:r>
      <w:r w:rsidRPr="00BB6220">
        <w:rPr>
          <w:lang w:eastAsia="en-NZ"/>
        </w:rPr>
        <w:t>eating</w:t>
      </w:r>
      <w:r w:rsidR="539347B3"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hygiene</w:t>
      </w:r>
      <w:r w:rsidR="003D640C">
        <w:rPr>
          <w:lang w:eastAsia="en-NZ"/>
        </w:rPr>
        <w:t xml:space="preserve"> </w:t>
      </w:r>
      <w:r w:rsidRPr="00BB6220">
        <w:rPr>
          <w:lang w:eastAsia="en-NZ"/>
        </w:rPr>
        <w:t>routines</w:t>
      </w:r>
      <w:r w:rsidR="003D640C">
        <w:rPr>
          <w:lang w:eastAsia="en-NZ"/>
        </w:rPr>
        <w:t xml:space="preserve"> </w:t>
      </w:r>
      <w:r w:rsidRPr="00BB6220">
        <w:rPr>
          <w:lang w:eastAsia="en-NZ"/>
        </w:rPr>
        <w:t>as</w:t>
      </w:r>
      <w:r w:rsidR="003D640C">
        <w:rPr>
          <w:lang w:eastAsia="en-NZ"/>
        </w:rPr>
        <w:t xml:space="preserve"> </w:t>
      </w:r>
      <w:r w:rsidRPr="00BB6220">
        <w:rPr>
          <w:lang w:eastAsia="en-NZ"/>
        </w:rPr>
        <w:t>best</w:t>
      </w:r>
      <w:r w:rsidR="003D640C">
        <w:rPr>
          <w:lang w:eastAsia="en-NZ"/>
        </w:rPr>
        <w:t xml:space="preserve"> </w:t>
      </w:r>
      <w:r w:rsidRPr="00BB6220">
        <w:rPr>
          <w:lang w:eastAsia="en-NZ"/>
        </w:rPr>
        <w:t>you</w:t>
      </w:r>
      <w:r w:rsidR="003D640C">
        <w:rPr>
          <w:lang w:eastAsia="en-NZ"/>
        </w:rPr>
        <w:t xml:space="preserve"> </w:t>
      </w:r>
      <w:r w:rsidRPr="00BB6220">
        <w:rPr>
          <w:lang w:eastAsia="en-NZ"/>
        </w:rPr>
        <w:t>can.</w:t>
      </w:r>
    </w:p>
    <w:p w14:paraId="78098404" w14:textId="6B63E5BF" w:rsidR="00CF4A69" w:rsidRPr="00BB6220" w:rsidRDefault="00CF4A69" w:rsidP="009B6B4C">
      <w:pPr>
        <w:pStyle w:val="Bullet"/>
        <w:rPr>
          <w:rFonts w:cstheme="minorHAnsi"/>
          <w:lang w:eastAsia="en-NZ"/>
        </w:rPr>
      </w:pPr>
      <w:r w:rsidRPr="00BB6220">
        <w:rPr>
          <w:b/>
          <w:lang w:eastAsia="en-NZ"/>
        </w:rPr>
        <w:t>Cultivate</w:t>
      </w:r>
      <w:r w:rsidR="003D640C">
        <w:rPr>
          <w:b/>
          <w:lang w:eastAsia="en-NZ"/>
        </w:rPr>
        <w:t xml:space="preserve"> </w:t>
      </w:r>
      <w:r w:rsidRPr="00BB6220">
        <w:rPr>
          <w:b/>
          <w:lang w:eastAsia="en-NZ"/>
        </w:rPr>
        <w:t>self-compassion.</w:t>
      </w:r>
      <w:r w:rsidR="003D640C">
        <w:rPr>
          <w:lang w:eastAsia="en-NZ"/>
        </w:rPr>
        <w:t xml:space="preserve"> </w:t>
      </w:r>
      <w:r w:rsidRPr="00BB6220">
        <w:rPr>
          <w:lang w:eastAsia="en-NZ"/>
        </w:rPr>
        <w:t>Over</w:t>
      </w:r>
      <w:r w:rsidR="003D640C">
        <w:rPr>
          <w:lang w:eastAsia="en-NZ"/>
        </w:rPr>
        <w:t xml:space="preserve"> </w:t>
      </w:r>
      <w:r w:rsidRPr="00BB6220">
        <w:rPr>
          <w:lang w:eastAsia="en-NZ"/>
        </w:rPr>
        <w:t>time,</w:t>
      </w:r>
      <w:r w:rsidR="003D640C">
        <w:rPr>
          <w:lang w:eastAsia="en-NZ"/>
        </w:rPr>
        <w:t xml:space="preserve"> </w:t>
      </w:r>
      <w:r w:rsidRPr="00BB6220">
        <w:rPr>
          <w:lang w:eastAsia="en-NZ"/>
        </w:rPr>
        <w:t>self-care</w:t>
      </w:r>
      <w:r w:rsidR="003D640C">
        <w:rPr>
          <w:lang w:eastAsia="en-NZ"/>
        </w:rPr>
        <w:t xml:space="preserve"> </w:t>
      </w:r>
      <w:r w:rsidRPr="00BB6220">
        <w:rPr>
          <w:lang w:eastAsia="en-NZ"/>
        </w:rPr>
        <w:t>leads</w:t>
      </w:r>
      <w:r w:rsidR="003D640C">
        <w:rPr>
          <w:lang w:eastAsia="en-NZ"/>
        </w:rPr>
        <w:t xml:space="preserve"> </w:t>
      </w:r>
      <w:r w:rsidRPr="00BB6220">
        <w:rPr>
          <w:lang w:eastAsia="en-NZ"/>
        </w:rPr>
        <w:t>to</w:t>
      </w:r>
      <w:r w:rsidR="003D640C">
        <w:rPr>
          <w:lang w:eastAsia="en-NZ"/>
        </w:rPr>
        <w:t xml:space="preserve"> </w:t>
      </w:r>
      <w:r w:rsidRPr="00BB6220">
        <w:rPr>
          <w:lang w:eastAsia="en-NZ"/>
        </w:rPr>
        <w:t>becoming</w:t>
      </w:r>
      <w:r w:rsidR="003D640C">
        <w:rPr>
          <w:lang w:eastAsia="en-NZ"/>
        </w:rPr>
        <w:t xml:space="preserve"> </w:t>
      </w:r>
      <w:r w:rsidRPr="00BB6220">
        <w:rPr>
          <w:lang w:eastAsia="en-NZ"/>
        </w:rPr>
        <w:t>someone</w:t>
      </w:r>
      <w:r w:rsidR="003D640C">
        <w:rPr>
          <w:lang w:eastAsia="en-NZ"/>
        </w:rPr>
        <w:t xml:space="preserve"> </w:t>
      </w:r>
      <w:r w:rsidRPr="00BB6220">
        <w:rPr>
          <w:lang w:eastAsia="en-NZ"/>
        </w:rPr>
        <w:t>who</w:t>
      </w:r>
      <w:r w:rsidR="003D640C">
        <w:rPr>
          <w:lang w:eastAsia="en-NZ"/>
        </w:rPr>
        <w:t xml:space="preserve"> </w:t>
      </w:r>
      <w:r w:rsidRPr="00BB6220">
        <w:rPr>
          <w:lang w:eastAsia="en-NZ"/>
        </w:rPr>
        <w:t>is</w:t>
      </w:r>
      <w:r w:rsidR="003D640C">
        <w:rPr>
          <w:lang w:eastAsia="en-NZ"/>
        </w:rPr>
        <w:t xml:space="preserve"> </w:t>
      </w:r>
      <w:r w:rsidRPr="00BB6220">
        <w:rPr>
          <w:lang w:eastAsia="en-NZ"/>
        </w:rPr>
        <w:t>self-compassionate.</w:t>
      </w:r>
      <w:r w:rsidR="003D640C">
        <w:rPr>
          <w:lang w:eastAsia="en-NZ"/>
        </w:rPr>
        <w:t xml:space="preserve"> </w:t>
      </w:r>
      <w:r w:rsidRPr="00BB6220">
        <w:rPr>
          <w:lang w:eastAsia="en-NZ"/>
        </w:rPr>
        <w:t>This</w:t>
      </w:r>
      <w:r w:rsidR="003D640C">
        <w:rPr>
          <w:lang w:eastAsia="en-NZ"/>
        </w:rPr>
        <w:t xml:space="preserve"> </w:t>
      </w:r>
      <w:r w:rsidRPr="00BB6220">
        <w:rPr>
          <w:lang w:eastAsia="en-NZ"/>
        </w:rPr>
        <w:t>involves</w:t>
      </w:r>
      <w:r w:rsidR="003D640C">
        <w:rPr>
          <w:lang w:eastAsia="en-NZ"/>
        </w:rPr>
        <w:t xml:space="preserve"> </w:t>
      </w:r>
      <w:r w:rsidRPr="00BB6220">
        <w:rPr>
          <w:lang w:eastAsia="en-NZ"/>
        </w:rPr>
        <w:t>acknowledging</w:t>
      </w:r>
      <w:r w:rsidR="003D640C">
        <w:rPr>
          <w:lang w:eastAsia="en-NZ"/>
        </w:rPr>
        <w:t xml:space="preserve"> </w:t>
      </w:r>
      <w:r w:rsidRPr="00BB6220">
        <w:rPr>
          <w:lang w:eastAsia="en-NZ"/>
        </w:rPr>
        <w:t>and</w:t>
      </w:r>
      <w:r w:rsidR="003D640C">
        <w:rPr>
          <w:lang w:eastAsia="en-NZ"/>
        </w:rPr>
        <w:t xml:space="preserve"> </w:t>
      </w:r>
      <w:r w:rsidRPr="00BB6220">
        <w:rPr>
          <w:lang w:eastAsia="en-NZ"/>
        </w:rPr>
        <w:t>validating</w:t>
      </w:r>
      <w:r w:rsidR="003D640C">
        <w:rPr>
          <w:lang w:eastAsia="en-NZ"/>
        </w:rPr>
        <w:t xml:space="preserve"> </w:t>
      </w:r>
      <w:r w:rsidRPr="00BB6220">
        <w:rPr>
          <w:lang w:eastAsia="en-NZ"/>
        </w:rPr>
        <w:t>your</w:t>
      </w:r>
      <w:r w:rsidR="003D640C">
        <w:rPr>
          <w:lang w:eastAsia="en-NZ"/>
        </w:rPr>
        <w:t xml:space="preserve"> </w:t>
      </w:r>
      <w:r w:rsidRPr="00BB6220">
        <w:rPr>
          <w:lang w:eastAsia="en-NZ"/>
        </w:rPr>
        <w:t>emotions,</w:t>
      </w:r>
      <w:r w:rsidR="003D640C">
        <w:rPr>
          <w:lang w:eastAsia="en-NZ"/>
        </w:rPr>
        <w:t xml:space="preserve"> </w:t>
      </w:r>
      <w:r w:rsidRPr="00BB6220">
        <w:rPr>
          <w:lang w:eastAsia="en-NZ"/>
        </w:rPr>
        <w:t>challenging</w:t>
      </w:r>
      <w:r w:rsidR="003D640C">
        <w:rPr>
          <w:lang w:eastAsia="en-NZ"/>
        </w:rPr>
        <w:t xml:space="preserve"> </w:t>
      </w:r>
      <w:r w:rsidRPr="00BB6220">
        <w:rPr>
          <w:lang w:eastAsia="en-NZ"/>
        </w:rPr>
        <w:t>self-blame,</w:t>
      </w:r>
      <w:r w:rsidR="003D640C">
        <w:rPr>
          <w:lang w:eastAsia="en-NZ"/>
        </w:rPr>
        <w:t xml:space="preserve"> </w:t>
      </w:r>
      <w:r w:rsidRPr="00BB6220">
        <w:rPr>
          <w:lang w:eastAsia="en-NZ"/>
        </w:rPr>
        <w:t>and</w:t>
      </w:r>
      <w:r w:rsidR="003D640C">
        <w:rPr>
          <w:lang w:eastAsia="en-NZ"/>
        </w:rPr>
        <w:t xml:space="preserve"> </w:t>
      </w:r>
      <w:r w:rsidRPr="00BB6220">
        <w:rPr>
          <w:lang w:eastAsia="en-NZ"/>
        </w:rPr>
        <w:t>embracing</w:t>
      </w:r>
      <w:r w:rsidR="003D640C">
        <w:rPr>
          <w:lang w:eastAsia="en-NZ"/>
        </w:rPr>
        <w:t xml:space="preserve"> </w:t>
      </w:r>
      <w:r w:rsidRPr="00BB6220">
        <w:rPr>
          <w:lang w:eastAsia="en-NZ"/>
        </w:rPr>
        <w:t>self-acceptance</w:t>
      </w:r>
      <w:r w:rsidR="003D640C">
        <w:rPr>
          <w:lang w:eastAsia="en-NZ"/>
        </w:rPr>
        <w:t xml:space="preserve"> </w:t>
      </w:r>
      <w:r w:rsidRPr="00BB6220">
        <w:rPr>
          <w:lang w:eastAsia="en-NZ"/>
        </w:rPr>
        <w:t>and</w:t>
      </w:r>
      <w:r w:rsidR="003D640C">
        <w:rPr>
          <w:lang w:eastAsia="en-NZ"/>
        </w:rPr>
        <w:t xml:space="preserve"> </w:t>
      </w:r>
      <w:r w:rsidRPr="00BB6220">
        <w:rPr>
          <w:lang w:eastAsia="en-NZ"/>
        </w:rPr>
        <w:t>self-love.</w:t>
      </w:r>
      <w:r w:rsidR="003D640C">
        <w:rPr>
          <w:lang w:eastAsia="en-NZ"/>
        </w:rPr>
        <w:t xml:space="preserve"> </w:t>
      </w:r>
      <w:r w:rsidRPr="00BB6220">
        <w:rPr>
          <w:lang w:eastAsia="en-NZ"/>
        </w:rPr>
        <w:t>Use</w:t>
      </w:r>
      <w:r w:rsidR="003D640C">
        <w:rPr>
          <w:lang w:eastAsia="en-NZ"/>
        </w:rPr>
        <w:t xml:space="preserve"> </w:t>
      </w:r>
      <w:r w:rsidRPr="00BB6220">
        <w:rPr>
          <w:lang w:eastAsia="en-NZ"/>
        </w:rPr>
        <w:t>kind</w:t>
      </w:r>
      <w:r w:rsidR="003D640C">
        <w:rPr>
          <w:lang w:eastAsia="en-NZ"/>
        </w:rPr>
        <w:t xml:space="preserve"> </w:t>
      </w:r>
      <w:r w:rsidRPr="00BB6220">
        <w:rPr>
          <w:lang w:eastAsia="en-NZ"/>
        </w:rPr>
        <w:t>words</w:t>
      </w:r>
      <w:r w:rsidR="003D640C">
        <w:rPr>
          <w:lang w:eastAsia="en-NZ"/>
        </w:rPr>
        <w:t xml:space="preserve"> </w:t>
      </w:r>
      <w:r w:rsidRPr="00BB6220">
        <w:rPr>
          <w:lang w:eastAsia="en-NZ"/>
        </w:rPr>
        <w:t>about</w:t>
      </w:r>
      <w:r w:rsidR="003D640C">
        <w:rPr>
          <w:lang w:eastAsia="en-NZ"/>
        </w:rPr>
        <w:t xml:space="preserve"> </w:t>
      </w:r>
      <w:r w:rsidRPr="00BB6220">
        <w:rPr>
          <w:lang w:eastAsia="en-NZ"/>
        </w:rPr>
        <w:t>yourself</w:t>
      </w:r>
      <w:r w:rsidR="003D640C">
        <w:rPr>
          <w:lang w:eastAsia="en-NZ"/>
        </w:rPr>
        <w:t xml:space="preserve"> </w:t>
      </w:r>
      <w:r w:rsidRPr="00BB6220">
        <w:rPr>
          <w:lang w:eastAsia="en-NZ"/>
        </w:rPr>
        <w:t>repeatedly.</w:t>
      </w:r>
    </w:p>
    <w:p w14:paraId="201A8D0F" w14:textId="7211A256" w:rsidR="00CF4A69" w:rsidRPr="00BB6220" w:rsidRDefault="00CF4A69" w:rsidP="009B6B4C">
      <w:pPr>
        <w:pStyle w:val="Bullet"/>
        <w:rPr>
          <w:lang w:eastAsia="en-NZ"/>
        </w:rPr>
      </w:pPr>
      <w:r w:rsidRPr="00BB6220">
        <w:rPr>
          <w:b/>
          <w:lang w:eastAsia="en-NZ"/>
        </w:rPr>
        <w:t>Engage</w:t>
      </w:r>
      <w:r w:rsidR="003D640C">
        <w:rPr>
          <w:b/>
          <w:lang w:eastAsia="en-NZ"/>
        </w:rPr>
        <w:t xml:space="preserve"> </w:t>
      </w:r>
      <w:r w:rsidRPr="00BB6220">
        <w:rPr>
          <w:b/>
          <w:lang w:eastAsia="en-NZ"/>
        </w:rPr>
        <w:t>in</w:t>
      </w:r>
      <w:r w:rsidR="003D640C">
        <w:rPr>
          <w:b/>
          <w:lang w:eastAsia="en-NZ"/>
        </w:rPr>
        <w:t xml:space="preserve"> </w:t>
      </w:r>
      <w:r w:rsidRPr="00BB6220">
        <w:rPr>
          <w:b/>
          <w:lang w:eastAsia="en-NZ"/>
        </w:rPr>
        <w:t>self-reflection</w:t>
      </w:r>
      <w:r w:rsidR="003D640C">
        <w:rPr>
          <w:b/>
          <w:lang w:eastAsia="en-NZ"/>
        </w:rPr>
        <w:t xml:space="preserve"> </w:t>
      </w:r>
      <w:r w:rsidRPr="00BB6220">
        <w:rPr>
          <w:lang w:eastAsia="en-NZ"/>
        </w:rPr>
        <w:t>from</w:t>
      </w:r>
      <w:r w:rsidR="003D640C">
        <w:rPr>
          <w:lang w:eastAsia="en-NZ"/>
        </w:rPr>
        <w:t xml:space="preserve"> </w:t>
      </w:r>
      <w:r w:rsidRPr="00BB6220">
        <w:rPr>
          <w:lang w:eastAsia="en-NZ"/>
        </w:rPr>
        <w:t>a</w:t>
      </w:r>
      <w:r w:rsidR="003D640C">
        <w:rPr>
          <w:lang w:eastAsia="en-NZ"/>
        </w:rPr>
        <w:t xml:space="preserve"> </w:t>
      </w:r>
      <w:r w:rsidRPr="00BB6220">
        <w:rPr>
          <w:lang w:eastAsia="en-NZ"/>
        </w:rPr>
        <w:t>foundation</w:t>
      </w:r>
      <w:r w:rsidR="003D640C">
        <w:rPr>
          <w:lang w:eastAsia="en-NZ"/>
        </w:rPr>
        <w:t xml:space="preserve"> </w:t>
      </w:r>
      <w:r w:rsidRPr="00BB6220">
        <w:rPr>
          <w:lang w:eastAsia="en-NZ"/>
        </w:rPr>
        <w:t>of</w:t>
      </w:r>
      <w:r w:rsidR="003D640C">
        <w:rPr>
          <w:lang w:eastAsia="en-NZ"/>
        </w:rPr>
        <w:t xml:space="preserve"> </w:t>
      </w:r>
      <w:r w:rsidRPr="00BB6220">
        <w:rPr>
          <w:lang w:eastAsia="en-NZ"/>
        </w:rPr>
        <w:t>self-care</w:t>
      </w:r>
      <w:r w:rsidR="003D640C">
        <w:rPr>
          <w:lang w:eastAsia="en-NZ"/>
        </w:rPr>
        <w:t xml:space="preserve"> </w:t>
      </w:r>
      <w:r w:rsidRPr="00BB6220">
        <w:rPr>
          <w:lang w:eastAsia="en-NZ"/>
        </w:rPr>
        <w:t>and</w:t>
      </w:r>
      <w:r w:rsidR="003D640C">
        <w:rPr>
          <w:lang w:eastAsia="en-NZ"/>
        </w:rPr>
        <w:t xml:space="preserve"> </w:t>
      </w:r>
      <w:r w:rsidRPr="00BB6220">
        <w:rPr>
          <w:lang w:eastAsia="en-NZ"/>
        </w:rPr>
        <w:t>compassion</w:t>
      </w:r>
      <w:r w:rsidR="003D640C">
        <w:rPr>
          <w:lang w:eastAsia="en-NZ"/>
        </w:rPr>
        <w:t xml:space="preserve"> </w:t>
      </w:r>
      <w:r w:rsidRPr="00BB6220">
        <w:rPr>
          <w:lang w:eastAsia="en-NZ"/>
        </w:rPr>
        <w:t>to</w:t>
      </w:r>
      <w:r w:rsidR="003D640C">
        <w:rPr>
          <w:lang w:eastAsia="en-NZ"/>
        </w:rPr>
        <w:t xml:space="preserve"> </w:t>
      </w:r>
      <w:r w:rsidRPr="00BB6220">
        <w:rPr>
          <w:lang w:eastAsia="en-NZ"/>
        </w:rPr>
        <w:t>better</w:t>
      </w:r>
      <w:r w:rsidR="003D640C">
        <w:rPr>
          <w:lang w:eastAsia="en-NZ"/>
        </w:rPr>
        <w:t xml:space="preserve"> </w:t>
      </w:r>
      <w:r w:rsidRPr="00BB6220">
        <w:rPr>
          <w:lang w:eastAsia="en-NZ"/>
        </w:rPr>
        <w:t>understand</w:t>
      </w:r>
      <w:r w:rsidR="003D640C">
        <w:rPr>
          <w:lang w:eastAsia="en-NZ"/>
        </w:rPr>
        <w:t xml:space="preserve"> </w:t>
      </w:r>
      <w:r w:rsidRPr="00BB6220">
        <w:rPr>
          <w:lang w:eastAsia="en-NZ"/>
        </w:rPr>
        <w:t>yourself,</w:t>
      </w:r>
      <w:r w:rsidR="003D640C">
        <w:rPr>
          <w:lang w:eastAsia="en-NZ"/>
        </w:rPr>
        <w:t xml:space="preserve"> </w:t>
      </w:r>
      <w:r w:rsidRPr="00BB6220">
        <w:rPr>
          <w:lang w:eastAsia="en-NZ"/>
        </w:rPr>
        <w:t>your</w:t>
      </w:r>
      <w:r w:rsidR="003D640C">
        <w:rPr>
          <w:lang w:eastAsia="en-NZ"/>
        </w:rPr>
        <w:t xml:space="preserve"> </w:t>
      </w:r>
      <w:r w:rsidRPr="00BB6220">
        <w:rPr>
          <w:lang w:eastAsia="en-NZ"/>
        </w:rPr>
        <w:t>values</w:t>
      </w:r>
      <w:r w:rsidR="6450A332"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your</w:t>
      </w:r>
      <w:r w:rsidR="003D640C">
        <w:rPr>
          <w:lang w:eastAsia="en-NZ"/>
        </w:rPr>
        <w:t xml:space="preserve"> </w:t>
      </w:r>
      <w:r w:rsidRPr="00BB6220">
        <w:rPr>
          <w:lang w:eastAsia="en-NZ"/>
        </w:rPr>
        <w:t>authentic</w:t>
      </w:r>
      <w:r w:rsidR="003D640C">
        <w:rPr>
          <w:lang w:eastAsia="en-NZ"/>
        </w:rPr>
        <w:t xml:space="preserve"> </w:t>
      </w:r>
      <w:r w:rsidRPr="00BB6220">
        <w:rPr>
          <w:lang w:eastAsia="en-NZ"/>
        </w:rPr>
        <w:t>identity.</w:t>
      </w:r>
      <w:r w:rsidR="003D640C">
        <w:rPr>
          <w:lang w:eastAsia="en-NZ"/>
        </w:rPr>
        <w:t xml:space="preserve"> </w:t>
      </w:r>
      <w:r w:rsidRPr="00BB6220">
        <w:rPr>
          <w:lang w:eastAsia="en-NZ"/>
        </w:rPr>
        <w:t>This</w:t>
      </w:r>
      <w:r w:rsidR="003D640C">
        <w:rPr>
          <w:lang w:eastAsia="en-NZ"/>
        </w:rPr>
        <w:t xml:space="preserve"> </w:t>
      </w:r>
      <w:r w:rsidRPr="00BB6220">
        <w:rPr>
          <w:lang w:eastAsia="en-NZ"/>
        </w:rPr>
        <w:t>process</w:t>
      </w:r>
      <w:r w:rsidR="003D640C">
        <w:rPr>
          <w:lang w:eastAsia="en-NZ"/>
        </w:rPr>
        <w:t xml:space="preserve"> </w:t>
      </w:r>
      <w:r w:rsidRPr="00BB6220">
        <w:rPr>
          <w:lang w:eastAsia="en-NZ"/>
        </w:rPr>
        <w:t>of</w:t>
      </w:r>
      <w:r w:rsidR="003D640C">
        <w:rPr>
          <w:lang w:eastAsia="en-NZ"/>
        </w:rPr>
        <w:t xml:space="preserve"> </w:t>
      </w:r>
      <w:r w:rsidRPr="00BB6220">
        <w:rPr>
          <w:lang w:eastAsia="en-NZ"/>
        </w:rPr>
        <w:t>self-discovery</w:t>
      </w:r>
      <w:r w:rsidR="003D640C">
        <w:rPr>
          <w:lang w:eastAsia="en-NZ"/>
        </w:rPr>
        <w:t xml:space="preserve"> </w:t>
      </w:r>
      <w:r w:rsidRPr="00BB6220">
        <w:rPr>
          <w:lang w:eastAsia="en-NZ"/>
        </w:rPr>
        <w:t>and</w:t>
      </w:r>
      <w:r w:rsidR="003D640C">
        <w:rPr>
          <w:lang w:eastAsia="en-NZ"/>
        </w:rPr>
        <w:t xml:space="preserve"> </w:t>
      </w:r>
      <w:r w:rsidRPr="00BB6220">
        <w:rPr>
          <w:lang w:eastAsia="en-NZ"/>
        </w:rPr>
        <w:t>acceptance</w:t>
      </w:r>
      <w:r w:rsidR="003D640C">
        <w:rPr>
          <w:lang w:eastAsia="en-NZ"/>
        </w:rPr>
        <w:t xml:space="preserve"> </w:t>
      </w:r>
      <w:r w:rsidRPr="00BB6220">
        <w:rPr>
          <w:lang w:eastAsia="en-NZ"/>
        </w:rPr>
        <w:t>can</w:t>
      </w:r>
      <w:r w:rsidR="003D640C">
        <w:rPr>
          <w:lang w:eastAsia="en-NZ"/>
        </w:rPr>
        <w:t xml:space="preserve"> </w:t>
      </w:r>
      <w:r w:rsidRPr="00BB6220">
        <w:rPr>
          <w:lang w:eastAsia="en-NZ"/>
        </w:rPr>
        <w:t>help</w:t>
      </w:r>
      <w:r w:rsidR="003D640C">
        <w:rPr>
          <w:lang w:eastAsia="en-NZ"/>
        </w:rPr>
        <w:t xml:space="preserve"> </w:t>
      </w:r>
      <w:r w:rsidRPr="00BB6220">
        <w:rPr>
          <w:lang w:eastAsia="en-NZ"/>
        </w:rPr>
        <w:t>build</w:t>
      </w:r>
      <w:r w:rsidR="003D640C">
        <w:rPr>
          <w:lang w:eastAsia="en-NZ"/>
        </w:rPr>
        <w:t xml:space="preserve"> </w:t>
      </w:r>
      <w:r w:rsidRPr="00BB6220">
        <w:rPr>
          <w:lang w:eastAsia="en-NZ"/>
        </w:rPr>
        <w:t>self-esteem</w:t>
      </w:r>
      <w:r w:rsidR="003D640C">
        <w:rPr>
          <w:lang w:eastAsia="en-NZ"/>
        </w:rPr>
        <w:t xml:space="preserve"> </w:t>
      </w:r>
      <w:r w:rsidRPr="00BB6220">
        <w:rPr>
          <w:lang w:eastAsia="en-NZ"/>
        </w:rPr>
        <w:t>and</w:t>
      </w:r>
      <w:r w:rsidR="003D640C">
        <w:rPr>
          <w:lang w:eastAsia="en-NZ"/>
        </w:rPr>
        <w:t xml:space="preserve"> </w:t>
      </w:r>
      <w:r w:rsidRPr="00BB6220">
        <w:rPr>
          <w:lang w:eastAsia="en-NZ"/>
        </w:rPr>
        <w:t>resilience.</w:t>
      </w:r>
      <w:r w:rsidR="003D640C">
        <w:rPr>
          <w:lang w:eastAsia="en-NZ"/>
        </w:rPr>
        <w:t xml:space="preserve"> </w:t>
      </w:r>
      <w:r w:rsidRPr="00BB6220">
        <w:rPr>
          <w:lang w:eastAsia="en-NZ"/>
        </w:rPr>
        <w:t>Self-reflection</w:t>
      </w:r>
      <w:r w:rsidR="003D640C">
        <w:rPr>
          <w:lang w:eastAsia="en-NZ"/>
        </w:rPr>
        <w:t xml:space="preserve"> </w:t>
      </w:r>
      <w:r w:rsidRPr="00BB6220">
        <w:rPr>
          <w:lang w:eastAsia="en-NZ"/>
        </w:rPr>
        <w:t>can</w:t>
      </w:r>
      <w:r w:rsidR="003D640C">
        <w:rPr>
          <w:lang w:eastAsia="en-NZ"/>
        </w:rPr>
        <w:t xml:space="preserve"> </w:t>
      </w:r>
      <w:r w:rsidRPr="00BB6220">
        <w:rPr>
          <w:lang w:eastAsia="en-NZ"/>
        </w:rPr>
        <w:t>also</w:t>
      </w:r>
      <w:r w:rsidR="003D640C">
        <w:rPr>
          <w:lang w:eastAsia="en-NZ"/>
        </w:rPr>
        <w:t xml:space="preserve"> </w:t>
      </w:r>
      <w:r w:rsidRPr="00BB6220">
        <w:rPr>
          <w:lang w:eastAsia="en-NZ"/>
        </w:rPr>
        <w:t>build</w:t>
      </w:r>
      <w:r w:rsidR="003D640C">
        <w:rPr>
          <w:lang w:eastAsia="en-NZ"/>
        </w:rPr>
        <w:t xml:space="preserve"> </w:t>
      </w:r>
      <w:r w:rsidRPr="00BB6220">
        <w:rPr>
          <w:lang w:eastAsia="en-NZ"/>
        </w:rPr>
        <w:t>an</w:t>
      </w:r>
      <w:r w:rsidR="003D640C">
        <w:rPr>
          <w:lang w:eastAsia="en-NZ"/>
        </w:rPr>
        <w:t xml:space="preserve"> </w:t>
      </w:r>
      <w:r w:rsidRPr="00BB6220">
        <w:rPr>
          <w:lang w:eastAsia="en-NZ"/>
        </w:rPr>
        <w:t>understanding</w:t>
      </w:r>
      <w:r w:rsidR="003D640C">
        <w:rPr>
          <w:lang w:eastAsia="en-NZ"/>
        </w:rPr>
        <w:t xml:space="preserve"> </w:t>
      </w:r>
      <w:r w:rsidRPr="00BB6220">
        <w:rPr>
          <w:lang w:eastAsia="en-NZ"/>
        </w:rPr>
        <w:t>of</w:t>
      </w:r>
      <w:r w:rsidR="003D640C">
        <w:rPr>
          <w:lang w:eastAsia="en-NZ"/>
        </w:rPr>
        <w:t xml:space="preserve"> </w:t>
      </w:r>
      <w:r w:rsidRPr="00BB6220">
        <w:rPr>
          <w:lang w:eastAsia="en-NZ"/>
        </w:rPr>
        <w:t>how</w:t>
      </w:r>
      <w:r w:rsidR="003D640C">
        <w:rPr>
          <w:lang w:eastAsia="en-NZ"/>
        </w:rPr>
        <w:t xml:space="preserve"> </w:t>
      </w:r>
      <w:r w:rsidRPr="00BB6220">
        <w:rPr>
          <w:lang w:eastAsia="en-NZ"/>
        </w:rPr>
        <w:t>indoctrination</w:t>
      </w:r>
      <w:r w:rsidR="003D640C">
        <w:rPr>
          <w:lang w:eastAsia="en-NZ"/>
        </w:rPr>
        <w:t xml:space="preserve"> </w:t>
      </w:r>
      <w:r w:rsidRPr="00BB6220">
        <w:rPr>
          <w:lang w:eastAsia="en-NZ"/>
        </w:rPr>
        <w:t>from</w:t>
      </w:r>
      <w:r w:rsidR="003D640C">
        <w:rPr>
          <w:lang w:eastAsia="en-NZ"/>
        </w:rPr>
        <w:t xml:space="preserve"> </w:t>
      </w:r>
      <w:r w:rsidR="005534D0">
        <w:rPr>
          <w:lang w:eastAsia="en-NZ"/>
        </w:rPr>
        <w:t>communities</w:t>
      </w:r>
      <w:r w:rsidR="003D640C">
        <w:rPr>
          <w:lang w:eastAsia="en-NZ"/>
        </w:rPr>
        <w:t xml:space="preserve"> </w:t>
      </w:r>
      <w:r w:rsidR="005534D0">
        <w:rPr>
          <w:lang w:eastAsia="en-NZ"/>
        </w:rPr>
        <w:t>that</w:t>
      </w:r>
      <w:r w:rsidR="003D640C">
        <w:rPr>
          <w:lang w:eastAsia="en-NZ"/>
        </w:rPr>
        <w:t xml:space="preserve"> </w:t>
      </w:r>
      <w:r w:rsidR="005534D0">
        <w:rPr>
          <w:lang w:eastAsia="en-NZ"/>
        </w:rPr>
        <w:t>you</w:t>
      </w:r>
      <w:r w:rsidR="003D640C">
        <w:rPr>
          <w:lang w:eastAsia="en-NZ"/>
        </w:rPr>
        <w:t xml:space="preserve"> </w:t>
      </w:r>
      <w:r w:rsidR="005534D0">
        <w:rPr>
          <w:lang w:eastAsia="en-NZ"/>
        </w:rPr>
        <w:t>belonged</w:t>
      </w:r>
      <w:r w:rsidR="003D640C">
        <w:rPr>
          <w:lang w:eastAsia="en-NZ"/>
        </w:rPr>
        <w:t xml:space="preserve"> </w:t>
      </w:r>
      <w:r w:rsidR="005534D0">
        <w:rPr>
          <w:lang w:eastAsia="en-NZ"/>
        </w:rPr>
        <w:t>to</w:t>
      </w:r>
      <w:r w:rsidRPr="00BB6220">
        <w:rPr>
          <w:lang w:eastAsia="en-NZ"/>
        </w:rPr>
        <w:t>,</w:t>
      </w:r>
      <w:r w:rsidR="003D640C">
        <w:rPr>
          <w:lang w:eastAsia="en-NZ"/>
        </w:rPr>
        <w:t xml:space="preserve"> </w:t>
      </w:r>
      <w:r w:rsidRPr="00BB6220">
        <w:rPr>
          <w:lang w:eastAsia="en-NZ"/>
        </w:rPr>
        <w:t>rather</w:t>
      </w:r>
      <w:r w:rsidR="003D640C">
        <w:rPr>
          <w:lang w:eastAsia="en-NZ"/>
        </w:rPr>
        <w:t xml:space="preserve"> </w:t>
      </w:r>
      <w:r w:rsidRPr="00BB6220">
        <w:rPr>
          <w:lang w:eastAsia="en-NZ"/>
        </w:rPr>
        <w:t>than</w:t>
      </w:r>
      <w:r w:rsidR="003D640C">
        <w:rPr>
          <w:lang w:eastAsia="en-NZ"/>
        </w:rPr>
        <w:t xml:space="preserve"> </w:t>
      </w:r>
      <w:r w:rsidRPr="00BB6220">
        <w:rPr>
          <w:lang w:eastAsia="en-NZ"/>
        </w:rPr>
        <w:t>one’s</w:t>
      </w:r>
      <w:r w:rsidR="003D640C">
        <w:rPr>
          <w:lang w:eastAsia="en-NZ"/>
        </w:rPr>
        <w:t xml:space="preserve"> </w:t>
      </w:r>
      <w:r w:rsidRPr="00BB6220">
        <w:rPr>
          <w:lang w:eastAsia="en-NZ"/>
        </w:rPr>
        <w:t>own</w:t>
      </w:r>
      <w:r w:rsidR="003D640C">
        <w:rPr>
          <w:lang w:eastAsia="en-NZ"/>
        </w:rPr>
        <w:t xml:space="preserve"> </w:t>
      </w:r>
      <w:r w:rsidRPr="00BB6220">
        <w:rPr>
          <w:lang w:eastAsia="en-NZ"/>
        </w:rPr>
        <w:t>actions,</w:t>
      </w:r>
      <w:r w:rsidR="003D640C">
        <w:rPr>
          <w:lang w:eastAsia="en-NZ"/>
        </w:rPr>
        <w:t xml:space="preserve"> </w:t>
      </w:r>
      <w:r w:rsidRPr="00BB6220">
        <w:rPr>
          <w:lang w:eastAsia="en-NZ"/>
        </w:rPr>
        <w:t>drove</w:t>
      </w:r>
      <w:r w:rsidR="003D640C">
        <w:rPr>
          <w:lang w:eastAsia="en-NZ"/>
        </w:rPr>
        <w:t xml:space="preserve"> </w:t>
      </w:r>
      <w:r w:rsidRPr="00BB6220">
        <w:rPr>
          <w:lang w:eastAsia="en-NZ"/>
        </w:rPr>
        <w:t>participation</w:t>
      </w:r>
      <w:r w:rsidR="003D640C">
        <w:rPr>
          <w:lang w:eastAsia="en-NZ"/>
        </w:rPr>
        <w:t xml:space="preserve"> </w:t>
      </w:r>
      <w:r w:rsidRPr="00BB6220">
        <w:rPr>
          <w:lang w:eastAsia="en-NZ"/>
        </w:rPr>
        <w:t>in</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p>
    <w:p w14:paraId="7B0509BB" w14:textId="02E2C51E" w:rsidR="009637C4" w:rsidRPr="00BB6220" w:rsidRDefault="00CF4A69" w:rsidP="009B6B4C">
      <w:pPr>
        <w:pStyle w:val="Bullet"/>
        <w:rPr>
          <w:lang w:eastAsia="en-NZ"/>
        </w:rPr>
      </w:pPr>
      <w:r w:rsidRPr="00BB6220">
        <w:rPr>
          <w:b/>
          <w:lang w:eastAsia="en-NZ"/>
        </w:rPr>
        <w:t>Work</w:t>
      </w:r>
      <w:r w:rsidR="003D640C">
        <w:rPr>
          <w:b/>
          <w:lang w:eastAsia="en-NZ"/>
        </w:rPr>
        <w:t xml:space="preserve"> </w:t>
      </w:r>
      <w:r w:rsidRPr="00BB6220">
        <w:rPr>
          <w:b/>
          <w:lang w:eastAsia="en-NZ"/>
        </w:rPr>
        <w:t>with</w:t>
      </w:r>
      <w:r w:rsidR="003D640C">
        <w:rPr>
          <w:b/>
          <w:lang w:eastAsia="en-NZ"/>
        </w:rPr>
        <w:t xml:space="preserve"> </w:t>
      </w:r>
      <w:r w:rsidRPr="00BB6220">
        <w:rPr>
          <w:b/>
          <w:lang w:eastAsia="en-NZ"/>
        </w:rPr>
        <w:t>mental</w:t>
      </w:r>
      <w:r w:rsidR="003D640C">
        <w:rPr>
          <w:b/>
          <w:lang w:eastAsia="en-NZ"/>
        </w:rPr>
        <w:t xml:space="preserve"> </w:t>
      </w:r>
      <w:r w:rsidRPr="00BB6220">
        <w:rPr>
          <w:b/>
          <w:lang w:eastAsia="en-NZ"/>
        </w:rPr>
        <w:t>health</w:t>
      </w:r>
      <w:r w:rsidR="003D640C">
        <w:rPr>
          <w:b/>
          <w:lang w:eastAsia="en-NZ"/>
        </w:rPr>
        <w:t xml:space="preserve"> </w:t>
      </w:r>
      <w:r w:rsidRPr="00BB6220">
        <w:rPr>
          <w:b/>
          <w:lang w:eastAsia="en-NZ"/>
        </w:rPr>
        <w:t>professionals</w:t>
      </w:r>
      <w:r w:rsidRPr="00BB6220">
        <w:rPr>
          <w:lang w:eastAsia="en-NZ"/>
        </w:rPr>
        <w:t>.</w:t>
      </w:r>
      <w:r w:rsidR="003D640C">
        <w:rPr>
          <w:lang w:eastAsia="en-NZ"/>
        </w:rPr>
        <w:t xml:space="preserve"> </w:t>
      </w:r>
      <w:r w:rsidRPr="00BB6220">
        <w:rPr>
          <w:lang w:eastAsia="en-NZ"/>
        </w:rPr>
        <w:t>Most</w:t>
      </w:r>
      <w:r w:rsidR="003D640C">
        <w:rPr>
          <w:lang w:eastAsia="en-NZ"/>
        </w:rPr>
        <w:t xml:space="preserve"> </w:t>
      </w:r>
      <w:r w:rsidRPr="00BB6220">
        <w:rPr>
          <w:lang w:eastAsia="en-NZ"/>
        </w:rPr>
        <w:t>survivors</w:t>
      </w:r>
      <w:r w:rsidR="003D640C">
        <w:rPr>
          <w:lang w:eastAsia="en-NZ"/>
        </w:rPr>
        <w:t xml:space="preserve"> </w:t>
      </w:r>
      <w:r w:rsidRPr="00BB6220">
        <w:rPr>
          <w:lang w:eastAsia="en-NZ"/>
        </w:rPr>
        <w:t>find</w:t>
      </w:r>
      <w:r w:rsidR="003D640C">
        <w:rPr>
          <w:lang w:eastAsia="en-NZ"/>
        </w:rPr>
        <w:t xml:space="preserve"> </w:t>
      </w:r>
      <w:r w:rsidRPr="00BB6220">
        <w:rPr>
          <w:lang w:eastAsia="en-NZ"/>
        </w:rPr>
        <w:t>it</w:t>
      </w:r>
      <w:r w:rsidR="003D640C">
        <w:rPr>
          <w:lang w:eastAsia="en-NZ"/>
        </w:rPr>
        <w:t xml:space="preserve"> </w:t>
      </w:r>
      <w:r w:rsidRPr="00BB6220">
        <w:rPr>
          <w:lang w:eastAsia="en-NZ"/>
        </w:rPr>
        <w:t>helps,</w:t>
      </w:r>
      <w:r w:rsidR="003D640C">
        <w:rPr>
          <w:lang w:eastAsia="en-NZ"/>
        </w:rPr>
        <w:t xml:space="preserve"> </w:t>
      </w:r>
      <w:r w:rsidRPr="00BB6220">
        <w:rPr>
          <w:lang w:eastAsia="en-NZ"/>
        </w:rPr>
        <w:t>or</w:t>
      </w:r>
      <w:r w:rsidR="003D640C">
        <w:rPr>
          <w:lang w:eastAsia="en-NZ"/>
        </w:rPr>
        <w:t xml:space="preserve"> </w:t>
      </w:r>
      <w:r w:rsidRPr="00BB6220">
        <w:rPr>
          <w:lang w:eastAsia="en-NZ"/>
        </w:rPr>
        <w:t>is</w:t>
      </w:r>
      <w:r w:rsidR="003D640C">
        <w:rPr>
          <w:lang w:eastAsia="en-NZ"/>
        </w:rPr>
        <w:t xml:space="preserve"> </w:t>
      </w:r>
      <w:r w:rsidRPr="00BB6220">
        <w:rPr>
          <w:lang w:eastAsia="en-NZ"/>
        </w:rPr>
        <w:t>even</w:t>
      </w:r>
      <w:r w:rsidR="003D640C">
        <w:rPr>
          <w:lang w:eastAsia="en-NZ"/>
        </w:rPr>
        <w:t xml:space="preserve"> </w:t>
      </w:r>
      <w:r w:rsidRPr="00BB6220">
        <w:rPr>
          <w:lang w:eastAsia="en-NZ"/>
        </w:rPr>
        <w:t>necessary,</w:t>
      </w:r>
      <w:r w:rsidR="003D640C">
        <w:rPr>
          <w:lang w:eastAsia="en-NZ"/>
        </w:rPr>
        <w:t xml:space="preserve"> </w:t>
      </w:r>
      <w:r w:rsidRPr="00BB6220">
        <w:rPr>
          <w:lang w:eastAsia="en-NZ"/>
        </w:rPr>
        <w:t>to</w:t>
      </w:r>
      <w:r w:rsidR="003D640C">
        <w:rPr>
          <w:lang w:eastAsia="en-NZ"/>
        </w:rPr>
        <w:t xml:space="preserve"> </w:t>
      </w:r>
      <w:r w:rsidRPr="00BB6220">
        <w:rPr>
          <w:lang w:eastAsia="en-NZ"/>
        </w:rPr>
        <w:t>work</w:t>
      </w:r>
      <w:r w:rsidR="003D640C">
        <w:rPr>
          <w:lang w:eastAsia="en-NZ"/>
        </w:rPr>
        <w:t xml:space="preserve"> </w:t>
      </w:r>
      <w:r w:rsidRPr="00BB6220">
        <w:rPr>
          <w:lang w:eastAsia="en-NZ"/>
        </w:rPr>
        <w:t>with</w:t>
      </w:r>
      <w:r w:rsidR="003D640C">
        <w:rPr>
          <w:lang w:eastAsia="en-NZ"/>
        </w:rPr>
        <w:t xml:space="preserve"> </w:t>
      </w:r>
      <w:r w:rsidRPr="00BB6220">
        <w:rPr>
          <w:lang w:eastAsia="en-NZ"/>
        </w:rPr>
        <w:t>a</w:t>
      </w:r>
      <w:r w:rsidR="003D640C">
        <w:rPr>
          <w:lang w:eastAsia="en-NZ"/>
        </w:rPr>
        <w:t xml:space="preserve"> </w:t>
      </w:r>
      <w:r w:rsidRPr="00BB6220">
        <w:rPr>
          <w:lang w:eastAsia="en-NZ"/>
        </w:rPr>
        <w:t>mental</w:t>
      </w:r>
      <w:r w:rsidR="003D640C">
        <w:rPr>
          <w:lang w:eastAsia="en-NZ"/>
        </w:rPr>
        <w:t xml:space="preserve"> </w:t>
      </w:r>
      <w:r w:rsidRPr="00BB6220">
        <w:rPr>
          <w:lang w:eastAsia="en-NZ"/>
        </w:rPr>
        <w:t>health</w:t>
      </w:r>
      <w:r w:rsidR="003D640C">
        <w:rPr>
          <w:lang w:eastAsia="en-NZ"/>
        </w:rPr>
        <w:t xml:space="preserve"> </w:t>
      </w:r>
      <w:r w:rsidRPr="00BB6220">
        <w:rPr>
          <w:lang w:eastAsia="en-NZ"/>
        </w:rPr>
        <w:t>professional.</w:t>
      </w:r>
      <w:r w:rsidR="003D640C">
        <w:rPr>
          <w:lang w:eastAsia="en-NZ"/>
        </w:rPr>
        <w:t xml:space="preserve"> </w:t>
      </w:r>
      <w:r w:rsidRPr="00BB6220">
        <w:rPr>
          <w:lang w:eastAsia="en-NZ"/>
        </w:rPr>
        <w:t>A</w:t>
      </w:r>
      <w:r w:rsidR="003D640C">
        <w:rPr>
          <w:lang w:eastAsia="en-NZ"/>
        </w:rPr>
        <w:t xml:space="preserve"> </w:t>
      </w:r>
      <w:r w:rsidR="002D1DD6" w:rsidRPr="00BB6220">
        <w:rPr>
          <w:lang w:eastAsia="en-NZ"/>
        </w:rPr>
        <w:t>Rainbow</w:t>
      </w:r>
      <w:r w:rsidR="00133F8F">
        <w:rPr>
          <w:lang w:eastAsia="en-NZ"/>
        </w:rPr>
        <w:t>-</w:t>
      </w:r>
      <w:r w:rsidRPr="00BB6220">
        <w:rPr>
          <w:lang w:eastAsia="en-NZ"/>
        </w:rPr>
        <w:t>affirming</w:t>
      </w:r>
      <w:r w:rsidR="003D640C">
        <w:rPr>
          <w:lang w:eastAsia="en-NZ"/>
        </w:rPr>
        <w:t xml:space="preserve"> </w:t>
      </w:r>
      <w:r w:rsidRPr="00BB6220">
        <w:rPr>
          <w:lang w:eastAsia="en-NZ"/>
        </w:rPr>
        <w:t>professional</w:t>
      </w:r>
      <w:r w:rsidR="003D640C">
        <w:rPr>
          <w:lang w:eastAsia="en-NZ"/>
        </w:rPr>
        <w:t xml:space="preserve"> </w:t>
      </w:r>
      <w:r w:rsidRPr="00BB6220">
        <w:rPr>
          <w:lang w:eastAsia="en-NZ"/>
        </w:rPr>
        <w:t>can</w:t>
      </w:r>
      <w:r w:rsidR="003D640C">
        <w:rPr>
          <w:lang w:eastAsia="en-NZ"/>
        </w:rPr>
        <w:t xml:space="preserve"> </w:t>
      </w:r>
      <w:r w:rsidRPr="00BB6220">
        <w:rPr>
          <w:lang w:eastAsia="en-NZ"/>
        </w:rPr>
        <w:t>help</w:t>
      </w:r>
      <w:r w:rsidR="003D640C">
        <w:rPr>
          <w:lang w:eastAsia="en-NZ"/>
        </w:rPr>
        <w:t xml:space="preserve"> </w:t>
      </w:r>
      <w:r w:rsidRPr="00BB6220">
        <w:rPr>
          <w:lang w:eastAsia="en-NZ"/>
        </w:rPr>
        <w:t>you</w:t>
      </w:r>
      <w:r w:rsidR="003D640C">
        <w:rPr>
          <w:lang w:eastAsia="en-NZ"/>
        </w:rPr>
        <w:t xml:space="preserve"> </w:t>
      </w:r>
      <w:r w:rsidRPr="00BB6220">
        <w:rPr>
          <w:lang w:eastAsia="en-NZ"/>
        </w:rPr>
        <w:t>develop</w:t>
      </w:r>
      <w:r w:rsidR="003D640C">
        <w:rPr>
          <w:lang w:eastAsia="en-NZ"/>
        </w:rPr>
        <w:t xml:space="preserve"> </w:t>
      </w:r>
      <w:r w:rsidRPr="00BB6220">
        <w:rPr>
          <w:lang w:eastAsia="en-NZ"/>
        </w:rPr>
        <w:t>strategies</w:t>
      </w:r>
      <w:r w:rsidR="003D640C">
        <w:rPr>
          <w:lang w:eastAsia="en-NZ"/>
        </w:rPr>
        <w:t xml:space="preserve"> </w:t>
      </w:r>
      <w:r w:rsidR="0E0ACA5A" w:rsidRPr="00BB6220">
        <w:rPr>
          <w:lang w:eastAsia="en-NZ"/>
        </w:rPr>
        <w:t>to</w:t>
      </w:r>
      <w:r w:rsidR="003D640C">
        <w:rPr>
          <w:lang w:eastAsia="en-NZ"/>
        </w:rPr>
        <w:t xml:space="preserve"> </w:t>
      </w:r>
      <w:r w:rsidR="0E0ACA5A" w:rsidRPr="00BB6220">
        <w:rPr>
          <w:lang w:eastAsia="en-NZ"/>
        </w:rPr>
        <w:t>assist</w:t>
      </w:r>
      <w:r w:rsidR="003D640C">
        <w:rPr>
          <w:lang w:eastAsia="en-NZ"/>
        </w:rPr>
        <w:t xml:space="preserve"> </w:t>
      </w:r>
      <w:r w:rsidRPr="00BB6220">
        <w:rPr>
          <w:lang w:eastAsia="en-NZ"/>
        </w:rPr>
        <w:t>you</w:t>
      </w:r>
      <w:r w:rsidR="003D640C">
        <w:rPr>
          <w:lang w:eastAsia="en-NZ"/>
        </w:rPr>
        <w:t xml:space="preserve"> </w:t>
      </w:r>
      <w:r w:rsidR="00F33E5B">
        <w:rPr>
          <w:lang w:eastAsia="en-NZ"/>
        </w:rPr>
        <w:t xml:space="preserve">to </w:t>
      </w:r>
      <w:r w:rsidRPr="00BB6220">
        <w:rPr>
          <w:lang w:eastAsia="en-NZ"/>
        </w:rPr>
        <w:t>move</w:t>
      </w:r>
      <w:r w:rsidR="003D640C">
        <w:rPr>
          <w:lang w:eastAsia="en-NZ"/>
        </w:rPr>
        <w:t xml:space="preserve"> </w:t>
      </w:r>
      <w:r w:rsidRPr="00BB6220">
        <w:rPr>
          <w:lang w:eastAsia="en-NZ"/>
        </w:rPr>
        <w:t>towards</w:t>
      </w:r>
      <w:r w:rsidR="003D640C">
        <w:rPr>
          <w:lang w:eastAsia="en-NZ"/>
        </w:rPr>
        <w:t xml:space="preserve"> </w:t>
      </w:r>
      <w:r w:rsidRPr="00BB6220">
        <w:rPr>
          <w:lang w:eastAsia="en-NZ"/>
        </w:rPr>
        <w:t>greater</w:t>
      </w:r>
      <w:r w:rsidR="003D640C">
        <w:rPr>
          <w:lang w:eastAsia="en-NZ"/>
        </w:rPr>
        <w:t xml:space="preserve"> </w:t>
      </w:r>
      <w:r w:rsidRPr="00BB6220">
        <w:rPr>
          <w:lang w:eastAsia="en-NZ"/>
        </w:rPr>
        <w:t>wellbeing</w:t>
      </w:r>
      <w:r w:rsidR="003D640C">
        <w:rPr>
          <w:lang w:eastAsia="en-NZ"/>
        </w:rPr>
        <w:t xml:space="preserve"> </w:t>
      </w:r>
      <w:r w:rsidRPr="00BB6220">
        <w:rPr>
          <w:lang w:eastAsia="en-NZ"/>
        </w:rPr>
        <w:t>and</w:t>
      </w:r>
      <w:r w:rsidR="003D640C">
        <w:rPr>
          <w:lang w:eastAsia="en-NZ"/>
        </w:rPr>
        <w:t xml:space="preserve"> </w:t>
      </w:r>
      <w:r w:rsidRPr="00BB6220">
        <w:rPr>
          <w:lang w:eastAsia="en-NZ"/>
        </w:rPr>
        <w:t>an</w:t>
      </w:r>
      <w:r w:rsidR="003D640C">
        <w:rPr>
          <w:lang w:eastAsia="en-NZ"/>
        </w:rPr>
        <w:t xml:space="preserve"> </w:t>
      </w:r>
      <w:r w:rsidRPr="00BB6220">
        <w:rPr>
          <w:lang w:eastAsia="en-NZ"/>
        </w:rPr>
        <w:t>authentic</w:t>
      </w:r>
      <w:r w:rsidR="003D640C">
        <w:rPr>
          <w:lang w:eastAsia="en-NZ"/>
        </w:rPr>
        <w:t xml:space="preserve"> </w:t>
      </w:r>
      <w:r w:rsidRPr="00BB6220">
        <w:rPr>
          <w:lang w:eastAsia="en-NZ"/>
        </w:rPr>
        <w:t>expression</w:t>
      </w:r>
      <w:r w:rsidR="003D640C">
        <w:rPr>
          <w:lang w:eastAsia="en-NZ"/>
        </w:rPr>
        <w:t xml:space="preserve"> </w:t>
      </w:r>
      <w:r w:rsidRPr="00BB6220">
        <w:rPr>
          <w:lang w:eastAsia="en-NZ"/>
        </w:rPr>
        <w:t>of</w:t>
      </w:r>
      <w:r w:rsidR="003D640C">
        <w:rPr>
          <w:lang w:eastAsia="en-NZ"/>
        </w:rPr>
        <w:t xml:space="preserve"> </w:t>
      </w:r>
      <w:r w:rsidRPr="00BB6220">
        <w:rPr>
          <w:lang w:eastAsia="en-NZ"/>
        </w:rPr>
        <w:t>identity.</w:t>
      </w:r>
      <w:r w:rsidR="003D640C">
        <w:rPr>
          <w:lang w:eastAsia="en-NZ"/>
        </w:rPr>
        <w:t xml:space="preserve"> </w:t>
      </w:r>
    </w:p>
    <w:p w14:paraId="75FB7DFB" w14:textId="342A4960" w:rsidR="00B74B7E" w:rsidRPr="00BB6220" w:rsidRDefault="00501DDA" w:rsidP="009B6B4C">
      <w:pPr>
        <w:pStyle w:val="Quote"/>
      </w:pPr>
      <w:r w:rsidRPr="00BB6220">
        <w:t>“</w:t>
      </w:r>
      <w:r w:rsidR="00A15C82" w:rsidRPr="00BB6220">
        <w:t>I</w:t>
      </w:r>
      <w:r w:rsidR="003D640C">
        <w:t xml:space="preserve"> </w:t>
      </w:r>
      <w:r w:rsidR="00A15C82" w:rsidRPr="00BB6220">
        <w:t>dove</w:t>
      </w:r>
      <w:r w:rsidR="003D640C">
        <w:t xml:space="preserve"> </w:t>
      </w:r>
      <w:r w:rsidR="00A15C82" w:rsidRPr="00BB6220">
        <w:t>into</w:t>
      </w:r>
      <w:r w:rsidR="003D640C">
        <w:t xml:space="preserve"> </w:t>
      </w:r>
      <w:r w:rsidR="00A15C82" w:rsidRPr="00BB6220">
        <w:t>all</w:t>
      </w:r>
      <w:r w:rsidR="003D640C">
        <w:t xml:space="preserve"> </w:t>
      </w:r>
      <w:r w:rsidR="00A15C82" w:rsidRPr="00BB6220">
        <w:t>things</w:t>
      </w:r>
      <w:r w:rsidR="003D640C">
        <w:t xml:space="preserve"> </w:t>
      </w:r>
      <w:r w:rsidR="00A15C82" w:rsidRPr="00BB6220">
        <w:t>queer</w:t>
      </w:r>
      <w:r w:rsidR="003D640C">
        <w:t xml:space="preserve"> </w:t>
      </w:r>
      <w:r w:rsidR="00A15C82" w:rsidRPr="00BB6220">
        <w:t>–</w:t>
      </w:r>
      <w:r w:rsidR="003D640C">
        <w:t xml:space="preserve"> </w:t>
      </w:r>
      <w:r w:rsidR="0086565E" w:rsidRPr="00BB6220">
        <w:t>queer</w:t>
      </w:r>
      <w:r w:rsidR="003D640C">
        <w:t xml:space="preserve"> </w:t>
      </w:r>
      <w:r w:rsidR="0086565E" w:rsidRPr="00BB6220">
        <w:t>history</w:t>
      </w:r>
      <w:r w:rsidR="003D640C">
        <w:t xml:space="preserve"> </w:t>
      </w:r>
      <w:r w:rsidR="00A15C82" w:rsidRPr="00BB6220">
        <w:t>podcasts,</w:t>
      </w:r>
      <w:r w:rsidR="003D640C">
        <w:t xml:space="preserve"> </w:t>
      </w:r>
      <w:r w:rsidR="0086565E" w:rsidRPr="00BB6220">
        <w:t>TV</w:t>
      </w:r>
      <w:r w:rsidR="003D640C">
        <w:t xml:space="preserve"> </w:t>
      </w:r>
      <w:r w:rsidR="0086565E" w:rsidRPr="00BB6220">
        <w:t>shows,</w:t>
      </w:r>
      <w:r w:rsidR="003D640C">
        <w:t xml:space="preserve"> </w:t>
      </w:r>
      <w:r w:rsidR="00A90877" w:rsidRPr="00BB6220">
        <w:t>books</w:t>
      </w:r>
      <w:r w:rsidR="009F7B50" w:rsidRPr="00BB6220">
        <w:t>,</w:t>
      </w:r>
      <w:r w:rsidR="003D640C">
        <w:t xml:space="preserve"> </w:t>
      </w:r>
      <w:r w:rsidR="003D6BD4" w:rsidRPr="00BB6220">
        <w:t>movies</w:t>
      </w:r>
      <w:r w:rsidR="003D640C">
        <w:t xml:space="preserve"> </w:t>
      </w:r>
      <w:r w:rsidR="00DA41DB" w:rsidRPr="00BB6220">
        <w:t>–</w:t>
      </w:r>
      <w:r w:rsidR="003D640C">
        <w:t xml:space="preserve"> </w:t>
      </w:r>
      <w:r w:rsidR="00DA41DB" w:rsidRPr="00BB6220">
        <w:t>you</w:t>
      </w:r>
      <w:r w:rsidR="003D640C">
        <w:t xml:space="preserve"> </w:t>
      </w:r>
      <w:r w:rsidR="00DA41DB" w:rsidRPr="00BB6220">
        <w:t>name</w:t>
      </w:r>
      <w:r w:rsidR="003D640C">
        <w:t xml:space="preserve"> </w:t>
      </w:r>
      <w:r w:rsidR="00DA41DB" w:rsidRPr="00BB6220">
        <w:t>it.</w:t>
      </w:r>
      <w:r w:rsidR="003D640C">
        <w:t xml:space="preserve"> </w:t>
      </w:r>
      <w:r w:rsidR="00DA41DB" w:rsidRPr="00BB6220">
        <w:t>I</w:t>
      </w:r>
      <w:r w:rsidR="003D640C">
        <w:t xml:space="preserve"> </w:t>
      </w:r>
      <w:r w:rsidR="00506EA3" w:rsidRPr="00BB6220">
        <w:t>had</w:t>
      </w:r>
      <w:r w:rsidR="003D640C">
        <w:t xml:space="preserve"> </w:t>
      </w:r>
      <w:r w:rsidR="00506EA3" w:rsidRPr="00BB6220">
        <w:t>been</w:t>
      </w:r>
      <w:r w:rsidR="003D640C">
        <w:t xml:space="preserve"> </w:t>
      </w:r>
      <w:r w:rsidR="00DA41DB" w:rsidRPr="00BB6220">
        <w:t>so</w:t>
      </w:r>
      <w:r w:rsidR="003D640C">
        <w:t xml:space="preserve"> </w:t>
      </w:r>
      <w:r w:rsidR="00DA41DB" w:rsidRPr="00BB6220">
        <w:t>sheltered</w:t>
      </w:r>
      <w:r w:rsidR="003D640C">
        <w:t xml:space="preserve"> </w:t>
      </w:r>
      <w:r w:rsidR="00DA41DB" w:rsidRPr="00BB6220">
        <w:t>and</w:t>
      </w:r>
      <w:r w:rsidR="003D640C">
        <w:t xml:space="preserve"> </w:t>
      </w:r>
      <w:r w:rsidR="00DA41DB" w:rsidRPr="00BB6220">
        <w:t>indoctrinate</w:t>
      </w:r>
      <w:r w:rsidR="001D544C" w:rsidRPr="00BB6220">
        <w:t>d</w:t>
      </w:r>
      <w:r w:rsidR="003D640C">
        <w:t xml:space="preserve"> </w:t>
      </w:r>
      <w:r w:rsidR="001D544C" w:rsidRPr="00BB6220">
        <w:t>–</w:t>
      </w:r>
      <w:r w:rsidR="003D640C">
        <w:t xml:space="preserve"> </w:t>
      </w:r>
      <w:r w:rsidR="001D544C" w:rsidRPr="00BB6220">
        <w:t>it</w:t>
      </w:r>
      <w:r w:rsidR="003D640C">
        <w:t xml:space="preserve"> </w:t>
      </w:r>
      <w:r w:rsidR="00062BC6" w:rsidRPr="00BB6220">
        <w:t>left</w:t>
      </w:r>
      <w:r w:rsidR="003D640C">
        <w:t xml:space="preserve"> </w:t>
      </w:r>
      <w:r w:rsidR="00062BC6" w:rsidRPr="00BB6220">
        <w:t>me</w:t>
      </w:r>
      <w:r w:rsidR="003D640C">
        <w:t xml:space="preserve"> </w:t>
      </w:r>
      <w:r w:rsidR="00062BC6" w:rsidRPr="00BB6220">
        <w:t>feeling</w:t>
      </w:r>
      <w:r w:rsidR="003D640C">
        <w:t xml:space="preserve"> </w:t>
      </w:r>
      <w:r w:rsidR="00062BC6" w:rsidRPr="00BB6220">
        <w:t>dumb</w:t>
      </w:r>
      <w:r w:rsidR="003D640C">
        <w:t xml:space="preserve"> </w:t>
      </w:r>
      <w:r w:rsidR="00062BC6" w:rsidRPr="00BB6220">
        <w:t>and</w:t>
      </w:r>
      <w:r w:rsidR="003D640C">
        <w:t xml:space="preserve"> </w:t>
      </w:r>
      <w:r w:rsidR="00062BC6" w:rsidRPr="00BB6220">
        <w:t>like</w:t>
      </w:r>
      <w:r w:rsidR="003D640C">
        <w:t xml:space="preserve"> </w:t>
      </w:r>
      <w:r w:rsidR="00062BC6" w:rsidRPr="00BB6220">
        <w:t>I</w:t>
      </w:r>
      <w:r w:rsidR="003D640C">
        <w:t xml:space="preserve"> </w:t>
      </w:r>
      <w:r w:rsidR="00062BC6" w:rsidRPr="00BB6220">
        <w:t>was</w:t>
      </w:r>
      <w:r w:rsidR="003D640C">
        <w:t xml:space="preserve"> </w:t>
      </w:r>
      <w:r w:rsidR="00062BC6" w:rsidRPr="00BB6220">
        <w:t>always</w:t>
      </w:r>
      <w:r w:rsidR="003D640C">
        <w:t xml:space="preserve"> </w:t>
      </w:r>
      <w:r w:rsidR="00305EC9" w:rsidRPr="00BB6220">
        <w:t>making</w:t>
      </w:r>
      <w:r w:rsidR="003D640C">
        <w:t xml:space="preserve"> </w:t>
      </w:r>
      <w:r w:rsidR="00305EC9" w:rsidRPr="00BB6220">
        <w:t>mistakes</w:t>
      </w:r>
      <w:r w:rsidR="003D640C">
        <w:t xml:space="preserve"> </w:t>
      </w:r>
      <w:r w:rsidR="006437FB" w:rsidRPr="00BB6220">
        <w:t>around</w:t>
      </w:r>
      <w:r w:rsidR="003D640C">
        <w:t xml:space="preserve"> </w:t>
      </w:r>
      <w:r w:rsidR="006437FB" w:rsidRPr="00BB6220">
        <w:t>queer</w:t>
      </w:r>
      <w:r w:rsidR="003D640C">
        <w:t xml:space="preserve"> </w:t>
      </w:r>
      <w:r w:rsidR="006437FB" w:rsidRPr="00BB6220">
        <w:t>people.</w:t>
      </w:r>
      <w:r w:rsidR="003D640C">
        <w:t xml:space="preserve"> </w:t>
      </w:r>
      <w:r w:rsidR="00153AF5" w:rsidRPr="00BB6220">
        <w:t>I</w:t>
      </w:r>
      <w:r w:rsidR="003D640C">
        <w:t xml:space="preserve"> </w:t>
      </w:r>
      <w:r w:rsidR="00153AF5" w:rsidRPr="00BB6220">
        <w:t>needed</w:t>
      </w:r>
      <w:r w:rsidR="003D640C">
        <w:t xml:space="preserve"> </w:t>
      </w:r>
      <w:r w:rsidR="00153AF5" w:rsidRPr="00BB6220">
        <w:t>new</w:t>
      </w:r>
      <w:r w:rsidR="003D640C">
        <w:t xml:space="preserve"> </w:t>
      </w:r>
      <w:r w:rsidR="00153AF5" w:rsidRPr="00BB6220">
        <w:t>community,</w:t>
      </w:r>
      <w:r w:rsidR="003D640C">
        <w:t xml:space="preserve"> </w:t>
      </w:r>
      <w:r w:rsidR="00153AF5" w:rsidRPr="00BB6220">
        <w:t>and</w:t>
      </w:r>
      <w:r w:rsidR="003D640C">
        <w:t xml:space="preserve"> </w:t>
      </w:r>
      <w:r w:rsidR="00153AF5" w:rsidRPr="00BB6220">
        <w:t>for</w:t>
      </w:r>
      <w:r w:rsidR="003D640C">
        <w:t xml:space="preserve"> </w:t>
      </w:r>
      <w:r w:rsidR="00153AF5" w:rsidRPr="00BB6220">
        <w:t>a</w:t>
      </w:r>
      <w:r w:rsidR="003D640C">
        <w:t xml:space="preserve"> </w:t>
      </w:r>
      <w:r w:rsidR="00153AF5" w:rsidRPr="00BB6220">
        <w:t>while</w:t>
      </w:r>
      <w:r w:rsidR="003D640C">
        <w:t xml:space="preserve"> </w:t>
      </w:r>
      <w:r w:rsidR="00153AF5" w:rsidRPr="00BB6220">
        <w:t>that</w:t>
      </w:r>
      <w:r w:rsidR="003D640C">
        <w:t xml:space="preserve"> </w:t>
      </w:r>
      <w:r w:rsidR="00153AF5" w:rsidRPr="00BB6220">
        <w:t>took</w:t>
      </w:r>
      <w:r w:rsidR="003D640C">
        <w:t xml:space="preserve"> </w:t>
      </w:r>
      <w:r w:rsidR="00153AF5" w:rsidRPr="00BB6220">
        <w:t>the</w:t>
      </w:r>
      <w:r w:rsidR="003D640C">
        <w:t xml:space="preserve"> </w:t>
      </w:r>
      <w:r w:rsidR="00153AF5" w:rsidRPr="00BB6220">
        <w:t>form</w:t>
      </w:r>
      <w:r w:rsidR="003D640C">
        <w:t xml:space="preserve"> </w:t>
      </w:r>
      <w:r w:rsidR="00153AF5" w:rsidRPr="00BB6220">
        <w:t>of</w:t>
      </w:r>
      <w:r w:rsidR="003D640C">
        <w:t xml:space="preserve"> </w:t>
      </w:r>
      <w:r w:rsidR="00506EA3" w:rsidRPr="00BB6220">
        <w:t>online</w:t>
      </w:r>
      <w:r w:rsidR="003D640C">
        <w:t xml:space="preserve"> </w:t>
      </w:r>
      <w:r w:rsidR="0037052B" w:rsidRPr="00BB6220">
        <w:t>content</w:t>
      </w:r>
      <w:r w:rsidR="00FE0744" w:rsidRPr="00BB6220">
        <w:t>,</w:t>
      </w:r>
      <w:r w:rsidR="003D640C">
        <w:t xml:space="preserve"> </w:t>
      </w:r>
      <w:r w:rsidR="00FE0744" w:rsidRPr="00BB6220">
        <w:t>u</w:t>
      </w:r>
      <w:r w:rsidR="0037052B" w:rsidRPr="00BB6220">
        <w:t>ntil</w:t>
      </w:r>
      <w:r w:rsidR="003D640C">
        <w:t xml:space="preserve"> </w:t>
      </w:r>
      <w:r w:rsidR="0037052B" w:rsidRPr="00BB6220">
        <w:t>I</w:t>
      </w:r>
      <w:r w:rsidR="003D640C">
        <w:t xml:space="preserve"> </w:t>
      </w:r>
      <w:r w:rsidR="0037052B" w:rsidRPr="00BB6220">
        <w:t>could</w:t>
      </w:r>
      <w:r w:rsidR="003D640C">
        <w:t xml:space="preserve"> </w:t>
      </w:r>
      <w:r w:rsidR="00FE0744" w:rsidRPr="00BB6220">
        <w:t>establish</w:t>
      </w:r>
      <w:r w:rsidR="003D640C">
        <w:t xml:space="preserve"> </w:t>
      </w:r>
      <w:r w:rsidR="008A1237" w:rsidRPr="00BB6220">
        <w:t>new</w:t>
      </w:r>
      <w:r w:rsidR="003D640C">
        <w:t xml:space="preserve"> </w:t>
      </w:r>
      <w:r w:rsidR="00FE0744" w:rsidRPr="00BB6220">
        <w:t>relationships.</w:t>
      </w:r>
      <w:r w:rsidR="00933EBB" w:rsidRPr="00BB6220">
        <w:t>”</w:t>
      </w:r>
      <w:r w:rsidR="003D640C">
        <w:t xml:space="preserve"> </w:t>
      </w:r>
      <w:r w:rsidR="00933EBB" w:rsidRPr="00BB6220">
        <w:t>Pākehā,</w:t>
      </w:r>
      <w:r w:rsidR="003D640C">
        <w:t xml:space="preserve"> </w:t>
      </w:r>
      <w:r w:rsidR="00933EBB" w:rsidRPr="00BB6220">
        <w:t>male</w:t>
      </w:r>
      <w:r w:rsidR="003D640C">
        <w:t xml:space="preserve"> </w:t>
      </w:r>
    </w:p>
    <w:p w14:paraId="46A3EC33" w14:textId="77777777" w:rsidR="00501068" w:rsidRDefault="00CF4A69" w:rsidP="00501068">
      <w:pPr>
        <w:pStyle w:val="Heading2"/>
      </w:pPr>
      <w:bookmarkStart w:id="369" w:name="_Toc138325203"/>
      <w:bookmarkStart w:id="370" w:name="_Toc138343860"/>
      <w:bookmarkStart w:id="371" w:name="_Toc167780637"/>
      <w:bookmarkStart w:id="372" w:name="_Toc1949804741"/>
      <w:bookmarkStart w:id="373" w:name="_Toc174628699"/>
      <w:r w:rsidRPr="00BB6220">
        <w:lastRenderedPageBreak/>
        <w:t>Survivors’</w:t>
      </w:r>
      <w:r w:rsidR="003D640C">
        <w:t xml:space="preserve"> </w:t>
      </w:r>
      <w:r w:rsidRPr="00BB6220">
        <w:t>advice</w:t>
      </w:r>
      <w:r w:rsidR="003D640C">
        <w:t xml:space="preserve"> </w:t>
      </w:r>
      <w:r w:rsidRPr="00BB6220">
        <w:t>to</w:t>
      </w:r>
      <w:r w:rsidR="003D640C">
        <w:t xml:space="preserve"> </w:t>
      </w:r>
      <w:r w:rsidRPr="00BB6220">
        <w:t>people</w:t>
      </w:r>
      <w:r w:rsidR="003D640C">
        <w:t xml:space="preserve"> </w:t>
      </w:r>
      <w:r w:rsidRPr="00BB6220">
        <w:t>working</w:t>
      </w:r>
      <w:r w:rsidR="003D640C">
        <w:t xml:space="preserve"> </w:t>
      </w:r>
      <w:r w:rsidRPr="00BB6220">
        <w:t>on</w:t>
      </w:r>
      <w:r w:rsidR="003D640C">
        <w:t xml:space="preserve"> </w:t>
      </w:r>
      <w:r w:rsidRPr="00BB6220">
        <w:t>abolishing</w:t>
      </w:r>
      <w:r w:rsidR="003D640C">
        <w:t xml:space="preserve"> </w:t>
      </w:r>
      <w:r w:rsidRPr="00BB6220">
        <w:t>conversion</w:t>
      </w:r>
      <w:r w:rsidR="003D640C">
        <w:t xml:space="preserve"> </w:t>
      </w:r>
      <w:r w:rsidRPr="00BB6220">
        <w:t>practices</w:t>
      </w:r>
      <w:r w:rsidR="003D640C">
        <w:t xml:space="preserve"> </w:t>
      </w:r>
      <w:r w:rsidRPr="00BB6220">
        <w:t>and</w:t>
      </w:r>
      <w:r w:rsidR="003D640C">
        <w:t xml:space="preserve"> </w:t>
      </w:r>
      <w:r w:rsidRPr="00BB6220">
        <w:t>protecting</w:t>
      </w:r>
      <w:r w:rsidR="003D640C">
        <w:t xml:space="preserve"> </w:t>
      </w:r>
      <w:r w:rsidR="002D1DD6" w:rsidRPr="00BB6220">
        <w:t>Rainbow</w:t>
      </w:r>
      <w:r w:rsidR="003D640C">
        <w:t xml:space="preserve"> </w:t>
      </w:r>
      <w:r w:rsidRPr="00BB6220">
        <w:t>rights</w:t>
      </w:r>
      <w:bookmarkEnd w:id="369"/>
      <w:bookmarkEnd w:id="370"/>
      <w:bookmarkEnd w:id="371"/>
      <w:bookmarkEnd w:id="372"/>
      <w:bookmarkEnd w:id="373"/>
    </w:p>
    <w:p w14:paraId="2AB92827" w14:textId="3707FE08" w:rsidR="00CF4A69" w:rsidRPr="00BB6220" w:rsidRDefault="00541752" w:rsidP="009B6B4C">
      <w:pPr>
        <w:pStyle w:val="Bullet"/>
      </w:pPr>
      <w:r w:rsidRPr="00BB6220">
        <w:rPr>
          <w:b/>
          <w:bCs/>
        </w:rPr>
        <w:t>Make</w:t>
      </w:r>
      <w:r w:rsidR="003D640C">
        <w:rPr>
          <w:b/>
          <w:bCs/>
        </w:rPr>
        <w:t xml:space="preserve"> </w:t>
      </w:r>
      <w:r w:rsidRPr="00BB6220">
        <w:rPr>
          <w:b/>
          <w:bCs/>
        </w:rPr>
        <w:t>use</w:t>
      </w:r>
      <w:r w:rsidR="003D640C">
        <w:rPr>
          <w:b/>
          <w:bCs/>
        </w:rPr>
        <w:t xml:space="preserve"> </w:t>
      </w:r>
      <w:r w:rsidR="00CF4A69" w:rsidRPr="00BB6220">
        <w:rPr>
          <w:b/>
          <w:bCs/>
        </w:rPr>
        <w:t>of</w:t>
      </w:r>
      <w:r w:rsidR="003D640C">
        <w:rPr>
          <w:b/>
          <w:bCs/>
        </w:rPr>
        <w:t xml:space="preserve"> </w:t>
      </w:r>
      <w:r w:rsidR="00CF4A69" w:rsidRPr="00BB6220">
        <w:rPr>
          <w:b/>
          <w:bCs/>
        </w:rPr>
        <w:t>current</w:t>
      </w:r>
      <w:r w:rsidR="003D640C">
        <w:rPr>
          <w:b/>
          <w:bCs/>
        </w:rPr>
        <w:t xml:space="preserve"> </w:t>
      </w:r>
      <w:r w:rsidR="00CF4A69" w:rsidRPr="00BB6220">
        <w:rPr>
          <w:b/>
          <w:bCs/>
        </w:rPr>
        <w:t>legisl</w:t>
      </w:r>
      <w:r w:rsidRPr="00BB6220">
        <w:rPr>
          <w:b/>
          <w:bCs/>
        </w:rPr>
        <w:t>ative</w:t>
      </w:r>
      <w:r w:rsidR="003D640C">
        <w:rPr>
          <w:b/>
          <w:bCs/>
        </w:rPr>
        <w:t xml:space="preserve"> </w:t>
      </w:r>
      <w:r w:rsidRPr="00BB6220">
        <w:rPr>
          <w:b/>
          <w:bCs/>
        </w:rPr>
        <w:t>mandates</w:t>
      </w:r>
      <w:r w:rsidR="003D640C">
        <w:t xml:space="preserve"> </w:t>
      </w:r>
      <w:r w:rsidR="00CF4A69" w:rsidRPr="00BB6220">
        <w:t>especially</w:t>
      </w:r>
      <w:r w:rsidR="003D640C">
        <w:t xml:space="preserve"> </w:t>
      </w:r>
      <w:r w:rsidR="00CF4A69" w:rsidRPr="00BB6220">
        <w:t>to</w:t>
      </w:r>
      <w:r w:rsidR="003D640C">
        <w:t xml:space="preserve"> </w:t>
      </w:r>
      <w:r w:rsidR="00CF4A69" w:rsidRPr="00BB6220">
        <w:t>address</w:t>
      </w:r>
      <w:r w:rsidR="003D640C">
        <w:t xml:space="preserve"> </w:t>
      </w:r>
      <w:r w:rsidR="00CF4A69" w:rsidRPr="00BB6220">
        <w:t>cases</w:t>
      </w:r>
      <w:r w:rsidR="003D640C">
        <w:t xml:space="preserve"> </w:t>
      </w:r>
      <w:r w:rsidR="00CF4A69" w:rsidRPr="00BB6220">
        <w:t>where</w:t>
      </w:r>
      <w:r w:rsidR="003D640C">
        <w:t xml:space="preserve"> </w:t>
      </w:r>
      <w:r w:rsidR="00CF4A69" w:rsidRPr="00BB6220">
        <w:t>conversion</w:t>
      </w:r>
      <w:r w:rsidR="003D640C">
        <w:t xml:space="preserve"> </w:t>
      </w:r>
      <w:r w:rsidR="00CF4A69" w:rsidRPr="00BB6220">
        <w:t>practices</w:t>
      </w:r>
      <w:r w:rsidR="003D640C">
        <w:t xml:space="preserve"> </w:t>
      </w:r>
      <w:r w:rsidR="00CF4A69" w:rsidRPr="00BB6220">
        <w:t>persist</w:t>
      </w:r>
      <w:r w:rsidR="003D640C">
        <w:t xml:space="preserve"> </w:t>
      </w:r>
      <w:r w:rsidR="00CF4A69" w:rsidRPr="00BB6220">
        <w:t>within</w:t>
      </w:r>
      <w:r w:rsidR="003D640C">
        <w:t xml:space="preserve"> </w:t>
      </w:r>
      <w:r w:rsidR="00CF4A69" w:rsidRPr="00BB6220">
        <w:t>deliberately</w:t>
      </w:r>
      <w:r w:rsidR="003D640C">
        <w:t xml:space="preserve"> </w:t>
      </w:r>
      <w:r w:rsidR="00CF4A69" w:rsidRPr="00BB6220">
        <w:t>misleading</w:t>
      </w:r>
      <w:r w:rsidR="003D640C">
        <w:t xml:space="preserve"> </w:t>
      </w:r>
      <w:r w:rsidR="00CF4A69" w:rsidRPr="00BB6220">
        <w:t>framing,</w:t>
      </w:r>
      <w:r w:rsidR="003D640C">
        <w:t xml:space="preserve"> </w:t>
      </w:r>
      <w:r w:rsidR="00CF4A69" w:rsidRPr="00BB6220">
        <w:t>for</w:t>
      </w:r>
      <w:r w:rsidR="003D640C">
        <w:t xml:space="preserve"> </w:t>
      </w:r>
      <w:r w:rsidR="00CF4A69" w:rsidRPr="00BB6220">
        <w:t>example</w:t>
      </w:r>
      <w:r w:rsidR="003D640C">
        <w:t xml:space="preserve"> </w:t>
      </w:r>
      <w:r w:rsidR="00CF4A69" w:rsidRPr="00BB6220">
        <w:t>those</w:t>
      </w:r>
      <w:r w:rsidR="003D640C">
        <w:t xml:space="preserve"> </w:t>
      </w:r>
      <w:r w:rsidR="00CF4A69" w:rsidRPr="00BB6220">
        <w:t>that</w:t>
      </w:r>
      <w:r w:rsidR="003D640C">
        <w:t xml:space="preserve"> </w:t>
      </w:r>
      <w:r w:rsidR="00CF4A69" w:rsidRPr="00BB6220">
        <w:t>claim</w:t>
      </w:r>
      <w:r w:rsidR="003D640C">
        <w:t xml:space="preserve"> </w:t>
      </w:r>
      <w:r w:rsidR="00CF4A69" w:rsidRPr="00BB6220">
        <w:t>to</w:t>
      </w:r>
      <w:r w:rsidR="003D640C">
        <w:t xml:space="preserve"> </w:t>
      </w:r>
      <w:r w:rsidR="00CF4A69" w:rsidRPr="00BB6220">
        <w:t>be</w:t>
      </w:r>
      <w:r w:rsidR="003D640C">
        <w:t xml:space="preserve"> </w:t>
      </w:r>
      <w:r w:rsidR="00CF4A69" w:rsidRPr="00BB6220">
        <w:t>‘therapeutic</w:t>
      </w:r>
      <w:r w:rsidR="003D640C">
        <w:t xml:space="preserve"> </w:t>
      </w:r>
      <w:r w:rsidR="00CF4A69" w:rsidRPr="00BB6220">
        <w:t>interventions’.</w:t>
      </w:r>
      <w:r w:rsidR="003D640C">
        <w:t xml:space="preserve"> </w:t>
      </w:r>
    </w:p>
    <w:p w14:paraId="1C46221B" w14:textId="2A8D7E36" w:rsidR="00CF4A69" w:rsidRPr="00BB6220" w:rsidRDefault="00CF4A69" w:rsidP="009B6B4C">
      <w:pPr>
        <w:pStyle w:val="Bullet"/>
      </w:pPr>
      <w:r w:rsidRPr="00BB6220">
        <w:rPr>
          <w:b/>
          <w:bCs/>
        </w:rPr>
        <w:t>Disseminate</w:t>
      </w:r>
      <w:r w:rsidR="003D640C">
        <w:rPr>
          <w:b/>
          <w:bCs/>
        </w:rPr>
        <w:t xml:space="preserve"> </w:t>
      </w:r>
      <w:r w:rsidRPr="00BB6220">
        <w:rPr>
          <w:b/>
          <w:bCs/>
        </w:rPr>
        <w:t>educational</w:t>
      </w:r>
      <w:r w:rsidR="003D640C">
        <w:rPr>
          <w:b/>
          <w:bCs/>
        </w:rPr>
        <w:t xml:space="preserve"> </w:t>
      </w:r>
      <w:r w:rsidRPr="00BB6220">
        <w:rPr>
          <w:b/>
          <w:bCs/>
        </w:rPr>
        <w:t>content</w:t>
      </w:r>
      <w:r w:rsidR="003D640C">
        <w:rPr>
          <w:b/>
          <w:bCs/>
        </w:rPr>
        <w:t xml:space="preserve"> </w:t>
      </w:r>
      <w:r w:rsidRPr="00BB6220">
        <w:rPr>
          <w:b/>
          <w:bCs/>
        </w:rPr>
        <w:t>about</w:t>
      </w:r>
      <w:r w:rsidR="003D640C">
        <w:rPr>
          <w:b/>
          <w:bCs/>
        </w:rPr>
        <w:t xml:space="preserve"> </w:t>
      </w:r>
      <w:r w:rsidRPr="00BB6220">
        <w:rPr>
          <w:b/>
          <w:bCs/>
        </w:rPr>
        <w:t>diverse</w:t>
      </w:r>
      <w:r w:rsidR="003D640C">
        <w:rPr>
          <w:b/>
          <w:bCs/>
        </w:rPr>
        <w:t xml:space="preserve"> </w:t>
      </w:r>
      <w:r w:rsidR="00371B82" w:rsidRPr="00BB6220">
        <w:rPr>
          <w:b/>
          <w:bCs/>
        </w:rPr>
        <w:t>takatāpui</w:t>
      </w:r>
      <w:r w:rsidR="00371B82">
        <w:rPr>
          <w:b/>
          <w:bCs/>
        </w:rPr>
        <w:t xml:space="preserve">, </w:t>
      </w:r>
      <w:r w:rsidR="002D1DD6" w:rsidRPr="00BB6220">
        <w:rPr>
          <w:b/>
          <w:bCs/>
        </w:rPr>
        <w:t>Rainbow</w:t>
      </w:r>
      <w:r w:rsidR="003D640C">
        <w:rPr>
          <w:b/>
          <w:bCs/>
        </w:rPr>
        <w:t xml:space="preserve"> </w:t>
      </w:r>
      <w:r w:rsidR="008314F3" w:rsidRPr="00BB6220">
        <w:rPr>
          <w:b/>
          <w:bCs/>
        </w:rPr>
        <w:t>Māori</w:t>
      </w:r>
      <w:r w:rsidRPr="00BB6220">
        <w:rPr>
          <w:b/>
          <w:bCs/>
        </w:rPr>
        <w:t>,</w:t>
      </w:r>
      <w:r w:rsidR="003D640C">
        <w:rPr>
          <w:b/>
          <w:bCs/>
        </w:rPr>
        <w:t xml:space="preserve"> </w:t>
      </w:r>
      <w:r w:rsidRPr="00BB6220">
        <w:rPr>
          <w:b/>
          <w:bCs/>
        </w:rPr>
        <w:t>and</w:t>
      </w:r>
      <w:r w:rsidR="003D640C">
        <w:rPr>
          <w:b/>
          <w:bCs/>
        </w:rPr>
        <w:t xml:space="preserve"> </w:t>
      </w:r>
      <w:r w:rsidRPr="00BB6220">
        <w:rPr>
          <w:b/>
          <w:bCs/>
        </w:rPr>
        <w:t>MVPFAFF+</w:t>
      </w:r>
      <w:r w:rsidR="003D640C">
        <w:rPr>
          <w:b/>
          <w:bCs/>
        </w:rPr>
        <w:t xml:space="preserve"> </w:t>
      </w:r>
      <w:r w:rsidR="008314F3" w:rsidRPr="00BB6220">
        <w:rPr>
          <w:b/>
          <w:bCs/>
        </w:rPr>
        <w:t>Pacific</w:t>
      </w:r>
      <w:r w:rsidR="003D640C">
        <w:rPr>
          <w:b/>
          <w:bCs/>
        </w:rPr>
        <w:t xml:space="preserve"> </w:t>
      </w:r>
      <w:r w:rsidR="008314F3" w:rsidRPr="00BB6220">
        <w:rPr>
          <w:b/>
          <w:bCs/>
        </w:rPr>
        <w:t>people</w:t>
      </w:r>
      <w:r w:rsidR="00234A6F">
        <w:rPr>
          <w:b/>
          <w:bCs/>
        </w:rPr>
        <w:t>s</w:t>
      </w:r>
      <w:r w:rsidR="00C13585">
        <w:t>,</w:t>
      </w:r>
      <w:r w:rsidR="003D640C">
        <w:t xml:space="preserve"> </w:t>
      </w:r>
      <w:r w:rsidRPr="00BB6220">
        <w:t>including</w:t>
      </w:r>
      <w:r w:rsidR="003D640C">
        <w:t xml:space="preserve"> </w:t>
      </w:r>
      <w:r w:rsidRPr="00BB6220">
        <w:t>historically</w:t>
      </w:r>
      <w:r w:rsidR="003D640C">
        <w:t xml:space="preserve"> </w:t>
      </w:r>
      <w:r w:rsidRPr="00BB6220">
        <w:t>accurate</w:t>
      </w:r>
      <w:r w:rsidR="003D640C">
        <w:t xml:space="preserve"> </w:t>
      </w:r>
      <w:r w:rsidRPr="00BB6220">
        <w:t>information</w:t>
      </w:r>
      <w:r w:rsidR="003D640C">
        <w:t xml:space="preserve"> </w:t>
      </w:r>
      <w:r w:rsidRPr="00BB6220">
        <w:t>about</w:t>
      </w:r>
      <w:r w:rsidR="003D640C">
        <w:t xml:space="preserve"> </w:t>
      </w:r>
      <w:r w:rsidR="00D96208" w:rsidRPr="00BB6220">
        <w:t>the</w:t>
      </w:r>
      <w:r w:rsidR="003D640C">
        <w:t xml:space="preserve"> </w:t>
      </w:r>
      <w:r w:rsidR="00D96208" w:rsidRPr="00BB6220">
        <w:t>existence</w:t>
      </w:r>
      <w:r w:rsidR="003D640C">
        <w:t xml:space="preserve"> </w:t>
      </w:r>
      <w:r w:rsidR="00D96208" w:rsidRPr="00BB6220">
        <w:t>and</w:t>
      </w:r>
      <w:r w:rsidR="003D640C">
        <w:t xml:space="preserve"> </w:t>
      </w:r>
      <w:r w:rsidR="00D96208" w:rsidRPr="00BB6220">
        <w:t>acceptance</w:t>
      </w:r>
      <w:r w:rsidR="003D640C">
        <w:t xml:space="preserve"> </w:t>
      </w:r>
      <w:r w:rsidR="00D96208" w:rsidRPr="00BB6220">
        <w:t>of</w:t>
      </w:r>
      <w:r w:rsidR="003D640C">
        <w:t xml:space="preserve"> </w:t>
      </w:r>
      <w:r w:rsidR="00D96208" w:rsidRPr="00BB6220">
        <w:t>these</w:t>
      </w:r>
      <w:r w:rsidR="003D640C">
        <w:t xml:space="preserve"> </w:t>
      </w:r>
      <w:r w:rsidRPr="00BB6220">
        <w:t>identities</w:t>
      </w:r>
      <w:r w:rsidR="003D640C">
        <w:t xml:space="preserve"> </w:t>
      </w:r>
      <w:r w:rsidR="00D96208" w:rsidRPr="00BB6220">
        <w:t>pre-coloni</w:t>
      </w:r>
      <w:r w:rsidRPr="00BB6220">
        <w:t>s</w:t>
      </w:r>
      <w:r w:rsidR="00D96208" w:rsidRPr="00BB6220">
        <w:t>ation</w:t>
      </w:r>
      <w:r w:rsidRPr="00BB6220">
        <w:t>.</w:t>
      </w:r>
      <w:r w:rsidR="003D640C">
        <w:t xml:space="preserve"> </w:t>
      </w:r>
      <w:r w:rsidR="00133F8F">
        <w:t>Enabling</w:t>
      </w:r>
      <w:r w:rsidR="003D640C">
        <w:t xml:space="preserve"> </w:t>
      </w:r>
      <w:r w:rsidRPr="00BB6220">
        <w:t>survivors</w:t>
      </w:r>
      <w:r w:rsidR="003D640C">
        <w:t xml:space="preserve"> </w:t>
      </w:r>
      <w:r w:rsidR="00133F8F">
        <w:t>to</w:t>
      </w:r>
      <w:r w:rsidR="003D640C">
        <w:t xml:space="preserve"> </w:t>
      </w:r>
      <w:r w:rsidR="00133F8F">
        <w:t>share</w:t>
      </w:r>
      <w:r w:rsidR="003D640C">
        <w:t xml:space="preserve"> </w:t>
      </w:r>
      <w:r w:rsidR="00133F8F">
        <w:t>this</w:t>
      </w:r>
      <w:r w:rsidR="003D640C">
        <w:t xml:space="preserve"> </w:t>
      </w:r>
      <w:r w:rsidR="00133F8F">
        <w:t>information</w:t>
      </w:r>
      <w:r w:rsidR="003D640C">
        <w:t xml:space="preserve"> </w:t>
      </w:r>
      <w:r w:rsidRPr="00BB6220">
        <w:t>themselves</w:t>
      </w:r>
      <w:r w:rsidR="003D640C">
        <w:t xml:space="preserve"> </w:t>
      </w:r>
      <w:r w:rsidRPr="00BB6220">
        <w:t>will</w:t>
      </w:r>
      <w:r w:rsidR="003D640C">
        <w:t xml:space="preserve"> </w:t>
      </w:r>
      <w:r w:rsidRPr="00BB6220">
        <w:t>benefit</w:t>
      </w:r>
      <w:r w:rsidR="003D640C">
        <w:t xml:space="preserve"> </w:t>
      </w:r>
      <w:r w:rsidRPr="00BB6220">
        <w:t>those</w:t>
      </w:r>
      <w:r w:rsidR="003D640C">
        <w:t xml:space="preserve"> </w:t>
      </w:r>
      <w:r w:rsidRPr="00BB6220">
        <w:t>at</w:t>
      </w:r>
      <w:r w:rsidR="003D640C">
        <w:t xml:space="preserve"> </w:t>
      </w:r>
      <w:r w:rsidRPr="00BB6220">
        <w:t>risk</w:t>
      </w:r>
      <w:r w:rsidR="003D640C">
        <w:t xml:space="preserve"> </w:t>
      </w:r>
      <w:r w:rsidRPr="00BB6220">
        <w:t>of,</w:t>
      </w:r>
      <w:r w:rsidR="003D640C">
        <w:t xml:space="preserve"> </w:t>
      </w:r>
      <w:r w:rsidRPr="00BB6220">
        <w:t>or</w:t>
      </w:r>
      <w:r w:rsidR="003D640C">
        <w:t xml:space="preserve"> </w:t>
      </w:r>
      <w:r w:rsidR="00D70F1A">
        <w:t xml:space="preserve">those </w:t>
      </w:r>
      <w:r w:rsidRPr="00BB6220">
        <w:t>experiencing,</w:t>
      </w:r>
      <w:r w:rsidR="003D640C">
        <w:t xml:space="preserve"> </w:t>
      </w:r>
      <w:r w:rsidRPr="00BB6220">
        <w:t>conversion</w:t>
      </w:r>
      <w:r w:rsidR="003D640C">
        <w:t xml:space="preserve"> </w:t>
      </w:r>
      <w:r w:rsidRPr="00BB6220">
        <w:t>practices.</w:t>
      </w:r>
      <w:r w:rsidR="003D640C">
        <w:t xml:space="preserve"> </w:t>
      </w:r>
      <w:r w:rsidRPr="00BB6220">
        <w:t>They</w:t>
      </w:r>
      <w:r w:rsidR="003D640C">
        <w:t xml:space="preserve"> </w:t>
      </w:r>
      <w:r w:rsidRPr="00BB6220">
        <w:t>will</w:t>
      </w:r>
      <w:r w:rsidR="003D640C">
        <w:t xml:space="preserve"> </w:t>
      </w:r>
      <w:r w:rsidRPr="00BB6220">
        <w:t>be</w:t>
      </w:r>
      <w:r w:rsidR="003D640C">
        <w:t xml:space="preserve"> </w:t>
      </w:r>
      <w:r w:rsidRPr="00BB6220">
        <w:t>able</w:t>
      </w:r>
      <w:r w:rsidR="003D640C">
        <w:t xml:space="preserve"> </w:t>
      </w:r>
      <w:r w:rsidRPr="00BB6220">
        <w:t>to</w:t>
      </w:r>
      <w:r w:rsidR="003D640C">
        <w:t xml:space="preserve"> </w:t>
      </w:r>
      <w:r w:rsidRPr="00BB6220">
        <w:t>see</w:t>
      </w:r>
      <w:r w:rsidR="003D640C">
        <w:t xml:space="preserve"> </w:t>
      </w:r>
      <w:r w:rsidRPr="00BB6220">
        <w:t>their</w:t>
      </w:r>
      <w:r w:rsidR="003D640C">
        <w:t xml:space="preserve"> </w:t>
      </w:r>
      <w:r w:rsidRPr="00BB6220">
        <w:t>own</w:t>
      </w:r>
      <w:r w:rsidR="003D640C">
        <w:t xml:space="preserve"> </w:t>
      </w:r>
      <w:r w:rsidRPr="00BB6220">
        <w:t>experiences</w:t>
      </w:r>
      <w:r w:rsidR="003D640C">
        <w:t xml:space="preserve"> </w:t>
      </w:r>
      <w:r w:rsidRPr="00BB6220">
        <w:t>reflected</w:t>
      </w:r>
      <w:r w:rsidR="003D640C">
        <w:t xml:space="preserve"> </w:t>
      </w:r>
      <w:r w:rsidRPr="00BB6220">
        <w:t>and</w:t>
      </w:r>
      <w:r w:rsidR="003D640C">
        <w:t xml:space="preserve"> </w:t>
      </w:r>
      <w:r w:rsidRPr="00BB6220">
        <w:t>validated.</w:t>
      </w:r>
    </w:p>
    <w:p w14:paraId="4B663427" w14:textId="00720AB3" w:rsidR="002D1DD6" w:rsidRPr="00BB6220" w:rsidRDefault="00CF4A69" w:rsidP="009B6B4C">
      <w:pPr>
        <w:pStyle w:val="Bullet"/>
      </w:pPr>
      <w:r w:rsidRPr="00BB6220">
        <w:rPr>
          <w:b/>
          <w:bCs/>
        </w:rPr>
        <w:t>Ensure</w:t>
      </w:r>
      <w:r w:rsidR="003D640C">
        <w:rPr>
          <w:b/>
          <w:bCs/>
        </w:rPr>
        <w:t xml:space="preserve"> </w:t>
      </w:r>
      <w:r w:rsidRPr="00BB6220">
        <w:rPr>
          <w:b/>
          <w:bCs/>
        </w:rPr>
        <w:t>any</w:t>
      </w:r>
      <w:r w:rsidR="003D640C">
        <w:rPr>
          <w:b/>
          <w:bCs/>
        </w:rPr>
        <w:t xml:space="preserve"> </w:t>
      </w:r>
      <w:r w:rsidRPr="00BB6220">
        <w:rPr>
          <w:b/>
          <w:bCs/>
        </w:rPr>
        <w:t>resources</w:t>
      </w:r>
      <w:r w:rsidR="003D640C">
        <w:rPr>
          <w:b/>
          <w:bCs/>
        </w:rPr>
        <w:t xml:space="preserve"> </w:t>
      </w:r>
      <w:r w:rsidRPr="00BB6220">
        <w:rPr>
          <w:b/>
          <w:bCs/>
        </w:rPr>
        <w:t>developed</w:t>
      </w:r>
      <w:r w:rsidR="003D640C">
        <w:rPr>
          <w:b/>
          <w:bCs/>
        </w:rPr>
        <w:t xml:space="preserve"> </w:t>
      </w:r>
      <w:r w:rsidRPr="00BB6220">
        <w:rPr>
          <w:b/>
          <w:bCs/>
        </w:rPr>
        <w:t>are</w:t>
      </w:r>
      <w:r w:rsidR="003D640C">
        <w:rPr>
          <w:b/>
          <w:bCs/>
        </w:rPr>
        <w:t xml:space="preserve"> </w:t>
      </w:r>
      <w:r w:rsidRPr="00BB6220">
        <w:rPr>
          <w:b/>
          <w:bCs/>
        </w:rPr>
        <w:t>culturally</w:t>
      </w:r>
      <w:r w:rsidR="003D640C">
        <w:rPr>
          <w:b/>
          <w:bCs/>
        </w:rPr>
        <w:t xml:space="preserve"> </w:t>
      </w:r>
      <w:r w:rsidRPr="00BB6220">
        <w:rPr>
          <w:b/>
          <w:bCs/>
        </w:rPr>
        <w:t>and</w:t>
      </w:r>
      <w:r w:rsidR="003D640C">
        <w:rPr>
          <w:b/>
          <w:bCs/>
        </w:rPr>
        <w:t xml:space="preserve"> </w:t>
      </w:r>
      <w:r w:rsidRPr="00BB6220">
        <w:rPr>
          <w:b/>
          <w:bCs/>
        </w:rPr>
        <w:t>linguistically</w:t>
      </w:r>
      <w:r w:rsidR="003D640C">
        <w:rPr>
          <w:b/>
          <w:bCs/>
        </w:rPr>
        <w:t xml:space="preserve"> </w:t>
      </w:r>
      <w:r w:rsidRPr="00BB6220">
        <w:rPr>
          <w:b/>
          <w:bCs/>
        </w:rPr>
        <w:t>diverse</w:t>
      </w:r>
      <w:r w:rsidR="003D640C">
        <w:rPr>
          <w:b/>
          <w:bCs/>
        </w:rPr>
        <w:t xml:space="preserve"> </w:t>
      </w:r>
      <w:r w:rsidRPr="00BB6220">
        <w:t>to</w:t>
      </w:r>
      <w:r w:rsidR="003D640C">
        <w:t xml:space="preserve"> </w:t>
      </w:r>
      <w:r w:rsidRPr="00BB6220">
        <w:t>reflect</w:t>
      </w:r>
      <w:r w:rsidR="003D640C">
        <w:t xml:space="preserve"> </w:t>
      </w:r>
      <w:r w:rsidRPr="00BB6220">
        <w:t>all</w:t>
      </w:r>
      <w:r w:rsidR="003D640C">
        <w:t xml:space="preserve"> </w:t>
      </w:r>
      <w:r w:rsidRPr="00BB6220">
        <w:t>major</w:t>
      </w:r>
      <w:r w:rsidR="003D640C">
        <w:t xml:space="preserve"> </w:t>
      </w:r>
      <w:r w:rsidRPr="00BB6220">
        <w:t>Pa</w:t>
      </w:r>
      <w:r w:rsidR="0058396B" w:rsidRPr="00BB6220">
        <w:t>c</w:t>
      </w:r>
      <w:r w:rsidRPr="00BB6220">
        <w:t>i</w:t>
      </w:r>
      <w:r w:rsidR="0058396B" w:rsidRPr="00BB6220">
        <w:t>fic</w:t>
      </w:r>
      <w:r w:rsidR="003D640C">
        <w:t xml:space="preserve"> </w:t>
      </w:r>
      <w:r w:rsidRPr="00BB6220">
        <w:t>languages,</w:t>
      </w:r>
      <w:r w:rsidR="003D640C">
        <w:t xml:space="preserve"> </w:t>
      </w:r>
      <w:r w:rsidRPr="00BB6220">
        <w:t>Mandarin,</w:t>
      </w:r>
      <w:r w:rsidR="003D640C">
        <w:t xml:space="preserve"> </w:t>
      </w:r>
      <w:r w:rsidRPr="00BB6220">
        <w:t>Arabic,</w:t>
      </w:r>
      <w:r w:rsidR="003D640C">
        <w:t xml:space="preserve"> </w:t>
      </w:r>
      <w:r w:rsidRPr="00BB6220">
        <w:t>Hindi,</w:t>
      </w:r>
      <w:r w:rsidR="003D640C">
        <w:t xml:space="preserve"> </w:t>
      </w:r>
      <w:r w:rsidRPr="00BB6220">
        <w:t>Farsi,</w:t>
      </w:r>
      <w:r w:rsidR="003D640C">
        <w:t xml:space="preserve"> </w:t>
      </w:r>
      <w:r w:rsidRPr="00BB6220">
        <w:t>Ethiopian,</w:t>
      </w:r>
      <w:r w:rsidR="003D640C">
        <w:t xml:space="preserve"> </w:t>
      </w:r>
      <w:r w:rsidRPr="00BB6220">
        <w:t>Somalian,</w:t>
      </w:r>
      <w:r w:rsidR="003D640C">
        <w:t xml:space="preserve"> </w:t>
      </w:r>
      <w:r w:rsidRPr="00BB6220">
        <w:t>Tamil,</w:t>
      </w:r>
      <w:r w:rsidR="003D640C">
        <w:t xml:space="preserve"> </w:t>
      </w:r>
      <w:r w:rsidRPr="00BB6220">
        <w:t>Thai,</w:t>
      </w:r>
      <w:r w:rsidR="003D640C">
        <w:t xml:space="preserve"> </w:t>
      </w:r>
      <w:r w:rsidRPr="00BB6220">
        <w:t>Vietnamese</w:t>
      </w:r>
      <w:r w:rsidR="3E20EE22" w:rsidRPr="00BB6220">
        <w:t>,</w:t>
      </w:r>
      <w:r w:rsidR="003D640C">
        <w:t xml:space="preserve"> </w:t>
      </w:r>
      <w:r w:rsidRPr="00BB6220">
        <w:t>and</w:t>
      </w:r>
      <w:r w:rsidR="003D640C">
        <w:t xml:space="preserve"> </w:t>
      </w:r>
      <w:r w:rsidRPr="00BB6220">
        <w:t>simplified</w:t>
      </w:r>
      <w:r w:rsidR="003D640C">
        <w:t xml:space="preserve"> </w:t>
      </w:r>
      <w:r w:rsidR="002D1DD6" w:rsidRPr="00BB6220">
        <w:t>Chinese.</w:t>
      </w:r>
      <w:r w:rsidRPr="00BB6220">
        <w:rPr>
          <w:rStyle w:val="FootnoteReference"/>
        </w:rPr>
        <w:footnoteReference w:id="269"/>
      </w:r>
      <w:r w:rsidR="003D640C">
        <w:t xml:space="preserve"> </w:t>
      </w:r>
    </w:p>
    <w:p w14:paraId="499739A7" w14:textId="23106DA5" w:rsidR="00CF4A69" w:rsidRPr="00BB6220" w:rsidRDefault="002D1DD6" w:rsidP="009B6B4C">
      <w:pPr>
        <w:pStyle w:val="Bullet"/>
      </w:pPr>
      <w:r w:rsidRPr="00BB6220">
        <w:rPr>
          <w:b/>
          <w:bCs/>
        </w:rPr>
        <w:t>Ensure</w:t>
      </w:r>
      <w:r w:rsidR="003D640C">
        <w:rPr>
          <w:b/>
          <w:bCs/>
        </w:rPr>
        <w:t xml:space="preserve"> </w:t>
      </w:r>
      <w:r w:rsidRPr="00BB6220">
        <w:rPr>
          <w:b/>
          <w:bCs/>
        </w:rPr>
        <w:t>any</w:t>
      </w:r>
      <w:r w:rsidR="003D640C">
        <w:rPr>
          <w:b/>
          <w:bCs/>
        </w:rPr>
        <w:t xml:space="preserve"> </w:t>
      </w:r>
      <w:r w:rsidRPr="00BB6220">
        <w:rPr>
          <w:b/>
          <w:bCs/>
        </w:rPr>
        <w:t>resources</w:t>
      </w:r>
      <w:r w:rsidR="003D640C">
        <w:rPr>
          <w:b/>
          <w:bCs/>
        </w:rPr>
        <w:t xml:space="preserve"> </w:t>
      </w:r>
      <w:r w:rsidRPr="00BB6220">
        <w:rPr>
          <w:b/>
          <w:bCs/>
        </w:rPr>
        <w:t>developed</w:t>
      </w:r>
      <w:r w:rsidR="003D640C">
        <w:rPr>
          <w:b/>
          <w:bCs/>
        </w:rPr>
        <w:t xml:space="preserve"> </w:t>
      </w:r>
      <w:r w:rsidRPr="00BB6220">
        <w:rPr>
          <w:b/>
          <w:bCs/>
        </w:rPr>
        <w:t>are</w:t>
      </w:r>
      <w:r w:rsidR="003D640C">
        <w:rPr>
          <w:b/>
          <w:bCs/>
        </w:rPr>
        <w:t xml:space="preserve"> </w:t>
      </w:r>
      <w:r w:rsidRPr="00BB6220">
        <w:rPr>
          <w:b/>
          <w:bCs/>
        </w:rPr>
        <w:t>accessible</w:t>
      </w:r>
      <w:r w:rsidR="003D640C">
        <w:rPr>
          <w:b/>
          <w:bCs/>
        </w:rPr>
        <w:t xml:space="preserve"> </w:t>
      </w:r>
      <w:r w:rsidRPr="00BB6220">
        <w:t>and</w:t>
      </w:r>
      <w:r w:rsidR="003D640C">
        <w:t xml:space="preserve"> </w:t>
      </w:r>
      <w:r w:rsidRPr="00BB6220">
        <w:t>are</w:t>
      </w:r>
      <w:r w:rsidR="003D640C">
        <w:t xml:space="preserve"> </w:t>
      </w:r>
      <w:r w:rsidRPr="00BB6220">
        <w:t>available</w:t>
      </w:r>
      <w:r w:rsidR="003D640C">
        <w:t xml:space="preserve"> </w:t>
      </w:r>
      <w:r w:rsidRPr="00BB6220">
        <w:t>in</w:t>
      </w:r>
      <w:r w:rsidR="003D640C">
        <w:t xml:space="preserve"> </w:t>
      </w:r>
      <w:r w:rsidRPr="00BB6220">
        <w:t>alternative</w:t>
      </w:r>
      <w:r w:rsidR="003D640C">
        <w:t xml:space="preserve"> </w:t>
      </w:r>
      <w:r w:rsidRPr="00BB6220">
        <w:t>formats,</w:t>
      </w:r>
      <w:r w:rsidR="003D640C">
        <w:t xml:space="preserve"> </w:t>
      </w:r>
      <w:r w:rsidRPr="00BB6220">
        <w:t>such</w:t>
      </w:r>
      <w:r w:rsidR="003D640C">
        <w:t xml:space="preserve"> </w:t>
      </w:r>
      <w:r w:rsidRPr="00BB6220">
        <w:t>as</w:t>
      </w:r>
      <w:r w:rsidR="003D640C">
        <w:t xml:space="preserve"> </w:t>
      </w:r>
      <w:r w:rsidRPr="00BB6220">
        <w:t>New</w:t>
      </w:r>
      <w:r w:rsidR="003D640C">
        <w:t xml:space="preserve"> </w:t>
      </w:r>
      <w:r w:rsidRPr="00BB6220">
        <w:t>Zealand</w:t>
      </w:r>
      <w:r w:rsidR="003D640C">
        <w:t xml:space="preserve"> </w:t>
      </w:r>
      <w:r w:rsidRPr="00BB6220">
        <w:t>Sign</w:t>
      </w:r>
      <w:r w:rsidR="003D640C">
        <w:t xml:space="preserve"> </w:t>
      </w:r>
      <w:r w:rsidRPr="00BB6220">
        <w:t>Language,</w:t>
      </w:r>
      <w:r w:rsidR="003D640C">
        <w:t xml:space="preserve"> </w:t>
      </w:r>
      <w:r w:rsidRPr="00BB6220">
        <w:t>Braille,</w:t>
      </w:r>
      <w:r w:rsidR="003D640C">
        <w:t xml:space="preserve"> </w:t>
      </w:r>
      <w:r w:rsidRPr="00BB6220">
        <w:t>large</w:t>
      </w:r>
      <w:r w:rsidR="003D640C">
        <w:t xml:space="preserve"> </w:t>
      </w:r>
      <w:r w:rsidRPr="00BB6220">
        <w:t>print,</w:t>
      </w:r>
      <w:r w:rsidR="003D640C">
        <w:t xml:space="preserve"> </w:t>
      </w:r>
      <w:r w:rsidRPr="00BB6220">
        <w:t>audio</w:t>
      </w:r>
      <w:r w:rsidR="00C13585">
        <w:t>,</w:t>
      </w:r>
      <w:r w:rsidR="003D640C">
        <w:t xml:space="preserve"> </w:t>
      </w:r>
      <w:r w:rsidRPr="00BB6220">
        <w:t>and</w:t>
      </w:r>
      <w:r w:rsidR="003D640C">
        <w:t xml:space="preserve"> </w:t>
      </w:r>
      <w:r w:rsidRPr="00BB6220">
        <w:t>captions.</w:t>
      </w:r>
    </w:p>
    <w:p w14:paraId="0B0BC704" w14:textId="75BD7F1E" w:rsidR="00501068" w:rsidRDefault="00CF4A69" w:rsidP="009B6B4C">
      <w:pPr>
        <w:pStyle w:val="Bullet"/>
        <w:rPr>
          <w:rFonts w:eastAsia="Times New Roman"/>
          <w:lang w:eastAsia="en-NZ"/>
        </w:rPr>
      </w:pPr>
      <w:r w:rsidRPr="00BB6220">
        <w:rPr>
          <w:b/>
          <w:bCs/>
        </w:rPr>
        <w:t>Build</w:t>
      </w:r>
      <w:r w:rsidR="003D640C">
        <w:rPr>
          <w:b/>
          <w:bCs/>
        </w:rPr>
        <w:t xml:space="preserve"> </w:t>
      </w:r>
      <w:r w:rsidRPr="00BB6220">
        <w:rPr>
          <w:b/>
          <w:bCs/>
        </w:rPr>
        <w:t>safety</w:t>
      </w:r>
      <w:r w:rsidR="003D640C">
        <w:rPr>
          <w:b/>
          <w:bCs/>
        </w:rPr>
        <w:t xml:space="preserve"> </w:t>
      </w:r>
      <w:r w:rsidRPr="00BB6220">
        <w:rPr>
          <w:b/>
          <w:bCs/>
        </w:rPr>
        <w:t>into</w:t>
      </w:r>
      <w:r w:rsidR="003D640C">
        <w:rPr>
          <w:b/>
          <w:bCs/>
        </w:rPr>
        <w:t xml:space="preserve"> </w:t>
      </w:r>
      <w:r w:rsidRPr="00BB6220">
        <w:rPr>
          <w:b/>
          <w:bCs/>
        </w:rPr>
        <w:t>all</w:t>
      </w:r>
      <w:r w:rsidR="003D640C">
        <w:rPr>
          <w:b/>
          <w:bCs/>
        </w:rPr>
        <w:t xml:space="preserve"> </w:t>
      </w:r>
      <w:r w:rsidRPr="00BB6220">
        <w:rPr>
          <w:b/>
          <w:bCs/>
        </w:rPr>
        <w:t>marketing</w:t>
      </w:r>
      <w:r w:rsidR="003D640C">
        <w:rPr>
          <w:b/>
          <w:bCs/>
        </w:rPr>
        <w:t xml:space="preserve"> </w:t>
      </w:r>
      <w:r w:rsidRPr="00BB6220">
        <w:rPr>
          <w:b/>
          <w:bCs/>
        </w:rPr>
        <w:t>campaigns</w:t>
      </w:r>
      <w:r w:rsidR="003D640C">
        <w:rPr>
          <w:b/>
          <w:bCs/>
        </w:rPr>
        <w:t xml:space="preserve"> </w:t>
      </w:r>
      <w:r w:rsidRPr="00BB6220">
        <w:rPr>
          <w:b/>
          <w:bCs/>
        </w:rPr>
        <w:t>and</w:t>
      </w:r>
      <w:r w:rsidR="003D640C">
        <w:rPr>
          <w:b/>
          <w:bCs/>
        </w:rPr>
        <w:t xml:space="preserve"> </w:t>
      </w:r>
      <w:r w:rsidRPr="00BB6220">
        <w:rPr>
          <w:b/>
          <w:bCs/>
        </w:rPr>
        <w:t>approaches</w:t>
      </w:r>
      <w:r w:rsidRPr="00BB6220">
        <w:t>,</w:t>
      </w:r>
      <w:r w:rsidR="003D640C">
        <w:t xml:space="preserve"> </w:t>
      </w:r>
      <w:r w:rsidRPr="00BB6220">
        <w:t>noting</w:t>
      </w:r>
      <w:r w:rsidR="003D640C">
        <w:t xml:space="preserve"> </w:t>
      </w:r>
      <w:r w:rsidRPr="00BB6220">
        <w:t>that</w:t>
      </w:r>
      <w:r w:rsidR="003D640C">
        <w:t xml:space="preserve"> </w:t>
      </w:r>
      <w:r w:rsidRPr="00BB6220">
        <w:t>vulnerable</w:t>
      </w:r>
      <w:r w:rsidR="003D640C">
        <w:t xml:space="preserve"> </w:t>
      </w:r>
      <w:r w:rsidRPr="00BB6220">
        <w:t>individuals</w:t>
      </w:r>
      <w:r w:rsidR="003D640C">
        <w:t xml:space="preserve"> </w:t>
      </w:r>
      <w:r w:rsidRPr="00BB6220">
        <w:t>may</w:t>
      </w:r>
      <w:r w:rsidR="003D640C">
        <w:t xml:space="preserve"> </w:t>
      </w:r>
      <w:r w:rsidRPr="00BB6220">
        <w:t>not</w:t>
      </w:r>
      <w:r w:rsidR="003D640C">
        <w:t xml:space="preserve"> </w:t>
      </w:r>
      <w:r w:rsidRPr="00BB6220">
        <w:t>be</w:t>
      </w:r>
      <w:r w:rsidR="003D640C">
        <w:t xml:space="preserve"> </w:t>
      </w:r>
      <w:r w:rsidRPr="00BB6220">
        <w:t>able</w:t>
      </w:r>
      <w:r w:rsidR="003D640C">
        <w:t xml:space="preserve"> </w:t>
      </w:r>
      <w:r w:rsidRPr="00BB6220">
        <w:t>to</w:t>
      </w:r>
      <w:r w:rsidR="003D640C">
        <w:t xml:space="preserve"> </w:t>
      </w:r>
      <w:r w:rsidRPr="00BB6220">
        <w:t>safely</w:t>
      </w:r>
      <w:r w:rsidR="003D640C">
        <w:t xml:space="preserve"> </w:t>
      </w:r>
      <w:r w:rsidRPr="00BB6220">
        <w:t>access</w:t>
      </w:r>
      <w:r w:rsidR="003D640C">
        <w:t xml:space="preserve"> </w:t>
      </w:r>
      <w:r w:rsidRPr="00BB6220">
        <w:t>resources</w:t>
      </w:r>
      <w:r w:rsidR="003D640C">
        <w:t xml:space="preserve"> </w:t>
      </w:r>
      <w:r w:rsidRPr="00BB6220">
        <w:t>or</w:t>
      </w:r>
      <w:r w:rsidR="003D640C">
        <w:t xml:space="preserve"> </w:t>
      </w:r>
      <w:r w:rsidRPr="00BB6220">
        <w:t>content</w:t>
      </w:r>
      <w:r w:rsidR="003D640C">
        <w:t xml:space="preserve"> </w:t>
      </w:r>
      <w:r w:rsidRPr="00BB6220">
        <w:t>that</w:t>
      </w:r>
      <w:r w:rsidR="003D640C">
        <w:t xml:space="preserve"> </w:t>
      </w:r>
      <w:r w:rsidRPr="00BB6220">
        <w:t>may</w:t>
      </w:r>
      <w:r w:rsidR="003D640C">
        <w:t xml:space="preserve"> </w:t>
      </w:r>
      <w:r w:rsidRPr="00BB6220">
        <w:t>out</w:t>
      </w:r>
      <w:r w:rsidR="003D640C">
        <w:t xml:space="preserve"> </w:t>
      </w:r>
      <w:r w:rsidRPr="00BB6220">
        <w:t>them.</w:t>
      </w:r>
      <w:r w:rsidR="003D640C">
        <w:t xml:space="preserve"> </w:t>
      </w:r>
      <w:r w:rsidRPr="00BB6220">
        <w:t>Accessing</w:t>
      </w:r>
      <w:r w:rsidR="003D640C">
        <w:t xml:space="preserve"> </w:t>
      </w:r>
      <w:r w:rsidRPr="00BB6220">
        <w:t>information</w:t>
      </w:r>
      <w:r w:rsidR="003D640C">
        <w:t xml:space="preserve"> </w:t>
      </w:r>
      <w:r w:rsidRPr="00BB6220">
        <w:t>and</w:t>
      </w:r>
      <w:r w:rsidR="003D640C">
        <w:t xml:space="preserve"> </w:t>
      </w:r>
      <w:r w:rsidRPr="00BB6220">
        <w:t>resources</w:t>
      </w:r>
      <w:r w:rsidR="003D640C">
        <w:t xml:space="preserve"> </w:t>
      </w:r>
      <w:r w:rsidRPr="00BB6220">
        <w:t>must</w:t>
      </w:r>
      <w:r w:rsidR="003D640C">
        <w:t xml:space="preserve"> </w:t>
      </w:r>
      <w:r w:rsidRPr="00BB6220">
        <w:t>not</w:t>
      </w:r>
      <w:r w:rsidR="003D640C">
        <w:t xml:space="preserve"> </w:t>
      </w:r>
      <w:r w:rsidRPr="00BB6220">
        <w:t>put</w:t>
      </w:r>
      <w:r w:rsidR="003D640C">
        <w:t xml:space="preserve"> </w:t>
      </w:r>
      <w:r w:rsidRPr="00BB6220">
        <w:t>people</w:t>
      </w:r>
      <w:r w:rsidR="003D640C">
        <w:t xml:space="preserve"> </w:t>
      </w:r>
      <w:r w:rsidRPr="00BB6220">
        <w:t>at</w:t>
      </w:r>
      <w:r w:rsidR="003D640C">
        <w:t xml:space="preserve"> </w:t>
      </w:r>
      <w:r w:rsidRPr="00BB6220">
        <w:t>further</w:t>
      </w:r>
      <w:r w:rsidR="003D640C">
        <w:t xml:space="preserve"> </w:t>
      </w:r>
      <w:r w:rsidRPr="00BB6220">
        <w:t>risk</w:t>
      </w:r>
      <w:r w:rsidR="003D640C">
        <w:t xml:space="preserve"> </w:t>
      </w:r>
      <w:r w:rsidRPr="00BB6220">
        <w:t>of</w:t>
      </w:r>
      <w:r w:rsidR="003D640C">
        <w:t xml:space="preserve"> </w:t>
      </w:r>
      <w:r w:rsidRPr="00BB6220">
        <w:t>harm</w:t>
      </w:r>
      <w:r w:rsidR="003D640C">
        <w:t xml:space="preserve"> </w:t>
      </w:r>
      <w:r w:rsidRPr="00BB6220">
        <w:t>or</w:t>
      </w:r>
      <w:r w:rsidR="003D640C">
        <w:t xml:space="preserve"> </w:t>
      </w:r>
      <w:r w:rsidRPr="00BB6220">
        <w:t>violence.</w:t>
      </w:r>
    </w:p>
    <w:p w14:paraId="3F26DAC1" w14:textId="50DFF394" w:rsidR="00501068" w:rsidRDefault="00CF4A69" w:rsidP="009B6B4C">
      <w:pPr>
        <w:pStyle w:val="Quote"/>
      </w:pPr>
      <w:r w:rsidRPr="00BB6220">
        <w:t>“What</w:t>
      </w:r>
      <w:r w:rsidR="003D640C">
        <w:t xml:space="preserve"> </w:t>
      </w:r>
      <w:r w:rsidRPr="00BB6220">
        <w:t>will</w:t>
      </w:r>
      <w:r w:rsidR="003D640C">
        <w:t xml:space="preserve"> </w:t>
      </w:r>
      <w:r w:rsidRPr="00BB6220">
        <w:t>end</w:t>
      </w:r>
      <w:r w:rsidR="003D640C">
        <w:t xml:space="preserve"> </w:t>
      </w:r>
      <w:r w:rsidRPr="00BB6220">
        <w:t>conversion</w:t>
      </w:r>
      <w:r w:rsidR="003D640C">
        <w:t xml:space="preserve"> </w:t>
      </w:r>
      <w:r w:rsidRPr="00BB6220">
        <w:t>therapy</w:t>
      </w:r>
      <w:r w:rsidR="003D640C">
        <w:t xml:space="preserve"> </w:t>
      </w:r>
      <w:r w:rsidRPr="00BB6220">
        <w:t>is</w:t>
      </w:r>
      <w:r w:rsidR="003D640C">
        <w:t xml:space="preserve"> </w:t>
      </w:r>
      <w:r w:rsidRPr="00BB6220">
        <w:t>educating</w:t>
      </w:r>
      <w:r w:rsidR="003D640C">
        <w:t xml:space="preserve"> </w:t>
      </w:r>
      <w:r w:rsidRPr="00BB6220">
        <w:t>a</w:t>
      </w:r>
      <w:r w:rsidR="003D640C">
        <w:t xml:space="preserve"> </w:t>
      </w:r>
      <w:r w:rsidRPr="00BB6220">
        <w:t>generation</w:t>
      </w:r>
      <w:r w:rsidR="003D640C">
        <w:t xml:space="preserve"> </w:t>
      </w:r>
      <w:r w:rsidRPr="00BB6220">
        <w:t>of</w:t>
      </w:r>
      <w:r w:rsidR="003D640C">
        <w:t xml:space="preserve"> </w:t>
      </w:r>
      <w:r w:rsidRPr="00BB6220">
        <w:t>people</w:t>
      </w:r>
      <w:r w:rsidR="003D640C">
        <w:t xml:space="preserve"> </w:t>
      </w:r>
      <w:r w:rsidRPr="00BB6220">
        <w:t>so</w:t>
      </w:r>
      <w:r w:rsidR="003D640C">
        <w:t xml:space="preserve"> </w:t>
      </w:r>
      <w:r w:rsidRPr="00BB6220">
        <w:t>that</w:t>
      </w:r>
      <w:r w:rsidR="003D640C">
        <w:t xml:space="preserve"> </w:t>
      </w:r>
      <w:r w:rsidRPr="00BB6220">
        <w:t>they</w:t>
      </w:r>
      <w:r w:rsidR="003D640C">
        <w:t xml:space="preserve"> </w:t>
      </w:r>
      <w:r w:rsidRPr="00BB6220">
        <w:t>know</w:t>
      </w:r>
      <w:r w:rsidR="003D640C">
        <w:t xml:space="preserve"> </w:t>
      </w:r>
      <w:r w:rsidRPr="00BB6220">
        <w:t>that</w:t>
      </w:r>
      <w:r w:rsidR="003D640C">
        <w:t xml:space="preserve"> </w:t>
      </w:r>
      <w:r w:rsidRPr="00BB6220">
        <w:t>being</w:t>
      </w:r>
      <w:r w:rsidR="003D640C">
        <w:t xml:space="preserve"> </w:t>
      </w:r>
      <w:r w:rsidRPr="00BB6220">
        <w:t>queer</w:t>
      </w:r>
      <w:r w:rsidR="003D640C">
        <w:t xml:space="preserve"> </w:t>
      </w:r>
      <w:r w:rsidRPr="00BB6220">
        <w:t>is</w:t>
      </w:r>
      <w:r w:rsidR="003D640C">
        <w:t xml:space="preserve"> </w:t>
      </w:r>
      <w:r w:rsidR="00C13585">
        <w:t>OK</w:t>
      </w:r>
      <w:r w:rsidRPr="00BB6220">
        <w:t>.</w:t>
      </w:r>
      <w:r w:rsidR="003D640C">
        <w:t xml:space="preserve"> </w:t>
      </w:r>
      <w:r w:rsidRPr="00BB6220">
        <w:t>No</w:t>
      </w:r>
      <w:r w:rsidR="003D640C">
        <w:t xml:space="preserve"> </w:t>
      </w:r>
      <w:r w:rsidRPr="00BB6220">
        <w:t>queer</w:t>
      </w:r>
      <w:r w:rsidR="003D640C">
        <w:t xml:space="preserve"> </w:t>
      </w:r>
      <w:r w:rsidRPr="00BB6220">
        <w:t>child</w:t>
      </w:r>
      <w:r w:rsidR="003D640C">
        <w:t xml:space="preserve"> </w:t>
      </w:r>
      <w:r w:rsidRPr="00BB6220">
        <w:t>will</w:t>
      </w:r>
      <w:r w:rsidR="003D640C">
        <w:t xml:space="preserve"> </w:t>
      </w:r>
      <w:r w:rsidRPr="00BB6220">
        <w:t>be</w:t>
      </w:r>
      <w:r w:rsidR="003D640C">
        <w:t xml:space="preserve"> </w:t>
      </w:r>
      <w:r w:rsidRPr="00BB6220">
        <w:t>born</w:t>
      </w:r>
      <w:r w:rsidR="003D640C">
        <w:t xml:space="preserve"> </w:t>
      </w:r>
      <w:r w:rsidRPr="00BB6220">
        <w:t>into</w:t>
      </w:r>
      <w:r w:rsidR="003D640C">
        <w:t xml:space="preserve"> </w:t>
      </w:r>
      <w:r w:rsidRPr="00BB6220">
        <w:t>a</w:t>
      </w:r>
      <w:r w:rsidR="003D640C">
        <w:t xml:space="preserve"> </w:t>
      </w:r>
      <w:r w:rsidRPr="00BB6220">
        <w:t>New</w:t>
      </w:r>
      <w:r w:rsidR="003D640C">
        <w:t xml:space="preserve"> </w:t>
      </w:r>
      <w:r w:rsidRPr="00BB6220">
        <w:t>Ze</w:t>
      </w:r>
      <w:r w:rsidR="000034D7" w:rsidRPr="00BB6220">
        <w:t>al</w:t>
      </w:r>
      <w:r w:rsidRPr="00BB6220">
        <w:t>and</w:t>
      </w:r>
      <w:r w:rsidR="003D640C">
        <w:t xml:space="preserve"> </w:t>
      </w:r>
      <w:r w:rsidRPr="00BB6220">
        <w:t>that</w:t>
      </w:r>
      <w:r w:rsidR="003D640C">
        <w:t xml:space="preserve"> </w:t>
      </w:r>
      <w:r w:rsidRPr="00BB6220">
        <w:t>accepts</w:t>
      </w:r>
      <w:r w:rsidR="003D640C">
        <w:t xml:space="preserve"> </w:t>
      </w:r>
      <w:r w:rsidRPr="00BB6220">
        <w:t>or</w:t>
      </w:r>
      <w:r w:rsidR="003D640C">
        <w:t xml:space="preserve"> </w:t>
      </w:r>
      <w:r w:rsidRPr="00BB6220">
        <w:t>tolerates</w:t>
      </w:r>
      <w:r w:rsidR="003D640C">
        <w:t xml:space="preserve"> </w:t>
      </w:r>
      <w:r w:rsidRPr="00BB6220">
        <w:t>the</w:t>
      </w:r>
      <w:r w:rsidR="003D640C">
        <w:t xml:space="preserve"> </w:t>
      </w:r>
      <w:r w:rsidRPr="00BB6220">
        <w:t>erasure</w:t>
      </w:r>
      <w:r w:rsidR="003D640C">
        <w:t xml:space="preserve"> </w:t>
      </w:r>
      <w:r w:rsidRPr="00BB6220">
        <w:t>of</w:t>
      </w:r>
      <w:r w:rsidR="003D640C">
        <w:t xml:space="preserve"> </w:t>
      </w:r>
      <w:r w:rsidRPr="00BB6220">
        <w:t>their</w:t>
      </w:r>
      <w:r w:rsidR="003D640C">
        <w:t xml:space="preserve"> </w:t>
      </w:r>
      <w:r w:rsidRPr="00BB6220">
        <w:t>identity.”</w:t>
      </w:r>
      <w:r w:rsidR="003D640C">
        <w:t xml:space="preserve"> </w:t>
      </w:r>
      <w:r w:rsidR="00102F18" w:rsidRPr="00BB6220">
        <w:t>Pasifika</w:t>
      </w:r>
      <w:r w:rsidRPr="00BB6220">
        <w:t>,</w:t>
      </w:r>
      <w:r w:rsidR="003D640C">
        <w:t xml:space="preserve"> </w:t>
      </w:r>
      <w:r w:rsidR="00102F18" w:rsidRPr="00BB6220">
        <w:t>queer</w:t>
      </w:r>
      <w:r w:rsidR="003D640C">
        <w:t xml:space="preserve"> </w:t>
      </w:r>
    </w:p>
    <w:p w14:paraId="701B9FB7" w14:textId="0033FE85" w:rsidR="00927B80" w:rsidRPr="00BB6220" w:rsidRDefault="008E3CED" w:rsidP="00501068">
      <w:pPr>
        <w:pStyle w:val="Heading2"/>
      </w:pPr>
      <w:bookmarkStart w:id="374" w:name="_Toc167780638"/>
      <w:bookmarkStart w:id="375" w:name="_Toc762750252"/>
      <w:bookmarkStart w:id="376" w:name="_Toc174628700"/>
      <w:r w:rsidRPr="00BB6220">
        <w:t>Survivors</w:t>
      </w:r>
      <w:r w:rsidR="00097475" w:rsidRPr="00BB6220">
        <w:t>’</w:t>
      </w:r>
      <w:r w:rsidR="003D640C">
        <w:t xml:space="preserve"> </w:t>
      </w:r>
      <w:r w:rsidRPr="00BB6220">
        <w:t>advice</w:t>
      </w:r>
      <w:r w:rsidR="003D640C">
        <w:t xml:space="preserve"> </w:t>
      </w:r>
      <w:r w:rsidRPr="00BB6220">
        <w:t>for</w:t>
      </w:r>
      <w:r w:rsidR="003D640C">
        <w:t xml:space="preserve"> </w:t>
      </w:r>
      <w:r w:rsidRPr="00BB6220">
        <w:t>religious</w:t>
      </w:r>
      <w:r w:rsidR="003D640C">
        <w:t xml:space="preserve"> </w:t>
      </w:r>
      <w:r w:rsidRPr="00BB6220">
        <w:t>communities</w:t>
      </w:r>
      <w:bookmarkEnd w:id="374"/>
      <w:bookmarkEnd w:id="375"/>
      <w:bookmarkEnd w:id="376"/>
      <w:r w:rsidR="003D640C">
        <w:t xml:space="preserve"> </w:t>
      </w:r>
    </w:p>
    <w:p w14:paraId="4824EE32" w14:textId="6CC23FC2" w:rsidR="000E1F04" w:rsidRPr="00BB6220" w:rsidRDefault="00257FB4" w:rsidP="009B6B4C">
      <w:r w:rsidRPr="00BB6220">
        <w:t>Over</w:t>
      </w:r>
      <w:r w:rsidR="003D640C">
        <w:t xml:space="preserve"> </w:t>
      </w:r>
      <w:r w:rsidRPr="00BB6220">
        <w:t>a</w:t>
      </w:r>
      <w:r w:rsidR="003D640C">
        <w:t xml:space="preserve"> </w:t>
      </w:r>
      <w:r w:rsidRPr="00BB6220">
        <w:t>period</w:t>
      </w:r>
      <w:r w:rsidR="003D640C">
        <w:t xml:space="preserve"> </w:t>
      </w:r>
      <w:r w:rsidRPr="00BB6220">
        <w:t>of</w:t>
      </w:r>
      <w:r w:rsidR="003D640C">
        <w:t xml:space="preserve"> </w:t>
      </w:r>
      <w:r w:rsidRPr="00BB6220">
        <w:t>18</w:t>
      </w:r>
      <w:r w:rsidR="003D640C">
        <w:t xml:space="preserve"> </w:t>
      </w:r>
      <w:r w:rsidRPr="00BB6220">
        <w:t>months</w:t>
      </w:r>
      <w:r w:rsidR="00C13585">
        <w:t>,</w:t>
      </w:r>
      <w:r w:rsidR="003D640C">
        <w:t xml:space="preserve"> </w:t>
      </w:r>
      <w:r w:rsidRPr="00BB6220">
        <w:t>t</w:t>
      </w:r>
      <w:r w:rsidR="00E72F14" w:rsidRPr="00BB6220">
        <w:t>he</w:t>
      </w:r>
      <w:r w:rsidR="003D640C">
        <w:t xml:space="preserve"> </w:t>
      </w:r>
      <w:r w:rsidR="00E72F14" w:rsidRPr="00BB6220">
        <w:t>Commission</w:t>
      </w:r>
      <w:r w:rsidR="003D640C">
        <w:t xml:space="preserve"> </w:t>
      </w:r>
      <w:r w:rsidR="00E72F14" w:rsidRPr="00BB6220">
        <w:t>has</w:t>
      </w:r>
      <w:r w:rsidR="003D640C">
        <w:t xml:space="preserve"> </w:t>
      </w:r>
      <w:r w:rsidR="00E72F14" w:rsidRPr="00BB6220">
        <w:t>heard</w:t>
      </w:r>
      <w:r w:rsidR="003D640C">
        <w:t xml:space="preserve"> </w:t>
      </w:r>
      <w:r w:rsidR="00E72F14" w:rsidRPr="00BB6220">
        <w:t>from</w:t>
      </w:r>
      <w:r w:rsidR="003D640C">
        <w:t xml:space="preserve"> </w:t>
      </w:r>
      <w:r w:rsidR="00E72F14" w:rsidRPr="00BB6220">
        <w:t>conver</w:t>
      </w:r>
      <w:r w:rsidR="00DD521A" w:rsidRPr="00BB6220">
        <w:t>sion</w:t>
      </w:r>
      <w:r w:rsidR="003D640C">
        <w:t xml:space="preserve"> </w:t>
      </w:r>
      <w:r w:rsidR="00DD521A" w:rsidRPr="00BB6220">
        <w:t>practices</w:t>
      </w:r>
      <w:r w:rsidR="003D640C">
        <w:t xml:space="preserve"> </w:t>
      </w:r>
      <w:r w:rsidR="00DD521A" w:rsidRPr="00BB6220">
        <w:t>survivors</w:t>
      </w:r>
      <w:r w:rsidR="003D640C">
        <w:t xml:space="preserve"> </w:t>
      </w:r>
      <w:r w:rsidR="00DD521A" w:rsidRPr="00BB6220">
        <w:t>and</w:t>
      </w:r>
      <w:r w:rsidR="003D640C">
        <w:t xml:space="preserve"> </w:t>
      </w:r>
      <w:r w:rsidR="006C3CA0" w:rsidRPr="00BB6220">
        <w:t>Rainbow</w:t>
      </w:r>
      <w:r w:rsidR="003D640C">
        <w:t xml:space="preserve"> </w:t>
      </w:r>
      <w:r w:rsidR="00DD521A" w:rsidRPr="00BB6220">
        <w:t>religious</w:t>
      </w:r>
      <w:r w:rsidR="003D640C">
        <w:t xml:space="preserve"> </w:t>
      </w:r>
      <w:r w:rsidR="00A928B8" w:rsidRPr="00BB6220">
        <w:t>people,</w:t>
      </w:r>
      <w:r w:rsidR="003D640C">
        <w:t xml:space="preserve"> </w:t>
      </w:r>
      <w:r w:rsidR="00A928B8" w:rsidRPr="00BB6220">
        <w:t>including</w:t>
      </w:r>
      <w:r w:rsidR="003D640C">
        <w:t xml:space="preserve"> </w:t>
      </w:r>
      <w:r w:rsidR="00A928B8" w:rsidRPr="00BB6220">
        <w:t>at</w:t>
      </w:r>
      <w:r w:rsidR="003D640C">
        <w:t xml:space="preserve"> </w:t>
      </w:r>
      <w:r w:rsidR="00A928B8" w:rsidRPr="00BB6220">
        <w:t>the</w:t>
      </w:r>
      <w:r w:rsidR="003D640C">
        <w:t xml:space="preserve"> </w:t>
      </w:r>
      <w:r w:rsidR="00A928B8" w:rsidRPr="005B33A1">
        <w:t>Awaken</w:t>
      </w:r>
      <w:r w:rsidR="003D640C" w:rsidRPr="005B33A1">
        <w:t xml:space="preserve"> </w:t>
      </w:r>
      <w:r w:rsidR="0588F8A4" w:rsidRPr="005B33A1">
        <w:t>|</w:t>
      </w:r>
      <w:r w:rsidR="003D640C" w:rsidRPr="005B33A1">
        <w:t xml:space="preserve"> </w:t>
      </w:r>
      <w:r w:rsidR="00A928B8" w:rsidRPr="005B33A1">
        <w:t>Maranga</w:t>
      </w:r>
      <w:r w:rsidR="003D640C" w:rsidRPr="005B33A1">
        <w:t xml:space="preserve"> </w:t>
      </w:r>
      <w:r w:rsidR="00A928B8" w:rsidRPr="005B33A1">
        <w:t>Mai</w:t>
      </w:r>
      <w:r w:rsidR="003D640C" w:rsidRPr="005B33A1">
        <w:t xml:space="preserve"> </w:t>
      </w:r>
      <w:r w:rsidR="00A928B8" w:rsidRPr="005B33A1">
        <w:t>2023</w:t>
      </w:r>
      <w:r w:rsidR="003D640C">
        <w:rPr>
          <w:i/>
          <w:iCs/>
        </w:rPr>
        <w:t xml:space="preserve"> </w:t>
      </w:r>
      <w:r w:rsidR="00A928B8" w:rsidRPr="00BB6220">
        <w:t>conference,</w:t>
      </w:r>
      <w:r w:rsidR="003D640C">
        <w:t xml:space="preserve"> </w:t>
      </w:r>
      <w:r w:rsidRPr="00BB6220">
        <w:t>about</w:t>
      </w:r>
      <w:r w:rsidR="003D640C">
        <w:t xml:space="preserve"> </w:t>
      </w:r>
      <w:r w:rsidR="006A780D" w:rsidRPr="00BB6220">
        <w:t>what</w:t>
      </w:r>
      <w:r w:rsidR="003D640C">
        <w:t xml:space="preserve"> </w:t>
      </w:r>
      <w:r w:rsidR="006A780D" w:rsidRPr="00BB6220">
        <w:t>would</w:t>
      </w:r>
      <w:r w:rsidR="003D640C">
        <w:t xml:space="preserve"> </w:t>
      </w:r>
      <w:r w:rsidR="006A780D" w:rsidRPr="00BB6220">
        <w:t>make</w:t>
      </w:r>
      <w:r w:rsidR="003D640C">
        <w:t xml:space="preserve"> </w:t>
      </w:r>
      <w:r w:rsidR="00344676" w:rsidRPr="00BB6220">
        <w:t>religious</w:t>
      </w:r>
      <w:r w:rsidR="003D640C">
        <w:t xml:space="preserve"> </w:t>
      </w:r>
      <w:r w:rsidR="00344676" w:rsidRPr="00BB6220">
        <w:t>spaces</w:t>
      </w:r>
      <w:r w:rsidR="003D640C">
        <w:t xml:space="preserve"> </w:t>
      </w:r>
      <w:r w:rsidR="00344676" w:rsidRPr="00BB6220">
        <w:t>safer.</w:t>
      </w:r>
      <w:r w:rsidR="003D640C">
        <w:t xml:space="preserve"> </w:t>
      </w:r>
      <w:r w:rsidR="00344676" w:rsidRPr="00BB6220">
        <w:t>Their</w:t>
      </w:r>
      <w:r w:rsidR="003D640C">
        <w:t xml:space="preserve"> </w:t>
      </w:r>
      <w:r w:rsidR="00344676" w:rsidRPr="00BB6220">
        <w:t>advice</w:t>
      </w:r>
      <w:r w:rsidR="003D640C">
        <w:t xml:space="preserve"> </w:t>
      </w:r>
      <w:r w:rsidR="00344676" w:rsidRPr="00BB6220">
        <w:t>is</w:t>
      </w:r>
      <w:r w:rsidR="003D640C">
        <w:t xml:space="preserve"> </w:t>
      </w:r>
      <w:r w:rsidR="00524EA2" w:rsidRPr="00BB6220">
        <w:t>divided</w:t>
      </w:r>
      <w:r w:rsidR="003D640C">
        <w:t xml:space="preserve"> </w:t>
      </w:r>
      <w:r w:rsidR="00524EA2" w:rsidRPr="00BB6220">
        <w:t>into</w:t>
      </w:r>
      <w:r w:rsidR="003D640C">
        <w:t xml:space="preserve"> </w:t>
      </w:r>
      <w:r w:rsidR="00524EA2" w:rsidRPr="00BB6220">
        <w:t>six</w:t>
      </w:r>
      <w:r w:rsidR="003D640C">
        <w:t xml:space="preserve"> </w:t>
      </w:r>
      <w:r w:rsidR="00524EA2" w:rsidRPr="00BB6220">
        <w:t>focus</w:t>
      </w:r>
      <w:r w:rsidR="003D640C">
        <w:t xml:space="preserve"> </w:t>
      </w:r>
      <w:r w:rsidR="00524EA2" w:rsidRPr="00BB6220">
        <w:t>areas:</w:t>
      </w:r>
      <w:r w:rsidR="003D640C">
        <w:t xml:space="preserve"> </w:t>
      </w:r>
      <w:r w:rsidR="00524EA2" w:rsidRPr="00BB6220">
        <w:t>teaching,</w:t>
      </w:r>
      <w:r w:rsidR="003D640C">
        <w:t xml:space="preserve"> </w:t>
      </w:r>
      <w:r w:rsidR="00524EA2" w:rsidRPr="00BB6220">
        <w:t>prayer,</w:t>
      </w:r>
      <w:r w:rsidR="003D640C">
        <w:t xml:space="preserve"> </w:t>
      </w:r>
      <w:r w:rsidR="00524EA2" w:rsidRPr="00BB6220">
        <w:t>worship,</w:t>
      </w:r>
      <w:r w:rsidR="003D640C">
        <w:t xml:space="preserve"> </w:t>
      </w:r>
      <w:r w:rsidR="00524EA2" w:rsidRPr="00BB6220">
        <w:t>ministries</w:t>
      </w:r>
      <w:r w:rsidR="003D640C">
        <w:t xml:space="preserve"> </w:t>
      </w:r>
      <w:r w:rsidR="00524EA2" w:rsidRPr="00BB6220">
        <w:t>and</w:t>
      </w:r>
      <w:r w:rsidR="003D640C">
        <w:t xml:space="preserve"> </w:t>
      </w:r>
      <w:r w:rsidR="00524EA2" w:rsidRPr="00BB6220">
        <w:t>groups,</w:t>
      </w:r>
      <w:r w:rsidR="003D640C">
        <w:t xml:space="preserve"> </w:t>
      </w:r>
      <w:r w:rsidR="00524EA2" w:rsidRPr="00BB6220">
        <w:t>community</w:t>
      </w:r>
      <w:r w:rsidR="003D640C">
        <w:t xml:space="preserve"> </w:t>
      </w:r>
      <w:r w:rsidR="00524EA2" w:rsidRPr="00BB6220">
        <w:t>culture,</w:t>
      </w:r>
      <w:r w:rsidR="003D640C">
        <w:t xml:space="preserve"> </w:t>
      </w:r>
      <w:r w:rsidR="00524EA2" w:rsidRPr="00BB6220">
        <w:t>and</w:t>
      </w:r>
      <w:r w:rsidR="003D640C">
        <w:t xml:space="preserve"> </w:t>
      </w:r>
      <w:r w:rsidR="00524EA2" w:rsidRPr="00BB6220">
        <w:t>physical</w:t>
      </w:r>
      <w:r w:rsidR="003D640C">
        <w:t xml:space="preserve"> </w:t>
      </w:r>
      <w:r w:rsidR="00524EA2" w:rsidRPr="00BB6220">
        <w:t>and</w:t>
      </w:r>
      <w:r w:rsidR="003D640C">
        <w:t xml:space="preserve"> </w:t>
      </w:r>
      <w:r w:rsidR="00524EA2" w:rsidRPr="00BB6220">
        <w:t>other</w:t>
      </w:r>
      <w:r w:rsidR="003D640C">
        <w:t xml:space="preserve"> </w:t>
      </w:r>
      <w:r w:rsidR="00524EA2" w:rsidRPr="00BB6220">
        <w:t>tangible</w:t>
      </w:r>
      <w:r w:rsidR="003D640C">
        <w:t xml:space="preserve"> </w:t>
      </w:r>
      <w:r w:rsidR="00524EA2" w:rsidRPr="00BB6220">
        <w:t>spaces.</w:t>
      </w:r>
      <w:r w:rsidR="003D640C">
        <w:t xml:space="preserve"> </w:t>
      </w:r>
      <w:bookmarkStart w:id="377" w:name="_Toc138771242"/>
    </w:p>
    <w:p w14:paraId="7E88116D" w14:textId="336F1928" w:rsidR="00524EA2" w:rsidRPr="00BB6220" w:rsidRDefault="00524EA2" w:rsidP="002C6363">
      <w:pPr>
        <w:pStyle w:val="Heading3"/>
      </w:pPr>
      <w:bookmarkStart w:id="378" w:name="_Toc167780639"/>
      <w:bookmarkStart w:id="379" w:name="_Toc1762088004"/>
      <w:bookmarkStart w:id="380" w:name="_Toc174628701"/>
      <w:r w:rsidRPr="00BB6220">
        <w:t>Teaching</w:t>
      </w:r>
      <w:bookmarkEnd w:id="377"/>
      <w:bookmarkEnd w:id="378"/>
      <w:bookmarkEnd w:id="379"/>
      <w:bookmarkEnd w:id="380"/>
    </w:p>
    <w:p w14:paraId="4ACE2FEA" w14:textId="2C19E649" w:rsidR="00524EA2" w:rsidRPr="00BB6220" w:rsidRDefault="00524EA2" w:rsidP="009B6B4C">
      <w:r w:rsidRPr="00BB6220">
        <w:t>As</w:t>
      </w:r>
      <w:r w:rsidR="003D640C">
        <w:t xml:space="preserve"> </w:t>
      </w:r>
      <w:r w:rsidRPr="00BB6220">
        <w:t>a</w:t>
      </w:r>
      <w:r w:rsidR="003D640C">
        <w:t xml:space="preserve"> </w:t>
      </w:r>
      <w:r w:rsidRPr="00BB6220">
        <w:t>form</w:t>
      </w:r>
      <w:r w:rsidR="003D640C">
        <w:t xml:space="preserve"> </w:t>
      </w:r>
      <w:r w:rsidRPr="00BB6220">
        <w:t>of</w:t>
      </w:r>
      <w:r w:rsidR="003D640C">
        <w:t xml:space="preserve"> </w:t>
      </w:r>
      <w:r w:rsidRPr="00BB6220">
        <w:t>education,</w:t>
      </w:r>
      <w:r w:rsidR="003D640C">
        <w:t xml:space="preserve"> </w:t>
      </w:r>
      <w:r w:rsidRPr="00BB6220">
        <w:t>religious</w:t>
      </w:r>
      <w:r w:rsidR="003D640C">
        <w:t xml:space="preserve"> </w:t>
      </w:r>
      <w:r w:rsidRPr="00BB6220">
        <w:t>teaching</w:t>
      </w:r>
      <w:r w:rsidR="003D640C">
        <w:t xml:space="preserve"> </w:t>
      </w:r>
      <w:r w:rsidRPr="00BB6220">
        <w:t>will</w:t>
      </w:r>
      <w:r w:rsidR="003D640C">
        <w:t xml:space="preserve"> </w:t>
      </w:r>
      <w:r w:rsidRPr="00BB6220">
        <w:t>be</w:t>
      </w:r>
      <w:r w:rsidR="003D640C">
        <w:t xml:space="preserve"> </w:t>
      </w:r>
      <w:r w:rsidRPr="00BB6220">
        <w:t>most</w:t>
      </w:r>
      <w:r w:rsidR="003D640C">
        <w:t xml:space="preserve"> </w:t>
      </w:r>
      <w:r w:rsidRPr="00BB6220">
        <w:t>effective</w:t>
      </w:r>
      <w:r w:rsidR="003D640C">
        <w:t xml:space="preserve"> </w:t>
      </w:r>
      <w:r w:rsidRPr="00BB6220">
        <w:t>if</w:t>
      </w:r>
      <w:r w:rsidR="003D640C">
        <w:t xml:space="preserve"> </w:t>
      </w:r>
      <w:r w:rsidRPr="00BB6220">
        <w:t>it</w:t>
      </w:r>
      <w:r w:rsidR="003D640C">
        <w:t xml:space="preserve"> </w:t>
      </w:r>
      <w:r w:rsidRPr="00BB6220">
        <w:t>is</w:t>
      </w:r>
      <w:r w:rsidR="003D640C">
        <w:t xml:space="preserve"> </w:t>
      </w:r>
      <w:r w:rsidRPr="00BB6220">
        <w:t>flexible</w:t>
      </w:r>
      <w:r w:rsidR="003D640C">
        <w:t xml:space="preserve"> </w:t>
      </w:r>
      <w:r w:rsidRPr="00BB6220">
        <w:t>and</w:t>
      </w:r>
      <w:r w:rsidR="003D640C">
        <w:t xml:space="preserve"> </w:t>
      </w:r>
      <w:r w:rsidRPr="00BB6220">
        <w:t>adapted</w:t>
      </w:r>
      <w:r w:rsidR="003D640C">
        <w:t xml:space="preserve"> </w:t>
      </w:r>
      <w:r w:rsidRPr="00BB6220">
        <w:t>to</w:t>
      </w:r>
      <w:r w:rsidR="003D640C">
        <w:t xml:space="preserve"> </w:t>
      </w:r>
      <w:r w:rsidRPr="00BB6220">
        <w:t>the</w:t>
      </w:r>
      <w:r w:rsidR="003D640C">
        <w:t xml:space="preserve"> </w:t>
      </w:r>
      <w:r w:rsidRPr="00BB6220">
        <w:t>needs</w:t>
      </w:r>
      <w:r w:rsidR="003D640C">
        <w:t xml:space="preserve"> </w:t>
      </w:r>
      <w:r w:rsidRPr="00BB6220">
        <w:t>and</w:t>
      </w:r>
      <w:r w:rsidR="003D640C">
        <w:t xml:space="preserve"> </w:t>
      </w:r>
      <w:r w:rsidRPr="00BB6220">
        <w:t>circumstances</w:t>
      </w:r>
      <w:r w:rsidR="003D640C">
        <w:t xml:space="preserve"> </w:t>
      </w:r>
      <w:r w:rsidRPr="00BB6220">
        <w:t>of</w:t>
      </w:r>
      <w:r w:rsidR="003D640C">
        <w:t xml:space="preserve"> </w:t>
      </w:r>
      <w:r w:rsidRPr="00BB6220">
        <w:t>those</w:t>
      </w:r>
      <w:r w:rsidR="003D640C">
        <w:t xml:space="preserve"> </w:t>
      </w:r>
      <w:r w:rsidRPr="00BB6220">
        <w:t>being</w:t>
      </w:r>
      <w:r w:rsidR="003D640C">
        <w:t xml:space="preserve"> </w:t>
      </w:r>
      <w:r w:rsidRPr="00BB6220">
        <w:t>taught.</w:t>
      </w:r>
      <w:r w:rsidR="003D640C">
        <w:t xml:space="preserve"> </w:t>
      </w:r>
      <w:r w:rsidRPr="00BB6220">
        <w:t>As</w:t>
      </w:r>
      <w:r w:rsidR="003D640C">
        <w:t xml:space="preserve"> </w:t>
      </w:r>
      <w:r w:rsidRPr="00BB6220">
        <w:t>with</w:t>
      </w:r>
      <w:r w:rsidR="003D640C">
        <w:t xml:space="preserve"> </w:t>
      </w:r>
      <w:r w:rsidRPr="00BB6220">
        <w:t>any</w:t>
      </w:r>
      <w:r w:rsidR="003D640C">
        <w:t xml:space="preserve"> </w:t>
      </w:r>
      <w:r w:rsidRPr="00BB6220">
        <w:t>education</w:t>
      </w:r>
      <w:r w:rsidR="003D640C">
        <w:t xml:space="preserve"> </w:t>
      </w:r>
      <w:r w:rsidRPr="00BB6220">
        <w:t>setting,</w:t>
      </w:r>
      <w:r w:rsidR="003D640C">
        <w:t xml:space="preserve"> </w:t>
      </w:r>
      <w:r w:rsidRPr="00BB6220">
        <w:t>participants</w:t>
      </w:r>
      <w:r w:rsidR="003D640C">
        <w:t xml:space="preserve"> </w:t>
      </w:r>
      <w:r w:rsidRPr="00BB6220">
        <w:t>being</w:t>
      </w:r>
      <w:r w:rsidR="003D640C">
        <w:t xml:space="preserve"> </w:t>
      </w:r>
      <w:r w:rsidRPr="00BB6220">
        <w:t>able</w:t>
      </w:r>
      <w:r w:rsidR="003D640C">
        <w:t xml:space="preserve"> </w:t>
      </w:r>
      <w:r w:rsidRPr="00BB6220">
        <w:t>to</w:t>
      </w:r>
      <w:r w:rsidR="003D640C">
        <w:t xml:space="preserve"> </w:t>
      </w:r>
      <w:r w:rsidRPr="00BB6220">
        <w:t>see</w:t>
      </w:r>
      <w:r w:rsidR="003D640C">
        <w:t xml:space="preserve"> </w:t>
      </w:r>
      <w:r w:rsidRPr="00BB6220">
        <w:t>themselves</w:t>
      </w:r>
      <w:r w:rsidR="003D640C">
        <w:t xml:space="preserve"> </w:t>
      </w:r>
      <w:r w:rsidRPr="00BB6220">
        <w:t>reflected</w:t>
      </w:r>
      <w:r w:rsidR="003D640C">
        <w:t xml:space="preserve"> </w:t>
      </w:r>
      <w:r w:rsidRPr="00BB6220">
        <w:t>in</w:t>
      </w:r>
      <w:r w:rsidR="003D640C">
        <w:t xml:space="preserve"> </w:t>
      </w:r>
      <w:r w:rsidRPr="00BB6220">
        <w:t>teaching</w:t>
      </w:r>
      <w:r w:rsidR="003D640C">
        <w:t xml:space="preserve"> </w:t>
      </w:r>
      <w:r w:rsidRPr="00BB6220">
        <w:t>material</w:t>
      </w:r>
      <w:r w:rsidR="003D640C">
        <w:t xml:space="preserve"> </w:t>
      </w:r>
      <w:r w:rsidRPr="00BB6220">
        <w:t>is</w:t>
      </w:r>
      <w:r w:rsidR="003D640C">
        <w:t xml:space="preserve"> </w:t>
      </w:r>
      <w:r w:rsidRPr="00BB6220">
        <w:t>key</w:t>
      </w:r>
      <w:r w:rsidR="003D640C">
        <w:t xml:space="preserve"> </w:t>
      </w:r>
      <w:r w:rsidRPr="00BB6220">
        <w:t>to</w:t>
      </w:r>
      <w:r w:rsidR="003D640C">
        <w:t xml:space="preserve"> </w:t>
      </w:r>
      <w:r w:rsidRPr="00BB6220">
        <w:t>learning.</w:t>
      </w:r>
      <w:r w:rsidR="003D640C">
        <w:t xml:space="preserve"> </w:t>
      </w:r>
      <w:r w:rsidR="003951C6" w:rsidRPr="00BB6220">
        <w:t>Survivors</w:t>
      </w:r>
      <w:r w:rsidR="003D640C">
        <w:t xml:space="preserve"> </w:t>
      </w:r>
      <w:r w:rsidR="003951C6" w:rsidRPr="00BB6220">
        <w:t>provided</w:t>
      </w:r>
      <w:r w:rsidR="003D640C">
        <w:t xml:space="preserve"> </w:t>
      </w:r>
      <w:r w:rsidR="003951C6" w:rsidRPr="00BB6220">
        <w:t>the</w:t>
      </w:r>
      <w:r w:rsidR="003D640C">
        <w:t xml:space="preserve"> </w:t>
      </w:r>
      <w:r w:rsidR="003951C6" w:rsidRPr="00BB6220">
        <w:t>following</w:t>
      </w:r>
      <w:r w:rsidR="003D640C">
        <w:t xml:space="preserve"> </w:t>
      </w:r>
      <w:r w:rsidR="003951C6" w:rsidRPr="00BB6220">
        <w:t>advice</w:t>
      </w:r>
      <w:r w:rsidR="003D640C">
        <w:t xml:space="preserve"> </w:t>
      </w:r>
      <w:r w:rsidR="003951C6" w:rsidRPr="00BB6220">
        <w:t>regarding</w:t>
      </w:r>
      <w:r w:rsidR="003D640C">
        <w:t xml:space="preserve"> </w:t>
      </w:r>
      <w:r w:rsidR="003951C6" w:rsidRPr="00BB6220">
        <w:t>religious</w:t>
      </w:r>
      <w:r w:rsidR="003D640C">
        <w:t xml:space="preserve"> </w:t>
      </w:r>
      <w:r w:rsidR="003951C6" w:rsidRPr="00BB6220">
        <w:t>teachings</w:t>
      </w:r>
      <w:r w:rsidR="00C13585">
        <w:t>.</w:t>
      </w:r>
    </w:p>
    <w:p w14:paraId="17095D93" w14:textId="437AC5C4" w:rsidR="00501068" w:rsidRDefault="00524EA2" w:rsidP="009B6B4C">
      <w:pPr>
        <w:pStyle w:val="Bullet"/>
      </w:pPr>
      <w:r w:rsidRPr="00BB6220">
        <w:rPr>
          <w:b/>
          <w:bCs/>
        </w:rPr>
        <w:t>Reflect</w:t>
      </w:r>
      <w:r w:rsidR="003D640C">
        <w:rPr>
          <w:b/>
          <w:bCs/>
        </w:rPr>
        <w:t xml:space="preserve"> </w:t>
      </w:r>
      <w:r w:rsidRPr="00BB6220">
        <w:rPr>
          <w:b/>
          <w:bCs/>
        </w:rPr>
        <w:t>on</w:t>
      </w:r>
      <w:r w:rsidR="003D640C">
        <w:rPr>
          <w:b/>
          <w:bCs/>
        </w:rPr>
        <w:t xml:space="preserve"> </w:t>
      </w:r>
      <w:r w:rsidRPr="00BB6220">
        <w:rPr>
          <w:b/>
          <w:bCs/>
        </w:rPr>
        <w:t>the</w:t>
      </w:r>
      <w:r w:rsidR="003D640C">
        <w:rPr>
          <w:b/>
          <w:bCs/>
        </w:rPr>
        <w:t xml:space="preserve"> </w:t>
      </w:r>
      <w:r w:rsidRPr="00BB6220">
        <w:rPr>
          <w:b/>
          <w:bCs/>
        </w:rPr>
        <w:t>teaching</w:t>
      </w:r>
      <w:r w:rsidR="003D640C">
        <w:rPr>
          <w:b/>
          <w:bCs/>
        </w:rPr>
        <w:t xml:space="preserve"> </w:t>
      </w:r>
      <w:r w:rsidRPr="00BB6220">
        <w:rPr>
          <w:b/>
          <w:bCs/>
        </w:rPr>
        <w:t>programmes</w:t>
      </w:r>
      <w:r w:rsidR="003D640C">
        <w:rPr>
          <w:b/>
          <w:bCs/>
        </w:rPr>
        <w:t xml:space="preserve"> </w:t>
      </w:r>
      <w:r w:rsidRPr="00BB6220">
        <w:rPr>
          <w:b/>
          <w:bCs/>
        </w:rPr>
        <w:t>and</w:t>
      </w:r>
      <w:r w:rsidR="003D640C">
        <w:rPr>
          <w:b/>
          <w:bCs/>
        </w:rPr>
        <w:t xml:space="preserve"> </w:t>
      </w:r>
      <w:r w:rsidRPr="00BB6220">
        <w:rPr>
          <w:b/>
          <w:bCs/>
        </w:rPr>
        <w:t>materials</w:t>
      </w:r>
      <w:r w:rsidR="003D640C">
        <w:rPr>
          <w:b/>
          <w:bCs/>
        </w:rPr>
        <w:t xml:space="preserve"> </w:t>
      </w:r>
      <w:r w:rsidRPr="00BB6220">
        <w:rPr>
          <w:b/>
          <w:bCs/>
        </w:rPr>
        <w:t>you</w:t>
      </w:r>
      <w:r w:rsidR="003D640C">
        <w:rPr>
          <w:b/>
          <w:bCs/>
        </w:rPr>
        <w:t xml:space="preserve"> </w:t>
      </w:r>
      <w:r w:rsidRPr="00BB6220">
        <w:rPr>
          <w:b/>
          <w:bCs/>
        </w:rPr>
        <w:t>use</w:t>
      </w:r>
      <w:r w:rsidR="003D640C">
        <w:t xml:space="preserve"> </w:t>
      </w:r>
      <w:r w:rsidRPr="00BB6220">
        <w:t>and</w:t>
      </w:r>
      <w:r w:rsidR="003D640C">
        <w:t xml:space="preserve"> </w:t>
      </w:r>
      <w:r w:rsidRPr="00BB6220">
        <w:t>assess</w:t>
      </w:r>
      <w:r w:rsidR="003D640C">
        <w:t xml:space="preserve"> </w:t>
      </w:r>
      <w:r w:rsidRPr="00BB6220">
        <w:t>whether</w:t>
      </w:r>
      <w:r w:rsidR="003D640C">
        <w:t xml:space="preserve"> </w:t>
      </w:r>
      <w:r w:rsidRPr="00BB6220">
        <w:t>they</w:t>
      </w:r>
      <w:r w:rsidR="003D640C">
        <w:t xml:space="preserve"> </w:t>
      </w:r>
      <w:r w:rsidRPr="00BB6220">
        <w:t>are</w:t>
      </w:r>
      <w:r w:rsidR="003D640C">
        <w:t xml:space="preserve"> </w:t>
      </w:r>
      <w:r w:rsidRPr="00BB6220">
        <w:t>inclusive</w:t>
      </w:r>
      <w:r w:rsidR="003D640C">
        <w:t xml:space="preserve"> </w:t>
      </w:r>
      <w:r w:rsidRPr="00BB6220">
        <w:t>of</w:t>
      </w:r>
      <w:r w:rsidR="003D640C">
        <w:t xml:space="preserve"> </w:t>
      </w:r>
      <w:r w:rsidR="006C3CA0" w:rsidRPr="00BB6220">
        <w:t>Rainbow</w:t>
      </w:r>
      <w:r w:rsidR="003D640C">
        <w:t xml:space="preserve"> </w:t>
      </w:r>
      <w:r w:rsidRPr="00BB6220">
        <w:t>people</w:t>
      </w:r>
      <w:r w:rsidR="003D640C">
        <w:t xml:space="preserve"> </w:t>
      </w:r>
      <w:r w:rsidRPr="00BB6220">
        <w:t>and</w:t>
      </w:r>
      <w:r w:rsidR="003D640C">
        <w:t xml:space="preserve"> </w:t>
      </w:r>
      <w:r w:rsidRPr="00BB6220">
        <w:t>experiences.</w:t>
      </w:r>
      <w:r w:rsidR="003D640C">
        <w:t xml:space="preserve"> </w:t>
      </w:r>
      <w:r w:rsidRPr="00BB6220">
        <w:t>You</w:t>
      </w:r>
      <w:r w:rsidR="003D640C">
        <w:t xml:space="preserve"> </w:t>
      </w:r>
      <w:r w:rsidRPr="00BB6220">
        <w:t>might</w:t>
      </w:r>
      <w:r w:rsidR="003D640C">
        <w:t xml:space="preserve"> </w:t>
      </w:r>
      <w:r w:rsidRPr="00BB6220">
        <w:t>find</w:t>
      </w:r>
      <w:r w:rsidR="003D640C">
        <w:t xml:space="preserve"> </w:t>
      </w:r>
      <w:r w:rsidRPr="00BB6220">
        <w:t>that</w:t>
      </w:r>
      <w:r w:rsidR="00C13585">
        <w:t>,</w:t>
      </w:r>
      <w:r w:rsidR="003D640C">
        <w:t xml:space="preserve"> </w:t>
      </w:r>
      <w:r w:rsidRPr="00BB6220">
        <w:t>while</w:t>
      </w:r>
      <w:r w:rsidR="003D640C">
        <w:t xml:space="preserve"> </w:t>
      </w:r>
      <w:r w:rsidRPr="00BB6220">
        <w:t>they</w:t>
      </w:r>
      <w:r w:rsidR="003D640C">
        <w:t xml:space="preserve"> </w:t>
      </w:r>
      <w:r w:rsidRPr="00BB6220">
        <w:t>do</w:t>
      </w:r>
      <w:r w:rsidR="003D640C">
        <w:t xml:space="preserve"> </w:t>
      </w:r>
      <w:r w:rsidRPr="00BB6220">
        <w:t>not</w:t>
      </w:r>
      <w:r w:rsidR="003D640C">
        <w:t xml:space="preserve"> </w:t>
      </w:r>
      <w:r w:rsidRPr="00BB6220">
        <w:t>actively</w:t>
      </w:r>
      <w:r w:rsidR="003D640C">
        <w:t xml:space="preserve"> </w:t>
      </w:r>
      <w:r w:rsidRPr="00BB6220">
        <w:t>discriminate</w:t>
      </w:r>
      <w:r w:rsidR="003D640C">
        <w:t xml:space="preserve"> </w:t>
      </w:r>
      <w:r w:rsidRPr="00BB6220">
        <w:t>against</w:t>
      </w:r>
      <w:r w:rsidR="003D640C">
        <w:t xml:space="preserve"> </w:t>
      </w:r>
      <w:r w:rsidR="006C3CA0" w:rsidRPr="00BB6220">
        <w:t>Rainbow</w:t>
      </w:r>
      <w:r w:rsidR="003D640C">
        <w:t xml:space="preserve"> </w:t>
      </w:r>
      <w:r w:rsidRPr="00BB6220">
        <w:t>people,</w:t>
      </w:r>
      <w:r w:rsidR="003D640C">
        <w:t xml:space="preserve"> </w:t>
      </w:r>
      <w:r w:rsidRPr="00BB6220">
        <w:t>they</w:t>
      </w:r>
      <w:r w:rsidR="003D640C">
        <w:t xml:space="preserve"> </w:t>
      </w:r>
      <w:r w:rsidRPr="00BB6220">
        <w:t>do</w:t>
      </w:r>
      <w:r w:rsidR="003D640C">
        <w:t xml:space="preserve"> </w:t>
      </w:r>
      <w:r w:rsidRPr="00BB6220">
        <w:t>not</w:t>
      </w:r>
      <w:r w:rsidR="003D640C">
        <w:t xml:space="preserve"> </w:t>
      </w:r>
      <w:r w:rsidRPr="00BB6220">
        <w:t>represent</w:t>
      </w:r>
      <w:r w:rsidR="003D640C">
        <w:t xml:space="preserve"> </w:t>
      </w:r>
      <w:r w:rsidRPr="00BB6220">
        <w:t>them</w:t>
      </w:r>
      <w:r w:rsidR="003D640C">
        <w:t xml:space="preserve"> </w:t>
      </w:r>
      <w:r w:rsidRPr="00BB6220">
        <w:t>or</w:t>
      </w:r>
      <w:r w:rsidR="003D640C">
        <w:t xml:space="preserve"> </w:t>
      </w:r>
      <w:r w:rsidRPr="00BB6220">
        <w:t>their</w:t>
      </w:r>
      <w:r w:rsidR="003D640C">
        <w:t xml:space="preserve"> </w:t>
      </w:r>
      <w:r w:rsidRPr="00BB6220">
        <w:t>experience,</w:t>
      </w:r>
      <w:r w:rsidR="003D640C">
        <w:t xml:space="preserve"> </w:t>
      </w:r>
      <w:r w:rsidRPr="00BB6220">
        <w:t>for</w:t>
      </w:r>
      <w:r w:rsidR="003D640C">
        <w:t xml:space="preserve"> </w:t>
      </w:r>
      <w:r w:rsidRPr="00BB6220">
        <w:t>example</w:t>
      </w:r>
      <w:r w:rsidR="50080FD1" w:rsidRPr="00BB6220">
        <w:t>,</w:t>
      </w:r>
      <w:r w:rsidR="003D640C">
        <w:t xml:space="preserve"> </w:t>
      </w:r>
      <w:r w:rsidRPr="00BB6220">
        <w:t>same</w:t>
      </w:r>
      <w:r w:rsidR="0064680A">
        <w:t>-s</w:t>
      </w:r>
      <w:r w:rsidRPr="00BB6220">
        <w:t>ex</w:t>
      </w:r>
      <w:r w:rsidR="003D640C">
        <w:t xml:space="preserve"> </w:t>
      </w:r>
      <w:r w:rsidRPr="00BB6220">
        <w:t>relationship</w:t>
      </w:r>
      <w:r w:rsidR="640C24B8" w:rsidRPr="00BB6220">
        <w:t>s</w:t>
      </w:r>
      <w:r w:rsidR="003D640C">
        <w:t xml:space="preserve"> </w:t>
      </w:r>
      <w:r w:rsidRPr="00BB6220">
        <w:t>or</w:t>
      </w:r>
      <w:r w:rsidR="003D640C">
        <w:t xml:space="preserve"> </w:t>
      </w:r>
      <w:r w:rsidRPr="00BB6220">
        <w:t>same</w:t>
      </w:r>
      <w:r w:rsidR="0064680A">
        <w:t>-</w:t>
      </w:r>
      <w:r w:rsidRPr="00BB6220">
        <w:t>sex</w:t>
      </w:r>
      <w:r w:rsidR="003D640C">
        <w:t xml:space="preserve"> </w:t>
      </w:r>
      <w:r w:rsidRPr="00BB6220">
        <w:t>couples</w:t>
      </w:r>
      <w:r w:rsidR="003D640C">
        <w:t xml:space="preserve"> </w:t>
      </w:r>
      <w:r w:rsidRPr="00BB6220">
        <w:t>with</w:t>
      </w:r>
      <w:r w:rsidR="003D640C">
        <w:t xml:space="preserve"> </w:t>
      </w:r>
      <w:r w:rsidRPr="00BB6220">
        <w:t>children.</w:t>
      </w:r>
    </w:p>
    <w:p w14:paraId="029612F7" w14:textId="77777777" w:rsidR="00501068" w:rsidRDefault="00524EA2" w:rsidP="009B6B4C">
      <w:pPr>
        <w:pStyle w:val="Bullet"/>
      </w:pPr>
      <w:r w:rsidRPr="00BB6220">
        <w:rPr>
          <w:b/>
          <w:bCs/>
        </w:rPr>
        <w:t>Improve</w:t>
      </w:r>
      <w:r w:rsidR="003D640C">
        <w:rPr>
          <w:b/>
          <w:bCs/>
        </w:rPr>
        <w:t xml:space="preserve"> </w:t>
      </w:r>
      <w:r w:rsidR="006C3CA0" w:rsidRPr="00BB6220">
        <w:rPr>
          <w:b/>
          <w:bCs/>
        </w:rPr>
        <w:t>Rainbow</w:t>
      </w:r>
      <w:r w:rsidR="003D640C">
        <w:rPr>
          <w:b/>
          <w:bCs/>
        </w:rPr>
        <w:t xml:space="preserve"> </w:t>
      </w:r>
      <w:r w:rsidRPr="00BB6220">
        <w:rPr>
          <w:b/>
          <w:bCs/>
        </w:rPr>
        <w:t>representation</w:t>
      </w:r>
      <w:r w:rsidR="003D640C">
        <w:rPr>
          <w:b/>
          <w:bCs/>
        </w:rPr>
        <w:t xml:space="preserve"> </w:t>
      </w:r>
      <w:r w:rsidRPr="00BB6220">
        <w:rPr>
          <w:b/>
          <w:bCs/>
        </w:rPr>
        <w:t>in</w:t>
      </w:r>
      <w:r w:rsidR="003D640C">
        <w:rPr>
          <w:b/>
          <w:bCs/>
        </w:rPr>
        <w:t xml:space="preserve"> </w:t>
      </w:r>
      <w:r w:rsidRPr="00BB6220">
        <w:rPr>
          <w:b/>
          <w:bCs/>
        </w:rPr>
        <w:t>your</w:t>
      </w:r>
      <w:r w:rsidR="003D640C">
        <w:rPr>
          <w:b/>
          <w:bCs/>
        </w:rPr>
        <w:t xml:space="preserve"> </w:t>
      </w:r>
      <w:r w:rsidRPr="00BB6220">
        <w:rPr>
          <w:b/>
          <w:bCs/>
        </w:rPr>
        <w:t>teaching</w:t>
      </w:r>
      <w:r w:rsidR="003D640C">
        <w:rPr>
          <w:b/>
          <w:bCs/>
        </w:rPr>
        <w:t xml:space="preserve"> </w:t>
      </w:r>
      <w:r w:rsidRPr="00BB6220">
        <w:rPr>
          <w:b/>
          <w:bCs/>
        </w:rPr>
        <w:t>materials</w:t>
      </w:r>
      <w:r w:rsidR="003D640C">
        <w:rPr>
          <w:b/>
          <w:bCs/>
        </w:rPr>
        <w:t xml:space="preserve"> </w:t>
      </w:r>
      <w:r w:rsidRPr="00BB6220">
        <w:t>and</w:t>
      </w:r>
      <w:r w:rsidR="003D640C">
        <w:t xml:space="preserve"> </w:t>
      </w:r>
      <w:r w:rsidRPr="00BB6220">
        <w:t>include</w:t>
      </w:r>
      <w:r w:rsidR="003D640C">
        <w:t xml:space="preserve"> </w:t>
      </w:r>
      <w:r w:rsidRPr="00BB6220">
        <w:t>messages</w:t>
      </w:r>
      <w:r w:rsidR="003D640C">
        <w:t xml:space="preserve"> </w:t>
      </w:r>
      <w:r w:rsidRPr="00BB6220">
        <w:t>of</w:t>
      </w:r>
      <w:r w:rsidR="003D640C">
        <w:t xml:space="preserve"> </w:t>
      </w:r>
      <w:r w:rsidRPr="00BB6220">
        <w:t>affirmation</w:t>
      </w:r>
      <w:r w:rsidR="003D640C">
        <w:t xml:space="preserve"> </w:t>
      </w:r>
      <w:r w:rsidRPr="00BB6220">
        <w:t>for</w:t>
      </w:r>
      <w:r w:rsidR="003D640C">
        <w:t xml:space="preserve"> </w:t>
      </w:r>
      <w:r w:rsidR="006C3CA0" w:rsidRPr="00BB6220">
        <w:t>Rainbow</w:t>
      </w:r>
      <w:r w:rsidR="003D640C">
        <w:t xml:space="preserve"> </w:t>
      </w:r>
      <w:r w:rsidRPr="00BB6220">
        <w:t>people.</w:t>
      </w:r>
      <w:r w:rsidR="003D640C">
        <w:t xml:space="preserve"> </w:t>
      </w:r>
      <w:r w:rsidRPr="00BB6220">
        <w:t>You</w:t>
      </w:r>
      <w:r w:rsidR="003D640C">
        <w:t xml:space="preserve"> </w:t>
      </w:r>
      <w:r w:rsidRPr="00BB6220">
        <w:t>may</w:t>
      </w:r>
      <w:r w:rsidR="003D640C">
        <w:t xml:space="preserve"> </w:t>
      </w:r>
      <w:r w:rsidRPr="00BB6220">
        <w:t>wish</w:t>
      </w:r>
      <w:r w:rsidR="003D640C">
        <w:t xml:space="preserve"> </w:t>
      </w:r>
      <w:r w:rsidRPr="00BB6220">
        <w:t>to</w:t>
      </w:r>
      <w:r w:rsidR="003D640C">
        <w:t xml:space="preserve"> </w:t>
      </w:r>
      <w:r w:rsidRPr="00BB6220">
        <w:t>seek</w:t>
      </w:r>
      <w:r w:rsidR="003D640C">
        <w:t xml:space="preserve"> </w:t>
      </w:r>
      <w:r w:rsidRPr="00BB6220">
        <w:t>the</w:t>
      </w:r>
      <w:r w:rsidR="003D640C">
        <w:t xml:space="preserve"> </w:t>
      </w:r>
      <w:r w:rsidRPr="00BB6220">
        <w:t>advice</w:t>
      </w:r>
      <w:r w:rsidR="003D640C">
        <w:t xml:space="preserve"> </w:t>
      </w:r>
      <w:r w:rsidRPr="00BB6220">
        <w:t>of</w:t>
      </w:r>
      <w:r w:rsidR="003D640C">
        <w:t xml:space="preserve"> </w:t>
      </w:r>
      <w:r w:rsidR="006C3CA0" w:rsidRPr="00BB6220">
        <w:t>Rainbow</w:t>
      </w:r>
      <w:r w:rsidR="003D640C">
        <w:t xml:space="preserve"> </w:t>
      </w:r>
      <w:r w:rsidRPr="00BB6220">
        <w:t>people</w:t>
      </w:r>
      <w:r w:rsidR="003D640C">
        <w:t xml:space="preserve"> </w:t>
      </w:r>
      <w:r w:rsidRPr="00BB6220">
        <w:t>before</w:t>
      </w:r>
      <w:r w:rsidR="003D640C">
        <w:t xml:space="preserve"> </w:t>
      </w:r>
      <w:r w:rsidRPr="00BB6220">
        <w:t>doing</w:t>
      </w:r>
      <w:r w:rsidR="003D640C">
        <w:t xml:space="preserve"> </w:t>
      </w:r>
      <w:r w:rsidRPr="00BB6220">
        <w:t>this.</w:t>
      </w:r>
      <w:r w:rsidR="003D640C">
        <w:t xml:space="preserve"> </w:t>
      </w:r>
      <w:r w:rsidRPr="00BB6220">
        <w:t>Alternatively,</w:t>
      </w:r>
      <w:r w:rsidR="003D640C">
        <w:t xml:space="preserve"> </w:t>
      </w:r>
      <w:r w:rsidRPr="00BB6220">
        <w:t>leaders</w:t>
      </w:r>
      <w:r w:rsidR="003D640C">
        <w:t xml:space="preserve"> </w:t>
      </w:r>
      <w:r w:rsidRPr="00BB6220">
        <w:t>of</w:t>
      </w:r>
      <w:r w:rsidR="003D640C">
        <w:t xml:space="preserve"> </w:t>
      </w:r>
      <w:r w:rsidRPr="00BB6220">
        <w:t>religious</w:t>
      </w:r>
      <w:r w:rsidR="003D640C">
        <w:t xml:space="preserve"> </w:t>
      </w:r>
      <w:r w:rsidRPr="00BB6220">
        <w:t>communities</w:t>
      </w:r>
      <w:r w:rsidR="003D640C">
        <w:t xml:space="preserve"> </w:t>
      </w:r>
      <w:r w:rsidRPr="00BB6220">
        <w:t>that</w:t>
      </w:r>
      <w:r w:rsidR="003D640C">
        <w:t xml:space="preserve"> </w:t>
      </w:r>
      <w:r w:rsidRPr="00BB6220">
        <w:t>are</w:t>
      </w:r>
      <w:r w:rsidR="003D640C">
        <w:t xml:space="preserve"> </w:t>
      </w:r>
      <w:r w:rsidRPr="00BB6220">
        <w:t>already</w:t>
      </w:r>
      <w:r w:rsidR="003D640C">
        <w:t xml:space="preserve"> </w:t>
      </w:r>
      <w:r w:rsidRPr="00BB6220">
        <w:t>affirming</w:t>
      </w:r>
      <w:r w:rsidR="003D640C">
        <w:t xml:space="preserve"> </w:t>
      </w:r>
      <w:r w:rsidRPr="00BB6220">
        <w:t>may</w:t>
      </w:r>
      <w:r w:rsidR="003D640C">
        <w:t xml:space="preserve"> </w:t>
      </w:r>
      <w:r w:rsidRPr="00BB6220">
        <w:t>be</w:t>
      </w:r>
      <w:r w:rsidR="003D640C">
        <w:t xml:space="preserve"> </w:t>
      </w:r>
      <w:r w:rsidRPr="00BB6220">
        <w:t>able</w:t>
      </w:r>
      <w:r w:rsidR="003D640C">
        <w:t xml:space="preserve"> </w:t>
      </w:r>
      <w:r w:rsidRPr="00BB6220">
        <w:t>to</w:t>
      </w:r>
      <w:r w:rsidR="003D640C">
        <w:t xml:space="preserve"> </w:t>
      </w:r>
      <w:r w:rsidRPr="00BB6220">
        <w:t>help.</w:t>
      </w:r>
    </w:p>
    <w:p w14:paraId="1D5E2C16" w14:textId="48090442" w:rsidR="00501068" w:rsidRDefault="00524EA2" w:rsidP="009B6B4C">
      <w:pPr>
        <w:pStyle w:val="Bullet"/>
      </w:pPr>
      <w:r w:rsidRPr="00BB6220">
        <w:rPr>
          <w:b/>
          <w:bCs/>
        </w:rPr>
        <w:lastRenderedPageBreak/>
        <w:t>‘Un-gendering’</w:t>
      </w:r>
      <w:r w:rsidR="003D640C">
        <w:rPr>
          <w:b/>
          <w:bCs/>
        </w:rPr>
        <w:t xml:space="preserve"> </w:t>
      </w:r>
      <w:r w:rsidRPr="00BB6220">
        <w:rPr>
          <w:b/>
          <w:bCs/>
        </w:rPr>
        <w:t>your</w:t>
      </w:r>
      <w:r w:rsidR="003D640C">
        <w:rPr>
          <w:b/>
          <w:bCs/>
        </w:rPr>
        <w:t xml:space="preserve"> </w:t>
      </w:r>
      <w:r w:rsidRPr="00BB6220">
        <w:rPr>
          <w:b/>
          <w:bCs/>
        </w:rPr>
        <w:t>language</w:t>
      </w:r>
      <w:r w:rsidR="003D640C">
        <w:rPr>
          <w:b/>
        </w:rPr>
        <w:t xml:space="preserve"> </w:t>
      </w:r>
      <w:r w:rsidRPr="00BB6220">
        <w:t>means</w:t>
      </w:r>
      <w:r w:rsidR="003D640C">
        <w:t xml:space="preserve"> </w:t>
      </w:r>
      <w:r w:rsidRPr="00BB6220">
        <w:t>moving</w:t>
      </w:r>
      <w:r w:rsidR="003D640C">
        <w:t xml:space="preserve"> </w:t>
      </w:r>
      <w:r w:rsidRPr="00BB6220">
        <w:t>away</w:t>
      </w:r>
      <w:r w:rsidR="003D640C">
        <w:t xml:space="preserve"> </w:t>
      </w:r>
      <w:r w:rsidRPr="00BB6220">
        <w:t>from</w:t>
      </w:r>
      <w:r w:rsidR="003D640C">
        <w:t xml:space="preserve"> </w:t>
      </w:r>
      <w:r w:rsidRPr="00BB6220">
        <w:t>the</w:t>
      </w:r>
      <w:r w:rsidR="003D640C">
        <w:t xml:space="preserve"> </w:t>
      </w:r>
      <w:r w:rsidRPr="00BB6220">
        <w:t>idea</w:t>
      </w:r>
      <w:r w:rsidR="003D640C">
        <w:t xml:space="preserve"> </w:t>
      </w:r>
      <w:r w:rsidRPr="00BB6220">
        <w:t>that</w:t>
      </w:r>
      <w:r w:rsidR="003D640C">
        <w:t xml:space="preserve"> </w:t>
      </w:r>
      <w:r w:rsidRPr="00BB6220">
        <w:t>all</w:t>
      </w:r>
      <w:r w:rsidR="003D640C">
        <w:t xml:space="preserve"> </w:t>
      </w:r>
      <w:r w:rsidRPr="00BB6220">
        <w:t>people</w:t>
      </w:r>
      <w:r w:rsidR="003D640C">
        <w:t xml:space="preserve"> </w:t>
      </w:r>
      <w:r w:rsidRPr="00BB6220">
        <w:t>are</w:t>
      </w:r>
      <w:r w:rsidR="003D640C">
        <w:t xml:space="preserve"> </w:t>
      </w:r>
      <w:r w:rsidRPr="00BB6220">
        <w:t>either</w:t>
      </w:r>
      <w:r w:rsidR="003D640C">
        <w:t xml:space="preserve"> </w:t>
      </w:r>
      <w:r w:rsidRPr="00BB6220">
        <w:t>male</w:t>
      </w:r>
      <w:r w:rsidR="003D640C">
        <w:t xml:space="preserve"> </w:t>
      </w:r>
      <w:r w:rsidRPr="00BB6220">
        <w:t>or</w:t>
      </w:r>
      <w:r w:rsidR="003D640C">
        <w:t xml:space="preserve"> </w:t>
      </w:r>
      <w:r w:rsidRPr="00BB6220">
        <w:t>female</w:t>
      </w:r>
      <w:r w:rsidR="003D640C">
        <w:t xml:space="preserve"> </w:t>
      </w:r>
      <w:r w:rsidRPr="00BB6220">
        <w:t>and</w:t>
      </w:r>
      <w:r w:rsidR="003D640C">
        <w:t xml:space="preserve"> </w:t>
      </w:r>
      <w:r w:rsidRPr="00BB6220">
        <w:t>making</w:t>
      </w:r>
      <w:r w:rsidR="003D640C">
        <w:t xml:space="preserve"> </w:t>
      </w:r>
      <w:r w:rsidRPr="00BB6220">
        <w:t>space</w:t>
      </w:r>
      <w:r w:rsidR="003D640C">
        <w:t xml:space="preserve"> </w:t>
      </w:r>
      <w:r w:rsidRPr="00BB6220">
        <w:t>for</w:t>
      </w:r>
      <w:r w:rsidR="003D640C">
        <w:t xml:space="preserve"> </w:t>
      </w:r>
      <w:r w:rsidRPr="00BB6220">
        <w:t>those</w:t>
      </w:r>
      <w:r w:rsidR="003D640C">
        <w:t xml:space="preserve"> </w:t>
      </w:r>
      <w:r w:rsidRPr="00BB6220">
        <w:t>whose</w:t>
      </w:r>
      <w:r w:rsidR="003D640C">
        <w:t xml:space="preserve"> </w:t>
      </w:r>
      <w:r w:rsidRPr="00BB6220">
        <w:t>experience</w:t>
      </w:r>
      <w:r w:rsidR="003D640C">
        <w:t xml:space="preserve"> </w:t>
      </w:r>
      <w:r w:rsidRPr="00BB6220">
        <w:t>is</w:t>
      </w:r>
      <w:r w:rsidR="003D640C">
        <w:t xml:space="preserve"> </w:t>
      </w:r>
      <w:r w:rsidRPr="00BB6220">
        <w:t>different.</w:t>
      </w:r>
      <w:r w:rsidR="003D640C">
        <w:t xml:space="preserve"> </w:t>
      </w:r>
      <w:r w:rsidRPr="00BB6220">
        <w:t>Instead</w:t>
      </w:r>
      <w:r w:rsidR="003D640C">
        <w:t xml:space="preserve"> </w:t>
      </w:r>
      <w:r w:rsidRPr="00BB6220">
        <w:t>of</w:t>
      </w:r>
      <w:r w:rsidR="003D640C">
        <w:t xml:space="preserve"> </w:t>
      </w:r>
      <w:r w:rsidRPr="00BB6220">
        <w:t>the</w:t>
      </w:r>
      <w:r w:rsidR="003D640C">
        <w:t xml:space="preserve"> </w:t>
      </w:r>
      <w:r w:rsidRPr="00BB6220">
        <w:t>gender</w:t>
      </w:r>
      <w:r w:rsidR="003D640C">
        <w:t xml:space="preserve"> </w:t>
      </w:r>
      <w:r w:rsidRPr="00BB6220">
        <w:t>binary</w:t>
      </w:r>
      <w:r w:rsidR="003D640C">
        <w:t xml:space="preserve"> </w:t>
      </w:r>
      <w:r w:rsidRPr="00BB6220">
        <w:t>of</w:t>
      </w:r>
      <w:r w:rsidR="003D640C">
        <w:t xml:space="preserve"> </w:t>
      </w:r>
      <w:r w:rsidRPr="00BB6220">
        <w:t>‘he’</w:t>
      </w:r>
      <w:r w:rsidR="003D640C">
        <w:t xml:space="preserve"> </w:t>
      </w:r>
      <w:r w:rsidRPr="00BB6220">
        <w:t>or</w:t>
      </w:r>
      <w:r w:rsidR="003D640C">
        <w:t xml:space="preserve"> </w:t>
      </w:r>
      <w:r w:rsidRPr="00BB6220">
        <w:t>‘she</w:t>
      </w:r>
      <w:bookmarkStart w:id="381" w:name="_Int_tYfyC5E2"/>
      <w:r w:rsidRPr="00BB6220">
        <w:t>’,</w:t>
      </w:r>
      <w:bookmarkEnd w:id="381"/>
      <w:r w:rsidR="003D640C">
        <w:t xml:space="preserve"> </w:t>
      </w:r>
      <w:r w:rsidRPr="00BB6220">
        <w:t>use</w:t>
      </w:r>
      <w:r w:rsidR="003D640C">
        <w:t xml:space="preserve"> </w:t>
      </w:r>
      <w:r w:rsidRPr="00BB6220">
        <w:t>neutral</w:t>
      </w:r>
      <w:r w:rsidR="003D640C">
        <w:t xml:space="preserve"> </w:t>
      </w:r>
      <w:r w:rsidRPr="00BB6220">
        <w:t>terms</w:t>
      </w:r>
      <w:r w:rsidR="003D640C">
        <w:t xml:space="preserve"> </w:t>
      </w:r>
      <w:r w:rsidRPr="00BB6220">
        <w:t>like</w:t>
      </w:r>
      <w:r w:rsidR="003D640C">
        <w:t xml:space="preserve"> </w:t>
      </w:r>
      <w:r w:rsidRPr="00BB6220">
        <w:t>‘they’,</w:t>
      </w:r>
      <w:r w:rsidR="003D640C">
        <w:t xml:space="preserve"> </w:t>
      </w:r>
      <w:r w:rsidRPr="00BB6220">
        <w:t>‘them’</w:t>
      </w:r>
      <w:r w:rsidR="6B4201A0" w:rsidRPr="00BB6220">
        <w:t>,</w:t>
      </w:r>
      <w:r w:rsidR="003D640C">
        <w:t xml:space="preserve"> </w:t>
      </w:r>
      <w:r w:rsidRPr="00BB6220">
        <w:t>or</w:t>
      </w:r>
      <w:r w:rsidR="003D640C">
        <w:t xml:space="preserve"> </w:t>
      </w:r>
      <w:r w:rsidRPr="00BB6220">
        <w:t>‘their’.</w:t>
      </w:r>
      <w:r w:rsidR="003D640C">
        <w:t xml:space="preserve"> </w:t>
      </w:r>
      <w:r w:rsidRPr="00BB6220">
        <w:t>Gender-neutral</w:t>
      </w:r>
      <w:r w:rsidR="003D640C">
        <w:t xml:space="preserve"> </w:t>
      </w:r>
      <w:r w:rsidRPr="00BB6220">
        <w:t>terms</w:t>
      </w:r>
      <w:r w:rsidR="003D640C">
        <w:t xml:space="preserve"> </w:t>
      </w:r>
      <w:r w:rsidRPr="00BB6220">
        <w:t>are</w:t>
      </w:r>
      <w:r w:rsidR="003D640C">
        <w:t xml:space="preserve"> </w:t>
      </w:r>
      <w:r w:rsidRPr="00BB6220">
        <w:t>already</w:t>
      </w:r>
      <w:r w:rsidR="003D640C">
        <w:t xml:space="preserve"> </w:t>
      </w:r>
      <w:r w:rsidRPr="00BB6220">
        <w:t>used</w:t>
      </w:r>
      <w:r w:rsidR="003D640C">
        <w:t xml:space="preserve"> </w:t>
      </w:r>
      <w:r w:rsidRPr="00BB6220">
        <w:t>when</w:t>
      </w:r>
      <w:r w:rsidR="003D640C">
        <w:t xml:space="preserve"> </w:t>
      </w:r>
      <w:r w:rsidRPr="00BB6220">
        <w:t>gender</w:t>
      </w:r>
      <w:r w:rsidR="003D640C">
        <w:t xml:space="preserve"> </w:t>
      </w:r>
      <w:r w:rsidRPr="00BB6220">
        <w:t>is</w:t>
      </w:r>
      <w:r w:rsidR="003D640C">
        <w:t xml:space="preserve"> </w:t>
      </w:r>
      <w:r w:rsidRPr="00BB6220">
        <w:t>unknown,</w:t>
      </w:r>
      <w:r w:rsidR="003D640C">
        <w:t xml:space="preserve"> </w:t>
      </w:r>
      <w:r w:rsidRPr="00BB6220">
        <w:t>for</w:t>
      </w:r>
      <w:r w:rsidR="003D640C">
        <w:t xml:space="preserve"> </w:t>
      </w:r>
      <w:r w:rsidRPr="00BB6220">
        <w:t>example,</w:t>
      </w:r>
      <w:r w:rsidR="003D640C">
        <w:t xml:space="preserve"> </w:t>
      </w:r>
      <w:r w:rsidR="67E1B0CB" w:rsidRPr="00BB6220">
        <w:t>‘</w:t>
      </w:r>
      <w:r w:rsidRPr="00BB6220">
        <w:t>Someone</w:t>
      </w:r>
      <w:r w:rsidR="003D640C">
        <w:t xml:space="preserve"> </w:t>
      </w:r>
      <w:r w:rsidRPr="00BB6220">
        <w:t>has</w:t>
      </w:r>
      <w:r w:rsidR="003D640C">
        <w:t xml:space="preserve"> </w:t>
      </w:r>
      <w:r w:rsidRPr="00BB6220">
        <w:t>lost</w:t>
      </w:r>
      <w:r w:rsidR="003D640C">
        <w:t xml:space="preserve"> </w:t>
      </w:r>
      <w:r w:rsidRPr="00BB6220">
        <w:t>their</w:t>
      </w:r>
      <w:r w:rsidR="003D640C">
        <w:t xml:space="preserve"> </w:t>
      </w:r>
      <w:r w:rsidR="340ADCBD" w:rsidRPr="00BB6220">
        <w:t>wallet’</w:t>
      </w:r>
      <w:r w:rsidR="0EACF503" w:rsidRPr="00BB6220">
        <w:t>.</w:t>
      </w:r>
      <w:r w:rsidR="003D640C">
        <w:t xml:space="preserve"> </w:t>
      </w:r>
      <w:r w:rsidRPr="00BB6220">
        <w:t>When</w:t>
      </w:r>
      <w:r w:rsidR="003D640C">
        <w:t xml:space="preserve"> </w:t>
      </w:r>
      <w:r w:rsidRPr="00BB6220">
        <w:t>we</w:t>
      </w:r>
      <w:r w:rsidR="003D640C">
        <w:t xml:space="preserve"> </w:t>
      </w:r>
      <w:r w:rsidRPr="00BB6220">
        <w:t>consistently</w:t>
      </w:r>
      <w:r w:rsidR="003D640C">
        <w:t xml:space="preserve"> </w:t>
      </w:r>
      <w:r w:rsidRPr="00BB6220">
        <w:t>use</w:t>
      </w:r>
      <w:r w:rsidR="003D640C">
        <w:t xml:space="preserve"> </w:t>
      </w:r>
      <w:r w:rsidRPr="00BB6220">
        <w:t>gendered</w:t>
      </w:r>
      <w:r w:rsidR="003D640C">
        <w:t xml:space="preserve"> </w:t>
      </w:r>
      <w:r w:rsidRPr="00BB6220">
        <w:t>terms,</w:t>
      </w:r>
      <w:r w:rsidR="003D640C">
        <w:t xml:space="preserve"> </w:t>
      </w:r>
      <w:r w:rsidRPr="00BB6220">
        <w:t>especially</w:t>
      </w:r>
      <w:r w:rsidR="003D640C">
        <w:t xml:space="preserve"> </w:t>
      </w:r>
      <w:r w:rsidRPr="00BB6220">
        <w:t>to</w:t>
      </w:r>
      <w:r w:rsidR="003D640C">
        <w:t xml:space="preserve"> </w:t>
      </w:r>
      <w:r w:rsidRPr="00BB6220">
        <w:t>refer</w:t>
      </w:r>
      <w:r w:rsidR="003D640C">
        <w:t xml:space="preserve"> </w:t>
      </w:r>
      <w:r w:rsidRPr="00BB6220">
        <w:t>to</w:t>
      </w:r>
      <w:r w:rsidR="003D640C">
        <w:t xml:space="preserve"> </w:t>
      </w:r>
      <w:r w:rsidRPr="00BB6220">
        <w:t>God</w:t>
      </w:r>
      <w:r w:rsidR="003D640C">
        <w:t xml:space="preserve"> </w:t>
      </w:r>
      <w:r w:rsidRPr="00BB6220">
        <w:t>(as</w:t>
      </w:r>
      <w:r w:rsidR="003D640C">
        <w:t xml:space="preserve"> </w:t>
      </w:r>
      <w:r w:rsidRPr="00BB6220">
        <w:t>‘he’)</w:t>
      </w:r>
      <w:r w:rsidR="00C13585">
        <w:t>,</w:t>
      </w:r>
      <w:r w:rsidR="003D640C">
        <w:t xml:space="preserve"> </w:t>
      </w:r>
      <w:r w:rsidRPr="00BB6220">
        <w:t>we</w:t>
      </w:r>
      <w:r w:rsidR="003D640C">
        <w:t xml:space="preserve"> </w:t>
      </w:r>
      <w:r w:rsidRPr="00BB6220">
        <w:t>reinforce</w:t>
      </w:r>
      <w:r w:rsidR="003D640C">
        <w:t xml:space="preserve"> </w:t>
      </w:r>
      <w:r w:rsidRPr="00BB6220">
        <w:t>the</w:t>
      </w:r>
      <w:r w:rsidR="003D640C">
        <w:t xml:space="preserve"> </w:t>
      </w:r>
      <w:r w:rsidRPr="00BB6220">
        <w:t>importance</w:t>
      </w:r>
      <w:r w:rsidR="003D640C">
        <w:t xml:space="preserve"> </w:t>
      </w:r>
      <w:r w:rsidRPr="00BB6220">
        <w:t>of</w:t>
      </w:r>
      <w:r w:rsidR="003D640C">
        <w:t xml:space="preserve"> </w:t>
      </w:r>
      <w:r w:rsidRPr="00BB6220">
        <w:t>the</w:t>
      </w:r>
      <w:r w:rsidR="003D640C">
        <w:t xml:space="preserve"> </w:t>
      </w:r>
      <w:r w:rsidRPr="00BB6220">
        <w:t>gender</w:t>
      </w:r>
      <w:r w:rsidR="003D640C">
        <w:t xml:space="preserve"> </w:t>
      </w:r>
      <w:r w:rsidRPr="00BB6220">
        <w:t>binary</w:t>
      </w:r>
      <w:r w:rsidR="003D640C">
        <w:t xml:space="preserve"> </w:t>
      </w:r>
      <w:r w:rsidRPr="00BB6220">
        <w:t>and</w:t>
      </w:r>
      <w:r w:rsidR="003D640C">
        <w:t xml:space="preserve"> </w:t>
      </w:r>
      <w:r w:rsidRPr="00BB6220">
        <w:t>male</w:t>
      </w:r>
      <w:r w:rsidR="003D640C">
        <w:t xml:space="preserve"> </w:t>
      </w:r>
      <w:r w:rsidRPr="00BB6220">
        <w:t>dominance,</w:t>
      </w:r>
      <w:r w:rsidR="003D640C">
        <w:t xml:space="preserve"> </w:t>
      </w:r>
      <w:r w:rsidRPr="00BB6220">
        <w:t>especially</w:t>
      </w:r>
      <w:r w:rsidR="003D640C">
        <w:t xml:space="preserve"> </w:t>
      </w:r>
      <w:r w:rsidRPr="00BB6220">
        <w:t>to</w:t>
      </w:r>
      <w:r w:rsidR="003D640C">
        <w:t xml:space="preserve"> </w:t>
      </w:r>
      <w:r w:rsidRPr="00BB6220">
        <w:t>people</w:t>
      </w:r>
      <w:r w:rsidR="003D640C">
        <w:t xml:space="preserve"> </w:t>
      </w:r>
      <w:r w:rsidRPr="00BB6220">
        <w:t>who</w:t>
      </w:r>
      <w:r w:rsidR="003D640C">
        <w:t xml:space="preserve"> </w:t>
      </w:r>
      <w:r w:rsidRPr="00BB6220">
        <w:t>are</w:t>
      </w:r>
      <w:r w:rsidR="003D640C">
        <w:t xml:space="preserve"> </w:t>
      </w:r>
      <w:r w:rsidRPr="00BB6220">
        <w:t>struggling</w:t>
      </w:r>
      <w:r w:rsidR="003D640C">
        <w:t xml:space="preserve"> </w:t>
      </w:r>
      <w:r w:rsidRPr="00BB6220">
        <w:t>with</w:t>
      </w:r>
      <w:r w:rsidR="003D640C">
        <w:t xml:space="preserve"> </w:t>
      </w:r>
      <w:r w:rsidRPr="00BB6220">
        <w:t>its</w:t>
      </w:r>
      <w:r w:rsidR="003D640C">
        <w:t xml:space="preserve"> </w:t>
      </w:r>
      <w:r w:rsidRPr="00BB6220">
        <w:t>impact</w:t>
      </w:r>
      <w:r w:rsidR="003D640C">
        <w:t xml:space="preserve"> </w:t>
      </w:r>
      <w:r w:rsidRPr="00BB6220">
        <w:t>on</w:t>
      </w:r>
      <w:r w:rsidR="003D640C">
        <w:t xml:space="preserve"> </w:t>
      </w:r>
      <w:r w:rsidRPr="00BB6220">
        <w:t>their</w:t>
      </w:r>
      <w:r w:rsidR="003D640C">
        <w:t xml:space="preserve"> </w:t>
      </w:r>
      <w:r w:rsidRPr="00BB6220">
        <w:t>lives</w:t>
      </w:r>
      <w:r w:rsidR="003D640C">
        <w:t xml:space="preserve"> </w:t>
      </w:r>
      <w:r w:rsidRPr="00BB6220">
        <w:t>and</w:t>
      </w:r>
      <w:r w:rsidR="003D640C">
        <w:t xml:space="preserve"> </w:t>
      </w:r>
      <w:r w:rsidRPr="00BB6220">
        <w:t>identity.</w:t>
      </w:r>
      <w:r w:rsidR="003D640C">
        <w:t xml:space="preserve"> </w:t>
      </w:r>
      <w:r w:rsidRPr="00BB6220">
        <w:t>This</w:t>
      </w:r>
      <w:r w:rsidR="003D640C">
        <w:t xml:space="preserve"> </w:t>
      </w:r>
      <w:r w:rsidRPr="00BB6220">
        <w:t>also</w:t>
      </w:r>
      <w:r w:rsidR="003D640C">
        <w:t xml:space="preserve"> </w:t>
      </w:r>
      <w:r w:rsidRPr="00BB6220">
        <w:t>applies</w:t>
      </w:r>
      <w:r w:rsidR="003D640C">
        <w:t xml:space="preserve"> </w:t>
      </w:r>
      <w:r w:rsidRPr="00BB6220">
        <w:t>to</w:t>
      </w:r>
      <w:r w:rsidR="003D640C">
        <w:t xml:space="preserve"> </w:t>
      </w:r>
      <w:r w:rsidRPr="00BB6220">
        <w:t>worship,</w:t>
      </w:r>
      <w:r w:rsidR="003D640C">
        <w:t xml:space="preserve"> </w:t>
      </w:r>
      <w:r w:rsidRPr="00BB6220">
        <w:t>prayer</w:t>
      </w:r>
      <w:r w:rsidR="26550EE6" w:rsidRPr="00BB6220">
        <w:t>,</w:t>
      </w:r>
      <w:r w:rsidR="003D640C">
        <w:t xml:space="preserve"> </w:t>
      </w:r>
      <w:r w:rsidRPr="00BB6220">
        <w:t>and</w:t>
      </w:r>
      <w:r w:rsidR="003D640C">
        <w:t xml:space="preserve"> </w:t>
      </w:r>
      <w:r w:rsidRPr="00BB6220">
        <w:t>liturgy.</w:t>
      </w:r>
      <w:r w:rsidR="003D640C">
        <w:t xml:space="preserve"> </w:t>
      </w:r>
    </w:p>
    <w:p w14:paraId="3D25EEDF" w14:textId="77777777" w:rsidR="00501068" w:rsidRDefault="00524EA2" w:rsidP="009B6B4C">
      <w:pPr>
        <w:pStyle w:val="Bullet"/>
      </w:pPr>
      <w:r w:rsidRPr="00BB6220">
        <w:rPr>
          <w:b/>
          <w:bCs/>
        </w:rPr>
        <w:t>Build</w:t>
      </w:r>
      <w:r w:rsidR="003D640C">
        <w:rPr>
          <w:b/>
          <w:bCs/>
        </w:rPr>
        <w:t xml:space="preserve"> </w:t>
      </w:r>
      <w:r w:rsidRPr="00BB6220">
        <w:rPr>
          <w:b/>
          <w:bCs/>
        </w:rPr>
        <w:t>in</w:t>
      </w:r>
      <w:r w:rsidR="003D640C">
        <w:rPr>
          <w:b/>
          <w:bCs/>
        </w:rPr>
        <w:t xml:space="preserve"> </w:t>
      </w:r>
      <w:r w:rsidRPr="00BB6220">
        <w:rPr>
          <w:b/>
          <w:bCs/>
        </w:rPr>
        <w:t>time</w:t>
      </w:r>
      <w:r w:rsidR="003D640C">
        <w:rPr>
          <w:b/>
          <w:bCs/>
        </w:rPr>
        <w:t xml:space="preserve"> </w:t>
      </w:r>
      <w:r w:rsidRPr="00BB6220">
        <w:rPr>
          <w:b/>
          <w:bCs/>
        </w:rPr>
        <w:t>to</w:t>
      </w:r>
      <w:r w:rsidR="003D640C">
        <w:rPr>
          <w:b/>
          <w:bCs/>
        </w:rPr>
        <w:t xml:space="preserve"> </w:t>
      </w:r>
      <w:r w:rsidRPr="00BB6220">
        <w:rPr>
          <w:b/>
          <w:bCs/>
        </w:rPr>
        <w:t>discuss</w:t>
      </w:r>
      <w:r w:rsidR="003D640C">
        <w:rPr>
          <w:b/>
          <w:bCs/>
        </w:rPr>
        <w:t xml:space="preserve"> </w:t>
      </w:r>
      <w:r w:rsidRPr="00BB6220">
        <w:rPr>
          <w:b/>
          <w:bCs/>
        </w:rPr>
        <w:t>the</w:t>
      </w:r>
      <w:r w:rsidR="003D640C">
        <w:rPr>
          <w:b/>
          <w:bCs/>
        </w:rPr>
        <w:t xml:space="preserve"> </w:t>
      </w:r>
      <w:r w:rsidRPr="00BB6220">
        <w:rPr>
          <w:b/>
          <w:bCs/>
        </w:rPr>
        <w:t>hard</w:t>
      </w:r>
      <w:r w:rsidR="003D640C">
        <w:rPr>
          <w:b/>
          <w:bCs/>
        </w:rPr>
        <w:t xml:space="preserve"> </w:t>
      </w:r>
      <w:r w:rsidRPr="00BB6220">
        <w:rPr>
          <w:b/>
          <w:bCs/>
        </w:rPr>
        <w:t>questions</w:t>
      </w:r>
      <w:r w:rsidR="003D640C">
        <w:t xml:space="preserve"> </w:t>
      </w:r>
      <w:r w:rsidRPr="00BB6220">
        <w:t>on</w:t>
      </w:r>
      <w:r w:rsidR="003D640C">
        <w:t xml:space="preserve"> </w:t>
      </w:r>
      <w:r w:rsidRPr="00BB6220">
        <w:t>your</w:t>
      </w:r>
      <w:r w:rsidR="003D640C">
        <w:t xml:space="preserve"> </w:t>
      </w:r>
      <w:r w:rsidRPr="00BB6220">
        <w:t>doctrine.</w:t>
      </w:r>
      <w:r w:rsidR="003D640C">
        <w:t xml:space="preserve"> </w:t>
      </w:r>
      <w:r w:rsidRPr="00BB6220">
        <w:t>This</w:t>
      </w:r>
      <w:r w:rsidR="003D640C">
        <w:t xml:space="preserve"> </w:t>
      </w:r>
      <w:r w:rsidRPr="00BB6220">
        <w:t>will</w:t>
      </w:r>
      <w:r w:rsidR="003D640C">
        <w:t xml:space="preserve"> </w:t>
      </w:r>
      <w:r w:rsidRPr="00BB6220">
        <w:t>rely</w:t>
      </w:r>
      <w:r w:rsidR="003D640C">
        <w:t xml:space="preserve"> </w:t>
      </w:r>
      <w:r w:rsidRPr="00BB6220">
        <w:t>on</w:t>
      </w:r>
      <w:r w:rsidR="003D640C">
        <w:t xml:space="preserve"> </w:t>
      </w:r>
      <w:r w:rsidRPr="00BB6220">
        <w:t>the</w:t>
      </w:r>
      <w:r w:rsidR="003D640C">
        <w:t xml:space="preserve"> </w:t>
      </w:r>
      <w:r w:rsidRPr="00BB6220">
        <w:t>willingness</w:t>
      </w:r>
      <w:r w:rsidR="003D640C">
        <w:t xml:space="preserve"> </w:t>
      </w:r>
      <w:r w:rsidRPr="00BB6220">
        <w:t>of</w:t>
      </w:r>
      <w:r w:rsidR="003D640C">
        <w:t xml:space="preserve"> </w:t>
      </w:r>
      <w:r w:rsidR="006C3CA0" w:rsidRPr="00BB6220">
        <w:t>Rainbow</w:t>
      </w:r>
      <w:r w:rsidR="003D640C">
        <w:t xml:space="preserve"> </w:t>
      </w:r>
      <w:r w:rsidRPr="00BB6220">
        <w:t>people</w:t>
      </w:r>
      <w:r w:rsidR="003D640C">
        <w:t xml:space="preserve"> </w:t>
      </w:r>
      <w:r w:rsidRPr="00BB6220">
        <w:t>within</w:t>
      </w:r>
      <w:r w:rsidR="003D640C">
        <w:t xml:space="preserve"> </w:t>
      </w:r>
      <w:r w:rsidRPr="00BB6220">
        <w:t>your</w:t>
      </w:r>
      <w:r w:rsidR="003D640C">
        <w:t xml:space="preserve"> </w:t>
      </w:r>
      <w:r w:rsidRPr="00BB6220">
        <w:t>community</w:t>
      </w:r>
      <w:r w:rsidR="003D640C">
        <w:t xml:space="preserve"> </w:t>
      </w:r>
      <w:r w:rsidRPr="00BB6220">
        <w:t>to</w:t>
      </w:r>
      <w:r w:rsidR="003D640C">
        <w:t xml:space="preserve"> </w:t>
      </w:r>
      <w:r w:rsidRPr="00BB6220">
        <w:t>take</w:t>
      </w:r>
      <w:r w:rsidR="003D640C">
        <w:t xml:space="preserve"> </w:t>
      </w:r>
      <w:r w:rsidRPr="00BB6220">
        <w:t>part.</w:t>
      </w:r>
      <w:r w:rsidR="003D640C">
        <w:t xml:space="preserve"> </w:t>
      </w:r>
      <w:r w:rsidRPr="00BB6220">
        <w:t>Ensure</w:t>
      </w:r>
      <w:r w:rsidR="003D640C">
        <w:t xml:space="preserve"> </w:t>
      </w:r>
      <w:r w:rsidRPr="00BB6220">
        <w:t>you</w:t>
      </w:r>
      <w:r w:rsidR="003D640C">
        <w:t xml:space="preserve"> </w:t>
      </w:r>
      <w:r w:rsidRPr="00BB6220">
        <w:t>create</w:t>
      </w:r>
      <w:r w:rsidR="003D640C">
        <w:t xml:space="preserve"> </w:t>
      </w:r>
      <w:r w:rsidRPr="00BB6220">
        <w:t>a</w:t>
      </w:r>
      <w:r w:rsidR="003D640C">
        <w:t xml:space="preserve"> </w:t>
      </w:r>
      <w:r w:rsidRPr="00BB6220">
        <w:t>safe</w:t>
      </w:r>
      <w:r w:rsidR="003D640C">
        <w:t xml:space="preserve"> </w:t>
      </w:r>
      <w:r w:rsidRPr="00BB6220">
        <w:t>space</w:t>
      </w:r>
      <w:r w:rsidR="003D640C">
        <w:t xml:space="preserve"> </w:t>
      </w:r>
      <w:r w:rsidRPr="00BB6220">
        <w:t>when</w:t>
      </w:r>
      <w:r w:rsidR="003D640C">
        <w:t xml:space="preserve"> </w:t>
      </w:r>
      <w:r w:rsidRPr="00BB6220">
        <w:t>you</w:t>
      </w:r>
      <w:r w:rsidR="003D640C">
        <w:t xml:space="preserve"> </w:t>
      </w:r>
      <w:r w:rsidRPr="00BB6220">
        <w:t>do</w:t>
      </w:r>
      <w:r w:rsidR="003D640C">
        <w:t xml:space="preserve"> </w:t>
      </w:r>
      <w:r w:rsidRPr="00BB6220">
        <w:t>this,</w:t>
      </w:r>
      <w:r w:rsidR="003D640C">
        <w:t xml:space="preserve"> </w:t>
      </w:r>
      <w:r w:rsidRPr="00BB6220">
        <w:t>with</w:t>
      </w:r>
      <w:r w:rsidR="003D640C">
        <w:t xml:space="preserve"> </w:t>
      </w:r>
      <w:r w:rsidRPr="00BB6220">
        <w:t>a</w:t>
      </w:r>
      <w:r w:rsidR="003D640C">
        <w:t xml:space="preserve"> </w:t>
      </w:r>
      <w:r w:rsidRPr="00BB6220">
        <w:t>solid</w:t>
      </w:r>
      <w:r w:rsidR="003D640C">
        <w:t xml:space="preserve"> </w:t>
      </w:r>
      <w:r w:rsidRPr="00BB6220">
        <w:t>trusting</w:t>
      </w:r>
      <w:r w:rsidR="003D640C">
        <w:t xml:space="preserve"> </w:t>
      </w:r>
      <w:r w:rsidRPr="00BB6220">
        <w:t>relationship</w:t>
      </w:r>
      <w:r w:rsidR="003D640C">
        <w:t xml:space="preserve"> </w:t>
      </w:r>
      <w:r w:rsidRPr="00BB6220">
        <w:t>as</w:t>
      </w:r>
      <w:r w:rsidR="003D640C">
        <w:t xml:space="preserve"> </w:t>
      </w:r>
      <w:r w:rsidRPr="00BB6220">
        <w:t>a</w:t>
      </w:r>
      <w:r w:rsidR="003D640C">
        <w:t xml:space="preserve"> </w:t>
      </w:r>
      <w:r w:rsidRPr="00BB6220">
        <w:t>foundation.</w:t>
      </w:r>
      <w:r w:rsidR="003D640C">
        <w:t xml:space="preserve"> </w:t>
      </w:r>
      <w:r w:rsidRPr="00BB6220">
        <w:t>People</w:t>
      </w:r>
      <w:r w:rsidR="003D640C">
        <w:t xml:space="preserve"> </w:t>
      </w:r>
      <w:r w:rsidRPr="00BB6220">
        <w:t>taking</w:t>
      </w:r>
      <w:r w:rsidR="003D640C">
        <w:t xml:space="preserve"> </w:t>
      </w:r>
      <w:r w:rsidRPr="00BB6220">
        <w:t>part</w:t>
      </w:r>
      <w:r w:rsidR="003D640C">
        <w:t xml:space="preserve"> </w:t>
      </w:r>
      <w:r w:rsidRPr="00BB6220">
        <w:t>need</w:t>
      </w:r>
      <w:r w:rsidR="003D640C">
        <w:t xml:space="preserve"> </w:t>
      </w:r>
      <w:r w:rsidRPr="00BB6220">
        <w:t>to</w:t>
      </w:r>
      <w:r w:rsidR="003D640C">
        <w:t xml:space="preserve"> </w:t>
      </w:r>
      <w:r w:rsidRPr="00BB6220">
        <w:t>know</w:t>
      </w:r>
      <w:r w:rsidR="003D640C">
        <w:t xml:space="preserve"> </w:t>
      </w:r>
      <w:r w:rsidRPr="00BB6220">
        <w:t>they</w:t>
      </w:r>
      <w:r w:rsidR="003D640C">
        <w:t xml:space="preserve"> </w:t>
      </w:r>
      <w:r w:rsidRPr="00BB6220">
        <w:t>will</w:t>
      </w:r>
      <w:r w:rsidR="003D640C">
        <w:t xml:space="preserve"> </w:t>
      </w:r>
      <w:r w:rsidRPr="00BB6220">
        <w:t>not</w:t>
      </w:r>
      <w:r w:rsidR="003D640C">
        <w:t xml:space="preserve"> </w:t>
      </w:r>
      <w:r w:rsidRPr="00BB6220">
        <w:t>be</w:t>
      </w:r>
      <w:r w:rsidR="003D640C">
        <w:t xml:space="preserve"> </w:t>
      </w:r>
      <w:r w:rsidRPr="00BB6220">
        <w:t>judged</w:t>
      </w:r>
      <w:r w:rsidR="003D640C">
        <w:t xml:space="preserve"> </w:t>
      </w:r>
      <w:r w:rsidRPr="00BB6220">
        <w:t>but</w:t>
      </w:r>
      <w:r w:rsidR="003D640C">
        <w:t xml:space="preserve"> </w:t>
      </w:r>
      <w:r w:rsidRPr="00BB6220">
        <w:t>received</w:t>
      </w:r>
      <w:r w:rsidR="003D640C">
        <w:t xml:space="preserve"> </w:t>
      </w:r>
      <w:r w:rsidRPr="00BB6220">
        <w:t>openly.</w:t>
      </w:r>
      <w:r w:rsidR="003D640C">
        <w:t xml:space="preserve"> </w:t>
      </w:r>
      <w:r w:rsidRPr="00BB6220">
        <w:t>This</w:t>
      </w:r>
      <w:r w:rsidR="003D640C">
        <w:t xml:space="preserve"> </w:t>
      </w:r>
      <w:r w:rsidRPr="00BB6220">
        <w:t>kind</w:t>
      </w:r>
      <w:r w:rsidR="003D640C">
        <w:t xml:space="preserve"> </w:t>
      </w:r>
      <w:r w:rsidRPr="00BB6220">
        <w:t>of</w:t>
      </w:r>
      <w:r w:rsidR="003D640C">
        <w:t xml:space="preserve"> </w:t>
      </w:r>
      <w:r w:rsidRPr="00BB6220">
        <w:t>practice</w:t>
      </w:r>
      <w:r w:rsidR="003D640C">
        <w:t xml:space="preserve"> </w:t>
      </w:r>
      <w:r w:rsidRPr="00BB6220">
        <w:t>also</w:t>
      </w:r>
      <w:r w:rsidR="003D640C">
        <w:t xml:space="preserve"> </w:t>
      </w:r>
      <w:r w:rsidRPr="00BB6220">
        <w:t>provides</w:t>
      </w:r>
      <w:r w:rsidR="003D640C">
        <w:t xml:space="preserve"> </w:t>
      </w:r>
      <w:r w:rsidRPr="00BB6220">
        <w:t>a</w:t>
      </w:r>
      <w:r w:rsidR="003D640C">
        <w:t xml:space="preserve"> </w:t>
      </w:r>
      <w:r w:rsidRPr="00BB6220">
        <w:t>rich</w:t>
      </w:r>
      <w:r w:rsidR="003D640C">
        <w:t xml:space="preserve"> </w:t>
      </w:r>
      <w:r w:rsidRPr="00BB6220">
        <w:t>learning</w:t>
      </w:r>
      <w:r w:rsidR="003D640C">
        <w:t xml:space="preserve"> </w:t>
      </w:r>
      <w:r w:rsidRPr="00BB6220">
        <w:t>opportunity</w:t>
      </w:r>
      <w:r w:rsidR="003D640C">
        <w:t xml:space="preserve"> </w:t>
      </w:r>
      <w:r w:rsidRPr="00BB6220">
        <w:t>for</w:t>
      </w:r>
      <w:r w:rsidR="003D640C">
        <w:t xml:space="preserve"> </w:t>
      </w:r>
      <w:r w:rsidRPr="00BB6220">
        <w:t>those</w:t>
      </w:r>
      <w:r w:rsidR="003D640C">
        <w:t xml:space="preserve"> </w:t>
      </w:r>
      <w:r w:rsidRPr="00BB6220">
        <w:t>outside</w:t>
      </w:r>
      <w:r w:rsidR="003D640C">
        <w:t xml:space="preserve"> </w:t>
      </w:r>
      <w:r w:rsidRPr="00BB6220">
        <w:t>the</w:t>
      </w:r>
      <w:r w:rsidR="003D640C">
        <w:t xml:space="preserve"> </w:t>
      </w:r>
      <w:r w:rsidR="006C3CA0" w:rsidRPr="00BB6220">
        <w:t>Rainbow</w:t>
      </w:r>
      <w:r w:rsidR="003D640C">
        <w:t xml:space="preserve"> </w:t>
      </w:r>
      <w:r w:rsidRPr="00BB6220">
        <w:t>community</w:t>
      </w:r>
      <w:r w:rsidR="003D640C">
        <w:t xml:space="preserve"> </w:t>
      </w:r>
      <w:r w:rsidRPr="00BB6220">
        <w:t>and</w:t>
      </w:r>
      <w:r w:rsidR="003D640C">
        <w:t xml:space="preserve"> </w:t>
      </w:r>
      <w:r w:rsidRPr="00BB6220">
        <w:t>for</w:t>
      </w:r>
      <w:r w:rsidR="003D640C">
        <w:t xml:space="preserve"> </w:t>
      </w:r>
      <w:r w:rsidRPr="00BB6220">
        <w:t>intergenerational</w:t>
      </w:r>
      <w:r w:rsidR="003D640C">
        <w:t xml:space="preserve"> </w:t>
      </w:r>
      <w:r w:rsidRPr="00BB6220">
        <w:t>learning.</w:t>
      </w:r>
    </w:p>
    <w:p w14:paraId="7032DC1D" w14:textId="77777777" w:rsidR="00501068" w:rsidRDefault="00524EA2" w:rsidP="009B6B4C">
      <w:pPr>
        <w:pStyle w:val="Bullet"/>
      </w:pPr>
      <w:r w:rsidRPr="00BB6220">
        <w:rPr>
          <w:b/>
          <w:bCs/>
        </w:rPr>
        <w:t>Be</w:t>
      </w:r>
      <w:r w:rsidR="003D640C">
        <w:rPr>
          <w:b/>
          <w:bCs/>
        </w:rPr>
        <w:t xml:space="preserve"> </w:t>
      </w:r>
      <w:r w:rsidRPr="00BB6220">
        <w:rPr>
          <w:b/>
          <w:bCs/>
        </w:rPr>
        <w:t>transparent</w:t>
      </w:r>
      <w:r w:rsidR="003D640C">
        <w:rPr>
          <w:b/>
          <w:bCs/>
        </w:rPr>
        <w:t xml:space="preserve"> </w:t>
      </w:r>
      <w:r w:rsidRPr="00BB6220">
        <w:rPr>
          <w:b/>
          <w:bCs/>
        </w:rPr>
        <w:t>about</w:t>
      </w:r>
      <w:r w:rsidR="003D640C">
        <w:rPr>
          <w:b/>
          <w:bCs/>
        </w:rPr>
        <w:t xml:space="preserve"> </w:t>
      </w:r>
      <w:r w:rsidRPr="00BB6220">
        <w:rPr>
          <w:b/>
          <w:bCs/>
        </w:rPr>
        <w:t>your</w:t>
      </w:r>
      <w:r w:rsidR="003D640C">
        <w:rPr>
          <w:b/>
          <w:bCs/>
        </w:rPr>
        <w:t xml:space="preserve"> </w:t>
      </w:r>
      <w:r w:rsidRPr="00BB6220">
        <w:rPr>
          <w:b/>
          <w:bCs/>
        </w:rPr>
        <w:t>teaching</w:t>
      </w:r>
      <w:r w:rsidR="003D640C">
        <w:t xml:space="preserve"> </w:t>
      </w:r>
      <w:r w:rsidRPr="00BB6220">
        <w:t>and</w:t>
      </w:r>
      <w:r w:rsidR="003D640C">
        <w:t xml:space="preserve"> </w:t>
      </w:r>
      <w:r w:rsidRPr="00BB6220">
        <w:t>your</w:t>
      </w:r>
      <w:r w:rsidR="003D640C">
        <w:t xml:space="preserve"> </w:t>
      </w:r>
      <w:r w:rsidRPr="00BB6220">
        <w:t>journey</w:t>
      </w:r>
      <w:r w:rsidR="003D640C">
        <w:t xml:space="preserve"> </w:t>
      </w:r>
      <w:r w:rsidRPr="00BB6220">
        <w:t>towards</w:t>
      </w:r>
      <w:r w:rsidR="003D640C">
        <w:t xml:space="preserve"> </w:t>
      </w:r>
      <w:r w:rsidRPr="00BB6220">
        <w:t>creating</w:t>
      </w:r>
      <w:r w:rsidR="003D640C">
        <w:t xml:space="preserve"> </w:t>
      </w:r>
      <w:r w:rsidRPr="00BB6220">
        <w:t>a</w:t>
      </w:r>
      <w:r w:rsidR="003D640C">
        <w:t xml:space="preserve"> </w:t>
      </w:r>
      <w:r w:rsidRPr="00BB6220">
        <w:t>more</w:t>
      </w:r>
      <w:r w:rsidR="003D640C">
        <w:t xml:space="preserve"> </w:t>
      </w:r>
      <w:r w:rsidRPr="00BB6220">
        <w:t>inclusive</w:t>
      </w:r>
      <w:r w:rsidR="003D640C">
        <w:t xml:space="preserve"> </w:t>
      </w:r>
      <w:r w:rsidRPr="00BB6220">
        <w:t>programme.</w:t>
      </w:r>
      <w:r w:rsidR="003D640C">
        <w:t xml:space="preserve"> </w:t>
      </w:r>
      <w:r w:rsidRPr="00BB6220">
        <w:t>This</w:t>
      </w:r>
      <w:r w:rsidR="003D640C">
        <w:t xml:space="preserve"> </w:t>
      </w:r>
      <w:r w:rsidRPr="00BB6220">
        <w:t>will</w:t>
      </w:r>
      <w:r w:rsidR="003D640C">
        <w:t xml:space="preserve"> </w:t>
      </w:r>
      <w:r w:rsidRPr="00BB6220">
        <w:t>give</w:t>
      </w:r>
      <w:r w:rsidR="003D640C">
        <w:t xml:space="preserve"> </w:t>
      </w:r>
      <w:r w:rsidRPr="00BB6220">
        <w:t>people,</w:t>
      </w:r>
      <w:r w:rsidR="003D640C">
        <w:t xml:space="preserve"> </w:t>
      </w:r>
      <w:r w:rsidRPr="00BB6220">
        <w:t>including</w:t>
      </w:r>
      <w:r w:rsidR="003D640C">
        <w:t xml:space="preserve"> </w:t>
      </w:r>
      <w:r w:rsidRPr="00BB6220">
        <w:t>potential</w:t>
      </w:r>
      <w:r w:rsidR="003D640C">
        <w:t xml:space="preserve"> </w:t>
      </w:r>
      <w:r w:rsidRPr="00BB6220">
        <w:t>new</w:t>
      </w:r>
      <w:r w:rsidR="003D640C">
        <w:t xml:space="preserve"> </w:t>
      </w:r>
      <w:r w:rsidRPr="00BB6220">
        <w:t>community</w:t>
      </w:r>
      <w:r w:rsidR="003D640C">
        <w:t xml:space="preserve"> </w:t>
      </w:r>
      <w:r w:rsidRPr="00BB6220">
        <w:t>members,</w:t>
      </w:r>
      <w:r w:rsidR="003D640C">
        <w:t xml:space="preserve"> </w:t>
      </w:r>
      <w:r w:rsidRPr="00BB6220">
        <w:t>the</w:t>
      </w:r>
      <w:r w:rsidR="003D640C">
        <w:t xml:space="preserve"> </w:t>
      </w:r>
      <w:r w:rsidRPr="00BB6220">
        <w:t>information</w:t>
      </w:r>
      <w:r w:rsidR="003D640C">
        <w:t xml:space="preserve"> </w:t>
      </w:r>
      <w:r w:rsidRPr="00BB6220">
        <w:t>they</w:t>
      </w:r>
      <w:r w:rsidR="003D640C">
        <w:t xml:space="preserve"> </w:t>
      </w:r>
      <w:r w:rsidRPr="00BB6220">
        <w:t>need</w:t>
      </w:r>
      <w:r w:rsidR="003D640C">
        <w:t xml:space="preserve"> </w:t>
      </w:r>
      <w:r w:rsidRPr="00BB6220">
        <w:t>to</w:t>
      </w:r>
      <w:r w:rsidR="003D640C">
        <w:t xml:space="preserve"> </w:t>
      </w:r>
      <w:r w:rsidRPr="00BB6220">
        <w:t>decide</w:t>
      </w:r>
      <w:r w:rsidR="003D640C">
        <w:t xml:space="preserve"> </w:t>
      </w:r>
      <w:r w:rsidRPr="00BB6220">
        <w:t>if</w:t>
      </w:r>
      <w:r w:rsidR="003D640C">
        <w:t xml:space="preserve"> </w:t>
      </w:r>
      <w:r w:rsidRPr="00BB6220">
        <w:t>your</w:t>
      </w:r>
      <w:r w:rsidR="003D640C">
        <w:t xml:space="preserve"> </w:t>
      </w:r>
      <w:r w:rsidRPr="00BB6220">
        <w:t>space</w:t>
      </w:r>
      <w:r w:rsidR="003D640C">
        <w:t xml:space="preserve"> </w:t>
      </w:r>
      <w:r w:rsidRPr="00BB6220">
        <w:t>is</w:t>
      </w:r>
      <w:r w:rsidR="003D640C">
        <w:t xml:space="preserve"> </w:t>
      </w:r>
      <w:r w:rsidRPr="00BB6220">
        <w:t>for</w:t>
      </w:r>
      <w:r w:rsidR="003D640C">
        <w:t xml:space="preserve"> </w:t>
      </w:r>
      <w:r w:rsidRPr="00BB6220">
        <w:t>them.</w:t>
      </w:r>
    </w:p>
    <w:p w14:paraId="702911D6" w14:textId="6204F218" w:rsidR="00524EA2" w:rsidRPr="00BB6220" w:rsidRDefault="00524EA2" w:rsidP="002C6363">
      <w:pPr>
        <w:pStyle w:val="Heading3"/>
      </w:pPr>
      <w:bookmarkStart w:id="382" w:name="_Toc138771243"/>
      <w:bookmarkStart w:id="383" w:name="_Toc167780640"/>
      <w:bookmarkStart w:id="384" w:name="_Toc1901622448"/>
      <w:bookmarkStart w:id="385" w:name="_Toc174628702"/>
      <w:r w:rsidRPr="00BB6220">
        <w:t>Prayer</w:t>
      </w:r>
      <w:r w:rsidR="003D640C">
        <w:t xml:space="preserve"> </w:t>
      </w:r>
      <w:r w:rsidRPr="00BB6220">
        <w:t>and</w:t>
      </w:r>
      <w:r w:rsidR="003D640C">
        <w:t xml:space="preserve"> </w:t>
      </w:r>
      <w:r w:rsidR="00A6027F">
        <w:t>l</w:t>
      </w:r>
      <w:r w:rsidRPr="00BB6220">
        <w:t>iturgy</w:t>
      </w:r>
      <w:bookmarkEnd w:id="382"/>
      <w:bookmarkEnd w:id="383"/>
      <w:bookmarkEnd w:id="384"/>
      <w:bookmarkEnd w:id="385"/>
    </w:p>
    <w:p w14:paraId="3A1B7018" w14:textId="34C4127B" w:rsidR="00524EA2" w:rsidRPr="00BB6220" w:rsidRDefault="00524EA2" w:rsidP="009B6B4C">
      <w:r w:rsidRPr="00BB6220">
        <w:t>Prayer</w:t>
      </w:r>
      <w:r w:rsidR="003D640C">
        <w:t xml:space="preserve"> </w:t>
      </w:r>
      <w:r w:rsidRPr="00BB6220">
        <w:t>is</w:t>
      </w:r>
      <w:r w:rsidR="003D640C">
        <w:t xml:space="preserve"> </w:t>
      </w:r>
      <w:r w:rsidRPr="00BB6220">
        <w:t>typically</w:t>
      </w:r>
      <w:r w:rsidR="003D640C">
        <w:t xml:space="preserve"> </w:t>
      </w:r>
      <w:r w:rsidRPr="00BB6220">
        <w:t>offered</w:t>
      </w:r>
      <w:r w:rsidR="003D640C">
        <w:t xml:space="preserve"> </w:t>
      </w:r>
      <w:r w:rsidRPr="00BB6220">
        <w:t>with</w:t>
      </w:r>
      <w:r w:rsidR="003D640C">
        <w:t xml:space="preserve"> </w:t>
      </w:r>
      <w:r w:rsidRPr="00BB6220">
        <w:t>the</w:t>
      </w:r>
      <w:r w:rsidR="003D640C">
        <w:t xml:space="preserve"> </w:t>
      </w:r>
      <w:r w:rsidRPr="00BB6220">
        <w:t>welfare</w:t>
      </w:r>
      <w:r w:rsidR="003D640C">
        <w:t xml:space="preserve"> </w:t>
      </w:r>
      <w:r w:rsidRPr="00BB6220">
        <w:t>of</w:t>
      </w:r>
      <w:r w:rsidR="003D640C">
        <w:t xml:space="preserve"> </w:t>
      </w:r>
      <w:r w:rsidRPr="00BB6220">
        <w:t>people</w:t>
      </w:r>
      <w:r w:rsidR="003D640C">
        <w:t xml:space="preserve"> </w:t>
      </w:r>
      <w:r w:rsidRPr="00BB6220">
        <w:t>in</w:t>
      </w:r>
      <w:r w:rsidR="003D640C">
        <w:t xml:space="preserve"> </w:t>
      </w:r>
      <w:r w:rsidRPr="00BB6220">
        <w:t>mind.</w:t>
      </w:r>
      <w:r w:rsidR="003D640C">
        <w:t xml:space="preserve"> </w:t>
      </w:r>
      <w:r w:rsidRPr="00BB6220">
        <w:t>It</w:t>
      </w:r>
      <w:r w:rsidR="003D640C">
        <w:t xml:space="preserve"> </w:t>
      </w:r>
      <w:r w:rsidRPr="00BB6220">
        <w:t>is</w:t>
      </w:r>
      <w:r w:rsidR="003D640C">
        <w:t xml:space="preserve"> </w:t>
      </w:r>
      <w:r w:rsidRPr="00BB6220">
        <w:t>likely</w:t>
      </w:r>
      <w:r w:rsidR="003D640C">
        <w:t xml:space="preserve"> </w:t>
      </w:r>
      <w:r w:rsidRPr="00BB6220">
        <w:t>that</w:t>
      </w:r>
      <w:r w:rsidR="00A6027F">
        <w:t>,</w:t>
      </w:r>
      <w:r w:rsidR="003D640C">
        <w:t xml:space="preserve"> </w:t>
      </w:r>
      <w:r w:rsidRPr="00BB6220">
        <w:t>at</w:t>
      </w:r>
      <w:r w:rsidR="003D640C">
        <w:t xml:space="preserve"> </w:t>
      </w:r>
      <w:r w:rsidRPr="00BB6220">
        <w:t>some</w:t>
      </w:r>
      <w:r w:rsidR="003D640C">
        <w:t xml:space="preserve"> </w:t>
      </w:r>
      <w:r w:rsidRPr="00BB6220">
        <w:t>time</w:t>
      </w:r>
      <w:r w:rsidR="00A6027F">
        <w:t>,</w:t>
      </w:r>
      <w:r w:rsidR="003D640C">
        <w:t xml:space="preserve"> </w:t>
      </w:r>
      <w:r w:rsidRPr="00BB6220">
        <w:t>you</w:t>
      </w:r>
      <w:r w:rsidR="003D640C">
        <w:t xml:space="preserve"> </w:t>
      </w:r>
      <w:r w:rsidRPr="00BB6220">
        <w:t>will</w:t>
      </w:r>
      <w:r w:rsidR="003D640C">
        <w:t xml:space="preserve"> </w:t>
      </w:r>
      <w:r w:rsidRPr="00BB6220">
        <w:t>wish</w:t>
      </w:r>
      <w:r w:rsidR="003D640C">
        <w:t xml:space="preserve"> </w:t>
      </w:r>
      <w:r w:rsidRPr="00BB6220">
        <w:t>to</w:t>
      </w:r>
      <w:r w:rsidR="003D640C">
        <w:t xml:space="preserve"> </w:t>
      </w:r>
      <w:r w:rsidRPr="00BB6220">
        <w:t>pray</w:t>
      </w:r>
      <w:r w:rsidR="003D640C">
        <w:t xml:space="preserve"> </w:t>
      </w:r>
      <w:r w:rsidRPr="00BB6220">
        <w:t>for</w:t>
      </w:r>
      <w:r w:rsidR="003D640C">
        <w:t xml:space="preserve"> </w:t>
      </w:r>
      <w:r w:rsidRPr="00BB6220">
        <w:t>a</w:t>
      </w:r>
      <w:r w:rsidR="003D640C">
        <w:t xml:space="preserve"> </w:t>
      </w:r>
      <w:r w:rsidR="006C3CA0" w:rsidRPr="00BB6220">
        <w:t>Rainbow</w:t>
      </w:r>
      <w:r w:rsidR="003D640C">
        <w:t xml:space="preserve"> </w:t>
      </w:r>
      <w:r w:rsidRPr="00BB6220">
        <w:t>person</w:t>
      </w:r>
      <w:r w:rsidR="003D640C">
        <w:t xml:space="preserve"> </w:t>
      </w:r>
      <w:r w:rsidRPr="00BB6220">
        <w:t>in</w:t>
      </w:r>
      <w:r w:rsidR="003D640C">
        <w:t xml:space="preserve"> </w:t>
      </w:r>
      <w:r w:rsidRPr="00BB6220">
        <w:t>your</w:t>
      </w:r>
      <w:r w:rsidR="003D640C">
        <w:t xml:space="preserve"> </w:t>
      </w:r>
      <w:r w:rsidRPr="00BB6220">
        <w:t>community.</w:t>
      </w:r>
      <w:r w:rsidR="003D640C">
        <w:t xml:space="preserve"> </w:t>
      </w:r>
      <w:r w:rsidRPr="00BB6220">
        <w:t>Understand</w:t>
      </w:r>
      <w:r w:rsidR="003D640C">
        <w:t xml:space="preserve"> </w:t>
      </w:r>
      <w:r w:rsidRPr="00BB6220">
        <w:t>they</w:t>
      </w:r>
      <w:r w:rsidR="003D640C">
        <w:t xml:space="preserve"> </w:t>
      </w:r>
      <w:r w:rsidRPr="00BB6220">
        <w:t>may</w:t>
      </w:r>
      <w:r w:rsidR="003D640C">
        <w:t xml:space="preserve"> </w:t>
      </w:r>
      <w:r w:rsidRPr="00BB6220">
        <w:t>have</w:t>
      </w:r>
      <w:r w:rsidR="003D640C">
        <w:t xml:space="preserve"> </w:t>
      </w:r>
      <w:r w:rsidRPr="00BB6220">
        <w:t>boundaries</w:t>
      </w:r>
      <w:r w:rsidR="003D640C">
        <w:t xml:space="preserve"> </w:t>
      </w:r>
      <w:r w:rsidRPr="00BB6220">
        <w:t>to</w:t>
      </w:r>
      <w:r w:rsidR="003D640C">
        <w:t xml:space="preserve"> </w:t>
      </w:r>
      <w:r w:rsidRPr="00BB6220">
        <w:t>protect</w:t>
      </w:r>
      <w:r w:rsidR="003D640C">
        <w:t xml:space="preserve"> </w:t>
      </w:r>
      <w:r w:rsidRPr="00BB6220">
        <w:t>their</w:t>
      </w:r>
      <w:r w:rsidR="003D640C">
        <w:t xml:space="preserve"> </w:t>
      </w:r>
      <w:r w:rsidRPr="00BB6220">
        <w:t>privacy</w:t>
      </w:r>
      <w:r w:rsidR="003D640C">
        <w:t xml:space="preserve"> </w:t>
      </w:r>
      <w:r w:rsidRPr="00BB6220">
        <w:t>and</w:t>
      </w:r>
      <w:r w:rsidR="003D640C">
        <w:t xml:space="preserve"> </w:t>
      </w:r>
      <w:r w:rsidRPr="00BB6220">
        <w:t>these</w:t>
      </w:r>
      <w:r w:rsidR="003D640C">
        <w:t xml:space="preserve"> </w:t>
      </w:r>
      <w:r w:rsidRPr="00BB6220">
        <w:t>need</w:t>
      </w:r>
      <w:r w:rsidR="003D640C">
        <w:t xml:space="preserve"> </w:t>
      </w:r>
      <w:r w:rsidRPr="00BB6220">
        <w:t>to</w:t>
      </w:r>
      <w:r w:rsidR="003D640C">
        <w:t xml:space="preserve"> </w:t>
      </w:r>
      <w:r w:rsidRPr="00BB6220">
        <w:t>be</w:t>
      </w:r>
      <w:r w:rsidR="003D640C">
        <w:t xml:space="preserve"> </w:t>
      </w:r>
      <w:r w:rsidRPr="00BB6220">
        <w:t>checked</w:t>
      </w:r>
      <w:r w:rsidR="003D640C">
        <w:t xml:space="preserve"> </w:t>
      </w:r>
      <w:r w:rsidRPr="00BB6220">
        <w:t>before</w:t>
      </w:r>
      <w:r w:rsidR="003D640C">
        <w:t xml:space="preserve"> </w:t>
      </w:r>
      <w:r w:rsidRPr="00BB6220">
        <w:t>they</w:t>
      </w:r>
      <w:r w:rsidR="003D640C">
        <w:t xml:space="preserve"> </w:t>
      </w:r>
      <w:r w:rsidRPr="00BB6220">
        <w:t>are</w:t>
      </w:r>
      <w:r w:rsidR="003D640C">
        <w:t xml:space="preserve"> </w:t>
      </w:r>
      <w:r w:rsidRPr="00BB6220">
        <w:t>included</w:t>
      </w:r>
      <w:r w:rsidR="003D640C">
        <w:t xml:space="preserve"> </w:t>
      </w:r>
      <w:r w:rsidRPr="00BB6220">
        <w:t>in</w:t>
      </w:r>
      <w:r w:rsidR="003D640C">
        <w:t xml:space="preserve"> </w:t>
      </w:r>
      <w:r w:rsidRPr="00BB6220">
        <w:t>prayer.</w:t>
      </w:r>
    </w:p>
    <w:p w14:paraId="2651FCBC" w14:textId="65A774A7" w:rsidR="00A6027F" w:rsidRDefault="00524EA2" w:rsidP="009B6B4C">
      <w:r w:rsidRPr="00BB6220">
        <w:t>Prayer</w:t>
      </w:r>
      <w:r w:rsidR="003D640C">
        <w:t xml:space="preserve"> </w:t>
      </w:r>
      <w:r w:rsidRPr="00BB6220">
        <w:t>has</w:t>
      </w:r>
      <w:r w:rsidR="003D640C">
        <w:t xml:space="preserve"> </w:t>
      </w:r>
      <w:r w:rsidRPr="00BB6220">
        <w:t>also</w:t>
      </w:r>
      <w:r w:rsidR="003D640C">
        <w:t xml:space="preserve"> </w:t>
      </w:r>
      <w:r w:rsidRPr="00BB6220">
        <w:t>been</w:t>
      </w:r>
      <w:r w:rsidR="003D640C">
        <w:t xml:space="preserve"> </w:t>
      </w:r>
      <w:r w:rsidRPr="00BB6220">
        <w:t>a</w:t>
      </w:r>
      <w:r w:rsidR="003D640C">
        <w:t xml:space="preserve"> </w:t>
      </w:r>
      <w:r w:rsidRPr="00BB6220">
        <w:t>channel</w:t>
      </w:r>
      <w:r w:rsidR="003D640C">
        <w:t xml:space="preserve"> </w:t>
      </w:r>
      <w:r w:rsidRPr="00BB6220">
        <w:t>for</w:t>
      </w:r>
      <w:r w:rsidR="003D640C">
        <w:t xml:space="preserve"> </w:t>
      </w:r>
      <w:r w:rsidRPr="00BB6220">
        <w:t>conversion</w:t>
      </w:r>
      <w:r w:rsidR="003D640C">
        <w:t xml:space="preserve"> </w:t>
      </w:r>
      <w:r w:rsidRPr="00BB6220">
        <w:t>practices</w:t>
      </w:r>
      <w:r w:rsidR="003D640C">
        <w:t xml:space="preserve"> </w:t>
      </w:r>
      <w:r w:rsidR="00A6027F">
        <w:t xml:space="preserve">that </w:t>
      </w:r>
      <w:r w:rsidRPr="00BB6220">
        <w:t>deny</w:t>
      </w:r>
      <w:r w:rsidR="003D640C">
        <w:t xml:space="preserve"> </w:t>
      </w:r>
      <w:r w:rsidR="006C3CA0" w:rsidRPr="00BB6220">
        <w:t>Rainbow</w:t>
      </w:r>
      <w:r w:rsidR="003D640C">
        <w:t xml:space="preserve"> </w:t>
      </w:r>
      <w:r w:rsidRPr="00BB6220">
        <w:t>people</w:t>
      </w:r>
      <w:r w:rsidR="003D640C">
        <w:t xml:space="preserve"> </w:t>
      </w:r>
      <w:r w:rsidRPr="00BB6220">
        <w:t>their</w:t>
      </w:r>
      <w:r w:rsidR="003D640C">
        <w:t xml:space="preserve"> </w:t>
      </w:r>
      <w:r w:rsidRPr="00BB6220">
        <w:t>rights,</w:t>
      </w:r>
      <w:r w:rsidR="003D640C">
        <w:t xml:space="preserve"> </w:t>
      </w:r>
      <w:r w:rsidRPr="00BB6220">
        <w:t>cause</w:t>
      </w:r>
      <w:r w:rsidR="003D640C">
        <w:t xml:space="preserve"> </w:t>
      </w:r>
      <w:r w:rsidRPr="00BB6220">
        <w:t>significant</w:t>
      </w:r>
      <w:r w:rsidR="003D640C">
        <w:t xml:space="preserve"> </w:t>
      </w:r>
      <w:r w:rsidRPr="00BB6220">
        <w:t>harm,</w:t>
      </w:r>
      <w:r w:rsidR="003D640C">
        <w:t xml:space="preserve"> </w:t>
      </w:r>
      <w:r w:rsidRPr="00BB6220">
        <w:t>and</w:t>
      </w:r>
      <w:r w:rsidR="003D640C">
        <w:t xml:space="preserve"> </w:t>
      </w:r>
      <w:r w:rsidRPr="00BB6220">
        <w:t>are</w:t>
      </w:r>
      <w:r w:rsidR="003D640C">
        <w:t xml:space="preserve"> </w:t>
      </w:r>
      <w:r w:rsidRPr="00BB6220">
        <w:t>now</w:t>
      </w:r>
      <w:r w:rsidR="003D640C">
        <w:t xml:space="preserve"> </w:t>
      </w:r>
      <w:r w:rsidRPr="00BB6220">
        <w:t>unlawful</w:t>
      </w:r>
      <w:r w:rsidR="003D640C">
        <w:t xml:space="preserve"> </w:t>
      </w:r>
      <w:r w:rsidR="00A6027F">
        <w:t xml:space="preserve">under section 5 of the CPPLA </w:t>
      </w:r>
      <w:r w:rsidR="0083033F">
        <w:t>if</w:t>
      </w:r>
      <w:r w:rsidR="003D640C">
        <w:t xml:space="preserve"> </w:t>
      </w:r>
      <w:r w:rsidR="002145B8">
        <w:t>done</w:t>
      </w:r>
      <w:r w:rsidR="003D640C">
        <w:t xml:space="preserve"> </w:t>
      </w:r>
      <w:r w:rsidR="002145B8">
        <w:t>towards</w:t>
      </w:r>
      <w:r w:rsidR="003D640C">
        <w:t xml:space="preserve"> </w:t>
      </w:r>
      <w:r w:rsidR="002145B8">
        <w:t>Rainbow</w:t>
      </w:r>
      <w:r w:rsidR="003D640C">
        <w:t xml:space="preserve"> </w:t>
      </w:r>
      <w:r w:rsidR="002145B8">
        <w:t>people</w:t>
      </w:r>
      <w:r w:rsidR="003D640C">
        <w:t xml:space="preserve"> </w:t>
      </w:r>
      <w:r w:rsidR="002145B8">
        <w:t>with</w:t>
      </w:r>
      <w:r w:rsidR="003D640C">
        <w:t xml:space="preserve"> </w:t>
      </w:r>
      <w:r w:rsidR="002145B8">
        <w:t>the</w:t>
      </w:r>
      <w:r w:rsidR="003D640C">
        <w:t xml:space="preserve"> </w:t>
      </w:r>
      <w:r w:rsidR="002145B8">
        <w:t>intention</w:t>
      </w:r>
      <w:r w:rsidR="003D640C">
        <w:t xml:space="preserve"> </w:t>
      </w:r>
      <w:r w:rsidR="002145B8">
        <w:t>of</w:t>
      </w:r>
      <w:r w:rsidR="003D640C">
        <w:t xml:space="preserve"> </w:t>
      </w:r>
      <w:r w:rsidR="002145B8">
        <w:t>changing</w:t>
      </w:r>
      <w:r w:rsidR="003D640C">
        <w:t xml:space="preserve"> </w:t>
      </w:r>
      <w:r w:rsidR="002145B8">
        <w:t>or</w:t>
      </w:r>
      <w:r w:rsidR="003D640C">
        <w:t xml:space="preserve"> </w:t>
      </w:r>
      <w:r w:rsidR="002145B8">
        <w:t>suppressing</w:t>
      </w:r>
      <w:r w:rsidR="003D640C">
        <w:t xml:space="preserve"> </w:t>
      </w:r>
      <w:r w:rsidR="002145B8">
        <w:t>their</w:t>
      </w:r>
      <w:r w:rsidR="003D640C">
        <w:t xml:space="preserve"> </w:t>
      </w:r>
      <w:r w:rsidR="002145B8">
        <w:t>Rainbow</w:t>
      </w:r>
      <w:r w:rsidR="003D640C">
        <w:t xml:space="preserve"> </w:t>
      </w:r>
      <w:r w:rsidR="002145B8">
        <w:t>identity</w:t>
      </w:r>
      <w:r w:rsidRPr="00BB6220">
        <w:t>.</w:t>
      </w:r>
      <w:r w:rsidR="003D640C">
        <w:t xml:space="preserve"> </w:t>
      </w:r>
      <w:r w:rsidRPr="00BB6220">
        <w:t>The</w:t>
      </w:r>
      <w:r w:rsidR="003D640C">
        <w:t xml:space="preserve"> </w:t>
      </w:r>
      <w:r w:rsidRPr="00BB6220">
        <w:t>motivation</w:t>
      </w:r>
      <w:r w:rsidR="003D640C">
        <w:t xml:space="preserve"> </w:t>
      </w:r>
      <w:r w:rsidRPr="00BB6220">
        <w:t>behind</w:t>
      </w:r>
      <w:r w:rsidR="003D640C">
        <w:t xml:space="preserve"> </w:t>
      </w:r>
      <w:r w:rsidRPr="00BB6220">
        <w:t>prayer</w:t>
      </w:r>
      <w:r w:rsidR="003D640C">
        <w:t xml:space="preserve"> </w:t>
      </w:r>
      <w:r w:rsidRPr="00BB6220">
        <w:t>needs</w:t>
      </w:r>
      <w:r w:rsidR="003D640C">
        <w:t xml:space="preserve"> </w:t>
      </w:r>
      <w:r w:rsidRPr="00BB6220">
        <w:t>be</w:t>
      </w:r>
      <w:r w:rsidR="003D640C">
        <w:t xml:space="preserve"> </w:t>
      </w:r>
      <w:r w:rsidRPr="00BB6220">
        <w:t>examined</w:t>
      </w:r>
      <w:r w:rsidR="003D640C">
        <w:t xml:space="preserve"> </w:t>
      </w:r>
      <w:r w:rsidRPr="00BB6220">
        <w:t>and</w:t>
      </w:r>
      <w:r w:rsidR="003D640C">
        <w:t xml:space="preserve"> </w:t>
      </w:r>
      <w:r w:rsidRPr="00BB6220">
        <w:t>monitored.</w:t>
      </w:r>
      <w:r w:rsidR="003D640C">
        <w:t xml:space="preserve"> </w:t>
      </w:r>
      <w:r w:rsidRPr="00BB6220">
        <w:t>This,</w:t>
      </w:r>
      <w:r w:rsidR="003D640C">
        <w:t xml:space="preserve"> </w:t>
      </w:r>
      <w:r w:rsidRPr="00BB6220">
        <w:t>and</w:t>
      </w:r>
      <w:r w:rsidR="003D640C">
        <w:t xml:space="preserve"> </w:t>
      </w:r>
      <w:r w:rsidRPr="00BB6220">
        <w:t>some</w:t>
      </w:r>
      <w:r w:rsidR="003D640C">
        <w:t xml:space="preserve"> </w:t>
      </w:r>
      <w:r w:rsidRPr="00BB6220">
        <w:t>traditionally</w:t>
      </w:r>
      <w:r w:rsidR="003D640C">
        <w:t xml:space="preserve"> </w:t>
      </w:r>
      <w:r w:rsidRPr="00BB6220">
        <w:t>held</w:t>
      </w:r>
      <w:r w:rsidR="003D640C">
        <w:t xml:space="preserve"> </w:t>
      </w:r>
      <w:r w:rsidRPr="00BB6220">
        <w:t>attitudes,</w:t>
      </w:r>
      <w:r w:rsidR="003D640C">
        <w:t xml:space="preserve"> </w:t>
      </w:r>
      <w:r w:rsidRPr="00BB6220">
        <w:t>may</w:t>
      </w:r>
      <w:r w:rsidR="003D640C">
        <w:t xml:space="preserve"> </w:t>
      </w:r>
      <w:r w:rsidRPr="00BB6220">
        <w:t>cause</w:t>
      </w:r>
      <w:r w:rsidR="003D640C">
        <w:t xml:space="preserve"> </w:t>
      </w:r>
      <w:r w:rsidR="006C3CA0" w:rsidRPr="00BB6220">
        <w:t>Rainbow</w:t>
      </w:r>
      <w:r w:rsidR="003D640C">
        <w:t xml:space="preserve"> </w:t>
      </w:r>
      <w:r w:rsidRPr="00BB6220">
        <w:t>people</w:t>
      </w:r>
      <w:r w:rsidR="003D640C">
        <w:t xml:space="preserve"> </w:t>
      </w:r>
      <w:r w:rsidRPr="00BB6220">
        <w:t>to</w:t>
      </w:r>
      <w:r w:rsidR="003D640C">
        <w:t xml:space="preserve"> </w:t>
      </w:r>
      <w:r w:rsidRPr="00BB6220">
        <w:t>be</w:t>
      </w:r>
      <w:r w:rsidR="003D640C">
        <w:t xml:space="preserve"> </w:t>
      </w:r>
      <w:r w:rsidRPr="00BB6220">
        <w:t>nervous</w:t>
      </w:r>
      <w:r w:rsidR="003D640C">
        <w:t xml:space="preserve"> </w:t>
      </w:r>
      <w:r w:rsidRPr="00BB6220">
        <w:t>about</w:t>
      </w:r>
      <w:r w:rsidR="003D640C">
        <w:t xml:space="preserve"> </w:t>
      </w:r>
      <w:r w:rsidRPr="00BB6220">
        <w:t>being</w:t>
      </w:r>
      <w:r w:rsidR="003D640C">
        <w:t xml:space="preserve"> </w:t>
      </w:r>
      <w:r w:rsidRPr="00BB6220">
        <w:t>prayed</w:t>
      </w:r>
      <w:r w:rsidR="003D640C">
        <w:t xml:space="preserve"> </w:t>
      </w:r>
      <w:r w:rsidRPr="00BB6220">
        <w:t>for</w:t>
      </w:r>
      <w:r w:rsidR="003D640C">
        <w:t xml:space="preserve"> </w:t>
      </w:r>
      <w:r w:rsidRPr="00BB6220">
        <w:t>by</w:t>
      </w:r>
      <w:r w:rsidR="003D640C">
        <w:t xml:space="preserve"> </w:t>
      </w:r>
      <w:r w:rsidRPr="00BB6220">
        <w:t>others.</w:t>
      </w:r>
      <w:r w:rsidR="003D640C">
        <w:t xml:space="preserve"> </w:t>
      </w:r>
    </w:p>
    <w:p w14:paraId="49A8281A" w14:textId="2DC53C02" w:rsidR="00524EA2" w:rsidRPr="00BB6220" w:rsidRDefault="003951C6" w:rsidP="009B6B4C">
      <w:r w:rsidRPr="00BB6220">
        <w:t>Survivors</w:t>
      </w:r>
      <w:r w:rsidR="003D640C">
        <w:t xml:space="preserve"> </w:t>
      </w:r>
      <w:r w:rsidRPr="00BB6220">
        <w:t>provided</w:t>
      </w:r>
      <w:r w:rsidR="003D640C">
        <w:t xml:space="preserve"> </w:t>
      </w:r>
      <w:r w:rsidRPr="00BB6220">
        <w:t>the</w:t>
      </w:r>
      <w:r w:rsidR="003D640C">
        <w:t xml:space="preserve"> </w:t>
      </w:r>
      <w:r w:rsidRPr="00BB6220">
        <w:t>following</w:t>
      </w:r>
      <w:r w:rsidR="003D640C">
        <w:t xml:space="preserve"> </w:t>
      </w:r>
      <w:r w:rsidRPr="00BB6220">
        <w:t>advice</w:t>
      </w:r>
      <w:r w:rsidR="003D640C">
        <w:t xml:space="preserve"> </w:t>
      </w:r>
      <w:r w:rsidRPr="00BB6220">
        <w:t>regarding</w:t>
      </w:r>
      <w:r w:rsidR="003D640C">
        <w:t xml:space="preserve"> </w:t>
      </w:r>
      <w:r w:rsidRPr="00BB6220">
        <w:t>prayer</w:t>
      </w:r>
      <w:r w:rsidR="003D640C">
        <w:t xml:space="preserve"> </w:t>
      </w:r>
      <w:r w:rsidRPr="00BB6220">
        <w:t>and</w:t>
      </w:r>
      <w:r w:rsidR="003D640C">
        <w:t xml:space="preserve"> </w:t>
      </w:r>
      <w:r w:rsidRPr="00BB6220">
        <w:t>liturgy</w:t>
      </w:r>
      <w:r w:rsidR="00A6027F">
        <w:t>.</w:t>
      </w:r>
    </w:p>
    <w:p w14:paraId="48827F34" w14:textId="77777777" w:rsidR="00501068" w:rsidRDefault="00524EA2" w:rsidP="009B6B4C">
      <w:pPr>
        <w:pStyle w:val="Bullet"/>
      </w:pPr>
      <w:r w:rsidRPr="00BB6220">
        <w:rPr>
          <w:b/>
          <w:bCs/>
        </w:rPr>
        <w:t>Review</w:t>
      </w:r>
      <w:r w:rsidR="003D640C">
        <w:rPr>
          <w:b/>
          <w:bCs/>
        </w:rPr>
        <w:t xml:space="preserve"> </w:t>
      </w:r>
      <w:r w:rsidRPr="00BB6220">
        <w:rPr>
          <w:b/>
          <w:bCs/>
        </w:rPr>
        <w:t>the</w:t>
      </w:r>
      <w:r w:rsidR="003D640C">
        <w:rPr>
          <w:b/>
          <w:bCs/>
        </w:rPr>
        <w:t xml:space="preserve"> </w:t>
      </w:r>
      <w:r w:rsidRPr="00BB6220">
        <w:rPr>
          <w:b/>
          <w:bCs/>
        </w:rPr>
        <w:t>prayers</w:t>
      </w:r>
      <w:r w:rsidR="003D640C">
        <w:rPr>
          <w:b/>
          <w:bCs/>
        </w:rPr>
        <w:t xml:space="preserve"> </w:t>
      </w:r>
      <w:r w:rsidRPr="00BB6220">
        <w:rPr>
          <w:b/>
          <w:bCs/>
        </w:rPr>
        <w:t>and</w:t>
      </w:r>
      <w:r w:rsidR="003D640C">
        <w:rPr>
          <w:b/>
          <w:bCs/>
        </w:rPr>
        <w:t xml:space="preserve"> </w:t>
      </w:r>
      <w:r w:rsidRPr="00BB6220">
        <w:rPr>
          <w:b/>
          <w:bCs/>
        </w:rPr>
        <w:t>liturgy</w:t>
      </w:r>
      <w:r w:rsidR="003D640C">
        <w:rPr>
          <w:b/>
          <w:bCs/>
        </w:rPr>
        <w:t xml:space="preserve"> </w:t>
      </w:r>
      <w:r w:rsidRPr="00BB6220">
        <w:rPr>
          <w:b/>
          <w:bCs/>
        </w:rPr>
        <w:t>offered</w:t>
      </w:r>
      <w:r w:rsidR="003D640C">
        <w:rPr>
          <w:b/>
          <w:bCs/>
        </w:rPr>
        <w:t xml:space="preserve"> </w:t>
      </w:r>
      <w:r w:rsidRPr="00BB6220">
        <w:rPr>
          <w:b/>
          <w:bCs/>
        </w:rPr>
        <w:t>in</w:t>
      </w:r>
      <w:r w:rsidR="003D640C">
        <w:rPr>
          <w:b/>
          <w:bCs/>
        </w:rPr>
        <w:t xml:space="preserve"> </w:t>
      </w:r>
      <w:r w:rsidRPr="00BB6220">
        <w:rPr>
          <w:b/>
          <w:bCs/>
        </w:rPr>
        <w:t>your</w:t>
      </w:r>
      <w:r w:rsidR="003D640C">
        <w:rPr>
          <w:b/>
          <w:bCs/>
        </w:rPr>
        <w:t xml:space="preserve"> </w:t>
      </w:r>
      <w:r w:rsidRPr="00BB6220">
        <w:rPr>
          <w:b/>
          <w:bCs/>
        </w:rPr>
        <w:t>space</w:t>
      </w:r>
      <w:r w:rsidRPr="00BB6220">
        <w:t>.</w:t>
      </w:r>
      <w:r w:rsidR="003D640C">
        <w:t xml:space="preserve"> </w:t>
      </w:r>
      <w:r w:rsidRPr="00BB6220">
        <w:t>If</w:t>
      </w:r>
      <w:r w:rsidR="003D640C">
        <w:t xml:space="preserve"> </w:t>
      </w:r>
      <w:r w:rsidRPr="00BB6220">
        <w:t>you</w:t>
      </w:r>
      <w:r w:rsidR="003D640C">
        <w:t xml:space="preserve"> </w:t>
      </w:r>
      <w:r w:rsidRPr="00BB6220">
        <w:t>think</w:t>
      </w:r>
      <w:r w:rsidR="003D640C">
        <w:t xml:space="preserve"> </w:t>
      </w:r>
      <w:r w:rsidRPr="00BB6220">
        <w:t>they</w:t>
      </w:r>
      <w:r w:rsidR="003D640C">
        <w:t xml:space="preserve"> </w:t>
      </w:r>
      <w:r w:rsidRPr="00BB6220">
        <w:t>may</w:t>
      </w:r>
      <w:r w:rsidR="003D640C">
        <w:t xml:space="preserve"> </w:t>
      </w:r>
      <w:r w:rsidRPr="00BB6220">
        <w:t>cross</w:t>
      </w:r>
      <w:r w:rsidR="003D640C">
        <w:t xml:space="preserve"> </w:t>
      </w:r>
      <w:r w:rsidRPr="00BB6220">
        <w:t>the</w:t>
      </w:r>
      <w:r w:rsidR="003D640C">
        <w:t xml:space="preserve"> </w:t>
      </w:r>
      <w:r w:rsidRPr="00BB6220">
        <w:t>line</w:t>
      </w:r>
      <w:r w:rsidR="003D640C">
        <w:t xml:space="preserve"> </w:t>
      </w:r>
      <w:r w:rsidRPr="00BB6220">
        <w:t>into</w:t>
      </w:r>
      <w:r w:rsidR="003D640C">
        <w:t xml:space="preserve"> </w:t>
      </w:r>
      <w:r w:rsidRPr="00BB6220">
        <w:t>a</w:t>
      </w:r>
      <w:r w:rsidR="003D640C">
        <w:t xml:space="preserve"> </w:t>
      </w:r>
      <w:r w:rsidRPr="00BB6220">
        <w:t>conversion</w:t>
      </w:r>
      <w:r w:rsidR="003D640C">
        <w:t xml:space="preserve"> </w:t>
      </w:r>
      <w:r w:rsidRPr="00BB6220">
        <w:t>practice,</w:t>
      </w:r>
      <w:r w:rsidR="003D640C">
        <w:t xml:space="preserve"> </w:t>
      </w:r>
      <w:r w:rsidRPr="00BB6220">
        <w:t>consider</w:t>
      </w:r>
      <w:r w:rsidR="003D640C">
        <w:t xml:space="preserve"> </w:t>
      </w:r>
      <w:r w:rsidRPr="00BB6220">
        <w:t>reaching</w:t>
      </w:r>
      <w:r w:rsidR="003D640C">
        <w:t xml:space="preserve"> </w:t>
      </w:r>
      <w:r w:rsidRPr="00BB6220">
        <w:t>out</w:t>
      </w:r>
      <w:r w:rsidR="003D640C">
        <w:t xml:space="preserve"> </w:t>
      </w:r>
      <w:r w:rsidRPr="00BB6220">
        <w:t>to</w:t>
      </w:r>
      <w:r w:rsidR="003D640C">
        <w:t xml:space="preserve"> </w:t>
      </w:r>
      <w:r w:rsidRPr="00BB6220">
        <w:t>the</w:t>
      </w:r>
      <w:r w:rsidR="003D640C">
        <w:t xml:space="preserve"> </w:t>
      </w:r>
      <w:r w:rsidRPr="00BB6220">
        <w:t>Commission.</w:t>
      </w:r>
      <w:r w:rsidR="003D640C">
        <w:t xml:space="preserve"> </w:t>
      </w:r>
      <w:r w:rsidRPr="00BB6220">
        <w:t>We</w:t>
      </w:r>
      <w:r w:rsidR="003D640C">
        <w:t xml:space="preserve"> </w:t>
      </w:r>
      <w:r w:rsidRPr="00BB6220">
        <w:t>can</w:t>
      </w:r>
      <w:r w:rsidR="003D640C">
        <w:t xml:space="preserve"> </w:t>
      </w:r>
      <w:r w:rsidRPr="00BB6220">
        <w:t>provide</w:t>
      </w:r>
      <w:r w:rsidR="003D640C">
        <w:t xml:space="preserve"> </w:t>
      </w:r>
      <w:r w:rsidRPr="00BB6220">
        <w:t>advice</w:t>
      </w:r>
      <w:r w:rsidR="003D640C">
        <w:t xml:space="preserve"> </w:t>
      </w:r>
      <w:r w:rsidRPr="00BB6220">
        <w:t>without</w:t>
      </w:r>
      <w:r w:rsidR="003D640C">
        <w:t xml:space="preserve"> </w:t>
      </w:r>
      <w:r w:rsidRPr="00BB6220">
        <w:t>bias</w:t>
      </w:r>
      <w:r w:rsidR="003D640C">
        <w:t xml:space="preserve"> </w:t>
      </w:r>
      <w:r w:rsidRPr="00BB6220">
        <w:t>or</w:t>
      </w:r>
      <w:r w:rsidR="003D640C">
        <w:t xml:space="preserve"> </w:t>
      </w:r>
      <w:r w:rsidRPr="00BB6220">
        <w:t>judgement</w:t>
      </w:r>
      <w:r w:rsidR="003D640C">
        <w:t xml:space="preserve"> </w:t>
      </w:r>
      <w:r w:rsidRPr="00BB6220">
        <w:t>and</w:t>
      </w:r>
      <w:r w:rsidR="003D640C">
        <w:t xml:space="preserve"> </w:t>
      </w:r>
      <w:r w:rsidRPr="00BB6220">
        <w:t>refer</w:t>
      </w:r>
      <w:r w:rsidR="003D640C">
        <w:t xml:space="preserve"> </w:t>
      </w:r>
      <w:r w:rsidRPr="00BB6220">
        <w:t>you</w:t>
      </w:r>
      <w:r w:rsidR="003D640C">
        <w:t xml:space="preserve"> </w:t>
      </w:r>
      <w:r w:rsidRPr="00BB6220">
        <w:t>to</w:t>
      </w:r>
      <w:r w:rsidR="003D640C">
        <w:t xml:space="preserve"> </w:t>
      </w:r>
      <w:r w:rsidRPr="00BB6220">
        <w:t>further</w:t>
      </w:r>
      <w:r w:rsidR="003D640C">
        <w:t xml:space="preserve"> </w:t>
      </w:r>
      <w:r w:rsidRPr="00BB6220">
        <w:t>sources</w:t>
      </w:r>
      <w:r w:rsidR="003D640C">
        <w:t xml:space="preserve"> </w:t>
      </w:r>
      <w:r w:rsidRPr="00BB6220">
        <w:t>of</w:t>
      </w:r>
      <w:r w:rsidR="003D640C">
        <w:t xml:space="preserve"> </w:t>
      </w:r>
      <w:r w:rsidRPr="00BB6220">
        <w:t>education</w:t>
      </w:r>
      <w:r w:rsidR="003D640C">
        <w:t xml:space="preserve"> </w:t>
      </w:r>
      <w:r w:rsidRPr="00BB6220">
        <w:t>about</w:t>
      </w:r>
      <w:r w:rsidR="003D640C">
        <w:t xml:space="preserve"> </w:t>
      </w:r>
      <w:r w:rsidRPr="00BB6220">
        <w:t>conversion</w:t>
      </w:r>
      <w:r w:rsidR="003D640C">
        <w:t xml:space="preserve"> </w:t>
      </w:r>
      <w:r w:rsidRPr="00BB6220">
        <w:t>practices.</w:t>
      </w:r>
      <w:r w:rsidRPr="00BB6220">
        <w:rPr>
          <w:rStyle w:val="FootnoteReference"/>
        </w:rPr>
        <w:footnoteReference w:id="270"/>
      </w:r>
    </w:p>
    <w:p w14:paraId="0B80A85B" w14:textId="05F31E78" w:rsidR="00501068" w:rsidRDefault="00524EA2" w:rsidP="009B6B4C">
      <w:pPr>
        <w:pStyle w:val="Bullet"/>
      </w:pPr>
      <w:r w:rsidRPr="00BB6220">
        <w:rPr>
          <w:b/>
          <w:bCs/>
        </w:rPr>
        <w:t>Get</w:t>
      </w:r>
      <w:r w:rsidR="003D640C">
        <w:rPr>
          <w:b/>
          <w:bCs/>
        </w:rPr>
        <w:t xml:space="preserve"> </w:t>
      </w:r>
      <w:r w:rsidRPr="00BB6220">
        <w:rPr>
          <w:b/>
          <w:bCs/>
        </w:rPr>
        <w:t>consent</w:t>
      </w:r>
      <w:r w:rsidR="003D640C">
        <w:rPr>
          <w:b/>
          <w:bCs/>
        </w:rPr>
        <w:t xml:space="preserve"> </w:t>
      </w:r>
      <w:r w:rsidRPr="00BB6220">
        <w:rPr>
          <w:b/>
          <w:bCs/>
        </w:rPr>
        <w:t>before</w:t>
      </w:r>
      <w:r w:rsidR="003D640C">
        <w:rPr>
          <w:b/>
          <w:bCs/>
        </w:rPr>
        <w:t xml:space="preserve"> </w:t>
      </w:r>
      <w:r w:rsidRPr="00BB6220">
        <w:rPr>
          <w:b/>
          <w:bCs/>
        </w:rPr>
        <w:t>praying</w:t>
      </w:r>
      <w:r w:rsidR="003D640C">
        <w:rPr>
          <w:b/>
          <w:bCs/>
        </w:rPr>
        <w:t xml:space="preserve"> </w:t>
      </w:r>
      <w:r w:rsidRPr="00BB6220">
        <w:rPr>
          <w:b/>
          <w:bCs/>
        </w:rPr>
        <w:t>for</w:t>
      </w:r>
      <w:r w:rsidR="003D640C">
        <w:rPr>
          <w:b/>
          <w:bCs/>
        </w:rPr>
        <w:t xml:space="preserve"> </w:t>
      </w:r>
      <w:r w:rsidRPr="00BB6220">
        <w:rPr>
          <w:b/>
          <w:bCs/>
        </w:rPr>
        <w:t>someone</w:t>
      </w:r>
      <w:r w:rsidRPr="00BB6220">
        <w:t>.</w:t>
      </w:r>
      <w:r w:rsidR="003D640C">
        <w:t xml:space="preserve"> </w:t>
      </w:r>
      <w:r w:rsidRPr="00BB6220">
        <w:t>Consent</w:t>
      </w:r>
      <w:r w:rsidR="003D640C">
        <w:t xml:space="preserve"> </w:t>
      </w:r>
      <w:r w:rsidRPr="00BB6220">
        <w:t>applies</w:t>
      </w:r>
      <w:r w:rsidR="003D640C">
        <w:t xml:space="preserve"> </w:t>
      </w:r>
      <w:r w:rsidRPr="00BB6220">
        <w:t>to</w:t>
      </w:r>
      <w:r w:rsidR="003D640C">
        <w:t xml:space="preserve"> </w:t>
      </w:r>
      <w:r w:rsidRPr="00BB6220">
        <w:t>topics</w:t>
      </w:r>
      <w:r w:rsidR="003D640C">
        <w:t xml:space="preserve"> </w:t>
      </w:r>
      <w:r w:rsidRPr="00BB6220">
        <w:t>of</w:t>
      </w:r>
      <w:r w:rsidR="003D640C">
        <w:t xml:space="preserve"> </w:t>
      </w:r>
      <w:r w:rsidRPr="00BB6220">
        <w:t>prayer</w:t>
      </w:r>
      <w:r w:rsidR="003D640C">
        <w:t xml:space="preserve"> </w:t>
      </w:r>
      <w:r w:rsidRPr="00BB6220">
        <w:t>and</w:t>
      </w:r>
      <w:r w:rsidR="003D640C">
        <w:t xml:space="preserve"> </w:t>
      </w:r>
      <w:r w:rsidRPr="00BB6220">
        <w:t>to</w:t>
      </w:r>
      <w:r w:rsidR="003D640C">
        <w:t xml:space="preserve"> </w:t>
      </w:r>
      <w:r w:rsidRPr="00BB6220">
        <w:t>physical</w:t>
      </w:r>
      <w:r w:rsidR="003D640C">
        <w:t xml:space="preserve"> </w:t>
      </w:r>
      <w:r w:rsidRPr="00BB6220">
        <w:t>touch</w:t>
      </w:r>
      <w:r w:rsidR="003D640C">
        <w:t xml:space="preserve"> </w:t>
      </w:r>
      <w:r w:rsidRPr="00BB6220">
        <w:t>during</w:t>
      </w:r>
      <w:r w:rsidR="003D640C">
        <w:t xml:space="preserve"> </w:t>
      </w:r>
      <w:r w:rsidRPr="00BB6220">
        <w:t>prayer</w:t>
      </w:r>
      <w:r w:rsidR="003D640C">
        <w:t xml:space="preserve"> </w:t>
      </w:r>
      <w:r w:rsidRPr="00BB6220">
        <w:t>interactions.</w:t>
      </w:r>
      <w:r w:rsidR="003D640C">
        <w:t xml:space="preserve"> </w:t>
      </w:r>
      <w:r w:rsidRPr="00BB6220">
        <w:t>Touch</w:t>
      </w:r>
      <w:r w:rsidR="003D640C">
        <w:t xml:space="preserve"> </w:t>
      </w:r>
      <w:r w:rsidRPr="00BB6220">
        <w:t>in</w:t>
      </w:r>
      <w:r w:rsidR="003D640C">
        <w:t xml:space="preserve"> </w:t>
      </w:r>
      <w:r w:rsidRPr="00BB6220">
        <w:t>this</w:t>
      </w:r>
      <w:r w:rsidR="003D640C">
        <w:t xml:space="preserve"> </w:t>
      </w:r>
      <w:r w:rsidRPr="00BB6220">
        <w:t>context</w:t>
      </w:r>
      <w:r w:rsidR="003D640C">
        <w:t xml:space="preserve"> </w:t>
      </w:r>
      <w:r w:rsidRPr="00BB6220">
        <w:t>could</w:t>
      </w:r>
      <w:r w:rsidR="003D640C">
        <w:t xml:space="preserve"> </w:t>
      </w:r>
      <w:r w:rsidRPr="00BB6220">
        <w:t>look</w:t>
      </w:r>
      <w:r w:rsidR="003D640C">
        <w:t xml:space="preserve"> </w:t>
      </w:r>
      <w:r w:rsidRPr="00BB6220">
        <w:t>like</w:t>
      </w:r>
      <w:r w:rsidR="003D640C">
        <w:t xml:space="preserve"> </w:t>
      </w:r>
      <w:r w:rsidRPr="00BB6220">
        <w:t>placing</w:t>
      </w:r>
      <w:r w:rsidR="003D640C">
        <w:t xml:space="preserve"> </w:t>
      </w:r>
      <w:r w:rsidRPr="00BB6220">
        <w:t>your</w:t>
      </w:r>
      <w:r w:rsidR="003D640C">
        <w:t xml:space="preserve"> </w:t>
      </w:r>
      <w:r w:rsidRPr="00BB6220">
        <w:t>hands</w:t>
      </w:r>
      <w:r w:rsidR="003D640C">
        <w:t xml:space="preserve"> </w:t>
      </w:r>
      <w:r w:rsidRPr="00BB6220">
        <w:t>on</w:t>
      </w:r>
      <w:r w:rsidR="003D640C">
        <w:t xml:space="preserve"> </w:t>
      </w:r>
      <w:r w:rsidRPr="00BB6220">
        <w:t>someone</w:t>
      </w:r>
      <w:r w:rsidR="00CD3E06">
        <w:t>’</w:t>
      </w:r>
      <w:r w:rsidRPr="00BB6220">
        <w:t>s</w:t>
      </w:r>
      <w:r w:rsidR="003D640C">
        <w:t xml:space="preserve"> </w:t>
      </w:r>
      <w:r w:rsidRPr="00BB6220">
        <w:t>head</w:t>
      </w:r>
      <w:r w:rsidR="003D640C">
        <w:t xml:space="preserve"> </w:t>
      </w:r>
      <w:r w:rsidRPr="00BB6220">
        <w:t>or</w:t>
      </w:r>
      <w:r w:rsidR="003D640C">
        <w:t xml:space="preserve"> </w:t>
      </w:r>
      <w:r w:rsidRPr="00BB6220">
        <w:t>shoulders,</w:t>
      </w:r>
      <w:r w:rsidR="003D640C">
        <w:t xml:space="preserve"> </w:t>
      </w:r>
      <w:r w:rsidRPr="00BB6220">
        <w:t>and</w:t>
      </w:r>
      <w:r w:rsidR="003D640C">
        <w:t xml:space="preserve"> </w:t>
      </w:r>
      <w:r w:rsidRPr="00BB6220">
        <w:t>this</w:t>
      </w:r>
      <w:r w:rsidR="003D640C">
        <w:t xml:space="preserve"> </w:t>
      </w:r>
      <w:r w:rsidRPr="00BB6220">
        <w:t>should</w:t>
      </w:r>
      <w:r w:rsidR="003D640C">
        <w:t xml:space="preserve"> </w:t>
      </w:r>
      <w:r w:rsidRPr="00BB6220">
        <w:t>not</w:t>
      </w:r>
      <w:r w:rsidR="003D640C">
        <w:t xml:space="preserve"> </w:t>
      </w:r>
      <w:r w:rsidRPr="00BB6220">
        <w:t>be</w:t>
      </w:r>
      <w:r w:rsidR="003D640C">
        <w:t xml:space="preserve"> </w:t>
      </w:r>
      <w:r w:rsidRPr="00BB6220">
        <w:t>done</w:t>
      </w:r>
      <w:r w:rsidR="003D640C">
        <w:t xml:space="preserve"> </w:t>
      </w:r>
      <w:r w:rsidRPr="00BB6220">
        <w:t>without</w:t>
      </w:r>
      <w:r w:rsidR="003D640C">
        <w:t xml:space="preserve"> </w:t>
      </w:r>
      <w:r w:rsidRPr="00BB6220">
        <w:t>asking</w:t>
      </w:r>
      <w:r w:rsidR="003D640C">
        <w:t xml:space="preserve"> </w:t>
      </w:r>
      <w:r w:rsidRPr="00BB6220">
        <w:t>first.</w:t>
      </w:r>
    </w:p>
    <w:p w14:paraId="398DD36A" w14:textId="77777777" w:rsidR="00501068" w:rsidRDefault="00524EA2" w:rsidP="009B6B4C">
      <w:pPr>
        <w:pStyle w:val="Bullet"/>
      </w:pPr>
      <w:r w:rsidRPr="00BB6220">
        <w:rPr>
          <w:b/>
          <w:bCs/>
        </w:rPr>
        <w:t>Privacy</w:t>
      </w:r>
      <w:r w:rsidR="003D640C">
        <w:rPr>
          <w:b/>
          <w:bCs/>
        </w:rPr>
        <w:t xml:space="preserve"> </w:t>
      </w:r>
      <w:r w:rsidRPr="00BB6220">
        <w:rPr>
          <w:b/>
          <w:bCs/>
        </w:rPr>
        <w:t>should</w:t>
      </w:r>
      <w:r w:rsidR="003D640C">
        <w:rPr>
          <w:b/>
          <w:bCs/>
        </w:rPr>
        <w:t xml:space="preserve"> </w:t>
      </w:r>
      <w:r w:rsidRPr="00BB6220">
        <w:rPr>
          <w:b/>
          <w:bCs/>
        </w:rPr>
        <w:t>be</w:t>
      </w:r>
      <w:r w:rsidR="003D640C">
        <w:rPr>
          <w:b/>
          <w:bCs/>
        </w:rPr>
        <w:t xml:space="preserve"> </w:t>
      </w:r>
      <w:r w:rsidRPr="00BB6220">
        <w:rPr>
          <w:b/>
          <w:bCs/>
        </w:rPr>
        <w:t>taken</w:t>
      </w:r>
      <w:r w:rsidR="003D640C">
        <w:rPr>
          <w:b/>
          <w:bCs/>
        </w:rPr>
        <w:t xml:space="preserve"> </w:t>
      </w:r>
      <w:r w:rsidRPr="00BB6220">
        <w:rPr>
          <w:b/>
          <w:bCs/>
        </w:rPr>
        <w:t>seriously</w:t>
      </w:r>
      <w:r w:rsidR="003D640C">
        <w:rPr>
          <w:b/>
          <w:bCs/>
        </w:rPr>
        <w:t xml:space="preserve"> </w:t>
      </w:r>
      <w:r w:rsidRPr="00BB6220">
        <w:rPr>
          <w:b/>
          <w:bCs/>
        </w:rPr>
        <w:t>when</w:t>
      </w:r>
      <w:r w:rsidR="003D640C">
        <w:rPr>
          <w:b/>
          <w:bCs/>
        </w:rPr>
        <w:t xml:space="preserve"> </w:t>
      </w:r>
      <w:r w:rsidRPr="00BB6220">
        <w:rPr>
          <w:b/>
          <w:bCs/>
        </w:rPr>
        <w:t>it</w:t>
      </w:r>
      <w:r w:rsidR="003D640C">
        <w:rPr>
          <w:b/>
          <w:bCs/>
        </w:rPr>
        <w:t xml:space="preserve"> </w:t>
      </w:r>
      <w:r w:rsidRPr="00BB6220">
        <w:rPr>
          <w:b/>
          <w:bCs/>
        </w:rPr>
        <w:t>comes</w:t>
      </w:r>
      <w:r w:rsidR="003D640C">
        <w:rPr>
          <w:b/>
          <w:bCs/>
        </w:rPr>
        <w:t xml:space="preserve"> </w:t>
      </w:r>
      <w:r w:rsidRPr="00BB6220">
        <w:rPr>
          <w:b/>
          <w:bCs/>
        </w:rPr>
        <w:t>to</w:t>
      </w:r>
      <w:r w:rsidR="003D640C">
        <w:rPr>
          <w:b/>
          <w:bCs/>
        </w:rPr>
        <w:t xml:space="preserve"> </w:t>
      </w:r>
      <w:r w:rsidRPr="00BB6220">
        <w:rPr>
          <w:b/>
          <w:bCs/>
        </w:rPr>
        <w:t>prayer</w:t>
      </w:r>
      <w:r w:rsidRPr="00BB6220">
        <w:t>.</w:t>
      </w:r>
      <w:r w:rsidR="003D640C">
        <w:t xml:space="preserve"> </w:t>
      </w:r>
      <w:r w:rsidRPr="00BB6220">
        <w:t>Be</w:t>
      </w:r>
      <w:r w:rsidR="003D640C">
        <w:t xml:space="preserve"> </w:t>
      </w:r>
      <w:r w:rsidRPr="00BB6220">
        <w:t>careful</w:t>
      </w:r>
      <w:r w:rsidR="003D640C">
        <w:t xml:space="preserve"> </w:t>
      </w:r>
      <w:r w:rsidRPr="00BB6220">
        <w:t>about</w:t>
      </w:r>
      <w:r w:rsidR="003D640C">
        <w:t xml:space="preserve"> </w:t>
      </w:r>
      <w:r w:rsidRPr="00BB6220">
        <w:t>what</w:t>
      </w:r>
      <w:r w:rsidR="003D640C">
        <w:t xml:space="preserve"> </w:t>
      </w:r>
      <w:r w:rsidRPr="00BB6220">
        <w:t>personal</w:t>
      </w:r>
      <w:r w:rsidR="003D640C">
        <w:t xml:space="preserve"> </w:t>
      </w:r>
      <w:r w:rsidRPr="00BB6220">
        <w:t>information</w:t>
      </w:r>
      <w:r w:rsidR="003D640C">
        <w:t xml:space="preserve"> </w:t>
      </w:r>
      <w:r w:rsidRPr="00BB6220">
        <w:t>is</w:t>
      </w:r>
      <w:r w:rsidR="003D640C">
        <w:t xml:space="preserve"> </w:t>
      </w:r>
      <w:r w:rsidRPr="00BB6220">
        <w:t>being</w:t>
      </w:r>
      <w:r w:rsidR="003D640C">
        <w:t xml:space="preserve"> </w:t>
      </w:r>
      <w:r w:rsidRPr="00BB6220">
        <w:t>shared</w:t>
      </w:r>
      <w:r w:rsidR="003D640C">
        <w:t xml:space="preserve"> </w:t>
      </w:r>
      <w:r w:rsidRPr="00BB6220">
        <w:t>about</w:t>
      </w:r>
      <w:r w:rsidR="003D640C">
        <w:t xml:space="preserve"> </w:t>
      </w:r>
      <w:r w:rsidRPr="00BB6220">
        <w:t>a</w:t>
      </w:r>
      <w:r w:rsidR="003D640C">
        <w:t xml:space="preserve"> </w:t>
      </w:r>
      <w:r w:rsidRPr="00BB6220">
        <w:t>person</w:t>
      </w:r>
      <w:r w:rsidR="003D640C">
        <w:t xml:space="preserve"> </w:t>
      </w:r>
      <w:r w:rsidRPr="00BB6220">
        <w:t>being</w:t>
      </w:r>
      <w:r w:rsidR="003D640C">
        <w:t xml:space="preserve"> </w:t>
      </w:r>
      <w:r w:rsidRPr="00BB6220">
        <w:t>prayed</w:t>
      </w:r>
      <w:r w:rsidR="003D640C">
        <w:t xml:space="preserve"> </w:t>
      </w:r>
      <w:r w:rsidRPr="00BB6220">
        <w:t>for</w:t>
      </w:r>
      <w:r w:rsidR="003D640C">
        <w:t xml:space="preserve"> </w:t>
      </w:r>
      <w:r w:rsidRPr="00BB6220">
        <w:t>and</w:t>
      </w:r>
      <w:r w:rsidR="003D640C">
        <w:t xml:space="preserve"> </w:t>
      </w:r>
      <w:r w:rsidRPr="00BB6220">
        <w:t>in</w:t>
      </w:r>
      <w:r w:rsidR="003D640C">
        <w:t xml:space="preserve"> </w:t>
      </w:r>
      <w:r w:rsidRPr="00BB6220">
        <w:t>front</w:t>
      </w:r>
      <w:r w:rsidR="003D640C">
        <w:t xml:space="preserve"> </w:t>
      </w:r>
      <w:r w:rsidRPr="00BB6220">
        <w:t>of</w:t>
      </w:r>
      <w:r w:rsidR="003D640C">
        <w:t xml:space="preserve"> </w:t>
      </w:r>
      <w:r w:rsidRPr="00BB6220">
        <w:t>whom.</w:t>
      </w:r>
      <w:r w:rsidR="003D640C">
        <w:t xml:space="preserve"> </w:t>
      </w:r>
      <w:r w:rsidRPr="00BB6220">
        <w:t>All</w:t>
      </w:r>
      <w:r w:rsidR="003D640C">
        <w:t xml:space="preserve"> </w:t>
      </w:r>
      <w:r w:rsidRPr="00BB6220">
        <w:t>personal</w:t>
      </w:r>
      <w:r w:rsidR="003D640C">
        <w:t xml:space="preserve"> </w:t>
      </w:r>
      <w:r w:rsidRPr="00BB6220">
        <w:t>information,</w:t>
      </w:r>
      <w:r w:rsidR="003D640C">
        <w:t xml:space="preserve"> </w:t>
      </w:r>
      <w:r w:rsidRPr="00BB6220">
        <w:t>but</w:t>
      </w:r>
      <w:r w:rsidR="003D640C">
        <w:t xml:space="preserve"> </w:t>
      </w:r>
      <w:r w:rsidRPr="00BB6220">
        <w:t>especially</w:t>
      </w:r>
      <w:r w:rsidR="003D640C">
        <w:t xml:space="preserve"> </w:t>
      </w:r>
      <w:r w:rsidRPr="00BB6220">
        <w:t>about</w:t>
      </w:r>
      <w:r w:rsidR="003D640C">
        <w:t xml:space="preserve"> </w:t>
      </w:r>
      <w:r w:rsidRPr="00BB6220">
        <w:t>a</w:t>
      </w:r>
      <w:r w:rsidR="003D640C">
        <w:t xml:space="preserve"> </w:t>
      </w:r>
      <w:r w:rsidRPr="00BB6220">
        <w:t>person’s</w:t>
      </w:r>
      <w:r w:rsidR="003D640C">
        <w:t xml:space="preserve"> </w:t>
      </w:r>
      <w:r w:rsidR="006C3CA0" w:rsidRPr="00BB6220">
        <w:t>Rainbow</w:t>
      </w:r>
      <w:r w:rsidR="003D640C">
        <w:t xml:space="preserve"> </w:t>
      </w:r>
      <w:r w:rsidRPr="00BB6220">
        <w:t>identity</w:t>
      </w:r>
      <w:r w:rsidR="003D640C">
        <w:t xml:space="preserve"> </w:t>
      </w:r>
      <w:r w:rsidRPr="00BB6220">
        <w:t>or</w:t>
      </w:r>
      <w:r w:rsidR="003D640C">
        <w:t xml:space="preserve"> </w:t>
      </w:r>
      <w:r w:rsidRPr="00BB6220">
        <w:t>their</w:t>
      </w:r>
      <w:r w:rsidR="003D640C">
        <w:t xml:space="preserve"> </w:t>
      </w:r>
      <w:r w:rsidRPr="00BB6220">
        <w:t>journey</w:t>
      </w:r>
      <w:r w:rsidR="003D640C">
        <w:t xml:space="preserve"> </w:t>
      </w:r>
      <w:r w:rsidRPr="00BB6220">
        <w:t>in</w:t>
      </w:r>
      <w:r w:rsidR="003D640C">
        <w:t xml:space="preserve"> </w:t>
      </w:r>
      <w:r w:rsidRPr="00BB6220">
        <w:t>this</w:t>
      </w:r>
      <w:r w:rsidR="003D640C">
        <w:t xml:space="preserve"> </w:t>
      </w:r>
      <w:r w:rsidRPr="00BB6220">
        <w:t>context,</w:t>
      </w:r>
      <w:r w:rsidR="003D640C">
        <w:t xml:space="preserve"> </w:t>
      </w:r>
      <w:r w:rsidRPr="00BB6220">
        <w:t>needs</w:t>
      </w:r>
      <w:r w:rsidR="003D640C">
        <w:t xml:space="preserve"> </w:t>
      </w:r>
      <w:r w:rsidRPr="00BB6220">
        <w:t>to</w:t>
      </w:r>
      <w:r w:rsidR="003D640C">
        <w:t xml:space="preserve"> </w:t>
      </w:r>
      <w:r w:rsidRPr="00BB6220">
        <w:t>remain</w:t>
      </w:r>
      <w:r w:rsidR="003D640C">
        <w:t xml:space="preserve"> </w:t>
      </w:r>
      <w:r w:rsidRPr="00BB6220">
        <w:t>under</w:t>
      </w:r>
      <w:r w:rsidR="003D640C">
        <w:t xml:space="preserve"> </w:t>
      </w:r>
      <w:r w:rsidRPr="00BB6220">
        <w:t>the</w:t>
      </w:r>
      <w:r w:rsidR="003D640C">
        <w:t xml:space="preserve"> </w:t>
      </w:r>
      <w:r w:rsidRPr="00BB6220">
        <w:t>control</w:t>
      </w:r>
      <w:r w:rsidR="003D640C">
        <w:t xml:space="preserve"> </w:t>
      </w:r>
      <w:r w:rsidRPr="00BB6220">
        <w:t>of</w:t>
      </w:r>
      <w:r w:rsidR="003D640C">
        <w:t xml:space="preserve"> </w:t>
      </w:r>
      <w:r w:rsidRPr="00BB6220">
        <w:t>that</w:t>
      </w:r>
      <w:r w:rsidR="003D640C">
        <w:t xml:space="preserve"> </w:t>
      </w:r>
      <w:r w:rsidRPr="00BB6220">
        <w:t>person.</w:t>
      </w:r>
      <w:r w:rsidR="003D640C">
        <w:t xml:space="preserve"> </w:t>
      </w:r>
      <w:r w:rsidRPr="00BB6220">
        <w:t>Avoid</w:t>
      </w:r>
      <w:r w:rsidR="003D640C">
        <w:t xml:space="preserve"> </w:t>
      </w:r>
      <w:r w:rsidRPr="00BB6220">
        <w:t>public</w:t>
      </w:r>
      <w:r w:rsidR="003D640C">
        <w:t xml:space="preserve"> </w:t>
      </w:r>
      <w:r w:rsidRPr="00BB6220">
        <w:t>prayer</w:t>
      </w:r>
      <w:r w:rsidR="003D640C">
        <w:t xml:space="preserve"> </w:t>
      </w:r>
      <w:r w:rsidRPr="00BB6220">
        <w:t>disclosures.</w:t>
      </w:r>
      <w:r w:rsidR="003D640C">
        <w:t xml:space="preserve"> </w:t>
      </w:r>
    </w:p>
    <w:p w14:paraId="6E449363" w14:textId="4B1D0C3B" w:rsidR="000E1F04" w:rsidRPr="00BB6220" w:rsidRDefault="00524EA2" w:rsidP="009B6B4C">
      <w:pPr>
        <w:pStyle w:val="Bullet"/>
      </w:pPr>
      <w:r w:rsidRPr="00BB6220">
        <w:rPr>
          <w:b/>
          <w:bCs/>
        </w:rPr>
        <w:t>Diversify</w:t>
      </w:r>
      <w:r w:rsidR="003D640C">
        <w:rPr>
          <w:b/>
          <w:bCs/>
        </w:rPr>
        <w:t xml:space="preserve"> </w:t>
      </w:r>
      <w:r w:rsidRPr="00BB6220">
        <w:rPr>
          <w:b/>
          <w:bCs/>
        </w:rPr>
        <w:t>prayer.</w:t>
      </w:r>
      <w:r w:rsidR="003D640C">
        <w:rPr>
          <w:b/>
          <w:bCs/>
        </w:rPr>
        <w:t xml:space="preserve"> </w:t>
      </w:r>
      <w:r w:rsidRPr="00BB6220">
        <w:t>Aotearoa</w:t>
      </w:r>
      <w:r w:rsidR="003D640C">
        <w:t xml:space="preserve"> </w:t>
      </w:r>
      <w:r w:rsidRPr="00BB6220">
        <w:t>is</w:t>
      </w:r>
      <w:r w:rsidR="003D640C">
        <w:t xml:space="preserve"> </w:t>
      </w:r>
      <w:r w:rsidRPr="00BB6220">
        <w:t>becoming</w:t>
      </w:r>
      <w:r w:rsidR="003D640C">
        <w:t xml:space="preserve"> </w:t>
      </w:r>
      <w:r w:rsidRPr="00BB6220">
        <w:t>an</w:t>
      </w:r>
      <w:r w:rsidR="003D640C">
        <w:t xml:space="preserve"> </w:t>
      </w:r>
      <w:r w:rsidRPr="00BB6220">
        <w:t>increasingly</w:t>
      </w:r>
      <w:r w:rsidR="003D640C">
        <w:t xml:space="preserve"> </w:t>
      </w:r>
      <w:r w:rsidRPr="00BB6220">
        <w:t>diverse</w:t>
      </w:r>
      <w:r w:rsidR="003D640C">
        <w:t xml:space="preserve"> </w:t>
      </w:r>
      <w:r w:rsidRPr="00BB6220">
        <w:t>and</w:t>
      </w:r>
      <w:r w:rsidR="003D640C">
        <w:t xml:space="preserve"> </w:t>
      </w:r>
      <w:r w:rsidRPr="00BB6220">
        <w:t>inclusive</w:t>
      </w:r>
      <w:r w:rsidR="003D640C">
        <w:t xml:space="preserve"> </w:t>
      </w:r>
      <w:r w:rsidRPr="00BB6220">
        <w:t>society.</w:t>
      </w:r>
      <w:r w:rsidR="003D640C">
        <w:t xml:space="preserve"> </w:t>
      </w:r>
      <w:r w:rsidRPr="00BB6220">
        <w:t>Diversify</w:t>
      </w:r>
      <w:r w:rsidR="003D640C">
        <w:t xml:space="preserve"> </w:t>
      </w:r>
      <w:r w:rsidRPr="00BB6220">
        <w:t>prayer</w:t>
      </w:r>
      <w:r w:rsidR="003D640C">
        <w:t xml:space="preserve"> </w:t>
      </w:r>
      <w:r w:rsidRPr="00BB6220">
        <w:t>and</w:t>
      </w:r>
      <w:r w:rsidR="003D640C">
        <w:t xml:space="preserve"> </w:t>
      </w:r>
      <w:r w:rsidRPr="00BB6220">
        <w:t>liturgy</w:t>
      </w:r>
      <w:r w:rsidR="003D640C">
        <w:t xml:space="preserve"> </w:t>
      </w:r>
      <w:r w:rsidRPr="00BB6220">
        <w:t>to</w:t>
      </w:r>
      <w:r w:rsidR="003D640C">
        <w:t xml:space="preserve"> </w:t>
      </w:r>
      <w:r w:rsidRPr="00BB6220">
        <w:t>reflect</w:t>
      </w:r>
      <w:r w:rsidR="003D640C">
        <w:t xml:space="preserve"> </w:t>
      </w:r>
      <w:r w:rsidRPr="00BB6220">
        <w:t>this.</w:t>
      </w:r>
      <w:r w:rsidR="003D640C">
        <w:t xml:space="preserve"> </w:t>
      </w:r>
      <w:r w:rsidRPr="00BB6220">
        <w:t>Consider</w:t>
      </w:r>
      <w:r w:rsidR="003D640C">
        <w:t xml:space="preserve"> </w:t>
      </w:r>
      <w:r w:rsidRPr="00BB6220">
        <w:t>expanding</w:t>
      </w:r>
      <w:r w:rsidR="003D640C">
        <w:t xml:space="preserve"> </w:t>
      </w:r>
      <w:r w:rsidRPr="00BB6220">
        <w:t>prayer</w:t>
      </w:r>
      <w:r w:rsidR="003D640C">
        <w:t xml:space="preserve"> </w:t>
      </w:r>
      <w:r w:rsidRPr="00BB6220">
        <w:t>into</w:t>
      </w:r>
      <w:r w:rsidR="003D640C">
        <w:t xml:space="preserve"> </w:t>
      </w:r>
      <w:r w:rsidRPr="00BB6220">
        <w:t>music,</w:t>
      </w:r>
      <w:r w:rsidR="003D640C">
        <w:t xml:space="preserve"> </w:t>
      </w:r>
      <w:r w:rsidRPr="00BB6220">
        <w:t>art,</w:t>
      </w:r>
      <w:r w:rsidR="003D640C">
        <w:t xml:space="preserve"> </w:t>
      </w:r>
      <w:r w:rsidRPr="00BB6220">
        <w:t>written</w:t>
      </w:r>
      <w:r w:rsidR="006953F6">
        <w:t>,</w:t>
      </w:r>
      <w:r w:rsidR="003D640C">
        <w:t xml:space="preserve"> </w:t>
      </w:r>
      <w:r w:rsidRPr="00BB6220">
        <w:t>and</w:t>
      </w:r>
      <w:r w:rsidR="003D640C">
        <w:t xml:space="preserve"> </w:t>
      </w:r>
      <w:r w:rsidRPr="00BB6220">
        <w:t>other</w:t>
      </w:r>
      <w:r w:rsidR="003D640C">
        <w:t xml:space="preserve"> </w:t>
      </w:r>
      <w:r w:rsidRPr="00BB6220">
        <w:t>verbal</w:t>
      </w:r>
      <w:r w:rsidR="003D640C">
        <w:t xml:space="preserve"> </w:t>
      </w:r>
      <w:r w:rsidRPr="00BB6220">
        <w:t>outlets.</w:t>
      </w:r>
      <w:bookmarkStart w:id="386" w:name="_Toc138771244"/>
    </w:p>
    <w:p w14:paraId="1AB3C2E1" w14:textId="55EC88AF" w:rsidR="00524EA2" w:rsidRPr="00BB6220" w:rsidRDefault="00524EA2" w:rsidP="002C6363">
      <w:pPr>
        <w:pStyle w:val="Heading3"/>
      </w:pPr>
      <w:bookmarkStart w:id="387" w:name="_Toc167780641"/>
      <w:bookmarkStart w:id="388" w:name="_Toc1564890049"/>
      <w:bookmarkStart w:id="389" w:name="_Toc174628703"/>
      <w:r w:rsidRPr="00BB6220">
        <w:lastRenderedPageBreak/>
        <w:t>Worship</w:t>
      </w:r>
      <w:bookmarkEnd w:id="386"/>
      <w:bookmarkEnd w:id="387"/>
      <w:bookmarkEnd w:id="388"/>
      <w:bookmarkEnd w:id="389"/>
    </w:p>
    <w:p w14:paraId="4981E88A" w14:textId="484B8607" w:rsidR="00524EA2" w:rsidRPr="00BB6220" w:rsidRDefault="00524EA2" w:rsidP="009B6B4C">
      <w:r w:rsidRPr="00BB6220">
        <w:t>Worship</w:t>
      </w:r>
      <w:r w:rsidR="003D640C">
        <w:t xml:space="preserve"> </w:t>
      </w:r>
      <w:r w:rsidRPr="00BB6220">
        <w:t>is</w:t>
      </w:r>
      <w:r w:rsidR="003D640C">
        <w:t xml:space="preserve"> </w:t>
      </w:r>
      <w:r w:rsidRPr="00BB6220">
        <w:t>often</w:t>
      </w:r>
      <w:r w:rsidR="003D640C">
        <w:t xml:space="preserve"> </w:t>
      </w:r>
      <w:r w:rsidRPr="00BB6220">
        <w:t>a</w:t>
      </w:r>
      <w:r w:rsidR="003D640C">
        <w:t xml:space="preserve"> </w:t>
      </w:r>
      <w:r w:rsidRPr="00BB6220">
        <w:t>moment</w:t>
      </w:r>
      <w:r w:rsidR="003D640C">
        <w:t xml:space="preserve"> </w:t>
      </w:r>
      <w:r w:rsidRPr="00BB6220">
        <w:t>where</w:t>
      </w:r>
      <w:r w:rsidR="003D640C">
        <w:t xml:space="preserve"> </w:t>
      </w:r>
      <w:r w:rsidRPr="00BB6220">
        <w:t>the</w:t>
      </w:r>
      <w:r w:rsidR="003D640C">
        <w:t xml:space="preserve"> </w:t>
      </w:r>
      <w:r w:rsidRPr="00BB6220">
        <w:t>entire</w:t>
      </w:r>
      <w:r w:rsidR="003D640C">
        <w:t xml:space="preserve"> </w:t>
      </w:r>
      <w:r w:rsidRPr="00BB6220">
        <w:t>community</w:t>
      </w:r>
      <w:r w:rsidR="003D640C">
        <w:t xml:space="preserve"> </w:t>
      </w:r>
      <w:r w:rsidRPr="00BB6220">
        <w:t>comes</w:t>
      </w:r>
      <w:r w:rsidR="003D640C">
        <w:t xml:space="preserve"> </w:t>
      </w:r>
      <w:r w:rsidRPr="00BB6220">
        <w:t>together.</w:t>
      </w:r>
      <w:r w:rsidR="003D640C">
        <w:t xml:space="preserve"> </w:t>
      </w:r>
      <w:r w:rsidRPr="00BB6220">
        <w:t>This</w:t>
      </w:r>
      <w:r w:rsidR="003D640C">
        <w:t xml:space="preserve"> </w:t>
      </w:r>
      <w:r w:rsidRPr="00BB6220">
        <w:t>provides</w:t>
      </w:r>
      <w:r w:rsidR="003D640C">
        <w:t xml:space="preserve"> </w:t>
      </w:r>
      <w:r w:rsidRPr="00BB6220">
        <w:t>a</w:t>
      </w:r>
      <w:r w:rsidR="003D640C">
        <w:t xml:space="preserve"> </w:t>
      </w:r>
      <w:r w:rsidRPr="00BB6220">
        <w:t>good</w:t>
      </w:r>
      <w:r w:rsidR="003D640C">
        <w:t xml:space="preserve"> </w:t>
      </w:r>
      <w:r w:rsidRPr="00BB6220">
        <w:t>platform</w:t>
      </w:r>
      <w:r w:rsidR="003D640C">
        <w:t xml:space="preserve"> </w:t>
      </w:r>
      <w:r w:rsidRPr="00BB6220">
        <w:t>for</w:t>
      </w:r>
      <w:r w:rsidR="003D640C">
        <w:t xml:space="preserve"> </w:t>
      </w:r>
      <w:r w:rsidRPr="00BB6220">
        <w:t>modelling</w:t>
      </w:r>
      <w:r w:rsidR="003D640C">
        <w:t xml:space="preserve"> </w:t>
      </w:r>
      <w:r w:rsidRPr="00BB6220">
        <w:t>inclusive</w:t>
      </w:r>
      <w:r w:rsidR="003D640C">
        <w:t xml:space="preserve"> </w:t>
      </w:r>
      <w:r w:rsidRPr="00BB6220">
        <w:t>attitudes</w:t>
      </w:r>
      <w:r w:rsidR="003D640C">
        <w:t xml:space="preserve"> </w:t>
      </w:r>
      <w:r w:rsidRPr="00BB6220">
        <w:t>and</w:t>
      </w:r>
      <w:r w:rsidR="003D640C">
        <w:t xml:space="preserve"> </w:t>
      </w:r>
      <w:r w:rsidRPr="00BB6220">
        <w:t>creating</w:t>
      </w:r>
      <w:r w:rsidR="003D640C">
        <w:t xml:space="preserve"> </w:t>
      </w:r>
      <w:r w:rsidRPr="00BB6220">
        <w:t>a</w:t>
      </w:r>
      <w:r w:rsidR="003D640C">
        <w:t xml:space="preserve"> </w:t>
      </w:r>
      <w:r w:rsidRPr="00BB6220">
        <w:t>place</w:t>
      </w:r>
      <w:r w:rsidR="003D640C">
        <w:t xml:space="preserve"> </w:t>
      </w:r>
      <w:r w:rsidRPr="00BB6220">
        <w:t>of</w:t>
      </w:r>
      <w:r w:rsidR="003D640C">
        <w:t xml:space="preserve"> </w:t>
      </w:r>
      <w:r w:rsidRPr="00BB6220">
        <w:t>safety</w:t>
      </w:r>
      <w:r w:rsidR="003D640C">
        <w:t xml:space="preserve"> </w:t>
      </w:r>
      <w:r w:rsidRPr="00BB6220">
        <w:t>for</w:t>
      </w:r>
      <w:r w:rsidR="003D640C">
        <w:t xml:space="preserve"> </w:t>
      </w:r>
      <w:r w:rsidRPr="00BB6220">
        <w:t>all.</w:t>
      </w:r>
      <w:r w:rsidR="003D640C">
        <w:t xml:space="preserve"> </w:t>
      </w:r>
      <w:r w:rsidR="003951C6" w:rsidRPr="00BB6220">
        <w:t>Survivors</w:t>
      </w:r>
      <w:r w:rsidR="003D640C">
        <w:t xml:space="preserve"> </w:t>
      </w:r>
      <w:r w:rsidR="003951C6" w:rsidRPr="00BB6220">
        <w:t>provided</w:t>
      </w:r>
      <w:r w:rsidR="003D640C">
        <w:t xml:space="preserve"> </w:t>
      </w:r>
      <w:r w:rsidR="003951C6" w:rsidRPr="00BB6220">
        <w:t>the</w:t>
      </w:r>
      <w:r w:rsidR="003D640C">
        <w:t xml:space="preserve"> </w:t>
      </w:r>
      <w:r w:rsidR="003951C6" w:rsidRPr="00BB6220">
        <w:t>following</w:t>
      </w:r>
      <w:r w:rsidR="003D640C">
        <w:t xml:space="preserve"> </w:t>
      </w:r>
      <w:r w:rsidR="003951C6" w:rsidRPr="00BB6220">
        <w:t>advice</w:t>
      </w:r>
      <w:r w:rsidR="003D640C">
        <w:t xml:space="preserve"> </w:t>
      </w:r>
      <w:r w:rsidR="003951C6" w:rsidRPr="00BB6220">
        <w:t>regarding</w:t>
      </w:r>
      <w:r w:rsidR="003D640C">
        <w:t xml:space="preserve"> </w:t>
      </w:r>
      <w:r w:rsidR="003951C6" w:rsidRPr="00BB6220">
        <w:t>worship</w:t>
      </w:r>
      <w:r w:rsidR="00A6027F">
        <w:t>.</w:t>
      </w:r>
    </w:p>
    <w:p w14:paraId="0A913F23" w14:textId="0F193002" w:rsidR="00501068" w:rsidRDefault="00524EA2" w:rsidP="009B6B4C">
      <w:pPr>
        <w:pStyle w:val="Bullet"/>
      </w:pPr>
      <w:r w:rsidRPr="00BB6220">
        <w:rPr>
          <w:b/>
          <w:bCs/>
        </w:rPr>
        <w:t>Consider</w:t>
      </w:r>
      <w:r w:rsidR="003D640C">
        <w:rPr>
          <w:b/>
          <w:bCs/>
        </w:rPr>
        <w:t xml:space="preserve"> </w:t>
      </w:r>
      <w:r w:rsidRPr="00BB6220">
        <w:rPr>
          <w:b/>
          <w:bCs/>
        </w:rPr>
        <w:t>the</w:t>
      </w:r>
      <w:r w:rsidR="003D640C">
        <w:rPr>
          <w:b/>
          <w:bCs/>
        </w:rPr>
        <w:t xml:space="preserve"> </w:t>
      </w:r>
      <w:r w:rsidRPr="00BB6220">
        <w:rPr>
          <w:b/>
          <w:bCs/>
        </w:rPr>
        <w:t>language</w:t>
      </w:r>
      <w:r w:rsidR="003D640C">
        <w:rPr>
          <w:b/>
          <w:bCs/>
        </w:rPr>
        <w:t xml:space="preserve"> </w:t>
      </w:r>
      <w:r w:rsidRPr="00BB6220">
        <w:rPr>
          <w:b/>
          <w:bCs/>
        </w:rPr>
        <w:t>used</w:t>
      </w:r>
      <w:r w:rsidR="003D640C">
        <w:rPr>
          <w:b/>
          <w:bCs/>
        </w:rPr>
        <w:t xml:space="preserve"> </w:t>
      </w:r>
      <w:r w:rsidRPr="00BB6220">
        <w:rPr>
          <w:b/>
          <w:bCs/>
        </w:rPr>
        <w:t>in</w:t>
      </w:r>
      <w:r w:rsidR="003D640C">
        <w:rPr>
          <w:b/>
          <w:bCs/>
        </w:rPr>
        <w:t xml:space="preserve"> </w:t>
      </w:r>
      <w:r w:rsidRPr="00BB6220">
        <w:rPr>
          <w:b/>
          <w:bCs/>
        </w:rPr>
        <w:t>worship</w:t>
      </w:r>
      <w:r w:rsidR="003D640C">
        <w:rPr>
          <w:b/>
          <w:bCs/>
        </w:rPr>
        <w:t xml:space="preserve"> </w:t>
      </w:r>
      <w:r w:rsidRPr="00BB6220">
        <w:t>and</w:t>
      </w:r>
      <w:r w:rsidR="003D640C">
        <w:t xml:space="preserve"> </w:t>
      </w:r>
      <w:r w:rsidRPr="00BB6220">
        <w:t>whether</w:t>
      </w:r>
      <w:r w:rsidR="003D640C">
        <w:t xml:space="preserve"> </w:t>
      </w:r>
      <w:r w:rsidRPr="00BB6220">
        <w:t>it</w:t>
      </w:r>
      <w:r w:rsidR="003D640C">
        <w:t xml:space="preserve"> </w:t>
      </w:r>
      <w:r w:rsidRPr="00BB6220">
        <w:t>could</w:t>
      </w:r>
      <w:r w:rsidR="003D640C">
        <w:t xml:space="preserve"> </w:t>
      </w:r>
      <w:r w:rsidRPr="00BB6220">
        <w:t>be</w:t>
      </w:r>
      <w:r w:rsidR="003D640C">
        <w:t xml:space="preserve"> </w:t>
      </w:r>
      <w:r w:rsidRPr="00BB6220">
        <w:t>unintentionally</w:t>
      </w:r>
      <w:r w:rsidR="003D640C">
        <w:t xml:space="preserve"> </w:t>
      </w:r>
      <w:r w:rsidRPr="00BB6220">
        <w:t>excluding</w:t>
      </w:r>
      <w:r w:rsidR="003D640C">
        <w:t xml:space="preserve"> </w:t>
      </w:r>
      <w:r w:rsidRPr="00BB6220">
        <w:t>some</w:t>
      </w:r>
      <w:r w:rsidR="003D640C">
        <w:t xml:space="preserve"> </w:t>
      </w:r>
      <w:r w:rsidRPr="00BB6220">
        <w:t>community</w:t>
      </w:r>
      <w:r w:rsidR="003D640C">
        <w:t xml:space="preserve"> </w:t>
      </w:r>
      <w:r w:rsidRPr="00BB6220">
        <w:t>members</w:t>
      </w:r>
      <w:r w:rsidR="106971C4" w:rsidRPr="00BB6220">
        <w:t>.</w:t>
      </w:r>
      <w:r w:rsidR="003D640C">
        <w:t xml:space="preserve"> </w:t>
      </w:r>
      <w:r w:rsidRPr="00BB6220">
        <w:t>Some</w:t>
      </w:r>
      <w:r w:rsidR="003D640C">
        <w:t xml:space="preserve"> </w:t>
      </w:r>
      <w:r w:rsidRPr="00BB6220">
        <w:t>traditional</w:t>
      </w:r>
      <w:r w:rsidR="003D640C">
        <w:t xml:space="preserve"> </w:t>
      </w:r>
      <w:r w:rsidRPr="00BB6220">
        <w:t>songs</w:t>
      </w:r>
      <w:r w:rsidR="003D640C">
        <w:t xml:space="preserve"> </w:t>
      </w:r>
      <w:r w:rsidRPr="00BB6220">
        <w:t>may</w:t>
      </w:r>
      <w:r w:rsidR="003D640C">
        <w:t xml:space="preserve"> </w:t>
      </w:r>
      <w:r w:rsidRPr="00BB6220">
        <w:t>no</w:t>
      </w:r>
      <w:r w:rsidR="003D640C">
        <w:t xml:space="preserve"> </w:t>
      </w:r>
      <w:r w:rsidRPr="00BB6220">
        <w:t>longer</w:t>
      </w:r>
      <w:r w:rsidR="003D640C">
        <w:t xml:space="preserve"> </w:t>
      </w:r>
      <w:r w:rsidRPr="00BB6220">
        <w:t>be</w:t>
      </w:r>
      <w:r w:rsidR="003D640C">
        <w:t xml:space="preserve"> </w:t>
      </w:r>
      <w:r w:rsidRPr="00BB6220">
        <w:t>appropriate.</w:t>
      </w:r>
      <w:r w:rsidR="003D640C">
        <w:t xml:space="preserve"> </w:t>
      </w:r>
      <w:r w:rsidRPr="00BB6220">
        <w:t>As</w:t>
      </w:r>
      <w:r w:rsidR="003D640C">
        <w:t xml:space="preserve"> </w:t>
      </w:r>
      <w:r w:rsidRPr="00BB6220">
        <w:t>with</w:t>
      </w:r>
      <w:r w:rsidR="003D640C">
        <w:t xml:space="preserve"> </w:t>
      </w:r>
      <w:r w:rsidRPr="00BB6220">
        <w:t>teaching</w:t>
      </w:r>
      <w:r w:rsidR="003D640C">
        <w:t xml:space="preserve"> </w:t>
      </w:r>
      <w:r w:rsidRPr="00BB6220">
        <w:t>material,</w:t>
      </w:r>
      <w:r w:rsidR="003D640C">
        <w:t xml:space="preserve"> </w:t>
      </w:r>
      <w:r w:rsidRPr="00BB6220">
        <w:t>consider</w:t>
      </w:r>
      <w:r w:rsidR="003D640C">
        <w:t xml:space="preserve"> </w:t>
      </w:r>
      <w:r w:rsidRPr="00BB6220">
        <w:t>using</w:t>
      </w:r>
      <w:r w:rsidR="003D640C">
        <w:t xml:space="preserve"> </w:t>
      </w:r>
      <w:r w:rsidRPr="00BB6220">
        <w:t>gender-neutral</w:t>
      </w:r>
      <w:r w:rsidR="003D640C">
        <w:t xml:space="preserve"> </w:t>
      </w:r>
      <w:r w:rsidRPr="00BB6220">
        <w:t>terms.</w:t>
      </w:r>
    </w:p>
    <w:p w14:paraId="239F6423" w14:textId="2EF2B359" w:rsidR="00501068" w:rsidRDefault="00524EA2" w:rsidP="009B6B4C">
      <w:pPr>
        <w:pStyle w:val="Bullet"/>
      </w:pPr>
      <w:r w:rsidRPr="00BB6220">
        <w:rPr>
          <w:b/>
          <w:bCs/>
        </w:rPr>
        <w:t>Invite</w:t>
      </w:r>
      <w:r w:rsidR="003D640C">
        <w:rPr>
          <w:b/>
          <w:bCs/>
        </w:rPr>
        <w:t xml:space="preserve"> </w:t>
      </w:r>
      <w:r w:rsidRPr="00BB6220">
        <w:rPr>
          <w:b/>
          <w:bCs/>
        </w:rPr>
        <w:t>diversity</w:t>
      </w:r>
      <w:r w:rsidR="003D640C">
        <w:rPr>
          <w:b/>
          <w:bCs/>
        </w:rPr>
        <w:t xml:space="preserve"> </w:t>
      </w:r>
      <w:r w:rsidRPr="00BB6220">
        <w:rPr>
          <w:b/>
          <w:bCs/>
        </w:rPr>
        <w:t>in</w:t>
      </w:r>
      <w:r w:rsidR="003D640C">
        <w:rPr>
          <w:b/>
          <w:bCs/>
        </w:rPr>
        <w:t xml:space="preserve"> </w:t>
      </w:r>
      <w:r w:rsidRPr="00BB6220">
        <w:rPr>
          <w:b/>
          <w:bCs/>
        </w:rPr>
        <w:t>worship</w:t>
      </w:r>
      <w:r w:rsidRPr="00BB6220">
        <w:t>.</w:t>
      </w:r>
      <w:r w:rsidR="003D640C">
        <w:t xml:space="preserve"> </w:t>
      </w:r>
      <w:r w:rsidRPr="00BB6220">
        <w:t>What</w:t>
      </w:r>
      <w:r w:rsidR="003D640C">
        <w:t xml:space="preserve"> </w:t>
      </w:r>
      <w:r w:rsidRPr="00BB6220">
        <w:t>does</w:t>
      </w:r>
      <w:r w:rsidR="003D640C">
        <w:t xml:space="preserve"> </w:t>
      </w:r>
      <w:r w:rsidRPr="00BB6220">
        <w:t>the</w:t>
      </w:r>
      <w:r w:rsidR="003D640C">
        <w:t xml:space="preserve"> </w:t>
      </w:r>
      <w:r w:rsidRPr="00BB6220">
        <w:t>make</w:t>
      </w:r>
      <w:r w:rsidR="006953F6">
        <w:t>-</w:t>
      </w:r>
      <w:r w:rsidRPr="00BB6220">
        <w:t>up</w:t>
      </w:r>
      <w:r w:rsidR="003D640C">
        <w:t xml:space="preserve"> </w:t>
      </w:r>
      <w:r w:rsidRPr="00BB6220">
        <w:t>of</w:t>
      </w:r>
      <w:r w:rsidR="003D640C">
        <w:t xml:space="preserve"> </w:t>
      </w:r>
      <w:r w:rsidRPr="00BB6220">
        <w:t>your</w:t>
      </w:r>
      <w:r w:rsidR="003D640C">
        <w:t xml:space="preserve"> </w:t>
      </w:r>
      <w:r w:rsidRPr="00BB6220">
        <w:t>gatherings</w:t>
      </w:r>
      <w:r w:rsidR="003D640C">
        <w:t xml:space="preserve"> </w:t>
      </w:r>
      <w:r w:rsidRPr="00BB6220">
        <w:t>look</w:t>
      </w:r>
      <w:r w:rsidR="003D640C">
        <w:t xml:space="preserve"> </w:t>
      </w:r>
      <w:r w:rsidRPr="00BB6220">
        <w:t>like?</w:t>
      </w:r>
      <w:r w:rsidR="003D640C">
        <w:t xml:space="preserve"> </w:t>
      </w:r>
      <w:r w:rsidRPr="00BB6220">
        <w:t>Can</w:t>
      </w:r>
      <w:r w:rsidR="003D640C">
        <w:t xml:space="preserve"> </w:t>
      </w:r>
      <w:r w:rsidRPr="00BB6220">
        <w:t>people</w:t>
      </w:r>
      <w:r w:rsidR="003D640C">
        <w:t xml:space="preserve"> </w:t>
      </w:r>
      <w:r w:rsidRPr="00BB6220">
        <w:t>from</w:t>
      </w:r>
      <w:r w:rsidR="003D640C">
        <w:t xml:space="preserve"> </w:t>
      </w:r>
      <w:r w:rsidRPr="00BB6220">
        <w:t>different</w:t>
      </w:r>
      <w:r w:rsidR="003D640C">
        <w:t xml:space="preserve"> </w:t>
      </w:r>
      <w:r w:rsidRPr="00BB6220">
        <w:t>demographics,</w:t>
      </w:r>
      <w:r w:rsidR="003D640C">
        <w:t xml:space="preserve"> </w:t>
      </w:r>
      <w:r w:rsidRPr="00BB6220">
        <w:t>cultures</w:t>
      </w:r>
      <w:r w:rsidR="006953F6">
        <w:t>,</w:t>
      </w:r>
      <w:r w:rsidR="003D640C">
        <w:t xml:space="preserve"> </w:t>
      </w:r>
      <w:r w:rsidRPr="00BB6220">
        <w:t>and</w:t>
      </w:r>
      <w:r w:rsidR="003D640C">
        <w:t xml:space="preserve"> </w:t>
      </w:r>
      <w:r w:rsidRPr="00BB6220">
        <w:t>lived</w:t>
      </w:r>
      <w:r w:rsidR="003D640C">
        <w:t xml:space="preserve"> </w:t>
      </w:r>
      <w:r w:rsidRPr="00BB6220">
        <w:t>experiences</w:t>
      </w:r>
      <w:r w:rsidR="003D640C">
        <w:t xml:space="preserve"> </w:t>
      </w:r>
      <w:r w:rsidRPr="00BB6220">
        <w:t>see</w:t>
      </w:r>
      <w:r w:rsidR="003D640C">
        <w:t xml:space="preserve"> </w:t>
      </w:r>
      <w:r w:rsidRPr="00BB6220">
        <w:t>themselves</w:t>
      </w:r>
      <w:r w:rsidR="003D640C">
        <w:t xml:space="preserve"> </w:t>
      </w:r>
      <w:r w:rsidRPr="00BB6220">
        <w:t>represented</w:t>
      </w:r>
      <w:r w:rsidR="003D640C">
        <w:t xml:space="preserve"> </w:t>
      </w:r>
      <w:r w:rsidRPr="00BB6220">
        <w:t>and</w:t>
      </w:r>
      <w:r w:rsidR="003D640C">
        <w:t xml:space="preserve"> </w:t>
      </w:r>
      <w:r w:rsidRPr="00BB6220">
        <w:t>comfortably</w:t>
      </w:r>
      <w:r w:rsidR="003D640C">
        <w:t xml:space="preserve"> </w:t>
      </w:r>
      <w:r w:rsidRPr="00BB6220">
        <w:t>participating?</w:t>
      </w:r>
      <w:r w:rsidR="003D640C">
        <w:t xml:space="preserve"> </w:t>
      </w:r>
      <w:r w:rsidRPr="00BB6220">
        <w:t>Who</w:t>
      </w:r>
      <w:r w:rsidR="003D640C">
        <w:t xml:space="preserve"> </w:t>
      </w:r>
      <w:r w:rsidRPr="00BB6220">
        <w:t>has</w:t>
      </w:r>
      <w:r w:rsidR="003D640C">
        <w:t xml:space="preserve"> </w:t>
      </w:r>
      <w:r w:rsidRPr="00BB6220">
        <w:t>created</w:t>
      </w:r>
      <w:r w:rsidR="003D640C">
        <w:t xml:space="preserve"> </w:t>
      </w:r>
      <w:r w:rsidRPr="00BB6220">
        <w:t>the</w:t>
      </w:r>
      <w:r w:rsidR="003D640C">
        <w:t xml:space="preserve"> </w:t>
      </w:r>
      <w:r w:rsidRPr="00BB6220">
        <w:t>material</w:t>
      </w:r>
      <w:r w:rsidR="003D640C">
        <w:t xml:space="preserve"> </w:t>
      </w:r>
      <w:r w:rsidRPr="00BB6220">
        <w:t>or</w:t>
      </w:r>
      <w:r w:rsidR="003D640C">
        <w:t xml:space="preserve"> </w:t>
      </w:r>
      <w:r w:rsidRPr="00BB6220">
        <w:t>music</w:t>
      </w:r>
      <w:r w:rsidR="003D640C">
        <w:t xml:space="preserve"> </w:t>
      </w:r>
      <w:r w:rsidRPr="00BB6220">
        <w:t>used?</w:t>
      </w:r>
      <w:r w:rsidR="003D640C">
        <w:t xml:space="preserve"> </w:t>
      </w:r>
      <w:r w:rsidRPr="00BB6220">
        <w:t>Who</w:t>
      </w:r>
      <w:r w:rsidR="003D640C">
        <w:t xml:space="preserve"> </w:t>
      </w:r>
      <w:r w:rsidRPr="00BB6220">
        <w:t>is</w:t>
      </w:r>
      <w:r w:rsidR="003D640C">
        <w:t xml:space="preserve"> </w:t>
      </w:r>
      <w:r w:rsidRPr="00BB6220">
        <w:t>leading?</w:t>
      </w:r>
      <w:r w:rsidR="003D640C">
        <w:t xml:space="preserve"> </w:t>
      </w:r>
      <w:r w:rsidRPr="00BB6220">
        <w:t>Consider</w:t>
      </w:r>
      <w:r w:rsidR="003D640C">
        <w:t xml:space="preserve"> </w:t>
      </w:r>
      <w:r w:rsidRPr="00BB6220">
        <w:t>exploring</w:t>
      </w:r>
      <w:r w:rsidR="003D640C">
        <w:t xml:space="preserve"> </w:t>
      </w:r>
      <w:r w:rsidRPr="00BB6220">
        <w:t>worship</w:t>
      </w:r>
      <w:r w:rsidR="003D640C">
        <w:t xml:space="preserve"> </w:t>
      </w:r>
      <w:r w:rsidRPr="00BB6220">
        <w:t>practices</w:t>
      </w:r>
      <w:r w:rsidR="003D640C">
        <w:t xml:space="preserve"> </w:t>
      </w:r>
      <w:r w:rsidRPr="00BB6220">
        <w:t>that</w:t>
      </w:r>
      <w:r w:rsidR="003D640C">
        <w:t xml:space="preserve"> </w:t>
      </w:r>
      <w:r w:rsidRPr="00BB6220">
        <w:t>resonate</w:t>
      </w:r>
      <w:r w:rsidR="003D640C">
        <w:t xml:space="preserve"> </w:t>
      </w:r>
      <w:r w:rsidRPr="00BB6220">
        <w:t>with</w:t>
      </w:r>
      <w:r w:rsidR="003D640C">
        <w:t xml:space="preserve"> </w:t>
      </w:r>
      <w:r w:rsidRPr="00BB6220">
        <w:t>ethnically</w:t>
      </w:r>
      <w:r w:rsidR="003D640C">
        <w:t xml:space="preserve"> </w:t>
      </w:r>
      <w:r w:rsidRPr="00BB6220">
        <w:t>diverse</w:t>
      </w:r>
      <w:r w:rsidR="003D640C">
        <w:t xml:space="preserve"> </w:t>
      </w:r>
      <w:r w:rsidR="006C3CA0" w:rsidRPr="00BB6220">
        <w:t>Rainbow</w:t>
      </w:r>
      <w:r w:rsidR="003D640C">
        <w:t xml:space="preserve"> </w:t>
      </w:r>
      <w:r w:rsidRPr="00BB6220">
        <w:t>communities,</w:t>
      </w:r>
      <w:r w:rsidR="003D640C">
        <w:t xml:space="preserve"> </w:t>
      </w:r>
      <w:r w:rsidRPr="00BB6220">
        <w:t>takatāpui</w:t>
      </w:r>
      <w:r w:rsidR="278B6A80" w:rsidRPr="00BB6220">
        <w:t>,</w:t>
      </w:r>
      <w:r w:rsidR="003D640C">
        <w:t xml:space="preserve"> </w:t>
      </w:r>
      <w:r w:rsidRPr="00BB6220">
        <w:t>and</w:t>
      </w:r>
      <w:r w:rsidR="003D640C">
        <w:t xml:space="preserve"> </w:t>
      </w:r>
      <w:r w:rsidRPr="00BB6220">
        <w:t>MVPFAFF+</w:t>
      </w:r>
      <w:r w:rsidR="003D640C">
        <w:t xml:space="preserve"> </w:t>
      </w:r>
      <w:r w:rsidRPr="00BB6220">
        <w:t>people.</w:t>
      </w:r>
    </w:p>
    <w:p w14:paraId="5FA912FE" w14:textId="77777777" w:rsidR="00501068" w:rsidRDefault="00524EA2" w:rsidP="009B6B4C">
      <w:pPr>
        <w:pStyle w:val="Bullet"/>
      </w:pPr>
      <w:r w:rsidRPr="00BB6220">
        <w:rPr>
          <w:b/>
          <w:bCs/>
        </w:rPr>
        <w:t>Be</w:t>
      </w:r>
      <w:r w:rsidR="003D640C">
        <w:rPr>
          <w:b/>
          <w:bCs/>
        </w:rPr>
        <w:t xml:space="preserve"> </w:t>
      </w:r>
      <w:r w:rsidRPr="00BB6220">
        <w:rPr>
          <w:b/>
          <w:bCs/>
        </w:rPr>
        <w:t>open</w:t>
      </w:r>
      <w:r w:rsidR="003D640C">
        <w:rPr>
          <w:b/>
          <w:bCs/>
        </w:rPr>
        <w:t xml:space="preserve"> </w:t>
      </w:r>
      <w:r w:rsidRPr="00BB6220">
        <w:rPr>
          <w:b/>
          <w:bCs/>
        </w:rPr>
        <w:t>to</w:t>
      </w:r>
      <w:r w:rsidR="003D640C">
        <w:rPr>
          <w:b/>
          <w:bCs/>
        </w:rPr>
        <w:t xml:space="preserve"> </w:t>
      </w:r>
      <w:r w:rsidRPr="00BB6220">
        <w:rPr>
          <w:b/>
          <w:bCs/>
        </w:rPr>
        <w:t>embracing</w:t>
      </w:r>
      <w:r w:rsidR="003D640C">
        <w:rPr>
          <w:b/>
          <w:bCs/>
        </w:rPr>
        <w:t xml:space="preserve"> </w:t>
      </w:r>
      <w:r w:rsidRPr="00BB6220">
        <w:rPr>
          <w:b/>
          <w:bCs/>
        </w:rPr>
        <w:t>flexibility</w:t>
      </w:r>
      <w:r w:rsidR="003D640C">
        <w:rPr>
          <w:b/>
          <w:bCs/>
        </w:rPr>
        <w:t xml:space="preserve"> </w:t>
      </w:r>
      <w:r w:rsidRPr="00BB6220">
        <w:rPr>
          <w:b/>
          <w:bCs/>
        </w:rPr>
        <w:t>in</w:t>
      </w:r>
      <w:r w:rsidR="003D640C">
        <w:rPr>
          <w:b/>
          <w:bCs/>
        </w:rPr>
        <w:t xml:space="preserve"> </w:t>
      </w:r>
      <w:r w:rsidRPr="00BB6220">
        <w:rPr>
          <w:b/>
          <w:bCs/>
        </w:rPr>
        <w:t>worship</w:t>
      </w:r>
      <w:r w:rsidRPr="00BB6220">
        <w:t>.</w:t>
      </w:r>
      <w:r w:rsidR="003D640C">
        <w:rPr>
          <w:b/>
          <w:bCs/>
        </w:rPr>
        <w:t xml:space="preserve"> </w:t>
      </w:r>
      <w:r w:rsidRPr="00BB6220">
        <w:t>People</w:t>
      </w:r>
      <w:r w:rsidR="003D640C">
        <w:t xml:space="preserve"> </w:t>
      </w:r>
      <w:r w:rsidRPr="00BB6220">
        <w:t>who</w:t>
      </w:r>
      <w:r w:rsidR="003D640C">
        <w:t xml:space="preserve"> </w:t>
      </w:r>
      <w:r w:rsidRPr="00BB6220">
        <w:t>do</w:t>
      </w:r>
      <w:r w:rsidR="003D640C">
        <w:t xml:space="preserve"> </w:t>
      </w:r>
      <w:r w:rsidRPr="00BB6220">
        <w:t>not</w:t>
      </w:r>
      <w:r w:rsidR="003D640C">
        <w:t xml:space="preserve"> </w:t>
      </w:r>
      <w:r w:rsidRPr="00BB6220">
        <w:t>wish</w:t>
      </w:r>
      <w:r w:rsidR="003D640C">
        <w:t xml:space="preserve"> </w:t>
      </w:r>
      <w:r w:rsidRPr="00BB6220">
        <w:t>to</w:t>
      </w:r>
      <w:r w:rsidR="003D640C">
        <w:t xml:space="preserve"> </w:t>
      </w:r>
      <w:r w:rsidRPr="00BB6220">
        <w:t>participate</w:t>
      </w:r>
      <w:r w:rsidR="003D640C">
        <w:t xml:space="preserve"> </w:t>
      </w:r>
      <w:r w:rsidRPr="00BB6220">
        <w:t>at</w:t>
      </w:r>
      <w:r w:rsidR="003D640C">
        <w:t xml:space="preserve"> </w:t>
      </w:r>
      <w:r w:rsidRPr="00BB6220">
        <w:t>full</w:t>
      </w:r>
      <w:r w:rsidR="003D640C">
        <w:t xml:space="preserve"> </w:t>
      </w:r>
      <w:r w:rsidRPr="00BB6220">
        <w:t>capacity</w:t>
      </w:r>
      <w:r w:rsidR="003D640C">
        <w:t xml:space="preserve"> </w:t>
      </w:r>
      <w:r w:rsidRPr="00BB6220">
        <w:t>may</w:t>
      </w:r>
      <w:r w:rsidR="003D640C">
        <w:t xml:space="preserve"> </w:t>
      </w:r>
      <w:r w:rsidRPr="00BB6220">
        <w:t>step</w:t>
      </w:r>
      <w:r w:rsidR="003D640C">
        <w:t xml:space="preserve"> </w:t>
      </w:r>
      <w:r w:rsidRPr="00BB6220">
        <w:t>in</w:t>
      </w:r>
      <w:r w:rsidR="003D640C">
        <w:t xml:space="preserve"> </w:t>
      </w:r>
      <w:r w:rsidRPr="00BB6220">
        <w:t>and</w:t>
      </w:r>
      <w:r w:rsidR="003D640C">
        <w:t xml:space="preserve"> </w:t>
      </w:r>
      <w:r w:rsidRPr="00BB6220">
        <w:t>out</w:t>
      </w:r>
      <w:r w:rsidR="003D640C">
        <w:t xml:space="preserve"> </w:t>
      </w:r>
      <w:r w:rsidRPr="00BB6220">
        <w:t>of</w:t>
      </w:r>
      <w:r w:rsidR="003D640C">
        <w:t xml:space="preserve"> </w:t>
      </w:r>
      <w:r w:rsidRPr="00BB6220">
        <w:t>spaces</w:t>
      </w:r>
      <w:r w:rsidR="003D640C">
        <w:t xml:space="preserve"> </w:t>
      </w:r>
      <w:r w:rsidRPr="00BB6220">
        <w:t>where</w:t>
      </w:r>
      <w:r w:rsidR="003D640C">
        <w:t xml:space="preserve"> </w:t>
      </w:r>
      <w:r w:rsidRPr="00BB6220">
        <w:t>organised</w:t>
      </w:r>
      <w:r w:rsidR="003D640C">
        <w:t xml:space="preserve"> </w:t>
      </w:r>
      <w:r w:rsidRPr="00BB6220">
        <w:t>worship</w:t>
      </w:r>
      <w:r w:rsidR="003D640C">
        <w:t xml:space="preserve"> </w:t>
      </w:r>
      <w:r w:rsidRPr="00BB6220">
        <w:t>is</w:t>
      </w:r>
      <w:r w:rsidR="003D640C">
        <w:t xml:space="preserve"> </w:t>
      </w:r>
      <w:r w:rsidRPr="00BB6220">
        <w:t>conducted.</w:t>
      </w:r>
      <w:r w:rsidR="003D640C">
        <w:t xml:space="preserve"> </w:t>
      </w:r>
      <w:r w:rsidRPr="00BB6220">
        <w:t>Provide</w:t>
      </w:r>
      <w:r w:rsidR="003D640C">
        <w:t xml:space="preserve"> </w:t>
      </w:r>
      <w:r w:rsidRPr="00BB6220">
        <w:t>easy</w:t>
      </w:r>
      <w:r w:rsidR="003D640C">
        <w:t xml:space="preserve"> </w:t>
      </w:r>
      <w:r w:rsidRPr="00BB6220">
        <w:t>ways</w:t>
      </w:r>
      <w:r w:rsidR="003D640C">
        <w:t xml:space="preserve"> </w:t>
      </w:r>
      <w:r w:rsidRPr="00BB6220">
        <w:t>for</w:t>
      </w:r>
      <w:r w:rsidR="003D640C">
        <w:t xml:space="preserve"> </w:t>
      </w:r>
      <w:r w:rsidRPr="00BB6220">
        <w:t>people</w:t>
      </w:r>
      <w:r w:rsidR="003D640C">
        <w:t xml:space="preserve"> </w:t>
      </w:r>
      <w:r w:rsidRPr="00BB6220">
        <w:t>to</w:t>
      </w:r>
      <w:r w:rsidR="003D640C">
        <w:t xml:space="preserve"> </w:t>
      </w:r>
      <w:r w:rsidRPr="00BB6220">
        <w:t>do</w:t>
      </w:r>
      <w:r w:rsidR="003D640C">
        <w:t xml:space="preserve"> </w:t>
      </w:r>
      <w:r w:rsidRPr="00BB6220">
        <w:t>this.</w:t>
      </w:r>
    </w:p>
    <w:p w14:paraId="67B95280" w14:textId="0DF52BC2" w:rsidR="00524EA2" w:rsidRPr="00BB6220" w:rsidRDefault="00B605A7" w:rsidP="002C6363">
      <w:pPr>
        <w:pStyle w:val="Heading3"/>
      </w:pPr>
      <w:bookmarkStart w:id="390" w:name="_Toc138771245"/>
      <w:bookmarkStart w:id="391" w:name="_Toc167780642"/>
      <w:bookmarkStart w:id="392" w:name="_Toc587876588"/>
      <w:bookmarkStart w:id="393" w:name="_Toc174628704"/>
      <w:r>
        <w:t>Leadership</w:t>
      </w:r>
      <w:r w:rsidR="003D640C">
        <w:t xml:space="preserve"> </w:t>
      </w:r>
      <w:r w:rsidR="00524EA2" w:rsidRPr="00BB6220">
        <w:t>and</w:t>
      </w:r>
      <w:r w:rsidR="003D640C">
        <w:t xml:space="preserve"> </w:t>
      </w:r>
      <w:r w:rsidR="006953F6">
        <w:t>g</w:t>
      </w:r>
      <w:r w:rsidR="00524EA2" w:rsidRPr="00BB6220">
        <w:t>roups</w:t>
      </w:r>
      <w:bookmarkEnd w:id="390"/>
      <w:bookmarkEnd w:id="391"/>
      <w:bookmarkEnd w:id="392"/>
      <w:bookmarkEnd w:id="393"/>
    </w:p>
    <w:p w14:paraId="4B9EDC74" w14:textId="6760D0DD" w:rsidR="00524EA2" w:rsidRPr="00BB6220" w:rsidRDefault="00524EA2" w:rsidP="009B6B4C">
      <w:r w:rsidRPr="00BB6220">
        <w:t>This</w:t>
      </w:r>
      <w:r w:rsidR="003D640C">
        <w:t xml:space="preserve"> </w:t>
      </w:r>
      <w:r w:rsidRPr="00BB6220">
        <w:t>includes</w:t>
      </w:r>
      <w:r w:rsidR="003D640C">
        <w:t xml:space="preserve"> </w:t>
      </w:r>
      <w:r w:rsidR="00E2351B" w:rsidRPr="00BB6220">
        <w:t>the</w:t>
      </w:r>
      <w:r w:rsidR="003D640C">
        <w:t xml:space="preserve"> </w:t>
      </w:r>
      <w:r w:rsidR="00E2351B" w:rsidRPr="00BB6220">
        <w:t>full</w:t>
      </w:r>
      <w:r w:rsidR="003D640C">
        <w:t xml:space="preserve"> </w:t>
      </w:r>
      <w:r w:rsidR="00E2351B" w:rsidRPr="00BB6220">
        <w:t>range</w:t>
      </w:r>
      <w:r w:rsidR="003D640C">
        <w:t xml:space="preserve"> </w:t>
      </w:r>
      <w:r w:rsidR="00E2351B" w:rsidRPr="00BB6220">
        <w:t>of</w:t>
      </w:r>
      <w:r w:rsidR="003D640C">
        <w:t xml:space="preserve"> </w:t>
      </w:r>
      <w:r w:rsidR="00B605A7">
        <w:t>leadership,</w:t>
      </w:r>
      <w:r w:rsidR="003D640C">
        <w:t xml:space="preserve"> </w:t>
      </w:r>
      <w:r w:rsidR="004C1836" w:rsidRPr="00BB6220">
        <w:t>ministry</w:t>
      </w:r>
      <w:r w:rsidR="006953F6">
        <w:t>,</w:t>
      </w:r>
      <w:r w:rsidR="003D640C">
        <w:t xml:space="preserve"> </w:t>
      </w:r>
      <w:r w:rsidR="004C1836" w:rsidRPr="00BB6220">
        <w:t>and</w:t>
      </w:r>
      <w:r w:rsidR="003D640C">
        <w:t xml:space="preserve"> </w:t>
      </w:r>
      <w:r w:rsidR="004C1836" w:rsidRPr="00BB6220">
        <w:t>social</w:t>
      </w:r>
      <w:r w:rsidR="003D640C">
        <w:t xml:space="preserve"> </w:t>
      </w:r>
      <w:r w:rsidR="004C1836" w:rsidRPr="00BB6220">
        <w:t>groups</w:t>
      </w:r>
      <w:r w:rsidR="003D640C">
        <w:t xml:space="preserve"> </w:t>
      </w:r>
      <w:r w:rsidR="00747CC7" w:rsidRPr="00BB6220">
        <w:t>as</w:t>
      </w:r>
      <w:r w:rsidR="003D640C">
        <w:t xml:space="preserve"> </w:t>
      </w:r>
      <w:r w:rsidR="00747CC7" w:rsidRPr="00BB6220">
        <w:t>well</w:t>
      </w:r>
      <w:r w:rsidR="003D640C">
        <w:t xml:space="preserve"> </w:t>
      </w:r>
      <w:r w:rsidR="00747CC7" w:rsidRPr="00BB6220">
        <w:t>as</w:t>
      </w:r>
      <w:r w:rsidR="003D640C">
        <w:t xml:space="preserve"> </w:t>
      </w:r>
      <w:r w:rsidRPr="00BB6220">
        <w:t>other</w:t>
      </w:r>
      <w:r w:rsidR="003D640C">
        <w:t xml:space="preserve"> </w:t>
      </w:r>
      <w:r w:rsidRPr="00BB6220">
        <w:t>volunteer</w:t>
      </w:r>
      <w:r w:rsidR="003D640C">
        <w:t xml:space="preserve"> </w:t>
      </w:r>
      <w:r w:rsidRPr="00BB6220">
        <w:t>opportunities.</w:t>
      </w:r>
      <w:r w:rsidR="003D640C">
        <w:t xml:space="preserve"> </w:t>
      </w:r>
      <w:r w:rsidRPr="00BB6220">
        <w:t>For</w:t>
      </w:r>
      <w:r w:rsidR="003D640C">
        <w:t xml:space="preserve"> </w:t>
      </w:r>
      <w:r w:rsidRPr="00BB6220">
        <w:t>some</w:t>
      </w:r>
      <w:r w:rsidR="003D640C">
        <w:t xml:space="preserve"> </w:t>
      </w:r>
      <w:r w:rsidRPr="00BB6220">
        <w:t>in</w:t>
      </w:r>
      <w:r w:rsidR="003D640C">
        <w:t xml:space="preserve"> </w:t>
      </w:r>
      <w:r w:rsidRPr="00BB6220">
        <w:t>the</w:t>
      </w:r>
      <w:r w:rsidR="003D640C">
        <w:t xml:space="preserve"> </w:t>
      </w:r>
      <w:r w:rsidR="006C3CA0" w:rsidRPr="00BB6220">
        <w:t>Rainbow</w:t>
      </w:r>
      <w:r w:rsidR="003D640C">
        <w:t xml:space="preserve"> </w:t>
      </w:r>
      <w:r w:rsidRPr="00BB6220">
        <w:t>community</w:t>
      </w:r>
      <w:r w:rsidR="00CD53EB">
        <w:t>,</w:t>
      </w:r>
      <w:r w:rsidR="003D640C">
        <w:t xml:space="preserve"> </w:t>
      </w:r>
      <w:r w:rsidRPr="00BB6220">
        <w:t>strict</w:t>
      </w:r>
      <w:r w:rsidR="003D640C">
        <w:t xml:space="preserve"> </w:t>
      </w:r>
      <w:r w:rsidRPr="00BB6220">
        <w:t>gender</w:t>
      </w:r>
      <w:r w:rsidR="003D640C">
        <w:t xml:space="preserve"> </w:t>
      </w:r>
      <w:r w:rsidRPr="00BB6220">
        <w:t>binaries</w:t>
      </w:r>
      <w:r w:rsidR="003D640C">
        <w:t xml:space="preserve"> </w:t>
      </w:r>
      <w:r w:rsidRPr="00BB6220">
        <w:t>make</w:t>
      </w:r>
      <w:r w:rsidR="003D640C">
        <w:t xml:space="preserve"> </w:t>
      </w:r>
      <w:r w:rsidRPr="00BB6220">
        <w:t>them</w:t>
      </w:r>
      <w:r w:rsidR="003D640C">
        <w:t xml:space="preserve"> </w:t>
      </w:r>
      <w:r w:rsidRPr="00BB6220">
        <w:t>feel</w:t>
      </w:r>
      <w:r w:rsidR="003D640C">
        <w:t xml:space="preserve"> </w:t>
      </w:r>
      <w:r w:rsidRPr="00BB6220">
        <w:t>excluded.</w:t>
      </w:r>
      <w:r w:rsidR="003D640C">
        <w:t xml:space="preserve"> </w:t>
      </w:r>
      <w:r w:rsidRPr="00BB6220">
        <w:t>When</w:t>
      </w:r>
      <w:r w:rsidR="003D640C">
        <w:t xml:space="preserve"> </w:t>
      </w:r>
      <w:r w:rsidRPr="00BB6220">
        <w:t>groups</w:t>
      </w:r>
      <w:r w:rsidR="003D640C">
        <w:t xml:space="preserve"> </w:t>
      </w:r>
      <w:r w:rsidRPr="00BB6220">
        <w:t>are</w:t>
      </w:r>
      <w:r w:rsidR="003D640C">
        <w:t xml:space="preserve"> </w:t>
      </w:r>
      <w:r w:rsidRPr="00BB6220">
        <w:t>organised</w:t>
      </w:r>
      <w:r w:rsidR="003D640C">
        <w:t xml:space="preserve"> </w:t>
      </w:r>
      <w:r w:rsidRPr="00BB6220">
        <w:t>around</w:t>
      </w:r>
      <w:r w:rsidR="003D640C">
        <w:t xml:space="preserve"> </w:t>
      </w:r>
      <w:r w:rsidRPr="00BB6220">
        <w:t>traditional</w:t>
      </w:r>
      <w:r w:rsidR="003D640C">
        <w:t xml:space="preserve"> </w:t>
      </w:r>
      <w:r w:rsidRPr="00BB6220">
        <w:t>gender</w:t>
      </w:r>
      <w:r w:rsidR="003D640C">
        <w:t xml:space="preserve"> </w:t>
      </w:r>
      <w:r w:rsidRPr="00BB6220">
        <w:t>roles</w:t>
      </w:r>
      <w:r w:rsidR="0064680A">
        <w:t>,</w:t>
      </w:r>
      <w:r w:rsidR="003D640C">
        <w:t xml:space="preserve"> </w:t>
      </w:r>
      <w:r w:rsidR="006C3CA0" w:rsidRPr="00BB6220">
        <w:t>Rainbow</w:t>
      </w:r>
      <w:r w:rsidR="003D640C">
        <w:t xml:space="preserve"> </w:t>
      </w:r>
      <w:r w:rsidRPr="00BB6220">
        <w:t>people</w:t>
      </w:r>
      <w:r w:rsidR="003D640C">
        <w:t xml:space="preserve"> </w:t>
      </w:r>
      <w:r w:rsidRPr="00BB6220">
        <w:t>will</w:t>
      </w:r>
      <w:r w:rsidR="003D640C">
        <w:t xml:space="preserve"> </w:t>
      </w:r>
      <w:r w:rsidRPr="00BB6220">
        <w:t>not</w:t>
      </w:r>
      <w:r w:rsidR="003D640C">
        <w:t xml:space="preserve"> </w:t>
      </w:r>
      <w:r w:rsidRPr="00BB6220">
        <w:t>feel</w:t>
      </w:r>
      <w:r w:rsidR="003D640C">
        <w:t xml:space="preserve"> </w:t>
      </w:r>
      <w:r w:rsidRPr="00BB6220">
        <w:t>welcome.</w:t>
      </w:r>
      <w:r w:rsidR="003D640C">
        <w:t xml:space="preserve"> </w:t>
      </w:r>
      <w:r w:rsidR="003951C6" w:rsidRPr="00BB6220">
        <w:t>Survivors</w:t>
      </w:r>
      <w:r w:rsidR="003D640C">
        <w:t xml:space="preserve"> </w:t>
      </w:r>
      <w:r w:rsidR="003951C6" w:rsidRPr="00BB6220">
        <w:t>provided</w:t>
      </w:r>
      <w:r w:rsidR="003D640C">
        <w:t xml:space="preserve"> </w:t>
      </w:r>
      <w:r w:rsidR="003951C6" w:rsidRPr="00BB6220">
        <w:t>the</w:t>
      </w:r>
      <w:r w:rsidR="003D640C">
        <w:t xml:space="preserve"> </w:t>
      </w:r>
      <w:r w:rsidR="003951C6" w:rsidRPr="00BB6220">
        <w:t>following</w:t>
      </w:r>
      <w:r w:rsidR="003D640C">
        <w:t xml:space="preserve"> </w:t>
      </w:r>
      <w:r w:rsidR="003951C6" w:rsidRPr="00BB6220">
        <w:t>advice</w:t>
      </w:r>
      <w:r w:rsidR="003D640C">
        <w:t xml:space="preserve"> </w:t>
      </w:r>
      <w:r w:rsidR="003951C6" w:rsidRPr="00BB6220">
        <w:t>regarding</w:t>
      </w:r>
      <w:r w:rsidR="003D640C">
        <w:t xml:space="preserve"> </w:t>
      </w:r>
      <w:r w:rsidR="003951C6" w:rsidRPr="00BB6220">
        <w:t>ministries</w:t>
      </w:r>
      <w:r w:rsidR="003D640C">
        <w:t xml:space="preserve"> </w:t>
      </w:r>
      <w:r w:rsidR="003951C6" w:rsidRPr="00BB6220">
        <w:t>and</w:t>
      </w:r>
      <w:r w:rsidR="003D640C">
        <w:t xml:space="preserve"> </w:t>
      </w:r>
      <w:r w:rsidR="003951C6" w:rsidRPr="00BB6220">
        <w:t>groups</w:t>
      </w:r>
      <w:r w:rsidR="006953F6">
        <w:t>.</w:t>
      </w:r>
    </w:p>
    <w:p w14:paraId="6A4D9BF6" w14:textId="51BB1696" w:rsidR="00501068" w:rsidRDefault="00524EA2" w:rsidP="009B6B4C">
      <w:pPr>
        <w:pStyle w:val="Bullet"/>
      </w:pPr>
      <w:r w:rsidRPr="00BB6220">
        <w:rPr>
          <w:b/>
          <w:bCs/>
        </w:rPr>
        <w:t>Review</w:t>
      </w:r>
      <w:r w:rsidR="003D640C">
        <w:rPr>
          <w:b/>
          <w:bCs/>
        </w:rPr>
        <w:t xml:space="preserve"> </w:t>
      </w:r>
      <w:r w:rsidRPr="00BB6220">
        <w:rPr>
          <w:b/>
          <w:bCs/>
        </w:rPr>
        <w:t>the</w:t>
      </w:r>
      <w:r w:rsidR="003D640C">
        <w:rPr>
          <w:b/>
          <w:bCs/>
        </w:rPr>
        <w:t xml:space="preserve"> </w:t>
      </w:r>
      <w:r w:rsidRPr="00BB6220">
        <w:rPr>
          <w:b/>
          <w:bCs/>
        </w:rPr>
        <w:t>names</w:t>
      </w:r>
      <w:r w:rsidR="003D640C">
        <w:rPr>
          <w:b/>
          <w:bCs/>
        </w:rPr>
        <w:t xml:space="preserve"> </w:t>
      </w:r>
      <w:r w:rsidRPr="00BB6220">
        <w:rPr>
          <w:b/>
          <w:bCs/>
        </w:rPr>
        <w:t>of</w:t>
      </w:r>
      <w:r w:rsidR="003D640C">
        <w:rPr>
          <w:b/>
          <w:bCs/>
        </w:rPr>
        <w:t xml:space="preserve"> </w:t>
      </w:r>
      <w:r w:rsidRPr="00BB6220">
        <w:rPr>
          <w:b/>
          <w:bCs/>
        </w:rPr>
        <w:t>your</w:t>
      </w:r>
      <w:r w:rsidR="003D640C">
        <w:rPr>
          <w:b/>
          <w:bCs/>
        </w:rPr>
        <w:t xml:space="preserve"> </w:t>
      </w:r>
      <w:r w:rsidRPr="00BB6220">
        <w:rPr>
          <w:b/>
          <w:bCs/>
        </w:rPr>
        <w:t>ministries</w:t>
      </w:r>
      <w:r w:rsidR="003D640C">
        <w:rPr>
          <w:b/>
          <w:bCs/>
        </w:rPr>
        <w:t xml:space="preserve"> </w:t>
      </w:r>
      <w:r w:rsidRPr="00BB6220">
        <w:rPr>
          <w:b/>
          <w:bCs/>
        </w:rPr>
        <w:t>or</w:t>
      </w:r>
      <w:r w:rsidR="003D640C">
        <w:rPr>
          <w:b/>
          <w:bCs/>
        </w:rPr>
        <w:t xml:space="preserve"> </w:t>
      </w:r>
      <w:r w:rsidRPr="00BB6220">
        <w:rPr>
          <w:b/>
          <w:bCs/>
        </w:rPr>
        <w:t>groups.</w:t>
      </w:r>
      <w:r w:rsidR="003D640C">
        <w:t xml:space="preserve"> </w:t>
      </w:r>
      <w:r w:rsidRPr="00BB6220">
        <w:t>Do</w:t>
      </w:r>
      <w:r w:rsidR="003D640C">
        <w:t xml:space="preserve"> </w:t>
      </w:r>
      <w:r w:rsidRPr="00BB6220">
        <w:t>they</w:t>
      </w:r>
      <w:r w:rsidR="003D640C">
        <w:t xml:space="preserve"> </w:t>
      </w:r>
      <w:r w:rsidRPr="00BB6220">
        <w:t>have</w:t>
      </w:r>
      <w:r w:rsidR="003D640C">
        <w:t xml:space="preserve"> </w:t>
      </w:r>
      <w:r w:rsidRPr="00BB6220">
        <w:t>gendered</w:t>
      </w:r>
      <w:r w:rsidR="003D640C">
        <w:t xml:space="preserve"> </w:t>
      </w:r>
      <w:r w:rsidRPr="00BB6220">
        <w:t>titles?</w:t>
      </w:r>
      <w:r w:rsidR="003D640C">
        <w:t xml:space="preserve"> </w:t>
      </w:r>
      <w:r w:rsidRPr="00BB6220">
        <w:t>If</w:t>
      </w:r>
      <w:r w:rsidR="003D640C">
        <w:t xml:space="preserve"> </w:t>
      </w:r>
      <w:r w:rsidRPr="00BB6220">
        <w:t>so,</w:t>
      </w:r>
      <w:r w:rsidR="003D640C">
        <w:t xml:space="preserve"> </w:t>
      </w:r>
      <w:r w:rsidRPr="00BB6220">
        <w:t>do</w:t>
      </w:r>
      <w:r w:rsidR="003D640C">
        <w:t xml:space="preserve"> </w:t>
      </w:r>
      <w:r w:rsidRPr="00BB6220">
        <w:t>they</w:t>
      </w:r>
      <w:r w:rsidR="003D640C">
        <w:t xml:space="preserve"> </w:t>
      </w:r>
      <w:r w:rsidRPr="00BB6220">
        <w:t>need</w:t>
      </w:r>
      <w:r w:rsidR="003D640C">
        <w:t xml:space="preserve"> </w:t>
      </w:r>
      <w:r w:rsidRPr="00BB6220">
        <w:t>to</w:t>
      </w:r>
      <w:r w:rsidR="003D640C">
        <w:t xml:space="preserve"> </w:t>
      </w:r>
      <w:r w:rsidRPr="00BB6220">
        <w:t>have</w:t>
      </w:r>
      <w:r w:rsidR="003D640C">
        <w:t xml:space="preserve"> </w:t>
      </w:r>
      <w:r w:rsidRPr="00BB6220">
        <w:t>them?</w:t>
      </w:r>
      <w:r w:rsidR="003D640C">
        <w:t xml:space="preserve"> </w:t>
      </w:r>
      <w:r w:rsidRPr="00BB6220">
        <w:t>Consider</w:t>
      </w:r>
      <w:r w:rsidR="003D640C">
        <w:t xml:space="preserve"> </w:t>
      </w:r>
      <w:r w:rsidRPr="00BB6220">
        <w:t>renaming</w:t>
      </w:r>
      <w:r w:rsidR="003D640C">
        <w:t xml:space="preserve"> </w:t>
      </w:r>
      <w:r w:rsidRPr="00BB6220">
        <w:t>groups</w:t>
      </w:r>
      <w:r w:rsidR="003D640C">
        <w:t xml:space="preserve"> </w:t>
      </w:r>
      <w:r w:rsidRPr="00BB6220">
        <w:t>to</w:t>
      </w:r>
      <w:r w:rsidR="003D640C">
        <w:t xml:space="preserve"> </w:t>
      </w:r>
      <w:r w:rsidRPr="00BB6220">
        <w:t>reflect</w:t>
      </w:r>
      <w:r w:rsidR="003D640C">
        <w:t xml:space="preserve"> </w:t>
      </w:r>
      <w:r w:rsidRPr="00BB6220">
        <w:t>their</w:t>
      </w:r>
      <w:r w:rsidR="003D640C">
        <w:t xml:space="preserve"> </w:t>
      </w:r>
      <w:r w:rsidRPr="00BB6220">
        <w:t>activity</w:t>
      </w:r>
      <w:r w:rsidR="003D640C">
        <w:t xml:space="preserve"> </w:t>
      </w:r>
      <w:r w:rsidRPr="00BB6220">
        <w:t>or</w:t>
      </w:r>
      <w:r w:rsidR="003D640C">
        <w:t xml:space="preserve"> </w:t>
      </w:r>
      <w:r w:rsidRPr="00BB6220">
        <w:t>purpose,</w:t>
      </w:r>
      <w:r w:rsidR="003D640C">
        <w:t xml:space="preserve"> </w:t>
      </w:r>
      <w:r w:rsidRPr="00BB6220">
        <w:t>for</w:t>
      </w:r>
      <w:r w:rsidR="003D640C">
        <w:t xml:space="preserve"> </w:t>
      </w:r>
      <w:r w:rsidRPr="00BB6220">
        <w:t>example</w:t>
      </w:r>
      <w:r w:rsidR="003D640C">
        <w:t xml:space="preserve"> </w:t>
      </w:r>
      <w:r w:rsidRPr="00BB6220">
        <w:t>Sewing</w:t>
      </w:r>
      <w:r w:rsidR="003D640C">
        <w:t xml:space="preserve"> </w:t>
      </w:r>
      <w:r w:rsidRPr="00BB6220">
        <w:t>Group</w:t>
      </w:r>
      <w:r w:rsidR="003D640C">
        <w:t xml:space="preserve"> </w:t>
      </w:r>
      <w:r w:rsidRPr="00BB6220">
        <w:t>or</w:t>
      </w:r>
      <w:r w:rsidR="003D640C">
        <w:t xml:space="preserve"> </w:t>
      </w:r>
      <w:r w:rsidRPr="00BB6220">
        <w:t>Prayer</w:t>
      </w:r>
      <w:r w:rsidR="003D640C">
        <w:t xml:space="preserve"> </w:t>
      </w:r>
      <w:r w:rsidRPr="00BB6220">
        <w:t>Breakfast.</w:t>
      </w:r>
      <w:r w:rsidR="003D640C">
        <w:t xml:space="preserve"> </w:t>
      </w:r>
      <w:r w:rsidRPr="00BB6220">
        <w:t>Have</w:t>
      </w:r>
      <w:r w:rsidR="003D640C">
        <w:t xml:space="preserve"> </w:t>
      </w:r>
      <w:r w:rsidRPr="00BB6220">
        <w:t>a</w:t>
      </w:r>
      <w:r w:rsidR="003D640C">
        <w:t xml:space="preserve"> </w:t>
      </w:r>
      <w:r w:rsidRPr="00BB6220">
        <w:t>wide</w:t>
      </w:r>
      <w:r w:rsidR="003D640C">
        <w:t xml:space="preserve"> </w:t>
      </w:r>
      <w:r w:rsidRPr="00BB6220">
        <w:t>range</w:t>
      </w:r>
      <w:r w:rsidR="003D640C">
        <w:t xml:space="preserve"> </w:t>
      </w:r>
      <w:r w:rsidRPr="00BB6220">
        <w:t>of</w:t>
      </w:r>
      <w:r w:rsidR="003D640C">
        <w:t xml:space="preserve"> </w:t>
      </w:r>
      <w:r w:rsidRPr="00BB6220">
        <w:t>options</w:t>
      </w:r>
      <w:r w:rsidR="003D640C">
        <w:t xml:space="preserve"> </w:t>
      </w:r>
      <w:r w:rsidRPr="00BB6220">
        <w:t>that</w:t>
      </w:r>
      <w:r w:rsidR="003D640C">
        <w:t xml:space="preserve"> </w:t>
      </w:r>
      <w:r w:rsidRPr="00BB6220">
        <w:t>are</w:t>
      </w:r>
      <w:r w:rsidR="003D640C">
        <w:t xml:space="preserve"> </w:t>
      </w:r>
      <w:r w:rsidRPr="00BB6220">
        <w:t>promoted</w:t>
      </w:r>
      <w:r w:rsidR="003D640C">
        <w:t xml:space="preserve"> </w:t>
      </w:r>
      <w:r w:rsidRPr="00BB6220">
        <w:t>as</w:t>
      </w:r>
      <w:r w:rsidR="003D640C">
        <w:t xml:space="preserve"> </w:t>
      </w:r>
      <w:r w:rsidRPr="00BB6220">
        <w:t>open</w:t>
      </w:r>
      <w:r w:rsidR="003D640C">
        <w:t xml:space="preserve"> </w:t>
      </w:r>
      <w:r w:rsidRPr="00BB6220">
        <w:t>to</w:t>
      </w:r>
      <w:r w:rsidR="003D640C">
        <w:t xml:space="preserve"> </w:t>
      </w:r>
      <w:r w:rsidRPr="00BB6220">
        <w:t>all.</w:t>
      </w:r>
    </w:p>
    <w:p w14:paraId="4774D0DA" w14:textId="77777777" w:rsidR="00501068" w:rsidRDefault="00524EA2" w:rsidP="009B6B4C">
      <w:pPr>
        <w:pStyle w:val="Bullet"/>
      </w:pPr>
      <w:r w:rsidRPr="00BB6220">
        <w:rPr>
          <w:b/>
          <w:bCs/>
        </w:rPr>
        <w:t>Review</w:t>
      </w:r>
      <w:r w:rsidR="003D640C">
        <w:rPr>
          <w:b/>
          <w:bCs/>
        </w:rPr>
        <w:t xml:space="preserve"> </w:t>
      </w:r>
      <w:r w:rsidRPr="00BB6220">
        <w:rPr>
          <w:b/>
          <w:bCs/>
        </w:rPr>
        <w:t>the</w:t>
      </w:r>
      <w:r w:rsidR="003D640C">
        <w:rPr>
          <w:b/>
          <w:bCs/>
        </w:rPr>
        <w:t xml:space="preserve"> </w:t>
      </w:r>
      <w:r w:rsidRPr="00BB6220">
        <w:rPr>
          <w:b/>
          <w:bCs/>
        </w:rPr>
        <w:t>organisation</w:t>
      </w:r>
      <w:r w:rsidR="003D640C">
        <w:rPr>
          <w:b/>
          <w:bCs/>
        </w:rPr>
        <w:t xml:space="preserve"> </w:t>
      </w:r>
      <w:r w:rsidRPr="00BB6220">
        <w:rPr>
          <w:b/>
          <w:bCs/>
        </w:rPr>
        <w:t>of</w:t>
      </w:r>
      <w:r w:rsidR="003D640C">
        <w:rPr>
          <w:b/>
          <w:bCs/>
        </w:rPr>
        <w:t xml:space="preserve"> </w:t>
      </w:r>
      <w:r w:rsidRPr="00BB6220">
        <w:rPr>
          <w:b/>
          <w:bCs/>
        </w:rPr>
        <w:t>ministries</w:t>
      </w:r>
      <w:r w:rsidR="003D640C">
        <w:rPr>
          <w:b/>
          <w:bCs/>
        </w:rPr>
        <w:t xml:space="preserve"> </w:t>
      </w:r>
      <w:r w:rsidRPr="00BB6220">
        <w:rPr>
          <w:b/>
          <w:bCs/>
        </w:rPr>
        <w:t>and</w:t>
      </w:r>
      <w:r w:rsidR="003D640C">
        <w:rPr>
          <w:b/>
          <w:bCs/>
        </w:rPr>
        <w:t xml:space="preserve"> </w:t>
      </w:r>
      <w:r w:rsidRPr="00BB6220">
        <w:rPr>
          <w:b/>
          <w:bCs/>
        </w:rPr>
        <w:t>groups</w:t>
      </w:r>
      <w:r w:rsidR="003D640C">
        <w:t xml:space="preserve"> </w:t>
      </w:r>
      <w:r w:rsidRPr="00BB6220">
        <w:t>as</w:t>
      </w:r>
      <w:r w:rsidR="003D640C">
        <w:t xml:space="preserve"> </w:t>
      </w:r>
      <w:r w:rsidRPr="00BB6220">
        <w:t>an</w:t>
      </w:r>
      <w:r w:rsidR="003D640C">
        <w:t xml:space="preserve"> </w:t>
      </w:r>
      <w:r w:rsidRPr="00BB6220">
        <w:t>opportunity</w:t>
      </w:r>
      <w:r w:rsidR="003D640C">
        <w:t xml:space="preserve"> </w:t>
      </w:r>
      <w:r w:rsidRPr="00BB6220">
        <w:t>to</w:t>
      </w:r>
      <w:r w:rsidR="003D640C">
        <w:t xml:space="preserve"> </w:t>
      </w:r>
      <w:r w:rsidRPr="00BB6220">
        <w:t>hear</w:t>
      </w:r>
      <w:r w:rsidR="003D640C">
        <w:t xml:space="preserve"> </w:t>
      </w:r>
      <w:r w:rsidRPr="00BB6220">
        <w:t>from</w:t>
      </w:r>
      <w:r w:rsidR="003D640C">
        <w:t xml:space="preserve"> </w:t>
      </w:r>
      <w:r w:rsidRPr="00BB6220">
        <w:t>your</w:t>
      </w:r>
      <w:r w:rsidR="003D640C">
        <w:t xml:space="preserve"> </w:t>
      </w:r>
      <w:r w:rsidRPr="00BB6220">
        <w:t>community.</w:t>
      </w:r>
      <w:r w:rsidR="003D640C">
        <w:t xml:space="preserve"> </w:t>
      </w:r>
      <w:r w:rsidRPr="00BB6220">
        <w:t>Consider</w:t>
      </w:r>
      <w:r w:rsidR="003D640C">
        <w:t xml:space="preserve"> </w:t>
      </w:r>
      <w:r w:rsidRPr="00BB6220">
        <w:t>consulting</w:t>
      </w:r>
      <w:r w:rsidR="003D640C">
        <w:t xml:space="preserve"> </w:t>
      </w:r>
      <w:r w:rsidRPr="00BB6220">
        <w:t>with</w:t>
      </w:r>
      <w:r w:rsidR="003D640C">
        <w:t xml:space="preserve"> </w:t>
      </w:r>
      <w:r w:rsidRPr="00BB6220">
        <w:t>them</w:t>
      </w:r>
      <w:r w:rsidR="003D640C">
        <w:t xml:space="preserve"> </w:t>
      </w:r>
      <w:r w:rsidRPr="00BB6220">
        <w:t>on</w:t>
      </w:r>
      <w:r w:rsidR="003D640C">
        <w:t xml:space="preserve"> </w:t>
      </w:r>
      <w:r w:rsidRPr="00BB6220">
        <w:t>your</w:t>
      </w:r>
      <w:r w:rsidR="003D640C">
        <w:t xml:space="preserve"> </w:t>
      </w:r>
      <w:r w:rsidRPr="00BB6220">
        <w:t>current</w:t>
      </w:r>
      <w:r w:rsidR="003D640C">
        <w:t xml:space="preserve"> </w:t>
      </w:r>
      <w:r w:rsidRPr="00BB6220">
        <w:t>groups</w:t>
      </w:r>
      <w:r w:rsidR="003D640C">
        <w:t xml:space="preserve"> </w:t>
      </w:r>
      <w:r w:rsidRPr="00BB6220">
        <w:t>and</w:t>
      </w:r>
      <w:r w:rsidR="003D640C">
        <w:t xml:space="preserve"> </w:t>
      </w:r>
      <w:r w:rsidRPr="00BB6220">
        <w:t>ask</w:t>
      </w:r>
      <w:r w:rsidR="003D640C">
        <w:t xml:space="preserve"> </w:t>
      </w:r>
      <w:r w:rsidRPr="00BB6220">
        <w:t>for</w:t>
      </w:r>
      <w:r w:rsidR="003D640C">
        <w:t xml:space="preserve"> </w:t>
      </w:r>
      <w:r w:rsidRPr="00BB6220">
        <w:t>feedback</w:t>
      </w:r>
      <w:r w:rsidR="003D640C">
        <w:t xml:space="preserve"> </w:t>
      </w:r>
      <w:r w:rsidRPr="00BB6220">
        <w:t>on</w:t>
      </w:r>
      <w:r w:rsidR="003D640C">
        <w:t xml:space="preserve"> </w:t>
      </w:r>
      <w:r w:rsidRPr="00BB6220">
        <w:t>how</w:t>
      </w:r>
      <w:r w:rsidR="003D640C">
        <w:t xml:space="preserve"> </w:t>
      </w:r>
      <w:r w:rsidRPr="00BB6220">
        <w:t>to</w:t>
      </w:r>
      <w:r w:rsidR="003D640C">
        <w:t xml:space="preserve"> </w:t>
      </w:r>
      <w:r w:rsidRPr="00BB6220">
        <w:t>further</w:t>
      </w:r>
      <w:r w:rsidR="003D640C">
        <w:t xml:space="preserve"> </w:t>
      </w:r>
      <w:r w:rsidRPr="00BB6220">
        <w:t>cater</w:t>
      </w:r>
      <w:r w:rsidR="003D640C">
        <w:t xml:space="preserve"> </w:t>
      </w:r>
      <w:r w:rsidRPr="00BB6220">
        <w:t>to</w:t>
      </w:r>
      <w:r w:rsidR="003D640C">
        <w:t xml:space="preserve"> </w:t>
      </w:r>
      <w:r w:rsidRPr="00BB6220">
        <w:t>their</w:t>
      </w:r>
      <w:r w:rsidR="003D640C">
        <w:t xml:space="preserve"> </w:t>
      </w:r>
      <w:r w:rsidRPr="00BB6220">
        <w:t>needs.</w:t>
      </w:r>
    </w:p>
    <w:p w14:paraId="469C74EC" w14:textId="77777777" w:rsidR="00501068" w:rsidRDefault="00524EA2" w:rsidP="009B6B4C">
      <w:pPr>
        <w:pStyle w:val="Bullet"/>
      </w:pPr>
      <w:r w:rsidRPr="00BB6220">
        <w:rPr>
          <w:b/>
          <w:bCs/>
        </w:rPr>
        <w:t>Provide</w:t>
      </w:r>
      <w:r w:rsidR="003D640C">
        <w:rPr>
          <w:b/>
          <w:bCs/>
        </w:rPr>
        <w:t xml:space="preserve"> </w:t>
      </w:r>
      <w:r w:rsidRPr="00BB6220">
        <w:rPr>
          <w:b/>
          <w:bCs/>
        </w:rPr>
        <w:t>opportunities</w:t>
      </w:r>
      <w:r w:rsidR="003D640C">
        <w:rPr>
          <w:b/>
          <w:bCs/>
        </w:rPr>
        <w:t xml:space="preserve"> </w:t>
      </w:r>
      <w:r w:rsidRPr="00BB6220">
        <w:rPr>
          <w:b/>
          <w:bCs/>
        </w:rPr>
        <w:t>for</w:t>
      </w:r>
      <w:r w:rsidR="003D640C">
        <w:rPr>
          <w:b/>
          <w:bCs/>
        </w:rPr>
        <w:t xml:space="preserve"> </w:t>
      </w:r>
      <w:r w:rsidRPr="00BB6220">
        <w:rPr>
          <w:b/>
          <w:bCs/>
        </w:rPr>
        <w:t>leaders</w:t>
      </w:r>
      <w:r w:rsidR="003D640C">
        <w:rPr>
          <w:b/>
          <w:bCs/>
        </w:rPr>
        <w:t xml:space="preserve"> </w:t>
      </w:r>
      <w:r w:rsidRPr="00BB6220">
        <w:rPr>
          <w:b/>
          <w:bCs/>
        </w:rPr>
        <w:t>to</w:t>
      </w:r>
      <w:r w:rsidR="003D640C">
        <w:rPr>
          <w:b/>
          <w:bCs/>
        </w:rPr>
        <w:t xml:space="preserve"> </w:t>
      </w:r>
      <w:r w:rsidRPr="00BB6220">
        <w:rPr>
          <w:b/>
          <w:bCs/>
        </w:rPr>
        <w:t>participate</w:t>
      </w:r>
      <w:r w:rsidR="003D640C">
        <w:rPr>
          <w:b/>
          <w:bCs/>
        </w:rPr>
        <w:t xml:space="preserve"> </w:t>
      </w:r>
      <w:r w:rsidRPr="00BB6220">
        <w:rPr>
          <w:b/>
          <w:bCs/>
        </w:rPr>
        <w:t>in</w:t>
      </w:r>
      <w:r w:rsidR="003D640C">
        <w:rPr>
          <w:b/>
          <w:bCs/>
        </w:rPr>
        <w:t xml:space="preserve"> </w:t>
      </w:r>
      <w:r w:rsidR="006C3CA0" w:rsidRPr="00BB6220">
        <w:rPr>
          <w:b/>
          <w:bCs/>
        </w:rPr>
        <w:t>Rainbow</w:t>
      </w:r>
      <w:r w:rsidR="003D640C">
        <w:rPr>
          <w:b/>
          <w:bCs/>
        </w:rPr>
        <w:t xml:space="preserve"> </w:t>
      </w:r>
      <w:r w:rsidRPr="00BB6220">
        <w:rPr>
          <w:b/>
          <w:bCs/>
        </w:rPr>
        <w:t>competency</w:t>
      </w:r>
      <w:r w:rsidR="003D640C">
        <w:rPr>
          <w:b/>
          <w:bCs/>
        </w:rPr>
        <w:t xml:space="preserve"> </w:t>
      </w:r>
      <w:r w:rsidRPr="00BB6220">
        <w:rPr>
          <w:b/>
          <w:bCs/>
        </w:rPr>
        <w:t>training</w:t>
      </w:r>
      <w:r w:rsidR="003D640C">
        <w:rPr>
          <w:b/>
          <w:bCs/>
        </w:rPr>
        <w:t xml:space="preserve"> </w:t>
      </w:r>
      <w:r w:rsidRPr="00BB6220">
        <w:rPr>
          <w:b/>
          <w:bCs/>
        </w:rPr>
        <w:t>or</w:t>
      </w:r>
      <w:r w:rsidR="003D640C">
        <w:rPr>
          <w:b/>
          <w:bCs/>
        </w:rPr>
        <w:t xml:space="preserve"> </w:t>
      </w:r>
      <w:r w:rsidRPr="00BB6220">
        <w:rPr>
          <w:b/>
          <w:bCs/>
        </w:rPr>
        <w:t>upskilling</w:t>
      </w:r>
      <w:r w:rsidRPr="00BB6220">
        <w:t>.</w:t>
      </w:r>
      <w:r w:rsidR="003D640C">
        <w:t xml:space="preserve"> </w:t>
      </w:r>
      <w:r w:rsidR="0064680A">
        <w:t>Such</w:t>
      </w:r>
      <w:r w:rsidR="003D640C">
        <w:t xml:space="preserve"> </w:t>
      </w:r>
      <w:r w:rsidR="0064680A">
        <w:t>training</w:t>
      </w:r>
      <w:r w:rsidR="003D640C">
        <w:t xml:space="preserve"> </w:t>
      </w:r>
      <w:r w:rsidRPr="00BB6220">
        <w:t>will</w:t>
      </w:r>
      <w:r w:rsidR="003D640C">
        <w:t xml:space="preserve"> </w:t>
      </w:r>
      <w:r w:rsidR="0064680A">
        <w:t>equip</w:t>
      </w:r>
      <w:r w:rsidR="003D640C">
        <w:t xml:space="preserve"> </w:t>
      </w:r>
      <w:r w:rsidR="0064680A">
        <w:t>leaders</w:t>
      </w:r>
      <w:r w:rsidR="003D640C">
        <w:t xml:space="preserve"> </w:t>
      </w:r>
      <w:r w:rsidRPr="00BB6220">
        <w:t>to</w:t>
      </w:r>
      <w:r w:rsidR="003D640C">
        <w:t xml:space="preserve"> </w:t>
      </w:r>
      <w:r w:rsidRPr="00BB6220">
        <w:t>include</w:t>
      </w:r>
      <w:r w:rsidR="003D640C">
        <w:t xml:space="preserve"> </w:t>
      </w:r>
      <w:r w:rsidRPr="00BB6220">
        <w:t>and</w:t>
      </w:r>
      <w:r w:rsidR="003D640C">
        <w:t xml:space="preserve"> </w:t>
      </w:r>
      <w:r w:rsidRPr="00BB6220">
        <w:t>empower</w:t>
      </w:r>
      <w:r w:rsidR="003D640C">
        <w:t xml:space="preserve"> </w:t>
      </w:r>
      <w:r w:rsidR="006C3CA0" w:rsidRPr="00BB6220">
        <w:t>Rainbow</w:t>
      </w:r>
      <w:r w:rsidR="003D640C">
        <w:t xml:space="preserve"> </w:t>
      </w:r>
      <w:r w:rsidRPr="00BB6220">
        <w:t>people</w:t>
      </w:r>
      <w:r w:rsidR="003D640C">
        <w:t xml:space="preserve"> </w:t>
      </w:r>
      <w:r w:rsidRPr="00BB6220">
        <w:t>in</w:t>
      </w:r>
      <w:r w:rsidR="003D640C">
        <w:t xml:space="preserve"> </w:t>
      </w:r>
      <w:r w:rsidRPr="00BB6220">
        <w:t>their</w:t>
      </w:r>
      <w:r w:rsidR="003D640C">
        <w:t xml:space="preserve"> </w:t>
      </w:r>
      <w:r w:rsidRPr="00BB6220">
        <w:t>groups.</w:t>
      </w:r>
      <w:r w:rsidR="003D640C">
        <w:t xml:space="preserve"> </w:t>
      </w:r>
      <w:r w:rsidRPr="00BB6220">
        <w:t>This</w:t>
      </w:r>
      <w:r w:rsidR="003D640C">
        <w:t xml:space="preserve"> </w:t>
      </w:r>
      <w:r w:rsidRPr="00BB6220">
        <w:t>help</w:t>
      </w:r>
      <w:r w:rsidR="003D640C">
        <w:t xml:space="preserve"> </w:t>
      </w:r>
      <w:r w:rsidRPr="00BB6220">
        <w:t>will</w:t>
      </w:r>
      <w:r w:rsidR="003D640C">
        <w:t xml:space="preserve"> </w:t>
      </w:r>
      <w:r w:rsidRPr="00BB6220">
        <w:t>pave</w:t>
      </w:r>
      <w:r w:rsidR="003D640C">
        <w:t xml:space="preserve"> </w:t>
      </w:r>
      <w:r w:rsidRPr="00BB6220">
        <w:t>the</w:t>
      </w:r>
      <w:r w:rsidR="003D640C">
        <w:t xml:space="preserve"> </w:t>
      </w:r>
      <w:r w:rsidRPr="00BB6220">
        <w:t>way</w:t>
      </w:r>
      <w:r w:rsidR="003D640C">
        <w:t xml:space="preserve"> </w:t>
      </w:r>
      <w:r w:rsidRPr="00BB6220">
        <w:t>for</w:t>
      </w:r>
      <w:r w:rsidR="003D640C">
        <w:t xml:space="preserve"> </w:t>
      </w:r>
      <w:r w:rsidR="006C3CA0" w:rsidRPr="00BB6220">
        <w:t>Rainbow</w:t>
      </w:r>
      <w:r w:rsidR="003D640C">
        <w:t xml:space="preserve"> </w:t>
      </w:r>
      <w:r w:rsidRPr="00BB6220">
        <w:t>people</w:t>
      </w:r>
      <w:r w:rsidR="003D640C">
        <w:t xml:space="preserve"> </w:t>
      </w:r>
      <w:r w:rsidRPr="00BB6220">
        <w:t>to</w:t>
      </w:r>
      <w:r w:rsidR="003D640C">
        <w:t xml:space="preserve"> </w:t>
      </w:r>
      <w:r w:rsidRPr="00BB6220">
        <w:t>step</w:t>
      </w:r>
      <w:r w:rsidR="003D640C">
        <w:t xml:space="preserve"> </w:t>
      </w:r>
      <w:r w:rsidRPr="00BB6220">
        <w:t>into</w:t>
      </w:r>
      <w:r w:rsidR="003D640C">
        <w:t xml:space="preserve"> </w:t>
      </w:r>
      <w:r w:rsidRPr="00BB6220">
        <w:t>group</w:t>
      </w:r>
      <w:r w:rsidR="003D640C">
        <w:t xml:space="preserve"> </w:t>
      </w:r>
      <w:r w:rsidRPr="00BB6220">
        <w:t>leadership</w:t>
      </w:r>
      <w:r w:rsidR="003D640C">
        <w:t xml:space="preserve"> </w:t>
      </w:r>
      <w:r w:rsidRPr="00BB6220">
        <w:t>roles</w:t>
      </w:r>
      <w:r w:rsidR="003D640C">
        <w:t xml:space="preserve"> </w:t>
      </w:r>
      <w:r w:rsidRPr="00BB6220">
        <w:t>if</w:t>
      </w:r>
      <w:r w:rsidR="003D640C">
        <w:t xml:space="preserve"> </w:t>
      </w:r>
      <w:r w:rsidRPr="00BB6220">
        <w:t>not</w:t>
      </w:r>
      <w:r w:rsidR="003D640C">
        <w:t xml:space="preserve"> </w:t>
      </w:r>
      <w:r w:rsidRPr="00BB6220">
        <w:t>in</w:t>
      </w:r>
      <w:r w:rsidR="003D640C">
        <w:t xml:space="preserve"> </w:t>
      </w:r>
      <w:r w:rsidRPr="00BB6220">
        <w:t>them</w:t>
      </w:r>
      <w:r w:rsidR="003D640C">
        <w:t xml:space="preserve"> </w:t>
      </w:r>
      <w:r w:rsidRPr="00BB6220">
        <w:t>already.</w:t>
      </w:r>
      <w:r w:rsidR="003D640C">
        <w:t xml:space="preserve"> </w:t>
      </w:r>
      <w:r w:rsidRPr="00BB6220">
        <w:t>This</w:t>
      </w:r>
      <w:r w:rsidR="003D640C">
        <w:t xml:space="preserve"> </w:t>
      </w:r>
      <w:r w:rsidRPr="00BB6220">
        <w:t>will</w:t>
      </w:r>
      <w:r w:rsidR="003D640C">
        <w:t xml:space="preserve"> </w:t>
      </w:r>
      <w:r w:rsidRPr="00BB6220">
        <w:t>also</w:t>
      </w:r>
      <w:r w:rsidR="003D640C">
        <w:t xml:space="preserve"> </w:t>
      </w:r>
      <w:r w:rsidRPr="00BB6220">
        <w:t>provide</w:t>
      </w:r>
      <w:r w:rsidR="003D640C">
        <w:t xml:space="preserve"> </w:t>
      </w:r>
      <w:r w:rsidRPr="00BB6220">
        <w:t>important</w:t>
      </w:r>
      <w:r w:rsidR="003D640C">
        <w:t xml:space="preserve"> </w:t>
      </w:r>
      <w:r w:rsidRPr="00BB6220">
        <w:t>visibility</w:t>
      </w:r>
      <w:r w:rsidR="003D640C">
        <w:t xml:space="preserve"> </w:t>
      </w:r>
      <w:r w:rsidRPr="00BB6220">
        <w:t>of</w:t>
      </w:r>
      <w:r w:rsidR="003D640C">
        <w:t xml:space="preserve"> </w:t>
      </w:r>
      <w:r w:rsidR="006C3CA0" w:rsidRPr="00BB6220">
        <w:t>Rainbow</w:t>
      </w:r>
      <w:r w:rsidR="003D640C">
        <w:t xml:space="preserve"> </w:t>
      </w:r>
      <w:r w:rsidRPr="00BB6220">
        <w:t>people</w:t>
      </w:r>
      <w:r w:rsidR="003D640C">
        <w:t xml:space="preserve"> </w:t>
      </w:r>
      <w:r w:rsidRPr="00BB6220">
        <w:t>in</w:t>
      </w:r>
      <w:r w:rsidR="003D640C">
        <w:t xml:space="preserve"> </w:t>
      </w:r>
      <w:r w:rsidRPr="00BB6220">
        <w:t>leadership</w:t>
      </w:r>
      <w:r w:rsidR="003D640C">
        <w:t xml:space="preserve"> </w:t>
      </w:r>
      <w:r w:rsidRPr="00BB6220">
        <w:t>roles</w:t>
      </w:r>
      <w:r w:rsidR="003D640C">
        <w:t xml:space="preserve"> </w:t>
      </w:r>
      <w:r w:rsidRPr="00BB6220">
        <w:t>to</w:t>
      </w:r>
      <w:r w:rsidR="003D640C">
        <w:t xml:space="preserve"> </w:t>
      </w:r>
      <w:r w:rsidRPr="00BB6220">
        <w:t>younger</w:t>
      </w:r>
      <w:r w:rsidR="003D640C">
        <w:t xml:space="preserve"> </w:t>
      </w:r>
      <w:r w:rsidRPr="00BB6220">
        <w:t>members</w:t>
      </w:r>
      <w:r w:rsidR="003D640C">
        <w:t xml:space="preserve"> </w:t>
      </w:r>
      <w:r w:rsidRPr="00BB6220">
        <w:t>of</w:t>
      </w:r>
      <w:r w:rsidR="003D640C">
        <w:t xml:space="preserve"> </w:t>
      </w:r>
      <w:r w:rsidRPr="00BB6220">
        <w:t>the</w:t>
      </w:r>
      <w:r w:rsidR="003D640C">
        <w:t xml:space="preserve"> </w:t>
      </w:r>
      <w:r w:rsidRPr="00BB6220">
        <w:t>community.</w:t>
      </w:r>
    </w:p>
    <w:p w14:paraId="40A47829" w14:textId="677D225F" w:rsidR="00524EA2" w:rsidRPr="00BB6220" w:rsidRDefault="00524EA2" w:rsidP="002C6363">
      <w:pPr>
        <w:pStyle w:val="Heading3"/>
      </w:pPr>
      <w:bookmarkStart w:id="394" w:name="_Toc138771246"/>
      <w:bookmarkStart w:id="395" w:name="_Toc167780643"/>
      <w:bookmarkStart w:id="396" w:name="_Toc1529596347"/>
      <w:bookmarkStart w:id="397" w:name="_Toc174628705"/>
      <w:r w:rsidRPr="00BB6220">
        <w:t>Community</w:t>
      </w:r>
      <w:r w:rsidR="003D640C">
        <w:t xml:space="preserve"> </w:t>
      </w:r>
      <w:r w:rsidRPr="00BB6220">
        <w:t>culture</w:t>
      </w:r>
      <w:bookmarkEnd w:id="394"/>
      <w:bookmarkEnd w:id="395"/>
      <w:bookmarkEnd w:id="396"/>
      <w:bookmarkEnd w:id="397"/>
    </w:p>
    <w:p w14:paraId="7A748555" w14:textId="088E0E83" w:rsidR="00524EA2" w:rsidRPr="00BB6220" w:rsidRDefault="00524EA2" w:rsidP="009B6B4C">
      <w:r w:rsidRPr="00BB6220">
        <w:t>Community</w:t>
      </w:r>
      <w:r w:rsidR="003D640C">
        <w:t xml:space="preserve"> </w:t>
      </w:r>
      <w:r w:rsidRPr="00BB6220">
        <w:t>culture</w:t>
      </w:r>
      <w:r w:rsidR="003D640C">
        <w:t xml:space="preserve"> </w:t>
      </w:r>
      <w:r w:rsidRPr="00BB6220">
        <w:t>is</w:t>
      </w:r>
      <w:r w:rsidR="003D640C">
        <w:t xml:space="preserve"> </w:t>
      </w:r>
      <w:r w:rsidRPr="00BB6220">
        <w:t>the</w:t>
      </w:r>
      <w:r w:rsidR="003D640C">
        <w:t xml:space="preserve"> </w:t>
      </w:r>
      <w:r w:rsidRPr="00BB6220">
        <w:t>foundation</w:t>
      </w:r>
      <w:r w:rsidR="003D640C">
        <w:t xml:space="preserve"> </w:t>
      </w:r>
      <w:r w:rsidRPr="00BB6220">
        <w:t>of</w:t>
      </w:r>
      <w:r w:rsidR="003D640C">
        <w:t xml:space="preserve"> </w:t>
      </w:r>
      <w:r w:rsidRPr="00BB6220">
        <w:t>a</w:t>
      </w:r>
      <w:r w:rsidR="003D640C">
        <w:t xml:space="preserve"> </w:t>
      </w:r>
      <w:r w:rsidRPr="00BB6220">
        <w:t>sense</w:t>
      </w:r>
      <w:r w:rsidR="003D640C">
        <w:t xml:space="preserve"> </w:t>
      </w:r>
      <w:r w:rsidRPr="00BB6220">
        <w:t>of</w:t>
      </w:r>
      <w:r w:rsidR="003D640C">
        <w:t xml:space="preserve"> </w:t>
      </w:r>
      <w:r w:rsidRPr="00BB6220">
        <w:t>belonging</w:t>
      </w:r>
      <w:r w:rsidR="003D640C">
        <w:t xml:space="preserve"> </w:t>
      </w:r>
      <w:r w:rsidRPr="00BB6220">
        <w:t>and</w:t>
      </w:r>
      <w:r w:rsidR="003D640C">
        <w:t xml:space="preserve"> </w:t>
      </w:r>
      <w:r w:rsidRPr="00BB6220">
        <w:t>support</w:t>
      </w:r>
      <w:r w:rsidR="003D640C">
        <w:t xml:space="preserve"> </w:t>
      </w:r>
      <w:r w:rsidRPr="00BB6220">
        <w:t>for</w:t>
      </w:r>
      <w:r w:rsidR="003D640C">
        <w:t xml:space="preserve"> </w:t>
      </w:r>
      <w:r w:rsidRPr="00BB6220">
        <w:t>members.</w:t>
      </w:r>
      <w:r w:rsidR="003D640C">
        <w:t xml:space="preserve"> </w:t>
      </w:r>
      <w:r w:rsidRPr="00BB6220">
        <w:t>This</w:t>
      </w:r>
      <w:r w:rsidR="003D640C">
        <w:t xml:space="preserve"> </w:t>
      </w:r>
      <w:r w:rsidRPr="00BB6220">
        <w:t>is</w:t>
      </w:r>
      <w:r w:rsidR="003D640C">
        <w:t xml:space="preserve"> </w:t>
      </w:r>
      <w:r w:rsidRPr="00BB6220">
        <w:t>key</w:t>
      </w:r>
      <w:r w:rsidR="003D640C">
        <w:t xml:space="preserve"> </w:t>
      </w:r>
      <w:r w:rsidRPr="00BB6220">
        <w:t>for</w:t>
      </w:r>
      <w:r w:rsidR="003D640C">
        <w:t xml:space="preserve"> </w:t>
      </w:r>
      <w:r w:rsidR="006C3CA0" w:rsidRPr="00BB6220">
        <w:t>Rainbow</w:t>
      </w:r>
      <w:r w:rsidR="003D640C">
        <w:t xml:space="preserve"> </w:t>
      </w:r>
      <w:r w:rsidRPr="00BB6220">
        <w:t>people</w:t>
      </w:r>
      <w:r w:rsidR="003D640C">
        <w:t xml:space="preserve"> </w:t>
      </w:r>
      <w:r w:rsidRPr="00BB6220">
        <w:t>who</w:t>
      </w:r>
      <w:r w:rsidR="003D640C">
        <w:t xml:space="preserve"> </w:t>
      </w:r>
      <w:r w:rsidRPr="00BB6220">
        <w:t>face</w:t>
      </w:r>
      <w:r w:rsidR="003D640C">
        <w:t xml:space="preserve"> </w:t>
      </w:r>
      <w:r w:rsidRPr="00BB6220">
        <w:t>discrimination</w:t>
      </w:r>
      <w:r w:rsidR="003D640C">
        <w:t xml:space="preserve"> </w:t>
      </w:r>
      <w:r w:rsidRPr="00BB6220">
        <w:t>in</w:t>
      </w:r>
      <w:r w:rsidR="003D640C">
        <w:t xml:space="preserve"> </w:t>
      </w:r>
      <w:r w:rsidRPr="00BB6220">
        <w:t>religious</w:t>
      </w:r>
      <w:r w:rsidR="003D640C">
        <w:t xml:space="preserve"> </w:t>
      </w:r>
      <w:r w:rsidRPr="00BB6220">
        <w:t>settings,</w:t>
      </w:r>
      <w:r w:rsidR="003D640C">
        <w:t xml:space="preserve"> </w:t>
      </w:r>
      <w:r w:rsidRPr="00BB6220">
        <w:t>as</w:t>
      </w:r>
      <w:r w:rsidR="003D640C">
        <w:t xml:space="preserve"> </w:t>
      </w:r>
      <w:r w:rsidRPr="00BB6220">
        <w:t>well</w:t>
      </w:r>
      <w:r w:rsidR="003D640C">
        <w:t xml:space="preserve"> </w:t>
      </w:r>
      <w:r w:rsidRPr="00BB6220">
        <w:t>as</w:t>
      </w:r>
      <w:r w:rsidR="003D640C">
        <w:t xml:space="preserve"> </w:t>
      </w:r>
      <w:r w:rsidRPr="00BB6220">
        <w:t>wider</w:t>
      </w:r>
      <w:r w:rsidR="003D640C">
        <w:t xml:space="preserve"> </w:t>
      </w:r>
      <w:r w:rsidRPr="00BB6220">
        <w:t>society,</w:t>
      </w:r>
      <w:r w:rsidR="003D640C">
        <w:t xml:space="preserve"> </w:t>
      </w:r>
      <w:r w:rsidRPr="00BB6220">
        <w:t>and</w:t>
      </w:r>
      <w:r w:rsidR="003D640C">
        <w:t xml:space="preserve"> </w:t>
      </w:r>
      <w:r w:rsidRPr="00BB6220">
        <w:t>experience</w:t>
      </w:r>
      <w:r w:rsidR="003D640C">
        <w:t xml:space="preserve"> </w:t>
      </w:r>
      <w:r w:rsidRPr="00BB6220">
        <w:t>disproportionately</w:t>
      </w:r>
      <w:r w:rsidR="003D640C">
        <w:t xml:space="preserve"> </w:t>
      </w:r>
      <w:r w:rsidRPr="00BB6220">
        <w:t>negative</w:t>
      </w:r>
      <w:r w:rsidR="003D640C">
        <w:t xml:space="preserve"> </w:t>
      </w:r>
      <w:r w:rsidRPr="00BB6220">
        <w:t>mental</w:t>
      </w:r>
      <w:r w:rsidR="003D640C">
        <w:t xml:space="preserve"> </w:t>
      </w:r>
      <w:r w:rsidRPr="00BB6220">
        <w:t>health</w:t>
      </w:r>
      <w:r w:rsidR="003D640C">
        <w:t xml:space="preserve"> </w:t>
      </w:r>
      <w:r w:rsidRPr="00BB6220">
        <w:t>outcomes</w:t>
      </w:r>
      <w:r w:rsidR="003D640C">
        <w:t xml:space="preserve"> </w:t>
      </w:r>
      <w:r w:rsidRPr="00BB6220">
        <w:t>compared</w:t>
      </w:r>
      <w:r w:rsidR="003D640C">
        <w:t xml:space="preserve"> </w:t>
      </w:r>
      <w:r w:rsidR="00957DED">
        <w:t xml:space="preserve">to </w:t>
      </w:r>
      <w:r w:rsidRPr="00BB6220">
        <w:t>other</w:t>
      </w:r>
      <w:r w:rsidR="003D640C">
        <w:t xml:space="preserve"> </w:t>
      </w:r>
      <w:r w:rsidRPr="00BB6220">
        <w:t>groups</w:t>
      </w:r>
      <w:r w:rsidR="003D640C">
        <w:t xml:space="preserve"> </w:t>
      </w:r>
      <w:r w:rsidRPr="00BB6220">
        <w:t>in</w:t>
      </w:r>
      <w:r w:rsidR="003D640C">
        <w:t xml:space="preserve"> </w:t>
      </w:r>
      <w:r w:rsidRPr="00BB6220">
        <w:t>Aotearoa.</w:t>
      </w:r>
      <w:r w:rsidR="00B71E63" w:rsidRPr="00BB6220">
        <w:rPr>
          <w:rStyle w:val="FootnoteReference"/>
        </w:rPr>
        <w:footnoteReference w:id="271"/>
      </w:r>
      <w:r w:rsidR="003D640C">
        <w:t xml:space="preserve"> </w:t>
      </w:r>
      <w:r w:rsidRPr="00BB6220">
        <w:t>Fostering</w:t>
      </w:r>
      <w:r w:rsidR="003D640C">
        <w:t xml:space="preserve"> </w:t>
      </w:r>
      <w:r w:rsidRPr="00BB6220">
        <w:t>a</w:t>
      </w:r>
      <w:r w:rsidR="003D640C">
        <w:t xml:space="preserve"> </w:t>
      </w:r>
      <w:r w:rsidRPr="00BB6220">
        <w:t>shared</w:t>
      </w:r>
      <w:r w:rsidR="003D640C">
        <w:t xml:space="preserve"> </w:t>
      </w:r>
      <w:r w:rsidRPr="00BB6220">
        <w:t>identity</w:t>
      </w:r>
      <w:r w:rsidR="003D640C">
        <w:t xml:space="preserve"> </w:t>
      </w:r>
      <w:r w:rsidRPr="00BB6220">
        <w:t>and</w:t>
      </w:r>
      <w:r w:rsidR="003D640C">
        <w:t xml:space="preserve"> </w:t>
      </w:r>
      <w:r w:rsidRPr="00BB6220">
        <w:t>set</w:t>
      </w:r>
      <w:r w:rsidR="003D640C">
        <w:t xml:space="preserve"> </w:t>
      </w:r>
      <w:r w:rsidRPr="00BB6220">
        <w:t>of</w:t>
      </w:r>
      <w:r w:rsidR="003D640C">
        <w:t xml:space="preserve"> </w:t>
      </w:r>
      <w:r w:rsidRPr="00BB6220">
        <w:t>values</w:t>
      </w:r>
      <w:r w:rsidR="003D640C">
        <w:t xml:space="preserve"> </w:t>
      </w:r>
      <w:r w:rsidRPr="00BB6220">
        <w:t>that</w:t>
      </w:r>
      <w:r w:rsidR="003D640C">
        <w:t xml:space="preserve"> </w:t>
      </w:r>
      <w:r w:rsidRPr="00BB6220">
        <w:t>encourages</w:t>
      </w:r>
      <w:r w:rsidR="003D640C">
        <w:t xml:space="preserve"> </w:t>
      </w:r>
      <w:r w:rsidRPr="00BB6220">
        <w:t>your</w:t>
      </w:r>
      <w:r w:rsidR="003D640C">
        <w:t xml:space="preserve"> </w:t>
      </w:r>
      <w:r w:rsidRPr="00BB6220">
        <w:t>community</w:t>
      </w:r>
      <w:r w:rsidR="003D640C">
        <w:t xml:space="preserve"> </w:t>
      </w:r>
      <w:r w:rsidRPr="00BB6220">
        <w:t>to</w:t>
      </w:r>
      <w:r w:rsidR="003D640C">
        <w:t xml:space="preserve"> </w:t>
      </w:r>
      <w:r w:rsidRPr="00BB6220">
        <w:t>accept,</w:t>
      </w:r>
      <w:r w:rsidR="003D640C">
        <w:t xml:space="preserve"> </w:t>
      </w:r>
      <w:r w:rsidRPr="00BB6220">
        <w:t>include,</w:t>
      </w:r>
      <w:r w:rsidR="003D640C">
        <w:t xml:space="preserve"> </w:t>
      </w:r>
      <w:r w:rsidRPr="00BB6220">
        <w:t>and</w:t>
      </w:r>
      <w:r w:rsidR="003D640C">
        <w:t xml:space="preserve"> </w:t>
      </w:r>
      <w:r w:rsidRPr="00BB6220">
        <w:t>celebrate</w:t>
      </w:r>
      <w:r w:rsidR="003D640C">
        <w:t xml:space="preserve"> </w:t>
      </w:r>
      <w:r w:rsidR="006C3CA0" w:rsidRPr="00BB6220">
        <w:t>Rainbow</w:t>
      </w:r>
      <w:r w:rsidR="003D640C">
        <w:t xml:space="preserve"> </w:t>
      </w:r>
      <w:r w:rsidRPr="00BB6220">
        <w:t>people</w:t>
      </w:r>
      <w:r w:rsidR="003D640C">
        <w:t xml:space="preserve"> </w:t>
      </w:r>
      <w:r w:rsidRPr="00BB6220">
        <w:t>can</w:t>
      </w:r>
      <w:r w:rsidR="003D640C">
        <w:t xml:space="preserve"> </w:t>
      </w:r>
      <w:r w:rsidRPr="00BB6220">
        <w:t>be</w:t>
      </w:r>
      <w:r w:rsidR="003D640C">
        <w:t xml:space="preserve"> </w:t>
      </w:r>
      <w:r w:rsidRPr="00BB6220">
        <w:t>achieved</w:t>
      </w:r>
      <w:r w:rsidR="003D640C">
        <w:t xml:space="preserve"> </w:t>
      </w:r>
      <w:r w:rsidRPr="00BB6220">
        <w:t>with</w:t>
      </w:r>
      <w:r w:rsidR="003D640C">
        <w:t xml:space="preserve"> </w:t>
      </w:r>
      <w:r w:rsidRPr="00BB6220">
        <w:t>leadership</w:t>
      </w:r>
      <w:r w:rsidR="003D640C">
        <w:t xml:space="preserve"> </w:t>
      </w:r>
      <w:r w:rsidRPr="00BB6220">
        <w:t>and</w:t>
      </w:r>
      <w:r w:rsidR="003D640C">
        <w:t xml:space="preserve"> </w:t>
      </w:r>
      <w:r w:rsidRPr="00BB6220">
        <w:t>simple</w:t>
      </w:r>
      <w:r w:rsidR="003D640C">
        <w:t xml:space="preserve"> </w:t>
      </w:r>
      <w:r w:rsidRPr="00BB6220">
        <w:t>actions.</w:t>
      </w:r>
      <w:r w:rsidR="003D640C">
        <w:t xml:space="preserve"> </w:t>
      </w:r>
      <w:r w:rsidR="003951C6" w:rsidRPr="00BB6220">
        <w:t>Survivors</w:t>
      </w:r>
      <w:r w:rsidR="003D640C">
        <w:t xml:space="preserve"> </w:t>
      </w:r>
      <w:r w:rsidR="003951C6" w:rsidRPr="00BB6220">
        <w:t>provided</w:t>
      </w:r>
      <w:r w:rsidR="003D640C">
        <w:t xml:space="preserve"> </w:t>
      </w:r>
      <w:r w:rsidR="003951C6" w:rsidRPr="00BB6220">
        <w:t>the</w:t>
      </w:r>
      <w:r w:rsidR="003D640C">
        <w:t xml:space="preserve"> </w:t>
      </w:r>
      <w:r w:rsidR="003951C6" w:rsidRPr="00BB6220">
        <w:t>following</w:t>
      </w:r>
      <w:r w:rsidR="003D640C">
        <w:t xml:space="preserve"> </w:t>
      </w:r>
      <w:r w:rsidR="003951C6" w:rsidRPr="00BB6220">
        <w:t>advice</w:t>
      </w:r>
      <w:r w:rsidR="003D640C">
        <w:t xml:space="preserve"> </w:t>
      </w:r>
      <w:r w:rsidR="003951C6" w:rsidRPr="00BB6220">
        <w:t>regarding</w:t>
      </w:r>
      <w:r w:rsidR="003D640C">
        <w:t xml:space="preserve"> </w:t>
      </w:r>
      <w:r w:rsidR="003951C6" w:rsidRPr="00BB6220">
        <w:t>community</w:t>
      </w:r>
      <w:r w:rsidR="003D640C">
        <w:t xml:space="preserve"> </w:t>
      </w:r>
      <w:r w:rsidR="003951C6" w:rsidRPr="00BB6220">
        <w:t>culture</w:t>
      </w:r>
      <w:r w:rsidR="006A48D6">
        <w:t>.</w:t>
      </w:r>
    </w:p>
    <w:p w14:paraId="218870DF" w14:textId="31B24FBE" w:rsidR="00501068" w:rsidRDefault="00524EA2" w:rsidP="009B6B4C">
      <w:pPr>
        <w:pStyle w:val="Bullet"/>
      </w:pPr>
      <w:r w:rsidRPr="00BB6220">
        <w:rPr>
          <w:b/>
          <w:bCs/>
        </w:rPr>
        <w:t>Review</w:t>
      </w:r>
      <w:r w:rsidR="003D640C">
        <w:rPr>
          <w:b/>
          <w:bCs/>
        </w:rPr>
        <w:t xml:space="preserve"> </w:t>
      </w:r>
      <w:r w:rsidRPr="00BB6220">
        <w:rPr>
          <w:b/>
          <w:bCs/>
        </w:rPr>
        <w:t>how</w:t>
      </w:r>
      <w:r w:rsidR="003D640C">
        <w:rPr>
          <w:b/>
          <w:bCs/>
        </w:rPr>
        <w:t xml:space="preserve"> </w:t>
      </w:r>
      <w:r w:rsidRPr="00BB6220">
        <w:rPr>
          <w:b/>
          <w:bCs/>
        </w:rPr>
        <w:t>cultural</w:t>
      </w:r>
      <w:r w:rsidR="003D640C">
        <w:rPr>
          <w:b/>
          <w:bCs/>
        </w:rPr>
        <w:t xml:space="preserve"> </w:t>
      </w:r>
      <w:r w:rsidRPr="00BB6220">
        <w:rPr>
          <w:b/>
          <w:bCs/>
        </w:rPr>
        <w:t>events</w:t>
      </w:r>
      <w:r w:rsidR="003D640C">
        <w:rPr>
          <w:b/>
          <w:bCs/>
        </w:rPr>
        <w:t xml:space="preserve"> </w:t>
      </w:r>
      <w:r w:rsidRPr="00BB6220">
        <w:rPr>
          <w:b/>
          <w:bCs/>
        </w:rPr>
        <w:t>are</w:t>
      </w:r>
      <w:r w:rsidR="003D640C">
        <w:rPr>
          <w:b/>
          <w:bCs/>
        </w:rPr>
        <w:t xml:space="preserve"> </w:t>
      </w:r>
      <w:r w:rsidRPr="00BB6220">
        <w:rPr>
          <w:b/>
          <w:bCs/>
        </w:rPr>
        <w:t>framed</w:t>
      </w:r>
      <w:r w:rsidR="003D640C">
        <w:rPr>
          <w:b/>
          <w:bCs/>
        </w:rPr>
        <w:t xml:space="preserve"> </w:t>
      </w:r>
      <w:r w:rsidRPr="00BB6220">
        <w:rPr>
          <w:b/>
          <w:bCs/>
        </w:rPr>
        <w:t>and</w:t>
      </w:r>
      <w:r w:rsidR="003D640C">
        <w:rPr>
          <w:b/>
          <w:bCs/>
        </w:rPr>
        <w:t xml:space="preserve"> </w:t>
      </w:r>
      <w:r w:rsidRPr="00BB6220">
        <w:rPr>
          <w:b/>
          <w:bCs/>
        </w:rPr>
        <w:t>who</w:t>
      </w:r>
      <w:r w:rsidR="003D640C">
        <w:rPr>
          <w:b/>
          <w:bCs/>
        </w:rPr>
        <w:t xml:space="preserve"> </w:t>
      </w:r>
      <w:r w:rsidRPr="00BB6220">
        <w:rPr>
          <w:b/>
          <w:bCs/>
        </w:rPr>
        <w:t>is</w:t>
      </w:r>
      <w:r w:rsidR="003D640C">
        <w:rPr>
          <w:b/>
          <w:bCs/>
        </w:rPr>
        <w:t xml:space="preserve"> </w:t>
      </w:r>
      <w:r w:rsidRPr="00BB6220">
        <w:rPr>
          <w:b/>
          <w:bCs/>
        </w:rPr>
        <w:t>invited</w:t>
      </w:r>
      <w:r w:rsidRPr="00BB6220">
        <w:t>.</w:t>
      </w:r>
      <w:r w:rsidR="003D640C">
        <w:t xml:space="preserve"> </w:t>
      </w:r>
      <w:r w:rsidRPr="00BB6220">
        <w:t>Consider</w:t>
      </w:r>
      <w:r w:rsidR="003D640C">
        <w:t xml:space="preserve"> </w:t>
      </w:r>
      <w:r w:rsidRPr="00BB6220">
        <w:t>giving</w:t>
      </w:r>
      <w:r w:rsidR="003D640C">
        <w:t xml:space="preserve"> </w:t>
      </w:r>
      <w:r w:rsidRPr="00BB6220">
        <w:t>proactive</w:t>
      </w:r>
      <w:r w:rsidR="003D640C">
        <w:t xml:space="preserve"> </w:t>
      </w:r>
      <w:r w:rsidRPr="00BB6220">
        <w:t>signals</w:t>
      </w:r>
      <w:r w:rsidR="003D640C">
        <w:t xml:space="preserve"> </w:t>
      </w:r>
      <w:r w:rsidRPr="00BB6220">
        <w:t>that</w:t>
      </w:r>
      <w:r w:rsidR="003D640C">
        <w:t xml:space="preserve"> </w:t>
      </w:r>
      <w:r w:rsidRPr="00BB6220">
        <w:t>the</w:t>
      </w:r>
      <w:r w:rsidR="003D640C">
        <w:t xml:space="preserve"> </w:t>
      </w:r>
      <w:r w:rsidR="006C3CA0" w:rsidRPr="00BB6220">
        <w:t>Rainbow</w:t>
      </w:r>
      <w:r w:rsidR="003D640C">
        <w:t xml:space="preserve"> </w:t>
      </w:r>
      <w:r w:rsidRPr="00BB6220">
        <w:t>community</w:t>
      </w:r>
      <w:r w:rsidR="003D640C">
        <w:t xml:space="preserve"> </w:t>
      </w:r>
      <w:r w:rsidRPr="00BB6220">
        <w:t>is</w:t>
      </w:r>
      <w:r w:rsidR="003D640C">
        <w:t xml:space="preserve"> </w:t>
      </w:r>
      <w:r w:rsidRPr="00BB6220">
        <w:t>included.</w:t>
      </w:r>
      <w:r w:rsidR="003D640C">
        <w:t xml:space="preserve"> </w:t>
      </w:r>
      <w:r w:rsidRPr="00BB6220">
        <w:t>For</w:t>
      </w:r>
      <w:r w:rsidR="003D640C">
        <w:t xml:space="preserve"> </w:t>
      </w:r>
      <w:r w:rsidRPr="00BB6220">
        <w:t>example,</w:t>
      </w:r>
      <w:r w:rsidR="003D640C">
        <w:t xml:space="preserve"> </w:t>
      </w:r>
      <w:r w:rsidRPr="00BB6220">
        <w:t>on</w:t>
      </w:r>
      <w:r w:rsidR="003D640C">
        <w:t xml:space="preserve"> </w:t>
      </w:r>
      <w:r w:rsidRPr="00BB6220">
        <w:t>Mother’s</w:t>
      </w:r>
      <w:r w:rsidR="003D640C">
        <w:t xml:space="preserve"> </w:t>
      </w:r>
      <w:r w:rsidRPr="00BB6220">
        <w:t>Day</w:t>
      </w:r>
      <w:r w:rsidR="003D640C">
        <w:t xml:space="preserve"> </w:t>
      </w:r>
      <w:r w:rsidR="00461A42">
        <w:t>and</w:t>
      </w:r>
      <w:r w:rsidR="003D640C">
        <w:t xml:space="preserve"> </w:t>
      </w:r>
      <w:r w:rsidR="00461A42">
        <w:t>Father’s</w:t>
      </w:r>
      <w:r w:rsidR="003D640C">
        <w:t xml:space="preserve"> </w:t>
      </w:r>
      <w:r w:rsidR="00461A42">
        <w:t>Day</w:t>
      </w:r>
      <w:r w:rsidR="00C643B6">
        <w:t>,</w:t>
      </w:r>
      <w:r w:rsidR="003D640C">
        <w:t xml:space="preserve"> </w:t>
      </w:r>
      <w:r w:rsidRPr="00BB6220">
        <w:lastRenderedPageBreak/>
        <w:t>communicate</w:t>
      </w:r>
      <w:r w:rsidR="003D640C">
        <w:t xml:space="preserve"> </w:t>
      </w:r>
      <w:r w:rsidRPr="00BB6220">
        <w:t>that</w:t>
      </w:r>
      <w:r w:rsidR="003D640C">
        <w:t xml:space="preserve"> </w:t>
      </w:r>
      <w:r w:rsidRPr="00BB6220">
        <w:t>you</w:t>
      </w:r>
      <w:r w:rsidR="003D640C">
        <w:t xml:space="preserve"> </w:t>
      </w:r>
      <w:r w:rsidRPr="00BB6220">
        <w:t>are</w:t>
      </w:r>
      <w:r w:rsidR="003D640C">
        <w:t xml:space="preserve"> </w:t>
      </w:r>
      <w:r w:rsidRPr="00BB6220">
        <w:t>celebrating</w:t>
      </w:r>
      <w:r w:rsidR="003D640C">
        <w:t xml:space="preserve"> </w:t>
      </w:r>
      <w:r w:rsidRPr="00BB6220">
        <w:t>all</w:t>
      </w:r>
      <w:r w:rsidR="003D640C">
        <w:t xml:space="preserve"> </w:t>
      </w:r>
      <w:r w:rsidRPr="00BB6220">
        <w:t>people</w:t>
      </w:r>
      <w:r w:rsidR="003D640C">
        <w:t xml:space="preserve"> </w:t>
      </w:r>
      <w:r w:rsidR="00C643B6">
        <w:t xml:space="preserve">who </w:t>
      </w:r>
      <w:r w:rsidRPr="00BB6220">
        <w:t>help</w:t>
      </w:r>
      <w:r w:rsidR="003D640C">
        <w:t xml:space="preserve"> </w:t>
      </w:r>
      <w:r w:rsidRPr="00BB6220">
        <w:t>to</w:t>
      </w:r>
      <w:r w:rsidR="003D640C">
        <w:t xml:space="preserve"> </w:t>
      </w:r>
      <w:r w:rsidRPr="00BB6220">
        <w:t>raise</w:t>
      </w:r>
      <w:r w:rsidR="003D640C">
        <w:t xml:space="preserve"> </w:t>
      </w:r>
      <w:r w:rsidRPr="00BB6220">
        <w:t>children,</w:t>
      </w:r>
      <w:r w:rsidR="003D640C">
        <w:t xml:space="preserve"> </w:t>
      </w:r>
      <w:r w:rsidRPr="00BB6220">
        <w:t>including</w:t>
      </w:r>
      <w:r w:rsidR="003D640C">
        <w:t xml:space="preserve"> </w:t>
      </w:r>
      <w:r w:rsidR="006C3CA0" w:rsidRPr="00BB6220">
        <w:t>Rainbow</w:t>
      </w:r>
      <w:r w:rsidR="003D640C">
        <w:t xml:space="preserve"> </w:t>
      </w:r>
      <w:r w:rsidRPr="00BB6220">
        <w:t>parents,</w:t>
      </w:r>
      <w:r w:rsidR="003D640C">
        <w:t xml:space="preserve"> </w:t>
      </w:r>
      <w:r w:rsidRPr="00BB6220">
        <w:t>grandparents</w:t>
      </w:r>
      <w:r w:rsidR="6EEAEB01" w:rsidRPr="00BB6220">
        <w:t>,</w:t>
      </w:r>
      <w:r w:rsidR="003D640C">
        <w:t xml:space="preserve"> </w:t>
      </w:r>
      <w:r w:rsidRPr="00BB6220">
        <w:t>and</w:t>
      </w:r>
      <w:r w:rsidR="003D640C">
        <w:t xml:space="preserve"> </w:t>
      </w:r>
      <w:r w:rsidRPr="00BB6220">
        <w:t>other</w:t>
      </w:r>
      <w:r w:rsidR="003D640C">
        <w:t xml:space="preserve"> </w:t>
      </w:r>
      <w:r w:rsidRPr="00BB6220">
        <w:t>whānau</w:t>
      </w:r>
      <w:r w:rsidR="003D640C">
        <w:t xml:space="preserve"> </w:t>
      </w:r>
      <w:r w:rsidRPr="00BB6220">
        <w:t>members.</w:t>
      </w:r>
    </w:p>
    <w:p w14:paraId="73D94F6C" w14:textId="67E996A3" w:rsidR="00501068" w:rsidRDefault="00524EA2" w:rsidP="009B6B4C">
      <w:pPr>
        <w:pStyle w:val="Bullet"/>
      </w:pPr>
      <w:r w:rsidRPr="00BB6220">
        <w:rPr>
          <w:b/>
          <w:bCs/>
        </w:rPr>
        <w:t>Consider</w:t>
      </w:r>
      <w:r w:rsidR="003D640C">
        <w:rPr>
          <w:b/>
          <w:bCs/>
        </w:rPr>
        <w:t xml:space="preserve"> </w:t>
      </w:r>
      <w:r w:rsidR="713878E5" w:rsidRPr="00BB6220">
        <w:rPr>
          <w:b/>
          <w:bCs/>
        </w:rPr>
        <w:t>having</w:t>
      </w:r>
      <w:r w:rsidR="003D640C">
        <w:rPr>
          <w:b/>
          <w:bCs/>
        </w:rPr>
        <w:t xml:space="preserve"> </w:t>
      </w:r>
      <w:r w:rsidRPr="00BB6220">
        <w:rPr>
          <w:b/>
          <w:bCs/>
        </w:rPr>
        <w:t>non-religious</w:t>
      </w:r>
      <w:r w:rsidR="003D640C">
        <w:rPr>
          <w:b/>
          <w:bCs/>
        </w:rPr>
        <w:t xml:space="preserve"> </w:t>
      </w:r>
      <w:r w:rsidRPr="00BB6220">
        <w:rPr>
          <w:b/>
          <w:bCs/>
        </w:rPr>
        <w:t>events.</w:t>
      </w:r>
      <w:r w:rsidR="003D640C">
        <w:t xml:space="preserve"> </w:t>
      </w:r>
      <w:r w:rsidRPr="00BB6220">
        <w:t>When</w:t>
      </w:r>
      <w:r w:rsidR="003D640C">
        <w:t xml:space="preserve"> </w:t>
      </w:r>
      <w:r w:rsidRPr="00BB6220">
        <w:t>your</w:t>
      </w:r>
      <w:r w:rsidR="003D640C">
        <w:t xml:space="preserve"> </w:t>
      </w:r>
      <w:r w:rsidRPr="00BB6220">
        <w:t>community</w:t>
      </w:r>
      <w:r w:rsidR="003D640C">
        <w:t xml:space="preserve"> </w:t>
      </w:r>
      <w:r w:rsidRPr="00BB6220">
        <w:t>celebrates</w:t>
      </w:r>
      <w:r w:rsidR="003D640C">
        <w:t xml:space="preserve"> </w:t>
      </w:r>
      <w:r w:rsidRPr="00BB6220">
        <w:t>events</w:t>
      </w:r>
      <w:r w:rsidR="00C643B6">
        <w:t>,</w:t>
      </w:r>
      <w:r w:rsidR="003D640C">
        <w:t xml:space="preserve"> </w:t>
      </w:r>
      <w:r w:rsidRPr="00BB6220">
        <w:t>consider</w:t>
      </w:r>
      <w:r w:rsidR="003D640C">
        <w:t xml:space="preserve"> </w:t>
      </w:r>
      <w:r w:rsidRPr="00BB6220">
        <w:t>whether</w:t>
      </w:r>
      <w:r w:rsidR="003D640C">
        <w:t xml:space="preserve"> </w:t>
      </w:r>
      <w:r w:rsidRPr="00BB6220">
        <w:t>you</w:t>
      </w:r>
      <w:r w:rsidR="003D640C">
        <w:t xml:space="preserve"> </w:t>
      </w:r>
      <w:r w:rsidRPr="00BB6220">
        <w:t>need</w:t>
      </w:r>
      <w:r w:rsidR="003D640C">
        <w:t xml:space="preserve"> </w:t>
      </w:r>
      <w:r w:rsidRPr="00BB6220">
        <w:t>to</w:t>
      </w:r>
      <w:r w:rsidR="003D640C">
        <w:t xml:space="preserve"> </w:t>
      </w:r>
      <w:r w:rsidRPr="00BB6220">
        <w:t>include</w:t>
      </w:r>
      <w:r w:rsidR="003D640C">
        <w:t xml:space="preserve"> </w:t>
      </w:r>
      <w:r w:rsidRPr="00BB6220">
        <w:t>a</w:t>
      </w:r>
      <w:r w:rsidR="003D640C">
        <w:t xml:space="preserve"> </w:t>
      </w:r>
      <w:r w:rsidRPr="00BB6220">
        <w:t>religious</w:t>
      </w:r>
      <w:r w:rsidR="003D640C">
        <w:t xml:space="preserve"> </w:t>
      </w:r>
      <w:r w:rsidRPr="00BB6220">
        <w:t>element.</w:t>
      </w:r>
      <w:r w:rsidR="003D640C">
        <w:t xml:space="preserve"> </w:t>
      </w:r>
      <w:r w:rsidRPr="00BB6220">
        <w:t>Some</w:t>
      </w:r>
      <w:r w:rsidR="003D640C">
        <w:t xml:space="preserve"> </w:t>
      </w:r>
      <w:r w:rsidR="006C3CA0" w:rsidRPr="00BB6220">
        <w:t>Rainbow</w:t>
      </w:r>
      <w:r w:rsidR="003D640C">
        <w:t xml:space="preserve"> </w:t>
      </w:r>
      <w:r w:rsidRPr="00BB6220">
        <w:t>people</w:t>
      </w:r>
      <w:r w:rsidR="003D640C">
        <w:t xml:space="preserve"> </w:t>
      </w:r>
      <w:r w:rsidRPr="00BB6220">
        <w:t>who</w:t>
      </w:r>
      <w:r w:rsidR="003D640C">
        <w:t xml:space="preserve"> </w:t>
      </w:r>
      <w:r w:rsidRPr="00BB6220">
        <w:t>are</w:t>
      </w:r>
      <w:r w:rsidR="003D640C">
        <w:t xml:space="preserve"> </w:t>
      </w:r>
      <w:r w:rsidRPr="00BB6220">
        <w:t>starting</w:t>
      </w:r>
      <w:r w:rsidR="003D640C">
        <w:t xml:space="preserve"> </w:t>
      </w:r>
      <w:r w:rsidRPr="00BB6220">
        <w:t>to</w:t>
      </w:r>
      <w:r w:rsidR="003D640C">
        <w:t xml:space="preserve"> </w:t>
      </w:r>
      <w:r w:rsidRPr="00BB6220">
        <w:t>reconcile</w:t>
      </w:r>
      <w:r w:rsidR="003D640C">
        <w:t xml:space="preserve"> </w:t>
      </w:r>
      <w:r w:rsidRPr="00BB6220">
        <w:t>their</w:t>
      </w:r>
      <w:r w:rsidR="003D640C">
        <w:t xml:space="preserve"> </w:t>
      </w:r>
      <w:r w:rsidRPr="00BB6220">
        <w:t>faith</w:t>
      </w:r>
      <w:r w:rsidR="003D640C">
        <w:t xml:space="preserve"> </w:t>
      </w:r>
      <w:r w:rsidRPr="00BB6220">
        <w:t>and</w:t>
      </w:r>
      <w:r w:rsidR="003D640C">
        <w:t xml:space="preserve"> </w:t>
      </w:r>
      <w:r w:rsidR="006C3CA0" w:rsidRPr="00BB6220">
        <w:t>Rainbow</w:t>
      </w:r>
      <w:r w:rsidR="003D640C">
        <w:t xml:space="preserve"> </w:t>
      </w:r>
      <w:r w:rsidRPr="00BB6220">
        <w:t>identity</w:t>
      </w:r>
      <w:r w:rsidR="003D640C">
        <w:t xml:space="preserve"> </w:t>
      </w:r>
      <w:r w:rsidRPr="00BB6220">
        <w:t>will</w:t>
      </w:r>
      <w:r w:rsidR="003D640C">
        <w:t xml:space="preserve"> </w:t>
      </w:r>
      <w:r w:rsidRPr="00BB6220">
        <w:t>appreciate</w:t>
      </w:r>
      <w:r w:rsidR="003D640C">
        <w:t xml:space="preserve"> </w:t>
      </w:r>
      <w:r w:rsidRPr="00BB6220">
        <w:t>the</w:t>
      </w:r>
      <w:r w:rsidR="003D640C">
        <w:t xml:space="preserve"> </w:t>
      </w:r>
      <w:r w:rsidRPr="00BB6220">
        <w:t>chance</w:t>
      </w:r>
      <w:r w:rsidR="003D640C">
        <w:t xml:space="preserve"> </w:t>
      </w:r>
      <w:r w:rsidRPr="00BB6220">
        <w:t>to</w:t>
      </w:r>
      <w:r w:rsidR="003D640C">
        <w:t xml:space="preserve"> </w:t>
      </w:r>
      <w:r w:rsidRPr="00BB6220">
        <w:t>engage</w:t>
      </w:r>
      <w:r w:rsidR="003D640C">
        <w:t xml:space="preserve"> </w:t>
      </w:r>
      <w:r w:rsidRPr="00BB6220">
        <w:t>with</w:t>
      </w:r>
      <w:r w:rsidR="003D640C">
        <w:t xml:space="preserve"> </w:t>
      </w:r>
      <w:r w:rsidRPr="00BB6220">
        <w:t>their</w:t>
      </w:r>
      <w:r w:rsidR="003D640C">
        <w:t xml:space="preserve"> </w:t>
      </w:r>
      <w:r w:rsidR="7DBED5FE" w:rsidRPr="00BB6220">
        <w:t>religious</w:t>
      </w:r>
      <w:r w:rsidR="003D640C">
        <w:t xml:space="preserve"> </w:t>
      </w:r>
      <w:r w:rsidRPr="00BB6220">
        <w:t>community</w:t>
      </w:r>
      <w:r w:rsidR="003D640C">
        <w:t xml:space="preserve"> </w:t>
      </w:r>
      <w:r w:rsidRPr="00BB6220">
        <w:t>without</w:t>
      </w:r>
      <w:r w:rsidR="003D640C">
        <w:t xml:space="preserve"> </w:t>
      </w:r>
      <w:r w:rsidRPr="00BB6220">
        <w:t>overt</w:t>
      </w:r>
      <w:r w:rsidR="003D640C">
        <w:t xml:space="preserve"> </w:t>
      </w:r>
      <w:r w:rsidRPr="00BB6220">
        <w:t>faith</w:t>
      </w:r>
      <w:r w:rsidR="003D640C">
        <w:t xml:space="preserve"> </w:t>
      </w:r>
      <w:r w:rsidRPr="00BB6220">
        <w:t>content.</w:t>
      </w:r>
      <w:r w:rsidR="003D640C">
        <w:t xml:space="preserve"> </w:t>
      </w:r>
      <w:r w:rsidRPr="00BB6220">
        <w:t>Also</w:t>
      </w:r>
      <w:r w:rsidR="003D640C">
        <w:t xml:space="preserve"> </w:t>
      </w:r>
      <w:r w:rsidRPr="00BB6220">
        <w:t>consider</w:t>
      </w:r>
      <w:r w:rsidR="003D640C">
        <w:t xml:space="preserve"> </w:t>
      </w:r>
      <w:r w:rsidRPr="00BB6220">
        <w:t>celebrating</w:t>
      </w:r>
      <w:r w:rsidR="003D640C">
        <w:t xml:space="preserve"> </w:t>
      </w:r>
      <w:r w:rsidRPr="00BB6220">
        <w:t>events</w:t>
      </w:r>
      <w:r w:rsidR="003D640C">
        <w:t xml:space="preserve"> </w:t>
      </w:r>
      <w:r w:rsidRPr="00BB6220">
        <w:t>that</w:t>
      </w:r>
      <w:r w:rsidR="003D640C">
        <w:t xml:space="preserve"> </w:t>
      </w:r>
      <w:r w:rsidRPr="00BB6220">
        <w:t>may</w:t>
      </w:r>
      <w:r w:rsidR="003D640C">
        <w:t xml:space="preserve"> </w:t>
      </w:r>
      <w:r w:rsidRPr="00BB6220">
        <w:t>uplift</w:t>
      </w:r>
      <w:r w:rsidR="003D640C">
        <w:t xml:space="preserve"> </w:t>
      </w:r>
      <w:r w:rsidRPr="00BB6220">
        <w:t>your</w:t>
      </w:r>
      <w:r w:rsidR="003D640C">
        <w:t xml:space="preserve"> </w:t>
      </w:r>
      <w:r w:rsidR="006C3CA0" w:rsidRPr="00BB6220">
        <w:t>Rainbow</w:t>
      </w:r>
      <w:r w:rsidR="003D640C">
        <w:t xml:space="preserve"> </w:t>
      </w:r>
      <w:r w:rsidRPr="00BB6220">
        <w:t>community</w:t>
      </w:r>
      <w:r w:rsidR="003D640C">
        <w:t xml:space="preserve"> </w:t>
      </w:r>
      <w:r w:rsidRPr="00BB6220">
        <w:t>like</w:t>
      </w:r>
      <w:r w:rsidR="003D640C">
        <w:t xml:space="preserve"> </w:t>
      </w:r>
      <w:r w:rsidRPr="00BB6220">
        <w:t>Pride</w:t>
      </w:r>
      <w:r w:rsidR="003D640C">
        <w:t xml:space="preserve"> </w:t>
      </w:r>
      <w:r w:rsidRPr="00BB6220">
        <w:t>Month.</w:t>
      </w:r>
    </w:p>
    <w:p w14:paraId="1DAF8AF0" w14:textId="686C2184" w:rsidR="00501068" w:rsidRDefault="00524EA2" w:rsidP="009B6B4C">
      <w:pPr>
        <w:pStyle w:val="Bullet"/>
      </w:pPr>
      <w:r w:rsidRPr="00BB6220">
        <w:rPr>
          <w:b/>
          <w:bCs/>
        </w:rPr>
        <w:t>Create</w:t>
      </w:r>
      <w:r w:rsidR="003D640C">
        <w:rPr>
          <w:b/>
          <w:bCs/>
        </w:rPr>
        <w:t xml:space="preserve"> </w:t>
      </w:r>
      <w:r w:rsidRPr="00BB6220">
        <w:rPr>
          <w:b/>
        </w:rPr>
        <w:t>space</w:t>
      </w:r>
      <w:r w:rsidR="003D640C">
        <w:rPr>
          <w:b/>
        </w:rPr>
        <w:t xml:space="preserve"> </w:t>
      </w:r>
      <w:r w:rsidRPr="00BB6220">
        <w:rPr>
          <w:b/>
        </w:rPr>
        <w:t>to</w:t>
      </w:r>
      <w:r w:rsidR="003D640C">
        <w:rPr>
          <w:b/>
        </w:rPr>
        <w:t xml:space="preserve"> </w:t>
      </w:r>
      <w:r w:rsidRPr="00BB6220">
        <w:rPr>
          <w:b/>
        </w:rPr>
        <w:t>have</w:t>
      </w:r>
      <w:r w:rsidR="003D640C">
        <w:rPr>
          <w:b/>
        </w:rPr>
        <w:t xml:space="preserve"> </w:t>
      </w:r>
      <w:r w:rsidR="006C3CA0" w:rsidRPr="00BB6220">
        <w:rPr>
          <w:b/>
          <w:bCs/>
        </w:rPr>
        <w:t>Rainbow</w:t>
      </w:r>
      <w:r w:rsidR="0064680A">
        <w:rPr>
          <w:b/>
          <w:bCs/>
        </w:rPr>
        <w:t>-</w:t>
      </w:r>
      <w:r w:rsidRPr="00BB6220">
        <w:rPr>
          <w:b/>
          <w:bCs/>
        </w:rPr>
        <w:t>specific</w:t>
      </w:r>
      <w:r w:rsidR="003D640C">
        <w:rPr>
          <w:b/>
          <w:bCs/>
        </w:rPr>
        <w:t xml:space="preserve"> </w:t>
      </w:r>
      <w:r w:rsidRPr="00BB6220">
        <w:rPr>
          <w:b/>
          <w:bCs/>
        </w:rPr>
        <w:t>conversations</w:t>
      </w:r>
      <w:r w:rsidR="003D640C">
        <w:rPr>
          <w:b/>
          <w:bCs/>
        </w:rPr>
        <w:t xml:space="preserve"> </w:t>
      </w:r>
      <w:r w:rsidRPr="00BB6220">
        <w:rPr>
          <w:b/>
          <w:bCs/>
        </w:rPr>
        <w:t>and</w:t>
      </w:r>
      <w:r w:rsidR="003D640C">
        <w:rPr>
          <w:b/>
          <w:bCs/>
        </w:rPr>
        <w:t xml:space="preserve"> </w:t>
      </w:r>
      <w:r w:rsidRPr="00BB6220">
        <w:rPr>
          <w:b/>
          <w:bCs/>
        </w:rPr>
        <w:t>discussi</w:t>
      </w:r>
      <w:r w:rsidRPr="00C643B6">
        <w:rPr>
          <w:b/>
          <w:bCs/>
        </w:rPr>
        <w:t>o</w:t>
      </w:r>
      <w:r w:rsidR="0064680A" w:rsidRPr="00C643B6">
        <w:rPr>
          <w:b/>
          <w:bCs/>
        </w:rPr>
        <w:t>n</w:t>
      </w:r>
      <w:r w:rsidR="0064680A">
        <w:t>.</w:t>
      </w:r>
      <w:r w:rsidR="003D640C">
        <w:t xml:space="preserve"> </w:t>
      </w:r>
      <w:r w:rsidR="0064680A">
        <w:t>T</w:t>
      </w:r>
      <w:r w:rsidRPr="00BB6220">
        <w:t>hese</w:t>
      </w:r>
      <w:r w:rsidR="003D640C">
        <w:t xml:space="preserve"> </w:t>
      </w:r>
      <w:r w:rsidR="0064680A">
        <w:t>might</w:t>
      </w:r>
      <w:r w:rsidR="003D640C">
        <w:t xml:space="preserve"> </w:t>
      </w:r>
      <w:r w:rsidR="0064680A">
        <w:t>be</w:t>
      </w:r>
      <w:r w:rsidR="003D640C">
        <w:t xml:space="preserve"> </w:t>
      </w:r>
      <w:r w:rsidRPr="00BB6220">
        <w:t>physical</w:t>
      </w:r>
      <w:r w:rsidR="003D640C">
        <w:t xml:space="preserve"> </w:t>
      </w:r>
      <w:r w:rsidRPr="00BB6220">
        <w:t>spaces,</w:t>
      </w:r>
      <w:r w:rsidR="003D640C">
        <w:t xml:space="preserve"> </w:t>
      </w:r>
      <w:r w:rsidRPr="00BB6220">
        <w:t>times</w:t>
      </w:r>
      <w:r w:rsidR="003D640C">
        <w:t xml:space="preserve"> </w:t>
      </w:r>
      <w:r w:rsidRPr="00BB6220">
        <w:t>in</w:t>
      </w:r>
      <w:r w:rsidR="003D640C">
        <w:t xml:space="preserve"> </w:t>
      </w:r>
      <w:r w:rsidRPr="00BB6220">
        <w:t>the</w:t>
      </w:r>
      <w:r w:rsidR="003D640C">
        <w:t xml:space="preserve"> </w:t>
      </w:r>
      <w:r w:rsidRPr="00BB6220">
        <w:t>calendar,</w:t>
      </w:r>
      <w:r w:rsidR="003D640C">
        <w:t xml:space="preserve"> </w:t>
      </w:r>
      <w:r w:rsidRPr="00BB6220">
        <w:t>or</w:t>
      </w:r>
      <w:r w:rsidR="003D640C">
        <w:t xml:space="preserve"> </w:t>
      </w:r>
      <w:r w:rsidRPr="00BB6220">
        <w:t>otherwise.</w:t>
      </w:r>
      <w:r w:rsidR="003D640C">
        <w:t xml:space="preserve"> </w:t>
      </w:r>
      <w:r w:rsidRPr="00BB6220">
        <w:t>It</w:t>
      </w:r>
      <w:r w:rsidR="003D640C">
        <w:t xml:space="preserve"> </w:t>
      </w:r>
      <w:r w:rsidRPr="00BB6220">
        <w:t>takes</w:t>
      </w:r>
      <w:r w:rsidR="003D640C">
        <w:t xml:space="preserve"> </w:t>
      </w:r>
      <w:r w:rsidRPr="00BB6220">
        <w:t>courage</w:t>
      </w:r>
      <w:r w:rsidR="003D640C">
        <w:t xml:space="preserve"> </w:t>
      </w:r>
      <w:r w:rsidRPr="00BB6220">
        <w:t>for</w:t>
      </w:r>
      <w:r w:rsidR="003D640C">
        <w:t xml:space="preserve"> </w:t>
      </w:r>
      <w:r w:rsidR="006C3CA0" w:rsidRPr="00BB6220">
        <w:t>Rainbow</w:t>
      </w:r>
      <w:r w:rsidR="003D640C">
        <w:t xml:space="preserve"> </w:t>
      </w:r>
      <w:r w:rsidRPr="00BB6220">
        <w:t>people</w:t>
      </w:r>
      <w:r w:rsidR="003D640C">
        <w:t xml:space="preserve"> </w:t>
      </w:r>
      <w:r w:rsidRPr="00BB6220">
        <w:t>to</w:t>
      </w:r>
      <w:r w:rsidR="003D640C">
        <w:t xml:space="preserve"> </w:t>
      </w:r>
      <w:r w:rsidRPr="00BB6220">
        <w:t>join</w:t>
      </w:r>
      <w:r w:rsidR="003D640C">
        <w:t xml:space="preserve"> </w:t>
      </w:r>
      <w:r w:rsidRPr="00BB6220">
        <w:t>discussions</w:t>
      </w:r>
      <w:r w:rsidR="003D640C">
        <w:t xml:space="preserve"> </w:t>
      </w:r>
      <w:r w:rsidRPr="00BB6220">
        <w:t>about</w:t>
      </w:r>
      <w:r w:rsidR="003D640C">
        <w:t xml:space="preserve"> </w:t>
      </w:r>
      <w:r w:rsidRPr="00BB6220">
        <w:t>their</w:t>
      </w:r>
      <w:r w:rsidR="003D640C">
        <w:t xml:space="preserve"> </w:t>
      </w:r>
      <w:r w:rsidRPr="00BB6220">
        <w:t>existence</w:t>
      </w:r>
      <w:r w:rsidR="003D640C">
        <w:t xml:space="preserve"> </w:t>
      </w:r>
      <w:r w:rsidRPr="00BB6220">
        <w:t>in</w:t>
      </w:r>
      <w:r w:rsidR="003D640C">
        <w:t xml:space="preserve"> </w:t>
      </w:r>
      <w:r w:rsidRPr="00BB6220">
        <w:t>religious</w:t>
      </w:r>
      <w:r w:rsidR="003D640C">
        <w:t xml:space="preserve"> </w:t>
      </w:r>
      <w:r w:rsidRPr="00BB6220">
        <w:t>spaces.</w:t>
      </w:r>
      <w:r w:rsidR="003D640C">
        <w:t xml:space="preserve"> </w:t>
      </w:r>
      <w:r w:rsidRPr="00BB6220">
        <w:t>Intentionally</w:t>
      </w:r>
      <w:r w:rsidR="003D640C">
        <w:t xml:space="preserve"> </w:t>
      </w:r>
      <w:r w:rsidRPr="00BB6220">
        <w:t>creating</w:t>
      </w:r>
      <w:r w:rsidR="003D640C">
        <w:t xml:space="preserve"> </w:t>
      </w:r>
      <w:r w:rsidRPr="00BB6220">
        <w:t>safe</w:t>
      </w:r>
      <w:r w:rsidR="003D640C">
        <w:t xml:space="preserve"> </w:t>
      </w:r>
      <w:r w:rsidRPr="00BB6220">
        <w:t>ways</w:t>
      </w:r>
      <w:r w:rsidR="003D640C">
        <w:t xml:space="preserve"> </w:t>
      </w:r>
      <w:r w:rsidRPr="00BB6220">
        <w:t>for</w:t>
      </w:r>
      <w:r w:rsidR="003D640C">
        <w:t xml:space="preserve"> </w:t>
      </w:r>
      <w:r w:rsidRPr="00BB6220">
        <w:t>them</w:t>
      </w:r>
      <w:r w:rsidR="003D640C">
        <w:t xml:space="preserve"> </w:t>
      </w:r>
      <w:r w:rsidRPr="00BB6220">
        <w:t>to</w:t>
      </w:r>
      <w:r w:rsidR="003D640C">
        <w:t xml:space="preserve"> </w:t>
      </w:r>
      <w:r w:rsidRPr="00BB6220">
        <w:t>have</w:t>
      </w:r>
      <w:r w:rsidR="003D640C">
        <w:t xml:space="preserve"> </w:t>
      </w:r>
      <w:r w:rsidRPr="00BB6220">
        <w:t>these</w:t>
      </w:r>
      <w:r w:rsidR="003D640C">
        <w:t xml:space="preserve"> </w:t>
      </w:r>
      <w:r w:rsidRPr="00BB6220">
        <w:t>conversations</w:t>
      </w:r>
      <w:r w:rsidR="003D640C">
        <w:t xml:space="preserve"> </w:t>
      </w:r>
      <w:r w:rsidRPr="00BB6220">
        <w:t>means</w:t>
      </w:r>
      <w:r w:rsidR="003D640C">
        <w:t xml:space="preserve"> </w:t>
      </w:r>
      <w:r w:rsidRPr="00BB6220">
        <w:t>they</w:t>
      </w:r>
      <w:r w:rsidR="003D640C">
        <w:t xml:space="preserve"> </w:t>
      </w:r>
      <w:r w:rsidRPr="00BB6220">
        <w:t>can</w:t>
      </w:r>
      <w:r w:rsidR="003D640C">
        <w:t xml:space="preserve"> </w:t>
      </w:r>
      <w:r w:rsidRPr="00BB6220">
        <w:t>participate</w:t>
      </w:r>
      <w:r w:rsidR="003D640C">
        <w:t xml:space="preserve"> </w:t>
      </w:r>
      <w:r w:rsidRPr="00BB6220">
        <w:t>without</w:t>
      </w:r>
      <w:r w:rsidR="003D640C">
        <w:t xml:space="preserve"> </w:t>
      </w:r>
      <w:r w:rsidRPr="00BB6220">
        <w:t>fear</w:t>
      </w:r>
      <w:r w:rsidR="003D640C">
        <w:t xml:space="preserve"> </w:t>
      </w:r>
      <w:r w:rsidRPr="00BB6220">
        <w:t>of</w:t>
      </w:r>
      <w:r w:rsidR="003D640C">
        <w:t xml:space="preserve"> </w:t>
      </w:r>
      <w:r w:rsidRPr="00BB6220">
        <w:t>judg</w:t>
      </w:r>
      <w:r w:rsidR="00C643B6">
        <w:t>e</w:t>
      </w:r>
      <w:r w:rsidRPr="00BB6220">
        <w:t>ment.</w:t>
      </w:r>
      <w:r w:rsidR="003D640C">
        <w:t xml:space="preserve"> </w:t>
      </w:r>
      <w:r w:rsidRPr="00BB6220">
        <w:t>Be</w:t>
      </w:r>
      <w:r w:rsidR="003D640C">
        <w:t xml:space="preserve"> </w:t>
      </w:r>
      <w:r w:rsidRPr="00BB6220">
        <w:t>clear</w:t>
      </w:r>
      <w:r w:rsidR="003D640C">
        <w:t xml:space="preserve"> </w:t>
      </w:r>
      <w:r w:rsidRPr="00BB6220">
        <w:t>about</w:t>
      </w:r>
      <w:r w:rsidR="003D640C">
        <w:t xml:space="preserve"> </w:t>
      </w:r>
      <w:r w:rsidRPr="00BB6220">
        <w:t>what</w:t>
      </w:r>
      <w:r w:rsidR="003D640C">
        <w:t xml:space="preserve"> </w:t>
      </w:r>
      <w:r w:rsidRPr="00BB6220">
        <w:t>is</w:t>
      </w:r>
      <w:r w:rsidR="003D640C">
        <w:t xml:space="preserve"> </w:t>
      </w:r>
      <w:r w:rsidRPr="00BB6220">
        <w:t>acceptable</w:t>
      </w:r>
      <w:r w:rsidR="003D640C">
        <w:t xml:space="preserve"> </w:t>
      </w:r>
      <w:r w:rsidRPr="00BB6220">
        <w:t>respectful</w:t>
      </w:r>
      <w:r w:rsidR="003D640C">
        <w:t xml:space="preserve"> </w:t>
      </w:r>
      <w:r w:rsidRPr="00BB6220">
        <w:t>discussion</w:t>
      </w:r>
      <w:r w:rsidR="003D640C">
        <w:t xml:space="preserve"> </w:t>
      </w:r>
      <w:r w:rsidRPr="00BB6220">
        <w:t>and</w:t>
      </w:r>
      <w:r w:rsidR="003D640C">
        <w:t xml:space="preserve"> </w:t>
      </w:r>
      <w:r w:rsidRPr="00BB6220">
        <w:t>behaviour.</w:t>
      </w:r>
    </w:p>
    <w:p w14:paraId="5221F0C3" w14:textId="72C8D565" w:rsidR="00524EA2" w:rsidRPr="00BB6220" w:rsidRDefault="00524EA2" w:rsidP="002C6363">
      <w:pPr>
        <w:pStyle w:val="Heading3"/>
      </w:pPr>
      <w:bookmarkStart w:id="398" w:name="_Toc138771247"/>
      <w:bookmarkStart w:id="399" w:name="_Toc167780644"/>
      <w:bookmarkStart w:id="400" w:name="_Toc1516622013"/>
      <w:bookmarkStart w:id="401" w:name="_Toc174628706"/>
      <w:r w:rsidRPr="00BB6220">
        <w:t>Physical</w:t>
      </w:r>
      <w:r w:rsidR="003D640C">
        <w:t xml:space="preserve"> </w:t>
      </w:r>
      <w:r w:rsidRPr="00BB6220">
        <w:t>and</w:t>
      </w:r>
      <w:r w:rsidR="003D640C">
        <w:t xml:space="preserve"> </w:t>
      </w:r>
      <w:r w:rsidRPr="00BB6220">
        <w:t>other</w:t>
      </w:r>
      <w:r w:rsidR="003D640C">
        <w:t xml:space="preserve"> </w:t>
      </w:r>
      <w:r w:rsidRPr="00BB6220">
        <w:t>tangible</w:t>
      </w:r>
      <w:r w:rsidR="003D640C">
        <w:t xml:space="preserve"> </w:t>
      </w:r>
      <w:r w:rsidRPr="00BB6220">
        <w:t>spaces</w:t>
      </w:r>
      <w:bookmarkEnd w:id="398"/>
      <w:bookmarkEnd w:id="399"/>
      <w:bookmarkEnd w:id="400"/>
      <w:bookmarkEnd w:id="401"/>
    </w:p>
    <w:p w14:paraId="5230478C" w14:textId="2FA376FE" w:rsidR="00524EA2" w:rsidRPr="00BB6220" w:rsidRDefault="00524EA2" w:rsidP="009B6B4C">
      <w:r w:rsidRPr="00BB6220">
        <w:t>As</w:t>
      </w:r>
      <w:r w:rsidR="003D640C">
        <w:t xml:space="preserve"> </w:t>
      </w:r>
      <w:r w:rsidRPr="00BB6220">
        <w:t>one</w:t>
      </w:r>
      <w:r w:rsidR="003D640C">
        <w:t xml:space="preserve"> </w:t>
      </w:r>
      <w:r w:rsidRPr="00BB6220">
        <w:t>of</w:t>
      </w:r>
      <w:r w:rsidR="003D640C">
        <w:t xml:space="preserve"> </w:t>
      </w:r>
      <w:r w:rsidRPr="00BB6220">
        <w:t>the</w:t>
      </w:r>
      <w:r w:rsidR="003D640C">
        <w:t xml:space="preserve"> </w:t>
      </w:r>
      <w:r w:rsidRPr="00BB6220">
        <w:t>first</w:t>
      </w:r>
      <w:r w:rsidR="003D640C">
        <w:t xml:space="preserve"> </w:t>
      </w:r>
      <w:r w:rsidRPr="00BB6220">
        <w:t>signs</w:t>
      </w:r>
      <w:r w:rsidR="003D640C">
        <w:t xml:space="preserve"> </w:t>
      </w:r>
      <w:r w:rsidRPr="00BB6220">
        <w:t>of</w:t>
      </w:r>
      <w:r w:rsidR="003D640C">
        <w:t xml:space="preserve"> </w:t>
      </w:r>
      <w:r w:rsidRPr="00BB6220">
        <w:t>community</w:t>
      </w:r>
      <w:r w:rsidR="003D640C">
        <w:t xml:space="preserve"> </w:t>
      </w:r>
      <w:r w:rsidRPr="00BB6220">
        <w:t>culture,</w:t>
      </w:r>
      <w:r w:rsidR="003D640C">
        <w:t xml:space="preserve"> </w:t>
      </w:r>
      <w:r w:rsidRPr="00BB6220">
        <w:t>your</w:t>
      </w:r>
      <w:r w:rsidR="003D640C">
        <w:t xml:space="preserve"> </w:t>
      </w:r>
      <w:r w:rsidRPr="00BB6220">
        <w:t>physical</w:t>
      </w:r>
      <w:r w:rsidR="003D640C">
        <w:t xml:space="preserve"> </w:t>
      </w:r>
      <w:r w:rsidRPr="00BB6220">
        <w:t>space</w:t>
      </w:r>
      <w:r w:rsidR="003D640C">
        <w:t xml:space="preserve"> </w:t>
      </w:r>
      <w:r w:rsidRPr="00BB6220">
        <w:t>can</w:t>
      </w:r>
      <w:r w:rsidR="003D640C">
        <w:t xml:space="preserve"> </w:t>
      </w:r>
      <w:r w:rsidRPr="00BB6220">
        <w:t>speak</w:t>
      </w:r>
      <w:r w:rsidR="003D640C">
        <w:t xml:space="preserve"> </w:t>
      </w:r>
      <w:r w:rsidRPr="00BB6220">
        <w:t>volumes</w:t>
      </w:r>
      <w:r w:rsidR="003D640C">
        <w:t xml:space="preserve"> </w:t>
      </w:r>
      <w:r w:rsidRPr="00BB6220">
        <w:t>about</w:t>
      </w:r>
      <w:r w:rsidR="003D640C">
        <w:t xml:space="preserve"> </w:t>
      </w:r>
      <w:r w:rsidRPr="00BB6220">
        <w:t>your</w:t>
      </w:r>
      <w:r w:rsidR="003D640C">
        <w:t xml:space="preserve"> </w:t>
      </w:r>
      <w:r w:rsidRPr="00BB6220">
        <w:t>accepting</w:t>
      </w:r>
      <w:r w:rsidR="003D640C">
        <w:t xml:space="preserve"> </w:t>
      </w:r>
      <w:r w:rsidRPr="00BB6220">
        <w:t>and</w:t>
      </w:r>
      <w:r w:rsidR="003D640C">
        <w:t xml:space="preserve"> </w:t>
      </w:r>
      <w:r w:rsidRPr="00BB6220">
        <w:t>inclusive</w:t>
      </w:r>
      <w:r w:rsidR="003D640C">
        <w:t xml:space="preserve"> </w:t>
      </w:r>
      <w:r w:rsidRPr="00BB6220">
        <w:t>religious</w:t>
      </w:r>
      <w:r w:rsidR="003D640C">
        <w:t xml:space="preserve"> </w:t>
      </w:r>
      <w:r w:rsidRPr="00BB6220">
        <w:t>community.</w:t>
      </w:r>
      <w:r w:rsidR="003D640C">
        <w:t xml:space="preserve"> </w:t>
      </w:r>
      <w:r w:rsidRPr="00BB6220">
        <w:t>Making</w:t>
      </w:r>
      <w:r w:rsidR="003D640C">
        <w:t xml:space="preserve"> </w:t>
      </w:r>
      <w:r w:rsidRPr="00BB6220">
        <w:t>small</w:t>
      </w:r>
      <w:r w:rsidR="003D640C">
        <w:t xml:space="preserve"> </w:t>
      </w:r>
      <w:r w:rsidRPr="00BB6220">
        <w:t>changes</w:t>
      </w:r>
      <w:r w:rsidR="003D640C">
        <w:t xml:space="preserve"> </w:t>
      </w:r>
      <w:r w:rsidRPr="00BB6220">
        <w:t>or</w:t>
      </w:r>
      <w:r w:rsidR="003D640C">
        <w:t xml:space="preserve"> </w:t>
      </w:r>
      <w:r w:rsidRPr="00BB6220">
        <w:t>additions</w:t>
      </w:r>
      <w:r w:rsidR="003D640C">
        <w:t xml:space="preserve"> </w:t>
      </w:r>
      <w:r w:rsidRPr="00BB6220">
        <w:t>to</w:t>
      </w:r>
      <w:r w:rsidR="003D640C">
        <w:t xml:space="preserve"> </w:t>
      </w:r>
      <w:r w:rsidRPr="00BB6220">
        <w:t>your</w:t>
      </w:r>
      <w:r w:rsidR="003D640C">
        <w:t xml:space="preserve"> </w:t>
      </w:r>
      <w:r w:rsidRPr="00BB6220">
        <w:t>physical</w:t>
      </w:r>
      <w:r w:rsidR="003D640C">
        <w:t xml:space="preserve"> </w:t>
      </w:r>
      <w:r w:rsidRPr="00BB6220">
        <w:t>space</w:t>
      </w:r>
      <w:r w:rsidR="003D640C">
        <w:t xml:space="preserve"> </w:t>
      </w:r>
      <w:r w:rsidRPr="00BB6220">
        <w:t>is</w:t>
      </w:r>
      <w:r w:rsidR="003D640C">
        <w:t xml:space="preserve"> </w:t>
      </w:r>
      <w:r w:rsidRPr="00BB6220">
        <w:t>one</w:t>
      </w:r>
      <w:r w:rsidR="003D640C">
        <w:t xml:space="preserve"> </w:t>
      </w:r>
      <w:r w:rsidRPr="00BB6220">
        <w:t>of</w:t>
      </w:r>
      <w:r w:rsidR="003D640C">
        <w:t xml:space="preserve"> </w:t>
      </w:r>
      <w:r w:rsidRPr="00BB6220">
        <w:t>the</w:t>
      </w:r>
      <w:r w:rsidR="003D640C">
        <w:t xml:space="preserve"> </w:t>
      </w:r>
      <w:r w:rsidRPr="00BB6220">
        <w:t>most</w:t>
      </w:r>
      <w:r w:rsidR="003D640C">
        <w:t xml:space="preserve"> </w:t>
      </w:r>
      <w:r w:rsidRPr="00BB6220">
        <w:t>straightforward</w:t>
      </w:r>
      <w:r w:rsidR="003D640C">
        <w:t xml:space="preserve"> </w:t>
      </w:r>
      <w:r w:rsidRPr="00BB6220">
        <w:t>ways</w:t>
      </w:r>
      <w:r w:rsidR="003D640C">
        <w:t xml:space="preserve"> </w:t>
      </w:r>
      <w:r w:rsidRPr="00BB6220">
        <w:t>to</w:t>
      </w:r>
      <w:r w:rsidR="003D640C">
        <w:t xml:space="preserve"> </w:t>
      </w:r>
      <w:r w:rsidRPr="00BB6220">
        <w:t>welcome</w:t>
      </w:r>
      <w:r w:rsidR="003D640C">
        <w:t xml:space="preserve"> </w:t>
      </w:r>
      <w:r w:rsidRPr="00BB6220">
        <w:t>and</w:t>
      </w:r>
      <w:r w:rsidR="003D640C">
        <w:t xml:space="preserve"> </w:t>
      </w:r>
      <w:r w:rsidRPr="00BB6220">
        <w:t>support</w:t>
      </w:r>
      <w:r w:rsidR="003D640C">
        <w:t xml:space="preserve"> </w:t>
      </w:r>
      <w:r w:rsidR="006C3CA0" w:rsidRPr="00BB6220">
        <w:t>Rainbow</w:t>
      </w:r>
      <w:r w:rsidR="003D640C">
        <w:t xml:space="preserve"> </w:t>
      </w:r>
      <w:r w:rsidRPr="00BB6220">
        <w:t>people.</w:t>
      </w:r>
      <w:r w:rsidR="003D640C">
        <w:t xml:space="preserve"> </w:t>
      </w:r>
      <w:r w:rsidR="003951C6" w:rsidRPr="00BB6220">
        <w:t>Survivors</w:t>
      </w:r>
      <w:r w:rsidR="003D640C">
        <w:t xml:space="preserve"> </w:t>
      </w:r>
      <w:r w:rsidR="003951C6" w:rsidRPr="00BB6220">
        <w:t>provided</w:t>
      </w:r>
      <w:r w:rsidR="003D640C">
        <w:t xml:space="preserve"> </w:t>
      </w:r>
      <w:r w:rsidR="003951C6" w:rsidRPr="00BB6220">
        <w:t>the</w:t>
      </w:r>
      <w:r w:rsidR="003D640C">
        <w:t xml:space="preserve"> </w:t>
      </w:r>
      <w:r w:rsidR="003951C6" w:rsidRPr="00BB6220">
        <w:t>following</w:t>
      </w:r>
      <w:r w:rsidR="003D640C">
        <w:t xml:space="preserve"> </w:t>
      </w:r>
      <w:r w:rsidR="003951C6" w:rsidRPr="00BB6220">
        <w:t>advice</w:t>
      </w:r>
      <w:r w:rsidR="003D640C">
        <w:t xml:space="preserve"> </w:t>
      </w:r>
      <w:r w:rsidR="003951C6" w:rsidRPr="00BB6220">
        <w:t>regarding</w:t>
      </w:r>
      <w:r w:rsidR="003D640C">
        <w:t xml:space="preserve"> </w:t>
      </w:r>
      <w:r w:rsidR="003951C6" w:rsidRPr="00BB6220">
        <w:t>physical</w:t>
      </w:r>
      <w:r w:rsidR="003D640C">
        <w:t xml:space="preserve"> </w:t>
      </w:r>
      <w:r w:rsidR="003951C6" w:rsidRPr="00BB6220">
        <w:t>and</w:t>
      </w:r>
      <w:r w:rsidR="003D640C">
        <w:t xml:space="preserve"> </w:t>
      </w:r>
      <w:r w:rsidR="003951C6" w:rsidRPr="00BB6220">
        <w:t>other</w:t>
      </w:r>
      <w:r w:rsidR="003D640C">
        <w:t xml:space="preserve"> </w:t>
      </w:r>
      <w:r w:rsidR="003951C6" w:rsidRPr="00BB6220">
        <w:t>tangible</w:t>
      </w:r>
      <w:r w:rsidR="003D640C">
        <w:t xml:space="preserve"> </w:t>
      </w:r>
      <w:r w:rsidR="003951C6" w:rsidRPr="00BB6220">
        <w:t>spaces</w:t>
      </w:r>
      <w:r w:rsidR="006A48D6">
        <w:t>.</w:t>
      </w:r>
    </w:p>
    <w:p w14:paraId="17BBEE45" w14:textId="5EA7A1DA" w:rsidR="00501068" w:rsidRDefault="00524EA2" w:rsidP="009B6B4C">
      <w:pPr>
        <w:pStyle w:val="Bullet"/>
      </w:pPr>
      <w:r w:rsidRPr="00BB6220">
        <w:rPr>
          <w:b/>
          <w:bCs/>
        </w:rPr>
        <w:t>Assess</w:t>
      </w:r>
      <w:r w:rsidR="003D640C">
        <w:rPr>
          <w:b/>
          <w:bCs/>
        </w:rPr>
        <w:t xml:space="preserve"> </w:t>
      </w:r>
      <w:r w:rsidRPr="00BB6220">
        <w:rPr>
          <w:b/>
          <w:bCs/>
        </w:rPr>
        <w:t>what</w:t>
      </w:r>
      <w:r w:rsidR="003D640C">
        <w:rPr>
          <w:b/>
          <w:bCs/>
        </w:rPr>
        <w:t xml:space="preserve"> </w:t>
      </w:r>
      <w:r w:rsidRPr="00BB6220">
        <w:rPr>
          <w:b/>
          <w:bCs/>
        </w:rPr>
        <w:t>is</w:t>
      </w:r>
      <w:r w:rsidR="003D640C">
        <w:rPr>
          <w:b/>
          <w:bCs/>
        </w:rPr>
        <w:t xml:space="preserve"> </w:t>
      </w:r>
      <w:r w:rsidRPr="00BB6220">
        <w:rPr>
          <w:b/>
          <w:bCs/>
        </w:rPr>
        <w:t>displayed</w:t>
      </w:r>
      <w:r w:rsidR="003D640C">
        <w:rPr>
          <w:b/>
          <w:bCs/>
        </w:rPr>
        <w:t xml:space="preserve"> </w:t>
      </w:r>
      <w:r w:rsidRPr="00BB6220">
        <w:rPr>
          <w:b/>
          <w:bCs/>
        </w:rPr>
        <w:t>in</w:t>
      </w:r>
      <w:r w:rsidR="003D640C">
        <w:rPr>
          <w:b/>
          <w:bCs/>
        </w:rPr>
        <w:t xml:space="preserve"> </w:t>
      </w:r>
      <w:r w:rsidRPr="00BB6220">
        <w:rPr>
          <w:b/>
          <w:bCs/>
        </w:rPr>
        <w:t>your</w:t>
      </w:r>
      <w:r w:rsidR="003D640C">
        <w:rPr>
          <w:b/>
          <w:bCs/>
        </w:rPr>
        <w:t xml:space="preserve"> </w:t>
      </w:r>
      <w:r w:rsidRPr="00BB6220">
        <w:rPr>
          <w:b/>
          <w:bCs/>
        </w:rPr>
        <w:t>space.</w:t>
      </w:r>
      <w:r w:rsidR="003D640C">
        <w:t xml:space="preserve"> </w:t>
      </w:r>
      <w:r w:rsidRPr="00BB6220">
        <w:t>Is</w:t>
      </w:r>
      <w:r w:rsidR="003D640C">
        <w:t xml:space="preserve"> </w:t>
      </w:r>
      <w:r w:rsidRPr="00BB6220">
        <w:t>there</w:t>
      </w:r>
      <w:r w:rsidR="003D640C">
        <w:t xml:space="preserve"> </w:t>
      </w:r>
      <w:r w:rsidRPr="00BB6220">
        <w:t>anything</w:t>
      </w:r>
      <w:r w:rsidR="003D640C">
        <w:t xml:space="preserve"> </w:t>
      </w:r>
      <w:r w:rsidRPr="00BB6220">
        <w:t>that</w:t>
      </w:r>
      <w:r w:rsidR="003D640C">
        <w:t xml:space="preserve"> </w:t>
      </w:r>
      <w:r w:rsidRPr="00BB6220">
        <w:t>signals</w:t>
      </w:r>
      <w:r w:rsidR="003D640C">
        <w:t xml:space="preserve"> </w:t>
      </w:r>
      <w:r w:rsidRPr="00BB6220">
        <w:t>to</w:t>
      </w:r>
      <w:r w:rsidR="003D640C">
        <w:t xml:space="preserve"> </w:t>
      </w:r>
      <w:r w:rsidR="006C3CA0" w:rsidRPr="00BB6220">
        <w:t>Rainbow</w:t>
      </w:r>
      <w:r w:rsidR="003D640C">
        <w:t xml:space="preserve"> </w:t>
      </w:r>
      <w:r w:rsidRPr="00BB6220">
        <w:t>people</w:t>
      </w:r>
      <w:r w:rsidR="003D640C">
        <w:t xml:space="preserve"> </w:t>
      </w:r>
      <w:r w:rsidRPr="00BB6220">
        <w:t>that</w:t>
      </w:r>
      <w:r w:rsidR="003D640C">
        <w:t xml:space="preserve"> </w:t>
      </w:r>
      <w:r w:rsidRPr="00BB6220">
        <w:t>they</w:t>
      </w:r>
      <w:r w:rsidR="003D640C">
        <w:t xml:space="preserve"> </w:t>
      </w:r>
      <w:r w:rsidRPr="00BB6220">
        <w:t>are</w:t>
      </w:r>
      <w:r w:rsidR="003D640C">
        <w:t xml:space="preserve"> </w:t>
      </w:r>
      <w:r w:rsidRPr="00BB6220">
        <w:t>welcome</w:t>
      </w:r>
      <w:r w:rsidR="003D640C">
        <w:t xml:space="preserve"> </w:t>
      </w:r>
      <w:r w:rsidRPr="00BB6220">
        <w:t>or</w:t>
      </w:r>
      <w:r w:rsidR="003D640C">
        <w:t xml:space="preserve"> </w:t>
      </w:r>
      <w:r w:rsidRPr="00BB6220">
        <w:t>unwelcome?</w:t>
      </w:r>
      <w:r w:rsidR="003D640C">
        <w:t xml:space="preserve"> </w:t>
      </w:r>
      <w:r w:rsidRPr="00BB6220">
        <w:t>You</w:t>
      </w:r>
      <w:r w:rsidR="003D640C">
        <w:t xml:space="preserve"> </w:t>
      </w:r>
      <w:r w:rsidRPr="00BB6220">
        <w:t>may</w:t>
      </w:r>
      <w:r w:rsidR="003D640C">
        <w:t xml:space="preserve"> </w:t>
      </w:r>
      <w:r w:rsidRPr="00BB6220">
        <w:t>wish</w:t>
      </w:r>
      <w:r w:rsidR="003D640C">
        <w:t xml:space="preserve"> </w:t>
      </w:r>
      <w:r w:rsidRPr="00BB6220">
        <w:t>to</w:t>
      </w:r>
      <w:r w:rsidR="003D640C">
        <w:t xml:space="preserve"> </w:t>
      </w:r>
      <w:r w:rsidRPr="00BB6220">
        <w:t>consult</w:t>
      </w:r>
      <w:r w:rsidR="003D640C">
        <w:t xml:space="preserve"> </w:t>
      </w:r>
      <w:r w:rsidRPr="00BB6220">
        <w:t>someone</w:t>
      </w:r>
      <w:r w:rsidR="003D640C">
        <w:t xml:space="preserve"> </w:t>
      </w:r>
      <w:r w:rsidRPr="00BB6220">
        <w:t>from</w:t>
      </w:r>
      <w:r w:rsidR="003D640C">
        <w:t xml:space="preserve"> </w:t>
      </w:r>
      <w:r w:rsidRPr="00BB6220">
        <w:t>the</w:t>
      </w:r>
      <w:r w:rsidR="003D640C">
        <w:t xml:space="preserve"> </w:t>
      </w:r>
      <w:r w:rsidR="006C3CA0" w:rsidRPr="00BB6220">
        <w:t>Rainbow</w:t>
      </w:r>
      <w:r w:rsidR="003D640C">
        <w:t xml:space="preserve"> </w:t>
      </w:r>
      <w:r w:rsidRPr="00BB6220">
        <w:t>community</w:t>
      </w:r>
      <w:r w:rsidR="003D640C">
        <w:t xml:space="preserve"> </w:t>
      </w:r>
      <w:r w:rsidRPr="00BB6220">
        <w:t>about</w:t>
      </w:r>
      <w:r w:rsidR="003D640C">
        <w:t xml:space="preserve"> </w:t>
      </w:r>
      <w:r w:rsidRPr="00BB6220">
        <w:t>this.</w:t>
      </w:r>
      <w:r w:rsidR="003D640C">
        <w:t xml:space="preserve"> </w:t>
      </w:r>
    </w:p>
    <w:p w14:paraId="542B848B" w14:textId="7957A5A9" w:rsidR="00501068" w:rsidRDefault="00C643B6" w:rsidP="009B6B4C">
      <w:pPr>
        <w:pStyle w:val="Bullet"/>
      </w:pPr>
      <w:r>
        <w:rPr>
          <w:b/>
          <w:bCs/>
        </w:rPr>
        <w:t>Using v</w:t>
      </w:r>
      <w:r w:rsidR="00524EA2" w:rsidRPr="00BB6220">
        <w:rPr>
          <w:b/>
          <w:bCs/>
        </w:rPr>
        <w:t>isual</w:t>
      </w:r>
      <w:r w:rsidR="003D640C">
        <w:rPr>
          <w:b/>
          <w:bCs/>
        </w:rPr>
        <w:t xml:space="preserve"> </w:t>
      </w:r>
      <w:r w:rsidR="00524EA2" w:rsidRPr="00BB6220">
        <w:rPr>
          <w:b/>
          <w:bCs/>
        </w:rPr>
        <w:t>signs</w:t>
      </w:r>
      <w:r w:rsidR="003D640C">
        <w:rPr>
          <w:b/>
          <w:bCs/>
        </w:rPr>
        <w:t xml:space="preserve"> </w:t>
      </w:r>
      <w:r w:rsidR="00524EA2" w:rsidRPr="00BB6220">
        <w:rPr>
          <w:b/>
          <w:bCs/>
        </w:rPr>
        <w:t>of</w:t>
      </w:r>
      <w:r w:rsidR="003D640C">
        <w:rPr>
          <w:b/>
          <w:bCs/>
        </w:rPr>
        <w:t xml:space="preserve"> </w:t>
      </w:r>
      <w:r w:rsidR="00524EA2" w:rsidRPr="00BB6220">
        <w:rPr>
          <w:b/>
          <w:bCs/>
        </w:rPr>
        <w:t>affirmation</w:t>
      </w:r>
      <w:r w:rsidR="003D640C">
        <w:t xml:space="preserve"> </w:t>
      </w:r>
      <w:r w:rsidR="00524EA2" w:rsidRPr="00BB6220">
        <w:t>like</w:t>
      </w:r>
      <w:r w:rsidR="003D640C">
        <w:t xml:space="preserve"> </w:t>
      </w:r>
      <w:r w:rsidR="00524EA2" w:rsidRPr="00BB6220">
        <w:t>posters,</w:t>
      </w:r>
      <w:r w:rsidR="003D640C">
        <w:t xml:space="preserve"> </w:t>
      </w:r>
      <w:r w:rsidR="00524EA2" w:rsidRPr="00BB6220">
        <w:t>flags</w:t>
      </w:r>
      <w:r w:rsidR="101D3575" w:rsidRPr="00BB6220">
        <w:t>,</w:t>
      </w:r>
      <w:r w:rsidR="003D640C">
        <w:t xml:space="preserve"> </w:t>
      </w:r>
      <w:r w:rsidR="00524EA2" w:rsidRPr="00BB6220">
        <w:t>or</w:t>
      </w:r>
      <w:r w:rsidR="003D640C">
        <w:t xml:space="preserve"> </w:t>
      </w:r>
      <w:r w:rsidR="00524EA2" w:rsidRPr="00BB6220">
        <w:t>stickers</w:t>
      </w:r>
      <w:r w:rsidR="003D640C">
        <w:t xml:space="preserve"> </w:t>
      </w:r>
      <w:r w:rsidR="00524EA2" w:rsidRPr="00BB6220">
        <w:t>to</w:t>
      </w:r>
      <w:r w:rsidR="003D640C">
        <w:t xml:space="preserve"> </w:t>
      </w:r>
      <w:r w:rsidR="00524EA2" w:rsidRPr="00BB6220">
        <w:t>communicate</w:t>
      </w:r>
      <w:r w:rsidR="003D640C">
        <w:t xml:space="preserve"> </w:t>
      </w:r>
      <w:r w:rsidR="00524EA2" w:rsidRPr="00BB6220">
        <w:t>the</w:t>
      </w:r>
      <w:r w:rsidR="003D640C">
        <w:t xml:space="preserve"> </w:t>
      </w:r>
      <w:r w:rsidR="00524EA2" w:rsidRPr="00BB6220">
        <w:t>space</w:t>
      </w:r>
      <w:r w:rsidR="003D640C">
        <w:t xml:space="preserve"> </w:t>
      </w:r>
      <w:r w:rsidR="00524EA2" w:rsidRPr="00BB6220">
        <w:t>is</w:t>
      </w:r>
      <w:r w:rsidR="003D640C">
        <w:t xml:space="preserve"> </w:t>
      </w:r>
      <w:r w:rsidR="00524EA2" w:rsidRPr="00BB6220">
        <w:t>safe</w:t>
      </w:r>
      <w:r w:rsidR="003D640C">
        <w:t xml:space="preserve"> </w:t>
      </w:r>
      <w:r w:rsidR="00524EA2" w:rsidRPr="00BB6220">
        <w:t>and</w:t>
      </w:r>
      <w:r w:rsidR="003D640C">
        <w:t xml:space="preserve"> </w:t>
      </w:r>
      <w:r w:rsidR="00524EA2" w:rsidRPr="00BB6220">
        <w:t>welcoming</w:t>
      </w:r>
      <w:r w:rsidR="003D640C">
        <w:t xml:space="preserve"> </w:t>
      </w:r>
      <w:r w:rsidR="0064680A">
        <w:t>for</w:t>
      </w:r>
      <w:r w:rsidR="003D640C">
        <w:t xml:space="preserve"> </w:t>
      </w:r>
      <w:r w:rsidR="00524EA2" w:rsidRPr="00BB6220">
        <w:t>the</w:t>
      </w:r>
      <w:r w:rsidR="003D640C">
        <w:t xml:space="preserve"> </w:t>
      </w:r>
      <w:r w:rsidR="006C3CA0" w:rsidRPr="00BB6220">
        <w:t>Rainbow</w:t>
      </w:r>
      <w:r w:rsidR="003D640C">
        <w:t xml:space="preserve"> </w:t>
      </w:r>
      <w:r w:rsidR="00524EA2" w:rsidRPr="00BB6220">
        <w:t>community</w:t>
      </w:r>
      <w:r w:rsidR="003D640C">
        <w:t xml:space="preserve"> </w:t>
      </w:r>
      <w:r w:rsidR="66FB4FBD" w:rsidRPr="00BB6220">
        <w:t>is</w:t>
      </w:r>
      <w:r w:rsidR="003D640C">
        <w:t xml:space="preserve"> </w:t>
      </w:r>
      <w:r w:rsidR="00524EA2" w:rsidRPr="00BB6220">
        <w:t>a</w:t>
      </w:r>
      <w:r w:rsidR="003D640C">
        <w:t xml:space="preserve"> </w:t>
      </w:r>
      <w:r w:rsidR="00524EA2" w:rsidRPr="00BB6220">
        <w:t>simple</w:t>
      </w:r>
      <w:r w:rsidR="003D640C">
        <w:t xml:space="preserve"> </w:t>
      </w:r>
      <w:r w:rsidR="00524EA2" w:rsidRPr="00BB6220">
        <w:t>way</w:t>
      </w:r>
      <w:r w:rsidR="003D640C">
        <w:t xml:space="preserve"> </w:t>
      </w:r>
      <w:r w:rsidR="00524EA2" w:rsidRPr="00BB6220">
        <w:t>to</w:t>
      </w:r>
      <w:r w:rsidR="003D640C">
        <w:t xml:space="preserve"> </w:t>
      </w:r>
      <w:r w:rsidR="00524EA2" w:rsidRPr="00BB6220">
        <w:t>promote</w:t>
      </w:r>
      <w:r w:rsidR="003D640C">
        <w:t xml:space="preserve"> </w:t>
      </w:r>
      <w:r w:rsidR="00524EA2" w:rsidRPr="00BB6220">
        <w:t>inclusivity.</w:t>
      </w:r>
      <w:r w:rsidR="003D640C">
        <w:t xml:space="preserve"> </w:t>
      </w:r>
      <w:r w:rsidR="00524EA2" w:rsidRPr="00BB6220">
        <w:t>Consider</w:t>
      </w:r>
      <w:r w:rsidR="003D640C">
        <w:t xml:space="preserve"> </w:t>
      </w:r>
      <w:r w:rsidR="00524EA2" w:rsidRPr="00BB6220">
        <w:t>placing</w:t>
      </w:r>
      <w:r w:rsidR="003D640C">
        <w:t xml:space="preserve"> </w:t>
      </w:r>
      <w:r w:rsidR="00524EA2" w:rsidRPr="00BB6220">
        <w:t>a</w:t>
      </w:r>
      <w:r w:rsidR="003D640C">
        <w:t xml:space="preserve"> </w:t>
      </w:r>
      <w:r w:rsidR="00524EA2" w:rsidRPr="00BB6220">
        <w:t>small</w:t>
      </w:r>
      <w:r w:rsidR="003D640C">
        <w:t xml:space="preserve"> </w:t>
      </w:r>
      <w:r w:rsidR="0064680A">
        <w:t>P</w:t>
      </w:r>
      <w:r w:rsidR="00524EA2" w:rsidRPr="00BB6220">
        <w:t>ride</w:t>
      </w:r>
      <w:r w:rsidR="003D640C">
        <w:t xml:space="preserve"> </w:t>
      </w:r>
      <w:r w:rsidR="00524EA2" w:rsidRPr="00BB6220">
        <w:t>flag</w:t>
      </w:r>
      <w:r w:rsidR="003D640C">
        <w:t xml:space="preserve"> </w:t>
      </w:r>
      <w:r w:rsidR="00524EA2" w:rsidRPr="00BB6220">
        <w:t>or</w:t>
      </w:r>
      <w:r w:rsidR="003D640C">
        <w:t xml:space="preserve"> </w:t>
      </w:r>
      <w:r w:rsidR="00524EA2" w:rsidRPr="00BB6220">
        <w:t>poster</w:t>
      </w:r>
      <w:r w:rsidR="003D640C">
        <w:t xml:space="preserve"> </w:t>
      </w:r>
      <w:r w:rsidR="00524EA2" w:rsidRPr="00BB6220">
        <w:t>with</w:t>
      </w:r>
      <w:r w:rsidR="003D640C">
        <w:t xml:space="preserve"> </w:t>
      </w:r>
      <w:r w:rsidR="00524EA2" w:rsidRPr="00BB6220">
        <w:t>a</w:t>
      </w:r>
      <w:r w:rsidR="003D640C">
        <w:t xml:space="preserve"> </w:t>
      </w:r>
      <w:r w:rsidR="006C3CA0" w:rsidRPr="00BB6220">
        <w:t>Rainbow</w:t>
      </w:r>
      <w:r w:rsidR="0064680A">
        <w:t>-</w:t>
      </w:r>
      <w:r w:rsidR="00524EA2" w:rsidRPr="00BB6220">
        <w:t>affirming</w:t>
      </w:r>
      <w:r w:rsidR="003D640C">
        <w:t xml:space="preserve"> </w:t>
      </w:r>
      <w:r w:rsidR="00524EA2" w:rsidRPr="00BB6220">
        <w:t>message</w:t>
      </w:r>
      <w:r w:rsidR="003D640C">
        <w:t xml:space="preserve"> </w:t>
      </w:r>
      <w:r w:rsidR="00524EA2" w:rsidRPr="00BB6220">
        <w:t>in</w:t>
      </w:r>
      <w:r w:rsidR="003D640C">
        <w:t xml:space="preserve"> </w:t>
      </w:r>
      <w:r w:rsidR="00524EA2" w:rsidRPr="00BB6220">
        <w:t>a</w:t>
      </w:r>
      <w:r w:rsidR="003D640C">
        <w:t xml:space="preserve"> </w:t>
      </w:r>
      <w:r w:rsidR="00524EA2" w:rsidRPr="00BB6220">
        <w:t>common</w:t>
      </w:r>
      <w:r w:rsidR="003D640C">
        <w:t xml:space="preserve"> </w:t>
      </w:r>
      <w:r w:rsidR="00524EA2" w:rsidRPr="00BB6220">
        <w:t>area.</w:t>
      </w:r>
    </w:p>
    <w:p w14:paraId="291ECB09" w14:textId="66A9D6DA" w:rsidR="00501068" w:rsidRDefault="00524EA2" w:rsidP="009B6B4C">
      <w:pPr>
        <w:pStyle w:val="Bullet"/>
      </w:pPr>
      <w:r w:rsidRPr="00BB6220">
        <w:rPr>
          <w:b/>
          <w:bCs/>
        </w:rPr>
        <w:t>Review</w:t>
      </w:r>
      <w:r w:rsidR="003D640C">
        <w:rPr>
          <w:b/>
          <w:bCs/>
        </w:rPr>
        <w:t xml:space="preserve"> </w:t>
      </w:r>
      <w:r w:rsidRPr="00BB6220">
        <w:rPr>
          <w:b/>
          <w:bCs/>
        </w:rPr>
        <w:t>the</w:t>
      </w:r>
      <w:r w:rsidR="003D640C">
        <w:rPr>
          <w:b/>
          <w:bCs/>
        </w:rPr>
        <w:t xml:space="preserve"> </w:t>
      </w:r>
      <w:r w:rsidRPr="00BB6220">
        <w:rPr>
          <w:b/>
          <w:bCs/>
        </w:rPr>
        <w:t>layout</w:t>
      </w:r>
      <w:r w:rsidR="003D640C">
        <w:rPr>
          <w:b/>
          <w:bCs/>
        </w:rPr>
        <w:t xml:space="preserve"> </w:t>
      </w:r>
      <w:r w:rsidRPr="00BB6220">
        <w:rPr>
          <w:b/>
          <w:bCs/>
        </w:rPr>
        <w:t>of</w:t>
      </w:r>
      <w:r w:rsidR="003D640C">
        <w:rPr>
          <w:b/>
          <w:bCs/>
        </w:rPr>
        <w:t xml:space="preserve"> </w:t>
      </w:r>
      <w:r w:rsidRPr="00BB6220">
        <w:rPr>
          <w:b/>
          <w:bCs/>
        </w:rPr>
        <w:t>your</w:t>
      </w:r>
      <w:r w:rsidR="003D640C">
        <w:rPr>
          <w:b/>
          <w:bCs/>
        </w:rPr>
        <w:t xml:space="preserve"> </w:t>
      </w:r>
      <w:r w:rsidRPr="00BB6220">
        <w:rPr>
          <w:b/>
          <w:bCs/>
        </w:rPr>
        <w:t>bathrooms.</w:t>
      </w:r>
      <w:r w:rsidR="003D640C">
        <w:t xml:space="preserve"> </w:t>
      </w:r>
      <w:r w:rsidRPr="00BB6220">
        <w:t>Some</w:t>
      </w:r>
      <w:r w:rsidR="003D640C">
        <w:t xml:space="preserve"> </w:t>
      </w:r>
      <w:r w:rsidRPr="00BB6220">
        <w:t>transgender</w:t>
      </w:r>
      <w:r w:rsidR="003D640C">
        <w:t xml:space="preserve"> </w:t>
      </w:r>
      <w:r w:rsidRPr="00BB6220">
        <w:t>and</w:t>
      </w:r>
      <w:r w:rsidR="003D640C">
        <w:t xml:space="preserve"> </w:t>
      </w:r>
      <w:r w:rsidRPr="00BB6220">
        <w:t>non-binary</w:t>
      </w:r>
      <w:r w:rsidR="003D640C">
        <w:t xml:space="preserve"> </w:t>
      </w:r>
      <w:r w:rsidRPr="00BB6220">
        <w:t>people</w:t>
      </w:r>
      <w:r w:rsidR="003D640C">
        <w:t xml:space="preserve"> </w:t>
      </w:r>
      <w:r w:rsidRPr="00BB6220">
        <w:t>will</w:t>
      </w:r>
      <w:r w:rsidR="003D640C">
        <w:t xml:space="preserve"> </w:t>
      </w:r>
      <w:r w:rsidRPr="00BB6220">
        <w:t>access</w:t>
      </w:r>
      <w:r w:rsidR="003D640C">
        <w:t xml:space="preserve"> </w:t>
      </w:r>
      <w:r w:rsidRPr="00BB6220">
        <w:t>bathrooms</w:t>
      </w:r>
      <w:r w:rsidR="003D640C">
        <w:t xml:space="preserve"> </w:t>
      </w:r>
      <w:r w:rsidRPr="00BB6220">
        <w:t>that</w:t>
      </w:r>
      <w:r w:rsidR="003D640C">
        <w:t xml:space="preserve"> </w:t>
      </w:r>
      <w:r w:rsidRPr="00BB6220">
        <w:t>align</w:t>
      </w:r>
      <w:r w:rsidR="003D640C">
        <w:t xml:space="preserve"> </w:t>
      </w:r>
      <w:r w:rsidRPr="00BB6220">
        <w:t>with</w:t>
      </w:r>
      <w:r w:rsidR="003D640C">
        <w:t xml:space="preserve"> </w:t>
      </w:r>
      <w:r w:rsidRPr="00BB6220">
        <w:t>their</w:t>
      </w:r>
      <w:r w:rsidR="003D640C">
        <w:t xml:space="preserve"> </w:t>
      </w:r>
      <w:r w:rsidRPr="00BB6220">
        <w:t>gender,</w:t>
      </w:r>
      <w:r w:rsidR="003D640C">
        <w:t xml:space="preserve"> </w:t>
      </w:r>
      <w:r w:rsidRPr="00BB6220">
        <w:t>while</w:t>
      </w:r>
      <w:r w:rsidR="003D640C">
        <w:t xml:space="preserve"> </w:t>
      </w:r>
      <w:r w:rsidRPr="00BB6220">
        <w:t>others</w:t>
      </w:r>
      <w:r w:rsidR="003D640C">
        <w:t xml:space="preserve"> </w:t>
      </w:r>
      <w:r w:rsidRPr="00BB6220">
        <w:t>need</w:t>
      </w:r>
      <w:r w:rsidR="003D640C">
        <w:t xml:space="preserve"> </w:t>
      </w:r>
      <w:r w:rsidRPr="00BB6220">
        <w:t>to</w:t>
      </w:r>
      <w:r w:rsidR="003D640C">
        <w:t xml:space="preserve"> </w:t>
      </w:r>
      <w:r w:rsidRPr="00BB6220">
        <w:t>use</w:t>
      </w:r>
      <w:r w:rsidR="003D640C">
        <w:t xml:space="preserve"> </w:t>
      </w:r>
      <w:r w:rsidRPr="00BB6220">
        <w:t>gender-neutral</w:t>
      </w:r>
      <w:r w:rsidR="003D640C">
        <w:t xml:space="preserve"> </w:t>
      </w:r>
      <w:r w:rsidRPr="00BB6220">
        <w:t>facilities.</w:t>
      </w:r>
      <w:r w:rsidR="003D640C">
        <w:t xml:space="preserve"> </w:t>
      </w:r>
      <w:r w:rsidR="00CA7EB6">
        <w:t>Providing</w:t>
      </w:r>
      <w:r w:rsidR="003D640C">
        <w:t xml:space="preserve"> </w:t>
      </w:r>
      <w:r w:rsidR="00CA7EB6">
        <w:t>gender</w:t>
      </w:r>
      <w:r w:rsidR="00CE1F6A">
        <w:t>-</w:t>
      </w:r>
      <w:r w:rsidR="00CA7EB6">
        <w:t>neutral</w:t>
      </w:r>
      <w:r w:rsidR="003D640C">
        <w:t xml:space="preserve"> </w:t>
      </w:r>
      <w:r w:rsidR="00CA7EB6">
        <w:t>bathroom</w:t>
      </w:r>
      <w:r w:rsidR="003D640C">
        <w:t xml:space="preserve"> </w:t>
      </w:r>
      <w:r w:rsidR="00CA7EB6">
        <w:t>options</w:t>
      </w:r>
      <w:r w:rsidR="003D640C">
        <w:t xml:space="preserve"> </w:t>
      </w:r>
      <w:r w:rsidRPr="00BB6220">
        <w:t>supports</w:t>
      </w:r>
      <w:r w:rsidR="003D640C">
        <w:t xml:space="preserve"> </w:t>
      </w:r>
      <w:r w:rsidRPr="00BB6220">
        <w:t>transgender</w:t>
      </w:r>
      <w:r w:rsidR="003D640C">
        <w:t xml:space="preserve"> </w:t>
      </w:r>
      <w:r w:rsidRPr="00BB6220">
        <w:t>and</w:t>
      </w:r>
      <w:r w:rsidR="003D640C">
        <w:t xml:space="preserve"> </w:t>
      </w:r>
      <w:r w:rsidRPr="00BB6220">
        <w:t>non-binary</w:t>
      </w:r>
      <w:r w:rsidR="003D640C">
        <w:t xml:space="preserve"> </w:t>
      </w:r>
      <w:r w:rsidRPr="00BB6220">
        <w:t>people</w:t>
      </w:r>
      <w:r w:rsidR="003D640C">
        <w:t xml:space="preserve"> </w:t>
      </w:r>
      <w:r w:rsidRPr="00BB6220">
        <w:t>to</w:t>
      </w:r>
      <w:r w:rsidR="003D640C">
        <w:t xml:space="preserve"> </w:t>
      </w:r>
      <w:r w:rsidRPr="00BB6220">
        <w:t>safely</w:t>
      </w:r>
      <w:r w:rsidR="003D640C">
        <w:t xml:space="preserve"> </w:t>
      </w:r>
      <w:r w:rsidRPr="00BB6220">
        <w:t>access</w:t>
      </w:r>
      <w:r w:rsidR="003D640C">
        <w:t xml:space="preserve"> </w:t>
      </w:r>
      <w:r w:rsidRPr="00BB6220">
        <w:t>these</w:t>
      </w:r>
      <w:r w:rsidR="003D640C">
        <w:t xml:space="preserve"> </w:t>
      </w:r>
      <w:r w:rsidRPr="00BB6220">
        <w:t>facilities.</w:t>
      </w:r>
      <w:r w:rsidR="003D640C">
        <w:t xml:space="preserve"> </w:t>
      </w:r>
      <w:r w:rsidRPr="00BB6220">
        <w:t>What</w:t>
      </w:r>
      <w:r w:rsidR="003D640C">
        <w:t xml:space="preserve"> </w:t>
      </w:r>
      <w:r w:rsidRPr="00BB6220">
        <w:t>this</w:t>
      </w:r>
      <w:r w:rsidR="003D640C">
        <w:t xml:space="preserve"> </w:t>
      </w:r>
      <w:r w:rsidRPr="00BB6220">
        <w:t>looks</w:t>
      </w:r>
      <w:r w:rsidR="003D640C">
        <w:t xml:space="preserve"> </w:t>
      </w:r>
      <w:r w:rsidRPr="00BB6220">
        <w:t>like</w:t>
      </w:r>
      <w:r w:rsidR="003D640C">
        <w:t xml:space="preserve"> </w:t>
      </w:r>
      <w:r w:rsidRPr="00BB6220">
        <w:t>will</w:t>
      </w:r>
      <w:r w:rsidR="003D640C">
        <w:t xml:space="preserve"> </w:t>
      </w:r>
      <w:r w:rsidRPr="00BB6220">
        <w:t>differ</w:t>
      </w:r>
      <w:r w:rsidR="003D640C">
        <w:t xml:space="preserve"> </w:t>
      </w:r>
      <w:r w:rsidRPr="00BB6220">
        <w:t>in</w:t>
      </w:r>
      <w:r w:rsidR="003D640C">
        <w:t xml:space="preserve"> </w:t>
      </w:r>
      <w:r w:rsidRPr="00BB6220">
        <w:t>every</w:t>
      </w:r>
      <w:r w:rsidR="003D640C">
        <w:t xml:space="preserve"> </w:t>
      </w:r>
      <w:r w:rsidRPr="00BB6220">
        <w:t>space</w:t>
      </w:r>
      <w:r w:rsidR="003D640C">
        <w:t xml:space="preserve"> </w:t>
      </w:r>
      <w:r w:rsidR="0064680A">
        <w:t>–</w:t>
      </w:r>
      <w:r w:rsidR="003D640C">
        <w:t xml:space="preserve"> </w:t>
      </w:r>
      <w:r w:rsidRPr="00BB6220">
        <w:t>the</w:t>
      </w:r>
      <w:r w:rsidR="003D640C">
        <w:t xml:space="preserve"> </w:t>
      </w:r>
      <w:r w:rsidRPr="00BB6220">
        <w:t>input</w:t>
      </w:r>
      <w:r w:rsidR="003D640C">
        <w:t xml:space="preserve"> </w:t>
      </w:r>
      <w:r w:rsidR="003917B9">
        <w:t>from</w:t>
      </w:r>
      <w:r w:rsidR="003D640C">
        <w:t xml:space="preserve"> </w:t>
      </w:r>
      <w:r w:rsidRPr="00BB6220">
        <w:t>someone</w:t>
      </w:r>
      <w:r w:rsidR="003D640C">
        <w:t xml:space="preserve"> </w:t>
      </w:r>
      <w:r w:rsidR="003917B9">
        <w:t>in</w:t>
      </w:r>
      <w:r w:rsidR="003D640C">
        <w:t xml:space="preserve"> </w:t>
      </w:r>
      <w:r w:rsidRPr="00BB6220">
        <w:t>the</w:t>
      </w:r>
      <w:r w:rsidR="003D640C">
        <w:t xml:space="preserve"> </w:t>
      </w:r>
      <w:r w:rsidRPr="00BB6220">
        <w:t>community</w:t>
      </w:r>
      <w:r w:rsidR="003D640C">
        <w:t xml:space="preserve"> </w:t>
      </w:r>
      <w:r w:rsidRPr="00BB6220">
        <w:t>can</w:t>
      </w:r>
      <w:r w:rsidR="003D640C">
        <w:t xml:space="preserve"> </w:t>
      </w:r>
      <w:r w:rsidRPr="00BB6220">
        <w:t>be</w:t>
      </w:r>
      <w:r w:rsidR="003D640C">
        <w:t xml:space="preserve"> </w:t>
      </w:r>
      <w:r w:rsidRPr="00BB6220">
        <w:t>valuable</w:t>
      </w:r>
      <w:r w:rsidR="003D640C">
        <w:t xml:space="preserve"> </w:t>
      </w:r>
      <w:r w:rsidRPr="00BB6220">
        <w:t>here.</w:t>
      </w:r>
      <w:r w:rsidR="003D640C">
        <w:t xml:space="preserve"> </w:t>
      </w:r>
    </w:p>
    <w:p w14:paraId="037EFD5E" w14:textId="77777777" w:rsidR="00501068" w:rsidRDefault="00524EA2" w:rsidP="009B6B4C">
      <w:pPr>
        <w:pStyle w:val="Bullet"/>
      </w:pPr>
      <w:r w:rsidRPr="00BB6220">
        <w:rPr>
          <w:b/>
          <w:bCs/>
        </w:rPr>
        <w:t>Check</w:t>
      </w:r>
      <w:r w:rsidR="003D640C">
        <w:rPr>
          <w:b/>
          <w:bCs/>
        </w:rPr>
        <w:t xml:space="preserve"> </w:t>
      </w:r>
      <w:r w:rsidRPr="00BB6220">
        <w:rPr>
          <w:b/>
          <w:bCs/>
        </w:rPr>
        <w:t>your</w:t>
      </w:r>
      <w:r w:rsidR="003D640C">
        <w:rPr>
          <w:b/>
          <w:bCs/>
        </w:rPr>
        <w:t xml:space="preserve"> </w:t>
      </w:r>
      <w:r w:rsidRPr="00BB6220">
        <w:rPr>
          <w:b/>
          <w:bCs/>
        </w:rPr>
        <w:t>faith</w:t>
      </w:r>
      <w:r w:rsidR="003D640C">
        <w:rPr>
          <w:b/>
          <w:bCs/>
        </w:rPr>
        <w:t xml:space="preserve"> </w:t>
      </w:r>
      <w:r w:rsidRPr="00BB6220">
        <w:rPr>
          <w:b/>
          <w:bCs/>
        </w:rPr>
        <w:t>community’s</w:t>
      </w:r>
      <w:r w:rsidR="003D640C">
        <w:rPr>
          <w:b/>
          <w:bCs/>
        </w:rPr>
        <w:t xml:space="preserve"> </w:t>
      </w:r>
      <w:r w:rsidRPr="00BB6220">
        <w:rPr>
          <w:b/>
          <w:bCs/>
        </w:rPr>
        <w:t>online</w:t>
      </w:r>
      <w:r w:rsidR="003D640C">
        <w:rPr>
          <w:b/>
          <w:bCs/>
        </w:rPr>
        <w:t xml:space="preserve"> </w:t>
      </w:r>
      <w:r w:rsidRPr="00BB6220">
        <w:rPr>
          <w:b/>
          <w:bCs/>
        </w:rPr>
        <w:t>presence</w:t>
      </w:r>
      <w:r w:rsidRPr="00BB6220">
        <w:t>.</w:t>
      </w:r>
      <w:r w:rsidR="003D640C">
        <w:t xml:space="preserve"> </w:t>
      </w:r>
      <w:r w:rsidRPr="00BB6220">
        <w:t>Your</w:t>
      </w:r>
      <w:r w:rsidR="003D640C">
        <w:t xml:space="preserve"> </w:t>
      </w:r>
      <w:r w:rsidRPr="00BB6220">
        <w:t>website</w:t>
      </w:r>
      <w:r w:rsidR="003D640C">
        <w:t xml:space="preserve"> </w:t>
      </w:r>
      <w:r w:rsidRPr="00BB6220">
        <w:t>and</w:t>
      </w:r>
      <w:r w:rsidR="003D640C">
        <w:t xml:space="preserve"> </w:t>
      </w:r>
      <w:r w:rsidRPr="00BB6220">
        <w:t>social</w:t>
      </w:r>
      <w:r w:rsidR="003D640C">
        <w:t xml:space="preserve"> </w:t>
      </w:r>
      <w:r w:rsidRPr="00BB6220">
        <w:t>media</w:t>
      </w:r>
      <w:r w:rsidR="003D640C">
        <w:t xml:space="preserve"> </w:t>
      </w:r>
      <w:r w:rsidRPr="00BB6220">
        <w:t>pages</w:t>
      </w:r>
      <w:r w:rsidR="003D640C">
        <w:t xml:space="preserve"> </w:t>
      </w:r>
      <w:r w:rsidRPr="00BB6220">
        <w:t>provide</w:t>
      </w:r>
      <w:r w:rsidR="003D640C">
        <w:t xml:space="preserve"> </w:t>
      </w:r>
      <w:r w:rsidRPr="00BB6220">
        <w:t>great</w:t>
      </w:r>
      <w:r w:rsidR="003D640C">
        <w:t xml:space="preserve"> </w:t>
      </w:r>
      <w:r w:rsidRPr="00BB6220">
        <w:t>opportunities</w:t>
      </w:r>
      <w:r w:rsidR="003D640C">
        <w:t xml:space="preserve"> </w:t>
      </w:r>
      <w:r w:rsidRPr="00BB6220">
        <w:t>to</w:t>
      </w:r>
      <w:r w:rsidR="003D640C">
        <w:t xml:space="preserve"> </w:t>
      </w:r>
      <w:r w:rsidRPr="00BB6220">
        <w:t>be</w:t>
      </w:r>
      <w:r w:rsidR="003D640C">
        <w:t xml:space="preserve"> </w:t>
      </w:r>
      <w:r w:rsidRPr="00BB6220">
        <w:t>transparent</w:t>
      </w:r>
      <w:r w:rsidR="003D640C">
        <w:t xml:space="preserve"> </w:t>
      </w:r>
      <w:r w:rsidRPr="00BB6220">
        <w:t>about</w:t>
      </w:r>
      <w:r w:rsidR="003D640C">
        <w:t xml:space="preserve"> </w:t>
      </w:r>
      <w:r w:rsidRPr="00BB6220">
        <w:t>your</w:t>
      </w:r>
      <w:r w:rsidR="003D640C">
        <w:t xml:space="preserve"> </w:t>
      </w:r>
      <w:r w:rsidRPr="00BB6220">
        <w:t>journey</w:t>
      </w:r>
      <w:r w:rsidR="003D640C">
        <w:t xml:space="preserve"> </w:t>
      </w:r>
      <w:r w:rsidRPr="00BB6220">
        <w:t>to</w:t>
      </w:r>
      <w:r w:rsidR="003D640C">
        <w:t xml:space="preserve"> </w:t>
      </w:r>
      <w:r w:rsidRPr="00BB6220">
        <w:t>affirm</w:t>
      </w:r>
      <w:r w:rsidR="003D640C">
        <w:t xml:space="preserve"> </w:t>
      </w:r>
      <w:r w:rsidR="006C3CA0" w:rsidRPr="00BB6220">
        <w:t>Rainbow</w:t>
      </w:r>
      <w:r w:rsidR="003D640C">
        <w:t xml:space="preserve"> </w:t>
      </w:r>
      <w:r w:rsidRPr="00BB6220">
        <w:t>people</w:t>
      </w:r>
      <w:r w:rsidR="003D640C">
        <w:t xml:space="preserve"> </w:t>
      </w:r>
      <w:r w:rsidRPr="00BB6220">
        <w:t>and</w:t>
      </w:r>
      <w:r w:rsidR="003D640C">
        <w:t xml:space="preserve"> </w:t>
      </w:r>
      <w:r w:rsidRPr="00BB6220">
        <w:t>give</w:t>
      </w:r>
      <w:r w:rsidR="003D640C">
        <w:t xml:space="preserve"> </w:t>
      </w:r>
      <w:r w:rsidRPr="00BB6220">
        <w:t>assurance</w:t>
      </w:r>
      <w:r w:rsidR="003D640C">
        <w:t xml:space="preserve"> </w:t>
      </w:r>
      <w:r w:rsidRPr="00BB6220">
        <w:t>to</w:t>
      </w:r>
      <w:r w:rsidR="003D640C">
        <w:t xml:space="preserve"> </w:t>
      </w:r>
      <w:r w:rsidRPr="00BB6220">
        <w:t>any</w:t>
      </w:r>
      <w:r w:rsidR="003D640C">
        <w:t xml:space="preserve"> </w:t>
      </w:r>
      <w:r w:rsidRPr="00BB6220">
        <w:t>new</w:t>
      </w:r>
      <w:r w:rsidR="003D640C">
        <w:t xml:space="preserve"> </w:t>
      </w:r>
      <w:r w:rsidRPr="00BB6220">
        <w:t>members</w:t>
      </w:r>
      <w:r w:rsidR="003D640C">
        <w:t xml:space="preserve"> </w:t>
      </w:r>
      <w:r w:rsidRPr="00BB6220">
        <w:t>seeking</w:t>
      </w:r>
      <w:r w:rsidR="003D640C">
        <w:t xml:space="preserve"> </w:t>
      </w:r>
      <w:r w:rsidRPr="00BB6220">
        <w:t>information.</w:t>
      </w:r>
    </w:p>
    <w:p w14:paraId="2C7D44B8" w14:textId="1D5FE91F" w:rsidR="00524EA2" w:rsidRPr="00BB6220" w:rsidRDefault="00524EA2" w:rsidP="002C6363">
      <w:pPr>
        <w:pStyle w:val="Heading3"/>
      </w:pPr>
      <w:bookmarkStart w:id="402" w:name="_Toc138771248"/>
      <w:bookmarkStart w:id="403" w:name="_Toc167780645"/>
      <w:bookmarkStart w:id="404" w:name="_Toc1757374466"/>
      <w:bookmarkStart w:id="405" w:name="_Toc174628707"/>
      <w:r w:rsidRPr="00BB6220">
        <w:t>What</w:t>
      </w:r>
      <w:r w:rsidR="003D640C">
        <w:t xml:space="preserve"> </w:t>
      </w:r>
      <w:r w:rsidRPr="00BB6220">
        <w:t>about</w:t>
      </w:r>
      <w:r w:rsidR="003D640C">
        <w:t xml:space="preserve"> </w:t>
      </w:r>
      <w:r w:rsidRPr="00BB6220">
        <w:t>sacred</w:t>
      </w:r>
      <w:r w:rsidR="003D640C">
        <w:t xml:space="preserve"> </w:t>
      </w:r>
      <w:r w:rsidRPr="00BB6220">
        <w:t>texts</w:t>
      </w:r>
      <w:bookmarkEnd w:id="402"/>
      <w:r w:rsidR="0064680A">
        <w:t>?</w:t>
      </w:r>
      <w:bookmarkEnd w:id="403"/>
      <w:bookmarkEnd w:id="404"/>
      <w:bookmarkEnd w:id="405"/>
    </w:p>
    <w:p w14:paraId="5CC214D8" w14:textId="3953BF75" w:rsidR="00524EA2" w:rsidRPr="00BB6220" w:rsidRDefault="00524EA2" w:rsidP="009B6B4C">
      <w:r w:rsidRPr="00BB6220">
        <w:t>Becoming</w:t>
      </w:r>
      <w:r w:rsidR="003D640C">
        <w:t xml:space="preserve"> </w:t>
      </w:r>
      <w:r w:rsidRPr="00BB6220">
        <w:t>an</w:t>
      </w:r>
      <w:r w:rsidR="003D640C">
        <w:t xml:space="preserve"> </w:t>
      </w:r>
      <w:r w:rsidRPr="00BB6220">
        <w:t>accepting</w:t>
      </w:r>
      <w:r w:rsidR="003D640C">
        <w:t xml:space="preserve"> </w:t>
      </w:r>
      <w:r w:rsidRPr="00BB6220">
        <w:t>and</w:t>
      </w:r>
      <w:r w:rsidR="003D640C">
        <w:t xml:space="preserve"> </w:t>
      </w:r>
      <w:r w:rsidRPr="00BB6220">
        <w:t>inclusive</w:t>
      </w:r>
      <w:r w:rsidR="003D640C">
        <w:t xml:space="preserve"> </w:t>
      </w:r>
      <w:r w:rsidRPr="00BB6220">
        <w:t>church</w:t>
      </w:r>
      <w:r w:rsidR="003D640C">
        <w:t xml:space="preserve"> </w:t>
      </w:r>
      <w:r w:rsidRPr="00BB6220">
        <w:t>does</w:t>
      </w:r>
      <w:r w:rsidR="003D640C">
        <w:t xml:space="preserve"> </w:t>
      </w:r>
      <w:r w:rsidRPr="00BB6220">
        <w:t>not</w:t>
      </w:r>
      <w:r w:rsidR="003D640C">
        <w:t xml:space="preserve"> </w:t>
      </w:r>
      <w:r w:rsidR="00BA4EF9">
        <w:t>necessarily</w:t>
      </w:r>
      <w:r w:rsidR="003D640C">
        <w:t xml:space="preserve"> </w:t>
      </w:r>
      <w:r w:rsidRPr="00BB6220">
        <w:t>mean</w:t>
      </w:r>
      <w:r w:rsidR="003D640C">
        <w:t xml:space="preserve"> </w:t>
      </w:r>
      <w:r w:rsidRPr="00BB6220">
        <w:t>putting</w:t>
      </w:r>
      <w:r w:rsidR="003D640C">
        <w:t xml:space="preserve"> </w:t>
      </w:r>
      <w:r w:rsidRPr="00BB6220">
        <w:t>aside</w:t>
      </w:r>
      <w:r w:rsidR="003D640C">
        <w:t xml:space="preserve"> </w:t>
      </w:r>
      <w:r w:rsidRPr="00BB6220">
        <w:t>traditional</w:t>
      </w:r>
      <w:r w:rsidR="003D640C">
        <w:t xml:space="preserve"> </w:t>
      </w:r>
      <w:r w:rsidRPr="00BB6220">
        <w:t>religious</w:t>
      </w:r>
      <w:r w:rsidR="003D640C">
        <w:t xml:space="preserve"> </w:t>
      </w:r>
      <w:r w:rsidRPr="00BB6220">
        <w:t>texts</w:t>
      </w:r>
      <w:r w:rsidR="003D640C">
        <w:t xml:space="preserve"> </w:t>
      </w:r>
      <w:r w:rsidRPr="00BB6220">
        <w:t>or</w:t>
      </w:r>
      <w:r w:rsidR="003D640C">
        <w:t xml:space="preserve"> </w:t>
      </w:r>
      <w:r w:rsidRPr="00BB6220">
        <w:t>changing</w:t>
      </w:r>
      <w:r w:rsidR="003D640C">
        <w:t xml:space="preserve"> </w:t>
      </w:r>
      <w:r w:rsidRPr="00BB6220">
        <w:t>your</w:t>
      </w:r>
      <w:r w:rsidR="003D640C">
        <w:t xml:space="preserve"> </w:t>
      </w:r>
      <w:r w:rsidRPr="00BB6220">
        <w:t>view</w:t>
      </w:r>
      <w:r w:rsidR="003D640C">
        <w:t xml:space="preserve"> </w:t>
      </w:r>
      <w:r w:rsidRPr="00BB6220">
        <w:t>on</w:t>
      </w:r>
      <w:r w:rsidR="003D640C">
        <w:t xml:space="preserve"> </w:t>
      </w:r>
      <w:r w:rsidRPr="00BB6220">
        <w:t>the</w:t>
      </w:r>
      <w:r w:rsidR="003D640C">
        <w:t xml:space="preserve"> </w:t>
      </w:r>
      <w:r w:rsidRPr="00BB6220">
        <w:t>authority</w:t>
      </w:r>
      <w:r w:rsidR="003D640C">
        <w:t xml:space="preserve"> </w:t>
      </w:r>
      <w:r w:rsidRPr="00BB6220">
        <w:t>of</w:t>
      </w:r>
      <w:r w:rsidR="003D640C">
        <w:t xml:space="preserve"> </w:t>
      </w:r>
      <w:r w:rsidRPr="00BB6220">
        <w:t>these</w:t>
      </w:r>
      <w:r w:rsidR="003D640C">
        <w:t xml:space="preserve"> </w:t>
      </w:r>
      <w:r w:rsidRPr="00BB6220">
        <w:t>texts</w:t>
      </w:r>
      <w:r w:rsidR="003D640C">
        <w:t xml:space="preserve"> </w:t>
      </w:r>
      <w:r w:rsidRPr="00BB6220">
        <w:t>in</w:t>
      </w:r>
      <w:r w:rsidR="003D640C">
        <w:t xml:space="preserve"> </w:t>
      </w:r>
      <w:r w:rsidRPr="00BB6220">
        <w:t>the</w:t>
      </w:r>
      <w:r w:rsidR="003D640C">
        <w:t xml:space="preserve"> </w:t>
      </w:r>
      <w:r w:rsidRPr="00BB6220">
        <w:t>life</w:t>
      </w:r>
      <w:r w:rsidR="003D640C">
        <w:t xml:space="preserve"> </w:t>
      </w:r>
      <w:r w:rsidRPr="00BB6220">
        <w:t>of</w:t>
      </w:r>
      <w:r w:rsidR="003D640C">
        <w:t xml:space="preserve"> </w:t>
      </w:r>
      <w:r w:rsidRPr="00BB6220">
        <w:t>your</w:t>
      </w:r>
      <w:r w:rsidR="003D640C">
        <w:t xml:space="preserve"> </w:t>
      </w:r>
      <w:r w:rsidRPr="00BB6220">
        <w:t>community.</w:t>
      </w:r>
      <w:r w:rsidR="003D640C">
        <w:t xml:space="preserve"> </w:t>
      </w:r>
    </w:p>
    <w:p w14:paraId="2F813DD1" w14:textId="6CB268AC" w:rsidR="00501068" w:rsidRDefault="008307BE" w:rsidP="009B6B4C">
      <w:r>
        <w:t>For</w:t>
      </w:r>
      <w:r w:rsidR="003D640C">
        <w:t xml:space="preserve"> </w:t>
      </w:r>
      <w:r>
        <w:t>example,</w:t>
      </w:r>
      <w:r w:rsidR="003D640C">
        <w:t xml:space="preserve"> </w:t>
      </w:r>
      <w:r>
        <w:t>theologians</w:t>
      </w:r>
      <w:r w:rsidR="003D640C">
        <w:t xml:space="preserve"> </w:t>
      </w:r>
      <w:r>
        <w:t>and</w:t>
      </w:r>
      <w:r w:rsidR="003D640C">
        <w:t xml:space="preserve"> </w:t>
      </w:r>
      <w:r>
        <w:t>others</w:t>
      </w:r>
      <w:r w:rsidR="003D640C">
        <w:t xml:space="preserve"> </w:t>
      </w:r>
      <w:r>
        <w:t>who</w:t>
      </w:r>
      <w:r w:rsidR="003D640C">
        <w:t xml:space="preserve"> </w:t>
      </w:r>
      <w:r>
        <w:t>advocate</w:t>
      </w:r>
      <w:r w:rsidR="003D640C">
        <w:t xml:space="preserve"> </w:t>
      </w:r>
      <w:r>
        <w:t>for</w:t>
      </w:r>
      <w:r w:rsidR="003D640C">
        <w:t xml:space="preserve"> </w:t>
      </w:r>
      <w:r>
        <w:t>an</w:t>
      </w:r>
      <w:r w:rsidR="003D640C">
        <w:t xml:space="preserve"> </w:t>
      </w:r>
      <w:r>
        <w:t>inclusive</w:t>
      </w:r>
      <w:r w:rsidR="003D640C">
        <w:t xml:space="preserve"> </w:t>
      </w:r>
      <w:r>
        <w:t>interpretation</w:t>
      </w:r>
      <w:r w:rsidR="003D640C">
        <w:t xml:space="preserve"> </w:t>
      </w:r>
      <w:r>
        <w:t>of</w:t>
      </w:r>
      <w:r w:rsidR="003D640C">
        <w:t xml:space="preserve"> </w:t>
      </w:r>
      <w:r>
        <w:t>scripture</w:t>
      </w:r>
      <w:r w:rsidR="003D640C">
        <w:t xml:space="preserve"> </w:t>
      </w:r>
      <w:r>
        <w:t>often</w:t>
      </w:r>
      <w:r w:rsidR="003D640C">
        <w:t xml:space="preserve"> </w:t>
      </w:r>
      <w:r>
        <w:t>refer</w:t>
      </w:r>
      <w:r w:rsidR="003D640C">
        <w:t xml:space="preserve"> </w:t>
      </w:r>
      <w:r>
        <w:t>to</w:t>
      </w:r>
      <w:r w:rsidR="003D640C">
        <w:t xml:space="preserve"> </w:t>
      </w:r>
      <w:r>
        <w:t>six</w:t>
      </w:r>
      <w:r w:rsidR="003D640C">
        <w:t xml:space="preserve"> </w:t>
      </w:r>
      <w:r>
        <w:t>well-known</w:t>
      </w:r>
      <w:r w:rsidR="003D640C">
        <w:t xml:space="preserve"> </w:t>
      </w:r>
      <w:r>
        <w:t>Bible</w:t>
      </w:r>
      <w:r w:rsidR="003D640C">
        <w:t xml:space="preserve"> </w:t>
      </w:r>
      <w:r>
        <w:t>verses</w:t>
      </w:r>
      <w:r w:rsidR="003D640C">
        <w:t xml:space="preserve"> </w:t>
      </w:r>
      <w:r>
        <w:t>used</w:t>
      </w:r>
      <w:r w:rsidR="003D640C">
        <w:t xml:space="preserve"> </w:t>
      </w:r>
      <w:r>
        <w:t>against</w:t>
      </w:r>
      <w:r w:rsidR="003D640C">
        <w:t xml:space="preserve"> </w:t>
      </w:r>
      <w:r>
        <w:t>homosexuality</w:t>
      </w:r>
      <w:r w:rsidR="003D640C">
        <w:t xml:space="preserve"> </w:t>
      </w:r>
      <w:r>
        <w:t>as</w:t>
      </w:r>
      <w:r w:rsidR="003D640C">
        <w:t xml:space="preserve"> </w:t>
      </w:r>
      <w:r>
        <w:t>‘clobber</w:t>
      </w:r>
      <w:r w:rsidR="003D640C">
        <w:t xml:space="preserve"> </w:t>
      </w:r>
      <w:r>
        <w:t>verses</w:t>
      </w:r>
      <w:r w:rsidR="003D640C">
        <w:t xml:space="preserve"> </w:t>
      </w:r>
      <w:r>
        <w:t>or</w:t>
      </w:r>
      <w:r w:rsidR="003D640C">
        <w:t xml:space="preserve"> </w:t>
      </w:r>
      <w:r>
        <w:t>passages’</w:t>
      </w:r>
      <w:r w:rsidR="00C6139F">
        <w:t>.</w:t>
      </w:r>
      <w:r w:rsidR="003D640C">
        <w:t xml:space="preserve"> </w:t>
      </w:r>
      <w:r>
        <w:t>Many</w:t>
      </w:r>
      <w:r w:rsidR="003D640C">
        <w:t xml:space="preserve"> </w:t>
      </w:r>
      <w:r>
        <w:t>posit</w:t>
      </w:r>
      <w:r w:rsidR="003D640C">
        <w:t xml:space="preserve"> </w:t>
      </w:r>
      <w:r>
        <w:t>that</w:t>
      </w:r>
      <w:r w:rsidR="003D640C">
        <w:t xml:space="preserve"> </w:t>
      </w:r>
      <w:r>
        <w:t>these</w:t>
      </w:r>
      <w:r w:rsidR="003D640C">
        <w:t xml:space="preserve"> </w:t>
      </w:r>
      <w:r>
        <w:t>few</w:t>
      </w:r>
      <w:r w:rsidR="003D640C">
        <w:t xml:space="preserve"> </w:t>
      </w:r>
      <w:r>
        <w:t>verses</w:t>
      </w:r>
      <w:r w:rsidR="003D640C">
        <w:t xml:space="preserve"> </w:t>
      </w:r>
      <w:r>
        <w:t>have</w:t>
      </w:r>
      <w:r w:rsidR="003D640C">
        <w:t xml:space="preserve"> </w:t>
      </w:r>
      <w:r>
        <w:t>been</w:t>
      </w:r>
      <w:r w:rsidR="003D640C">
        <w:t xml:space="preserve"> </w:t>
      </w:r>
      <w:r w:rsidR="00E218C0">
        <w:t>weaponised</w:t>
      </w:r>
      <w:r w:rsidR="003D640C">
        <w:t xml:space="preserve"> </w:t>
      </w:r>
      <w:r>
        <w:t>to</w:t>
      </w:r>
      <w:r w:rsidR="003D640C">
        <w:t xml:space="preserve"> </w:t>
      </w:r>
      <w:r>
        <w:t>justify</w:t>
      </w:r>
      <w:r w:rsidR="003D640C">
        <w:t xml:space="preserve"> </w:t>
      </w:r>
      <w:r>
        <w:t>discrimination</w:t>
      </w:r>
      <w:r w:rsidR="003D640C">
        <w:t xml:space="preserve"> </w:t>
      </w:r>
      <w:r>
        <w:t>and</w:t>
      </w:r>
      <w:r w:rsidR="003D640C">
        <w:t xml:space="preserve"> </w:t>
      </w:r>
      <w:r>
        <w:t>exclusionary</w:t>
      </w:r>
      <w:r w:rsidR="003D640C">
        <w:t xml:space="preserve"> </w:t>
      </w:r>
      <w:r>
        <w:t>treatment</w:t>
      </w:r>
      <w:r w:rsidR="003D640C">
        <w:t xml:space="preserve"> </w:t>
      </w:r>
      <w:r>
        <w:t>of</w:t>
      </w:r>
      <w:r w:rsidR="003D640C">
        <w:t xml:space="preserve"> </w:t>
      </w:r>
      <w:r>
        <w:t>Rainbow</w:t>
      </w:r>
      <w:r w:rsidR="003D640C">
        <w:t xml:space="preserve"> </w:t>
      </w:r>
      <w:r>
        <w:t>people</w:t>
      </w:r>
      <w:r w:rsidR="003D640C">
        <w:t xml:space="preserve"> </w:t>
      </w:r>
      <w:r>
        <w:t>within</w:t>
      </w:r>
      <w:r w:rsidR="003D640C">
        <w:t xml:space="preserve"> </w:t>
      </w:r>
      <w:r>
        <w:t>church</w:t>
      </w:r>
      <w:r w:rsidR="003D640C">
        <w:t xml:space="preserve"> </w:t>
      </w:r>
      <w:r>
        <w:t>life.</w:t>
      </w:r>
      <w:r w:rsidR="003D640C">
        <w:t xml:space="preserve"> </w:t>
      </w:r>
      <w:r>
        <w:t>In</w:t>
      </w:r>
      <w:r w:rsidR="003D640C">
        <w:t xml:space="preserve"> </w:t>
      </w:r>
      <w:r>
        <w:t>response,</w:t>
      </w:r>
      <w:r w:rsidR="003D640C">
        <w:t xml:space="preserve"> </w:t>
      </w:r>
      <w:r>
        <w:t>a</w:t>
      </w:r>
      <w:r w:rsidR="003D640C">
        <w:t xml:space="preserve"> </w:t>
      </w:r>
      <w:r>
        <w:t>rich</w:t>
      </w:r>
      <w:r w:rsidR="003D640C">
        <w:t xml:space="preserve"> </w:t>
      </w:r>
      <w:r>
        <w:t>discourse</w:t>
      </w:r>
      <w:r w:rsidR="003D640C">
        <w:t xml:space="preserve"> </w:t>
      </w:r>
      <w:r>
        <w:t>and</w:t>
      </w:r>
      <w:r w:rsidR="003D640C">
        <w:t xml:space="preserve"> </w:t>
      </w:r>
      <w:r>
        <w:t>scholarship</w:t>
      </w:r>
      <w:r w:rsidR="003D640C">
        <w:t xml:space="preserve"> </w:t>
      </w:r>
      <w:r>
        <w:t>that</w:t>
      </w:r>
      <w:r w:rsidR="003D640C">
        <w:t xml:space="preserve"> </w:t>
      </w:r>
      <w:r>
        <w:t>challenges</w:t>
      </w:r>
      <w:r w:rsidR="003D640C">
        <w:t xml:space="preserve"> </w:t>
      </w:r>
      <w:r>
        <w:t>those</w:t>
      </w:r>
      <w:r w:rsidR="003D640C">
        <w:t xml:space="preserve"> </w:t>
      </w:r>
      <w:r>
        <w:t>traditional</w:t>
      </w:r>
      <w:r w:rsidR="003D640C">
        <w:t xml:space="preserve"> </w:t>
      </w:r>
      <w:r>
        <w:t>interpretations</w:t>
      </w:r>
      <w:r w:rsidR="003D640C">
        <w:t xml:space="preserve"> </w:t>
      </w:r>
      <w:r>
        <w:t>and</w:t>
      </w:r>
      <w:r w:rsidR="003D640C">
        <w:t xml:space="preserve"> </w:t>
      </w:r>
      <w:r>
        <w:t>assumptions</w:t>
      </w:r>
      <w:r w:rsidR="003D640C">
        <w:t xml:space="preserve"> </w:t>
      </w:r>
      <w:r>
        <w:t>now</w:t>
      </w:r>
      <w:r w:rsidR="003D640C">
        <w:t xml:space="preserve"> </w:t>
      </w:r>
      <w:r>
        <w:t>exists</w:t>
      </w:r>
      <w:r w:rsidR="00C6139F">
        <w:t>.</w:t>
      </w:r>
      <w:r w:rsidR="00C6139F">
        <w:rPr>
          <w:rStyle w:val="FootnoteReference"/>
        </w:rPr>
        <w:footnoteReference w:id="272"/>
      </w:r>
      <w:r w:rsidR="003D640C">
        <w:t xml:space="preserve"> </w:t>
      </w:r>
      <w:r>
        <w:t>These</w:t>
      </w:r>
      <w:r w:rsidR="003D640C">
        <w:t xml:space="preserve"> </w:t>
      </w:r>
      <w:r>
        <w:t>inclusive</w:t>
      </w:r>
      <w:r w:rsidR="003D640C">
        <w:t xml:space="preserve"> </w:t>
      </w:r>
      <w:r>
        <w:lastRenderedPageBreak/>
        <w:t>interpretations</w:t>
      </w:r>
      <w:r w:rsidR="003D640C">
        <w:t xml:space="preserve"> </w:t>
      </w:r>
      <w:r>
        <w:t>are</w:t>
      </w:r>
      <w:r w:rsidR="003D640C">
        <w:t xml:space="preserve"> </w:t>
      </w:r>
      <w:r>
        <w:t>available</w:t>
      </w:r>
      <w:r w:rsidR="003D640C">
        <w:t xml:space="preserve"> </w:t>
      </w:r>
      <w:r>
        <w:t>for</w:t>
      </w:r>
      <w:r w:rsidR="003D640C">
        <w:t xml:space="preserve"> </w:t>
      </w:r>
      <w:r>
        <w:t>Rainbow</w:t>
      </w:r>
      <w:r w:rsidR="003D640C">
        <w:t xml:space="preserve"> </w:t>
      </w:r>
      <w:r>
        <w:t>communities</w:t>
      </w:r>
      <w:r w:rsidR="003D640C">
        <w:t xml:space="preserve"> </w:t>
      </w:r>
      <w:r>
        <w:t>and</w:t>
      </w:r>
      <w:r w:rsidR="003D640C">
        <w:t xml:space="preserve"> </w:t>
      </w:r>
      <w:r>
        <w:t>others</w:t>
      </w:r>
      <w:r w:rsidR="003D640C">
        <w:t xml:space="preserve"> </w:t>
      </w:r>
      <w:r>
        <w:t>who</w:t>
      </w:r>
      <w:r w:rsidR="003D640C">
        <w:t xml:space="preserve"> </w:t>
      </w:r>
      <w:r>
        <w:t>cherish</w:t>
      </w:r>
      <w:r w:rsidR="003D640C">
        <w:t xml:space="preserve"> </w:t>
      </w:r>
      <w:r>
        <w:t>their</w:t>
      </w:r>
      <w:r w:rsidR="003D640C">
        <w:t xml:space="preserve"> </w:t>
      </w:r>
      <w:r>
        <w:t>sacred</w:t>
      </w:r>
      <w:r w:rsidR="003D640C">
        <w:t xml:space="preserve"> </w:t>
      </w:r>
      <w:r>
        <w:t>texts</w:t>
      </w:r>
      <w:r w:rsidR="003D640C">
        <w:t xml:space="preserve"> </w:t>
      </w:r>
      <w:r>
        <w:t>and</w:t>
      </w:r>
      <w:r w:rsidR="003D640C">
        <w:t xml:space="preserve"> </w:t>
      </w:r>
      <w:r>
        <w:t>acceptance</w:t>
      </w:r>
      <w:r w:rsidR="003D640C">
        <w:t xml:space="preserve"> </w:t>
      </w:r>
      <w:r>
        <w:t>of</w:t>
      </w:r>
      <w:r w:rsidR="003D640C">
        <w:t xml:space="preserve"> </w:t>
      </w:r>
      <w:r>
        <w:t>diverse</w:t>
      </w:r>
      <w:r w:rsidR="003D640C">
        <w:t xml:space="preserve"> </w:t>
      </w:r>
      <w:r>
        <w:t>genders</w:t>
      </w:r>
      <w:r w:rsidR="003D640C">
        <w:t xml:space="preserve"> </w:t>
      </w:r>
      <w:r>
        <w:t>and</w:t>
      </w:r>
      <w:r w:rsidR="003D640C">
        <w:t xml:space="preserve"> </w:t>
      </w:r>
      <w:r>
        <w:t>sexual</w:t>
      </w:r>
      <w:r w:rsidR="003D640C">
        <w:t xml:space="preserve"> </w:t>
      </w:r>
      <w:r>
        <w:t>orientations.</w:t>
      </w:r>
      <w:r w:rsidR="003D640C">
        <w:t xml:space="preserve"> </w:t>
      </w:r>
    </w:p>
    <w:p w14:paraId="40144C27" w14:textId="3D2114E2" w:rsidR="00501068" w:rsidRDefault="00524EA2" w:rsidP="009B6B4C">
      <w:r w:rsidRPr="00BB6220">
        <w:t>For</w:t>
      </w:r>
      <w:r w:rsidR="003D640C">
        <w:t xml:space="preserve"> </w:t>
      </w:r>
      <w:r w:rsidRPr="00BB6220">
        <w:t>an</w:t>
      </w:r>
      <w:r w:rsidR="003D640C">
        <w:t xml:space="preserve"> </w:t>
      </w:r>
      <w:r w:rsidRPr="00BB6220">
        <w:t>introduction</w:t>
      </w:r>
      <w:r w:rsidR="003D640C">
        <w:t xml:space="preserve"> </w:t>
      </w:r>
      <w:r w:rsidRPr="00BB6220">
        <w:t>to</w:t>
      </w:r>
      <w:r w:rsidR="003D640C">
        <w:t xml:space="preserve"> </w:t>
      </w:r>
      <w:r w:rsidRPr="00BB6220">
        <w:t>affirming</w:t>
      </w:r>
      <w:r w:rsidR="003D640C">
        <w:t xml:space="preserve"> </w:t>
      </w:r>
      <w:r w:rsidRPr="00BB6220">
        <w:t>Biblical</w:t>
      </w:r>
      <w:r w:rsidR="003D640C">
        <w:t xml:space="preserve"> </w:t>
      </w:r>
      <w:r w:rsidRPr="00BB6220">
        <w:t>interpretations</w:t>
      </w:r>
      <w:r w:rsidR="007B4B4D">
        <w:t>,</w:t>
      </w:r>
      <w:r w:rsidR="003D640C">
        <w:t xml:space="preserve"> </w:t>
      </w:r>
      <w:r w:rsidRPr="00BB6220">
        <w:t>see</w:t>
      </w:r>
      <w:r w:rsidR="003D640C">
        <w:t xml:space="preserve"> </w:t>
      </w:r>
      <w:r w:rsidRPr="00BB6220">
        <w:rPr>
          <w:i/>
          <w:iCs/>
        </w:rPr>
        <w:t>Join</w:t>
      </w:r>
      <w:r w:rsidR="003D640C">
        <w:rPr>
          <w:i/>
          <w:iCs/>
        </w:rPr>
        <w:t xml:space="preserve"> </w:t>
      </w:r>
      <w:r w:rsidRPr="00BB6220">
        <w:rPr>
          <w:i/>
          <w:iCs/>
        </w:rPr>
        <w:t>this</w:t>
      </w:r>
      <w:r w:rsidR="003D640C">
        <w:rPr>
          <w:i/>
          <w:iCs/>
        </w:rPr>
        <w:t xml:space="preserve"> </w:t>
      </w:r>
      <w:r w:rsidR="00D23EA6">
        <w:rPr>
          <w:i/>
          <w:iCs/>
        </w:rPr>
        <w:t>c</w:t>
      </w:r>
      <w:r w:rsidRPr="00BB6220">
        <w:rPr>
          <w:i/>
          <w:iCs/>
        </w:rPr>
        <w:t>hariot</w:t>
      </w:r>
      <w:r w:rsidRPr="00BB6220">
        <w:rPr>
          <w:rStyle w:val="FootnoteReference"/>
          <w:i/>
          <w:iCs/>
        </w:rPr>
        <w:footnoteReference w:id="273"/>
      </w:r>
      <w:r w:rsidR="003D640C">
        <w:rPr>
          <w:i/>
          <w:iCs/>
        </w:rPr>
        <w:t xml:space="preserve"> </w:t>
      </w:r>
      <w:r w:rsidRPr="00BB6220">
        <w:t>and</w:t>
      </w:r>
      <w:r w:rsidR="003D640C">
        <w:t xml:space="preserve"> </w:t>
      </w:r>
      <w:r w:rsidRPr="00BB6220">
        <w:rPr>
          <w:rFonts w:ascii="Calibri" w:eastAsia="Calibri" w:hAnsi="Calibri" w:cs="Calibri"/>
          <w:i/>
          <w:iCs/>
        </w:rPr>
        <w:t>Strengthening</w:t>
      </w:r>
      <w:r w:rsidR="003D640C">
        <w:rPr>
          <w:rFonts w:ascii="Calibri" w:eastAsia="Calibri" w:hAnsi="Calibri" w:cs="Calibri"/>
          <w:i/>
          <w:iCs/>
        </w:rPr>
        <w:t xml:space="preserve"> </w:t>
      </w:r>
      <w:r w:rsidR="00D23EA6">
        <w:rPr>
          <w:rFonts w:ascii="Calibri" w:eastAsia="Calibri" w:hAnsi="Calibri" w:cs="Calibri"/>
          <w:i/>
          <w:iCs/>
        </w:rPr>
        <w:t>s</w:t>
      </w:r>
      <w:r w:rsidRPr="00BB6220">
        <w:rPr>
          <w:rFonts w:ascii="Calibri" w:eastAsia="Calibri" w:hAnsi="Calibri" w:cs="Calibri"/>
          <w:i/>
          <w:iCs/>
        </w:rPr>
        <w:t>olutions</w:t>
      </w:r>
      <w:r w:rsidR="003D640C">
        <w:rPr>
          <w:rFonts w:ascii="Calibri" w:eastAsia="Calibri" w:hAnsi="Calibri" w:cs="Calibri"/>
          <w:i/>
          <w:iCs/>
        </w:rPr>
        <w:t xml:space="preserve"> </w:t>
      </w:r>
      <w:r w:rsidRPr="00BB6220">
        <w:rPr>
          <w:rFonts w:ascii="Calibri" w:eastAsia="Calibri" w:hAnsi="Calibri" w:cs="Calibri"/>
          <w:i/>
          <w:iCs/>
        </w:rPr>
        <w:t>for</w:t>
      </w:r>
      <w:r w:rsidR="003D640C">
        <w:rPr>
          <w:rFonts w:ascii="Calibri" w:eastAsia="Calibri" w:hAnsi="Calibri" w:cs="Calibri"/>
          <w:i/>
          <w:iCs/>
        </w:rPr>
        <w:t xml:space="preserve"> </w:t>
      </w:r>
      <w:r w:rsidRPr="00BB6220">
        <w:rPr>
          <w:rFonts w:ascii="Calibri" w:eastAsia="Calibri" w:hAnsi="Calibri" w:cs="Calibri"/>
          <w:i/>
          <w:iCs/>
        </w:rPr>
        <w:t>Pas</w:t>
      </w:r>
      <w:r w:rsidR="00D178F8">
        <w:rPr>
          <w:rFonts w:ascii="Calibri" w:eastAsia="Calibri" w:hAnsi="Calibri" w:cs="Calibri"/>
          <w:i/>
          <w:iCs/>
        </w:rPr>
        <w:t>e</w:t>
      </w:r>
      <w:r w:rsidRPr="00BB6220">
        <w:rPr>
          <w:rFonts w:ascii="Calibri" w:eastAsia="Calibri" w:hAnsi="Calibri" w:cs="Calibri"/>
          <w:i/>
          <w:iCs/>
        </w:rPr>
        <w:t>fika</w:t>
      </w:r>
      <w:r w:rsidR="003D640C">
        <w:rPr>
          <w:rFonts w:ascii="Calibri" w:eastAsia="Calibri" w:hAnsi="Calibri" w:cs="Calibri"/>
          <w:i/>
          <w:iCs/>
        </w:rPr>
        <w:t xml:space="preserve"> </w:t>
      </w:r>
      <w:r w:rsidRPr="00BB6220">
        <w:rPr>
          <w:rFonts w:ascii="Calibri" w:eastAsia="Calibri" w:hAnsi="Calibri" w:cs="Calibri"/>
          <w:i/>
          <w:iCs/>
        </w:rPr>
        <w:t>Rainbow</w:t>
      </w:r>
      <w:r w:rsidR="006C3CA0" w:rsidRPr="00BB6220">
        <w:rPr>
          <w:rFonts w:ascii="Calibri" w:eastAsia="Calibri" w:hAnsi="Calibri" w:cs="Calibri"/>
          <w:i/>
          <w:iCs/>
        </w:rPr>
        <w:t>.</w:t>
      </w:r>
      <w:r w:rsidRPr="00BB6220">
        <w:rPr>
          <w:rStyle w:val="FootnoteReference"/>
        </w:rPr>
        <w:footnoteReference w:id="274"/>
      </w:r>
      <w:r w:rsidR="003D640C">
        <w:t xml:space="preserve"> </w:t>
      </w:r>
      <w:r w:rsidRPr="00BB6220">
        <w:t>For</w:t>
      </w:r>
      <w:r w:rsidR="003D640C">
        <w:t xml:space="preserve"> </w:t>
      </w:r>
      <w:r w:rsidRPr="00BB6220">
        <w:t>more</w:t>
      </w:r>
      <w:r w:rsidR="003D640C">
        <w:t xml:space="preserve"> </w:t>
      </w:r>
      <w:r w:rsidRPr="00BB6220">
        <w:t>in-depth</w:t>
      </w:r>
      <w:r w:rsidR="003D640C">
        <w:t xml:space="preserve"> </w:t>
      </w:r>
      <w:r w:rsidRPr="00BB6220">
        <w:t>analysis</w:t>
      </w:r>
      <w:r w:rsidR="007B4B4D">
        <w:t>,</w:t>
      </w:r>
      <w:r w:rsidR="003D640C">
        <w:t xml:space="preserve"> </w:t>
      </w:r>
      <w:r w:rsidRPr="00BB6220">
        <w:t>visit</w:t>
      </w:r>
      <w:r w:rsidR="003D640C">
        <w:t xml:space="preserve"> </w:t>
      </w:r>
      <w:r w:rsidR="00D54229">
        <w:t>theologian</w:t>
      </w:r>
      <w:r w:rsidR="003D640C">
        <w:t xml:space="preserve"> </w:t>
      </w:r>
      <w:r w:rsidR="00D54229">
        <w:t>and</w:t>
      </w:r>
      <w:r w:rsidR="003D640C">
        <w:t xml:space="preserve"> </w:t>
      </w:r>
      <w:r w:rsidR="00D54229">
        <w:t>former</w:t>
      </w:r>
      <w:r w:rsidR="003D640C">
        <w:t xml:space="preserve"> </w:t>
      </w:r>
      <w:r w:rsidR="00D54229">
        <w:t>Pastor</w:t>
      </w:r>
      <w:r w:rsidR="003D640C">
        <w:t xml:space="preserve"> </w:t>
      </w:r>
      <w:r w:rsidR="00D54229">
        <w:t>Amanda</w:t>
      </w:r>
      <w:r w:rsidR="003D640C">
        <w:t xml:space="preserve"> </w:t>
      </w:r>
      <w:r w:rsidR="00D54229">
        <w:t>Pilbrow’s</w:t>
      </w:r>
      <w:r w:rsidR="003D640C">
        <w:t xml:space="preserve"> </w:t>
      </w:r>
      <w:r w:rsidR="00D54229">
        <w:t>website</w:t>
      </w:r>
      <w:r w:rsidR="003D640C">
        <w:t xml:space="preserve"> </w:t>
      </w:r>
      <w:hyperlink r:id="rId22" w:history="1">
        <w:r w:rsidRPr="00BB6220">
          <w:rPr>
            <w:rStyle w:val="Hyperlink"/>
          </w:rPr>
          <w:t>www.alreadyenough.co.nz</w:t>
        </w:r>
      </w:hyperlink>
      <w:r w:rsidRPr="00BB6220">
        <w:t>.</w:t>
      </w:r>
      <w:r w:rsidR="003D640C">
        <w:t xml:space="preserve"> </w:t>
      </w:r>
    </w:p>
    <w:p w14:paraId="410D1AA4" w14:textId="5D5A8025" w:rsidR="00F248FD" w:rsidRDefault="00E61CE8" w:rsidP="009B6B4C">
      <w:pPr>
        <w:pStyle w:val="Heading2"/>
      </w:pPr>
      <w:bookmarkStart w:id="406" w:name="_Toc167780646"/>
      <w:bookmarkStart w:id="407" w:name="_Toc1175324452"/>
      <w:bookmarkStart w:id="408" w:name="_Toc174628708"/>
      <w:r w:rsidRPr="000B6FA0">
        <w:t>Recovery</w:t>
      </w:r>
      <w:r w:rsidR="003D640C">
        <w:t xml:space="preserve"> </w:t>
      </w:r>
      <w:r w:rsidRPr="000B6FA0">
        <w:t>for</w:t>
      </w:r>
      <w:r w:rsidR="003D640C">
        <w:t xml:space="preserve"> </w:t>
      </w:r>
      <w:r w:rsidRPr="000B6FA0">
        <w:t>Māori</w:t>
      </w:r>
      <w:r w:rsidR="003D640C">
        <w:t xml:space="preserve"> </w:t>
      </w:r>
      <w:r w:rsidR="00D23EA6">
        <w:t>s</w:t>
      </w:r>
      <w:r w:rsidR="00F248FD" w:rsidRPr="000B6FA0">
        <w:t>urvivors</w:t>
      </w:r>
      <w:bookmarkEnd w:id="406"/>
      <w:bookmarkEnd w:id="407"/>
      <w:bookmarkEnd w:id="408"/>
    </w:p>
    <w:p w14:paraId="51F685BE" w14:textId="17A29819" w:rsidR="009B6B4C" w:rsidRPr="00FE5C92" w:rsidRDefault="00D23EA6" w:rsidP="007B139B">
      <w:r>
        <w:rPr>
          <w:lang w:eastAsia="en-NZ"/>
        </w:rPr>
        <w:t xml:space="preserve">This section provides advice from survivors as to how best to provide support for Māori who have experienced conversion practices. </w:t>
      </w:r>
    </w:p>
    <w:p w14:paraId="252D9B07" w14:textId="338197AC" w:rsidR="00E61CE8" w:rsidRPr="00BB6220" w:rsidRDefault="00E61CE8" w:rsidP="002C6363">
      <w:pPr>
        <w:pStyle w:val="Heading3"/>
      </w:pPr>
      <w:bookmarkStart w:id="409" w:name="_Toc167780647"/>
      <w:bookmarkStart w:id="410" w:name="_Toc922213074"/>
      <w:bookmarkStart w:id="411" w:name="_Toc174628709"/>
      <w:r w:rsidRPr="00BB6220">
        <w:t>Supporting</w:t>
      </w:r>
      <w:r w:rsidR="003D640C">
        <w:t xml:space="preserve"> </w:t>
      </w:r>
      <w:r w:rsidRPr="00BB6220">
        <w:t>Māori</w:t>
      </w:r>
      <w:r w:rsidR="003D640C">
        <w:t xml:space="preserve"> </w:t>
      </w:r>
      <w:r w:rsidRPr="00BB6220">
        <w:t>to</w:t>
      </w:r>
      <w:r w:rsidR="003D640C">
        <w:t xml:space="preserve"> </w:t>
      </w:r>
      <w:r w:rsidRPr="00BB6220">
        <w:t>recover</w:t>
      </w:r>
      <w:r w:rsidR="003D640C">
        <w:t xml:space="preserve"> </w:t>
      </w:r>
      <w:r w:rsidRPr="00BB6220">
        <w:t>from</w:t>
      </w:r>
      <w:r w:rsidR="003D640C">
        <w:t xml:space="preserve"> </w:t>
      </w:r>
      <w:r w:rsidRPr="00BB6220">
        <w:t>conversion</w:t>
      </w:r>
      <w:r w:rsidR="003D640C">
        <w:t xml:space="preserve"> </w:t>
      </w:r>
      <w:r w:rsidRPr="00BB6220">
        <w:t>practices</w:t>
      </w:r>
      <w:bookmarkEnd w:id="409"/>
      <w:bookmarkEnd w:id="410"/>
      <w:bookmarkEnd w:id="411"/>
    </w:p>
    <w:p w14:paraId="61A11F80" w14:textId="207F52DF" w:rsidR="00E61CE8" w:rsidRPr="00BB6220" w:rsidRDefault="00E61CE8" w:rsidP="009B6B4C">
      <w:pPr>
        <w:rPr>
          <w:lang w:eastAsia="en-NZ"/>
        </w:rPr>
      </w:pPr>
      <w:r w:rsidRPr="00BB6220">
        <w:rPr>
          <w:lang w:eastAsia="en-NZ"/>
        </w:rPr>
        <w:t>Māori</w:t>
      </w:r>
      <w:r w:rsidR="003D640C">
        <w:rPr>
          <w:lang w:eastAsia="en-NZ"/>
        </w:rPr>
        <w:t xml:space="preserve"> </w:t>
      </w:r>
      <w:r w:rsidRPr="00BB6220">
        <w:rPr>
          <w:lang w:eastAsia="en-NZ"/>
        </w:rPr>
        <w:t>survivors</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may</w:t>
      </w:r>
      <w:r w:rsidR="003D640C">
        <w:rPr>
          <w:lang w:eastAsia="en-NZ"/>
        </w:rPr>
        <w:t xml:space="preserve"> </w:t>
      </w:r>
      <w:r w:rsidRPr="00BB6220">
        <w:rPr>
          <w:lang w:eastAsia="en-NZ"/>
        </w:rPr>
        <w:t>need</w:t>
      </w:r>
      <w:r w:rsidR="003D640C">
        <w:rPr>
          <w:lang w:eastAsia="en-NZ"/>
        </w:rPr>
        <w:t xml:space="preserve"> </w:t>
      </w:r>
      <w:r w:rsidRPr="00BB6220">
        <w:rPr>
          <w:lang w:eastAsia="en-NZ"/>
        </w:rPr>
        <w:t>to</w:t>
      </w:r>
      <w:r w:rsidR="003D640C">
        <w:rPr>
          <w:lang w:eastAsia="en-NZ"/>
        </w:rPr>
        <w:t xml:space="preserve"> </w:t>
      </w:r>
      <w:r w:rsidRPr="00BB6220">
        <w:rPr>
          <w:lang w:eastAsia="en-NZ"/>
        </w:rPr>
        <w:t>unpack</w:t>
      </w:r>
      <w:r w:rsidR="003D640C">
        <w:rPr>
          <w:lang w:eastAsia="en-NZ"/>
        </w:rPr>
        <w:t xml:space="preserve"> </w:t>
      </w:r>
      <w:r w:rsidRPr="00BB6220">
        <w:rPr>
          <w:lang w:eastAsia="en-NZ"/>
        </w:rPr>
        <w:t>the</w:t>
      </w:r>
      <w:r w:rsidR="003D640C">
        <w:rPr>
          <w:lang w:eastAsia="en-NZ"/>
        </w:rPr>
        <w:t xml:space="preserve"> </w:t>
      </w:r>
      <w:r w:rsidRPr="00BB6220">
        <w:rPr>
          <w:lang w:eastAsia="en-NZ"/>
        </w:rPr>
        <w:t>layers</w:t>
      </w:r>
      <w:r w:rsidR="003D640C">
        <w:rPr>
          <w:lang w:eastAsia="en-NZ"/>
        </w:rPr>
        <w:t xml:space="preserve"> </w:t>
      </w:r>
      <w:r w:rsidRPr="00BB6220">
        <w:rPr>
          <w:lang w:eastAsia="en-NZ"/>
        </w:rPr>
        <w:t>of</w:t>
      </w:r>
      <w:r w:rsidR="003D640C">
        <w:rPr>
          <w:lang w:eastAsia="en-NZ"/>
        </w:rPr>
        <w:t xml:space="preserve"> </w:t>
      </w:r>
      <w:r w:rsidRPr="00BB6220">
        <w:rPr>
          <w:lang w:eastAsia="en-NZ"/>
        </w:rPr>
        <w:t>cultural</w:t>
      </w:r>
      <w:r w:rsidR="003D640C">
        <w:rPr>
          <w:lang w:eastAsia="en-NZ"/>
        </w:rPr>
        <w:t xml:space="preserve"> </w:t>
      </w:r>
      <w:r w:rsidRPr="00BB6220">
        <w:rPr>
          <w:lang w:eastAsia="en-NZ"/>
        </w:rPr>
        <w:t>supremacy,</w:t>
      </w:r>
      <w:r w:rsidR="003D640C">
        <w:rPr>
          <w:lang w:eastAsia="en-NZ"/>
        </w:rPr>
        <w:t xml:space="preserve"> </w:t>
      </w:r>
      <w:r w:rsidRPr="00BB6220">
        <w:rPr>
          <w:lang w:eastAsia="en-NZ"/>
        </w:rPr>
        <w:t>both</w:t>
      </w:r>
      <w:r w:rsidR="003D640C">
        <w:rPr>
          <w:lang w:eastAsia="en-NZ"/>
        </w:rPr>
        <w:t xml:space="preserve"> </w:t>
      </w:r>
      <w:r w:rsidRPr="00BB6220">
        <w:rPr>
          <w:lang w:eastAsia="en-NZ"/>
        </w:rPr>
        <w:t>colonial</w:t>
      </w:r>
      <w:r w:rsidR="003D640C">
        <w:rPr>
          <w:lang w:eastAsia="en-NZ"/>
        </w:rPr>
        <w:t xml:space="preserve"> </w:t>
      </w:r>
      <w:r w:rsidRPr="00BB6220">
        <w:rPr>
          <w:lang w:eastAsia="en-NZ"/>
        </w:rPr>
        <w:t>and</w:t>
      </w:r>
      <w:r w:rsidR="003D640C">
        <w:rPr>
          <w:lang w:eastAsia="en-NZ"/>
        </w:rPr>
        <w:t xml:space="preserve"> </w:t>
      </w:r>
      <w:r w:rsidRPr="00BB6220">
        <w:rPr>
          <w:lang w:eastAsia="en-NZ"/>
        </w:rPr>
        <w:t>religious,</w:t>
      </w:r>
      <w:r w:rsidR="003D640C">
        <w:rPr>
          <w:lang w:eastAsia="en-NZ"/>
        </w:rPr>
        <w:t xml:space="preserve"> </w:t>
      </w:r>
      <w:r w:rsidRPr="00BB6220">
        <w:rPr>
          <w:lang w:eastAsia="en-NZ"/>
        </w:rPr>
        <w:t>that</w:t>
      </w:r>
      <w:r w:rsidR="003D640C">
        <w:rPr>
          <w:lang w:eastAsia="en-NZ"/>
        </w:rPr>
        <w:t xml:space="preserve"> </w:t>
      </w:r>
      <w:r w:rsidRPr="00BB6220">
        <w:rPr>
          <w:lang w:eastAsia="en-NZ"/>
        </w:rPr>
        <w:t>have</w:t>
      </w:r>
      <w:r w:rsidR="003D640C">
        <w:rPr>
          <w:lang w:eastAsia="en-NZ"/>
        </w:rPr>
        <w:t xml:space="preserve"> </w:t>
      </w:r>
      <w:r w:rsidRPr="00BB6220">
        <w:rPr>
          <w:lang w:eastAsia="en-NZ"/>
        </w:rPr>
        <w:t>been</w:t>
      </w:r>
      <w:r w:rsidR="003D640C">
        <w:rPr>
          <w:lang w:eastAsia="en-NZ"/>
        </w:rPr>
        <w:t xml:space="preserve"> </w:t>
      </w:r>
      <w:r w:rsidRPr="00BB6220">
        <w:rPr>
          <w:lang w:eastAsia="en-NZ"/>
        </w:rPr>
        <w:t>used</w:t>
      </w:r>
      <w:r w:rsidR="003D640C">
        <w:rPr>
          <w:lang w:eastAsia="en-NZ"/>
        </w:rPr>
        <w:t xml:space="preserve"> </w:t>
      </w:r>
      <w:r w:rsidRPr="00BB6220">
        <w:rPr>
          <w:lang w:eastAsia="en-NZ"/>
        </w:rPr>
        <w:t>to</w:t>
      </w:r>
      <w:r w:rsidR="003D640C">
        <w:rPr>
          <w:lang w:eastAsia="en-NZ"/>
        </w:rPr>
        <w:t xml:space="preserve"> </w:t>
      </w:r>
      <w:r w:rsidRPr="00BB6220">
        <w:rPr>
          <w:lang w:eastAsia="en-NZ"/>
        </w:rPr>
        <w:t>suppress</w:t>
      </w:r>
      <w:r w:rsidR="003D640C">
        <w:rPr>
          <w:lang w:eastAsia="en-NZ"/>
        </w:rPr>
        <w:t xml:space="preserve"> </w:t>
      </w:r>
      <w:r w:rsidRPr="00BB6220">
        <w:rPr>
          <w:lang w:eastAsia="en-NZ"/>
        </w:rPr>
        <w:t>their</w:t>
      </w:r>
      <w:r w:rsidR="003D640C">
        <w:rPr>
          <w:lang w:eastAsia="en-NZ"/>
        </w:rPr>
        <w:t xml:space="preserve"> </w:t>
      </w:r>
      <w:r w:rsidRPr="00BB6220">
        <w:rPr>
          <w:lang w:eastAsia="en-NZ"/>
        </w:rPr>
        <w:t>identities.</w:t>
      </w:r>
      <w:r w:rsidR="003D640C">
        <w:rPr>
          <w:lang w:eastAsia="en-NZ"/>
        </w:rPr>
        <w:t xml:space="preserve"> </w:t>
      </w:r>
      <w:r w:rsidRPr="00BB6220">
        <w:rPr>
          <w:lang w:eastAsia="en-NZ"/>
        </w:rPr>
        <w:t>Some</w:t>
      </w:r>
      <w:r w:rsidR="003D640C">
        <w:rPr>
          <w:lang w:eastAsia="en-NZ"/>
        </w:rPr>
        <w:t xml:space="preserve"> </w:t>
      </w:r>
      <w:r w:rsidRPr="00BB6220">
        <w:rPr>
          <w:lang w:eastAsia="en-NZ"/>
        </w:rPr>
        <w:t>Māori</w:t>
      </w:r>
      <w:r w:rsidR="003D640C">
        <w:rPr>
          <w:lang w:eastAsia="en-NZ"/>
        </w:rPr>
        <w:t xml:space="preserve"> </w:t>
      </w:r>
      <w:r w:rsidRPr="00BB6220">
        <w:rPr>
          <w:lang w:eastAsia="en-NZ"/>
        </w:rPr>
        <w:t>survivors</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clarif</w:t>
      </w:r>
      <w:r>
        <w:rPr>
          <w:lang w:eastAsia="en-NZ"/>
        </w:rPr>
        <w:t>ied</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Commission</w:t>
      </w:r>
      <w:r w:rsidR="003D640C">
        <w:rPr>
          <w:lang w:eastAsia="en-NZ"/>
        </w:rPr>
        <w:t xml:space="preserve"> </w:t>
      </w:r>
      <w:r w:rsidRPr="00BB6220">
        <w:rPr>
          <w:lang w:eastAsia="en-NZ"/>
        </w:rPr>
        <w:t>they</w:t>
      </w:r>
      <w:r w:rsidR="003D640C">
        <w:rPr>
          <w:lang w:eastAsia="en-NZ"/>
        </w:rPr>
        <w:t xml:space="preserve"> </w:t>
      </w:r>
      <w:r w:rsidRPr="00BB6220">
        <w:rPr>
          <w:lang w:eastAsia="en-NZ"/>
        </w:rPr>
        <w:t>were</w:t>
      </w:r>
      <w:r w:rsidR="003D640C">
        <w:rPr>
          <w:lang w:eastAsia="en-NZ"/>
        </w:rPr>
        <w:t xml:space="preserve"> </w:t>
      </w:r>
      <w:r w:rsidRPr="00BB6220">
        <w:rPr>
          <w:lang w:eastAsia="en-NZ"/>
        </w:rPr>
        <w:t>Māori</w:t>
      </w:r>
      <w:r w:rsidR="003D640C">
        <w:rPr>
          <w:lang w:eastAsia="en-NZ"/>
        </w:rPr>
        <w:t xml:space="preserve"> </w:t>
      </w:r>
      <w:r w:rsidRPr="00BB6220">
        <w:rPr>
          <w:lang w:eastAsia="en-NZ"/>
        </w:rPr>
        <w:t>first</w:t>
      </w:r>
      <w:r w:rsidR="003D640C">
        <w:rPr>
          <w:lang w:eastAsia="en-NZ"/>
        </w:rPr>
        <w:t xml:space="preserve"> </w:t>
      </w:r>
      <w:r w:rsidRPr="00BB6220">
        <w:rPr>
          <w:lang w:eastAsia="en-NZ"/>
        </w:rPr>
        <w:t>and</w:t>
      </w:r>
      <w:r w:rsidR="003D640C">
        <w:rPr>
          <w:lang w:eastAsia="en-NZ"/>
        </w:rPr>
        <w:t xml:space="preserve"> </w:t>
      </w:r>
      <w:r w:rsidRPr="00BB6220">
        <w:rPr>
          <w:lang w:eastAsia="en-NZ"/>
        </w:rPr>
        <w:t>that</w:t>
      </w:r>
      <w:r w:rsidR="003D640C">
        <w:rPr>
          <w:lang w:eastAsia="en-NZ"/>
        </w:rPr>
        <w:t xml:space="preserve"> </w:t>
      </w:r>
      <w:r w:rsidRPr="00BB6220">
        <w:rPr>
          <w:lang w:eastAsia="en-NZ"/>
        </w:rPr>
        <w:t>different</w:t>
      </w:r>
      <w:r w:rsidR="003D640C">
        <w:rPr>
          <w:lang w:eastAsia="en-NZ"/>
        </w:rPr>
        <w:t xml:space="preserve"> </w:t>
      </w:r>
      <w:r w:rsidRPr="00BB6220">
        <w:rPr>
          <w:lang w:eastAsia="en-NZ"/>
        </w:rPr>
        <w:t>aspects</w:t>
      </w:r>
      <w:r w:rsidR="003D640C">
        <w:rPr>
          <w:lang w:eastAsia="en-NZ"/>
        </w:rPr>
        <w:t xml:space="preserve"> </w:t>
      </w:r>
      <w:r w:rsidRPr="00BB6220">
        <w:rPr>
          <w:lang w:eastAsia="en-NZ"/>
        </w:rPr>
        <w:t>of</w:t>
      </w:r>
      <w:r w:rsidR="003D640C">
        <w:rPr>
          <w:lang w:eastAsia="en-NZ"/>
        </w:rPr>
        <w:t xml:space="preserve"> </w:t>
      </w:r>
      <w:r w:rsidRPr="00BB6220">
        <w:rPr>
          <w:lang w:eastAsia="en-NZ"/>
        </w:rPr>
        <w:t>themselves</w:t>
      </w:r>
      <w:r w:rsidR="003D640C">
        <w:rPr>
          <w:lang w:eastAsia="en-NZ"/>
        </w:rPr>
        <w:t xml:space="preserve"> </w:t>
      </w:r>
      <w:r w:rsidRPr="00BB6220">
        <w:rPr>
          <w:lang w:eastAsia="en-NZ"/>
        </w:rPr>
        <w:t>cannot</w:t>
      </w:r>
      <w:r w:rsidR="003D640C">
        <w:rPr>
          <w:lang w:eastAsia="en-NZ"/>
        </w:rPr>
        <w:t xml:space="preserve"> </w:t>
      </w:r>
      <w:r w:rsidRPr="00BB6220">
        <w:rPr>
          <w:lang w:eastAsia="en-NZ"/>
        </w:rPr>
        <w:t>be</w:t>
      </w:r>
      <w:r w:rsidR="003D640C">
        <w:rPr>
          <w:lang w:eastAsia="en-NZ"/>
        </w:rPr>
        <w:t xml:space="preserve"> </w:t>
      </w:r>
      <w:r w:rsidRPr="00BB6220">
        <w:rPr>
          <w:lang w:eastAsia="en-NZ"/>
        </w:rPr>
        <w:t>viewed</w:t>
      </w:r>
      <w:r w:rsidR="003D640C">
        <w:rPr>
          <w:lang w:eastAsia="en-NZ"/>
        </w:rPr>
        <w:t xml:space="preserve"> </w:t>
      </w:r>
      <w:r w:rsidRPr="00BB6220">
        <w:rPr>
          <w:lang w:eastAsia="en-NZ"/>
        </w:rPr>
        <w:t>in</w:t>
      </w:r>
      <w:r w:rsidR="003D640C">
        <w:rPr>
          <w:lang w:eastAsia="en-NZ"/>
        </w:rPr>
        <w:t xml:space="preserve"> </w:t>
      </w:r>
      <w:r w:rsidRPr="00BB6220">
        <w:rPr>
          <w:lang w:eastAsia="en-NZ"/>
        </w:rPr>
        <w:t>isolation.</w:t>
      </w:r>
    </w:p>
    <w:p w14:paraId="392C9EEE" w14:textId="5E6A0570" w:rsidR="00501068" w:rsidRDefault="00E61CE8" w:rsidP="009B6B4C">
      <w:pPr>
        <w:rPr>
          <w:lang w:eastAsia="en-NZ"/>
        </w:rPr>
      </w:pPr>
      <w:r w:rsidRPr="00BB6220">
        <w:rPr>
          <w:lang w:eastAsia="en-NZ"/>
        </w:rPr>
        <w:t>When</w:t>
      </w:r>
      <w:r w:rsidR="003D640C">
        <w:rPr>
          <w:lang w:eastAsia="en-NZ"/>
        </w:rPr>
        <w:t xml:space="preserve"> </w:t>
      </w:r>
      <w:r w:rsidRPr="00BB6220">
        <w:rPr>
          <w:lang w:eastAsia="en-NZ"/>
        </w:rPr>
        <w:t>considering</w:t>
      </w:r>
      <w:r w:rsidR="003D640C">
        <w:rPr>
          <w:lang w:eastAsia="en-NZ"/>
        </w:rPr>
        <w:t xml:space="preserve"> </w:t>
      </w:r>
      <w:r w:rsidRPr="00BB6220">
        <w:rPr>
          <w:lang w:eastAsia="en-NZ"/>
        </w:rPr>
        <w:t>how</w:t>
      </w:r>
      <w:r w:rsidR="003D640C">
        <w:rPr>
          <w:lang w:eastAsia="en-NZ"/>
        </w:rPr>
        <w:t xml:space="preserve"> </w:t>
      </w:r>
      <w:r w:rsidRPr="00BB6220">
        <w:rPr>
          <w:lang w:eastAsia="en-NZ"/>
        </w:rPr>
        <w:t>to</w:t>
      </w:r>
      <w:r w:rsidR="003D640C">
        <w:rPr>
          <w:lang w:eastAsia="en-NZ"/>
        </w:rPr>
        <w:t xml:space="preserve"> </w:t>
      </w:r>
      <w:r w:rsidRPr="00BB6220">
        <w:rPr>
          <w:lang w:eastAsia="en-NZ"/>
        </w:rPr>
        <w:t>help</w:t>
      </w:r>
      <w:r w:rsidR="003D640C">
        <w:rPr>
          <w:lang w:eastAsia="en-NZ"/>
        </w:rPr>
        <w:t xml:space="preserve"> </w:t>
      </w:r>
      <w:r w:rsidRPr="00BB6220">
        <w:rPr>
          <w:lang w:eastAsia="en-NZ"/>
        </w:rPr>
        <w:t>Māori</w:t>
      </w:r>
      <w:r w:rsidR="003D640C">
        <w:rPr>
          <w:lang w:eastAsia="en-NZ"/>
        </w:rPr>
        <w:t xml:space="preserve"> </w:t>
      </w:r>
      <w:r w:rsidRPr="00BB6220">
        <w:rPr>
          <w:lang w:eastAsia="en-NZ"/>
        </w:rPr>
        <w:t>recover</w:t>
      </w:r>
      <w:r w:rsidR="003D640C">
        <w:rPr>
          <w:lang w:eastAsia="en-NZ"/>
        </w:rPr>
        <w:t xml:space="preserve"> </w:t>
      </w:r>
      <w:r w:rsidRPr="00BB6220">
        <w:rPr>
          <w:lang w:eastAsia="en-NZ"/>
        </w:rPr>
        <w:t>from</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Pr>
          <w:lang w:eastAsia="en-NZ"/>
        </w:rPr>
        <w:t>,</w:t>
      </w:r>
      <w:r w:rsidR="003D640C">
        <w:rPr>
          <w:lang w:eastAsia="en-NZ"/>
        </w:rPr>
        <w:t xml:space="preserve"> </w:t>
      </w:r>
      <w:r w:rsidRPr="00BB6220">
        <w:rPr>
          <w:lang w:eastAsia="en-NZ"/>
        </w:rPr>
        <w:t>it</w:t>
      </w:r>
      <w:r w:rsidR="003D640C">
        <w:rPr>
          <w:lang w:eastAsia="en-NZ"/>
        </w:rPr>
        <w:t xml:space="preserve"> </w:t>
      </w:r>
      <w:r w:rsidRPr="00BB6220">
        <w:rPr>
          <w:lang w:eastAsia="en-NZ"/>
        </w:rPr>
        <w:t>is</w:t>
      </w:r>
      <w:r w:rsidR="003D640C">
        <w:rPr>
          <w:lang w:eastAsia="en-NZ"/>
        </w:rPr>
        <w:t xml:space="preserve"> </w:t>
      </w:r>
      <w:r w:rsidRPr="00BB6220">
        <w:rPr>
          <w:lang w:eastAsia="en-NZ"/>
        </w:rPr>
        <w:t>important</w:t>
      </w:r>
      <w:r w:rsidR="003D640C">
        <w:rPr>
          <w:lang w:eastAsia="en-NZ"/>
        </w:rPr>
        <w:t xml:space="preserve"> </w:t>
      </w:r>
      <w:r w:rsidRPr="00BB6220">
        <w:rPr>
          <w:lang w:eastAsia="en-NZ"/>
        </w:rPr>
        <w:t>to</w:t>
      </w:r>
      <w:r w:rsidR="003D640C">
        <w:rPr>
          <w:lang w:eastAsia="en-NZ"/>
        </w:rPr>
        <w:t xml:space="preserve"> </w:t>
      </w:r>
      <w:r>
        <w:rPr>
          <w:lang w:eastAsia="en-NZ"/>
        </w:rPr>
        <w:t>remember</w:t>
      </w:r>
      <w:r w:rsidR="003D640C">
        <w:rPr>
          <w:lang w:eastAsia="en-NZ"/>
        </w:rPr>
        <w:t xml:space="preserve"> </w:t>
      </w:r>
      <w:r w:rsidRPr="00BB6220">
        <w:rPr>
          <w:lang w:eastAsia="en-NZ"/>
        </w:rPr>
        <w:t>the</w:t>
      </w:r>
      <w:r w:rsidR="003D640C">
        <w:rPr>
          <w:lang w:eastAsia="en-NZ"/>
        </w:rPr>
        <w:t xml:space="preserve"> </w:t>
      </w:r>
      <w:r w:rsidRPr="00BB6220">
        <w:rPr>
          <w:lang w:eastAsia="en-NZ"/>
        </w:rPr>
        <w:t>role</w:t>
      </w:r>
      <w:r w:rsidR="003D640C">
        <w:rPr>
          <w:lang w:eastAsia="en-NZ"/>
        </w:rPr>
        <w:t xml:space="preserve"> </w:t>
      </w:r>
      <w:r w:rsidRPr="00BB6220">
        <w:rPr>
          <w:lang w:eastAsia="en-NZ"/>
        </w:rPr>
        <w:t>of</w:t>
      </w:r>
      <w:r w:rsidR="003D640C">
        <w:rPr>
          <w:lang w:eastAsia="en-NZ"/>
        </w:rPr>
        <w:t xml:space="preserve"> </w:t>
      </w:r>
      <w:r w:rsidRPr="00BB6220">
        <w:rPr>
          <w:lang w:eastAsia="en-NZ"/>
        </w:rPr>
        <w:t>whānau</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impact</w:t>
      </w:r>
      <w:r w:rsidR="003D640C">
        <w:rPr>
          <w:lang w:eastAsia="en-NZ"/>
        </w:rPr>
        <w:t xml:space="preserve"> </w:t>
      </w:r>
      <w:r w:rsidRPr="00BB6220">
        <w:rPr>
          <w:lang w:eastAsia="en-NZ"/>
        </w:rPr>
        <w:t>disconnection</w:t>
      </w:r>
      <w:r w:rsidR="003D640C">
        <w:rPr>
          <w:lang w:eastAsia="en-NZ"/>
        </w:rPr>
        <w:t xml:space="preserve"> </w:t>
      </w:r>
      <w:r w:rsidRPr="00BB6220">
        <w:rPr>
          <w:lang w:eastAsia="en-NZ"/>
        </w:rPr>
        <w:t>from</w:t>
      </w:r>
      <w:r w:rsidR="003D640C">
        <w:rPr>
          <w:lang w:eastAsia="en-NZ"/>
        </w:rPr>
        <w:t xml:space="preserve"> </w:t>
      </w:r>
      <w:r w:rsidRPr="00BB6220">
        <w:rPr>
          <w:lang w:eastAsia="en-NZ"/>
        </w:rPr>
        <w:t>whānau</w:t>
      </w:r>
      <w:r w:rsidR="003D640C">
        <w:rPr>
          <w:lang w:eastAsia="en-NZ"/>
        </w:rPr>
        <w:t xml:space="preserve"> </w:t>
      </w:r>
      <w:r w:rsidRPr="00BB6220">
        <w:rPr>
          <w:lang w:eastAsia="en-NZ"/>
        </w:rPr>
        <w:t>can</w:t>
      </w:r>
      <w:r w:rsidR="003D640C">
        <w:rPr>
          <w:lang w:eastAsia="en-NZ"/>
        </w:rPr>
        <w:t xml:space="preserve"> </w:t>
      </w:r>
      <w:r w:rsidRPr="00BB6220">
        <w:rPr>
          <w:lang w:eastAsia="en-NZ"/>
        </w:rPr>
        <w:t>have</w:t>
      </w:r>
      <w:r w:rsidR="003D640C">
        <w:rPr>
          <w:lang w:eastAsia="en-NZ"/>
        </w:rPr>
        <w:t xml:space="preserve"> </w:t>
      </w:r>
      <w:r w:rsidRPr="00BB6220">
        <w:rPr>
          <w:lang w:eastAsia="en-NZ"/>
        </w:rPr>
        <w:t>on</w:t>
      </w:r>
      <w:r w:rsidR="003D640C">
        <w:rPr>
          <w:lang w:eastAsia="en-NZ"/>
        </w:rPr>
        <w:t xml:space="preserve"> </w:t>
      </w:r>
      <w:r w:rsidRPr="00BB6220">
        <w:rPr>
          <w:lang w:eastAsia="en-NZ"/>
        </w:rPr>
        <w:t>an</w:t>
      </w:r>
      <w:r w:rsidR="003D640C">
        <w:rPr>
          <w:lang w:eastAsia="en-NZ"/>
        </w:rPr>
        <w:t xml:space="preserve"> </w:t>
      </w:r>
      <w:r w:rsidRPr="00BB6220">
        <w:rPr>
          <w:lang w:eastAsia="en-NZ"/>
        </w:rPr>
        <w:t>individual.</w:t>
      </w:r>
      <w:r w:rsidR="003D640C">
        <w:rPr>
          <w:lang w:eastAsia="en-NZ"/>
        </w:rPr>
        <w:t xml:space="preserve"> </w:t>
      </w:r>
      <w:r w:rsidRPr="00BB6220">
        <w:rPr>
          <w:lang w:eastAsia="en-NZ"/>
        </w:rPr>
        <w:t>Where</w:t>
      </w:r>
      <w:r w:rsidR="003D640C">
        <w:rPr>
          <w:lang w:eastAsia="en-NZ"/>
        </w:rPr>
        <w:t xml:space="preserve"> </w:t>
      </w:r>
      <w:r w:rsidRPr="00BB6220">
        <w:rPr>
          <w:lang w:eastAsia="en-NZ"/>
        </w:rPr>
        <w:t>possible,</w:t>
      </w:r>
      <w:r w:rsidR="003D640C">
        <w:rPr>
          <w:lang w:eastAsia="en-NZ"/>
        </w:rPr>
        <w:t xml:space="preserve"> </w:t>
      </w:r>
      <w:r w:rsidRPr="00BB6220">
        <w:rPr>
          <w:lang w:eastAsia="en-NZ"/>
        </w:rPr>
        <w:t>acceptance</w:t>
      </w:r>
      <w:r w:rsidR="003D640C">
        <w:rPr>
          <w:lang w:eastAsia="en-NZ"/>
        </w:rPr>
        <w:t xml:space="preserve"> </w:t>
      </w:r>
      <w:r w:rsidRPr="00BB6220">
        <w:rPr>
          <w:lang w:eastAsia="en-NZ"/>
        </w:rPr>
        <w:t>and</w:t>
      </w:r>
      <w:r w:rsidR="003D640C">
        <w:rPr>
          <w:lang w:eastAsia="en-NZ"/>
        </w:rPr>
        <w:t xml:space="preserve"> </w:t>
      </w:r>
      <w:r w:rsidRPr="00BB6220">
        <w:rPr>
          <w:lang w:eastAsia="en-NZ"/>
        </w:rPr>
        <w:t>support</w:t>
      </w:r>
      <w:r w:rsidR="003D640C">
        <w:rPr>
          <w:lang w:eastAsia="en-NZ"/>
        </w:rPr>
        <w:t xml:space="preserve"> </w:t>
      </w:r>
      <w:r w:rsidRPr="00BB6220">
        <w:rPr>
          <w:lang w:eastAsia="en-NZ"/>
        </w:rPr>
        <w:t>by</w:t>
      </w:r>
      <w:r w:rsidR="003D640C">
        <w:rPr>
          <w:lang w:eastAsia="en-NZ"/>
        </w:rPr>
        <w:t xml:space="preserve"> </w:t>
      </w:r>
      <w:r w:rsidRPr="00BB6220">
        <w:rPr>
          <w:lang w:eastAsia="en-NZ"/>
        </w:rPr>
        <w:t>whānau</w:t>
      </w:r>
      <w:r w:rsidR="003D640C">
        <w:rPr>
          <w:lang w:eastAsia="en-NZ"/>
        </w:rPr>
        <w:t xml:space="preserve"> </w:t>
      </w:r>
      <w:r w:rsidRPr="00BB6220">
        <w:rPr>
          <w:lang w:eastAsia="en-NZ"/>
        </w:rPr>
        <w:t>members</w:t>
      </w:r>
      <w:r w:rsidR="003D640C">
        <w:rPr>
          <w:lang w:eastAsia="en-NZ"/>
        </w:rPr>
        <w:t xml:space="preserve"> </w:t>
      </w:r>
      <w:r w:rsidRPr="00BB6220">
        <w:rPr>
          <w:lang w:eastAsia="en-NZ"/>
        </w:rPr>
        <w:t>will</w:t>
      </w:r>
      <w:r w:rsidR="003D640C">
        <w:rPr>
          <w:lang w:eastAsia="en-NZ"/>
        </w:rPr>
        <w:t xml:space="preserve"> </w:t>
      </w:r>
      <w:r w:rsidRPr="00BB6220">
        <w:rPr>
          <w:lang w:eastAsia="en-NZ"/>
        </w:rPr>
        <w:t>minimise</w:t>
      </w:r>
      <w:r w:rsidR="003D640C">
        <w:rPr>
          <w:lang w:eastAsia="en-NZ"/>
        </w:rPr>
        <w:t xml:space="preserve"> </w:t>
      </w:r>
      <w:r w:rsidRPr="00BB6220">
        <w:rPr>
          <w:lang w:eastAsia="en-NZ"/>
        </w:rPr>
        <w:t>risks</w:t>
      </w:r>
      <w:r w:rsidR="003D640C">
        <w:rPr>
          <w:lang w:eastAsia="en-NZ"/>
        </w:rPr>
        <w:t xml:space="preserve"> </w:t>
      </w:r>
      <w:r w:rsidRPr="00BB6220">
        <w:rPr>
          <w:lang w:eastAsia="en-NZ"/>
        </w:rPr>
        <w:t>to</w:t>
      </w:r>
      <w:r w:rsidR="003D640C">
        <w:rPr>
          <w:lang w:eastAsia="en-NZ"/>
        </w:rPr>
        <w:t xml:space="preserve"> </w:t>
      </w:r>
      <w:r w:rsidRPr="00BB6220">
        <w:rPr>
          <w:lang w:eastAsia="en-NZ"/>
        </w:rPr>
        <w:t>harm</w:t>
      </w:r>
      <w:r w:rsidR="003D640C">
        <w:rPr>
          <w:lang w:eastAsia="en-NZ"/>
        </w:rPr>
        <w:t xml:space="preserve"> </w:t>
      </w:r>
      <w:r w:rsidRPr="00BB6220">
        <w:rPr>
          <w:lang w:eastAsia="en-NZ"/>
        </w:rPr>
        <w:t>for</w:t>
      </w:r>
      <w:r w:rsidR="003D640C">
        <w:rPr>
          <w:lang w:eastAsia="en-NZ"/>
        </w:rPr>
        <w:t xml:space="preserve"> </w:t>
      </w:r>
      <w:r w:rsidRPr="00BB6220">
        <w:rPr>
          <w:lang w:eastAsia="en-NZ"/>
        </w:rPr>
        <w:t>those</w:t>
      </w:r>
      <w:r w:rsidR="003D640C">
        <w:rPr>
          <w:lang w:eastAsia="en-NZ"/>
        </w:rPr>
        <w:t xml:space="preserve"> </w:t>
      </w:r>
      <w:r w:rsidRPr="00BB6220">
        <w:rPr>
          <w:lang w:eastAsia="en-NZ"/>
        </w:rPr>
        <w:t>susceptible</w:t>
      </w:r>
      <w:r w:rsidR="003D640C">
        <w:rPr>
          <w:lang w:eastAsia="en-NZ"/>
        </w:rPr>
        <w:t xml:space="preserve"> </w:t>
      </w:r>
      <w:r w:rsidRPr="00BB6220">
        <w:rPr>
          <w:lang w:eastAsia="en-NZ"/>
        </w:rPr>
        <w:t>to</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Rather</w:t>
      </w:r>
      <w:r w:rsidR="003D640C">
        <w:rPr>
          <w:lang w:eastAsia="en-NZ"/>
        </w:rPr>
        <w:t xml:space="preserve"> </w:t>
      </w:r>
      <w:r w:rsidRPr="00BB6220">
        <w:rPr>
          <w:lang w:eastAsia="en-NZ"/>
        </w:rPr>
        <w:t>than</w:t>
      </w:r>
      <w:r w:rsidR="003D640C">
        <w:rPr>
          <w:lang w:eastAsia="en-NZ"/>
        </w:rPr>
        <w:t xml:space="preserve"> </w:t>
      </w:r>
      <w:r w:rsidRPr="00BB6220">
        <w:rPr>
          <w:lang w:eastAsia="en-NZ"/>
        </w:rPr>
        <w:t>the</w:t>
      </w:r>
      <w:r w:rsidR="003D640C">
        <w:rPr>
          <w:lang w:eastAsia="en-NZ"/>
        </w:rPr>
        <w:t xml:space="preserve"> </w:t>
      </w:r>
      <w:r w:rsidRPr="00BB6220">
        <w:rPr>
          <w:lang w:eastAsia="en-NZ"/>
        </w:rPr>
        <w:t>survivor</w:t>
      </w:r>
      <w:r w:rsidR="003D640C">
        <w:rPr>
          <w:lang w:eastAsia="en-NZ"/>
        </w:rPr>
        <w:t xml:space="preserve"> </w:t>
      </w:r>
      <w:r w:rsidRPr="00BB6220">
        <w:rPr>
          <w:lang w:eastAsia="en-NZ"/>
        </w:rPr>
        <w:t>being</w:t>
      </w:r>
      <w:r w:rsidR="003D640C">
        <w:rPr>
          <w:lang w:eastAsia="en-NZ"/>
        </w:rPr>
        <w:t xml:space="preserve"> </w:t>
      </w:r>
      <w:r w:rsidRPr="00BB6220">
        <w:rPr>
          <w:lang w:eastAsia="en-NZ"/>
        </w:rPr>
        <w:t>extracted</w:t>
      </w:r>
      <w:r w:rsidR="003D640C">
        <w:rPr>
          <w:lang w:eastAsia="en-NZ"/>
        </w:rPr>
        <w:t xml:space="preserve"> </w:t>
      </w:r>
      <w:r w:rsidRPr="00BB6220">
        <w:rPr>
          <w:lang w:eastAsia="en-NZ"/>
        </w:rPr>
        <w:t>from</w:t>
      </w:r>
      <w:r w:rsidR="003D640C">
        <w:rPr>
          <w:lang w:eastAsia="en-NZ"/>
        </w:rPr>
        <w:t xml:space="preserve"> </w:t>
      </w:r>
      <w:r w:rsidRPr="00BB6220">
        <w:rPr>
          <w:lang w:eastAsia="en-NZ"/>
        </w:rPr>
        <w:t>communities,</w:t>
      </w:r>
      <w:r w:rsidR="003D640C">
        <w:rPr>
          <w:lang w:eastAsia="en-NZ"/>
        </w:rPr>
        <w:t xml:space="preserve"> </w:t>
      </w:r>
      <w:r w:rsidRPr="00BB6220">
        <w:rPr>
          <w:lang w:eastAsia="en-NZ"/>
        </w:rPr>
        <w:t>the</w:t>
      </w:r>
      <w:r w:rsidR="003D640C">
        <w:rPr>
          <w:lang w:eastAsia="en-NZ"/>
        </w:rPr>
        <w:t xml:space="preserve"> </w:t>
      </w:r>
      <w:r w:rsidRPr="00BB6220">
        <w:rPr>
          <w:lang w:eastAsia="en-NZ"/>
        </w:rPr>
        <w:t>harm</w:t>
      </w:r>
      <w:r w:rsidR="003D640C">
        <w:rPr>
          <w:lang w:eastAsia="en-NZ"/>
        </w:rPr>
        <w:t xml:space="preserve"> </w:t>
      </w:r>
      <w:r w:rsidRPr="00BB6220">
        <w:rPr>
          <w:lang w:eastAsia="en-NZ"/>
        </w:rPr>
        <w:t>needs</w:t>
      </w:r>
      <w:r w:rsidR="003D640C">
        <w:rPr>
          <w:lang w:eastAsia="en-NZ"/>
        </w:rPr>
        <w:t xml:space="preserve"> </w:t>
      </w:r>
      <w:r w:rsidRPr="00BB6220">
        <w:rPr>
          <w:lang w:eastAsia="en-NZ"/>
        </w:rPr>
        <w:t>to</w:t>
      </w:r>
      <w:r w:rsidR="003D640C">
        <w:rPr>
          <w:lang w:eastAsia="en-NZ"/>
        </w:rPr>
        <w:t xml:space="preserve"> </w:t>
      </w:r>
      <w:r w:rsidRPr="00BB6220">
        <w:rPr>
          <w:lang w:eastAsia="en-NZ"/>
        </w:rPr>
        <w:t>be</w:t>
      </w:r>
      <w:r w:rsidR="003D640C">
        <w:rPr>
          <w:lang w:eastAsia="en-NZ"/>
        </w:rPr>
        <w:t xml:space="preserve"> </w:t>
      </w:r>
      <w:r w:rsidRPr="00BB6220">
        <w:rPr>
          <w:lang w:eastAsia="en-NZ"/>
        </w:rPr>
        <w:t>extracted</w:t>
      </w:r>
      <w:r w:rsidR="003D640C">
        <w:rPr>
          <w:lang w:eastAsia="en-NZ"/>
        </w:rPr>
        <w:t xml:space="preserve"> </w:t>
      </w:r>
      <w:r w:rsidRPr="00BB6220">
        <w:rPr>
          <w:lang w:eastAsia="en-NZ"/>
        </w:rPr>
        <w:t>from</w:t>
      </w:r>
      <w:r w:rsidR="003D640C">
        <w:rPr>
          <w:lang w:eastAsia="en-NZ"/>
        </w:rPr>
        <w:t xml:space="preserve"> </w:t>
      </w:r>
      <w:r w:rsidRPr="00BB6220">
        <w:rPr>
          <w:lang w:eastAsia="en-NZ"/>
        </w:rPr>
        <w:t>communities.</w:t>
      </w:r>
      <w:r w:rsidR="003D640C">
        <w:rPr>
          <w:lang w:eastAsia="en-NZ"/>
        </w:rPr>
        <w:t xml:space="preserve"> </w:t>
      </w:r>
      <w:r w:rsidRPr="00BB6220">
        <w:rPr>
          <w:lang w:eastAsia="en-NZ"/>
        </w:rPr>
        <w:t>Acceptance,</w:t>
      </w:r>
      <w:r w:rsidR="003D640C">
        <w:rPr>
          <w:lang w:eastAsia="en-NZ"/>
        </w:rPr>
        <w:t xml:space="preserve"> </w:t>
      </w:r>
      <w:r w:rsidRPr="00BB6220">
        <w:rPr>
          <w:lang w:eastAsia="en-NZ"/>
        </w:rPr>
        <w:t>support,</w:t>
      </w:r>
      <w:r w:rsidR="003D640C">
        <w:rPr>
          <w:lang w:eastAsia="en-NZ"/>
        </w:rPr>
        <w:t xml:space="preserve"> </w:t>
      </w:r>
      <w:r w:rsidRPr="00BB6220">
        <w:rPr>
          <w:lang w:eastAsia="en-NZ"/>
        </w:rPr>
        <w:t>and</w:t>
      </w:r>
      <w:r w:rsidR="003D640C">
        <w:rPr>
          <w:lang w:eastAsia="en-NZ"/>
        </w:rPr>
        <w:t xml:space="preserve"> </w:t>
      </w:r>
      <w:r w:rsidRPr="00BB6220">
        <w:rPr>
          <w:lang w:eastAsia="en-NZ"/>
        </w:rPr>
        <w:t>inclusion</w:t>
      </w:r>
      <w:r w:rsidR="003D640C">
        <w:rPr>
          <w:lang w:eastAsia="en-NZ"/>
        </w:rPr>
        <w:t xml:space="preserve"> </w:t>
      </w:r>
      <w:r w:rsidRPr="00BB6220">
        <w:rPr>
          <w:lang w:eastAsia="en-NZ"/>
        </w:rPr>
        <w:t>align</w:t>
      </w:r>
      <w:r w:rsidR="003D640C">
        <w:rPr>
          <w:lang w:eastAsia="en-NZ"/>
        </w:rPr>
        <w:t xml:space="preserve"> </w:t>
      </w:r>
      <w:r w:rsidRPr="00BB6220">
        <w:rPr>
          <w:lang w:eastAsia="en-NZ"/>
        </w:rPr>
        <w:t>with</w:t>
      </w:r>
      <w:r w:rsidR="003D640C">
        <w:rPr>
          <w:lang w:eastAsia="en-NZ"/>
        </w:rPr>
        <w:t xml:space="preserve"> </w:t>
      </w:r>
      <w:r w:rsidRPr="00BB6220">
        <w:rPr>
          <w:lang w:eastAsia="en-NZ"/>
        </w:rPr>
        <w:t>the</w:t>
      </w:r>
      <w:r w:rsidR="003D640C">
        <w:rPr>
          <w:lang w:eastAsia="en-NZ"/>
        </w:rPr>
        <w:t xml:space="preserve"> </w:t>
      </w:r>
      <w:r w:rsidRPr="00BB6220">
        <w:rPr>
          <w:lang w:eastAsia="en-NZ"/>
        </w:rPr>
        <w:t>key</w:t>
      </w:r>
      <w:r w:rsidR="003D640C">
        <w:rPr>
          <w:lang w:eastAsia="en-NZ"/>
        </w:rPr>
        <w:t xml:space="preserve"> </w:t>
      </w:r>
      <w:r w:rsidRPr="00BB6220">
        <w:rPr>
          <w:lang w:eastAsia="en-NZ"/>
        </w:rPr>
        <w:t>principles</w:t>
      </w:r>
      <w:r w:rsidR="003D640C">
        <w:rPr>
          <w:lang w:eastAsia="en-NZ"/>
        </w:rPr>
        <w:t xml:space="preserve"> </w:t>
      </w:r>
      <w:r w:rsidRPr="00BB6220">
        <w:rPr>
          <w:lang w:eastAsia="en-NZ"/>
        </w:rPr>
        <w:t>within</w:t>
      </w:r>
      <w:r w:rsidR="003D640C">
        <w:rPr>
          <w:lang w:eastAsia="en-NZ"/>
        </w:rPr>
        <w:t xml:space="preserve"> </w:t>
      </w:r>
      <w:r w:rsidRPr="00BB6220">
        <w:rPr>
          <w:lang w:eastAsia="en-NZ"/>
        </w:rPr>
        <w:t>te</w:t>
      </w:r>
      <w:r w:rsidR="003D640C">
        <w:rPr>
          <w:lang w:eastAsia="en-NZ"/>
        </w:rPr>
        <w:t xml:space="preserve"> </w:t>
      </w:r>
      <w:r w:rsidRPr="00BB6220">
        <w:rPr>
          <w:lang w:eastAsia="en-NZ"/>
        </w:rPr>
        <w:t>ao</w:t>
      </w:r>
      <w:r w:rsidR="003D640C">
        <w:rPr>
          <w:lang w:eastAsia="en-NZ"/>
        </w:rPr>
        <w:t xml:space="preserve"> </w:t>
      </w:r>
      <w:r w:rsidRPr="00BB6220">
        <w:rPr>
          <w:lang w:eastAsia="en-NZ"/>
        </w:rPr>
        <w:t>Māori</w:t>
      </w:r>
      <w:r w:rsidR="003D640C">
        <w:rPr>
          <w:lang w:eastAsia="en-NZ"/>
        </w:rPr>
        <w:t xml:space="preserve"> </w:t>
      </w:r>
      <w:r w:rsidRPr="00BB6220">
        <w:rPr>
          <w:lang w:eastAsia="en-NZ"/>
        </w:rPr>
        <w:t>of</w:t>
      </w:r>
      <w:r w:rsidR="003D640C">
        <w:rPr>
          <w:lang w:eastAsia="en-NZ"/>
        </w:rPr>
        <w:t xml:space="preserve"> </w:t>
      </w:r>
      <w:r w:rsidRPr="00BB6220">
        <w:rPr>
          <w:lang w:eastAsia="en-NZ"/>
        </w:rPr>
        <w:t>aroha,</w:t>
      </w:r>
      <w:r w:rsidR="003D640C">
        <w:rPr>
          <w:lang w:eastAsia="en-NZ"/>
        </w:rPr>
        <w:t xml:space="preserve"> </w:t>
      </w:r>
      <w:r w:rsidRPr="00BB6220">
        <w:rPr>
          <w:lang w:eastAsia="en-NZ"/>
        </w:rPr>
        <w:t>awhi,</w:t>
      </w:r>
      <w:r w:rsidR="003D640C">
        <w:rPr>
          <w:lang w:eastAsia="en-NZ"/>
        </w:rPr>
        <w:t xml:space="preserve"> </w:t>
      </w:r>
      <w:r w:rsidRPr="00BB6220">
        <w:rPr>
          <w:lang w:eastAsia="en-NZ"/>
        </w:rPr>
        <w:t>man</w:t>
      </w:r>
      <w:r>
        <w:rPr>
          <w:lang w:eastAsia="en-NZ"/>
        </w:rPr>
        <w:t>aa</w:t>
      </w:r>
      <w:r w:rsidRPr="00BB6220">
        <w:rPr>
          <w:lang w:eastAsia="en-NZ"/>
        </w:rPr>
        <w:t>kitanga,</w:t>
      </w:r>
      <w:r w:rsidR="003D640C">
        <w:rPr>
          <w:lang w:eastAsia="en-NZ"/>
        </w:rPr>
        <w:t xml:space="preserve"> </w:t>
      </w:r>
      <w:r w:rsidRPr="00BB6220">
        <w:rPr>
          <w:lang w:eastAsia="en-NZ"/>
        </w:rPr>
        <w:t>whanaungatanga,</w:t>
      </w:r>
      <w:r w:rsidR="003D640C">
        <w:rPr>
          <w:lang w:eastAsia="en-NZ"/>
        </w:rPr>
        <w:t xml:space="preserve"> </w:t>
      </w:r>
      <w:r w:rsidRPr="00BB6220">
        <w:rPr>
          <w:lang w:eastAsia="en-NZ"/>
        </w:rPr>
        <w:t>and</w:t>
      </w:r>
      <w:r w:rsidR="003D640C">
        <w:rPr>
          <w:lang w:eastAsia="en-NZ"/>
        </w:rPr>
        <w:t xml:space="preserve"> </w:t>
      </w:r>
      <w:r w:rsidRPr="00BB6220">
        <w:rPr>
          <w:lang w:eastAsia="en-NZ"/>
        </w:rPr>
        <w:t>whakapapa.</w:t>
      </w:r>
      <w:r w:rsidR="003D640C">
        <w:rPr>
          <w:lang w:eastAsia="en-NZ"/>
        </w:rPr>
        <w:t xml:space="preserve"> </w:t>
      </w:r>
      <w:r w:rsidRPr="00BB6220">
        <w:rPr>
          <w:lang w:eastAsia="en-NZ"/>
        </w:rPr>
        <w:t>Employing</w:t>
      </w:r>
      <w:r w:rsidR="003D640C">
        <w:rPr>
          <w:lang w:eastAsia="en-NZ"/>
        </w:rPr>
        <w:t xml:space="preserve"> </w:t>
      </w:r>
      <w:r w:rsidRPr="00BB6220">
        <w:rPr>
          <w:lang w:eastAsia="en-NZ"/>
        </w:rPr>
        <w:t>these</w:t>
      </w:r>
      <w:r w:rsidR="003D640C">
        <w:rPr>
          <w:lang w:eastAsia="en-NZ"/>
        </w:rPr>
        <w:t xml:space="preserve"> </w:t>
      </w:r>
      <w:r w:rsidRPr="00BB6220">
        <w:rPr>
          <w:lang w:eastAsia="en-NZ"/>
        </w:rPr>
        <w:t>principles</w:t>
      </w:r>
      <w:r w:rsidR="003D640C">
        <w:rPr>
          <w:lang w:eastAsia="en-NZ"/>
        </w:rPr>
        <w:t xml:space="preserve"> </w:t>
      </w:r>
      <w:r w:rsidRPr="00BB6220">
        <w:rPr>
          <w:lang w:eastAsia="en-NZ"/>
        </w:rPr>
        <w:t>may</w:t>
      </w:r>
      <w:r w:rsidR="003D640C">
        <w:rPr>
          <w:lang w:eastAsia="en-NZ"/>
        </w:rPr>
        <w:t xml:space="preserve"> </w:t>
      </w:r>
      <w:r w:rsidRPr="00BB6220">
        <w:rPr>
          <w:lang w:eastAsia="en-NZ"/>
        </w:rPr>
        <w:t>help</w:t>
      </w:r>
      <w:r w:rsidR="003D640C">
        <w:rPr>
          <w:lang w:eastAsia="en-NZ"/>
        </w:rPr>
        <w:t xml:space="preserve"> </w:t>
      </w:r>
      <w:r w:rsidRPr="00BB6220">
        <w:rPr>
          <w:lang w:eastAsia="en-NZ"/>
        </w:rPr>
        <w:t>to</w:t>
      </w:r>
      <w:r w:rsidR="003D640C">
        <w:rPr>
          <w:lang w:eastAsia="en-NZ"/>
        </w:rPr>
        <w:t xml:space="preserve"> </w:t>
      </w:r>
      <w:r w:rsidRPr="00BB6220">
        <w:rPr>
          <w:lang w:eastAsia="en-NZ"/>
        </w:rPr>
        <w:t>heal</w:t>
      </w:r>
      <w:r w:rsidR="003D640C">
        <w:rPr>
          <w:lang w:eastAsia="en-NZ"/>
        </w:rPr>
        <w:t xml:space="preserve"> </w:t>
      </w:r>
      <w:r w:rsidRPr="00BB6220">
        <w:rPr>
          <w:lang w:eastAsia="en-NZ"/>
        </w:rPr>
        <w:t>relationships</w:t>
      </w:r>
      <w:r w:rsidR="003D640C">
        <w:rPr>
          <w:lang w:eastAsia="en-NZ"/>
        </w:rPr>
        <w:t xml:space="preserve"> </w:t>
      </w:r>
      <w:r w:rsidRPr="00BB6220">
        <w:rPr>
          <w:lang w:eastAsia="en-NZ"/>
        </w:rPr>
        <w:t>damaged</w:t>
      </w:r>
      <w:r w:rsidR="003D640C">
        <w:rPr>
          <w:lang w:eastAsia="en-NZ"/>
        </w:rPr>
        <w:t xml:space="preserve"> </w:t>
      </w:r>
      <w:r w:rsidRPr="00BB6220">
        <w:rPr>
          <w:lang w:eastAsia="en-NZ"/>
        </w:rPr>
        <w:t>by</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p>
    <w:p w14:paraId="66E4534C" w14:textId="0D7AF75A" w:rsidR="00501068" w:rsidRDefault="00E61CE8" w:rsidP="009032B9">
      <w:pPr>
        <w:rPr>
          <w:rFonts w:ascii="Segoe UI" w:hAnsi="Segoe UI" w:cs="Segoe UI"/>
          <w:lang w:eastAsia="en-NZ"/>
        </w:rPr>
      </w:pPr>
      <w:r w:rsidRPr="00BB6220">
        <w:rPr>
          <w:lang w:eastAsia="en-NZ"/>
        </w:rPr>
        <w:t>In</w:t>
      </w:r>
      <w:r w:rsidR="003D640C">
        <w:rPr>
          <w:lang w:eastAsia="en-NZ"/>
        </w:rPr>
        <w:t xml:space="preserve"> </w:t>
      </w:r>
      <w:r w:rsidRPr="00BB6220">
        <w:rPr>
          <w:lang w:eastAsia="en-NZ"/>
        </w:rPr>
        <w:t>our</w:t>
      </w:r>
      <w:r w:rsidR="003D640C">
        <w:rPr>
          <w:lang w:eastAsia="en-NZ"/>
        </w:rPr>
        <w:t xml:space="preserve"> </w:t>
      </w:r>
      <w:r w:rsidRPr="00BB6220">
        <w:rPr>
          <w:lang w:eastAsia="en-NZ"/>
        </w:rPr>
        <w:t>engagement,</w:t>
      </w:r>
      <w:r w:rsidR="003D640C">
        <w:rPr>
          <w:lang w:eastAsia="en-NZ"/>
        </w:rPr>
        <w:t xml:space="preserve"> </w:t>
      </w:r>
      <w:r w:rsidRPr="00BB6220">
        <w:rPr>
          <w:lang w:eastAsia="en-NZ"/>
        </w:rPr>
        <w:t>survivors</w:t>
      </w:r>
      <w:r w:rsidR="003D640C">
        <w:rPr>
          <w:lang w:eastAsia="en-NZ"/>
        </w:rPr>
        <w:t xml:space="preserve"> </w:t>
      </w:r>
      <w:r w:rsidRPr="00BB6220">
        <w:rPr>
          <w:lang w:eastAsia="en-NZ"/>
        </w:rPr>
        <w:t>wanted</w:t>
      </w:r>
      <w:r w:rsidR="003D640C">
        <w:rPr>
          <w:lang w:eastAsia="en-NZ"/>
        </w:rPr>
        <w:t xml:space="preserve"> </w:t>
      </w:r>
      <w:r w:rsidRPr="00BB6220">
        <w:rPr>
          <w:lang w:eastAsia="en-NZ"/>
        </w:rPr>
        <w:t>to</w:t>
      </w:r>
      <w:r w:rsidR="003D640C">
        <w:rPr>
          <w:lang w:eastAsia="en-NZ"/>
        </w:rPr>
        <w:t xml:space="preserve"> </w:t>
      </w:r>
      <w:r w:rsidRPr="00BB6220">
        <w:rPr>
          <w:lang w:eastAsia="en-NZ"/>
        </w:rPr>
        <w:t>see</w:t>
      </w:r>
      <w:r w:rsidR="003D640C">
        <w:rPr>
          <w:lang w:eastAsia="en-NZ"/>
        </w:rPr>
        <w:t xml:space="preserve"> </w:t>
      </w:r>
      <w:r w:rsidRPr="00BB6220">
        <w:rPr>
          <w:lang w:eastAsia="en-NZ"/>
        </w:rPr>
        <w:t>mediation</w:t>
      </w:r>
      <w:r w:rsidR="003D640C">
        <w:rPr>
          <w:lang w:eastAsia="en-NZ"/>
        </w:rPr>
        <w:t xml:space="preserve"> </w:t>
      </w:r>
      <w:r w:rsidRPr="00BB6220">
        <w:rPr>
          <w:lang w:eastAsia="en-NZ"/>
        </w:rPr>
        <w:t>processes</w:t>
      </w:r>
      <w:r w:rsidR="003D640C">
        <w:rPr>
          <w:lang w:eastAsia="en-NZ"/>
        </w:rPr>
        <w:t xml:space="preserve"> </w:t>
      </w:r>
      <w:r w:rsidRPr="00BB6220">
        <w:rPr>
          <w:lang w:eastAsia="en-NZ"/>
        </w:rPr>
        <w:t>focused</w:t>
      </w:r>
      <w:r w:rsidR="003D640C">
        <w:rPr>
          <w:lang w:eastAsia="en-NZ"/>
        </w:rPr>
        <w:t xml:space="preserve"> </w:t>
      </w:r>
      <w:r w:rsidRPr="00BB6220">
        <w:rPr>
          <w:lang w:eastAsia="en-NZ"/>
        </w:rPr>
        <w:t>on</w:t>
      </w:r>
      <w:r w:rsidR="003D640C">
        <w:rPr>
          <w:lang w:eastAsia="en-NZ"/>
        </w:rPr>
        <w:t xml:space="preserve"> </w:t>
      </w:r>
      <w:r w:rsidRPr="00BB6220">
        <w:rPr>
          <w:lang w:eastAsia="en-NZ"/>
        </w:rPr>
        <w:t>restoring</w:t>
      </w:r>
      <w:r w:rsidR="003D640C">
        <w:rPr>
          <w:lang w:eastAsia="en-NZ"/>
        </w:rPr>
        <w:t xml:space="preserve"> </w:t>
      </w:r>
      <w:r w:rsidRPr="00BB6220">
        <w:rPr>
          <w:lang w:eastAsia="en-NZ"/>
        </w:rPr>
        <w:t>relationships</w:t>
      </w:r>
      <w:r w:rsidR="003D640C">
        <w:rPr>
          <w:lang w:eastAsia="en-NZ"/>
        </w:rPr>
        <w:t xml:space="preserve"> </w:t>
      </w:r>
      <w:r w:rsidRPr="00BB6220">
        <w:rPr>
          <w:lang w:eastAsia="en-NZ"/>
        </w:rPr>
        <w:t>and</w:t>
      </w:r>
      <w:r w:rsidR="003D640C">
        <w:rPr>
          <w:lang w:eastAsia="en-NZ"/>
        </w:rPr>
        <w:t xml:space="preserve"> </w:t>
      </w:r>
      <w:r w:rsidRPr="00BB6220">
        <w:rPr>
          <w:lang w:eastAsia="en-NZ"/>
        </w:rPr>
        <w:t>on</w:t>
      </w:r>
      <w:r w:rsidR="003D640C">
        <w:rPr>
          <w:lang w:eastAsia="en-NZ"/>
        </w:rPr>
        <w:t xml:space="preserve"> </w:t>
      </w:r>
      <w:r w:rsidRPr="00BB6220">
        <w:rPr>
          <w:lang w:eastAsia="en-NZ"/>
        </w:rPr>
        <w:t>wider</w:t>
      </w:r>
      <w:r w:rsidR="003D640C">
        <w:rPr>
          <w:lang w:eastAsia="en-NZ"/>
        </w:rPr>
        <w:t xml:space="preserve"> </w:t>
      </w:r>
      <w:r w:rsidRPr="00BB6220">
        <w:rPr>
          <w:lang w:eastAsia="en-NZ"/>
        </w:rPr>
        <w:t>whānau</w:t>
      </w:r>
      <w:r w:rsidR="003D640C">
        <w:rPr>
          <w:lang w:eastAsia="en-NZ"/>
        </w:rPr>
        <w:t xml:space="preserve"> </w:t>
      </w:r>
      <w:r w:rsidRPr="00BB6220">
        <w:rPr>
          <w:lang w:eastAsia="en-NZ"/>
        </w:rPr>
        <w:t>experiences.</w:t>
      </w:r>
      <w:r w:rsidR="003D640C">
        <w:rPr>
          <w:lang w:eastAsia="en-NZ"/>
        </w:rPr>
        <w:t xml:space="preserve"> </w:t>
      </w:r>
      <w:r w:rsidRPr="00BB6220">
        <w:rPr>
          <w:lang w:eastAsia="en-NZ"/>
        </w:rPr>
        <w:t>Mediation,</w:t>
      </w:r>
      <w:r w:rsidR="003D640C">
        <w:rPr>
          <w:lang w:eastAsia="en-NZ"/>
        </w:rPr>
        <w:t xml:space="preserve"> </w:t>
      </w:r>
      <w:r w:rsidRPr="00BB6220">
        <w:rPr>
          <w:lang w:eastAsia="en-NZ"/>
        </w:rPr>
        <w:t>like</w:t>
      </w:r>
      <w:r w:rsidR="003D640C">
        <w:rPr>
          <w:lang w:eastAsia="en-NZ"/>
        </w:rPr>
        <w:t xml:space="preserve"> </w:t>
      </w:r>
      <w:r w:rsidRPr="00BB6220">
        <w:rPr>
          <w:lang w:eastAsia="en-NZ"/>
        </w:rPr>
        <w:t>any</w:t>
      </w:r>
      <w:r w:rsidR="003D640C">
        <w:rPr>
          <w:lang w:eastAsia="en-NZ"/>
        </w:rPr>
        <w:t xml:space="preserve"> </w:t>
      </w:r>
      <w:r w:rsidRPr="00BB6220">
        <w:rPr>
          <w:lang w:eastAsia="en-NZ"/>
        </w:rPr>
        <w:t>other</w:t>
      </w:r>
      <w:r w:rsidR="003D640C">
        <w:rPr>
          <w:lang w:eastAsia="en-NZ"/>
        </w:rPr>
        <w:t xml:space="preserve"> </w:t>
      </w:r>
      <w:r w:rsidRPr="00BB6220">
        <w:rPr>
          <w:lang w:eastAsia="en-NZ"/>
        </w:rPr>
        <w:t>process</w:t>
      </w:r>
      <w:r w:rsidR="003D640C">
        <w:rPr>
          <w:lang w:eastAsia="en-NZ"/>
        </w:rPr>
        <w:t xml:space="preserve"> </w:t>
      </w:r>
      <w:r w:rsidRPr="00BB6220">
        <w:rPr>
          <w:lang w:eastAsia="en-NZ"/>
        </w:rPr>
        <w:t>Māori</w:t>
      </w:r>
      <w:r w:rsidR="003D640C">
        <w:rPr>
          <w:lang w:eastAsia="en-NZ"/>
        </w:rPr>
        <w:t xml:space="preserve"> </w:t>
      </w:r>
      <w:r w:rsidRPr="00BB6220">
        <w:rPr>
          <w:lang w:eastAsia="en-NZ"/>
        </w:rPr>
        <w:t>survivors</w:t>
      </w:r>
      <w:r w:rsidR="003D640C">
        <w:rPr>
          <w:lang w:eastAsia="en-NZ"/>
        </w:rPr>
        <w:t xml:space="preserve"> </w:t>
      </w:r>
      <w:r w:rsidRPr="00BB6220">
        <w:rPr>
          <w:lang w:eastAsia="en-NZ"/>
        </w:rPr>
        <w:t>become</w:t>
      </w:r>
      <w:r w:rsidR="003D640C">
        <w:rPr>
          <w:lang w:eastAsia="en-NZ"/>
        </w:rPr>
        <w:t xml:space="preserve"> </w:t>
      </w:r>
      <w:r w:rsidRPr="00BB6220">
        <w:rPr>
          <w:lang w:eastAsia="en-NZ"/>
        </w:rPr>
        <w:t>involved</w:t>
      </w:r>
      <w:r w:rsidR="003D640C">
        <w:rPr>
          <w:lang w:eastAsia="en-NZ"/>
        </w:rPr>
        <w:t xml:space="preserve"> </w:t>
      </w:r>
      <w:r w:rsidRPr="00BB6220">
        <w:rPr>
          <w:lang w:eastAsia="en-NZ"/>
        </w:rPr>
        <w:t>in,</w:t>
      </w:r>
      <w:r w:rsidR="003D640C">
        <w:rPr>
          <w:lang w:eastAsia="en-NZ"/>
        </w:rPr>
        <w:t xml:space="preserve"> </w:t>
      </w:r>
      <w:r w:rsidRPr="00BB6220">
        <w:rPr>
          <w:lang w:eastAsia="en-NZ"/>
        </w:rPr>
        <w:t>should</w:t>
      </w:r>
      <w:r w:rsidR="003D640C">
        <w:rPr>
          <w:lang w:eastAsia="en-NZ"/>
        </w:rPr>
        <w:t xml:space="preserve"> </w:t>
      </w:r>
      <w:r w:rsidRPr="00BB6220">
        <w:rPr>
          <w:lang w:eastAsia="en-NZ"/>
        </w:rPr>
        <w:t>include</w:t>
      </w:r>
      <w:r w:rsidR="003D640C">
        <w:rPr>
          <w:lang w:eastAsia="en-NZ"/>
        </w:rPr>
        <w:t xml:space="preserve"> </w:t>
      </w:r>
      <w:r w:rsidRPr="00BB6220">
        <w:rPr>
          <w:lang w:eastAsia="en-NZ"/>
        </w:rPr>
        <w:t>the</w:t>
      </w:r>
      <w:r w:rsidR="003D640C">
        <w:rPr>
          <w:lang w:eastAsia="en-NZ"/>
        </w:rPr>
        <w:t xml:space="preserve"> </w:t>
      </w:r>
      <w:r w:rsidRPr="00BB6220">
        <w:rPr>
          <w:lang w:eastAsia="en-NZ"/>
        </w:rPr>
        <w:t>option</w:t>
      </w:r>
      <w:r w:rsidR="003D640C">
        <w:rPr>
          <w:lang w:eastAsia="en-NZ"/>
        </w:rPr>
        <w:t xml:space="preserve"> </w:t>
      </w:r>
      <w:r w:rsidRPr="00BB6220">
        <w:rPr>
          <w:lang w:eastAsia="en-NZ"/>
        </w:rPr>
        <w:t>of</w:t>
      </w:r>
      <w:r w:rsidR="003D640C">
        <w:rPr>
          <w:lang w:eastAsia="en-NZ"/>
        </w:rPr>
        <w:t xml:space="preserve"> </w:t>
      </w:r>
      <w:r w:rsidRPr="00BB6220">
        <w:rPr>
          <w:lang w:eastAsia="en-NZ"/>
        </w:rPr>
        <w:t>using</w:t>
      </w:r>
      <w:r w:rsidR="003D640C">
        <w:rPr>
          <w:lang w:eastAsia="en-NZ"/>
        </w:rPr>
        <w:t xml:space="preserve"> </w:t>
      </w:r>
      <w:r w:rsidRPr="00BB6220">
        <w:rPr>
          <w:lang w:eastAsia="en-NZ"/>
        </w:rPr>
        <w:t>kaupapa</w:t>
      </w:r>
      <w:r w:rsidR="003D640C">
        <w:rPr>
          <w:lang w:eastAsia="en-NZ"/>
        </w:rPr>
        <w:t xml:space="preserve"> </w:t>
      </w:r>
      <w:r w:rsidRPr="00BB6220">
        <w:rPr>
          <w:lang w:eastAsia="en-NZ"/>
        </w:rPr>
        <w:t>Māori</w:t>
      </w:r>
      <w:r w:rsidR="003D640C">
        <w:rPr>
          <w:lang w:eastAsia="en-NZ"/>
        </w:rPr>
        <w:t xml:space="preserve"> </w:t>
      </w:r>
      <w:r w:rsidRPr="00BB6220">
        <w:rPr>
          <w:lang w:eastAsia="en-NZ"/>
        </w:rPr>
        <w:t>models.</w:t>
      </w:r>
      <w:r w:rsidR="003D640C">
        <w:rPr>
          <w:lang w:eastAsia="en-NZ"/>
        </w:rPr>
        <w:t xml:space="preserve"> </w:t>
      </w:r>
    </w:p>
    <w:p w14:paraId="55D0C711" w14:textId="3CD08A19" w:rsidR="00501068" w:rsidRDefault="00E61CE8" w:rsidP="009032B9">
      <w:pPr>
        <w:rPr>
          <w:rFonts w:ascii="Segoe UI" w:hAnsi="Segoe UI" w:cs="Segoe UI"/>
          <w:lang w:eastAsia="en-NZ"/>
        </w:rPr>
      </w:pPr>
      <w:r w:rsidRPr="00BB6220">
        <w:rPr>
          <w:lang w:eastAsia="en-NZ"/>
        </w:rPr>
        <w:t>Where</w:t>
      </w:r>
      <w:r w:rsidR="003D640C">
        <w:rPr>
          <w:lang w:eastAsia="en-NZ"/>
        </w:rPr>
        <w:t xml:space="preserve"> </w:t>
      </w:r>
      <w:r w:rsidRPr="00BB6220">
        <w:rPr>
          <w:lang w:eastAsia="en-NZ"/>
        </w:rPr>
        <w:t>whānau</w:t>
      </w:r>
      <w:r w:rsidR="003D640C">
        <w:rPr>
          <w:lang w:eastAsia="en-NZ"/>
        </w:rPr>
        <w:t xml:space="preserve"> </w:t>
      </w:r>
      <w:r w:rsidRPr="00BB6220">
        <w:rPr>
          <w:lang w:eastAsia="en-NZ"/>
        </w:rPr>
        <w:t>relationships</w:t>
      </w:r>
      <w:r w:rsidR="003D640C">
        <w:rPr>
          <w:lang w:eastAsia="en-NZ"/>
        </w:rPr>
        <w:t xml:space="preserve"> </w:t>
      </w:r>
      <w:r w:rsidRPr="00BB6220">
        <w:rPr>
          <w:lang w:eastAsia="en-NZ"/>
        </w:rPr>
        <w:t>cannot</w:t>
      </w:r>
      <w:r w:rsidR="003D640C">
        <w:rPr>
          <w:lang w:eastAsia="en-NZ"/>
        </w:rPr>
        <w:t xml:space="preserve"> </w:t>
      </w:r>
      <w:r w:rsidRPr="00BB6220">
        <w:rPr>
          <w:lang w:eastAsia="en-NZ"/>
        </w:rPr>
        <w:t>be</w:t>
      </w:r>
      <w:r w:rsidR="003D640C">
        <w:rPr>
          <w:lang w:eastAsia="en-NZ"/>
        </w:rPr>
        <w:t xml:space="preserve"> </w:t>
      </w:r>
      <w:r w:rsidRPr="00BB6220">
        <w:rPr>
          <w:lang w:eastAsia="en-NZ"/>
        </w:rPr>
        <w:t>repaired</w:t>
      </w:r>
      <w:r w:rsidR="003D640C">
        <w:rPr>
          <w:lang w:eastAsia="en-NZ"/>
        </w:rPr>
        <w:t xml:space="preserve"> </w:t>
      </w:r>
      <w:r w:rsidRPr="00BB6220">
        <w:rPr>
          <w:lang w:eastAsia="en-NZ"/>
        </w:rPr>
        <w:t>immediately</w:t>
      </w:r>
      <w:r w:rsidR="007465C4">
        <w:rPr>
          <w:lang w:eastAsia="en-NZ"/>
        </w:rPr>
        <w:t>,</w:t>
      </w:r>
      <w:r w:rsidR="003D640C">
        <w:rPr>
          <w:lang w:eastAsia="en-NZ"/>
        </w:rPr>
        <w:t xml:space="preserve"> </w:t>
      </w:r>
      <w:r w:rsidRPr="00BB6220">
        <w:rPr>
          <w:lang w:eastAsia="en-NZ"/>
        </w:rPr>
        <w:t>or</w:t>
      </w:r>
      <w:r w:rsidR="003D640C">
        <w:rPr>
          <w:lang w:eastAsia="en-NZ"/>
        </w:rPr>
        <w:t xml:space="preserve"> </w:t>
      </w:r>
      <w:r w:rsidRPr="00BB6220">
        <w:rPr>
          <w:lang w:eastAsia="en-NZ"/>
        </w:rPr>
        <w:t>at</w:t>
      </w:r>
      <w:r w:rsidR="003D640C">
        <w:rPr>
          <w:lang w:eastAsia="en-NZ"/>
        </w:rPr>
        <w:t xml:space="preserve"> </w:t>
      </w:r>
      <w:r w:rsidRPr="00BB6220">
        <w:rPr>
          <w:lang w:eastAsia="en-NZ"/>
        </w:rPr>
        <w:t>all,</w:t>
      </w:r>
      <w:r w:rsidR="003D640C">
        <w:rPr>
          <w:lang w:eastAsia="en-NZ"/>
        </w:rPr>
        <w:t xml:space="preserve"> </w:t>
      </w:r>
      <w:r w:rsidRPr="00BB6220">
        <w:rPr>
          <w:lang w:eastAsia="en-NZ"/>
        </w:rPr>
        <w:t>M</w:t>
      </w:r>
      <w:r w:rsidRPr="00BB6220">
        <w:rPr>
          <w:lang w:val="mi-NZ" w:eastAsia="en-NZ"/>
        </w:rPr>
        <w:t>āori</w:t>
      </w:r>
      <w:r w:rsidR="003D640C">
        <w:rPr>
          <w:lang w:val="mi-NZ" w:eastAsia="en-NZ"/>
        </w:rPr>
        <w:t xml:space="preserve"> </w:t>
      </w:r>
      <w:r w:rsidRPr="00BB6220">
        <w:rPr>
          <w:lang w:eastAsia="en-NZ"/>
        </w:rPr>
        <w:t>survivors</w:t>
      </w:r>
      <w:r w:rsidR="003D640C">
        <w:rPr>
          <w:lang w:eastAsia="en-NZ"/>
        </w:rPr>
        <w:t xml:space="preserve"> </w:t>
      </w:r>
      <w:r>
        <w:rPr>
          <w:lang w:eastAsia="en-NZ"/>
        </w:rPr>
        <w:t>may</w:t>
      </w:r>
      <w:r w:rsidR="003D640C">
        <w:rPr>
          <w:lang w:eastAsia="en-NZ"/>
        </w:rPr>
        <w:t xml:space="preserve"> </w:t>
      </w:r>
      <w:r w:rsidRPr="00BB6220">
        <w:rPr>
          <w:lang w:eastAsia="en-NZ"/>
        </w:rPr>
        <w:t>need</w:t>
      </w:r>
      <w:r w:rsidR="003D640C">
        <w:rPr>
          <w:lang w:eastAsia="en-NZ"/>
        </w:rPr>
        <w:t xml:space="preserve"> </w:t>
      </w:r>
      <w:r w:rsidRPr="00BB6220">
        <w:rPr>
          <w:lang w:eastAsia="en-NZ"/>
        </w:rPr>
        <w:t>support</w:t>
      </w:r>
      <w:r w:rsidR="003D640C">
        <w:rPr>
          <w:lang w:eastAsia="en-NZ"/>
        </w:rPr>
        <w:t xml:space="preserve"> </w:t>
      </w:r>
      <w:r w:rsidRPr="00BB6220">
        <w:rPr>
          <w:lang w:eastAsia="en-NZ"/>
        </w:rPr>
        <w:t>in</w:t>
      </w:r>
      <w:r w:rsidR="003D640C">
        <w:rPr>
          <w:lang w:eastAsia="en-NZ"/>
        </w:rPr>
        <w:t xml:space="preserve"> </w:t>
      </w:r>
      <w:r w:rsidRPr="00BB6220">
        <w:rPr>
          <w:lang w:eastAsia="en-NZ"/>
        </w:rPr>
        <w:t>overcoming</w:t>
      </w:r>
      <w:r w:rsidR="003D640C">
        <w:rPr>
          <w:lang w:eastAsia="en-NZ"/>
        </w:rPr>
        <w:t xml:space="preserve"> </w:t>
      </w:r>
      <w:r w:rsidRPr="00BB6220">
        <w:rPr>
          <w:lang w:eastAsia="en-NZ"/>
        </w:rPr>
        <w:t>the</w:t>
      </w:r>
      <w:r w:rsidR="003D640C">
        <w:rPr>
          <w:lang w:eastAsia="en-NZ"/>
        </w:rPr>
        <w:t xml:space="preserve"> </w:t>
      </w:r>
      <w:r w:rsidRPr="00BB6220">
        <w:rPr>
          <w:lang w:eastAsia="en-NZ"/>
        </w:rPr>
        <w:t>loss</w:t>
      </w:r>
      <w:r w:rsidR="003D640C">
        <w:rPr>
          <w:lang w:eastAsia="en-NZ"/>
        </w:rPr>
        <w:t xml:space="preserve"> </w:t>
      </w:r>
      <w:r w:rsidRPr="00BB6220">
        <w:rPr>
          <w:lang w:eastAsia="en-NZ"/>
        </w:rPr>
        <w:t>of</w:t>
      </w:r>
      <w:r w:rsidR="003D640C">
        <w:rPr>
          <w:lang w:eastAsia="en-NZ"/>
        </w:rPr>
        <w:t xml:space="preserve"> </w:t>
      </w:r>
      <w:r w:rsidRPr="00BB6220">
        <w:rPr>
          <w:lang w:eastAsia="en-NZ"/>
        </w:rPr>
        <w:t>their</w:t>
      </w:r>
      <w:r w:rsidR="003D640C">
        <w:rPr>
          <w:lang w:eastAsia="en-NZ"/>
        </w:rPr>
        <w:t xml:space="preserve"> </w:t>
      </w:r>
      <w:r w:rsidRPr="00BB6220">
        <w:rPr>
          <w:lang w:eastAsia="en-NZ"/>
        </w:rPr>
        <w:t>sense</w:t>
      </w:r>
      <w:r w:rsidR="003D640C">
        <w:rPr>
          <w:lang w:eastAsia="en-NZ"/>
        </w:rPr>
        <w:t xml:space="preserve"> </w:t>
      </w:r>
      <w:r w:rsidRPr="00BB6220">
        <w:rPr>
          <w:lang w:eastAsia="en-NZ"/>
        </w:rPr>
        <w:t>of</w:t>
      </w:r>
      <w:r w:rsidR="003D640C">
        <w:rPr>
          <w:lang w:eastAsia="en-NZ"/>
        </w:rPr>
        <w:t xml:space="preserve"> </w:t>
      </w:r>
      <w:r w:rsidRPr="00BB6220">
        <w:rPr>
          <w:lang w:eastAsia="en-NZ"/>
        </w:rPr>
        <w:t>cultural</w:t>
      </w:r>
      <w:r w:rsidR="003D640C">
        <w:rPr>
          <w:lang w:eastAsia="en-NZ"/>
        </w:rPr>
        <w:t xml:space="preserve"> </w:t>
      </w:r>
      <w:r w:rsidRPr="00BB6220">
        <w:rPr>
          <w:lang w:eastAsia="en-NZ"/>
        </w:rPr>
        <w:t>identity.</w:t>
      </w:r>
      <w:r w:rsidR="003D640C">
        <w:rPr>
          <w:lang w:eastAsia="en-NZ"/>
        </w:rPr>
        <w:t xml:space="preserve"> </w:t>
      </w:r>
      <w:r w:rsidRPr="00BB6220">
        <w:rPr>
          <w:lang w:eastAsia="en-NZ"/>
        </w:rPr>
        <w:t>This</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through</w:t>
      </w:r>
      <w:r w:rsidR="003D640C">
        <w:rPr>
          <w:lang w:eastAsia="en-NZ"/>
        </w:rPr>
        <w:t xml:space="preserve"> </w:t>
      </w:r>
      <w:r w:rsidRPr="00BB6220">
        <w:rPr>
          <w:lang w:eastAsia="en-NZ"/>
        </w:rPr>
        <w:t>connecting</w:t>
      </w:r>
      <w:r w:rsidR="003D640C">
        <w:rPr>
          <w:lang w:eastAsia="en-NZ"/>
        </w:rPr>
        <w:t xml:space="preserve"> </w:t>
      </w:r>
      <w:r w:rsidRPr="00BB6220">
        <w:rPr>
          <w:lang w:eastAsia="en-NZ"/>
        </w:rPr>
        <w:t>with</w:t>
      </w:r>
      <w:r w:rsidR="003D640C">
        <w:rPr>
          <w:lang w:eastAsia="en-NZ"/>
        </w:rPr>
        <w:t xml:space="preserve"> </w:t>
      </w:r>
      <w:r w:rsidRPr="00BB6220">
        <w:rPr>
          <w:lang w:eastAsia="en-NZ"/>
        </w:rPr>
        <w:t>new</w:t>
      </w:r>
      <w:r w:rsidR="003D640C">
        <w:rPr>
          <w:lang w:eastAsia="en-NZ"/>
        </w:rPr>
        <w:t xml:space="preserve"> </w:t>
      </w:r>
      <w:r w:rsidRPr="00BB6220">
        <w:rPr>
          <w:lang w:eastAsia="en-NZ"/>
        </w:rPr>
        <w:t>communities</w:t>
      </w:r>
      <w:r w:rsidR="003D640C">
        <w:rPr>
          <w:lang w:eastAsia="en-NZ"/>
        </w:rPr>
        <w:t xml:space="preserve"> </w:t>
      </w:r>
      <w:r w:rsidRPr="00BB6220">
        <w:rPr>
          <w:lang w:eastAsia="en-NZ"/>
        </w:rPr>
        <w:t>who</w:t>
      </w:r>
      <w:r w:rsidR="003D640C">
        <w:rPr>
          <w:lang w:eastAsia="en-NZ"/>
        </w:rPr>
        <w:t xml:space="preserve"> </w:t>
      </w:r>
      <w:r w:rsidRPr="00BB6220">
        <w:rPr>
          <w:lang w:eastAsia="en-NZ"/>
        </w:rPr>
        <w:t>affirm</w:t>
      </w:r>
      <w:r w:rsidR="003D640C">
        <w:rPr>
          <w:lang w:eastAsia="en-NZ"/>
        </w:rPr>
        <w:t xml:space="preserve"> </w:t>
      </w:r>
      <w:r w:rsidRPr="00BB6220">
        <w:rPr>
          <w:lang w:eastAsia="en-NZ"/>
        </w:rPr>
        <w:t>them</w:t>
      </w:r>
      <w:r w:rsidR="003D640C">
        <w:rPr>
          <w:lang w:eastAsia="en-NZ"/>
        </w:rPr>
        <w:t xml:space="preserve"> </w:t>
      </w:r>
      <w:r w:rsidRPr="00BB6220">
        <w:rPr>
          <w:lang w:eastAsia="en-NZ"/>
        </w:rPr>
        <w:t>as</w:t>
      </w:r>
      <w:r w:rsidR="003D640C">
        <w:rPr>
          <w:lang w:eastAsia="en-NZ"/>
        </w:rPr>
        <w:t xml:space="preserve"> </w:t>
      </w:r>
      <w:r w:rsidRPr="00BB6220">
        <w:rPr>
          <w:lang w:eastAsia="en-NZ"/>
        </w:rPr>
        <w:t>Māori.</w:t>
      </w:r>
      <w:r w:rsidR="003D640C">
        <w:rPr>
          <w:lang w:eastAsia="en-NZ"/>
        </w:rPr>
        <w:t xml:space="preserve"> </w:t>
      </w:r>
      <w:r w:rsidRPr="00BB6220">
        <w:rPr>
          <w:lang w:eastAsia="en-NZ"/>
        </w:rPr>
        <w:t>Connecting</w:t>
      </w:r>
      <w:r w:rsidR="003D640C">
        <w:rPr>
          <w:lang w:eastAsia="en-NZ"/>
        </w:rPr>
        <w:t xml:space="preserve"> </w:t>
      </w:r>
      <w:r w:rsidRPr="00BB6220">
        <w:rPr>
          <w:lang w:eastAsia="en-NZ"/>
        </w:rPr>
        <w:t>with</w:t>
      </w:r>
      <w:r w:rsidR="003D640C">
        <w:rPr>
          <w:lang w:eastAsia="en-NZ"/>
        </w:rPr>
        <w:t xml:space="preserve"> </w:t>
      </w:r>
      <w:r w:rsidRPr="00BB6220">
        <w:rPr>
          <w:lang w:eastAsia="en-NZ"/>
        </w:rPr>
        <w:t>groups</w:t>
      </w:r>
      <w:r w:rsidR="003D640C">
        <w:rPr>
          <w:lang w:eastAsia="en-NZ"/>
        </w:rPr>
        <w:t xml:space="preserve"> </w:t>
      </w:r>
      <w:r w:rsidRPr="00BB6220">
        <w:rPr>
          <w:lang w:eastAsia="en-NZ"/>
        </w:rPr>
        <w:t>that</w:t>
      </w:r>
      <w:r w:rsidR="003D640C">
        <w:rPr>
          <w:lang w:eastAsia="en-NZ"/>
        </w:rPr>
        <w:t xml:space="preserve"> </w:t>
      </w:r>
      <w:r w:rsidRPr="00BB6220">
        <w:rPr>
          <w:lang w:eastAsia="en-NZ"/>
        </w:rPr>
        <w:t>have</w:t>
      </w:r>
      <w:r w:rsidR="003D640C">
        <w:rPr>
          <w:lang w:eastAsia="en-NZ"/>
        </w:rPr>
        <w:t xml:space="preserve"> </w:t>
      </w:r>
      <w:r w:rsidRPr="00BB6220">
        <w:rPr>
          <w:lang w:eastAsia="en-NZ"/>
        </w:rPr>
        <w:t>the</w:t>
      </w:r>
      <w:r w:rsidR="003D640C">
        <w:rPr>
          <w:lang w:eastAsia="en-NZ"/>
        </w:rPr>
        <w:t xml:space="preserve"> </w:t>
      </w:r>
      <w:r w:rsidRPr="00BB6220">
        <w:rPr>
          <w:lang w:eastAsia="en-NZ"/>
        </w:rPr>
        <w:t>same</w:t>
      </w:r>
      <w:r w:rsidR="003D640C">
        <w:rPr>
          <w:lang w:eastAsia="en-NZ"/>
        </w:rPr>
        <w:t xml:space="preserve"> </w:t>
      </w:r>
      <w:r w:rsidRPr="00BB6220">
        <w:rPr>
          <w:lang w:eastAsia="en-NZ"/>
        </w:rPr>
        <w:t>Māori</w:t>
      </w:r>
      <w:r w:rsidR="003D640C">
        <w:rPr>
          <w:lang w:eastAsia="en-NZ"/>
        </w:rPr>
        <w:t xml:space="preserve"> </w:t>
      </w:r>
      <w:r w:rsidRPr="00BB6220">
        <w:rPr>
          <w:lang w:eastAsia="en-NZ"/>
        </w:rPr>
        <w:t>cultural</w:t>
      </w:r>
      <w:r w:rsidR="003D640C">
        <w:rPr>
          <w:lang w:eastAsia="en-NZ"/>
        </w:rPr>
        <w:t xml:space="preserve"> </w:t>
      </w:r>
      <w:r w:rsidRPr="00BB6220">
        <w:rPr>
          <w:lang w:eastAsia="en-NZ"/>
        </w:rPr>
        <w:t>values</w:t>
      </w:r>
      <w:r w:rsidR="003D640C">
        <w:rPr>
          <w:lang w:eastAsia="en-NZ"/>
        </w:rPr>
        <w:t xml:space="preserve"> </w:t>
      </w:r>
      <w:r w:rsidRPr="00BB6220">
        <w:rPr>
          <w:lang w:eastAsia="en-NZ"/>
        </w:rPr>
        <w:t>may</w:t>
      </w:r>
      <w:r w:rsidR="003D640C">
        <w:rPr>
          <w:lang w:eastAsia="en-NZ"/>
        </w:rPr>
        <w:t xml:space="preserve"> </w:t>
      </w:r>
      <w:r w:rsidRPr="00BB6220">
        <w:rPr>
          <w:lang w:eastAsia="en-NZ"/>
        </w:rPr>
        <w:t>help</w:t>
      </w:r>
      <w:r w:rsidR="003D640C">
        <w:rPr>
          <w:lang w:eastAsia="en-NZ"/>
        </w:rPr>
        <w:t xml:space="preserve"> </w:t>
      </w:r>
      <w:r w:rsidRPr="00BB6220">
        <w:rPr>
          <w:lang w:eastAsia="en-NZ"/>
        </w:rPr>
        <w:t>to</w:t>
      </w:r>
      <w:r w:rsidR="003D640C">
        <w:rPr>
          <w:lang w:eastAsia="en-NZ"/>
        </w:rPr>
        <w:t xml:space="preserve"> </w:t>
      </w:r>
      <w:r w:rsidRPr="00BB6220">
        <w:rPr>
          <w:lang w:eastAsia="en-NZ"/>
        </w:rPr>
        <w:t>prevent</w:t>
      </w:r>
      <w:r w:rsidR="003D640C">
        <w:rPr>
          <w:lang w:eastAsia="en-NZ"/>
        </w:rPr>
        <w:t xml:space="preserve"> </w:t>
      </w:r>
      <w:r w:rsidRPr="00BB6220">
        <w:rPr>
          <w:lang w:eastAsia="en-NZ"/>
        </w:rPr>
        <w:t>a</w:t>
      </w:r>
      <w:r w:rsidR="003D640C">
        <w:rPr>
          <w:lang w:eastAsia="en-NZ"/>
        </w:rPr>
        <w:t xml:space="preserve"> </w:t>
      </w:r>
      <w:r w:rsidRPr="00BB6220">
        <w:rPr>
          <w:lang w:eastAsia="en-NZ"/>
        </w:rPr>
        <w:t>further</w:t>
      </w:r>
      <w:r w:rsidR="003D640C">
        <w:rPr>
          <w:lang w:eastAsia="en-NZ"/>
        </w:rPr>
        <w:t xml:space="preserve"> </w:t>
      </w:r>
      <w:r w:rsidRPr="00BB6220">
        <w:rPr>
          <w:lang w:eastAsia="en-NZ"/>
        </w:rPr>
        <w:t>breakdown</w:t>
      </w:r>
      <w:r w:rsidR="003D640C">
        <w:rPr>
          <w:lang w:eastAsia="en-NZ"/>
        </w:rPr>
        <w:t xml:space="preserve"> </w:t>
      </w:r>
      <w:r w:rsidRPr="00BB6220">
        <w:rPr>
          <w:lang w:eastAsia="en-NZ"/>
        </w:rPr>
        <w:t>of</w:t>
      </w:r>
      <w:r w:rsidR="003D640C">
        <w:rPr>
          <w:lang w:eastAsia="en-NZ"/>
        </w:rPr>
        <w:t xml:space="preserve"> </w:t>
      </w:r>
      <w:r w:rsidRPr="00BB6220">
        <w:rPr>
          <w:lang w:eastAsia="en-NZ"/>
        </w:rPr>
        <w:t>identity.</w:t>
      </w:r>
      <w:r w:rsidR="003D640C">
        <w:rPr>
          <w:lang w:eastAsia="en-NZ"/>
        </w:rPr>
        <w:t xml:space="preserve"> </w:t>
      </w:r>
      <w:r w:rsidRPr="00BB6220">
        <w:rPr>
          <w:lang w:eastAsia="en-NZ"/>
        </w:rPr>
        <w:t>However,</w:t>
      </w:r>
      <w:r w:rsidR="003D640C">
        <w:rPr>
          <w:lang w:eastAsia="en-NZ"/>
        </w:rPr>
        <w:t xml:space="preserve"> </w:t>
      </w:r>
      <w:r w:rsidRPr="00BB6220">
        <w:rPr>
          <w:lang w:eastAsia="en-NZ"/>
        </w:rPr>
        <w:t>for</w:t>
      </w:r>
      <w:r w:rsidR="003D640C">
        <w:rPr>
          <w:lang w:eastAsia="en-NZ"/>
        </w:rPr>
        <w:t xml:space="preserve"> </w:t>
      </w:r>
      <w:r w:rsidRPr="00BB6220">
        <w:rPr>
          <w:lang w:eastAsia="en-NZ"/>
        </w:rPr>
        <w:t>someone</w:t>
      </w:r>
      <w:r w:rsidR="003D640C">
        <w:rPr>
          <w:lang w:eastAsia="en-NZ"/>
        </w:rPr>
        <w:t xml:space="preserve"> </w:t>
      </w:r>
      <w:r w:rsidRPr="00BB6220">
        <w:rPr>
          <w:lang w:eastAsia="en-NZ"/>
        </w:rPr>
        <w:t>who</w:t>
      </w:r>
      <w:r w:rsidR="003D640C">
        <w:rPr>
          <w:lang w:eastAsia="en-NZ"/>
        </w:rPr>
        <w:t xml:space="preserve"> </w:t>
      </w:r>
      <w:r w:rsidRPr="00BB6220">
        <w:rPr>
          <w:lang w:eastAsia="en-NZ"/>
        </w:rPr>
        <w:t>has</w:t>
      </w:r>
      <w:r w:rsidR="003D640C">
        <w:rPr>
          <w:lang w:eastAsia="en-NZ"/>
        </w:rPr>
        <w:t xml:space="preserve"> </w:t>
      </w:r>
      <w:r w:rsidRPr="00BB6220">
        <w:rPr>
          <w:lang w:eastAsia="en-NZ"/>
        </w:rPr>
        <w:t>internalised</w:t>
      </w:r>
      <w:r w:rsidR="003D640C">
        <w:rPr>
          <w:lang w:eastAsia="en-NZ"/>
        </w:rPr>
        <w:t xml:space="preserve"> </w:t>
      </w:r>
      <w:r w:rsidRPr="00BB6220">
        <w:rPr>
          <w:lang w:eastAsia="en-NZ"/>
        </w:rPr>
        <w:t>judgement</w:t>
      </w:r>
      <w:r w:rsidR="003D640C">
        <w:rPr>
          <w:lang w:eastAsia="en-NZ"/>
        </w:rPr>
        <w:t xml:space="preserve"> </w:t>
      </w:r>
      <w:r w:rsidRPr="00BB6220">
        <w:rPr>
          <w:lang w:eastAsia="en-NZ"/>
        </w:rPr>
        <w:t>against</w:t>
      </w:r>
      <w:r w:rsidR="003D640C">
        <w:rPr>
          <w:lang w:eastAsia="en-NZ"/>
        </w:rPr>
        <w:t xml:space="preserve"> </w:t>
      </w:r>
      <w:r w:rsidRPr="00BB6220">
        <w:rPr>
          <w:lang w:eastAsia="en-NZ"/>
        </w:rPr>
        <w:t>certain</w:t>
      </w:r>
      <w:r w:rsidR="003D640C">
        <w:rPr>
          <w:lang w:eastAsia="en-NZ"/>
        </w:rPr>
        <w:t xml:space="preserve"> </w:t>
      </w:r>
      <w:r w:rsidRPr="00BB6220">
        <w:rPr>
          <w:lang w:eastAsia="en-NZ"/>
        </w:rPr>
        <w:t>values</w:t>
      </w:r>
      <w:r w:rsidR="003D640C">
        <w:rPr>
          <w:lang w:eastAsia="en-NZ"/>
        </w:rPr>
        <w:t xml:space="preserve"> </w:t>
      </w:r>
      <w:r w:rsidRPr="00BB6220">
        <w:rPr>
          <w:lang w:eastAsia="en-NZ"/>
        </w:rPr>
        <w:t>or</w:t>
      </w:r>
      <w:r w:rsidR="003D640C">
        <w:rPr>
          <w:lang w:eastAsia="en-NZ"/>
        </w:rPr>
        <w:t xml:space="preserve"> </w:t>
      </w:r>
      <w:r w:rsidRPr="00BB6220">
        <w:rPr>
          <w:lang w:eastAsia="en-NZ"/>
        </w:rPr>
        <w:t>aspects</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environment</w:t>
      </w:r>
      <w:r w:rsidR="003D640C">
        <w:rPr>
          <w:lang w:eastAsia="en-NZ"/>
        </w:rPr>
        <w:t xml:space="preserve"> </w:t>
      </w:r>
      <w:r w:rsidRPr="00BB6220">
        <w:rPr>
          <w:lang w:eastAsia="en-NZ"/>
        </w:rPr>
        <w:t>they</w:t>
      </w:r>
      <w:r w:rsidR="003D640C">
        <w:rPr>
          <w:lang w:eastAsia="en-NZ"/>
        </w:rPr>
        <w:t xml:space="preserve"> </w:t>
      </w:r>
      <w:r w:rsidRPr="00BB6220">
        <w:rPr>
          <w:lang w:eastAsia="en-NZ"/>
        </w:rPr>
        <w:t>have</w:t>
      </w:r>
      <w:r w:rsidR="003D640C">
        <w:rPr>
          <w:lang w:eastAsia="en-NZ"/>
        </w:rPr>
        <w:t xml:space="preserve"> </w:t>
      </w:r>
      <w:r w:rsidRPr="00BB6220">
        <w:rPr>
          <w:lang w:eastAsia="en-NZ"/>
        </w:rPr>
        <w:t>come</w:t>
      </w:r>
      <w:r w:rsidR="003D640C">
        <w:rPr>
          <w:lang w:eastAsia="en-NZ"/>
        </w:rPr>
        <w:t xml:space="preserve"> </w:t>
      </w:r>
      <w:r w:rsidRPr="00BB6220">
        <w:rPr>
          <w:lang w:eastAsia="en-NZ"/>
        </w:rPr>
        <w:t>from,</w:t>
      </w:r>
      <w:r w:rsidR="003D640C">
        <w:rPr>
          <w:lang w:eastAsia="en-NZ"/>
        </w:rPr>
        <w:t xml:space="preserve"> </w:t>
      </w:r>
      <w:r w:rsidRPr="00BB6220">
        <w:rPr>
          <w:lang w:eastAsia="en-NZ"/>
        </w:rPr>
        <w:t>this</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harmful</w:t>
      </w:r>
      <w:r w:rsidR="003D640C">
        <w:rPr>
          <w:lang w:eastAsia="en-NZ"/>
        </w:rPr>
        <w:t xml:space="preserve"> </w:t>
      </w:r>
      <w:r w:rsidRPr="00BB6220">
        <w:rPr>
          <w:lang w:eastAsia="en-NZ"/>
        </w:rPr>
        <w:t>if</w:t>
      </w:r>
      <w:r w:rsidR="003D640C">
        <w:rPr>
          <w:lang w:eastAsia="en-NZ"/>
        </w:rPr>
        <w:t xml:space="preserve"> </w:t>
      </w:r>
      <w:r w:rsidRPr="00BB6220">
        <w:rPr>
          <w:lang w:eastAsia="en-NZ"/>
        </w:rPr>
        <w:t>suggested</w:t>
      </w:r>
      <w:r w:rsidR="003D640C">
        <w:rPr>
          <w:lang w:eastAsia="en-NZ"/>
        </w:rPr>
        <w:t xml:space="preserve"> </w:t>
      </w:r>
      <w:r w:rsidRPr="00BB6220">
        <w:rPr>
          <w:lang w:eastAsia="en-NZ"/>
        </w:rPr>
        <w:t>too</w:t>
      </w:r>
      <w:r w:rsidR="003D640C">
        <w:rPr>
          <w:lang w:eastAsia="en-NZ"/>
        </w:rPr>
        <w:t xml:space="preserve"> </w:t>
      </w:r>
      <w:r w:rsidRPr="00BB6220">
        <w:rPr>
          <w:lang w:eastAsia="en-NZ"/>
        </w:rPr>
        <w:t>soon.</w:t>
      </w:r>
      <w:r w:rsidR="003D640C">
        <w:rPr>
          <w:lang w:eastAsia="en-NZ"/>
        </w:rPr>
        <w:t xml:space="preserve"> </w:t>
      </w:r>
      <w:r w:rsidRPr="00BB6220">
        <w:rPr>
          <w:lang w:eastAsia="en-NZ"/>
        </w:rPr>
        <w:t>When</w:t>
      </w:r>
      <w:r w:rsidR="003D640C">
        <w:rPr>
          <w:lang w:eastAsia="en-NZ"/>
        </w:rPr>
        <w:t xml:space="preserve"> </w:t>
      </w:r>
      <w:r w:rsidRPr="00BB6220">
        <w:rPr>
          <w:lang w:eastAsia="en-NZ"/>
        </w:rPr>
        <w:t>one</w:t>
      </w:r>
      <w:r w:rsidR="003D640C">
        <w:rPr>
          <w:lang w:eastAsia="en-NZ"/>
        </w:rPr>
        <w:t xml:space="preserve"> </w:t>
      </w:r>
      <w:r w:rsidRPr="00BB6220">
        <w:rPr>
          <w:lang w:eastAsia="en-NZ"/>
        </w:rPr>
        <w:t>aspect</w:t>
      </w:r>
      <w:r w:rsidR="003D640C">
        <w:rPr>
          <w:lang w:eastAsia="en-NZ"/>
        </w:rPr>
        <w:t xml:space="preserve"> </w:t>
      </w:r>
      <w:r w:rsidRPr="00BB6220">
        <w:rPr>
          <w:lang w:eastAsia="en-NZ"/>
        </w:rPr>
        <w:t>of</w:t>
      </w:r>
      <w:r w:rsidR="003D640C">
        <w:rPr>
          <w:lang w:eastAsia="en-NZ"/>
        </w:rPr>
        <w:t xml:space="preserve"> </w:t>
      </w:r>
      <w:r w:rsidRPr="00BB6220">
        <w:rPr>
          <w:lang w:eastAsia="en-NZ"/>
        </w:rPr>
        <w:t>a</w:t>
      </w:r>
      <w:r w:rsidR="003D640C">
        <w:rPr>
          <w:lang w:eastAsia="en-NZ"/>
        </w:rPr>
        <w:t xml:space="preserve"> </w:t>
      </w:r>
      <w:r w:rsidRPr="00BB6220">
        <w:rPr>
          <w:lang w:eastAsia="en-NZ"/>
        </w:rPr>
        <w:t>Māori</w:t>
      </w:r>
      <w:r w:rsidR="003D640C">
        <w:rPr>
          <w:lang w:eastAsia="en-NZ"/>
        </w:rPr>
        <w:t xml:space="preserve"> </w:t>
      </w:r>
      <w:r w:rsidRPr="00BB6220">
        <w:rPr>
          <w:lang w:eastAsia="en-NZ"/>
        </w:rPr>
        <w:t>person’s</w:t>
      </w:r>
      <w:r w:rsidR="003D640C">
        <w:rPr>
          <w:lang w:eastAsia="en-NZ"/>
        </w:rPr>
        <w:t xml:space="preserve"> </w:t>
      </w:r>
      <w:r w:rsidRPr="00BB6220">
        <w:rPr>
          <w:lang w:eastAsia="en-NZ"/>
        </w:rPr>
        <w:t>wellbeing</w:t>
      </w:r>
      <w:r w:rsidR="003D640C">
        <w:rPr>
          <w:lang w:eastAsia="en-NZ"/>
        </w:rPr>
        <w:t xml:space="preserve"> </w:t>
      </w:r>
      <w:r w:rsidRPr="00BB6220">
        <w:rPr>
          <w:lang w:eastAsia="en-NZ"/>
        </w:rPr>
        <w:t>is</w:t>
      </w:r>
      <w:r w:rsidR="003D640C">
        <w:rPr>
          <w:lang w:eastAsia="en-NZ"/>
        </w:rPr>
        <w:t xml:space="preserve"> </w:t>
      </w:r>
      <w:r w:rsidRPr="00BB6220">
        <w:rPr>
          <w:lang w:eastAsia="en-NZ"/>
        </w:rPr>
        <w:t>supported</w:t>
      </w:r>
      <w:r>
        <w:rPr>
          <w:lang w:eastAsia="en-NZ"/>
        </w:rPr>
        <w:t>,</w:t>
      </w:r>
      <w:r w:rsidR="003D640C">
        <w:rPr>
          <w:lang w:eastAsia="en-NZ"/>
        </w:rPr>
        <w:t xml:space="preserve"> </w:t>
      </w:r>
      <w:r w:rsidRPr="00BB6220">
        <w:rPr>
          <w:lang w:eastAsia="en-NZ"/>
        </w:rPr>
        <w:t>it</w:t>
      </w:r>
      <w:r w:rsidR="003D640C">
        <w:rPr>
          <w:lang w:eastAsia="en-NZ"/>
        </w:rPr>
        <w:t xml:space="preserve"> </w:t>
      </w:r>
      <w:r w:rsidRPr="00BB6220">
        <w:rPr>
          <w:lang w:eastAsia="en-NZ"/>
        </w:rPr>
        <w:t>is</w:t>
      </w:r>
      <w:r w:rsidR="003D640C">
        <w:rPr>
          <w:lang w:eastAsia="en-NZ"/>
        </w:rPr>
        <w:t xml:space="preserve"> </w:t>
      </w:r>
      <w:r w:rsidRPr="00BB6220">
        <w:rPr>
          <w:lang w:eastAsia="en-NZ"/>
        </w:rPr>
        <w:t>important</w:t>
      </w:r>
      <w:r w:rsidR="003D640C">
        <w:rPr>
          <w:lang w:eastAsia="en-NZ"/>
        </w:rPr>
        <w:t xml:space="preserve"> </w:t>
      </w:r>
      <w:r w:rsidRPr="00BB6220">
        <w:rPr>
          <w:lang w:eastAsia="en-NZ"/>
        </w:rPr>
        <w:t>to</w:t>
      </w:r>
      <w:r w:rsidR="003D640C">
        <w:rPr>
          <w:lang w:eastAsia="en-NZ"/>
        </w:rPr>
        <w:t xml:space="preserve"> </w:t>
      </w:r>
      <w:r w:rsidRPr="00BB6220">
        <w:rPr>
          <w:lang w:eastAsia="en-NZ"/>
        </w:rPr>
        <w:t>consider</w:t>
      </w:r>
      <w:r w:rsidR="003D640C">
        <w:rPr>
          <w:lang w:eastAsia="en-NZ"/>
        </w:rPr>
        <w:t xml:space="preserve"> </w:t>
      </w:r>
      <w:r w:rsidRPr="00BB6220">
        <w:rPr>
          <w:lang w:eastAsia="en-NZ"/>
        </w:rPr>
        <w:t>that</w:t>
      </w:r>
      <w:r w:rsidR="003D640C">
        <w:rPr>
          <w:lang w:eastAsia="en-NZ"/>
        </w:rPr>
        <w:t xml:space="preserve"> </w:t>
      </w:r>
      <w:r w:rsidRPr="00BB6220">
        <w:rPr>
          <w:lang w:eastAsia="en-NZ"/>
        </w:rPr>
        <w:t>in</w:t>
      </w:r>
      <w:r w:rsidR="003D640C">
        <w:rPr>
          <w:lang w:eastAsia="en-NZ"/>
        </w:rPr>
        <w:t xml:space="preserve"> </w:t>
      </w:r>
      <w:r w:rsidRPr="00BB6220">
        <w:rPr>
          <w:lang w:eastAsia="en-NZ"/>
        </w:rPr>
        <w:t>the</w:t>
      </w:r>
      <w:r w:rsidR="003D640C">
        <w:rPr>
          <w:lang w:eastAsia="en-NZ"/>
        </w:rPr>
        <w:t xml:space="preserve"> </w:t>
      </w:r>
      <w:r w:rsidRPr="00BB6220">
        <w:rPr>
          <w:lang w:eastAsia="en-NZ"/>
        </w:rPr>
        <w:t>context</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other</w:t>
      </w:r>
      <w:r w:rsidR="003D640C">
        <w:rPr>
          <w:lang w:eastAsia="en-NZ"/>
        </w:rPr>
        <w:t xml:space="preserve"> </w:t>
      </w:r>
      <w:r w:rsidRPr="00BB6220">
        <w:rPr>
          <w:lang w:eastAsia="en-NZ"/>
        </w:rPr>
        <w:t>challenges</w:t>
      </w:r>
      <w:r w:rsidR="003D640C">
        <w:rPr>
          <w:lang w:eastAsia="en-NZ"/>
        </w:rPr>
        <w:t xml:space="preserve"> </w:t>
      </w:r>
      <w:r w:rsidRPr="00BB6220">
        <w:rPr>
          <w:lang w:eastAsia="en-NZ"/>
        </w:rPr>
        <w:t>they</w:t>
      </w:r>
      <w:r w:rsidR="003D640C">
        <w:rPr>
          <w:lang w:eastAsia="en-NZ"/>
        </w:rPr>
        <w:t xml:space="preserve"> </w:t>
      </w:r>
      <w:r w:rsidRPr="00BB6220">
        <w:rPr>
          <w:lang w:eastAsia="en-NZ"/>
        </w:rPr>
        <w:t>face.</w:t>
      </w:r>
      <w:r w:rsidR="003D640C">
        <w:rPr>
          <w:lang w:eastAsia="en-NZ"/>
        </w:rPr>
        <w:t xml:space="preserve"> </w:t>
      </w:r>
    </w:p>
    <w:p w14:paraId="360DF336" w14:textId="2D1111AD" w:rsidR="00501068" w:rsidRDefault="00E61CE8" w:rsidP="009032B9">
      <w:pPr>
        <w:pStyle w:val="Quote"/>
      </w:pPr>
      <w:r w:rsidRPr="00BB6220">
        <w:t>“I</w:t>
      </w:r>
      <w:r w:rsidR="003D640C">
        <w:t xml:space="preserve"> </w:t>
      </w:r>
      <w:r w:rsidRPr="00BB6220">
        <w:t>carried</w:t>
      </w:r>
      <w:r w:rsidR="003D640C">
        <w:t xml:space="preserve"> </w:t>
      </w:r>
      <w:r w:rsidRPr="00BB6220">
        <w:t>that</w:t>
      </w:r>
      <w:r w:rsidR="003D640C">
        <w:t xml:space="preserve"> </w:t>
      </w:r>
      <w:r w:rsidRPr="00BB6220">
        <w:t>‘You’re</w:t>
      </w:r>
      <w:r w:rsidR="003D640C">
        <w:t xml:space="preserve"> </w:t>
      </w:r>
      <w:r w:rsidRPr="00BB6220">
        <w:t>not</w:t>
      </w:r>
      <w:r w:rsidR="003D640C">
        <w:t xml:space="preserve"> </w:t>
      </w:r>
      <w:r w:rsidRPr="00BB6220">
        <w:t>good</w:t>
      </w:r>
      <w:r w:rsidR="003D640C">
        <w:t xml:space="preserve"> </w:t>
      </w:r>
      <w:r w:rsidRPr="00BB6220">
        <w:t>enough,’</w:t>
      </w:r>
      <w:r w:rsidR="003D640C">
        <w:t xml:space="preserve"> </w:t>
      </w:r>
      <w:r w:rsidRPr="00BB6220">
        <w:t>‘You’re</w:t>
      </w:r>
      <w:r w:rsidR="003D640C">
        <w:t xml:space="preserve"> </w:t>
      </w:r>
      <w:r w:rsidRPr="00BB6220">
        <w:t>not</w:t>
      </w:r>
      <w:r w:rsidR="003D640C">
        <w:t xml:space="preserve"> </w:t>
      </w:r>
      <w:r w:rsidRPr="00BB6220">
        <w:t>worthy’,</w:t>
      </w:r>
      <w:r w:rsidR="003D640C">
        <w:t xml:space="preserve"> </w:t>
      </w:r>
      <w:r w:rsidRPr="00BB6220">
        <w:t>that</w:t>
      </w:r>
      <w:r w:rsidR="003D640C">
        <w:t xml:space="preserve"> </w:t>
      </w:r>
      <w:r w:rsidRPr="00BB6220">
        <w:t>anxiety</w:t>
      </w:r>
      <w:r w:rsidR="003D640C">
        <w:t xml:space="preserve"> </w:t>
      </w:r>
      <w:r w:rsidRPr="00BB6220">
        <w:t>through</w:t>
      </w:r>
      <w:r w:rsidR="003D640C">
        <w:t xml:space="preserve"> </w:t>
      </w:r>
      <w:r w:rsidRPr="00BB6220">
        <w:t>to</w:t>
      </w:r>
      <w:r w:rsidR="003D640C">
        <w:t xml:space="preserve"> </w:t>
      </w:r>
      <w:r w:rsidRPr="00BB6220">
        <w:t>adulthood.</w:t>
      </w:r>
      <w:r w:rsidR="003D640C">
        <w:t xml:space="preserve"> </w:t>
      </w:r>
      <w:r w:rsidRPr="00BB6220">
        <w:t>Those</w:t>
      </w:r>
      <w:r w:rsidR="003D640C">
        <w:t xml:space="preserve"> </w:t>
      </w:r>
      <w:r w:rsidRPr="00BB6220">
        <w:t>lasting</w:t>
      </w:r>
      <w:r w:rsidR="003D640C">
        <w:t xml:space="preserve"> </w:t>
      </w:r>
      <w:r w:rsidRPr="00BB6220">
        <w:t>effects</w:t>
      </w:r>
      <w:r w:rsidR="003D640C">
        <w:t xml:space="preserve"> </w:t>
      </w:r>
      <w:r w:rsidRPr="00BB6220">
        <w:t>of</w:t>
      </w:r>
      <w:r w:rsidR="003D640C">
        <w:t xml:space="preserve"> </w:t>
      </w:r>
      <w:r w:rsidRPr="00BB6220">
        <w:t>anxiety</w:t>
      </w:r>
      <w:r w:rsidR="003D640C">
        <w:t xml:space="preserve"> </w:t>
      </w:r>
      <w:r w:rsidRPr="00BB6220">
        <w:t>–</w:t>
      </w:r>
      <w:r w:rsidR="003D640C">
        <w:t xml:space="preserve"> </w:t>
      </w:r>
      <w:r w:rsidRPr="00BB6220">
        <w:t>avoidance,</w:t>
      </w:r>
      <w:r w:rsidR="003D640C">
        <w:t xml:space="preserve"> </w:t>
      </w:r>
      <w:r w:rsidRPr="00BB6220">
        <w:t>not</w:t>
      </w:r>
      <w:r w:rsidR="003D640C">
        <w:t xml:space="preserve"> </w:t>
      </w:r>
      <w:r w:rsidRPr="00BB6220">
        <w:t>wanting</w:t>
      </w:r>
      <w:r w:rsidR="003D640C">
        <w:t xml:space="preserve"> </w:t>
      </w:r>
      <w:r w:rsidRPr="00BB6220">
        <w:t>to</w:t>
      </w:r>
      <w:r w:rsidR="003D640C">
        <w:t xml:space="preserve"> </w:t>
      </w:r>
      <w:r w:rsidRPr="00BB6220">
        <w:t>cause</w:t>
      </w:r>
      <w:r w:rsidR="003D640C">
        <w:t xml:space="preserve"> </w:t>
      </w:r>
      <w:r w:rsidRPr="00BB6220">
        <w:t>conflict</w:t>
      </w:r>
      <w:r w:rsidR="003D640C">
        <w:t xml:space="preserve"> </w:t>
      </w:r>
      <w:r w:rsidRPr="00BB6220">
        <w:t>even</w:t>
      </w:r>
      <w:r w:rsidR="003D640C">
        <w:t xml:space="preserve"> </w:t>
      </w:r>
      <w:r w:rsidRPr="00BB6220">
        <w:t>to</w:t>
      </w:r>
      <w:r w:rsidR="003D640C">
        <w:t xml:space="preserve"> </w:t>
      </w:r>
      <w:r w:rsidRPr="00BB6220">
        <w:t>the</w:t>
      </w:r>
      <w:r w:rsidR="003D640C">
        <w:t xml:space="preserve"> </w:t>
      </w:r>
      <w:r w:rsidRPr="00BB6220">
        <w:t>point</w:t>
      </w:r>
      <w:r w:rsidR="003D640C">
        <w:t xml:space="preserve"> </w:t>
      </w:r>
      <w:r w:rsidRPr="00BB6220">
        <w:t>where</w:t>
      </w:r>
      <w:r w:rsidR="003D640C">
        <w:t xml:space="preserve"> </w:t>
      </w:r>
      <w:r w:rsidRPr="00BB6220">
        <w:t>I</w:t>
      </w:r>
      <w:r w:rsidR="003D640C">
        <w:t xml:space="preserve"> </w:t>
      </w:r>
      <w:r w:rsidRPr="00BB6220">
        <w:t>won’t</w:t>
      </w:r>
      <w:r w:rsidR="003D640C">
        <w:t xml:space="preserve"> </w:t>
      </w:r>
      <w:r w:rsidRPr="00BB6220">
        <w:t>even</w:t>
      </w:r>
      <w:r w:rsidR="003D640C">
        <w:t xml:space="preserve"> </w:t>
      </w:r>
      <w:r w:rsidRPr="00BB6220">
        <w:t>share</w:t>
      </w:r>
      <w:r w:rsidR="003D640C">
        <w:t xml:space="preserve"> </w:t>
      </w:r>
      <w:r w:rsidRPr="00BB6220">
        <w:t>my</w:t>
      </w:r>
      <w:r w:rsidR="003D640C">
        <w:t xml:space="preserve"> </w:t>
      </w:r>
      <w:r w:rsidRPr="00BB6220">
        <w:t>opinion</w:t>
      </w:r>
      <w:r w:rsidR="003D640C">
        <w:t xml:space="preserve"> </w:t>
      </w:r>
      <w:r w:rsidRPr="00BB6220">
        <w:t>because</w:t>
      </w:r>
      <w:r w:rsidR="003D640C">
        <w:t xml:space="preserve"> </w:t>
      </w:r>
      <w:r w:rsidRPr="00BB6220">
        <w:t>I</w:t>
      </w:r>
      <w:r w:rsidR="003D640C">
        <w:t xml:space="preserve"> </w:t>
      </w:r>
      <w:r w:rsidRPr="00BB6220">
        <w:t>don’t</w:t>
      </w:r>
      <w:r w:rsidR="003D640C">
        <w:t xml:space="preserve"> </w:t>
      </w:r>
      <w:r w:rsidRPr="00BB6220">
        <w:t>think</w:t>
      </w:r>
      <w:r w:rsidR="003D640C">
        <w:t xml:space="preserve"> </w:t>
      </w:r>
      <w:r w:rsidRPr="00BB6220">
        <w:t>it</w:t>
      </w:r>
      <w:r w:rsidR="003D640C">
        <w:t xml:space="preserve"> </w:t>
      </w:r>
      <w:r w:rsidRPr="00BB6220">
        <w:t>will</w:t>
      </w:r>
      <w:r w:rsidR="003D640C">
        <w:t xml:space="preserve"> </w:t>
      </w:r>
      <w:r w:rsidRPr="00BB6220">
        <w:t>matter.</w:t>
      </w:r>
      <w:r w:rsidR="003D640C">
        <w:t xml:space="preserve"> </w:t>
      </w:r>
      <w:r w:rsidRPr="00BB6220">
        <w:t>You</w:t>
      </w:r>
      <w:r w:rsidR="003D640C">
        <w:t xml:space="preserve"> </w:t>
      </w:r>
      <w:r w:rsidRPr="00BB6220">
        <w:t>know,</w:t>
      </w:r>
      <w:r w:rsidR="003D640C">
        <w:t xml:space="preserve"> </w:t>
      </w:r>
      <w:r w:rsidRPr="00BB6220">
        <w:t>those</w:t>
      </w:r>
      <w:r w:rsidR="003D640C">
        <w:t xml:space="preserve"> </w:t>
      </w:r>
      <w:r w:rsidRPr="00BB6220">
        <w:t>are</w:t>
      </w:r>
      <w:r w:rsidR="003D640C">
        <w:t xml:space="preserve"> </w:t>
      </w:r>
      <w:r w:rsidRPr="00BB6220">
        <w:t>lasting</w:t>
      </w:r>
      <w:r w:rsidR="003D640C">
        <w:t xml:space="preserve"> </w:t>
      </w:r>
      <w:r w:rsidRPr="00BB6220">
        <w:t>effects</w:t>
      </w:r>
      <w:r w:rsidR="003D640C">
        <w:t xml:space="preserve"> </w:t>
      </w:r>
      <w:r w:rsidRPr="00BB6220">
        <w:t>from</w:t>
      </w:r>
      <w:r w:rsidR="003D640C">
        <w:t xml:space="preserve"> </w:t>
      </w:r>
      <w:r w:rsidRPr="00BB6220">
        <w:t>that</w:t>
      </w:r>
      <w:r w:rsidR="003D640C">
        <w:t xml:space="preserve"> </w:t>
      </w:r>
      <w:r w:rsidRPr="00BB6220">
        <w:t>time.</w:t>
      </w:r>
      <w:r w:rsidR="003D640C">
        <w:t xml:space="preserve"> </w:t>
      </w:r>
      <w:r w:rsidRPr="00BB6220">
        <w:t>And</w:t>
      </w:r>
      <w:r w:rsidR="003D640C">
        <w:t xml:space="preserve"> </w:t>
      </w:r>
      <w:r w:rsidRPr="00BB6220">
        <w:t>I</w:t>
      </w:r>
      <w:r w:rsidR="003D640C">
        <w:t xml:space="preserve"> </w:t>
      </w:r>
      <w:r w:rsidRPr="00BB6220">
        <w:t>was</w:t>
      </w:r>
      <w:r w:rsidR="003D640C">
        <w:t xml:space="preserve"> </w:t>
      </w:r>
      <w:r w:rsidRPr="00BB6220">
        <w:t>an</w:t>
      </w:r>
      <w:r w:rsidR="003D640C">
        <w:t xml:space="preserve"> </w:t>
      </w:r>
      <w:r w:rsidRPr="00BB6220">
        <w:t>adult</w:t>
      </w:r>
      <w:r w:rsidR="003D640C">
        <w:t xml:space="preserve"> </w:t>
      </w:r>
      <w:r w:rsidRPr="00BB6220">
        <w:t>going</w:t>
      </w:r>
      <w:r w:rsidR="003D640C">
        <w:t xml:space="preserve"> </w:t>
      </w:r>
      <w:r w:rsidRPr="00BB6220">
        <w:t>through</w:t>
      </w:r>
      <w:r w:rsidR="003D640C">
        <w:t xml:space="preserve"> </w:t>
      </w:r>
      <w:r w:rsidRPr="00BB6220">
        <w:t>it.</w:t>
      </w:r>
      <w:r w:rsidR="003D640C">
        <w:t xml:space="preserve"> </w:t>
      </w:r>
      <w:r w:rsidRPr="00BB6220">
        <w:t>Imagine</w:t>
      </w:r>
      <w:r w:rsidR="003D640C">
        <w:t xml:space="preserve"> </w:t>
      </w:r>
      <w:r w:rsidRPr="00BB6220">
        <w:t>if</w:t>
      </w:r>
      <w:r w:rsidR="003D640C">
        <w:t xml:space="preserve"> </w:t>
      </w:r>
      <w:r w:rsidRPr="00BB6220">
        <w:t>[a</w:t>
      </w:r>
      <w:r w:rsidR="003D640C">
        <w:t xml:space="preserve"> </w:t>
      </w:r>
      <w:r w:rsidRPr="00BB6220">
        <w:t>young</w:t>
      </w:r>
      <w:r w:rsidR="003D640C">
        <w:t xml:space="preserve"> </w:t>
      </w:r>
      <w:r w:rsidRPr="00BB6220">
        <w:t>person]</w:t>
      </w:r>
      <w:r w:rsidR="003D640C">
        <w:t xml:space="preserve"> </w:t>
      </w:r>
      <w:r w:rsidRPr="00BB6220">
        <w:t>was</w:t>
      </w:r>
      <w:r w:rsidR="003D640C">
        <w:t xml:space="preserve"> </w:t>
      </w:r>
      <w:r w:rsidRPr="00BB6220">
        <w:t>going</w:t>
      </w:r>
      <w:r w:rsidR="003D640C">
        <w:t xml:space="preserve"> </w:t>
      </w:r>
      <w:r w:rsidRPr="00BB6220">
        <w:t>through</w:t>
      </w:r>
      <w:r w:rsidR="003D640C">
        <w:t xml:space="preserve"> </w:t>
      </w:r>
      <w:r w:rsidRPr="00BB6220">
        <w:t>it.</w:t>
      </w:r>
      <w:r w:rsidR="003D640C">
        <w:t xml:space="preserve"> </w:t>
      </w:r>
      <w:r w:rsidRPr="00BB6220">
        <w:t>Unimaginable.</w:t>
      </w:r>
      <w:r w:rsidR="003D640C">
        <w:t xml:space="preserve"> </w:t>
      </w:r>
      <w:r w:rsidRPr="00BB6220">
        <w:t>I</w:t>
      </w:r>
      <w:r w:rsidR="003D640C">
        <w:t xml:space="preserve"> </w:t>
      </w:r>
      <w:r w:rsidRPr="00BB6220">
        <w:t>don’t</w:t>
      </w:r>
      <w:r w:rsidR="003D640C">
        <w:t xml:space="preserve"> </w:t>
      </w:r>
      <w:r w:rsidRPr="00BB6220">
        <w:t>know</w:t>
      </w:r>
      <w:r w:rsidR="003D640C">
        <w:t xml:space="preserve"> </w:t>
      </w:r>
      <w:r w:rsidRPr="00BB6220">
        <w:t>if</w:t>
      </w:r>
      <w:r w:rsidR="003D640C">
        <w:t xml:space="preserve"> </w:t>
      </w:r>
      <w:r w:rsidRPr="00BB6220">
        <w:t>they’d</w:t>
      </w:r>
      <w:r w:rsidR="003D640C">
        <w:t xml:space="preserve"> </w:t>
      </w:r>
      <w:r w:rsidRPr="00BB6220">
        <w:t>survive</w:t>
      </w:r>
      <w:r w:rsidR="003D640C">
        <w:t xml:space="preserve"> </w:t>
      </w:r>
      <w:r w:rsidRPr="00BB6220">
        <w:t>it.</w:t>
      </w:r>
      <w:r w:rsidR="003D640C">
        <w:t xml:space="preserve"> </w:t>
      </w:r>
      <w:r w:rsidRPr="00BB6220">
        <w:t>It</w:t>
      </w:r>
      <w:r w:rsidR="003D640C">
        <w:t xml:space="preserve"> </w:t>
      </w:r>
      <w:r w:rsidRPr="00BB6220">
        <w:t>would</w:t>
      </w:r>
      <w:r w:rsidR="003D640C">
        <w:t xml:space="preserve"> </w:t>
      </w:r>
      <w:r w:rsidRPr="00BB6220">
        <w:t>break</w:t>
      </w:r>
      <w:r w:rsidR="003D640C">
        <w:t xml:space="preserve"> </w:t>
      </w:r>
      <w:r w:rsidRPr="00BB6220">
        <w:t>them.”</w:t>
      </w:r>
      <w:r w:rsidR="003D640C">
        <w:t xml:space="preserve"> </w:t>
      </w:r>
      <w:r w:rsidRPr="00BB6220">
        <w:t>Māori,</w:t>
      </w:r>
      <w:r w:rsidR="003D640C">
        <w:t xml:space="preserve"> </w:t>
      </w:r>
      <w:r w:rsidRPr="00BB6220">
        <w:t>non-binary</w:t>
      </w:r>
      <w:r w:rsidR="003D640C">
        <w:t xml:space="preserve"> </w:t>
      </w:r>
    </w:p>
    <w:p w14:paraId="1750B863" w14:textId="6277C872" w:rsidR="00501068" w:rsidRDefault="00E61CE8" w:rsidP="009032B9">
      <w:pPr>
        <w:rPr>
          <w:rFonts w:ascii="Segoe UI" w:hAnsi="Segoe UI" w:cs="Segoe UI"/>
          <w:lang w:eastAsia="en-NZ"/>
        </w:rPr>
      </w:pPr>
      <w:r w:rsidRPr="00BB6220">
        <w:rPr>
          <w:lang w:eastAsia="en-NZ"/>
        </w:rPr>
        <w:t>Throughout</w:t>
      </w:r>
      <w:r w:rsidR="003D640C">
        <w:rPr>
          <w:lang w:eastAsia="en-NZ"/>
        </w:rPr>
        <w:t xml:space="preserve"> </w:t>
      </w:r>
      <w:r w:rsidRPr="00BB6220">
        <w:rPr>
          <w:lang w:eastAsia="en-NZ"/>
        </w:rPr>
        <w:t>the</w:t>
      </w:r>
      <w:r w:rsidR="003D640C">
        <w:rPr>
          <w:lang w:eastAsia="en-NZ"/>
        </w:rPr>
        <w:t xml:space="preserve"> </w:t>
      </w:r>
      <w:r w:rsidRPr="00BB6220">
        <w:rPr>
          <w:lang w:eastAsia="en-NZ"/>
        </w:rPr>
        <w:t>Commission’s</w:t>
      </w:r>
      <w:r w:rsidR="003D640C">
        <w:rPr>
          <w:lang w:eastAsia="en-NZ"/>
        </w:rPr>
        <w:t xml:space="preserve"> </w:t>
      </w:r>
      <w:r w:rsidRPr="00BB6220">
        <w:rPr>
          <w:lang w:eastAsia="en-NZ"/>
        </w:rPr>
        <w:t>engagement</w:t>
      </w:r>
      <w:r w:rsidR="003D640C">
        <w:rPr>
          <w:lang w:eastAsia="en-NZ"/>
        </w:rPr>
        <w:t xml:space="preserve"> </w:t>
      </w:r>
      <w:r w:rsidRPr="00BB6220">
        <w:rPr>
          <w:lang w:eastAsia="en-NZ"/>
        </w:rPr>
        <w:t>with</w:t>
      </w:r>
      <w:r w:rsidR="003D640C">
        <w:rPr>
          <w:lang w:eastAsia="en-NZ"/>
        </w:rPr>
        <w:t xml:space="preserve"> </w:t>
      </w:r>
      <w:r w:rsidRPr="00BB6220">
        <w:rPr>
          <w:lang w:eastAsia="en-NZ"/>
        </w:rPr>
        <w:t>Māori</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t>Rainbow</w:t>
      </w:r>
      <w:r w:rsidR="003D640C">
        <w:t xml:space="preserve"> </w:t>
      </w:r>
      <w:r w:rsidRPr="00BB6220">
        <w:rPr>
          <w:lang w:eastAsia="en-NZ"/>
        </w:rPr>
        <w:t>sector,</w:t>
      </w:r>
      <w:r w:rsidR="003D640C">
        <w:rPr>
          <w:lang w:eastAsia="en-NZ"/>
        </w:rPr>
        <w:t xml:space="preserve"> </w:t>
      </w:r>
      <w:r w:rsidRPr="00BB6220">
        <w:rPr>
          <w:lang w:eastAsia="en-NZ"/>
        </w:rPr>
        <w:t>the</w:t>
      </w:r>
      <w:r w:rsidR="003D640C">
        <w:rPr>
          <w:lang w:eastAsia="en-NZ"/>
        </w:rPr>
        <w:t xml:space="preserve"> </w:t>
      </w:r>
      <w:r w:rsidRPr="00BB6220">
        <w:rPr>
          <w:lang w:eastAsia="en-NZ"/>
        </w:rPr>
        <w:t>concept</w:t>
      </w:r>
      <w:r w:rsidR="003D640C">
        <w:rPr>
          <w:lang w:eastAsia="en-NZ"/>
        </w:rPr>
        <w:t xml:space="preserve"> </w:t>
      </w:r>
      <w:r w:rsidRPr="00BB6220">
        <w:rPr>
          <w:lang w:eastAsia="en-NZ"/>
        </w:rPr>
        <w:t>of</w:t>
      </w:r>
      <w:r w:rsidR="003D640C">
        <w:rPr>
          <w:lang w:eastAsia="en-NZ"/>
        </w:rPr>
        <w:t xml:space="preserve"> </w:t>
      </w:r>
      <w:r w:rsidRPr="00BB6220">
        <w:rPr>
          <w:lang w:eastAsia="en-NZ"/>
        </w:rPr>
        <w:t>intergenerational</w:t>
      </w:r>
      <w:r w:rsidR="003D640C">
        <w:rPr>
          <w:lang w:eastAsia="en-NZ"/>
        </w:rPr>
        <w:t xml:space="preserve"> </w:t>
      </w:r>
      <w:r w:rsidRPr="00BB6220">
        <w:rPr>
          <w:lang w:eastAsia="en-NZ"/>
        </w:rPr>
        <w:t>sharing</w:t>
      </w:r>
      <w:r w:rsidR="003D640C">
        <w:rPr>
          <w:lang w:eastAsia="en-NZ"/>
        </w:rPr>
        <w:t xml:space="preserve"> </w:t>
      </w:r>
      <w:r w:rsidRPr="00BB6220">
        <w:rPr>
          <w:lang w:eastAsia="en-NZ"/>
        </w:rPr>
        <w:t>or</w:t>
      </w:r>
      <w:r w:rsidR="003D640C">
        <w:rPr>
          <w:lang w:eastAsia="en-NZ"/>
        </w:rPr>
        <w:t xml:space="preserve"> </w:t>
      </w:r>
      <w:r w:rsidRPr="00BB6220">
        <w:rPr>
          <w:lang w:eastAsia="en-NZ"/>
        </w:rPr>
        <w:t>tu</w:t>
      </w:r>
      <w:r w:rsidR="00DB52E8">
        <w:rPr>
          <w:lang w:eastAsia="en-NZ"/>
        </w:rPr>
        <w:t>a</w:t>
      </w:r>
      <w:r w:rsidRPr="00BB6220">
        <w:rPr>
          <w:lang w:eastAsia="en-NZ"/>
        </w:rPr>
        <w:t>kana-t</w:t>
      </w:r>
      <w:r w:rsidR="00DB52E8">
        <w:rPr>
          <w:lang w:eastAsia="en-NZ"/>
        </w:rPr>
        <w:t>e</w:t>
      </w:r>
      <w:r w:rsidRPr="00BB6220">
        <w:rPr>
          <w:lang w:eastAsia="en-NZ"/>
        </w:rPr>
        <w:t>ina</w:t>
      </w:r>
      <w:r w:rsidR="003D640C">
        <w:rPr>
          <w:lang w:eastAsia="en-NZ"/>
        </w:rPr>
        <w:t xml:space="preserve"> </w:t>
      </w:r>
      <w:r w:rsidRPr="00BB6220">
        <w:rPr>
          <w:lang w:eastAsia="en-NZ"/>
        </w:rPr>
        <w:t>relationships</w:t>
      </w:r>
      <w:r w:rsidR="003D640C">
        <w:rPr>
          <w:lang w:eastAsia="en-NZ"/>
        </w:rPr>
        <w:t xml:space="preserve"> </w:t>
      </w:r>
      <w:r w:rsidRPr="00BB6220">
        <w:rPr>
          <w:lang w:eastAsia="en-NZ"/>
        </w:rPr>
        <w:t>was</w:t>
      </w:r>
      <w:r w:rsidR="003D640C">
        <w:rPr>
          <w:lang w:eastAsia="en-NZ"/>
        </w:rPr>
        <w:t xml:space="preserve"> </w:t>
      </w:r>
      <w:r w:rsidRPr="00BB6220">
        <w:rPr>
          <w:lang w:eastAsia="en-NZ"/>
        </w:rPr>
        <w:t>suggested</w:t>
      </w:r>
      <w:r w:rsidR="003D640C">
        <w:rPr>
          <w:lang w:eastAsia="en-NZ"/>
        </w:rPr>
        <w:t xml:space="preserve"> </w:t>
      </w:r>
      <w:r w:rsidRPr="00BB6220">
        <w:rPr>
          <w:lang w:eastAsia="en-NZ"/>
        </w:rPr>
        <w:t>as</w:t>
      </w:r>
      <w:r w:rsidR="003D640C">
        <w:rPr>
          <w:lang w:eastAsia="en-NZ"/>
        </w:rPr>
        <w:t xml:space="preserve"> </w:t>
      </w:r>
      <w:r w:rsidRPr="00BB6220">
        <w:rPr>
          <w:lang w:eastAsia="en-NZ"/>
        </w:rPr>
        <w:t>helpful</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recovery</w:t>
      </w:r>
      <w:r w:rsidR="003D640C">
        <w:rPr>
          <w:lang w:eastAsia="en-NZ"/>
        </w:rPr>
        <w:t xml:space="preserve"> </w:t>
      </w:r>
      <w:r w:rsidRPr="00BB6220">
        <w:rPr>
          <w:lang w:eastAsia="en-NZ"/>
        </w:rPr>
        <w:lastRenderedPageBreak/>
        <w:t>process.</w:t>
      </w:r>
      <w:r w:rsidR="003D640C">
        <w:rPr>
          <w:lang w:eastAsia="en-NZ"/>
        </w:rPr>
        <w:t xml:space="preserve"> </w:t>
      </w:r>
      <w:r w:rsidRPr="00BB6220">
        <w:rPr>
          <w:lang w:eastAsia="en-NZ"/>
        </w:rPr>
        <w:t>This</w:t>
      </w:r>
      <w:r w:rsidR="003D640C">
        <w:rPr>
          <w:lang w:eastAsia="en-NZ"/>
        </w:rPr>
        <w:t xml:space="preserve"> </w:t>
      </w:r>
      <w:r w:rsidRPr="00BB6220">
        <w:rPr>
          <w:lang w:eastAsia="en-NZ"/>
        </w:rPr>
        <w:t>could</w:t>
      </w:r>
      <w:r w:rsidR="003D640C">
        <w:rPr>
          <w:lang w:eastAsia="en-NZ"/>
        </w:rPr>
        <w:t xml:space="preserve"> </w:t>
      </w:r>
      <w:r w:rsidRPr="00BB6220">
        <w:rPr>
          <w:lang w:eastAsia="en-NZ"/>
        </w:rPr>
        <w:t>include</w:t>
      </w:r>
      <w:r w:rsidR="003D640C">
        <w:rPr>
          <w:lang w:eastAsia="en-NZ"/>
        </w:rPr>
        <w:t xml:space="preserve"> </w:t>
      </w:r>
      <w:r w:rsidRPr="00BB6220">
        <w:rPr>
          <w:lang w:eastAsia="en-NZ"/>
        </w:rPr>
        <w:t>passing</w:t>
      </w:r>
      <w:r w:rsidR="003D640C">
        <w:rPr>
          <w:lang w:eastAsia="en-NZ"/>
        </w:rPr>
        <w:t xml:space="preserve"> </w:t>
      </w:r>
      <w:r w:rsidRPr="00BB6220">
        <w:rPr>
          <w:lang w:eastAsia="en-NZ"/>
        </w:rPr>
        <w:t>down</w:t>
      </w:r>
      <w:r w:rsidR="003D640C">
        <w:rPr>
          <w:lang w:eastAsia="en-NZ"/>
        </w:rPr>
        <w:t xml:space="preserve"> </w:t>
      </w:r>
      <w:r>
        <w:rPr>
          <w:lang w:eastAsia="en-NZ"/>
        </w:rPr>
        <w:t>examples</w:t>
      </w:r>
      <w:r w:rsidR="003D640C">
        <w:rPr>
          <w:lang w:eastAsia="en-NZ"/>
        </w:rPr>
        <w:t xml:space="preserve"> </w:t>
      </w:r>
      <w:r w:rsidRPr="00BB6220">
        <w:rPr>
          <w:lang w:eastAsia="en-NZ"/>
        </w:rPr>
        <w:t>of</w:t>
      </w:r>
      <w:r w:rsidR="003D640C">
        <w:rPr>
          <w:lang w:eastAsia="en-NZ"/>
        </w:rPr>
        <w:t xml:space="preserve"> </w:t>
      </w:r>
      <w:r w:rsidRPr="00BB6220">
        <w:rPr>
          <w:lang w:eastAsia="en-NZ"/>
        </w:rPr>
        <w:t>historical</w:t>
      </w:r>
      <w:r w:rsidR="003D640C">
        <w:rPr>
          <w:lang w:eastAsia="en-NZ"/>
        </w:rPr>
        <w:t xml:space="preserve"> </w:t>
      </w:r>
      <w:r w:rsidRPr="00BB6220">
        <w:rPr>
          <w:lang w:eastAsia="en-NZ"/>
        </w:rPr>
        <w:t>and</w:t>
      </w:r>
      <w:r w:rsidR="003D640C">
        <w:rPr>
          <w:lang w:eastAsia="en-NZ"/>
        </w:rPr>
        <w:t xml:space="preserve"> </w:t>
      </w:r>
      <w:r w:rsidRPr="00BB6220">
        <w:rPr>
          <w:lang w:eastAsia="en-NZ"/>
        </w:rPr>
        <w:t>whānau</w:t>
      </w:r>
      <w:r w:rsidR="003D640C">
        <w:rPr>
          <w:lang w:eastAsia="en-NZ"/>
        </w:rPr>
        <w:t xml:space="preserve"> </w:t>
      </w:r>
      <w:r w:rsidRPr="00BB6220">
        <w:rPr>
          <w:lang w:eastAsia="en-NZ"/>
        </w:rPr>
        <w:t>acceptance</w:t>
      </w:r>
      <w:r w:rsidR="003D640C">
        <w:rPr>
          <w:lang w:eastAsia="en-NZ"/>
        </w:rPr>
        <w:t xml:space="preserve"> </w:t>
      </w:r>
      <w:r w:rsidRPr="00BB6220">
        <w:rPr>
          <w:lang w:eastAsia="en-NZ"/>
        </w:rPr>
        <w:t>of</w:t>
      </w:r>
      <w:r w:rsidR="003D640C">
        <w:rPr>
          <w:lang w:eastAsia="en-NZ"/>
        </w:rPr>
        <w:t xml:space="preserve"> </w:t>
      </w:r>
      <w:r w:rsidRPr="00BB6220">
        <w:rPr>
          <w:lang w:eastAsia="en-NZ"/>
        </w:rPr>
        <w:t>takatāpui</w:t>
      </w:r>
      <w:r w:rsidR="003D640C">
        <w:rPr>
          <w:lang w:eastAsia="en-NZ"/>
        </w:rPr>
        <w:t xml:space="preserve"> </w:t>
      </w:r>
      <w:r w:rsidRPr="00BB6220">
        <w:rPr>
          <w:lang w:eastAsia="en-NZ"/>
        </w:rPr>
        <w:t>or</w:t>
      </w:r>
      <w:r w:rsidR="003D640C">
        <w:rPr>
          <w:lang w:eastAsia="en-NZ"/>
        </w:rPr>
        <w:t xml:space="preserve"> </w:t>
      </w:r>
      <w:r w:rsidRPr="00BB6220">
        <w:t>Rainbow</w:t>
      </w:r>
      <w:r w:rsidR="003D640C">
        <w:t xml:space="preserve"> </w:t>
      </w:r>
      <w:r w:rsidRPr="00BB6220">
        <w:rPr>
          <w:lang w:eastAsia="en-NZ"/>
        </w:rPr>
        <w:t>Māori.</w:t>
      </w:r>
      <w:r w:rsidR="003D640C">
        <w:rPr>
          <w:lang w:eastAsia="en-NZ"/>
        </w:rPr>
        <w:t xml:space="preserve"> </w:t>
      </w:r>
      <w:r w:rsidRPr="00BB6220">
        <w:rPr>
          <w:lang w:eastAsia="en-NZ"/>
        </w:rPr>
        <w:t>It</w:t>
      </w:r>
      <w:r w:rsidR="003D640C">
        <w:rPr>
          <w:lang w:eastAsia="en-NZ"/>
        </w:rPr>
        <w:t xml:space="preserve"> </w:t>
      </w:r>
      <w:r w:rsidRPr="00BB6220">
        <w:rPr>
          <w:lang w:eastAsia="en-NZ"/>
        </w:rPr>
        <w:t>could</w:t>
      </w:r>
      <w:r w:rsidR="003D640C">
        <w:rPr>
          <w:lang w:eastAsia="en-NZ"/>
        </w:rPr>
        <w:t xml:space="preserve"> </w:t>
      </w:r>
      <w:r w:rsidRPr="00BB6220">
        <w:rPr>
          <w:lang w:eastAsia="en-NZ"/>
        </w:rPr>
        <w:t>also</w:t>
      </w:r>
      <w:r w:rsidR="003D640C">
        <w:rPr>
          <w:lang w:eastAsia="en-NZ"/>
        </w:rPr>
        <w:t xml:space="preserve"> </w:t>
      </w:r>
      <w:r w:rsidRPr="00BB6220">
        <w:rPr>
          <w:lang w:eastAsia="en-NZ"/>
        </w:rPr>
        <w:t>be</w:t>
      </w:r>
      <w:r w:rsidR="003D640C">
        <w:rPr>
          <w:lang w:eastAsia="en-NZ"/>
        </w:rPr>
        <w:t xml:space="preserve"> </w:t>
      </w:r>
      <w:r w:rsidRPr="00BB6220">
        <w:rPr>
          <w:lang w:eastAsia="en-NZ"/>
        </w:rPr>
        <w:t>driven</w:t>
      </w:r>
      <w:r w:rsidR="003D640C">
        <w:rPr>
          <w:lang w:eastAsia="en-NZ"/>
        </w:rPr>
        <w:t xml:space="preserve"> </w:t>
      </w:r>
      <w:r w:rsidRPr="00BB6220">
        <w:rPr>
          <w:lang w:eastAsia="en-NZ"/>
        </w:rPr>
        <w:t>by</w:t>
      </w:r>
      <w:r w:rsidR="003D640C">
        <w:rPr>
          <w:lang w:eastAsia="en-NZ"/>
        </w:rPr>
        <w:t xml:space="preserve"> </w:t>
      </w:r>
      <w:r w:rsidRPr="00BB6220">
        <w:rPr>
          <w:lang w:eastAsia="en-NZ"/>
        </w:rPr>
        <w:t>Māori</w:t>
      </w:r>
      <w:r w:rsidR="003D640C">
        <w:rPr>
          <w:lang w:eastAsia="en-NZ"/>
        </w:rPr>
        <w:t xml:space="preserve"> </w:t>
      </w:r>
      <w:r w:rsidRPr="00BB6220">
        <w:rPr>
          <w:lang w:eastAsia="en-NZ"/>
        </w:rPr>
        <w:t>leaders</w:t>
      </w:r>
      <w:r w:rsidR="003D640C">
        <w:rPr>
          <w:lang w:eastAsia="en-NZ"/>
        </w:rPr>
        <w:t xml:space="preserve"> </w:t>
      </w:r>
      <w:r w:rsidRPr="00BB6220">
        <w:rPr>
          <w:lang w:eastAsia="en-NZ"/>
        </w:rPr>
        <w:t>in</w:t>
      </w:r>
      <w:r w:rsidR="003D640C">
        <w:rPr>
          <w:lang w:eastAsia="en-NZ"/>
        </w:rPr>
        <w:t xml:space="preserve"> </w:t>
      </w:r>
      <w:r w:rsidRPr="00BB6220">
        <w:rPr>
          <w:lang w:eastAsia="en-NZ"/>
        </w:rPr>
        <w:t>the</w:t>
      </w:r>
      <w:r w:rsidR="003D640C">
        <w:rPr>
          <w:lang w:eastAsia="en-NZ"/>
        </w:rPr>
        <w:t xml:space="preserve"> </w:t>
      </w:r>
      <w:r w:rsidRPr="00BB6220">
        <w:t>Rainbow</w:t>
      </w:r>
      <w:r w:rsidR="003D640C">
        <w:t xml:space="preserve"> </w:t>
      </w:r>
      <w:r w:rsidRPr="00BB6220">
        <w:rPr>
          <w:lang w:eastAsia="en-NZ"/>
        </w:rPr>
        <w:t>community</w:t>
      </w:r>
      <w:r w:rsidR="003D640C">
        <w:rPr>
          <w:lang w:eastAsia="en-NZ"/>
        </w:rPr>
        <w:t xml:space="preserve"> </w:t>
      </w:r>
      <w:r w:rsidRPr="00BB6220">
        <w:rPr>
          <w:lang w:eastAsia="en-NZ"/>
        </w:rPr>
        <w:t>who</w:t>
      </w:r>
      <w:r w:rsidR="003D640C">
        <w:rPr>
          <w:lang w:eastAsia="en-NZ"/>
        </w:rPr>
        <w:t xml:space="preserve"> </w:t>
      </w:r>
      <w:r w:rsidRPr="00BB6220">
        <w:rPr>
          <w:lang w:eastAsia="en-NZ"/>
        </w:rPr>
        <w:t>have</w:t>
      </w:r>
      <w:r w:rsidR="003D640C">
        <w:rPr>
          <w:lang w:eastAsia="en-NZ"/>
        </w:rPr>
        <w:t xml:space="preserve"> </w:t>
      </w:r>
      <w:r w:rsidRPr="00BB6220">
        <w:rPr>
          <w:lang w:eastAsia="en-NZ"/>
        </w:rPr>
        <w:t>lived</w:t>
      </w:r>
      <w:r w:rsidR="003D640C">
        <w:rPr>
          <w:lang w:eastAsia="en-NZ"/>
        </w:rPr>
        <w:t xml:space="preserve"> </w:t>
      </w:r>
      <w:r w:rsidRPr="00BB6220">
        <w:rPr>
          <w:lang w:eastAsia="en-NZ"/>
        </w:rPr>
        <w:t>experience</w:t>
      </w:r>
      <w:r w:rsidR="003D640C">
        <w:rPr>
          <w:lang w:eastAsia="en-NZ"/>
        </w:rPr>
        <w:t xml:space="preserve"> </w:t>
      </w:r>
      <w:r w:rsidRPr="00BB6220">
        <w:rPr>
          <w:lang w:eastAsia="en-NZ"/>
        </w:rPr>
        <w:t>and</w:t>
      </w:r>
      <w:r w:rsidR="003D640C">
        <w:rPr>
          <w:lang w:eastAsia="en-NZ"/>
        </w:rPr>
        <w:t xml:space="preserve"> </w:t>
      </w:r>
      <w:r w:rsidRPr="00BB6220">
        <w:rPr>
          <w:lang w:eastAsia="en-NZ"/>
        </w:rPr>
        <w:t>can</w:t>
      </w:r>
      <w:r w:rsidR="003D640C">
        <w:rPr>
          <w:lang w:eastAsia="en-NZ"/>
        </w:rPr>
        <w:t xml:space="preserve"> </w:t>
      </w:r>
      <w:r w:rsidRPr="00BB6220">
        <w:rPr>
          <w:lang w:eastAsia="en-NZ"/>
        </w:rPr>
        <w:t>help</w:t>
      </w:r>
      <w:r w:rsidR="003D640C">
        <w:rPr>
          <w:lang w:eastAsia="en-NZ"/>
        </w:rPr>
        <w:t xml:space="preserve"> </w:t>
      </w:r>
      <w:r w:rsidRPr="00BB6220">
        <w:rPr>
          <w:lang w:eastAsia="en-NZ"/>
        </w:rPr>
        <w:t>survivors</w:t>
      </w:r>
      <w:r w:rsidR="003D640C">
        <w:rPr>
          <w:lang w:eastAsia="en-NZ"/>
        </w:rPr>
        <w:t xml:space="preserve"> </w:t>
      </w:r>
      <w:r w:rsidRPr="00BB6220">
        <w:rPr>
          <w:lang w:eastAsia="en-NZ"/>
        </w:rPr>
        <w:t>navigate</w:t>
      </w:r>
      <w:r w:rsidR="003D640C">
        <w:rPr>
          <w:lang w:eastAsia="en-NZ"/>
        </w:rPr>
        <w:t xml:space="preserve"> </w:t>
      </w:r>
      <w:r w:rsidRPr="00BB6220">
        <w:rPr>
          <w:lang w:eastAsia="en-NZ"/>
        </w:rPr>
        <w:t>through</w:t>
      </w:r>
      <w:r w:rsidR="003D640C">
        <w:rPr>
          <w:lang w:eastAsia="en-NZ"/>
        </w:rPr>
        <w:t xml:space="preserve"> </w:t>
      </w:r>
      <w:r w:rsidRPr="00BB6220">
        <w:rPr>
          <w:lang w:eastAsia="en-NZ"/>
        </w:rPr>
        <w:t>the</w:t>
      </w:r>
      <w:r w:rsidR="003D640C">
        <w:rPr>
          <w:lang w:eastAsia="en-NZ"/>
        </w:rPr>
        <w:t xml:space="preserve"> </w:t>
      </w:r>
      <w:r w:rsidRPr="00BB6220">
        <w:rPr>
          <w:lang w:eastAsia="en-NZ"/>
        </w:rPr>
        <w:t>challenges</w:t>
      </w:r>
      <w:r w:rsidR="003D640C">
        <w:rPr>
          <w:lang w:eastAsia="en-NZ"/>
        </w:rPr>
        <w:t xml:space="preserve"> </w:t>
      </w:r>
      <w:r w:rsidRPr="00BB6220">
        <w:rPr>
          <w:lang w:eastAsia="en-NZ"/>
        </w:rPr>
        <w:t>they</w:t>
      </w:r>
      <w:r w:rsidR="003D640C">
        <w:rPr>
          <w:lang w:eastAsia="en-NZ"/>
        </w:rPr>
        <w:t xml:space="preserve"> </w:t>
      </w:r>
      <w:r w:rsidRPr="00BB6220">
        <w:rPr>
          <w:lang w:eastAsia="en-NZ"/>
        </w:rPr>
        <w:t>face.</w:t>
      </w:r>
      <w:r w:rsidR="003D640C">
        <w:rPr>
          <w:lang w:eastAsia="en-NZ"/>
        </w:rPr>
        <w:t xml:space="preserve"> </w:t>
      </w:r>
    </w:p>
    <w:p w14:paraId="3FE91782" w14:textId="04E544E1" w:rsidR="00501068" w:rsidRDefault="00E61CE8" w:rsidP="009032B9">
      <w:r w:rsidRPr="00BB6220">
        <w:rPr>
          <w:rFonts w:ascii="Calibri" w:eastAsia="Times New Roman" w:hAnsi="Calibri" w:cs="Calibri"/>
          <w:lang w:eastAsia="en-NZ"/>
        </w:rPr>
        <w:t>The</w:t>
      </w:r>
      <w:r w:rsidR="003D640C">
        <w:rPr>
          <w:rFonts w:ascii="Calibri" w:eastAsia="Times New Roman" w:hAnsi="Calibri" w:cs="Calibri"/>
          <w:lang w:eastAsia="en-NZ"/>
        </w:rPr>
        <w:t xml:space="preserve"> </w:t>
      </w:r>
      <w:r w:rsidRPr="00BB6220">
        <w:rPr>
          <w:rFonts w:ascii="Calibri" w:eastAsia="Times New Roman" w:hAnsi="Calibri" w:cs="Calibri"/>
          <w:lang w:eastAsia="en-NZ"/>
        </w:rPr>
        <w:t>importance</w:t>
      </w:r>
      <w:r w:rsidR="003D640C">
        <w:rPr>
          <w:rFonts w:ascii="Calibri" w:eastAsia="Times New Roman" w:hAnsi="Calibri" w:cs="Calibri"/>
          <w:lang w:eastAsia="en-NZ"/>
        </w:rPr>
        <w:t xml:space="preserve"> </w:t>
      </w:r>
      <w:r w:rsidRPr="00BB6220">
        <w:rPr>
          <w:rFonts w:ascii="Calibri" w:eastAsia="Times New Roman" w:hAnsi="Calibri" w:cs="Calibri"/>
          <w:lang w:eastAsia="en-NZ"/>
        </w:rPr>
        <w:t>of</w:t>
      </w:r>
      <w:r w:rsidR="003D640C">
        <w:rPr>
          <w:rFonts w:ascii="Calibri" w:eastAsia="Times New Roman" w:hAnsi="Calibri" w:cs="Calibri"/>
          <w:lang w:eastAsia="en-NZ"/>
        </w:rPr>
        <w:t xml:space="preserve"> </w:t>
      </w:r>
      <w:r w:rsidRPr="00BB6220">
        <w:rPr>
          <w:rFonts w:ascii="Calibri" w:eastAsia="Times New Roman" w:hAnsi="Calibri" w:cs="Calibri"/>
          <w:lang w:eastAsia="en-NZ"/>
        </w:rPr>
        <w:t>cultural</w:t>
      </w:r>
      <w:r w:rsidR="003D640C">
        <w:rPr>
          <w:rFonts w:ascii="Calibri" w:eastAsia="Times New Roman" w:hAnsi="Calibri" w:cs="Calibri"/>
          <w:lang w:eastAsia="en-NZ"/>
        </w:rPr>
        <w:t xml:space="preserve"> </w:t>
      </w:r>
      <w:r w:rsidRPr="00BB6220">
        <w:rPr>
          <w:rFonts w:ascii="Calibri" w:eastAsia="Times New Roman" w:hAnsi="Calibri" w:cs="Calibri"/>
          <w:lang w:eastAsia="en-NZ"/>
        </w:rPr>
        <w:t>humility</w:t>
      </w:r>
      <w:r w:rsidR="003D640C">
        <w:rPr>
          <w:rFonts w:ascii="Calibri" w:eastAsia="Times New Roman" w:hAnsi="Calibri" w:cs="Calibri"/>
          <w:lang w:eastAsia="en-NZ"/>
        </w:rPr>
        <w:t xml:space="preserve"> </w:t>
      </w:r>
      <w:r w:rsidRPr="00BB6220">
        <w:rPr>
          <w:rFonts w:ascii="Calibri" w:eastAsia="Times New Roman" w:hAnsi="Calibri" w:cs="Calibri"/>
          <w:lang w:eastAsia="en-NZ"/>
        </w:rPr>
        <w:t>from</w:t>
      </w:r>
      <w:r w:rsidR="003D640C">
        <w:rPr>
          <w:rFonts w:ascii="Calibri" w:eastAsia="Times New Roman" w:hAnsi="Calibri" w:cs="Calibri"/>
          <w:lang w:eastAsia="en-NZ"/>
        </w:rPr>
        <w:t xml:space="preserve"> </w:t>
      </w:r>
      <w:r w:rsidRPr="00BB6220">
        <w:rPr>
          <w:rFonts w:ascii="Calibri" w:eastAsia="Times New Roman" w:hAnsi="Calibri" w:cs="Calibri"/>
          <w:lang w:eastAsia="en-NZ"/>
        </w:rPr>
        <w:t>those</w:t>
      </w:r>
      <w:r w:rsidR="003D640C">
        <w:rPr>
          <w:rFonts w:ascii="Calibri" w:eastAsia="Times New Roman" w:hAnsi="Calibri" w:cs="Calibri"/>
          <w:lang w:eastAsia="en-NZ"/>
        </w:rPr>
        <w:t xml:space="preserve"> </w:t>
      </w:r>
      <w:r w:rsidRPr="00BB6220">
        <w:rPr>
          <w:rFonts w:ascii="Calibri" w:eastAsia="Times New Roman" w:hAnsi="Calibri" w:cs="Calibri"/>
          <w:lang w:eastAsia="en-NZ"/>
        </w:rPr>
        <w:t>who</w:t>
      </w:r>
      <w:r w:rsidR="003D640C">
        <w:rPr>
          <w:rFonts w:ascii="Calibri" w:eastAsia="Times New Roman" w:hAnsi="Calibri" w:cs="Calibri"/>
          <w:lang w:eastAsia="en-NZ"/>
        </w:rPr>
        <w:t xml:space="preserve"> </w:t>
      </w:r>
      <w:r w:rsidRPr="00BB6220">
        <w:rPr>
          <w:rFonts w:ascii="Calibri" w:eastAsia="Times New Roman" w:hAnsi="Calibri" w:cs="Calibri"/>
          <w:lang w:eastAsia="en-NZ"/>
        </w:rPr>
        <w:t>interact</w:t>
      </w:r>
      <w:r w:rsidR="003D640C">
        <w:rPr>
          <w:rFonts w:ascii="Calibri" w:eastAsia="Times New Roman" w:hAnsi="Calibri" w:cs="Calibri"/>
          <w:lang w:eastAsia="en-NZ"/>
        </w:rPr>
        <w:t xml:space="preserve"> </w:t>
      </w:r>
      <w:r w:rsidRPr="00BB6220">
        <w:rPr>
          <w:rFonts w:ascii="Calibri" w:eastAsia="Times New Roman" w:hAnsi="Calibri" w:cs="Calibri"/>
          <w:lang w:eastAsia="en-NZ"/>
        </w:rPr>
        <w:t>with</w:t>
      </w:r>
      <w:r w:rsidR="003D640C">
        <w:rPr>
          <w:rFonts w:ascii="Calibri" w:eastAsia="Times New Roman" w:hAnsi="Calibri" w:cs="Calibri"/>
          <w:lang w:eastAsia="en-NZ"/>
        </w:rPr>
        <w:t xml:space="preserve"> </w:t>
      </w:r>
      <w:r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survivors</w:t>
      </w:r>
      <w:r w:rsidR="003D640C">
        <w:rPr>
          <w:rFonts w:ascii="Calibri" w:eastAsia="Times New Roman" w:hAnsi="Calibri" w:cs="Calibri"/>
          <w:lang w:eastAsia="en-NZ"/>
        </w:rPr>
        <w:t xml:space="preserve"> </w:t>
      </w:r>
      <w:r w:rsidRPr="00BB6220">
        <w:rPr>
          <w:rFonts w:ascii="Calibri" w:eastAsia="Times New Roman" w:hAnsi="Calibri" w:cs="Calibri"/>
          <w:lang w:eastAsia="en-NZ"/>
        </w:rPr>
        <w:t>in</w:t>
      </w:r>
      <w:r w:rsidR="003D640C">
        <w:rPr>
          <w:rFonts w:ascii="Calibri" w:eastAsia="Times New Roman" w:hAnsi="Calibri" w:cs="Calibri"/>
          <w:lang w:eastAsia="en-NZ"/>
        </w:rPr>
        <w:t xml:space="preserve"> </w:t>
      </w:r>
      <w:r w:rsidRPr="00BB6220">
        <w:rPr>
          <w:rFonts w:ascii="Calibri" w:eastAsia="Times New Roman" w:hAnsi="Calibri" w:cs="Calibri"/>
          <w:lang w:eastAsia="en-NZ"/>
        </w:rPr>
        <w:t>support</w:t>
      </w:r>
      <w:r w:rsidR="003D640C">
        <w:rPr>
          <w:rFonts w:ascii="Calibri" w:eastAsia="Times New Roman" w:hAnsi="Calibri" w:cs="Calibri"/>
          <w:lang w:eastAsia="en-NZ"/>
        </w:rPr>
        <w:t xml:space="preserve"> </w:t>
      </w:r>
      <w:r w:rsidRPr="00BB6220">
        <w:rPr>
          <w:rFonts w:ascii="Calibri" w:eastAsia="Times New Roman" w:hAnsi="Calibri" w:cs="Calibri"/>
          <w:lang w:eastAsia="en-NZ"/>
        </w:rPr>
        <w:t>services</w:t>
      </w:r>
      <w:r w:rsidR="003D640C">
        <w:rPr>
          <w:rFonts w:ascii="Calibri" w:eastAsia="Times New Roman" w:hAnsi="Calibri" w:cs="Calibri"/>
          <w:lang w:eastAsia="en-NZ"/>
        </w:rPr>
        <w:t xml:space="preserve"> </w:t>
      </w:r>
      <w:r w:rsidRPr="00BB6220">
        <w:rPr>
          <w:rFonts w:ascii="Calibri" w:eastAsia="Times New Roman" w:hAnsi="Calibri" w:cs="Calibri"/>
          <w:lang w:eastAsia="en-NZ"/>
        </w:rPr>
        <w:t>was</w:t>
      </w:r>
      <w:r w:rsidR="003D640C">
        <w:rPr>
          <w:rFonts w:ascii="Calibri" w:eastAsia="Times New Roman" w:hAnsi="Calibri" w:cs="Calibri"/>
          <w:lang w:eastAsia="en-NZ"/>
        </w:rPr>
        <w:t xml:space="preserve"> </w:t>
      </w:r>
      <w:r w:rsidRPr="00BB6220">
        <w:rPr>
          <w:rFonts w:ascii="Calibri" w:eastAsia="Times New Roman" w:hAnsi="Calibri" w:cs="Calibri"/>
          <w:lang w:eastAsia="en-NZ"/>
        </w:rPr>
        <w:t>also</w:t>
      </w:r>
      <w:r w:rsidR="003D640C">
        <w:rPr>
          <w:rFonts w:ascii="Calibri" w:eastAsia="Times New Roman" w:hAnsi="Calibri" w:cs="Calibri"/>
          <w:lang w:eastAsia="en-NZ"/>
        </w:rPr>
        <w:t xml:space="preserve"> </w:t>
      </w:r>
      <w:r w:rsidRPr="00BB6220">
        <w:rPr>
          <w:rFonts w:ascii="Calibri" w:eastAsia="Times New Roman" w:hAnsi="Calibri" w:cs="Calibri"/>
          <w:lang w:eastAsia="en-NZ"/>
        </w:rPr>
        <w:t>highlighted.</w:t>
      </w:r>
      <w:r w:rsidR="003D640C">
        <w:rPr>
          <w:rFonts w:ascii="Calibri" w:eastAsia="Times New Roman" w:hAnsi="Calibri" w:cs="Calibri"/>
          <w:lang w:eastAsia="en-NZ"/>
        </w:rPr>
        <w:t xml:space="preserve"> </w:t>
      </w:r>
      <w:r w:rsidRPr="00BB6220">
        <w:rPr>
          <w:rFonts w:ascii="Calibri" w:eastAsia="Times New Roman" w:hAnsi="Calibri" w:cs="Calibri"/>
          <w:lang w:eastAsia="en-NZ"/>
        </w:rPr>
        <w:t>Assumptions</w:t>
      </w:r>
      <w:r w:rsidR="003D640C">
        <w:rPr>
          <w:rFonts w:ascii="Calibri" w:eastAsia="Times New Roman" w:hAnsi="Calibri" w:cs="Calibri"/>
          <w:lang w:eastAsia="en-NZ"/>
        </w:rPr>
        <w:t xml:space="preserve"> </w:t>
      </w:r>
      <w:r w:rsidRPr="00BB6220">
        <w:rPr>
          <w:rFonts w:ascii="Calibri" w:eastAsia="Times New Roman" w:hAnsi="Calibri" w:cs="Calibri"/>
          <w:lang w:eastAsia="en-NZ"/>
        </w:rPr>
        <w:t>about</w:t>
      </w:r>
      <w:r w:rsidR="003D640C">
        <w:rPr>
          <w:rFonts w:ascii="Calibri" w:eastAsia="Times New Roman" w:hAnsi="Calibri" w:cs="Calibri"/>
          <w:lang w:eastAsia="en-NZ"/>
        </w:rPr>
        <w:t xml:space="preserve"> </w:t>
      </w:r>
      <w:r w:rsidRPr="00BB6220">
        <w:rPr>
          <w:rFonts w:ascii="Calibri" w:eastAsia="Times New Roman" w:hAnsi="Calibri" w:cs="Calibri"/>
          <w:lang w:eastAsia="en-NZ"/>
        </w:rPr>
        <w:t>an</w:t>
      </w:r>
      <w:r w:rsidR="003D640C">
        <w:rPr>
          <w:rFonts w:ascii="Calibri" w:eastAsia="Times New Roman" w:hAnsi="Calibri" w:cs="Calibri"/>
          <w:lang w:eastAsia="en-NZ"/>
        </w:rPr>
        <w:t xml:space="preserve"> </w:t>
      </w:r>
      <w:r w:rsidRPr="00BB6220">
        <w:rPr>
          <w:rFonts w:ascii="Calibri" w:eastAsia="Times New Roman" w:hAnsi="Calibri" w:cs="Calibri"/>
          <w:lang w:eastAsia="en-NZ"/>
        </w:rPr>
        <w:t>individual’s</w:t>
      </w:r>
      <w:r w:rsidR="003D640C">
        <w:rPr>
          <w:rFonts w:ascii="Calibri" w:eastAsia="Times New Roman" w:hAnsi="Calibri" w:cs="Calibri"/>
          <w:lang w:eastAsia="en-NZ"/>
        </w:rPr>
        <w:t xml:space="preserve"> </w:t>
      </w:r>
      <w:r w:rsidRPr="00BB6220">
        <w:rPr>
          <w:rFonts w:ascii="Calibri" w:eastAsia="Times New Roman" w:hAnsi="Calibri" w:cs="Calibri"/>
          <w:lang w:eastAsia="en-NZ"/>
        </w:rPr>
        <w:t>exposure</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Māori</w:t>
      </w:r>
      <w:r w:rsidR="003D640C">
        <w:rPr>
          <w:rFonts w:ascii="Calibri" w:eastAsia="Times New Roman" w:hAnsi="Calibri" w:cs="Calibri"/>
          <w:lang w:eastAsia="en-NZ"/>
        </w:rPr>
        <w:t xml:space="preserve"> </w:t>
      </w:r>
      <w:r w:rsidRPr="00BB6220">
        <w:rPr>
          <w:rFonts w:ascii="Calibri" w:eastAsia="Times New Roman" w:hAnsi="Calibri" w:cs="Calibri"/>
          <w:lang w:eastAsia="en-NZ"/>
        </w:rPr>
        <w:t>culture,</w:t>
      </w:r>
      <w:r w:rsidR="003D640C">
        <w:rPr>
          <w:rFonts w:ascii="Calibri" w:eastAsia="Times New Roman" w:hAnsi="Calibri" w:cs="Calibri"/>
          <w:lang w:eastAsia="en-NZ"/>
        </w:rPr>
        <w:t xml:space="preserve"> </w:t>
      </w:r>
      <w:r w:rsidRPr="00BB6220">
        <w:rPr>
          <w:rFonts w:ascii="Calibri" w:eastAsia="Times New Roman" w:hAnsi="Calibri" w:cs="Calibri"/>
          <w:lang w:eastAsia="en-NZ"/>
        </w:rPr>
        <w:t>or</w:t>
      </w:r>
      <w:r w:rsidR="003D640C">
        <w:rPr>
          <w:rFonts w:ascii="Calibri" w:eastAsia="Times New Roman" w:hAnsi="Calibri" w:cs="Calibri"/>
          <w:lang w:eastAsia="en-NZ"/>
        </w:rPr>
        <w:t xml:space="preserve"> </w:t>
      </w:r>
      <w:r w:rsidRPr="00BB6220">
        <w:rPr>
          <w:rFonts w:ascii="Calibri" w:eastAsia="Times New Roman" w:hAnsi="Calibri" w:cs="Calibri"/>
          <w:lang w:eastAsia="en-NZ"/>
        </w:rPr>
        <w:t>whether</w:t>
      </w:r>
      <w:r w:rsidR="003D640C">
        <w:rPr>
          <w:rFonts w:ascii="Calibri" w:eastAsia="Times New Roman" w:hAnsi="Calibri" w:cs="Calibri"/>
          <w:lang w:eastAsia="en-NZ"/>
        </w:rPr>
        <w:t xml:space="preserve"> </w:t>
      </w:r>
      <w:r w:rsidRPr="00BB6220">
        <w:rPr>
          <w:rFonts w:ascii="Calibri" w:eastAsia="Times New Roman" w:hAnsi="Calibri" w:cs="Calibri"/>
          <w:lang w:eastAsia="en-NZ"/>
        </w:rPr>
        <w:t>they</w:t>
      </w:r>
      <w:r w:rsidR="003D640C">
        <w:rPr>
          <w:rFonts w:ascii="Calibri" w:eastAsia="Times New Roman" w:hAnsi="Calibri" w:cs="Calibri"/>
          <w:lang w:eastAsia="en-NZ"/>
        </w:rPr>
        <w:t xml:space="preserve"> </w:t>
      </w:r>
      <w:r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Pr="00BB6220">
        <w:rPr>
          <w:rFonts w:ascii="Calibri" w:eastAsia="Times New Roman" w:hAnsi="Calibri" w:cs="Calibri"/>
          <w:lang w:eastAsia="en-NZ"/>
        </w:rPr>
        <w:t>or</w:t>
      </w:r>
      <w:r w:rsidR="003D640C">
        <w:rPr>
          <w:rFonts w:ascii="Calibri" w:eastAsia="Times New Roman" w:hAnsi="Calibri" w:cs="Calibri"/>
          <w:lang w:eastAsia="en-NZ"/>
        </w:rPr>
        <w:t xml:space="preserve"> </w:t>
      </w:r>
      <w:r w:rsidRPr="00BB6220">
        <w:rPr>
          <w:rFonts w:ascii="Calibri" w:eastAsia="Times New Roman" w:hAnsi="Calibri" w:cs="Calibri"/>
          <w:lang w:eastAsia="en-NZ"/>
        </w:rPr>
        <w:t>want</w:t>
      </w:r>
      <w:r w:rsidR="003D640C">
        <w:rPr>
          <w:rFonts w:ascii="Calibri" w:eastAsia="Times New Roman" w:hAnsi="Calibri" w:cs="Calibri"/>
          <w:lang w:eastAsia="en-NZ"/>
        </w:rPr>
        <w:t xml:space="preserve"> </w:t>
      </w:r>
      <w:r w:rsidRPr="00BB6220">
        <w:rPr>
          <w:rFonts w:ascii="Calibri" w:eastAsia="Times New Roman" w:hAnsi="Calibri" w:cs="Calibri"/>
          <w:lang w:eastAsia="en-NZ"/>
        </w:rPr>
        <w:t>personal</w:t>
      </w:r>
      <w:r w:rsidR="003D640C">
        <w:rPr>
          <w:rFonts w:ascii="Calibri" w:eastAsia="Times New Roman" w:hAnsi="Calibri" w:cs="Calibri"/>
          <w:lang w:eastAsia="en-NZ"/>
        </w:rPr>
        <w:t xml:space="preserve"> </w:t>
      </w:r>
      <w:r w:rsidRPr="00BB6220">
        <w:rPr>
          <w:rFonts w:ascii="Calibri" w:eastAsia="Times New Roman" w:hAnsi="Calibri" w:cs="Calibri"/>
          <w:lang w:eastAsia="en-NZ"/>
        </w:rPr>
        <w:t>connections</w:t>
      </w:r>
      <w:r w:rsidR="003D640C">
        <w:rPr>
          <w:rFonts w:ascii="Calibri" w:eastAsia="Times New Roman" w:hAnsi="Calibri" w:cs="Calibri"/>
          <w:lang w:eastAsia="en-NZ"/>
        </w:rPr>
        <w:t xml:space="preserve"> </w:t>
      </w:r>
      <w:r w:rsidRPr="00BB6220">
        <w:rPr>
          <w:rFonts w:ascii="Calibri" w:eastAsia="Times New Roman" w:hAnsi="Calibri" w:cs="Calibri"/>
          <w:lang w:eastAsia="en-NZ"/>
        </w:rPr>
        <w:t>to</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community,</w:t>
      </w:r>
      <w:r w:rsidR="003D640C">
        <w:rPr>
          <w:rFonts w:ascii="Calibri" w:eastAsia="Times New Roman" w:hAnsi="Calibri" w:cs="Calibri"/>
          <w:lang w:eastAsia="en-NZ"/>
        </w:rPr>
        <w:t xml:space="preserve"> </w:t>
      </w:r>
      <w:r w:rsidRPr="00BB6220">
        <w:rPr>
          <w:rFonts w:ascii="Calibri" w:eastAsia="Times New Roman" w:hAnsi="Calibri" w:cs="Calibri"/>
          <w:lang w:eastAsia="en-NZ"/>
        </w:rPr>
        <w:t>should</w:t>
      </w:r>
      <w:r w:rsidR="003D640C">
        <w:rPr>
          <w:rFonts w:ascii="Calibri" w:eastAsia="Times New Roman" w:hAnsi="Calibri" w:cs="Calibri"/>
          <w:lang w:eastAsia="en-NZ"/>
        </w:rPr>
        <w:t xml:space="preserve"> </w:t>
      </w:r>
      <w:r w:rsidRPr="00BB6220">
        <w:rPr>
          <w:rFonts w:ascii="Calibri" w:eastAsia="Times New Roman" w:hAnsi="Calibri" w:cs="Calibri"/>
          <w:lang w:eastAsia="en-NZ"/>
        </w:rPr>
        <w:t>be</w:t>
      </w:r>
      <w:r w:rsidR="003D640C">
        <w:rPr>
          <w:rFonts w:ascii="Calibri" w:eastAsia="Times New Roman" w:hAnsi="Calibri" w:cs="Calibri"/>
          <w:lang w:eastAsia="en-NZ"/>
        </w:rPr>
        <w:t xml:space="preserve"> </w:t>
      </w:r>
      <w:r w:rsidRPr="00BB6220">
        <w:rPr>
          <w:rFonts w:ascii="Calibri" w:eastAsia="Times New Roman" w:hAnsi="Calibri" w:cs="Calibri"/>
          <w:lang w:eastAsia="en-NZ"/>
        </w:rPr>
        <w:t>avoided</w:t>
      </w:r>
      <w:r w:rsidR="003D640C">
        <w:rPr>
          <w:rFonts w:ascii="Calibri" w:eastAsia="Times New Roman" w:hAnsi="Calibri" w:cs="Calibri"/>
          <w:lang w:eastAsia="en-NZ"/>
        </w:rPr>
        <w:t xml:space="preserve"> </w:t>
      </w:r>
      <w:r w:rsidRPr="00BB6220">
        <w:rPr>
          <w:rFonts w:ascii="Calibri" w:eastAsia="Times New Roman" w:hAnsi="Calibri" w:cs="Calibri"/>
          <w:lang w:eastAsia="en-NZ"/>
        </w:rPr>
        <w:t>as</w:t>
      </w:r>
      <w:r w:rsidR="003D640C">
        <w:rPr>
          <w:rFonts w:ascii="Calibri" w:eastAsia="Times New Roman" w:hAnsi="Calibri" w:cs="Calibri"/>
          <w:lang w:eastAsia="en-NZ"/>
        </w:rPr>
        <w:t xml:space="preserve"> </w:t>
      </w:r>
      <w:r w:rsidRPr="00BB6220">
        <w:rPr>
          <w:rFonts w:ascii="Calibri" w:eastAsia="Times New Roman" w:hAnsi="Calibri" w:cs="Calibri"/>
          <w:lang w:eastAsia="en-NZ"/>
        </w:rPr>
        <w:t>each</w:t>
      </w:r>
      <w:r w:rsidR="003D640C">
        <w:rPr>
          <w:rFonts w:ascii="Calibri" w:eastAsia="Times New Roman" w:hAnsi="Calibri" w:cs="Calibri"/>
          <w:lang w:eastAsia="en-NZ"/>
        </w:rPr>
        <w:t xml:space="preserve"> </w:t>
      </w:r>
      <w:r w:rsidRPr="00BB6220">
        <w:rPr>
          <w:rFonts w:ascii="Calibri" w:eastAsia="Times New Roman" w:hAnsi="Calibri" w:cs="Calibri"/>
          <w:lang w:eastAsia="en-NZ"/>
        </w:rPr>
        <w:t>survivor</w:t>
      </w:r>
      <w:r w:rsidR="003D640C">
        <w:rPr>
          <w:rFonts w:ascii="Calibri" w:eastAsia="Times New Roman" w:hAnsi="Calibri" w:cs="Calibri"/>
          <w:lang w:eastAsia="en-NZ"/>
        </w:rPr>
        <w:t xml:space="preserve"> </w:t>
      </w:r>
      <w:r w:rsidRPr="00BB6220">
        <w:rPr>
          <w:rFonts w:ascii="Calibri" w:eastAsia="Times New Roman" w:hAnsi="Calibri" w:cs="Calibri"/>
          <w:lang w:eastAsia="en-NZ"/>
        </w:rPr>
        <w:t>will</w:t>
      </w:r>
      <w:r w:rsidR="003D640C">
        <w:rPr>
          <w:rFonts w:ascii="Calibri" w:eastAsia="Times New Roman" w:hAnsi="Calibri" w:cs="Calibri"/>
          <w:lang w:eastAsia="en-NZ"/>
        </w:rPr>
        <w:t xml:space="preserve"> </w:t>
      </w:r>
      <w:r w:rsidRPr="00BB6220">
        <w:rPr>
          <w:rFonts w:ascii="Calibri" w:eastAsia="Times New Roman" w:hAnsi="Calibri" w:cs="Calibri"/>
          <w:lang w:eastAsia="en-NZ"/>
        </w:rPr>
        <w:t>have</w:t>
      </w:r>
      <w:r w:rsidR="003D640C">
        <w:rPr>
          <w:rFonts w:ascii="Calibri" w:eastAsia="Times New Roman" w:hAnsi="Calibri" w:cs="Calibri"/>
          <w:lang w:eastAsia="en-NZ"/>
        </w:rPr>
        <w:t xml:space="preserve"> </w:t>
      </w:r>
      <w:r w:rsidRPr="00BB6220">
        <w:rPr>
          <w:rFonts w:ascii="Calibri" w:eastAsia="Times New Roman" w:hAnsi="Calibri" w:cs="Calibri"/>
          <w:lang w:eastAsia="en-NZ"/>
        </w:rPr>
        <w:t>a</w:t>
      </w:r>
      <w:r w:rsidR="003D640C">
        <w:rPr>
          <w:rFonts w:ascii="Calibri" w:eastAsia="Times New Roman" w:hAnsi="Calibri" w:cs="Calibri"/>
          <w:lang w:eastAsia="en-NZ"/>
        </w:rPr>
        <w:t xml:space="preserve"> </w:t>
      </w:r>
      <w:r w:rsidRPr="00BB6220">
        <w:rPr>
          <w:rFonts w:ascii="Calibri" w:eastAsia="Times New Roman" w:hAnsi="Calibri" w:cs="Calibri"/>
          <w:lang w:eastAsia="en-NZ"/>
        </w:rPr>
        <w:t>different</w:t>
      </w:r>
      <w:r w:rsidR="003D640C">
        <w:rPr>
          <w:rFonts w:ascii="Calibri" w:eastAsia="Times New Roman" w:hAnsi="Calibri" w:cs="Calibri"/>
          <w:lang w:eastAsia="en-NZ"/>
        </w:rPr>
        <w:t xml:space="preserve"> </w:t>
      </w:r>
      <w:r w:rsidRPr="00BB6220">
        <w:rPr>
          <w:rFonts w:ascii="Calibri" w:eastAsia="Times New Roman" w:hAnsi="Calibri" w:cs="Calibri"/>
          <w:lang w:eastAsia="en-NZ"/>
        </w:rPr>
        <w:t>experience</w:t>
      </w:r>
      <w:r w:rsidR="003D640C">
        <w:rPr>
          <w:rFonts w:ascii="Calibri" w:eastAsia="Times New Roman" w:hAnsi="Calibri" w:cs="Calibri"/>
          <w:lang w:eastAsia="en-NZ"/>
        </w:rPr>
        <w:t xml:space="preserve"> </w:t>
      </w:r>
      <w:r w:rsidRPr="00BB6220">
        <w:rPr>
          <w:rFonts w:ascii="Calibri" w:eastAsia="Times New Roman" w:hAnsi="Calibri" w:cs="Calibri"/>
          <w:lang w:eastAsia="en-NZ"/>
        </w:rPr>
        <w:t>and</w:t>
      </w:r>
      <w:r w:rsidR="003D640C">
        <w:rPr>
          <w:rFonts w:ascii="Calibri" w:eastAsia="Times New Roman" w:hAnsi="Calibri" w:cs="Calibri"/>
          <w:lang w:eastAsia="en-NZ"/>
        </w:rPr>
        <w:t xml:space="preserve"> </w:t>
      </w:r>
      <w:r w:rsidRPr="00BB6220">
        <w:rPr>
          <w:rFonts w:ascii="Calibri" w:eastAsia="Times New Roman" w:hAnsi="Calibri" w:cs="Calibri"/>
          <w:lang w:eastAsia="en-NZ"/>
        </w:rPr>
        <w:t>different</w:t>
      </w:r>
      <w:r w:rsidR="003D640C">
        <w:rPr>
          <w:rFonts w:ascii="Calibri" w:eastAsia="Times New Roman" w:hAnsi="Calibri" w:cs="Calibri"/>
          <w:lang w:eastAsia="en-NZ"/>
        </w:rPr>
        <w:t xml:space="preserve"> </w:t>
      </w:r>
      <w:r w:rsidRPr="00BB6220">
        <w:rPr>
          <w:rFonts w:ascii="Calibri" w:eastAsia="Times New Roman" w:hAnsi="Calibri" w:cs="Calibri"/>
          <w:lang w:eastAsia="en-NZ"/>
        </w:rPr>
        <w:t>goals.</w:t>
      </w:r>
    </w:p>
    <w:p w14:paraId="0E83FA86" w14:textId="4A7E2E18" w:rsidR="00CD2C3B" w:rsidRPr="00BB6220" w:rsidRDefault="00CD2C3B" w:rsidP="00501068">
      <w:pPr>
        <w:pStyle w:val="Heading2"/>
      </w:pPr>
      <w:bookmarkStart w:id="412" w:name="_Toc167780648"/>
      <w:bookmarkStart w:id="413" w:name="_Toc886756977"/>
      <w:bookmarkStart w:id="414" w:name="_Toc174628710"/>
      <w:r w:rsidRPr="00BB6220">
        <w:t>Recovery</w:t>
      </w:r>
      <w:r w:rsidR="003D640C">
        <w:t xml:space="preserve"> </w:t>
      </w:r>
      <w:r w:rsidRPr="00BB6220">
        <w:t>for</w:t>
      </w:r>
      <w:r w:rsidR="003D640C">
        <w:t xml:space="preserve"> </w:t>
      </w:r>
      <w:r w:rsidRPr="00BB6220">
        <w:t>survivors</w:t>
      </w:r>
      <w:r w:rsidR="003D640C">
        <w:t xml:space="preserve"> </w:t>
      </w:r>
      <w:r w:rsidRPr="00BB6220">
        <w:t>in</w:t>
      </w:r>
      <w:r w:rsidR="003D640C">
        <w:t xml:space="preserve"> </w:t>
      </w:r>
      <w:r w:rsidRPr="00BB6220">
        <w:t>under</w:t>
      </w:r>
      <w:r w:rsidR="0064680A">
        <w:t>-</w:t>
      </w:r>
      <w:r w:rsidRPr="00BB6220">
        <w:t>represented</w:t>
      </w:r>
      <w:r w:rsidR="003D640C">
        <w:t xml:space="preserve"> </w:t>
      </w:r>
      <w:r w:rsidRPr="00BB6220">
        <w:t>communities</w:t>
      </w:r>
      <w:bookmarkEnd w:id="412"/>
      <w:bookmarkEnd w:id="413"/>
      <w:bookmarkEnd w:id="414"/>
    </w:p>
    <w:p w14:paraId="2C2DE2AC" w14:textId="080B9FD6" w:rsidR="0064680A" w:rsidRPr="00CA6684" w:rsidRDefault="0064680A" w:rsidP="009032B9">
      <w:r>
        <w:rPr>
          <w:lang w:eastAsia="en-NZ"/>
        </w:rPr>
        <w:t>This</w:t>
      </w:r>
      <w:r w:rsidR="003D640C">
        <w:rPr>
          <w:lang w:eastAsia="en-NZ"/>
        </w:rPr>
        <w:t xml:space="preserve"> </w:t>
      </w:r>
      <w:r>
        <w:rPr>
          <w:lang w:eastAsia="en-NZ"/>
        </w:rPr>
        <w:t>section</w:t>
      </w:r>
      <w:r w:rsidR="003D640C">
        <w:rPr>
          <w:lang w:eastAsia="en-NZ"/>
        </w:rPr>
        <w:t xml:space="preserve"> </w:t>
      </w:r>
      <w:r>
        <w:rPr>
          <w:lang w:eastAsia="en-NZ"/>
        </w:rPr>
        <w:t>provides</w:t>
      </w:r>
      <w:r w:rsidR="003D640C">
        <w:rPr>
          <w:lang w:eastAsia="en-NZ"/>
        </w:rPr>
        <w:t xml:space="preserve"> </w:t>
      </w:r>
      <w:r>
        <w:rPr>
          <w:lang w:eastAsia="en-NZ"/>
        </w:rPr>
        <w:t>advice</w:t>
      </w:r>
      <w:r w:rsidR="003D640C">
        <w:rPr>
          <w:lang w:eastAsia="en-NZ"/>
        </w:rPr>
        <w:t xml:space="preserve"> </w:t>
      </w:r>
      <w:r>
        <w:rPr>
          <w:lang w:eastAsia="en-NZ"/>
        </w:rPr>
        <w:t>from</w:t>
      </w:r>
      <w:r w:rsidR="003D640C">
        <w:rPr>
          <w:lang w:eastAsia="en-NZ"/>
        </w:rPr>
        <w:t xml:space="preserve"> </w:t>
      </w:r>
      <w:r>
        <w:rPr>
          <w:lang w:eastAsia="en-NZ"/>
        </w:rPr>
        <w:t>survivors</w:t>
      </w:r>
      <w:r w:rsidR="003D640C">
        <w:rPr>
          <w:lang w:eastAsia="en-NZ"/>
        </w:rPr>
        <w:t xml:space="preserve"> </w:t>
      </w:r>
      <w:r>
        <w:rPr>
          <w:lang w:eastAsia="en-NZ"/>
        </w:rPr>
        <w:t>from</w:t>
      </w:r>
      <w:r w:rsidR="003D640C">
        <w:rPr>
          <w:lang w:eastAsia="en-NZ"/>
        </w:rPr>
        <w:t xml:space="preserve"> </w:t>
      </w:r>
      <w:r>
        <w:rPr>
          <w:lang w:eastAsia="en-NZ"/>
        </w:rPr>
        <w:t>under-represented</w:t>
      </w:r>
      <w:r w:rsidR="003D640C">
        <w:rPr>
          <w:lang w:eastAsia="en-NZ"/>
        </w:rPr>
        <w:t xml:space="preserve"> </w:t>
      </w:r>
      <w:r>
        <w:rPr>
          <w:lang w:eastAsia="en-NZ"/>
        </w:rPr>
        <w:t>communities</w:t>
      </w:r>
      <w:r w:rsidR="003D640C">
        <w:rPr>
          <w:lang w:eastAsia="en-NZ"/>
        </w:rPr>
        <w:t xml:space="preserve"> </w:t>
      </w:r>
      <w:r>
        <w:rPr>
          <w:lang w:eastAsia="en-NZ"/>
        </w:rPr>
        <w:t>as</w:t>
      </w:r>
      <w:r w:rsidR="003D640C">
        <w:rPr>
          <w:lang w:eastAsia="en-NZ"/>
        </w:rPr>
        <w:t xml:space="preserve"> </w:t>
      </w:r>
      <w:r>
        <w:rPr>
          <w:lang w:eastAsia="en-NZ"/>
        </w:rPr>
        <w:t>to</w:t>
      </w:r>
      <w:r w:rsidR="003D640C">
        <w:rPr>
          <w:lang w:eastAsia="en-NZ"/>
        </w:rPr>
        <w:t xml:space="preserve"> </w:t>
      </w:r>
      <w:r>
        <w:rPr>
          <w:lang w:eastAsia="en-NZ"/>
        </w:rPr>
        <w:t>how</w:t>
      </w:r>
      <w:r w:rsidR="003D640C">
        <w:rPr>
          <w:lang w:eastAsia="en-NZ"/>
        </w:rPr>
        <w:t xml:space="preserve"> </w:t>
      </w:r>
      <w:r>
        <w:rPr>
          <w:lang w:eastAsia="en-NZ"/>
        </w:rPr>
        <w:t>best</w:t>
      </w:r>
      <w:r w:rsidR="003D640C">
        <w:rPr>
          <w:lang w:eastAsia="en-NZ"/>
        </w:rPr>
        <w:t xml:space="preserve"> </w:t>
      </w:r>
      <w:r>
        <w:rPr>
          <w:lang w:eastAsia="en-NZ"/>
        </w:rPr>
        <w:t>to</w:t>
      </w:r>
      <w:r w:rsidR="003D640C">
        <w:rPr>
          <w:lang w:eastAsia="en-NZ"/>
        </w:rPr>
        <w:t xml:space="preserve"> </w:t>
      </w:r>
      <w:r>
        <w:rPr>
          <w:lang w:eastAsia="en-NZ"/>
        </w:rPr>
        <w:t>provide</w:t>
      </w:r>
      <w:r w:rsidR="003D640C">
        <w:rPr>
          <w:lang w:eastAsia="en-NZ"/>
        </w:rPr>
        <w:t xml:space="preserve"> </w:t>
      </w:r>
      <w:r>
        <w:rPr>
          <w:lang w:eastAsia="en-NZ"/>
        </w:rPr>
        <w:t>support</w:t>
      </w:r>
      <w:r w:rsidR="003D640C">
        <w:rPr>
          <w:lang w:eastAsia="en-NZ"/>
        </w:rPr>
        <w:t xml:space="preserve"> </w:t>
      </w:r>
      <w:r>
        <w:rPr>
          <w:lang w:eastAsia="en-NZ"/>
        </w:rPr>
        <w:t>for</w:t>
      </w:r>
      <w:r w:rsidR="003D640C">
        <w:rPr>
          <w:lang w:eastAsia="en-NZ"/>
        </w:rPr>
        <w:t xml:space="preserve"> </w:t>
      </w:r>
      <w:r>
        <w:rPr>
          <w:lang w:eastAsia="en-NZ"/>
        </w:rPr>
        <w:t>those</w:t>
      </w:r>
      <w:r w:rsidR="003D640C">
        <w:rPr>
          <w:lang w:eastAsia="en-NZ"/>
        </w:rPr>
        <w:t xml:space="preserve"> </w:t>
      </w:r>
      <w:r>
        <w:rPr>
          <w:lang w:eastAsia="en-NZ"/>
        </w:rPr>
        <w:t>who</w:t>
      </w:r>
      <w:r w:rsidR="003D640C">
        <w:rPr>
          <w:lang w:eastAsia="en-NZ"/>
        </w:rPr>
        <w:t xml:space="preserve"> </w:t>
      </w:r>
      <w:r>
        <w:rPr>
          <w:lang w:eastAsia="en-NZ"/>
        </w:rPr>
        <w:t>have</w:t>
      </w:r>
      <w:r w:rsidR="003D640C">
        <w:rPr>
          <w:lang w:eastAsia="en-NZ"/>
        </w:rPr>
        <w:t xml:space="preserve"> </w:t>
      </w:r>
      <w:r>
        <w:rPr>
          <w:lang w:eastAsia="en-NZ"/>
        </w:rPr>
        <w:t>experienced</w:t>
      </w:r>
      <w:r w:rsidR="003D640C">
        <w:rPr>
          <w:lang w:eastAsia="en-NZ"/>
        </w:rPr>
        <w:t xml:space="preserve"> </w:t>
      </w:r>
      <w:r>
        <w:rPr>
          <w:lang w:eastAsia="en-NZ"/>
        </w:rPr>
        <w:t>conversion</w:t>
      </w:r>
      <w:r w:rsidR="003D640C">
        <w:rPr>
          <w:lang w:eastAsia="en-NZ"/>
        </w:rPr>
        <w:t xml:space="preserve"> </w:t>
      </w:r>
      <w:r>
        <w:rPr>
          <w:lang w:eastAsia="en-NZ"/>
        </w:rPr>
        <w:t>practices.</w:t>
      </w:r>
      <w:r w:rsidR="003D640C">
        <w:rPr>
          <w:lang w:eastAsia="en-NZ"/>
        </w:rPr>
        <w:t xml:space="preserve"> </w:t>
      </w:r>
    </w:p>
    <w:p w14:paraId="2532629D" w14:textId="5B8FA53A" w:rsidR="00CD2C3B" w:rsidRPr="00BB6220" w:rsidRDefault="00CD2C3B" w:rsidP="002C6363">
      <w:pPr>
        <w:pStyle w:val="Heading3"/>
      </w:pPr>
      <w:bookmarkStart w:id="415" w:name="_Toc138343831"/>
      <w:bookmarkStart w:id="416" w:name="_Toc167780649"/>
      <w:bookmarkStart w:id="417" w:name="_Toc643508728"/>
      <w:bookmarkStart w:id="418" w:name="_Toc174628711"/>
      <w:r w:rsidRPr="00BB6220">
        <w:t>Supporting</w:t>
      </w:r>
      <w:r w:rsidR="003D640C">
        <w:t xml:space="preserve"> </w:t>
      </w:r>
      <w:r w:rsidRPr="00BB6220">
        <w:t>Pacific</w:t>
      </w:r>
      <w:r w:rsidR="003D640C">
        <w:t xml:space="preserve"> </w:t>
      </w:r>
      <w:r w:rsidR="00E45FCD">
        <w:t>p</w:t>
      </w:r>
      <w:r w:rsidRPr="00BB6220">
        <w:t>eoples</w:t>
      </w:r>
      <w:r w:rsidR="003D640C">
        <w:t xml:space="preserve"> </w:t>
      </w:r>
      <w:r w:rsidRPr="00BB6220">
        <w:t>to</w:t>
      </w:r>
      <w:r w:rsidR="003D640C">
        <w:t xml:space="preserve"> </w:t>
      </w:r>
      <w:r w:rsidRPr="00BB6220">
        <w:t>recover</w:t>
      </w:r>
      <w:r w:rsidR="003D640C">
        <w:t xml:space="preserve"> </w:t>
      </w:r>
      <w:r w:rsidRPr="00BB6220">
        <w:t>from</w:t>
      </w:r>
      <w:r w:rsidR="003D640C">
        <w:t xml:space="preserve"> </w:t>
      </w:r>
      <w:r w:rsidRPr="00BB6220">
        <w:t>conversion</w:t>
      </w:r>
      <w:r w:rsidR="003D640C">
        <w:t xml:space="preserve"> </w:t>
      </w:r>
      <w:r w:rsidRPr="00BB6220">
        <w:t>practices</w:t>
      </w:r>
      <w:bookmarkEnd w:id="415"/>
      <w:bookmarkEnd w:id="416"/>
      <w:bookmarkEnd w:id="417"/>
      <w:bookmarkEnd w:id="418"/>
    </w:p>
    <w:p w14:paraId="52FFCB27" w14:textId="57ACCF45" w:rsidR="00AB6A62" w:rsidRPr="00BB6220" w:rsidRDefault="00CD2C3B" w:rsidP="009032B9">
      <w:r w:rsidRPr="00BB6220">
        <w:t>Supporting</w:t>
      </w:r>
      <w:r w:rsidR="003D640C">
        <w:t xml:space="preserve"> </w:t>
      </w:r>
      <w:r w:rsidRPr="00BB6220">
        <w:t>Pacific</w:t>
      </w:r>
      <w:r w:rsidR="003D640C">
        <w:t xml:space="preserve"> </w:t>
      </w:r>
      <w:r w:rsidR="00E45FCD">
        <w:t>p</w:t>
      </w:r>
      <w:r w:rsidRPr="00BB6220">
        <w:t>eoples</w:t>
      </w:r>
      <w:r w:rsidR="003D640C">
        <w:t xml:space="preserve"> </w:t>
      </w:r>
      <w:r w:rsidRPr="00BB6220">
        <w:t>in</w:t>
      </w:r>
      <w:r w:rsidR="003D640C">
        <w:t xml:space="preserve"> </w:t>
      </w:r>
      <w:r w:rsidRPr="00BB6220">
        <w:t>Aotearoa</w:t>
      </w:r>
      <w:r w:rsidR="003D640C">
        <w:t xml:space="preserve"> </w:t>
      </w:r>
      <w:r w:rsidR="00C03355" w:rsidRPr="00BB6220">
        <w:t>to</w:t>
      </w:r>
      <w:r w:rsidR="003D640C">
        <w:t xml:space="preserve"> </w:t>
      </w:r>
      <w:r w:rsidR="00C03355" w:rsidRPr="00BB6220">
        <w:t>recover</w:t>
      </w:r>
      <w:r w:rsidR="003D640C">
        <w:t xml:space="preserve"> </w:t>
      </w:r>
      <w:r w:rsidR="00C03355" w:rsidRPr="00BB6220">
        <w:t>from</w:t>
      </w:r>
      <w:r w:rsidR="003D640C">
        <w:t xml:space="preserve"> </w:t>
      </w:r>
      <w:r w:rsidRPr="00BB6220">
        <w:t>conversion</w:t>
      </w:r>
      <w:r w:rsidR="003D640C">
        <w:t xml:space="preserve"> </w:t>
      </w:r>
      <w:r w:rsidRPr="00BB6220">
        <w:t>practices</w:t>
      </w:r>
      <w:r w:rsidR="003D640C">
        <w:t xml:space="preserve"> </w:t>
      </w:r>
      <w:r w:rsidRPr="00BB6220">
        <w:t>needs</w:t>
      </w:r>
      <w:r w:rsidR="003D640C">
        <w:t xml:space="preserve"> </w:t>
      </w:r>
      <w:r w:rsidRPr="00BB6220">
        <w:t>to</w:t>
      </w:r>
      <w:r w:rsidR="003D640C">
        <w:t xml:space="preserve"> </w:t>
      </w:r>
      <w:r w:rsidRPr="00BB6220">
        <w:t>happen</w:t>
      </w:r>
      <w:r w:rsidR="003D640C">
        <w:t xml:space="preserve"> </w:t>
      </w:r>
      <w:r w:rsidRPr="00BB6220">
        <w:t>with</w:t>
      </w:r>
      <w:r w:rsidR="003D640C">
        <w:t xml:space="preserve"> </w:t>
      </w:r>
      <w:r w:rsidRPr="00BB6220">
        <w:t>an</w:t>
      </w:r>
      <w:r w:rsidR="003D640C">
        <w:t xml:space="preserve"> </w:t>
      </w:r>
      <w:r w:rsidRPr="00BB6220">
        <w:t>understanding</w:t>
      </w:r>
      <w:r w:rsidR="003D640C">
        <w:t xml:space="preserve"> </w:t>
      </w:r>
      <w:r w:rsidRPr="00BB6220">
        <w:t>of</w:t>
      </w:r>
      <w:r w:rsidR="003D640C">
        <w:t xml:space="preserve"> </w:t>
      </w:r>
      <w:r w:rsidRPr="00BB6220">
        <w:t>how</w:t>
      </w:r>
      <w:r w:rsidR="003D640C">
        <w:t xml:space="preserve"> </w:t>
      </w:r>
      <w:r w:rsidR="00603E30" w:rsidRPr="00BB6220">
        <w:t>the</w:t>
      </w:r>
      <w:r w:rsidR="003D640C">
        <w:t xml:space="preserve"> </w:t>
      </w:r>
      <w:r w:rsidR="00603E30" w:rsidRPr="00BB6220">
        <w:t>elements</w:t>
      </w:r>
      <w:r w:rsidR="003D640C">
        <w:t xml:space="preserve"> </w:t>
      </w:r>
      <w:r w:rsidR="00603E30" w:rsidRPr="00BB6220">
        <w:t>of</w:t>
      </w:r>
      <w:r w:rsidR="003D640C">
        <w:t xml:space="preserve"> </w:t>
      </w:r>
      <w:r w:rsidRPr="00BB6220">
        <w:t>family,</w:t>
      </w:r>
      <w:r w:rsidR="003D640C">
        <w:t xml:space="preserve"> </w:t>
      </w:r>
      <w:r w:rsidRPr="00BB6220">
        <w:t>culture</w:t>
      </w:r>
      <w:r w:rsidR="701D54E4" w:rsidRPr="00BB6220">
        <w:t>,</w:t>
      </w:r>
      <w:r w:rsidR="003D640C">
        <w:t xml:space="preserve"> </w:t>
      </w:r>
      <w:r w:rsidRPr="00BB6220">
        <w:t>and</w:t>
      </w:r>
      <w:r w:rsidR="003D640C">
        <w:t xml:space="preserve"> </w:t>
      </w:r>
      <w:r w:rsidRPr="00BB6220">
        <w:t>faith</w:t>
      </w:r>
      <w:r w:rsidR="003D640C">
        <w:t xml:space="preserve"> </w:t>
      </w:r>
      <w:r w:rsidRPr="00BB6220">
        <w:t>intersect.</w:t>
      </w:r>
      <w:r w:rsidR="003D640C">
        <w:t xml:space="preserve"> </w:t>
      </w:r>
      <w:r w:rsidRPr="00BB6220">
        <w:t>The</w:t>
      </w:r>
      <w:r w:rsidR="003D640C">
        <w:t xml:space="preserve"> </w:t>
      </w:r>
      <w:r w:rsidRPr="00BB6220">
        <w:t>loss</w:t>
      </w:r>
      <w:r w:rsidR="003D640C">
        <w:t xml:space="preserve"> </w:t>
      </w:r>
      <w:r w:rsidRPr="00BB6220">
        <w:t>of</w:t>
      </w:r>
      <w:r w:rsidR="003D640C">
        <w:t xml:space="preserve"> </w:t>
      </w:r>
      <w:r w:rsidRPr="00BB6220">
        <w:t>one</w:t>
      </w:r>
      <w:r w:rsidR="003D640C">
        <w:t xml:space="preserve"> </w:t>
      </w:r>
      <w:r w:rsidR="00C03355" w:rsidRPr="00BB6220">
        <w:t>of</w:t>
      </w:r>
      <w:r w:rsidR="003D640C">
        <w:t xml:space="preserve"> </w:t>
      </w:r>
      <w:r w:rsidR="00C03355" w:rsidRPr="00BB6220">
        <w:t>these</w:t>
      </w:r>
      <w:r w:rsidR="003D640C">
        <w:t xml:space="preserve"> </w:t>
      </w:r>
      <w:r w:rsidRPr="00BB6220">
        <w:t>element</w:t>
      </w:r>
      <w:r w:rsidR="00C03355" w:rsidRPr="00BB6220">
        <w:t>s</w:t>
      </w:r>
      <w:r w:rsidR="003D640C">
        <w:t xml:space="preserve"> </w:t>
      </w:r>
      <w:r w:rsidRPr="00BB6220">
        <w:t>is</w:t>
      </w:r>
      <w:r w:rsidR="003D640C">
        <w:t xml:space="preserve"> </w:t>
      </w:r>
      <w:r w:rsidRPr="00BB6220">
        <w:t>likely</w:t>
      </w:r>
      <w:r w:rsidR="003D640C">
        <w:t xml:space="preserve"> </w:t>
      </w:r>
      <w:r w:rsidRPr="00BB6220">
        <w:t>to</w:t>
      </w:r>
      <w:r w:rsidR="003D640C">
        <w:t xml:space="preserve"> </w:t>
      </w:r>
      <w:r w:rsidRPr="00BB6220">
        <w:t>be</w:t>
      </w:r>
      <w:r w:rsidR="003D640C">
        <w:t xml:space="preserve"> </w:t>
      </w:r>
      <w:r w:rsidRPr="00BB6220">
        <w:t>connected</w:t>
      </w:r>
      <w:r w:rsidR="003D640C">
        <w:t xml:space="preserve"> </w:t>
      </w:r>
      <w:r w:rsidRPr="00BB6220">
        <w:t>to</w:t>
      </w:r>
      <w:r w:rsidR="003D640C">
        <w:t xml:space="preserve"> </w:t>
      </w:r>
      <w:r w:rsidRPr="00BB6220">
        <w:t>the</w:t>
      </w:r>
      <w:r w:rsidR="003D640C">
        <w:t xml:space="preserve"> </w:t>
      </w:r>
      <w:r w:rsidRPr="00BB6220">
        <w:t>loss</w:t>
      </w:r>
      <w:r w:rsidR="003D640C">
        <w:t xml:space="preserve"> </w:t>
      </w:r>
      <w:r w:rsidRPr="00BB6220">
        <w:t>of</w:t>
      </w:r>
      <w:r w:rsidR="003D640C">
        <w:t xml:space="preserve"> </w:t>
      </w:r>
      <w:r w:rsidRPr="00BB6220">
        <w:t>others</w:t>
      </w:r>
      <w:r w:rsidR="003D640C">
        <w:t xml:space="preserve"> </w:t>
      </w:r>
      <w:r w:rsidR="00235FCC" w:rsidRPr="00BB6220">
        <w:t>and</w:t>
      </w:r>
      <w:r w:rsidR="003D640C">
        <w:t xml:space="preserve"> </w:t>
      </w:r>
      <w:r w:rsidR="00235FCC" w:rsidRPr="00BB6220">
        <w:t>have</w:t>
      </w:r>
      <w:r w:rsidR="003D640C">
        <w:t xml:space="preserve"> </w:t>
      </w:r>
      <w:r w:rsidR="00235FCC" w:rsidRPr="00BB6220">
        <w:t>compounding</w:t>
      </w:r>
      <w:r w:rsidR="003D640C">
        <w:t xml:space="preserve"> </w:t>
      </w:r>
      <w:r w:rsidR="00235FCC" w:rsidRPr="00BB6220">
        <w:t>negative</w:t>
      </w:r>
      <w:r w:rsidR="003D640C">
        <w:t xml:space="preserve"> </w:t>
      </w:r>
      <w:r w:rsidR="00260EB8" w:rsidRPr="00BB6220">
        <w:t>e</w:t>
      </w:r>
      <w:r w:rsidR="00235FCC" w:rsidRPr="00BB6220">
        <w:t>ffects</w:t>
      </w:r>
      <w:r w:rsidRPr="00BB6220">
        <w:t>.</w:t>
      </w:r>
      <w:r w:rsidR="003D640C">
        <w:t xml:space="preserve"> </w:t>
      </w:r>
    </w:p>
    <w:p w14:paraId="5FD97436" w14:textId="43A8C42E" w:rsidR="00CD2C3B" w:rsidRPr="00BB6220" w:rsidRDefault="00CD2C3B" w:rsidP="009032B9">
      <w:r w:rsidRPr="00BB6220">
        <w:t>Survivors</w:t>
      </w:r>
      <w:r w:rsidR="003D640C">
        <w:t xml:space="preserve"> </w:t>
      </w:r>
      <w:r w:rsidRPr="00BB6220">
        <w:t>may</w:t>
      </w:r>
      <w:r w:rsidR="003D640C">
        <w:t xml:space="preserve"> </w:t>
      </w:r>
      <w:r w:rsidRPr="00BB6220">
        <w:t>feel</w:t>
      </w:r>
      <w:r w:rsidR="003D640C">
        <w:t xml:space="preserve"> </w:t>
      </w:r>
      <w:r w:rsidR="00301938" w:rsidRPr="00BB6220">
        <w:t>that</w:t>
      </w:r>
      <w:r w:rsidR="003D640C">
        <w:t xml:space="preserve"> </w:t>
      </w:r>
      <w:r w:rsidR="001948A8" w:rsidRPr="00BB6220">
        <w:t>being</w:t>
      </w:r>
      <w:r w:rsidR="003D640C">
        <w:t xml:space="preserve"> </w:t>
      </w:r>
      <w:r w:rsidR="001948A8" w:rsidRPr="00BB6220">
        <w:t>accepted</w:t>
      </w:r>
      <w:r w:rsidR="003D640C">
        <w:t xml:space="preserve"> </w:t>
      </w:r>
      <w:r w:rsidR="00CB6E40" w:rsidRPr="00BB6220">
        <w:t>in</w:t>
      </w:r>
      <w:r w:rsidR="003D640C">
        <w:t xml:space="preserve"> </w:t>
      </w:r>
      <w:r w:rsidRPr="00BB6220">
        <w:t>their</w:t>
      </w:r>
      <w:r w:rsidR="003D640C">
        <w:t xml:space="preserve"> </w:t>
      </w:r>
      <w:r w:rsidR="005836E0" w:rsidRPr="00BB6220">
        <w:t>MVPFAFF+</w:t>
      </w:r>
      <w:r w:rsidR="003D640C">
        <w:t xml:space="preserve"> </w:t>
      </w:r>
      <w:r w:rsidR="005836E0" w:rsidRPr="00BB6220">
        <w:t>or</w:t>
      </w:r>
      <w:r w:rsidR="003D640C">
        <w:t xml:space="preserve"> </w:t>
      </w:r>
      <w:r w:rsidR="00260EB8" w:rsidRPr="00BB6220">
        <w:t>Rainbow</w:t>
      </w:r>
      <w:r w:rsidR="003D640C">
        <w:t xml:space="preserve"> </w:t>
      </w:r>
      <w:r w:rsidRPr="00BB6220">
        <w:t>identity</w:t>
      </w:r>
      <w:r w:rsidR="003D640C">
        <w:t xml:space="preserve"> </w:t>
      </w:r>
      <w:r w:rsidRPr="00BB6220">
        <w:t>will</w:t>
      </w:r>
      <w:r w:rsidR="003D640C">
        <w:t xml:space="preserve"> </w:t>
      </w:r>
      <w:r w:rsidRPr="00BB6220">
        <w:t>result</w:t>
      </w:r>
      <w:r w:rsidR="003D640C">
        <w:t xml:space="preserve"> </w:t>
      </w:r>
      <w:r w:rsidRPr="00BB6220">
        <w:t>in</w:t>
      </w:r>
      <w:r w:rsidR="003D640C">
        <w:t xml:space="preserve"> </w:t>
      </w:r>
      <w:r w:rsidRPr="00BB6220">
        <w:t>the</w:t>
      </w:r>
      <w:r w:rsidR="003D640C">
        <w:t xml:space="preserve"> </w:t>
      </w:r>
      <w:r w:rsidRPr="00BB6220">
        <w:t>loss</w:t>
      </w:r>
      <w:r w:rsidR="003D640C">
        <w:t xml:space="preserve"> </w:t>
      </w:r>
      <w:r w:rsidRPr="00BB6220">
        <w:t>of</w:t>
      </w:r>
      <w:r w:rsidR="003D640C">
        <w:t xml:space="preserve"> </w:t>
      </w:r>
      <w:r w:rsidRPr="00BB6220">
        <w:t>their</w:t>
      </w:r>
      <w:r w:rsidR="003D640C">
        <w:t xml:space="preserve"> </w:t>
      </w:r>
      <w:r w:rsidRPr="00BB6220">
        <w:t>identity</w:t>
      </w:r>
      <w:r w:rsidR="003D640C">
        <w:t xml:space="preserve"> </w:t>
      </w:r>
      <w:r w:rsidRPr="00BB6220">
        <w:t>as</w:t>
      </w:r>
      <w:r w:rsidR="003D640C">
        <w:t xml:space="preserve"> </w:t>
      </w:r>
      <w:r w:rsidRPr="00BB6220">
        <w:t>a</w:t>
      </w:r>
      <w:r w:rsidR="003D640C">
        <w:t xml:space="preserve"> </w:t>
      </w:r>
      <w:r w:rsidRPr="00BB6220">
        <w:t>member</w:t>
      </w:r>
      <w:r w:rsidR="003D640C">
        <w:t xml:space="preserve"> </w:t>
      </w:r>
      <w:r w:rsidRPr="00BB6220">
        <w:t>of</w:t>
      </w:r>
      <w:r w:rsidR="003D640C">
        <w:t xml:space="preserve"> </w:t>
      </w:r>
      <w:r w:rsidRPr="00BB6220">
        <w:t>their</w:t>
      </w:r>
      <w:r w:rsidR="003D640C">
        <w:t xml:space="preserve"> </w:t>
      </w:r>
      <w:r w:rsidRPr="00BB6220">
        <w:t>family,</w:t>
      </w:r>
      <w:r w:rsidR="003D640C">
        <w:t xml:space="preserve"> </w:t>
      </w:r>
      <w:r w:rsidRPr="00BB6220">
        <w:t>community,</w:t>
      </w:r>
      <w:r w:rsidR="003D640C">
        <w:t xml:space="preserve"> </w:t>
      </w:r>
      <w:r w:rsidRPr="00BB6220">
        <w:t>culture</w:t>
      </w:r>
      <w:r w:rsidR="525EA599" w:rsidRPr="00BB6220">
        <w:t>,</w:t>
      </w:r>
      <w:r w:rsidR="003D640C">
        <w:t xml:space="preserve"> </w:t>
      </w:r>
      <w:r w:rsidR="00CB6E40" w:rsidRPr="00BB6220">
        <w:t>or</w:t>
      </w:r>
      <w:r w:rsidR="003D640C">
        <w:t xml:space="preserve"> </w:t>
      </w:r>
      <w:r w:rsidRPr="00BB6220">
        <w:t>faith.</w:t>
      </w:r>
      <w:r w:rsidR="003D640C">
        <w:t xml:space="preserve"> </w:t>
      </w:r>
      <w:r w:rsidR="00962703" w:rsidRPr="00BB6220">
        <w:t>What</w:t>
      </w:r>
      <w:r w:rsidR="003D640C">
        <w:t xml:space="preserve"> </w:t>
      </w:r>
      <w:r w:rsidR="00962703" w:rsidRPr="00BB6220">
        <w:t>should</w:t>
      </w:r>
      <w:r w:rsidR="003D640C">
        <w:t xml:space="preserve"> </w:t>
      </w:r>
      <w:r w:rsidR="00962703" w:rsidRPr="00BB6220">
        <w:t>be</w:t>
      </w:r>
      <w:r w:rsidR="003D640C">
        <w:t xml:space="preserve"> </w:t>
      </w:r>
      <w:r w:rsidR="00962703" w:rsidRPr="00BB6220">
        <w:t>p</w:t>
      </w:r>
      <w:r w:rsidRPr="00BB6220">
        <w:t>rotective</w:t>
      </w:r>
      <w:r w:rsidR="003D640C">
        <w:t xml:space="preserve"> </w:t>
      </w:r>
      <w:r w:rsidR="005836E0" w:rsidRPr="00BB6220" w:rsidDel="00771BC8">
        <w:t>factors</w:t>
      </w:r>
      <w:r w:rsidR="003D640C">
        <w:t xml:space="preserve"> </w:t>
      </w:r>
      <w:r w:rsidR="005836E0" w:rsidRPr="00BB6220" w:rsidDel="00771BC8">
        <w:t>in</w:t>
      </w:r>
      <w:r w:rsidR="003D640C">
        <w:t xml:space="preserve"> </w:t>
      </w:r>
      <w:r w:rsidRPr="00BB6220" w:rsidDel="00771BC8">
        <w:t>their</w:t>
      </w:r>
      <w:r w:rsidR="003D640C">
        <w:t xml:space="preserve"> </w:t>
      </w:r>
      <w:r w:rsidRPr="00BB6220" w:rsidDel="00771BC8">
        <w:t>lives</w:t>
      </w:r>
      <w:r w:rsidR="003D640C">
        <w:t xml:space="preserve"> </w:t>
      </w:r>
      <w:r w:rsidR="00CB6E40" w:rsidRPr="00BB6220">
        <w:t>can</w:t>
      </w:r>
      <w:r w:rsidR="003D640C">
        <w:t xml:space="preserve"> </w:t>
      </w:r>
      <w:r w:rsidR="00962703" w:rsidRPr="00BB6220">
        <w:t>become</w:t>
      </w:r>
      <w:r w:rsidR="003D640C">
        <w:t xml:space="preserve"> </w:t>
      </w:r>
      <w:r w:rsidR="005836E0" w:rsidRPr="00BB6220">
        <w:t>risk</w:t>
      </w:r>
      <w:r w:rsidR="003D640C">
        <w:t xml:space="preserve"> </w:t>
      </w:r>
      <w:r w:rsidR="005836E0" w:rsidRPr="00BB6220">
        <w:t>factors</w:t>
      </w:r>
      <w:r w:rsidRPr="00BB6220">
        <w:t>.</w:t>
      </w:r>
      <w:r w:rsidR="003D640C">
        <w:t xml:space="preserve"> </w:t>
      </w:r>
      <w:r w:rsidRPr="00BB6220">
        <w:t>Exclusion</w:t>
      </w:r>
      <w:r w:rsidR="003D640C">
        <w:t xml:space="preserve"> </w:t>
      </w:r>
      <w:r w:rsidRPr="00BB6220">
        <w:t>by</w:t>
      </w:r>
      <w:r w:rsidR="003D640C">
        <w:t xml:space="preserve"> </w:t>
      </w:r>
      <w:r w:rsidRPr="00BB6220">
        <w:t>friends,</w:t>
      </w:r>
      <w:r w:rsidR="003D640C">
        <w:t xml:space="preserve"> </w:t>
      </w:r>
      <w:r w:rsidRPr="00BB6220">
        <w:t>family</w:t>
      </w:r>
      <w:r w:rsidR="003D640C">
        <w:t xml:space="preserve"> </w:t>
      </w:r>
      <w:r w:rsidRPr="00BB6220">
        <w:t>members</w:t>
      </w:r>
      <w:r w:rsidR="42CD6DA5" w:rsidRPr="00BB6220">
        <w:t>,</w:t>
      </w:r>
      <w:r w:rsidR="003D640C">
        <w:t xml:space="preserve"> </w:t>
      </w:r>
      <w:r w:rsidRPr="00BB6220">
        <w:t>and</w:t>
      </w:r>
      <w:r w:rsidR="003D640C">
        <w:t xml:space="preserve"> </w:t>
      </w:r>
      <w:r w:rsidRPr="00BB6220">
        <w:t>leaders</w:t>
      </w:r>
      <w:r w:rsidR="003D640C">
        <w:t xml:space="preserve"> </w:t>
      </w:r>
      <w:r w:rsidRPr="00BB6220">
        <w:t>can</w:t>
      </w:r>
      <w:r w:rsidR="003D640C">
        <w:t xml:space="preserve"> </w:t>
      </w:r>
      <w:r w:rsidRPr="00BB6220">
        <w:t>make</w:t>
      </w:r>
      <w:r w:rsidR="003D640C">
        <w:t xml:space="preserve"> </w:t>
      </w:r>
      <w:r w:rsidR="00CB6E40" w:rsidRPr="00BB6220">
        <w:t>MVPFAFF+</w:t>
      </w:r>
      <w:r w:rsidR="003D640C">
        <w:t xml:space="preserve"> </w:t>
      </w:r>
      <w:r w:rsidR="00CB6E40" w:rsidRPr="00BB6220">
        <w:t>and</w:t>
      </w:r>
      <w:r w:rsidR="003D640C">
        <w:t xml:space="preserve"> </w:t>
      </w:r>
      <w:r w:rsidR="00260EB8" w:rsidRPr="00BB6220">
        <w:t>Rainbow</w:t>
      </w:r>
      <w:r w:rsidR="003D640C">
        <w:t xml:space="preserve"> </w:t>
      </w:r>
      <w:r w:rsidRPr="00BB6220">
        <w:t>people</w:t>
      </w:r>
      <w:r w:rsidR="003D640C">
        <w:t xml:space="preserve"> </w:t>
      </w:r>
      <w:r w:rsidRPr="00BB6220">
        <w:t>afraid</w:t>
      </w:r>
      <w:r w:rsidR="003D640C">
        <w:t xml:space="preserve"> </w:t>
      </w:r>
      <w:r w:rsidRPr="00BB6220">
        <w:t>to</w:t>
      </w:r>
      <w:r w:rsidR="003D640C">
        <w:t xml:space="preserve"> </w:t>
      </w:r>
      <w:r w:rsidRPr="00BB6220">
        <w:t>accept</w:t>
      </w:r>
      <w:r w:rsidR="003D640C">
        <w:t xml:space="preserve"> </w:t>
      </w:r>
      <w:r w:rsidRPr="00BB6220">
        <w:t>themselves</w:t>
      </w:r>
      <w:r w:rsidR="003D640C">
        <w:t xml:space="preserve"> </w:t>
      </w:r>
      <w:r w:rsidR="00BD14AE" w:rsidRPr="00BB6220">
        <w:t>or</w:t>
      </w:r>
      <w:r w:rsidR="003D640C">
        <w:t xml:space="preserve"> </w:t>
      </w:r>
      <w:r w:rsidRPr="00BB6220">
        <w:t>make</w:t>
      </w:r>
      <w:r w:rsidR="003D640C">
        <w:t xml:space="preserve"> </w:t>
      </w:r>
      <w:r w:rsidRPr="00BB6220">
        <w:t>them</w:t>
      </w:r>
      <w:r w:rsidR="003D640C">
        <w:t xml:space="preserve"> </w:t>
      </w:r>
      <w:r w:rsidRPr="00BB6220">
        <w:t>feel</w:t>
      </w:r>
      <w:r w:rsidR="003D640C">
        <w:t xml:space="preserve"> </w:t>
      </w:r>
      <w:r w:rsidRPr="00BB6220">
        <w:t>as</w:t>
      </w:r>
      <w:r w:rsidR="003D640C">
        <w:t xml:space="preserve"> </w:t>
      </w:r>
      <w:r w:rsidRPr="00BB6220">
        <w:t>though</w:t>
      </w:r>
      <w:r w:rsidR="003D640C">
        <w:t xml:space="preserve"> </w:t>
      </w:r>
      <w:r w:rsidRPr="00BB6220">
        <w:t>they</w:t>
      </w:r>
      <w:r w:rsidR="003D640C">
        <w:t xml:space="preserve"> </w:t>
      </w:r>
      <w:r w:rsidRPr="00BB6220">
        <w:t>must</w:t>
      </w:r>
      <w:r w:rsidR="003D640C">
        <w:t xml:space="preserve"> </w:t>
      </w:r>
      <w:r w:rsidRPr="00BB6220">
        <w:t>face</w:t>
      </w:r>
      <w:r w:rsidR="003D640C">
        <w:t xml:space="preserve"> </w:t>
      </w:r>
      <w:r w:rsidRPr="00BB6220">
        <w:t>the</w:t>
      </w:r>
      <w:r w:rsidR="003D640C">
        <w:t xml:space="preserve"> </w:t>
      </w:r>
      <w:r w:rsidRPr="00BB6220">
        <w:t>burden</w:t>
      </w:r>
      <w:r w:rsidR="003D640C">
        <w:t xml:space="preserve"> </w:t>
      </w:r>
      <w:r w:rsidRPr="00BB6220">
        <w:t>alone.</w:t>
      </w:r>
    </w:p>
    <w:p w14:paraId="344C371A" w14:textId="048EEA9D" w:rsidR="00CD2C3B" w:rsidRPr="00BB6220" w:rsidRDefault="00CD2C3B" w:rsidP="009032B9">
      <w:pPr>
        <w:pStyle w:val="Quote"/>
      </w:pPr>
      <w:r w:rsidRPr="00BB6220">
        <w:t>“Before</w:t>
      </w:r>
      <w:r w:rsidR="003D640C">
        <w:t xml:space="preserve"> </w:t>
      </w:r>
      <w:r w:rsidRPr="00BB6220">
        <w:t>I</w:t>
      </w:r>
      <w:r w:rsidR="003D640C">
        <w:t xml:space="preserve"> </w:t>
      </w:r>
      <w:r w:rsidRPr="00BB6220">
        <w:t>came</w:t>
      </w:r>
      <w:r w:rsidR="003D640C">
        <w:t xml:space="preserve"> </w:t>
      </w:r>
      <w:r w:rsidRPr="00BB6220">
        <w:t>out,</w:t>
      </w:r>
      <w:r w:rsidR="003D640C">
        <w:t xml:space="preserve"> </w:t>
      </w:r>
      <w:r w:rsidRPr="00BB6220">
        <w:t>I</w:t>
      </w:r>
      <w:r w:rsidR="003D640C">
        <w:t xml:space="preserve"> </w:t>
      </w:r>
      <w:r w:rsidRPr="00BB6220">
        <w:t>was</w:t>
      </w:r>
      <w:r w:rsidR="003D640C">
        <w:t xml:space="preserve"> </w:t>
      </w:r>
      <w:r w:rsidRPr="00BB6220">
        <w:t>so</w:t>
      </w:r>
      <w:r w:rsidR="003D640C">
        <w:t xml:space="preserve"> </w:t>
      </w:r>
      <w:r w:rsidRPr="00BB6220">
        <w:t>scared</w:t>
      </w:r>
      <w:r w:rsidR="003D640C">
        <w:t xml:space="preserve"> </w:t>
      </w:r>
      <w:r w:rsidRPr="00BB6220">
        <w:t>for</w:t>
      </w:r>
      <w:r w:rsidR="003D640C">
        <w:t xml:space="preserve"> </w:t>
      </w:r>
      <w:r w:rsidRPr="00BB6220">
        <w:t>the</w:t>
      </w:r>
      <w:r w:rsidR="003D640C">
        <w:t xml:space="preserve"> </w:t>
      </w:r>
      <w:r w:rsidRPr="00BB6220">
        <w:t>longest</w:t>
      </w:r>
      <w:r w:rsidR="003D640C">
        <w:t xml:space="preserve"> </w:t>
      </w:r>
      <w:r w:rsidRPr="00BB6220">
        <w:t>time.</w:t>
      </w:r>
      <w:r w:rsidR="003D640C">
        <w:t xml:space="preserve"> </w:t>
      </w:r>
      <w:r w:rsidRPr="00BB6220">
        <w:t>Something</w:t>
      </w:r>
      <w:r w:rsidR="003D640C">
        <w:t xml:space="preserve"> </w:t>
      </w:r>
      <w:r w:rsidRPr="00BB6220">
        <w:t>that</w:t>
      </w:r>
      <w:r w:rsidR="003D640C">
        <w:t xml:space="preserve"> </w:t>
      </w:r>
      <w:r w:rsidRPr="00BB6220">
        <w:t>stopped</w:t>
      </w:r>
      <w:r w:rsidR="003D640C">
        <w:t xml:space="preserve"> </w:t>
      </w:r>
      <w:r w:rsidRPr="00BB6220">
        <w:t>me</w:t>
      </w:r>
      <w:r w:rsidR="003D640C">
        <w:t xml:space="preserve"> </w:t>
      </w:r>
      <w:r w:rsidRPr="00BB6220">
        <w:t>from</w:t>
      </w:r>
      <w:r w:rsidR="003D640C">
        <w:t xml:space="preserve"> </w:t>
      </w:r>
      <w:r w:rsidRPr="00BB6220">
        <w:t>coming</w:t>
      </w:r>
      <w:r w:rsidR="003D640C">
        <w:t xml:space="preserve"> </w:t>
      </w:r>
      <w:r w:rsidRPr="00BB6220">
        <w:t>out</w:t>
      </w:r>
      <w:r w:rsidR="003D640C">
        <w:t xml:space="preserve"> </w:t>
      </w:r>
      <w:r w:rsidRPr="00BB6220">
        <w:t>was</w:t>
      </w:r>
      <w:r w:rsidR="003D640C">
        <w:t xml:space="preserve"> </w:t>
      </w:r>
      <w:r w:rsidRPr="00BB6220">
        <w:t>a</w:t>
      </w:r>
      <w:r w:rsidR="003D640C">
        <w:t xml:space="preserve"> </w:t>
      </w:r>
      <w:r w:rsidRPr="00BB6220">
        <w:t>sense</w:t>
      </w:r>
      <w:r w:rsidR="003D640C">
        <w:t xml:space="preserve"> </w:t>
      </w:r>
      <w:r w:rsidRPr="00BB6220">
        <w:t>of</w:t>
      </w:r>
      <w:r w:rsidR="003D640C">
        <w:t xml:space="preserve"> </w:t>
      </w:r>
      <w:r w:rsidRPr="00BB6220">
        <w:t>responsibility</w:t>
      </w:r>
      <w:r w:rsidR="003D640C">
        <w:t xml:space="preserve"> </w:t>
      </w:r>
      <w:r w:rsidRPr="00BB6220">
        <w:t>to</w:t>
      </w:r>
      <w:r w:rsidR="003D640C">
        <w:t xml:space="preserve"> </w:t>
      </w:r>
      <w:r w:rsidRPr="00BB6220">
        <w:t>the</w:t>
      </w:r>
      <w:r w:rsidR="003D640C">
        <w:t xml:space="preserve"> </w:t>
      </w:r>
      <w:r w:rsidRPr="00BB6220">
        <w:t>people</w:t>
      </w:r>
      <w:r w:rsidR="003D640C">
        <w:t xml:space="preserve"> </w:t>
      </w:r>
      <w:r w:rsidRPr="00BB6220">
        <w:t>that</w:t>
      </w:r>
      <w:r w:rsidR="003D640C">
        <w:t xml:space="preserve"> </w:t>
      </w:r>
      <w:r w:rsidRPr="00BB6220">
        <w:t>looked</w:t>
      </w:r>
      <w:r w:rsidR="003D640C">
        <w:t xml:space="preserve"> </w:t>
      </w:r>
      <w:r w:rsidRPr="00BB6220">
        <w:t>up</w:t>
      </w:r>
      <w:r w:rsidR="003D640C">
        <w:t xml:space="preserve"> </w:t>
      </w:r>
      <w:r w:rsidRPr="00BB6220">
        <w:t>to</w:t>
      </w:r>
      <w:r w:rsidR="003D640C">
        <w:t xml:space="preserve"> </w:t>
      </w:r>
      <w:r w:rsidRPr="00BB6220">
        <w:t>me.</w:t>
      </w:r>
      <w:r w:rsidR="003D640C">
        <w:t xml:space="preserve"> </w:t>
      </w:r>
      <w:r w:rsidRPr="00BB6220">
        <w:t>I</w:t>
      </w:r>
      <w:r w:rsidR="003D640C">
        <w:t xml:space="preserve"> </w:t>
      </w:r>
      <w:r w:rsidRPr="00BB6220">
        <w:t>was</w:t>
      </w:r>
      <w:r w:rsidR="003D640C">
        <w:t xml:space="preserve"> </w:t>
      </w:r>
      <w:r w:rsidRPr="00BB6220">
        <w:t>so</w:t>
      </w:r>
      <w:r w:rsidR="003D640C">
        <w:t xml:space="preserve"> </w:t>
      </w:r>
      <w:r w:rsidRPr="00BB6220">
        <w:t>worried</w:t>
      </w:r>
      <w:r w:rsidR="003D640C">
        <w:t xml:space="preserve"> </w:t>
      </w:r>
      <w:r w:rsidRPr="00BB6220">
        <w:t>about</w:t>
      </w:r>
      <w:r w:rsidR="003D640C">
        <w:t xml:space="preserve"> </w:t>
      </w:r>
      <w:r w:rsidRPr="00BB6220">
        <w:t>what</w:t>
      </w:r>
      <w:r w:rsidR="003D640C">
        <w:t xml:space="preserve"> </w:t>
      </w:r>
      <w:r w:rsidR="006A4FAD" w:rsidRPr="00BB6220">
        <w:t>it</w:t>
      </w:r>
      <w:r w:rsidR="003D640C">
        <w:t xml:space="preserve"> </w:t>
      </w:r>
      <w:r w:rsidRPr="00BB6220">
        <w:t>w</w:t>
      </w:r>
      <w:r w:rsidR="00F15067" w:rsidRPr="00BB6220">
        <w:t>ould</w:t>
      </w:r>
      <w:r w:rsidR="003D640C">
        <w:t xml:space="preserve"> </w:t>
      </w:r>
      <w:r w:rsidRPr="00BB6220">
        <w:t>do</w:t>
      </w:r>
      <w:r w:rsidR="003D640C">
        <w:t xml:space="preserve"> </w:t>
      </w:r>
      <w:r w:rsidR="00E20185">
        <w:t>to</w:t>
      </w:r>
      <w:r w:rsidR="003D640C">
        <w:t xml:space="preserve"> </w:t>
      </w:r>
      <w:r w:rsidR="00E20185">
        <w:t>them</w:t>
      </w:r>
      <w:r w:rsidRPr="00BB6220">
        <w:t>.”</w:t>
      </w:r>
      <w:r w:rsidR="003D640C">
        <w:t xml:space="preserve"> </w:t>
      </w:r>
      <w:r w:rsidRPr="00BB6220">
        <w:t>Samoan,</w:t>
      </w:r>
      <w:r w:rsidR="003D640C">
        <w:t xml:space="preserve"> </w:t>
      </w:r>
      <w:r w:rsidRPr="00BB6220">
        <w:t>male</w:t>
      </w:r>
      <w:r w:rsidR="003D640C">
        <w:t xml:space="preserve"> </w:t>
      </w:r>
    </w:p>
    <w:p w14:paraId="6AEAA11B" w14:textId="51AB1714" w:rsidR="00CD2C3B" w:rsidRPr="00BB6220" w:rsidRDefault="00CD2C3B" w:rsidP="009032B9">
      <w:r w:rsidRPr="00BB6220">
        <w:t>Despite</w:t>
      </w:r>
      <w:r w:rsidR="003D640C">
        <w:t xml:space="preserve"> </w:t>
      </w:r>
      <w:r w:rsidRPr="00BB6220">
        <w:t>harm</w:t>
      </w:r>
      <w:r w:rsidR="003D640C">
        <w:t xml:space="preserve"> </w:t>
      </w:r>
      <w:r w:rsidRPr="00BB6220">
        <w:t>from</w:t>
      </w:r>
      <w:r w:rsidR="003D640C">
        <w:t xml:space="preserve"> </w:t>
      </w:r>
      <w:r w:rsidRPr="00BB6220">
        <w:t>family</w:t>
      </w:r>
      <w:r w:rsidR="003D640C">
        <w:t xml:space="preserve"> </w:t>
      </w:r>
      <w:r w:rsidRPr="00BB6220">
        <w:t>members</w:t>
      </w:r>
      <w:r w:rsidR="003D640C">
        <w:t xml:space="preserve"> </w:t>
      </w:r>
      <w:r w:rsidRPr="00BB6220">
        <w:t>and</w:t>
      </w:r>
      <w:r w:rsidR="003D640C">
        <w:t xml:space="preserve"> </w:t>
      </w:r>
      <w:r w:rsidRPr="00BB6220">
        <w:t>church</w:t>
      </w:r>
      <w:r w:rsidR="003D640C">
        <w:t xml:space="preserve"> </w:t>
      </w:r>
      <w:r w:rsidRPr="00BB6220">
        <w:t>leaders,</w:t>
      </w:r>
      <w:r w:rsidR="003D640C">
        <w:t xml:space="preserve"> </w:t>
      </w:r>
      <w:r w:rsidRPr="00BB6220">
        <w:t>Pacific</w:t>
      </w:r>
      <w:r w:rsidR="003D640C">
        <w:t xml:space="preserve"> </w:t>
      </w:r>
      <w:r w:rsidRPr="00BB6220">
        <w:t>survivors</w:t>
      </w:r>
      <w:r w:rsidR="003D640C">
        <w:t xml:space="preserve"> </w:t>
      </w:r>
      <w:r w:rsidRPr="00BB6220">
        <w:t>have</w:t>
      </w:r>
      <w:r w:rsidR="003D640C">
        <w:t xml:space="preserve"> </w:t>
      </w:r>
      <w:r w:rsidRPr="00BB6220">
        <w:t>spoken</w:t>
      </w:r>
      <w:r w:rsidR="003D640C">
        <w:t xml:space="preserve"> </w:t>
      </w:r>
      <w:r w:rsidRPr="00BB6220">
        <w:t>about</w:t>
      </w:r>
      <w:r w:rsidR="003D640C">
        <w:t xml:space="preserve"> </w:t>
      </w:r>
      <w:r w:rsidR="00771BC8" w:rsidRPr="00BB6220">
        <w:t>being</w:t>
      </w:r>
      <w:r w:rsidR="003D640C">
        <w:t xml:space="preserve"> </w:t>
      </w:r>
      <w:r w:rsidRPr="00BB6220">
        <w:t>reluctan</w:t>
      </w:r>
      <w:r w:rsidR="00771BC8" w:rsidRPr="00BB6220">
        <w:t>t</w:t>
      </w:r>
      <w:r w:rsidR="003D640C">
        <w:t xml:space="preserve"> </w:t>
      </w:r>
      <w:r w:rsidRPr="00BB6220">
        <w:t>to</w:t>
      </w:r>
      <w:r w:rsidR="003D640C">
        <w:t xml:space="preserve"> </w:t>
      </w:r>
      <w:r w:rsidRPr="00BB6220">
        <w:t>report</w:t>
      </w:r>
      <w:r w:rsidR="003D640C">
        <w:t xml:space="preserve"> </w:t>
      </w:r>
      <w:r w:rsidRPr="00BB6220">
        <w:t>their</w:t>
      </w:r>
      <w:r w:rsidR="003D640C">
        <w:t xml:space="preserve"> </w:t>
      </w:r>
      <w:r w:rsidRPr="00BB6220">
        <w:t>loved</w:t>
      </w:r>
      <w:r w:rsidR="003D640C">
        <w:t xml:space="preserve"> </w:t>
      </w:r>
      <w:r w:rsidRPr="00BB6220">
        <w:t>ones</w:t>
      </w:r>
      <w:r w:rsidR="003D640C">
        <w:t xml:space="preserve"> </w:t>
      </w:r>
      <w:r w:rsidRPr="00BB6220">
        <w:t>for</w:t>
      </w:r>
      <w:r w:rsidR="003D640C">
        <w:t xml:space="preserve"> </w:t>
      </w:r>
      <w:r w:rsidRPr="00BB6220">
        <w:t>conversion</w:t>
      </w:r>
      <w:r w:rsidR="003D640C">
        <w:t xml:space="preserve"> </w:t>
      </w:r>
      <w:r w:rsidRPr="00BB6220">
        <w:t>practices.</w:t>
      </w:r>
      <w:r w:rsidR="003D640C">
        <w:t xml:space="preserve"> </w:t>
      </w:r>
      <w:r w:rsidRPr="00BB6220">
        <w:t>Some</w:t>
      </w:r>
      <w:r w:rsidR="003D640C">
        <w:t xml:space="preserve"> </w:t>
      </w:r>
      <w:r w:rsidRPr="00BB6220">
        <w:t>feared</w:t>
      </w:r>
      <w:r w:rsidR="003D640C">
        <w:t xml:space="preserve"> </w:t>
      </w:r>
      <w:r w:rsidRPr="00BB6220">
        <w:t>deportation,</w:t>
      </w:r>
      <w:r w:rsidR="003D640C">
        <w:t xml:space="preserve"> </w:t>
      </w:r>
      <w:r w:rsidRPr="00BB6220">
        <w:t>others</w:t>
      </w:r>
      <w:r w:rsidR="003D640C">
        <w:t xml:space="preserve"> </w:t>
      </w:r>
      <w:r w:rsidR="00783C02" w:rsidRPr="00BB6220">
        <w:t>have</w:t>
      </w:r>
      <w:r w:rsidR="003D640C">
        <w:t xml:space="preserve"> </w:t>
      </w:r>
      <w:r w:rsidR="002D223E" w:rsidRPr="00BB6220">
        <w:t>issues</w:t>
      </w:r>
      <w:r w:rsidR="003D640C">
        <w:t xml:space="preserve"> </w:t>
      </w:r>
      <w:r w:rsidR="00B57677" w:rsidRPr="00BB6220">
        <w:t>with</w:t>
      </w:r>
      <w:r w:rsidR="003D640C">
        <w:t xml:space="preserve"> </w:t>
      </w:r>
      <w:r w:rsidR="00DA22FF" w:rsidRPr="00BB6220">
        <w:t>trust</w:t>
      </w:r>
      <w:r w:rsidR="003D640C">
        <w:t xml:space="preserve"> </w:t>
      </w:r>
      <w:r w:rsidR="00DA22FF" w:rsidRPr="00BB6220">
        <w:t>due</w:t>
      </w:r>
      <w:r w:rsidR="003D640C">
        <w:t xml:space="preserve"> </w:t>
      </w:r>
      <w:r w:rsidR="00DA22FF" w:rsidRPr="00BB6220">
        <w:t>to</w:t>
      </w:r>
      <w:r w:rsidR="003D640C">
        <w:t xml:space="preserve"> </w:t>
      </w:r>
      <w:r w:rsidR="00DA22FF" w:rsidRPr="00BB6220">
        <w:t>previous</w:t>
      </w:r>
      <w:r w:rsidR="003D640C">
        <w:t xml:space="preserve"> </w:t>
      </w:r>
      <w:r w:rsidRPr="00BB6220" w:rsidDel="002D223E">
        <w:t>injustices</w:t>
      </w:r>
      <w:r w:rsidRPr="00BB6220">
        <w:t>,</w:t>
      </w:r>
      <w:r w:rsidR="003D640C">
        <w:t xml:space="preserve"> </w:t>
      </w:r>
      <w:r w:rsidR="006A4FAD" w:rsidRPr="00BB6220">
        <w:t>and</w:t>
      </w:r>
      <w:r w:rsidR="003D640C">
        <w:t xml:space="preserve"> </w:t>
      </w:r>
      <w:r w:rsidR="00106A0A" w:rsidRPr="00BB6220">
        <w:t>others</w:t>
      </w:r>
      <w:r w:rsidR="003D640C">
        <w:t xml:space="preserve"> </w:t>
      </w:r>
      <w:r w:rsidR="000C229A" w:rsidRPr="00BB6220">
        <w:t>did</w:t>
      </w:r>
      <w:r w:rsidR="003D640C">
        <w:t xml:space="preserve"> </w:t>
      </w:r>
      <w:r w:rsidR="000C229A" w:rsidRPr="00BB6220">
        <w:t>not</w:t>
      </w:r>
      <w:r w:rsidR="003D640C">
        <w:t xml:space="preserve"> </w:t>
      </w:r>
      <w:r w:rsidR="000C229A" w:rsidRPr="00BB6220">
        <w:t>think</w:t>
      </w:r>
      <w:r w:rsidR="003D640C">
        <w:t xml:space="preserve"> </w:t>
      </w:r>
      <w:r w:rsidR="006A4FAD" w:rsidRPr="00BB6220">
        <w:t>they</w:t>
      </w:r>
      <w:r w:rsidR="003D640C">
        <w:t xml:space="preserve"> </w:t>
      </w:r>
      <w:r w:rsidRPr="00BB6220">
        <w:t>would</w:t>
      </w:r>
      <w:r w:rsidR="003D640C">
        <w:t xml:space="preserve"> </w:t>
      </w:r>
      <w:r w:rsidR="006A4FAD" w:rsidRPr="00BB6220" w:rsidDel="00783C02">
        <w:t>be</w:t>
      </w:r>
      <w:r w:rsidR="003D640C">
        <w:t xml:space="preserve"> </w:t>
      </w:r>
      <w:r w:rsidRPr="00BB6220">
        <w:t>helped</w:t>
      </w:r>
      <w:r w:rsidR="003D640C">
        <w:t xml:space="preserve"> </w:t>
      </w:r>
      <w:r w:rsidRPr="00BB6220">
        <w:t>by</w:t>
      </w:r>
      <w:r w:rsidR="003D640C">
        <w:t xml:space="preserve"> </w:t>
      </w:r>
      <w:r w:rsidRPr="00BB6220">
        <w:t>institutions</w:t>
      </w:r>
      <w:r w:rsidR="003D640C">
        <w:t xml:space="preserve"> </w:t>
      </w:r>
      <w:r w:rsidR="006A4FAD" w:rsidRPr="00BB6220">
        <w:t>that</w:t>
      </w:r>
      <w:r w:rsidR="003D640C">
        <w:t xml:space="preserve"> </w:t>
      </w:r>
      <w:r w:rsidR="006A4FAD" w:rsidRPr="00BB6220">
        <w:t>had</w:t>
      </w:r>
      <w:r w:rsidR="003D640C">
        <w:t xml:space="preserve"> </w:t>
      </w:r>
      <w:r w:rsidR="000C229A" w:rsidRPr="00BB6220">
        <w:t>previously</w:t>
      </w:r>
      <w:r w:rsidR="003D640C">
        <w:t xml:space="preserve"> </w:t>
      </w:r>
      <w:r w:rsidR="000C229A" w:rsidRPr="00BB6220">
        <w:t>harmed</w:t>
      </w:r>
      <w:r w:rsidR="003D640C">
        <w:t xml:space="preserve"> </w:t>
      </w:r>
      <w:r w:rsidRPr="00BB6220">
        <w:t>them</w:t>
      </w:r>
      <w:r w:rsidR="003D640C">
        <w:t xml:space="preserve"> </w:t>
      </w:r>
      <w:r w:rsidRPr="00BB6220">
        <w:t>or</w:t>
      </w:r>
      <w:r w:rsidR="003D640C">
        <w:t xml:space="preserve"> </w:t>
      </w:r>
      <w:r w:rsidRPr="00BB6220">
        <w:t>their</w:t>
      </w:r>
      <w:r w:rsidR="003D640C">
        <w:t xml:space="preserve"> </w:t>
      </w:r>
      <w:r w:rsidRPr="00BB6220">
        <w:t>communit</w:t>
      </w:r>
      <w:r w:rsidR="000C229A" w:rsidRPr="00BB6220">
        <w:t>y</w:t>
      </w:r>
      <w:r w:rsidRPr="00BB6220">
        <w:t>.</w:t>
      </w:r>
      <w:r w:rsidR="003D640C">
        <w:t xml:space="preserve"> </w:t>
      </w:r>
    </w:p>
    <w:p w14:paraId="46337FA5" w14:textId="6FBA2B65" w:rsidR="00CD2C3B" w:rsidRPr="00BB6220" w:rsidRDefault="00CD2C3B" w:rsidP="009032B9">
      <w:r w:rsidRPr="00BB6220">
        <w:t>Many</w:t>
      </w:r>
      <w:r w:rsidR="003D640C">
        <w:t xml:space="preserve"> </w:t>
      </w:r>
      <w:r w:rsidRPr="00BB6220">
        <w:t>survivors</w:t>
      </w:r>
      <w:r w:rsidR="003D640C">
        <w:t xml:space="preserve"> </w:t>
      </w:r>
      <w:r w:rsidRPr="00BB6220">
        <w:t>were</w:t>
      </w:r>
      <w:r w:rsidR="003D640C">
        <w:t xml:space="preserve"> </w:t>
      </w:r>
      <w:r w:rsidRPr="00BB6220">
        <w:t>still</w:t>
      </w:r>
      <w:r w:rsidR="003D640C">
        <w:t xml:space="preserve"> </w:t>
      </w:r>
      <w:r w:rsidRPr="00BB6220">
        <w:t>respectful</w:t>
      </w:r>
      <w:r w:rsidR="003D640C">
        <w:t xml:space="preserve"> </w:t>
      </w:r>
      <w:r w:rsidRPr="00BB6220">
        <w:t>of</w:t>
      </w:r>
      <w:r w:rsidR="003D640C">
        <w:t xml:space="preserve"> </w:t>
      </w:r>
      <w:r w:rsidRPr="00BB6220">
        <w:t>their</w:t>
      </w:r>
      <w:r w:rsidR="003D640C">
        <w:t xml:space="preserve"> </w:t>
      </w:r>
      <w:r w:rsidRPr="00BB6220">
        <w:t>family</w:t>
      </w:r>
      <w:r w:rsidR="003D640C">
        <w:t xml:space="preserve"> </w:t>
      </w:r>
      <w:r w:rsidRPr="00BB6220">
        <w:t>and</w:t>
      </w:r>
      <w:r w:rsidR="003D640C">
        <w:t xml:space="preserve"> </w:t>
      </w:r>
      <w:r w:rsidR="00D13481" w:rsidRPr="00BB6220">
        <w:t>wanted</w:t>
      </w:r>
      <w:r w:rsidR="003D640C">
        <w:t xml:space="preserve"> </w:t>
      </w:r>
      <w:r w:rsidRPr="00BB6220">
        <w:t>to</w:t>
      </w:r>
      <w:r w:rsidR="003D640C">
        <w:t xml:space="preserve"> </w:t>
      </w:r>
      <w:r w:rsidRPr="00BB6220">
        <w:t>find</w:t>
      </w:r>
      <w:r w:rsidR="003D640C">
        <w:t xml:space="preserve"> </w:t>
      </w:r>
      <w:r w:rsidRPr="00BB6220">
        <w:t>ways</w:t>
      </w:r>
      <w:r w:rsidR="003D640C">
        <w:t xml:space="preserve"> </w:t>
      </w:r>
      <w:r w:rsidRPr="00BB6220">
        <w:t>to</w:t>
      </w:r>
      <w:r w:rsidR="003D640C">
        <w:t xml:space="preserve"> </w:t>
      </w:r>
      <w:r w:rsidRPr="00BB6220">
        <w:t>repair</w:t>
      </w:r>
      <w:r w:rsidR="003D640C">
        <w:t xml:space="preserve"> </w:t>
      </w:r>
      <w:r w:rsidRPr="00BB6220">
        <w:t>relationships</w:t>
      </w:r>
      <w:r w:rsidR="003D640C">
        <w:t xml:space="preserve"> </w:t>
      </w:r>
      <w:r w:rsidRPr="00BB6220">
        <w:t>that</w:t>
      </w:r>
      <w:r w:rsidR="003D640C">
        <w:t xml:space="preserve"> </w:t>
      </w:r>
      <w:r w:rsidRPr="00BB6220">
        <w:t>had</w:t>
      </w:r>
      <w:r w:rsidR="003D640C">
        <w:t xml:space="preserve"> </w:t>
      </w:r>
      <w:r w:rsidRPr="00BB6220">
        <w:t>broken</w:t>
      </w:r>
      <w:r w:rsidR="003D640C">
        <w:t xml:space="preserve"> </w:t>
      </w:r>
      <w:r w:rsidRPr="00BB6220">
        <w:t>down</w:t>
      </w:r>
      <w:r w:rsidR="003D640C">
        <w:t xml:space="preserve"> </w:t>
      </w:r>
      <w:r w:rsidRPr="00BB6220">
        <w:t>rather</w:t>
      </w:r>
      <w:r w:rsidR="003D640C">
        <w:t xml:space="preserve"> </w:t>
      </w:r>
      <w:r w:rsidRPr="00BB6220">
        <w:t>than</w:t>
      </w:r>
      <w:r w:rsidR="003D640C">
        <w:t xml:space="preserve"> </w:t>
      </w:r>
      <w:r w:rsidRPr="00BB6220">
        <w:t>cut</w:t>
      </w:r>
      <w:r w:rsidR="003D640C">
        <w:t xml:space="preserve"> </w:t>
      </w:r>
      <w:r w:rsidRPr="00BB6220">
        <w:t>ties.</w:t>
      </w:r>
      <w:r w:rsidR="003D640C">
        <w:t xml:space="preserve"> </w:t>
      </w:r>
      <w:r w:rsidRPr="00BB6220">
        <w:t>When</w:t>
      </w:r>
      <w:r w:rsidR="003D640C">
        <w:t xml:space="preserve"> </w:t>
      </w:r>
      <w:r w:rsidRPr="00BB6220">
        <w:t>helping</w:t>
      </w:r>
      <w:r w:rsidR="003D640C">
        <w:t xml:space="preserve"> </w:t>
      </w:r>
      <w:r w:rsidRPr="00BB6220">
        <w:t>Pacific</w:t>
      </w:r>
      <w:r w:rsidR="003D640C">
        <w:t xml:space="preserve"> </w:t>
      </w:r>
      <w:r w:rsidR="00260EB8" w:rsidRPr="00BB6220">
        <w:t>p</w:t>
      </w:r>
      <w:r w:rsidRPr="00BB6220">
        <w:t>eoples</w:t>
      </w:r>
      <w:r w:rsidR="003D640C">
        <w:t xml:space="preserve"> </w:t>
      </w:r>
      <w:r w:rsidR="006A4FAD" w:rsidRPr="00BB6220">
        <w:t>recover</w:t>
      </w:r>
      <w:r w:rsidR="003D640C">
        <w:t xml:space="preserve"> </w:t>
      </w:r>
      <w:r w:rsidR="006A4FAD" w:rsidRPr="00BB6220">
        <w:t>from</w:t>
      </w:r>
      <w:r w:rsidR="003D640C">
        <w:t xml:space="preserve"> </w:t>
      </w:r>
      <w:r w:rsidRPr="00BB6220">
        <w:t>conversion</w:t>
      </w:r>
      <w:r w:rsidR="003D640C">
        <w:t xml:space="preserve"> </w:t>
      </w:r>
      <w:r w:rsidRPr="00BB6220">
        <w:t>practices</w:t>
      </w:r>
      <w:r w:rsidR="0064680A">
        <w:t>,</w:t>
      </w:r>
      <w:r w:rsidR="003D640C">
        <w:t xml:space="preserve"> </w:t>
      </w:r>
      <w:r w:rsidRPr="00BB6220">
        <w:t>it</w:t>
      </w:r>
      <w:r w:rsidR="003D640C">
        <w:t xml:space="preserve"> </w:t>
      </w:r>
      <w:r w:rsidRPr="00BB6220">
        <w:t>is</w:t>
      </w:r>
      <w:r w:rsidR="003D640C">
        <w:t xml:space="preserve"> </w:t>
      </w:r>
      <w:r w:rsidRPr="00BB6220">
        <w:t>important</w:t>
      </w:r>
      <w:r w:rsidR="003D640C">
        <w:t xml:space="preserve"> </w:t>
      </w:r>
      <w:r w:rsidR="00653BB6" w:rsidRPr="00BB6220">
        <w:t>not</w:t>
      </w:r>
      <w:r w:rsidR="003D640C">
        <w:t xml:space="preserve"> </w:t>
      </w:r>
      <w:r w:rsidR="00653BB6" w:rsidRPr="00BB6220">
        <w:t>to</w:t>
      </w:r>
      <w:r w:rsidR="003D640C">
        <w:t xml:space="preserve"> </w:t>
      </w:r>
      <w:r w:rsidR="00653BB6" w:rsidRPr="00BB6220">
        <w:t>make</w:t>
      </w:r>
      <w:r w:rsidR="003D640C">
        <w:t xml:space="preserve"> </w:t>
      </w:r>
      <w:r w:rsidRPr="00BB6220">
        <w:t>assumptions</w:t>
      </w:r>
      <w:r w:rsidR="003D640C">
        <w:t xml:space="preserve"> </w:t>
      </w:r>
      <w:r w:rsidRPr="00BB6220">
        <w:t>about</w:t>
      </w:r>
      <w:r w:rsidR="003D640C">
        <w:t xml:space="preserve"> </w:t>
      </w:r>
      <w:r w:rsidRPr="00BB6220">
        <w:t>how</w:t>
      </w:r>
      <w:r w:rsidR="003D640C">
        <w:t xml:space="preserve"> </w:t>
      </w:r>
      <w:r w:rsidRPr="00BB6220">
        <w:t>they</w:t>
      </w:r>
      <w:r w:rsidR="003D640C">
        <w:t xml:space="preserve"> </w:t>
      </w:r>
      <w:r w:rsidRPr="00BB6220">
        <w:t>want</w:t>
      </w:r>
      <w:r w:rsidR="003D640C">
        <w:t xml:space="preserve"> </w:t>
      </w:r>
      <w:r w:rsidRPr="00BB6220">
        <w:t>to</w:t>
      </w:r>
      <w:r w:rsidR="003D640C">
        <w:t xml:space="preserve"> </w:t>
      </w:r>
      <w:r w:rsidRPr="00BB6220">
        <w:t>navigate</w:t>
      </w:r>
      <w:r w:rsidR="003D640C">
        <w:t xml:space="preserve"> </w:t>
      </w:r>
      <w:r w:rsidR="00653BB6" w:rsidRPr="00BB6220">
        <w:t>relationship</w:t>
      </w:r>
      <w:r w:rsidR="003D640C">
        <w:t xml:space="preserve"> </w:t>
      </w:r>
      <w:r w:rsidR="00653BB6" w:rsidRPr="00BB6220">
        <w:t>breaks</w:t>
      </w:r>
      <w:r w:rsidR="003D640C">
        <w:t xml:space="preserve"> </w:t>
      </w:r>
      <w:r w:rsidRPr="00BB6220">
        <w:t>or</w:t>
      </w:r>
      <w:r w:rsidR="003D640C">
        <w:t xml:space="preserve"> </w:t>
      </w:r>
      <w:r w:rsidRPr="00BB6220">
        <w:t>people</w:t>
      </w:r>
      <w:r w:rsidR="003D640C">
        <w:t xml:space="preserve"> </w:t>
      </w:r>
      <w:r w:rsidRPr="00BB6220">
        <w:t>who</w:t>
      </w:r>
      <w:r w:rsidR="003D640C">
        <w:t xml:space="preserve"> </w:t>
      </w:r>
      <w:r w:rsidRPr="00BB6220">
        <w:t>have</w:t>
      </w:r>
      <w:r w:rsidR="003D640C">
        <w:t xml:space="preserve"> </w:t>
      </w:r>
      <w:r w:rsidRPr="00BB6220">
        <w:t>caused</w:t>
      </w:r>
      <w:r w:rsidR="003D640C">
        <w:t xml:space="preserve"> </w:t>
      </w:r>
      <w:r w:rsidRPr="00BB6220">
        <w:t>them</w:t>
      </w:r>
      <w:r w:rsidR="003D640C">
        <w:t xml:space="preserve"> </w:t>
      </w:r>
      <w:r w:rsidRPr="00BB6220">
        <w:t>harm.</w:t>
      </w:r>
      <w:r w:rsidR="003D640C">
        <w:t xml:space="preserve"> </w:t>
      </w:r>
    </w:p>
    <w:p w14:paraId="705362A3" w14:textId="2722EE93" w:rsidR="00CD2C3B" w:rsidRPr="00BB6220" w:rsidRDefault="00CD2C3B" w:rsidP="009032B9">
      <w:r w:rsidRPr="00BB6220">
        <w:t>Lack</w:t>
      </w:r>
      <w:r w:rsidR="003D640C">
        <w:t xml:space="preserve"> </w:t>
      </w:r>
      <w:r w:rsidRPr="00BB6220">
        <w:t>of</w:t>
      </w:r>
      <w:r w:rsidR="003D640C">
        <w:t xml:space="preserve"> </w:t>
      </w:r>
      <w:r w:rsidR="006A4FAD" w:rsidRPr="00BB6220">
        <w:t>immediate</w:t>
      </w:r>
      <w:r w:rsidR="003D640C">
        <w:t xml:space="preserve"> </w:t>
      </w:r>
      <w:r w:rsidRPr="00BB6220">
        <w:t>support</w:t>
      </w:r>
      <w:r w:rsidR="003D640C">
        <w:t xml:space="preserve"> </w:t>
      </w:r>
      <w:r w:rsidR="006A4FAD" w:rsidRPr="00BB6220">
        <w:t>when</w:t>
      </w:r>
      <w:r w:rsidR="003D640C">
        <w:t xml:space="preserve"> </w:t>
      </w:r>
      <w:r w:rsidR="002502F7">
        <w:t>navigating</w:t>
      </w:r>
      <w:r w:rsidR="003D640C">
        <w:t xml:space="preserve"> </w:t>
      </w:r>
      <w:r w:rsidRPr="00BB6220">
        <w:t>loss</w:t>
      </w:r>
      <w:r w:rsidR="003D640C">
        <w:t xml:space="preserve"> </w:t>
      </w:r>
      <w:r w:rsidRPr="00BB6220">
        <w:t>of</w:t>
      </w:r>
      <w:r w:rsidR="003D640C">
        <w:t xml:space="preserve"> </w:t>
      </w:r>
      <w:r w:rsidRPr="00BB6220">
        <w:t>community</w:t>
      </w:r>
      <w:r w:rsidR="003D640C">
        <w:t xml:space="preserve"> </w:t>
      </w:r>
      <w:r w:rsidR="006A4FAD" w:rsidRPr="00BB6220">
        <w:t>is</w:t>
      </w:r>
      <w:r w:rsidR="003D640C">
        <w:t xml:space="preserve"> </w:t>
      </w:r>
      <w:r w:rsidR="006A4FAD" w:rsidRPr="00BB6220">
        <w:t>also</w:t>
      </w:r>
      <w:r w:rsidR="003D640C">
        <w:t xml:space="preserve"> </w:t>
      </w:r>
      <w:r w:rsidR="006A4FAD" w:rsidRPr="00BB6220">
        <w:t>a</w:t>
      </w:r>
      <w:r w:rsidR="003D640C">
        <w:t xml:space="preserve"> </w:t>
      </w:r>
      <w:r w:rsidR="006A4FAD" w:rsidRPr="00BB6220">
        <w:t>key</w:t>
      </w:r>
      <w:r w:rsidR="003D640C">
        <w:t xml:space="preserve"> </w:t>
      </w:r>
      <w:r w:rsidR="006A4FAD" w:rsidRPr="00BB6220">
        <w:t>consideration</w:t>
      </w:r>
      <w:r w:rsidR="003D640C">
        <w:t xml:space="preserve"> </w:t>
      </w:r>
      <w:r w:rsidR="006A4FAD" w:rsidRPr="00BB6220">
        <w:t>in</w:t>
      </w:r>
      <w:r w:rsidR="003D640C">
        <w:t xml:space="preserve"> </w:t>
      </w:r>
      <w:r w:rsidR="006A4FAD" w:rsidRPr="00BB6220">
        <w:t>supporting</w:t>
      </w:r>
      <w:r w:rsidR="003D640C">
        <w:t xml:space="preserve"> </w:t>
      </w:r>
      <w:r w:rsidR="006A4FAD" w:rsidRPr="00BB6220">
        <w:t>Pacific</w:t>
      </w:r>
      <w:r w:rsidR="003D640C">
        <w:t xml:space="preserve"> </w:t>
      </w:r>
      <w:r w:rsidR="006A4FAD" w:rsidRPr="00BB6220">
        <w:t>survivors</w:t>
      </w:r>
      <w:r w:rsidR="001F5F2A">
        <w:t>,</w:t>
      </w:r>
      <w:r w:rsidR="003D640C">
        <w:t xml:space="preserve"> </w:t>
      </w:r>
      <w:r w:rsidR="00730EB3" w:rsidRPr="00BB6220">
        <w:t>as</w:t>
      </w:r>
      <w:r w:rsidR="003D640C">
        <w:t xml:space="preserve"> </w:t>
      </w:r>
      <w:r w:rsidR="008D2D4C" w:rsidRPr="00BB6220">
        <w:t>Pacific</w:t>
      </w:r>
      <w:r w:rsidR="003D640C">
        <w:t xml:space="preserve"> </w:t>
      </w:r>
      <w:r w:rsidR="004F5650" w:rsidRPr="00BB6220">
        <w:t>Rainbow</w:t>
      </w:r>
      <w:r w:rsidR="004F5650">
        <w:t xml:space="preserve"> </w:t>
      </w:r>
      <w:r w:rsidR="002873C1" w:rsidRPr="00BB6220">
        <w:t>youth</w:t>
      </w:r>
      <w:r w:rsidR="003D640C">
        <w:t xml:space="preserve"> </w:t>
      </w:r>
      <w:r w:rsidR="00173FAE" w:rsidRPr="00BB6220">
        <w:t>also</w:t>
      </w:r>
      <w:r w:rsidR="003D640C">
        <w:t xml:space="preserve"> </w:t>
      </w:r>
      <w:r w:rsidR="006A4FAD" w:rsidRPr="00BB6220">
        <w:t>face</w:t>
      </w:r>
      <w:r w:rsidR="003D640C">
        <w:t xml:space="preserve"> </w:t>
      </w:r>
      <w:r w:rsidRPr="00BB6220">
        <w:t>increased</w:t>
      </w:r>
      <w:r w:rsidR="003D640C">
        <w:t xml:space="preserve"> </w:t>
      </w:r>
      <w:r w:rsidRPr="00BB6220">
        <w:t>rates</w:t>
      </w:r>
      <w:r w:rsidR="003D640C">
        <w:t xml:space="preserve"> </w:t>
      </w:r>
      <w:r w:rsidRPr="00BB6220">
        <w:t>of</w:t>
      </w:r>
      <w:r w:rsidR="003D640C">
        <w:t xml:space="preserve"> </w:t>
      </w:r>
      <w:r w:rsidRPr="00BB6220">
        <w:t>housing</w:t>
      </w:r>
      <w:r w:rsidR="003D640C">
        <w:t xml:space="preserve"> </w:t>
      </w:r>
      <w:r w:rsidRPr="00BB6220">
        <w:t>instability</w:t>
      </w:r>
      <w:r w:rsidR="006A4FAD" w:rsidRPr="00BB6220">
        <w:t>.</w:t>
      </w:r>
      <w:r w:rsidR="006A4FAD" w:rsidRPr="00BB6220">
        <w:rPr>
          <w:rStyle w:val="FootnoteReference"/>
        </w:rPr>
        <w:footnoteReference w:id="275"/>
      </w:r>
      <w:r w:rsidR="003D640C">
        <w:t xml:space="preserve"> </w:t>
      </w:r>
      <w:r w:rsidR="00EC6CAC" w:rsidRPr="00BB6220">
        <w:t>M</w:t>
      </w:r>
      <w:r w:rsidRPr="00BB6220">
        <w:t>ost</w:t>
      </w:r>
      <w:r w:rsidR="003D640C">
        <w:t xml:space="preserve"> </w:t>
      </w:r>
      <w:r w:rsidRPr="00BB6220">
        <w:t>Pacific</w:t>
      </w:r>
      <w:r w:rsidR="003D640C">
        <w:t xml:space="preserve"> </w:t>
      </w:r>
      <w:r w:rsidRPr="00BB6220">
        <w:t>peoples</w:t>
      </w:r>
      <w:r w:rsidR="003D640C">
        <w:t xml:space="preserve"> </w:t>
      </w:r>
      <w:r w:rsidRPr="00BB6220">
        <w:t>in</w:t>
      </w:r>
      <w:r w:rsidR="003D640C">
        <w:t xml:space="preserve"> </w:t>
      </w:r>
      <w:r w:rsidRPr="00BB6220">
        <w:t>Aotearoa</w:t>
      </w:r>
      <w:r w:rsidR="003D640C">
        <w:t xml:space="preserve"> </w:t>
      </w:r>
      <w:r w:rsidRPr="00BB6220">
        <w:t>reside</w:t>
      </w:r>
      <w:r w:rsidR="003D640C">
        <w:t xml:space="preserve"> </w:t>
      </w:r>
      <w:r w:rsidRPr="00BB6220">
        <w:t>in</w:t>
      </w:r>
      <w:r w:rsidR="003D640C">
        <w:t xml:space="preserve"> </w:t>
      </w:r>
      <w:r w:rsidRPr="00BB6220">
        <w:t>Auckland</w:t>
      </w:r>
      <w:r w:rsidR="003751AB">
        <w:t>.</w:t>
      </w:r>
      <w:r w:rsidR="00F74A14">
        <w:rPr>
          <w:rStyle w:val="FootnoteReference"/>
        </w:rPr>
        <w:footnoteReference w:id="276"/>
      </w:r>
      <w:r w:rsidR="003D640C">
        <w:t xml:space="preserve"> </w:t>
      </w:r>
      <w:r w:rsidR="0064680A">
        <w:t>I</w:t>
      </w:r>
      <w:r w:rsidRPr="00BB6220">
        <w:t>t</w:t>
      </w:r>
      <w:r w:rsidR="003D640C">
        <w:t xml:space="preserve"> </w:t>
      </w:r>
      <w:r w:rsidRPr="00BB6220">
        <w:t>may</w:t>
      </w:r>
      <w:r w:rsidR="003D640C">
        <w:t xml:space="preserve"> </w:t>
      </w:r>
      <w:r w:rsidR="0064680A">
        <w:t>therefore</w:t>
      </w:r>
      <w:r w:rsidR="003D640C">
        <w:t xml:space="preserve"> </w:t>
      </w:r>
      <w:r w:rsidRPr="00BB6220">
        <w:t>be</w:t>
      </w:r>
      <w:r w:rsidR="003D640C">
        <w:t xml:space="preserve"> </w:t>
      </w:r>
      <w:r w:rsidRPr="00BB6220">
        <w:t>easier</w:t>
      </w:r>
      <w:r w:rsidR="003D640C">
        <w:t xml:space="preserve"> </w:t>
      </w:r>
      <w:r w:rsidRPr="00BB6220">
        <w:t>to</w:t>
      </w:r>
      <w:r w:rsidR="003D640C">
        <w:t xml:space="preserve"> </w:t>
      </w:r>
      <w:r w:rsidRPr="00BB6220">
        <w:t>access</w:t>
      </w:r>
      <w:r w:rsidR="003D640C">
        <w:t xml:space="preserve"> </w:t>
      </w:r>
      <w:r w:rsidRPr="00BB6220">
        <w:t>appropriate</w:t>
      </w:r>
      <w:r w:rsidR="003D640C">
        <w:t xml:space="preserve"> </w:t>
      </w:r>
      <w:r w:rsidRPr="00BB6220">
        <w:t>mental</w:t>
      </w:r>
      <w:r w:rsidR="003D640C">
        <w:t xml:space="preserve"> </w:t>
      </w:r>
      <w:r w:rsidRPr="00BB6220">
        <w:t>health</w:t>
      </w:r>
      <w:r w:rsidR="003D640C">
        <w:t xml:space="preserve"> </w:t>
      </w:r>
      <w:r w:rsidRPr="00BB6220">
        <w:t>supports,</w:t>
      </w:r>
      <w:r w:rsidR="003D640C">
        <w:t xml:space="preserve"> </w:t>
      </w:r>
      <w:r w:rsidRPr="00BB6220">
        <w:t>safe</w:t>
      </w:r>
      <w:r w:rsidR="003D640C">
        <w:t xml:space="preserve"> </w:t>
      </w:r>
      <w:r w:rsidRPr="00BB6220">
        <w:t>community</w:t>
      </w:r>
      <w:r w:rsidR="003D640C">
        <w:t xml:space="preserve"> </w:t>
      </w:r>
      <w:r w:rsidRPr="00BB6220">
        <w:t>spaces,</w:t>
      </w:r>
      <w:r w:rsidR="003D640C">
        <w:t xml:space="preserve"> </w:t>
      </w:r>
      <w:r w:rsidRPr="00BB6220">
        <w:t>and</w:t>
      </w:r>
      <w:r w:rsidR="003D640C">
        <w:t xml:space="preserve"> </w:t>
      </w:r>
      <w:r w:rsidRPr="00BB6220">
        <w:t>inclusive</w:t>
      </w:r>
      <w:r w:rsidR="003D640C">
        <w:t xml:space="preserve"> </w:t>
      </w:r>
      <w:r w:rsidRPr="00BB6220">
        <w:t>and</w:t>
      </w:r>
      <w:r w:rsidR="003D640C">
        <w:t xml:space="preserve"> </w:t>
      </w:r>
      <w:r w:rsidRPr="00BB6220">
        <w:t>culturally</w:t>
      </w:r>
      <w:r w:rsidR="003D640C">
        <w:t xml:space="preserve"> </w:t>
      </w:r>
      <w:r w:rsidRPr="00BB6220">
        <w:t>adapted</w:t>
      </w:r>
      <w:r w:rsidR="003D640C">
        <w:t xml:space="preserve"> </w:t>
      </w:r>
      <w:r w:rsidRPr="00BB6220">
        <w:t>education</w:t>
      </w:r>
      <w:r w:rsidR="003D640C">
        <w:t xml:space="preserve"> </w:t>
      </w:r>
      <w:r w:rsidR="00EC6CAC" w:rsidRPr="00BB6220">
        <w:t>in</w:t>
      </w:r>
      <w:r w:rsidR="003D640C">
        <w:t xml:space="preserve"> </w:t>
      </w:r>
      <w:r w:rsidR="00EC6CAC" w:rsidRPr="00BB6220">
        <w:t>this</w:t>
      </w:r>
      <w:r w:rsidR="003D640C">
        <w:t xml:space="preserve"> </w:t>
      </w:r>
      <w:r w:rsidR="00EC6CAC" w:rsidRPr="00BB6220">
        <w:t>region</w:t>
      </w:r>
      <w:r w:rsidRPr="00BB6220">
        <w:t>.</w:t>
      </w:r>
      <w:r w:rsidR="003D640C">
        <w:t xml:space="preserve"> </w:t>
      </w:r>
      <w:r w:rsidR="00A53095" w:rsidRPr="00BB6220">
        <w:t>I</w:t>
      </w:r>
      <w:r w:rsidR="00EC6CAC" w:rsidRPr="00BB6220">
        <w:t>n</w:t>
      </w:r>
      <w:r w:rsidR="003D640C">
        <w:t xml:space="preserve"> </w:t>
      </w:r>
      <w:r w:rsidR="00EC6CAC" w:rsidRPr="00BB6220">
        <w:t>other</w:t>
      </w:r>
      <w:r w:rsidR="003D640C">
        <w:t xml:space="preserve"> </w:t>
      </w:r>
      <w:r w:rsidRPr="00BB6220">
        <w:t>parts</w:t>
      </w:r>
      <w:r w:rsidR="003D640C">
        <w:t xml:space="preserve"> </w:t>
      </w:r>
      <w:r w:rsidRPr="00BB6220">
        <w:t>of</w:t>
      </w:r>
      <w:r w:rsidR="003D640C">
        <w:t xml:space="preserve"> </w:t>
      </w:r>
      <w:r w:rsidRPr="00BB6220">
        <w:t>Aotearoa,</w:t>
      </w:r>
      <w:r w:rsidR="003D640C">
        <w:t xml:space="preserve"> </w:t>
      </w:r>
      <w:r w:rsidR="007A2FD9" w:rsidRPr="00BB6220">
        <w:t>MVPFAFF+</w:t>
      </w:r>
      <w:r w:rsidR="003D640C">
        <w:t xml:space="preserve"> </w:t>
      </w:r>
      <w:r w:rsidR="007A2FD9" w:rsidRPr="00BB6220">
        <w:t>and</w:t>
      </w:r>
      <w:r w:rsidR="003D640C">
        <w:t xml:space="preserve"> </w:t>
      </w:r>
      <w:r w:rsidRPr="00BB6220">
        <w:t>Pacific</w:t>
      </w:r>
      <w:r w:rsidR="003D640C">
        <w:t xml:space="preserve"> </w:t>
      </w:r>
      <w:r w:rsidR="004F5650" w:rsidRPr="00BB6220">
        <w:t>Rainbow</w:t>
      </w:r>
      <w:r w:rsidR="004F5650">
        <w:t xml:space="preserve"> </w:t>
      </w:r>
      <w:r w:rsidRPr="00BB6220">
        <w:t>people</w:t>
      </w:r>
      <w:r w:rsidR="003D640C">
        <w:t xml:space="preserve"> </w:t>
      </w:r>
      <w:r w:rsidRPr="00BB6220">
        <w:t>may</w:t>
      </w:r>
      <w:r w:rsidR="003D640C">
        <w:t xml:space="preserve"> </w:t>
      </w:r>
      <w:r w:rsidRPr="00BB6220">
        <w:t>feel</w:t>
      </w:r>
      <w:r w:rsidR="003D640C">
        <w:t xml:space="preserve"> </w:t>
      </w:r>
      <w:r w:rsidR="007A2FD9" w:rsidRPr="00BB6220">
        <w:t>culturally</w:t>
      </w:r>
      <w:r w:rsidR="003D640C">
        <w:t xml:space="preserve"> </w:t>
      </w:r>
      <w:r w:rsidRPr="00BB6220">
        <w:t>isolated</w:t>
      </w:r>
      <w:r w:rsidR="003D640C">
        <w:t xml:space="preserve"> </w:t>
      </w:r>
      <w:r w:rsidRPr="00BB6220">
        <w:t>and</w:t>
      </w:r>
      <w:r w:rsidR="003D640C">
        <w:t xml:space="preserve"> </w:t>
      </w:r>
      <w:r w:rsidRPr="00BB6220">
        <w:t>extra</w:t>
      </w:r>
      <w:r w:rsidR="003D640C">
        <w:t xml:space="preserve"> </w:t>
      </w:r>
      <w:r w:rsidRPr="00BB6220">
        <w:t>assistance</w:t>
      </w:r>
      <w:r w:rsidR="003D640C">
        <w:t xml:space="preserve"> </w:t>
      </w:r>
      <w:r w:rsidRPr="00BB6220">
        <w:t>may</w:t>
      </w:r>
      <w:r w:rsidR="003D640C">
        <w:t xml:space="preserve"> </w:t>
      </w:r>
      <w:r w:rsidRPr="00BB6220">
        <w:t>be</w:t>
      </w:r>
      <w:r w:rsidR="003D640C">
        <w:t xml:space="preserve"> </w:t>
      </w:r>
      <w:r w:rsidRPr="00BB6220">
        <w:t>required</w:t>
      </w:r>
      <w:r w:rsidR="003D640C">
        <w:t xml:space="preserve"> </w:t>
      </w:r>
      <w:r w:rsidRPr="00BB6220">
        <w:t>to</w:t>
      </w:r>
      <w:r w:rsidR="003D640C">
        <w:t xml:space="preserve"> </w:t>
      </w:r>
      <w:r w:rsidRPr="00BB6220">
        <w:t>rebuild</w:t>
      </w:r>
      <w:r w:rsidR="003D640C">
        <w:t xml:space="preserve"> </w:t>
      </w:r>
      <w:r w:rsidRPr="00BB6220">
        <w:t>their</w:t>
      </w:r>
      <w:r w:rsidR="003D640C">
        <w:t xml:space="preserve"> </w:t>
      </w:r>
      <w:r w:rsidRPr="00BB6220">
        <w:t>sense</w:t>
      </w:r>
      <w:r w:rsidR="003D640C">
        <w:t xml:space="preserve"> </w:t>
      </w:r>
      <w:r w:rsidRPr="00BB6220">
        <w:t>of</w:t>
      </w:r>
      <w:r w:rsidR="003D640C">
        <w:t xml:space="preserve"> </w:t>
      </w:r>
      <w:r w:rsidRPr="00BB6220">
        <w:t>community.</w:t>
      </w:r>
      <w:r w:rsidR="003D640C">
        <w:t xml:space="preserve"> </w:t>
      </w:r>
    </w:p>
    <w:p w14:paraId="49FBEB18" w14:textId="7D7247AE" w:rsidR="00CD2C3B" w:rsidRPr="00BB6220" w:rsidRDefault="00B6031C" w:rsidP="009032B9">
      <w:r w:rsidRPr="00BB6220">
        <w:t>If</w:t>
      </w:r>
      <w:r w:rsidR="003D640C">
        <w:t xml:space="preserve"> </w:t>
      </w:r>
      <w:r w:rsidR="00CD2C3B" w:rsidRPr="00BB6220">
        <w:t>excluded</w:t>
      </w:r>
      <w:r w:rsidR="003D640C">
        <w:t xml:space="preserve"> </w:t>
      </w:r>
      <w:r w:rsidR="00CD2C3B" w:rsidRPr="00BB6220">
        <w:t>from</w:t>
      </w:r>
      <w:r w:rsidR="003D640C">
        <w:t xml:space="preserve"> </w:t>
      </w:r>
      <w:r w:rsidR="00CD2C3B" w:rsidRPr="00BB6220">
        <w:t>their</w:t>
      </w:r>
      <w:r w:rsidR="003D640C">
        <w:t xml:space="preserve"> </w:t>
      </w:r>
      <w:r w:rsidR="00CD2C3B" w:rsidRPr="00BB6220">
        <w:t>community</w:t>
      </w:r>
      <w:r w:rsidR="00260EB8" w:rsidRPr="00BB6220">
        <w:t>,</w:t>
      </w:r>
      <w:r w:rsidR="003D640C">
        <w:t xml:space="preserve"> </w:t>
      </w:r>
      <w:r w:rsidR="00CD2C3B" w:rsidRPr="00BB6220">
        <w:t>Pacific</w:t>
      </w:r>
      <w:r w:rsidR="003D640C">
        <w:t xml:space="preserve"> </w:t>
      </w:r>
      <w:r w:rsidR="00260EB8" w:rsidRPr="00BB6220">
        <w:t>p</w:t>
      </w:r>
      <w:r w:rsidR="00CD2C3B" w:rsidRPr="00BB6220">
        <w:t>eoples</w:t>
      </w:r>
      <w:r w:rsidR="003D640C">
        <w:t xml:space="preserve"> </w:t>
      </w:r>
      <w:r w:rsidR="00CD2C3B" w:rsidRPr="00BB6220">
        <w:t>may</w:t>
      </w:r>
      <w:r w:rsidR="003D640C">
        <w:t xml:space="preserve"> </w:t>
      </w:r>
      <w:r w:rsidR="00C50421" w:rsidRPr="00BB6220">
        <w:t>not</w:t>
      </w:r>
      <w:r w:rsidR="003D640C">
        <w:t xml:space="preserve"> </w:t>
      </w:r>
      <w:r w:rsidR="00F97EA7" w:rsidRPr="00BB6220">
        <w:t>be</w:t>
      </w:r>
      <w:r w:rsidR="003D640C">
        <w:t xml:space="preserve"> </w:t>
      </w:r>
      <w:r w:rsidR="00F97EA7" w:rsidRPr="00BB6220">
        <w:t>able</w:t>
      </w:r>
      <w:r w:rsidR="003D640C">
        <w:t xml:space="preserve"> </w:t>
      </w:r>
      <w:r w:rsidR="00F97EA7" w:rsidRPr="00BB6220">
        <w:t>to</w:t>
      </w:r>
      <w:r w:rsidR="003D640C">
        <w:t xml:space="preserve"> </w:t>
      </w:r>
      <w:r w:rsidR="00F97EA7" w:rsidRPr="00BB6220">
        <w:t>maintain</w:t>
      </w:r>
      <w:r w:rsidR="003D640C">
        <w:t xml:space="preserve"> </w:t>
      </w:r>
      <w:r w:rsidR="00CD2C3B" w:rsidRPr="00BB6220">
        <w:t>their</w:t>
      </w:r>
      <w:r w:rsidR="003D640C">
        <w:t xml:space="preserve"> </w:t>
      </w:r>
      <w:r w:rsidR="00CD2C3B" w:rsidRPr="00BB6220">
        <w:t>culture.</w:t>
      </w:r>
      <w:r w:rsidR="003D640C">
        <w:t xml:space="preserve"> </w:t>
      </w:r>
      <w:r w:rsidR="00CD2C3B" w:rsidRPr="00BB6220">
        <w:t>Pacific</w:t>
      </w:r>
      <w:r w:rsidR="003D640C">
        <w:t xml:space="preserve"> </w:t>
      </w:r>
      <w:r w:rsidR="00CD2C3B" w:rsidRPr="00BB6220">
        <w:t>communities</w:t>
      </w:r>
      <w:r w:rsidR="003D640C">
        <w:t xml:space="preserve"> </w:t>
      </w:r>
      <w:r w:rsidR="00CD2C3B" w:rsidRPr="00BB6220">
        <w:t>in</w:t>
      </w:r>
      <w:r w:rsidR="003D640C">
        <w:t xml:space="preserve"> </w:t>
      </w:r>
      <w:r w:rsidR="00CD2C3B" w:rsidRPr="00BB6220">
        <w:t>Aotearoa</w:t>
      </w:r>
      <w:r w:rsidR="003D640C">
        <w:t xml:space="preserve"> </w:t>
      </w:r>
      <w:r w:rsidR="00CD2C3B" w:rsidRPr="00BB6220">
        <w:t>are</w:t>
      </w:r>
      <w:r w:rsidR="003D640C">
        <w:t xml:space="preserve"> </w:t>
      </w:r>
      <w:r w:rsidR="00CD2C3B" w:rsidRPr="00BB6220">
        <w:t>often</w:t>
      </w:r>
      <w:r w:rsidR="003D640C">
        <w:t xml:space="preserve"> </w:t>
      </w:r>
      <w:r w:rsidR="00CD2C3B" w:rsidRPr="00BB6220">
        <w:t>tied</w:t>
      </w:r>
      <w:r w:rsidR="003D640C">
        <w:t xml:space="preserve"> </w:t>
      </w:r>
      <w:r w:rsidR="008E2D8C" w:rsidRPr="00BB6220">
        <w:t>together</w:t>
      </w:r>
      <w:r w:rsidR="003D640C">
        <w:t xml:space="preserve"> </w:t>
      </w:r>
      <w:r w:rsidR="00CD2C3B" w:rsidRPr="00BB6220">
        <w:t>through</w:t>
      </w:r>
      <w:r w:rsidR="003D640C">
        <w:t xml:space="preserve"> </w:t>
      </w:r>
      <w:r w:rsidR="00CD2C3B" w:rsidRPr="00BB6220">
        <w:t>shared</w:t>
      </w:r>
      <w:r w:rsidR="003D640C">
        <w:t xml:space="preserve"> </w:t>
      </w:r>
      <w:r w:rsidR="00B74A54">
        <w:t>migration</w:t>
      </w:r>
      <w:r w:rsidR="003D640C">
        <w:t xml:space="preserve"> </w:t>
      </w:r>
      <w:r w:rsidR="00B74A54">
        <w:t>experiences</w:t>
      </w:r>
      <w:r w:rsidR="003D640C">
        <w:t xml:space="preserve"> </w:t>
      </w:r>
      <w:r w:rsidR="00CD2C3B" w:rsidRPr="00BB6220" w:rsidDel="00716F2B">
        <w:t>and</w:t>
      </w:r>
      <w:r w:rsidR="003D640C">
        <w:t xml:space="preserve"> </w:t>
      </w:r>
      <w:r w:rsidR="00FE790E">
        <w:lastRenderedPageBreak/>
        <w:t>maintaining</w:t>
      </w:r>
      <w:r w:rsidR="003D640C">
        <w:t xml:space="preserve"> </w:t>
      </w:r>
      <w:r w:rsidR="00FE790E">
        <w:t>strong</w:t>
      </w:r>
      <w:r w:rsidR="003D640C">
        <w:t xml:space="preserve"> </w:t>
      </w:r>
      <w:r w:rsidR="00FE790E">
        <w:t>connections</w:t>
      </w:r>
      <w:r w:rsidR="003D640C">
        <w:t xml:space="preserve"> </w:t>
      </w:r>
      <w:r w:rsidR="00CD2C3B" w:rsidRPr="00BB6220">
        <w:t>to</w:t>
      </w:r>
      <w:r w:rsidR="003D640C">
        <w:t xml:space="preserve"> </w:t>
      </w:r>
      <w:r w:rsidR="00CD2C3B" w:rsidRPr="00BB6220">
        <w:t>their</w:t>
      </w:r>
      <w:r w:rsidR="003D640C">
        <w:t xml:space="preserve"> </w:t>
      </w:r>
      <w:r w:rsidR="00CD2C3B" w:rsidRPr="00BB6220">
        <w:t>families</w:t>
      </w:r>
      <w:r w:rsidR="003D640C">
        <w:t xml:space="preserve"> </w:t>
      </w:r>
      <w:r w:rsidR="00CD2C3B" w:rsidRPr="00BB6220">
        <w:t>in</w:t>
      </w:r>
      <w:r w:rsidR="003D640C">
        <w:t xml:space="preserve"> </w:t>
      </w:r>
      <w:r w:rsidR="00CD2C3B" w:rsidRPr="00BB6220">
        <w:t>Pacific</w:t>
      </w:r>
      <w:r w:rsidR="003D640C">
        <w:t xml:space="preserve"> </w:t>
      </w:r>
      <w:r w:rsidR="0032511D">
        <w:t>countries</w:t>
      </w:r>
      <w:r w:rsidR="00CD2C3B" w:rsidRPr="00BB6220">
        <w:t>.</w:t>
      </w:r>
      <w:r w:rsidR="003D640C">
        <w:t xml:space="preserve"> </w:t>
      </w:r>
      <w:r w:rsidR="00CD2C3B" w:rsidRPr="00BB6220">
        <w:t>Once</w:t>
      </w:r>
      <w:r w:rsidR="003D640C">
        <w:t xml:space="preserve"> </w:t>
      </w:r>
      <w:r w:rsidR="00CD2C3B" w:rsidRPr="00BB6220">
        <w:t>excluded</w:t>
      </w:r>
      <w:r w:rsidR="00645E8B" w:rsidRPr="00BB6220">
        <w:t>,</w:t>
      </w:r>
      <w:r w:rsidR="003D640C">
        <w:t xml:space="preserve"> </w:t>
      </w:r>
      <w:r w:rsidR="00CD2C3B" w:rsidRPr="00BB6220">
        <w:t>survivors</w:t>
      </w:r>
      <w:r w:rsidR="003D640C">
        <w:t xml:space="preserve"> </w:t>
      </w:r>
      <w:r w:rsidR="00CD2C3B" w:rsidRPr="00BB6220">
        <w:t>may</w:t>
      </w:r>
      <w:r w:rsidR="003D640C">
        <w:t xml:space="preserve"> </w:t>
      </w:r>
      <w:r w:rsidR="00CD2C3B" w:rsidRPr="00BB6220">
        <w:t>have</w:t>
      </w:r>
      <w:r w:rsidR="003D640C">
        <w:t xml:space="preserve"> </w:t>
      </w:r>
      <w:r w:rsidR="00CD2C3B" w:rsidRPr="00BB6220">
        <w:t>no</w:t>
      </w:r>
      <w:r w:rsidR="003D640C">
        <w:t xml:space="preserve"> </w:t>
      </w:r>
      <w:r w:rsidR="00CD2C3B" w:rsidRPr="00BB6220">
        <w:t>one</w:t>
      </w:r>
      <w:r w:rsidR="003D640C">
        <w:t xml:space="preserve"> </w:t>
      </w:r>
      <w:r w:rsidR="00716F2B" w:rsidRPr="00BB6220">
        <w:t>to</w:t>
      </w:r>
      <w:r w:rsidR="003D640C">
        <w:t xml:space="preserve"> </w:t>
      </w:r>
      <w:r w:rsidR="00CD2C3B" w:rsidRPr="00BB6220">
        <w:t>share</w:t>
      </w:r>
      <w:r w:rsidR="003D640C">
        <w:t xml:space="preserve"> </w:t>
      </w:r>
      <w:r w:rsidR="00CD2C3B" w:rsidRPr="00BB6220">
        <w:t>their</w:t>
      </w:r>
      <w:r w:rsidR="003D640C">
        <w:t xml:space="preserve"> </w:t>
      </w:r>
      <w:r w:rsidR="00CD2C3B" w:rsidRPr="00BB6220">
        <w:t>culture</w:t>
      </w:r>
      <w:r w:rsidR="003D640C">
        <w:t xml:space="preserve"> </w:t>
      </w:r>
      <w:r w:rsidR="00CD2C3B" w:rsidRPr="00BB6220">
        <w:t>with</w:t>
      </w:r>
      <w:r w:rsidR="00643E20">
        <w:t>,</w:t>
      </w:r>
      <w:r w:rsidR="003D640C">
        <w:t xml:space="preserve"> </w:t>
      </w:r>
      <w:r w:rsidR="004141C0" w:rsidRPr="00BB6220">
        <w:t>for</w:t>
      </w:r>
      <w:r w:rsidR="003D640C">
        <w:t xml:space="preserve"> </w:t>
      </w:r>
      <w:r w:rsidR="004141C0" w:rsidRPr="00BB6220">
        <w:t>example</w:t>
      </w:r>
      <w:r w:rsidR="00260EB8" w:rsidRPr="00BB6220">
        <w:t>,</w:t>
      </w:r>
      <w:r w:rsidR="003D640C">
        <w:t xml:space="preserve"> </w:t>
      </w:r>
      <w:r w:rsidR="00B97546">
        <w:t>using</w:t>
      </w:r>
      <w:r w:rsidR="003D640C">
        <w:t xml:space="preserve"> </w:t>
      </w:r>
      <w:r w:rsidR="00CD2C3B" w:rsidRPr="00BB6220">
        <w:t>their</w:t>
      </w:r>
      <w:r w:rsidR="003D640C">
        <w:t xml:space="preserve"> </w:t>
      </w:r>
      <w:r w:rsidR="00CD2C3B" w:rsidRPr="00BB6220">
        <w:t>language,</w:t>
      </w:r>
      <w:r w:rsidR="003D640C">
        <w:t xml:space="preserve"> </w:t>
      </w:r>
      <w:r w:rsidR="00CD2C3B" w:rsidRPr="00BB6220">
        <w:t>eating</w:t>
      </w:r>
      <w:r w:rsidR="003D640C">
        <w:t xml:space="preserve"> </w:t>
      </w:r>
      <w:r w:rsidR="00CD2C3B" w:rsidRPr="00BB6220">
        <w:t>cultural</w:t>
      </w:r>
      <w:r w:rsidR="003D640C">
        <w:t xml:space="preserve"> </w:t>
      </w:r>
      <w:r w:rsidR="00CD2C3B" w:rsidRPr="00BB6220">
        <w:t>dishes,</w:t>
      </w:r>
      <w:r w:rsidR="003D640C">
        <w:t xml:space="preserve"> </w:t>
      </w:r>
      <w:r w:rsidR="00CD2C3B" w:rsidRPr="00BB6220">
        <w:t>or</w:t>
      </w:r>
      <w:r w:rsidR="003D640C">
        <w:t xml:space="preserve"> </w:t>
      </w:r>
      <w:r w:rsidR="00CD2C3B" w:rsidRPr="00BB6220">
        <w:t>carrying</w:t>
      </w:r>
      <w:r w:rsidR="003D640C">
        <w:t xml:space="preserve"> </w:t>
      </w:r>
      <w:r w:rsidR="00CD2C3B" w:rsidRPr="00BB6220">
        <w:t>out</w:t>
      </w:r>
      <w:r w:rsidR="003D640C">
        <w:t xml:space="preserve"> </w:t>
      </w:r>
      <w:r w:rsidR="00CD2C3B" w:rsidRPr="00BB6220">
        <w:t>cultural</w:t>
      </w:r>
      <w:r w:rsidR="003D640C">
        <w:t xml:space="preserve"> </w:t>
      </w:r>
      <w:r w:rsidR="00CD2C3B" w:rsidRPr="00BB6220">
        <w:t>practices.</w:t>
      </w:r>
      <w:r w:rsidR="003D640C">
        <w:t xml:space="preserve"> </w:t>
      </w:r>
      <w:r w:rsidR="0067787B" w:rsidRPr="00BB6220">
        <w:t>I</w:t>
      </w:r>
      <w:r w:rsidR="00CD2C3B" w:rsidRPr="00BB6220">
        <w:t>t</w:t>
      </w:r>
      <w:r w:rsidR="003D640C">
        <w:t xml:space="preserve"> </w:t>
      </w:r>
      <w:r w:rsidR="00CD2C3B" w:rsidRPr="00BB6220">
        <w:t>may</w:t>
      </w:r>
      <w:r w:rsidR="003D640C">
        <w:t xml:space="preserve"> </w:t>
      </w:r>
      <w:r w:rsidR="00CD2C3B" w:rsidRPr="00BB6220">
        <w:t>be</w:t>
      </w:r>
      <w:r w:rsidR="003D640C">
        <w:t xml:space="preserve"> </w:t>
      </w:r>
      <w:r w:rsidR="00CD2C3B" w:rsidRPr="00BB6220">
        <w:t>helpful</w:t>
      </w:r>
      <w:r w:rsidR="003D640C">
        <w:t xml:space="preserve"> </w:t>
      </w:r>
      <w:r w:rsidR="00CD2C3B" w:rsidRPr="00BB6220">
        <w:t>to</w:t>
      </w:r>
      <w:r w:rsidR="003D640C">
        <w:t xml:space="preserve"> </w:t>
      </w:r>
      <w:r w:rsidR="00CD2C3B" w:rsidRPr="00BB6220">
        <w:t>connect</w:t>
      </w:r>
      <w:r w:rsidR="003D640C">
        <w:t xml:space="preserve"> </w:t>
      </w:r>
      <w:r w:rsidR="0067787B" w:rsidRPr="00BB6220">
        <w:t>survivors</w:t>
      </w:r>
      <w:r w:rsidR="003D640C">
        <w:t xml:space="preserve"> </w:t>
      </w:r>
      <w:r w:rsidR="00CD2C3B" w:rsidRPr="00BB6220">
        <w:t>with</w:t>
      </w:r>
      <w:r w:rsidR="003D640C">
        <w:t xml:space="preserve"> </w:t>
      </w:r>
      <w:r w:rsidR="00CD2C3B" w:rsidRPr="00BB6220">
        <w:t>affirming</w:t>
      </w:r>
      <w:r w:rsidR="003D640C">
        <w:t xml:space="preserve"> </w:t>
      </w:r>
      <w:r w:rsidR="00CD2C3B" w:rsidRPr="00BB6220">
        <w:t>groups</w:t>
      </w:r>
      <w:r w:rsidR="003D640C">
        <w:t xml:space="preserve"> </w:t>
      </w:r>
      <w:r w:rsidR="00CD2C3B" w:rsidRPr="00BB6220">
        <w:t>who</w:t>
      </w:r>
      <w:r w:rsidR="003D640C">
        <w:t xml:space="preserve"> </w:t>
      </w:r>
      <w:r w:rsidR="00CD2C3B" w:rsidRPr="00BB6220">
        <w:t>share</w:t>
      </w:r>
      <w:r w:rsidR="003D640C">
        <w:t xml:space="preserve"> </w:t>
      </w:r>
      <w:r w:rsidR="00CD2C3B" w:rsidRPr="00BB6220">
        <w:t>the</w:t>
      </w:r>
      <w:r w:rsidR="003D640C">
        <w:t xml:space="preserve"> </w:t>
      </w:r>
      <w:r w:rsidR="00CD2C3B" w:rsidRPr="00BB6220">
        <w:t>same</w:t>
      </w:r>
      <w:r w:rsidR="003D640C">
        <w:t xml:space="preserve"> </w:t>
      </w:r>
      <w:r w:rsidR="00CD2C3B" w:rsidRPr="00BB6220">
        <w:t>cultural</w:t>
      </w:r>
      <w:r w:rsidR="003D640C">
        <w:t xml:space="preserve"> </w:t>
      </w:r>
      <w:r w:rsidR="00CD2C3B" w:rsidRPr="00BB6220">
        <w:t>values</w:t>
      </w:r>
      <w:r w:rsidR="003D640C">
        <w:t xml:space="preserve"> </w:t>
      </w:r>
      <w:r w:rsidR="00CD2C3B" w:rsidRPr="00BB6220">
        <w:t>and</w:t>
      </w:r>
      <w:r w:rsidR="003D640C">
        <w:t xml:space="preserve"> </w:t>
      </w:r>
      <w:r w:rsidR="00CD2C3B" w:rsidRPr="00BB6220">
        <w:t>expressions.</w:t>
      </w:r>
      <w:r w:rsidR="003D640C">
        <w:t xml:space="preserve"> </w:t>
      </w:r>
    </w:p>
    <w:p w14:paraId="6076D680" w14:textId="403E9723" w:rsidR="00CD2C3B" w:rsidRPr="00BB6220" w:rsidRDefault="00CD2C3B" w:rsidP="009032B9">
      <w:r w:rsidRPr="00BB6220">
        <w:t>There</w:t>
      </w:r>
      <w:r w:rsidR="003D640C">
        <w:t xml:space="preserve"> </w:t>
      </w:r>
      <w:r w:rsidRPr="00BB6220">
        <w:t>are</w:t>
      </w:r>
      <w:r w:rsidR="003D640C">
        <w:t xml:space="preserve"> </w:t>
      </w:r>
      <w:r w:rsidRPr="00BB6220">
        <w:t>different</w:t>
      </w:r>
      <w:r w:rsidR="003D640C">
        <w:t xml:space="preserve"> </w:t>
      </w:r>
      <w:r w:rsidRPr="00BB6220">
        <w:t>values</w:t>
      </w:r>
      <w:r w:rsidR="003D640C">
        <w:t xml:space="preserve"> </w:t>
      </w:r>
      <w:r w:rsidRPr="00BB6220">
        <w:t>and</w:t>
      </w:r>
      <w:r w:rsidR="003D640C">
        <w:t xml:space="preserve"> </w:t>
      </w:r>
      <w:r w:rsidRPr="00BB6220">
        <w:t>practices</w:t>
      </w:r>
      <w:r w:rsidR="003D640C">
        <w:t xml:space="preserve"> </w:t>
      </w:r>
      <w:r w:rsidRPr="00BB6220">
        <w:t>within</w:t>
      </w:r>
      <w:r w:rsidR="003D640C">
        <w:t xml:space="preserve"> </w:t>
      </w:r>
      <w:r w:rsidRPr="00BB6220">
        <w:t>Pacific</w:t>
      </w:r>
      <w:r w:rsidR="003D640C">
        <w:t xml:space="preserve"> </w:t>
      </w:r>
      <w:r w:rsidR="00260EB8" w:rsidRPr="00BB6220">
        <w:t>p</w:t>
      </w:r>
      <w:r w:rsidRPr="00BB6220">
        <w:t>eoples</w:t>
      </w:r>
      <w:r w:rsidR="00D71A69" w:rsidRPr="00BB6220">
        <w:t>’</w:t>
      </w:r>
      <w:r w:rsidR="003D640C">
        <w:t xml:space="preserve"> </w:t>
      </w:r>
      <w:r w:rsidRPr="00BB6220">
        <w:t>cultures</w:t>
      </w:r>
      <w:r w:rsidR="003D640C">
        <w:t xml:space="preserve"> </w:t>
      </w:r>
      <w:r w:rsidRPr="00BB6220">
        <w:t>that</w:t>
      </w:r>
      <w:r w:rsidR="003D640C">
        <w:t xml:space="preserve"> </w:t>
      </w:r>
      <w:r w:rsidRPr="00BB6220">
        <w:t>can</w:t>
      </w:r>
      <w:r w:rsidR="003D640C">
        <w:t xml:space="preserve"> </w:t>
      </w:r>
      <w:r w:rsidRPr="00BB6220">
        <w:t>help</w:t>
      </w:r>
      <w:r w:rsidR="003D640C">
        <w:t xml:space="preserve"> </w:t>
      </w:r>
      <w:r w:rsidRPr="00BB6220">
        <w:t>to</w:t>
      </w:r>
      <w:r w:rsidR="003D640C">
        <w:t xml:space="preserve"> </w:t>
      </w:r>
      <w:r w:rsidRPr="00BB6220">
        <w:t>bridge</w:t>
      </w:r>
      <w:r w:rsidR="003D640C">
        <w:t xml:space="preserve"> </w:t>
      </w:r>
      <w:r w:rsidRPr="00BB6220">
        <w:t>gaps</w:t>
      </w:r>
      <w:r w:rsidR="003D640C">
        <w:t xml:space="preserve"> </w:t>
      </w:r>
      <w:r w:rsidRPr="00BB6220">
        <w:t>and</w:t>
      </w:r>
      <w:r w:rsidR="003D640C">
        <w:t xml:space="preserve"> </w:t>
      </w:r>
      <w:r w:rsidRPr="00BB6220">
        <w:t>hold</w:t>
      </w:r>
      <w:r w:rsidR="003D640C">
        <w:t xml:space="preserve"> </w:t>
      </w:r>
      <w:r w:rsidRPr="00BB6220">
        <w:t>space</w:t>
      </w:r>
      <w:r w:rsidR="003D640C">
        <w:t xml:space="preserve"> </w:t>
      </w:r>
      <w:r w:rsidRPr="00BB6220">
        <w:t>for</w:t>
      </w:r>
      <w:r w:rsidR="003D640C">
        <w:t xml:space="preserve"> </w:t>
      </w:r>
      <w:r w:rsidRPr="00BB6220">
        <w:t>each</w:t>
      </w:r>
      <w:r w:rsidR="003D640C">
        <w:t xml:space="preserve"> </w:t>
      </w:r>
      <w:r w:rsidRPr="00BB6220">
        <w:t>other.</w:t>
      </w:r>
      <w:r w:rsidR="003D640C">
        <w:t xml:space="preserve"> </w:t>
      </w:r>
      <w:r w:rsidR="00B97546">
        <w:t>T</w:t>
      </w:r>
      <w:r w:rsidRPr="00BB6220">
        <w:t>he</w:t>
      </w:r>
      <w:r w:rsidR="003D640C">
        <w:t xml:space="preserve"> </w:t>
      </w:r>
      <w:r w:rsidRPr="00BB6220">
        <w:t>practice</w:t>
      </w:r>
      <w:r w:rsidR="003D640C">
        <w:t xml:space="preserve"> </w:t>
      </w:r>
      <w:r w:rsidRPr="00BB6220">
        <w:t>of</w:t>
      </w:r>
      <w:r w:rsidR="003D640C">
        <w:t xml:space="preserve"> </w:t>
      </w:r>
      <w:r w:rsidRPr="00BB6220">
        <w:t>talanoa</w:t>
      </w:r>
      <w:r w:rsidR="003D640C">
        <w:t xml:space="preserve"> </w:t>
      </w:r>
      <w:r w:rsidRPr="00BB6220">
        <w:t>or</w:t>
      </w:r>
      <w:r w:rsidR="003D640C">
        <w:t xml:space="preserve"> </w:t>
      </w:r>
      <w:r w:rsidRPr="00BB6220">
        <w:t>Pacific</w:t>
      </w:r>
      <w:r w:rsidR="003D640C">
        <w:t xml:space="preserve"> </w:t>
      </w:r>
      <w:r w:rsidRPr="00BB6220">
        <w:t>frameworks</w:t>
      </w:r>
      <w:r w:rsidR="003D640C">
        <w:t xml:space="preserve"> </w:t>
      </w:r>
      <w:r w:rsidRPr="00BB6220">
        <w:t>of</w:t>
      </w:r>
      <w:r w:rsidR="003D640C">
        <w:t xml:space="preserve"> </w:t>
      </w:r>
      <w:r w:rsidRPr="00BB6220">
        <w:t>mediation</w:t>
      </w:r>
      <w:r w:rsidR="003D640C">
        <w:t xml:space="preserve"> </w:t>
      </w:r>
      <w:r w:rsidR="00FE790E">
        <w:t>can</w:t>
      </w:r>
      <w:r w:rsidR="003D640C">
        <w:t xml:space="preserve"> </w:t>
      </w:r>
      <w:r w:rsidRPr="00BB6220">
        <w:t>be</w:t>
      </w:r>
      <w:r w:rsidR="003D640C">
        <w:t xml:space="preserve"> </w:t>
      </w:r>
      <w:r w:rsidRPr="00BB6220">
        <w:t>useful</w:t>
      </w:r>
      <w:r w:rsidR="003D640C">
        <w:t xml:space="preserve"> </w:t>
      </w:r>
      <w:r w:rsidRPr="00BB6220">
        <w:t>in</w:t>
      </w:r>
      <w:r w:rsidR="003D640C">
        <w:t xml:space="preserve"> </w:t>
      </w:r>
      <w:r w:rsidRPr="00BB6220">
        <w:t>bringing</w:t>
      </w:r>
      <w:r w:rsidR="003D640C">
        <w:t xml:space="preserve"> </w:t>
      </w:r>
      <w:r w:rsidRPr="00BB6220">
        <w:t>people</w:t>
      </w:r>
      <w:r w:rsidR="003D640C">
        <w:t xml:space="preserve"> </w:t>
      </w:r>
      <w:r w:rsidRPr="00BB6220">
        <w:t>together</w:t>
      </w:r>
      <w:r w:rsidR="003D640C">
        <w:t xml:space="preserve"> </w:t>
      </w:r>
      <w:r w:rsidRPr="00BB6220">
        <w:t>and</w:t>
      </w:r>
      <w:r w:rsidR="003D640C">
        <w:t xml:space="preserve"> </w:t>
      </w:r>
      <w:r w:rsidR="00A02955">
        <w:t>fostering</w:t>
      </w:r>
      <w:r w:rsidR="003D640C">
        <w:t xml:space="preserve"> </w:t>
      </w:r>
      <w:r w:rsidR="00A02955">
        <w:t>a</w:t>
      </w:r>
      <w:r w:rsidR="003D640C">
        <w:t xml:space="preserve"> </w:t>
      </w:r>
      <w:r w:rsidR="00A02955">
        <w:t>space</w:t>
      </w:r>
      <w:r w:rsidR="003D640C">
        <w:t xml:space="preserve"> </w:t>
      </w:r>
      <w:r w:rsidR="00A02955">
        <w:t>for</w:t>
      </w:r>
      <w:r w:rsidR="003D640C">
        <w:t xml:space="preserve"> </w:t>
      </w:r>
      <w:r w:rsidR="00A02955">
        <w:t>respectful</w:t>
      </w:r>
      <w:r w:rsidR="003D640C">
        <w:t xml:space="preserve"> </w:t>
      </w:r>
      <w:r w:rsidR="00A02955">
        <w:t>conversations</w:t>
      </w:r>
      <w:r w:rsidRPr="00BB6220">
        <w:t>.</w:t>
      </w:r>
      <w:r w:rsidR="003D640C">
        <w:t xml:space="preserve"> </w:t>
      </w:r>
      <w:r w:rsidR="008E2D8C" w:rsidRPr="00BB6220">
        <w:t>T</w:t>
      </w:r>
      <w:r w:rsidRPr="00BB6220">
        <w:t>he</w:t>
      </w:r>
      <w:r w:rsidR="003D640C">
        <w:t xml:space="preserve"> </w:t>
      </w:r>
      <w:r w:rsidRPr="00BB6220">
        <w:t>ability</w:t>
      </w:r>
      <w:r w:rsidR="003D640C">
        <w:t xml:space="preserve"> </w:t>
      </w:r>
      <w:r w:rsidRPr="00BB6220">
        <w:t>to</w:t>
      </w:r>
      <w:r w:rsidR="003D640C">
        <w:t xml:space="preserve"> </w:t>
      </w:r>
      <w:r w:rsidR="008E2D8C" w:rsidRPr="00BB6220">
        <w:t>employ</w:t>
      </w:r>
      <w:r w:rsidR="003D640C">
        <w:t xml:space="preserve"> </w:t>
      </w:r>
      <w:r w:rsidRPr="00BB6220">
        <w:t>culture,</w:t>
      </w:r>
      <w:r w:rsidR="003D640C">
        <w:t xml:space="preserve"> </w:t>
      </w:r>
      <w:r w:rsidRPr="00BB6220">
        <w:t>faith</w:t>
      </w:r>
      <w:r w:rsidR="4A3D9234" w:rsidRPr="00BB6220">
        <w:t>,</w:t>
      </w:r>
      <w:r w:rsidR="003D640C">
        <w:t xml:space="preserve"> </w:t>
      </w:r>
      <w:r w:rsidRPr="00BB6220">
        <w:t>and</w:t>
      </w:r>
      <w:r w:rsidR="003D640C">
        <w:t xml:space="preserve"> </w:t>
      </w:r>
      <w:r w:rsidRPr="00BB6220">
        <w:t>family</w:t>
      </w:r>
      <w:r w:rsidR="003D640C">
        <w:t xml:space="preserve"> </w:t>
      </w:r>
      <w:r w:rsidRPr="00BB6220">
        <w:t>in</w:t>
      </w:r>
      <w:r w:rsidR="003D640C">
        <w:t xml:space="preserve"> </w:t>
      </w:r>
      <w:r w:rsidRPr="00BB6220">
        <w:t>their</w:t>
      </w:r>
      <w:r w:rsidR="003D640C">
        <w:t xml:space="preserve"> </w:t>
      </w:r>
      <w:r w:rsidRPr="00BB6220">
        <w:t>protective</w:t>
      </w:r>
      <w:r w:rsidR="003D640C">
        <w:t xml:space="preserve"> </w:t>
      </w:r>
      <w:r w:rsidRPr="00BB6220">
        <w:t>forms</w:t>
      </w:r>
      <w:r w:rsidR="003D640C">
        <w:t xml:space="preserve"> </w:t>
      </w:r>
      <w:r w:rsidRPr="00BB6220">
        <w:t>may</w:t>
      </w:r>
      <w:r w:rsidR="003D640C">
        <w:t xml:space="preserve"> </w:t>
      </w:r>
      <w:r w:rsidRPr="00BB6220">
        <w:t>help.</w:t>
      </w:r>
      <w:r w:rsidR="003D640C">
        <w:t xml:space="preserve"> </w:t>
      </w:r>
      <w:r w:rsidRPr="00BB6220">
        <w:t>For</w:t>
      </w:r>
      <w:r w:rsidR="003D640C">
        <w:t xml:space="preserve"> </w:t>
      </w:r>
      <w:r w:rsidRPr="00BB6220">
        <w:t>those</w:t>
      </w:r>
      <w:r w:rsidR="003D640C">
        <w:t xml:space="preserve"> </w:t>
      </w:r>
      <w:r w:rsidRPr="00BB6220">
        <w:t>who</w:t>
      </w:r>
      <w:r w:rsidR="003D640C">
        <w:t xml:space="preserve"> </w:t>
      </w:r>
      <w:r w:rsidRPr="00BB6220">
        <w:t>cannot</w:t>
      </w:r>
      <w:r w:rsidR="003D640C">
        <w:t xml:space="preserve"> </w:t>
      </w:r>
      <w:r w:rsidRPr="00BB6220">
        <w:t>repair</w:t>
      </w:r>
      <w:r w:rsidR="003D640C">
        <w:t xml:space="preserve"> </w:t>
      </w:r>
      <w:r w:rsidRPr="00BB6220">
        <w:t>existing</w:t>
      </w:r>
      <w:r w:rsidR="003D640C">
        <w:t xml:space="preserve"> </w:t>
      </w:r>
      <w:r w:rsidRPr="00BB6220">
        <w:t>relationships,</w:t>
      </w:r>
      <w:r w:rsidR="003D640C">
        <w:t xml:space="preserve"> </w:t>
      </w:r>
      <w:r w:rsidRPr="00BB6220">
        <w:t>this</w:t>
      </w:r>
      <w:r w:rsidR="003D640C">
        <w:t xml:space="preserve"> </w:t>
      </w:r>
      <w:r w:rsidR="00C74AD9" w:rsidRPr="00BB6220">
        <w:t>protection</w:t>
      </w:r>
      <w:r w:rsidR="003D640C">
        <w:t xml:space="preserve"> </w:t>
      </w:r>
      <w:r w:rsidRPr="00BB6220">
        <w:t>could</w:t>
      </w:r>
      <w:r w:rsidR="003D640C">
        <w:t xml:space="preserve"> </w:t>
      </w:r>
      <w:r w:rsidRPr="00BB6220">
        <w:t>be</w:t>
      </w:r>
      <w:r w:rsidR="003D640C">
        <w:t xml:space="preserve"> </w:t>
      </w:r>
      <w:r w:rsidR="007B6C7E" w:rsidRPr="00BB6220">
        <w:t>achieved</w:t>
      </w:r>
      <w:r w:rsidR="003D640C">
        <w:t xml:space="preserve"> </w:t>
      </w:r>
      <w:r w:rsidRPr="00BB6220">
        <w:t>through</w:t>
      </w:r>
      <w:r w:rsidR="003D640C">
        <w:t xml:space="preserve"> </w:t>
      </w:r>
      <w:r w:rsidR="00936F2D" w:rsidRPr="00BB6220">
        <w:t>bringing</w:t>
      </w:r>
      <w:r w:rsidR="003D640C">
        <w:t xml:space="preserve"> </w:t>
      </w:r>
      <w:r w:rsidR="00936F2D" w:rsidRPr="00BB6220">
        <w:t>together</w:t>
      </w:r>
      <w:r w:rsidR="003D640C">
        <w:t xml:space="preserve"> </w:t>
      </w:r>
      <w:r w:rsidR="00936F2D" w:rsidRPr="00BB6220">
        <w:t>a</w:t>
      </w:r>
      <w:r w:rsidR="003D640C">
        <w:t xml:space="preserve"> </w:t>
      </w:r>
      <w:r w:rsidRPr="00BB6220">
        <w:t>‘chosen’</w:t>
      </w:r>
      <w:r w:rsidR="003D640C">
        <w:t xml:space="preserve"> </w:t>
      </w:r>
      <w:r w:rsidRPr="00BB6220">
        <w:t>family,</w:t>
      </w:r>
      <w:r w:rsidR="003D640C">
        <w:t xml:space="preserve"> </w:t>
      </w:r>
      <w:r w:rsidRPr="00BB6220">
        <w:t>affirming</w:t>
      </w:r>
      <w:r w:rsidR="003D640C">
        <w:t xml:space="preserve"> </w:t>
      </w:r>
      <w:r w:rsidR="007B6C7E" w:rsidRPr="00BB6220">
        <w:t>Pacific</w:t>
      </w:r>
      <w:r w:rsidR="003D640C">
        <w:t xml:space="preserve"> </w:t>
      </w:r>
      <w:r w:rsidRPr="00BB6220">
        <w:t>faith</w:t>
      </w:r>
      <w:r w:rsidR="003D640C">
        <w:t xml:space="preserve"> </w:t>
      </w:r>
      <w:r w:rsidRPr="00BB6220">
        <w:t>groups,</w:t>
      </w:r>
      <w:r w:rsidR="003D640C">
        <w:t xml:space="preserve"> </w:t>
      </w:r>
      <w:r w:rsidRPr="00BB6220">
        <w:t>and</w:t>
      </w:r>
      <w:r w:rsidR="003D640C">
        <w:t xml:space="preserve"> </w:t>
      </w:r>
      <w:r w:rsidR="007B6C7E" w:rsidRPr="00BB6220">
        <w:t>MVPFAFF+</w:t>
      </w:r>
      <w:r w:rsidR="003D640C">
        <w:t xml:space="preserve"> </w:t>
      </w:r>
      <w:r w:rsidR="007B6C7E" w:rsidRPr="00BB6220">
        <w:t>and</w:t>
      </w:r>
      <w:r w:rsidR="003D640C">
        <w:t xml:space="preserve"> </w:t>
      </w:r>
      <w:r w:rsidR="00260EB8" w:rsidRPr="00BB6220">
        <w:t>Rainbow-</w:t>
      </w:r>
      <w:r w:rsidRPr="00BB6220">
        <w:t>friendly</w:t>
      </w:r>
      <w:r w:rsidR="003D640C">
        <w:t xml:space="preserve"> </w:t>
      </w:r>
      <w:r w:rsidRPr="00BB6220">
        <w:t>cultural</w:t>
      </w:r>
      <w:r w:rsidR="003D640C">
        <w:t xml:space="preserve"> </w:t>
      </w:r>
      <w:r w:rsidRPr="00BB6220">
        <w:t>activities</w:t>
      </w:r>
      <w:r w:rsidR="00260EB8" w:rsidRPr="00BB6220">
        <w:t>,</w:t>
      </w:r>
      <w:r w:rsidR="003D640C">
        <w:t xml:space="preserve"> </w:t>
      </w:r>
      <w:r w:rsidRPr="00BB6220">
        <w:t>including</w:t>
      </w:r>
      <w:r w:rsidR="003D640C">
        <w:t xml:space="preserve"> </w:t>
      </w:r>
      <w:r w:rsidRPr="00BB6220">
        <w:t>art.</w:t>
      </w:r>
      <w:r w:rsidR="003D640C">
        <w:t xml:space="preserve"> </w:t>
      </w:r>
    </w:p>
    <w:p w14:paraId="2C149442" w14:textId="77777777" w:rsidR="00501068" w:rsidRDefault="00CD2C3B" w:rsidP="009032B9">
      <w:r w:rsidRPr="00BB6220">
        <w:t>Finally,</w:t>
      </w:r>
      <w:r w:rsidR="003D640C">
        <w:t xml:space="preserve"> </w:t>
      </w:r>
      <w:r w:rsidRPr="00BB6220">
        <w:t>Pacific</w:t>
      </w:r>
      <w:r w:rsidR="003D640C">
        <w:t xml:space="preserve"> </w:t>
      </w:r>
      <w:r w:rsidRPr="00BB6220">
        <w:t>survivors</w:t>
      </w:r>
      <w:r w:rsidR="003D640C">
        <w:t xml:space="preserve"> </w:t>
      </w:r>
      <w:r w:rsidRPr="00BB6220">
        <w:t>told</w:t>
      </w:r>
      <w:r w:rsidR="003D640C">
        <w:t xml:space="preserve"> </w:t>
      </w:r>
      <w:r w:rsidRPr="00BB6220">
        <w:t>us</w:t>
      </w:r>
      <w:r w:rsidR="003D640C">
        <w:t xml:space="preserve"> </w:t>
      </w:r>
      <w:r w:rsidRPr="00BB6220">
        <w:t>many</w:t>
      </w:r>
      <w:r w:rsidR="003D640C">
        <w:t xml:space="preserve"> </w:t>
      </w:r>
      <w:r w:rsidRPr="00BB6220">
        <w:t>will</w:t>
      </w:r>
      <w:r w:rsidR="003D640C">
        <w:t xml:space="preserve"> </w:t>
      </w:r>
      <w:r w:rsidRPr="00BB6220">
        <w:t>play</w:t>
      </w:r>
      <w:r w:rsidR="003D640C">
        <w:t xml:space="preserve"> </w:t>
      </w:r>
      <w:r w:rsidRPr="00BB6220">
        <w:t>down</w:t>
      </w:r>
      <w:r w:rsidR="003D640C">
        <w:t xml:space="preserve"> </w:t>
      </w:r>
      <w:r w:rsidRPr="00BB6220">
        <w:t>their</w:t>
      </w:r>
      <w:r w:rsidR="003D640C">
        <w:t xml:space="preserve"> </w:t>
      </w:r>
      <w:r w:rsidRPr="00BB6220">
        <w:t>experiences</w:t>
      </w:r>
      <w:r w:rsidR="003D640C">
        <w:t xml:space="preserve"> </w:t>
      </w:r>
      <w:r w:rsidR="00C74AD9" w:rsidRPr="00BB6220">
        <w:t>of</w:t>
      </w:r>
      <w:r w:rsidR="003D640C">
        <w:t xml:space="preserve"> </w:t>
      </w:r>
      <w:r w:rsidR="00C74AD9" w:rsidRPr="00BB6220">
        <w:t>conversion</w:t>
      </w:r>
      <w:r w:rsidR="003D640C">
        <w:t xml:space="preserve"> </w:t>
      </w:r>
      <w:r w:rsidR="00C74AD9" w:rsidRPr="00BB6220">
        <w:t>practices</w:t>
      </w:r>
      <w:r w:rsidRPr="00BB6220">
        <w:t>.</w:t>
      </w:r>
      <w:r w:rsidR="003D640C">
        <w:t xml:space="preserve"> </w:t>
      </w:r>
      <w:r w:rsidRPr="00BB6220">
        <w:t>It</w:t>
      </w:r>
      <w:r w:rsidR="003D640C">
        <w:t xml:space="preserve"> </w:t>
      </w:r>
      <w:r w:rsidRPr="00BB6220">
        <w:t>may</w:t>
      </w:r>
      <w:r w:rsidR="003D640C">
        <w:t xml:space="preserve"> </w:t>
      </w:r>
      <w:r w:rsidRPr="00BB6220">
        <w:t>take</w:t>
      </w:r>
      <w:r w:rsidR="003D640C">
        <w:t xml:space="preserve"> </w:t>
      </w:r>
      <w:r w:rsidRPr="00BB6220">
        <w:t>time</w:t>
      </w:r>
      <w:r w:rsidR="003D640C">
        <w:t xml:space="preserve"> </w:t>
      </w:r>
      <w:r w:rsidRPr="00BB6220">
        <w:t>to</w:t>
      </w:r>
      <w:r w:rsidR="003D640C">
        <w:t xml:space="preserve"> </w:t>
      </w:r>
      <w:r w:rsidRPr="00BB6220">
        <w:t>build</w:t>
      </w:r>
      <w:r w:rsidR="003D640C">
        <w:t xml:space="preserve"> </w:t>
      </w:r>
      <w:r w:rsidRPr="00BB6220">
        <w:t>rapport</w:t>
      </w:r>
      <w:r w:rsidR="003D640C">
        <w:t xml:space="preserve"> </w:t>
      </w:r>
      <w:r w:rsidRPr="00BB6220">
        <w:t>even</w:t>
      </w:r>
      <w:r w:rsidR="003D640C">
        <w:t xml:space="preserve"> </w:t>
      </w:r>
      <w:r w:rsidRPr="00BB6220">
        <w:t>if</w:t>
      </w:r>
      <w:r w:rsidR="003D640C">
        <w:t xml:space="preserve"> </w:t>
      </w:r>
      <w:r w:rsidRPr="00BB6220">
        <w:t>they</w:t>
      </w:r>
      <w:r w:rsidR="003D640C">
        <w:t xml:space="preserve"> </w:t>
      </w:r>
      <w:r w:rsidRPr="00BB6220">
        <w:t>have</w:t>
      </w:r>
      <w:r w:rsidR="003D640C">
        <w:t xml:space="preserve"> </w:t>
      </w:r>
      <w:r w:rsidRPr="00BB6220">
        <w:t>actively</w:t>
      </w:r>
      <w:r w:rsidR="003D640C">
        <w:t xml:space="preserve"> </w:t>
      </w:r>
      <w:r w:rsidRPr="00BB6220">
        <w:t>come</w:t>
      </w:r>
      <w:r w:rsidR="003D640C">
        <w:t xml:space="preserve"> </w:t>
      </w:r>
      <w:r w:rsidRPr="00BB6220">
        <w:t>to</w:t>
      </w:r>
      <w:r w:rsidR="003D640C">
        <w:t xml:space="preserve"> </w:t>
      </w:r>
      <w:r w:rsidRPr="00BB6220">
        <w:t>you</w:t>
      </w:r>
      <w:r w:rsidR="003D640C">
        <w:t xml:space="preserve"> </w:t>
      </w:r>
      <w:r w:rsidRPr="00BB6220">
        <w:t>for</w:t>
      </w:r>
      <w:r w:rsidR="003D640C">
        <w:t xml:space="preserve"> </w:t>
      </w:r>
      <w:r w:rsidRPr="00BB6220">
        <w:t>help.</w:t>
      </w:r>
      <w:r w:rsidR="003D640C">
        <w:t xml:space="preserve"> </w:t>
      </w:r>
      <w:r w:rsidRPr="00BB6220">
        <w:t>It</w:t>
      </w:r>
      <w:r w:rsidR="003D640C">
        <w:t xml:space="preserve"> </w:t>
      </w:r>
      <w:r w:rsidRPr="00BB6220">
        <w:t>is</w:t>
      </w:r>
      <w:r w:rsidR="003D640C">
        <w:t xml:space="preserve"> </w:t>
      </w:r>
      <w:r w:rsidRPr="00BB6220">
        <w:t>important</w:t>
      </w:r>
      <w:r w:rsidR="003D640C">
        <w:t xml:space="preserve"> </w:t>
      </w:r>
      <w:r w:rsidRPr="00BB6220">
        <w:t>that</w:t>
      </w:r>
      <w:r w:rsidR="003D640C">
        <w:t xml:space="preserve"> </w:t>
      </w:r>
      <w:r w:rsidRPr="00BB6220">
        <w:t>support</w:t>
      </w:r>
      <w:r w:rsidR="003D640C">
        <w:t xml:space="preserve"> </w:t>
      </w:r>
      <w:r w:rsidRPr="00BB6220">
        <w:t>services</w:t>
      </w:r>
      <w:r w:rsidR="003D640C">
        <w:t xml:space="preserve"> </w:t>
      </w:r>
      <w:r w:rsidRPr="00BB6220">
        <w:t>make</w:t>
      </w:r>
      <w:r w:rsidR="003D640C">
        <w:t xml:space="preserve"> </w:t>
      </w:r>
      <w:r w:rsidRPr="00BB6220">
        <w:t>space</w:t>
      </w:r>
      <w:r w:rsidR="003D640C">
        <w:t xml:space="preserve"> </w:t>
      </w:r>
      <w:r w:rsidRPr="00BB6220">
        <w:t>for</w:t>
      </w:r>
      <w:r w:rsidR="003D640C">
        <w:t xml:space="preserve"> </w:t>
      </w:r>
      <w:r w:rsidRPr="00BB6220">
        <w:t>this</w:t>
      </w:r>
      <w:r w:rsidR="003D640C">
        <w:t xml:space="preserve"> </w:t>
      </w:r>
      <w:r w:rsidRPr="00BB6220">
        <w:t>process</w:t>
      </w:r>
      <w:r w:rsidR="003D640C">
        <w:t xml:space="preserve"> </w:t>
      </w:r>
      <w:r w:rsidRPr="00BB6220">
        <w:t>and</w:t>
      </w:r>
      <w:r w:rsidR="003D640C">
        <w:t xml:space="preserve"> </w:t>
      </w:r>
      <w:r w:rsidRPr="00BB6220">
        <w:t>acknowledge</w:t>
      </w:r>
      <w:r w:rsidR="003D640C">
        <w:t xml:space="preserve"> </w:t>
      </w:r>
      <w:r w:rsidRPr="00BB6220">
        <w:t>it</w:t>
      </w:r>
      <w:r w:rsidR="003D640C">
        <w:t xml:space="preserve"> </w:t>
      </w:r>
      <w:r w:rsidR="00AB387E">
        <w:t>can</w:t>
      </w:r>
      <w:r w:rsidR="003D640C">
        <w:t xml:space="preserve"> </w:t>
      </w:r>
      <w:r w:rsidR="00AB387E">
        <w:t>be</w:t>
      </w:r>
      <w:r w:rsidR="003D640C">
        <w:t xml:space="preserve"> </w:t>
      </w:r>
      <w:r w:rsidRPr="00BB6220">
        <w:t>difficult</w:t>
      </w:r>
      <w:r w:rsidR="003D640C">
        <w:t xml:space="preserve"> </w:t>
      </w:r>
      <w:r w:rsidRPr="00BB6220">
        <w:t>for</w:t>
      </w:r>
      <w:r w:rsidR="003D640C">
        <w:t xml:space="preserve"> </w:t>
      </w:r>
      <w:r w:rsidRPr="00BB6220">
        <w:t>Pacific</w:t>
      </w:r>
      <w:r w:rsidR="003D640C">
        <w:t xml:space="preserve"> </w:t>
      </w:r>
      <w:r w:rsidRPr="00BB6220">
        <w:t>survivors</w:t>
      </w:r>
      <w:r w:rsidR="003D640C">
        <w:t xml:space="preserve"> </w:t>
      </w:r>
      <w:r w:rsidRPr="00BB6220">
        <w:t>to</w:t>
      </w:r>
      <w:r w:rsidR="003D640C">
        <w:t xml:space="preserve"> </w:t>
      </w:r>
      <w:r w:rsidRPr="00BB6220">
        <w:t>share</w:t>
      </w:r>
      <w:r w:rsidR="003D640C">
        <w:t xml:space="preserve"> </w:t>
      </w:r>
      <w:r w:rsidRPr="00BB6220">
        <w:t>their</w:t>
      </w:r>
      <w:r w:rsidR="003D640C">
        <w:t xml:space="preserve"> </w:t>
      </w:r>
      <w:r w:rsidRPr="00BB6220">
        <w:t>experiences.</w:t>
      </w:r>
    </w:p>
    <w:p w14:paraId="6F360C15" w14:textId="6C3799CF" w:rsidR="00DB6CB6" w:rsidRPr="00B97546" w:rsidRDefault="00A21824" w:rsidP="002C6363">
      <w:pPr>
        <w:pStyle w:val="Heading3"/>
      </w:pPr>
      <w:bookmarkStart w:id="419" w:name="_Toc167780650"/>
      <w:bookmarkStart w:id="420" w:name="_Toc153786767"/>
      <w:bookmarkStart w:id="421" w:name="_Toc174628712"/>
      <w:bookmarkStart w:id="422" w:name="_Toc138325193"/>
      <w:bookmarkStart w:id="423" w:name="_Toc138343850"/>
      <w:r w:rsidRPr="00BB6220">
        <w:t>Support</w:t>
      </w:r>
      <w:r w:rsidR="003D640C">
        <w:t xml:space="preserve"> </w:t>
      </w:r>
      <w:r w:rsidRPr="00BB6220">
        <w:t>for</w:t>
      </w:r>
      <w:r w:rsidR="003D640C">
        <w:t xml:space="preserve"> </w:t>
      </w:r>
      <w:r w:rsidRPr="00BB6220">
        <w:t>South</w:t>
      </w:r>
      <w:r w:rsidR="003D640C">
        <w:t xml:space="preserve"> </w:t>
      </w:r>
      <w:r w:rsidRPr="00BB6220">
        <w:t>Asian</w:t>
      </w:r>
      <w:r w:rsidR="003D640C">
        <w:t xml:space="preserve"> </w:t>
      </w:r>
      <w:r w:rsidRPr="00BB6220">
        <w:t>and</w:t>
      </w:r>
      <w:r w:rsidR="003D640C">
        <w:t xml:space="preserve"> </w:t>
      </w:r>
      <w:r w:rsidRPr="00BB6220">
        <w:t>other</w:t>
      </w:r>
      <w:r w:rsidR="003D640C">
        <w:t xml:space="preserve"> </w:t>
      </w:r>
      <w:r w:rsidRPr="00BB6220">
        <w:t>diverse</w:t>
      </w:r>
      <w:r w:rsidR="003D640C">
        <w:t xml:space="preserve"> </w:t>
      </w:r>
      <w:r w:rsidRPr="00BB6220">
        <w:t>ethnic</w:t>
      </w:r>
      <w:r w:rsidR="003D640C">
        <w:t xml:space="preserve"> </w:t>
      </w:r>
      <w:r w:rsidRPr="00BB6220">
        <w:t>communities</w:t>
      </w:r>
      <w:bookmarkEnd w:id="419"/>
      <w:bookmarkEnd w:id="420"/>
      <w:bookmarkEnd w:id="421"/>
    </w:p>
    <w:p w14:paraId="3FB99791" w14:textId="1D7FA9E5" w:rsidR="00DB6CB6" w:rsidRDefault="7925E653" w:rsidP="009032B9">
      <w:r w:rsidRPr="30ECBFB6">
        <w:t>The</w:t>
      </w:r>
      <w:r w:rsidR="003D640C">
        <w:t xml:space="preserve"> </w:t>
      </w:r>
      <w:r w:rsidRPr="30ECBFB6">
        <w:t>following</w:t>
      </w:r>
      <w:r w:rsidR="003D640C">
        <w:t xml:space="preserve"> </w:t>
      </w:r>
      <w:r w:rsidRPr="30ECBFB6">
        <w:t>advice</w:t>
      </w:r>
      <w:r w:rsidR="003D640C">
        <w:t xml:space="preserve"> </w:t>
      </w:r>
      <w:r w:rsidRPr="30ECBFB6">
        <w:t>has</w:t>
      </w:r>
      <w:r w:rsidR="003D640C">
        <w:t xml:space="preserve"> </w:t>
      </w:r>
      <w:r w:rsidRPr="30ECBFB6">
        <w:t>been</w:t>
      </w:r>
      <w:r w:rsidR="003D640C">
        <w:t xml:space="preserve"> </w:t>
      </w:r>
      <w:r w:rsidRPr="30ECBFB6">
        <w:t>discussed</w:t>
      </w:r>
      <w:r w:rsidR="003D640C">
        <w:t xml:space="preserve"> </w:t>
      </w:r>
      <w:r w:rsidRPr="30ECBFB6">
        <w:t>with</w:t>
      </w:r>
      <w:r w:rsidR="003D640C">
        <w:t xml:space="preserve"> </w:t>
      </w:r>
      <w:r w:rsidRPr="30ECBFB6">
        <w:t>ethnic</w:t>
      </w:r>
      <w:r w:rsidR="003D640C">
        <w:t xml:space="preserve"> </w:t>
      </w:r>
      <w:r w:rsidRPr="30ECBFB6">
        <w:t>Rainbow</w:t>
      </w:r>
      <w:r w:rsidR="003D640C">
        <w:t xml:space="preserve"> </w:t>
      </w:r>
      <w:r w:rsidRPr="30ECBFB6">
        <w:t>survivors</w:t>
      </w:r>
      <w:r w:rsidR="003D640C">
        <w:t xml:space="preserve"> </w:t>
      </w:r>
      <w:r w:rsidRPr="30ECBFB6">
        <w:t>of</w:t>
      </w:r>
      <w:r w:rsidR="003D640C">
        <w:t xml:space="preserve"> </w:t>
      </w:r>
      <w:r w:rsidRPr="30ECBFB6">
        <w:t>conversion</w:t>
      </w:r>
      <w:r w:rsidR="003D640C">
        <w:t xml:space="preserve"> </w:t>
      </w:r>
      <w:r w:rsidRPr="30ECBFB6">
        <w:t>practices.</w:t>
      </w:r>
      <w:r w:rsidR="003D640C">
        <w:t xml:space="preserve"> </w:t>
      </w:r>
      <w:r w:rsidRPr="30ECBFB6">
        <w:t>They</w:t>
      </w:r>
      <w:r w:rsidR="003D640C">
        <w:t xml:space="preserve"> </w:t>
      </w:r>
      <w:r w:rsidRPr="30ECBFB6">
        <w:t>draw</w:t>
      </w:r>
      <w:r w:rsidR="003D640C">
        <w:t xml:space="preserve"> </w:t>
      </w:r>
      <w:r w:rsidRPr="30ECBFB6">
        <w:t>on</w:t>
      </w:r>
      <w:r w:rsidR="003D640C">
        <w:t xml:space="preserve"> </w:t>
      </w:r>
      <w:r w:rsidRPr="30ECBFB6">
        <w:t>a</w:t>
      </w:r>
      <w:r w:rsidR="003D640C">
        <w:t xml:space="preserve"> </w:t>
      </w:r>
      <w:r w:rsidRPr="30ECBFB6">
        <w:t>combination</w:t>
      </w:r>
      <w:r w:rsidR="003D640C">
        <w:t xml:space="preserve"> </w:t>
      </w:r>
      <w:r w:rsidRPr="30ECBFB6">
        <w:t>of</w:t>
      </w:r>
      <w:r w:rsidR="003D640C">
        <w:t xml:space="preserve"> </w:t>
      </w:r>
      <w:r w:rsidRPr="30ECBFB6">
        <w:t>pre-colonial</w:t>
      </w:r>
      <w:r w:rsidR="003D640C">
        <w:t xml:space="preserve"> </w:t>
      </w:r>
      <w:r w:rsidRPr="30ECBFB6">
        <w:t>cultural</w:t>
      </w:r>
      <w:r w:rsidR="003D640C">
        <w:t xml:space="preserve"> </w:t>
      </w:r>
      <w:r w:rsidRPr="30ECBFB6">
        <w:t>practices</w:t>
      </w:r>
      <w:r w:rsidR="003D640C">
        <w:t xml:space="preserve"> </w:t>
      </w:r>
      <w:r w:rsidRPr="30ECBFB6">
        <w:t>that</w:t>
      </w:r>
      <w:r w:rsidR="003D640C">
        <w:t xml:space="preserve"> </w:t>
      </w:r>
      <w:r w:rsidRPr="30ECBFB6">
        <w:t>promote</w:t>
      </w:r>
      <w:r w:rsidR="003D640C">
        <w:t xml:space="preserve"> </w:t>
      </w:r>
      <w:r w:rsidRPr="30ECBFB6">
        <w:t>acceptance</w:t>
      </w:r>
      <w:r w:rsidR="003D640C">
        <w:t xml:space="preserve"> </w:t>
      </w:r>
      <w:r w:rsidRPr="30ECBFB6">
        <w:t>for</w:t>
      </w:r>
      <w:r w:rsidR="003D640C">
        <w:t xml:space="preserve"> </w:t>
      </w:r>
      <w:r w:rsidRPr="30ECBFB6">
        <w:t>Rainbow</w:t>
      </w:r>
      <w:r w:rsidR="003D640C">
        <w:t xml:space="preserve"> </w:t>
      </w:r>
      <w:r w:rsidRPr="30ECBFB6">
        <w:t>identities,</w:t>
      </w:r>
      <w:r w:rsidR="003D640C">
        <w:t xml:space="preserve"> </w:t>
      </w:r>
      <w:r w:rsidRPr="30ECBFB6">
        <w:t>as</w:t>
      </w:r>
      <w:r w:rsidR="003D640C">
        <w:t xml:space="preserve"> </w:t>
      </w:r>
      <w:r w:rsidRPr="30ECBFB6">
        <w:t>well</w:t>
      </w:r>
      <w:r w:rsidR="003D640C">
        <w:t xml:space="preserve"> </w:t>
      </w:r>
      <w:r w:rsidRPr="30ECBFB6">
        <w:t>as</w:t>
      </w:r>
      <w:r w:rsidR="003D640C">
        <w:t xml:space="preserve"> </w:t>
      </w:r>
      <w:r w:rsidRPr="30ECBFB6">
        <w:t>community-relevant</w:t>
      </w:r>
      <w:r w:rsidR="003D640C">
        <w:t xml:space="preserve"> </w:t>
      </w:r>
      <w:r w:rsidRPr="30ECBFB6">
        <w:t>channels</w:t>
      </w:r>
      <w:r w:rsidR="003D640C">
        <w:t xml:space="preserve"> </w:t>
      </w:r>
      <w:r w:rsidRPr="30ECBFB6">
        <w:t>and</w:t>
      </w:r>
      <w:r w:rsidR="003D640C">
        <w:t xml:space="preserve"> </w:t>
      </w:r>
      <w:r w:rsidRPr="30ECBFB6">
        <w:t>strategies</w:t>
      </w:r>
      <w:r w:rsidR="003D640C">
        <w:t xml:space="preserve"> </w:t>
      </w:r>
      <w:r w:rsidRPr="30ECBFB6">
        <w:t>that</w:t>
      </w:r>
      <w:r w:rsidR="003D640C">
        <w:t xml:space="preserve"> </w:t>
      </w:r>
      <w:r w:rsidRPr="30ECBFB6">
        <w:t>allow</w:t>
      </w:r>
      <w:r w:rsidR="003D640C">
        <w:t xml:space="preserve"> </w:t>
      </w:r>
      <w:r w:rsidRPr="30ECBFB6">
        <w:t>for</w:t>
      </w:r>
      <w:r w:rsidR="003D640C">
        <w:t xml:space="preserve"> </w:t>
      </w:r>
      <w:r w:rsidRPr="30ECBFB6">
        <w:t>educative</w:t>
      </w:r>
      <w:r w:rsidR="003D640C">
        <w:t xml:space="preserve"> </w:t>
      </w:r>
      <w:r w:rsidRPr="30ECBFB6">
        <w:t>discussions.</w:t>
      </w:r>
      <w:r w:rsidR="003D640C">
        <w:t xml:space="preserve"> </w:t>
      </w:r>
      <w:r w:rsidR="5A1DF7A2" w:rsidRPr="30ECBFB6">
        <w:t>We</w:t>
      </w:r>
      <w:r w:rsidR="003D640C">
        <w:t xml:space="preserve"> </w:t>
      </w:r>
      <w:r w:rsidR="5A1DF7A2" w:rsidRPr="30ECBFB6">
        <w:t>encourage</w:t>
      </w:r>
      <w:r w:rsidR="003D640C">
        <w:t xml:space="preserve"> </w:t>
      </w:r>
      <w:r w:rsidR="5A1DF7A2" w:rsidRPr="30ECBFB6">
        <w:t>diverse</w:t>
      </w:r>
      <w:r w:rsidR="003D640C">
        <w:t xml:space="preserve"> </w:t>
      </w:r>
      <w:r w:rsidR="5A1DF7A2" w:rsidRPr="30ECBFB6">
        <w:t>ethnic</w:t>
      </w:r>
      <w:r w:rsidR="003D640C">
        <w:t xml:space="preserve"> </w:t>
      </w:r>
      <w:r w:rsidR="5A1DF7A2" w:rsidRPr="30ECBFB6">
        <w:t>communities</w:t>
      </w:r>
      <w:r w:rsidR="003D640C">
        <w:t xml:space="preserve"> </w:t>
      </w:r>
      <w:r w:rsidR="5A1DF7A2" w:rsidRPr="30ECBFB6">
        <w:t>to</w:t>
      </w:r>
      <w:r w:rsidR="003D640C">
        <w:t xml:space="preserve"> </w:t>
      </w:r>
      <w:r w:rsidR="5A1DF7A2" w:rsidRPr="30ECBFB6">
        <w:t>accept</w:t>
      </w:r>
      <w:r w:rsidR="003D640C">
        <w:t xml:space="preserve"> </w:t>
      </w:r>
      <w:r w:rsidR="5A1DF7A2" w:rsidRPr="30ECBFB6">
        <w:t>and</w:t>
      </w:r>
      <w:r w:rsidR="003D640C">
        <w:t xml:space="preserve"> </w:t>
      </w:r>
      <w:r w:rsidR="5A1DF7A2" w:rsidRPr="30ECBFB6">
        <w:t>embrace</w:t>
      </w:r>
      <w:r w:rsidR="003D640C">
        <w:t xml:space="preserve"> </w:t>
      </w:r>
      <w:r w:rsidR="5A1DF7A2" w:rsidRPr="30ECBFB6">
        <w:t>their</w:t>
      </w:r>
      <w:r w:rsidR="003D640C">
        <w:t xml:space="preserve"> </w:t>
      </w:r>
      <w:r w:rsidR="5A1DF7A2" w:rsidRPr="30ECBFB6">
        <w:t>Rainbow</w:t>
      </w:r>
      <w:r w:rsidR="003D640C">
        <w:t xml:space="preserve"> </w:t>
      </w:r>
      <w:r w:rsidR="5A1DF7A2" w:rsidRPr="30ECBFB6">
        <w:t>community</w:t>
      </w:r>
      <w:r w:rsidR="003D640C">
        <w:t xml:space="preserve"> </w:t>
      </w:r>
      <w:r w:rsidR="5A1DF7A2" w:rsidRPr="30ECBFB6">
        <w:t>members.</w:t>
      </w:r>
      <w:r w:rsidR="003D640C">
        <w:t xml:space="preserve"> </w:t>
      </w:r>
      <w:r w:rsidRPr="30ECBFB6">
        <w:t>We</w:t>
      </w:r>
      <w:r w:rsidR="003D640C">
        <w:t xml:space="preserve"> </w:t>
      </w:r>
      <w:r w:rsidRPr="30ECBFB6">
        <w:t>suggest</w:t>
      </w:r>
      <w:r w:rsidR="003D640C">
        <w:t xml:space="preserve"> </w:t>
      </w:r>
      <w:r w:rsidRPr="30ECBFB6">
        <w:t>that</w:t>
      </w:r>
      <w:r w:rsidR="003D640C">
        <w:t xml:space="preserve"> </w:t>
      </w:r>
      <w:r w:rsidRPr="30ECBFB6">
        <w:t>community</w:t>
      </w:r>
      <w:r w:rsidR="003D640C">
        <w:t xml:space="preserve"> </w:t>
      </w:r>
      <w:r w:rsidRPr="30ECBFB6">
        <w:t>leaders</w:t>
      </w:r>
      <w:r w:rsidR="003D640C">
        <w:t xml:space="preserve"> </w:t>
      </w:r>
      <w:r w:rsidRPr="30ECBFB6">
        <w:t>or</w:t>
      </w:r>
      <w:r w:rsidR="003D640C">
        <w:t xml:space="preserve"> </w:t>
      </w:r>
      <w:r w:rsidRPr="30ECBFB6">
        <w:t>those</w:t>
      </w:r>
      <w:r w:rsidR="003D640C">
        <w:t xml:space="preserve"> </w:t>
      </w:r>
      <w:r w:rsidRPr="30ECBFB6">
        <w:t>working</w:t>
      </w:r>
      <w:r w:rsidR="003D640C">
        <w:t xml:space="preserve"> </w:t>
      </w:r>
      <w:r w:rsidRPr="30ECBFB6">
        <w:t>with</w:t>
      </w:r>
      <w:r w:rsidR="003D640C">
        <w:t xml:space="preserve"> </w:t>
      </w:r>
      <w:r w:rsidRPr="30ECBFB6">
        <w:t>ethnic</w:t>
      </w:r>
      <w:r w:rsidR="003D640C">
        <w:t xml:space="preserve"> </w:t>
      </w:r>
      <w:r w:rsidRPr="30ECBFB6">
        <w:t>communities</w:t>
      </w:r>
      <w:r w:rsidR="003D640C">
        <w:t xml:space="preserve"> </w:t>
      </w:r>
      <w:r w:rsidR="05AEAD63" w:rsidRPr="30ECBFB6">
        <w:t>must</w:t>
      </w:r>
      <w:r w:rsidR="003D640C">
        <w:t xml:space="preserve"> </w:t>
      </w:r>
      <w:r w:rsidR="408BCC2F" w:rsidRPr="30ECBFB6">
        <w:t>work</w:t>
      </w:r>
      <w:r w:rsidR="003D640C">
        <w:t xml:space="preserve"> </w:t>
      </w:r>
      <w:r w:rsidRPr="30ECBFB6">
        <w:t>to</w:t>
      </w:r>
      <w:r w:rsidR="003D640C">
        <w:t xml:space="preserve"> </w:t>
      </w:r>
      <w:r w:rsidRPr="30ECBFB6">
        <w:t>eliminate</w:t>
      </w:r>
      <w:r w:rsidR="003D640C">
        <w:t xml:space="preserve"> </w:t>
      </w:r>
      <w:r w:rsidRPr="30ECBFB6">
        <w:t>conversion</w:t>
      </w:r>
      <w:r w:rsidR="003D640C">
        <w:t xml:space="preserve"> </w:t>
      </w:r>
      <w:r w:rsidRPr="30ECBFB6">
        <w:t>practices</w:t>
      </w:r>
      <w:r w:rsidR="003D640C">
        <w:t xml:space="preserve"> </w:t>
      </w:r>
      <w:r w:rsidR="408BCC2F" w:rsidRPr="30ECBFB6">
        <w:t>if</w:t>
      </w:r>
      <w:r w:rsidR="003D640C">
        <w:t xml:space="preserve"> </w:t>
      </w:r>
      <w:r w:rsidR="408BCC2F" w:rsidRPr="30ECBFB6">
        <w:t>they</w:t>
      </w:r>
      <w:r w:rsidR="003D640C">
        <w:t xml:space="preserve"> </w:t>
      </w:r>
      <w:r w:rsidR="408BCC2F" w:rsidRPr="30ECBFB6">
        <w:t>occur</w:t>
      </w:r>
      <w:r w:rsidR="73E196CB" w:rsidRPr="30ECBFB6">
        <w:t>.</w:t>
      </w:r>
      <w:r w:rsidR="003D640C">
        <w:t xml:space="preserve"> </w:t>
      </w:r>
      <w:r w:rsidR="05AEAD63" w:rsidRPr="30ECBFB6">
        <w:t>Those</w:t>
      </w:r>
      <w:r w:rsidR="003D640C">
        <w:t xml:space="preserve"> </w:t>
      </w:r>
      <w:r w:rsidR="05AEAD63" w:rsidRPr="30ECBFB6">
        <w:t>in</w:t>
      </w:r>
      <w:r w:rsidR="003D640C">
        <w:t xml:space="preserve"> </w:t>
      </w:r>
      <w:r w:rsidR="05AEAD63" w:rsidRPr="30ECBFB6">
        <w:t>leadership</w:t>
      </w:r>
      <w:r w:rsidR="003D640C">
        <w:t xml:space="preserve"> </w:t>
      </w:r>
      <w:r w:rsidR="05AEAD63" w:rsidRPr="30ECBFB6">
        <w:t>roles</w:t>
      </w:r>
      <w:r w:rsidR="003D640C">
        <w:t xml:space="preserve"> </w:t>
      </w:r>
      <w:r w:rsidRPr="30ECBFB6">
        <w:t>should</w:t>
      </w:r>
      <w:r w:rsidR="003D640C">
        <w:t xml:space="preserve"> </w:t>
      </w:r>
      <w:r w:rsidRPr="30ECBFB6">
        <w:t>also</w:t>
      </w:r>
      <w:r w:rsidR="003D640C">
        <w:t xml:space="preserve"> </w:t>
      </w:r>
      <w:r w:rsidRPr="30ECBFB6">
        <w:t>read</w:t>
      </w:r>
      <w:r w:rsidR="003D640C">
        <w:t xml:space="preserve"> </w:t>
      </w:r>
      <w:r w:rsidRPr="30ECBFB6">
        <w:t>and</w:t>
      </w:r>
      <w:r w:rsidR="003D640C">
        <w:t xml:space="preserve"> </w:t>
      </w:r>
      <w:r w:rsidRPr="30ECBFB6">
        <w:t>apply</w:t>
      </w:r>
      <w:r w:rsidR="003D640C">
        <w:t xml:space="preserve"> </w:t>
      </w:r>
      <w:r w:rsidRPr="30ECBFB6">
        <w:t>where</w:t>
      </w:r>
      <w:r w:rsidR="003D640C">
        <w:t xml:space="preserve"> </w:t>
      </w:r>
      <w:r w:rsidRPr="30ECBFB6">
        <w:t>relevant</w:t>
      </w:r>
      <w:r w:rsidR="003D640C">
        <w:t xml:space="preserve"> </w:t>
      </w:r>
      <w:r w:rsidRPr="30ECBFB6">
        <w:t>recommendations</w:t>
      </w:r>
      <w:r w:rsidR="003D640C">
        <w:t xml:space="preserve"> </w:t>
      </w:r>
      <w:r w:rsidRPr="30ECBFB6">
        <w:t>from</w:t>
      </w:r>
      <w:r w:rsidR="003D640C">
        <w:t xml:space="preserve"> </w:t>
      </w:r>
      <w:r w:rsidRPr="30ECBFB6">
        <w:t>the</w:t>
      </w:r>
      <w:r w:rsidR="003D640C">
        <w:t xml:space="preserve"> </w:t>
      </w:r>
      <w:r w:rsidRPr="30ECBFB6">
        <w:t>previous</w:t>
      </w:r>
      <w:r w:rsidR="003D640C">
        <w:t xml:space="preserve"> </w:t>
      </w:r>
      <w:r w:rsidRPr="30ECBFB6">
        <w:t>two</w:t>
      </w:r>
      <w:r w:rsidR="003D640C">
        <w:t xml:space="preserve"> </w:t>
      </w:r>
      <w:r w:rsidRPr="30ECBFB6">
        <w:t>sections</w:t>
      </w:r>
      <w:r w:rsidR="003D640C">
        <w:t xml:space="preserve"> </w:t>
      </w:r>
      <w:r w:rsidRPr="30ECBFB6">
        <w:t>for</w:t>
      </w:r>
      <w:r w:rsidR="003D640C">
        <w:t xml:space="preserve"> </w:t>
      </w:r>
      <w:r w:rsidRPr="30ECBFB6">
        <w:t>Māori</w:t>
      </w:r>
      <w:r w:rsidR="003D640C">
        <w:t xml:space="preserve"> </w:t>
      </w:r>
      <w:r w:rsidRPr="30ECBFB6">
        <w:t>and</w:t>
      </w:r>
      <w:r w:rsidR="003D640C">
        <w:t xml:space="preserve"> </w:t>
      </w:r>
      <w:r w:rsidRPr="30ECBFB6">
        <w:t>Pacific</w:t>
      </w:r>
      <w:r w:rsidR="003D640C">
        <w:t xml:space="preserve"> </w:t>
      </w:r>
      <w:r w:rsidRPr="30ECBFB6">
        <w:t>survivors.</w:t>
      </w:r>
      <w:r w:rsidR="003D640C">
        <w:t xml:space="preserve"> </w:t>
      </w:r>
    </w:p>
    <w:p w14:paraId="428351D1" w14:textId="3F044B47" w:rsidR="00B97546" w:rsidRPr="00993640" w:rsidRDefault="006A48D6" w:rsidP="009032B9">
      <w:r>
        <w:t>We heard a</w:t>
      </w:r>
      <w:r w:rsidR="00B97546">
        <w:t>dvice</w:t>
      </w:r>
      <w:r w:rsidR="003D640C">
        <w:t xml:space="preserve"> </w:t>
      </w:r>
      <w:r w:rsidR="0067447E">
        <w:t xml:space="preserve">about this </w:t>
      </w:r>
      <w:r w:rsidR="00B97546">
        <w:t>from</w:t>
      </w:r>
      <w:r w:rsidR="003D640C">
        <w:t xml:space="preserve"> </w:t>
      </w:r>
      <w:r w:rsidR="00B97546">
        <w:t>ethnic</w:t>
      </w:r>
      <w:r w:rsidR="003D640C">
        <w:t xml:space="preserve"> </w:t>
      </w:r>
      <w:r w:rsidR="00B97546">
        <w:t>Rainbow</w:t>
      </w:r>
      <w:r w:rsidR="003D640C">
        <w:t xml:space="preserve"> </w:t>
      </w:r>
      <w:r w:rsidR="00B97546">
        <w:t>survivors</w:t>
      </w:r>
      <w:r>
        <w:t>.</w:t>
      </w:r>
    </w:p>
    <w:p w14:paraId="0B4DC796" w14:textId="3BBAFD6A" w:rsidR="00501068" w:rsidRDefault="00DB6CB6" w:rsidP="005B33A1">
      <w:r>
        <w:t>Learning</w:t>
      </w:r>
      <w:r w:rsidR="003D640C">
        <w:t xml:space="preserve"> </w:t>
      </w:r>
      <w:r>
        <w:t>about,</w:t>
      </w:r>
      <w:r w:rsidR="003D640C">
        <w:t xml:space="preserve"> </w:t>
      </w:r>
      <w:r>
        <w:t>t</w:t>
      </w:r>
      <w:r w:rsidRPr="00993640">
        <w:t>eaching</w:t>
      </w:r>
      <w:r w:rsidR="00643E20">
        <w:t>,</w:t>
      </w:r>
      <w:r w:rsidR="003D640C">
        <w:t xml:space="preserve"> </w:t>
      </w:r>
      <w:r w:rsidRPr="00993640">
        <w:t>and</w:t>
      </w:r>
      <w:r w:rsidR="003D640C">
        <w:t xml:space="preserve"> </w:t>
      </w:r>
      <w:r w:rsidRPr="00993640">
        <w:t>celebrating</w:t>
      </w:r>
      <w:r w:rsidR="003D640C">
        <w:t xml:space="preserve"> </w:t>
      </w:r>
      <w:r w:rsidRPr="00993640">
        <w:t>the</w:t>
      </w:r>
      <w:r w:rsidR="003D640C">
        <w:t xml:space="preserve"> </w:t>
      </w:r>
      <w:r w:rsidRPr="00993640">
        <w:t>existence</w:t>
      </w:r>
      <w:r w:rsidR="003D640C">
        <w:t xml:space="preserve"> </w:t>
      </w:r>
      <w:r w:rsidRPr="00993640">
        <w:t>of</w:t>
      </w:r>
      <w:r w:rsidR="003D640C">
        <w:t xml:space="preserve"> </w:t>
      </w:r>
      <w:r w:rsidRPr="00993640">
        <w:t>diverse</w:t>
      </w:r>
      <w:r w:rsidR="003D640C">
        <w:t xml:space="preserve"> </w:t>
      </w:r>
      <w:r>
        <w:t>R</w:t>
      </w:r>
      <w:r w:rsidRPr="00993640">
        <w:t>ainbow</w:t>
      </w:r>
      <w:r w:rsidR="003D640C">
        <w:t xml:space="preserve"> </w:t>
      </w:r>
      <w:r w:rsidRPr="00993640">
        <w:t>identities,</w:t>
      </w:r>
      <w:r w:rsidR="003D640C">
        <w:t xml:space="preserve"> </w:t>
      </w:r>
      <w:r w:rsidRPr="00993640">
        <w:t>prior</w:t>
      </w:r>
      <w:r w:rsidR="003D640C">
        <w:t xml:space="preserve"> </w:t>
      </w:r>
      <w:r w:rsidRPr="00993640">
        <w:t>to</w:t>
      </w:r>
      <w:r w:rsidR="003D640C">
        <w:t xml:space="preserve"> </w:t>
      </w:r>
      <w:r w:rsidRPr="00993640">
        <w:t>colonisation,</w:t>
      </w:r>
      <w:r w:rsidR="003D640C">
        <w:t xml:space="preserve"> </w:t>
      </w:r>
      <w:r w:rsidRPr="00993640">
        <w:t>is</w:t>
      </w:r>
      <w:r w:rsidR="003D640C">
        <w:t xml:space="preserve"> </w:t>
      </w:r>
      <w:r w:rsidRPr="00993640">
        <w:t>a</w:t>
      </w:r>
      <w:r w:rsidR="003D640C">
        <w:t xml:space="preserve"> </w:t>
      </w:r>
      <w:r w:rsidRPr="00993640">
        <w:t>chance</w:t>
      </w:r>
      <w:r w:rsidR="003D640C">
        <w:t xml:space="preserve"> </w:t>
      </w:r>
      <w:r w:rsidRPr="00993640">
        <w:t>for</w:t>
      </w:r>
      <w:r w:rsidR="003D640C">
        <w:t xml:space="preserve"> </w:t>
      </w:r>
      <w:r w:rsidRPr="00993640">
        <w:t>ethnic</w:t>
      </w:r>
      <w:r w:rsidR="003D640C">
        <w:t xml:space="preserve"> </w:t>
      </w:r>
      <w:r w:rsidRPr="00993640">
        <w:t>communities</w:t>
      </w:r>
      <w:r w:rsidR="003D640C">
        <w:t xml:space="preserve"> </w:t>
      </w:r>
      <w:r w:rsidRPr="00993640">
        <w:t>to</w:t>
      </w:r>
      <w:r w:rsidR="003D640C">
        <w:t xml:space="preserve"> </w:t>
      </w:r>
      <w:r w:rsidRPr="00993640">
        <w:t>revive</w:t>
      </w:r>
      <w:r w:rsidR="003D640C">
        <w:t xml:space="preserve"> </w:t>
      </w:r>
      <w:r w:rsidRPr="00993640">
        <w:t>these</w:t>
      </w:r>
      <w:r w:rsidR="003D640C">
        <w:t xml:space="preserve"> </w:t>
      </w:r>
      <w:r w:rsidRPr="00993640">
        <w:t>unique</w:t>
      </w:r>
      <w:r w:rsidR="003D640C">
        <w:t xml:space="preserve"> </w:t>
      </w:r>
      <w:r w:rsidRPr="00993640">
        <w:t>histories</w:t>
      </w:r>
      <w:r w:rsidR="003D640C">
        <w:t xml:space="preserve"> </w:t>
      </w:r>
      <w:r w:rsidRPr="00993640">
        <w:t>through</w:t>
      </w:r>
      <w:r w:rsidR="003D640C">
        <w:t xml:space="preserve"> </w:t>
      </w:r>
      <w:r w:rsidRPr="00993640">
        <w:t>storytelling</w:t>
      </w:r>
      <w:r w:rsidR="003D640C">
        <w:t xml:space="preserve"> </w:t>
      </w:r>
      <w:r w:rsidRPr="00993640">
        <w:t>and</w:t>
      </w:r>
      <w:r w:rsidR="003D640C">
        <w:t xml:space="preserve"> </w:t>
      </w:r>
      <w:r w:rsidRPr="00993640">
        <w:t>advocacy.</w:t>
      </w:r>
      <w:r w:rsidR="003D640C">
        <w:t xml:space="preserve"> </w:t>
      </w:r>
      <w:r w:rsidRPr="00993640">
        <w:t>This</w:t>
      </w:r>
      <w:r w:rsidR="003D640C">
        <w:t xml:space="preserve"> </w:t>
      </w:r>
      <w:r w:rsidRPr="00993640">
        <w:t>would</w:t>
      </w:r>
      <w:r w:rsidR="003D640C">
        <w:t xml:space="preserve"> </w:t>
      </w:r>
      <w:r w:rsidRPr="00993640">
        <w:t>bring</w:t>
      </w:r>
      <w:r w:rsidR="003D640C">
        <w:t xml:space="preserve"> </w:t>
      </w:r>
      <w:r w:rsidRPr="00993640">
        <w:t>a</w:t>
      </w:r>
      <w:r w:rsidR="003D640C">
        <w:t xml:space="preserve"> </w:t>
      </w:r>
      <w:r w:rsidRPr="00993640">
        <w:t>greater</w:t>
      </w:r>
      <w:r w:rsidR="003D640C">
        <w:t xml:space="preserve"> </w:t>
      </w:r>
      <w:r w:rsidRPr="00993640">
        <w:t>sense</w:t>
      </w:r>
      <w:r w:rsidR="003D640C">
        <w:t xml:space="preserve"> </w:t>
      </w:r>
      <w:r w:rsidRPr="00993640">
        <w:t>of</w:t>
      </w:r>
      <w:r w:rsidR="003D640C">
        <w:t xml:space="preserve"> </w:t>
      </w:r>
      <w:r w:rsidRPr="00993640">
        <w:t>pride,</w:t>
      </w:r>
      <w:r w:rsidR="003D640C">
        <w:t xml:space="preserve"> </w:t>
      </w:r>
      <w:r w:rsidRPr="00993640">
        <w:t>belonging</w:t>
      </w:r>
      <w:r w:rsidR="003D640C">
        <w:t xml:space="preserve"> </w:t>
      </w:r>
      <w:r w:rsidRPr="00993640">
        <w:t>and</w:t>
      </w:r>
      <w:r w:rsidR="003D640C">
        <w:t xml:space="preserve"> </w:t>
      </w:r>
      <w:r w:rsidRPr="00993640">
        <w:t>empowerment</w:t>
      </w:r>
      <w:r w:rsidR="003D640C">
        <w:t xml:space="preserve"> </w:t>
      </w:r>
      <w:r w:rsidRPr="00993640">
        <w:t>to</w:t>
      </w:r>
      <w:r w:rsidR="003D640C">
        <w:t xml:space="preserve"> </w:t>
      </w:r>
      <w:r w:rsidRPr="00993640">
        <w:t>ethnic</w:t>
      </w:r>
      <w:r w:rsidR="003D640C">
        <w:t xml:space="preserve"> </w:t>
      </w:r>
      <w:r>
        <w:t>R</w:t>
      </w:r>
      <w:r w:rsidRPr="00993640">
        <w:t>ainbow</w:t>
      </w:r>
      <w:r w:rsidR="003D640C">
        <w:t xml:space="preserve"> </w:t>
      </w:r>
      <w:r w:rsidRPr="00993640">
        <w:t>communities.</w:t>
      </w:r>
      <w:r w:rsidR="003D640C">
        <w:t xml:space="preserve"> </w:t>
      </w:r>
    </w:p>
    <w:p w14:paraId="736D21BB" w14:textId="499918DF" w:rsidR="00501068" w:rsidRDefault="00DB6CB6" w:rsidP="009032B9">
      <w:pPr>
        <w:pStyle w:val="Quote"/>
        <w:rPr>
          <w:vertAlign w:val="superscript"/>
        </w:rPr>
      </w:pPr>
      <w:r w:rsidRPr="00993640">
        <w:t>“An</w:t>
      </w:r>
      <w:r w:rsidR="003D640C">
        <w:t xml:space="preserve"> </w:t>
      </w:r>
      <w:r w:rsidRPr="00993640">
        <w:t>example</w:t>
      </w:r>
      <w:r w:rsidR="003D640C">
        <w:t xml:space="preserve"> </w:t>
      </w:r>
      <w:r w:rsidRPr="00993640">
        <w:t>to</w:t>
      </w:r>
      <w:r w:rsidR="003D640C">
        <w:t xml:space="preserve"> </w:t>
      </w:r>
      <w:r w:rsidRPr="00993640">
        <w:t>tap</w:t>
      </w:r>
      <w:r w:rsidR="003D640C">
        <w:t xml:space="preserve"> </w:t>
      </w:r>
      <w:r w:rsidRPr="00993640">
        <w:t>into</w:t>
      </w:r>
      <w:r w:rsidR="003D640C">
        <w:t xml:space="preserve"> </w:t>
      </w:r>
      <w:r w:rsidRPr="00993640">
        <w:t>today,</w:t>
      </w:r>
      <w:r w:rsidR="003D640C">
        <w:t xml:space="preserve"> </w:t>
      </w:r>
      <w:r w:rsidRPr="00993640">
        <w:t>that</w:t>
      </w:r>
      <w:r w:rsidR="003D640C">
        <w:t xml:space="preserve"> </w:t>
      </w:r>
      <w:r w:rsidRPr="00993640">
        <w:t>is</w:t>
      </w:r>
      <w:r w:rsidR="003D640C">
        <w:t xml:space="preserve"> </w:t>
      </w:r>
      <w:r w:rsidRPr="00993640">
        <w:t>still</w:t>
      </w:r>
      <w:r w:rsidR="003D640C">
        <w:t xml:space="preserve"> </w:t>
      </w:r>
      <w:r w:rsidRPr="00993640">
        <w:t>inherently</w:t>
      </w:r>
      <w:r w:rsidR="003D640C">
        <w:t xml:space="preserve"> </w:t>
      </w:r>
      <w:r w:rsidRPr="00993640">
        <w:t>practised,</w:t>
      </w:r>
      <w:r w:rsidR="003D640C">
        <w:t xml:space="preserve"> </w:t>
      </w:r>
      <w:r w:rsidRPr="00993640">
        <w:t>is</w:t>
      </w:r>
      <w:r w:rsidR="003D640C">
        <w:t xml:space="preserve"> </w:t>
      </w:r>
      <w:r w:rsidRPr="00993640">
        <w:t>the</w:t>
      </w:r>
      <w:r w:rsidR="003D640C">
        <w:t xml:space="preserve"> </w:t>
      </w:r>
      <w:r w:rsidRPr="00993640">
        <w:t>traditional</w:t>
      </w:r>
      <w:r w:rsidR="003D640C">
        <w:t xml:space="preserve"> </w:t>
      </w:r>
      <w:r w:rsidRPr="00993640">
        <w:t>Kandyan</w:t>
      </w:r>
      <w:r w:rsidR="003D640C">
        <w:t xml:space="preserve"> </w:t>
      </w:r>
      <w:r w:rsidRPr="00993640">
        <w:t>dance</w:t>
      </w:r>
      <w:r w:rsidR="003D640C">
        <w:t xml:space="preserve"> </w:t>
      </w:r>
      <w:r w:rsidRPr="00993640">
        <w:t>of</w:t>
      </w:r>
      <w:r w:rsidR="003D640C">
        <w:t xml:space="preserve"> </w:t>
      </w:r>
      <w:r w:rsidRPr="00993640">
        <w:t>Sri</w:t>
      </w:r>
      <w:r w:rsidR="003D640C">
        <w:t xml:space="preserve"> </w:t>
      </w:r>
      <w:r w:rsidRPr="00993640">
        <w:t>Lanka.</w:t>
      </w:r>
      <w:r w:rsidR="003D640C">
        <w:t xml:space="preserve"> </w:t>
      </w:r>
      <w:r w:rsidRPr="00993640">
        <w:t>Most</w:t>
      </w:r>
      <w:r w:rsidR="003D640C">
        <w:t xml:space="preserve"> </w:t>
      </w:r>
      <w:r w:rsidRPr="00993640">
        <w:t>diaspora</w:t>
      </w:r>
      <w:r w:rsidR="003D640C">
        <w:t xml:space="preserve"> </w:t>
      </w:r>
      <w:r w:rsidRPr="00993640">
        <w:t>kids</w:t>
      </w:r>
      <w:r w:rsidR="003D640C">
        <w:t xml:space="preserve"> </w:t>
      </w:r>
      <w:r w:rsidRPr="00993640">
        <w:t>typically</w:t>
      </w:r>
      <w:r w:rsidR="003D640C">
        <w:t xml:space="preserve"> </w:t>
      </w:r>
      <w:r w:rsidRPr="00993640">
        <w:t>have</w:t>
      </w:r>
      <w:r w:rsidR="003D640C">
        <w:t xml:space="preserve"> </w:t>
      </w:r>
      <w:r w:rsidRPr="00993640">
        <w:t>a</w:t>
      </w:r>
      <w:r w:rsidR="003D640C">
        <w:t xml:space="preserve"> </w:t>
      </w:r>
      <w:r w:rsidRPr="00993640">
        <w:t>period</w:t>
      </w:r>
      <w:r w:rsidR="003D640C">
        <w:t xml:space="preserve"> </w:t>
      </w:r>
      <w:r w:rsidRPr="00993640">
        <w:t>of</w:t>
      </w:r>
      <w:r w:rsidR="003D640C">
        <w:t xml:space="preserve"> </w:t>
      </w:r>
      <w:r w:rsidRPr="00993640">
        <w:t>their</w:t>
      </w:r>
      <w:r w:rsidR="003D640C">
        <w:t xml:space="preserve"> </w:t>
      </w:r>
      <w:r w:rsidRPr="00993640">
        <w:t>life</w:t>
      </w:r>
      <w:r w:rsidR="003D640C">
        <w:t xml:space="preserve"> </w:t>
      </w:r>
      <w:r w:rsidRPr="00993640">
        <w:t>where</w:t>
      </w:r>
      <w:r w:rsidR="003D640C">
        <w:t xml:space="preserve"> </w:t>
      </w:r>
      <w:r w:rsidRPr="00993640">
        <w:t>they</w:t>
      </w:r>
      <w:r w:rsidR="003D640C">
        <w:t xml:space="preserve"> </w:t>
      </w:r>
      <w:r w:rsidRPr="00993640">
        <w:t>train</w:t>
      </w:r>
      <w:r w:rsidR="003D640C">
        <w:t xml:space="preserve"> </w:t>
      </w:r>
      <w:r w:rsidRPr="00993640">
        <w:t>in</w:t>
      </w:r>
      <w:r w:rsidR="003D640C">
        <w:t xml:space="preserve"> </w:t>
      </w:r>
      <w:r w:rsidRPr="00993640">
        <w:t>this</w:t>
      </w:r>
      <w:r w:rsidR="003D640C">
        <w:t xml:space="preserve"> </w:t>
      </w:r>
      <w:r w:rsidRPr="00993640">
        <w:t>art.</w:t>
      </w:r>
      <w:r w:rsidR="003D640C">
        <w:t xml:space="preserve"> </w:t>
      </w:r>
      <w:r w:rsidRPr="00993640">
        <w:t>This</w:t>
      </w:r>
      <w:r w:rsidR="003D640C">
        <w:t xml:space="preserve"> </w:t>
      </w:r>
      <w:r w:rsidRPr="00993640">
        <w:t>type</w:t>
      </w:r>
      <w:r w:rsidR="003D640C">
        <w:t xml:space="preserve"> </w:t>
      </w:r>
      <w:r w:rsidRPr="00993640">
        <w:t>of</w:t>
      </w:r>
      <w:r w:rsidR="003D640C">
        <w:t xml:space="preserve"> </w:t>
      </w:r>
      <w:r w:rsidRPr="00993640">
        <w:t>dance</w:t>
      </w:r>
      <w:r w:rsidR="003D640C">
        <w:t xml:space="preserve"> </w:t>
      </w:r>
      <w:r w:rsidRPr="00993640">
        <w:t>encourages</w:t>
      </w:r>
      <w:r w:rsidR="003D640C">
        <w:t xml:space="preserve"> </w:t>
      </w:r>
      <w:r w:rsidRPr="00993640">
        <w:t>you</w:t>
      </w:r>
      <w:r w:rsidR="003D640C">
        <w:t xml:space="preserve"> </w:t>
      </w:r>
      <w:r w:rsidRPr="00993640">
        <w:t>to</w:t>
      </w:r>
      <w:r w:rsidR="003D640C">
        <w:t xml:space="preserve"> </w:t>
      </w:r>
      <w:r w:rsidRPr="00993640">
        <w:t>move</w:t>
      </w:r>
      <w:r w:rsidR="003D640C">
        <w:t xml:space="preserve"> </w:t>
      </w:r>
      <w:r w:rsidRPr="00993640">
        <w:t>between</w:t>
      </w:r>
      <w:r w:rsidR="003D640C">
        <w:t xml:space="preserve"> </w:t>
      </w:r>
      <w:r w:rsidRPr="00993640">
        <w:t>gender</w:t>
      </w:r>
      <w:r w:rsidR="003D640C">
        <w:t xml:space="preserve"> </w:t>
      </w:r>
      <w:r w:rsidRPr="00993640">
        <w:t>roles</w:t>
      </w:r>
      <w:r w:rsidR="003D640C">
        <w:t xml:space="preserve"> </w:t>
      </w:r>
      <w:bookmarkStart w:id="424" w:name="_Int_vFaB3hja"/>
      <w:r w:rsidRPr="00993640">
        <w:t>and</w:t>
      </w:r>
      <w:r w:rsidR="003D640C">
        <w:t xml:space="preserve"> </w:t>
      </w:r>
      <w:r w:rsidRPr="00993640">
        <w:t>also</w:t>
      </w:r>
      <w:bookmarkEnd w:id="424"/>
      <w:r w:rsidR="003D640C">
        <w:t xml:space="preserve"> </w:t>
      </w:r>
      <w:r w:rsidRPr="00993640">
        <w:t>embody</w:t>
      </w:r>
      <w:r w:rsidR="003D640C">
        <w:t xml:space="preserve"> </w:t>
      </w:r>
      <w:r w:rsidRPr="00993640">
        <w:t>a</w:t>
      </w:r>
      <w:r w:rsidR="003D640C">
        <w:t xml:space="preserve"> </w:t>
      </w:r>
      <w:r w:rsidRPr="00993640">
        <w:t>third</w:t>
      </w:r>
      <w:r w:rsidR="003D640C">
        <w:t xml:space="preserve"> </w:t>
      </w:r>
      <w:r w:rsidRPr="00993640">
        <w:t>space</w:t>
      </w:r>
      <w:r w:rsidR="003D640C">
        <w:t xml:space="preserve"> </w:t>
      </w:r>
      <w:r w:rsidRPr="00993640">
        <w:t>where</w:t>
      </w:r>
      <w:r w:rsidR="003D640C">
        <w:t xml:space="preserve"> </w:t>
      </w:r>
      <w:r w:rsidRPr="00993640">
        <w:t>gender</w:t>
      </w:r>
      <w:r w:rsidR="003D640C">
        <w:t xml:space="preserve"> </w:t>
      </w:r>
      <w:r w:rsidRPr="00993640">
        <w:t>does</w:t>
      </w:r>
      <w:r w:rsidR="003D640C">
        <w:t xml:space="preserve"> </w:t>
      </w:r>
      <w:r w:rsidRPr="00993640">
        <w:t>not</w:t>
      </w:r>
      <w:r w:rsidR="003D640C">
        <w:t xml:space="preserve"> </w:t>
      </w:r>
      <w:r w:rsidRPr="00993640">
        <w:t>exist</w:t>
      </w:r>
      <w:r w:rsidR="003D640C">
        <w:t xml:space="preserve"> </w:t>
      </w:r>
      <w:r w:rsidRPr="00993640">
        <w:t>…</w:t>
      </w:r>
      <w:r w:rsidR="003D640C">
        <w:t xml:space="preserve"> </w:t>
      </w:r>
      <w:r w:rsidRPr="00993640">
        <w:t>The</w:t>
      </w:r>
      <w:r w:rsidR="003D640C">
        <w:t xml:space="preserve"> </w:t>
      </w:r>
      <w:r w:rsidRPr="00993640">
        <w:t>traditions</w:t>
      </w:r>
      <w:r w:rsidR="003D640C">
        <w:t xml:space="preserve"> </w:t>
      </w:r>
      <w:r w:rsidRPr="00993640">
        <w:t>and</w:t>
      </w:r>
      <w:r w:rsidR="003D640C">
        <w:t xml:space="preserve"> </w:t>
      </w:r>
      <w:r w:rsidRPr="00993640">
        <w:t>whakapapa</w:t>
      </w:r>
      <w:r w:rsidR="003D640C">
        <w:t xml:space="preserve"> </w:t>
      </w:r>
      <w:r w:rsidRPr="00993640">
        <w:t>are</w:t>
      </w:r>
      <w:r w:rsidR="003D640C">
        <w:t xml:space="preserve"> </w:t>
      </w:r>
      <w:r w:rsidRPr="00993640">
        <w:t>there,</w:t>
      </w:r>
      <w:r w:rsidR="003D640C">
        <w:t xml:space="preserve"> </w:t>
      </w:r>
      <w:r w:rsidRPr="00993640">
        <w:t>they</w:t>
      </w:r>
      <w:r w:rsidR="003D640C">
        <w:t xml:space="preserve"> </w:t>
      </w:r>
      <w:r w:rsidRPr="00993640">
        <w:t>just</w:t>
      </w:r>
      <w:r w:rsidR="003D640C">
        <w:t xml:space="preserve"> </w:t>
      </w:r>
      <w:r w:rsidRPr="00993640">
        <w:t>need</w:t>
      </w:r>
      <w:r w:rsidR="003D640C">
        <w:t xml:space="preserve"> </w:t>
      </w:r>
      <w:r w:rsidRPr="00993640">
        <w:t>to</w:t>
      </w:r>
      <w:r w:rsidR="003D640C">
        <w:t xml:space="preserve"> </w:t>
      </w:r>
      <w:r w:rsidRPr="00993640">
        <w:t>be</w:t>
      </w:r>
      <w:r w:rsidR="003D640C">
        <w:t xml:space="preserve"> </w:t>
      </w:r>
      <w:r w:rsidRPr="00993640">
        <w:t>wrangled</w:t>
      </w:r>
      <w:r w:rsidR="003D640C">
        <w:t xml:space="preserve"> </w:t>
      </w:r>
      <w:r w:rsidRPr="00993640">
        <w:t>out.</w:t>
      </w:r>
      <w:r w:rsidR="003D640C">
        <w:t xml:space="preserve"> </w:t>
      </w:r>
      <w:r w:rsidRPr="00993640">
        <w:t>Wrangled</w:t>
      </w:r>
      <w:r w:rsidR="003D640C">
        <w:t xml:space="preserve"> </w:t>
      </w:r>
      <w:r w:rsidRPr="00993640">
        <w:t>out</w:t>
      </w:r>
      <w:r w:rsidR="003D640C">
        <w:t xml:space="preserve"> </w:t>
      </w:r>
      <w:r w:rsidRPr="00993640">
        <w:t>for</w:t>
      </w:r>
      <w:r w:rsidR="003D640C">
        <w:t xml:space="preserve"> </w:t>
      </w:r>
      <w:r w:rsidRPr="00993640">
        <w:t>our</w:t>
      </w:r>
      <w:r w:rsidR="003D640C">
        <w:t xml:space="preserve"> </w:t>
      </w:r>
      <w:r w:rsidRPr="00993640">
        <w:t>people</w:t>
      </w:r>
      <w:r w:rsidR="003D640C">
        <w:t xml:space="preserve"> </w:t>
      </w:r>
      <w:r w:rsidRPr="00993640">
        <w:t>by</w:t>
      </w:r>
      <w:r w:rsidR="003D640C">
        <w:t xml:space="preserve"> </w:t>
      </w:r>
      <w:r w:rsidRPr="00993640">
        <w:t>our</w:t>
      </w:r>
      <w:r w:rsidR="003D640C">
        <w:t xml:space="preserve"> </w:t>
      </w:r>
      <w:r w:rsidRPr="00993640">
        <w:t>people.</w:t>
      </w:r>
      <w:r w:rsidR="003D640C">
        <w:t xml:space="preserve"> </w:t>
      </w:r>
      <w:r w:rsidRPr="00993640">
        <w:t>To</w:t>
      </w:r>
      <w:r w:rsidR="003D640C">
        <w:t xml:space="preserve"> </w:t>
      </w:r>
      <w:r w:rsidRPr="00993640">
        <w:t>awaken</w:t>
      </w:r>
      <w:r w:rsidR="003D640C">
        <w:t xml:space="preserve"> </w:t>
      </w:r>
      <w:r w:rsidRPr="00993640">
        <w:t>these</w:t>
      </w:r>
      <w:r w:rsidR="003D640C">
        <w:t xml:space="preserve"> </w:t>
      </w:r>
      <w:r w:rsidRPr="00993640">
        <w:t>narratives</w:t>
      </w:r>
      <w:r w:rsidR="00DC34ED">
        <w:t>,</w:t>
      </w:r>
      <w:r w:rsidR="003D640C">
        <w:t xml:space="preserve"> </w:t>
      </w:r>
      <w:r w:rsidRPr="00993640">
        <w:t>we</w:t>
      </w:r>
      <w:r w:rsidR="003D640C">
        <w:t xml:space="preserve"> </w:t>
      </w:r>
      <w:r w:rsidRPr="00993640">
        <w:t>need</w:t>
      </w:r>
      <w:r w:rsidR="003D640C">
        <w:t xml:space="preserve"> </w:t>
      </w:r>
      <w:r w:rsidRPr="00993640">
        <w:t>to</w:t>
      </w:r>
      <w:r w:rsidR="003D640C">
        <w:t xml:space="preserve"> </w:t>
      </w:r>
      <w:r w:rsidRPr="00993640">
        <w:t>tap</w:t>
      </w:r>
      <w:r w:rsidR="003D640C">
        <w:t xml:space="preserve"> </w:t>
      </w:r>
      <w:r w:rsidRPr="00993640">
        <w:t>into</w:t>
      </w:r>
      <w:r w:rsidR="003D640C">
        <w:t xml:space="preserve"> </w:t>
      </w:r>
      <w:r w:rsidRPr="00993640">
        <w:t>traditional</w:t>
      </w:r>
      <w:r w:rsidR="003D640C">
        <w:t xml:space="preserve"> </w:t>
      </w:r>
      <w:r w:rsidRPr="00993640">
        <w:t>whakapapa</w:t>
      </w:r>
      <w:r w:rsidR="003D640C">
        <w:t xml:space="preserve"> </w:t>
      </w:r>
      <w:r w:rsidRPr="00993640">
        <w:t>holders</w:t>
      </w:r>
      <w:r w:rsidR="003D640C">
        <w:t xml:space="preserve"> </w:t>
      </w:r>
      <w:r w:rsidRPr="00993640">
        <w:t>that</w:t>
      </w:r>
      <w:r w:rsidR="003D640C">
        <w:t xml:space="preserve"> </w:t>
      </w:r>
      <w:r w:rsidRPr="00993640">
        <w:t>remain</w:t>
      </w:r>
      <w:r w:rsidR="003D640C">
        <w:t xml:space="preserve"> </w:t>
      </w:r>
      <w:r w:rsidRPr="00993640">
        <w:t>in</w:t>
      </w:r>
      <w:r w:rsidR="003D640C">
        <w:t xml:space="preserve"> </w:t>
      </w:r>
      <w:r w:rsidRPr="00993640">
        <w:t>the</w:t>
      </w:r>
      <w:r w:rsidR="003D640C">
        <w:t xml:space="preserve"> </w:t>
      </w:r>
      <w:r w:rsidRPr="00993640">
        <w:t>homeland.”</w:t>
      </w:r>
      <w:r w:rsidR="003D640C">
        <w:t xml:space="preserve"> </w:t>
      </w:r>
      <w:r w:rsidR="00B97546">
        <w:t>Sri</w:t>
      </w:r>
      <w:r w:rsidR="003D640C">
        <w:t xml:space="preserve"> </w:t>
      </w:r>
      <w:r w:rsidR="00B97546">
        <w:t>Lankan,</w:t>
      </w:r>
      <w:r w:rsidR="003D640C">
        <w:t xml:space="preserve"> </w:t>
      </w:r>
      <w:r w:rsidR="00B97546">
        <w:t>queer</w:t>
      </w:r>
    </w:p>
    <w:p w14:paraId="5E8D829E" w14:textId="3B74C726" w:rsidR="00501068" w:rsidRDefault="00DB6CB6" w:rsidP="005B33A1">
      <w:r w:rsidRPr="00993640">
        <w:t>The</w:t>
      </w:r>
      <w:r w:rsidR="003D640C">
        <w:t xml:space="preserve"> </w:t>
      </w:r>
      <w:r w:rsidRPr="00993640">
        <w:t>high</w:t>
      </w:r>
      <w:r w:rsidR="003D640C">
        <w:t xml:space="preserve"> </w:t>
      </w:r>
      <w:r w:rsidRPr="00993640">
        <w:t>value</w:t>
      </w:r>
      <w:r w:rsidR="003D640C">
        <w:t xml:space="preserve"> </w:t>
      </w:r>
      <w:r w:rsidR="0072329F">
        <w:t>that</w:t>
      </w:r>
      <w:r w:rsidR="003D640C">
        <w:t xml:space="preserve"> </w:t>
      </w:r>
      <w:r w:rsidRPr="00993640">
        <w:t>ethnic</w:t>
      </w:r>
      <w:r w:rsidR="003D640C">
        <w:t xml:space="preserve"> </w:t>
      </w:r>
      <w:r w:rsidRPr="00993640">
        <w:t>communities</w:t>
      </w:r>
      <w:r w:rsidR="003D640C">
        <w:t xml:space="preserve"> </w:t>
      </w:r>
      <w:r w:rsidRPr="00993640">
        <w:t>place</w:t>
      </w:r>
      <w:r w:rsidR="003D640C">
        <w:t xml:space="preserve"> </w:t>
      </w:r>
      <w:r w:rsidRPr="00993640">
        <w:t>on</w:t>
      </w:r>
      <w:r w:rsidR="003D640C">
        <w:t xml:space="preserve"> </w:t>
      </w:r>
      <w:r w:rsidRPr="00993640">
        <w:t>respect,</w:t>
      </w:r>
      <w:r w:rsidR="003D640C">
        <w:t xml:space="preserve"> </w:t>
      </w:r>
      <w:r w:rsidRPr="00993640">
        <w:t>relationships</w:t>
      </w:r>
      <w:r w:rsidR="003D640C">
        <w:t xml:space="preserve"> </w:t>
      </w:r>
      <w:r w:rsidRPr="00993640">
        <w:t>and</w:t>
      </w:r>
      <w:r w:rsidR="003D640C">
        <w:t xml:space="preserve"> </w:t>
      </w:r>
      <w:r w:rsidRPr="00993640">
        <w:t>reaching</w:t>
      </w:r>
      <w:r w:rsidR="003D640C">
        <w:t xml:space="preserve"> </w:t>
      </w:r>
      <w:r w:rsidRPr="00993640">
        <w:t>the</w:t>
      </w:r>
      <w:r w:rsidR="003D640C">
        <w:t xml:space="preserve"> </w:t>
      </w:r>
      <w:r w:rsidRPr="00993640">
        <w:t>fullest</w:t>
      </w:r>
      <w:r w:rsidR="003D640C">
        <w:t xml:space="preserve"> </w:t>
      </w:r>
      <w:r w:rsidRPr="00993640">
        <w:t>individual</w:t>
      </w:r>
      <w:r w:rsidR="003D640C">
        <w:t xml:space="preserve"> </w:t>
      </w:r>
      <w:r w:rsidRPr="00993640">
        <w:t>potential</w:t>
      </w:r>
      <w:r w:rsidR="003D640C">
        <w:t xml:space="preserve"> </w:t>
      </w:r>
      <w:r>
        <w:t>c</w:t>
      </w:r>
      <w:r w:rsidRPr="00993640">
        <w:t>ould</w:t>
      </w:r>
      <w:r w:rsidR="003D640C">
        <w:t xml:space="preserve"> </w:t>
      </w:r>
      <w:r w:rsidRPr="00993640">
        <w:t>be</w:t>
      </w:r>
      <w:r w:rsidR="003D640C">
        <w:t xml:space="preserve"> </w:t>
      </w:r>
      <w:r w:rsidRPr="00993640">
        <w:t>used</w:t>
      </w:r>
      <w:r w:rsidR="003D640C">
        <w:t xml:space="preserve"> </w:t>
      </w:r>
      <w:r w:rsidRPr="00993640">
        <w:t>to</w:t>
      </w:r>
      <w:r w:rsidR="003D640C">
        <w:t xml:space="preserve"> </w:t>
      </w:r>
      <w:r w:rsidRPr="00993640">
        <w:t>support</w:t>
      </w:r>
      <w:r w:rsidR="003D640C">
        <w:t xml:space="preserve"> </w:t>
      </w:r>
      <w:r>
        <w:t>R</w:t>
      </w:r>
      <w:r w:rsidRPr="00993640">
        <w:t>ainbow</w:t>
      </w:r>
      <w:r w:rsidR="003D640C">
        <w:t xml:space="preserve"> </w:t>
      </w:r>
      <w:r w:rsidRPr="00993640">
        <w:t>people</w:t>
      </w:r>
      <w:r w:rsidR="003D640C">
        <w:t xml:space="preserve"> </w:t>
      </w:r>
      <w:r w:rsidRPr="00993640">
        <w:t>so</w:t>
      </w:r>
      <w:r w:rsidR="003D640C">
        <w:t xml:space="preserve"> </w:t>
      </w:r>
      <w:r w:rsidRPr="00993640">
        <w:t>they</w:t>
      </w:r>
      <w:r w:rsidR="003D640C">
        <w:t xml:space="preserve"> </w:t>
      </w:r>
      <w:r w:rsidRPr="00993640">
        <w:t>thrive</w:t>
      </w:r>
      <w:r w:rsidR="003D640C">
        <w:t xml:space="preserve"> </w:t>
      </w:r>
      <w:r w:rsidRPr="00993640">
        <w:t>within</w:t>
      </w:r>
      <w:r w:rsidR="003D640C">
        <w:t xml:space="preserve"> </w:t>
      </w:r>
      <w:r>
        <w:t>their</w:t>
      </w:r>
      <w:r w:rsidR="003D640C">
        <w:t xml:space="preserve"> </w:t>
      </w:r>
      <w:r>
        <w:t>communities</w:t>
      </w:r>
      <w:r w:rsidRPr="00993640">
        <w:t>.</w:t>
      </w:r>
      <w:r w:rsidR="003D640C">
        <w:t xml:space="preserve"> </w:t>
      </w:r>
      <w:r w:rsidRPr="00993640">
        <w:t>The</w:t>
      </w:r>
      <w:r w:rsidR="003D640C">
        <w:t xml:space="preserve"> </w:t>
      </w:r>
      <w:r w:rsidRPr="00993640">
        <w:t>following</w:t>
      </w:r>
      <w:r w:rsidR="003D640C">
        <w:t xml:space="preserve"> </w:t>
      </w:r>
      <w:r w:rsidRPr="00993640">
        <w:t>suggestions</w:t>
      </w:r>
      <w:r w:rsidR="003D640C">
        <w:t xml:space="preserve"> </w:t>
      </w:r>
      <w:r w:rsidRPr="00993640">
        <w:t>were</w:t>
      </w:r>
      <w:r w:rsidR="003D640C">
        <w:t xml:space="preserve"> </w:t>
      </w:r>
      <w:r w:rsidRPr="00993640">
        <w:t>offered</w:t>
      </w:r>
      <w:r w:rsidR="003D640C">
        <w:t xml:space="preserve"> </w:t>
      </w:r>
      <w:r w:rsidRPr="00993640">
        <w:t>by</w:t>
      </w:r>
      <w:r w:rsidR="003D640C">
        <w:t xml:space="preserve"> </w:t>
      </w:r>
      <w:r w:rsidRPr="00993640">
        <w:t>participants</w:t>
      </w:r>
      <w:r w:rsidR="0067447E">
        <w:t>.</w:t>
      </w:r>
    </w:p>
    <w:p w14:paraId="3FABD4E4" w14:textId="0346B3F6" w:rsidR="0067447E" w:rsidRDefault="00DB6CB6" w:rsidP="005B33A1">
      <w:pPr>
        <w:pStyle w:val="Quote"/>
      </w:pPr>
      <w:r w:rsidRPr="00993640">
        <w:t>“Family-friendly</w:t>
      </w:r>
      <w:r w:rsidR="003D640C">
        <w:t xml:space="preserve"> </w:t>
      </w:r>
      <w:r w:rsidRPr="00993640">
        <w:t>activities</w:t>
      </w:r>
      <w:r w:rsidR="003D640C">
        <w:t xml:space="preserve"> </w:t>
      </w:r>
      <w:r w:rsidRPr="00993640">
        <w:t>and</w:t>
      </w:r>
      <w:r w:rsidR="003D640C">
        <w:t xml:space="preserve"> </w:t>
      </w:r>
      <w:r w:rsidRPr="00993640">
        <w:t>initiatives</w:t>
      </w:r>
      <w:r w:rsidR="003D640C">
        <w:t xml:space="preserve"> </w:t>
      </w:r>
      <w:r w:rsidRPr="00993640">
        <w:t>will</w:t>
      </w:r>
      <w:r w:rsidR="003D640C">
        <w:t xml:space="preserve"> </w:t>
      </w:r>
      <w:r w:rsidRPr="00993640">
        <w:t>be</w:t>
      </w:r>
      <w:r w:rsidR="003D640C">
        <w:t xml:space="preserve"> </w:t>
      </w:r>
      <w:r w:rsidRPr="00993640">
        <w:t>welcome</w:t>
      </w:r>
      <w:r w:rsidR="003D640C">
        <w:t xml:space="preserve"> </w:t>
      </w:r>
      <w:r w:rsidRPr="00993640">
        <w:t>to</w:t>
      </w:r>
      <w:r w:rsidR="003D640C">
        <w:t xml:space="preserve"> </w:t>
      </w:r>
      <w:r w:rsidRPr="00993640">
        <w:t>have</w:t>
      </w:r>
      <w:r w:rsidR="003D640C">
        <w:t xml:space="preserve"> </w:t>
      </w:r>
      <w:r w:rsidRPr="00993640">
        <w:t>these</w:t>
      </w:r>
      <w:r w:rsidR="003D640C">
        <w:t xml:space="preserve"> </w:t>
      </w:r>
      <w:r w:rsidRPr="00993640">
        <w:t>conversations.</w:t>
      </w:r>
      <w:r w:rsidR="003D640C">
        <w:t xml:space="preserve"> </w:t>
      </w:r>
      <w:r w:rsidRPr="00993640">
        <w:t>The</w:t>
      </w:r>
      <w:r w:rsidR="003D640C">
        <w:t xml:space="preserve"> </w:t>
      </w:r>
      <w:r w:rsidRPr="00993640">
        <w:t>Zoroastrian</w:t>
      </w:r>
      <w:r w:rsidR="003D640C">
        <w:t xml:space="preserve"> </w:t>
      </w:r>
      <w:r w:rsidRPr="00993640">
        <w:t>community</w:t>
      </w:r>
      <w:r w:rsidR="003D640C">
        <w:t xml:space="preserve"> </w:t>
      </w:r>
      <w:r w:rsidRPr="00993640">
        <w:t>thrives</w:t>
      </w:r>
      <w:r w:rsidR="003D640C">
        <w:t xml:space="preserve"> </w:t>
      </w:r>
      <w:r w:rsidRPr="00993640">
        <w:t>on</w:t>
      </w:r>
      <w:r w:rsidR="003D640C">
        <w:t xml:space="preserve"> </w:t>
      </w:r>
      <w:r w:rsidRPr="00993640">
        <w:t>community</w:t>
      </w:r>
      <w:r w:rsidR="003D640C">
        <w:t xml:space="preserve"> </w:t>
      </w:r>
      <w:r w:rsidRPr="00993640">
        <w:t>events.”</w:t>
      </w:r>
      <w:r w:rsidR="003D640C">
        <w:t xml:space="preserve"> </w:t>
      </w:r>
      <w:r w:rsidR="00B97546">
        <w:t>Parsi</w:t>
      </w:r>
      <w:r w:rsidR="003D640C">
        <w:t xml:space="preserve"> </w:t>
      </w:r>
      <w:r w:rsidR="00B97546">
        <w:t>migrant,</w:t>
      </w:r>
      <w:r w:rsidR="003D640C">
        <w:t xml:space="preserve"> </w:t>
      </w:r>
      <w:r w:rsidR="00B97546">
        <w:t>Rainbow</w:t>
      </w:r>
      <w:r w:rsidR="003D640C">
        <w:t xml:space="preserve"> </w:t>
      </w:r>
      <w:r w:rsidR="00B97546">
        <w:t>ally</w:t>
      </w:r>
      <w:r w:rsidR="003D640C">
        <w:rPr>
          <w:rFonts w:cstheme="minorHAnsi"/>
        </w:rPr>
        <w:t xml:space="preserve"> </w:t>
      </w:r>
    </w:p>
    <w:p w14:paraId="231A59D9" w14:textId="4096D51F" w:rsidR="00501068" w:rsidRDefault="00DB6CB6" w:rsidP="0067447E">
      <w:pPr>
        <w:pStyle w:val="Quote"/>
        <w:rPr>
          <w:rFonts w:cstheme="minorHAnsi"/>
        </w:rPr>
      </w:pPr>
      <w:r w:rsidRPr="00993640">
        <w:lastRenderedPageBreak/>
        <w:t>“Reaching</w:t>
      </w:r>
      <w:r w:rsidR="003D640C">
        <w:t xml:space="preserve"> </w:t>
      </w:r>
      <w:r w:rsidRPr="00993640">
        <w:t>into</w:t>
      </w:r>
      <w:r w:rsidR="003D640C">
        <w:t xml:space="preserve"> </w:t>
      </w:r>
      <w:r w:rsidRPr="00993640">
        <w:t>the</w:t>
      </w:r>
      <w:r w:rsidR="003D640C">
        <w:t xml:space="preserve"> </w:t>
      </w:r>
      <w:r w:rsidRPr="00993640">
        <w:t>community</w:t>
      </w:r>
      <w:r w:rsidR="003D640C">
        <w:t xml:space="preserve"> </w:t>
      </w:r>
      <w:r w:rsidRPr="00993640">
        <w:t>needs</w:t>
      </w:r>
      <w:r w:rsidR="003D640C">
        <w:t xml:space="preserve"> </w:t>
      </w:r>
      <w:r w:rsidRPr="00993640">
        <w:t>to</w:t>
      </w:r>
      <w:r w:rsidR="003D640C">
        <w:t xml:space="preserve"> </w:t>
      </w:r>
      <w:r w:rsidRPr="00993640">
        <w:t>be</w:t>
      </w:r>
      <w:r w:rsidR="003D640C">
        <w:t xml:space="preserve"> </w:t>
      </w:r>
      <w:r w:rsidRPr="00993640">
        <w:t>designed</w:t>
      </w:r>
      <w:r w:rsidR="003D640C">
        <w:t xml:space="preserve"> </w:t>
      </w:r>
      <w:r w:rsidRPr="00993640">
        <w:t>by</w:t>
      </w:r>
      <w:r w:rsidR="003D640C">
        <w:t xml:space="preserve"> </w:t>
      </w:r>
      <w:r w:rsidRPr="00993640">
        <w:t>those</w:t>
      </w:r>
      <w:r w:rsidR="003D640C">
        <w:t xml:space="preserve"> </w:t>
      </w:r>
      <w:r w:rsidRPr="00993640">
        <w:t>in</w:t>
      </w:r>
      <w:r w:rsidR="003D640C">
        <w:t xml:space="preserve"> </w:t>
      </w:r>
      <w:r w:rsidRPr="00993640">
        <w:t>the</w:t>
      </w:r>
      <w:r w:rsidR="003D640C">
        <w:t xml:space="preserve"> </w:t>
      </w:r>
      <w:r w:rsidRPr="00993640">
        <w:t>community.</w:t>
      </w:r>
      <w:r w:rsidR="003D640C">
        <w:t xml:space="preserve"> </w:t>
      </w:r>
      <w:r w:rsidRPr="00993640">
        <w:t>When</w:t>
      </w:r>
      <w:r w:rsidR="003D640C">
        <w:t xml:space="preserve"> </w:t>
      </w:r>
      <w:r w:rsidRPr="00993640">
        <w:t>it</w:t>
      </w:r>
      <w:r w:rsidR="003D640C">
        <w:t xml:space="preserve"> </w:t>
      </w:r>
      <w:r w:rsidRPr="00993640">
        <w:t>comes</w:t>
      </w:r>
      <w:r w:rsidR="003D640C">
        <w:t xml:space="preserve"> </w:t>
      </w:r>
      <w:r w:rsidRPr="00993640">
        <w:t>to</w:t>
      </w:r>
      <w:r w:rsidR="003D640C">
        <w:t xml:space="preserve"> </w:t>
      </w:r>
      <w:r w:rsidRPr="00993640">
        <w:t>resources</w:t>
      </w:r>
      <w:r w:rsidR="003D640C">
        <w:t xml:space="preserve"> </w:t>
      </w:r>
      <w:r w:rsidRPr="00993640">
        <w:t>and</w:t>
      </w:r>
      <w:r w:rsidR="003D640C">
        <w:t xml:space="preserve"> </w:t>
      </w:r>
      <w:r w:rsidRPr="00993640">
        <w:t>education.</w:t>
      </w:r>
      <w:r w:rsidR="003D640C">
        <w:t xml:space="preserve"> </w:t>
      </w:r>
      <w:r w:rsidRPr="00993640">
        <w:t>Don</w:t>
      </w:r>
      <w:r w:rsidR="00CD3E06">
        <w:t>’</w:t>
      </w:r>
      <w:r w:rsidRPr="00993640">
        <w:t>t</w:t>
      </w:r>
      <w:r w:rsidR="003D640C">
        <w:t xml:space="preserve"> </w:t>
      </w:r>
      <w:r w:rsidRPr="00993640">
        <w:t>underestimate</w:t>
      </w:r>
      <w:r w:rsidR="003D640C">
        <w:t xml:space="preserve"> </w:t>
      </w:r>
      <w:r w:rsidRPr="00993640">
        <w:t>the</w:t>
      </w:r>
      <w:r w:rsidR="003D640C">
        <w:t xml:space="preserve"> </w:t>
      </w:r>
      <w:r w:rsidRPr="00993640">
        <w:t>power</w:t>
      </w:r>
      <w:r w:rsidR="003D640C">
        <w:t xml:space="preserve"> </w:t>
      </w:r>
      <w:r w:rsidRPr="00993640">
        <w:t>of</w:t>
      </w:r>
      <w:r w:rsidR="003D640C">
        <w:t xml:space="preserve"> </w:t>
      </w:r>
      <w:r w:rsidRPr="00993640">
        <w:t>the</w:t>
      </w:r>
      <w:r w:rsidR="003D640C">
        <w:t xml:space="preserve"> </w:t>
      </w:r>
      <w:r w:rsidRPr="00993640">
        <w:t>Whats</w:t>
      </w:r>
      <w:r w:rsidR="00D42142">
        <w:t>A</w:t>
      </w:r>
      <w:r w:rsidRPr="00993640">
        <w:t>pp</w:t>
      </w:r>
      <w:r w:rsidR="003D640C">
        <w:t xml:space="preserve"> </w:t>
      </w:r>
      <w:r w:rsidRPr="00993640">
        <w:t>group!”</w:t>
      </w:r>
      <w:r w:rsidR="003D640C">
        <w:t xml:space="preserve"> </w:t>
      </w:r>
      <w:r w:rsidR="00B97546">
        <w:t>Sri</w:t>
      </w:r>
      <w:r w:rsidR="003D640C">
        <w:t xml:space="preserve"> </w:t>
      </w:r>
      <w:r w:rsidR="00B97546">
        <w:t>Lankan</w:t>
      </w:r>
      <w:r w:rsidR="003D640C">
        <w:t xml:space="preserve"> </w:t>
      </w:r>
      <w:r w:rsidR="00B97546">
        <w:t>(Sinhalese</w:t>
      </w:r>
      <w:r w:rsidR="003D640C">
        <w:t xml:space="preserve"> </w:t>
      </w:r>
      <w:r w:rsidR="00B97546">
        <w:t>and</w:t>
      </w:r>
      <w:r w:rsidR="003D640C">
        <w:t xml:space="preserve"> </w:t>
      </w:r>
      <w:r w:rsidR="00B97546">
        <w:t>Burgher</w:t>
      </w:r>
      <w:r w:rsidR="003D640C">
        <w:t xml:space="preserve"> </w:t>
      </w:r>
      <w:r w:rsidR="00B97546">
        <w:t>descent),</w:t>
      </w:r>
      <w:r w:rsidR="003D640C">
        <w:t xml:space="preserve"> </w:t>
      </w:r>
      <w:r w:rsidR="00B97546">
        <w:t>Christian</w:t>
      </w:r>
      <w:r w:rsidR="003D640C">
        <w:t xml:space="preserve"> </w:t>
      </w:r>
      <w:r w:rsidR="00B97546">
        <w:t>background</w:t>
      </w:r>
      <w:r w:rsidR="003D640C">
        <w:rPr>
          <w:rFonts w:cstheme="minorHAnsi"/>
        </w:rPr>
        <w:t xml:space="preserve"> </w:t>
      </w:r>
    </w:p>
    <w:p w14:paraId="71420D81" w14:textId="3514FCD3" w:rsidR="00DB6CB6" w:rsidRPr="00993640" w:rsidRDefault="00DB6CB6" w:rsidP="009032B9">
      <w:r w:rsidRPr="00993640">
        <w:t>Discussions</w:t>
      </w:r>
      <w:r w:rsidR="003D640C">
        <w:t xml:space="preserve"> </w:t>
      </w:r>
      <w:r w:rsidRPr="00993640">
        <w:t>around</w:t>
      </w:r>
      <w:r w:rsidR="003D640C">
        <w:t xml:space="preserve"> </w:t>
      </w:r>
      <w:r>
        <w:t>I</w:t>
      </w:r>
      <w:r w:rsidRPr="00993640">
        <w:t>ndigenous</w:t>
      </w:r>
      <w:r w:rsidR="003D640C">
        <w:t xml:space="preserve"> </w:t>
      </w:r>
      <w:r w:rsidRPr="00993640">
        <w:t>and</w:t>
      </w:r>
      <w:r w:rsidR="003D640C">
        <w:t xml:space="preserve"> </w:t>
      </w:r>
      <w:r w:rsidRPr="00993640">
        <w:t>pre-colonial</w:t>
      </w:r>
      <w:r w:rsidR="003D640C">
        <w:t xml:space="preserve"> </w:t>
      </w:r>
      <w:r w:rsidRPr="00993640">
        <w:t>views</w:t>
      </w:r>
      <w:r w:rsidR="003D640C">
        <w:t xml:space="preserve"> </w:t>
      </w:r>
      <w:r w:rsidRPr="00993640">
        <w:t>and</w:t>
      </w:r>
      <w:r w:rsidR="003D640C">
        <w:t xml:space="preserve"> </w:t>
      </w:r>
      <w:r w:rsidRPr="00993640">
        <w:t>practices</w:t>
      </w:r>
      <w:r w:rsidR="003D640C">
        <w:t xml:space="preserve"> </w:t>
      </w:r>
      <w:r w:rsidRPr="00993640">
        <w:t>that</w:t>
      </w:r>
      <w:r w:rsidR="003D640C">
        <w:t xml:space="preserve"> </w:t>
      </w:r>
      <w:r w:rsidRPr="00993640">
        <w:t>appear</w:t>
      </w:r>
      <w:r w:rsidR="003D640C">
        <w:t xml:space="preserve"> </w:t>
      </w:r>
      <w:r w:rsidRPr="00993640">
        <w:t>in</w:t>
      </w:r>
      <w:r w:rsidR="003D640C">
        <w:t xml:space="preserve"> </w:t>
      </w:r>
      <w:r w:rsidRPr="00993640">
        <w:t>the</w:t>
      </w:r>
      <w:r w:rsidR="003D640C">
        <w:t xml:space="preserve"> </w:t>
      </w:r>
      <w:r w:rsidRPr="00993640">
        <w:t>previous</w:t>
      </w:r>
      <w:r w:rsidR="003D640C">
        <w:t xml:space="preserve"> </w:t>
      </w:r>
      <w:r w:rsidRPr="00993640">
        <w:t>sections</w:t>
      </w:r>
      <w:r w:rsidR="003D640C">
        <w:t xml:space="preserve"> </w:t>
      </w:r>
      <w:r w:rsidRPr="00993640">
        <w:t>for</w:t>
      </w:r>
      <w:r w:rsidR="003D640C">
        <w:t xml:space="preserve"> </w:t>
      </w:r>
      <w:r w:rsidRPr="00993640">
        <w:t>both</w:t>
      </w:r>
      <w:r w:rsidR="003D640C">
        <w:t xml:space="preserve"> </w:t>
      </w:r>
      <w:r w:rsidRPr="00993640">
        <w:t>Māori</w:t>
      </w:r>
      <w:r w:rsidR="003D640C">
        <w:t xml:space="preserve"> </w:t>
      </w:r>
      <w:r w:rsidRPr="00993640">
        <w:t>and</w:t>
      </w:r>
      <w:r w:rsidR="003D640C">
        <w:t xml:space="preserve"> </w:t>
      </w:r>
      <w:r w:rsidRPr="00993640">
        <w:t>Pacific</w:t>
      </w:r>
      <w:r w:rsidR="003D640C">
        <w:t xml:space="preserve"> </w:t>
      </w:r>
      <w:r w:rsidRPr="00993640">
        <w:t>communities</w:t>
      </w:r>
      <w:r w:rsidR="003D640C">
        <w:t xml:space="preserve"> </w:t>
      </w:r>
      <w:r w:rsidRPr="00993640">
        <w:t>will</w:t>
      </w:r>
      <w:r w:rsidR="003D640C">
        <w:t xml:space="preserve"> </w:t>
      </w:r>
      <w:r>
        <w:t>also</w:t>
      </w:r>
      <w:r w:rsidR="003D640C">
        <w:t xml:space="preserve"> </w:t>
      </w:r>
      <w:r w:rsidRPr="00993640">
        <w:t>ha</w:t>
      </w:r>
      <w:r>
        <w:t>ve</w:t>
      </w:r>
      <w:r w:rsidR="003D640C">
        <w:t xml:space="preserve"> </w:t>
      </w:r>
      <w:r w:rsidRPr="00993640">
        <w:t>some</w:t>
      </w:r>
      <w:r w:rsidR="003D640C">
        <w:t xml:space="preserve"> </w:t>
      </w:r>
      <w:r w:rsidRPr="00993640">
        <w:t>resonance</w:t>
      </w:r>
      <w:r w:rsidR="003D640C">
        <w:t xml:space="preserve"> </w:t>
      </w:r>
      <w:r w:rsidRPr="00993640">
        <w:t>with</w:t>
      </w:r>
      <w:r w:rsidR="003D640C">
        <w:t xml:space="preserve"> </w:t>
      </w:r>
      <w:r w:rsidRPr="00993640">
        <w:t>ethnic</w:t>
      </w:r>
      <w:r w:rsidR="003D640C">
        <w:t xml:space="preserve"> </w:t>
      </w:r>
      <w:r w:rsidRPr="00993640">
        <w:t>communities.</w:t>
      </w:r>
      <w:r w:rsidR="003D640C">
        <w:t xml:space="preserve"> </w:t>
      </w:r>
      <w:r w:rsidR="00D42142">
        <w:t>O</w:t>
      </w:r>
      <w:r w:rsidRPr="00993640">
        <w:t>ver</w:t>
      </w:r>
      <w:r w:rsidR="003D640C">
        <w:t xml:space="preserve"> </w:t>
      </w:r>
      <w:r w:rsidRPr="00993640">
        <w:t>and</w:t>
      </w:r>
      <w:r w:rsidR="003D640C">
        <w:t xml:space="preserve"> </w:t>
      </w:r>
      <w:r w:rsidRPr="00993640">
        <w:t>above</w:t>
      </w:r>
      <w:r w:rsidR="003D640C">
        <w:t xml:space="preserve"> </w:t>
      </w:r>
      <w:r w:rsidRPr="00993640">
        <w:t>those</w:t>
      </w:r>
      <w:r w:rsidR="003D640C">
        <w:t xml:space="preserve"> </w:t>
      </w:r>
      <w:r w:rsidRPr="00993640">
        <w:t>commonalities,</w:t>
      </w:r>
      <w:r w:rsidR="003D640C">
        <w:t xml:space="preserve"> </w:t>
      </w:r>
      <w:r w:rsidRPr="00993640">
        <w:t>the</w:t>
      </w:r>
      <w:r w:rsidR="003D640C">
        <w:t xml:space="preserve"> </w:t>
      </w:r>
      <w:r w:rsidRPr="00993640">
        <w:t>following</w:t>
      </w:r>
      <w:r w:rsidR="003D640C">
        <w:t xml:space="preserve"> </w:t>
      </w:r>
      <w:r w:rsidRPr="00993640">
        <w:t>initiatives</w:t>
      </w:r>
      <w:r w:rsidR="003D640C">
        <w:t xml:space="preserve"> </w:t>
      </w:r>
      <w:r w:rsidRPr="00993640">
        <w:t>and</w:t>
      </w:r>
      <w:r w:rsidR="003D640C">
        <w:t xml:space="preserve"> </w:t>
      </w:r>
      <w:r w:rsidRPr="00993640">
        <w:t>actions</w:t>
      </w:r>
      <w:r w:rsidR="003D640C">
        <w:t xml:space="preserve"> </w:t>
      </w:r>
      <w:r w:rsidRPr="00993640">
        <w:t>have</w:t>
      </w:r>
      <w:r w:rsidR="003D640C">
        <w:t xml:space="preserve"> </w:t>
      </w:r>
      <w:r w:rsidRPr="00993640">
        <w:t>been</w:t>
      </w:r>
      <w:r w:rsidR="003D640C">
        <w:t xml:space="preserve"> </w:t>
      </w:r>
      <w:r w:rsidRPr="00993640">
        <w:t>reported</w:t>
      </w:r>
      <w:r w:rsidR="003D640C">
        <w:t xml:space="preserve"> </w:t>
      </w:r>
      <w:r w:rsidRPr="00993640">
        <w:t>as</w:t>
      </w:r>
      <w:r w:rsidR="003D640C">
        <w:t xml:space="preserve"> </w:t>
      </w:r>
      <w:r w:rsidRPr="00993640">
        <w:t>restorative</w:t>
      </w:r>
      <w:r w:rsidR="003D640C">
        <w:t xml:space="preserve"> </w:t>
      </w:r>
      <w:r w:rsidRPr="00993640">
        <w:t>and</w:t>
      </w:r>
      <w:r w:rsidR="003D640C">
        <w:t xml:space="preserve"> </w:t>
      </w:r>
      <w:r w:rsidRPr="00993640">
        <w:t>healing</w:t>
      </w:r>
      <w:r w:rsidR="003D640C">
        <w:t xml:space="preserve"> </w:t>
      </w:r>
      <w:r w:rsidRPr="00993640">
        <w:t>for</w:t>
      </w:r>
      <w:r w:rsidR="003D640C">
        <w:t xml:space="preserve"> </w:t>
      </w:r>
      <w:r w:rsidRPr="00993640">
        <w:t>ethnic</w:t>
      </w:r>
      <w:r w:rsidR="003D640C">
        <w:t xml:space="preserve"> </w:t>
      </w:r>
      <w:r w:rsidRPr="00993640">
        <w:t>Rainbow</w:t>
      </w:r>
      <w:r w:rsidR="003D640C">
        <w:t xml:space="preserve"> </w:t>
      </w:r>
      <w:r w:rsidRPr="00993640">
        <w:t>communities</w:t>
      </w:r>
      <w:r w:rsidR="003D640C">
        <w:t xml:space="preserve"> </w:t>
      </w:r>
      <w:r w:rsidRPr="00993640">
        <w:t>and</w:t>
      </w:r>
      <w:r w:rsidR="003D640C">
        <w:t xml:space="preserve"> </w:t>
      </w:r>
      <w:r w:rsidRPr="00993640">
        <w:t>their</w:t>
      </w:r>
      <w:r w:rsidR="003D640C">
        <w:t xml:space="preserve"> </w:t>
      </w:r>
      <w:r w:rsidRPr="00993640">
        <w:t>allies.</w:t>
      </w:r>
      <w:r w:rsidR="003D640C">
        <w:t xml:space="preserve"> </w:t>
      </w:r>
    </w:p>
    <w:p w14:paraId="1D5D08CD" w14:textId="1D80AEAD" w:rsidR="00501068" w:rsidRDefault="00DB6CB6" w:rsidP="009032B9">
      <w:pPr>
        <w:pStyle w:val="Bullet"/>
      </w:pPr>
      <w:r w:rsidRPr="004239F7">
        <w:rPr>
          <w:b/>
        </w:rPr>
        <w:t>Broader</w:t>
      </w:r>
      <w:r w:rsidR="003D640C">
        <w:rPr>
          <w:b/>
        </w:rPr>
        <w:t xml:space="preserve"> </w:t>
      </w:r>
      <w:r w:rsidRPr="004239F7">
        <w:rPr>
          <w:b/>
        </w:rPr>
        <w:t>visibility</w:t>
      </w:r>
      <w:r w:rsidR="003D640C">
        <w:rPr>
          <w:b/>
        </w:rPr>
        <w:t xml:space="preserve"> </w:t>
      </w:r>
      <w:r w:rsidRPr="004239F7">
        <w:rPr>
          <w:b/>
        </w:rPr>
        <w:t>of</w:t>
      </w:r>
      <w:r w:rsidR="003D640C">
        <w:rPr>
          <w:b/>
        </w:rPr>
        <w:t xml:space="preserve"> </w:t>
      </w:r>
      <w:r w:rsidRPr="004239F7">
        <w:rPr>
          <w:b/>
        </w:rPr>
        <w:t>ethnic</w:t>
      </w:r>
      <w:r w:rsidR="003D640C">
        <w:rPr>
          <w:b/>
        </w:rPr>
        <w:t xml:space="preserve"> </w:t>
      </w:r>
      <w:r w:rsidRPr="004239F7">
        <w:rPr>
          <w:b/>
        </w:rPr>
        <w:t>Rainbow</w:t>
      </w:r>
      <w:r w:rsidR="003D640C">
        <w:rPr>
          <w:b/>
        </w:rPr>
        <w:t xml:space="preserve"> </w:t>
      </w:r>
      <w:r w:rsidRPr="004239F7">
        <w:rPr>
          <w:b/>
        </w:rPr>
        <w:t>communities</w:t>
      </w:r>
      <w:r w:rsidR="006711A2">
        <w:rPr>
          <w:b/>
        </w:rPr>
        <w:t>.</w:t>
      </w:r>
      <w:r w:rsidR="003D640C">
        <w:t xml:space="preserve"> </w:t>
      </w:r>
      <w:r w:rsidRPr="00993640">
        <w:t>Participants</w:t>
      </w:r>
      <w:r w:rsidR="003D640C">
        <w:t xml:space="preserve"> </w:t>
      </w:r>
      <w:r w:rsidRPr="00993640">
        <w:t>noted</w:t>
      </w:r>
      <w:r w:rsidR="003D640C">
        <w:t xml:space="preserve"> </w:t>
      </w:r>
      <w:r w:rsidRPr="00993640">
        <w:t>that</w:t>
      </w:r>
      <w:r w:rsidR="003D640C">
        <w:t xml:space="preserve"> </w:t>
      </w:r>
      <w:r w:rsidRPr="008B0FA9">
        <w:t>the</w:t>
      </w:r>
      <w:r w:rsidR="003D640C">
        <w:t xml:space="preserve"> </w:t>
      </w:r>
      <w:r w:rsidR="00777F81">
        <w:t>visibility</w:t>
      </w:r>
      <w:r w:rsidR="003D640C">
        <w:t xml:space="preserve"> </w:t>
      </w:r>
      <w:r w:rsidR="00777F81">
        <w:t>of</w:t>
      </w:r>
      <w:r w:rsidR="003D640C">
        <w:t xml:space="preserve"> </w:t>
      </w:r>
      <w:r w:rsidR="00AD7CE8">
        <w:t>ethnic</w:t>
      </w:r>
      <w:r w:rsidR="003D640C">
        <w:t xml:space="preserve"> </w:t>
      </w:r>
      <w:r w:rsidR="00777F81">
        <w:t>advocates</w:t>
      </w:r>
      <w:r w:rsidR="003D640C">
        <w:t xml:space="preserve"> </w:t>
      </w:r>
      <w:r w:rsidR="005B6485">
        <w:t>involved</w:t>
      </w:r>
      <w:r w:rsidR="003D640C">
        <w:t xml:space="preserve"> </w:t>
      </w:r>
      <w:r>
        <w:t>in</w:t>
      </w:r>
      <w:r w:rsidR="003D640C">
        <w:t xml:space="preserve"> </w:t>
      </w:r>
      <w:r w:rsidRPr="008B0FA9">
        <w:t>ba</w:t>
      </w:r>
      <w:r>
        <w:t>n</w:t>
      </w:r>
      <w:r w:rsidRPr="008B0FA9">
        <w:t>n</w:t>
      </w:r>
      <w:r>
        <w:t>ing</w:t>
      </w:r>
      <w:r w:rsidR="003D640C">
        <w:t xml:space="preserve"> </w:t>
      </w:r>
      <w:r w:rsidRPr="008B0FA9">
        <w:t>conversion</w:t>
      </w:r>
      <w:r w:rsidR="003D640C">
        <w:t xml:space="preserve"> </w:t>
      </w:r>
      <w:r w:rsidRPr="008B0FA9">
        <w:t>practices</w:t>
      </w:r>
      <w:r w:rsidR="003D640C">
        <w:t xml:space="preserve"> </w:t>
      </w:r>
      <w:r w:rsidRPr="008B0FA9">
        <w:t>in</w:t>
      </w:r>
      <w:r w:rsidR="003D640C">
        <w:t xml:space="preserve"> </w:t>
      </w:r>
      <w:r w:rsidRPr="008B0FA9">
        <w:t>Aotearoa</w:t>
      </w:r>
      <w:r w:rsidR="003D640C">
        <w:t xml:space="preserve"> </w:t>
      </w:r>
      <w:r w:rsidRPr="008B0FA9">
        <w:t>and</w:t>
      </w:r>
      <w:r w:rsidR="003D640C">
        <w:t xml:space="preserve"> </w:t>
      </w:r>
      <w:r w:rsidRPr="008B0FA9">
        <w:t>support</w:t>
      </w:r>
      <w:r>
        <w:t>ing</w:t>
      </w:r>
      <w:r w:rsidR="003D640C">
        <w:t xml:space="preserve"> </w:t>
      </w:r>
      <w:r>
        <w:t>R</w:t>
      </w:r>
      <w:r w:rsidRPr="008B0FA9">
        <w:t>ainbow</w:t>
      </w:r>
      <w:r w:rsidR="003D640C">
        <w:t xml:space="preserve"> </w:t>
      </w:r>
      <w:r w:rsidRPr="008B0FA9">
        <w:t>youth</w:t>
      </w:r>
      <w:r w:rsidR="003D640C">
        <w:t xml:space="preserve"> </w:t>
      </w:r>
      <w:r w:rsidRPr="008B0FA9">
        <w:t>has</w:t>
      </w:r>
      <w:r w:rsidR="003D640C">
        <w:t xml:space="preserve"> </w:t>
      </w:r>
      <w:r w:rsidR="001C50D6">
        <w:t>helped</w:t>
      </w:r>
      <w:r w:rsidR="003D640C">
        <w:t xml:space="preserve"> </w:t>
      </w:r>
      <w:r w:rsidR="001C50D6">
        <w:t>raise</w:t>
      </w:r>
      <w:r w:rsidR="003D640C">
        <w:t xml:space="preserve"> </w:t>
      </w:r>
      <w:r w:rsidR="001C50D6">
        <w:t>the</w:t>
      </w:r>
      <w:r w:rsidR="003D640C">
        <w:t xml:space="preserve"> </w:t>
      </w:r>
      <w:r w:rsidR="001C50D6">
        <w:t>profile</w:t>
      </w:r>
      <w:r w:rsidR="003D640C">
        <w:t xml:space="preserve"> </w:t>
      </w:r>
      <w:r w:rsidR="001C50D6">
        <w:t>of</w:t>
      </w:r>
      <w:r w:rsidR="003D640C">
        <w:t xml:space="preserve"> </w:t>
      </w:r>
      <w:r w:rsidR="001C50D6">
        <w:t>some</w:t>
      </w:r>
      <w:r w:rsidR="003D640C">
        <w:t xml:space="preserve"> </w:t>
      </w:r>
      <w:r w:rsidR="001C50D6">
        <w:t>of</w:t>
      </w:r>
      <w:r w:rsidR="003D640C">
        <w:t xml:space="preserve"> </w:t>
      </w:r>
      <w:r w:rsidR="001C50D6">
        <w:t>the</w:t>
      </w:r>
      <w:r w:rsidR="003D640C">
        <w:t xml:space="preserve"> </w:t>
      </w:r>
      <w:r w:rsidR="001C50D6">
        <w:t>issues</w:t>
      </w:r>
      <w:r w:rsidR="003D640C">
        <w:t xml:space="preserve"> </w:t>
      </w:r>
      <w:r w:rsidR="001C50D6">
        <w:t>facing</w:t>
      </w:r>
      <w:r w:rsidR="003D640C">
        <w:t xml:space="preserve"> </w:t>
      </w:r>
      <w:r w:rsidRPr="008B0FA9">
        <w:t>Rainbow</w:t>
      </w:r>
      <w:r w:rsidR="003D640C">
        <w:t xml:space="preserve"> </w:t>
      </w:r>
      <w:r>
        <w:t>people</w:t>
      </w:r>
      <w:r w:rsidRPr="008B0FA9">
        <w:t>,</w:t>
      </w:r>
      <w:r w:rsidR="003D640C">
        <w:t xml:space="preserve"> </w:t>
      </w:r>
      <w:r w:rsidR="002826FB">
        <w:t>in</w:t>
      </w:r>
      <w:r w:rsidR="003D640C">
        <w:t xml:space="preserve"> </w:t>
      </w:r>
      <w:r w:rsidR="00A65621">
        <w:t>particular</w:t>
      </w:r>
      <w:r w:rsidR="006711A2">
        <w:t>,</w:t>
      </w:r>
      <w:r w:rsidR="003D640C">
        <w:t xml:space="preserve"> </w:t>
      </w:r>
      <w:r w:rsidRPr="008B0FA9">
        <w:t>those</w:t>
      </w:r>
      <w:r w:rsidR="003D640C">
        <w:t xml:space="preserve"> </w:t>
      </w:r>
      <w:r w:rsidRPr="008B0FA9">
        <w:t>of</w:t>
      </w:r>
      <w:r w:rsidR="003D640C">
        <w:t xml:space="preserve"> </w:t>
      </w:r>
      <w:r w:rsidRPr="008B0FA9">
        <w:t>South</w:t>
      </w:r>
      <w:r w:rsidR="003D640C">
        <w:t xml:space="preserve"> </w:t>
      </w:r>
      <w:r w:rsidRPr="008B0FA9">
        <w:t>Asian</w:t>
      </w:r>
      <w:r w:rsidR="003D640C">
        <w:t xml:space="preserve"> </w:t>
      </w:r>
      <w:r w:rsidRPr="008B0FA9">
        <w:t>and</w:t>
      </w:r>
      <w:r w:rsidR="003D640C">
        <w:t xml:space="preserve"> </w:t>
      </w:r>
      <w:r w:rsidRPr="008B0FA9">
        <w:t>Pacific</w:t>
      </w:r>
      <w:r w:rsidR="003D640C">
        <w:t xml:space="preserve"> </w:t>
      </w:r>
      <w:r w:rsidRPr="008B0FA9">
        <w:t>descent.</w:t>
      </w:r>
      <w:r w:rsidR="003D640C">
        <w:t xml:space="preserve"> </w:t>
      </w:r>
    </w:p>
    <w:p w14:paraId="5AFFAE43" w14:textId="513A3A52" w:rsidR="00DB6CB6" w:rsidRPr="008B0FA9" w:rsidRDefault="00DB6CB6" w:rsidP="009032B9">
      <w:pPr>
        <w:pStyle w:val="Bullet"/>
        <w:rPr>
          <w:rFonts w:cstheme="minorHAnsi"/>
        </w:rPr>
      </w:pPr>
      <w:r w:rsidRPr="004239F7">
        <w:rPr>
          <w:b/>
        </w:rPr>
        <w:t>The</w:t>
      </w:r>
      <w:r w:rsidR="003D640C">
        <w:rPr>
          <w:b/>
        </w:rPr>
        <w:t xml:space="preserve"> </w:t>
      </w:r>
      <w:r w:rsidRPr="004239F7">
        <w:rPr>
          <w:b/>
        </w:rPr>
        <w:t>visibility</w:t>
      </w:r>
      <w:r w:rsidR="003D640C">
        <w:rPr>
          <w:b/>
        </w:rPr>
        <w:t xml:space="preserve"> </w:t>
      </w:r>
      <w:r w:rsidRPr="004239F7">
        <w:rPr>
          <w:b/>
        </w:rPr>
        <w:t>and</w:t>
      </w:r>
      <w:r w:rsidR="003D640C">
        <w:rPr>
          <w:b/>
        </w:rPr>
        <w:t xml:space="preserve"> </w:t>
      </w:r>
      <w:r w:rsidRPr="004239F7">
        <w:rPr>
          <w:b/>
        </w:rPr>
        <w:t>celebration</w:t>
      </w:r>
      <w:r w:rsidR="003D640C">
        <w:rPr>
          <w:b/>
        </w:rPr>
        <w:t xml:space="preserve"> </w:t>
      </w:r>
      <w:r w:rsidRPr="004239F7">
        <w:rPr>
          <w:b/>
        </w:rPr>
        <w:t>of</w:t>
      </w:r>
      <w:r w:rsidR="003D640C">
        <w:rPr>
          <w:b/>
        </w:rPr>
        <w:t xml:space="preserve"> </w:t>
      </w:r>
      <w:r w:rsidRPr="004239F7">
        <w:rPr>
          <w:b/>
        </w:rPr>
        <w:t>the</w:t>
      </w:r>
      <w:r w:rsidR="003D640C">
        <w:rPr>
          <w:b/>
        </w:rPr>
        <w:t xml:space="preserve"> </w:t>
      </w:r>
      <w:r w:rsidRPr="004239F7">
        <w:rPr>
          <w:b/>
        </w:rPr>
        <w:t>arts</w:t>
      </w:r>
      <w:r w:rsidR="003D640C">
        <w:rPr>
          <w:b/>
        </w:rPr>
        <w:t xml:space="preserve"> </w:t>
      </w:r>
      <w:r w:rsidRPr="004239F7">
        <w:rPr>
          <w:b/>
        </w:rPr>
        <w:t>of</w:t>
      </w:r>
      <w:r w:rsidR="003D640C">
        <w:rPr>
          <w:b/>
        </w:rPr>
        <w:t xml:space="preserve"> </w:t>
      </w:r>
      <w:r w:rsidR="00586884">
        <w:rPr>
          <w:b/>
        </w:rPr>
        <w:t xml:space="preserve">ethnic </w:t>
      </w:r>
      <w:r w:rsidRPr="004239F7">
        <w:rPr>
          <w:b/>
        </w:rPr>
        <w:t>Rainbow</w:t>
      </w:r>
      <w:r w:rsidR="003D640C">
        <w:rPr>
          <w:b/>
        </w:rPr>
        <w:t xml:space="preserve"> </w:t>
      </w:r>
      <w:r w:rsidRPr="004239F7">
        <w:rPr>
          <w:b/>
        </w:rPr>
        <w:t>communities</w:t>
      </w:r>
      <w:r w:rsidR="003D640C">
        <w:rPr>
          <w:b/>
        </w:rPr>
        <w:t xml:space="preserve"> </w:t>
      </w:r>
      <w:r w:rsidR="00806DE5" w:rsidRPr="004239F7">
        <w:rPr>
          <w:b/>
        </w:rPr>
        <w:t>as</w:t>
      </w:r>
      <w:r w:rsidR="003D640C">
        <w:rPr>
          <w:b/>
        </w:rPr>
        <w:t xml:space="preserve"> </w:t>
      </w:r>
      <w:r w:rsidR="00806DE5" w:rsidRPr="004239F7">
        <w:rPr>
          <w:b/>
        </w:rPr>
        <w:t>a</w:t>
      </w:r>
      <w:r w:rsidR="003D640C">
        <w:rPr>
          <w:b/>
        </w:rPr>
        <w:t xml:space="preserve"> </w:t>
      </w:r>
      <w:r w:rsidR="00806DE5" w:rsidRPr="004239F7">
        <w:rPr>
          <w:b/>
        </w:rPr>
        <w:t>form</w:t>
      </w:r>
      <w:r w:rsidR="003D640C">
        <w:rPr>
          <w:b/>
        </w:rPr>
        <w:t xml:space="preserve"> </w:t>
      </w:r>
      <w:r w:rsidR="00806DE5" w:rsidRPr="004239F7">
        <w:rPr>
          <w:b/>
        </w:rPr>
        <w:t>of</w:t>
      </w:r>
      <w:r w:rsidR="003D640C">
        <w:rPr>
          <w:b/>
        </w:rPr>
        <w:t xml:space="preserve"> </w:t>
      </w:r>
      <w:r w:rsidR="00806DE5" w:rsidRPr="004239F7">
        <w:rPr>
          <w:b/>
        </w:rPr>
        <w:t>discourse,</w:t>
      </w:r>
      <w:r w:rsidR="003D640C">
        <w:rPr>
          <w:b/>
        </w:rPr>
        <w:t xml:space="preserve"> </w:t>
      </w:r>
      <w:r w:rsidR="00806DE5" w:rsidRPr="004239F7">
        <w:rPr>
          <w:b/>
        </w:rPr>
        <w:t>advocacy</w:t>
      </w:r>
      <w:r w:rsidR="0063171C" w:rsidRPr="004239F7">
        <w:rPr>
          <w:b/>
        </w:rPr>
        <w:t>,</w:t>
      </w:r>
      <w:r w:rsidR="003D640C">
        <w:rPr>
          <w:b/>
        </w:rPr>
        <w:t xml:space="preserve"> </w:t>
      </w:r>
      <w:r w:rsidR="00806DE5" w:rsidRPr="004239F7">
        <w:rPr>
          <w:b/>
        </w:rPr>
        <w:t>and</w:t>
      </w:r>
      <w:r w:rsidR="003D640C">
        <w:rPr>
          <w:b/>
        </w:rPr>
        <w:t xml:space="preserve"> </w:t>
      </w:r>
      <w:r w:rsidR="00806DE5" w:rsidRPr="004239F7">
        <w:rPr>
          <w:b/>
        </w:rPr>
        <w:t>engagement</w:t>
      </w:r>
      <w:r w:rsidR="006711A2">
        <w:rPr>
          <w:b/>
        </w:rPr>
        <w:t>.</w:t>
      </w:r>
      <w:r w:rsidR="003D640C">
        <w:t xml:space="preserve"> </w:t>
      </w:r>
      <w:r w:rsidRPr="008B0FA9">
        <w:t>A</w:t>
      </w:r>
      <w:r w:rsidR="003D640C">
        <w:t xml:space="preserve"> </w:t>
      </w:r>
      <w:r w:rsidRPr="008B0FA9">
        <w:t>participant</w:t>
      </w:r>
      <w:r w:rsidR="003D640C">
        <w:t xml:space="preserve"> </w:t>
      </w:r>
      <w:r w:rsidRPr="008B0FA9">
        <w:t>noted</w:t>
      </w:r>
      <w:r w:rsidR="003D640C">
        <w:t xml:space="preserve"> </w:t>
      </w:r>
      <w:r w:rsidRPr="008B0FA9">
        <w:t>the</w:t>
      </w:r>
      <w:r w:rsidR="003D640C">
        <w:t xml:space="preserve"> </w:t>
      </w:r>
      <w:r w:rsidRPr="008B0FA9">
        <w:t>work</w:t>
      </w:r>
      <w:r w:rsidR="003D640C">
        <w:t xml:space="preserve"> </w:t>
      </w:r>
      <w:r w:rsidRPr="008B0FA9">
        <w:t>and</w:t>
      </w:r>
      <w:r w:rsidR="003D640C">
        <w:t xml:space="preserve"> </w:t>
      </w:r>
      <w:r w:rsidRPr="008B0FA9">
        <w:t>exhibitions</w:t>
      </w:r>
      <w:r w:rsidR="003D640C">
        <w:t xml:space="preserve"> </w:t>
      </w:r>
      <w:r w:rsidRPr="008B0FA9">
        <w:t>of</w:t>
      </w:r>
      <w:r w:rsidR="003D640C">
        <w:t xml:space="preserve"> </w:t>
      </w:r>
      <w:r w:rsidR="00E123D7">
        <w:t>a</w:t>
      </w:r>
      <w:r w:rsidR="003D640C">
        <w:t xml:space="preserve"> </w:t>
      </w:r>
      <w:r w:rsidRPr="008B0FA9">
        <w:t>renown</w:t>
      </w:r>
      <w:r>
        <w:t>ed</w:t>
      </w:r>
      <w:r w:rsidR="003D640C">
        <w:t xml:space="preserve"> </w:t>
      </w:r>
      <w:r w:rsidR="00E123D7">
        <w:t>gay</w:t>
      </w:r>
      <w:r w:rsidR="003D640C">
        <w:t xml:space="preserve"> </w:t>
      </w:r>
      <w:r w:rsidRPr="008B0FA9">
        <w:t>multidisciplinary</w:t>
      </w:r>
      <w:r w:rsidR="003D640C">
        <w:t xml:space="preserve"> </w:t>
      </w:r>
      <w:r w:rsidRPr="008B0FA9">
        <w:t>artist</w:t>
      </w:r>
      <w:r w:rsidR="003D640C">
        <w:t xml:space="preserve"> </w:t>
      </w:r>
      <w:r w:rsidR="001D52D0">
        <w:t>that</w:t>
      </w:r>
      <w:r w:rsidR="003D640C">
        <w:t xml:space="preserve"> </w:t>
      </w:r>
      <w:r w:rsidRPr="008B0FA9">
        <w:t>gives</w:t>
      </w:r>
      <w:r w:rsidR="003D640C">
        <w:t xml:space="preserve"> </w:t>
      </w:r>
      <w:r w:rsidRPr="008B0FA9">
        <w:t>visibility</w:t>
      </w:r>
      <w:r w:rsidR="003D640C">
        <w:t xml:space="preserve"> </w:t>
      </w:r>
      <w:r w:rsidRPr="008B0FA9">
        <w:t>to</w:t>
      </w:r>
      <w:r w:rsidR="003D640C">
        <w:t xml:space="preserve"> </w:t>
      </w:r>
      <w:r w:rsidRPr="008B0FA9">
        <w:t>the</w:t>
      </w:r>
      <w:r w:rsidR="003D640C">
        <w:t xml:space="preserve"> </w:t>
      </w:r>
      <w:r w:rsidRPr="008B0FA9">
        <w:t>South</w:t>
      </w:r>
      <w:r w:rsidR="003D640C">
        <w:t xml:space="preserve"> </w:t>
      </w:r>
      <w:r w:rsidRPr="008B0FA9">
        <w:t>Asian</w:t>
      </w:r>
      <w:r w:rsidR="003D640C">
        <w:t xml:space="preserve"> </w:t>
      </w:r>
      <w:r>
        <w:t>R</w:t>
      </w:r>
      <w:r w:rsidRPr="008B0FA9">
        <w:t>ainbow</w:t>
      </w:r>
      <w:r w:rsidR="003D640C">
        <w:t xml:space="preserve"> </w:t>
      </w:r>
      <w:r w:rsidRPr="008B0FA9">
        <w:t>community.</w:t>
      </w:r>
      <w:r w:rsidR="003D640C">
        <w:t xml:space="preserve"> </w:t>
      </w:r>
    </w:p>
    <w:p w14:paraId="1DCD166F" w14:textId="3254BB91" w:rsidR="00DB6CB6" w:rsidRPr="008B0FA9" w:rsidRDefault="006711A2" w:rsidP="009032B9">
      <w:pPr>
        <w:pStyle w:val="Quote"/>
      </w:pPr>
      <w:r>
        <w:t>“</w:t>
      </w:r>
      <w:r w:rsidR="00D404B3">
        <w:t>They</w:t>
      </w:r>
      <w:r w:rsidR="003D640C">
        <w:t xml:space="preserve"> </w:t>
      </w:r>
      <w:r w:rsidR="00D404B3">
        <w:t>are</w:t>
      </w:r>
      <w:r w:rsidR="003D640C">
        <w:t xml:space="preserve"> </w:t>
      </w:r>
      <w:r w:rsidR="00DB6CB6" w:rsidRPr="008B0FA9">
        <w:t>a</w:t>
      </w:r>
      <w:r w:rsidR="003D640C">
        <w:t xml:space="preserve"> </w:t>
      </w:r>
      <w:r w:rsidR="00DB6CB6" w:rsidRPr="008B0FA9">
        <w:t>great</w:t>
      </w:r>
      <w:r w:rsidR="003D640C">
        <w:t xml:space="preserve"> </w:t>
      </w:r>
      <w:r w:rsidR="00DB6CB6" w:rsidRPr="008B0FA9">
        <w:t>example</w:t>
      </w:r>
      <w:r w:rsidR="003D640C">
        <w:t xml:space="preserve"> </w:t>
      </w:r>
      <w:r w:rsidR="00DB6CB6" w:rsidRPr="008B0FA9">
        <w:t>of</w:t>
      </w:r>
      <w:r w:rsidR="003D640C">
        <w:t xml:space="preserve"> </w:t>
      </w:r>
      <w:r w:rsidR="00DB6CB6" w:rsidRPr="008B0FA9">
        <w:t>someone</w:t>
      </w:r>
      <w:r w:rsidR="003D640C">
        <w:t xml:space="preserve"> </w:t>
      </w:r>
      <w:r w:rsidR="00DB6CB6" w:rsidRPr="008B0FA9">
        <w:t>who</w:t>
      </w:r>
      <w:r w:rsidR="003D640C">
        <w:t xml:space="preserve"> </w:t>
      </w:r>
      <w:r w:rsidR="00DB6CB6" w:rsidRPr="008B0FA9">
        <w:t>has</w:t>
      </w:r>
      <w:r w:rsidR="003D640C">
        <w:t xml:space="preserve"> </w:t>
      </w:r>
      <w:r w:rsidR="00DB6CB6" w:rsidRPr="008B0FA9">
        <w:t>been</w:t>
      </w:r>
      <w:r w:rsidR="003D640C">
        <w:t xml:space="preserve"> </w:t>
      </w:r>
      <w:r w:rsidR="00DB6CB6" w:rsidRPr="008B0FA9">
        <w:t>accepted</w:t>
      </w:r>
      <w:r w:rsidR="003D640C">
        <w:t xml:space="preserve"> </w:t>
      </w:r>
      <w:r w:rsidR="00DB6CB6" w:rsidRPr="008B0FA9">
        <w:t>into</w:t>
      </w:r>
      <w:r w:rsidR="003D640C">
        <w:t xml:space="preserve"> </w:t>
      </w:r>
      <w:r w:rsidR="00DB6CB6" w:rsidRPr="008B0FA9">
        <w:t>the</w:t>
      </w:r>
      <w:r w:rsidR="003D640C">
        <w:t xml:space="preserve"> </w:t>
      </w:r>
      <w:r w:rsidR="00DB6CB6" w:rsidRPr="008B0FA9">
        <w:t>community</w:t>
      </w:r>
      <w:r w:rsidR="003D640C">
        <w:t xml:space="preserve"> </w:t>
      </w:r>
      <w:r w:rsidR="00DB6CB6" w:rsidRPr="008B0FA9">
        <w:t>but</w:t>
      </w:r>
      <w:r w:rsidR="003D640C">
        <w:t xml:space="preserve"> </w:t>
      </w:r>
      <w:r w:rsidR="00DB6CB6" w:rsidRPr="008B0FA9">
        <w:t>sadly</w:t>
      </w:r>
      <w:r w:rsidR="003D640C">
        <w:t xml:space="preserve"> </w:t>
      </w:r>
      <w:r w:rsidR="00DB6CB6" w:rsidRPr="008B0FA9">
        <w:t>it</w:t>
      </w:r>
      <w:r w:rsidR="003D640C">
        <w:t xml:space="preserve"> </w:t>
      </w:r>
      <w:r w:rsidR="00DB6CB6" w:rsidRPr="008B0FA9">
        <w:t>took</w:t>
      </w:r>
      <w:r w:rsidR="003D640C">
        <w:t xml:space="preserve"> </w:t>
      </w:r>
      <w:r w:rsidR="00DB6CB6" w:rsidRPr="008B0FA9">
        <w:t>him</w:t>
      </w:r>
      <w:r w:rsidR="003D640C">
        <w:t xml:space="preserve"> </w:t>
      </w:r>
      <w:r w:rsidR="00DB6CB6" w:rsidRPr="008B0FA9">
        <w:t>to</w:t>
      </w:r>
      <w:r w:rsidR="003D640C">
        <w:t xml:space="preserve"> </w:t>
      </w:r>
      <w:r w:rsidR="00DB6CB6" w:rsidRPr="008B0FA9">
        <w:t>be</w:t>
      </w:r>
      <w:r w:rsidR="003D640C">
        <w:t xml:space="preserve"> </w:t>
      </w:r>
      <w:r w:rsidR="00DB6CB6" w:rsidRPr="008B0FA9">
        <w:t>in</w:t>
      </w:r>
      <w:r w:rsidR="003D640C">
        <w:t xml:space="preserve"> </w:t>
      </w:r>
      <w:r w:rsidR="00DB6CB6" w:rsidRPr="008B0FA9">
        <w:t>the</w:t>
      </w:r>
      <w:r w:rsidR="003D640C">
        <w:t xml:space="preserve"> </w:t>
      </w:r>
      <w:r w:rsidR="00DB6CB6" w:rsidRPr="008B0FA9">
        <w:t>limelight</w:t>
      </w:r>
      <w:r w:rsidR="003D640C">
        <w:t xml:space="preserve"> </w:t>
      </w:r>
      <w:r w:rsidR="00DB6CB6" w:rsidRPr="008B0FA9">
        <w:t>for</w:t>
      </w:r>
      <w:r w:rsidR="003D640C">
        <w:t xml:space="preserve"> </w:t>
      </w:r>
      <w:r w:rsidR="00DB6CB6" w:rsidRPr="008B0FA9">
        <w:t>the</w:t>
      </w:r>
      <w:r w:rsidR="003D640C">
        <w:t xml:space="preserve"> </w:t>
      </w:r>
      <w:r w:rsidR="00DB6CB6" w:rsidRPr="008B0FA9">
        <w:t>community</w:t>
      </w:r>
      <w:r w:rsidR="003D640C">
        <w:t xml:space="preserve"> </w:t>
      </w:r>
      <w:r w:rsidR="00DB6CB6" w:rsidRPr="008B0FA9">
        <w:t>to</w:t>
      </w:r>
      <w:r w:rsidR="003D640C">
        <w:t xml:space="preserve"> </w:t>
      </w:r>
      <w:r w:rsidR="00DB6CB6" w:rsidRPr="008B0FA9">
        <w:t>see</w:t>
      </w:r>
      <w:r w:rsidR="003D640C">
        <w:t xml:space="preserve"> </w:t>
      </w:r>
      <w:r w:rsidR="00DB6CB6" w:rsidRPr="008B0FA9">
        <w:t>cultural</w:t>
      </w:r>
      <w:r w:rsidR="003D640C">
        <w:t xml:space="preserve"> </w:t>
      </w:r>
      <w:r w:rsidR="00DB6CB6" w:rsidRPr="008B0FA9">
        <w:t>profitability</w:t>
      </w:r>
      <w:r w:rsidR="003D640C">
        <w:t xml:space="preserve"> </w:t>
      </w:r>
      <w:r w:rsidR="00DB6CB6" w:rsidRPr="008B0FA9">
        <w:t>from</w:t>
      </w:r>
      <w:r w:rsidR="003D640C">
        <w:t xml:space="preserve"> </w:t>
      </w:r>
      <w:r w:rsidR="00DB6CB6" w:rsidRPr="008B0FA9">
        <w:t>it.</w:t>
      </w:r>
      <w:r w:rsidR="003D640C">
        <w:t xml:space="preserve"> </w:t>
      </w:r>
      <w:r w:rsidR="00DB6CB6" w:rsidRPr="008B0FA9">
        <w:t>Acceptance</w:t>
      </w:r>
      <w:r w:rsidR="003D640C">
        <w:t xml:space="preserve"> </w:t>
      </w:r>
      <w:r w:rsidR="00DB6CB6" w:rsidRPr="008B0FA9">
        <w:t>of</w:t>
      </w:r>
      <w:r w:rsidR="003D640C">
        <w:t xml:space="preserve"> </w:t>
      </w:r>
      <w:r w:rsidR="00CC0F07">
        <w:t>R</w:t>
      </w:r>
      <w:r w:rsidR="00DB6CB6" w:rsidRPr="008B0FA9">
        <w:t>ainbow</w:t>
      </w:r>
      <w:r w:rsidR="003D640C">
        <w:t xml:space="preserve"> </w:t>
      </w:r>
      <w:r w:rsidR="00DB6CB6" w:rsidRPr="008B0FA9">
        <w:t>folk</w:t>
      </w:r>
      <w:r w:rsidR="003D640C">
        <w:t xml:space="preserve"> </w:t>
      </w:r>
      <w:r w:rsidR="00DB6CB6" w:rsidRPr="008B0FA9">
        <w:t>is</w:t>
      </w:r>
      <w:r w:rsidR="003D640C">
        <w:t xml:space="preserve"> </w:t>
      </w:r>
      <w:r w:rsidR="00DB6CB6" w:rsidRPr="008B0FA9">
        <w:t>transactional.</w:t>
      </w:r>
      <w:r w:rsidR="003D640C">
        <w:t xml:space="preserve"> </w:t>
      </w:r>
      <w:r w:rsidR="00DB6CB6" w:rsidRPr="008B0FA9">
        <w:t>Poster</w:t>
      </w:r>
      <w:r w:rsidR="003D640C">
        <w:t xml:space="preserve"> </w:t>
      </w:r>
      <w:r w:rsidR="00DB6CB6" w:rsidRPr="008B0FA9">
        <w:t>people</w:t>
      </w:r>
      <w:r w:rsidR="003D640C">
        <w:t xml:space="preserve"> </w:t>
      </w:r>
      <w:r w:rsidR="00DB6CB6" w:rsidRPr="008B0FA9">
        <w:t>create</w:t>
      </w:r>
      <w:r w:rsidR="003D640C">
        <w:t xml:space="preserve"> </w:t>
      </w:r>
      <w:r w:rsidR="00DB6CB6" w:rsidRPr="008B0FA9">
        <w:t>acceptance</w:t>
      </w:r>
      <w:r w:rsidR="003D640C">
        <w:t xml:space="preserve"> </w:t>
      </w:r>
      <w:r>
        <w:t>–</w:t>
      </w:r>
      <w:r w:rsidR="003D640C">
        <w:t xml:space="preserve"> </w:t>
      </w:r>
      <w:r w:rsidR="00DB6CB6" w:rsidRPr="008B0FA9">
        <w:t>like</w:t>
      </w:r>
      <w:r w:rsidR="003D640C">
        <w:t xml:space="preserve"> </w:t>
      </w:r>
      <w:r w:rsidR="00DB6CB6" w:rsidRPr="008B0FA9">
        <w:t>Freddie</w:t>
      </w:r>
      <w:r w:rsidR="003D640C">
        <w:t xml:space="preserve"> </w:t>
      </w:r>
      <w:r w:rsidR="00DB6CB6" w:rsidRPr="008B0FA9">
        <w:t>Mercury.”</w:t>
      </w:r>
      <w:r w:rsidR="003D640C">
        <w:t xml:space="preserve"> </w:t>
      </w:r>
      <w:r w:rsidR="00DB6CB6" w:rsidRPr="008B0FA9">
        <w:t>Parsi</w:t>
      </w:r>
      <w:r w:rsidR="003D640C">
        <w:t xml:space="preserve"> </w:t>
      </w:r>
      <w:r w:rsidR="00DB6CB6" w:rsidRPr="008B0FA9">
        <w:t>migrant,</w:t>
      </w:r>
      <w:r w:rsidR="003D640C">
        <w:t xml:space="preserve"> </w:t>
      </w:r>
      <w:r w:rsidR="000C727A">
        <w:t>not</w:t>
      </w:r>
      <w:r w:rsidR="003D640C">
        <w:t xml:space="preserve"> </w:t>
      </w:r>
      <w:r w:rsidR="000C727A">
        <w:t>publicly</w:t>
      </w:r>
      <w:r w:rsidR="003D640C">
        <w:t xml:space="preserve"> </w:t>
      </w:r>
      <w:r w:rsidR="000C727A">
        <w:t>out</w:t>
      </w:r>
    </w:p>
    <w:p w14:paraId="5FE26ED9" w14:textId="4ECBBA4A" w:rsidR="00DB6CB6" w:rsidRPr="00993640" w:rsidRDefault="00DB6CB6" w:rsidP="009032B9">
      <w:pPr>
        <w:pStyle w:val="Bullet"/>
      </w:pPr>
      <w:r w:rsidRPr="004239F7">
        <w:rPr>
          <w:b/>
        </w:rPr>
        <w:t>Awareness</w:t>
      </w:r>
      <w:r w:rsidR="006711A2">
        <w:rPr>
          <w:b/>
        </w:rPr>
        <w:t xml:space="preserve"> </w:t>
      </w:r>
      <w:r w:rsidRPr="004239F7">
        <w:rPr>
          <w:b/>
        </w:rPr>
        <w:t>raising</w:t>
      </w:r>
      <w:r w:rsidR="003D640C">
        <w:rPr>
          <w:b/>
        </w:rPr>
        <w:t xml:space="preserve"> </w:t>
      </w:r>
      <w:r w:rsidRPr="004239F7">
        <w:rPr>
          <w:b/>
        </w:rPr>
        <w:t>of</w:t>
      </w:r>
      <w:r w:rsidR="003D640C">
        <w:rPr>
          <w:b/>
        </w:rPr>
        <w:t xml:space="preserve"> </w:t>
      </w:r>
      <w:r w:rsidRPr="004239F7">
        <w:rPr>
          <w:b/>
        </w:rPr>
        <w:t>the</w:t>
      </w:r>
      <w:r w:rsidR="003D640C">
        <w:rPr>
          <w:b/>
        </w:rPr>
        <w:t xml:space="preserve"> </w:t>
      </w:r>
      <w:r w:rsidRPr="004239F7">
        <w:rPr>
          <w:b/>
        </w:rPr>
        <w:t>issues</w:t>
      </w:r>
      <w:r w:rsidR="003D640C">
        <w:rPr>
          <w:b/>
        </w:rPr>
        <w:t xml:space="preserve"> </w:t>
      </w:r>
      <w:r w:rsidRPr="004239F7">
        <w:rPr>
          <w:b/>
        </w:rPr>
        <w:t>experienced</w:t>
      </w:r>
      <w:r w:rsidR="003D640C">
        <w:rPr>
          <w:b/>
        </w:rPr>
        <w:t xml:space="preserve"> </w:t>
      </w:r>
      <w:r w:rsidRPr="004239F7">
        <w:rPr>
          <w:b/>
        </w:rPr>
        <w:t>by</w:t>
      </w:r>
      <w:r w:rsidR="003D640C">
        <w:rPr>
          <w:b/>
        </w:rPr>
        <w:t xml:space="preserve"> </w:t>
      </w:r>
      <w:r w:rsidRPr="004239F7">
        <w:rPr>
          <w:b/>
        </w:rPr>
        <w:t>Rainbow</w:t>
      </w:r>
      <w:r w:rsidR="003D640C">
        <w:rPr>
          <w:b/>
        </w:rPr>
        <w:t xml:space="preserve"> </w:t>
      </w:r>
      <w:r w:rsidRPr="004239F7">
        <w:rPr>
          <w:b/>
        </w:rPr>
        <w:t>people</w:t>
      </w:r>
      <w:r w:rsidR="003D640C">
        <w:rPr>
          <w:b/>
        </w:rPr>
        <w:t xml:space="preserve"> </w:t>
      </w:r>
      <w:r w:rsidRPr="004239F7">
        <w:rPr>
          <w:b/>
        </w:rPr>
        <w:t>within</w:t>
      </w:r>
      <w:r w:rsidR="003D640C">
        <w:rPr>
          <w:b/>
        </w:rPr>
        <w:t xml:space="preserve"> </w:t>
      </w:r>
      <w:r w:rsidRPr="004239F7">
        <w:rPr>
          <w:b/>
        </w:rPr>
        <w:t>ethnic</w:t>
      </w:r>
      <w:r w:rsidR="003D640C">
        <w:rPr>
          <w:b/>
        </w:rPr>
        <w:t xml:space="preserve"> </w:t>
      </w:r>
      <w:r w:rsidRPr="004239F7">
        <w:rPr>
          <w:b/>
        </w:rPr>
        <w:t>and</w:t>
      </w:r>
      <w:r w:rsidR="003D640C">
        <w:rPr>
          <w:b/>
        </w:rPr>
        <w:t xml:space="preserve"> </w:t>
      </w:r>
      <w:r w:rsidRPr="004239F7">
        <w:rPr>
          <w:b/>
        </w:rPr>
        <w:t>migrant</w:t>
      </w:r>
      <w:r w:rsidR="003D640C">
        <w:rPr>
          <w:b/>
        </w:rPr>
        <w:t xml:space="preserve"> </w:t>
      </w:r>
      <w:r w:rsidRPr="004239F7">
        <w:rPr>
          <w:b/>
        </w:rPr>
        <w:t>communities</w:t>
      </w:r>
      <w:r w:rsidR="003D640C">
        <w:rPr>
          <w:b/>
        </w:rPr>
        <w:t xml:space="preserve"> </w:t>
      </w:r>
      <w:r w:rsidRPr="004239F7">
        <w:rPr>
          <w:b/>
        </w:rPr>
        <w:t>such</w:t>
      </w:r>
      <w:r w:rsidR="003D640C">
        <w:rPr>
          <w:b/>
        </w:rPr>
        <w:t xml:space="preserve"> </w:t>
      </w:r>
      <w:r w:rsidRPr="004239F7">
        <w:rPr>
          <w:b/>
        </w:rPr>
        <w:t>as</w:t>
      </w:r>
      <w:r w:rsidR="003D640C">
        <w:rPr>
          <w:b/>
        </w:rPr>
        <w:t xml:space="preserve"> </w:t>
      </w:r>
      <w:r w:rsidRPr="004239F7">
        <w:rPr>
          <w:b/>
        </w:rPr>
        <w:t>conference</w:t>
      </w:r>
      <w:r w:rsidR="003D640C">
        <w:rPr>
          <w:b/>
        </w:rPr>
        <w:t xml:space="preserve"> </w:t>
      </w:r>
      <w:r w:rsidRPr="004239F7">
        <w:rPr>
          <w:b/>
        </w:rPr>
        <w:t>presentations</w:t>
      </w:r>
      <w:r w:rsidR="003D640C">
        <w:rPr>
          <w:b/>
        </w:rPr>
        <w:t xml:space="preserve"> </w:t>
      </w:r>
      <w:r w:rsidR="00B97546" w:rsidRPr="004239F7">
        <w:rPr>
          <w:b/>
        </w:rPr>
        <w:t>by</w:t>
      </w:r>
      <w:r w:rsidR="003D640C">
        <w:rPr>
          <w:b/>
        </w:rPr>
        <w:t xml:space="preserve"> </w:t>
      </w:r>
      <w:r w:rsidRPr="004239F7">
        <w:rPr>
          <w:b/>
          <w:lang w:val="mi-NZ"/>
        </w:rPr>
        <w:t>Adhikaar</w:t>
      </w:r>
      <w:r w:rsidR="003D640C">
        <w:rPr>
          <w:b/>
          <w:lang w:val="mi-NZ"/>
        </w:rPr>
        <w:t xml:space="preserve"> </w:t>
      </w:r>
      <w:r w:rsidRPr="004239F7">
        <w:rPr>
          <w:b/>
          <w:lang w:val="mi-NZ"/>
        </w:rPr>
        <w:t>Aotearoa</w:t>
      </w:r>
      <w:r w:rsidRPr="004239F7">
        <w:rPr>
          <w:b/>
        </w:rPr>
        <w:t>,</w:t>
      </w:r>
      <w:r w:rsidR="003D640C">
        <w:rPr>
          <w:b/>
        </w:rPr>
        <w:t xml:space="preserve"> </w:t>
      </w:r>
      <w:r w:rsidRPr="004239F7">
        <w:rPr>
          <w:b/>
        </w:rPr>
        <w:t>Ethnic</w:t>
      </w:r>
      <w:r w:rsidR="003D640C">
        <w:rPr>
          <w:b/>
        </w:rPr>
        <w:t xml:space="preserve"> </w:t>
      </w:r>
      <w:r w:rsidRPr="004239F7">
        <w:rPr>
          <w:b/>
        </w:rPr>
        <w:t>Rainbow</w:t>
      </w:r>
      <w:r w:rsidR="003D640C">
        <w:rPr>
          <w:b/>
        </w:rPr>
        <w:t xml:space="preserve"> </w:t>
      </w:r>
      <w:r w:rsidRPr="004239F7">
        <w:rPr>
          <w:b/>
        </w:rPr>
        <w:t>Alliance,</w:t>
      </w:r>
      <w:r w:rsidR="003D640C">
        <w:rPr>
          <w:b/>
        </w:rPr>
        <w:t xml:space="preserve"> </w:t>
      </w:r>
      <w:r w:rsidR="00901AFA" w:rsidRPr="004239F7">
        <w:rPr>
          <w:b/>
        </w:rPr>
        <w:t>and</w:t>
      </w:r>
      <w:r w:rsidR="003D640C">
        <w:rPr>
          <w:b/>
        </w:rPr>
        <w:t xml:space="preserve"> </w:t>
      </w:r>
      <w:r w:rsidRPr="004239F7">
        <w:rPr>
          <w:b/>
        </w:rPr>
        <w:t>Rainbow</w:t>
      </w:r>
      <w:r w:rsidR="003D640C">
        <w:rPr>
          <w:b/>
        </w:rPr>
        <w:t xml:space="preserve"> </w:t>
      </w:r>
      <w:r w:rsidRPr="004239F7">
        <w:rPr>
          <w:b/>
        </w:rPr>
        <w:t>Path</w:t>
      </w:r>
      <w:r w:rsidR="006711A2">
        <w:rPr>
          <w:b/>
        </w:rPr>
        <w:t>.</w:t>
      </w:r>
      <w:r w:rsidR="003D640C">
        <w:rPr>
          <w:i/>
        </w:rPr>
        <w:t xml:space="preserve"> </w:t>
      </w:r>
      <w:r w:rsidRPr="00993640">
        <w:t>This</w:t>
      </w:r>
      <w:r w:rsidR="003D640C">
        <w:t xml:space="preserve"> </w:t>
      </w:r>
      <w:r w:rsidR="00B97546">
        <w:t>awareness</w:t>
      </w:r>
      <w:r w:rsidR="006711A2">
        <w:t xml:space="preserve"> </w:t>
      </w:r>
      <w:r w:rsidR="00B97546">
        <w:t>raising</w:t>
      </w:r>
      <w:r w:rsidR="003D640C">
        <w:t xml:space="preserve"> </w:t>
      </w:r>
      <w:r w:rsidRPr="00993640">
        <w:t>helps</w:t>
      </w:r>
      <w:r w:rsidR="003D640C">
        <w:t xml:space="preserve"> </w:t>
      </w:r>
      <w:r w:rsidRPr="00993640">
        <w:t>people</w:t>
      </w:r>
      <w:r w:rsidR="003D640C">
        <w:t xml:space="preserve"> </w:t>
      </w:r>
      <w:r w:rsidRPr="00993640">
        <w:t>who</w:t>
      </w:r>
      <w:r w:rsidR="003D640C">
        <w:t xml:space="preserve"> </w:t>
      </w:r>
      <w:r w:rsidRPr="00993640">
        <w:t>come</w:t>
      </w:r>
      <w:r w:rsidR="003D640C">
        <w:t xml:space="preserve"> </w:t>
      </w:r>
      <w:r w:rsidRPr="00993640">
        <w:t>from</w:t>
      </w:r>
      <w:r w:rsidR="003D640C">
        <w:t xml:space="preserve"> </w:t>
      </w:r>
      <w:r w:rsidRPr="00993640">
        <w:t>those</w:t>
      </w:r>
      <w:r w:rsidR="003D640C">
        <w:t xml:space="preserve"> </w:t>
      </w:r>
      <w:r w:rsidRPr="00993640">
        <w:t>communities</w:t>
      </w:r>
      <w:r w:rsidR="003D640C">
        <w:t xml:space="preserve"> </w:t>
      </w:r>
      <w:r w:rsidRPr="00993640">
        <w:t>to</w:t>
      </w:r>
      <w:r w:rsidR="003D640C">
        <w:t xml:space="preserve"> </w:t>
      </w:r>
      <w:r w:rsidRPr="00993640">
        <w:t>see</w:t>
      </w:r>
      <w:r w:rsidR="003D640C">
        <w:t xml:space="preserve"> </w:t>
      </w:r>
      <w:r w:rsidRPr="00993640">
        <w:t>visible</w:t>
      </w:r>
      <w:r w:rsidR="003D640C">
        <w:t xml:space="preserve"> </w:t>
      </w:r>
      <w:r w:rsidRPr="00993640">
        <w:t>representation</w:t>
      </w:r>
      <w:r w:rsidR="003D640C">
        <w:t xml:space="preserve"> </w:t>
      </w:r>
      <w:r w:rsidRPr="00993640">
        <w:t>and</w:t>
      </w:r>
      <w:r w:rsidR="003D640C">
        <w:t xml:space="preserve"> </w:t>
      </w:r>
      <w:r w:rsidRPr="00993640">
        <w:t>relatable</w:t>
      </w:r>
      <w:r w:rsidR="003D640C">
        <w:t xml:space="preserve"> </w:t>
      </w:r>
      <w:r w:rsidRPr="00993640">
        <w:t>narratives</w:t>
      </w:r>
      <w:r w:rsidR="003D640C">
        <w:t xml:space="preserve"> </w:t>
      </w:r>
      <w:r w:rsidRPr="00993640">
        <w:t>to</w:t>
      </w:r>
      <w:r w:rsidR="003D640C">
        <w:t xml:space="preserve"> </w:t>
      </w:r>
      <w:r w:rsidRPr="00993640">
        <w:t>support</w:t>
      </w:r>
      <w:r w:rsidR="003D640C">
        <w:t xml:space="preserve"> </w:t>
      </w:r>
      <w:r w:rsidRPr="00993640">
        <w:t>their</w:t>
      </w:r>
      <w:r w:rsidR="003D640C">
        <w:t xml:space="preserve"> </w:t>
      </w:r>
      <w:r w:rsidRPr="00993640">
        <w:t>own</w:t>
      </w:r>
      <w:r w:rsidR="003D640C">
        <w:t xml:space="preserve"> </w:t>
      </w:r>
      <w:r w:rsidRPr="00993640">
        <w:t>development.</w:t>
      </w:r>
      <w:r w:rsidR="003D640C">
        <w:t xml:space="preserve"> </w:t>
      </w:r>
      <w:r w:rsidR="00B97546">
        <w:t>I</w:t>
      </w:r>
      <w:r w:rsidRPr="00993640">
        <w:t>t</w:t>
      </w:r>
      <w:r w:rsidR="003D640C">
        <w:t xml:space="preserve"> </w:t>
      </w:r>
      <w:r w:rsidRPr="00993640">
        <w:t>is</w:t>
      </w:r>
      <w:r w:rsidR="003D640C">
        <w:t xml:space="preserve"> </w:t>
      </w:r>
      <w:r w:rsidRPr="00993640">
        <w:t>also</w:t>
      </w:r>
      <w:r w:rsidR="003D640C">
        <w:t xml:space="preserve"> </w:t>
      </w:r>
      <w:r w:rsidRPr="00993640">
        <w:t>helpful</w:t>
      </w:r>
      <w:r w:rsidR="003D640C">
        <w:t xml:space="preserve"> </w:t>
      </w:r>
      <w:r w:rsidRPr="00993640">
        <w:t>for</w:t>
      </w:r>
      <w:r w:rsidR="003D640C">
        <w:t xml:space="preserve"> </w:t>
      </w:r>
      <w:r w:rsidRPr="00993640">
        <w:t>others</w:t>
      </w:r>
      <w:r w:rsidR="003D640C">
        <w:t xml:space="preserve"> </w:t>
      </w:r>
      <w:r w:rsidRPr="00993640">
        <w:t>outside</w:t>
      </w:r>
      <w:r w:rsidR="003D640C">
        <w:t xml:space="preserve"> </w:t>
      </w:r>
      <w:r w:rsidRPr="00993640">
        <w:t>those</w:t>
      </w:r>
      <w:r w:rsidR="003D640C">
        <w:t xml:space="preserve"> </w:t>
      </w:r>
      <w:r w:rsidRPr="00993640">
        <w:t>communities</w:t>
      </w:r>
      <w:r w:rsidR="003D640C">
        <w:t xml:space="preserve"> </w:t>
      </w:r>
      <w:r w:rsidRPr="00993640">
        <w:t>to</w:t>
      </w:r>
      <w:r w:rsidR="003D640C">
        <w:t xml:space="preserve"> </w:t>
      </w:r>
      <w:r w:rsidRPr="00993640">
        <w:t>know</w:t>
      </w:r>
      <w:r w:rsidR="003D640C">
        <w:t xml:space="preserve"> </w:t>
      </w:r>
      <w:r w:rsidRPr="00993640">
        <w:t>how</w:t>
      </w:r>
      <w:r w:rsidR="003D640C">
        <w:t xml:space="preserve"> </w:t>
      </w:r>
      <w:r w:rsidRPr="00993640">
        <w:t>and</w:t>
      </w:r>
      <w:r w:rsidR="003D640C">
        <w:t xml:space="preserve"> </w:t>
      </w:r>
      <w:r w:rsidRPr="00993640">
        <w:t>where</w:t>
      </w:r>
      <w:r w:rsidR="003D640C">
        <w:t xml:space="preserve"> </w:t>
      </w:r>
      <w:r w:rsidRPr="00993640">
        <w:t>they</w:t>
      </w:r>
      <w:r w:rsidR="003D640C">
        <w:t xml:space="preserve"> </w:t>
      </w:r>
      <w:r w:rsidRPr="00993640">
        <w:t>can</w:t>
      </w:r>
      <w:r w:rsidR="003D640C">
        <w:t xml:space="preserve"> </w:t>
      </w:r>
      <w:r w:rsidRPr="00993640">
        <w:t>be</w:t>
      </w:r>
      <w:r w:rsidR="003D640C">
        <w:t xml:space="preserve"> </w:t>
      </w:r>
      <w:r w:rsidRPr="00993640">
        <w:t>of</w:t>
      </w:r>
      <w:r w:rsidR="003D640C">
        <w:t xml:space="preserve"> </w:t>
      </w:r>
      <w:r w:rsidRPr="00993640">
        <w:t>assistance.</w:t>
      </w:r>
      <w:r w:rsidR="003D640C">
        <w:t xml:space="preserve">  </w:t>
      </w:r>
    </w:p>
    <w:p w14:paraId="0CC36276" w14:textId="300DD6B1" w:rsidR="00DB6CB6" w:rsidRPr="00993640" w:rsidRDefault="00DB6CB6" w:rsidP="009032B9">
      <w:r w:rsidRPr="00993640">
        <w:t>However,</w:t>
      </w:r>
      <w:r w:rsidR="003D640C">
        <w:t xml:space="preserve"> </w:t>
      </w:r>
      <w:r w:rsidRPr="00993640">
        <w:t>it</w:t>
      </w:r>
      <w:r w:rsidR="003D640C">
        <w:t xml:space="preserve"> </w:t>
      </w:r>
      <w:r w:rsidRPr="00993640">
        <w:t>has</w:t>
      </w:r>
      <w:r w:rsidR="003D640C">
        <w:t xml:space="preserve"> </w:t>
      </w:r>
      <w:r w:rsidRPr="00993640">
        <w:t>been</w:t>
      </w:r>
      <w:r w:rsidR="003D640C">
        <w:t xml:space="preserve"> </w:t>
      </w:r>
      <w:r w:rsidRPr="00993640">
        <w:t>noted</w:t>
      </w:r>
      <w:r w:rsidR="003D640C">
        <w:t xml:space="preserve"> </w:t>
      </w:r>
      <w:r w:rsidRPr="00993640">
        <w:t>that</w:t>
      </w:r>
      <w:r w:rsidR="003D640C">
        <w:t xml:space="preserve"> </w:t>
      </w:r>
      <w:r w:rsidR="00D934A8" w:rsidRPr="00993640">
        <w:t>most</w:t>
      </w:r>
      <w:r w:rsidR="003D640C">
        <w:t xml:space="preserve"> </w:t>
      </w:r>
      <w:r w:rsidR="00D934A8" w:rsidRPr="00993640">
        <w:t>of</w:t>
      </w:r>
      <w:r w:rsidR="003D640C">
        <w:t xml:space="preserve"> </w:t>
      </w:r>
      <w:r w:rsidRPr="00993640">
        <w:t>the</w:t>
      </w:r>
      <w:r w:rsidR="003D640C">
        <w:t xml:space="preserve"> </w:t>
      </w:r>
      <w:r w:rsidRPr="00993640">
        <w:t>ethnic</w:t>
      </w:r>
      <w:r w:rsidR="003D640C">
        <w:t xml:space="preserve"> </w:t>
      </w:r>
      <w:r>
        <w:t>R</w:t>
      </w:r>
      <w:r w:rsidRPr="00993640">
        <w:t>ainbow</w:t>
      </w:r>
      <w:r w:rsidR="003D640C">
        <w:t xml:space="preserve"> </w:t>
      </w:r>
      <w:r w:rsidRPr="00993640">
        <w:t>community</w:t>
      </w:r>
      <w:r w:rsidR="003D640C">
        <w:t xml:space="preserve"> </w:t>
      </w:r>
      <w:r w:rsidRPr="00993640">
        <w:t>working</w:t>
      </w:r>
      <w:r w:rsidR="003D640C">
        <w:t xml:space="preserve"> </w:t>
      </w:r>
      <w:r w:rsidRPr="00993640">
        <w:t>for</w:t>
      </w:r>
      <w:r w:rsidR="003D640C">
        <w:t xml:space="preserve"> </w:t>
      </w:r>
      <w:r w:rsidRPr="00993640">
        <w:t>acceptance</w:t>
      </w:r>
      <w:r w:rsidR="003D640C">
        <w:t xml:space="preserve"> </w:t>
      </w:r>
      <w:r w:rsidRPr="00993640">
        <w:t>of</w:t>
      </w:r>
      <w:r w:rsidR="003D640C">
        <w:t xml:space="preserve"> </w:t>
      </w:r>
      <w:r>
        <w:t>R</w:t>
      </w:r>
      <w:r w:rsidRPr="00993640">
        <w:t>ainbow</w:t>
      </w:r>
      <w:r w:rsidR="003D640C">
        <w:t xml:space="preserve"> </w:t>
      </w:r>
      <w:r w:rsidRPr="00993640">
        <w:t>identities</w:t>
      </w:r>
      <w:r w:rsidR="003D640C">
        <w:t xml:space="preserve"> </w:t>
      </w:r>
      <w:r w:rsidRPr="00993640">
        <w:t>are</w:t>
      </w:r>
      <w:r w:rsidR="003D640C">
        <w:t xml:space="preserve"> </w:t>
      </w:r>
      <w:r w:rsidRPr="00993640">
        <w:t>young</w:t>
      </w:r>
      <w:r w:rsidR="003D640C">
        <w:t xml:space="preserve"> </w:t>
      </w:r>
      <w:r w:rsidRPr="00993640">
        <w:t>people</w:t>
      </w:r>
      <w:r w:rsidR="00B97546">
        <w:t>,</w:t>
      </w:r>
      <w:r w:rsidR="003D640C">
        <w:t xml:space="preserve"> </w:t>
      </w:r>
      <w:r w:rsidRPr="00993640">
        <w:t>which</w:t>
      </w:r>
      <w:r w:rsidR="003D640C">
        <w:t xml:space="preserve"> </w:t>
      </w:r>
      <w:r w:rsidRPr="00993640">
        <w:t>is</w:t>
      </w:r>
      <w:r w:rsidR="003D640C">
        <w:t xml:space="preserve"> </w:t>
      </w:r>
      <w:r w:rsidRPr="00993640">
        <w:t>causing</w:t>
      </w:r>
      <w:r w:rsidR="003D640C">
        <w:t xml:space="preserve"> </w:t>
      </w:r>
      <w:r w:rsidRPr="00993640">
        <w:t>exhaustion</w:t>
      </w:r>
      <w:r w:rsidR="003D640C">
        <w:t xml:space="preserve"> </w:t>
      </w:r>
      <w:r w:rsidR="00B97546">
        <w:t>for</w:t>
      </w:r>
      <w:r w:rsidR="003D640C">
        <w:t xml:space="preserve"> </w:t>
      </w:r>
      <w:r w:rsidR="00B97546">
        <w:t>them</w:t>
      </w:r>
      <w:r w:rsidRPr="00993640">
        <w:t>.</w:t>
      </w:r>
    </w:p>
    <w:p w14:paraId="3EA5045C" w14:textId="528FDADA" w:rsidR="00DB6CB6" w:rsidRPr="00993640" w:rsidRDefault="00DB6CB6" w:rsidP="009032B9">
      <w:pPr>
        <w:pStyle w:val="Quote"/>
      </w:pPr>
      <w:r w:rsidRPr="00993640">
        <w:t>“Fatigue</w:t>
      </w:r>
      <w:r w:rsidR="003D640C">
        <w:t xml:space="preserve"> </w:t>
      </w:r>
      <w:r w:rsidRPr="00993640">
        <w:t>as</w:t>
      </w:r>
      <w:r w:rsidR="003D640C">
        <w:t xml:space="preserve"> </w:t>
      </w:r>
      <w:r w:rsidRPr="00993640">
        <w:t>a</w:t>
      </w:r>
      <w:r w:rsidR="003D640C">
        <w:t xml:space="preserve"> </w:t>
      </w:r>
      <w:r w:rsidRPr="00993640">
        <w:t>consequence</w:t>
      </w:r>
      <w:r w:rsidR="003D640C">
        <w:t xml:space="preserve"> </w:t>
      </w:r>
      <w:r w:rsidRPr="00993640">
        <w:t>of</w:t>
      </w:r>
      <w:r w:rsidR="003D640C">
        <w:t xml:space="preserve"> </w:t>
      </w:r>
      <w:r w:rsidRPr="00993640">
        <w:t>navigating</w:t>
      </w:r>
      <w:r w:rsidR="003D640C">
        <w:t xml:space="preserve"> </w:t>
      </w:r>
      <w:r w:rsidRPr="00993640">
        <w:t>their</w:t>
      </w:r>
      <w:r w:rsidR="003D640C">
        <w:t xml:space="preserve"> </w:t>
      </w:r>
      <w:r w:rsidRPr="00993640">
        <w:t>intersectionality</w:t>
      </w:r>
      <w:r w:rsidR="003D640C">
        <w:t xml:space="preserve"> </w:t>
      </w:r>
      <w:bookmarkStart w:id="425" w:name="_Int_khE3iXBs"/>
      <w:r w:rsidRPr="00993640">
        <w:t>and</w:t>
      </w:r>
      <w:r w:rsidR="003D640C">
        <w:t xml:space="preserve"> </w:t>
      </w:r>
      <w:r w:rsidRPr="00993640">
        <w:t>also</w:t>
      </w:r>
      <w:bookmarkEnd w:id="425"/>
      <w:r w:rsidR="003D640C">
        <w:t xml:space="preserve"> </w:t>
      </w:r>
      <w:r w:rsidRPr="00993640">
        <w:t>educating</w:t>
      </w:r>
      <w:r w:rsidR="003D640C">
        <w:t xml:space="preserve"> </w:t>
      </w:r>
      <w:r w:rsidRPr="00993640">
        <w:t>their</w:t>
      </w:r>
      <w:r w:rsidR="003D640C">
        <w:t xml:space="preserve"> </w:t>
      </w:r>
      <w:r w:rsidRPr="00993640">
        <w:t>parents</w:t>
      </w:r>
      <w:r w:rsidR="003D640C">
        <w:t xml:space="preserve"> </w:t>
      </w:r>
      <w:r w:rsidRPr="00993640">
        <w:t>and</w:t>
      </w:r>
      <w:r w:rsidR="003D640C">
        <w:t xml:space="preserve"> </w:t>
      </w:r>
      <w:r w:rsidRPr="00993640">
        <w:t>other</w:t>
      </w:r>
      <w:r w:rsidR="003D640C">
        <w:t xml:space="preserve"> </w:t>
      </w:r>
      <w:r w:rsidRPr="00993640">
        <w:t>elders</w:t>
      </w:r>
      <w:r w:rsidR="003D640C">
        <w:t xml:space="preserve"> </w:t>
      </w:r>
      <w:r w:rsidRPr="00993640">
        <w:t>in</w:t>
      </w:r>
      <w:r w:rsidR="003D640C">
        <w:t xml:space="preserve"> </w:t>
      </w:r>
      <w:r w:rsidRPr="00993640">
        <w:t>their</w:t>
      </w:r>
      <w:r w:rsidR="003D640C">
        <w:t xml:space="preserve"> </w:t>
      </w:r>
      <w:r w:rsidRPr="00993640">
        <w:t>community.</w:t>
      </w:r>
      <w:r w:rsidR="004613EB">
        <w:t>”</w:t>
      </w:r>
      <w:r w:rsidR="003D640C">
        <w:t xml:space="preserve"> </w:t>
      </w:r>
      <w:r w:rsidRPr="00993640">
        <w:t>Fiji</w:t>
      </w:r>
      <w:r w:rsidR="00C746DA">
        <w:t>an</w:t>
      </w:r>
      <w:r w:rsidR="003D640C">
        <w:t xml:space="preserve"> </w:t>
      </w:r>
      <w:r w:rsidRPr="00993640">
        <w:t>Indian</w:t>
      </w:r>
      <w:r w:rsidR="003D640C">
        <w:t xml:space="preserve"> </w:t>
      </w:r>
      <w:r w:rsidRPr="00993640">
        <w:t>migrant,</w:t>
      </w:r>
      <w:r w:rsidR="003D640C">
        <w:t xml:space="preserve"> </w:t>
      </w:r>
      <w:r w:rsidRPr="00993640">
        <w:t>queer</w:t>
      </w:r>
    </w:p>
    <w:p w14:paraId="09794B42" w14:textId="63984233" w:rsidR="00501068" w:rsidRDefault="00880C28" w:rsidP="009032B9">
      <w:r>
        <w:t>We</w:t>
      </w:r>
      <w:r w:rsidR="003D640C">
        <w:t xml:space="preserve"> </w:t>
      </w:r>
      <w:r w:rsidR="00DB6CB6" w:rsidRPr="00993640">
        <w:t>recommend</w:t>
      </w:r>
      <w:r w:rsidR="003D640C">
        <w:t xml:space="preserve"> </w:t>
      </w:r>
      <w:r w:rsidR="00FF267E">
        <w:t>resourcing</w:t>
      </w:r>
      <w:r w:rsidR="003D640C">
        <w:t xml:space="preserve"> </w:t>
      </w:r>
      <w:r w:rsidR="00DB6CB6" w:rsidRPr="00993640">
        <w:t>culturally</w:t>
      </w:r>
      <w:r w:rsidR="003D640C">
        <w:t xml:space="preserve"> </w:t>
      </w:r>
      <w:r w:rsidR="00DB6CB6" w:rsidRPr="00993640">
        <w:t>safe</w:t>
      </w:r>
      <w:r w:rsidR="003D640C">
        <w:t xml:space="preserve"> </w:t>
      </w:r>
      <w:r w:rsidR="00DB6CB6" w:rsidRPr="00993640">
        <w:t>and</w:t>
      </w:r>
      <w:r w:rsidR="003D640C">
        <w:t xml:space="preserve"> </w:t>
      </w:r>
      <w:r w:rsidR="00DB6CB6" w:rsidRPr="00993640">
        <w:t>relevant,</w:t>
      </w:r>
      <w:r w:rsidR="003D640C">
        <w:t xml:space="preserve"> </w:t>
      </w:r>
      <w:r w:rsidR="00DB6CB6" w:rsidRPr="00993640">
        <w:t>survivor-led</w:t>
      </w:r>
      <w:r w:rsidR="003D640C">
        <w:t xml:space="preserve"> </w:t>
      </w:r>
      <w:r w:rsidR="00DB6CB6" w:rsidRPr="00993640">
        <w:t>education</w:t>
      </w:r>
      <w:r w:rsidR="003D640C">
        <w:t xml:space="preserve"> </w:t>
      </w:r>
      <w:r w:rsidR="00DB6CB6" w:rsidRPr="00993640">
        <w:t>and</w:t>
      </w:r>
      <w:r w:rsidR="003D640C">
        <w:t xml:space="preserve"> </w:t>
      </w:r>
      <w:r w:rsidR="00DB6CB6" w:rsidRPr="00993640">
        <w:t>prevention</w:t>
      </w:r>
      <w:r>
        <w:t>.</w:t>
      </w:r>
      <w:r w:rsidR="003D640C">
        <w:t xml:space="preserve"> </w:t>
      </w:r>
      <w:r>
        <w:t>This</w:t>
      </w:r>
      <w:r w:rsidR="003D640C">
        <w:t xml:space="preserve"> </w:t>
      </w:r>
      <w:r w:rsidR="00DB6CB6" w:rsidRPr="00993640">
        <w:t>will</w:t>
      </w:r>
      <w:r w:rsidR="003D640C">
        <w:t xml:space="preserve"> </w:t>
      </w:r>
      <w:r w:rsidR="00DB6CB6" w:rsidRPr="00993640">
        <w:t>help</w:t>
      </w:r>
      <w:r w:rsidR="003D640C">
        <w:t xml:space="preserve"> </w:t>
      </w:r>
      <w:r w:rsidR="00DB6CB6" w:rsidRPr="00993640">
        <w:t>to</w:t>
      </w:r>
      <w:r w:rsidR="003D640C">
        <w:t xml:space="preserve"> </w:t>
      </w:r>
      <w:r w:rsidR="00DB6CB6" w:rsidRPr="00993640">
        <w:t>mitigate</w:t>
      </w:r>
      <w:r w:rsidR="003D640C">
        <w:t xml:space="preserve"> </w:t>
      </w:r>
      <w:r w:rsidR="00DB6CB6" w:rsidRPr="00993640">
        <w:t>against</w:t>
      </w:r>
      <w:r w:rsidR="003D640C">
        <w:t xml:space="preserve"> </w:t>
      </w:r>
      <w:r w:rsidR="00DB6CB6" w:rsidRPr="00993640">
        <w:t>this</w:t>
      </w:r>
      <w:r w:rsidR="003D640C">
        <w:t xml:space="preserve"> </w:t>
      </w:r>
      <w:r w:rsidR="00DB6CB6" w:rsidRPr="00993640">
        <w:t>dynamic</w:t>
      </w:r>
      <w:r w:rsidR="003D640C">
        <w:t xml:space="preserve"> </w:t>
      </w:r>
      <w:r w:rsidR="00DB6CB6" w:rsidRPr="00993640">
        <w:t>of</w:t>
      </w:r>
      <w:r w:rsidR="003D640C">
        <w:t xml:space="preserve"> </w:t>
      </w:r>
      <w:r w:rsidR="00DB6CB6" w:rsidRPr="00993640">
        <w:t>a</w:t>
      </w:r>
      <w:r w:rsidR="003D640C">
        <w:t xml:space="preserve"> </w:t>
      </w:r>
      <w:r w:rsidR="00DB6CB6" w:rsidRPr="00993640">
        <w:t>comparatively</w:t>
      </w:r>
      <w:r w:rsidR="003D640C">
        <w:t xml:space="preserve"> </w:t>
      </w:r>
      <w:r w:rsidR="00DB6CB6" w:rsidRPr="00993640">
        <w:t>youthful</w:t>
      </w:r>
      <w:r w:rsidR="003D640C">
        <w:t xml:space="preserve"> </w:t>
      </w:r>
      <w:r w:rsidR="00DB6CB6" w:rsidRPr="00993640">
        <w:t>cohort</w:t>
      </w:r>
      <w:r w:rsidR="003D640C">
        <w:t xml:space="preserve"> </w:t>
      </w:r>
      <w:r w:rsidR="00DB6CB6" w:rsidRPr="00993640">
        <w:t>of</w:t>
      </w:r>
      <w:r w:rsidR="003D640C">
        <w:t xml:space="preserve"> </w:t>
      </w:r>
      <w:r w:rsidR="00DB6CB6" w:rsidRPr="00993640">
        <w:t>Rainbow</w:t>
      </w:r>
      <w:r w:rsidR="003D640C">
        <w:t xml:space="preserve"> </w:t>
      </w:r>
      <w:r w:rsidR="00DB6CB6" w:rsidRPr="00993640">
        <w:t>individuals</w:t>
      </w:r>
      <w:r w:rsidR="003D640C">
        <w:t xml:space="preserve"> </w:t>
      </w:r>
      <w:r w:rsidR="00DB6CB6" w:rsidRPr="00993640">
        <w:t>and</w:t>
      </w:r>
      <w:r w:rsidR="003D640C">
        <w:t xml:space="preserve"> </w:t>
      </w:r>
      <w:r w:rsidR="00DB6CB6" w:rsidRPr="00993640">
        <w:t>groups</w:t>
      </w:r>
      <w:r w:rsidR="003D640C">
        <w:t xml:space="preserve"> </w:t>
      </w:r>
      <w:r w:rsidR="00DB6CB6" w:rsidRPr="00993640">
        <w:t>leading</w:t>
      </w:r>
      <w:r w:rsidR="003D640C">
        <w:t xml:space="preserve"> </w:t>
      </w:r>
      <w:r w:rsidR="00DB6CB6" w:rsidRPr="00993640">
        <w:t>the</w:t>
      </w:r>
      <w:r w:rsidR="003D640C">
        <w:t xml:space="preserve"> </w:t>
      </w:r>
      <w:r w:rsidR="00DB6CB6" w:rsidRPr="00993640">
        <w:t>charge</w:t>
      </w:r>
      <w:r w:rsidR="003D640C">
        <w:t xml:space="preserve"> </w:t>
      </w:r>
      <w:r w:rsidR="00DB6CB6" w:rsidRPr="00993640">
        <w:t>for</w:t>
      </w:r>
      <w:r w:rsidR="003D640C">
        <w:t xml:space="preserve"> </w:t>
      </w:r>
      <w:r w:rsidR="00DB6CB6" w:rsidRPr="00993640">
        <w:t>more</w:t>
      </w:r>
      <w:r w:rsidR="003D640C">
        <w:t xml:space="preserve"> </w:t>
      </w:r>
      <w:r w:rsidR="00DB6CB6" w:rsidRPr="00993640">
        <w:t>inclusive</w:t>
      </w:r>
      <w:r w:rsidR="003D640C">
        <w:t xml:space="preserve"> </w:t>
      </w:r>
      <w:r w:rsidR="00DB6CB6" w:rsidRPr="00993640">
        <w:t>practice</w:t>
      </w:r>
      <w:r w:rsidR="003D640C">
        <w:t xml:space="preserve"> </w:t>
      </w:r>
      <w:r w:rsidR="00DB6CB6" w:rsidRPr="00993640">
        <w:t>and</w:t>
      </w:r>
      <w:r w:rsidR="003D640C">
        <w:t xml:space="preserve"> </w:t>
      </w:r>
      <w:r w:rsidR="00DB6CB6" w:rsidRPr="00993640">
        <w:t>attitudes</w:t>
      </w:r>
      <w:r w:rsidR="003D640C">
        <w:t xml:space="preserve"> </w:t>
      </w:r>
      <w:r w:rsidR="0000334E">
        <w:t>on</w:t>
      </w:r>
      <w:r w:rsidR="003D640C">
        <w:t xml:space="preserve"> </w:t>
      </w:r>
      <w:r w:rsidR="0000334E">
        <w:t>behalf</w:t>
      </w:r>
      <w:r w:rsidR="003D640C">
        <w:t xml:space="preserve"> </w:t>
      </w:r>
      <w:r w:rsidR="0000334E">
        <w:t>of</w:t>
      </w:r>
      <w:r w:rsidR="003D640C">
        <w:t xml:space="preserve"> </w:t>
      </w:r>
      <w:r w:rsidR="0000334E">
        <w:t>their</w:t>
      </w:r>
      <w:r w:rsidR="003D640C">
        <w:t xml:space="preserve"> </w:t>
      </w:r>
      <w:r w:rsidR="0000334E">
        <w:t>wider</w:t>
      </w:r>
      <w:r w:rsidR="003D640C">
        <w:t xml:space="preserve"> </w:t>
      </w:r>
      <w:r w:rsidR="0000334E">
        <w:t>communities</w:t>
      </w:r>
      <w:r w:rsidR="00DB6CB6" w:rsidRPr="00993640">
        <w:t>.</w:t>
      </w:r>
    </w:p>
    <w:p w14:paraId="55A021EB" w14:textId="77777777" w:rsidR="00501068" w:rsidRDefault="00CD2C3B" w:rsidP="002C6363">
      <w:pPr>
        <w:pStyle w:val="Heading3"/>
        <w:rPr>
          <w:rFonts w:ascii="Segoe UI" w:hAnsi="Segoe UI" w:cs="Segoe UI"/>
          <w:sz w:val="18"/>
          <w:szCs w:val="18"/>
        </w:rPr>
      </w:pPr>
      <w:bookmarkStart w:id="426" w:name="_Toc167780651"/>
      <w:bookmarkStart w:id="427" w:name="_Toc1216774020"/>
      <w:bookmarkStart w:id="428" w:name="_Toc174628713"/>
      <w:r w:rsidRPr="00BB6220">
        <w:t>Supporting</w:t>
      </w:r>
      <w:r w:rsidR="003D640C">
        <w:t xml:space="preserve"> </w:t>
      </w:r>
      <w:r w:rsidRPr="00BB6220">
        <w:t>transgender</w:t>
      </w:r>
      <w:r w:rsidR="003D640C">
        <w:t xml:space="preserve"> </w:t>
      </w:r>
      <w:r w:rsidRPr="00BB6220">
        <w:t>and</w:t>
      </w:r>
      <w:r w:rsidR="003D640C">
        <w:t xml:space="preserve"> </w:t>
      </w:r>
      <w:r w:rsidRPr="00BB6220">
        <w:t>non-binary</w:t>
      </w:r>
      <w:r w:rsidR="003D640C">
        <w:t xml:space="preserve"> </w:t>
      </w:r>
      <w:r w:rsidRPr="00BB6220">
        <w:t>people</w:t>
      </w:r>
      <w:r w:rsidR="003D640C">
        <w:t xml:space="preserve"> </w:t>
      </w:r>
      <w:r w:rsidRPr="00BB6220">
        <w:t>to</w:t>
      </w:r>
      <w:r w:rsidR="003D640C">
        <w:t xml:space="preserve"> </w:t>
      </w:r>
      <w:r w:rsidRPr="00BB6220">
        <w:t>recover</w:t>
      </w:r>
      <w:r w:rsidR="003D640C">
        <w:t xml:space="preserve"> </w:t>
      </w:r>
      <w:r w:rsidRPr="00BB6220">
        <w:t>from</w:t>
      </w:r>
      <w:r w:rsidR="003D640C">
        <w:t xml:space="preserve"> </w:t>
      </w:r>
      <w:r w:rsidRPr="00BB6220">
        <w:t>conversion</w:t>
      </w:r>
      <w:r w:rsidR="003D640C">
        <w:t xml:space="preserve"> </w:t>
      </w:r>
      <w:r w:rsidRPr="00BB6220">
        <w:t>practices</w:t>
      </w:r>
      <w:bookmarkEnd w:id="422"/>
      <w:bookmarkEnd w:id="423"/>
      <w:bookmarkEnd w:id="426"/>
      <w:bookmarkEnd w:id="427"/>
      <w:bookmarkEnd w:id="428"/>
      <w:r w:rsidR="003D640C">
        <w:t xml:space="preserve"> </w:t>
      </w:r>
    </w:p>
    <w:p w14:paraId="2F59089A" w14:textId="2F21AD0A" w:rsidR="00501068" w:rsidRDefault="00A95C08" w:rsidP="009032B9">
      <w:pPr>
        <w:rPr>
          <w:lang w:eastAsia="en-NZ"/>
        </w:rPr>
      </w:pPr>
      <w:r>
        <w:rPr>
          <w:lang w:eastAsia="en-NZ"/>
        </w:rPr>
        <w:t>For t</w:t>
      </w:r>
      <w:r w:rsidR="00CD2C3B" w:rsidRPr="00BB6220">
        <w:rPr>
          <w:lang w:eastAsia="en-NZ"/>
        </w:rPr>
        <w:t>ransgender</w:t>
      </w:r>
      <w:r w:rsidR="003D640C">
        <w:rPr>
          <w:lang w:eastAsia="en-NZ"/>
        </w:rPr>
        <w:t xml:space="preserve"> </w:t>
      </w:r>
      <w:r w:rsidR="00CD2C3B" w:rsidRPr="00BB6220">
        <w:rPr>
          <w:lang w:eastAsia="en-NZ"/>
        </w:rPr>
        <w:t>and</w:t>
      </w:r>
      <w:r w:rsidR="003D640C">
        <w:rPr>
          <w:lang w:eastAsia="en-NZ"/>
        </w:rPr>
        <w:t xml:space="preserve"> </w:t>
      </w:r>
      <w:r w:rsidR="00CD2C3B" w:rsidRPr="00BB6220">
        <w:rPr>
          <w:lang w:eastAsia="en-NZ"/>
        </w:rPr>
        <w:t>non-binary</w:t>
      </w:r>
      <w:r w:rsidR="003D640C">
        <w:rPr>
          <w:lang w:eastAsia="en-NZ"/>
        </w:rPr>
        <w:t xml:space="preserve"> </w:t>
      </w:r>
      <w:r w:rsidR="007221E0">
        <w:rPr>
          <w:lang w:eastAsia="en-NZ"/>
        </w:rPr>
        <w:t>survivors</w:t>
      </w:r>
      <w:r>
        <w:rPr>
          <w:lang w:eastAsia="en-NZ"/>
        </w:rPr>
        <w:t>,</w:t>
      </w:r>
      <w:r>
        <w:rPr>
          <w:color w:val="333333"/>
          <w:highlight w:val="white"/>
        </w:rPr>
        <w:t xml:space="preserve"> </w:t>
      </w:r>
      <w:r w:rsidR="006A2F77">
        <w:rPr>
          <w:color w:val="333333"/>
          <w:highlight w:val="white"/>
        </w:rPr>
        <w:t>acceptance and affirmation of</w:t>
      </w:r>
      <w:r>
        <w:rPr>
          <w:color w:val="333333"/>
          <w:highlight w:val="white"/>
        </w:rPr>
        <w:t xml:space="preserve"> </w:t>
      </w:r>
      <w:r w:rsidR="00E20E2A">
        <w:rPr>
          <w:color w:val="333333"/>
          <w:highlight w:val="white"/>
        </w:rPr>
        <w:t>their</w:t>
      </w:r>
      <w:r>
        <w:rPr>
          <w:color w:val="333333"/>
          <w:highlight w:val="white"/>
        </w:rPr>
        <w:t xml:space="preserve"> gender identity and expression</w:t>
      </w:r>
      <w:r w:rsidR="00FC0E6B">
        <w:rPr>
          <w:color w:val="333333"/>
        </w:rPr>
        <w:t xml:space="preserve"> is crucial. This is the case throughout all </w:t>
      </w:r>
      <w:r w:rsidR="001623FD">
        <w:rPr>
          <w:color w:val="333333"/>
        </w:rPr>
        <w:t>areas</w:t>
      </w:r>
      <w:r w:rsidR="00FC0E6B">
        <w:rPr>
          <w:color w:val="333333"/>
        </w:rPr>
        <w:t xml:space="preserve"> of their </w:t>
      </w:r>
      <w:r w:rsidR="001623FD">
        <w:rPr>
          <w:color w:val="333333"/>
        </w:rPr>
        <w:t>lives</w:t>
      </w:r>
      <w:r w:rsidR="00FC0E6B">
        <w:rPr>
          <w:color w:val="333333"/>
        </w:rPr>
        <w:t xml:space="preserve">, including </w:t>
      </w:r>
      <w:r w:rsidR="00237CAB">
        <w:rPr>
          <w:color w:val="333333"/>
        </w:rPr>
        <w:t xml:space="preserve">within </w:t>
      </w:r>
      <w:r w:rsidR="00FC0E6B">
        <w:rPr>
          <w:color w:val="333333"/>
        </w:rPr>
        <w:t xml:space="preserve">whānau, </w:t>
      </w:r>
      <w:r w:rsidR="00237CAB">
        <w:rPr>
          <w:color w:val="333333"/>
        </w:rPr>
        <w:t xml:space="preserve">schools, </w:t>
      </w:r>
      <w:r w:rsidR="00803D72">
        <w:rPr>
          <w:color w:val="333333"/>
        </w:rPr>
        <w:t xml:space="preserve">teams, </w:t>
      </w:r>
      <w:r w:rsidR="001623FD">
        <w:rPr>
          <w:color w:val="333333"/>
        </w:rPr>
        <w:t>communities, religious and faith spaces</w:t>
      </w:r>
      <w:r w:rsidR="00871A5F">
        <w:rPr>
          <w:color w:val="333333"/>
        </w:rPr>
        <w:t xml:space="preserve">, and </w:t>
      </w:r>
      <w:r w:rsidR="00E02F27">
        <w:rPr>
          <w:color w:val="333333"/>
        </w:rPr>
        <w:t>healthcare</w:t>
      </w:r>
      <w:r w:rsidR="001623FD">
        <w:rPr>
          <w:color w:val="333333"/>
        </w:rPr>
        <w:t>.</w:t>
      </w:r>
      <w:r w:rsidR="00C008CB">
        <w:rPr>
          <w:color w:val="333333"/>
        </w:rPr>
        <w:t xml:space="preserve"> Some, but not all, trans and non-binary people require access to gender affirming healthcare</w:t>
      </w:r>
      <w:r w:rsidR="00CD2C3B" w:rsidRPr="00BB6220">
        <w:rPr>
          <w:lang w:eastAsia="en-NZ"/>
        </w:rPr>
        <w:t>.</w:t>
      </w:r>
      <w:r w:rsidR="003D640C">
        <w:rPr>
          <w:lang w:eastAsia="en-NZ"/>
        </w:rPr>
        <w:t xml:space="preserve"> </w:t>
      </w:r>
      <w:r w:rsidR="00093F30">
        <w:rPr>
          <w:lang w:eastAsia="en-NZ"/>
        </w:rPr>
        <w:t>Th</w:t>
      </w:r>
      <w:r w:rsidR="00DE7F44">
        <w:rPr>
          <w:lang w:eastAsia="en-NZ"/>
        </w:rPr>
        <w:t>eir h</w:t>
      </w:r>
      <w:r w:rsidR="00CD2C3B" w:rsidRPr="00BB6220">
        <w:rPr>
          <w:lang w:eastAsia="en-NZ"/>
        </w:rPr>
        <w:t>ealthcare</w:t>
      </w:r>
      <w:r w:rsidR="003D640C">
        <w:rPr>
          <w:lang w:eastAsia="en-NZ"/>
        </w:rPr>
        <w:t xml:space="preserve"> </w:t>
      </w:r>
      <w:r w:rsidR="00CD2C3B" w:rsidRPr="00BB6220">
        <w:rPr>
          <w:lang w:eastAsia="en-NZ"/>
        </w:rPr>
        <w:t>practitioners,</w:t>
      </w:r>
      <w:r w:rsidR="003D640C">
        <w:rPr>
          <w:lang w:eastAsia="en-NZ"/>
        </w:rPr>
        <w:t xml:space="preserve"> </w:t>
      </w:r>
      <w:r w:rsidR="00CD2C3B" w:rsidRPr="00BB6220">
        <w:rPr>
          <w:lang w:eastAsia="en-NZ"/>
        </w:rPr>
        <w:t>parents</w:t>
      </w:r>
      <w:r w:rsidR="006711A2">
        <w:rPr>
          <w:lang w:eastAsia="en-NZ"/>
        </w:rPr>
        <w:t>,</w:t>
      </w:r>
      <w:r w:rsidR="003D640C">
        <w:rPr>
          <w:lang w:eastAsia="en-NZ"/>
        </w:rPr>
        <w:t xml:space="preserve"> </w:t>
      </w:r>
      <w:r w:rsidR="00CD2C3B" w:rsidRPr="00BB6220">
        <w:rPr>
          <w:lang w:eastAsia="en-NZ"/>
        </w:rPr>
        <w:t>and</w:t>
      </w:r>
      <w:r w:rsidR="003D640C">
        <w:rPr>
          <w:lang w:eastAsia="en-NZ"/>
        </w:rPr>
        <w:t xml:space="preserve"> </w:t>
      </w:r>
      <w:r w:rsidR="00CD2C3B" w:rsidRPr="00BB6220">
        <w:rPr>
          <w:lang w:eastAsia="en-NZ"/>
        </w:rPr>
        <w:t>guardians</w:t>
      </w:r>
      <w:r w:rsidR="003D640C">
        <w:rPr>
          <w:lang w:eastAsia="en-NZ"/>
        </w:rPr>
        <w:t xml:space="preserve"> </w:t>
      </w:r>
      <w:r w:rsidR="00CD2C3B" w:rsidRPr="00BB6220">
        <w:rPr>
          <w:lang w:eastAsia="en-NZ"/>
        </w:rPr>
        <w:t>need</w:t>
      </w:r>
      <w:r w:rsidR="003D640C">
        <w:rPr>
          <w:lang w:eastAsia="en-NZ"/>
        </w:rPr>
        <w:t xml:space="preserve"> </w:t>
      </w:r>
      <w:r w:rsidR="00CD2C3B" w:rsidRPr="00BB6220">
        <w:rPr>
          <w:lang w:eastAsia="en-NZ"/>
        </w:rPr>
        <w:t>scientific</w:t>
      </w:r>
      <w:r w:rsidR="003D640C">
        <w:rPr>
          <w:lang w:eastAsia="en-NZ"/>
        </w:rPr>
        <w:t xml:space="preserve"> </w:t>
      </w:r>
      <w:r w:rsidR="00CD2C3B" w:rsidRPr="00BB6220">
        <w:rPr>
          <w:lang w:eastAsia="en-NZ"/>
        </w:rPr>
        <w:t>and</w:t>
      </w:r>
      <w:r w:rsidR="003D640C">
        <w:rPr>
          <w:lang w:eastAsia="en-NZ"/>
        </w:rPr>
        <w:t xml:space="preserve"> </w:t>
      </w:r>
      <w:r w:rsidR="00CD2C3B" w:rsidRPr="00BB6220">
        <w:rPr>
          <w:lang w:eastAsia="en-NZ"/>
        </w:rPr>
        <w:t>evidence-based</w:t>
      </w:r>
      <w:r w:rsidR="003D640C">
        <w:rPr>
          <w:lang w:eastAsia="en-NZ"/>
        </w:rPr>
        <w:t xml:space="preserve"> </w:t>
      </w:r>
      <w:r w:rsidR="00CD2C3B" w:rsidRPr="00BB6220">
        <w:rPr>
          <w:lang w:eastAsia="en-NZ"/>
        </w:rPr>
        <w:t>solutions</w:t>
      </w:r>
      <w:r w:rsidR="003D640C">
        <w:rPr>
          <w:lang w:eastAsia="en-NZ"/>
        </w:rPr>
        <w:t xml:space="preserve"> </w:t>
      </w:r>
      <w:r w:rsidR="00CD2C3B" w:rsidRPr="00BB6220">
        <w:rPr>
          <w:lang w:eastAsia="en-NZ"/>
        </w:rPr>
        <w:t>to</w:t>
      </w:r>
      <w:r w:rsidR="003D640C">
        <w:rPr>
          <w:lang w:eastAsia="en-NZ"/>
        </w:rPr>
        <w:t xml:space="preserve"> </w:t>
      </w:r>
      <w:r w:rsidR="00CD2C3B" w:rsidRPr="00BB6220">
        <w:rPr>
          <w:lang w:eastAsia="en-NZ"/>
        </w:rPr>
        <w:t>support</w:t>
      </w:r>
      <w:r w:rsidR="003D640C">
        <w:rPr>
          <w:lang w:eastAsia="en-NZ"/>
        </w:rPr>
        <w:t xml:space="preserve"> </w:t>
      </w:r>
      <w:r w:rsidR="00CD2C3B" w:rsidRPr="00BB6220">
        <w:rPr>
          <w:lang w:eastAsia="en-NZ"/>
        </w:rPr>
        <w:t>transgender</w:t>
      </w:r>
      <w:r w:rsidR="003D640C">
        <w:rPr>
          <w:lang w:eastAsia="en-NZ"/>
        </w:rPr>
        <w:t xml:space="preserve"> </w:t>
      </w:r>
      <w:r w:rsidR="00CD2C3B" w:rsidRPr="00BB6220">
        <w:rPr>
          <w:lang w:eastAsia="en-NZ"/>
        </w:rPr>
        <w:t>and</w:t>
      </w:r>
      <w:r w:rsidR="003D640C">
        <w:rPr>
          <w:lang w:eastAsia="en-NZ"/>
        </w:rPr>
        <w:t xml:space="preserve"> </w:t>
      </w:r>
      <w:r w:rsidR="00CD2C3B" w:rsidRPr="00BB6220">
        <w:rPr>
          <w:lang w:eastAsia="en-NZ"/>
        </w:rPr>
        <w:t>non-binary</w:t>
      </w:r>
      <w:r w:rsidR="003D640C">
        <w:rPr>
          <w:lang w:eastAsia="en-NZ"/>
        </w:rPr>
        <w:t xml:space="preserve"> </w:t>
      </w:r>
      <w:r w:rsidR="00CD2C3B" w:rsidRPr="00BB6220">
        <w:rPr>
          <w:lang w:eastAsia="en-NZ"/>
        </w:rPr>
        <w:t>people.</w:t>
      </w:r>
      <w:r w:rsidR="003D640C">
        <w:rPr>
          <w:lang w:eastAsia="en-NZ"/>
        </w:rPr>
        <w:t xml:space="preserve"> </w:t>
      </w:r>
      <w:r w:rsidR="00B97546">
        <w:rPr>
          <w:lang w:eastAsia="en-NZ"/>
        </w:rPr>
        <w:t>A</w:t>
      </w:r>
      <w:r w:rsidR="003D640C">
        <w:rPr>
          <w:lang w:eastAsia="en-NZ"/>
        </w:rPr>
        <w:t xml:space="preserve"> </w:t>
      </w:r>
      <w:r w:rsidR="00B97546">
        <w:rPr>
          <w:lang w:eastAsia="en-NZ"/>
        </w:rPr>
        <w:t>Member</w:t>
      </w:r>
      <w:r w:rsidR="003D640C">
        <w:rPr>
          <w:lang w:eastAsia="en-NZ"/>
        </w:rPr>
        <w:t xml:space="preserve"> </w:t>
      </w:r>
      <w:r w:rsidR="00B97546">
        <w:rPr>
          <w:lang w:eastAsia="en-NZ"/>
        </w:rPr>
        <w:t>of</w:t>
      </w:r>
      <w:r w:rsidR="003D640C">
        <w:rPr>
          <w:lang w:eastAsia="en-NZ"/>
        </w:rPr>
        <w:t xml:space="preserve"> </w:t>
      </w:r>
      <w:r w:rsidR="00B97546">
        <w:rPr>
          <w:lang w:eastAsia="en-NZ"/>
        </w:rPr>
        <w:t>Parliament</w:t>
      </w:r>
      <w:r w:rsidR="003D640C">
        <w:rPr>
          <w:lang w:eastAsia="en-NZ"/>
        </w:rPr>
        <w:t xml:space="preserve"> </w:t>
      </w:r>
      <w:r w:rsidR="00B97546">
        <w:rPr>
          <w:lang w:eastAsia="en-NZ"/>
        </w:rPr>
        <w:t>has</w:t>
      </w:r>
      <w:r w:rsidR="003D640C">
        <w:rPr>
          <w:lang w:eastAsia="en-NZ"/>
        </w:rPr>
        <w:t xml:space="preserve"> </w:t>
      </w:r>
      <w:r w:rsidR="00B97546">
        <w:rPr>
          <w:lang w:eastAsia="en-NZ"/>
        </w:rPr>
        <w:t>said:</w:t>
      </w:r>
      <w:r w:rsidR="005030F4">
        <w:rPr>
          <w:rStyle w:val="FootnoteReference"/>
          <w:lang w:eastAsia="en-NZ"/>
        </w:rPr>
        <w:footnoteReference w:id="277"/>
      </w:r>
    </w:p>
    <w:p w14:paraId="2AA2E3CC" w14:textId="77777777" w:rsidR="00501068" w:rsidRDefault="00DB2E94" w:rsidP="009032B9">
      <w:pPr>
        <w:pStyle w:val="Quote"/>
        <w:rPr>
          <w:rFonts w:ascii="Segoe UI" w:hAnsi="Segoe UI" w:cs="Segoe UI"/>
          <w:sz w:val="18"/>
          <w:szCs w:val="18"/>
        </w:rPr>
      </w:pPr>
      <w:r w:rsidRPr="00BB6220">
        <w:lastRenderedPageBreak/>
        <w:t>“Health</w:t>
      </w:r>
      <w:r w:rsidR="003D640C">
        <w:t xml:space="preserve"> </w:t>
      </w:r>
      <w:r w:rsidRPr="00BB6220">
        <w:t>practitioners</w:t>
      </w:r>
      <w:r w:rsidR="003D640C">
        <w:t xml:space="preserve"> </w:t>
      </w:r>
      <w:r w:rsidRPr="00BB6220">
        <w:t>would</w:t>
      </w:r>
      <w:r w:rsidR="003D640C">
        <w:t xml:space="preserve"> </w:t>
      </w:r>
      <w:r w:rsidRPr="00BB6220">
        <w:t>write</w:t>
      </w:r>
      <w:r w:rsidR="003D640C">
        <w:t xml:space="preserve"> </w:t>
      </w:r>
      <w:r w:rsidRPr="00BB6220">
        <w:t>to</w:t>
      </w:r>
      <w:r w:rsidR="003D640C">
        <w:t xml:space="preserve"> </w:t>
      </w:r>
      <w:r w:rsidRPr="00BB6220">
        <w:t>us</w:t>
      </w:r>
      <w:r w:rsidR="003D640C">
        <w:t xml:space="preserve"> </w:t>
      </w:r>
      <w:r w:rsidRPr="00BB6220">
        <w:t>and</w:t>
      </w:r>
      <w:r w:rsidR="003D640C">
        <w:t xml:space="preserve"> </w:t>
      </w:r>
      <w:r w:rsidRPr="00BB6220">
        <w:t>say</w:t>
      </w:r>
      <w:r w:rsidR="003D640C">
        <w:t xml:space="preserve"> </w:t>
      </w:r>
      <w:r w:rsidRPr="00BB6220">
        <w:t>we</w:t>
      </w:r>
      <w:r w:rsidR="003D640C">
        <w:t xml:space="preserve"> </w:t>
      </w:r>
      <w:r w:rsidRPr="00BB6220">
        <w:t>have</w:t>
      </w:r>
      <w:r w:rsidR="003D640C">
        <w:t xml:space="preserve"> </w:t>
      </w:r>
      <w:r w:rsidRPr="00BB6220">
        <w:t>seen</w:t>
      </w:r>
      <w:r w:rsidR="003D640C">
        <w:t xml:space="preserve"> </w:t>
      </w:r>
      <w:r w:rsidRPr="00BB6220">
        <w:t>people</w:t>
      </w:r>
      <w:r w:rsidR="003D640C">
        <w:t xml:space="preserve"> </w:t>
      </w:r>
      <w:r w:rsidRPr="00BB6220">
        <w:t>that</w:t>
      </w:r>
      <w:r w:rsidR="003D640C">
        <w:t xml:space="preserve"> </w:t>
      </w:r>
      <w:r w:rsidRPr="00BB6220">
        <w:t>have</w:t>
      </w:r>
      <w:r w:rsidR="003D640C">
        <w:t xml:space="preserve"> </w:t>
      </w:r>
      <w:r w:rsidRPr="00BB6220">
        <w:t>gone</w:t>
      </w:r>
      <w:r w:rsidR="003D640C">
        <w:t xml:space="preserve"> </w:t>
      </w:r>
      <w:r w:rsidRPr="00BB6220">
        <w:t>through</w:t>
      </w:r>
      <w:r w:rsidR="003D640C">
        <w:t xml:space="preserve"> </w:t>
      </w:r>
      <w:r w:rsidRPr="00BB6220">
        <w:t>[conversion</w:t>
      </w:r>
      <w:r w:rsidR="003D640C">
        <w:t xml:space="preserve"> </w:t>
      </w:r>
      <w:r w:rsidRPr="00BB6220">
        <w:t>practices]</w:t>
      </w:r>
      <w:r w:rsidR="003D640C">
        <w:t xml:space="preserve"> </w:t>
      </w:r>
      <w:r w:rsidRPr="00BB6220">
        <w:t>and</w:t>
      </w:r>
      <w:r w:rsidR="003D640C">
        <w:t xml:space="preserve"> </w:t>
      </w:r>
      <w:r w:rsidRPr="00BB6220">
        <w:t>we</w:t>
      </w:r>
      <w:r w:rsidR="003D640C">
        <w:t xml:space="preserve"> </w:t>
      </w:r>
      <w:r w:rsidRPr="00BB6220">
        <w:t>have</w:t>
      </w:r>
      <w:r w:rsidR="003D640C">
        <w:t xml:space="preserve"> </w:t>
      </w:r>
      <w:r w:rsidRPr="00BB6220">
        <w:t>to</w:t>
      </w:r>
      <w:r w:rsidR="003D640C">
        <w:t xml:space="preserve"> </w:t>
      </w:r>
      <w:r w:rsidRPr="00BB6220">
        <w:t>undo</w:t>
      </w:r>
      <w:r w:rsidR="003D640C">
        <w:t xml:space="preserve"> </w:t>
      </w:r>
      <w:r w:rsidRPr="00BB6220">
        <w:t>all</w:t>
      </w:r>
      <w:r w:rsidR="003D640C">
        <w:t xml:space="preserve"> </w:t>
      </w:r>
      <w:r w:rsidRPr="00BB6220">
        <w:t>that</w:t>
      </w:r>
      <w:r w:rsidR="003D640C">
        <w:t xml:space="preserve"> </w:t>
      </w:r>
      <w:r w:rsidRPr="00BB6220">
        <w:t>damage</w:t>
      </w:r>
      <w:r w:rsidR="003D640C">
        <w:t xml:space="preserve"> </w:t>
      </w:r>
      <w:r w:rsidRPr="00BB6220">
        <w:t>before</w:t>
      </w:r>
      <w:r w:rsidR="003D640C">
        <w:t xml:space="preserve"> </w:t>
      </w:r>
      <w:r w:rsidRPr="00BB6220">
        <w:t>we</w:t>
      </w:r>
      <w:r w:rsidR="003D640C">
        <w:t xml:space="preserve"> </w:t>
      </w:r>
      <w:r w:rsidRPr="00BB6220">
        <w:t>can</w:t>
      </w:r>
      <w:r w:rsidR="003D640C">
        <w:t xml:space="preserve"> </w:t>
      </w:r>
      <w:r w:rsidRPr="00BB6220">
        <w:t>even</w:t>
      </w:r>
      <w:r w:rsidR="003D640C">
        <w:t xml:space="preserve"> </w:t>
      </w:r>
      <w:r w:rsidRPr="00BB6220">
        <w:t>get</w:t>
      </w:r>
      <w:r w:rsidR="003D640C">
        <w:t xml:space="preserve"> </w:t>
      </w:r>
      <w:r w:rsidRPr="00BB6220">
        <w:t>to</w:t>
      </w:r>
      <w:r w:rsidR="003D640C">
        <w:t xml:space="preserve"> </w:t>
      </w:r>
      <w:r w:rsidRPr="00BB6220">
        <w:t>the</w:t>
      </w:r>
      <w:r w:rsidR="003D640C">
        <w:t xml:space="preserve"> </w:t>
      </w:r>
      <w:r w:rsidRPr="00BB6220">
        <w:t>path</w:t>
      </w:r>
      <w:r w:rsidR="003D640C">
        <w:t xml:space="preserve"> </w:t>
      </w:r>
      <w:r w:rsidRPr="00BB6220">
        <w:t>of</w:t>
      </w:r>
      <w:r w:rsidR="003D640C">
        <w:t xml:space="preserve"> </w:t>
      </w:r>
      <w:r w:rsidRPr="00BB6220">
        <w:t>people</w:t>
      </w:r>
      <w:r w:rsidR="003D640C">
        <w:t xml:space="preserve"> </w:t>
      </w:r>
      <w:r w:rsidRPr="00BB6220">
        <w:t>accepting</w:t>
      </w:r>
      <w:r w:rsidR="003D640C">
        <w:t xml:space="preserve"> </w:t>
      </w:r>
      <w:r w:rsidRPr="00BB6220">
        <w:t>and</w:t>
      </w:r>
      <w:r w:rsidR="003D640C">
        <w:t xml:space="preserve"> </w:t>
      </w:r>
      <w:r w:rsidRPr="00BB6220">
        <w:t>embracing</w:t>
      </w:r>
      <w:r w:rsidR="003D640C">
        <w:t xml:space="preserve"> </w:t>
      </w:r>
      <w:r w:rsidRPr="00BB6220">
        <w:t>their</w:t>
      </w:r>
      <w:r w:rsidR="003D640C">
        <w:t xml:space="preserve"> </w:t>
      </w:r>
      <w:r w:rsidRPr="00BB6220">
        <w:t>own</w:t>
      </w:r>
      <w:r w:rsidR="003D640C">
        <w:t xml:space="preserve"> </w:t>
      </w:r>
      <w:r w:rsidRPr="00BB6220">
        <w:t>feelings.”</w:t>
      </w:r>
      <w:r w:rsidR="003D640C">
        <w:t xml:space="preserve"> </w:t>
      </w:r>
    </w:p>
    <w:p w14:paraId="047C9425" w14:textId="670AABD9" w:rsidR="00501068" w:rsidRDefault="00813109" w:rsidP="009032B9">
      <w:pPr>
        <w:rPr>
          <w:lang w:eastAsia="en-NZ"/>
        </w:rPr>
      </w:pPr>
      <w:r w:rsidRPr="00BB6220">
        <w:rPr>
          <w:lang w:eastAsia="en-NZ"/>
        </w:rPr>
        <w:t>Affirming</w:t>
      </w:r>
      <w:r w:rsidR="003D640C">
        <w:rPr>
          <w:lang w:eastAsia="en-NZ"/>
        </w:rPr>
        <w:t xml:space="preserve"> </w:t>
      </w:r>
      <w:r w:rsidR="00CD2C3B" w:rsidRPr="00BB6220">
        <w:rPr>
          <w:lang w:eastAsia="en-NZ"/>
        </w:rPr>
        <w:t>mental</w:t>
      </w:r>
      <w:r w:rsidR="003D640C">
        <w:rPr>
          <w:lang w:eastAsia="en-NZ"/>
        </w:rPr>
        <w:t xml:space="preserve"> </w:t>
      </w:r>
      <w:r w:rsidR="00CD2C3B" w:rsidRPr="00BB6220">
        <w:rPr>
          <w:lang w:eastAsia="en-NZ"/>
        </w:rPr>
        <w:t>health</w:t>
      </w:r>
      <w:r w:rsidR="003D640C">
        <w:rPr>
          <w:lang w:eastAsia="en-NZ"/>
        </w:rPr>
        <w:t xml:space="preserve"> </w:t>
      </w:r>
      <w:r w:rsidR="00CD2C3B" w:rsidRPr="00BB6220">
        <w:rPr>
          <w:lang w:eastAsia="en-NZ"/>
        </w:rPr>
        <w:t>support</w:t>
      </w:r>
      <w:r w:rsidR="003D640C">
        <w:rPr>
          <w:lang w:eastAsia="en-NZ"/>
        </w:rPr>
        <w:t xml:space="preserve"> </w:t>
      </w:r>
      <w:r w:rsidR="00CD2C3B" w:rsidRPr="00BB6220">
        <w:rPr>
          <w:lang w:eastAsia="en-NZ"/>
        </w:rPr>
        <w:t>is</w:t>
      </w:r>
      <w:r w:rsidR="003D640C">
        <w:rPr>
          <w:lang w:eastAsia="en-NZ"/>
        </w:rPr>
        <w:t xml:space="preserve"> </w:t>
      </w:r>
      <w:r w:rsidR="00CD2C3B" w:rsidRPr="00BB6220">
        <w:rPr>
          <w:lang w:eastAsia="en-NZ"/>
        </w:rPr>
        <w:t>also</w:t>
      </w:r>
      <w:r w:rsidR="003D640C">
        <w:rPr>
          <w:lang w:eastAsia="en-NZ"/>
        </w:rPr>
        <w:t xml:space="preserve"> </w:t>
      </w:r>
      <w:r w:rsidR="00CD2C3B" w:rsidRPr="00BB6220">
        <w:rPr>
          <w:lang w:eastAsia="en-NZ"/>
        </w:rPr>
        <w:t>key.</w:t>
      </w:r>
      <w:r w:rsidR="003D640C">
        <w:rPr>
          <w:lang w:eastAsia="en-NZ"/>
        </w:rPr>
        <w:t xml:space="preserve"> </w:t>
      </w:r>
      <w:r w:rsidR="00CD2C3B" w:rsidRPr="00BB6220">
        <w:rPr>
          <w:lang w:eastAsia="en-NZ"/>
        </w:rPr>
        <w:t>Affordability</w:t>
      </w:r>
      <w:r w:rsidR="003D640C">
        <w:rPr>
          <w:lang w:eastAsia="en-NZ"/>
        </w:rPr>
        <w:t xml:space="preserve"> </w:t>
      </w:r>
      <w:r w:rsidR="00CD2C3B" w:rsidRPr="00BB6220">
        <w:rPr>
          <w:lang w:eastAsia="en-NZ"/>
        </w:rPr>
        <w:t>is</w:t>
      </w:r>
      <w:r w:rsidR="003D640C">
        <w:rPr>
          <w:lang w:eastAsia="en-NZ"/>
        </w:rPr>
        <w:t xml:space="preserve"> </w:t>
      </w:r>
      <w:r w:rsidR="00CD2C3B" w:rsidRPr="00BB6220">
        <w:rPr>
          <w:lang w:eastAsia="en-NZ"/>
        </w:rPr>
        <w:t>especially</w:t>
      </w:r>
      <w:r w:rsidR="003D640C">
        <w:rPr>
          <w:lang w:eastAsia="en-NZ"/>
        </w:rPr>
        <w:t xml:space="preserve"> </w:t>
      </w:r>
      <w:r w:rsidR="00CD2C3B" w:rsidRPr="00BB6220">
        <w:rPr>
          <w:lang w:eastAsia="en-NZ"/>
        </w:rPr>
        <w:t>important</w:t>
      </w:r>
      <w:r w:rsidR="00DC0A50">
        <w:rPr>
          <w:lang w:eastAsia="en-NZ"/>
        </w:rPr>
        <w:t>.</w:t>
      </w:r>
      <w:r w:rsidR="003D640C">
        <w:rPr>
          <w:lang w:eastAsia="en-NZ"/>
        </w:rPr>
        <w:t xml:space="preserve"> </w:t>
      </w:r>
      <w:r w:rsidR="00DC0A50">
        <w:rPr>
          <w:lang w:eastAsia="en-NZ"/>
        </w:rPr>
        <w:t>A</w:t>
      </w:r>
      <w:r w:rsidR="003D640C">
        <w:rPr>
          <w:lang w:eastAsia="en-NZ"/>
        </w:rPr>
        <w:t xml:space="preserve"> </w:t>
      </w:r>
      <w:r w:rsidR="002237BA">
        <w:rPr>
          <w:lang w:eastAsia="en-NZ"/>
        </w:rPr>
        <w:t>study</w:t>
      </w:r>
      <w:r w:rsidR="003D640C">
        <w:rPr>
          <w:lang w:eastAsia="en-NZ"/>
        </w:rPr>
        <w:t xml:space="preserve"> </w:t>
      </w:r>
      <w:r w:rsidR="004766F9">
        <w:rPr>
          <w:lang w:eastAsia="en-NZ"/>
        </w:rPr>
        <w:t>focused</w:t>
      </w:r>
      <w:r w:rsidR="003D640C">
        <w:rPr>
          <w:lang w:eastAsia="en-NZ"/>
        </w:rPr>
        <w:t xml:space="preserve"> </w:t>
      </w:r>
      <w:r w:rsidR="004766F9">
        <w:rPr>
          <w:lang w:eastAsia="en-NZ"/>
        </w:rPr>
        <w:t>on</w:t>
      </w:r>
      <w:r w:rsidR="003D640C">
        <w:rPr>
          <w:lang w:eastAsia="en-NZ"/>
        </w:rPr>
        <w:t xml:space="preserve"> </w:t>
      </w:r>
      <w:r w:rsidR="00CD2C3B" w:rsidRPr="00BB6220">
        <w:rPr>
          <w:lang w:eastAsia="en-NZ"/>
        </w:rPr>
        <w:t>young</w:t>
      </w:r>
      <w:r w:rsidR="003D640C">
        <w:rPr>
          <w:lang w:eastAsia="en-NZ"/>
        </w:rPr>
        <w:t xml:space="preserve"> </w:t>
      </w:r>
      <w:r w:rsidR="00260EB8" w:rsidRPr="00BB6220">
        <w:t>Rainbow</w:t>
      </w:r>
      <w:r w:rsidR="003D640C">
        <w:t xml:space="preserve"> </w:t>
      </w:r>
      <w:r w:rsidR="001147BA" w:rsidRPr="00BB6220">
        <w:rPr>
          <w:lang w:eastAsia="en-NZ"/>
        </w:rPr>
        <w:t>people</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sidR="003D640C">
        <w:rPr>
          <w:lang w:eastAsia="en-NZ"/>
        </w:rPr>
        <w:t xml:space="preserve"> </w:t>
      </w:r>
      <w:r w:rsidR="004766F9">
        <w:rPr>
          <w:lang w:eastAsia="en-NZ"/>
        </w:rPr>
        <w:t>found</w:t>
      </w:r>
      <w:r w:rsidR="003D640C">
        <w:rPr>
          <w:lang w:eastAsia="en-NZ"/>
        </w:rPr>
        <w:t xml:space="preserve"> </w:t>
      </w:r>
      <w:r w:rsidR="004766F9">
        <w:rPr>
          <w:lang w:eastAsia="en-NZ"/>
        </w:rPr>
        <w:t>that</w:t>
      </w:r>
      <w:r w:rsidR="003D640C">
        <w:rPr>
          <w:lang w:eastAsia="en-NZ"/>
        </w:rPr>
        <w:t xml:space="preserve"> </w:t>
      </w:r>
      <w:r w:rsidR="004766F9">
        <w:rPr>
          <w:lang w:eastAsia="en-NZ"/>
        </w:rPr>
        <w:t>those</w:t>
      </w:r>
      <w:r w:rsidR="003D640C">
        <w:rPr>
          <w:lang w:eastAsia="en-NZ"/>
        </w:rPr>
        <w:t xml:space="preserve"> </w:t>
      </w:r>
      <w:r w:rsidR="6B6889AC" w:rsidRPr="00BB6220">
        <w:rPr>
          <w:lang w:eastAsia="en-NZ"/>
        </w:rPr>
        <w:t>who</w:t>
      </w:r>
      <w:r w:rsidR="003D640C">
        <w:rPr>
          <w:lang w:eastAsia="en-NZ"/>
        </w:rPr>
        <w:t xml:space="preserve"> </w:t>
      </w:r>
      <w:r w:rsidR="00CD2C3B" w:rsidRPr="00BB6220">
        <w:rPr>
          <w:lang w:eastAsia="en-NZ"/>
        </w:rPr>
        <w:t>report</w:t>
      </w:r>
      <w:r w:rsidR="009C5AFE">
        <w:rPr>
          <w:lang w:eastAsia="en-NZ"/>
        </w:rPr>
        <w:t>ed</w:t>
      </w:r>
      <w:r w:rsidR="003D640C">
        <w:rPr>
          <w:lang w:eastAsia="en-NZ"/>
        </w:rPr>
        <w:t xml:space="preserve"> </w:t>
      </w:r>
      <w:r w:rsidR="009C5AFE">
        <w:rPr>
          <w:lang w:eastAsia="en-NZ"/>
        </w:rPr>
        <w:t>current</w:t>
      </w:r>
      <w:r w:rsidR="003D640C">
        <w:rPr>
          <w:lang w:eastAsia="en-NZ"/>
        </w:rPr>
        <w:t xml:space="preserve"> </w:t>
      </w:r>
      <w:r w:rsidR="009C5AFE">
        <w:rPr>
          <w:lang w:eastAsia="en-NZ"/>
        </w:rPr>
        <w:t>material</w:t>
      </w:r>
      <w:r w:rsidR="003D640C">
        <w:rPr>
          <w:lang w:eastAsia="en-NZ"/>
        </w:rPr>
        <w:t xml:space="preserve"> </w:t>
      </w:r>
      <w:r w:rsidR="00CD2C3B" w:rsidRPr="00BB6220">
        <w:rPr>
          <w:lang w:eastAsia="en-NZ"/>
        </w:rPr>
        <w:t>deprivation</w:t>
      </w:r>
      <w:r w:rsidR="003D640C">
        <w:rPr>
          <w:lang w:eastAsia="en-NZ"/>
        </w:rPr>
        <w:t xml:space="preserve"> </w:t>
      </w:r>
      <w:r w:rsidR="004766F9">
        <w:rPr>
          <w:lang w:eastAsia="en-NZ"/>
        </w:rPr>
        <w:t>were</w:t>
      </w:r>
      <w:r w:rsidR="003D640C">
        <w:rPr>
          <w:lang w:eastAsia="en-NZ"/>
        </w:rPr>
        <w:t xml:space="preserve"> </w:t>
      </w:r>
      <w:r w:rsidR="009C5AFE">
        <w:rPr>
          <w:lang w:eastAsia="en-NZ"/>
        </w:rPr>
        <w:t>amongst</w:t>
      </w:r>
      <w:r w:rsidR="003D640C">
        <w:rPr>
          <w:lang w:eastAsia="en-NZ"/>
        </w:rPr>
        <w:t xml:space="preserve"> </w:t>
      </w:r>
      <w:r w:rsidR="009C5AFE">
        <w:rPr>
          <w:lang w:eastAsia="en-NZ"/>
        </w:rPr>
        <w:t>the</w:t>
      </w:r>
      <w:r w:rsidR="003D640C">
        <w:rPr>
          <w:lang w:eastAsia="en-NZ"/>
        </w:rPr>
        <w:t xml:space="preserve"> </w:t>
      </w:r>
      <w:r w:rsidR="009C5AFE">
        <w:rPr>
          <w:lang w:eastAsia="en-NZ"/>
        </w:rPr>
        <w:t>groups</w:t>
      </w:r>
      <w:r w:rsidR="003D640C">
        <w:rPr>
          <w:lang w:eastAsia="en-NZ"/>
        </w:rPr>
        <w:t xml:space="preserve"> </w:t>
      </w:r>
      <w:r w:rsidR="00CD2C3B" w:rsidRPr="00BB6220">
        <w:rPr>
          <w:lang w:eastAsia="en-NZ"/>
        </w:rPr>
        <w:t>more</w:t>
      </w:r>
      <w:r w:rsidR="003D640C">
        <w:rPr>
          <w:lang w:eastAsia="en-NZ"/>
        </w:rPr>
        <w:t xml:space="preserve"> </w:t>
      </w:r>
      <w:r w:rsidR="00CD2C3B" w:rsidRPr="00BB6220">
        <w:rPr>
          <w:lang w:eastAsia="en-NZ"/>
        </w:rPr>
        <w:t>likely</w:t>
      </w:r>
      <w:r w:rsidR="003D640C">
        <w:rPr>
          <w:lang w:eastAsia="en-NZ"/>
        </w:rPr>
        <w:t xml:space="preserve"> </w:t>
      </w:r>
      <w:r w:rsidR="00CD2C3B" w:rsidRPr="00BB6220">
        <w:rPr>
          <w:lang w:eastAsia="en-NZ"/>
        </w:rPr>
        <w:t>to</w:t>
      </w:r>
      <w:r w:rsidR="003D640C">
        <w:rPr>
          <w:lang w:eastAsia="en-NZ"/>
        </w:rPr>
        <w:t xml:space="preserve"> </w:t>
      </w:r>
      <w:r w:rsidR="004766F9">
        <w:rPr>
          <w:lang w:eastAsia="en-NZ"/>
        </w:rPr>
        <w:t>report</w:t>
      </w:r>
      <w:r w:rsidR="003D640C">
        <w:rPr>
          <w:lang w:eastAsia="en-NZ"/>
        </w:rPr>
        <w:t xml:space="preserve"> </w:t>
      </w:r>
      <w:r w:rsidR="004766F9">
        <w:rPr>
          <w:lang w:eastAsia="en-NZ"/>
        </w:rPr>
        <w:t>they</w:t>
      </w:r>
      <w:r w:rsidR="003D640C">
        <w:rPr>
          <w:lang w:eastAsia="en-NZ"/>
        </w:rPr>
        <w:t xml:space="preserve"> </w:t>
      </w:r>
      <w:r w:rsidR="004766F9">
        <w:rPr>
          <w:lang w:eastAsia="en-NZ"/>
        </w:rPr>
        <w:t>had</w:t>
      </w:r>
      <w:r w:rsidR="003D640C">
        <w:rPr>
          <w:lang w:eastAsia="en-NZ"/>
        </w:rPr>
        <w:t xml:space="preserve"> </w:t>
      </w:r>
      <w:r w:rsidR="00CD2C3B" w:rsidRPr="00BB6220">
        <w:rPr>
          <w:lang w:eastAsia="en-NZ"/>
        </w:rPr>
        <w:t>experience</w:t>
      </w:r>
      <w:r w:rsidR="004766F9">
        <w:rPr>
          <w:lang w:eastAsia="en-NZ"/>
        </w:rPr>
        <w:t>d</w:t>
      </w:r>
      <w:r w:rsidR="003D640C">
        <w:rPr>
          <w:lang w:eastAsia="en-NZ"/>
        </w:rPr>
        <w:t xml:space="preserve"> </w:t>
      </w:r>
      <w:r w:rsidR="00CD2C3B" w:rsidRPr="00BB6220">
        <w:rPr>
          <w:lang w:eastAsia="en-NZ"/>
        </w:rPr>
        <w:t>conversion</w:t>
      </w:r>
      <w:r w:rsidR="003D640C">
        <w:rPr>
          <w:lang w:eastAsia="en-NZ"/>
        </w:rPr>
        <w:t xml:space="preserve"> </w:t>
      </w:r>
      <w:r w:rsidR="00CD2C3B" w:rsidRPr="00BB6220">
        <w:rPr>
          <w:lang w:eastAsia="en-NZ"/>
        </w:rPr>
        <w:t>practices.</w:t>
      </w:r>
      <w:r w:rsidR="00386630" w:rsidRPr="00BB6220">
        <w:rPr>
          <w:rStyle w:val="FootnoteReference"/>
          <w:rFonts w:ascii="Calibri" w:eastAsia="Times New Roman" w:hAnsi="Calibri" w:cs="Calibri"/>
          <w:lang w:eastAsia="en-NZ"/>
        </w:rPr>
        <w:footnoteReference w:id="278"/>
      </w:r>
      <w:r w:rsidR="003D640C">
        <w:rPr>
          <w:lang w:eastAsia="en-NZ"/>
        </w:rPr>
        <w:t xml:space="preserve"> </w:t>
      </w:r>
    </w:p>
    <w:p w14:paraId="0E21E530" w14:textId="15C183CD" w:rsidR="00501068" w:rsidRDefault="00DB2E94" w:rsidP="009032B9">
      <w:pPr>
        <w:pStyle w:val="Quote"/>
      </w:pPr>
      <w:r w:rsidRPr="00BB6220">
        <w:t>“Going</w:t>
      </w:r>
      <w:r w:rsidR="003D640C">
        <w:t xml:space="preserve"> </w:t>
      </w:r>
      <w:r w:rsidRPr="00BB6220">
        <w:t>to</w:t>
      </w:r>
      <w:r w:rsidR="003D640C">
        <w:t xml:space="preserve"> </w:t>
      </w:r>
      <w:r w:rsidRPr="00BB6220">
        <w:t>a</w:t>
      </w:r>
      <w:r w:rsidR="003D640C">
        <w:t xml:space="preserve"> </w:t>
      </w:r>
      <w:r w:rsidRPr="00BB6220">
        <w:t>counsellor</w:t>
      </w:r>
      <w:r w:rsidR="003D640C">
        <w:t xml:space="preserve"> </w:t>
      </w:r>
      <w:r w:rsidRPr="00BB6220">
        <w:t>who</w:t>
      </w:r>
      <w:r w:rsidR="003D640C">
        <w:t xml:space="preserve"> </w:t>
      </w:r>
      <w:r w:rsidRPr="00BB6220">
        <w:t>was</w:t>
      </w:r>
      <w:r w:rsidR="003D640C">
        <w:t xml:space="preserve"> </w:t>
      </w:r>
      <w:r w:rsidR="00CC0F07">
        <w:t>R</w:t>
      </w:r>
      <w:r w:rsidRPr="00BB6220">
        <w:t>ainbow</w:t>
      </w:r>
      <w:r w:rsidR="003D640C">
        <w:t xml:space="preserve"> </w:t>
      </w:r>
      <w:r w:rsidRPr="00BB6220">
        <w:t>affirming</w:t>
      </w:r>
      <w:r w:rsidR="003D640C">
        <w:t xml:space="preserve"> </w:t>
      </w:r>
      <w:r w:rsidRPr="00BB6220">
        <w:t>was</w:t>
      </w:r>
      <w:r w:rsidR="003D640C">
        <w:t xml:space="preserve"> </w:t>
      </w:r>
      <w:r w:rsidRPr="00BB6220">
        <w:t>really</w:t>
      </w:r>
      <w:r w:rsidR="003D640C">
        <w:t xml:space="preserve"> </w:t>
      </w:r>
      <w:r w:rsidRPr="00BB6220">
        <w:t>wonderful</w:t>
      </w:r>
      <w:r w:rsidR="003D640C">
        <w:t xml:space="preserve"> </w:t>
      </w:r>
      <w:r w:rsidRPr="00BB6220">
        <w:t>and</w:t>
      </w:r>
      <w:r w:rsidR="003D640C">
        <w:t xml:space="preserve"> </w:t>
      </w:r>
      <w:r w:rsidRPr="00BB6220">
        <w:t>allowed</w:t>
      </w:r>
      <w:r w:rsidR="003D640C">
        <w:t xml:space="preserve"> </w:t>
      </w:r>
      <w:r w:rsidRPr="00BB6220">
        <w:t>me</w:t>
      </w:r>
      <w:r w:rsidR="003D640C">
        <w:t xml:space="preserve"> </w:t>
      </w:r>
      <w:r w:rsidRPr="00BB6220">
        <w:t>to</w:t>
      </w:r>
      <w:r w:rsidR="003D640C">
        <w:t xml:space="preserve"> </w:t>
      </w:r>
      <w:r w:rsidRPr="00BB6220">
        <w:t>work</w:t>
      </w:r>
      <w:r w:rsidR="003D640C">
        <w:t xml:space="preserve"> </w:t>
      </w:r>
      <w:r w:rsidRPr="00BB6220">
        <w:t>through</w:t>
      </w:r>
      <w:r w:rsidR="003D640C">
        <w:t xml:space="preserve"> </w:t>
      </w:r>
      <w:r w:rsidRPr="00BB6220">
        <w:t>some</w:t>
      </w:r>
      <w:r w:rsidR="003D640C">
        <w:t xml:space="preserve"> </w:t>
      </w:r>
      <w:r w:rsidRPr="00BB6220">
        <w:t>of</w:t>
      </w:r>
      <w:r w:rsidR="003D640C">
        <w:t xml:space="preserve"> </w:t>
      </w:r>
      <w:r w:rsidRPr="00BB6220">
        <w:t>the</w:t>
      </w:r>
      <w:r w:rsidR="003D640C">
        <w:t xml:space="preserve"> </w:t>
      </w:r>
      <w:r w:rsidRPr="00BB6220">
        <w:t>trauma</w:t>
      </w:r>
      <w:r w:rsidR="003D640C">
        <w:t xml:space="preserve"> </w:t>
      </w:r>
      <w:r w:rsidRPr="00BB6220">
        <w:t>that</w:t>
      </w:r>
      <w:r w:rsidR="003D640C">
        <w:t xml:space="preserve"> </w:t>
      </w:r>
      <w:r w:rsidRPr="00BB6220">
        <w:t>I</w:t>
      </w:r>
      <w:r w:rsidR="003D640C">
        <w:t xml:space="preserve"> </w:t>
      </w:r>
      <w:r w:rsidRPr="00BB6220">
        <w:t>had.</w:t>
      </w:r>
      <w:r w:rsidR="003D640C">
        <w:t xml:space="preserve"> </w:t>
      </w:r>
      <w:r w:rsidRPr="00BB6220">
        <w:t>There</w:t>
      </w:r>
      <w:r w:rsidR="003D640C">
        <w:t xml:space="preserve"> </w:t>
      </w:r>
      <w:r w:rsidRPr="00BB6220">
        <w:t>were</w:t>
      </w:r>
      <w:r w:rsidR="003D640C">
        <w:t xml:space="preserve"> </w:t>
      </w:r>
      <w:r w:rsidRPr="00BB6220">
        <w:t>also</w:t>
      </w:r>
      <w:r w:rsidR="003D640C">
        <w:t xml:space="preserve"> </w:t>
      </w:r>
      <w:r w:rsidRPr="00BB6220">
        <w:t>these</w:t>
      </w:r>
      <w:r w:rsidR="003D640C">
        <w:t xml:space="preserve"> </w:t>
      </w:r>
      <w:r w:rsidRPr="00BB6220">
        <w:t>relationships</w:t>
      </w:r>
      <w:r w:rsidR="003D640C">
        <w:t xml:space="preserve"> </w:t>
      </w:r>
      <w:r w:rsidRPr="00BB6220">
        <w:t>with</w:t>
      </w:r>
      <w:r w:rsidR="003D640C">
        <w:t xml:space="preserve"> </w:t>
      </w:r>
      <w:r w:rsidRPr="00BB6220">
        <w:t>other</w:t>
      </w:r>
      <w:r w:rsidR="003D640C">
        <w:t xml:space="preserve"> </w:t>
      </w:r>
      <w:r w:rsidRPr="00BB6220">
        <w:t>people</w:t>
      </w:r>
      <w:r w:rsidR="003D640C">
        <w:t xml:space="preserve"> </w:t>
      </w:r>
      <w:r w:rsidRPr="00BB6220">
        <w:t>in</w:t>
      </w:r>
      <w:r w:rsidR="003D640C">
        <w:t xml:space="preserve"> </w:t>
      </w:r>
      <w:r w:rsidRPr="00BB6220">
        <w:t>the</w:t>
      </w:r>
      <w:r w:rsidR="003D640C">
        <w:t xml:space="preserve"> </w:t>
      </w:r>
      <w:r w:rsidRPr="00BB6220">
        <w:t>queer</w:t>
      </w:r>
      <w:r w:rsidR="003D640C">
        <w:t xml:space="preserve"> </w:t>
      </w:r>
      <w:r w:rsidRPr="00BB6220">
        <w:t>community</w:t>
      </w:r>
      <w:r w:rsidR="003D640C">
        <w:t xml:space="preserve"> </w:t>
      </w:r>
      <w:r w:rsidRPr="00BB6220">
        <w:t>that</w:t>
      </w:r>
      <w:r w:rsidR="003D640C">
        <w:t xml:space="preserve"> </w:t>
      </w:r>
      <w:r w:rsidRPr="00BB6220">
        <w:t>really</w:t>
      </w:r>
      <w:r w:rsidR="003D640C">
        <w:t xml:space="preserve"> </w:t>
      </w:r>
      <w:r w:rsidRPr="00BB6220">
        <w:t>helped</w:t>
      </w:r>
      <w:r w:rsidR="003D640C">
        <w:t xml:space="preserve"> </w:t>
      </w:r>
      <w:r w:rsidRPr="00BB6220">
        <w:t>me</w:t>
      </w:r>
      <w:r w:rsidR="003D640C">
        <w:t xml:space="preserve"> </w:t>
      </w:r>
      <w:r w:rsidRPr="00BB6220">
        <w:t>to</w:t>
      </w:r>
      <w:r w:rsidR="003D640C">
        <w:t xml:space="preserve"> </w:t>
      </w:r>
      <w:r w:rsidRPr="00BB6220">
        <w:t>let</w:t>
      </w:r>
      <w:r w:rsidR="003D640C">
        <w:t xml:space="preserve"> </w:t>
      </w:r>
      <w:r w:rsidRPr="00BB6220">
        <w:t>go</w:t>
      </w:r>
      <w:r w:rsidR="003D640C">
        <w:t xml:space="preserve"> </w:t>
      </w:r>
      <w:r w:rsidRPr="00BB6220">
        <w:t>of</w:t>
      </w:r>
      <w:r w:rsidR="003D640C">
        <w:t xml:space="preserve"> </w:t>
      </w:r>
      <w:r w:rsidRPr="00BB6220">
        <w:t>the</w:t>
      </w:r>
      <w:r w:rsidR="003D640C">
        <w:t xml:space="preserve"> </w:t>
      </w:r>
      <w:r w:rsidRPr="00BB6220">
        <w:t>shame</w:t>
      </w:r>
      <w:r w:rsidR="003D640C">
        <w:t xml:space="preserve"> </w:t>
      </w:r>
      <w:r w:rsidRPr="00BB6220">
        <w:t>that</w:t>
      </w:r>
      <w:r w:rsidR="003D640C">
        <w:t xml:space="preserve"> </w:t>
      </w:r>
      <w:r w:rsidRPr="00BB6220">
        <w:t>I</w:t>
      </w:r>
      <w:r w:rsidR="003D640C">
        <w:t xml:space="preserve"> </w:t>
      </w:r>
      <w:r w:rsidRPr="00BB6220">
        <w:t>had,</w:t>
      </w:r>
      <w:r w:rsidR="003D640C">
        <w:t xml:space="preserve"> </w:t>
      </w:r>
      <w:r w:rsidRPr="00BB6220">
        <w:t>and</w:t>
      </w:r>
      <w:r w:rsidR="003D640C">
        <w:t xml:space="preserve"> </w:t>
      </w:r>
      <w:r w:rsidRPr="00BB6220">
        <w:t>to</w:t>
      </w:r>
      <w:r w:rsidR="003D640C">
        <w:t xml:space="preserve"> </w:t>
      </w:r>
      <w:r w:rsidRPr="00BB6220">
        <w:t>heal.”</w:t>
      </w:r>
      <w:r w:rsidR="003D640C">
        <w:t xml:space="preserve"> </w:t>
      </w:r>
      <w:r w:rsidRPr="00BB6220">
        <w:t>Pacific,</w:t>
      </w:r>
      <w:r w:rsidR="003D640C">
        <w:t xml:space="preserve"> </w:t>
      </w:r>
      <w:r w:rsidRPr="00BB6220">
        <w:t>non-binary</w:t>
      </w:r>
    </w:p>
    <w:p w14:paraId="60EF2CA8" w14:textId="417DAE2C" w:rsidR="00501068" w:rsidRDefault="00CD2C3B" w:rsidP="009032B9">
      <w:pPr>
        <w:rPr>
          <w:rFonts w:ascii="Segoe UI" w:hAnsi="Segoe UI" w:cs="Segoe UI"/>
          <w:sz w:val="18"/>
          <w:szCs w:val="18"/>
          <w:lang w:eastAsia="en-NZ"/>
        </w:rPr>
      </w:pPr>
      <w:r w:rsidRPr="00BB6220">
        <w:rPr>
          <w:lang w:eastAsia="en-NZ"/>
        </w:rPr>
        <w:t>When</w:t>
      </w:r>
      <w:r w:rsidR="003D640C">
        <w:rPr>
          <w:lang w:eastAsia="en-NZ"/>
        </w:rPr>
        <w:t xml:space="preserve"> </w:t>
      </w:r>
      <w:r w:rsidRPr="00BB6220">
        <w:rPr>
          <w:lang w:eastAsia="en-NZ"/>
        </w:rPr>
        <w:t>supporting</w:t>
      </w:r>
      <w:r w:rsidR="003D640C">
        <w:rPr>
          <w:lang w:eastAsia="en-NZ"/>
        </w:rPr>
        <w:t xml:space="preserve"> </w:t>
      </w:r>
      <w:r w:rsidRPr="00BB6220">
        <w:rPr>
          <w:lang w:eastAsia="en-NZ"/>
        </w:rPr>
        <w:t>transgender</w:t>
      </w:r>
      <w:r w:rsidR="003D640C">
        <w:rPr>
          <w:lang w:eastAsia="en-NZ"/>
        </w:rPr>
        <w:t xml:space="preserve"> </w:t>
      </w:r>
      <w:r w:rsidRPr="00BB6220">
        <w:rPr>
          <w:lang w:eastAsia="en-NZ"/>
        </w:rPr>
        <w:t>and</w:t>
      </w:r>
      <w:r w:rsidR="003D640C">
        <w:rPr>
          <w:lang w:eastAsia="en-NZ"/>
        </w:rPr>
        <w:t xml:space="preserve"> </w:t>
      </w:r>
      <w:r w:rsidRPr="00BB6220">
        <w:rPr>
          <w:lang w:eastAsia="en-NZ"/>
        </w:rPr>
        <w:t>non-binary</w:t>
      </w:r>
      <w:r w:rsidR="003D640C">
        <w:rPr>
          <w:lang w:eastAsia="en-NZ"/>
        </w:rPr>
        <w:t xml:space="preserve"> </w:t>
      </w:r>
      <w:r w:rsidRPr="00BB6220">
        <w:rPr>
          <w:lang w:eastAsia="en-NZ"/>
        </w:rPr>
        <w:t>people</w:t>
      </w:r>
      <w:r w:rsidR="003D640C">
        <w:rPr>
          <w:lang w:eastAsia="en-NZ"/>
        </w:rPr>
        <w:t xml:space="preserve"> </w:t>
      </w:r>
      <w:r w:rsidRPr="00BB6220">
        <w:rPr>
          <w:lang w:eastAsia="en-NZ"/>
        </w:rPr>
        <w:t>out</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DC0A50">
        <w:rPr>
          <w:lang w:eastAsia="en-NZ"/>
        </w:rPr>
        <w:t>,</w:t>
      </w:r>
      <w:r w:rsidR="003D640C">
        <w:rPr>
          <w:lang w:eastAsia="en-NZ"/>
        </w:rPr>
        <w:t xml:space="preserve"> </w:t>
      </w:r>
      <w:r w:rsidRPr="00BB6220">
        <w:rPr>
          <w:lang w:eastAsia="en-NZ"/>
        </w:rPr>
        <w:t>there</w:t>
      </w:r>
      <w:r w:rsidR="003D640C">
        <w:rPr>
          <w:lang w:eastAsia="en-NZ"/>
        </w:rPr>
        <w:t xml:space="preserve"> </w:t>
      </w:r>
      <w:r w:rsidRPr="00BB6220">
        <w:rPr>
          <w:lang w:eastAsia="en-NZ"/>
        </w:rPr>
        <w:t>must</w:t>
      </w:r>
      <w:r w:rsidR="003D640C">
        <w:rPr>
          <w:lang w:eastAsia="en-NZ"/>
        </w:rPr>
        <w:t xml:space="preserve"> </w:t>
      </w:r>
      <w:r w:rsidRPr="00BB6220">
        <w:rPr>
          <w:lang w:eastAsia="en-NZ"/>
        </w:rPr>
        <w:t>be</w:t>
      </w:r>
      <w:r w:rsidR="003D640C">
        <w:rPr>
          <w:lang w:eastAsia="en-NZ"/>
        </w:rPr>
        <w:t xml:space="preserve"> </w:t>
      </w:r>
      <w:r w:rsidRPr="00BB6220">
        <w:rPr>
          <w:lang w:eastAsia="en-NZ"/>
        </w:rPr>
        <w:t>sensitivity</w:t>
      </w:r>
      <w:r w:rsidR="003D640C">
        <w:rPr>
          <w:lang w:eastAsia="en-NZ"/>
        </w:rPr>
        <w:t xml:space="preserve"> </w:t>
      </w:r>
      <w:r w:rsidRPr="00BB6220">
        <w:rPr>
          <w:lang w:eastAsia="en-NZ"/>
        </w:rPr>
        <w:t>to</w:t>
      </w:r>
      <w:r w:rsidR="003D640C">
        <w:rPr>
          <w:lang w:eastAsia="en-NZ"/>
        </w:rPr>
        <w:t xml:space="preserve"> </w:t>
      </w:r>
      <w:r w:rsidRPr="00BB6220">
        <w:rPr>
          <w:lang w:eastAsia="en-NZ"/>
        </w:rPr>
        <w:t>their</w:t>
      </w:r>
      <w:r w:rsidR="003D640C">
        <w:rPr>
          <w:lang w:eastAsia="en-NZ"/>
        </w:rPr>
        <w:t xml:space="preserve"> </w:t>
      </w:r>
      <w:r w:rsidRPr="00BB6220">
        <w:rPr>
          <w:lang w:eastAsia="en-NZ"/>
        </w:rPr>
        <w:t>individual</w:t>
      </w:r>
      <w:r w:rsidR="003D640C">
        <w:rPr>
          <w:lang w:eastAsia="en-NZ"/>
        </w:rPr>
        <w:t xml:space="preserve"> </w:t>
      </w:r>
      <w:r w:rsidRPr="00BB6220">
        <w:rPr>
          <w:lang w:eastAsia="en-NZ"/>
        </w:rPr>
        <w:t>journey</w:t>
      </w:r>
      <w:r w:rsidR="003D640C">
        <w:rPr>
          <w:lang w:eastAsia="en-NZ"/>
        </w:rPr>
        <w:t xml:space="preserve"> </w:t>
      </w:r>
      <w:r w:rsidRPr="00BB6220">
        <w:rPr>
          <w:lang w:eastAsia="en-NZ"/>
        </w:rPr>
        <w:t>without</w:t>
      </w:r>
      <w:r w:rsidR="003D640C">
        <w:rPr>
          <w:lang w:eastAsia="en-NZ"/>
        </w:rPr>
        <w:t xml:space="preserve"> </w:t>
      </w:r>
      <w:r w:rsidRPr="00BB6220">
        <w:rPr>
          <w:lang w:eastAsia="en-NZ"/>
        </w:rPr>
        <w:t>assumptions</w:t>
      </w:r>
      <w:r w:rsidR="003D640C">
        <w:rPr>
          <w:lang w:eastAsia="en-NZ"/>
        </w:rPr>
        <w:t xml:space="preserve"> </w:t>
      </w:r>
      <w:r w:rsidRPr="00BB6220">
        <w:rPr>
          <w:lang w:eastAsia="en-NZ"/>
        </w:rPr>
        <w:t>about</w:t>
      </w:r>
      <w:r w:rsidR="003D640C">
        <w:rPr>
          <w:lang w:eastAsia="en-NZ"/>
        </w:rPr>
        <w:t xml:space="preserve"> </w:t>
      </w:r>
      <w:r w:rsidRPr="00BB6220">
        <w:rPr>
          <w:lang w:eastAsia="en-NZ"/>
        </w:rPr>
        <w:t>what</w:t>
      </w:r>
      <w:r w:rsidR="003D640C">
        <w:rPr>
          <w:lang w:eastAsia="en-NZ"/>
        </w:rPr>
        <w:t xml:space="preserve"> </w:t>
      </w:r>
      <w:r w:rsidRPr="00BB6220">
        <w:rPr>
          <w:lang w:eastAsia="en-NZ"/>
        </w:rPr>
        <w:t>they</w:t>
      </w:r>
      <w:r w:rsidR="003D640C">
        <w:rPr>
          <w:lang w:eastAsia="en-NZ"/>
        </w:rPr>
        <w:t xml:space="preserve"> </w:t>
      </w:r>
      <w:r w:rsidRPr="00BB6220">
        <w:rPr>
          <w:lang w:eastAsia="en-NZ"/>
        </w:rPr>
        <w:t>want</w:t>
      </w:r>
      <w:r w:rsidR="003D640C">
        <w:rPr>
          <w:lang w:eastAsia="en-NZ"/>
        </w:rPr>
        <w:t xml:space="preserve"> </w:t>
      </w:r>
      <w:r w:rsidRPr="00BB6220">
        <w:rPr>
          <w:lang w:eastAsia="en-NZ"/>
        </w:rPr>
        <w:t>or</w:t>
      </w:r>
      <w:r w:rsidR="003D640C">
        <w:rPr>
          <w:lang w:eastAsia="en-NZ"/>
        </w:rPr>
        <w:t xml:space="preserve"> </w:t>
      </w:r>
      <w:r w:rsidRPr="00BB6220">
        <w:rPr>
          <w:lang w:eastAsia="en-NZ"/>
        </w:rPr>
        <w:t>need.</w:t>
      </w:r>
      <w:r w:rsidR="003D640C">
        <w:rPr>
          <w:lang w:eastAsia="en-NZ"/>
        </w:rPr>
        <w:t xml:space="preserve"> </w:t>
      </w:r>
      <w:r w:rsidRPr="00BB6220">
        <w:rPr>
          <w:lang w:eastAsia="en-NZ"/>
        </w:rPr>
        <w:t>For</w:t>
      </w:r>
      <w:r w:rsidR="003D640C">
        <w:rPr>
          <w:lang w:eastAsia="en-NZ"/>
        </w:rPr>
        <w:t xml:space="preserve"> </w:t>
      </w:r>
      <w:r w:rsidRPr="00BB6220">
        <w:rPr>
          <w:lang w:eastAsia="en-NZ"/>
        </w:rPr>
        <w:t>example,</w:t>
      </w:r>
      <w:r w:rsidR="003D640C">
        <w:rPr>
          <w:lang w:eastAsia="en-NZ"/>
        </w:rPr>
        <w:t xml:space="preserve"> </w:t>
      </w:r>
      <w:r w:rsidRPr="00BB6220">
        <w:rPr>
          <w:lang w:eastAsia="en-NZ"/>
        </w:rPr>
        <w:t>someone</w:t>
      </w:r>
      <w:r w:rsidR="003D640C">
        <w:rPr>
          <w:lang w:eastAsia="en-NZ"/>
        </w:rPr>
        <w:t xml:space="preserve"> </w:t>
      </w:r>
      <w:r w:rsidRPr="00BB6220">
        <w:rPr>
          <w:lang w:eastAsia="en-NZ"/>
        </w:rPr>
        <w:t>with</w:t>
      </w:r>
      <w:r w:rsidR="003D640C">
        <w:rPr>
          <w:lang w:eastAsia="en-NZ"/>
        </w:rPr>
        <w:t xml:space="preserve"> </w:t>
      </w:r>
      <w:r w:rsidRPr="00BB6220">
        <w:rPr>
          <w:lang w:eastAsia="en-NZ"/>
        </w:rPr>
        <w:t>a</w:t>
      </w:r>
      <w:r w:rsidR="003D640C">
        <w:rPr>
          <w:lang w:eastAsia="en-NZ"/>
        </w:rPr>
        <w:t xml:space="preserve"> </w:t>
      </w:r>
      <w:r w:rsidR="001147BA" w:rsidRPr="00BB6220">
        <w:rPr>
          <w:lang w:eastAsia="en-NZ"/>
        </w:rPr>
        <w:t>diverse</w:t>
      </w:r>
      <w:r w:rsidR="003D640C">
        <w:rPr>
          <w:lang w:eastAsia="en-NZ"/>
        </w:rPr>
        <w:t xml:space="preserve"> </w:t>
      </w:r>
      <w:r w:rsidR="001147BA" w:rsidRPr="00BB6220">
        <w:rPr>
          <w:lang w:eastAsia="en-NZ"/>
        </w:rPr>
        <w:t>Māori</w:t>
      </w:r>
      <w:r w:rsidR="003D640C">
        <w:rPr>
          <w:lang w:eastAsia="en-NZ"/>
        </w:rPr>
        <w:t xml:space="preserve"> </w:t>
      </w:r>
      <w:r w:rsidR="001147BA" w:rsidRPr="00BB6220">
        <w:rPr>
          <w:lang w:eastAsia="en-NZ"/>
        </w:rPr>
        <w:t>or</w:t>
      </w:r>
      <w:r w:rsidR="003D640C">
        <w:rPr>
          <w:lang w:eastAsia="en-NZ"/>
        </w:rPr>
        <w:t xml:space="preserve"> </w:t>
      </w:r>
      <w:r w:rsidRPr="00BB6220">
        <w:rPr>
          <w:lang w:eastAsia="en-NZ"/>
        </w:rPr>
        <w:t>Pacific</w:t>
      </w:r>
      <w:r w:rsidR="003D640C">
        <w:rPr>
          <w:lang w:eastAsia="en-NZ"/>
        </w:rPr>
        <w:t xml:space="preserve"> </w:t>
      </w:r>
      <w:r w:rsidRPr="00BB6220">
        <w:rPr>
          <w:lang w:eastAsia="en-NZ"/>
        </w:rPr>
        <w:t>gender</w:t>
      </w:r>
      <w:r w:rsidR="003D640C">
        <w:rPr>
          <w:lang w:eastAsia="en-NZ"/>
        </w:rPr>
        <w:t xml:space="preserve"> </w:t>
      </w:r>
      <w:r w:rsidRPr="00BB6220">
        <w:rPr>
          <w:lang w:eastAsia="en-NZ"/>
        </w:rPr>
        <w:t>identity</w:t>
      </w:r>
      <w:r w:rsidR="003D640C">
        <w:rPr>
          <w:lang w:eastAsia="en-NZ"/>
        </w:rPr>
        <w:t xml:space="preserve"> </w:t>
      </w:r>
      <w:r w:rsidRPr="00BB6220">
        <w:rPr>
          <w:lang w:eastAsia="en-NZ"/>
        </w:rPr>
        <w:t>could</w:t>
      </w:r>
      <w:r w:rsidR="003D640C">
        <w:rPr>
          <w:lang w:eastAsia="en-NZ"/>
        </w:rPr>
        <w:t xml:space="preserve"> </w:t>
      </w:r>
      <w:r w:rsidRPr="00BB6220">
        <w:rPr>
          <w:lang w:eastAsia="en-NZ"/>
        </w:rPr>
        <w:t>have</w:t>
      </w:r>
      <w:r w:rsidR="003D640C">
        <w:rPr>
          <w:lang w:eastAsia="en-NZ"/>
        </w:rPr>
        <w:t xml:space="preserve"> </w:t>
      </w:r>
      <w:r w:rsidRPr="00BB6220">
        <w:rPr>
          <w:lang w:eastAsia="en-NZ"/>
        </w:rPr>
        <w:t>different</w:t>
      </w:r>
      <w:r w:rsidR="003D640C">
        <w:rPr>
          <w:lang w:eastAsia="en-NZ"/>
        </w:rPr>
        <w:t xml:space="preserve"> </w:t>
      </w:r>
      <w:r w:rsidRPr="00BB6220">
        <w:rPr>
          <w:lang w:eastAsia="en-NZ"/>
        </w:rPr>
        <w:t>expectations</w:t>
      </w:r>
      <w:r w:rsidR="003D640C">
        <w:rPr>
          <w:lang w:eastAsia="en-NZ"/>
        </w:rPr>
        <w:t xml:space="preserve"> </w:t>
      </w:r>
      <w:r w:rsidRPr="00BB6220">
        <w:rPr>
          <w:lang w:eastAsia="en-NZ"/>
        </w:rPr>
        <w:t>and</w:t>
      </w:r>
      <w:r w:rsidR="003D640C">
        <w:rPr>
          <w:lang w:eastAsia="en-NZ"/>
        </w:rPr>
        <w:t xml:space="preserve"> </w:t>
      </w:r>
      <w:r w:rsidRPr="00BB6220">
        <w:rPr>
          <w:lang w:eastAsia="en-NZ"/>
        </w:rPr>
        <w:t>priorities</w:t>
      </w:r>
      <w:r w:rsidR="003D640C">
        <w:rPr>
          <w:lang w:eastAsia="en-NZ"/>
        </w:rPr>
        <w:t xml:space="preserve"> </w:t>
      </w:r>
      <w:r w:rsidRPr="00BB6220">
        <w:rPr>
          <w:lang w:eastAsia="en-NZ"/>
        </w:rPr>
        <w:t>for</w:t>
      </w:r>
      <w:r w:rsidR="003D640C">
        <w:rPr>
          <w:lang w:eastAsia="en-NZ"/>
        </w:rPr>
        <w:t xml:space="preserve"> </w:t>
      </w:r>
      <w:r w:rsidRPr="00BB6220">
        <w:rPr>
          <w:lang w:eastAsia="en-NZ"/>
        </w:rPr>
        <w:t>gender-affirming</w:t>
      </w:r>
      <w:r w:rsidR="003D640C">
        <w:rPr>
          <w:lang w:eastAsia="en-NZ"/>
        </w:rPr>
        <w:t xml:space="preserve"> </w:t>
      </w:r>
      <w:r w:rsidRPr="00BB6220">
        <w:rPr>
          <w:lang w:eastAsia="en-NZ"/>
        </w:rPr>
        <w:t>healthcare</w:t>
      </w:r>
      <w:r w:rsidR="003D640C">
        <w:rPr>
          <w:lang w:eastAsia="en-NZ"/>
        </w:rPr>
        <w:t xml:space="preserve"> </w:t>
      </w:r>
      <w:r w:rsidRPr="00BB6220">
        <w:rPr>
          <w:lang w:eastAsia="en-NZ"/>
        </w:rPr>
        <w:t>than</w:t>
      </w:r>
      <w:r w:rsidR="003D640C">
        <w:rPr>
          <w:lang w:eastAsia="en-NZ"/>
        </w:rPr>
        <w:t xml:space="preserve"> </w:t>
      </w:r>
      <w:r w:rsidRPr="00BB6220">
        <w:rPr>
          <w:lang w:eastAsia="en-NZ"/>
        </w:rPr>
        <w:t>someone</w:t>
      </w:r>
      <w:r w:rsidR="003D640C">
        <w:rPr>
          <w:lang w:eastAsia="en-NZ"/>
        </w:rPr>
        <w:t xml:space="preserve"> </w:t>
      </w:r>
      <w:r w:rsidR="00B72BE9" w:rsidRPr="00BB6220">
        <w:rPr>
          <w:lang w:eastAsia="en-NZ"/>
        </w:rPr>
        <w:t>who</w:t>
      </w:r>
      <w:r w:rsidR="003D640C">
        <w:rPr>
          <w:lang w:eastAsia="en-NZ"/>
        </w:rPr>
        <w:t xml:space="preserve"> </w:t>
      </w:r>
      <w:r w:rsidR="00B72BE9" w:rsidRPr="00BB6220">
        <w:rPr>
          <w:lang w:eastAsia="en-NZ"/>
        </w:rPr>
        <w:t>is</w:t>
      </w:r>
      <w:r w:rsidR="003D640C">
        <w:rPr>
          <w:lang w:eastAsia="en-NZ"/>
        </w:rPr>
        <w:t xml:space="preserve"> </w:t>
      </w:r>
      <w:r w:rsidR="00B72BE9" w:rsidRPr="00BB6220">
        <w:rPr>
          <w:lang w:eastAsia="en-NZ"/>
        </w:rPr>
        <w:t>Pākehā</w:t>
      </w:r>
      <w:r w:rsidR="003D640C">
        <w:rPr>
          <w:lang w:eastAsia="en-NZ"/>
        </w:rPr>
        <w:t xml:space="preserve"> </w:t>
      </w:r>
      <w:r w:rsidR="00B72BE9" w:rsidRPr="00BB6220">
        <w:rPr>
          <w:lang w:eastAsia="en-NZ"/>
        </w:rPr>
        <w:t>or</w:t>
      </w:r>
      <w:r w:rsidR="003D640C">
        <w:rPr>
          <w:lang w:eastAsia="en-NZ"/>
        </w:rPr>
        <w:t xml:space="preserve"> </w:t>
      </w:r>
      <w:r w:rsidRPr="00BB6220">
        <w:rPr>
          <w:lang w:eastAsia="en-NZ"/>
        </w:rPr>
        <w:t>from</w:t>
      </w:r>
      <w:r w:rsidR="003D640C">
        <w:rPr>
          <w:lang w:eastAsia="en-NZ"/>
        </w:rPr>
        <w:t xml:space="preserve"> </w:t>
      </w:r>
      <w:r w:rsidRPr="00BB6220">
        <w:rPr>
          <w:lang w:eastAsia="en-NZ"/>
        </w:rPr>
        <w:t>a</w:t>
      </w:r>
      <w:r w:rsidR="003D640C">
        <w:rPr>
          <w:lang w:eastAsia="en-NZ"/>
        </w:rPr>
        <w:t xml:space="preserve"> </w:t>
      </w:r>
      <w:r w:rsidRPr="00BB6220">
        <w:rPr>
          <w:lang w:eastAsia="en-NZ"/>
        </w:rPr>
        <w:t>different</w:t>
      </w:r>
      <w:r w:rsidR="003D640C">
        <w:rPr>
          <w:lang w:eastAsia="en-NZ"/>
        </w:rPr>
        <w:t xml:space="preserve"> </w:t>
      </w:r>
      <w:r w:rsidRPr="00BB6220">
        <w:rPr>
          <w:lang w:eastAsia="en-NZ"/>
        </w:rPr>
        <w:t>ethnic</w:t>
      </w:r>
      <w:r w:rsidR="003D640C">
        <w:rPr>
          <w:lang w:eastAsia="en-NZ"/>
        </w:rPr>
        <w:t xml:space="preserve"> </w:t>
      </w:r>
      <w:r w:rsidR="00B72BE9" w:rsidRPr="00BB6220">
        <w:rPr>
          <w:lang w:eastAsia="en-NZ"/>
        </w:rPr>
        <w:t>community</w:t>
      </w:r>
      <w:r w:rsidRPr="00BB6220">
        <w:rPr>
          <w:lang w:eastAsia="en-NZ"/>
        </w:rPr>
        <w:t>.</w:t>
      </w:r>
      <w:r w:rsidR="003D640C">
        <w:rPr>
          <w:lang w:eastAsia="en-NZ"/>
        </w:rPr>
        <w:t xml:space="preserve"> </w:t>
      </w:r>
      <w:r w:rsidRPr="00BB6220">
        <w:rPr>
          <w:lang w:eastAsia="en-NZ"/>
        </w:rPr>
        <w:t>In</w:t>
      </w:r>
      <w:r w:rsidR="003D640C">
        <w:rPr>
          <w:lang w:eastAsia="en-NZ"/>
        </w:rPr>
        <w:t xml:space="preserve"> </w:t>
      </w:r>
      <w:r w:rsidRPr="00BB6220">
        <w:rPr>
          <w:lang w:eastAsia="en-NZ"/>
        </w:rPr>
        <w:t>cultures</w:t>
      </w:r>
      <w:r w:rsidR="003D640C">
        <w:rPr>
          <w:lang w:eastAsia="en-NZ"/>
        </w:rPr>
        <w:t xml:space="preserve"> </w:t>
      </w:r>
      <w:r w:rsidRPr="00BB6220">
        <w:rPr>
          <w:lang w:eastAsia="en-NZ"/>
        </w:rPr>
        <w:t>where</w:t>
      </w:r>
      <w:r w:rsidR="003D640C">
        <w:rPr>
          <w:lang w:eastAsia="en-NZ"/>
        </w:rPr>
        <w:t xml:space="preserve"> </w:t>
      </w:r>
      <w:r w:rsidRPr="00BB6220">
        <w:rPr>
          <w:lang w:eastAsia="en-NZ"/>
        </w:rPr>
        <w:t>gender</w:t>
      </w:r>
      <w:r w:rsidR="003D640C">
        <w:rPr>
          <w:lang w:eastAsia="en-NZ"/>
        </w:rPr>
        <w:t xml:space="preserve"> </w:t>
      </w:r>
      <w:r w:rsidRPr="00BB6220">
        <w:rPr>
          <w:lang w:eastAsia="en-NZ"/>
        </w:rPr>
        <w:t>roles</w:t>
      </w:r>
      <w:r w:rsidR="003D640C">
        <w:rPr>
          <w:lang w:eastAsia="en-NZ"/>
        </w:rPr>
        <w:t xml:space="preserve"> </w:t>
      </w:r>
      <w:r w:rsidRPr="00BB6220">
        <w:rPr>
          <w:lang w:eastAsia="en-NZ"/>
        </w:rPr>
        <w:t>are</w:t>
      </w:r>
      <w:r w:rsidR="003D640C">
        <w:rPr>
          <w:lang w:eastAsia="en-NZ"/>
        </w:rPr>
        <w:t xml:space="preserve"> </w:t>
      </w:r>
      <w:r w:rsidRPr="00BB6220">
        <w:rPr>
          <w:lang w:eastAsia="en-NZ"/>
        </w:rPr>
        <w:t>strictly</w:t>
      </w:r>
      <w:r w:rsidR="003D640C">
        <w:rPr>
          <w:lang w:eastAsia="en-NZ"/>
        </w:rPr>
        <w:t xml:space="preserve"> </w:t>
      </w:r>
      <w:r w:rsidRPr="00BB6220">
        <w:rPr>
          <w:lang w:eastAsia="en-NZ"/>
        </w:rPr>
        <w:t>divided</w:t>
      </w:r>
      <w:r w:rsidR="006F1714" w:rsidRPr="00BB6220">
        <w:rPr>
          <w:lang w:eastAsia="en-NZ"/>
        </w:rPr>
        <w:t>,</w:t>
      </w:r>
      <w:r w:rsidR="003D640C">
        <w:rPr>
          <w:lang w:eastAsia="en-NZ"/>
        </w:rPr>
        <w:t xml:space="preserve"> </w:t>
      </w:r>
      <w:r w:rsidRPr="00BB6220">
        <w:rPr>
          <w:lang w:eastAsia="en-NZ"/>
        </w:rPr>
        <w:t>a</w:t>
      </w:r>
      <w:r w:rsidR="003D640C">
        <w:rPr>
          <w:lang w:eastAsia="en-NZ"/>
        </w:rPr>
        <w:t xml:space="preserve"> </w:t>
      </w:r>
      <w:r w:rsidRPr="00BB6220">
        <w:rPr>
          <w:lang w:eastAsia="en-NZ"/>
        </w:rPr>
        <w:t>priority</w:t>
      </w:r>
      <w:r w:rsidR="003D640C">
        <w:rPr>
          <w:lang w:eastAsia="en-NZ"/>
        </w:rPr>
        <w:t xml:space="preserve"> </w:t>
      </w:r>
      <w:r w:rsidRPr="00BB6220">
        <w:rPr>
          <w:lang w:eastAsia="en-NZ"/>
        </w:rPr>
        <w:t>may</w:t>
      </w:r>
      <w:r w:rsidR="003D640C">
        <w:rPr>
          <w:lang w:eastAsia="en-NZ"/>
        </w:rPr>
        <w:t xml:space="preserve"> </w:t>
      </w:r>
      <w:r w:rsidRPr="00BB6220">
        <w:rPr>
          <w:lang w:eastAsia="en-NZ"/>
        </w:rPr>
        <w:t>be</w:t>
      </w:r>
      <w:r w:rsidR="003D640C">
        <w:rPr>
          <w:lang w:eastAsia="en-NZ"/>
        </w:rPr>
        <w:t xml:space="preserve"> </w:t>
      </w:r>
      <w:r w:rsidRPr="00BB6220">
        <w:rPr>
          <w:lang w:eastAsia="en-NZ"/>
        </w:rPr>
        <w:t>finding</w:t>
      </w:r>
      <w:r w:rsidR="003D640C">
        <w:rPr>
          <w:lang w:eastAsia="en-NZ"/>
        </w:rPr>
        <w:t xml:space="preserve"> </w:t>
      </w:r>
      <w:r w:rsidR="006F1714" w:rsidRPr="00BB6220">
        <w:rPr>
          <w:lang w:eastAsia="en-NZ"/>
        </w:rPr>
        <w:t>other</w:t>
      </w:r>
      <w:r w:rsidR="003D640C">
        <w:rPr>
          <w:lang w:eastAsia="en-NZ"/>
        </w:rPr>
        <w:t xml:space="preserve"> </w:t>
      </w:r>
      <w:r w:rsidRPr="00BB6220">
        <w:rPr>
          <w:lang w:eastAsia="en-NZ"/>
        </w:rPr>
        <w:t>ways</w:t>
      </w:r>
      <w:r w:rsidR="003D640C">
        <w:rPr>
          <w:lang w:eastAsia="en-NZ"/>
        </w:rPr>
        <w:t xml:space="preserve"> </w:t>
      </w:r>
      <w:r w:rsidRPr="00BB6220">
        <w:rPr>
          <w:lang w:eastAsia="en-NZ"/>
        </w:rPr>
        <w:t>to</w:t>
      </w:r>
      <w:r w:rsidR="003D640C">
        <w:rPr>
          <w:lang w:eastAsia="en-NZ"/>
        </w:rPr>
        <w:t xml:space="preserve"> </w:t>
      </w:r>
      <w:r w:rsidRPr="00BB6220">
        <w:rPr>
          <w:lang w:eastAsia="en-NZ"/>
        </w:rPr>
        <w:t>stay</w:t>
      </w:r>
      <w:r w:rsidR="003D640C">
        <w:rPr>
          <w:lang w:eastAsia="en-NZ"/>
        </w:rPr>
        <w:t xml:space="preserve"> </w:t>
      </w:r>
      <w:r w:rsidRPr="00BB6220">
        <w:rPr>
          <w:lang w:eastAsia="en-NZ"/>
        </w:rPr>
        <w:t>connected</w:t>
      </w:r>
      <w:r w:rsidR="003D640C">
        <w:rPr>
          <w:lang w:eastAsia="en-NZ"/>
        </w:rPr>
        <w:t xml:space="preserve"> </w:t>
      </w:r>
      <w:r w:rsidRPr="00BB6220">
        <w:rPr>
          <w:lang w:eastAsia="en-NZ"/>
        </w:rPr>
        <w:t>culturally.</w:t>
      </w:r>
      <w:r w:rsidR="003D640C">
        <w:rPr>
          <w:lang w:eastAsia="en-NZ"/>
        </w:rPr>
        <w:t xml:space="preserve"> </w:t>
      </w:r>
    </w:p>
    <w:p w14:paraId="11F8C4C2" w14:textId="77121F60" w:rsidR="009032B9" w:rsidRDefault="00CD2C3B" w:rsidP="009032B9">
      <w:pPr>
        <w:rPr>
          <w:lang w:eastAsia="en-NZ"/>
        </w:rPr>
      </w:pPr>
      <w:r w:rsidRPr="00BB6220">
        <w:rPr>
          <w:lang w:eastAsia="en-NZ"/>
        </w:rPr>
        <w:t>Family</w:t>
      </w:r>
      <w:r w:rsidR="003D640C">
        <w:rPr>
          <w:lang w:eastAsia="en-NZ"/>
        </w:rPr>
        <w:t xml:space="preserve"> </w:t>
      </w:r>
      <w:r w:rsidRPr="00BB6220">
        <w:rPr>
          <w:lang w:eastAsia="en-NZ"/>
        </w:rPr>
        <w:t>acceptance</w:t>
      </w:r>
      <w:r w:rsidR="003D640C">
        <w:rPr>
          <w:lang w:eastAsia="en-NZ"/>
        </w:rPr>
        <w:t xml:space="preserve"> </w:t>
      </w:r>
      <w:r w:rsidRPr="00BB6220">
        <w:rPr>
          <w:lang w:eastAsia="en-NZ"/>
        </w:rPr>
        <w:t>and</w:t>
      </w:r>
      <w:r w:rsidR="003D640C">
        <w:rPr>
          <w:lang w:eastAsia="en-NZ"/>
        </w:rPr>
        <w:t xml:space="preserve"> </w:t>
      </w:r>
      <w:r w:rsidRPr="00BB6220">
        <w:rPr>
          <w:lang w:eastAsia="en-NZ"/>
        </w:rPr>
        <w:t>support</w:t>
      </w:r>
      <w:r w:rsidR="003D640C">
        <w:rPr>
          <w:lang w:eastAsia="en-NZ"/>
        </w:rPr>
        <w:t xml:space="preserve"> </w:t>
      </w:r>
      <w:r w:rsidRPr="00BB6220">
        <w:rPr>
          <w:lang w:eastAsia="en-NZ"/>
        </w:rPr>
        <w:t>is</w:t>
      </w:r>
      <w:r w:rsidR="003D640C">
        <w:rPr>
          <w:lang w:eastAsia="en-NZ"/>
        </w:rPr>
        <w:t xml:space="preserve"> </w:t>
      </w:r>
      <w:r w:rsidRPr="00BB6220">
        <w:rPr>
          <w:lang w:eastAsia="en-NZ"/>
        </w:rPr>
        <w:t>important</w:t>
      </w:r>
      <w:r w:rsidR="003D640C">
        <w:rPr>
          <w:lang w:eastAsia="en-NZ"/>
        </w:rPr>
        <w:t xml:space="preserve"> </w:t>
      </w:r>
      <w:r w:rsidRPr="00BB6220">
        <w:rPr>
          <w:lang w:eastAsia="en-NZ"/>
        </w:rPr>
        <w:t>for</w:t>
      </w:r>
      <w:r w:rsidR="003D640C">
        <w:rPr>
          <w:lang w:eastAsia="en-NZ"/>
        </w:rPr>
        <w:t xml:space="preserve"> </w:t>
      </w:r>
      <w:r w:rsidRPr="00BB6220">
        <w:rPr>
          <w:lang w:eastAsia="en-NZ"/>
        </w:rPr>
        <w:t>transgender</w:t>
      </w:r>
      <w:r w:rsidR="003D640C">
        <w:rPr>
          <w:lang w:eastAsia="en-NZ"/>
        </w:rPr>
        <w:t xml:space="preserve"> </w:t>
      </w:r>
      <w:r w:rsidRPr="00BB6220">
        <w:rPr>
          <w:lang w:eastAsia="en-NZ"/>
        </w:rPr>
        <w:t>and</w:t>
      </w:r>
      <w:r w:rsidR="003D640C">
        <w:rPr>
          <w:lang w:eastAsia="en-NZ"/>
        </w:rPr>
        <w:t xml:space="preserve"> </w:t>
      </w:r>
      <w:r w:rsidRPr="00BB6220">
        <w:rPr>
          <w:lang w:eastAsia="en-NZ"/>
        </w:rPr>
        <w:t>non-binary</w:t>
      </w:r>
      <w:r w:rsidR="003D640C">
        <w:rPr>
          <w:lang w:eastAsia="en-NZ"/>
        </w:rPr>
        <w:t xml:space="preserve"> </w:t>
      </w:r>
      <w:r w:rsidRPr="00BB6220">
        <w:rPr>
          <w:lang w:eastAsia="en-NZ"/>
        </w:rPr>
        <w:t>people.</w:t>
      </w:r>
      <w:r w:rsidR="003D640C">
        <w:rPr>
          <w:lang w:eastAsia="en-NZ"/>
        </w:rPr>
        <w:t xml:space="preserve"> </w:t>
      </w:r>
      <w:r w:rsidRPr="00BB6220">
        <w:rPr>
          <w:lang w:eastAsia="en-NZ"/>
        </w:rPr>
        <w:t>Comprehensive</w:t>
      </w:r>
      <w:r w:rsidR="003D640C">
        <w:rPr>
          <w:lang w:eastAsia="en-NZ"/>
        </w:rPr>
        <w:t xml:space="preserve"> </w:t>
      </w:r>
      <w:r w:rsidRPr="00BB6220">
        <w:rPr>
          <w:lang w:eastAsia="en-NZ"/>
        </w:rPr>
        <w:t>education</w:t>
      </w:r>
      <w:r w:rsidR="003D640C">
        <w:rPr>
          <w:lang w:eastAsia="en-NZ"/>
        </w:rPr>
        <w:t xml:space="preserve"> </w:t>
      </w:r>
      <w:r w:rsidRPr="00BB6220">
        <w:rPr>
          <w:lang w:eastAsia="en-NZ"/>
        </w:rPr>
        <w:t>about</w:t>
      </w:r>
      <w:r w:rsidR="003D640C">
        <w:rPr>
          <w:lang w:eastAsia="en-NZ"/>
        </w:rPr>
        <w:t xml:space="preserve"> </w:t>
      </w:r>
      <w:r w:rsidRPr="00BB6220">
        <w:rPr>
          <w:lang w:eastAsia="en-NZ"/>
        </w:rPr>
        <w:t>gender</w:t>
      </w:r>
      <w:r w:rsidR="003D640C">
        <w:rPr>
          <w:lang w:eastAsia="en-NZ"/>
        </w:rPr>
        <w:t xml:space="preserve"> </w:t>
      </w:r>
      <w:r w:rsidRPr="00BB6220">
        <w:rPr>
          <w:lang w:eastAsia="en-NZ"/>
        </w:rPr>
        <w:t>diversity</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harm</w:t>
      </w:r>
      <w:r w:rsidR="003D640C">
        <w:rPr>
          <w:lang w:eastAsia="en-NZ"/>
        </w:rPr>
        <w:t xml:space="preserve"> </w:t>
      </w:r>
      <w:r w:rsidRPr="00BB6220">
        <w:rPr>
          <w:lang w:eastAsia="en-NZ"/>
        </w:rPr>
        <w:t>caused</w:t>
      </w:r>
      <w:r w:rsidR="003D640C">
        <w:rPr>
          <w:lang w:eastAsia="en-NZ"/>
        </w:rPr>
        <w:t xml:space="preserve"> </w:t>
      </w:r>
      <w:r w:rsidRPr="00BB6220">
        <w:rPr>
          <w:lang w:eastAsia="en-NZ"/>
        </w:rPr>
        <w:t>by</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DB2E94" w:rsidRPr="00BB6220">
        <w:rPr>
          <w:lang w:eastAsia="en-NZ"/>
        </w:rPr>
        <w:t>is</w:t>
      </w:r>
      <w:r w:rsidR="003D640C">
        <w:rPr>
          <w:lang w:eastAsia="en-NZ"/>
        </w:rPr>
        <w:t xml:space="preserve"> </w:t>
      </w:r>
      <w:r w:rsidR="00DB2E94" w:rsidRPr="00BB6220">
        <w:rPr>
          <w:lang w:eastAsia="en-NZ"/>
        </w:rPr>
        <w:t>key</w:t>
      </w:r>
      <w:r w:rsidR="003D640C">
        <w:rPr>
          <w:lang w:eastAsia="en-NZ"/>
        </w:rPr>
        <w:t xml:space="preserve"> </w:t>
      </w:r>
      <w:r w:rsidRPr="00BB6220">
        <w:rPr>
          <w:lang w:eastAsia="en-NZ"/>
        </w:rPr>
        <w:t>to</w:t>
      </w:r>
      <w:r w:rsidR="003D640C">
        <w:rPr>
          <w:lang w:eastAsia="en-NZ"/>
        </w:rPr>
        <w:t xml:space="preserve"> </w:t>
      </w:r>
      <w:r w:rsidR="00DB2E94" w:rsidRPr="00BB6220">
        <w:rPr>
          <w:lang w:eastAsia="en-NZ"/>
        </w:rPr>
        <w:t>recovery</w:t>
      </w:r>
      <w:r w:rsidR="003D640C">
        <w:rPr>
          <w:lang w:eastAsia="en-NZ"/>
        </w:rPr>
        <w:t xml:space="preserve"> </w:t>
      </w:r>
      <w:r w:rsidR="00DB2E94" w:rsidRPr="00BB6220">
        <w:rPr>
          <w:lang w:eastAsia="en-NZ"/>
        </w:rPr>
        <w:t>and</w:t>
      </w:r>
      <w:r w:rsidR="003D640C">
        <w:rPr>
          <w:lang w:eastAsia="en-NZ"/>
        </w:rPr>
        <w:t xml:space="preserve"> </w:t>
      </w:r>
      <w:r w:rsidR="00DB2E94" w:rsidRPr="00BB6220">
        <w:rPr>
          <w:lang w:eastAsia="en-NZ"/>
        </w:rPr>
        <w:t>to</w:t>
      </w:r>
      <w:r w:rsidR="003D640C">
        <w:rPr>
          <w:lang w:eastAsia="en-NZ"/>
        </w:rPr>
        <w:t xml:space="preserve"> </w:t>
      </w:r>
      <w:r w:rsidR="00DB2E94" w:rsidRPr="00BB6220">
        <w:rPr>
          <w:lang w:eastAsia="en-NZ"/>
        </w:rPr>
        <w:t>building</w:t>
      </w:r>
      <w:r w:rsidR="003D640C">
        <w:rPr>
          <w:lang w:eastAsia="en-NZ"/>
        </w:rPr>
        <w:t xml:space="preserve"> </w:t>
      </w:r>
      <w:r w:rsidR="00DB2E94" w:rsidRPr="00BB6220">
        <w:rPr>
          <w:lang w:eastAsia="en-NZ"/>
        </w:rPr>
        <w:t>support</w:t>
      </w:r>
      <w:r w:rsidR="003D640C">
        <w:rPr>
          <w:lang w:eastAsia="en-NZ"/>
        </w:rPr>
        <w:t xml:space="preserve"> </w:t>
      </w:r>
      <w:r w:rsidR="00DB2E94" w:rsidRPr="00BB6220">
        <w:rPr>
          <w:lang w:eastAsia="en-NZ"/>
        </w:rPr>
        <w:t>within</w:t>
      </w:r>
      <w:r w:rsidR="003D640C">
        <w:rPr>
          <w:lang w:eastAsia="en-NZ"/>
        </w:rPr>
        <w:t xml:space="preserve"> </w:t>
      </w:r>
      <w:r w:rsidR="00DB2E94" w:rsidRPr="00BB6220">
        <w:rPr>
          <w:lang w:eastAsia="en-NZ"/>
        </w:rPr>
        <w:t>families</w:t>
      </w:r>
      <w:r w:rsidRPr="00BB6220">
        <w:rPr>
          <w:lang w:eastAsia="en-NZ"/>
        </w:rPr>
        <w:t>.</w:t>
      </w:r>
    </w:p>
    <w:p w14:paraId="0D4A9E83" w14:textId="77777777" w:rsidR="009032B9" w:rsidRDefault="009032B9">
      <w:pPr>
        <w:rPr>
          <w:lang w:eastAsia="en-NZ"/>
        </w:rPr>
      </w:pPr>
      <w:r>
        <w:rPr>
          <w:lang w:eastAsia="en-NZ"/>
        </w:rPr>
        <w:br w:type="page"/>
      </w:r>
    </w:p>
    <w:p w14:paraId="1334E798" w14:textId="082AA9A2" w:rsidR="00501068" w:rsidRPr="00C139DD" w:rsidRDefault="00EF5D2F" w:rsidP="00C139DD">
      <w:pPr>
        <w:pStyle w:val="Heading1"/>
      </w:pPr>
      <w:bookmarkStart w:id="429" w:name="_Toc138325204"/>
      <w:bookmarkStart w:id="430" w:name="_Toc138343861"/>
      <w:bookmarkStart w:id="431" w:name="_Toc167780652"/>
      <w:bookmarkStart w:id="432" w:name="_Ref168302521"/>
      <w:bookmarkStart w:id="433" w:name="_Ref168393614"/>
      <w:bookmarkStart w:id="434" w:name="_Ref168393657"/>
      <w:bookmarkStart w:id="435" w:name="_Ref168393696"/>
      <w:bookmarkStart w:id="436" w:name="_Toc1665520799"/>
      <w:bookmarkStart w:id="437" w:name="_Toc174628714"/>
      <w:r w:rsidRPr="00C139DD">
        <w:lastRenderedPageBreak/>
        <w:t>Recommendations</w:t>
      </w:r>
      <w:r w:rsidR="003D640C" w:rsidRPr="00C139DD">
        <w:t xml:space="preserve"> </w:t>
      </w:r>
      <w:r w:rsidR="0006640D" w:rsidRPr="00C139DD">
        <w:t>for</w:t>
      </w:r>
      <w:r w:rsidR="003D640C" w:rsidRPr="00C139DD">
        <w:t xml:space="preserve"> </w:t>
      </w:r>
      <w:r w:rsidRPr="00C139DD">
        <w:t>a</w:t>
      </w:r>
      <w:r w:rsidR="003D640C" w:rsidRPr="00C139DD">
        <w:t xml:space="preserve"> </w:t>
      </w:r>
      <w:r w:rsidR="00C044A8" w:rsidRPr="00C139DD">
        <w:t>world</w:t>
      </w:r>
      <w:r w:rsidR="003D640C" w:rsidRPr="00C139DD">
        <w:t xml:space="preserve"> </w:t>
      </w:r>
      <w:r w:rsidR="00C044A8" w:rsidRPr="00C139DD">
        <w:t>free</w:t>
      </w:r>
      <w:r w:rsidR="003D640C" w:rsidRPr="00C139DD">
        <w:t xml:space="preserve"> </w:t>
      </w:r>
      <w:r w:rsidR="00C044A8" w:rsidRPr="00C139DD">
        <w:t>from</w:t>
      </w:r>
      <w:r w:rsidR="003D640C" w:rsidRPr="00C139DD">
        <w:t xml:space="preserve"> </w:t>
      </w:r>
      <w:r w:rsidR="00C044A8" w:rsidRPr="00C139DD">
        <w:t>conversion</w:t>
      </w:r>
      <w:r w:rsidR="003D640C" w:rsidRPr="00C139DD">
        <w:t xml:space="preserve"> </w:t>
      </w:r>
      <w:bookmarkEnd w:id="429"/>
      <w:bookmarkEnd w:id="430"/>
      <w:r w:rsidR="00C044A8" w:rsidRPr="00C139DD">
        <w:t>practices</w:t>
      </w:r>
      <w:bookmarkEnd w:id="431"/>
      <w:bookmarkEnd w:id="432"/>
      <w:bookmarkEnd w:id="433"/>
      <w:bookmarkEnd w:id="434"/>
      <w:bookmarkEnd w:id="435"/>
      <w:bookmarkEnd w:id="436"/>
      <w:bookmarkEnd w:id="437"/>
    </w:p>
    <w:p w14:paraId="3829C49A" w14:textId="15726E8B" w:rsidR="00501068" w:rsidRDefault="00C044A8" w:rsidP="009032B9">
      <w:pPr>
        <w:rPr>
          <w:lang w:eastAsia="en-NZ"/>
        </w:rPr>
      </w:pPr>
      <w:r w:rsidRPr="00BB6220">
        <w:rPr>
          <w:lang w:eastAsia="en-NZ"/>
        </w:rPr>
        <w:t>Despite</w:t>
      </w:r>
      <w:r w:rsidR="003D640C">
        <w:rPr>
          <w:lang w:eastAsia="en-NZ"/>
        </w:rPr>
        <w:t xml:space="preserve"> </w:t>
      </w:r>
      <w:r w:rsidRPr="00BB6220">
        <w:rPr>
          <w:lang w:eastAsia="en-NZ"/>
        </w:rPr>
        <w:t>many</w:t>
      </w:r>
      <w:r w:rsidR="003D640C">
        <w:rPr>
          <w:lang w:eastAsia="en-NZ"/>
        </w:rPr>
        <w:t xml:space="preserve"> </w:t>
      </w:r>
      <w:r w:rsidRPr="00BB6220">
        <w:rPr>
          <w:lang w:eastAsia="en-NZ"/>
        </w:rPr>
        <w:t>signals</w:t>
      </w:r>
      <w:r w:rsidR="003D640C">
        <w:rPr>
          <w:lang w:eastAsia="en-NZ"/>
        </w:rPr>
        <w:t xml:space="preserve"> </w:t>
      </w:r>
      <w:r w:rsidRPr="00BB6220">
        <w:rPr>
          <w:lang w:eastAsia="en-NZ"/>
        </w:rPr>
        <w:t>locally</w:t>
      </w:r>
      <w:r w:rsidR="003D640C">
        <w:rPr>
          <w:lang w:eastAsia="en-NZ"/>
        </w:rPr>
        <w:t xml:space="preserve"> </w:t>
      </w:r>
      <w:r w:rsidRPr="00BB6220">
        <w:rPr>
          <w:lang w:eastAsia="en-NZ"/>
        </w:rPr>
        <w:t>and</w:t>
      </w:r>
      <w:r w:rsidR="003D640C">
        <w:rPr>
          <w:lang w:eastAsia="en-NZ"/>
        </w:rPr>
        <w:t xml:space="preserve"> </w:t>
      </w:r>
      <w:r w:rsidRPr="00BB6220">
        <w:rPr>
          <w:lang w:eastAsia="en-NZ"/>
        </w:rPr>
        <w:t>internationally</w:t>
      </w:r>
      <w:r w:rsidR="003D640C">
        <w:rPr>
          <w:lang w:eastAsia="en-NZ"/>
        </w:rPr>
        <w:t xml:space="preserve"> </w:t>
      </w:r>
      <w:r w:rsidRPr="00BB6220">
        <w:rPr>
          <w:lang w:eastAsia="en-NZ"/>
        </w:rPr>
        <w:t>that</w:t>
      </w:r>
      <w:r w:rsidR="003D640C">
        <w:rPr>
          <w:lang w:eastAsia="en-NZ"/>
        </w:rPr>
        <w:t xml:space="preserve"> </w:t>
      </w:r>
      <w:r w:rsidRPr="00BB6220">
        <w:rPr>
          <w:lang w:eastAsia="en-NZ"/>
        </w:rPr>
        <w:t>hate</w:t>
      </w:r>
      <w:r w:rsidR="0057259A">
        <w:rPr>
          <w:lang w:eastAsia="en-NZ"/>
        </w:rPr>
        <w:t xml:space="preserve"> towards Rainbow people</w:t>
      </w:r>
      <w:r w:rsidR="003D640C">
        <w:rPr>
          <w:lang w:eastAsia="en-NZ"/>
        </w:rPr>
        <w:t xml:space="preserve"> </w:t>
      </w:r>
      <w:r w:rsidRPr="00BB6220">
        <w:rPr>
          <w:lang w:eastAsia="en-NZ"/>
        </w:rPr>
        <w:t>is</w:t>
      </w:r>
      <w:r w:rsidR="003D640C">
        <w:rPr>
          <w:lang w:eastAsia="en-NZ"/>
        </w:rPr>
        <w:t xml:space="preserve"> </w:t>
      </w:r>
      <w:r w:rsidRPr="00BB6220">
        <w:rPr>
          <w:lang w:eastAsia="en-NZ"/>
        </w:rPr>
        <w:t>on</w:t>
      </w:r>
      <w:r w:rsidR="003D640C">
        <w:rPr>
          <w:lang w:eastAsia="en-NZ"/>
        </w:rPr>
        <w:t xml:space="preserve"> </w:t>
      </w:r>
      <w:r w:rsidRPr="00BB6220">
        <w:rPr>
          <w:lang w:eastAsia="en-NZ"/>
        </w:rPr>
        <w:t>the</w:t>
      </w:r>
      <w:r w:rsidR="003D640C">
        <w:rPr>
          <w:lang w:eastAsia="en-NZ"/>
        </w:rPr>
        <w:t xml:space="preserve"> </w:t>
      </w:r>
      <w:r w:rsidRPr="00BB6220">
        <w:rPr>
          <w:lang w:eastAsia="en-NZ"/>
        </w:rPr>
        <w:t>rise</w:t>
      </w:r>
      <w:r w:rsidR="003D640C">
        <w:rPr>
          <w:lang w:eastAsia="en-NZ"/>
        </w:rPr>
        <w:t xml:space="preserve"> </w:t>
      </w:r>
      <w:r w:rsidR="009D4A3C">
        <w:rPr>
          <w:lang w:eastAsia="en-NZ"/>
        </w:rPr>
        <w:t>–</w:t>
      </w:r>
      <w:r w:rsidR="003D640C">
        <w:rPr>
          <w:lang w:eastAsia="en-NZ"/>
        </w:rPr>
        <w:t xml:space="preserve"> </w:t>
      </w:r>
      <w:r w:rsidRPr="00BB6220">
        <w:rPr>
          <w:lang w:eastAsia="en-NZ"/>
        </w:rPr>
        <w:t>and</w:t>
      </w:r>
      <w:r w:rsidR="003D640C">
        <w:rPr>
          <w:lang w:eastAsia="en-NZ"/>
        </w:rPr>
        <w:t xml:space="preserve"> </w:t>
      </w:r>
      <w:r w:rsidR="009D4A3C">
        <w:rPr>
          <w:lang w:eastAsia="en-NZ"/>
        </w:rPr>
        <w:t>the</w:t>
      </w:r>
      <w:r w:rsidR="003D640C">
        <w:rPr>
          <w:lang w:eastAsia="en-NZ"/>
        </w:rPr>
        <w:t xml:space="preserve"> </w:t>
      </w:r>
      <w:r w:rsidR="009D4A3C">
        <w:rPr>
          <w:lang w:eastAsia="en-NZ"/>
        </w:rPr>
        <w:t>fact</w:t>
      </w:r>
      <w:r w:rsidR="003D640C">
        <w:rPr>
          <w:lang w:eastAsia="en-NZ"/>
        </w:rPr>
        <w:t xml:space="preserve"> </w:t>
      </w:r>
      <w:r w:rsidR="009D4A3C">
        <w:rPr>
          <w:lang w:eastAsia="en-NZ"/>
        </w:rPr>
        <w:t>that</w:t>
      </w:r>
      <w:r w:rsidR="003D640C">
        <w:rPr>
          <w:lang w:eastAsia="en-NZ"/>
        </w:rPr>
        <w:t xml:space="preserve"> </w:t>
      </w:r>
      <w:r w:rsidRPr="00BB6220">
        <w:rPr>
          <w:lang w:eastAsia="en-NZ"/>
        </w:rPr>
        <w:t>only</w:t>
      </w:r>
      <w:r w:rsidR="003D640C">
        <w:rPr>
          <w:lang w:eastAsia="en-NZ"/>
        </w:rPr>
        <w:t xml:space="preserve"> </w:t>
      </w:r>
      <w:r w:rsidRPr="00BB6220">
        <w:rPr>
          <w:lang w:eastAsia="en-NZ"/>
        </w:rPr>
        <w:t>limited</w:t>
      </w:r>
      <w:r w:rsidR="003D640C">
        <w:rPr>
          <w:lang w:eastAsia="en-NZ"/>
        </w:rPr>
        <w:t xml:space="preserve"> </w:t>
      </w:r>
      <w:r w:rsidRPr="00BB6220">
        <w:rPr>
          <w:lang w:eastAsia="en-NZ"/>
        </w:rPr>
        <w:t>short-term</w:t>
      </w:r>
      <w:r w:rsidR="003D640C">
        <w:rPr>
          <w:lang w:eastAsia="en-NZ"/>
        </w:rPr>
        <w:t xml:space="preserve"> </w:t>
      </w:r>
      <w:r w:rsidRPr="00BB6220">
        <w:rPr>
          <w:lang w:eastAsia="en-NZ"/>
        </w:rPr>
        <w:t>government</w:t>
      </w:r>
      <w:r w:rsidR="003D640C">
        <w:rPr>
          <w:lang w:eastAsia="en-NZ"/>
        </w:rPr>
        <w:t xml:space="preserve"> </w:t>
      </w:r>
      <w:r w:rsidRPr="00BB6220">
        <w:rPr>
          <w:lang w:eastAsia="en-NZ"/>
        </w:rPr>
        <w:t>funding</w:t>
      </w:r>
      <w:r w:rsidR="003D640C">
        <w:rPr>
          <w:lang w:eastAsia="en-NZ"/>
        </w:rPr>
        <w:t xml:space="preserve"> </w:t>
      </w:r>
      <w:r w:rsidRPr="00BB6220" w:rsidDel="00656DA7">
        <w:rPr>
          <w:lang w:eastAsia="en-NZ"/>
        </w:rPr>
        <w:t>was</w:t>
      </w:r>
      <w:r w:rsidR="003D640C">
        <w:rPr>
          <w:lang w:eastAsia="en-NZ"/>
        </w:rPr>
        <w:t xml:space="preserve"> </w:t>
      </w:r>
      <w:r w:rsidR="00656DA7" w:rsidRPr="00BB6220">
        <w:rPr>
          <w:lang w:eastAsia="en-NZ"/>
        </w:rPr>
        <w:t>made</w:t>
      </w:r>
      <w:r w:rsidR="003D640C">
        <w:rPr>
          <w:lang w:eastAsia="en-NZ"/>
        </w:rPr>
        <w:t xml:space="preserve"> </w:t>
      </w:r>
      <w:r w:rsidRPr="00BB6220">
        <w:rPr>
          <w:lang w:eastAsia="en-NZ"/>
        </w:rPr>
        <w:t>available</w:t>
      </w:r>
      <w:r w:rsidR="003D640C">
        <w:rPr>
          <w:lang w:eastAsia="en-NZ"/>
        </w:rPr>
        <w:t xml:space="preserve"> </w:t>
      </w:r>
      <w:r w:rsidRPr="00BB6220">
        <w:rPr>
          <w:lang w:eastAsia="en-NZ"/>
        </w:rPr>
        <w:t>to</w:t>
      </w:r>
      <w:r w:rsidR="003D640C">
        <w:rPr>
          <w:lang w:eastAsia="en-NZ"/>
        </w:rPr>
        <w:t xml:space="preserve"> </w:t>
      </w:r>
      <w:r w:rsidRPr="00BB6220">
        <w:rPr>
          <w:lang w:eastAsia="en-NZ"/>
        </w:rPr>
        <w:t>support</w:t>
      </w:r>
      <w:r w:rsidR="003D640C">
        <w:rPr>
          <w:lang w:eastAsia="en-NZ"/>
        </w:rPr>
        <w:t xml:space="preserve"> </w:t>
      </w:r>
      <w:r w:rsidRPr="00BB6220">
        <w:rPr>
          <w:lang w:eastAsia="en-NZ"/>
        </w:rPr>
        <w:t>a</w:t>
      </w:r>
      <w:r w:rsidR="003D640C">
        <w:rPr>
          <w:lang w:eastAsia="en-NZ"/>
        </w:rPr>
        <w:t xml:space="preserve"> </w:t>
      </w:r>
      <w:r w:rsidRPr="00BB6220">
        <w:rPr>
          <w:lang w:eastAsia="en-NZ"/>
        </w:rPr>
        <w:t>community</w:t>
      </w:r>
      <w:r w:rsidR="003D640C">
        <w:rPr>
          <w:lang w:eastAsia="en-NZ"/>
        </w:rPr>
        <w:t xml:space="preserve"> </w:t>
      </w:r>
      <w:r w:rsidRPr="00BB6220">
        <w:rPr>
          <w:lang w:eastAsia="en-NZ"/>
        </w:rPr>
        <w:t>response</w:t>
      </w:r>
      <w:r w:rsidR="003D640C">
        <w:rPr>
          <w:lang w:eastAsia="en-NZ"/>
        </w:rPr>
        <w:t xml:space="preserve"> </w:t>
      </w:r>
      <w:r w:rsidRPr="00BB6220">
        <w:rPr>
          <w:lang w:eastAsia="en-NZ"/>
        </w:rPr>
        <w:t>to</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9D4A3C">
        <w:rPr>
          <w:lang w:eastAsia="en-NZ"/>
        </w:rPr>
        <w:t>–</w:t>
      </w:r>
      <w:r w:rsidR="003D640C">
        <w:rPr>
          <w:lang w:eastAsia="en-NZ"/>
        </w:rPr>
        <w:t xml:space="preserve"> </w:t>
      </w:r>
      <w:r w:rsidRPr="00BB6220">
        <w:rPr>
          <w:lang w:eastAsia="en-NZ"/>
        </w:rPr>
        <w:t>it</w:t>
      </w:r>
      <w:r w:rsidR="003D640C">
        <w:rPr>
          <w:lang w:eastAsia="en-NZ"/>
        </w:rPr>
        <w:t xml:space="preserve"> </w:t>
      </w:r>
      <w:r w:rsidRPr="00BB6220">
        <w:rPr>
          <w:lang w:eastAsia="en-NZ"/>
        </w:rPr>
        <w:t>is</w:t>
      </w:r>
      <w:r w:rsidR="003D640C">
        <w:rPr>
          <w:lang w:eastAsia="en-NZ"/>
        </w:rPr>
        <w:t xml:space="preserve"> </w:t>
      </w:r>
      <w:r w:rsidRPr="00BB6220">
        <w:rPr>
          <w:lang w:eastAsia="en-NZ"/>
        </w:rPr>
        <w:t>important</w:t>
      </w:r>
      <w:r w:rsidR="003D640C">
        <w:rPr>
          <w:lang w:eastAsia="en-NZ"/>
        </w:rPr>
        <w:t xml:space="preserve"> </w:t>
      </w:r>
      <w:r w:rsidRPr="00BB6220">
        <w:rPr>
          <w:lang w:eastAsia="en-NZ"/>
        </w:rPr>
        <w:t>to</w:t>
      </w:r>
      <w:r w:rsidR="003D640C">
        <w:rPr>
          <w:lang w:eastAsia="en-NZ"/>
        </w:rPr>
        <w:t xml:space="preserve"> </w:t>
      </w:r>
      <w:r w:rsidRPr="00BB6220">
        <w:rPr>
          <w:lang w:eastAsia="en-NZ"/>
        </w:rPr>
        <w:t>remain</w:t>
      </w:r>
      <w:r w:rsidR="003D640C">
        <w:rPr>
          <w:lang w:eastAsia="en-NZ"/>
        </w:rPr>
        <w:t xml:space="preserve"> </w:t>
      </w:r>
      <w:r w:rsidRPr="00BB6220">
        <w:rPr>
          <w:lang w:eastAsia="en-NZ"/>
        </w:rPr>
        <w:t>optimistic.</w:t>
      </w:r>
      <w:r w:rsidR="003D640C">
        <w:rPr>
          <w:lang w:eastAsia="en-NZ"/>
        </w:rPr>
        <w:t xml:space="preserve"> </w:t>
      </w:r>
      <w:r w:rsidR="009D4A3C">
        <w:rPr>
          <w:lang w:eastAsia="en-NZ"/>
        </w:rPr>
        <w:t>W</w:t>
      </w:r>
      <w:r w:rsidRPr="00BB6220">
        <w:rPr>
          <w:lang w:eastAsia="en-NZ"/>
        </w:rPr>
        <w:t>ith</w:t>
      </w:r>
      <w:r w:rsidR="003D640C">
        <w:rPr>
          <w:lang w:eastAsia="en-NZ"/>
        </w:rPr>
        <w:t xml:space="preserve"> </w:t>
      </w:r>
      <w:r w:rsidRPr="00BB6220">
        <w:rPr>
          <w:lang w:eastAsia="en-NZ"/>
        </w:rPr>
        <w:t>the</w:t>
      </w:r>
      <w:r w:rsidR="003D640C">
        <w:rPr>
          <w:lang w:eastAsia="en-NZ"/>
        </w:rPr>
        <w:t xml:space="preserve"> </w:t>
      </w:r>
      <w:r w:rsidRPr="00BB6220">
        <w:rPr>
          <w:lang w:eastAsia="en-NZ"/>
        </w:rPr>
        <w:t>support</w:t>
      </w:r>
      <w:r w:rsidR="003D640C">
        <w:rPr>
          <w:lang w:eastAsia="en-NZ"/>
        </w:rPr>
        <w:t xml:space="preserve"> </w:t>
      </w:r>
      <w:r w:rsidRPr="00BB6220">
        <w:rPr>
          <w:lang w:eastAsia="en-NZ"/>
        </w:rPr>
        <w:t>and</w:t>
      </w:r>
      <w:r w:rsidR="003D640C">
        <w:rPr>
          <w:lang w:eastAsia="en-NZ"/>
        </w:rPr>
        <w:t xml:space="preserve"> </w:t>
      </w:r>
      <w:r w:rsidRPr="00BB6220">
        <w:rPr>
          <w:lang w:eastAsia="en-NZ"/>
        </w:rPr>
        <w:t>collaboration</w:t>
      </w:r>
      <w:r w:rsidR="003D640C">
        <w:rPr>
          <w:lang w:eastAsia="en-NZ"/>
        </w:rPr>
        <w:t xml:space="preserve"> </w:t>
      </w:r>
      <w:r w:rsidRPr="00BB6220">
        <w:rPr>
          <w:lang w:eastAsia="en-NZ"/>
        </w:rPr>
        <w:t>of</w:t>
      </w:r>
      <w:r w:rsidR="003D640C">
        <w:rPr>
          <w:lang w:eastAsia="en-NZ"/>
        </w:rPr>
        <w:t xml:space="preserve"> </w:t>
      </w:r>
      <w:r w:rsidRPr="00BB6220">
        <w:rPr>
          <w:lang w:eastAsia="en-NZ"/>
        </w:rPr>
        <w:t>groups</w:t>
      </w:r>
      <w:r w:rsidR="003D640C">
        <w:rPr>
          <w:lang w:eastAsia="en-NZ"/>
        </w:rPr>
        <w:t xml:space="preserve"> </w:t>
      </w:r>
      <w:r w:rsidRPr="00BB6220">
        <w:rPr>
          <w:lang w:eastAsia="en-NZ"/>
        </w:rPr>
        <w:t>across</w:t>
      </w:r>
      <w:r w:rsidR="003D640C">
        <w:rPr>
          <w:lang w:eastAsia="en-NZ"/>
        </w:rPr>
        <w:t xml:space="preserve"> </w:t>
      </w:r>
      <w:r w:rsidRPr="00BB6220">
        <w:rPr>
          <w:lang w:eastAsia="en-NZ"/>
        </w:rPr>
        <w:t>Aotearoa</w:t>
      </w:r>
      <w:r w:rsidR="003D640C">
        <w:rPr>
          <w:lang w:eastAsia="en-NZ"/>
        </w:rPr>
        <w:t xml:space="preserve"> </w:t>
      </w:r>
      <w:r w:rsidRPr="00BB6220">
        <w:rPr>
          <w:lang w:eastAsia="en-NZ"/>
        </w:rPr>
        <w:t>who</w:t>
      </w:r>
      <w:r w:rsidR="003D640C">
        <w:rPr>
          <w:lang w:eastAsia="en-NZ"/>
        </w:rPr>
        <w:t xml:space="preserve"> </w:t>
      </w:r>
      <w:r w:rsidRPr="00BB6220">
        <w:rPr>
          <w:lang w:eastAsia="en-NZ"/>
        </w:rPr>
        <w:t>have</w:t>
      </w:r>
      <w:r w:rsidR="003D640C">
        <w:rPr>
          <w:lang w:eastAsia="en-NZ"/>
        </w:rPr>
        <w:t xml:space="preserve"> </w:t>
      </w:r>
      <w:r w:rsidRPr="00BB6220">
        <w:rPr>
          <w:lang w:eastAsia="en-NZ"/>
        </w:rPr>
        <w:t>not</w:t>
      </w:r>
      <w:r w:rsidR="003D640C">
        <w:rPr>
          <w:lang w:eastAsia="en-NZ"/>
        </w:rPr>
        <w:t xml:space="preserve"> </w:t>
      </w:r>
      <w:r w:rsidR="001866D1">
        <w:rPr>
          <w:lang w:eastAsia="en-NZ"/>
        </w:rPr>
        <w:t>traditionally</w:t>
      </w:r>
      <w:r w:rsidR="003D640C">
        <w:rPr>
          <w:lang w:eastAsia="en-NZ"/>
        </w:rPr>
        <w:t xml:space="preserve"> </w:t>
      </w:r>
      <w:r w:rsidRPr="00BB6220">
        <w:rPr>
          <w:lang w:eastAsia="en-NZ"/>
        </w:rPr>
        <w:t>worked</w:t>
      </w:r>
      <w:r w:rsidR="003D640C">
        <w:rPr>
          <w:lang w:eastAsia="en-NZ"/>
        </w:rPr>
        <w:t xml:space="preserve"> </w:t>
      </w:r>
      <w:r w:rsidRPr="00BB6220">
        <w:rPr>
          <w:lang w:eastAsia="en-NZ"/>
        </w:rPr>
        <w:t>together,</w:t>
      </w:r>
      <w:r w:rsidR="003D640C">
        <w:rPr>
          <w:lang w:eastAsia="en-NZ"/>
        </w:rPr>
        <w:t xml:space="preserve"> </w:t>
      </w:r>
      <w:r w:rsidR="009D4A3C">
        <w:rPr>
          <w:lang w:eastAsia="en-NZ"/>
        </w:rPr>
        <w:t>t</w:t>
      </w:r>
      <w:r w:rsidR="009D4A3C" w:rsidRPr="00BB6220">
        <w:rPr>
          <w:lang w:eastAsia="en-NZ"/>
        </w:rPr>
        <w:t>here</w:t>
      </w:r>
      <w:r w:rsidR="003D640C">
        <w:rPr>
          <w:lang w:eastAsia="en-NZ"/>
        </w:rPr>
        <w:t xml:space="preserve"> </w:t>
      </w:r>
      <w:r w:rsidR="009D4A3C" w:rsidRPr="00BB6220">
        <w:rPr>
          <w:lang w:eastAsia="en-NZ"/>
        </w:rPr>
        <w:t>is</w:t>
      </w:r>
      <w:r w:rsidR="003D640C">
        <w:rPr>
          <w:lang w:eastAsia="en-NZ"/>
        </w:rPr>
        <w:t xml:space="preserve"> </w:t>
      </w:r>
      <w:r w:rsidR="009D4A3C" w:rsidRPr="00BB6220">
        <w:rPr>
          <w:lang w:eastAsia="en-NZ"/>
        </w:rPr>
        <w:t>hope</w:t>
      </w:r>
      <w:r w:rsidR="003D640C">
        <w:rPr>
          <w:lang w:eastAsia="en-NZ"/>
        </w:rPr>
        <w:t xml:space="preserve"> </w:t>
      </w:r>
      <w:r w:rsidRPr="00BB6220">
        <w:rPr>
          <w:lang w:eastAsia="en-NZ"/>
        </w:rPr>
        <w:t>that</w:t>
      </w:r>
      <w:r w:rsidR="003D640C">
        <w:rPr>
          <w:lang w:eastAsia="en-NZ"/>
        </w:rPr>
        <w:t xml:space="preserve"> </w:t>
      </w:r>
      <w:r w:rsidRPr="00BB6220">
        <w:rPr>
          <w:lang w:eastAsia="en-NZ"/>
        </w:rPr>
        <w:t>th</w:t>
      </w:r>
      <w:r w:rsidR="006F10EA" w:rsidRPr="00BB6220">
        <w:rPr>
          <w:lang w:eastAsia="en-NZ"/>
        </w:rPr>
        <w:t>e</w:t>
      </w:r>
      <w:r w:rsidR="003D640C">
        <w:rPr>
          <w:lang w:eastAsia="en-NZ"/>
        </w:rPr>
        <w:t xml:space="preserve"> </w:t>
      </w:r>
      <w:r w:rsidRPr="00BB6220">
        <w:rPr>
          <w:lang w:eastAsia="en-NZ"/>
        </w:rPr>
        <w:t>goal</w:t>
      </w:r>
      <w:r w:rsidR="003D640C">
        <w:rPr>
          <w:lang w:eastAsia="en-NZ"/>
        </w:rPr>
        <w:t xml:space="preserve"> </w:t>
      </w:r>
      <w:r w:rsidR="006F10EA" w:rsidRPr="00BB6220">
        <w:rPr>
          <w:lang w:eastAsia="en-NZ"/>
        </w:rPr>
        <w:t>of</w:t>
      </w:r>
      <w:r w:rsidR="003D640C">
        <w:rPr>
          <w:lang w:eastAsia="en-NZ"/>
        </w:rPr>
        <w:t xml:space="preserve"> </w:t>
      </w:r>
      <w:r w:rsidR="006F10EA" w:rsidRPr="00BB6220">
        <w:rPr>
          <w:lang w:eastAsia="en-NZ"/>
        </w:rPr>
        <w:t>an</w:t>
      </w:r>
      <w:r w:rsidR="003D640C">
        <w:rPr>
          <w:lang w:eastAsia="en-NZ"/>
        </w:rPr>
        <w:t xml:space="preserve"> </w:t>
      </w:r>
      <w:r w:rsidR="006F10EA" w:rsidRPr="00BB6220">
        <w:rPr>
          <w:lang w:eastAsia="en-NZ"/>
        </w:rPr>
        <w:t>Aotearoa</w:t>
      </w:r>
      <w:r w:rsidR="003D640C">
        <w:rPr>
          <w:lang w:eastAsia="en-NZ"/>
        </w:rPr>
        <w:t xml:space="preserve"> </w:t>
      </w:r>
      <w:r w:rsidR="006F10EA" w:rsidRPr="00BB6220">
        <w:rPr>
          <w:lang w:eastAsia="en-NZ"/>
        </w:rPr>
        <w:t>free</w:t>
      </w:r>
      <w:r w:rsidR="003D640C">
        <w:rPr>
          <w:lang w:eastAsia="en-NZ"/>
        </w:rPr>
        <w:t xml:space="preserve"> </w:t>
      </w:r>
      <w:r w:rsidR="006F10EA" w:rsidRPr="00BB6220">
        <w:rPr>
          <w:lang w:eastAsia="en-NZ"/>
        </w:rPr>
        <w:t>from</w:t>
      </w:r>
      <w:r w:rsidR="003D640C">
        <w:rPr>
          <w:lang w:eastAsia="en-NZ"/>
        </w:rPr>
        <w:t xml:space="preserve"> </w:t>
      </w:r>
      <w:r w:rsidR="006F10EA" w:rsidRPr="00BB6220">
        <w:rPr>
          <w:lang w:eastAsia="en-NZ"/>
        </w:rPr>
        <w:t>conversion</w:t>
      </w:r>
      <w:r w:rsidR="003D640C">
        <w:rPr>
          <w:lang w:eastAsia="en-NZ"/>
        </w:rPr>
        <w:t xml:space="preserve"> </w:t>
      </w:r>
      <w:r w:rsidR="006F10EA" w:rsidRPr="00BB6220">
        <w:rPr>
          <w:lang w:eastAsia="en-NZ"/>
        </w:rPr>
        <w:t>practices</w:t>
      </w:r>
      <w:r w:rsidR="003D640C">
        <w:rPr>
          <w:lang w:eastAsia="en-NZ"/>
        </w:rPr>
        <w:t xml:space="preserve"> </w:t>
      </w:r>
      <w:r w:rsidRPr="00BB6220">
        <w:rPr>
          <w:lang w:eastAsia="en-NZ"/>
        </w:rPr>
        <w:t>can</w:t>
      </w:r>
      <w:r w:rsidR="003D640C">
        <w:rPr>
          <w:lang w:eastAsia="en-NZ"/>
        </w:rPr>
        <w:t xml:space="preserve"> </w:t>
      </w:r>
      <w:r w:rsidRPr="00BB6220">
        <w:rPr>
          <w:lang w:eastAsia="en-NZ"/>
        </w:rPr>
        <w:t>be</w:t>
      </w:r>
      <w:r w:rsidR="003D640C">
        <w:rPr>
          <w:lang w:eastAsia="en-NZ"/>
        </w:rPr>
        <w:t xml:space="preserve"> </w:t>
      </w:r>
      <w:r w:rsidRPr="00BB6220">
        <w:rPr>
          <w:lang w:eastAsia="en-NZ"/>
        </w:rPr>
        <w:t>achieved.</w:t>
      </w:r>
      <w:r w:rsidR="003D640C">
        <w:rPr>
          <w:lang w:eastAsia="en-NZ"/>
        </w:rPr>
        <w:t xml:space="preserve"> </w:t>
      </w:r>
    </w:p>
    <w:p w14:paraId="775228C6" w14:textId="03431E00" w:rsidR="00501068" w:rsidRDefault="00420220" w:rsidP="009032B9">
      <w:pPr>
        <w:rPr>
          <w:rFonts w:ascii="Calibri" w:hAnsi="Calibri" w:cs="Calibri"/>
          <w:lang w:eastAsia="en-NZ"/>
        </w:rPr>
      </w:pPr>
      <w:r w:rsidRPr="00BB6220">
        <w:rPr>
          <w:lang w:eastAsia="en-NZ"/>
        </w:rPr>
        <w:t>A</w:t>
      </w:r>
      <w:r w:rsidR="003D640C">
        <w:rPr>
          <w:lang w:eastAsia="en-NZ"/>
        </w:rPr>
        <w:t xml:space="preserve"> </w:t>
      </w:r>
      <w:r w:rsidRPr="00BB6220">
        <w:rPr>
          <w:lang w:eastAsia="en-NZ"/>
        </w:rPr>
        <w:t>primary</w:t>
      </w:r>
      <w:r w:rsidR="003D640C">
        <w:rPr>
          <w:lang w:eastAsia="en-NZ"/>
        </w:rPr>
        <w:t xml:space="preserve"> </w:t>
      </w:r>
      <w:r w:rsidRPr="00BB6220">
        <w:rPr>
          <w:lang w:eastAsia="en-NZ"/>
        </w:rPr>
        <w:t>aim</w:t>
      </w:r>
      <w:r w:rsidR="003D640C">
        <w:rPr>
          <w:lang w:eastAsia="en-NZ"/>
        </w:rPr>
        <w:t xml:space="preserve"> </w:t>
      </w:r>
      <w:r w:rsidRPr="00BB6220">
        <w:rPr>
          <w:lang w:eastAsia="en-NZ"/>
        </w:rPr>
        <w:t>of</w:t>
      </w:r>
      <w:r w:rsidR="003D640C">
        <w:rPr>
          <w:lang w:eastAsia="en-NZ"/>
        </w:rPr>
        <w:t xml:space="preserve"> </w:t>
      </w:r>
      <w:r w:rsidRPr="00BB6220">
        <w:rPr>
          <w:lang w:eastAsia="en-NZ"/>
        </w:rPr>
        <w:t>this</w:t>
      </w:r>
      <w:r w:rsidR="003D640C">
        <w:rPr>
          <w:lang w:eastAsia="en-NZ"/>
        </w:rPr>
        <w:t xml:space="preserve"> </w:t>
      </w:r>
      <w:r w:rsidRPr="00BB6220">
        <w:rPr>
          <w:lang w:eastAsia="en-NZ"/>
        </w:rPr>
        <w:t>report</w:t>
      </w:r>
      <w:r w:rsidR="003D640C">
        <w:rPr>
          <w:lang w:eastAsia="en-NZ"/>
        </w:rPr>
        <w:t xml:space="preserve"> </w:t>
      </w:r>
      <w:r w:rsidRPr="00BB6220">
        <w:rPr>
          <w:lang w:eastAsia="en-NZ"/>
        </w:rPr>
        <w:t>is</w:t>
      </w:r>
      <w:r w:rsidR="003D640C">
        <w:rPr>
          <w:lang w:eastAsia="en-NZ"/>
        </w:rPr>
        <w:t xml:space="preserve"> </w:t>
      </w:r>
      <w:r w:rsidRPr="00BB6220">
        <w:rPr>
          <w:lang w:eastAsia="en-NZ"/>
        </w:rPr>
        <w:t>to</w:t>
      </w:r>
      <w:r w:rsidR="003D640C">
        <w:rPr>
          <w:lang w:eastAsia="en-NZ"/>
        </w:rPr>
        <w:t xml:space="preserve"> </w:t>
      </w:r>
      <w:r w:rsidRPr="00BB6220">
        <w:rPr>
          <w:lang w:eastAsia="en-NZ"/>
        </w:rPr>
        <w:t>highlight</w:t>
      </w:r>
      <w:r w:rsidR="003D640C">
        <w:rPr>
          <w:lang w:eastAsia="en-NZ"/>
        </w:rPr>
        <w:t xml:space="preserve"> </w:t>
      </w:r>
      <w:r w:rsidRPr="00BB6220">
        <w:rPr>
          <w:lang w:eastAsia="en-NZ"/>
        </w:rPr>
        <w:t>survivor</w:t>
      </w:r>
      <w:r w:rsidR="003D640C">
        <w:rPr>
          <w:lang w:eastAsia="en-NZ"/>
        </w:rPr>
        <w:t xml:space="preserve"> </w:t>
      </w:r>
      <w:r w:rsidRPr="00BB6220">
        <w:rPr>
          <w:lang w:eastAsia="en-NZ"/>
        </w:rPr>
        <w:t>experiences</w:t>
      </w:r>
      <w:r w:rsidR="003D640C">
        <w:rPr>
          <w:lang w:eastAsia="en-NZ"/>
        </w:rPr>
        <w:t xml:space="preserve"> </w:t>
      </w:r>
      <w:r w:rsidRPr="00BB6220">
        <w:rPr>
          <w:lang w:eastAsia="en-NZ"/>
        </w:rPr>
        <w:t>along</w:t>
      </w:r>
      <w:r w:rsidR="003D640C">
        <w:rPr>
          <w:lang w:eastAsia="en-NZ"/>
        </w:rPr>
        <w:t xml:space="preserve"> </w:t>
      </w:r>
      <w:r w:rsidRPr="00BB6220">
        <w:rPr>
          <w:lang w:eastAsia="en-NZ"/>
        </w:rPr>
        <w:t>with</w:t>
      </w:r>
      <w:r w:rsidR="003D640C">
        <w:rPr>
          <w:lang w:eastAsia="en-NZ"/>
        </w:rPr>
        <w:t xml:space="preserve"> </w:t>
      </w:r>
      <w:r w:rsidRPr="00BB6220">
        <w:rPr>
          <w:lang w:eastAsia="en-NZ"/>
        </w:rPr>
        <w:t>their</w:t>
      </w:r>
      <w:r w:rsidR="003D640C">
        <w:rPr>
          <w:lang w:eastAsia="en-NZ"/>
        </w:rPr>
        <w:t xml:space="preserve"> </w:t>
      </w:r>
      <w:r w:rsidRPr="00BB6220">
        <w:rPr>
          <w:lang w:eastAsia="en-NZ"/>
        </w:rPr>
        <w:t>needs</w:t>
      </w:r>
      <w:r w:rsidR="003D640C">
        <w:rPr>
          <w:lang w:eastAsia="en-NZ"/>
        </w:rPr>
        <w:t xml:space="preserve"> </w:t>
      </w:r>
      <w:r w:rsidRPr="00BB6220">
        <w:rPr>
          <w:lang w:eastAsia="en-NZ"/>
        </w:rPr>
        <w:t>and</w:t>
      </w:r>
      <w:r w:rsidR="003D640C">
        <w:rPr>
          <w:lang w:eastAsia="en-NZ"/>
        </w:rPr>
        <w:t xml:space="preserve"> </w:t>
      </w:r>
      <w:r w:rsidRPr="00BB6220">
        <w:rPr>
          <w:lang w:eastAsia="en-NZ"/>
        </w:rPr>
        <w:t>their</w:t>
      </w:r>
      <w:r w:rsidR="003D640C">
        <w:rPr>
          <w:lang w:eastAsia="en-NZ"/>
        </w:rPr>
        <w:t xml:space="preserve"> </w:t>
      </w:r>
      <w:r w:rsidRPr="00BB6220">
        <w:rPr>
          <w:lang w:eastAsia="en-NZ"/>
        </w:rPr>
        <w:t>advice</w:t>
      </w:r>
      <w:r w:rsidR="003D640C">
        <w:rPr>
          <w:lang w:eastAsia="en-NZ"/>
        </w:rPr>
        <w:t xml:space="preserve"> </w:t>
      </w:r>
      <w:r w:rsidRPr="00BB6220">
        <w:rPr>
          <w:lang w:eastAsia="en-NZ"/>
        </w:rPr>
        <w:t>for</w:t>
      </w:r>
      <w:r w:rsidR="003D640C">
        <w:rPr>
          <w:lang w:eastAsia="en-NZ"/>
        </w:rPr>
        <w:t xml:space="preserve"> </w:t>
      </w:r>
      <w:r w:rsidRPr="00BB6220">
        <w:rPr>
          <w:lang w:eastAsia="en-NZ"/>
        </w:rPr>
        <w:t>others.</w:t>
      </w:r>
      <w:r w:rsidR="003D640C">
        <w:rPr>
          <w:lang w:eastAsia="en-NZ"/>
        </w:rPr>
        <w:t xml:space="preserve"> </w:t>
      </w:r>
      <w:r w:rsidRPr="00BB6220">
        <w:rPr>
          <w:lang w:eastAsia="en-NZ"/>
        </w:rPr>
        <w:t>The</w:t>
      </w:r>
      <w:r w:rsidR="003D640C">
        <w:rPr>
          <w:lang w:eastAsia="en-NZ"/>
        </w:rPr>
        <w:t xml:space="preserve"> </w:t>
      </w:r>
      <w:r w:rsidRPr="00BB6220">
        <w:rPr>
          <w:lang w:eastAsia="en-NZ"/>
        </w:rPr>
        <w:t>insights</w:t>
      </w:r>
      <w:r w:rsidR="003D640C">
        <w:rPr>
          <w:lang w:eastAsia="en-NZ"/>
        </w:rPr>
        <w:t xml:space="preserve"> </w:t>
      </w:r>
      <w:r w:rsidRPr="00BB6220">
        <w:rPr>
          <w:lang w:eastAsia="en-NZ"/>
        </w:rPr>
        <w:t>of</w:t>
      </w:r>
      <w:r w:rsidR="003D640C">
        <w:rPr>
          <w:lang w:eastAsia="en-NZ"/>
        </w:rPr>
        <w:t xml:space="preserve"> </w:t>
      </w:r>
      <w:r w:rsidRPr="00BB6220">
        <w:rPr>
          <w:lang w:eastAsia="en-NZ"/>
        </w:rPr>
        <w:t>people</w:t>
      </w:r>
      <w:r w:rsidR="003D640C">
        <w:rPr>
          <w:lang w:eastAsia="en-NZ"/>
        </w:rPr>
        <w:t xml:space="preserve"> </w:t>
      </w:r>
      <w:r w:rsidRPr="00BB6220">
        <w:rPr>
          <w:lang w:eastAsia="en-NZ"/>
        </w:rPr>
        <w:t>with</w:t>
      </w:r>
      <w:r w:rsidR="003D640C">
        <w:rPr>
          <w:lang w:eastAsia="en-NZ"/>
        </w:rPr>
        <w:t xml:space="preserve"> </w:t>
      </w:r>
      <w:r w:rsidRPr="00BB6220">
        <w:rPr>
          <w:lang w:eastAsia="en-NZ"/>
        </w:rPr>
        <w:t>lived</w:t>
      </w:r>
      <w:r w:rsidR="003D640C">
        <w:rPr>
          <w:lang w:eastAsia="en-NZ"/>
        </w:rPr>
        <w:t xml:space="preserve"> </w:t>
      </w:r>
      <w:r w:rsidRPr="00BB6220">
        <w:rPr>
          <w:lang w:eastAsia="en-NZ"/>
        </w:rPr>
        <w:t>experience</w:t>
      </w:r>
      <w:r w:rsidR="003D640C">
        <w:rPr>
          <w:lang w:eastAsia="en-NZ"/>
        </w:rPr>
        <w:t xml:space="preserve"> </w:t>
      </w:r>
      <w:r w:rsidRPr="00BB6220">
        <w:rPr>
          <w:lang w:eastAsia="en-NZ"/>
        </w:rPr>
        <w:t>are</w:t>
      </w:r>
      <w:r w:rsidR="003D640C">
        <w:rPr>
          <w:lang w:eastAsia="en-NZ"/>
        </w:rPr>
        <w:t xml:space="preserve"> </w:t>
      </w:r>
      <w:r w:rsidRPr="00BB6220">
        <w:rPr>
          <w:lang w:eastAsia="en-NZ"/>
        </w:rPr>
        <w:t>critical</w:t>
      </w:r>
      <w:r w:rsidR="003D640C">
        <w:rPr>
          <w:lang w:eastAsia="en-NZ"/>
        </w:rPr>
        <w:t xml:space="preserve"> </w:t>
      </w:r>
      <w:r w:rsidRPr="00BB6220">
        <w:rPr>
          <w:lang w:eastAsia="en-NZ"/>
        </w:rPr>
        <w:t>to</w:t>
      </w:r>
      <w:r w:rsidR="003D640C">
        <w:rPr>
          <w:lang w:eastAsia="en-NZ"/>
        </w:rPr>
        <w:t xml:space="preserve"> </w:t>
      </w:r>
      <w:r w:rsidRPr="00BB6220">
        <w:rPr>
          <w:lang w:eastAsia="en-NZ"/>
        </w:rPr>
        <w:t>effective</w:t>
      </w:r>
      <w:r w:rsidR="003D640C">
        <w:rPr>
          <w:lang w:eastAsia="en-NZ"/>
        </w:rPr>
        <w:t xml:space="preserve"> </w:t>
      </w:r>
      <w:r w:rsidRPr="00BB6220">
        <w:rPr>
          <w:lang w:eastAsia="en-NZ"/>
        </w:rPr>
        <w:t>change</w:t>
      </w:r>
      <w:r w:rsidR="0000681A">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survivors</w:t>
      </w:r>
      <w:r w:rsidR="003D640C">
        <w:rPr>
          <w:lang w:eastAsia="en-NZ"/>
        </w:rPr>
        <w:t xml:space="preserve"> </w:t>
      </w:r>
      <w:r w:rsidRPr="00BB6220">
        <w:rPr>
          <w:lang w:eastAsia="en-NZ"/>
        </w:rPr>
        <w:t>need</w:t>
      </w:r>
      <w:r w:rsidR="003D640C">
        <w:rPr>
          <w:lang w:eastAsia="en-NZ"/>
        </w:rPr>
        <w:t xml:space="preserve"> </w:t>
      </w:r>
      <w:r w:rsidRPr="00BB6220">
        <w:rPr>
          <w:lang w:eastAsia="en-NZ"/>
        </w:rPr>
        <w:t>support</w:t>
      </w:r>
      <w:r w:rsidR="003D640C">
        <w:rPr>
          <w:lang w:eastAsia="en-NZ"/>
        </w:rPr>
        <w:t xml:space="preserve"> </w:t>
      </w:r>
      <w:r w:rsidRPr="00BB6220">
        <w:rPr>
          <w:lang w:eastAsia="en-NZ"/>
        </w:rPr>
        <w:t>to</w:t>
      </w:r>
      <w:r w:rsidR="003D640C">
        <w:rPr>
          <w:lang w:eastAsia="en-NZ"/>
        </w:rPr>
        <w:t xml:space="preserve"> </w:t>
      </w:r>
      <w:r w:rsidRPr="00BB6220">
        <w:rPr>
          <w:lang w:eastAsia="en-NZ"/>
        </w:rPr>
        <w:t>lead</w:t>
      </w:r>
      <w:r w:rsidR="003D640C">
        <w:rPr>
          <w:lang w:eastAsia="en-NZ"/>
        </w:rPr>
        <w:t xml:space="preserve"> </w:t>
      </w:r>
      <w:r w:rsidRPr="00BB6220">
        <w:rPr>
          <w:lang w:eastAsia="en-NZ"/>
        </w:rPr>
        <w:t>this</w:t>
      </w:r>
      <w:r w:rsidR="003D640C">
        <w:rPr>
          <w:lang w:eastAsia="en-NZ"/>
        </w:rPr>
        <w:t xml:space="preserve"> </w:t>
      </w:r>
      <w:r w:rsidRPr="00BB6220">
        <w:rPr>
          <w:lang w:eastAsia="en-NZ"/>
        </w:rPr>
        <w:t>work.</w:t>
      </w:r>
      <w:r w:rsidR="003D640C">
        <w:rPr>
          <w:lang w:eastAsia="en-NZ"/>
        </w:rPr>
        <w:t xml:space="preserve"> </w:t>
      </w:r>
      <w:r w:rsidR="00C044A8" w:rsidRPr="00BB6220">
        <w:rPr>
          <w:rFonts w:ascii="Calibri" w:hAnsi="Calibri" w:cs="Calibri"/>
          <w:lang w:eastAsia="en-NZ"/>
        </w:rPr>
        <w:t>The</w:t>
      </w:r>
      <w:r w:rsidR="003D640C">
        <w:rPr>
          <w:rFonts w:ascii="Calibri" w:hAnsi="Calibri" w:cs="Calibri"/>
          <w:lang w:eastAsia="en-NZ"/>
        </w:rPr>
        <w:t xml:space="preserve"> </w:t>
      </w:r>
      <w:r w:rsidR="00C044A8" w:rsidRPr="00BB6220">
        <w:rPr>
          <w:rFonts w:ascii="Calibri" w:hAnsi="Calibri" w:cs="Calibri"/>
          <w:lang w:eastAsia="en-NZ"/>
        </w:rPr>
        <w:t>Commission</w:t>
      </w:r>
      <w:r w:rsidR="003D640C">
        <w:rPr>
          <w:rFonts w:ascii="Calibri" w:hAnsi="Calibri" w:cs="Calibri"/>
          <w:lang w:eastAsia="en-NZ"/>
        </w:rPr>
        <w:t xml:space="preserve"> </w:t>
      </w:r>
      <w:r w:rsidR="00C044A8" w:rsidRPr="00BB6220">
        <w:rPr>
          <w:rFonts w:ascii="Calibri" w:hAnsi="Calibri" w:cs="Calibri"/>
          <w:lang w:eastAsia="en-NZ"/>
        </w:rPr>
        <w:t>engaged</w:t>
      </w:r>
      <w:r w:rsidR="003D640C">
        <w:rPr>
          <w:rFonts w:ascii="Calibri" w:hAnsi="Calibri" w:cs="Calibri"/>
          <w:lang w:eastAsia="en-NZ"/>
        </w:rPr>
        <w:t xml:space="preserve"> </w:t>
      </w:r>
      <w:r w:rsidR="00C044A8" w:rsidRPr="00BB6220">
        <w:rPr>
          <w:rFonts w:ascii="Calibri" w:hAnsi="Calibri" w:cs="Calibri"/>
          <w:lang w:eastAsia="en-NZ"/>
        </w:rPr>
        <w:t>with</w:t>
      </w:r>
      <w:r w:rsidR="003D640C">
        <w:rPr>
          <w:rFonts w:ascii="Calibri" w:hAnsi="Calibri" w:cs="Calibri"/>
          <w:lang w:eastAsia="en-NZ"/>
        </w:rPr>
        <w:t xml:space="preserve"> </w:t>
      </w:r>
      <w:r w:rsidR="00C044A8" w:rsidRPr="00BB6220">
        <w:rPr>
          <w:rFonts w:ascii="Calibri" w:hAnsi="Calibri" w:cs="Calibri"/>
          <w:lang w:eastAsia="en-NZ"/>
        </w:rPr>
        <w:t>conversion</w:t>
      </w:r>
      <w:r w:rsidR="003D640C">
        <w:rPr>
          <w:rFonts w:ascii="Calibri" w:hAnsi="Calibri" w:cs="Calibri"/>
          <w:lang w:eastAsia="en-NZ"/>
        </w:rPr>
        <w:t xml:space="preserve"> </w:t>
      </w:r>
      <w:r w:rsidR="00C044A8" w:rsidRPr="00BB6220">
        <w:rPr>
          <w:rFonts w:ascii="Calibri" w:hAnsi="Calibri" w:cs="Calibri"/>
          <w:lang w:eastAsia="en-NZ"/>
        </w:rPr>
        <w:t>practice</w:t>
      </w:r>
      <w:r w:rsidR="003D640C">
        <w:rPr>
          <w:rFonts w:ascii="Calibri" w:hAnsi="Calibri" w:cs="Calibri"/>
          <w:lang w:eastAsia="en-NZ"/>
        </w:rPr>
        <w:t xml:space="preserve"> </w:t>
      </w:r>
      <w:r w:rsidR="00C044A8" w:rsidRPr="00BB6220">
        <w:rPr>
          <w:rFonts w:ascii="Calibri" w:hAnsi="Calibri" w:cs="Calibri"/>
          <w:lang w:eastAsia="en-NZ"/>
        </w:rPr>
        <w:t>survivors</w:t>
      </w:r>
      <w:r w:rsidR="003D640C">
        <w:rPr>
          <w:rFonts w:ascii="Calibri" w:hAnsi="Calibri" w:cs="Calibri"/>
          <w:lang w:eastAsia="en-NZ"/>
        </w:rPr>
        <w:t xml:space="preserve"> </w:t>
      </w:r>
      <w:r w:rsidR="00C044A8" w:rsidRPr="00BB6220">
        <w:rPr>
          <w:rFonts w:ascii="Calibri" w:hAnsi="Calibri" w:cs="Calibri"/>
          <w:lang w:eastAsia="en-NZ"/>
        </w:rPr>
        <w:t>over</w:t>
      </w:r>
      <w:r w:rsidR="003D640C">
        <w:rPr>
          <w:rFonts w:ascii="Calibri" w:hAnsi="Calibri" w:cs="Calibri"/>
          <w:lang w:eastAsia="en-NZ"/>
        </w:rPr>
        <w:t xml:space="preserve"> </w:t>
      </w:r>
      <w:r w:rsidR="00C044A8" w:rsidRPr="00BB6220">
        <w:rPr>
          <w:rFonts w:ascii="Calibri" w:hAnsi="Calibri" w:cs="Calibri"/>
          <w:lang w:eastAsia="en-NZ"/>
        </w:rPr>
        <w:t>18</w:t>
      </w:r>
      <w:r w:rsidR="003D640C">
        <w:rPr>
          <w:rFonts w:ascii="Calibri" w:hAnsi="Calibri" w:cs="Calibri"/>
          <w:lang w:eastAsia="en-NZ"/>
        </w:rPr>
        <w:t xml:space="preserve"> </w:t>
      </w:r>
      <w:r w:rsidR="00C044A8" w:rsidRPr="00BB6220">
        <w:rPr>
          <w:rFonts w:ascii="Calibri" w:hAnsi="Calibri" w:cs="Calibri"/>
          <w:lang w:eastAsia="en-NZ"/>
        </w:rPr>
        <w:t>months.</w:t>
      </w:r>
      <w:r w:rsidR="003D640C">
        <w:rPr>
          <w:rFonts w:ascii="Calibri" w:hAnsi="Calibri" w:cs="Calibri"/>
          <w:lang w:eastAsia="en-NZ"/>
        </w:rPr>
        <w:t xml:space="preserve"> </w:t>
      </w:r>
      <w:r w:rsidR="00C044A8" w:rsidRPr="00BB6220">
        <w:rPr>
          <w:rFonts w:ascii="Calibri" w:hAnsi="Calibri" w:cs="Calibri"/>
          <w:lang w:eastAsia="en-NZ"/>
        </w:rPr>
        <w:t>Throughout</w:t>
      </w:r>
      <w:r w:rsidR="003D640C">
        <w:rPr>
          <w:rFonts w:ascii="Calibri" w:hAnsi="Calibri" w:cs="Calibri"/>
          <w:lang w:eastAsia="en-NZ"/>
        </w:rPr>
        <w:t xml:space="preserve"> </w:t>
      </w:r>
      <w:r w:rsidR="00C044A8" w:rsidRPr="00BB6220">
        <w:rPr>
          <w:rFonts w:ascii="Calibri" w:hAnsi="Calibri" w:cs="Calibri"/>
          <w:lang w:eastAsia="en-NZ"/>
        </w:rPr>
        <w:t>that</w:t>
      </w:r>
      <w:r w:rsidR="003D640C">
        <w:rPr>
          <w:rFonts w:ascii="Calibri" w:hAnsi="Calibri" w:cs="Calibri"/>
          <w:lang w:eastAsia="en-NZ"/>
        </w:rPr>
        <w:t xml:space="preserve"> </w:t>
      </w:r>
      <w:r w:rsidR="00C044A8" w:rsidRPr="00BB6220">
        <w:rPr>
          <w:rFonts w:ascii="Calibri" w:hAnsi="Calibri" w:cs="Calibri"/>
          <w:lang w:eastAsia="en-NZ"/>
        </w:rPr>
        <w:t>time,</w:t>
      </w:r>
      <w:r w:rsidR="003D640C">
        <w:rPr>
          <w:rFonts w:ascii="Calibri" w:hAnsi="Calibri" w:cs="Calibri"/>
          <w:lang w:eastAsia="en-NZ"/>
        </w:rPr>
        <w:t xml:space="preserve"> </w:t>
      </w:r>
      <w:r w:rsidR="00C044A8" w:rsidRPr="00BB6220">
        <w:rPr>
          <w:rFonts w:ascii="Calibri" w:hAnsi="Calibri" w:cs="Calibri"/>
          <w:lang w:eastAsia="en-NZ"/>
        </w:rPr>
        <w:t>as</w:t>
      </w:r>
      <w:r w:rsidR="003D640C">
        <w:rPr>
          <w:rFonts w:ascii="Calibri" w:hAnsi="Calibri" w:cs="Calibri"/>
          <w:lang w:eastAsia="en-NZ"/>
        </w:rPr>
        <w:t xml:space="preserve"> </w:t>
      </w:r>
      <w:r w:rsidR="00C044A8" w:rsidRPr="00BB6220">
        <w:rPr>
          <w:rFonts w:ascii="Calibri" w:hAnsi="Calibri" w:cs="Calibri"/>
          <w:lang w:eastAsia="en-NZ"/>
        </w:rPr>
        <w:t>well</w:t>
      </w:r>
      <w:r w:rsidR="003D640C">
        <w:rPr>
          <w:rFonts w:ascii="Calibri" w:hAnsi="Calibri" w:cs="Calibri"/>
          <w:lang w:eastAsia="en-NZ"/>
        </w:rPr>
        <w:t xml:space="preserve"> </w:t>
      </w:r>
      <w:r w:rsidR="00C044A8" w:rsidRPr="00BB6220">
        <w:rPr>
          <w:rFonts w:ascii="Calibri" w:hAnsi="Calibri" w:cs="Calibri"/>
          <w:lang w:eastAsia="en-NZ"/>
        </w:rPr>
        <w:t>as</w:t>
      </w:r>
      <w:r w:rsidR="003D640C">
        <w:rPr>
          <w:rFonts w:ascii="Calibri" w:hAnsi="Calibri" w:cs="Calibri"/>
          <w:lang w:eastAsia="en-NZ"/>
        </w:rPr>
        <w:t xml:space="preserve"> </w:t>
      </w:r>
      <w:r w:rsidR="00C044A8" w:rsidRPr="00BB6220">
        <w:rPr>
          <w:rFonts w:ascii="Calibri" w:hAnsi="Calibri" w:cs="Calibri"/>
          <w:lang w:eastAsia="en-NZ"/>
        </w:rPr>
        <w:t>during</w:t>
      </w:r>
      <w:r w:rsidR="003D640C">
        <w:rPr>
          <w:rFonts w:ascii="Calibri" w:hAnsi="Calibri" w:cs="Calibri"/>
          <w:lang w:eastAsia="en-NZ"/>
        </w:rPr>
        <w:t xml:space="preserve"> </w:t>
      </w:r>
      <w:r w:rsidR="00C044A8" w:rsidRPr="00BB6220">
        <w:rPr>
          <w:rFonts w:ascii="Calibri" w:hAnsi="Calibri" w:cs="Calibri"/>
          <w:lang w:eastAsia="en-NZ"/>
        </w:rPr>
        <w:t>the</w:t>
      </w:r>
      <w:r w:rsidR="003D640C">
        <w:rPr>
          <w:rFonts w:ascii="Calibri" w:hAnsi="Calibri" w:cs="Calibri"/>
          <w:lang w:eastAsia="en-NZ"/>
        </w:rPr>
        <w:t xml:space="preserve"> </w:t>
      </w:r>
      <w:r w:rsidR="00C044A8" w:rsidRPr="00BB6220">
        <w:rPr>
          <w:rFonts w:ascii="Calibri" w:hAnsi="Calibri" w:cs="Calibri"/>
          <w:lang w:eastAsia="en-NZ"/>
        </w:rPr>
        <w:t>Select</w:t>
      </w:r>
      <w:r w:rsidR="003D640C">
        <w:rPr>
          <w:rFonts w:ascii="Calibri" w:hAnsi="Calibri" w:cs="Calibri"/>
          <w:lang w:eastAsia="en-NZ"/>
        </w:rPr>
        <w:t xml:space="preserve"> </w:t>
      </w:r>
      <w:r w:rsidR="00C044A8" w:rsidRPr="00BB6220">
        <w:rPr>
          <w:rFonts w:ascii="Calibri" w:hAnsi="Calibri" w:cs="Calibri"/>
          <w:lang w:eastAsia="en-NZ"/>
        </w:rPr>
        <w:t>Committee</w:t>
      </w:r>
      <w:r w:rsidR="003D640C">
        <w:rPr>
          <w:rFonts w:ascii="Calibri" w:hAnsi="Calibri" w:cs="Calibri"/>
          <w:lang w:eastAsia="en-NZ"/>
        </w:rPr>
        <w:t xml:space="preserve"> </w:t>
      </w:r>
      <w:r w:rsidR="00C044A8" w:rsidRPr="00BB6220">
        <w:rPr>
          <w:rFonts w:ascii="Calibri" w:hAnsi="Calibri" w:cs="Calibri"/>
          <w:lang w:eastAsia="en-NZ"/>
        </w:rPr>
        <w:t>process,</w:t>
      </w:r>
      <w:r w:rsidR="003D640C">
        <w:rPr>
          <w:rFonts w:ascii="Calibri" w:hAnsi="Calibri" w:cs="Calibri"/>
          <w:lang w:eastAsia="en-NZ"/>
        </w:rPr>
        <w:t xml:space="preserve"> </w:t>
      </w:r>
      <w:r w:rsidR="002C26E2">
        <w:rPr>
          <w:rFonts w:ascii="Calibri" w:hAnsi="Calibri" w:cs="Calibri"/>
          <w:lang w:eastAsia="en-NZ"/>
        </w:rPr>
        <w:t>many</w:t>
      </w:r>
      <w:r w:rsidR="003D640C">
        <w:rPr>
          <w:rFonts w:ascii="Calibri" w:hAnsi="Calibri" w:cs="Calibri"/>
          <w:lang w:eastAsia="en-NZ"/>
        </w:rPr>
        <w:t xml:space="preserve"> </w:t>
      </w:r>
      <w:r w:rsidR="00C044A8" w:rsidRPr="00BB6220">
        <w:rPr>
          <w:rFonts w:ascii="Calibri" w:hAnsi="Calibri" w:cs="Calibri"/>
          <w:lang w:eastAsia="en-NZ"/>
        </w:rPr>
        <w:t>recommendations</w:t>
      </w:r>
      <w:r w:rsidR="003D640C">
        <w:rPr>
          <w:rFonts w:ascii="Calibri" w:hAnsi="Calibri" w:cs="Calibri"/>
          <w:lang w:eastAsia="en-NZ"/>
        </w:rPr>
        <w:t xml:space="preserve"> </w:t>
      </w:r>
      <w:r w:rsidR="00C044A8" w:rsidRPr="00BB6220">
        <w:rPr>
          <w:rFonts w:ascii="Calibri" w:hAnsi="Calibri" w:cs="Calibri"/>
          <w:lang w:eastAsia="en-NZ"/>
        </w:rPr>
        <w:t>emerged.</w:t>
      </w:r>
      <w:r w:rsidR="003D640C">
        <w:rPr>
          <w:rFonts w:ascii="Calibri" w:hAnsi="Calibri" w:cs="Calibri"/>
          <w:lang w:eastAsia="en-NZ"/>
        </w:rPr>
        <w:t xml:space="preserve"> </w:t>
      </w:r>
      <w:r w:rsidR="00C044A8" w:rsidRPr="00BB6220">
        <w:rPr>
          <w:rFonts w:ascii="Calibri" w:hAnsi="Calibri" w:cs="Calibri"/>
          <w:lang w:eastAsia="en-NZ"/>
        </w:rPr>
        <w:t>If</w:t>
      </w:r>
      <w:r w:rsidR="003D640C">
        <w:rPr>
          <w:rFonts w:ascii="Calibri" w:hAnsi="Calibri" w:cs="Calibri"/>
          <w:lang w:eastAsia="en-NZ"/>
        </w:rPr>
        <w:t xml:space="preserve"> </w:t>
      </w:r>
      <w:r w:rsidR="00C044A8" w:rsidRPr="00BB6220">
        <w:rPr>
          <w:rFonts w:ascii="Calibri" w:hAnsi="Calibri" w:cs="Calibri"/>
          <w:lang w:eastAsia="en-NZ"/>
        </w:rPr>
        <w:t>adopted,</w:t>
      </w:r>
      <w:r w:rsidR="003D640C">
        <w:rPr>
          <w:rFonts w:ascii="Calibri" w:hAnsi="Calibri" w:cs="Calibri"/>
          <w:lang w:eastAsia="en-NZ"/>
        </w:rPr>
        <w:t xml:space="preserve"> </w:t>
      </w:r>
      <w:r w:rsidR="00C044A8" w:rsidRPr="00BB6220">
        <w:rPr>
          <w:rFonts w:ascii="Calibri" w:hAnsi="Calibri" w:cs="Calibri"/>
          <w:lang w:eastAsia="en-NZ"/>
        </w:rPr>
        <w:t>they</w:t>
      </w:r>
      <w:r w:rsidR="003D640C">
        <w:rPr>
          <w:rFonts w:ascii="Calibri" w:hAnsi="Calibri" w:cs="Calibri"/>
          <w:lang w:eastAsia="en-NZ"/>
        </w:rPr>
        <w:t xml:space="preserve"> </w:t>
      </w:r>
      <w:r w:rsidR="00C044A8" w:rsidRPr="00BB6220">
        <w:rPr>
          <w:rFonts w:ascii="Calibri" w:hAnsi="Calibri" w:cs="Calibri"/>
          <w:lang w:eastAsia="en-NZ"/>
        </w:rPr>
        <w:t>would</w:t>
      </w:r>
      <w:r w:rsidR="003D640C">
        <w:rPr>
          <w:rFonts w:ascii="Calibri" w:hAnsi="Calibri" w:cs="Calibri"/>
          <w:lang w:eastAsia="en-NZ"/>
        </w:rPr>
        <w:t xml:space="preserve"> </w:t>
      </w:r>
      <w:r w:rsidR="00C044A8" w:rsidRPr="00BB6220">
        <w:rPr>
          <w:rFonts w:ascii="Calibri" w:hAnsi="Calibri" w:cs="Calibri"/>
          <w:lang w:eastAsia="en-NZ"/>
        </w:rPr>
        <w:t>advance</w:t>
      </w:r>
      <w:r w:rsidR="003D640C">
        <w:rPr>
          <w:rFonts w:ascii="Calibri" w:hAnsi="Calibri" w:cs="Calibri"/>
          <w:lang w:eastAsia="en-NZ"/>
        </w:rPr>
        <w:t xml:space="preserve"> </w:t>
      </w:r>
      <w:r w:rsidR="00C044A8" w:rsidRPr="00BB6220">
        <w:rPr>
          <w:rFonts w:ascii="Calibri" w:hAnsi="Calibri" w:cs="Calibri"/>
          <w:lang w:eastAsia="en-NZ"/>
        </w:rPr>
        <w:t>the</w:t>
      </w:r>
      <w:r w:rsidR="003D640C">
        <w:rPr>
          <w:rFonts w:ascii="Calibri" w:hAnsi="Calibri" w:cs="Calibri"/>
          <w:lang w:eastAsia="en-NZ"/>
        </w:rPr>
        <w:t xml:space="preserve"> </w:t>
      </w:r>
      <w:r w:rsidR="00C044A8" w:rsidRPr="00BB6220">
        <w:rPr>
          <w:rFonts w:ascii="Calibri" w:hAnsi="Calibri" w:cs="Calibri"/>
          <w:lang w:eastAsia="en-NZ"/>
        </w:rPr>
        <w:t>rights</w:t>
      </w:r>
      <w:r w:rsidR="003D640C">
        <w:rPr>
          <w:rFonts w:ascii="Calibri" w:hAnsi="Calibri" w:cs="Calibri"/>
          <w:lang w:eastAsia="en-NZ"/>
        </w:rPr>
        <w:t xml:space="preserve"> </w:t>
      </w:r>
      <w:r w:rsidR="00C044A8" w:rsidRPr="00BB6220">
        <w:rPr>
          <w:rFonts w:ascii="Calibri" w:hAnsi="Calibri" w:cs="Calibri"/>
          <w:lang w:eastAsia="en-NZ"/>
        </w:rPr>
        <w:t>of</w:t>
      </w:r>
      <w:r w:rsidR="003D640C">
        <w:rPr>
          <w:rFonts w:ascii="Calibri" w:hAnsi="Calibri" w:cs="Calibri"/>
          <w:lang w:eastAsia="en-NZ"/>
        </w:rPr>
        <w:t xml:space="preserve"> </w:t>
      </w:r>
      <w:r w:rsidR="00C044A8" w:rsidRPr="00BB6220">
        <w:rPr>
          <w:rFonts w:ascii="Calibri" w:hAnsi="Calibri" w:cs="Calibri"/>
          <w:lang w:eastAsia="en-NZ"/>
        </w:rPr>
        <w:t>those</w:t>
      </w:r>
      <w:r w:rsidR="003D640C">
        <w:rPr>
          <w:rFonts w:ascii="Calibri" w:hAnsi="Calibri" w:cs="Calibri"/>
          <w:lang w:eastAsia="en-NZ"/>
        </w:rPr>
        <w:t xml:space="preserve"> </w:t>
      </w:r>
      <w:r w:rsidR="00C044A8" w:rsidRPr="00BB6220">
        <w:rPr>
          <w:rFonts w:ascii="Calibri" w:hAnsi="Calibri" w:cs="Calibri"/>
          <w:lang w:eastAsia="en-NZ"/>
        </w:rPr>
        <w:t>vulnerable</w:t>
      </w:r>
      <w:r w:rsidR="003D640C">
        <w:rPr>
          <w:rFonts w:ascii="Calibri" w:hAnsi="Calibri" w:cs="Calibri"/>
          <w:lang w:eastAsia="en-NZ"/>
        </w:rPr>
        <w:t xml:space="preserve"> </w:t>
      </w:r>
      <w:r w:rsidR="00C044A8" w:rsidRPr="00BB6220">
        <w:rPr>
          <w:rFonts w:ascii="Calibri" w:hAnsi="Calibri" w:cs="Calibri"/>
          <w:lang w:eastAsia="en-NZ"/>
        </w:rPr>
        <w:t>to</w:t>
      </w:r>
      <w:r w:rsidR="003D640C">
        <w:rPr>
          <w:rFonts w:ascii="Calibri" w:hAnsi="Calibri" w:cs="Calibri"/>
          <w:lang w:eastAsia="en-NZ"/>
        </w:rPr>
        <w:t xml:space="preserve"> </w:t>
      </w:r>
      <w:r w:rsidR="00C044A8" w:rsidRPr="00BB6220">
        <w:rPr>
          <w:rFonts w:ascii="Calibri" w:hAnsi="Calibri" w:cs="Calibri"/>
          <w:lang w:eastAsia="en-NZ"/>
        </w:rPr>
        <w:t>conversion</w:t>
      </w:r>
      <w:r w:rsidR="003D640C">
        <w:rPr>
          <w:rFonts w:ascii="Calibri" w:hAnsi="Calibri" w:cs="Calibri"/>
          <w:lang w:eastAsia="en-NZ"/>
        </w:rPr>
        <w:t xml:space="preserve"> </w:t>
      </w:r>
      <w:r w:rsidR="00C044A8" w:rsidRPr="00BB6220">
        <w:rPr>
          <w:rFonts w:ascii="Calibri" w:hAnsi="Calibri" w:cs="Calibri"/>
          <w:lang w:eastAsia="en-NZ"/>
        </w:rPr>
        <w:t>practices</w:t>
      </w:r>
      <w:r w:rsidR="003D640C">
        <w:rPr>
          <w:rFonts w:ascii="Calibri" w:hAnsi="Calibri" w:cs="Calibri"/>
          <w:lang w:eastAsia="en-NZ"/>
        </w:rPr>
        <w:t xml:space="preserve"> </w:t>
      </w:r>
      <w:r w:rsidR="00C044A8" w:rsidRPr="00BB6220">
        <w:rPr>
          <w:rFonts w:ascii="Calibri" w:hAnsi="Calibri" w:cs="Calibri"/>
          <w:lang w:eastAsia="en-NZ"/>
        </w:rPr>
        <w:t>and</w:t>
      </w:r>
      <w:r w:rsidR="003D640C">
        <w:rPr>
          <w:rFonts w:ascii="Calibri" w:hAnsi="Calibri" w:cs="Calibri"/>
          <w:lang w:eastAsia="en-NZ"/>
        </w:rPr>
        <w:t xml:space="preserve"> </w:t>
      </w:r>
      <w:r w:rsidR="00C044A8" w:rsidRPr="00BB6220">
        <w:rPr>
          <w:rFonts w:ascii="Calibri" w:hAnsi="Calibri" w:cs="Calibri"/>
          <w:lang w:eastAsia="en-NZ"/>
        </w:rPr>
        <w:t>the</w:t>
      </w:r>
      <w:r w:rsidR="003D640C">
        <w:rPr>
          <w:rFonts w:ascii="Calibri" w:hAnsi="Calibri" w:cs="Calibri"/>
          <w:lang w:eastAsia="en-NZ"/>
        </w:rPr>
        <w:t xml:space="preserve"> </w:t>
      </w:r>
      <w:r w:rsidR="00C044A8" w:rsidRPr="00BB6220">
        <w:rPr>
          <w:rFonts w:ascii="Calibri" w:hAnsi="Calibri" w:cs="Calibri"/>
          <w:lang w:eastAsia="en-NZ"/>
        </w:rPr>
        <w:t>survivor</w:t>
      </w:r>
      <w:r w:rsidR="003D640C">
        <w:rPr>
          <w:rFonts w:ascii="Calibri" w:hAnsi="Calibri" w:cs="Calibri"/>
          <w:lang w:eastAsia="en-NZ"/>
        </w:rPr>
        <w:t xml:space="preserve"> </w:t>
      </w:r>
      <w:r w:rsidR="00C044A8" w:rsidRPr="00BB6220">
        <w:rPr>
          <w:rFonts w:ascii="Calibri" w:hAnsi="Calibri" w:cs="Calibri"/>
          <w:lang w:eastAsia="en-NZ"/>
        </w:rPr>
        <w:t>community</w:t>
      </w:r>
      <w:r w:rsidR="003D640C">
        <w:rPr>
          <w:rFonts w:ascii="Calibri" w:hAnsi="Calibri" w:cs="Calibri"/>
          <w:lang w:eastAsia="en-NZ"/>
        </w:rPr>
        <w:t xml:space="preserve"> </w:t>
      </w:r>
      <w:r w:rsidR="00C044A8" w:rsidRPr="00BB6220">
        <w:rPr>
          <w:rFonts w:ascii="Calibri" w:hAnsi="Calibri" w:cs="Calibri"/>
          <w:lang w:eastAsia="en-NZ"/>
        </w:rPr>
        <w:t>and</w:t>
      </w:r>
      <w:r w:rsidR="003D640C">
        <w:rPr>
          <w:rFonts w:ascii="Calibri" w:hAnsi="Calibri" w:cs="Calibri"/>
          <w:lang w:eastAsia="en-NZ"/>
        </w:rPr>
        <w:t xml:space="preserve"> </w:t>
      </w:r>
      <w:r w:rsidR="00C044A8" w:rsidRPr="00BB6220">
        <w:rPr>
          <w:rFonts w:ascii="Calibri" w:hAnsi="Calibri" w:cs="Calibri"/>
          <w:lang w:eastAsia="en-NZ"/>
        </w:rPr>
        <w:t>make</w:t>
      </w:r>
      <w:r w:rsidR="003D640C">
        <w:rPr>
          <w:rFonts w:ascii="Calibri" w:hAnsi="Calibri" w:cs="Calibri"/>
          <w:lang w:eastAsia="en-NZ"/>
        </w:rPr>
        <w:t xml:space="preserve"> </w:t>
      </w:r>
      <w:r w:rsidR="00C044A8" w:rsidRPr="00BB6220">
        <w:rPr>
          <w:rFonts w:ascii="Calibri" w:hAnsi="Calibri" w:cs="Calibri"/>
          <w:lang w:eastAsia="en-NZ"/>
        </w:rPr>
        <w:t>Aotearoa</w:t>
      </w:r>
      <w:r w:rsidR="003D640C">
        <w:rPr>
          <w:rFonts w:ascii="Calibri" w:hAnsi="Calibri" w:cs="Calibri"/>
          <w:lang w:eastAsia="en-NZ"/>
        </w:rPr>
        <w:t xml:space="preserve"> </w:t>
      </w:r>
      <w:r w:rsidR="00C044A8" w:rsidRPr="00BB6220">
        <w:rPr>
          <w:rFonts w:ascii="Calibri" w:hAnsi="Calibri" w:cs="Calibri"/>
          <w:lang w:eastAsia="en-NZ"/>
        </w:rPr>
        <w:t>safer</w:t>
      </w:r>
      <w:r w:rsidR="003D640C">
        <w:rPr>
          <w:rFonts w:ascii="Calibri" w:hAnsi="Calibri" w:cs="Calibri"/>
          <w:lang w:eastAsia="en-NZ"/>
        </w:rPr>
        <w:t xml:space="preserve"> </w:t>
      </w:r>
      <w:r w:rsidR="00C044A8" w:rsidRPr="00BB6220">
        <w:rPr>
          <w:rFonts w:ascii="Calibri" w:hAnsi="Calibri" w:cs="Calibri"/>
          <w:lang w:eastAsia="en-NZ"/>
        </w:rPr>
        <w:t>for</w:t>
      </w:r>
      <w:r w:rsidR="003D640C">
        <w:rPr>
          <w:rFonts w:ascii="Calibri" w:hAnsi="Calibri" w:cs="Calibri"/>
          <w:lang w:eastAsia="en-NZ"/>
        </w:rPr>
        <w:t xml:space="preserve"> </w:t>
      </w:r>
      <w:r w:rsidR="00C044A8" w:rsidRPr="00BB6220">
        <w:rPr>
          <w:rFonts w:ascii="Calibri" w:hAnsi="Calibri" w:cs="Calibri"/>
          <w:lang w:eastAsia="en-NZ"/>
        </w:rPr>
        <w:t>all</w:t>
      </w:r>
      <w:r w:rsidR="003D640C">
        <w:rPr>
          <w:lang w:eastAsia="en-NZ"/>
        </w:rPr>
        <w:t xml:space="preserve"> </w:t>
      </w:r>
      <w:r w:rsidR="004579B0" w:rsidRPr="00BB6220">
        <w:rPr>
          <w:lang w:eastAsia="en-NZ"/>
        </w:rPr>
        <w:t>Rainbow</w:t>
      </w:r>
      <w:r w:rsidR="003D640C">
        <w:rPr>
          <w:lang w:eastAsia="en-NZ"/>
        </w:rPr>
        <w:t xml:space="preserve"> </w:t>
      </w:r>
      <w:r w:rsidR="00C044A8" w:rsidRPr="00BB6220">
        <w:rPr>
          <w:rFonts w:ascii="Calibri" w:hAnsi="Calibri" w:cs="Calibri"/>
          <w:lang w:eastAsia="en-NZ"/>
        </w:rPr>
        <w:t>people.</w:t>
      </w:r>
      <w:r w:rsidR="003D640C">
        <w:rPr>
          <w:rFonts w:ascii="Calibri" w:hAnsi="Calibri" w:cs="Calibri"/>
          <w:lang w:eastAsia="en-NZ"/>
        </w:rPr>
        <w:t xml:space="preserve"> </w:t>
      </w:r>
    </w:p>
    <w:p w14:paraId="7D99D44D" w14:textId="4AAD0139" w:rsidR="00501068" w:rsidRDefault="00E11D28" w:rsidP="009032B9">
      <w:pPr>
        <w:rPr>
          <w:rFonts w:ascii="Calibri" w:eastAsia="Calibri" w:hAnsi="Calibri" w:cs="Calibri"/>
        </w:rPr>
      </w:pP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law</w:t>
      </w:r>
      <w:r w:rsidR="003D640C">
        <w:rPr>
          <w:rFonts w:ascii="Calibri" w:eastAsia="Calibri" w:hAnsi="Calibri" w:cs="Calibri"/>
        </w:rPr>
        <w:t xml:space="preserve"> </w:t>
      </w:r>
      <w:r>
        <w:rPr>
          <w:rFonts w:ascii="Calibri" w:eastAsia="Calibri" w:hAnsi="Calibri" w:cs="Calibri"/>
        </w:rPr>
        <w:t>changes</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made</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sidR="005E68B8">
        <w:rPr>
          <w:rFonts w:ascii="Calibri" w:eastAsia="Calibri" w:hAnsi="Calibri" w:cs="Calibri"/>
        </w:rPr>
        <w:t>unlawful</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Aotearoa</w:t>
      </w:r>
      <w:r w:rsidR="003D640C">
        <w:rPr>
          <w:rFonts w:ascii="Calibri" w:eastAsia="Calibri" w:hAnsi="Calibri" w:cs="Calibri"/>
        </w:rPr>
        <w:t xml:space="preserve"> </w:t>
      </w:r>
      <w:r>
        <w:rPr>
          <w:rFonts w:ascii="Calibri" w:eastAsia="Calibri" w:hAnsi="Calibri" w:cs="Calibri"/>
        </w:rPr>
        <w:t>New</w:t>
      </w:r>
      <w:r w:rsidR="003D640C">
        <w:rPr>
          <w:rFonts w:ascii="Calibri" w:eastAsia="Calibri" w:hAnsi="Calibri" w:cs="Calibri"/>
        </w:rPr>
        <w:t xml:space="preserve"> </w:t>
      </w:r>
      <w:r>
        <w:rPr>
          <w:rFonts w:ascii="Calibri" w:eastAsia="Calibri" w:hAnsi="Calibri" w:cs="Calibri"/>
        </w:rPr>
        <w:t>Zealand</w:t>
      </w:r>
      <w:r w:rsidR="003D640C">
        <w:rPr>
          <w:rFonts w:ascii="Calibri" w:eastAsia="Calibri" w:hAnsi="Calibri" w:cs="Calibri"/>
        </w:rPr>
        <w:t xml:space="preserve"> </w:t>
      </w:r>
      <w:r>
        <w:rPr>
          <w:rFonts w:ascii="Calibri" w:eastAsia="Calibri" w:hAnsi="Calibri" w:cs="Calibri"/>
        </w:rPr>
        <w:t>were</w:t>
      </w:r>
      <w:r w:rsidR="003D640C">
        <w:rPr>
          <w:rFonts w:ascii="Calibri" w:eastAsia="Calibri" w:hAnsi="Calibri" w:cs="Calibri"/>
        </w:rPr>
        <w:t xml:space="preserve"> </w:t>
      </w:r>
      <w:r>
        <w:rPr>
          <w:rFonts w:ascii="Calibri" w:eastAsia="Calibri" w:hAnsi="Calibri" w:cs="Calibri"/>
        </w:rPr>
        <w:t>an</w:t>
      </w:r>
      <w:r w:rsidR="003D640C">
        <w:rPr>
          <w:rFonts w:ascii="Calibri" w:eastAsia="Calibri" w:hAnsi="Calibri" w:cs="Calibri"/>
        </w:rPr>
        <w:t xml:space="preserve"> </w:t>
      </w:r>
      <w:r>
        <w:rPr>
          <w:rFonts w:ascii="Calibri" w:eastAsia="Calibri" w:hAnsi="Calibri" w:cs="Calibri"/>
        </w:rPr>
        <w:t>essential</w:t>
      </w:r>
      <w:r w:rsidR="003D640C">
        <w:rPr>
          <w:rFonts w:ascii="Calibri" w:eastAsia="Calibri" w:hAnsi="Calibri" w:cs="Calibri"/>
        </w:rPr>
        <w:t xml:space="preserve"> </w:t>
      </w:r>
      <w:r>
        <w:rPr>
          <w:rFonts w:ascii="Calibri" w:eastAsia="Calibri" w:hAnsi="Calibri" w:cs="Calibri"/>
        </w:rPr>
        <w:t>step</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eliminating</w:t>
      </w:r>
      <w:r w:rsidR="003D640C">
        <w:rPr>
          <w:rFonts w:ascii="Calibri" w:eastAsia="Calibri" w:hAnsi="Calibri" w:cs="Calibri"/>
        </w:rPr>
        <w:t xml:space="preserve"> </w:t>
      </w:r>
      <w:r>
        <w:rPr>
          <w:rFonts w:ascii="Calibri" w:eastAsia="Calibri" w:hAnsi="Calibri" w:cs="Calibri"/>
        </w:rPr>
        <w:t>these</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profound</w:t>
      </w:r>
      <w:r w:rsidR="003D640C">
        <w:rPr>
          <w:rFonts w:ascii="Calibri" w:eastAsia="Calibri" w:hAnsi="Calibri" w:cs="Calibri"/>
        </w:rPr>
        <w:t xml:space="preserve"> </w:t>
      </w:r>
      <w:r>
        <w:rPr>
          <w:rFonts w:ascii="Calibri" w:eastAsia="Calibri" w:hAnsi="Calibri" w:cs="Calibri"/>
        </w:rPr>
        <w:t>harm</w:t>
      </w:r>
      <w:r w:rsidR="003D640C">
        <w:rPr>
          <w:rFonts w:ascii="Calibri" w:eastAsia="Calibri" w:hAnsi="Calibri" w:cs="Calibri"/>
        </w:rPr>
        <w:t xml:space="preserve"> </w:t>
      </w:r>
      <w:r>
        <w:rPr>
          <w:rFonts w:ascii="Calibri" w:eastAsia="Calibri" w:hAnsi="Calibri" w:cs="Calibri"/>
        </w:rPr>
        <w:t>they</w:t>
      </w:r>
      <w:r w:rsidR="003D640C">
        <w:rPr>
          <w:rFonts w:ascii="Calibri" w:eastAsia="Calibri" w:hAnsi="Calibri" w:cs="Calibri"/>
        </w:rPr>
        <w:t xml:space="preserve"> </w:t>
      </w:r>
      <w:r>
        <w:rPr>
          <w:rFonts w:ascii="Calibri" w:eastAsia="Calibri" w:hAnsi="Calibri" w:cs="Calibri"/>
        </w:rPr>
        <w:t>cause.</w:t>
      </w:r>
      <w:r w:rsidR="003D640C">
        <w:rPr>
          <w:rFonts w:ascii="Calibri" w:eastAsia="Calibri" w:hAnsi="Calibri" w:cs="Calibri"/>
        </w:rPr>
        <w:t xml:space="preserve"> </w:t>
      </w:r>
      <w:r w:rsidR="00955507">
        <w:rPr>
          <w:rFonts w:ascii="Calibri" w:eastAsia="Calibri" w:hAnsi="Calibri" w:cs="Calibri"/>
        </w:rPr>
        <w:t>However,</w:t>
      </w:r>
      <w:r w:rsidR="003D640C">
        <w:rPr>
          <w:rFonts w:ascii="Calibri" w:eastAsia="Calibri" w:hAnsi="Calibri" w:cs="Calibri"/>
        </w:rPr>
        <w:t xml:space="preserve"> </w:t>
      </w:r>
      <w:r w:rsidR="00955507">
        <w:rPr>
          <w:rFonts w:ascii="Calibri" w:eastAsia="Calibri" w:hAnsi="Calibri" w:cs="Calibri"/>
        </w:rPr>
        <w:t>u</w:t>
      </w:r>
      <w:r>
        <w:rPr>
          <w:rFonts w:ascii="Calibri" w:eastAsia="Calibri" w:hAnsi="Calibri" w:cs="Calibri"/>
        </w:rPr>
        <w:t>nless</w:t>
      </w:r>
      <w:r w:rsidR="003D640C">
        <w:rPr>
          <w:rFonts w:ascii="Calibri" w:eastAsia="Calibri" w:hAnsi="Calibri" w:cs="Calibri"/>
        </w:rPr>
        <w:t xml:space="preserve"> </w:t>
      </w:r>
      <w:r>
        <w:rPr>
          <w:rFonts w:ascii="Calibri" w:eastAsia="Calibri" w:hAnsi="Calibri" w:cs="Calibri"/>
        </w:rPr>
        <w:t>concerted</w:t>
      </w:r>
      <w:r w:rsidR="003D640C">
        <w:rPr>
          <w:rFonts w:ascii="Calibri" w:eastAsia="Calibri" w:hAnsi="Calibri" w:cs="Calibri"/>
        </w:rPr>
        <w:t xml:space="preserve"> </w:t>
      </w:r>
      <w:r>
        <w:rPr>
          <w:rFonts w:ascii="Calibri" w:eastAsia="Calibri" w:hAnsi="Calibri" w:cs="Calibri"/>
        </w:rPr>
        <w:t>efforts</w:t>
      </w:r>
      <w:r w:rsidR="003D640C">
        <w:rPr>
          <w:rFonts w:ascii="Calibri" w:eastAsia="Calibri" w:hAnsi="Calibri" w:cs="Calibri"/>
        </w:rPr>
        <w:t xml:space="preserve"> </w:t>
      </w:r>
      <w:r>
        <w:rPr>
          <w:rFonts w:ascii="Calibri" w:eastAsia="Calibri" w:hAnsi="Calibri" w:cs="Calibri"/>
        </w:rPr>
        <w:t>are</w:t>
      </w:r>
      <w:r w:rsidR="003D640C">
        <w:rPr>
          <w:rFonts w:ascii="Calibri" w:eastAsia="Calibri" w:hAnsi="Calibri" w:cs="Calibri"/>
        </w:rPr>
        <w:t xml:space="preserve"> </w:t>
      </w:r>
      <w:r>
        <w:rPr>
          <w:rFonts w:ascii="Calibri" w:eastAsia="Calibri" w:hAnsi="Calibri" w:cs="Calibri"/>
        </w:rPr>
        <w:t>made</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address</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conditions</w:t>
      </w:r>
      <w:r w:rsidR="003D640C">
        <w:rPr>
          <w:rFonts w:ascii="Calibri" w:eastAsia="Calibri" w:hAnsi="Calibri" w:cs="Calibri"/>
        </w:rPr>
        <w:t xml:space="preserve"> </w:t>
      </w:r>
      <w:r w:rsidR="0000681A">
        <w:rPr>
          <w:rFonts w:ascii="Calibri" w:eastAsia="Calibri" w:hAnsi="Calibri" w:cs="Calibri"/>
        </w:rPr>
        <w:t xml:space="preserve">that </w:t>
      </w:r>
      <w:r>
        <w:rPr>
          <w:rFonts w:ascii="Calibri" w:eastAsia="Calibri" w:hAnsi="Calibri" w:cs="Calibri"/>
        </w:rPr>
        <w:t>give</w:t>
      </w:r>
      <w:r w:rsidR="003D640C">
        <w:rPr>
          <w:rFonts w:ascii="Calibri" w:eastAsia="Calibri" w:hAnsi="Calibri" w:cs="Calibri"/>
        </w:rPr>
        <w:t xml:space="preserve"> </w:t>
      </w:r>
      <w:r>
        <w:rPr>
          <w:rFonts w:ascii="Calibri" w:eastAsia="Calibri" w:hAnsi="Calibri" w:cs="Calibri"/>
        </w:rPr>
        <w:t>rise</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sidR="0000681A">
        <w:rPr>
          <w:rFonts w:ascii="Calibri" w:eastAsia="Calibri" w:hAnsi="Calibri" w:cs="Calibri"/>
        </w:rPr>
        <w:t xml:space="preserve">conversion </w:t>
      </w:r>
      <w:r>
        <w:rPr>
          <w:rFonts w:ascii="Calibri" w:eastAsia="Calibri" w:hAnsi="Calibri" w:cs="Calibri"/>
        </w:rPr>
        <w:t>practices,</w:t>
      </w:r>
      <w:r w:rsidR="003D640C">
        <w:rPr>
          <w:rFonts w:ascii="Calibri" w:eastAsia="Calibri" w:hAnsi="Calibri" w:cs="Calibri"/>
        </w:rPr>
        <w:t xml:space="preserve"> </w:t>
      </w:r>
      <w:r>
        <w:rPr>
          <w:rFonts w:ascii="Calibri" w:eastAsia="Calibri" w:hAnsi="Calibri" w:cs="Calibri"/>
        </w:rPr>
        <w:t>they</w:t>
      </w:r>
      <w:r w:rsidR="003D640C">
        <w:rPr>
          <w:rFonts w:ascii="Calibri" w:eastAsia="Calibri" w:hAnsi="Calibri" w:cs="Calibri"/>
        </w:rPr>
        <w:t xml:space="preserve"> </w:t>
      </w:r>
      <w:r>
        <w:rPr>
          <w:rFonts w:ascii="Calibri" w:eastAsia="Calibri" w:hAnsi="Calibri" w:cs="Calibri"/>
        </w:rPr>
        <w:t>will</w:t>
      </w:r>
      <w:r w:rsidR="003D640C">
        <w:rPr>
          <w:rFonts w:ascii="Calibri" w:eastAsia="Calibri" w:hAnsi="Calibri" w:cs="Calibri"/>
        </w:rPr>
        <w:t xml:space="preserve"> </w:t>
      </w:r>
      <w:r>
        <w:rPr>
          <w:rFonts w:ascii="Calibri" w:eastAsia="Calibri" w:hAnsi="Calibri" w:cs="Calibri"/>
        </w:rPr>
        <w:t>likely</w:t>
      </w:r>
      <w:r w:rsidR="003D640C">
        <w:rPr>
          <w:rFonts w:ascii="Calibri" w:eastAsia="Calibri" w:hAnsi="Calibri" w:cs="Calibri"/>
        </w:rPr>
        <w:t xml:space="preserve"> </w:t>
      </w:r>
      <w:r>
        <w:rPr>
          <w:rFonts w:ascii="Calibri" w:eastAsia="Calibri" w:hAnsi="Calibri" w:cs="Calibri"/>
        </w:rPr>
        <w:t>continue.</w:t>
      </w:r>
      <w:r w:rsidR="003D640C">
        <w:rPr>
          <w:rFonts w:ascii="Calibri" w:eastAsia="Calibri" w:hAnsi="Calibri" w:cs="Calibri"/>
        </w:rPr>
        <w:t xml:space="preserve"> </w:t>
      </w:r>
      <w:r w:rsidRPr="008C2E11">
        <w:rPr>
          <w:rFonts w:ascii="Calibri" w:eastAsia="Calibri" w:hAnsi="Calibri" w:cs="Calibri"/>
        </w:rPr>
        <w:t>Through</w:t>
      </w:r>
      <w:r w:rsidR="003D640C">
        <w:rPr>
          <w:rFonts w:ascii="Calibri" w:eastAsia="Calibri" w:hAnsi="Calibri" w:cs="Calibri"/>
        </w:rPr>
        <w:t xml:space="preserve"> </w:t>
      </w:r>
      <w:r w:rsidRPr="008C2E11">
        <w:rPr>
          <w:rFonts w:ascii="Calibri" w:eastAsia="Calibri" w:hAnsi="Calibri" w:cs="Calibri"/>
        </w:rPr>
        <w:t>our</w:t>
      </w:r>
      <w:r w:rsidR="003D640C">
        <w:rPr>
          <w:rFonts w:ascii="Calibri" w:eastAsia="Calibri" w:hAnsi="Calibri" w:cs="Calibri"/>
        </w:rPr>
        <w:t xml:space="preserve"> </w:t>
      </w:r>
      <w:r w:rsidRPr="008C2E11">
        <w:rPr>
          <w:rFonts w:ascii="Calibri" w:eastAsia="Calibri" w:hAnsi="Calibri" w:cs="Calibri"/>
        </w:rPr>
        <w:t>engagement</w:t>
      </w:r>
      <w:r w:rsidR="0000681A">
        <w:rPr>
          <w:rFonts w:ascii="Calibri" w:eastAsia="Calibri" w:hAnsi="Calibri" w:cs="Calibri"/>
        </w:rPr>
        <w:t>,</w:t>
      </w:r>
      <w:r w:rsidR="003D640C">
        <w:rPr>
          <w:rFonts w:ascii="Calibri" w:eastAsia="Calibri" w:hAnsi="Calibri" w:cs="Calibri"/>
        </w:rPr>
        <w:t xml:space="preserve"> </w:t>
      </w:r>
      <w:r w:rsidRPr="008C2E11">
        <w:rPr>
          <w:rFonts w:ascii="Calibri" w:eastAsia="Calibri" w:hAnsi="Calibri" w:cs="Calibri"/>
        </w:rPr>
        <w:t>we</w:t>
      </w:r>
      <w:r w:rsidR="003D640C">
        <w:rPr>
          <w:rFonts w:ascii="Calibri" w:eastAsia="Calibri" w:hAnsi="Calibri" w:cs="Calibri"/>
        </w:rPr>
        <w:t xml:space="preserve"> </w:t>
      </w:r>
      <w:r w:rsidRPr="008C2E11">
        <w:rPr>
          <w:rFonts w:ascii="Calibri" w:eastAsia="Calibri" w:hAnsi="Calibri" w:cs="Calibri"/>
        </w:rPr>
        <w:t>have</w:t>
      </w:r>
      <w:r w:rsidR="003D640C">
        <w:rPr>
          <w:rFonts w:ascii="Calibri" w:eastAsia="Calibri" w:hAnsi="Calibri" w:cs="Calibri"/>
        </w:rPr>
        <w:t xml:space="preserve"> </w:t>
      </w:r>
      <w:r>
        <w:rPr>
          <w:rFonts w:ascii="Calibri" w:eastAsia="Calibri" w:hAnsi="Calibri" w:cs="Calibri"/>
        </w:rPr>
        <w:t>already</w:t>
      </w:r>
      <w:r w:rsidR="003D640C">
        <w:rPr>
          <w:rFonts w:ascii="Calibri" w:eastAsia="Calibri" w:hAnsi="Calibri" w:cs="Calibri"/>
        </w:rPr>
        <w:t xml:space="preserve"> </w:t>
      </w:r>
      <w:r w:rsidRPr="008C2E11">
        <w:rPr>
          <w:rFonts w:ascii="Calibri" w:eastAsia="Calibri" w:hAnsi="Calibri" w:cs="Calibri"/>
        </w:rPr>
        <w:t>learn</w:t>
      </w:r>
      <w:r w:rsidR="0000681A">
        <w:rPr>
          <w:rFonts w:ascii="Calibri" w:eastAsia="Calibri" w:hAnsi="Calibri" w:cs="Calibri"/>
        </w:rPr>
        <w:t>ed</w:t>
      </w:r>
      <w:r w:rsidR="003D640C">
        <w:rPr>
          <w:rFonts w:ascii="Calibri" w:eastAsia="Calibri" w:hAnsi="Calibri" w:cs="Calibri"/>
        </w:rPr>
        <w:t xml:space="preserve"> </w:t>
      </w:r>
      <w:r w:rsidRPr="008C2E11">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conversion</w:t>
      </w:r>
      <w:r w:rsidR="003D640C">
        <w:rPr>
          <w:rFonts w:ascii="Calibri" w:eastAsia="Calibri" w:hAnsi="Calibri" w:cs="Calibri"/>
        </w:rPr>
        <w:t xml:space="preserve"> </w:t>
      </w:r>
      <w:r>
        <w:rPr>
          <w:rFonts w:ascii="Calibri" w:eastAsia="Calibri" w:hAnsi="Calibri" w:cs="Calibri"/>
        </w:rPr>
        <w:t>practices</w:t>
      </w:r>
      <w:r w:rsidR="003D640C">
        <w:rPr>
          <w:rFonts w:ascii="Calibri" w:eastAsia="Calibri" w:hAnsi="Calibri" w:cs="Calibri"/>
        </w:rPr>
        <w:t xml:space="preserve"> </w:t>
      </w:r>
      <w:r w:rsidR="00E9113D">
        <w:rPr>
          <w:rFonts w:ascii="Calibri" w:eastAsia="Calibri" w:hAnsi="Calibri" w:cs="Calibri"/>
        </w:rPr>
        <w:t>and</w:t>
      </w:r>
      <w:r w:rsidR="003D640C">
        <w:rPr>
          <w:rFonts w:ascii="Calibri" w:eastAsia="Calibri" w:hAnsi="Calibri" w:cs="Calibri"/>
        </w:rPr>
        <w:t xml:space="preserve"> </w:t>
      </w:r>
      <w:r w:rsidR="00E9113D">
        <w:rPr>
          <w:rFonts w:ascii="Calibri" w:eastAsia="Calibri" w:hAnsi="Calibri" w:cs="Calibri"/>
        </w:rPr>
        <w:t>related</w:t>
      </w:r>
      <w:r w:rsidR="003D640C">
        <w:rPr>
          <w:rFonts w:ascii="Calibri" w:eastAsia="Calibri" w:hAnsi="Calibri" w:cs="Calibri"/>
        </w:rPr>
        <w:t xml:space="preserve"> </w:t>
      </w:r>
      <w:r w:rsidR="00E9113D">
        <w:rPr>
          <w:rFonts w:ascii="Calibri" w:eastAsia="Calibri" w:hAnsi="Calibri" w:cs="Calibri"/>
        </w:rPr>
        <w:t>activities</w:t>
      </w:r>
      <w:r w:rsidR="003D640C">
        <w:rPr>
          <w:rFonts w:ascii="Calibri" w:eastAsia="Calibri" w:hAnsi="Calibri" w:cs="Calibri"/>
        </w:rPr>
        <w:t xml:space="preserve"> </w:t>
      </w:r>
      <w:r w:rsidRPr="008C2E11">
        <w:rPr>
          <w:rFonts w:ascii="Calibri" w:eastAsia="Calibri" w:hAnsi="Calibri" w:cs="Calibri"/>
        </w:rPr>
        <w:t>are</w:t>
      </w:r>
      <w:r w:rsidR="003D640C">
        <w:rPr>
          <w:rFonts w:ascii="Calibri" w:eastAsia="Calibri" w:hAnsi="Calibri" w:cs="Calibri"/>
        </w:rPr>
        <w:t xml:space="preserve"> </w:t>
      </w:r>
      <w:r w:rsidRPr="008C2E11">
        <w:rPr>
          <w:rFonts w:ascii="Calibri" w:eastAsia="Calibri" w:hAnsi="Calibri" w:cs="Calibri"/>
        </w:rPr>
        <w:t>happening</w:t>
      </w:r>
      <w:r w:rsidR="003D640C">
        <w:rPr>
          <w:rFonts w:ascii="Calibri" w:eastAsia="Calibri" w:hAnsi="Calibri" w:cs="Calibri"/>
        </w:rPr>
        <w:t xml:space="preserve"> </w:t>
      </w:r>
      <w:r w:rsidRPr="008C2E11">
        <w:rPr>
          <w:rFonts w:ascii="Calibri" w:eastAsia="Calibri" w:hAnsi="Calibri" w:cs="Calibri"/>
        </w:rPr>
        <w:t>in</w:t>
      </w:r>
      <w:r w:rsidR="003D640C">
        <w:rPr>
          <w:rFonts w:ascii="Calibri" w:eastAsia="Calibri" w:hAnsi="Calibri" w:cs="Calibri"/>
        </w:rPr>
        <w:t xml:space="preserve"> </w:t>
      </w:r>
      <w:r w:rsidR="000C6CCD">
        <w:rPr>
          <w:rFonts w:ascii="Calibri" w:eastAsia="Calibri" w:hAnsi="Calibri" w:cs="Calibri"/>
        </w:rPr>
        <w:t>increasingly</w:t>
      </w:r>
      <w:r w:rsidR="003D640C">
        <w:rPr>
          <w:rFonts w:ascii="Calibri" w:eastAsia="Calibri" w:hAnsi="Calibri" w:cs="Calibri"/>
        </w:rPr>
        <w:t xml:space="preserve"> </w:t>
      </w:r>
      <w:r w:rsidRPr="008C2E11">
        <w:rPr>
          <w:rFonts w:ascii="Calibri" w:eastAsia="Calibri" w:hAnsi="Calibri" w:cs="Calibri"/>
        </w:rPr>
        <w:t>subtle</w:t>
      </w:r>
      <w:r w:rsidR="003D640C">
        <w:rPr>
          <w:rFonts w:ascii="Calibri" w:eastAsia="Calibri" w:hAnsi="Calibri" w:cs="Calibri"/>
        </w:rPr>
        <w:t xml:space="preserve"> </w:t>
      </w:r>
      <w:r w:rsidRPr="008C2E11">
        <w:rPr>
          <w:rFonts w:ascii="Calibri" w:eastAsia="Calibri" w:hAnsi="Calibri" w:cs="Calibri"/>
        </w:rPr>
        <w:t>forms</w:t>
      </w:r>
      <w:r w:rsidR="00114445">
        <w:rPr>
          <w:rFonts w:ascii="Calibri" w:eastAsia="Calibri" w:hAnsi="Calibri" w:cs="Calibri"/>
        </w:rPr>
        <w:t>,</w:t>
      </w:r>
      <w:r w:rsidR="003D640C">
        <w:rPr>
          <w:rFonts w:ascii="Calibri" w:eastAsia="Calibri" w:hAnsi="Calibri" w:cs="Calibri"/>
        </w:rPr>
        <w:t xml:space="preserve"> </w:t>
      </w:r>
      <w:r w:rsidR="005029C6">
        <w:rPr>
          <w:rFonts w:ascii="Calibri" w:eastAsia="Calibri" w:hAnsi="Calibri" w:cs="Calibri"/>
        </w:rPr>
        <w:t>often</w:t>
      </w:r>
      <w:r w:rsidR="003D640C">
        <w:rPr>
          <w:rFonts w:ascii="Calibri" w:eastAsia="Calibri" w:hAnsi="Calibri" w:cs="Calibri"/>
        </w:rPr>
        <w:t xml:space="preserve"> </w:t>
      </w:r>
      <w:r w:rsidR="00114445">
        <w:rPr>
          <w:rFonts w:ascii="Calibri" w:eastAsia="Calibri" w:hAnsi="Calibri" w:cs="Calibri"/>
        </w:rPr>
        <w:t>without</w:t>
      </w:r>
      <w:r w:rsidR="003D640C">
        <w:rPr>
          <w:rFonts w:ascii="Calibri" w:eastAsia="Calibri" w:hAnsi="Calibri" w:cs="Calibri"/>
        </w:rPr>
        <w:t xml:space="preserve"> </w:t>
      </w:r>
      <w:r w:rsidR="00114445">
        <w:rPr>
          <w:rFonts w:ascii="Calibri" w:eastAsia="Calibri" w:hAnsi="Calibri" w:cs="Calibri"/>
        </w:rPr>
        <w:t>explicit</w:t>
      </w:r>
      <w:r w:rsidR="005029C6">
        <w:rPr>
          <w:rFonts w:ascii="Calibri" w:eastAsia="Calibri" w:hAnsi="Calibri" w:cs="Calibri"/>
        </w:rPr>
        <w:t>ly</w:t>
      </w:r>
      <w:r w:rsidR="003D640C">
        <w:rPr>
          <w:rFonts w:ascii="Calibri" w:eastAsia="Calibri" w:hAnsi="Calibri" w:cs="Calibri"/>
        </w:rPr>
        <w:t xml:space="preserve"> </w:t>
      </w:r>
      <w:r w:rsidR="005029C6">
        <w:rPr>
          <w:rFonts w:ascii="Calibri" w:eastAsia="Calibri" w:hAnsi="Calibri" w:cs="Calibri"/>
        </w:rPr>
        <w:t>mentioning</w:t>
      </w:r>
      <w:r w:rsidR="003D640C">
        <w:rPr>
          <w:rFonts w:ascii="Calibri" w:eastAsia="Calibri" w:hAnsi="Calibri" w:cs="Calibri"/>
        </w:rPr>
        <w:t xml:space="preserve"> </w:t>
      </w:r>
      <w:r w:rsidR="005167CF">
        <w:rPr>
          <w:rFonts w:ascii="Calibri" w:eastAsia="Calibri" w:hAnsi="Calibri" w:cs="Calibri"/>
        </w:rPr>
        <w:t>an</w:t>
      </w:r>
      <w:r w:rsidR="003D640C">
        <w:rPr>
          <w:rFonts w:ascii="Calibri" w:eastAsia="Calibri" w:hAnsi="Calibri" w:cs="Calibri"/>
        </w:rPr>
        <w:t xml:space="preserve"> </w:t>
      </w:r>
      <w:r w:rsidR="005167CF">
        <w:rPr>
          <w:rFonts w:ascii="Calibri" w:eastAsia="Calibri" w:hAnsi="Calibri" w:cs="Calibri"/>
        </w:rPr>
        <w:t>anti-Rainbow</w:t>
      </w:r>
      <w:r w:rsidR="003D640C">
        <w:rPr>
          <w:rFonts w:ascii="Calibri" w:eastAsia="Calibri" w:hAnsi="Calibri" w:cs="Calibri"/>
        </w:rPr>
        <w:t xml:space="preserve"> </w:t>
      </w:r>
      <w:r w:rsidR="005167CF">
        <w:rPr>
          <w:rFonts w:ascii="Calibri" w:eastAsia="Calibri" w:hAnsi="Calibri" w:cs="Calibri"/>
        </w:rPr>
        <w:t>stance</w:t>
      </w:r>
      <w:r w:rsidR="003D640C">
        <w:rPr>
          <w:rFonts w:ascii="Calibri" w:eastAsia="Calibri" w:hAnsi="Calibri" w:cs="Calibri"/>
        </w:rPr>
        <w:t xml:space="preserve"> </w:t>
      </w:r>
      <w:r w:rsidR="005029C6">
        <w:rPr>
          <w:rFonts w:ascii="Calibri" w:eastAsia="Calibri" w:hAnsi="Calibri" w:cs="Calibri"/>
        </w:rPr>
        <w:t>and</w:t>
      </w:r>
      <w:r w:rsidR="003D640C">
        <w:rPr>
          <w:rFonts w:ascii="Calibri" w:eastAsia="Calibri" w:hAnsi="Calibri" w:cs="Calibri"/>
        </w:rPr>
        <w:t xml:space="preserve"> </w:t>
      </w:r>
      <w:r w:rsidR="005167CF">
        <w:rPr>
          <w:rFonts w:ascii="Calibri" w:eastAsia="Calibri" w:hAnsi="Calibri" w:cs="Calibri"/>
        </w:rPr>
        <w:t>instead</w:t>
      </w:r>
      <w:r w:rsidR="003D640C">
        <w:rPr>
          <w:rFonts w:ascii="Calibri" w:eastAsia="Calibri" w:hAnsi="Calibri" w:cs="Calibri"/>
        </w:rPr>
        <w:t xml:space="preserve"> </w:t>
      </w:r>
      <w:r w:rsidR="005167CF">
        <w:rPr>
          <w:rFonts w:ascii="Calibri" w:eastAsia="Calibri" w:hAnsi="Calibri" w:cs="Calibri"/>
        </w:rPr>
        <w:t>making</w:t>
      </w:r>
      <w:r w:rsidR="003D640C">
        <w:rPr>
          <w:rFonts w:ascii="Calibri" w:eastAsia="Calibri" w:hAnsi="Calibri" w:cs="Calibri"/>
        </w:rPr>
        <w:t xml:space="preserve"> </w:t>
      </w:r>
      <w:r w:rsidR="005167CF">
        <w:rPr>
          <w:rFonts w:ascii="Calibri" w:eastAsia="Calibri" w:hAnsi="Calibri" w:cs="Calibri"/>
        </w:rPr>
        <w:t>reference</w:t>
      </w:r>
      <w:r w:rsidR="003D640C">
        <w:rPr>
          <w:rFonts w:ascii="Calibri" w:eastAsia="Calibri" w:hAnsi="Calibri" w:cs="Calibri"/>
        </w:rPr>
        <w:t xml:space="preserve"> </w:t>
      </w:r>
      <w:r w:rsidR="005167CF">
        <w:rPr>
          <w:rFonts w:ascii="Calibri" w:eastAsia="Calibri" w:hAnsi="Calibri" w:cs="Calibri"/>
        </w:rPr>
        <w:t>to</w:t>
      </w:r>
      <w:r w:rsidR="003D640C">
        <w:rPr>
          <w:rFonts w:ascii="Calibri" w:eastAsia="Calibri" w:hAnsi="Calibri" w:cs="Calibri"/>
        </w:rPr>
        <w:t xml:space="preserve"> </w:t>
      </w:r>
      <w:r w:rsidR="00114445">
        <w:rPr>
          <w:rFonts w:eastAsia="Times New Roman" w:cs="Helvetica"/>
        </w:rPr>
        <w:t>spiritual</w:t>
      </w:r>
      <w:r w:rsidR="003D640C">
        <w:rPr>
          <w:rFonts w:eastAsia="Times New Roman" w:cs="Helvetica"/>
        </w:rPr>
        <w:t xml:space="preserve"> </w:t>
      </w:r>
      <w:r w:rsidR="00114445">
        <w:rPr>
          <w:rFonts w:eastAsia="Times New Roman" w:cs="Helvetica"/>
        </w:rPr>
        <w:t>healing,</w:t>
      </w:r>
      <w:r w:rsidR="003D640C">
        <w:rPr>
          <w:rFonts w:eastAsia="Times New Roman" w:cs="Helvetica"/>
        </w:rPr>
        <w:t xml:space="preserve"> </w:t>
      </w:r>
      <w:r w:rsidR="00114445">
        <w:rPr>
          <w:rFonts w:eastAsia="Times New Roman" w:cs="Helvetica"/>
        </w:rPr>
        <w:t>mental</w:t>
      </w:r>
      <w:r w:rsidR="003D640C">
        <w:rPr>
          <w:rFonts w:eastAsia="Times New Roman" w:cs="Helvetica"/>
        </w:rPr>
        <w:t xml:space="preserve"> </w:t>
      </w:r>
      <w:r w:rsidR="00114445">
        <w:rPr>
          <w:rFonts w:eastAsia="Times New Roman" w:cs="Helvetica"/>
        </w:rPr>
        <w:t>health</w:t>
      </w:r>
      <w:r w:rsidR="0000681A">
        <w:rPr>
          <w:rFonts w:eastAsia="Times New Roman" w:cs="Helvetica"/>
        </w:rPr>
        <w:t>,</w:t>
      </w:r>
      <w:r w:rsidR="003D640C">
        <w:rPr>
          <w:rFonts w:eastAsia="Times New Roman" w:cs="Helvetica"/>
        </w:rPr>
        <w:t xml:space="preserve"> </w:t>
      </w:r>
      <w:r w:rsidR="00114445">
        <w:rPr>
          <w:rFonts w:eastAsia="Times New Roman" w:cs="Helvetica"/>
        </w:rPr>
        <w:t>and</w:t>
      </w:r>
      <w:r w:rsidR="003D640C">
        <w:rPr>
          <w:rFonts w:eastAsia="Times New Roman" w:cs="Helvetica"/>
        </w:rPr>
        <w:t xml:space="preserve"> </w:t>
      </w:r>
      <w:r w:rsidR="00114445">
        <w:rPr>
          <w:rFonts w:eastAsia="Times New Roman" w:cs="Helvetica"/>
        </w:rPr>
        <w:t>religious</w:t>
      </w:r>
      <w:r w:rsidR="003D640C">
        <w:rPr>
          <w:rFonts w:eastAsia="Times New Roman" w:cs="Helvetica"/>
        </w:rPr>
        <w:t xml:space="preserve"> </w:t>
      </w:r>
      <w:r w:rsidR="00114445">
        <w:rPr>
          <w:rFonts w:eastAsia="Times New Roman" w:cs="Helvetica"/>
        </w:rPr>
        <w:t>liberty</w:t>
      </w:r>
      <w:r w:rsidRPr="008C2E11">
        <w:rPr>
          <w:rFonts w:ascii="Calibri" w:eastAsia="Calibri" w:hAnsi="Calibri" w:cs="Calibri"/>
        </w:rPr>
        <w:t>.</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recommendations</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this</w:t>
      </w:r>
      <w:r w:rsidR="003D640C">
        <w:rPr>
          <w:rFonts w:ascii="Calibri" w:eastAsia="Calibri" w:hAnsi="Calibri" w:cs="Calibri"/>
        </w:rPr>
        <w:t xml:space="preserve"> </w:t>
      </w:r>
      <w:r>
        <w:rPr>
          <w:rFonts w:ascii="Calibri" w:eastAsia="Calibri" w:hAnsi="Calibri" w:cs="Calibri"/>
        </w:rPr>
        <w:t>report</w:t>
      </w:r>
      <w:r w:rsidR="003D640C">
        <w:rPr>
          <w:rFonts w:ascii="Calibri" w:eastAsia="Calibri" w:hAnsi="Calibri" w:cs="Calibri"/>
        </w:rPr>
        <w:t xml:space="preserve"> </w:t>
      </w:r>
      <w:r>
        <w:rPr>
          <w:rFonts w:ascii="Calibri" w:eastAsia="Calibri" w:hAnsi="Calibri" w:cs="Calibri"/>
        </w:rPr>
        <w:t>identify</w:t>
      </w:r>
      <w:r w:rsidR="003D640C">
        <w:rPr>
          <w:rFonts w:ascii="Calibri" w:eastAsia="Calibri" w:hAnsi="Calibri" w:cs="Calibri"/>
        </w:rPr>
        <w:t xml:space="preserve"> </w:t>
      </w:r>
      <w:r w:rsidR="00E93157">
        <w:rPr>
          <w:rFonts w:ascii="Calibri" w:eastAsia="Calibri" w:hAnsi="Calibri" w:cs="Calibri"/>
        </w:rPr>
        <w:t>what</w:t>
      </w:r>
      <w:r w:rsidR="003D640C">
        <w:rPr>
          <w:rFonts w:ascii="Calibri" w:eastAsia="Calibri" w:hAnsi="Calibri" w:cs="Calibri"/>
        </w:rPr>
        <w:t xml:space="preserve"> </w:t>
      </w:r>
      <w:r w:rsidR="00E93157">
        <w:rPr>
          <w:rFonts w:ascii="Calibri" w:eastAsia="Calibri" w:hAnsi="Calibri" w:cs="Calibri"/>
        </w:rPr>
        <w:t>can</w:t>
      </w:r>
      <w:r w:rsidR="003D640C">
        <w:rPr>
          <w:rFonts w:ascii="Calibri" w:eastAsia="Calibri" w:hAnsi="Calibri" w:cs="Calibri"/>
        </w:rPr>
        <w:t xml:space="preserve"> </w:t>
      </w:r>
      <w:r w:rsidR="00A707BA">
        <w:rPr>
          <w:rFonts w:ascii="Calibri" w:eastAsia="Calibri" w:hAnsi="Calibri" w:cs="Calibri"/>
        </w:rPr>
        <w:t>be</w:t>
      </w:r>
      <w:r w:rsidR="003D640C">
        <w:rPr>
          <w:rFonts w:ascii="Calibri" w:eastAsia="Calibri" w:hAnsi="Calibri" w:cs="Calibri"/>
        </w:rPr>
        <w:t xml:space="preserve"> </w:t>
      </w:r>
      <w:r w:rsidR="00A707BA">
        <w:rPr>
          <w:rFonts w:ascii="Calibri" w:eastAsia="Calibri" w:hAnsi="Calibri" w:cs="Calibri"/>
        </w:rPr>
        <w:t>changed</w:t>
      </w:r>
      <w:r w:rsidR="003D640C">
        <w:rPr>
          <w:rFonts w:ascii="Calibri" w:eastAsia="Calibri" w:hAnsi="Calibri" w:cs="Calibri"/>
        </w:rPr>
        <w:t xml:space="preserve"> </w:t>
      </w:r>
      <w:r w:rsidR="00A707BA">
        <w:rPr>
          <w:rFonts w:ascii="Calibri" w:eastAsia="Calibri" w:hAnsi="Calibri" w:cs="Calibri"/>
        </w:rPr>
        <w:t>to</w:t>
      </w:r>
      <w:r w:rsidR="003D640C">
        <w:rPr>
          <w:rFonts w:ascii="Calibri" w:eastAsia="Calibri" w:hAnsi="Calibri" w:cs="Calibri"/>
        </w:rPr>
        <w:t xml:space="preserve"> </w:t>
      </w:r>
      <w:r w:rsidR="00E93157">
        <w:rPr>
          <w:rFonts w:ascii="Calibri" w:eastAsia="Calibri" w:hAnsi="Calibri" w:cs="Calibri"/>
        </w:rPr>
        <w:t>help</w:t>
      </w:r>
      <w:r w:rsidR="003D640C">
        <w:rPr>
          <w:rFonts w:ascii="Calibri" w:eastAsia="Calibri" w:hAnsi="Calibri" w:cs="Calibri"/>
        </w:rPr>
        <w:t xml:space="preserve"> </w:t>
      </w:r>
      <w:r w:rsidR="00040E0A">
        <w:rPr>
          <w:rFonts w:ascii="Calibri" w:eastAsia="Calibri" w:hAnsi="Calibri" w:cs="Calibri"/>
        </w:rPr>
        <w:t>to</w:t>
      </w:r>
      <w:r w:rsidR="003D640C">
        <w:rPr>
          <w:rFonts w:ascii="Calibri" w:eastAsia="Calibri" w:hAnsi="Calibri" w:cs="Calibri"/>
        </w:rPr>
        <w:t xml:space="preserve"> </w:t>
      </w:r>
      <w:r w:rsidR="00040E0A">
        <w:rPr>
          <w:rFonts w:ascii="Calibri" w:eastAsia="Calibri" w:hAnsi="Calibri" w:cs="Calibri"/>
        </w:rPr>
        <w:t>eliminate</w:t>
      </w:r>
      <w:r w:rsidR="003D640C">
        <w:rPr>
          <w:rFonts w:ascii="Calibri" w:eastAsia="Calibri" w:hAnsi="Calibri" w:cs="Calibri"/>
        </w:rPr>
        <w:t xml:space="preserve"> </w:t>
      </w:r>
      <w:r w:rsidR="00040E0A">
        <w:rPr>
          <w:rFonts w:ascii="Calibri" w:eastAsia="Calibri" w:hAnsi="Calibri" w:cs="Calibri"/>
        </w:rPr>
        <w:t>conversion</w:t>
      </w:r>
      <w:r w:rsidR="003D640C">
        <w:rPr>
          <w:rFonts w:ascii="Calibri" w:eastAsia="Calibri" w:hAnsi="Calibri" w:cs="Calibri"/>
        </w:rPr>
        <w:t xml:space="preserve"> </w:t>
      </w:r>
      <w:r w:rsidR="00040E0A">
        <w:rPr>
          <w:rFonts w:ascii="Calibri" w:eastAsia="Calibri" w:hAnsi="Calibri" w:cs="Calibri"/>
        </w:rPr>
        <w:t>practices</w:t>
      </w:r>
      <w:r w:rsidR="003D640C">
        <w:rPr>
          <w:rFonts w:ascii="Calibri" w:eastAsia="Calibri" w:hAnsi="Calibri" w:cs="Calibri"/>
        </w:rPr>
        <w:t xml:space="preserve"> </w:t>
      </w:r>
      <w:r w:rsidR="00040E0A">
        <w:rPr>
          <w:rFonts w:ascii="Calibri" w:eastAsia="Calibri" w:hAnsi="Calibri" w:cs="Calibri"/>
        </w:rPr>
        <w:t>for</w:t>
      </w:r>
      <w:r w:rsidR="003D640C">
        <w:rPr>
          <w:rFonts w:ascii="Calibri" w:eastAsia="Calibri" w:hAnsi="Calibri" w:cs="Calibri"/>
        </w:rPr>
        <w:t xml:space="preserve"> </w:t>
      </w:r>
      <w:r w:rsidR="00040E0A">
        <w:rPr>
          <w:rFonts w:ascii="Calibri" w:eastAsia="Calibri" w:hAnsi="Calibri" w:cs="Calibri"/>
        </w:rPr>
        <w:t>good</w:t>
      </w:r>
      <w:r w:rsidR="003D640C">
        <w:rPr>
          <w:rFonts w:ascii="Calibri" w:eastAsia="Calibri" w:hAnsi="Calibri" w:cs="Calibri"/>
        </w:rPr>
        <w:t xml:space="preserve"> </w:t>
      </w:r>
      <w:r w:rsidR="0056057C">
        <w:rPr>
          <w:rFonts w:ascii="Calibri" w:eastAsia="Calibri" w:hAnsi="Calibri" w:cs="Calibri"/>
        </w:rPr>
        <w:t>and</w:t>
      </w:r>
      <w:r w:rsidR="003D640C">
        <w:rPr>
          <w:rFonts w:ascii="Calibri" w:eastAsia="Calibri" w:hAnsi="Calibri" w:cs="Calibri"/>
        </w:rPr>
        <w:t xml:space="preserve"> </w:t>
      </w:r>
      <w:r w:rsidR="0056057C">
        <w:rPr>
          <w:rFonts w:ascii="Calibri" w:eastAsia="Calibri" w:hAnsi="Calibri" w:cs="Calibri"/>
        </w:rPr>
        <w:t>who</w:t>
      </w:r>
      <w:r w:rsidR="003D640C">
        <w:rPr>
          <w:rFonts w:ascii="Calibri" w:eastAsia="Calibri" w:hAnsi="Calibri" w:cs="Calibri"/>
        </w:rPr>
        <w:t xml:space="preserve"> </w:t>
      </w:r>
      <w:r w:rsidR="0056057C">
        <w:rPr>
          <w:rFonts w:ascii="Calibri" w:eastAsia="Calibri" w:hAnsi="Calibri" w:cs="Calibri"/>
        </w:rPr>
        <w:t>has</w:t>
      </w:r>
      <w:r w:rsidR="003D640C">
        <w:rPr>
          <w:rFonts w:ascii="Calibri" w:eastAsia="Calibri" w:hAnsi="Calibri" w:cs="Calibri"/>
        </w:rPr>
        <w:t xml:space="preserve"> </w:t>
      </w:r>
      <w:r w:rsidR="0056057C">
        <w:rPr>
          <w:rFonts w:ascii="Calibri" w:eastAsia="Calibri" w:hAnsi="Calibri" w:cs="Calibri"/>
        </w:rPr>
        <w:t>the</w:t>
      </w:r>
      <w:r w:rsidR="003D640C">
        <w:rPr>
          <w:rFonts w:ascii="Calibri" w:eastAsia="Calibri" w:hAnsi="Calibri" w:cs="Calibri"/>
        </w:rPr>
        <w:t xml:space="preserve"> </w:t>
      </w:r>
      <w:r w:rsidR="0056057C">
        <w:rPr>
          <w:rFonts w:ascii="Calibri" w:eastAsia="Calibri" w:hAnsi="Calibri" w:cs="Calibri"/>
        </w:rPr>
        <w:t>power</w:t>
      </w:r>
      <w:r w:rsidR="003D640C">
        <w:rPr>
          <w:rFonts w:ascii="Calibri" w:eastAsia="Calibri" w:hAnsi="Calibri" w:cs="Calibri"/>
        </w:rPr>
        <w:t xml:space="preserve"> </w:t>
      </w:r>
      <w:r w:rsidR="0056057C">
        <w:rPr>
          <w:rFonts w:ascii="Calibri" w:eastAsia="Calibri" w:hAnsi="Calibri" w:cs="Calibri"/>
        </w:rPr>
        <w:t>to</w:t>
      </w:r>
      <w:r w:rsidR="003D640C">
        <w:rPr>
          <w:rFonts w:ascii="Calibri" w:eastAsia="Calibri" w:hAnsi="Calibri" w:cs="Calibri"/>
        </w:rPr>
        <w:t xml:space="preserve"> </w:t>
      </w:r>
      <w:r w:rsidR="0056057C">
        <w:rPr>
          <w:rFonts w:ascii="Calibri" w:eastAsia="Calibri" w:hAnsi="Calibri" w:cs="Calibri"/>
        </w:rPr>
        <w:t>change</w:t>
      </w:r>
      <w:r w:rsidR="003D640C">
        <w:rPr>
          <w:rFonts w:ascii="Calibri" w:eastAsia="Calibri" w:hAnsi="Calibri" w:cs="Calibri"/>
        </w:rPr>
        <w:t xml:space="preserve"> </w:t>
      </w:r>
      <w:r w:rsidR="0056057C">
        <w:rPr>
          <w:rFonts w:ascii="Calibri" w:eastAsia="Calibri" w:hAnsi="Calibri" w:cs="Calibri"/>
        </w:rPr>
        <w:t>them</w:t>
      </w:r>
      <w:r w:rsidR="00B117DF">
        <w:rPr>
          <w:rFonts w:ascii="Calibri" w:eastAsia="Calibri" w:hAnsi="Calibri" w:cs="Calibri"/>
        </w:rPr>
        <w:t>.</w:t>
      </w:r>
      <w:r w:rsidR="003D640C">
        <w:rPr>
          <w:rFonts w:ascii="Calibri" w:eastAsia="Calibri" w:hAnsi="Calibri" w:cs="Calibri"/>
        </w:rPr>
        <w:t xml:space="preserve"> </w:t>
      </w:r>
      <w:r w:rsidR="00B117DF">
        <w:rPr>
          <w:rFonts w:ascii="Calibri" w:eastAsia="Calibri" w:hAnsi="Calibri" w:cs="Calibri"/>
        </w:rPr>
        <w:t>They</w:t>
      </w:r>
      <w:r w:rsidR="003D640C">
        <w:rPr>
          <w:rFonts w:ascii="Calibri" w:eastAsia="Calibri" w:hAnsi="Calibri" w:cs="Calibri"/>
        </w:rPr>
        <w:t xml:space="preserve"> </w:t>
      </w:r>
      <w:r w:rsidR="00B117DF">
        <w:rPr>
          <w:rFonts w:ascii="Calibri" w:eastAsia="Calibri" w:hAnsi="Calibri" w:cs="Calibri"/>
        </w:rPr>
        <w:t>also</w:t>
      </w:r>
      <w:r w:rsidR="003D640C">
        <w:rPr>
          <w:rFonts w:ascii="Calibri" w:eastAsia="Calibri" w:hAnsi="Calibri" w:cs="Calibri"/>
        </w:rPr>
        <w:t xml:space="preserve"> </w:t>
      </w:r>
      <w:r w:rsidR="00B117DF">
        <w:rPr>
          <w:rFonts w:ascii="Calibri" w:eastAsia="Calibri" w:hAnsi="Calibri" w:cs="Calibri"/>
        </w:rPr>
        <w:t>identify</w:t>
      </w:r>
      <w:r w:rsidR="003D640C">
        <w:rPr>
          <w:rFonts w:ascii="Calibri" w:eastAsia="Calibri" w:hAnsi="Calibri" w:cs="Calibri"/>
        </w:rPr>
        <w:t xml:space="preserve"> </w:t>
      </w:r>
      <w:r w:rsidR="00B117DF">
        <w:rPr>
          <w:rFonts w:ascii="Calibri" w:eastAsia="Calibri" w:hAnsi="Calibri" w:cs="Calibri"/>
        </w:rPr>
        <w:t>the</w:t>
      </w:r>
      <w:r w:rsidR="003D640C">
        <w:rPr>
          <w:rFonts w:ascii="Calibri" w:eastAsia="Calibri" w:hAnsi="Calibri" w:cs="Calibri"/>
        </w:rPr>
        <w:t xml:space="preserve"> </w:t>
      </w:r>
      <w:r w:rsidR="00B117DF">
        <w:rPr>
          <w:rFonts w:ascii="Calibri" w:eastAsia="Calibri" w:hAnsi="Calibri" w:cs="Calibri"/>
        </w:rPr>
        <w:t>steps</w:t>
      </w:r>
      <w:r w:rsidR="003D640C">
        <w:rPr>
          <w:rFonts w:ascii="Calibri" w:eastAsia="Calibri" w:hAnsi="Calibri" w:cs="Calibri"/>
        </w:rPr>
        <w:t xml:space="preserve"> </w:t>
      </w:r>
      <w:r w:rsidR="00B117DF">
        <w:rPr>
          <w:rFonts w:ascii="Calibri" w:eastAsia="Calibri" w:hAnsi="Calibri" w:cs="Calibri"/>
        </w:rPr>
        <w:t>that</w:t>
      </w:r>
      <w:r w:rsidR="003D640C">
        <w:rPr>
          <w:rFonts w:ascii="Calibri" w:eastAsia="Calibri" w:hAnsi="Calibri" w:cs="Calibri"/>
        </w:rPr>
        <w:t xml:space="preserve"> </w:t>
      </w:r>
      <w:r w:rsidR="00B117DF">
        <w:rPr>
          <w:rFonts w:ascii="Calibri" w:eastAsia="Calibri" w:hAnsi="Calibri" w:cs="Calibri"/>
        </w:rPr>
        <w:t>need</w:t>
      </w:r>
      <w:r w:rsidR="003D640C">
        <w:rPr>
          <w:rFonts w:ascii="Calibri" w:eastAsia="Calibri" w:hAnsi="Calibri" w:cs="Calibri"/>
        </w:rPr>
        <w:t xml:space="preserve"> </w:t>
      </w:r>
      <w:r w:rsidR="00B117DF">
        <w:rPr>
          <w:rFonts w:ascii="Calibri" w:eastAsia="Calibri" w:hAnsi="Calibri" w:cs="Calibri"/>
        </w:rPr>
        <w:t>to</w:t>
      </w:r>
      <w:r w:rsidR="003D640C">
        <w:rPr>
          <w:rFonts w:ascii="Calibri" w:eastAsia="Calibri" w:hAnsi="Calibri" w:cs="Calibri"/>
        </w:rPr>
        <w:t xml:space="preserve"> </w:t>
      </w:r>
      <w:r w:rsidR="00B117DF">
        <w:rPr>
          <w:rFonts w:ascii="Calibri" w:eastAsia="Calibri" w:hAnsi="Calibri" w:cs="Calibri"/>
        </w:rPr>
        <w:t>be</w:t>
      </w:r>
      <w:r w:rsidR="003D640C">
        <w:rPr>
          <w:rFonts w:ascii="Calibri" w:eastAsia="Calibri" w:hAnsi="Calibri" w:cs="Calibri"/>
        </w:rPr>
        <w:t xml:space="preserve"> </w:t>
      </w:r>
      <w:r w:rsidR="00B117DF">
        <w:rPr>
          <w:rFonts w:ascii="Calibri" w:eastAsia="Calibri" w:hAnsi="Calibri" w:cs="Calibri"/>
        </w:rPr>
        <w:t>taken</w:t>
      </w:r>
      <w:r w:rsidR="003D640C">
        <w:rPr>
          <w:rFonts w:ascii="Calibri" w:eastAsia="Calibri" w:hAnsi="Calibri" w:cs="Calibri"/>
        </w:rPr>
        <w:t xml:space="preserve"> </w:t>
      </w:r>
      <w:r w:rsidR="00B117DF">
        <w:rPr>
          <w:rFonts w:ascii="Calibri" w:eastAsia="Calibri" w:hAnsi="Calibri" w:cs="Calibri"/>
        </w:rPr>
        <w:t>to</w:t>
      </w:r>
      <w:r w:rsidR="003D640C">
        <w:rPr>
          <w:rFonts w:ascii="Calibri" w:eastAsia="Calibri" w:hAnsi="Calibri" w:cs="Calibri"/>
        </w:rPr>
        <w:t xml:space="preserve"> </w:t>
      </w:r>
      <w:r w:rsidR="00B117DF">
        <w:rPr>
          <w:rFonts w:ascii="Calibri" w:eastAsia="Calibri" w:hAnsi="Calibri" w:cs="Calibri"/>
        </w:rPr>
        <w:t>ensure</w:t>
      </w:r>
      <w:r w:rsidR="003D640C">
        <w:rPr>
          <w:rFonts w:ascii="Calibri" w:eastAsia="Calibri" w:hAnsi="Calibri" w:cs="Calibri"/>
        </w:rPr>
        <w:t xml:space="preserve"> </w:t>
      </w:r>
      <w:r w:rsidR="00B117DF">
        <w:rPr>
          <w:rFonts w:ascii="Calibri" w:eastAsia="Calibri" w:hAnsi="Calibri" w:cs="Calibri"/>
        </w:rPr>
        <w:t>there</w:t>
      </w:r>
      <w:r w:rsidR="003D640C">
        <w:rPr>
          <w:rFonts w:ascii="Calibri" w:eastAsia="Calibri" w:hAnsi="Calibri" w:cs="Calibri"/>
        </w:rPr>
        <w:t xml:space="preserve"> </w:t>
      </w:r>
      <w:r w:rsidR="00B117DF">
        <w:rPr>
          <w:rFonts w:ascii="Calibri" w:eastAsia="Calibri" w:hAnsi="Calibri" w:cs="Calibri"/>
        </w:rPr>
        <w:t>are</w:t>
      </w:r>
      <w:r w:rsidR="003D640C">
        <w:rPr>
          <w:rFonts w:ascii="Calibri" w:eastAsia="Calibri" w:hAnsi="Calibri" w:cs="Calibri"/>
        </w:rPr>
        <w:t xml:space="preserve"> </w:t>
      </w:r>
      <w:r w:rsidR="00B117DF">
        <w:rPr>
          <w:rFonts w:ascii="Calibri" w:eastAsia="Calibri" w:hAnsi="Calibri" w:cs="Calibri"/>
        </w:rPr>
        <w:t>adequate</w:t>
      </w:r>
      <w:r w:rsidR="003D640C">
        <w:rPr>
          <w:rFonts w:ascii="Calibri" w:eastAsia="Calibri" w:hAnsi="Calibri" w:cs="Calibri"/>
        </w:rPr>
        <w:t xml:space="preserve"> </w:t>
      </w:r>
      <w:r w:rsidR="00B117DF">
        <w:rPr>
          <w:rFonts w:ascii="Calibri" w:eastAsia="Calibri" w:hAnsi="Calibri" w:cs="Calibri"/>
        </w:rPr>
        <w:t>supports</w:t>
      </w:r>
      <w:r w:rsidR="003D640C">
        <w:rPr>
          <w:rFonts w:ascii="Calibri" w:eastAsia="Calibri" w:hAnsi="Calibri" w:cs="Calibri"/>
        </w:rPr>
        <w:t xml:space="preserve"> </w:t>
      </w:r>
      <w:r w:rsidR="00B117DF">
        <w:rPr>
          <w:rFonts w:ascii="Calibri" w:eastAsia="Calibri" w:hAnsi="Calibri" w:cs="Calibri"/>
        </w:rPr>
        <w:t>in</w:t>
      </w:r>
      <w:r w:rsidR="003D640C">
        <w:rPr>
          <w:rFonts w:ascii="Calibri" w:eastAsia="Calibri" w:hAnsi="Calibri" w:cs="Calibri"/>
        </w:rPr>
        <w:t xml:space="preserve"> </w:t>
      </w:r>
      <w:r w:rsidR="00B117DF">
        <w:rPr>
          <w:rFonts w:ascii="Calibri" w:eastAsia="Calibri" w:hAnsi="Calibri" w:cs="Calibri"/>
        </w:rPr>
        <w:t>place</w:t>
      </w:r>
      <w:r w:rsidR="003D640C">
        <w:rPr>
          <w:rFonts w:ascii="Calibri" w:eastAsia="Calibri" w:hAnsi="Calibri" w:cs="Calibri"/>
        </w:rPr>
        <w:t xml:space="preserve"> </w:t>
      </w:r>
      <w:r w:rsidR="00B117DF">
        <w:rPr>
          <w:rFonts w:ascii="Calibri" w:eastAsia="Calibri" w:hAnsi="Calibri" w:cs="Calibri"/>
        </w:rPr>
        <w:t>to</w:t>
      </w:r>
      <w:r w:rsidR="003D640C">
        <w:rPr>
          <w:rFonts w:ascii="Calibri" w:eastAsia="Calibri" w:hAnsi="Calibri" w:cs="Calibri"/>
        </w:rPr>
        <w:t xml:space="preserve"> </w:t>
      </w:r>
      <w:r w:rsidR="00B117DF">
        <w:rPr>
          <w:rFonts w:ascii="Calibri" w:eastAsia="Calibri" w:hAnsi="Calibri" w:cs="Calibri"/>
        </w:rPr>
        <w:t>enable</w:t>
      </w:r>
      <w:r w:rsidR="003D640C">
        <w:rPr>
          <w:rFonts w:ascii="Calibri" w:eastAsia="Calibri" w:hAnsi="Calibri" w:cs="Calibri"/>
        </w:rPr>
        <w:t xml:space="preserve"> </w:t>
      </w:r>
      <w:r w:rsidR="00B117DF">
        <w:rPr>
          <w:rFonts w:ascii="Calibri" w:eastAsia="Calibri" w:hAnsi="Calibri" w:cs="Calibri"/>
        </w:rPr>
        <w:t>those</w:t>
      </w:r>
      <w:r w:rsidR="003D640C">
        <w:rPr>
          <w:rFonts w:ascii="Calibri" w:eastAsia="Calibri" w:hAnsi="Calibri" w:cs="Calibri"/>
        </w:rPr>
        <w:t xml:space="preserve"> </w:t>
      </w:r>
      <w:r w:rsidR="00B117DF">
        <w:rPr>
          <w:rFonts w:ascii="Calibri" w:eastAsia="Calibri" w:hAnsi="Calibri" w:cs="Calibri"/>
        </w:rPr>
        <w:t>who</w:t>
      </w:r>
      <w:r w:rsidR="003D640C">
        <w:rPr>
          <w:rFonts w:ascii="Calibri" w:eastAsia="Calibri" w:hAnsi="Calibri" w:cs="Calibri"/>
        </w:rPr>
        <w:t xml:space="preserve"> </w:t>
      </w:r>
      <w:r w:rsidR="00B117DF">
        <w:rPr>
          <w:rFonts w:ascii="Calibri" w:eastAsia="Calibri" w:hAnsi="Calibri" w:cs="Calibri"/>
        </w:rPr>
        <w:t>exit</w:t>
      </w:r>
      <w:r w:rsidR="003D640C">
        <w:rPr>
          <w:rFonts w:ascii="Calibri" w:eastAsia="Calibri" w:hAnsi="Calibri" w:cs="Calibri"/>
        </w:rPr>
        <w:t xml:space="preserve"> </w:t>
      </w:r>
      <w:r w:rsidR="00B117DF">
        <w:rPr>
          <w:rFonts w:ascii="Calibri" w:eastAsia="Calibri" w:hAnsi="Calibri" w:cs="Calibri"/>
        </w:rPr>
        <w:t>these</w:t>
      </w:r>
      <w:r w:rsidR="003D640C">
        <w:rPr>
          <w:rFonts w:ascii="Calibri" w:eastAsia="Calibri" w:hAnsi="Calibri" w:cs="Calibri"/>
        </w:rPr>
        <w:t xml:space="preserve"> </w:t>
      </w:r>
      <w:r w:rsidR="00B117DF">
        <w:rPr>
          <w:rFonts w:ascii="Calibri" w:eastAsia="Calibri" w:hAnsi="Calibri" w:cs="Calibri"/>
        </w:rPr>
        <w:t>practices</w:t>
      </w:r>
      <w:r w:rsidR="003D640C">
        <w:rPr>
          <w:rFonts w:ascii="Calibri" w:eastAsia="Calibri" w:hAnsi="Calibri" w:cs="Calibri"/>
        </w:rPr>
        <w:t xml:space="preserve"> </w:t>
      </w:r>
      <w:r w:rsidR="00B117DF">
        <w:rPr>
          <w:rFonts w:ascii="Calibri" w:eastAsia="Calibri" w:hAnsi="Calibri" w:cs="Calibri"/>
        </w:rPr>
        <w:t>to</w:t>
      </w:r>
      <w:r w:rsidR="003D640C">
        <w:rPr>
          <w:rFonts w:ascii="Calibri" w:eastAsia="Calibri" w:hAnsi="Calibri" w:cs="Calibri"/>
        </w:rPr>
        <w:t xml:space="preserve"> </w:t>
      </w:r>
      <w:r w:rsidR="00B117DF">
        <w:rPr>
          <w:rFonts w:ascii="Calibri" w:eastAsia="Calibri" w:hAnsi="Calibri" w:cs="Calibri"/>
        </w:rPr>
        <w:t>heal</w:t>
      </w:r>
      <w:r w:rsidR="00C80C0F">
        <w:rPr>
          <w:rFonts w:ascii="Calibri" w:eastAsia="Calibri" w:hAnsi="Calibri" w:cs="Calibri"/>
        </w:rPr>
        <w:t>.</w:t>
      </w:r>
      <w:r w:rsidR="003D640C">
        <w:rPr>
          <w:rFonts w:ascii="Calibri" w:eastAsia="Calibri" w:hAnsi="Calibri" w:cs="Calibri"/>
        </w:rPr>
        <w:t xml:space="preserve"> </w:t>
      </w:r>
    </w:p>
    <w:p w14:paraId="74A53092" w14:textId="6067A5AE" w:rsidR="00501068" w:rsidRDefault="170216F4" w:rsidP="009032B9">
      <w:pPr>
        <w:rPr>
          <w:rFonts w:ascii="Calibri" w:eastAsia="Calibri" w:hAnsi="Calibri" w:cs="Calibri"/>
        </w:rPr>
      </w:pPr>
      <w:r w:rsidRPr="30ECBFB6">
        <w:rPr>
          <w:rFonts w:ascii="Calibri" w:eastAsia="Calibri" w:hAnsi="Calibri" w:cs="Calibri"/>
        </w:rPr>
        <w:t>The</w:t>
      </w:r>
      <w:r w:rsidR="003D640C">
        <w:rPr>
          <w:rFonts w:ascii="Calibri" w:eastAsia="Calibri" w:hAnsi="Calibri" w:cs="Calibri"/>
        </w:rPr>
        <w:t xml:space="preserve"> </w:t>
      </w:r>
      <w:r w:rsidRPr="30ECBFB6">
        <w:rPr>
          <w:rFonts w:ascii="Calibri" w:eastAsia="Calibri" w:hAnsi="Calibri" w:cs="Calibri"/>
        </w:rPr>
        <w:t>burden</w:t>
      </w:r>
      <w:r w:rsidR="003D640C">
        <w:rPr>
          <w:rFonts w:ascii="Calibri" w:eastAsia="Calibri" w:hAnsi="Calibri" w:cs="Calibri"/>
        </w:rPr>
        <w:t xml:space="preserve"> </w:t>
      </w:r>
      <w:r w:rsidRPr="30ECBFB6">
        <w:rPr>
          <w:rFonts w:ascii="Calibri" w:eastAsia="Calibri" w:hAnsi="Calibri" w:cs="Calibri"/>
        </w:rPr>
        <w:t>of</w:t>
      </w:r>
      <w:r w:rsidR="003D640C">
        <w:rPr>
          <w:rFonts w:ascii="Calibri" w:eastAsia="Calibri" w:hAnsi="Calibri" w:cs="Calibri"/>
        </w:rPr>
        <w:t xml:space="preserve"> </w:t>
      </w:r>
      <w:r w:rsidRPr="30ECBFB6">
        <w:rPr>
          <w:rFonts w:ascii="Calibri" w:eastAsia="Calibri" w:hAnsi="Calibri" w:cs="Calibri"/>
        </w:rPr>
        <w:t>eliminating</w:t>
      </w:r>
      <w:r w:rsidR="003D640C">
        <w:rPr>
          <w:rFonts w:ascii="Calibri" w:eastAsia="Calibri" w:hAnsi="Calibri" w:cs="Calibri"/>
        </w:rPr>
        <w:t xml:space="preserve"> </w:t>
      </w:r>
      <w:r w:rsidRPr="30ECBFB6">
        <w:rPr>
          <w:rFonts w:ascii="Calibri" w:eastAsia="Calibri" w:hAnsi="Calibri" w:cs="Calibri"/>
        </w:rPr>
        <w:t>conversion</w:t>
      </w:r>
      <w:r w:rsidR="003D640C">
        <w:rPr>
          <w:rFonts w:ascii="Calibri" w:eastAsia="Calibri" w:hAnsi="Calibri" w:cs="Calibri"/>
        </w:rPr>
        <w:t xml:space="preserve"> </w:t>
      </w:r>
      <w:r w:rsidRPr="30ECBFB6">
        <w:rPr>
          <w:rFonts w:ascii="Calibri" w:eastAsia="Calibri" w:hAnsi="Calibri" w:cs="Calibri"/>
        </w:rPr>
        <w:t>practices</w:t>
      </w:r>
      <w:r w:rsidR="003D640C">
        <w:rPr>
          <w:rFonts w:ascii="Calibri" w:eastAsia="Calibri" w:hAnsi="Calibri" w:cs="Calibri"/>
        </w:rPr>
        <w:t xml:space="preserve"> </w:t>
      </w:r>
      <w:r w:rsidRPr="30ECBFB6">
        <w:rPr>
          <w:rFonts w:ascii="Calibri" w:eastAsia="Calibri" w:hAnsi="Calibri" w:cs="Calibri"/>
        </w:rPr>
        <w:t>should</w:t>
      </w:r>
      <w:r w:rsidR="003D640C">
        <w:rPr>
          <w:rFonts w:ascii="Calibri" w:eastAsia="Calibri" w:hAnsi="Calibri" w:cs="Calibri"/>
        </w:rPr>
        <w:t xml:space="preserve"> </w:t>
      </w:r>
      <w:r w:rsidRPr="30ECBFB6">
        <w:rPr>
          <w:rFonts w:ascii="Calibri" w:eastAsia="Calibri" w:hAnsi="Calibri" w:cs="Calibri"/>
        </w:rPr>
        <w:t>not</w:t>
      </w:r>
      <w:r w:rsidR="003D640C">
        <w:rPr>
          <w:rFonts w:ascii="Calibri" w:eastAsia="Calibri" w:hAnsi="Calibri" w:cs="Calibri"/>
        </w:rPr>
        <w:t xml:space="preserve"> </w:t>
      </w:r>
      <w:r w:rsidRPr="30ECBFB6">
        <w:rPr>
          <w:rFonts w:ascii="Calibri" w:eastAsia="Calibri" w:hAnsi="Calibri" w:cs="Calibri"/>
        </w:rPr>
        <w:t>rest</w:t>
      </w:r>
      <w:r w:rsidR="003D640C">
        <w:rPr>
          <w:rFonts w:ascii="Calibri" w:eastAsia="Calibri" w:hAnsi="Calibri" w:cs="Calibri"/>
        </w:rPr>
        <w:t xml:space="preserve"> </w:t>
      </w:r>
      <w:r w:rsidRPr="30ECBFB6">
        <w:rPr>
          <w:rFonts w:ascii="Calibri" w:eastAsia="Calibri" w:hAnsi="Calibri" w:cs="Calibri"/>
        </w:rPr>
        <w:t>on</w:t>
      </w:r>
      <w:r w:rsidR="003D640C">
        <w:rPr>
          <w:rFonts w:ascii="Calibri" w:eastAsia="Calibri" w:hAnsi="Calibri" w:cs="Calibri"/>
        </w:rPr>
        <w:t xml:space="preserve"> </w:t>
      </w:r>
      <w:r w:rsidRPr="30ECBFB6">
        <w:rPr>
          <w:rFonts w:ascii="Calibri" w:eastAsia="Calibri" w:hAnsi="Calibri" w:cs="Calibri"/>
        </w:rPr>
        <w:t>those</w:t>
      </w:r>
      <w:r w:rsidR="003D640C">
        <w:rPr>
          <w:rFonts w:ascii="Calibri" w:eastAsia="Calibri" w:hAnsi="Calibri" w:cs="Calibri"/>
        </w:rPr>
        <w:t xml:space="preserve"> </w:t>
      </w:r>
      <w:r w:rsidRPr="30ECBFB6">
        <w:rPr>
          <w:rFonts w:ascii="Calibri" w:eastAsia="Calibri" w:hAnsi="Calibri" w:cs="Calibri"/>
        </w:rPr>
        <w:t>who</w:t>
      </w:r>
      <w:r w:rsidR="003D640C">
        <w:rPr>
          <w:rFonts w:ascii="Calibri" w:eastAsia="Calibri" w:hAnsi="Calibri" w:cs="Calibri"/>
        </w:rPr>
        <w:t xml:space="preserve"> </w:t>
      </w:r>
      <w:r w:rsidRPr="30ECBFB6">
        <w:rPr>
          <w:rFonts w:ascii="Calibri" w:eastAsia="Calibri" w:hAnsi="Calibri" w:cs="Calibri"/>
        </w:rPr>
        <w:t>have</w:t>
      </w:r>
      <w:r w:rsidR="003D640C">
        <w:rPr>
          <w:rFonts w:ascii="Calibri" w:eastAsia="Calibri" w:hAnsi="Calibri" w:cs="Calibri"/>
        </w:rPr>
        <w:t xml:space="preserve"> </w:t>
      </w:r>
      <w:r w:rsidRPr="30ECBFB6">
        <w:rPr>
          <w:rFonts w:ascii="Calibri" w:eastAsia="Calibri" w:hAnsi="Calibri" w:cs="Calibri"/>
        </w:rPr>
        <w:t>experienced</w:t>
      </w:r>
      <w:r w:rsidR="003D640C">
        <w:rPr>
          <w:rFonts w:ascii="Calibri" w:eastAsia="Calibri" w:hAnsi="Calibri" w:cs="Calibri"/>
        </w:rPr>
        <w:t xml:space="preserve"> </w:t>
      </w:r>
      <w:r w:rsidRPr="30ECBFB6">
        <w:rPr>
          <w:rFonts w:ascii="Calibri" w:eastAsia="Calibri" w:hAnsi="Calibri" w:cs="Calibri"/>
        </w:rPr>
        <w:t>them.</w:t>
      </w:r>
      <w:r w:rsidR="003D640C">
        <w:rPr>
          <w:rFonts w:ascii="Calibri" w:eastAsia="Calibri" w:hAnsi="Calibri" w:cs="Calibri"/>
        </w:rPr>
        <w:t xml:space="preserve"> </w:t>
      </w:r>
      <w:r w:rsidRPr="30ECBFB6">
        <w:rPr>
          <w:rFonts w:ascii="Calibri" w:eastAsia="Calibri" w:hAnsi="Calibri" w:cs="Calibri"/>
        </w:rPr>
        <w:t>To</w:t>
      </w:r>
      <w:r w:rsidR="003D640C">
        <w:rPr>
          <w:rFonts w:ascii="Calibri" w:eastAsia="Calibri" w:hAnsi="Calibri" w:cs="Calibri"/>
        </w:rPr>
        <w:t xml:space="preserve"> </w:t>
      </w:r>
      <w:r w:rsidRPr="30ECBFB6">
        <w:rPr>
          <w:rFonts w:ascii="Calibri" w:eastAsia="Calibri" w:hAnsi="Calibri" w:cs="Calibri"/>
        </w:rPr>
        <w:t>end</w:t>
      </w:r>
      <w:r w:rsidR="003D640C">
        <w:rPr>
          <w:rFonts w:ascii="Calibri" w:eastAsia="Calibri" w:hAnsi="Calibri" w:cs="Calibri"/>
        </w:rPr>
        <w:t xml:space="preserve"> </w:t>
      </w:r>
      <w:r w:rsidRPr="30ECBFB6">
        <w:rPr>
          <w:rFonts w:ascii="Calibri" w:eastAsia="Calibri" w:hAnsi="Calibri" w:cs="Calibri"/>
        </w:rPr>
        <w:t>conversion</w:t>
      </w:r>
      <w:r w:rsidR="003D640C">
        <w:rPr>
          <w:rFonts w:ascii="Calibri" w:eastAsia="Calibri" w:hAnsi="Calibri" w:cs="Calibri"/>
        </w:rPr>
        <w:t xml:space="preserve"> </w:t>
      </w:r>
      <w:r w:rsidRPr="30ECBFB6">
        <w:rPr>
          <w:rFonts w:ascii="Calibri" w:eastAsia="Calibri" w:hAnsi="Calibri" w:cs="Calibri"/>
        </w:rPr>
        <w:t>practices,</w:t>
      </w:r>
      <w:r w:rsidR="003D640C">
        <w:rPr>
          <w:rFonts w:ascii="Calibri" w:eastAsia="Calibri" w:hAnsi="Calibri" w:cs="Calibri"/>
        </w:rPr>
        <w:t xml:space="preserve"> </w:t>
      </w:r>
      <w:r w:rsidRPr="30ECBFB6">
        <w:rPr>
          <w:rFonts w:ascii="Calibri" w:eastAsia="Calibri" w:hAnsi="Calibri" w:cs="Calibri"/>
        </w:rPr>
        <w:t>we</w:t>
      </w:r>
      <w:r w:rsidR="003D640C">
        <w:rPr>
          <w:rFonts w:ascii="Calibri" w:eastAsia="Calibri" w:hAnsi="Calibri" w:cs="Calibri"/>
        </w:rPr>
        <w:t xml:space="preserve"> </w:t>
      </w:r>
      <w:r w:rsidRPr="30ECBFB6">
        <w:rPr>
          <w:rFonts w:ascii="Calibri" w:eastAsia="Calibri" w:hAnsi="Calibri" w:cs="Calibri"/>
        </w:rPr>
        <w:t>need</w:t>
      </w:r>
      <w:r w:rsidR="003D640C">
        <w:rPr>
          <w:rFonts w:ascii="Calibri" w:eastAsia="Calibri" w:hAnsi="Calibri" w:cs="Calibri"/>
        </w:rPr>
        <w:t xml:space="preserve"> </w:t>
      </w:r>
      <w:r w:rsidRPr="30ECBFB6">
        <w:rPr>
          <w:rFonts w:ascii="Calibri" w:eastAsia="Calibri" w:hAnsi="Calibri" w:cs="Calibri"/>
        </w:rPr>
        <w:t>to</w:t>
      </w:r>
      <w:r w:rsidR="003D640C">
        <w:rPr>
          <w:rFonts w:ascii="Calibri" w:eastAsia="Calibri" w:hAnsi="Calibri" w:cs="Calibri"/>
        </w:rPr>
        <w:t xml:space="preserve"> </w:t>
      </w:r>
      <w:r w:rsidR="123133FC" w:rsidRPr="30ECBFB6">
        <w:rPr>
          <w:rFonts w:ascii="Calibri" w:eastAsia="Calibri" w:hAnsi="Calibri" w:cs="Calibri"/>
        </w:rPr>
        <w:t>shift</w:t>
      </w:r>
      <w:r w:rsidR="003D640C">
        <w:rPr>
          <w:rFonts w:ascii="Calibri" w:eastAsia="Calibri" w:hAnsi="Calibri" w:cs="Calibri"/>
        </w:rPr>
        <w:t xml:space="preserve"> </w:t>
      </w:r>
      <w:r w:rsidR="123133FC" w:rsidRPr="30ECBFB6">
        <w:rPr>
          <w:rFonts w:ascii="Calibri" w:eastAsia="Calibri" w:hAnsi="Calibri" w:cs="Calibri"/>
        </w:rPr>
        <w:t>the</w:t>
      </w:r>
      <w:r w:rsidR="003D640C">
        <w:rPr>
          <w:rFonts w:ascii="Calibri" w:eastAsia="Calibri" w:hAnsi="Calibri" w:cs="Calibri"/>
        </w:rPr>
        <w:t xml:space="preserve"> </w:t>
      </w:r>
      <w:r w:rsidR="123133FC" w:rsidRPr="30ECBFB6">
        <w:rPr>
          <w:rFonts w:ascii="Calibri" w:eastAsia="Calibri" w:hAnsi="Calibri" w:cs="Calibri"/>
        </w:rPr>
        <w:t>harmful</w:t>
      </w:r>
      <w:r w:rsidR="003D640C">
        <w:rPr>
          <w:rFonts w:ascii="Calibri" w:eastAsia="Calibri" w:hAnsi="Calibri" w:cs="Calibri"/>
        </w:rPr>
        <w:t xml:space="preserve"> </w:t>
      </w:r>
      <w:r w:rsidR="123133FC" w:rsidRPr="30ECBFB6">
        <w:rPr>
          <w:rFonts w:ascii="Calibri" w:eastAsia="Calibri" w:hAnsi="Calibri" w:cs="Calibri"/>
        </w:rPr>
        <w:t>ideologies</w:t>
      </w:r>
      <w:r w:rsidR="003D640C">
        <w:rPr>
          <w:rFonts w:ascii="Calibri" w:eastAsia="Calibri" w:hAnsi="Calibri" w:cs="Calibri"/>
        </w:rPr>
        <w:t xml:space="preserve"> </w:t>
      </w:r>
      <w:r w:rsidR="123133FC" w:rsidRPr="30ECBFB6">
        <w:rPr>
          <w:rFonts w:ascii="Calibri" w:eastAsia="Calibri" w:hAnsi="Calibri" w:cs="Calibri"/>
        </w:rPr>
        <w:t>that</w:t>
      </w:r>
      <w:r w:rsidR="003D640C">
        <w:rPr>
          <w:rFonts w:ascii="Calibri" w:eastAsia="Calibri" w:hAnsi="Calibri" w:cs="Calibri"/>
        </w:rPr>
        <w:t xml:space="preserve"> </w:t>
      </w:r>
      <w:r w:rsidR="123133FC" w:rsidRPr="30ECBFB6">
        <w:rPr>
          <w:rFonts w:ascii="Calibri" w:eastAsia="Calibri" w:hAnsi="Calibri" w:cs="Calibri"/>
        </w:rPr>
        <w:t>enable</w:t>
      </w:r>
      <w:r w:rsidR="003D640C">
        <w:rPr>
          <w:rFonts w:ascii="Calibri" w:eastAsia="Calibri" w:hAnsi="Calibri" w:cs="Calibri"/>
        </w:rPr>
        <w:t xml:space="preserve"> </w:t>
      </w:r>
      <w:r w:rsidR="123133FC" w:rsidRPr="30ECBFB6">
        <w:rPr>
          <w:rFonts w:ascii="Calibri" w:eastAsia="Calibri" w:hAnsi="Calibri" w:cs="Calibri"/>
        </w:rPr>
        <w:t>them</w:t>
      </w:r>
      <w:r w:rsidR="2A1C32F4" w:rsidRPr="30ECBFB6">
        <w:rPr>
          <w:rFonts w:ascii="Calibri" w:eastAsia="Calibri" w:hAnsi="Calibri" w:cs="Calibri"/>
        </w:rPr>
        <w:t>,</w:t>
      </w:r>
      <w:r w:rsidR="003D640C">
        <w:rPr>
          <w:rFonts w:ascii="Calibri" w:eastAsia="Calibri" w:hAnsi="Calibri" w:cs="Calibri"/>
        </w:rPr>
        <w:t xml:space="preserve"> </w:t>
      </w:r>
      <w:r w:rsidR="2A1C32F4" w:rsidRPr="30ECBFB6">
        <w:rPr>
          <w:rFonts w:ascii="Calibri" w:eastAsia="Calibri" w:hAnsi="Calibri" w:cs="Calibri"/>
        </w:rPr>
        <w:t>while</w:t>
      </w:r>
      <w:r w:rsidR="003D640C">
        <w:rPr>
          <w:rFonts w:ascii="Calibri" w:eastAsia="Calibri" w:hAnsi="Calibri" w:cs="Calibri"/>
        </w:rPr>
        <w:t xml:space="preserve"> </w:t>
      </w:r>
      <w:r w:rsidR="2A1C32F4" w:rsidRPr="30ECBFB6">
        <w:rPr>
          <w:rFonts w:ascii="Calibri" w:eastAsia="Calibri" w:hAnsi="Calibri" w:cs="Calibri"/>
        </w:rPr>
        <w:t>still</w:t>
      </w:r>
      <w:r w:rsidR="003D640C">
        <w:rPr>
          <w:rFonts w:ascii="Calibri" w:eastAsia="Calibri" w:hAnsi="Calibri" w:cs="Calibri"/>
        </w:rPr>
        <w:t xml:space="preserve"> </w:t>
      </w:r>
      <w:r w:rsidR="2A1C32F4" w:rsidRPr="30ECBFB6">
        <w:rPr>
          <w:rFonts w:ascii="Calibri" w:eastAsia="Calibri" w:hAnsi="Calibri" w:cs="Calibri"/>
        </w:rPr>
        <w:t>respecting</w:t>
      </w:r>
      <w:r w:rsidR="003D640C">
        <w:rPr>
          <w:rFonts w:ascii="Calibri" w:eastAsia="Calibri" w:hAnsi="Calibri" w:cs="Calibri"/>
        </w:rPr>
        <w:t xml:space="preserve"> </w:t>
      </w:r>
      <w:r w:rsidR="04708544" w:rsidRPr="30ECBFB6">
        <w:rPr>
          <w:rFonts w:ascii="Calibri" w:eastAsia="Calibri" w:hAnsi="Calibri" w:cs="Calibri"/>
        </w:rPr>
        <w:t>the</w:t>
      </w:r>
      <w:r w:rsidR="003D640C">
        <w:rPr>
          <w:rFonts w:ascii="Calibri" w:eastAsia="Calibri" w:hAnsi="Calibri" w:cs="Calibri"/>
        </w:rPr>
        <w:t xml:space="preserve"> </w:t>
      </w:r>
      <w:r w:rsidR="04708544" w:rsidRPr="30ECBFB6">
        <w:rPr>
          <w:rFonts w:ascii="Calibri" w:eastAsia="Calibri" w:hAnsi="Calibri" w:cs="Calibri"/>
        </w:rPr>
        <w:t>right</w:t>
      </w:r>
      <w:r w:rsidR="003D640C">
        <w:rPr>
          <w:rFonts w:ascii="Calibri" w:eastAsia="Calibri" w:hAnsi="Calibri" w:cs="Calibri"/>
        </w:rPr>
        <w:t xml:space="preserve"> </w:t>
      </w:r>
      <w:r w:rsidR="04708544" w:rsidRPr="30ECBFB6">
        <w:rPr>
          <w:rFonts w:ascii="Calibri" w:eastAsia="Calibri" w:hAnsi="Calibri" w:cs="Calibri"/>
        </w:rPr>
        <w:t>to</w:t>
      </w:r>
      <w:r w:rsidR="003D640C">
        <w:rPr>
          <w:rFonts w:ascii="Calibri" w:eastAsia="Calibri" w:hAnsi="Calibri" w:cs="Calibri"/>
        </w:rPr>
        <w:t xml:space="preserve"> </w:t>
      </w:r>
      <w:r w:rsidR="04708544" w:rsidRPr="30ECBFB6">
        <w:rPr>
          <w:rFonts w:ascii="Calibri" w:eastAsia="Calibri" w:hAnsi="Calibri" w:cs="Calibri"/>
        </w:rPr>
        <w:t>freedom</w:t>
      </w:r>
      <w:r w:rsidR="003D640C">
        <w:rPr>
          <w:rFonts w:ascii="Calibri" w:eastAsia="Calibri" w:hAnsi="Calibri" w:cs="Calibri"/>
        </w:rPr>
        <w:t xml:space="preserve"> </w:t>
      </w:r>
      <w:r w:rsidR="04708544" w:rsidRPr="30ECBFB6">
        <w:rPr>
          <w:rFonts w:ascii="Calibri" w:eastAsia="Calibri" w:hAnsi="Calibri" w:cs="Calibri"/>
        </w:rPr>
        <w:t>of</w:t>
      </w:r>
      <w:r w:rsidR="003D640C">
        <w:rPr>
          <w:rFonts w:ascii="Calibri" w:eastAsia="Calibri" w:hAnsi="Calibri" w:cs="Calibri"/>
        </w:rPr>
        <w:t xml:space="preserve"> </w:t>
      </w:r>
      <w:r w:rsidR="04708544" w:rsidRPr="30ECBFB6">
        <w:rPr>
          <w:rFonts w:ascii="Calibri" w:eastAsia="Calibri" w:hAnsi="Calibri" w:cs="Calibri"/>
        </w:rPr>
        <w:t>religion</w:t>
      </w:r>
      <w:r w:rsidR="003D640C">
        <w:rPr>
          <w:rFonts w:ascii="Calibri" w:eastAsia="Calibri" w:hAnsi="Calibri" w:cs="Calibri"/>
        </w:rPr>
        <w:t xml:space="preserve"> </w:t>
      </w:r>
      <w:r w:rsidR="04708544" w:rsidRPr="30ECBFB6">
        <w:rPr>
          <w:rFonts w:ascii="Calibri" w:eastAsia="Calibri" w:hAnsi="Calibri" w:cs="Calibri"/>
        </w:rPr>
        <w:t>and</w:t>
      </w:r>
      <w:r w:rsidR="003D640C">
        <w:rPr>
          <w:rFonts w:ascii="Calibri" w:eastAsia="Calibri" w:hAnsi="Calibri" w:cs="Calibri"/>
        </w:rPr>
        <w:t xml:space="preserve"> </w:t>
      </w:r>
      <w:r w:rsidR="04708544" w:rsidRPr="30ECBFB6">
        <w:rPr>
          <w:rFonts w:ascii="Calibri" w:eastAsia="Calibri" w:hAnsi="Calibri" w:cs="Calibri"/>
        </w:rPr>
        <w:t>belief,</w:t>
      </w:r>
      <w:r w:rsidR="003D640C">
        <w:rPr>
          <w:rFonts w:ascii="Calibri" w:eastAsia="Calibri" w:hAnsi="Calibri" w:cs="Calibri"/>
        </w:rPr>
        <w:t xml:space="preserve"> </w:t>
      </w:r>
      <w:r w:rsidR="04708544" w:rsidRPr="30ECBFB6">
        <w:rPr>
          <w:rFonts w:ascii="Calibri" w:eastAsia="Calibri" w:hAnsi="Calibri" w:cs="Calibri"/>
        </w:rPr>
        <w:t>and</w:t>
      </w:r>
      <w:r w:rsidR="003D640C">
        <w:rPr>
          <w:rFonts w:ascii="Calibri" w:eastAsia="Calibri" w:hAnsi="Calibri" w:cs="Calibri"/>
        </w:rPr>
        <w:t xml:space="preserve"> </w:t>
      </w:r>
      <w:r w:rsidRPr="30ECBFB6">
        <w:rPr>
          <w:rFonts w:ascii="Calibri" w:eastAsia="Calibri" w:hAnsi="Calibri" w:cs="Calibri"/>
        </w:rPr>
        <w:t>actively</w:t>
      </w:r>
      <w:r w:rsidR="003D640C">
        <w:rPr>
          <w:rFonts w:ascii="Calibri" w:eastAsia="Calibri" w:hAnsi="Calibri" w:cs="Calibri"/>
        </w:rPr>
        <w:t xml:space="preserve"> </w:t>
      </w:r>
      <w:r w:rsidRPr="30ECBFB6">
        <w:rPr>
          <w:rFonts w:ascii="Calibri" w:eastAsia="Calibri" w:hAnsi="Calibri" w:cs="Calibri"/>
        </w:rPr>
        <w:t>build</w:t>
      </w:r>
      <w:r w:rsidR="003D640C">
        <w:rPr>
          <w:rFonts w:ascii="Calibri" w:eastAsia="Calibri" w:hAnsi="Calibri" w:cs="Calibri"/>
        </w:rPr>
        <w:t xml:space="preserve"> </w:t>
      </w:r>
      <w:r w:rsidRPr="30ECBFB6">
        <w:rPr>
          <w:rFonts w:ascii="Calibri" w:eastAsia="Calibri" w:hAnsi="Calibri" w:cs="Calibri"/>
        </w:rPr>
        <w:t>an</w:t>
      </w:r>
      <w:r w:rsidR="003D640C">
        <w:rPr>
          <w:rFonts w:ascii="Calibri" w:eastAsia="Calibri" w:hAnsi="Calibri" w:cs="Calibri"/>
        </w:rPr>
        <w:t xml:space="preserve"> </w:t>
      </w:r>
      <w:r w:rsidRPr="30ECBFB6">
        <w:rPr>
          <w:rFonts w:ascii="Calibri" w:eastAsia="Calibri" w:hAnsi="Calibri" w:cs="Calibri"/>
        </w:rPr>
        <w:t>inclusive</w:t>
      </w:r>
      <w:r w:rsidR="003D640C">
        <w:rPr>
          <w:rFonts w:ascii="Calibri" w:eastAsia="Calibri" w:hAnsi="Calibri" w:cs="Calibri"/>
        </w:rPr>
        <w:t xml:space="preserve"> </w:t>
      </w:r>
      <w:r w:rsidRPr="30ECBFB6">
        <w:rPr>
          <w:rFonts w:ascii="Calibri" w:eastAsia="Calibri" w:hAnsi="Calibri" w:cs="Calibri"/>
        </w:rPr>
        <w:t>society</w:t>
      </w:r>
      <w:r w:rsidR="003D640C">
        <w:rPr>
          <w:rFonts w:ascii="Calibri" w:eastAsia="Calibri" w:hAnsi="Calibri" w:cs="Calibri"/>
        </w:rPr>
        <w:t xml:space="preserve"> </w:t>
      </w:r>
      <w:r w:rsidR="0000681A">
        <w:rPr>
          <w:rFonts w:ascii="Calibri" w:eastAsia="Calibri" w:hAnsi="Calibri" w:cs="Calibri"/>
        </w:rPr>
        <w:t xml:space="preserve">that </w:t>
      </w:r>
      <w:r w:rsidRPr="30ECBFB6">
        <w:rPr>
          <w:rFonts w:ascii="Calibri" w:eastAsia="Calibri" w:hAnsi="Calibri" w:cs="Calibri"/>
        </w:rPr>
        <w:t>values</w:t>
      </w:r>
      <w:r w:rsidR="003D640C">
        <w:rPr>
          <w:rFonts w:ascii="Calibri" w:eastAsia="Calibri" w:hAnsi="Calibri" w:cs="Calibri"/>
        </w:rPr>
        <w:t xml:space="preserve"> </w:t>
      </w:r>
      <w:r w:rsidRPr="30ECBFB6">
        <w:rPr>
          <w:rFonts w:ascii="Calibri" w:eastAsia="Calibri" w:hAnsi="Calibri" w:cs="Calibri"/>
        </w:rPr>
        <w:t>and</w:t>
      </w:r>
      <w:r w:rsidR="003D640C">
        <w:rPr>
          <w:rFonts w:ascii="Calibri" w:eastAsia="Calibri" w:hAnsi="Calibri" w:cs="Calibri"/>
        </w:rPr>
        <w:t xml:space="preserve"> </w:t>
      </w:r>
      <w:r w:rsidRPr="30ECBFB6">
        <w:rPr>
          <w:rFonts w:ascii="Calibri" w:eastAsia="Calibri" w:hAnsi="Calibri" w:cs="Calibri"/>
        </w:rPr>
        <w:t>protects</w:t>
      </w:r>
      <w:r w:rsidR="003D640C">
        <w:rPr>
          <w:rFonts w:ascii="Calibri" w:eastAsia="Calibri" w:hAnsi="Calibri" w:cs="Calibri"/>
        </w:rPr>
        <w:t xml:space="preserve"> </w:t>
      </w:r>
      <w:r w:rsidRPr="30ECBFB6">
        <w:rPr>
          <w:rFonts w:ascii="Calibri" w:eastAsia="Calibri" w:hAnsi="Calibri" w:cs="Calibri"/>
        </w:rPr>
        <w:t>all</w:t>
      </w:r>
      <w:r w:rsidR="003D640C">
        <w:rPr>
          <w:rFonts w:ascii="Calibri" w:eastAsia="Calibri" w:hAnsi="Calibri" w:cs="Calibri"/>
        </w:rPr>
        <w:t xml:space="preserve"> </w:t>
      </w:r>
      <w:r w:rsidRPr="30ECBFB6">
        <w:rPr>
          <w:rFonts w:ascii="Calibri" w:eastAsia="Calibri" w:hAnsi="Calibri" w:cs="Calibri"/>
        </w:rPr>
        <w:t>Rainbow</w:t>
      </w:r>
      <w:r w:rsidR="003D640C">
        <w:rPr>
          <w:rFonts w:ascii="Calibri" w:eastAsia="Calibri" w:hAnsi="Calibri" w:cs="Calibri"/>
        </w:rPr>
        <w:t xml:space="preserve"> </w:t>
      </w:r>
      <w:r w:rsidRPr="30ECBFB6">
        <w:rPr>
          <w:rFonts w:ascii="Calibri" w:eastAsia="Calibri" w:hAnsi="Calibri" w:cs="Calibri"/>
        </w:rPr>
        <w:t>people.</w:t>
      </w:r>
      <w:r w:rsidR="003D640C">
        <w:rPr>
          <w:rFonts w:ascii="Calibri" w:eastAsia="Calibri" w:hAnsi="Calibri" w:cs="Calibri"/>
        </w:rPr>
        <w:t xml:space="preserve"> </w:t>
      </w:r>
      <w:r w:rsidRPr="30ECBFB6">
        <w:rPr>
          <w:rFonts w:ascii="Calibri" w:eastAsia="Calibri" w:hAnsi="Calibri" w:cs="Calibri"/>
        </w:rPr>
        <w:t>An</w:t>
      </w:r>
      <w:r w:rsidR="003D640C">
        <w:rPr>
          <w:rFonts w:ascii="Calibri" w:eastAsia="Calibri" w:hAnsi="Calibri" w:cs="Calibri"/>
        </w:rPr>
        <w:t xml:space="preserve"> </w:t>
      </w:r>
      <w:r w:rsidRPr="30ECBFB6">
        <w:rPr>
          <w:rFonts w:ascii="Calibri" w:eastAsia="Calibri" w:hAnsi="Calibri" w:cs="Calibri"/>
        </w:rPr>
        <w:t>all</w:t>
      </w:r>
      <w:r w:rsidR="0000681A">
        <w:rPr>
          <w:rFonts w:ascii="Calibri" w:eastAsia="Calibri" w:hAnsi="Calibri" w:cs="Calibri"/>
        </w:rPr>
        <w:t>-</w:t>
      </w:r>
      <w:r w:rsidRPr="30ECBFB6">
        <w:rPr>
          <w:rFonts w:ascii="Calibri" w:eastAsia="Calibri" w:hAnsi="Calibri" w:cs="Calibri"/>
        </w:rPr>
        <w:t>of</w:t>
      </w:r>
      <w:r w:rsidR="0000681A">
        <w:rPr>
          <w:rFonts w:ascii="Calibri" w:eastAsia="Calibri" w:hAnsi="Calibri" w:cs="Calibri"/>
        </w:rPr>
        <w:t>-</w:t>
      </w:r>
      <w:r w:rsidRPr="30ECBFB6">
        <w:rPr>
          <w:rFonts w:ascii="Calibri" w:eastAsia="Calibri" w:hAnsi="Calibri" w:cs="Calibri"/>
        </w:rPr>
        <w:t>society</w:t>
      </w:r>
      <w:r w:rsidR="003D640C">
        <w:rPr>
          <w:rFonts w:ascii="Calibri" w:eastAsia="Calibri" w:hAnsi="Calibri" w:cs="Calibri"/>
        </w:rPr>
        <w:t xml:space="preserve"> </w:t>
      </w:r>
      <w:r w:rsidRPr="30ECBFB6">
        <w:rPr>
          <w:rFonts w:ascii="Calibri" w:eastAsia="Calibri" w:hAnsi="Calibri" w:cs="Calibri"/>
        </w:rPr>
        <w:t>approach</w:t>
      </w:r>
      <w:r w:rsidR="003D640C">
        <w:rPr>
          <w:rFonts w:ascii="Calibri" w:eastAsia="Calibri" w:hAnsi="Calibri" w:cs="Calibri"/>
        </w:rPr>
        <w:t xml:space="preserve"> </w:t>
      </w:r>
      <w:r w:rsidRPr="30ECBFB6">
        <w:rPr>
          <w:rFonts w:ascii="Calibri" w:eastAsia="Calibri" w:hAnsi="Calibri" w:cs="Calibri"/>
        </w:rPr>
        <w:t>is</w:t>
      </w:r>
      <w:r w:rsidR="003D640C">
        <w:rPr>
          <w:rFonts w:ascii="Calibri" w:eastAsia="Calibri" w:hAnsi="Calibri" w:cs="Calibri"/>
        </w:rPr>
        <w:t xml:space="preserve"> </w:t>
      </w:r>
      <w:r w:rsidRPr="30ECBFB6">
        <w:rPr>
          <w:rFonts w:ascii="Calibri" w:eastAsia="Calibri" w:hAnsi="Calibri" w:cs="Calibri"/>
        </w:rPr>
        <w:t>necessary</w:t>
      </w:r>
      <w:r w:rsidR="003D640C">
        <w:rPr>
          <w:rFonts w:ascii="Calibri" w:eastAsia="Calibri" w:hAnsi="Calibri" w:cs="Calibri"/>
        </w:rPr>
        <w:t xml:space="preserve"> </w:t>
      </w:r>
      <w:r w:rsidRPr="30ECBFB6">
        <w:rPr>
          <w:rFonts w:ascii="Calibri" w:eastAsia="Calibri" w:hAnsi="Calibri" w:cs="Calibri"/>
        </w:rPr>
        <w:t>to</w:t>
      </w:r>
      <w:r w:rsidR="003D640C">
        <w:rPr>
          <w:rFonts w:ascii="Calibri" w:eastAsia="Calibri" w:hAnsi="Calibri" w:cs="Calibri"/>
        </w:rPr>
        <w:t xml:space="preserve"> </w:t>
      </w:r>
      <w:r w:rsidRPr="30ECBFB6">
        <w:rPr>
          <w:rFonts w:ascii="Calibri" w:eastAsia="Calibri" w:hAnsi="Calibri" w:cs="Calibri"/>
        </w:rPr>
        <w:t>ensure</w:t>
      </w:r>
      <w:r w:rsidR="003D640C">
        <w:rPr>
          <w:rFonts w:ascii="Calibri" w:eastAsia="Calibri" w:hAnsi="Calibri" w:cs="Calibri"/>
        </w:rPr>
        <w:t xml:space="preserve"> </w:t>
      </w:r>
      <w:r w:rsidRPr="30ECBFB6">
        <w:rPr>
          <w:rFonts w:ascii="Calibri" w:eastAsia="Calibri" w:hAnsi="Calibri" w:cs="Calibri"/>
        </w:rPr>
        <w:t>the</w:t>
      </w:r>
      <w:r w:rsidR="003D640C">
        <w:rPr>
          <w:rFonts w:ascii="Calibri" w:eastAsia="Calibri" w:hAnsi="Calibri" w:cs="Calibri"/>
        </w:rPr>
        <w:t xml:space="preserve"> </w:t>
      </w:r>
      <w:r w:rsidRPr="30ECBFB6">
        <w:rPr>
          <w:rFonts w:ascii="Calibri" w:eastAsia="Calibri" w:hAnsi="Calibri" w:cs="Calibri"/>
        </w:rPr>
        <w:t>safety</w:t>
      </w:r>
      <w:r w:rsidR="003D640C">
        <w:rPr>
          <w:rFonts w:ascii="Calibri" w:eastAsia="Calibri" w:hAnsi="Calibri" w:cs="Calibri"/>
        </w:rPr>
        <w:t xml:space="preserve"> </w:t>
      </w:r>
      <w:r w:rsidRPr="30ECBFB6">
        <w:rPr>
          <w:rFonts w:ascii="Calibri" w:eastAsia="Calibri" w:hAnsi="Calibri" w:cs="Calibri"/>
        </w:rPr>
        <w:t>and</w:t>
      </w:r>
      <w:r w:rsidR="003D640C">
        <w:rPr>
          <w:rFonts w:ascii="Calibri" w:eastAsia="Calibri" w:hAnsi="Calibri" w:cs="Calibri"/>
        </w:rPr>
        <w:t xml:space="preserve"> </w:t>
      </w:r>
      <w:r w:rsidRPr="30ECBFB6">
        <w:rPr>
          <w:rFonts w:ascii="Calibri" w:eastAsia="Calibri" w:hAnsi="Calibri" w:cs="Calibri"/>
        </w:rPr>
        <w:t>wellbeing</w:t>
      </w:r>
      <w:r w:rsidR="003D640C">
        <w:rPr>
          <w:rFonts w:ascii="Calibri" w:eastAsia="Calibri" w:hAnsi="Calibri" w:cs="Calibri"/>
        </w:rPr>
        <w:t xml:space="preserve"> </w:t>
      </w:r>
      <w:r w:rsidRPr="30ECBFB6">
        <w:rPr>
          <w:rFonts w:ascii="Calibri" w:eastAsia="Calibri" w:hAnsi="Calibri" w:cs="Calibri"/>
        </w:rPr>
        <w:t>of</w:t>
      </w:r>
      <w:r w:rsidR="003D640C">
        <w:rPr>
          <w:rFonts w:ascii="Calibri" w:eastAsia="Calibri" w:hAnsi="Calibri" w:cs="Calibri"/>
        </w:rPr>
        <w:t xml:space="preserve"> </w:t>
      </w:r>
      <w:r w:rsidRPr="30ECBFB6">
        <w:rPr>
          <w:rFonts w:ascii="Calibri" w:eastAsia="Calibri" w:hAnsi="Calibri" w:cs="Calibri"/>
        </w:rPr>
        <w:t>Rainbow</w:t>
      </w:r>
      <w:r w:rsidR="003D640C">
        <w:rPr>
          <w:rFonts w:ascii="Calibri" w:eastAsia="Calibri" w:hAnsi="Calibri" w:cs="Calibri"/>
        </w:rPr>
        <w:t xml:space="preserve"> </w:t>
      </w:r>
      <w:r w:rsidRPr="30ECBFB6">
        <w:rPr>
          <w:rFonts w:ascii="Calibri" w:eastAsia="Calibri" w:hAnsi="Calibri" w:cs="Calibri"/>
        </w:rPr>
        <w:t>people.</w:t>
      </w:r>
      <w:r w:rsidR="003D640C">
        <w:rPr>
          <w:rFonts w:ascii="Calibri" w:eastAsia="Calibri" w:hAnsi="Calibri" w:cs="Calibri"/>
        </w:rPr>
        <w:t xml:space="preserve"> </w:t>
      </w:r>
    </w:p>
    <w:p w14:paraId="7AE95045" w14:textId="5BFBAC06" w:rsidR="00501068" w:rsidRDefault="00E11D28" w:rsidP="009032B9">
      <w:pPr>
        <w:rPr>
          <w:lang w:eastAsia="en-NZ"/>
        </w:rPr>
      </w:pPr>
      <w:r>
        <w:rPr>
          <w:rFonts w:ascii="Calibri" w:eastAsia="Calibri" w:hAnsi="Calibri" w:cs="Calibri"/>
        </w:rPr>
        <w:t>Government</w:t>
      </w:r>
      <w:r w:rsidR="003D640C">
        <w:rPr>
          <w:rFonts w:ascii="Calibri" w:eastAsia="Calibri" w:hAnsi="Calibri" w:cs="Calibri"/>
        </w:rPr>
        <w:t xml:space="preserve"> </w:t>
      </w:r>
      <w:r w:rsidR="00A37CDD">
        <w:rPr>
          <w:rFonts w:ascii="Calibri" w:eastAsia="Calibri" w:hAnsi="Calibri" w:cs="Calibri"/>
        </w:rPr>
        <w:t>must</w:t>
      </w:r>
      <w:r w:rsidR="003D640C">
        <w:rPr>
          <w:rFonts w:ascii="Calibri" w:eastAsia="Calibri" w:hAnsi="Calibri" w:cs="Calibri"/>
        </w:rPr>
        <w:t xml:space="preserve"> </w:t>
      </w:r>
      <w:r>
        <w:rPr>
          <w:rFonts w:ascii="Calibri" w:eastAsia="Calibri" w:hAnsi="Calibri" w:cs="Calibri"/>
        </w:rPr>
        <w:t>play</w:t>
      </w:r>
      <w:r w:rsidR="003D640C">
        <w:rPr>
          <w:rFonts w:ascii="Calibri" w:eastAsia="Calibri" w:hAnsi="Calibri" w:cs="Calibri"/>
        </w:rPr>
        <w:t xml:space="preserve"> </w:t>
      </w:r>
      <w:r>
        <w:rPr>
          <w:rFonts w:ascii="Calibri" w:eastAsia="Calibri" w:hAnsi="Calibri" w:cs="Calibri"/>
        </w:rPr>
        <w:t>a</w:t>
      </w:r>
      <w:r w:rsidR="003D640C">
        <w:rPr>
          <w:rFonts w:ascii="Calibri" w:eastAsia="Calibri" w:hAnsi="Calibri" w:cs="Calibri"/>
        </w:rPr>
        <w:t xml:space="preserve"> </w:t>
      </w:r>
      <w:r>
        <w:rPr>
          <w:rFonts w:ascii="Calibri" w:eastAsia="Calibri" w:hAnsi="Calibri" w:cs="Calibri"/>
        </w:rPr>
        <w:t>significant</w:t>
      </w:r>
      <w:r w:rsidR="003D640C">
        <w:rPr>
          <w:rFonts w:ascii="Calibri" w:eastAsia="Calibri" w:hAnsi="Calibri" w:cs="Calibri"/>
        </w:rPr>
        <w:t xml:space="preserve"> </w:t>
      </w:r>
      <w:r>
        <w:rPr>
          <w:rFonts w:ascii="Calibri" w:eastAsia="Calibri" w:hAnsi="Calibri" w:cs="Calibri"/>
        </w:rPr>
        <w:t>role</w:t>
      </w:r>
      <w:r w:rsidR="003D640C">
        <w:rPr>
          <w:rFonts w:ascii="Calibri" w:eastAsia="Calibri" w:hAnsi="Calibri" w:cs="Calibri"/>
        </w:rPr>
        <w:t xml:space="preserve"> </w:t>
      </w:r>
      <w:r>
        <w:rPr>
          <w:rFonts w:ascii="Calibri" w:eastAsia="Calibri" w:hAnsi="Calibri" w:cs="Calibri"/>
        </w:rPr>
        <w:t>in</w:t>
      </w:r>
      <w:r w:rsidR="003D640C">
        <w:rPr>
          <w:rFonts w:ascii="Calibri" w:eastAsia="Calibri" w:hAnsi="Calibri" w:cs="Calibri"/>
        </w:rPr>
        <w:t xml:space="preserve"> </w:t>
      </w:r>
      <w:r>
        <w:rPr>
          <w:rFonts w:ascii="Calibri" w:eastAsia="Calibri" w:hAnsi="Calibri" w:cs="Calibri"/>
        </w:rPr>
        <w:t>ensuring</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CP</w:t>
      </w:r>
      <w:r w:rsidR="0094072E">
        <w:rPr>
          <w:rFonts w:ascii="Calibri" w:eastAsia="Calibri" w:hAnsi="Calibri" w:cs="Calibri"/>
        </w:rPr>
        <w:t>P</w:t>
      </w:r>
      <w:r>
        <w:rPr>
          <w:rFonts w:ascii="Calibri" w:eastAsia="Calibri" w:hAnsi="Calibri" w:cs="Calibri"/>
        </w:rPr>
        <w:t>LA</w:t>
      </w:r>
      <w:r w:rsidR="003D640C">
        <w:rPr>
          <w:rFonts w:ascii="Calibri" w:eastAsia="Calibri" w:hAnsi="Calibri" w:cs="Calibri"/>
        </w:rPr>
        <w:t xml:space="preserve"> </w:t>
      </w:r>
      <w:r>
        <w:rPr>
          <w:rFonts w:ascii="Calibri" w:eastAsia="Calibri" w:hAnsi="Calibri" w:cs="Calibri"/>
        </w:rPr>
        <w:t>is</w:t>
      </w:r>
      <w:r w:rsidR="003D640C">
        <w:rPr>
          <w:rFonts w:ascii="Calibri" w:eastAsia="Calibri" w:hAnsi="Calibri" w:cs="Calibri"/>
        </w:rPr>
        <w:t xml:space="preserve"> </w:t>
      </w:r>
      <w:r>
        <w:rPr>
          <w:rFonts w:ascii="Calibri" w:eastAsia="Calibri" w:hAnsi="Calibri" w:cs="Calibri"/>
        </w:rPr>
        <w:t>effectively</w:t>
      </w:r>
      <w:r w:rsidR="003D640C">
        <w:rPr>
          <w:rFonts w:ascii="Calibri" w:eastAsia="Calibri" w:hAnsi="Calibri" w:cs="Calibri"/>
        </w:rPr>
        <w:t xml:space="preserve"> </w:t>
      </w:r>
      <w:r>
        <w:rPr>
          <w:rFonts w:ascii="Calibri" w:eastAsia="Calibri" w:hAnsi="Calibri" w:cs="Calibri"/>
        </w:rPr>
        <w:t>enforced</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supported</w:t>
      </w:r>
      <w:r w:rsidR="003D640C">
        <w:rPr>
          <w:rFonts w:ascii="Calibri" w:eastAsia="Calibri" w:hAnsi="Calibri" w:cs="Calibri"/>
        </w:rPr>
        <w:t xml:space="preserve"> </w:t>
      </w:r>
      <w:r>
        <w:rPr>
          <w:rFonts w:ascii="Calibri" w:eastAsia="Calibri" w:hAnsi="Calibri" w:cs="Calibri"/>
        </w:rPr>
        <w:t>with</w:t>
      </w:r>
      <w:r w:rsidR="003D640C">
        <w:rPr>
          <w:rFonts w:ascii="Calibri" w:eastAsia="Calibri" w:hAnsi="Calibri" w:cs="Calibri"/>
        </w:rPr>
        <w:t xml:space="preserve"> </w:t>
      </w:r>
      <w:r>
        <w:rPr>
          <w:rFonts w:ascii="Calibri" w:eastAsia="Calibri" w:hAnsi="Calibri" w:cs="Calibri"/>
        </w:rPr>
        <w:t>meaningful</w:t>
      </w:r>
      <w:r w:rsidR="003D640C">
        <w:rPr>
          <w:rFonts w:ascii="Calibri" w:eastAsia="Calibri" w:hAnsi="Calibri" w:cs="Calibri"/>
        </w:rPr>
        <w:t xml:space="preserve"> </w:t>
      </w:r>
      <w:r>
        <w:rPr>
          <w:rFonts w:ascii="Calibri" w:eastAsia="Calibri" w:hAnsi="Calibri" w:cs="Calibri"/>
        </w:rPr>
        <w:t>policy</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resourcing.</w:t>
      </w:r>
      <w:r w:rsidR="003D640C">
        <w:rPr>
          <w:rFonts w:ascii="Calibri" w:eastAsia="Calibri" w:hAnsi="Calibri" w:cs="Calibri"/>
        </w:rPr>
        <w:t xml:space="preserve"> </w:t>
      </w:r>
      <w:r>
        <w:rPr>
          <w:rFonts w:ascii="Calibri" w:eastAsia="Calibri" w:hAnsi="Calibri" w:cs="Calibri"/>
        </w:rPr>
        <w:t>Government</w:t>
      </w:r>
      <w:r w:rsidR="003D640C">
        <w:rPr>
          <w:rFonts w:ascii="Calibri" w:eastAsia="Calibri" w:hAnsi="Calibri" w:cs="Calibri"/>
        </w:rPr>
        <w:t xml:space="preserve"> </w:t>
      </w:r>
      <w:r w:rsidR="00A37CDD">
        <w:rPr>
          <w:rFonts w:ascii="Calibri" w:eastAsia="Calibri" w:hAnsi="Calibri" w:cs="Calibri"/>
        </w:rPr>
        <w:t>should</w:t>
      </w:r>
      <w:r w:rsidR="003D640C">
        <w:rPr>
          <w:rFonts w:ascii="Calibri" w:eastAsia="Calibri" w:hAnsi="Calibri" w:cs="Calibri"/>
        </w:rPr>
        <w:t xml:space="preserve"> </w:t>
      </w:r>
      <w:r>
        <w:rPr>
          <w:rFonts w:ascii="Calibri" w:eastAsia="Calibri" w:hAnsi="Calibri" w:cs="Calibri"/>
        </w:rPr>
        <w:t>also</w:t>
      </w:r>
      <w:r w:rsidR="003D640C">
        <w:rPr>
          <w:rFonts w:ascii="Calibri" w:eastAsia="Calibri" w:hAnsi="Calibri" w:cs="Calibri"/>
        </w:rPr>
        <w:t xml:space="preserve"> </w:t>
      </w:r>
      <w:r>
        <w:rPr>
          <w:rFonts w:ascii="Calibri" w:eastAsia="Calibri" w:hAnsi="Calibri" w:cs="Calibri"/>
        </w:rPr>
        <w:t>support</w:t>
      </w:r>
      <w:r w:rsidR="003D640C">
        <w:rPr>
          <w:rFonts w:ascii="Calibri" w:eastAsia="Calibri" w:hAnsi="Calibri" w:cs="Calibri"/>
        </w:rPr>
        <w:t xml:space="preserve"> </w:t>
      </w:r>
      <w:r>
        <w:rPr>
          <w:rFonts w:ascii="Calibri" w:eastAsia="Calibri" w:hAnsi="Calibri" w:cs="Calibri"/>
        </w:rPr>
        <w:t>faith</w:t>
      </w:r>
      <w:r w:rsidR="003D640C">
        <w:rPr>
          <w:rFonts w:ascii="Calibri" w:eastAsia="Calibri" w:hAnsi="Calibri" w:cs="Calibri"/>
        </w:rPr>
        <w:t xml:space="preserve"> </w:t>
      </w:r>
      <w:r>
        <w:rPr>
          <w:rFonts w:ascii="Calibri" w:eastAsia="Calibri" w:hAnsi="Calibri" w:cs="Calibri"/>
        </w:rPr>
        <w:t>communities,</w:t>
      </w:r>
      <w:r w:rsidR="003D640C">
        <w:rPr>
          <w:rFonts w:ascii="Calibri" w:eastAsia="Calibri" w:hAnsi="Calibri" w:cs="Calibri"/>
        </w:rPr>
        <w:t xml:space="preserve"> </w:t>
      </w:r>
      <w:r>
        <w:rPr>
          <w:rFonts w:ascii="Calibri" w:eastAsia="Calibri" w:hAnsi="Calibri" w:cs="Calibri"/>
        </w:rPr>
        <w:t>community</w:t>
      </w:r>
      <w:r w:rsidR="003D640C">
        <w:rPr>
          <w:rFonts w:ascii="Calibri" w:eastAsia="Calibri" w:hAnsi="Calibri" w:cs="Calibri"/>
        </w:rPr>
        <w:t xml:space="preserve"> </w:t>
      </w:r>
      <w:r>
        <w:rPr>
          <w:rFonts w:ascii="Calibri" w:eastAsia="Calibri" w:hAnsi="Calibri" w:cs="Calibri"/>
        </w:rPr>
        <w:t>organisations</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groups,</w:t>
      </w:r>
      <w:r w:rsidR="003D640C">
        <w:rPr>
          <w:rFonts w:ascii="Calibri" w:eastAsia="Calibri" w:hAnsi="Calibri" w:cs="Calibri"/>
        </w:rPr>
        <w:t xml:space="preserve"> </w:t>
      </w:r>
      <w:r>
        <w:rPr>
          <w:rFonts w:ascii="Calibri" w:eastAsia="Calibri" w:hAnsi="Calibri" w:cs="Calibri"/>
        </w:rPr>
        <w:t>healthcare</w:t>
      </w:r>
      <w:r w:rsidR="003D640C">
        <w:rPr>
          <w:rFonts w:ascii="Calibri" w:eastAsia="Calibri" w:hAnsi="Calibri" w:cs="Calibri"/>
        </w:rPr>
        <w:t xml:space="preserve"> </w:t>
      </w:r>
      <w:r>
        <w:rPr>
          <w:rFonts w:ascii="Calibri" w:eastAsia="Calibri" w:hAnsi="Calibri" w:cs="Calibri"/>
        </w:rPr>
        <w:t>professionals,</w:t>
      </w:r>
      <w:r w:rsidR="003D640C">
        <w:rPr>
          <w:rFonts w:ascii="Calibri" w:eastAsia="Calibri" w:hAnsi="Calibri" w:cs="Calibri"/>
        </w:rPr>
        <w:t xml:space="preserve"> </w:t>
      </w:r>
      <w:r>
        <w:rPr>
          <w:rFonts w:ascii="Calibri" w:eastAsia="Calibri" w:hAnsi="Calibri" w:cs="Calibri"/>
        </w:rPr>
        <w:t>whānau,</w:t>
      </w:r>
      <w:r w:rsidR="003D640C">
        <w:rPr>
          <w:rFonts w:ascii="Calibri" w:eastAsia="Calibri" w:hAnsi="Calibri" w:cs="Calibri"/>
        </w:rPr>
        <w:t xml:space="preserve"> </w:t>
      </w:r>
      <w:r>
        <w:rPr>
          <w:rFonts w:ascii="Calibri" w:eastAsia="Calibri" w:hAnsi="Calibri" w:cs="Calibri"/>
        </w:rPr>
        <w:t>families</w:t>
      </w:r>
      <w:r w:rsidR="00AB203B">
        <w:rPr>
          <w:rFonts w:ascii="Calibri" w:eastAsia="Calibri" w:hAnsi="Calibri" w:cs="Calibri"/>
        </w:rPr>
        <w:t>,</w:t>
      </w:r>
      <w:r w:rsidR="003D640C">
        <w:rPr>
          <w:rFonts w:ascii="Calibri" w:eastAsia="Calibri" w:hAnsi="Calibri" w:cs="Calibri"/>
        </w:rPr>
        <w:t xml:space="preserve"> </w:t>
      </w:r>
      <w:r>
        <w:rPr>
          <w:rFonts w:ascii="Calibri" w:eastAsia="Calibri" w:hAnsi="Calibri" w:cs="Calibri"/>
        </w:rPr>
        <w:t>and</w:t>
      </w:r>
      <w:r w:rsidR="003D640C">
        <w:rPr>
          <w:rFonts w:ascii="Calibri" w:eastAsia="Calibri" w:hAnsi="Calibri" w:cs="Calibri"/>
        </w:rPr>
        <w:t xml:space="preserve"> </w:t>
      </w:r>
      <w:r>
        <w:rPr>
          <w:rFonts w:ascii="Calibri" w:eastAsia="Calibri" w:hAnsi="Calibri" w:cs="Calibri"/>
        </w:rPr>
        <w:t>individuals</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take</w:t>
      </w:r>
      <w:r w:rsidR="003D640C">
        <w:rPr>
          <w:rFonts w:ascii="Calibri" w:eastAsia="Calibri" w:hAnsi="Calibri" w:cs="Calibri"/>
        </w:rPr>
        <w:t xml:space="preserve"> </w:t>
      </w:r>
      <w:r>
        <w:rPr>
          <w:rFonts w:ascii="Calibri" w:eastAsia="Calibri" w:hAnsi="Calibri" w:cs="Calibri"/>
        </w:rPr>
        <w:t>the</w:t>
      </w:r>
      <w:r w:rsidR="003D640C">
        <w:rPr>
          <w:rFonts w:ascii="Calibri" w:eastAsia="Calibri" w:hAnsi="Calibri" w:cs="Calibri"/>
        </w:rPr>
        <w:t xml:space="preserve"> </w:t>
      </w:r>
      <w:r>
        <w:rPr>
          <w:rFonts w:ascii="Calibri" w:eastAsia="Calibri" w:hAnsi="Calibri" w:cs="Calibri"/>
        </w:rPr>
        <w:t>steps</w:t>
      </w:r>
      <w:r w:rsidR="003D640C">
        <w:rPr>
          <w:rFonts w:ascii="Calibri" w:eastAsia="Calibri" w:hAnsi="Calibri" w:cs="Calibri"/>
        </w:rPr>
        <w:t xml:space="preserve"> </w:t>
      </w:r>
      <w:r>
        <w:rPr>
          <w:rFonts w:ascii="Calibri" w:eastAsia="Calibri" w:hAnsi="Calibri" w:cs="Calibri"/>
        </w:rPr>
        <w:t>that</w:t>
      </w:r>
      <w:r w:rsidR="003D640C">
        <w:rPr>
          <w:rFonts w:ascii="Calibri" w:eastAsia="Calibri" w:hAnsi="Calibri" w:cs="Calibri"/>
        </w:rPr>
        <w:t xml:space="preserve"> </w:t>
      </w:r>
      <w:r>
        <w:rPr>
          <w:rFonts w:ascii="Calibri" w:eastAsia="Calibri" w:hAnsi="Calibri" w:cs="Calibri"/>
        </w:rPr>
        <w:t>are</w:t>
      </w:r>
      <w:r w:rsidR="003D640C">
        <w:rPr>
          <w:rFonts w:ascii="Calibri" w:eastAsia="Calibri" w:hAnsi="Calibri" w:cs="Calibri"/>
        </w:rPr>
        <w:t xml:space="preserve"> </w:t>
      </w:r>
      <w:r>
        <w:rPr>
          <w:rFonts w:ascii="Calibri" w:eastAsia="Calibri" w:hAnsi="Calibri" w:cs="Calibri"/>
        </w:rPr>
        <w:t>required</w:t>
      </w:r>
      <w:r w:rsidR="003D640C">
        <w:rPr>
          <w:rFonts w:ascii="Calibri" w:eastAsia="Calibri" w:hAnsi="Calibri" w:cs="Calibri"/>
        </w:rPr>
        <w:t xml:space="preserve"> </w:t>
      </w:r>
      <w:r>
        <w:rPr>
          <w:rFonts w:ascii="Calibri" w:eastAsia="Calibri" w:hAnsi="Calibri" w:cs="Calibri"/>
        </w:rPr>
        <w:t>to</w:t>
      </w:r>
      <w:r w:rsidR="003D640C">
        <w:rPr>
          <w:rFonts w:ascii="Calibri" w:eastAsia="Calibri" w:hAnsi="Calibri" w:cs="Calibri"/>
        </w:rPr>
        <w:t xml:space="preserve"> </w:t>
      </w:r>
      <w:r>
        <w:rPr>
          <w:rFonts w:ascii="Calibri" w:eastAsia="Calibri" w:hAnsi="Calibri" w:cs="Calibri"/>
        </w:rPr>
        <w:t>stamp</w:t>
      </w:r>
      <w:r w:rsidR="003D640C">
        <w:rPr>
          <w:rFonts w:ascii="Calibri" w:eastAsia="Calibri" w:hAnsi="Calibri" w:cs="Calibri"/>
        </w:rPr>
        <w:t xml:space="preserve"> </w:t>
      </w:r>
      <w:r>
        <w:rPr>
          <w:rFonts w:ascii="Calibri" w:eastAsia="Calibri" w:hAnsi="Calibri" w:cs="Calibri"/>
        </w:rPr>
        <w:t>out</w:t>
      </w:r>
      <w:r w:rsidR="003D640C">
        <w:rPr>
          <w:rFonts w:ascii="Calibri" w:eastAsia="Calibri" w:hAnsi="Calibri" w:cs="Calibri"/>
        </w:rPr>
        <w:t xml:space="preserve"> </w:t>
      </w:r>
      <w:r>
        <w:rPr>
          <w:rFonts w:ascii="Calibri" w:eastAsia="Calibri" w:hAnsi="Calibri" w:cs="Calibri"/>
        </w:rPr>
        <w:t>these</w:t>
      </w:r>
      <w:r w:rsidR="003D640C">
        <w:rPr>
          <w:rFonts w:ascii="Calibri" w:eastAsia="Calibri" w:hAnsi="Calibri" w:cs="Calibri"/>
        </w:rPr>
        <w:t xml:space="preserve"> </w:t>
      </w:r>
      <w:r>
        <w:rPr>
          <w:rFonts w:ascii="Calibri" w:eastAsia="Calibri" w:hAnsi="Calibri" w:cs="Calibri"/>
        </w:rPr>
        <w:t>practices</w:t>
      </w:r>
      <w:r w:rsidR="00AB07B9">
        <w:rPr>
          <w:rFonts w:ascii="Calibri" w:eastAsia="Calibri" w:hAnsi="Calibri" w:cs="Calibri"/>
        </w:rPr>
        <w:t>.</w:t>
      </w:r>
      <w:r w:rsidR="00AB07B9">
        <w:rPr>
          <w:lang w:eastAsia="en-NZ"/>
        </w:rPr>
        <w:t xml:space="preserve"> G</w:t>
      </w:r>
      <w:r>
        <w:rPr>
          <w:lang w:eastAsia="en-NZ"/>
        </w:rPr>
        <w:t>overnment</w:t>
      </w:r>
      <w:r w:rsidR="003D640C">
        <w:rPr>
          <w:lang w:eastAsia="en-NZ"/>
        </w:rPr>
        <w:t xml:space="preserve"> </w:t>
      </w:r>
      <w:r w:rsidR="00A37CDD">
        <w:rPr>
          <w:lang w:eastAsia="en-NZ"/>
        </w:rPr>
        <w:t>should</w:t>
      </w:r>
      <w:r w:rsidR="003D640C">
        <w:rPr>
          <w:lang w:eastAsia="en-NZ"/>
        </w:rPr>
        <w:t xml:space="preserve"> </w:t>
      </w:r>
      <w:r>
        <w:rPr>
          <w:lang w:eastAsia="en-NZ"/>
        </w:rPr>
        <w:t>resource</w:t>
      </w:r>
      <w:r w:rsidR="003D640C">
        <w:rPr>
          <w:lang w:eastAsia="en-NZ"/>
        </w:rPr>
        <w:t xml:space="preserve"> </w:t>
      </w:r>
      <w:r>
        <w:rPr>
          <w:lang w:eastAsia="en-NZ"/>
        </w:rPr>
        <w:t>evidence-based</w:t>
      </w:r>
      <w:r w:rsidR="003D640C">
        <w:rPr>
          <w:lang w:eastAsia="en-NZ"/>
        </w:rPr>
        <w:t xml:space="preserve"> </w:t>
      </w:r>
      <w:r>
        <w:rPr>
          <w:lang w:eastAsia="en-NZ"/>
        </w:rPr>
        <w:t>approaches</w:t>
      </w:r>
      <w:r w:rsidR="003D640C">
        <w:rPr>
          <w:lang w:eastAsia="en-NZ"/>
        </w:rPr>
        <w:t xml:space="preserve"> </w:t>
      </w:r>
      <w:r>
        <w:rPr>
          <w:lang w:eastAsia="en-NZ"/>
        </w:rPr>
        <w:t>to</w:t>
      </w:r>
      <w:r w:rsidR="003D640C">
        <w:rPr>
          <w:lang w:eastAsia="en-NZ"/>
        </w:rPr>
        <w:t xml:space="preserve"> </w:t>
      </w:r>
      <w:r>
        <w:rPr>
          <w:lang w:eastAsia="en-NZ"/>
        </w:rPr>
        <w:t>deepening</w:t>
      </w:r>
      <w:r w:rsidR="003D640C">
        <w:rPr>
          <w:lang w:eastAsia="en-NZ"/>
        </w:rPr>
        <w:t xml:space="preserve"> </w:t>
      </w:r>
      <w:r>
        <w:rPr>
          <w:lang w:eastAsia="en-NZ"/>
        </w:rPr>
        <w:t>public</w:t>
      </w:r>
      <w:r w:rsidR="003D640C">
        <w:rPr>
          <w:lang w:eastAsia="en-NZ"/>
        </w:rPr>
        <w:t xml:space="preserve"> </w:t>
      </w:r>
      <w:r>
        <w:rPr>
          <w:lang w:eastAsia="en-NZ"/>
        </w:rPr>
        <w:t>understanding</w:t>
      </w:r>
      <w:r w:rsidR="003D640C">
        <w:rPr>
          <w:lang w:eastAsia="en-NZ"/>
        </w:rPr>
        <w:t xml:space="preserve"> </w:t>
      </w:r>
      <w:r>
        <w:rPr>
          <w:lang w:eastAsia="en-NZ"/>
        </w:rPr>
        <w:t>of</w:t>
      </w:r>
      <w:r w:rsidR="003D640C">
        <w:rPr>
          <w:lang w:eastAsia="en-NZ"/>
        </w:rPr>
        <w:t xml:space="preserve"> </w:t>
      </w:r>
      <w:r>
        <w:rPr>
          <w:lang w:eastAsia="en-NZ"/>
        </w:rPr>
        <w:t>conversion</w:t>
      </w:r>
      <w:r w:rsidR="003D640C">
        <w:rPr>
          <w:lang w:eastAsia="en-NZ"/>
        </w:rPr>
        <w:t xml:space="preserve"> </w:t>
      </w:r>
      <w:r>
        <w:rPr>
          <w:lang w:eastAsia="en-NZ"/>
        </w:rPr>
        <w:t>practices,</w:t>
      </w:r>
      <w:r w:rsidR="003D640C">
        <w:rPr>
          <w:lang w:eastAsia="en-NZ"/>
        </w:rPr>
        <w:t xml:space="preserve"> </w:t>
      </w:r>
      <w:r>
        <w:rPr>
          <w:lang w:eastAsia="en-NZ"/>
        </w:rPr>
        <w:t>shifting</w:t>
      </w:r>
      <w:r w:rsidR="003D640C">
        <w:rPr>
          <w:lang w:eastAsia="en-NZ"/>
        </w:rPr>
        <w:t xml:space="preserve"> </w:t>
      </w:r>
      <w:r>
        <w:rPr>
          <w:lang w:eastAsia="en-NZ"/>
        </w:rPr>
        <w:t>the</w:t>
      </w:r>
      <w:r w:rsidR="003D640C">
        <w:rPr>
          <w:lang w:eastAsia="en-NZ"/>
        </w:rPr>
        <w:t xml:space="preserve"> </w:t>
      </w:r>
      <w:r>
        <w:rPr>
          <w:lang w:eastAsia="en-NZ"/>
        </w:rPr>
        <w:t>harmful</w:t>
      </w:r>
      <w:r w:rsidR="003D640C">
        <w:rPr>
          <w:lang w:eastAsia="en-NZ"/>
        </w:rPr>
        <w:t xml:space="preserve"> </w:t>
      </w:r>
      <w:r>
        <w:rPr>
          <w:lang w:eastAsia="en-NZ"/>
        </w:rPr>
        <w:t>ideologies</w:t>
      </w:r>
      <w:r w:rsidR="003D640C">
        <w:rPr>
          <w:lang w:eastAsia="en-NZ"/>
        </w:rPr>
        <w:t xml:space="preserve"> </w:t>
      </w:r>
      <w:r>
        <w:rPr>
          <w:lang w:eastAsia="en-NZ"/>
        </w:rPr>
        <w:t>that</w:t>
      </w:r>
      <w:r w:rsidR="003D640C">
        <w:rPr>
          <w:lang w:eastAsia="en-NZ"/>
        </w:rPr>
        <w:t xml:space="preserve"> </w:t>
      </w:r>
      <w:r>
        <w:rPr>
          <w:lang w:eastAsia="en-NZ"/>
        </w:rPr>
        <w:t>underlie</w:t>
      </w:r>
      <w:r w:rsidR="003D640C">
        <w:rPr>
          <w:lang w:eastAsia="en-NZ"/>
        </w:rPr>
        <w:t xml:space="preserve"> </w:t>
      </w:r>
      <w:r>
        <w:rPr>
          <w:lang w:eastAsia="en-NZ"/>
        </w:rPr>
        <w:t>them</w:t>
      </w:r>
      <w:r w:rsidR="003D640C">
        <w:rPr>
          <w:lang w:eastAsia="en-NZ"/>
        </w:rPr>
        <w:t xml:space="preserve"> </w:t>
      </w:r>
      <w:r>
        <w:rPr>
          <w:lang w:eastAsia="en-NZ"/>
        </w:rPr>
        <w:t>and</w:t>
      </w:r>
      <w:r w:rsidR="003D640C">
        <w:rPr>
          <w:lang w:eastAsia="en-NZ"/>
        </w:rPr>
        <w:t xml:space="preserve"> </w:t>
      </w:r>
      <w:r>
        <w:rPr>
          <w:lang w:eastAsia="en-NZ"/>
        </w:rPr>
        <w:t>supporting</w:t>
      </w:r>
      <w:r w:rsidR="003D640C">
        <w:rPr>
          <w:lang w:eastAsia="en-NZ"/>
        </w:rPr>
        <w:t xml:space="preserve"> </w:t>
      </w:r>
      <w:r>
        <w:rPr>
          <w:lang w:eastAsia="en-NZ"/>
        </w:rPr>
        <w:t>communities</w:t>
      </w:r>
      <w:r w:rsidR="003D640C">
        <w:rPr>
          <w:lang w:eastAsia="en-NZ"/>
        </w:rPr>
        <w:t xml:space="preserve"> </w:t>
      </w:r>
      <w:r>
        <w:rPr>
          <w:lang w:eastAsia="en-NZ"/>
        </w:rPr>
        <w:t>to</w:t>
      </w:r>
      <w:r w:rsidR="003D640C">
        <w:rPr>
          <w:lang w:eastAsia="en-NZ"/>
        </w:rPr>
        <w:t xml:space="preserve"> </w:t>
      </w:r>
      <w:r>
        <w:rPr>
          <w:lang w:eastAsia="en-NZ"/>
        </w:rPr>
        <w:t>become</w:t>
      </w:r>
      <w:r w:rsidR="003D640C">
        <w:rPr>
          <w:lang w:eastAsia="en-NZ"/>
        </w:rPr>
        <w:t xml:space="preserve"> </w:t>
      </w:r>
      <w:r>
        <w:rPr>
          <w:lang w:eastAsia="en-NZ"/>
        </w:rPr>
        <w:t>more</w:t>
      </w:r>
      <w:r w:rsidR="003D640C">
        <w:rPr>
          <w:lang w:eastAsia="en-NZ"/>
        </w:rPr>
        <w:t xml:space="preserve"> </w:t>
      </w:r>
      <w:r>
        <w:rPr>
          <w:lang w:eastAsia="en-NZ"/>
        </w:rPr>
        <w:t>inclusive</w:t>
      </w:r>
      <w:r w:rsidR="003D640C">
        <w:rPr>
          <w:lang w:eastAsia="en-NZ"/>
        </w:rPr>
        <w:t xml:space="preserve"> </w:t>
      </w:r>
      <w:r>
        <w:rPr>
          <w:lang w:eastAsia="en-NZ"/>
        </w:rPr>
        <w:t>and</w:t>
      </w:r>
      <w:r w:rsidR="003D640C">
        <w:rPr>
          <w:lang w:eastAsia="en-NZ"/>
        </w:rPr>
        <w:t xml:space="preserve"> </w:t>
      </w:r>
      <w:r w:rsidR="00040E0A">
        <w:rPr>
          <w:lang w:eastAsia="en-NZ"/>
        </w:rPr>
        <w:t>safer</w:t>
      </w:r>
      <w:r w:rsidR="003D640C">
        <w:rPr>
          <w:lang w:eastAsia="en-NZ"/>
        </w:rPr>
        <w:t xml:space="preserve"> </w:t>
      </w:r>
      <w:r>
        <w:rPr>
          <w:lang w:eastAsia="en-NZ"/>
        </w:rPr>
        <w:t>for</w:t>
      </w:r>
      <w:r w:rsidR="003D640C">
        <w:rPr>
          <w:lang w:eastAsia="en-NZ"/>
        </w:rPr>
        <w:t xml:space="preserve"> </w:t>
      </w:r>
      <w:r>
        <w:rPr>
          <w:lang w:eastAsia="en-NZ"/>
        </w:rPr>
        <w:t>all</w:t>
      </w:r>
      <w:r w:rsidR="003D640C">
        <w:rPr>
          <w:lang w:eastAsia="en-NZ"/>
        </w:rPr>
        <w:t xml:space="preserve"> </w:t>
      </w:r>
      <w:r>
        <w:rPr>
          <w:lang w:eastAsia="en-NZ"/>
        </w:rPr>
        <w:t>Rainbow</w:t>
      </w:r>
      <w:r w:rsidR="003D640C">
        <w:rPr>
          <w:lang w:eastAsia="en-NZ"/>
        </w:rPr>
        <w:t xml:space="preserve"> </w:t>
      </w:r>
      <w:r>
        <w:rPr>
          <w:lang w:eastAsia="en-NZ"/>
        </w:rPr>
        <w:t>people.</w:t>
      </w:r>
      <w:r w:rsidR="003D640C">
        <w:rPr>
          <w:lang w:eastAsia="en-NZ"/>
        </w:rPr>
        <w:t xml:space="preserve"> </w:t>
      </w:r>
    </w:p>
    <w:p w14:paraId="4C4AE71A" w14:textId="6CEFCC1F" w:rsidR="00E05778" w:rsidRDefault="00E05778" w:rsidP="009032B9">
      <w:pPr>
        <w:rPr>
          <w:lang w:eastAsia="en-NZ"/>
        </w:rPr>
      </w:pPr>
      <w:r>
        <w:rPr>
          <w:lang w:eastAsia="en-NZ"/>
        </w:rPr>
        <w:t>There</w:t>
      </w:r>
      <w:r w:rsidR="003D640C">
        <w:rPr>
          <w:lang w:eastAsia="en-NZ"/>
        </w:rPr>
        <w:t xml:space="preserve"> </w:t>
      </w:r>
      <w:r>
        <w:rPr>
          <w:lang w:eastAsia="en-NZ"/>
        </w:rPr>
        <w:t>are</w:t>
      </w:r>
      <w:r w:rsidR="003D640C">
        <w:rPr>
          <w:lang w:eastAsia="en-NZ"/>
        </w:rPr>
        <w:t xml:space="preserve"> </w:t>
      </w:r>
      <w:r>
        <w:rPr>
          <w:lang w:eastAsia="en-NZ"/>
        </w:rPr>
        <w:t>specific</w:t>
      </w:r>
      <w:r w:rsidR="003D640C">
        <w:rPr>
          <w:lang w:eastAsia="en-NZ"/>
        </w:rPr>
        <w:t xml:space="preserve"> </w:t>
      </w:r>
      <w:r>
        <w:rPr>
          <w:lang w:eastAsia="en-NZ"/>
        </w:rPr>
        <w:t>recommendations</w:t>
      </w:r>
      <w:r w:rsidR="003D640C">
        <w:rPr>
          <w:lang w:eastAsia="en-NZ"/>
        </w:rPr>
        <w:t xml:space="preserve"> </w:t>
      </w:r>
      <w:r>
        <w:rPr>
          <w:lang w:eastAsia="en-NZ"/>
        </w:rPr>
        <w:t>here</w:t>
      </w:r>
      <w:r w:rsidR="003D640C">
        <w:rPr>
          <w:lang w:eastAsia="en-NZ"/>
        </w:rPr>
        <w:t xml:space="preserve"> </w:t>
      </w:r>
      <w:r>
        <w:rPr>
          <w:lang w:eastAsia="en-NZ"/>
        </w:rPr>
        <w:t>for</w:t>
      </w:r>
      <w:r w:rsidR="003D640C">
        <w:rPr>
          <w:lang w:eastAsia="en-NZ"/>
        </w:rPr>
        <w:t xml:space="preserve"> </w:t>
      </w:r>
      <w:r>
        <w:rPr>
          <w:lang w:eastAsia="en-NZ"/>
        </w:rPr>
        <w:t>the</w:t>
      </w:r>
      <w:r w:rsidR="003D640C">
        <w:rPr>
          <w:lang w:eastAsia="en-NZ"/>
        </w:rPr>
        <w:t xml:space="preserve"> </w:t>
      </w:r>
      <w:r>
        <w:rPr>
          <w:lang w:eastAsia="en-NZ"/>
        </w:rPr>
        <w:t>media,</w:t>
      </w:r>
      <w:r w:rsidR="003D640C">
        <w:rPr>
          <w:lang w:eastAsia="en-NZ"/>
        </w:rPr>
        <w:t xml:space="preserve"> </w:t>
      </w:r>
      <w:r>
        <w:rPr>
          <w:lang w:eastAsia="en-NZ"/>
        </w:rPr>
        <w:t>for</w:t>
      </w:r>
      <w:r w:rsidR="003D640C">
        <w:rPr>
          <w:lang w:eastAsia="en-NZ"/>
        </w:rPr>
        <w:t xml:space="preserve"> </w:t>
      </w:r>
      <w:r>
        <w:rPr>
          <w:lang w:eastAsia="en-NZ"/>
        </w:rPr>
        <w:t>religious</w:t>
      </w:r>
      <w:r w:rsidR="003D640C">
        <w:rPr>
          <w:lang w:eastAsia="en-NZ"/>
        </w:rPr>
        <w:t xml:space="preserve"> </w:t>
      </w:r>
      <w:r>
        <w:rPr>
          <w:lang w:eastAsia="en-NZ"/>
        </w:rPr>
        <w:t>and</w:t>
      </w:r>
      <w:r w:rsidR="003D640C">
        <w:rPr>
          <w:lang w:eastAsia="en-NZ"/>
        </w:rPr>
        <w:t xml:space="preserve"> </w:t>
      </w:r>
      <w:r>
        <w:rPr>
          <w:lang w:eastAsia="en-NZ"/>
        </w:rPr>
        <w:t>faith</w:t>
      </w:r>
      <w:r w:rsidR="003D640C">
        <w:rPr>
          <w:lang w:eastAsia="en-NZ"/>
        </w:rPr>
        <w:t xml:space="preserve"> </w:t>
      </w:r>
      <w:r>
        <w:rPr>
          <w:lang w:eastAsia="en-NZ"/>
        </w:rPr>
        <w:t>communities,</w:t>
      </w:r>
      <w:r w:rsidR="003D640C">
        <w:rPr>
          <w:lang w:eastAsia="en-NZ"/>
        </w:rPr>
        <w:t xml:space="preserve"> </w:t>
      </w:r>
      <w:r>
        <w:rPr>
          <w:lang w:eastAsia="en-NZ"/>
        </w:rPr>
        <w:t>for</w:t>
      </w:r>
      <w:r w:rsidR="003D640C">
        <w:rPr>
          <w:lang w:eastAsia="en-NZ"/>
        </w:rPr>
        <w:t xml:space="preserve"> </w:t>
      </w:r>
      <w:r>
        <w:rPr>
          <w:lang w:eastAsia="en-NZ"/>
        </w:rPr>
        <w:t>mental</w:t>
      </w:r>
      <w:r w:rsidR="003D640C">
        <w:rPr>
          <w:lang w:eastAsia="en-NZ"/>
        </w:rPr>
        <w:t xml:space="preserve"> </w:t>
      </w:r>
      <w:r>
        <w:rPr>
          <w:lang w:eastAsia="en-NZ"/>
        </w:rPr>
        <w:t>health</w:t>
      </w:r>
      <w:r w:rsidR="003D640C">
        <w:rPr>
          <w:lang w:eastAsia="en-NZ"/>
        </w:rPr>
        <w:t xml:space="preserve"> </w:t>
      </w:r>
      <w:r>
        <w:rPr>
          <w:lang w:eastAsia="en-NZ"/>
        </w:rPr>
        <w:t>and</w:t>
      </w:r>
      <w:r w:rsidR="003D640C">
        <w:rPr>
          <w:lang w:eastAsia="en-NZ"/>
        </w:rPr>
        <w:t xml:space="preserve"> </w:t>
      </w:r>
      <w:r>
        <w:rPr>
          <w:lang w:eastAsia="en-NZ"/>
        </w:rPr>
        <w:t>medical</w:t>
      </w:r>
      <w:r w:rsidR="003D640C">
        <w:rPr>
          <w:lang w:eastAsia="en-NZ"/>
        </w:rPr>
        <w:t xml:space="preserve"> </w:t>
      </w:r>
      <w:r>
        <w:rPr>
          <w:lang w:eastAsia="en-NZ"/>
        </w:rPr>
        <w:t>healthcare</w:t>
      </w:r>
      <w:r w:rsidR="003D640C">
        <w:rPr>
          <w:lang w:eastAsia="en-NZ"/>
        </w:rPr>
        <w:t xml:space="preserve"> </w:t>
      </w:r>
      <w:r>
        <w:rPr>
          <w:lang w:eastAsia="en-NZ"/>
        </w:rPr>
        <w:t>practitioners</w:t>
      </w:r>
      <w:r w:rsidR="002510C6">
        <w:rPr>
          <w:lang w:eastAsia="en-NZ"/>
        </w:rPr>
        <w:t>,</w:t>
      </w:r>
      <w:r w:rsidR="003D640C">
        <w:rPr>
          <w:lang w:eastAsia="en-NZ"/>
        </w:rPr>
        <w:t xml:space="preserve"> </w:t>
      </w:r>
      <w:r w:rsidR="00C84473">
        <w:rPr>
          <w:lang w:eastAsia="en-NZ"/>
        </w:rPr>
        <w:t>and</w:t>
      </w:r>
      <w:r w:rsidR="003D640C">
        <w:rPr>
          <w:lang w:eastAsia="en-NZ"/>
        </w:rPr>
        <w:t xml:space="preserve"> </w:t>
      </w:r>
      <w:r w:rsidR="002510C6">
        <w:rPr>
          <w:lang w:eastAsia="en-NZ"/>
        </w:rPr>
        <w:t xml:space="preserve">for </w:t>
      </w:r>
      <w:r w:rsidR="00C84473">
        <w:rPr>
          <w:lang w:eastAsia="en-NZ"/>
        </w:rPr>
        <w:t>people</w:t>
      </w:r>
      <w:r w:rsidR="003D640C">
        <w:rPr>
          <w:lang w:eastAsia="en-NZ"/>
        </w:rPr>
        <w:t xml:space="preserve"> </w:t>
      </w:r>
      <w:r w:rsidR="00C84473">
        <w:rPr>
          <w:lang w:eastAsia="en-NZ"/>
        </w:rPr>
        <w:t>who</w:t>
      </w:r>
      <w:r w:rsidR="003D640C">
        <w:rPr>
          <w:lang w:eastAsia="en-NZ"/>
        </w:rPr>
        <w:t xml:space="preserve"> </w:t>
      </w:r>
      <w:r w:rsidR="00C84473">
        <w:rPr>
          <w:lang w:eastAsia="en-NZ"/>
        </w:rPr>
        <w:t>work</w:t>
      </w:r>
      <w:r w:rsidR="003D640C">
        <w:rPr>
          <w:lang w:eastAsia="en-NZ"/>
        </w:rPr>
        <w:t xml:space="preserve"> </w:t>
      </w:r>
      <w:r w:rsidR="00C84473">
        <w:rPr>
          <w:lang w:eastAsia="en-NZ"/>
        </w:rPr>
        <w:t>with</w:t>
      </w:r>
      <w:r w:rsidR="003D640C">
        <w:rPr>
          <w:lang w:eastAsia="en-NZ"/>
        </w:rPr>
        <w:t xml:space="preserve"> </w:t>
      </w:r>
      <w:r w:rsidR="00C84473">
        <w:rPr>
          <w:lang w:eastAsia="en-NZ"/>
        </w:rPr>
        <w:t>children</w:t>
      </w:r>
      <w:r w:rsidR="003D640C">
        <w:rPr>
          <w:lang w:eastAsia="en-NZ"/>
        </w:rPr>
        <w:t xml:space="preserve"> </w:t>
      </w:r>
      <w:r w:rsidR="00C84473">
        <w:rPr>
          <w:lang w:eastAsia="en-NZ"/>
        </w:rPr>
        <w:t>and</w:t>
      </w:r>
      <w:r w:rsidR="003D640C">
        <w:rPr>
          <w:lang w:eastAsia="en-NZ"/>
        </w:rPr>
        <w:t xml:space="preserve"> </w:t>
      </w:r>
      <w:r w:rsidR="00C84473">
        <w:rPr>
          <w:lang w:eastAsia="en-NZ"/>
        </w:rPr>
        <w:t>young</w:t>
      </w:r>
      <w:r w:rsidR="003D640C">
        <w:rPr>
          <w:lang w:eastAsia="en-NZ"/>
        </w:rPr>
        <w:t xml:space="preserve"> </w:t>
      </w:r>
      <w:r w:rsidR="00C84473">
        <w:rPr>
          <w:lang w:eastAsia="en-NZ"/>
        </w:rPr>
        <w:t>people</w:t>
      </w:r>
      <w:r>
        <w:rPr>
          <w:lang w:eastAsia="en-NZ"/>
        </w:rPr>
        <w:t>.</w:t>
      </w:r>
      <w:r w:rsidR="003D640C">
        <w:rPr>
          <w:lang w:eastAsia="en-NZ"/>
        </w:rPr>
        <w:t xml:space="preserve"> </w:t>
      </w:r>
      <w:r>
        <w:rPr>
          <w:lang w:eastAsia="en-NZ"/>
        </w:rPr>
        <w:t>These</w:t>
      </w:r>
      <w:r w:rsidR="003D640C">
        <w:rPr>
          <w:lang w:eastAsia="en-NZ"/>
        </w:rPr>
        <w:t xml:space="preserve"> </w:t>
      </w:r>
      <w:r>
        <w:rPr>
          <w:lang w:eastAsia="en-NZ"/>
        </w:rPr>
        <w:t>groups</w:t>
      </w:r>
      <w:r w:rsidR="003D640C">
        <w:rPr>
          <w:lang w:eastAsia="en-NZ"/>
        </w:rPr>
        <w:t xml:space="preserve"> </w:t>
      </w:r>
      <w:r w:rsidR="00C84473">
        <w:rPr>
          <w:lang w:eastAsia="en-NZ"/>
        </w:rPr>
        <w:t>each</w:t>
      </w:r>
      <w:r w:rsidR="003D640C">
        <w:rPr>
          <w:lang w:eastAsia="en-NZ"/>
        </w:rPr>
        <w:t xml:space="preserve"> </w:t>
      </w:r>
      <w:r w:rsidR="00C84473">
        <w:rPr>
          <w:lang w:eastAsia="en-NZ"/>
        </w:rPr>
        <w:t>have</w:t>
      </w:r>
      <w:r w:rsidR="003D640C">
        <w:rPr>
          <w:lang w:eastAsia="en-NZ"/>
        </w:rPr>
        <w:t xml:space="preserve"> </w:t>
      </w:r>
      <w:r w:rsidR="00C84473">
        <w:rPr>
          <w:lang w:eastAsia="en-NZ"/>
        </w:rPr>
        <w:t>specific</w:t>
      </w:r>
      <w:r w:rsidR="003D640C">
        <w:rPr>
          <w:lang w:eastAsia="en-NZ"/>
        </w:rPr>
        <w:t xml:space="preserve"> </w:t>
      </w:r>
      <w:r w:rsidR="005F3FCF">
        <w:rPr>
          <w:lang w:eastAsia="en-NZ"/>
        </w:rPr>
        <w:t>power</w:t>
      </w:r>
      <w:r w:rsidR="003D640C">
        <w:rPr>
          <w:lang w:eastAsia="en-NZ"/>
        </w:rPr>
        <w:t xml:space="preserve"> </w:t>
      </w:r>
      <w:r w:rsidR="005F3FCF">
        <w:rPr>
          <w:lang w:eastAsia="en-NZ"/>
        </w:rPr>
        <w:t>and</w:t>
      </w:r>
      <w:r w:rsidR="003D640C">
        <w:rPr>
          <w:lang w:eastAsia="en-NZ"/>
        </w:rPr>
        <w:t xml:space="preserve"> </w:t>
      </w:r>
      <w:r w:rsidR="005F3FCF">
        <w:rPr>
          <w:lang w:eastAsia="en-NZ"/>
        </w:rPr>
        <w:t>influence</w:t>
      </w:r>
      <w:r w:rsidR="003D640C">
        <w:rPr>
          <w:lang w:eastAsia="en-NZ"/>
        </w:rPr>
        <w:t xml:space="preserve"> </w:t>
      </w:r>
      <w:r w:rsidR="005F3FCF">
        <w:rPr>
          <w:lang w:eastAsia="en-NZ"/>
        </w:rPr>
        <w:t>in</w:t>
      </w:r>
      <w:r w:rsidR="003D640C">
        <w:rPr>
          <w:lang w:eastAsia="en-NZ"/>
        </w:rPr>
        <w:t xml:space="preserve"> </w:t>
      </w:r>
      <w:r w:rsidR="003252B4">
        <w:rPr>
          <w:lang w:eastAsia="en-NZ"/>
        </w:rPr>
        <w:t>creating</w:t>
      </w:r>
      <w:r w:rsidR="003D640C">
        <w:rPr>
          <w:lang w:eastAsia="en-NZ"/>
        </w:rPr>
        <w:t xml:space="preserve"> </w:t>
      </w:r>
      <w:r w:rsidR="005F3FCF">
        <w:rPr>
          <w:lang w:eastAsia="en-NZ"/>
        </w:rPr>
        <w:t>the</w:t>
      </w:r>
      <w:r w:rsidR="003D640C">
        <w:rPr>
          <w:lang w:eastAsia="en-NZ"/>
        </w:rPr>
        <w:t xml:space="preserve"> </w:t>
      </w:r>
      <w:r w:rsidR="005F3FCF">
        <w:rPr>
          <w:lang w:eastAsia="en-NZ"/>
        </w:rPr>
        <w:t>conditions</w:t>
      </w:r>
      <w:r w:rsidR="003D640C">
        <w:rPr>
          <w:lang w:eastAsia="en-NZ"/>
        </w:rPr>
        <w:t xml:space="preserve"> </w:t>
      </w:r>
      <w:r w:rsidR="003252B4">
        <w:rPr>
          <w:lang w:eastAsia="en-NZ"/>
        </w:rPr>
        <w:t>in</w:t>
      </w:r>
      <w:r w:rsidR="003D640C">
        <w:rPr>
          <w:lang w:eastAsia="en-NZ"/>
        </w:rPr>
        <w:t xml:space="preserve"> </w:t>
      </w:r>
      <w:r w:rsidR="003252B4">
        <w:rPr>
          <w:lang w:eastAsia="en-NZ"/>
        </w:rPr>
        <w:t>Aotearoa</w:t>
      </w:r>
      <w:r w:rsidR="003D640C">
        <w:rPr>
          <w:lang w:eastAsia="en-NZ"/>
        </w:rPr>
        <w:t xml:space="preserve"> </w:t>
      </w:r>
      <w:r w:rsidR="003252B4">
        <w:rPr>
          <w:lang w:eastAsia="en-NZ"/>
        </w:rPr>
        <w:t>to</w:t>
      </w:r>
      <w:r w:rsidR="003D640C">
        <w:rPr>
          <w:lang w:eastAsia="en-NZ"/>
        </w:rPr>
        <w:t xml:space="preserve"> </w:t>
      </w:r>
      <w:r w:rsidR="000C4CC4">
        <w:rPr>
          <w:lang w:eastAsia="en-NZ"/>
        </w:rPr>
        <w:t>end</w:t>
      </w:r>
      <w:r w:rsidR="003D640C">
        <w:rPr>
          <w:lang w:eastAsia="en-NZ"/>
        </w:rPr>
        <w:t xml:space="preserve"> </w:t>
      </w:r>
      <w:r w:rsidR="000C4CC4">
        <w:rPr>
          <w:lang w:eastAsia="en-NZ"/>
        </w:rPr>
        <w:t>conversion</w:t>
      </w:r>
      <w:r w:rsidR="003D640C">
        <w:rPr>
          <w:lang w:eastAsia="en-NZ"/>
        </w:rPr>
        <w:t xml:space="preserve"> </w:t>
      </w:r>
      <w:r w:rsidR="000C4CC4">
        <w:rPr>
          <w:lang w:eastAsia="en-NZ"/>
        </w:rPr>
        <w:t>practices</w:t>
      </w:r>
      <w:r w:rsidR="003D640C">
        <w:rPr>
          <w:lang w:eastAsia="en-NZ"/>
        </w:rPr>
        <w:t xml:space="preserve"> </w:t>
      </w:r>
      <w:r w:rsidR="00263F96">
        <w:rPr>
          <w:lang w:eastAsia="en-NZ"/>
        </w:rPr>
        <w:t>and</w:t>
      </w:r>
      <w:r w:rsidR="003D640C">
        <w:rPr>
          <w:lang w:eastAsia="en-NZ"/>
        </w:rPr>
        <w:t xml:space="preserve"> </w:t>
      </w:r>
      <w:r w:rsidR="00263F96">
        <w:rPr>
          <w:lang w:eastAsia="en-NZ"/>
        </w:rPr>
        <w:t>supporting</w:t>
      </w:r>
      <w:r w:rsidR="003D640C">
        <w:rPr>
          <w:lang w:eastAsia="en-NZ"/>
        </w:rPr>
        <w:t xml:space="preserve"> </w:t>
      </w:r>
      <w:r w:rsidR="00263F96">
        <w:rPr>
          <w:lang w:eastAsia="en-NZ"/>
        </w:rPr>
        <w:t>those</w:t>
      </w:r>
      <w:r w:rsidR="003D640C">
        <w:rPr>
          <w:lang w:eastAsia="en-NZ"/>
        </w:rPr>
        <w:t xml:space="preserve"> </w:t>
      </w:r>
      <w:r w:rsidR="00263F96">
        <w:rPr>
          <w:lang w:eastAsia="en-NZ"/>
        </w:rPr>
        <w:t>who</w:t>
      </w:r>
      <w:r w:rsidR="003D640C">
        <w:rPr>
          <w:lang w:eastAsia="en-NZ"/>
        </w:rPr>
        <w:t xml:space="preserve"> </w:t>
      </w:r>
      <w:r w:rsidR="00263F96">
        <w:rPr>
          <w:lang w:eastAsia="en-NZ"/>
        </w:rPr>
        <w:t>experience</w:t>
      </w:r>
      <w:r w:rsidR="003D640C">
        <w:rPr>
          <w:lang w:eastAsia="en-NZ"/>
        </w:rPr>
        <w:t xml:space="preserve"> </w:t>
      </w:r>
      <w:r w:rsidR="00263F96">
        <w:rPr>
          <w:lang w:eastAsia="en-NZ"/>
        </w:rPr>
        <w:t>them</w:t>
      </w:r>
      <w:r w:rsidR="003D640C">
        <w:rPr>
          <w:lang w:eastAsia="en-NZ"/>
        </w:rPr>
        <w:t xml:space="preserve"> </w:t>
      </w:r>
      <w:r w:rsidR="00263F96">
        <w:rPr>
          <w:lang w:eastAsia="en-NZ"/>
        </w:rPr>
        <w:t>to</w:t>
      </w:r>
      <w:r w:rsidR="003D640C">
        <w:rPr>
          <w:lang w:eastAsia="en-NZ"/>
        </w:rPr>
        <w:t xml:space="preserve"> </w:t>
      </w:r>
      <w:r w:rsidR="00263F96">
        <w:rPr>
          <w:lang w:eastAsia="en-NZ"/>
        </w:rPr>
        <w:t>exit</w:t>
      </w:r>
      <w:r w:rsidR="003D640C">
        <w:rPr>
          <w:lang w:eastAsia="en-NZ"/>
        </w:rPr>
        <w:t xml:space="preserve"> </w:t>
      </w:r>
      <w:r w:rsidR="00263F96">
        <w:rPr>
          <w:lang w:eastAsia="en-NZ"/>
        </w:rPr>
        <w:t>and</w:t>
      </w:r>
      <w:r w:rsidR="003D640C">
        <w:rPr>
          <w:lang w:eastAsia="en-NZ"/>
        </w:rPr>
        <w:t xml:space="preserve"> </w:t>
      </w:r>
      <w:r w:rsidR="00263F96">
        <w:rPr>
          <w:lang w:eastAsia="en-NZ"/>
        </w:rPr>
        <w:t>heal</w:t>
      </w:r>
      <w:r w:rsidR="003D640C">
        <w:rPr>
          <w:lang w:eastAsia="en-NZ"/>
        </w:rPr>
        <w:t xml:space="preserve"> </w:t>
      </w:r>
      <w:r w:rsidR="00263F96">
        <w:rPr>
          <w:lang w:eastAsia="en-NZ"/>
        </w:rPr>
        <w:t>from</w:t>
      </w:r>
      <w:r w:rsidR="003D640C">
        <w:rPr>
          <w:lang w:eastAsia="en-NZ"/>
        </w:rPr>
        <w:t xml:space="preserve"> </w:t>
      </w:r>
      <w:r w:rsidR="00263F96">
        <w:rPr>
          <w:lang w:eastAsia="en-NZ"/>
        </w:rPr>
        <w:t>them</w:t>
      </w:r>
      <w:r w:rsidR="003252B4">
        <w:rPr>
          <w:lang w:eastAsia="en-NZ"/>
        </w:rPr>
        <w:t>.</w:t>
      </w:r>
      <w:r w:rsidR="003D640C">
        <w:rPr>
          <w:lang w:eastAsia="en-NZ"/>
        </w:rPr>
        <w:t xml:space="preserve"> </w:t>
      </w:r>
    </w:p>
    <w:p w14:paraId="52E8A291" w14:textId="1299063B" w:rsidR="00C84473" w:rsidRDefault="00784F79" w:rsidP="009032B9">
      <w:pPr>
        <w:rPr>
          <w:lang w:eastAsia="en-NZ"/>
        </w:rPr>
      </w:pPr>
      <w:r w:rsidRPr="009A4EE2">
        <w:rPr>
          <w:rFonts w:ascii="Calibri" w:eastAsia="Times New Roman" w:hAnsi="Calibri" w:cs="Calibri"/>
          <w:lang w:eastAsia="en-NZ"/>
        </w:rPr>
        <w:t>The</w:t>
      </w:r>
      <w:r w:rsidR="003D640C">
        <w:rPr>
          <w:rFonts w:ascii="Calibri" w:eastAsia="Times New Roman" w:hAnsi="Calibri" w:cs="Calibri"/>
          <w:lang w:eastAsia="en-NZ"/>
        </w:rPr>
        <w:t xml:space="preserve"> </w:t>
      </w:r>
      <w:r w:rsidRPr="009A4EE2">
        <w:rPr>
          <w:rFonts w:ascii="Calibri" w:eastAsia="Times New Roman" w:hAnsi="Calibri" w:cs="Calibri"/>
          <w:lang w:eastAsia="en-NZ"/>
        </w:rPr>
        <w:t>overarching</w:t>
      </w:r>
      <w:r w:rsidR="003D640C">
        <w:rPr>
          <w:rFonts w:ascii="Calibri" w:eastAsia="Times New Roman" w:hAnsi="Calibri" w:cs="Calibri"/>
          <w:lang w:eastAsia="en-NZ"/>
        </w:rPr>
        <w:t xml:space="preserve"> </w:t>
      </w:r>
      <w:r w:rsidRPr="009A4EE2">
        <w:rPr>
          <w:rFonts w:ascii="Calibri" w:eastAsia="Times New Roman" w:hAnsi="Calibri" w:cs="Calibri"/>
          <w:lang w:eastAsia="en-NZ"/>
        </w:rPr>
        <w:t>approach</w:t>
      </w:r>
      <w:r w:rsidR="003D640C">
        <w:rPr>
          <w:rFonts w:ascii="Calibri" w:eastAsia="Times New Roman" w:hAnsi="Calibri" w:cs="Calibri"/>
          <w:lang w:eastAsia="en-NZ"/>
        </w:rPr>
        <w:t xml:space="preserve"> </w:t>
      </w:r>
      <w:r w:rsidRPr="009A4EE2">
        <w:rPr>
          <w:rFonts w:ascii="Calibri" w:eastAsia="Times New Roman" w:hAnsi="Calibri" w:cs="Calibri"/>
          <w:lang w:eastAsia="en-NZ"/>
        </w:rPr>
        <w:t>to</w:t>
      </w:r>
      <w:r w:rsidR="003D640C">
        <w:rPr>
          <w:rFonts w:ascii="Calibri" w:eastAsia="Times New Roman" w:hAnsi="Calibri" w:cs="Calibri"/>
          <w:lang w:eastAsia="en-NZ"/>
        </w:rPr>
        <w:t xml:space="preserve"> </w:t>
      </w:r>
      <w:r w:rsidRPr="009A4EE2">
        <w:rPr>
          <w:rFonts w:ascii="Calibri" w:eastAsia="Times New Roman" w:hAnsi="Calibri" w:cs="Calibri"/>
          <w:lang w:eastAsia="en-NZ"/>
        </w:rPr>
        <w:t>addressing</w:t>
      </w:r>
      <w:r w:rsidR="003D640C">
        <w:rPr>
          <w:rFonts w:ascii="Calibri" w:eastAsia="Times New Roman" w:hAnsi="Calibri" w:cs="Calibri"/>
          <w:lang w:eastAsia="en-NZ"/>
        </w:rPr>
        <w:t xml:space="preserve"> </w:t>
      </w:r>
      <w:r w:rsidRPr="009A4EE2">
        <w:rPr>
          <w:rFonts w:ascii="Calibri" w:eastAsia="Times New Roman" w:hAnsi="Calibri" w:cs="Calibri"/>
          <w:lang w:eastAsia="en-NZ"/>
        </w:rPr>
        <w:t>conversion</w:t>
      </w:r>
      <w:r w:rsidR="003D640C">
        <w:rPr>
          <w:rFonts w:ascii="Calibri" w:eastAsia="Times New Roman" w:hAnsi="Calibri" w:cs="Calibri"/>
          <w:lang w:eastAsia="en-NZ"/>
        </w:rPr>
        <w:t xml:space="preserve"> </w:t>
      </w:r>
      <w:r w:rsidRPr="009A4EE2">
        <w:rPr>
          <w:rFonts w:ascii="Calibri" w:eastAsia="Times New Roman" w:hAnsi="Calibri" w:cs="Calibri"/>
          <w:lang w:eastAsia="en-NZ"/>
        </w:rPr>
        <w:t>practices</w:t>
      </w:r>
      <w:r w:rsidR="003D640C">
        <w:rPr>
          <w:rFonts w:ascii="Calibri" w:eastAsia="Times New Roman" w:hAnsi="Calibri" w:cs="Calibri"/>
          <w:lang w:eastAsia="en-NZ"/>
        </w:rPr>
        <w:t xml:space="preserve"> </w:t>
      </w:r>
      <w:r w:rsidRPr="009A4EE2">
        <w:rPr>
          <w:rFonts w:ascii="Calibri" w:eastAsia="Times New Roman" w:hAnsi="Calibri" w:cs="Calibri"/>
          <w:lang w:eastAsia="en-NZ"/>
        </w:rPr>
        <w:t>for</w:t>
      </w:r>
      <w:r w:rsidR="003D640C">
        <w:rPr>
          <w:rFonts w:ascii="Calibri" w:eastAsia="Times New Roman" w:hAnsi="Calibri" w:cs="Calibri"/>
          <w:lang w:eastAsia="en-NZ"/>
        </w:rPr>
        <w:t xml:space="preserve"> </w:t>
      </w:r>
      <w:r w:rsidRPr="009A4EE2">
        <w:rPr>
          <w:rFonts w:ascii="Calibri" w:eastAsia="Times New Roman" w:hAnsi="Calibri" w:cs="Calibri"/>
          <w:lang w:eastAsia="en-NZ"/>
        </w:rPr>
        <w:t>Māori</w:t>
      </w:r>
      <w:r w:rsidR="003D640C">
        <w:rPr>
          <w:rFonts w:ascii="Calibri" w:eastAsia="Times New Roman" w:hAnsi="Calibri" w:cs="Calibri"/>
          <w:lang w:eastAsia="en-NZ"/>
        </w:rPr>
        <w:t xml:space="preserve"> </w:t>
      </w:r>
      <w:r w:rsidRPr="009A4EE2">
        <w:rPr>
          <w:rFonts w:ascii="Calibri" w:eastAsia="Times New Roman" w:hAnsi="Calibri" w:cs="Calibri"/>
          <w:lang w:eastAsia="en-NZ"/>
        </w:rPr>
        <w:t>needs</w:t>
      </w:r>
      <w:r w:rsidR="003D640C">
        <w:rPr>
          <w:rFonts w:ascii="Calibri" w:eastAsia="Times New Roman" w:hAnsi="Calibri" w:cs="Calibri"/>
          <w:lang w:eastAsia="en-NZ"/>
        </w:rPr>
        <w:t xml:space="preserve"> </w:t>
      </w:r>
      <w:r w:rsidRPr="009A4EE2">
        <w:rPr>
          <w:rFonts w:ascii="Calibri" w:eastAsia="Times New Roman" w:hAnsi="Calibri" w:cs="Calibri"/>
          <w:lang w:eastAsia="en-NZ"/>
        </w:rPr>
        <w:t>to</w:t>
      </w:r>
      <w:r w:rsidR="003D640C">
        <w:rPr>
          <w:rFonts w:ascii="Calibri" w:eastAsia="Times New Roman" w:hAnsi="Calibri" w:cs="Calibri"/>
          <w:lang w:eastAsia="en-NZ"/>
        </w:rPr>
        <w:t xml:space="preserve"> </w:t>
      </w:r>
      <w:r w:rsidRPr="009A4EE2">
        <w:rPr>
          <w:rFonts w:ascii="Calibri" w:eastAsia="Times New Roman" w:hAnsi="Calibri" w:cs="Calibri"/>
          <w:lang w:eastAsia="en-NZ"/>
        </w:rPr>
        <w:t>focus</w:t>
      </w:r>
      <w:r w:rsidR="003D640C">
        <w:rPr>
          <w:rFonts w:ascii="Calibri" w:eastAsia="Times New Roman" w:hAnsi="Calibri" w:cs="Calibri"/>
          <w:lang w:eastAsia="en-NZ"/>
        </w:rPr>
        <w:t xml:space="preserve"> </w:t>
      </w:r>
      <w:r w:rsidRPr="009A4EE2">
        <w:rPr>
          <w:rFonts w:ascii="Calibri" w:eastAsia="Times New Roman" w:hAnsi="Calibri" w:cs="Calibri"/>
          <w:lang w:eastAsia="en-NZ"/>
        </w:rPr>
        <w:t>on</w:t>
      </w:r>
      <w:r w:rsidR="003D640C">
        <w:rPr>
          <w:rFonts w:ascii="Calibri" w:eastAsia="Times New Roman" w:hAnsi="Calibri" w:cs="Calibri"/>
          <w:lang w:eastAsia="en-NZ"/>
        </w:rPr>
        <w:t xml:space="preserve"> </w:t>
      </w:r>
      <w:r w:rsidR="0073381D">
        <w:rPr>
          <w:rFonts w:ascii="Calibri" w:eastAsia="Times New Roman" w:hAnsi="Calibri" w:cs="Calibri"/>
          <w:lang w:eastAsia="en-NZ"/>
        </w:rPr>
        <w:t xml:space="preserve">enacting </w:t>
      </w:r>
      <w:r w:rsidRPr="009A4EE2">
        <w:rPr>
          <w:rFonts w:ascii="Calibri" w:eastAsia="Times New Roman" w:hAnsi="Calibri" w:cs="Calibri"/>
          <w:lang w:eastAsia="en-NZ"/>
        </w:rPr>
        <w:t>tino</w:t>
      </w:r>
      <w:r w:rsidR="003D640C">
        <w:rPr>
          <w:rFonts w:ascii="Calibri" w:eastAsia="Times New Roman" w:hAnsi="Calibri" w:cs="Calibri"/>
          <w:lang w:eastAsia="en-NZ"/>
        </w:rPr>
        <w:t xml:space="preserve"> </w:t>
      </w:r>
      <w:r w:rsidRPr="009A4EE2">
        <w:rPr>
          <w:rFonts w:ascii="Calibri" w:eastAsia="Times New Roman" w:hAnsi="Calibri" w:cs="Calibri"/>
          <w:lang w:eastAsia="en-NZ"/>
        </w:rPr>
        <w:t>rangatiratanga.</w:t>
      </w:r>
      <w:r w:rsidR="003D640C">
        <w:rPr>
          <w:rFonts w:ascii="Calibri" w:eastAsia="Times New Roman" w:hAnsi="Calibri" w:cs="Calibri"/>
          <w:lang w:eastAsia="en-NZ"/>
        </w:rPr>
        <w:t xml:space="preserve"> </w:t>
      </w:r>
      <w:r w:rsidR="00C84473">
        <w:rPr>
          <w:lang w:eastAsia="en-NZ"/>
        </w:rPr>
        <w:t>Because</w:t>
      </w:r>
      <w:r w:rsidR="003D640C">
        <w:rPr>
          <w:lang w:eastAsia="en-NZ"/>
        </w:rPr>
        <w:t xml:space="preserve"> </w:t>
      </w:r>
      <w:r w:rsidR="00C84473">
        <w:rPr>
          <w:lang w:eastAsia="en-NZ"/>
        </w:rPr>
        <w:t>of</w:t>
      </w:r>
      <w:r w:rsidR="003D640C">
        <w:rPr>
          <w:lang w:eastAsia="en-NZ"/>
        </w:rPr>
        <w:t xml:space="preserve"> </w:t>
      </w:r>
      <w:r w:rsidR="00C84473">
        <w:rPr>
          <w:lang w:eastAsia="en-NZ"/>
        </w:rPr>
        <w:t>the</w:t>
      </w:r>
      <w:r w:rsidR="003D640C">
        <w:rPr>
          <w:lang w:eastAsia="en-NZ"/>
        </w:rPr>
        <w:t xml:space="preserve"> </w:t>
      </w:r>
      <w:r w:rsidR="00C84473">
        <w:rPr>
          <w:lang w:eastAsia="en-NZ"/>
        </w:rPr>
        <w:t>role</w:t>
      </w:r>
      <w:r w:rsidR="003D640C">
        <w:rPr>
          <w:lang w:eastAsia="en-NZ"/>
        </w:rPr>
        <w:t xml:space="preserve"> </w:t>
      </w:r>
      <w:r w:rsidR="00C84473">
        <w:rPr>
          <w:lang w:eastAsia="en-NZ"/>
        </w:rPr>
        <w:t>that</w:t>
      </w:r>
      <w:r w:rsidR="003D640C">
        <w:rPr>
          <w:lang w:eastAsia="en-NZ"/>
        </w:rPr>
        <w:t xml:space="preserve"> </w:t>
      </w:r>
      <w:r w:rsidR="00C84473">
        <w:rPr>
          <w:lang w:eastAsia="en-NZ"/>
        </w:rPr>
        <w:t>colonisation</w:t>
      </w:r>
      <w:r w:rsidR="003D640C">
        <w:rPr>
          <w:lang w:eastAsia="en-NZ"/>
        </w:rPr>
        <w:t xml:space="preserve"> </w:t>
      </w:r>
      <w:r w:rsidR="00C84473">
        <w:rPr>
          <w:lang w:eastAsia="en-NZ"/>
        </w:rPr>
        <w:t>has</w:t>
      </w:r>
      <w:r w:rsidR="003D640C">
        <w:rPr>
          <w:lang w:eastAsia="en-NZ"/>
        </w:rPr>
        <w:t xml:space="preserve"> </w:t>
      </w:r>
      <w:r w:rsidR="00C84473">
        <w:rPr>
          <w:lang w:eastAsia="en-NZ"/>
        </w:rPr>
        <w:t>played</w:t>
      </w:r>
      <w:r w:rsidR="003D640C">
        <w:rPr>
          <w:lang w:eastAsia="en-NZ"/>
        </w:rPr>
        <w:t xml:space="preserve"> </w:t>
      </w:r>
      <w:r w:rsidR="00C84473">
        <w:rPr>
          <w:lang w:eastAsia="en-NZ"/>
        </w:rPr>
        <w:t>in</w:t>
      </w:r>
      <w:r w:rsidR="003D640C">
        <w:rPr>
          <w:lang w:eastAsia="en-NZ"/>
        </w:rPr>
        <w:t xml:space="preserve"> </w:t>
      </w:r>
      <w:r w:rsidR="00C84473">
        <w:rPr>
          <w:lang w:eastAsia="en-NZ"/>
        </w:rPr>
        <w:t>creating</w:t>
      </w:r>
      <w:r w:rsidR="003D640C">
        <w:rPr>
          <w:lang w:eastAsia="en-NZ"/>
        </w:rPr>
        <w:t xml:space="preserve"> </w:t>
      </w:r>
      <w:r w:rsidR="00C84473">
        <w:rPr>
          <w:lang w:eastAsia="en-NZ"/>
        </w:rPr>
        <w:t>the</w:t>
      </w:r>
      <w:r w:rsidR="003D640C">
        <w:rPr>
          <w:lang w:eastAsia="en-NZ"/>
        </w:rPr>
        <w:t xml:space="preserve"> </w:t>
      </w:r>
      <w:r w:rsidR="00C84473">
        <w:rPr>
          <w:lang w:eastAsia="en-NZ"/>
        </w:rPr>
        <w:t>conditions</w:t>
      </w:r>
      <w:r w:rsidR="003D640C">
        <w:rPr>
          <w:lang w:eastAsia="en-NZ"/>
        </w:rPr>
        <w:t xml:space="preserve"> </w:t>
      </w:r>
      <w:r w:rsidR="00C84473">
        <w:rPr>
          <w:lang w:eastAsia="en-NZ"/>
        </w:rPr>
        <w:t>for</w:t>
      </w:r>
      <w:r w:rsidR="003D640C">
        <w:rPr>
          <w:lang w:eastAsia="en-NZ"/>
        </w:rPr>
        <w:t xml:space="preserve"> </w:t>
      </w:r>
      <w:r w:rsidR="00C84473">
        <w:rPr>
          <w:lang w:eastAsia="en-NZ"/>
        </w:rPr>
        <w:lastRenderedPageBreak/>
        <w:t>conversion</w:t>
      </w:r>
      <w:r w:rsidR="003D640C">
        <w:rPr>
          <w:lang w:eastAsia="en-NZ"/>
        </w:rPr>
        <w:t xml:space="preserve"> </w:t>
      </w:r>
      <w:r w:rsidR="00C84473">
        <w:rPr>
          <w:lang w:eastAsia="en-NZ"/>
        </w:rPr>
        <w:t>practices,</w:t>
      </w:r>
      <w:r w:rsidR="003D640C">
        <w:rPr>
          <w:lang w:eastAsia="en-NZ"/>
        </w:rPr>
        <w:t xml:space="preserve"> </w:t>
      </w:r>
      <w:r w:rsidR="00C84473">
        <w:rPr>
          <w:lang w:eastAsia="en-NZ"/>
        </w:rPr>
        <w:t>there</w:t>
      </w:r>
      <w:r w:rsidR="003D640C">
        <w:rPr>
          <w:lang w:eastAsia="en-NZ"/>
        </w:rPr>
        <w:t xml:space="preserve"> </w:t>
      </w:r>
      <w:r w:rsidR="00C84473">
        <w:rPr>
          <w:lang w:eastAsia="en-NZ"/>
        </w:rPr>
        <w:t>are</w:t>
      </w:r>
      <w:r w:rsidR="003D640C">
        <w:rPr>
          <w:lang w:eastAsia="en-NZ"/>
        </w:rPr>
        <w:t xml:space="preserve"> </w:t>
      </w:r>
      <w:r w:rsidR="00C84473">
        <w:rPr>
          <w:lang w:eastAsia="en-NZ"/>
        </w:rPr>
        <w:t>also</w:t>
      </w:r>
      <w:r w:rsidR="003D640C">
        <w:rPr>
          <w:lang w:eastAsia="en-NZ"/>
        </w:rPr>
        <w:t xml:space="preserve"> </w:t>
      </w:r>
      <w:r w:rsidR="00C84473">
        <w:rPr>
          <w:lang w:eastAsia="en-NZ"/>
        </w:rPr>
        <w:t>specific</w:t>
      </w:r>
      <w:r w:rsidR="003D640C">
        <w:rPr>
          <w:lang w:eastAsia="en-NZ"/>
        </w:rPr>
        <w:t xml:space="preserve"> </w:t>
      </w:r>
      <w:r w:rsidR="00C84473">
        <w:rPr>
          <w:lang w:eastAsia="en-NZ"/>
        </w:rPr>
        <w:t>recommendations</w:t>
      </w:r>
      <w:r w:rsidR="003D640C">
        <w:rPr>
          <w:lang w:eastAsia="en-NZ"/>
        </w:rPr>
        <w:t xml:space="preserve"> </w:t>
      </w:r>
      <w:r w:rsidR="00DD24E6">
        <w:rPr>
          <w:lang w:eastAsia="en-NZ"/>
        </w:rPr>
        <w:t xml:space="preserve">to support </w:t>
      </w:r>
      <w:r w:rsidR="00C84473">
        <w:rPr>
          <w:lang w:eastAsia="en-NZ"/>
        </w:rPr>
        <w:t>Māori</w:t>
      </w:r>
      <w:r w:rsidR="003D640C">
        <w:rPr>
          <w:lang w:eastAsia="en-NZ"/>
        </w:rPr>
        <w:t xml:space="preserve"> </w:t>
      </w:r>
      <w:r w:rsidR="00C84473">
        <w:rPr>
          <w:lang w:eastAsia="en-NZ"/>
        </w:rPr>
        <w:t>communities</w:t>
      </w:r>
      <w:r w:rsidR="003D640C">
        <w:rPr>
          <w:lang w:eastAsia="en-NZ"/>
        </w:rPr>
        <w:t xml:space="preserve"> </w:t>
      </w:r>
      <w:r w:rsidR="00C84473">
        <w:rPr>
          <w:lang w:eastAsia="en-NZ"/>
        </w:rPr>
        <w:t>–</w:t>
      </w:r>
      <w:r w:rsidR="003D640C">
        <w:rPr>
          <w:lang w:eastAsia="en-NZ"/>
        </w:rPr>
        <w:t xml:space="preserve"> </w:t>
      </w:r>
      <w:r w:rsidR="00C84473">
        <w:rPr>
          <w:lang w:eastAsia="en-NZ"/>
        </w:rPr>
        <w:t>r</w:t>
      </w:r>
      <w:r w:rsidR="00C84473" w:rsidRPr="00BB6220">
        <w:rPr>
          <w:rFonts w:eastAsia="Times New Roman"/>
          <w:lang w:eastAsia="en-NZ"/>
        </w:rPr>
        <w:t>evitalising</w:t>
      </w:r>
      <w:r w:rsidR="003D640C">
        <w:rPr>
          <w:rFonts w:eastAsia="Times New Roman"/>
          <w:lang w:eastAsia="en-NZ"/>
        </w:rPr>
        <w:t xml:space="preserve"> </w:t>
      </w:r>
      <w:r w:rsidR="00C84473" w:rsidRPr="00BB6220">
        <w:rPr>
          <w:rFonts w:eastAsia="Times New Roman"/>
          <w:lang w:eastAsia="en-NZ"/>
        </w:rPr>
        <w:t>mātauranga</w:t>
      </w:r>
      <w:r w:rsidR="003D640C">
        <w:rPr>
          <w:rFonts w:eastAsia="Times New Roman"/>
          <w:lang w:eastAsia="en-NZ"/>
        </w:rPr>
        <w:t xml:space="preserve"> </w:t>
      </w:r>
      <w:r w:rsidR="00C84473" w:rsidRPr="00BB6220">
        <w:rPr>
          <w:rFonts w:eastAsia="Times New Roman"/>
          <w:lang w:eastAsia="en-NZ"/>
        </w:rPr>
        <w:t>Māori</w:t>
      </w:r>
      <w:r w:rsidR="003D640C">
        <w:rPr>
          <w:rFonts w:eastAsia="Times New Roman"/>
          <w:lang w:eastAsia="en-NZ"/>
        </w:rPr>
        <w:t xml:space="preserve"> </w:t>
      </w:r>
      <w:r w:rsidR="00C84473" w:rsidRPr="00BB6220">
        <w:rPr>
          <w:rFonts w:eastAsia="Times New Roman"/>
          <w:lang w:eastAsia="en-NZ"/>
        </w:rPr>
        <w:t>can</w:t>
      </w:r>
      <w:r w:rsidR="003D640C">
        <w:rPr>
          <w:rFonts w:eastAsia="Times New Roman"/>
          <w:lang w:eastAsia="en-NZ"/>
        </w:rPr>
        <w:t xml:space="preserve"> </w:t>
      </w:r>
      <w:r w:rsidR="00C84473" w:rsidRPr="00BB6220">
        <w:rPr>
          <w:rFonts w:eastAsia="Times New Roman"/>
          <w:lang w:eastAsia="en-NZ"/>
        </w:rPr>
        <w:t>counter</w:t>
      </w:r>
      <w:r w:rsidR="003D640C">
        <w:rPr>
          <w:rFonts w:eastAsia="Times New Roman"/>
          <w:lang w:eastAsia="en-NZ"/>
        </w:rPr>
        <w:t xml:space="preserve"> </w:t>
      </w:r>
      <w:r w:rsidR="00C84473" w:rsidRPr="00BB6220">
        <w:rPr>
          <w:rFonts w:eastAsia="Times New Roman"/>
          <w:lang w:eastAsia="en-NZ"/>
        </w:rPr>
        <w:t>and</w:t>
      </w:r>
      <w:r w:rsidR="003D640C">
        <w:rPr>
          <w:rFonts w:eastAsia="Times New Roman"/>
          <w:lang w:eastAsia="en-NZ"/>
        </w:rPr>
        <w:t xml:space="preserve"> </w:t>
      </w:r>
      <w:r w:rsidR="00C84473" w:rsidRPr="00BB6220">
        <w:rPr>
          <w:rFonts w:eastAsia="Times New Roman"/>
          <w:lang w:eastAsia="en-NZ"/>
        </w:rPr>
        <w:t>prevent</w:t>
      </w:r>
      <w:r w:rsidR="003D640C">
        <w:rPr>
          <w:rFonts w:eastAsia="Times New Roman"/>
          <w:lang w:eastAsia="en-NZ"/>
        </w:rPr>
        <w:t xml:space="preserve"> </w:t>
      </w:r>
      <w:r w:rsidR="00C84473" w:rsidRPr="00BB6220">
        <w:rPr>
          <w:rFonts w:eastAsia="Times New Roman"/>
          <w:lang w:eastAsia="en-NZ"/>
        </w:rPr>
        <w:t>conversion</w:t>
      </w:r>
      <w:r w:rsidR="003D640C">
        <w:rPr>
          <w:rFonts w:eastAsia="Times New Roman"/>
          <w:lang w:eastAsia="en-NZ"/>
        </w:rPr>
        <w:t xml:space="preserve"> </w:t>
      </w:r>
      <w:r w:rsidR="00C84473" w:rsidRPr="00BB6220">
        <w:rPr>
          <w:rFonts w:eastAsia="Times New Roman"/>
          <w:lang w:eastAsia="en-NZ"/>
        </w:rPr>
        <w:t>practices</w:t>
      </w:r>
      <w:r w:rsidR="003D640C">
        <w:rPr>
          <w:rFonts w:eastAsia="Times New Roman"/>
          <w:lang w:eastAsia="en-NZ"/>
        </w:rPr>
        <w:t xml:space="preserve"> </w:t>
      </w:r>
      <w:r w:rsidR="00C84473">
        <w:rPr>
          <w:rFonts w:eastAsia="Times New Roman"/>
          <w:lang w:eastAsia="en-NZ"/>
        </w:rPr>
        <w:t>–</w:t>
      </w:r>
      <w:r w:rsidR="003D640C">
        <w:rPr>
          <w:rFonts w:eastAsia="Times New Roman"/>
          <w:lang w:eastAsia="en-NZ"/>
        </w:rPr>
        <w:t xml:space="preserve"> </w:t>
      </w:r>
      <w:r w:rsidR="00C84473">
        <w:rPr>
          <w:rFonts w:eastAsia="Times New Roman"/>
          <w:lang w:eastAsia="en-NZ"/>
        </w:rPr>
        <w:t>and</w:t>
      </w:r>
      <w:r w:rsidR="003D640C">
        <w:rPr>
          <w:rFonts w:eastAsia="Times New Roman"/>
          <w:lang w:eastAsia="en-NZ"/>
        </w:rPr>
        <w:t xml:space="preserve"> </w:t>
      </w:r>
      <w:r w:rsidR="005E18B7">
        <w:rPr>
          <w:rFonts w:eastAsia="Times New Roman"/>
          <w:lang w:eastAsia="en-NZ"/>
        </w:rPr>
        <w:t xml:space="preserve">to support </w:t>
      </w:r>
      <w:r w:rsidR="00F75393">
        <w:rPr>
          <w:rFonts w:eastAsia="Times New Roman"/>
          <w:lang w:eastAsia="en-NZ"/>
        </w:rPr>
        <w:t>Pacific</w:t>
      </w:r>
      <w:r w:rsidR="003D640C">
        <w:rPr>
          <w:rFonts w:eastAsia="Times New Roman"/>
          <w:lang w:eastAsia="en-NZ"/>
        </w:rPr>
        <w:t xml:space="preserve"> </w:t>
      </w:r>
      <w:r w:rsidR="00F75393">
        <w:rPr>
          <w:rFonts w:eastAsia="Times New Roman"/>
          <w:lang w:eastAsia="en-NZ"/>
        </w:rPr>
        <w:t>communities.</w:t>
      </w:r>
      <w:r w:rsidR="003D640C">
        <w:rPr>
          <w:rFonts w:eastAsia="Times New Roman"/>
          <w:lang w:eastAsia="en-NZ"/>
        </w:rPr>
        <w:t xml:space="preserve"> </w:t>
      </w:r>
    </w:p>
    <w:p w14:paraId="304C5FFA" w14:textId="0CC21119" w:rsidR="00040E0A" w:rsidRDefault="00E05778" w:rsidP="009032B9">
      <w:pPr>
        <w:rPr>
          <w:lang w:eastAsia="en-NZ"/>
        </w:rPr>
      </w:pPr>
      <w:r>
        <w:rPr>
          <w:lang w:eastAsia="en-NZ"/>
        </w:rPr>
        <w:t>All</w:t>
      </w:r>
      <w:r w:rsidR="003D640C">
        <w:rPr>
          <w:lang w:eastAsia="en-NZ"/>
        </w:rPr>
        <w:t xml:space="preserve"> </w:t>
      </w:r>
      <w:r>
        <w:rPr>
          <w:lang w:eastAsia="en-NZ"/>
        </w:rPr>
        <w:t>of</w:t>
      </w:r>
      <w:r w:rsidR="003D640C">
        <w:rPr>
          <w:lang w:eastAsia="en-NZ"/>
        </w:rPr>
        <w:t xml:space="preserve"> </w:t>
      </w:r>
      <w:r>
        <w:rPr>
          <w:lang w:eastAsia="en-NZ"/>
        </w:rPr>
        <w:t>us</w:t>
      </w:r>
      <w:r w:rsidR="003D640C">
        <w:rPr>
          <w:lang w:eastAsia="en-NZ"/>
        </w:rPr>
        <w:t xml:space="preserve"> </w:t>
      </w:r>
      <w:r w:rsidR="00040E0A">
        <w:rPr>
          <w:lang w:eastAsia="en-NZ"/>
        </w:rPr>
        <w:t>can</w:t>
      </w:r>
      <w:r w:rsidR="003D640C">
        <w:rPr>
          <w:lang w:eastAsia="en-NZ"/>
        </w:rPr>
        <w:t xml:space="preserve"> </w:t>
      </w:r>
      <w:r w:rsidR="00371C6D">
        <w:rPr>
          <w:lang w:eastAsia="en-NZ"/>
        </w:rPr>
        <w:t>encourage</w:t>
      </w:r>
      <w:r w:rsidR="003D640C">
        <w:rPr>
          <w:lang w:eastAsia="en-NZ"/>
        </w:rPr>
        <w:t xml:space="preserve"> </w:t>
      </w:r>
      <w:r w:rsidR="00371C6D">
        <w:rPr>
          <w:lang w:eastAsia="en-NZ"/>
        </w:rPr>
        <w:t>conversations</w:t>
      </w:r>
      <w:r w:rsidR="003D640C">
        <w:rPr>
          <w:lang w:eastAsia="en-NZ"/>
        </w:rPr>
        <w:t xml:space="preserve"> </w:t>
      </w:r>
      <w:r w:rsidR="00371C6D">
        <w:rPr>
          <w:lang w:eastAsia="en-NZ"/>
        </w:rPr>
        <w:t>about</w:t>
      </w:r>
      <w:r w:rsidR="003D640C">
        <w:rPr>
          <w:lang w:eastAsia="en-NZ"/>
        </w:rPr>
        <w:t xml:space="preserve"> </w:t>
      </w:r>
      <w:r w:rsidR="00371C6D" w:rsidRPr="00BB6220">
        <w:rPr>
          <w:rFonts w:ascii="Calibri" w:hAnsi="Calibri" w:cs="Calibri"/>
          <w:lang w:eastAsia="en-NZ"/>
        </w:rPr>
        <w:t>how</w:t>
      </w:r>
      <w:r w:rsidR="003D640C">
        <w:rPr>
          <w:rFonts w:ascii="Calibri" w:hAnsi="Calibri" w:cs="Calibri"/>
          <w:lang w:eastAsia="en-NZ"/>
        </w:rPr>
        <w:t xml:space="preserve"> </w:t>
      </w:r>
      <w:r w:rsidR="00904294">
        <w:rPr>
          <w:rFonts w:ascii="Calibri" w:hAnsi="Calibri" w:cs="Calibri"/>
          <w:lang w:eastAsia="en-NZ"/>
        </w:rPr>
        <w:t>to</w:t>
      </w:r>
      <w:r w:rsidR="003D640C">
        <w:rPr>
          <w:rFonts w:ascii="Calibri" w:hAnsi="Calibri" w:cs="Calibri"/>
          <w:lang w:eastAsia="en-NZ"/>
        </w:rPr>
        <w:t xml:space="preserve"> </w:t>
      </w:r>
      <w:r w:rsidR="00371C6D" w:rsidRPr="00BB6220">
        <w:rPr>
          <w:rFonts w:ascii="Calibri" w:hAnsi="Calibri" w:cs="Calibri"/>
          <w:lang w:eastAsia="en-NZ"/>
        </w:rPr>
        <w:t>better</w:t>
      </w:r>
      <w:r w:rsidR="003D640C">
        <w:rPr>
          <w:rFonts w:ascii="Calibri" w:hAnsi="Calibri" w:cs="Calibri"/>
          <w:lang w:eastAsia="en-NZ"/>
        </w:rPr>
        <w:t xml:space="preserve"> </w:t>
      </w:r>
      <w:r w:rsidR="00371C6D" w:rsidRPr="00BB6220">
        <w:rPr>
          <w:rFonts w:ascii="Calibri" w:hAnsi="Calibri" w:cs="Calibri"/>
          <w:lang w:eastAsia="en-NZ"/>
        </w:rPr>
        <w:t>support</w:t>
      </w:r>
      <w:r w:rsidR="003D640C">
        <w:rPr>
          <w:rFonts w:ascii="Calibri" w:hAnsi="Calibri" w:cs="Calibri"/>
          <w:lang w:eastAsia="en-NZ"/>
        </w:rPr>
        <w:t xml:space="preserve"> </w:t>
      </w:r>
      <w:r w:rsidR="00371C6D" w:rsidRPr="00BB6220">
        <w:rPr>
          <w:rFonts w:ascii="Calibri" w:hAnsi="Calibri" w:cs="Calibri"/>
          <w:lang w:eastAsia="en-NZ"/>
        </w:rPr>
        <w:t>and</w:t>
      </w:r>
      <w:r w:rsidR="003D640C">
        <w:rPr>
          <w:rFonts w:ascii="Calibri" w:hAnsi="Calibri" w:cs="Calibri"/>
          <w:lang w:eastAsia="en-NZ"/>
        </w:rPr>
        <w:t xml:space="preserve"> </w:t>
      </w:r>
      <w:r w:rsidR="00371C6D" w:rsidRPr="00BB6220">
        <w:rPr>
          <w:rFonts w:ascii="Calibri" w:hAnsi="Calibri" w:cs="Calibri"/>
          <w:lang w:eastAsia="en-NZ"/>
        </w:rPr>
        <w:t>affirm</w:t>
      </w:r>
      <w:r w:rsidR="003D640C">
        <w:rPr>
          <w:rFonts w:ascii="Calibri" w:hAnsi="Calibri" w:cs="Calibri"/>
          <w:lang w:eastAsia="en-NZ"/>
        </w:rPr>
        <w:t xml:space="preserve"> </w:t>
      </w:r>
      <w:r w:rsidR="00371C6D" w:rsidRPr="00BB6220">
        <w:rPr>
          <w:rFonts w:ascii="Calibri" w:hAnsi="Calibri" w:cs="Calibri"/>
          <w:lang w:eastAsia="en-NZ"/>
        </w:rPr>
        <w:t>Rainbow</w:t>
      </w:r>
      <w:r w:rsidR="003D640C">
        <w:rPr>
          <w:rFonts w:ascii="Calibri" w:hAnsi="Calibri" w:cs="Calibri"/>
          <w:lang w:eastAsia="en-NZ"/>
        </w:rPr>
        <w:t xml:space="preserve"> </w:t>
      </w:r>
      <w:r w:rsidR="00371C6D" w:rsidRPr="00BB6220">
        <w:rPr>
          <w:rFonts w:ascii="Calibri" w:hAnsi="Calibri" w:cs="Calibri"/>
          <w:lang w:eastAsia="en-NZ"/>
        </w:rPr>
        <w:t>people</w:t>
      </w:r>
      <w:r w:rsidR="003D640C">
        <w:rPr>
          <w:rFonts w:ascii="Calibri" w:hAnsi="Calibri" w:cs="Calibri"/>
          <w:lang w:eastAsia="en-NZ"/>
        </w:rPr>
        <w:t xml:space="preserve"> </w:t>
      </w:r>
      <w:r w:rsidR="00371C6D" w:rsidRPr="00BB6220">
        <w:rPr>
          <w:rFonts w:ascii="Calibri" w:hAnsi="Calibri" w:cs="Calibri"/>
          <w:lang w:eastAsia="en-NZ"/>
        </w:rPr>
        <w:t>in</w:t>
      </w:r>
      <w:r w:rsidR="003D640C">
        <w:rPr>
          <w:rFonts w:ascii="Calibri" w:hAnsi="Calibri" w:cs="Calibri"/>
          <w:lang w:eastAsia="en-NZ"/>
        </w:rPr>
        <w:t xml:space="preserve"> </w:t>
      </w:r>
      <w:r w:rsidR="00371C6D">
        <w:rPr>
          <w:rFonts w:ascii="Calibri" w:hAnsi="Calibri" w:cs="Calibri"/>
          <w:lang w:eastAsia="en-NZ"/>
        </w:rPr>
        <w:t>our</w:t>
      </w:r>
      <w:r w:rsidR="003D640C">
        <w:rPr>
          <w:rFonts w:ascii="Calibri" w:hAnsi="Calibri" w:cs="Calibri"/>
          <w:lang w:eastAsia="en-NZ"/>
        </w:rPr>
        <w:t xml:space="preserve"> </w:t>
      </w:r>
      <w:r w:rsidR="00371C6D" w:rsidRPr="00BB6220">
        <w:rPr>
          <w:rFonts w:ascii="Calibri" w:hAnsi="Calibri" w:cs="Calibri"/>
          <w:lang w:eastAsia="en-NZ"/>
        </w:rPr>
        <w:t>whānau</w:t>
      </w:r>
      <w:r w:rsidR="00371C6D">
        <w:rPr>
          <w:rFonts w:ascii="Calibri" w:hAnsi="Calibri" w:cs="Calibri"/>
          <w:lang w:eastAsia="en-NZ"/>
        </w:rPr>
        <w:t>,</w:t>
      </w:r>
      <w:r w:rsidR="003D640C">
        <w:rPr>
          <w:rFonts w:ascii="Calibri" w:hAnsi="Calibri" w:cs="Calibri"/>
          <w:lang w:eastAsia="en-NZ"/>
        </w:rPr>
        <w:t xml:space="preserve"> </w:t>
      </w:r>
      <w:r w:rsidR="00371C6D">
        <w:rPr>
          <w:rFonts w:ascii="Calibri" w:hAnsi="Calibri" w:cs="Calibri"/>
          <w:lang w:eastAsia="en-NZ"/>
        </w:rPr>
        <w:t>clubs</w:t>
      </w:r>
      <w:r w:rsidR="002510C6">
        <w:rPr>
          <w:rFonts w:ascii="Calibri" w:hAnsi="Calibri" w:cs="Calibri"/>
          <w:lang w:eastAsia="en-NZ"/>
        </w:rPr>
        <w:t>,</w:t>
      </w:r>
      <w:r w:rsidR="00EF779A">
        <w:rPr>
          <w:rFonts w:ascii="Calibri" w:hAnsi="Calibri" w:cs="Calibri"/>
          <w:lang w:eastAsia="en-NZ"/>
        </w:rPr>
        <w:t xml:space="preserve"> schools,</w:t>
      </w:r>
      <w:r w:rsidR="003D640C">
        <w:rPr>
          <w:rFonts w:ascii="Calibri" w:hAnsi="Calibri" w:cs="Calibri"/>
          <w:lang w:eastAsia="en-NZ"/>
        </w:rPr>
        <w:t xml:space="preserve"> </w:t>
      </w:r>
      <w:r w:rsidR="00371C6D" w:rsidRPr="00BB6220">
        <w:rPr>
          <w:rFonts w:ascii="Calibri" w:hAnsi="Calibri" w:cs="Calibri"/>
          <w:lang w:eastAsia="en-NZ"/>
        </w:rPr>
        <w:t>and</w:t>
      </w:r>
      <w:r w:rsidR="003D640C">
        <w:rPr>
          <w:rFonts w:ascii="Calibri" w:hAnsi="Calibri" w:cs="Calibri"/>
          <w:lang w:eastAsia="en-NZ"/>
        </w:rPr>
        <w:t xml:space="preserve"> </w:t>
      </w:r>
      <w:r w:rsidR="00371C6D" w:rsidRPr="00BB6220">
        <w:rPr>
          <w:rFonts w:ascii="Calibri" w:hAnsi="Calibri" w:cs="Calibri"/>
          <w:lang w:eastAsia="en-NZ"/>
        </w:rPr>
        <w:t>community.</w:t>
      </w:r>
      <w:r w:rsidR="003D640C">
        <w:rPr>
          <w:rFonts w:ascii="Calibri" w:hAnsi="Calibri" w:cs="Calibri"/>
          <w:lang w:eastAsia="en-NZ"/>
        </w:rPr>
        <w:t xml:space="preserve"> </w:t>
      </w:r>
      <w:r w:rsidR="00371C6D">
        <w:rPr>
          <w:rFonts w:ascii="Calibri" w:hAnsi="Calibri" w:cs="Calibri"/>
          <w:lang w:eastAsia="en-NZ"/>
        </w:rPr>
        <w:t>We</w:t>
      </w:r>
      <w:r w:rsidR="003D640C">
        <w:rPr>
          <w:rFonts w:ascii="Calibri" w:hAnsi="Calibri" w:cs="Calibri"/>
          <w:lang w:eastAsia="en-NZ"/>
        </w:rPr>
        <w:t xml:space="preserve"> </w:t>
      </w:r>
      <w:r w:rsidR="00371C6D">
        <w:rPr>
          <w:rFonts w:ascii="Calibri" w:hAnsi="Calibri" w:cs="Calibri"/>
          <w:lang w:eastAsia="en-NZ"/>
        </w:rPr>
        <w:t>can</w:t>
      </w:r>
      <w:r w:rsidR="003D640C">
        <w:rPr>
          <w:rFonts w:ascii="Calibri" w:hAnsi="Calibri" w:cs="Calibri"/>
          <w:lang w:eastAsia="en-NZ"/>
        </w:rPr>
        <w:t xml:space="preserve"> </w:t>
      </w:r>
      <w:r w:rsidR="00371C6D">
        <w:rPr>
          <w:rFonts w:ascii="Calibri" w:hAnsi="Calibri" w:cs="Calibri"/>
          <w:lang w:eastAsia="en-NZ"/>
        </w:rPr>
        <w:t>speak</w:t>
      </w:r>
      <w:r w:rsidR="003D640C">
        <w:rPr>
          <w:rFonts w:ascii="Calibri" w:hAnsi="Calibri" w:cs="Calibri"/>
          <w:lang w:eastAsia="en-NZ"/>
        </w:rPr>
        <w:t xml:space="preserve"> </w:t>
      </w:r>
      <w:r w:rsidR="00371C6D">
        <w:rPr>
          <w:rFonts w:ascii="Calibri" w:hAnsi="Calibri" w:cs="Calibri"/>
          <w:lang w:eastAsia="en-NZ"/>
        </w:rPr>
        <w:t>up</w:t>
      </w:r>
      <w:r w:rsidR="003D640C">
        <w:rPr>
          <w:rFonts w:ascii="Calibri" w:hAnsi="Calibri" w:cs="Calibri"/>
          <w:lang w:eastAsia="en-NZ"/>
        </w:rPr>
        <w:t xml:space="preserve"> </w:t>
      </w:r>
      <w:r w:rsidR="00371C6D">
        <w:rPr>
          <w:rFonts w:ascii="Calibri" w:hAnsi="Calibri" w:cs="Calibri"/>
          <w:lang w:eastAsia="en-NZ"/>
        </w:rPr>
        <w:t>when</w:t>
      </w:r>
      <w:r w:rsidR="003D640C">
        <w:rPr>
          <w:rFonts w:ascii="Calibri" w:hAnsi="Calibri" w:cs="Calibri"/>
          <w:lang w:eastAsia="en-NZ"/>
        </w:rPr>
        <w:t xml:space="preserve"> </w:t>
      </w:r>
      <w:r w:rsidR="00371C6D">
        <w:rPr>
          <w:rFonts w:ascii="Calibri" w:hAnsi="Calibri" w:cs="Calibri"/>
          <w:lang w:eastAsia="en-NZ"/>
        </w:rPr>
        <w:t>we</w:t>
      </w:r>
      <w:r w:rsidR="003D640C">
        <w:rPr>
          <w:rFonts w:ascii="Calibri" w:hAnsi="Calibri" w:cs="Calibri"/>
          <w:lang w:eastAsia="en-NZ"/>
        </w:rPr>
        <w:t xml:space="preserve"> </w:t>
      </w:r>
      <w:r w:rsidR="00371C6D">
        <w:rPr>
          <w:rFonts w:ascii="Calibri" w:hAnsi="Calibri" w:cs="Calibri"/>
          <w:lang w:eastAsia="en-NZ"/>
        </w:rPr>
        <w:t>see</w:t>
      </w:r>
      <w:r w:rsidR="003D640C">
        <w:rPr>
          <w:rFonts w:ascii="Calibri" w:hAnsi="Calibri" w:cs="Calibri"/>
          <w:lang w:eastAsia="en-NZ"/>
        </w:rPr>
        <w:t xml:space="preserve"> </w:t>
      </w:r>
      <w:r w:rsidR="00371C6D">
        <w:rPr>
          <w:rFonts w:ascii="Calibri" w:hAnsi="Calibri" w:cs="Calibri"/>
          <w:lang w:eastAsia="en-NZ"/>
        </w:rPr>
        <w:t>or</w:t>
      </w:r>
      <w:r w:rsidR="003D640C">
        <w:rPr>
          <w:rFonts w:ascii="Calibri" w:hAnsi="Calibri" w:cs="Calibri"/>
          <w:lang w:eastAsia="en-NZ"/>
        </w:rPr>
        <w:t xml:space="preserve"> </w:t>
      </w:r>
      <w:r w:rsidR="00371C6D">
        <w:rPr>
          <w:rFonts w:ascii="Calibri" w:hAnsi="Calibri" w:cs="Calibri"/>
          <w:lang w:eastAsia="en-NZ"/>
        </w:rPr>
        <w:t>hear</w:t>
      </w:r>
      <w:r w:rsidR="003D640C">
        <w:rPr>
          <w:rFonts w:ascii="Calibri" w:hAnsi="Calibri" w:cs="Calibri"/>
          <w:lang w:eastAsia="en-NZ"/>
        </w:rPr>
        <w:t xml:space="preserve"> </w:t>
      </w:r>
      <w:r w:rsidR="00371C6D">
        <w:rPr>
          <w:rFonts w:ascii="Calibri" w:hAnsi="Calibri" w:cs="Calibri"/>
          <w:lang w:eastAsia="en-NZ"/>
        </w:rPr>
        <w:t>homophobic</w:t>
      </w:r>
      <w:r w:rsidR="003D640C">
        <w:rPr>
          <w:rFonts w:ascii="Calibri" w:hAnsi="Calibri" w:cs="Calibri"/>
          <w:lang w:eastAsia="en-NZ"/>
        </w:rPr>
        <w:t xml:space="preserve"> </w:t>
      </w:r>
      <w:r w:rsidR="00371C6D">
        <w:rPr>
          <w:rFonts w:ascii="Calibri" w:hAnsi="Calibri" w:cs="Calibri"/>
          <w:lang w:eastAsia="en-NZ"/>
        </w:rPr>
        <w:t>and</w:t>
      </w:r>
      <w:r w:rsidR="003D640C">
        <w:rPr>
          <w:rFonts w:ascii="Calibri" w:hAnsi="Calibri" w:cs="Calibri"/>
          <w:lang w:eastAsia="en-NZ"/>
        </w:rPr>
        <w:t xml:space="preserve"> </w:t>
      </w:r>
      <w:r w:rsidR="00371C6D">
        <w:rPr>
          <w:rFonts w:ascii="Calibri" w:hAnsi="Calibri" w:cs="Calibri"/>
          <w:lang w:eastAsia="en-NZ"/>
        </w:rPr>
        <w:t>transphobic</w:t>
      </w:r>
      <w:r w:rsidR="003D640C">
        <w:rPr>
          <w:rFonts w:ascii="Calibri" w:hAnsi="Calibri" w:cs="Calibri"/>
          <w:lang w:eastAsia="en-NZ"/>
        </w:rPr>
        <w:t xml:space="preserve"> </w:t>
      </w:r>
      <w:r w:rsidR="009F120E">
        <w:rPr>
          <w:rFonts w:ascii="Calibri" w:hAnsi="Calibri" w:cs="Calibri"/>
          <w:lang w:eastAsia="en-NZ"/>
        </w:rPr>
        <w:t>mis-</w:t>
      </w:r>
      <w:r w:rsidR="003D640C">
        <w:rPr>
          <w:rFonts w:ascii="Calibri" w:hAnsi="Calibri" w:cs="Calibri"/>
          <w:lang w:eastAsia="en-NZ"/>
        </w:rPr>
        <w:t xml:space="preserve"> </w:t>
      </w:r>
      <w:r w:rsidR="009F120E">
        <w:rPr>
          <w:rFonts w:ascii="Calibri" w:hAnsi="Calibri" w:cs="Calibri"/>
          <w:lang w:eastAsia="en-NZ"/>
        </w:rPr>
        <w:t>or</w:t>
      </w:r>
      <w:r w:rsidR="003D640C">
        <w:rPr>
          <w:rFonts w:ascii="Calibri" w:hAnsi="Calibri" w:cs="Calibri"/>
          <w:lang w:eastAsia="en-NZ"/>
        </w:rPr>
        <w:t xml:space="preserve"> </w:t>
      </w:r>
      <w:r w:rsidR="009F120E">
        <w:rPr>
          <w:rFonts w:ascii="Calibri" w:hAnsi="Calibri" w:cs="Calibri"/>
          <w:lang w:eastAsia="en-NZ"/>
        </w:rPr>
        <w:t>disinformation.</w:t>
      </w:r>
      <w:r w:rsidR="003D640C">
        <w:rPr>
          <w:rFonts w:ascii="Calibri" w:hAnsi="Calibri" w:cs="Calibri"/>
          <w:lang w:eastAsia="en-NZ"/>
        </w:rPr>
        <w:t xml:space="preserve"> </w:t>
      </w:r>
      <w:r w:rsidR="009F120E">
        <w:rPr>
          <w:rFonts w:ascii="Calibri" w:hAnsi="Calibri" w:cs="Calibri"/>
          <w:lang w:eastAsia="en-NZ"/>
        </w:rPr>
        <w:t>We</w:t>
      </w:r>
      <w:r w:rsidR="003D640C">
        <w:rPr>
          <w:rFonts w:ascii="Calibri" w:hAnsi="Calibri" w:cs="Calibri"/>
          <w:lang w:eastAsia="en-NZ"/>
        </w:rPr>
        <w:t xml:space="preserve"> </w:t>
      </w:r>
      <w:r w:rsidR="009F120E">
        <w:rPr>
          <w:rFonts w:ascii="Calibri" w:hAnsi="Calibri" w:cs="Calibri"/>
          <w:lang w:eastAsia="en-NZ"/>
        </w:rPr>
        <w:t>can</w:t>
      </w:r>
      <w:r w:rsidR="003D640C">
        <w:rPr>
          <w:rFonts w:ascii="Calibri" w:hAnsi="Calibri" w:cs="Calibri"/>
          <w:lang w:eastAsia="en-NZ"/>
        </w:rPr>
        <w:t xml:space="preserve"> </w:t>
      </w:r>
      <w:r w:rsidR="009F120E" w:rsidRPr="00BB6220">
        <w:rPr>
          <w:rFonts w:ascii="Calibri" w:hAnsi="Calibri" w:cs="Calibri"/>
          <w:lang w:eastAsia="en-NZ"/>
        </w:rPr>
        <w:t>encourage</w:t>
      </w:r>
      <w:r w:rsidR="003D640C">
        <w:rPr>
          <w:rFonts w:ascii="Calibri" w:hAnsi="Calibri" w:cs="Calibri"/>
          <w:lang w:eastAsia="en-NZ"/>
        </w:rPr>
        <w:t xml:space="preserve"> </w:t>
      </w:r>
      <w:r w:rsidR="009F120E">
        <w:rPr>
          <w:rFonts w:ascii="Calibri" w:hAnsi="Calibri" w:cs="Calibri"/>
          <w:lang w:eastAsia="en-NZ"/>
        </w:rPr>
        <w:t>our</w:t>
      </w:r>
      <w:r w:rsidR="003D640C">
        <w:rPr>
          <w:rFonts w:ascii="Calibri" w:hAnsi="Calibri" w:cs="Calibri"/>
          <w:lang w:eastAsia="en-NZ"/>
        </w:rPr>
        <w:t xml:space="preserve"> </w:t>
      </w:r>
      <w:r w:rsidR="009F120E">
        <w:rPr>
          <w:rFonts w:ascii="Calibri" w:hAnsi="Calibri" w:cs="Calibri"/>
          <w:lang w:eastAsia="en-NZ"/>
        </w:rPr>
        <w:t>family,</w:t>
      </w:r>
      <w:r w:rsidR="003D640C">
        <w:rPr>
          <w:rFonts w:ascii="Calibri" w:hAnsi="Calibri" w:cs="Calibri"/>
          <w:lang w:eastAsia="en-NZ"/>
        </w:rPr>
        <w:t xml:space="preserve"> </w:t>
      </w:r>
      <w:r w:rsidR="009F120E">
        <w:rPr>
          <w:rFonts w:ascii="Calibri" w:hAnsi="Calibri" w:cs="Calibri"/>
          <w:lang w:eastAsia="en-NZ"/>
        </w:rPr>
        <w:t>colleagues</w:t>
      </w:r>
      <w:r w:rsidR="002510C6">
        <w:rPr>
          <w:rFonts w:ascii="Calibri" w:hAnsi="Calibri" w:cs="Calibri"/>
          <w:lang w:eastAsia="en-NZ"/>
        </w:rPr>
        <w:t>,</w:t>
      </w:r>
      <w:r w:rsidR="003D640C">
        <w:rPr>
          <w:rFonts w:ascii="Calibri" w:hAnsi="Calibri" w:cs="Calibri"/>
          <w:lang w:eastAsia="en-NZ"/>
        </w:rPr>
        <w:t xml:space="preserve"> </w:t>
      </w:r>
      <w:r w:rsidR="009F120E">
        <w:rPr>
          <w:rFonts w:ascii="Calibri" w:hAnsi="Calibri" w:cs="Calibri"/>
          <w:lang w:eastAsia="en-NZ"/>
        </w:rPr>
        <w:t>and</w:t>
      </w:r>
      <w:r w:rsidR="003D640C">
        <w:rPr>
          <w:rFonts w:ascii="Calibri" w:hAnsi="Calibri" w:cs="Calibri"/>
          <w:lang w:eastAsia="en-NZ"/>
        </w:rPr>
        <w:t xml:space="preserve"> </w:t>
      </w:r>
      <w:r w:rsidR="009F120E">
        <w:rPr>
          <w:rFonts w:ascii="Calibri" w:hAnsi="Calibri" w:cs="Calibri"/>
          <w:lang w:eastAsia="en-NZ"/>
        </w:rPr>
        <w:t>community</w:t>
      </w:r>
      <w:r w:rsidR="003D640C">
        <w:rPr>
          <w:rFonts w:ascii="Calibri" w:hAnsi="Calibri" w:cs="Calibri"/>
          <w:lang w:eastAsia="en-NZ"/>
        </w:rPr>
        <w:t xml:space="preserve"> </w:t>
      </w:r>
      <w:r w:rsidR="009F120E" w:rsidRPr="00BB6220">
        <w:rPr>
          <w:rFonts w:ascii="Calibri" w:hAnsi="Calibri" w:cs="Calibri"/>
          <w:lang w:eastAsia="en-NZ"/>
        </w:rPr>
        <w:t>to</w:t>
      </w:r>
      <w:r w:rsidR="003D640C">
        <w:rPr>
          <w:rFonts w:ascii="Calibri" w:hAnsi="Calibri" w:cs="Calibri"/>
          <w:lang w:eastAsia="en-NZ"/>
        </w:rPr>
        <w:t xml:space="preserve"> </w:t>
      </w:r>
      <w:r w:rsidR="009F120E" w:rsidRPr="00BB6220">
        <w:rPr>
          <w:rFonts w:ascii="Calibri" w:hAnsi="Calibri" w:cs="Calibri"/>
          <w:lang w:eastAsia="en-NZ"/>
        </w:rPr>
        <w:t>engage</w:t>
      </w:r>
      <w:r w:rsidR="003D640C">
        <w:rPr>
          <w:rFonts w:ascii="Calibri" w:hAnsi="Calibri" w:cs="Calibri"/>
          <w:lang w:eastAsia="en-NZ"/>
        </w:rPr>
        <w:t xml:space="preserve"> </w:t>
      </w:r>
      <w:r w:rsidR="009F120E" w:rsidRPr="00BB6220">
        <w:rPr>
          <w:rFonts w:ascii="Calibri" w:hAnsi="Calibri" w:cs="Calibri"/>
          <w:lang w:eastAsia="en-NZ"/>
        </w:rPr>
        <w:t>with</w:t>
      </w:r>
      <w:r w:rsidR="003D640C">
        <w:rPr>
          <w:rFonts w:ascii="Calibri" w:hAnsi="Calibri" w:cs="Calibri"/>
          <w:lang w:eastAsia="en-NZ"/>
        </w:rPr>
        <w:t xml:space="preserve"> </w:t>
      </w:r>
      <w:r w:rsidR="009F120E" w:rsidRPr="00BB6220">
        <w:rPr>
          <w:rFonts w:ascii="Calibri" w:hAnsi="Calibri" w:cs="Calibri"/>
          <w:lang w:eastAsia="en-NZ"/>
        </w:rPr>
        <w:t>research</w:t>
      </w:r>
      <w:r w:rsidR="003D640C">
        <w:rPr>
          <w:rFonts w:ascii="Calibri" w:hAnsi="Calibri" w:cs="Calibri"/>
          <w:lang w:eastAsia="en-NZ"/>
        </w:rPr>
        <w:t xml:space="preserve"> </w:t>
      </w:r>
      <w:r w:rsidR="009F120E" w:rsidRPr="00BB6220">
        <w:rPr>
          <w:rFonts w:ascii="Calibri" w:hAnsi="Calibri" w:cs="Calibri"/>
          <w:lang w:eastAsia="en-NZ"/>
        </w:rPr>
        <w:t>and</w:t>
      </w:r>
      <w:r w:rsidR="003D640C">
        <w:rPr>
          <w:rFonts w:ascii="Calibri" w:hAnsi="Calibri" w:cs="Calibri"/>
          <w:lang w:eastAsia="en-NZ"/>
        </w:rPr>
        <w:t xml:space="preserve"> </w:t>
      </w:r>
      <w:r w:rsidR="009F120E" w:rsidRPr="00BB6220">
        <w:rPr>
          <w:rFonts w:ascii="Calibri" w:hAnsi="Calibri" w:cs="Calibri"/>
          <w:lang w:eastAsia="en-NZ"/>
        </w:rPr>
        <w:t>resources</w:t>
      </w:r>
      <w:r w:rsidR="003D640C">
        <w:rPr>
          <w:rFonts w:ascii="Calibri" w:hAnsi="Calibri" w:cs="Calibri"/>
          <w:lang w:eastAsia="en-NZ"/>
        </w:rPr>
        <w:t xml:space="preserve"> </w:t>
      </w:r>
      <w:r w:rsidR="002510C6">
        <w:rPr>
          <w:rFonts w:ascii="Calibri" w:hAnsi="Calibri" w:cs="Calibri"/>
          <w:lang w:eastAsia="en-NZ"/>
        </w:rPr>
        <w:t xml:space="preserve">that are </w:t>
      </w:r>
      <w:r w:rsidR="009F120E" w:rsidRPr="00BB6220">
        <w:rPr>
          <w:rFonts w:ascii="Calibri" w:hAnsi="Calibri" w:cs="Calibri"/>
          <w:lang w:eastAsia="en-NZ"/>
        </w:rPr>
        <w:t>based</w:t>
      </w:r>
      <w:r w:rsidR="003D640C">
        <w:rPr>
          <w:rFonts w:ascii="Calibri" w:hAnsi="Calibri" w:cs="Calibri"/>
          <w:lang w:eastAsia="en-NZ"/>
        </w:rPr>
        <w:t xml:space="preserve"> </w:t>
      </w:r>
      <w:r w:rsidR="009F120E" w:rsidRPr="00BB6220">
        <w:rPr>
          <w:rFonts w:ascii="Calibri" w:hAnsi="Calibri" w:cs="Calibri"/>
          <w:lang w:eastAsia="en-NZ"/>
        </w:rPr>
        <w:t>on</w:t>
      </w:r>
      <w:r w:rsidR="003D640C">
        <w:rPr>
          <w:rFonts w:ascii="Calibri" w:hAnsi="Calibri" w:cs="Calibri"/>
          <w:lang w:eastAsia="en-NZ"/>
        </w:rPr>
        <w:t xml:space="preserve"> </w:t>
      </w:r>
      <w:r w:rsidR="009F120E" w:rsidRPr="00BB6220">
        <w:rPr>
          <w:rFonts w:ascii="Calibri" w:hAnsi="Calibri" w:cs="Calibri"/>
          <w:lang w:eastAsia="en-NZ"/>
        </w:rPr>
        <w:t>scien</w:t>
      </w:r>
      <w:r w:rsidR="009F120E">
        <w:rPr>
          <w:rFonts w:ascii="Calibri" w:hAnsi="Calibri" w:cs="Calibri"/>
          <w:lang w:eastAsia="en-NZ"/>
        </w:rPr>
        <w:t>ce</w:t>
      </w:r>
      <w:r w:rsidR="003D640C">
        <w:rPr>
          <w:rFonts w:ascii="Calibri" w:hAnsi="Calibri" w:cs="Calibri"/>
          <w:lang w:eastAsia="en-NZ"/>
        </w:rPr>
        <w:t xml:space="preserve"> </w:t>
      </w:r>
      <w:r w:rsidR="009F120E" w:rsidRPr="00BB6220">
        <w:rPr>
          <w:rFonts w:ascii="Calibri" w:hAnsi="Calibri" w:cs="Calibri"/>
          <w:lang w:eastAsia="en-NZ"/>
        </w:rPr>
        <w:t>and</w:t>
      </w:r>
      <w:r w:rsidR="003D640C">
        <w:rPr>
          <w:rFonts w:ascii="Calibri" w:hAnsi="Calibri" w:cs="Calibri"/>
          <w:lang w:eastAsia="en-NZ"/>
        </w:rPr>
        <w:t xml:space="preserve"> </w:t>
      </w:r>
      <w:r w:rsidR="009F120E" w:rsidRPr="00BB6220">
        <w:rPr>
          <w:rFonts w:ascii="Calibri" w:hAnsi="Calibri" w:cs="Calibri"/>
          <w:lang w:eastAsia="en-NZ"/>
        </w:rPr>
        <w:t>inclusive</w:t>
      </w:r>
      <w:r w:rsidR="003D640C">
        <w:rPr>
          <w:rFonts w:ascii="Calibri" w:hAnsi="Calibri" w:cs="Calibri"/>
          <w:lang w:eastAsia="en-NZ"/>
        </w:rPr>
        <w:t xml:space="preserve"> </w:t>
      </w:r>
      <w:r w:rsidR="009F120E" w:rsidRPr="00BB6220">
        <w:rPr>
          <w:rFonts w:ascii="Calibri" w:hAnsi="Calibri" w:cs="Calibri"/>
          <w:lang w:eastAsia="en-NZ"/>
        </w:rPr>
        <w:t>of</w:t>
      </w:r>
      <w:r w:rsidR="003D640C">
        <w:rPr>
          <w:rFonts w:ascii="Calibri" w:hAnsi="Calibri" w:cs="Calibri"/>
          <w:lang w:eastAsia="en-NZ"/>
        </w:rPr>
        <w:t xml:space="preserve"> </w:t>
      </w:r>
      <w:r w:rsidR="009F120E" w:rsidRPr="00BB6220">
        <w:rPr>
          <w:rFonts w:ascii="Calibri" w:hAnsi="Calibri" w:cs="Calibri"/>
          <w:lang w:eastAsia="en-NZ"/>
        </w:rPr>
        <w:t>the</w:t>
      </w:r>
      <w:r w:rsidR="003D640C">
        <w:rPr>
          <w:rFonts w:ascii="Calibri" w:hAnsi="Calibri" w:cs="Calibri"/>
          <w:lang w:eastAsia="en-NZ"/>
        </w:rPr>
        <w:t xml:space="preserve"> </w:t>
      </w:r>
      <w:r w:rsidR="009F120E" w:rsidRPr="00BB6220">
        <w:rPr>
          <w:rFonts w:ascii="Calibri" w:hAnsi="Calibri" w:cs="Calibri"/>
          <w:lang w:eastAsia="en-NZ"/>
        </w:rPr>
        <w:t>Rainbow</w:t>
      </w:r>
      <w:r w:rsidR="003D640C">
        <w:rPr>
          <w:rFonts w:ascii="Calibri" w:hAnsi="Calibri" w:cs="Calibri"/>
          <w:lang w:eastAsia="en-NZ"/>
        </w:rPr>
        <w:t xml:space="preserve"> </w:t>
      </w:r>
      <w:r w:rsidR="009F120E" w:rsidRPr="00BB6220">
        <w:rPr>
          <w:rFonts w:ascii="Calibri" w:hAnsi="Calibri" w:cs="Calibri"/>
          <w:lang w:eastAsia="en-NZ"/>
        </w:rPr>
        <w:t>community.</w:t>
      </w:r>
    </w:p>
    <w:p w14:paraId="58ECD6F2" w14:textId="2ADC1C00" w:rsidR="00501068" w:rsidRDefault="002510C6" w:rsidP="009032B9">
      <w:pPr>
        <w:rPr>
          <w:lang w:eastAsia="en-NZ"/>
        </w:rPr>
      </w:pPr>
      <w:r>
        <w:rPr>
          <w:rFonts w:ascii="Calibri" w:hAnsi="Calibri" w:cs="Calibri"/>
          <w:lang w:eastAsia="en-NZ"/>
        </w:rPr>
        <w:t>This</w:t>
      </w:r>
      <w:r w:rsidR="003D640C">
        <w:rPr>
          <w:rFonts w:ascii="Calibri" w:hAnsi="Calibri" w:cs="Calibri"/>
          <w:lang w:eastAsia="en-NZ"/>
        </w:rPr>
        <w:t xml:space="preserve"> </w:t>
      </w:r>
      <w:r w:rsidR="00040E0A" w:rsidRPr="00BB6220">
        <w:rPr>
          <w:rFonts w:ascii="Calibri" w:hAnsi="Calibri" w:cs="Calibri"/>
          <w:lang w:eastAsia="en-NZ"/>
        </w:rPr>
        <w:t>will</w:t>
      </w:r>
      <w:r w:rsidR="003D640C">
        <w:rPr>
          <w:rFonts w:ascii="Calibri" w:hAnsi="Calibri" w:cs="Calibri"/>
          <w:lang w:eastAsia="en-NZ"/>
        </w:rPr>
        <w:t xml:space="preserve"> </w:t>
      </w:r>
      <w:r w:rsidR="00040E0A" w:rsidRPr="00BB6220">
        <w:rPr>
          <w:rFonts w:ascii="Calibri" w:hAnsi="Calibri" w:cs="Calibri"/>
          <w:lang w:eastAsia="en-NZ"/>
        </w:rPr>
        <w:t>require</w:t>
      </w:r>
      <w:r w:rsidR="003D640C">
        <w:rPr>
          <w:rFonts w:ascii="Calibri" w:hAnsi="Calibri" w:cs="Calibri"/>
          <w:lang w:eastAsia="en-NZ"/>
        </w:rPr>
        <w:t xml:space="preserve"> </w:t>
      </w:r>
      <w:r w:rsidR="00040E0A" w:rsidRPr="00BB6220">
        <w:rPr>
          <w:rFonts w:ascii="Calibri" w:hAnsi="Calibri" w:cs="Calibri"/>
          <w:lang w:eastAsia="en-NZ"/>
        </w:rPr>
        <w:t>effort</w:t>
      </w:r>
      <w:r w:rsidR="003D640C">
        <w:rPr>
          <w:rFonts w:ascii="Calibri" w:hAnsi="Calibri" w:cs="Calibri"/>
          <w:lang w:eastAsia="en-NZ"/>
        </w:rPr>
        <w:t xml:space="preserve"> </w:t>
      </w:r>
      <w:r w:rsidR="00040E0A" w:rsidRPr="00BB6220">
        <w:rPr>
          <w:rFonts w:ascii="Calibri" w:hAnsi="Calibri" w:cs="Calibri"/>
          <w:lang w:eastAsia="en-NZ"/>
        </w:rPr>
        <w:t>from</w:t>
      </w:r>
      <w:r w:rsidR="003D640C">
        <w:rPr>
          <w:rFonts w:ascii="Calibri" w:hAnsi="Calibri" w:cs="Calibri"/>
          <w:lang w:eastAsia="en-NZ"/>
        </w:rPr>
        <w:t xml:space="preserve"> </w:t>
      </w:r>
      <w:r w:rsidR="00040E0A" w:rsidRPr="00BB6220">
        <w:rPr>
          <w:rFonts w:ascii="Calibri" w:hAnsi="Calibri" w:cs="Calibri"/>
          <w:lang w:eastAsia="en-NZ"/>
        </w:rPr>
        <w:t>all</w:t>
      </w:r>
      <w:r w:rsidR="003D640C">
        <w:rPr>
          <w:rFonts w:ascii="Calibri" w:hAnsi="Calibri" w:cs="Calibri"/>
          <w:lang w:eastAsia="en-NZ"/>
        </w:rPr>
        <w:t xml:space="preserve"> </w:t>
      </w:r>
      <w:r w:rsidR="00040E0A" w:rsidRPr="00BB6220">
        <w:rPr>
          <w:rFonts w:ascii="Calibri" w:hAnsi="Calibri" w:cs="Calibri"/>
          <w:lang w:eastAsia="en-NZ"/>
        </w:rPr>
        <w:t>parts</w:t>
      </w:r>
      <w:r w:rsidR="003D640C">
        <w:rPr>
          <w:rFonts w:ascii="Calibri" w:hAnsi="Calibri" w:cs="Calibri"/>
          <w:lang w:eastAsia="en-NZ"/>
        </w:rPr>
        <w:t xml:space="preserve"> </w:t>
      </w:r>
      <w:r w:rsidR="00040E0A" w:rsidRPr="00BB6220">
        <w:rPr>
          <w:rFonts w:ascii="Calibri" w:hAnsi="Calibri" w:cs="Calibri"/>
          <w:lang w:eastAsia="en-NZ"/>
        </w:rPr>
        <w:t>of</w:t>
      </w:r>
      <w:r w:rsidR="003D640C">
        <w:rPr>
          <w:rFonts w:ascii="Calibri" w:hAnsi="Calibri" w:cs="Calibri"/>
          <w:lang w:eastAsia="en-NZ"/>
        </w:rPr>
        <w:t xml:space="preserve"> </w:t>
      </w:r>
      <w:r w:rsidR="00040E0A" w:rsidRPr="00BB6220">
        <w:rPr>
          <w:rFonts w:ascii="Calibri" w:hAnsi="Calibri" w:cs="Calibri"/>
          <w:lang w:eastAsia="en-NZ"/>
        </w:rPr>
        <w:t>society.</w:t>
      </w:r>
      <w:r w:rsidR="003D640C">
        <w:rPr>
          <w:rFonts w:ascii="Calibri" w:hAnsi="Calibri" w:cs="Calibri"/>
          <w:lang w:eastAsia="en-NZ"/>
        </w:rPr>
        <w:t xml:space="preserve"> </w:t>
      </w:r>
      <w:r w:rsidR="00925D52">
        <w:rPr>
          <w:lang w:eastAsia="en-NZ"/>
        </w:rPr>
        <w:t>We</w:t>
      </w:r>
      <w:r w:rsidR="003D640C">
        <w:rPr>
          <w:lang w:eastAsia="en-NZ"/>
        </w:rPr>
        <w:t xml:space="preserve"> </w:t>
      </w:r>
      <w:r w:rsidR="00925D52">
        <w:rPr>
          <w:lang w:eastAsia="en-NZ"/>
        </w:rPr>
        <w:t>can</w:t>
      </w:r>
      <w:r w:rsidR="003D640C">
        <w:rPr>
          <w:lang w:eastAsia="en-NZ"/>
        </w:rPr>
        <w:t xml:space="preserve"> </w:t>
      </w:r>
      <w:r w:rsidR="00925D52">
        <w:rPr>
          <w:lang w:eastAsia="en-NZ"/>
        </w:rPr>
        <w:t>all</w:t>
      </w:r>
      <w:r w:rsidR="003D640C">
        <w:rPr>
          <w:lang w:eastAsia="en-NZ"/>
        </w:rPr>
        <w:t xml:space="preserve"> </w:t>
      </w:r>
      <w:r w:rsidR="00925D52">
        <w:rPr>
          <w:lang w:eastAsia="en-NZ"/>
        </w:rPr>
        <w:t>play</w:t>
      </w:r>
      <w:r w:rsidR="003D640C">
        <w:rPr>
          <w:lang w:eastAsia="en-NZ"/>
        </w:rPr>
        <w:t xml:space="preserve"> </w:t>
      </w:r>
      <w:r w:rsidR="00925D52">
        <w:rPr>
          <w:lang w:eastAsia="en-NZ"/>
        </w:rPr>
        <w:t>a</w:t>
      </w:r>
      <w:r>
        <w:rPr>
          <w:lang w:eastAsia="en-NZ"/>
        </w:rPr>
        <w:t xml:space="preserve"> </w:t>
      </w:r>
      <w:r w:rsidR="00925D52">
        <w:rPr>
          <w:lang w:eastAsia="en-NZ"/>
        </w:rPr>
        <w:t>part</w:t>
      </w:r>
      <w:r w:rsidR="003D640C">
        <w:rPr>
          <w:lang w:eastAsia="en-NZ"/>
        </w:rPr>
        <w:t xml:space="preserve"> </w:t>
      </w:r>
      <w:r w:rsidR="00925D52">
        <w:rPr>
          <w:lang w:eastAsia="en-NZ"/>
        </w:rPr>
        <w:t>in</w:t>
      </w:r>
      <w:r w:rsidR="003D640C">
        <w:rPr>
          <w:lang w:eastAsia="en-NZ"/>
        </w:rPr>
        <w:t xml:space="preserve"> </w:t>
      </w:r>
      <w:r w:rsidR="009021A8">
        <w:rPr>
          <w:lang w:eastAsia="en-NZ"/>
        </w:rPr>
        <w:t>achiev</w:t>
      </w:r>
      <w:r w:rsidR="00925D52">
        <w:rPr>
          <w:lang w:eastAsia="en-NZ"/>
        </w:rPr>
        <w:t>ing</w:t>
      </w:r>
      <w:r w:rsidR="003D640C">
        <w:rPr>
          <w:lang w:eastAsia="en-NZ"/>
        </w:rPr>
        <w:t xml:space="preserve"> </w:t>
      </w:r>
      <w:r w:rsidR="00E11D28" w:rsidRPr="00BB6220">
        <w:rPr>
          <w:lang w:eastAsia="en-NZ"/>
        </w:rPr>
        <w:t>an</w:t>
      </w:r>
      <w:r w:rsidR="003D640C">
        <w:rPr>
          <w:lang w:eastAsia="en-NZ"/>
        </w:rPr>
        <w:t xml:space="preserve"> </w:t>
      </w:r>
      <w:r w:rsidR="00E11D28" w:rsidRPr="00BB6220">
        <w:rPr>
          <w:lang w:eastAsia="en-NZ"/>
        </w:rPr>
        <w:t>Aotearoa</w:t>
      </w:r>
      <w:r w:rsidR="003D640C">
        <w:rPr>
          <w:lang w:eastAsia="en-NZ"/>
        </w:rPr>
        <w:t xml:space="preserve"> </w:t>
      </w:r>
      <w:r w:rsidR="00E11D28" w:rsidRPr="00BB6220">
        <w:rPr>
          <w:lang w:eastAsia="en-NZ"/>
        </w:rPr>
        <w:t>free</w:t>
      </w:r>
      <w:r w:rsidR="003D640C">
        <w:rPr>
          <w:lang w:eastAsia="en-NZ"/>
        </w:rPr>
        <w:t xml:space="preserve"> </w:t>
      </w:r>
      <w:r w:rsidR="00E11D28" w:rsidRPr="00BB6220">
        <w:rPr>
          <w:lang w:eastAsia="en-NZ"/>
        </w:rPr>
        <w:t>from</w:t>
      </w:r>
      <w:r w:rsidR="003D640C">
        <w:rPr>
          <w:lang w:eastAsia="en-NZ"/>
        </w:rPr>
        <w:t xml:space="preserve"> </w:t>
      </w:r>
      <w:r w:rsidR="00E11D28" w:rsidRPr="00BB6220">
        <w:rPr>
          <w:lang w:eastAsia="en-NZ"/>
        </w:rPr>
        <w:t>conversion</w:t>
      </w:r>
      <w:r w:rsidR="003D640C">
        <w:rPr>
          <w:lang w:eastAsia="en-NZ"/>
        </w:rPr>
        <w:t xml:space="preserve"> </w:t>
      </w:r>
      <w:r w:rsidR="00925D52">
        <w:rPr>
          <w:lang w:eastAsia="en-NZ"/>
        </w:rPr>
        <w:t>practices</w:t>
      </w:r>
      <w:r w:rsidR="00E11D28" w:rsidRPr="00BB6220">
        <w:rPr>
          <w:lang w:eastAsia="en-NZ"/>
        </w:rPr>
        <w:t>.</w:t>
      </w:r>
      <w:r w:rsidR="003D640C">
        <w:rPr>
          <w:lang w:eastAsia="en-NZ"/>
        </w:rPr>
        <w:t xml:space="preserve"> </w:t>
      </w:r>
    </w:p>
    <w:p w14:paraId="1D2A2250" w14:textId="5E85236B" w:rsidR="00501068" w:rsidRDefault="004579B0" w:rsidP="009032B9">
      <w:pPr>
        <w:rPr>
          <w:rFonts w:ascii="Calibri" w:hAnsi="Calibri" w:cs="Calibri"/>
          <w:lang w:eastAsia="en-NZ"/>
        </w:rPr>
      </w:pPr>
      <w:r w:rsidRPr="00BB6220">
        <w:rPr>
          <w:rFonts w:ascii="Calibri" w:hAnsi="Calibri" w:cs="Calibri"/>
          <w:lang w:eastAsia="en-NZ"/>
        </w:rPr>
        <w:t>We</w:t>
      </w:r>
      <w:r w:rsidR="003D640C">
        <w:rPr>
          <w:rFonts w:ascii="Calibri" w:hAnsi="Calibri" w:cs="Calibri"/>
          <w:lang w:eastAsia="en-NZ"/>
        </w:rPr>
        <w:t xml:space="preserve"> </w:t>
      </w:r>
      <w:r w:rsidRPr="00BB6220">
        <w:rPr>
          <w:rFonts w:ascii="Calibri" w:hAnsi="Calibri" w:cs="Calibri"/>
          <w:lang w:eastAsia="en-NZ"/>
        </w:rPr>
        <w:t>set</w:t>
      </w:r>
      <w:r w:rsidR="003D640C">
        <w:rPr>
          <w:rFonts w:ascii="Calibri" w:hAnsi="Calibri" w:cs="Calibri"/>
          <w:lang w:eastAsia="en-NZ"/>
        </w:rPr>
        <w:t xml:space="preserve"> </w:t>
      </w:r>
      <w:r w:rsidRPr="00BB6220">
        <w:rPr>
          <w:rFonts w:ascii="Calibri" w:hAnsi="Calibri" w:cs="Calibri"/>
          <w:lang w:eastAsia="en-NZ"/>
        </w:rPr>
        <w:t>out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list</w:t>
      </w:r>
      <w:r w:rsidR="003D640C">
        <w:rPr>
          <w:rFonts w:ascii="Calibri" w:hAnsi="Calibri" w:cs="Calibri"/>
          <w:lang w:eastAsia="en-NZ"/>
        </w:rPr>
        <w:t xml:space="preserve"> </w:t>
      </w:r>
      <w:r w:rsidR="002510C6">
        <w:rPr>
          <w:rFonts w:ascii="Calibri" w:hAnsi="Calibri" w:cs="Calibri"/>
          <w:lang w:eastAsia="en-NZ"/>
        </w:rPr>
        <w:t xml:space="preserve">of recommendations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full</w:t>
      </w:r>
      <w:r w:rsidR="003D640C">
        <w:rPr>
          <w:rFonts w:ascii="Calibri" w:hAnsi="Calibri" w:cs="Calibri"/>
          <w:lang w:eastAsia="en-NZ"/>
        </w:rPr>
        <w:t xml:space="preserve"> </w:t>
      </w:r>
      <w:r w:rsidR="002510C6">
        <w:rPr>
          <w:rFonts w:ascii="Calibri" w:hAnsi="Calibri" w:cs="Calibri"/>
          <w:lang w:eastAsia="en-NZ"/>
        </w:rPr>
        <w:t>below</w:t>
      </w:r>
      <w:r w:rsidRPr="00BB6220">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organised</w:t>
      </w:r>
      <w:r w:rsidR="003D640C">
        <w:rPr>
          <w:rFonts w:ascii="Calibri" w:hAnsi="Calibri" w:cs="Calibri"/>
          <w:lang w:eastAsia="en-NZ"/>
        </w:rPr>
        <w:t xml:space="preserve"> </w:t>
      </w:r>
      <w:r w:rsidRPr="00BB6220">
        <w:rPr>
          <w:rFonts w:ascii="Calibri" w:hAnsi="Calibri" w:cs="Calibri"/>
          <w:lang w:eastAsia="en-NZ"/>
        </w:rPr>
        <w:t>by</w:t>
      </w:r>
      <w:r w:rsidR="003D640C">
        <w:rPr>
          <w:rFonts w:ascii="Calibri" w:hAnsi="Calibri" w:cs="Calibri"/>
          <w:lang w:eastAsia="en-NZ"/>
        </w:rPr>
        <w:t xml:space="preserve"> </w:t>
      </w:r>
      <w:r w:rsidRPr="00BB6220">
        <w:rPr>
          <w:rFonts w:ascii="Calibri" w:hAnsi="Calibri" w:cs="Calibri"/>
          <w:lang w:eastAsia="en-NZ"/>
        </w:rPr>
        <w:t>primary</w:t>
      </w:r>
      <w:r w:rsidR="003D640C">
        <w:rPr>
          <w:rFonts w:ascii="Calibri" w:hAnsi="Calibri" w:cs="Calibri"/>
          <w:lang w:eastAsia="en-NZ"/>
        </w:rPr>
        <w:t xml:space="preserve"> </w:t>
      </w:r>
      <w:r w:rsidRPr="00BB6220">
        <w:rPr>
          <w:rFonts w:ascii="Calibri" w:hAnsi="Calibri" w:cs="Calibri"/>
          <w:lang w:eastAsia="en-NZ"/>
        </w:rPr>
        <w:t>audience.</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summary</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009D4A3C">
        <w:rPr>
          <w:rFonts w:ascii="Calibri" w:hAnsi="Calibri" w:cs="Calibri"/>
          <w:lang w:eastAsia="en-NZ"/>
        </w:rPr>
        <w:t>the</w:t>
      </w:r>
      <w:r w:rsidR="003D640C">
        <w:rPr>
          <w:rFonts w:ascii="Calibri" w:hAnsi="Calibri" w:cs="Calibri"/>
          <w:lang w:eastAsia="en-NZ"/>
        </w:rPr>
        <w:t xml:space="preserve"> </w:t>
      </w:r>
      <w:r w:rsidR="009D4A3C">
        <w:rPr>
          <w:rFonts w:ascii="Calibri" w:hAnsi="Calibri" w:cs="Calibri"/>
          <w:lang w:eastAsia="en-NZ"/>
        </w:rPr>
        <w:t>Commission’s</w:t>
      </w:r>
      <w:r w:rsidR="003D640C">
        <w:rPr>
          <w:rFonts w:ascii="Calibri" w:hAnsi="Calibri" w:cs="Calibri"/>
          <w:lang w:eastAsia="en-NZ"/>
        </w:rPr>
        <w:t xml:space="preserve"> </w:t>
      </w:r>
      <w:r w:rsidRPr="00BB6220">
        <w:rPr>
          <w:rFonts w:ascii="Calibri" w:hAnsi="Calibri" w:cs="Calibri"/>
          <w:lang w:eastAsia="en-NZ"/>
        </w:rPr>
        <w:t>priority</w:t>
      </w:r>
      <w:r w:rsidR="003D640C">
        <w:rPr>
          <w:rFonts w:ascii="Calibri" w:hAnsi="Calibri" w:cs="Calibri"/>
          <w:lang w:eastAsia="en-NZ"/>
        </w:rPr>
        <w:t xml:space="preserve"> </w:t>
      </w:r>
      <w:r w:rsidRPr="00BB6220">
        <w:rPr>
          <w:rFonts w:ascii="Calibri" w:hAnsi="Calibri" w:cs="Calibri"/>
          <w:lang w:eastAsia="en-NZ"/>
        </w:rPr>
        <w:t>recommendations</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002510C6">
        <w:rPr>
          <w:rFonts w:ascii="Calibri" w:hAnsi="Calibri" w:cs="Calibri"/>
          <w:lang w:eastAsia="en-NZ"/>
        </w:rPr>
        <w:t xml:space="preserve">also </w:t>
      </w:r>
      <w:r w:rsidRPr="00BB6220">
        <w:rPr>
          <w:rFonts w:ascii="Calibri" w:hAnsi="Calibri" w:cs="Calibri"/>
          <w:lang w:eastAsia="en-NZ"/>
        </w:rPr>
        <w:t>included</w:t>
      </w:r>
      <w:r w:rsidR="003D640C">
        <w:rPr>
          <w:rFonts w:ascii="Calibri" w:hAnsi="Calibri" w:cs="Calibri"/>
          <w:lang w:eastAsia="en-NZ"/>
        </w:rPr>
        <w:t xml:space="preserve"> </w:t>
      </w:r>
      <w:r w:rsidRPr="00BB6220">
        <w:rPr>
          <w:rFonts w:ascii="Calibri" w:hAnsi="Calibri" w:cs="Calibri"/>
          <w:lang w:eastAsia="en-NZ"/>
        </w:rPr>
        <w:t>at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front</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report.</w:t>
      </w:r>
    </w:p>
    <w:p w14:paraId="7E0EAECA" w14:textId="33FE7983" w:rsidR="00501068" w:rsidRPr="009B737E" w:rsidRDefault="00C044A8" w:rsidP="009032B9">
      <w:pPr>
        <w:rPr>
          <w:rFonts w:ascii="Calibri" w:hAnsi="Calibri" w:cs="Calibri"/>
          <w:lang w:eastAsia="en-NZ"/>
        </w:rPr>
      </w:pPr>
      <w:r w:rsidRPr="009B737E">
        <w:rPr>
          <w:rFonts w:ascii="Calibri" w:hAnsi="Calibri" w:cs="Calibri"/>
          <w:lang w:eastAsia="en-NZ"/>
        </w:rPr>
        <w:t>Survivors</w:t>
      </w:r>
      <w:r w:rsidR="003D640C" w:rsidRPr="009B737E">
        <w:rPr>
          <w:rFonts w:ascii="Calibri" w:hAnsi="Calibri" w:cs="Calibri"/>
          <w:lang w:eastAsia="en-NZ"/>
        </w:rPr>
        <w:t xml:space="preserve"> </w:t>
      </w:r>
      <w:r w:rsidRPr="009B737E">
        <w:rPr>
          <w:rFonts w:ascii="Calibri" w:hAnsi="Calibri" w:cs="Calibri"/>
          <w:lang w:eastAsia="en-NZ"/>
        </w:rPr>
        <w:t>and</w:t>
      </w:r>
      <w:r w:rsidR="003D640C" w:rsidRPr="009B737E">
        <w:rPr>
          <w:rFonts w:ascii="Calibri" w:hAnsi="Calibri" w:cs="Calibri"/>
          <w:lang w:eastAsia="en-NZ"/>
        </w:rPr>
        <w:t xml:space="preserve"> </w:t>
      </w:r>
      <w:r w:rsidRPr="009B737E">
        <w:rPr>
          <w:rFonts w:ascii="Calibri" w:hAnsi="Calibri" w:cs="Calibri"/>
          <w:lang w:eastAsia="en-NZ"/>
        </w:rPr>
        <w:t>the</w:t>
      </w:r>
      <w:r w:rsidR="003D640C" w:rsidRPr="009B737E">
        <w:rPr>
          <w:rFonts w:ascii="Calibri" w:hAnsi="Calibri" w:cs="Calibri"/>
          <w:lang w:eastAsia="en-NZ"/>
        </w:rPr>
        <w:t xml:space="preserve"> </w:t>
      </w:r>
      <w:r w:rsidRPr="009B737E">
        <w:rPr>
          <w:rFonts w:ascii="Calibri" w:hAnsi="Calibri" w:cs="Calibri"/>
          <w:lang w:eastAsia="en-NZ"/>
        </w:rPr>
        <w:t>Commission</w:t>
      </w:r>
      <w:r w:rsidR="003D640C" w:rsidRPr="009B737E">
        <w:rPr>
          <w:rFonts w:ascii="Calibri" w:hAnsi="Calibri" w:cs="Calibri"/>
          <w:lang w:eastAsia="en-NZ"/>
        </w:rPr>
        <w:t xml:space="preserve"> </w:t>
      </w:r>
      <w:r w:rsidRPr="009B737E">
        <w:rPr>
          <w:rFonts w:ascii="Calibri" w:hAnsi="Calibri" w:cs="Calibri"/>
          <w:lang w:eastAsia="en-NZ"/>
        </w:rPr>
        <w:t>make</w:t>
      </w:r>
      <w:r w:rsidR="003D640C" w:rsidRPr="009B737E">
        <w:rPr>
          <w:rFonts w:ascii="Calibri" w:hAnsi="Calibri" w:cs="Calibri"/>
          <w:lang w:eastAsia="en-NZ"/>
        </w:rPr>
        <w:t xml:space="preserve"> </w:t>
      </w:r>
      <w:r w:rsidRPr="009B737E">
        <w:rPr>
          <w:rFonts w:ascii="Calibri" w:hAnsi="Calibri" w:cs="Calibri"/>
          <w:lang w:eastAsia="en-NZ"/>
        </w:rPr>
        <w:t>the</w:t>
      </w:r>
      <w:r w:rsidR="003D640C" w:rsidRPr="009B737E">
        <w:rPr>
          <w:rFonts w:ascii="Calibri" w:hAnsi="Calibri" w:cs="Calibri"/>
          <w:lang w:eastAsia="en-NZ"/>
        </w:rPr>
        <w:t xml:space="preserve"> </w:t>
      </w:r>
      <w:r w:rsidRPr="009B737E">
        <w:rPr>
          <w:rFonts w:ascii="Calibri" w:hAnsi="Calibri" w:cs="Calibri"/>
          <w:lang w:eastAsia="en-NZ"/>
        </w:rPr>
        <w:t>following</w:t>
      </w:r>
      <w:r w:rsidR="003D640C" w:rsidRPr="009B737E">
        <w:rPr>
          <w:rFonts w:ascii="Calibri" w:hAnsi="Calibri" w:cs="Calibri"/>
          <w:lang w:eastAsia="en-NZ"/>
        </w:rPr>
        <w:t xml:space="preserve"> </w:t>
      </w:r>
      <w:r w:rsidRPr="009B737E">
        <w:rPr>
          <w:rFonts w:ascii="Calibri" w:hAnsi="Calibri" w:cs="Calibri"/>
          <w:lang w:eastAsia="en-NZ"/>
        </w:rPr>
        <w:t>recommendations</w:t>
      </w:r>
      <w:r w:rsidR="0067447E">
        <w:rPr>
          <w:rFonts w:ascii="Calibri" w:hAnsi="Calibri" w:cs="Calibri"/>
          <w:lang w:eastAsia="en-NZ"/>
        </w:rPr>
        <w:t>.</w:t>
      </w:r>
      <w:r w:rsidR="003D640C" w:rsidRPr="009B737E">
        <w:rPr>
          <w:rFonts w:ascii="Calibri" w:hAnsi="Calibri" w:cs="Calibri"/>
          <w:lang w:eastAsia="en-NZ"/>
        </w:rPr>
        <w:t xml:space="preserve"> </w:t>
      </w:r>
    </w:p>
    <w:p w14:paraId="53822BFD" w14:textId="24A844A0" w:rsidR="00501068" w:rsidRDefault="00C044A8" w:rsidP="009032B9">
      <w:pPr>
        <w:pStyle w:val="Heading2"/>
      </w:pPr>
      <w:bookmarkStart w:id="438" w:name="_Toc138325209"/>
      <w:bookmarkStart w:id="439" w:name="_Toc138343866"/>
      <w:bookmarkStart w:id="440" w:name="_Toc167780653"/>
      <w:bookmarkStart w:id="441" w:name="_Toc106224580"/>
      <w:bookmarkStart w:id="442" w:name="_Toc174628715"/>
      <w:r w:rsidRPr="009B737E">
        <w:t>To</w:t>
      </w:r>
      <w:r w:rsidR="003D640C" w:rsidRPr="009B737E">
        <w:t xml:space="preserve"> </w:t>
      </w:r>
      <w:r w:rsidRPr="009B737E">
        <w:t>Government</w:t>
      </w:r>
      <w:bookmarkEnd w:id="438"/>
      <w:bookmarkEnd w:id="439"/>
      <w:bookmarkEnd w:id="440"/>
      <w:bookmarkEnd w:id="441"/>
      <w:bookmarkEnd w:id="442"/>
      <w:r w:rsidR="003D640C">
        <w:t xml:space="preserve"> </w:t>
      </w:r>
    </w:p>
    <w:p w14:paraId="52ED9300" w14:textId="19A09F43" w:rsidR="00D11C1F" w:rsidRDefault="0055615A" w:rsidP="00D11C1F">
      <w:pPr>
        <w:pStyle w:val="ListParagraph"/>
        <w:numPr>
          <w:ilvl w:val="0"/>
          <w:numId w:val="117"/>
        </w:numPr>
        <w:rPr>
          <w:rFonts w:ascii="Calibri" w:hAnsi="Calibri" w:cs="Calibri"/>
          <w:lang w:eastAsia="en-NZ"/>
        </w:rPr>
      </w:pPr>
      <w:bookmarkStart w:id="443" w:name="_Hlk149582003"/>
      <w:r>
        <w:rPr>
          <w:rFonts w:ascii="Calibri" w:hAnsi="Calibri" w:cs="Calibri"/>
          <w:b/>
          <w:bCs/>
          <w:lang w:eastAsia="en-NZ"/>
        </w:rPr>
        <w:t>Review</w:t>
      </w:r>
      <w:r w:rsidR="003D640C">
        <w:rPr>
          <w:rFonts w:ascii="Calibri" w:hAnsi="Calibri" w:cs="Calibri"/>
          <w:b/>
          <w:bCs/>
          <w:lang w:eastAsia="en-NZ"/>
        </w:rPr>
        <w:t xml:space="preserve"> </w:t>
      </w:r>
      <w:r>
        <w:rPr>
          <w:rFonts w:ascii="Calibri" w:hAnsi="Calibri" w:cs="Calibri"/>
          <w:b/>
          <w:bCs/>
          <w:lang w:eastAsia="en-NZ"/>
        </w:rPr>
        <w:t>and</w:t>
      </w:r>
      <w:r w:rsidR="003D640C">
        <w:rPr>
          <w:rFonts w:ascii="Calibri" w:hAnsi="Calibri" w:cs="Calibri"/>
          <w:b/>
          <w:bCs/>
          <w:lang w:eastAsia="en-NZ"/>
        </w:rPr>
        <w:t xml:space="preserve"> </w:t>
      </w:r>
      <w:r>
        <w:rPr>
          <w:rFonts w:ascii="Calibri" w:hAnsi="Calibri" w:cs="Calibri"/>
          <w:b/>
          <w:bCs/>
          <w:lang w:eastAsia="en-NZ"/>
        </w:rPr>
        <w:t>s</w:t>
      </w:r>
      <w:r w:rsidR="00C044A8" w:rsidRPr="00BB6220">
        <w:rPr>
          <w:rFonts w:ascii="Calibri" w:hAnsi="Calibri" w:cs="Calibri"/>
          <w:b/>
          <w:bCs/>
          <w:lang w:eastAsia="en-NZ"/>
        </w:rPr>
        <w:t>trengthen</w:t>
      </w:r>
      <w:r w:rsidR="003D640C">
        <w:rPr>
          <w:rFonts w:ascii="Calibri" w:hAnsi="Calibri" w:cs="Calibri"/>
          <w:b/>
          <w:bCs/>
          <w:lang w:eastAsia="en-NZ"/>
        </w:rPr>
        <w:t xml:space="preserve"> </w:t>
      </w:r>
      <w:r w:rsidR="4CDB5CB3" w:rsidRPr="00BB6220">
        <w:rPr>
          <w:rFonts w:ascii="Calibri" w:hAnsi="Calibri" w:cs="Calibri"/>
          <w:b/>
          <w:bCs/>
          <w:lang w:eastAsia="en-NZ"/>
        </w:rPr>
        <w:t>the</w:t>
      </w:r>
      <w:r w:rsidR="003D640C">
        <w:rPr>
          <w:rFonts w:ascii="Calibri" w:hAnsi="Calibri" w:cs="Calibri"/>
          <w:b/>
          <w:bCs/>
          <w:lang w:eastAsia="en-NZ"/>
        </w:rPr>
        <w:t xml:space="preserve"> </w:t>
      </w:r>
      <w:r w:rsidR="4CDB5CB3" w:rsidRPr="00BB6220">
        <w:rPr>
          <w:rFonts w:ascii="Calibri" w:hAnsi="Calibri" w:cs="Calibri"/>
          <w:b/>
          <w:bCs/>
          <w:lang w:eastAsia="en-NZ"/>
        </w:rPr>
        <w:t>Conversion</w:t>
      </w:r>
      <w:r w:rsidR="003D640C">
        <w:rPr>
          <w:rFonts w:ascii="Calibri" w:hAnsi="Calibri" w:cs="Calibri"/>
          <w:b/>
          <w:bCs/>
          <w:lang w:eastAsia="en-NZ"/>
        </w:rPr>
        <w:t xml:space="preserve"> </w:t>
      </w:r>
      <w:r w:rsidR="0755F559">
        <w:rPr>
          <w:rFonts w:ascii="Calibri" w:hAnsi="Calibri" w:cs="Calibri"/>
          <w:b/>
          <w:bCs/>
          <w:lang w:eastAsia="en-NZ"/>
        </w:rPr>
        <w:t>Practices</w:t>
      </w:r>
      <w:r w:rsidR="003D640C">
        <w:rPr>
          <w:rFonts w:ascii="Calibri" w:hAnsi="Calibri" w:cs="Calibri"/>
          <w:b/>
          <w:bCs/>
          <w:lang w:eastAsia="en-NZ"/>
        </w:rPr>
        <w:t xml:space="preserve"> </w:t>
      </w:r>
      <w:r w:rsidR="4CDB5CB3" w:rsidRPr="00BB6220">
        <w:rPr>
          <w:rFonts w:ascii="Calibri" w:hAnsi="Calibri" w:cs="Calibri"/>
          <w:b/>
          <w:bCs/>
          <w:lang w:eastAsia="en-NZ"/>
        </w:rPr>
        <w:t>Prohibition</w:t>
      </w:r>
      <w:r w:rsidR="003D640C">
        <w:rPr>
          <w:rFonts w:ascii="Calibri" w:hAnsi="Calibri" w:cs="Calibri"/>
          <w:b/>
          <w:bCs/>
          <w:lang w:eastAsia="en-NZ"/>
        </w:rPr>
        <w:t xml:space="preserve"> </w:t>
      </w:r>
      <w:r w:rsidR="4CDB5CB3" w:rsidRPr="00BB6220">
        <w:rPr>
          <w:rFonts w:ascii="Calibri" w:hAnsi="Calibri" w:cs="Calibri"/>
          <w:b/>
          <w:bCs/>
          <w:lang w:eastAsia="en-NZ"/>
        </w:rPr>
        <w:t>Legislation</w:t>
      </w:r>
      <w:r w:rsidR="003D640C">
        <w:rPr>
          <w:rFonts w:ascii="Calibri" w:hAnsi="Calibri" w:cs="Calibri"/>
          <w:b/>
          <w:bCs/>
          <w:lang w:eastAsia="en-NZ"/>
        </w:rPr>
        <w:t xml:space="preserve"> </w:t>
      </w:r>
      <w:r w:rsidR="4CDB5CB3" w:rsidRPr="00BB6220">
        <w:rPr>
          <w:rFonts w:ascii="Calibri" w:hAnsi="Calibri" w:cs="Calibri"/>
          <w:b/>
          <w:bCs/>
          <w:lang w:eastAsia="en-NZ"/>
        </w:rPr>
        <w:t>Act</w:t>
      </w:r>
      <w:r w:rsidR="003D640C">
        <w:rPr>
          <w:rFonts w:ascii="Calibri" w:hAnsi="Calibri" w:cs="Calibri"/>
          <w:b/>
          <w:bCs/>
          <w:lang w:eastAsia="en-NZ"/>
        </w:rPr>
        <w:t xml:space="preserve"> </w:t>
      </w:r>
      <w:r w:rsidR="4CDB5CB3" w:rsidRPr="00BB6220">
        <w:rPr>
          <w:rFonts w:ascii="Calibri" w:hAnsi="Calibri" w:cs="Calibri"/>
          <w:b/>
          <w:bCs/>
          <w:lang w:eastAsia="en-NZ"/>
        </w:rPr>
        <w:t>2022</w:t>
      </w:r>
      <w:r w:rsidR="003D640C">
        <w:rPr>
          <w:rFonts w:ascii="Calibri" w:hAnsi="Calibri" w:cs="Calibri"/>
          <w:b/>
          <w:bCs/>
          <w:lang w:eastAsia="en-NZ"/>
        </w:rPr>
        <w:t xml:space="preserve"> </w:t>
      </w:r>
      <w:r w:rsidR="34B563C5" w:rsidRPr="00BB6220">
        <w:rPr>
          <w:rFonts w:ascii="Calibri" w:hAnsi="Calibri" w:cs="Calibri"/>
          <w:b/>
          <w:bCs/>
          <w:lang w:eastAsia="en-NZ"/>
        </w:rPr>
        <w:t>(CPPLA)</w:t>
      </w:r>
      <w:r w:rsidR="00F312F2">
        <w:rPr>
          <w:rFonts w:ascii="Calibri" w:hAnsi="Calibri" w:cs="Calibri"/>
          <w:b/>
          <w:bCs/>
          <w:lang w:eastAsia="en-NZ"/>
        </w:rPr>
        <w:br/>
      </w:r>
      <w:bookmarkEnd w:id="443"/>
      <w:r w:rsidR="34203AC0">
        <w:rPr>
          <w:rFonts w:ascii="Calibri" w:hAnsi="Calibri" w:cs="Calibri"/>
          <w:lang w:eastAsia="en-NZ"/>
        </w:rPr>
        <w:t>S</w:t>
      </w:r>
      <w:r w:rsidR="4CDB5CB3" w:rsidRPr="00BB6220">
        <w:rPr>
          <w:rFonts w:ascii="Calibri" w:hAnsi="Calibri" w:cs="Calibri"/>
          <w:lang w:eastAsia="en-NZ"/>
        </w:rPr>
        <w:t>tronger</w:t>
      </w:r>
      <w:r w:rsidR="003D640C">
        <w:rPr>
          <w:rFonts w:ascii="Calibri" w:hAnsi="Calibri" w:cs="Calibri"/>
          <w:lang w:eastAsia="en-NZ"/>
        </w:rPr>
        <w:t xml:space="preserve"> </w:t>
      </w:r>
      <w:r w:rsidR="4CDB5CB3" w:rsidRPr="00BB6220">
        <w:rPr>
          <w:rFonts w:ascii="Calibri" w:hAnsi="Calibri" w:cs="Calibri"/>
          <w:lang w:eastAsia="en-NZ"/>
        </w:rPr>
        <w:t>measures</w:t>
      </w:r>
      <w:r w:rsidR="003D640C">
        <w:rPr>
          <w:rFonts w:ascii="Calibri" w:hAnsi="Calibri" w:cs="Calibri"/>
          <w:lang w:eastAsia="en-NZ"/>
        </w:rPr>
        <w:t xml:space="preserve"> </w:t>
      </w:r>
      <w:r w:rsidR="4CDB5CB3" w:rsidRPr="00BB6220">
        <w:rPr>
          <w:rFonts w:ascii="Calibri" w:hAnsi="Calibri" w:cs="Calibri"/>
          <w:lang w:eastAsia="en-NZ"/>
        </w:rPr>
        <w:t>are</w:t>
      </w:r>
      <w:r w:rsidR="003D640C">
        <w:rPr>
          <w:rFonts w:ascii="Calibri" w:hAnsi="Calibri" w:cs="Calibri"/>
          <w:lang w:eastAsia="en-NZ"/>
        </w:rPr>
        <w:t xml:space="preserve"> </w:t>
      </w:r>
      <w:r w:rsidR="4CDB5CB3" w:rsidRPr="00BB6220">
        <w:rPr>
          <w:rFonts w:ascii="Calibri" w:hAnsi="Calibri" w:cs="Calibri"/>
          <w:lang w:eastAsia="en-NZ"/>
        </w:rPr>
        <w:t>needed</w:t>
      </w:r>
      <w:r w:rsidR="003D640C">
        <w:rPr>
          <w:rFonts w:ascii="Calibri" w:hAnsi="Calibri" w:cs="Calibri"/>
          <w:lang w:eastAsia="en-NZ"/>
        </w:rPr>
        <w:t xml:space="preserve"> </w:t>
      </w:r>
      <w:r w:rsidR="4CDB5CB3" w:rsidRPr="00BB6220">
        <w:rPr>
          <w:rFonts w:ascii="Calibri" w:hAnsi="Calibri" w:cs="Calibri"/>
          <w:lang w:eastAsia="en-NZ"/>
        </w:rPr>
        <w:t>to</w:t>
      </w:r>
      <w:r w:rsidR="003D640C">
        <w:rPr>
          <w:rFonts w:ascii="Calibri" w:hAnsi="Calibri" w:cs="Calibri"/>
          <w:lang w:eastAsia="en-NZ"/>
        </w:rPr>
        <w:t xml:space="preserve"> </w:t>
      </w:r>
      <w:r w:rsidR="0074200E" w:rsidRPr="75632CB6">
        <w:rPr>
          <w:rFonts w:ascii="Calibri" w:hAnsi="Calibri" w:cs="Calibri"/>
          <w:lang w:eastAsia="en-NZ"/>
        </w:rPr>
        <w:t>better</w:t>
      </w:r>
      <w:r w:rsidR="003D640C">
        <w:rPr>
          <w:rFonts w:ascii="Calibri" w:hAnsi="Calibri" w:cs="Calibri"/>
          <w:lang w:eastAsia="en-NZ"/>
        </w:rPr>
        <w:t xml:space="preserve"> </w:t>
      </w:r>
      <w:r w:rsidR="0074200E" w:rsidRPr="75632CB6">
        <w:rPr>
          <w:rFonts w:ascii="Calibri" w:hAnsi="Calibri" w:cs="Calibri"/>
          <w:lang w:eastAsia="en-NZ"/>
        </w:rPr>
        <w:t>protect</w:t>
      </w:r>
      <w:r w:rsidR="003D640C">
        <w:rPr>
          <w:rFonts w:ascii="Calibri" w:hAnsi="Calibri" w:cs="Calibri"/>
          <w:lang w:eastAsia="en-NZ"/>
        </w:rPr>
        <w:t xml:space="preserve"> </w:t>
      </w:r>
      <w:r w:rsidR="0074200E" w:rsidRPr="75632CB6">
        <w:rPr>
          <w:rFonts w:ascii="Calibri" w:hAnsi="Calibri" w:cs="Calibri"/>
          <w:lang w:eastAsia="en-NZ"/>
        </w:rPr>
        <w:t>survivors</w:t>
      </w:r>
      <w:r w:rsidR="003D640C">
        <w:rPr>
          <w:rFonts w:ascii="Calibri" w:hAnsi="Calibri" w:cs="Calibri"/>
          <w:lang w:eastAsia="en-NZ"/>
        </w:rPr>
        <w:t xml:space="preserve"> </w:t>
      </w:r>
      <w:r w:rsidR="0074200E" w:rsidRPr="75632CB6">
        <w:rPr>
          <w:rFonts w:ascii="Calibri" w:hAnsi="Calibri" w:cs="Calibri"/>
          <w:lang w:eastAsia="en-NZ"/>
        </w:rPr>
        <w:t>and</w:t>
      </w:r>
      <w:r w:rsidR="003D640C">
        <w:rPr>
          <w:rFonts w:ascii="Calibri" w:hAnsi="Calibri" w:cs="Calibri"/>
          <w:lang w:eastAsia="en-NZ"/>
        </w:rPr>
        <w:t xml:space="preserve"> </w:t>
      </w:r>
      <w:r w:rsidR="0074200E" w:rsidRPr="75632CB6">
        <w:rPr>
          <w:rFonts w:ascii="Calibri" w:hAnsi="Calibri" w:cs="Calibri"/>
          <w:lang w:eastAsia="en-NZ"/>
        </w:rPr>
        <w:t>people</w:t>
      </w:r>
      <w:r w:rsidR="003D640C">
        <w:rPr>
          <w:rFonts w:ascii="Calibri" w:hAnsi="Calibri" w:cs="Calibri"/>
          <w:lang w:eastAsia="en-NZ"/>
        </w:rPr>
        <w:t xml:space="preserve"> </w:t>
      </w:r>
      <w:r w:rsidR="0074200E" w:rsidRPr="75632CB6">
        <w:rPr>
          <w:rFonts w:ascii="Calibri" w:hAnsi="Calibri" w:cs="Calibri"/>
          <w:lang w:eastAsia="en-NZ"/>
        </w:rPr>
        <w:t>at</w:t>
      </w:r>
      <w:r w:rsidR="003D640C">
        <w:rPr>
          <w:rFonts w:ascii="Calibri" w:hAnsi="Calibri" w:cs="Calibri"/>
          <w:lang w:eastAsia="en-NZ"/>
        </w:rPr>
        <w:t xml:space="preserve"> </w:t>
      </w:r>
      <w:r w:rsidR="0074200E" w:rsidRPr="75632CB6">
        <w:rPr>
          <w:rFonts w:ascii="Calibri" w:hAnsi="Calibri" w:cs="Calibri"/>
          <w:lang w:eastAsia="en-NZ"/>
        </w:rPr>
        <w:t>risk</w:t>
      </w:r>
      <w:r w:rsidR="003D640C">
        <w:rPr>
          <w:rFonts w:ascii="Calibri" w:hAnsi="Calibri" w:cs="Calibri"/>
          <w:lang w:eastAsia="en-NZ"/>
        </w:rPr>
        <w:t xml:space="preserve"> </w:t>
      </w:r>
      <w:r w:rsidR="0074200E" w:rsidRPr="75632CB6">
        <w:rPr>
          <w:rFonts w:ascii="Calibri" w:hAnsi="Calibri" w:cs="Calibri"/>
          <w:lang w:eastAsia="en-NZ"/>
        </w:rPr>
        <w:t>of</w:t>
      </w:r>
      <w:r w:rsidR="003D640C">
        <w:rPr>
          <w:rFonts w:ascii="Calibri" w:hAnsi="Calibri" w:cs="Calibri"/>
          <w:lang w:eastAsia="en-NZ"/>
        </w:rPr>
        <w:t xml:space="preserve"> </w:t>
      </w:r>
      <w:r w:rsidR="0074200E" w:rsidRPr="75632CB6">
        <w:rPr>
          <w:rFonts w:ascii="Calibri" w:hAnsi="Calibri" w:cs="Calibri"/>
          <w:lang w:eastAsia="en-NZ"/>
        </w:rPr>
        <w:t>conversion</w:t>
      </w:r>
      <w:r w:rsidR="003D640C">
        <w:rPr>
          <w:rFonts w:ascii="Calibri" w:hAnsi="Calibri" w:cs="Calibri"/>
          <w:lang w:eastAsia="en-NZ"/>
        </w:rPr>
        <w:t xml:space="preserve"> </w:t>
      </w:r>
      <w:r w:rsidR="0074200E" w:rsidRPr="75632CB6">
        <w:rPr>
          <w:rFonts w:ascii="Calibri" w:hAnsi="Calibri" w:cs="Calibri"/>
          <w:lang w:eastAsia="en-NZ"/>
        </w:rPr>
        <w:t>practices</w:t>
      </w:r>
      <w:r w:rsidR="003D640C">
        <w:rPr>
          <w:rFonts w:ascii="Calibri" w:hAnsi="Calibri" w:cs="Calibri"/>
          <w:lang w:eastAsia="en-NZ"/>
        </w:rPr>
        <w:t xml:space="preserve"> </w:t>
      </w:r>
      <w:r w:rsidR="0074200E" w:rsidRPr="75632CB6">
        <w:rPr>
          <w:rFonts w:ascii="Calibri" w:hAnsi="Calibri" w:cs="Calibri"/>
          <w:lang w:eastAsia="en-NZ"/>
        </w:rPr>
        <w:t>from</w:t>
      </w:r>
      <w:r w:rsidR="003D640C">
        <w:rPr>
          <w:rFonts w:ascii="Calibri" w:hAnsi="Calibri" w:cs="Calibri"/>
          <w:lang w:eastAsia="en-NZ"/>
        </w:rPr>
        <w:t xml:space="preserve"> </w:t>
      </w:r>
      <w:r w:rsidR="0074200E" w:rsidRPr="75632CB6">
        <w:rPr>
          <w:rFonts w:ascii="Calibri" w:hAnsi="Calibri" w:cs="Calibri"/>
          <w:lang w:eastAsia="en-NZ"/>
        </w:rPr>
        <w:t>harm.</w:t>
      </w:r>
      <w:r w:rsidR="003D640C">
        <w:rPr>
          <w:rFonts w:ascii="Calibri" w:hAnsi="Calibri" w:cs="Calibri"/>
          <w:lang w:eastAsia="en-NZ"/>
        </w:rPr>
        <w:t xml:space="preserve"> </w:t>
      </w:r>
      <w:r w:rsidR="0074200E">
        <w:rPr>
          <w:rFonts w:ascii="Calibri" w:hAnsi="Calibri" w:cs="Calibri"/>
          <w:lang w:eastAsia="en-NZ"/>
        </w:rPr>
        <w:t>A</w:t>
      </w:r>
      <w:r w:rsidR="003D640C">
        <w:rPr>
          <w:rFonts w:ascii="Calibri" w:hAnsi="Calibri" w:cs="Calibri"/>
          <w:lang w:eastAsia="en-NZ"/>
        </w:rPr>
        <w:t xml:space="preserve"> </w:t>
      </w:r>
      <w:r w:rsidR="0074200E">
        <w:rPr>
          <w:rFonts w:ascii="Calibri" w:hAnsi="Calibri" w:cs="Calibri"/>
          <w:lang w:eastAsia="en-NZ"/>
        </w:rPr>
        <w:t>review</w:t>
      </w:r>
      <w:r w:rsidR="003D640C">
        <w:rPr>
          <w:rFonts w:ascii="Calibri" w:hAnsi="Calibri" w:cs="Calibri"/>
          <w:lang w:eastAsia="en-NZ"/>
        </w:rPr>
        <w:t xml:space="preserve"> </w:t>
      </w:r>
      <w:r w:rsidR="0074200E" w:rsidRPr="00D11C1F">
        <w:t>of</w:t>
      </w:r>
      <w:r w:rsidR="003D640C">
        <w:rPr>
          <w:rFonts w:ascii="Calibri" w:hAnsi="Calibri" w:cs="Calibri"/>
          <w:lang w:eastAsia="en-NZ"/>
        </w:rPr>
        <w:t xml:space="preserve"> </w:t>
      </w:r>
      <w:r w:rsidR="0074200E" w:rsidRPr="75632CB6">
        <w:rPr>
          <w:rFonts w:ascii="Calibri" w:hAnsi="Calibri" w:cs="Calibri"/>
          <w:lang w:eastAsia="en-NZ"/>
        </w:rPr>
        <w:t>the</w:t>
      </w:r>
      <w:r w:rsidR="003D640C">
        <w:rPr>
          <w:rFonts w:ascii="Calibri" w:hAnsi="Calibri" w:cs="Calibri"/>
          <w:lang w:eastAsia="en-NZ"/>
        </w:rPr>
        <w:t xml:space="preserve"> </w:t>
      </w:r>
      <w:r w:rsidR="0074200E" w:rsidRPr="75632CB6">
        <w:rPr>
          <w:rFonts w:ascii="Calibri" w:hAnsi="Calibri" w:cs="Calibri"/>
          <w:lang w:eastAsia="en-NZ"/>
        </w:rPr>
        <w:t>CPPLA</w:t>
      </w:r>
      <w:r w:rsidR="0074200E">
        <w:rPr>
          <w:rFonts w:ascii="Calibri" w:hAnsi="Calibri" w:cs="Calibri"/>
          <w:lang w:eastAsia="en-NZ"/>
        </w:rPr>
        <w:t>’s</w:t>
      </w:r>
      <w:r w:rsidR="003D640C">
        <w:rPr>
          <w:rFonts w:ascii="Calibri" w:hAnsi="Calibri" w:cs="Calibri"/>
          <w:lang w:eastAsia="en-NZ"/>
        </w:rPr>
        <w:t xml:space="preserve"> </w:t>
      </w:r>
      <w:r w:rsidR="0074200E">
        <w:rPr>
          <w:rFonts w:ascii="Calibri" w:hAnsi="Calibri" w:cs="Calibri"/>
          <w:lang w:eastAsia="en-NZ"/>
        </w:rPr>
        <w:t>operation</w:t>
      </w:r>
      <w:r w:rsidR="003D640C">
        <w:rPr>
          <w:rFonts w:ascii="Calibri" w:hAnsi="Calibri" w:cs="Calibri"/>
          <w:lang w:eastAsia="en-NZ"/>
        </w:rPr>
        <w:t xml:space="preserve"> </w:t>
      </w:r>
      <w:r w:rsidR="0074200E">
        <w:rPr>
          <w:rFonts w:ascii="Calibri" w:hAnsi="Calibri" w:cs="Calibri"/>
          <w:lang w:eastAsia="en-NZ"/>
        </w:rPr>
        <w:t>should</w:t>
      </w:r>
      <w:r w:rsidR="003D640C">
        <w:rPr>
          <w:rFonts w:ascii="Calibri" w:hAnsi="Calibri" w:cs="Calibri"/>
          <w:lang w:eastAsia="en-NZ"/>
        </w:rPr>
        <w:t xml:space="preserve"> </w:t>
      </w:r>
      <w:r w:rsidR="0074200E">
        <w:rPr>
          <w:rFonts w:ascii="Calibri" w:hAnsi="Calibri" w:cs="Calibri"/>
          <w:lang w:eastAsia="en-NZ"/>
        </w:rPr>
        <w:t>consider</w:t>
      </w:r>
      <w:r w:rsidR="003D640C">
        <w:rPr>
          <w:rFonts w:ascii="Calibri" w:hAnsi="Calibri" w:cs="Calibri"/>
          <w:lang w:eastAsia="en-NZ"/>
        </w:rPr>
        <w:t xml:space="preserve"> </w:t>
      </w:r>
      <w:r w:rsidR="0074200E" w:rsidRPr="75632CB6">
        <w:rPr>
          <w:rFonts w:ascii="Calibri" w:hAnsi="Calibri" w:cs="Calibri"/>
          <w:lang w:eastAsia="en-NZ"/>
        </w:rPr>
        <w:t>amendments</w:t>
      </w:r>
      <w:r w:rsidR="003D640C">
        <w:rPr>
          <w:rFonts w:ascii="Calibri" w:hAnsi="Calibri" w:cs="Calibri"/>
          <w:lang w:eastAsia="en-NZ"/>
        </w:rPr>
        <w:t xml:space="preserve"> </w:t>
      </w:r>
      <w:r w:rsidR="0074200E" w:rsidRPr="75632CB6">
        <w:rPr>
          <w:rFonts w:ascii="Calibri" w:hAnsi="Calibri" w:cs="Calibri"/>
          <w:lang w:eastAsia="en-NZ"/>
        </w:rPr>
        <w:t>to</w:t>
      </w:r>
      <w:r w:rsidR="003D640C">
        <w:rPr>
          <w:rFonts w:ascii="Calibri" w:hAnsi="Calibri" w:cs="Calibri"/>
          <w:lang w:eastAsia="en-NZ"/>
        </w:rPr>
        <w:t xml:space="preserve"> </w:t>
      </w:r>
      <w:r w:rsidR="0074200E" w:rsidRPr="75632CB6">
        <w:rPr>
          <w:rFonts w:ascii="Calibri" w:hAnsi="Calibri" w:cs="Calibri"/>
          <w:lang w:eastAsia="en-NZ"/>
        </w:rPr>
        <w:t>address</w:t>
      </w:r>
      <w:r w:rsidR="003D640C">
        <w:rPr>
          <w:rFonts w:ascii="Calibri" w:hAnsi="Calibri" w:cs="Calibri"/>
          <w:lang w:eastAsia="en-NZ"/>
        </w:rPr>
        <w:t xml:space="preserve"> </w:t>
      </w:r>
      <w:r w:rsidR="0074200E" w:rsidRPr="75632CB6">
        <w:rPr>
          <w:rFonts w:ascii="Calibri" w:hAnsi="Calibri" w:cs="Calibri"/>
          <w:lang w:eastAsia="en-NZ"/>
        </w:rPr>
        <w:t>protection</w:t>
      </w:r>
      <w:r w:rsidR="003D640C">
        <w:rPr>
          <w:rFonts w:ascii="Calibri" w:hAnsi="Calibri" w:cs="Calibri"/>
          <w:lang w:eastAsia="en-NZ"/>
        </w:rPr>
        <w:t xml:space="preserve"> </w:t>
      </w:r>
      <w:r w:rsidR="0074200E" w:rsidRPr="75632CB6">
        <w:rPr>
          <w:rFonts w:ascii="Calibri" w:hAnsi="Calibri" w:cs="Calibri"/>
          <w:lang w:eastAsia="en-NZ"/>
        </w:rPr>
        <w:t>gaps</w:t>
      </w:r>
      <w:r w:rsidR="003D640C">
        <w:rPr>
          <w:rFonts w:ascii="Calibri" w:hAnsi="Calibri" w:cs="Calibri"/>
          <w:lang w:eastAsia="en-NZ"/>
        </w:rPr>
        <w:t xml:space="preserve"> </w:t>
      </w:r>
      <w:r w:rsidR="0074200E">
        <w:rPr>
          <w:rFonts w:ascii="Calibri" w:hAnsi="Calibri" w:cs="Calibri"/>
          <w:lang w:eastAsia="en-NZ"/>
        </w:rPr>
        <w:t>identified</w:t>
      </w:r>
      <w:r w:rsidR="003D640C">
        <w:rPr>
          <w:rFonts w:ascii="Calibri" w:hAnsi="Calibri" w:cs="Calibri"/>
          <w:lang w:eastAsia="en-NZ"/>
        </w:rPr>
        <w:t xml:space="preserve"> </w:t>
      </w:r>
      <w:r w:rsidR="0074200E">
        <w:rPr>
          <w:rFonts w:ascii="Calibri" w:hAnsi="Calibri" w:cs="Calibri"/>
          <w:lang w:eastAsia="en-NZ"/>
        </w:rPr>
        <w:t>by</w:t>
      </w:r>
      <w:r w:rsidR="003D640C">
        <w:rPr>
          <w:rFonts w:ascii="Calibri" w:hAnsi="Calibri" w:cs="Calibri"/>
          <w:lang w:eastAsia="en-NZ"/>
        </w:rPr>
        <w:t xml:space="preserve"> </w:t>
      </w:r>
      <w:r w:rsidR="0074200E">
        <w:rPr>
          <w:rFonts w:ascii="Calibri" w:hAnsi="Calibri" w:cs="Calibri"/>
          <w:lang w:eastAsia="en-NZ"/>
        </w:rPr>
        <w:t>survivors,</w:t>
      </w:r>
      <w:r w:rsidR="003D640C">
        <w:rPr>
          <w:rFonts w:ascii="Calibri" w:hAnsi="Calibri" w:cs="Calibri"/>
          <w:lang w:eastAsia="en-NZ"/>
        </w:rPr>
        <w:t xml:space="preserve"> </w:t>
      </w:r>
      <w:r w:rsidR="0074200E">
        <w:rPr>
          <w:rFonts w:ascii="Calibri" w:hAnsi="Calibri" w:cs="Calibri"/>
          <w:lang w:eastAsia="en-NZ"/>
        </w:rPr>
        <w:t>including</w:t>
      </w:r>
      <w:r w:rsidR="0074200E" w:rsidRPr="75632CB6">
        <w:rPr>
          <w:rFonts w:ascii="Calibri" w:hAnsi="Calibri" w:cs="Calibri"/>
          <w:lang w:eastAsia="en-NZ"/>
        </w:rPr>
        <w:t>:</w:t>
      </w:r>
    </w:p>
    <w:p w14:paraId="7F16E8A8" w14:textId="4CE6E865" w:rsidR="0074200E" w:rsidRPr="00D11C1F" w:rsidRDefault="00F312F2" w:rsidP="00D11C1F">
      <w:pPr>
        <w:pStyle w:val="ListParagraph"/>
        <w:numPr>
          <w:ilvl w:val="1"/>
          <w:numId w:val="117"/>
        </w:numPr>
        <w:ind w:left="834" w:hanging="397"/>
        <w:rPr>
          <w:rFonts w:ascii="Calibri" w:hAnsi="Calibri" w:cs="Calibri"/>
          <w:lang w:eastAsia="en-NZ"/>
        </w:rPr>
      </w:pPr>
      <w:r>
        <w:t>c</w:t>
      </w:r>
      <w:r w:rsidR="002A44F8" w:rsidRPr="009032B9">
        <w:t>onsidering</w:t>
      </w:r>
      <w:r w:rsidR="003D640C" w:rsidRPr="009032B9">
        <w:t xml:space="preserve"> </w:t>
      </w:r>
      <w:r w:rsidR="002A44F8" w:rsidRPr="009032B9">
        <w:t>o</w:t>
      </w:r>
      <w:r w:rsidR="0074200E" w:rsidRPr="009032B9">
        <w:t>ptions</w:t>
      </w:r>
      <w:r w:rsidR="003D640C" w:rsidRPr="009032B9">
        <w:t xml:space="preserve"> </w:t>
      </w:r>
      <w:r w:rsidR="0074200E" w:rsidRPr="009032B9">
        <w:t>for</w:t>
      </w:r>
      <w:r w:rsidR="003D640C" w:rsidRPr="009032B9">
        <w:t xml:space="preserve"> </w:t>
      </w:r>
      <w:r w:rsidR="0074200E" w:rsidRPr="009032B9">
        <w:t>protection</w:t>
      </w:r>
      <w:r w:rsidR="003D640C" w:rsidRPr="009032B9">
        <w:t xml:space="preserve"> </w:t>
      </w:r>
      <w:r w:rsidR="0074200E" w:rsidRPr="009032B9">
        <w:t>for</w:t>
      </w:r>
      <w:r w:rsidR="003D640C" w:rsidRPr="009032B9">
        <w:t xml:space="preserve"> </w:t>
      </w:r>
      <w:r w:rsidR="0074200E" w:rsidRPr="009032B9">
        <w:t>intersex</w:t>
      </w:r>
      <w:r w:rsidR="003D640C" w:rsidRPr="009032B9">
        <w:t xml:space="preserve"> </w:t>
      </w:r>
      <w:r w:rsidR="0074200E" w:rsidRPr="009032B9">
        <w:t>people,</w:t>
      </w:r>
      <w:r w:rsidR="003D640C" w:rsidRPr="009032B9">
        <w:t xml:space="preserve"> </w:t>
      </w:r>
      <w:r w:rsidR="0074200E" w:rsidRPr="009032B9">
        <w:t>especially</w:t>
      </w:r>
      <w:r w:rsidR="003D640C" w:rsidRPr="009032B9">
        <w:t xml:space="preserve"> </w:t>
      </w:r>
      <w:r w:rsidR="0074200E" w:rsidRPr="009032B9">
        <w:t>infants</w:t>
      </w:r>
      <w:r w:rsidR="003D640C" w:rsidRPr="009032B9">
        <w:t xml:space="preserve"> </w:t>
      </w:r>
      <w:r w:rsidR="0074200E" w:rsidRPr="009032B9">
        <w:t>and</w:t>
      </w:r>
      <w:r w:rsidR="003D640C" w:rsidRPr="009032B9">
        <w:t xml:space="preserve"> </w:t>
      </w:r>
      <w:r w:rsidR="0074200E" w:rsidRPr="009032B9">
        <w:t>children,</w:t>
      </w:r>
      <w:r w:rsidR="003D640C" w:rsidRPr="009032B9">
        <w:t xml:space="preserve"> </w:t>
      </w:r>
      <w:r w:rsidR="0074200E" w:rsidRPr="009032B9">
        <w:t>from</w:t>
      </w:r>
      <w:r w:rsidR="003D640C" w:rsidRPr="009032B9">
        <w:t xml:space="preserve"> </w:t>
      </w:r>
      <w:r w:rsidR="0074200E" w:rsidRPr="009032B9">
        <w:t>medical</w:t>
      </w:r>
      <w:r w:rsidR="003D640C" w:rsidRPr="009032B9">
        <w:t xml:space="preserve"> </w:t>
      </w:r>
      <w:r w:rsidR="0074200E" w:rsidRPr="009032B9">
        <w:t>interventions</w:t>
      </w:r>
      <w:r w:rsidR="003D640C" w:rsidRPr="009032B9">
        <w:t xml:space="preserve"> </w:t>
      </w:r>
      <w:r w:rsidR="0074200E" w:rsidRPr="009032B9">
        <w:t>that</w:t>
      </w:r>
      <w:r w:rsidR="003D640C" w:rsidRPr="009032B9">
        <w:t xml:space="preserve"> </w:t>
      </w:r>
      <w:r w:rsidR="0074200E" w:rsidRPr="009032B9">
        <w:t>could</w:t>
      </w:r>
      <w:r w:rsidR="003D640C" w:rsidRPr="009032B9">
        <w:t xml:space="preserve"> </w:t>
      </w:r>
      <w:r w:rsidR="0074200E" w:rsidRPr="009032B9">
        <w:t>be</w:t>
      </w:r>
      <w:r w:rsidR="003D640C" w:rsidRPr="009032B9">
        <w:t xml:space="preserve"> </w:t>
      </w:r>
      <w:r w:rsidR="0074200E" w:rsidRPr="009032B9">
        <w:t>deferred</w:t>
      </w:r>
      <w:r w:rsidR="003D640C" w:rsidRPr="009032B9">
        <w:t xml:space="preserve"> </w:t>
      </w:r>
    </w:p>
    <w:p w14:paraId="2CE87F5A" w14:textId="14F53ABF" w:rsidR="0074200E" w:rsidRPr="009032B9" w:rsidRDefault="00F312F2" w:rsidP="00D11C1F">
      <w:pPr>
        <w:pStyle w:val="ListParagraph"/>
        <w:numPr>
          <w:ilvl w:val="1"/>
          <w:numId w:val="117"/>
        </w:numPr>
        <w:ind w:left="834" w:hanging="397"/>
      </w:pPr>
      <w:r>
        <w:t>r</w:t>
      </w:r>
      <w:r w:rsidR="0074200E" w:rsidRPr="009032B9">
        <w:t>econsidering</w:t>
      </w:r>
      <w:r w:rsidR="003D640C" w:rsidRPr="009032B9">
        <w:t xml:space="preserve"> </w:t>
      </w:r>
      <w:r w:rsidR="0074200E" w:rsidRPr="009032B9">
        <w:t>the</w:t>
      </w:r>
      <w:r w:rsidR="003D640C" w:rsidRPr="009032B9">
        <w:t xml:space="preserve"> </w:t>
      </w:r>
      <w:r w:rsidR="0074200E" w:rsidRPr="009032B9">
        <w:t>high</w:t>
      </w:r>
      <w:r w:rsidR="003D640C" w:rsidRPr="009032B9">
        <w:t xml:space="preserve"> </w:t>
      </w:r>
      <w:r w:rsidR="0074200E" w:rsidRPr="009032B9">
        <w:t>threshold</w:t>
      </w:r>
      <w:r w:rsidR="003D640C" w:rsidRPr="009032B9">
        <w:t xml:space="preserve"> </w:t>
      </w:r>
      <w:r w:rsidR="0074200E" w:rsidRPr="009032B9">
        <w:t>for</w:t>
      </w:r>
      <w:r w:rsidR="003D640C" w:rsidRPr="009032B9">
        <w:t xml:space="preserve"> </w:t>
      </w:r>
      <w:r w:rsidR="0074200E" w:rsidRPr="009032B9">
        <w:t>criminalisation</w:t>
      </w:r>
      <w:r w:rsidR="003D640C" w:rsidRPr="009032B9">
        <w:t xml:space="preserve"> </w:t>
      </w:r>
      <w:r w:rsidR="0074200E" w:rsidRPr="009032B9">
        <w:t>of</w:t>
      </w:r>
      <w:r w:rsidR="003D640C" w:rsidRPr="009032B9">
        <w:t xml:space="preserve"> </w:t>
      </w:r>
      <w:r w:rsidR="0074200E" w:rsidRPr="009032B9">
        <w:t>conversion</w:t>
      </w:r>
      <w:r w:rsidR="003D640C" w:rsidRPr="009032B9">
        <w:t xml:space="preserve"> </w:t>
      </w:r>
      <w:r w:rsidR="0074200E" w:rsidRPr="009032B9">
        <w:t>practices</w:t>
      </w:r>
      <w:r w:rsidR="003D640C" w:rsidRPr="009032B9">
        <w:t xml:space="preserve"> </w:t>
      </w:r>
      <w:r w:rsidR="0074200E" w:rsidRPr="009032B9">
        <w:t>directed</w:t>
      </w:r>
      <w:r w:rsidR="003D640C" w:rsidRPr="009032B9">
        <w:t xml:space="preserve"> </w:t>
      </w:r>
      <w:r w:rsidR="0074200E" w:rsidRPr="009032B9">
        <w:t>at</w:t>
      </w:r>
      <w:r w:rsidR="003D640C" w:rsidRPr="009032B9">
        <w:t xml:space="preserve"> </w:t>
      </w:r>
      <w:r w:rsidR="0074200E" w:rsidRPr="009032B9">
        <w:t>adults</w:t>
      </w:r>
    </w:p>
    <w:p w14:paraId="784A21A5" w14:textId="5C099F46" w:rsidR="00501068" w:rsidRPr="009032B9" w:rsidRDefault="00F312F2" w:rsidP="00D11C1F">
      <w:pPr>
        <w:pStyle w:val="ListParagraph"/>
        <w:numPr>
          <w:ilvl w:val="1"/>
          <w:numId w:val="117"/>
        </w:numPr>
        <w:ind w:left="834" w:hanging="397"/>
      </w:pPr>
      <w:r>
        <w:t>r</w:t>
      </w:r>
      <w:r w:rsidR="0074200E" w:rsidRPr="009032B9">
        <w:t>emoving</w:t>
      </w:r>
      <w:r w:rsidR="003D640C" w:rsidRPr="009032B9">
        <w:t xml:space="preserve"> </w:t>
      </w:r>
      <w:r w:rsidR="0074200E" w:rsidRPr="009032B9">
        <w:t>the</w:t>
      </w:r>
      <w:r w:rsidR="003D640C" w:rsidRPr="009032B9">
        <w:t xml:space="preserve"> </w:t>
      </w:r>
      <w:r w:rsidR="0074200E" w:rsidRPr="009032B9">
        <w:t>requirement</w:t>
      </w:r>
      <w:r w:rsidR="003D640C" w:rsidRPr="009032B9">
        <w:t xml:space="preserve"> </w:t>
      </w:r>
      <w:r w:rsidR="0074200E" w:rsidRPr="009032B9">
        <w:t>for</w:t>
      </w:r>
      <w:r w:rsidR="003D640C" w:rsidRPr="009032B9">
        <w:t xml:space="preserve"> </w:t>
      </w:r>
      <w:r w:rsidR="0074200E" w:rsidRPr="009032B9">
        <w:t>the</w:t>
      </w:r>
      <w:r w:rsidR="003D640C" w:rsidRPr="009032B9">
        <w:t xml:space="preserve"> </w:t>
      </w:r>
      <w:r w:rsidR="0074200E" w:rsidRPr="009032B9">
        <w:t>Attorney-General</w:t>
      </w:r>
      <w:r w:rsidR="00CD3E06">
        <w:t>’</w:t>
      </w:r>
      <w:r w:rsidR="0074200E" w:rsidRPr="009032B9">
        <w:t>s</w:t>
      </w:r>
      <w:r w:rsidR="003D640C" w:rsidRPr="009032B9">
        <w:t xml:space="preserve"> </w:t>
      </w:r>
      <w:r w:rsidR="0074200E" w:rsidRPr="009032B9">
        <w:t>consent</w:t>
      </w:r>
      <w:r w:rsidR="003D640C" w:rsidRPr="009032B9">
        <w:t xml:space="preserve"> </w:t>
      </w:r>
      <w:r w:rsidR="0074200E" w:rsidRPr="009032B9">
        <w:t>for</w:t>
      </w:r>
      <w:r w:rsidR="003D640C" w:rsidRPr="009032B9">
        <w:t xml:space="preserve"> </w:t>
      </w:r>
      <w:r w:rsidR="0074200E" w:rsidRPr="009032B9">
        <w:t>prosecution,</w:t>
      </w:r>
      <w:r w:rsidR="003D640C" w:rsidRPr="009032B9">
        <w:t xml:space="preserve"> </w:t>
      </w:r>
      <w:r w:rsidR="0074200E" w:rsidRPr="009032B9">
        <w:t>as</w:t>
      </w:r>
      <w:r w:rsidR="003D640C" w:rsidRPr="009032B9">
        <w:t xml:space="preserve"> </w:t>
      </w:r>
      <w:r w:rsidR="0074200E" w:rsidRPr="009032B9">
        <w:t>the</w:t>
      </w:r>
      <w:r w:rsidR="003D640C" w:rsidRPr="009032B9">
        <w:t xml:space="preserve"> </w:t>
      </w:r>
      <w:r w:rsidR="0074200E" w:rsidRPr="009032B9">
        <w:t>Commission</w:t>
      </w:r>
      <w:r w:rsidR="003D640C" w:rsidRPr="009032B9">
        <w:t xml:space="preserve"> </w:t>
      </w:r>
      <w:r w:rsidR="0074200E" w:rsidRPr="009032B9">
        <w:t>has</w:t>
      </w:r>
      <w:r w:rsidR="003D640C" w:rsidRPr="009032B9">
        <w:t xml:space="preserve"> </w:t>
      </w:r>
      <w:r w:rsidR="0074200E" w:rsidRPr="009032B9">
        <w:t>consistently</w:t>
      </w:r>
      <w:r w:rsidR="003D640C" w:rsidRPr="009032B9">
        <w:t xml:space="preserve"> </w:t>
      </w:r>
      <w:r w:rsidR="0074200E" w:rsidRPr="009032B9">
        <w:t>recommended</w:t>
      </w:r>
    </w:p>
    <w:p w14:paraId="1D88FE07" w14:textId="22191E4C" w:rsidR="2C80254A" w:rsidRDefault="0E2F5840" w:rsidP="2C80254A">
      <w:pPr>
        <w:pStyle w:val="ListParagraph"/>
        <w:numPr>
          <w:ilvl w:val="1"/>
          <w:numId w:val="117"/>
        </w:numPr>
        <w:ind w:left="834" w:hanging="397"/>
      </w:pPr>
      <w:r>
        <w:t>consider</w:t>
      </w:r>
      <w:r w:rsidR="00AE5989">
        <w:t>ing</w:t>
      </w:r>
      <w:r>
        <w:t xml:space="preserve"> a ban on removing a person from Aotearoa for conversion practices. </w:t>
      </w:r>
    </w:p>
    <w:p w14:paraId="595641D4" w14:textId="22861871" w:rsidR="00501068" w:rsidRDefault="00C044A8" w:rsidP="00D11C1F">
      <w:pPr>
        <w:pStyle w:val="ListParagraph"/>
        <w:numPr>
          <w:ilvl w:val="0"/>
          <w:numId w:val="117"/>
        </w:numPr>
        <w:rPr>
          <w:rFonts w:ascii="Calibri" w:hAnsi="Calibri" w:cs="Calibri"/>
          <w:lang w:eastAsia="en-NZ"/>
        </w:rPr>
      </w:pPr>
      <w:r w:rsidRPr="00BB6220">
        <w:rPr>
          <w:rFonts w:ascii="Calibri" w:hAnsi="Calibri" w:cs="Calibri"/>
          <w:b/>
          <w:bCs/>
          <w:lang w:eastAsia="en-NZ"/>
        </w:rPr>
        <w:t>Place</w:t>
      </w:r>
      <w:r w:rsidR="003D640C">
        <w:rPr>
          <w:rFonts w:ascii="Calibri" w:hAnsi="Calibri" w:cs="Calibri"/>
          <w:b/>
          <w:bCs/>
          <w:lang w:eastAsia="en-NZ"/>
        </w:rPr>
        <w:t xml:space="preserve"> </w:t>
      </w:r>
      <w:r w:rsidR="00AC7344" w:rsidRPr="00BB6220">
        <w:rPr>
          <w:rFonts w:ascii="Calibri" w:hAnsi="Calibri" w:cs="Calibri"/>
          <w:b/>
          <w:bCs/>
          <w:lang w:eastAsia="en-NZ"/>
        </w:rPr>
        <w:t>human</w:t>
      </w:r>
      <w:r w:rsidR="003D640C">
        <w:rPr>
          <w:rFonts w:ascii="Calibri" w:hAnsi="Calibri" w:cs="Calibri"/>
          <w:b/>
          <w:bCs/>
          <w:lang w:eastAsia="en-NZ"/>
        </w:rPr>
        <w:t xml:space="preserve"> </w:t>
      </w:r>
      <w:r w:rsidR="00AC7344" w:rsidRPr="00BB6220">
        <w:rPr>
          <w:rFonts w:ascii="Calibri" w:hAnsi="Calibri" w:cs="Calibri"/>
          <w:b/>
          <w:bCs/>
          <w:lang w:eastAsia="en-NZ"/>
        </w:rPr>
        <w:t>rights</w:t>
      </w:r>
      <w:r w:rsidR="003D640C">
        <w:rPr>
          <w:rFonts w:ascii="Calibri" w:hAnsi="Calibri" w:cs="Calibri"/>
          <w:b/>
          <w:bCs/>
          <w:lang w:eastAsia="en-NZ"/>
        </w:rPr>
        <w:t xml:space="preserve"> </w:t>
      </w:r>
      <w:r w:rsidR="00AC7344" w:rsidRPr="00BB6220">
        <w:rPr>
          <w:rFonts w:ascii="Calibri" w:hAnsi="Calibri" w:cs="Calibri"/>
          <w:b/>
          <w:bCs/>
          <w:lang w:eastAsia="en-NZ"/>
        </w:rPr>
        <w:t>and</w:t>
      </w:r>
      <w:r w:rsidR="003D640C">
        <w:rPr>
          <w:rFonts w:ascii="Calibri" w:hAnsi="Calibri" w:cs="Calibri"/>
          <w:b/>
          <w:bCs/>
          <w:lang w:eastAsia="en-NZ"/>
        </w:rPr>
        <w:t xml:space="preserve"> </w:t>
      </w:r>
      <w:r w:rsidRPr="00BB6220">
        <w:rPr>
          <w:rFonts w:ascii="Calibri" w:hAnsi="Calibri" w:cs="Calibri"/>
          <w:b/>
          <w:bCs/>
          <w:lang w:eastAsia="en-NZ"/>
        </w:rPr>
        <w:t>te</w:t>
      </w:r>
      <w:r w:rsidR="003D640C">
        <w:rPr>
          <w:rFonts w:ascii="Calibri" w:hAnsi="Calibri" w:cs="Calibri"/>
          <w:b/>
          <w:bCs/>
          <w:lang w:eastAsia="en-NZ"/>
        </w:rPr>
        <w:t xml:space="preserve"> </w:t>
      </w:r>
      <w:r w:rsidRPr="00BB6220">
        <w:rPr>
          <w:rFonts w:ascii="Calibri" w:hAnsi="Calibri" w:cs="Calibri"/>
          <w:b/>
          <w:bCs/>
          <w:lang w:eastAsia="en-NZ"/>
        </w:rPr>
        <w:t>Tiriti</w:t>
      </w:r>
      <w:r w:rsidR="003D640C">
        <w:rPr>
          <w:rFonts w:ascii="Calibri" w:hAnsi="Calibri" w:cs="Calibri"/>
          <w:b/>
          <w:bCs/>
          <w:lang w:eastAsia="en-NZ"/>
        </w:rPr>
        <w:t xml:space="preserve"> </w:t>
      </w:r>
      <w:r w:rsidRPr="00BB6220">
        <w:rPr>
          <w:rFonts w:ascii="Calibri" w:hAnsi="Calibri" w:cs="Calibri"/>
          <w:b/>
          <w:bCs/>
          <w:lang w:eastAsia="en-NZ"/>
        </w:rPr>
        <w:t>o</w:t>
      </w:r>
      <w:r w:rsidR="003D640C">
        <w:rPr>
          <w:rFonts w:ascii="Calibri" w:hAnsi="Calibri" w:cs="Calibri"/>
          <w:b/>
          <w:bCs/>
          <w:lang w:eastAsia="en-NZ"/>
        </w:rPr>
        <w:t xml:space="preserve"> </w:t>
      </w:r>
      <w:r w:rsidRPr="00BB6220">
        <w:rPr>
          <w:rFonts w:ascii="Calibri" w:hAnsi="Calibri" w:cs="Calibri"/>
          <w:b/>
          <w:bCs/>
          <w:lang w:eastAsia="en-NZ"/>
        </w:rPr>
        <w:t>Waitangi</w:t>
      </w:r>
      <w:r w:rsidR="003D640C">
        <w:rPr>
          <w:rFonts w:ascii="Calibri" w:hAnsi="Calibri" w:cs="Calibri"/>
          <w:b/>
          <w:bCs/>
          <w:lang w:eastAsia="en-NZ"/>
        </w:rPr>
        <w:t xml:space="preserve"> </w:t>
      </w:r>
      <w:r w:rsidRPr="00BB6220">
        <w:rPr>
          <w:rFonts w:ascii="Calibri" w:hAnsi="Calibri" w:cs="Calibri"/>
          <w:b/>
          <w:bCs/>
          <w:lang w:eastAsia="en-NZ"/>
        </w:rPr>
        <w:t>at</w:t>
      </w:r>
      <w:r w:rsidR="003D640C">
        <w:rPr>
          <w:rFonts w:ascii="Calibri" w:hAnsi="Calibri" w:cs="Calibri"/>
          <w:b/>
          <w:bCs/>
          <w:lang w:eastAsia="en-NZ"/>
        </w:rPr>
        <w:t xml:space="preserve"> </w:t>
      </w:r>
      <w:r w:rsidRPr="00BB6220">
        <w:rPr>
          <w:rFonts w:ascii="Calibri" w:hAnsi="Calibri" w:cs="Calibri"/>
          <w:b/>
          <w:bCs/>
          <w:lang w:eastAsia="en-NZ"/>
        </w:rPr>
        <w:t>the</w:t>
      </w:r>
      <w:r w:rsidR="003D640C">
        <w:rPr>
          <w:rFonts w:ascii="Calibri" w:hAnsi="Calibri" w:cs="Calibri"/>
          <w:b/>
          <w:bCs/>
          <w:lang w:eastAsia="en-NZ"/>
        </w:rPr>
        <w:t xml:space="preserve"> </w:t>
      </w:r>
      <w:r w:rsidRPr="00BB6220">
        <w:rPr>
          <w:rFonts w:ascii="Calibri" w:hAnsi="Calibri" w:cs="Calibri"/>
          <w:b/>
          <w:bCs/>
          <w:lang w:eastAsia="en-NZ"/>
        </w:rPr>
        <w:t>centre</w:t>
      </w:r>
      <w:r w:rsidR="003D640C">
        <w:rPr>
          <w:rFonts w:ascii="Calibri" w:hAnsi="Calibri" w:cs="Calibri"/>
          <w:b/>
          <w:bCs/>
          <w:lang w:eastAsia="en-NZ"/>
        </w:rPr>
        <w:t xml:space="preserve"> </w:t>
      </w:r>
      <w:r w:rsidR="00A56ABF" w:rsidRPr="00BB6220">
        <w:rPr>
          <w:rFonts w:ascii="Calibri" w:hAnsi="Calibri" w:cs="Calibri"/>
          <w:b/>
          <w:bCs/>
          <w:lang w:eastAsia="en-NZ"/>
        </w:rPr>
        <w:t>of</w:t>
      </w:r>
      <w:r w:rsidR="003D640C">
        <w:rPr>
          <w:rFonts w:ascii="Calibri" w:hAnsi="Calibri" w:cs="Calibri"/>
          <w:b/>
          <w:bCs/>
          <w:lang w:eastAsia="en-NZ"/>
        </w:rPr>
        <w:t xml:space="preserve"> </w:t>
      </w:r>
      <w:r w:rsidRPr="00BB6220">
        <w:rPr>
          <w:rFonts w:ascii="Calibri" w:hAnsi="Calibri" w:cs="Calibri"/>
          <w:b/>
          <w:bCs/>
          <w:lang w:eastAsia="en-NZ"/>
        </w:rPr>
        <w:t>policy</w:t>
      </w:r>
      <w:r w:rsidR="003D640C">
        <w:rPr>
          <w:rFonts w:ascii="Calibri" w:hAnsi="Calibri" w:cs="Calibri"/>
          <w:b/>
          <w:bCs/>
          <w:lang w:eastAsia="en-NZ"/>
        </w:rPr>
        <w:t xml:space="preserve"> </w:t>
      </w:r>
      <w:r w:rsidRPr="00BB6220">
        <w:rPr>
          <w:rFonts w:ascii="Calibri" w:hAnsi="Calibri" w:cs="Calibri"/>
          <w:b/>
          <w:bCs/>
          <w:lang w:eastAsia="en-NZ"/>
        </w:rPr>
        <w:t>and</w:t>
      </w:r>
      <w:r w:rsidR="003D640C">
        <w:rPr>
          <w:rFonts w:ascii="Calibri" w:hAnsi="Calibri" w:cs="Calibri"/>
          <w:b/>
          <w:bCs/>
          <w:lang w:eastAsia="en-NZ"/>
        </w:rPr>
        <w:t xml:space="preserve"> </w:t>
      </w:r>
      <w:r w:rsidRPr="00BB6220">
        <w:rPr>
          <w:rFonts w:ascii="Calibri" w:hAnsi="Calibri" w:cs="Calibri"/>
          <w:b/>
          <w:bCs/>
          <w:lang w:eastAsia="en-NZ"/>
        </w:rPr>
        <w:t>decision</w:t>
      </w:r>
      <w:r w:rsidR="00F312F2">
        <w:rPr>
          <w:rFonts w:ascii="Calibri" w:hAnsi="Calibri" w:cs="Calibri"/>
          <w:b/>
          <w:bCs/>
          <w:lang w:eastAsia="en-NZ"/>
        </w:rPr>
        <w:t xml:space="preserve"> </w:t>
      </w:r>
      <w:r w:rsidRPr="00BB6220">
        <w:rPr>
          <w:rFonts w:ascii="Calibri" w:hAnsi="Calibri" w:cs="Calibri"/>
          <w:b/>
          <w:bCs/>
          <w:lang w:eastAsia="en-NZ"/>
        </w:rPr>
        <w:t>making</w:t>
      </w:r>
      <w:r w:rsidR="00F312F2">
        <w:rPr>
          <w:rFonts w:ascii="Calibri" w:hAnsi="Calibri" w:cs="Calibri"/>
          <w:b/>
          <w:bCs/>
          <w:lang w:eastAsia="en-NZ"/>
        </w:rPr>
        <w:t xml:space="preserve"> </w:t>
      </w:r>
      <w:r w:rsidR="003D640C">
        <w:rPr>
          <w:rFonts w:ascii="Calibri" w:hAnsi="Calibri" w:cs="Calibri"/>
          <w:b/>
          <w:bCs/>
          <w:lang w:eastAsia="en-NZ"/>
        </w:rPr>
        <w:t xml:space="preserve"> </w:t>
      </w:r>
      <w:r w:rsidR="00F312F2">
        <w:rPr>
          <w:rFonts w:ascii="Calibri" w:hAnsi="Calibri" w:cs="Calibri"/>
          <w:b/>
          <w:bCs/>
          <w:lang w:eastAsia="en-NZ"/>
        </w:rPr>
        <w:br/>
      </w:r>
      <w:r w:rsidRPr="00BB6220">
        <w:rPr>
          <w:rFonts w:ascii="Calibri" w:hAnsi="Calibri" w:cs="Calibri"/>
          <w:lang w:eastAsia="en-NZ"/>
        </w:rPr>
        <w:t>Placing</w:t>
      </w:r>
      <w:r w:rsidR="003D640C">
        <w:rPr>
          <w:rFonts w:ascii="Calibri" w:hAnsi="Calibri" w:cs="Calibri"/>
          <w:lang w:eastAsia="en-NZ"/>
        </w:rPr>
        <w:t xml:space="preserve"> </w:t>
      </w:r>
      <w:r w:rsidR="00AC7344" w:rsidRPr="00BB6220">
        <w:rPr>
          <w:rFonts w:ascii="Calibri" w:hAnsi="Calibri" w:cs="Calibri"/>
          <w:lang w:eastAsia="en-NZ"/>
        </w:rPr>
        <w:t>human</w:t>
      </w:r>
      <w:r w:rsidR="003D640C">
        <w:rPr>
          <w:rFonts w:ascii="Calibri" w:hAnsi="Calibri" w:cs="Calibri"/>
          <w:lang w:eastAsia="en-NZ"/>
        </w:rPr>
        <w:t xml:space="preserve"> </w:t>
      </w:r>
      <w:r w:rsidR="00AC7344" w:rsidRPr="00BB6220">
        <w:rPr>
          <w:rFonts w:ascii="Calibri" w:hAnsi="Calibri" w:cs="Calibri"/>
          <w:lang w:eastAsia="en-NZ"/>
        </w:rPr>
        <w:t>rights</w:t>
      </w:r>
      <w:r w:rsidR="003D640C">
        <w:rPr>
          <w:rFonts w:ascii="Calibri" w:hAnsi="Calibri" w:cs="Calibri"/>
          <w:lang w:eastAsia="en-NZ"/>
        </w:rPr>
        <w:t xml:space="preserve"> </w:t>
      </w:r>
      <w:r w:rsidR="00AC7344"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te</w:t>
      </w:r>
      <w:r w:rsidR="003D640C">
        <w:rPr>
          <w:rFonts w:ascii="Calibri" w:hAnsi="Calibri" w:cs="Calibri"/>
          <w:lang w:eastAsia="en-NZ"/>
        </w:rPr>
        <w:t xml:space="preserve"> </w:t>
      </w:r>
      <w:r w:rsidRPr="00BB6220">
        <w:rPr>
          <w:rFonts w:ascii="Calibri" w:hAnsi="Calibri" w:cs="Calibri"/>
          <w:lang w:eastAsia="en-NZ"/>
        </w:rPr>
        <w:t>Tiriti</w:t>
      </w:r>
      <w:r w:rsidR="003D640C">
        <w:rPr>
          <w:rFonts w:ascii="Calibri" w:hAnsi="Calibri" w:cs="Calibri"/>
          <w:lang w:eastAsia="en-NZ"/>
        </w:rPr>
        <w:t xml:space="preserve"> </w:t>
      </w:r>
      <w:r w:rsidR="00C577A8" w:rsidRPr="00BB6220">
        <w:rPr>
          <w:rFonts w:ascii="Calibri" w:hAnsi="Calibri" w:cs="Calibri"/>
          <w:lang w:eastAsia="en-NZ"/>
        </w:rPr>
        <w:t>o</w:t>
      </w:r>
      <w:r w:rsidR="003D640C">
        <w:rPr>
          <w:rFonts w:ascii="Calibri" w:hAnsi="Calibri" w:cs="Calibri"/>
          <w:lang w:eastAsia="en-NZ"/>
        </w:rPr>
        <w:t xml:space="preserve"> </w:t>
      </w:r>
      <w:r w:rsidR="00C577A8" w:rsidRPr="005B33A1">
        <w:rPr>
          <w:rFonts w:ascii="Calibri" w:hAnsi="Calibri" w:cs="Calibri"/>
          <w:lang w:eastAsia="en-NZ"/>
        </w:rPr>
        <w:t>Waitangi</w:t>
      </w:r>
      <w:r w:rsidR="003D640C">
        <w:rPr>
          <w:rFonts w:ascii="Calibri" w:hAnsi="Calibri" w:cs="Calibri"/>
          <w:lang w:eastAsia="en-NZ"/>
        </w:rPr>
        <w:t xml:space="preserve"> </w:t>
      </w:r>
      <w:r w:rsidR="00BC4D8A" w:rsidRPr="00BB6220">
        <w:rPr>
          <w:rFonts w:ascii="Calibri" w:hAnsi="Calibri" w:cs="Calibri"/>
          <w:lang w:eastAsia="en-NZ"/>
        </w:rPr>
        <w:t>at</w:t>
      </w:r>
      <w:r w:rsidR="003D640C">
        <w:rPr>
          <w:rFonts w:ascii="Calibri" w:hAnsi="Calibri" w:cs="Calibri"/>
          <w:lang w:eastAsia="en-NZ"/>
        </w:rPr>
        <w:t xml:space="preserve"> </w:t>
      </w:r>
      <w:r w:rsidR="00BC4D8A" w:rsidRPr="00BB6220">
        <w:rPr>
          <w:rFonts w:ascii="Calibri" w:hAnsi="Calibri" w:cs="Calibri"/>
          <w:lang w:eastAsia="en-NZ"/>
        </w:rPr>
        <w:t>the</w:t>
      </w:r>
      <w:r w:rsidR="003D640C">
        <w:rPr>
          <w:rFonts w:ascii="Calibri" w:hAnsi="Calibri" w:cs="Calibri"/>
          <w:lang w:eastAsia="en-NZ"/>
        </w:rPr>
        <w:t xml:space="preserve"> </w:t>
      </w:r>
      <w:r w:rsidR="00BC4D8A" w:rsidRPr="00BB6220">
        <w:rPr>
          <w:rFonts w:ascii="Calibri" w:hAnsi="Calibri" w:cs="Calibri"/>
          <w:lang w:eastAsia="en-NZ"/>
        </w:rPr>
        <w:t>centre</w:t>
      </w:r>
      <w:r w:rsidR="003D640C">
        <w:rPr>
          <w:rFonts w:ascii="Calibri" w:hAnsi="Calibri" w:cs="Calibri"/>
          <w:lang w:eastAsia="en-NZ"/>
        </w:rPr>
        <w:t xml:space="preserve"> </w:t>
      </w:r>
      <w:r w:rsidR="00BC4D8A"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policy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decision</w:t>
      </w:r>
      <w:r w:rsidR="00F312F2">
        <w:rPr>
          <w:rFonts w:ascii="Calibri" w:hAnsi="Calibri" w:cs="Calibri"/>
          <w:lang w:eastAsia="en-NZ"/>
        </w:rPr>
        <w:t xml:space="preserve"> </w:t>
      </w:r>
      <w:r w:rsidRPr="00BB6220">
        <w:rPr>
          <w:rFonts w:ascii="Calibri" w:hAnsi="Calibri" w:cs="Calibri"/>
          <w:lang w:eastAsia="en-NZ"/>
        </w:rPr>
        <w:t>making</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will</w:t>
      </w:r>
      <w:r w:rsidR="003D640C">
        <w:rPr>
          <w:rFonts w:ascii="Calibri" w:hAnsi="Calibri" w:cs="Calibri"/>
          <w:lang w:eastAsia="en-NZ"/>
        </w:rPr>
        <w:t xml:space="preserve"> </w:t>
      </w:r>
      <w:r w:rsidRPr="00BB6220">
        <w:rPr>
          <w:rFonts w:ascii="Calibri" w:hAnsi="Calibri" w:cs="Calibri"/>
          <w:lang w:eastAsia="en-NZ"/>
        </w:rPr>
        <w:t>help</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ensure</w:t>
      </w:r>
      <w:r w:rsidR="003D640C">
        <w:rPr>
          <w:rFonts w:ascii="Calibri" w:hAnsi="Calibri" w:cs="Calibri"/>
          <w:lang w:eastAsia="en-NZ"/>
        </w:rPr>
        <w:t xml:space="preserve"> </w:t>
      </w:r>
      <w:r w:rsidR="00BC4D8A" w:rsidRPr="00BB6220">
        <w:rPr>
          <w:rFonts w:ascii="Calibri" w:hAnsi="Calibri" w:cs="Calibri"/>
          <w:lang w:eastAsia="en-NZ"/>
        </w:rPr>
        <w:t>all</w:t>
      </w:r>
      <w:r w:rsidR="003D640C">
        <w:rPr>
          <w:rFonts w:ascii="Calibri" w:hAnsi="Calibri" w:cs="Calibri"/>
          <w:lang w:eastAsia="en-NZ"/>
        </w:rPr>
        <w:t xml:space="preserve"> </w:t>
      </w:r>
      <w:r w:rsidRPr="00BB6220">
        <w:rPr>
          <w:rFonts w:ascii="Calibri" w:hAnsi="Calibri" w:cs="Calibri"/>
          <w:lang w:eastAsia="en-NZ"/>
        </w:rPr>
        <w:t>communities</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represented</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supported</w:t>
      </w:r>
      <w:r w:rsidR="003D640C">
        <w:rPr>
          <w:rFonts w:ascii="Calibri" w:hAnsi="Calibri" w:cs="Calibri"/>
          <w:lang w:eastAsia="en-NZ"/>
        </w:rPr>
        <w:t xml:space="preserve"> </w:t>
      </w:r>
      <w:r w:rsidR="00E34E8B" w:rsidRPr="00BB6220">
        <w:rPr>
          <w:rFonts w:ascii="Calibri" w:hAnsi="Calibri" w:cs="Calibri"/>
          <w:lang w:eastAsia="en-NZ"/>
        </w:rPr>
        <w:t>and</w:t>
      </w:r>
      <w:r w:rsidR="003D640C">
        <w:rPr>
          <w:rFonts w:ascii="Calibri" w:hAnsi="Calibri" w:cs="Calibri"/>
          <w:lang w:eastAsia="en-NZ"/>
        </w:rPr>
        <w:t xml:space="preserve"> </w:t>
      </w:r>
      <w:r w:rsidR="0068031C" w:rsidRPr="00BB6220">
        <w:rPr>
          <w:rFonts w:ascii="Calibri" w:hAnsi="Calibri" w:cs="Calibri"/>
          <w:lang w:eastAsia="en-NZ"/>
        </w:rPr>
        <w:t>will</w:t>
      </w:r>
      <w:r w:rsidR="003D640C">
        <w:rPr>
          <w:rFonts w:ascii="Calibri" w:hAnsi="Calibri" w:cs="Calibri"/>
          <w:lang w:eastAsia="en-NZ"/>
        </w:rPr>
        <w:t xml:space="preserve"> </w:t>
      </w:r>
      <w:r w:rsidR="0068031C" w:rsidRPr="00BB6220">
        <w:rPr>
          <w:rFonts w:ascii="Calibri" w:hAnsi="Calibri" w:cs="Calibri"/>
          <w:lang w:eastAsia="en-NZ"/>
        </w:rPr>
        <w:t>contribute</w:t>
      </w:r>
      <w:r w:rsidR="003D640C">
        <w:rPr>
          <w:rFonts w:ascii="Calibri" w:hAnsi="Calibri" w:cs="Calibri"/>
          <w:lang w:eastAsia="en-NZ"/>
        </w:rPr>
        <w:t xml:space="preserve"> </w:t>
      </w:r>
      <w:r w:rsidR="0068031C" w:rsidRPr="00BB6220">
        <w:rPr>
          <w:rFonts w:ascii="Calibri" w:hAnsi="Calibri" w:cs="Calibri"/>
          <w:lang w:eastAsia="en-NZ"/>
        </w:rPr>
        <w:t>to</w:t>
      </w:r>
      <w:r w:rsidR="003D640C">
        <w:rPr>
          <w:rFonts w:ascii="Calibri" w:hAnsi="Calibri" w:cs="Calibri"/>
          <w:lang w:eastAsia="en-NZ"/>
        </w:rPr>
        <w:t xml:space="preserve"> </w:t>
      </w:r>
      <w:r w:rsidR="000F3584">
        <w:rPr>
          <w:rFonts w:ascii="Calibri" w:hAnsi="Calibri" w:cs="Calibri"/>
          <w:lang w:eastAsia="en-NZ"/>
        </w:rPr>
        <w:t>the</w:t>
      </w:r>
      <w:r w:rsidR="003D640C">
        <w:rPr>
          <w:rFonts w:ascii="Calibri" w:hAnsi="Calibri" w:cs="Calibri"/>
          <w:lang w:eastAsia="en-NZ"/>
        </w:rPr>
        <w:t xml:space="preserve"> </w:t>
      </w:r>
      <w:r w:rsidR="000F3584">
        <w:rPr>
          <w:rFonts w:ascii="Calibri" w:hAnsi="Calibri" w:cs="Calibri"/>
          <w:lang w:eastAsia="en-NZ"/>
        </w:rPr>
        <w:t>enactment</w:t>
      </w:r>
      <w:r w:rsidR="003D640C">
        <w:rPr>
          <w:rFonts w:ascii="Calibri" w:hAnsi="Calibri" w:cs="Calibri"/>
          <w:lang w:eastAsia="en-NZ"/>
        </w:rPr>
        <w:t xml:space="preserve"> </w:t>
      </w:r>
      <w:r w:rsidR="00E34E8B" w:rsidRPr="00BB6220">
        <w:rPr>
          <w:rFonts w:ascii="Calibri" w:hAnsi="Calibri" w:cs="Calibri"/>
          <w:lang w:eastAsia="en-NZ"/>
        </w:rPr>
        <w:t>of</w:t>
      </w:r>
      <w:r w:rsidR="003D640C">
        <w:rPr>
          <w:rFonts w:ascii="Calibri" w:hAnsi="Calibri" w:cs="Calibri"/>
          <w:lang w:eastAsia="en-NZ"/>
        </w:rPr>
        <w:t xml:space="preserve"> </w:t>
      </w:r>
      <w:r w:rsidR="00E34E8B" w:rsidRPr="00BB6220">
        <w:rPr>
          <w:rFonts w:ascii="Calibri" w:hAnsi="Calibri" w:cs="Calibri"/>
          <w:lang w:eastAsia="en-NZ"/>
        </w:rPr>
        <w:t>tino</w:t>
      </w:r>
      <w:r w:rsidR="003D640C">
        <w:rPr>
          <w:rFonts w:ascii="Calibri" w:hAnsi="Calibri" w:cs="Calibri"/>
          <w:lang w:eastAsia="en-NZ"/>
        </w:rPr>
        <w:t xml:space="preserve"> </w:t>
      </w:r>
      <w:r w:rsidR="00E34E8B" w:rsidRPr="00BB6220">
        <w:rPr>
          <w:rFonts w:ascii="Calibri" w:hAnsi="Calibri" w:cs="Calibri"/>
          <w:lang w:eastAsia="en-NZ"/>
        </w:rPr>
        <w:t>rangatiratanga</w:t>
      </w:r>
      <w:r w:rsidR="0068031C" w:rsidRPr="00BB6220">
        <w:rPr>
          <w:rFonts w:ascii="Calibri" w:hAnsi="Calibri" w:cs="Calibri"/>
          <w:lang w:eastAsia="en-NZ"/>
        </w:rPr>
        <w:t>.</w:t>
      </w:r>
      <w:r w:rsidR="003D640C">
        <w:rPr>
          <w:rFonts w:ascii="Calibri" w:hAnsi="Calibri" w:cs="Calibri"/>
          <w:lang w:eastAsia="en-NZ"/>
        </w:rPr>
        <w:t xml:space="preserve"> </w:t>
      </w:r>
    </w:p>
    <w:p w14:paraId="6FEB3FEC" w14:textId="46E6ACA7" w:rsidR="00501068" w:rsidRDefault="00C044A8" w:rsidP="00D11C1F">
      <w:pPr>
        <w:pStyle w:val="ListParagraph"/>
        <w:numPr>
          <w:ilvl w:val="0"/>
          <w:numId w:val="117"/>
        </w:numPr>
        <w:rPr>
          <w:rFonts w:ascii="Calibri" w:hAnsi="Calibri" w:cs="Calibri"/>
          <w:lang w:eastAsia="en-NZ"/>
        </w:rPr>
      </w:pPr>
      <w:r w:rsidRPr="683EFD25">
        <w:rPr>
          <w:rFonts w:ascii="Calibri" w:hAnsi="Calibri" w:cs="Calibri"/>
          <w:b/>
          <w:bCs/>
          <w:lang w:eastAsia="en-NZ"/>
        </w:rPr>
        <w:t>Fund</w:t>
      </w:r>
      <w:r w:rsidR="003D640C">
        <w:rPr>
          <w:rFonts w:ascii="Calibri" w:hAnsi="Calibri" w:cs="Calibri"/>
          <w:b/>
          <w:bCs/>
          <w:lang w:eastAsia="en-NZ"/>
        </w:rPr>
        <w:t xml:space="preserve"> </w:t>
      </w:r>
      <w:r w:rsidRPr="683EFD25">
        <w:rPr>
          <w:rFonts w:ascii="Calibri" w:hAnsi="Calibri" w:cs="Calibri"/>
          <w:b/>
          <w:bCs/>
          <w:lang w:eastAsia="en-NZ"/>
        </w:rPr>
        <w:t>the</w:t>
      </w:r>
      <w:r w:rsidR="003D640C">
        <w:rPr>
          <w:rFonts w:ascii="Calibri" w:hAnsi="Calibri" w:cs="Calibri"/>
          <w:b/>
          <w:bCs/>
          <w:lang w:eastAsia="en-NZ"/>
        </w:rPr>
        <w:t xml:space="preserve"> </w:t>
      </w:r>
      <w:r w:rsidRPr="683EFD25">
        <w:rPr>
          <w:rFonts w:ascii="Calibri" w:hAnsi="Calibri" w:cs="Calibri"/>
          <w:b/>
          <w:bCs/>
          <w:lang w:eastAsia="en-NZ"/>
        </w:rPr>
        <w:t>Commission</w:t>
      </w:r>
      <w:r w:rsidR="003D640C">
        <w:rPr>
          <w:rFonts w:ascii="Calibri" w:hAnsi="Calibri" w:cs="Calibri"/>
          <w:b/>
          <w:bCs/>
          <w:lang w:eastAsia="en-NZ"/>
        </w:rPr>
        <w:t xml:space="preserve"> </w:t>
      </w:r>
      <w:r w:rsidRPr="683EFD25">
        <w:rPr>
          <w:rFonts w:ascii="Calibri" w:hAnsi="Calibri" w:cs="Calibri"/>
          <w:b/>
          <w:bCs/>
          <w:lang w:eastAsia="en-NZ"/>
        </w:rPr>
        <w:t>to</w:t>
      </w:r>
      <w:r w:rsidR="003D640C">
        <w:rPr>
          <w:rFonts w:ascii="Calibri" w:hAnsi="Calibri" w:cs="Calibri"/>
          <w:b/>
          <w:bCs/>
          <w:lang w:eastAsia="en-NZ"/>
        </w:rPr>
        <w:t xml:space="preserve"> </w:t>
      </w:r>
      <w:r w:rsidRPr="683EFD25">
        <w:rPr>
          <w:rFonts w:ascii="Calibri" w:hAnsi="Calibri" w:cs="Calibri"/>
          <w:b/>
          <w:bCs/>
          <w:lang w:eastAsia="en-NZ"/>
        </w:rPr>
        <w:t>deliver</w:t>
      </w:r>
      <w:r w:rsidR="003D640C">
        <w:rPr>
          <w:rFonts w:ascii="Calibri" w:hAnsi="Calibri" w:cs="Calibri"/>
          <w:b/>
          <w:bCs/>
          <w:lang w:eastAsia="en-NZ"/>
        </w:rPr>
        <w:t xml:space="preserve"> </w:t>
      </w:r>
      <w:r w:rsidRPr="683EFD25">
        <w:rPr>
          <w:rFonts w:ascii="Calibri" w:hAnsi="Calibri" w:cs="Calibri"/>
          <w:b/>
          <w:bCs/>
          <w:lang w:eastAsia="en-NZ"/>
        </w:rPr>
        <w:t>conversion</w:t>
      </w:r>
      <w:r w:rsidR="003D640C">
        <w:rPr>
          <w:rFonts w:ascii="Calibri" w:hAnsi="Calibri" w:cs="Calibri"/>
          <w:b/>
          <w:bCs/>
          <w:lang w:eastAsia="en-NZ"/>
        </w:rPr>
        <w:t xml:space="preserve"> </w:t>
      </w:r>
      <w:r w:rsidRPr="683EFD25">
        <w:rPr>
          <w:rFonts w:ascii="Calibri" w:hAnsi="Calibri" w:cs="Calibri"/>
          <w:b/>
          <w:bCs/>
          <w:lang w:eastAsia="en-NZ"/>
        </w:rPr>
        <w:t>practices</w:t>
      </w:r>
      <w:r w:rsidR="003D640C">
        <w:rPr>
          <w:rFonts w:ascii="Calibri" w:hAnsi="Calibri" w:cs="Calibri"/>
          <w:b/>
          <w:bCs/>
          <w:lang w:eastAsia="en-NZ"/>
        </w:rPr>
        <w:t xml:space="preserve"> </w:t>
      </w:r>
      <w:r w:rsidRPr="683EFD25">
        <w:rPr>
          <w:rFonts w:ascii="Calibri" w:hAnsi="Calibri" w:cs="Calibri"/>
          <w:b/>
          <w:bCs/>
          <w:lang w:eastAsia="en-NZ"/>
        </w:rPr>
        <w:t>education</w:t>
      </w:r>
      <w:r w:rsidR="003D640C">
        <w:rPr>
          <w:rFonts w:ascii="Calibri" w:hAnsi="Calibri" w:cs="Calibri"/>
          <w:b/>
          <w:bCs/>
          <w:lang w:eastAsia="en-NZ"/>
        </w:rPr>
        <w:t xml:space="preserve"> </w:t>
      </w:r>
      <w:r w:rsidRPr="683EFD25">
        <w:rPr>
          <w:rFonts w:ascii="Calibri" w:hAnsi="Calibri" w:cs="Calibri"/>
          <w:b/>
          <w:bCs/>
          <w:lang w:eastAsia="en-NZ"/>
        </w:rPr>
        <w:t>within</w:t>
      </w:r>
      <w:r w:rsidR="003D640C">
        <w:rPr>
          <w:rFonts w:ascii="Calibri" w:hAnsi="Calibri" w:cs="Calibri"/>
          <w:b/>
          <w:bCs/>
          <w:lang w:eastAsia="en-NZ"/>
        </w:rPr>
        <w:t xml:space="preserve"> </w:t>
      </w:r>
      <w:r w:rsidRPr="683EFD25">
        <w:rPr>
          <w:rFonts w:ascii="Calibri" w:hAnsi="Calibri" w:cs="Calibri"/>
          <w:b/>
          <w:bCs/>
          <w:lang w:eastAsia="en-NZ"/>
        </w:rPr>
        <w:t>the</w:t>
      </w:r>
      <w:r w:rsidR="003D640C">
        <w:rPr>
          <w:rFonts w:ascii="Calibri" w:hAnsi="Calibri" w:cs="Calibri"/>
          <w:b/>
          <w:bCs/>
          <w:lang w:eastAsia="en-NZ"/>
        </w:rPr>
        <w:t xml:space="preserve"> </w:t>
      </w:r>
      <w:r w:rsidR="00F1289C" w:rsidRPr="683EFD25">
        <w:rPr>
          <w:rFonts w:ascii="Calibri" w:hAnsi="Calibri" w:cs="Calibri"/>
          <w:b/>
          <w:bCs/>
          <w:lang w:eastAsia="en-NZ"/>
        </w:rPr>
        <w:t>education,</w:t>
      </w:r>
      <w:r w:rsidR="003D640C">
        <w:rPr>
          <w:rFonts w:ascii="Calibri" w:hAnsi="Calibri" w:cs="Calibri"/>
          <w:b/>
          <w:bCs/>
          <w:lang w:eastAsia="en-NZ"/>
        </w:rPr>
        <w:t xml:space="preserve"> </w:t>
      </w:r>
      <w:r w:rsidRPr="683EFD25">
        <w:rPr>
          <w:rFonts w:ascii="Calibri" w:hAnsi="Calibri" w:cs="Calibri"/>
          <w:b/>
          <w:bCs/>
          <w:lang w:eastAsia="en-NZ"/>
        </w:rPr>
        <w:t>social</w:t>
      </w:r>
      <w:r w:rsidR="000D7651">
        <w:rPr>
          <w:rFonts w:ascii="Calibri" w:hAnsi="Calibri" w:cs="Calibri"/>
          <w:b/>
          <w:bCs/>
          <w:lang w:eastAsia="en-NZ"/>
        </w:rPr>
        <w:t>,</w:t>
      </w:r>
      <w:r w:rsidR="003D640C">
        <w:rPr>
          <w:rFonts w:ascii="Calibri" w:hAnsi="Calibri" w:cs="Calibri"/>
          <w:b/>
          <w:bCs/>
          <w:lang w:eastAsia="en-NZ"/>
        </w:rPr>
        <w:t xml:space="preserve"> </w:t>
      </w:r>
      <w:r w:rsidRPr="683EFD25">
        <w:rPr>
          <w:rFonts w:ascii="Calibri" w:hAnsi="Calibri" w:cs="Calibri"/>
          <w:b/>
          <w:bCs/>
          <w:lang w:eastAsia="en-NZ"/>
        </w:rPr>
        <w:t>and</w:t>
      </w:r>
      <w:r w:rsidR="003D640C">
        <w:rPr>
          <w:rFonts w:ascii="Calibri" w:hAnsi="Calibri" w:cs="Calibri"/>
          <w:b/>
          <w:bCs/>
          <w:lang w:eastAsia="en-NZ"/>
        </w:rPr>
        <w:t xml:space="preserve"> </w:t>
      </w:r>
      <w:r w:rsidRPr="683EFD25">
        <w:rPr>
          <w:rFonts w:ascii="Calibri" w:hAnsi="Calibri" w:cs="Calibri"/>
          <w:b/>
          <w:bCs/>
          <w:lang w:eastAsia="en-NZ"/>
        </w:rPr>
        <w:t>health</w:t>
      </w:r>
      <w:r w:rsidR="003D640C">
        <w:rPr>
          <w:rFonts w:ascii="Calibri" w:hAnsi="Calibri" w:cs="Calibri"/>
          <w:b/>
          <w:bCs/>
          <w:lang w:eastAsia="en-NZ"/>
        </w:rPr>
        <w:t xml:space="preserve"> </w:t>
      </w:r>
      <w:r w:rsidRPr="683EFD25">
        <w:rPr>
          <w:rFonts w:ascii="Calibri" w:hAnsi="Calibri" w:cs="Calibri"/>
          <w:b/>
          <w:bCs/>
          <w:lang w:eastAsia="en-NZ"/>
        </w:rPr>
        <w:t>sectors</w:t>
      </w:r>
      <w:r w:rsidR="003D640C">
        <w:rPr>
          <w:rFonts w:ascii="Calibri" w:hAnsi="Calibri" w:cs="Calibri"/>
          <w:b/>
          <w:bCs/>
          <w:lang w:eastAsia="en-NZ"/>
        </w:rPr>
        <w:t xml:space="preserve"> </w:t>
      </w:r>
      <w:r w:rsidR="009031B5">
        <w:rPr>
          <w:rFonts w:ascii="Calibri" w:hAnsi="Calibri" w:cs="Calibri"/>
          <w:b/>
          <w:bCs/>
          <w:lang w:eastAsia="en-NZ"/>
        </w:rPr>
        <w:t>and</w:t>
      </w:r>
      <w:r w:rsidR="003D640C">
        <w:rPr>
          <w:rFonts w:ascii="Calibri" w:hAnsi="Calibri" w:cs="Calibri"/>
          <w:b/>
          <w:bCs/>
          <w:lang w:eastAsia="en-NZ"/>
        </w:rPr>
        <w:t xml:space="preserve"> </w:t>
      </w:r>
      <w:r w:rsidR="009031B5">
        <w:rPr>
          <w:rFonts w:ascii="Calibri" w:hAnsi="Calibri" w:cs="Calibri"/>
          <w:b/>
          <w:bCs/>
          <w:lang w:eastAsia="en-NZ"/>
        </w:rPr>
        <w:t>in</w:t>
      </w:r>
      <w:r w:rsidR="003D640C">
        <w:rPr>
          <w:rFonts w:ascii="Calibri" w:hAnsi="Calibri" w:cs="Calibri"/>
          <w:b/>
          <w:bCs/>
          <w:lang w:eastAsia="en-NZ"/>
        </w:rPr>
        <w:t xml:space="preserve"> </w:t>
      </w:r>
      <w:r w:rsidR="009031B5">
        <w:rPr>
          <w:rFonts w:ascii="Calibri" w:hAnsi="Calibri" w:cs="Calibri"/>
          <w:b/>
          <w:bCs/>
          <w:lang w:eastAsia="en-NZ"/>
        </w:rPr>
        <w:t>religious/faith</w:t>
      </w:r>
      <w:r w:rsidR="003D640C">
        <w:rPr>
          <w:rFonts w:ascii="Calibri" w:hAnsi="Calibri" w:cs="Calibri"/>
          <w:b/>
          <w:bCs/>
          <w:lang w:eastAsia="en-NZ"/>
        </w:rPr>
        <w:t xml:space="preserve"> </w:t>
      </w:r>
      <w:r w:rsidR="009031B5">
        <w:rPr>
          <w:rFonts w:ascii="Calibri" w:hAnsi="Calibri" w:cs="Calibri"/>
          <w:b/>
          <w:bCs/>
          <w:lang w:eastAsia="en-NZ"/>
        </w:rPr>
        <w:t>communities</w:t>
      </w:r>
      <w:r w:rsidR="000D7651">
        <w:rPr>
          <w:rFonts w:ascii="Calibri" w:hAnsi="Calibri" w:cs="Calibri"/>
          <w:lang w:eastAsia="en-NZ"/>
        </w:rPr>
        <w:br/>
      </w:r>
      <w:r w:rsidRPr="683EFD25">
        <w:rPr>
          <w:rFonts w:ascii="Calibri" w:hAnsi="Calibri" w:cs="Calibri"/>
          <w:lang w:eastAsia="en-NZ"/>
        </w:rPr>
        <w:t>Ongoing</w:t>
      </w:r>
      <w:r w:rsidR="003D640C">
        <w:rPr>
          <w:rFonts w:ascii="Calibri" w:hAnsi="Calibri" w:cs="Calibri"/>
          <w:lang w:eastAsia="en-NZ"/>
        </w:rPr>
        <w:t xml:space="preserve"> </w:t>
      </w:r>
      <w:r w:rsidRPr="683EFD25">
        <w:rPr>
          <w:rFonts w:ascii="Calibri" w:hAnsi="Calibri" w:cs="Calibri"/>
          <w:lang w:eastAsia="en-NZ"/>
        </w:rPr>
        <w:t>funding</w:t>
      </w:r>
      <w:r w:rsidR="003D640C">
        <w:rPr>
          <w:rFonts w:ascii="Calibri" w:hAnsi="Calibri" w:cs="Calibri"/>
          <w:lang w:eastAsia="en-NZ"/>
        </w:rPr>
        <w:t xml:space="preserve"> </w:t>
      </w:r>
      <w:r w:rsidRPr="683EFD25">
        <w:rPr>
          <w:rFonts w:ascii="Calibri" w:hAnsi="Calibri" w:cs="Calibri"/>
          <w:lang w:eastAsia="en-NZ"/>
        </w:rPr>
        <w:t>is</w:t>
      </w:r>
      <w:r w:rsidR="003D640C">
        <w:rPr>
          <w:rFonts w:ascii="Calibri" w:hAnsi="Calibri" w:cs="Calibri"/>
          <w:lang w:eastAsia="en-NZ"/>
        </w:rPr>
        <w:t xml:space="preserve"> </w:t>
      </w:r>
      <w:r w:rsidRPr="683EFD25">
        <w:rPr>
          <w:rFonts w:ascii="Calibri" w:hAnsi="Calibri" w:cs="Calibri"/>
          <w:lang w:eastAsia="en-NZ"/>
        </w:rPr>
        <w:t>required</w:t>
      </w:r>
      <w:r w:rsidR="003D640C">
        <w:rPr>
          <w:rFonts w:ascii="Calibri" w:hAnsi="Calibri" w:cs="Calibri"/>
          <w:lang w:eastAsia="en-NZ"/>
        </w:rPr>
        <w:t xml:space="preserve"> </w:t>
      </w:r>
      <w:r w:rsidRPr="683EFD25">
        <w:rPr>
          <w:rFonts w:ascii="Calibri" w:hAnsi="Calibri" w:cs="Calibri"/>
          <w:lang w:eastAsia="en-NZ"/>
        </w:rPr>
        <w:t>to</w:t>
      </w:r>
      <w:r w:rsidR="003D640C">
        <w:rPr>
          <w:rFonts w:ascii="Calibri" w:hAnsi="Calibri" w:cs="Calibri"/>
          <w:lang w:eastAsia="en-NZ"/>
        </w:rPr>
        <w:t xml:space="preserve"> </w:t>
      </w:r>
      <w:r w:rsidRPr="683EFD25">
        <w:rPr>
          <w:rFonts w:ascii="Calibri" w:hAnsi="Calibri" w:cs="Calibri"/>
          <w:lang w:eastAsia="en-NZ"/>
        </w:rPr>
        <w:t>continue</w:t>
      </w:r>
      <w:r w:rsidR="003D640C">
        <w:rPr>
          <w:rFonts w:ascii="Calibri" w:hAnsi="Calibri" w:cs="Calibri"/>
          <w:lang w:eastAsia="en-NZ"/>
        </w:rPr>
        <w:t xml:space="preserve"> </w:t>
      </w:r>
      <w:r w:rsidRPr="683EFD25">
        <w:rPr>
          <w:rFonts w:ascii="Calibri" w:hAnsi="Calibri" w:cs="Calibri"/>
          <w:lang w:eastAsia="en-NZ"/>
        </w:rPr>
        <w:t>survivor-led</w:t>
      </w:r>
      <w:r w:rsidR="003D640C">
        <w:rPr>
          <w:rFonts w:ascii="Calibri" w:hAnsi="Calibri" w:cs="Calibri"/>
          <w:lang w:eastAsia="en-NZ"/>
        </w:rPr>
        <w:t xml:space="preserve"> </w:t>
      </w:r>
      <w:r w:rsidRPr="00D11C1F">
        <w:rPr>
          <w:rFonts w:ascii="Calibri" w:hAnsi="Calibri" w:cs="Calibri"/>
          <w:lang w:eastAsia="en-NZ"/>
        </w:rPr>
        <w:t>education</w:t>
      </w:r>
      <w:r w:rsidR="003D640C" w:rsidRPr="00D11C1F">
        <w:rPr>
          <w:rFonts w:ascii="Calibri" w:hAnsi="Calibri" w:cs="Calibri"/>
          <w:lang w:eastAsia="en-NZ"/>
        </w:rPr>
        <w:t xml:space="preserve"> </w:t>
      </w:r>
      <w:r w:rsidRPr="00D11C1F">
        <w:rPr>
          <w:rFonts w:ascii="Calibri" w:hAnsi="Calibri" w:cs="Calibri"/>
          <w:lang w:eastAsia="en-NZ"/>
        </w:rPr>
        <w:t>and</w:t>
      </w:r>
      <w:r w:rsidR="003D640C">
        <w:rPr>
          <w:rFonts w:ascii="Calibri" w:hAnsi="Calibri" w:cs="Calibri"/>
          <w:lang w:eastAsia="en-NZ"/>
        </w:rPr>
        <w:t xml:space="preserve"> </w:t>
      </w:r>
      <w:r w:rsidRPr="683EFD25">
        <w:rPr>
          <w:rFonts w:ascii="Calibri" w:hAnsi="Calibri" w:cs="Calibri"/>
          <w:lang w:eastAsia="en-NZ"/>
        </w:rPr>
        <w:t>prevention</w:t>
      </w:r>
      <w:r w:rsidR="003D640C">
        <w:rPr>
          <w:rFonts w:ascii="Calibri" w:hAnsi="Calibri" w:cs="Calibri"/>
          <w:lang w:eastAsia="en-NZ"/>
        </w:rPr>
        <w:t xml:space="preserve"> </w:t>
      </w:r>
      <w:r w:rsidRPr="683EFD25">
        <w:rPr>
          <w:rFonts w:ascii="Calibri" w:hAnsi="Calibri" w:cs="Calibri"/>
          <w:lang w:eastAsia="en-NZ"/>
        </w:rPr>
        <w:t>work.</w:t>
      </w:r>
      <w:r w:rsidR="003D640C">
        <w:rPr>
          <w:rFonts w:ascii="Calibri" w:hAnsi="Calibri" w:cs="Calibri"/>
          <w:lang w:eastAsia="en-NZ"/>
        </w:rPr>
        <w:t xml:space="preserve"> </w:t>
      </w:r>
      <w:r w:rsidRPr="683EFD25">
        <w:rPr>
          <w:rFonts w:ascii="Calibri" w:hAnsi="Calibri" w:cs="Calibri"/>
          <w:lang w:eastAsia="en-NZ"/>
        </w:rPr>
        <w:t>Greater</w:t>
      </w:r>
      <w:r w:rsidR="003D640C">
        <w:rPr>
          <w:rFonts w:ascii="Calibri" w:hAnsi="Calibri" w:cs="Calibri"/>
          <w:lang w:eastAsia="en-NZ"/>
        </w:rPr>
        <w:t xml:space="preserve"> </w:t>
      </w:r>
      <w:r w:rsidRPr="683EFD25">
        <w:rPr>
          <w:rFonts w:ascii="Calibri" w:hAnsi="Calibri" w:cs="Calibri"/>
          <w:lang w:eastAsia="en-NZ"/>
        </w:rPr>
        <w:t>public</w:t>
      </w:r>
      <w:r w:rsidR="003D640C">
        <w:rPr>
          <w:rFonts w:ascii="Calibri" w:hAnsi="Calibri" w:cs="Calibri"/>
          <w:lang w:eastAsia="en-NZ"/>
        </w:rPr>
        <w:t xml:space="preserve"> </w:t>
      </w:r>
      <w:r w:rsidRPr="683EFD25">
        <w:rPr>
          <w:rFonts w:ascii="Calibri" w:hAnsi="Calibri" w:cs="Calibri"/>
          <w:lang w:eastAsia="en-NZ"/>
        </w:rPr>
        <w:t>awareness</w:t>
      </w:r>
      <w:r w:rsidR="003D640C">
        <w:rPr>
          <w:rFonts w:ascii="Calibri" w:hAnsi="Calibri" w:cs="Calibri"/>
          <w:lang w:eastAsia="en-NZ"/>
        </w:rPr>
        <w:t xml:space="preserve"> </w:t>
      </w:r>
      <w:r w:rsidRPr="683EFD25">
        <w:rPr>
          <w:rFonts w:ascii="Calibri" w:hAnsi="Calibri" w:cs="Calibri"/>
          <w:lang w:eastAsia="en-NZ"/>
        </w:rPr>
        <w:t>of</w:t>
      </w:r>
      <w:r w:rsidR="003D640C">
        <w:rPr>
          <w:rFonts w:ascii="Calibri" w:hAnsi="Calibri" w:cs="Calibri"/>
          <w:lang w:eastAsia="en-NZ"/>
        </w:rPr>
        <w:t xml:space="preserve"> </w:t>
      </w:r>
      <w:r w:rsidRPr="683EFD25">
        <w:rPr>
          <w:rFonts w:ascii="Calibri" w:hAnsi="Calibri" w:cs="Calibri"/>
          <w:lang w:eastAsia="en-NZ"/>
        </w:rPr>
        <w:t>the</w:t>
      </w:r>
      <w:r w:rsidR="003D640C">
        <w:rPr>
          <w:rFonts w:ascii="Calibri" w:hAnsi="Calibri" w:cs="Calibri"/>
          <w:lang w:eastAsia="en-NZ"/>
        </w:rPr>
        <w:t xml:space="preserve"> </w:t>
      </w:r>
      <w:r w:rsidRPr="683EFD25">
        <w:rPr>
          <w:rFonts w:ascii="Calibri" w:hAnsi="Calibri" w:cs="Calibri"/>
          <w:lang w:eastAsia="en-NZ"/>
        </w:rPr>
        <w:t>harms</w:t>
      </w:r>
      <w:r w:rsidR="003D640C">
        <w:rPr>
          <w:rFonts w:ascii="Calibri" w:hAnsi="Calibri" w:cs="Calibri"/>
          <w:lang w:eastAsia="en-NZ"/>
        </w:rPr>
        <w:t xml:space="preserve"> </w:t>
      </w:r>
      <w:r w:rsidRPr="683EFD25">
        <w:rPr>
          <w:rFonts w:ascii="Calibri" w:hAnsi="Calibri" w:cs="Calibri"/>
          <w:lang w:eastAsia="en-NZ"/>
        </w:rPr>
        <w:t>of</w:t>
      </w:r>
      <w:r w:rsidR="003D640C">
        <w:rPr>
          <w:rFonts w:ascii="Calibri" w:hAnsi="Calibri" w:cs="Calibri"/>
          <w:lang w:eastAsia="en-NZ"/>
        </w:rPr>
        <w:t xml:space="preserve"> </w:t>
      </w:r>
      <w:r w:rsidRPr="683EFD25">
        <w:rPr>
          <w:rFonts w:ascii="Calibri" w:hAnsi="Calibri" w:cs="Calibri"/>
          <w:lang w:eastAsia="en-NZ"/>
        </w:rPr>
        <w:t>conversion</w:t>
      </w:r>
      <w:r w:rsidR="003D640C">
        <w:rPr>
          <w:rFonts w:ascii="Calibri" w:hAnsi="Calibri" w:cs="Calibri"/>
          <w:lang w:eastAsia="en-NZ"/>
        </w:rPr>
        <w:t xml:space="preserve"> </w:t>
      </w:r>
      <w:r w:rsidRPr="683EFD25">
        <w:rPr>
          <w:rFonts w:ascii="Calibri" w:hAnsi="Calibri" w:cs="Calibri"/>
          <w:lang w:eastAsia="en-NZ"/>
        </w:rPr>
        <w:t>practices</w:t>
      </w:r>
      <w:r w:rsidR="003D640C">
        <w:rPr>
          <w:rFonts w:ascii="Calibri" w:hAnsi="Calibri" w:cs="Calibri"/>
          <w:lang w:eastAsia="en-NZ"/>
        </w:rPr>
        <w:t xml:space="preserve"> </w:t>
      </w:r>
      <w:r w:rsidRPr="683EFD25">
        <w:rPr>
          <w:rFonts w:ascii="Calibri" w:hAnsi="Calibri" w:cs="Calibri"/>
          <w:lang w:eastAsia="en-NZ"/>
        </w:rPr>
        <w:t>is</w:t>
      </w:r>
      <w:r w:rsidR="003D640C">
        <w:rPr>
          <w:rFonts w:ascii="Calibri" w:hAnsi="Calibri" w:cs="Calibri"/>
          <w:lang w:eastAsia="en-NZ"/>
        </w:rPr>
        <w:t xml:space="preserve"> </w:t>
      </w:r>
      <w:r w:rsidRPr="683EFD25">
        <w:rPr>
          <w:rFonts w:ascii="Calibri" w:hAnsi="Calibri" w:cs="Calibri"/>
          <w:lang w:eastAsia="en-NZ"/>
        </w:rPr>
        <w:t>needed</w:t>
      </w:r>
      <w:r w:rsidR="003D640C">
        <w:rPr>
          <w:rFonts w:ascii="Calibri" w:hAnsi="Calibri" w:cs="Calibri"/>
          <w:lang w:eastAsia="en-NZ"/>
        </w:rPr>
        <w:t xml:space="preserve"> </w:t>
      </w:r>
      <w:r w:rsidRPr="683EFD25">
        <w:rPr>
          <w:rFonts w:ascii="Calibri" w:hAnsi="Calibri" w:cs="Calibri"/>
          <w:lang w:eastAsia="en-NZ"/>
        </w:rPr>
        <w:t>as</w:t>
      </w:r>
      <w:r w:rsidR="003D640C">
        <w:rPr>
          <w:rFonts w:ascii="Calibri" w:hAnsi="Calibri" w:cs="Calibri"/>
          <w:lang w:eastAsia="en-NZ"/>
        </w:rPr>
        <w:t xml:space="preserve"> </w:t>
      </w:r>
      <w:r w:rsidRPr="683EFD25">
        <w:rPr>
          <w:rFonts w:ascii="Calibri" w:hAnsi="Calibri" w:cs="Calibri"/>
          <w:lang w:eastAsia="en-NZ"/>
        </w:rPr>
        <w:t>well</w:t>
      </w:r>
      <w:r w:rsidR="003D640C">
        <w:rPr>
          <w:rFonts w:ascii="Calibri" w:hAnsi="Calibri" w:cs="Calibri"/>
          <w:lang w:eastAsia="en-NZ"/>
        </w:rPr>
        <w:t xml:space="preserve"> </w:t>
      </w:r>
      <w:r w:rsidRPr="683EFD25">
        <w:rPr>
          <w:rFonts w:ascii="Calibri" w:hAnsi="Calibri" w:cs="Calibri"/>
          <w:lang w:eastAsia="en-NZ"/>
        </w:rPr>
        <w:t>as</w:t>
      </w:r>
      <w:r w:rsidR="003D640C">
        <w:rPr>
          <w:rFonts w:ascii="Calibri" w:hAnsi="Calibri" w:cs="Calibri"/>
          <w:lang w:eastAsia="en-NZ"/>
        </w:rPr>
        <w:t xml:space="preserve"> </w:t>
      </w:r>
      <w:r w:rsidRPr="683EFD25">
        <w:rPr>
          <w:rFonts w:ascii="Calibri" w:hAnsi="Calibri" w:cs="Calibri"/>
          <w:lang w:eastAsia="en-NZ"/>
        </w:rPr>
        <w:t>accurate</w:t>
      </w:r>
      <w:r w:rsidR="003D640C">
        <w:rPr>
          <w:rFonts w:ascii="Calibri" w:hAnsi="Calibri" w:cs="Calibri"/>
          <w:lang w:eastAsia="en-NZ"/>
        </w:rPr>
        <w:t xml:space="preserve"> </w:t>
      </w:r>
      <w:r w:rsidRPr="683EFD25">
        <w:rPr>
          <w:rFonts w:ascii="Calibri" w:hAnsi="Calibri" w:cs="Calibri"/>
          <w:lang w:eastAsia="en-NZ"/>
        </w:rPr>
        <w:t>information</w:t>
      </w:r>
      <w:r w:rsidR="003D640C">
        <w:rPr>
          <w:rFonts w:ascii="Calibri" w:hAnsi="Calibri" w:cs="Calibri"/>
          <w:lang w:eastAsia="en-NZ"/>
        </w:rPr>
        <w:t xml:space="preserve"> </w:t>
      </w:r>
      <w:r w:rsidRPr="683EFD25">
        <w:rPr>
          <w:rFonts w:ascii="Calibri" w:hAnsi="Calibri" w:cs="Calibri"/>
          <w:lang w:eastAsia="en-NZ"/>
        </w:rPr>
        <w:t>about</w:t>
      </w:r>
      <w:r w:rsidR="003D640C">
        <w:rPr>
          <w:rFonts w:ascii="Calibri" w:hAnsi="Calibri" w:cs="Calibri"/>
          <w:lang w:eastAsia="en-NZ"/>
        </w:rPr>
        <w:t xml:space="preserve"> </w:t>
      </w:r>
      <w:r w:rsidRPr="683EFD25">
        <w:rPr>
          <w:rFonts w:ascii="Calibri" w:hAnsi="Calibri" w:cs="Calibri"/>
          <w:lang w:eastAsia="en-NZ"/>
        </w:rPr>
        <w:t>sexual</w:t>
      </w:r>
      <w:r w:rsidR="003D640C">
        <w:rPr>
          <w:rFonts w:ascii="Calibri" w:hAnsi="Calibri" w:cs="Calibri"/>
          <w:lang w:eastAsia="en-NZ"/>
        </w:rPr>
        <w:t xml:space="preserve"> </w:t>
      </w:r>
      <w:r w:rsidRPr="683EFD25">
        <w:rPr>
          <w:rFonts w:ascii="Calibri" w:hAnsi="Calibri" w:cs="Calibri"/>
          <w:lang w:eastAsia="en-NZ"/>
        </w:rPr>
        <w:t>orientation</w:t>
      </w:r>
      <w:r w:rsidR="003D640C">
        <w:rPr>
          <w:rFonts w:ascii="Calibri" w:hAnsi="Calibri" w:cs="Calibri"/>
          <w:lang w:eastAsia="en-NZ"/>
        </w:rPr>
        <w:t xml:space="preserve"> </w:t>
      </w:r>
      <w:r w:rsidRPr="683EFD25">
        <w:rPr>
          <w:rFonts w:ascii="Calibri" w:hAnsi="Calibri" w:cs="Calibri"/>
          <w:lang w:eastAsia="en-NZ"/>
        </w:rPr>
        <w:t>and</w:t>
      </w:r>
      <w:r w:rsidR="003D640C">
        <w:rPr>
          <w:rFonts w:ascii="Calibri" w:hAnsi="Calibri" w:cs="Calibri"/>
          <w:lang w:eastAsia="en-NZ"/>
        </w:rPr>
        <w:t xml:space="preserve"> </w:t>
      </w:r>
      <w:r w:rsidRPr="683EFD25">
        <w:rPr>
          <w:rFonts w:ascii="Calibri" w:hAnsi="Calibri" w:cs="Calibri"/>
          <w:lang w:eastAsia="en-NZ"/>
        </w:rPr>
        <w:t>gender</w:t>
      </w:r>
      <w:r w:rsidR="003D640C">
        <w:rPr>
          <w:rFonts w:ascii="Calibri" w:hAnsi="Calibri" w:cs="Calibri"/>
          <w:lang w:eastAsia="en-NZ"/>
        </w:rPr>
        <w:t xml:space="preserve"> </w:t>
      </w:r>
      <w:r w:rsidRPr="683EFD25">
        <w:rPr>
          <w:rFonts w:ascii="Calibri" w:hAnsi="Calibri" w:cs="Calibri"/>
          <w:lang w:eastAsia="en-NZ"/>
        </w:rPr>
        <w:t>identity.</w:t>
      </w:r>
      <w:r w:rsidR="003D640C">
        <w:rPr>
          <w:rFonts w:ascii="Calibri" w:hAnsi="Calibri" w:cs="Calibri"/>
          <w:lang w:eastAsia="en-NZ"/>
        </w:rPr>
        <w:t xml:space="preserve"> </w:t>
      </w:r>
      <w:r w:rsidRPr="683EFD25">
        <w:rPr>
          <w:rFonts w:ascii="Calibri" w:hAnsi="Calibri" w:cs="Calibri"/>
          <w:lang w:eastAsia="en-NZ"/>
        </w:rPr>
        <w:t>This</w:t>
      </w:r>
      <w:r w:rsidR="003D640C">
        <w:rPr>
          <w:rFonts w:ascii="Calibri" w:hAnsi="Calibri" w:cs="Calibri"/>
          <w:lang w:eastAsia="en-NZ"/>
        </w:rPr>
        <w:t xml:space="preserve"> </w:t>
      </w:r>
      <w:r w:rsidRPr="683EFD25">
        <w:rPr>
          <w:rFonts w:ascii="Calibri" w:hAnsi="Calibri" w:cs="Calibri"/>
          <w:lang w:eastAsia="en-NZ"/>
        </w:rPr>
        <w:t>would</w:t>
      </w:r>
      <w:r w:rsidR="003D640C">
        <w:rPr>
          <w:rFonts w:ascii="Calibri" w:hAnsi="Calibri" w:cs="Calibri"/>
          <w:lang w:eastAsia="en-NZ"/>
        </w:rPr>
        <w:t xml:space="preserve"> </w:t>
      </w:r>
      <w:r w:rsidRPr="683EFD25">
        <w:rPr>
          <w:rFonts w:ascii="Calibri" w:hAnsi="Calibri" w:cs="Calibri"/>
          <w:lang w:eastAsia="en-NZ"/>
        </w:rPr>
        <w:t>help</w:t>
      </w:r>
      <w:r w:rsidR="003D640C">
        <w:rPr>
          <w:rFonts w:ascii="Calibri" w:hAnsi="Calibri" w:cs="Calibri"/>
          <w:lang w:eastAsia="en-NZ"/>
        </w:rPr>
        <w:t xml:space="preserve"> </w:t>
      </w:r>
      <w:r w:rsidRPr="683EFD25">
        <w:rPr>
          <w:rFonts w:ascii="Calibri" w:hAnsi="Calibri" w:cs="Calibri"/>
          <w:lang w:eastAsia="en-NZ"/>
        </w:rPr>
        <w:t>to</w:t>
      </w:r>
      <w:r w:rsidR="003D640C">
        <w:rPr>
          <w:rFonts w:ascii="Calibri" w:hAnsi="Calibri" w:cs="Calibri"/>
          <w:lang w:eastAsia="en-NZ"/>
        </w:rPr>
        <w:t xml:space="preserve"> </w:t>
      </w:r>
      <w:r w:rsidRPr="683EFD25">
        <w:rPr>
          <w:rFonts w:ascii="Calibri" w:hAnsi="Calibri" w:cs="Calibri"/>
          <w:lang w:eastAsia="en-NZ"/>
        </w:rPr>
        <w:t>debunk</w:t>
      </w:r>
      <w:r w:rsidR="003D640C">
        <w:rPr>
          <w:rFonts w:ascii="Calibri" w:hAnsi="Calibri" w:cs="Calibri"/>
          <w:lang w:eastAsia="en-NZ"/>
        </w:rPr>
        <w:t xml:space="preserve"> </w:t>
      </w:r>
      <w:r w:rsidRPr="683EFD25">
        <w:rPr>
          <w:rFonts w:ascii="Calibri" w:hAnsi="Calibri" w:cs="Calibri"/>
          <w:lang w:eastAsia="en-NZ"/>
        </w:rPr>
        <w:t>myths</w:t>
      </w:r>
      <w:r w:rsidR="003D640C">
        <w:rPr>
          <w:rFonts w:ascii="Calibri" w:hAnsi="Calibri" w:cs="Calibri"/>
          <w:lang w:eastAsia="en-NZ"/>
        </w:rPr>
        <w:t xml:space="preserve"> </w:t>
      </w:r>
      <w:r w:rsidRPr="683EFD25">
        <w:rPr>
          <w:rFonts w:ascii="Calibri" w:hAnsi="Calibri" w:cs="Calibri"/>
          <w:lang w:eastAsia="en-NZ"/>
        </w:rPr>
        <w:t>and</w:t>
      </w:r>
      <w:r w:rsidR="003D640C">
        <w:rPr>
          <w:rFonts w:ascii="Calibri" w:hAnsi="Calibri" w:cs="Calibri"/>
          <w:lang w:eastAsia="en-NZ"/>
        </w:rPr>
        <w:t xml:space="preserve"> </w:t>
      </w:r>
      <w:r w:rsidRPr="683EFD25">
        <w:rPr>
          <w:rFonts w:ascii="Calibri" w:hAnsi="Calibri" w:cs="Calibri"/>
          <w:lang w:eastAsia="en-NZ"/>
        </w:rPr>
        <w:t>stereotypes</w:t>
      </w:r>
      <w:r w:rsidR="003D640C">
        <w:rPr>
          <w:rFonts w:ascii="Calibri" w:hAnsi="Calibri" w:cs="Calibri"/>
          <w:lang w:eastAsia="en-NZ"/>
        </w:rPr>
        <w:t xml:space="preserve"> </w:t>
      </w:r>
      <w:r w:rsidRPr="683EFD25">
        <w:rPr>
          <w:rFonts w:ascii="Calibri" w:hAnsi="Calibri" w:cs="Calibri"/>
          <w:lang w:eastAsia="en-NZ"/>
        </w:rPr>
        <w:t>that</w:t>
      </w:r>
      <w:r w:rsidR="003D640C">
        <w:rPr>
          <w:rFonts w:ascii="Calibri" w:hAnsi="Calibri" w:cs="Calibri"/>
          <w:lang w:eastAsia="en-NZ"/>
        </w:rPr>
        <w:t xml:space="preserve"> </w:t>
      </w:r>
      <w:r w:rsidRPr="683EFD25">
        <w:rPr>
          <w:rFonts w:ascii="Calibri" w:hAnsi="Calibri" w:cs="Calibri"/>
          <w:lang w:eastAsia="en-NZ"/>
        </w:rPr>
        <w:t>fuel</w:t>
      </w:r>
      <w:r w:rsidR="003D640C">
        <w:rPr>
          <w:rFonts w:ascii="Calibri" w:hAnsi="Calibri" w:cs="Calibri"/>
          <w:lang w:eastAsia="en-NZ"/>
        </w:rPr>
        <w:t xml:space="preserve"> </w:t>
      </w:r>
      <w:r w:rsidRPr="683EFD25">
        <w:rPr>
          <w:rFonts w:ascii="Calibri" w:hAnsi="Calibri" w:cs="Calibri"/>
          <w:lang w:eastAsia="en-NZ"/>
        </w:rPr>
        <w:t>support</w:t>
      </w:r>
      <w:r w:rsidR="003D640C">
        <w:rPr>
          <w:rFonts w:ascii="Calibri" w:hAnsi="Calibri" w:cs="Calibri"/>
          <w:lang w:eastAsia="en-NZ"/>
        </w:rPr>
        <w:t xml:space="preserve"> </w:t>
      </w:r>
      <w:r w:rsidRPr="683EFD25">
        <w:rPr>
          <w:rFonts w:ascii="Calibri" w:hAnsi="Calibri" w:cs="Calibri"/>
          <w:lang w:eastAsia="en-NZ"/>
        </w:rPr>
        <w:t>for</w:t>
      </w:r>
      <w:r w:rsidR="003D640C">
        <w:rPr>
          <w:rFonts w:ascii="Calibri" w:hAnsi="Calibri" w:cs="Calibri"/>
          <w:lang w:eastAsia="en-NZ"/>
        </w:rPr>
        <w:t xml:space="preserve"> </w:t>
      </w:r>
      <w:r w:rsidRPr="683EFD25">
        <w:rPr>
          <w:rFonts w:ascii="Calibri" w:hAnsi="Calibri" w:cs="Calibri"/>
          <w:lang w:eastAsia="en-NZ"/>
        </w:rPr>
        <w:t>conversion</w:t>
      </w:r>
      <w:r w:rsidR="003D640C">
        <w:rPr>
          <w:rFonts w:ascii="Calibri" w:hAnsi="Calibri" w:cs="Calibri"/>
          <w:lang w:eastAsia="en-NZ"/>
        </w:rPr>
        <w:t xml:space="preserve"> </w:t>
      </w:r>
      <w:r w:rsidRPr="683EFD25">
        <w:rPr>
          <w:rFonts w:ascii="Calibri" w:hAnsi="Calibri" w:cs="Calibri"/>
          <w:lang w:eastAsia="en-NZ"/>
        </w:rPr>
        <w:t>practices.</w:t>
      </w:r>
      <w:r w:rsidR="003D640C">
        <w:rPr>
          <w:rFonts w:ascii="Calibri" w:hAnsi="Calibri" w:cs="Calibri"/>
          <w:lang w:eastAsia="en-NZ"/>
        </w:rPr>
        <w:t xml:space="preserve"> </w:t>
      </w:r>
      <w:r w:rsidRPr="683EFD25">
        <w:rPr>
          <w:rFonts w:ascii="Calibri" w:hAnsi="Calibri" w:cs="Calibri"/>
          <w:lang w:eastAsia="en-NZ"/>
        </w:rPr>
        <w:t>Stakeholders</w:t>
      </w:r>
      <w:r w:rsidR="003D640C">
        <w:rPr>
          <w:rFonts w:ascii="Calibri" w:hAnsi="Calibri" w:cs="Calibri"/>
          <w:lang w:eastAsia="en-NZ"/>
        </w:rPr>
        <w:t xml:space="preserve"> </w:t>
      </w:r>
      <w:r w:rsidRPr="683EFD25">
        <w:rPr>
          <w:rFonts w:ascii="Calibri" w:hAnsi="Calibri" w:cs="Calibri"/>
          <w:lang w:eastAsia="en-NZ"/>
        </w:rPr>
        <w:t>have</w:t>
      </w:r>
      <w:r w:rsidR="003D640C">
        <w:rPr>
          <w:rFonts w:ascii="Calibri" w:hAnsi="Calibri" w:cs="Calibri"/>
          <w:lang w:eastAsia="en-NZ"/>
        </w:rPr>
        <w:t xml:space="preserve"> </w:t>
      </w:r>
      <w:r w:rsidRPr="683EFD25">
        <w:rPr>
          <w:rFonts w:ascii="Calibri" w:hAnsi="Calibri" w:cs="Calibri"/>
          <w:lang w:eastAsia="en-NZ"/>
        </w:rPr>
        <w:t>told</w:t>
      </w:r>
      <w:r w:rsidR="003D640C">
        <w:rPr>
          <w:rFonts w:ascii="Calibri" w:hAnsi="Calibri" w:cs="Calibri"/>
          <w:lang w:eastAsia="en-NZ"/>
        </w:rPr>
        <w:t xml:space="preserve"> </w:t>
      </w:r>
      <w:r w:rsidRPr="683EFD25">
        <w:rPr>
          <w:rFonts w:ascii="Calibri" w:hAnsi="Calibri" w:cs="Calibri"/>
          <w:lang w:eastAsia="en-NZ"/>
        </w:rPr>
        <w:t>us</w:t>
      </w:r>
      <w:r w:rsidR="003D640C">
        <w:rPr>
          <w:rFonts w:ascii="Calibri" w:hAnsi="Calibri" w:cs="Calibri"/>
          <w:lang w:eastAsia="en-NZ"/>
        </w:rPr>
        <w:t xml:space="preserve"> </w:t>
      </w:r>
      <w:r w:rsidRPr="683EFD25">
        <w:rPr>
          <w:rFonts w:ascii="Calibri" w:hAnsi="Calibri" w:cs="Calibri"/>
          <w:lang w:eastAsia="en-NZ"/>
        </w:rPr>
        <w:t>this</w:t>
      </w:r>
      <w:r w:rsidR="003D640C">
        <w:rPr>
          <w:rFonts w:ascii="Calibri" w:hAnsi="Calibri" w:cs="Calibri"/>
          <w:lang w:eastAsia="en-NZ"/>
        </w:rPr>
        <w:t xml:space="preserve"> </w:t>
      </w:r>
      <w:r w:rsidRPr="683EFD25">
        <w:rPr>
          <w:rFonts w:ascii="Calibri" w:hAnsi="Calibri" w:cs="Calibri"/>
          <w:lang w:eastAsia="en-NZ"/>
        </w:rPr>
        <w:t>type</w:t>
      </w:r>
      <w:r w:rsidR="003D640C">
        <w:rPr>
          <w:rFonts w:ascii="Calibri" w:hAnsi="Calibri" w:cs="Calibri"/>
          <w:lang w:eastAsia="en-NZ"/>
        </w:rPr>
        <w:t xml:space="preserve"> </w:t>
      </w:r>
      <w:r w:rsidRPr="683EFD25">
        <w:rPr>
          <w:rFonts w:ascii="Calibri" w:hAnsi="Calibri" w:cs="Calibri"/>
          <w:lang w:eastAsia="en-NZ"/>
        </w:rPr>
        <w:t>of</w:t>
      </w:r>
      <w:r w:rsidR="003D640C">
        <w:rPr>
          <w:rFonts w:ascii="Calibri" w:hAnsi="Calibri" w:cs="Calibri"/>
          <w:lang w:eastAsia="en-NZ"/>
        </w:rPr>
        <w:t xml:space="preserve"> </w:t>
      </w:r>
      <w:r w:rsidRPr="683EFD25">
        <w:rPr>
          <w:rFonts w:ascii="Calibri" w:hAnsi="Calibri" w:cs="Calibri"/>
          <w:lang w:eastAsia="en-NZ"/>
        </w:rPr>
        <w:t>education</w:t>
      </w:r>
      <w:r w:rsidR="003D640C">
        <w:rPr>
          <w:rFonts w:ascii="Calibri" w:hAnsi="Calibri" w:cs="Calibri"/>
          <w:lang w:eastAsia="en-NZ"/>
        </w:rPr>
        <w:t xml:space="preserve"> </w:t>
      </w:r>
      <w:r w:rsidRPr="683EFD25">
        <w:rPr>
          <w:rFonts w:ascii="Calibri" w:hAnsi="Calibri" w:cs="Calibri"/>
          <w:lang w:eastAsia="en-NZ"/>
        </w:rPr>
        <w:t>is</w:t>
      </w:r>
      <w:r w:rsidR="003D640C">
        <w:rPr>
          <w:rFonts w:ascii="Calibri" w:hAnsi="Calibri" w:cs="Calibri"/>
          <w:lang w:eastAsia="en-NZ"/>
        </w:rPr>
        <w:t xml:space="preserve"> </w:t>
      </w:r>
      <w:r w:rsidRPr="683EFD25">
        <w:rPr>
          <w:rFonts w:ascii="Calibri" w:hAnsi="Calibri" w:cs="Calibri"/>
          <w:lang w:eastAsia="en-NZ"/>
        </w:rPr>
        <w:t>most</w:t>
      </w:r>
      <w:r w:rsidR="003D640C">
        <w:rPr>
          <w:rFonts w:ascii="Calibri" w:hAnsi="Calibri" w:cs="Calibri"/>
          <w:lang w:eastAsia="en-NZ"/>
        </w:rPr>
        <w:t xml:space="preserve"> </w:t>
      </w:r>
      <w:r w:rsidRPr="683EFD25">
        <w:rPr>
          <w:rFonts w:ascii="Calibri" w:hAnsi="Calibri" w:cs="Calibri"/>
          <w:lang w:eastAsia="en-NZ"/>
        </w:rPr>
        <w:t>effective</w:t>
      </w:r>
      <w:r w:rsidR="003D640C">
        <w:rPr>
          <w:rFonts w:ascii="Calibri" w:hAnsi="Calibri" w:cs="Calibri"/>
          <w:lang w:eastAsia="en-NZ"/>
        </w:rPr>
        <w:t xml:space="preserve"> </w:t>
      </w:r>
      <w:r w:rsidRPr="683EFD25">
        <w:rPr>
          <w:rFonts w:ascii="Calibri" w:hAnsi="Calibri" w:cs="Calibri"/>
          <w:lang w:eastAsia="en-NZ"/>
        </w:rPr>
        <w:t>when</w:t>
      </w:r>
      <w:r w:rsidR="003D640C">
        <w:rPr>
          <w:rFonts w:ascii="Calibri" w:hAnsi="Calibri" w:cs="Calibri"/>
          <w:lang w:eastAsia="en-NZ"/>
        </w:rPr>
        <w:t xml:space="preserve"> </w:t>
      </w:r>
      <w:r w:rsidRPr="683EFD25">
        <w:rPr>
          <w:rFonts w:ascii="Calibri" w:hAnsi="Calibri" w:cs="Calibri"/>
          <w:lang w:eastAsia="en-NZ"/>
        </w:rPr>
        <w:t>participants</w:t>
      </w:r>
      <w:r w:rsidR="003D640C">
        <w:rPr>
          <w:rFonts w:ascii="Calibri" w:hAnsi="Calibri" w:cs="Calibri"/>
          <w:lang w:eastAsia="en-NZ"/>
        </w:rPr>
        <w:t xml:space="preserve"> </w:t>
      </w:r>
      <w:r w:rsidRPr="683EFD25">
        <w:rPr>
          <w:rFonts w:ascii="Calibri" w:hAnsi="Calibri" w:cs="Calibri"/>
          <w:lang w:eastAsia="en-NZ"/>
        </w:rPr>
        <w:t>can</w:t>
      </w:r>
      <w:r w:rsidR="003D640C">
        <w:rPr>
          <w:rFonts w:ascii="Calibri" w:hAnsi="Calibri" w:cs="Calibri"/>
          <w:lang w:eastAsia="en-NZ"/>
        </w:rPr>
        <w:t xml:space="preserve"> </w:t>
      </w:r>
      <w:r w:rsidRPr="683EFD25">
        <w:rPr>
          <w:rFonts w:ascii="Calibri" w:hAnsi="Calibri" w:cs="Calibri"/>
          <w:lang w:eastAsia="en-NZ"/>
        </w:rPr>
        <w:t>engage</w:t>
      </w:r>
      <w:r w:rsidR="003D640C">
        <w:rPr>
          <w:rFonts w:ascii="Calibri" w:hAnsi="Calibri" w:cs="Calibri"/>
          <w:lang w:eastAsia="en-NZ"/>
        </w:rPr>
        <w:t xml:space="preserve"> </w:t>
      </w:r>
      <w:r w:rsidRPr="683EFD25">
        <w:rPr>
          <w:rFonts w:ascii="Calibri" w:hAnsi="Calibri" w:cs="Calibri"/>
          <w:lang w:eastAsia="en-NZ"/>
        </w:rPr>
        <w:t>face</w:t>
      </w:r>
      <w:r w:rsidR="000D7651">
        <w:rPr>
          <w:rFonts w:ascii="Calibri" w:hAnsi="Calibri" w:cs="Calibri"/>
          <w:lang w:eastAsia="en-NZ"/>
        </w:rPr>
        <w:t xml:space="preserve"> </w:t>
      </w:r>
      <w:r w:rsidRPr="683EFD25">
        <w:rPr>
          <w:rFonts w:ascii="Calibri" w:hAnsi="Calibri" w:cs="Calibri"/>
          <w:lang w:eastAsia="en-NZ"/>
        </w:rPr>
        <w:t>to</w:t>
      </w:r>
      <w:r w:rsidR="000D7651">
        <w:rPr>
          <w:rFonts w:ascii="Calibri" w:hAnsi="Calibri" w:cs="Calibri"/>
          <w:lang w:eastAsia="en-NZ"/>
        </w:rPr>
        <w:t xml:space="preserve"> </w:t>
      </w:r>
      <w:r w:rsidRPr="683EFD25">
        <w:rPr>
          <w:rFonts w:ascii="Calibri" w:hAnsi="Calibri" w:cs="Calibri"/>
          <w:lang w:eastAsia="en-NZ"/>
        </w:rPr>
        <w:t>face</w:t>
      </w:r>
      <w:r w:rsidR="003D640C">
        <w:rPr>
          <w:rFonts w:ascii="Calibri" w:hAnsi="Calibri" w:cs="Calibri"/>
          <w:lang w:eastAsia="en-NZ"/>
        </w:rPr>
        <w:t xml:space="preserve"> </w:t>
      </w:r>
      <w:r w:rsidRPr="683EFD25">
        <w:rPr>
          <w:rFonts w:ascii="Calibri" w:hAnsi="Calibri" w:cs="Calibri"/>
          <w:lang w:eastAsia="en-NZ"/>
        </w:rPr>
        <w:t>with</w:t>
      </w:r>
      <w:r w:rsidR="003D640C">
        <w:rPr>
          <w:rFonts w:ascii="Calibri" w:hAnsi="Calibri" w:cs="Calibri"/>
          <w:lang w:eastAsia="en-NZ"/>
        </w:rPr>
        <w:t xml:space="preserve"> </w:t>
      </w:r>
      <w:r w:rsidRPr="683EFD25">
        <w:rPr>
          <w:rFonts w:ascii="Calibri" w:hAnsi="Calibri" w:cs="Calibri"/>
          <w:lang w:eastAsia="en-NZ"/>
        </w:rPr>
        <w:t>survivors</w:t>
      </w:r>
      <w:r w:rsidR="003D640C">
        <w:rPr>
          <w:rFonts w:ascii="Calibri" w:hAnsi="Calibri" w:cs="Calibri"/>
          <w:lang w:eastAsia="en-NZ"/>
        </w:rPr>
        <w:t xml:space="preserve"> </w:t>
      </w:r>
      <w:r w:rsidRPr="683EFD25">
        <w:rPr>
          <w:rFonts w:ascii="Calibri" w:hAnsi="Calibri" w:cs="Calibri"/>
          <w:lang w:eastAsia="en-NZ"/>
        </w:rPr>
        <w:t>and</w:t>
      </w:r>
      <w:r w:rsidR="003D640C">
        <w:rPr>
          <w:rFonts w:ascii="Calibri" w:hAnsi="Calibri" w:cs="Calibri"/>
          <w:lang w:eastAsia="en-NZ"/>
        </w:rPr>
        <w:t xml:space="preserve"> </w:t>
      </w:r>
      <w:r w:rsidRPr="683EFD25">
        <w:rPr>
          <w:rFonts w:ascii="Calibri" w:hAnsi="Calibri" w:cs="Calibri"/>
          <w:lang w:eastAsia="en-NZ"/>
        </w:rPr>
        <w:t>ask</w:t>
      </w:r>
      <w:r w:rsidR="003D640C">
        <w:rPr>
          <w:rFonts w:ascii="Calibri" w:hAnsi="Calibri" w:cs="Calibri"/>
          <w:lang w:eastAsia="en-NZ"/>
        </w:rPr>
        <w:t xml:space="preserve"> </w:t>
      </w:r>
      <w:r w:rsidRPr="683EFD25">
        <w:rPr>
          <w:rFonts w:ascii="Calibri" w:hAnsi="Calibri" w:cs="Calibri"/>
          <w:lang w:eastAsia="en-NZ"/>
        </w:rPr>
        <w:t>sensitive</w:t>
      </w:r>
      <w:r w:rsidR="003D640C">
        <w:rPr>
          <w:rFonts w:ascii="Calibri" w:hAnsi="Calibri" w:cs="Calibri"/>
          <w:lang w:eastAsia="en-NZ"/>
        </w:rPr>
        <w:t xml:space="preserve"> </w:t>
      </w:r>
      <w:r w:rsidRPr="683EFD25">
        <w:rPr>
          <w:rFonts w:ascii="Calibri" w:hAnsi="Calibri" w:cs="Calibri"/>
          <w:lang w:eastAsia="en-NZ"/>
        </w:rPr>
        <w:t>questions.</w:t>
      </w:r>
    </w:p>
    <w:p w14:paraId="33305DE8" w14:textId="26E1CDF1" w:rsidR="00501068" w:rsidRDefault="00C044A8" w:rsidP="00D11C1F">
      <w:pPr>
        <w:pStyle w:val="ListParagraph"/>
        <w:numPr>
          <w:ilvl w:val="0"/>
          <w:numId w:val="117"/>
        </w:numPr>
        <w:rPr>
          <w:rFonts w:ascii="Calibri" w:hAnsi="Calibri" w:cs="Calibri"/>
          <w:lang w:eastAsia="en-NZ"/>
        </w:rPr>
      </w:pPr>
      <w:r w:rsidRPr="00BB6220">
        <w:rPr>
          <w:rFonts w:ascii="Calibri" w:hAnsi="Calibri" w:cs="Calibri"/>
          <w:b/>
          <w:bCs/>
          <w:lang w:eastAsia="en-NZ"/>
        </w:rPr>
        <w:t>Fund</w:t>
      </w:r>
      <w:r w:rsidR="003D640C">
        <w:rPr>
          <w:rFonts w:ascii="Calibri" w:hAnsi="Calibri" w:cs="Calibri"/>
          <w:b/>
          <w:bCs/>
          <w:lang w:eastAsia="en-NZ"/>
        </w:rPr>
        <w:t xml:space="preserve"> </w:t>
      </w:r>
      <w:r w:rsidRPr="00BB6220">
        <w:rPr>
          <w:rFonts w:ascii="Calibri" w:hAnsi="Calibri" w:cs="Calibri"/>
          <w:b/>
          <w:bCs/>
          <w:lang w:eastAsia="en-NZ"/>
        </w:rPr>
        <w:t>research</w:t>
      </w:r>
      <w:r w:rsidR="003D640C">
        <w:rPr>
          <w:rFonts w:ascii="Calibri" w:hAnsi="Calibri" w:cs="Calibri"/>
          <w:b/>
          <w:bCs/>
          <w:lang w:eastAsia="en-NZ"/>
        </w:rPr>
        <w:t xml:space="preserve"> </w:t>
      </w:r>
      <w:r w:rsidRPr="00BB6220">
        <w:rPr>
          <w:rFonts w:ascii="Calibri" w:hAnsi="Calibri" w:cs="Calibri"/>
          <w:b/>
          <w:bCs/>
          <w:lang w:eastAsia="en-NZ"/>
        </w:rPr>
        <w:t>to</w:t>
      </w:r>
      <w:r w:rsidR="003D640C">
        <w:rPr>
          <w:rFonts w:ascii="Calibri" w:hAnsi="Calibri" w:cs="Calibri"/>
          <w:b/>
          <w:bCs/>
          <w:lang w:eastAsia="en-NZ"/>
        </w:rPr>
        <w:t xml:space="preserve"> </w:t>
      </w:r>
      <w:r w:rsidRPr="00BB6220">
        <w:rPr>
          <w:rFonts w:ascii="Calibri" w:hAnsi="Calibri" w:cs="Calibri"/>
          <w:b/>
          <w:bCs/>
          <w:lang w:eastAsia="en-NZ"/>
        </w:rPr>
        <w:t>better</w:t>
      </w:r>
      <w:r w:rsidR="003D640C">
        <w:rPr>
          <w:rFonts w:ascii="Calibri" w:hAnsi="Calibri" w:cs="Calibri"/>
          <w:b/>
          <w:bCs/>
          <w:lang w:eastAsia="en-NZ"/>
        </w:rPr>
        <w:t xml:space="preserve"> </w:t>
      </w:r>
      <w:r w:rsidRPr="00BB6220">
        <w:rPr>
          <w:rFonts w:ascii="Calibri" w:hAnsi="Calibri" w:cs="Calibri"/>
          <w:b/>
          <w:bCs/>
          <w:lang w:eastAsia="en-NZ"/>
        </w:rPr>
        <w:t>understand</w:t>
      </w:r>
      <w:r w:rsidR="003D640C">
        <w:rPr>
          <w:rFonts w:ascii="Calibri" w:hAnsi="Calibri" w:cs="Calibri"/>
          <w:b/>
          <w:bCs/>
          <w:lang w:eastAsia="en-NZ"/>
        </w:rPr>
        <w:t xml:space="preserve"> </w:t>
      </w:r>
      <w:r w:rsidRPr="00BB6220">
        <w:rPr>
          <w:rFonts w:ascii="Calibri" w:hAnsi="Calibri" w:cs="Calibri"/>
          <w:b/>
          <w:bCs/>
          <w:lang w:eastAsia="en-NZ"/>
        </w:rPr>
        <w:t>conversion</w:t>
      </w:r>
      <w:r w:rsidR="003D640C">
        <w:rPr>
          <w:rFonts w:ascii="Calibri" w:hAnsi="Calibri" w:cs="Calibri"/>
          <w:b/>
          <w:bCs/>
          <w:lang w:eastAsia="en-NZ"/>
        </w:rPr>
        <w:t xml:space="preserve"> </w:t>
      </w:r>
      <w:r w:rsidRPr="00BB6220">
        <w:rPr>
          <w:rFonts w:ascii="Calibri" w:hAnsi="Calibri" w:cs="Calibri"/>
          <w:b/>
          <w:bCs/>
          <w:lang w:eastAsia="en-NZ"/>
        </w:rPr>
        <w:t>practices</w:t>
      </w:r>
      <w:r w:rsidR="003D640C">
        <w:rPr>
          <w:rFonts w:ascii="Calibri" w:hAnsi="Calibri" w:cs="Calibri"/>
          <w:b/>
          <w:bCs/>
          <w:lang w:eastAsia="en-NZ"/>
        </w:rPr>
        <w:t xml:space="preserve"> </w:t>
      </w:r>
      <w:r w:rsidRPr="00BB6220">
        <w:rPr>
          <w:rFonts w:ascii="Calibri" w:hAnsi="Calibri" w:cs="Calibri"/>
          <w:b/>
          <w:bCs/>
          <w:lang w:eastAsia="en-NZ"/>
        </w:rPr>
        <w:t>in</w:t>
      </w:r>
      <w:r w:rsidR="003D640C">
        <w:rPr>
          <w:rFonts w:ascii="Calibri" w:hAnsi="Calibri" w:cs="Calibri"/>
          <w:b/>
          <w:bCs/>
          <w:lang w:eastAsia="en-NZ"/>
        </w:rPr>
        <w:t xml:space="preserve"> </w:t>
      </w:r>
      <w:r w:rsidRPr="00BB6220">
        <w:rPr>
          <w:rFonts w:ascii="Calibri" w:hAnsi="Calibri" w:cs="Calibri"/>
          <w:b/>
          <w:bCs/>
          <w:lang w:eastAsia="en-NZ"/>
        </w:rPr>
        <w:t>Aotearoa</w:t>
      </w:r>
      <w:r w:rsidR="003D640C">
        <w:rPr>
          <w:rFonts w:ascii="Calibri" w:hAnsi="Calibri" w:cs="Calibri"/>
          <w:b/>
          <w:bCs/>
          <w:lang w:eastAsia="en-NZ"/>
        </w:rPr>
        <w:t xml:space="preserve"> </w:t>
      </w:r>
      <w:r w:rsidR="000D7651">
        <w:rPr>
          <w:rFonts w:ascii="Calibri" w:hAnsi="Calibri" w:cs="Calibri"/>
          <w:b/>
          <w:bCs/>
          <w:lang w:eastAsia="en-NZ"/>
        </w:rPr>
        <w:br/>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peer-reviewed</w:t>
      </w:r>
      <w:r w:rsidR="003D640C">
        <w:rPr>
          <w:rFonts w:ascii="Calibri" w:hAnsi="Calibri" w:cs="Calibri"/>
          <w:lang w:eastAsia="en-NZ"/>
        </w:rPr>
        <w:t xml:space="preserve"> </w:t>
      </w:r>
      <w:r w:rsidRPr="00BB6220">
        <w:rPr>
          <w:rFonts w:ascii="Calibri" w:hAnsi="Calibri" w:cs="Calibri"/>
          <w:lang w:eastAsia="en-NZ"/>
        </w:rPr>
        <w:t>research</w:t>
      </w:r>
      <w:r w:rsidR="003D640C">
        <w:rPr>
          <w:rFonts w:ascii="Calibri" w:hAnsi="Calibri" w:cs="Calibri"/>
          <w:lang w:eastAsia="en-NZ"/>
        </w:rPr>
        <w:t xml:space="preserve"> </w:t>
      </w:r>
      <w:r w:rsidRPr="00D11C1F">
        <w:rPr>
          <w:rFonts w:ascii="Calibri" w:hAnsi="Calibri" w:cs="Calibri"/>
          <w:lang w:eastAsia="en-NZ"/>
        </w:rPr>
        <w:t>available</w:t>
      </w:r>
      <w:r w:rsidR="003D640C" w:rsidRPr="00D11C1F">
        <w:rPr>
          <w:rFonts w:ascii="Calibri" w:hAnsi="Calibri" w:cs="Calibri"/>
          <w:lang w:eastAsia="en-NZ"/>
        </w:rPr>
        <w:t xml:space="preserve"> </w:t>
      </w:r>
      <w:r w:rsidRPr="00D11C1F">
        <w:rPr>
          <w:rFonts w:ascii="Calibri" w:hAnsi="Calibri" w:cs="Calibri"/>
          <w:lang w:eastAsia="en-NZ"/>
        </w:rPr>
        <w:t>on</w:t>
      </w:r>
      <w:r w:rsidR="003D640C" w:rsidRPr="00D11C1F">
        <w:rPr>
          <w:rFonts w:ascii="Calibri" w:hAnsi="Calibri" w:cs="Calibri"/>
          <w:lang w:eastAsia="en-NZ"/>
        </w:rPr>
        <w:t xml:space="preserve"> </w:t>
      </w:r>
      <w:r w:rsidRPr="00D11C1F">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Aotearoa</w:t>
      </w:r>
      <w:r w:rsidR="003D640C">
        <w:rPr>
          <w:rFonts w:ascii="Calibri" w:hAnsi="Calibri" w:cs="Calibri"/>
          <w:lang w:eastAsia="en-NZ"/>
        </w:rPr>
        <w:t xml:space="preserve"> </w:t>
      </w:r>
      <w:r w:rsidRPr="00BB6220">
        <w:rPr>
          <w:rFonts w:ascii="Calibri" w:hAnsi="Calibri" w:cs="Calibri"/>
          <w:lang w:eastAsia="en-NZ"/>
        </w:rPr>
        <w:t>comes</w:t>
      </w:r>
      <w:r w:rsidR="003D640C">
        <w:rPr>
          <w:rFonts w:ascii="Calibri" w:hAnsi="Calibri" w:cs="Calibri"/>
          <w:lang w:eastAsia="en-NZ"/>
        </w:rPr>
        <w:t xml:space="preserve"> </w:t>
      </w:r>
      <w:r w:rsidRPr="00BB6220">
        <w:rPr>
          <w:rFonts w:ascii="Calibri" w:hAnsi="Calibri" w:cs="Calibri"/>
          <w:lang w:eastAsia="en-NZ"/>
        </w:rPr>
        <w:t>from</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smaller</w:t>
      </w:r>
      <w:r w:rsidR="003D640C">
        <w:rPr>
          <w:rFonts w:ascii="Calibri" w:hAnsi="Calibri" w:cs="Calibri"/>
          <w:lang w:eastAsia="en-NZ"/>
        </w:rPr>
        <w:t xml:space="preserve"> </w:t>
      </w:r>
      <w:r w:rsidRPr="00BB6220">
        <w:rPr>
          <w:rFonts w:ascii="Calibri" w:hAnsi="Calibri" w:cs="Calibri"/>
          <w:lang w:eastAsia="en-NZ"/>
        </w:rPr>
        <w:t>number</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publications</w:t>
      </w:r>
      <w:r w:rsidR="003D640C">
        <w:rPr>
          <w:rFonts w:ascii="Calibri" w:hAnsi="Calibri" w:cs="Calibri"/>
          <w:lang w:eastAsia="en-NZ"/>
        </w:rPr>
        <w:t xml:space="preserve"> </w:t>
      </w:r>
      <w:r w:rsidRPr="00BB6220">
        <w:rPr>
          <w:rFonts w:ascii="Calibri" w:hAnsi="Calibri" w:cs="Calibri"/>
          <w:lang w:eastAsia="en-NZ"/>
        </w:rPr>
        <w:t>than</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Pr="00BB6220">
        <w:rPr>
          <w:rFonts w:ascii="Calibri" w:hAnsi="Calibri" w:cs="Calibri"/>
          <w:lang w:eastAsia="en-NZ"/>
        </w:rPr>
        <w:t>ideal.</w:t>
      </w:r>
      <w:r w:rsidR="003D640C">
        <w:rPr>
          <w:rFonts w:ascii="Calibri" w:hAnsi="Calibri" w:cs="Calibri"/>
          <w:lang w:eastAsia="en-NZ"/>
        </w:rPr>
        <w:t xml:space="preserve"> </w:t>
      </w:r>
      <w:r w:rsidRPr="00BB6220">
        <w:rPr>
          <w:rFonts w:ascii="Calibri" w:hAnsi="Calibri" w:cs="Calibri"/>
          <w:lang w:eastAsia="en-NZ"/>
        </w:rPr>
        <w:t>Each</w:t>
      </w:r>
      <w:r w:rsidR="003D640C">
        <w:rPr>
          <w:rFonts w:ascii="Calibri" w:hAnsi="Calibri" w:cs="Calibri"/>
          <w:lang w:eastAsia="en-NZ"/>
        </w:rPr>
        <w:t xml:space="preserve"> </w:t>
      </w:r>
      <w:r w:rsidRPr="00BB6220">
        <w:rPr>
          <w:rFonts w:ascii="Calibri" w:hAnsi="Calibri" w:cs="Calibri"/>
          <w:lang w:eastAsia="en-NZ"/>
        </w:rPr>
        <w:t>subsequent</w:t>
      </w:r>
      <w:r w:rsidR="003D640C">
        <w:rPr>
          <w:rFonts w:ascii="Calibri" w:hAnsi="Calibri" w:cs="Calibri"/>
          <w:lang w:eastAsia="en-NZ"/>
        </w:rPr>
        <w:t xml:space="preserve"> </w:t>
      </w:r>
      <w:r w:rsidRPr="00BB6220">
        <w:rPr>
          <w:rFonts w:ascii="Calibri" w:hAnsi="Calibri" w:cs="Calibri"/>
          <w:lang w:eastAsia="en-NZ"/>
        </w:rPr>
        <w:t>article</w:t>
      </w:r>
      <w:r w:rsidR="003D640C">
        <w:rPr>
          <w:rFonts w:ascii="Calibri" w:hAnsi="Calibri" w:cs="Calibri"/>
          <w:lang w:eastAsia="en-NZ"/>
        </w:rPr>
        <w:t xml:space="preserve"> </w:t>
      </w:r>
      <w:r w:rsidRPr="00BB6220">
        <w:rPr>
          <w:rFonts w:ascii="Calibri" w:hAnsi="Calibri" w:cs="Calibri"/>
          <w:lang w:eastAsia="en-NZ"/>
        </w:rPr>
        <w:t>uncovers</w:t>
      </w:r>
      <w:r w:rsidR="003D640C">
        <w:rPr>
          <w:rFonts w:ascii="Calibri" w:hAnsi="Calibri" w:cs="Calibri"/>
          <w:lang w:eastAsia="en-NZ"/>
        </w:rPr>
        <w:t xml:space="preserve"> </w:t>
      </w:r>
      <w:r w:rsidR="001D2E4B">
        <w:rPr>
          <w:rFonts w:ascii="Calibri" w:hAnsi="Calibri" w:cs="Calibri"/>
          <w:lang w:eastAsia="en-NZ"/>
        </w:rPr>
        <w:t>new</w:t>
      </w:r>
      <w:r w:rsidR="003D640C">
        <w:rPr>
          <w:rFonts w:ascii="Calibri" w:hAnsi="Calibri" w:cs="Calibri"/>
          <w:lang w:eastAsia="en-NZ"/>
        </w:rPr>
        <w:t xml:space="preserve"> </w:t>
      </w:r>
      <w:r w:rsidR="001D2E4B">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concerning</w:t>
      </w:r>
      <w:r w:rsidR="003D640C">
        <w:rPr>
          <w:rFonts w:ascii="Calibri" w:hAnsi="Calibri" w:cs="Calibri"/>
          <w:lang w:eastAsia="en-NZ"/>
        </w:rPr>
        <w:t xml:space="preserve"> </w:t>
      </w:r>
      <w:r w:rsidRPr="00BB6220">
        <w:rPr>
          <w:rFonts w:ascii="Calibri" w:hAnsi="Calibri" w:cs="Calibri"/>
          <w:lang w:eastAsia="en-NZ"/>
        </w:rPr>
        <w:t>information</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ongoing</w:t>
      </w:r>
      <w:r w:rsidR="003D640C">
        <w:rPr>
          <w:rFonts w:ascii="Calibri" w:hAnsi="Calibri" w:cs="Calibri"/>
          <w:lang w:eastAsia="en-NZ"/>
        </w:rPr>
        <w:t xml:space="preserve"> </w:t>
      </w:r>
      <w:r w:rsidRPr="00BB6220">
        <w:rPr>
          <w:rFonts w:ascii="Calibri" w:hAnsi="Calibri" w:cs="Calibri"/>
          <w:lang w:eastAsia="en-NZ"/>
        </w:rPr>
        <w:t>prevalence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More</w:t>
      </w:r>
      <w:r w:rsidR="003D640C">
        <w:rPr>
          <w:rFonts w:ascii="Calibri" w:hAnsi="Calibri" w:cs="Calibri"/>
          <w:lang w:eastAsia="en-NZ"/>
        </w:rPr>
        <w:t xml:space="preserve"> </w:t>
      </w:r>
      <w:r w:rsidRPr="00BB6220">
        <w:rPr>
          <w:rFonts w:ascii="Calibri" w:hAnsi="Calibri" w:cs="Calibri"/>
          <w:lang w:eastAsia="en-NZ"/>
        </w:rPr>
        <w:t>research</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Pr="00BB6220">
        <w:rPr>
          <w:rFonts w:ascii="Calibri" w:hAnsi="Calibri" w:cs="Calibri"/>
          <w:lang w:eastAsia="en-NZ"/>
        </w:rPr>
        <w:t>needed</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understand</w:t>
      </w:r>
      <w:r w:rsidR="003D640C">
        <w:rPr>
          <w:rFonts w:ascii="Calibri" w:hAnsi="Calibri" w:cs="Calibri"/>
          <w:lang w:eastAsia="en-NZ"/>
        </w:rPr>
        <w:t xml:space="preserve"> </w:t>
      </w:r>
      <w:r w:rsidRPr="00BB6220">
        <w:rPr>
          <w:rFonts w:ascii="Calibri" w:hAnsi="Calibri" w:cs="Calibri"/>
          <w:lang w:eastAsia="en-NZ"/>
        </w:rPr>
        <w:t>what</w:t>
      </w:r>
      <w:r w:rsidR="003D640C">
        <w:rPr>
          <w:rFonts w:ascii="Calibri" w:hAnsi="Calibri" w:cs="Calibri"/>
          <w:lang w:eastAsia="en-NZ"/>
        </w:rPr>
        <w:t xml:space="preserve"> </w:t>
      </w:r>
      <w:r w:rsidRPr="00BB6220">
        <w:rPr>
          <w:rFonts w:ascii="Calibri" w:hAnsi="Calibri" w:cs="Calibri"/>
          <w:lang w:eastAsia="en-NZ"/>
        </w:rPr>
        <w:t>continues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motivate</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participate</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what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harms</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over</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long</w:t>
      </w:r>
      <w:r w:rsidR="000D7651">
        <w:rPr>
          <w:rFonts w:ascii="Calibri" w:hAnsi="Calibri" w:cs="Calibri"/>
          <w:lang w:eastAsia="en-NZ"/>
        </w:rPr>
        <w:t xml:space="preserve"> </w:t>
      </w:r>
      <w:r w:rsidRPr="00BB6220">
        <w:rPr>
          <w:rFonts w:ascii="Calibri" w:hAnsi="Calibri" w:cs="Calibri"/>
          <w:lang w:eastAsia="en-NZ"/>
        </w:rPr>
        <w:t>term</w:t>
      </w:r>
      <w:r w:rsidR="007C1359">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what</w:t>
      </w:r>
      <w:r w:rsidR="003D640C">
        <w:rPr>
          <w:rFonts w:ascii="Calibri" w:hAnsi="Calibri" w:cs="Calibri"/>
          <w:lang w:eastAsia="en-NZ"/>
        </w:rPr>
        <w:t xml:space="preserve"> </w:t>
      </w:r>
      <w:r w:rsidRPr="00BB6220">
        <w:rPr>
          <w:rFonts w:ascii="Calibri" w:hAnsi="Calibri" w:cs="Calibri"/>
          <w:lang w:eastAsia="en-NZ"/>
        </w:rPr>
        <w:t>would</w:t>
      </w:r>
      <w:r w:rsidR="003D640C">
        <w:rPr>
          <w:rFonts w:ascii="Calibri" w:hAnsi="Calibri" w:cs="Calibri"/>
          <w:lang w:eastAsia="en-NZ"/>
        </w:rPr>
        <w:t xml:space="preserve"> </w:t>
      </w:r>
      <w:r w:rsidRPr="00BB6220">
        <w:rPr>
          <w:rFonts w:ascii="Calibri" w:hAnsi="Calibri" w:cs="Calibri"/>
          <w:lang w:eastAsia="en-NZ"/>
        </w:rPr>
        <w:t>help</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bring</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an</w:t>
      </w:r>
      <w:r w:rsidR="003D640C">
        <w:rPr>
          <w:rFonts w:ascii="Calibri" w:hAnsi="Calibri" w:cs="Calibri"/>
          <w:lang w:eastAsia="en-NZ"/>
        </w:rPr>
        <w:t xml:space="preserve"> </w:t>
      </w:r>
      <w:r w:rsidRPr="00BB6220">
        <w:rPr>
          <w:rFonts w:ascii="Calibri" w:hAnsi="Calibri" w:cs="Calibri"/>
          <w:lang w:eastAsia="en-NZ"/>
        </w:rPr>
        <w:t>end.</w:t>
      </w:r>
      <w:r w:rsidR="003D640C">
        <w:rPr>
          <w:rFonts w:ascii="Calibri" w:hAnsi="Calibri" w:cs="Calibri"/>
          <w:lang w:eastAsia="en-NZ"/>
        </w:rPr>
        <w:t xml:space="preserve"> </w:t>
      </w:r>
    </w:p>
    <w:p w14:paraId="515AB123" w14:textId="1914C03F" w:rsidR="00501068" w:rsidRDefault="00C044A8" w:rsidP="00D11C1F">
      <w:pPr>
        <w:pStyle w:val="ListParagraph"/>
        <w:numPr>
          <w:ilvl w:val="0"/>
          <w:numId w:val="117"/>
        </w:numPr>
        <w:rPr>
          <w:rFonts w:ascii="Calibri" w:hAnsi="Calibri" w:cs="Calibri"/>
          <w:lang w:eastAsia="en-NZ"/>
        </w:rPr>
      </w:pPr>
      <w:r w:rsidRPr="00BB6220">
        <w:rPr>
          <w:rFonts w:ascii="Calibri" w:hAnsi="Calibri" w:cs="Calibri"/>
          <w:b/>
          <w:bCs/>
          <w:lang w:eastAsia="en-NZ"/>
        </w:rPr>
        <w:lastRenderedPageBreak/>
        <w:t>Fund</w:t>
      </w:r>
      <w:r w:rsidR="003D640C">
        <w:rPr>
          <w:rFonts w:ascii="Calibri" w:hAnsi="Calibri" w:cs="Calibri"/>
          <w:b/>
          <w:bCs/>
          <w:lang w:eastAsia="en-NZ"/>
        </w:rPr>
        <w:t xml:space="preserve"> </w:t>
      </w:r>
      <w:r w:rsidRPr="00BB6220">
        <w:rPr>
          <w:rFonts w:ascii="Calibri" w:hAnsi="Calibri" w:cs="Calibri"/>
          <w:b/>
          <w:bCs/>
          <w:lang w:eastAsia="en-NZ"/>
        </w:rPr>
        <w:t>sources</w:t>
      </w:r>
      <w:r w:rsidR="003D640C">
        <w:rPr>
          <w:rFonts w:ascii="Calibri" w:hAnsi="Calibri" w:cs="Calibri"/>
          <w:b/>
          <w:bCs/>
          <w:lang w:eastAsia="en-NZ"/>
        </w:rPr>
        <w:t xml:space="preserve"> </w:t>
      </w:r>
      <w:r w:rsidRPr="00BB6220">
        <w:rPr>
          <w:rFonts w:ascii="Calibri" w:hAnsi="Calibri" w:cs="Calibri"/>
          <w:b/>
          <w:bCs/>
          <w:lang w:eastAsia="en-NZ"/>
        </w:rPr>
        <w:t>of</w:t>
      </w:r>
      <w:r w:rsidR="003D640C">
        <w:rPr>
          <w:rFonts w:ascii="Calibri" w:hAnsi="Calibri" w:cs="Calibri"/>
          <w:b/>
          <w:bCs/>
          <w:lang w:eastAsia="en-NZ"/>
        </w:rPr>
        <w:t xml:space="preserve"> </w:t>
      </w:r>
      <w:r w:rsidRPr="00BB6220">
        <w:rPr>
          <w:rFonts w:ascii="Calibri" w:hAnsi="Calibri" w:cs="Calibri"/>
          <w:b/>
          <w:bCs/>
          <w:lang w:eastAsia="en-NZ"/>
        </w:rPr>
        <w:t>survivor</w:t>
      </w:r>
      <w:r w:rsidR="003D640C">
        <w:rPr>
          <w:rFonts w:ascii="Calibri" w:hAnsi="Calibri" w:cs="Calibri"/>
          <w:b/>
          <w:bCs/>
          <w:lang w:eastAsia="en-NZ"/>
        </w:rPr>
        <w:t xml:space="preserve"> </w:t>
      </w:r>
      <w:r w:rsidRPr="00BB6220">
        <w:rPr>
          <w:rFonts w:ascii="Calibri" w:hAnsi="Calibri" w:cs="Calibri"/>
          <w:b/>
          <w:bCs/>
          <w:lang w:eastAsia="en-NZ"/>
        </w:rPr>
        <w:t>support</w:t>
      </w:r>
      <w:r w:rsidR="000D7651">
        <w:rPr>
          <w:rFonts w:ascii="Calibri" w:hAnsi="Calibri" w:cs="Calibri"/>
          <w:b/>
          <w:bCs/>
          <w:lang w:eastAsia="en-NZ"/>
        </w:rPr>
        <w:br/>
      </w:r>
      <w:r w:rsidRPr="00BB6220">
        <w:rPr>
          <w:rFonts w:ascii="Calibri" w:hAnsi="Calibri" w:cs="Calibri"/>
          <w:lang w:eastAsia="en-NZ"/>
        </w:rPr>
        <w:t>Well-funded</w:t>
      </w:r>
      <w:r w:rsidR="003D640C">
        <w:rPr>
          <w:rFonts w:ascii="Calibri" w:hAnsi="Calibri" w:cs="Calibri"/>
          <w:lang w:eastAsia="en-NZ"/>
        </w:rPr>
        <w:t xml:space="preserve"> </w:t>
      </w:r>
      <w:r w:rsidRPr="00BB6220">
        <w:rPr>
          <w:rFonts w:ascii="Calibri" w:hAnsi="Calibri" w:cs="Calibri"/>
          <w:lang w:eastAsia="en-NZ"/>
        </w:rPr>
        <w:t>psychosocial</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other</w:t>
      </w:r>
      <w:r w:rsidR="003D640C">
        <w:rPr>
          <w:rFonts w:ascii="Calibri" w:hAnsi="Calibri" w:cs="Calibri"/>
          <w:lang w:eastAsia="en-NZ"/>
        </w:rPr>
        <w:t xml:space="preserve"> </w:t>
      </w:r>
      <w:r w:rsidRPr="00BB6220">
        <w:rPr>
          <w:rFonts w:ascii="Calibri" w:hAnsi="Calibri" w:cs="Calibri"/>
          <w:lang w:eastAsia="en-NZ"/>
        </w:rPr>
        <w:t>support</w:t>
      </w:r>
      <w:r w:rsidR="003D640C">
        <w:rPr>
          <w:rFonts w:ascii="Calibri" w:hAnsi="Calibri" w:cs="Calibri"/>
          <w:lang w:eastAsia="en-NZ"/>
        </w:rPr>
        <w:t xml:space="preserve"> </w:t>
      </w:r>
      <w:r w:rsidRPr="00BB6220">
        <w:rPr>
          <w:rFonts w:ascii="Calibri" w:hAnsi="Calibri" w:cs="Calibri"/>
          <w:lang w:eastAsia="en-NZ"/>
        </w:rPr>
        <w:t>services,</w:t>
      </w:r>
      <w:r w:rsidR="003D640C">
        <w:rPr>
          <w:rFonts w:ascii="Calibri" w:hAnsi="Calibri" w:cs="Calibri"/>
          <w:lang w:eastAsia="en-NZ"/>
        </w:rPr>
        <w:t xml:space="preserve"> </w:t>
      </w:r>
      <w:r w:rsidRPr="00BB6220">
        <w:rPr>
          <w:rFonts w:ascii="Calibri" w:hAnsi="Calibri" w:cs="Calibri"/>
          <w:lang w:eastAsia="en-NZ"/>
        </w:rPr>
        <w:t>including</w:t>
      </w:r>
      <w:r w:rsidR="003D640C">
        <w:rPr>
          <w:rFonts w:ascii="Calibri" w:hAnsi="Calibri" w:cs="Calibri"/>
          <w:lang w:eastAsia="en-NZ"/>
        </w:rPr>
        <w:t xml:space="preserve"> </w:t>
      </w:r>
      <w:r w:rsidR="009D4A3C">
        <w:rPr>
          <w:rFonts w:ascii="Calibri" w:hAnsi="Calibri" w:cs="Calibri"/>
          <w:lang w:eastAsia="en-NZ"/>
        </w:rPr>
        <w:t>via</w:t>
      </w:r>
      <w:r w:rsidR="003D640C">
        <w:rPr>
          <w:rFonts w:ascii="Calibri" w:hAnsi="Calibri" w:cs="Calibri"/>
          <w:lang w:eastAsia="en-NZ"/>
        </w:rPr>
        <w:t xml:space="preserve"> </w:t>
      </w:r>
      <w:r w:rsidRPr="00BB6220">
        <w:rPr>
          <w:rFonts w:ascii="Calibri" w:hAnsi="Calibri" w:cs="Calibri"/>
          <w:lang w:eastAsia="en-NZ"/>
        </w:rPr>
        <w:t>ACC</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sector,</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needed</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ensure</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have</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best</w:t>
      </w:r>
      <w:r w:rsidR="003D640C">
        <w:rPr>
          <w:rFonts w:ascii="Calibri" w:hAnsi="Calibri" w:cs="Calibri"/>
          <w:lang w:eastAsia="en-NZ"/>
        </w:rPr>
        <w:t xml:space="preserve"> </w:t>
      </w:r>
      <w:r w:rsidRPr="00BB6220">
        <w:rPr>
          <w:rFonts w:ascii="Calibri" w:hAnsi="Calibri" w:cs="Calibri"/>
          <w:lang w:eastAsia="en-NZ"/>
        </w:rPr>
        <w:t>chance</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regain</w:t>
      </w:r>
      <w:r w:rsidR="003D640C">
        <w:rPr>
          <w:rFonts w:ascii="Calibri" w:hAnsi="Calibri" w:cs="Calibri"/>
          <w:lang w:eastAsia="en-NZ"/>
        </w:rPr>
        <w:t xml:space="preserve"> </w:t>
      </w:r>
      <w:r w:rsidRPr="00BB6220">
        <w:rPr>
          <w:rFonts w:ascii="Calibri" w:hAnsi="Calibri" w:cs="Calibri"/>
          <w:lang w:eastAsia="en-NZ"/>
        </w:rPr>
        <w:t>wellbeing</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build</w:t>
      </w:r>
      <w:r w:rsidR="003D640C">
        <w:rPr>
          <w:rFonts w:ascii="Calibri" w:hAnsi="Calibri" w:cs="Calibri"/>
          <w:lang w:eastAsia="en-NZ"/>
        </w:rPr>
        <w:t xml:space="preserve"> </w:t>
      </w:r>
      <w:r w:rsidRPr="00BB6220">
        <w:rPr>
          <w:rFonts w:ascii="Calibri" w:hAnsi="Calibri" w:cs="Calibri"/>
          <w:lang w:eastAsia="en-NZ"/>
        </w:rPr>
        <w:t>an</w:t>
      </w:r>
      <w:r w:rsidR="003D640C">
        <w:rPr>
          <w:rFonts w:ascii="Calibri" w:hAnsi="Calibri" w:cs="Calibri"/>
          <w:lang w:eastAsia="en-NZ"/>
        </w:rPr>
        <w:t xml:space="preserve"> </w:t>
      </w:r>
      <w:r w:rsidRPr="00BB6220">
        <w:rPr>
          <w:rFonts w:ascii="Calibri" w:hAnsi="Calibri" w:cs="Calibri"/>
          <w:lang w:eastAsia="en-NZ"/>
        </w:rPr>
        <w:t>affirming,</w:t>
      </w:r>
      <w:r w:rsidR="003D640C">
        <w:rPr>
          <w:rFonts w:ascii="Calibri" w:hAnsi="Calibri" w:cs="Calibri"/>
          <w:lang w:eastAsia="en-NZ"/>
        </w:rPr>
        <w:t xml:space="preserve"> </w:t>
      </w:r>
      <w:r w:rsidRPr="00BB6220">
        <w:rPr>
          <w:rFonts w:ascii="Calibri" w:hAnsi="Calibri" w:cs="Calibri"/>
          <w:lang w:eastAsia="en-NZ"/>
        </w:rPr>
        <w:t>safe</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r w:rsidRPr="00BB6220">
        <w:rPr>
          <w:rFonts w:ascii="Calibri" w:hAnsi="Calibri" w:cs="Calibri"/>
          <w:lang w:eastAsia="en-NZ"/>
        </w:rPr>
        <w:t>around</w:t>
      </w:r>
      <w:r w:rsidR="003D640C">
        <w:rPr>
          <w:rFonts w:ascii="Calibri" w:hAnsi="Calibri" w:cs="Calibri"/>
          <w:lang w:eastAsia="en-NZ"/>
        </w:rPr>
        <w:t xml:space="preserve"> </w:t>
      </w:r>
      <w:r w:rsidRPr="00BB6220">
        <w:rPr>
          <w:rFonts w:ascii="Calibri" w:hAnsi="Calibri" w:cs="Calibri"/>
          <w:lang w:eastAsia="en-NZ"/>
        </w:rPr>
        <w:t>themselves.</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have</w:t>
      </w:r>
      <w:r w:rsidR="003D640C">
        <w:rPr>
          <w:rFonts w:ascii="Calibri" w:hAnsi="Calibri" w:cs="Calibri"/>
          <w:lang w:eastAsia="en-NZ"/>
        </w:rPr>
        <w:t xml:space="preserve"> </w:t>
      </w:r>
      <w:r w:rsidRPr="00BB6220">
        <w:rPr>
          <w:rFonts w:ascii="Calibri" w:hAnsi="Calibri" w:cs="Calibri"/>
          <w:lang w:eastAsia="en-NZ"/>
        </w:rPr>
        <w:t>specifically</w:t>
      </w:r>
      <w:r w:rsidR="003D640C">
        <w:rPr>
          <w:rFonts w:ascii="Calibri" w:hAnsi="Calibri" w:cs="Calibri"/>
          <w:lang w:eastAsia="en-NZ"/>
        </w:rPr>
        <w:t xml:space="preserve"> </w:t>
      </w:r>
      <w:r w:rsidRPr="00BB6220">
        <w:rPr>
          <w:rFonts w:ascii="Calibri" w:hAnsi="Calibri" w:cs="Calibri"/>
          <w:lang w:eastAsia="en-NZ"/>
        </w:rPr>
        <w:t>asked</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peer-support</w:t>
      </w:r>
      <w:r w:rsidR="003D640C">
        <w:rPr>
          <w:rFonts w:ascii="Calibri" w:hAnsi="Calibri" w:cs="Calibri"/>
          <w:lang w:eastAsia="en-NZ"/>
        </w:rPr>
        <w:t xml:space="preserve"> </w:t>
      </w:r>
      <w:r w:rsidRPr="00BB6220">
        <w:rPr>
          <w:rFonts w:ascii="Calibri" w:hAnsi="Calibri" w:cs="Calibri"/>
          <w:lang w:eastAsia="en-NZ"/>
        </w:rPr>
        <w:t>network</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set</w:t>
      </w:r>
      <w:r w:rsidR="003D640C">
        <w:rPr>
          <w:rFonts w:ascii="Calibri" w:hAnsi="Calibri" w:cs="Calibri"/>
          <w:lang w:eastAsia="en-NZ"/>
        </w:rPr>
        <w:t xml:space="preserve"> </w:t>
      </w:r>
      <w:r w:rsidRPr="00BB6220">
        <w:rPr>
          <w:rFonts w:ascii="Calibri" w:hAnsi="Calibri" w:cs="Calibri"/>
          <w:lang w:eastAsia="en-NZ"/>
        </w:rPr>
        <w:t>up</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sustained.</w:t>
      </w:r>
      <w:r w:rsidR="003D640C">
        <w:rPr>
          <w:rFonts w:ascii="Calibri" w:hAnsi="Calibri" w:cs="Calibri"/>
          <w:lang w:eastAsia="en-NZ"/>
        </w:rPr>
        <w:t xml:space="preserve"> </w:t>
      </w:r>
      <w:r w:rsidRPr="00BB6220">
        <w:rPr>
          <w:rFonts w:ascii="Calibri" w:hAnsi="Calibri" w:cs="Calibri"/>
          <w:lang w:eastAsia="en-NZ"/>
        </w:rPr>
        <w:t>This</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Pr="00BB6220">
        <w:rPr>
          <w:rFonts w:ascii="Calibri" w:hAnsi="Calibri" w:cs="Calibri"/>
          <w:lang w:eastAsia="en-NZ"/>
        </w:rPr>
        <w:t>an</w:t>
      </w:r>
      <w:r w:rsidR="003D640C">
        <w:rPr>
          <w:rFonts w:ascii="Calibri" w:hAnsi="Calibri" w:cs="Calibri"/>
          <w:lang w:eastAsia="en-NZ"/>
        </w:rPr>
        <w:t xml:space="preserve"> </w:t>
      </w:r>
      <w:r w:rsidRPr="00BB6220">
        <w:rPr>
          <w:rFonts w:ascii="Calibri" w:hAnsi="Calibri" w:cs="Calibri"/>
          <w:lang w:eastAsia="en-NZ"/>
        </w:rPr>
        <w:t>important</w:t>
      </w:r>
      <w:r w:rsidR="003D640C">
        <w:rPr>
          <w:rFonts w:ascii="Calibri" w:hAnsi="Calibri" w:cs="Calibri"/>
          <w:lang w:eastAsia="en-NZ"/>
        </w:rPr>
        <w:t xml:space="preserve"> </w:t>
      </w:r>
      <w:r w:rsidRPr="00BB6220">
        <w:rPr>
          <w:rFonts w:ascii="Calibri" w:hAnsi="Calibri" w:cs="Calibri"/>
          <w:lang w:eastAsia="en-NZ"/>
        </w:rPr>
        <w:t>source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wellbeing</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007C7618">
        <w:rPr>
          <w:rFonts w:ascii="Calibri" w:hAnsi="Calibri" w:cs="Calibri"/>
          <w:lang w:eastAsia="en-NZ"/>
        </w:rPr>
        <w:t>people who are</w:t>
      </w:r>
      <w:r w:rsidR="003D640C">
        <w:rPr>
          <w:rFonts w:ascii="Calibri" w:hAnsi="Calibri" w:cs="Calibri"/>
          <w:lang w:eastAsia="en-NZ"/>
        </w:rPr>
        <w:t xml:space="preserve"> </w:t>
      </w:r>
      <w:r w:rsidRPr="00BB6220">
        <w:rPr>
          <w:rFonts w:ascii="Calibri" w:hAnsi="Calibri" w:cs="Calibri"/>
          <w:lang w:eastAsia="en-NZ"/>
        </w:rPr>
        <w:t>often</w:t>
      </w:r>
      <w:r w:rsidR="003D640C">
        <w:rPr>
          <w:rFonts w:ascii="Calibri" w:hAnsi="Calibri" w:cs="Calibri"/>
          <w:lang w:eastAsia="en-NZ"/>
        </w:rPr>
        <w:t xml:space="preserve"> </w:t>
      </w:r>
      <w:r w:rsidRPr="00BB6220">
        <w:rPr>
          <w:rFonts w:ascii="Calibri" w:hAnsi="Calibri" w:cs="Calibri"/>
          <w:lang w:eastAsia="en-NZ"/>
        </w:rPr>
        <w:t>misunderstood</w:t>
      </w:r>
      <w:r w:rsidR="003D640C">
        <w:rPr>
          <w:rFonts w:ascii="Calibri" w:hAnsi="Calibri" w:cs="Calibri"/>
          <w:lang w:eastAsia="en-NZ"/>
        </w:rPr>
        <w:t xml:space="preserve"> </w:t>
      </w:r>
      <w:r w:rsidRPr="00BB6220">
        <w:rPr>
          <w:rFonts w:ascii="Calibri" w:hAnsi="Calibri" w:cs="Calibri"/>
          <w:lang w:eastAsia="en-NZ"/>
        </w:rPr>
        <w:t>by</w:t>
      </w:r>
      <w:r w:rsidR="003D640C">
        <w:rPr>
          <w:rFonts w:ascii="Calibri" w:hAnsi="Calibri" w:cs="Calibri"/>
          <w:lang w:eastAsia="en-NZ"/>
        </w:rPr>
        <w:t xml:space="preserve"> </w:t>
      </w:r>
      <w:r w:rsidRPr="00BB6220">
        <w:rPr>
          <w:rFonts w:ascii="Calibri" w:hAnsi="Calibri" w:cs="Calibri"/>
          <w:lang w:eastAsia="en-NZ"/>
        </w:rPr>
        <w:t>everyone</w:t>
      </w:r>
      <w:r w:rsidR="003D640C">
        <w:rPr>
          <w:rFonts w:ascii="Calibri" w:hAnsi="Calibri" w:cs="Calibri"/>
          <w:lang w:eastAsia="en-NZ"/>
        </w:rPr>
        <w:t xml:space="preserve"> </w:t>
      </w:r>
      <w:r w:rsidRPr="00BB6220">
        <w:rPr>
          <w:rFonts w:ascii="Calibri" w:hAnsi="Calibri" w:cs="Calibri"/>
          <w:lang w:eastAsia="en-NZ"/>
        </w:rPr>
        <w:t>around</w:t>
      </w:r>
      <w:r w:rsidR="003D640C">
        <w:rPr>
          <w:rFonts w:ascii="Calibri" w:hAnsi="Calibri" w:cs="Calibri"/>
          <w:lang w:eastAsia="en-NZ"/>
        </w:rPr>
        <w:t xml:space="preserve"> </w:t>
      </w:r>
      <w:r w:rsidRPr="00BB6220">
        <w:rPr>
          <w:rFonts w:ascii="Calibri" w:hAnsi="Calibri" w:cs="Calibri"/>
          <w:lang w:eastAsia="en-NZ"/>
        </w:rPr>
        <w:t>them.</w:t>
      </w:r>
    </w:p>
    <w:p w14:paraId="05491D33" w14:textId="0B848F2A" w:rsidR="00501068" w:rsidRDefault="00C044A8" w:rsidP="00D11C1F">
      <w:pPr>
        <w:pStyle w:val="ListParagraph"/>
        <w:numPr>
          <w:ilvl w:val="0"/>
          <w:numId w:val="117"/>
        </w:numPr>
        <w:rPr>
          <w:rFonts w:ascii="Calibri" w:hAnsi="Calibri" w:cs="Calibri"/>
          <w:lang w:eastAsia="en-NZ"/>
        </w:rPr>
      </w:pPr>
      <w:r w:rsidRPr="00BB6220">
        <w:rPr>
          <w:rFonts w:ascii="Calibri" w:hAnsi="Calibri" w:cs="Calibri"/>
          <w:b/>
          <w:bCs/>
          <w:lang w:eastAsia="en-NZ"/>
        </w:rPr>
        <w:t>Empower</w:t>
      </w:r>
      <w:r w:rsidR="003D640C">
        <w:rPr>
          <w:rFonts w:ascii="Calibri" w:hAnsi="Calibri" w:cs="Calibri"/>
          <w:b/>
          <w:bCs/>
          <w:lang w:eastAsia="en-NZ"/>
        </w:rPr>
        <w:t xml:space="preserve"> </w:t>
      </w:r>
      <w:r w:rsidR="004579B0" w:rsidRPr="00BB6220">
        <w:rPr>
          <w:rFonts w:ascii="Calibri" w:hAnsi="Calibri" w:cs="Calibri"/>
          <w:b/>
          <w:bCs/>
          <w:lang w:eastAsia="en-NZ"/>
        </w:rPr>
        <w:t>Rainbow</w:t>
      </w:r>
      <w:r w:rsidR="003D640C">
        <w:rPr>
          <w:rFonts w:ascii="Calibri" w:hAnsi="Calibri" w:cs="Calibri"/>
          <w:b/>
          <w:bCs/>
          <w:lang w:eastAsia="en-NZ"/>
        </w:rPr>
        <w:t xml:space="preserve"> </w:t>
      </w:r>
      <w:r w:rsidRPr="00BB6220">
        <w:rPr>
          <w:rFonts w:ascii="Calibri" w:hAnsi="Calibri" w:cs="Calibri"/>
          <w:b/>
          <w:bCs/>
          <w:lang w:eastAsia="en-NZ"/>
        </w:rPr>
        <w:t>organisations</w:t>
      </w:r>
      <w:r w:rsidR="000D7651">
        <w:rPr>
          <w:rFonts w:ascii="Calibri" w:hAnsi="Calibri" w:cs="Calibri"/>
          <w:lang w:eastAsia="en-NZ"/>
        </w:rPr>
        <w:br/>
      </w:r>
      <w:r w:rsidRPr="00BB6220">
        <w:rPr>
          <w:rFonts w:ascii="Calibri" w:hAnsi="Calibri" w:cs="Calibri"/>
          <w:lang w:eastAsia="en-NZ"/>
        </w:rPr>
        <w:t>Adequate</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appropriate</w:t>
      </w:r>
      <w:r w:rsidR="003D640C">
        <w:rPr>
          <w:rFonts w:ascii="Calibri" w:hAnsi="Calibri" w:cs="Calibri"/>
          <w:lang w:eastAsia="en-NZ"/>
        </w:rPr>
        <w:t xml:space="preserve"> </w:t>
      </w:r>
      <w:r w:rsidRPr="00BB6220">
        <w:rPr>
          <w:rFonts w:ascii="Calibri" w:hAnsi="Calibri" w:cs="Calibri"/>
          <w:lang w:eastAsia="en-NZ"/>
        </w:rPr>
        <w:t>funding</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Pr="00BB6220">
        <w:rPr>
          <w:rFonts w:ascii="Calibri" w:hAnsi="Calibri" w:cs="Calibri"/>
          <w:lang w:eastAsia="en-NZ"/>
        </w:rPr>
        <w:t>needed</w:t>
      </w:r>
      <w:r w:rsidR="003D640C">
        <w:rPr>
          <w:rFonts w:ascii="Calibri" w:hAnsi="Calibri" w:cs="Calibri"/>
          <w:lang w:eastAsia="en-NZ"/>
        </w:rPr>
        <w:t xml:space="preserve"> </w:t>
      </w:r>
      <w:r w:rsidRPr="000D7651">
        <w:rPr>
          <w:rFonts w:ascii="Calibri" w:hAnsi="Calibri" w:cs="Calibri"/>
          <w:lang w:eastAsia="en-NZ"/>
        </w:rPr>
        <w:t>for</w:t>
      </w:r>
      <w:r w:rsidR="003D640C" w:rsidRPr="000D7651">
        <w:rPr>
          <w:rFonts w:ascii="Calibri" w:hAnsi="Calibri" w:cs="Calibri"/>
          <w:lang w:eastAsia="en-NZ"/>
        </w:rPr>
        <w:t xml:space="preserve"> </w:t>
      </w:r>
      <w:r w:rsidRPr="005B33A1">
        <w:rPr>
          <w:rFonts w:ascii="Calibri" w:hAnsi="Calibri" w:cs="Calibri"/>
          <w:lang w:eastAsia="en-NZ"/>
        </w:rPr>
        <w:t>organisations</w:t>
      </w:r>
      <w:r w:rsidR="003D640C" w:rsidRPr="000D7651">
        <w:rPr>
          <w:rFonts w:ascii="Calibri" w:hAnsi="Calibri" w:cs="Calibri"/>
          <w:lang w:eastAsia="en-NZ"/>
        </w:rPr>
        <w:t xml:space="preserve"> </w:t>
      </w:r>
      <w:r w:rsidRPr="000D7651">
        <w:rPr>
          <w:rFonts w:ascii="Calibri" w:hAnsi="Calibri" w:cs="Calibri"/>
          <w:lang w:eastAsia="en-NZ"/>
        </w:rPr>
        <w:t>and</w:t>
      </w:r>
      <w:r w:rsidR="003D640C" w:rsidRPr="000D7651">
        <w:rPr>
          <w:rFonts w:ascii="Calibri" w:hAnsi="Calibri" w:cs="Calibri"/>
          <w:lang w:eastAsia="en-NZ"/>
        </w:rPr>
        <w:t xml:space="preserve"> </w:t>
      </w:r>
      <w:r w:rsidRPr="000D7651">
        <w:rPr>
          <w:rFonts w:ascii="Calibri" w:hAnsi="Calibri" w:cs="Calibri"/>
          <w:lang w:eastAsia="en-NZ"/>
        </w:rPr>
        <w:t>initiativ</w:t>
      </w:r>
      <w:r w:rsidRPr="00BB6220">
        <w:rPr>
          <w:rFonts w:ascii="Calibri" w:hAnsi="Calibri" w:cs="Calibri"/>
          <w:lang w:eastAsia="en-NZ"/>
        </w:rPr>
        <w:t>es</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empower</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communities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advocate</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Pr="00BB6220">
        <w:rPr>
          <w:rFonts w:ascii="Calibri" w:hAnsi="Calibri" w:cs="Calibri"/>
          <w:lang w:eastAsia="en-NZ"/>
        </w:rPr>
        <w:t>their</w:t>
      </w:r>
      <w:r w:rsidR="003D640C">
        <w:rPr>
          <w:rFonts w:ascii="Calibri" w:hAnsi="Calibri" w:cs="Calibri"/>
          <w:lang w:eastAsia="en-NZ"/>
        </w:rPr>
        <w:t xml:space="preserve"> </w:t>
      </w:r>
      <w:r w:rsidRPr="00BB6220">
        <w:rPr>
          <w:rFonts w:ascii="Calibri" w:hAnsi="Calibri" w:cs="Calibri"/>
          <w:lang w:eastAsia="en-NZ"/>
        </w:rPr>
        <w:t>rights,</w:t>
      </w:r>
      <w:r w:rsidR="003D640C">
        <w:rPr>
          <w:rFonts w:ascii="Calibri" w:hAnsi="Calibri" w:cs="Calibri"/>
          <w:lang w:eastAsia="en-NZ"/>
        </w:rPr>
        <w:t xml:space="preserve"> </w:t>
      </w:r>
      <w:r w:rsidRPr="00BB6220">
        <w:rPr>
          <w:rFonts w:ascii="Calibri" w:hAnsi="Calibri" w:cs="Calibri"/>
          <w:lang w:eastAsia="en-NZ"/>
        </w:rPr>
        <w:t>raise</w:t>
      </w:r>
      <w:r w:rsidR="003D640C">
        <w:rPr>
          <w:rFonts w:ascii="Calibri" w:hAnsi="Calibri" w:cs="Calibri"/>
          <w:lang w:eastAsia="en-NZ"/>
        </w:rPr>
        <w:t xml:space="preserve"> </w:t>
      </w:r>
      <w:r w:rsidRPr="00BB6220">
        <w:rPr>
          <w:rFonts w:ascii="Calibri" w:hAnsi="Calibri" w:cs="Calibri"/>
          <w:lang w:eastAsia="en-NZ"/>
        </w:rPr>
        <w:t>awareness</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harms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008E4A01">
        <w:rPr>
          <w:rFonts w:ascii="Calibri" w:hAnsi="Calibri" w:cs="Calibri"/>
          <w:lang w:eastAsia="en-NZ"/>
        </w:rPr>
        <w:t>practices</w:t>
      </w:r>
      <w:r w:rsidRPr="00BB6220">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provide</w:t>
      </w:r>
      <w:r w:rsidR="003D640C">
        <w:rPr>
          <w:rFonts w:ascii="Calibri" w:hAnsi="Calibri" w:cs="Calibri"/>
          <w:lang w:eastAsia="en-NZ"/>
        </w:rPr>
        <w:t xml:space="preserve"> </w:t>
      </w:r>
      <w:r w:rsidRPr="00BB6220">
        <w:rPr>
          <w:rFonts w:ascii="Calibri" w:hAnsi="Calibri" w:cs="Calibri"/>
          <w:lang w:eastAsia="en-NZ"/>
        </w:rPr>
        <w:t>support</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communities</w:t>
      </w:r>
      <w:r w:rsidR="003D640C">
        <w:rPr>
          <w:rFonts w:ascii="Calibri" w:hAnsi="Calibri" w:cs="Calibri"/>
          <w:lang w:eastAsia="en-NZ"/>
        </w:rPr>
        <w:t xml:space="preserve"> </w:t>
      </w:r>
      <w:r w:rsidRPr="00BB6220">
        <w:rPr>
          <w:rFonts w:ascii="Calibri" w:hAnsi="Calibri" w:cs="Calibri"/>
          <w:lang w:eastAsia="en-NZ"/>
        </w:rPr>
        <w:t>need</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involved</w:t>
      </w:r>
      <w:r w:rsidR="003D640C">
        <w:rPr>
          <w:rFonts w:ascii="Calibri" w:hAnsi="Calibri" w:cs="Calibri"/>
          <w:lang w:eastAsia="en-NZ"/>
        </w:rPr>
        <w:t xml:space="preserve"> </w:t>
      </w:r>
      <w:r w:rsidRPr="00BB6220">
        <w:rPr>
          <w:rFonts w:ascii="Calibri" w:hAnsi="Calibri" w:cs="Calibri"/>
          <w:lang w:eastAsia="en-NZ"/>
        </w:rPr>
        <w:t>early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authentically</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policy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decision</w:t>
      </w:r>
      <w:r w:rsidR="000D7651">
        <w:rPr>
          <w:rFonts w:ascii="Calibri" w:hAnsi="Calibri" w:cs="Calibri"/>
          <w:lang w:eastAsia="en-NZ"/>
        </w:rPr>
        <w:t xml:space="preserve"> </w:t>
      </w:r>
      <w:r w:rsidRPr="00BB6220">
        <w:rPr>
          <w:rFonts w:ascii="Calibri" w:hAnsi="Calibri" w:cs="Calibri"/>
          <w:lang w:eastAsia="en-NZ"/>
        </w:rPr>
        <w:t>making.</w:t>
      </w:r>
      <w:r w:rsidR="003D640C">
        <w:rPr>
          <w:rFonts w:ascii="Calibri" w:hAnsi="Calibri" w:cs="Calibri"/>
          <w:lang w:eastAsia="en-NZ"/>
        </w:rPr>
        <w:t xml:space="preserve"> </w:t>
      </w:r>
    </w:p>
    <w:p w14:paraId="3B1DCBDB" w14:textId="77777777" w:rsidR="00501068" w:rsidRDefault="00923643" w:rsidP="009B737E">
      <w:pPr>
        <w:rPr>
          <w:lang w:eastAsia="en-NZ"/>
        </w:rPr>
      </w:pPr>
      <w:r w:rsidRPr="00BB6220">
        <w:rPr>
          <w:lang w:eastAsia="en-NZ"/>
        </w:rPr>
        <w:t>In</w:t>
      </w:r>
      <w:r w:rsidR="003D640C">
        <w:rPr>
          <w:lang w:eastAsia="en-NZ"/>
        </w:rPr>
        <w:t xml:space="preserve"> </w:t>
      </w:r>
      <w:r w:rsidRPr="00BB6220">
        <w:rPr>
          <w:lang w:eastAsia="en-NZ"/>
        </w:rPr>
        <w:t>addition,</w:t>
      </w:r>
      <w:r w:rsidR="003D640C">
        <w:rPr>
          <w:lang w:eastAsia="en-NZ"/>
        </w:rPr>
        <w:t xml:space="preserve"> </w:t>
      </w:r>
      <w:r w:rsidR="00C72CE8" w:rsidRPr="00BB6220">
        <w:rPr>
          <w:lang w:eastAsia="en-NZ"/>
        </w:rPr>
        <w:t>it</w:t>
      </w:r>
      <w:r w:rsidR="003D640C">
        <w:rPr>
          <w:lang w:eastAsia="en-NZ"/>
        </w:rPr>
        <w:t xml:space="preserve"> </w:t>
      </w:r>
      <w:r w:rsidR="00C72CE8" w:rsidRPr="00BB6220">
        <w:rPr>
          <w:lang w:eastAsia="en-NZ"/>
        </w:rPr>
        <w:t>is</w:t>
      </w:r>
      <w:r w:rsidR="003D640C">
        <w:rPr>
          <w:lang w:eastAsia="en-NZ"/>
        </w:rPr>
        <w:t xml:space="preserve"> </w:t>
      </w:r>
      <w:r w:rsidR="00C72CE8" w:rsidRPr="00BB6220">
        <w:rPr>
          <w:lang w:eastAsia="en-NZ"/>
        </w:rPr>
        <w:t>the</w:t>
      </w:r>
      <w:r w:rsidR="003D640C">
        <w:rPr>
          <w:lang w:eastAsia="en-NZ"/>
        </w:rPr>
        <w:t xml:space="preserve"> </w:t>
      </w:r>
      <w:r w:rsidR="00C72CE8" w:rsidRPr="00BB6220">
        <w:rPr>
          <w:lang w:eastAsia="en-NZ"/>
        </w:rPr>
        <w:t>Commission’s</w:t>
      </w:r>
      <w:r w:rsidR="003D640C">
        <w:rPr>
          <w:lang w:eastAsia="en-NZ"/>
        </w:rPr>
        <w:t xml:space="preserve"> </w:t>
      </w:r>
      <w:r w:rsidR="00C72CE8" w:rsidRPr="00BB6220">
        <w:rPr>
          <w:lang w:eastAsia="en-NZ"/>
        </w:rPr>
        <w:t>view</w:t>
      </w:r>
      <w:r w:rsidR="004579B0" w:rsidRPr="00BB6220">
        <w:rPr>
          <w:lang w:eastAsia="en-NZ"/>
        </w:rPr>
        <w:t>,</w:t>
      </w:r>
      <w:r w:rsidR="003D640C">
        <w:rPr>
          <w:lang w:eastAsia="en-NZ"/>
        </w:rPr>
        <w:t xml:space="preserve"> </w:t>
      </w:r>
      <w:r w:rsidR="00E35659" w:rsidRPr="00BB6220">
        <w:rPr>
          <w:lang w:eastAsia="en-NZ"/>
        </w:rPr>
        <w:t>based</w:t>
      </w:r>
      <w:r w:rsidR="003D640C">
        <w:rPr>
          <w:lang w:eastAsia="en-NZ"/>
        </w:rPr>
        <w:t xml:space="preserve"> </w:t>
      </w:r>
      <w:r w:rsidR="00E35659" w:rsidRPr="00BB6220">
        <w:rPr>
          <w:lang w:eastAsia="en-NZ"/>
        </w:rPr>
        <w:t>on</w:t>
      </w:r>
      <w:r w:rsidR="003D640C">
        <w:rPr>
          <w:lang w:eastAsia="en-NZ"/>
        </w:rPr>
        <w:t xml:space="preserve"> </w:t>
      </w:r>
      <w:r w:rsidR="00C72CE8" w:rsidRPr="00BB6220">
        <w:rPr>
          <w:lang w:eastAsia="en-NZ"/>
        </w:rPr>
        <w:t>our</w:t>
      </w:r>
      <w:r w:rsidR="003D640C">
        <w:rPr>
          <w:lang w:eastAsia="en-NZ"/>
        </w:rPr>
        <w:t xml:space="preserve"> </w:t>
      </w:r>
      <w:r w:rsidR="00E35659" w:rsidRPr="00BB6220">
        <w:rPr>
          <w:lang w:eastAsia="en-NZ"/>
        </w:rPr>
        <w:t>engagement</w:t>
      </w:r>
      <w:r w:rsidR="003D640C">
        <w:rPr>
          <w:lang w:eastAsia="en-NZ"/>
        </w:rPr>
        <w:t xml:space="preserve"> </w:t>
      </w:r>
      <w:r w:rsidR="00E35659" w:rsidRPr="00BB6220">
        <w:rPr>
          <w:lang w:eastAsia="en-NZ"/>
        </w:rPr>
        <w:t>with</w:t>
      </w:r>
      <w:r w:rsidR="003D640C">
        <w:rPr>
          <w:lang w:eastAsia="en-NZ"/>
        </w:rPr>
        <w:t xml:space="preserve"> </w:t>
      </w:r>
      <w:r w:rsidR="00E35659" w:rsidRPr="00BB6220">
        <w:rPr>
          <w:lang w:eastAsia="en-NZ"/>
        </w:rPr>
        <w:t>survivors</w:t>
      </w:r>
      <w:r w:rsidR="003D640C">
        <w:rPr>
          <w:lang w:eastAsia="en-NZ"/>
        </w:rPr>
        <w:t xml:space="preserve"> </w:t>
      </w:r>
      <w:r w:rsidR="00E35659" w:rsidRPr="00BB6220">
        <w:rPr>
          <w:lang w:eastAsia="en-NZ"/>
        </w:rPr>
        <w:t>and</w:t>
      </w:r>
      <w:r w:rsidR="003D640C">
        <w:rPr>
          <w:lang w:eastAsia="en-NZ"/>
        </w:rPr>
        <w:t xml:space="preserve"> </w:t>
      </w:r>
      <w:r w:rsidR="00E35659" w:rsidRPr="00BB6220">
        <w:rPr>
          <w:lang w:eastAsia="en-NZ"/>
        </w:rPr>
        <w:t>other</w:t>
      </w:r>
      <w:r w:rsidR="003D640C">
        <w:rPr>
          <w:lang w:eastAsia="en-NZ"/>
        </w:rPr>
        <w:t xml:space="preserve"> </w:t>
      </w:r>
      <w:r w:rsidR="00E35659" w:rsidRPr="00BB6220">
        <w:rPr>
          <w:lang w:eastAsia="en-NZ"/>
        </w:rPr>
        <w:t>stakeholders,</w:t>
      </w:r>
      <w:r w:rsidR="003D640C">
        <w:rPr>
          <w:lang w:eastAsia="en-NZ"/>
        </w:rPr>
        <w:t xml:space="preserve"> </w:t>
      </w:r>
      <w:r w:rsidR="00E35659" w:rsidRPr="00BB6220">
        <w:rPr>
          <w:lang w:eastAsia="en-NZ"/>
        </w:rPr>
        <w:t>that</w:t>
      </w:r>
      <w:r w:rsidR="003D640C">
        <w:rPr>
          <w:lang w:eastAsia="en-NZ"/>
        </w:rPr>
        <w:t xml:space="preserve"> </w:t>
      </w:r>
      <w:r w:rsidR="00E35659" w:rsidRPr="00BB6220">
        <w:rPr>
          <w:lang w:eastAsia="en-NZ"/>
        </w:rPr>
        <w:t>the</w:t>
      </w:r>
      <w:r w:rsidR="003D640C">
        <w:rPr>
          <w:lang w:eastAsia="en-NZ"/>
        </w:rPr>
        <w:t xml:space="preserve"> </w:t>
      </w:r>
      <w:r w:rsidR="00E35659" w:rsidRPr="00BB6220">
        <w:rPr>
          <w:lang w:eastAsia="en-NZ"/>
        </w:rPr>
        <w:t>following</w:t>
      </w:r>
      <w:r w:rsidR="003D640C">
        <w:rPr>
          <w:lang w:eastAsia="en-NZ"/>
        </w:rPr>
        <w:t xml:space="preserve"> </w:t>
      </w:r>
      <w:r w:rsidR="00E35659" w:rsidRPr="00BB6220">
        <w:rPr>
          <w:lang w:eastAsia="en-NZ"/>
        </w:rPr>
        <w:t>two</w:t>
      </w:r>
      <w:r w:rsidR="003D640C">
        <w:rPr>
          <w:lang w:eastAsia="en-NZ"/>
        </w:rPr>
        <w:t xml:space="preserve"> </w:t>
      </w:r>
      <w:r w:rsidR="00E35659" w:rsidRPr="00BB6220">
        <w:rPr>
          <w:lang w:eastAsia="en-NZ"/>
        </w:rPr>
        <w:t>recommendations</w:t>
      </w:r>
      <w:r w:rsidR="003D640C">
        <w:rPr>
          <w:lang w:eastAsia="en-NZ"/>
        </w:rPr>
        <w:t xml:space="preserve"> </w:t>
      </w:r>
      <w:r w:rsidR="00640AE2" w:rsidRPr="00BB6220">
        <w:rPr>
          <w:lang w:eastAsia="en-NZ"/>
        </w:rPr>
        <w:t>can</w:t>
      </w:r>
      <w:r w:rsidR="003D640C">
        <w:rPr>
          <w:lang w:eastAsia="en-NZ"/>
        </w:rPr>
        <w:t xml:space="preserve"> </w:t>
      </w:r>
      <w:r w:rsidR="00454B09" w:rsidRPr="00BB6220">
        <w:rPr>
          <w:lang w:eastAsia="en-NZ"/>
        </w:rPr>
        <w:t>help</w:t>
      </w:r>
      <w:r w:rsidR="003D640C">
        <w:rPr>
          <w:lang w:eastAsia="en-NZ"/>
        </w:rPr>
        <w:t xml:space="preserve"> </w:t>
      </w:r>
      <w:r w:rsidR="00454B09" w:rsidRPr="00BB6220">
        <w:rPr>
          <w:lang w:eastAsia="en-NZ"/>
        </w:rPr>
        <w:t>mitigate</w:t>
      </w:r>
      <w:r w:rsidR="003D640C">
        <w:rPr>
          <w:lang w:eastAsia="en-NZ"/>
        </w:rPr>
        <w:t xml:space="preserve"> </w:t>
      </w:r>
      <w:r w:rsidR="00454B09" w:rsidRPr="00BB6220">
        <w:rPr>
          <w:lang w:eastAsia="en-NZ"/>
        </w:rPr>
        <w:t>against</w:t>
      </w:r>
      <w:r w:rsidR="003D640C">
        <w:rPr>
          <w:lang w:eastAsia="en-NZ"/>
        </w:rPr>
        <w:t xml:space="preserve"> </w:t>
      </w:r>
      <w:r w:rsidR="00454B09" w:rsidRPr="00BB6220">
        <w:rPr>
          <w:lang w:eastAsia="en-NZ"/>
        </w:rPr>
        <w:t>the</w:t>
      </w:r>
      <w:r w:rsidR="003D640C">
        <w:rPr>
          <w:lang w:eastAsia="en-NZ"/>
        </w:rPr>
        <w:t xml:space="preserve"> </w:t>
      </w:r>
      <w:r w:rsidR="00640AE2" w:rsidRPr="00BB6220">
        <w:rPr>
          <w:lang w:eastAsia="en-NZ"/>
        </w:rPr>
        <w:t>multiple</w:t>
      </w:r>
      <w:r w:rsidR="003D640C">
        <w:rPr>
          <w:lang w:eastAsia="en-NZ"/>
        </w:rPr>
        <w:t xml:space="preserve"> </w:t>
      </w:r>
      <w:r w:rsidR="00640AE2" w:rsidRPr="00BB6220">
        <w:rPr>
          <w:lang w:eastAsia="en-NZ"/>
        </w:rPr>
        <w:t>varying</w:t>
      </w:r>
      <w:r w:rsidR="003D640C">
        <w:rPr>
          <w:lang w:eastAsia="en-NZ"/>
        </w:rPr>
        <w:t xml:space="preserve"> </w:t>
      </w:r>
      <w:r w:rsidR="00454B09" w:rsidRPr="00BB6220">
        <w:rPr>
          <w:lang w:eastAsia="en-NZ"/>
        </w:rPr>
        <w:t>conditions</w:t>
      </w:r>
      <w:r w:rsidR="003D640C">
        <w:rPr>
          <w:lang w:eastAsia="en-NZ"/>
        </w:rPr>
        <w:t xml:space="preserve"> </w:t>
      </w:r>
      <w:r w:rsidR="00454B09" w:rsidRPr="00BB6220">
        <w:rPr>
          <w:lang w:eastAsia="en-NZ"/>
        </w:rPr>
        <w:t>that</w:t>
      </w:r>
      <w:r w:rsidR="003D640C">
        <w:rPr>
          <w:lang w:eastAsia="en-NZ"/>
        </w:rPr>
        <w:t xml:space="preserve"> </w:t>
      </w:r>
      <w:r w:rsidR="00454B09" w:rsidRPr="00BB6220">
        <w:rPr>
          <w:lang w:eastAsia="en-NZ"/>
        </w:rPr>
        <w:t>lead</w:t>
      </w:r>
      <w:r w:rsidR="003D640C">
        <w:rPr>
          <w:lang w:eastAsia="en-NZ"/>
        </w:rPr>
        <w:t xml:space="preserve"> </w:t>
      </w:r>
      <w:r w:rsidR="00454B09" w:rsidRPr="00BB6220">
        <w:rPr>
          <w:lang w:eastAsia="en-NZ"/>
        </w:rPr>
        <w:t>to</w:t>
      </w:r>
      <w:r w:rsidR="003D640C">
        <w:rPr>
          <w:lang w:eastAsia="en-NZ"/>
        </w:rPr>
        <w:t xml:space="preserve"> </w:t>
      </w:r>
      <w:r w:rsidR="00454B09" w:rsidRPr="00BB6220">
        <w:rPr>
          <w:lang w:eastAsia="en-NZ"/>
        </w:rPr>
        <w:t>conversion</w:t>
      </w:r>
      <w:r w:rsidR="003D640C">
        <w:rPr>
          <w:lang w:eastAsia="en-NZ"/>
        </w:rPr>
        <w:t xml:space="preserve"> </w:t>
      </w:r>
      <w:r w:rsidR="00454B09" w:rsidRPr="00BB6220">
        <w:rPr>
          <w:lang w:eastAsia="en-NZ"/>
        </w:rPr>
        <w:t>practices</w:t>
      </w:r>
      <w:r w:rsidR="003D640C">
        <w:rPr>
          <w:lang w:eastAsia="en-NZ"/>
        </w:rPr>
        <w:t xml:space="preserve"> </w:t>
      </w:r>
      <w:r w:rsidR="004F0190" w:rsidRPr="00BB6220">
        <w:rPr>
          <w:lang w:eastAsia="en-NZ"/>
        </w:rPr>
        <w:t>in</w:t>
      </w:r>
      <w:r w:rsidR="003D640C">
        <w:rPr>
          <w:lang w:eastAsia="en-NZ"/>
        </w:rPr>
        <w:t xml:space="preserve"> </w:t>
      </w:r>
      <w:r w:rsidR="004F0190" w:rsidRPr="00BB6220">
        <w:rPr>
          <w:lang w:eastAsia="en-NZ"/>
        </w:rPr>
        <w:t>the</w:t>
      </w:r>
      <w:r w:rsidR="003D640C">
        <w:rPr>
          <w:lang w:eastAsia="en-NZ"/>
        </w:rPr>
        <w:t xml:space="preserve"> </w:t>
      </w:r>
      <w:r w:rsidR="004F0190" w:rsidRPr="00BB6220">
        <w:rPr>
          <w:lang w:eastAsia="en-NZ"/>
        </w:rPr>
        <w:t>first</w:t>
      </w:r>
      <w:r w:rsidR="003D640C">
        <w:rPr>
          <w:lang w:eastAsia="en-NZ"/>
        </w:rPr>
        <w:t xml:space="preserve"> </w:t>
      </w:r>
      <w:r w:rsidR="004F0190" w:rsidRPr="00BB6220">
        <w:rPr>
          <w:lang w:eastAsia="en-NZ"/>
        </w:rPr>
        <w:t>place.</w:t>
      </w:r>
      <w:r w:rsidR="003D640C">
        <w:rPr>
          <w:lang w:eastAsia="en-NZ"/>
        </w:rPr>
        <w:t xml:space="preserve"> </w:t>
      </w:r>
      <w:r w:rsidR="004F0190" w:rsidRPr="00BB6220">
        <w:rPr>
          <w:lang w:eastAsia="en-NZ"/>
        </w:rPr>
        <w:t>It</w:t>
      </w:r>
      <w:r w:rsidR="003D640C">
        <w:rPr>
          <w:lang w:eastAsia="en-NZ"/>
        </w:rPr>
        <w:t xml:space="preserve"> </w:t>
      </w:r>
      <w:r w:rsidR="004F0190" w:rsidRPr="00BB6220">
        <w:rPr>
          <w:lang w:eastAsia="en-NZ"/>
        </w:rPr>
        <w:t>will</w:t>
      </w:r>
      <w:r w:rsidR="003D640C">
        <w:rPr>
          <w:lang w:eastAsia="en-NZ"/>
        </w:rPr>
        <w:t xml:space="preserve"> </w:t>
      </w:r>
      <w:r w:rsidR="004F0190" w:rsidRPr="00BB6220">
        <w:rPr>
          <w:lang w:eastAsia="en-NZ"/>
        </w:rPr>
        <w:t>also</w:t>
      </w:r>
      <w:r w:rsidR="003D640C">
        <w:rPr>
          <w:lang w:eastAsia="en-NZ"/>
        </w:rPr>
        <w:t xml:space="preserve"> </w:t>
      </w:r>
      <w:r w:rsidR="00150F78" w:rsidRPr="00BB6220">
        <w:rPr>
          <w:lang w:eastAsia="en-NZ"/>
        </w:rPr>
        <w:t>help</w:t>
      </w:r>
      <w:r w:rsidR="003D640C">
        <w:rPr>
          <w:lang w:eastAsia="en-NZ"/>
        </w:rPr>
        <w:t xml:space="preserve"> </w:t>
      </w:r>
      <w:r w:rsidR="004F0190" w:rsidRPr="00BB6220">
        <w:rPr>
          <w:lang w:eastAsia="en-NZ"/>
        </w:rPr>
        <w:t>ensure</w:t>
      </w:r>
      <w:r w:rsidR="003D640C">
        <w:rPr>
          <w:lang w:eastAsia="en-NZ"/>
        </w:rPr>
        <w:t xml:space="preserve"> </w:t>
      </w:r>
      <w:r w:rsidR="00454B09" w:rsidRPr="00BB6220">
        <w:rPr>
          <w:lang w:eastAsia="en-NZ"/>
        </w:rPr>
        <w:t>survivors</w:t>
      </w:r>
      <w:r w:rsidR="003D640C">
        <w:rPr>
          <w:lang w:eastAsia="en-NZ"/>
        </w:rPr>
        <w:t xml:space="preserve"> </w:t>
      </w:r>
      <w:r w:rsidR="004F0190" w:rsidRPr="00BB6220">
        <w:rPr>
          <w:lang w:eastAsia="en-NZ"/>
        </w:rPr>
        <w:t>are</w:t>
      </w:r>
      <w:r w:rsidR="003D640C">
        <w:rPr>
          <w:lang w:eastAsia="en-NZ"/>
        </w:rPr>
        <w:t xml:space="preserve"> </w:t>
      </w:r>
      <w:r w:rsidR="00454B09" w:rsidRPr="00BB6220">
        <w:rPr>
          <w:lang w:eastAsia="en-NZ"/>
        </w:rPr>
        <w:t>better</w:t>
      </w:r>
      <w:r w:rsidR="003D640C">
        <w:rPr>
          <w:lang w:eastAsia="en-NZ"/>
        </w:rPr>
        <w:t xml:space="preserve"> </w:t>
      </w:r>
      <w:r w:rsidR="00454B09" w:rsidRPr="00BB6220">
        <w:rPr>
          <w:lang w:eastAsia="en-NZ"/>
        </w:rPr>
        <w:t>understood</w:t>
      </w:r>
      <w:r w:rsidR="003D640C">
        <w:rPr>
          <w:lang w:eastAsia="en-NZ"/>
        </w:rPr>
        <w:t xml:space="preserve"> </w:t>
      </w:r>
      <w:r w:rsidR="00D452D3" w:rsidRPr="00BB6220">
        <w:rPr>
          <w:lang w:eastAsia="en-NZ"/>
        </w:rPr>
        <w:t>and</w:t>
      </w:r>
      <w:r w:rsidR="003D640C">
        <w:rPr>
          <w:lang w:eastAsia="en-NZ"/>
        </w:rPr>
        <w:t xml:space="preserve"> </w:t>
      </w:r>
      <w:r w:rsidR="00D452D3" w:rsidRPr="00BB6220">
        <w:rPr>
          <w:lang w:eastAsia="en-NZ"/>
        </w:rPr>
        <w:t>supported.</w:t>
      </w:r>
    </w:p>
    <w:p w14:paraId="1CACA705" w14:textId="2DFCA7E9" w:rsidR="00501068" w:rsidRDefault="00C044A8" w:rsidP="00D11C1F">
      <w:pPr>
        <w:pStyle w:val="ListParagraph"/>
        <w:numPr>
          <w:ilvl w:val="0"/>
          <w:numId w:val="117"/>
        </w:numPr>
        <w:rPr>
          <w:rFonts w:ascii="Calibri" w:hAnsi="Calibri" w:cs="Calibri"/>
          <w:lang w:eastAsia="en-NZ"/>
        </w:rPr>
      </w:pPr>
      <w:r w:rsidRPr="00BB6220">
        <w:rPr>
          <w:rFonts w:ascii="Calibri" w:hAnsi="Calibri" w:cs="Calibri"/>
          <w:b/>
          <w:bCs/>
          <w:lang w:eastAsia="en-NZ"/>
        </w:rPr>
        <w:t>Improve</w:t>
      </w:r>
      <w:r w:rsidR="003D640C">
        <w:rPr>
          <w:rFonts w:ascii="Calibri" w:hAnsi="Calibri" w:cs="Calibri"/>
          <w:b/>
          <w:bCs/>
          <w:lang w:eastAsia="en-NZ"/>
        </w:rPr>
        <w:t xml:space="preserve"> </w:t>
      </w:r>
      <w:r w:rsidRPr="00BB6220">
        <w:rPr>
          <w:rFonts w:ascii="Calibri" w:hAnsi="Calibri" w:cs="Calibri"/>
          <w:b/>
          <w:bCs/>
          <w:lang w:eastAsia="en-NZ"/>
        </w:rPr>
        <w:t>consistent</w:t>
      </w:r>
      <w:r w:rsidR="003D640C">
        <w:rPr>
          <w:rFonts w:ascii="Calibri" w:hAnsi="Calibri" w:cs="Calibri"/>
          <w:b/>
          <w:bCs/>
          <w:lang w:eastAsia="en-NZ"/>
        </w:rPr>
        <w:t xml:space="preserve"> </w:t>
      </w:r>
      <w:r w:rsidRPr="00BB6220">
        <w:rPr>
          <w:rFonts w:ascii="Calibri" w:hAnsi="Calibri" w:cs="Calibri"/>
          <w:b/>
          <w:bCs/>
          <w:lang w:eastAsia="en-NZ"/>
        </w:rPr>
        <w:t>access</w:t>
      </w:r>
      <w:r w:rsidR="003D640C">
        <w:rPr>
          <w:rFonts w:ascii="Calibri" w:hAnsi="Calibri" w:cs="Calibri"/>
          <w:b/>
          <w:bCs/>
          <w:lang w:eastAsia="en-NZ"/>
        </w:rPr>
        <w:t xml:space="preserve"> </w:t>
      </w:r>
      <w:r w:rsidRPr="00BB6220">
        <w:rPr>
          <w:rFonts w:ascii="Calibri" w:hAnsi="Calibri" w:cs="Calibri"/>
          <w:b/>
          <w:bCs/>
          <w:lang w:eastAsia="en-NZ"/>
        </w:rPr>
        <w:t>to</w:t>
      </w:r>
      <w:r w:rsidR="003D640C">
        <w:rPr>
          <w:rFonts w:ascii="Calibri" w:hAnsi="Calibri" w:cs="Calibri"/>
          <w:b/>
          <w:bCs/>
          <w:lang w:eastAsia="en-NZ"/>
        </w:rPr>
        <w:t xml:space="preserve"> </w:t>
      </w:r>
      <w:r w:rsidRPr="00BB6220">
        <w:rPr>
          <w:rFonts w:ascii="Calibri" w:hAnsi="Calibri" w:cs="Calibri"/>
          <w:b/>
          <w:bCs/>
          <w:lang w:eastAsia="en-NZ"/>
        </w:rPr>
        <w:t>robust</w:t>
      </w:r>
      <w:r w:rsidR="003D640C">
        <w:rPr>
          <w:rFonts w:ascii="Calibri" w:hAnsi="Calibri" w:cs="Calibri"/>
          <w:b/>
          <w:bCs/>
          <w:lang w:eastAsia="en-NZ"/>
        </w:rPr>
        <w:t xml:space="preserve"> </w:t>
      </w:r>
      <w:r w:rsidRPr="00BB6220">
        <w:rPr>
          <w:rFonts w:ascii="Calibri" w:hAnsi="Calibri" w:cs="Calibri"/>
          <w:b/>
          <w:bCs/>
          <w:lang w:eastAsia="en-NZ"/>
        </w:rPr>
        <w:t>relationships</w:t>
      </w:r>
      <w:r w:rsidR="003D640C">
        <w:rPr>
          <w:rFonts w:ascii="Calibri" w:hAnsi="Calibri" w:cs="Calibri"/>
          <w:b/>
          <w:bCs/>
          <w:lang w:eastAsia="en-NZ"/>
        </w:rPr>
        <w:t xml:space="preserve"> </w:t>
      </w:r>
      <w:r w:rsidRPr="00BB6220">
        <w:rPr>
          <w:rFonts w:ascii="Calibri" w:hAnsi="Calibri" w:cs="Calibri"/>
          <w:b/>
          <w:bCs/>
          <w:lang w:eastAsia="en-NZ"/>
        </w:rPr>
        <w:t>and</w:t>
      </w:r>
      <w:r w:rsidR="003D640C">
        <w:rPr>
          <w:rFonts w:ascii="Calibri" w:hAnsi="Calibri" w:cs="Calibri"/>
          <w:b/>
          <w:bCs/>
          <w:lang w:eastAsia="en-NZ"/>
        </w:rPr>
        <w:t xml:space="preserve"> </w:t>
      </w:r>
      <w:r w:rsidR="00404B18" w:rsidRPr="00BB6220">
        <w:rPr>
          <w:rFonts w:ascii="Calibri" w:hAnsi="Calibri" w:cs="Calibri"/>
          <w:b/>
          <w:bCs/>
          <w:lang w:eastAsia="en-NZ"/>
        </w:rPr>
        <w:t>sexual</w:t>
      </w:r>
      <w:r w:rsidR="008B7360">
        <w:rPr>
          <w:rFonts w:ascii="Calibri" w:hAnsi="Calibri" w:cs="Calibri"/>
          <w:b/>
          <w:bCs/>
          <w:lang w:eastAsia="en-NZ"/>
        </w:rPr>
        <w:t>ity</w:t>
      </w:r>
      <w:r w:rsidR="003D640C">
        <w:rPr>
          <w:rFonts w:ascii="Calibri" w:hAnsi="Calibri" w:cs="Calibri"/>
          <w:b/>
          <w:bCs/>
          <w:lang w:eastAsia="en-NZ"/>
        </w:rPr>
        <w:t xml:space="preserve"> </w:t>
      </w:r>
      <w:r w:rsidRPr="00BB6220">
        <w:rPr>
          <w:rFonts w:ascii="Calibri" w:hAnsi="Calibri" w:cs="Calibri"/>
          <w:b/>
          <w:bCs/>
          <w:lang w:eastAsia="en-NZ"/>
        </w:rPr>
        <w:t>education</w:t>
      </w:r>
      <w:r w:rsidR="000D7651">
        <w:rPr>
          <w:rFonts w:ascii="Calibri" w:hAnsi="Calibri" w:cs="Calibri"/>
          <w:lang w:eastAsia="en-NZ"/>
        </w:rPr>
        <w:br/>
      </w:r>
      <w:r w:rsidRPr="00BB6220">
        <w:rPr>
          <w:rFonts w:ascii="Calibri" w:hAnsi="Calibri" w:cs="Calibri"/>
          <w:lang w:eastAsia="en-NZ"/>
        </w:rPr>
        <w:t>We</w:t>
      </w:r>
      <w:r w:rsidR="003D640C">
        <w:rPr>
          <w:rFonts w:ascii="Calibri" w:hAnsi="Calibri" w:cs="Calibri"/>
          <w:lang w:eastAsia="en-NZ"/>
        </w:rPr>
        <w:t xml:space="preserve"> </w:t>
      </w:r>
      <w:r w:rsidRPr="00BB6220">
        <w:rPr>
          <w:rFonts w:ascii="Calibri" w:hAnsi="Calibri" w:cs="Calibri"/>
          <w:lang w:eastAsia="en-NZ"/>
        </w:rPr>
        <w:t>acknowledge</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national</w:t>
      </w:r>
      <w:r w:rsidR="003D640C">
        <w:rPr>
          <w:rFonts w:ascii="Calibri" w:hAnsi="Calibri" w:cs="Calibri"/>
          <w:lang w:eastAsia="en-NZ"/>
        </w:rPr>
        <w:t xml:space="preserve"> </w:t>
      </w:r>
      <w:r w:rsidRPr="00BB6220">
        <w:rPr>
          <w:rFonts w:ascii="Calibri" w:hAnsi="Calibri" w:cs="Calibri"/>
          <w:lang w:eastAsia="en-NZ"/>
        </w:rPr>
        <w:t>curriculum</w:t>
      </w:r>
      <w:r w:rsidR="003D640C">
        <w:rPr>
          <w:rFonts w:ascii="Calibri" w:hAnsi="Calibri" w:cs="Calibri"/>
          <w:lang w:eastAsia="en-NZ"/>
        </w:rPr>
        <w:t xml:space="preserve"> </w:t>
      </w:r>
      <w:r w:rsidRPr="00BB6220">
        <w:rPr>
          <w:rFonts w:ascii="Calibri" w:hAnsi="Calibri" w:cs="Calibri"/>
          <w:lang w:eastAsia="en-NZ"/>
        </w:rPr>
        <w:t>currently</w:t>
      </w:r>
      <w:r w:rsidR="003D640C">
        <w:rPr>
          <w:rFonts w:ascii="Calibri" w:hAnsi="Calibri" w:cs="Calibri"/>
          <w:lang w:eastAsia="en-NZ"/>
        </w:rPr>
        <w:t xml:space="preserve"> </w:t>
      </w:r>
      <w:r w:rsidRPr="00BB6220">
        <w:rPr>
          <w:rFonts w:ascii="Calibri" w:hAnsi="Calibri" w:cs="Calibri"/>
          <w:lang w:eastAsia="en-NZ"/>
        </w:rPr>
        <w:t>encompasses</w:t>
      </w:r>
      <w:r w:rsidR="003D640C">
        <w:rPr>
          <w:rFonts w:ascii="Calibri" w:hAnsi="Calibri" w:cs="Calibri"/>
          <w:lang w:eastAsia="en-NZ"/>
        </w:rPr>
        <w:t xml:space="preserve"> </w:t>
      </w:r>
      <w:r w:rsidRPr="00BB6220">
        <w:rPr>
          <w:rFonts w:ascii="Calibri" w:hAnsi="Calibri" w:cs="Calibri"/>
          <w:lang w:eastAsia="en-NZ"/>
        </w:rPr>
        <w:t>inclusive,</w:t>
      </w:r>
      <w:r w:rsidR="003D640C">
        <w:rPr>
          <w:rFonts w:ascii="Calibri" w:hAnsi="Calibri" w:cs="Calibri"/>
          <w:lang w:eastAsia="en-NZ"/>
        </w:rPr>
        <w:t xml:space="preserve"> </w:t>
      </w:r>
      <w:r w:rsidRPr="00BB6220">
        <w:rPr>
          <w:rFonts w:ascii="Calibri" w:hAnsi="Calibri" w:cs="Calibri"/>
          <w:lang w:eastAsia="en-NZ"/>
        </w:rPr>
        <w:t>affirming</w:t>
      </w:r>
      <w:r w:rsidR="0263DA79" w:rsidRPr="00BB6220">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accurate,</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evidence-based</w:t>
      </w:r>
      <w:r w:rsidR="003D640C">
        <w:rPr>
          <w:rFonts w:ascii="Calibri" w:hAnsi="Calibri" w:cs="Calibri"/>
          <w:lang w:eastAsia="en-NZ"/>
        </w:rPr>
        <w:t xml:space="preserve"> </w:t>
      </w:r>
      <w:r w:rsidRPr="005B33A1">
        <w:rPr>
          <w:rFonts w:ascii="Calibri" w:hAnsi="Calibri" w:cs="Calibri"/>
          <w:lang w:eastAsia="en-NZ"/>
        </w:rPr>
        <w:t>information</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sexual</w:t>
      </w:r>
      <w:r w:rsidR="003D640C">
        <w:rPr>
          <w:rFonts w:ascii="Calibri" w:hAnsi="Calibri" w:cs="Calibri"/>
          <w:lang w:eastAsia="en-NZ"/>
        </w:rPr>
        <w:t xml:space="preserve"> </w:t>
      </w:r>
      <w:r w:rsidRPr="00BB6220">
        <w:rPr>
          <w:rFonts w:ascii="Calibri" w:hAnsi="Calibri" w:cs="Calibri"/>
          <w:lang w:eastAsia="en-NZ"/>
        </w:rPr>
        <w:t>orientation,</w:t>
      </w:r>
      <w:r w:rsidR="003D640C">
        <w:rPr>
          <w:rFonts w:ascii="Calibri" w:hAnsi="Calibri" w:cs="Calibri"/>
          <w:lang w:eastAsia="en-NZ"/>
        </w:rPr>
        <w:t xml:space="preserve"> </w:t>
      </w:r>
      <w:r w:rsidRPr="00BB6220">
        <w:rPr>
          <w:rFonts w:ascii="Calibri" w:hAnsi="Calibri" w:cs="Calibri"/>
          <w:lang w:eastAsia="en-NZ"/>
        </w:rPr>
        <w:t>gender</w:t>
      </w:r>
      <w:r w:rsidR="003D640C">
        <w:rPr>
          <w:rFonts w:ascii="Calibri" w:hAnsi="Calibri" w:cs="Calibri"/>
          <w:lang w:eastAsia="en-NZ"/>
        </w:rPr>
        <w:t xml:space="preserve"> </w:t>
      </w:r>
      <w:r w:rsidRPr="00BB6220">
        <w:rPr>
          <w:rFonts w:ascii="Calibri" w:hAnsi="Calibri" w:cs="Calibri"/>
          <w:lang w:eastAsia="en-NZ"/>
        </w:rPr>
        <w:t>identity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expression,</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issues.</w:t>
      </w:r>
      <w:r w:rsidR="003D640C">
        <w:rPr>
          <w:rFonts w:ascii="Calibri" w:hAnsi="Calibri" w:cs="Calibri"/>
          <w:lang w:eastAsia="en-NZ"/>
        </w:rPr>
        <w:t xml:space="preserve"> </w:t>
      </w:r>
      <w:r w:rsidRPr="00BB6220">
        <w:rPr>
          <w:rFonts w:ascii="Calibri" w:hAnsi="Calibri" w:cs="Calibri"/>
          <w:lang w:eastAsia="en-NZ"/>
        </w:rPr>
        <w:t>Nevertheless,</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lack</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legal</w:t>
      </w:r>
      <w:r w:rsidR="003D640C">
        <w:rPr>
          <w:rFonts w:ascii="Calibri" w:hAnsi="Calibri" w:cs="Calibri"/>
          <w:lang w:eastAsia="en-NZ"/>
        </w:rPr>
        <w:t xml:space="preserve"> </w:t>
      </w:r>
      <w:r w:rsidRPr="00BB6220">
        <w:rPr>
          <w:rFonts w:ascii="Calibri" w:hAnsi="Calibri" w:cs="Calibri"/>
          <w:lang w:eastAsia="en-NZ"/>
        </w:rPr>
        <w:t>mandate</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deliver</w:t>
      </w:r>
      <w:r w:rsidR="003D640C">
        <w:rPr>
          <w:rFonts w:ascii="Calibri" w:hAnsi="Calibri" w:cs="Calibri"/>
          <w:lang w:eastAsia="en-NZ"/>
        </w:rPr>
        <w:t xml:space="preserve"> </w:t>
      </w:r>
      <w:r w:rsidRPr="00BB6220">
        <w:rPr>
          <w:rFonts w:ascii="Calibri" w:hAnsi="Calibri" w:cs="Calibri"/>
          <w:lang w:eastAsia="en-NZ"/>
        </w:rPr>
        <w:t>this</w:t>
      </w:r>
      <w:r w:rsidR="003D640C">
        <w:rPr>
          <w:rFonts w:ascii="Calibri" w:hAnsi="Calibri" w:cs="Calibri"/>
          <w:lang w:eastAsia="en-NZ"/>
        </w:rPr>
        <w:t xml:space="preserve"> </w:t>
      </w:r>
      <w:r w:rsidRPr="00BB6220">
        <w:rPr>
          <w:rFonts w:ascii="Calibri" w:hAnsi="Calibri" w:cs="Calibri"/>
          <w:lang w:eastAsia="en-NZ"/>
        </w:rPr>
        <w:t>education</w:t>
      </w:r>
      <w:r w:rsidR="003D640C">
        <w:rPr>
          <w:rFonts w:ascii="Calibri" w:hAnsi="Calibri" w:cs="Calibri"/>
          <w:lang w:eastAsia="en-NZ"/>
        </w:rPr>
        <w:t xml:space="preserve"> </w:t>
      </w:r>
      <w:r w:rsidRPr="00BB6220">
        <w:rPr>
          <w:rFonts w:ascii="Calibri" w:hAnsi="Calibri" w:cs="Calibri"/>
          <w:lang w:eastAsia="en-NZ"/>
        </w:rPr>
        <w:t>consistently</w:t>
      </w:r>
      <w:r w:rsidR="003D640C">
        <w:rPr>
          <w:rFonts w:ascii="Calibri" w:hAnsi="Calibri" w:cs="Calibri"/>
          <w:lang w:eastAsia="en-NZ"/>
        </w:rPr>
        <w:t xml:space="preserve"> </w:t>
      </w:r>
      <w:r w:rsidRPr="00BB6220">
        <w:rPr>
          <w:rFonts w:ascii="Calibri" w:hAnsi="Calibri" w:cs="Calibri"/>
          <w:lang w:eastAsia="en-NZ"/>
        </w:rPr>
        <w:t>across</w:t>
      </w:r>
      <w:r w:rsidR="003D640C">
        <w:rPr>
          <w:rFonts w:ascii="Calibri" w:hAnsi="Calibri" w:cs="Calibri"/>
          <w:lang w:eastAsia="en-NZ"/>
        </w:rPr>
        <w:t xml:space="preserve"> </w:t>
      </w:r>
      <w:r w:rsidRPr="00BB6220">
        <w:rPr>
          <w:rFonts w:ascii="Calibri" w:hAnsi="Calibri" w:cs="Calibri"/>
          <w:lang w:eastAsia="en-NZ"/>
        </w:rPr>
        <w:t>all</w:t>
      </w:r>
      <w:r w:rsidR="003D640C">
        <w:rPr>
          <w:rFonts w:ascii="Calibri" w:hAnsi="Calibri" w:cs="Calibri"/>
          <w:lang w:eastAsia="en-NZ"/>
        </w:rPr>
        <w:t xml:space="preserve"> </w:t>
      </w:r>
      <w:r w:rsidRPr="00BB6220">
        <w:rPr>
          <w:rFonts w:ascii="Calibri" w:hAnsi="Calibri" w:cs="Calibri"/>
          <w:lang w:eastAsia="en-NZ"/>
        </w:rPr>
        <w:t>educational</w:t>
      </w:r>
      <w:r w:rsidR="003D640C">
        <w:rPr>
          <w:rFonts w:ascii="Calibri" w:hAnsi="Calibri" w:cs="Calibri"/>
          <w:lang w:eastAsia="en-NZ"/>
        </w:rPr>
        <w:t xml:space="preserve"> </w:t>
      </w:r>
      <w:r w:rsidRPr="00BB6220">
        <w:rPr>
          <w:rFonts w:ascii="Calibri" w:hAnsi="Calibri" w:cs="Calibri"/>
          <w:lang w:eastAsia="en-NZ"/>
        </w:rPr>
        <w:t>settings</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Aotearoa</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concern</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allows</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perpetuation</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discrimination,</w:t>
      </w:r>
      <w:r w:rsidR="003D640C">
        <w:rPr>
          <w:rFonts w:ascii="Calibri" w:hAnsi="Calibri" w:cs="Calibri"/>
          <w:lang w:eastAsia="en-NZ"/>
        </w:rPr>
        <w:t xml:space="preserve"> </w:t>
      </w:r>
      <w:r w:rsidRPr="00BB6220">
        <w:rPr>
          <w:rFonts w:ascii="Calibri" w:hAnsi="Calibri" w:cs="Calibri"/>
          <w:lang w:eastAsia="en-NZ"/>
        </w:rPr>
        <w:t>marginalisation,</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abuse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some</w:t>
      </w:r>
      <w:r w:rsidR="003D640C">
        <w:rPr>
          <w:rFonts w:ascii="Calibri" w:hAnsi="Calibri" w:cs="Calibri"/>
          <w:lang w:eastAsia="en-NZ"/>
        </w:rPr>
        <w:t xml:space="preserve"> </w:t>
      </w:r>
      <w:r w:rsidRPr="00BB6220">
        <w:rPr>
          <w:rFonts w:ascii="Calibri" w:hAnsi="Calibri" w:cs="Calibri"/>
          <w:lang w:eastAsia="en-NZ"/>
        </w:rPr>
        <w:t>communities.</w:t>
      </w:r>
      <w:r w:rsidR="003D640C">
        <w:rPr>
          <w:rFonts w:ascii="Calibri" w:hAnsi="Calibri" w:cs="Calibri"/>
          <w:lang w:eastAsia="en-NZ"/>
        </w:rPr>
        <w:t xml:space="preserve"> </w:t>
      </w:r>
      <w:r w:rsidRPr="00BB6220">
        <w:rPr>
          <w:rFonts w:ascii="Calibri" w:hAnsi="Calibri" w:cs="Calibri"/>
          <w:lang w:eastAsia="en-NZ"/>
        </w:rPr>
        <w:t>All</w:t>
      </w:r>
      <w:r w:rsidR="003D640C">
        <w:rPr>
          <w:rFonts w:ascii="Calibri" w:hAnsi="Calibri" w:cs="Calibri"/>
          <w:lang w:eastAsia="en-NZ"/>
        </w:rPr>
        <w:t xml:space="preserve"> </w:t>
      </w:r>
      <w:r w:rsidRPr="00BB6220">
        <w:rPr>
          <w:rFonts w:ascii="Calibri" w:hAnsi="Calibri" w:cs="Calibri"/>
          <w:lang w:eastAsia="en-NZ"/>
        </w:rPr>
        <w:t>students</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Aotearoa</w:t>
      </w:r>
      <w:r w:rsidR="003D640C">
        <w:rPr>
          <w:rFonts w:ascii="Calibri" w:hAnsi="Calibri" w:cs="Calibri"/>
          <w:lang w:eastAsia="en-NZ"/>
        </w:rPr>
        <w:t xml:space="preserve"> </w:t>
      </w:r>
      <w:r w:rsidRPr="00BB6220">
        <w:rPr>
          <w:rFonts w:ascii="Calibri" w:hAnsi="Calibri" w:cs="Calibri"/>
          <w:lang w:eastAsia="en-NZ"/>
        </w:rPr>
        <w:t>deserve</w:t>
      </w:r>
      <w:r w:rsidR="003D640C">
        <w:rPr>
          <w:rFonts w:ascii="Calibri" w:hAnsi="Calibri" w:cs="Calibri"/>
          <w:lang w:eastAsia="en-NZ"/>
        </w:rPr>
        <w:t xml:space="preserve"> </w:t>
      </w:r>
      <w:r w:rsidRPr="00BB6220">
        <w:rPr>
          <w:rFonts w:ascii="Calibri" w:hAnsi="Calibri" w:cs="Calibri"/>
          <w:lang w:eastAsia="en-NZ"/>
        </w:rPr>
        <w:t>an</w:t>
      </w:r>
      <w:r w:rsidR="003D640C">
        <w:rPr>
          <w:rFonts w:ascii="Calibri" w:hAnsi="Calibri" w:cs="Calibri"/>
          <w:lang w:eastAsia="en-NZ"/>
        </w:rPr>
        <w:t xml:space="preserve"> </w:t>
      </w:r>
      <w:r w:rsidRPr="00BB6220">
        <w:rPr>
          <w:rFonts w:ascii="Calibri" w:hAnsi="Calibri" w:cs="Calibri"/>
          <w:lang w:eastAsia="en-NZ"/>
        </w:rPr>
        <w:t>education</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reflects</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diversity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reality</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our</w:t>
      </w:r>
      <w:r w:rsidR="003D640C">
        <w:rPr>
          <w:rFonts w:ascii="Calibri" w:hAnsi="Calibri" w:cs="Calibri"/>
          <w:lang w:eastAsia="en-NZ"/>
        </w:rPr>
        <w:t xml:space="preserve"> </w:t>
      </w:r>
      <w:r w:rsidRPr="00BB6220">
        <w:rPr>
          <w:rFonts w:ascii="Calibri" w:hAnsi="Calibri" w:cs="Calibri"/>
          <w:lang w:eastAsia="en-NZ"/>
        </w:rPr>
        <w:t>population</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world,</w:t>
      </w:r>
      <w:r w:rsidR="003D640C">
        <w:rPr>
          <w:rFonts w:ascii="Calibri" w:hAnsi="Calibri" w:cs="Calibri"/>
          <w:lang w:eastAsia="en-NZ"/>
        </w:rPr>
        <w:t xml:space="preserve"> </w:t>
      </w:r>
      <w:r w:rsidRPr="00BB6220">
        <w:rPr>
          <w:rFonts w:ascii="Calibri" w:hAnsi="Calibri" w:cs="Calibri"/>
          <w:lang w:eastAsia="en-NZ"/>
        </w:rPr>
        <w:t>no</w:t>
      </w:r>
      <w:r w:rsidR="003D640C">
        <w:rPr>
          <w:rFonts w:ascii="Calibri" w:hAnsi="Calibri" w:cs="Calibri"/>
          <w:lang w:eastAsia="en-NZ"/>
        </w:rPr>
        <w:t xml:space="preserve"> </w:t>
      </w:r>
      <w:r w:rsidRPr="00BB6220">
        <w:rPr>
          <w:rFonts w:ascii="Calibri" w:hAnsi="Calibri" w:cs="Calibri"/>
          <w:lang w:eastAsia="en-NZ"/>
        </w:rPr>
        <w:t>matter</w:t>
      </w:r>
      <w:r w:rsidR="003D640C">
        <w:rPr>
          <w:rFonts w:ascii="Calibri" w:hAnsi="Calibri" w:cs="Calibri"/>
          <w:lang w:eastAsia="en-NZ"/>
        </w:rPr>
        <w:t xml:space="preserve"> </w:t>
      </w:r>
      <w:r w:rsidRPr="00BB6220">
        <w:rPr>
          <w:rFonts w:ascii="Calibri" w:hAnsi="Calibri" w:cs="Calibri"/>
          <w:lang w:eastAsia="en-NZ"/>
        </w:rPr>
        <w:t>where</w:t>
      </w:r>
      <w:r w:rsidR="003D640C">
        <w:rPr>
          <w:rFonts w:ascii="Calibri" w:hAnsi="Calibri" w:cs="Calibri"/>
          <w:lang w:eastAsia="en-NZ"/>
        </w:rPr>
        <w:t xml:space="preserve"> </w:t>
      </w:r>
      <w:r w:rsidRPr="00BB6220">
        <w:rPr>
          <w:rFonts w:ascii="Calibri" w:hAnsi="Calibri" w:cs="Calibri"/>
          <w:lang w:eastAsia="en-NZ"/>
        </w:rPr>
        <w:t>they</w:t>
      </w:r>
      <w:r w:rsidR="003D640C">
        <w:rPr>
          <w:rFonts w:ascii="Calibri" w:hAnsi="Calibri" w:cs="Calibri"/>
          <w:lang w:eastAsia="en-NZ"/>
        </w:rPr>
        <w:t xml:space="preserve"> </w:t>
      </w:r>
      <w:r w:rsidRPr="00BB6220">
        <w:rPr>
          <w:rFonts w:ascii="Calibri" w:hAnsi="Calibri" w:cs="Calibri"/>
          <w:lang w:eastAsia="en-NZ"/>
        </w:rPr>
        <w:t>grow</w:t>
      </w:r>
      <w:r w:rsidR="003D640C">
        <w:rPr>
          <w:rFonts w:ascii="Calibri" w:hAnsi="Calibri" w:cs="Calibri"/>
          <w:lang w:eastAsia="en-NZ"/>
        </w:rPr>
        <w:t xml:space="preserve"> </w:t>
      </w:r>
      <w:r w:rsidRPr="00BB6220">
        <w:rPr>
          <w:rFonts w:ascii="Calibri" w:hAnsi="Calibri" w:cs="Calibri"/>
          <w:lang w:eastAsia="en-NZ"/>
        </w:rPr>
        <w:t>up.</w:t>
      </w:r>
      <w:r w:rsidR="003D640C">
        <w:rPr>
          <w:rFonts w:ascii="Calibri" w:hAnsi="Calibri" w:cs="Calibri"/>
          <w:lang w:eastAsia="en-NZ"/>
        </w:rPr>
        <w:t xml:space="preserve"> </w:t>
      </w:r>
    </w:p>
    <w:p w14:paraId="029098CB" w14:textId="74F0A632" w:rsidR="00501068" w:rsidRPr="009B737E" w:rsidRDefault="00C044A8">
      <w:pPr>
        <w:pStyle w:val="ListParagraph"/>
        <w:numPr>
          <w:ilvl w:val="0"/>
          <w:numId w:val="117"/>
        </w:numPr>
        <w:rPr>
          <w:rFonts w:ascii="Calibri" w:hAnsi="Calibri" w:cs="Calibri"/>
          <w:lang w:eastAsia="en-NZ"/>
        </w:rPr>
      </w:pPr>
      <w:r w:rsidRPr="009B737E">
        <w:rPr>
          <w:rFonts w:ascii="Calibri" w:hAnsi="Calibri" w:cs="Calibri"/>
          <w:b/>
          <w:bCs/>
          <w:lang w:eastAsia="en-NZ"/>
        </w:rPr>
        <w:t>Establish</w:t>
      </w:r>
      <w:r w:rsidR="003D640C" w:rsidRPr="009B737E">
        <w:rPr>
          <w:rFonts w:ascii="Calibri" w:hAnsi="Calibri" w:cs="Calibri"/>
          <w:b/>
          <w:bCs/>
          <w:lang w:eastAsia="en-NZ"/>
        </w:rPr>
        <w:t xml:space="preserve"> </w:t>
      </w:r>
      <w:r w:rsidRPr="009B737E">
        <w:rPr>
          <w:rFonts w:ascii="Calibri" w:hAnsi="Calibri" w:cs="Calibri"/>
          <w:b/>
          <w:bCs/>
          <w:lang w:eastAsia="en-NZ"/>
        </w:rPr>
        <w:t>an</w:t>
      </w:r>
      <w:r w:rsidR="003D640C" w:rsidRPr="009B737E">
        <w:rPr>
          <w:rFonts w:ascii="Calibri" w:hAnsi="Calibri" w:cs="Calibri"/>
          <w:b/>
          <w:bCs/>
          <w:lang w:eastAsia="en-NZ"/>
        </w:rPr>
        <w:t xml:space="preserve"> </w:t>
      </w:r>
      <w:r w:rsidR="00CB2403" w:rsidRPr="009B737E">
        <w:rPr>
          <w:rFonts w:ascii="Calibri" w:hAnsi="Calibri" w:cs="Calibri"/>
          <w:b/>
          <w:bCs/>
          <w:lang w:eastAsia="en-NZ"/>
        </w:rPr>
        <w:t>agency</w:t>
      </w:r>
      <w:r w:rsidR="003D640C" w:rsidRPr="009B737E">
        <w:rPr>
          <w:rFonts w:ascii="Calibri" w:hAnsi="Calibri" w:cs="Calibri"/>
          <w:b/>
          <w:bCs/>
          <w:lang w:eastAsia="en-NZ"/>
        </w:rPr>
        <w:t xml:space="preserve"> </w:t>
      </w:r>
      <w:r w:rsidR="00CB2403" w:rsidRPr="009B737E">
        <w:rPr>
          <w:rFonts w:ascii="Calibri" w:hAnsi="Calibri" w:cs="Calibri"/>
          <w:b/>
          <w:bCs/>
          <w:lang w:eastAsia="en-NZ"/>
        </w:rPr>
        <w:t>t</w:t>
      </w:r>
      <w:r w:rsidRPr="009B737E">
        <w:rPr>
          <w:rFonts w:ascii="Calibri" w:hAnsi="Calibri" w:cs="Calibri"/>
          <w:b/>
          <w:bCs/>
          <w:lang w:eastAsia="en-NZ"/>
        </w:rPr>
        <w:t>o</w:t>
      </w:r>
      <w:r w:rsidR="003D640C" w:rsidRPr="009B737E">
        <w:rPr>
          <w:rFonts w:ascii="Calibri" w:hAnsi="Calibri" w:cs="Calibri"/>
          <w:b/>
          <w:bCs/>
          <w:lang w:eastAsia="en-NZ"/>
        </w:rPr>
        <w:t xml:space="preserve"> </w:t>
      </w:r>
      <w:r w:rsidRPr="009B737E">
        <w:rPr>
          <w:rFonts w:ascii="Calibri" w:hAnsi="Calibri" w:cs="Calibri"/>
          <w:b/>
          <w:bCs/>
          <w:lang w:eastAsia="en-NZ"/>
        </w:rPr>
        <w:t>encourage</w:t>
      </w:r>
      <w:r w:rsidR="003D640C" w:rsidRPr="009B737E">
        <w:rPr>
          <w:rFonts w:ascii="Calibri" w:hAnsi="Calibri" w:cs="Calibri"/>
          <w:b/>
          <w:bCs/>
          <w:lang w:eastAsia="en-NZ"/>
        </w:rPr>
        <w:t xml:space="preserve"> </w:t>
      </w:r>
      <w:r w:rsidRPr="009B737E">
        <w:rPr>
          <w:rFonts w:ascii="Calibri" w:hAnsi="Calibri" w:cs="Calibri"/>
          <w:b/>
          <w:bCs/>
          <w:lang w:eastAsia="en-NZ"/>
        </w:rPr>
        <w:t>and</w:t>
      </w:r>
      <w:r w:rsidR="003D640C" w:rsidRPr="009B737E">
        <w:rPr>
          <w:rFonts w:ascii="Calibri" w:hAnsi="Calibri" w:cs="Calibri"/>
          <w:b/>
          <w:bCs/>
          <w:lang w:eastAsia="en-NZ"/>
        </w:rPr>
        <w:t xml:space="preserve"> </w:t>
      </w:r>
      <w:r w:rsidRPr="009B737E">
        <w:rPr>
          <w:rFonts w:ascii="Calibri" w:hAnsi="Calibri" w:cs="Calibri"/>
          <w:b/>
          <w:bCs/>
          <w:lang w:eastAsia="en-NZ"/>
        </w:rPr>
        <w:t>support</w:t>
      </w:r>
      <w:r w:rsidR="003D640C" w:rsidRPr="009B737E">
        <w:rPr>
          <w:rFonts w:ascii="Calibri" w:hAnsi="Calibri" w:cs="Calibri"/>
          <w:b/>
          <w:bCs/>
          <w:lang w:eastAsia="en-NZ"/>
        </w:rPr>
        <w:t xml:space="preserve"> </w:t>
      </w:r>
      <w:r w:rsidRPr="009B737E">
        <w:rPr>
          <w:rFonts w:ascii="Calibri" w:hAnsi="Calibri" w:cs="Calibri"/>
          <w:b/>
          <w:bCs/>
          <w:lang w:eastAsia="en-NZ"/>
        </w:rPr>
        <w:t>collaboration</w:t>
      </w:r>
      <w:r w:rsidR="000D7651">
        <w:rPr>
          <w:rFonts w:ascii="Calibri" w:hAnsi="Calibri" w:cs="Calibri"/>
          <w:b/>
          <w:bCs/>
          <w:lang w:eastAsia="en-NZ"/>
        </w:rPr>
        <w:br/>
      </w:r>
      <w:r w:rsidRPr="009B737E">
        <w:rPr>
          <w:rFonts w:ascii="Calibri" w:hAnsi="Calibri" w:cs="Calibri"/>
          <w:lang w:eastAsia="en-NZ"/>
        </w:rPr>
        <w:t>An</w:t>
      </w:r>
      <w:r w:rsidR="003D640C" w:rsidRPr="009B737E">
        <w:rPr>
          <w:rFonts w:ascii="Calibri" w:hAnsi="Calibri" w:cs="Calibri"/>
          <w:lang w:eastAsia="en-NZ"/>
        </w:rPr>
        <w:t xml:space="preserve"> </w:t>
      </w:r>
      <w:r w:rsidRPr="009B737E">
        <w:rPr>
          <w:rFonts w:ascii="Calibri" w:hAnsi="Calibri" w:cs="Calibri"/>
          <w:lang w:eastAsia="en-NZ"/>
        </w:rPr>
        <w:t>office</w:t>
      </w:r>
      <w:r w:rsidR="003D640C" w:rsidRPr="009B737E">
        <w:rPr>
          <w:rFonts w:ascii="Calibri" w:hAnsi="Calibri" w:cs="Calibri"/>
          <w:lang w:eastAsia="en-NZ"/>
        </w:rPr>
        <w:t xml:space="preserve"> </w:t>
      </w:r>
      <w:r w:rsidRPr="009B737E">
        <w:rPr>
          <w:rFonts w:ascii="Calibri" w:hAnsi="Calibri" w:cs="Calibri"/>
          <w:lang w:eastAsia="en-NZ"/>
        </w:rPr>
        <w:t>or</w:t>
      </w:r>
      <w:r w:rsidR="003D640C" w:rsidRPr="009B737E">
        <w:rPr>
          <w:rFonts w:ascii="Calibri" w:hAnsi="Calibri" w:cs="Calibri"/>
          <w:lang w:eastAsia="en-NZ"/>
        </w:rPr>
        <w:t xml:space="preserve"> </w:t>
      </w:r>
      <w:r w:rsidRPr="009B737E">
        <w:rPr>
          <w:rFonts w:ascii="Calibri" w:hAnsi="Calibri" w:cs="Calibri"/>
          <w:lang w:eastAsia="en-NZ"/>
        </w:rPr>
        <w:t>ministry</w:t>
      </w:r>
      <w:r w:rsidR="003D640C" w:rsidRPr="009B737E">
        <w:rPr>
          <w:rFonts w:ascii="Calibri" w:hAnsi="Calibri" w:cs="Calibri"/>
          <w:lang w:eastAsia="en-NZ"/>
        </w:rPr>
        <w:t xml:space="preserve"> </w:t>
      </w:r>
      <w:r w:rsidRPr="009B737E">
        <w:rPr>
          <w:rFonts w:ascii="Calibri" w:hAnsi="Calibri" w:cs="Calibri"/>
          <w:lang w:eastAsia="en-NZ"/>
        </w:rPr>
        <w:t>with</w:t>
      </w:r>
      <w:r w:rsidR="003D640C" w:rsidRPr="009B737E">
        <w:rPr>
          <w:rFonts w:ascii="Calibri" w:hAnsi="Calibri" w:cs="Calibri"/>
          <w:lang w:eastAsia="en-NZ"/>
        </w:rPr>
        <w:t xml:space="preserve"> </w:t>
      </w:r>
      <w:r w:rsidRPr="009B737E">
        <w:rPr>
          <w:rFonts w:ascii="Calibri" w:hAnsi="Calibri" w:cs="Calibri"/>
          <w:lang w:eastAsia="en-NZ"/>
        </w:rPr>
        <w:t>responsibility</w:t>
      </w:r>
      <w:r w:rsidR="003D640C" w:rsidRPr="009B737E">
        <w:rPr>
          <w:rFonts w:ascii="Calibri" w:hAnsi="Calibri" w:cs="Calibri"/>
          <w:lang w:eastAsia="en-NZ"/>
        </w:rPr>
        <w:t xml:space="preserve"> </w:t>
      </w:r>
      <w:r w:rsidRPr="009B737E">
        <w:rPr>
          <w:rFonts w:ascii="Calibri" w:hAnsi="Calibri" w:cs="Calibri"/>
          <w:lang w:eastAsia="en-NZ"/>
        </w:rPr>
        <w:t>for</w:t>
      </w:r>
      <w:r w:rsidR="003D640C" w:rsidRPr="009B737E">
        <w:rPr>
          <w:rFonts w:ascii="Calibri" w:hAnsi="Calibri" w:cs="Calibri"/>
          <w:lang w:eastAsia="en-NZ"/>
        </w:rPr>
        <w:t xml:space="preserve"> </w:t>
      </w:r>
      <w:r w:rsidRPr="009B737E">
        <w:rPr>
          <w:rFonts w:ascii="Calibri" w:hAnsi="Calibri" w:cs="Calibri"/>
          <w:lang w:eastAsia="en-NZ"/>
        </w:rPr>
        <w:t>improving</w:t>
      </w:r>
      <w:r w:rsidR="003D640C" w:rsidRPr="009B737E">
        <w:rPr>
          <w:rFonts w:ascii="Calibri" w:hAnsi="Calibri" w:cs="Calibri"/>
          <w:lang w:eastAsia="en-NZ"/>
        </w:rPr>
        <w:t xml:space="preserve"> </w:t>
      </w:r>
      <w:r w:rsidRPr="009B737E">
        <w:rPr>
          <w:rFonts w:ascii="Calibri" w:hAnsi="Calibri" w:cs="Calibri"/>
          <w:lang w:eastAsia="en-NZ"/>
        </w:rPr>
        <w:t>outcomes</w:t>
      </w:r>
      <w:r w:rsidR="003D640C" w:rsidRPr="009B737E">
        <w:rPr>
          <w:rFonts w:ascii="Calibri" w:hAnsi="Calibri" w:cs="Calibri"/>
          <w:lang w:eastAsia="en-NZ"/>
        </w:rPr>
        <w:t xml:space="preserve"> </w:t>
      </w:r>
      <w:r w:rsidRPr="009B737E">
        <w:rPr>
          <w:rFonts w:ascii="Calibri" w:hAnsi="Calibri" w:cs="Calibri"/>
          <w:lang w:eastAsia="en-NZ"/>
        </w:rPr>
        <w:t>for</w:t>
      </w:r>
      <w:r w:rsidR="003D640C" w:rsidRPr="009B737E">
        <w:rPr>
          <w:rFonts w:ascii="Calibri" w:hAnsi="Calibri" w:cs="Calibri"/>
          <w:lang w:eastAsia="en-NZ"/>
        </w:rPr>
        <w:t xml:space="preserve"> </w:t>
      </w:r>
      <w:r w:rsidR="004579B0" w:rsidRPr="009B737E">
        <w:rPr>
          <w:rFonts w:ascii="Calibri" w:hAnsi="Calibri" w:cs="Calibri"/>
          <w:lang w:eastAsia="en-NZ"/>
        </w:rPr>
        <w:t>Rainbow</w:t>
      </w:r>
      <w:r w:rsidR="003D640C" w:rsidRPr="009B737E">
        <w:rPr>
          <w:rFonts w:ascii="Calibri" w:hAnsi="Calibri" w:cs="Calibri"/>
          <w:lang w:eastAsia="en-NZ"/>
        </w:rPr>
        <w:t xml:space="preserve"> </w:t>
      </w:r>
      <w:r w:rsidRPr="009B737E">
        <w:rPr>
          <w:rFonts w:ascii="Calibri" w:hAnsi="Calibri" w:cs="Calibri"/>
          <w:lang w:eastAsia="en-NZ"/>
        </w:rPr>
        <w:t>people</w:t>
      </w:r>
      <w:r w:rsidR="003D640C" w:rsidRPr="009B737E">
        <w:rPr>
          <w:rFonts w:ascii="Calibri" w:hAnsi="Calibri" w:cs="Calibri"/>
          <w:lang w:eastAsia="en-NZ"/>
        </w:rPr>
        <w:t xml:space="preserve"> </w:t>
      </w:r>
      <w:r w:rsidRPr="009B737E">
        <w:rPr>
          <w:rFonts w:ascii="Calibri" w:hAnsi="Calibri" w:cs="Calibri"/>
          <w:lang w:eastAsia="en-NZ"/>
        </w:rPr>
        <w:t>would</w:t>
      </w:r>
      <w:r w:rsidR="003D640C" w:rsidRPr="009B737E">
        <w:rPr>
          <w:rFonts w:ascii="Calibri" w:hAnsi="Calibri" w:cs="Calibri"/>
          <w:lang w:eastAsia="en-NZ"/>
        </w:rPr>
        <w:t xml:space="preserve"> </w:t>
      </w:r>
      <w:r w:rsidRPr="009B737E">
        <w:rPr>
          <w:rFonts w:ascii="Calibri" w:hAnsi="Calibri" w:cs="Calibri"/>
          <w:lang w:eastAsia="en-NZ"/>
        </w:rPr>
        <w:t>encourage</w:t>
      </w:r>
      <w:r w:rsidR="003D640C" w:rsidRPr="009B737E">
        <w:rPr>
          <w:rFonts w:ascii="Calibri" w:hAnsi="Calibri" w:cs="Calibri"/>
          <w:lang w:eastAsia="en-NZ"/>
        </w:rPr>
        <w:t xml:space="preserve"> </w:t>
      </w:r>
      <w:r w:rsidRPr="009B737E">
        <w:rPr>
          <w:rFonts w:ascii="Calibri" w:hAnsi="Calibri" w:cs="Calibri"/>
          <w:lang w:eastAsia="en-NZ"/>
        </w:rPr>
        <w:t>collaboration</w:t>
      </w:r>
      <w:r w:rsidR="003D640C" w:rsidRPr="009B737E">
        <w:rPr>
          <w:rFonts w:ascii="Calibri" w:hAnsi="Calibri" w:cs="Calibri"/>
          <w:lang w:eastAsia="en-NZ"/>
        </w:rPr>
        <w:t xml:space="preserve"> </w:t>
      </w:r>
      <w:r w:rsidRPr="009B737E">
        <w:rPr>
          <w:rFonts w:ascii="Calibri" w:hAnsi="Calibri" w:cs="Calibri"/>
          <w:lang w:eastAsia="en-NZ"/>
        </w:rPr>
        <w:t>and</w:t>
      </w:r>
      <w:r w:rsidR="003D640C" w:rsidRPr="009B737E">
        <w:rPr>
          <w:rFonts w:ascii="Calibri" w:hAnsi="Calibri" w:cs="Calibri"/>
          <w:lang w:eastAsia="en-NZ"/>
        </w:rPr>
        <w:t xml:space="preserve"> </w:t>
      </w:r>
      <w:r w:rsidRPr="009B737E">
        <w:rPr>
          <w:rFonts w:ascii="Calibri" w:hAnsi="Calibri" w:cs="Calibri"/>
          <w:lang w:eastAsia="en-NZ"/>
        </w:rPr>
        <w:t>partnerships</w:t>
      </w:r>
      <w:r w:rsidR="003D640C" w:rsidRPr="009B737E">
        <w:rPr>
          <w:rFonts w:ascii="Calibri" w:hAnsi="Calibri" w:cs="Calibri"/>
          <w:lang w:eastAsia="en-NZ"/>
        </w:rPr>
        <w:t xml:space="preserve"> </w:t>
      </w:r>
      <w:r w:rsidRPr="009B737E">
        <w:rPr>
          <w:rFonts w:ascii="Calibri" w:hAnsi="Calibri" w:cs="Calibri"/>
          <w:lang w:eastAsia="en-NZ"/>
        </w:rPr>
        <w:t>among</w:t>
      </w:r>
      <w:r w:rsidR="003D640C" w:rsidRPr="009B737E">
        <w:rPr>
          <w:rFonts w:ascii="Calibri" w:hAnsi="Calibri" w:cs="Calibri"/>
          <w:lang w:eastAsia="en-NZ"/>
        </w:rPr>
        <w:t xml:space="preserve"> </w:t>
      </w:r>
      <w:r w:rsidRPr="009B737E">
        <w:rPr>
          <w:rFonts w:ascii="Calibri" w:hAnsi="Calibri" w:cs="Calibri"/>
          <w:lang w:eastAsia="en-NZ"/>
        </w:rPr>
        <w:t>policy</w:t>
      </w:r>
      <w:r w:rsidR="000D7651">
        <w:rPr>
          <w:rFonts w:ascii="Calibri" w:hAnsi="Calibri" w:cs="Calibri"/>
          <w:lang w:eastAsia="en-NZ"/>
        </w:rPr>
        <w:t xml:space="preserve"> </w:t>
      </w:r>
      <w:r w:rsidRPr="009B737E">
        <w:rPr>
          <w:rFonts w:ascii="Calibri" w:hAnsi="Calibri" w:cs="Calibri"/>
          <w:lang w:eastAsia="en-NZ"/>
        </w:rPr>
        <w:t>makers,</w:t>
      </w:r>
      <w:r w:rsidR="003D640C" w:rsidRPr="009B737E">
        <w:rPr>
          <w:rFonts w:ascii="Calibri" w:hAnsi="Calibri" w:cs="Calibri"/>
          <w:lang w:eastAsia="en-NZ"/>
        </w:rPr>
        <w:t xml:space="preserve"> </w:t>
      </w:r>
      <w:r w:rsidRPr="009B737E">
        <w:rPr>
          <w:rFonts w:ascii="Calibri" w:hAnsi="Calibri" w:cs="Calibri"/>
          <w:lang w:eastAsia="en-NZ"/>
        </w:rPr>
        <w:t>activists,</w:t>
      </w:r>
      <w:r w:rsidR="003D640C" w:rsidRPr="009B737E">
        <w:rPr>
          <w:rFonts w:ascii="Calibri" w:hAnsi="Calibri" w:cs="Calibri"/>
          <w:lang w:eastAsia="en-NZ"/>
        </w:rPr>
        <w:t xml:space="preserve"> </w:t>
      </w:r>
      <w:r w:rsidRPr="009B737E">
        <w:rPr>
          <w:rFonts w:ascii="Calibri" w:hAnsi="Calibri" w:cs="Calibri"/>
          <w:lang w:eastAsia="en-NZ"/>
        </w:rPr>
        <w:t>mental</w:t>
      </w:r>
      <w:r w:rsidR="003D640C" w:rsidRPr="009B737E">
        <w:rPr>
          <w:rFonts w:ascii="Calibri" w:hAnsi="Calibri" w:cs="Calibri"/>
          <w:lang w:eastAsia="en-NZ"/>
        </w:rPr>
        <w:t xml:space="preserve"> </w:t>
      </w:r>
      <w:r w:rsidRPr="009B737E">
        <w:rPr>
          <w:rFonts w:ascii="Calibri" w:hAnsi="Calibri" w:cs="Calibri"/>
          <w:lang w:eastAsia="en-NZ"/>
        </w:rPr>
        <w:t>health</w:t>
      </w:r>
      <w:r w:rsidR="003D640C" w:rsidRPr="009B737E">
        <w:rPr>
          <w:rFonts w:ascii="Calibri" w:hAnsi="Calibri" w:cs="Calibri"/>
          <w:lang w:eastAsia="en-NZ"/>
        </w:rPr>
        <w:t xml:space="preserve"> </w:t>
      </w:r>
      <w:r w:rsidRPr="009B737E">
        <w:rPr>
          <w:rFonts w:ascii="Calibri" w:hAnsi="Calibri" w:cs="Calibri"/>
          <w:lang w:eastAsia="en-NZ"/>
        </w:rPr>
        <w:t>professionals,</w:t>
      </w:r>
      <w:r w:rsidR="003D640C" w:rsidRPr="009B737E">
        <w:rPr>
          <w:rFonts w:ascii="Calibri" w:hAnsi="Calibri" w:cs="Calibri"/>
          <w:lang w:eastAsia="en-NZ"/>
        </w:rPr>
        <w:t xml:space="preserve"> </w:t>
      </w:r>
      <w:r w:rsidRPr="009B737E">
        <w:rPr>
          <w:rFonts w:ascii="Calibri" w:hAnsi="Calibri" w:cs="Calibri"/>
          <w:lang w:eastAsia="en-NZ"/>
        </w:rPr>
        <w:t>educators,</w:t>
      </w:r>
      <w:r w:rsidR="003D640C" w:rsidRPr="009B737E">
        <w:rPr>
          <w:rFonts w:ascii="Calibri" w:hAnsi="Calibri" w:cs="Calibri"/>
          <w:lang w:eastAsia="en-NZ"/>
        </w:rPr>
        <w:t xml:space="preserve"> </w:t>
      </w:r>
      <w:r w:rsidRPr="009B737E">
        <w:rPr>
          <w:rFonts w:ascii="Calibri" w:hAnsi="Calibri" w:cs="Calibri"/>
          <w:lang w:eastAsia="en-NZ"/>
        </w:rPr>
        <w:t>religious</w:t>
      </w:r>
      <w:r w:rsidR="003D640C" w:rsidRPr="009B737E">
        <w:rPr>
          <w:rFonts w:ascii="Calibri" w:hAnsi="Calibri" w:cs="Calibri"/>
          <w:lang w:eastAsia="en-NZ"/>
        </w:rPr>
        <w:t xml:space="preserve"> </w:t>
      </w:r>
      <w:r w:rsidRPr="009B737E">
        <w:rPr>
          <w:rFonts w:ascii="Calibri" w:hAnsi="Calibri" w:cs="Calibri"/>
          <w:lang w:eastAsia="en-NZ"/>
        </w:rPr>
        <w:t>leaders,</w:t>
      </w:r>
      <w:r w:rsidR="003D640C" w:rsidRPr="009B737E">
        <w:rPr>
          <w:rFonts w:ascii="Calibri" w:hAnsi="Calibri" w:cs="Calibri"/>
          <w:lang w:eastAsia="en-NZ"/>
        </w:rPr>
        <w:t xml:space="preserve"> </w:t>
      </w:r>
      <w:r w:rsidR="004579B0" w:rsidRPr="009B737E">
        <w:rPr>
          <w:rFonts w:ascii="Calibri" w:hAnsi="Calibri" w:cs="Calibri"/>
          <w:lang w:eastAsia="en-NZ"/>
        </w:rPr>
        <w:t>Rainbow</w:t>
      </w:r>
      <w:r w:rsidR="003D640C" w:rsidRPr="009B737E">
        <w:rPr>
          <w:rFonts w:ascii="Calibri" w:hAnsi="Calibri" w:cs="Calibri"/>
          <w:lang w:eastAsia="en-NZ"/>
        </w:rPr>
        <w:t xml:space="preserve"> </w:t>
      </w:r>
      <w:r w:rsidRPr="009B737E">
        <w:rPr>
          <w:rFonts w:ascii="Calibri" w:hAnsi="Calibri" w:cs="Calibri"/>
          <w:lang w:eastAsia="en-NZ"/>
        </w:rPr>
        <w:t>organisations</w:t>
      </w:r>
      <w:r w:rsidR="16FE0F60" w:rsidRPr="009B737E">
        <w:rPr>
          <w:rFonts w:ascii="Calibri" w:hAnsi="Calibri" w:cs="Calibri"/>
          <w:lang w:eastAsia="en-NZ"/>
        </w:rPr>
        <w:t>,</w:t>
      </w:r>
      <w:r w:rsidR="003D640C" w:rsidRPr="009B737E">
        <w:rPr>
          <w:rFonts w:ascii="Calibri" w:hAnsi="Calibri" w:cs="Calibri"/>
          <w:lang w:eastAsia="en-NZ"/>
        </w:rPr>
        <w:t xml:space="preserve"> </w:t>
      </w:r>
      <w:r w:rsidRPr="009B737E">
        <w:rPr>
          <w:rFonts w:ascii="Calibri" w:hAnsi="Calibri" w:cs="Calibri"/>
          <w:lang w:eastAsia="en-NZ"/>
        </w:rPr>
        <w:t>and</w:t>
      </w:r>
      <w:r w:rsidR="003D640C" w:rsidRPr="009B737E">
        <w:rPr>
          <w:rFonts w:ascii="Calibri" w:hAnsi="Calibri" w:cs="Calibri"/>
          <w:lang w:eastAsia="en-NZ"/>
        </w:rPr>
        <w:t xml:space="preserve"> </w:t>
      </w:r>
      <w:r w:rsidRPr="009B737E">
        <w:rPr>
          <w:rFonts w:ascii="Calibri" w:hAnsi="Calibri" w:cs="Calibri"/>
          <w:lang w:eastAsia="en-NZ"/>
        </w:rPr>
        <w:t>conversion</w:t>
      </w:r>
      <w:r w:rsidR="003D640C" w:rsidRPr="009B737E">
        <w:rPr>
          <w:rFonts w:ascii="Calibri" w:hAnsi="Calibri" w:cs="Calibri"/>
          <w:lang w:eastAsia="en-NZ"/>
        </w:rPr>
        <w:t xml:space="preserve"> </w:t>
      </w:r>
      <w:r w:rsidRPr="009B737E">
        <w:rPr>
          <w:rFonts w:ascii="Calibri" w:hAnsi="Calibri" w:cs="Calibri"/>
          <w:lang w:eastAsia="en-NZ"/>
        </w:rPr>
        <w:t>practices</w:t>
      </w:r>
      <w:r w:rsidR="003D640C" w:rsidRPr="009B737E">
        <w:rPr>
          <w:rFonts w:ascii="Calibri" w:hAnsi="Calibri" w:cs="Calibri"/>
          <w:lang w:eastAsia="en-NZ"/>
        </w:rPr>
        <w:t xml:space="preserve"> </w:t>
      </w:r>
      <w:r w:rsidRPr="009B737E">
        <w:rPr>
          <w:rFonts w:ascii="Calibri" w:hAnsi="Calibri" w:cs="Calibri"/>
          <w:lang w:eastAsia="en-NZ"/>
        </w:rPr>
        <w:t>survivors.</w:t>
      </w:r>
      <w:r w:rsidR="003D640C" w:rsidRPr="009B737E">
        <w:rPr>
          <w:rFonts w:ascii="Calibri" w:hAnsi="Calibri" w:cs="Calibri"/>
          <w:lang w:eastAsia="en-NZ"/>
        </w:rPr>
        <w:t xml:space="preserve"> </w:t>
      </w:r>
      <w:r w:rsidRPr="009B737E">
        <w:rPr>
          <w:rFonts w:ascii="Calibri" w:hAnsi="Calibri" w:cs="Calibri"/>
          <w:lang w:eastAsia="en-NZ"/>
        </w:rPr>
        <w:t>By</w:t>
      </w:r>
      <w:r w:rsidR="003D640C" w:rsidRPr="009B737E">
        <w:rPr>
          <w:rFonts w:ascii="Calibri" w:hAnsi="Calibri" w:cs="Calibri"/>
          <w:lang w:eastAsia="en-NZ"/>
        </w:rPr>
        <w:t xml:space="preserve"> </w:t>
      </w:r>
      <w:r w:rsidRPr="009B737E">
        <w:rPr>
          <w:rFonts w:ascii="Calibri" w:hAnsi="Calibri" w:cs="Calibri"/>
          <w:lang w:eastAsia="en-NZ"/>
        </w:rPr>
        <w:t>working</w:t>
      </w:r>
      <w:r w:rsidR="003D640C" w:rsidRPr="009B737E">
        <w:rPr>
          <w:rFonts w:ascii="Calibri" w:hAnsi="Calibri" w:cs="Calibri"/>
          <w:lang w:eastAsia="en-NZ"/>
        </w:rPr>
        <w:t xml:space="preserve"> </w:t>
      </w:r>
      <w:r w:rsidRPr="009B737E">
        <w:rPr>
          <w:rFonts w:ascii="Calibri" w:hAnsi="Calibri" w:cs="Calibri"/>
          <w:lang w:eastAsia="en-NZ"/>
        </w:rPr>
        <w:t>together,</w:t>
      </w:r>
      <w:r w:rsidR="003D640C" w:rsidRPr="009B737E">
        <w:rPr>
          <w:rFonts w:ascii="Calibri" w:hAnsi="Calibri" w:cs="Calibri"/>
          <w:lang w:eastAsia="en-NZ"/>
        </w:rPr>
        <w:t xml:space="preserve"> </w:t>
      </w:r>
      <w:r w:rsidRPr="009B737E">
        <w:rPr>
          <w:rFonts w:ascii="Calibri" w:hAnsi="Calibri" w:cs="Calibri"/>
          <w:lang w:eastAsia="en-NZ"/>
        </w:rPr>
        <w:t>sharing</w:t>
      </w:r>
      <w:r w:rsidR="003D640C" w:rsidRPr="009B737E">
        <w:rPr>
          <w:rFonts w:ascii="Calibri" w:hAnsi="Calibri" w:cs="Calibri"/>
          <w:lang w:eastAsia="en-NZ"/>
        </w:rPr>
        <w:t xml:space="preserve"> </w:t>
      </w:r>
      <w:r w:rsidRPr="009B737E">
        <w:rPr>
          <w:rFonts w:ascii="Calibri" w:hAnsi="Calibri" w:cs="Calibri"/>
          <w:lang w:eastAsia="en-NZ"/>
        </w:rPr>
        <w:t>resources,</w:t>
      </w:r>
      <w:r w:rsidR="003D640C" w:rsidRPr="009B737E">
        <w:rPr>
          <w:rFonts w:ascii="Calibri" w:hAnsi="Calibri" w:cs="Calibri"/>
          <w:lang w:eastAsia="en-NZ"/>
        </w:rPr>
        <w:t xml:space="preserve"> </w:t>
      </w:r>
      <w:r w:rsidRPr="009B737E">
        <w:rPr>
          <w:rFonts w:ascii="Calibri" w:hAnsi="Calibri" w:cs="Calibri"/>
          <w:lang w:eastAsia="en-NZ"/>
        </w:rPr>
        <w:t>and</w:t>
      </w:r>
      <w:r w:rsidR="003D640C" w:rsidRPr="009B737E">
        <w:rPr>
          <w:rFonts w:ascii="Calibri" w:hAnsi="Calibri" w:cs="Calibri"/>
          <w:lang w:eastAsia="en-NZ"/>
        </w:rPr>
        <w:t xml:space="preserve"> </w:t>
      </w:r>
      <w:r w:rsidRPr="009B737E">
        <w:rPr>
          <w:rFonts w:ascii="Calibri" w:hAnsi="Calibri" w:cs="Calibri"/>
          <w:lang w:eastAsia="en-NZ"/>
        </w:rPr>
        <w:t>aligning</w:t>
      </w:r>
      <w:r w:rsidR="003D640C" w:rsidRPr="009B737E">
        <w:rPr>
          <w:rFonts w:ascii="Calibri" w:hAnsi="Calibri" w:cs="Calibri"/>
          <w:lang w:eastAsia="en-NZ"/>
        </w:rPr>
        <w:t xml:space="preserve"> </w:t>
      </w:r>
      <w:r w:rsidRPr="009B737E">
        <w:rPr>
          <w:rFonts w:ascii="Calibri" w:hAnsi="Calibri" w:cs="Calibri"/>
          <w:lang w:eastAsia="en-NZ"/>
        </w:rPr>
        <w:t>efforts,</w:t>
      </w:r>
      <w:r w:rsidR="003D640C" w:rsidRPr="009B737E">
        <w:rPr>
          <w:rFonts w:ascii="Calibri" w:hAnsi="Calibri" w:cs="Calibri"/>
          <w:lang w:eastAsia="en-NZ"/>
        </w:rPr>
        <w:t xml:space="preserve"> </w:t>
      </w:r>
      <w:r w:rsidRPr="009B737E">
        <w:rPr>
          <w:rFonts w:ascii="Calibri" w:hAnsi="Calibri" w:cs="Calibri"/>
          <w:lang w:eastAsia="en-NZ"/>
        </w:rPr>
        <w:t>a</w:t>
      </w:r>
      <w:r w:rsidR="003D640C" w:rsidRPr="009B737E">
        <w:rPr>
          <w:rFonts w:ascii="Calibri" w:hAnsi="Calibri" w:cs="Calibri"/>
          <w:lang w:eastAsia="en-NZ"/>
        </w:rPr>
        <w:t xml:space="preserve"> </w:t>
      </w:r>
      <w:r w:rsidRPr="009B737E">
        <w:rPr>
          <w:rFonts w:ascii="Calibri" w:hAnsi="Calibri" w:cs="Calibri"/>
          <w:lang w:eastAsia="en-NZ"/>
        </w:rPr>
        <w:t>stronger</w:t>
      </w:r>
      <w:r w:rsidR="003D640C" w:rsidRPr="009B737E">
        <w:rPr>
          <w:rFonts w:ascii="Calibri" w:hAnsi="Calibri" w:cs="Calibri"/>
          <w:lang w:eastAsia="en-NZ"/>
        </w:rPr>
        <w:t xml:space="preserve"> </w:t>
      </w:r>
      <w:r w:rsidRPr="009B737E">
        <w:rPr>
          <w:rFonts w:ascii="Calibri" w:hAnsi="Calibri" w:cs="Calibri"/>
          <w:lang w:eastAsia="en-NZ"/>
        </w:rPr>
        <w:t>collective</w:t>
      </w:r>
      <w:r w:rsidR="003D640C" w:rsidRPr="009B737E">
        <w:rPr>
          <w:rFonts w:ascii="Calibri" w:hAnsi="Calibri" w:cs="Calibri"/>
          <w:lang w:eastAsia="en-NZ"/>
        </w:rPr>
        <w:t xml:space="preserve"> </w:t>
      </w:r>
      <w:r w:rsidRPr="009B737E">
        <w:rPr>
          <w:rFonts w:ascii="Calibri" w:hAnsi="Calibri" w:cs="Calibri"/>
          <w:lang w:eastAsia="en-NZ"/>
        </w:rPr>
        <w:t>impact</w:t>
      </w:r>
      <w:r w:rsidR="003D640C" w:rsidRPr="009B737E">
        <w:rPr>
          <w:rFonts w:ascii="Calibri" w:hAnsi="Calibri" w:cs="Calibri"/>
          <w:lang w:eastAsia="en-NZ"/>
        </w:rPr>
        <w:t xml:space="preserve"> </w:t>
      </w:r>
      <w:r w:rsidRPr="009B737E">
        <w:rPr>
          <w:rFonts w:ascii="Calibri" w:hAnsi="Calibri" w:cs="Calibri"/>
          <w:lang w:eastAsia="en-NZ"/>
        </w:rPr>
        <w:t>can</w:t>
      </w:r>
      <w:r w:rsidR="003D640C" w:rsidRPr="009B737E">
        <w:rPr>
          <w:rFonts w:ascii="Calibri" w:hAnsi="Calibri" w:cs="Calibri"/>
          <w:lang w:eastAsia="en-NZ"/>
        </w:rPr>
        <w:t xml:space="preserve"> </w:t>
      </w:r>
      <w:r w:rsidRPr="009B737E">
        <w:rPr>
          <w:rFonts w:ascii="Calibri" w:hAnsi="Calibri" w:cs="Calibri"/>
          <w:lang w:eastAsia="en-NZ"/>
        </w:rPr>
        <w:t>be</w:t>
      </w:r>
      <w:r w:rsidR="003D640C" w:rsidRPr="009B737E">
        <w:rPr>
          <w:rFonts w:ascii="Calibri" w:hAnsi="Calibri" w:cs="Calibri"/>
          <w:lang w:eastAsia="en-NZ"/>
        </w:rPr>
        <w:t xml:space="preserve"> </w:t>
      </w:r>
      <w:r w:rsidRPr="009B737E">
        <w:rPr>
          <w:rFonts w:ascii="Calibri" w:hAnsi="Calibri" w:cs="Calibri"/>
          <w:lang w:eastAsia="en-NZ"/>
        </w:rPr>
        <w:t>achieved</w:t>
      </w:r>
      <w:r w:rsidR="003D640C" w:rsidRPr="009B737E">
        <w:rPr>
          <w:rFonts w:ascii="Calibri" w:hAnsi="Calibri" w:cs="Calibri"/>
          <w:lang w:eastAsia="en-NZ"/>
        </w:rPr>
        <w:t xml:space="preserve"> </w:t>
      </w:r>
      <w:r w:rsidRPr="009B737E">
        <w:rPr>
          <w:rFonts w:ascii="Calibri" w:hAnsi="Calibri" w:cs="Calibri"/>
          <w:lang w:eastAsia="en-NZ"/>
        </w:rPr>
        <w:t>to</w:t>
      </w:r>
      <w:r w:rsidR="003D640C" w:rsidRPr="009B737E">
        <w:rPr>
          <w:rFonts w:ascii="Calibri" w:hAnsi="Calibri" w:cs="Calibri"/>
          <w:lang w:eastAsia="en-NZ"/>
        </w:rPr>
        <w:t xml:space="preserve"> </w:t>
      </w:r>
      <w:r w:rsidRPr="009B737E">
        <w:rPr>
          <w:rFonts w:ascii="Calibri" w:hAnsi="Calibri" w:cs="Calibri"/>
          <w:lang w:eastAsia="en-NZ"/>
        </w:rPr>
        <w:t>eliminate</w:t>
      </w:r>
      <w:r w:rsidR="003D640C" w:rsidRPr="009B737E">
        <w:rPr>
          <w:rFonts w:ascii="Calibri" w:hAnsi="Calibri" w:cs="Calibri"/>
          <w:lang w:eastAsia="en-NZ"/>
        </w:rPr>
        <w:t xml:space="preserve"> </w:t>
      </w:r>
      <w:r w:rsidRPr="009B737E">
        <w:rPr>
          <w:rFonts w:ascii="Calibri" w:hAnsi="Calibri" w:cs="Calibri"/>
          <w:lang w:eastAsia="en-NZ"/>
        </w:rPr>
        <w:t>conversion</w:t>
      </w:r>
      <w:r w:rsidR="003D640C" w:rsidRPr="009B737E">
        <w:rPr>
          <w:rFonts w:ascii="Calibri" w:hAnsi="Calibri" w:cs="Calibri"/>
          <w:lang w:eastAsia="en-NZ"/>
        </w:rPr>
        <w:t xml:space="preserve"> </w:t>
      </w:r>
      <w:r w:rsidRPr="009B737E">
        <w:rPr>
          <w:rFonts w:ascii="Calibri" w:hAnsi="Calibri" w:cs="Calibri"/>
          <w:lang w:eastAsia="en-NZ"/>
        </w:rPr>
        <w:t>practices.</w:t>
      </w:r>
    </w:p>
    <w:p w14:paraId="0C486540" w14:textId="77777777" w:rsidR="00501068" w:rsidRDefault="00C044A8" w:rsidP="0097273A">
      <w:pPr>
        <w:pStyle w:val="Heading2"/>
      </w:pPr>
      <w:bookmarkStart w:id="444" w:name="_Toc138325210"/>
      <w:bookmarkStart w:id="445" w:name="_Toc138343867"/>
      <w:bookmarkStart w:id="446" w:name="_Toc167780654"/>
      <w:bookmarkStart w:id="447" w:name="_Toc114273485"/>
      <w:bookmarkStart w:id="448" w:name="_Toc174628716"/>
      <w:r w:rsidRPr="00BB6220">
        <w:t>To</w:t>
      </w:r>
      <w:r w:rsidR="003D640C">
        <w:t xml:space="preserve"> </w:t>
      </w:r>
      <w:r w:rsidRPr="00BB6220">
        <w:t>the</w:t>
      </w:r>
      <w:r w:rsidR="003D640C">
        <w:t xml:space="preserve"> </w:t>
      </w:r>
      <w:r w:rsidR="004579B0" w:rsidRPr="00BB6220">
        <w:t>Rainbow</w:t>
      </w:r>
      <w:r w:rsidR="003D640C">
        <w:t xml:space="preserve"> </w:t>
      </w:r>
      <w:r w:rsidRPr="00BB6220">
        <w:t>community</w:t>
      </w:r>
      <w:bookmarkEnd w:id="444"/>
      <w:bookmarkEnd w:id="445"/>
      <w:bookmarkEnd w:id="446"/>
      <w:bookmarkEnd w:id="447"/>
      <w:bookmarkEnd w:id="448"/>
    </w:p>
    <w:p w14:paraId="3575E4BE" w14:textId="45FA1C2B" w:rsidR="00501068" w:rsidRDefault="00C044A8" w:rsidP="008A6C50">
      <w:pPr>
        <w:pStyle w:val="ListParagraph"/>
        <w:numPr>
          <w:ilvl w:val="0"/>
          <w:numId w:val="117"/>
        </w:numPr>
        <w:ind w:left="357" w:hanging="357"/>
        <w:rPr>
          <w:rFonts w:ascii="Calibri" w:hAnsi="Calibri" w:cs="Calibri"/>
          <w:lang w:eastAsia="en-NZ"/>
        </w:rPr>
      </w:pPr>
      <w:r w:rsidRPr="00BB6220">
        <w:rPr>
          <w:rFonts w:ascii="Calibri" w:hAnsi="Calibri" w:cs="Calibri"/>
          <w:b/>
          <w:bCs/>
          <w:lang w:eastAsia="en-NZ"/>
        </w:rPr>
        <w:t>Recognise</w:t>
      </w:r>
      <w:r w:rsidR="003D640C">
        <w:rPr>
          <w:rFonts w:ascii="Calibri" w:hAnsi="Calibri" w:cs="Calibri"/>
          <w:b/>
          <w:bCs/>
          <w:lang w:eastAsia="en-NZ"/>
        </w:rPr>
        <w:t xml:space="preserve"> </w:t>
      </w:r>
      <w:r w:rsidRPr="00BB6220">
        <w:rPr>
          <w:rFonts w:ascii="Calibri" w:hAnsi="Calibri" w:cs="Calibri"/>
          <w:b/>
          <w:bCs/>
          <w:lang w:eastAsia="en-NZ"/>
        </w:rPr>
        <w:t>the</w:t>
      </w:r>
      <w:r w:rsidR="003D640C">
        <w:rPr>
          <w:rFonts w:ascii="Calibri" w:hAnsi="Calibri" w:cs="Calibri"/>
          <w:b/>
          <w:bCs/>
          <w:lang w:eastAsia="en-NZ"/>
        </w:rPr>
        <w:t xml:space="preserve"> </w:t>
      </w:r>
      <w:r w:rsidRPr="00BB6220">
        <w:rPr>
          <w:rFonts w:ascii="Calibri" w:hAnsi="Calibri" w:cs="Calibri"/>
          <w:b/>
          <w:bCs/>
          <w:lang w:eastAsia="en-NZ"/>
        </w:rPr>
        <w:t>significant</w:t>
      </w:r>
      <w:r w:rsidR="003D640C">
        <w:rPr>
          <w:rFonts w:ascii="Calibri" w:hAnsi="Calibri" w:cs="Calibri"/>
          <w:b/>
          <w:bCs/>
          <w:lang w:eastAsia="en-NZ"/>
        </w:rPr>
        <w:t xml:space="preserve"> </w:t>
      </w:r>
      <w:r w:rsidRPr="00BB6220">
        <w:rPr>
          <w:rFonts w:ascii="Calibri" w:hAnsi="Calibri" w:cs="Calibri"/>
          <w:b/>
          <w:bCs/>
          <w:lang w:eastAsia="en-NZ"/>
        </w:rPr>
        <w:t>impact</w:t>
      </w:r>
      <w:r w:rsidR="003D640C">
        <w:rPr>
          <w:rFonts w:ascii="Calibri" w:hAnsi="Calibri" w:cs="Calibri"/>
          <w:b/>
          <w:bCs/>
          <w:lang w:eastAsia="en-NZ"/>
        </w:rPr>
        <w:t xml:space="preserve"> </w:t>
      </w:r>
      <w:r w:rsidRPr="00BB6220">
        <w:rPr>
          <w:rFonts w:ascii="Calibri" w:hAnsi="Calibri" w:cs="Calibri"/>
          <w:b/>
          <w:bCs/>
          <w:lang w:eastAsia="en-NZ"/>
        </w:rPr>
        <w:t>you</w:t>
      </w:r>
      <w:r w:rsidR="003D640C">
        <w:rPr>
          <w:rFonts w:ascii="Calibri" w:hAnsi="Calibri" w:cs="Calibri"/>
          <w:b/>
          <w:bCs/>
          <w:lang w:eastAsia="en-NZ"/>
        </w:rPr>
        <w:t xml:space="preserve"> </w:t>
      </w:r>
      <w:r w:rsidRPr="00BB6220">
        <w:rPr>
          <w:rFonts w:ascii="Calibri" w:hAnsi="Calibri" w:cs="Calibri"/>
          <w:b/>
          <w:bCs/>
          <w:lang w:eastAsia="en-NZ"/>
        </w:rPr>
        <w:t>can</w:t>
      </w:r>
      <w:r w:rsidR="003D640C">
        <w:rPr>
          <w:rFonts w:ascii="Calibri" w:hAnsi="Calibri" w:cs="Calibri"/>
          <w:b/>
          <w:bCs/>
          <w:lang w:eastAsia="en-NZ"/>
        </w:rPr>
        <w:t xml:space="preserve"> </w:t>
      </w:r>
      <w:r w:rsidRPr="00BB6220">
        <w:rPr>
          <w:rFonts w:ascii="Calibri" w:hAnsi="Calibri" w:cs="Calibri"/>
          <w:b/>
          <w:bCs/>
          <w:lang w:eastAsia="en-NZ"/>
        </w:rPr>
        <w:t>have</w:t>
      </w:r>
      <w:r w:rsidR="003D640C">
        <w:rPr>
          <w:rFonts w:ascii="Calibri" w:hAnsi="Calibri" w:cs="Calibri"/>
          <w:b/>
          <w:bCs/>
          <w:lang w:eastAsia="en-NZ"/>
        </w:rPr>
        <w:t xml:space="preserve"> </w:t>
      </w:r>
      <w:r w:rsidRPr="00BB6220">
        <w:rPr>
          <w:rFonts w:ascii="Calibri" w:hAnsi="Calibri" w:cs="Calibri"/>
          <w:b/>
          <w:bCs/>
          <w:lang w:eastAsia="en-NZ"/>
        </w:rPr>
        <w:t>on</w:t>
      </w:r>
      <w:r w:rsidR="003D640C">
        <w:rPr>
          <w:rFonts w:ascii="Calibri" w:hAnsi="Calibri" w:cs="Calibri"/>
          <w:b/>
          <w:bCs/>
          <w:lang w:eastAsia="en-NZ"/>
        </w:rPr>
        <w:t xml:space="preserve"> </w:t>
      </w:r>
      <w:r w:rsidRPr="00BB6220">
        <w:rPr>
          <w:rFonts w:ascii="Calibri" w:hAnsi="Calibri" w:cs="Calibri"/>
          <w:b/>
          <w:bCs/>
          <w:lang w:eastAsia="en-NZ"/>
        </w:rPr>
        <w:t>the</w:t>
      </w:r>
      <w:r w:rsidR="003D640C">
        <w:rPr>
          <w:rFonts w:ascii="Calibri" w:hAnsi="Calibri" w:cs="Calibri"/>
          <w:b/>
          <w:bCs/>
          <w:lang w:eastAsia="en-NZ"/>
        </w:rPr>
        <w:t xml:space="preserve"> </w:t>
      </w:r>
      <w:r w:rsidRPr="00BB6220">
        <w:rPr>
          <w:rFonts w:ascii="Calibri" w:hAnsi="Calibri" w:cs="Calibri"/>
          <w:b/>
          <w:bCs/>
          <w:lang w:eastAsia="en-NZ"/>
        </w:rPr>
        <w:t>mental</w:t>
      </w:r>
      <w:r w:rsidR="003D640C">
        <w:rPr>
          <w:rFonts w:ascii="Calibri" w:hAnsi="Calibri" w:cs="Calibri"/>
          <w:b/>
          <w:bCs/>
          <w:lang w:eastAsia="en-NZ"/>
        </w:rPr>
        <w:t xml:space="preserve"> </w:t>
      </w:r>
      <w:r w:rsidRPr="00BB6220">
        <w:rPr>
          <w:rFonts w:ascii="Calibri" w:hAnsi="Calibri" w:cs="Calibri"/>
          <w:b/>
          <w:bCs/>
          <w:lang w:eastAsia="en-NZ"/>
        </w:rPr>
        <w:t>health</w:t>
      </w:r>
      <w:r w:rsidR="003D640C">
        <w:rPr>
          <w:rFonts w:ascii="Calibri" w:hAnsi="Calibri" w:cs="Calibri"/>
          <w:b/>
          <w:bCs/>
          <w:lang w:eastAsia="en-NZ"/>
        </w:rPr>
        <w:t xml:space="preserve"> </w:t>
      </w:r>
      <w:r w:rsidRPr="00BB6220">
        <w:rPr>
          <w:rFonts w:ascii="Calibri" w:hAnsi="Calibri" w:cs="Calibri"/>
          <w:b/>
          <w:bCs/>
          <w:lang w:eastAsia="en-NZ"/>
        </w:rPr>
        <w:t>of</w:t>
      </w:r>
      <w:r w:rsidR="003D640C">
        <w:rPr>
          <w:rFonts w:ascii="Calibri" w:hAnsi="Calibri" w:cs="Calibri"/>
          <w:b/>
          <w:bCs/>
          <w:lang w:eastAsia="en-NZ"/>
        </w:rPr>
        <w:t xml:space="preserve"> </w:t>
      </w:r>
      <w:r w:rsidRPr="00BB6220">
        <w:rPr>
          <w:rFonts w:ascii="Calibri" w:hAnsi="Calibri" w:cs="Calibri"/>
          <w:b/>
          <w:bCs/>
          <w:lang w:eastAsia="en-NZ"/>
        </w:rPr>
        <w:t>someone</w:t>
      </w:r>
      <w:r w:rsidR="003D640C">
        <w:rPr>
          <w:rFonts w:ascii="Calibri" w:hAnsi="Calibri" w:cs="Calibri"/>
          <w:b/>
          <w:bCs/>
          <w:lang w:eastAsia="en-NZ"/>
        </w:rPr>
        <w:t xml:space="preserve"> </w:t>
      </w:r>
      <w:r w:rsidRPr="00BB6220">
        <w:rPr>
          <w:rFonts w:ascii="Calibri" w:hAnsi="Calibri" w:cs="Calibri"/>
          <w:b/>
          <w:bCs/>
          <w:lang w:eastAsia="en-NZ"/>
        </w:rPr>
        <w:t>leaving</w:t>
      </w:r>
      <w:r w:rsidR="003D640C">
        <w:rPr>
          <w:rFonts w:ascii="Calibri" w:hAnsi="Calibri" w:cs="Calibri"/>
          <w:b/>
          <w:bCs/>
          <w:lang w:eastAsia="en-NZ"/>
        </w:rPr>
        <w:t xml:space="preserve"> </w:t>
      </w:r>
      <w:r w:rsidRPr="00BB6220">
        <w:rPr>
          <w:rFonts w:ascii="Calibri" w:hAnsi="Calibri" w:cs="Calibri"/>
          <w:b/>
          <w:bCs/>
          <w:lang w:eastAsia="en-NZ"/>
        </w:rPr>
        <w:t>conversion</w:t>
      </w:r>
      <w:r w:rsidR="003D640C">
        <w:rPr>
          <w:rFonts w:ascii="Calibri" w:hAnsi="Calibri" w:cs="Calibri"/>
          <w:b/>
          <w:bCs/>
          <w:lang w:eastAsia="en-NZ"/>
        </w:rPr>
        <w:t xml:space="preserve"> </w:t>
      </w:r>
      <w:r w:rsidRPr="00BB6220">
        <w:rPr>
          <w:rFonts w:ascii="Calibri" w:hAnsi="Calibri" w:cs="Calibri"/>
          <w:b/>
          <w:bCs/>
          <w:lang w:eastAsia="en-NZ"/>
        </w:rPr>
        <w:t>practices</w:t>
      </w:r>
      <w:r w:rsidR="003D640C">
        <w:rPr>
          <w:rFonts w:ascii="Calibri" w:hAnsi="Calibri" w:cs="Calibri"/>
          <w:b/>
          <w:bCs/>
          <w:lang w:eastAsia="en-NZ"/>
        </w:rPr>
        <w:t xml:space="preserve"> </w:t>
      </w:r>
      <w:r w:rsidRPr="00BB6220">
        <w:rPr>
          <w:rFonts w:ascii="Calibri" w:hAnsi="Calibri" w:cs="Calibri"/>
          <w:b/>
          <w:bCs/>
          <w:lang w:eastAsia="en-NZ"/>
        </w:rPr>
        <w:t>and</w:t>
      </w:r>
      <w:r w:rsidR="003D640C">
        <w:rPr>
          <w:rFonts w:ascii="Calibri" w:hAnsi="Calibri" w:cs="Calibri"/>
          <w:b/>
          <w:bCs/>
          <w:lang w:eastAsia="en-NZ"/>
        </w:rPr>
        <w:t xml:space="preserve"> </w:t>
      </w:r>
      <w:r w:rsidRPr="00BB6220">
        <w:rPr>
          <w:rFonts w:ascii="Calibri" w:hAnsi="Calibri" w:cs="Calibri"/>
          <w:b/>
          <w:bCs/>
          <w:lang w:eastAsia="en-NZ"/>
        </w:rPr>
        <w:t>entering</w:t>
      </w:r>
      <w:r w:rsidR="003D640C">
        <w:rPr>
          <w:rFonts w:ascii="Calibri" w:hAnsi="Calibri" w:cs="Calibri"/>
          <w:b/>
          <w:bCs/>
          <w:lang w:eastAsia="en-NZ"/>
        </w:rPr>
        <w:t xml:space="preserve"> </w:t>
      </w:r>
      <w:r w:rsidRPr="00BB6220">
        <w:rPr>
          <w:rFonts w:ascii="Calibri" w:hAnsi="Calibri" w:cs="Calibri"/>
          <w:b/>
          <w:bCs/>
          <w:lang w:eastAsia="en-NZ"/>
        </w:rPr>
        <w:t>your</w:t>
      </w:r>
      <w:r w:rsidR="003D640C">
        <w:rPr>
          <w:rFonts w:ascii="Calibri" w:hAnsi="Calibri" w:cs="Calibri"/>
          <w:b/>
          <w:bCs/>
          <w:lang w:eastAsia="en-NZ"/>
        </w:rPr>
        <w:t xml:space="preserve"> </w:t>
      </w:r>
      <w:r w:rsidRPr="00BB6220">
        <w:rPr>
          <w:rFonts w:ascii="Calibri" w:hAnsi="Calibri" w:cs="Calibri"/>
          <w:b/>
          <w:bCs/>
          <w:lang w:eastAsia="en-NZ"/>
        </w:rPr>
        <w:t>community</w:t>
      </w:r>
      <w:r w:rsidR="000D7651">
        <w:rPr>
          <w:rFonts w:ascii="Calibri" w:hAnsi="Calibri" w:cs="Calibri"/>
          <w:b/>
          <w:bCs/>
          <w:lang w:eastAsia="en-NZ"/>
        </w:rPr>
        <w:br/>
      </w:r>
      <w:r w:rsidRPr="00BB6220">
        <w:rPr>
          <w:rFonts w:ascii="Calibri" w:hAnsi="Calibri" w:cs="Calibri"/>
          <w:lang w:eastAsia="en-NZ"/>
        </w:rPr>
        <w:t>Provide</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place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safety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acceptance</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noting</w:t>
      </w:r>
      <w:r w:rsidR="003D640C">
        <w:rPr>
          <w:rFonts w:ascii="Calibri" w:hAnsi="Calibri" w:cs="Calibri"/>
          <w:lang w:eastAsia="en-NZ"/>
        </w:rPr>
        <w:t xml:space="preserve"> </w:t>
      </w:r>
      <w:r w:rsidRPr="00BB6220">
        <w:rPr>
          <w:rFonts w:ascii="Calibri" w:hAnsi="Calibri" w:cs="Calibri"/>
          <w:lang w:eastAsia="en-NZ"/>
        </w:rPr>
        <w:t>that</w:t>
      </w:r>
      <w:r w:rsidR="004579B0" w:rsidRPr="00BB6220">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even</w:t>
      </w:r>
      <w:r w:rsidR="003D640C">
        <w:rPr>
          <w:rFonts w:ascii="Calibri" w:hAnsi="Calibri" w:cs="Calibri"/>
          <w:lang w:eastAsia="en-NZ"/>
        </w:rPr>
        <w:t xml:space="preserve"> </w:t>
      </w:r>
      <w:r w:rsidRPr="00BB6220">
        <w:rPr>
          <w:rFonts w:ascii="Calibri" w:hAnsi="Calibri" w:cs="Calibri"/>
          <w:lang w:eastAsia="en-NZ"/>
        </w:rPr>
        <w:t>though</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anti-</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parts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their</w:t>
      </w:r>
      <w:r w:rsidR="003D640C">
        <w:rPr>
          <w:rFonts w:ascii="Calibri" w:hAnsi="Calibri" w:cs="Calibri"/>
          <w:lang w:eastAsia="en-NZ"/>
        </w:rPr>
        <w:t xml:space="preserve"> </w:t>
      </w:r>
      <w:r w:rsidRPr="00BB6220">
        <w:rPr>
          <w:rFonts w:ascii="Calibri" w:hAnsi="Calibri" w:cs="Calibri"/>
          <w:lang w:eastAsia="en-NZ"/>
        </w:rPr>
        <w:t>experience</w:t>
      </w:r>
      <w:r w:rsidR="003D640C">
        <w:rPr>
          <w:rFonts w:ascii="Calibri" w:hAnsi="Calibri" w:cs="Calibri"/>
          <w:lang w:eastAsia="en-NZ"/>
        </w:rPr>
        <w:t xml:space="preserve"> </w:t>
      </w:r>
      <w:r w:rsidRPr="00BB6220">
        <w:rPr>
          <w:rFonts w:ascii="Calibri" w:hAnsi="Calibri" w:cs="Calibri"/>
          <w:lang w:eastAsia="en-NZ"/>
        </w:rPr>
        <w:t>may</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confronting,</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part</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need</w:t>
      </w:r>
      <w:r w:rsidR="003D640C">
        <w:rPr>
          <w:rFonts w:ascii="Calibri" w:hAnsi="Calibri" w:cs="Calibri"/>
          <w:lang w:eastAsia="en-NZ"/>
        </w:rPr>
        <w:t xml:space="preserve"> </w:t>
      </w:r>
      <w:r w:rsidRPr="00BB6220">
        <w:rPr>
          <w:rFonts w:ascii="Calibri" w:hAnsi="Calibri" w:cs="Calibri"/>
          <w:lang w:eastAsia="en-NZ"/>
        </w:rPr>
        <w:t>support.</w:t>
      </w:r>
      <w:r w:rsidR="003D640C">
        <w:rPr>
          <w:rFonts w:ascii="Calibri" w:hAnsi="Calibri" w:cs="Calibri"/>
          <w:lang w:eastAsia="en-NZ"/>
        </w:rPr>
        <w:t xml:space="preserve"> </w:t>
      </w:r>
      <w:r w:rsidR="009D4A3C">
        <w:rPr>
          <w:rFonts w:ascii="Calibri" w:hAnsi="Calibri" w:cs="Calibri"/>
          <w:lang w:eastAsia="en-NZ"/>
        </w:rPr>
        <w:t>This</w:t>
      </w:r>
      <w:r w:rsidR="003D640C">
        <w:rPr>
          <w:rFonts w:ascii="Calibri" w:hAnsi="Calibri" w:cs="Calibri"/>
          <w:lang w:eastAsia="en-NZ"/>
        </w:rPr>
        <w:t xml:space="preserve"> </w:t>
      </w:r>
      <w:r w:rsidR="009D4A3C">
        <w:rPr>
          <w:rFonts w:ascii="Calibri" w:hAnsi="Calibri" w:cs="Calibri"/>
          <w:lang w:eastAsia="en-NZ"/>
        </w:rPr>
        <w:t>is</w:t>
      </w:r>
      <w:r w:rsidR="003D640C">
        <w:rPr>
          <w:rFonts w:ascii="Calibri" w:hAnsi="Calibri" w:cs="Calibri"/>
          <w:lang w:eastAsia="en-NZ"/>
        </w:rPr>
        <w:t xml:space="preserve"> </w:t>
      </w:r>
      <w:r w:rsidR="009D4A3C">
        <w:rPr>
          <w:rFonts w:ascii="Calibri" w:hAnsi="Calibri" w:cs="Calibri"/>
          <w:lang w:eastAsia="en-NZ"/>
        </w:rPr>
        <w:t>especially</w:t>
      </w:r>
      <w:r w:rsidR="003D640C">
        <w:rPr>
          <w:rFonts w:ascii="Calibri" w:hAnsi="Calibri" w:cs="Calibri"/>
          <w:lang w:eastAsia="en-NZ"/>
        </w:rPr>
        <w:t xml:space="preserve"> </w:t>
      </w:r>
      <w:r w:rsidR="009D4A3C">
        <w:rPr>
          <w:rFonts w:ascii="Calibri" w:hAnsi="Calibri" w:cs="Calibri"/>
          <w:lang w:eastAsia="en-NZ"/>
        </w:rPr>
        <w:t>the</w:t>
      </w:r>
      <w:r w:rsidR="003D640C">
        <w:rPr>
          <w:rFonts w:ascii="Calibri" w:hAnsi="Calibri" w:cs="Calibri"/>
          <w:lang w:eastAsia="en-NZ"/>
        </w:rPr>
        <w:t xml:space="preserve"> </w:t>
      </w:r>
      <w:r w:rsidR="009D4A3C">
        <w:rPr>
          <w:rFonts w:ascii="Calibri" w:hAnsi="Calibri" w:cs="Calibri"/>
          <w:lang w:eastAsia="en-NZ"/>
        </w:rPr>
        <w:t>case</w:t>
      </w:r>
      <w:r w:rsidR="003D640C">
        <w:rPr>
          <w:rFonts w:ascii="Calibri" w:hAnsi="Calibri" w:cs="Calibri"/>
          <w:lang w:eastAsia="en-NZ"/>
        </w:rPr>
        <w:t xml:space="preserve"> </w:t>
      </w:r>
      <w:r w:rsidR="009D4A3C">
        <w:rPr>
          <w:rFonts w:ascii="Calibri" w:hAnsi="Calibri" w:cs="Calibri"/>
          <w:lang w:eastAsia="en-NZ"/>
        </w:rPr>
        <w:t>for</w:t>
      </w:r>
      <w:r w:rsidR="003D640C">
        <w:rPr>
          <w:rFonts w:ascii="Calibri" w:hAnsi="Calibri" w:cs="Calibri"/>
          <w:lang w:eastAsia="en-NZ"/>
        </w:rPr>
        <w:t xml:space="preserve"> </w:t>
      </w:r>
      <w:r w:rsidR="009D4A3C">
        <w:rPr>
          <w:rFonts w:ascii="Calibri" w:hAnsi="Calibri" w:cs="Calibri"/>
          <w:lang w:eastAsia="en-NZ"/>
        </w:rPr>
        <w:t>survivors</w:t>
      </w:r>
      <w:r w:rsidR="003D640C">
        <w:rPr>
          <w:rFonts w:ascii="Calibri" w:hAnsi="Calibri" w:cs="Calibri"/>
          <w:lang w:eastAsia="en-NZ"/>
        </w:rPr>
        <w:t xml:space="preserve"> </w:t>
      </w:r>
      <w:r w:rsidR="009D4A3C">
        <w:rPr>
          <w:rFonts w:ascii="Calibri" w:hAnsi="Calibri" w:cs="Calibri"/>
          <w:lang w:eastAsia="en-NZ"/>
        </w:rPr>
        <w:t>from</w:t>
      </w:r>
      <w:r w:rsidR="003D640C">
        <w:rPr>
          <w:rFonts w:ascii="Calibri" w:hAnsi="Calibri" w:cs="Calibri"/>
          <w:lang w:eastAsia="en-NZ"/>
        </w:rPr>
        <w:t xml:space="preserve"> </w:t>
      </w:r>
      <w:r w:rsidR="009D4A3C">
        <w:rPr>
          <w:rFonts w:ascii="Calibri" w:hAnsi="Calibri" w:cs="Calibri"/>
          <w:lang w:eastAsia="en-NZ"/>
        </w:rPr>
        <w:t>Māori,</w:t>
      </w:r>
      <w:r w:rsidR="003D640C">
        <w:rPr>
          <w:rFonts w:ascii="Calibri" w:hAnsi="Calibri" w:cs="Calibri"/>
          <w:lang w:eastAsia="en-NZ"/>
        </w:rPr>
        <w:t xml:space="preserve"> </w:t>
      </w:r>
      <w:r w:rsidR="009D4A3C">
        <w:rPr>
          <w:rFonts w:ascii="Calibri" w:hAnsi="Calibri" w:cs="Calibri"/>
          <w:lang w:eastAsia="en-NZ"/>
        </w:rPr>
        <w:t>Pacific</w:t>
      </w:r>
      <w:r w:rsidR="003D640C">
        <w:rPr>
          <w:rFonts w:ascii="Calibri" w:hAnsi="Calibri" w:cs="Calibri"/>
          <w:lang w:eastAsia="en-NZ"/>
        </w:rPr>
        <w:t xml:space="preserve"> </w:t>
      </w:r>
      <w:r w:rsidR="009D4A3C">
        <w:rPr>
          <w:rFonts w:ascii="Calibri" w:hAnsi="Calibri" w:cs="Calibri"/>
          <w:lang w:eastAsia="en-NZ"/>
        </w:rPr>
        <w:t>and</w:t>
      </w:r>
      <w:r w:rsidR="003D640C">
        <w:rPr>
          <w:rFonts w:ascii="Calibri" w:hAnsi="Calibri" w:cs="Calibri"/>
          <w:lang w:eastAsia="en-NZ"/>
        </w:rPr>
        <w:t xml:space="preserve"> </w:t>
      </w:r>
      <w:r w:rsidR="009D4A3C">
        <w:rPr>
          <w:rFonts w:ascii="Calibri" w:hAnsi="Calibri" w:cs="Calibri"/>
          <w:lang w:eastAsia="en-NZ"/>
        </w:rPr>
        <w:t>ethnic</w:t>
      </w:r>
      <w:r w:rsidR="003D640C">
        <w:rPr>
          <w:rFonts w:ascii="Calibri" w:hAnsi="Calibri" w:cs="Calibri"/>
          <w:lang w:eastAsia="en-NZ"/>
        </w:rPr>
        <w:t xml:space="preserve"> </w:t>
      </w:r>
      <w:r w:rsidR="009D4A3C">
        <w:rPr>
          <w:rFonts w:ascii="Calibri" w:hAnsi="Calibri" w:cs="Calibri"/>
          <w:lang w:eastAsia="en-NZ"/>
        </w:rPr>
        <w:t>communities</w:t>
      </w:r>
      <w:r w:rsidR="003D640C">
        <w:rPr>
          <w:rFonts w:ascii="Calibri" w:hAnsi="Calibri" w:cs="Calibri"/>
          <w:lang w:eastAsia="en-NZ"/>
        </w:rPr>
        <w:t xml:space="preserve"> </w:t>
      </w:r>
      <w:r w:rsidR="009D4A3C">
        <w:rPr>
          <w:rFonts w:ascii="Calibri" w:hAnsi="Calibri" w:cs="Calibri"/>
          <w:lang w:eastAsia="en-NZ"/>
        </w:rPr>
        <w:t>who</w:t>
      </w:r>
      <w:r w:rsidR="003D640C">
        <w:rPr>
          <w:rFonts w:ascii="Calibri" w:hAnsi="Calibri" w:cs="Calibri"/>
          <w:lang w:eastAsia="en-NZ"/>
        </w:rPr>
        <w:t xml:space="preserve"> </w:t>
      </w:r>
      <w:r w:rsidR="009D4A3C">
        <w:rPr>
          <w:rFonts w:ascii="Calibri" w:hAnsi="Calibri" w:cs="Calibri"/>
          <w:lang w:eastAsia="en-NZ"/>
        </w:rPr>
        <w:t>wish</w:t>
      </w:r>
      <w:r w:rsidR="003D640C">
        <w:rPr>
          <w:rFonts w:ascii="Calibri" w:hAnsi="Calibri" w:cs="Calibri"/>
          <w:lang w:eastAsia="en-NZ"/>
        </w:rPr>
        <w:t xml:space="preserve"> </w:t>
      </w:r>
      <w:r w:rsidR="009D4A3C">
        <w:rPr>
          <w:rFonts w:ascii="Calibri" w:hAnsi="Calibri" w:cs="Calibri"/>
          <w:lang w:eastAsia="en-NZ"/>
        </w:rPr>
        <w:t>to</w:t>
      </w:r>
      <w:r w:rsidR="003D640C">
        <w:rPr>
          <w:rFonts w:ascii="Calibri" w:hAnsi="Calibri" w:cs="Calibri"/>
          <w:lang w:eastAsia="en-NZ"/>
        </w:rPr>
        <w:t xml:space="preserve"> </w:t>
      </w:r>
      <w:r w:rsidR="009D4A3C">
        <w:rPr>
          <w:rFonts w:ascii="Calibri" w:hAnsi="Calibri" w:cs="Calibri"/>
          <w:lang w:eastAsia="en-NZ"/>
        </w:rPr>
        <w:t>preserve</w:t>
      </w:r>
      <w:r w:rsidR="003D640C">
        <w:rPr>
          <w:rFonts w:ascii="Calibri" w:hAnsi="Calibri" w:cs="Calibri"/>
          <w:lang w:eastAsia="en-NZ"/>
        </w:rPr>
        <w:t xml:space="preserve"> </w:t>
      </w:r>
      <w:r w:rsidR="009D4A3C">
        <w:rPr>
          <w:rFonts w:ascii="Calibri" w:hAnsi="Calibri" w:cs="Calibri"/>
          <w:lang w:eastAsia="en-NZ"/>
        </w:rPr>
        <w:t>links</w:t>
      </w:r>
      <w:r w:rsidR="003D640C">
        <w:rPr>
          <w:rFonts w:ascii="Calibri" w:hAnsi="Calibri" w:cs="Calibri"/>
          <w:lang w:eastAsia="en-NZ"/>
        </w:rPr>
        <w:t xml:space="preserve"> </w:t>
      </w:r>
      <w:r w:rsidR="009D4A3C">
        <w:rPr>
          <w:rFonts w:ascii="Calibri" w:hAnsi="Calibri" w:cs="Calibri"/>
          <w:lang w:eastAsia="en-NZ"/>
        </w:rPr>
        <w:t>to</w:t>
      </w:r>
      <w:r w:rsidR="003D640C">
        <w:rPr>
          <w:rFonts w:ascii="Calibri" w:hAnsi="Calibri" w:cs="Calibri"/>
          <w:lang w:eastAsia="en-NZ"/>
        </w:rPr>
        <w:t xml:space="preserve"> </w:t>
      </w:r>
      <w:r w:rsidR="009D4A3C">
        <w:rPr>
          <w:rFonts w:ascii="Calibri" w:hAnsi="Calibri" w:cs="Calibri"/>
          <w:lang w:eastAsia="en-NZ"/>
        </w:rPr>
        <w:t>whānau,</w:t>
      </w:r>
      <w:r w:rsidR="003D640C">
        <w:rPr>
          <w:rFonts w:ascii="Calibri" w:hAnsi="Calibri" w:cs="Calibri"/>
          <w:lang w:eastAsia="en-NZ"/>
        </w:rPr>
        <w:t xml:space="preserve"> </w:t>
      </w:r>
      <w:r w:rsidR="009D4A3C">
        <w:rPr>
          <w:rFonts w:ascii="Calibri" w:hAnsi="Calibri" w:cs="Calibri"/>
          <w:lang w:eastAsia="en-NZ"/>
        </w:rPr>
        <w:t>family</w:t>
      </w:r>
      <w:r w:rsidR="00E264E5">
        <w:rPr>
          <w:rFonts w:ascii="Calibri" w:hAnsi="Calibri" w:cs="Calibri"/>
          <w:lang w:eastAsia="en-NZ"/>
        </w:rPr>
        <w:t>,</w:t>
      </w:r>
      <w:r w:rsidR="003D640C">
        <w:rPr>
          <w:rFonts w:ascii="Calibri" w:hAnsi="Calibri" w:cs="Calibri"/>
          <w:lang w:eastAsia="en-NZ"/>
        </w:rPr>
        <w:t xml:space="preserve"> </w:t>
      </w:r>
      <w:r w:rsidR="009D4A3C">
        <w:rPr>
          <w:rFonts w:ascii="Calibri" w:hAnsi="Calibri" w:cs="Calibri"/>
          <w:lang w:eastAsia="en-NZ"/>
        </w:rPr>
        <w:t>and</w:t>
      </w:r>
      <w:r w:rsidR="003D640C">
        <w:rPr>
          <w:rFonts w:ascii="Calibri" w:hAnsi="Calibri" w:cs="Calibri"/>
          <w:lang w:eastAsia="en-NZ"/>
        </w:rPr>
        <w:t xml:space="preserve"> </w:t>
      </w:r>
      <w:r w:rsidR="009D4A3C">
        <w:rPr>
          <w:rFonts w:ascii="Calibri" w:hAnsi="Calibri" w:cs="Calibri"/>
          <w:lang w:eastAsia="en-NZ"/>
        </w:rPr>
        <w:t>communities</w:t>
      </w:r>
      <w:r w:rsidR="003D640C">
        <w:rPr>
          <w:rFonts w:ascii="Calibri" w:hAnsi="Calibri" w:cs="Calibri"/>
          <w:lang w:eastAsia="en-NZ"/>
        </w:rPr>
        <w:t xml:space="preserve"> </w:t>
      </w:r>
      <w:r w:rsidR="009D4A3C">
        <w:rPr>
          <w:rFonts w:ascii="Calibri" w:hAnsi="Calibri" w:cs="Calibri"/>
          <w:lang w:eastAsia="en-NZ"/>
        </w:rPr>
        <w:t>that</w:t>
      </w:r>
      <w:r w:rsidR="003D640C">
        <w:rPr>
          <w:rFonts w:ascii="Calibri" w:hAnsi="Calibri" w:cs="Calibri"/>
          <w:lang w:eastAsia="en-NZ"/>
        </w:rPr>
        <w:t xml:space="preserve"> </w:t>
      </w:r>
      <w:r w:rsidR="009D4A3C">
        <w:rPr>
          <w:rFonts w:ascii="Calibri" w:hAnsi="Calibri" w:cs="Calibri"/>
          <w:lang w:eastAsia="en-NZ"/>
        </w:rPr>
        <w:t>may</w:t>
      </w:r>
      <w:r w:rsidR="003D640C">
        <w:rPr>
          <w:rFonts w:ascii="Calibri" w:hAnsi="Calibri" w:cs="Calibri"/>
          <w:lang w:eastAsia="en-NZ"/>
        </w:rPr>
        <w:t xml:space="preserve"> </w:t>
      </w:r>
      <w:r w:rsidR="009D4A3C">
        <w:rPr>
          <w:rFonts w:ascii="Calibri" w:hAnsi="Calibri" w:cs="Calibri"/>
          <w:lang w:eastAsia="en-NZ"/>
        </w:rPr>
        <w:t>have</w:t>
      </w:r>
      <w:r w:rsidR="003D640C">
        <w:rPr>
          <w:rFonts w:ascii="Calibri" w:hAnsi="Calibri" w:cs="Calibri"/>
          <w:lang w:eastAsia="en-NZ"/>
        </w:rPr>
        <w:t xml:space="preserve"> </w:t>
      </w:r>
      <w:r w:rsidR="009D4A3C">
        <w:rPr>
          <w:rFonts w:ascii="Calibri" w:hAnsi="Calibri" w:cs="Calibri"/>
          <w:lang w:eastAsia="en-NZ"/>
        </w:rPr>
        <w:t>harmed</w:t>
      </w:r>
      <w:r w:rsidR="003D640C">
        <w:rPr>
          <w:rFonts w:ascii="Calibri" w:hAnsi="Calibri" w:cs="Calibri"/>
          <w:lang w:eastAsia="en-NZ"/>
        </w:rPr>
        <w:t xml:space="preserve"> </w:t>
      </w:r>
      <w:r w:rsidR="009D4A3C">
        <w:rPr>
          <w:rFonts w:ascii="Calibri" w:hAnsi="Calibri" w:cs="Calibri"/>
          <w:lang w:eastAsia="en-NZ"/>
        </w:rPr>
        <w:t>them.</w:t>
      </w:r>
    </w:p>
    <w:p w14:paraId="3AF2F5F0" w14:textId="77777777" w:rsidR="00501068" w:rsidRDefault="00C044A8" w:rsidP="008A6C50">
      <w:pPr>
        <w:pStyle w:val="Heading2"/>
        <w:keepNext/>
      </w:pPr>
      <w:bookmarkStart w:id="449" w:name="_Toc138325211"/>
      <w:bookmarkStart w:id="450" w:name="_Toc138343868"/>
      <w:bookmarkStart w:id="451" w:name="_Toc167780655"/>
      <w:bookmarkStart w:id="452" w:name="_Toc188498727"/>
      <w:bookmarkStart w:id="453" w:name="_Toc174628717"/>
      <w:r w:rsidRPr="00BB6220">
        <w:t>To</w:t>
      </w:r>
      <w:r w:rsidR="003D640C">
        <w:t xml:space="preserve"> </w:t>
      </w:r>
      <w:r w:rsidRPr="00BB6220">
        <w:t>the</w:t>
      </w:r>
      <w:r w:rsidR="003D640C">
        <w:t xml:space="preserve"> </w:t>
      </w:r>
      <w:r w:rsidRPr="00BB6220">
        <w:t>wider</w:t>
      </w:r>
      <w:r w:rsidR="003D640C">
        <w:t xml:space="preserve"> </w:t>
      </w:r>
      <w:r w:rsidRPr="00BB6220">
        <w:t>community</w:t>
      </w:r>
      <w:bookmarkEnd w:id="449"/>
      <w:bookmarkEnd w:id="450"/>
      <w:bookmarkEnd w:id="451"/>
      <w:bookmarkEnd w:id="452"/>
      <w:bookmarkEnd w:id="453"/>
    </w:p>
    <w:p w14:paraId="2F56127D" w14:textId="4AB636E2" w:rsidR="00501068" w:rsidRDefault="00C044A8" w:rsidP="009B737E">
      <w:pPr>
        <w:pStyle w:val="ListParagraph"/>
        <w:numPr>
          <w:ilvl w:val="0"/>
          <w:numId w:val="117"/>
        </w:numPr>
        <w:rPr>
          <w:rFonts w:ascii="Calibri" w:hAnsi="Calibri" w:cs="Calibri"/>
          <w:lang w:eastAsia="en-NZ"/>
        </w:rPr>
      </w:pPr>
      <w:bookmarkStart w:id="454" w:name="_Hlk149629557"/>
      <w:r w:rsidRPr="00BB6220">
        <w:rPr>
          <w:rFonts w:ascii="Calibri" w:hAnsi="Calibri" w:cs="Calibri"/>
          <w:b/>
          <w:bCs/>
          <w:lang w:eastAsia="en-NZ"/>
        </w:rPr>
        <w:t>Show</w:t>
      </w:r>
      <w:r w:rsidR="003D640C">
        <w:rPr>
          <w:rFonts w:ascii="Calibri" w:hAnsi="Calibri" w:cs="Calibri"/>
          <w:b/>
          <w:bCs/>
          <w:lang w:eastAsia="en-NZ"/>
        </w:rPr>
        <w:t xml:space="preserve"> </w:t>
      </w:r>
      <w:r w:rsidRPr="00BB6220">
        <w:rPr>
          <w:rFonts w:ascii="Calibri" w:hAnsi="Calibri" w:cs="Calibri"/>
          <w:b/>
          <w:bCs/>
          <w:lang w:eastAsia="en-NZ"/>
        </w:rPr>
        <w:t>compassion</w:t>
      </w:r>
      <w:r w:rsidR="00B52447">
        <w:rPr>
          <w:rFonts w:ascii="Calibri" w:hAnsi="Calibri" w:cs="Calibri"/>
          <w:b/>
          <w:bCs/>
          <w:lang w:eastAsia="en-NZ"/>
        </w:rPr>
        <w:br/>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often</w:t>
      </w:r>
      <w:r w:rsidR="003D640C">
        <w:rPr>
          <w:rFonts w:ascii="Calibri" w:hAnsi="Calibri" w:cs="Calibri"/>
          <w:lang w:eastAsia="en-NZ"/>
        </w:rPr>
        <w:t xml:space="preserve"> </w:t>
      </w:r>
      <w:r w:rsidRPr="00BB6220">
        <w:rPr>
          <w:rFonts w:ascii="Calibri" w:hAnsi="Calibri" w:cs="Calibri"/>
          <w:lang w:eastAsia="en-NZ"/>
        </w:rPr>
        <w:t>misunderstood.</w:t>
      </w:r>
      <w:r w:rsidR="003D640C">
        <w:rPr>
          <w:rFonts w:ascii="Calibri" w:hAnsi="Calibri" w:cs="Calibri"/>
          <w:lang w:eastAsia="en-NZ"/>
        </w:rPr>
        <w:t xml:space="preserve"> </w:t>
      </w:r>
      <w:r w:rsidR="6A1BE15D" w:rsidRPr="00BB6220">
        <w:rPr>
          <w:rFonts w:ascii="Calibri" w:hAnsi="Calibri" w:cs="Calibri"/>
          <w:lang w:eastAsia="en-NZ"/>
        </w:rPr>
        <w:t>Avoid</w:t>
      </w:r>
      <w:r w:rsidR="003D640C">
        <w:rPr>
          <w:rFonts w:ascii="Calibri" w:hAnsi="Calibri" w:cs="Calibri"/>
          <w:lang w:eastAsia="en-NZ"/>
        </w:rPr>
        <w:t xml:space="preserve"> </w:t>
      </w:r>
      <w:r w:rsidRPr="00BB6220">
        <w:rPr>
          <w:rFonts w:ascii="Calibri" w:hAnsi="Calibri" w:cs="Calibri"/>
          <w:lang w:eastAsia="en-NZ"/>
        </w:rPr>
        <w:t>judg</w:t>
      </w:r>
      <w:r w:rsidR="64B30581" w:rsidRPr="00BB6220">
        <w:rPr>
          <w:rFonts w:ascii="Calibri" w:hAnsi="Calibri" w:cs="Calibri"/>
          <w:lang w:eastAsia="en-NZ"/>
        </w:rPr>
        <w:t>ing</w:t>
      </w:r>
      <w:r w:rsidR="003D640C">
        <w:rPr>
          <w:rFonts w:ascii="Calibri" w:hAnsi="Calibri" w:cs="Calibri"/>
          <w:lang w:eastAsia="en-NZ"/>
        </w:rPr>
        <w:t xml:space="preserve"> </w:t>
      </w:r>
      <w:r w:rsidRPr="00BB6220">
        <w:rPr>
          <w:rFonts w:ascii="Calibri" w:hAnsi="Calibri" w:cs="Calibri"/>
          <w:lang w:eastAsia="en-NZ"/>
        </w:rPr>
        <w:t>them</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experiences</w:t>
      </w:r>
      <w:r w:rsidR="003D640C">
        <w:rPr>
          <w:rFonts w:ascii="Calibri" w:hAnsi="Calibri" w:cs="Calibri"/>
          <w:lang w:eastAsia="en-NZ"/>
        </w:rPr>
        <w:t xml:space="preserve"> </w:t>
      </w:r>
      <w:r w:rsidRPr="009B737E">
        <w:t>they’ve</w:t>
      </w:r>
      <w:r w:rsidR="003D640C">
        <w:rPr>
          <w:rFonts w:ascii="Calibri" w:hAnsi="Calibri" w:cs="Calibri"/>
          <w:lang w:eastAsia="en-NZ"/>
        </w:rPr>
        <w:t xml:space="preserve"> </w:t>
      </w:r>
      <w:r w:rsidRPr="00BB6220">
        <w:rPr>
          <w:rFonts w:ascii="Calibri" w:hAnsi="Calibri" w:cs="Calibri"/>
          <w:lang w:eastAsia="en-NZ"/>
        </w:rPr>
        <w:t>been</w:t>
      </w:r>
      <w:r w:rsidR="003D640C">
        <w:rPr>
          <w:rFonts w:ascii="Calibri" w:hAnsi="Calibri" w:cs="Calibri"/>
          <w:lang w:eastAsia="en-NZ"/>
        </w:rPr>
        <w:t xml:space="preserve"> </w:t>
      </w:r>
      <w:r w:rsidRPr="00BB6220">
        <w:rPr>
          <w:rFonts w:ascii="Calibri" w:hAnsi="Calibri" w:cs="Calibri"/>
          <w:lang w:eastAsia="en-NZ"/>
        </w:rPr>
        <w:t>through.</w:t>
      </w:r>
      <w:r w:rsidR="003D640C">
        <w:rPr>
          <w:rFonts w:ascii="Calibri" w:hAnsi="Calibri" w:cs="Calibri"/>
          <w:lang w:eastAsia="en-NZ"/>
        </w:rPr>
        <w:t xml:space="preserve"> </w:t>
      </w:r>
      <w:r w:rsidRPr="00BB6220">
        <w:rPr>
          <w:rFonts w:ascii="Calibri" w:hAnsi="Calibri" w:cs="Calibri"/>
          <w:lang w:eastAsia="en-NZ"/>
        </w:rPr>
        <w:t>Learn</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coercive</w:t>
      </w:r>
      <w:r w:rsidR="003D640C">
        <w:rPr>
          <w:rFonts w:ascii="Calibri" w:hAnsi="Calibri" w:cs="Calibri"/>
          <w:lang w:eastAsia="en-NZ"/>
        </w:rPr>
        <w:t xml:space="preserve"> </w:t>
      </w:r>
      <w:r w:rsidRPr="00BB6220">
        <w:rPr>
          <w:rFonts w:ascii="Calibri" w:hAnsi="Calibri" w:cs="Calibri"/>
          <w:lang w:eastAsia="en-NZ"/>
        </w:rPr>
        <w:t>power</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indoctrination</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how</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can</w:t>
      </w:r>
      <w:r w:rsidR="003D640C">
        <w:rPr>
          <w:rFonts w:ascii="Calibri" w:hAnsi="Calibri" w:cs="Calibri"/>
          <w:lang w:eastAsia="en-NZ"/>
        </w:rPr>
        <w:t xml:space="preserve"> </w:t>
      </w:r>
      <w:r w:rsidRPr="00BB6220">
        <w:rPr>
          <w:rFonts w:ascii="Calibri" w:hAnsi="Calibri" w:cs="Calibri"/>
          <w:lang w:eastAsia="en-NZ"/>
        </w:rPr>
        <w:t>leave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with</w:t>
      </w:r>
      <w:r w:rsidR="003D640C">
        <w:rPr>
          <w:rFonts w:ascii="Calibri" w:hAnsi="Calibri" w:cs="Calibri"/>
          <w:lang w:eastAsia="en-NZ"/>
        </w:rPr>
        <w:t xml:space="preserve"> </w:t>
      </w:r>
      <w:r w:rsidRPr="00BB6220">
        <w:rPr>
          <w:rFonts w:ascii="Calibri" w:hAnsi="Calibri" w:cs="Calibri"/>
          <w:lang w:eastAsia="en-NZ"/>
        </w:rPr>
        <w:t>no</w:t>
      </w:r>
      <w:r w:rsidR="003D640C">
        <w:rPr>
          <w:rFonts w:ascii="Calibri" w:hAnsi="Calibri" w:cs="Calibri"/>
          <w:lang w:eastAsia="en-NZ"/>
        </w:rPr>
        <w:t xml:space="preserve"> </w:t>
      </w:r>
      <w:r w:rsidRPr="00BB6220">
        <w:rPr>
          <w:rFonts w:ascii="Calibri" w:hAnsi="Calibri" w:cs="Calibri"/>
          <w:lang w:eastAsia="en-NZ"/>
        </w:rPr>
        <w:t>choice</w:t>
      </w:r>
      <w:r w:rsidR="003D640C">
        <w:rPr>
          <w:rFonts w:ascii="Calibri" w:hAnsi="Calibri" w:cs="Calibri"/>
          <w:lang w:eastAsia="en-NZ"/>
        </w:rPr>
        <w:t xml:space="preserve"> </w:t>
      </w:r>
      <w:r w:rsidRPr="00BB6220">
        <w:rPr>
          <w:rFonts w:ascii="Calibri" w:hAnsi="Calibri" w:cs="Calibri"/>
          <w:lang w:eastAsia="en-NZ"/>
        </w:rPr>
        <w:t>but</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try</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change</w:t>
      </w:r>
      <w:r w:rsidR="003D640C">
        <w:rPr>
          <w:rFonts w:ascii="Calibri" w:hAnsi="Calibri" w:cs="Calibri"/>
          <w:lang w:eastAsia="en-NZ"/>
        </w:rPr>
        <w:t xml:space="preserve"> </w:t>
      </w:r>
      <w:r w:rsidRPr="00BB6220">
        <w:rPr>
          <w:rFonts w:ascii="Calibri" w:hAnsi="Calibri" w:cs="Calibri"/>
          <w:lang w:eastAsia="en-NZ"/>
        </w:rPr>
        <w:t>or</w:t>
      </w:r>
      <w:r w:rsidR="003D640C">
        <w:rPr>
          <w:rFonts w:ascii="Calibri" w:hAnsi="Calibri" w:cs="Calibri"/>
          <w:lang w:eastAsia="en-NZ"/>
        </w:rPr>
        <w:t xml:space="preserve"> </w:t>
      </w:r>
      <w:r w:rsidRPr="00BB6220">
        <w:rPr>
          <w:rFonts w:ascii="Calibri" w:hAnsi="Calibri" w:cs="Calibri"/>
          <w:lang w:eastAsia="en-NZ"/>
        </w:rPr>
        <w:t>suppress</w:t>
      </w:r>
      <w:r w:rsidR="003D640C">
        <w:rPr>
          <w:rFonts w:ascii="Calibri" w:hAnsi="Calibri" w:cs="Calibri"/>
          <w:lang w:eastAsia="en-NZ"/>
        </w:rPr>
        <w:t xml:space="preserve"> </w:t>
      </w:r>
      <w:r w:rsidRPr="00BB6220">
        <w:rPr>
          <w:rFonts w:ascii="Calibri" w:hAnsi="Calibri" w:cs="Calibri"/>
          <w:lang w:eastAsia="en-NZ"/>
        </w:rPr>
        <w:t>who</w:t>
      </w:r>
      <w:r w:rsidR="003D640C">
        <w:rPr>
          <w:rFonts w:ascii="Calibri" w:hAnsi="Calibri" w:cs="Calibri"/>
          <w:lang w:eastAsia="en-NZ"/>
        </w:rPr>
        <w:t xml:space="preserve"> </w:t>
      </w:r>
      <w:r w:rsidRPr="00BB6220">
        <w:rPr>
          <w:rFonts w:ascii="Calibri" w:hAnsi="Calibri" w:cs="Calibri"/>
          <w:lang w:eastAsia="en-NZ"/>
        </w:rPr>
        <w:t>they</w:t>
      </w:r>
      <w:r w:rsidR="003D640C">
        <w:rPr>
          <w:rFonts w:ascii="Calibri" w:hAnsi="Calibri" w:cs="Calibri"/>
          <w:lang w:eastAsia="en-NZ"/>
        </w:rPr>
        <w:t xml:space="preserve"> </w:t>
      </w:r>
      <w:r w:rsidRPr="00BB6220">
        <w:rPr>
          <w:rFonts w:ascii="Calibri" w:hAnsi="Calibri" w:cs="Calibri"/>
          <w:lang w:eastAsia="en-NZ"/>
        </w:rPr>
        <w:t>are.</w:t>
      </w:r>
    </w:p>
    <w:p w14:paraId="49356FCD" w14:textId="63F40834" w:rsidR="00501068" w:rsidRDefault="00C044A8" w:rsidP="009B737E">
      <w:pPr>
        <w:pStyle w:val="ListParagraph"/>
        <w:numPr>
          <w:ilvl w:val="0"/>
          <w:numId w:val="117"/>
        </w:numPr>
        <w:rPr>
          <w:rFonts w:ascii="Calibri" w:hAnsi="Calibri" w:cs="Calibri"/>
          <w:lang w:eastAsia="en-NZ"/>
        </w:rPr>
      </w:pPr>
      <w:r w:rsidRPr="00BB6220">
        <w:rPr>
          <w:rFonts w:ascii="Calibri" w:hAnsi="Calibri" w:cs="Calibri"/>
          <w:b/>
          <w:bCs/>
          <w:lang w:eastAsia="en-NZ"/>
        </w:rPr>
        <w:t>Engage</w:t>
      </w:r>
      <w:r w:rsidR="003D640C">
        <w:rPr>
          <w:rFonts w:ascii="Calibri" w:hAnsi="Calibri" w:cs="Calibri"/>
          <w:b/>
          <w:bCs/>
          <w:lang w:eastAsia="en-NZ"/>
        </w:rPr>
        <w:t xml:space="preserve"> </w:t>
      </w:r>
      <w:r w:rsidRPr="00BB6220">
        <w:rPr>
          <w:rFonts w:ascii="Calibri" w:hAnsi="Calibri" w:cs="Calibri"/>
          <w:b/>
          <w:bCs/>
          <w:lang w:eastAsia="en-NZ"/>
        </w:rPr>
        <w:t>with</w:t>
      </w:r>
      <w:r w:rsidR="003D640C">
        <w:rPr>
          <w:rFonts w:ascii="Calibri" w:hAnsi="Calibri" w:cs="Calibri"/>
          <w:b/>
          <w:bCs/>
          <w:lang w:eastAsia="en-NZ"/>
        </w:rPr>
        <w:t xml:space="preserve"> </w:t>
      </w:r>
      <w:r w:rsidR="004579B0" w:rsidRPr="00BB6220">
        <w:rPr>
          <w:rFonts w:ascii="Calibri" w:hAnsi="Calibri" w:cs="Calibri"/>
          <w:b/>
          <w:bCs/>
          <w:lang w:eastAsia="en-NZ"/>
        </w:rPr>
        <w:t>Rainbow</w:t>
      </w:r>
      <w:r w:rsidR="003D640C">
        <w:rPr>
          <w:rFonts w:ascii="Calibri" w:hAnsi="Calibri" w:cs="Calibri"/>
          <w:b/>
          <w:bCs/>
          <w:lang w:eastAsia="en-NZ"/>
        </w:rPr>
        <w:t xml:space="preserve"> </w:t>
      </w:r>
      <w:r w:rsidRPr="00BB6220">
        <w:rPr>
          <w:rFonts w:ascii="Calibri" w:hAnsi="Calibri" w:cs="Calibri"/>
          <w:b/>
          <w:bCs/>
          <w:lang w:eastAsia="en-NZ"/>
        </w:rPr>
        <w:t>resources</w:t>
      </w:r>
      <w:r w:rsidR="003D640C">
        <w:rPr>
          <w:rFonts w:ascii="Calibri" w:hAnsi="Calibri" w:cs="Calibri"/>
          <w:b/>
          <w:bCs/>
          <w:lang w:eastAsia="en-NZ"/>
        </w:rPr>
        <w:t xml:space="preserve"> </w:t>
      </w:r>
      <w:r w:rsidRPr="00BB6220">
        <w:rPr>
          <w:rFonts w:ascii="Calibri" w:hAnsi="Calibri" w:cs="Calibri"/>
          <w:b/>
          <w:bCs/>
          <w:lang w:eastAsia="en-NZ"/>
        </w:rPr>
        <w:t>and</w:t>
      </w:r>
      <w:r w:rsidR="003D640C">
        <w:rPr>
          <w:rFonts w:ascii="Calibri" w:hAnsi="Calibri" w:cs="Calibri"/>
          <w:b/>
          <w:bCs/>
          <w:lang w:eastAsia="en-NZ"/>
        </w:rPr>
        <w:t xml:space="preserve"> </w:t>
      </w:r>
      <w:r w:rsidRPr="00BB6220">
        <w:rPr>
          <w:rFonts w:ascii="Calibri" w:hAnsi="Calibri" w:cs="Calibri"/>
          <w:b/>
          <w:bCs/>
          <w:lang w:eastAsia="en-NZ"/>
        </w:rPr>
        <w:t>content</w:t>
      </w:r>
      <w:r w:rsidR="00B52447">
        <w:rPr>
          <w:rFonts w:ascii="Calibri" w:hAnsi="Calibri" w:cs="Calibri"/>
          <w:lang w:eastAsia="en-NZ"/>
        </w:rPr>
        <w:br/>
      </w:r>
      <w:r w:rsidRPr="00BB6220">
        <w:rPr>
          <w:rFonts w:ascii="Calibri" w:hAnsi="Calibri" w:cs="Calibri"/>
          <w:lang w:eastAsia="en-NZ"/>
        </w:rPr>
        <w:t>Even</w:t>
      </w:r>
      <w:r w:rsidR="003D640C">
        <w:rPr>
          <w:rFonts w:ascii="Calibri" w:hAnsi="Calibri" w:cs="Calibri"/>
          <w:lang w:eastAsia="en-NZ"/>
        </w:rPr>
        <w:t xml:space="preserve"> </w:t>
      </w:r>
      <w:r w:rsidRPr="00BB6220">
        <w:rPr>
          <w:rFonts w:ascii="Calibri" w:hAnsi="Calibri" w:cs="Calibri"/>
          <w:lang w:eastAsia="en-NZ"/>
        </w:rPr>
        <w:t>if</w:t>
      </w:r>
      <w:r w:rsidR="003D640C">
        <w:rPr>
          <w:rFonts w:ascii="Calibri" w:hAnsi="Calibri" w:cs="Calibri"/>
          <w:lang w:eastAsia="en-NZ"/>
        </w:rPr>
        <w:t xml:space="preserve"> </w:t>
      </w:r>
      <w:r w:rsidRPr="00BB6220">
        <w:rPr>
          <w:rFonts w:ascii="Calibri" w:hAnsi="Calibri" w:cs="Calibri"/>
          <w:lang w:eastAsia="en-NZ"/>
        </w:rPr>
        <w:t>you</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already</w:t>
      </w:r>
      <w:r w:rsidR="003D640C">
        <w:rPr>
          <w:rFonts w:ascii="Calibri" w:hAnsi="Calibri" w:cs="Calibri"/>
          <w:lang w:eastAsia="en-NZ"/>
        </w:rPr>
        <w:t xml:space="preserve"> </w:t>
      </w:r>
      <w:r w:rsidRPr="00BB6220">
        <w:rPr>
          <w:rFonts w:ascii="Calibri" w:hAnsi="Calibri" w:cs="Calibri"/>
          <w:lang w:eastAsia="en-NZ"/>
        </w:rPr>
        <w:t>affirming,</w:t>
      </w:r>
      <w:r w:rsidR="003D640C">
        <w:rPr>
          <w:rFonts w:ascii="Calibri" w:hAnsi="Calibri" w:cs="Calibri"/>
          <w:lang w:eastAsia="en-NZ"/>
        </w:rPr>
        <w:t xml:space="preserve"> </w:t>
      </w:r>
      <w:r w:rsidRPr="00BB6220">
        <w:rPr>
          <w:rFonts w:ascii="Calibri" w:hAnsi="Calibri" w:cs="Calibri"/>
          <w:lang w:eastAsia="en-NZ"/>
        </w:rPr>
        <w:t>listening</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people’s</w:t>
      </w:r>
      <w:r w:rsidR="003D640C">
        <w:rPr>
          <w:rFonts w:ascii="Calibri" w:hAnsi="Calibri" w:cs="Calibri"/>
          <w:lang w:eastAsia="en-NZ"/>
        </w:rPr>
        <w:t xml:space="preserve"> </w:t>
      </w:r>
      <w:bookmarkStart w:id="455" w:name="_Int_fn8nPpGR"/>
      <w:r w:rsidRPr="00BB6220">
        <w:rPr>
          <w:rFonts w:ascii="Calibri" w:hAnsi="Calibri" w:cs="Calibri"/>
          <w:lang w:eastAsia="en-NZ"/>
        </w:rPr>
        <w:t>stories</w:t>
      </w:r>
      <w:bookmarkEnd w:id="455"/>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seeking</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better</w:t>
      </w:r>
      <w:r w:rsidR="003D640C">
        <w:rPr>
          <w:rFonts w:ascii="Calibri" w:hAnsi="Calibri" w:cs="Calibri"/>
          <w:lang w:eastAsia="en-NZ"/>
        </w:rPr>
        <w:t xml:space="preserve"> </w:t>
      </w:r>
      <w:r w:rsidRPr="00BB6220">
        <w:rPr>
          <w:rFonts w:ascii="Calibri" w:hAnsi="Calibri" w:cs="Calibri"/>
          <w:lang w:eastAsia="en-NZ"/>
        </w:rPr>
        <w:t>understand</w:t>
      </w:r>
      <w:r w:rsidR="003D640C">
        <w:rPr>
          <w:rFonts w:ascii="Calibri" w:hAnsi="Calibri" w:cs="Calibri"/>
          <w:lang w:eastAsia="en-NZ"/>
        </w:rPr>
        <w:t xml:space="preserve"> </w:t>
      </w:r>
      <w:r w:rsidRPr="00BB6220">
        <w:rPr>
          <w:rFonts w:ascii="Calibri" w:hAnsi="Calibri" w:cs="Calibri"/>
          <w:lang w:eastAsia="en-NZ"/>
        </w:rPr>
        <w:lastRenderedPageBreak/>
        <w:t>the</w:t>
      </w:r>
      <w:r w:rsidR="003D640C">
        <w:rPr>
          <w:rFonts w:ascii="Calibri" w:hAnsi="Calibri" w:cs="Calibri"/>
          <w:lang w:eastAsia="en-NZ"/>
        </w:rPr>
        <w:t xml:space="preserve"> </w:t>
      </w:r>
      <w:r w:rsidRPr="00BB6220">
        <w:rPr>
          <w:rFonts w:ascii="Calibri" w:hAnsi="Calibri" w:cs="Calibri"/>
          <w:lang w:eastAsia="en-NZ"/>
        </w:rPr>
        <w:t>stigma,</w:t>
      </w:r>
      <w:r w:rsidR="003D640C">
        <w:rPr>
          <w:rFonts w:ascii="Calibri" w:hAnsi="Calibri" w:cs="Calibri"/>
          <w:lang w:eastAsia="en-NZ"/>
        </w:rPr>
        <w:t xml:space="preserve"> </w:t>
      </w:r>
      <w:r w:rsidRPr="00BB6220">
        <w:rPr>
          <w:rFonts w:ascii="Calibri" w:hAnsi="Calibri" w:cs="Calibri"/>
          <w:lang w:eastAsia="en-NZ"/>
        </w:rPr>
        <w:t>exclusion</w:t>
      </w:r>
      <w:r w:rsidR="7CDABADB" w:rsidRPr="00BB6220">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discrimination</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face</w:t>
      </w:r>
      <w:r w:rsidR="003D640C">
        <w:rPr>
          <w:rFonts w:ascii="Calibri" w:hAnsi="Calibri" w:cs="Calibri"/>
          <w:lang w:eastAsia="en-NZ"/>
        </w:rPr>
        <w:t xml:space="preserve"> </w:t>
      </w:r>
      <w:r w:rsidRPr="00BB6220">
        <w:rPr>
          <w:rFonts w:ascii="Calibri" w:hAnsi="Calibri" w:cs="Calibri"/>
          <w:lang w:eastAsia="en-NZ"/>
        </w:rPr>
        <w:t>will</w:t>
      </w:r>
      <w:r w:rsidR="003D640C">
        <w:rPr>
          <w:rFonts w:ascii="Calibri" w:hAnsi="Calibri" w:cs="Calibri"/>
          <w:lang w:eastAsia="en-NZ"/>
        </w:rPr>
        <w:t xml:space="preserve"> </w:t>
      </w:r>
      <w:r w:rsidRPr="00BB6220">
        <w:rPr>
          <w:rFonts w:ascii="Calibri" w:hAnsi="Calibri" w:cs="Calibri"/>
          <w:lang w:eastAsia="en-NZ"/>
        </w:rPr>
        <w:t>help</w:t>
      </w:r>
      <w:r w:rsidR="003D640C">
        <w:rPr>
          <w:rFonts w:ascii="Calibri" w:hAnsi="Calibri" w:cs="Calibri"/>
          <w:lang w:eastAsia="en-NZ"/>
        </w:rPr>
        <w:t xml:space="preserve"> </w:t>
      </w:r>
      <w:r w:rsidRPr="00BB6220">
        <w:rPr>
          <w:rFonts w:ascii="Calibri" w:hAnsi="Calibri" w:cs="Calibri"/>
          <w:lang w:eastAsia="en-NZ"/>
        </w:rPr>
        <w:t>create</w:t>
      </w:r>
      <w:r w:rsidR="003D640C">
        <w:rPr>
          <w:rFonts w:ascii="Calibri" w:hAnsi="Calibri" w:cs="Calibri"/>
          <w:lang w:eastAsia="en-NZ"/>
        </w:rPr>
        <w:t xml:space="preserve"> </w:t>
      </w:r>
      <w:r w:rsidRPr="00BB6220">
        <w:rPr>
          <w:rFonts w:ascii="Calibri" w:hAnsi="Calibri" w:cs="Calibri"/>
          <w:lang w:eastAsia="en-NZ"/>
        </w:rPr>
        <w:t>an</w:t>
      </w:r>
      <w:r w:rsidR="003D640C">
        <w:rPr>
          <w:rFonts w:ascii="Calibri" w:hAnsi="Calibri" w:cs="Calibri"/>
          <w:lang w:eastAsia="en-NZ"/>
        </w:rPr>
        <w:t xml:space="preserve"> </w:t>
      </w:r>
      <w:r w:rsidRPr="00BB6220">
        <w:rPr>
          <w:rFonts w:ascii="Calibri" w:hAnsi="Calibri" w:cs="Calibri"/>
          <w:lang w:eastAsia="en-NZ"/>
        </w:rPr>
        <w:t>Aotearoa</w:t>
      </w:r>
      <w:r w:rsidR="003D640C">
        <w:rPr>
          <w:rFonts w:ascii="Calibri" w:hAnsi="Calibri" w:cs="Calibri"/>
          <w:lang w:eastAsia="en-NZ"/>
        </w:rPr>
        <w:t xml:space="preserve"> </w:t>
      </w:r>
      <w:r w:rsidRPr="00BB6220">
        <w:rPr>
          <w:rFonts w:ascii="Calibri" w:hAnsi="Calibri" w:cs="Calibri"/>
          <w:lang w:eastAsia="en-NZ"/>
        </w:rPr>
        <w:t>where</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would</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unthinkable.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organisations</w:t>
      </w:r>
      <w:r w:rsidR="003D640C">
        <w:rPr>
          <w:rFonts w:ascii="Calibri" w:hAnsi="Calibri" w:cs="Calibri"/>
          <w:lang w:eastAsia="en-NZ"/>
        </w:rPr>
        <w:t xml:space="preserve"> </w:t>
      </w:r>
      <w:r w:rsidRPr="00BB6220">
        <w:rPr>
          <w:rFonts w:ascii="Calibri" w:hAnsi="Calibri" w:cs="Calibri"/>
          <w:lang w:eastAsia="en-NZ"/>
        </w:rPr>
        <w:t>provide</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range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affirming</w:t>
      </w:r>
      <w:r w:rsidR="003D640C">
        <w:rPr>
          <w:rFonts w:ascii="Calibri" w:hAnsi="Calibri" w:cs="Calibri"/>
          <w:lang w:eastAsia="en-NZ"/>
        </w:rPr>
        <w:t xml:space="preserve"> </w:t>
      </w:r>
      <w:r w:rsidRPr="00BB6220">
        <w:rPr>
          <w:rFonts w:ascii="Calibri" w:hAnsi="Calibri" w:cs="Calibri"/>
          <w:lang w:eastAsia="en-NZ"/>
        </w:rPr>
        <w:t>resources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help.</w:t>
      </w:r>
    </w:p>
    <w:p w14:paraId="7BC1B76B" w14:textId="55E2FC8F" w:rsidR="00501068" w:rsidRDefault="00C044A8" w:rsidP="009B737E">
      <w:pPr>
        <w:pStyle w:val="ListParagraph"/>
        <w:numPr>
          <w:ilvl w:val="0"/>
          <w:numId w:val="117"/>
        </w:numPr>
        <w:rPr>
          <w:rFonts w:ascii="Calibri" w:hAnsi="Calibri" w:cs="Calibri"/>
          <w:b/>
          <w:bCs/>
          <w:lang w:eastAsia="en-NZ"/>
        </w:rPr>
      </w:pPr>
      <w:r w:rsidRPr="00BB6220">
        <w:rPr>
          <w:rFonts w:ascii="Calibri" w:hAnsi="Calibri" w:cs="Calibri"/>
          <w:b/>
          <w:bCs/>
          <w:lang w:eastAsia="en-NZ"/>
        </w:rPr>
        <w:t>Do</w:t>
      </w:r>
      <w:r w:rsidR="003D640C">
        <w:rPr>
          <w:rFonts w:ascii="Calibri" w:hAnsi="Calibri" w:cs="Calibri"/>
          <w:b/>
          <w:bCs/>
          <w:lang w:eastAsia="en-NZ"/>
        </w:rPr>
        <w:t xml:space="preserve"> </w:t>
      </w:r>
      <w:r w:rsidRPr="00BB6220">
        <w:rPr>
          <w:rFonts w:ascii="Calibri" w:hAnsi="Calibri" w:cs="Calibri"/>
          <w:b/>
          <w:bCs/>
          <w:lang w:eastAsia="en-NZ"/>
        </w:rPr>
        <w:t>not</w:t>
      </w:r>
      <w:r w:rsidR="003D640C">
        <w:rPr>
          <w:rFonts w:ascii="Calibri" w:hAnsi="Calibri" w:cs="Calibri"/>
          <w:b/>
          <w:bCs/>
          <w:lang w:eastAsia="en-NZ"/>
        </w:rPr>
        <w:t xml:space="preserve"> </w:t>
      </w:r>
      <w:r w:rsidRPr="00BB6220">
        <w:rPr>
          <w:rFonts w:ascii="Calibri" w:hAnsi="Calibri" w:cs="Calibri"/>
          <w:b/>
          <w:bCs/>
          <w:lang w:eastAsia="en-NZ"/>
        </w:rPr>
        <w:t>support</w:t>
      </w:r>
      <w:r w:rsidR="003D640C">
        <w:rPr>
          <w:rFonts w:ascii="Calibri" w:hAnsi="Calibri" w:cs="Calibri"/>
          <w:b/>
          <w:bCs/>
          <w:lang w:eastAsia="en-NZ"/>
        </w:rPr>
        <w:t xml:space="preserve"> </w:t>
      </w:r>
      <w:r w:rsidRPr="00BB6220">
        <w:rPr>
          <w:rFonts w:ascii="Calibri" w:hAnsi="Calibri" w:cs="Calibri"/>
          <w:b/>
          <w:bCs/>
          <w:lang w:eastAsia="en-NZ"/>
        </w:rPr>
        <w:t>fear-based</w:t>
      </w:r>
      <w:r w:rsidR="003D640C">
        <w:rPr>
          <w:rFonts w:ascii="Calibri" w:hAnsi="Calibri" w:cs="Calibri"/>
          <w:b/>
          <w:bCs/>
          <w:lang w:eastAsia="en-NZ"/>
        </w:rPr>
        <w:t xml:space="preserve"> </w:t>
      </w:r>
      <w:r w:rsidRPr="00BB6220">
        <w:rPr>
          <w:rFonts w:ascii="Calibri" w:hAnsi="Calibri" w:cs="Calibri"/>
          <w:b/>
          <w:bCs/>
          <w:lang w:eastAsia="en-NZ"/>
        </w:rPr>
        <w:t>mis</w:t>
      </w:r>
      <w:r w:rsidR="005A5C0D" w:rsidRPr="00BB6220">
        <w:rPr>
          <w:rFonts w:ascii="Calibri" w:hAnsi="Calibri" w:cs="Calibri"/>
          <w:b/>
          <w:bCs/>
          <w:lang w:eastAsia="en-NZ"/>
        </w:rPr>
        <w:t>-</w:t>
      </w:r>
      <w:r w:rsidR="003D640C">
        <w:rPr>
          <w:rFonts w:ascii="Calibri" w:hAnsi="Calibri" w:cs="Calibri"/>
          <w:b/>
          <w:bCs/>
          <w:lang w:eastAsia="en-NZ"/>
        </w:rPr>
        <w:t xml:space="preserve"> </w:t>
      </w:r>
      <w:r w:rsidRPr="00BB6220">
        <w:rPr>
          <w:rFonts w:ascii="Calibri" w:hAnsi="Calibri" w:cs="Calibri"/>
          <w:b/>
          <w:bCs/>
          <w:lang w:eastAsia="en-NZ"/>
        </w:rPr>
        <w:t>and</w:t>
      </w:r>
      <w:r w:rsidR="003D640C">
        <w:rPr>
          <w:rFonts w:ascii="Calibri" w:hAnsi="Calibri" w:cs="Calibri"/>
          <w:b/>
          <w:bCs/>
          <w:lang w:eastAsia="en-NZ"/>
        </w:rPr>
        <w:t xml:space="preserve"> </w:t>
      </w:r>
      <w:r w:rsidRPr="00BB6220">
        <w:rPr>
          <w:rFonts w:ascii="Calibri" w:hAnsi="Calibri" w:cs="Calibri"/>
          <w:b/>
          <w:bCs/>
          <w:lang w:eastAsia="en-NZ"/>
        </w:rPr>
        <w:t>disinformation</w:t>
      </w:r>
      <w:r w:rsidR="00B52447">
        <w:rPr>
          <w:rFonts w:ascii="Calibri" w:hAnsi="Calibri" w:cs="Calibri"/>
          <w:lang w:eastAsia="en-NZ"/>
        </w:rPr>
        <w:br/>
      </w:r>
      <w:r w:rsidRPr="00BB6220">
        <w:rPr>
          <w:rFonts w:ascii="Calibri" w:hAnsi="Calibri" w:cs="Calibri"/>
          <w:lang w:eastAsia="en-NZ"/>
        </w:rPr>
        <w:t>False</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fear-based</w:t>
      </w:r>
      <w:r w:rsidR="003D640C">
        <w:rPr>
          <w:rFonts w:ascii="Calibri" w:hAnsi="Calibri" w:cs="Calibri"/>
          <w:lang w:eastAsia="en-NZ"/>
        </w:rPr>
        <w:t xml:space="preserve"> </w:t>
      </w:r>
      <w:r w:rsidRPr="00BB6220">
        <w:rPr>
          <w:rFonts w:ascii="Calibri" w:hAnsi="Calibri" w:cs="Calibri"/>
          <w:lang w:eastAsia="en-NZ"/>
        </w:rPr>
        <w:t>narratives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mis</w:t>
      </w:r>
      <w:r w:rsidR="00B52447">
        <w:rPr>
          <w:rFonts w:ascii="Calibri" w:hAnsi="Calibri" w:cs="Calibri"/>
          <w:lang w:eastAsia="en-NZ"/>
        </w:rPr>
        <w:t xml:space="preserve">- and </w:t>
      </w:r>
      <w:r w:rsidRPr="00BB6220">
        <w:rPr>
          <w:rFonts w:ascii="Calibri" w:hAnsi="Calibri" w:cs="Calibri"/>
          <w:lang w:eastAsia="en-NZ"/>
        </w:rPr>
        <w:t>disinformation</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communities</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being</w:t>
      </w:r>
      <w:r w:rsidR="003D640C">
        <w:rPr>
          <w:rFonts w:ascii="Calibri" w:hAnsi="Calibri" w:cs="Calibri"/>
          <w:lang w:eastAsia="en-NZ"/>
        </w:rPr>
        <w:t xml:space="preserve"> </w:t>
      </w:r>
      <w:r w:rsidRPr="00BB6220">
        <w:rPr>
          <w:rFonts w:ascii="Calibri" w:hAnsi="Calibri" w:cs="Calibri"/>
          <w:lang w:eastAsia="en-NZ"/>
        </w:rPr>
        <w:t>actively</w:t>
      </w:r>
      <w:r w:rsidR="003D640C">
        <w:rPr>
          <w:rFonts w:ascii="Calibri" w:hAnsi="Calibri" w:cs="Calibri"/>
          <w:lang w:eastAsia="en-NZ"/>
        </w:rPr>
        <w:t xml:space="preserve"> </w:t>
      </w:r>
      <w:r w:rsidRPr="00BB6220">
        <w:rPr>
          <w:rFonts w:ascii="Calibri" w:hAnsi="Calibri" w:cs="Calibri"/>
          <w:lang w:eastAsia="en-NZ"/>
        </w:rPr>
        <w:t>promoted</w:t>
      </w:r>
      <w:r w:rsidR="003D640C">
        <w:rPr>
          <w:rFonts w:ascii="Calibri" w:hAnsi="Calibri" w:cs="Calibri"/>
          <w:lang w:eastAsia="en-NZ"/>
        </w:rPr>
        <w:t xml:space="preserve"> </w:t>
      </w:r>
      <w:r w:rsidRPr="00BB6220">
        <w:rPr>
          <w:rFonts w:ascii="Calibri" w:hAnsi="Calibri" w:cs="Calibri"/>
          <w:lang w:eastAsia="en-NZ"/>
        </w:rPr>
        <w:t>on</w:t>
      </w:r>
      <w:r w:rsidR="003D640C">
        <w:rPr>
          <w:rFonts w:ascii="Calibri" w:hAnsi="Calibri" w:cs="Calibri"/>
          <w:lang w:eastAsia="en-NZ"/>
        </w:rPr>
        <w:t xml:space="preserve"> </w:t>
      </w:r>
      <w:r w:rsidRPr="00BB6220">
        <w:rPr>
          <w:rFonts w:ascii="Calibri" w:hAnsi="Calibri" w:cs="Calibri"/>
          <w:lang w:eastAsia="en-NZ"/>
        </w:rPr>
        <w:t>social</w:t>
      </w:r>
      <w:r w:rsidR="003D640C">
        <w:rPr>
          <w:rFonts w:ascii="Calibri" w:hAnsi="Calibri" w:cs="Calibri"/>
          <w:lang w:eastAsia="en-NZ"/>
        </w:rPr>
        <w:t xml:space="preserve"> </w:t>
      </w:r>
      <w:r w:rsidRPr="00BB6220">
        <w:rPr>
          <w:rFonts w:ascii="Calibri" w:hAnsi="Calibri" w:cs="Calibri"/>
          <w:lang w:eastAsia="en-NZ"/>
        </w:rPr>
        <w:t>media.</w:t>
      </w:r>
      <w:r w:rsidR="003D640C">
        <w:rPr>
          <w:rFonts w:ascii="Calibri" w:hAnsi="Calibri" w:cs="Calibri"/>
          <w:lang w:eastAsia="en-NZ"/>
        </w:rPr>
        <w:t xml:space="preserve"> </w:t>
      </w:r>
      <w:r w:rsidRPr="00BB6220">
        <w:rPr>
          <w:rFonts w:ascii="Calibri" w:hAnsi="Calibri" w:cs="Calibri"/>
          <w:lang w:eastAsia="en-NZ"/>
        </w:rPr>
        <w:t>These</w:t>
      </w:r>
      <w:r w:rsidR="003D640C">
        <w:rPr>
          <w:rFonts w:ascii="Calibri" w:hAnsi="Calibri" w:cs="Calibri"/>
          <w:lang w:eastAsia="en-NZ"/>
        </w:rPr>
        <w:t xml:space="preserve"> </w:t>
      </w:r>
      <w:r w:rsidRPr="00BB6220">
        <w:rPr>
          <w:rFonts w:ascii="Calibri" w:hAnsi="Calibri" w:cs="Calibri"/>
          <w:lang w:eastAsia="en-NZ"/>
        </w:rPr>
        <w:t>politicise</w:t>
      </w:r>
      <w:r w:rsidR="003D640C">
        <w:rPr>
          <w:rFonts w:ascii="Calibri" w:hAnsi="Calibri" w:cs="Calibri"/>
          <w:lang w:eastAsia="en-NZ"/>
        </w:rPr>
        <w:t xml:space="preserve"> </w:t>
      </w:r>
      <w:r w:rsidRPr="00BB6220">
        <w:rPr>
          <w:rFonts w:ascii="Calibri" w:hAnsi="Calibri" w:cs="Calibri"/>
          <w:lang w:eastAsia="en-NZ"/>
        </w:rPr>
        <w:t>issues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dehumanise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When</w:t>
      </w:r>
      <w:r w:rsidR="003D640C">
        <w:rPr>
          <w:rFonts w:ascii="Calibri" w:hAnsi="Calibri" w:cs="Calibri"/>
          <w:lang w:eastAsia="en-NZ"/>
        </w:rPr>
        <w:t xml:space="preserve"> </w:t>
      </w:r>
      <w:r w:rsidRPr="00BB6220">
        <w:rPr>
          <w:rFonts w:ascii="Calibri" w:hAnsi="Calibri" w:cs="Calibri"/>
          <w:lang w:eastAsia="en-NZ"/>
        </w:rPr>
        <w:t>you</w:t>
      </w:r>
      <w:r w:rsidR="003D640C">
        <w:rPr>
          <w:rFonts w:ascii="Calibri" w:hAnsi="Calibri" w:cs="Calibri"/>
          <w:lang w:eastAsia="en-NZ"/>
        </w:rPr>
        <w:t xml:space="preserve"> </w:t>
      </w:r>
      <w:r w:rsidRPr="00BB6220">
        <w:rPr>
          <w:rFonts w:ascii="Calibri" w:hAnsi="Calibri" w:cs="Calibri"/>
          <w:lang w:eastAsia="en-NZ"/>
        </w:rPr>
        <w:t>see</w:t>
      </w:r>
      <w:r w:rsidR="003D640C">
        <w:rPr>
          <w:rFonts w:ascii="Calibri" w:hAnsi="Calibri" w:cs="Calibri"/>
          <w:lang w:eastAsia="en-NZ"/>
        </w:rPr>
        <w:t xml:space="preserve"> </w:t>
      </w:r>
      <w:r w:rsidRPr="00BB6220">
        <w:rPr>
          <w:rFonts w:ascii="Calibri" w:hAnsi="Calibri" w:cs="Calibri"/>
          <w:lang w:eastAsia="en-NZ"/>
        </w:rPr>
        <w:t>these</w:t>
      </w:r>
      <w:r w:rsidR="003D640C">
        <w:rPr>
          <w:rFonts w:ascii="Calibri" w:hAnsi="Calibri" w:cs="Calibri"/>
          <w:lang w:eastAsia="en-NZ"/>
        </w:rPr>
        <w:t xml:space="preserve"> </w:t>
      </w:r>
      <w:r w:rsidRPr="00BB6220">
        <w:rPr>
          <w:rFonts w:ascii="Calibri" w:hAnsi="Calibri" w:cs="Calibri"/>
          <w:lang w:eastAsia="en-NZ"/>
        </w:rPr>
        <w:t>messages</w:t>
      </w:r>
      <w:r w:rsidR="001A785E">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please</w:t>
      </w:r>
      <w:r w:rsidR="003D640C">
        <w:rPr>
          <w:rFonts w:ascii="Calibri" w:hAnsi="Calibri" w:cs="Calibri"/>
          <w:lang w:eastAsia="en-NZ"/>
        </w:rPr>
        <w:t xml:space="preserve"> </w:t>
      </w:r>
      <w:r w:rsidRPr="00BB6220">
        <w:rPr>
          <w:rFonts w:ascii="Calibri" w:hAnsi="Calibri" w:cs="Calibri"/>
          <w:lang w:eastAsia="en-NZ"/>
        </w:rPr>
        <w:t>do</w:t>
      </w:r>
      <w:r w:rsidR="003D640C">
        <w:rPr>
          <w:rFonts w:ascii="Calibri" w:hAnsi="Calibri" w:cs="Calibri"/>
          <w:lang w:eastAsia="en-NZ"/>
        </w:rPr>
        <w:t xml:space="preserve"> </w:t>
      </w:r>
      <w:r w:rsidRPr="00BB6220">
        <w:rPr>
          <w:rFonts w:ascii="Calibri" w:hAnsi="Calibri" w:cs="Calibri"/>
          <w:lang w:eastAsia="en-NZ"/>
        </w:rPr>
        <w:t>not</w:t>
      </w:r>
      <w:r w:rsidR="003D640C">
        <w:rPr>
          <w:rFonts w:ascii="Calibri" w:hAnsi="Calibri" w:cs="Calibri"/>
          <w:lang w:eastAsia="en-NZ"/>
        </w:rPr>
        <w:t xml:space="preserve"> </w:t>
      </w:r>
      <w:r w:rsidRPr="00BB6220">
        <w:rPr>
          <w:rFonts w:ascii="Calibri" w:hAnsi="Calibri" w:cs="Calibri"/>
          <w:lang w:eastAsia="en-NZ"/>
        </w:rPr>
        <w:t>support</w:t>
      </w:r>
      <w:r w:rsidR="003D640C">
        <w:rPr>
          <w:rFonts w:ascii="Calibri" w:hAnsi="Calibri" w:cs="Calibri"/>
          <w:lang w:eastAsia="en-NZ"/>
        </w:rPr>
        <w:t xml:space="preserve"> </w:t>
      </w:r>
      <w:r w:rsidRPr="00BB6220">
        <w:rPr>
          <w:rFonts w:ascii="Calibri" w:hAnsi="Calibri" w:cs="Calibri"/>
          <w:lang w:eastAsia="en-NZ"/>
        </w:rPr>
        <w:t>or</w:t>
      </w:r>
      <w:r w:rsidR="003D640C">
        <w:rPr>
          <w:rFonts w:ascii="Calibri" w:hAnsi="Calibri" w:cs="Calibri"/>
          <w:lang w:eastAsia="en-NZ"/>
        </w:rPr>
        <w:t xml:space="preserve"> </w:t>
      </w:r>
      <w:r w:rsidRPr="00BB6220">
        <w:rPr>
          <w:rFonts w:ascii="Calibri" w:hAnsi="Calibri" w:cs="Calibri"/>
          <w:lang w:eastAsia="en-NZ"/>
        </w:rPr>
        <w:t>spread</w:t>
      </w:r>
      <w:r w:rsidR="003D640C">
        <w:rPr>
          <w:rFonts w:ascii="Calibri" w:hAnsi="Calibri" w:cs="Calibri"/>
          <w:lang w:eastAsia="en-NZ"/>
        </w:rPr>
        <w:t xml:space="preserve"> </w:t>
      </w:r>
      <w:r w:rsidRPr="00BB6220">
        <w:rPr>
          <w:rFonts w:ascii="Calibri" w:hAnsi="Calibri" w:cs="Calibri"/>
          <w:lang w:eastAsia="en-NZ"/>
        </w:rPr>
        <w:t>them.</w:t>
      </w:r>
      <w:bookmarkEnd w:id="454"/>
    </w:p>
    <w:p w14:paraId="79541F08" w14:textId="16CE22A4" w:rsidR="00501068" w:rsidRDefault="00C044A8" w:rsidP="009B737E">
      <w:pPr>
        <w:pStyle w:val="ListParagraph"/>
        <w:numPr>
          <w:ilvl w:val="0"/>
          <w:numId w:val="117"/>
        </w:numPr>
        <w:rPr>
          <w:rFonts w:ascii="Calibri" w:hAnsi="Calibri" w:cs="Calibri"/>
          <w:lang w:eastAsia="en-NZ"/>
        </w:rPr>
      </w:pPr>
      <w:r w:rsidRPr="00BB6220">
        <w:rPr>
          <w:rFonts w:ascii="Calibri" w:hAnsi="Calibri" w:cs="Calibri"/>
          <w:b/>
          <w:bCs/>
          <w:lang w:eastAsia="en-NZ"/>
        </w:rPr>
        <w:t>Speak</w:t>
      </w:r>
      <w:r w:rsidR="003D640C">
        <w:rPr>
          <w:rFonts w:ascii="Calibri" w:hAnsi="Calibri" w:cs="Calibri"/>
          <w:b/>
          <w:bCs/>
          <w:lang w:eastAsia="en-NZ"/>
        </w:rPr>
        <w:t xml:space="preserve"> </w:t>
      </w:r>
      <w:r w:rsidRPr="00BB6220">
        <w:rPr>
          <w:rFonts w:ascii="Calibri" w:hAnsi="Calibri" w:cs="Calibri"/>
          <w:b/>
          <w:bCs/>
          <w:lang w:eastAsia="en-NZ"/>
        </w:rPr>
        <w:t>up</w:t>
      </w:r>
      <w:r w:rsidR="00D1661A">
        <w:rPr>
          <w:rFonts w:ascii="Calibri" w:hAnsi="Calibri" w:cs="Calibri"/>
          <w:lang w:eastAsia="en-NZ"/>
        </w:rPr>
        <w:br/>
      </w:r>
      <w:r w:rsidRPr="00BB6220">
        <w:rPr>
          <w:rFonts w:ascii="Calibri" w:hAnsi="Calibri" w:cs="Calibri"/>
          <w:lang w:eastAsia="en-NZ"/>
        </w:rPr>
        <w:t>If</w:t>
      </w:r>
      <w:r w:rsidR="003D640C">
        <w:rPr>
          <w:rFonts w:ascii="Calibri" w:hAnsi="Calibri" w:cs="Calibri"/>
          <w:lang w:eastAsia="en-NZ"/>
        </w:rPr>
        <w:t xml:space="preserve"> </w:t>
      </w:r>
      <w:r w:rsidRPr="00BB6220">
        <w:rPr>
          <w:rFonts w:ascii="Calibri" w:hAnsi="Calibri" w:cs="Calibri"/>
          <w:lang w:eastAsia="en-NZ"/>
        </w:rPr>
        <w:t>you</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part</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includes</w:t>
      </w:r>
      <w:r w:rsidR="003D640C">
        <w:rPr>
          <w:rFonts w:ascii="Calibri" w:hAnsi="Calibri" w:cs="Calibri"/>
          <w:lang w:eastAsia="en-NZ"/>
        </w:rPr>
        <w:t xml:space="preserve"> </w:t>
      </w:r>
      <w:r w:rsidRPr="00BB6220">
        <w:rPr>
          <w:rFonts w:ascii="Calibri" w:hAnsi="Calibri" w:cs="Calibri"/>
          <w:lang w:eastAsia="en-NZ"/>
        </w:rPr>
        <w:t>some</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ideology,</w:t>
      </w:r>
      <w:r w:rsidR="003D640C">
        <w:rPr>
          <w:rFonts w:ascii="Calibri" w:hAnsi="Calibri" w:cs="Calibri"/>
          <w:lang w:eastAsia="en-NZ"/>
        </w:rPr>
        <w:t xml:space="preserve"> </w:t>
      </w:r>
      <w:r w:rsidRPr="00BB6220">
        <w:rPr>
          <w:rFonts w:ascii="Calibri" w:hAnsi="Calibri" w:cs="Calibri"/>
          <w:lang w:eastAsia="en-NZ"/>
        </w:rPr>
        <w:t>use</w:t>
      </w:r>
      <w:r w:rsidR="003D640C">
        <w:rPr>
          <w:rFonts w:ascii="Calibri" w:hAnsi="Calibri" w:cs="Calibri"/>
          <w:lang w:eastAsia="en-NZ"/>
        </w:rPr>
        <w:t xml:space="preserve"> </w:t>
      </w:r>
      <w:r w:rsidRPr="00BB6220">
        <w:rPr>
          <w:rFonts w:ascii="Calibri" w:hAnsi="Calibri" w:cs="Calibri"/>
          <w:lang w:eastAsia="en-NZ"/>
        </w:rPr>
        <w:t>your</w:t>
      </w:r>
      <w:r w:rsidR="003D640C">
        <w:rPr>
          <w:rFonts w:ascii="Calibri" w:hAnsi="Calibri" w:cs="Calibri"/>
          <w:lang w:eastAsia="en-NZ"/>
        </w:rPr>
        <w:t xml:space="preserve"> </w:t>
      </w:r>
      <w:r w:rsidRPr="00BB6220">
        <w:rPr>
          <w:rFonts w:ascii="Calibri" w:hAnsi="Calibri" w:cs="Calibri"/>
          <w:lang w:eastAsia="en-NZ"/>
        </w:rPr>
        <w:t>voice</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encourage</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engage</w:t>
      </w:r>
      <w:r w:rsidR="003D640C">
        <w:rPr>
          <w:rFonts w:ascii="Calibri" w:hAnsi="Calibri" w:cs="Calibri"/>
          <w:lang w:eastAsia="en-NZ"/>
        </w:rPr>
        <w:t xml:space="preserve"> </w:t>
      </w:r>
      <w:r w:rsidRPr="00BB6220">
        <w:rPr>
          <w:rFonts w:ascii="Calibri" w:hAnsi="Calibri" w:cs="Calibri"/>
          <w:lang w:eastAsia="en-NZ"/>
        </w:rPr>
        <w:t>with</w:t>
      </w:r>
      <w:r w:rsidR="003D640C">
        <w:rPr>
          <w:rFonts w:ascii="Calibri" w:hAnsi="Calibri" w:cs="Calibri"/>
          <w:lang w:eastAsia="en-NZ"/>
        </w:rPr>
        <w:t xml:space="preserve"> </w:t>
      </w:r>
      <w:r w:rsidRPr="00BB6220">
        <w:rPr>
          <w:rFonts w:ascii="Calibri" w:hAnsi="Calibri" w:cs="Calibri"/>
          <w:lang w:eastAsia="en-NZ"/>
        </w:rPr>
        <w:t>research</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resources</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based</w:t>
      </w:r>
      <w:r w:rsidR="003D640C">
        <w:rPr>
          <w:rFonts w:ascii="Calibri" w:hAnsi="Calibri" w:cs="Calibri"/>
          <w:lang w:eastAsia="en-NZ"/>
        </w:rPr>
        <w:t xml:space="preserve"> </w:t>
      </w:r>
      <w:r w:rsidRPr="00BB6220">
        <w:rPr>
          <w:rFonts w:ascii="Calibri" w:hAnsi="Calibri" w:cs="Calibri"/>
          <w:lang w:eastAsia="en-NZ"/>
        </w:rPr>
        <w:t>on</w:t>
      </w:r>
      <w:r w:rsidR="003D640C">
        <w:rPr>
          <w:rFonts w:ascii="Calibri" w:hAnsi="Calibri" w:cs="Calibri"/>
          <w:lang w:eastAsia="en-NZ"/>
        </w:rPr>
        <w:t xml:space="preserve"> </w:t>
      </w:r>
      <w:r w:rsidRPr="00BB6220">
        <w:rPr>
          <w:rFonts w:ascii="Calibri" w:hAnsi="Calibri" w:cs="Calibri"/>
          <w:lang w:eastAsia="en-NZ"/>
        </w:rPr>
        <w:t>sound</w:t>
      </w:r>
      <w:r w:rsidR="003D640C">
        <w:rPr>
          <w:rFonts w:ascii="Calibri" w:hAnsi="Calibri" w:cs="Calibri"/>
          <w:lang w:eastAsia="en-NZ"/>
        </w:rPr>
        <w:t xml:space="preserve"> </w:t>
      </w:r>
      <w:r w:rsidRPr="00BB6220">
        <w:rPr>
          <w:rFonts w:ascii="Calibri" w:hAnsi="Calibri" w:cs="Calibri"/>
          <w:lang w:eastAsia="en-NZ"/>
        </w:rPr>
        <w:t>scientific</w:t>
      </w:r>
      <w:r w:rsidR="003D640C">
        <w:rPr>
          <w:rFonts w:ascii="Calibri" w:hAnsi="Calibri" w:cs="Calibri"/>
          <w:lang w:eastAsia="en-NZ"/>
        </w:rPr>
        <w:t xml:space="preserve"> </w:t>
      </w:r>
      <w:r w:rsidRPr="00BB6220">
        <w:rPr>
          <w:rFonts w:ascii="Calibri" w:hAnsi="Calibri" w:cs="Calibri"/>
          <w:lang w:eastAsia="en-NZ"/>
        </w:rPr>
        <w:t>principles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inclusive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p>
    <w:p w14:paraId="5EB41167" w14:textId="30234389" w:rsidR="00501068" w:rsidRDefault="00C044A8" w:rsidP="009B737E">
      <w:pPr>
        <w:pStyle w:val="ListParagraph"/>
        <w:numPr>
          <w:ilvl w:val="0"/>
          <w:numId w:val="117"/>
        </w:numPr>
        <w:rPr>
          <w:rFonts w:ascii="Calibri" w:hAnsi="Calibri" w:cs="Calibri"/>
          <w:lang w:eastAsia="en-NZ"/>
        </w:rPr>
      </w:pPr>
      <w:bookmarkStart w:id="456" w:name="_Hlk149629594"/>
      <w:r w:rsidRPr="00BB6220">
        <w:rPr>
          <w:rFonts w:ascii="Calibri" w:hAnsi="Calibri" w:cs="Calibri"/>
          <w:b/>
          <w:bCs/>
          <w:lang w:eastAsia="en-NZ"/>
        </w:rPr>
        <w:t>Affirm</w:t>
      </w:r>
      <w:r w:rsidR="003D640C">
        <w:rPr>
          <w:rFonts w:ascii="Calibri" w:hAnsi="Calibri" w:cs="Calibri"/>
          <w:b/>
          <w:bCs/>
          <w:lang w:eastAsia="en-NZ"/>
        </w:rPr>
        <w:t xml:space="preserve"> </w:t>
      </w:r>
      <w:r w:rsidRPr="00BB6220">
        <w:rPr>
          <w:rFonts w:ascii="Calibri" w:hAnsi="Calibri" w:cs="Calibri"/>
          <w:b/>
          <w:bCs/>
          <w:lang w:eastAsia="en-NZ"/>
        </w:rPr>
        <w:t>your</w:t>
      </w:r>
      <w:r w:rsidR="003D640C">
        <w:rPr>
          <w:rFonts w:ascii="Calibri" w:hAnsi="Calibri" w:cs="Calibri"/>
          <w:b/>
          <w:bCs/>
          <w:lang w:eastAsia="en-NZ"/>
        </w:rPr>
        <w:t xml:space="preserve"> </w:t>
      </w:r>
      <w:r w:rsidRPr="00BB6220">
        <w:rPr>
          <w:rFonts w:ascii="Calibri" w:hAnsi="Calibri" w:cs="Calibri"/>
          <w:b/>
          <w:bCs/>
          <w:lang w:eastAsia="en-NZ"/>
        </w:rPr>
        <w:t>wh</w:t>
      </w:r>
      <w:r w:rsidRPr="00BB6220">
        <w:rPr>
          <w:rFonts w:ascii="Calibri" w:hAnsi="Calibri" w:cs="Calibri"/>
          <w:b/>
          <w:bCs/>
          <w:lang w:val="mi-NZ" w:eastAsia="en-NZ"/>
        </w:rPr>
        <w:t>ā</w:t>
      </w:r>
      <w:r w:rsidRPr="00BB6220">
        <w:rPr>
          <w:rFonts w:ascii="Calibri" w:hAnsi="Calibri" w:cs="Calibri"/>
          <w:b/>
          <w:bCs/>
          <w:lang w:eastAsia="en-NZ"/>
        </w:rPr>
        <w:t>nau</w:t>
      </w:r>
      <w:r w:rsidR="003D640C">
        <w:rPr>
          <w:rFonts w:ascii="Calibri" w:hAnsi="Calibri" w:cs="Calibri"/>
          <w:b/>
          <w:bCs/>
          <w:lang w:eastAsia="en-NZ"/>
        </w:rPr>
        <w:t xml:space="preserve"> </w:t>
      </w:r>
      <w:r w:rsidRPr="00BB6220">
        <w:rPr>
          <w:rFonts w:ascii="Calibri" w:hAnsi="Calibri" w:cs="Calibri"/>
          <w:b/>
          <w:bCs/>
          <w:lang w:eastAsia="en-NZ"/>
        </w:rPr>
        <w:t>members</w:t>
      </w:r>
      <w:r w:rsidR="00D1661A">
        <w:rPr>
          <w:rFonts w:ascii="Calibri" w:hAnsi="Calibri" w:cs="Calibri"/>
          <w:b/>
          <w:bCs/>
          <w:lang w:eastAsia="en-NZ"/>
        </w:rPr>
        <w:br/>
      </w:r>
      <w:r w:rsidRPr="00BB6220">
        <w:rPr>
          <w:rFonts w:ascii="Calibri" w:hAnsi="Calibri" w:cs="Calibri"/>
          <w:lang w:eastAsia="en-NZ"/>
        </w:rPr>
        <w:t>Encourage</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family</w:t>
      </w:r>
      <w:r w:rsidR="003D640C">
        <w:rPr>
          <w:rFonts w:ascii="Calibri" w:hAnsi="Calibri" w:cs="Calibri"/>
          <w:lang w:eastAsia="en-NZ"/>
        </w:rPr>
        <w:t xml:space="preserve"> </w:t>
      </w:r>
      <w:r w:rsidRPr="00BB6220">
        <w:rPr>
          <w:rFonts w:ascii="Calibri" w:hAnsi="Calibri" w:cs="Calibri"/>
          <w:lang w:eastAsia="en-NZ"/>
        </w:rPr>
        <w:t>conversation</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how</w:t>
      </w:r>
      <w:r w:rsidR="003D640C">
        <w:rPr>
          <w:rFonts w:ascii="Calibri" w:hAnsi="Calibri" w:cs="Calibri"/>
          <w:lang w:eastAsia="en-NZ"/>
        </w:rPr>
        <w:t xml:space="preserve"> </w:t>
      </w:r>
      <w:r w:rsidRPr="00BB6220">
        <w:rPr>
          <w:rFonts w:ascii="Calibri" w:hAnsi="Calibri" w:cs="Calibri"/>
          <w:lang w:eastAsia="en-NZ"/>
        </w:rPr>
        <w:t>you</w:t>
      </w:r>
      <w:r w:rsidR="003D640C">
        <w:rPr>
          <w:rFonts w:ascii="Calibri" w:hAnsi="Calibri" w:cs="Calibri"/>
          <w:lang w:eastAsia="en-NZ"/>
        </w:rPr>
        <w:t xml:space="preserve"> </w:t>
      </w:r>
      <w:r w:rsidRPr="00BB6220">
        <w:rPr>
          <w:rFonts w:ascii="Calibri" w:hAnsi="Calibri" w:cs="Calibri"/>
          <w:lang w:eastAsia="en-NZ"/>
        </w:rPr>
        <w:t>can</w:t>
      </w:r>
      <w:r w:rsidR="003D640C">
        <w:rPr>
          <w:rFonts w:ascii="Calibri" w:hAnsi="Calibri" w:cs="Calibri"/>
          <w:lang w:eastAsia="en-NZ"/>
        </w:rPr>
        <w:t xml:space="preserve"> </w:t>
      </w:r>
      <w:r w:rsidRPr="00BB6220">
        <w:rPr>
          <w:rFonts w:ascii="Calibri" w:hAnsi="Calibri" w:cs="Calibri"/>
          <w:lang w:eastAsia="en-NZ"/>
        </w:rPr>
        <w:t>better</w:t>
      </w:r>
      <w:r w:rsidR="003D640C">
        <w:rPr>
          <w:rFonts w:ascii="Calibri" w:hAnsi="Calibri" w:cs="Calibri"/>
          <w:lang w:eastAsia="en-NZ"/>
        </w:rPr>
        <w:t xml:space="preserve"> </w:t>
      </w:r>
      <w:r w:rsidRPr="00BB6220">
        <w:rPr>
          <w:rFonts w:ascii="Calibri" w:hAnsi="Calibri" w:cs="Calibri"/>
          <w:lang w:eastAsia="en-NZ"/>
        </w:rPr>
        <w:t>support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affirm</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your</w:t>
      </w:r>
      <w:r w:rsidR="003D640C">
        <w:rPr>
          <w:rFonts w:ascii="Calibri" w:hAnsi="Calibri" w:cs="Calibri"/>
          <w:lang w:eastAsia="en-NZ"/>
        </w:rPr>
        <w:t xml:space="preserve"> </w:t>
      </w:r>
      <w:r w:rsidRPr="00BB6220">
        <w:rPr>
          <w:rFonts w:ascii="Calibri" w:hAnsi="Calibri" w:cs="Calibri"/>
          <w:lang w:eastAsia="en-NZ"/>
        </w:rPr>
        <w:t>whānau</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r w:rsidRPr="00BB6220">
        <w:rPr>
          <w:rFonts w:ascii="Calibri" w:hAnsi="Calibri" w:cs="Calibri"/>
          <w:lang w:eastAsia="en-NZ"/>
        </w:rPr>
        <w:t>This</w:t>
      </w:r>
      <w:r w:rsidR="003D640C">
        <w:rPr>
          <w:rFonts w:ascii="Calibri" w:hAnsi="Calibri" w:cs="Calibri"/>
          <w:lang w:eastAsia="en-NZ"/>
        </w:rPr>
        <w:t xml:space="preserve"> </w:t>
      </w:r>
      <w:r w:rsidRPr="00BB6220">
        <w:rPr>
          <w:rFonts w:ascii="Calibri" w:hAnsi="Calibri" w:cs="Calibri"/>
          <w:lang w:eastAsia="en-NZ"/>
        </w:rPr>
        <w:t>could</w:t>
      </w:r>
      <w:r w:rsidR="003D640C">
        <w:rPr>
          <w:rFonts w:ascii="Calibri" w:hAnsi="Calibri" w:cs="Calibri"/>
          <w:lang w:eastAsia="en-NZ"/>
        </w:rPr>
        <w:t xml:space="preserve"> </w:t>
      </w:r>
      <w:r w:rsidRPr="00BB6220">
        <w:rPr>
          <w:rFonts w:ascii="Calibri" w:hAnsi="Calibri" w:cs="Calibri"/>
          <w:lang w:eastAsia="en-NZ"/>
        </w:rPr>
        <w:t>start</w:t>
      </w:r>
      <w:r w:rsidR="003D640C">
        <w:rPr>
          <w:rFonts w:ascii="Calibri" w:hAnsi="Calibri" w:cs="Calibri"/>
          <w:lang w:eastAsia="en-NZ"/>
        </w:rPr>
        <w:t xml:space="preserve"> </w:t>
      </w:r>
      <w:r w:rsidRPr="00BB6220">
        <w:rPr>
          <w:rFonts w:ascii="Calibri" w:hAnsi="Calibri" w:cs="Calibri"/>
          <w:lang w:eastAsia="en-NZ"/>
        </w:rPr>
        <w:t>with</w:t>
      </w:r>
      <w:r w:rsidR="003D640C">
        <w:rPr>
          <w:rFonts w:ascii="Calibri" w:hAnsi="Calibri" w:cs="Calibri"/>
          <w:lang w:eastAsia="en-NZ"/>
        </w:rPr>
        <w:t xml:space="preserve"> </w:t>
      </w:r>
      <w:r w:rsidRPr="00BB6220">
        <w:rPr>
          <w:rFonts w:ascii="Calibri" w:hAnsi="Calibri" w:cs="Calibri"/>
          <w:lang w:eastAsia="en-NZ"/>
        </w:rPr>
        <w:t>an</w:t>
      </w:r>
      <w:r w:rsidR="003D640C">
        <w:rPr>
          <w:rFonts w:ascii="Calibri" w:hAnsi="Calibri" w:cs="Calibri"/>
          <w:lang w:eastAsia="en-NZ"/>
        </w:rPr>
        <w:t xml:space="preserve"> </w:t>
      </w:r>
      <w:r w:rsidRPr="00BB6220">
        <w:rPr>
          <w:rFonts w:ascii="Calibri" w:hAnsi="Calibri" w:cs="Calibri"/>
          <w:lang w:eastAsia="en-NZ"/>
        </w:rPr>
        <w:t>acknowledgement</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homophobic</w:t>
      </w:r>
      <w:r w:rsidR="003D640C">
        <w:rPr>
          <w:rFonts w:ascii="Calibri" w:hAnsi="Calibri" w:cs="Calibri"/>
          <w:lang w:eastAsia="en-NZ"/>
        </w:rPr>
        <w:t xml:space="preserve"> </w:t>
      </w:r>
      <w:r w:rsidRPr="00BB6220">
        <w:rPr>
          <w:rFonts w:ascii="Calibri" w:hAnsi="Calibri" w:cs="Calibri"/>
          <w:lang w:eastAsia="en-NZ"/>
        </w:rPr>
        <w:t>or</w:t>
      </w:r>
      <w:r w:rsidR="003D640C">
        <w:rPr>
          <w:rFonts w:ascii="Calibri" w:hAnsi="Calibri" w:cs="Calibri"/>
          <w:lang w:eastAsia="en-NZ"/>
        </w:rPr>
        <w:t xml:space="preserve"> </w:t>
      </w:r>
      <w:r w:rsidRPr="00BB6220">
        <w:rPr>
          <w:rFonts w:ascii="Calibri" w:hAnsi="Calibri" w:cs="Calibri"/>
          <w:lang w:eastAsia="en-NZ"/>
        </w:rPr>
        <w:t>transphobic</w:t>
      </w:r>
      <w:r w:rsidR="003D640C">
        <w:rPr>
          <w:rFonts w:ascii="Calibri" w:hAnsi="Calibri" w:cs="Calibri"/>
          <w:lang w:eastAsia="en-NZ"/>
        </w:rPr>
        <w:t xml:space="preserve"> </w:t>
      </w:r>
      <w:r w:rsidRPr="00BB6220">
        <w:rPr>
          <w:rFonts w:ascii="Calibri" w:hAnsi="Calibri" w:cs="Calibri"/>
          <w:lang w:eastAsia="en-NZ"/>
        </w:rPr>
        <w:t>language</w:t>
      </w:r>
      <w:r w:rsidR="003D640C">
        <w:rPr>
          <w:rFonts w:ascii="Calibri" w:hAnsi="Calibri" w:cs="Calibri"/>
          <w:lang w:eastAsia="en-NZ"/>
        </w:rPr>
        <w:t xml:space="preserve"> </w:t>
      </w:r>
      <w:r w:rsidRPr="00BB6220">
        <w:rPr>
          <w:rFonts w:ascii="Calibri" w:hAnsi="Calibri" w:cs="Calibri"/>
          <w:lang w:eastAsia="en-NZ"/>
        </w:rPr>
        <w:t>or</w:t>
      </w:r>
      <w:r w:rsidR="003D640C">
        <w:rPr>
          <w:rFonts w:ascii="Calibri" w:hAnsi="Calibri" w:cs="Calibri"/>
          <w:lang w:eastAsia="en-NZ"/>
        </w:rPr>
        <w:t xml:space="preserve"> </w:t>
      </w:r>
      <w:r w:rsidRPr="00BB6220">
        <w:rPr>
          <w:rFonts w:ascii="Calibri" w:hAnsi="Calibri" w:cs="Calibri"/>
          <w:lang w:eastAsia="en-NZ"/>
        </w:rPr>
        <w:t>jokes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how</w:t>
      </w:r>
      <w:r w:rsidR="003D640C">
        <w:rPr>
          <w:rFonts w:ascii="Calibri" w:hAnsi="Calibri" w:cs="Calibri"/>
          <w:lang w:eastAsia="en-NZ"/>
        </w:rPr>
        <w:t xml:space="preserve"> </w:t>
      </w:r>
      <w:r w:rsidRPr="00BB6220">
        <w:rPr>
          <w:rFonts w:ascii="Calibri" w:hAnsi="Calibri" w:cs="Calibri"/>
          <w:lang w:eastAsia="en-NZ"/>
        </w:rPr>
        <w:t>they</w:t>
      </w:r>
      <w:r w:rsidR="003D640C">
        <w:rPr>
          <w:rFonts w:ascii="Calibri" w:hAnsi="Calibri" w:cs="Calibri"/>
          <w:lang w:eastAsia="en-NZ"/>
        </w:rPr>
        <w:t xml:space="preserve"> </w:t>
      </w:r>
      <w:r w:rsidRPr="00BB6220">
        <w:rPr>
          <w:rFonts w:ascii="Calibri" w:hAnsi="Calibri" w:cs="Calibri"/>
          <w:lang w:eastAsia="en-NZ"/>
        </w:rPr>
        <w:t>should</w:t>
      </w:r>
      <w:r w:rsidR="003D640C">
        <w:rPr>
          <w:rFonts w:ascii="Calibri" w:hAnsi="Calibri" w:cs="Calibri"/>
          <w:lang w:eastAsia="en-NZ"/>
        </w:rPr>
        <w:t xml:space="preserve"> </w:t>
      </w:r>
      <w:r w:rsidRPr="00BB6220">
        <w:rPr>
          <w:rFonts w:ascii="Calibri" w:hAnsi="Calibri" w:cs="Calibri"/>
          <w:lang w:eastAsia="en-NZ"/>
        </w:rPr>
        <w:t>no</w:t>
      </w:r>
      <w:r w:rsidR="003D640C">
        <w:rPr>
          <w:rFonts w:ascii="Calibri" w:hAnsi="Calibri" w:cs="Calibri"/>
          <w:lang w:eastAsia="en-NZ"/>
        </w:rPr>
        <w:t xml:space="preserve"> </w:t>
      </w:r>
      <w:r w:rsidRPr="00BB6220">
        <w:rPr>
          <w:rFonts w:ascii="Calibri" w:hAnsi="Calibri" w:cs="Calibri"/>
          <w:lang w:eastAsia="en-NZ"/>
        </w:rPr>
        <w:t>longer</w:t>
      </w:r>
      <w:r w:rsidR="003D640C">
        <w:rPr>
          <w:rFonts w:ascii="Calibri" w:hAnsi="Calibri" w:cs="Calibri"/>
          <w:lang w:eastAsia="en-NZ"/>
        </w:rPr>
        <w:t xml:space="preserve"> </w:t>
      </w:r>
      <w:r w:rsidR="005853BB"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tolerated.</w:t>
      </w:r>
      <w:r w:rsidR="003D640C">
        <w:rPr>
          <w:rFonts w:ascii="Calibri" w:hAnsi="Calibri" w:cs="Calibri"/>
          <w:lang w:eastAsia="en-NZ"/>
        </w:rPr>
        <w:t xml:space="preserve"> </w:t>
      </w:r>
      <w:bookmarkEnd w:id="456"/>
    </w:p>
    <w:p w14:paraId="0A2E9727" w14:textId="77777777" w:rsidR="00501068" w:rsidRDefault="00C044A8" w:rsidP="0097273A">
      <w:pPr>
        <w:pStyle w:val="Heading2"/>
      </w:pPr>
      <w:bookmarkStart w:id="457" w:name="_Toc167780656"/>
      <w:bookmarkStart w:id="458" w:name="_Toc996315800"/>
      <w:bookmarkStart w:id="459" w:name="_Toc174628718"/>
      <w:r w:rsidRPr="00BB6220">
        <w:t>To</w:t>
      </w:r>
      <w:r w:rsidR="003D640C">
        <w:t xml:space="preserve"> </w:t>
      </w:r>
      <w:r w:rsidRPr="00BB6220">
        <w:t>media</w:t>
      </w:r>
      <w:bookmarkEnd w:id="457"/>
      <w:bookmarkEnd w:id="458"/>
      <w:bookmarkEnd w:id="459"/>
    </w:p>
    <w:p w14:paraId="3F62904D" w14:textId="1C9C3BBA" w:rsidR="00501068" w:rsidRDefault="00C044A8" w:rsidP="009B737E">
      <w:pPr>
        <w:pStyle w:val="ListParagraph"/>
        <w:numPr>
          <w:ilvl w:val="0"/>
          <w:numId w:val="117"/>
        </w:numPr>
        <w:rPr>
          <w:rFonts w:ascii="Calibri" w:hAnsi="Calibri" w:cs="Calibri"/>
          <w:lang w:eastAsia="en-NZ"/>
        </w:rPr>
      </w:pPr>
      <w:r w:rsidRPr="00BB6220">
        <w:rPr>
          <w:rFonts w:ascii="Calibri" w:hAnsi="Calibri" w:cs="Calibri"/>
          <w:b/>
          <w:bCs/>
          <w:lang w:eastAsia="en-NZ"/>
        </w:rPr>
        <w:t>Assess</w:t>
      </w:r>
      <w:r w:rsidR="003D640C">
        <w:rPr>
          <w:rFonts w:ascii="Calibri" w:hAnsi="Calibri" w:cs="Calibri"/>
          <w:b/>
          <w:bCs/>
          <w:lang w:eastAsia="en-NZ"/>
        </w:rPr>
        <w:t xml:space="preserve"> </w:t>
      </w:r>
      <w:r w:rsidRPr="00BB6220">
        <w:rPr>
          <w:rFonts w:ascii="Calibri" w:hAnsi="Calibri" w:cs="Calibri"/>
          <w:b/>
          <w:bCs/>
          <w:lang w:eastAsia="en-NZ"/>
        </w:rPr>
        <w:t>bias</w:t>
      </w:r>
      <w:r w:rsidR="003D640C">
        <w:rPr>
          <w:rFonts w:ascii="Calibri" w:hAnsi="Calibri" w:cs="Calibri"/>
          <w:b/>
          <w:bCs/>
          <w:lang w:eastAsia="en-NZ"/>
        </w:rPr>
        <w:t xml:space="preserve"> </w:t>
      </w:r>
      <w:r w:rsidRPr="00BB6220">
        <w:rPr>
          <w:rFonts w:ascii="Calibri" w:hAnsi="Calibri" w:cs="Calibri"/>
          <w:b/>
          <w:bCs/>
          <w:lang w:eastAsia="en-NZ"/>
        </w:rPr>
        <w:t>when</w:t>
      </w:r>
      <w:r w:rsidR="003D640C">
        <w:rPr>
          <w:rFonts w:ascii="Calibri" w:hAnsi="Calibri" w:cs="Calibri"/>
          <w:b/>
          <w:bCs/>
          <w:lang w:eastAsia="en-NZ"/>
        </w:rPr>
        <w:t xml:space="preserve"> </w:t>
      </w:r>
      <w:r w:rsidRPr="00BB6220">
        <w:rPr>
          <w:rFonts w:ascii="Calibri" w:hAnsi="Calibri" w:cs="Calibri"/>
          <w:b/>
          <w:bCs/>
          <w:lang w:eastAsia="en-NZ"/>
        </w:rPr>
        <w:t>reporting</w:t>
      </w:r>
      <w:r w:rsidR="003D640C">
        <w:rPr>
          <w:rFonts w:ascii="Calibri" w:hAnsi="Calibri" w:cs="Calibri"/>
          <w:b/>
          <w:bCs/>
          <w:lang w:eastAsia="en-NZ"/>
        </w:rPr>
        <w:t xml:space="preserve"> </w:t>
      </w:r>
      <w:r w:rsidRPr="00BB6220">
        <w:rPr>
          <w:rFonts w:ascii="Calibri" w:hAnsi="Calibri" w:cs="Calibri"/>
          <w:b/>
          <w:bCs/>
          <w:lang w:eastAsia="en-NZ"/>
        </w:rPr>
        <w:t>on</w:t>
      </w:r>
      <w:r w:rsidR="003D640C">
        <w:rPr>
          <w:rFonts w:ascii="Calibri" w:hAnsi="Calibri" w:cs="Calibri"/>
          <w:b/>
          <w:bCs/>
          <w:lang w:eastAsia="en-NZ"/>
        </w:rPr>
        <w:t xml:space="preserve"> </w:t>
      </w:r>
      <w:r w:rsidR="004579B0" w:rsidRPr="00BB6220">
        <w:rPr>
          <w:rFonts w:ascii="Calibri" w:hAnsi="Calibri" w:cs="Calibri"/>
          <w:b/>
          <w:bCs/>
          <w:lang w:eastAsia="en-NZ"/>
        </w:rPr>
        <w:t>Rainbow</w:t>
      </w:r>
      <w:r w:rsidR="003D640C">
        <w:rPr>
          <w:rFonts w:ascii="Calibri" w:hAnsi="Calibri" w:cs="Calibri"/>
          <w:b/>
          <w:bCs/>
          <w:lang w:eastAsia="en-NZ"/>
        </w:rPr>
        <w:t xml:space="preserve"> </w:t>
      </w:r>
      <w:r w:rsidRPr="00BB6220">
        <w:rPr>
          <w:rFonts w:ascii="Calibri" w:hAnsi="Calibri" w:cs="Calibri"/>
          <w:b/>
          <w:bCs/>
          <w:lang w:eastAsia="en-NZ"/>
        </w:rPr>
        <w:t>issues</w:t>
      </w:r>
      <w:r w:rsidR="00D1661A">
        <w:rPr>
          <w:rFonts w:ascii="Calibri" w:hAnsi="Calibri" w:cs="Calibri"/>
          <w:lang w:eastAsia="en-NZ"/>
        </w:rPr>
        <w:br/>
      </w:r>
      <w:r w:rsidRPr="00BB6220">
        <w:rPr>
          <w:rFonts w:ascii="Calibri" w:hAnsi="Calibri" w:cs="Calibri"/>
          <w:lang w:eastAsia="en-NZ"/>
        </w:rPr>
        <w:t>Avoid</w:t>
      </w:r>
      <w:r w:rsidR="003D640C">
        <w:rPr>
          <w:rFonts w:ascii="Calibri" w:hAnsi="Calibri" w:cs="Calibri"/>
          <w:lang w:eastAsia="en-NZ"/>
        </w:rPr>
        <w:t xml:space="preserve"> </w:t>
      </w:r>
      <w:r w:rsidRPr="00BB6220">
        <w:rPr>
          <w:rFonts w:ascii="Calibri" w:hAnsi="Calibri" w:cs="Calibri"/>
          <w:lang w:eastAsia="en-NZ"/>
        </w:rPr>
        <w:t>sensationalism</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ensure</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diverse</w:t>
      </w:r>
      <w:r w:rsidR="003D640C">
        <w:rPr>
          <w:rFonts w:ascii="Calibri" w:hAnsi="Calibri" w:cs="Calibri"/>
          <w:lang w:eastAsia="en-NZ"/>
        </w:rPr>
        <w:t xml:space="preserve"> </w:t>
      </w:r>
      <w:r w:rsidRPr="00BB6220">
        <w:rPr>
          <w:rFonts w:ascii="Calibri" w:hAnsi="Calibri" w:cs="Calibri"/>
          <w:lang w:eastAsia="en-NZ"/>
        </w:rPr>
        <w:t>range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voices</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presented</w:t>
      </w:r>
      <w:r w:rsidR="003D640C">
        <w:rPr>
          <w:rFonts w:ascii="Calibri" w:hAnsi="Calibri" w:cs="Calibri"/>
          <w:lang w:eastAsia="en-NZ"/>
        </w:rPr>
        <w:t xml:space="preserve"> </w:t>
      </w:r>
      <w:r w:rsidRPr="00BB6220">
        <w:rPr>
          <w:rFonts w:ascii="Calibri" w:hAnsi="Calibri" w:cs="Calibri"/>
          <w:lang w:eastAsia="en-NZ"/>
        </w:rPr>
        <w:t>on</w:t>
      </w:r>
      <w:r w:rsidR="003D640C">
        <w:rPr>
          <w:rFonts w:ascii="Calibri" w:hAnsi="Calibri" w:cs="Calibri"/>
          <w:lang w:eastAsia="en-NZ"/>
        </w:rPr>
        <w:t xml:space="preserve"> </w:t>
      </w:r>
      <w:r w:rsidRPr="00BB6220">
        <w:rPr>
          <w:rFonts w:ascii="Calibri" w:hAnsi="Calibri" w:cs="Calibri"/>
          <w:lang w:eastAsia="en-NZ"/>
        </w:rPr>
        <w:t>any</w:t>
      </w:r>
      <w:r w:rsidR="003D640C">
        <w:rPr>
          <w:rFonts w:ascii="Calibri" w:hAnsi="Calibri" w:cs="Calibri"/>
          <w:lang w:eastAsia="en-NZ"/>
        </w:rPr>
        <w:t xml:space="preserve"> </w:t>
      </w:r>
      <w:r w:rsidRPr="00BB6220">
        <w:rPr>
          <w:rFonts w:ascii="Calibri" w:hAnsi="Calibri" w:cs="Calibri"/>
          <w:lang w:eastAsia="en-NZ"/>
        </w:rPr>
        <w:t>issue</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affects</w:t>
      </w:r>
      <w:r w:rsidR="003D640C">
        <w:rPr>
          <w:rFonts w:ascii="Calibri" w:hAnsi="Calibri" w:cs="Calibri"/>
          <w:lang w:eastAsia="en-NZ"/>
        </w:rPr>
        <w:t xml:space="preserve"> </w:t>
      </w:r>
      <w:r w:rsidR="004579B0"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Avoid</w:t>
      </w:r>
      <w:r w:rsidR="003D640C">
        <w:rPr>
          <w:rFonts w:ascii="Calibri" w:hAnsi="Calibri" w:cs="Calibri"/>
          <w:lang w:eastAsia="en-NZ"/>
        </w:rPr>
        <w:t xml:space="preserve"> </w:t>
      </w:r>
      <w:r w:rsidRPr="00BB6220">
        <w:rPr>
          <w:rFonts w:ascii="Calibri" w:hAnsi="Calibri" w:cs="Calibri"/>
          <w:lang w:eastAsia="en-NZ"/>
        </w:rPr>
        <w:t>providing</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platform</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Pr="00BB6220">
        <w:rPr>
          <w:rFonts w:ascii="Calibri" w:hAnsi="Calibri" w:cs="Calibri"/>
          <w:lang w:eastAsia="en-NZ"/>
        </w:rPr>
        <w:t>misguided</w:t>
      </w:r>
      <w:r w:rsidR="003D640C">
        <w:rPr>
          <w:rFonts w:ascii="Calibri" w:hAnsi="Calibri" w:cs="Calibri"/>
          <w:lang w:eastAsia="en-NZ"/>
        </w:rPr>
        <w:t xml:space="preserve"> </w:t>
      </w:r>
      <w:r w:rsidRPr="00BB6220">
        <w:rPr>
          <w:rFonts w:ascii="Calibri" w:hAnsi="Calibri" w:cs="Calibri"/>
          <w:lang w:eastAsia="en-NZ"/>
        </w:rPr>
        <w:t>debate</w:t>
      </w:r>
      <w:r w:rsidR="003D640C">
        <w:rPr>
          <w:rFonts w:ascii="Calibri" w:hAnsi="Calibri" w:cs="Calibri"/>
          <w:lang w:eastAsia="en-NZ"/>
        </w:rPr>
        <w:t xml:space="preserve"> </w:t>
      </w:r>
      <w:r w:rsidRPr="00BB6220">
        <w:rPr>
          <w:rFonts w:ascii="Calibri" w:hAnsi="Calibri" w:cs="Calibri"/>
          <w:lang w:eastAsia="en-NZ"/>
        </w:rPr>
        <w:t>about</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existence</w:t>
      </w:r>
      <w:r w:rsidR="003D640C">
        <w:rPr>
          <w:rFonts w:ascii="Calibri" w:hAnsi="Calibri" w:cs="Calibri"/>
          <w:lang w:eastAsia="en-NZ"/>
        </w:rPr>
        <w:t xml:space="preserve"> </w:t>
      </w:r>
      <w:r w:rsidRPr="00BB6220">
        <w:rPr>
          <w:rFonts w:ascii="Calibri" w:hAnsi="Calibri" w:cs="Calibri"/>
          <w:lang w:eastAsia="en-NZ"/>
        </w:rPr>
        <w:t>or</w:t>
      </w:r>
      <w:r w:rsidR="003D640C">
        <w:rPr>
          <w:rFonts w:ascii="Calibri" w:hAnsi="Calibri" w:cs="Calibri"/>
          <w:lang w:eastAsia="en-NZ"/>
        </w:rPr>
        <w:t xml:space="preserve"> </w:t>
      </w:r>
      <w:r w:rsidRPr="00BB6220">
        <w:rPr>
          <w:rFonts w:ascii="Calibri" w:hAnsi="Calibri" w:cs="Calibri"/>
          <w:lang w:eastAsia="en-NZ"/>
        </w:rPr>
        <w:t>rights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transgender,</w:t>
      </w:r>
      <w:r w:rsidR="003D640C">
        <w:rPr>
          <w:rFonts w:ascii="Calibri" w:hAnsi="Calibri" w:cs="Calibri"/>
          <w:lang w:eastAsia="en-NZ"/>
        </w:rPr>
        <w:t xml:space="preserve"> </w:t>
      </w:r>
      <w:r w:rsidRPr="00BB6220">
        <w:rPr>
          <w:rFonts w:ascii="Calibri" w:hAnsi="Calibri" w:cs="Calibri"/>
          <w:lang w:eastAsia="en-NZ"/>
        </w:rPr>
        <w:t>non-binary</w:t>
      </w:r>
      <w:r w:rsidR="0FADC174" w:rsidRPr="00BB6220">
        <w:rPr>
          <w:rFonts w:ascii="Calibri" w:hAnsi="Calibri" w:cs="Calibri"/>
          <w:lang w:eastAsia="en-NZ"/>
        </w:rPr>
        <w: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gender</w:t>
      </w:r>
      <w:r w:rsidR="003D640C">
        <w:rPr>
          <w:rFonts w:ascii="Calibri" w:hAnsi="Calibri" w:cs="Calibri"/>
          <w:lang w:eastAsia="en-NZ"/>
        </w:rPr>
        <w:t xml:space="preserve"> </w:t>
      </w:r>
      <w:r w:rsidRPr="00BB6220">
        <w:rPr>
          <w:rFonts w:ascii="Calibri" w:hAnsi="Calibri" w:cs="Calibri"/>
          <w:lang w:eastAsia="en-NZ"/>
        </w:rPr>
        <w:t>diverse</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Acknowledge</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doing</w:t>
      </w:r>
      <w:r w:rsidR="003D640C">
        <w:rPr>
          <w:rFonts w:ascii="Calibri" w:hAnsi="Calibri" w:cs="Calibri"/>
          <w:lang w:eastAsia="en-NZ"/>
        </w:rPr>
        <w:t xml:space="preserve"> </w:t>
      </w:r>
      <w:r w:rsidRPr="00BB6220">
        <w:rPr>
          <w:rFonts w:ascii="Calibri" w:hAnsi="Calibri" w:cs="Calibri"/>
          <w:lang w:eastAsia="en-NZ"/>
        </w:rPr>
        <w:t>so</w:t>
      </w:r>
      <w:r w:rsidR="003D640C">
        <w:rPr>
          <w:rFonts w:ascii="Calibri" w:hAnsi="Calibri" w:cs="Calibri"/>
          <w:lang w:eastAsia="en-NZ"/>
        </w:rPr>
        <w:t xml:space="preserve"> </w:t>
      </w:r>
      <w:r w:rsidRPr="00BB6220">
        <w:rPr>
          <w:rFonts w:ascii="Calibri" w:hAnsi="Calibri" w:cs="Calibri"/>
          <w:lang w:eastAsia="en-NZ"/>
        </w:rPr>
        <w:t>compromises</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safety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rights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these</w:t>
      </w:r>
      <w:r w:rsidR="003D640C">
        <w:rPr>
          <w:rFonts w:ascii="Calibri" w:hAnsi="Calibri" w:cs="Calibri"/>
          <w:lang w:eastAsia="en-NZ"/>
        </w:rPr>
        <w:t xml:space="preserve"> </w:t>
      </w:r>
      <w:r w:rsidRPr="00BB6220">
        <w:rPr>
          <w:rFonts w:ascii="Calibri" w:hAnsi="Calibri" w:cs="Calibri"/>
          <w:lang w:eastAsia="en-NZ"/>
        </w:rPr>
        <w:t>communities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this</w:t>
      </w:r>
      <w:r w:rsidR="003D640C">
        <w:rPr>
          <w:rFonts w:ascii="Calibri" w:hAnsi="Calibri" w:cs="Calibri"/>
          <w:lang w:eastAsia="en-NZ"/>
        </w:rPr>
        <w:t xml:space="preserve"> </w:t>
      </w:r>
      <w:r w:rsidRPr="00BB6220">
        <w:rPr>
          <w:rFonts w:ascii="Calibri" w:hAnsi="Calibri" w:cs="Calibri"/>
          <w:lang w:eastAsia="en-NZ"/>
        </w:rPr>
        <w:t>discourse</w:t>
      </w:r>
      <w:r w:rsidR="003D640C">
        <w:rPr>
          <w:rFonts w:ascii="Calibri" w:hAnsi="Calibri" w:cs="Calibri"/>
          <w:lang w:eastAsia="en-NZ"/>
        </w:rPr>
        <w:t xml:space="preserve"> </w:t>
      </w:r>
      <w:r w:rsidRPr="00BB6220">
        <w:rPr>
          <w:rFonts w:ascii="Calibri" w:hAnsi="Calibri" w:cs="Calibri"/>
          <w:lang w:eastAsia="en-NZ"/>
        </w:rPr>
        <w:t>perpetuates</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existence</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Aotearoa.</w:t>
      </w:r>
      <w:r w:rsidR="003D640C">
        <w:rPr>
          <w:rFonts w:ascii="Calibri" w:hAnsi="Calibri" w:cs="Calibri"/>
          <w:lang w:eastAsia="en-NZ"/>
        </w:rPr>
        <w:t xml:space="preserve"> </w:t>
      </w:r>
    </w:p>
    <w:p w14:paraId="44758CBC" w14:textId="30AC1C0C" w:rsidR="00501068" w:rsidRDefault="00C044A8" w:rsidP="0097273A">
      <w:pPr>
        <w:pStyle w:val="Heading2"/>
      </w:pPr>
      <w:bookmarkStart w:id="460" w:name="_Toc138325212"/>
      <w:bookmarkStart w:id="461" w:name="_Toc138343869"/>
      <w:bookmarkStart w:id="462" w:name="_Toc167780657"/>
      <w:bookmarkStart w:id="463" w:name="_Toc721595212"/>
      <w:bookmarkStart w:id="464" w:name="_Toc174628719"/>
      <w:r w:rsidRPr="00BB6220">
        <w:t>To</w:t>
      </w:r>
      <w:r w:rsidR="003D640C">
        <w:t xml:space="preserve"> </w:t>
      </w:r>
      <w:r w:rsidRPr="00BB6220">
        <w:t>religious</w:t>
      </w:r>
      <w:r w:rsidR="0041414A">
        <w:t>/faith</w:t>
      </w:r>
      <w:r w:rsidR="003D640C">
        <w:t xml:space="preserve"> </w:t>
      </w:r>
      <w:r w:rsidRPr="00BB6220">
        <w:t>communities</w:t>
      </w:r>
      <w:bookmarkEnd w:id="460"/>
      <w:bookmarkEnd w:id="461"/>
      <w:bookmarkEnd w:id="462"/>
      <w:bookmarkEnd w:id="463"/>
      <w:bookmarkEnd w:id="464"/>
    </w:p>
    <w:p w14:paraId="0E3ED679" w14:textId="343DF9A6" w:rsidR="00501068" w:rsidRDefault="00C044A8" w:rsidP="009B737E">
      <w:pPr>
        <w:pStyle w:val="ListParagraph"/>
        <w:numPr>
          <w:ilvl w:val="0"/>
          <w:numId w:val="117"/>
        </w:numPr>
        <w:rPr>
          <w:rFonts w:ascii="Calibri" w:hAnsi="Calibri" w:cs="Calibri"/>
          <w:lang w:eastAsia="en-NZ"/>
        </w:rPr>
      </w:pPr>
      <w:r w:rsidRPr="00BB6220">
        <w:rPr>
          <w:rFonts w:ascii="Calibri" w:hAnsi="Calibri" w:cs="Calibri"/>
          <w:b/>
          <w:bCs/>
          <w:lang w:eastAsia="en-NZ"/>
        </w:rPr>
        <w:t>Listen</w:t>
      </w:r>
      <w:r w:rsidR="003D640C">
        <w:rPr>
          <w:rFonts w:ascii="Calibri" w:hAnsi="Calibri" w:cs="Calibri"/>
          <w:b/>
          <w:bCs/>
          <w:lang w:eastAsia="en-NZ"/>
        </w:rPr>
        <w:t xml:space="preserve"> </w:t>
      </w:r>
      <w:r w:rsidRPr="00BB6220">
        <w:rPr>
          <w:rFonts w:ascii="Calibri" w:hAnsi="Calibri" w:cs="Calibri"/>
          <w:b/>
          <w:bCs/>
          <w:lang w:eastAsia="en-NZ"/>
        </w:rPr>
        <w:t>to</w:t>
      </w:r>
      <w:r w:rsidR="003D640C">
        <w:rPr>
          <w:rFonts w:ascii="Calibri" w:hAnsi="Calibri" w:cs="Calibri"/>
          <w:b/>
          <w:bCs/>
          <w:lang w:eastAsia="en-NZ"/>
        </w:rPr>
        <w:t xml:space="preserve"> </w:t>
      </w:r>
      <w:r w:rsidRPr="00BB6220">
        <w:rPr>
          <w:rFonts w:ascii="Calibri" w:hAnsi="Calibri" w:cs="Calibri"/>
          <w:b/>
          <w:bCs/>
          <w:lang w:eastAsia="en-NZ"/>
        </w:rPr>
        <w:t>survivor</w:t>
      </w:r>
      <w:r w:rsidR="003D640C">
        <w:rPr>
          <w:rFonts w:ascii="Calibri" w:hAnsi="Calibri" w:cs="Calibri"/>
          <w:b/>
          <w:bCs/>
          <w:lang w:eastAsia="en-NZ"/>
        </w:rPr>
        <w:t xml:space="preserve"> </w:t>
      </w:r>
      <w:r w:rsidRPr="00BB6220">
        <w:rPr>
          <w:rFonts w:ascii="Calibri" w:hAnsi="Calibri" w:cs="Calibri"/>
          <w:b/>
          <w:bCs/>
          <w:lang w:eastAsia="en-NZ"/>
        </w:rPr>
        <w:t>stories</w:t>
      </w:r>
      <w:r w:rsidR="003A5B8B">
        <w:rPr>
          <w:rFonts w:ascii="Calibri" w:hAnsi="Calibri" w:cs="Calibri"/>
          <w:b/>
          <w:bCs/>
          <w:lang w:eastAsia="en-NZ"/>
        </w:rPr>
        <w:br/>
      </w:r>
      <w:r w:rsidRPr="00BB6220">
        <w:rPr>
          <w:rFonts w:ascii="Calibri" w:hAnsi="Calibri" w:cs="Calibri"/>
          <w:lang w:eastAsia="en-NZ"/>
        </w:rPr>
        <w:t>Their</w:t>
      </w:r>
      <w:r w:rsidR="003D640C">
        <w:rPr>
          <w:rFonts w:ascii="Calibri" w:hAnsi="Calibri" w:cs="Calibri"/>
          <w:lang w:eastAsia="en-NZ"/>
        </w:rPr>
        <w:t xml:space="preserve"> </w:t>
      </w:r>
      <w:r w:rsidRPr="00BB6220">
        <w:rPr>
          <w:rFonts w:ascii="Calibri" w:hAnsi="Calibri" w:cs="Calibri"/>
          <w:lang w:eastAsia="en-NZ"/>
        </w:rPr>
        <w:t>stories</w:t>
      </w:r>
      <w:r w:rsidR="003D640C">
        <w:rPr>
          <w:rFonts w:ascii="Calibri" w:hAnsi="Calibri" w:cs="Calibri"/>
          <w:lang w:eastAsia="en-NZ"/>
        </w:rPr>
        <w:t xml:space="preserve"> </w:t>
      </w:r>
      <w:r w:rsidRPr="00BB6220">
        <w:rPr>
          <w:rFonts w:ascii="Calibri" w:hAnsi="Calibri" w:cs="Calibri"/>
          <w:lang w:eastAsia="en-NZ"/>
        </w:rPr>
        <w:t>offer</w:t>
      </w:r>
      <w:r w:rsidR="003D640C">
        <w:rPr>
          <w:rFonts w:ascii="Calibri" w:hAnsi="Calibri" w:cs="Calibri"/>
          <w:lang w:eastAsia="en-NZ"/>
        </w:rPr>
        <w:t xml:space="preserve"> </w:t>
      </w:r>
      <w:r w:rsidRPr="00BB6220">
        <w:rPr>
          <w:rFonts w:ascii="Calibri" w:hAnsi="Calibri" w:cs="Calibri"/>
          <w:lang w:eastAsia="en-NZ"/>
        </w:rPr>
        <w:t>valuable</w:t>
      </w:r>
      <w:r w:rsidR="003D640C">
        <w:rPr>
          <w:rFonts w:ascii="Calibri" w:hAnsi="Calibri" w:cs="Calibri"/>
          <w:lang w:eastAsia="en-NZ"/>
        </w:rPr>
        <w:t xml:space="preserve"> </w:t>
      </w:r>
      <w:r w:rsidRPr="00BB6220">
        <w:rPr>
          <w:rFonts w:ascii="Calibri" w:hAnsi="Calibri" w:cs="Calibri"/>
          <w:lang w:eastAsia="en-NZ"/>
        </w:rPr>
        <w:t>lessons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opportunities</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00B25552">
        <w:rPr>
          <w:rFonts w:ascii="Calibri" w:hAnsi="Calibri" w:cs="Calibri"/>
          <w:lang w:eastAsia="en-NZ"/>
        </w:rPr>
        <w:t xml:space="preserve">religious </w:t>
      </w:r>
      <w:r w:rsidRPr="00BB6220">
        <w:rPr>
          <w:rFonts w:ascii="Calibri" w:hAnsi="Calibri" w:cs="Calibri"/>
          <w:lang w:eastAsia="en-NZ"/>
        </w:rPr>
        <w:t>leaders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members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reflect</w:t>
      </w:r>
      <w:r w:rsidR="003D640C">
        <w:rPr>
          <w:rFonts w:ascii="Calibri" w:hAnsi="Calibri" w:cs="Calibri"/>
          <w:lang w:eastAsia="en-NZ"/>
        </w:rPr>
        <w:t xml:space="preserve"> </w:t>
      </w:r>
      <w:r w:rsidRPr="00BB6220">
        <w:rPr>
          <w:rFonts w:ascii="Calibri" w:hAnsi="Calibri" w:cs="Calibri"/>
          <w:lang w:eastAsia="en-NZ"/>
        </w:rPr>
        <w:t>upon</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consider</w:t>
      </w:r>
      <w:r w:rsidR="003D640C">
        <w:rPr>
          <w:rFonts w:ascii="Calibri" w:hAnsi="Calibri" w:cs="Calibri"/>
          <w:lang w:eastAsia="en-NZ"/>
        </w:rPr>
        <w:t xml:space="preserve"> </w:t>
      </w:r>
      <w:r w:rsidRPr="00BB6220">
        <w:rPr>
          <w:rFonts w:ascii="Calibri" w:hAnsi="Calibri" w:cs="Calibri"/>
          <w:lang w:eastAsia="en-NZ"/>
        </w:rPr>
        <w:t>where</w:t>
      </w:r>
      <w:r w:rsidR="003D640C">
        <w:rPr>
          <w:rFonts w:ascii="Calibri" w:hAnsi="Calibri" w:cs="Calibri"/>
          <w:lang w:eastAsia="en-NZ"/>
        </w:rPr>
        <w:t xml:space="preserve"> </w:t>
      </w:r>
      <w:r w:rsidRPr="00BB6220">
        <w:rPr>
          <w:rFonts w:ascii="Calibri" w:hAnsi="Calibri" w:cs="Calibri"/>
          <w:lang w:eastAsia="en-NZ"/>
        </w:rPr>
        <w:t>changes</w:t>
      </w:r>
      <w:r w:rsidR="003D640C">
        <w:rPr>
          <w:rFonts w:ascii="Calibri" w:hAnsi="Calibri" w:cs="Calibri"/>
          <w:lang w:eastAsia="en-NZ"/>
        </w:rPr>
        <w:t xml:space="preserve"> </w:t>
      </w:r>
      <w:r w:rsidRPr="00BB6220">
        <w:rPr>
          <w:rFonts w:ascii="Calibri" w:hAnsi="Calibri" w:cs="Calibri"/>
          <w:lang w:eastAsia="en-NZ"/>
        </w:rPr>
        <w:t>can</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made.</w:t>
      </w:r>
      <w:r w:rsidR="003D640C">
        <w:rPr>
          <w:rFonts w:ascii="Calibri" w:hAnsi="Calibri" w:cs="Calibri"/>
          <w:lang w:eastAsia="en-NZ"/>
        </w:rPr>
        <w:t xml:space="preserve"> </w:t>
      </w:r>
      <w:r w:rsidRPr="00BB6220">
        <w:rPr>
          <w:rFonts w:ascii="Calibri" w:hAnsi="Calibri" w:cs="Calibri"/>
          <w:lang w:eastAsia="en-NZ"/>
        </w:rPr>
        <w:t>Actively</w:t>
      </w:r>
      <w:r w:rsidR="003D640C">
        <w:rPr>
          <w:rFonts w:ascii="Calibri" w:hAnsi="Calibri" w:cs="Calibri"/>
          <w:lang w:eastAsia="en-NZ"/>
        </w:rPr>
        <w:t xml:space="preserve"> </w:t>
      </w:r>
      <w:r w:rsidRPr="00BB6220">
        <w:rPr>
          <w:rFonts w:ascii="Calibri" w:hAnsi="Calibri" w:cs="Calibri"/>
          <w:lang w:eastAsia="en-NZ"/>
        </w:rPr>
        <w:t>engaging</w:t>
      </w:r>
      <w:r w:rsidR="003D640C">
        <w:rPr>
          <w:rFonts w:ascii="Calibri" w:hAnsi="Calibri" w:cs="Calibri"/>
          <w:lang w:eastAsia="en-NZ"/>
        </w:rPr>
        <w:t xml:space="preserve"> </w:t>
      </w:r>
      <w:r w:rsidRPr="00BB6220">
        <w:rPr>
          <w:rFonts w:ascii="Calibri" w:hAnsi="Calibri" w:cs="Calibri"/>
          <w:lang w:eastAsia="en-NZ"/>
        </w:rPr>
        <w:t>with</w:t>
      </w:r>
      <w:r w:rsidR="003D640C">
        <w:rPr>
          <w:rFonts w:ascii="Calibri" w:hAnsi="Calibri" w:cs="Calibri"/>
          <w:lang w:eastAsia="en-NZ"/>
        </w:rPr>
        <w:t xml:space="preserve"> </w:t>
      </w:r>
      <w:r w:rsidRPr="00BB6220">
        <w:rPr>
          <w:rFonts w:ascii="Calibri" w:hAnsi="Calibri" w:cs="Calibri"/>
          <w:lang w:eastAsia="en-NZ"/>
        </w:rPr>
        <w:t>these</w:t>
      </w:r>
      <w:r w:rsidR="003D640C">
        <w:rPr>
          <w:rFonts w:ascii="Calibri" w:hAnsi="Calibri" w:cs="Calibri"/>
          <w:lang w:eastAsia="en-NZ"/>
        </w:rPr>
        <w:t xml:space="preserve"> </w:t>
      </w:r>
      <w:r w:rsidRPr="00BB6220">
        <w:rPr>
          <w:rFonts w:ascii="Calibri" w:hAnsi="Calibri" w:cs="Calibri"/>
          <w:lang w:eastAsia="en-NZ"/>
        </w:rPr>
        <w:t>narratives</w:t>
      </w:r>
      <w:r w:rsidR="003D640C">
        <w:rPr>
          <w:rFonts w:ascii="Calibri" w:hAnsi="Calibri" w:cs="Calibri"/>
          <w:lang w:eastAsia="en-NZ"/>
        </w:rPr>
        <w:t xml:space="preserve"> </w:t>
      </w:r>
      <w:r w:rsidRPr="00BB6220">
        <w:rPr>
          <w:rFonts w:ascii="Calibri" w:hAnsi="Calibri" w:cs="Calibri"/>
          <w:lang w:eastAsia="en-NZ"/>
        </w:rPr>
        <w:t>demonstrates</w:t>
      </w:r>
      <w:r w:rsidR="003D640C">
        <w:rPr>
          <w:rFonts w:ascii="Calibri" w:hAnsi="Calibri" w:cs="Calibri"/>
          <w:lang w:eastAsia="en-NZ"/>
        </w:rPr>
        <w:t xml:space="preserve"> </w:t>
      </w:r>
      <w:r w:rsidRPr="00BB6220">
        <w:rPr>
          <w:rFonts w:ascii="Calibri" w:hAnsi="Calibri" w:cs="Calibri"/>
          <w:lang w:eastAsia="en-NZ"/>
        </w:rPr>
        <w:t>empathy</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validates</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trauma</w:t>
      </w:r>
      <w:r w:rsidR="003D640C">
        <w:rPr>
          <w:rFonts w:ascii="Calibri" w:hAnsi="Calibri" w:cs="Calibri"/>
          <w:lang w:eastAsia="en-NZ"/>
        </w:rPr>
        <w:t xml:space="preserve"> </w:t>
      </w:r>
      <w:r w:rsidRPr="00BB6220">
        <w:rPr>
          <w:rFonts w:ascii="Calibri" w:hAnsi="Calibri" w:cs="Calibri"/>
          <w:lang w:eastAsia="en-NZ"/>
        </w:rPr>
        <w:t>endured.</w:t>
      </w:r>
      <w:r w:rsidR="003D640C">
        <w:rPr>
          <w:rFonts w:ascii="Calibri" w:hAnsi="Calibri" w:cs="Calibri"/>
          <w:lang w:eastAsia="en-NZ"/>
        </w:rPr>
        <w:t xml:space="preserve"> </w:t>
      </w:r>
      <w:r w:rsidR="00684BBF">
        <w:rPr>
          <w:rFonts w:ascii="Calibri" w:hAnsi="Calibri" w:cs="Calibri"/>
          <w:lang w:eastAsia="en-NZ"/>
        </w:rPr>
        <w:t>Investigate</w:t>
      </w:r>
      <w:r w:rsidR="003D640C">
        <w:rPr>
          <w:rFonts w:ascii="Calibri" w:hAnsi="Calibri" w:cs="Calibri"/>
          <w:lang w:eastAsia="en-NZ"/>
        </w:rPr>
        <w:t xml:space="preserve"> </w:t>
      </w:r>
      <w:r w:rsidR="00684BBF">
        <w:rPr>
          <w:rFonts w:ascii="Calibri" w:hAnsi="Calibri" w:cs="Calibri"/>
          <w:lang w:eastAsia="en-NZ"/>
        </w:rPr>
        <w:t>options</w:t>
      </w:r>
      <w:r w:rsidR="003D640C">
        <w:rPr>
          <w:rFonts w:ascii="Calibri" w:hAnsi="Calibri" w:cs="Calibri"/>
          <w:lang w:eastAsia="en-NZ"/>
        </w:rPr>
        <w:t xml:space="preserve"> </w:t>
      </w:r>
      <w:r w:rsidR="00684BBF">
        <w:rPr>
          <w:rFonts w:ascii="Calibri" w:hAnsi="Calibri" w:cs="Calibri"/>
          <w:lang w:eastAsia="en-NZ"/>
        </w:rPr>
        <w:t>for</w:t>
      </w:r>
      <w:r w:rsidR="003D640C">
        <w:rPr>
          <w:rFonts w:ascii="Calibri" w:hAnsi="Calibri" w:cs="Calibri"/>
          <w:lang w:eastAsia="en-NZ"/>
        </w:rPr>
        <w:t xml:space="preserve"> </w:t>
      </w:r>
      <w:r w:rsidR="00684BBF">
        <w:rPr>
          <w:rFonts w:ascii="Calibri" w:hAnsi="Calibri" w:cs="Calibri"/>
          <w:lang w:eastAsia="en-NZ"/>
        </w:rPr>
        <w:t>their</w:t>
      </w:r>
      <w:r w:rsidR="003D640C">
        <w:rPr>
          <w:rFonts w:ascii="Calibri" w:hAnsi="Calibri" w:cs="Calibri"/>
          <w:lang w:eastAsia="en-NZ"/>
        </w:rPr>
        <w:t xml:space="preserve"> </w:t>
      </w:r>
      <w:r w:rsidR="00684BBF">
        <w:rPr>
          <w:rFonts w:ascii="Calibri" w:hAnsi="Calibri" w:cs="Calibri"/>
          <w:lang w:eastAsia="en-NZ"/>
        </w:rPr>
        <w:t>subsequent</w:t>
      </w:r>
      <w:r w:rsidR="003D640C">
        <w:rPr>
          <w:rFonts w:ascii="Calibri" w:hAnsi="Calibri" w:cs="Calibri"/>
          <w:lang w:eastAsia="en-NZ"/>
        </w:rPr>
        <w:t xml:space="preserve"> </w:t>
      </w:r>
      <w:r w:rsidR="00684BBF">
        <w:rPr>
          <w:rFonts w:ascii="Calibri" w:hAnsi="Calibri" w:cs="Calibri"/>
          <w:lang w:eastAsia="en-NZ"/>
        </w:rPr>
        <w:t>application</w:t>
      </w:r>
      <w:r w:rsidR="003D640C">
        <w:rPr>
          <w:rFonts w:ascii="Calibri" w:hAnsi="Calibri" w:cs="Calibri"/>
          <w:lang w:eastAsia="en-NZ"/>
        </w:rPr>
        <w:t xml:space="preserve"> </w:t>
      </w:r>
      <w:r w:rsidR="00684BBF">
        <w:rPr>
          <w:rFonts w:ascii="Calibri" w:hAnsi="Calibri" w:cs="Calibri"/>
          <w:lang w:eastAsia="en-NZ"/>
        </w:rPr>
        <w:t>to</w:t>
      </w:r>
      <w:r w:rsidR="003D640C">
        <w:rPr>
          <w:rFonts w:ascii="Calibri" w:hAnsi="Calibri" w:cs="Calibri"/>
          <w:lang w:eastAsia="en-NZ"/>
        </w:rPr>
        <w:t xml:space="preserve"> </w:t>
      </w:r>
      <w:r w:rsidR="00684BBF">
        <w:rPr>
          <w:rFonts w:ascii="Calibri" w:hAnsi="Calibri" w:cs="Calibri"/>
          <w:lang w:eastAsia="en-NZ"/>
        </w:rPr>
        <w:t>denominational</w:t>
      </w:r>
      <w:r w:rsidR="003D640C">
        <w:rPr>
          <w:rFonts w:ascii="Calibri" w:hAnsi="Calibri" w:cs="Calibri"/>
          <w:lang w:eastAsia="en-NZ"/>
        </w:rPr>
        <w:t xml:space="preserve"> </w:t>
      </w:r>
      <w:r w:rsidR="00684BBF">
        <w:rPr>
          <w:rFonts w:ascii="Calibri" w:hAnsi="Calibri" w:cs="Calibri"/>
          <w:lang w:eastAsia="en-NZ"/>
        </w:rPr>
        <w:t>or</w:t>
      </w:r>
      <w:r w:rsidR="003D640C">
        <w:rPr>
          <w:rFonts w:ascii="Calibri" w:hAnsi="Calibri" w:cs="Calibri"/>
          <w:lang w:eastAsia="en-NZ"/>
        </w:rPr>
        <w:t xml:space="preserve"> </w:t>
      </w:r>
      <w:r w:rsidR="00684BBF">
        <w:rPr>
          <w:rFonts w:ascii="Calibri" w:hAnsi="Calibri" w:cs="Calibri"/>
          <w:lang w:eastAsia="en-NZ"/>
        </w:rPr>
        <w:t>local</w:t>
      </w:r>
      <w:r w:rsidR="003D640C">
        <w:rPr>
          <w:rFonts w:ascii="Calibri" w:hAnsi="Calibri" w:cs="Calibri"/>
          <w:lang w:eastAsia="en-NZ"/>
        </w:rPr>
        <w:t xml:space="preserve"> </w:t>
      </w:r>
      <w:r w:rsidR="00684BBF">
        <w:rPr>
          <w:rFonts w:ascii="Calibri" w:hAnsi="Calibri" w:cs="Calibri"/>
          <w:lang w:eastAsia="en-NZ"/>
        </w:rPr>
        <w:t>policies</w:t>
      </w:r>
      <w:r w:rsidR="003D640C">
        <w:rPr>
          <w:rFonts w:ascii="Calibri" w:hAnsi="Calibri" w:cs="Calibri"/>
          <w:lang w:eastAsia="en-NZ"/>
        </w:rPr>
        <w:t xml:space="preserve"> </w:t>
      </w:r>
      <w:r w:rsidR="00684BBF">
        <w:rPr>
          <w:rFonts w:ascii="Calibri" w:hAnsi="Calibri" w:cs="Calibri"/>
          <w:lang w:eastAsia="en-NZ"/>
        </w:rPr>
        <w:t>and</w:t>
      </w:r>
      <w:r w:rsidR="003D640C">
        <w:rPr>
          <w:rFonts w:ascii="Calibri" w:hAnsi="Calibri" w:cs="Calibri"/>
          <w:lang w:eastAsia="en-NZ"/>
        </w:rPr>
        <w:t xml:space="preserve"> </w:t>
      </w:r>
      <w:r w:rsidR="00684BBF">
        <w:rPr>
          <w:rFonts w:ascii="Calibri" w:hAnsi="Calibri" w:cs="Calibri"/>
          <w:lang w:eastAsia="en-NZ"/>
        </w:rPr>
        <w:t>practices.</w:t>
      </w:r>
    </w:p>
    <w:p w14:paraId="48D23D82" w14:textId="73D68B06" w:rsidR="00501068" w:rsidRDefault="00C40930" w:rsidP="009B737E">
      <w:pPr>
        <w:pStyle w:val="ListParagraph"/>
        <w:numPr>
          <w:ilvl w:val="0"/>
          <w:numId w:val="117"/>
        </w:numPr>
        <w:rPr>
          <w:rFonts w:ascii="Calibri" w:hAnsi="Calibri" w:cs="Calibri"/>
          <w:lang w:eastAsia="en-NZ"/>
        </w:rPr>
      </w:pPr>
      <w:r w:rsidRPr="00CF34EE">
        <w:rPr>
          <w:rFonts w:ascii="Calibri" w:hAnsi="Calibri" w:cs="Calibri"/>
          <w:b/>
          <w:bCs/>
          <w:lang w:eastAsia="en-NZ"/>
        </w:rPr>
        <w:t>Engage</w:t>
      </w:r>
      <w:r w:rsidR="003D640C">
        <w:rPr>
          <w:rFonts w:ascii="Calibri" w:hAnsi="Calibri" w:cs="Calibri"/>
          <w:b/>
          <w:bCs/>
          <w:lang w:eastAsia="en-NZ"/>
        </w:rPr>
        <w:t xml:space="preserve"> </w:t>
      </w:r>
      <w:r w:rsidRPr="00CF34EE">
        <w:rPr>
          <w:rFonts w:ascii="Calibri" w:hAnsi="Calibri" w:cs="Calibri"/>
          <w:b/>
          <w:bCs/>
          <w:lang w:eastAsia="en-NZ"/>
        </w:rPr>
        <w:t>research</w:t>
      </w:r>
      <w:r w:rsidR="003D640C">
        <w:rPr>
          <w:rFonts w:ascii="Calibri" w:hAnsi="Calibri" w:cs="Calibri"/>
          <w:b/>
          <w:bCs/>
          <w:lang w:eastAsia="en-NZ"/>
        </w:rPr>
        <w:t xml:space="preserve"> </w:t>
      </w:r>
      <w:r w:rsidRPr="00CF34EE">
        <w:rPr>
          <w:rFonts w:ascii="Calibri" w:hAnsi="Calibri" w:cs="Calibri"/>
          <w:b/>
          <w:bCs/>
          <w:lang w:eastAsia="en-NZ"/>
        </w:rPr>
        <w:t>around</w:t>
      </w:r>
      <w:r w:rsidR="003D640C">
        <w:rPr>
          <w:rFonts w:ascii="Calibri" w:hAnsi="Calibri" w:cs="Calibri"/>
          <w:b/>
          <w:bCs/>
          <w:lang w:eastAsia="en-NZ"/>
        </w:rPr>
        <w:t xml:space="preserve"> </w:t>
      </w:r>
      <w:r w:rsidR="0041414A">
        <w:rPr>
          <w:rFonts w:ascii="Calibri" w:hAnsi="Calibri" w:cs="Calibri"/>
          <w:b/>
          <w:bCs/>
          <w:lang w:eastAsia="en-NZ"/>
        </w:rPr>
        <w:t>Rainbow</w:t>
      </w:r>
      <w:r>
        <w:rPr>
          <w:rFonts w:ascii="Calibri" w:hAnsi="Calibri" w:cs="Calibri"/>
          <w:b/>
          <w:bCs/>
          <w:lang w:eastAsia="en-NZ"/>
        </w:rPr>
        <w:t>-based</w:t>
      </w:r>
      <w:r w:rsidR="003D640C">
        <w:rPr>
          <w:rFonts w:ascii="Calibri" w:hAnsi="Calibri" w:cs="Calibri"/>
          <w:b/>
          <w:bCs/>
          <w:lang w:eastAsia="en-NZ"/>
        </w:rPr>
        <w:t xml:space="preserve"> </w:t>
      </w:r>
      <w:r w:rsidRPr="00CF34EE">
        <w:rPr>
          <w:rFonts w:ascii="Calibri" w:hAnsi="Calibri" w:cs="Calibri"/>
          <w:b/>
          <w:bCs/>
          <w:lang w:eastAsia="en-NZ"/>
        </w:rPr>
        <w:t>religious</w:t>
      </w:r>
      <w:r w:rsidR="003D640C">
        <w:rPr>
          <w:rFonts w:ascii="Calibri" w:hAnsi="Calibri" w:cs="Calibri"/>
          <w:b/>
          <w:bCs/>
          <w:lang w:eastAsia="en-NZ"/>
        </w:rPr>
        <w:t xml:space="preserve"> </w:t>
      </w:r>
      <w:r w:rsidRPr="00CF34EE">
        <w:rPr>
          <w:rFonts w:ascii="Calibri" w:hAnsi="Calibri" w:cs="Calibri"/>
          <w:b/>
          <w:bCs/>
          <w:lang w:eastAsia="en-NZ"/>
        </w:rPr>
        <w:t>abuse</w:t>
      </w:r>
      <w:r w:rsidR="003D640C">
        <w:rPr>
          <w:rFonts w:ascii="Calibri" w:hAnsi="Calibri" w:cs="Calibri"/>
          <w:b/>
          <w:bCs/>
          <w:lang w:eastAsia="en-NZ"/>
        </w:rPr>
        <w:t xml:space="preserve"> </w:t>
      </w:r>
      <w:r w:rsidRPr="00CF34EE">
        <w:rPr>
          <w:rFonts w:ascii="Calibri" w:hAnsi="Calibri" w:cs="Calibri"/>
          <w:b/>
          <w:bCs/>
          <w:lang w:eastAsia="en-NZ"/>
        </w:rPr>
        <w:t>and</w:t>
      </w:r>
      <w:r w:rsidR="003D640C">
        <w:rPr>
          <w:rFonts w:ascii="Calibri" w:hAnsi="Calibri" w:cs="Calibri"/>
          <w:b/>
          <w:bCs/>
          <w:lang w:eastAsia="en-NZ"/>
        </w:rPr>
        <w:t xml:space="preserve"> </w:t>
      </w:r>
      <w:r w:rsidRPr="00CF34EE">
        <w:rPr>
          <w:rFonts w:ascii="Calibri" w:hAnsi="Calibri" w:cs="Calibri"/>
          <w:b/>
          <w:bCs/>
          <w:lang w:eastAsia="en-NZ"/>
        </w:rPr>
        <w:t>harm</w:t>
      </w:r>
      <w:r w:rsidR="003D640C">
        <w:rPr>
          <w:rFonts w:ascii="Calibri" w:hAnsi="Calibri" w:cs="Calibri"/>
          <w:b/>
          <w:bCs/>
          <w:lang w:eastAsia="en-NZ"/>
        </w:rPr>
        <w:t xml:space="preserve"> </w:t>
      </w:r>
      <w:r w:rsidRPr="00CF34EE">
        <w:rPr>
          <w:rFonts w:ascii="Calibri" w:hAnsi="Calibri" w:cs="Calibri"/>
          <w:b/>
          <w:bCs/>
          <w:lang w:eastAsia="en-NZ"/>
        </w:rPr>
        <w:t>caused</w:t>
      </w:r>
      <w:r w:rsidR="003D640C">
        <w:rPr>
          <w:rFonts w:ascii="Calibri" w:hAnsi="Calibri" w:cs="Calibri"/>
          <w:b/>
          <w:bCs/>
          <w:lang w:eastAsia="en-NZ"/>
        </w:rPr>
        <w:t xml:space="preserve"> </w:t>
      </w:r>
      <w:r w:rsidRPr="00CF34EE">
        <w:rPr>
          <w:rFonts w:ascii="Calibri" w:hAnsi="Calibri" w:cs="Calibri"/>
          <w:b/>
          <w:bCs/>
          <w:lang w:eastAsia="en-NZ"/>
        </w:rPr>
        <w:t>by</w:t>
      </w:r>
      <w:r w:rsidR="003D640C">
        <w:rPr>
          <w:rFonts w:ascii="Calibri" w:hAnsi="Calibri" w:cs="Calibri"/>
          <w:b/>
          <w:bCs/>
          <w:lang w:eastAsia="en-NZ"/>
        </w:rPr>
        <w:t xml:space="preserve"> </w:t>
      </w:r>
      <w:r w:rsidRPr="00CF34EE">
        <w:rPr>
          <w:rFonts w:ascii="Calibri" w:hAnsi="Calibri" w:cs="Calibri"/>
          <w:b/>
          <w:bCs/>
          <w:lang w:eastAsia="en-NZ"/>
        </w:rPr>
        <w:t>conversion</w:t>
      </w:r>
      <w:r w:rsidR="003D640C">
        <w:rPr>
          <w:rFonts w:ascii="Calibri" w:hAnsi="Calibri" w:cs="Calibri"/>
          <w:b/>
          <w:bCs/>
          <w:lang w:eastAsia="en-NZ"/>
        </w:rPr>
        <w:t xml:space="preserve"> </w:t>
      </w:r>
      <w:r w:rsidRPr="00CF34EE">
        <w:rPr>
          <w:rFonts w:ascii="Calibri" w:hAnsi="Calibri" w:cs="Calibri"/>
          <w:b/>
          <w:bCs/>
          <w:lang w:eastAsia="en-NZ"/>
        </w:rPr>
        <w:t>practices</w:t>
      </w:r>
      <w:r w:rsidR="003D640C">
        <w:rPr>
          <w:rFonts w:ascii="Calibri" w:hAnsi="Calibri" w:cs="Calibri"/>
          <w:b/>
          <w:bCs/>
          <w:lang w:eastAsia="en-NZ"/>
        </w:rPr>
        <w:t xml:space="preserve"> </w:t>
      </w:r>
      <w:r>
        <w:rPr>
          <w:rFonts w:ascii="Calibri" w:hAnsi="Calibri" w:cs="Calibri"/>
          <w:b/>
          <w:bCs/>
          <w:lang w:eastAsia="en-NZ"/>
        </w:rPr>
        <w:t>at</w:t>
      </w:r>
      <w:r w:rsidR="003D640C">
        <w:rPr>
          <w:rFonts w:ascii="Calibri" w:hAnsi="Calibri" w:cs="Calibri"/>
          <w:b/>
          <w:bCs/>
          <w:lang w:eastAsia="en-NZ"/>
        </w:rPr>
        <w:t xml:space="preserve"> </w:t>
      </w:r>
      <w:r>
        <w:rPr>
          <w:rFonts w:ascii="Calibri" w:hAnsi="Calibri" w:cs="Calibri"/>
          <w:b/>
          <w:bCs/>
          <w:lang w:eastAsia="en-NZ"/>
        </w:rPr>
        <w:t>the</w:t>
      </w:r>
      <w:r w:rsidR="003D640C">
        <w:rPr>
          <w:rFonts w:ascii="Calibri" w:hAnsi="Calibri" w:cs="Calibri"/>
          <w:b/>
          <w:bCs/>
          <w:lang w:eastAsia="en-NZ"/>
        </w:rPr>
        <w:t xml:space="preserve"> </w:t>
      </w:r>
      <w:r>
        <w:rPr>
          <w:rFonts w:ascii="Calibri" w:hAnsi="Calibri" w:cs="Calibri"/>
          <w:b/>
          <w:bCs/>
          <w:lang w:eastAsia="en-NZ"/>
        </w:rPr>
        <w:t>highest</w:t>
      </w:r>
      <w:r w:rsidR="003D640C">
        <w:rPr>
          <w:rFonts w:ascii="Calibri" w:hAnsi="Calibri" w:cs="Calibri"/>
          <w:b/>
          <w:bCs/>
          <w:lang w:eastAsia="en-NZ"/>
        </w:rPr>
        <w:t xml:space="preserve"> </w:t>
      </w:r>
      <w:r>
        <w:rPr>
          <w:rFonts w:ascii="Calibri" w:hAnsi="Calibri" w:cs="Calibri"/>
          <w:b/>
          <w:bCs/>
          <w:lang w:eastAsia="en-NZ"/>
        </w:rPr>
        <w:t>levels</w:t>
      </w:r>
      <w:r w:rsidR="003D640C">
        <w:rPr>
          <w:rFonts w:ascii="Calibri" w:hAnsi="Calibri" w:cs="Calibri"/>
          <w:b/>
          <w:bCs/>
          <w:lang w:eastAsia="en-NZ"/>
        </w:rPr>
        <w:t xml:space="preserve"> </w:t>
      </w:r>
      <w:r>
        <w:rPr>
          <w:rFonts w:ascii="Calibri" w:hAnsi="Calibri" w:cs="Calibri"/>
          <w:b/>
          <w:bCs/>
          <w:lang w:eastAsia="en-NZ"/>
        </w:rPr>
        <w:t>of</w:t>
      </w:r>
      <w:r w:rsidR="003D640C">
        <w:rPr>
          <w:rFonts w:ascii="Calibri" w:hAnsi="Calibri" w:cs="Calibri"/>
          <w:b/>
          <w:bCs/>
          <w:lang w:eastAsia="en-NZ"/>
        </w:rPr>
        <w:t xml:space="preserve"> </w:t>
      </w:r>
      <w:r>
        <w:rPr>
          <w:rFonts w:ascii="Calibri" w:hAnsi="Calibri" w:cs="Calibri"/>
          <w:b/>
          <w:bCs/>
          <w:lang w:eastAsia="en-NZ"/>
        </w:rPr>
        <w:t>your</w:t>
      </w:r>
      <w:r w:rsidR="003D640C">
        <w:rPr>
          <w:rFonts w:ascii="Calibri" w:hAnsi="Calibri" w:cs="Calibri"/>
          <w:b/>
          <w:bCs/>
          <w:lang w:eastAsia="en-NZ"/>
        </w:rPr>
        <w:t xml:space="preserve"> </w:t>
      </w:r>
      <w:r w:rsidR="00424D2D">
        <w:rPr>
          <w:rFonts w:ascii="Calibri" w:hAnsi="Calibri" w:cs="Calibri"/>
          <w:b/>
          <w:bCs/>
          <w:lang w:eastAsia="en-NZ"/>
        </w:rPr>
        <w:t>faith</w:t>
      </w:r>
      <w:r w:rsidR="003D640C">
        <w:rPr>
          <w:rFonts w:ascii="Calibri" w:hAnsi="Calibri" w:cs="Calibri"/>
          <w:b/>
          <w:bCs/>
          <w:lang w:eastAsia="en-NZ"/>
        </w:rPr>
        <w:t xml:space="preserve"> </w:t>
      </w:r>
      <w:r w:rsidR="00424D2D">
        <w:rPr>
          <w:rFonts w:ascii="Calibri" w:hAnsi="Calibri" w:cs="Calibri"/>
          <w:b/>
          <w:bCs/>
          <w:lang w:eastAsia="en-NZ"/>
        </w:rPr>
        <w:t>group</w:t>
      </w:r>
      <w:r w:rsidR="003D640C">
        <w:rPr>
          <w:rFonts w:ascii="Calibri" w:hAnsi="Calibri" w:cs="Calibri"/>
          <w:lang w:eastAsia="en-NZ"/>
        </w:rPr>
        <w:t xml:space="preserve"> </w:t>
      </w:r>
      <w:r w:rsidR="003A5B8B">
        <w:rPr>
          <w:rFonts w:ascii="Calibri" w:hAnsi="Calibri" w:cs="Calibri"/>
          <w:lang w:eastAsia="en-NZ"/>
        </w:rPr>
        <w:br/>
      </w:r>
      <w:r>
        <w:rPr>
          <w:rFonts w:ascii="Calibri" w:hAnsi="Calibri" w:cs="Calibri"/>
          <w:lang w:eastAsia="en-NZ"/>
        </w:rPr>
        <w:t>Conversion</w:t>
      </w:r>
      <w:r w:rsidR="003D640C">
        <w:rPr>
          <w:rFonts w:ascii="Calibri" w:hAnsi="Calibri" w:cs="Calibri"/>
          <w:lang w:eastAsia="en-NZ"/>
        </w:rPr>
        <w:t xml:space="preserve"> </w:t>
      </w:r>
      <w:r>
        <w:rPr>
          <w:rFonts w:ascii="Calibri" w:hAnsi="Calibri" w:cs="Calibri"/>
          <w:lang w:eastAsia="en-NZ"/>
        </w:rPr>
        <w:t>practices</w:t>
      </w:r>
      <w:r w:rsidR="003D640C">
        <w:rPr>
          <w:rFonts w:ascii="Calibri" w:hAnsi="Calibri" w:cs="Calibri"/>
          <w:lang w:eastAsia="en-NZ"/>
        </w:rPr>
        <w:t xml:space="preserve"> </w:t>
      </w:r>
      <w:r>
        <w:rPr>
          <w:rFonts w:ascii="Calibri" w:hAnsi="Calibri" w:cs="Calibri"/>
          <w:lang w:eastAsia="en-NZ"/>
        </w:rPr>
        <w:t>are</w:t>
      </w:r>
      <w:r w:rsidR="003D640C">
        <w:rPr>
          <w:rFonts w:ascii="Calibri" w:hAnsi="Calibri" w:cs="Calibri"/>
          <w:lang w:eastAsia="en-NZ"/>
        </w:rPr>
        <w:t xml:space="preserve"> </w:t>
      </w:r>
      <w:r>
        <w:rPr>
          <w:rFonts w:ascii="Calibri" w:hAnsi="Calibri" w:cs="Calibri"/>
          <w:lang w:eastAsia="en-NZ"/>
        </w:rPr>
        <w:t>rooted</w:t>
      </w:r>
      <w:r w:rsidR="003D640C">
        <w:rPr>
          <w:rFonts w:ascii="Calibri" w:hAnsi="Calibri" w:cs="Calibri"/>
          <w:lang w:eastAsia="en-NZ"/>
        </w:rPr>
        <w:t xml:space="preserve"> </w:t>
      </w:r>
      <w:r>
        <w:rPr>
          <w:rFonts w:ascii="Calibri" w:hAnsi="Calibri" w:cs="Calibri"/>
          <w:lang w:eastAsia="en-NZ"/>
        </w:rPr>
        <w:t>in</w:t>
      </w:r>
      <w:r w:rsidR="003D640C">
        <w:rPr>
          <w:rFonts w:ascii="Calibri" w:hAnsi="Calibri" w:cs="Calibri"/>
          <w:lang w:eastAsia="en-NZ"/>
        </w:rPr>
        <w:t xml:space="preserve"> </w:t>
      </w:r>
      <w:r>
        <w:rPr>
          <w:rFonts w:ascii="Calibri" w:hAnsi="Calibri" w:cs="Calibri"/>
          <w:lang w:eastAsia="en-NZ"/>
        </w:rPr>
        <w:t>a</w:t>
      </w:r>
      <w:r w:rsidR="003D640C">
        <w:rPr>
          <w:rFonts w:ascii="Calibri" w:hAnsi="Calibri" w:cs="Calibri"/>
          <w:lang w:eastAsia="en-NZ"/>
        </w:rPr>
        <w:t xml:space="preserve"> </w:t>
      </w:r>
      <w:r>
        <w:rPr>
          <w:rFonts w:ascii="Calibri" w:hAnsi="Calibri" w:cs="Calibri"/>
          <w:lang w:eastAsia="en-NZ"/>
        </w:rPr>
        <w:t>wider</w:t>
      </w:r>
      <w:r w:rsidR="003D640C">
        <w:rPr>
          <w:rFonts w:ascii="Calibri" w:hAnsi="Calibri" w:cs="Calibri"/>
          <w:lang w:eastAsia="en-NZ"/>
        </w:rPr>
        <w:t xml:space="preserve"> </w:t>
      </w:r>
      <w:r>
        <w:rPr>
          <w:rFonts w:ascii="Calibri" w:hAnsi="Calibri" w:cs="Calibri"/>
          <w:lang w:eastAsia="en-NZ"/>
        </w:rPr>
        <w:t>system</w:t>
      </w:r>
      <w:r w:rsidR="003D640C">
        <w:rPr>
          <w:rFonts w:ascii="Calibri" w:hAnsi="Calibri" w:cs="Calibri"/>
          <w:lang w:eastAsia="en-NZ"/>
        </w:rPr>
        <w:t xml:space="preserve"> </w:t>
      </w:r>
      <w:r>
        <w:rPr>
          <w:rFonts w:ascii="Calibri" w:hAnsi="Calibri" w:cs="Calibri"/>
          <w:lang w:eastAsia="en-NZ"/>
        </w:rPr>
        <w:t>of</w:t>
      </w:r>
      <w:r w:rsidR="003D640C">
        <w:rPr>
          <w:rFonts w:ascii="Calibri" w:hAnsi="Calibri" w:cs="Calibri"/>
          <w:lang w:eastAsia="en-NZ"/>
        </w:rPr>
        <w:t xml:space="preserve"> </w:t>
      </w:r>
      <w:r>
        <w:rPr>
          <w:rFonts w:ascii="Calibri" w:hAnsi="Calibri" w:cs="Calibri"/>
          <w:lang w:eastAsia="en-NZ"/>
        </w:rPr>
        <w:t>beliefs</w:t>
      </w:r>
      <w:r w:rsidR="003D640C">
        <w:rPr>
          <w:rFonts w:ascii="Calibri" w:hAnsi="Calibri" w:cs="Calibri"/>
          <w:lang w:eastAsia="en-NZ"/>
        </w:rPr>
        <w:t xml:space="preserve"> </w:t>
      </w:r>
      <w:r>
        <w:rPr>
          <w:rFonts w:ascii="Calibri" w:hAnsi="Calibri" w:cs="Calibri"/>
          <w:lang w:eastAsia="en-NZ"/>
        </w:rPr>
        <w:t>and</w:t>
      </w:r>
      <w:r w:rsidR="003D640C">
        <w:rPr>
          <w:rFonts w:ascii="Calibri" w:hAnsi="Calibri" w:cs="Calibri"/>
          <w:lang w:eastAsia="en-NZ"/>
        </w:rPr>
        <w:t xml:space="preserve"> </w:t>
      </w:r>
      <w:r>
        <w:rPr>
          <w:rFonts w:ascii="Calibri" w:hAnsi="Calibri" w:cs="Calibri"/>
          <w:lang w:eastAsia="en-NZ"/>
        </w:rPr>
        <w:t>practices</w:t>
      </w:r>
      <w:r w:rsidR="003D640C">
        <w:rPr>
          <w:rFonts w:ascii="Calibri" w:hAnsi="Calibri" w:cs="Calibri"/>
          <w:lang w:eastAsia="en-NZ"/>
        </w:rPr>
        <w:t xml:space="preserve"> </w:t>
      </w:r>
      <w:r>
        <w:rPr>
          <w:rFonts w:ascii="Calibri" w:hAnsi="Calibri" w:cs="Calibri"/>
          <w:lang w:eastAsia="en-NZ"/>
        </w:rPr>
        <w:t>that</w:t>
      </w:r>
      <w:r w:rsidR="003D640C">
        <w:rPr>
          <w:rFonts w:ascii="Calibri" w:hAnsi="Calibri" w:cs="Calibri"/>
          <w:lang w:eastAsia="en-NZ"/>
        </w:rPr>
        <w:t xml:space="preserve"> </w:t>
      </w:r>
      <w:r>
        <w:rPr>
          <w:rFonts w:ascii="Calibri" w:hAnsi="Calibri" w:cs="Calibri"/>
          <w:lang w:eastAsia="en-NZ"/>
        </w:rPr>
        <w:t>eventually</w:t>
      </w:r>
      <w:r w:rsidR="003D640C">
        <w:rPr>
          <w:rFonts w:ascii="Calibri" w:hAnsi="Calibri" w:cs="Calibri"/>
          <w:lang w:eastAsia="en-NZ"/>
        </w:rPr>
        <w:t xml:space="preserve"> </w:t>
      </w:r>
      <w:r>
        <w:rPr>
          <w:rFonts w:ascii="Calibri" w:hAnsi="Calibri" w:cs="Calibri"/>
          <w:lang w:eastAsia="en-NZ"/>
        </w:rPr>
        <w:t>cause</w:t>
      </w:r>
      <w:r w:rsidR="003D640C">
        <w:rPr>
          <w:rFonts w:ascii="Calibri" w:hAnsi="Calibri" w:cs="Calibri"/>
          <w:lang w:eastAsia="en-NZ"/>
        </w:rPr>
        <w:t xml:space="preserve"> </w:t>
      </w:r>
      <w:r w:rsidR="00235153">
        <w:rPr>
          <w:rFonts w:ascii="Calibri" w:hAnsi="Calibri" w:cs="Calibri"/>
          <w:lang w:eastAsia="en-NZ"/>
        </w:rPr>
        <w:t>spiritual</w:t>
      </w:r>
      <w:r w:rsidR="003D640C">
        <w:rPr>
          <w:rFonts w:ascii="Calibri" w:hAnsi="Calibri" w:cs="Calibri"/>
          <w:lang w:eastAsia="en-NZ"/>
        </w:rPr>
        <w:t xml:space="preserve"> </w:t>
      </w:r>
      <w:r>
        <w:rPr>
          <w:rFonts w:ascii="Calibri" w:hAnsi="Calibri" w:cs="Calibri"/>
          <w:lang w:eastAsia="en-NZ"/>
        </w:rPr>
        <w:t>abuse.</w:t>
      </w:r>
      <w:r w:rsidR="003D640C">
        <w:rPr>
          <w:rFonts w:ascii="Calibri" w:hAnsi="Calibri" w:cs="Calibri"/>
          <w:lang w:eastAsia="en-NZ"/>
        </w:rPr>
        <w:t xml:space="preserve"> </w:t>
      </w:r>
      <w:r>
        <w:rPr>
          <w:rFonts w:ascii="Calibri" w:hAnsi="Calibri" w:cs="Calibri"/>
          <w:lang w:eastAsia="en-NZ"/>
        </w:rPr>
        <w:t>Upon</w:t>
      </w:r>
      <w:r w:rsidR="003D640C">
        <w:rPr>
          <w:rFonts w:ascii="Calibri" w:hAnsi="Calibri" w:cs="Calibri"/>
          <w:lang w:eastAsia="en-NZ"/>
        </w:rPr>
        <w:t xml:space="preserve"> </w:t>
      </w:r>
      <w:r>
        <w:rPr>
          <w:rFonts w:ascii="Calibri" w:hAnsi="Calibri" w:cs="Calibri"/>
          <w:lang w:eastAsia="en-NZ"/>
        </w:rPr>
        <w:t>completion</w:t>
      </w:r>
      <w:r w:rsidR="003D640C">
        <w:rPr>
          <w:rFonts w:ascii="Calibri" w:hAnsi="Calibri" w:cs="Calibri"/>
          <w:lang w:eastAsia="en-NZ"/>
        </w:rPr>
        <w:t xml:space="preserve"> </w:t>
      </w:r>
      <w:r w:rsidR="005E3001">
        <w:rPr>
          <w:rFonts w:ascii="Calibri" w:hAnsi="Calibri" w:cs="Calibri"/>
          <w:lang w:eastAsia="en-NZ"/>
        </w:rPr>
        <w:t>of</w:t>
      </w:r>
      <w:r w:rsidR="003D640C">
        <w:rPr>
          <w:rFonts w:ascii="Calibri" w:hAnsi="Calibri" w:cs="Calibri"/>
          <w:lang w:eastAsia="en-NZ"/>
        </w:rPr>
        <w:t xml:space="preserve"> </w:t>
      </w:r>
      <w:r w:rsidR="005E3001">
        <w:rPr>
          <w:rFonts w:ascii="Calibri" w:hAnsi="Calibri" w:cs="Calibri"/>
          <w:lang w:eastAsia="en-NZ"/>
        </w:rPr>
        <w:t>the</w:t>
      </w:r>
      <w:r w:rsidR="003D640C">
        <w:rPr>
          <w:rFonts w:ascii="Calibri" w:hAnsi="Calibri" w:cs="Calibri"/>
          <w:lang w:eastAsia="en-NZ"/>
        </w:rPr>
        <w:t xml:space="preserve"> </w:t>
      </w:r>
      <w:r w:rsidR="005E3001">
        <w:rPr>
          <w:rFonts w:ascii="Calibri" w:hAnsi="Calibri" w:cs="Calibri"/>
          <w:lang w:eastAsia="en-NZ"/>
        </w:rPr>
        <w:t>research</w:t>
      </w:r>
      <w:r>
        <w:rPr>
          <w:rFonts w:ascii="Calibri" w:hAnsi="Calibri" w:cs="Calibri"/>
          <w:lang w:eastAsia="en-NZ"/>
        </w:rPr>
        <w:t>,</w:t>
      </w:r>
      <w:r w:rsidR="003D640C">
        <w:rPr>
          <w:rFonts w:ascii="Calibri" w:hAnsi="Calibri" w:cs="Calibri"/>
          <w:lang w:eastAsia="en-NZ"/>
        </w:rPr>
        <w:t xml:space="preserve"> </w:t>
      </w:r>
      <w:r>
        <w:rPr>
          <w:rFonts w:ascii="Calibri" w:hAnsi="Calibri" w:cs="Calibri"/>
          <w:lang w:eastAsia="en-NZ"/>
        </w:rPr>
        <w:t>develop</w:t>
      </w:r>
      <w:r w:rsidR="003D640C">
        <w:rPr>
          <w:rFonts w:ascii="Calibri" w:hAnsi="Calibri" w:cs="Calibri"/>
          <w:lang w:eastAsia="en-NZ"/>
        </w:rPr>
        <w:t xml:space="preserve"> </w:t>
      </w:r>
      <w:r w:rsidRPr="008C1B1E">
        <w:rPr>
          <w:rFonts w:ascii="Calibri" w:hAnsi="Calibri" w:cs="Calibri"/>
          <w:lang w:eastAsia="en-NZ"/>
        </w:rPr>
        <w:t>and</w:t>
      </w:r>
      <w:r w:rsidR="003D640C">
        <w:rPr>
          <w:rFonts w:ascii="Calibri" w:hAnsi="Calibri" w:cs="Calibri"/>
          <w:lang w:eastAsia="en-NZ"/>
        </w:rPr>
        <w:t xml:space="preserve"> </w:t>
      </w:r>
      <w:r w:rsidRPr="008C1B1E">
        <w:rPr>
          <w:rFonts w:ascii="Calibri" w:hAnsi="Calibri" w:cs="Calibri"/>
          <w:lang w:eastAsia="en-NZ"/>
        </w:rPr>
        <w:t>formally</w:t>
      </w:r>
      <w:r w:rsidR="003D640C">
        <w:rPr>
          <w:rFonts w:ascii="Calibri" w:hAnsi="Calibri" w:cs="Calibri"/>
          <w:lang w:eastAsia="en-NZ"/>
        </w:rPr>
        <w:t xml:space="preserve"> </w:t>
      </w:r>
      <w:r>
        <w:rPr>
          <w:rFonts w:ascii="Calibri" w:hAnsi="Calibri" w:cs="Calibri"/>
          <w:lang w:eastAsia="en-NZ"/>
        </w:rPr>
        <w:t>adopt</w:t>
      </w:r>
      <w:r w:rsidR="003D640C">
        <w:rPr>
          <w:rFonts w:ascii="Calibri" w:hAnsi="Calibri" w:cs="Calibri"/>
          <w:lang w:eastAsia="en-NZ"/>
        </w:rPr>
        <w:t xml:space="preserve"> </w:t>
      </w:r>
      <w:r w:rsidRPr="008C1B1E">
        <w:rPr>
          <w:rFonts w:ascii="Calibri" w:hAnsi="Calibri" w:cs="Calibri"/>
          <w:lang w:eastAsia="en-NZ"/>
        </w:rPr>
        <w:t>health</w:t>
      </w:r>
      <w:r w:rsidR="003D640C">
        <w:rPr>
          <w:rFonts w:ascii="Calibri" w:hAnsi="Calibri" w:cs="Calibri"/>
          <w:lang w:eastAsia="en-NZ"/>
        </w:rPr>
        <w:t xml:space="preserve"> </w:t>
      </w:r>
      <w:r w:rsidRPr="008C1B1E">
        <w:rPr>
          <w:rFonts w:ascii="Calibri" w:hAnsi="Calibri" w:cs="Calibri"/>
          <w:lang w:eastAsia="en-NZ"/>
        </w:rPr>
        <w:t>and</w:t>
      </w:r>
      <w:r w:rsidR="003D640C">
        <w:rPr>
          <w:rFonts w:ascii="Calibri" w:hAnsi="Calibri" w:cs="Calibri"/>
          <w:lang w:eastAsia="en-NZ"/>
        </w:rPr>
        <w:t xml:space="preserve"> </w:t>
      </w:r>
      <w:r w:rsidRPr="008C1B1E">
        <w:rPr>
          <w:rFonts w:ascii="Calibri" w:hAnsi="Calibri" w:cs="Calibri"/>
          <w:lang w:eastAsia="en-NZ"/>
        </w:rPr>
        <w:t>safety</w:t>
      </w:r>
      <w:r w:rsidR="003D640C">
        <w:rPr>
          <w:rFonts w:ascii="Calibri" w:hAnsi="Calibri" w:cs="Calibri"/>
          <w:lang w:eastAsia="en-NZ"/>
        </w:rPr>
        <w:t xml:space="preserve"> </w:t>
      </w:r>
      <w:r w:rsidRPr="008C1B1E">
        <w:rPr>
          <w:rFonts w:ascii="Calibri" w:hAnsi="Calibri" w:cs="Calibri"/>
          <w:lang w:eastAsia="en-NZ"/>
        </w:rPr>
        <w:t>policies</w:t>
      </w:r>
      <w:r>
        <w:rPr>
          <w:rFonts w:ascii="Calibri" w:hAnsi="Calibri" w:cs="Calibri"/>
          <w:lang w:eastAsia="en-NZ"/>
        </w:rPr>
        <w:t>,</w:t>
      </w:r>
      <w:r w:rsidR="003D640C">
        <w:rPr>
          <w:rFonts w:ascii="Calibri" w:hAnsi="Calibri" w:cs="Calibri"/>
          <w:lang w:eastAsia="en-NZ"/>
        </w:rPr>
        <w:t xml:space="preserve"> </w:t>
      </w:r>
      <w:r>
        <w:rPr>
          <w:rFonts w:ascii="Calibri" w:hAnsi="Calibri" w:cs="Calibri"/>
          <w:lang w:eastAsia="en-NZ"/>
        </w:rPr>
        <w:t>and</w:t>
      </w:r>
      <w:r w:rsidR="003D640C">
        <w:rPr>
          <w:rFonts w:ascii="Calibri" w:hAnsi="Calibri" w:cs="Calibri"/>
          <w:lang w:eastAsia="en-NZ"/>
        </w:rPr>
        <w:t xml:space="preserve"> </w:t>
      </w:r>
      <w:r>
        <w:rPr>
          <w:rFonts w:ascii="Calibri" w:hAnsi="Calibri" w:cs="Calibri"/>
          <w:lang w:eastAsia="en-NZ"/>
        </w:rPr>
        <w:t>education</w:t>
      </w:r>
      <w:r w:rsidR="003D640C">
        <w:rPr>
          <w:rFonts w:ascii="Calibri" w:hAnsi="Calibri" w:cs="Calibri"/>
          <w:lang w:eastAsia="en-NZ"/>
        </w:rPr>
        <w:t xml:space="preserve"> </w:t>
      </w:r>
      <w:r>
        <w:rPr>
          <w:rFonts w:ascii="Calibri" w:hAnsi="Calibri" w:cs="Calibri"/>
          <w:lang w:eastAsia="en-NZ"/>
        </w:rPr>
        <w:t>and</w:t>
      </w:r>
      <w:r w:rsidR="003D640C">
        <w:rPr>
          <w:rFonts w:ascii="Calibri" w:hAnsi="Calibri" w:cs="Calibri"/>
          <w:lang w:eastAsia="en-NZ"/>
        </w:rPr>
        <w:t xml:space="preserve"> </w:t>
      </w:r>
      <w:r>
        <w:rPr>
          <w:rFonts w:ascii="Calibri" w:hAnsi="Calibri" w:cs="Calibri"/>
          <w:lang w:eastAsia="en-NZ"/>
        </w:rPr>
        <w:t>prevention</w:t>
      </w:r>
      <w:r w:rsidR="003D640C">
        <w:rPr>
          <w:rFonts w:ascii="Calibri" w:hAnsi="Calibri" w:cs="Calibri"/>
          <w:lang w:eastAsia="en-NZ"/>
        </w:rPr>
        <w:t xml:space="preserve"> </w:t>
      </w:r>
      <w:r>
        <w:rPr>
          <w:rFonts w:ascii="Calibri" w:hAnsi="Calibri" w:cs="Calibri"/>
          <w:lang w:eastAsia="en-NZ"/>
        </w:rPr>
        <w:t>programmes,</w:t>
      </w:r>
      <w:r w:rsidR="003D640C">
        <w:rPr>
          <w:rFonts w:ascii="Calibri" w:hAnsi="Calibri" w:cs="Calibri"/>
          <w:lang w:eastAsia="en-NZ"/>
        </w:rPr>
        <w:t xml:space="preserve"> </w:t>
      </w:r>
      <w:r w:rsidRPr="008C1B1E">
        <w:rPr>
          <w:rFonts w:ascii="Calibri" w:hAnsi="Calibri" w:cs="Calibri"/>
          <w:lang w:eastAsia="en-NZ"/>
        </w:rPr>
        <w:t>that</w:t>
      </w:r>
      <w:r w:rsidR="003D640C">
        <w:rPr>
          <w:rFonts w:ascii="Calibri" w:hAnsi="Calibri" w:cs="Calibri"/>
          <w:lang w:eastAsia="en-NZ"/>
        </w:rPr>
        <w:t xml:space="preserve"> </w:t>
      </w:r>
      <w:r w:rsidRPr="008C1B1E">
        <w:rPr>
          <w:rFonts w:ascii="Calibri" w:hAnsi="Calibri" w:cs="Calibri"/>
          <w:lang w:eastAsia="en-NZ"/>
        </w:rPr>
        <w:t>recognise</w:t>
      </w:r>
      <w:r w:rsidR="003D640C">
        <w:rPr>
          <w:rFonts w:ascii="Calibri" w:hAnsi="Calibri" w:cs="Calibri"/>
          <w:lang w:eastAsia="en-NZ"/>
        </w:rPr>
        <w:t xml:space="preserve"> </w:t>
      </w:r>
      <w:r w:rsidRPr="008C1B1E">
        <w:rPr>
          <w:rFonts w:ascii="Calibri" w:hAnsi="Calibri" w:cs="Calibri"/>
          <w:lang w:eastAsia="en-NZ"/>
        </w:rPr>
        <w:t>the</w:t>
      </w:r>
      <w:r w:rsidR="003D640C">
        <w:rPr>
          <w:rFonts w:ascii="Calibri" w:hAnsi="Calibri" w:cs="Calibri"/>
          <w:lang w:eastAsia="en-NZ"/>
        </w:rPr>
        <w:t xml:space="preserve"> </w:t>
      </w:r>
      <w:r w:rsidRPr="008C1B1E">
        <w:rPr>
          <w:rFonts w:ascii="Calibri" w:hAnsi="Calibri" w:cs="Calibri"/>
          <w:lang w:eastAsia="en-NZ"/>
        </w:rPr>
        <w:t>harm</w:t>
      </w:r>
      <w:r w:rsidR="003D640C">
        <w:rPr>
          <w:rFonts w:ascii="Calibri" w:hAnsi="Calibri" w:cs="Calibri"/>
          <w:lang w:eastAsia="en-NZ"/>
        </w:rPr>
        <w:t xml:space="preserve"> </w:t>
      </w:r>
      <w:r w:rsidR="005E3001">
        <w:rPr>
          <w:rFonts w:ascii="Calibri" w:hAnsi="Calibri" w:cs="Calibri"/>
          <w:lang w:eastAsia="en-NZ"/>
        </w:rPr>
        <w:t>caused</w:t>
      </w:r>
      <w:r w:rsidR="003D640C">
        <w:rPr>
          <w:rFonts w:ascii="Calibri" w:hAnsi="Calibri" w:cs="Calibri"/>
          <w:lang w:eastAsia="en-NZ"/>
        </w:rPr>
        <w:t xml:space="preserve"> </w:t>
      </w:r>
      <w:r>
        <w:rPr>
          <w:rFonts w:ascii="Calibri" w:hAnsi="Calibri" w:cs="Calibri"/>
          <w:lang w:eastAsia="en-NZ"/>
        </w:rPr>
        <w:t>and</w:t>
      </w:r>
      <w:r w:rsidR="003D640C">
        <w:rPr>
          <w:rFonts w:ascii="Calibri" w:hAnsi="Calibri" w:cs="Calibri"/>
          <w:lang w:eastAsia="en-NZ"/>
        </w:rPr>
        <w:t xml:space="preserve"> </w:t>
      </w:r>
      <w:r>
        <w:rPr>
          <w:rFonts w:ascii="Calibri" w:hAnsi="Calibri" w:cs="Calibri"/>
          <w:lang w:eastAsia="en-NZ"/>
        </w:rPr>
        <w:t>mitigate</w:t>
      </w:r>
      <w:r w:rsidR="003D640C">
        <w:rPr>
          <w:rFonts w:ascii="Calibri" w:hAnsi="Calibri" w:cs="Calibri"/>
          <w:lang w:eastAsia="en-NZ"/>
        </w:rPr>
        <w:t xml:space="preserve"> </w:t>
      </w:r>
      <w:r>
        <w:rPr>
          <w:rFonts w:ascii="Calibri" w:hAnsi="Calibri" w:cs="Calibri"/>
          <w:lang w:eastAsia="en-NZ"/>
        </w:rPr>
        <w:t>against</w:t>
      </w:r>
      <w:r w:rsidR="003D640C">
        <w:rPr>
          <w:rFonts w:ascii="Calibri" w:hAnsi="Calibri" w:cs="Calibri"/>
          <w:lang w:eastAsia="en-NZ"/>
        </w:rPr>
        <w:t xml:space="preserve"> </w:t>
      </w:r>
      <w:r>
        <w:rPr>
          <w:rFonts w:ascii="Calibri" w:hAnsi="Calibri" w:cs="Calibri"/>
          <w:lang w:eastAsia="en-NZ"/>
        </w:rPr>
        <w:t>the</w:t>
      </w:r>
      <w:r w:rsidR="003D640C">
        <w:rPr>
          <w:rFonts w:ascii="Calibri" w:hAnsi="Calibri" w:cs="Calibri"/>
          <w:lang w:eastAsia="en-NZ"/>
        </w:rPr>
        <w:t xml:space="preserve"> </w:t>
      </w:r>
      <w:r w:rsidR="00634FB3">
        <w:rPr>
          <w:rFonts w:ascii="Calibri" w:hAnsi="Calibri" w:cs="Calibri"/>
          <w:lang w:eastAsia="en-NZ"/>
        </w:rPr>
        <w:t>practices</w:t>
      </w:r>
      <w:r w:rsidR="00F06ECD">
        <w:rPr>
          <w:rFonts w:ascii="Calibri" w:hAnsi="Calibri" w:cs="Calibri"/>
          <w:lang w:eastAsia="en-NZ"/>
        </w:rPr>
        <w:t xml:space="preserve"> causing harm</w:t>
      </w:r>
      <w:r>
        <w:rPr>
          <w:rFonts w:ascii="Calibri" w:hAnsi="Calibri" w:cs="Calibri"/>
          <w:lang w:eastAsia="en-NZ"/>
        </w:rPr>
        <w:t>.</w:t>
      </w:r>
    </w:p>
    <w:p w14:paraId="2C614300" w14:textId="17BF949B" w:rsidR="00501068" w:rsidRDefault="00DC446B" w:rsidP="009B737E">
      <w:pPr>
        <w:pStyle w:val="ListParagraph"/>
        <w:numPr>
          <w:ilvl w:val="0"/>
          <w:numId w:val="117"/>
        </w:numPr>
        <w:rPr>
          <w:rFonts w:ascii="Calibri" w:hAnsi="Calibri" w:cs="Calibri"/>
          <w:lang w:eastAsia="en-NZ"/>
        </w:rPr>
      </w:pPr>
      <w:r w:rsidRPr="00130301">
        <w:rPr>
          <w:rFonts w:ascii="Calibri" w:hAnsi="Calibri" w:cs="Calibri"/>
          <w:b/>
          <w:lang w:eastAsia="en-NZ"/>
        </w:rPr>
        <w:t>Engage</w:t>
      </w:r>
      <w:r w:rsidR="003D640C">
        <w:rPr>
          <w:rFonts w:ascii="Calibri" w:hAnsi="Calibri" w:cs="Calibri"/>
          <w:b/>
          <w:lang w:eastAsia="en-NZ"/>
        </w:rPr>
        <w:t xml:space="preserve"> </w:t>
      </w:r>
      <w:r w:rsidRPr="00130301">
        <w:rPr>
          <w:rFonts w:ascii="Calibri" w:hAnsi="Calibri" w:cs="Calibri"/>
          <w:b/>
          <w:lang w:eastAsia="en-NZ"/>
        </w:rPr>
        <w:t>research</w:t>
      </w:r>
      <w:r w:rsidR="003D640C">
        <w:rPr>
          <w:rFonts w:ascii="Calibri" w:hAnsi="Calibri" w:cs="Calibri"/>
          <w:b/>
          <w:lang w:eastAsia="en-NZ"/>
        </w:rPr>
        <w:t xml:space="preserve"> </w:t>
      </w:r>
      <w:r w:rsidRPr="00130301">
        <w:rPr>
          <w:rFonts w:ascii="Calibri" w:hAnsi="Calibri" w:cs="Calibri"/>
          <w:b/>
          <w:lang w:eastAsia="en-NZ"/>
        </w:rPr>
        <w:t>around</w:t>
      </w:r>
      <w:r w:rsidR="003D640C">
        <w:rPr>
          <w:rFonts w:ascii="Calibri" w:hAnsi="Calibri" w:cs="Calibri"/>
          <w:b/>
          <w:lang w:eastAsia="en-NZ"/>
        </w:rPr>
        <w:t xml:space="preserve"> </w:t>
      </w:r>
      <w:r w:rsidRPr="00130301">
        <w:rPr>
          <w:rFonts w:ascii="Calibri" w:hAnsi="Calibri" w:cs="Calibri"/>
          <w:b/>
          <w:lang w:eastAsia="en-NZ"/>
        </w:rPr>
        <w:t>theologically</w:t>
      </w:r>
      <w:r w:rsidR="003D640C">
        <w:rPr>
          <w:rFonts w:ascii="Calibri" w:hAnsi="Calibri" w:cs="Calibri"/>
          <w:b/>
          <w:lang w:eastAsia="en-NZ"/>
        </w:rPr>
        <w:t xml:space="preserve"> </w:t>
      </w:r>
      <w:r w:rsidRPr="00130301">
        <w:rPr>
          <w:rFonts w:ascii="Calibri" w:hAnsi="Calibri" w:cs="Calibri"/>
          <w:b/>
          <w:lang w:eastAsia="en-NZ"/>
        </w:rPr>
        <w:t>inclusive</w:t>
      </w:r>
      <w:r w:rsidR="003D640C">
        <w:rPr>
          <w:rFonts w:ascii="Calibri" w:hAnsi="Calibri" w:cs="Calibri"/>
          <w:b/>
          <w:lang w:eastAsia="en-NZ"/>
        </w:rPr>
        <w:t xml:space="preserve"> </w:t>
      </w:r>
      <w:r w:rsidRPr="00130301">
        <w:rPr>
          <w:rFonts w:ascii="Calibri" w:hAnsi="Calibri" w:cs="Calibri"/>
          <w:b/>
          <w:lang w:eastAsia="en-NZ"/>
        </w:rPr>
        <w:t>and</w:t>
      </w:r>
      <w:r w:rsidR="003D640C">
        <w:rPr>
          <w:rFonts w:ascii="Calibri" w:hAnsi="Calibri" w:cs="Calibri"/>
          <w:b/>
          <w:lang w:eastAsia="en-NZ"/>
        </w:rPr>
        <w:t xml:space="preserve"> </w:t>
      </w:r>
      <w:r w:rsidRPr="00130301">
        <w:rPr>
          <w:rFonts w:ascii="Calibri" w:hAnsi="Calibri" w:cs="Calibri"/>
          <w:b/>
          <w:lang w:eastAsia="en-NZ"/>
        </w:rPr>
        <w:t>affirming</w:t>
      </w:r>
      <w:r w:rsidR="003D640C">
        <w:rPr>
          <w:rFonts w:ascii="Calibri" w:hAnsi="Calibri" w:cs="Calibri"/>
          <w:b/>
          <w:lang w:eastAsia="en-NZ"/>
        </w:rPr>
        <w:t xml:space="preserve"> </w:t>
      </w:r>
      <w:r w:rsidRPr="00130301">
        <w:rPr>
          <w:rFonts w:ascii="Calibri" w:hAnsi="Calibri" w:cs="Calibri"/>
          <w:b/>
          <w:lang w:eastAsia="en-NZ"/>
        </w:rPr>
        <w:t>interpretations</w:t>
      </w:r>
      <w:r w:rsidR="003D640C">
        <w:rPr>
          <w:rFonts w:ascii="Calibri" w:hAnsi="Calibri" w:cs="Calibri"/>
          <w:b/>
          <w:lang w:eastAsia="en-NZ"/>
        </w:rPr>
        <w:t xml:space="preserve"> </w:t>
      </w:r>
      <w:r w:rsidRPr="00130301">
        <w:rPr>
          <w:rFonts w:ascii="Calibri" w:hAnsi="Calibri" w:cs="Calibri"/>
          <w:b/>
          <w:lang w:eastAsia="en-NZ"/>
        </w:rPr>
        <w:t>of</w:t>
      </w:r>
      <w:r w:rsidR="003D640C">
        <w:rPr>
          <w:rFonts w:ascii="Calibri" w:hAnsi="Calibri" w:cs="Calibri"/>
          <w:b/>
          <w:lang w:eastAsia="en-NZ"/>
        </w:rPr>
        <w:t xml:space="preserve"> </w:t>
      </w:r>
      <w:r w:rsidRPr="00130301">
        <w:rPr>
          <w:rFonts w:ascii="Calibri" w:hAnsi="Calibri" w:cs="Calibri"/>
          <w:b/>
          <w:lang w:eastAsia="en-NZ"/>
        </w:rPr>
        <w:t>religious</w:t>
      </w:r>
      <w:r w:rsidR="003D640C">
        <w:rPr>
          <w:rFonts w:ascii="Calibri" w:hAnsi="Calibri" w:cs="Calibri"/>
          <w:b/>
          <w:lang w:eastAsia="en-NZ"/>
        </w:rPr>
        <w:t xml:space="preserve"> </w:t>
      </w:r>
      <w:r w:rsidRPr="00130301">
        <w:rPr>
          <w:rFonts w:ascii="Calibri" w:hAnsi="Calibri" w:cs="Calibri"/>
          <w:b/>
          <w:lang w:eastAsia="en-NZ"/>
        </w:rPr>
        <w:t>teachings</w:t>
      </w:r>
      <w:r w:rsidR="003D640C">
        <w:rPr>
          <w:rFonts w:ascii="Calibri" w:hAnsi="Calibri" w:cs="Calibri"/>
          <w:b/>
          <w:lang w:eastAsia="en-NZ"/>
        </w:rPr>
        <w:t xml:space="preserve"> </w:t>
      </w:r>
      <w:r w:rsidRPr="00130301">
        <w:rPr>
          <w:rFonts w:ascii="Calibri" w:hAnsi="Calibri" w:cs="Calibri"/>
          <w:b/>
          <w:lang w:eastAsia="en-NZ"/>
        </w:rPr>
        <w:t>at</w:t>
      </w:r>
      <w:r w:rsidR="003D640C">
        <w:rPr>
          <w:rFonts w:ascii="Calibri" w:hAnsi="Calibri" w:cs="Calibri"/>
          <w:b/>
          <w:lang w:eastAsia="en-NZ"/>
        </w:rPr>
        <w:t xml:space="preserve"> </w:t>
      </w:r>
      <w:r w:rsidRPr="00130301">
        <w:rPr>
          <w:rFonts w:ascii="Calibri" w:hAnsi="Calibri" w:cs="Calibri"/>
          <w:b/>
          <w:lang w:eastAsia="en-NZ"/>
        </w:rPr>
        <w:t>the</w:t>
      </w:r>
      <w:r w:rsidR="003D640C">
        <w:rPr>
          <w:rFonts w:ascii="Calibri" w:hAnsi="Calibri" w:cs="Calibri"/>
          <w:b/>
          <w:lang w:eastAsia="en-NZ"/>
        </w:rPr>
        <w:t xml:space="preserve"> </w:t>
      </w:r>
      <w:r w:rsidRPr="00130301">
        <w:rPr>
          <w:rFonts w:ascii="Calibri" w:hAnsi="Calibri" w:cs="Calibri"/>
          <w:b/>
          <w:lang w:eastAsia="en-NZ"/>
        </w:rPr>
        <w:t>highest</w:t>
      </w:r>
      <w:r w:rsidR="003D640C">
        <w:rPr>
          <w:rFonts w:ascii="Calibri" w:hAnsi="Calibri" w:cs="Calibri"/>
          <w:b/>
          <w:lang w:eastAsia="en-NZ"/>
        </w:rPr>
        <w:t xml:space="preserve"> </w:t>
      </w:r>
      <w:r w:rsidRPr="00130301">
        <w:rPr>
          <w:rFonts w:ascii="Calibri" w:hAnsi="Calibri" w:cs="Calibri"/>
          <w:b/>
          <w:lang w:eastAsia="en-NZ"/>
        </w:rPr>
        <w:t>levels</w:t>
      </w:r>
      <w:r w:rsidR="003D640C">
        <w:rPr>
          <w:rFonts w:ascii="Calibri" w:hAnsi="Calibri" w:cs="Calibri"/>
          <w:b/>
          <w:lang w:eastAsia="en-NZ"/>
        </w:rPr>
        <w:t xml:space="preserve"> </w:t>
      </w:r>
      <w:r w:rsidRPr="00130301">
        <w:rPr>
          <w:rFonts w:ascii="Calibri" w:hAnsi="Calibri" w:cs="Calibri"/>
          <w:b/>
          <w:lang w:eastAsia="en-NZ"/>
        </w:rPr>
        <w:t>of</w:t>
      </w:r>
      <w:r w:rsidR="003D640C">
        <w:rPr>
          <w:rFonts w:ascii="Calibri" w:hAnsi="Calibri" w:cs="Calibri"/>
          <w:b/>
          <w:lang w:eastAsia="en-NZ"/>
        </w:rPr>
        <w:t xml:space="preserve"> </w:t>
      </w:r>
      <w:r w:rsidR="002044F1">
        <w:rPr>
          <w:rFonts w:ascii="Calibri" w:hAnsi="Calibri" w:cs="Calibri"/>
          <w:b/>
          <w:lang w:eastAsia="en-NZ"/>
        </w:rPr>
        <w:t>faith</w:t>
      </w:r>
      <w:r w:rsidR="003D640C">
        <w:rPr>
          <w:rFonts w:ascii="Calibri" w:hAnsi="Calibri" w:cs="Calibri"/>
          <w:b/>
          <w:lang w:eastAsia="en-NZ"/>
        </w:rPr>
        <w:t xml:space="preserve"> </w:t>
      </w:r>
      <w:r w:rsidR="002044F1">
        <w:rPr>
          <w:rFonts w:ascii="Calibri" w:hAnsi="Calibri" w:cs="Calibri"/>
          <w:b/>
          <w:lang w:eastAsia="en-NZ"/>
        </w:rPr>
        <w:t>group</w:t>
      </w:r>
      <w:r w:rsidR="003A5B8B">
        <w:rPr>
          <w:rFonts w:ascii="Calibri" w:hAnsi="Calibri" w:cs="Calibri"/>
          <w:b/>
          <w:lang w:eastAsia="en-NZ"/>
        </w:rPr>
        <w:br/>
      </w:r>
      <w:r w:rsidRPr="00130301">
        <w:rPr>
          <w:rFonts w:ascii="Calibri" w:hAnsi="Calibri" w:cs="Calibri"/>
          <w:lang w:eastAsia="en-NZ"/>
        </w:rPr>
        <w:t>Commence</w:t>
      </w:r>
      <w:r w:rsidR="003D640C">
        <w:rPr>
          <w:rFonts w:ascii="Calibri" w:hAnsi="Calibri" w:cs="Calibri"/>
          <w:lang w:eastAsia="en-NZ"/>
        </w:rPr>
        <w:t xml:space="preserve"> </w:t>
      </w:r>
      <w:r w:rsidRPr="00130301">
        <w:rPr>
          <w:rFonts w:ascii="Calibri" w:hAnsi="Calibri" w:cs="Calibri"/>
          <w:lang w:eastAsia="en-NZ"/>
        </w:rPr>
        <w:t>a</w:t>
      </w:r>
      <w:r w:rsidR="003D640C">
        <w:rPr>
          <w:rFonts w:ascii="Calibri" w:hAnsi="Calibri" w:cs="Calibri"/>
          <w:lang w:eastAsia="en-NZ"/>
        </w:rPr>
        <w:t xml:space="preserve"> </w:t>
      </w:r>
      <w:r w:rsidRPr="00130301">
        <w:rPr>
          <w:rFonts w:ascii="Calibri" w:hAnsi="Calibri" w:cs="Calibri"/>
          <w:lang w:eastAsia="en-NZ"/>
        </w:rPr>
        <w:t>review</w:t>
      </w:r>
      <w:r w:rsidR="003D640C">
        <w:rPr>
          <w:rFonts w:ascii="Calibri" w:hAnsi="Calibri" w:cs="Calibri"/>
          <w:lang w:eastAsia="en-NZ"/>
        </w:rPr>
        <w:t xml:space="preserve"> </w:t>
      </w:r>
      <w:r w:rsidRPr="00130301">
        <w:rPr>
          <w:rFonts w:ascii="Calibri" w:hAnsi="Calibri" w:cs="Calibri"/>
          <w:lang w:eastAsia="en-NZ"/>
        </w:rPr>
        <w:t>process</w:t>
      </w:r>
      <w:r w:rsidR="003D640C">
        <w:rPr>
          <w:rFonts w:ascii="Calibri" w:hAnsi="Calibri" w:cs="Calibri"/>
          <w:lang w:eastAsia="en-NZ"/>
        </w:rPr>
        <w:t xml:space="preserve"> </w:t>
      </w:r>
      <w:r w:rsidRPr="00130301">
        <w:rPr>
          <w:rFonts w:ascii="Calibri" w:hAnsi="Calibri" w:cs="Calibri"/>
          <w:lang w:eastAsia="en-NZ"/>
        </w:rPr>
        <w:t>of</w:t>
      </w:r>
      <w:r w:rsidR="003D640C">
        <w:rPr>
          <w:rFonts w:ascii="Calibri" w:hAnsi="Calibri" w:cs="Calibri"/>
          <w:lang w:eastAsia="en-NZ"/>
        </w:rPr>
        <w:t xml:space="preserve"> </w:t>
      </w:r>
      <w:r w:rsidRPr="00130301">
        <w:rPr>
          <w:rFonts w:ascii="Calibri" w:hAnsi="Calibri" w:cs="Calibri"/>
          <w:lang w:eastAsia="en-NZ"/>
        </w:rPr>
        <w:t>reckoning</w:t>
      </w:r>
      <w:r w:rsidR="003D640C">
        <w:rPr>
          <w:rFonts w:ascii="Calibri" w:hAnsi="Calibri" w:cs="Calibri"/>
          <w:lang w:eastAsia="en-NZ"/>
        </w:rPr>
        <w:t xml:space="preserve"> </w:t>
      </w:r>
      <w:r w:rsidRPr="00130301">
        <w:rPr>
          <w:rFonts w:ascii="Calibri" w:hAnsi="Calibri" w:cs="Calibri"/>
          <w:lang w:eastAsia="en-NZ"/>
        </w:rPr>
        <w:t>with</w:t>
      </w:r>
      <w:r w:rsidR="003D640C">
        <w:rPr>
          <w:rFonts w:ascii="Calibri" w:hAnsi="Calibri" w:cs="Calibri"/>
          <w:lang w:eastAsia="en-NZ"/>
        </w:rPr>
        <w:t xml:space="preserve"> </w:t>
      </w:r>
      <w:r w:rsidRPr="00130301">
        <w:rPr>
          <w:rFonts w:ascii="Calibri" w:hAnsi="Calibri" w:cs="Calibri"/>
          <w:lang w:eastAsia="en-NZ"/>
        </w:rPr>
        <w:t>religious</w:t>
      </w:r>
      <w:r w:rsidR="003D640C">
        <w:rPr>
          <w:rFonts w:ascii="Calibri" w:hAnsi="Calibri" w:cs="Calibri"/>
          <w:lang w:eastAsia="en-NZ"/>
        </w:rPr>
        <w:t xml:space="preserve"> </w:t>
      </w:r>
      <w:r w:rsidRPr="00130301">
        <w:rPr>
          <w:rFonts w:ascii="Calibri" w:hAnsi="Calibri" w:cs="Calibri"/>
          <w:lang w:eastAsia="en-NZ"/>
        </w:rPr>
        <w:t>texts</w:t>
      </w:r>
      <w:r w:rsidR="003D640C">
        <w:rPr>
          <w:rFonts w:ascii="Calibri" w:hAnsi="Calibri" w:cs="Calibri"/>
          <w:lang w:eastAsia="en-NZ"/>
        </w:rPr>
        <w:t xml:space="preserve"> </w:t>
      </w:r>
      <w:r w:rsidRPr="00130301">
        <w:rPr>
          <w:rFonts w:ascii="Calibri" w:hAnsi="Calibri" w:cs="Calibri"/>
          <w:lang w:eastAsia="en-NZ"/>
        </w:rPr>
        <w:t>and</w:t>
      </w:r>
      <w:r w:rsidR="003D640C">
        <w:rPr>
          <w:rFonts w:ascii="Calibri" w:hAnsi="Calibri" w:cs="Calibri"/>
          <w:lang w:eastAsia="en-NZ"/>
        </w:rPr>
        <w:t xml:space="preserve"> </w:t>
      </w:r>
      <w:r w:rsidRPr="00130301">
        <w:rPr>
          <w:rFonts w:ascii="Calibri" w:hAnsi="Calibri" w:cs="Calibri"/>
          <w:lang w:eastAsia="en-NZ"/>
        </w:rPr>
        <w:t>teachings</w:t>
      </w:r>
      <w:r w:rsidR="003D640C">
        <w:rPr>
          <w:rFonts w:ascii="Calibri" w:hAnsi="Calibri" w:cs="Calibri"/>
          <w:lang w:eastAsia="en-NZ"/>
        </w:rPr>
        <w:t xml:space="preserve"> </w:t>
      </w:r>
      <w:r w:rsidRPr="00130301">
        <w:rPr>
          <w:rFonts w:ascii="Calibri" w:hAnsi="Calibri" w:cs="Calibri"/>
          <w:lang w:eastAsia="en-NZ"/>
        </w:rPr>
        <w:t>that</w:t>
      </w:r>
      <w:r w:rsidR="003D640C">
        <w:rPr>
          <w:rFonts w:ascii="Calibri" w:hAnsi="Calibri" w:cs="Calibri"/>
          <w:lang w:eastAsia="en-NZ"/>
        </w:rPr>
        <w:t xml:space="preserve"> </w:t>
      </w:r>
      <w:r w:rsidRPr="00130301">
        <w:rPr>
          <w:rFonts w:ascii="Calibri" w:hAnsi="Calibri" w:cs="Calibri"/>
          <w:lang w:eastAsia="en-NZ"/>
        </w:rPr>
        <w:t>do</w:t>
      </w:r>
      <w:r w:rsidR="003D640C">
        <w:rPr>
          <w:rFonts w:ascii="Calibri" w:hAnsi="Calibri" w:cs="Calibri"/>
          <w:lang w:eastAsia="en-NZ"/>
        </w:rPr>
        <w:t xml:space="preserve"> </w:t>
      </w:r>
      <w:r w:rsidRPr="00130301">
        <w:rPr>
          <w:rFonts w:ascii="Calibri" w:hAnsi="Calibri" w:cs="Calibri"/>
          <w:lang w:eastAsia="en-NZ"/>
        </w:rPr>
        <w:t>not</w:t>
      </w:r>
      <w:r w:rsidR="003D640C">
        <w:rPr>
          <w:rFonts w:ascii="Calibri" w:hAnsi="Calibri" w:cs="Calibri"/>
          <w:lang w:eastAsia="en-NZ"/>
        </w:rPr>
        <w:t xml:space="preserve"> </w:t>
      </w:r>
      <w:r w:rsidRPr="00130301">
        <w:rPr>
          <w:rFonts w:ascii="Calibri" w:hAnsi="Calibri" w:cs="Calibri"/>
          <w:lang w:eastAsia="en-NZ"/>
        </w:rPr>
        <w:t>affirm</w:t>
      </w:r>
      <w:r w:rsidR="003D640C">
        <w:rPr>
          <w:rFonts w:ascii="Calibri" w:hAnsi="Calibri" w:cs="Calibri"/>
          <w:lang w:eastAsia="en-NZ"/>
        </w:rPr>
        <w:t xml:space="preserve"> </w:t>
      </w:r>
      <w:r w:rsidRPr="00130301">
        <w:rPr>
          <w:rFonts w:ascii="Calibri" w:hAnsi="Calibri" w:cs="Calibri"/>
          <w:lang w:eastAsia="en-NZ"/>
        </w:rPr>
        <w:t>Rainbow</w:t>
      </w:r>
      <w:r w:rsidR="003D640C">
        <w:rPr>
          <w:rFonts w:ascii="Calibri" w:hAnsi="Calibri" w:cs="Calibri"/>
          <w:lang w:eastAsia="en-NZ"/>
        </w:rPr>
        <w:t xml:space="preserve"> </w:t>
      </w:r>
      <w:r w:rsidRPr="00130301">
        <w:rPr>
          <w:rFonts w:ascii="Calibri" w:hAnsi="Calibri" w:cs="Calibri"/>
          <w:lang w:eastAsia="en-NZ"/>
        </w:rPr>
        <w:t>people.</w:t>
      </w:r>
      <w:r w:rsidR="003D640C">
        <w:rPr>
          <w:rFonts w:ascii="Calibri" w:hAnsi="Calibri" w:cs="Calibri"/>
          <w:lang w:eastAsia="en-NZ"/>
        </w:rPr>
        <w:t xml:space="preserve"> </w:t>
      </w:r>
      <w:r w:rsidRPr="00130301">
        <w:rPr>
          <w:rFonts w:ascii="Calibri" w:hAnsi="Calibri" w:cs="Calibri"/>
          <w:lang w:eastAsia="en-NZ"/>
        </w:rPr>
        <w:t>Engage</w:t>
      </w:r>
      <w:r w:rsidR="003D640C">
        <w:rPr>
          <w:rFonts w:ascii="Calibri" w:hAnsi="Calibri" w:cs="Calibri"/>
          <w:lang w:eastAsia="en-NZ"/>
        </w:rPr>
        <w:t xml:space="preserve"> </w:t>
      </w:r>
      <w:r w:rsidRPr="00130301">
        <w:rPr>
          <w:rFonts w:ascii="Calibri" w:hAnsi="Calibri" w:cs="Calibri"/>
          <w:lang w:eastAsia="en-NZ"/>
        </w:rPr>
        <w:t>with</w:t>
      </w:r>
      <w:r w:rsidR="003D640C">
        <w:rPr>
          <w:rFonts w:ascii="Calibri" w:hAnsi="Calibri" w:cs="Calibri"/>
          <w:lang w:eastAsia="en-NZ"/>
        </w:rPr>
        <w:t xml:space="preserve"> </w:t>
      </w:r>
      <w:r w:rsidRPr="00130301">
        <w:rPr>
          <w:rFonts w:ascii="Calibri" w:hAnsi="Calibri" w:cs="Calibri"/>
          <w:lang w:eastAsia="en-NZ"/>
        </w:rPr>
        <w:t>peer-reviewed</w:t>
      </w:r>
      <w:r w:rsidR="003D640C">
        <w:rPr>
          <w:rFonts w:ascii="Calibri" w:hAnsi="Calibri" w:cs="Calibri"/>
          <w:lang w:eastAsia="en-NZ"/>
        </w:rPr>
        <w:t xml:space="preserve"> </w:t>
      </w:r>
      <w:r w:rsidRPr="00130301">
        <w:rPr>
          <w:rFonts w:ascii="Calibri" w:hAnsi="Calibri" w:cs="Calibri"/>
          <w:lang w:eastAsia="en-NZ"/>
        </w:rPr>
        <w:t>evidence,</w:t>
      </w:r>
      <w:r w:rsidR="003D640C">
        <w:rPr>
          <w:rFonts w:ascii="Calibri" w:hAnsi="Calibri" w:cs="Calibri"/>
          <w:lang w:eastAsia="en-NZ"/>
        </w:rPr>
        <w:t xml:space="preserve"> </w:t>
      </w:r>
      <w:r w:rsidRPr="00130301">
        <w:rPr>
          <w:rFonts w:ascii="Calibri" w:hAnsi="Calibri" w:cs="Calibri"/>
          <w:lang w:eastAsia="en-NZ"/>
        </w:rPr>
        <w:t>lived</w:t>
      </w:r>
      <w:r w:rsidR="003D640C">
        <w:rPr>
          <w:rFonts w:ascii="Calibri" w:hAnsi="Calibri" w:cs="Calibri"/>
          <w:lang w:eastAsia="en-NZ"/>
        </w:rPr>
        <w:t xml:space="preserve"> </w:t>
      </w:r>
      <w:r w:rsidRPr="00130301">
        <w:rPr>
          <w:rFonts w:ascii="Calibri" w:hAnsi="Calibri" w:cs="Calibri"/>
          <w:lang w:eastAsia="en-NZ"/>
        </w:rPr>
        <w:t>experience</w:t>
      </w:r>
      <w:r w:rsidR="003D640C">
        <w:rPr>
          <w:rFonts w:ascii="Calibri" w:hAnsi="Calibri" w:cs="Calibri"/>
          <w:lang w:eastAsia="en-NZ"/>
        </w:rPr>
        <w:t xml:space="preserve"> </w:t>
      </w:r>
      <w:r w:rsidRPr="00130301">
        <w:rPr>
          <w:rFonts w:ascii="Calibri" w:hAnsi="Calibri" w:cs="Calibri"/>
          <w:lang w:eastAsia="en-NZ"/>
        </w:rPr>
        <w:t>testimonials,</w:t>
      </w:r>
      <w:r w:rsidR="003D640C">
        <w:rPr>
          <w:rFonts w:ascii="Calibri" w:hAnsi="Calibri" w:cs="Calibri"/>
          <w:lang w:eastAsia="en-NZ"/>
        </w:rPr>
        <w:t xml:space="preserve"> </w:t>
      </w:r>
      <w:r w:rsidRPr="00130301">
        <w:rPr>
          <w:rFonts w:ascii="Calibri" w:hAnsi="Calibri" w:cs="Calibri"/>
          <w:lang w:eastAsia="en-NZ"/>
        </w:rPr>
        <w:t>theological</w:t>
      </w:r>
      <w:r w:rsidR="003D640C">
        <w:rPr>
          <w:rFonts w:ascii="Calibri" w:hAnsi="Calibri" w:cs="Calibri"/>
          <w:lang w:eastAsia="en-NZ"/>
        </w:rPr>
        <w:t xml:space="preserve"> </w:t>
      </w:r>
      <w:r w:rsidRPr="00130301">
        <w:rPr>
          <w:rFonts w:ascii="Calibri" w:hAnsi="Calibri" w:cs="Calibri"/>
          <w:lang w:eastAsia="en-NZ"/>
        </w:rPr>
        <w:t>developments,</w:t>
      </w:r>
      <w:r w:rsidR="003D640C">
        <w:rPr>
          <w:rFonts w:ascii="Calibri" w:hAnsi="Calibri" w:cs="Calibri"/>
          <w:lang w:eastAsia="en-NZ"/>
        </w:rPr>
        <w:t xml:space="preserve"> </w:t>
      </w:r>
      <w:r w:rsidRPr="00130301">
        <w:rPr>
          <w:rFonts w:ascii="Calibri" w:hAnsi="Calibri" w:cs="Calibri"/>
          <w:lang w:eastAsia="en-NZ"/>
        </w:rPr>
        <w:t>and</w:t>
      </w:r>
      <w:r w:rsidR="003D640C">
        <w:rPr>
          <w:rFonts w:ascii="Calibri" w:hAnsi="Calibri" w:cs="Calibri"/>
          <w:lang w:eastAsia="en-NZ"/>
        </w:rPr>
        <w:t xml:space="preserve"> </w:t>
      </w:r>
      <w:r w:rsidRPr="00130301">
        <w:rPr>
          <w:rFonts w:ascii="Calibri" w:hAnsi="Calibri" w:cs="Calibri"/>
          <w:lang w:eastAsia="en-NZ"/>
        </w:rPr>
        <w:t>inclusive</w:t>
      </w:r>
      <w:r w:rsidR="003D640C">
        <w:rPr>
          <w:rFonts w:ascii="Calibri" w:hAnsi="Calibri" w:cs="Calibri"/>
          <w:lang w:eastAsia="en-NZ"/>
        </w:rPr>
        <w:t xml:space="preserve"> </w:t>
      </w:r>
      <w:r w:rsidRPr="00130301">
        <w:rPr>
          <w:rFonts w:ascii="Calibri" w:hAnsi="Calibri" w:cs="Calibri"/>
          <w:lang w:eastAsia="en-NZ"/>
        </w:rPr>
        <w:t>interpretations</w:t>
      </w:r>
      <w:r w:rsidR="003D640C">
        <w:rPr>
          <w:rFonts w:ascii="Calibri" w:hAnsi="Calibri" w:cs="Calibri"/>
          <w:lang w:eastAsia="en-NZ"/>
        </w:rPr>
        <w:t xml:space="preserve"> </w:t>
      </w:r>
      <w:r w:rsidRPr="00130301">
        <w:rPr>
          <w:rFonts w:ascii="Calibri" w:hAnsi="Calibri" w:cs="Calibri"/>
          <w:lang w:eastAsia="en-NZ"/>
        </w:rPr>
        <w:t>with</w:t>
      </w:r>
      <w:r w:rsidR="003D640C">
        <w:rPr>
          <w:rFonts w:ascii="Calibri" w:hAnsi="Calibri" w:cs="Calibri"/>
          <w:lang w:eastAsia="en-NZ"/>
        </w:rPr>
        <w:t xml:space="preserve"> </w:t>
      </w:r>
      <w:r w:rsidRPr="00130301">
        <w:rPr>
          <w:rFonts w:ascii="Calibri" w:hAnsi="Calibri" w:cs="Calibri"/>
          <w:lang w:eastAsia="en-NZ"/>
        </w:rPr>
        <w:t>an</w:t>
      </w:r>
      <w:r w:rsidR="003D640C">
        <w:rPr>
          <w:rFonts w:ascii="Calibri" w:hAnsi="Calibri" w:cs="Calibri"/>
          <w:lang w:eastAsia="en-NZ"/>
        </w:rPr>
        <w:t xml:space="preserve"> </w:t>
      </w:r>
      <w:r w:rsidRPr="00130301">
        <w:rPr>
          <w:rFonts w:ascii="Calibri" w:hAnsi="Calibri" w:cs="Calibri"/>
          <w:lang w:eastAsia="en-NZ"/>
        </w:rPr>
        <w:t>open</w:t>
      </w:r>
      <w:r w:rsidR="003D640C">
        <w:rPr>
          <w:rFonts w:ascii="Calibri" w:hAnsi="Calibri" w:cs="Calibri"/>
          <w:lang w:eastAsia="en-NZ"/>
        </w:rPr>
        <w:t xml:space="preserve"> </w:t>
      </w:r>
      <w:r w:rsidRPr="00130301">
        <w:rPr>
          <w:rFonts w:ascii="Calibri" w:hAnsi="Calibri" w:cs="Calibri"/>
          <w:lang w:eastAsia="en-NZ"/>
        </w:rPr>
        <w:t>mind.</w:t>
      </w:r>
      <w:r w:rsidR="003D640C">
        <w:rPr>
          <w:rFonts w:ascii="Calibri" w:hAnsi="Calibri" w:cs="Calibri"/>
          <w:lang w:eastAsia="en-NZ"/>
        </w:rPr>
        <w:t xml:space="preserve"> </w:t>
      </w:r>
      <w:r w:rsidRPr="00130301">
        <w:rPr>
          <w:rFonts w:ascii="Calibri" w:hAnsi="Calibri" w:cs="Calibri"/>
          <w:lang w:eastAsia="en-NZ"/>
        </w:rPr>
        <w:t>Recognise</w:t>
      </w:r>
      <w:r w:rsidR="003D640C">
        <w:rPr>
          <w:rFonts w:ascii="Calibri" w:hAnsi="Calibri" w:cs="Calibri"/>
          <w:lang w:eastAsia="en-NZ"/>
        </w:rPr>
        <w:t xml:space="preserve"> </w:t>
      </w:r>
      <w:r w:rsidRPr="00130301">
        <w:rPr>
          <w:rFonts w:ascii="Calibri" w:hAnsi="Calibri" w:cs="Calibri"/>
          <w:lang w:eastAsia="en-NZ"/>
        </w:rPr>
        <w:t>important,</w:t>
      </w:r>
      <w:r w:rsidR="003D640C">
        <w:rPr>
          <w:rFonts w:ascii="Calibri" w:hAnsi="Calibri" w:cs="Calibri"/>
          <w:lang w:eastAsia="en-NZ"/>
        </w:rPr>
        <w:t xml:space="preserve"> </w:t>
      </w:r>
      <w:r w:rsidRPr="00130301">
        <w:rPr>
          <w:rFonts w:ascii="Calibri" w:hAnsi="Calibri" w:cs="Calibri"/>
          <w:lang w:eastAsia="en-NZ"/>
        </w:rPr>
        <w:t>historical</w:t>
      </w:r>
      <w:r w:rsidR="003D640C">
        <w:rPr>
          <w:rFonts w:ascii="Calibri" w:hAnsi="Calibri" w:cs="Calibri"/>
          <w:lang w:eastAsia="en-NZ"/>
        </w:rPr>
        <w:t xml:space="preserve"> </w:t>
      </w:r>
      <w:r w:rsidRPr="00130301">
        <w:rPr>
          <w:rFonts w:ascii="Calibri" w:hAnsi="Calibri" w:cs="Calibri"/>
          <w:lang w:eastAsia="en-NZ"/>
        </w:rPr>
        <w:t>advancements</w:t>
      </w:r>
      <w:r w:rsidR="003D640C">
        <w:rPr>
          <w:rFonts w:ascii="Calibri" w:hAnsi="Calibri" w:cs="Calibri"/>
          <w:lang w:eastAsia="en-NZ"/>
        </w:rPr>
        <w:t xml:space="preserve"> </w:t>
      </w:r>
      <w:r w:rsidRPr="00130301">
        <w:rPr>
          <w:rFonts w:ascii="Calibri" w:hAnsi="Calibri" w:cs="Calibri"/>
          <w:lang w:eastAsia="en-NZ"/>
        </w:rPr>
        <w:t>in</w:t>
      </w:r>
      <w:r w:rsidR="003D640C">
        <w:rPr>
          <w:rFonts w:ascii="Calibri" w:hAnsi="Calibri" w:cs="Calibri"/>
          <w:lang w:eastAsia="en-NZ"/>
        </w:rPr>
        <w:t xml:space="preserve"> </w:t>
      </w:r>
      <w:r w:rsidRPr="00130301">
        <w:rPr>
          <w:rFonts w:ascii="Calibri" w:hAnsi="Calibri" w:cs="Calibri"/>
          <w:lang w:eastAsia="en-NZ"/>
        </w:rPr>
        <w:t>how</w:t>
      </w:r>
      <w:r w:rsidR="003D640C">
        <w:rPr>
          <w:rFonts w:ascii="Calibri" w:hAnsi="Calibri" w:cs="Calibri"/>
          <w:lang w:eastAsia="en-NZ"/>
        </w:rPr>
        <w:t xml:space="preserve"> </w:t>
      </w:r>
      <w:r w:rsidRPr="00130301">
        <w:rPr>
          <w:rFonts w:ascii="Calibri" w:hAnsi="Calibri" w:cs="Calibri"/>
          <w:lang w:eastAsia="en-NZ"/>
        </w:rPr>
        <w:t>religious</w:t>
      </w:r>
      <w:r w:rsidR="003D640C">
        <w:rPr>
          <w:rFonts w:ascii="Calibri" w:hAnsi="Calibri" w:cs="Calibri"/>
          <w:lang w:eastAsia="en-NZ"/>
        </w:rPr>
        <w:t xml:space="preserve"> </w:t>
      </w:r>
      <w:r w:rsidRPr="00130301">
        <w:rPr>
          <w:rFonts w:ascii="Calibri" w:hAnsi="Calibri" w:cs="Calibri"/>
          <w:lang w:eastAsia="en-NZ"/>
        </w:rPr>
        <w:t>communities</w:t>
      </w:r>
      <w:r w:rsidR="003D640C">
        <w:rPr>
          <w:rFonts w:ascii="Calibri" w:hAnsi="Calibri" w:cs="Calibri"/>
          <w:lang w:eastAsia="en-NZ"/>
        </w:rPr>
        <w:t xml:space="preserve"> </w:t>
      </w:r>
      <w:r w:rsidRPr="00130301">
        <w:rPr>
          <w:rFonts w:ascii="Calibri" w:hAnsi="Calibri" w:cs="Calibri"/>
          <w:lang w:eastAsia="en-NZ"/>
        </w:rPr>
        <w:t>understand</w:t>
      </w:r>
      <w:r w:rsidR="003D640C">
        <w:rPr>
          <w:rFonts w:ascii="Calibri" w:hAnsi="Calibri" w:cs="Calibri"/>
          <w:lang w:eastAsia="en-NZ"/>
        </w:rPr>
        <w:t xml:space="preserve"> </w:t>
      </w:r>
      <w:r w:rsidRPr="00130301">
        <w:rPr>
          <w:rFonts w:ascii="Calibri" w:hAnsi="Calibri" w:cs="Calibri"/>
          <w:lang w:eastAsia="en-NZ"/>
        </w:rPr>
        <w:t>and</w:t>
      </w:r>
      <w:r w:rsidR="003D640C">
        <w:rPr>
          <w:rFonts w:ascii="Calibri" w:hAnsi="Calibri" w:cs="Calibri"/>
          <w:lang w:eastAsia="en-NZ"/>
        </w:rPr>
        <w:t xml:space="preserve"> </w:t>
      </w:r>
      <w:r w:rsidRPr="00130301">
        <w:rPr>
          <w:rFonts w:ascii="Calibri" w:hAnsi="Calibri" w:cs="Calibri"/>
          <w:lang w:eastAsia="en-NZ"/>
        </w:rPr>
        <w:t>respond</w:t>
      </w:r>
      <w:r w:rsidR="003D640C">
        <w:rPr>
          <w:rFonts w:ascii="Calibri" w:hAnsi="Calibri" w:cs="Calibri"/>
          <w:lang w:eastAsia="en-NZ"/>
        </w:rPr>
        <w:t xml:space="preserve"> </w:t>
      </w:r>
      <w:r w:rsidRPr="00130301">
        <w:rPr>
          <w:rFonts w:ascii="Calibri" w:hAnsi="Calibri" w:cs="Calibri"/>
          <w:lang w:eastAsia="en-NZ"/>
        </w:rPr>
        <w:t>to</w:t>
      </w:r>
      <w:r w:rsidR="003D640C">
        <w:rPr>
          <w:rFonts w:ascii="Calibri" w:hAnsi="Calibri" w:cs="Calibri"/>
          <w:lang w:eastAsia="en-NZ"/>
        </w:rPr>
        <w:t xml:space="preserve"> </w:t>
      </w:r>
      <w:r w:rsidRPr="00130301">
        <w:rPr>
          <w:rFonts w:ascii="Calibri" w:hAnsi="Calibri" w:cs="Calibri"/>
          <w:lang w:eastAsia="en-NZ"/>
        </w:rPr>
        <w:t>key</w:t>
      </w:r>
      <w:r w:rsidR="003D640C">
        <w:rPr>
          <w:rFonts w:ascii="Calibri" w:hAnsi="Calibri" w:cs="Calibri"/>
          <w:lang w:eastAsia="en-NZ"/>
        </w:rPr>
        <w:t xml:space="preserve"> </w:t>
      </w:r>
      <w:r w:rsidRPr="00130301">
        <w:rPr>
          <w:rFonts w:ascii="Calibri" w:hAnsi="Calibri" w:cs="Calibri"/>
          <w:lang w:eastAsia="en-NZ"/>
        </w:rPr>
        <w:t>issues</w:t>
      </w:r>
      <w:r w:rsidR="003D640C">
        <w:rPr>
          <w:rFonts w:ascii="Calibri" w:hAnsi="Calibri" w:cs="Calibri"/>
          <w:lang w:eastAsia="en-NZ"/>
        </w:rPr>
        <w:t xml:space="preserve"> </w:t>
      </w:r>
      <w:r w:rsidRPr="00130301">
        <w:rPr>
          <w:rFonts w:ascii="Calibri" w:hAnsi="Calibri" w:cs="Calibri"/>
          <w:lang w:eastAsia="en-NZ"/>
        </w:rPr>
        <w:t>like</w:t>
      </w:r>
      <w:r w:rsidR="003D640C">
        <w:rPr>
          <w:rFonts w:ascii="Calibri" w:hAnsi="Calibri" w:cs="Calibri"/>
          <w:lang w:eastAsia="en-NZ"/>
        </w:rPr>
        <w:t xml:space="preserve"> </w:t>
      </w:r>
      <w:r w:rsidRPr="00130301">
        <w:rPr>
          <w:rFonts w:ascii="Calibri" w:hAnsi="Calibri" w:cs="Calibri"/>
          <w:lang w:eastAsia="en-NZ"/>
        </w:rPr>
        <w:t>slavery,</w:t>
      </w:r>
      <w:r w:rsidR="003D640C">
        <w:rPr>
          <w:rFonts w:ascii="Calibri" w:hAnsi="Calibri" w:cs="Calibri"/>
          <w:lang w:eastAsia="en-NZ"/>
        </w:rPr>
        <w:t xml:space="preserve"> </w:t>
      </w:r>
      <w:r w:rsidRPr="00130301">
        <w:rPr>
          <w:rFonts w:ascii="Calibri" w:hAnsi="Calibri" w:cs="Calibri"/>
          <w:lang w:eastAsia="en-NZ"/>
        </w:rPr>
        <w:t>the</w:t>
      </w:r>
      <w:r w:rsidR="003D640C">
        <w:rPr>
          <w:rFonts w:ascii="Calibri" w:hAnsi="Calibri" w:cs="Calibri"/>
          <w:lang w:eastAsia="en-NZ"/>
        </w:rPr>
        <w:t xml:space="preserve"> </w:t>
      </w:r>
      <w:r w:rsidRPr="00130301">
        <w:rPr>
          <w:rFonts w:ascii="Calibri" w:hAnsi="Calibri" w:cs="Calibri"/>
          <w:lang w:eastAsia="en-NZ"/>
        </w:rPr>
        <w:t>oppression</w:t>
      </w:r>
      <w:r w:rsidR="003D640C">
        <w:rPr>
          <w:rFonts w:ascii="Calibri" w:hAnsi="Calibri" w:cs="Calibri"/>
          <w:lang w:eastAsia="en-NZ"/>
        </w:rPr>
        <w:t xml:space="preserve"> </w:t>
      </w:r>
      <w:r w:rsidRPr="00130301">
        <w:rPr>
          <w:rFonts w:ascii="Calibri" w:hAnsi="Calibri" w:cs="Calibri"/>
          <w:lang w:eastAsia="en-NZ"/>
        </w:rPr>
        <w:t>of</w:t>
      </w:r>
      <w:r w:rsidR="003D640C">
        <w:rPr>
          <w:rFonts w:ascii="Calibri" w:hAnsi="Calibri" w:cs="Calibri"/>
          <w:lang w:eastAsia="en-NZ"/>
        </w:rPr>
        <w:t xml:space="preserve"> </w:t>
      </w:r>
      <w:r w:rsidRPr="00130301">
        <w:rPr>
          <w:rFonts w:ascii="Calibri" w:hAnsi="Calibri" w:cs="Calibri"/>
          <w:lang w:eastAsia="en-NZ"/>
        </w:rPr>
        <w:t>women,</w:t>
      </w:r>
      <w:r w:rsidR="003D640C">
        <w:rPr>
          <w:rFonts w:ascii="Calibri" w:hAnsi="Calibri" w:cs="Calibri"/>
          <w:lang w:eastAsia="en-NZ"/>
        </w:rPr>
        <w:t xml:space="preserve"> </w:t>
      </w:r>
      <w:r w:rsidRPr="00130301">
        <w:rPr>
          <w:rFonts w:ascii="Calibri" w:hAnsi="Calibri" w:cs="Calibri"/>
          <w:lang w:eastAsia="en-NZ"/>
        </w:rPr>
        <w:t>and</w:t>
      </w:r>
      <w:r w:rsidR="003D640C">
        <w:rPr>
          <w:rFonts w:ascii="Calibri" w:hAnsi="Calibri" w:cs="Calibri"/>
          <w:lang w:eastAsia="en-NZ"/>
        </w:rPr>
        <w:t xml:space="preserve"> </w:t>
      </w:r>
      <w:r w:rsidRPr="00130301">
        <w:rPr>
          <w:rFonts w:ascii="Calibri" w:hAnsi="Calibri" w:cs="Calibri"/>
          <w:lang w:eastAsia="en-NZ"/>
        </w:rPr>
        <w:t>now,</w:t>
      </w:r>
      <w:r w:rsidR="003D640C">
        <w:rPr>
          <w:rFonts w:ascii="Calibri" w:hAnsi="Calibri" w:cs="Calibri"/>
          <w:lang w:eastAsia="en-NZ"/>
        </w:rPr>
        <w:t xml:space="preserve"> </w:t>
      </w:r>
      <w:r w:rsidRPr="00130301">
        <w:rPr>
          <w:rFonts w:ascii="Calibri" w:hAnsi="Calibri" w:cs="Calibri"/>
          <w:lang w:eastAsia="en-NZ"/>
        </w:rPr>
        <w:t>hopefully,</w:t>
      </w:r>
      <w:r w:rsidR="003D640C">
        <w:rPr>
          <w:rFonts w:ascii="Calibri" w:hAnsi="Calibri" w:cs="Calibri"/>
          <w:lang w:eastAsia="en-NZ"/>
        </w:rPr>
        <w:t xml:space="preserve"> </w:t>
      </w:r>
      <w:r w:rsidRPr="00130301">
        <w:rPr>
          <w:rFonts w:ascii="Calibri" w:hAnsi="Calibri" w:cs="Calibri"/>
          <w:lang w:eastAsia="en-NZ"/>
        </w:rPr>
        <w:t>the</w:t>
      </w:r>
      <w:r w:rsidR="003D640C">
        <w:rPr>
          <w:rFonts w:ascii="Calibri" w:hAnsi="Calibri" w:cs="Calibri"/>
          <w:lang w:eastAsia="en-NZ"/>
        </w:rPr>
        <w:t xml:space="preserve"> </w:t>
      </w:r>
      <w:r w:rsidRPr="00130301">
        <w:rPr>
          <w:rFonts w:ascii="Calibri" w:hAnsi="Calibri" w:cs="Calibri"/>
          <w:lang w:eastAsia="en-NZ"/>
        </w:rPr>
        <w:t>full</w:t>
      </w:r>
      <w:r w:rsidR="003D640C">
        <w:rPr>
          <w:rFonts w:ascii="Calibri" w:hAnsi="Calibri" w:cs="Calibri"/>
          <w:lang w:eastAsia="en-NZ"/>
        </w:rPr>
        <w:t xml:space="preserve"> </w:t>
      </w:r>
      <w:r w:rsidRPr="00130301">
        <w:rPr>
          <w:rFonts w:ascii="Calibri" w:hAnsi="Calibri" w:cs="Calibri"/>
          <w:lang w:eastAsia="en-NZ"/>
        </w:rPr>
        <w:t>inclusion</w:t>
      </w:r>
      <w:r w:rsidR="003D640C">
        <w:rPr>
          <w:rFonts w:ascii="Calibri" w:hAnsi="Calibri" w:cs="Calibri"/>
          <w:lang w:eastAsia="en-NZ"/>
        </w:rPr>
        <w:t xml:space="preserve"> </w:t>
      </w:r>
      <w:r w:rsidRPr="00130301">
        <w:rPr>
          <w:rFonts w:ascii="Calibri" w:hAnsi="Calibri" w:cs="Calibri"/>
          <w:lang w:eastAsia="en-NZ"/>
        </w:rPr>
        <w:t>of</w:t>
      </w:r>
      <w:r w:rsidR="003D640C">
        <w:rPr>
          <w:rFonts w:ascii="Calibri" w:hAnsi="Calibri" w:cs="Calibri"/>
          <w:lang w:eastAsia="en-NZ"/>
        </w:rPr>
        <w:t xml:space="preserve"> </w:t>
      </w:r>
      <w:r w:rsidRPr="00130301">
        <w:rPr>
          <w:rFonts w:ascii="Calibri" w:hAnsi="Calibri" w:cs="Calibri"/>
          <w:lang w:eastAsia="en-NZ"/>
        </w:rPr>
        <w:t>Rainbow</w:t>
      </w:r>
      <w:r w:rsidR="003D640C">
        <w:rPr>
          <w:rFonts w:ascii="Calibri" w:hAnsi="Calibri" w:cs="Calibri"/>
          <w:lang w:eastAsia="en-NZ"/>
        </w:rPr>
        <w:t xml:space="preserve"> </w:t>
      </w:r>
      <w:r w:rsidRPr="00130301">
        <w:rPr>
          <w:rFonts w:ascii="Calibri" w:hAnsi="Calibri" w:cs="Calibri"/>
          <w:lang w:eastAsia="en-NZ"/>
        </w:rPr>
        <w:t>people.</w:t>
      </w:r>
      <w:r w:rsidR="003D640C">
        <w:rPr>
          <w:rFonts w:ascii="Calibri" w:hAnsi="Calibri" w:cs="Calibri"/>
          <w:lang w:eastAsia="en-NZ"/>
        </w:rPr>
        <w:t xml:space="preserve"> </w:t>
      </w:r>
      <w:r w:rsidRPr="00130301">
        <w:rPr>
          <w:rFonts w:ascii="Calibri" w:hAnsi="Calibri" w:cs="Calibri"/>
          <w:lang w:eastAsia="en-NZ"/>
        </w:rPr>
        <w:t>Co-produce</w:t>
      </w:r>
      <w:r w:rsidR="003D640C">
        <w:rPr>
          <w:rFonts w:ascii="Calibri" w:hAnsi="Calibri" w:cs="Calibri"/>
          <w:lang w:eastAsia="en-NZ"/>
        </w:rPr>
        <w:t xml:space="preserve"> </w:t>
      </w:r>
      <w:r w:rsidRPr="00130301">
        <w:rPr>
          <w:rFonts w:ascii="Calibri" w:hAnsi="Calibri" w:cs="Calibri"/>
          <w:lang w:eastAsia="en-NZ"/>
        </w:rPr>
        <w:t>action</w:t>
      </w:r>
      <w:r w:rsidR="003D640C">
        <w:rPr>
          <w:rFonts w:ascii="Calibri" w:hAnsi="Calibri" w:cs="Calibri"/>
          <w:lang w:eastAsia="en-NZ"/>
        </w:rPr>
        <w:t xml:space="preserve"> </w:t>
      </w:r>
      <w:r w:rsidRPr="00130301">
        <w:rPr>
          <w:rFonts w:ascii="Calibri" w:hAnsi="Calibri" w:cs="Calibri"/>
          <w:lang w:eastAsia="en-NZ"/>
        </w:rPr>
        <w:t>plans</w:t>
      </w:r>
      <w:r w:rsidR="003D640C">
        <w:rPr>
          <w:rFonts w:ascii="Calibri" w:hAnsi="Calibri" w:cs="Calibri"/>
          <w:lang w:eastAsia="en-NZ"/>
        </w:rPr>
        <w:t xml:space="preserve"> </w:t>
      </w:r>
      <w:r w:rsidRPr="00130301">
        <w:rPr>
          <w:rFonts w:ascii="Calibri" w:hAnsi="Calibri" w:cs="Calibri"/>
          <w:lang w:eastAsia="en-NZ"/>
        </w:rPr>
        <w:t>with</w:t>
      </w:r>
      <w:r w:rsidR="003D640C">
        <w:rPr>
          <w:rFonts w:ascii="Calibri" w:hAnsi="Calibri" w:cs="Calibri"/>
          <w:lang w:eastAsia="en-NZ"/>
        </w:rPr>
        <w:t xml:space="preserve"> </w:t>
      </w:r>
      <w:r w:rsidRPr="00130301">
        <w:rPr>
          <w:rFonts w:ascii="Calibri" w:hAnsi="Calibri" w:cs="Calibri"/>
          <w:lang w:eastAsia="en-NZ"/>
        </w:rPr>
        <w:t>theologians,</w:t>
      </w:r>
      <w:r w:rsidR="003D640C">
        <w:rPr>
          <w:rFonts w:ascii="Calibri" w:hAnsi="Calibri" w:cs="Calibri"/>
          <w:lang w:eastAsia="en-NZ"/>
        </w:rPr>
        <w:t xml:space="preserve"> </w:t>
      </w:r>
      <w:r w:rsidRPr="00130301">
        <w:rPr>
          <w:rFonts w:ascii="Calibri" w:hAnsi="Calibri" w:cs="Calibri"/>
          <w:lang w:eastAsia="en-NZ"/>
        </w:rPr>
        <w:t>clergy,</w:t>
      </w:r>
      <w:r w:rsidR="003D640C">
        <w:rPr>
          <w:rFonts w:ascii="Calibri" w:hAnsi="Calibri" w:cs="Calibri"/>
          <w:lang w:eastAsia="en-NZ"/>
        </w:rPr>
        <w:t xml:space="preserve"> </w:t>
      </w:r>
      <w:r w:rsidRPr="00130301">
        <w:rPr>
          <w:rFonts w:ascii="Calibri" w:hAnsi="Calibri" w:cs="Calibri"/>
          <w:lang w:eastAsia="en-NZ"/>
        </w:rPr>
        <w:t>survivors</w:t>
      </w:r>
      <w:r w:rsidR="003A5B8B">
        <w:rPr>
          <w:rFonts w:ascii="Calibri" w:hAnsi="Calibri" w:cs="Calibri"/>
          <w:lang w:eastAsia="en-NZ"/>
        </w:rPr>
        <w:t>,</w:t>
      </w:r>
      <w:r w:rsidR="003D640C">
        <w:rPr>
          <w:rFonts w:ascii="Calibri" w:hAnsi="Calibri" w:cs="Calibri"/>
          <w:lang w:eastAsia="en-NZ"/>
        </w:rPr>
        <w:t xml:space="preserve"> </w:t>
      </w:r>
      <w:r w:rsidRPr="00130301">
        <w:rPr>
          <w:rFonts w:ascii="Calibri" w:hAnsi="Calibri" w:cs="Calibri"/>
          <w:lang w:eastAsia="en-NZ"/>
        </w:rPr>
        <w:t>and</w:t>
      </w:r>
      <w:r w:rsidR="003D640C">
        <w:rPr>
          <w:rFonts w:ascii="Calibri" w:hAnsi="Calibri" w:cs="Calibri"/>
          <w:lang w:eastAsia="en-NZ"/>
        </w:rPr>
        <w:t xml:space="preserve"> </w:t>
      </w:r>
      <w:r w:rsidRPr="00130301">
        <w:rPr>
          <w:rFonts w:ascii="Calibri" w:hAnsi="Calibri" w:cs="Calibri"/>
          <w:lang w:eastAsia="en-NZ"/>
        </w:rPr>
        <w:t>Rainbow</w:t>
      </w:r>
      <w:r w:rsidR="003D640C">
        <w:rPr>
          <w:rFonts w:ascii="Calibri" w:hAnsi="Calibri" w:cs="Calibri"/>
          <w:lang w:eastAsia="en-NZ"/>
        </w:rPr>
        <w:t xml:space="preserve"> </w:t>
      </w:r>
      <w:r w:rsidRPr="00130301">
        <w:rPr>
          <w:rFonts w:ascii="Calibri" w:hAnsi="Calibri" w:cs="Calibri"/>
          <w:lang w:eastAsia="en-NZ"/>
        </w:rPr>
        <w:t>lived</w:t>
      </w:r>
      <w:r w:rsidR="003D640C">
        <w:rPr>
          <w:rFonts w:ascii="Calibri" w:hAnsi="Calibri" w:cs="Calibri"/>
          <w:lang w:eastAsia="en-NZ"/>
        </w:rPr>
        <w:t xml:space="preserve"> </w:t>
      </w:r>
      <w:r w:rsidRPr="00130301">
        <w:rPr>
          <w:rFonts w:ascii="Calibri" w:hAnsi="Calibri" w:cs="Calibri"/>
          <w:lang w:eastAsia="en-NZ"/>
        </w:rPr>
        <w:t>experience</w:t>
      </w:r>
      <w:r w:rsidR="003D640C">
        <w:rPr>
          <w:rFonts w:ascii="Calibri" w:hAnsi="Calibri" w:cs="Calibri"/>
          <w:lang w:eastAsia="en-NZ"/>
        </w:rPr>
        <w:t xml:space="preserve"> </w:t>
      </w:r>
      <w:r w:rsidRPr="00130301">
        <w:rPr>
          <w:rFonts w:ascii="Calibri" w:hAnsi="Calibri" w:cs="Calibri"/>
          <w:lang w:eastAsia="en-NZ"/>
        </w:rPr>
        <w:t>people</w:t>
      </w:r>
      <w:r w:rsidR="003D640C">
        <w:rPr>
          <w:rFonts w:ascii="Calibri" w:hAnsi="Calibri" w:cs="Calibri"/>
          <w:lang w:eastAsia="en-NZ"/>
        </w:rPr>
        <w:t xml:space="preserve"> </w:t>
      </w:r>
      <w:r w:rsidRPr="00130301">
        <w:rPr>
          <w:rFonts w:ascii="Calibri" w:hAnsi="Calibri" w:cs="Calibri"/>
          <w:lang w:eastAsia="en-NZ"/>
        </w:rPr>
        <w:t>that</w:t>
      </w:r>
      <w:r w:rsidR="003D640C">
        <w:rPr>
          <w:rFonts w:ascii="Calibri" w:hAnsi="Calibri" w:cs="Calibri"/>
          <w:lang w:eastAsia="en-NZ"/>
        </w:rPr>
        <w:t xml:space="preserve"> </w:t>
      </w:r>
      <w:r w:rsidRPr="00130301">
        <w:rPr>
          <w:rFonts w:ascii="Calibri" w:hAnsi="Calibri" w:cs="Calibri"/>
          <w:lang w:eastAsia="en-NZ"/>
        </w:rPr>
        <w:t>both</w:t>
      </w:r>
      <w:r w:rsidR="003D640C">
        <w:rPr>
          <w:rFonts w:ascii="Calibri" w:hAnsi="Calibri" w:cs="Calibri"/>
          <w:lang w:eastAsia="en-NZ"/>
        </w:rPr>
        <w:t xml:space="preserve"> </w:t>
      </w:r>
      <w:r w:rsidRPr="00130301">
        <w:rPr>
          <w:rFonts w:ascii="Calibri" w:hAnsi="Calibri" w:cs="Calibri"/>
          <w:lang w:eastAsia="en-NZ"/>
        </w:rPr>
        <w:t>educate</w:t>
      </w:r>
      <w:r w:rsidR="003D640C">
        <w:rPr>
          <w:rFonts w:ascii="Calibri" w:hAnsi="Calibri" w:cs="Calibri"/>
          <w:lang w:eastAsia="en-NZ"/>
        </w:rPr>
        <w:t xml:space="preserve"> </w:t>
      </w:r>
      <w:r w:rsidRPr="00130301">
        <w:rPr>
          <w:rFonts w:ascii="Calibri" w:hAnsi="Calibri" w:cs="Calibri"/>
          <w:lang w:eastAsia="en-NZ"/>
        </w:rPr>
        <w:t>and</w:t>
      </w:r>
      <w:r w:rsidR="003D640C">
        <w:rPr>
          <w:rFonts w:ascii="Calibri" w:hAnsi="Calibri" w:cs="Calibri"/>
          <w:lang w:eastAsia="en-NZ"/>
        </w:rPr>
        <w:t xml:space="preserve"> </w:t>
      </w:r>
      <w:r w:rsidRPr="00130301">
        <w:rPr>
          <w:rFonts w:ascii="Calibri" w:hAnsi="Calibri" w:cs="Calibri"/>
          <w:lang w:eastAsia="en-NZ"/>
        </w:rPr>
        <w:t>disseminate</w:t>
      </w:r>
      <w:r w:rsidR="003D640C">
        <w:rPr>
          <w:rFonts w:ascii="Calibri" w:hAnsi="Calibri" w:cs="Calibri"/>
          <w:lang w:eastAsia="en-NZ"/>
        </w:rPr>
        <w:t xml:space="preserve"> </w:t>
      </w:r>
      <w:r w:rsidRPr="00130301">
        <w:rPr>
          <w:rFonts w:ascii="Calibri" w:hAnsi="Calibri" w:cs="Calibri"/>
          <w:lang w:eastAsia="en-NZ"/>
        </w:rPr>
        <w:t>findings</w:t>
      </w:r>
      <w:r w:rsidR="003D640C">
        <w:rPr>
          <w:rFonts w:ascii="Calibri" w:hAnsi="Calibri" w:cs="Calibri"/>
          <w:lang w:eastAsia="en-NZ"/>
        </w:rPr>
        <w:t xml:space="preserve"> </w:t>
      </w:r>
      <w:r w:rsidRPr="00130301">
        <w:rPr>
          <w:rFonts w:ascii="Calibri" w:hAnsi="Calibri" w:cs="Calibri"/>
          <w:lang w:eastAsia="en-NZ"/>
        </w:rPr>
        <w:t>from</w:t>
      </w:r>
      <w:r w:rsidR="003D640C">
        <w:rPr>
          <w:rFonts w:ascii="Calibri" w:hAnsi="Calibri" w:cs="Calibri"/>
          <w:lang w:eastAsia="en-NZ"/>
        </w:rPr>
        <w:t xml:space="preserve"> </w:t>
      </w:r>
      <w:r w:rsidRPr="00130301">
        <w:rPr>
          <w:rFonts w:ascii="Calibri" w:hAnsi="Calibri" w:cs="Calibri"/>
          <w:lang w:eastAsia="en-NZ"/>
        </w:rPr>
        <w:t>your</w:t>
      </w:r>
      <w:r w:rsidR="003D640C">
        <w:rPr>
          <w:rFonts w:ascii="Calibri" w:hAnsi="Calibri" w:cs="Calibri"/>
          <w:lang w:eastAsia="en-NZ"/>
        </w:rPr>
        <w:t xml:space="preserve"> </w:t>
      </w:r>
      <w:r w:rsidRPr="00130301">
        <w:rPr>
          <w:rFonts w:ascii="Calibri" w:hAnsi="Calibri" w:cs="Calibri"/>
          <w:lang w:eastAsia="en-NZ"/>
        </w:rPr>
        <w:t>review</w:t>
      </w:r>
      <w:r w:rsidR="003D640C">
        <w:rPr>
          <w:rFonts w:ascii="Calibri" w:hAnsi="Calibri" w:cs="Calibri"/>
          <w:lang w:eastAsia="en-NZ"/>
        </w:rPr>
        <w:t xml:space="preserve"> </w:t>
      </w:r>
      <w:r w:rsidRPr="00130301">
        <w:rPr>
          <w:rFonts w:ascii="Calibri" w:hAnsi="Calibri" w:cs="Calibri"/>
          <w:lang w:eastAsia="en-NZ"/>
        </w:rPr>
        <w:t>process</w:t>
      </w:r>
      <w:r w:rsidR="003D640C">
        <w:rPr>
          <w:rFonts w:ascii="Calibri" w:hAnsi="Calibri" w:cs="Calibri"/>
          <w:lang w:eastAsia="en-NZ"/>
        </w:rPr>
        <w:t xml:space="preserve"> </w:t>
      </w:r>
      <w:r w:rsidRPr="00130301">
        <w:rPr>
          <w:rFonts w:ascii="Calibri" w:hAnsi="Calibri" w:cs="Calibri"/>
          <w:lang w:eastAsia="en-NZ"/>
        </w:rPr>
        <w:t>to</w:t>
      </w:r>
      <w:r w:rsidR="003D640C">
        <w:rPr>
          <w:rFonts w:ascii="Calibri" w:hAnsi="Calibri" w:cs="Calibri"/>
          <w:lang w:eastAsia="en-NZ"/>
        </w:rPr>
        <w:t xml:space="preserve"> </w:t>
      </w:r>
      <w:r w:rsidRPr="00130301">
        <w:rPr>
          <w:rFonts w:ascii="Calibri" w:hAnsi="Calibri" w:cs="Calibri"/>
          <w:lang w:eastAsia="en-NZ"/>
        </w:rPr>
        <w:t>your</w:t>
      </w:r>
      <w:r w:rsidR="003D640C">
        <w:rPr>
          <w:rFonts w:ascii="Calibri" w:hAnsi="Calibri" w:cs="Calibri"/>
          <w:lang w:eastAsia="en-NZ"/>
        </w:rPr>
        <w:t xml:space="preserve"> </w:t>
      </w:r>
      <w:r w:rsidRPr="00130301">
        <w:rPr>
          <w:rFonts w:ascii="Calibri" w:hAnsi="Calibri" w:cs="Calibri"/>
          <w:lang w:eastAsia="en-NZ"/>
        </w:rPr>
        <w:t>stakeholders.</w:t>
      </w:r>
      <w:r w:rsidR="003D640C">
        <w:rPr>
          <w:rFonts w:ascii="Calibri" w:hAnsi="Calibri" w:cs="Calibri"/>
          <w:lang w:eastAsia="en-NZ"/>
        </w:rPr>
        <w:t xml:space="preserve"> </w:t>
      </w:r>
    </w:p>
    <w:p w14:paraId="792D8D6F" w14:textId="189EE6A9" w:rsidR="00501068" w:rsidRDefault="00C044A8" w:rsidP="009B737E">
      <w:pPr>
        <w:pStyle w:val="ListParagraph"/>
        <w:numPr>
          <w:ilvl w:val="0"/>
          <w:numId w:val="117"/>
        </w:numPr>
        <w:rPr>
          <w:rFonts w:ascii="Calibri" w:hAnsi="Calibri" w:cs="Calibri"/>
          <w:lang w:eastAsia="en-NZ"/>
        </w:rPr>
      </w:pPr>
      <w:r w:rsidRPr="00BB6220">
        <w:rPr>
          <w:rFonts w:ascii="Calibri" w:hAnsi="Calibri" w:cs="Calibri"/>
          <w:b/>
          <w:bCs/>
          <w:lang w:eastAsia="en-NZ"/>
        </w:rPr>
        <w:t>Empower</w:t>
      </w:r>
      <w:r w:rsidR="003D640C">
        <w:rPr>
          <w:rFonts w:ascii="Calibri" w:hAnsi="Calibri" w:cs="Calibri"/>
          <w:b/>
          <w:bCs/>
          <w:lang w:eastAsia="en-NZ"/>
        </w:rPr>
        <w:t xml:space="preserve"> </w:t>
      </w:r>
      <w:r w:rsidR="00083EAE" w:rsidRPr="00BB6220">
        <w:rPr>
          <w:rFonts w:ascii="Calibri" w:hAnsi="Calibri" w:cs="Calibri"/>
          <w:b/>
          <w:bCs/>
          <w:lang w:eastAsia="en-NZ"/>
        </w:rPr>
        <w:t>Rainbow</w:t>
      </w:r>
      <w:r w:rsidR="003D640C">
        <w:rPr>
          <w:rFonts w:ascii="Calibri" w:hAnsi="Calibri" w:cs="Calibri"/>
          <w:b/>
          <w:bCs/>
          <w:lang w:eastAsia="en-NZ"/>
        </w:rPr>
        <w:t xml:space="preserve"> </w:t>
      </w:r>
      <w:r w:rsidRPr="00BB6220">
        <w:rPr>
          <w:rFonts w:ascii="Calibri" w:hAnsi="Calibri" w:cs="Calibri"/>
          <w:b/>
          <w:bCs/>
          <w:lang w:eastAsia="en-NZ"/>
        </w:rPr>
        <w:t>people</w:t>
      </w:r>
      <w:r w:rsidR="003D640C">
        <w:rPr>
          <w:rFonts w:ascii="Calibri" w:hAnsi="Calibri" w:cs="Calibri"/>
          <w:b/>
          <w:bCs/>
          <w:lang w:eastAsia="en-NZ"/>
        </w:rPr>
        <w:t xml:space="preserve"> </w:t>
      </w:r>
      <w:r w:rsidRPr="00BB6220">
        <w:rPr>
          <w:rFonts w:ascii="Calibri" w:hAnsi="Calibri" w:cs="Calibri"/>
          <w:b/>
          <w:bCs/>
          <w:lang w:eastAsia="en-NZ"/>
        </w:rPr>
        <w:t>in</w:t>
      </w:r>
      <w:r w:rsidR="003D640C">
        <w:rPr>
          <w:rFonts w:ascii="Calibri" w:hAnsi="Calibri" w:cs="Calibri"/>
          <w:b/>
          <w:bCs/>
          <w:lang w:eastAsia="en-NZ"/>
        </w:rPr>
        <w:t xml:space="preserve"> </w:t>
      </w:r>
      <w:r w:rsidRPr="00BB6220">
        <w:rPr>
          <w:rFonts w:ascii="Calibri" w:hAnsi="Calibri" w:cs="Calibri"/>
          <w:b/>
          <w:bCs/>
          <w:lang w:eastAsia="en-NZ"/>
        </w:rPr>
        <w:t>your</w:t>
      </w:r>
      <w:r w:rsidR="003D640C">
        <w:rPr>
          <w:rFonts w:ascii="Calibri" w:hAnsi="Calibri" w:cs="Calibri"/>
          <w:b/>
          <w:bCs/>
          <w:lang w:eastAsia="en-NZ"/>
        </w:rPr>
        <w:t xml:space="preserve"> </w:t>
      </w:r>
      <w:r w:rsidRPr="00BB6220">
        <w:rPr>
          <w:rFonts w:ascii="Calibri" w:hAnsi="Calibri" w:cs="Calibri"/>
          <w:b/>
          <w:bCs/>
          <w:lang w:eastAsia="en-NZ"/>
        </w:rPr>
        <w:t>communities</w:t>
      </w:r>
      <w:r w:rsidR="003D640C">
        <w:rPr>
          <w:rFonts w:ascii="Calibri" w:hAnsi="Calibri" w:cs="Calibri"/>
          <w:b/>
          <w:bCs/>
          <w:lang w:eastAsia="en-NZ"/>
        </w:rPr>
        <w:t xml:space="preserve"> </w:t>
      </w:r>
      <w:r w:rsidR="003A5B8B">
        <w:rPr>
          <w:rFonts w:ascii="Calibri" w:hAnsi="Calibri" w:cs="Calibri"/>
          <w:b/>
          <w:bCs/>
          <w:lang w:eastAsia="en-NZ"/>
        </w:rPr>
        <w:br/>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with</w:t>
      </w:r>
      <w:r w:rsidR="003D640C">
        <w:rPr>
          <w:rFonts w:ascii="Calibri" w:hAnsi="Calibri" w:cs="Calibri"/>
          <w:lang w:eastAsia="en-NZ"/>
        </w:rPr>
        <w:t xml:space="preserve"> </w:t>
      </w:r>
      <w:r w:rsidRPr="00BB6220">
        <w:rPr>
          <w:rFonts w:ascii="Calibri" w:hAnsi="Calibri" w:cs="Calibri"/>
          <w:lang w:eastAsia="en-NZ"/>
        </w:rPr>
        <w:t>lived</w:t>
      </w:r>
      <w:r w:rsidR="003D640C">
        <w:rPr>
          <w:rFonts w:ascii="Calibri" w:hAnsi="Calibri" w:cs="Calibri"/>
          <w:lang w:eastAsia="en-NZ"/>
        </w:rPr>
        <w:t xml:space="preserve"> </w:t>
      </w:r>
      <w:r w:rsidRPr="00BB6220">
        <w:rPr>
          <w:rFonts w:ascii="Calibri" w:hAnsi="Calibri" w:cs="Calibri"/>
          <w:lang w:eastAsia="en-NZ"/>
        </w:rPr>
        <w:t>experience</w:t>
      </w:r>
      <w:r w:rsidR="003D640C">
        <w:rPr>
          <w:rFonts w:ascii="Calibri" w:hAnsi="Calibri" w:cs="Calibri"/>
          <w:lang w:eastAsia="en-NZ"/>
        </w:rPr>
        <w:t xml:space="preserve"> </w:t>
      </w:r>
      <w:r w:rsidRPr="00BB6220">
        <w:rPr>
          <w:rFonts w:ascii="Calibri" w:hAnsi="Calibri" w:cs="Calibri"/>
          <w:lang w:eastAsia="en-NZ"/>
        </w:rPr>
        <w:t>hold</w:t>
      </w:r>
      <w:r w:rsidR="003D640C">
        <w:rPr>
          <w:rFonts w:ascii="Calibri" w:hAnsi="Calibri" w:cs="Calibri"/>
          <w:lang w:eastAsia="en-NZ"/>
        </w:rPr>
        <w:t xml:space="preserve"> </w:t>
      </w:r>
      <w:r w:rsidRPr="00BB6220">
        <w:rPr>
          <w:rFonts w:ascii="Calibri" w:hAnsi="Calibri" w:cs="Calibri"/>
          <w:lang w:eastAsia="en-NZ"/>
        </w:rPr>
        <w:t>invaluable</w:t>
      </w:r>
      <w:r w:rsidR="003D640C">
        <w:rPr>
          <w:rFonts w:ascii="Calibri" w:hAnsi="Calibri" w:cs="Calibri"/>
          <w:lang w:eastAsia="en-NZ"/>
        </w:rPr>
        <w:t xml:space="preserve"> </w:t>
      </w:r>
      <w:r w:rsidRPr="00BB6220">
        <w:rPr>
          <w:rFonts w:ascii="Calibri" w:hAnsi="Calibri" w:cs="Calibri"/>
          <w:lang w:eastAsia="en-NZ"/>
        </w:rPr>
        <w:t>insight</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perspective</w:t>
      </w:r>
      <w:r w:rsidR="003D640C">
        <w:rPr>
          <w:rFonts w:ascii="Calibri" w:hAnsi="Calibri" w:cs="Calibri"/>
          <w:lang w:eastAsia="en-NZ"/>
        </w:rPr>
        <w:t xml:space="preserve"> </w:t>
      </w:r>
      <w:r w:rsidRPr="00BB6220">
        <w:rPr>
          <w:rFonts w:ascii="Calibri" w:hAnsi="Calibri" w:cs="Calibri"/>
          <w:lang w:eastAsia="en-NZ"/>
        </w:rPr>
        <w:t>when</w:t>
      </w:r>
      <w:r w:rsidR="003D640C">
        <w:rPr>
          <w:rFonts w:ascii="Calibri" w:hAnsi="Calibri" w:cs="Calibri"/>
          <w:lang w:eastAsia="en-NZ"/>
        </w:rPr>
        <w:t xml:space="preserve"> </w:t>
      </w:r>
      <w:r w:rsidRPr="00BB6220">
        <w:rPr>
          <w:rFonts w:ascii="Calibri" w:hAnsi="Calibri" w:cs="Calibri"/>
          <w:lang w:eastAsia="en-NZ"/>
        </w:rPr>
        <w:t>it</w:t>
      </w:r>
      <w:r w:rsidR="003D640C">
        <w:rPr>
          <w:rFonts w:ascii="Calibri" w:hAnsi="Calibri" w:cs="Calibri"/>
          <w:lang w:eastAsia="en-NZ"/>
        </w:rPr>
        <w:t xml:space="preserve"> </w:t>
      </w:r>
      <w:r w:rsidRPr="00BB6220">
        <w:rPr>
          <w:rFonts w:ascii="Calibri" w:hAnsi="Calibri" w:cs="Calibri"/>
          <w:lang w:eastAsia="en-NZ"/>
        </w:rPr>
        <w:t>comes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fostering</w:t>
      </w:r>
      <w:r w:rsidR="003D640C">
        <w:rPr>
          <w:rFonts w:ascii="Calibri" w:hAnsi="Calibri" w:cs="Calibri"/>
          <w:lang w:eastAsia="en-NZ"/>
        </w:rPr>
        <w:t xml:space="preserve"> </w:t>
      </w:r>
      <w:r w:rsidRPr="00BB6220">
        <w:rPr>
          <w:rFonts w:ascii="Calibri" w:hAnsi="Calibri" w:cs="Calibri"/>
          <w:lang w:eastAsia="en-NZ"/>
        </w:rPr>
        <w:lastRenderedPageBreak/>
        <w:t>an</w:t>
      </w:r>
      <w:r w:rsidR="003D640C">
        <w:rPr>
          <w:rFonts w:ascii="Calibri" w:hAnsi="Calibri" w:cs="Calibri"/>
          <w:lang w:eastAsia="en-NZ"/>
        </w:rPr>
        <w:t xml:space="preserve"> </w:t>
      </w:r>
      <w:r w:rsidRPr="00BB6220">
        <w:rPr>
          <w:rFonts w:ascii="Calibri" w:hAnsi="Calibri" w:cs="Calibri"/>
          <w:lang w:eastAsia="en-NZ"/>
        </w:rPr>
        <w:t>affirming</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inclusive</w:t>
      </w:r>
      <w:r w:rsidR="003D640C">
        <w:rPr>
          <w:rFonts w:ascii="Calibri" w:hAnsi="Calibri" w:cs="Calibri"/>
          <w:lang w:eastAsia="en-NZ"/>
        </w:rPr>
        <w:t xml:space="preserve"> </w:t>
      </w:r>
      <w:r w:rsidRPr="00BB6220">
        <w:rPr>
          <w:rFonts w:ascii="Calibri" w:hAnsi="Calibri" w:cs="Calibri"/>
          <w:lang w:eastAsia="en-NZ"/>
        </w:rPr>
        <w:t>community.</w:t>
      </w:r>
      <w:r w:rsidR="003D640C">
        <w:rPr>
          <w:rFonts w:ascii="Calibri" w:hAnsi="Calibri" w:cs="Calibri"/>
          <w:lang w:eastAsia="en-NZ"/>
        </w:rPr>
        <w:t xml:space="preserve"> </w:t>
      </w:r>
      <w:r w:rsidRPr="00BB6220">
        <w:rPr>
          <w:rFonts w:ascii="Calibri" w:hAnsi="Calibri" w:cs="Calibri"/>
          <w:lang w:eastAsia="en-NZ"/>
        </w:rPr>
        <w:t>Empowering</w:t>
      </w:r>
      <w:r w:rsidR="003D640C">
        <w:rPr>
          <w:rFonts w:ascii="Calibri" w:hAnsi="Calibri" w:cs="Calibri"/>
          <w:lang w:eastAsia="en-NZ"/>
        </w:rPr>
        <w:t xml:space="preserve"> </w:t>
      </w:r>
      <w:r w:rsidRPr="00BB6220">
        <w:rPr>
          <w:rFonts w:ascii="Calibri" w:hAnsi="Calibri" w:cs="Calibri"/>
          <w:lang w:eastAsia="en-NZ"/>
        </w:rPr>
        <w:t>them</w:t>
      </w:r>
      <w:r w:rsidR="003D640C">
        <w:rPr>
          <w:rFonts w:ascii="Calibri" w:hAnsi="Calibri" w:cs="Calibri"/>
          <w:lang w:eastAsia="en-NZ"/>
        </w:rPr>
        <w:t xml:space="preserve"> </w:t>
      </w:r>
      <w:r w:rsidRPr="00BB6220">
        <w:rPr>
          <w:rFonts w:ascii="Calibri" w:hAnsi="Calibri" w:cs="Calibri"/>
          <w:lang w:eastAsia="en-NZ"/>
        </w:rPr>
        <w:t>must</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done</w:t>
      </w:r>
      <w:r w:rsidR="003D640C">
        <w:rPr>
          <w:rFonts w:ascii="Calibri" w:hAnsi="Calibri" w:cs="Calibri"/>
          <w:lang w:eastAsia="en-NZ"/>
        </w:rPr>
        <w:t xml:space="preserve"> </w:t>
      </w:r>
      <w:r w:rsidRPr="00BB6220">
        <w:rPr>
          <w:rFonts w:ascii="Calibri" w:hAnsi="Calibri" w:cs="Calibri"/>
          <w:lang w:eastAsia="en-NZ"/>
        </w:rPr>
        <w:t>respectfully,</w:t>
      </w:r>
      <w:r w:rsidR="003D640C">
        <w:rPr>
          <w:rFonts w:ascii="Calibri" w:hAnsi="Calibri" w:cs="Calibri"/>
          <w:lang w:eastAsia="en-NZ"/>
        </w:rPr>
        <w:t xml:space="preserve"> </w:t>
      </w:r>
      <w:r w:rsidRPr="00BB6220">
        <w:rPr>
          <w:rFonts w:ascii="Calibri" w:hAnsi="Calibri" w:cs="Calibri"/>
          <w:lang w:eastAsia="en-NZ"/>
        </w:rPr>
        <w:t>acknowledging</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burden</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is</w:t>
      </w:r>
      <w:r w:rsidR="003D640C">
        <w:rPr>
          <w:rFonts w:ascii="Calibri" w:hAnsi="Calibri" w:cs="Calibri"/>
          <w:lang w:eastAsia="en-NZ"/>
        </w:rPr>
        <w:t xml:space="preserve"> </w:t>
      </w:r>
      <w:r w:rsidRPr="00BB6220">
        <w:rPr>
          <w:rFonts w:ascii="Calibri" w:hAnsi="Calibri" w:cs="Calibri"/>
          <w:lang w:eastAsia="en-NZ"/>
        </w:rPr>
        <w:t>being</w:t>
      </w:r>
      <w:r w:rsidR="003D640C">
        <w:rPr>
          <w:rFonts w:ascii="Calibri" w:hAnsi="Calibri" w:cs="Calibri"/>
          <w:lang w:eastAsia="en-NZ"/>
        </w:rPr>
        <w:t xml:space="preserve"> </w:t>
      </w:r>
      <w:r w:rsidRPr="00BB6220">
        <w:rPr>
          <w:rFonts w:ascii="Calibri" w:hAnsi="Calibri" w:cs="Calibri"/>
          <w:lang w:eastAsia="en-NZ"/>
        </w:rPr>
        <w:t>placed</w:t>
      </w:r>
      <w:r w:rsidR="003D640C">
        <w:rPr>
          <w:rFonts w:ascii="Calibri" w:hAnsi="Calibri" w:cs="Calibri"/>
          <w:lang w:eastAsia="en-NZ"/>
        </w:rPr>
        <w:t xml:space="preserve"> </w:t>
      </w:r>
      <w:r w:rsidRPr="00BB6220">
        <w:rPr>
          <w:rFonts w:ascii="Calibri" w:hAnsi="Calibri" w:cs="Calibri"/>
          <w:lang w:eastAsia="en-NZ"/>
        </w:rPr>
        <w:t>on</w:t>
      </w:r>
      <w:r w:rsidR="003D640C">
        <w:rPr>
          <w:rFonts w:ascii="Calibri" w:hAnsi="Calibri" w:cs="Calibri"/>
          <w:lang w:eastAsia="en-NZ"/>
        </w:rPr>
        <w:t xml:space="preserve"> </w:t>
      </w:r>
      <w:r w:rsidRPr="00BB6220">
        <w:rPr>
          <w:rFonts w:ascii="Calibri" w:hAnsi="Calibri" w:cs="Calibri"/>
          <w:lang w:eastAsia="en-NZ"/>
        </w:rPr>
        <w:t>a</w:t>
      </w:r>
      <w:r w:rsidR="003D640C">
        <w:rPr>
          <w:rFonts w:ascii="Calibri" w:hAnsi="Calibri" w:cs="Calibri"/>
          <w:lang w:eastAsia="en-NZ"/>
        </w:rPr>
        <w:t xml:space="preserve"> </w:t>
      </w:r>
      <w:r w:rsidRPr="00BB6220">
        <w:rPr>
          <w:rFonts w:ascii="Calibri" w:hAnsi="Calibri" w:cs="Calibri"/>
          <w:lang w:eastAsia="en-NZ"/>
        </w:rPr>
        <w:t>group</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have</w:t>
      </w:r>
      <w:r w:rsidR="003D640C">
        <w:rPr>
          <w:rFonts w:ascii="Calibri" w:hAnsi="Calibri" w:cs="Calibri"/>
          <w:lang w:eastAsia="en-NZ"/>
        </w:rPr>
        <w:t xml:space="preserve"> </w:t>
      </w:r>
      <w:r w:rsidRPr="00BB6220">
        <w:rPr>
          <w:rFonts w:ascii="Calibri" w:hAnsi="Calibri" w:cs="Calibri"/>
          <w:lang w:eastAsia="en-NZ"/>
        </w:rPr>
        <w:t>historically</w:t>
      </w:r>
      <w:r w:rsidR="003D640C">
        <w:rPr>
          <w:rFonts w:ascii="Calibri" w:hAnsi="Calibri" w:cs="Calibri"/>
          <w:lang w:eastAsia="en-NZ"/>
        </w:rPr>
        <w:t xml:space="preserve"> </w:t>
      </w:r>
      <w:r w:rsidRPr="00BB6220">
        <w:rPr>
          <w:rFonts w:ascii="Calibri" w:hAnsi="Calibri" w:cs="Calibri"/>
          <w:lang w:eastAsia="en-NZ"/>
        </w:rPr>
        <w:t>been</w:t>
      </w:r>
      <w:r w:rsidR="00A823C2">
        <w:rPr>
          <w:rFonts w:ascii="Calibri" w:hAnsi="Calibri" w:cs="Calibri"/>
          <w:lang w:eastAsia="en-NZ"/>
        </w:rPr>
        <w:t xml:space="preserve"> –</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still</w:t>
      </w:r>
      <w:r w:rsidR="003D640C">
        <w:rPr>
          <w:rFonts w:ascii="Calibri" w:hAnsi="Calibri" w:cs="Calibri"/>
          <w:lang w:eastAsia="en-NZ"/>
        </w:rPr>
        <w:t xml:space="preserve"> </w:t>
      </w:r>
      <w:r w:rsidRPr="00BB6220">
        <w:rPr>
          <w:rFonts w:ascii="Calibri" w:hAnsi="Calibri" w:cs="Calibri"/>
          <w:lang w:eastAsia="en-NZ"/>
        </w:rPr>
        <w:t>are</w:t>
      </w:r>
      <w:r w:rsidR="00A823C2">
        <w:rPr>
          <w:rFonts w:ascii="Calibri" w:hAnsi="Calibri" w:cs="Calibri"/>
          <w:lang w:eastAsia="en-NZ"/>
        </w:rPr>
        <w:t xml:space="preserve"> –</w:t>
      </w:r>
      <w:r w:rsidR="003D640C">
        <w:rPr>
          <w:rFonts w:ascii="Calibri" w:hAnsi="Calibri" w:cs="Calibri"/>
          <w:lang w:eastAsia="en-NZ"/>
        </w:rPr>
        <w:t xml:space="preserve"> </w:t>
      </w:r>
      <w:r w:rsidRPr="00BB6220">
        <w:rPr>
          <w:rFonts w:ascii="Calibri" w:hAnsi="Calibri" w:cs="Calibri"/>
          <w:lang w:eastAsia="en-NZ"/>
        </w:rPr>
        <w:t>oppressed.</w:t>
      </w:r>
    </w:p>
    <w:p w14:paraId="4FDF890E" w14:textId="25C49053" w:rsidR="00501068" w:rsidRDefault="00C044A8" w:rsidP="009B737E">
      <w:pPr>
        <w:pStyle w:val="ListParagraph"/>
        <w:numPr>
          <w:ilvl w:val="0"/>
          <w:numId w:val="117"/>
        </w:numPr>
      </w:pPr>
      <w:r w:rsidRPr="0001074C">
        <w:rPr>
          <w:rFonts w:ascii="Calibri" w:hAnsi="Calibri" w:cs="Calibri"/>
          <w:b/>
          <w:bCs/>
          <w:lang w:eastAsia="en-NZ"/>
        </w:rPr>
        <w:t>Engage</w:t>
      </w:r>
      <w:r w:rsidR="003D640C">
        <w:rPr>
          <w:rFonts w:ascii="Calibri" w:hAnsi="Calibri" w:cs="Calibri"/>
          <w:b/>
          <w:bCs/>
          <w:lang w:eastAsia="en-NZ"/>
        </w:rPr>
        <w:t xml:space="preserve"> </w:t>
      </w:r>
      <w:r w:rsidRPr="0001074C">
        <w:rPr>
          <w:rFonts w:ascii="Calibri" w:hAnsi="Calibri" w:cs="Calibri"/>
          <w:b/>
          <w:bCs/>
          <w:lang w:eastAsia="en-NZ"/>
        </w:rPr>
        <w:t>with</w:t>
      </w:r>
      <w:r w:rsidR="003D640C">
        <w:rPr>
          <w:rFonts w:ascii="Calibri" w:hAnsi="Calibri" w:cs="Calibri"/>
          <w:b/>
          <w:bCs/>
          <w:lang w:eastAsia="en-NZ"/>
        </w:rPr>
        <w:t xml:space="preserve"> </w:t>
      </w:r>
      <w:r w:rsidRPr="0001074C">
        <w:rPr>
          <w:rFonts w:ascii="Calibri" w:hAnsi="Calibri" w:cs="Calibri"/>
          <w:b/>
          <w:bCs/>
          <w:lang w:eastAsia="en-NZ"/>
        </w:rPr>
        <w:t>resources</w:t>
      </w:r>
      <w:r w:rsidR="003D640C">
        <w:rPr>
          <w:rFonts w:ascii="Calibri" w:hAnsi="Calibri" w:cs="Calibri"/>
          <w:b/>
          <w:bCs/>
          <w:lang w:eastAsia="en-NZ"/>
        </w:rPr>
        <w:t xml:space="preserve"> </w:t>
      </w:r>
      <w:r w:rsidRPr="0001074C">
        <w:rPr>
          <w:rFonts w:ascii="Calibri" w:hAnsi="Calibri" w:cs="Calibri"/>
          <w:b/>
          <w:bCs/>
          <w:lang w:eastAsia="en-NZ"/>
        </w:rPr>
        <w:t>about</w:t>
      </w:r>
      <w:r w:rsidR="003D640C">
        <w:rPr>
          <w:rFonts w:ascii="Calibri" w:hAnsi="Calibri" w:cs="Calibri"/>
          <w:b/>
          <w:bCs/>
          <w:lang w:eastAsia="en-NZ"/>
        </w:rPr>
        <w:t xml:space="preserve"> </w:t>
      </w:r>
      <w:r w:rsidRPr="0001074C">
        <w:rPr>
          <w:rFonts w:ascii="Calibri" w:hAnsi="Calibri" w:cs="Calibri"/>
          <w:b/>
          <w:bCs/>
          <w:lang w:eastAsia="en-NZ"/>
        </w:rPr>
        <w:t>conversion</w:t>
      </w:r>
      <w:r w:rsidR="003D640C">
        <w:rPr>
          <w:rFonts w:ascii="Calibri" w:hAnsi="Calibri" w:cs="Calibri"/>
          <w:b/>
          <w:bCs/>
          <w:lang w:eastAsia="en-NZ"/>
        </w:rPr>
        <w:t xml:space="preserve"> </w:t>
      </w:r>
      <w:r w:rsidRPr="0001074C">
        <w:rPr>
          <w:rFonts w:ascii="Calibri" w:hAnsi="Calibri" w:cs="Calibri"/>
          <w:b/>
          <w:bCs/>
          <w:lang w:eastAsia="en-NZ"/>
        </w:rPr>
        <w:t>practices</w:t>
      </w:r>
      <w:r w:rsidR="003D640C">
        <w:rPr>
          <w:rFonts w:ascii="Calibri" w:hAnsi="Calibri" w:cs="Calibri"/>
          <w:b/>
          <w:bCs/>
          <w:lang w:eastAsia="en-NZ"/>
        </w:rPr>
        <w:t xml:space="preserve"> </w:t>
      </w:r>
      <w:r w:rsidRPr="00BF0C39">
        <w:rPr>
          <w:rFonts w:ascii="Calibri" w:hAnsi="Calibri" w:cs="Calibri"/>
          <w:b/>
          <w:bCs/>
          <w:lang w:eastAsia="en-NZ"/>
        </w:rPr>
        <w:t>that</w:t>
      </w:r>
      <w:r w:rsidR="003D640C">
        <w:rPr>
          <w:rFonts w:ascii="Calibri" w:hAnsi="Calibri" w:cs="Calibri"/>
          <w:b/>
          <w:bCs/>
          <w:lang w:eastAsia="en-NZ"/>
        </w:rPr>
        <w:t xml:space="preserve"> </w:t>
      </w:r>
      <w:r w:rsidRPr="00BF0C39">
        <w:rPr>
          <w:rFonts w:ascii="Calibri" w:hAnsi="Calibri" w:cs="Calibri"/>
          <w:b/>
          <w:bCs/>
          <w:lang w:eastAsia="en-NZ"/>
        </w:rPr>
        <w:t>have</w:t>
      </w:r>
      <w:r w:rsidR="003D640C">
        <w:rPr>
          <w:rFonts w:ascii="Calibri" w:hAnsi="Calibri" w:cs="Calibri"/>
          <w:b/>
          <w:bCs/>
          <w:lang w:eastAsia="en-NZ"/>
        </w:rPr>
        <w:t xml:space="preserve"> </w:t>
      </w:r>
      <w:r w:rsidRPr="00BF0C39">
        <w:rPr>
          <w:rFonts w:ascii="Calibri" w:hAnsi="Calibri" w:cs="Calibri"/>
          <w:b/>
          <w:bCs/>
          <w:lang w:eastAsia="en-NZ"/>
        </w:rPr>
        <w:t>been</w:t>
      </w:r>
      <w:r w:rsidR="003D640C">
        <w:rPr>
          <w:rFonts w:ascii="Calibri" w:hAnsi="Calibri" w:cs="Calibri"/>
          <w:b/>
          <w:bCs/>
          <w:lang w:eastAsia="en-NZ"/>
        </w:rPr>
        <w:t xml:space="preserve"> </w:t>
      </w:r>
      <w:r w:rsidRPr="00BF0C39">
        <w:rPr>
          <w:rFonts w:ascii="Calibri" w:hAnsi="Calibri" w:cs="Calibri"/>
          <w:b/>
          <w:bCs/>
          <w:lang w:eastAsia="en-NZ"/>
        </w:rPr>
        <w:t>tailored</w:t>
      </w:r>
      <w:r w:rsidR="003D640C">
        <w:rPr>
          <w:rFonts w:ascii="Calibri" w:hAnsi="Calibri" w:cs="Calibri"/>
          <w:b/>
          <w:bCs/>
          <w:lang w:eastAsia="en-NZ"/>
        </w:rPr>
        <w:t xml:space="preserve"> </w:t>
      </w:r>
      <w:r w:rsidRPr="00BF0C39">
        <w:rPr>
          <w:rFonts w:ascii="Calibri" w:hAnsi="Calibri" w:cs="Calibri"/>
          <w:b/>
          <w:bCs/>
          <w:lang w:eastAsia="en-NZ"/>
        </w:rPr>
        <w:t>to</w:t>
      </w:r>
      <w:r w:rsidR="003D640C">
        <w:rPr>
          <w:rFonts w:ascii="Calibri" w:hAnsi="Calibri" w:cs="Calibri"/>
          <w:b/>
          <w:bCs/>
          <w:lang w:eastAsia="en-NZ"/>
        </w:rPr>
        <w:t xml:space="preserve"> </w:t>
      </w:r>
      <w:r w:rsidRPr="00BF0C39">
        <w:rPr>
          <w:rFonts w:ascii="Calibri" w:hAnsi="Calibri" w:cs="Calibri"/>
          <w:b/>
          <w:bCs/>
          <w:lang w:eastAsia="en-NZ"/>
        </w:rPr>
        <w:t>religious</w:t>
      </w:r>
      <w:r w:rsidR="003D640C">
        <w:rPr>
          <w:rFonts w:ascii="Calibri" w:hAnsi="Calibri" w:cs="Calibri"/>
          <w:lang w:eastAsia="en-NZ"/>
        </w:rPr>
        <w:t xml:space="preserve"> </w:t>
      </w:r>
      <w:r w:rsidRPr="00BF0C39">
        <w:rPr>
          <w:rFonts w:ascii="Calibri" w:hAnsi="Calibri" w:cs="Calibri"/>
          <w:b/>
          <w:bCs/>
          <w:lang w:eastAsia="en-NZ"/>
        </w:rPr>
        <w:t>communities</w:t>
      </w:r>
      <w:r w:rsidR="00A823C2">
        <w:rPr>
          <w:rFonts w:ascii="Calibri" w:hAnsi="Calibri" w:cs="Calibri"/>
          <w:b/>
          <w:bCs/>
          <w:lang w:eastAsia="en-NZ"/>
        </w:rPr>
        <w:br/>
      </w:r>
      <w:r w:rsidR="00A823C2">
        <w:rPr>
          <w:rFonts w:ascii="Calibri" w:hAnsi="Calibri" w:cs="Calibri"/>
          <w:lang w:eastAsia="en-NZ"/>
        </w:rPr>
        <w:t xml:space="preserve">This should include </w:t>
      </w:r>
      <w:r w:rsidRPr="0001074C">
        <w:rPr>
          <w:rFonts w:ascii="Calibri" w:hAnsi="Calibri" w:cs="Calibri"/>
          <w:lang w:eastAsia="en-NZ"/>
        </w:rPr>
        <w:t>resources</w:t>
      </w:r>
      <w:r w:rsidR="003D640C">
        <w:rPr>
          <w:rFonts w:ascii="Calibri" w:hAnsi="Calibri" w:cs="Calibri"/>
          <w:lang w:eastAsia="en-NZ"/>
        </w:rPr>
        <w:t xml:space="preserve"> </w:t>
      </w:r>
      <w:r w:rsidRPr="0001074C">
        <w:rPr>
          <w:rFonts w:ascii="Calibri" w:hAnsi="Calibri" w:cs="Calibri"/>
          <w:lang w:eastAsia="en-NZ"/>
        </w:rPr>
        <w:t>that</w:t>
      </w:r>
      <w:r w:rsidR="003D640C">
        <w:rPr>
          <w:rFonts w:ascii="Calibri" w:hAnsi="Calibri" w:cs="Calibri"/>
          <w:lang w:eastAsia="en-NZ"/>
        </w:rPr>
        <w:t xml:space="preserve"> </w:t>
      </w:r>
      <w:r w:rsidRPr="0001074C">
        <w:rPr>
          <w:rFonts w:ascii="Calibri" w:hAnsi="Calibri" w:cs="Calibri"/>
          <w:lang w:eastAsia="en-NZ"/>
        </w:rPr>
        <w:t>support</w:t>
      </w:r>
      <w:r w:rsidR="003D640C">
        <w:rPr>
          <w:rFonts w:ascii="Calibri" w:hAnsi="Calibri" w:cs="Calibri"/>
          <w:lang w:eastAsia="en-NZ"/>
        </w:rPr>
        <w:t xml:space="preserve"> </w:t>
      </w:r>
      <w:r w:rsidRPr="0001074C">
        <w:rPr>
          <w:rFonts w:ascii="Calibri" w:hAnsi="Calibri" w:cs="Calibri"/>
          <w:lang w:eastAsia="en-NZ"/>
        </w:rPr>
        <w:t>religious</w:t>
      </w:r>
      <w:r w:rsidR="003D640C">
        <w:rPr>
          <w:rFonts w:ascii="Calibri" w:hAnsi="Calibri" w:cs="Calibri"/>
          <w:lang w:eastAsia="en-NZ"/>
        </w:rPr>
        <w:t xml:space="preserve"> </w:t>
      </w:r>
      <w:r w:rsidRPr="0001074C">
        <w:rPr>
          <w:rFonts w:ascii="Calibri" w:hAnsi="Calibri" w:cs="Calibri"/>
          <w:lang w:eastAsia="en-NZ"/>
        </w:rPr>
        <w:t>communities</w:t>
      </w:r>
      <w:r w:rsidR="003D640C">
        <w:rPr>
          <w:rFonts w:ascii="Calibri" w:hAnsi="Calibri" w:cs="Calibri"/>
          <w:lang w:eastAsia="en-NZ"/>
        </w:rPr>
        <w:t xml:space="preserve"> </w:t>
      </w:r>
      <w:r w:rsidRPr="0001074C">
        <w:rPr>
          <w:rFonts w:ascii="Calibri" w:hAnsi="Calibri" w:cs="Calibri"/>
          <w:lang w:eastAsia="en-NZ"/>
        </w:rPr>
        <w:t>in</w:t>
      </w:r>
      <w:r w:rsidR="003D640C">
        <w:rPr>
          <w:rFonts w:ascii="Calibri" w:hAnsi="Calibri" w:cs="Calibri"/>
          <w:lang w:eastAsia="en-NZ"/>
        </w:rPr>
        <w:t xml:space="preserve"> </w:t>
      </w:r>
      <w:r w:rsidRPr="0001074C">
        <w:rPr>
          <w:rFonts w:ascii="Calibri" w:hAnsi="Calibri" w:cs="Calibri"/>
          <w:lang w:eastAsia="en-NZ"/>
        </w:rPr>
        <w:t>becoming</w:t>
      </w:r>
      <w:r w:rsidR="003D640C">
        <w:rPr>
          <w:rFonts w:ascii="Calibri" w:hAnsi="Calibri" w:cs="Calibri"/>
          <w:lang w:eastAsia="en-NZ"/>
        </w:rPr>
        <w:t xml:space="preserve"> </w:t>
      </w:r>
      <w:r w:rsidRPr="0001074C">
        <w:rPr>
          <w:rFonts w:ascii="Calibri" w:hAnsi="Calibri" w:cs="Calibri"/>
          <w:lang w:eastAsia="en-NZ"/>
        </w:rPr>
        <w:t>inclusive</w:t>
      </w:r>
      <w:r w:rsidR="003D640C">
        <w:rPr>
          <w:rFonts w:ascii="Calibri" w:hAnsi="Calibri" w:cs="Calibri"/>
          <w:lang w:eastAsia="en-NZ"/>
        </w:rPr>
        <w:t xml:space="preserve"> </w:t>
      </w:r>
      <w:r w:rsidRPr="0001074C">
        <w:rPr>
          <w:rFonts w:ascii="Calibri" w:hAnsi="Calibri" w:cs="Calibri"/>
          <w:lang w:eastAsia="en-NZ"/>
        </w:rPr>
        <w:t>of</w:t>
      </w:r>
      <w:r w:rsidR="003D640C">
        <w:rPr>
          <w:rFonts w:ascii="Calibri" w:hAnsi="Calibri" w:cs="Calibri"/>
          <w:lang w:eastAsia="en-NZ"/>
        </w:rPr>
        <w:t xml:space="preserve"> </w:t>
      </w:r>
      <w:r w:rsidR="00083EAE" w:rsidRPr="0001074C">
        <w:rPr>
          <w:rFonts w:ascii="Calibri" w:hAnsi="Calibri" w:cs="Calibri"/>
          <w:lang w:eastAsia="en-NZ"/>
        </w:rPr>
        <w:t>Rainbow</w:t>
      </w:r>
      <w:r w:rsidR="003D640C">
        <w:rPr>
          <w:rFonts w:ascii="Calibri" w:hAnsi="Calibri" w:cs="Calibri"/>
          <w:lang w:eastAsia="en-NZ"/>
        </w:rPr>
        <w:t xml:space="preserve"> </w:t>
      </w:r>
      <w:r w:rsidRPr="0001074C">
        <w:rPr>
          <w:rFonts w:ascii="Calibri" w:hAnsi="Calibri" w:cs="Calibri"/>
          <w:lang w:eastAsia="en-NZ"/>
        </w:rPr>
        <w:t>people.</w:t>
      </w:r>
      <w:bookmarkStart w:id="465" w:name="_Toc138325213"/>
      <w:bookmarkStart w:id="466" w:name="_Toc138343870"/>
    </w:p>
    <w:p w14:paraId="58373325" w14:textId="77777777" w:rsidR="00501068" w:rsidRDefault="00C044A8" w:rsidP="0097273A">
      <w:pPr>
        <w:pStyle w:val="Heading2"/>
      </w:pPr>
      <w:bookmarkStart w:id="467" w:name="_Toc167780658"/>
      <w:bookmarkStart w:id="468" w:name="_Toc1381288003"/>
      <w:bookmarkStart w:id="469" w:name="_Toc174628720"/>
      <w:r w:rsidRPr="00BB6220">
        <w:t>To</w:t>
      </w:r>
      <w:r w:rsidR="003D640C">
        <w:t xml:space="preserve"> </w:t>
      </w:r>
      <w:r w:rsidRPr="00BB6220">
        <w:t>mental</w:t>
      </w:r>
      <w:r w:rsidR="003D640C">
        <w:t xml:space="preserve"> </w:t>
      </w:r>
      <w:r w:rsidRPr="00BB6220">
        <w:t>health</w:t>
      </w:r>
      <w:r w:rsidR="003D640C">
        <w:t xml:space="preserve"> </w:t>
      </w:r>
      <w:r w:rsidRPr="00BB6220">
        <w:t>and</w:t>
      </w:r>
      <w:r w:rsidR="003D640C">
        <w:t xml:space="preserve"> </w:t>
      </w:r>
      <w:r w:rsidRPr="00BB6220">
        <w:t>medical</w:t>
      </w:r>
      <w:r w:rsidR="003D640C">
        <w:t xml:space="preserve"> </w:t>
      </w:r>
      <w:r w:rsidRPr="00BB6220">
        <w:t>healthcare</w:t>
      </w:r>
      <w:r w:rsidR="003D640C">
        <w:t xml:space="preserve"> </w:t>
      </w:r>
      <w:r w:rsidRPr="00BB6220">
        <w:t>practitioners</w:t>
      </w:r>
      <w:bookmarkEnd w:id="465"/>
      <w:bookmarkEnd w:id="466"/>
      <w:bookmarkEnd w:id="467"/>
      <w:bookmarkEnd w:id="468"/>
      <w:bookmarkEnd w:id="469"/>
      <w:r w:rsidR="003D640C">
        <w:t xml:space="preserve"> </w:t>
      </w:r>
    </w:p>
    <w:p w14:paraId="3FBC158F" w14:textId="344BC0E8" w:rsidR="00501068" w:rsidRDefault="00C044A8" w:rsidP="009B737E">
      <w:pPr>
        <w:pStyle w:val="ListParagraph"/>
        <w:numPr>
          <w:ilvl w:val="0"/>
          <w:numId w:val="117"/>
        </w:numPr>
        <w:rPr>
          <w:rFonts w:ascii="Calibri" w:hAnsi="Calibri" w:cs="Calibri"/>
          <w:lang w:eastAsia="en-NZ"/>
        </w:rPr>
      </w:pPr>
      <w:bookmarkStart w:id="470" w:name="_Hlk149623111"/>
      <w:r w:rsidRPr="00BB6220">
        <w:rPr>
          <w:rFonts w:ascii="Calibri" w:hAnsi="Calibri" w:cs="Calibri"/>
          <w:b/>
          <w:bCs/>
          <w:lang w:eastAsia="en-NZ"/>
        </w:rPr>
        <w:t>Develop</w:t>
      </w:r>
      <w:r w:rsidR="003D640C">
        <w:rPr>
          <w:rFonts w:ascii="Calibri" w:hAnsi="Calibri" w:cs="Calibri"/>
          <w:b/>
          <w:bCs/>
          <w:lang w:eastAsia="en-NZ"/>
        </w:rPr>
        <w:t xml:space="preserve"> </w:t>
      </w:r>
      <w:r w:rsidRPr="00BB6220">
        <w:rPr>
          <w:rFonts w:ascii="Calibri" w:hAnsi="Calibri" w:cs="Calibri"/>
          <w:b/>
          <w:bCs/>
          <w:lang w:eastAsia="en-NZ"/>
        </w:rPr>
        <w:t>professional</w:t>
      </w:r>
      <w:r w:rsidR="003D640C">
        <w:rPr>
          <w:rFonts w:ascii="Calibri" w:hAnsi="Calibri" w:cs="Calibri"/>
          <w:b/>
          <w:bCs/>
          <w:lang w:eastAsia="en-NZ"/>
        </w:rPr>
        <w:t xml:space="preserve"> </w:t>
      </w:r>
      <w:r w:rsidRPr="00BB6220">
        <w:rPr>
          <w:rFonts w:ascii="Calibri" w:hAnsi="Calibri" w:cs="Calibri"/>
          <w:b/>
          <w:bCs/>
          <w:lang w:eastAsia="en-NZ"/>
        </w:rPr>
        <w:t>guidelines</w:t>
      </w:r>
      <w:r w:rsidR="00A823C2">
        <w:rPr>
          <w:rFonts w:ascii="Calibri" w:hAnsi="Calibri" w:cs="Calibri"/>
          <w:lang w:eastAsia="en-NZ"/>
        </w:rPr>
        <w:br/>
      </w:r>
      <w:r w:rsidR="00185C2E">
        <w:rPr>
          <w:rFonts w:ascii="Calibri" w:hAnsi="Calibri" w:cs="Calibri"/>
          <w:lang w:eastAsia="en-NZ"/>
        </w:rPr>
        <w:t>Develop</w:t>
      </w:r>
      <w:r w:rsidR="003D640C">
        <w:rPr>
          <w:rFonts w:ascii="Calibri" w:hAnsi="Calibri" w:cs="Calibri"/>
          <w:lang w:eastAsia="en-NZ"/>
        </w:rPr>
        <w:t xml:space="preserve"> </w:t>
      </w:r>
      <w:r w:rsidR="00185C2E">
        <w:rPr>
          <w:rFonts w:ascii="Calibri" w:hAnsi="Calibri" w:cs="Calibri"/>
          <w:lang w:eastAsia="en-NZ"/>
        </w:rPr>
        <w:t>c</w:t>
      </w:r>
      <w:r w:rsidRPr="00BB6220">
        <w:rPr>
          <w:rFonts w:ascii="Calibri" w:hAnsi="Calibri" w:cs="Calibri"/>
          <w:lang w:eastAsia="en-NZ"/>
        </w:rPr>
        <w:t>lear</w:t>
      </w:r>
      <w:r w:rsidR="003D640C">
        <w:rPr>
          <w:rFonts w:ascii="Calibri" w:hAnsi="Calibri" w:cs="Calibri"/>
          <w:lang w:eastAsia="en-NZ"/>
        </w:rPr>
        <w:t xml:space="preserve"> </w:t>
      </w:r>
      <w:r w:rsidRPr="00BB6220">
        <w:rPr>
          <w:rFonts w:ascii="Calibri" w:hAnsi="Calibri" w:cs="Calibri"/>
          <w:lang w:eastAsia="en-NZ"/>
        </w:rPr>
        <w:t>guidelines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ethical</w:t>
      </w:r>
      <w:r w:rsidR="003D640C">
        <w:rPr>
          <w:rFonts w:ascii="Calibri" w:hAnsi="Calibri" w:cs="Calibri"/>
          <w:lang w:eastAsia="en-NZ"/>
        </w:rPr>
        <w:t xml:space="preserve"> </w:t>
      </w:r>
      <w:r w:rsidRPr="00BB6220">
        <w:rPr>
          <w:rFonts w:ascii="Calibri" w:hAnsi="Calibri" w:cs="Calibri"/>
          <w:lang w:eastAsia="en-NZ"/>
        </w:rPr>
        <w:t>standards</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explicitly</w:t>
      </w:r>
      <w:r w:rsidR="003D640C">
        <w:rPr>
          <w:rFonts w:ascii="Calibri" w:hAnsi="Calibri" w:cs="Calibri"/>
          <w:lang w:eastAsia="en-NZ"/>
        </w:rPr>
        <w:t xml:space="preserve"> </w:t>
      </w:r>
      <w:r w:rsidRPr="00BB6220">
        <w:rPr>
          <w:rFonts w:ascii="Calibri" w:hAnsi="Calibri" w:cs="Calibri"/>
          <w:lang w:eastAsia="en-NZ"/>
        </w:rPr>
        <w:t>denounce</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outline</w:t>
      </w:r>
      <w:r w:rsidR="003D640C">
        <w:rPr>
          <w:rFonts w:ascii="Calibri" w:hAnsi="Calibri" w:cs="Calibri"/>
          <w:lang w:eastAsia="en-NZ"/>
        </w:rPr>
        <w:t xml:space="preserve"> </w:t>
      </w:r>
      <w:r w:rsidRPr="00BB6220">
        <w:rPr>
          <w:rFonts w:ascii="Calibri" w:hAnsi="Calibri" w:cs="Calibri"/>
          <w:lang w:eastAsia="en-NZ"/>
        </w:rPr>
        <w:t>processes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protect</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00211E9F" w:rsidRPr="00BB6220">
        <w:rPr>
          <w:rFonts w:ascii="Calibri" w:hAnsi="Calibri" w:cs="Calibri"/>
          <w:lang w:eastAsia="en-NZ"/>
        </w:rPr>
        <w:t>when</w:t>
      </w:r>
      <w:r w:rsidR="003D640C">
        <w:rPr>
          <w:rFonts w:ascii="Calibri" w:hAnsi="Calibri" w:cs="Calibri"/>
          <w:lang w:eastAsia="en-NZ"/>
        </w:rPr>
        <w:t xml:space="preserve"> </w:t>
      </w:r>
      <w:r w:rsidR="00211E9F" w:rsidRPr="00BB6220">
        <w:rPr>
          <w:rFonts w:ascii="Calibri" w:hAnsi="Calibri" w:cs="Calibri"/>
          <w:lang w:eastAsia="en-NZ"/>
        </w:rPr>
        <w:t>they</w:t>
      </w:r>
      <w:r w:rsidR="003D640C">
        <w:rPr>
          <w:rFonts w:ascii="Calibri" w:hAnsi="Calibri" w:cs="Calibri"/>
          <w:lang w:eastAsia="en-NZ"/>
        </w:rPr>
        <w:t xml:space="preserve"> </w:t>
      </w:r>
      <w:r w:rsidR="00211E9F" w:rsidRPr="00BB6220">
        <w:rPr>
          <w:rFonts w:ascii="Calibri" w:hAnsi="Calibri" w:cs="Calibri"/>
          <w:lang w:eastAsia="en-NZ"/>
        </w:rPr>
        <w:t>disclose</w:t>
      </w:r>
      <w:r w:rsidR="003D640C">
        <w:rPr>
          <w:rFonts w:ascii="Calibri" w:hAnsi="Calibri" w:cs="Calibri"/>
          <w:lang w:eastAsia="en-NZ"/>
        </w:rPr>
        <w:t xml:space="preserve"> </w:t>
      </w:r>
      <w:r w:rsidR="00766E7A">
        <w:rPr>
          <w:rFonts w:ascii="Calibri" w:hAnsi="Calibri" w:cs="Calibri"/>
          <w:lang w:eastAsia="en-NZ"/>
        </w:rPr>
        <w:t>that</w:t>
      </w:r>
      <w:r w:rsidR="003D640C">
        <w:rPr>
          <w:rFonts w:ascii="Calibri" w:hAnsi="Calibri" w:cs="Calibri"/>
          <w:lang w:eastAsia="en-NZ"/>
        </w:rPr>
        <w:t xml:space="preserve"> </w:t>
      </w:r>
      <w:r w:rsidR="00211E9F" w:rsidRPr="00BB6220">
        <w:rPr>
          <w:rFonts w:ascii="Calibri" w:hAnsi="Calibri" w:cs="Calibri"/>
          <w:lang w:eastAsia="en-NZ"/>
        </w:rPr>
        <w:t>they</w:t>
      </w:r>
      <w:r w:rsidR="003D640C">
        <w:rPr>
          <w:rFonts w:ascii="Calibri" w:hAnsi="Calibri" w:cs="Calibri"/>
          <w:lang w:eastAsia="en-NZ"/>
        </w:rPr>
        <w:t xml:space="preserve"> </w:t>
      </w:r>
      <w:r w:rsidR="00211E9F" w:rsidRPr="00BB6220">
        <w:rPr>
          <w:rFonts w:ascii="Calibri" w:hAnsi="Calibri" w:cs="Calibri"/>
          <w:lang w:eastAsia="en-NZ"/>
        </w:rPr>
        <w:t>have</w:t>
      </w:r>
      <w:r w:rsidR="003D640C">
        <w:rPr>
          <w:rFonts w:ascii="Calibri" w:hAnsi="Calibri" w:cs="Calibri"/>
          <w:lang w:eastAsia="en-NZ"/>
        </w:rPr>
        <w:t xml:space="preserve"> </w:t>
      </w:r>
      <w:r w:rsidR="00211E9F" w:rsidRPr="00BB6220">
        <w:rPr>
          <w:rFonts w:ascii="Calibri" w:hAnsi="Calibri" w:cs="Calibri"/>
          <w:lang w:eastAsia="en-NZ"/>
        </w:rPr>
        <w:t>been</w:t>
      </w:r>
      <w:r w:rsidR="003D640C">
        <w:rPr>
          <w:rFonts w:ascii="Calibri" w:hAnsi="Calibri" w:cs="Calibri"/>
          <w:lang w:eastAsia="en-NZ"/>
        </w:rPr>
        <w:t xml:space="preserve"> </w:t>
      </w:r>
      <w:r w:rsidR="00211E9F" w:rsidRPr="00BB6220">
        <w:rPr>
          <w:rFonts w:ascii="Calibri" w:hAnsi="Calibri" w:cs="Calibri"/>
          <w:lang w:eastAsia="en-NZ"/>
        </w:rPr>
        <w:t>through</w:t>
      </w:r>
      <w:r w:rsidR="003D640C">
        <w:rPr>
          <w:rFonts w:ascii="Calibri" w:hAnsi="Calibri" w:cs="Calibri"/>
          <w:lang w:eastAsia="en-NZ"/>
        </w:rPr>
        <w:t xml:space="preserve"> </w:t>
      </w:r>
      <w:r w:rsidR="00211E9F" w:rsidRPr="00BB6220">
        <w:rPr>
          <w:rFonts w:ascii="Calibri" w:hAnsi="Calibri" w:cs="Calibri"/>
          <w:lang w:eastAsia="en-NZ"/>
        </w:rPr>
        <w:t>conversion</w:t>
      </w:r>
      <w:r w:rsidR="003D640C">
        <w:rPr>
          <w:rFonts w:ascii="Calibri" w:hAnsi="Calibri" w:cs="Calibri"/>
          <w:lang w:eastAsia="en-NZ"/>
        </w:rPr>
        <w:t xml:space="preserve"> </w:t>
      </w:r>
      <w:r w:rsidR="00211E9F" w:rsidRPr="00BB6220">
        <w:rPr>
          <w:rFonts w:ascii="Calibri" w:hAnsi="Calibri" w:cs="Calibri"/>
          <w:lang w:eastAsia="en-NZ"/>
        </w:rPr>
        <w:t>practices</w:t>
      </w:r>
      <w:r w:rsidRPr="00BB6220">
        <w:rPr>
          <w:rFonts w:ascii="Calibri" w:hAnsi="Calibri" w:cs="Calibri"/>
          <w:lang w:eastAsia="en-NZ"/>
        </w:rPr>
        <w:t>.</w:t>
      </w:r>
    </w:p>
    <w:p w14:paraId="1B961EBE" w14:textId="39F9CE0C" w:rsidR="00501068" w:rsidRDefault="00C044A8" w:rsidP="009B737E">
      <w:pPr>
        <w:pStyle w:val="ListParagraph"/>
        <w:numPr>
          <w:ilvl w:val="0"/>
          <w:numId w:val="117"/>
        </w:numPr>
        <w:rPr>
          <w:rFonts w:ascii="Calibri" w:hAnsi="Calibri" w:cs="Calibri"/>
          <w:b/>
          <w:bCs/>
          <w:lang w:eastAsia="en-NZ"/>
        </w:rPr>
      </w:pPr>
      <w:r w:rsidRPr="00BB6220">
        <w:rPr>
          <w:rFonts w:ascii="Calibri" w:hAnsi="Calibri" w:cs="Calibri"/>
          <w:b/>
          <w:bCs/>
          <w:lang w:eastAsia="en-NZ"/>
        </w:rPr>
        <w:t>Prioritise</w:t>
      </w:r>
      <w:r w:rsidR="003D640C">
        <w:rPr>
          <w:rFonts w:ascii="Calibri" w:hAnsi="Calibri" w:cs="Calibri"/>
          <w:b/>
          <w:bCs/>
          <w:lang w:eastAsia="en-NZ"/>
        </w:rPr>
        <w:t xml:space="preserve"> </w:t>
      </w:r>
      <w:r w:rsidRPr="00BB6220">
        <w:rPr>
          <w:rFonts w:ascii="Calibri" w:hAnsi="Calibri" w:cs="Calibri"/>
          <w:b/>
          <w:bCs/>
          <w:lang w:eastAsia="en-NZ"/>
        </w:rPr>
        <w:t>tailored</w:t>
      </w:r>
      <w:r w:rsidR="003D640C">
        <w:rPr>
          <w:rFonts w:ascii="Calibri" w:hAnsi="Calibri" w:cs="Calibri"/>
          <w:b/>
          <w:bCs/>
          <w:lang w:eastAsia="en-NZ"/>
        </w:rPr>
        <w:t xml:space="preserve"> </w:t>
      </w:r>
      <w:r w:rsidRPr="00BB6220">
        <w:rPr>
          <w:rFonts w:ascii="Calibri" w:hAnsi="Calibri" w:cs="Calibri"/>
          <w:b/>
          <w:bCs/>
          <w:lang w:eastAsia="en-NZ"/>
        </w:rPr>
        <w:t>training</w:t>
      </w:r>
      <w:r w:rsidR="00A823C2">
        <w:rPr>
          <w:rFonts w:ascii="Calibri" w:hAnsi="Calibri" w:cs="Calibri"/>
          <w:b/>
          <w:bCs/>
          <w:lang w:eastAsia="en-NZ"/>
        </w:rPr>
        <w:br/>
      </w:r>
      <w:r w:rsidR="00A823C2">
        <w:rPr>
          <w:rFonts w:ascii="Calibri" w:hAnsi="Calibri" w:cs="Calibri"/>
          <w:lang w:eastAsia="en-NZ"/>
        </w:rPr>
        <w:t xml:space="preserve">This should encompass </w:t>
      </w:r>
      <w:r w:rsidR="00083EAE" w:rsidRPr="00BB6220">
        <w:rPr>
          <w:rFonts w:ascii="Calibri" w:hAnsi="Calibri" w:cs="Calibri"/>
          <w:lang w:eastAsia="en-NZ"/>
        </w:rPr>
        <w:t>Rainbow</w:t>
      </w:r>
      <w:r w:rsidR="00A823C2">
        <w:rPr>
          <w:rFonts w:ascii="Calibri" w:hAnsi="Calibri" w:cs="Calibri"/>
          <w:lang w:eastAsia="en-NZ"/>
        </w:rPr>
        <w:t>-</w:t>
      </w:r>
      <w:r w:rsidRPr="00BB6220">
        <w:rPr>
          <w:rFonts w:ascii="Calibri" w:hAnsi="Calibri" w:cs="Calibri"/>
          <w:lang w:eastAsia="en-NZ"/>
        </w:rPr>
        <w:t>affirmative</w:t>
      </w:r>
      <w:r w:rsidR="003D640C">
        <w:rPr>
          <w:rFonts w:ascii="Calibri" w:hAnsi="Calibri" w:cs="Calibri"/>
          <w:lang w:eastAsia="en-NZ"/>
        </w:rPr>
        <w:t xml:space="preserve"> </w:t>
      </w:r>
      <w:r w:rsidRPr="00BB6220">
        <w:rPr>
          <w:rFonts w:ascii="Calibri" w:hAnsi="Calibri" w:cs="Calibri"/>
          <w:lang w:eastAsia="en-NZ"/>
        </w:rPr>
        <w:t>care,</w:t>
      </w:r>
      <w:r w:rsidR="003D640C">
        <w:rPr>
          <w:rFonts w:ascii="Calibri" w:hAnsi="Calibri" w:cs="Calibri"/>
          <w:lang w:eastAsia="en-NZ"/>
        </w:rPr>
        <w:t xml:space="preserve"> </w:t>
      </w:r>
      <w:r w:rsidRPr="00BB6220">
        <w:rPr>
          <w:rFonts w:ascii="Calibri" w:hAnsi="Calibri" w:cs="Calibri"/>
          <w:lang w:eastAsia="en-NZ"/>
        </w:rPr>
        <w:t>cultural</w:t>
      </w:r>
      <w:r w:rsidR="003D640C">
        <w:rPr>
          <w:rFonts w:ascii="Calibri" w:hAnsi="Calibri" w:cs="Calibri"/>
          <w:lang w:eastAsia="en-NZ"/>
        </w:rPr>
        <w:t xml:space="preserve"> </w:t>
      </w:r>
      <w:r w:rsidRPr="00BB6220">
        <w:rPr>
          <w:rFonts w:ascii="Calibri" w:hAnsi="Calibri" w:cs="Calibri"/>
          <w:lang w:eastAsia="en-NZ"/>
        </w:rPr>
        <w:t>competence,</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understanding</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unique</w:t>
      </w:r>
      <w:r w:rsidR="003D640C">
        <w:rPr>
          <w:rFonts w:ascii="Calibri" w:hAnsi="Calibri" w:cs="Calibri"/>
          <w:lang w:eastAsia="en-NZ"/>
        </w:rPr>
        <w:t xml:space="preserve"> </w:t>
      </w:r>
      <w:r w:rsidRPr="00BB6220">
        <w:rPr>
          <w:rFonts w:ascii="Calibri" w:hAnsi="Calibri" w:cs="Calibri"/>
          <w:lang w:eastAsia="en-NZ"/>
        </w:rPr>
        <w:t>mental</w:t>
      </w:r>
      <w:r w:rsidR="003D640C">
        <w:rPr>
          <w:rFonts w:ascii="Calibri" w:hAnsi="Calibri" w:cs="Calibri"/>
          <w:lang w:eastAsia="en-NZ"/>
        </w:rPr>
        <w:t xml:space="preserve"> </w:t>
      </w:r>
      <w:r w:rsidRPr="00BB6220">
        <w:rPr>
          <w:rFonts w:ascii="Calibri" w:hAnsi="Calibri" w:cs="Calibri"/>
          <w:lang w:eastAsia="en-NZ"/>
        </w:rPr>
        <w:t>health</w:t>
      </w:r>
      <w:r w:rsidR="003D640C">
        <w:rPr>
          <w:rFonts w:ascii="Calibri" w:hAnsi="Calibri" w:cs="Calibri"/>
          <w:lang w:eastAsia="en-NZ"/>
        </w:rPr>
        <w:t xml:space="preserve"> </w:t>
      </w:r>
      <w:r w:rsidRPr="00BB6220">
        <w:rPr>
          <w:rFonts w:ascii="Calibri" w:hAnsi="Calibri" w:cs="Calibri"/>
          <w:lang w:eastAsia="en-NZ"/>
        </w:rPr>
        <w:t>needs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00083EAE" w:rsidRPr="00BB6220">
        <w:rPr>
          <w:rFonts w:ascii="Calibri" w:hAnsi="Calibri" w:cs="Calibri"/>
          <w:lang w:eastAsia="en-NZ"/>
        </w:rPr>
        <w:t>Rainbow</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Pr="00BB6220">
        <w:rPr>
          <w:rFonts w:ascii="Calibri" w:hAnsi="Calibri" w:cs="Calibri"/>
          <w:lang w:eastAsia="en-NZ"/>
        </w:rPr>
        <w:t>particularly</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p>
    <w:p w14:paraId="4E2E407B" w14:textId="6DA73EFF" w:rsidR="00501068" w:rsidRDefault="00C044A8" w:rsidP="009B737E">
      <w:pPr>
        <w:pStyle w:val="ListParagraph"/>
        <w:numPr>
          <w:ilvl w:val="0"/>
          <w:numId w:val="117"/>
        </w:numPr>
      </w:pPr>
      <w:r w:rsidRPr="00BB6220">
        <w:rPr>
          <w:rFonts w:ascii="Calibri" w:hAnsi="Calibri" w:cs="Calibri"/>
          <w:b/>
          <w:bCs/>
          <w:lang w:eastAsia="en-NZ"/>
        </w:rPr>
        <w:t>Advocate</w:t>
      </w:r>
      <w:r w:rsidR="003D640C">
        <w:rPr>
          <w:rFonts w:ascii="Calibri" w:hAnsi="Calibri" w:cs="Calibri"/>
          <w:b/>
          <w:bCs/>
          <w:lang w:eastAsia="en-NZ"/>
        </w:rPr>
        <w:t xml:space="preserve"> </w:t>
      </w:r>
      <w:r w:rsidRPr="00BB6220">
        <w:rPr>
          <w:rFonts w:ascii="Calibri" w:hAnsi="Calibri" w:cs="Calibri"/>
          <w:b/>
          <w:bCs/>
          <w:lang w:eastAsia="en-NZ"/>
        </w:rPr>
        <w:t>for</w:t>
      </w:r>
      <w:r w:rsidR="003D640C">
        <w:rPr>
          <w:rFonts w:ascii="Calibri" w:hAnsi="Calibri" w:cs="Calibri"/>
          <w:b/>
          <w:bCs/>
          <w:lang w:eastAsia="en-NZ"/>
        </w:rPr>
        <w:t xml:space="preserve"> </w:t>
      </w:r>
      <w:r w:rsidRPr="00BB6220">
        <w:rPr>
          <w:rFonts w:ascii="Calibri" w:hAnsi="Calibri" w:cs="Calibri"/>
          <w:b/>
          <w:bCs/>
          <w:lang w:eastAsia="en-NZ"/>
        </w:rPr>
        <w:t>change</w:t>
      </w:r>
      <w:r w:rsidR="003D640C">
        <w:rPr>
          <w:rFonts w:ascii="Calibri" w:hAnsi="Calibri" w:cs="Calibri"/>
          <w:b/>
          <w:bCs/>
          <w:lang w:eastAsia="en-NZ"/>
        </w:rPr>
        <w:t xml:space="preserve"> </w:t>
      </w:r>
      <w:r w:rsidRPr="00BB6220">
        <w:rPr>
          <w:rFonts w:ascii="Calibri" w:hAnsi="Calibri" w:cs="Calibri"/>
          <w:b/>
          <w:bCs/>
          <w:lang w:eastAsia="en-NZ"/>
        </w:rPr>
        <w:t>within</w:t>
      </w:r>
      <w:r w:rsidR="003D640C">
        <w:rPr>
          <w:rFonts w:ascii="Calibri" w:hAnsi="Calibri" w:cs="Calibri"/>
          <w:b/>
          <w:bCs/>
          <w:lang w:eastAsia="en-NZ"/>
        </w:rPr>
        <w:t xml:space="preserve"> </w:t>
      </w:r>
      <w:r w:rsidRPr="00BB6220">
        <w:rPr>
          <w:rFonts w:ascii="Calibri" w:hAnsi="Calibri" w:cs="Calibri"/>
          <w:b/>
          <w:bCs/>
          <w:lang w:eastAsia="en-NZ"/>
        </w:rPr>
        <w:t>your</w:t>
      </w:r>
      <w:r w:rsidR="003D640C">
        <w:rPr>
          <w:rFonts w:ascii="Calibri" w:hAnsi="Calibri" w:cs="Calibri"/>
          <w:b/>
          <w:bCs/>
          <w:lang w:eastAsia="en-NZ"/>
        </w:rPr>
        <w:t xml:space="preserve"> </w:t>
      </w:r>
      <w:r w:rsidRPr="00BB6220">
        <w:rPr>
          <w:rFonts w:ascii="Calibri" w:hAnsi="Calibri" w:cs="Calibri"/>
          <w:b/>
          <w:bCs/>
          <w:lang w:eastAsia="en-NZ"/>
        </w:rPr>
        <w:t>networks</w:t>
      </w:r>
      <w:r w:rsidR="00A823C2">
        <w:rPr>
          <w:rFonts w:ascii="Calibri" w:hAnsi="Calibri" w:cs="Calibri"/>
          <w:b/>
          <w:bCs/>
          <w:lang w:eastAsia="en-NZ"/>
        </w:rPr>
        <w:br/>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have</w:t>
      </w:r>
      <w:r w:rsidR="003D640C">
        <w:rPr>
          <w:rFonts w:ascii="Calibri" w:hAnsi="Calibri" w:cs="Calibri"/>
          <w:lang w:eastAsia="en-NZ"/>
        </w:rPr>
        <w:t xml:space="preserve"> </w:t>
      </w:r>
      <w:r w:rsidRPr="00BB6220">
        <w:rPr>
          <w:rFonts w:ascii="Calibri" w:hAnsi="Calibri" w:cs="Calibri"/>
          <w:lang w:eastAsia="en-NZ"/>
        </w:rPr>
        <w:t>told</w:t>
      </w:r>
      <w:r w:rsidR="003D640C">
        <w:rPr>
          <w:rFonts w:ascii="Calibri" w:hAnsi="Calibri" w:cs="Calibri"/>
          <w:lang w:eastAsia="en-NZ"/>
        </w:rPr>
        <w:t xml:space="preserve"> </w:t>
      </w:r>
      <w:r w:rsidRPr="00BB6220">
        <w:rPr>
          <w:rFonts w:ascii="Calibri" w:hAnsi="Calibri" w:cs="Calibri"/>
          <w:lang w:eastAsia="en-NZ"/>
        </w:rPr>
        <w:t>us</w:t>
      </w:r>
      <w:r w:rsidR="003D640C">
        <w:rPr>
          <w:rFonts w:ascii="Calibri" w:hAnsi="Calibri" w:cs="Calibri"/>
          <w:lang w:eastAsia="en-NZ"/>
        </w:rPr>
        <w:t xml:space="preserve"> </w:t>
      </w:r>
      <w:r w:rsidRPr="00BB6220">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occur</w:t>
      </w:r>
      <w:r w:rsidR="003D640C">
        <w:rPr>
          <w:rFonts w:ascii="Calibri" w:hAnsi="Calibri" w:cs="Calibri"/>
          <w:lang w:eastAsia="en-NZ"/>
        </w:rPr>
        <w:t xml:space="preserve"> </w:t>
      </w:r>
      <w:r w:rsidRPr="00BB6220">
        <w:rPr>
          <w:rFonts w:ascii="Calibri" w:hAnsi="Calibri" w:cs="Calibri"/>
          <w:lang w:eastAsia="en-NZ"/>
        </w:rPr>
        <w:t>in</w:t>
      </w:r>
      <w:r w:rsidR="003D640C">
        <w:rPr>
          <w:rFonts w:ascii="Calibri" w:hAnsi="Calibri" w:cs="Calibri"/>
          <w:lang w:eastAsia="en-NZ"/>
        </w:rPr>
        <w:t xml:space="preserve"> </w:t>
      </w:r>
      <w:r w:rsidRPr="00BB6220">
        <w:rPr>
          <w:rFonts w:ascii="Calibri" w:hAnsi="Calibri" w:cs="Calibri"/>
          <w:lang w:eastAsia="en-NZ"/>
        </w:rPr>
        <w:t>mental</w:t>
      </w:r>
      <w:r w:rsidR="003D640C">
        <w:rPr>
          <w:rFonts w:ascii="Calibri" w:hAnsi="Calibri" w:cs="Calibri"/>
          <w:lang w:eastAsia="en-NZ"/>
        </w:rPr>
        <w:t xml:space="preserve"> </w:t>
      </w:r>
      <w:r w:rsidRPr="00BB6220">
        <w:rPr>
          <w:rFonts w:ascii="Calibri" w:hAnsi="Calibri" w:cs="Calibri"/>
          <w:lang w:eastAsia="en-NZ"/>
        </w:rPr>
        <w:t>health</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medical</w:t>
      </w:r>
      <w:r w:rsidR="003D640C">
        <w:rPr>
          <w:rFonts w:ascii="Calibri" w:hAnsi="Calibri" w:cs="Calibri"/>
          <w:lang w:eastAsia="en-NZ"/>
        </w:rPr>
        <w:t xml:space="preserve"> </w:t>
      </w:r>
      <w:r w:rsidRPr="00BB6220">
        <w:rPr>
          <w:rFonts w:ascii="Calibri" w:hAnsi="Calibri" w:cs="Calibri"/>
          <w:lang w:eastAsia="en-NZ"/>
        </w:rPr>
        <w:t>healthcare</w:t>
      </w:r>
      <w:r w:rsidR="003D640C">
        <w:rPr>
          <w:rFonts w:ascii="Calibri" w:hAnsi="Calibri" w:cs="Calibri"/>
          <w:lang w:eastAsia="en-NZ"/>
        </w:rPr>
        <w:t xml:space="preserve"> </w:t>
      </w:r>
      <w:r w:rsidRPr="00BB6220">
        <w:rPr>
          <w:rFonts w:ascii="Calibri" w:hAnsi="Calibri" w:cs="Calibri"/>
          <w:lang w:eastAsia="en-NZ"/>
        </w:rPr>
        <w:t>settings</w:t>
      </w:r>
      <w:r w:rsidR="003D640C">
        <w:rPr>
          <w:rFonts w:ascii="Calibri" w:hAnsi="Calibri" w:cs="Calibri"/>
          <w:lang w:eastAsia="en-NZ"/>
        </w:rPr>
        <w:t xml:space="preserve"> </w:t>
      </w:r>
      <w:r w:rsidRPr="00BB6220">
        <w:rPr>
          <w:rFonts w:ascii="Calibri" w:hAnsi="Calibri" w:cs="Calibri"/>
          <w:lang w:eastAsia="en-NZ"/>
        </w:rPr>
        <w:t>can</w:t>
      </w:r>
      <w:r w:rsidR="003D640C">
        <w:rPr>
          <w:rFonts w:ascii="Calibri" w:hAnsi="Calibri" w:cs="Calibri"/>
          <w:lang w:eastAsia="en-NZ"/>
        </w:rPr>
        <w:t xml:space="preserve"> </w:t>
      </w:r>
      <w:r w:rsidRPr="00BB6220">
        <w:rPr>
          <w:rFonts w:ascii="Calibri" w:hAnsi="Calibri" w:cs="Calibri"/>
          <w:lang w:eastAsia="en-NZ"/>
        </w:rPr>
        <w:t>go</w:t>
      </w:r>
      <w:r w:rsidR="003D640C">
        <w:rPr>
          <w:rFonts w:ascii="Calibri" w:hAnsi="Calibri" w:cs="Calibri"/>
          <w:lang w:eastAsia="en-NZ"/>
        </w:rPr>
        <w:t xml:space="preserve"> </w:t>
      </w:r>
      <w:r w:rsidRPr="00BB6220">
        <w:rPr>
          <w:rFonts w:ascii="Calibri" w:hAnsi="Calibri" w:cs="Calibri"/>
          <w:lang w:eastAsia="en-NZ"/>
        </w:rPr>
        <w:t>unnoticed.</w:t>
      </w:r>
      <w:r w:rsidR="003D640C">
        <w:rPr>
          <w:rFonts w:ascii="Calibri" w:hAnsi="Calibri" w:cs="Calibri"/>
          <w:lang w:eastAsia="en-NZ"/>
        </w:rPr>
        <w:t xml:space="preserve"> </w:t>
      </w:r>
      <w:r w:rsidRPr="00BB6220">
        <w:rPr>
          <w:rFonts w:ascii="Calibri" w:hAnsi="Calibri" w:cs="Calibri"/>
          <w:lang w:eastAsia="en-NZ"/>
        </w:rPr>
        <w:t>Survivors</w:t>
      </w:r>
      <w:r w:rsidR="003D640C">
        <w:rPr>
          <w:rFonts w:ascii="Calibri" w:hAnsi="Calibri" w:cs="Calibri"/>
          <w:lang w:eastAsia="en-NZ"/>
        </w:rPr>
        <w:t xml:space="preserve"> </w:t>
      </w:r>
      <w:r w:rsidRPr="00BB6220">
        <w:rPr>
          <w:rFonts w:ascii="Calibri" w:hAnsi="Calibri" w:cs="Calibri"/>
          <w:lang w:eastAsia="en-NZ"/>
        </w:rPr>
        <w:t>need</w:t>
      </w:r>
      <w:r w:rsidR="003D640C">
        <w:rPr>
          <w:rFonts w:ascii="Calibri" w:hAnsi="Calibri" w:cs="Calibri"/>
          <w:lang w:eastAsia="en-NZ"/>
        </w:rPr>
        <w:t xml:space="preserve"> </w:t>
      </w:r>
      <w:r w:rsidRPr="00BB6220">
        <w:rPr>
          <w:rFonts w:ascii="Calibri" w:hAnsi="Calibri" w:cs="Calibri"/>
          <w:lang w:eastAsia="en-NZ"/>
        </w:rPr>
        <w:t>practitioners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dismantle</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environments</w:t>
      </w:r>
      <w:r w:rsidR="003D640C">
        <w:rPr>
          <w:rFonts w:ascii="Calibri" w:hAnsi="Calibri" w:cs="Calibri"/>
          <w:lang w:eastAsia="en-NZ"/>
        </w:rPr>
        <w:t xml:space="preserve"> </w:t>
      </w:r>
      <w:r w:rsidRPr="00BB6220">
        <w:rPr>
          <w:rFonts w:ascii="Calibri" w:hAnsi="Calibri" w:cs="Calibri"/>
          <w:lang w:eastAsia="en-NZ"/>
        </w:rPr>
        <w:t>that</w:t>
      </w:r>
      <w:r w:rsidR="003D640C">
        <w:rPr>
          <w:rFonts w:ascii="Calibri" w:hAnsi="Calibri" w:cs="Calibri"/>
          <w:lang w:eastAsia="en-NZ"/>
        </w:rPr>
        <w:t xml:space="preserve"> </w:t>
      </w:r>
      <w:r w:rsidRPr="00BB6220">
        <w:rPr>
          <w:rFonts w:ascii="Calibri" w:hAnsi="Calibri" w:cs="Calibri"/>
          <w:lang w:eastAsia="en-NZ"/>
        </w:rPr>
        <w:t>allow</w:t>
      </w:r>
      <w:r w:rsidR="003D640C">
        <w:rPr>
          <w:rFonts w:ascii="Calibri" w:hAnsi="Calibri" w:cs="Calibri"/>
          <w:lang w:eastAsia="en-NZ"/>
        </w:rPr>
        <w:t xml:space="preserve"> </w:t>
      </w:r>
      <w:r w:rsidRPr="00BB6220">
        <w:rPr>
          <w:rFonts w:ascii="Calibri" w:hAnsi="Calibri" w:cs="Calibri"/>
          <w:lang w:eastAsia="en-NZ"/>
        </w:rPr>
        <w:t>this</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occur</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advocate</w:t>
      </w:r>
      <w:r w:rsidR="003D640C">
        <w:rPr>
          <w:rFonts w:ascii="Calibri" w:hAnsi="Calibri" w:cs="Calibri"/>
          <w:lang w:eastAsia="en-NZ"/>
        </w:rPr>
        <w:t xml:space="preserve"> </w:t>
      </w:r>
      <w:r w:rsidRPr="00BB6220">
        <w:rPr>
          <w:rFonts w:ascii="Calibri" w:hAnsi="Calibri" w:cs="Calibri"/>
          <w:lang w:eastAsia="en-NZ"/>
        </w:rPr>
        <w:t>for</w:t>
      </w:r>
      <w:r w:rsidR="003D640C">
        <w:rPr>
          <w:rFonts w:ascii="Calibri" w:hAnsi="Calibri" w:cs="Calibri"/>
          <w:lang w:eastAsia="en-NZ"/>
        </w:rPr>
        <w:t xml:space="preserve"> </w:t>
      </w:r>
      <w:r w:rsidRPr="00BB6220">
        <w:rPr>
          <w:rFonts w:ascii="Calibri" w:hAnsi="Calibri" w:cs="Calibri"/>
          <w:lang w:eastAsia="en-NZ"/>
        </w:rPr>
        <w:t>their</w:t>
      </w:r>
      <w:r w:rsidR="003D640C">
        <w:rPr>
          <w:rFonts w:ascii="Calibri" w:hAnsi="Calibri" w:cs="Calibri"/>
          <w:lang w:eastAsia="en-NZ"/>
        </w:rPr>
        <w:t xml:space="preserve"> </w:t>
      </w:r>
      <w:r w:rsidRPr="00BB6220">
        <w:rPr>
          <w:rFonts w:ascii="Calibri" w:hAnsi="Calibri" w:cs="Calibri"/>
          <w:lang w:eastAsia="en-NZ"/>
        </w:rPr>
        <w:t>wellbeing.</w:t>
      </w:r>
      <w:bookmarkEnd w:id="470"/>
    </w:p>
    <w:p w14:paraId="6364DB57" w14:textId="77777777" w:rsidR="00501068" w:rsidRDefault="00C044A8" w:rsidP="0097273A">
      <w:pPr>
        <w:pStyle w:val="Heading2"/>
        <w:rPr>
          <w:i/>
        </w:rPr>
      </w:pPr>
      <w:bookmarkStart w:id="471" w:name="_Toc138325214"/>
      <w:bookmarkStart w:id="472" w:name="_Toc138343871"/>
      <w:bookmarkStart w:id="473" w:name="_Toc167780659"/>
      <w:bookmarkStart w:id="474" w:name="_Hlk149625552"/>
      <w:bookmarkStart w:id="475" w:name="_Toc1509445979"/>
      <w:bookmarkStart w:id="476" w:name="_Toc174628721"/>
      <w:r w:rsidRPr="00BB6220">
        <w:t>To</w:t>
      </w:r>
      <w:r w:rsidR="003D640C">
        <w:t xml:space="preserve"> </w:t>
      </w:r>
      <w:r w:rsidRPr="00BB6220">
        <w:t>those</w:t>
      </w:r>
      <w:r w:rsidR="003D640C">
        <w:t xml:space="preserve"> </w:t>
      </w:r>
      <w:r w:rsidRPr="00BB6220">
        <w:t>who</w:t>
      </w:r>
      <w:r w:rsidR="003D640C">
        <w:t xml:space="preserve"> </w:t>
      </w:r>
      <w:r w:rsidRPr="00BB6220">
        <w:t>work</w:t>
      </w:r>
      <w:r w:rsidR="003D640C">
        <w:t xml:space="preserve"> </w:t>
      </w:r>
      <w:r w:rsidRPr="00BB6220">
        <w:t>with</w:t>
      </w:r>
      <w:r w:rsidR="003D640C">
        <w:t xml:space="preserve"> </w:t>
      </w:r>
      <w:r w:rsidRPr="00BB6220">
        <w:t>children</w:t>
      </w:r>
      <w:r w:rsidR="003D640C">
        <w:t xml:space="preserve"> </w:t>
      </w:r>
      <w:r w:rsidRPr="00BB6220">
        <w:t>and</w:t>
      </w:r>
      <w:r w:rsidR="003D640C">
        <w:t xml:space="preserve"> </w:t>
      </w:r>
      <w:r w:rsidRPr="00BB6220">
        <w:t>young</w:t>
      </w:r>
      <w:r w:rsidR="003D640C">
        <w:t xml:space="preserve"> </w:t>
      </w:r>
      <w:r w:rsidRPr="00BB6220">
        <w:t>people</w:t>
      </w:r>
      <w:bookmarkEnd w:id="471"/>
      <w:bookmarkEnd w:id="472"/>
      <w:bookmarkEnd w:id="473"/>
      <w:bookmarkEnd w:id="474"/>
      <w:bookmarkEnd w:id="475"/>
      <w:bookmarkEnd w:id="476"/>
    </w:p>
    <w:p w14:paraId="3138A406" w14:textId="41DDB7AB" w:rsidR="00501068" w:rsidRDefault="00C044A8" w:rsidP="009B737E">
      <w:pPr>
        <w:pStyle w:val="ListParagraph"/>
        <w:numPr>
          <w:ilvl w:val="0"/>
          <w:numId w:val="117"/>
        </w:numPr>
        <w:rPr>
          <w:rFonts w:ascii="Calibri" w:hAnsi="Calibri" w:cs="Calibri"/>
          <w:lang w:eastAsia="en-NZ"/>
        </w:rPr>
      </w:pPr>
      <w:r w:rsidRPr="00BB6220">
        <w:rPr>
          <w:rFonts w:ascii="Calibri" w:hAnsi="Calibri" w:cs="Calibri"/>
          <w:b/>
          <w:lang w:eastAsia="en-NZ"/>
        </w:rPr>
        <w:t>Establish</w:t>
      </w:r>
      <w:r w:rsidR="003D640C">
        <w:rPr>
          <w:rFonts w:ascii="Calibri" w:hAnsi="Calibri" w:cs="Calibri"/>
          <w:b/>
          <w:lang w:eastAsia="en-NZ"/>
        </w:rPr>
        <w:t xml:space="preserve"> </w:t>
      </w:r>
      <w:r w:rsidRPr="009B737E">
        <w:rPr>
          <w:rFonts w:ascii="Calibri" w:hAnsi="Calibri" w:cs="Calibri"/>
          <w:b/>
          <w:bCs/>
          <w:lang w:eastAsia="en-NZ"/>
        </w:rPr>
        <w:t>clear</w:t>
      </w:r>
      <w:r w:rsidR="003D640C">
        <w:rPr>
          <w:rFonts w:ascii="Calibri" w:hAnsi="Calibri" w:cs="Calibri"/>
          <w:b/>
          <w:lang w:eastAsia="en-NZ"/>
        </w:rPr>
        <w:t xml:space="preserve"> </w:t>
      </w:r>
      <w:r w:rsidRPr="00BB6220">
        <w:rPr>
          <w:rFonts w:ascii="Calibri" w:hAnsi="Calibri" w:cs="Calibri"/>
          <w:b/>
          <w:lang w:eastAsia="en-NZ"/>
        </w:rPr>
        <w:t>organisational</w:t>
      </w:r>
      <w:r w:rsidR="003D640C">
        <w:rPr>
          <w:rFonts w:ascii="Calibri" w:hAnsi="Calibri" w:cs="Calibri"/>
          <w:b/>
          <w:lang w:eastAsia="en-NZ"/>
        </w:rPr>
        <w:t xml:space="preserve"> </w:t>
      </w:r>
      <w:r w:rsidRPr="00BB6220">
        <w:rPr>
          <w:rFonts w:ascii="Calibri" w:hAnsi="Calibri" w:cs="Calibri"/>
          <w:b/>
          <w:lang w:eastAsia="en-NZ"/>
        </w:rPr>
        <w:t>policies</w:t>
      </w:r>
      <w:r w:rsidR="003D640C">
        <w:rPr>
          <w:rFonts w:ascii="Calibri" w:hAnsi="Calibri" w:cs="Calibri"/>
          <w:b/>
          <w:lang w:eastAsia="en-NZ"/>
        </w:rPr>
        <w:t xml:space="preserve"> </w:t>
      </w:r>
      <w:r w:rsidRPr="00BB6220">
        <w:rPr>
          <w:rFonts w:ascii="Calibri" w:hAnsi="Calibri" w:cs="Calibri"/>
          <w:b/>
          <w:lang w:eastAsia="en-NZ"/>
        </w:rPr>
        <w:t>and</w:t>
      </w:r>
      <w:r w:rsidR="003D640C">
        <w:rPr>
          <w:rFonts w:ascii="Calibri" w:hAnsi="Calibri" w:cs="Calibri"/>
          <w:b/>
          <w:lang w:eastAsia="en-NZ"/>
        </w:rPr>
        <w:t xml:space="preserve"> </w:t>
      </w:r>
      <w:r w:rsidRPr="00BB6220">
        <w:rPr>
          <w:rFonts w:ascii="Calibri" w:hAnsi="Calibri" w:cs="Calibri"/>
          <w:b/>
          <w:lang w:eastAsia="en-NZ"/>
        </w:rPr>
        <w:t>procedures</w:t>
      </w:r>
      <w:r w:rsidR="003D640C">
        <w:rPr>
          <w:rFonts w:ascii="Calibri" w:hAnsi="Calibri" w:cs="Calibri"/>
          <w:b/>
          <w:lang w:eastAsia="en-NZ"/>
        </w:rPr>
        <w:t xml:space="preserve"> </w:t>
      </w:r>
      <w:r w:rsidRPr="00BB6220">
        <w:rPr>
          <w:rFonts w:ascii="Calibri" w:hAnsi="Calibri" w:cs="Calibri"/>
          <w:b/>
          <w:lang w:eastAsia="en-NZ"/>
        </w:rPr>
        <w:t>to</w:t>
      </w:r>
      <w:r w:rsidR="003D640C">
        <w:rPr>
          <w:rFonts w:ascii="Calibri" w:hAnsi="Calibri" w:cs="Calibri"/>
          <w:b/>
          <w:lang w:eastAsia="en-NZ"/>
        </w:rPr>
        <w:t xml:space="preserve"> </w:t>
      </w:r>
      <w:r w:rsidRPr="00BB6220">
        <w:rPr>
          <w:rFonts w:ascii="Calibri" w:hAnsi="Calibri" w:cs="Calibri"/>
          <w:b/>
          <w:lang w:eastAsia="en-NZ"/>
        </w:rPr>
        <w:t>deal</w:t>
      </w:r>
      <w:r w:rsidR="003D640C">
        <w:rPr>
          <w:rFonts w:ascii="Calibri" w:hAnsi="Calibri" w:cs="Calibri"/>
          <w:b/>
          <w:lang w:eastAsia="en-NZ"/>
        </w:rPr>
        <w:t xml:space="preserve"> </w:t>
      </w:r>
      <w:r w:rsidRPr="00BB6220">
        <w:rPr>
          <w:rFonts w:ascii="Calibri" w:hAnsi="Calibri" w:cs="Calibri"/>
          <w:b/>
          <w:lang w:eastAsia="en-NZ"/>
        </w:rPr>
        <w:t>with</w:t>
      </w:r>
      <w:r w:rsidR="003D640C">
        <w:rPr>
          <w:rFonts w:ascii="Calibri" w:hAnsi="Calibri" w:cs="Calibri"/>
          <w:b/>
          <w:lang w:eastAsia="en-NZ"/>
        </w:rPr>
        <w:t xml:space="preserve"> </w:t>
      </w:r>
      <w:r w:rsidRPr="00BB6220">
        <w:rPr>
          <w:rFonts w:ascii="Calibri" w:hAnsi="Calibri" w:cs="Calibri"/>
          <w:b/>
          <w:lang w:eastAsia="en-NZ"/>
        </w:rPr>
        <w:t>instances</w:t>
      </w:r>
      <w:r w:rsidR="003D640C">
        <w:rPr>
          <w:rFonts w:ascii="Calibri" w:hAnsi="Calibri" w:cs="Calibri"/>
          <w:b/>
          <w:lang w:eastAsia="en-NZ"/>
        </w:rPr>
        <w:t xml:space="preserve"> </w:t>
      </w:r>
      <w:r w:rsidRPr="00BB6220">
        <w:rPr>
          <w:rFonts w:ascii="Calibri" w:hAnsi="Calibri" w:cs="Calibri"/>
          <w:b/>
          <w:lang w:eastAsia="en-NZ"/>
        </w:rPr>
        <w:t>of</w:t>
      </w:r>
      <w:r w:rsidR="003D640C">
        <w:rPr>
          <w:rFonts w:ascii="Calibri" w:hAnsi="Calibri" w:cs="Calibri"/>
          <w:b/>
          <w:lang w:eastAsia="en-NZ"/>
        </w:rPr>
        <w:t xml:space="preserve"> </w:t>
      </w:r>
      <w:r w:rsidRPr="00BB6220">
        <w:rPr>
          <w:rFonts w:ascii="Calibri" w:hAnsi="Calibri" w:cs="Calibri"/>
          <w:b/>
          <w:lang w:eastAsia="en-NZ"/>
        </w:rPr>
        <w:t>conversion</w:t>
      </w:r>
      <w:r w:rsidR="003D640C">
        <w:rPr>
          <w:rFonts w:ascii="Calibri" w:hAnsi="Calibri" w:cs="Calibri"/>
          <w:b/>
          <w:lang w:eastAsia="en-NZ"/>
        </w:rPr>
        <w:t xml:space="preserve"> </w:t>
      </w:r>
      <w:r w:rsidRPr="00BB6220">
        <w:rPr>
          <w:rFonts w:ascii="Calibri" w:hAnsi="Calibri" w:cs="Calibri"/>
          <w:b/>
          <w:lang w:eastAsia="en-NZ"/>
        </w:rPr>
        <w:t>practices</w:t>
      </w:r>
      <w:r w:rsidR="003D640C">
        <w:rPr>
          <w:rFonts w:ascii="Calibri" w:hAnsi="Calibri" w:cs="Calibri"/>
          <w:b/>
          <w:lang w:eastAsia="en-NZ"/>
        </w:rPr>
        <w:t xml:space="preserve"> </w:t>
      </w:r>
      <w:r w:rsidRPr="00BB6220">
        <w:rPr>
          <w:rFonts w:ascii="Calibri" w:hAnsi="Calibri" w:cs="Calibri"/>
          <w:b/>
          <w:lang w:eastAsia="en-NZ"/>
        </w:rPr>
        <w:t>or</w:t>
      </w:r>
      <w:r w:rsidR="003D640C">
        <w:rPr>
          <w:rFonts w:ascii="Calibri" w:hAnsi="Calibri" w:cs="Calibri"/>
          <w:b/>
          <w:lang w:eastAsia="en-NZ"/>
        </w:rPr>
        <w:t xml:space="preserve"> </w:t>
      </w:r>
      <w:r w:rsidRPr="00BB6220">
        <w:rPr>
          <w:rFonts w:ascii="Calibri" w:hAnsi="Calibri" w:cs="Calibri"/>
          <w:b/>
          <w:lang w:eastAsia="en-NZ"/>
        </w:rPr>
        <w:t>disclosures</w:t>
      </w:r>
      <w:r w:rsidR="003D640C">
        <w:rPr>
          <w:rFonts w:ascii="Calibri" w:hAnsi="Calibri" w:cs="Calibri"/>
          <w:b/>
          <w:lang w:eastAsia="en-NZ"/>
        </w:rPr>
        <w:t xml:space="preserve"> </w:t>
      </w:r>
      <w:r w:rsidRPr="00BB6220">
        <w:rPr>
          <w:rFonts w:ascii="Calibri" w:hAnsi="Calibri" w:cs="Calibri"/>
          <w:b/>
          <w:lang w:eastAsia="en-NZ"/>
        </w:rPr>
        <w:t>of</w:t>
      </w:r>
      <w:r w:rsidR="003D640C">
        <w:rPr>
          <w:rFonts w:ascii="Calibri" w:hAnsi="Calibri" w:cs="Calibri"/>
          <w:b/>
          <w:lang w:eastAsia="en-NZ"/>
        </w:rPr>
        <w:t xml:space="preserve"> </w:t>
      </w:r>
      <w:r w:rsidRPr="00BB6220">
        <w:rPr>
          <w:rFonts w:ascii="Calibri" w:hAnsi="Calibri" w:cs="Calibri"/>
          <w:b/>
          <w:lang w:eastAsia="en-NZ"/>
        </w:rPr>
        <w:t>conversion</w:t>
      </w:r>
      <w:r w:rsidR="003D640C">
        <w:rPr>
          <w:rFonts w:ascii="Calibri" w:hAnsi="Calibri" w:cs="Calibri"/>
          <w:b/>
          <w:lang w:eastAsia="en-NZ"/>
        </w:rPr>
        <w:t xml:space="preserve"> </w:t>
      </w:r>
      <w:r w:rsidRPr="00BB6220">
        <w:rPr>
          <w:rFonts w:ascii="Calibri" w:hAnsi="Calibri" w:cs="Calibri"/>
          <w:b/>
          <w:lang w:eastAsia="en-NZ"/>
        </w:rPr>
        <w:t>practices</w:t>
      </w:r>
      <w:r w:rsidR="00A823C2">
        <w:rPr>
          <w:rFonts w:ascii="Calibri" w:hAnsi="Calibri" w:cs="Calibri"/>
          <w:b/>
          <w:lang w:eastAsia="en-NZ"/>
        </w:rPr>
        <w:br/>
      </w:r>
      <w:r w:rsidR="00B436B3">
        <w:rPr>
          <w:rFonts w:ascii="Calibri" w:hAnsi="Calibri" w:cs="Calibri"/>
          <w:bCs/>
          <w:lang w:eastAsia="en-NZ"/>
        </w:rPr>
        <w:t>P</w:t>
      </w:r>
      <w:r w:rsidR="00B436B3" w:rsidRPr="00BF0C39">
        <w:rPr>
          <w:rFonts w:ascii="Calibri" w:hAnsi="Calibri" w:cs="Calibri"/>
          <w:bCs/>
          <w:lang w:eastAsia="en-NZ"/>
        </w:rPr>
        <w:t>olicies</w:t>
      </w:r>
      <w:r w:rsidR="003D640C">
        <w:rPr>
          <w:rFonts w:ascii="Calibri" w:hAnsi="Calibri" w:cs="Calibri"/>
          <w:bCs/>
          <w:lang w:eastAsia="en-NZ"/>
        </w:rPr>
        <w:t xml:space="preserve"> </w:t>
      </w:r>
      <w:r w:rsidR="00B436B3">
        <w:rPr>
          <w:rFonts w:ascii="Calibri" w:hAnsi="Calibri" w:cs="Calibri"/>
          <w:bCs/>
          <w:lang w:eastAsia="en-NZ"/>
        </w:rPr>
        <w:t>and</w:t>
      </w:r>
      <w:r w:rsidR="003D640C">
        <w:rPr>
          <w:rFonts w:ascii="Calibri" w:hAnsi="Calibri" w:cs="Calibri"/>
          <w:bCs/>
          <w:lang w:eastAsia="en-NZ"/>
        </w:rPr>
        <w:t xml:space="preserve"> </w:t>
      </w:r>
      <w:r w:rsidR="00B436B3">
        <w:rPr>
          <w:rFonts w:ascii="Calibri" w:hAnsi="Calibri" w:cs="Calibri"/>
          <w:bCs/>
          <w:lang w:eastAsia="en-NZ"/>
        </w:rPr>
        <w:t>procedures</w:t>
      </w:r>
      <w:r w:rsidR="003D640C">
        <w:rPr>
          <w:rFonts w:ascii="Calibri" w:hAnsi="Calibri" w:cs="Calibri"/>
          <w:bCs/>
          <w:lang w:eastAsia="en-NZ"/>
        </w:rPr>
        <w:t xml:space="preserve"> </w:t>
      </w:r>
      <w:r w:rsidR="00723DCB">
        <w:rPr>
          <w:rFonts w:ascii="Calibri" w:hAnsi="Calibri" w:cs="Calibri"/>
          <w:bCs/>
          <w:lang w:eastAsia="en-NZ"/>
        </w:rPr>
        <w:t>should</w:t>
      </w:r>
      <w:r w:rsidR="003D640C">
        <w:rPr>
          <w:rFonts w:ascii="Calibri" w:hAnsi="Calibri" w:cs="Calibri"/>
          <w:bCs/>
          <w:lang w:eastAsia="en-NZ"/>
        </w:rPr>
        <w:t xml:space="preserve"> </w:t>
      </w:r>
      <w:r w:rsidR="00723DCB">
        <w:rPr>
          <w:rFonts w:ascii="Calibri" w:hAnsi="Calibri" w:cs="Calibri"/>
          <w:bCs/>
          <w:lang w:eastAsia="en-NZ"/>
        </w:rPr>
        <w:t>be</w:t>
      </w:r>
      <w:r w:rsidR="003D640C">
        <w:rPr>
          <w:rFonts w:ascii="Calibri" w:hAnsi="Calibri" w:cs="Calibri"/>
          <w:bCs/>
          <w:lang w:eastAsia="en-NZ"/>
        </w:rPr>
        <w:t xml:space="preserve"> </w:t>
      </w:r>
      <w:r w:rsidR="00723DCB">
        <w:rPr>
          <w:rFonts w:ascii="Calibri" w:hAnsi="Calibri" w:cs="Calibri"/>
          <w:bCs/>
          <w:lang w:eastAsia="en-NZ"/>
        </w:rPr>
        <w:t>informed</w:t>
      </w:r>
      <w:r w:rsidR="003D640C">
        <w:rPr>
          <w:rFonts w:ascii="Calibri" w:hAnsi="Calibri" w:cs="Calibri"/>
          <w:bCs/>
          <w:lang w:eastAsia="en-NZ"/>
        </w:rPr>
        <w:t xml:space="preserve"> </w:t>
      </w:r>
      <w:r w:rsidR="00732E3D">
        <w:rPr>
          <w:rFonts w:ascii="Calibri" w:hAnsi="Calibri" w:cs="Calibri"/>
          <w:bCs/>
          <w:lang w:eastAsia="en-NZ"/>
        </w:rPr>
        <w:t>by</w:t>
      </w:r>
      <w:r w:rsidR="003D640C">
        <w:rPr>
          <w:rFonts w:ascii="Calibri" w:hAnsi="Calibri" w:cs="Calibri"/>
          <w:bCs/>
          <w:lang w:eastAsia="en-NZ"/>
        </w:rPr>
        <w:t xml:space="preserve"> </w:t>
      </w:r>
      <w:r w:rsidR="004A10D1">
        <w:rPr>
          <w:rFonts w:ascii="Calibri" w:hAnsi="Calibri" w:cs="Calibri"/>
          <w:bCs/>
          <w:lang w:eastAsia="en-NZ"/>
        </w:rPr>
        <w:t>the</w:t>
      </w:r>
      <w:r w:rsidR="003D640C">
        <w:rPr>
          <w:rFonts w:ascii="Calibri" w:hAnsi="Calibri" w:cs="Calibri"/>
          <w:bCs/>
          <w:lang w:eastAsia="en-NZ"/>
        </w:rPr>
        <w:t xml:space="preserve"> </w:t>
      </w:r>
      <w:r w:rsidR="004A10D1">
        <w:rPr>
          <w:rFonts w:ascii="Calibri" w:hAnsi="Calibri" w:cs="Calibri"/>
          <w:bCs/>
          <w:lang w:eastAsia="en-NZ"/>
        </w:rPr>
        <w:t>particular</w:t>
      </w:r>
      <w:r w:rsidR="003D640C">
        <w:rPr>
          <w:rFonts w:ascii="Calibri" w:hAnsi="Calibri" w:cs="Calibri"/>
          <w:bCs/>
          <w:lang w:eastAsia="en-NZ"/>
        </w:rPr>
        <w:t xml:space="preserve"> </w:t>
      </w:r>
      <w:r w:rsidR="004A10D1">
        <w:rPr>
          <w:rFonts w:ascii="Calibri" w:hAnsi="Calibri" w:cs="Calibri"/>
          <w:bCs/>
          <w:lang w:eastAsia="en-NZ"/>
        </w:rPr>
        <w:t>protection</w:t>
      </w:r>
      <w:r w:rsidR="003D640C">
        <w:rPr>
          <w:rFonts w:ascii="Calibri" w:hAnsi="Calibri" w:cs="Calibri"/>
          <w:bCs/>
          <w:lang w:eastAsia="en-NZ"/>
        </w:rPr>
        <w:t xml:space="preserve"> </w:t>
      </w:r>
      <w:r w:rsidR="004A10D1">
        <w:rPr>
          <w:rFonts w:ascii="Calibri" w:hAnsi="Calibri" w:cs="Calibri"/>
          <w:bCs/>
          <w:lang w:eastAsia="en-NZ"/>
        </w:rPr>
        <w:t>of</w:t>
      </w:r>
      <w:r w:rsidR="003D640C">
        <w:rPr>
          <w:rFonts w:ascii="Calibri" w:hAnsi="Calibri" w:cs="Calibri"/>
          <w:bCs/>
          <w:lang w:eastAsia="en-NZ"/>
        </w:rPr>
        <w:t xml:space="preserve"> </w:t>
      </w:r>
      <w:r w:rsidR="004A10D1">
        <w:rPr>
          <w:rFonts w:ascii="Calibri" w:hAnsi="Calibri" w:cs="Calibri"/>
          <w:bCs/>
          <w:lang w:eastAsia="en-NZ"/>
        </w:rPr>
        <w:t>children</w:t>
      </w:r>
      <w:r w:rsidR="003D640C">
        <w:rPr>
          <w:rFonts w:ascii="Calibri" w:hAnsi="Calibri" w:cs="Calibri"/>
          <w:bCs/>
          <w:lang w:eastAsia="en-NZ"/>
        </w:rPr>
        <w:t xml:space="preserve"> </w:t>
      </w:r>
      <w:r w:rsidR="004A10D1">
        <w:rPr>
          <w:rFonts w:ascii="Calibri" w:hAnsi="Calibri" w:cs="Calibri"/>
          <w:bCs/>
          <w:lang w:eastAsia="en-NZ"/>
        </w:rPr>
        <w:t>in</w:t>
      </w:r>
      <w:r w:rsidR="003D640C">
        <w:rPr>
          <w:rFonts w:ascii="Calibri" w:hAnsi="Calibri" w:cs="Calibri"/>
          <w:bCs/>
          <w:lang w:eastAsia="en-NZ"/>
        </w:rPr>
        <w:t xml:space="preserve"> </w:t>
      </w:r>
      <w:r w:rsidR="004A10D1">
        <w:rPr>
          <w:rFonts w:ascii="Calibri" w:hAnsi="Calibri" w:cs="Calibri"/>
          <w:bCs/>
          <w:lang w:eastAsia="en-NZ"/>
        </w:rPr>
        <w:t>the</w:t>
      </w:r>
      <w:r w:rsidR="003D640C">
        <w:rPr>
          <w:rFonts w:ascii="Calibri" w:hAnsi="Calibri" w:cs="Calibri"/>
          <w:bCs/>
          <w:lang w:eastAsia="en-NZ"/>
        </w:rPr>
        <w:t xml:space="preserve"> </w:t>
      </w:r>
      <w:r w:rsidR="004A10D1">
        <w:rPr>
          <w:rFonts w:ascii="Calibri" w:hAnsi="Calibri" w:cs="Calibri"/>
          <w:bCs/>
          <w:lang w:eastAsia="en-NZ"/>
        </w:rPr>
        <w:t>CPPLA</w:t>
      </w:r>
      <w:r w:rsidR="003D640C">
        <w:rPr>
          <w:rFonts w:ascii="Calibri" w:hAnsi="Calibri" w:cs="Calibri"/>
          <w:bCs/>
          <w:lang w:eastAsia="en-NZ"/>
        </w:rPr>
        <w:t xml:space="preserve"> </w:t>
      </w:r>
      <w:r w:rsidR="00A84A52">
        <w:rPr>
          <w:rFonts w:ascii="Calibri" w:hAnsi="Calibri" w:cs="Calibri"/>
          <w:bCs/>
          <w:lang w:eastAsia="en-NZ"/>
        </w:rPr>
        <w:t>and</w:t>
      </w:r>
      <w:r w:rsidR="003D640C">
        <w:rPr>
          <w:rFonts w:ascii="Calibri" w:hAnsi="Calibri" w:cs="Calibri"/>
          <w:bCs/>
          <w:lang w:eastAsia="en-NZ"/>
        </w:rPr>
        <w:t xml:space="preserve"> </w:t>
      </w:r>
      <w:r w:rsidR="00A84A52">
        <w:rPr>
          <w:rFonts w:ascii="Calibri" w:hAnsi="Calibri" w:cs="Calibri"/>
          <w:bCs/>
          <w:lang w:eastAsia="en-NZ"/>
        </w:rPr>
        <w:t>the</w:t>
      </w:r>
      <w:r w:rsidR="003D640C">
        <w:rPr>
          <w:rFonts w:ascii="Calibri" w:hAnsi="Calibri" w:cs="Calibri"/>
          <w:bCs/>
          <w:lang w:eastAsia="en-NZ"/>
        </w:rPr>
        <w:t xml:space="preserve"> </w:t>
      </w:r>
      <w:r w:rsidR="00A84A52">
        <w:rPr>
          <w:rFonts w:ascii="Calibri" w:hAnsi="Calibri" w:cs="Calibri"/>
          <w:bCs/>
          <w:lang w:eastAsia="en-NZ"/>
        </w:rPr>
        <w:t>law</w:t>
      </w:r>
      <w:r w:rsidR="003D640C">
        <w:rPr>
          <w:rFonts w:ascii="Calibri" w:hAnsi="Calibri" w:cs="Calibri"/>
          <w:bCs/>
          <w:lang w:eastAsia="en-NZ"/>
        </w:rPr>
        <w:t xml:space="preserve"> </w:t>
      </w:r>
      <w:r w:rsidR="00A84A52">
        <w:rPr>
          <w:rFonts w:ascii="Calibri" w:hAnsi="Calibri" w:cs="Calibri"/>
          <w:bCs/>
          <w:lang w:eastAsia="en-NZ"/>
        </w:rPr>
        <w:t>relating</w:t>
      </w:r>
      <w:r w:rsidR="003D640C">
        <w:rPr>
          <w:rFonts w:ascii="Calibri" w:hAnsi="Calibri" w:cs="Calibri"/>
          <w:bCs/>
          <w:lang w:eastAsia="en-NZ"/>
        </w:rPr>
        <w:t xml:space="preserve"> </w:t>
      </w:r>
      <w:r w:rsidR="00A84A52">
        <w:rPr>
          <w:rFonts w:ascii="Calibri" w:hAnsi="Calibri" w:cs="Calibri"/>
          <w:bCs/>
          <w:lang w:eastAsia="en-NZ"/>
        </w:rPr>
        <w:t>to</w:t>
      </w:r>
      <w:r w:rsidR="003D640C">
        <w:rPr>
          <w:rFonts w:ascii="Calibri" w:hAnsi="Calibri" w:cs="Calibri"/>
          <w:bCs/>
          <w:lang w:eastAsia="en-NZ"/>
        </w:rPr>
        <w:t xml:space="preserve"> </w:t>
      </w:r>
      <w:r w:rsidR="005B4F85">
        <w:rPr>
          <w:rFonts w:ascii="Calibri" w:hAnsi="Calibri" w:cs="Calibri"/>
          <w:bCs/>
          <w:lang w:eastAsia="en-NZ"/>
        </w:rPr>
        <w:t>children’s</w:t>
      </w:r>
      <w:r w:rsidR="003D640C">
        <w:rPr>
          <w:rFonts w:ascii="Calibri" w:hAnsi="Calibri" w:cs="Calibri"/>
          <w:bCs/>
          <w:lang w:eastAsia="en-NZ"/>
        </w:rPr>
        <w:t xml:space="preserve"> </w:t>
      </w:r>
      <w:r w:rsidR="00FB4AE2">
        <w:rPr>
          <w:rFonts w:ascii="Calibri" w:hAnsi="Calibri" w:cs="Calibri"/>
          <w:bCs/>
          <w:lang w:eastAsia="en-NZ"/>
        </w:rPr>
        <w:t>decision-making</w:t>
      </w:r>
      <w:r w:rsidR="003D640C">
        <w:rPr>
          <w:rFonts w:ascii="Calibri" w:hAnsi="Calibri" w:cs="Calibri"/>
          <w:bCs/>
          <w:lang w:eastAsia="en-NZ"/>
        </w:rPr>
        <w:t xml:space="preserve"> </w:t>
      </w:r>
      <w:r w:rsidR="00FB4AE2">
        <w:rPr>
          <w:rFonts w:ascii="Calibri" w:hAnsi="Calibri" w:cs="Calibri"/>
          <w:bCs/>
          <w:lang w:eastAsia="en-NZ"/>
        </w:rPr>
        <w:t>capacity.</w:t>
      </w:r>
      <w:r w:rsidR="003D640C">
        <w:rPr>
          <w:rFonts w:ascii="Calibri" w:hAnsi="Calibri" w:cs="Calibri"/>
          <w:bCs/>
          <w:lang w:eastAsia="en-NZ"/>
        </w:rPr>
        <w:t xml:space="preserve"> </w:t>
      </w:r>
      <w:r w:rsidR="00ED4309" w:rsidRPr="00BB6220">
        <w:rPr>
          <w:rFonts w:ascii="Calibri" w:hAnsi="Calibri" w:cs="Calibri"/>
          <w:lang w:eastAsia="en-NZ"/>
        </w:rPr>
        <w:t>Ensure</w:t>
      </w:r>
      <w:r w:rsidR="003D640C">
        <w:rPr>
          <w:rFonts w:ascii="Calibri" w:hAnsi="Calibri" w:cs="Calibri"/>
          <w:lang w:eastAsia="en-NZ"/>
        </w:rPr>
        <w:t xml:space="preserve"> </w:t>
      </w:r>
      <w:r w:rsidR="00ED4309" w:rsidRPr="00BB6220">
        <w:rPr>
          <w:rFonts w:ascii="Calibri" w:hAnsi="Calibri" w:cs="Calibri"/>
          <w:lang w:eastAsia="en-NZ"/>
        </w:rPr>
        <w:t>organisational</w:t>
      </w:r>
      <w:r w:rsidR="003D640C">
        <w:rPr>
          <w:rFonts w:ascii="Calibri" w:hAnsi="Calibri" w:cs="Calibri"/>
          <w:lang w:eastAsia="en-NZ"/>
        </w:rPr>
        <w:t xml:space="preserve"> </w:t>
      </w:r>
      <w:r w:rsidR="00ED4309" w:rsidRPr="00BB6220">
        <w:rPr>
          <w:rFonts w:ascii="Calibri" w:hAnsi="Calibri" w:cs="Calibri"/>
          <w:lang w:eastAsia="en-NZ"/>
        </w:rPr>
        <w:t>capability</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know</w:t>
      </w:r>
      <w:r w:rsidR="003D640C">
        <w:rPr>
          <w:rFonts w:ascii="Calibri" w:hAnsi="Calibri" w:cs="Calibri"/>
          <w:lang w:eastAsia="en-NZ"/>
        </w:rPr>
        <w:t xml:space="preserve"> </w:t>
      </w:r>
      <w:r w:rsidRPr="00BB6220">
        <w:rPr>
          <w:rFonts w:ascii="Calibri" w:hAnsi="Calibri" w:cs="Calibri"/>
          <w:lang w:eastAsia="en-NZ"/>
        </w:rPr>
        <w:t>how</w:t>
      </w:r>
      <w:r w:rsidR="003D640C">
        <w:rPr>
          <w:rFonts w:ascii="Calibri" w:hAnsi="Calibri" w:cs="Calibri"/>
          <w:lang w:eastAsia="en-NZ"/>
        </w:rPr>
        <w:t xml:space="preserve"> </w:t>
      </w:r>
      <w:r w:rsidRPr="00BB6220">
        <w:rPr>
          <w:rFonts w:ascii="Calibri" w:hAnsi="Calibri" w:cs="Calibri"/>
          <w:lang w:eastAsia="en-NZ"/>
        </w:rPr>
        <w:t>to</w:t>
      </w:r>
      <w:r w:rsidR="003D640C">
        <w:rPr>
          <w:rFonts w:ascii="Calibri" w:hAnsi="Calibri" w:cs="Calibri"/>
          <w:lang w:eastAsia="en-NZ"/>
        </w:rPr>
        <w:t xml:space="preserve"> </w:t>
      </w:r>
      <w:r w:rsidRPr="00BB6220">
        <w:rPr>
          <w:rFonts w:ascii="Calibri" w:hAnsi="Calibri" w:cs="Calibri"/>
          <w:lang w:eastAsia="en-NZ"/>
        </w:rPr>
        <w:t>recognise</w:t>
      </w:r>
      <w:r w:rsidR="003D640C">
        <w:rPr>
          <w:rFonts w:ascii="Calibri" w:hAnsi="Calibri" w:cs="Calibri"/>
          <w:lang w:eastAsia="en-NZ"/>
        </w:rPr>
        <w:t xml:space="preserve"> </w:t>
      </w:r>
      <w:r w:rsidR="00FB4AE2">
        <w:rPr>
          <w:rFonts w:ascii="Calibri" w:hAnsi="Calibri" w:cs="Calibri"/>
          <w:lang w:eastAsia="en-NZ"/>
        </w:rPr>
        <w:t>conversion</w:t>
      </w:r>
      <w:r w:rsidR="003D640C">
        <w:rPr>
          <w:rFonts w:ascii="Calibri" w:hAnsi="Calibri" w:cs="Calibri"/>
          <w:lang w:eastAsia="en-NZ"/>
        </w:rPr>
        <w:t xml:space="preserve"> </w:t>
      </w:r>
      <w:r w:rsidRPr="00BB6220">
        <w:rPr>
          <w:rFonts w:ascii="Calibri" w:hAnsi="Calibri" w:cs="Calibri"/>
          <w:lang w:eastAsia="en-NZ"/>
        </w:rPr>
        <w:t>practices</w:t>
      </w:r>
      <w:r w:rsidR="003D640C">
        <w:rPr>
          <w:rFonts w:ascii="Calibri" w:hAnsi="Calibri" w:cs="Calibri"/>
          <w:lang w:eastAsia="en-NZ"/>
        </w:rPr>
        <w:t xml:space="preserve"> </w:t>
      </w:r>
      <w:r w:rsidRPr="00BB6220">
        <w:rPr>
          <w:rFonts w:ascii="Calibri" w:hAnsi="Calibri" w:cs="Calibri"/>
          <w:lang w:eastAsia="en-NZ"/>
        </w:rPr>
        <w:t>and</w:t>
      </w:r>
      <w:r w:rsidR="003D640C">
        <w:rPr>
          <w:rFonts w:ascii="Calibri" w:hAnsi="Calibri" w:cs="Calibri"/>
          <w:lang w:eastAsia="en-NZ"/>
        </w:rPr>
        <w:t xml:space="preserve"> </w:t>
      </w:r>
      <w:r w:rsidRPr="00BB6220">
        <w:rPr>
          <w:rFonts w:ascii="Calibri" w:hAnsi="Calibri" w:cs="Calibri"/>
          <w:lang w:eastAsia="en-NZ"/>
        </w:rPr>
        <w:t>be</w:t>
      </w:r>
      <w:r w:rsidR="003D640C">
        <w:rPr>
          <w:rFonts w:ascii="Calibri" w:hAnsi="Calibri" w:cs="Calibri"/>
          <w:lang w:eastAsia="en-NZ"/>
        </w:rPr>
        <w:t xml:space="preserve"> </w:t>
      </w:r>
      <w:r w:rsidRPr="00BB6220">
        <w:rPr>
          <w:rFonts w:ascii="Calibri" w:hAnsi="Calibri" w:cs="Calibri"/>
          <w:lang w:eastAsia="en-NZ"/>
        </w:rPr>
        <w:t>clear</w:t>
      </w:r>
      <w:r w:rsidR="003D640C">
        <w:rPr>
          <w:rFonts w:ascii="Calibri" w:hAnsi="Calibri" w:cs="Calibri"/>
          <w:lang w:eastAsia="en-NZ"/>
        </w:rPr>
        <w:t xml:space="preserve"> </w:t>
      </w:r>
      <w:r w:rsidRPr="00BB6220">
        <w:rPr>
          <w:rFonts w:ascii="Calibri" w:hAnsi="Calibri" w:cs="Calibri"/>
          <w:lang w:eastAsia="en-NZ"/>
        </w:rPr>
        <w:t>on</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rights</w:t>
      </w:r>
      <w:r w:rsidR="003D640C">
        <w:rPr>
          <w:rFonts w:ascii="Calibri" w:hAnsi="Calibri" w:cs="Calibri"/>
          <w:lang w:eastAsia="en-NZ"/>
        </w:rPr>
        <w:t xml:space="preserve"> </w:t>
      </w:r>
      <w:r w:rsidRPr="00BB6220">
        <w:rPr>
          <w:rFonts w:ascii="Calibri" w:hAnsi="Calibri" w:cs="Calibri"/>
          <w:lang w:eastAsia="en-NZ"/>
        </w:rPr>
        <w:t>of</w:t>
      </w:r>
      <w:r w:rsidR="003D640C">
        <w:rPr>
          <w:rFonts w:ascii="Calibri" w:hAnsi="Calibri" w:cs="Calibri"/>
          <w:lang w:eastAsia="en-NZ"/>
        </w:rPr>
        <w:t xml:space="preserve"> </w:t>
      </w:r>
      <w:r w:rsidRPr="00BB6220">
        <w:rPr>
          <w:rFonts w:ascii="Calibri" w:hAnsi="Calibri" w:cs="Calibri"/>
          <w:lang w:eastAsia="en-NZ"/>
        </w:rPr>
        <w:t>the</w:t>
      </w:r>
      <w:r w:rsidR="003D640C">
        <w:rPr>
          <w:rFonts w:ascii="Calibri" w:hAnsi="Calibri" w:cs="Calibri"/>
          <w:lang w:eastAsia="en-NZ"/>
        </w:rPr>
        <w:t xml:space="preserve"> </w:t>
      </w:r>
      <w:r w:rsidRPr="00BB6220">
        <w:rPr>
          <w:rFonts w:ascii="Calibri" w:hAnsi="Calibri" w:cs="Calibri"/>
          <w:lang w:eastAsia="en-NZ"/>
        </w:rPr>
        <w:t>young</w:t>
      </w:r>
      <w:r w:rsidR="003D640C">
        <w:rPr>
          <w:rFonts w:ascii="Calibri" w:hAnsi="Calibri" w:cs="Calibri"/>
          <w:lang w:eastAsia="en-NZ"/>
        </w:rPr>
        <w:t xml:space="preserve"> </w:t>
      </w:r>
      <w:r w:rsidRPr="00BB6220">
        <w:rPr>
          <w:rFonts w:ascii="Calibri" w:hAnsi="Calibri" w:cs="Calibri"/>
          <w:lang w:eastAsia="en-NZ"/>
        </w:rPr>
        <w:t>people</w:t>
      </w:r>
      <w:r w:rsidR="003D640C">
        <w:rPr>
          <w:rFonts w:ascii="Calibri" w:hAnsi="Calibri" w:cs="Calibri"/>
          <w:lang w:eastAsia="en-NZ"/>
        </w:rPr>
        <w:t xml:space="preserve"> </w:t>
      </w:r>
      <w:r w:rsidR="009D4A3C">
        <w:rPr>
          <w:rFonts w:ascii="Calibri" w:hAnsi="Calibri" w:cs="Calibri"/>
          <w:lang w:eastAsia="en-NZ"/>
        </w:rPr>
        <w:t>with</w:t>
      </w:r>
      <w:r w:rsidR="003D640C">
        <w:rPr>
          <w:rFonts w:ascii="Calibri" w:hAnsi="Calibri" w:cs="Calibri"/>
          <w:lang w:eastAsia="en-NZ"/>
        </w:rPr>
        <w:t xml:space="preserve"> </w:t>
      </w:r>
      <w:r w:rsidR="009D4A3C">
        <w:rPr>
          <w:rFonts w:ascii="Calibri" w:hAnsi="Calibri" w:cs="Calibri"/>
          <w:lang w:eastAsia="en-NZ"/>
        </w:rPr>
        <w:t>whom</w:t>
      </w:r>
      <w:r w:rsidR="003D640C">
        <w:rPr>
          <w:rFonts w:ascii="Calibri" w:hAnsi="Calibri" w:cs="Calibri"/>
          <w:lang w:eastAsia="en-NZ"/>
        </w:rPr>
        <w:t xml:space="preserve"> </w:t>
      </w:r>
      <w:r w:rsidRPr="00BB6220">
        <w:rPr>
          <w:rFonts w:ascii="Calibri" w:hAnsi="Calibri" w:cs="Calibri"/>
          <w:lang w:eastAsia="en-NZ"/>
        </w:rPr>
        <w:t>you</w:t>
      </w:r>
      <w:r w:rsidR="003D640C">
        <w:rPr>
          <w:rFonts w:ascii="Calibri" w:hAnsi="Calibri" w:cs="Calibri"/>
          <w:lang w:eastAsia="en-NZ"/>
        </w:rPr>
        <w:t xml:space="preserve"> </w:t>
      </w:r>
      <w:r w:rsidRPr="00BB6220">
        <w:rPr>
          <w:rFonts w:ascii="Calibri" w:hAnsi="Calibri" w:cs="Calibri"/>
          <w:lang w:eastAsia="en-NZ"/>
        </w:rPr>
        <w:t>are</w:t>
      </w:r>
      <w:r w:rsidR="003D640C">
        <w:rPr>
          <w:rFonts w:ascii="Calibri" w:hAnsi="Calibri" w:cs="Calibri"/>
          <w:lang w:eastAsia="en-NZ"/>
        </w:rPr>
        <w:t xml:space="preserve"> </w:t>
      </w:r>
      <w:r w:rsidRPr="00BB6220">
        <w:rPr>
          <w:rFonts w:ascii="Calibri" w:hAnsi="Calibri" w:cs="Calibri"/>
          <w:lang w:eastAsia="en-NZ"/>
        </w:rPr>
        <w:t>working.</w:t>
      </w:r>
    </w:p>
    <w:p w14:paraId="7A010AA7" w14:textId="3FC468BF" w:rsidR="00501068" w:rsidRDefault="009D4A3C" w:rsidP="0097273A">
      <w:pPr>
        <w:pStyle w:val="Heading2"/>
      </w:pPr>
      <w:bookmarkStart w:id="477" w:name="_Toc138325215"/>
      <w:bookmarkStart w:id="478" w:name="_Toc138343872"/>
      <w:bookmarkStart w:id="479" w:name="_Toc167780660"/>
      <w:bookmarkStart w:id="480" w:name="_Toc2114589451"/>
      <w:bookmarkStart w:id="481" w:name="_Toc174628722"/>
      <w:r>
        <w:t>To</w:t>
      </w:r>
      <w:r w:rsidR="003D640C">
        <w:t xml:space="preserve"> </w:t>
      </w:r>
      <w:r w:rsidR="00C044A8" w:rsidRPr="00BB6220">
        <w:t>Māori</w:t>
      </w:r>
      <w:r w:rsidR="003D640C">
        <w:t xml:space="preserve"> </w:t>
      </w:r>
      <w:r w:rsidR="00C044A8" w:rsidRPr="00BB6220">
        <w:t>communities</w:t>
      </w:r>
      <w:r w:rsidR="003D640C">
        <w:t xml:space="preserve"> </w:t>
      </w:r>
      <w:r w:rsidR="00C044A8" w:rsidRPr="00BB6220">
        <w:t>affirmin</w:t>
      </w:r>
      <w:r w:rsidR="00C044A8" w:rsidRPr="00BB6220">
        <w:rPr>
          <w:color w:val="1F3763"/>
        </w:rPr>
        <w:t>g</w:t>
      </w:r>
      <w:r w:rsidR="003D640C">
        <w:rPr>
          <w:color w:val="1F3763"/>
        </w:rPr>
        <w:t xml:space="preserve"> </w:t>
      </w:r>
      <w:bookmarkEnd w:id="477"/>
      <w:bookmarkEnd w:id="478"/>
      <w:r w:rsidR="7F8846AE" w:rsidRPr="00BB6220">
        <w:rPr>
          <w:color w:val="1F3763"/>
        </w:rPr>
        <w:t>takatāpui</w:t>
      </w:r>
      <w:bookmarkEnd w:id="479"/>
      <w:bookmarkEnd w:id="480"/>
      <w:bookmarkEnd w:id="481"/>
    </w:p>
    <w:p w14:paraId="225A41A8" w14:textId="6CF330AA" w:rsidR="00501068" w:rsidRDefault="00C044A8" w:rsidP="009B737E">
      <w:pPr>
        <w:rPr>
          <w:lang w:eastAsia="en-NZ"/>
        </w:rPr>
      </w:pPr>
      <w:r w:rsidRPr="00BB6220">
        <w:rPr>
          <w:lang w:eastAsia="en-NZ"/>
        </w:rPr>
        <w:t>Re</w:t>
      </w:r>
      <w:r w:rsidR="00083EAE" w:rsidRPr="00BB6220">
        <w:rPr>
          <w:lang w:eastAsia="en-NZ"/>
        </w:rPr>
        <w:t>vitalising</w:t>
      </w:r>
      <w:r w:rsidR="003D640C">
        <w:rPr>
          <w:lang w:eastAsia="en-NZ"/>
        </w:rPr>
        <w:t xml:space="preserve"> </w:t>
      </w:r>
      <w:r w:rsidRPr="00BB6220">
        <w:rPr>
          <w:lang w:eastAsia="en-NZ"/>
        </w:rPr>
        <w:t>mātauranga</w:t>
      </w:r>
      <w:r w:rsidR="003D640C">
        <w:rPr>
          <w:lang w:eastAsia="en-NZ"/>
        </w:rPr>
        <w:t xml:space="preserve"> </w:t>
      </w:r>
      <w:r w:rsidRPr="00BB6220">
        <w:rPr>
          <w:lang w:eastAsia="en-NZ"/>
        </w:rPr>
        <w:t>Māori</w:t>
      </w:r>
      <w:r w:rsidR="003D640C">
        <w:rPr>
          <w:lang w:eastAsia="en-NZ"/>
        </w:rPr>
        <w:t xml:space="preserve"> </w:t>
      </w:r>
      <w:r w:rsidRPr="00BB6220">
        <w:rPr>
          <w:lang w:eastAsia="en-NZ"/>
        </w:rPr>
        <w:t>(Māori</w:t>
      </w:r>
      <w:r w:rsidR="003D640C">
        <w:rPr>
          <w:lang w:eastAsia="en-NZ"/>
        </w:rPr>
        <w:t xml:space="preserve"> </w:t>
      </w:r>
      <w:r w:rsidRPr="00BB6220">
        <w:rPr>
          <w:lang w:eastAsia="en-NZ"/>
        </w:rPr>
        <w:t>knowledge)</w:t>
      </w:r>
      <w:r w:rsidR="003D640C">
        <w:rPr>
          <w:lang w:eastAsia="en-NZ"/>
        </w:rPr>
        <w:t xml:space="preserve"> </w:t>
      </w:r>
      <w:r w:rsidR="00083EAE" w:rsidRPr="00BB6220">
        <w:rPr>
          <w:lang w:eastAsia="en-NZ"/>
        </w:rPr>
        <w:t>can</w:t>
      </w:r>
      <w:r w:rsidR="003D640C">
        <w:rPr>
          <w:lang w:eastAsia="en-NZ"/>
        </w:rPr>
        <w:t xml:space="preserve"> </w:t>
      </w:r>
      <w:r w:rsidR="00083EAE" w:rsidRPr="00BB6220">
        <w:rPr>
          <w:lang w:eastAsia="en-NZ"/>
        </w:rPr>
        <w:t>counter</w:t>
      </w:r>
      <w:r w:rsidR="003D640C">
        <w:rPr>
          <w:lang w:eastAsia="en-NZ"/>
        </w:rPr>
        <w:t xml:space="preserve"> </w:t>
      </w:r>
      <w:r w:rsidR="00083EAE" w:rsidRPr="00BB6220">
        <w:rPr>
          <w:lang w:eastAsia="en-NZ"/>
        </w:rPr>
        <w:t>and</w:t>
      </w:r>
      <w:r w:rsidR="003D640C">
        <w:rPr>
          <w:lang w:eastAsia="en-NZ"/>
        </w:rPr>
        <w:t xml:space="preserve"> </w:t>
      </w:r>
      <w:r w:rsidRPr="00BB6220">
        <w:rPr>
          <w:lang w:eastAsia="en-NZ"/>
        </w:rPr>
        <w:t>prevent</w:t>
      </w:r>
      <w:r w:rsidR="003D640C">
        <w:rPr>
          <w:lang w:eastAsia="en-NZ"/>
        </w:rPr>
        <w:t xml:space="preserve"> </w:t>
      </w:r>
      <w:r w:rsidRPr="00BB6220">
        <w:rPr>
          <w:lang w:eastAsia="en-NZ"/>
        </w:rPr>
        <w:t>religious</w:t>
      </w:r>
      <w:r w:rsidR="003D640C">
        <w:rPr>
          <w:lang w:eastAsia="en-NZ"/>
        </w:rPr>
        <w:t xml:space="preserve"> </w:t>
      </w:r>
      <w:r w:rsidRPr="00BB6220">
        <w:rPr>
          <w:lang w:eastAsia="en-NZ"/>
        </w:rPr>
        <w:t>and</w:t>
      </w:r>
      <w:r w:rsidR="003D640C">
        <w:rPr>
          <w:lang w:eastAsia="en-NZ"/>
        </w:rPr>
        <w:t xml:space="preserve"> </w:t>
      </w:r>
      <w:r w:rsidRPr="00BB6220">
        <w:rPr>
          <w:lang w:eastAsia="en-NZ"/>
        </w:rPr>
        <w:t>culturally</w:t>
      </w:r>
      <w:r w:rsidR="003D640C">
        <w:rPr>
          <w:lang w:eastAsia="en-NZ"/>
        </w:rPr>
        <w:t xml:space="preserve"> </w:t>
      </w:r>
      <w:r w:rsidRPr="00BB6220">
        <w:rPr>
          <w:lang w:eastAsia="en-NZ"/>
        </w:rPr>
        <w:t>motivated</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and</w:t>
      </w:r>
      <w:r w:rsidR="003D640C">
        <w:rPr>
          <w:lang w:eastAsia="en-NZ"/>
        </w:rPr>
        <w:t xml:space="preserve"> </w:t>
      </w:r>
      <w:r w:rsidRPr="00BB6220">
        <w:rPr>
          <w:lang w:eastAsia="en-NZ"/>
        </w:rPr>
        <w:t>ideology.</w:t>
      </w:r>
      <w:r w:rsidR="003D640C">
        <w:rPr>
          <w:lang w:eastAsia="en-NZ"/>
        </w:rPr>
        <w:t xml:space="preserve"> </w:t>
      </w:r>
      <w:r w:rsidRPr="00BB6220">
        <w:rPr>
          <w:lang w:eastAsia="en-NZ"/>
        </w:rPr>
        <w:t>Tangata</w:t>
      </w:r>
      <w:r w:rsidR="003D640C">
        <w:rPr>
          <w:lang w:eastAsia="en-NZ"/>
        </w:rPr>
        <w:t xml:space="preserve"> </w:t>
      </w:r>
      <w:r w:rsidR="007A7C28">
        <w:rPr>
          <w:lang w:eastAsia="en-NZ"/>
        </w:rPr>
        <w:t>W</w:t>
      </w:r>
      <w:r w:rsidRPr="00BB6220">
        <w:rPr>
          <w:lang w:eastAsia="en-NZ"/>
        </w:rPr>
        <w:t>henua</w:t>
      </w:r>
      <w:r w:rsidR="003D640C">
        <w:rPr>
          <w:lang w:eastAsia="en-NZ"/>
        </w:rPr>
        <w:t xml:space="preserve"> </w:t>
      </w:r>
      <w:r w:rsidR="00083EAE" w:rsidRPr="00BB6220">
        <w:rPr>
          <w:color w:val="000000" w:themeColor="text1"/>
          <w:lang w:eastAsia="en-NZ"/>
        </w:rPr>
        <w:t>can</w:t>
      </w:r>
      <w:r w:rsidR="003D640C">
        <w:rPr>
          <w:color w:val="000000" w:themeColor="text1"/>
          <w:lang w:eastAsia="en-NZ"/>
        </w:rPr>
        <w:t xml:space="preserve"> </w:t>
      </w:r>
      <w:r w:rsidRPr="00BB6220">
        <w:rPr>
          <w:color w:val="000000" w:themeColor="text1"/>
          <w:lang w:eastAsia="en-NZ"/>
        </w:rPr>
        <w:t>exercise</w:t>
      </w:r>
      <w:r w:rsidR="003D640C">
        <w:rPr>
          <w:color w:val="000000" w:themeColor="text1"/>
          <w:lang w:eastAsia="en-NZ"/>
        </w:rPr>
        <w:t xml:space="preserve"> </w:t>
      </w:r>
      <w:r w:rsidRPr="00BB6220">
        <w:rPr>
          <w:color w:val="000000" w:themeColor="text1"/>
          <w:lang w:eastAsia="en-NZ"/>
        </w:rPr>
        <w:t>tino</w:t>
      </w:r>
      <w:r w:rsidR="003D640C">
        <w:rPr>
          <w:color w:val="000000" w:themeColor="text1"/>
          <w:lang w:eastAsia="en-NZ"/>
        </w:rPr>
        <w:t xml:space="preserve"> </w:t>
      </w:r>
      <w:r w:rsidRPr="00BB6220">
        <w:rPr>
          <w:color w:val="000000" w:themeColor="text1"/>
          <w:lang w:eastAsia="en-NZ"/>
        </w:rPr>
        <w:t>rangatiratanga</w:t>
      </w:r>
      <w:r w:rsidR="003D640C">
        <w:rPr>
          <w:color w:val="000000" w:themeColor="text1"/>
          <w:lang w:eastAsia="en-NZ"/>
        </w:rPr>
        <w:t xml:space="preserve"> </w:t>
      </w:r>
      <w:r w:rsidRPr="00BB6220">
        <w:rPr>
          <w:color w:val="000000" w:themeColor="text1"/>
          <w:lang w:eastAsia="en-NZ"/>
        </w:rPr>
        <w:t>to</w:t>
      </w:r>
      <w:r w:rsidR="003D640C">
        <w:rPr>
          <w:color w:val="000000" w:themeColor="text1"/>
          <w:lang w:eastAsia="en-NZ"/>
        </w:rPr>
        <w:t xml:space="preserve"> </w:t>
      </w:r>
      <w:r w:rsidRPr="00BB6220">
        <w:rPr>
          <w:color w:val="000000" w:themeColor="text1"/>
          <w:lang w:eastAsia="en-NZ"/>
        </w:rPr>
        <w:t>develop</w:t>
      </w:r>
      <w:r w:rsidR="003D640C">
        <w:rPr>
          <w:color w:val="000000" w:themeColor="text1"/>
          <w:lang w:eastAsia="en-NZ"/>
        </w:rPr>
        <w:t xml:space="preserve"> </w:t>
      </w:r>
      <w:r w:rsidRPr="00BB6220">
        <w:rPr>
          <w:color w:val="000000" w:themeColor="text1"/>
          <w:lang w:eastAsia="en-NZ"/>
        </w:rPr>
        <w:t>approaches</w:t>
      </w:r>
      <w:r w:rsidR="003D640C">
        <w:rPr>
          <w:color w:val="000000" w:themeColor="text1"/>
          <w:lang w:eastAsia="en-NZ"/>
        </w:rPr>
        <w:t xml:space="preserve"> </w:t>
      </w:r>
      <w:r w:rsidRPr="00BB6220">
        <w:rPr>
          <w:color w:val="000000" w:themeColor="text1"/>
          <w:lang w:eastAsia="en-NZ"/>
        </w:rPr>
        <w:t>that</w:t>
      </w:r>
      <w:r w:rsidR="003D640C">
        <w:rPr>
          <w:color w:val="000000" w:themeColor="text1"/>
          <w:lang w:eastAsia="en-NZ"/>
        </w:rPr>
        <w:t xml:space="preserve"> </w:t>
      </w:r>
      <w:r w:rsidRPr="00BB6220">
        <w:rPr>
          <w:color w:val="000000" w:themeColor="text1"/>
          <w:lang w:eastAsia="en-NZ"/>
        </w:rPr>
        <w:t>work</w:t>
      </w:r>
      <w:r w:rsidR="003D640C">
        <w:rPr>
          <w:color w:val="000000" w:themeColor="text1"/>
          <w:lang w:eastAsia="en-NZ"/>
        </w:rPr>
        <w:t xml:space="preserve"> </w:t>
      </w:r>
      <w:r w:rsidRPr="00BB6220">
        <w:rPr>
          <w:color w:val="000000" w:themeColor="text1"/>
          <w:lang w:eastAsia="en-NZ"/>
        </w:rPr>
        <w:t>for</w:t>
      </w:r>
      <w:r w:rsidR="003D640C">
        <w:rPr>
          <w:color w:val="000000" w:themeColor="text1"/>
          <w:lang w:eastAsia="en-NZ"/>
        </w:rPr>
        <w:t xml:space="preserve"> </w:t>
      </w:r>
      <w:r w:rsidRPr="00BB6220">
        <w:rPr>
          <w:color w:val="000000" w:themeColor="text1"/>
          <w:lang w:eastAsia="en-NZ"/>
        </w:rPr>
        <w:t>Māori</w:t>
      </w:r>
      <w:r w:rsidR="003D640C">
        <w:rPr>
          <w:color w:val="000000" w:themeColor="text1"/>
          <w:lang w:eastAsia="en-NZ"/>
        </w:rPr>
        <w:t xml:space="preserve"> </w:t>
      </w:r>
      <w:r w:rsidRPr="00BB6220">
        <w:rPr>
          <w:color w:val="000000" w:themeColor="text1"/>
          <w:lang w:eastAsia="en-NZ"/>
        </w:rPr>
        <w:t>communities.</w:t>
      </w:r>
      <w:r w:rsidR="003D640C">
        <w:rPr>
          <w:color w:val="000000" w:themeColor="text1"/>
          <w:lang w:eastAsia="en-NZ"/>
        </w:rPr>
        <w:t xml:space="preserve"> </w:t>
      </w:r>
      <w:r w:rsidRPr="00BB6220">
        <w:rPr>
          <w:color w:val="000000" w:themeColor="text1"/>
          <w:lang w:eastAsia="en-NZ"/>
        </w:rPr>
        <w:t>The</w:t>
      </w:r>
      <w:r w:rsidR="003D640C">
        <w:rPr>
          <w:color w:val="000000" w:themeColor="text1"/>
          <w:lang w:eastAsia="en-NZ"/>
        </w:rPr>
        <w:t xml:space="preserve"> </w:t>
      </w:r>
      <w:r w:rsidRPr="00BB6220">
        <w:rPr>
          <w:color w:val="000000" w:themeColor="text1"/>
          <w:lang w:eastAsia="en-NZ"/>
        </w:rPr>
        <w:t>Commission</w:t>
      </w:r>
      <w:r w:rsidR="003D640C">
        <w:rPr>
          <w:color w:val="000000" w:themeColor="text1"/>
          <w:lang w:eastAsia="en-NZ"/>
        </w:rPr>
        <w:t xml:space="preserve"> </w:t>
      </w:r>
      <w:r w:rsidRPr="00BB6220">
        <w:rPr>
          <w:color w:val="000000" w:themeColor="text1"/>
          <w:lang w:eastAsia="en-NZ"/>
        </w:rPr>
        <w:t>shares</w:t>
      </w:r>
      <w:r w:rsidR="003D640C">
        <w:rPr>
          <w:color w:val="000000" w:themeColor="text1"/>
          <w:lang w:eastAsia="en-NZ"/>
        </w:rPr>
        <w:t xml:space="preserve"> </w:t>
      </w:r>
      <w:r w:rsidRPr="00BB6220">
        <w:rPr>
          <w:color w:val="000000" w:themeColor="text1"/>
          <w:lang w:eastAsia="en-NZ"/>
        </w:rPr>
        <w:t>recommendations</w:t>
      </w:r>
      <w:r w:rsidR="003D640C">
        <w:rPr>
          <w:color w:val="000000" w:themeColor="text1"/>
          <w:lang w:eastAsia="en-NZ"/>
        </w:rPr>
        <w:t xml:space="preserve"> </w:t>
      </w:r>
      <w:r w:rsidRPr="00BB6220">
        <w:rPr>
          <w:color w:val="000000" w:themeColor="text1"/>
          <w:lang w:eastAsia="en-NZ"/>
        </w:rPr>
        <w:t>based</w:t>
      </w:r>
      <w:r w:rsidR="003D640C">
        <w:rPr>
          <w:color w:val="000000" w:themeColor="text1"/>
          <w:lang w:eastAsia="en-NZ"/>
        </w:rPr>
        <w:t xml:space="preserve"> </w:t>
      </w:r>
      <w:r w:rsidRPr="00BB6220">
        <w:rPr>
          <w:color w:val="000000" w:themeColor="text1"/>
          <w:lang w:eastAsia="en-NZ"/>
        </w:rPr>
        <w:t>on</w:t>
      </w:r>
      <w:r w:rsidR="003D640C">
        <w:rPr>
          <w:color w:val="000000" w:themeColor="text1"/>
          <w:lang w:eastAsia="en-NZ"/>
        </w:rPr>
        <w:t xml:space="preserve"> </w:t>
      </w:r>
      <w:r w:rsidRPr="00BB6220">
        <w:rPr>
          <w:color w:val="000000" w:themeColor="text1"/>
          <w:lang w:eastAsia="en-NZ"/>
        </w:rPr>
        <w:t>engagement</w:t>
      </w:r>
      <w:r w:rsidR="003D640C">
        <w:rPr>
          <w:color w:val="000000" w:themeColor="text1"/>
          <w:lang w:eastAsia="en-NZ"/>
        </w:rPr>
        <w:t xml:space="preserve"> </w:t>
      </w:r>
      <w:r w:rsidRPr="00BB6220">
        <w:rPr>
          <w:color w:val="000000" w:themeColor="text1"/>
          <w:lang w:eastAsia="en-NZ"/>
        </w:rPr>
        <w:t>with</w:t>
      </w:r>
      <w:r w:rsidR="003D640C">
        <w:rPr>
          <w:color w:val="000000" w:themeColor="text1"/>
          <w:lang w:eastAsia="en-NZ"/>
        </w:rPr>
        <w:t xml:space="preserve"> </w:t>
      </w:r>
      <w:r w:rsidRPr="00BB6220">
        <w:rPr>
          <w:color w:val="000000" w:themeColor="text1"/>
          <w:lang w:eastAsia="en-NZ"/>
        </w:rPr>
        <w:t>survivors</w:t>
      </w:r>
      <w:r w:rsidR="003D640C">
        <w:rPr>
          <w:color w:val="000000" w:themeColor="text1"/>
          <w:lang w:eastAsia="en-NZ"/>
        </w:rPr>
        <w:t xml:space="preserve"> </w:t>
      </w:r>
      <w:r w:rsidRPr="00BB6220">
        <w:rPr>
          <w:color w:val="000000" w:themeColor="text1"/>
          <w:lang w:eastAsia="en-NZ"/>
        </w:rPr>
        <w:t>and</w:t>
      </w:r>
      <w:r w:rsidR="003D640C">
        <w:rPr>
          <w:color w:val="000000" w:themeColor="text1"/>
          <w:lang w:eastAsia="en-NZ"/>
        </w:rPr>
        <w:t xml:space="preserve"> </w:t>
      </w:r>
      <w:r w:rsidRPr="00BB6220">
        <w:rPr>
          <w:color w:val="000000" w:themeColor="text1"/>
          <w:lang w:eastAsia="en-NZ"/>
        </w:rPr>
        <w:t>informed</w:t>
      </w:r>
      <w:r w:rsidR="003D640C">
        <w:rPr>
          <w:color w:val="000000" w:themeColor="text1"/>
          <w:lang w:eastAsia="en-NZ"/>
        </w:rPr>
        <w:t xml:space="preserve"> </w:t>
      </w:r>
      <w:r w:rsidRPr="00BB6220">
        <w:rPr>
          <w:color w:val="000000" w:themeColor="text1"/>
          <w:lang w:eastAsia="en-NZ"/>
        </w:rPr>
        <w:t>by</w:t>
      </w:r>
      <w:r w:rsidR="003D640C">
        <w:rPr>
          <w:color w:val="000000" w:themeColor="text1"/>
          <w:lang w:eastAsia="en-NZ"/>
        </w:rPr>
        <w:t xml:space="preserve"> </w:t>
      </w:r>
      <w:r w:rsidRPr="00BB6220">
        <w:rPr>
          <w:color w:val="000000" w:themeColor="text1"/>
          <w:lang w:eastAsia="en-NZ"/>
        </w:rPr>
        <w:t>best</w:t>
      </w:r>
      <w:r w:rsidR="003D640C">
        <w:rPr>
          <w:color w:val="000000" w:themeColor="text1"/>
          <w:lang w:eastAsia="en-NZ"/>
        </w:rPr>
        <w:t xml:space="preserve"> </w:t>
      </w:r>
      <w:r w:rsidRPr="00BB6220">
        <w:rPr>
          <w:color w:val="000000" w:themeColor="text1"/>
          <w:lang w:eastAsia="en-NZ"/>
        </w:rPr>
        <w:t>practices</w:t>
      </w:r>
      <w:r w:rsidR="003D640C">
        <w:rPr>
          <w:color w:val="000000" w:themeColor="text1"/>
          <w:lang w:eastAsia="en-NZ"/>
        </w:rPr>
        <w:t xml:space="preserve"> </w:t>
      </w:r>
      <w:r w:rsidRPr="00BB6220">
        <w:rPr>
          <w:color w:val="000000" w:themeColor="text1"/>
          <w:lang w:eastAsia="en-NZ"/>
        </w:rPr>
        <w:t>to</w:t>
      </w:r>
      <w:r w:rsidR="003D640C">
        <w:rPr>
          <w:color w:val="000000" w:themeColor="text1"/>
          <w:lang w:eastAsia="en-NZ"/>
        </w:rPr>
        <w:t xml:space="preserve"> </w:t>
      </w:r>
      <w:r w:rsidRPr="00BB6220">
        <w:rPr>
          <w:color w:val="000000" w:themeColor="text1"/>
          <w:lang w:eastAsia="en-NZ"/>
        </w:rPr>
        <w:t>support</w:t>
      </w:r>
      <w:r w:rsidR="003D640C">
        <w:rPr>
          <w:color w:val="000000" w:themeColor="text1"/>
          <w:lang w:eastAsia="en-NZ"/>
        </w:rPr>
        <w:t xml:space="preserve"> </w:t>
      </w:r>
      <w:r w:rsidR="7A7DAAC7" w:rsidRPr="00BB6220">
        <w:rPr>
          <w:color w:val="000000" w:themeColor="text1"/>
          <w:lang w:eastAsia="en-NZ"/>
        </w:rPr>
        <w:t>takatāpui</w:t>
      </w:r>
      <w:r w:rsidR="003D640C">
        <w:rPr>
          <w:color w:val="000000" w:themeColor="text1"/>
          <w:lang w:eastAsia="en-NZ"/>
        </w:rPr>
        <w:t xml:space="preserve"> </w:t>
      </w:r>
      <w:r w:rsidRPr="00BB6220">
        <w:rPr>
          <w:color w:val="000000" w:themeColor="text1"/>
          <w:lang w:eastAsia="en-NZ"/>
        </w:rPr>
        <w:t>and</w:t>
      </w:r>
      <w:r w:rsidR="003D640C">
        <w:rPr>
          <w:color w:val="000000" w:themeColor="text1"/>
          <w:lang w:eastAsia="en-NZ"/>
        </w:rPr>
        <w:t xml:space="preserve"> </w:t>
      </w:r>
      <w:r w:rsidRPr="00BB6220">
        <w:rPr>
          <w:color w:val="000000" w:themeColor="text1"/>
          <w:lang w:eastAsia="en-NZ"/>
        </w:rPr>
        <w:t>Māori</w:t>
      </w:r>
      <w:r w:rsidR="003D640C">
        <w:rPr>
          <w:color w:val="000000" w:themeColor="text1"/>
          <w:lang w:eastAsia="en-NZ"/>
        </w:rPr>
        <w:t xml:space="preserve"> </w:t>
      </w:r>
      <w:r w:rsidRPr="00BB6220">
        <w:rPr>
          <w:color w:val="000000" w:themeColor="text1"/>
          <w:lang w:eastAsia="en-NZ"/>
        </w:rPr>
        <w:t>survivors</w:t>
      </w:r>
      <w:r w:rsidR="003D640C">
        <w:rPr>
          <w:color w:val="000000" w:themeColor="text1"/>
          <w:lang w:eastAsia="en-NZ"/>
        </w:rPr>
        <w:t xml:space="preserve"> </w:t>
      </w:r>
      <w:r w:rsidRPr="00BB6220">
        <w:rPr>
          <w:color w:val="000000" w:themeColor="text1"/>
          <w:lang w:eastAsia="en-NZ"/>
        </w:rPr>
        <w:t>of</w:t>
      </w:r>
      <w:r w:rsidR="003D640C">
        <w:rPr>
          <w:color w:val="000000" w:themeColor="text1"/>
          <w:lang w:eastAsia="en-NZ"/>
        </w:rPr>
        <w:t xml:space="preserve"> </w:t>
      </w:r>
      <w:r w:rsidRPr="00BB6220">
        <w:rPr>
          <w:color w:val="000000" w:themeColor="text1"/>
          <w:lang w:eastAsia="en-NZ"/>
        </w:rPr>
        <w:t>conversion</w:t>
      </w:r>
      <w:r w:rsidR="003D640C">
        <w:rPr>
          <w:color w:val="000000" w:themeColor="text1"/>
          <w:lang w:eastAsia="en-NZ"/>
        </w:rPr>
        <w:t xml:space="preserve"> </w:t>
      </w:r>
      <w:r w:rsidRPr="00BB6220">
        <w:rPr>
          <w:color w:val="000000" w:themeColor="text1"/>
          <w:lang w:eastAsia="en-NZ"/>
        </w:rPr>
        <w:t>practices.</w:t>
      </w:r>
    </w:p>
    <w:p w14:paraId="3463AEB7" w14:textId="5054C63F" w:rsidR="00501068" w:rsidRDefault="00C044A8" w:rsidP="009B737E">
      <w:pPr>
        <w:pStyle w:val="ListParagraph"/>
        <w:numPr>
          <w:ilvl w:val="0"/>
          <w:numId w:val="117"/>
        </w:numPr>
        <w:rPr>
          <w:rFonts w:eastAsia="Times New Roman" w:cstheme="minorHAnsi"/>
          <w:color w:val="000000"/>
          <w:lang w:eastAsia="en-NZ"/>
        </w:rPr>
      </w:pPr>
      <w:r w:rsidRPr="00BB6220">
        <w:rPr>
          <w:rFonts w:eastAsia="Times New Roman"/>
          <w:b/>
          <w:color w:val="000000" w:themeColor="text1"/>
          <w:lang w:eastAsia="en-NZ"/>
        </w:rPr>
        <w:t>Make</w:t>
      </w:r>
      <w:r w:rsidR="003D640C">
        <w:rPr>
          <w:rFonts w:eastAsia="Times New Roman"/>
          <w:b/>
          <w:color w:val="000000" w:themeColor="text1"/>
          <w:lang w:eastAsia="en-NZ"/>
        </w:rPr>
        <w:t xml:space="preserve"> </w:t>
      </w:r>
      <w:r w:rsidRPr="009B737E">
        <w:rPr>
          <w:rFonts w:ascii="Calibri" w:hAnsi="Calibri" w:cs="Calibri"/>
          <w:b/>
          <w:bCs/>
          <w:lang w:eastAsia="en-NZ"/>
        </w:rPr>
        <w:t>space</w:t>
      </w:r>
      <w:r w:rsidR="003D640C">
        <w:rPr>
          <w:rFonts w:eastAsia="Times New Roman"/>
          <w:b/>
          <w:color w:val="000000" w:themeColor="text1"/>
          <w:lang w:eastAsia="en-NZ"/>
        </w:rPr>
        <w:t xml:space="preserve"> </w:t>
      </w:r>
      <w:r w:rsidRPr="00BB6220">
        <w:rPr>
          <w:rFonts w:eastAsia="Times New Roman"/>
          <w:b/>
          <w:color w:val="000000" w:themeColor="text1"/>
          <w:lang w:eastAsia="en-NZ"/>
        </w:rPr>
        <w:t>for</w:t>
      </w:r>
      <w:r w:rsidR="003D640C">
        <w:rPr>
          <w:rFonts w:eastAsia="Times New Roman"/>
          <w:b/>
          <w:color w:val="000000" w:themeColor="text1"/>
          <w:lang w:eastAsia="en-NZ"/>
        </w:rPr>
        <w:t xml:space="preserve"> </w:t>
      </w:r>
      <w:r w:rsidRPr="00BB6220">
        <w:rPr>
          <w:rFonts w:eastAsia="Times New Roman"/>
          <w:b/>
          <w:color w:val="000000" w:themeColor="text1"/>
          <w:lang w:eastAsia="en-NZ"/>
        </w:rPr>
        <w:t>decolonising</w:t>
      </w:r>
      <w:r w:rsidR="003D640C">
        <w:rPr>
          <w:rFonts w:eastAsia="Times New Roman"/>
          <w:b/>
          <w:color w:val="000000" w:themeColor="text1"/>
          <w:lang w:eastAsia="en-NZ"/>
        </w:rPr>
        <w:t xml:space="preserve"> </w:t>
      </w:r>
      <w:r w:rsidRPr="00BB6220">
        <w:rPr>
          <w:rFonts w:eastAsia="Times New Roman"/>
          <w:b/>
          <w:color w:val="000000" w:themeColor="text1"/>
          <w:lang w:eastAsia="en-NZ"/>
        </w:rPr>
        <w:t>perspectives</w:t>
      </w:r>
      <w:r w:rsidR="00B21158">
        <w:rPr>
          <w:rFonts w:eastAsia="Times New Roman"/>
          <w:color w:val="000000" w:themeColor="text1"/>
          <w:lang w:eastAsia="en-NZ"/>
        </w:rPr>
        <w:br/>
      </w:r>
      <w:r w:rsidRPr="00BB6220">
        <w:rPr>
          <w:rFonts w:eastAsia="Times New Roman"/>
          <w:color w:val="000000" w:themeColor="text1"/>
          <w:lang w:eastAsia="en-NZ"/>
        </w:rPr>
        <w:t>Allow</w:t>
      </w:r>
      <w:r w:rsidR="003D640C">
        <w:rPr>
          <w:rFonts w:eastAsia="Times New Roman"/>
          <w:color w:val="000000" w:themeColor="text1"/>
          <w:lang w:eastAsia="en-NZ"/>
        </w:rPr>
        <w:t xml:space="preserve"> </w:t>
      </w:r>
      <w:r w:rsidRPr="00BB6220">
        <w:rPr>
          <w:rFonts w:eastAsia="Times New Roman"/>
          <w:color w:val="000000" w:themeColor="text1"/>
          <w:lang w:eastAsia="en-NZ"/>
        </w:rPr>
        <w:t>for</w:t>
      </w:r>
      <w:r w:rsidR="003D640C">
        <w:rPr>
          <w:rFonts w:eastAsia="Times New Roman"/>
          <w:color w:val="000000" w:themeColor="text1"/>
          <w:lang w:eastAsia="en-NZ"/>
        </w:rPr>
        <w:t xml:space="preserve"> </w:t>
      </w:r>
      <w:r w:rsidRPr="00BB6220">
        <w:rPr>
          <w:rFonts w:eastAsia="Times New Roman"/>
          <w:color w:val="000000" w:themeColor="text1"/>
          <w:lang w:eastAsia="en-NZ"/>
        </w:rPr>
        <w:t>discussions</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reflections</w:t>
      </w:r>
      <w:r w:rsidR="003D640C">
        <w:rPr>
          <w:rFonts w:eastAsia="Times New Roman"/>
          <w:color w:val="000000" w:themeColor="text1"/>
          <w:lang w:eastAsia="en-NZ"/>
        </w:rPr>
        <w:t xml:space="preserve"> </w:t>
      </w:r>
      <w:r w:rsidRPr="00BB6220">
        <w:rPr>
          <w:rFonts w:eastAsia="Times New Roman"/>
          <w:color w:val="000000" w:themeColor="text1"/>
          <w:lang w:eastAsia="en-NZ"/>
        </w:rPr>
        <w:t>on</w:t>
      </w:r>
      <w:r w:rsidR="003D640C">
        <w:rPr>
          <w:rFonts w:eastAsia="Times New Roman"/>
          <w:color w:val="000000" w:themeColor="text1"/>
          <w:lang w:eastAsia="en-NZ"/>
        </w:rPr>
        <w:t xml:space="preserve"> </w:t>
      </w:r>
      <w:r w:rsidRPr="00BB6220">
        <w:rPr>
          <w:rFonts w:eastAsia="Times New Roman"/>
          <w:color w:val="000000" w:themeColor="text1"/>
          <w:lang w:eastAsia="en-NZ"/>
        </w:rPr>
        <w:t>the</w:t>
      </w:r>
      <w:r w:rsidR="003D640C">
        <w:rPr>
          <w:rFonts w:eastAsia="Times New Roman"/>
          <w:color w:val="000000" w:themeColor="text1"/>
          <w:lang w:eastAsia="en-NZ"/>
        </w:rPr>
        <w:t xml:space="preserve"> </w:t>
      </w:r>
      <w:r w:rsidRPr="00BB6220">
        <w:rPr>
          <w:rFonts w:eastAsia="Times New Roman"/>
          <w:color w:val="000000" w:themeColor="text1"/>
          <w:lang w:eastAsia="en-NZ"/>
        </w:rPr>
        <w:t>impact</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colonisation</w:t>
      </w:r>
      <w:r w:rsidR="003D640C">
        <w:rPr>
          <w:rFonts w:eastAsia="Times New Roman"/>
          <w:color w:val="000000" w:themeColor="text1"/>
          <w:lang w:eastAsia="en-NZ"/>
        </w:rPr>
        <w:t xml:space="preserve"> </w:t>
      </w:r>
      <w:r w:rsidRPr="00BB6220">
        <w:rPr>
          <w:rFonts w:eastAsia="Times New Roman"/>
          <w:color w:val="000000" w:themeColor="text1"/>
          <w:lang w:eastAsia="en-NZ"/>
        </w:rPr>
        <w:t>on</w:t>
      </w:r>
      <w:r w:rsidR="003D640C">
        <w:rPr>
          <w:rFonts w:eastAsia="Times New Roman"/>
          <w:color w:val="000000" w:themeColor="text1"/>
          <w:lang w:eastAsia="en-NZ"/>
        </w:rPr>
        <w:t xml:space="preserve"> </w:t>
      </w:r>
      <w:r w:rsidRPr="00BB6220">
        <w:rPr>
          <w:rFonts w:eastAsia="Times New Roman"/>
          <w:color w:val="000000" w:themeColor="text1"/>
          <w:lang w:eastAsia="en-NZ"/>
        </w:rPr>
        <w:t>tikanga</w:t>
      </w:r>
      <w:r w:rsidR="003D640C">
        <w:rPr>
          <w:rFonts w:eastAsia="Times New Roman"/>
          <w:color w:val="000000" w:themeColor="text1"/>
          <w:lang w:eastAsia="en-NZ"/>
        </w:rPr>
        <w:t xml:space="preserve"> </w:t>
      </w:r>
      <w:r w:rsidRPr="00BB6220">
        <w:rPr>
          <w:rFonts w:eastAsia="Times New Roman"/>
          <w:color w:val="000000" w:themeColor="text1"/>
          <w:lang w:eastAsia="en-NZ"/>
        </w:rPr>
        <w:t>Māori</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mātauranga</w:t>
      </w:r>
      <w:r w:rsidR="003D640C">
        <w:rPr>
          <w:rFonts w:eastAsia="Times New Roman"/>
          <w:color w:val="000000" w:themeColor="text1"/>
          <w:lang w:eastAsia="en-NZ"/>
        </w:rPr>
        <w:t xml:space="preserve"> </w:t>
      </w:r>
      <w:r w:rsidRPr="00BB6220">
        <w:rPr>
          <w:rFonts w:eastAsia="Times New Roman"/>
          <w:color w:val="000000" w:themeColor="text1"/>
          <w:lang w:eastAsia="en-NZ"/>
        </w:rPr>
        <w:t>Māori.</w:t>
      </w:r>
      <w:r w:rsidR="003D640C">
        <w:rPr>
          <w:rFonts w:eastAsia="Times New Roman"/>
          <w:color w:val="000000" w:themeColor="text1"/>
          <w:lang w:eastAsia="en-NZ"/>
        </w:rPr>
        <w:t xml:space="preserve"> </w:t>
      </w:r>
      <w:r w:rsidRPr="00BB6220">
        <w:rPr>
          <w:rFonts w:eastAsia="Times New Roman"/>
          <w:color w:val="000000" w:themeColor="text1"/>
          <w:lang w:eastAsia="en-NZ"/>
        </w:rPr>
        <w:t>Learn</w:t>
      </w:r>
      <w:r w:rsidR="003D640C">
        <w:rPr>
          <w:rFonts w:eastAsia="Times New Roman"/>
          <w:color w:val="000000" w:themeColor="text1"/>
          <w:lang w:eastAsia="en-NZ"/>
        </w:rPr>
        <w:t xml:space="preserve"> </w:t>
      </w:r>
      <w:r w:rsidRPr="00BB6220">
        <w:rPr>
          <w:rFonts w:eastAsia="Times New Roman"/>
          <w:color w:val="000000" w:themeColor="text1"/>
          <w:lang w:eastAsia="en-NZ"/>
        </w:rPr>
        <w:t>about</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be</w:t>
      </w:r>
      <w:r w:rsidR="003D640C">
        <w:rPr>
          <w:rFonts w:eastAsia="Times New Roman"/>
          <w:color w:val="000000" w:themeColor="text1"/>
          <w:lang w:eastAsia="en-NZ"/>
        </w:rPr>
        <w:t xml:space="preserve"> </w:t>
      </w:r>
      <w:r w:rsidRPr="00BB6220">
        <w:rPr>
          <w:rFonts w:eastAsia="Times New Roman"/>
          <w:color w:val="000000" w:themeColor="text1"/>
          <w:lang w:eastAsia="en-NZ"/>
        </w:rPr>
        <w:t>open</w:t>
      </w:r>
      <w:r w:rsidR="003D640C">
        <w:rPr>
          <w:rFonts w:eastAsia="Times New Roman"/>
          <w:color w:val="000000" w:themeColor="text1"/>
          <w:lang w:eastAsia="en-NZ"/>
        </w:rPr>
        <w:t xml:space="preserve"> </w:t>
      </w:r>
      <w:r w:rsidRPr="00BB6220">
        <w:rPr>
          <w:rFonts w:eastAsia="Times New Roman"/>
          <w:color w:val="000000" w:themeColor="text1"/>
          <w:lang w:eastAsia="en-NZ"/>
        </w:rPr>
        <w:t>to</w:t>
      </w:r>
      <w:r w:rsidR="003D640C">
        <w:rPr>
          <w:rFonts w:eastAsia="Times New Roman"/>
          <w:color w:val="000000" w:themeColor="text1"/>
          <w:lang w:eastAsia="en-NZ"/>
        </w:rPr>
        <w:t xml:space="preserve"> </w:t>
      </w:r>
      <w:r w:rsidRPr="00BB6220">
        <w:rPr>
          <w:rFonts w:eastAsia="Times New Roman"/>
          <w:color w:val="000000" w:themeColor="text1"/>
          <w:lang w:eastAsia="en-NZ"/>
        </w:rPr>
        <w:t>hearing</w:t>
      </w:r>
      <w:r w:rsidR="003D640C">
        <w:rPr>
          <w:rFonts w:eastAsia="Times New Roman"/>
          <w:color w:val="000000" w:themeColor="text1"/>
          <w:lang w:eastAsia="en-NZ"/>
        </w:rPr>
        <w:t xml:space="preserve"> </w:t>
      </w:r>
      <w:r w:rsidR="001C6085" w:rsidRPr="00BB6220">
        <w:rPr>
          <w:rFonts w:eastAsia="Times New Roman"/>
          <w:color w:val="000000" w:themeColor="text1"/>
          <w:lang w:eastAsia="en-NZ"/>
        </w:rPr>
        <w:t>a</w:t>
      </w:r>
      <w:r w:rsidRPr="00BB6220">
        <w:rPr>
          <w:rFonts w:eastAsia="Times New Roman"/>
          <w:color w:val="000000" w:themeColor="text1"/>
          <w:lang w:eastAsia="en-NZ"/>
        </w:rPr>
        <w:t>bout</w:t>
      </w:r>
      <w:r w:rsidR="003D640C">
        <w:rPr>
          <w:rFonts w:eastAsia="Times New Roman"/>
          <w:color w:val="000000" w:themeColor="text1"/>
          <w:lang w:eastAsia="en-NZ"/>
        </w:rPr>
        <w:t xml:space="preserve"> </w:t>
      </w:r>
      <w:r w:rsidRPr="00BB6220">
        <w:rPr>
          <w:rFonts w:eastAsia="Times New Roman"/>
          <w:color w:val="000000" w:themeColor="text1"/>
          <w:lang w:eastAsia="en-NZ"/>
        </w:rPr>
        <w:t>the</w:t>
      </w:r>
      <w:r w:rsidR="003D640C">
        <w:rPr>
          <w:rFonts w:eastAsia="Times New Roman"/>
          <w:color w:val="000000" w:themeColor="text1"/>
          <w:lang w:eastAsia="en-NZ"/>
        </w:rPr>
        <w:t xml:space="preserve"> </w:t>
      </w:r>
      <w:r w:rsidRPr="00BB6220">
        <w:rPr>
          <w:rFonts w:eastAsia="Times New Roman"/>
          <w:color w:val="000000" w:themeColor="text1"/>
          <w:lang w:eastAsia="en-NZ"/>
        </w:rPr>
        <w:t>negative</w:t>
      </w:r>
      <w:r w:rsidR="003D640C">
        <w:rPr>
          <w:rFonts w:eastAsia="Times New Roman"/>
          <w:color w:val="000000" w:themeColor="text1"/>
          <w:lang w:eastAsia="en-NZ"/>
        </w:rPr>
        <w:t xml:space="preserve"> </w:t>
      </w:r>
      <w:r w:rsidRPr="00BB6220">
        <w:rPr>
          <w:rFonts w:eastAsia="Times New Roman"/>
          <w:color w:val="000000" w:themeColor="text1"/>
          <w:lang w:eastAsia="en-NZ"/>
        </w:rPr>
        <w:t>impacts</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colonial</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missionary</w:t>
      </w:r>
      <w:r w:rsidR="003D640C">
        <w:rPr>
          <w:rFonts w:eastAsia="Times New Roman"/>
          <w:color w:val="000000" w:themeColor="text1"/>
          <w:lang w:eastAsia="en-NZ"/>
        </w:rPr>
        <w:t xml:space="preserve"> </w:t>
      </w:r>
      <w:r w:rsidRPr="00BB6220">
        <w:rPr>
          <w:rFonts w:eastAsia="Times New Roman"/>
          <w:color w:val="000000" w:themeColor="text1"/>
          <w:lang w:eastAsia="en-NZ"/>
        </w:rPr>
        <w:t>influences</w:t>
      </w:r>
      <w:r w:rsidR="003D640C">
        <w:rPr>
          <w:rFonts w:eastAsia="Times New Roman"/>
          <w:color w:val="000000" w:themeColor="text1"/>
          <w:lang w:eastAsia="en-NZ"/>
        </w:rPr>
        <w:t xml:space="preserve"> </w:t>
      </w:r>
      <w:r w:rsidRPr="00BB6220">
        <w:rPr>
          <w:rFonts w:eastAsia="Times New Roman"/>
          <w:color w:val="000000" w:themeColor="text1"/>
          <w:lang w:eastAsia="en-NZ"/>
        </w:rPr>
        <w:t>that</w:t>
      </w:r>
      <w:r w:rsidR="003D640C">
        <w:rPr>
          <w:rFonts w:eastAsia="Times New Roman"/>
          <w:color w:val="000000" w:themeColor="text1"/>
          <w:lang w:eastAsia="en-NZ"/>
        </w:rPr>
        <w:t xml:space="preserve"> </w:t>
      </w:r>
      <w:r w:rsidRPr="00BB6220">
        <w:rPr>
          <w:rFonts w:eastAsia="Times New Roman"/>
          <w:color w:val="000000" w:themeColor="text1"/>
          <w:lang w:eastAsia="en-NZ"/>
        </w:rPr>
        <w:t>can</w:t>
      </w:r>
      <w:r w:rsidR="003D640C">
        <w:rPr>
          <w:rFonts w:eastAsia="Times New Roman"/>
          <w:color w:val="000000" w:themeColor="text1"/>
          <w:lang w:eastAsia="en-NZ"/>
        </w:rPr>
        <w:t xml:space="preserve"> </w:t>
      </w:r>
      <w:r w:rsidRPr="00BB6220">
        <w:rPr>
          <w:rFonts w:eastAsia="Times New Roman"/>
          <w:color w:val="000000" w:themeColor="text1"/>
          <w:lang w:eastAsia="en-NZ"/>
        </w:rPr>
        <w:t>contribute</w:t>
      </w:r>
      <w:r w:rsidR="003D640C">
        <w:rPr>
          <w:rFonts w:eastAsia="Times New Roman"/>
          <w:color w:val="000000" w:themeColor="text1"/>
          <w:lang w:eastAsia="en-NZ"/>
        </w:rPr>
        <w:t xml:space="preserve"> </w:t>
      </w:r>
      <w:r w:rsidRPr="00BB6220">
        <w:rPr>
          <w:rFonts w:eastAsia="Times New Roman"/>
          <w:color w:val="000000" w:themeColor="text1"/>
          <w:lang w:eastAsia="en-NZ"/>
        </w:rPr>
        <w:t>to</w:t>
      </w:r>
      <w:r w:rsidR="003D640C">
        <w:rPr>
          <w:rFonts w:eastAsia="Times New Roman"/>
          <w:color w:val="000000" w:themeColor="text1"/>
          <w:lang w:eastAsia="en-NZ"/>
        </w:rPr>
        <w:t xml:space="preserve"> </w:t>
      </w:r>
      <w:r w:rsidRPr="00BB6220">
        <w:rPr>
          <w:rFonts w:eastAsia="Times New Roman"/>
          <w:color w:val="000000" w:themeColor="text1"/>
          <w:lang w:eastAsia="en-NZ"/>
        </w:rPr>
        <w:t>homophobia,</w:t>
      </w:r>
      <w:r w:rsidR="003D640C">
        <w:rPr>
          <w:rFonts w:eastAsia="Times New Roman"/>
          <w:color w:val="000000" w:themeColor="text1"/>
          <w:lang w:eastAsia="en-NZ"/>
        </w:rPr>
        <w:t xml:space="preserve"> </w:t>
      </w:r>
      <w:r w:rsidRPr="00BB6220">
        <w:rPr>
          <w:rFonts w:eastAsia="Times New Roman"/>
          <w:color w:val="000000" w:themeColor="text1"/>
          <w:lang w:eastAsia="en-NZ"/>
        </w:rPr>
        <w:t>transphobia,</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other</w:t>
      </w:r>
      <w:r w:rsidR="003D640C">
        <w:rPr>
          <w:rFonts w:eastAsia="Times New Roman"/>
          <w:color w:val="000000" w:themeColor="text1"/>
          <w:lang w:eastAsia="en-NZ"/>
        </w:rPr>
        <w:t xml:space="preserve"> </w:t>
      </w:r>
      <w:r w:rsidRPr="00BB6220">
        <w:rPr>
          <w:rFonts w:eastAsia="Times New Roman"/>
          <w:color w:val="000000" w:themeColor="text1"/>
          <w:lang w:eastAsia="en-NZ"/>
        </w:rPr>
        <w:t>forms</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discrimination</w:t>
      </w:r>
      <w:r w:rsidR="003D640C">
        <w:rPr>
          <w:rFonts w:eastAsia="Times New Roman"/>
          <w:color w:val="000000" w:themeColor="text1"/>
          <w:lang w:eastAsia="en-NZ"/>
        </w:rPr>
        <w:t xml:space="preserve"> </w:t>
      </w:r>
      <w:r w:rsidRPr="00BB6220">
        <w:rPr>
          <w:rFonts w:eastAsia="Times New Roman"/>
          <w:color w:val="000000" w:themeColor="text1"/>
          <w:lang w:eastAsia="en-NZ"/>
        </w:rPr>
        <w:t>perpetuated</w:t>
      </w:r>
      <w:r w:rsidR="003D640C">
        <w:rPr>
          <w:rFonts w:eastAsia="Times New Roman"/>
          <w:color w:val="000000" w:themeColor="text1"/>
          <w:lang w:eastAsia="en-NZ"/>
        </w:rPr>
        <w:t xml:space="preserve"> </w:t>
      </w:r>
      <w:r w:rsidRPr="00BB6220">
        <w:rPr>
          <w:rFonts w:eastAsia="Times New Roman"/>
          <w:color w:val="000000" w:themeColor="text1"/>
          <w:lang w:eastAsia="en-NZ"/>
        </w:rPr>
        <w:t>within</w:t>
      </w:r>
      <w:r w:rsidR="003D640C">
        <w:rPr>
          <w:rFonts w:eastAsia="Times New Roman"/>
          <w:color w:val="000000" w:themeColor="text1"/>
          <w:lang w:eastAsia="en-NZ"/>
        </w:rPr>
        <w:t xml:space="preserve"> </w:t>
      </w:r>
      <w:r w:rsidRPr="00BB6220">
        <w:rPr>
          <w:rFonts w:eastAsia="Times New Roman"/>
          <w:color w:val="000000" w:themeColor="text1"/>
          <w:lang w:eastAsia="en-NZ"/>
        </w:rPr>
        <w:t>Māori</w:t>
      </w:r>
      <w:r w:rsidR="003D640C">
        <w:rPr>
          <w:rFonts w:eastAsia="Times New Roman"/>
          <w:color w:val="000000" w:themeColor="text1"/>
          <w:lang w:eastAsia="en-NZ"/>
        </w:rPr>
        <w:t xml:space="preserve"> </w:t>
      </w:r>
      <w:r w:rsidRPr="00BB6220">
        <w:rPr>
          <w:rFonts w:eastAsia="Times New Roman"/>
          <w:color w:val="000000" w:themeColor="text1"/>
          <w:lang w:eastAsia="en-NZ"/>
        </w:rPr>
        <w:t>communities.</w:t>
      </w:r>
    </w:p>
    <w:p w14:paraId="7BA20C72" w14:textId="489EDC53" w:rsidR="00501068" w:rsidRDefault="00C044A8" w:rsidP="009B737E">
      <w:pPr>
        <w:pStyle w:val="ListParagraph"/>
        <w:numPr>
          <w:ilvl w:val="0"/>
          <w:numId w:val="117"/>
        </w:numPr>
        <w:rPr>
          <w:rFonts w:eastAsia="Times New Roman" w:cstheme="minorHAnsi"/>
          <w:color w:val="000000"/>
          <w:lang w:eastAsia="en-NZ"/>
        </w:rPr>
      </w:pPr>
      <w:r w:rsidRPr="00BB6220">
        <w:rPr>
          <w:rFonts w:eastAsia="Times New Roman"/>
          <w:b/>
          <w:color w:val="000000" w:themeColor="text1"/>
          <w:lang w:eastAsia="en-NZ"/>
        </w:rPr>
        <w:t>Support</w:t>
      </w:r>
      <w:r w:rsidR="003D640C">
        <w:rPr>
          <w:rFonts w:eastAsia="Times New Roman"/>
          <w:b/>
          <w:color w:val="000000" w:themeColor="text1"/>
          <w:lang w:eastAsia="en-NZ"/>
        </w:rPr>
        <w:t xml:space="preserve"> </w:t>
      </w:r>
      <w:r w:rsidRPr="009B737E">
        <w:rPr>
          <w:rFonts w:ascii="Calibri" w:hAnsi="Calibri" w:cs="Calibri"/>
          <w:b/>
          <w:bCs/>
          <w:lang w:eastAsia="en-NZ"/>
        </w:rPr>
        <w:t>cultural</w:t>
      </w:r>
      <w:r w:rsidR="003D640C">
        <w:rPr>
          <w:rFonts w:eastAsia="Times New Roman"/>
          <w:b/>
          <w:color w:val="000000" w:themeColor="text1"/>
          <w:lang w:eastAsia="en-NZ"/>
        </w:rPr>
        <w:t xml:space="preserve"> </w:t>
      </w:r>
      <w:r w:rsidRPr="00BB6220">
        <w:rPr>
          <w:rFonts w:eastAsia="Times New Roman"/>
          <w:b/>
          <w:color w:val="000000" w:themeColor="text1"/>
          <w:lang w:eastAsia="en-NZ"/>
        </w:rPr>
        <w:t>revitalisation</w:t>
      </w:r>
      <w:r w:rsidR="00B21158">
        <w:rPr>
          <w:rFonts w:eastAsia="Times New Roman"/>
          <w:color w:val="000000" w:themeColor="text1"/>
          <w:lang w:eastAsia="en-NZ"/>
        </w:rPr>
        <w:br/>
      </w:r>
      <w:r w:rsidRPr="00BB6220">
        <w:rPr>
          <w:rFonts w:eastAsia="Times New Roman"/>
          <w:color w:val="000000" w:themeColor="text1"/>
          <w:lang w:eastAsia="en-NZ"/>
        </w:rPr>
        <w:t>Embrace</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revitalise</w:t>
      </w:r>
      <w:r w:rsidR="003D640C">
        <w:rPr>
          <w:rFonts w:eastAsia="Times New Roman"/>
          <w:color w:val="000000" w:themeColor="text1"/>
          <w:lang w:eastAsia="en-NZ"/>
        </w:rPr>
        <w:t xml:space="preserve"> </w:t>
      </w:r>
      <w:r w:rsidRPr="00BB6220">
        <w:rPr>
          <w:rFonts w:eastAsia="Times New Roman"/>
          <w:lang w:eastAsia="en-NZ"/>
        </w:rPr>
        <w:t>mātauranga</w:t>
      </w:r>
      <w:r w:rsidR="003D640C">
        <w:rPr>
          <w:rFonts w:eastAsia="Times New Roman"/>
          <w:lang w:eastAsia="en-NZ"/>
        </w:rPr>
        <w:t xml:space="preserve"> </w:t>
      </w:r>
      <w:r w:rsidRPr="00BB6220">
        <w:rPr>
          <w:rFonts w:eastAsia="Times New Roman"/>
          <w:lang w:eastAsia="en-NZ"/>
        </w:rPr>
        <w:t>Māori</w:t>
      </w:r>
      <w:r w:rsidRPr="00BB6220">
        <w:rPr>
          <w:rFonts w:eastAsia="Times New Roman"/>
          <w:color w:val="000000" w:themeColor="text1"/>
          <w:lang w:eastAsia="en-NZ"/>
        </w:rPr>
        <w:t>,</w:t>
      </w:r>
      <w:r w:rsidR="003D640C">
        <w:rPr>
          <w:rFonts w:eastAsia="Times New Roman"/>
          <w:color w:val="000000" w:themeColor="text1"/>
          <w:lang w:eastAsia="en-NZ"/>
        </w:rPr>
        <w:t xml:space="preserve"> </w:t>
      </w:r>
      <w:r w:rsidRPr="00BB6220">
        <w:rPr>
          <w:rFonts w:eastAsia="Times New Roman"/>
          <w:color w:val="000000" w:themeColor="text1"/>
          <w:lang w:eastAsia="en-NZ"/>
        </w:rPr>
        <w:t>customs,</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values.</w:t>
      </w:r>
      <w:r w:rsidR="003D640C">
        <w:rPr>
          <w:rFonts w:eastAsia="Times New Roman"/>
          <w:color w:val="000000" w:themeColor="text1"/>
          <w:lang w:eastAsia="en-NZ"/>
        </w:rPr>
        <w:t xml:space="preserve"> </w:t>
      </w:r>
      <w:r w:rsidRPr="00BB6220">
        <w:rPr>
          <w:rFonts w:eastAsia="Times New Roman"/>
          <w:color w:val="000000" w:themeColor="text1"/>
          <w:lang w:eastAsia="en-NZ"/>
        </w:rPr>
        <w:t>Celebrate</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honour</w:t>
      </w:r>
      <w:r w:rsidR="003D640C">
        <w:rPr>
          <w:rFonts w:eastAsia="Times New Roman"/>
          <w:color w:val="000000" w:themeColor="text1"/>
          <w:lang w:eastAsia="en-NZ"/>
        </w:rPr>
        <w:t xml:space="preserve"> </w:t>
      </w:r>
      <w:r w:rsidRPr="00BB6220">
        <w:rPr>
          <w:rFonts w:eastAsia="Times New Roman"/>
          <w:color w:val="000000" w:themeColor="text1"/>
          <w:lang w:eastAsia="en-NZ"/>
        </w:rPr>
        <w:t>diverse</w:t>
      </w:r>
      <w:r w:rsidR="003D640C">
        <w:rPr>
          <w:rFonts w:eastAsia="Times New Roman"/>
          <w:color w:val="000000" w:themeColor="text1"/>
          <w:lang w:eastAsia="en-NZ"/>
        </w:rPr>
        <w:t xml:space="preserve"> </w:t>
      </w:r>
      <w:r w:rsidRPr="00BB6220">
        <w:rPr>
          <w:rFonts w:eastAsia="Times New Roman"/>
          <w:color w:val="000000" w:themeColor="text1"/>
          <w:lang w:eastAsia="en-NZ"/>
        </w:rPr>
        <w:t>expressions</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Māori</w:t>
      </w:r>
      <w:r w:rsidR="003D640C">
        <w:rPr>
          <w:rFonts w:eastAsia="Times New Roman"/>
          <w:color w:val="000000" w:themeColor="text1"/>
          <w:lang w:eastAsia="en-NZ"/>
        </w:rPr>
        <w:t xml:space="preserve"> </w:t>
      </w:r>
      <w:r w:rsidRPr="00BB6220">
        <w:rPr>
          <w:rFonts w:eastAsia="Times New Roman"/>
          <w:color w:val="000000" w:themeColor="text1"/>
          <w:lang w:eastAsia="en-NZ"/>
        </w:rPr>
        <w:t>identity,</w:t>
      </w:r>
      <w:r w:rsidR="003D640C">
        <w:rPr>
          <w:rFonts w:eastAsia="Times New Roman"/>
          <w:color w:val="000000" w:themeColor="text1"/>
          <w:lang w:eastAsia="en-NZ"/>
        </w:rPr>
        <w:t xml:space="preserve"> </w:t>
      </w:r>
      <w:r w:rsidRPr="00BB6220">
        <w:rPr>
          <w:rFonts w:eastAsia="Times New Roman"/>
          <w:color w:val="000000" w:themeColor="text1"/>
          <w:lang w:eastAsia="en-NZ"/>
        </w:rPr>
        <w:t>including</w:t>
      </w:r>
      <w:r w:rsidR="003D640C">
        <w:rPr>
          <w:rFonts w:eastAsia="Times New Roman"/>
          <w:color w:val="000000" w:themeColor="text1"/>
          <w:lang w:eastAsia="en-NZ"/>
        </w:rPr>
        <w:t xml:space="preserve"> </w:t>
      </w:r>
      <w:r w:rsidRPr="00BB6220">
        <w:rPr>
          <w:rFonts w:eastAsia="Times New Roman"/>
          <w:color w:val="000000" w:themeColor="text1"/>
          <w:lang w:eastAsia="en-NZ"/>
        </w:rPr>
        <w:t>those</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takatāpui,</w:t>
      </w:r>
      <w:r w:rsidR="003D640C">
        <w:rPr>
          <w:rFonts w:eastAsia="Times New Roman"/>
          <w:color w:val="000000" w:themeColor="text1"/>
          <w:lang w:eastAsia="en-NZ"/>
        </w:rPr>
        <w:t xml:space="preserve"> </w:t>
      </w:r>
      <w:r w:rsidRPr="00BB6220">
        <w:rPr>
          <w:rFonts w:eastAsia="Times New Roman"/>
          <w:color w:val="000000" w:themeColor="text1"/>
          <w:lang w:eastAsia="en-NZ"/>
        </w:rPr>
        <w:t>within</w:t>
      </w:r>
      <w:r w:rsidR="003D640C">
        <w:rPr>
          <w:rFonts w:eastAsia="Times New Roman"/>
          <w:color w:val="000000" w:themeColor="text1"/>
          <w:lang w:eastAsia="en-NZ"/>
        </w:rPr>
        <w:t xml:space="preserve"> </w:t>
      </w:r>
      <w:r w:rsidRPr="00BB6220">
        <w:rPr>
          <w:rFonts w:eastAsia="Times New Roman"/>
          <w:color w:val="000000" w:themeColor="text1"/>
          <w:lang w:eastAsia="en-NZ"/>
        </w:rPr>
        <w:t>cultural</w:t>
      </w:r>
      <w:r w:rsidR="003D640C">
        <w:rPr>
          <w:rFonts w:eastAsia="Times New Roman"/>
          <w:color w:val="000000" w:themeColor="text1"/>
          <w:lang w:eastAsia="en-NZ"/>
        </w:rPr>
        <w:t xml:space="preserve"> </w:t>
      </w:r>
      <w:r w:rsidRPr="00BB6220">
        <w:rPr>
          <w:rFonts w:eastAsia="Times New Roman"/>
          <w:color w:val="000000" w:themeColor="text1"/>
          <w:lang w:eastAsia="en-NZ"/>
        </w:rPr>
        <w:t>practices,</w:t>
      </w:r>
      <w:r w:rsidR="003D640C">
        <w:rPr>
          <w:rFonts w:eastAsia="Times New Roman"/>
          <w:color w:val="000000" w:themeColor="text1"/>
          <w:lang w:eastAsia="en-NZ"/>
        </w:rPr>
        <w:t xml:space="preserve"> </w:t>
      </w:r>
      <w:r w:rsidRPr="00BB6220">
        <w:rPr>
          <w:rFonts w:eastAsia="Times New Roman"/>
          <w:color w:val="000000" w:themeColor="text1"/>
          <w:lang w:eastAsia="en-NZ"/>
        </w:rPr>
        <w:t>language,</w:t>
      </w:r>
      <w:r w:rsidR="003D640C">
        <w:rPr>
          <w:rFonts w:eastAsia="Times New Roman"/>
          <w:color w:val="000000" w:themeColor="text1"/>
          <w:lang w:eastAsia="en-NZ"/>
        </w:rPr>
        <w:t xml:space="preserve"> </w:t>
      </w:r>
      <w:r w:rsidRPr="00BB6220">
        <w:rPr>
          <w:rFonts w:eastAsia="Times New Roman"/>
          <w:color w:val="000000" w:themeColor="text1"/>
          <w:lang w:eastAsia="en-NZ"/>
        </w:rPr>
        <w:t>arts</w:t>
      </w:r>
      <w:r w:rsidR="39A7214F" w:rsidRPr="00BB6220">
        <w:rPr>
          <w:rFonts w:eastAsia="Times New Roman"/>
          <w:color w:val="000000" w:themeColor="text1"/>
          <w:lang w:eastAsia="en-NZ"/>
        </w:rPr>
        <w:t>,</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storytelling.</w:t>
      </w:r>
      <w:r w:rsidR="003D640C">
        <w:rPr>
          <w:rFonts w:eastAsia="Times New Roman"/>
          <w:color w:val="000000" w:themeColor="text1"/>
          <w:lang w:eastAsia="en-NZ"/>
        </w:rPr>
        <w:t xml:space="preserve"> </w:t>
      </w:r>
    </w:p>
    <w:p w14:paraId="139E1F4A" w14:textId="11772BA8" w:rsidR="00501068" w:rsidRDefault="00C044A8" w:rsidP="009B737E">
      <w:pPr>
        <w:pStyle w:val="ListParagraph"/>
        <w:numPr>
          <w:ilvl w:val="0"/>
          <w:numId w:val="117"/>
        </w:numPr>
        <w:rPr>
          <w:rFonts w:eastAsia="Times New Roman" w:cstheme="minorHAnsi"/>
          <w:color w:val="000000"/>
          <w:lang w:eastAsia="en-NZ"/>
        </w:rPr>
      </w:pPr>
      <w:r w:rsidRPr="00BB6220">
        <w:rPr>
          <w:rFonts w:eastAsia="Times New Roman"/>
          <w:b/>
          <w:color w:val="000000" w:themeColor="text1"/>
          <w:lang w:eastAsia="en-NZ"/>
        </w:rPr>
        <w:t>Restore</w:t>
      </w:r>
      <w:r w:rsidR="003D640C">
        <w:rPr>
          <w:rFonts w:eastAsia="Times New Roman"/>
          <w:b/>
          <w:color w:val="000000" w:themeColor="text1"/>
          <w:lang w:eastAsia="en-NZ"/>
        </w:rPr>
        <w:t xml:space="preserve"> </w:t>
      </w:r>
      <w:r w:rsidRPr="009B737E">
        <w:rPr>
          <w:rFonts w:ascii="Calibri" w:hAnsi="Calibri" w:cs="Calibri"/>
          <w:b/>
          <w:bCs/>
          <w:lang w:eastAsia="en-NZ"/>
        </w:rPr>
        <w:t>inclusivity</w:t>
      </w:r>
      <w:r w:rsidR="003D640C">
        <w:rPr>
          <w:rFonts w:eastAsia="Times New Roman"/>
          <w:b/>
          <w:color w:val="000000" w:themeColor="text1"/>
          <w:lang w:eastAsia="en-NZ"/>
        </w:rPr>
        <w:t xml:space="preserve"> </w:t>
      </w:r>
      <w:r w:rsidRPr="00BB6220">
        <w:rPr>
          <w:rFonts w:eastAsia="Times New Roman"/>
          <w:b/>
          <w:color w:val="000000" w:themeColor="text1"/>
          <w:lang w:eastAsia="en-NZ"/>
        </w:rPr>
        <w:t>in</w:t>
      </w:r>
      <w:r w:rsidR="003D640C">
        <w:rPr>
          <w:rFonts w:eastAsia="Times New Roman"/>
          <w:b/>
          <w:color w:val="000000" w:themeColor="text1"/>
          <w:lang w:eastAsia="en-NZ"/>
        </w:rPr>
        <w:t xml:space="preserve"> </w:t>
      </w:r>
      <w:r w:rsidRPr="00BB6220">
        <w:rPr>
          <w:rFonts w:eastAsia="Times New Roman"/>
          <w:b/>
          <w:color w:val="000000" w:themeColor="text1"/>
          <w:lang w:eastAsia="en-NZ"/>
        </w:rPr>
        <w:t>kawa</w:t>
      </w:r>
      <w:r w:rsidR="003D640C">
        <w:rPr>
          <w:rFonts w:eastAsia="Times New Roman"/>
          <w:b/>
          <w:color w:val="000000" w:themeColor="text1"/>
          <w:lang w:eastAsia="en-NZ"/>
        </w:rPr>
        <w:t xml:space="preserve"> </w:t>
      </w:r>
      <w:r w:rsidRPr="00BB6220">
        <w:rPr>
          <w:rFonts w:eastAsia="Times New Roman"/>
          <w:b/>
          <w:color w:val="000000" w:themeColor="text1"/>
          <w:lang w:eastAsia="en-NZ"/>
        </w:rPr>
        <w:t>and</w:t>
      </w:r>
      <w:r w:rsidR="003D640C">
        <w:rPr>
          <w:rFonts w:eastAsia="Times New Roman"/>
          <w:b/>
          <w:color w:val="000000" w:themeColor="text1"/>
          <w:lang w:eastAsia="en-NZ"/>
        </w:rPr>
        <w:t xml:space="preserve"> </w:t>
      </w:r>
      <w:r w:rsidRPr="00BB6220">
        <w:rPr>
          <w:rFonts w:eastAsia="Times New Roman"/>
          <w:b/>
          <w:color w:val="000000" w:themeColor="text1"/>
          <w:lang w:eastAsia="en-NZ"/>
        </w:rPr>
        <w:t>tikanga</w:t>
      </w:r>
      <w:r w:rsidR="00B21158">
        <w:rPr>
          <w:rFonts w:eastAsia="Times New Roman"/>
          <w:b/>
          <w:color w:val="000000" w:themeColor="text1"/>
          <w:lang w:eastAsia="en-NZ"/>
        </w:rPr>
        <w:br/>
      </w:r>
      <w:r w:rsidRPr="00BB6220">
        <w:rPr>
          <w:rFonts w:eastAsia="Times New Roman"/>
          <w:color w:val="000000" w:themeColor="text1"/>
          <w:lang w:eastAsia="en-NZ"/>
        </w:rPr>
        <w:t>Review</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restore</w:t>
      </w:r>
      <w:r w:rsidR="003D640C">
        <w:rPr>
          <w:rFonts w:eastAsia="Times New Roman"/>
          <w:color w:val="000000" w:themeColor="text1"/>
          <w:lang w:eastAsia="en-NZ"/>
        </w:rPr>
        <w:t xml:space="preserve"> </w:t>
      </w:r>
      <w:r w:rsidRPr="00BB6220">
        <w:rPr>
          <w:rFonts w:eastAsia="Times New Roman"/>
          <w:color w:val="000000" w:themeColor="text1"/>
          <w:lang w:eastAsia="en-NZ"/>
        </w:rPr>
        <w:t>or</w:t>
      </w:r>
      <w:r w:rsidR="003D640C">
        <w:rPr>
          <w:rFonts w:eastAsia="Times New Roman"/>
          <w:color w:val="000000" w:themeColor="text1"/>
          <w:lang w:eastAsia="en-NZ"/>
        </w:rPr>
        <w:t xml:space="preserve"> </w:t>
      </w:r>
      <w:r w:rsidRPr="00BB6220">
        <w:rPr>
          <w:rFonts w:eastAsia="Times New Roman"/>
          <w:color w:val="000000" w:themeColor="text1"/>
          <w:lang w:eastAsia="en-NZ"/>
        </w:rPr>
        <w:t>adapt</w:t>
      </w:r>
      <w:r w:rsidR="003D640C">
        <w:rPr>
          <w:rFonts w:eastAsia="Times New Roman"/>
          <w:color w:val="000000" w:themeColor="text1"/>
          <w:lang w:eastAsia="en-NZ"/>
        </w:rPr>
        <w:t xml:space="preserve"> </w:t>
      </w:r>
      <w:r w:rsidRPr="00BB6220">
        <w:rPr>
          <w:rFonts w:eastAsia="Times New Roman"/>
          <w:color w:val="000000" w:themeColor="text1"/>
          <w:lang w:eastAsia="en-NZ"/>
        </w:rPr>
        <w:t>kawa</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tikanga</w:t>
      </w:r>
      <w:r w:rsidR="003D640C">
        <w:rPr>
          <w:rFonts w:eastAsia="Times New Roman"/>
          <w:color w:val="000000" w:themeColor="text1"/>
          <w:lang w:eastAsia="en-NZ"/>
        </w:rPr>
        <w:t xml:space="preserve"> </w:t>
      </w:r>
      <w:r w:rsidRPr="00BB6220">
        <w:rPr>
          <w:rFonts w:eastAsia="Times New Roman"/>
          <w:color w:val="000000" w:themeColor="text1"/>
          <w:lang w:eastAsia="en-NZ"/>
        </w:rPr>
        <w:t>to</w:t>
      </w:r>
      <w:r w:rsidR="003D640C">
        <w:rPr>
          <w:rFonts w:eastAsia="Times New Roman"/>
          <w:color w:val="000000" w:themeColor="text1"/>
          <w:lang w:eastAsia="en-NZ"/>
        </w:rPr>
        <w:t xml:space="preserve"> </w:t>
      </w:r>
      <w:r w:rsidRPr="00BB6220">
        <w:rPr>
          <w:rFonts w:eastAsia="Times New Roman"/>
          <w:color w:val="000000" w:themeColor="text1"/>
          <w:lang w:eastAsia="en-NZ"/>
        </w:rPr>
        <w:t>ensure</w:t>
      </w:r>
      <w:r w:rsidR="003D640C">
        <w:rPr>
          <w:rFonts w:eastAsia="Times New Roman"/>
          <w:color w:val="000000" w:themeColor="text1"/>
          <w:lang w:eastAsia="en-NZ"/>
        </w:rPr>
        <w:t xml:space="preserve"> </w:t>
      </w:r>
      <w:r w:rsidRPr="00BB6220">
        <w:rPr>
          <w:rFonts w:eastAsia="Times New Roman"/>
          <w:color w:val="000000" w:themeColor="text1"/>
          <w:lang w:eastAsia="en-NZ"/>
        </w:rPr>
        <w:t>they</w:t>
      </w:r>
      <w:r w:rsidR="003D640C">
        <w:rPr>
          <w:rFonts w:eastAsia="Times New Roman"/>
          <w:color w:val="000000" w:themeColor="text1"/>
          <w:lang w:eastAsia="en-NZ"/>
        </w:rPr>
        <w:t xml:space="preserve"> </w:t>
      </w:r>
      <w:r w:rsidRPr="00BB6220">
        <w:rPr>
          <w:rFonts w:eastAsia="Times New Roman"/>
          <w:color w:val="000000" w:themeColor="text1"/>
          <w:lang w:eastAsia="en-NZ"/>
        </w:rPr>
        <w:t>are</w:t>
      </w:r>
      <w:r w:rsidR="003D640C">
        <w:rPr>
          <w:rFonts w:eastAsia="Times New Roman"/>
          <w:color w:val="000000" w:themeColor="text1"/>
          <w:lang w:eastAsia="en-NZ"/>
        </w:rPr>
        <w:t xml:space="preserve"> </w:t>
      </w:r>
      <w:r w:rsidRPr="00BB6220">
        <w:rPr>
          <w:rFonts w:eastAsia="Times New Roman"/>
          <w:color w:val="000000" w:themeColor="text1"/>
          <w:lang w:eastAsia="en-NZ"/>
        </w:rPr>
        <w:t>inclusive</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takatāpui.</w:t>
      </w:r>
      <w:r w:rsidR="003D640C">
        <w:rPr>
          <w:rFonts w:eastAsia="Times New Roman"/>
          <w:color w:val="000000" w:themeColor="text1"/>
          <w:lang w:eastAsia="en-NZ"/>
        </w:rPr>
        <w:t xml:space="preserve"> </w:t>
      </w:r>
    </w:p>
    <w:p w14:paraId="4028EF91" w14:textId="19C54335" w:rsidR="00501068" w:rsidRDefault="00C044A8" w:rsidP="009B737E">
      <w:pPr>
        <w:pStyle w:val="ListParagraph"/>
        <w:numPr>
          <w:ilvl w:val="0"/>
          <w:numId w:val="117"/>
        </w:numPr>
        <w:rPr>
          <w:rFonts w:eastAsia="Times New Roman" w:cstheme="minorHAnsi"/>
          <w:color w:val="000000"/>
          <w:lang w:eastAsia="en-NZ"/>
        </w:rPr>
      </w:pPr>
      <w:r w:rsidRPr="00BB6220">
        <w:rPr>
          <w:rFonts w:eastAsia="Times New Roman"/>
          <w:b/>
          <w:color w:val="000000" w:themeColor="text1"/>
          <w:lang w:eastAsia="en-NZ"/>
        </w:rPr>
        <w:lastRenderedPageBreak/>
        <w:t>Promote</w:t>
      </w:r>
      <w:r w:rsidR="003D640C">
        <w:rPr>
          <w:rFonts w:eastAsia="Times New Roman"/>
          <w:b/>
          <w:color w:val="000000" w:themeColor="text1"/>
          <w:lang w:eastAsia="en-NZ"/>
        </w:rPr>
        <w:t xml:space="preserve"> </w:t>
      </w:r>
      <w:r w:rsidRPr="009B737E">
        <w:rPr>
          <w:rFonts w:ascii="Calibri" w:hAnsi="Calibri" w:cs="Calibri"/>
          <w:b/>
          <w:bCs/>
          <w:lang w:eastAsia="en-NZ"/>
        </w:rPr>
        <w:t>inclusive</w:t>
      </w:r>
      <w:r w:rsidR="003D640C">
        <w:rPr>
          <w:rFonts w:eastAsia="Times New Roman"/>
          <w:b/>
          <w:color w:val="000000" w:themeColor="text1"/>
          <w:lang w:eastAsia="en-NZ"/>
        </w:rPr>
        <w:t xml:space="preserve"> </w:t>
      </w:r>
      <w:r w:rsidRPr="00BB6220">
        <w:rPr>
          <w:rFonts w:eastAsia="Times New Roman"/>
          <w:b/>
          <w:color w:val="000000" w:themeColor="text1"/>
          <w:lang w:eastAsia="en-NZ"/>
        </w:rPr>
        <w:t>whānau</w:t>
      </w:r>
      <w:r w:rsidR="003D640C">
        <w:rPr>
          <w:rFonts w:eastAsia="Times New Roman"/>
          <w:b/>
          <w:color w:val="000000" w:themeColor="text1"/>
          <w:lang w:eastAsia="en-NZ"/>
        </w:rPr>
        <w:t xml:space="preserve"> </w:t>
      </w:r>
      <w:r w:rsidRPr="00BB6220">
        <w:rPr>
          <w:rFonts w:eastAsia="Times New Roman"/>
          <w:b/>
          <w:color w:val="000000" w:themeColor="text1"/>
          <w:lang w:eastAsia="en-NZ"/>
        </w:rPr>
        <w:t>and</w:t>
      </w:r>
      <w:r w:rsidR="003D640C">
        <w:rPr>
          <w:rFonts w:eastAsia="Times New Roman"/>
          <w:b/>
          <w:color w:val="000000" w:themeColor="text1"/>
          <w:lang w:eastAsia="en-NZ"/>
        </w:rPr>
        <w:t xml:space="preserve"> </w:t>
      </w:r>
      <w:r w:rsidRPr="00BB6220">
        <w:rPr>
          <w:rFonts w:eastAsia="Times New Roman"/>
          <w:b/>
          <w:color w:val="000000" w:themeColor="text1"/>
          <w:lang w:eastAsia="en-NZ"/>
        </w:rPr>
        <w:t>community</w:t>
      </w:r>
      <w:r w:rsidR="003D640C">
        <w:rPr>
          <w:rFonts w:eastAsia="Times New Roman"/>
          <w:b/>
          <w:color w:val="000000" w:themeColor="text1"/>
          <w:lang w:eastAsia="en-NZ"/>
        </w:rPr>
        <w:t xml:space="preserve"> </w:t>
      </w:r>
      <w:r w:rsidRPr="00BB6220">
        <w:rPr>
          <w:rFonts w:eastAsia="Times New Roman"/>
          <w:b/>
          <w:color w:val="000000" w:themeColor="text1"/>
          <w:lang w:eastAsia="en-NZ"/>
        </w:rPr>
        <w:t>spaces</w:t>
      </w:r>
      <w:r w:rsidR="003E09D8">
        <w:rPr>
          <w:rFonts w:eastAsia="Times New Roman"/>
          <w:color w:val="000000" w:themeColor="text1"/>
          <w:lang w:eastAsia="en-NZ"/>
        </w:rPr>
        <w:br/>
      </w:r>
      <w:r w:rsidRPr="00BB6220">
        <w:rPr>
          <w:rFonts w:eastAsia="Times New Roman"/>
          <w:color w:val="000000" w:themeColor="text1"/>
          <w:lang w:eastAsia="en-NZ"/>
        </w:rPr>
        <w:t>Foster</w:t>
      </w:r>
      <w:r w:rsidR="003D640C">
        <w:rPr>
          <w:rFonts w:eastAsia="Times New Roman"/>
          <w:color w:val="000000" w:themeColor="text1"/>
          <w:lang w:eastAsia="en-NZ"/>
        </w:rPr>
        <w:t xml:space="preserve"> </w:t>
      </w:r>
      <w:r w:rsidRPr="00BB6220">
        <w:rPr>
          <w:rFonts w:eastAsia="Times New Roman"/>
          <w:color w:val="000000" w:themeColor="text1"/>
          <w:lang w:eastAsia="en-NZ"/>
        </w:rPr>
        <w:t>inclusive</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supportive</w:t>
      </w:r>
      <w:r w:rsidR="003D640C">
        <w:rPr>
          <w:rFonts w:eastAsia="Times New Roman"/>
          <w:color w:val="000000" w:themeColor="text1"/>
          <w:lang w:eastAsia="en-NZ"/>
        </w:rPr>
        <w:t xml:space="preserve"> </w:t>
      </w:r>
      <w:r w:rsidRPr="00BB6220">
        <w:rPr>
          <w:rFonts w:eastAsia="Times New Roman"/>
          <w:color w:val="000000" w:themeColor="text1"/>
          <w:lang w:eastAsia="en-NZ"/>
        </w:rPr>
        <w:t>whānau</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community</w:t>
      </w:r>
      <w:r w:rsidR="003D640C">
        <w:rPr>
          <w:rFonts w:eastAsia="Times New Roman"/>
          <w:color w:val="000000" w:themeColor="text1"/>
          <w:lang w:eastAsia="en-NZ"/>
        </w:rPr>
        <w:t xml:space="preserve"> </w:t>
      </w:r>
      <w:r w:rsidRPr="00BB6220">
        <w:rPr>
          <w:rFonts w:eastAsia="Times New Roman"/>
          <w:color w:val="000000" w:themeColor="text1"/>
          <w:lang w:eastAsia="en-NZ"/>
        </w:rPr>
        <w:t>spaces</w:t>
      </w:r>
      <w:r w:rsidR="003D640C">
        <w:rPr>
          <w:rFonts w:eastAsia="Times New Roman"/>
          <w:color w:val="000000" w:themeColor="text1"/>
          <w:lang w:eastAsia="en-NZ"/>
        </w:rPr>
        <w:t xml:space="preserve"> </w:t>
      </w:r>
      <w:r w:rsidRPr="00BB6220">
        <w:rPr>
          <w:rFonts w:eastAsia="Times New Roman"/>
          <w:color w:val="000000" w:themeColor="text1"/>
          <w:lang w:eastAsia="en-NZ"/>
        </w:rPr>
        <w:t>that</w:t>
      </w:r>
      <w:r w:rsidR="003D640C">
        <w:rPr>
          <w:rFonts w:eastAsia="Times New Roman"/>
          <w:color w:val="000000" w:themeColor="text1"/>
          <w:lang w:eastAsia="en-NZ"/>
        </w:rPr>
        <w:t xml:space="preserve"> </w:t>
      </w:r>
      <w:r w:rsidRPr="00BB6220">
        <w:rPr>
          <w:rFonts w:eastAsia="Times New Roman"/>
          <w:color w:val="000000" w:themeColor="text1"/>
          <w:lang w:eastAsia="en-NZ"/>
        </w:rPr>
        <w:t>affirm</w:t>
      </w:r>
      <w:r w:rsidR="003D640C">
        <w:rPr>
          <w:rFonts w:eastAsia="Times New Roman"/>
          <w:color w:val="000000" w:themeColor="text1"/>
          <w:lang w:eastAsia="en-NZ"/>
        </w:rPr>
        <w:t xml:space="preserve"> </w:t>
      </w:r>
      <w:r w:rsidRPr="00BB6220">
        <w:rPr>
          <w:rFonts w:eastAsia="Times New Roman"/>
          <w:color w:val="000000" w:themeColor="text1"/>
          <w:lang w:eastAsia="en-NZ"/>
        </w:rPr>
        <w:t>diverse</w:t>
      </w:r>
      <w:r w:rsidR="003D640C">
        <w:rPr>
          <w:rFonts w:eastAsia="Times New Roman"/>
          <w:color w:val="000000" w:themeColor="text1"/>
          <w:lang w:eastAsia="en-NZ"/>
        </w:rPr>
        <w:t xml:space="preserve"> </w:t>
      </w:r>
      <w:r w:rsidRPr="00BB6220">
        <w:rPr>
          <w:rFonts w:eastAsia="Times New Roman"/>
          <w:color w:val="000000" w:themeColor="text1"/>
          <w:lang w:eastAsia="en-NZ"/>
        </w:rPr>
        <w:t>people.</w:t>
      </w:r>
      <w:r w:rsidR="003D640C">
        <w:rPr>
          <w:rFonts w:eastAsia="Times New Roman"/>
          <w:color w:val="000000" w:themeColor="text1"/>
          <w:lang w:eastAsia="en-NZ"/>
        </w:rPr>
        <w:t xml:space="preserve"> </w:t>
      </w:r>
      <w:r w:rsidRPr="00BB6220">
        <w:rPr>
          <w:rFonts w:eastAsia="Times New Roman"/>
          <w:color w:val="000000" w:themeColor="text1"/>
          <w:lang w:eastAsia="en-NZ"/>
        </w:rPr>
        <w:t>Demonstrate</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encourage</w:t>
      </w:r>
      <w:r w:rsidR="003D640C">
        <w:rPr>
          <w:rFonts w:eastAsia="Times New Roman"/>
          <w:color w:val="000000" w:themeColor="text1"/>
          <w:lang w:eastAsia="en-NZ"/>
        </w:rPr>
        <w:t xml:space="preserve"> </w:t>
      </w:r>
      <w:r w:rsidRPr="00BB6220">
        <w:rPr>
          <w:rFonts w:eastAsia="Times New Roman"/>
          <w:color w:val="000000" w:themeColor="text1"/>
          <w:lang w:eastAsia="en-NZ"/>
        </w:rPr>
        <w:t>open</w:t>
      </w:r>
      <w:r w:rsidR="003D640C">
        <w:rPr>
          <w:rFonts w:eastAsia="Times New Roman"/>
          <w:color w:val="000000" w:themeColor="text1"/>
          <w:lang w:eastAsia="en-NZ"/>
        </w:rPr>
        <w:t xml:space="preserve"> </w:t>
      </w:r>
      <w:r w:rsidRPr="00BB6220">
        <w:rPr>
          <w:rFonts w:eastAsia="Times New Roman"/>
          <w:color w:val="000000" w:themeColor="text1"/>
          <w:lang w:eastAsia="en-NZ"/>
        </w:rPr>
        <w:t>dialogue,</w:t>
      </w:r>
      <w:r w:rsidR="003D640C">
        <w:rPr>
          <w:rFonts w:eastAsia="Times New Roman"/>
          <w:color w:val="000000" w:themeColor="text1"/>
          <w:lang w:eastAsia="en-NZ"/>
        </w:rPr>
        <w:t xml:space="preserve"> </w:t>
      </w:r>
      <w:r w:rsidRPr="00BB6220">
        <w:rPr>
          <w:rFonts w:eastAsia="Times New Roman"/>
          <w:color w:val="000000" w:themeColor="text1"/>
          <w:lang w:eastAsia="en-NZ"/>
        </w:rPr>
        <w:t>understanding</w:t>
      </w:r>
      <w:r w:rsidR="003E09D8">
        <w:rPr>
          <w:rFonts w:eastAsia="Times New Roman"/>
          <w:color w:val="000000" w:themeColor="text1"/>
          <w:lang w:eastAsia="en-NZ"/>
        </w:rPr>
        <w:t>,</w:t>
      </w:r>
      <w:r w:rsidR="003D640C">
        <w:rPr>
          <w:rFonts w:eastAsia="Times New Roman"/>
          <w:color w:val="000000" w:themeColor="text1"/>
          <w:lang w:eastAsia="en-NZ"/>
        </w:rPr>
        <w:t xml:space="preserve"> </w:t>
      </w:r>
      <w:r w:rsidRPr="00BB6220">
        <w:rPr>
          <w:rFonts w:eastAsia="Times New Roman"/>
          <w:color w:val="000000" w:themeColor="text1"/>
          <w:lang w:eastAsia="en-NZ"/>
        </w:rPr>
        <w:t>and</w:t>
      </w:r>
      <w:r w:rsidR="003D640C">
        <w:rPr>
          <w:rFonts w:eastAsia="Times New Roman"/>
          <w:color w:val="000000" w:themeColor="text1"/>
          <w:lang w:eastAsia="en-NZ"/>
        </w:rPr>
        <w:t xml:space="preserve"> </w:t>
      </w:r>
      <w:r w:rsidRPr="00BB6220">
        <w:rPr>
          <w:rFonts w:eastAsia="Times New Roman"/>
          <w:color w:val="000000" w:themeColor="text1"/>
          <w:lang w:eastAsia="en-NZ"/>
        </w:rPr>
        <w:t>respect</w:t>
      </w:r>
      <w:r w:rsidR="003D640C">
        <w:rPr>
          <w:rFonts w:eastAsia="Times New Roman"/>
          <w:color w:val="000000" w:themeColor="text1"/>
          <w:lang w:eastAsia="en-NZ"/>
        </w:rPr>
        <w:t xml:space="preserve"> </w:t>
      </w:r>
      <w:r w:rsidRPr="00BB6220">
        <w:rPr>
          <w:rFonts w:eastAsia="Times New Roman"/>
          <w:color w:val="000000" w:themeColor="text1"/>
          <w:lang w:eastAsia="en-NZ"/>
        </w:rPr>
        <w:t>for</w:t>
      </w:r>
      <w:r w:rsidR="003D640C">
        <w:rPr>
          <w:rFonts w:eastAsia="Times New Roman"/>
          <w:color w:val="000000" w:themeColor="text1"/>
          <w:lang w:eastAsia="en-NZ"/>
        </w:rPr>
        <w:t xml:space="preserve"> </w:t>
      </w:r>
      <w:r w:rsidRPr="00BB6220">
        <w:rPr>
          <w:rFonts w:eastAsia="Times New Roman"/>
          <w:color w:val="000000" w:themeColor="text1"/>
          <w:lang w:eastAsia="en-NZ"/>
        </w:rPr>
        <w:t>all</w:t>
      </w:r>
      <w:r w:rsidR="003D640C">
        <w:rPr>
          <w:rFonts w:eastAsia="Times New Roman"/>
          <w:color w:val="000000" w:themeColor="text1"/>
          <w:lang w:eastAsia="en-NZ"/>
        </w:rPr>
        <w:t xml:space="preserve"> </w:t>
      </w:r>
      <w:r w:rsidRPr="00BB6220">
        <w:rPr>
          <w:rFonts w:eastAsia="Times New Roman"/>
          <w:color w:val="000000" w:themeColor="text1"/>
          <w:lang w:eastAsia="en-NZ"/>
        </w:rPr>
        <w:t>members</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the</w:t>
      </w:r>
      <w:r w:rsidR="003D640C">
        <w:rPr>
          <w:rFonts w:eastAsia="Times New Roman"/>
          <w:color w:val="000000" w:themeColor="text1"/>
          <w:lang w:eastAsia="en-NZ"/>
        </w:rPr>
        <w:t xml:space="preserve"> </w:t>
      </w:r>
      <w:r w:rsidRPr="00BB6220">
        <w:rPr>
          <w:rFonts w:eastAsia="Times New Roman"/>
          <w:color w:val="000000" w:themeColor="text1"/>
          <w:lang w:eastAsia="en-NZ"/>
        </w:rPr>
        <w:t>community,</w:t>
      </w:r>
      <w:r w:rsidR="003D640C">
        <w:rPr>
          <w:rFonts w:eastAsia="Times New Roman"/>
          <w:color w:val="000000" w:themeColor="text1"/>
          <w:lang w:eastAsia="en-NZ"/>
        </w:rPr>
        <w:t xml:space="preserve"> </w:t>
      </w:r>
      <w:r w:rsidRPr="00BB6220">
        <w:rPr>
          <w:rFonts w:eastAsia="Times New Roman"/>
          <w:color w:val="000000" w:themeColor="text1"/>
          <w:lang w:eastAsia="en-NZ"/>
        </w:rPr>
        <w:t>regardless</w:t>
      </w:r>
      <w:r w:rsidR="003D640C">
        <w:rPr>
          <w:rFonts w:eastAsia="Times New Roman"/>
          <w:color w:val="000000" w:themeColor="text1"/>
          <w:lang w:eastAsia="en-NZ"/>
        </w:rPr>
        <w:t xml:space="preserve"> </w:t>
      </w:r>
      <w:r w:rsidRPr="00BB6220">
        <w:rPr>
          <w:rFonts w:eastAsia="Times New Roman"/>
          <w:color w:val="000000" w:themeColor="text1"/>
          <w:lang w:eastAsia="en-NZ"/>
        </w:rPr>
        <w:t>of</w:t>
      </w:r>
      <w:r w:rsidR="003D640C">
        <w:rPr>
          <w:rFonts w:eastAsia="Times New Roman"/>
          <w:color w:val="000000" w:themeColor="text1"/>
          <w:lang w:eastAsia="en-NZ"/>
        </w:rPr>
        <w:t xml:space="preserve"> </w:t>
      </w:r>
      <w:r w:rsidRPr="00BB6220">
        <w:rPr>
          <w:rFonts w:eastAsia="Times New Roman"/>
          <w:color w:val="000000" w:themeColor="text1"/>
          <w:lang w:eastAsia="en-NZ"/>
        </w:rPr>
        <w:t>their</w:t>
      </w:r>
      <w:r w:rsidR="003D640C">
        <w:rPr>
          <w:rFonts w:eastAsia="Times New Roman"/>
          <w:color w:val="000000" w:themeColor="text1"/>
          <w:lang w:eastAsia="en-NZ"/>
        </w:rPr>
        <w:t xml:space="preserve"> </w:t>
      </w:r>
      <w:r w:rsidRPr="00BB6220">
        <w:rPr>
          <w:rFonts w:eastAsia="Times New Roman"/>
          <w:color w:val="000000" w:themeColor="text1"/>
          <w:lang w:eastAsia="en-NZ"/>
        </w:rPr>
        <w:t>sexual</w:t>
      </w:r>
      <w:r w:rsidR="003D640C">
        <w:rPr>
          <w:rFonts w:eastAsia="Times New Roman"/>
          <w:color w:val="000000" w:themeColor="text1"/>
          <w:lang w:eastAsia="en-NZ"/>
        </w:rPr>
        <w:t xml:space="preserve"> </w:t>
      </w:r>
      <w:r w:rsidRPr="00BB6220">
        <w:rPr>
          <w:rFonts w:eastAsia="Times New Roman"/>
          <w:color w:val="000000" w:themeColor="text1"/>
          <w:lang w:eastAsia="en-NZ"/>
        </w:rPr>
        <w:t>orientation,</w:t>
      </w:r>
      <w:r w:rsidR="003D640C">
        <w:rPr>
          <w:rFonts w:eastAsia="Times New Roman"/>
          <w:color w:val="000000" w:themeColor="text1"/>
          <w:lang w:eastAsia="en-NZ"/>
        </w:rPr>
        <w:t xml:space="preserve"> </w:t>
      </w:r>
      <w:r w:rsidRPr="00BB6220">
        <w:rPr>
          <w:rFonts w:eastAsia="Times New Roman"/>
          <w:color w:val="000000" w:themeColor="text1"/>
          <w:lang w:eastAsia="en-NZ"/>
        </w:rPr>
        <w:t>gender</w:t>
      </w:r>
      <w:r w:rsidR="003D640C">
        <w:rPr>
          <w:rFonts w:eastAsia="Times New Roman"/>
          <w:color w:val="000000" w:themeColor="text1"/>
          <w:lang w:eastAsia="en-NZ"/>
        </w:rPr>
        <w:t xml:space="preserve"> </w:t>
      </w:r>
      <w:r w:rsidRPr="00BB6220">
        <w:rPr>
          <w:rFonts w:eastAsia="Times New Roman"/>
          <w:color w:val="000000" w:themeColor="text1"/>
          <w:lang w:eastAsia="en-NZ"/>
        </w:rPr>
        <w:t>identity</w:t>
      </w:r>
      <w:r w:rsidR="003E09D8">
        <w:rPr>
          <w:rFonts w:eastAsia="Times New Roman"/>
          <w:color w:val="000000" w:themeColor="text1"/>
          <w:lang w:eastAsia="en-NZ"/>
        </w:rPr>
        <w:t>,</w:t>
      </w:r>
      <w:r w:rsidR="003D640C">
        <w:rPr>
          <w:rFonts w:eastAsia="Times New Roman"/>
          <w:color w:val="000000" w:themeColor="text1"/>
          <w:lang w:eastAsia="en-NZ"/>
        </w:rPr>
        <w:t xml:space="preserve"> </w:t>
      </w:r>
      <w:r w:rsidRPr="00BB6220">
        <w:rPr>
          <w:rFonts w:eastAsia="Times New Roman"/>
          <w:color w:val="000000" w:themeColor="text1"/>
          <w:lang w:eastAsia="en-NZ"/>
        </w:rPr>
        <w:t>or</w:t>
      </w:r>
      <w:r w:rsidR="003D640C">
        <w:rPr>
          <w:rFonts w:eastAsia="Times New Roman"/>
          <w:color w:val="000000" w:themeColor="text1"/>
          <w:lang w:eastAsia="en-NZ"/>
        </w:rPr>
        <w:t xml:space="preserve"> </w:t>
      </w:r>
      <w:r w:rsidRPr="00BB6220">
        <w:rPr>
          <w:rFonts w:eastAsia="Times New Roman"/>
          <w:color w:val="000000" w:themeColor="text1"/>
          <w:lang w:eastAsia="en-NZ"/>
        </w:rPr>
        <w:t>gender</w:t>
      </w:r>
      <w:r w:rsidR="003D640C">
        <w:rPr>
          <w:rFonts w:eastAsia="Times New Roman"/>
          <w:color w:val="000000" w:themeColor="text1"/>
          <w:lang w:eastAsia="en-NZ"/>
        </w:rPr>
        <w:t xml:space="preserve"> </w:t>
      </w:r>
      <w:r w:rsidRPr="00BB6220">
        <w:rPr>
          <w:rFonts w:eastAsia="Times New Roman"/>
          <w:color w:val="000000" w:themeColor="text1"/>
          <w:lang w:eastAsia="en-NZ"/>
        </w:rPr>
        <w:t>expression.</w:t>
      </w:r>
    </w:p>
    <w:p w14:paraId="74D04CB0" w14:textId="77777777" w:rsidR="00501068" w:rsidRDefault="009D4A3C" w:rsidP="0097273A">
      <w:pPr>
        <w:pStyle w:val="Heading2"/>
        <w:rPr>
          <w:i/>
        </w:rPr>
      </w:pPr>
      <w:bookmarkStart w:id="482" w:name="_Toc138325216"/>
      <w:bookmarkStart w:id="483" w:name="_Toc138343873"/>
      <w:bookmarkStart w:id="484" w:name="_Toc167780661"/>
      <w:bookmarkStart w:id="485" w:name="_Toc1969355571"/>
      <w:bookmarkStart w:id="486" w:name="_Toc174628723"/>
      <w:r>
        <w:t>To</w:t>
      </w:r>
      <w:r w:rsidR="003D640C">
        <w:t xml:space="preserve"> </w:t>
      </w:r>
      <w:r w:rsidR="00C044A8" w:rsidRPr="00BB6220">
        <w:t>Pacific</w:t>
      </w:r>
      <w:r w:rsidR="003D640C">
        <w:t xml:space="preserve"> </w:t>
      </w:r>
      <w:r w:rsidR="00C044A8" w:rsidRPr="00BB6220">
        <w:t>communities</w:t>
      </w:r>
      <w:r w:rsidR="003D640C">
        <w:t xml:space="preserve"> </w:t>
      </w:r>
      <w:r w:rsidR="00C044A8" w:rsidRPr="00BB6220">
        <w:t>affirming</w:t>
      </w:r>
      <w:r w:rsidR="003D640C">
        <w:t xml:space="preserve"> </w:t>
      </w:r>
      <w:r w:rsidR="475018D2" w:rsidRPr="00BB6220">
        <w:rPr>
          <w:rFonts w:eastAsia="Times New Roman"/>
        </w:rPr>
        <w:t>MVPFAFF</w:t>
      </w:r>
      <w:r w:rsidR="00C044A8" w:rsidRPr="00BB6220">
        <w:rPr>
          <w:rFonts w:eastAsia="Times New Roman"/>
        </w:rPr>
        <w:t>+</w:t>
      </w:r>
      <w:r w:rsidR="003D640C">
        <w:t xml:space="preserve"> </w:t>
      </w:r>
      <w:r w:rsidR="00C044A8" w:rsidRPr="00BB6220">
        <w:t>people</w:t>
      </w:r>
      <w:bookmarkEnd w:id="482"/>
      <w:bookmarkEnd w:id="483"/>
      <w:bookmarkEnd w:id="484"/>
      <w:bookmarkEnd w:id="485"/>
      <w:bookmarkEnd w:id="486"/>
      <w:r w:rsidR="003D640C">
        <w:t xml:space="preserve"> </w:t>
      </w:r>
    </w:p>
    <w:p w14:paraId="0042B121" w14:textId="626F3FA8" w:rsidR="00501068" w:rsidRDefault="00C044A8" w:rsidP="009B737E">
      <w:pPr>
        <w:rPr>
          <w:lang w:eastAsia="en-NZ"/>
        </w:rPr>
      </w:pPr>
      <w:r w:rsidRPr="00BB6220">
        <w:rPr>
          <w:lang w:eastAsia="en-NZ"/>
        </w:rPr>
        <w:t>As</w:t>
      </w:r>
      <w:r w:rsidR="003D640C">
        <w:rPr>
          <w:lang w:eastAsia="en-NZ"/>
        </w:rPr>
        <w:t xml:space="preserve"> </w:t>
      </w:r>
      <w:r w:rsidRPr="00BB6220">
        <w:rPr>
          <w:lang w:eastAsia="en-NZ"/>
        </w:rPr>
        <w:t>Aotearoa</w:t>
      </w:r>
      <w:r w:rsidR="003D640C">
        <w:rPr>
          <w:lang w:eastAsia="en-NZ"/>
        </w:rPr>
        <w:t xml:space="preserve"> </w:t>
      </w:r>
      <w:r w:rsidRPr="00BB6220">
        <w:rPr>
          <w:lang w:eastAsia="en-NZ"/>
        </w:rPr>
        <w:t>increasingly</w:t>
      </w:r>
      <w:r w:rsidR="003D640C">
        <w:rPr>
          <w:lang w:eastAsia="en-NZ"/>
        </w:rPr>
        <w:t xml:space="preserve"> </w:t>
      </w:r>
      <w:r w:rsidRPr="00BB6220">
        <w:rPr>
          <w:lang w:eastAsia="en-NZ"/>
        </w:rPr>
        <w:t>embraces</w:t>
      </w:r>
      <w:r w:rsidR="003D640C">
        <w:rPr>
          <w:lang w:eastAsia="en-NZ"/>
        </w:rPr>
        <w:t xml:space="preserve"> </w:t>
      </w:r>
      <w:r w:rsidR="009778B5" w:rsidRPr="00BB6220">
        <w:rPr>
          <w:lang w:eastAsia="en-NZ"/>
        </w:rPr>
        <w:t>I</w:t>
      </w:r>
      <w:r w:rsidRPr="00BB6220">
        <w:rPr>
          <w:lang w:eastAsia="en-NZ"/>
        </w:rPr>
        <w:t>ndigenous</w:t>
      </w:r>
      <w:r w:rsidR="003D640C">
        <w:rPr>
          <w:lang w:eastAsia="en-NZ"/>
        </w:rPr>
        <w:t xml:space="preserve"> </w:t>
      </w:r>
      <w:r w:rsidRPr="00BB6220">
        <w:rPr>
          <w:lang w:eastAsia="en-NZ"/>
        </w:rPr>
        <w:t>knowledge</w:t>
      </w:r>
      <w:r w:rsidR="003E09D8">
        <w:rPr>
          <w:lang w:eastAsia="en-NZ"/>
        </w:rPr>
        <w:t>,</w:t>
      </w:r>
      <w:r w:rsidR="003D640C">
        <w:rPr>
          <w:lang w:eastAsia="en-NZ"/>
        </w:rPr>
        <w:t xml:space="preserve"> </w:t>
      </w:r>
      <w:r w:rsidRPr="00BB6220">
        <w:rPr>
          <w:lang w:eastAsia="en-NZ"/>
        </w:rPr>
        <w:t>it</w:t>
      </w:r>
      <w:r w:rsidR="003D640C">
        <w:rPr>
          <w:lang w:eastAsia="en-NZ"/>
        </w:rPr>
        <w:t xml:space="preserve"> </w:t>
      </w:r>
      <w:r w:rsidRPr="00BB6220">
        <w:rPr>
          <w:lang w:eastAsia="en-NZ"/>
        </w:rPr>
        <w:t>becomes</w:t>
      </w:r>
      <w:r w:rsidR="003D640C">
        <w:rPr>
          <w:lang w:eastAsia="en-NZ"/>
        </w:rPr>
        <w:t xml:space="preserve"> </w:t>
      </w:r>
      <w:r w:rsidRPr="00BB6220">
        <w:rPr>
          <w:lang w:eastAsia="en-NZ"/>
        </w:rPr>
        <w:t>less</w:t>
      </w:r>
      <w:r w:rsidR="003D640C">
        <w:rPr>
          <w:lang w:eastAsia="en-NZ"/>
        </w:rPr>
        <w:t xml:space="preserve"> </w:t>
      </w:r>
      <w:r w:rsidRPr="00BB6220">
        <w:rPr>
          <w:lang w:eastAsia="en-NZ"/>
        </w:rPr>
        <w:t>tolerable</w:t>
      </w:r>
      <w:r w:rsidR="003D640C">
        <w:rPr>
          <w:lang w:eastAsia="en-NZ"/>
        </w:rPr>
        <w:t xml:space="preserve"> </w:t>
      </w:r>
      <w:r w:rsidRPr="00BB6220">
        <w:rPr>
          <w:lang w:eastAsia="en-NZ"/>
        </w:rPr>
        <w:t>to</w:t>
      </w:r>
      <w:r w:rsidR="003D640C">
        <w:rPr>
          <w:lang w:eastAsia="en-NZ"/>
        </w:rPr>
        <w:t xml:space="preserve"> </w:t>
      </w:r>
      <w:r w:rsidRPr="00BB6220">
        <w:rPr>
          <w:lang w:eastAsia="en-NZ"/>
        </w:rPr>
        <w:t>propagate</w:t>
      </w:r>
      <w:r w:rsidR="003D640C">
        <w:rPr>
          <w:lang w:eastAsia="en-NZ"/>
        </w:rPr>
        <w:t xml:space="preserve"> </w:t>
      </w:r>
      <w:r w:rsidRPr="00BB6220">
        <w:rPr>
          <w:lang w:eastAsia="en-NZ"/>
        </w:rPr>
        <w:t>harmful</w:t>
      </w:r>
      <w:r w:rsidR="003D640C">
        <w:rPr>
          <w:lang w:eastAsia="en-NZ"/>
        </w:rPr>
        <w:t xml:space="preserve"> </w:t>
      </w:r>
      <w:r w:rsidRPr="00BB6220">
        <w:rPr>
          <w:lang w:eastAsia="en-NZ"/>
        </w:rPr>
        <w:t>imported</w:t>
      </w:r>
      <w:r w:rsidR="003D640C">
        <w:rPr>
          <w:lang w:eastAsia="en-NZ"/>
        </w:rPr>
        <w:t xml:space="preserve"> </w:t>
      </w:r>
      <w:r w:rsidRPr="00BB6220">
        <w:rPr>
          <w:lang w:eastAsia="en-NZ"/>
        </w:rPr>
        <w:t>beliefs.</w:t>
      </w:r>
      <w:r w:rsidR="003D640C">
        <w:rPr>
          <w:lang w:eastAsia="en-NZ"/>
        </w:rPr>
        <w:t xml:space="preserve"> </w:t>
      </w:r>
      <w:r w:rsidRPr="00BB6220">
        <w:rPr>
          <w:lang w:eastAsia="en-NZ"/>
        </w:rPr>
        <w:t>Affirming</w:t>
      </w:r>
      <w:r w:rsidR="003D640C">
        <w:rPr>
          <w:lang w:eastAsia="en-NZ"/>
        </w:rPr>
        <w:t xml:space="preserve"> </w:t>
      </w:r>
      <w:r w:rsidR="6B49510C" w:rsidRPr="00BB6220">
        <w:rPr>
          <w:lang w:eastAsia="en-NZ"/>
        </w:rPr>
        <w:t>MVPFAFF</w:t>
      </w:r>
      <w:r w:rsidRPr="00BB6220">
        <w:rPr>
          <w:lang w:eastAsia="en-NZ"/>
        </w:rPr>
        <w:t>+</w:t>
      </w:r>
      <w:r w:rsidR="003D640C">
        <w:rPr>
          <w:lang w:eastAsia="en-NZ"/>
        </w:rPr>
        <w:t xml:space="preserve"> </w:t>
      </w:r>
      <w:r w:rsidRPr="00BB6220">
        <w:rPr>
          <w:lang w:eastAsia="en-NZ"/>
        </w:rPr>
        <w:t>individuals</w:t>
      </w:r>
      <w:r w:rsidR="003D640C">
        <w:rPr>
          <w:lang w:eastAsia="en-NZ"/>
        </w:rPr>
        <w:t xml:space="preserve"> </w:t>
      </w:r>
      <w:r w:rsidRPr="00BB6220">
        <w:rPr>
          <w:lang w:eastAsia="en-NZ"/>
        </w:rPr>
        <w:t>within</w:t>
      </w:r>
      <w:r w:rsidR="003D640C">
        <w:rPr>
          <w:lang w:eastAsia="en-NZ"/>
        </w:rPr>
        <w:t xml:space="preserve"> </w:t>
      </w:r>
      <w:r w:rsidRPr="00BB6220">
        <w:rPr>
          <w:lang w:eastAsia="en-NZ"/>
        </w:rPr>
        <w:t>Pacific</w:t>
      </w:r>
      <w:r w:rsidR="003D640C">
        <w:rPr>
          <w:lang w:eastAsia="en-NZ"/>
        </w:rPr>
        <w:t xml:space="preserve"> </w:t>
      </w:r>
      <w:r w:rsidRPr="00BB6220">
        <w:rPr>
          <w:lang w:eastAsia="en-NZ"/>
        </w:rPr>
        <w:t>communities</w:t>
      </w:r>
      <w:r w:rsidR="003D640C">
        <w:rPr>
          <w:lang w:eastAsia="en-NZ"/>
        </w:rPr>
        <w:t xml:space="preserve"> </w:t>
      </w:r>
      <w:r w:rsidRPr="00BB6220">
        <w:rPr>
          <w:lang w:eastAsia="en-NZ"/>
        </w:rPr>
        <w:t>while</w:t>
      </w:r>
      <w:r w:rsidR="003D640C">
        <w:rPr>
          <w:lang w:eastAsia="en-NZ"/>
        </w:rPr>
        <w:t xml:space="preserve"> </w:t>
      </w:r>
      <w:r w:rsidRPr="00BB6220">
        <w:rPr>
          <w:lang w:eastAsia="en-NZ"/>
        </w:rPr>
        <w:t>respecting</w:t>
      </w:r>
      <w:r w:rsidR="003D640C">
        <w:rPr>
          <w:lang w:eastAsia="en-NZ"/>
        </w:rPr>
        <w:t xml:space="preserve"> </w:t>
      </w:r>
      <w:r w:rsidRPr="00BB6220">
        <w:rPr>
          <w:lang w:eastAsia="en-NZ"/>
        </w:rPr>
        <w:t>religious</w:t>
      </w:r>
      <w:r w:rsidR="003D640C">
        <w:rPr>
          <w:lang w:eastAsia="en-NZ"/>
        </w:rPr>
        <w:t xml:space="preserve"> </w:t>
      </w:r>
      <w:r w:rsidRPr="00BB6220">
        <w:rPr>
          <w:lang w:eastAsia="en-NZ"/>
        </w:rPr>
        <w:t>faith</w:t>
      </w:r>
      <w:r w:rsidR="003D640C">
        <w:rPr>
          <w:lang w:eastAsia="en-NZ"/>
        </w:rPr>
        <w:t xml:space="preserve"> </w:t>
      </w:r>
      <w:r w:rsidRPr="00BB6220">
        <w:rPr>
          <w:lang w:eastAsia="en-NZ"/>
        </w:rPr>
        <w:t>is</w:t>
      </w:r>
      <w:r w:rsidR="003D640C">
        <w:rPr>
          <w:lang w:eastAsia="en-NZ"/>
        </w:rPr>
        <w:t xml:space="preserve"> </w:t>
      </w:r>
      <w:r w:rsidRPr="00BB6220">
        <w:rPr>
          <w:lang w:eastAsia="en-NZ"/>
        </w:rPr>
        <w:t>a</w:t>
      </w:r>
      <w:r w:rsidR="003D640C">
        <w:rPr>
          <w:lang w:eastAsia="en-NZ"/>
        </w:rPr>
        <w:t xml:space="preserve"> </w:t>
      </w:r>
      <w:r w:rsidRPr="00BB6220">
        <w:rPr>
          <w:lang w:eastAsia="en-NZ"/>
        </w:rPr>
        <w:t>delicate</w:t>
      </w:r>
      <w:r w:rsidR="003D640C">
        <w:rPr>
          <w:lang w:eastAsia="en-NZ"/>
        </w:rPr>
        <w:t xml:space="preserve"> </w:t>
      </w:r>
      <w:r w:rsidRPr="00BB6220">
        <w:rPr>
          <w:lang w:eastAsia="en-NZ"/>
        </w:rPr>
        <w:t>balance.</w:t>
      </w:r>
      <w:r w:rsidR="003D640C">
        <w:rPr>
          <w:lang w:eastAsia="en-NZ"/>
        </w:rPr>
        <w:t xml:space="preserve"> </w:t>
      </w:r>
      <w:r w:rsidRPr="00BB6220">
        <w:rPr>
          <w:lang w:eastAsia="en-NZ"/>
        </w:rPr>
        <w:t>Pacific</w:t>
      </w:r>
      <w:r w:rsidR="003D640C">
        <w:rPr>
          <w:lang w:eastAsia="en-NZ"/>
        </w:rPr>
        <w:t xml:space="preserve"> </w:t>
      </w:r>
      <w:r w:rsidRPr="00BB6220">
        <w:rPr>
          <w:lang w:eastAsia="en-NZ"/>
        </w:rPr>
        <w:t>peoples</w:t>
      </w:r>
      <w:r w:rsidR="003D640C">
        <w:rPr>
          <w:lang w:eastAsia="en-NZ"/>
        </w:rPr>
        <w:t xml:space="preserve"> </w:t>
      </w:r>
      <w:r w:rsidRPr="00BB6220">
        <w:rPr>
          <w:lang w:eastAsia="en-NZ"/>
        </w:rPr>
        <w:t>need</w:t>
      </w:r>
      <w:r w:rsidR="003D640C">
        <w:rPr>
          <w:lang w:eastAsia="en-NZ"/>
        </w:rPr>
        <w:t xml:space="preserve"> </w:t>
      </w:r>
      <w:r w:rsidRPr="00BB6220">
        <w:rPr>
          <w:lang w:eastAsia="en-NZ"/>
        </w:rPr>
        <w:t>to</w:t>
      </w:r>
      <w:r w:rsidR="003D640C">
        <w:rPr>
          <w:lang w:eastAsia="en-NZ"/>
        </w:rPr>
        <w:t xml:space="preserve"> </w:t>
      </w:r>
      <w:r w:rsidRPr="00BB6220">
        <w:rPr>
          <w:lang w:eastAsia="en-NZ"/>
        </w:rPr>
        <w:t>lead</w:t>
      </w:r>
      <w:r w:rsidR="003D640C">
        <w:rPr>
          <w:lang w:eastAsia="en-NZ"/>
        </w:rPr>
        <w:t xml:space="preserve"> </w:t>
      </w:r>
      <w:r w:rsidRPr="00BB6220">
        <w:rPr>
          <w:lang w:eastAsia="en-NZ"/>
        </w:rPr>
        <w:t>efforts</w:t>
      </w:r>
      <w:r w:rsidR="003D640C">
        <w:rPr>
          <w:lang w:eastAsia="en-NZ"/>
        </w:rPr>
        <w:t xml:space="preserve"> </w:t>
      </w:r>
      <w:r w:rsidRPr="00BB6220">
        <w:rPr>
          <w:lang w:eastAsia="en-NZ"/>
        </w:rPr>
        <w:t>to</w:t>
      </w:r>
      <w:r w:rsidR="003D640C">
        <w:rPr>
          <w:lang w:eastAsia="en-NZ"/>
        </w:rPr>
        <w:t xml:space="preserve"> </w:t>
      </w:r>
      <w:r w:rsidRPr="00BB6220">
        <w:rPr>
          <w:lang w:eastAsia="en-NZ"/>
        </w:rPr>
        <w:t>create</w:t>
      </w:r>
      <w:r w:rsidR="003D640C">
        <w:rPr>
          <w:lang w:eastAsia="en-NZ"/>
        </w:rPr>
        <w:t xml:space="preserve"> </w:t>
      </w:r>
      <w:r w:rsidRPr="00BB6220">
        <w:rPr>
          <w:lang w:eastAsia="en-NZ"/>
        </w:rPr>
        <w:t>more</w:t>
      </w:r>
      <w:r w:rsidR="003D640C">
        <w:rPr>
          <w:lang w:eastAsia="en-NZ"/>
        </w:rPr>
        <w:t xml:space="preserve"> </w:t>
      </w:r>
      <w:r w:rsidRPr="00BB6220">
        <w:rPr>
          <w:lang w:eastAsia="en-NZ"/>
        </w:rPr>
        <w:t>acceptance</w:t>
      </w:r>
      <w:r w:rsidR="003D640C">
        <w:rPr>
          <w:lang w:eastAsia="en-NZ"/>
        </w:rPr>
        <w:t xml:space="preserve"> </w:t>
      </w:r>
      <w:r w:rsidRPr="00BB6220">
        <w:rPr>
          <w:lang w:eastAsia="en-NZ"/>
        </w:rPr>
        <w:t>and</w:t>
      </w:r>
      <w:r w:rsidR="003D640C">
        <w:rPr>
          <w:lang w:eastAsia="en-NZ"/>
        </w:rPr>
        <w:t xml:space="preserve"> </w:t>
      </w:r>
      <w:r w:rsidRPr="00BB6220">
        <w:rPr>
          <w:lang w:eastAsia="en-NZ"/>
        </w:rPr>
        <w:t>safety</w:t>
      </w:r>
      <w:r w:rsidR="003D640C">
        <w:rPr>
          <w:lang w:eastAsia="en-NZ"/>
        </w:rPr>
        <w:t xml:space="preserve"> </w:t>
      </w:r>
      <w:r w:rsidRPr="00BB6220">
        <w:rPr>
          <w:lang w:eastAsia="en-NZ"/>
        </w:rPr>
        <w:t>for</w:t>
      </w:r>
      <w:r w:rsidR="003D640C">
        <w:rPr>
          <w:lang w:eastAsia="en-NZ"/>
        </w:rPr>
        <w:t xml:space="preserve"> </w:t>
      </w:r>
      <w:r w:rsidRPr="00BB6220">
        <w:rPr>
          <w:lang w:eastAsia="en-NZ"/>
        </w:rPr>
        <w:t>people</w:t>
      </w:r>
      <w:r w:rsidR="003D640C">
        <w:rPr>
          <w:lang w:eastAsia="en-NZ"/>
        </w:rPr>
        <w:t xml:space="preserve"> </w:t>
      </w:r>
      <w:r w:rsidRPr="00BB6220">
        <w:rPr>
          <w:lang w:eastAsia="en-NZ"/>
        </w:rPr>
        <w:t>living</w:t>
      </w:r>
      <w:r w:rsidR="003D640C">
        <w:rPr>
          <w:lang w:eastAsia="en-NZ"/>
        </w:rPr>
        <w:t xml:space="preserve"> </w:t>
      </w:r>
      <w:r w:rsidRPr="00BB6220">
        <w:rPr>
          <w:lang w:eastAsia="en-NZ"/>
        </w:rPr>
        <w:t>at</w:t>
      </w:r>
      <w:r w:rsidR="003D640C">
        <w:rPr>
          <w:lang w:eastAsia="en-NZ"/>
        </w:rPr>
        <w:t xml:space="preserve"> </w:t>
      </w:r>
      <w:r w:rsidRPr="00BB6220">
        <w:rPr>
          <w:lang w:eastAsia="en-NZ"/>
        </w:rPr>
        <w:t>the</w:t>
      </w:r>
      <w:r w:rsidR="003D640C">
        <w:rPr>
          <w:lang w:eastAsia="en-NZ"/>
        </w:rPr>
        <w:t xml:space="preserve"> </w:t>
      </w:r>
      <w:r w:rsidRPr="00BB6220">
        <w:rPr>
          <w:lang w:eastAsia="en-NZ"/>
        </w:rPr>
        <w:t>intersection</w:t>
      </w:r>
      <w:r w:rsidR="003D640C">
        <w:rPr>
          <w:lang w:eastAsia="en-NZ"/>
        </w:rPr>
        <w:t xml:space="preserve"> </w:t>
      </w:r>
      <w:r w:rsidRPr="00BB6220">
        <w:rPr>
          <w:lang w:eastAsia="en-NZ"/>
        </w:rPr>
        <w:t>of</w:t>
      </w:r>
      <w:r w:rsidR="003D640C">
        <w:rPr>
          <w:lang w:eastAsia="en-NZ"/>
        </w:rPr>
        <w:t xml:space="preserve"> </w:t>
      </w:r>
      <w:r w:rsidRPr="00BB6220">
        <w:rPr>
          <w:lang w:eastAsia="en-NZ"/>
        </w:rPr>
        <w:t>being</w:t>
      </w:r>
      <w:r w:rsidR="003D640C">
        <w:rPr>
          <w:lang w:eastAsia="en-NZ"/>
        </w:rPr>
        <w:t xml:space="preserve"> </w:t>
      </w:r>
      <w:r w:rsidRPr="00BB6220">
        <w:rPr>
          <w:lang w:eastAsia="en-NZ"/>
        </w:rPr>
        <w:t>Pacific,</w:t>
      </w:r>
      <w:r w:rsidR="003D640C">
        <w:rPr>
          <w:lang w:eastAsia="en-NZ"/>
        </w:rPr>
        <w:t xml:space="preserve"> </w:t>
      </w:r>
      <w:r w:rsidRPr="00BB6220">
        <w:rPr>
          <w:lang w:eastAsia="en-NZ"/>
        </w:rPr>
        <w:t>MVPFAFF+</w:t>
      </w:r>
      <w:r w:rsidR="1ED38D8C" w:rsidRPr="00BB6220">
        <w:rPr>
          <w:lang w:eastAsia="en-NZ"/>
        </w:rPr>
        <w:t>,</w:t>
      </w:r>
      <w:r w:rsidR="003D640C">
        <w:rPr>
          <w:lang w:eastAsia="en-NZ"/>
        </w:rPr>
        <w:t xml:space="preserve"> </w:t>
      </w:r>
      <w:r w:rsidRPr="00BB6220">
        <w:rPr>
          <w:lang w:eastAsia="en-NZ"/>
        </w:rPr>
        <w:t>and</w:t>
      </w:r>
      <w:r w:rsidR="003D640C">
        <w:rPr>
          <w:lang w:eastAsia="en-NZ"/>
        </w:rPr>
        <w:t xml:space="preserve"> </w:t>
      </w:r>
      <w:r w:rsidRPr="00BB6220">
        <w:rPr>
          <w:lang w:eastAsia="en-NZ"/>
        </w:rPr>
        <w:t>religious.</w:t>
      </w:r>
      <w:r w:rsidR="003D640C">
        <w:rPr>
          <w:lang w:eastAsia="en-NZ"/>
        </w:rPr>
        <w:t xml:space="preserve"> </w:t>
      </w:r>
    </w:p>
    <w:p w14:paraId="0CED697B" w14:textId="0A7B6DA4" w:rsidR="00501068" w:rsidRDefault="00C044A8" w:rsidP="009B737E">
      <w:pPr>
        <w:pStyle w:val="ListParagraph"/>
        <w:numPr>
          <w:ilvl w:val="0"/>
          <w:numId w:val="117"/>
        </w:numPr>
        <w:rPr>
          <w:rFonts w:eastAsia="Times New Roman"/>
          <w:lang w:eastAsia="en-NZ"/>
        </w:rPr>
      </w:pPr>
      <w:r w:rsidRPr="009B737E">
        <w:rPr>
          <w:rFonts w:ascii="Calibri" w:hAnsi="Calibri" w:cs="Calibri"/>
          <w:b/>
          <w:bCs/>
          <w:lang w:eastAsia="en-NZ"/>
        </w:rPr>
        <w:t>Celebrate</w:t>
      </w:r>
      <w:r w:rsidR="003D640C">
        <w:rPr>
          <w:rFonts w:eastAsia="Times New Roman"/>
          <w:b/>
          <w:lang w:eastAsia="en-NZ"/>
        </w:rPr>
        <w:t xml:space="preserve"> </w:t>
      </w:r>
      <w:r w:rsidRPr="00BB6220">
        <w:rPr>
          <w:rFonts w:eastAsia="Times New Roman"/>
          <w:b/>
          <w:lang w:eastAsia="en-NZ"/>
        </w:rPr>
        <w:t>the</w:t>
      </w:r>
      <w:r w:rsidR="003D640C">
        <w:rPr>
          <w:rFonts w:eastAsia="Times New Roman"/>
          <w:b/>
          <w:lang w:eastAsia="en-NZ"/>
        </w:rPr>
        <w:t xml:space="preserve"> </w:t>
      </w:r>
      <w:r w:rsidRPr="00BB6220">
        <w:rPr>
          <w:rFonts w:eastAsia="Times New Roman"/>
          <w:b/>
          <w:lang w:eastAsia="en-NZ"/>
        </w:rPr>
        <w:t>range</w:t>
      </w:r>
      <w:r w:rsidR="003D640C">
        <w:rPr>
          <w:rFonts w:eastAsia="Times New Roman"/>
          <w:b/>
          <w:lang w:eastAsia="en-NZ"/>
        </w:rPr>
        <w:t xml:space="preserve"> </w:t>
      </w:r>
      <w:r w:rsidRPr="00BB6220">
        <w:rPr>
          <w:rFonts w:eastAsia="Times New Roman"/>
          <w:b/>
          <w:lang w:eastAsia="en-NZ"/>
        </w:rPr>
        <w:t>of</w:t>
      </w:r>
      <w:r w:rsidR="003D640C">
        <w:rPr>
          <w:rFonts w:eastAsia="Times New Roman"/>
          <w:b/>
          <w:lang w:eastAsia="en-NZ"/>
        </w:rPr>
        <w:t xml:space="preserve"> </w:t>
      </w:r>
      <w:r w:rsidRPr="00BB6220">
        <w:rPr>
          <w:rFonts w:eastAsia="Times New Roman"/>
          <w:b/>
          <w:lang w:eastAsia="en-NZ"/>
        </w:rPr>
        <w:t>Pacific</w:t>
      </w:r>
      <w:r w:rsidR="003D640C">
        <w:rPr>
          <w:rFonts w:eastAsia="Times New Roman"/>
          <w:b/>
          <w:lang w:eastAsia="en-NZ"/>
        </w:rPr>
        <w:t xml:space="preserve"> </w:t>
      </w:r>
      <w:r w:rsidRPr="00BB6220">
        <w:rPr>
          <w:rFonts w:eastAsia="Times New Roman"/>
          <w:b/>
          <w:lang w:eastAsia="en-NZ"/>
        </w:rPr>
        <w:t>identities</w:t>
      </w:r>
      <w:r w:rsidR="003E09D8">
        <w:rPr>
          <w:rFonts w:eastAsia="Times New Roman"/>
          <w:b/>
          <w:lang w:eastAsia="en-NZ"/>
        </w:rPr>
        <w:br/>
      </w:r>
      <w:r w:rsidRPr="00BB6220">
        <w:rPr>
          <w:rFonts w:eastAsia="Times New Roman"/>
          <w:lang w:eastAsia="en-NZ"/>
        </w:rPr>
        <w:t>Recognise</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celebrate</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range</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identities</w:t>
      </w:r>
      <w:r w:rsidR="003D640C">
        <w:rPr>
          <w:rFonts w:eastAsia="Times New Roman"/>
          <w:lang w:eastAsia="en-NZ"/>
        </w:rPr>
        <w:t xml:space="preserve"> </w:t>
      </w:r>
      <w:r w:rsidR="08877E5C" w:rsidRPr="00BB6220">
        <w:rPr>
          <w:rFonts w:eastAsia="Times New Roman"/>
          <w:lang w:eastAsia="en-NZ"/>
        </w:rPr>
        <w:t>and</w:t>
      </w:r>
      <w:r w:rsidR="003D640C">
        <w:rPr>
          <w:rFonts w:eastAsia="Times New Roman"/>
          <w:lang w:eastAsia="en-NZ"/>
        </w:rPr>
        <w:t xml:space="preserve"> </w:t>
      </w:r>
      <w:r w:rsidR="08877E5C" w:rsidRPr="00BB6220">
        <w:rPr>
          <w:rFonts w:eastAsia="Times New Roman"/>
          <w:lang w:eastAsia="en-NZ"/>
        </w:rPr>
        <w:t>intersectionalit</w:t>
      </w:r>
      <w:r w:rsidR="00083EAE" w:rsidRPr="00BB6220">
        <w:rPr>
          <w:rFonts w:eastAsia="Times New Roman"/>
          <w:lang w:eastAsia="en-NZ"/>
        </w:rPr>
        <w:t>y</w:t>
      </w:r>
      <w:r w:rsidR="003D640C">
        <w:rPr>
          <w:rFonts w:eastAsia="Times New Roman"/>
          <w:lang w:eastAsia="en-NZ"/>
        </w:rPr>
        <w:t xml:space="preserve"> </w:t>
      </w:r>
      <w:r w:rsidRPr="00BB6220">
        <w:rPr>
          <w:rFonts w:eastAsia="Times New Roman"/>
          <w:lang w:eastAsia="en-NZ"/>
        </w:rPr>
        <w:t>within</w:t>
      </w:r>
      <w:r w:rsidR="003D640C">
        <w:rPr>
          <w:rFonts w:eastAsia="Times New Roman"/>
          <w:lang w:eastAsia="en-NZ"/>
        </w:rPr>
        <w:t xml:space="preserve"> </w:t>
      </w:r>
      <w:r w:rsidRPr="00BB6220">
        <w:rPr>
          <w:rFonts w:eastAsia="Times New Roman"/>
          <w:lang w:eastAsia="en-NZ"/>
        </w:rPr>
        <w:t>Pacific</w:t>
      </w:r>
      <w:r w:rsidR="003D640C">
        <w:rPr>
          <w:rFonts w:eastAsia="Times New Roman"/>
          <w:lang w:eastAsia="en-NZ"/>
        </w:rPr>
        <w:t xml:space="preserve"> </w:t>
      </w:r>
      <w:r w:rsidRPr="00BB6220">
        <w:rPr>
          <w:rFonts w:eastAsia="Times New Roman"/>
          <w:lang w:eastAsia="en-NZ"/>
        </w:rPr>
        <w:t>communities.</w:t>
      </w:r>
      <w:r w:rsidR="003D640C">
        <w:rPr>
          <w:rFonts w:eastAsia="Times New Roman"/>
          <w:lang w:eastAsia="en-NZ"/>
        </w:rPr>
        <w:t xml:space="preserve"> </w:t>
      </w:r>
      <w:r w:rsidRPr="00BB6220">
        <w:rPr>
          <w:rFonts w:eastAsia="Times New Roman"/>
          <w:lang w:eastAsia="en-NZ"/>
        </w:rPr>
        <w:t>Acknowledge</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Pacific</w:t>
      </w:r>
      <w:r w:rsidR="003D640C">
        <w:rPr>
          <w:rFonts w:eastAsia="Times New Roman"/>
          <w:lang w:eastAsia="en-NZ"/>
        </w:rPr>
        <w:t xml:space="preserve"> </w:t>
      </w:r>
      <w:r w:rsidRPr="00BB6220">
        <w:rPr>
          <w:rFonts w:eastAsia="Times New Roman"/>
          <w:lang w:eastAsia="en-NZ"/>
        </w:rPr>
        <w:t>people</w:t>
      </w:r>
      <w:r w:rsidR="003751AB">
        <w:rPr>
          <w:rFonts w:eastAsia="Times New Roman"/>
          <w:lang w:eastAsia="en-NZ"/>
        </w:rPr>
        <w:t>s</w:t>
      </w:r>
      <w:r w:rsidR="003D640C">
        <w:rPr>
          <w:rFonts w:eastAsia="Times New Roman"/>
          <w:lang w:eastAsia="en-NZ"/>
        </w:rPr>
        <w:t xml:space="preserve"> </w:t>
      </w:r>
      <w:r w:rsidRPr="00BB6220">
        <w:rPr>
          <w:rFonts w:eastAsia="Times New Roman"/>
          <w:lang w:eastAsia="en-NZ"/>
        </w:rPr>
        <w:t>value</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cultural</w:t>
      </w:r>
      <w:r w:rsidR="003D640C">
        <w:rPr>
          <w:rFonts w:eastAsia="Times New Roman"/>
          <w:lang w:eastAsia="en-NZ"/>
        </w:rPr>
        <w:t xml:space="preserve"> </w:t>
      </w:r>
      <w:r w:rsidRPr="00BB6220">
        <w:rPr>
          <w:rFonts w:eastAsia="Times New Roman"/>
          <w:lang w:eastAsia="en-NZ"/>
        </w:rPr>
        <w:t>heritage</w:t>
      </w:r>
      <w:r w:rsidR="003D640C">
        <w:rPr>
          <w:rFonts w:eastAsia="Times New Roman"/>
          <w:lang w:eastAsia="en-NZ"/>
        </w:rPr>
        <w:t xml:space="preserve"> </w:t>
      </w:r>
      <w:r w:rsidRPr="00BB6220">
        <w:rPr>
          <w:rFonts w:eastAsia="Times New Roman"/>
          <w:lang w:eastAsia="en-NZ"/>
        </w:rPr>
        <w:t>alongside</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sexual</w:t>
      </w:r>
      <w:r w:rsidR="003D640C">
        <w:rPr>
          <w:rFonts w:eastAsia="Times New Roman"/>
          <w:lang w:eastAsia="en-NZ"/>
        </w:rPr>
        <w:t xml:space="preserve"> </w:t>
      </w:r>
      <w:r w:rsidRPr="00BB6220">
        <w:rPr>
          <w:rFonts w:eastAsia="Times New Roman"/>
          <w:lang w:eastAsia="en-NZ"/>
        </w:rPr>
        <w:t>orientation,</w:t>
      </w:r>
      <w:r w:rsidR="003D640C">
        <w:rPr>
          <w:rFonts w:eastAsia="Times New Roman"/>
          <w:lang w:eastAsia="en-NZ"/>
        </w:rPr>
        <w:t xml:space="preserve"> </w:t>
      </w:r>
      <w:r w:rsidRPr="00BB6220">
        <w:rPr>
          <w:rFonts w:eastAsia="Times New Roman"/>
          <w:lang w:eastAsia="en-NZ"/>
        </w:rPr>
        <w:t>gender</w:t>
      </w:r>
      <w:r w:rsidR="003D640C">
        <w:rPr>
          <w:rFonts w:eastAsia="Times New Roman"/>
          <w:lang w:eastAsia="en-NZ"/>
        </w:rPr>
        <w:t xml:space="preserve"> </w:t>
      </w:r>
      <w:r w:rsidRPr="00BB6220">
        <w:rPr>
          <w:rFonts w:eastAsia="Times New Roman"/>
          <w:lang w:eastAsia="en-NZ"/>
        </w:rPr>
        <w:t>identity</w:t>
      </w:r>
      <w:r w:rsidR="003E09D8">
        <w:rPr>
          <w:rFonts w:eastAsia="Times New Roman"/>
          <w:lang w:eastAsia="en-NZ"/>
        </w:rPr>
        <w:t>,</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gender</w:t>
      </w:r>
      <w:r w:rsidR="003D640C">
        <w:rPr>
          <w:rFonts w:eastAsia="Times New Roman"/>
          <w:lang w:eastAsia="en-NZ"/>
        </w:rPr>
        <w:t xml:space="preserve"> </w:t>
      </w:r>
      <w:r w:rsidRPr="00BB6220">
        <w:rPr>
          <w:rFonts w:eastAsia="Times New Roman"/>
          <w:lang w:eastAsia="en-NZ"/>
        </w:rPr>
        <w:t>expression.</w:t>
      </w:r>
      <w:r w:rsidR="003D640C">
        <w:rPr>
          <w:rFonts w:eastAsia="Times New Roman"/>
          <w:lang w:eastAsia="en-NZ"/>
        </w:rPr>
        <w:t xml:space="preserve"> </w:t>
      </w:r>
      <w:r w:rsidRPr="00BB6220">
        <w:rPr>
          <w:rFonts w:eastAsia="Times New Roman"/>
          <w:lang w:eastAsia="en-NZ"/>
        </w:rPr>
        <w:t>Promote</w:t>
      </w:r>
      <w:r w:rsidR="003D640C">
        <w:rPr>
          <w:rFonts w:eastAsia="Times New Roman"/>
          <w:lang w:eastAsia="en-NZ"/>
        </w:rPr>
        <w:t xml:space="preserve"> </w:t>
      </w:r>
      <w:r w:rsidRPr="00BB6220">
        <w:rPr>
          <w:rFonts w:eastAsia="Times New Roman"/>
          <w:lang w:eastAsia="en-NZ"/>
        </w:rPr>
        <w:t>inclusive</w:t>
      </w:r>
      <w:r w:rsidR="003D640C">
        <w:rPr>
          <w:rFonts w:eastAsia="Times New Roman"/>
          <w:lang w:eastAsia="en-NZ"/>
        </w:rPr>
        <w:t xml:space="preserve"> </w:t>
      </w:r>
      <w:r w:rsidRPr="00BB6220">
        <w:rPr>
          <w:rFonts w:eastAsia="Times New Roman"/>
          <w:lang w:eastAsia="en-NZ"/>
        </w:rPr>
        <w:t>approaches</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affirm</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entire</w:t>
      </w:r>
      <w:r w:rsidR="003D640C">
        <w:rPr>
          <w:rFonts w:eastAsia="Times New Roman"/>
          <w:lang w:eastAsia="en-NZ"/>
        </w:rPr>
        <w:t xml:space="preserve"> </w:t>
      </w:r>
      <w:r w:rsidRPr="00BB6220">
        <w:rPr>
          <w:rFonts w:eastAsia="Times New Roman"/>
          <w:lang w:eastAsia="en-NZ"/>
        </w:rPr>
        <w:t>person.</w:t>
      </w:r>
    </w:p>
    <w:p w14:paraId="570C9899" w14:textId="2F769463" w:rsidR="00501068" w:rsidRDefault="00C044A8" w:rsidP="009B737E">
      <w:pPr>
        <w:pStyle w:val="ListParagraph"/>
        <w:numPr>
          <w:ilvl w:val="0"/>
          <w:numId w:val="117"/>
        </w:numPr>
        <w:rPr>
          <w:rFonts w:eastAsia="Times New Roman" w:cstheme="minorHAnsi"/>
          <w:lang w:eastAsia="en-NZ"/>
        </w:rPr>
      </w:pPr>
      <w:r w:rsidRPr="00BB6220">
        <w:rPr>
          <w:rFonts w:eastAsia="Times New Roman"/>
          <w:b/>
          <w:lang w:eastAsia="en-NZ"/>
        </w:rPr>
        <w:t>Respect</w:t>
      </w:r>
      <w:r w:rsidR="003D640C">
        <w:rPr>
          <w:rFonts w:eastAsia="Times New Roman"/>
          <w:b/>
          <w:lang w:eastAsia="en-NZ"/>
        </w:rPr>
        <w:t xml:space="preserve"> </w:t>
      </w:r>
      <w:r w:rsidRPr="009B737E">
        <w:rPr>
          <w:rFonts w:ascii="Calibri" w:hAnsi="Calibri" w:cs="Calibri"/>
          <w:b/>
          <w:bCs/>
          <w:lang w:eastAsia="en-NZ"/>
        </w:rPr>
        <w:t>the</w:t>
      </w:r>
      <w:r w:rsidR="003D640C">
        <w:rPr>
          <w:rFonts w:eastAsia="Times New Roman"/>
          <w:b/>
          <w:lang w:eastAsia="en-NZ"/>
        </w:rPr>
        <w:t xml:space="preserve"> </w:t>
      </w:r>
      <w:r w:rsidRPr="00BB6220">
        <w:rPr>
          <w:rFonts w:eastAsia="Times New Roman"/>
          <w:b/>
          <w:lang w:eastAsia="en-NZ"/>
        </w:rPr>
        <w:t>diversity</w:t>
      </w:r>
      <w:r w:rsidR="003D640C">
        <w:rPr>
          <w:rFonts w:eastAsia="Times New Roman"/>
          <w:b/>
          <w:lang w:eastAsia="en-NZ"/>
        </w:rPr>
        <w:t xml:space="preserve"> </w:t>
      </w:r>
      <w:r w:rsidRPr="00BB6220">
        <w:rPr>
          <w:rFonts w:eastAsia="Times New Roman"/>
          <w:b/>
          <w:lang w:eastAsia="en-NZ"/>
        </w:rPr>
        <w:t>of</w:t>
      </w:r>
      <w:r w:rsidR="003D640C">
        <w:rPr>
          <w:rFonts w:eastAsia="Times New Roman"/>
          <w:b/>
          <w:lang w:eastAsia="en-NZ"/>
        </w:rPr>
        <w:t xml:space="preserve"> </w:t>
      </w:r>
      <w:r w:rsidRPr="00BB6220">
        <w:rPr>
          <w:rFonts w:eastAsia="Times New Roman"/>
          <w:b/>
          <w:lang w:eastAsia="en-NZ"/>
        </w:rPr>
        <w:t>Pacific</w:t>
      </w:r>
      <w:r w:rsidR="003D640C">
        <w:rPr>
          <w:rFonts w:eastAsia="Times New Roman"/>
          <w:b/>
          <w:lang w:eastAsia="en-NZ"/>
        </w:rPr>
        <w:t xml:space="preserve"> </w:t>
      </w:r>
      <w:r w:rsidRPr="00BB6220">
        <w:rPr>
          <w:rFonts w:eastAsia="Times New Roman"/>
          <w:b/>
          <w:lang w:eastAsia="en-NZ"/>
        </w:rPr>
        <w:t>views</w:t>
      </w:r>
      <w:r w:rsidR="003E09D8">
        <w:rPr>
          <w:rFonts w:eastAsia="Times New Roman"/>
          <w:b/>
          <w:lang w:eastAsia="en-NZ"/>
        </w:rPr>
        <w:br/>
      </w:r>
      <w:r w:rsidRPr="00BB6220">
        <w:rPr>
          <w:rFonts w:eastAsia="Times New Roman"/>
          <w:lang w:eastAsia="en-NZ"/>
        </w:rPr>
        <w:t>Recognise</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validate</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diversity</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experience</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beliefs</w:t>
      </w:r>
      <w:r w:rsidR="003D640C">
        <w:rPr>
          <w:rFonts w:eastAsia="Times New Roman"/>
          <w:lang w:eastAsia="en-NZ"/>
        </w:rPr>
        <w:t xml:space="preserve"> </w:t>
      </w:r>
      <w:r w:rsidRPr="00BB6220">
        <w:rPr>
          <w:rFonts w:eastAsia="Times New Roman"/>
          <w:lang w:eastAsia="en-NZ"/>
        </w:rPr>
        <w:t>within</w:t>
      </w:r>
      <w:r w:rsidR="003D640C">
        <w:rPr>
          <w:rFonts w:eastAsia="Times New Roman"/>
          <w:lang w:eastAsia="en-NZ"/>
        </w:rPr>
        <w:t xml:space="preserve"> </w:t>
      </w:r>
      <w:r w:rsidRPr="00BB6220">
        <w:rPr>
          <w:rFonts w:eastAsia="Times New Roman"/>
          <w:lang w:eastAsia="en-NZ"/>
        </w:rPr>
        <w:t>Pacific</w:t>
      </w:r>
      <w:r w:rsidR="003D640C">
        <w:rPr>
          <w:rFonts w:eastAsia="Times New Roman"/>
          <w:lang w:eastAsia="en-NZ"/>
        </w:rPr>
        <w:t xml:space="preserve"> </w:t>
      </w:r>
      <w:r w:rsidRPr="00BB6220">
        <w:rPr>
          <w:rFonts w:eastAsia="Times New Roman"/>
          <w:lang w:eastAsia="en-NZ"/>
        </w:rPr>
        <w:t>communities,</w:t>
      </w:r>
      <w:r w:rsidR="003D640C">
        <w:rPr>
          <w:rFonts w:eastAsia="Times New Roman"/>
          <w:lang w:eastAsia="en-NZ"/>
        </w:rPr>
        <w:t xml:space="preserve"> </w:t>
      </w:r>
      <w:r w:rsidRPr="00BB6220">
        <w:rPr>
          <w:rFonts w:eastAsia="Times New Roman"/>
          <w:lang w:eastAsia="en-NZ"/>
        </w:rPr>
        <w:t>including</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diverse</w:t>
      </w:r>
      <w:r w:rsidR="003D640C">
        <w:rPr>
          <w:rFonts w:eastAsia="Times New Roman"/>
          <w:lang w:eastAsia="en-NZ"/>
        </w:rPr>
        <w:t xml:space="preserve"> </w:t>
      </w:r>
      <w:r w:rsidRPr="00BB6220">
        <w:rPr>
          <w:rFonts w:eastAsia="Times New Roman"/>
          <w:lang w:eastAsia="en-NZ"/>
        </w:rPr>
        <w:t>perspectives</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religious</w:t>
      </w:r>
      <w:r w:rsidR="003D640C">
        <w:rPr>
          <w:rFonts w:eastAsia="Times New Roman"/>
          <w:lang w:eastAsia="en-NZ"/>
        </w:rPr>
        <w:t xml:space="preserve"> </w:t>
      </w:r>
      <w:r w:rsidRPr="00BB6220">
        <w:rPr>
          <w:rFonts w:eastAsia="Times New Roman"/>
          <w:lang w:eastAsia="en-NZ"/>
        </w:rPr>
        <w:t>communities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the</w:t>
      </w:r>
      <w:r w:rsidR="003D640C">
        <w:rPr>
          <w:rFonts w:eastAsia="Times New Roman"/>
          <w:lang w:eastAsia="en-NZ"/>
        </w:rPr>
        <w:t xml:space="preserve"> </w:t>
      </w:r>
      <w:r w:rsidRPr="00BB6220">
        <w:rPr>
          <w:rFonts w:eastAsia="Times New Roman"/>
          <w:lang w:eastAsia="en-NZ"/>
        </w:rPr>
        <w:t>experiences</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MVPFAFF+</w:t>
      </w:r>
      <w:r w:rsidR="003D640C">
        <w:rPr>
          <w:rFonts w:eastAsia="Times New Roman"/>
          <w:lang w:eastAsia="en-NZ"/>
        </w:rPr>
        <w:t xml:space="preserve"> </w:t>
      </w:r>
      <w:r w:rsidR="00467848">
        <w:rPr>
          <w:rFonts w:eastAsia="Times New Roman"/>
          <w:lang w:eastAsia="en-NZ"/>
        </w:rPr>
        <w:t>people</w:t>
      </w:r>
      <w:r w:rsidRPr="00BB6220">
        <w:rPr>
          <w:rFonts w:eastAsia="Times New Roman"/>
          <w:lang w:eastAsia="en-NZ"/>
        </w:rPr>
        <w:t>.</w:t>
      </w:r>
      <w:r w:rsidR="003D640C">
        <w:rPr>
          <w:rFonts w:eastAsia="Times New Roman"/>
          <w:lang w:eastAsia="en-NZ"/>
        </w:rPr>
        <w:t xml:space="preserve"> </w:t>
      </w:r>
      <w:r w:rsidRPr="00BB6220">
        <w:rPr>
          <w:rFonts w:eastAsia="Times New Roman"/>
          <w:lang w:eastAsia="en-NZ"/>
        </w:rPr>
        <w:t>Centre</w:t>
      </w:r>
      <w:r w:rsidR="003D640C">
        <w:rPr>
          <w:rFonts w:eastAsia="Times New Roman"/>
          <w:lang w:eastAsia="en-NZ"/>
        </w:rPr>
        <w:t xml:space="preserve"> </w:t>
      </w:r>
      <w:r w:rsidRPr="00BB6220">
        <w:rPr>
          <w:rFonts w:eastAsia="Times New Roman"/>
          <w:lang w:eastAsia="en-NZ"/>
        </w:rPr>
        <w:t>common</w:t>
      </w:r>
      <w:r w:rsidR="003D640C">
        <w:rPr>
          <w:rFonts w:eastAsia="Times New Roman"/>
          <w:lang w:eastAsia="en-NZ"/>
        </w:rPr>
        <w:t xml:space="preserve"> </w:t>
      </w:r>
      <w:r w:rsidRPr="00BB6220">
        <w:rPr>
          <w:rFonts w:eastAsia="Times New Roman"/>
          <w:lang w:eastAsia="en-NZ"/>
        </w:rPr>
        <w:t>ground</w:t>
      </w:r>
      <w:r w:rsidR="003D640C">
        <w:rPr>
          <w:rFonts w:eastAsia="Times New Roman"/>
          <w:lang w:eastAsia="en-NZ"/>
        </w:rPr>
        <w:t xml:space="preserve"> </w:t>
      </w:r>
      <w:r w:rsidRPr="00BB6220">
        <w:rPr>
          <w:rFonts w:eastAsia="Times New Roman"/>
          <w:lang w:eastAsia="en-NZ"/>
        </w:rPr>
        <w:t>rather</w:t>
      </w:r>
      <w:r w:rsidR="003D640C">
        <w:rPr>
          <w:rFonts w:eastAsia="Times New Roman"/>
          <w:lang w:eastAsia="en-NZ"/>
        </w:rPr>
        <w:t xml:space="preserve"> </w:t>
      </w:r>
      <w:r w:rsidR="007D7728" w:rsidRPr="00BB6220">
        <w:rPr>
          <w:rFonts w:eastAsia="Times New Roman"/>
          <w:lang w:eastAsia="en-NZ"/>
        </w:rPr>
        <w:t>than</w:t>
      </w:r>
      <w:r w:rsidR="003D640C">
        <w:rPr>
          <w:rFonts w:eastAsia="Times New Roman"/>
          <w:lang w:eastAsia="en-NZ"/>
        </w:rPr>
        <w:t xml:space="preserve"> </w:t>
      </w:r>
      <w:r w:rsidRPr="00BB6220">
        <w:rPr>
          <w:rFonts w:eastAsia="Times New Roman"/>
          <w:lang w:eastAsia="en-NZ"/>
        </w:rPr>
        <w:t>highlighting</w:t>
      </w:r>
      <w:r w:rsidR="003D640C">
        <w:rPr>
          <w:rFonts w:eastAsia="Times New Roman"/>
          <w:lang w:eastAsia="en-NZ"/>
        </w:rPr>
        <w:t xml:space="preserve"> </w:t>
      </w:r>
      <w:r w:rsidRPr="00BB6220">
        <w:rPr>
          <w:rFonts w:eastAsia="Times New Roman"/>
          <w:lang w:eastAsia="en-NZ"/>
        </w:rPr>
        <w:t>differences.</w:t>
      </w:r>
    </w:p>
    <w:p w14:paraId="2642FE62" w14:textId="73275CF3" w:rsidR="00501068" w:rsidRDefault="00C044A8" w:rsidP="009B737E">
      <w:pPr>
        <w:pStyle w:val="ListParagraph"/>
        <w:numPr>
          <w:ilvl w:val="0"/>
          <w:numId w:val="117"/>
        </w:numPr>
        <w:rPr>
          <w:rFonts w:eastAsia="Times New Roman"/>
          <w:i/>
          <w:lang w:eastAsia="en-NZ"/>
        </w:rPr>
      </w:pPr>
      <w:bookmarkStart w:id="487" w:name="_Hlk149626311"/>
      <w:r w:rsidRPr="00BB6220">
        <w:rPr>
          <w:rFonts w:eastAsia="Times New Roman"/>
          <w:b/>
          <w:lang w:eastAsia="en-NZ"/>
        </w:rPr>
        <w:t>Increase</w:t>
      </w:r>
      <w:r w:rsidR="003D640C">
        <w:rPr>
          <w:rFonts w:eastAsia="Times New Roman"/>
          <w:b/>
          <w:lang w:eastAsia="en-NZ"/>
        </w:rPr>
        <w:t xml:space="preserve"> </w:t>
      </w:r>
      <w:r w:rsidRPr="00BB6220">
        <w:rPr>
          <w:rFonts w:eastAsia="Times New Roman"/>
          <w:b/>
          <w:lang w:eastAsia="en-NZ"/>
        </w:rPr>
        <w:t>inclusivity</w:t>
      </w:r>
      <w:r w:rsidR="003D640C">
        <w:rPr>
          <w:rFonts w:eastAsia="Times New Roman"/>
          <w:b/>
          <w:lang w:eastAsia="en-NZ"/>
        </w:rPr>
        <w:t xml:space="preserve"> </w:t>
      </w:r>
      <w:r w:rsidRPr="00BB6220">
        <w:rPr>
          <w:rFonts w:eastAsia="Times New Roman"/>
          <w:b/>
          <w:lang w:eastAsia="en-NZ"/>
        </w:rPr>
        <w:t>in</w:t>
      </w:r>
      <w:r w:rsidR="003D640C">
        <w:rPr>
          <w:rFonts w:eastAsia="Times New Roman"/>
          <w:b/>
          <w:lang w:eastAsia="en-NZ"/>
        </w:rPr>
        <w:t xml:space="preserve"> </w:t>
      </w:r>
      <w:r w:rsidRPr="00BB6220">
        <w:rPr>
          <w:rFonts w:eastAsia="Times New Roman"/>
          <w:b/>
          <w:bCs/>
          <w:lang w:eastAsia="en-NZ"/>
        </w:rPr>
        <w:t>religious</w:t>
      </w:r>
      <w:r w:rsidR="003D640C">
        <w:rPr>
          <w:rFonts w:eastAsia="Times New Roman"/>
          <w:b/>
          <w:lang w:eastAsia="en-NZ"/>
        </w:rPr>
        <w:t xml:space="preserve"> </w:t>
      </w:r>
      <w:r w:rsidRPr="00BB6220">
        <w:rPr>
          <w:rFonts w:eastAsia="Times New Roman"/>
          <w:b/>
          <w:lang w:eastAsia="en-NZ"/>
        </w:rPr>
        <w:t>spaces</w:t>
      </w:r>
      <w:r w:rsidR="003E09D8">
        <w:rPr>
          <w:rFonts w:eastAsia="Times New Roman"/>
          <w:b/>
          <w:lang w:eastAsia="en-NZ"/>
        </w:rPr>
        <w:br/>
      </w:r>
      <w:r w:rsidR="003D640C">
        <w:rPr>
          <w:rFonts w:eastAsia="Times New Roman"/>
          <w:lang w:eastAsia="en-NZ"/>
        </w:rPr>
        <w:t xml:space="preserve"> </w:t>
      </w:r>
      <w:r w:rsidRPr="00BB6220">
        <w:rPr>
          <w:rFonts w:eastAsia="Times New Roman"/>
          <w:lang w:eastAsia="en-NZ"/>
        </w:rPr>
        <w:t>Advocate</w:t>
      </w:r>
      <w:r w:rsidR="003D640C">
        <w:rPr>
          <w:rFonts w:eastAsia="Times New Roman"/>
          <w:lang w:eastAsia="en-NZ"/>
        </w:rPr>
        <w:t xml:space="preserve"> </w:t>
      </w:r>
      <w:r w:rsidRPr="00BB6220">
        <w:rPr>
          <w:rFonts w:eastAsia="Times New Roman"/>
          <w:lang w:eastAsia="en-NZ"/>
        </w:rPr>
        <w:t>for</w:t>
      </w:r>
      <w:r w:rsidR="003D640C">
        <w:rPr>
          <w:rFonts w:eastAsia="Times New Roman"/>
          <w:lang w:eastAsia="en-NZ"/>
        </w:rPr>
        <w:t xml:space="preserve"> </w:t>
      </w:r>
      <w:r w:rsidRPr="00BB6220">
        <w:rPr>
          <w:rFonts w:eastAsia="Times New Roman"/>
          <w:lang w:eastAsia="en-NZ"/>
        </w:rPr>
        <w:t>inclusive</w:t>
      </w:r>
      <w:r w:rsidR="003D640C">
        <w:rPr>
          <w:rFonts w:eastAsia="Times New Roman"/>
          <w:lang w:eastAsia="en-NZ"/>
        </w:rPr>
        <w:t xml:space="preserve"> </w:t>
      </w:r>
      <w:r w:rsidRPr="00BB6220">
        <w:rPr>
          <w:rFonts w:eastAsia="Times New Roman"/>
          <w:lang w:eastAsia="en-NZ"/>
        </w:rPr>
        <w:t>religious</w:t>
      </w:r>
      <w:r w:rsidR="003D640C">
        <w:rPr>
          <w:rFonts w:eastAsia="Times New Roman"/>
          <w:lang w:eastAsia="en-NZ"/>
        </w:rPr>
        <w:t xml:space="preserve"> </w:t>
      </w:r>
      <w:r w:rsidRPr="00BB6220">
        <w:rPr>
          <w:rFonts w:eastAsia="Times New Roman"/>
          <w:lang w:eastAsia="en-NZ"/>
        </w:rPr>
        <w:t>spaces</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welcome</w:t>
      </w:r>
      <w:r w:rsidR="003D640C">
        <w:rPr>
          <w:rFonts w:eastAsia="Times New Roman"/>
          <w:lang w:eastAsia="en-NZ"/>
        </w:rPr>
        <w:t xml:space="preserve"> </w:t>
      </w:r>
      <w:r w:rsidRPr="00BB6220">
        <w:rPr>
          <w:rFonts w:eastAsia="Times New Roman"/>
          <w:lang w:eastAsia="en-NZ"/>
        </w:rPr>
        <w:t>MVPFAFF+</w:t>
      </w:r>
      <w:r w:rsidR="003D640C">
        <w:rPr>
          <w:rFonts w:eastAsia="Times New Roman"/>
          <w:lang w:eastAsia="en-NZ"/>
        </w:rPr>
        <w:t xml:space="preserve"> </w:t>
      </w:r>
      <w:r w:rsidRPr="00BB6220">
        <w:rPr>
          <w:rFonts w:eastAsia="Times New Roman"/>
          <w:lang w:eastAsia="en-NZ"/>
        </w:rPr>
        <w:t>people</w:t>
      </w:r>
      <w:r w:rsidR="003D640C">
        <w:rPr>
          <w:rFonts w:eastAsia="Times New Roman"/>
          <w:lang w:eastAsia="en-NZ"/>
        </w:rPr>
        <w:t xml:space="preserve"> </w:t>
      </w:r>
      <w:r w:rsidRPr="00BB6220">
        <w:rPr>
          <w:rFonts w:eastAsia="Times New Roman"/>
          <w:lang w:eastAsia="en-NZ"/>
        </w:rPr>
        <w:t>as</w:t>
      </w:r>
      <w:r w:rsidR="003D640C">
        <w:rPr>
          <w:rFonts w:eastAsia="Times New Roman"/>
          <w:lang w:eastAsia="en-NZ"/>
        </w:rPr>
        <w:t xml:space="preserve"> </w:t>
      </w:r>
      <w:r w:rsidRPr="00BB6220">
        <w:rPr>
          <w:rFonts w:eastAsia="Times New Roman"/>
          <w:lang w:eastAsia="en-NZ"/>
        </w:rPr>
        <w:t>they</w:t>
      </w:r>
      <w:r w:rsidR="003D640C">
        <w:rPr>
          <w:rFonts w:eastAsia="Times New Roman"/>
          <w:lang w:eastAsia="en-NZ"/>
        </w:rPr>
        <w:t xml:space="preserve"> </w:t>
      </w:r>
      <w:r w:rsidRPr="00BB6220">
        <w:rPr>
          <w:rFonts w:eastAsia="Times New Roman"/>
          <w:lang w:eastAsia="en-NZ"/>
        </w:rPr>
        <w:t>are</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affirm</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participation.</w:t>
      </w:r>
      <w:r w:rsidR="003D640C">
        <w:rPr>
          <w:rFonts w:eastAsia="Times New Roman"/>
          <w:lang w:eastAsia="en-NZ"/>
        </w:rPr>
        <w:t xml:space="preserve"> </w:t>
      </w:r>
      <w:r w:rsidRPr="00BB6220">
        <w:rPr>
          <w:rFonts w:eastAsia="Times New Roman"/>
          <w:lang w:eastAsia="en-NZ"/>
        </w:rPr>
        <w:t>Encourage</w:t>
      </w:r>
      <w:r w:rsidR="003D640C">
        <w:rPr>
          <w:rFonts w:eastAsia="Times New Roman"/>
          <w:lang w:eastAsia="en-NZ"/>
        </w:rPr>
        <w:t xml:space="preserve"> </w:t>
      </w:r>
      <w:r w:rsidRPr="00BB6220">
        <w:rPr>
          <w:rFonts w:eastAsia="Times New Roman"/>
          <w:lang w:eastAsia="en-NZ"/>
        </w:rPr>
        <w:t>religious</w:t>
      </w:r>
      <w:r w:rsidR="003D640C">
        <w:rPr>
          <w:rFonts w:eastAsia="Times New Roman"/>
          <w:lang w:eastAsia="en-NZ"/>
        </w:rPr>
        <w:t xml:space="preserve"> </w:t>
      </w:r>
      <w:r w:rsidRPr="00BB6220">
        <w:rPr>
          <w:rFonts w:eastAsia="Times New Roman"/>
          <w:lang w:eastAsia="en-NZ"/>
        </w:rPr>
        <w:t>leaders</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study</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engage</w:t>
      </w:r>
      <w:r w:rsidR="003D640C">
        <w:rPr>
          <w:rFonts w:eastAsia="Times New Roman"/>
          <w:lang w:eastAsia="en-NZ"/>
        </w:rPr>
        <w:t xml:space="preserve"> </w:t>
      </w:r>
      <w:r w:rsidRPr="00BB6220">
        <w:rPr>
          <w:rFonts w:eastAsia="Times New Roman"/>
          <w:lang w:eastAsia="en-NZ"/>
        </w:rPr>
        <w:t>with</w:t>
      </w:r>
      <w:r w:rsidR="003D640C">
        <w:rPr>
          <w:rFonts w:eastAsia="Times New Roman"/>
          <w:lang w:eastAsia="en-NZ"/>
        </w:rPr>
        <w:t xml:space="preserve"> </w:t>
      </w:r>
      <w:r w:rsidRPr="00BB6220">
        <w:rPr>
          <w:rFonts w:eastAsia="Times New Roman"/>
          <w:lang w:eastAsia="en-NZ"/>
        </w:rPr>
        <w:t>affirming</w:t>
      </w:r>
      <w:r w:rsidR="003D640C">
        <w:rPr>
          <w:rFonts w:eastAsia="Times New Roman"/>
          <w:lang w:eastAsia="en-NZ"/>
        </w:rPr>
        <w:t xml:space="preserve"> </w:t>
      </w:r>
      <w:r w:rsidRPr="00BB6220">
        <w:rPr>
          <w:rFonts w:eastAsia="Times New Roman"/>
          <w:lang w:eastAsia="en-NZ"/>
        </w:rPr>
        <w:t>interpretations</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sacred</w:t>
      </w:r>
      <w:r w:rsidR="003D640C">
        <w:rPr>
          <w:rFonts w:eastAsia="Times New Roman"/>
          <w:lang w:eastAsia="en-NZ"/>
        </w:rPr>
        <w:t xml:space="preserve"> </w:t>
      </w:r>
      <w:r w:rsidRPr="00BB6220">
        <w:rPr>
          <w:rFonts w:eastAsia="Times New Roman"/>
          <w:lang w:eastAsia="en-NZ"/>
        </w:rPr>
        <w:t>texts,</w:t>
      </w:r>
      <w:r w:rsidR="003D640C">
        <w:rPr>
          <w:rFonts w:eastAsia="Times New Roman"/>
          <w:lang w:eastAsia="en-NZ"/>
        </w:rPr>
        <w:t xml:space="preserve"> </w:t>
      </w:r>
      <w:r w:rsidRPr="00BB6220">
        <w:rPr>
          <w:rFonts w:eastAsia="Times New Roman"/>
          <w:lang w:eastAsia="en-NZ"/>
        </w:rPr>
        <w:t>highlighting</w:t>
      </w:r>
      <w:r w:rsidR="003D640C">
        <w:rPr>
          <w:rFonts w:eastAsia="Times New Roman"/>
          <w:lang w:eastAsia="en-NZ"/>
        </w:rPr>
        <w:t xml:space="preserve"> </w:t>
      </w:r>
      <w:r w:rsidRPr="00BB6220">
        <w:rPr>
          <w:rFonts w:eastAsia="Times New Roman"/>
          <w:lang w:eastAsia="en-NZ"/>
        </w:rPr>
        <w:t>messages</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love,</w:t>
      </w:r>
      <w:r w:rsidR="003D640C">
        <w:rPr>
          <w:rFonts w:eastAsia="Times New Roman"/>
          <w:lang w:eastAsia="en-NZ"/>
        </w:rPr>
        <w:t xml:space="preserve"> </w:t>
      </w:r>
      <w:r w:rsidRPr="00BB6220">
        <w:rPr>
          <w:rFonts w:eastAsia="Times New Roman"/>
          <w:lang w:eastAsia="en-NZ"/>
        </w:rPr>
        <w:t>acceptance,</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inclusion.</w:t>
      </w:r>
      <w:r w:rsidR="003D640C">
        <w:rPr>
          <w:rFonts w:eastAsia="Times New Roman"/>
          <w:lang w:eastAsia="en-NZ"/>
        </w:rPr>
        <w:t xml:space="preserve"> </w:t>
      </w:r>
      <w:bookmarkEnd w:id="487"/>
    </w:p>
    <w:p w14:paraId="0ADC2783" w14:textId="37680C74" w:rsidR="00501068" w:rsidRDefault="00C044A8" w:rsidP="009B737E">
      <w:pPr>
        <w:pStyle w:val="ListParagraph"/>
        <w:numPr>
          <w:ilvl w:val="0"/>
          <w:numId w:val="117"/>
        </w:numPr>
        <w:rPr>
          <w:rFonts w:eastAsia="Times New Roman"/>
          <w:lang w:eastAsia="en-NZ"/>
        </w:rPr>
      </w:pPr>
      <w:r w:rsidRPr="00BB6220">
        <w:rPr>
          <w:rFonts w:eastAsia="Times New Roman"/>
          <w:b/>
          <w:lang w:eastAsia="en-NZ"/>
        </w:rPr>
        <w:t>Support</w:t>
      </w:r>
      <w:r w:rsidR="003D640C">
        <w:rPr>
          <w:rFonts w:eastAsia="Times New Roman"/>
          <w:b/>
          <w:lang w:eastAsia="en-NZ"/>
        </w:rPr>
        <w:t xml:space="preserve"> </w:t>
      </w:r>
      <w:r w:rsidRPr="009B737E">
        <w:rPr>
          <w:rFonts w:ascii="Calibri" w:hAnsi="Calibri" w:cs="Calibri"/>
          <w:b/>
          <w:bCs/>
          <w:lang w:eastAsia="en-NZ"/>
        </w:rPr>
        <w:t>family</w:t>
      </w:r>
      <w:r w:rsidR="003D640C">
        <w:rPr>
          <w:rFonts w:eastAsia="Times New Roman"/>
          <w:b/>
          <w:lang w:eastAsia="en-NZ"/>
        </w:rPr>
        <w:t xml:space="preserve"> </w:t>
      </w:r>
      <w:r w:rsidRPr="00BB6220">
        <w:rPr>
          <w:rFonts w:eastAsia="Times New Roman"/>
          <w:b/>
          <w:lang w:eastAsia="en-NZ"/>
        </w:rPr>
        <w:t>acceptance</w:t>
      </w:r>
      <w:r w:rsidR="003D640C">
        <w:rPr>
          <w:rFonts w:eastAsia="Times New Roman"/>
          <w:b/>
          <w:lang w:eastAsia="en-NZ"/>
        </w:rPr>
        <w:t xml:space="preserve"> </w:t>
      </w:r>
      <w:r w:rsidRPr="00BB6220">
        <w:rPr>
          <w:rFonts w:eastAsia="Times New Roman"/>
          <w:b/>
          <w:lang w:eastAsia="en-NZ"/>
        </w:rPr>
        <w:t>of</w:t>
      </w:r>
      <w:r w:rsidR="003D640C">
        <w:rPr>
          <w:rFonts w:eastAsia="Times New Roman"/>
          <w:b/>
          <w:lang w:eastAsia="en-NZ"/>
        </w:rPr>
        <w:t xml:space="preserve"> </w:t>
      </w:r>
      <w:r w:rsidRPr="00BB6220">
        <w:rPr>
          <w:rFonts w:eastAsia="Times New Roman"/>
          <w:b/>
          <w:lang w:eastAsia="en-NZ"/>
        </w:rPr>
        <w:t>MVPFAFF+</w:t>
      </w:r>
      <w:r w:rsidR="003D640C">
        <w:rPr>
          <w:rFonts w:eastAsia="Times New Roman"/>
          <w:b/>
          <w:lang w:eastAsia="en-NZ"/>
        </w:rPr>
        <w:t xml:space="preserve"> </w:t>
      </w:r>
      <w:r w:rsidRPr="00BB6220">
        <w:rPr>
          <w:rFonts w:eastAsia="Times New Roman"/>
          <w:b/>
          <w:lang w:eastAsia="en-NZ"/>
        </w:rPr>
        <w:t>people</w:t>
      </w:r>
      <w:r w:rsidR="003E09D8">
        <w:rPr>
          <w:rFonts w:eastAsia="Times New Roman"/>
          <w:lang w:eastAsia="en-NZ"/>
        </w:rPr>
        <w:br/>
      </w:r>
      <w:r w:rsidRPr="00BB6220">
        <w:rPr>
          <w:rFonts w:eastAsia="Times New Roman"/>
          <w:lang w:eastAsia="en-NZ"/>
        </w:rPr>
        <w:t>Promote</w:t>
      </w:r>
      <w:r w:rsidR="003D640C">
        <w:rPr>
          <w:rFonts w:eastAsia="Times New Roman"/>
          <w:lang w:eastAsia="en-NZ"/>
        </w:rPr>
        <w:t xml:space="preserve"> </w:t>
      </w:r>
      <w:r w:rsidRPr="00BB6220">
        <w:rPr>
          <w:rFonts w:eastAsia="Times New Roman"/>
          <w:lang w:eastAsia="en-NZ"/>
        </w:rPr>
        <w:t>awareness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understanding</w:t>
      </w:r>
      <w:r w:rsidR="003D640C">
        <w:rPr>
          <w:rFonts w:eastAsia="Times New Roman"/>
          <w:lang w:eastAsia="en-NZ"/>
        </w:rPr>
        <w:t xml:space="preserve"> </w:t>
      </w:r>
      <w:r w:rsidRPr="00BB6220">
        <w:rPr>
          <w:rFonts w:eastAsia="Times New Roman"/>
          <w:lang w:eastAsia="en-NZ"/>
        </w:rPr>
        <w:t>of</w:t>
      </w:r>
      <w:r w:rsidR="003D640C">
        <w:rPr>
          <w:rFonts w:eastAsia="Times New Roman"/>
          <w:lang w:eastAsia="en-NZ"/>
        </w:rPr>
        <w:t xml:space="preserve"> </w:t>
      </w:r>
      <w:r w:rsidRPr="00BB6220">
        <w:rPr>
          <w:rFonts w:eastAsia="Times New Roman"/>
          <w:lang w:eastAsia="en-NZ"/>
        </w:rPr>
        <w:t>MVPFAFF+</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00083EAE" w:rsidRPr="00BB6220">
        <w:rPr>
          <w:rFonts w:ascii="Calibri" w:hAnsi="Calibri" w:cs="Calibri"/>
          <w:lang w:eastAsia="en-NZ"/>
        </w:rPr>
        <w:t>Rainbow</w:t>
      </w:r>
      <w:r w:rsidR="003D640C">
        <w:rPr>
          <w:rFonts w:ascii="Calibri" w:hAnsi="Calibri" w:cs="Calibri"/>
          <w:lang w:eastAsia="en-NZ"/>
        </w:rPr>
        <w:t xml:space="preserve"> </w:t>
      </w:r>
      <w:r w:rsidRPr="00BB6220">
        <w:rPr>
          <w:rFonts w:eastAsia="Times New Roman"/>
          <w:lang w:eastAsia="en-NZ"/>
        </w:rPr>
        <w:t>people</w:t>
      </w:r>
      <w:r w:rsidR="003D640C">
        <w:rPr>
          <w:rFonts w:eastAsia="Times New Roman"/>
          <w:lang w:eastAsia="en-NZ"/>
        </w:rPr>
        <w:t xml:space="preserve"> </w:t>
      </w:r>
      <w:bookmarkStart w:id="488" w:name="_Int_m3m9Jd3X"/>
      <w:r w:rsidRPr="00BB6220">
        <w:rPr>
          <w:rFonts w:eastAsia="Times New Roman"/>
          <w:lang w:eastAsia="en-NZ"/>
        </w:rPr>
        <w:t>generally</w:t>
      </w:r>
      <w:r w:rsidR="003D640C">
        <w:rPr>
          <w:rFonts w:eastAsia="Times New Roman"/>
          <w:lang w:eastAsia="en-NZ"/>
        </w:rPr>
        <w:t xml:space="preserve"> </w:t>
      </w:r>
      <w:r w:rsidRPr="00BB6220">
        <w:rPr>
          <w:rFonts w:eastAsia="Times New Roman"/>
          <w:lang w:eastAsia="en-NZ"/>
        </w:rPr>
        <w:t>in</w:t>
      </w:r>
      <w:bookmarkEnd w:id="488"/>
      <w:r w:rsidR="003D640C">
        <w:rPr>
          <w:rFonts w:eastAsia="Times New Roman"/>
          <w:lang w:eastAsia="en-NZ"/>
        </w:rPr>
        <w:t xml:space="preserve"> </w:t>
      </w:r>
      <w:r w:rsidRPr="00BB6220">
        <w:rPr>
          <w:rFonts w:eastAsia="Times New Roman"/>
          <w:lang w:eastAsia="en-NZ"/>
        </w:rPr>
        <w:t>Pacific</w:t>
      </w:r>
      <w:r w:rsidR="003D640C">
        <w:rPr>
          <w:rFonts w:eastAsia="Times New Roman"/>
          <w:lang w:eastAsia="en-NZ"/>
        </w:rPr>
        <w:t xml:space="preserve"> </w:t>
      </w:r>
      <w:r w:rsidRPr="00BB6220">
        <w:rPr>
          <w:rFonts w:eastAsia="Times New Roman"/>
          <w:lang w:eastAsia="en-NZ"/>
        </w:rPr>
        <w:t>communities.</w:t>
      </w:r>
      <w:r w:rsidR="003D640C">
        <w:rPr>
          <w:rFonts w:eastAsia="Times New Roman"/>
          <w:lang w:eastAsia="en-NZ"/>
        </w:rPr>
        <w:t xml:space="preserve"> </w:t>
      </w:r>
      <w:r w:rsidRPr="00BB6220">
        <w:rPr>
          <w:rFonts w:eastAsia="Times New Roman"/>
          <w:lang w:eastAsia="en-NZ"/>
        </w:rPr>
        <w:t>Develop</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circulate</w:t>
      </w:r>
      <w:r w:rsidR="003D640C">
        <w:rPr>
          <w:rFonts w:eastAsia="Times New Roman"/>
          <w:lang w:eastAsia="en-NZ"/>
        </w:rPr>
        <w:t xml:space="preserve"> </w:t>
      </w:r>
      <w:r w:rsidRPr="00BB6220">
        <w:rPr>
          <w:rFonts w:eastAsia="Times New Roman"/>
          <w:lang w:eastAsia="en-NZ"/>
        </w:rPr>
        <w:t>resources</w:t>
      </w:r>
      <w:r w:rsidR="003D640C">
        <w:rPr>
          <w:rFonts w:eastAsia="Times New Roman"/>
          <w:lang w:eastAsia="en-NZ"/>
        </w:rPr>
        <w:t xml:space="preserve"> </w:t>
      </w:r>
      <w:r w:rsidRPr="00BB6220">
        <w:rPr>
          <w:rFonts w:eastAsia="Times New Roman"/>
          <w:lang w:eastAsia="en-NZ"/>
        </w:rPr>
        <w:t>to</w:t>
      </w:r>
      <w:r w:rsidR="003D640C">
        <w:rPr>
          <w:rFonts w:eastAsia="Times New Roman"/>
          <w:lang w:eastAsia="en-NZ"/>
        </w:rPr>
        <w:t xml:space="preserve"> </w:t>
      </w:r>
      <w:r w:rsidRPr="00BB6220">
        <w:rPr>
          <w:rFonts w:eastAsia="Times New Roman"/>
          <w:lang w:eastAsia="en-NZ"/>
        </w:rPr>
        <w:t>help</w:t>
      </w:r>
      <w:r w:rsidR="003D640C">
        <w:rPr>
          <w:rFonts w:eastAsia="Times New Roman"/>
          <w:lang w:eastAsia="en-NZ"/>
        </w:rPr>
        <w:t xml:space="preserve"> </w:t>
      </w:r>
      <w:r w:rsidRPr="00BB6220">
        <w:rPr>
          <w:rFonts w:eastAsia="Times New Roman"/>
          <w:lang w:eastAsia="en-NZ"/>
        </w:rPr>
        <w:t>families</w:t>
      </w:r>
      <w:r w:rsidR="003D640C">
        <w:rPr>
          <w:rFonts w:eastAsia="Times New Roman"/>
          <w:lang w:eastAsia="en-NZ"/>
        </w:rPr>
        <w:t xml:space="preserve"> </w:t>
      </w:r>
      <w:r w:rsidRPr="00BB6220">
        <w:rPr>
          <w:rFonts w:eastAsia="Times New Roman"/>
          <w:lang w:eastAsia="en-NZ"/>
        </w:rPr>
        <w:t>navigate</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own</w:t>
      </w:r>
      <w:r w:rsidR="003D640C">
        <w:rPr>
          <w:rFonts w:eastAsia="Times New Roman"/>
          <w:lang w:eastAsia="en-NZ"/>
        </w:rPr>
        <w:t xml:space="preserve"> </w:t>
      </w:r>
      <w:r w:rsidRPr="00BB6220">
        <w:rPr>
          <w:rFonts w:eastAsia="Times New Roman"/>
          <w:lang w:eastAsia="en-NZ"/>
        </w:rPr>
        <w:t>beliefs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values</w:t>
      </w:r>
      <w:r w:rsidR="003D640C">
        <w:rPr>
          <w:rFonts w:eastAsia="Times New Roman"/>
          <w:lang w:eastAsia="en-NZ"/>
        </w:rPr>
        <w:t xml:space="preserve"> </w:t>
      </w:r>
      <w:r w:rsidRPr="00BB6220">
        <w:rPr>
          <w:rFonts w:eastAsia="Times New Roman"/>
          <w:lang w:eastAsia="en-NZ"/>
        </w:rPr>
        <w:t>while</w:t>
      </w:r>
      <w:r w:rsidR="003D640C">
        <w:rPr>
          <w:rFonts w:eastAsia="Times New Roman"/>
          <w:lang w:eastAsia="en-NZ"/>
        </w:rPr>
        <w:t xml:space="preserve"> </w:t>
      </w:r>
      <w:r w:rsidRPr="00BB6220">
        <w:rPr>
          <w:rFonts w:eastAsia="Times New Roman"/>
          <w:lang w:eastAsia="en-NZ"/>
        </w:rPr>
        <w:t>affirming</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embracing</w:t>
      </w:r>
      <w:r w:rsidR="003D640C">
        <w:rPr>
          <w:rFonts w:eastAsia="Times New Roman"/>
          <w:lang w:eastAsia="en-NZ"/>
        </w:rPr>
        <w:t xml:space="preserve"> </w:t>
      </w:r>
      <w:r w:rsidRPr="00BB6220">
        <w:rPr>
          <w:rFonts w:eastAsia="Times New Roman"/>
          <w:lang w:eastAsia="en-NZ"/>
        </w:rPr>
        <w:t>their</w:t>
      </w:r>
      <w:r w:rsidR="003D640C">
        <w:rPr>
          <w:rFonts w:eastAsia="Times New Roman"/>
          <w:lang w:eastAsia="en-NZ"/>
        </w:rPr>
        <w:t xml:space="preserve"> </w:t>
      </w:r>
      <w:r w:rsidRPr="00BB6220">
        <w:rPr>
          <w:rFonts w:eastAsia="Times New Roman"/>
          <w:lang w:eastAsia="en-NZ"/>
        </w:rPr>
        <w:t>MVPFAFF+</w:t>
      </w:r>
      <w:r w:rsidR="003D640C">
        <w:rPr>
          <w:rFonts w:eastAsia="Times New Roman"/>
          <w:lang w:eastAsia="en-NZ"/>
        </w:rPr>
        <w:t xml:space="preserve"> </w:t>
      </w:r>
      <w:r w:rsidRPr="00BB6220">
        <w:rPr>
          <w:rFonts w:eastAsia="Times New Roman"/>
          <w:lang w:eastAsia="en-NZ"/>
        </w:rPr>
        <w:t>loved</w:t>
      </w:r>
      <w:r w:rsidR="003D640C">
        <w:rPr>
          <w:rFonts w:eastAsia="Times New Roman"/>
          <w:lang w:eastAsia="en-NZ"/>
        </w:rPr>
        <w:t xml:space="preserve"> </w:t>
      </w:r>
      <w:r w:rsidRPr="00BB6220">
        <w:rPr>
          <w:rFonts w:eastAsia="Times New Roman"/>
          <w:lang w:eastAsia="en-NZ"/>
        </w:rPr>
        <w:t>ones.</w:t>
      </w:r>
      <w:r w:rsidR="003D640C">
        <w:rPr>
          <w:rFonts w:eastAsia="Times New Roman"/>
          <w:lang w:eastAsia="en-NZ"/>
        </w:rPr>
        <w:t xml:space="preserve"> </w:t>
      </w:r>
      <w:r w:rsidRPr="00BB6220">
        <w:rPr>
          <w:rFonts w:eastAsia="Times New Roman"/>
          <w:lang w:eastAsia="en-NZ"/>
        </w:rPr>
        <w:t>Encourage</w:t>
      </w:r>
      <w:r w:rsidR="003D640C">
        <w:rPr>
          <w:rFonts w:eastAsia="Times New Roman"/>
          <w:lang w:eastAsia="en-NZ"/>
        </w:rPr>
        <w:t xml:space="preserve"> </w:t>
      </w:r>
      <w:r w:rsidRPr="00BB6220">
        <w:rPr>
          <w:rFonts w:eastAsia="Times New Roman"/>
          <w:lang w:eastAsia="en-NZ"/>
        </w:rPr>
        <w:t>open</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supportive</w:t>
      </w:r>
      <w:r w:rsidR="003D640C">
        <w:rPr>
          <w:rFonts w:eastAsia="Times New Roman"/>
          <w:lang w:eastAsia="en-NZ"/>
        </w:rPr>
        <w:t xml:space="preserve"> </w:t>
      </w:r>
      <w:r w:rsidRPr="00BB6220">
        <w:rPr>
          <w:rFonts w:eastAsia="Times New Roman"/>
          <w:lang w:eastAsia="en-NZ"/>
        </w:rPr>
        <w:t>discussion</w:t>
      </w:r>
      <w:r w:rsidR="003D640C">
        <w:rPr>
          <w:rFonts w:eastAsia="Times New Roman"/>
          <w:lang w:eastAsia="en-NZ"/>
        </w:rPr>
        <w:t xml:space="preserve"> </w:t>
      </w:r>
      <w:r w:rsidRPr="00BB6220">
        <w:rPr>
          <w:rFonts w:eastAsia="Times New Roman"/>
          <w:lang w:eastAsia="en-NZ"/>
        </w:rPr>
        <w:t>in</w:t>
      </w:r>
      <w:r w:rsidR="003D640C">
        <w:rPr>
          <w:rFonts w:eastAsia="Times New Roman"/>
          <w:lang w:eastAsia="en-NZ"/>
        </w:rPr>
        <w:t xml:space="preserve"> </w:t>
      </w:r>
      <w:r w:rsidRPr="00BB6220">
        <w:rPr>
          <w:rFonts w:eastAsia="Times New Roman"/>
          <w:lang w:eastAsia="en-NZ"/>
        </w:rPr>
        <w:t>community</w:t>
      </w:r>
      <w:r w:rsidR="003D640C">
        <w:rPr>
          <w:rFonts w:eastAsia="Times New Roman"/>
          <w:lang w:eastAsia="en-NZ"/>
        </w:rPr>
        <w:t xml:space="preserve"> </w:t>
      </w:r>
      <w:r w:rsidRPr="00BB6220">
        <w:rPr>
          <w:rFonts w:eastAsia="Times New Roman"/>
          <w:lang w:eastAsia="en-NZ"/>
        </w:rPr>
        <w:t>spaces</w:t>
      </w:r>
      <w:r w:rsidR="003D640C">
        <w:rPr>
          <w:rFonts w:eastAsia="Times New Roman"/>
          <w:lang w:eastAsia="en-NZ"/>
        </w:rPr>
        <w:t xml:space="preserve"> </w:t>
      </w:r>
      <w:r w:rsidRPr="00BB6220">
        <w:rPr>
          <w:rFonts w:eastAsia="Times New Roman"/>
          <w:lang w:eastAsia="en-NZ"/>
        </w:rPr>
        <w:t>that</w:t>
      </w:r>
      <w:r w:rsidR="003D640C">
        <w:rPr>
          <w:rFonts w:eastAsia="Times New Roman"/>
          <w:lang w:eastAsia="en-NZ"/>
        </w:rPr>
        <w:t xml:space="preserve"> </w:t>
      </w:r>
      <w:r w:rsidRPr="00BB6220">
        <w:rPr>
          <w:rFonts w:eastAsia="Times New Roman"/>
          <w:lang w:eastAsia="en-NZ"/>
        </w:rPr>
        <w:t>offer</w:t>
      </w:r>
      <w:r w:rsidR="003D640C">
        <w:rPr>
          <w:rFonts w:eastAsia="Times New Roman"/>
          <w:lang w:eastAsia="en-NZ"/>
        </w:rPr>
        <w:t xml:space="preserve"> </w:t>
      </w:r>
      <w:r w:rsidRPr="00BB6220">
        <w:rPr>
          <w:rFonts w:eastAsia="Times New Roman"/>
          <w:lang w:eastAsia="en-NZ"/>
        </w:rPr>
        <w:t>new</w:t>
      </w:r>
      <w:r w:rsidR="003D640C">
        <w:rPr>
          <w:rFonts w:eastAsia="Times New Roman"/>
          <w:lang w:eastAsia="en-NZ"/>
        </w:rPr>
        <w:t xml:space="preserve"> </w:t>
      </w:r>
      <w:r w:rsidRPr="00BB6220">
        <w:rPr>
          <w:rFonts w:eastAsia="Times New Roman"/>
          <w:lang w:eastAsia="en-NZ"/>
        </w:rPr>
        <w:t>perspectives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dispel</w:t>
      </w:r>
      <w:r w:rsidR="003D640C">
        <w:rPr>
          <w:rFonts w:eastAsia="Times New Roman"/>
          <w:lang w:eastAsia="en-NZ"/>
        </w:rPr>
        <w:t xml:space="preserve"> </w:t>
      </w:r>
      <w:r w:rsidRPr="00BB6220">
        <w:rPr>
          <w:rFonts w:eastAsia="Times New Roman"/>
          <w:lang w:eastAsia="en-NZ"/>
        </w:rPr>
        <w:t>misconceptions</w:t>
      </w:r>
      <w:r w:rsidR="003D640C">
        <w:rPr>
          <w:rFonts w:eastAsia="Times New Roman"/>
          <w:lang w:eastAsia="en-NZ"/>
        </w:rPr>
        <w:t xml:space="preserve"> </w:t>
      </w:r>
      <w:r w:rsidRPr="00BB6220">
        <w:rPr>
          <w:rFonts w:eastAsia="Times New Roman"/>
          <w:lang w:eastAsia="en-NZ"/>
        </w:rPr>
        <w:t>and</w:t>
      </w:r>
      <w:r w:rsidR="003D640C">
        <w:rPr>
          <w:rFonts w:eastAsia="Times New Roman"/>
          <w:lang w:eastAsia="en-NZ"/>
        </w:rPr>
        <w:t xml:space="preserve"> </w:t>
      </w:r>
      <w:r w:rsidRPr="00BB6220">
        <w:rPr>
          <w:rFonts w:eastAsia="Times New Roman"/>
          <w:lang w:eastAsia="en-NZ"/>
        </w:rPr>
        <w:t>stereotypes.</w:t>
      </w:r>
    </w:p>
    <w:p w14:paraId="7B4F77EC" w14:textId="7325C3F9" w:rsidR="00640F6A" w:rsidRPr="00B1465F" w:rsidRDefault="00640F6A">
      <w:pPr>
        <w:rPr>
          <w:rFonts w:eastAsia="Times New Roman"/>
          <w:lang w:eastAsia="en-NZ"/>
        </w:rPr>
      </w:pPr>
      <w:r w:rsidRPr="00B1465F">
        <w:rPr>
          <w:rFonts w:eastAsia="Times New Roman"/>
          <w:lang w:eastAsia="en-NZ"/>
        </w:rPr>
        <w:br w:type="page"/>
      </w:r>
    </w:p>
    <w:p w14:paraId="6D8481A7" w14:textId="15B9A097" w:rsidR="00501068" w:rsidRPr="004134C1" w:rsidRDefault="00640F6A" w:rsidP="00501BC4">
      <w:pPr>
        <w:pStyle w:val="Heading1"/>
      </w:pPr>
      <w:bookmarkStart w:id="489" w:name="_Toc167780662"/>
      <w:bookmarkStart w:id="490" w:name="_Toc828409604"/>
      <w:bookmarkStart w:id="491" w:name="_Toc174628724"/>
      <w:r w:rsidRPr="004134C1">
        <w:lastRenderedPageBreak/>
        <w:t>Conclusion</w:t>
      </w:r>
      <w:bookmarkEnd w:id="489"/>
      <w:bookmarkEnd w:id="490"/>
      <w:bookmarkEnd w:id="491"/>
    </w:p>
    <w:p w14:paraId="29BF58A1" w14:textId="3AE49067" w:rsidR="00DE12F6" w:rsidRDefault="00DE12F6" w:rsidP="003B176C">
      <w:pPr>
        <w:rPr>
          <w:lang w:eastAsia="en-NZ"/>
        </w:rPr>
      </w:pPr>
      <w:r>
        <w:rPr>
          <w:lang w:eastAsia="en-NZ"/>
        </w:rPr>
        <w:t>Listening</w:t>
      </w:r>
      <w:r w:rsidR="003D640C">
        <w:rPr>
          <w:lang w:eastAsia="en-NZ"/>
        </w:rPr>
        <w:t xml:space="preserve"> </w:t>
      </w:r>
      <w:r>
        <w:rPr>
          <w:lang w:eastAsia="en-NZ"/>
        </w:rPr>
        <w:t>to</w:t>
      </w:r>
      <w:r w:rsidR="003D640C">
        <w:rPr>
          <w:lang w:eastAsia="en-NZ"/>
        </w:rPr>
        <w:t xml:space="preserve"> </w:t>
      </w:r>
      <w:r>
        <w:rPr>
          <w:lang w:eastAsia="en-NZ"/>
        </w:rPr>
        <w:t>the</w:t>
      </w:r>
      <w:r w:rsidR="003D640C">
        <w:rPr>
          <w:lang w:eastAsia="en-NZ"/>
        </w:rPr>
        <w:t xml:space="preserve"> </w:t>
      </w:r>
      <w:r>
        <w:rPr>
          <w:lang w:eastAsia="en-NZ"/>
        </w:rPr>
        <w:t>stories</w:t>
      </w:r>
      <w:r w:rsidR="003D640C">
        <w:rPr>
          <w:lang w:eastAsia="en-NZ"/>
        </w:rPr>
        <w:t xml:space="preserve"> </w:t>
      </w:r>
      <w:r>
        <w:rPr>
          <w:lang w:eastAsia="en-NZ"/>
        </w:rPr>
        <w:t>and</w:t>
      </w:r>
      <w:r w:rsidR="003D640C">
        <w:rPr>
          <w:lang w:eastAsia="en-NZ"/>
        </w:rPr>
        <w:t xml:space="preserve"> </w:t>
      </w:r>
      <w:r>
        <w:rPr>
          <w:lang w:eastAsia="en-NZ"/>
        </w:rPr>
        <w:t>experiences</w:t>
      </w:r>
      <w:r w:rsidR="003D640C">
        <w:rPr>
          <w:lang w:eastAsia="en-NZ"/>
        </w:rPr>
        <w:t xml:space="preserve"> </w:t>
      </w:r>
      <w:r>
        <w:rPr>
          <w:lang w:eastAsia="en-NZ"/>
        </w:rPr>
        <w:t>that</w:t>
      </w:r>
      <w:r w:rsidR="003D640C">
        <w:rPr>
          <w:lang w:eastAsia="en-NZ"/>
        </w:rPr>
        <w:t xml:space="preserve"> </w:t>
      </w:r>
      <w:r>
        <w:rPr>
          <w:lang w:eastAsia="en-NZ"/>
        </w:rPr>
        <w:t>survivors</w:t>
      </w:r>
      <w:r w:rsidR="003D640C">
        <w:rPr>
          <w:lang w:eastAsia="en-NZ"/>
        </w:rPr>
        <w:t xml:space="preserve"> </w:t>
      </w:r>
      <w:r>
        <w:rPr>
          <w:lang w:eastAsia="en-NZ"/>
        </w:rPr>
        <w:t>shared</w:t>
      </w:r>
      <w:r w:rsidR="003D640C">
        <w:rPr>
          <w:lang w:eastAsia="en-NZ"/>
        </w:rPr>
        <w:t xml:space="preserve"> </w:t>
      </w:r>
      <w:r>
        <w:rPr>
          <w:lang w:eastAsia="en-NZ"/>
        </w:rPr>
        <w:t>with</w:t>
      </w:r>
      <w:r w:rsidR="003D640C">
        <w:rPr>
          <w:lang w:eastAsia="en-NZ"/>
        </w:rPr>
        <w:t xml:space="preserve"> </w:t>
      </w:r>
      <w:r>
        <w:rPr>
          <w:lang w:eastAsia="en-NZ"/>
        </w:rPr>
        <w:t>us</w:t>
      </w:r>
      <w:r w:rsidR="003D640C">
        <w:rPr>
          <w:lang w:eastAsia="en-NZ"/>
        </w:rPr>
        <w:t xml:space="preserve"> </w:t>
      </w:r>
      <w:r>
        <w:rPr>
          <w:lang w:eastAsia="en-NZ"/>
        </w:rPr>
        <w:t>vividly</w:t>
      </w:r>
      <w:r w:rsidR="003D640C">
        <w:rPr>
          <w:lang w:eastAsia="en-NZ"/>
        </w:rPr>
        <w:t xml:space="preserve"> </w:t>
      </w:r>
      <w:r>
        <w:rPr>
          <w:lang w:eastAsia="en-NZ"/>
        </w:rPr>
        <w:t>brought</w:t>
      </w:r>
      <w:r w:rsidR="003D640C">
        <w:rPr>
          <w:lang w:eastAsia="en-NZ"/>
        </w:rPr>
        <w:t xml:space="preserve"> </w:t>
      </w:r>
      <w:r>
        <w:rPr>
          <w:lang w:eastAsia="en-NZ"/>
        </w:rPr>
        <w:t>to</w:t>
      </w:r>
      <w:r w:rsidR="003D640C">
        <w:rPr>
          <w:lang w:eastAsia="en-NZ"/>
        </w:rPr>
        <w:t xml:space="preserve"> </w:t>
      </w:r>
      <w:r>
        <w:rPr>
          <w:lang w:eastAsia="en-NZ"/>
        </w:rPr>
        <w:t>life</w:t>
      </w:r>
      <w:r w:rsidR="003D640C">
        <w:rPr>
          <w:lang w:eastAsia="en-NZ"/>
        </w:rPr>
        <w:t xml:space="preserve"> </w:t>
      </w:r>
      <w:r>
        <w:rPr>
          <w:lang w:eastAsia="en-NZ"/>
        </w:rPr>
        <w:t>the</w:t>
      </w:r>
      <w:r w:rsidR="003D640C">
        <w:rPr>
          <w:lang w:eastAsia="en-NZ"/>
        </w:rPr>
        <w:t xml:space="preserve"> </w:t>
      </w:r>
      <w:r>
        <w:rPr>
          <w:lang w:eastAsia="en-NZ"/>
        </w:rPr>
        <w:t>harm</w:t>
      </w:r>
      <w:r w:rsidR="003D640C">
        <w:rPr>
          <w:lang w:eastAsia="en-NZ"/>
        </w:rPr>
        <w:t xml:space="preserve"> </w:t>
      </w:r>
      <w:r>
        <w:rPr>
          <w:lang w:eastAsia="en-NZ"/>
        </w:rPr>
        <w:t>these</w:t>
      </w:r>
      <w:r w:rsidR="003D640C">
        <w:rPr>
          <w:lang w:eastAsia="en-NZ"/>
        </w:rPr>
        <w:t xml:space="preserve"> </w:t>
      </w:r>
      <w:r>
        <w:rPr>
          <w:lang w:eastAsia="en-NZ"/>
        </w:rPr>
        <w:t>pra</w:t>
      </w:r>
      <w:r w:rsidR="00F81140">
        <w:rPr>
          <w:lang w:eastAsia="en-NZ"/>
        </w:rPr>
        <w:t>c</w:t>
      </w:r>
      <w:r>
        <w:rPr>
          <w:lang w:eastAsia="en-NZ"/>
        </w:rPr>
        <w:t>tices</w:t>
      </w:r>
      <w:r w:rsidR="003D640C">
        <w:rPr>
          <w:lang w:eastAsia="en-NZ"/>
        </w:rPr>
        <w:t xml:space="preserve"> </w:t>
      </w:r>
      <w:r>
        <w:rPr>
          <w:lang w:eastAsia="en-NZ"/>
        </w:rPr>
        <w:t>cause.</w:t>
      </w:r>
      <w:r w:rsidR="003D640C">
        <w:rPr>
          <w:lang w:eastAsia="en-NZ"/>
        </w:rPr>
        <w:t xml:space="preserve"> </w:t>
      </w:r>
      <w:r w:rsidR="00260EB8" w:rsidRPr="00BB6220">
        <w:rPr>
          <w:lang w:eastAsia="en-NZ"/>
        </w:rPr>
        <w:t>Survivors</w:t>
      </w:r>
      <w:r w:rsidR="003D640C">
        <w:rPr>
          <w:lang w:eastAsia="en-NZ"/>
        </w:rPr>
        <w:t xml:space="preserve"> </w:t>
      </w:r>
      <w:r w:rsidR="00260EB8" w:rsidRPr="00BB6220">
        <w:rPr>
          <w:lang w:eastAsia="en-NZ"/>
        </w:rPr>
        <w:t>deserve</w:t>
      </w:r>
      <w:r w:rsidR="003D640C">
        <w:rPr>
          <w:lang w:eastAsia="en-NZ"/>
        </w:rPr>
        <w:t xml:space="preserve"> </w:t>
      </w:r>
      <w:r w:rsidR="00260EB8" w:rsidRPr="00BB6220">
        <w:rPr>
          <w:lang w:eastAsia="en-NZ"/>
        </w:rPr>
        <w:t>an</w:t>
      </w:r>
      <w:r w:rsidR="003D640C">
        <w:rPr>
          <w:lang w:eastAsia="en-NZ"/>
        </w:rPr>
        <w:t xml:space="preserve"> </w:t>
      </w:r>
      <w:r w:rsidR="00260EB8" w:rsidRPr="00BB6220">
        <w:rPr>
          <w:lang w:eastAsia="en-NZ"/>
        </w:rPr>
        <w:t>Aotearoa</w:t>
      </w:r>
      <w:r w:rsidR="003D640C">
        <w:rPr>
          <w:lang w:eastAsia="en-NZ"/>
        </w:rPr>
        <w:t xml:space="preserve"> </w:t>
      </w:r>
      <w:r w:rsidR="00260EB8" w:rsidRPr="00BB6220">
        <w:rPr>
          <w:lang w:eastAsia="en-NZ"/>
        </w:rPr>
        <w:t>free</w:t>
      </w:r>
      <w:r w:rsidR="003D640C">
        <w:rPr>
          <w:lang w:eastAsia="en-NZ"/>
        </w:rPr>
        <w:t xml:space="preserve"> </w:t>
      </w:r>
      <w:r w:rsidR="00260EB8" w:rsidRPr="00BB6220">
        <w:rPr>
          <w:lang w:eastAsia="en-NZ"/>
        </w:rPr>
        <w:t>from</w:t>
      </w:r>
      <w:r w:rsidR="003D640C">
        <w:rPr>
          <w:lang w:eastAsia="en-NZ"/>
        </w:rPr>
        <w:t xml:space="preserve"> </w:t>
      </w:r>
      <w:r w:rsidR="00260EB8" w:rsidRPr="00BB6220">
        <w:rPr>
          <w:lang w:eastAsia="en-NZ"/>
        </w:rPr>
        <w:t>conversion</w:t>
      </w:r>
      <w:r w:rsidR="003D640C">
        <w:rPr>
          <w:lang w:eastAsia="en-NZ"/>
        </w:rPr>
        <w:t xml:space="preserve"> </w:t>
      </w:r>
      <w:r w:rsidR="00260EB8" w:rsidRPr="00BB6220">
        <w:rPr>
          <w:lang w:eastAsia="en-NZ"/>
        </w:rPr>
        <w:t>practices</w:t>
      </w:r>
      <w:r w:rsidR="003D640C">
        <w:rPr>
          <w:lang w:eastAsia="en-NZ"/>
        </w:rPr>
        <w:t xml:space="preserve"> </w:t>
      </w:r>
      <w:r w:rsidR="00260EB8" w:rsidRPr="00BB6220">
        <w:rPr>
          <w:lang w:eastAsia="en-NZ"/>
        </w:rPr>
        <w:t>–</w:t>
      </w:r>
      <w:r w:rsidR="003D640C">
        <w:rPr>
          <w:lang w:eastAsia="en-NZ"/>
        </w:rPr>
        <w:t xml:space="preserve"> </w:t>
      </w:r>
      <w:r w:rsidR="00260EB8" w:rsidRPr="00BB6220">
        <w:rPr>
          <w:lang w:eastAsia="en-NZ"/>
        </w:rPr>
        <w:t>a</w:t>
      </w:r>
      <w:r w:rsidR="003D640C">
        <w:rPr>
          <w:lang w:eastAsia="en-NZ"/>
        </w:rPr>
        <w:t xml:space="preserve"> </w:t>
      </w:r>
      <w:r w:rsidR="00260EB8" w:rsidRPr="00BB6220">
        <w:rPr>
          <w:lang w:eastAsia="en-NZ"/>
        </w:rPr>
        <w:t>country</w:t>
      </w:r>
      <w:r w:rsidR="003D640C">
        <w:rPr>
          <w:lang w:eastAsia="en-NZ"/>
        </w:rPr>
        <w:t xml:space="preserve"> </w:t>
      </w:r>
      <w:r w:rsidR="00260EB8" w:rsidRPr="00BB6220">
        <w:rPr>
          <w:lang w:eastAsia="en-NZ"/>
        </w:rPr>
        <w:t>where</w:t>
      </w:r>
      <w:r w:rsidR="003D640C">
        <w:rPr>
          <w:lang w:eastAsia="en-NZ"/>
        </w:rPr>
        <w:t xml:space="preserve"> </w:t>
      </w:r>
      <w:r w:rsidR="00740A25">
        <w:rPr>
          <w:lang w:eastAsia="en-NZ"/>
        </w:rPr>
        <w:t>everyone’s</w:t>
      </w:r>
      <w:r w:rsidR="003D640C">
        <w:rPr>
          <w:lang w:eastAsia="en-NZ"/>
        </w:rPr>
        <w:t xml:space="preserve"> </w:t>
      </w:r>
      <w:r w:rsidR="00260EB8" w:rsidRPr="00BB6220">
        <w:rPr>
          <w:lang w:eastAsia="en-NZ"/>
        </w:rPr>
        <w:t>human</w:t>
      </w:r>
      <w:r w:rsidR="003D640C">
        <w:rPr>
          <w:lang w:eastAsia="en-NZ"/>
        </w:rPr>
        <w:t xml:space="preserve"> </w:t>
      </w:r>
      <w:r w:rsidR="00260EB8" w:rsidRPr="00BB6220">
        <w:rPr>
          <w:lang w:eastAsia="en-NZ"/>
        </w:rPr>
        <w:t>rights</w:t>
      </w:r>
      <w:r w:rsidR="003D640C">
        <w:rPr>
          <w:lang w:eastAsia="en-NZ"/>
        </w:rPr>
        <w:t xml:space="preserve"> </w:t>
      </w:r>
      <w:r w:rsidR="00260EB8" w:rsidRPr="00BB6220">
        <w:rPr>
          <w:lang w:eastAsia="en-NZ"/>
        </w:rPr>
        <w:t>are</w:t>
      </w:r>
      <w:r w:rsidR="003D640C">
        <w:rPr>
          <w:lang w:eastAsia="en-NZ"/>
        </w:rPr>
        <w:t xml:space="preserve"> </w:t>
      </w:r>
      <w:r>
        <w:rPr>
          <w:lang w:eastAsia="en-NZ"/>
        </w:rPr>
        <w:t>respected</w:t>
      </w:r>
      <w:r w:rsidR="00260EB8" w:rsidRPr="00BB6220">
        <w:rPr>
          <w:lang w:eastAsia="en-NZ"/>
        </w:rPr>
        <w:t>,</w:t>
      </w:r>
      <w:r w:rsidR="003D640C">
        <w:rPr>
          <w:lang w:eastAsia="en-NZ"/>
        </w:rPr>
        <w:t xml:space="preserve"> </w:t>
      </w:r>
      <w:r w:rsidR="00260EB8" w:rsidRPr="00BB6220">
        <w:rPr>
          <w:lang w:eastAsia="en-NZ"/>
        </w:rPr>
        <w:t>where</w:t>
      </w:r>
      <w:r w:rsidR="003D640C">
        <w:rPr>
          <w:lang w:eastAsia="en-NZ"/>
        </w:rPr>
        <w:t xml:space="preserve"> </w:t>
      </w:r>
      <w:r w:rsidR="00260EB8" w:rsidRPr="00BB6220">
        <w:rPr>
          <w:lang w:eastAsia="en-NZ"/>
        </w:rPr>
        <w:t>different</w:t>
      </w:r>
      <w:r w:rsidR="003D640C">
        <w:rPr>
          <w:lang w:eastAsia="en-NZ"/>
        </w:rPr>
        <w:t xml:space="preserve"> </w:t>
      </w:r>
      <w:r w:rsidR="00260EB8" w:rsidRPr="00BB6220">
        <w:rPr>
          <w:lang w:eastAsia="en-NZ"/>
        </w:rPr>
        <w:t>communities</w:t>
      </w:r>
      <w:r w:rsidR="003D640C">
        <w:rPr>
          <w:lang w:eastAsia="en-NZ"/>
        </w:rPr>
        <w:t xml:space="preserve"> </w:t>
      </w:r>
      <w:r w:rsidR="00083EAE" w:rsidRPr="00BB6220">
        <w:rPr>
          <w:lang w:eastAsia="en-NZ"/>
        </w:rPr>
        <w:t>live</w:t>
      </w:r>
      <w:r w:rsidR="003D640C">
        <w:rPr>
          <w:lang w:eastAsia="en-NZ"/>
        </w:rPr>
        <w:t xml:space="preserve"> </w:t>
      </w:r>
      <w:r w:rsidR="00260EB8" w:rsidRPr="00BB6220">
        <w:rPr>
          <w:lang w:eastAsia="en-NZ"/>
        </w:rPr>
        <w:t>peacefully</w:t>
      </w:r>
      <w:r w:rsidR="003D640C">
        <w:rPr>
          <w:lang w:eastAsia="en-NZ"/>
        </w:rPr>
        <w:t xml:space="preserve"> </w:t>
      </w:r>
      <w:r w:rsidR="00260EB8" w:rsidRPr="00BB6220">
        <w:rPr>
          <w:lang w:eastAsia="en-NZ"/>
        </w:rPr>
        <w:t>and</w:t>
      </w:r>
      <w:r w:rsidR="003D640C">
        <w:rPr>
          <w:lang w:eastAsia="en-NZ"/>
        </w:rPr>
        <w:t xml:space="preserve"> </w:t>
      </w:r>
      <w:r w:rsidR="00260EB8" w:rsidRPr="00BB6220">
        <w:rPr>
          <w:lang w:eastAsia="en-NZ"/>
        </w:rPr>
        <w:t>respectfully</w:t>
      </w:r>
      <w:r w:rsidR="003D640C">
        <w:rPr>
          <w:lang w:eastAsia="en-NZ"/>
        </w:rPr>
        <w:t xml:space="preserve"> </w:t>
      </w:r>
      <w:r>
        <w:rPr>
          <w:lang w:eastAsia="en-NZ"/>
        </w:rPr>
        <w:t>with</w:t>
      </w:r>
      <w:r w:rsidR="003D640C">
        <w:rPr>
          <w:lang w:eastAsia="en-NZ"/>
        </w:rPr>
        <w:t xml:space="preserve"> </w:t>
      </w:r>
      <w:r>
        <w:rPr>
          <w:lang w:eastAsia="en-NZ"/>
        </w:rPr>
        <w:t>each</w:t>
      </w:r>
      <w:r w:rsidR="003D640C">
        <w:rPr>
          <w:lang w:eastAsia="en-NZ"/>
        </w:rPr>
        <w:t xml:space="preserve"> </w:t>
      </w:r>
      <w:r>
        <w:rPr>
          <w:lang w:eastAsia="en-NZ"/>
        </w:rPr>
        <w:t>other</w:t>
      </w:r>
      <w:r w:rsidR="00260EB8" w:rsidRPr="00BB6220">
        <w:rPr>
          <w:lang w:eastAsia="en-NZ"/>
        </w:rPr>
        <w:t>,</w:t>
      </w:r>
      <w:r w:rsidR="003D640C">
        <w:rPr>
          <w:lang w:eastAsia="en-NZ"/>
        </w:rPr>
        <w:t xml:space="preserve"> </w:t>
      </w:r>
      <w:r w:rsidR="00260EB8" w:rsidRPr="00BB6220">
        <w:rPr>
          <w:lang w:eastAsia="en-NZ"/>
        </w:rPr>
        <w:t>and</w:t>
      </w:r>
      <w:r w:rsidR="003D640C">
        <w:rPr>
          <w:lang w:eastAsia="en-NZ"/>
        </w:rPr>
        <w:t xml:space="preserve"> </w:t>
      </w:r>
      <w:r w:rsidR="00260EB8" w:rsidRPr="00BB6220">
        <w:rPr>
          <w:lang w:eastAsia="en-NZ"/>
        </w:rPr>
        <w:t>where</w:t>
      </w:r>
      <w:r w:rsidR="003D640C">
        <w:rPr>
          <w:lang w:eastAsia="en-NZ"/>
        </w:rPr>
        <w:t xml:space="preserve"> </w:t>
      </w:r>
      <w:r w:rsidR="00260EB8" w:rsidRPr="00BB6220">
        <w:rPr>
          <w:lang w:eastAsia="en-NZ"/>
        </w:rPr>
        <w:t>no</w:t>
      </w:r>
      <w:r w:rsidR="003D640C">
        <w:rPr>
          <w:lang w:eastAsia="en-NZ"/>
        </w:rPr>
        <w:t xml:space="preserve"> </w:t>
      </w:r>
      <w:r w:rsidR="00260EB8" w:rsidRPr="00BB6220">
        <w:rPr>
          <w:lang w:eastAsia="en-NZ"/>
        </w:rPr>
        <w:t>one</w:t>
      </w:r>
      <w:r w:rsidR="003D640C">
        <w:rPr>
          <w:lang w:eastAsia="en-NZ"/>
        </w:rPr>
        <w:t xml:space="preserve"> </w:t>
      </w:r>
      <w:r w:rsidR="00260EB8" w:rsidRPr="00BB6220">
        <w:rPr>
          <w:lang w:eastAsia="en-NZ"/>
        </w:rPr>
        <w:t>group</w:t>
      </w:r>
      <w:r w:rsidR="003D640C">
        <w:rPr>
          <w:lang w:eastAsia="en-NZ"/>
        </w:rPr>
        <w:t xml:space="preserve"> </w:t>
      </w:r>
      <w:r>
        <w:rPr>
          <w:lang w:eastAsia="en-NZ"/>
        </w:rPr>
        <w:t>views</w:t>
      </w:r>
      <w:r w:rsidR="003D640C">
        <w:rPr>
          <w:lang w:eastAsia="en-NZ"/>
        </w:rPr>
        <w:t xml:space="preserve"> </w:t>
      </w:r>
      <w:r w:rsidR="00260EB8" w:rsidRPr="00BB6220">
        <w:rPr>
          <w:lang w:eastAsia="en-NZ"/>
        </w:rPr>
        <w:t>another</w:t>
      </w:r>
      <w:r w:rsidR="003D640C">
        <w:rPr>
          <w:lang w:eastAsia="en-NZ"/>
        </w:rPr>
        <w:t xml:space="preserve"> </w:t>
      </w:r>
      <w:r>
        <w:rPr>
          <w:lang w:eastAsia="en-NZ"/>
        </w:rPr>
        <w:t>as</w:t>
      </w:r>
      <w:r w:rsidR="003D640C">
        <w:rPr>
          <w:lang w:eastAsia="en-NZ"/>
        </w:rPr>
        <w:t xml:space="preserve"> </w:t>
      </w:r>
      <w:r w:rsidR="00083EAE" w:rsidRPr="00BB6220">
        <w:rPr>
          <w:lang w:eastAsia="en-NZ"/>
        </w:rPr>
        <w:t>‘</w:t>
      </w:r>
      <w:r w:rsidR="00260EB8" w:rsidRPr="00BB6220">
        <w:rPr>
          <w:lang w:eastAsia="en-NZ"/>
        </w:rPr>
        <w:t>less</w:t>
      </w:r>
      <w:r w:rsidR="003D640C">
        <w:rPr>
          <w:lang w:eastAsia="en-NZ"/>
        </w:rPr>
        <w:t xml:space="preserve"> </w:t>
      </w:r>
      <w:r w:rsidR="00260EB8" w:rsidRPr="00BB6220">
        <w:rPr>
          <w:lang w:eastAsia="en-NZ"/>
        </w:rPr>
        <w:t>than</w:t>
      </w:r>
      <w:r w:rsidR="00083EAE" w:rsidRPr="00BB6220">
        <w:rPr>
          <w:lang w:eastAsia="en-NZ"/>
        </w:rPr>
        <w:t>’</w:t>
      </w:r>
      <w:r w:rsidR="003D640C">
        <w:rPr>
          <w:lang w:eastAsia="en-NZ"/>
        </w:rPr>
        <w:t xml:space="preserve"> </w:t>
      </w:r>
      <w:r w:rsidR="00260EB8" w:rsidRPr="00BB6220">
        <w:rPr>
          <w:lang w:eastAsia="en-NZ"/>
        </w:rPr>
        <w:t>or</w:t>
      </w:r>
      <w:r w:rsidR="003D640C">
        <w:rPr>
          <w:lang w:eastAsia="en-NZ"/>
        </w:rPr>
        <w:t xml:space="preserve"> </w:t>
      </w:r>
      <w:r>
        <w:rPr>
          <w:lang w:eastAsia="en-NZ"/>
        </w:rPr>
        <w:t>needing</w:t>
      </w:r>
      <w:r w:rsidR="003D640C">
        <w:rPr>
          <w:lang w:eastAsia="en-NZ"/>
        </w:rPr>
        <w:t xml:space="preserve"> </w:t>
      </w:r>
      <w:r>
        <w:rPr>
          <w:lang w:eastAsia="en-NZ"/>
        </w:rPr>
        <w:t>to</w:t>
      </w:r>
      <w:r w:rsidR="003D640C">
        <w:rPr>
          <w:lang w:eastAsia="en-NZ"/>
        </w:rPr>
        <w:t xml:space="preserve"> </w:t>
      </w:r>
      <w:r w:rsidR="00260EB8" w:rsidRPr="00BB6220">
        <w:rPr>
          <w:lang w:eastAsia="en-NZ"/>
        </w:rPr>
        <w:t>change.</w:t>
      </w:r>
    </w:p>
    <w:p w14:paraId="49612ACD" w14:textId="63EBCAFA" w:rsidR="009D4A3C" w:rsidRDefault="00260EB8" w:rsidP="003B176C">
      <w:pPr>
        <w:rPr>
          <w:lang w:eastAsia="en-NZ"/>
        </w:rPr>
      </w:pPr>
      <w:r w:rsidRPr="00BB6220">
        <w:rPr>
          <w:lang w:eastAsia="en-NZ"/>
        </w:rPr>
        <w:t>Despite</w:t>
      </w:r>
      <w:r w:rsidR="003D640C">
        <w:rPr>
          <w:lang w:eastAsia="en-NZ"/>
        </w:rPr>
        <w:t xml:space="preserve"> </w:t>
      </w:r>
      <w:r w:rsidRPr="00BB6220">
        <w:rPr>
          <w:lang w:eastAsia="en-NZ"/>
        </w:rPr>
        <w:t>the</w:t>
      </w:r>
      <w:r w:rsidR="003D640C">
        <w:rPr>
          <w:lang w:eastAsia="en-NZ"/>
        </w:rPr>
        <w:t xml:space="preserve"> </w:t>
      </w:r>
      <w:r w:rsidRPr="00BB6220">
        <w:rPr>
          <w:lang w:eastAsia="en-NZ"/>
        </w:rPr>
        <w:t>progress</w:t>
      </w:r>
      <w:r w:rsidR="003D640C">
        <w:rPr>
          <w:lang w:eastAsia="en-NZ"/>
        </w:rPr>
        <w:t xml:space="preserve"> </w:t>
      </w:r>
      <w:r w:rsidR="00083EAE" w:rsidRPr="00BB6220">
        <w:rPr>
          <w:lang w:eastAsia="en-NZ"/>
        </w:rPr>
        <w:t>in</w:t>
      </w:r>
      <w:r w:rsidR="003D640C">
        <w:rPr>
          <w:lang w:eastAsia="en-NZ"/>
        </w:rPr>
        <w:t xml:space="preserve"> </w:t>
      </w:r>
      <w:r w:rsidR="00083EAE" w:rsidRPr="00BB6220">
        <w:rPr>
          <w:lang w:eastAsia="en-NZ"/>
        </w:rPr>
        <w:t>the</w:t>
      </w:r>
      <w:r w:rsidR="003D640C">
        <w:rPr>
          <w:lang w:eastAsia="en-NZ"/>
        </w:rPr>
        <w:t xml:space="preserve"> </w:t>
      </w:r>
      <w:r w:rsidR="00083EAE" w:rsidRPr="00BB6220">
        <w:rPr>
          <w:lang w:eastAsia="en-NZ"/>
        </w:rPr>
        <w:t>recognition</w:t>
      </w:r>
      <w:r w:rsidR="003D640C">
        <w:rPr>
          <w:lang w:eastAsia="en-NZ"/>
        </w:rPr>
        <w:t xml:space="preserve"> </w:t>
      </w:r>
      <w:r w:rsidR="00083EAE" w:rsidRPr="00BB6220">
        <w:rPr>
          <w:lang w:eastAsia="en-NZ"/>
        </w:rPr>
        <w:t>of</w:t>
      </w:r>
      <w:r w:rsidR="003D640C">
        <w:rPr>
          <w:lang w:eastAsia="en-NZ"/>
        </w:rPr>
        <w:t xml:space="preserve"> </w:t>
      </w:r>
      <w:r w:rsidR="00083EAE" w:rsidRPr="00BB6220">
        <w:rPr>
          <w:lang w:eastAsia="en-NZ"/>
        </w:rPr>
        <w:t>Rainbow</w:t>
      </w:r>
      <w:r w:rsidR="003D640C">
        <w:rPr>
          <w:lang w:eastAsia="en-NZ"/>
        </w:rPr>
        <w:t xml:space="preserve"> </w:t>
      </w:r>
      <w:r w:rsidR="00083EAE" w:rsidRPr="00BB6220">
        <w:rPr>
          <w:lang w:eastAsia="en-NZ"/>
        </w:rPr>
        <w:t>rights</w:t>
      </w:r>
      <w:r w:rsidR="003D640C">
        <w:rPr>
          <w:lang w:eastAsia="en-NZ"/>
        </w:rPr>
        <w:t xml:space="preserve"> </w:t>
      </w:r>
      <w:r w:rsidR="00DE12F6">
        <w:rPr>
          <w:lang w:eastAsia="en-NZ"/>
        </w:rPr>
        <w:t>in</w:t>
      </w:r>
      <w:r w:rsidR="003D640C">
        <w:rPr>
          <w:lang w:eastAsia="en-NZ"/>
        </w:rPr>
        <w:t xml:space="preserve"> </w:t>
      </w:r>
      <w:r w:rsidR="00DE12F6">
        <w:rPr>
          <w:lang w:eastAsia="en-NZ"/>
        </w:rPr>
        <w:t>Aotearoa</w:t>
      </w:r>
      <w:r w:rsidR="003D640C">
        <w:rPr>
          <w:lang w:eastAsia="en-NZ"/>
        </w:rPr>
        <w:t xml:space="preserve"> </w:t>
      </w:r>
      <w:r w:rsidR="00083EAE" w:rsidRPr="00BB6220">
        <w:rPr>
          <w:lang w:eastAsia="en-NZ"/>
        </w:rPr>
        <w:t>since</w:t>
      </w:r>
      <w:r w:rsidR="003D640C">
        <w:rPr>
          <w:lang w:eastAsia="en-NZ"/>
        </w:rPr>
        <w:t xml:space="preserve"> </w:t>
      </w:r>
      <w:r w:rsidR="00083EAE" w:rsidRPr="00BB6220">
        <w:rPr>
          <w:lang w:eastAsia="en-NZ"/>
        </w:rPr>
        <w:t>the</w:t>
      </w:r>
      <w:r w:rsidR="003D640C">
        <w:rPr>
          <w:lang w:eastAsia="en-NZ"/>
        </w:rPr>
        <w:t xml:space="preserve"> </w:t>
      </w:r>
      <w:r w:rsidR="00083EAE" w:rsidRPr="00BB6220">
        <w:rPr>
          <w:lang w:eastAsia="en-NZ"/>
        </w:rPr>
        <w:t>1980s</w:t>
      </w:r>
      <w:r w:rsidRPr="00BB6220">
        <w:rPr>
          <w:lang w:eastAsia="en-NZ"/>
        </w:rPr>
        <w:t>,</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00083EAE" w:rsidRPr="00BB6220">
        <w:rPr>
          <w:lang w:eastAsia="en-NZ"/>
        </w:rPr>
        <w:t>have</w:t>
      </w:r>
      <w:r w:rsidR="003D640C">
        <w:rPr>
          <w:lang w:eastAsia="en-NZ"/>
        </w:rPr>
        <w:t xml:space="preserve"> </w:t>
      </w:r>
      <w:r w:rsidRPr="00BB6220">
        <w:rPr>
          <w:lang w:eastAsia="en-NZ"/>
        </w:rPr>
        <w:t>continued</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sidR="003D640C">
        <w:rPr>
          <w:lang w:eastAsia="en-NZ"/>
        </w:rPr>
        <w:t xml:space="preserve"> </w:t>
      </w:r>
      <w:r w:rsidRPr="00BB6220">
        <w:rPr>
          <w:lang w:eastAsia="en-NZ"/>
        </w:rPr>
        <w:t>largely</w:t>
      </w:r>
      <w:r w:rsidR="003D640C">
        <w:rPr>
          <w:lang w:eastAsia="en-NZ"/>
        </w:rPr>
        <w:t xml:space="preserve"> </w:t>
      </w:r>
      <w:r w:rsidRPr="00BB6220">
        <w:rPr>
          <w:lang w:eastAsia="en-NZ"/>
        </w:rPr>
        <w:t>unnoticed.</w:t>
      </w:r>
      <w:r w:rsidR="003D640C">
        <w:rPr>
          <w:lang w:eastAsia="en-NZ"/>
        </w:rPr>
        <w:t xml:space="preserve"> </w:t>
      </w:r>
      <w:r w:rsidRPr="00BB6220">
        <w:rPr>
          <w:lang w:eastAsia="en-NZ"/>
        </w:rPr>
        <w:t>There</w:t>
      </w:r>
      <w:r w:rsidR="003D640C">
        <w:rPr>
          <w:lang w:eastAsia="en-NZ"/>
        </w:rPr>
        <w:t xml:space="preserve"> </w:t>
      </w:r>
      <w:r w:rsidRPr="00BB6220">
        <w:rPr>
          <w:lang w:eastAsia="en-NZ"/>
        </w:rPr>
        <w:t>is</w:t>
      </w:r>
      <w:r w:rsidR="003D640C">
        <w:rPr>
          <w:lang w:eastAsia="en-NZ"/>
        </w:rPr>
        <w:t xml:space="preserve"> </w:t>
      </w:r>
      <w:r w:rsidRPr="00BB6220">
        <w:rPr>
          <w:lang w:eastAsia="en-NZ"/>
        </w:rPr>
        <w:t>an</w:t>
      </w:r>
      <w:r w:rsidR="003D640C">
        <w:rPr>
          <w:lang w:eastAsia="en-NZ"/>
        </w:rPr>
        <w:t xml:space="preserve"> </w:t>
      </w:r>
      <w:r w:rsidRPr="00BB6220">
        <w:rPr>
          <w:lang w:eastAsia="en-NZ"/>
        </w:rPr>
        <w:t>absence</w:t>
      </w:r>
      <w:r w:rsidR="003D640C">
        <w:rPr>
          <w:lang w:eastAsia="en-NZ"/>
        </w:rPr>
        <w:t xml:space="preserve"> </w:t>
      </w:r>
      <w:r w:rsidRPr="00BB6220">
        <w:rPr>
          <w:lang w:eastAsia="en-NZ"/>
        </w:rPr>
        <w:t>of</w:t>
      </w:r>
      <w:r w:rsidR="003D640C">
        <w:rPr>
          <w:lang w:eastAsia="en-NZ"/>
        </w:rPr>
        <w:t xml:space="preserve"> </w:t>
      </w:r>
      <w:r w:rsidRPr="00BB6220">
        <w:rPr>
          <w:lang w:eastAsia="en-NZ"/>
        </w:rPr>
        <w:t>documented</w:t>
      </w:r>
      <w:r w:rsidR="003D640C">
        <w:rPr>
          <w:lang w:eastAsia="en-NZ"/>
        </w:rPr>
        <w:t xml:space="preserve"> </w:t>
      </w:r>
      <w:r w:rsidRPr="00BB6220">
        <w:rPr>
          <w:lang w:eastAsia="en-NZ"/>
        </w:rPr>
        <w:t>history</w:t>
      </w:r>
      <w:r w:rsidR="003D640C">
        <w:rPr>
          <w:lang w:eastAsia="en-NZ"/>
        </w:rPr>
        <w:t xml:space="preserve"> </w:t>
      </w:r>
      <w:r w:rsidRPr="00BB6220">
        <w:rPr>
          <w:lang w:eastAsia="en-NZ"/>
        </w:rPr>
        <w:t>about</w:t>
      </w:r>
      <w:r w:rsidR="003D640C">
        <w:rPr>
          <w:lang w:eastAsia="en-NZ"/>
        </w:rPr>
        <w:t xml:space="preserve"> </w:t>
      </w:r>
      <w:r w:rsidRPr="00BB6220">
        <w:rPr>
          <w:lang w:eastAsia="en-NZ"/>
        </w:rPr>
        <w:t>the</w:t>
      </w:r>
      <w:r w:rsidR="003D640C">
        <w:rPr>
          <w:lang w:eastAsia="en-NZ"/>
        </w:rPr>
        <w:t xml:space="preserve"> </w:t>
      </w:r>
      <w:r w:rsidRPr="00BB6220">
        <w:rPr>
          <w:lang w:eastAsia="en-NZ"/>
        </w:rPr>
        <w:t>practices</w:t>
      </w:r>
      <w:r w:rsidR="003D640C">
        <w:rPr>
          <w:lang w:eastAsia="en-NZ"/>
        </w:rPr>
        <w:t xml:space="preserve"> </w:t>
      </w:r>
      <w:r w:rsidRPr="00BB6220">
        <w:rPr>
          <w:lang w:eastAsia="en-NZ"/>
        </w:rPr>
        <w:t>in</w:t>
      </w:r>
      <w:r w:rsidR="003D640C">
        <w:rPr>
          <w:lang w:eastAsia="en-NZ"/>
        </w:rPr>
        <w:t xml:space="preserve"> </w:t>
      </w:r>
      <w:r w:rsidRPr="00BB6220">
        <w:rPr>
          <w:lang w:eastAsia="en-NZ"/>
        </w:rPr>
        <w:t>this</w:t>
      </w:r>
      <w:r w:rsidR="003D640C">
        <w:rPr>
          <w:lang w:eastAsia="en-NZ"/>
        </w:rPr>
        <w:t xml:space="preserve"> </w:t>
      </w:r>
      <w:r w:rsidRPr="00BB6220">
        <w:rPr>
          <w:lang w:eastAsia="en-NZ"/>
        </w:rPr>
        <w:t>country</w:t>
      </w:r>
      <w:r w:rsidR="003D640C">
        <w:rPr>
          <w:lang w:eastAsia="en-NZ"/>
        </w:rPr>
        <w:t xml:space="preserve"> </w:t>
      </w:r>
      <w:r w:rsidR="00083EAE" w:rsidRPr="00BB6220">
        <w:rPr>
          <w:lang w:eastAsia="en-NZ"/>
        </w:rPr>
        <w:t>although</w:t>
      </w:r>
      <w:r w:rsidR="003D640C">
        <w:rPr>
          <w:lang w:eastAsia="en-NZ"/>
        </w:rPr>
        <w:t xml:space="preserve"> </w:t>
      </w:r>
      <w:r w:rsidRPr="00BB6220">
        <w:rPr>
          <w:lang w:eastAsia="en-NZ"/>
        </w:rPr>
        <w:t>survivors</w:t>
      </w:r>
      <w:r w:rsidR="003D640C">
        <w:rPr>
          <w:lang w:eastAsia="en-NZ"/>
        </w:rPr>
        <w:t xml:space="preserve"> </w:t>
      </w:r>
      <w:r w:rsidR="00DE12F6">
        <w:rPr>
          <w:lang w:eastAsia="en-NZ"/>
        </w:rPr>
        <w:t>have</w:t>
      </w:r>
      <w:r w:rsidR="003D640C">
        <w:rPr>
          <w:lang w:eastAsia="en-NZ"/>
        </w:rPr>
        <w:t xml:space="preserve"> </w:t>
      </w:r>
      <w:r w:rsidRPr="00BB6220">
        <w:rPr>
          <w:lang w:eastAsia="en-NZ"/>
        </w:rPr>
        <w:t>report</w:t>
      </w:r>
      <w:r w:rsidR="00DE12F6">
        <w:rPr>
          <w:lang w:eastAsia="en-NZ"/>
        </w:rPr>
        <w:t>ed</w:t>
      </w:r>
      <w:r w:rsidR="003D640C">
        <w:rPr>
          <w:lang w:eastAsia="en-NZ"/>
        </w:rPr>
        <w:t xml:space="preserve"> </w:t>
      </w:r>
      <w:r w:rsidR="00DE12F6">
        <w:rPr>
          <w:lang w:eastAsia="en-NZ"/>
        </w:rPr>
        <w:t>they</w:t>
      </w:r>
      <w:r w:rsidR="003D640C">
        <w:rPr>
          <w:lang w:eastAsia="en-NZ"/>
        </w:rPr>
        <w:t xml:space="preserve"> </w:t>
      </w:r>
      <w:r w:rsidR="00DE12F6">
        <w:rPr>
          <w:lang w:eastAsia="en-NZ"/>
        </w:rPr>
        <w:t>increased</w:t>
      </w:r>
      <w:r w:rsidR="003D640C">
        <w:rPr>
          <w:lang w:eastAsia="en-NZ"/>
        </w:rPr>
        <w:t xml:space="preserve"> </w:t>
      </w:r>
      <w:r w:rsidR="00DE12F6">
        <w:rPr>
          <w:lang w:eastAsia="en-NZ"/>
        </w:rPr>
        <w:t>from</w:t>
      </w:r>
      <w:r w:rsidR="003D640C">
        <w:rPr>
          <w:lang w:eastAsia="en-NZ"/>
        </w:rPr>
        <w:t xml:space="preserve"> </w:t>
      </w:r>
      <w:r w:rsidRPr="00BB6220">
        <w:rPr>
          <w:lang w:eastAsia="en-NZ"/>
        </w:rPr>
        <w:t>the</w:t>
      </w:r>
      <w:r w:rsidR="003D640C">
        <w:rPr>
          <w:lang w:eastAsia="en-NZ"/>
        </w:rPr>
        <w:t xml:space="preserve"> </w:t>
      </w:r>
      <w:r w:rsidRPr="00BB6220">
        <w:rPr>
          <w:lang w:eastAsia="en-NZ"/>
        </w:rPr>
        <w:t>1970s</w:t>
      </w:r>
      <w:r w:rsidR="003D640C">
        <w:rPr>
          <w:lang w:eastAsia="en-NZ"/>
        </w:rPr>
        <w:t xml:space="preserve"> </w:t>
      </w:r>
      <w:r w:rsidRPr="00BB6220">
        <w:rPr>
          <w:lang w:eastAsia="en-NZ"/>
        </w:rPr>
        <w:t>and</w:t>
      </w:r>
      <w:r w:rsidR="003D640C">
        <w:rPr>
          <w:lang w:eastAsia="en-NZ"/>
        </w:rPr>
        <w:t xml:space="preserve"> </w:t>
      </w:r>
      <w:r w:rsidRPr="00BB6220">
        <w:rPr>
          <w:lang w:eastAsia="en-NZ"/>
        </w:rPr>
        <w:t>1980s.</w:t>
      </w:r>
      <w:r w:rsidR="003D640C">
        <w:rPr>
          <w:lang w:eastAsia="en-NZ"/>
        </w:rPr>
        <w:t xml:space="preserve"> </w:t>
      </w:r>
    </w:p>
    <w:p w14:paraId="6B376BC3" w14:textId="25439397" w:rsidR="00260EB8" w:rsidRPr="00BB6220" w:rsidRDefault="00260EB8" w:rsidP="003B176C">
      <w:r w:rsidRPr="00BB6220">
        <w:rPr>
          <w:lang w:eastAsia="en-NZ"/>
        </w:rPr>
        <w:t>No</w:t>
      </w:r>
      <w:r w:rsidR="003D640C">
        <w:rPr>
          <w:lang w:eastAsia="en-NZ"/>
        </w:rPr>
        <w:t xml:space="preserve"> </w:t>
      </w:r>
      <w:r w:rsidRPr="00BB6220">
        <w:rPr>
          <w:lang w:eastAsia="en-NZ"/>
        </w:rPr>
        <w:t>known</w:t>
      </w:r>
      <w:r w:rsidR="003D640C">
        <w:rPr>
          <w:lang w:eastAsia="en-NZ"/>
        </w:rPr>
        <w:t xml:space="preserve"> </w:t>
      </w:r>
      <w:r w:rsidRPr="00BB6220">
        <w:rPr>
          <w:lang w:eastAsia="en-NZ"/>
        </w:rPr>
        <w:t>decrease</w:t>
      </w:r>
      <w:r w:rsidR="003D640C">
        <w:rPr>
          <w:lang w:eastAsia="en-NZ"/>
        </w:rPr>
        <w:t xml:space="preserve"> </w:t>
      </w:r>
      <w:r w:rsidRPr="00BB6220">
        <w:rPr>
          <w:lang w:eastAsia="en-NZ"/>
        </w:rPr>
        <w:t>in</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has</w:t>
      </w:r>
      <w:r w:rsidR="003D640C">
        <w:rPr>
          <w:lang w:eastAsia="en-NZ"/>
        </w:rPr>
        <w:t xml:space="preserve"> </w:t>
      </w:r>
      <w:r w:rsidRPr="00BB6220">
        <w:rPr>
          <w:lang w:eastAsia="en-NZ"/>
        </w:rPr>
        <w:t>occurred</w:t>
      </w:r>
      <w:r w:rsidR="003D640C">
        <w:rPr>
          <w:lang w:eastAsia="en-NZ"/>
        </w:rPr>
        <w:t xml:space="preserve"> </w:t>
      </w:r>
      <w:r w:rsidRPr="00BB6220">
        <w:rPr>
          <w:lang w:eastAsia="en-NZ"/>
        </w:rPr>
        <w:t>alongside</w:t>
      </w:r>
      <w:r w:rsidR="003D640C">
        <w:rPr>
          <w:lang w:eastAsia="en-NZ"/>
        </w:rPr>
        <w:t xml:space="preserve"> </w:t>
      </w:r>
      <w:r w:rsidRPr="00BB6220">
        <w:rPr>
          <w:lang w:eastAsia="en-NZ"/>
        </w:rPr>
        <w:t>other</w:t>
      </w:r>
      <w:r w:rsidR="003D640C">
        <w:rPr>
          <w:lang w:eastAsia="en-NZ"/>
        </w:rPr>
        <w:t xml:space="preserve"> </w:t>
      </w:r>
      <w:r w:rsidRPr="00BB6220">
        <w:rPr>
          <w:lang w:eastAsia="en-NZ"/>
        </w:rPr>
        <w:t>pro-</w:t>
      </w:r>
      <w:r w:rsidR="00083EAE" w:rsidRPr="00BB6220">
        <w:rPr>
          <w:lang w:eastAsia="en-NZ"/>
        </w:rPr>
        <w:t>Rainbow</w:t>
      </w:r>
      <w:r w:rsidR="003D640C">
        <w:rPr>
          <w:lang w:eastAsia="en-NZ"/>
        </w:rPr>
        <w:t xml:space="preserve"> </w:t>
      </w:r>
      <w:r w:rsidRPr="00BB6220">
        <w:rPr>
          <w:lang w:eastAsia="en-NZ"/>
        </w:rPr>
        <w:t>law</w:t>
      </w:r>
      <w:r w:rsidR="003D640C">
        <w:rPr>
          <w:lang w:eastAsia="en-NZ"/>
        </w:rPr>
        <w:t xml:space="preserve"> </w:t>
      </w:r>
      <w:r w:rsidRPr="00BB6220">
        <w:rPr>
          <w:lang w:eastAsia="en-NZ"/>
        </w:rPr>
        <w:t>reform</w:t>
      </w:r>
      <w:r w:rsidR="003D640C">
        <w:rPr>
          <w:lang w:eastAsia="en-NZ"/>
        </w:rPr>
        <w:t xml:space="preserve"> </w:t>
      </w:r>
      <w:r w:rsidRPr="00BB6220">
        <w:rPr>
          <w:lang w:eastAsia="en-NZ"/>
        </w:rPr>
        <w:t>and</w:t>
      </w:r>
      <w:r w:rsidR="003D640C">
        <w:rPr>
          <w:lang w:eastAsia="en-NZ"/>
        </w:rPr>
        <w:t xml:space="preserve"> </w:t>
      </w:r>
      <w:r w:rsidRPr="00BB6220">
        <w:rPr>
          <w:lang w:eastAsia="en-NZ"/>
        </w:rPr>
        <w:t>the</w:t>
      </w:r>
      <w:r w:rsidR="003D640C">
        <w:rPr>
          <w:lang w:eastAsia="en-NZ"/>
        </w:rPr>
        <w:t xml:space="preserve"> </w:t>
      </w:r>
      <w:r w:rsidRPr="00BB6220">
        <w:rPr>
          <w:lang w:eastAsia="en-NZ"/>
        </w:rPr>
        <w:t>gradual</w:t>
      </w:r>
      <w:r w:rsidR="00DE12F6">
        <w:rPr>
          <w:lang w:eastAsia="en-NZ"/>
        </w:rPr>
        <w:t>ly</w:t>
      </w:r>
      <w:r w:rsidR="003D640C">
        <w:rPr>
          <w:lang w:eastAsia="en-NZ"/>
        </w:rPr>
        <w:t xml:space="preserve"> </w:t>
      </w:r>
      <w:r w:rsidRPr="00BB6220">
        <w:rPr>
          <w:lang w:eastAsia="en-NZ"/>
        </w:rPr>
        <w:t>increasing</w:t>
      </w:r>
      <w:r w:rsidR="003D640C">
        <w:rPr>
          <w:lang w:eastAsia="en-NZ"/>
        </w:rPr>
        <w:t xml:space="preserve"> </w:t>
      </w:r>
      <w:r w:rsidRPr="00BB6220">
        <w:rPr>
          <w:lang w:eastAsia="en-NZ"/>
        </w:rPr>
        <w:t>acceptance</w:t>
      </w:r>
      <w:r w:rsidR="003D640C">
        <w:rPr>
          <w:lang w:eastAsia="en-NZ"/>
        </w:rPr>
        <w:t xml:space="preserve"> </w:t>
      </w:r>
      <w:r w:rsidRPr="00BB6220">
        <w:rPr>
          <w:lang w:eastAsia="en-NZ"/>
        </w:rPr>
        <w:t>of</w:t>
      </w:r>
      <w:r w:rsidR="003D640C">
        <w:rPr>
          <w:lang w:eastAsia="en-NZ"/>
        </w:rPr>
        <w:t xml:space="preserve"> </w:t>
      </w:r>
      <w:r w:rsidR="00083EAE" w:rsidRPr="00BB6220">
        <w:rPr>
          <w:lang w:eastAsia="en-NZ"/>
        </w:rPr>
        <w:t>Rainbow</w:t>
      </w:r>
      <w:r w:rsidR="003D640C">
        <w:rPr>
          <w:lang w:eastAsia="en-NZ"/>
        </w:rPr>
        <w:t xml:space="preserve"> </w:t>
      </w:r>
      <w:r w:rsidRPr="00BB6220">
        <w:rPr>
          <w:lang w:eastAsia="en-NZ"/>
        </w:rPr>
        <w:t>communit</w:t>
      </w:r>
      <w:r w:rsidR="00DE12F6">
        <w:rPr>
          <w:lang w:eastAsia="en-NZ"/>
        </w:rPr>
        <w:t>ies</w:t>
      </w:r>
      <w:r w:rsidR="003D640C">
        <w:rPr>
          <w:lang w:eastAsia="en-NZ"/>
        </w:rPr>
        <w:t xml:space="preserve"> </w:t>
      </w:r>
      <w:r w:rsidRPr="00BB6220">
        <w:rPr>
          <w:lang w:eastAsia="en-NZ"/>
        </w:rPr>
        <w:t>in</w:t>
      </w:r>
      <w:r w:rsidR="003D640C">
        <w:rPr>
          <w:lang w:eastAsia="en-NZ"/>
        </w:rPr>
        <w:t xml:space="preserve"> </w:t>
      </w:r>
      <w:r w:rsidRPr="00BB6220">
        <w:rPr>
          <w:lang w:eastAsia="en-NZ"/>
        </w:rPr>
        <w:t>Aotearoa.</w:t>
      </w:r>
      <w:r w:rsidR="003D640C">
        <w:rPr>
          <w:lang w:eastAsia="en-NZ"/>
        </w:rPr>
        <w:t xml:space="preserve"> </w:t>
      </w:r>
      <w:r w:rsidR="00B34503">
        <w:t>The</w:t>
      </w:r>
      <w:r w:rsidR="003D640C">
        <w:t xml:space="preserve"> </w:t>
      </w:r>
      <w:r w:rsidR="00B34503">
        <w:t>increasing</w:t>
      </w:r>
      <w:r w:rsidR="003D640C">
        <w:t xml:space="preserve"> </w:t>
      </w:r>
      <w:r w:rsidR="00B34503">
        <w:t>prevalence</w:t>
      </w:r>
      <w:r w:rsidR="003D640C">
        <w:t xml:space="preserve"> </w:t>
      </w:r>
      <w:r w:rsidR="00B34503">
        <w:t>of</w:t>
      </w:r>
      <w:r w:rsidR="003D640C">
        <w:t xml:space="preserve"> </w:t>
      </w:r>
      <w:r w:rsidR="00B34503">
        <w:t>transnational</w:t>
      </w:r>
      <w:r w:rsidR="003D640C">
        <w:t xml:space="preserve"> </w:t>
      </w:r>
      <w:r w:rsidR="00B34503" w:rsidRPr="00BB6220">
        <w:t>mis</w:t>
      </w:r>
      <w:r w:rsidR="00410E6E">
        <w:t xml:space="preserve">- </w:t>
      </w:r>
      <w:r w:rsidR="00B34503" w:rsidRPr="00BB6220">
        <w:t>and</w:t>
      </w:r>
      <w:r w:rsidR="003D640C">
        <w:t xml:space="preserve"> </w:t>
      </w:r>
      <w:r w:rsidR="00B34503" w:rsidRPr="00BB6220">
        <w:t>disinformation</w:t>
      </w:r>
      <w:r w:rsidR="003D640C">
        <w:t xml:space="preserve"> </w:t>
      </w:r>
      <w:r w:rsidR="00B34503">
        <w:t>works</w:t>
      </w:r>
      <w:r w:rsidR="003D640C">
        <w:t xml:space="preserve"> </w:t>
      </w:r>
      <w:r w:rsidR="00B34503">
        <w:t>to</w:t>
      </w:r>
      <w:r w:rsidR="003D640C">
        <w:t xml:space="preserve"> </w:t>
      </w:r>
      <w:r w:rsidR="00B34503">
        <w:t>undermine</w:t>
      </w:r>
      <w:r w:rsidR="003D640C">
        <w:t xml:space="preserve"> </w:t>
      </w:r>
      <w:r w:rsidR="00B34503" w:rsidRPr="00BB6220">
        <w:t>Rainbow</w:t>
      </w:r>
      <w:r w:rsidR="003D640C">
        <w:t xml:space="preserve"> </w:t>
      </w:r>
      <w:r w:rsidR="00B34503" w:rsidRPr="00BB6220">
        <w:t>rights</w:t>
      </w:r>
      <w:r w:rsidR="003D640C">
        <w:t xml:space="preserve"> </w:t>
      </w:r>
      <w:r w:rsidR="00B34503" w:rsidRPr="00BB6220">
        <w:t>here</w:t>
      </w:r>
      <w:r w:rsidR="003D640C">
        <w:t xml:space="preserve"> </w:t>
      </w:r>
      <w:r w:rsidR="00B34503" w:rsidRPr="00BB6220">
        <w:t>in</w:t>
      </w:r>
      <w:r w:rsidR="003D640C">
        <w:t xml:space="preserve"> </w:t>
      </w:r>
      <w:r w:rsidR="00B34503" w:rsidRPr="00BB6220">
        <w:t>Aotearoa.</w:t>
      </w:r>
      <w:r w:rsidR="003D640C">
        <w:t xml:space="preserve"> </w:t>
      </w:r>
    </w:p>
    <w:p w14:paraId="666E3DE1" w14:textId="5E74F5C4" w:rsidR="00F81140" w:rsidRPr="00BB6220" w:rsidRDefault="00260EB8" w:rsidP="003B176C">
      <w:pPr>
        <w:rPr>
          <w:lang w:eastAsia="en-NZ"/>
        </w:rPr>
      </w:pPr>
      <w:r w:rsidRPr="00BB6220">
        <w:rPr>
          <w:lang w:eastAsia="en-NZ"/>
        </w:rPr>
        <w:t>Due</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efforts</w:t>
      </w:r>
      <w:r w:rsidR="003D640C">
        <w:rPr>
          <w:lang w:eastAsia="en-NZ"/>
        </w:rPr>
        <w:t xml:space="preserve"> </w:t>
      </w:r>
      <w:r w:rsidRPr="00BB6220">
        <w:rPr>
          <w:lang w:eastAsia="en-NZ"/>
        </w:rPr>
        <w:t>of</w:t>
      </w:r>
      <w:r w:rsidR="003D640C">
        <w:rPr>
          <w:lang w:eastAsia="en-NZ"/>
        </w:rPr>
        <w:t xml:space="preserve"> </w:t>
      </w:r>
      <w:r w:rsidR="00083EAE" w:rsidRPr="00BB6220">
        <w:rPr>
          <w:lang w:eastAsia="en-NZ"/>
        </w:rPr>
        <w:t>Rainbow</w:t>
      </w:r>
      <w:r w:rsidR="003D640C">
        <w:rPr>
          <w:lang w:eastAsia="en-NZ"/>
        </w:rPr>
        <w:t xml:space="preserve"> </w:t>
      </w:r>
      <w:r w:rsidRPr="00BB6220">
        <w:rPr>
          <w:lang w:eastAsia="en-NZ"/>
        </w:rPr>
        <w:t>advocates,</w:t>
      </w:r>
      <w:r w:rsidR="003D640C">
        <w:rPr>
          <w:lang w:eastAsia="en-NZ"/>
        </w:rPr>
        <w:t xml:space="preserve"> </w:t>
      </w:r>
      <w:r w:rsidRPr="00BB6220">
        <w:rPr>
          <w:lang w:eastAsia="en-NZ"/>
        </w:rPr>
        <w:t>activists,</w:t>
      </w:r>
      <w:r w:rsidR="003D640C">
        <w:rPr>
          <w:lang w:eastAsia="en-NZ"/>
        </w:rPr>
        <w:t xml:space="preserve"> </w:t>
      </w:r>
      <w:r w:rsidRPr="00BB6220">
        <w:rPr>
          <w:lang w:eastAsia="en-NZ"/>
        </w:rPr>
        <w:t>and</w:t>
      </w:r>
      <w:r w:rsidR="003D640C">
        <w:rPr>
          <w:lang w:eastAsia="en-NZ"/>
        </w:rPr>
        <w:t xml:space="preserve"> </w:t>
      </w:r>
      <w:r w:rsidRPr="00BB6220">
        <w:rPr>
          <w:lang w:eastAsia="en-NZ"/>
        </w:rPr>
        <w:t>community</w:t>
      </w:r>
      <w:r w:rsidR="003D640C">
        <w:rPr>
          <w:lang w:eastAsia="en-NZ"/>
        </w:rPr>
        <w:t xml:space="preserve"> </w:t>
      </w:r>
      <w:r w:rsidRPr="00BB6220">
        <w:rPr>
          <w:lang w:eastAsia="en-NZ"/>
        </w:rPr>
        <w:t>workers,</w:t>
      </w:r>
      <w:r w:rsidR="003D640C">
        <w:rPr>
          <w:lang w:eastAsia="en-NZ"/>
        </w:rPr>
        <w:t xml:space="preserve"> </w:t>
      </w:r>
      <w:r w:rsidRPr="00BB6220">
        <w:rPr>
          <w:lang w:eastAsia="en-NZ"/>
        </w:rPr>
        <w:t>concern</w:t>
      </w:r>
      <w:r w:rsidR="003D640C">
        <w:rPr>
          <w:lang w:eastAsia="en-NZ"/>
        </w:rPr>
        <w:t xml:space="preserve"> </w:t>
      </w:r>
      <w:r w:rsidRPr="00BB6220">
        <w:rPr>
          <w:lang w:eastAsia="en-NZ"/>
        </w:rPr>
        <w:t>about</w:t>
      </w:r>
      <w:r w:rsidR="003D640C">
        <w:rPr>
          <w:lang w:eastAsia="en-NZ"/>
        </w:rPr>
        <w:t xml:space="preserve"> </w:t>
      </w:r>
      <w:r w:rsidRPr="00BB6220">
        <w:rPr>
          <w:lang w:eastAsia="en-NZ"/>
        </w:rPr>
        <w:t>the</w:t>
      </w:r>
      <w:r w:rsidR="003D640C">
        <w:rPr>
          <w:lang w:eastAsia="en-NZ"/>
        </w:rPr>
        <w:t xml:space="preserve"> </w:t>
      </w:r>
      <w:r w:rsidRPr="00BB6220">
        <w:rPr>
          <w:lang w:eastAsia="en-NZ"/>
        </w:rPr>
        <w:t>ongoing</w:t>
      </w:r>
      <w:r w:rsidR="003D640C">
        <w:rPr>
          <w:lang w:eastAsia="en-NZ"/>
        </w:rPr>
        <w:t xml:space="preserve"> </w:t>
      </w:r>
      <w:r w:rsidRPr="00BB6220">
        <w:rPr>
          <w:lang w:eastAsia="en-NZ"/>
        </w:rPr>
        <w:t>prevalence</w:t>
      </w:r>
      <w:r w:rsidR="003D640C">
        <w:rPr>
          <w:lang w:eastAsia="en-NZ"/>
        </w:rPr>
        <w:t xml:space="preserve"> </w:t>
      </w:r>
      <w:r w:rsidRPr="00BB6220">
        <w:rPr>
          <w:lang w:eastAsia="en-NZ"/>
        </w:rPr>
        <w:t>and</w:t>
      </w:r>
      <w:r w:rsidR="003D640C">
        <w:rPr>
          <w:lang w:eastAsia="en-NZ"/>
        </w:rPr>
        <w:t xml:space="preserve"> </w:t>
      </w:r>
      <w:r w:rsidRPr="00BB6220">
        <w:rPr>
          <w:lang w:eastAsia="en-NZ"/>
        </w:rPr>
        <w:t>intensity</w:t>
      </w:r>
      <w:r w:rsidR="003D640C">
        <w:rPr>
          <w:lang w:eastAsia="en-NZ"/>
        </w:rPr>
        <w:t xml:space="preserve"> </w:t>
      </w:r>
      <w:r w:rsidRPr="00BB6220">
        <w:rPr>
          <w:lang w:eastAsia="en-NZ"/>
        </w:rPr>
        <w:t>of</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led</w:t>
      </w:r>
      <w:r w:rsidR="003D640C">
        <w:rPr>
          <w:lang w:eastAsia="en-NZ"/>
        </w:rPr>
        <w:t xml:space="preserve"> </w:t>
      </w:r>
      <w:r w:rsidRPr="00BB6220">
        <w:rPr>
          <w:lang w:eastAsia="en-NZ"/>
        </w:rPr>
        <w:t>to</w:t>
      </w:r>
      <w:r w:rsidR="003D640C">
        <w:rPr>
          <w:lang w:eastAsia="en-NZ"/>
        </w:rPr>
        <w:t xml:space="preserve"> </w:t>
      </w:r>
      <w:r w:rsidRPr="00BB6220">
        <w:rPr>
          <w:lang w:eastAsia="en-NZ"/>
        </w:rPr>
        <w:t>the</w:t>
      </w:r>
      <w:r w:rsidR="003D640C">
        <w:rPr>
          <w:lang w:eastAsia="en-NZ"/>
        </w:rPr>
        <w:t xml:space="preserve"> </w:t>
      </w:r>
      <w:r w:rsidRPr="00BB6220">
        <w:rPr>
          <w:lang w:eastAsia="en-NZ"/>
        </w:rPr>
        <w:t>passing</w:t>
      </w:r>
      <w:r w:rsidR="003D640C">
        <w:rPr>
          <w:lang w:eastAsia="en-NZ"/>
        </w:rPr>
        <w:t xml:space="preserve"> </w:t>
      </w:r>
      <w:r w:rsidRPr="00BB6220">
        <w:rPr>
          <w:lang w:eastAsia="en-NZ"/>
        </w:rPr>
        <w:t>of</w:t>
      </w:r>
      <w:r w:rsidR="003D640C">
        <w:rPr>
          <w:lang w:eastAsia="en-NZ"/>
        </w:rPr>
        <w:t xml:space="preserve"> </w:t>
      </w:r>
      <w:r w:rsidRPr="00BB6220">
        <w:rPr>
          <w:lang w:eastAsia="en-NZ"/>
        </w:rPr>
        <w:t>the</w:t>
      </w:r>
      <w:r w:rsidR="003D640C">
        <w:rPr>
          <w:lang w:eastAsia="en-NZ"/>
        </w:rPr>
        <w:t xml:space="preserve"> </w:t>
      </w:r>
      <w:r w:rsidRPr="00BB6220">
        <w:rPr>
          <w:lang w:eastAsia="en-NZ"/>
        </w:rPr>
        <w:t>CPPLA</w:t>
      </w:r>
      <w:r w:rsidR="003D640C">
        <w:rPr>
          <w:lang w:eastAsia="en-NZ"/>
        </w:rPr>
        <w:t xml:space="preserve"> </w:t>
      </w:r>
      <w:r w:rsidR="009D4A3C">
        <w:rPr>
          <w:lang w:eastAsia="en-NZ"/>
        </w:rPr>
        <w:t>in</w:t>
      </w:r>
      <w:r w:rsidR="003D640C">
        <w:rPr>
          <w:lang w:eastAsia="en-NZ"/>
        </w:rPr>
        <w:t xml:space="preserve"> </w:t>
      </w:r>
      <w:r w:rsidR="009D4A3C">
        <w:rPr>
          <w:lang w:eastAsia="en-NZ"/>
        </w:rPr>
        <w:t>2022</w:t>
      </w:r>
      <w:r w:rsidRPr="00BB6220">
        <w:rPr>
          <w:lang w:eastAsia="en-NZ"/>
        </w:rPr>
        <w:t>.</w:t>
      </w:r>
      <w:r w:rsidR="003D640C">
        <w:rPr>
          <w:lang w:eastAsia="en-NZ"/>
        </w:rPr>
        <w:t xml:space="preserve"> </w:t>
      </w:r>
      <w:r w:rsidRPr="00BB6220">
        <w:rPr>
          <w:lang w:eastAsia="en-NZ"/>
        </w:rPr>
        <w:t>We</w:t>
      </w:r>
      <w:r w:rsidR="003D640C">
        <w:rPr>
          <w:lang w:eastAsia="en-NZ"/>
        </w:rPr>
        <w:t xml:space="preserve"> </w:t>
      </w:r>
      <w:r w:rsidRPr="00BB6220">
        <w:rPr>
          <w:lang w:eastAsia="en-NZ"/>
        </w:rPr>
        <w:t>are</w:t>
      </w:r>
      <w:r w:rsidR="003D640C">
        <w:rPr>
          <w:lang w:eastAsia="en-NZ"/>
        </w:rPr>
        <w:t xml:space="preserve"> </w:t>
      </w:r>
      <w:r w:rsidRPr="00BB6220">
        <w:rPr>
          <w:lang w:eastAsia="en-NZ"/>
        </w:rPr>
        <w:t>now</w:t>
      </w:r>
      <w:r w:rsidR="003D640C">
        <w:rPr>
          <w:lang w:eastAsia="en-NZ"/>
        </w:rPr>
        <w:t xml:space="preserve"> </w:t>
      </w:r>
      <w:r w:rsidRPr="00BB6220">
        <w:rPr>
          <w:lang w:eastAsia="en-NZ"/>
        </w:rPr>
        <w:t>starting</w:t>
      </w:r>
      <w:r w:rsidR="003D640C">
        <w:rPr>
          <w:lang w:eastAsia="en-NZ"/>
        </w:rPr>
        <w:t xml:space="preserve"> </w:t>
      </w:r>
      <w:r w:rsidRPr="00BB6220">
        <w:rPr>
          <w:lang w:eastAsia="en-NZ"/>
        </w:rPr>
        <w:t>a</w:t>
      </w:r>
      <w:r w:rsidR="003D640C">
        <w:rPr>
          <w:lang w:eastAsia="en-NZ"/>
        </w:rPr>
        <w:t xml:space="preserve"> </w:t>
      </w:r>
      <w:r w:rsidRPr="00BB6220">
        <w:rPr>
          <w:lang w:eastAsia="en-NZ"/>
        </w:rPr>
        <w:t>journey</w:t>
      </w:r>
      <w:r w:rsidR="003D640C">
        <w:rPr>
          <w:lang w:eastAsia="en-NZ"/>
        </w:rPr>
        <w:t xml:space="preserve"> </w:t>
      </w:r>
      <w:r w:rsidRPr="00BB6220">
        <w:rPr>
          <w:lang w:eastAsia="en-NZ"/>
        </w:rPr>
        <w:t>to</w:t>
      </w:r>
      <w:r w:rsidR="003D640C">
        <w:rPr>
          <w:lang w:eastAsia="en-NZ"/>
        </w:rPr>
        <w:t xml:space="preserve"> </w:t>
      </w:r>
      <w:r w:rsidRPr="00BB6220">
        <w:rPr>
          <w:lang w:eastAsia="en-NZ"/>
        </w:rPr>
        <w:t>build</w:t>
      </w:r>
      <w:r w:rsidR="003D640C">
        <w:rPr>
          <w:lang w:eastAsia="en-NZ"/>
        </w:rPr>
        <w:t xml:space="preserve"> </w:t>
      </w:r>
      <w:r w:rsidRPr="00BB6220">
        <w:rPr>
          <w:lang w:eastAsia="en-NZ"/>
        </w:rPr>
        <w:t>a</w:t>
      </w:r>
      <w:r w:rsidR="003D640C">
        <w:rPr>
          <w:lang w:eastAsia="en-NZ"/>
        </w:rPr>
        <w:t xml:space="preserve"> </w:t>
      </w:r>
      <w:r w:rsidRPr="00BB6220">
        <w:rPr>
          <w:lang w:eastAsia="en-NZ"/>
        </w:rPr>
        <w:t>future</w:t>
      </w:r>
      <w:r w:rsidR="003D640C">
        <w:rPr>
          <w:lang w:eastAsia="en-NZ"/>
        </w:rPr>
        <w:t xml:space="preserve"> </w:t>
      </w:r>
      <w:r w:rsidRPr="00BB6220">
        <w:rPr>
          <w:lang w:eastAsia="en-NZ"/>
        </w:rPr>
        <w:t>where</w:t>
      </w:r>
      <w:r w:rsidR="003D640C">
        <w:rPr>
          <w:lang w:eastAsia="en-NZ"/>
        </w:rPr>
        <w:t xml:space="preserve"> </w:t>
      </w:r>
      <w:r w:rsidRPr="00BB6220">
        <w:rPr>
          <w:lang w:eastAsia="en-NZ"/>
        </w:rPr>
        <w:t>more</w:t>
      </w:r>
      <w:r w:rsidR="003D640C">
        <w:rPr>
          <w:lang w:eastAsia="en-NZ"/>
        </w:rPr>
        <w:t xml:space="preserve"> </w:t>
      </w:r>
      <w:r w:rsidRPr="00BB6220">
        <w:rPr>
          <w:lang w:eastAsia="en-NZ"/>
        </w:rPr>
        <w:t>is</w:t>
      </w:r>
      <w:r w:rsidR="003D640C">
        <w:rPr>
          <w:lang w:eastAsia="en-NZ"/>
        </w:rPr>
        <w:t xml:space="preserve"> </w:t>
      </w:r>
      <w:r w:rsidRPr="00BB6220">
        <w:rPr>
          <w:lang w:eastAsia="en-NZ"/>
        </w:rPr>
        <w:t>understood</w:t>
      </w:r>
      <w:r w:rsidR="003D640C">
        <w:rPr>
          <w:lang w:eastAsia="en-NZ"/>
        </w:rPr>
        <w:t xml:space="preserve"> </w:t>
      </w:r>
      <w:r w:rsidRPr="00BB6220">
        <w:rPr>
          <w:lang w:eastAsia="en-NZ"/>
        </w:rPr>
        <w:t>about</w:t>
      </w:r>
      <w:r w:rsidR="003D640C">
        <w:rPr>
          <w:lang w:eastAsia="en-NZ"/>
        </w:rPr>
        <w:t xml:space="preserve"> </w:t>
      </w:r>
      <w:r w:rsidRPr="00BB6220">
        <w:rPr>
          <w:lang w:eastAsia="en-NZ"/>
        </w:rPr>
        <w:t>the</w:t>
      </w:r>
      <w:r w:rsidR="003D640C">
        <w:rPr>
          <w:lang w:eastAsia="en-NZ"/>
        </w:rPr>
        <w:t xml:space="preserve"> </w:t>
      </w:r>
      <w:r w:rsidRPr="00BB6220">
        <w:rPr>
          <w:lang w:eastAsia="en-NZ"/>
        </w:rPr>
        <w:t>harm</w:t>
      </w:r>
      <w:r w:rsidR="003D640C">
        <w:rPr>
          <w:lang w:eastAsia="en-NZ"/>
        </w:rPr>
        <w:t xml:space="preserve"> </w:t>
      </w:r>
      <w:r w:rsidRPr="00BB6220">
        <w:rPr>
          <w:lang w:eastAsia="en-NZ"/>
        </w:rPr>
        <w:t>caused</w:t>
      </w:r>
      <w:r w:rsidR="003D640C">
        <w:rPr>
          <w:lang w:eastAsia="en-NZ"/>
        </w:rPr>
        <w:t xml:space="preserve"> </w:t>
      </w:r>
      <w:r w:rsidRPr="00BB6220">
        <w:rPr>
          <w:lang w:eastAsia="en-NZ"/>
        </w:rPr>
        <w:t>by</w:t>
      </w:r>
      <w:r w:rsidR="003D640C">
        <w:rPr>
          <w:lang w:eastAsia="en-NZ"/>
        </w:rPr>
        <w:t xml:space="preserve"> </w:t>
      </w:r>
      <w:r w:rsidRPr="00BB6220">
        <w:rPr>
          <w:lang w:eastAsia="en-NZ"/>
        </w:rPr>
        <w:t>conversion</w:t>
      </w:r>
      <w:r w:rsidR="003D640C">
        <w:rPr>
          <w:lang w:eastAsia="en-NZ"/>
        </w:rPr>
        <w:t xml:space="preserve"> </w:t>
      </w:r>
      <w:r w:rsidRPr="00BB6220">
        <w:rPr>
          <w:lang w:eastAsia="en-NZ"/>
        </w:rPr>
        <w:t>practices</w:t>
      </w:r>
      <w:r w:rsidR="003D640C">
        <w:rPr>
          <w:lang w:eastAsia="en-NZ"/>
        </w:rPr>
        <w:t xml:space="preserve"> </w:t>
      </w:r>
      <w:r w:rsidRPr="00BB6220">
        <w:rPr>
          <w:lang w:eastAsia="en-NZ"/>
        </w:rPr>
        <w:t>so</w:t>
      </w:r>
      <w:r w:rsidR="003D640C">
        <w:rPr>
          <w:lang w:eastAsia="en-NZ"/>
        </w:rPr>
        <w:t xml:space="preserve"> </w:t>
      </w:r>
      <w:r w:rsidRPr="00BB6220">
        <w:rPr>
          <w:lang w:eastAsia="en-NZ"/>
        </w:rPr>
        <w:t>communities</w:t>
      </w:r>
      <w:r w:rsidR="003D640C">
        <w:rPr>
          <w:lang w:eastAsia="en-NZ"/>
        </w:rPr>
        <w:t xml:space="preserve"> </w:t>
      </w:r>
      <w:r w:rsidRPr="00BB6220">
        <w:rPr>
          <w:lang w:eastAsia="en-NZ"/>
        </w:rPr>
        <w:t>can</w:t>
      </w:r>
      <w:r w:rsidR="003D640C">
        <w:rPr>
          <w:lang w:eastAsia="en-NZ"/>
        </w:rPr>
        <w:t xml:space="preserve"> </w:t>
      </w:r>
      <w:r w:rsidRPr="00BB6220">
        <w:rPr>
          <w:lang w:eastAsia="en-NZ"/>
        </w:rPr>
        <w:t>eradicate</w:t>
      </w:r>
      <w:r w:rsidR="003D640C">
        <w:rPr>
          <w:lang w:eastAsia="en-NZ"/>
        </w:rPr>
        <w:t xml:space="preserve"> </w:t>
      </w:r>
      <w:r w:rsidRPr="00BB6220">
        <w:rPr>
          <w:lang w:eastAsia="en-NZ"/>
        </w:rPr>
        <w:t>them.</w:t>
      </w:r>
      <w:r w:rsidR="003D640C">
        <w:rPr>
          <w:lang w:eastAsia="en-NZ"/>
        </w:rPr>
        <w:t xml:space="preserve"> </w:t>
      </w:r>
    </w:p>
    <w:p w14:paraId="14D1CF7F" w14:textId="21B3A789" w:rsidR="009D4A3C" w:rsidRDefault="00F81140" w:rsidP="003B176C">
      <w:r>
        <w:t>The</w:t>
      </w:r>
      <w:r w:rsidR="00410E6E">
        <w:t xml:space="preserve"> passing of the</w:t>
      </w:r>
      <w:r w:rsidR="003D640C">
        <w:t xml:space="preserve"> </w:t>
      </w:r>
      <w:r>
        <w:t>CPPLA,</w:t>
      </w:r>
      <w:r w:rsidR="003D640C">
        <w:t xml:space="preserve"> </w:t>
      </w:r>
      <w:r>
        <w:t>however,</w:t>
      </w:r>
      <w:r w:rsidR="003D640C">
        <w:t xml:space="preserve"> </w:t>
      </w:r>
      <w:r>
        <w:t>is</w:t>
      </w:r>
      <w:r w:rsidR="003D640C">
        <w:t xml:space="preserve"> </w:t>
      </w:r>
      <w:r>
        <w:t>not</w:t>
      </w:r>
      <w:r w:rsidR="003D640C">
        <w:t xml:space="preserve"> </w:t>
      </w:r>
      <w:r>
        <w:t>a</w:t>
      </w:r>
      <w:r w:rsidR="003D640C">
        <w:t xml:space="preserve"> </w:t>
      </w:r>
      <w:r>
        <w:t>cause</w:t>
      </w:r>
      <w:r w:rsidR="003D640C">
        <w:t xml:space="preserve"> </w:t>
      </w:r>
      <w:r>
        <w:t>for</w:t>
      </w:r>
      <w:r w:rsidR="003D640C">
        <w:t xml:space="preserve"> </w:t>
      </w:r>
      <w:r>
        <w:t>complacency.</w:t>
      </w:r>
      <w:r w:rsidR="003D640C">
        <w:t xml:space="preserve"> </w:t>
      </w:r>
      <w:r>
        <w:t>S</w:t>
      </w:r>
      <w:r w:rsidR="00155610">
        <w:t>urvivors</w:t>
      </w:r>
      <w:r w:rsidR="003D640C">
        <w:t xml:space="preserve"> </w:t>
      </w:r>
      <w:r w:rsidR="00155610">
        <w:t>have</w:t>
      </w:r>
      <w:r w:rsidR="003D640C">
        <w:t xml:space="preserve"> </w:t>
      </w:r>
      <w:r w:rsidR="00155610">
        <w:t>pointed</w:t>
      </w:r>
      <w:r w:rsidR="003D640C">
        <w:t xml:space="preserve"> </w:t>
      </w:r>
      <w:r w:rsidR="00155610">
        <w:t>out</w:t>
      </w:r>
      <w:r w:rsidR="003D640C">
        <w:t xml:space="preserve"> </w:t>
      </w:r>
      <w:r w:rsidR="00FA5117">
        <w:t>various</w:t>
      </w:r>
      <w:r w:rsidR="003D640C">
        <w:t xml:space="preserve"> </w:t>
      </w:r>
      <w:r w:rsidR="00FA5117">
        <w:t>areas</w:t>
      </w:r>
      <w:r w:rsidR="003D640C">
        <w:t xml:space="preserve"> </w:t>
      </w:r>
      <w:r w:rsidR="00FA5117">
        <w:t>where</w:t>
      </w:r>
      <w:r w:rsidR="003D640C">
        <w:t xml:space="preserve"> </w:t>
      </w:r>
      <w:r w:rsidR="00FA5117">
        <w:t>the</w:t>
      </w:r>
      <w:r w:rsidR="003D640C">
        <w:t xml:space="preserve"> </w:t>
      </w:r>
      <w:r w:rsidR="009A627C">
        <w:t>CPPLA</w:t>
      </w:r>
      <w:r w:rsidR="003D640C">
        <w:t xml:space="preserve"> </w:t>
      </w:r>
      <w:r w:rsidR="009A627C">
        <w:t>could</w:t>
      </w:r>
      <w:r w:rsidR="003D640C">
        <w:t xml:space="preserve"> </w:t>
      </w:r>
      <w:r w:rsidR="007448C6">
        <w:t>offer</w:t>
      </w:r>
      <w:r w:rsidR="003D640C">
        <w:t xml:space="preserve"> </w:t>
      </w:r>
      <w:r w:rsidR="009A627C">
        <w:t>better</w:t>
      </w:r>
      <w:r w:rsidR="003D640C">
        <w:t xml:space="preserve"> </w:t>
      </w:r>
      <w:r w:rsidR="009A627C">
        <w:t>protect</w:t>
      </w:r>
      <w:r w:rsidR="007448C6">
        <w:t>ion</w:t>
      </w:r>
      <w:r w:rsidR="00410E6E">
        <w:t>.</w:t>
      </w:r>
      <w:r w:rsidR="003D640C">
        <w:t xml:space="preserve"> </w:t>
      </w:r>
      <w:r w:rsidR="00410E6E">
        <w:t>T</w:t>
      </w:r>
      <w:r w:rsidR="009D4A3C">
        <w:t>here</w:t>
      </w:r>
      <w:r w:rsidR="003D640C">
        <w:t xml:space="preserve"> </w:t>
      </w:r>
      <w:r w:rsidR="009D4A3C">
        <w:t>are</w:t>
      </w:r>
      <w:r w:rsidR="003D640C">
        <w:t xml:space="preserve"> </w:t>
      </w:r>
      <w:r w:rsidR="009D4A3C">
        <w:t>no</w:t>
      </w:r>
      <w:r w:rsidR="003D640C">
        <w:t xml:space="preserve"> </w:t>
      </w:r>
      <w:r w:rsidR="009D4A3C">
        <w:t>references</w:t>
      </w:r>
      <w:r w:rsidR="003D640C">
        <w:t xml:space="preserve"> </w:t>
      </w:r>
      <w:r w:rsidR="009D4A3C">
        <w:t>to</w:t>
      </w:r>
      <w:r w:rsidR="003D640C">
        <w:t xml:space="preserve"> </w:t>
      </w:r>
      <w:r w:rsidR="009D4A3C">
        <w:t>medical</w:t>
      </w:r>
      <w:r w:rsidR="003D640C">
        <w:t xml:space="preserve"> </w:t>
      </w:r>
      <w:r w:rsidR="009D4A3C">
        <w:t>practices</w:t>
      </w:r>
      <w:r w:rsidR="003D640C">
        <w:t xml:space="preserve"> </w:t>
      </w:r>
      <w:r w:rsidR="009D4A3C">
        <w:t>that</w:t>
      </w:r>
      <w:r w:rsidR="003D640C">
        <w:t xml:space="preserve"> </w:t>
      </w:r>
      <w:r w:rsidR="009D4A3C">
        <w:t>could</w:t>
      </w:r>
      <w:r w:rsidR="003D640C">
        <w:t xml:space="preserve"> </w:t>
      </w:r>
      <w:r w:rsidR="009D4A3C">
        <w:t>be</w:t>
      </w:r>
      <w:r w:rsidR="003D640C">
        <w:t xml:space="preserve"> </w:t>
      </w:r>
      <w:r w:rsidR="009D4A3C">
        <w:t>deferred</w:t>
      </w:r>
      <w:r w:rsidR="003D640C">
        <w:t xml:space="preserve"> </w:t>
      </w:r>
      <w:r w:rsidR="00684623">
        <w:t>but</w:t>
      </w:r>
      <w:r w:rsidR="003D640C">
        <w:t xml:space="preserve"> </w:t>
      </w:r>
      <w:r w:rsidR="00684623">
        <w:t>are</w:t>
      </w:r>
      <w:r w:rsidR="003D640C">
        <w:t xml:space="preserve"> </w:t>
      </w:r>
      <w:r w:rsidR="009D4A3C">
        <w:t>performed</w:t>
      </w:r>
      <w:r w:rsidR="003D640C">
        <w:t xml:space="preserve"> </w:t>
      </w:r>
      <w:r w:rsidR="009D4A3C">
        <w:t>on</w:t>
      </w:r>
      <w:r w:rsidR="003D640C">
        <w:t xml:space="preserve"> </w:t>
      </w:r>
      <w:r w:rsidR="009D4A3C">
        <w:t>intersex</w:t>
      </w:r>
      <w:r w:rsidR="003D640C">
        <w:t xml:space="preserve"> </w:t>
      </w:r>
      <w:r w:rsidR="009D4A3C">
        <w:t>people</w:t>
      </w:r>
      <w:r w:rsidR="003D640C">
        <w:t xml:space="preserve"> </w:t>
      </w:r>
      <w:r w:rsidR="009D4A3C">
        <w:t>before</w:t>
      </w:r>
      <w:r w:rsidR="003D640C">
        <w:t xml:space="preserve"> </w:t>
      </w:r>
      <w:r w:rsidR="009D4A3C">
        <w:t>they</w:t>
      </w:r>
      <w:r w:rsidR="003D640C">
        <w:t xml:space="preserve"> </w:t>
      </w:r>
      <w:r w:rsidR="009D4A3C">
        <w:t>can</w:t>
      </w:r>
      <w:r w:rsidR="003D640C">
        <w:t xml:space="preserve"> </w:t>
      </w:r>
      <w:r w:rsidR="009D4A3C">
        <w:t>legally</w:t>
      </w:r>
      <w:r w:rsidR="003D640C">
        <w:t xml:space="preserve"> </w:t>
      </w:r>
      <w:r w:rsidR="009D4A3C">
        <w:t>consent</w:t>
      </w:r>
      <w:r w:rsidR="00410E6E">
        <w:t>,</w:t>
      </w:r>
      <w:r w:rsidR="003D640C">
        <w:t xml:space="preserve"> </w:t>
      </w:r>
      <w:r w:rsidR="009D4A3C">
        <w:t>its</w:t>
      </w:r>
      <w:r w:rsidR="003D640C">
        <w:t xml:space="preserve"> </w:t>
      </w:r>
      <w:r w:rsidR="009D4A3C">
        <w:t>protections</w:t>
      </w:r>
      <w:r w:rsidR="003D640C">
        <w:t xml:space="preserve"> </w:t>
      </w:r>
      <w:r w:rsidR="009D4A3C">
        <w:t>are</w:t>
      </w:r>
      <w:r w:rsidR="003D640C">
        <w:t xml:space="preserve"> </w:t>
      </w:r>
      <w:r w:rsidR="009D4A3C">
        <w:t>limited</w:t>
      </w:r>
      <w:r w:rsidR="003D640C">
        <w:t xml:space="preserve"> </w:t>
      </w:r>
      <w:r w:rsidR="009D4A3C">
        <w:t>by</w:t>
      </w:r>
      <w:r w:rsidR="003D640C">
        <w:t xml:space="preserve"> </w:t>
      </w:r>
      <w:r w:rsidR="009D4A3C">
        <w:t>age</w:t>
      </w:r>
      <w:r w:rsidR="003D640C">
        <w:t xml:space="preserve"> </w:t>
      </w:r>
      <w:r w:rsidR="009D4A3C">
        <w:t>and</w:t>
      </w:r>
      <w:r w:rsidR="003D640C">
        <w:t xml:space="preserve"> </w:t>
      </w:r>
      <w:r w:rsidR="009D4A3C">
        <w:t>do</w:t>
      </w:r>
      <w:r w:rsidR="003D640C">
        <w:t xml:space="preserve"> </w:t>
      </w:r>
      <w:r w:rsidR="009D4A3C">
        <w:t>not</w:t>
      </w:r>
      <w:r w:rsidR="003D640C">
        <w:t xml:space="preserve"> </w:t>
      </w:r>
      <w:r w:rsidR="009D4A3C">
        <w:t>apply</w:t>
      </w:r>
      <w:r w:rsidR="003D640C">
        <w:t xml:space="preserve"> </w:t>
      </w:r>
      <w:r w:rsidR="009D4A3C">
        <w:t>universally</w:t>
      </w:r>
      <w:r w:rsidR="00410E6E">
        <w:t>,</w:t>
      </w:r>
      <w:r w:rsidR="003D640C">
        <w:t xml:space="preserve"> </w:t>
      </w:r>
      <w:r w:rsidR="009D4A3C">
        <w:t>and</w:t>
      </w:r>
      <w:r w:rsidR="003D640C">
        <w:t xml:space="preserve"> </w:t>
      </w:r>
      <w:r w:rsidR="00BA4FB9">
        <w:t>Attorney</w:t>
      </w:r>
      <w:r w:rsidR="002855CA">
        <w:t>-</w:t>
      </w:r>
      <w:r w:rsidR="00BA4FB9">
        <w:t>General</w:t>
      </w:r>
      <w:r w:rsidR="003D640C">
        <w:t xml:space="preserve"> </w:t>
      </w:r>
      <w:r w:rsidR="009D4A3C">
        <w:t>consent</w:t>
      </w:r>
      <w:r w:rsidR="003D640C">
        <w:t xml:space="preserve"> </w:t>
      </w:r>
      <w:r w:rsidR="009D4A3C">
        <w:t>is</w:t>
      </w:r>
      <w:r w:rsidR="003D640C">
        <w:t xml:space="preserve"> </w:t>
      </w:r>
      <w:r w:rsidR="009D4A3C">
        <w:t>required</w:t>
      </w:r>
      <w:r w:rsidR="003D640C">
        <w:t xml:space="preserve"> </w:t>
      </w:r>
      <w:r w:rsidR="009D4A3C">
        <w:t>for</w:t>
      </w:r>
      <w:r w:rsidR="003D640C">
        <w:t xml:space="preserve"> </w:t>
      </w:r>
      <w:r w:rsidR="009D4A3C">
        <w:t>prosecutions.</w:t>
      </w:r>
      <w:r w:rsidR="003D640C">
        <w:t xml:space="preserve"> </w:t>
      </w:r>
      <w:r w:rsidR="009D4A3C">
        <w:t>A</w:t>
      </w:r>
      <w:r w:rsidR="003D640C">
        <w:t xml:space="preserve"> </w:t>
      </w:r>
      <w:r w:rsidR="009D4A3C">
        <w:t>ban</w:t>
      </w:r>
      <w:r w:rsidR="003D640C">
        <w:t xml:space="preserve"> </w:t>
      </w:r>
      <w:r w:rsidR="009D4A3C">
        <w:t>on</w:t>
      </w:r>
      <w:r w:rsidR="003D640C">
        <w:t xml:space="preserve"> </w:t>
      </w:r>
      <w:r w:rsidR="009D4A3C">
        <w:t>r</w:t>
      </w:r>
      <w:r w:rsidR="009D4A3C" w:rsidRPr="00BB6220">
        <w:t>emoving</w:t>
      </w:r>
      <w:r w:rsidR="003D640C">
        <w:t xml:space="preserve"> </w:t>
      </w:r>
      <w:r w:rsidR="009D4A3C" w:rsidRPr="00BB6220">
        <w:t>a</w:t>
      </w:r>
      <w:r w:rsidR="003D640C">
        <w:t xml:space="preserve"> </w:t>
      </w:r>
      <w:r w:rsidR="009D4A3C" w:rsidRPr="00BB6220">
        <w:t>person</w:t>
      </w:r>
      <w:r w:rsidR="003D640C">
        <w:t xml:space="preserve"> </w:t>
      </w:r>
      <w:r w:rsidR="009D4A3C" w:rsidRPr="00BB6220">
        <w:t>from</w:t>
      </w:r>
      <w:r w:rsidR="003D640C">
        <w:t xml:space="preserve"> </w:t>
      </w:r>
      <w:r w:rsidR="009D4A3C">
        <w:t>Aotearoa</w:t>
      </w:r>
      <w:r w:rsidR="003D640C">
        <w:t xml:space="preserve"> </w:t>
      </w:r>
      <w:r w:rsidR="009D4A3C" w:rsidRPr="00BB6220">
        <w:t>for</w:t>
      </w:r>
      <w:r w:rsidR="003D640C">
        <w:t xml:space="preserve"> </w:t>
      </w:r>
      <w:r w:rsidR="009D4A3C" w:rsidRPr="00BB6220">
        <w:t>conversion</w:t>
      </w:r>
      <w:r w:rsidR="003D640C">
        <w:t xml:space="preserve"> </w:t>
      </w:r>
      <w:r w:rsidR="009D4A3C" w:rsidRPr="00BB6220">
        <w:t>practices</w:t>
      </w:r>
      <w:r w:rsidR="003D640C">
        <w:t xml:space="preserve"> </w:t>
      </w:r>
      <w:r w:rsidR="009D4A3C">
        <w:t>could</w:t>
      </w:r>
      <w:r w:rsidR="003D640C">
        <w:t xml:space="preserve"> </w:t>
      </w:r>
      <w:r w:rsidR="009D4A3C">
        <w:t>also</w:t>
      </w:r>
      <w:r w:rsidR="003D640C">
        <w:t xml:space="preserve"> </w:t>
      </w:r>
      <w:r w:rsidR="009D4A3C">
        <w:t>be</w:t>
      </w:r>
      <w:r w:rsidR="003D640C">
        <w:t xml:space="preserve"> </w:t>
      </w:r>
      <w:r w:rsidR="009D4A3C">
        <w:t>explored.</w:t>
      </w:r>
      <w:r w:rsidR="003D640C">
        <w:t xml:space="preserve"> </w:t>
      </w:r>
      <w:r w:rsidR="009D4A3C">
        <w:t>Such</w:t>
      </w:r>
      <w:r w:rsidR="003D640C">
        <w:t xml:space="preserve"> </w:t>
      </w:r>
      <w:r w:rsidR="009D4A3C">
        <w:t>a</w:t>
      </w:r>
      <w:r w:rsidR="003D640C">
        <w:t xml:space="preserve"> </w:t>
      </w:r>
      <w:r w:rsidR="009D4A3C">
        <w:t>ban</w:t>
      </w:r>
      <w:r w:rsidR="003D640C">
        <w:t xml:space="preserve"> </w:t>
      </w:r>
      <w:r w:rsidR="009D4A3C" w:rsidRPr="00BB6220">
        <w:t>would</w:t>
      </w:r>
      <w:r w:rsidR="003D640C">
        <w:t xml:space="preserve"> </w:t>
      </w:r>
      <w:r w:rsidR="009D4A3C" w:rsidRPr="00BB6220">
        <w:t>clarify</w:t>
      </w:r>
      <w:r w:rsidR="003D640C">
        <w:t xml:space="preserve"> </w:t>
      </w:r>
      <w:r w:rsidR="009D4A3C" w:rsidRPr="00BB6220">
        <w:t>that</w:t>
      </w:r>
      <w:r w:rsidR="003D640C">
        <w:t xml:space="preserve"> </w:t>
      </w:r>
      <w:r w:rsidR="009D4A3C" w:rsidRPr="00BB6220">
        <w:t>it</w:t>
      </w:r>
      <w:r w:rsidR="003D640C">
        <w:t xml:space="preserve"> </w:t>
      </w:r>
      <w:r w:rsidR="009D4A3C" w:rsidRPr="00BB6220">
        <w:t>would</w:t>
      </w:r>
      <w:r w:rsidR="003D640C">
        <w:t xml:space="preserve"> </w:t>
      </w:r>
      <w:r w:rsidR="009D4A3C" w:rsidRPr="00BB6220">
        <w:t>be</w:t>
      </w:r>
      <w:r w:rsidR="003D640C">
        <w:t xml:space="preserve"> </w:t>
      </w:r>
      <w:r w:rsidR="009D4A3C" w:rsidRPr="00BB6220">
        <w:t>illegal</w:t>
      </w:r>
      <w:r w:rsidR="003D640C">
        <w:t xml:space="preserve"> </w:t>
      </w:r>
      <w:r w:rsidR="009D4A3C" w:rsidRPr="00BB6220">
        <w:t>to</w:t>
      </w:r>
      <w:r w:rsidR="003D640C">
        <w:t xml:space="preserve"> </w:t>
      </w:r>
      <w:r w:rsidR="004E2E93">
        <w:t>travel</w:t>
      </w:r>
      <w:r w:rsidR="003D640C">
        <w:t xml:space="preserve"> </w:t>
      </w:r>
      <w:r w:rsidR="004E2E93">
        <w:t>to</w:t>
      </w:r>
      <w:r w:rsidR="003D640C">
        <w:t xml:space="preserve"> </w:t>
      </w:r>
      <w:r w:rsidR="004E2E93">
        <w:t>another</w:t>
      </w:r>
      <w:r w:rsidR="003D640C">
        <w:t xml:space="preserve"> </w:t>
      </w:r>
      <w:r w:rsidR="004E2E93">
        <w:t>country</w:t>
      </w:r>
      <w:r w:rsidR="003D640C">
        <w:t xml:space="preserve"> </w:t>
      </w:r>
      <w:r w:rsidR="004E2E93">
        <w:t>to</w:t>
      </w:r>
      <w:r w:rsidR="003D640C">
        <w:t xml:space="preserve"> </w:t>
      </w:r>
      <w:r w:rsidR="009D4A3C" w:rsidRPr="00BB6220">
        <w:t>procure</w:t>
      </w:r>
      <w:r w:rsidR="003D640C">
        <w:t xml:space="preserve"> </w:t>
      </w:r>
      <w:r w:rsidR="009D4A3C" w:rsidRPr="00BB6220">
        <w:t>practices</w:t>
      </w:r>
      <w:r w:rsidR="003D640C">
        <w:t xml:space="preserve"> </w:t>
      </w:r>
      <w:r w:rsidR="009D4A3C" w:rsidRPr="00BB6220">
        <w:t>that</w:t>
      </w:r>
      <w:r w:rsidR="003D640C">
        <w:t xml:space="preserve"> </w:t>
      </w:r>
      <w:r w:rsidR="009D4A3C" w:rsidRPr="00BB6220">
        <w:t>would</w:t>
      </w:r>
      <w:r w:rsidR="003D640C">
        <w:t xml:space="preserve"> </w:t>
      </w:r>
      <w:r w:rsidR="009D4A3C" w:rsidRPr="00BB6220">
        <w:t>be</w:t>
      </w:r>
      <w:r w:rsidR="003D640C">
        <w:t xml:space="preserve"> </w:t>
      </w:r>
      <w:r w:rsidR="009D4A3C" w:rsidRPr="00BB6220">
        <w:t>illegal</w:t>
      </w:r>
      <w:r w:rsidR="003D640C">
        <w:t xml:space="preserve"> </w:t>
      </w:r>
      <w:r w:rsidR="009D4A3C" w:rsidRPr="00BB6220">
        <w:t>to</w:t>
      </w:r>
      <w:r w:rsidR="003D640C">
        <w:t xml:space="preserve"> </w:t>
      </w:r>
      <w:r w:rsidR="009D4A3C" w:rsidRPr="00BB6220">
        <w:t>procure</w:t>
      </w:r>
      <w:r w:rsidR="003D640C">
        <w:t xml:space="preserve"> </w:t>
      </w:r>
      <w:r w:rsidR="009D4A3C" w:rsidRPr="00BB6220">
        <w:t>in</w:t>
      </w:r>
      <w:r w:rsidR="003D640C">
        <w:t xml:space="preserve"> </w:t>
      </w:r>
      <w:r w:rsidR="009D4A3C" w:rsidRPr="00BB6220">
        <w:t>New</w:t>
      </w:r>
      <w:r w:rsidR="003D640C">
        <w:t xml:space="preserve"> </w:t>
      </w:r>
      <w:r w:rsidR="009D4A3C" w:rsidRPr="00BB6220">
        <w:t>Zealand.</w:t>
      </w:r>
    </w:p>
    <w:p w14:paraId="29B05036" w14:textId="1EE2CB9C" w:rsidR="00501068" w:rsidRDefault="00B34503" w:rsidP="003B176C">
      <w:pPr>
        <w:rPr>
          <w:lang w:eastAsia="en-NZ"/>
        </w:rPr>
      </w:pPr>
      <w:r>
        <w:rPr>
          <w:lang w:eastAsia="en-NZ"/>
        </w:rPr>
        <w:t>Through</w:t>
      </w:r>
      <w:r w:rsidR="003D640C">
        <w:rPr>
          <w:lang w:eastAsia="en-NZ"/>
        </w:rPr>
        <w:t xml:space="preserve"> </w:t>
      </w:r>
      <w:r>
        <w:rPr>
          <w:lang w:eastAsia="en-NZ"/>
        </w:rPr>
        <w:t>our</w:t>
      </w:r>
      <w:r w:rsidR="003D640C">
        <w:rPr>
          <w:lang w:eastAsia="en-NZ"/>
        </w:rPr>
        <w:t xml:space="preserve"> </w:t>
      </w:r>
      <w:r>
        <w:rPr>
          <w:lang w:eastAsia="en-NZ"/>
        </w:rPr>
        <w:t>CPPLA</w:t>
      </w:r>
      <w:r w:rsidR="003D640C">
        <w:rPr>
          <w:lang w:eastAsia="en-NZ"/>
        </w:rPr>
        <w:t xml:space="preserve"> </w:t>
      </w:r>
      <w:r>
        <w:rPr>
          <w:lang w:eastAsia="en-NZ"/>
        </w:rPr>
        <w:t>response</w:t>
      </w:r>
      <w:r w:rsidR="003D640C">
        <w:rPr>
          <w:lang w:eastAsia="en-NZ"/>
        </w:rPr>
        <w:t xml:space="preserve"> </w:t>
      </w:r>
      <w:r>
        <w:rPr>
          <w:lang w:eastAsia="en-NZ"/>
        </w:rPr>
        <w:t>work</w:t>
      </w:r>
      <w:r w:rsidR="003D640C">
        <w:rPr>
          <w:lang w:eastAsia="en-NZ"/>
        </w:rPr>
        <w:t xml:space="preserve"> </w:t>
      </w:r>
      <w:r>
        <w:rPr>
          <w:lang w:eastAsia="en-NZ"/>
        </w:rPr>
        <w:t>and</w:t>
      </w:r>
      <w:r w:rsidR="003D640C">
        <w:rPr>
          <w:lang w:eastAsia="en-NZ"/>
        </w:rPr>
        <w:t xml:space="preserve"> </w:t>
      </w:r>
      <w:r>
        <w:rPr>
          <w:lang w:eastAsia="en-NZ"/>
        </w:rPr>
        <w:t>in</w:t>
      </w:r>
      <w:r w:rsidR="003D640C">
        <w:rPr>
          <w:lang w:eastAsia="en-NZ"/>
        </w:rPr>
        <w:t xml:space="preserve"> </w:t>
      </w:r>
      <w:r>
        <w:rPr>
          <w:lang w:eastAsia="en-NZ"/>
        </w:rPr>
        <w:t>putting</w:t>
      </w:r>
      <w:r w:rsidR="003D640C">
        <w:rPr>
          <w:lang w:eastAsia="en-NZ"/>
        </w:rPr>
        <w:t xml:space="preserve"> </w:t>
      </w:r>
      <w:r>
        <w:rPr>
          <w:lang w:eastAsia="en-NZ"/>
        </w:rPr>
        <w:t>together</w:t>
      </w:r>
      <w:r w:rsidR="003D640C">
        <w:rPr>
          <w:lang w:eastAsia="en-NZ"/>
        </w:rPr>
        <w:t xml:space="preserve"> </w:t>
      </w:r>
      <w:r>
        <w:rPr>
          <w:lang w:eastAsia="en-NZ"/>
        </w:rPr>
        <w:t>this</w:t>
      </w:r>
      <w:r w:rsidR="003D640C">
        <w:rPr>
          <w:lang w:eastAsia="en-NZ"/>
        </w:rPr>
        <w:t xml:space="preserve"> </w:t>
      </w:r>
      <w:r>
        <w:rPr>
          <w:lang w:eastAsia="en-NZ"/>
        </w:rPr>
        <w:t>report,</w:t>
      </w:r>
      <w:r w:rsidR="003D640C">
        <w:rPr>
          <w:lang w:eastAsia="en-NZ"/>
        </w:rPr>
        <w:t xml:space="preserve"> </w:t>
      </w:r>
      <w:r>
        <w:rPr>
          <w:lang w:eastAsia="en-NZ"/>
        </w:rPr>
        <w:t>we</w:t>
      </w:r>
      <w:r w:rsidR="003D640C">
        <w:rPr>
          <w:lang w:eastAsia="en-NZ"/>
        </w:rPr>
        <w:t xml:space="preserve"> </w:t>
      </w:r>
      <w:r>
        <w:rPr>
          <w:lang w:eastAsia="en-NZ"/>
        </w:rPr>
        <w:t>have</w:t>
      </w:r>
      <w:r w:rsidR="003D640C">
        <w:rPr>
          <w:lang w:eastAsia="en-NZ"/>
        </w:rPr>
        <w:t xml:space="preserve"> </w:t>
      </w:r>
      <w:r>
        <w:rPr>
          <w:lang w:eastAsia="en-NZ"/>
        </w:rPr>
        <w:t>identified</w:t>
      </w:r>
      <w:r w:rsidR="003D640C">
        <w:rPr>
          <w:lang w:eastAsia="en-NZ"/>
        </w:rPr>
        <w:t xml:space="preserve"> </w:t>
      </w:r>
      <w:r>
        <w:rPr>
          <w:lang w:eastAsia="en-NZ"/>
        </w:rPr>
        <w:t>that</w:t>
      </w:r>
      <w:r w:rsidR="003D640C">
        <w:rPr>
          <w:lang w:eastAsia="en-NZ"/>
        </w:rPr>
        <w:t xml:space="preserve"> </w:t>
      </w:r>
      <w:r w:rsidR="001E3C26">
        <w:rPr>
          <w:lang w:eastAsia="en-NZ"/>
        </w:rPr>
        <w:t>a</w:t>
      </w:r>
      <w:r w:rsidR="003D640C">
        <w:rPr>
          <w:lang w:eastAsia="en-NZ"/>
        </w:rPr>
        <w:t xml:space="preserve"> </w:t>
      </w:r>
      <w:r w:rsidR="001E3C26">
        <w:rPr>
          <w:lang w:eastAsia="en-NZ"/>
        </w:rPr>
        <w:t>multifaceted</w:t>
      </w:r>
      <w:r w:rsidR="003D640C">
        <w:rPr>
          <w:lang w:eastAsia="en-NZ"/>
        </w:rPr>
        <w:t xml:space="preserve"> </w:t>
      </w:r>
      <w:r w:rsidR="001E3C26">
        <w:rPr>
          <w:lang w:eastAsia="en-NZ"/>
        </w:rPr>
        <w:t>approach</w:t>
      </w:r>
      <w:r w:rsidR="003D640C">
        <w:rPr>
          <w:lang w:eastAsia="en-NZ"/>
        </w:rPr>
        <w:t xml:space="preserve"> </w:t>
      </w:r>
      <w:r w:rsidRPr="00BB6220">
        <w:rPr>
          <w:lang w:eastAsia="en-NZ"/>
        </w:rPr>
        <w:t>is</w:t>
      </w:r>
      <w:r w:rsidR="003D640C">
        <w:rPr>
          <w:lang w:eastAsia="en-NZ"/>
        </w:rPr>
        <w:t xml:space="preserve"> </w:t>
      </w:r>
      <w:r w:rsidRPr="00BB6220">
        <w:rPr>
          <w:lang w:eastAsia="en-NZ"/>
        </w:rPr>
        <w:t>still</w:t>
      </w:r>
      <w:r w:rsidR="003D640C">
        <w:rPr>
          <w:lang w:eastAsia="en-NZ"/>
        </w:rPr>
        <w:t xml:space="preserve"> </w:t>
      </w:r>
      <w:r w:rsidRPr="00BB6220">
        <w:rPr>
          <w:lang w:eastAsia="en-NZ"/>
        </w:rPr>
        <w:t>needed</w:t>
      </w:r>
      <w:r w:rsidR="003D640C">
        <w:rPr>
          <w:lang w:eastAsia="en-NZ"/>
        </w:rPr>
        <w:t xml:space="preserve"> </w:t>
      </w:r>
      <w:r w:rsidRPr="00BB6220">
        <w:rPr>
          <w:lang w:eastAsia="en-NZ"/>
        </w:rPr>
        <w:t>to</w:t>
      </w:r>
      <w:r w:rsidR="003D640C">
        <w:rPr>
          <w:lang w:eastAsia="en-NZ"/>
        </w:rPr>
        <w:t xml:space="preserve"> </w:t>
      </w:r>
      <w:r>
        <w:rPr>
          <w:lang w:eastAsia="en-NZ"/>
        </w:rPr>
        <w:t>ensure</w:t>
      </w:r>
      <w:r w:rsidR="003D640C">
        <w:rPr>
          <w:lang w:eastAsia="en-NZ"/>
        </w:rPr>
        <w:t xml:space="preserve"> </w:t>
      </w:r>
      <w:r w:rsidRPr="00BB6220">
        <w:rPr>
          <w:lang w:eastAsia="en-NZ"/>
        </w:rPr>
        <w:t>the</w:t>
      </w:r>
      <w:r w:rsidR="003D640C">
        <w:rPr>
          <w:lang w:eastAsia="en-NZ"/>
        </w:rPr>
        <w:t xml:space="preserve"> </w:t>
      </w:r>
      <w:r w:rsidRPr="00BB6220">
        <w:rPr>
          <w:lang w:eastAsia="en-NZ"/>
        </w:rPr>
        <w:t>safety</w:t>
      </w:r>
      <w:r w:rsidR="003D640C">
        <w:rPr>
          <w:lang w:eastAsia="en-NZ"/>
        </w:rPr>
        <w:t xml:space="preserve"> </w:t>
      </w:r>
      <w:r w:rsidRPr="00BB6220">
        <w:rPr>
          <w:lang w:eastAsia="en-NZ"/>
        </w:rPr>
        <w:t>and</w:t>
      </w:r>
      <w:r w:rsidR="003D640C">
        <w:rPr>
          <w:lang w:eastAsia="en-NZ"/>
        </w:rPr>
        <w:t xml:space="preserve"> </w:t>
      </w:r>
      <w:r w:rsidRPr="00BB6220">
        <w:rPr>
          <w:lang w:eastAsia="en-NZ"/>
        </w:rPr>
        <w:t>equal</w:t>
      </w:r>
      <w:r w:rsidR="003D640C">
        <w:rPr>
          <w:lang w:eastAsia="en-NZ"/>
        </w:rPr>
        <w:t xml:space="preserve"> </w:t>
      </w:r>
      <w:r w:rsidRPr="00BB6220">
        <w:rPr>
          <w:lang w:eastAsia="en-NZ"/>
        </w:rPr>
        <w:t>rights</w:t>
      </w:r>
      <w:r w:rsidR="003D640C">
        <w:rPr>
          <w:lang w:eastAsia="en-NZ"/>
        </w:rPr>
        <w:t xml:space="preserve"> </w:t>
      </w:r>
      <w:r w:rsidRPr="00BB6220">
        <w:rPr>
          <w:lang w:eastAsia="en-NZ"/>
        </w:rPr>
        <w:t>of</w:t>
      </w:r>
      <w:r w:rsidR="003D640C">
        <w:rPr>
          <w:lang w:eastAsia="en-NZ"/>
        </w:rPr>
        <w:t xml:space="preserve"> </w:t>
      </w:r>
      <w:r w:rsidRPr="00BB6220">
        <w:rPr>
          <w:lang w:eastAsia="en-NZ"/>
        </w:rPr>
        <w:t>Rainbow</w:t>
      </w:r>
      <w:r w:rsidR="003D640C">
        <w:rPr>
          <w:lang w:eastAsia="en-NZ"/>
        </w:rPr>
        <w:t xml:space="preserve"> </w:t>
      </w:r>
      <w:r w:rsidRPr="00BB6220">
        <w:rPr>
          <w:lang w:eastAsia="en-NZ"/>
        </w:rPr>
        <w:t>people</w:t>
      </w:r>
      <w:r>
        <w:rPr>
          <w:lang w:eastAsia="en-NZ"/>
        </w:rPr>
        <w:t>,</w:t>
      </w:r>
      <w:r w:rsidR="003D640C">
        <w:rPr>
          <w:lang w:eastAsia="en-NZ"/>
        </w:rPr>
        <w:t xml:space="preserve"> </w:t>
      </w:r>
      <w:r>
        <w:rPr>
          <w:lang w:eastAsia="en-NZ"/>
        </w:rPr>
        <w:t>particularly</w:t>
      </w:r>
      <w:r w:rsidR="003D640C">
        <w:rPr>
          <w:lang w:eastAsia="en-NZ"/>
        </w:rPr>
        <w:t xml:space="preserve"> </w:t>
      </w:r>
      <w:r w:rsidRPr="00BB6220">
        <w:rPr>
          <w:lang w:eastAsia="en-NZ"/>
        </w:rPr>
        <w:t>in</w:t>
      </w:r>
      <w:r w:rsidR="003D640C">
        <w:rPr>
          <w:lang w:eastAsia="en-NZ"/>
        </w:rPr>
        <w:t xml:space="preserve"> </w:t>
      </w:r>
      <w:r w:rsidRPr="00BB6220">
        <w:rPr>
          <w:lang w:eastAsia="en-NZ"/>
        </w:rPr>
        <w:t>health,</w:t>
      </w:r>
      <w:r w:rsidR="003D640C">
        <w:rPr>
          <w:lang w:eastAsia="en-NZ"/>
        </w:rPr>
        <w:t xml:space="preserve"> </w:t>
      </w:r>
      <w:r w:rsidRPr="00BB6220">
        <w:rPr>
          <w:lang w:eastAsia="en-NZ"/>
        </w:rPr>
        <w:t>education</w:t>
      </w:r>
      <w:r w:rsidR="006E5539">
        <w:rPr>
          <w:lang w:eastAsia="en-NZ"/>
        </w:rPr>
        <w:t>,</w:t>
      </w:r>
      <w:r w:rsidR="003D640C">
        <w:rPr>
          <w:lang w:eastAsia="en-NZ"/>
        </w:rPr>
        <w:t xml:space="preserve"> </w:t>
      </w:r>
      <w:r>
        <w:rPr>
          <w:lang w:eastAsia="en-NZ"/>
        </w:rPr>
        <w:t>and</w:t>
      </w:r>
      <w:r w:rsidR="003D640C">
        <w:rPr>
          <w:lang w:eastAsia="en-NZ"/>
        </w:rPr>
        <w:t xml:space="preserve"> </w:t>
      </w:r>
      <w:r>
        <w:rPr>
          <w:lang w:eastAsia="en-NZ"/>
        </w:rPr>
        <w:t>employment.</w:t>
      </w:r>
      <w:r w:rsidR="003D640C">
        <w:rPr>
          <w:lang w:eastAsia="en-NZ"/>
        </w:rPr>
        <w:t xml:space="preserve"> </w:t>
      </w:r>
      <w:r>
        <w:rPr>
          <w:lang w:eastAsia="en-NZ"/>
        </w:rPr>
        <w:t>Rainbow</w:t>
      </w:r>
      <w:r w:rsidR="003D640C">
        <w:rPr>
          <w:lang w:eastAsia="en-NZ"/>
        </w:rPr>
        <w:t xml:space="preserve"> </w:t>
      </w:r>
      <w:r>
        <w:rPr>
          <w:lang w:eastAsia="en-NZ"/>
        </w:rPr>
        <w:t>people</w:t>
      </w:r>
      <w:r w:rsidR="003D640C">
        <w:rPr>
          <w:lang w:eastAsia="en-NZ"/>
        </w:rPr>
        <w:t xml:space="preserve"> </w:t>
      </w:r>
      <w:r>
        <w:rPr>
          <w:lang w:eastAsia="en-NZ"/>
        </w:rPr>
        <w:t>need</w:t>
      </w:r>
      <w:r w:rsidR="003D640C">
        <w:rPr>
          <w:lang w:eastAsia="en-NZ"/>
        </w:rPr>
        <w:t xml:space="preserve"> </w:t>
      </w:r>
      <w:r>
        <w:rPr>
          <w:lang w:eastAsia="en-NZ"/>
        </w:rPr>
        <w:t>better</w:t>
      </w:r>
      <w:r w:rsidR="003D640C">
        <w:rPr>
          <w:lang w:eastAsia="en-NZ"/>
        </w:rPr>
        <w:t xml:space="preserve"> </w:t>
      </w:r>
      <w:r w:rsidRPr="00BB6220">
        <w:rPr>
          <w:lang w:eastAsia="en-NZ"/>
        </w:rPr>
        <w:t>data</w:t>
      </w:r>
      <w:r w:rsidR="003D640C">
        <w:rPr>
          <w:lang w:eastAsia="en-NZ"/>
        </w:rPr>
        <w:t xml:space="preserve"> </w:t>
      </w:r>
      <w:r>
        <w:rPr>
          <w:lang w:eastAsia="en-NZ"/>
        </w:rPr>
        <w:t>and</w:t>
      </w:r>
      <w:r w:rsidR="003D640C">
        <w:rPr>
          <w:lang w:eastAsia="en-NZ"/>
        </w:rPr>
        <w:t xml:space="preserve"> </w:t>
      </w:r>
      <w:r>
        <w:rPr>
          <w:lang w:eastAsia="en-NZ"/>
        </w:rPr>
        <w:t>information</w:t>
      </w:r>
      <w:r w:rsidRPr="00BB6220">
        <w:rPr>
          <w:lang w:eastAsia="en-NZ"/>
        </w:rPr>
        <w:t>,</w:t>
      </w:r>
      <w:r w:rsidR="003D640C">
        <w:rPr>
          <w:lang w:eastAsia="en-NZ"/>
        </w:rPr>
        <w:t xml:space="preserve"> </w:t>
      </w:r>
      <w:r w:rsidRPr="00BB6220">
        <w:rPr>
          <w:lang w:eastAsia="en-NZ"/>
        </w:rPr>
        <w:t>legislative</w:t>
      </w:r>
      <w:r w:rsidR="003D640C">
        <w:rPr>
          <w:lang w:eastAsia="en-NZ"/>
        </w:rPr>
        <w:t xml:space="preserve"> </w:t>
      </w:r>
      <w:r w:rsidRPr="00BB6220">
        <w:rPr>
          <w:lang w:eastAsia="en-NZ"/>
        </w:rPr>
        <w:t>recognition,</w:t>
      </w:r>
      <w:r w:rsidR="003D640C">
        <w:rPr>
          <w:lang w:eastAsia="en-NZ"/>
        </w:rPr>
        <w:t xml:space="preserve"> </w:t>
      </w:r>
      <w:r w:rsidRPr="00BB6220">
        <w:rPr>
          <w:lang w:eastAsia="en-NZ"/>
        </w:rPr>
        <w:t>and</w:t>
      </w:r>
      <w:r w:rsidR="003D640C">
        <w:rPr>
          <w:lang w:eastAsia="en-NZ"/>
        </w:rPr>
        <w:t xml:space="preserve"> </w:t>
      </w:r>
      <w:r>
        <w:rPr>
          <w:lang w:eastAsia="en-NZ"/>
        </w:rPr>
        <w:t>protections</w:t>
      </w:r>
      <w:r w:rsidR="003D640C">
        <w:rPr>
          <w:lang w:eastAsia="en-NZ"/>
        </w:rPr>
        <w:t xml:space="preserve"> </w:t>
      </w:r>
      <w:r>
        <w:rPr>
          <w:lang w:eastAsia="en-NZ"/>
        </w:rPr>
        <w:t>from</w:t>
      </w:r>
      <w:r w:rsidR="003D640C">
        <w:rPr>
          <w:lang w:eastAsia="en-NZ"/>
        </w:rPr>
        <w:t xml:space="preserve"> </w:t>
      </w:r>
      <w:r w:rsidRPr="00BB6220">
        <w:rPr>
          <w:lang w:eastAsia="en-NZ"/>
        </w:rPr>
        <w:t>discrimination</w:t>
      </w:r>
      <w:r w:rsidR="003D640C">
        <w:rPr>
          <w:lang w:eastAsia="en-NZ"/>
        </w:rPr>
        <w:t xml:space="preserve"> </w:t>
      </w:r>
      <w:r w:rsidRPr="00BB6220">
        <w:rPr>
          <w:lang w:eastAsia="en-NZ"/>
        </w:rPr>
        <w:t>and</w:t>
      </w:r>
      <w:r w:rsidR="003D640C">
        <w:rPr>
          <w:lang w:eastAsia="en-NZ"/>
        </w:rPr>
        <w:t xml:space="preserve"> </w:t>
      </w:r>
      <w:r w:rsidRPr="00BB6220">
        <w:rPr>
          <w:lang w:eastAsia="en-NZ"/>
        </w:rPr>
        <w:t>violence.</w:t>
      </w:r>
      <w:r w:rsidR="003D640C">
        <w:rPr>
          <w:lang w:eastAsia="en-NZ"/>
        </w:rPr>
        <w:t xml:space="preserve"> </w:t>
      </w:r>
      <w:r w:rsidRPr="00BB6220">
        <w:rPr>
          <w:lang w:eastAsia="en-NZ"/>
        </w:rPr>
        <w:t>The</w:t>
      </w:r>
      <w:r>
        <w:rPr>
          <w:lang w:eastAsia="en-NZ"/>
        </w:rPr>
        <w:t>se</w:t>
      </w:r>
      <w:r w:rsidR="003D640C">
        <w:rPr>
          <w:lang w:eastAsia="en-NZ"/>
        </w:rPr>
        <w:t xml:space="preserve"> </w:t>
      </w:r>
      <w:r>
        <w:rPr>
          <w:lang w:eastAsia="en-NZ"/>
        </w:rPr>
        <w:t>needs</w:t>
      </w:r>
      <w:r w:rsidR="003D640C">
        <w:rPr>
          <w:lang w:eastAsia="en-NZ"/>
        </w:rPr>
        <w:t xml:space="preserve"> </w:t>
      </w:r>
      <w:r>
        <w:rPr>
          <w:lang w:eastAsia="en-NZ"/>
        </w:rPr>
        <w:t>are</w:t>
      </w:r>
      <w:r w:rsidR="003D640C">
        <w:rPr>
          <w:lang w:eastAsia="en-NZ"/>
        </w:rPr>
        <w:t xml:space="preserve"> </w:t>
      </w:r>
      <w:r w:rsidRPr="00BB6220">
        <w:rPr>
          <w:lang w:eastAsia="en-NZ"/>
        </w:rPr>
        <w:t>compound</w:t>
      </w:r>
      <w:r>
        <w:rPr>
          <w:lang w:eastAsia="en-NZ"/>
        </w:rPr>
        <w:t>ed</w:t>
      </w:r>
      <w:r w:rsidR="003D640C">
        <w:rPr>
          <w:lang w:eastAsia="en-NZ"/>
        </w:rPr>
        <w:t xml:space="preserve"> </w:t>
      </w:r>
      <w:r>
        <w:rPr>
          <w:lang w:eastAsia="en-NZ"/>
        </w:rPr>
        <w:t>by</w:t>
      </w:r>
      <w:r w:rsidR="003D640C">
        <w:rPr>
          <w:lang w:eastAsia="en-NZ"/>
        </w:rPr>
        <w:t xml:space="preserve"> </w:t>
      </w:r>
      <w:r w:rsidRPr="00BB6220">
        <w:rPr>
          <w:lang w:eastAsia="en-NZ"/>
        </w:rPr>
        <w:t>multiple</w:t>
      </w:r>
      <w:r w:rsidR="003D640C">
        <w:rPr>
          <w:lang w:eastAsia="en-NZ"/>
        </w:rPr>
        <w:t xml:space="preserve"> </w:t>
      </w:r>
      <w:r w:rsidRPr="00BB6220">
        <w:rPr>
          <w:lang w:eastAsia="en-NZ"/>
        </w:rPr>
        <w:t>layers</w:t>
      </w:r>
      <w:r w:rsidR="003D640C">
        <w:rPr>
          <w:lang w:eastAsia="en-NZ"/>
        </w:rPr>
        <w:t xml:space="preserve"> </w:t>
      </w:r>
      <w:r w:rsidRPr="00BB6220">
        <w:rPr>
          <w:lang w:eastAsia="en-NZ"/>
        </w:rPr>
        <w:t>of</w:t>
      </w:r>
      <w:r w:rsidR="003D640C">
        <w:rPr>
          <w:lang w:eastAsia="en-NZ"/>
        </w:rPr>
        <w:t xml:space="preserve"> </w:t>
      </w:r>
      <w:r w:rsidRPr="00BB6220">
        <w:rPr>
          <w:lang w:eastAsia="en-NZ"/>
        </w:rPr>
        <w:t>intersectional</w:t>
      </w:r>
      <w:r w:rsidR="003D640C">
        <w:rPr>
          <w:lang w:eastAsia="en-NZ"/>
        </w:rPr>
        <w:t xml:space="preserve"> </w:t>
      </w:r>
      <w:r w:rsidRPr="00BB6220">
        <w:rPr>
          <w:lang w:eastAsia="en-NZ"/>
        </w:rPr>
        <w:t>discrimination</w:t>
      </w:r>
      <w:r>
        <w:rPr>
          <w:lang w:eastAsia="en-NZ"/>
        </w:rPr>
        <w:t>,</w:t>
      </w:r>
      <w:r w:rsidR="003D640C">
        <w:rPr>
          <w:lang w:eastAsia="en-NZ"/>
        </w:rPr>
        <w:t xml:space="preserve"> </w:t>
      </w:r>
      <w:r>
        <w:rPr>
          <w:lang w:eastAsia="en-NZ"/>
        </w:rPr>
        <w:t>including</w:t>
      </w:r>
      <w:r w:rsidR="003D640C">
        <w:rPr>
          <w:lang w:eastAsia="en-NZ"/>
        </w:rPr>
        <w:t xml:space="preserve"> </w:t>
      </w:r>
      <w:r>
        <w:rPr>
          <w:lang w:eastAsia="en-NZ"/>
        </w:rPr>
        <w:t>the</w:t>
      </w:r>
      <w:r w:rsidR="003D640C">
        <w:rPr>
          <w:lang w:eastAsia="en-NZ"/>
        </w:rPr>
        <w:t xml:space="preserve"> </w:t>
      </w:r>
      <w:r>
        <w:rPr>
          <w:lang w:eastAsia="en-NZ"/>
        </w:rPr>
        <w:t>impacts</w:t>
      </w:r>
      <w:r w:rsidR="003D640C">
        <w:rPr>
          <w:lang w:eastAsia="en-NZ"/>
        </w:rPr>
        <w:t xml:space="preserve"> </w:t>
      </w:r>
      <w:r>
        <w:rPr>
          <w:lang w:eastAsia="en-NZ"/>
        </w:rPr>
        <w:t>of</w:t>
      </w:r>
      <w:r w:rsidR="003D640C">
        <w:rPr>
          <w:lang w:eastAsia="en-NZ"/>
        </w:rPr>
        <w:t xml:space="preserve"> </w:t>
      </w:r>
      <w:r>
        <w:rPr>
          <w:lang w:eastAsia="en-NZ"/>
        </w:rPr>
        <w:t>institutional</w:t>
      </w:r>
      <w:r w:rsidR="003D640C">
        <w:rPr>
          <w:lang w:eastAsia="en-NZ"/>
        </w:rPr>
        <w:t xml:space="preserve"> </w:t>
      </w:r>
      <w:r w:rsidRPr="00BB6220">
        <w:rPr>
          <w:lang w:eastAsia="en-NZ"/>
        </w:rPr>
        <w:t>racism</w:t>
      </w:r>
      <w:r w:rsidR="001D0E6E">
        <w:rPr>
          <w:lang w:eastAsia="en-NZ"/>
        </w:rPr>
        <w:t xml:space="preserve"> and ableism</w:t>
      </w:r>
      <w:r w:rsidRPr="00BB6220">
        <w:rPr>
          <w:lang w:eastAsia="en-NZ"/>
        </w:rPr>
        <w:t>.</w:t>
      </w:r>
      <w:r w:rsidR="003D640C">
        <w:rPr>
          <w:lang w:eastAsia="en-NZ"/>
        </w:rPr>
        <w:t xml:space="preserve"> </w:t>
      </w:r>
      <w:r>
        <w:rPr>
          <w:lang w:eastAsia="en-NZ"/>
        </w:rPr>
        <w:t>The</w:t>
      </w:r>
      <w:r>
        <w:t>re</w:t>
      </w:r>
      <w:r w:rsidR="003D640C">
        <w:t xml:space="preserve"> </w:t>
      </w:r>
      <w:r>
        <w:t>is</w:t>
      </w:r>
      <w:r w:rsidR="003D640C">
        <w:t xml:space="preserve"> </w:t>
      </w:r>
      <w:r>
        <w:t>still</w:t>
      </w:r>
      <w:r w:rsidR="003D640C">
        <w:t xml:space="preserve"> </w:t>
      </w:r>
      <w:r>
        <w:t>work</w:t>
      </w:r>
      <w:r w:rsidR="003D640C">
        <w:t xml:space="preserve"> </w:t>
      </w:r>
      <w:r>
        <w:t>to</w:t>
      </w:r>
      <w:r w:rsidR="003D640C">
        <w:t xml:space="preserve"> </w:t>
      </w:r>
      <w:r>
        <w:t>be</w:t>
      </w:r>
      <w:r w:rsidR="003D640C">
        <w:t xml:space="preserve"> </w:t>
      </w:r>
      <w:r>
        <w:t>done</w:t>
      </w:r>
      <w:r w:rsidR="003D640C">
        <w:t xml:space="preserve"> </w:t>
      </w:r>
      <w:r>
        <w:t>to</w:t>
      </w:r>
      <w:r w:rsidR="003D640C">
        <w:t xml:space="preserve"> </w:t>
      </w:r>
      <w:r w:rsidR="00DB470E">
        <w:t xml:space="preserve">build </w:t>
      </w:r>
      <w:r>
        <w:t>bridge</w:t>
      </w:r>
      <w:r w:rsidR="00DB470E">
        <w:t>s between</w:t>
      </w:r>
      <w:r w:rsidR="003D640C">
        <w:t xml:space="preserve"> </w:t>
      </w:r>
      <w:r>
        <w:t>faith</w:t>
      </w:r>
      <w:r w:rsidR="003D640C">
        <w:t xml:space="preserve"> </w:t>
      </w:r>
      <w:r>
        <w:t>communities</w:t>
      </w:r>
      <w:r w:rsidR="003D640C">
        <w:t xml:space="preserve"> </w:t>
      </w:r>
      <w:r>
        <w:t>and</w:t>
      </w:r>
      <w:r w:rsidR="003D640C">
        <w:t xml:space="preserve"> </w:t>
      </w:r>
      <w:r>
        <w:t>Rainbow</w:t>
      </w:r>
      <w:r w:rsidR="003D640C">
        <w:t xml:space="preserve"> </w:t>
      </w:r>
      <w:r>
        <w:t>people</w:t>
      </w:r>
      <w:r w:rsidR="003D640C">
        <w:t xml:space="preserve"> </w:t>
      </w:r>
      <w:r>
        <w:t>in</w:t>
      </w:r>
      <w:r w:rsidR="003D640C">
        <w:t xml:space="preserve"> </w:t>
      </w:r>
      <w:r>
        <w:t>order</w:t>
      </w:r>
      <w:r w:rsidR="003D640C">
        <w:t xml:space="preserve"> </w:t>
      </w:r>
      <w:r>
        <w:t>for</w:t>
      </w:r>
      <w:r w:rsidR="003D640C">
        <w:t xml:space="preserve"> </w:t>
      </w:r>
      <w:r>
        <w:t>their</w:t>
      </w:r>
      <w:r w:rsidR="003D640C">
        <w:t xml:space="preserve"> </w:t>
      </w:r>
      <w:r>
        <w:t>rights</w:t>
      </w:r>
      <w:r w:rsidR="003D640C">
        <w:t xml:space="preserve"> </w:t>
      </w:r>
      <w:r>
        <w:t>to</w:t>
      </w:r>
      <w:r w:rsidR="003D640C">
        <w:t xml:space="preserve"> </w:t>
      </w:r>
      <w:r>
        <w:t>be</w:t>
      </w:r>
      <w:r w:rsidR="003D640C">
        <w:t xml:space="preserve"> </w:t>
      </w:r>
      <w:r>
        <w:t>fully</w:t>
      </w:r>
      <w:r w:rsidR="003D640C">
        <w:t xml:space="preserve"> </w:t>
      </w:r>
      <w:r>
        <w:t>realised.</w:t>
      </w:r>
      <w:r w:rsidR="003D640C">
        <w:t xml:space="preserve"> </w:t>
      </w:r>
      <w:r w:rsidR="00964732">
        <w:t>We</w:t>
      </w:r>
      <w:r w:rsidR="003D640C">
        <w:t xml:space="preserve"> </w:t>
      </w:r>
      <w:r w:rsidR="00964732">
        <w:t>offer</w:t>
      </w:r>
      <w:r w:rsidR="003D640C">
        <w:t xml:space="preserve"> </w:t>
      </w:r>
      <w:r w:rsidR="00964732">
        <w:t>the</w:t>
      </w:r>
      <w:r w:rsidR="003D640C">
        <w:t xml:space="preserve"> </w:t>
      </w:r>
      <w:r w:rsidR="00964732">
        <w:t>insights</w:t>
      </w:r>
      <w:r w:rsidR="003D640C">
        <w:t xml:space="preserve"> </w:t>
      </w:r>
      <w:r w:rsidR="00964732">
        <w:t>and</w:t>
      </w:r>
      <w:r w:rsidR="003D640C">
        <w:t xml:space="preserve"> </w:t>
      </w:r>
      <w:r w:rsidR="00964732">
        <w:t>recommendations</w:t>
      </w:r>
      <w:r w:rsidR="003D640C">
        <w:t xml:space="preserve"> </w:t>
      </w:r>
      <w:r w:rsidR="00964732">
        <w:t>from</w:t>
      </w:r>
      <w:r w:rsidR="003D640C">
        <w:t xml:space="preserve"> </w:t>
      </w:r>
      <w:r w:rsidR="00964732">
        <w:t>our</w:t>
      </w:r>
      <w:r w:rsidR="003D640C">
        <w:t xml:space="preserve"> </w:t>
      </w:r>
      <w:r w:rsidR="00964732">
        <w:t>work</w:t>
      </w:r>
      <w:r w:rsidR="003D640C">
        <w:t xml:space="preserve"> </w:t>
      </w:r>
      <w:r w:rsidR="0000673E">
        <w:t>to</w:t>
      </w:r>
      <w:r w:rsidR="003D640C">
        <w:t xml:space="preserve"> </w:t>
      </w:r>
      <w:r w:rsidR="0000673E">
        <w:t>reciprocate</w:t>
      </w:r>
      <w:r w:rsidR="003D640C">
        <w:t xml:space="preserve"> </w:t>
      </w:r>
      <w:r w:rsidR="0000673E">
        <w:t>the</w:t>
      </w:r>
      <w:r w:rsidR="003D640C">
        <w:t xml:space="preserve"> </w:t>
      </w:r>
      <w:r w:rsidR="0000673E">
        <w:t>support</w:t>
      </w:r>
      <w:r w:rsidR="003D640C">
        <w:t xml:space="preserve"> </w:t>
      </w:r>
      <w:r w:rsidR="0000673E">
        <w:t>we</w:t>
      </w:r>
      <w:r w:rsidR="003D640C">
        <w:t xml:space="preserve"> </w:t>
      </w:r>
      <w:r w:rsidR="0000673E">
        <w:t>received</w:t>
      </w:r>
      <w:r w:rsidR="003D640C">
        <w:t xml:space="preserve"> </w:t>
      </w:r>
      <w:r w:rsidR="0000673E">
        <w:t>from</w:t>
      </w:r>
      <w:r w:rsidR="003D640C">
        <w:t xml:space="preserve"> </w:t>
      </w:r>
      <w:r w:rsidR="0000673E">
        <w:t>survivors,</w:t>
      </w:r>
      <w:r w:rsidR="003D640C">
        <w:t xml:space="preserve"> </w:t>
      </w:r>
      <w:r w:rsidR="0000673E">
        <w:t>but</w:t>
      </w:r>
      <w:r w:rsidR="003D640C">
        <w:t xml:space="preserve"> </w:t>
      </w:r>
      <w:r w:rsidR="0000673E">
        <w:t>also</w:t>
      </w:r>
      <w:r w:rsidR="003D640C">
        <w:t xml:space="preserve"> </w:t>
      </w:r>
      <w:r w:rsidR="00964732">
        <w:t>as</w:t>
      </w:r>
      <w:r w:rsidR="003D640C">
        <w:t xml:space="preserve"> </w:t>
      </w:r>
      <w:r w:rsidR="00964732">
        <w:t>both</w:t>
      </w:r>
      <w:r w:rsidR="003D640C">
        <w:t xml:space="preserve"> </w:t>
      </w:r>
      <w:r w:rsidR="00964732">
        <w:t>an</w:t>
      </w:r>
      <w:r w:rsidR="003D640C">
        <w:t xml:space="preserve"> </w:t>
      </w:r>
      <w:r w:rsidR="00964732">
        <w:t>impetus</w:t>
      </w:r>
      <w:r w:rsidR="003D640C">
        <w:t xml:space="preserve"> </w:t>
      </w:r>
      <w:r w:rsidR="00964732">
        <w:t>for</w:t>
      </w:r>
      <w:r w:rsidR="003D640C">
        <w:t xml:space="preserve"> </w:t>
      </w:r>
      <w:r w:rsidR="00964732">
        <w:t>discussion</w:t>
      </w:r>
      <w:r w:rsidR="003D640C">
        <w:t xml:space="preserve"> </w:t>
      </w:r>
      <w:r w:rsidR="00964732">
        <w:t>within</w:t>
      </w:r>
      <w:r w:rsidR="003D640C">
        <w:t xml:space="preserve"> </w:t>
      </w:r>
      <w:r w:rsidR="00964732">
        <w:t>communiti</w:t>
      </w:r>
      <w:r w:rsidR="0015398D">
        <w:t>e</w:t>
      </w:r>
      <w:r w:rsidR="00964732">
        <w:t>s</w:t>
      </w:r>
      <w:r w:rsidR="003D640C">
        <w:t xml:space="preserve"> </w:t>
      </w:r>
      <w:r w:rsidR="00964732">
        <w:t>and</w:t>
      </w:r>
      <w:r w:rsidR="003D640C">
        <w:t xml:space="preserve"> </w:t>
      </w:r>
      <w:r w:rsidR="00964732">
        <w:t>for</w:t>
      </w:r>
      <w:r w:rsidR="003D640C">
        <w:t xml:space="preserve"> </w:t>
      </w:r>
      <w:r w:rsidR="00964732">
        <w:t>further</w:t>
      </w:r>
      <w:r w:rsidR="003D640C">
        <w:t xml:space="preserve"> </w:t>
      </w:r>
      <w:r w:rsidR="00964732">
        <w:t>action</w:t>
      </w:r>
      <w:r w:rsidR="003D640C">
        <w:t xml:space="preserve"> </w:t>
      </w:r>
      <w:r w:rsidR="00964732">
        <w:t>from</w:t>
      </w:r>
      <w:r w:rsidR="003D640C">
        <w:t xml:space="preserve"> </w:t>
      </w:r>
      <w:r w:rsidR="00964732">
        <w:t>decision</w:t>
      </w:r>
      <w:r w:rsidR="00B77A5E">
        <w:t xml:space="preserve"> </w:t>
      </w:r>
      <w:r w:rsidR="00964732">
        <w:t>makers</w:t>
      </w:r>
      <w:r w:rsidR="003D640C">
        <w:t xml:space="preserve"> </w:t>
      </w:r>
      <w:r w:rsidR="00964732">
        <w:t>and</w:t>
      </w:r>
      <w:r w:rsidR="003D640C">
        <w:t xml:space="preserve"> </w:t>
      </w:r>
      <w:r w:rsidR="00964732">
        <w:t>duty</w:t>
      </w:r>
      <w:r w:rsidR="00B77A5E">
        <w:t xml:space="preserve"> </w:t>
      </w:r>
      <w:r w:rsidR="00964732">
        <w:t>bearers.</w:t>
      </w:r>
      <w:r w:rsidR="003D640C">
        <w:t xml:space="preserve"> </w:t>
      </w:r>
    </w:p>
    <w:p w14:paraId="77C99E84" w14:textId="417C908E" w:rsidR="00964732" w:rsidRDefault="00964732" w:rsidP="003B176C">
      <w:r>
        <w:t>While</w:t>
      </w:r>
      <w:r w:rsidR="003D640C">
        <w:t xml:space="preserve"> </w:t>
      </w:r>
      <w:r>
        <w:t>it</w:t>
      </w:r>
      <w:r w:rsidR="003D640C">
        <w:t xml:space="preserve"> </w:t>
      </w:r>
      <w:r>
        <w:t>is</w:t>
      </w:r>
      <w:r w:rsidR="003D640C">
        <w:t xml:space="preserve"> </w:t>
      </w:r>
      <w:r>
        <w:t>imperfect,</w:t>
      </w:r>
      <w:r w:rsidR="003D640C">
        <w:t xml:space="preserve"> </w:t>
      </w:r>
      <w:r>
        <w:t>the</w:t>
      </w:r>
      <w:r w:rsidR="003D640C">
        <w:t xml:space="preserve"> </w:t>
      </w:r>
      <w:r>
        <w:t>CPPLA</w:t>
      </w:r>
      <w:r w:rsidR="003D640C">
        <w:t xml:space="preserve"> </w:t>
      </w:r>
      <w:r>
        <w:t>does</w:t>
      </w:r>
      <w:r w:rsidR="003D640C">
        <w:t xml:space="preserve"> </w:t>
      </w:r>
      <w:r>
        <w:t>represent</w:t>
      </w:r>
      <w:r w:rsidR="003D640C">
        <w:t xml:space="preserve"> </w:t>
      </w:r>
      <w:r>
        <w:t>a</w:t>
      </w:r>
      <w:r w:rsidR="003D640C">
        <w:t xml:space="preserve"> </w:t>
      </w:r>
      <w:r>
        <w:t>clear</w:t>
      </w:r>
      <w:r w:rsidR="003D640C">
        <w:t xml:space="preserve"> </w:t>
      </w:r>
      <w:r>
        <w:t>statement</w:t>
      </w:r>
      <w:r w:rsidR="003D640C">
        <w:t xml:space="preserve"> </w:t>
      </w:r>
      <w:r>
        <w:t>from</w:t>
      </w:r>
      <w:r w:rsidR="003D640C">
        <w:t xml:space="preserve"> </w:t>
      </w:r>
      <w:r>
        <w:t>Parliament</w:t>
      </w:r>
      <w:r w:rsidR="003D640C">
        <w:t xml:space="preserve"> </w:t>
      </w:r>
      <w:r>
        <w:t>and</w:t>
      </w:r>
      <w:r w:rsidR="003D640C">
        <w:t xml:space="preserve"> </w:t>
      </w:r>
      <w:r>
        <w:t>the</w:t>
      </w:r>
      <w:r w:rsidR="003D640C">
        <w:t xml:space="preserve"> </w:t>
      </w:r>
      <w:r>
        <w:t>people</w:t>
      </w:r>
      <w:r w:rsidR="003D640C">
        <w:t xml:space="preserve"> </w:t>
      </w:r>
      <w:r>
        <w:t>it</w:t>
      </w:r>
      <w:r w:rsidR="003D640C">
        <w:t xml:space="preserve"> </w:t>
      </w:r>
      <w:r>
        <w:t>represents</w:t>
      </w:r>
      <w:r w:rsidR="003D640C">
        <w:t xml:space="preserve"> </w:t>
      </w:r>
      <w:r>
        <w:t>that</w:t>
      </w:r>
      <w:r w:rsidR="003D640C">
        <w:t xml:space="preserve"> </w:t>
      </w:r>
      <w:r>
        <w:t>conversion</w:t>
      </w:r>
      <w:r w:rsidR="003D640C">
        <w:t xml:space="preserve"> </w:t>
      </w:r>
      <w:r>
        <w:t>practices</w:t>
      </w:r>
      <w:r w:rsidR="003D640C">
        <w:t xml:space="preserve"> </w:t>
      </w:r>
      <w:r>
        <w:t>are</w:t>
      </w:r>
      <w:r w:rsidR="003D640C">
        <w:t xml:space="preserve"> </w:t>
      </w:r>
      <w:r>
        <w:t>ineffective,</w:t>
      </w:r>
      <w:r w:rsidR="003D640C">
        <w:t xml:space="preserve"> </w:t>
      </w:r>
      <w:r>
        <w:t>harmful</w:t>
      </w:r>
      <w:r w:rsidR="00B77A5E">
        <w:t>,</w:t>
      </w:r>
      <w:r w:rsidR="003D640C">
        <w:t xml:space="preserve"> </w:t>
      </w:r>
      <w:r>
        <w:t>and</w:t>
      </w:r>
      <w:r w:rsidR="003D640C">
        <w:t xml:space="preserve"> </w:t>
      </w:r>
      <w:r>
        <w:t>a</w:t>
      </w:r>
      <w:r w:rsidR="003D640C">
        <w:t xml:space="preserve"> </w:t>
      </w:r>
      <w:r>
        <w:t>breach</w:t>
      </w:r>
      <w:r w:rsidR="003D640C">
        <w:t xml:space="preserve"> </w:t>
      </w:r>
      <w:r>
        <w:t>of</w:t>
      </w:r>
      <w:r w:rsidR="003D640C">
        <w:t xml:space="preserve"> </w:t>
      </w:r>
      <w:r>
        <w:t>human</w:t>
      </w:r>
      <w:r w:rsidR="003D640C">
        <w:t xml:space="preserve"> </w:t>
      </w:r>
      <w:r>
        <w:t>rights.</w:t>
      </w:r>
      <w:r w:rsidR="003D640C">
        <w:t xml:space="preserve"> </w:t>
      </w:r>
      <w:r>
        <w:t>In</w:t>
      </w:r>
      <w:r w:rsidR="003D640C">
        <w:t xml:space="preserve"> </w:t>
      </w:r>
      <w:r>
        <w:t>the</w:t>
      </w:r>
      <w:r w:rsidR="003D640C">
        <w:t xml:space="preserve"> </w:t>
      </w:r>
      <w:r>
        <w:t>words</w:t>
      </w:r>
      <w:r w:rsidR="003D640C">
        <w:t xml:space="preserve"> </w:t>
      </w:r>
      <w:r>
        <w:t>of</w:t>
      </w:r>
      <w:r w:rsidR="003D640C">
        <w:t xml:space="preserve"> </w:t>
      </w:r>
      <w:r>
        <w:t>lecturer,</w:t>
      </w:r>
      <w:r w:rsidR="003D640C">
        <w:t xml:space="preserve"> </w:t>
      </w:r>
      <w:r>
        <w:t>researcher</w:t>
      </w:r>
      <w:r w:rsidR="0009006D">
        <w:t>,</w:t>
      </w:r>
      <w:r w:rsidR="003D640C">
        <w:t xml:space="preserve"> </w:t>
      </w:r>
      <w:r>
        <w:t>and</w:t>
      </w:r>
      <w:r w:rsidR="003D640C">
        <w:t xml:space="preserve"> </w:t>
      </w:r>
      <w:r>
        <w:t>advocate</w:t>
      </w:r>
      <w:r w:rsidR="003D640C">
        <w:t xml:space="preserve"> </w:t>
      </w:r>
      <w:r w:rsidR="00FB6A3B">
        <w:t xml:space="preserve">Dr </w:t>
      </w:r>
      <w:r>
        <w:t>John</w:t>
      </w:r>
      <w:r w:rsidR="003D640C">
        <w:t xml:space="preserve"> </w:t>
      </w:r>
      <w:r>
        <w:t>Fenaughty:</w:t>
      </w:r>
      <w:r w:rsidR="002A47B6">
        <w:rPr>
          <w:rStyle w:val="FootnoteReference"/>
        </w:rPr>
        <w:footnoteReference w:id="279"/>
      </w:r>
    </w:p>
    <w:p w14:paraId="22DC643D" w14:textId="2D47C905" w:rsidR="00501068" w:rsidRDefault="00B54921" w:rsidP="003B176C">
      <w:pPr>
        <w:pStyle w:val="Quote"/>
      </w:pPr>
      <w:r w:rsidRPr="00BB6220">
        <w:lastRenderedPageBreak/>
        <w:t>“What</w:t>
      </w:r>
      <w:r w:rsidR="003D640C">
        <w:t xml:space="preserve"> </w:t>
      </w:r>
      <w:r w:rsidRPr="00BB6220">
        <w:t>the</w:t>
      </w:r>
      <w:r w:rsidR="003D640C">
        <w:t xml:space="preserve"> </w:t>
      </w:r>
      <w:r w:rsidR="00A91127" w:rsidRPr="00BB6220">
        <w:t>Conversion</w:t>
      </w:r>
      <w:r w:rsidR="003D640C">
        <w:t xml:space="preserve"> </w:t>
      </w:r>
      <w:r w:rsidR="00A91127" w:rsidRPr="00BB6220">
        <w:t>Practices</w:t>
      </w:r>
      <w:r w:rsidR="003D640C">
        <w:t xml:space="preserve"> </w:t>
      </w:r>
      <w:r w:rsidR="0064081A" w:rsidRPr="00BB6220">
        <w:t>Act</w:t>
      </w:r>
      <w:r w:rsidR="003D640C">
        <w:t xml:space="preserve"> </w:t>
      </w:r>
      <w:r w:rsidRPr="00BB6220">
        <w:t>does</w:t>
      </w:r>
      <w:r w:rsidR="003D640C">
        <w:t xml:space="preserve"> </w:t>
      </w:r>
      <w:r w:rsidRPr="00BB6220">
        <w:t>is</w:t>
      </w:r>
      <w:r w:rsidR="003D640C">
        <w:t xml:space="preserve"> </w:t>
      </w:r>
      <w:r w:rsidRPr="00BB6220">
        <w:t>it</w:t>
      </w:r>
      <w:r w:rsidR="003D640C">
        <w:t xml:space="preserve"> </w:t>
      </w:r>
      <w:r w:rsidRPr="00BB6220">
        <w:t>says,</w:t>
      </w:r>
      <w:r w:rsidR="003D640C">
        <w:t xml:space="preserve"> </w:t>
      </w:r>
      <w:r w:rsidRPr="00BB6220">
        <w:t>as</w:t>
      </w:r>
      <w:r w:rsidR="003D640C">
        <w:t xml:space="preserve"> </w:t>
      </w:r>
      <w:r w:rsidRPr="00BB6220">
        <w:t>a</w:t>
      </w:r>
      <w:r w:rsidR="003D640C">
        <w:t xml:space="preserve"> </w:t>
      </w:r>
      <w:r w:rsidRPr="00BB6220">
        <w:t>society</w:t>
      </w:r>
      <w:r w:rsidR="00B77A5E">
        <w:t>,</w:t>
      </w:r>
      <w:r w:rsidR="003D640C">
        <w:t xml:space="preserve"> </w:t>
      </w:r>
      <w:r w:rsidRPr="00BB6220">
        <w:t>we</w:t>
      </w:r>
      <w:r w:rsidR="003D640C">
        <w:t xml:space="preserve"> </w:t>
      </w:r>
      <w:r w:rsidRPr="00BB6220">
        <w:t>say</w:t>
      </w:r>
      <w:r w:rsidR="003D640C">
        <w:t xml:space="preserve"> </w:t>
      </w:r>
      <w:r w:rsidRPr="00BB6220">
        <w:t>that</w:t>
      </w:r>
      <w:r w:rsidR="003D640C">
        <w:t xml:space="preserve"> </w:t>
      </w:r>
      <w:r w:rsidRPr="00BB6220">
        <w:t>these</w:t>
      </w:r>
      <w:r w:rsidR="003D640C">
        <w:t xml:space="preserve"> </w:t>
      </w:r>
      <w:r w:rsidRPr="00BB6220">
        <w:t>practices</w:t>
      </w:r>
      <w:r w:rsidR="003D640C">
        <w:t xml:space="preserve"> </w:t>
      </w:r>
      <w:r w:rsidRPr="00BB6220">
        <w:t>are</w:t>
      </w:r>
      <w:r w:rsidR="003D640C">
        <w:t xml:space="preserve"> </w:t>
      </w:r>
      <w:r w:rsidRPr="00BB6220">
        <w:t>not</w:t>
      </w:r>
      <w:r w:rsidR="003D640C">
        <w:t xml:space="preserve"> </w:t>
      </w:r>
      <w:r w:rsidRPr="00BB6220">
        <w:t>appropriate,</w:t>
      </w:r>
      <w:r w:rsidR="003D640C">
        <w:t xml:space="preserve"> </w:t>
      </w:r>
      <w:r w:rsidRPr="00BB6220">
        <w:t>they</w:t>
      </w:r>
      <w:r w:rsidR="003D640C">
        <w:t xml:space="preserve"> </w:t>
      </w:r>
      <w:r w:rsidRPr="00BB6220">
        <w:t>are</w:t>
      </w:r>
      <w:r w:rsidR="003D640C">
        <w:t xml:space="preserve"> </w:t>
      </w:r>
      <w:r w:rsidRPr="00BB6220">
        <w:t>not</w:t>
      </w:r>
      <w:r w:rsidR="003D640C">
        <w:t xml:space="preserve"> </w:t>
      </w:r>
      <w:r w:rsidRPr="00BB6220">
        <w:t>valid,</w:t>
      </w:r>
      <w:r w:rsidR="003D640C">
        <w:t xml:space="preserve"> </w:t>
      </w:r>
      <w:r w:rsidR="00114326" w:rsidRPr="00BB6220">
        <w:t>and</w:t>
      </w:r>
      <w:r w:rsidR="003D640C">
        <w:t xml:space="preserve"> </w:t>
      </w:r>
      <w:r w:rsidRPr="00BB6220">
        <w:t>we</w:t>
      </w:r>
      <w:r w:rsidR="003D640C">
        <w:t xml:space="preserve"> </w:t>
      </w:r>
      <w:r w:rsidRPr="00BB6220">
        <w:t>will</w:t>
      </w:r>
      <w:r w:rsidR="003D640C">
        <w:t xml:space="preserve"> </w:t>
      </w:r>
      <w:r w:rsidRPr="00BB6220">
        <w:t>not</w:t>
      </w:r>
      <w:r w:rsidR="003D640C">
        <w:t xml:space="preserve"> </w:t>
      </w:r>
      <w:r w:rsidRPr="00BB6220">
        <w:t>condone</w:t>
      </w:r>
      <w:r w:rsidR="003D640C">
        <w:t xml:space="preserve"> </w:t>
      </w:r>
      <w:r w:rsidRPr="00BB6220">
        <w:t>them.</w:t>
      </w:r>
      <w:r w:rsidR="003D640C">
        <w:t xml:space="preserve"> </w:t>
      </w:r>
      <w:r w:rsidRPr="00BB6220">
        <w:t>In</w:t>
      </w:r>
      <w:r w:rsidR="003D640C">
        <w:t xml:space="preserve"> </w:t>
      </w:r>
      <w:r w:rsidRPr="00BB6220">
        <w:t>so</w:t>
      </w:r>
      <w:r w:rsidR="003D640C">
        <w:t xml:space="preserve"> </w:t>
      </w:r>
      <w:r w:rsidRPr="00BB6220">
        <w:t>doing</w:t>
      </w:r>
      <w:r w:rsidR="00B77A5E">
        <w:t>,</w:t>
      </w:r>
      <w:r w:rsidR="003D640C">
        <w:t xml:space="preserve"> </w:t>
      </w:r>
      <w:r w:rsidRPr="00BB6220">
        <w:t>we</w:t>
      </w:r>
      <w:r w:rsidR="003D640C">
        <w:t xml:space="preserve"> </w:t>
      </w:r>
      <w:r w:rsidRPr="00BB6220">
        <w:t>say</w:t>
      </w:r>
      <w:r w:rsidR="003D640C">
        <w:t xml:space="preserve"> </w:t>
      </w:r>
      <w:r w:rsidR="009503F3" w:rsidRPr="00BB6220">
        <w:t>that</w:t>
      </w:r>
      <w:r w:rsidR="003D640C">
        <w:t xml:space="preserve"> </w:t>
      </w:r>
      <w:r w:rsidR="00CC0F07">
        <w:t>R</w:t>
      </w:r>
      <w:r w:rsidRPr="00BB6220">
        <w:t>ainbow</w:t>
      </w:r>
      <w:r w:rsidR="003D640C">
        <w:t xml:space="preserve"> </w:t>
      </w:r>
      <w:r w:rsidRPr="00BB6220">
        <w:t>identities</w:t>
      </w:r>
      <w:r w:rsidR="003D640C">
        <w:t xml:space="preserve"> </w:t>
      </w:r>
      <w:r w:rsidRPr="00BB6220">
        <w:t>are</w:t>
      </w:r>
      <w:r w:rsidR="003D640C">
        <w:t xml:space="preserve"> </w:t>
      </w:r>
      <w:r w:rsidRPr="00BB6220">
        <w:t>valid,</w:t>
      </w:r>
      <w:r w:rsidR="003D640C">
        <w:t xml:space="preserve"> </w:t>
      </w:r>
      <w:r w:rsidRPr="00BB6220">
        <w:t>they</w:t>
      </w:r>
      <w:r w:rsidR="003D640C">
        <w:t xml:space="preserve"> </w:t>
      </w:r>
      <w:r w:rsidRPr="00BB6220">
        <w:t>are</w:t>
      </w:r>
      <w:r w:rsidR="003D640C">
        <w:t xml:space="preserve"> </w:t>
      </w:r>
      <w:r w:rsidRPr="00BB6220">
        <w:t>normal,</w:t>
      </w:r>
      <w:r w:rsidR="003D640C">
        <w:t xml:space="preserve"> </w:t>
      </w:r>
      <w:r w:rsidRPr="00BB6220">
        <w:t>they</w:t>
      </w:r>
      <w:r w:rsidR="003D640C">
        <w:t xml:space="preserve"> </w:t>
      </w:r>
      <w:r w:rsidRPr="00BB6220">
        <w:t>are</w:t>
      </w:r>
      <w:r w:rsidR="003D640C">
        <w:t xml:space="preserve"> </w:t>
      </w:r>
      <w:r w:rsidRPr="00BB6220">
        <w:t>natural,</w:t>
      </w:r>
      <w:r w:rsidR="003D640C">
        <w:t xml:space="preserve"> </w:t>
      </w:r>
      <w:r w:rsidRPr="00BB6220">
        <w:t>they</w:t>
      </w:r>
      <w:r w:rsidR="003D640C">
        <w:t xml:space="preserve"> </w:t>
      </w:r>
      <w:r w:rsidRPr="00BB6220">
        <w:t>are</w:t>
      </w:r>
      <w:r w:rsidR="003D640C">
        <w:t xml:space="preserve"> </w:t>
      </w:r>
      <w:r w:rsidRPr="00BB6220">
        <w:t>valued</w:t>
      </w:r>
      <w:r w:rsidR="00AA5D43">
        <w:t>.”</w:t>
      </w:r>
    </w:p>
    <w:p w14:paraId="74937438" w14:textId="77777777" w:rsidR="00AB07B9" w:rsidRDefault="00AB07B9">
      <w:pPr>
        <w:rPr>
          <w:rFonts w:asciiTheme="majorHAnsi" w:eastAsiaTheme="majorEastAsia" w:hAnsiTheme="majorHAnsi" w:cstheme="majorBidi"/>
          <w:b/>
          <w:bCs/>
          <w:color w:val="2F5496" w:themeColor="accent1" w:themeShade="BF"/>
          <w:sz w:val="40"/>
          <w:szCs w:val="40"/>
        </w:rPr>
      </w:pPr>
      <w:bookmarkStart w:id="492" w:name="_Toc897034050"/>
      <w:r>
        <w:br w:type="page"/>
      </w:r>
    </w:p>
    <w:p w14:paraId="1678E88B" w14:textId="3723D447" w:rsidR="00F01386" w:rsidRPr="00BB6220" w:rsidRDefault="00F01386" w:rsidP="178ADA35">
      <w:pPr>
        <w:pStyle w:val="Heading1-nonumbering"/>
        <w:ind w:left="0" w:firstLine="0"/>
        <w:rPr>
          <w:rFonts w:asciiTheme="minorHAnsi" w:eastAsiaTheme="minorEastAsia" w:hAnsiTheme="minorHAnsi" w:cstheme="minorBidi"/>
          <w:color w:val="auto"/>
          <w:sz w:val="22"/>
          <w:szCs w:val="22"/>
        </w:rPr>
      </w:pPr>
      <w:bookmarkStart w:id="493" w:name="_Toc174628725"/>
      <w:r w:rsidRPr="00BB6220">
        <w:lastRenderedPageBreak/>
        <w:t>References</w:t>
      </w:r>
      <w:bookmarkEnd w:id="492"/>
      <w:bookmarkEnd w:id="493"/>
    </w:p>
    <w:p w14:paraId="699404CF" w14:textId="2FB4742D" w:rsidR="00F01386" w:rsidRPr="009635D0" w:rsidRDefault="00F01386" w:rsidP="00E00167">
      <w:pPr>
        <w:pStyle w:val="Reference"/>
        <w:rPr>
          <w:lang w:val="en-US"/>
        </w:rPr>
      </w:pPr>
      <w:r w:rsidRPr="005B33A1">
        <w:rPr>
          <w:lang w:val="en-US"/>
        </w:rPr>
        <w:t>Abbot</w:t>
      </w:r>
      <w:r w:rsidRPr="009635D0">
        <w:rPr>
          <w:lang w:val="en-US"/>
        </w:rPr>
        <w:t>,</w:t>
      </w:r>
      <w:r w:rsidR="00970CFF" w:rsidRPr="009635D0">
        <w:rPr>
          <w:lang w:val="en-US"/>
        </w:rPr>
        <w:t xml:space="preserve"> </w:t>
      </w:r>
      <w:r w:rsidRPr="009635D0">
        <w:rPr>
          <w:lang w:val="en-US"/>
        </w:rPr>
        <w:t>K.</w:t>
      </w:r>
      <w:r w:rsidR="003D640C" w:rsidRPr="009635D0">
        <w:rPr>
          <w:lang w:val="en-US"/>
        </w:rPr>
        <w:t xml:space="preserve"> </w:t>
      </w:r>
      <w:r w:rsidRPr="009635D0">
        <w:rPr>
          <w:lang w:val="en-US"/>
        </w:rPr>
        <w:t>(2022)</w:t>
      </w:r>
      <w:r w:rsidR="00970CFF" w:rsidRPr="009635D0">
        <w:rPr>
          <w:lang w:val="en-US"/>
        </w:rPr>
        <w:t>.</w:t>
      </w:r>
      <w:r w:rsidR="003D640C" w:rsidRPr="009635D0">
        <w:rPr>
          <w:lang w:val="en-US"/>
        </w:rPr>
        <w:t xml:space="preserve"> </w:t>
      </w:r>
      <w:r w:rsidRPr="009635D0">
        <w:rPr>
          <w:i/>
          <w:iCs/>
          <w:lang w:val="en-US"/>
        </w:rPr>
        <w:t>Tuākana/</w:t>
      </w:r>
      <w:r w:rsidR="00970CFF" w:rsidRPr="009635D0">
        <w:rPr>
          <w:i/>
          <w:iCs/>
          <w:lang w:val="en-US"/>
        </w:rPr>
        <w:t>t</w:t>
      </w:r>
      <w:r w:rsidRPr="009635D0">
        <w:rPr>
          <w:i/>
          <w:iCs/>
          <w:lang w:val="en-US"/>
        </w:rPr>
        <w:t>ēina</w:t>
      </w:r>
      <w:r w:rsidR="003D640C" w:rsidRPr="009635D0">
        <w:rPr>
          <w:i/>
          <w:iCs/>
          <w:lang w:val="en-US"/>
        </w:rPr>
        <w:t xml:space="preserve"> </w:t>
      </w:r>
      <w:r w:rsidR="00970CFF" w:rsidRPr="009635D0">
        <w:rPr>
          <w:i/>
          <w:iCs/>
          <w:lang w:val="en-US"/>
        </w:rPr>
        <w:t>r</w:t>
      </w:r>
      <w:r w:rsidRPr="009635D0">
        <w:rPr>
          <w:i/>
          <w:iCs/>
          <w:lang w:val="en-US"/>
        </w:rPr>
        <w:t>elational</w:t>
      </w:r>
      <w:r w:rsidR="003D640C" w:rsidRPr="009635D0">
        <w:rPr>
          <w:i/>
          <w:iCs/>
          <w:lang w:val="en-US"/>
        </w:rPr>
        <w:t xml:space="preserve"> </w:t>
      </w:r>
      <w:r w:rsidR="00970CFF" w:rsidRPr="009635D0">
        <w:rPr>
          <w:i/>
          <w:iCs/>
          <w:lang w:val="en-US"/>
        </w:rPr>
        <w:t>r</w:t>
      </w:r>
      <w:r w:rsidRPr="009635D0">
        <w:rPr>
          <w:i/>
          <w:iCs/>
          <w:lang w:val="en-US"/>
        </w:rPr>
        <w:t>esponsibilities</w:t>
      </w:r>
      <w:r w:rsidR="003D640C" w:rsidRPr="009635D0">
        <w:rPr>
          <w:i/>
          <w:iCs/>
          <w:lang w:val="en-US"/>
        </w:rPr>
        <w:t xml:space="preserve"> </w:t>
      </w:r>
      <w:r w:rsidRPr="009635D0">
        <w:rPr>
          <w:i/>
          <w:iCs/>
          <w:lang w:val="en-US"/>
        </w:rPr>
        <w:t>of</w:t>
      </w:r>
      <w:r w:rsidR="003D640C" w:rsidRPr="009635D0">
        <w:rPr>
          <w:i/>
          <w:iCs/>
          <w:lang w:val="en-US"/>
        </w:rPr>
        <w:t xml:space="preserve"> </w:t>
      </w:r>
      <w:r w:rsidRPr="009635D0">
        <w:rPr>
          <w:i/>
          <w:iCs/>
          <w:lang w:val="en-US"/>
        </w:rPr>
        <w:t>Pacific</w:t>
      </w:r>
      <w:r w:rsidR="003D640C" w:rsidRPr="009635D0">
        <w:rPr>
          <w:i/>
          <w:iCs/>
          <w:lang w:val="en-US"/>
        </w:rPr>
        <w:t xml:space="preserve"> </w:t>
      </w:r>
      <w:r w:rsidR="00970CFF" w:rsidRPr="009635D0">
        <w:rPr>
          <w:i/>
          <w:iCs/>
          <w:lang w:val="en-US"/>
        </w:rPr>
        <w:t>t</w:t>
      </w:r>
      <w:r w:rsidRPr="009635D0">
        <w:rPr>
          <w:i/>
          <w:iCs/>
          <w:lang w:val="en-US"/>
        </w:rPr>
        <w:t>auiwi</w:t>
      </w:r>
      <w:r w:rsidR="003D640C" w:rsidRPr="009635D0">
        <w:rPr>
          <w:i/>
          <w:iCs/>
          <w:lang w:val="en-US"/>
        </w:rPr>
        <w:t xml:space="preserve"> </w:t>
      </w:r>
      <w:r w:rsidRPr="009635D0">
        <w:rPr>
          <w:i/>
          <w:iCs/>
          <w:lang w:val="en-US"/>
        </w:rPr>
        <w:t>to</w:t>
      </w:r>
      <w:r w:rsidR="003D640C" w:rsidRPr="009635D0">
        <w:rPr>
          <w:i/>
          <w:iCs/>
          <w:lang w:val="en-US"/>
        </w:rPr>
        <w:t xml:space="preserve"> </w:t>
      </w:r>
      <w:r w:rsidRPr="009635D0">
        <w:rPr>
          <w:i/>
          <w:iCs/>
          <w:lang w:val="en-US"/>
        </w:rPr>
        <w:t>Māori</w:t>
      </w:r>
      <w:r w:rsidR="003D640C" w:rsidRPr="009635D0">
        <w:rPr>
          <w:i/>
          <w:iCs/>
          <w:lang w:val="en-US"/>
        </w:rPr>
        <w:t xml:space="preserve"> </w:t>
      </w:r>
      <w:r w:rsidRPr="009635D0">
        <w:rPr>
          <w:i/>
          <w:iCs/>
          <w:lang w:val="en-US"/>
        </w:rPr>
        <w:t>and</w:t>
      </w:r>
      <w:r w:rsidR="003D640C" w:rsidRPr="009635D0">
        <w:rPr>
          <w:i/>
          <w:iCs/>
          <w:lang w:val="en-US"/>
        </w:rPr>
        <w:t xml:space="preserve"> </w:t>
      </w:r>
      <w:r w:rsidR="00970CFF" w:rsidRPr="009635D0">
        <w:rPr>
          <w:i/>
          <w:iCs/>
          <w:lang w:val="en-US"/>
        </w:rPr>
        <w:t>t</w:t>
      </w:r>
      <w:r w:rsidRPr="009635D0">
        <w:rPr>
          <w:i/>
          <w:iCs/>
          <w:lang w:val="en-US"/>
        </w:rPr>
        <w:t>e</w:t>
      </w:r>
      <w:r w:rsidR="003D640C" w:rsidRPr="009635D0">
        <w:rPr>
          <w:i/>
          <w:iCs/>
          <w:lang w:val="en-US"/>
        </w:rPr>
        <w:t xml:space="preserve"> </w:t>
      </w:r>
      <w:r w:rsidRPr="009635D0">
        <w:rPr>
          <w:i/>
          <w:iCs/>
          <w:lang w:val="en-US"/>
        </w:rPr>
        <w:t>Tiriti</w:t>
      </w:r>
      <w:r w:rsidR="003D640C" w:rsidRPr="009635D0">
        <w:rPr>
          <w:i/>
          <w:iCs/>
          <w:lang w:val="en-US"/>
        </w:rPr>
        <w:t xml:space="preserve"> </w:t>
      </w:r>
      <w:r w:rsidRPr="009635D0">
        <w:rPr>
          <w:i/>
          <w:iCs/>
          <w:lang w:val="en-US"/>
        </w:rPr>
        <w:t>o</w:t>
      </w:r>
      <w:r w:rsidR="003D640C" w:rsidRPr="009635D0">
        <w:rPr>
          <w:i/>
          <w:iCs/>
          <w:lang w:val="en-US"/>
        </w:rPr>
        <w:t xml:space="preserve"> </w:t>
      </w:r>
      <w:r w:rsidRPr="009635D0">
        <w:rPr>
          <w:i/>
          <w:iCs/>
          <w:lang w:val="en-US"/>
        </w:rPr>
        <w:t>Waitangi</w:t>
      </w:r>
      <w:r w:rsidR="00970CFF" w:rsidRPr="009635D0">
        <w:rPr>
          <w:i/>
          <w:iCs/>
          <w:lang w:val="en-US"/>
        </w:rPr>
        <w:t xml:space="preserve"> </w:t>
      </w:r>
      <w:r w:rsidR="00970CFF" w:rsidRPr="009635D0">
        <w:rPr>
          <w:lang w:val="en-US"/>
        </w:rPr>
        <w:t>[</w:t>
      </w:r>
      <w:r w:rsidRPr="009635D0">
        <w:rPr>
          <w:lang w:val="en-US"/>
        </w:rPr>
        <w:t>M</w:t>
      </w:r>
      <w:r w:rsidR="00970CFF" w:rsidRPr="009635D0">
        <w:rPr>
          <w:lang w:val="en-US"/>
        </w:rPr>
        <w:t xml:space="preserve">aster’s </w:t>
      </w:r>
      <w:r w:rsidRPr="009635D0">
        <w:rPr>
          <w:lang w:val="en-US"/>
        </w:rPr>
        <w:t>thesis,</w:t>
      </w:r>
      <w:r w:rsidR="003D640C" w:rsidRPr="009635D0">
        <w:rPr>
          <w:lang w:val="en-US"/>
        </w:rPr>
        <w:t xml:space="preserve"> </w:t>
      </w:r>
      <w:r w:rsidRPr="009635D0">
        <w:rPr>
          <w:lang w:val="en-US"/>
        </w:rPr>
        <w:t>Victoria</w:t>
      </w:r>
      <w:r w:rsidR="003D640C" w:rsidRPr="009635D0">
        <w:rPr>
          <w:lang w:val="en-US"/>
        </w:rPr>
        <w:t xml:space="preserve"> </w:t>
      </w:r>
      <w:r w:rsidRPr="009635D0">
        <w:rPr>
          <w:lang w:val="en-US"/>
        </w:rPr>
        <w:t>University</w:t>
      </w:r>
      <w:r w:rsidR="003D640C" w:rsidRPr="009635D0">
        <w:rPr>
          <w:lang w:val="en-US"/>
        </w:rPr>
        <w:t xml:space="preserve"> </w:t>
      </w:r>
      <w:r w:rsidR="00970CFF" w:rsidRPr="009635D0">
        <w:rPr>
          <w:lang w:val="en-US"/>
        </w:rPr>
        <w:t xml:space="preserve">of </w:t>
      </w:r>
      <w:r w:rsidRPr="009635D0">
        <w:rPr>
          <w:lang w:val="en-US"/>
        </w:rPr>
        <w:t>Wellington</w:t>
      </w:r>
      <w:r w:rsidR="00970CFF" w:rsidRPr="009635D0">
        <w:rPr>
          <w:lang w:val="en-US"/>
        </w:rPr>
        <w:t>]</w:t>
      </w:r>
      <w:r w:rsidRPr="009635D0">
        <w:rPr>
          <w:lang w:val="en-US"/>
        </w:rPr>
        <w:t>.</w:t>
      </w:r>
      <w:r w:rsidR="003D640C" w:rsidRPr="009635D0">
        <w:rPr>
          <w:lang w:val="en-US"/>
        </w:rPr>
        <w:t xml:space="preserve"> </w:t>
      </w:r>
      <w:hyperlink r:id="rId23" w:history="1">
        <w:r w:rsidR="00970CFF" w:rsidRPr="009635D0">
          <w:rPr>
            <w:rStyle w:val="Hyperlink"/>
            <w:lang w:val="en-US"/>
          </w:rPr>
          <w:t>https://openaccess.wgtn.ac.nz/articles/thesis/Tu_kana_T_ina_Relational_Responsibilities_of_Pacific_Tauiwi_to_M_ori_and_Te_Tiriti_o_Waitangi/20514870</w:t>
        </w:r>
      </w:hyperlink>
      <w:r w:rsidR="00970CFF" w:rsidRPr="009635D0">
        <w:rPr>
          <w:lang w:val="en-US"/>
        </w:rPr>
        <w:t xml:space="preserve"> </w:t>
      </w:r>
    </w:p>
    <w:p w14:paraId="2859F4BE" w14:textId="65579936" w:rsidR="00F01386" w:rsidRPr="009635D0" w:rsidRDefault="00F01386" w:rsidP="00E00167">
      <w:pPr>
        <w:pStyle w:val="Reference"/>
      </w:pPr>
      <w:r w:rsidRPr="005B33A1">
        <w:t>Abuse</w:t>
      </w:r>
      <w:r w:rsidR="003D640C" w:rsidRPr="009635D0">
        <w:t xml:space="preserve"> </w:t>
      </w:r>
      <w:r w:rsidRPr="009635D0">
        <w:t>in</w:t>
      </w:r>
      <w:r w:rsidR="003D640C" w:rsidRPr="009635D0">
        <w:t xml:space="preserve"> </w:t>
      </w:r>
      <w:r w:rsidRPr="009635D0">
        <w:t>Care</w:t>
      </w:r>
      <w:r w:rsidR="00450DBC" w:rsidRPr="009635D0">
        <w:t xml:space="preserve"> </w:t>
      </w:r>
      <w:r w:rsidRPr="009635D0">
        <w:t>Royal</w:t>
      </w:r>
      <w:r w:rsidR="003D640C" w:rsidRPr="009635D0">
        <w:t xml:space="preserve"> </w:t>
      </w:r>
      <w:r w:rsidRPr="009635D0">
        <w:t>Commission</w:t>
      </w:r>
      <w:r w:rsidR="003D640C" w:rsidRPr="009635D0">
        <w:t xml:space="preserve"> </w:t>
      </w:r>
      <w:r w:rsidRPr="009635D0">
        <w:t>of</w:t>
      </w:r>
      <w:r w:rsidR="003D640C" w:rsidRPr="009635D0">
        <w:t xml:space="preserve"> </w:t>
      </w:r>
      <w:r w:rsidRPr="009635D0">
        <w:t>Inquiry</w:t>
      </w:r>
      <w:r w:rsidR="00450DBC" w:rsidRPr="009635D0">
        <w:t>.</w:t>
      </w:r>
      <w:r w:rsidR="003D640C" w:rsidRPr="009635D0">
        <w:t xml:space="preserve"> </w:t>
      </w:r>
      <w:r w:rsidRPr="009635D0">
        <w:t>(2022)</w:t>
      </w:r>
      <w:r w:rsidR="003D640C" w:rsidRPr="009635D0">
        <w:t xml:space="preserve"> </w:t>
      </w:r>
      <w:r w:rsidRPr="009635D0">
        <w:rPr>
          <w:i/>
          <w:iCs/>
        </w:rPr>
        <w:t>Beautiful</w:t>
      </w:r>
      <w:r w:rsidR="003D640C" w:rsidRPr="009635D0">
        <w:rPr>
          <w:i/>
          <w:iCs/>
        </w:rPr>
        <w:t xml:space="preserve"> </w:t>
      </w:r>
      <w:r w:rsidRPr="009635D0">
        <w:rPr>
          <w:i/>
          <w:iCs/>
        </w:rPr>
        <w:t>children</w:t>
      </w:r>
      <w:r w:rsidR="00450DBC" w:rsidRPr="009635D0">
        <w:rPr>
          <w:i/>
          <w:iCs/>
        </w:rPr>
        <w:t>:</w:t>
      </w:r>
      <w:r w:rsidR="003D640C" w:rsidRPr="009635D0">
        <w:rPr>
          <w:i/>
          <w:iCs/>
        </w:rPr>
        <w:t xml:space="preserve"> </w:t>
      </w:r>
      <w:r w:rsidRPr="009635D0">
        <w:rPr>
          <w:i/>
          <w:iCs/>
        </w:rPr>
        <w:t>Te</w:t>
      </w:r>
      <w:r w:rsidR="003D640C" w:rsidRPr="009635D0">
        <w:rPr>
          <w:i/>
          <w:iCs/>
        </w:rPr>
        <w:t xml:space="preserve"> </w:t>
      </w:r>
      <w:r w:rsidR="00450DBC" w:rsidRPr="009635D0">
        <w:rPr>
          <w:i/>
          <w:iCs/>
        </w:rPr>
        <w:t>u</w:t>
      </w:r>
      <w:r w:rsidRPr="009635D0">
        <w:rPr>
          <w:i/>
          <w:iCs/>
        </w:rPr>
        <w:t>iui</w:t>
      </w:r>
      <w:r w:rsidR="003D640C" w:rsidRPr="009635D0">
        <w:rPr>
          <w:i/>
          <w:iCs/>
        </w:rPr>
        <w:t xml:space="preserve"> </w:t>
      </w:r>
      <w:r w:rsidRPr="009635D0">
        <w:rPr>
          <w:i/>
          <w:iCs/>
        </w:rPr>
        <w:t>o</w:t>
      </w:r>
      <w:r w:rsidR="003D640C" w:rsidRPr="009635D0">
        <w:rPr>
          <w:i/>
          <w:iCs/>
        </w:rPr>
        <w:t xml:space="preserve"> </w:t>
      </w:r>
      <w:r w:rsidRPr="009635D0">
        <w:rPr>
          <w:i/>
          <w:iCs/>
        </w:rPr>
        <w:t>te</w:t>
      </w:r>
      <w:r w:rsidR="003D640C" w:rsidRPr="009635D0">
        <w:rPr>
          <w:i/>
          <w:iCs/>
        </w:rPr>
        <w:t xml:space="preserve"> </w:t>
      </w:r>
      <w:r w:rsidRPr="009635D0">
        <w:rPr>
          <w:i/>
          <w:iCs/>
        </w:rPr>
        <w:t>Manga</w:t>
      </w:r>
      <w:r w:rsidR="003D640C" w:rsidRPr="009635D0">
        <w:rPr>
          <w:i/>
          <w:iCs/>
        </w:rPr>
        <w:t xml:space="preserve"> </w:t>
      </w:r>
      <w:r w:rsidRPr="009635D0">
        <w:rPr>
          <w:i/>
          <w:iCs/>
        </w:rPr>
        <w:t>Tamariki</w:t>
      </w:r>
      <w:r w:rsidR="003D640C" w:rsidRPr="009635D0">
        <w:rPr>
          <w:i/>
          <w:iCs/>
        </w:rPr>
        <w:t xml:space="preserve"> </w:t>
      </w:r>
      <w:r w:rsidRPr="009635D0">
        <w:rPr>
          <w:i/>
          <w:iCs/>
        </w:rPr>
        <w:t>me</w:t>
      </w:r>
      <w:r w:rsidR="003D640C" w:rsidRPr="009635D0">
        <w:rPr>
          <w:i/>
          <w:iCs/>
        </w:rPr>
        <w:t xml:space="preserve"> </w:t>
      </w:r>
      <w:r w:rsidRPr="009635D0">
        <w:rPr>
          <w:i/>
          <w:iCs/>
        </w:rPr>
        <w:t>te</w:t>
      </w:r>
      <w:r w:rsidR="003D640C" w:rsidRPr="009635D0">
        <w:rPr>
          <w:i/>
          <w:iCs/>
        </w:rPr>
        <w:t xml:space="preserve"> </w:t>
      </w:r>
      <w:r w:rsidRPr="009635D0">
        <w:rPr>
          <w:i/>
          <w:iCs/>
        </w:rPr>
        <w:t>Rangatahi</w:t>
      </w:r>
      <w:r w:rsidR="003D640C" w:rsidRPr="009635D0">
        <w:t xml:space="preserve"> </w:t>
      </w:r>
      <w:r w:rsidRPr="009635D0">
        <w:rPr>
          <w:i/>
          <w:iCs/>
        </w:rPr>
        <w:t>ki</w:t>
      </w:r>
      <w:r w:rsidR="003D640C" w:rsidRPr="009635D0">
        <w:rPr>
          <w:i/>
          <w:iCs/>
        </w:rPr>
        <w:t xml:space="preserve"> </w:t>
      </w:r>
      <w:r w:rsidRPr="009635D0">
        <w:rPr>
          <w:i/>
          <w:iCs/>
        </w:rPr>
        <w:t>Lake</w:t>
      </w:r>
      <w:r w:rsidR="003D640C" w:rsidRPr="009635D0">
        <w:rPr>
          <w:i/>
          <w:iCs/>
        </w:rPr>
        <w:t xml:space="preserve"> </w:t>
      </w:r>
      <w:r w:rsidRPr="009635D0">
        <w:rPr>
          <w:i/>
          <w:iCs/>
        </w:rPr>
        <w:t>Alice</w:t>
      </w:r>
      <w:r w:rsidR="00B45497" w:rsidRPr="009635D0">
        <w:rPr>
          <w:i/>
          <w:iCs/>
        </w:rPr>
        <w:t xml:space="preserve"> |</w:t>
      </w:r>
      <w:r w:rsidR="003D640C" w:rsidRPr="009635D0">
        <w:rPr>
          <w:i/>
          <w:iCs/>
        </w:rPr>
        <w:t xml:space="preserve"> </w:t>
      </w:r>
      <w:r w:rsidRPr="009635D0">
        <w:rPr>
          <w:i/>
          <w:iCs/>
        </w:rPr>
        <w:t>Inquiry</w:t>
      </w:r>
      <w:r w:rsidR="003D640C" w:rsidRPr="009635D0">
        <w:rPr>
          <w:i/>
          <w:iCs/>
        </w:rPr>
        <w:t xml:space="preserve"> </w:t>
      </w:r>
      <w:r w:rsidRPr="009635D0">
        <w:rPr>
          <w:i/>
          <w:iCs/>
        </w:rPr>
        <w:t>into</w:t>
      </w:r>
      <w:r w:rsidR="003D640C" w:rsidRPr="009635D0">
        <w:rPr>
          <w:i/>
          <w:iCs/>
        </w:rPr>
        <w:t xml:space="preserve"> </w:t>
      </w:r>
      <w:r w:rsidRPr="009635D0">
        <w:rPr>
          <w:i/>
          <w:iCs/>
        </w:rPr>
        <w:t>the</w:t>
      </w:r>
      <w:r w:rsidR="003D640C" w:rsidRPr="009635D0">
        <w:rPr>
          <w:i/>
          <w:iCs/>
        </w:rPr>
        <w:t xml:space="preserve"> </w:t>
      </w:r>
      <w:r w:rsidRPr="009635D0">
        <w:rPr>
          <w:i/>
          <w:iCs/>
        </w:rPr>
        <w:t>Lake</w:t>
      </w:r>
      <w:r w:rsidR="003D640C" w:rsidRPr="009635D0">
        <w:rPr>
          <w:i/>
          <w:iCs/>
        </w:rPr>
        <w:t xml:space="preserve"> </w:t>
      </w:r>
      <w:r w:rsidRPr="009635D0">
        <w:rPr>
          <w:i/>
          <w:iCs/>
        </w:rPr>
        <w:t>Alice</w:t>
      </w:r>
      <w:r w:rsidR="003D640C" w:rsidRPr="009635D0">
        <w:rPr>
          <w:i/>
          <w:iCs/>
        </w:rPr>
        <w:t xml:space="preserve"> </w:t>
      </w:r>
      <w:r w:rsidRPr="009635D0">
        <w:rPr>
          <w:i/>
          <w:iCs/>
        </w:rPr>
        <w:t>Child</w:t>
      </w:r>
      <w:r w:rsidR="003D640C" w:rsidRPr="009635D0">
        <w:rPr>
          <w:i/>
          <w:iCs/>
        </w:rPr>
        <w:t xml:space="preserve"> </w:t>
      </w:r>
      <w:r w:rsidRPr="009635D0">
        <w:rPr>
          <w:i/>
          <w:iCs/>
        </w:rPr>
        <w:t>and</w:t>
      </w:r>
      <w:r w:rsidR="003D640C" w:rsidRPr="009635D0">
        <w:rPr>
          <w:i/>
          <w:iCs/>
        </w:rPr>
        <w:t xml:space="preserve"> </w:t>
      </w:r>
      <w:r w:rsidRPr="009635D0">
        <w:rPr>
          <w:i/>
          <w:iCs/>
        </w:rPr>
        <w:t>Adolescent</w:t>
      </w:r>
      <w:r w:rsidR="003D640C" w:rsidRPr="009635D0">
        <w:rPr>
          <w:i/>
          <w:iCs/>
        </w:rPr>
        <w:t xml:space="preserve"> </w:t>
      </w:r>
      <w:r w:rsidRPr="009635D0">
        <w:rPr>
          <w:i/>
          <w:iCs/>
        </w:rPr>
        <w:t>Unit</w:t>
      </w:r>
      <w:r w:rsidRPr="009635D0">
        <w:t>.</w:t>
      </w:r>
      <w:r w:rsidR="003D640C" w:rsidRPr="009635D0">
        <w:t xml:space="preserve"> </w:t>
      </w:r>
      <w:hyperlink r:id="rId24" w:history="1">
        <w:r w:rsidR="00D42718" w:rsidRPr="009635D0">
          <w:rPr>
            <w:rStyle w:val="Hyperlink"/>
          </w:rPr>
          <w:t>https://www.abuseincare.org.nz/assets/Document-Library/Beautiful-Children-Full-Report-PDF-v2.pdf</w:t>
        </w:r>
      </w:hyperlink>
      <w:r w:rsidR="00D42718" w:rsidRPr="009635D0">
        <w:t xml:space="preserve"> </w:t>
      </w:r>
    </w:p>
    <w:p w14:paraId="0227E43B" w14:textId="3A38A552" w:rsidR="00F01386" w:rsidRPr="009635D0" w:rsidRDefault="00F01386" w:rsidP="00E00167">
      <w:pPr>
        <w:pStyle w:val="Reference"/>
      </w:pPr>
      <w:r w:rsidRPr="005B33A1">
        <w:t>Allan</w:t>
      </w:r>
      <w:r w:rsidRPr="009635D0">
        <w:t>,</w:t>
      </w:r>
      <w:r w:rsidR="003D640C" w:rsidRPr="009635D0">
        <w:t xml:space="preserve"> </w:t>
      </w:r>
      <w:r w:rsidRPr="009635D0">
        <w:t>K.</w:t>
      </w:r>
      <w:r w:rsidR="003D640C" w:rsidRPr="009635D0">
        <w:t xml:space="preserve"> </w:t>
      </w:r>
      <w:r w:rsidRPr="009635D0">
        <w:t>(2022,</w:t>
      </w:r>
      <w:r w:rsidR="003D640C" w:rsidRPr="009635D0">
        <w:t xml:space="preserve"> </w:t>
      </w:r>
      <w:r w:rsidRPr="009635D0">
        <w:t>February</w:t>
      </w:r>
      <w:r w:rsidR="003D640C" w:rsidRPr="009635D0">
        <w:t xml:space="preserve"> </w:t>
      </w:r>
      <w:r w:rsidRPr="009635D0">
        <w:t>19).</w:t>
      </w:r>
      <w:r w:rsidR="003D640C" w:rsidRPr="009635D0">
        <w:t xml:space="preserve"> </w:t>
      </w:r>
      <w:r w:rsidRPr="009635D0">
        <w:rPr>
          <w:i/>
          <w:iCs/>
        </w:rPr>
        <w:t>Kiri</w:t>
      </w:r>
      <w:r w:rsidR="003D640C" w:rsidRPr="009635D0">
        <w:rPr>
          <w:i/>
          <w:iCs/>
        </w:rPr>
        <w:t xml:space="preserve"> </w:t>
      </w:r>
      <w:r w:rsidRPr="009635D0">
        <w:rPr>
          <w:i/>
          <w:iCs/>
        </w:rPr>
        <w:t>Allan:</w:t>
      </w:r>
      <w:r w:rsidR="003D640C" w:rsidRPr="009635D0">
        <w:rPr>
          <w:i/>
          <w:iCs/>
        </w:rPr>
        <w:t xml:space="preserve"> </w:t>
      </w:r>
      <w:r w:rsidRPr="009635D0">
        <w:rPr>
          <w:i/>
          <w:iCs/>
        </w:rPr>
        <w:t>My</w:t>
      </w:r>
      <w:r w:rsidR="003D640C" w:rsidRPr="009635D0">
        <w:rPr>
          <w:i/>
          <w:iCs/>
        </w:rPr>
        <w:t xml:space="preserve"> </w:t>
      </w:r>
      <w:r w:rsidRPr="009635D0">
        <w:rPr>
          <w:i/>
          <w:iCs/>
        </w:rPr>
        <w:t>conversion</w:t>
      </w:r>
      <w:r w:rsidR="003D640C" w:rsidRPr="009635D0">
        <w:rPr>
          <w:i/>
          <w:iCs/>
        </w:rPr>
        <w:t xml:space="preserve"> </w:t>
      </w:r>
      <w:r w:rsidRPr="009635D0">
        <w:rPr>
          <w:i/>
          <w:iCs/>
        </w:rPr>
        <w:t>therapy</w:t>
      </w:r>
      <w:r w:rsidR="003D640C" w:rsidRPr="009635D0">
        <w:rPr>
          <w:i/>
          <w:iCs/>
        </w:rPr>
        <w:t xml:space="preserve"> </w:t>
      </w:r>
      <w:r w:rsidRPr="009635D0">
        <w:rPr>
          <w:i/>
          <w:iCs/>
        </w:rPr>
        <w:t>story</w:t>
      </w:r>
      <w:r w:rsidRPr="009635D0">
        <w:t>.</w:t>
      </w:r>
      <w:r w:rsidR="003D640C" w:rsidRPr="009635D0">
        <w:t xml:space="preserve"> </w:t>
      </w:r>
      <w:hyperlink r:id="rId25" w:history="1">
        <w:r w:rsidR="004D4891" w:rsidRPr="009635D0" w:rsidDel="00E93635">
          <w:rPr>
            <w:rStyle w:val="Hyperlink"/>
          </w:rPr>
          <w:t>https://thespinoff.co.nz/politics/19-02-2022/kiri-allan-my-conversion-therapy-story</w:t>
        </w:r>
      </w:hyperlink>
      <w:r w:rsidR="004D4891" w:rsidRPr="009635D0">
        <w:t xml:space="preserve"> </w:t>
      </w:r>
      <w:r w:rsidR="003D640C" w:rsidRPr="009635D0">
        <w:t xml:space="preserve"> </w:t>
      </w:r>
    </w:p>
    <w:p w14:paraId="4C03EA36" w14:textId="01008478" w:rsidR="00A0716D" w:rsidRPr="009635D0" w:rsidRDefault="00F01386" w:rsidP="00E00167">
      <w:pPr>
        <w:pStyle w:val="Reference"/>
      </w:pPr>
      <w:r w:rsidRPr="005B33A1">
        <w:t>American</w:t>
      </w:r>
      <w:r w:rsidR="003D640C" w:rsidRPr="009635D0">
        <w:t xml:space="preserve"> </w:t>
      </w:r>
      <w:r w:rsidRPr="009635D0">
        <w:t>Psychological</w:t>
      </w:r>
      <w:r w:rsidR="003D640C" w:rsidRPr="009635D0">
        <w:t xml:space="preserve"> </w:t>
      </w:r>
      <w:r w:rsidRPr="009635D0">
        <w:t>Association.</w:t>
      </w:r>
      <w:r w:rsidR="003D640C" w:rsidRPr="009635D0">
        <w:t xml:space="preserve"> </w:t>
      </w:r>
      <w:r w:rsidRPr="009635D0">
        <w:t>(2009).</w:t>
      </w:r>
      <w:r w:rsidR="003D640C" w:rsidRPr="009635D0">
        <w:t xml:space="preserve"> </w:t>
      </w:r>
      <w:r w:rsidRPr="009635D0">
        <w:rPr>
          <w:i/>
          <w:iCs/>
        </w:rPr>
        <w:t>Report</w:t>
      </w:r>
      <w:r w:rsidR="003D640C" w:rsidRPr="009635D0">
        <w:rPr>
          <w:i/>
          <w:iCs/>
        </w:rPr>
        <w:t xml:space="preserve"> </w:t>
      </w:r>
      <w:r w:rsidRPr="009635D0">
        <w:rPr>
          <w:i/>
          <w:iCs/>
        </w:rPr>
        <w:t>of</w:t>
      </w:r>
      <w:r w:rsidR="003D640C" w:rsidRPr="009635D0">
        <w:rPr>
          <w:i/>
          <w:iCs/>
        </w:rPr>
        <w:t xml:space="preserve"> </w:t>
      </w:r>
      <w:r w:rsidRPr="009635D0">
        <w:rPr>
          <w:i/>
          <w:iCs/>
        </w:rPr>
        <w:t>the</w:t>
      </w:r>
      <w:r w:rsidR="003D640C" w:rsidRPr="009635D0">
        <w:rPr>
          <w:i/>
          <w:iCs/>
        </w:rPr>
        <w:t xml:space="preserve"> </w:t>
      </w:r>
      <w:r w:rsidRPr="009635D0">
        <w:rPr>
          <w:i/>
          <w:iCs/>
        </w:rPr>
        <w:t>American</w:t>
      </w:r>
      <w:r w:rsidR="003D640C" w:rsidRPr="009635D0">
        <w:rPr>
          <w:i/>
          <w:iCs/>
        </w:rPr>
        <w:t xml:space="preserve"> </w:t>
      </w:r>
      <w:r w:rsidRPr="009635D0">
        <w:rPr>
          <w:i/>
          <w:iCs/>
        </w:rPr>
        <w:t>Psychological</w:t>
      </w:r>
      <w:r w:rsidR="003D640C" w:rsidRPr="009635D0">
        <w:rPr>
          <w:i/>
          <w:iCs/>
        </w:rPr>
        <w:t xml:space="preserve"> </w:t>
      </w:r>
      <w:r w:rsidRPr="009635D0">
        <w:rPr>
          <w:i/>
          <w:iCs/>
        </w:rPr>
        <w:t>Association</w:t>
      </w:r>
      <w:r w:rsidR="003D640C" w:rsidRPr="009635D0">
        <w:rPr>
          <w:i/>
          <w:iCs/>
        </w:rPr>
        <w:t xml:space="preserve"> </w:t>
      </w:r>
      <w:r w:rsidRPr="009635D0">
        <w:rPr>
          <w:i/>
          <w:iCs/>
        </w:rPr>
        <w:t>Task</w:t>
      </w:r>
      <w:r w:rsidR="003D640C" w:rsidRPr="009635D0">
        <w:rPr>
          <w:i/>
          <w:iCs/>
        </w:rPr>
        <w:t xml:space="preserve"> </w:t>
      </w:r>
      <w:r w:rsidRPr="009635D0">
        <w:rPr>
          <w:i/>
          <w:iCs/>
        </w:rPr>
        <w:t>Force</w:t>
      </w:r>
      <w:r w:rsidR="003D640C" w:rsidRPr="009635D0">
        <w:rPr>
          <w:i/>
          <w:iCs/>
        </w:rPr>
        <w:t xml:space="preserve"> </w:t>
      </w:r>
      <w:r w:rsidRPr="009635D0">
        <w:rPr>
          <w:i/>
          <w:iCs/>
        </w:rPr>
        <w:t>on</w:t>
      </w:r>
      <w:r w:rsidR="003D640C" w:rsidRPr="009635D0">
        <w:rPr>
          <w:i/>
          <w:iCs/>
        </w:rPr>
        <w:t xml:space="preserve"> </w:t>
      </w:r>
      <w:r w:rsidRPr="009635D0">
        <w:rPr>
          <w:i/>
          <w:iCs/>
        </w:rPr>
        <w:t>appropriate</w:t>
      </w:r>
      <w:r w:rsidR="003D640C" w:rsidRPr="009635D0">
        <w:rPr>
          <w:i/>
          <w:iCs/>
        </w:rPr>
        <w:t xml:space="preserve"> </w:t>
      </w:r>
      <w:r w:rsidRPr="009635D0">
        <w:rPr>
          <w:i/>
          <w:iCs/>
        </w:rPr>
        <w:t>therapeutic</w:t>
      </w:r>
      <w:r w:rsidR="003D640C" w:rsidRPr="009635D0">
        <w:rPr>
          <w:i/>
          <w:iCs/>
        </w:rPr>
        <w:t xml:space="preserve"> </w:t>
      </w:r>
      <w:r w:rsidRPr="009635D0">
        <w:rPr>
          <w:i/>
          <w:iCs/>
        </w:rPr>
        <w:t>responses</w:t>
      </w:r>
      <w:r w:rsidR="003D640C" w:rsidRPr="009635D0">
        <w:rPr>
          <w:i/>
          <w:iCs/>
        </w:rPr>
        <w:t xml:space="preserve"> </w:t>
      </w:r>
      <w:r w:rsidRPr="009635D0">
        <w:rPr>
          <w:i/>
          <w:iCs/>
        </w:rPr>
        <w:t>to</w:t>
      </w:r>
      <w:r w:rsidR="003D640C" w:rsidRPr="009635D0">
        <w:rPr>
          <w:i/>
          <w:iCs/>
        </w:rPr>
        <w:t xml:space="preserve"> </w:t>
      </w:r>
      <w:r w:rsidRPr="009635D0">
        <w:rPr>
          <w:i/>
          <w:iCs/>
        </w:rPr>
        <w:t>sexual</w:t>
      </w:r>
      <w:r w:rsidR="003D640C" w:rsidRPr="009635D0">
        <w:rPr>
          <w:i/>
          <w:iCs/>
        </w:rPr>
        <w:t xml:space="preserve"> </w:t>
      </w:r>
      <w:r w:rsidRPr="009635D0">
        <w:rPr>
          <w:i/>
          <w:iCs/>
        </w:rPr>
        <w:t>orientation</w:t>
      </w:r>
      <w:r w:rsidRPr="009635D0">
        <w:t>.</w:t>
      </w:r>
      <w:r w:rsidR="003D640C" w:rsidRPr="009635D0">
        <w:t xml:space="preserve"> </w:t>
      </w:r>
      <w:hyperlink r:id="rId26" w:history="1">
        <w:r w:rsidR="008A3B23" w:rsidRPr="009635D0">
          <w:rPr>
            <w:rStyle w:val="Hyperlink"/>
          </w:rPr>
          <w:t>https://www.apa.org/pi/lgbt/resources/therapeutic-response.pdf</w:t>
        </w:r>
      </w:hyperlink>
      <w:r w:rsidR="008A3B23" w:rsidRPr="009635D0">
        <w:t xml:space="preserve"> </w:t>
      </w:r>
      <w:r w:rsidR="008A3B23" w:rsidRPr="009635D0" w:rsidDel="008A3B23">
        <w:t xml:space="preserve"> </w:t>
      </w:r>
    </w:p>
    <w:p w14:paraId="5B1AADC6" w14:textId="0731FAC8" w:rsidR="00A0716D" w:rsidRPr="009635D0" w:rsidRDefault="00A0716D" w:rsidP="00E00167">
      <w:pPr>
        <w:pStyle w:val="Reference"/>
      </w:pPr>
      <w:r w:rsidRPr="009635D0">
        <w:t xml:space="preserve">Anderson, C. (2009). </w:t>
      </w:r>
      <w:r w:rsidRPr="005B33A1">
        <w:rPr>
          <w:i/>
          <w:iCs/>
        </w:rPr>
        <w:t>Ancient laws and contemporary controversies: The need for inclusive biblical interpretation</w:t>
      </w:r>
      <w:r w:rsidRPr="009635D0">
        <w:t>. Oxford University Press</w:t>
      </w:r>
    </w:p>
    <w:p w14:paraId="55112EFD" w14:textId="75270384" w:rsidR="00F01386" w:rsidRPr="009635D0" w:rsidRDefault="00F01386" w:rsidP="00E00167">
      <w:pPr>
        <w:pStyle w:val="Reference"/>
        <w:rPr>
          <w:rStyle w:val="Hyperlink"/>
        </w:rPr>
      </w:pPr>
      <w:r w:rsidRPr="009635D0">
        <w:t>Ashley,</w:t>
      </w:r>
      <w:r w:rsidR="003D640C" w:rsidRPr="009635D0">
        <w:t xml:space="preserve"> </w:t>
      </w:r>
      <w:r w:rsidRPr="009635D0">
        <w:t>F.</w:t>
      </w:r>
      <w:r w:rsidR="003D640C" w:rsidRPr="009635D0">
        <w:t xml:space="preserve"> </w:t>
      </w:r>
      <w:r w:rsidRPr="009635D0">
        <w:t>(2020).</w:t>
      </w:r>
      <w:r w:rsidR="003D640C" w:rsidRPr="009635D0">
        <w:t xml:space="preserve"> </w:t>
      </w:r>
      <w:r w:rsidRPr="009635D0">
        <w:t>Homophobia,</w:t>
      </w:r>
      <w:r w:rsidR="003D640C" w:rsidRPr="009635D0">
        <w:t xml:space="preserve"> </w:t>
      </w:r>
      <w:r w:rsidRPr="009635D0">
        <w:t>conversion</w:t>
      </w:r>
      <w:r w:rsidR="003D640C" w:rsidRPr="009635D0">
        <w:t xml:space="preserve"> </w:t>
      </w:r>
      <w:r w:rsidRPr="009635D0">
        <w:t>therapy,</w:t>
      </w:r>
      <w:r w:rsidR="003D640C" w:rsidRPr="009635D0">
        <w:t xml:space="preserve"> </w:t>
      </w:r>
      <w:r w:rsidRPr="009635D0">
        <w:t>and</w:t>
      </w:r>
      <w:r w:rsidR="003D640C" w:rsidRPr="009635D0">
        <w:t xml:space="preserve"> </w:t>
      </w:r>
      <w:r w:rsidRPr="009635D0">
        <w:t>care</w:t>
      </w:r>
      <w:r w:rsidR="003D640C" w:rsidRPr="009635D0">
        <w:t xml:space="preserve"> </w:t>
      </w:r>
      <w:r w:rsidRPr="009635D0">
        <w:t>models</w:t>
      </w:r>
      <w:r w:rsidR="003D640C" w:rsidRPr="009635D0">
        <w:t xml:space="preserve"> </w:t>
      </w:r>
      <w:r w:rsidRPr="009635D0">
        <w:t>for</w:t>
      </w:r>
      <w:r w:rsidR="003D640C" w:rsidRPr="009635D0">
        <w:t xml:space="preserve"> </w:t>
      </w:r>
      <w:r w:rsidRPr="009635D0">
        <w:t>trans</w:t>
      </w:r>
      <w:r w:rsidR="003D640C" w:rsidRPr="009635D0">
        <w:t xml:space="preserve"> </w:t>
      </w:r>
      <w:r w:rsidRPr="009635D0">
        <w:t>youth:</w:t>
      </w:r>
      <w:r w:rsidR="003D640C" w:rsidRPr="009635D0">
        <w:t xml:space="preserve"> </w:t>
      </w:r>
      <w:r w:rsidR="005335F0" w:rsidRPr="009635D0">
        <w:t>D</w:t>
      </w:r>
      <w:r w:rsidRPr="009635D0">
        <w:t>efending</w:t>
      </w:r>
      <w:r w:rsidR="003D640C" w:rsidRPr="009635D0">
        <w:t xml:space="preserve"> </w:t>
      </w:r>
      <w:r w:rsidRPr="009635D0">
        <w:t>the</w:t>
      </w:r>
      <w:r w:rsidR="003D640C" w:rsidRPr="009635D0">
        <w:t xml:space="preserve"> </w:t>
      </w:r>
      <w:r w:rsidRPr="009635D0">
        <w:t>gender-affirmative</w:t>
      </w:r>
      <w:r w:rsidR="003D640C" w:rsidRPr="009635D0">
        <w:t xml:space="preserve"> </w:t>
      </w:r>
      <w:r w:rsidRPr="009635D0">
        <w:t>approach,</w:t>
      </w:r>
      <w:r w:rsidR="003D640C" w:rsidRPr="009635D0">
        <w:t xml:space="preserve"> </w:t>
      </w:r>
      <w:r w:rsidRPr="009635D0">
        <w:rPr>
          <w:i/>
          <w:iCs/>
        </w:rPr>
        <w:t>Journal</w:t>
      </w:r>
      <w:r w:rsidR="003D640C" w:rsidRPr="009635D0">
        <w:rPr>
          <w:i/>
          <w:iCs/>
        </w:rPr>
        <w:t xml:space="preserve"> </w:t>
      </w:r>
      <w:r w:rsidRPr="009635D0">
        <w:rPr>
          <w:i/>
          <w:iCs/>
        </w:rPr>
        <w:t>of</w:t>
      </w:r>
      <w:r w:rsidR="003D640C" w:rsidRPr="009635D0">
        <w:rPr>
          <w:i/>
          <w:iCs/>
        </w:rPr>
        <w:t xml:space="preserve"> </w:t>
      </w:r>
      <w:r w:rsidRPr="009635D0">
        <w:rPr>
          <w:i/>
          <w:iCs/>
        </w:rPr>
        <w:t>LGBT</w:t>
      </w:r>
      <w:r w:rsidR="003D640C" w:rsidRPr="009635D0">
        <w:rPr>
          <w:i/>
          <w:iCs/>
        </w:rPr>
        <w:t xml:space="preserve"> </w:t>
      </w:r>
      <w:r w:rsidRPr="009635D0">
        <w:rPr>
          <w:i/>
          <w:iCs/>
        </w:rPr>
        <w:t>Youth</w:t>
      </w:r>
      <w:r w:rsidRPr="009635D0">
        <w:t>,</w:t>
      </w:r>
      <w:r w:rsidR="003D640C" w:rsidRPr="009635D0">
        <w:t xml:space="preserve"> </w:t>
      </w:r>
      <w:r w:rsidRPr="005B33A1">
        <w:rPr>
          <w:i/>
          <w:iCs/>
        </w:rPr>
        <w:t>17</w:t>
      </w:r>
      <w:r w:rsidRPr="009635D0">
        <w:t>(4),</w:t>
      </w:r>
      <w:r w:rsidR="003D640C" w:rsidRPr="009635D0">
        <w:t xml:space="preserve"> </w:t>
      </w:r>
      <w:r w:rsidRPr="009635D0">
        <w:t>361</w:t>
      </w:r>
      <w:r w:rsidR="005335F0" w:rsidRPr="009635D0">
        <w:t>–</w:t>
      </w:r>
      <w:r w:rsidRPr="009635D0">
        <w:t>383.</w:t>
      </w:r>
      <w:r w:rsidR="003D640C" w:rsidRPr="009635D0">
        <w:t xml:space="preserve"> </w:t>
      </w:r>
      <w:hyperlink r:id="rId27" w:history="1">
        <w:r w:rsidR="005335F0" w:rsidRPr="009635D0">
          <w:rPr>
            <w:rStyle w:val="Hyperlink"/>
          </w:rPr>
          <w:t>https://doi.org/10.1080/19361653.2019.1665610</w:t>
        </w:r>
      </w:hyperlink>
      <w:r w:rsidR="005335F0" w:rsidRPr="009635D0">
        <w:t xml:space="preserve"> </w:t>
      </w:r>
    </w:p>
    <w:p w14:paraId="520520A7" w14:textId="515617A7" w:rsidR="00F01386" w:rsidRPr="009635D0" w:rsidRDefault="00F01386" w:rsidP="00E00167">
      <w:pPr>
        <w:pStyle w:val="Reference"/>
        <w:rPr>
          <w:rFonts w:cstheme="minorHAnsi"/>
          <w:color w:val="050505"/>
          <w:shd w:val="clear" w:color="auto" w:fill="FFFFFF"/>
        </w:rPr>
      </w:pPr>
      <w:r w:rsidRPr="009635D0">
        <w:rPr>
          <w:rFonts w:cstheme="minorHAnsi"/>
          <w:color w:val="050505"/>
          <w:shd w:val="clear" w:color="auto" w:fill="FFFFFF"/>
        </w:rPr>
        <w:t>Ashley,</w:t>
      </w:r>
      <w:r w:rsidR="003D640C" w:rsidRPr="009635D0">
        <w:rPr>
          <w:rFonts w:cstheme="minorHAnsi"/>
          <w:color w:val="050505"/>
          <w:shd w:val="clear" w:color="auto" w:fill="FFFFFF"/>
        </w:rPr>
        <w:t xml:space="preserve"> </w:t>
      </w:r>
      <w:r w:rsidRPr="009635D0">
        <w:rPr>
          <w:rFonts w:cstheme="minorHAnsi"/>
          <w:color w:val="050505"/>
          <w:shd w:val="clear" w:color="auto" w:fill="FFFFFF"/>
        </w:rPr>
        <w:t>F.</w:t>
      </w:r>
      <w:r w:rsidR="003D640C" w:rsidRPr="009635D0">
        <w:rPr>
          <w:rFonts w:cstheme="minorHAnsi"/>
          <w:color w:val="050505"/>
          <w:shd w:val="clear" w:color="auto" w:fill="FFFFFF"/>
        </w:rPr>
        <w:t xml:space="preserve"> </w:t>
      </w:r>
      <w:r w:rsidRPr="009635D0">
        <w:rPr>
          <w:rFonts w:cstheme="minorHAnsi"/>
          <w:color w:val="050505"/>
          <w:shd w:val="clear" w:color="auto" w:fill="FFFFFF"/>
        </w:rPr>
        <w:t>(2022).</w:t>
      </w:r>
      <w:r w:rsidR="003D640C" w:rsidRPr="009635D0">
        <w:rPr>
          <w:rFonts w:cstheme="minorHAnsi"/>
          <w:color w:val="050505"/>
          <w:shd w:val="clear" w:color="auto" w:fill="FFFFFF"/>
        </w:rPr>
        <w:t xml:space="preserve"> </w:t>
      </w:r>
      <w:r w:rsidRPr="005B33A1">
        <w:rPr>
          <w:rFonts w:cstheme="minorHAnsi"/>
          <w:i/>
          <w:iCs/>
          <w:color w:val="050505"/>
          <w:shd w:val="clear" w:color="auto" w:fill="FFFFFF"/>
        </w:rPr>
        <w:t>Banning</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transgender</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conversion</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practices:</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A</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legal</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and</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policy</w:t>
      </w:r>
      <w:r w:rsidR="003D640C" w:rsidRPr="005B33A1">
        <w:rPr>
          <w:rFonts w:cstheme="minorHAnsi"/>
          <w:i/>
          <w:iCs/>
          <w:color w:val="050505"/>
          <w:shd w:val="clear" w:color="auto" w:fill="FFFFFF"/>
        </w:rPr>
        <w:t xml:space="preserve"> </w:t>
      </w:r>
      <w:r w:rsidRPr="005B33A1">
        <w:rPr>
          <w:rFonts w:cstheme="minorHAnsi"/>
          <w:i/>
          <w:iCs/>
          <w:color w:val="050505"/>
          <w:shd w:val="clear" w:color="auto" w:fill="FFFFFF"/>
        </w:rPr>
        <w:t>analysis</w:t>
      </w:r>
      <w:r w:rsidRPr="009635D0">
        <w:rPr>
          <w:rFonts w:cstheme="minorHAnsi"/>
          <w:color w:val="050505"/>
          <w:shd w:val="clear" w:color="auto" w:fill="FFFFFF"/>
        </w:rPr>
        <w:t>.</w:t>
      </w:r>
      <w:r w:rsidR="003D640C" w:rsidRPr="009635D0">
        <w:rPr>
          <w:rFonts w:cstheme="minorHAnsi"/>
          <w:color w:val="050505"/>
          <w:shd w:val="clear" w:color="auto" w:fill="FFFFFF"/>
        </w:rPr>
        <w:t xml:space="preserve"> </w:t>
      </w:r>
      <w:r w:rsidRPr="009635D0">
        <w:rPr>
          <w:rFonts w:cstheme="minorHAnsi"/>
          <w:color w:val="050505"/>
          <w:shd w:val="clear" w:color="auto" w:fill="FFFFFF"/>
        </w:rPr>
        <w:t>UBC</w:t>
      </w:r>
      <w:r w:rsidR="003D640C" w:rsidRPr="009635D0">
        <w:rPr>
          <w:rFonts w:cstheme="minorHAnsi"/>
          <w:color w:val="050505"/>
          <w:shd w:val="clear" w:color="auto" w:fill="FFFFFF"/>
        </w:rPr>
        <w:t xml:space="preserve"> </w:t>
      </w:r>
      <w:r w:rsidRPr="009635D0">
        <w:rPr>
          <w:rFonts w:cstheme="minorHAnsi"/>
          <w:color w:val="050505"/>
          <w:shd w:val="clear" w:color="auto" w:fill="FFFFFF"/>
        </w:rPr>
        <w:t>Press</w:t>
      </w:r>
      <w:r w:rsidR="003C7279" w:rsidRPr="009635D0">
        <w:rPr>
          <w:rFonts w:cstheme="minorHAnsi"/>
          <w:color w:val="050505"/>
          <w:shd w:val="clear" w:color="auto" w:fill="FFFFFF"/>
        </w:rPr>
        <w:t>.</w:t>
      </w:r>
    </w:p>
    <w:p w14:paraId="27021ECE" w14:textId="57420D59" w:rsidR="00F01386" w:rsidRPr="009635D0" w:rsidRDefault="00F01386" w:rsidP="00E00167">
      <w:pPr>
        <w:pStyle w:val="Reference"/>
      </w:pPr>
      <w:r w:rsidRPr="005B33A1">
        <w:t>Asia</w:t>
      </w:r>
      <w:r w:rsidR="003D640C" w:rsidRPr="009635D0">
        <w:t xml:space="preserve"> </w:t>
      </w:r>
      <w:r w:rsidRPr="009635D0">
        <w:t>Pacific</w:t>
      </w:r>
      <w:r w:rsidR="003D640C" w:rsidRPr="009635D0">
        <w:t xml:space="preserve"> </w:t>
      </w:r>
      <w:r w:rsidRPr="009635D0">
        <w:t>Transgender</w:t>
      </w:r>
      <w:r w:rsidR="003D640C" w:rsidRPr="009635D0">
        <w:t xml:space="preserve"> </w:t>
      </w:r>
      <w:r w:rsidRPr="009635D0">
        <w:t>Network</w:t>
      </w:r>
      <w:r w:rsidR="003A051E" w:rsidRPr="009635D0">
        <w:t>.</w:t>
      </w:r>
      <w:r w:rsidR="003D640C" w:rsidRPr="009635D0">
        <w:t xml:space="preserve"> </w:t>
      </w:r>
      <w:r w:rsidRPr="009635D0">
        <w:t>(2021).</w:t>
      </w:r>
      <w:r w:rsidR="003D640C" w:rsidRPr="009635D0">
        <w:t xml:space="preserve"> </w:t>
      </w:r>
      <w:r w:rsidRPr="009635D0">
        <w:rPr>
          <w:i/>
          <w:iCs/>
        </w:rPr>
        <w:t>Conversion</w:t>
      </w:r>
      <w:r w:rsidR="003D640C" w:rsidRPr="009635D0">
        <w:rPr>
          <w:i/>
          <w:iCs/>
        </w:rPr>
        <w:t xml:space="preserve"> </w:t>
      </w:r>
      <w:r w:rsidRPr="009635D0">
        <w:rPr>
          <w:i/>
          <w:iCs/>
        </w:rPr>
        <w:t>therapy</w:t>
      </w:r>
      <w:r w:rsidR="003D640C" w:rsidRPr="009635D0">
        <w:rPr>
          <w:i/>
          <w:iCs/>
        </w:rPr>
        <w:t xml:space="preserve"> </w:t>
      </w:r>
      <w:r w:rsidRPr="009635D0">
        <w:rPr>
          <w:i/>
          <w:iCs/>
        </w:rPr>
        <w:t>practices</w:t>
      </w:r>
      <w:r w:rsidR="003D640C" w:rsidRPr="009635D0">
        <w:rPr>
          <w:i/>
          <w:iCs/>
        </w:rPr>
        <w:t xml:space="preserve"> </w:t>
      </w:r>
      <w:r w:rsidRPr="009635D0">
        <w:rPr>
          <w:i/>
          <w:iCs/>
        </w:rPr>
        <w:t>against</w:t>
      </w:r>
      <w:r w:rsidR="003D640C" w:rsidRPr="009635D0">
        <w:rPr>
          <w:i/>
          <w:iCs/>
        </w:rPr>
        <w:t xml:space="preserve"> </w:t>
      </w:r>
      <w:r w:rsidRPr="009635D0">
        <w:rPr>
          <w:i/>
          <w:iCs/>
        </w:rPr>
        <w:t>transgender</w:t>
      </w:r>
      <w:r w:rsidR="003D640C" w:rsidRPr="009635D0">
        <w:rPr>
          <w:i/>
          <w:iCs/>
        </w:rPr>
        <w:t xml:space="preserve"> </w:t>
      </w:r>
      <w:r w:rsidRPr="009635D0">
        <w:rPr>
          <w:i/>
          <w:iCs/>
        </w:rPr>
        <w:t>persons</w:t>
      </w:r>
      <w:r w:rsidR="003D640C" w:rsidRPr="009635D0">
        <w:rPr>
          <w:i/>
          <w:iCs/>
        </w:rPr>
        <w:t xml:space="preserve"> </w:t>
      </w:r>
      <w:r w:rsidRPr="009635D0">
        <w:rPr>
          <w:i/>
          <w:iCs/>
        </w:rPr>
        <w:t>in</w:t>
      </w:r>
      <w:r w:rsidR="003D640C" w:rsidRPr="009635D0">
        <w:rPr>
          <w:i/>
          <w:iCs/>
        </w:rPr>
        <w:t xml:space="preserve"> </w:t>
      </w:r>
      <w:r w:rsidRPr="009635D0">
        <w:rPr>
          <w:i/>
          <w:iCs/>
        </w:rPr>
        <w:t>India,</w:t>
      </w:r>
      <w:r w:rsidR="003D640C" w:rsidRPr="009635D0">
        <w:rPr>
          <w:i/>
          <w:iCs/>
        </w:rPr>
        <w:t xml:space="preserve"> </w:t>
      </w:r>
      <w:r w:rsidRPr="009635D0">
        <w:rPr>
          <w:i/>
          <w:iCs/>
        </w:rPr>
        <w:t>Indonesia,</w:t>
      </w:r>
      <w:r w:rsidR="003D640C" w:rsidRPr="009635D0">
        <w:rPr>
          <w:i/>
          <w:iCs/>
        </w:rPr>
        <w:t xml:space="preserve"> </w:t>
      </w:r>
      <w:r w:rsidRPr="009635D0">
        <w:rPr>
          <w:i/>
          <w:iCs/>
        </w:rPr>
        <w:t>Malaysia</w:t>
      </w:r>
      <w:r w:rsidR="003D640C" w:rsidRPr="009635D0">
        <w:rPr>
          <w:i/>
          <w:iCs/>
        </w:rPr>
        <w:t xml:space="preserve"> </w:t>
      </w:r>
      <w:r w:rsidRPr="009635D0">
        <w:rPr>
          <w:i/>
          <w:iCs/>
        </w:rPr>
        <w:t>and</w:t>
      </w:r>
      <w:r w:rsidR="003D640C" w:rsidRPr="009635D0">
        <w:rPr>
          <w:i/>
          <w:iCs/>
        </w:rPr>
        <w:t xml:space="preserve"> </w:t>
      </w:r>
      <w:r w:rsidRPr="009635D0">
        <w:rPr>
          <w:i/>
          <w:iCs/>
        </w:rPr>
        <w:t>Sri</w:t>
      </w:r>
      <w:r w:rsidR="003D640C" w:rsidRPr="009635D0">
        <w:rPr>
          <w:i/>
          <w:iCs/>
        </w:rPr>
        <w:t xml:space="preserve"> </w:t>
      </w:r>
      <w:r w:rsidRPr="009635D0">
        <w:rPr>
          <w:i/>
          <w:iCs/>
        </w:rPr>
        <w:t>Lanka.</w:t>
      </w:r>
      <w:r w:rsidR="003D640C" w:rsidRPr="009635D0">
        <w:t xml:space="preserve"> </w:t>
      </w:r>
      <w:hyperlink r:id="rId28" w:history="1">
        <w:r w:rsidR="003A051E" w:rsidRPr="009635D0">
          <w:rPr>
            <w:rStyle w:val="Hyperlink"/>
          </w:rPr>
          <w:t>https://weareaptn.org/resource/conversion-therapy-practices-against-transgender-persons-in-india-indonesia-malaysia-and-sri-lanka/</w:t>
        </w:r>
      </w:hyperlink>
      <w:r w:rsidR="003A051E" w:rsidRPr="009635D0">
        <w:t xml:space="preserve"> </w:t>
      </w:r>
      <w:r w:rsidR="003D640C" w:rsidRPr="009635D0">
        <w:t xml:space="preserve"> </w:t>
      </w:r>
    </w:p>
    <w:p w14:paraId="5CE3B257" w14:textId="77777777" w:rsidR="003D4B29" w:rsidRPr="00BC42D0" w:rsidRDefault="003D4B29" w:rsidP="007B139B">
      <w:pPr>
        <w:pStyle w:val="Reference"/>
      </w:pPr>
      <w:r w:rsidRPr="005B33A1">
        <w:t>Aspin</w:t>
      </w:r>
      <w:r w:rsidRPr="009635D0">
        <w:t xml:space="preserve">, C., &amp; Hutchings, J. (2007). Reclaiming the past to inform the future: Contemporary views of Maori sexuality. </w:t>
      </w:r>
      <w:r w:rsidRPr="009635D0">
        <w:rPr>
          <w:i/>
          <w:iCs/>
        </w:rPr>
        <w:t>Culture, Health &amp; Sexuality</w:t>
      </w:r>
      <w:r w:rsidRPr="009635D0">
        <w:t xml:space="preserve">, </w:t>
      </w:r>
      <w:r w:rsidRPr="009635D0">
        <w:rPr>
          <w:i/>
          <w:iCs/>
        </w:rPr>
        <w:t>9</w:t>
      </w:r>
      <w:r w:rsidRPr="009635D0">
        <w:t xml:space="preserve">(4), 415–427. </w:t>
      </w:r>
      <w:hyperlink r:id="rId29" w:history="1">
        <w:r w:rsidRPr="009635D0">
          <w:rPr>
            <w:rStyle w:val="Hyperlink"/>
          </w:rPr>
          <w:t>https://doi.org/10.1080/13691050701195119</w:t>
        </w:r>
      </w:hyperlink>
    </w:p>
    <w:p w14:paraId="4D8F3A0D" w14:textId="79D03A89" w:rsidR="00F01386" w:rsidRPr="009635D0" w:rsidRDefault="00F01386" w:rsidP="00E00167">
      <w:pPr>
        <w:pStyle w:val="Reference"/>
      </w:pPr>
      <w:r w:rsidRPr="009635D0">
        <w:t>Bal,</w:t>
      </w:r>
      <w:r w:rsidR="003D640C" w:rsidRPr="009635D0">
        <w:t xml:space="preserve"> </w:t>
      </w:r>
      <w:r w:rsidRPr="009635D0">
        <w:t>V.,</w:t>
      </w:r>
      <w:r w:rsidR="003D640C" w:rsidRPr="009635D0">
        <w:t xml:space="preserve"> </w:t>
      </w:r>
      <w:r w:rsidRPr="009635D0">
        <w:t>&amp;</w:t>
      </w:r>
      <w:r w:rsidR="003D640C" w:rsidRPr="009635D0">
        <w:t xml:space="preserve"> </w:t>
      </w:r>
      <w:r w:rsidRPr="009635D0">
        <w:t>Divakalala,</w:t>
      </w:r>
      <w:r w:rsidR="003D640C" w:rsidRPr="009635D0">
        <w:t xml:space="preserve"> </w:t>
      </w:r>
      <w:r w:rsidRPr="009635D0">
        <w:t>C.</w:t>
      </w:r>
      <w:r w:rsidR="003D640C" w:rsidRPr="009635D0">
        <w:t xml:space="preserve"> </w:t>
      </w:r>
      <w:r w:rsidRPr="009635D0">
        <w:t>(2022).</w:t>
      </w:r>
      <w:r w:rsidR="003D640C" w:rsidRPr="009635D0">
        <w:t xml:space="preserve"> </w:t>
      </w:r>
      <w:r w:rsidR="007F00B8" w:rsidRPr="009635D0">
        <w:t>“</w:t>
      </w:r>
      <w:r w:rsidRPr="009635D0">
        <w:rPr>
          <w:i/>
          <w:iCs/>
        </w:rPr>
        <w:t>Community</w:t>
      </w:r>
      <w:r w:rsidR="003D640C" w:rsidRPr="009635D0">
        <w:rPr>
          <w:i/>
          <w:iCs/>
        </w:rPr>
        <w:t xml:space="preserve"> </w:t>
      </w:r>
      <w:r w:rsidRPr="009635D0">
        <w:rPr>
          <w:i/>
          <w:iCs/>
        </w:rPr>
        <w:t>is</w:t>
      </w:r>
      <w:r w:rsidR="003D640C" w:rsidRPr="009635D0">
        <w:rPr>
          <w:i/>
          <w:iCs/>
        </w:rPr>
        <w:t xml:space="preserve"> </w:t>
      </w:r>
      <w:r w:rsidR="007F00B8" w:rsidRPr="009635D0">
        <w:rPr>
          <w:i/>
          <w:iCs/>
        </w:rPr>
        <w:t>w</w:t>
      </w:r>
      <w:r w:rsidRPr="009635D0">
        <w:rPr>
          <w:i/>
          <w:iCs/>
        </w:rPr>
        <w:t>here</w:t>
      </w:r>
      <w:r w:rsidR="003D640C" w:rsidRPr="009635D0">
        <w:rPr>
          <w:i/>
          <w:iCs/>
        </w:rPr>
        <w:t xml:space="preserve"> </w:t>
      </w:r>
      <w:r w:rsidRPr="009635D0">
        <w:rPr>
          <w:i/>
          <w:iCs/>
        </w:rPr>
        <w:t>the</w:t>
      </w:r>
      <w:r w:rsidR="003D640C" w:rsidRPr="009635D0">
        <w:rPr>
          <w:i/>
          <w:iCs/>
        </w:rPr>
        <w:t xml:space="preserve"> </w:t>
      </w:r>
      <w:r w:rsidR="007F00B8" w:rsidRPr="009635D0">
        <w:rPr>
          <w:i/>
          <w:iCs/>
        </w:rPr>
        <w:t>k</w:t>
      </w:r>
      <w:r w:rsidRPr="009635D0">
        <w:rPr>
          <w:i/>
          <w:iCs/>
        </w:rPr>
        <w:t>nowledge</w:t>
      </w:r>
      <w:r w:rsidR="003D640C" w:rsidRPr="009635D0">
        <w:rPr>
          <w:i/>
          <w:iCs/>
        </w:rPr>
        <w:t xml:space="preserve"> </w:t>
      </w:r>
      <w:r w:rsidRPr="009635D0">
        <w:rPr>
          <w:i/>
          <w:iCs/>
        </w:rPr>
        <w:t>is</w:t>
      </w:r>
      <w:r w:rsidR="007F00B8" w:rsidRPr="009635D0">
        <w:rPr>
          <w:i/>
          <w:iCs/>
        </w:rPr>
        <w:t>”</w:t>
      </w:r>
      <w:r w:rsidRPr="009635D0">
        <w:rPr>
          <w:i/>
          <w:iCs/>
        </w:rPr>
        <w:t>:</w:t>
      </w:r>
      <w:r w:rsidR="007F00B8" w:rsidRPr="009635D0">
        <w:rPr>
          <w:i/>
          <w:iCs/>
        </w:rPr>
        <w:t xml:space="preserve"> T</w:t>
      </w:r>
      <w:r w:rsidRPr="009635D0">
        <w:rPr>
          <w:i/>
          <w:iCs/>
        </w:rPr>
        <w:t>he</w:t>
      </w:r>
      <w:r w:rsidR="003D640C" w:rsidRPr="009635D0">
        <w:rPr>
          <w:i/>
          <w:iCs/>
        </w:rPr>
        <w:t xml:space="preserve"> </w:t>
      </w:r>
      <w:r w:rsidRPr="009635D0">
        <w:rPr>
          <w:i/>
          <w:iCs/>
        </w:rPr>
        <w:t>Adhikaar</w:t>
      </w:r>
      <w:r w:rsidR="003D640C" w:rsidRPr="009635D0">
        <w:rPr>
          <w:i/>
          <w:iCs/>
        </w:rPr>
        <w:t xml:space="preserve"> </w:t>
      </w:r>
      <w:r w:rsidR="007F00B8" w:rsidRPr="009635D0">
        <w:rPr>
          <w:i/>
          <w:iCs/>
        </w:rPr>
        <w:t>r</w:t>
      </w:r>
      <w:r w:rsidRPr="009635D0">
        <w:rPr>
          <w:i/>
          <w:iCs/>
        </w:rPr>
        <w:t>eport.</w:t>
      </w:r>
      <w:r w:rsidR="003D640C" w:rsidRPr="009635D0">
        <w:rPr>
          <w:i/>
          <w:iCs/>
        </w:rPr>
        <w:t xml:space="preserve"> </w:t>
      </w:r>
      <w:r w:rsidRPr="009635D0">
        <w:t>Adhikaar</w:t>
      </w:r>
      <w:r w:rsidR="003D640C" w:rsidRPr="009635D0">
        <w:t xml:space="preserve"> </w:t>
      </w:r>
      <w:r w:rsidRPr="009635D0">
        <w:t>Aotearoa.</w:t>
      </w:r>
      <w:r w:rsidR="003D640C" w:rsidRPr="009635D0">
        <w:t xml:space="preserve"> </w:t>
      </w:r>
      <w:hyperlink r:id="rId30" w:history="1">
        <w:r w:rsidR="007F00B8" w:rsidRPr="009635D0">
          <w:rPr>
            <w:rStyle w:val="Hyperlink"/>
          </w:rPr>
          <w:t>https://adhikaaraotearoa.rocketspark.co.nz/site_files/30452/upload_files/TheAdhikaarReportFINAL.pdf?dl=1</w:t>
        </w:r>
      </w:hyperlink>
      <w:r w:rsidR="007F00B8" w:rsidRPr="009635D0">
        <w:t xml:space="preserve"> </w:t>
      </w:r>
      <w:r w:rsidR="003D640C" w:rsidRPr="009635D0">
        <w:t xml:space="preserve"> </w:t>
      </w:r>
    </w:p>
    <w:p w14:paraId="0AB2E229" w14:textId="325EABA4" w:rsidR="00F01386" w:rsidRPr="009635D0" w:rsidRDefault="00F01386" w:rsidP="00E00167">
      <w:pPr>
        <w:pStyle w:val="Reference"/>
        <w:rPr>
          <w:rStyle w:val="Hyperlink"/>
        </w:rPr>
      </w:pPr>
      <w:r w:rsidRPr="005B33A1">
        <w:t>Beckett</w:t>
      </w:r>
      <w:r w:rsidRPr="009635D0">
        <w:t>,</w:t>
      </w:r>
      <w:r w:rsidR="003D640C" w:rsidRPr="009635D0">
        <w:t xml:space="preserve"> </w:t>
      </w:r>
      <w:r w:rsidRPr="009635D0">
        <w:t>J.</w:t>
      </w:r>
      <w:r w:rsidR="003D640C" w:rsidRPr="009635D0">
        <w:t xml:space="preserve"> </w:t>
      </w:r>
      <w:r w:rsidRPr="009635D0">
        <w:t>(</w:t>
      </w:r>
      <w:r w:rsidR="00F4312C" w:rsidRPr="009635D0">
        <w:t>1964</w:t>
      </w:r>
      <w:r w:rsidRPr="009635D0">
        <w:t>).</w:t>
      </w:r>
      <w:r w:rsidR="003D640C" w:rsidRPr="009635D0">
        <w:t xml:space="preserve"> </w:t>
      </w:r>
      <w:r w:rsidRPr="009635D0">
        <w:t>Social</w:t>
      </w:r>
      <w:r w:rsidR="003D640C" w:rsidRPr="009635D0">
        <w:t xml:space="preserve"> </w:t>
      </w:r>
      <w:r w:rsidR="004843E9" w:rsidRPr="009635D0">
        <w:t>c</w:t>
      </w:r>
      <w:r w:rsidRPr="009635D0">
        <w:t>hange</w:t>
      </w:r>
      <w:r w:rsidR="003D640C" w:rsidRPr="009635D0">
        <w:t xml:space="preserve"> </w:t>
      </w:r>
      <w:r w:rsidRPr="009635D0">
        <w:t>in</w:t>
      </w:r>
      <w:r w:rsidR="003D640C" w:rsidRPr="009635D0">
        <w:t xml:space="preserve"> </w:t>
      </w:r>
      <w:r w:rsidRPr="009635D0">
        <w:t>Pukapuka</w:t>
      </w:r>
      <w:r w:rsidRPr="009635D0">
        <w:rPr>
          <w:i/>
          <w:iCs/>
        </w:rPr>
        <w:t>.</w:t>
      </w:r>
      <w:r w:rsidR="003D640C" w:rsidRPr="009635D0">
        <w:t xml:space="preserve"> </w:t>
      </w:r>
      <w:r w:rsidRPr="009635D0">
        <w:rPr>
          <w:i/>
          <w:iCs/>
        </w:rPr>
        <w:t>The</w:t>
      </w:r>
      <w:r w:rsidR="003D640C" w:rsidRPr="009635D0">
        <w:rPr>
          <w:i/>
          <w:iCs/>
        </w:rPr>
        <w:t xml:space="preserve"> </w:t>
      </w:r>
      <w:r w:rsidRPr="009635D0">
        <w:rPr>
          <w:i/>
          <w:iCs/>
        </w:rPr>
        <w:t>Journal</w:t>
      </w:r>
      <w:r w:rsidR="003D640C" w:rsidRPr="009635D0">
        <w:rPr>
          <w:i/>
          <w:iCs/>
        </w:rPr>
        <w:t xml:space="preserve"> </w:t>
      </w:r>
      <w:r w:rsidRPr="009635D0">
        <w:rPr>
          <w:i/>
          <w:iCs/>
        </w:rPr>
        <w:t>of</w:t>
      </w:r>
      <w:r w:rsidR="003D640C" w:rsidRPr="009635D0">
        <w:rPr>
          <w:i/>
          <w:iCs/>
        </w:rPr>
        <w:t xml:space="preserve"> </w:t>
      </w:r>
      <w:r w:rsidRPr="009635D0">
        <w:rPr>
          <w:i/>
          <w:iCs/>
        </w:rPr>
        <w:t>the</w:t>
      </w:r>
      <w:r w:rsidR="003D640C" w:rsidRPr="009635D0">
        <w:rPr>
          <w:i/>
          <w:iCs/>
        </w:rPr>
        <w:t xml:space="preserve"> </w:t>
      </w:r>
      <w:r w:rsidRPr="009635D0">
        <w:rPr>
          <w:i/>
          <w:iCs/>
        </w:rPr>
        <w:t>Polynesian</w:t>
      </w:r>
      <w:r w:rsidR="003D640C" w:rsidRPr="009635D0">
        <w:rPr>
          <w:i/>
          <w:iCs/>
        </w:rPr>
        <w:t xml:space="preserve"> </w:t>
      </w:r>
      <w:r w:rsidRPr="009635D0">
        <w:rPr>
          <w:i/>
          <w:iCs/>
        </w:rPr>
        <w:t>Society</w:t>
      </w:r>
      <w:r w:rsidRPr="009635D0">
        <w:t>,</w:t>
      </w:r>
      <w:r w:rsidR="003D640C" w:rsidRPr="009635D0">
        <w:t xml:space="preserve"> </w:t>
      </w:r>
      <w:r w:rsidRPr="009635D0">
        <w:rPr>
          <w:i/>
          <w:iCs/>
        </w:rPr>
        <w:t>73</w:t>
      </w:r>
      <w:r w:rsidRPr="009635D0">
        <w:t>(4),</w:t>
      </w:r>
      <w:r w:rsidR="003D640C" w:rsidRPr="009635D0">
        <w:t xml:space="preserve"> </w:t>
      </w:r>
      <w:r w:rsidRPr="009635D0">
        <w:t>411</w:t>
      </w:r>
      <w:r w:rsidR="004843E9" w:rsidRPr="009635D0">
        <w:t>–</w:t>
      </w:r>
      <w:r w:rsidRPr="009635D0">
        <w:t>430.</w:t>
      </w:r>
      <w:r w:rsidR="003D640C" w:rsidRPr="009635D0">
        <w:t xml:space="preserve"> </w:t>
      </w:r>
    </w:p>
    <w:p w14:paraId="73397380" w14:textId="474C7273" w:rsidR="00E00167" w:rsidRPr="009635D0" w:rsidRDefault="00F01386" w:rsidP="00E00167">
      <w:pPr>
        <w:pStyle w:val="Reference"/>
        <w:rPr>
          <w:rFonts w:ascii="Calibri" w:eastAsia="Calibri" w:hAnsi="Calibri" w:cs="Calibri"/>
        </w:rPr>
      </w:pPr>
      <w:r w:rsidRPr="005B33A1">
        <w:rPr>
          <w:rFonts w:ascii="Calibri" w:hAnsi="Calibri" w:cs="Calibri"/>
        </w:rPr>
        <w:t>Betty</w:t>
      </w:r>
      <w:r w:rsidR="00FB2A84" w:rsidRPr="009635D0">
        <w:rPr>
          <w:rFonts w:ascii="Calibri" w:hAnsi="Calibri" w:cs="Calibri"/>
        </w:rPr>
        <w:t>,</w:t>
      </w:r>
      <w:r w:rsidR="003D640C" w:rsidRPr="009635D0">
        <w:rPr>
          <w:rFonts w:ascii="Calibri" w:hAnsi="Calibri" w:cs="Calibri"/>
        </w:rPr>
        <w:t xml:space="preserve"> </w:t>
      </w:r>
      <w:r w:rsidRPr="009635D0">
        <w:rPr>
          <w:rFonts w:ascii="Calibri" w:hAnsi="Calibri" w:cs="Calibri"/>
        </w:rPr>
        <w:t>B.</w:t>
      </w:r>
      <w:r w:rsidR="003D640C" w:rsidRPr="009635D0">
        <w:rPr>
          <w:rFonts w:ascii="Calibri" w:hAnsi="Calibri" w:cs="Calibri"/>
        </w:rPr>
        <w:t xml:space="preserve"> </w:t>
      </w:r>
      <w:r w:rsidRPr="009635D0">
        <w:rPr>
          <w:rFonts w:ascii="Calibri" w:hAnsi="Calibri" w:cs="Calibri"/>
        </w:rPr>
        <w:t>(2021).</w:t>
      </w:r>
      <w:r w:rsidR="003D640C" w:rsidRPr="009635D0">
        <w:rPr>
          <w:rFonts w:ascii="Calibri" w:hAnsi="Calibri" w:cs="Calibri"/>
        </w:rPr>
        <w:t xml:space="preserve"> </w:t>
      </w:r>
      <w:r w:rsidRPr="009635D0">
        <w:rPr>
          <w:rFonts w:ascii="Calibri" w:hAnsi="Calibri" w:cs="Calibri"/>
          <w:i/>
          <w:iCs/>
        </w:rPr>
        <w:t>Conversion</w:t>
      </w:r>
      <w:r w:rsidR="003D640C" w:rsidRPr="009635D0">
        <w:rPr>
          <w:rFonts w:ascii="Calibri" w:hAnsi="Calibri" w:cs="Calibri"/>
          <w:i/>
          <w:iCs/>
        </w:rPr>
        <w:t xml:space="preserve"> </w:t>
      </w:r>
      <w:r w:rsidRPr="009635D0">
        <w:rPr>
          <w:rFonts w:ascii="Calibri" w:hAnsi="Calibri" w:cs="Calibri"/>
          <w:i/>
          <w:iCs/>
        </w:rPr>
        <w:t>Practices</w:t>
      </w:r>
      <w:r w:rsidR="003D640C" w:rsidRPr="009635D0">
        <w:rPr>
          <w:rFonts w:ascii="Calibri" w:hAnsi="Calibri" w:cs="Calibri"/>
          <w:i/>
          <w:iCs/>
        </w:rPr>
        <w:t xml:space="preserve"> </w:t>
      </w:r>
      <w:r w:rsidRPr="009635D0">
        <w:rPr>
          <w:rFonts w:ascii="Calibri" w:hAnsi="Calibri" w:cs="Calibri"/>
          <w:i/>
          <w:iCs/>
        </w:rPr>
        <w:t>Prohibition</w:t>
      </w:r>
      <w:r w:rsidR="003D640C" w:rsidRPr="009635D0">
        <w:rPr>
          <w:rFonts w:ascii="Calibri" w:hAnsi="Calibri" w:cs="Calibri"/>
          <w:i/>
          <w:iCs/>
        </w:rPr>
        <w:t xml:space="preserve"> </w:t>
      </w:r>
      <w:r w:rsidRPr="009635D0">
        <w:rPr>
          <w:rFonts w:ascii="Calibri" w:hAnsi="Calibri" w:cs="Calibri"/>
          <w:i/>
          <w:iCs/>
        </w:rPr>
        <w:t>Bill</w:t>
      </w:r>
      <w:r w:rsidR="00FB2A84" w:rsidRPr="009635D0">
        <w:rPr>
          <w:rFonts w:ascii="Calibri" w:hAnsi="Calibri" w:cs="Calibri"/>
          <w:i/>
          <w:iCs/>
        </w:rPr>
        <w:t>:</w:t>
      </w:r>
      <w:r w:rsidR="003D640C" w:rsidRPr="009635D0">
        <w:rPr>
          <w:rFonts w:ascii="Calibri" w:hAnsi="Calibri" w:cs="Calibri"/>
          <w:i/>
          <w:iCs/>
        </w:rPr>
        <w:t xml:space="preserve"> </w:t>
      </w:r>
      <w:r w:rsidRPr="009635D0">
        <w:rPr>
          <w:rFonts w:ascii="Calibri" w:hAnsi="Calibri" w:cs="Calibri"/>
          <w:i/>
          <w:iCs/>
        </w:rPr>
        <w:t>Submission</w:t>
      </w:r>
      <w:r w:rsidR="003D640C" w:rsidRPr="009635D0">
        <w:rPr>
          <w:rFonts w:ascii="Calibri" w:hAnsi="Calibri" w:cs="Calibri"/>
          <w:i/>
          <w:iCs/>
        </w:rPr>
        <w:t xml:space="preserve"> </w:t>
      </w:r>
      <w:r w:rsidRPr="009635D0">
        <w:rPr>
          <w:rFonts w:ascii="Calibri" w:hAnsi="Calibri" w:cs="Calibri"/>
          <w:i/>
          <w:iCs/>
        </w:rPr>
        <w:t>to</w:t>
      </w:r>
      <w:r w:rsidR="003D640C" w:rsidRPr="009635D0">
        <w:rPr>
          <w:rFonts w:ascii="Calibri" w:hAnsi="Calibri" w:cs="Calibri"/>
          <w:i/>
          <w:iCs/>
        </w:rPr>
        <w:t xml:space="preserve"> </w:t>
      </w:r>
      <w:r w:rsidRPr="009635D0">
        <w:rPr>
          <w:rFonts w:ascii="Calibri" w:hAnsi="Calibri" w:cs="Calibri"/>
          <w:i/>
          <w:iCs/>
        </w:rPr>
        <w:t>the</w:t>
      </w:r>
      <w:r w:rsidR="003D640C" w:rsidRPr="009635D0">
        <w:rPr>
          <w:rFonts w:ascii="Calibri" w:hAnsi="Calibri" w:cs="Calibri"/>
          <w:i/>
          <w:iCs/>
        </w:rPr>
        <w:t xml:space="preserve"> </w:t>
      </w:r>
      <w:r w:rsidRPr="009635D0">
        <w:rPr>
          <w:rFonts w:ascii="Calibri" w:hAnsi="Calibri" w:cs="Calibri"/>
          <w:i/>
          <w:iCs/>
        </w:rPr>
        <w:t>Justice</w:t>
      </w:r>
      <w:r w:rsidR="003D640C" w:rsidRPr="009635D0">
        <w:rPr>
          <w:rFonts w:ascii="Calibri" w:hAnsi="Calibri" w:cs="Calibri"/>
          <w:i/>
          <w:iCs/>
        </w:rPr>
        <w:t xml:space="preserve"> </w:t>
      </w:r>
      <w:r w:rsidRPr="009635D0">
        <w:rPr>
          <w:rFonts w:ascii="Calibri" w:hAnsi="Calibri" w:cs="Calibri"/>
          <w:i/>
          <w:iCs/>
        </w:rPr>
        <w:t>Select</w:t>
      </w:r>
      <w:r w:rsidR="003D640C" w:rsidRPr="009635D0">
        <w:rPr>
          <w:rFonts w:ascii="Calibri" w:hAnsi="Calibri" w:cs="Calibri"/>
          <w:i/>
          <w:iCs/>
        </w:rPr>
        <w:t xml:space="preserve"> </w:t>
      </w:r>
      <w:r w:rsidRPr="009635D0">
        <w:rPr>
          <w:rFonts w:ascii="Calibri" w:hAnsi="Calibri" w:cs="Calibri"/>
          <w:i/>
          <w:iCs/>
        </w:rPr>
        <w:t>Committee</w:t>
      </w:r>
      <w:r w:rsidRPr="009635D0">
        <w:rPr>
          <w:rFonts w:ascii="Calibri" w:hAnsi="Calibri" w:cs="Calibri"/>
        </w:rPr>
        <w:t>.</w:t>
      </w:r>
      <w:r w:rsidR="003D640C" w:rsidRPr="009635D0">
        <w:rPr>
          <w:rFonts w:ascii="Calibri" w:hAnsi="Calibri" w:cs="Calibri"/>
        </w:rPr>
        <w:t xml:space="preserve"> </w:t>
      </w:r>
      <w:hyperlink r:id="rId31" w:history="1">
        <w:r w:rsidR="00E00167" w:rsidRPr="009635D0">
          <w:rPr>
            <w:rStyle w:val="Hyperlink"/>
            <w:rFonts w:ascii="Calibri" w:eastAsia="Calibri" w:hAnsi="Calibri" w:cs="Calibri"/>
          </w:rPr>
          <w:t>https://www.rnzcgp.org.nz/gpdocs/new-website/advocacy/submissions/2021.09.08-RNZCGP0-response-conversion-practices.pdf</w:t>
        </w:r>
      </w:hyperlink>
    </w:p>
    <w:p w14:paraId="2C1053F9" w14:textId="0D5D1E4C" w:rsidR="00F01386" w:rsidRDefault="00F01386" w:rsidP="00E00167">
      <w:pPr>
        <w:pStyle w:val="Reference"/>
      </w:pPr>
      <w:r w:rsidRPr="005B33A1">
        <w:t>Blosnich</w:t>
      </w:r>
      <w:r w:rsidRPr="009635D0">
        <w:t>,</w:t>
      </w:r>
      <w:r w:rsidR="003D640C" w:rsidRPr="009635D0">
        <w:t xml:space="preserve"> </w:t>
      </w:r>
      <w:r w:rsidRPr="009635D0">
        <w:t>J.</w:t>
      </w:r>
      <w:r w:rsidR="003D640C" w:rsidRPr="009635D0">
        <w:t xml:space="preserve"> </w:t>
      </w:r>
      <w:r w:rsidRPr="009635D0">
        <w:t>R</w:t>
      </w:r>
      <w:r w:rsidRPr="00BB6220">
        <w:t>.,</w:t>
      </w:r>
      <w:r w:rsidR="003D640C">
        <w:t xml:space="preserve"> </w:t>
      </w:r>
      <w:r w:rsidRPr="00BB6220">
        <w:t>Henderson,</w:t>
      </w:r>
      <w:r w:rsidR="003D640C">
        <w:t xml:space="preserve"> </w:t>
      </w:r>
      <w:r w:rsidRPr="00BB6220">
        <w:t>E.</w:t>
      </w:r>
      <w:r w:rsidR="003D640C">
        <w:t xml:space="preserve"> </w:t>
      </w:r>
      <w:r w:rsidRPr="00BB6220">
        <w:t>R.,</w:t>
      </w:r>
      <w:r w:rsidR="003D640C">
        <w:t xml:space="preserve"> </w:t>
      </w:r>
      <w:r w:rsidRPr="00BB6220">
        <w:t>Coulter,</w:t>
      </w:r>
      <w:r w:rsidR="003D640C">
        <w:t xml:space="preserve"> </w:t>
      </w:r>
      <w:r w:rsidRPr="00BB6220">
        <w:t>R.</w:t>
      </w:r>
      <w:r w:rsidR="003D640C">
        <w:t xml:space="preserve"> </w:t>
      </w:r>
      <w:r w:rsidRPr="00BB6220">
        <w:t>W.</w:t>
      </w:r>
      <w:r w:rsidR="003D640C">
        <w:t xml:space="preserve"> </w:t>
      </w:r>
      <w:r w:rsidRPr="00BB6220">
        <w:t>S.,</w:t>
      </w:r>
      <w:r w:rsidR="003D640C">
        <w:t xml:space="preserve"> </w:t>
      </w:r>
      <w:r w:rsidRPr="00BB6220">
        <w:t>Goldbach,</w:t>
      </w:r>
      <w:r w:rsidR="003D640C">
        <w:t xml:space="preserve"> </w:t>
      </w:r>
      <w:r w:rsidRPr="00BB6220">
        <w:t>J.</w:t>
      </w:r>
      <w:r w:rsidR="003D640C">
        <w:t xml:space="preserve"> </w:t>
      </w:r>
      <w:r w:rsidRPr="00BB6220">
        <w:t>T.,</w:t>
      </w:r>
      <w:r w:rsidR="003D640C">
        <w:t xml:space="preserve"> </w:t>
      </w:r>
      <w:r w:rsidRPr="00BB6220">
        <w:t>&amp;</w:t>
      </w:r>
      <w:r w:rsidR="003D640C">
        <w:t xml:space="preserve"> </w:t>
      </w:r>
      <w:r w:rsidRPr="00BB6220">
        <w:t>Meyer,</w:t>
      </w:r>
      <w:r w:rsidR="003D640C">
        <w:t xml:space="preserve"> </w:t>
      </w:r>
      <w:r w:rsidRPr="00BB6220">
        <w:t>I.</w:t>
      </w:r>
      <w:r w:rsidR="003D640C">
        <w:t xml:space="preserve"> </w:t>
      </w:r>
      <w:r w:rsidRPr="00BB6220">
        <w:t>H.</w:t>
      </w:r>
      <w:r w:rsidR="003D640C">
        <w:t xml:space="preserve"> </w:t>
      </w:r>
      <w:r w:rsidRPr="00BB6220">
        <w:t>(2020).</w:t>
      </w:r>
      <w:r w:rsidR="003D640C">
        <w:t xml:space="preserve"> </w:t>
      </w:r>
      <w:r w:rsidRPr="00BB6220">
        <w:t>Sexual</w:t>
      </w:r>
      <w:r w:rsidR="003D640C">
        <w:t xml:space="preserve"> </w:t>
      </w:r>
      <w:r w:rsidRPr="00BB6220">
        <w:t>orientation</w:t>
      </w:r>
      <w:r w:rsidR="003D640C">
        <w:t xml:space="preserve"> </w:t>
      </w:r>
      <w:r w:rsidRPr="00BB6220">
        <w:t>change</w:t>
      </w:r>
      <w:r w:rsidR="003D640C">
        <w:t xml:space="preserve"> </w:t>
      </w:r>
      <w:r w:rsidRPr="00BB6220">
        <w:t>efforts,</w:t>
      </w:r>
      <w:r w:rsidR="003D640C">
        <w:t xml:space="preserve"> </w:t>
      </w:r>
      <w:r w:rsidRPr="00BB6220">
        <w:t>adverse</w:t>
      </w:r>
      <w:r w:rsidR="003D640C">
        <w:t xml:space="preserve"> </w:t>
      </w:r>
      <w:r w:rsidRPr="00BB6220">
        <w:t>childhood</w:t>
      </w:r>
      <w:r w:rsidR="003D640C">
        <w:t xml:space="preserve"> </w:t>
      </w:r>
      <w:r w:rsidRPr="00BB6220">
        <w:t>experiences,</w:t>
      </w:r>
      <w:r w:rsidR="003D640C">
        <w:t xml:space="preserve"> </w:t>
      </w:r>
      <w:r w:rsidRPr="00BB6220">
        <w:t>and</w:t>
      </w:r>
      <w:r w:rsidR="003D640C">
        <w:t xml:space="preserve"> </w:t>
      </w:r>
      <w:r w:rsidRPr="00BB6220">
        <w:t>suicide</w:t>
      </w:r>
      <w:r w:rsidR="003D640C">
        <w:t xml:space="preserve"> </w:t>
      </w:r>
      <w:r w:rsidRPr="00BB6220">
        <w:t>ideation</w:t>
      </w:r>
      <w:r w:rsidR="003D640C">
        <w:t xml:space="preserve"> </w:t>
      </w:r>
      <w:r w:rsidRPr="00BB6220">
        <w:t>and</w:t>
      </w:r>
      <w:r w:rsidR="003D640C">
        <w:t xml:space="preserve"> </w:t>
      </w:r>
      <w:r w:rsidRPr="00BB6220">
        <w:t>attempt</w:t>
      </w:r>
      <w:r w:rsidR="003D640C">
        <w:t xml:space="preserve"> </w:t>
      </w:r>
      <w:r w:rsidRPr="00BB6220">
        <w:t>among</w:t>
      </w:r>
      <w:r w:rsidR="003D640C">
        <w:t xml:space="preserve"> </w:t>
      </w:r>
      <w:r w:rsidRPr="00BB6220">
        <w:t>sexual</w:t>
      </w:r>
      <w:r w:rsidR="003D640C">
        <w:t xml:space="preserve"> </w:t>
      </w:r>
      <w:r w:rsidRPr="00BB6220">
        <w:t>minority</w:t>
      </w:r>
      <w:r w:rsidR="003D640C">
        <w:t xml:space="preserve"> </w:t>
      </w:r>
      <w:r w:rsidRPr="00BB6220">
        <w:t>adults,</w:t>
      </w:r>
      <w:r w:rsidR="003D640C">
        <w:t xml:space="preserve"> </w:t>
      </w:r>
      <w:r w:rsidRPr="00BB6220">
        <w:t>United</w:t>
      </w:r>
      <w:r w:rsidR="003D640C">
        <w:t xml:space="preserve"> </w:t>
      </w:r>
      <w:r w:rsidRPr="00BB6220">
        <w:t>States,</w:t>
      </w:r>
      <w:r w:rsidR="003D640C">
        <w:t xml:space="preserve"> </w:t>
      </w:r>
      <w:r w:rsidRPr="00BB6220">
        <w:t>2016</w:t>
      </w:r>
      <w:r w:rsidR="005C0E11">
        <w:t>–</w:t>
      </w:r>
      <w:r w:rsidRPr="00BB6220">
        <w:t>2018.</w:t>
      </w:r>
      <w:r w:rsidR="003D640C">
        <w:t xml:space="preserve"> </w:t>
      </w:r>
      <w:r w:rsidRPr="00BB6220">
        <w:rPr>
          <w:i/>
          <w:iCs/>
        </w:rPr>
        <w:t>American</w:t>
      </w:r>
      <w:r w:rsidR="003D640C">
        <w:rPr>
          <w:i/>
          <w:iCs/>
        </w:rPr>
        <w:t xml:space="preserve"> </w:t>
      </w:r>
      <w:r w:rsidRPr="00BB6220">
        <w:rPr>
          <w:i/>
          <w:iCs/>
        </w:rPr>
        <w:t>Journal</w:t>
      </w:r>
      <w:r w:rsidR="003D640C">
        <w:rPr>
          <w:i/>
          <w:iCs/>
        </w:rPr>
        <w:t xml:space="preserve"> </w:t>
      </w:r>
      <w:r w:rsidRPr="00BB6220">
        <w:rPr>
          <w:i/>
          <w:iCs/>
        </w:rPr>
        <w:t>of</w:t>
      </w:r>
      <w:r w:rsidR="003D640C">
        <w:rPr>
          <w:i/>
          <w:iCs/>
        </w:rPr>
        <w:t xml:space="preserve"> </w:t>
      </w:r>
      <w:r w:rsidRPr="00BB6220">
        <w:rPr>
          <w:i/>
          <w:iCs/>
        </w:rPr>
        <w:t>Public</w:t>
      </w:r>
      <w:r w:rsidR="003D640C">
        <w:rPr>
          <w:i/>
          <w:iCs/>
        </w:rPr>
        <w:t xml:space="preserve"> </w:t>
      </w:r>
      <w:r w:rsidRPr="00BB6220">
        <w:rPr>
          <w:i/>
          <w:iCs/>
        </w:rPr>
        <w:t>Health,</w:t>
      </w:r>
      <w:r w:rsidR="003D640C">
        <w:rPr>
          <w:i/>
          <w:iCs/>
        </w:rPr>
        <w:t xml:space="preserve"> </w:t>
      </w:r>
      <w:r w:rsidRPr="00BB6220">
        <w:rPr>
          <w:i/>
          <w:iCs/>
        </w:rPr>
        <w:t>110</w:t>
      </w:r>
      <w:r w:rsidRPr="007B139B">
        <w:t>(</w:t>
      </w:r>
      <w:r w:rsidRPr="005C0E11">
        <w:t>7</w:t>
      </w:r>
      <w:r w:rsidRPr="007B139B">
        <w:t>)</w:t>
      </w:r>
      <w:r w:rsidR="005C0E11" w:rsidRPr="005C0E11">
        <w:t>,</w:t>
      </w:r>
      <w:r w:rsidR="005C0E11">
        <w:t xml:space="preserve"> </w:t>
      </w:r>
      <w:r w:rsidRPr="00BB6220">
        <w:t>1024</w:t>
      </w:r>
      <w:r w:rsidR="005C0E11">
        <w:t>–</w:t>
      </w:r>
      <w:r w:rsidRPr="00BB6220">
        <w:t>1030</w:t>
      </w:r>
      <w:r w:rsidRPr="00BB6220">
        <w:rPr>
          <w:i/>
          <w:iCs/>
        </w:rPr>
        <w:t>.</w:t>
      </w:r>
      <w:r w:rsidR="003D640C">
        <w:t xml:space="preserve"> </w:t>
      </w:r>
      <w:hyperlink r:id="rId32" w:history="1">
        <w:r w:rsidR="004F429B" w:rsidRPr="008C4900">
          <w:rPr>
            <w:rStyle w:val="Hyperlink"/>
          </w:rPr>
          <w:t>https://doi.org/10.2105/AJPH.2020.305637</w:t>
        </w:r>
      </w:hyperlink>
      <w:r w:rsidR="004F429B">
        <w:t xml:space="preserve"> </w:t>
      </w:r>
    </w:p>
    <w:p w14:paraId="59131984" w14:textId="77777777" w:rsidR="003B6364" w:rsidRPr="009635D0" w:rsidRDefault="003B6364" w:rsidP="00E00167">
      <w:pPr>
        <w:pStyle w:val="Reference"/>
        <w:rPr>
          <w:rStyle w:val="Hyperlink"/>
        </w:rPr>
      </w:pPr>
      <w:r w:rsidRPr="005B33A1">
        <w:lastRenderedPageBreak/>
        <w:t>Brown</w:t>
      </w:r>
      <w:r w:rsidRPr="009635D0">
        <w:t xml:space="preserve">-Acton, P. (2011, March 12–19). </w:t>
      </w:r>
      <w:r w:rsidRPr="009635D0">
        <w:rPr>
          <w:i/>
          <w:iCs/>
        </w:rPr>
        <w:t>Movement building for change</w:t>
      </w:r>
      <w:r w:rsidRPr="009635D0">
        <w:t xml:space="preserve"> [keynote presentation]. 2nd AsiaPacific Outgames, Wellington, New Zealand. </w:t>
      </w:r>
      <w:hyperlink r:id="rId33" w:history="1">
        <w:r w:rsidRPr="009635D0">
          <w:rPr>
            <w:rStyle w:val="Hyperlink"/>
          </w:rPr>
          <w:t>https://www.pridenz.com/apog_phylesha_brown_acton_keynote_transcript.html</w:t>
        </w:r>
      </w:hyperlink>
    </w:p>
    <w:p w14:paraId="224377EE" w14:textId="7A10E330" w:rsidR="00D23EA6" w:rsidRPr="009635D0" w:rsidRDefault="00D23EA6" w:rsidP="00E00167">
      <w:pPr>
        <w:pStyle w:val="Reference"/>
        <w:rPr>
          <w:rStyle w:val="Hyperlink"/>
        </w:rPr>
      </w:pPr>
      <w:r w:rsidRPr="009635D0">
        <w:t xml:space="preserve">Brown-Acton, P. (2014, March 4). </w:t>
      </w:r>
      <w:r w:rsidRPr="009635D0">
        <w:rPr>
          <w:i/>
          <w:iCs/>
        </w:rPr>
        <w:t>Strengthening solutions for Pasefika Rainbow</w:t>
      </w:r>
      <w:r w:rsidRPr="009635D0">
        <w:t xml:space="preserve"> [Keynote speech]. GPS 2.0: Growing Pacific Solutions for our Communities National Pacific Conference, Auckland, New Zealand. </w:t>
      </w:r>
      <w:hyperlink r:id="rId34" w:history="1">
        <w:r w:rsidRPr="009635D0">
          <w:rPr>
            <w:rStyle w:val="Hyperlink"/>
          </w:rPr>
          <w:t>https://www.leva.co.nz/uploads/files/resources/strengthening-solutions-for-pasefika-rainbow.pdf</w:t>
        </w:r>
      </w:hyperlink>
    </w:p>
    <w:p w14:paraId="09724BD4" w14:textId="486007E0" w:rsidR="00F01386" w:rsidRPr="009635D0" w:rsidRDefault="00F01386" w:rsidP="00E00167">
      <w:pPr>
        <w:pStyle w:val="Reference"/>
      </w:pPr>
      <w:r w:rsidRPr="005B33A1">
        <w:t>Buxton</w:t>
      </w:r>
      <w:r w:rsidRPr="009635D0">
        <w:t>,</w:t>
      </w:r>
      <w:r w:rsidR="003D640C" w:rsidRPr="009635D0">
        <w:t xml:space="preserve"> </w:t>
      </w:r>
      <w:r w:rsidRPr="009635D0">
        <w:t>A.</w:t>
      </w:r>
      <w:r w:rsidR="003D640C" w:rsidRPr="009635D0">
        <w:t xml:space="preserve"> </w:t>
      </w:r>
      <w:r w:rsidRPr="009635D0">
        <w:t>P.</w:t>
      </w:r>
      <w:r w:rsidR="003D640C" w:rsidRPr="009635D0">
        <w:t xml:space="preserve"> </w:t>
      </w:r>
      <w:r w:rsidRPr="009635D0">
        <w:t>(2001).</w:t>
      </w:r>
      <w:r w:rsidR="003D640C" w:rsidRPr="009635D0">
        <w:t xml:space="preserve"> </w:t>
      </w:r>
      <w:r w:rsidRPr="009635D0">
        <w:t>Writing</w:t>
      </w:r>
      <w:r w:rsidR="003D640C" w:rsidRPr="009635D0">
        <w:t xml:space="preserve"> </w:t>
      </w:r>
      <w:r w:rsidRPr="009635D0">
        <w:t>our</w:t>
      </w:r>
      <w:r w:rsidR="003D640C" w:rsidRPr="009635D0">
        <w:t xml:space="preserve"> </w:t>
      </w:r>
      <w:r w:rsidRPr="009635D0">
        <w:t>own</w:t>
      </w:r>
      <w:r w:rsidR="003D640C" w:rsidRPr="009635D0">
        <w:t xml:space="preserve"> </w:t>
      </w:r>
      <w:r w:rsidRPr="009635D0">
        <w:t>script:</w:t>
      </w:r>
      <w:r w:rsidR="003D640C" w:rsidRPr="009635D0">
        <w:t xml:space="preserve"> </w:t>
      </w:r>
      <w:r w:rsidRPr="009635D0">
        <w:t>How</w:t>
      </w:r>
      <w:r w:rsidR="003D640C" w:rsidRPr="009635D0">
        <w:t xml:space="preserve"> </w:t>
      </w:r>
      <w:r w:rsidRPr="009635D0">
        <w:t>bisexual</w:t>
      </w:r>
      <w:r w:rsidR="003D640C" w:rsidRPr="009635D0">
        <w:t xml:space="preserve"> </w:t>
      </w:r>
      <w:r w:rsidRPr="009635D0">
        <w:t>men</w:t>
      </w:r>
      <w:r w:rsidR="003D640C" w:rsidRPr="009635D0">
        <w:t xml:space="preserve"> </w:t>
      </w:r>
      <w:r w:rsidRPr="009635D0">
        <w:t>and</w:t>
      </w:r>
      <w:r w:rsidR="003D640C" w:rsidRPr="009635D0">
        <w:t xml:space="preserve"> </w:t>
      </w:r>
      <w:r w:rsidRPr="009635D0">
        <w:t>their</w:t>
      </w:r>
      <w:r w:rsidR="003D640C" w:rsidRPr="009635D0">
        <w:t xml:space="preserve"> </w:t>
      </w:r>
      <w:r w:rsidRPr="009635D0">
        <w:t>heterosexual</w:t>
      </w:r>
      <w:r w:rsidR="003D640C" w:rsidRPr="009635D0">
        <w:t xml:space="preserve"> </w:t>
      </w:r>
      <w:r w:rsidRPr="009635D0">
        <w:t>wives</w:t>
      </w:r>
      <w:r w:rsidR="003D640C" w:rsidRPr="009635D0">
        <w:t xml:space="preserve"> </w:t>
      </w:r>
      <w:r w:rsidRPr="009635D0">
        <w:t>maintain</w:t>
      </w:r>
      <w:r w:rsidR="003D640C" w:rsidRPr="009635D0">
        <w:t xml:space="preserve"> </w:t>
      </w:r>
      <w:r w:rsidRPr="009635D0">
        <w:t>their</w:t>
      </w:r>
      <w:r w:rsidR="003D640C" w:rsidRPr="009635D0">
        <w:t xml:space="preserve"> </w:t>
      </w:r>
      <w:r w:rsidRPr="009635D0">
        <w:t>marriage</w:t>
      </w:r>
      <w:r w:rsidR="003D640C" w:rsidRPr="009635D0">
        <w:t xml:space="preserve"> </w:t>
      </w:r>
      <w:r w:rsidRPr="009635D0">
        <w:t>after</w:t>
      </w:r>
      <w:r w:rsidR="003D640C" w:rsidRPr="009635D0">
        <w:t xml:space="preserve"> </w:t>
      </w:r>
      <w:r w:rsidRPr="009635D0">
        <w:t>disclosure.</w:t>
      </w:r>
      <w:r w:rsidR="003D640C" w:rsidRPr="009635D0">
        <w:t xml:space="preserve"> </w:t>
      </w:r>
      <w:r w:rsidRPr="009635D0">
        <w:rPr>
          <w:i/>
          <w:iCs/>
        </w:rPr>
        <w:t>Journal</w:t>
      </w:r>
      <w:r w:rsidR="003D640C" w:rsidRPr="009635D0">
        <w:rPr>
          <w:i/>
          <w:iCs/>
        </w:rPr>
        <w:t xml:space="preserve"> </w:t>
      </w:r>
      <w:r w:rsidRPr="009635D0">
        <w:rPr>
          <w:i/>
          <w:iCs/>
        </w:rPr>
        <w:t>of</w:t>
      </w:r>
      <w:r w:rsidR="003D640C" w:rsidRPr="009635D0">
        <w:rPr>
          <w:i/>
          <w:iCs/>
        </w:rPr>
        <w:t xml:space="preserve"> </w:t>
      </w:r>
      <w:r w:rsidRPr="009635D0">
        <w:rPr>
          <w:i/>
          <w:iCs/>
        </w:rPr>
        <w:t>Bisexuality</w:t>
      </w:r>
      <w:r w:rsidRPr="009635D0">
        <w:t>,</w:t>
      </w:r>
      <w:r w:rsidR="003D640C" w:rsidRPr="009635D0">
        <w:t xml:space="preserve"> </w:t>
      </w:r>
      <w:r w:rsidRPr="009635D0">
        <w:rPr>
          <w:i/>
          <w:iCs/>
        </w:rPr>
        <w:t>1</w:t>
      </w:r>
      <w:r w:rsidRPr="009635D0">
        <w:t>(2-3),</w:t>
      </w:r>
      <w:r w:rsidR="003D640C" w:rsidRPr="009635D0">
        <w:t xml:space="preserve"> </w:t>
      </w:r>
      <w:r w:rsidRPr="009635D0">
        <w:t>155</w:t>
      </w:r>
      <w:r w:rsidR="00521D2F" w:rsidRPr="009635D0">
        <w:t>–</w:t>
      </w:r>
      <w:r w:rsidRPr="009635D0">
        <w:t>189.</w:t>
      </w:r>
      <w:r w:rsidR="00521D2F" w:rsidRPr="009635D0">
        <w:t xml:space="preserve"> </w:t>
      </w:r>
      <w:hyperlink r:id="rId35" w:history="1">
        <w:r w:rsidR="009635D0" w:rsidRPr="0080137F">
          <w:rPr>
            <w:rStyle w:val="Hyperlink"/>
          </w:rPr>
          <w:t>https://doi.org/10.1300/J159v01n02_06</w:t>
        </w:r>
      </w:hyperlink>
      <w:r w:rsidR="009635D0">
        <w:t xml:space="preserve">  </w:t>
      </w:r>
      <w:r w:rsidR="004F429B" w:rsidRPr="009635D0">
        <w:t xml:space="preserve"> </w:t>
      </w:r>
      <w:r w:rsidR="009635D0">
        <w:t xml:space="preserve"> </w:t>
      </w:r>
    </w:p>
    <w:p w14:paraId="583B4B87" w14:textId="72B2BC3B" w:rsidR="00F01386" w:rsidRPr="00984D87" w:rsidRDefault="00F01386" w:rsidP="00E00167">
      <w:pPr>
        <w:pStyle w:val="Reference"/>
        <w:rPr>
          <w:rStyle w:val="Hyperlink"/>
          <w:rFonts w:ascii="Calibri" w:hAnsi="Calibri" w:cs="Calibri"/>
        </w:rPr>
      </w:pPr>
      <w:r w:rsidRPr="005B33A1">
        <w:t>Carroll</w:t>
      </w:r>
      <w:r w:rsidRPr="009635D0">
        <w:t>,</w:t>
      </w:r>
      <w:r w:rsidR="003D640C" w:rsidRPr="009635D0">
        <w:t xml:space="preserve"> </w:t>
      </w:r>
      <w:r w:rsidRPr="009635D0">
        <w:t>R.,</w:t>
      </w:r>
      <w:r w:rsidR="003D640C" w:rsidRPr="009635D0">
        <w:t xml:space="preserve"> </w:t>
      </w:r>
      <w:r w:rsidRPr="009635D0">
        <w:t>Nicholls,</w:t>
      </w:r>
      <w:r w:rsidR="003D640C" w:rsidRPr="009635D0">
        <w:t xml:space="preserve"> </w:t>
      </w:r>
      <w:r w:rsidRPr="009635D0">
        <w:t>R.,</w:t>
      </w:r>
      <w:r w:rsidR="003D640C" w:rsidRPr="009635D0">
        <w:t xml:space="preserve"> </w:t>
      </w:r>
      <w:r w:rsidRPr="009635D0">
        <w:t>Carroll,</w:t>
      </w:r>
      <w:r w:rsidR="003D640C" w:rsidRPr="009635D0">
        <w:t xml:space="preserve"> </w:t>
      </w:r>
      <w:r w:rsidRPr="009635D0">
        <w:t>R.</w:t>
      </w:r>
      <w:r w:rsidR="003D640C" w:rsidRPr="009635D0">
        <w:t xml:space="preserve"> </w:t>
      </w:r>
      <w:r w:rsidRPr="009635D0">
        <w:t>W.,</w:t>
      </w:r>
      <w:r w:rsidR="003D640C" w:rsidRPr="009635D0">
        <w:t xml:space="preserve"> </w:t>
      </w:r>
      <w:r w:rsidRPr="009635D0">
        <w:t>Bullock,</w:t>
      </w:r>
      <w:r w:rsidR="003D640C" w:rsidRPr="009635D0">
        <w:t xml:space="preserve"> </w:t>
      </w:r>
      <w:r w:rsidRPr="009635D0">
        <w:t>J.,</w:t>
      </w:r>
      <w:r w:rsidR="003D640C" w:rsidRPr="009635D0">
        <w:t xml:space="preserve"> </w:t>
      </w:r>
      <w:r w:rsidRPr="009635D0">
        <w:t>Reid,</w:t>
      </w:r>
      <w:r w:rsidR="003D640C" w:rsidRPr="009635D0">
        <w:t xml:space="preserve"> </w:t>
      </w:r>
      <w:r w:rsidRPr="009635D0">
        <w:t>D.,</w:t>
      </w:r>
      <w:r w:rsidR="003D640C" w:rsidRPr="009635D0">
        <w:t xml:space="preserve"> </w:t>
      </w:r>
      <w:r w:rsidRPr="009635D0">
        <w:t>Shields,</w:t>
      </w:r>
      <w:r w:rsidR="003D640C" w:rsidRPr="009635D0">
        <w:t xml:space="preserve"> </w:t>
      </w:r>
      <w:r w:rsidRPr="009635D0">
        <w:t>J.,</w:t>
      </w:r>
      <w:r w:rsidR="003D640C" w:rsidRPr="009635D0">
        <w:t xml:space="preserve"> </w:t>
      </w:r>
      <w:r w:rsidRPr="009635D0">
        <w:t>Johnson,</w:t>
      </w:r>
      <w:r w:rsidR="003D640C" w:rsidRPr="009635D0">
        <w:t xml:space="preserve"> </w:t>
      </w:r>
      <w:r w:rsidRPr="009635D0">
        <w:t>R.,</w:t>
      </w:r>
      <w:r w:rsidR="003D640C" w:rsidRPr="009635D0">
        <w:t xml:space="preserve"> </w:t>
      </w:r>
      <w:r w:rsidRPr="009635D0">
        <w:t>Oliphant,</w:t>
      </w:r>
      <w:r w:rsidR="003D640C" w:rsidRPr="009635D0">
        <w:t xml:space="preserve"> </w:t>
      </w:r>
      <w:r w:rsidRPr="009635D0">
        <w:t>J.,</w:t>
      </w:r>
      <w:r w:rsidR="003D640C" w:rsidRPr="009635D0">
        <w:t xml:space="preserve"> </w:t>
      </w:r>
      <w:r w:rsidRPr="009635D0">
        <w:t>McElrea,</w:t>
      </w:r>
      <w:r w:rsidR="003D640C">
        <w:t xml:space="preserve"> </w:t>
      </w:r>
      <w:r w:rsidRPr="00984D87">
        <w:t>E.,</w:t>
      </w:r>
      <w:r w:rsidR="003D640C">
        <w:t xml:space="preserve"> </w:t>
      </w:r>
      <w:r w:rsidRPr="00984D87">
        <w:t>Whitfield,</w:t>
      </w:r>
      <w:r w:rsidR="003D640C">
        <w:t xml:space="preserve"> </w:t>
      </w:r>
      <w:r w:rsidRPr="00984D87">
        <w:t>P.,</w:t>
      </w:r>
      <w:r w:rsidR="003D640C">
        <w:t xml:space="preserve"> </w:t>
      </w:r>
      <w:r w:rsidRPr="00984D87">
        <w:t>&amp;</w:t>
      </w:r>
      <w:r w:rsidR="003D640C">
        <w:t xml:space="preserve"> </w:t>
      </w:r>
      <w:r w:rsidRPr="00984D87">
        <w:t>Veale,</w:t>
      </w:r>
      <w:r w:rsidR="003D640C">
        <w:t xml:space="preserve"> </w:t>
      </w:r>
      <w:r w:rsidRPr="00984D87">
        <w:t>J.</w:t>
      </w:r>
      <w:r w:rsidR="003D640C">
        <w:t xml:space="preserve"> </w:t>
      </w:r>
      <w:r w:rsidRPr="00984D87">
        <w:t>(2023).</w:t>
      </w:r>
      <w:r w:rsidR="003D640C">
        <w:t xml:space="preserve"> </w:t>
      </w:r>
      <w:r w:rsidRPr="00984D87">
        <w:rPr>
          <w:i/>
          <w:iCs/>
        </w:rPr>
        <w:t>Primary</w:t>
      </w:r>
      <w:r w:rsidR="003D640C">
        <w:rPr>
          <w:i/>
          <w:iCs/>
        </w:rPr>
        <w:t xml:space="preserve"> </w:t>
      </w:r>
      <w:r w:rsidRPr="00984D87">
        <w:rPr>
          <w:i/>
          <w:iCs/>
        </w:rPr>
        <w:t>care</w:t>
      </w:r>
      <w:r w:rsidR="003D640C">
        <w:rPr>
          <w:i/>
          <w:iCs/>
        </w:rPr>
        <w:t xml:space="preserve"> </w:t>
      </w:r>
      <w:r w:rsidRPr="00984D87">
        <w:rPr>
          <w:i/>
          <w:iCs/>
        </w:rPr>
        <w:t>gender</w:t>
      </w:r>
      <w:r w:rsidR="003D640C">
        <w:rPr>
          <w:i/>
          <w:iCs/>
        </w:rPr>
        <w:t xml:space="preserve"> </w:t>
      </w:r>
      <w:r w:rsidRPr="00984D87">
        <w:rPr>
          <w:i/>
          <w:iCs/>
        </w:rPr>
        <w:t>affirming</w:t>
      </w:r>
      <w:r w:rsidR="003D640C">
        <w:rPr>
          <w:i/>
          <w:iCs/>
        </w:rPr>
        <w:t xml:space="preserve"> </w:t>
      </w:r>
      <w:r w:rsidRPr="00984D87">
        <w:rPr>
          <w:i/>
          <w:iCs/>
        </w:rPr>
        <w:t>hormone</w:t>
      </w:r>
      <w:r w:rsidR="003D640C">
        <w:rPr>
          <w:i/>
          <w:iCs/>
        </w:rPr>
        <w:t xml:space="preserve"> </w:t>
      </w:r>
      <w:r w:rsidRPr="00984D87">
        <w:rPr>
          <w:i/>
          <w:iCs/>
        </w:rPr>
        <w:t>therapy</w:t>
      </w:r>
      <w:r w:rsidR="003D640C">
        <w:rPr>
          <w:i/>
          <w:iCs/>
        </w:rPr>
        <w:t xml:space="preserve"> </w:t>
      </w:r>
      <w:r w:rsidRPr="00984D87">
        <w:rPr>
          <w:i/>
          <w:iCs/>
        </w:rPr>
        <w:t>initiation</w:t>
      </w:r>
      <w:r w:rsidR="003D640C">
        <w:rPr>
          <w:i/>
          <w:iCs/>
        </w:rPr>
        <w:t xml:space="preserve"> </w:t>
      </w:r>
      <w:r w:rsidRPr="00984D87">
        <w:rPr>
          <w:i/>
          <w:iCs/>
        </w:rPr>
        <w:t>guidelines.</w:t>
      </w:r>
      <w:r w:rsidR="003D640C">
        <w:t xml:space="preserve"> </w:t>
      </w:r>
      <w:hyperlink r:id="rId36" w:history="1">
        <w:r w:rsidR="00D42718" w:rsidRPr="00604C2A">
          <w:rPr>
            <w:rStyle w:val="Hyperlink"/>
          </w:rPr>
          <w:t>https://blogs.otago.ac.nz/rainbow/files/2023/03/Primary-Care-GAHT-Guidelines_Web_29-Mar.pdf</w:t>
        </w:r>
      </w:hyperlink>
      <w:r w:rsidR="00D42718">
        <w:t xml:space="preserve"> </w:t>
      </w:r>
    </w:p>
    <w:p w14:paraId="7A1BC07B" w14:textId="531B8F8B" w:rsidR="00F01386" w:rsidRPr="009635D0" w:rsidRDefault="00F01386" w:rsidP="00E00167">
      <w:pPr>
        <w:pStyle w:val="Reference"/>
      </w:pPr>
      <w:r w:rsidRPr="005B33A1">
        <w:t>Chan</w:t>
      </w:r>
      <w:r w:rsidRPr="009635D0">
        <w:t>,</w:t>
      </w:r>
      <w:r w:rsidR="003D640C" w:rsidRPr="009635D0">
        <w:t xml:space="preserve"> </w:t>
      </w:r>
      <w:r w:rsidRPr="009635D0">
        <w:t>R.</w:t>
      </w:r>
      <w:r w:rsidR="003D640C" w:rsidRPr="009635D0">
        <w:t xml:space="preserve"> </w:t>
      </w:r>
      <w:r w:rsidRPr="009635D0">
        <w:t>C.</w:t>
      </w:r>
      <w:r w:rsidR="003D640C" w:rsidRPr="009635D0">
        <w:t xml:space="preserve"> </w:t>
      </w:r>
      <w:r w:rsidRPr="009635D0">
        <w:t>H.,</w:t>
      </w:r>
      <w:r w:rsidR="003D640C" w:rsidRPr="009635D0">
        <w:t xml:space="preserve"> </w:t>
      </w:r>
      <w:r w:rsidRPr="009635D0">
        <w:t>Leung,</w:t>
      </w:r>
      <w:r w:rsidR="003D640C" w:rsidRPr="009635D0">
        <w:t xml:space="preserve"> </w:t>
      </w:r>
      <w:r w:rsidRPr="009635D0">
        <w:t>J.</w:t>
      </w:r>
      <w:r w:rsidR="003D640C" w:rsidRPr="009635D0">
        <w:t xml:space="preserve"> </w:t>
      </w:r>
      <w:r w:rsidRPr="009635D0">
        <w:t>S.</w:t>
      </w:r>
      <w:r w:rsidR="003D640C" w:rsidRPr="009635D0">
        <w:t xml:space="preserve"> </w:t>
      </w:r>
      <w:r w:rsidRPr="009635D0">
        <w:t>Y.,</w:t>
      </w:r>
      <w:r w:rsidR="003D640C" w:rsidRPr="009635D0">
        <w:t xml:space="preserve"> </w:t>
      </w:r>
      <w:r w:rsidRPr="009635D0">
        <w:t>&amp;</w:t>
      </w:r>
      <w:r w:rsidR="003D640C" w:rsidRPr="009635D0">
        <w:t xml:space="preserve"> </w:t>
      </w:r>
      <w:r w:rsidRPr="009635D0">
        <w:t>Wong,</w:t>
      </w:r>
      <w:r w:rsidR="003D640C" w:rsidRPr="009635D0">
        <w:t xml:space="preserve"> </w:t>
      </w:r>
      <w:r w:rsidRPr="009635D0">
        <w:t>D.</w:t>
      </w:r>
      <w:r w:rsidR="003D640C" w:rsidRPr="009635D0">
        <w:t xml:space="preserve"> </w:t>
      </w:r>
      <w:r w:rsidRPr="009635D0">
        <w:t>C.</w:t>
      </w:r>
      <w:r w:rsidR="003D640C" w:rsidRPr="009635D0">
        <w:t xml:space="preserve"> </w:t>
      </w:r>
      <w:r w:rsidRPr="009635D0">
        <w:t>K.</w:t>
      </w:r>
      <w:r w:rsidR="003D640C" w:rsidRPr="009635D0">
        <w:t xml:space="preserve"> </w:t>
      </w:r>
      <w:r w:rsidRPr="009635D0">
        <w:t>(2022).</w:t>
      </w:r>
      <w:r w:rsidR="003D640C" w:rsidRPr="009635D0">
        <w:t xml:space="preserve"> </w:t>
      </w:r>
      <w:r w:rsidRPr="009635D0">
        <w:t>Experiences,</w:t>
      </w:r>
      <w:r w:rsidR="003D640C" w:rsidRPr="009635D0">
        <w:t xml:space="preserve"> </w:t>
      </w:r>
      <w:r w:rsidRPr="009635D0">
        <w:t>motivations,</w:t>
      </w:r>
      <w:r w:rsidR="003D640C" w:rsidRPr="009635D0">
        <w:t xml:space="preserve"> </w:t>
      </w:r>
      <w:r w:rsidRPr="009635D0">
        <w:t>and</w:t>
      </w:r>
      <w:r w:rsidR="003D640C" w:rsidRPr="009635D0">
        <w:t xml:space="preserve"> </w:t>
      </w:r>
      <w:r w:rsidRPr="009635D0">
        <w:t>impacts</w:t>
      </w:r>
      <w:r w:rsidR="003D640C" w:rsidRPr="009635D0">
        <w:t xml:space="preserve"> </w:t>
      </w:r>
      <w:r w:rsidRPr="009635D0">
        <w:t>of</w:t>
      </w:r>
      <w:r w:rsidR="003D640C" w:rsidRPr="009635D0">
        <w:t xml:space="preserve"> </w:t>
      </w:r>
      <w:r w:rsidRPr="009635D0">
        <w:t>sexual</w:t>
      </w:r>
      <w:r w:rsidR="003D640C" w:rsidRPr="009635D0">
        <w:t xml:space="preserve"> </w:t>
      </w:r>
      <w:r w:rsidRPr="009635D0">
        <w:t>orientation</w:t>
      </w:r>
      <w:r w:rsidR="003D640C" w:rsidRPr="009635D0">
        <w:t xml:space="preserve"> </w:t>
      </w:r>
      <w:r w:rsidRPr="009635D0">
        <w:t>change</w:t>
      </w:r>
      <w:r w:rsidR="003D640C" w:rsidRPr="009635D0">
        <w:t xml:space="preserve"> </w:t>
      </w:r>
      <w:r w:rsidRPr="009635D0">
        <w:t>efforts:</w:t>
      </w:r>
      <w:r w:rsidR="003D640C" w:rsidRPr="009635D0">
        <w:t xml:space="preserve"> </w:t>
      </w:r>
      <w:r w:rsidR="003D0CB2" w:rsidRPr="009635D0">
        <w:t>E</w:t>
      </w:r>
      <w:r w:rsidRPr="009635D0">
        <w:t>ffects</w:t>
      </w:r>
      <w:r w:rsidR="003D640C" w:rsidRPr="009635D0">
        <w:t xml:space="preserve"> </w:t>
      </w:r>
      <w:r w:rsidRPr="009635D0">
        <w:t>on</w:t>
      </w:r>
      <w:r w:rsidR="003D640C" w:rsidRPr="009635D0">
        <w:t xml:space="preserve"> </w:t>
      </w:r>
      <w:r w:rsidRPr="009635D0">
        <w:t>sexual</w:t>
      </w:r>
      <w:r w:rsidR="003D640C" w:rsidRPr="009635D0">
        <w:t xml:space="preserve"> </w:t>
      </w:r>
      <w:r w:rsidRPr="009635D0">
        <w:t>identity</w:t>
      </w:r>
      <w:r w:rsidR="003D640C" w:rsidRPr="009635D0">
        <w:t xml:space="preserve"> </w:t>
      </w:r>
      <w:r w:rsidRPr="009635D0">
        <w:t>distress</w:t>
      </w:r>
      <w:r w:rsidR="003D640C" w:rsidRPr="009635D0">
        <w:t xml:space="preserve"> </w:t>
      </w:r>
      <w:r w:rsidRPr="009635D0">
        <w:t>and</w:t>
      </w:r>
      <w:r w:rsidR="003D640C" w:rsidRPr="009635D0">
        <w:t xml:space="preserve"> </w:t>
      </w:r>
      <w:r w:rsidRPr="009635D0">
        <w:t>mental</w:t>
      </w:r>
      <w:r w:rsidR="003D640C" w:rsidRPr="009635D0">
        <w:t xml:space="preserve"> </w:t>
      </w:r>
      <w:r w:rsidRPr="009635D0">
        <w:t>health</w:t>
      </w:r>
      <w:r w:rsidR="003D640C" w:rsidRPr="009635D0">
        <w:t xml:space="preserve"> </w:t>
      </w:r>
      <w:r w:rsidRPr="009635D0">
        <w:t>among</w:t>
      </w:r>
      <w:r w:rsidR="003D640C" w:rsidRPr="009635D0">
        <w:t xml:space="preserve"> </w:t>
      </w:r>
      <w:r w:rsidRPr="009635D0">
        <w:t>sexual</w:t>
      </w:r>
      <w:r w:rsidR="003D640C" w:rsidRPr="009635D0">
        <w:t xml:space="preserve"> </w:t>
      </w:r>
      <w:r w:rsidRPr="009635D0">
        <w:t>minorities.</w:t>
      </w:r>
      <w:r w:rsidR="003D640C" w:rsidRPr="009635D0">
        <w:t xml:space="preserve"> </w:t>
      </w:r>
      <w:r w:rsidRPr="009635D0">
        <w:rPr>
          <w:i/>
          <w:iCs/>
        </w:rPr>
        <w:t>Sexual</w:t>
      </w:r>
      <w:r w:rsidR="003D0CB2" w:rsidRPr="009635D0">
        <w:rPr>
          <w:i/>
          <w:iCs/>
        </w:rPr>
        <w:t>ity</w:t>
      </w:r>
      <w:r w:rsidR="003D640C" w:rsidRPr="009635D0">
        <w:rPr>
          <w:i/>
          <w:iCs/>
        </w:rPr>
        <w:t xml:space="preserve"> </w:t>
      </w:r>
      <w:r w:rsidRPr="009635D0">
        <w:rPr>
          <w:i/>
          <w:iCs/>
        </w:rPr>
        <w:t>Research</w:t>
      </w:r>
      <w:r w:rsidR="003D640C" w:rsidRPr="009635D0">
        <w:rPr>
          <w:i/>
          <w:iCs/>
        </w:rPr>
        <w:t xml:space="preserve"> </w:t>
      </w:r>
      <w:r w:rsidRPr="009635D0">
        <w:rPr>
          <w:i/>
          <w:iCs/>
        </w:rPr>
        <w:t>and</w:t>
      </w:r>
      <w:r w:rsidR="003D640C" w:rsidRPr="009635D0">
        <w:rPr>
          <w:i/>
          <w:iCs/>
        </w:rPr>
        <w:t xml:space="preserve"> </w:t>
      </w:r>
      <w:r w:rsidRPr="009635D0">
        <w:rPr>
          <w:i/>
          <w:iCs/>
        </w:rPr>
        <w:t>Social</w:t>
      </w:r>
      <w:r w:rsidR="003D640C" w:rsidRPr="009635D0">
        <w:rPr>
          <w:i/>
          <w:iCs/>
        </w:rPr>
        <w:t xml:space="preserve"> </w:t>
      </w:r>
      <w:r w:rsidRPr="009635D0">
        <w:rPr>
          <w:i/>
          <w:iCs/>
        </w:rPr>
        <w:t>Policy</w:t>
      </w:r>
      <w:r w:rsidR="003D0CB2" w:rsidRPr="009635D0">
        <w:t xml:space="preserve">, </w:t>
      </w:r>
      <w:r w:rsidR="003D0CB2" w:rsidRPr="009635D0">
        <w:rPr>
          <w:i/>
          <w:iCs/>
        </w:rPr>
        <w:t>19</w:t>
      </w:r>
      <w:r w:rsidR="003D0CB2" w:rsidRPr="009635D0">
        <w:t>, 1534–1548</w:t>
      </w:r>
      <w:r w:rsidRPr="009635D0">
        <w:t>.</w:t>
      </w:r>
      <w:r w:rsidR="003D640C" w:rsidRPr="009635D0">
        <w:t xml:space="preserve"> </w:t>
      </w:r>
      <w:hyperlink r:id="rId37" w:history="1">
        <w:r w:rsidR="007B139B" w:rsidRPr="009635D0">
          <w:rPr>
            <w:rStyle w:val="Hyperlink"/>
          </w:rPr>
          <w:t>https://doi.org/10.1007/s13178-021-00669-5</w:t>
        </w:r>
      </w:hyperlink>
      <w:r w:rsidR="007B139B" w:rsidRPr="009635D0">
        <w:t xml:space="preserve">  </w:t>
      </w:r>
    </w:p>
    <w:p w14:paraId="15B4168A" w14:textId="2521DD69" w:rsidR="00F01386" w:rsidRPr="009635D0" w:rsidRDefault="00F01386" w:rsidP="00E00167">
      <w:pPr>
        <w:pStyle w:val="Reference"/>
      </w:pPr>
      <w:r w:rsidRPr="009635D0">
        <w:rPr>
          <w:shd w:val="clear" w:color="auto" w:fill="FFFFFF"/>
        </w:rPr>
        <w:t>Chen,</w:t>
      </w:r>
      <w:r w:rsidR="003D640C" w:rsidRPr="009635D0">
        <w:rPr>
          <w:shd w:val="clear" w:color="auto" w:fill="FFFFFF"/>
        </w:rPr>
        <w:t xml:space="preserve"> </w:t>
      </w:r>
      <w:r w:rsidRPr="009635D0">
        <w:rPr>
          <w:shd w:val="clear" w:color="auto" w:fill="FFFFFF"/>
        </w:rPr>
        <w:t>L.</w:t>
      </w:r>
      <w:r w:rsidR="003D640C" w:rsidRPr="009635D0">
        <w:rPr>
          <w:shd w:val="clear" w:color="auto" w:fill="FFFFFF"/>
        </w:rPr>
        <w:t xml:space="preserve"> </w:t>
      </w:r>
      <w:r w:rsidRPr="009635D0">
        <w:rPr>
          <w:shd w:val="clear" w:color="auto" w:fill="FFFFFF"/>
        </w:rPr>
        <w:t>(2023,</w:t>
      </w:r>
      <w:r w:rsidR="003D640C" w:rsidRPr="009635D0">
        <w:rPr>
          <w:shd w:val="clear" w:color="auto" w:fill="FFFFFF"/>
        </w:rPr>
        <w:t xml:space="preserve"> </w:t>
      </w:r>
      <w:r w:rsidRPr="009635D0">
        <w:rPr>
          <w:shd w:val="clear" w:color="auto" w:fill="FFFFFF"/>
        </w:rPr>
        <w:t>August</w:t>
      </w:r>
      <w:r w:rsidR="003D640C" w:rsidRPr="009635D0">
        <w:rPr>
          <w:shd w:val="clear" w:color="auto" w:fill="FFFFFF"/>
        </w:rPr>
        <w:t xml:space="preserve"> </w:t>
      </w:r>
      <w:r w:rsidRPr="009635D0">
        <w:rPr>
          <w:shd w:val="clear" w:color="auto" w:fill="FFFFFF"/>
        </w:rPr>
        <w:t>10).</w:t>
      </w:r>
      <w:r w:rsidR="003D640C" w:rsidRPr="009635D0">
        <w:rPr>
          <w:shd w:val="clear" w:color="auto" w:fill="FFFFFF"/>
        </w:rPr>
        <w:t xml:space="preserve"> </w:t>
      </w:r>
      <w:r w:rsidRPr="005B33A1">
        <w:rPr>
          <w:i/>
          <w:iCs/>
          <w:shd w:val="clear" w:color="auto" w:fill="FFFFFF"/>
        </w:rPr>
        <w:t>Chinese</w:t>
      </w:r>
      <w:r w:rsidR="003D640C" w:rsidRPr="005B33A1">
        <w:rPr>
          <w:i/>
          <w:iCs/>
          <w:shd w:val="clear" w:color="auto" w:fill="FFFFFF"/>
        </w:rPr>
        <w:t xml:space="preserve"> </w:t>
      </w:r>
      <w:r w:rsidRPr="005B33A1">
        <w:rPr>
          <w:i/>
          <w:iCs/>
          <w:shd w:val="clear" w:color="auto" w:fill="FFFFFF"/>
        </w:rPr>
        <w:t>rainbow</w:t>
      </w:r>
      <w:r w:rsidR="003D640C" w:rsidRPr="005B33A1">
        <w:rPr>
          <w:i/>
          <w:iCs/>
          <w:shd w:val="clear" w:color="auto" w:fill="FFFFFF"/>
        </w:rPr>
        <w:t xml:space="preserve"> </w:t>
      </w:r>
      <w:r w:rsidRPr="005B33A1">
        <w:rPr>
          <w:i/>
          <w:iCs/>
          <w:shd w:val="clear" w:color="auto" w:fill="FFFFFF"/>
        </w:rPr>
        <w:t>communities</w:t>
      </w:r>
      <w:r w:rsidR="003D640C" w:rsidRPr="005B33A1">
        <w:rPr>
          <w:i/>
          <w:iCs/>
          <w:shd w:val="clear" w:color="auto" w:fill="FFFFFF"/>
        </w:rPr>
        <w:t xml:space="preserve"> </w:t>
      </w:r>
      <w:r w:rsidRPr="005B33A1">
        <w:rPr>
          <w:i/>
          <w:iCs/>
          <w:shd w:val="clear" w:color="auto" w:fill="FFFFFF"/>
        </w:rPr>
        <w:t>struggle</w:t>
      </w:r>
      <w:r w:rsidR="003D640C" w:rsidRPr="005B33A1">
        <w:rPr>
          <w:i/>
          <w:iCs/>
          <w:shd w:val="clear" w:color="auto" w:fill="FFFFFF"/>
        </w:rPr>
        <w:t xml:space="preserve"> </w:t>
      </w:r>
      <w:r w:rsidRPr="005B33A1">
        <w:rPr>
          <w:i/>
          <w:iCs/>
          <w:shd w:val="clear" w:color="auto" w:fill="FFFFFF"/>
        </w:rPr>
        <w:t>with</w:t>
      </w:r>
      <w:r w:rsidR="003D640C" w:rsidRPr="005B33A1">
        <w:rPr>
          <w:i/>
          <w:iCs/>
          <w:shd w:val="clear" w:color="auto" w:fill="FFFFFF"/>
        </w:rPr>
        <w:t xml:space="preserve"> </w:t>
      </w:r>
      <w:r w:rsidRPr="005B33A1">
        <w:rPr>
          <w:i/>
          <w:iCs/>
          <w:shd w:val="clear" w:color="auto" w:fill="FFFFFF"/>
        </w:rPr>
        <w:t>life</w:t>
      </w:r>
      <w:r w:rsidR="003D640C" w:rsidRPr="005B33A1">
        <w:rPr>
          <w:i/>
          <w:iCs/>
          <w:shd w:val="clear" w:color="auto" w:fill="FFFFFF"/>
        </w:rPr>
        <w:t xml:space="preserve"> </w:t>
      </w:r>
      <w:r w:rsidRPr="005B33A1">
        <w:rPr>
          <w:i/>
          <w:iCs/>
          <w:shd w:val="clear" w:color="auto" w:fill="FFFFFF"/>
        </w:rPr>
        <w:t>in</w:t>
      </w:r>
      <w:r w:rsidR="003D640C" w:rsidRPr="005B33A1">
        <w:rPr>
          <w:i/>
          <w:iCs/>
          <w:shd w:val="clear" w:color="auto" w:fill="FFFFFF"/>
        </w:rPr>
        <w:t xml:space="preserve"> </w:t>
      </w:r>
      <w:r w:rsidRPr="005B33A1">
        <w:rPr>
          <w:i/>
          <w:iCs/>
          <w:shd w:val="clear" w:color="auto" w:fill="FFFFFF"/>
        </w:rPr>
        <w:t>the</w:t>
      </w:r>
      <w:r w:rsidR="003D640C" w:rsidRPr="005B33A1">
        <w:rPr>
          <w:i/>
          <w:iCs/>
          <w:shd w:val="clear" w:color="auto" w:fill="FFFFFF"/>
        </w:rPr>
        <w:t xml:space="preserve"> </w:t>
      </w:r>
      <w:r w:rsidRPr="005B33A1">
        <w:rPr>
          <w:i/>
          <w:iCs/>
          <w:shd w:val="clear" w:color="auto" w:fill="FFFFFF"/>
        </w:rPr>
        <w:t>‘ethnic</w:t>
      </w:r>
      <w:r w:rsidR="003D640C" w:rsidRPr="005B33A1">
        <w:rPr>
          <w:i/>
          <w:iCs/>
          <w:shd w:val="clear" w:color="auto" w:fill="FFFFFF"/>
        </w:rPr>
        <w:t xml:space="preserve"> </w:t>
      </w:r>
      <w:r w:rsidRPr="005B33A1">
        <w:rPr>
          <w:i/>
          <w:iCs/>
          <w:shd w:val="clear" w:color="auto" w:fill="FFFFFF"/>
        </w:rPr>
        <w:t>closet</w:t>
      </w:r>
      <w:r w:rsidRPr="009635D0">
        <w:rPr>
          <w:shd w:val="clear" w:color="auto" w:fill="FFFFFF"/>
        </w:rPr>
        <w:t>’.</w:t>
      </w:r>
      <w:r w:rsidR="003D640C" w:rsidRPr="009635D0">
        <w:rPr>
          <w:rFonts w:ascii="Arial" w:hAnsi="Arial" w:cs="Arial"/>
          <w:sz w:val="27"/>
          <w:szCs w:val="27"/>
          <w:shd w:val="clear" w:color="auto" w:fill="FFFFFF"/>
        </w:rPr>
        <w:t xml:space="preserve"> </w:t>
      </w:r>
      <w:hyperlink r:id="rId38" w:history="1">
        <w:r w:rsidR="000A0784" w:rsidRPr="009635D0">
          <w:rPr>
            <w:rStyle w:val="Hyperlink"/>
            <w:shd w:val="clear" w:color="auto" w:fill="FFFFFF"/>
          </w:rPr>
          <w:t>https://www.rnz.co.nz/news/chinese/495437/chinese-rainbow-communities-struggle-with-life-in-the-ethnic-closet</w:t>
        </w:r>
        <w:r w:rsidR="000A0784" w:rsidRPr="009635D0">
          <w:rPr>
            <w:rStyle w:val="Hyperlink"/>
          </w:rPr>
          <w:t>t</w:t>
        </w:r>
      </w:hyperlink>
      <w:r w:rsidR="000A0784" w:rsidRPr="009635D0">
        <w:t xml:space="preserve"> </w:t>
      </w:r>
    </w:p>
    <w:p w14:paraId="6C52CF4D" w14:textId="03C8198F" w:rsidR="00F01386" w:rsidRPr="009635D0" w:rsidRDefault="00F01386" w:rsidP="00E00167">
      <w:pPr>
        <w:pStyle w:val="Reference"/>
      </w:pPr>
      <w:r w:rsidRPr="005B33A1">
        <w:t>Child</w:t>
      </w:r>
      <w:r w:rsidR="003D640C" w:rsidRPr="009635D0">
        <w:t xml:space="preserve"> </w:t>
      </w:r>
      <w:r w:rsidRPr="009635D0">
        <w:t>and</w:t>
      </w:r>
      <w:r w:rsidR="003D640C" w:rsidRPr="009635D0">
        <w:t xml:space="preserve"> </w:t>
      </w:r>
      <w:r w:rsidRPr="009635D0">
        <w:t>Youth</w:t>
      </w:r>
      <w:r w:rsidR="003D640C" w:rsidRPr="009635D0">
        <w:t xml:space="preserve"> </w:t>
      </w:r>
      <w:r w:rsidRPr="009635D0">
        <w:t>Mortality</w:t>
      </w:r>
      <w:r w:rsidR="003D640C" w:rsidRPr="009635D0">
        <w:t xml:space="preserve"> </w:t>
      </w:r>
      <w:r w:rsidRPr="009635D0">
        <w:t>Review</w:t>
      </w:r>
      <w:r w:rsidR="003D640C" w:rsidRPr="009635D0">
        <w:t xml:space="preserve"> </w:t>
      </w:r>
      <w:r w:rsidRPr="009635D0">
        <w:t>Committee</w:t>
      </w:r>
      <w:r w:rsidR="003D640C" w:rsidRPr="009635D0">
        <w:t xml:space="preserve"> </w:t>
      </w:r>
      <w:r w:rsidRPr="009635D0">
        <w:t>and</w:t>
      </w:r>
      <w:r w:rsidR="003D640C" w:rsidRPr="009635D0">
        <w:t xml:space="preserve"> </w:t>
      </w:r>
      <w:r w:rsidRPr="009635D0">
        <w:t>Suicide</w:t>
      </w:r>
      <w:r w:rsidR="003D640C" w:rsidRPr="009635D0">
        <w:t xml:space="preserve"> </w:t>
      </w:r>
      <w:r w:rsidRPr="009635D0">
        <w:t>Mortality</w:t>
      </w:r>
      <w:r w:rsidR="003D640C" w:rsidRPr="009635D0">
        <w:t xml:space="preserve"> </w:t>
      </w:r>
      <w:r w:rsidRPr="009635D0">
        <w:t>Review</w:t>
      </w:r>
      <w:r w:rsidR="003D640C" w:rsidRPr="009635D0">
        <w:t xml:space="preserve"> </w:t>
      </w:r>
      <w:r w:rsidRPr="009635D0">
        <w:t>Committee.</w:t>
      </w:r>
      <w:r w:rsidR="003D640C" w:rsidRPr="009635D0">
        <w:t xml:space="preserve"> </w:t>
      </w:r>
      <w:r w:rsidRPr="009635D0">
        <w:t>(2020).</w:t>
      </w:r>
      <w:r w:rsidR="003D640C" w:rsidRPr="009635D0">
        <w:t xml:space="preserve"> </w:t>
      </w:r>
      <w:r w:rsidRPr="009635D0">
        <w:rPr>
          <w:i/>
          <w:iCs/>
        </w:rPr>
        <w:t>Rangatahi</w:t>
      </w:r>
      <w:r w:rsidR="003D640C" w:rsidRPr="009635D0">
        <w:rPr>
          <w:i/>
          <w:iCs/>
        </w:rPr>
        <w:t xml:space="preserve"> </w:t>
      </w:r>
      <w:r w:rsidRPr="009635D0">
        <w:rPr>
          <w:i/>
          <w:iCs/>
        </w:rPr>
        <w:t>suicide</w:t>
      </w:r>
      <w:r w:rsidR="003D640C" w:rsidRPr="009635D0">
        <w:rPr>
          <w:i/>
          <w:iCs/>
        </w:rPr>
        <w:t xml:space="preserve"> </w:t>
      </w:r>
      <w:r w:rsidRPr="009635D0">
        <w:rPr>
          <w:i/>
          <w:iCs/>
        </w:rPr>
        <w:t>report</w:t>
      </w:r>
      <w:r w:rsidR="003D640C" w:rsidRPr="009635D0">
        <w:rPr>
          <w:i/>
          <w:iCs/>
        </w:rPr>
        <w:t xml:space="preserve"> </w:t>
      </w:r>
      <w:r w:rsidRPr="009635D0">
        <w:rPr>
          <w:i/>
          <w:iCs/>
        </w:rPr>
        <w:t>|</w:t>
      </w:r>
      <w:r w:rsidR="003D640C" w:rsidRPr="009635D0">
        <w:rPr>
          <w:i/>
          <w:iCs/>
        </w:rPr>
        <w:t xml:space="preserve"> </w:t>
      </w:r>
      <w:r w:rsidRPr="009635D0">
        <w:rPr>
          <w:i/>
          <w:iCs/>
        </w:rPr>
        <w:t>Te</w:t>
      </w:r>
      <w:r w:rsidR="003D640C" w:rsidRPr="009635D0">
        <w:rPr>
          <w:i/>
          <w:iCs/>
        </w:rPr>
        <w:t xml:space="preserve"> </w:t>
      </w:r>
      <w:r w:rsidRPr="009635D0">
        <w:rPr>
          <w:i/>
          <w:iCs/>
          <w:lang w:val="mi-NZ"/>
        </w:rPr>
        <w:t>pūrongo</w:t>
      </w:r>
      <w:r w:rsidR="003D640C" w:rsidRPr="009635D0">
        <w:rPr>
          <w:i/>
          <w:iCs/>
          <w:lang w:val="mi-NZ"/>
        </w:rPr>
        <w:t xml:space="preserve"> </w:t>
      </w:r>
      <w:r w:rsidRPr="009635D0">
        <w:rPr>
          <w:i/>
          <w:iCs/>
          <w:lang w:val="mi-NZ"/>
        </w:rPr>
        <w:t>mō</w:t>
      </w:r>
      <w:r w:rsidR="003D640C" w:rsidRPr="009635D0">
        <w:rPr>
          <w:i/>
          <w:iCs/>
          <w:lang w:val="mi-NZ"/>
        </w:rPr>
        <w:t xml:space="preserve"> </w:t>
      </w:r>
      <w:r w:rsidRPr="009635D0">
        <w:rPr>
          <w:i/>
          <w:iCs/>
          <w:lang w:val="mi-NZ"/>
        </w:rPr>
        <w:t>te</w:t>
      </w:r>
      <w:r w:rsidR="003D640C" w:rsidRPr="009635D0">
        <w:rPr>
          <w:i/>
          <w:iCs/>
          <w:lang w:val="mi-NZ"/>
        </w:rPr>
        <w:t xml:space="preserve"> </w:t>
      </w:r>
      <w:r w:rsidRPr="009635D0">
        <w:rPr>
          <w:i/>
          <w:iCs/>
          <w:lang w:val="mi-NZ"/>
        </w:rPr>
        <w:t>mate</w:t>
      </w:r>
      <w:r w:rsidR="003D640C" w:rsidRPr="009635D0">
        <w:rPr>
          <w:i/>
          <w:iCs/>
          <w:lang w:val="mi-NZ"/>
        </w:rPr>
        <w:t xml:space="preserve"> </w:t>
      </w:r>
      <w:r w:rsidRPr="009635D0">
        <w:rPr>
          <w:i/>
          <w:iCs/>
          <w:lang w:val="mi-NZ"/>
        </w:rPr>
        <w:t>whakamomori</w:t>
      </w:r>
      <w:r w:rsidR="003D640C" w:rsidRPr="009635D0">
        <w:rPr>
          <w:i/>
          <w:iCs/>
          <w:lang w:val="mi-NZ"/>
        </w:rPr>
        <w:t xml:space="preserve"> </w:t>
      </w:r>
      <w:r w:rsidRPr="009635D0">
        <w:rPr>
          <w:i/>
          <w:iCs/>
          <w:lang w:val="mi-NZ"/>
        </w:rPr>
        <w:t>o</w:t>
      </w:r>
      <w:r w:rsidR="003D640C" w:rsidRPr="009635D0">
        <w:rPr>
          <w:i/>
          <w:iCs/>
          <w:lang w:val="mi-NZ"/>
        </w:rPr>
        <w:t xml:space="preserve"> </w:t>
      </w:r>
      <w:r w:rsidRPr="009635D0">
        <w:rPr>
          <w:i/>
          <w:iCs/>
          <w:lang w:val="mi-NZ"/>
        </w:rPr>
        <w:t>te</w:t>
      </w:r>
      <w:r w:rsidR="003D640C" w:rsidRPr="009635D0">
        <w:rPr>
          <w:i/>
          <w:iCs/>
          <w:lang w:val="mi-NZ"/>
        </w:rPr>
        <w:t xml:space="preserve"> </w:t>
      </w:r>
      <w:r w:rsidRPr="009635D0">
        <w:rPr>
          <w:i/>
          <w:iCs/>
          <w:lang w:val="mi-NZ"/>
        </w:rPr>
        <w:t>rangatahi.</w:t>
      </w:r>
      <w:r w:rsidR="003D640C" w:rsidRPr="009635D0">
        <w:rPr>
          <w:lang w:val="mi-NZ"/>
        </w:rPr>
        <w:t xml:space="preserve"> </w:t>
      </w:r>
      <w:r w:rsidRPr="009635D0">
        <w:t>Health</w:t>
      </w:r>
      <w:r w:rsidR="003D640C" w:rsidRPr="009635D0">
        <w:t xml:space="preserve"> </w:t>
      </w:r>
      <w:r w:rsidRPr="009635D0">
        <w:t>Quality</w:t>
      </w:r>
      <w:r w:rsidR="003D640C" w:rsidRPr="009635D0">
        <w:t xml:space="preserve"> </w:t>
      </w:r>
      <w:r w:rsidRPr="009635D0">
        <w:t>&amp;</w:t>
      </w:r>
      <w:r w:rsidR="003D640C" w:rsidRPr="009635D0">
        <w:t xml:space="preserve"> </w:t>
      </w:r>
      <w:r w:rsidRPr="009635D0">
        <w:t>Safety</w:t>
      </w:r>
      <w:r w:rsidR="003D640C" w:rsidRPr="009635D0">
        <w:t xml:space="preserve"> </w:t>
      </w:r>
      <w:r w:rsidRPr="009635D0">
        <w:t>Commission.</w:t>
      </w:r>
      <w:r w:rsidR="003D640C" w:rsidRPr="009635D0">
        <w:t xml:space="preserve"> </w:t>
      </w:r>
      <w:hyperlink r:id="rId39" w:history="1">
        <w:r w:rsidR="004D4891" w:rsidRPr="009635D0">
          <w:rPr>
            <w:rStyle w:val="Hyperlink"/>
          </w:rPr>
          <w:t>https://www.hqsc.govt.nz/assets/Our-work/Mortality-review-committee/SuMRC/Publications-resources/TeMauriTheLifeForce_final.pdf</w:t>
        </w:r>
      </w:hyperlink>
      <w:r w:rsidR="004D4891" w:rsidRPr="009635D0">
        <w:t xml:space="preserve"> </w:t>
      </w:r>
      <w:r w:rsidR="003D640C" w:rsidRPr="009635D0">
        <w:t xml:space="preserve"> </w:t>
      </w:r>
    </w:p>
    <w:p w14:paraId="33F30B7A" w14:textId="4DF39A1C" w:rsidR="00F01386" w:rsidRPr="009635D0" w:rsidRDefault="00F01386" w:rsidP="00E00167">
      <w:pPr>
        <w:pStyle w:val="Reference"/>
        <w:rPr>
          <w:rStyle w:val="Hyperlink"/>
        </w:rPr>
      </w:pPr>
      <w:r w:rsidRPr="005B33A1">
        <w:t>Clark</w:t>
      </w:r>
      <w:r w:rsidRPr="009635D0">
        <w:t>,</w:t>
      </w:r>
      <w:r w:rsidR="003D640C" w:rsidRPr="009635D0">
        <w:t xml:space="preserve"> </w:t>
      </w:r>
      <w:r w:rsidRPr="009635D0">
        <w:t>T.,</w:t>
      </w:r>
      <w:r w:rsidR="003D640C" w:rsidRPr="009635D0">
        <w:t xml:space="preserve"> </w:t>
      </w:r>
      <w:r w:rsidRPr="009635D0">
        <w:t>Fenaughty,</w:t>
      </w:r>
      <w:r w:rsidR="003D640C" w:rsidRPr="009635D0">
        <w:t xml:space="preserve"> </w:t>
      </w:r>
      <w:r w:rsidRPr="009635D0">
        <w:t>J.,</w:t>
      </w:r>
      <w:r w:rsidR="003D640C" w:rsidRPr="009635D0">
        <w:t xml:space="preserve"> </w:t>
      </w:r>
      <w:r w:rsidRPr="009635D0">
        <w:t>Fleming,</w:t>
      </w:r>
      <w:r w:rsidR="003D640C" w:rsidRPr="009635D0">
        <w:t xml:space="preserve"> </w:t>
      </w:r>
      <w:r w:rsidRPr="009635D0">
        <w:t>T.,</w:t>
      </w:r>
      <w:r w:rsidR="003D640C" w:rsidRPr="009635D0">
        <w:t xml:space="preserve"> </w:t>
      </w:r>
      <w:r w:rsidRPr="009635D0">
        <w:t>Greaves,</w:t>
      </w:r>
      <w:r w:rsidR="003D640C" w:rsidRPr="009635D0">
        <w:t xml:space="preserve"> </w:t>
      </w:r>
      <w:r w:rsidRPr="009635D0">
        <w:t>L.,</w:t>
      </w:r>
      <w:r w:rsidR="003D640C" w:rsidRPr="009635D0">
        <w:t xml:space="preserve"> </w:t>
      </w:r>
      <w:r w:rsidRPr="009635D0">
        <w:t>Roy,</w:t>
      </w:r>
      <w:r w:rsidR="003D640C" w:rsidRPr="009635D0">
        <w:t xml:space="preserve"> </w:t>
      </w:r>
      <w:r w:rsidRPr="009635D0">
        <w:t>R.,</w:t>
      </w:r>
      <w:r w:rsidR="003D640C" w:rsidRPr="009635D0">
        <w:t xml:space="preserve"> </w:t>
      </w:r>
      <w:r w:rsidRPr="009635D0">
        <w:t>&amp;</w:t>
      </w:r>
      <w:r w:rsidR="003D640C" w:rsidRPr="009635D0">
        <w:t xml:space="preserve"> </w:t>
      </w:r>
      <w:r w:rsidRPr="009635D0">
        <w:t>Sutcliffe,</w:t>
      </w:r>
      <w:r w:rsidR="003D640C" w:rsidRPr="009635D0">
        <w:t xml:space="preserve"> </w:t>
      </w:r>
      <w:r w:rsidRPr="009635D0">
        <w:t>K.</w:t>
      </w:r>
      <w:r w:rsidR="003D640C" w:rsidRPr="009635D0">
        <w:t xml:space="preserve"> </w:t>
      </w:r>
      <w:r w:rsidRPr="009635D0">
        <w:t>(2021b).</w:t>
      </w:r>
      <w:r w:rsidR="003D640C" w:rsidRPr="009635D0">
        <w:t xml:space="preserve"> </w:t>
      </w:r>
      <w:r w:rsidRPr="009635D0">
        <w:rPr>
          <w:i/>
          <w:iCs/>
        </w:rPr>
        <w:t>A</w:t>
      </w:r>
      <w:r w:rsidR="003D640C" w:rsidRPr="009635D0">
        <w:rPr>
          <w:i/>
          <w:iCs/>
        </w:rPr>
        <w:t xml:space="preserve"> </w:t>
      </w:r>
      <w:r w:rsidRPr="009635D0">
        <w:rPr>
          <w:i/>
          <w:iCs/>
        </w:rPr>
        <w:t>Youth19</w:t>
      </w:r>
      <w:r w:rsidR="003D640C" w:rsidRPr="009635D0">
        <w:rPr>
          <w:i/>
          <w:iCs/>
        </w:rPr>
        <w:t xml:space="preserve"> </w:t>
      </w:r>
      <w:r w:rsidRPr="009635D0">
        <w:rPr>
          <w:i/>
          <w:iCs/>
        </w:rPr>
        <w:t>brief:</w:t>
      </w:r>
      <w:r w:rsidR="003D640C" w:rsidRPr="009635D0">
        <w:rPr>
          <w:i/>
          <w:iCs/>
        </w:rPr>
        <w:t xml:space="preserve"> </w:t>
      </w:r>
      <w:r w:rsidRPr="009635D0">
        <w:rPr>
          <w:i/>
          <w:iCs/>
        </w:rPr>
        <w:t>Rainbow</w:t>
      </w:r>
      <w:r w:rsidR="003D640C" w:rsidRPr="009635D0">
        <w:rPr>
          <w:i/>
          <w:iCs/>
        </w:rPr>
        <w:t xml:space="preserve"> </w:t>
      </w:r>
      <w:r w:rsidRPr="009635D0">
        <w:rPr>
          <w:i/>
          <w:iCs/>
        </w:rPr>
        <w:t>rangatahi</w:t>
      </w:r>
      <w:r w:rsidR="003D640C" w:rsidRPr="009635D0">
        <w:rPr>
          <w:i/>
          <w:iCs/>
        </w:rPr>
        <w:t xml:space="preserve"> </w:t>
      </w:r>
      <w:r w:rsidRPr="009635D0">
        <w:rPr>
          <w:i/>
          <w:iCs/>
        </w:rPr>
        <w:t>M</w:t>
      </w:r>
      <w:r w:rsidRPr="009635D0">
        <w:rPr>
          <w:i/>
          <w:iCs/>
          <w:lang w:val="mi-NZ"/>
        </w:rPr>
        <w:t>āori</w:t>
      </w:r>
      <w:r w:rsidRPr="009635D0">
        <w:t>.</w:t>
      </w:r>
      <w:r w:rsidR="003D640C" w:rsidRPr="009635D0">
        <w:t xml:space="preserve"> </w:t>
      </w:r>
      <w:r w:rsidRPr="009635D0">
        <w:t>The</w:t>
      </w:r>
      <w:r w:rsidR="003D640C" w:rsidRPr="009635D0">
        <w:t xml:space="preserve"> </w:t>
      </w:r>
      <w:r w:rsidRPr="009635D0">
        <w:t>Youth19</w:t>
      </w:r>
      <w:r w:rsidR="003D640C" w:rsidRPr="009635D0">
        <w:t xml:space="preserve"> </w:t>
      </w:r>
      <w:r w:rsidRPr="009635D0">
        <w:t>Research</w:t>
      </w:r>
      <w:r w:rsidR="003D640C" w:rsidRPr="009635D0">
        <w:t xml:space="preserve"> </w:t>
      </w:r>
      <w:r w:rsidRPr="009635D0">
        <w:t>Group.</w:t>
      </w:r>
      <w:r w:rsidR="003D640C" w:rsidRPr="009635D0">
        <w:t xml:space="preserve"> </w:t>
      </w:r>
      <w:hyperlink r:id="rId40" w:history="1">
        <w:r w:rsidR="004D4891" w:rsidRPr="009635D0">
          <w:rPr>
            <w:rStyle w:val="Hyperlink"/>
          </w:rPr>
          <w:t>https://static1.squarespace.com/static/5bdbb75ccef37259122e59aa/t/60ca75d00a6a3a028b086ce0/1623881172777/Youth19+Brief_Rainbow+rangatahi.pdf</w:t>
        </w:r>
      </w:hyperlink>
      <w:r w:rsidR="004D4891" w:rsidRPr="009635D0">
        <w:t xml:space="preserve"> </w:t>
      </w:r>
    </w:p>
    <w:p w14:paraId="70E89A86" w14:textId="77777777" w:rsidR="003F34A5" w:rsidRPr="009635D0" w:rsidRDefault="00884D30" w:rsidP="003F34A5">
      <w:pPr>
        <w:pStyle w:val="Reference"/>
        <w:rPr>
          <w:rStyle w:val="Hyperlink"/>
        </w:rPr>
      </w:pPr>
      <w:r w:rsidRPr="009635D0">
        <w:t xml:space="preserve">Coleman, E., Radix, A. E., Bouman, W. P., Brown, G. R., de Vries, A. L. C., Deutsch, M. B., Ettner, R., Fraser, L., Goodman, M., Green, J., Hancock, A. B., Johnson, T. W., Karasic, D. H., Knudson, G. A., Leibowitz, S. F., Meyer-Bahlburg, H. F. L., Monstrey, S. J., Motmans, J., Nahata, L., … Arcelus, J. (2022). </w:t>
      </w:r>
      <w:r w:rsidRPr="005B33A1">
        <w:t xml:space="preserve">Standards of </w:t>
      </w:r>
      <w:r w:rsidRPr="009635D0">
        <w:t>c</w:t>
      </w:r>
      <w:r w:rsidRPr="005B33A1">
        <w:t xml:space="preserve">are for the </w:t>
      </w:r>
      <w:r w:rsidRPr="009635D0">
        <w:t>h</w:t>
      </w:r>
      <w:r w:rsidRPr="005B33A1">
        <w:t xml:space="preserve">ealth of </w:t>
      </w:r>
      <w:r w:rsidRPr="009635D0">
        <w:t>t</w:t>
      </w:r>
      <w:r w:rsidRPr="005B33A1">
        <w:t xml:space="preserve">ransgender </w:t>
      </w:r>
      <w:r w:rsidRPr="009635D0">
        <w:t>h</w:t>
      </w:r>
      <w:r w:rsidRPr="005B33A1">
        <w:t>ealth</w:t>
      </w:r>
      <w:r w:rsidRPr="009635D0">
        <w:t xml:space="preserve">. </w:t>
      </w:r>
      <w:r w:rsidRPr="009635D0">
        <w:rPr>
          <w:i/>
          <w:iCs/>
        </w:rPr>
        <w:t>International Journal of Transgender Health</w:t>
      </w:r>
      <w:r w:rsidRPr="009635D0">
        <w:t xml:space="preserve">, </w:t>
      </w:r>
      <w:r w:rsidRPr="005B33A1">
        <w:rPr>
          <w:i/>
          <w:iCs/>
        </w:rPr>
        <w:t>23</w:t>
      </w:r>
      <w:r w:rsidRPr="009635D0">
        <w:t xml:space="preserve">(1), 1–258. </w:t>
      </w:r>
      <w:hyperlink r:id="rId41" w:history="1">
        <w:r w:rsidRPr="009635D0">
          <w:rPr>
            <w:rStyle w:val="Hyperlink"/>
          </w:rPr>
          <w:t>https://doi.org/10.1080/26895269.2022.2100644</w:t>
        </w:r>
      </w:hyperlink>
    </w:p>
    <w:p w14:paraId="69D60C16" w14:textId="059196B4" w:rsidR="00AA696E" w:rsidRPr="009635D0" w:rsidRDefault="00AA696E" w:rsidP="00E00167">
      <w:pPr>
        <w:pStyle w:val="Reference"/>
      </w:pPr>
      <w:r w:rsidRPr="005B33A1">
        <w:t>Crown</w:t>
      </w:r>
      <w:r w:rsidRPr="009635D0">
        <w:t xml:space="preserve"> Law. (2021, June 29). </w:t>
      </w:r>
      <w:r w:rsidRPr="009635D0">
        <w:rPr>
          <w:i/>
          <w:iCs/>
        </w:rPr>
        <w:t>Briefing to Attorney-General – Conversion Practice Prohibition Legislation Bill</w:t>
      </w:r>
      <w:r w:rsidRPr="009635D0">
        <w:t xml:space="preserve">. </w:t>
      </w:r>
      <w:hyperlink r:id="rId42" w:history="1">
        <w:r w:rsidRPr="009635D0">
          <w:rPr>
            <w:rStyle w:val="Hyperlink"/>
          </w:rPr>
          <w:t>https://www.justice.govt.nz/assets/6352184-BORA-vet-Briefing-to-Attorney-General-Conversion-Practice-Prohibition-Legislation-Bill.pdf</w:t>
        </w:r>
      </w:hyperlink>
    </w:p>
    <w:p w14:paraId="1FC5DD92" w14:textId="5F7B5BF3" w:rsidR="00394C16" w:rsidRPr="009635D0" w:rsidRDefault="00394C16" w:rsidP="00394C16">
      <w:pPr>
        <w:pStyle w:val="Reference"/>
      </w:pPr>
      <w:r w:rsidRPr="009635D0">
        <w:t>Cui, T.</w:t>
      </w:r>
      <w:r w:rsidR="00E31AF7" w:rsidRPr="009635D0">
        <w:t xml:space="preserve"> </w:t>
      </w:r>
      <w:r w:rsidRPr="009635D0">
        <w:t>L.</w:t>
      </w:r>
      <w:r w:rsidR="00E31AF7" w:rsidRPr="009635D0">
        <w:t>,</w:t>
      </w:r>
      <w:r w:rsidRPr="009635D0">
        <w:t xml:space="preserve"> &amp; Song, L. (2023)</w:t>
      </w:r>
      <w:r w:rsidR="00E31AF7" w:rsidRPr="009635D0">
        <w:t>.</w:t>
      </w:r>
      <w:r w:rsidRPr="009635D0">
        <w:t xml:space="preserve"> </w:t>
      </w:r>
      <w:r w:rsidRPr="005B33A1">
        <w:rPr>
          <w:i/>
          <w:iCs/>
        </w:rPr>
        <w:t xml:space="preserve">The </w:t>
      </w:r>
      <w:r w:rsidR="00231C0A" w:rsidRPr="005B33A1">
        <w:rPr>
          <w:i/>
          <w:iCs/>
        </w:rPr>
        <w:t>e</w:t>
      </w:r>
      <w:r w:rsidRPr="005B33A1">
        <w:rPr>
          <w:i/>
          <w:iCs/>
        </w:rPr>
        <w:t xml:space="preserve">nd of the </w:t>
      </w:r>
      <w:r w:rsidR="00231C0A" w:rsidRPr="005B33A1">
        <w:rPr>
          <w:i/>
          <w:iCs/>
        </w:rPr>
        <w:t>r</w:t>
      </w:r>
      <w:r w:rsidRPr="005B33A1">
        <w:rPr>
          <w:i/>
          <w:iCs/>
        </w:rPr>
        <w:t xml:space="preserve">ainbow? Chinese </w:t>
      </w:r>
      <w:r w:rsidR="00231C0A" w:rsidRPr="005B33A1">
        <w:rPr>
          <w:i/>
          <w:iCs/>
        </w:rPr>
        <w:t>q</w:t>
      </w:r>
      <w:r w:rsidRPr="005B33A1">
        <w:rPr>
          <w:i/>
          <w:iCs/>
        </w:rPr>
        <w:t xml:space="preserve">ueer </w:t>
      </w:r>
      <w:r w:rsidR="00231C0A" w:rsidRPr="005B33A1">
        <w:rPr>
          <w:i/>
          <w:iCs/>
        </w:rPr>
        <w:t>i</w:t>
      </w:r>
      <w:r w:rsidRPr="005B33A1">
        <w:rPr>
          <w:i/>
          <w:iCs/>
        </w:rPr>
        <w:t xml:space="preserve">nternational </w:t>
      </w:r>
      <w:r w:rsidR="00231C0A" w:rsidRPr="005B33A1">
        <w:rPr>
          <w:i/>
          <w:iCs/>
        </w:rPr>
        <w:t>s</w:t>
      </w:r>
      <w:r w:rsidRPr="005B33A1">
        <w:rPr>
          <w:i/>
          <w:iCs/>
        </w:rPr>
        <w:t xml:space="preserve">tudents </w:t>
      </w:r>
      <w:r w:rsidR="00231C0A" w:rsidRPr="005B33A1">
        <w:rPr>
          <w:i/>
          <w:iCs/>
        </w:rPr>
        <w:t>n</w:t>
      </w:r>
      <w:r w:rsidRPr="005B33A1">
        <w:rPr>
          <w:i/>
          <w:iCs/>
        </w:rPr>
        <w:t>egotiating the “</w:t>
      </w:r>
      <w:r w:rsidR="00231C0A" w:rsidRPr="005B33A1">
        <w:rPr>
          <w:i/>
          <w:iCs/>
        </w:rPr>
        <w:t>e</w:t>
      </w:r>
      <w:r w:rsidRPr="005B33A1">
        <w:rPr>
          <w:i/>
          <w:iCs/>
        </w:rPr>
        <w:t xml:space="preserve">thnic </w:t>
      </w:r>
      <w:r w:rsidR="00231C0A" w:rsidRPr="005B33A1">
        <w:rPr>
          <w:i/>
          <w:iCs/>
        </w:rPr>
        <w:t>c</w:t>
      </w:r>
      <w:r w:rsidRPr="005B33A1">
        <w:rPr>
          <w:i/>
          <w:iCs/>
        </w:rPr>
        <w:t>loset” in New Zealand</w:t>
      </w:r>
      <w:r w:rsidRPr="009635D0">
        <w:t>.</w:t>
      </w:r>
      <w:r w:rsidR="00231C0A" w:rsidRPr="009635D0">
        <w:t xml:space="preserve"> Community Research.</w:t>
      </w:r>
      <w:r w:rsidRPr="009635D0">
        <w:t xml:space="preserve"> </w:t>
      </w:r>
      <w:hyperlink r:id="rId43" w:history="1">
        <w:r w:rsidR="00E31AF7" w:rsidRPr="009635D0">
          <w:rPr>
            <w:rStyle w:val="Hyperlink"/>
          </w:rPr>
          <w:t>https://communityresearch.org.nz/research/the-end-of-the-rainbow-chinese-queer-international-students-negotiating-the-ethnic-closet-in-new-zealand/</w:t>
        </w:r>
      </w:hyperlink>
      <w:r w:rsidR="00E31AF7" w:rsidRPr="009635D0">
        <w:t xml:space="preserve"> </w:t>
      </w:r>
    </w:p>
    <w:p w14:paraId="032D0A63" w14:textId="474EB694" w:rsidR="00F01386" w:rsidRPr="009635D0" w:rsidRDefault="00F01386" w:rsidP="00E00167">
      <w:pPr>
        <w:pStyle w:val="Reference"/>
      </w:pPr>
      <w:r w:rsidRPr="009635D0">
        <w:lastRenderedPageBreak/>
        <w:t>Curtis,</w:t>
      </w:r>
      <w:r w:rsidR="003D640C" w:rsidRPr="009635D0">
        <w:t xml:space="preserve"> </w:t>
      </w:r>
      <w:r w:rsidRPr="009635D0">
        <w:t>J.,</w:t>
      </w:r>
      <w:r w:rsidR="003D640C" w:rsidRPr="009635D0">
        <w:t xml:space="preserve"> </w:t>
      </w:r>
      <w:r w:rsidRPr="009635D0">
        <w:t>Dickson,</w:t>
      </w:r>
      <w:r w:rsidR="003D640C" w:rsidRPr="009635D0">
        <w:t xml:space="preserve"> </w:t>
      </w:r>
      <w:r w:rsidRPr="009635D0">
        <w:t>A.,</w:t>
      </w:r>
      <w:r w:rsidR="003D640C" w:rsidRPr="009635D0">
        <w:t xml:space="preserve"> </w:t>
      </w:r>
      <w:r w:rsidRPr="009635D0">
        <w:t>Gadd,</w:t>
      </w:r>
      <w:r w:rsidR="003D640C" w:rsidRPr="009635D0">
        <w:t xml:space="preserve"> </w:t>
      </w:r>
      <w:r w:rsidRPr="009635D0">
        <w:t>E.,</w:t>
      </w:r>
      <w:r w:rsidR="003D640C" w:rsidRPr="009635D0">
        <w:t xml:space="preserve"> </w:t>
      </w:r>
      <w:r w:rsidR="00394C16" w:rsidRPr="009635D0">
        <w:t xml:space="preserve">&amp;. </w:t>
      </w:r>
      <w:r w:rsidRPr="009635D0">
        <w:t>Robinson,</w:t>
      </w:r>
      <w:r w:rsidR="003D640C" w:rsidRPr="009635D0">
        <w:t xml:space="preserve"> </w:t>
      </w:r>
      <w:r w:rsidRPr="009635D0">
        <w:t>T.</w:t>
      </w:r>
      <w:r w:rsidR="003D640C" w:rsidRPr="009635D0">
        <w:t xml:space="preserve"> </w:t>
      </w:r>
      <w:r w:rsidRPr="009635D0">
        <w:t>(2022).</w:t>
      </w:r>
      <w:r w:rsidR="003D640C" w:rsidRPr="009635D0">
        <w:t xml:space="preserve"> </w:t>
      </w:r>
      <w:r w:rsidRPr="009635D0">
        <w:rPr>
          <w:i/>
          <w:iCs/>
        </w:rPr>
        <w:t>LGBT+</w:t>
      </w:r>
      <w:r w:rsidR="003D640C" w:rsidRPr="009635D0">
        <w:rPr>
          <w:i/>
          <w:iCs/>
        </w:rPr>
        <w:t xml:space="preserve"> </w:t>
      </w:r>
      <w:r w:rsidRPr="009635D0">
        <w:rPr>
          <w:i/>
          <w:iCs/>
        </w:rPr>
        <w:t>rights</w:t>
      </w:r>
      <w:r w:rsidR="003D640C" w:rsidRPr="009635D0">
        <w:rPr>
          <w:i/>
          <w:iCs/>
        </w:rPr>
        <w:t xml:space="preserve"> </w:t>
      </w:r>
      <w:r w:rsidRPr="009635D0">
        <w:rPr>
          <w:i/>
          <w:iCs/>
        </w:rPr>
        <w:t>and</w:t>
      </w:r>
      <w:r w:rsidR="003D640C" w:rsidRPr="009635D0">
        <w:rPr>
          <w:i/>
          <w:iCs/>
        </w:rPr>
        <w:t xml:space="preserve"> </w:t>
      </w:r>
      <w:r w:rsidRPr="009635D0">
        <w:rPr>
          <w:i/>
          <w:iCs/>
        </w:rPr>
        <w:t>issues</w:t>
      </w:r>
      <w:r w:rsidR="003D640C" w:rsidRPr="009635D0">
        <w:rPr>
          <w:i/>
          <w:iCs/>
        </w:rPr>
        <w:t xml:space="preserve"> </w:t>
      </w:r>
      <w:r w:rsidRPr="009635D0">
        <w:rPr>
          <w:i/>
          <w:iCs/>
        </w:rPr>
        <w:t>in</w:t>
      </w:r>
      <w:r w:rsidR="003D640C" w:rsidRPr="009635D0">
        <w:rPr>
          <w:i/>
          <w:iCs/>
        </w:rPr>
        <w:t xml:space="preserve"> </w:t>
      </w:r>
      <w:r w:rsidRPr="009635D0">
        <w:rPr>
          <w:i/>
          <w:iCs/>
        </w:rPr>
        <w:t>Pacific</w:t>
      </w:r>
      <w:r w:rsidR="003D640C" w:rsidRPr="009635D0">
        <w:rPr>
          <w:i/>
          <w:iCs/>
        </w:rPr>
        <w:t xml:space="preserve"> </w:t>
      </w:r>
      <w:r w:rsidRPr="009635D0">
        <w:rPr>
          <w:i/>
          <w:iCs/>
        </w:rPr>
        <w:t>islands.</w:t>
      </w:r>
      <w:r w:rsidR="00394C16" w:rsidRPr="009635D0">
        <w:rPr>
          <w:i/>
          <w:iCs/>
        </w:rPr>
        <w:t xml:space="preserve"> </w:t>
      </w:r>
      <w:r w:rsidR="00394C16" w:rsidRPr="009635D0">
        <w:t>House of Commons Library</w:t>
      </w:r>
      <w:r w:rsidRPr="009635D0">
        <w:t>.</w:t>
      </w:r>
      <w:r w:rsidR="003D640C" w:rsidRPr="009635D0">
        <w:t xml:space="preserve"> </w:t>
      </w:r>
      <w:hyperlink r:id="rId44" w:history="1">
        <w:r w:rsidR="00F2190B" w:rsidRPr="009635D0">
          <w:rPr>
            <w:rStyle w:val="Hyperlink"/>
          </w:rPr>
          <w:t>https://researchbriefings.files.parliament.uk/documents/CBP-9502/CBP-9502.pdf</w:t>
        </w:r>
      </w:hyperlink>
    </w:p>
    <w:p w14:paraId="1AC20F88" w14:textId="430CB325" w:rsidR="00F2190B" w:rsidRPr="007B139B" w:rsidRDefault="00F2190B" w:rsidP="00E00167">
      <w:pPr>
        <w:pStyle w:val="Reference"/>
        <w:rPr>
          <w:i/>
          <w:iCs/>
        </w:rPr>
      </w:pPr>
      <w:r w:rsidRPr="005B33A1">
        <w:t>Darlington</w:t>
      </w:r>
      <w:r>
        <w:t xml:space="preserve"> Statement. (2017, March 10). </w:t>
      </w:r>
      <w:r>
        <w:rPr>
          <w:i/>
          <w:iCs/>
        </w:rPr>
        <w:t>Darlington statement.</w:t>
      </w:r>
      <w:r>
        <w:t xml:space="preserve"> </w:t>
      </w:r>
      <w:hyperlink r:id="rId45" w:history="1">
        <w:r w:rsidR="009635D0" w:rsidRPr="0080137F">
          <w:rPr>
            <w:rStyle w:val="Hyperlink"/>
          </w:rPr>
          <w:t>https://darlington.org.au/statement/</w:t>
        </w:r>
      </w:hyperlink>
      <w:r w:rsidR="009635D0">
        <w:t xml:space="preserve"> </w:t>
      </w:r>
    </w:p>
    <w:p w14:paraId="414727CD" w14:textId="31BF3305" w:rsidR="00F01386" w:rsidRPr="009635D0" w:rsidRDefault="00F01386" w:rsidP="00E00167">
      <w:pPr>
        <w:pStyle w:val="Reference"/>
      </w:pPr>
      <w:r w:rsidRPr="005B33A1">
        <w:t>Dehlin</w:t>
      </w:r>
      <w:r w:rsidRPr="009635D0">
        <w:t>,</w:t>
      </w:r>
      <w:r w:rsidR="003D640C" w:rsidRPr="009635D0">
        <w:t xml:space="preserve"> </w:t>
      </w:r>
      <w:r w:rsidRPr="009635D0">
        <w:t>J.</w:t>
      </w:r>
      <w:r w:rsidR="00521D2F" w:rsidRPr="009635D0">
        <w:t xml:space="preserve"> </w:t>
      </w:r>
      <w:r w:rsidRPr="009635D0">
        <w:t>P.,</w:t>
      </w:r>
      <w:r w:rsidR="003D640C" w:rsidRPr="009635D0">
        <w:t xml:space="preserve"> </w:t>
      </w:r>
      <w:r w:rsidRPr="009635D0">
        <w:t>Galliher,</w:t>
      </w:r>
      <w:r w:rsidR="003D640C" w:rsidRPr="009635D0">
        <w:t xml:space="preserve"> </w:t>
      </w:r>
      <w:r w:rsidRPr="009635D0">
        <w:t>R.</w:t>
      </w:r>
      <w:r w:rsidR="003D640C" w:rsidRPr="009635D0">
        <w:t xml:space="preserve"> </w:t>
      </w:r>
      <w:r w:rsidRPr="009635D0">
        <w:t>V.,</w:t>
      </w:r>
      <w:r w:rsidR="003D640C" w:rsidRPr="009635D0">
        <w:t xml:space="preserve"> </w:t>
      </w:r>
      <w:r w:rsidRPr="009635D0">
        <w:t>Bradshaw,</w:t>
      </w:r>
      <w:r w:rsidR="003D640C" w:rsidRPr="009635D0">
        <w:t xml:space="preserve"> </w:t>
      </w:r>
      <w:r w:rsidRPr="009635D0">
        <w:t>W.</w:t>
      </w:r>
      <w:r w:rsidR="003D640C" w:rsidRPr="009635D0">
        <w:t xml:space="preserve"> </w:t>
      </w:r>
      <w:r w:rsidRPr="009635D0">
        <w:t>S.,</w:t>
      </w:r>
      <w:r w:rsidR="003D640C" w:rsidRPr="009635D0">
        <w:t xml:space="preserve"> </w:t>
      </w:r>
      <w:r w:rsidR="00521D2F" w:rsidRPr="009635D0">
        <w:t xml:space="preserve">&amp; </w:t>
      </w:r>
      <w:r w:rsidRPr="009635D0">
        <w:t>Crowell,</w:t>
      </w:r>
      <w:r w:rsidR="003D640C" w:rsidRPr="009635D0">
        <w:t xml:space="preserve"> </w:t>
      </w:r>
      <w:r w:rsidRPr="009635D0">
        <w:t>K.</w:t>
      </w:r>
      <w:r w:rsidR="003D640C" w:rsidRPr="009635D0">
        <w:t xml:space="preserve"> </w:t>
      </w:r>
      <w:r w:rsidRPr="009635D0">
        <w:t>A.</w:t>
      </w:r>
      <w:r w:rsidR="003D640C" w:rsidRPr="009635D0">
        <w:t xml:space="preserve"> </w:t>
      </w:r>
      <w:r w:rsidRPr="009635D0">
        <w:t>(2014).</w:t>
      </w:r>
      <w:r w:rsidR="003D640C" w:rsidRPr="009635D0">
        <w:t xml:space="preserve"> </w:t>
      </w:r>
      <w:r w:rsidRPr="009635D0">
        <w:t>Psychosocial</w:t>
      </w:r>
      <w:r w:rsidR="003D640C" w:rsidRPr="009635D0">
        <w:t xml:space="preserve"> </w:t>
      </w:r>
      <w:r w:rsidRPr="009635D0">
        <w:t>correlates</w:t>
      </w:r>
      <w:r w:rsidR="003D640C" w:rsidRPr="009635D0">
        <w:t xml:space="preserve"> </w:t>
      </w:r>
      <w:r w:rsidRPr="009635D0">
        <w:t>of</w:t>
      </w:r>
      <w:r w:rsidR="003D640C" w:rsidRPr="009635D0">
        <w:t xml:space="preserve"> </w:t>
      </w:r>
      <w:r w:rsidRPr="009635D0">
        <w:t>religious</w:t>
      </w:r>
      <w:r w:rsidR="003D640C" w:rsidRPr="009635D0">
        <w:t xml:space="preserve"> </w:t>
      </w:r>
      <w:r w:rsidRPr="009635D0">
        <w:t>approaches</w:t>
      </w:r>
      <w:r w:rsidR="003D640C" w:rsidRPr="009635D0">
        <w:t xml:space="preserve"> </w:t>
      </w:r>
      <w:r w:rsidRPr="009635D0">
        <w:t>to</w:t>
      </w:r>
      <w:r w:rsidR="003D640C" w:rsidRPr="009635D0">
        <w:t xml:space="preserve"> </w:t>
      </w:r>
      <w:r w:rsidRPr="009635D0">
        <w:t>same-sex</w:t>
      </w:r>
      <w:r w:rsidR="003D640C" w:rsidRPr="009635D0">
        <w:t xml:space="preserve"> </w:t>
      </w:r>
      <w:r w:rsidRPr="009635D0">
        <w:t>attraction:</w:t>
      </w:r>
      <w:r w:rsidR="003D640C" w:rsidRPr="009635D0">
        <w:t xml:space="preserve"> </w:t>
      </w:r>
      <w:r w:rsidRPr="009635D0">
        <w:t>A</w:t>
      </w:r>
      <w:r w:rsidR="003D640C" w:rsidRPr="009635D0">
        <w:t xml:space="preserve"> </w:t>
      </w:r>
      <w:r w:rsidRPr="009635D0">
        <w:t>Mormon</w:t>
      </w:r>
      <w:r w:rsidR="003D640C" w:rsidRPr="009635D0">
        <w:t xml:space="preserve"> </w:t>
      </w:r>
      <w:r w:rsidRPr="009635D0">
        <w:t>perspective.</w:t>
      </w:r>
      <w:r w:rsidR="003D640C" w:rsidRPr="009635D0">
        <w:t xml:space="preserve"> </w:t>
      </w:r>
      <w:r w:rsidRPr="009635D0">
        <w:rPr>
          <w:i/>
          <w:iCs/>
        </w:rPr>
        <w:t>Journal</w:t>
      </w:r>
      <w:r w:rsidR="003D640C" w:rsidRPr="009635D0">
        <w:rPr>
          <w:i/>
          <w:iCs/>
        </w:rPr>
        <w:t xml:space="preserve"> </w:t>
      </w:r>
      <w:r w:rsidRPr="009635D0">
        <w:rPr>
          <w:i/>
          <w:iCs/>
        </w:rPr>
        <w:t>of</w:t>
      </w:r>
      <w:r w:rsidR="003D640C" w:rsidRPr="009635D0">
        <w:rPr>
          <w:i/>
          <w:iCs/>
        </w:rPr>
        <w:t xml:space="preserve"> </w:t>
      </w:r>
      <w:r w:rsidRPr="009635D0">
        <w:rPr>
          <w:i/>
          <w:iCs/>
        </w:rPr>
        <w:t>Gay</w:t>
      </w:r>
      <w:r w:rsidR="003D640C" w:rsidRPr="009635D0">
        <w:rPr>
          <w:i/>
          <w:iCs/>
        </w:rPr>
        <w:t xml:space="preserve"> </w:t>
      </w:r>
      <w:r w:rsidRPr="009635D0">
        <w:rPr>
          <w:i/>
          <w:iCs/>
        </w:rPr>
        <w:t>&amp;</w:t>
      </w:r>
      <w:r w:rsidR="003D640C" w:rsidRPr="009635D0">
        <w:rPr>
          <w:i/>
          <w:iCs/>
        </w:rPr>
        <w:t xml:space="preserve"> </w:t>
      </w:r>
      <w:r w:rsidRPr="009635D0">
        <w:rPr>
          <w:i/>
          <w:iCs/>
        </w:rPr>
        <w:t>Lesbian</w:t>
      </w:r>
      <w:r w:rsidR="003D640C" w:rsidRPr="009635D0">
        <w:rPr>
          <w:i/>
          <w:iCs/>
        </w:rPr>
        <w:t xml:space="preserve"> </w:t>
      </w:r>
      <w:r w:rsidRPr="009635D0">
        <w:rPr>
          <w:i/>
          <w:iCs/>
        </w:rPr>
        <w:t>Mental</w:t>
      </w:r>
      <w:r w:rsidR="003D640C" w:rsidRPr="009635D0">
        <w:rPr>
          <w:i/>
          <w:iCs/>
        </w:rPr>
        <w:t xml:space="preserve"> </w:t>
      </w:r>
      <w:r w:rsidRPr="009635D0">
        <w:rPr>
          <w:i/>
          <w:iCs/>
        </w:rPr>
        <w:t>Health</w:t>
      </w:r>
      <w:r w:rsidRPr="009635D0">
        <w:t>,</w:t>
      </w:r>
      <w:r w:rsidR="003D640C" w:rsidRPr="009635D0">
        <w:t xml:space="preserve"> </w:t>
      </w:r>
      <w:r w:rsidRPr="009635D0">
        <w:rPr>
          <w:i/>
          <w:iCs/>
        </w:rPr>
        <w:t>18</w:t>
      </w:r>
      <w:r w:rsidRPr="009635D0">
        <w:t>(3),</w:t>
      </w:r>
      <w:r w:rsidR="003D640C" w:rsidRPr="009635D0">
        <w:t xml:space="preserve"> </w:t>
      </w:r>
      <w:r w:rsidRPr="009635D0">
        <w:t>284</w:t>
      </w:r>
      <w:r w:rsidR="00521D2F" w:rsidRPr="009635D0">
        <w:t>–</w:t>
      </w:r>
      <w:r w:rsidRPr="009635D0">
        <w:t>311.</w:t>
      </w:r>
      <w:r w:rsidR="00521D2F" w:rsidRPr="009635D0">
        <w:t xml:space="preserve"> </w:t>
      </w:r>
      <w:hyperlink r:id="rId46" w:history="1">
        <w:r w:rsidR="009635D0" w:rsidRPr="0080137F">
          <w:rPr>
            <w:rStyle w:val="Hyperlink"/>
          </w:rPr>
          <w:t>https://doi.org/10.1080/19359705.2014.912970</w:t>
        </w:r>
      </w:hyperlink>
      <w:r w:rsidR="009635D0">
        <w:t xml:space="preserve">  </w:t>
      </w:r>
      <w:r w:rsidR="007B139B" w:rsidRPr="009635D0">
        <w:t xml:space="preserve">  </w:t>
      </w:r>
    </w:p>
    <w:p w14:paraId="519DCA9D" w14:textId="3ED33AA3" w:rsidR="00F01386" w:rsidRPr="009635D0" w:rsidRDefault="00F01386" w:rsidP="00E00167">
      <w:pPr>
        <w:pStyle w:val="Reference"/>
      </w:pPr>
      <w:r w:rsidRPr="009635D0">
        <w:t>Donald</w:t>
      </w:r>
      <w:r w:rsidR="003D640C" w:rsidRPr="009635D0">
        <w:t xml:space="preserve"> </w:t>
      </w:r>
      <w:r w:rsidRPr="009635D0">
        <w:t>Beasley</w:t>
      </w:r>
      <w:r w:rsidR="003D640C" w:rsidRPr="009635D0">
        <w:t xml:space="preserve"> </w:t>
      </w:r>
      <w:r w:rsidRPr="009635D0">
        <w:t>Institute.</w:t>
      </w:r>
      <w:r w:rsidR="003D640C" w:rsidRPr="009635D0">
        <w:t xml:space="preserve"> </w:t>
      </w:r>
      <w:r w:rsidRPr="009635D0">
        <w:t>(2022).</w:t>
      </w:r>
      <w:r w:rsidR="003D640C" w:rsidRPr="009635D0">
        <w:t xml:space="preserve"> </w:t>
      </w:r>
      <w:r w:rsidRPr="005B33A1">
        <w:rPr>
          <w:i/>
          <w:iCs/>
        </w:rPr>
        <w:t>My</w:t>
      </w:r>
      <w:r w:rsidR="003D640C" w:rsidRPr="005B33A1">
        <w:rPr>
          <w:i/>
          <w:iCs/>
        </w:rPr>
        <w:t xml:space="preserve"> </w:t>
      </w:r>
      <w:r w:rsidR="00282786" w:rsidRPr="005B33A1">
        <w:rPr>
          <w:i/>
          <w:iCs/>
        </w:rPr>
        <w:t>e</w:t>
      </w:r>
      <w:r w:rsidRPr="005B33A1">
        <w:rPr>
          <w:i/>
          <w:iCs/>
        </w:rPr>
        <w:t>xperiences,</w:t>
      </w:r>
      <w:r w:rsidR="003D640C" w:rsidRPr="005B33A1">
        <w:rPr>
          <w:i/>
          <w:iCs/>
        </w:rPr>
        <w:t xml:space="preserve"> </w:t>
      </w:r>
      <w:r w:rsidR="00282786" w:rsidRPr="005B33A1">
        <w:rPr>
          <w:i/>
          <w:iCs/>
        </w:rPr>
        <w:t>m</w:t>
      </w:r>
      <w:r w:rsidRPr="005B33A1">
        <w:rPr>
          <w:i/>
          <w:iCs/>
        </w:rPr>
        <w:t>y</w:t>
      </w:r>
      <w:r w:rsidR="003D640C" w:rsidRPr="005B33A1">
        <w:rPr>
          <w:i/>
          <w:iCs/>
        </w:rPr>
        <w:t xml:space="preserve"> </w:t>
      </w:r>
      <w:r w:rsidR="00282786" w:rsidRPr="005B33A1">
        <w:rPr>
          <w:i/>
          <w:iCs/>
        </w:rPr>
        <w:t>r</w:t>
      </w:r>
      <w:r w:rsidRPr="005B33A1">
        <w:rPr>
          <w:i/>
          <w:iCs/>
        </w:rPr>
        <w:t>ights:</w:t>
      </w:r>
      <w:r w:rsidR="003D640C" w:rsidRPr="005B33A1">
        <w:rPr>
          <w:i/>
          <w:iCs/>
        </w:rPr>
        <w:t xml:space="preserve"> </w:t>
      </w:r>
      <w:r w:rsidRPr="005B33A1">
        <w:rPr>
          <w:i/>
          <w:iCs/>
        </w:rPr>
        <w:t>A</w:t>
      </w:r>
      <w:r w:rsidR="003D640C" w:rsidRPr="005B33A1">
        <w:rPr>
          <w:i/>
          <w:iCs/>
        </w:rPr>
        <w:t xml:space="preserve"> </w:t>
      </w:r>
      <w:r w:rsidR="00282786" w:rsidRPr="005B33A1">
        <w:rPr>
          <w:i/>
          <w:iCs/>
        </w:rPr>
        <w:t>m</w:t>
      </w:r>
      <w:r w:rsidRPr="005B33A1">
        <w:rPr>
          <w:i/>
          <w:iCs/>
        </w:rPr>
        <w:t>onitoring</w:t>
      </w:r>
      <w:r w:rsidR="003D640C" w:rsidRPr="005B33A1">
        <w:rPr>
          <w:i/>
          <w:iCs/>
        </w:rPr>
        <w:t xml:space="preserve"> </w:t>
      </w:r>
      <w:r w:rsidR="00282786" w:rsidRPr="005B33A1">
        <w:rPr>
          <w:i/>
          <w:iCs/>
        </w:rPr>
        <w:t>r</w:t>
      </w:r>
      <w:r w:rsidRPr="005B33A1">
        <w:rPr>
          <w:i/>
          <w:iCs/>
        </w:rPr>
        <w:t>eport</w:t>
      </w:r>
      <w:r w:rsidR="003D640C" w:rsidRPr="005B33A1">
        <w:rPr>
          <w:i/>
          <w:iCs/>
        </w:rPr>
        <w:t xml:space="preserve"> </w:t>
      </w:r>
      <w:r w:rsidRPr="005B33A1">
        <w:rPr>
          <w:i/>
          <w:iCs/>
        </w:rPr>
        <w:t>on</w:t>
      </w:r>
      <w:r w:rsidR="003D640C" w:rsidRPr="005B33A1">
        <w:rPr>
          <w:i/>
          <w:iCs/>
        </w:rPr>
        <w:t xml:space="preserve"> </w:t>
      </w:r>
      <w:r w:rsidR="00282786" w:rsidRPr="005B33A1">
        <w:rPr>
          <w:i/>
          <w:iCs/>
        </w:rPr>
        <w:t>d</w:t>
      </w:r>
      <w:r w:rsidRPr="005B33A1">
        <w:rPr>
          <w:i/>
          <w:iCs/>
        </w:rPr>
        <w:t>isabled</w:t>
      </w:r>
      <w:r w:rsidR="003D640C" w:rsidRPr="005B33A1">
        <w:rPr>
          <w:i/>
          <w:iCs/>
        </w:rPr>
        <w:t xml:space="preserve"> </w:t>
      </w:r>
      <w:r w:rsidR="00282786" w:rsidRPr="005B33A1">
        <w:rPr>
          <w:i/>
          <w:iCs/>
        </w:rPr>
        <w:t>p</w:t>
      </w:r>
      <w:r w:rsidRPr="005B33A1">
        <w:rPr>
          <w:i/>
          <w:iCs/>
        </w:rPr>
        <w:t>eople’s</w:t>
      </w:r>
      <w:r w:rsidR="003D640C" w:rsidRPr="005B33A1">
        <w:rPr>
          <w:i/>
          <w:iCs/>
        </w:rPr>
        <w:t xml:space="preserve"> </w:t>
      </w:r>
      <w:r w:rsidR="00282786" w:rsidRPr="005B33A1">
        <w:rPr>
          <w:i/>
          <w:iCs/>
        </w:rPr>
        <w:t>e</w:t>
      </w:r>
      <w:r w:rsidRPr="005B33A1">
        <w:rPr>
          <w:i/>
          <w:iCs/>
        </w:rPr>
        <w:t>xperiences</w:t>
      </w:r>
      <w:r w:rsidR="003D640C" w:rsidRPr="005B33A1">
        <w:rPr>
          <w:i/>
          <w:iCs/>
        </w:rPr>
        <w:t xml:space="preserve"> </w:t>
      </w:r>
      <w:r w:rsidRPr="005B33A1">
        <w:rPr>
          <w:i/>
          <w:iCs/>
        </w:rPr>
        <w:t>of</w:t>
      </w:r>
      <w:r w:rsidR="003D640C" w:rsidRPr="005B33A1">
        <w:rPr>
          <w:i/>
          <w:iCs/>
        </w:rPr>
        <w:t xml:space="preserve"> </w:t>
      </w:r>
      <w:r w:rsidR="00282786" w:rsidRPr="005B33A1">
        <w:rPr>
          <w:i/>
          <w:iCs/>
        </w:rPr>
        <w:t>h</w:t>
      </w:r>
      <w:r w:rsidRPr="005B33A1">
        <w:rPr>
          <w:i/>
          <w:iCs/>
        </w:rPr>
        <w:t>ealth</w:t>
      </w:r>
      <w:r w:rsidR="003D640C" w:rsidRPr="005B33A1">
        <w:rPr>
          <w:i/>
          <w:iCs/>
        </w:rPr>
        <w:t xml:space="preserve"> </w:t>
      </w:r>
      <w:r w:rsidRPr="005B33A1">
        <w:rPr>
          <w:i/>
          <w:iCs/>
        </w:rPr>
        <w:t>and</w:t>
      </w:r>
      <w:r w:rsidR="003D640C" w:rsidRPr="005B33A1">
        <w:rPr>
          <w:i/>
          <w:iCs/>
        </w:rPr>
        <w:t xml:space="preserve"> </w:t>
      </w:r>
      <w:r w:rsidR="00282786" w:rsidRPr="005B33A1">
        <w:rPr>
          <w:i/>
          <w:iCs/>
        </w:rPr>
        <w:t>w</w:t>
      </w:r>
      <w:r w:rsidRPr="005B33A1">
        <w:rPr>
          <w:i/>
          <w:iCs/>
        </w:rPr>
        <w:t>ellbeing</w:t>
      </w:r>
      <w:r w:rsidR="003D640C" w:rsidRPr="005B33A1">
        <w:rPr>
          <w:i/>
          <w:iCs/>
        </w:rPr>
        <w:t xml:space="preserve"> </w:t>
      </w:r>
      <w:r w:rsidRPr="005B33A1">
        <w:rPr>
          <w:i/>
          <w:iCs/>
        </w:rPr>
        <w:t>in</w:t>
      </w:r>
      <w:r w:rsidR="003D640C" w:rsidRPr="005B33A1">
        <w:rPr>
          <w:i/>
          <w:iCs/>
        </w:rPr>
        <w:t xml:space="preserve"> </w:t>
      </w:r>
      <w:r w:rsidRPr="005B33A1">
        <w:rPr>
          <w:i/>
          <w:iCs/>
        </w:rPr>
        <w:t>Aotearoa</w:t>
      </w:r>
      <w:r w:rsidR="003D640C" w:rsidRPr="005B33A1">
        <w:rPr>
          <w:i/>
          <w:iCs/>
        </w:rPr>
        <w:t xml:space="preserve"> </w:t>
      </w:r>
      <w:r w:rsidRPr="005B33A1">
        <w:rPr>
          <w:i/>
          <w:iCs/>
        </w:rPr>
        <w:t>New</w:t>
      </w:r>
      <w:r w:rsidR="003D640C" w:rsidRPr="005B33A1">
        <w:rPr>
          <w:i/>
          <w:iCs/>
        </w:rPr>
        <w:t xml:space="preserve"> </w:t>
      </w:r>
      <w:r w:rsidRPr="005B33A1">
        <w:rPr>
          <w:i/>
          <w:iCs/>
        </w:rPr>
        <w:t>Zealand</w:t>
      </w:r>
      <w:r w:rsidRPr="009635D0">
        <w:t>.</w:t>
      </w:r>
      <w:r w:rsidR="003D640C" w:rsidRPr="009635D0">
        <w:t xml:space="preserve"> </w:t>
      </w:r>
      <w:r w:rsidRPr="009635D0">
        <w:t>New</w:t>
      </w:r>
      <w:r w:rsidR="003D640C" w:rsidRPr="009635D0">
        <w:t xml:space="preserve"> </w:t>
      </w:r>
      <w:r w:rsidRPr="009635D0">
        <w:t>Zealand</w:t>
      </w:r>
      <w:r w:rsidR="003D640C" w:rsidRPr="009635D0">
        <w:t xml:space="preserve"> </w:t>
      </w:r>
      <w:r w:rsidRPr="009635D0">
        <w:t>Disabled</w:t>
      </w:r>
      <w:r w:rsidR="003D640C" w:rsidRPr="009635D0">
        <w:t xml:space="preserve"> </w:t>
      </w:r>
      <w:r w:rsidRPr="009635D0">
        <w:t>People’s</w:t>
      </w:r>
      <w:r w:rsidR="003D640C" w:rsidRPr="009635D0">
        <w:t xml:space="preserve"> </w:t>
      </w:r>
      <w:r w:rsidRPr="009635D0">
        <w:t>Organisations</w:t>
      </w:r>
      <w:r w:rsidR="003D640C" w:rsidRPr="009635D0">
        <w:t xml:space="preserve"> </w:t>
      </w:r>
      <w:r w:rsidRPr="009635D0">
        <w:t>Coalition.</w:t>
      </w:r>
      <w:r w:rsidR="00282786" w:rsidRPr="009635D0">
        <w:t xml:space="preserve"> </w:t>
      </w:r>
      <w:hyperlink r:id="rId47" w:history="1">
        <w:r w:rsidR="009635D0" w:rsidRPr="0080137F">
          <w:rPr>
            <w:rStyle w:val="Hyperlink"/>
          </w:rPr>
          <w:t>https://donaldbeasley.org.nz/assets/publications/uncrpd/My-Experiences-My-Rights_-A-Monitoring-Report-on-Disabled-People_s-Experience-of-Health-and-Wellbeing-in-Aotearoa-New-Zealand-Long-Report.pdf</w:t>
        </w:r>
      </w:hyperlink>
      <w:r w:rsidR="009635D0">
        <w:t xml:space="preserve"> </w:t>
      </w:r>
    </w:p>
    <w:p w14:paraId="2A87B08F" w14:textId="62426BEF" w:rsidR="00F01386" w:rsidRPr="007B139B" w:rsidRDefault="00F01386" w:rsidP="00E00167">
      <w:pPr>
        <w:pStyle w:val="Reference"/>
        <w:rPr>
          <w:b/>
          <w:bCs/>
        </w:rPr>
      </w:pPr>
      <w:r w:rsidRPr="005B33A1">
        <w:t>Ernst</w:t>
      </w:r>
      <w:r w:rsidRPr="009635D0">
        <w:t>,</w:t>
      </w:r>
      <w:r w:rsidR="003D640C" w:rsidRPr="009635D0">
        <w:t xml:space="preserve"> </w:t>
      </w:r>
      <w:r w:rsidRPr="009635D0">
        <w:t>M.</w:t>
      </w:r>
      <w:r w:rsidR="003D640C" w:rsidRPr="009635D0">
        <w:t xml:space="preserve"> </w:t>
      </w:r>
      <w:r w:rsidRPr="009635D0">
        <w:t>(2012</w:t>
      </w:r>
      <w:r>
        <w:t>)</w:t>
      </w:r>
      <w:r w:rsidR="00B5470B">
        <w:t>.</w:t>
      </w:r>
      <w:r w:rsidR="003D640C">
        <w:t xml:space="preserve"> </w:t>
      </w:r>
      <w:r>
        <w:t>Changing</w:t>
      </w:r>
      <w:r w:rsidR="003D640C">
        <w:t xml:space="preserve"> </w:t>
      </w:r>
      <w:r>
        <w:t>Christianity</w:t>
      </w:r>
      <w:r w:rsidR="003D640C">
        <w:t xml:space="preserve"> </w:t>
      </w:r>
      <w:r>
        <w:t>in</w:t>
      </w:r>
      <w:r w:rsidR="003D640C">
        <w:t xml:space="preserve"> </w:t>
      </w:r>
      <w:r>
        <w:t>Oceania:</w:t>
      </w:r>
      <w:r w:rsidR="003D640C">
        <w:t xml:space="preserve"> </w:t>
      </w:r>
      <w:r w:rsidR="00B5470B">
        <w:t>A</w:t>
      </w:r>
      <w:r w:rsidR="003D640C">
        <w:t xml:space="preserve"> </w:t>
      </w:r>
      <w:r w:rsidR="00B5470B">
        <w:t>r</w:t>
      </w:r>
      <w:r>
        <w:t>egional</w:t>
      </w:r>
      <w:r w:rsidR="003D640C">
        <w:t xml:space="preserve"> </w:t>
      </w:r>
      <w:r w:rsidR="00B5470B">
        <w:t>o</w:t>
      </w:r>
      <w:r>
        <w:t>verview.</w:t>
      </w:r>
      <w:r w:rsidR="003D640C">
        <w:t xml:space="preserve"> </w:t>
      </w:r>
      <w:r w:rsidRPr="007B139B">
        <w:rPr>
          <w:i/>
          <w:iCs/>
        </w:rPr>
        <w:t>Archives</w:t>
      </w:r>
      <w:r w:rsidR="003D640C" w:rsidRPr="007B139B">
        <w:rPr>
          <w:i/>
          <w:iCs/>
        </w:rPr>
        <w:t xml:space="preserve"> </w:t>
      </w:r>
      <w:r w:rsidRPr="007B139B">
        <w:rPr>
          <w:i/>
          <w:iCs/>
        </w:rPr>
        <w:t>de</w:t>
      </w:r>
      <w:r w:rsidR="003D640C" w:rsidRPr="007B139B">
        <w:rPr>
          <w:i/>
          <w:iCs/>
        </w:rPr>
        <w:t xml:space="preserve"> </w:t>
      </w:r>
      <w:r w:rsidR="00B5470B" w:rsidRPr="007B139B">
        <w:rPr>
          <w:i/>
          <w:iCs/>
        </w:rPr>
        <w:t>S</w:t>
      </w:r>
      <w:r w:rsidRPr="007B139B">
        <w:rPr>
          <w:i/>
          <w:iCs/>
        </w:rPr>
        <w:t>ciences</w:t>
      </w:r>
      <w:r w:rsidR="003D640C" w:rsidRPr="007B139B">
        <w:rPr>
          <w:i/>
          <w:iCs/>
        </w:rPr>
        <w:t xml:space="preserve"> </w:t>
      </w:r>
      <w:r w:rsidR="00B5470B" w:rsidRPr="007B139B">
        <w:rPr>
          <w:i/>
          <w:iCs/>
        </w:rPr>
        <w:t>S</w:t>
      </w:r>
      <w:r w:rsidRPr="007B139B">
        <w:rPr>
          <w:i/>
          <w:iCs/>
        </w:rPr>
        <w:t>ociales</w:t>
      </w:r>
      <w:r w:rsidR="003D640C" w:rsidRPr="007B139B">
        <w:rPr>
          <w:i/>
          <w:iCs/>
        </w:rPr>
        <w:t xml:space="preserve"> </w:t>
      </w:r>
      <w:r w:rsidRPr="007B139B">
        <w:rPr>
          <w:i/>
          <w:iCs/>
        </w:rPr>
        <w:t>des</w:t>
      </w:r>
      <w:r w:rsidR="003D640C" w:rsidRPr="007B139B">
        <w:rPr>
          <w:i/>
          <w:iCs/>
        </w:rPr>
        <w:t xml:space="preserve"> </w:t>
      </w:r>
      <w:r w:rsidR="00B5470B" w:rsidRPr="007B139B">
        <w:rPr>
          <w:i/>
          <w:iCs/>
        </w:rPr>
        <w:t>R</w:t>
      </w:r>
      <w:r w:rsidRPr="007B139B">
        <w:rPr>
          <w:i/>
          <w:iCs/>
        </w:rPr>
        <w:t>eligions</w:t>
      </w:r>
      <w:r>
        <w:t>,</w:t>
      </w:r>
      <w:r w:rsidR="003D640C">
        <w:t xml:space="preserve"> </w:t>
      </w:r>
      <w:r w:rsidRPr="007B139B">
        <w:rPr>
          <w:i/>
          <w:iCs/>
        </w:rPr>
        <w:t>157</w:t>
      </w:r>
      <w:r w:rsidR="006A3336">
        <w:rPr>
          <w:i/>
          <w:iCs/>
        </w:rPr>
        <w:t xml:space="preserve"> </w:t>
      </w:r>
      <w:r w:rsidR="00B5470B">
        <w:t>(J</w:t>
      </w:r>
      <w:r>
        <w:t>anvier-</w:t>
      </w:r>
      <w:r w:rsidR="00B5470B">
        <w:t>M</w:t>
      </w:r>
      <w:r>
        <w:t>ars</w:t>
      </w:r>
      <w:r w:rsidR="00B5470B">
        <w:t>), 29–45</w:t>
      </w:r>
      <w:r>
        <w:t>.</w:t>
      </w:r>
      <w:r w:rsidR="00B51C60">
        <w:t xml:space="preserve"> </w:t>
      </w:r>
      <w:hyperlink r:id="rId48" w:history="1">
        <w:r w:rsidR="007A2C90">
          <w:rPr>
            <w:rStyle w:val="Hyperlink"/>
            <w:rFonts w:ascii="Verdana" w:hAnsi="Verdana"/>
            <w:color w:val="EB690D"/>
            <w:sz w:val="18"/>
            <w:szCs w:val="18"/>
            <w:shd w:val="clear" w:color="auto" w:fill="FFFFFF"/>
          </w:rPr>
          <w:t>https://doi.org/10.4000/assr.23613</w:t>
        </w:r>
      </w:hyperlink>
      <w:r w:rsidR="007A2C90">
        <w:t xml:space="preserve"> </w:t>
      </w:r>
      <w:r w:rsidR="00B51C60">
        <w:t xml:space="preserve">  </w:t>
      </w:r>
    </w:p>
    <w:p w14:paraId="1CEC68E3" w14:textId="01ED9A45" w:rsidR="00E00167" w:rsidRPr="009635D0" w:rsidRDefault="00F01386" w:rsidP="00E00167">
      <w:pPr>
        <w:pStyle w:val="Reference"/>
      </w:pPr>
      <w:r w:rsidRPr="005B33A1">
        <w:t>Expert</w:t>
      </w:r>
      <w:r w:rsidR="003D640C" w:rsidRPr="009635D0">
        <w:rPr>
          <w:i/>
          <w:iCs/>
        </w:rPr>
        <w:t xml:space="preserve"> </w:t>
      </w:r>
      <w:r w:rsidRPr="009635D0">
        <w:t>Mechanism</w:t>
      </w:r>
      <w:r w:rsidR="003D640C" w:rsidRPr="009635D0">
        <w:t xml:space="preserve"> </w:t>
      </w:r>
      <w:r w:rsidRPr="009635D0">
        <w:t>on</w:t>
      </w:r>
      <w:r w:rsidR="003D640C" w:rsidRPr="009635D0">
        <w:t xml:space="preserve"> </w:t>
      </w:r>
      <w:r w:rsidRPr="009635D0">
        <w:t>the</w:t>
      </w:r>
      <w:r w:rsidR="003D640C" w:rsidRPr="009635D0">
        <w:t xml:space="preserve"> </w:t>
      </w:r>
      <w:r w:rsidRPr="009635D0">
        <w:t>Rights</w:t>
      </w:r>
      <w:r w:rsidR="003D640C" w:rsidRPr="009635D0">
        <w:t xml:space="preserve"> </w:t>
      </w:r>
      <w:r w:rsidRPr="009635D0">
        <w:t>of</w:t>
      </w:r>
      <w:r w:rsidR="003D640C" w:rsidRPr="009635D0">
        <w:t xml:space="preserve"> </w:t>
      </w:r>
      <w:r w:rsidRPr="009635D0">
        <w:t>Indigenous</w:t>
      </w:r>
      <w:r w:rsidR="003D640C" w:rsidRPr="009635D0">
        <w:t xml:space="preserve"> </w:t>
      </w:r>
      <w:r w:rsidRPr="009635D0">
        <w:t>Peoples</w:t>
      </w:r>
      <w:r w:rsidR="0046016A" w:rsidRPr="009635D0">
        <w:t>.</w:t>
      </w:r>
      <w:r w:rsidR="003D640C" w:rsidRPr="009635D0">
        <w:t xml:space="preserve"> </w:t>
      </w:r>
      <w:r w:rsidR="0046016A" w:rsidRPr="009635D0">
        <w:t>(2023).</w:t>
      </w:r>
      <w:r w:rsidR="009E2A1A" w:rsidRPr="009635D0">
        <w:t xml:space="preserve"> </w:t>
      </w:r>
      <w:r w:rsidRPr="009635D0">
        <w:rPr>
          <w:i/>
          <w:iCs/>
        </w:rPr>
        <w:t>Concept</w:t>
      </w:r>
      <w:r w:rsidR="003D640C" w:rsidRPr="009635D0">
        <w:rPr>
          <w:i/>
          <w:iCs/>
        </w:rPr>
        <w:t xml:space="preserve"> </w:t>
      </w:r>
      <w:r w:rsidR="009E2A1A" w:rsidRPr="009635D0">
        <w:rPr>
          <w:i/>
          <w:iCs/>
        </w:rPr>
        <w:t>n</w:t>
      </w:r>
      <w:r w:rsidRPr="009635D0">
        <w:rPr>
          <w:i/>
          <w:iCs/>
        </w:rPr>
        <w:t>ote</w:t>
      </w:r>
      <w:r w:rsidR="009E2A1A" w:rsidRPr="009635D0">
        <w:t>.</w:t>
      </w:r>
      <w:r w:rsidR="003D640C" w:rsidRPr="009635D0">
        <w:t xml:space="preserve"> </w:t>
      </w:r>
      <w:hyperlink r:id="rId49" w:history="1">
        <w:r w:rsidR="00E00167" w:rsidRPr="009635D0">
          <w:rPr>
            <w:rStyle w:val="Hyperlink"/>
          </w:rPr>
          <w:t>https://www.ohchr.org/sites/default/files/documents/issues/indigenouspeoples/emrip/sessions/session16/EMRIP-16-Concept_note_Panel-LGBTQIA.pdf</w:t>
        </w:r>
      </w:hyperlink>
    </w:p>
    <w:p w14:paraId="6ED5CFB9" w14:textId="1343F5E0" w:rsidR="00F01386" w:rsidRPr="009635D0" w:rsidRDefault="00F01386" w:rsidP="00E00167">
      <w:pPr>
        <w:pStyle w:val="Reference"/>
        <w:rPr>
          <w:rStyle w:val="Hyperlink"/>
          <w:rFonts w:ascii="Calibri" w:hAnsi="Calibri" w:cs="Calibri"/>
        </w:rPr>
      </w:pPr>
      <w:r w:rsidRPr="005B33A1">
        <w:t>Fenaughty</w:t>
      </w:r>
      <w:r w:rsidRPr="009635D0">
        <w:t>,</w:t>
      </w:r>
      <w:r w:rsidR="003D640C" w:rsidRPr="009635D0">
        <w:t xml:space="preserve"> </w:t>
      </w:r>
      <w:r w:rsidRPr="009635D0">
        <w:t>J.,</w:t>
      </w:r>
      <w:r w:rsidR="003D640C" w:rsidRPr="009635D0">
        <w:t xml:space="preserve"> </w:t>
      </w:r>
      <w:r w:rsidRPr="009635D0">
        <w:t>Sutcliffe,</w:t>
      </w:r>
      <w:r w:rsidR="003D640C" w:rsidRPr="009635D0">
        <w:t xml:space="preserve"> </w:t>
      </w:r>
      <w:r w:rsidRPr="009635D0">
        <w:t>K.,</w:t>
      </w:r>
      <w:r w:rsidR="003D640C" w:rsidRPr="009635D0">
        <w:t xml:space="preserve"> </w:t>
      </w:r>
      <w:r w:rsidRPr="009635D0">
        <w:t>Fleming,</w:t>
      </w:r>
      <w:r w:rsidR="003D640C" w:rsidRPr="009635D0">
        <w:t xml:space="preserve"> </w:t>
      </w:r>
      <w:r w:rsidRPr="009635D0">
        <w:t>T.,</w:t>
      </w:r>
      <w:r w:rsidR="003D640C" w:rsidRPr="009635D0">
        <w:t xml:space="preserve"> </w:t>
      </w:r>
      <w:r w:rsidRPr="009635D0">
        <w:t>Ker,</w:t>
      </w:r>
      <w:r w:rsidR="003D640C" w:rsidRPr="009635D0">
        <w:t xml:space="preserve"> </w:t>
      </w:r>
      <w:r w:rsidRPr="009635D0">
        <w:t>A.,</w:t>
      </w:r>
      <w:r w:rsidR="003D640C" w:rsidRPr="009635D0">
        <w:t xml:space="preserve"> </w:t>
      </w:r>
      <w:r w:rsidRPr="009635D0">
        <w:t>Lucassen,</w:t>
      </w:r>
      <w:r w:rsidR="003D640C" w:rsidRPr="009635D0">
        <w:t xml:space="preserve"> </w:t>
      </w:r>
      <w:r w:rsidRPr="009635D0">
        <w:t>M.,</w:t>
      </w:r>
      <w:r w:rsidR="003D640C" w:rsidRPr="009635D0">
        <w:t xml:space="preserve"> </w:t>
      </w:r>
      <w:r w:rsidRPr="009635D0">
        <w:t>Greaves,</w:t>
      </w:r>
      <w:r w:rsidR="003D640C" w:rsidRPr="009635D0">
        <w:t xml:space="preserve"> </w:t>
      </w:r>
      <w:r w:rsidRPr="009635D0">
        <w:t>L.,</w:t>
      </w:r>
      <w:r w:rsidR="003D640C" w:rsidRPr="009635D0">
        <w:t xml:space="preserve"> </w:t>
      </w:r>
      <w:r w:rsidRPr="009635D0">
        <w:t>&amp;</w:t>
      </w:r>
      <w:r w:rsidR="003D640C" w:rsidRPr="009635D0">
        <w:t xml:space="preserve"> </w:t>
      </w:r>
      <w:r w:rsidRPr="009635D0">
        <w:t>Clark,</w:t>
      </w:r>
      <w:r w:rsidR="003D640C" w:rsidRPr="009635D0">
        <w:t xml:space="preserve"> </w:t>
      </w:r>
      <w:r w:rsidRPr="009635D0">
        <w:t>T.</w:t>
      </w:r>
      <w:r w:rsidR="003D640C" w:rsidRPr="009635D0">
        <w:t xml:space="preserve"> </w:t>
      </w:r>
      <w:r w:rsidRPr="009635D0">
        <w:t>(2021).</w:t>
      </w:r>
      <w:r w:rsidR="003D640C" w:rsidRPr="009635D0">
        <w:t xml:space="preserve"> </w:t>
      </w:r>
      <w:r w:rsidRPr="009635D0">
        <w:rPr>
          <w:i/>
          <w:iCs/>
        </w:rPr>
        <w:t>Youth19:</w:t>
      </w:r>
      <w:r w:rsidR="003D640C" w:rsidRPr="009635D0">
        <w:t xml:space="preserve"> </w:t>
      </w:r>
      <w:r w:rsidRPr="009635D0">
        <w:rPr>
          <w:i/>
          <w:iCs/>
        </w:rPr>
        <w:t>Transgender</w:t>
      </w:r>
      <w:r w:rsidR="003D640C" w:rsidRPr="009635D0">
        <w:rPr>
          <w:i/>
          <w:iCs/>
        </w:rPr>
        <w:t xml:space="preserve"> </w:t>
      </w:r>
      <w:r w:rsidRPr="009635D0">
        <w:rPr>
          <w:i/>
          <w:iCs/>
        </w:rPr>
        <w:t>and</w:t>
      </w:r>
      <w:r w:rsidR="003D640C" w:rsidRPr="009635D0">
        <w:rPr>
          <w:i/>
          <w:iCs/>
        </w:rPr>
        <w:t xml:space="preserve"> </w:t>
      </w:r>
      <w:r w:rsidRPr="009635D0">
        <w:rPr>
          <w:i/>
          <w:iCs/>
        </w:rPr>
        <w:t>diverse</w:t>
      </w:r>
      <w:r w:rsidR="003D640C" w:rsidRPr="009635D0">
        <w:rPr>
          <w:i/>
          <w:iCs/>
        </w:rPr>
        <w:t xml:space="preserve"> </w:t>
      </w:r>
      <w:r w:rsidRPr="009635D0">
        <w:rPr>
          <w:i/>
          <w:iCs/>
        </w:rPr>
        <w:t>gender</w:t>
      </w:r>
      <w:r w:rsidR="003D640C" w:rsidRPr="009635D0">
        <w:rPr>
          <w:i/>
          <w:iCs/>
        </w:rPr>
        <w:t xml:space="preserve"> </w:t>
      </w:r>
      <w:r w:rsidRPr="009635D0">
        <w:rPr>
          <w:i/>
          <w:iCs/>
        </w:rPr>
        <w:t>students.</w:t>
      </w:r>
      <w:r w:rsidR="003D640C" w:rsidRPr="009635D0">
        <w:rPr>
          <w:rStyle w:val="Hyperlink"/>
          <w:rFonts w:ascii="Calibri" w:hAnsi="Calibri" w:cs="Calibri"/>
        </w:rPr>
        <w:t xml:space="preserve"> </w:t>
      </w:r>
      <w:r w:rsidR="004D4891" w:rsidRPr="009635D0">
        <w:rPr>
          <w:rStyle w:val="Hyperlink"/>
          <w:rFonts w:ascii="Calibri" w:hAnsi="Calibri" w:cs="Calibri"/>
        </w:rPr>
        <w:t xml:space="preserve">The </w:t>
      </w:r>
      <w:r w:rsidR="004A4008" w:rsidRPr="009635D0">
        <w:rPr>
          <w:rStyle w:val="Hyperlink"/>
          <w:rFonts w:ascii="Calibri" w:hAnsi="Calibri" w:cs="Calibri"/>
        </w:rPr>
        <w:t>Youth19</w:t>
      </w:r>
      <w:r w:rsidR="004D4891" w:rsidRPr="009635D0">
        <w:rPr>
          <w:rStyle w:val="Hyperlink"/>
          <w:rFonts w:ascii="Calibri" w:hAnsi="Calibri" w:cs="Calibri"/>
        </w:rPr>
        <w:t xml:space="preserve"> Research Group</w:t>
      </w:r>
      <w:r w:rsidR="004A4008" w:rsidRPr="009635D0">
        <w:rPr>
          <w:rStyle w:val="Hyperlink"/>
          <w:rFonts w:ascii="Calibri" w:hAnsi="Calibri" w:cs="Calibri"/>
        </w:rPr>
        <w:t xml:space="preserve">. </w:t>
      </w:r>
      <w:hyperlink r:id="rId50" w:history="1">
        <w:r w:rsidR="004A4008" w:rsidRPr="009635D0">
          <w:rPr>
            <w:rStyle w:val="Hyperlink"/>
          </w:rPr>
          <w:t>https://static1.squarespace.com/static/5bdbb75ccef37259122e59aa/t/607cb8431453ca0b05c53bb8/1618786373138/Youth19+Brief_Transgender+and+diverse+gender+students+April2021.pdf</w:t>
        </w:r>
      </w:hyperlink>
      <w:r w:rsidR="004A4008" w:rsidRPr="009635D0">
        <w:t xml:space="preserve"> </w:t>
      </w:r>
    </w:p>
    <w:p w14:paraId="7CA3251F" w14:textId="6CE9FD14" w:rsidR="00F01386" w:rsidRPr="009635D0" w:rsidRDefault="00F01386" w:rsidP="00E00167">
      <w:pPr>
        <w:pStyle w:val="Reference"/>
        <w:rPr>
          <w:lang w:val="mi-NZ"/>
        </w:rPr>
      </w:pPr>
      <w:r w:rsidRPr="005B33A1">
        <w:t>Fenaughty</w:t>
      </w:r>
      <w:r w:rsidRPr="009635D0">
        <w:t>,</w:t>
      </w:r>
      <w:r w:rsidR="003D640C" w:rsidRPr="009635D0">
        <w:t xml:space="preserve"> </w:t>
      </w:r>
      <w:r w:rsidRPr="009635D0">
        <w:t>J.,</w:t>
      </w:r>
      <w:r w:rsidR="003D640C" w:rsidRPr="009635D0">
        <w:t xml:space="preserve"> </w:t>
      </w:r>
      <w:r w:rsidRPr="009635D0">
        <w:t>Ker,</w:t>
      </w:r>
      <w:r w:rsidR="003D640C" w:rsidRPr="009635D0">
        <w:t xml:space="preserve"> </w:t>
      </w:r>
      <w:r w:rsidRPr="009635D0">
        <w:t>A.,</w:t>
      </w:r>
      <w:r w:rsidR="003D640C" w:rsidRPr="009635D0">
        <w:t xml:space="preserve"> </w:t>
      </w:r>
      <w:r w:rsidRPr="009635D0">
        <w:t>Alansari,</w:t>
      </w:r>
      <w:r w:rsidR="003D640C" w:rsidRPr="009635D0">
        <w:t xml:space="preserve"> </w:t>
      </w:r>
      <w:r w:rsidRPr="009635D0">
        <w:t>M.,</w:t>
      </w:r>
      <w:r w:rsidR="003D640C" w:rsidRPr="009635D0">
        <w:t xml:space="preserve"> </w:t>
      </w:r>
      <w:r w:rsidRPr="009635D0">
        <w:t>Besley,</w:t>
      </w:r>
      <w:r w:rsidR="003D640C" w:rsidRPr="009635D0">
        <w:t xml:space="preserve"> </w:t>
      </w:r>
      <w:r w:rsidRPr="009635D0">
        <w:t>T.,</w:t>
      </w:r>
      <w:r w:rsidR="003D640C" w:rsidRPr="009635D0">
        <w:t xml:space="preserve"> </w:t>
      </w:r>
      <w:r w:rsidRPr="009635D0">
        <w:t>Kerekere,</w:t>
      </w:r>
      <w:r w:rsidR="003D640C" w:rsidRPr="009635D0">
        <w:t xml:space="preserve"> </w:t>
      </w:r>
      <w:r w:rsidRPr="009635D0">
        <w:t>E.,</w:t>
      </w:r>
      <w:r w:rsidR="003D640C" w:rsidRPr="009635D0">
        <w:t xml:space="preserve"> </w:t>
      </w:r>
      <w:r w:rsidRPr="009635D0">
        <w:t>Pasley,</w:t>
      </w:r>
      <w:r w:rsidR="003D640C" w:rsidRPr="009635D0">
        <w:t xml:space="preserve"> </w:t>
      </w:r>
      <w:r w:rsidRPr="009635D0">
        <w:t>A.,</w:t>
      </w:r>
      <w:r w:rsidR="003D640C" w:rsidRPr="009635D0">
        <w:t xml:space="preserve"> </w:t>
      </w:r>
      <w:r w:rsidRPr="009635D0">
        <w:t>Saxton,</w:t>
      </w:r>
      <w:r w:rsidR="003D640C" w:rsidRPr="009635D0">
        <w:t xml:space="preserve"> </w:t>
      </w:r>
      <w:r w:rsidRPr="009635D0">
        <w:t>P.,</w:t>
      </w:r>
      <w:r w:rsidR="003D640C" w:rsidRPr="009635D0">
        <w:t xml:space="preserve"> </w:t>
      </w:r>
      <w:r w:rsidRPr="009635D0">
        <w:t>Subramanian,</w:t>
      </w:r>
      <w:r w:rsidR="003D640C" w:rsidRPr="009635D0">
        <w:t xml:space="preserve"> </w:t>
      </w:r>
      <w:r w:rsidRPr="009635D0">
        <w:t>P.,</w:t>
      </w:r>
      <w:r w:rsidR="003D640C" w:rsidRPr="009635D0">
        <w:t xml:space="preserve"> </w:t>
      </w:r>
      <w:r w:rsidRPr="009635D0">
        <w:t>Thomsen,</w:t>
      </w:r>
      <w:r w:rsidR="003D640C" w:rsidRPr="009635D0">
        <w:t xml:space="preserve"> </w:t>
      </w:r>
      <w:r w:rsidRPr="009635D0">
        <w:t>P.</w:t>
      </w:r>
      <w:r w:rsidR="003D640C" w:rsidRPr="009635D0">
        <w:t xml:space="preserve"> </w:t>
      </w:r>
      <w:r w:rsidRPr="009635D0">
        <w:t>&amp;</w:t>
      </w:r>
      <w:r w:rsidR="003D640C" w:rsidRPr="009635D0">
        <w:t xml:space="preserve"> </w:t>
      </w:r>
      <w:r w:rsidRPr="009635D0">
        <w:t>Veale,</w:t>
      </w:r>
      <w:r w:rsidR="003D640C" w:rsidRPr="009635D0">
        <w:t xml:space="preserve"> </w:t>
      </w:r>
      <w:r w:rsidRPr="009635D0">
        <w:t>J.</w:t>
      </w:r>
      <w:r w:rsidR="003D640C" w:rsidRPr="009635D0">
        <w:t xml:space="preserve"> </w:t>
      </w:r>
      <w:r w:rsidRPr="009635D0">
        <w:t>(2022).</w:t>
      </w:r>
      <w:r w:rsidR="003D640C" w:rsidRPr="009635D0">
        <w:t xml:space="preserve"> </w:t>
      </w:r>
      <w:r w:rsidRPr="009635D0">
        <w:rPr>
          <w:i/>
        </w:rPr>
        <w:t>Identify</w:t>
      </w:r>
      <w:r w:rsidR="003D640C" w:rsidRPr="009635D0">
        <w:rPr>
          <w:i/>
        </w:rPr>
        <w:t xml:space="preserve"> </w:t>
      </w:r>
      <w:r w:rsidRPr="009635D0">
        <w:rPr>
          <w:i/>
        </w:rPr>
        <w:t>survey:</w:t>
      </w:r>
      <w:r w:rsidR="003D640C" w:rsidRPr="009635D0">
        <w:rPr>
          <w:i/>
        </w:rPr>
        <w:t xml:space="preserve"> </w:t>
      </w:r>
      <w:r w:rsidRPr="009635D0">
        <w:rPr>
          <w:i/>
        </w:rPr>
        <w:t>Community</w:t>
      </w:r>
      <w:r w:rsidR="003D640C" w:rsidRPr="009635D0">
        <w:rPr>
          <w:i/>
        </w:rPr>
        <w:t xml:space="preserve"> </w:t>
      </w:r>
      <w:r w:rsidRPr="009635D0">
        <w:rPr>
          <w:i/>
        </w:rPr>
        <w:t>and</w:t>
      </w:r>
      <w:r w:rsidR="003D640C" w:rsidRPr="009635D0">
        <w:rPr>
          <w:i/>
        </w:rPr>
        <w:t xml:space="preserve"> </w:t>
      </w:r>
      <w:r w:rsidRPr="009635D0">
        <w:rPr>
          <w:i/>
        </w:rPr>
        <w:t>advocacy</w:t>
      </w:r>
      <w:r w:rsidR="003D640C" w:rsidRPr="009635D0">
        <w:rPr>
          <w:i/>
        </w:rPr>
        <w:t xml:space="preserve"> </w:t>
      </w:r>
      <w:r w:rsidRPr="009635D0">
        <w:rPr>
          <w:i/>
        </w:rPr>
        <w:t>report.</w:t>
      </w:r>
      <w:r w:rsidR="003D640C" w:rsidRPr="009635D0">
        <w:t xml:space="preserve"> </w:t>
      </w:r>
      <w:r w:rsidRPr="009635D0">
        <w:t>Identify</w:t>
      </w:r>
      <w:r w:rsidR="003D640C" w:rsidRPr="009635D0">
        <w:t xml:space="preserve"> </w:t>
      </w:r>
      <w:r w:rsidRPr="009635D0">
        <w:t>Survey</w:t>
      </w:r>
      <w:r w:rsidR="003D640C" w:rsidRPr="009635D0">
        <w:t xml:space="preserve"> </w:t>
      </w:r>
      <w:r w:rsidRPr="009635D0">
        <w:t>Team.</w:t>
      </w:r>
      <w:r w:rsidR="00DD1E1F" w:rsidRPr="009635D0">
        <w:t xml:space="preserve"> </w:t>
      </w:r>
      <w:hyperlink r:id="rId51" w:history="1">
        <w:r w:rsidR="00DD1E1F" w:rsidRPr="009635D0">
          <w:rPr>
            <w:rStyle w:val="Hyperlink"/>
          </w:rPr>
          <w:t>https://static1.squarespace.com/static/60187146e9f9034475dea113/t/6390e802bd4e535d10b72a17/1670440980159/community_advocacy_report.pdf</w:t>
        </w:r>
      </w:hyperlink>
      <w:r w:rsidR="00DD1E1F" w:rsidRPr="009635D0">
        <w:t xml:space="preserve">   </w:t>
      </w:r>
    </w:p>
    <w:p w14:paraId="207AF6D5" w14:textId="0886191F" w:rsidR="00F01386" w:rsidRPr="007B139B" w:rsidRDefault="00F01386" w:rsidP="00E00167">
      <w:pPr>
        <w:pStyle w:val="Reference"/>
      </w:pPr>
      <w:r w:rsidRPr="005B33A1">
        <w:t>Fenaughty</w:t>
      </w:r>
      <w:r w:rsidRPr="009635D0">
        <w:t>,</w:t>
      </w:r>
      <w:r w:rsidR="003D640C" w:rsidRPr="009635D0">
        <w:t xml:space="preserve"> </w:t>
      </w:r>
      <w:r w:rsidRPr="009635D0">
        <w:t>J.,</w:t>
      </w:r>
      <w:r w:rsidR="003D640C" w:rsidRPr="009635D0">
        <w:t xml:space="preserve"> </w:t>
      </w:r>
      <w:r w:rsidRPr="009635D0">
        <w:t>Tan</w:t>
      </w:r>
      <w:r>
        <w:t>,</w:t>
      </w:r>
      <w:r w:rsidR="003D640C">
        <w:t xml:space="preserve"> </w:t>
      </w:r>
      <w:r w:rsidR="00E1129D">
        <w:t xml:space="preserve">K., </w:t>
      </w:r>
      <w:r>
        <w:t>Ker,</w:t>
      </w:r>
      <w:r w:rsidR="003D640C">
        <w:t xml:space="preserve"> </w:t>
      </w:r>
      <w:r w:rsidR="00E1129D">
        <w:t xml:space="preserve">A., </w:t>
      </w:r>
      <w:r>
        <w:t>Veale,</w:t>
      </w:r>
      <w:r w:rsidR="003D640C">
        <w:t xml:space="preserve"> </w:t>
      </w:r>
      <w:r w:rsidR="00E1129D">
        <w:t xml:space="preserve">J., </w:t>
      </w:r>
      <w:r>
        <w:t>Saxton</w:t>
      </w:r>
      <w:r w:rsidR="00E1129D">
        <w:t>, P., &amp;</w:t>
      </w:r>
      <w:r w:rsidR="003D640C">
        <w:t xml:space="preserve"> </w:t>
      </w:r>
      <w:r>
        <w:t>Alansari</w:t>
      </w:r>
      <w:r w:rsidR="00E1129D">
        <w:t>, M.</w:t>
      </w:r>
      <w:r w:rsidR="003D640C">
        <w:t xml:space="preserve"> </w:t>
      </w:r>
      <w:r>
        <w:t>(2023).</w:t>
      </w:r>
      <w:r w:rsidR="003D640C">
        <w:t xml:space="preserve"> </w:t>
      </w:r>
      <w:r>
        <w:t>Sexual</w:t>
      </w:r>
      <w:r w:rsidR="003D640C">
        <w:t xml:space="preserve"> </w:t>
      </w:r>
      <w:r w:rsidR="004C1464">
        <w:t>o</w:t>
      </w:r>
      <w:r>
        <w:t>rientation</w:t>
      </w:r>
      <w:r w:rsidR="003D640C">
        <w:t xml:space="preserve"> </w:t>
      </w:r>
      <w:r>
        <w:t>and</w:t>
      </w:r>
      <w:r w:rsidR="003D640C">
        <w:t xml:space="preserve"> </w:t>
      </w:r>
      <w:r w:rsidR="004C1464">
        <w:t>g</w:t>
      </w:r>
      <w:r>
        <w:t>ender</w:t>
      </w:r>
      <w:r w:rsidR="003D640C">
        <w:t xml:space="preserve"> </w:t>
      </w:r>
      <w:r w:rsidR="004C1464">
        <w:t>i</w:t>
      </w:r>
      <w:r>
        <w:t>dentity</w:t>
      </w:r>
      <w:r w:rsidR="003D640C">
        <w:t xml:space="preserve"> </w:t>
      </w:r>
      <w:r w:rsidR="004C1464">
        <w:t>c</w:t>
      </w:r>
      <w:r>
        <w:t>hange</w:t>
      </w:r>
      <w:r w:rsidR="003D640C">
        <w:t xml:space="preserve"> </w:t>
      </w:r>
      <w:r w:rsidR="004C1464">
        <w:t>e</w:t>
      </w:r>
      <w:r>
        <w:t>fforts</w:t>
      </w:r>
      <w:r w:rsidR="003D640C">
        <w:t xml:space="preserve"> </w:t>
      </w:r>
      <w:r>
        <w:t>for</w:t>
      </w:r>
      <w:r w:rsidR="003D640C">
        <w:t xml:space="preserve"> </w:t>
      </w:r>
      <w:r w:rsidR="004C1464">
        <w:t>y</w:t>
      </w:r>
      <w:r>
        <w:t>oung</w:t>
      </w:r>
      <w:r w:rsidR="003D640C">
        <w:t xml:space="preserve"> </w:t>
      </w:r>
      <w:r w:rsidR="004C1464">
        <w:t>p</w:t>
      </w:r>
      <w:r>
        <w:t>eople</w:t>
      </w:r>
      <w:r w:rsidR="003D640C">
        <w:t xml:space="preserve"> </w:t>
      </w:r>
      <w:r>
        <w:t>in</w:t>
      </w:r>
      <w:r w:rsidR="003D640C">
        <w:t xml:space="preserve"> </w:t>
      </w:r>
      <w:r>
        <w:t>New</w:t>
      </w:r>
      <w:r w:rsidR="003D640C">
        <w:t xml:space="preserve"> </w:t>
      </w:r>
      <w:r>
        <w:t>Zealand:</w:t>
      </w:r>
      <w:r w:rsidR="003D640C">
        <w:t xml:space="preserve"> </w:t>
      </w:r>
      <w:r>
        <w:t>Demographics,</w:t>
      </w:r>
      <w:r w:rsidR="003D640C">
        <w:t xml:space="preserve"> </w:t>
      </w:r>
      <w:r w:rsidR="004C1464">
        <w:t>t</w:t>
      </w:r>
      <w:r>
        <w:t>ypes</w:t>
      </w:r>
      <w:r w:rsidR="003D640C">
        <w:t xml:space="preserve"> </w:t>
      </w:r>
      <w:r>
        <w:t>of</w:t>
      </w:r>
      <w:r w:rsidR="003D640C">
        <w:t xml:space="preserve"> </w:t>
      </w:r>
      <w:r w:rsidR="004C1464">
        <w:t>s</w:t>
      </w:r>
      <w:r>
        <w:t>uggesters,</w:t>
      </w:r>
      <w:r w:rsidR="003D640C">
        <w:t xml:space="preserve"> </w:t>
      </w:r>
      <w:r>
        <w:t>and</w:t>
      </w:r>
      <w:r w:rsidR="003D640C">
        <w:t xml:space="preserve"> </w:t>
      </w:r>
      <w:r w:rsidR="004C1464">
        <w:t>a</w:t>
      </w:r>
      <w:r>
        <w:t>ssociations</w:t>
      </w:r>
      <w:r w:rsidR="003D640C">
        <w:t xml:space="preserve"> </w:t>
      </w:r>
      <w:r>
        <w:t>with</w:t>
      </w:r>
      <w:r w:rsidR="003D640C">
        <w:t xml:space="preserve"> </w:t>
      </w:r>
      <w:r>
        <w:t>mental</w:t>
      </w:r>
      <w:r w:rsidR="003D640C">
        <w:t xml:space="preserve"> </w:t>
      </w:r>
      <w:r w:rsidR="004C1464">
        <w:t>h</w:t>
      </w:r>
      <w:r>
        <w:t>ealth.</w:t>
      </w:r>
      <w:r w:rsidR="003D640C">
        <w:t xml:space="preserve"> </w:t>
      </w:r>
      <w:r>
        <w:rPr>
          <w:i/>
          <w:iCs/>
        </w:rPr>
        <w:t>Journal</w:t>
      </w:r>
      <w:r w:rsidR="003D640C">
        <w:rPr>
          <w:i/>
          <w:iCs/>
        </w:rPr>
        <w:t xml:space="preserve"> </w:t>
      </w:r>
      <w:r>
        <w:rPr>
          <w:i/>
          <w:iCs/>
        </w:rPr>
        <w:t>of</w:t>
      </w:r>
      <w:r w:rsidR="003D640C">
        <w:rPr>
          <w:i/>
          <w:iCs/>
        </w:rPr>
        <w:t xml:space="preserve"> </w:t>
      </w:r>
      <w:r>
        <w:rPr>
          <w:i/>
          <w:iCs/>
        </w:rPr>
        <w:t>Youth</w:t>
      </w:r>
      <w:r w:rsidR="003D640C">
        <w:rPr>
          <w:i/>
          <w:iCs/>
        </w:rPr>
        <w:t xml:space="preserve"> </w:t>
      </w:r>
      <w:r>
        <w:rPr>
          <w:i/>
          <w:iCs/>
        </w:rPr>
        <w:t>and</w:t>
      </w:r>
      <w:r w:rsidR="003D640C">
        <w:rPr>
          <w:i/>
          <w:iCs/>
        </w:rPr>
        <w:t xml:space="preserve"> </w:t>
      </w:r>
      <w:r>
        <w:rPr>
          <w:i/>
          <w:iCs/>
        </w:rPr>
        <w:t>Adolescence</w:t>
      </w:r>
      <w:r w:rsidR="004C1464">
        <w:t>,</w:t>
      </w:r>
      <w:r w:rsidR="003D640C">
        <w:t xml:space="preserve"> </w:t>
      </w:r>
      <w:r w:rsidRPr="007B139B">
        <w:rPr>
          <w:i/>
          <w:iCs/>
        </w:rPr>
        <w:t>52</w:t>
      </w:r>
      <w:r w:rsidR="004C1464">
        <w:t>,</w:t>
      </w:r>
      <w:r w:rsidR="003D640C">
        <w:t xml:space="preserve"> </w:t>
      </w:r>
      <w:r>
        <w:t>149</w:t>
      </w:r>
      <w:r w:rsidR="004C1464">
        <w:t>–</w:t>
      </w:r>
      <w:r>
        <w:t>164.</w:t>
      </w:r>
      <w:r w:rsidR="003D640C">
        <w:t xml:space="preserve"> </w:t>
      </w:r>
      <w:hyperlink r:id="rId52" w:history="1">
        <w:r w:rsidR="00E1129D" w:rsidRPr="007B139B">
          <w:rPr>
            <w:rStyle w:val="Hyperlink"/>
          </w:rPr>
          <w:t>https://doi.org/10.1007/s10964-022-01693-3</w:t>
        </w:r>
      </w:hyperlink>
      <w:r w:rsidR="00E1129D">
        <w:t xml:space="preserve"> </w:t>
      </w:r>
    </w:p>
    <w:p w14:paraId="285C1FA0" w14:textId="2DAF2D6E" w:rsidR="00F01386" w:rsidRPr="00B6157E" w:rsidRDefault="00F01386" w:rsidP="00E00167">
      <w:pPr>
        <w:pStyle w:val="Reference"/>
        <w:rPr>
          <w:lang w:val="en-US"/>
        </w:rPr>
      </w:pPr>
      <w:r w:rsidRPr="005B33A1">
        <w:rPr>
          <w:rFonts w:cstheme="minorHAnsi"/>
          <w:color w:val="3B3D3F"/>
          <w:shd w:val="clear" w:color="auto" w:fill="FFFFFF"/>
        </w:rPr>
        <w:t>Fer</w:t>
      </w:r>
      <w:r w:rsidRPr="00B6157E">
        <w:rPr>
          <w:rFonts w:cstheme="minorHAnsi"/>
          <w:color w:val="3B3D3F"/>
          <w:shd w:val="clear" w:color="auto" w:fill="FFFFFF"/>
        </w:rPr>
        <w:t>,</w:t>
      </w:r>
      <w:r w:rsidR="003D640C" w:rsidRPr="00B6157E">
        <w:rPr>
          <w:rFonts w:cstheme="minorHAnsi"/>
          <w:color w:val="3B3D3F"/>
          <w:shd w:val="clear" w:color="auto" w:fill="FFFFFF"/>
        </w:rPr>
        <w:t xml:space="preserve"> </w:t>
      </w:r>
      <w:r w:rsidRPr="00B6157E">
        <w:rPr>
          <w:rFonts w:cstheme="minorHAnsi"/>
          <w:color w:val="3B3D3F"/>
          <w:shd w:val="clear" w:color="auto" w:fill="FFFFFF"/>
        </w:rPr>
        <w:t>Y.</w:t>
      </w:r>
      <w:r w:rsidR="000C75E6" w:rsidRPr="00B6157E">
        <w:rPr>
          <w:rFonts w:cstheme="minorHAnsi"/>
          <w:color w:val="3B3D3F"/>
          <w:shd w:val="clear" w:color="auto" w:fill="FFFFFF"/>
        </w:rPr>
        <w:t>,</w:t>
      </w:r>
      <w:r w:rsidR="003D640C" w:rsidRPr="00B6157E">
        <w:rPr>
          <w:rFonts w:cstheme="minorHAnsi"/>
          <w:color w:val="3B3D3F"/>
          <w:shd w:val="clear" w:color="auto" w:fill="FFFFFF"/>
        </w:rPr>
        <w:t xml:space="preserve"> </w:t>
      </w:r>
      <w:r w:rsidRPr="00B6157E">
        <w:rPr>
          <w:rFonts w:cstheme="minorHAnsi"/>
          <w:color w:val="3B3D3F"/>
          <w:shd w:val="clear" w:color="auto" w:fill="FFFFFF"/>
        </w:rPr>
        <w:t>&amp;</w:t>
      </w:r>
      <w:r w:rsidR="003D640C" w:rsidRPr="00B6157E">
        <w:rPr>
          <w:rFonts w:cstheme="minorHAnsi"/>
          <w:color w:val="3B3D3F"/>
          <w:shd w:val="clear" w:color="auto" w:fill="FFFFFF"/>
        </w:rPr>
        <w:t xml:space="preserve"> </w:t>
      </w:r>
      <w:r w:rsidRPr="00B6157E">
        <w:rPr>
          <w:rFonts w:cstheme="minorHAnsi"/>
          <w:color w:val="3B3D3F"/>
          <w:shd w:val="clear" w:color="auto" w:fill="FFFFFF"/>
        </w:rPr>
        <w:t>Malogne-Fer,</w:t>
      </w:r>
      <w:r w:rsidR="003D640C" w:rsidRPr="00B6157E">
        <w:rPr>
          <w:rFonts w:cstheme="minorHAnsi"/>
          <w:color w:val="3B3D3F"/>
          <w:shd w:val="clear" w:color="auto" w:fill="FFFFFF"/>
        </w:rPr>
        <w:t xml:space="preserve"> </w:t>
      </w:r>
      <w:r w:rsidRPr="00B6157E">
        <w:rPr>
          <w:rFonts w:cstheme="minorHAnsi"/>
          <w:color w:val="3B3D3F"/>
          <w:shd w:val="clear" w:color="auto" w:fill="FFFFFF"/>
        </w:rPr>
        <w:t>G.</w:t>
      </w:r>
      <w:r w:rsidR="003D640C" w:rsidRPr="00B6157E">
        <w:rPr>
          <w:rFonts w:cstheme="minorHAnsi"/>
          <w:color w:val="3B3D3F"/>
          <w:shd w:val="clear" w:color="auto" w:fill="FFFFFF"/>
        </w:rPr>
        <w:t xml:space="preserve"> </w:t>
      </w:r>
      <w:r w:rsidRPr="00B6157E">
        <w:rPr>
          <w:rFonts w:cstheme="minorHAnsi"/>
          <w:color w:val="3B3D3F"/>
          <w:shd w:val="clear" w:color="auto" w:fill="FFFFFF"/>
        </w:rPr>
        <w:t>(2014).</w:t>
      </w:r>
      <w:r w:rsidR="003D640C" w:rsidRPr="00B6157E">
        <w:rPr>
          <w:rFonts w:cstheme="minorHAnsi"/>
          <w:color w:val="3B3D3F"/>
          <w:shd w:val="clear" w:color="auto" w:fill="FFFFFF"/>
        </w:rPr>
        <w:t xml:space="preserve"> </w:t>
      </w:r>
      <w:r w:rsidRPr="00B6157E">
        <w:rPr>
          <w:rFonts w:cstheme="minorHAnsi"/>
          <w:color w:val="3B3D3F"/>
          <w:shd w:val="clear" w:color="auto" w:fill="FFFFFF"/>
        </w:rPr>
        <w:t>Protestantism</w:t>
      </w:r>
      <w:r w:rsidR="003D640C" w:rsidRPr="00B6157E">
        <w:rPr>
          <w:rFonts w:cstheme="minorHAnsi"/>
          <w:color w:val="3B3D3F"/>
          <w:shd w:val="clear" w:color="auto" w:fill="FFFFFF"/>
        </w:rPr>
        <w:t xml:space="preserve"> </w:t>
      </w:r>
      <w:r w:rsidRPr="00B6157E">
        <w:rPr>
          <w:rFonts w:cstheme="minorHAnsi"/>
          <w:color w:val="3B3D3F"/>
          <w:shd w:val="clear" w:color="auto" w:fill="FFFFFF"/>
        </w:rPr>
        <w:t>among</w:t>
      </w:r>
      <w:r w:rsidR="003D640C" w:rsidRPr="00B6157E">
        <w:rPr>
          <w:rFonts w:cstheme="minorHAnsi"/>
          <w:color w:val="3B3D3F"/>
          <w:shd w:val="clear" w:color="auto" w:fill="FFFFFF"/>
        </w:rPr>
        <w:t xml:space="preserve"> </w:t>
      </w:r>
      <w:r w:rsidRPr="00B6157E">
        <w:rPr>
          <w:rFonts w:cstheme="minorHAnsi"/>
          <w:color w:val="3B3D3F"/>
          <w:shd w:val="clear" w:color="auto" w:fill="FFFFFF"/>
        </w:rPr>
        <w:t>Pacific</w:t>
      </w:r>
      <w:r w:rsidR="003D640C" w:rsidRPr="00B6157E">
        <w:rPr>
          <w:rFonts w:cstheme="minorHAnsi"/>
          <w:color w:val="3B3D3F"/>
          <w:shd w:val="clear" w:color="auto" w:fill="FFFFFF"/>
        </w:rPr>
        <w:t xml:space="preserve"> </w:t>
      </w:r>
      <w:r w:rsidR="000C75E6" w:rsidRPr="00B6157E">
        <w:rPr>
          <w:rFonts w:cstheme="minorHAnsi"/>
          <w:color w:val="3B3D3F"/>
          <w:shd w:val="clear" w:color="auto" w:fill="FFFFFF"/>
        </w:rPr>
        <w:t>p</w:t>
      </w:r>
      <w:r w:rsidRPr="00B6157E">
        <w:rPr>
          <w:rFonts w:cstheme="minorHAnsi"/>
          <w:color w:val="3B3D3F"/>
          <w:shd w:val="clear" w:color="auto" w:fill="FFFFFF"/>
        </w:rPr>
        <w:t>eoples</w:t>
      </w:r>
      <w:r w:rsidR="003D640C" w:rsidRPr="00B6157E">
        <w:rPr>
          <w:rFonts w:cstheme="minorHAnsi"/>
          <w:color w:val="3B3D3F"/>
          <w:shd w:val="clear" w:color="auto" w:fill="FFFFFF"/>
        </w:rPr>
        <w:t xml:space="preserve"> </w:t>
      </w:r>
      <w:r w:rsidRPr="00B6157E">
        <w:rPr>
          <w:rFonts w:cstheme="minorHAnsi"/>
          <w:color w:val="3B3D3F"/>
          <w:shd w:val="clear" w:color="auto" w:fill="FFFFFF"/>
        </w:rPr>
        <w:t>in</w:t>
      </w:r>
      <w:r w:rsidR="003D640C" w:rsidRPr="00B6157E">
        <w:rPr>
          <w:rFonts w:cstheme="minorHAnsi"/>
          <w:color w:val="3B3D3F"/>
          <w:shd w:val="clear" w:color="auto" w:fill="FFFFFF"/>
        </w:rPr>
        <w:t xml:space="preserve"> </w:t>
      </w:r>
      <w:r w:rsidRPr="00B6157E">
        <w:rPr>
          <w:rFonts w:cstheme="minorHAnsi"/>
          <w:color w:val="3B3D3F"/>
          <w:shd w:val="clear" w:color="auto" w:fill="FFFFFF"/>
        </w:rPr>
        <w:t>New</w:t>
      </w:r>
      <w:r w:rsidR="003D640C" w:rsidRPr="00B6157E">
        <w:rPr>
          <w:rFonts w:cstheme="minorHAnsi"/>
          <w:color w:val="3B3D3F"/>
          <w:shd w:val="clear" w:color="auto" w:fill="FFFFFF"/>
        </w:rPr>
        <w:t xml:space="preserve"> </w:t>
      </w:r>
      <w:r w:rsidRPr="00B6157E">
        <w:rPr>
          <w:rFonts w:cstheme="minorHAnsi"/>
          <w:color w:val="3B3D3F"/>
          <w:shd w:val="clear" w:color="auto" w:fill="FFFFFF"/>
        </w:rPr>
        <w:t>Zealand</w:t>
      </w:r>
      <w:r w:rsidR="000C75E6" w:rsidRPr="00B6157E">
        <w:rPr>
          <w:rFonts w:cstheme="minorHAnsi"/>
          <w:color w:val="3B3D3F"/>
          <w:shd w:val="clear" w:color="auto" w:fill="FFFFFF"/>
        </w:rPr>
        <w:t>:</w:t>
      </w:r>
      <w:r w:rsidR="003D640C" w:rsidRPr="00B6157E">
        <w:rPr>
          <w:rFonts w:cstheme="minorHAnsi"/>
          <w:color w:val="3B3D3F"/>
          <w:shd w:val="clear" w:color="auto" w:fill="FFFFFF"/>
        </w:rPr>
        <w:t xml:space="preserve"> </w:t>
      </w:r>
      <w:r w:rsidRPr="00B6157E">
        <w:rPr>
          <w:rFonts w:cstheme="minorHAnsi"/>
          <w:color w:val="3B3D3F"/>
          <w:shd w:val="clear" w:color="auto" w:fill="FFFFFF"/>
        </w:rPr>
        <w:t>Mobility,</w:t>
      </w:r>
      <w:r w:rsidR="003D640C" w:rsidRPr="00B6157E">
        <w:rPr>
          <w:rFonts w:cstheme="minorHAnsi"/>
          <w:color w:val="3B3D3F"/>
          <w:shd w:val="clear" w:color="auto" w:fill="FFFFFF"/>
        </w:rPr>
        <w:t xml:space="preserve"> </w:t>
      </w:r>
      <w:r w:rsidR="000C75E6" w:rsidRPr="00B6157E">
        <w:rPr>
          <w:rFonts w:cstheme="minorHAnsi"/>
          <w:color w:val="3B3D3F"/>
          <w:shd w:val="clear" w:color="auto" w:fill="FFFFFF"/>
        </w:rPr>
        <w:t>c</w:t>
      </w:r>
      <w:r w:rsidRPr="00B6157E">
        <w:rPr>
          <w:rFonts w:cstheme="minorHAnsi"/>
          <w:color w:val="3B3D3F"/>
          <w:shd w:val="clear" w:color="auto" w:fill="FFFFFF"/>
        </w:rPr>
        <w:t>ultural</w:t>
      </w:r>
      <w:r w:rsidR="003D640C" w:rsidRPr="00B6157E">
        <w:rPr>
          <w:rFonts w:cstheme="minorHAnsi"/>
          <w:color w:val="3B3D3F"/>
          <w:shd w:val="clear" w:color="auto" w:fill="FFFFFF"/>
        </w:rPr>
        <w:t xml:space="preserve"> </w:t>
      </w:r>
      <w:r w:rsidR="000C75E6" w:rsidRPr="00B6157E">
        <w:rPr>
          <w:rFonts w:cstheme="minorHAnsi"/>
          <w:color w:val="3B3D3F"/>
          <w:shd w:val="clear" w:color="auto" w:fill="FFFFFF"/>
        </w:rPr>
        <w:t>i</w:t>
      </w:r>
      <w:r w:rsidRPr="00B6157E">
        <w:rPr>
          <w:rFonts w:cstheme="minorHAnsi"/>
          <w:color w:val="3B3D3F"/>
          <w:shd w:val="clear" w:color="auto" w:fill="FFFFFF"/>
        </w:rPr>
        <w:t>dentifications</w:t>
      </w:r>
      <w:r w:rsidR="000C75E6" w:rsidRPr="00B6157E">
        <w:rPr>
          <w:rFonts w:cstheme="minorHAnsi"/>
          <w:color w:val="3B3D3F"/>
          <w:shd w:val="clear" w:color="auto" w:fill="FFFFFF"/>
        </w:rPr>
        <w:t>,</w:t>
      </w:r>
      <w:r w:rsidR="003D640C" w:rsidRPr="00B6157E">
        <w:rPr>
          <w:rFonts w:cstheme="minorHAnsi"/>
          <w:color w:val="3B3D3F"/>
          <w:shd w:val="clear" w:color="auto" w:fill="FFFFFF"/>
        </w:rPr>
        <w:t xml:space="preserve"> </w:t>
      </w:r>
      <w:r w:rsidRPr="00B6157E">
        <w:rPr>
          <w:rFonts w:cstheme="minorHAnsi"/>
          <w:color w:val="3B3D3F"/>
          <w:shd w:val="clear" w:color="auto" w:fill="FFFFFF"/>
        </w:rPr>
        <w:t>and</w:t>
      </w:r>
      <w:r w:rsidR="003D640C" w:rsidRPr="00B6157E">
        <w:rPr>
          <w:rFonts w:cstheme="minorHAnsi"/>
          <w:color w:val="3B3D3F"/>
          <w:shd w:val="clear" w:color="auto" w:fill="FFFFFF"/>
        </w:rPr>
        <w:t xml:space="preserve"> </w:t>
      </w:r>
      <w:r w:rsidR="000C75E6" w:rsidRPr="00B6157E">
        <w:rPr>
          <w:rFonts w:cstheme="minorHAnsi"/>
          <w:color w:val="3B3D3F"/>
          <w:shd w:val="clear" w:color="auto" w:fill="FFFFFF"/>
        </w:rPr>
        <w:t>g</w:t>
      </w:r>
      <w:r w:rsidRPr="00B6157E">
        <w:rPr>
          <w:rFonts w:cstheme="minorHAnsi"/>
          <w:color w:val="3B3D3F"/>
          <w:shd w:val="clear" w:color="auto" w:fill="FFFFFF"/>
        </w:rPr>
        <w:t>enerational</w:t>
      </w:r>
      <w:r w:rsidR="003D640C" w:rsidRPr="00B6157E">
        <w:rPr>
          <w:rFonts w:cstheme="minorHAnsi"/>
          <w:color w:val="3B3D3F"/>
          <w:shd w:val="clear" w:color="auto" w:fill="FFFFFF"/>
        </w:rPr>
        <w:t xml:space="preserve"> </w:t>
      </w:r>
      <w:r w:rsidR="000C75E6" w:rsidRPr="00B6157E">
        <w:rPr>
          <w:rFonts w:cstheme="minorHAnsi"/>
          <w:color w:val="3B3D3F"/>
          <w:shd w:val="clear" w:color="auto" w:fill="FFFFFF"/>
        </w:rPr>
        <w:t>s</w:t>
      </w:r>
      <w:r w:rsidRPr="00B6157E">
        <w:rPr>
          <w:rFonts w:cstheme="minorHAnsi"/>
          <w:color w:val="3B3D3F"/>
          <w:shd w:val="clear" w:color="auto" w:fill="FFFFFF"/>
        </w:rPr>
        <w:t>hifts.</w:t>
      </w:r>
      <w:r w:rsidR="003D640C" w:rsidRPr="00B6157E">
        <w:rPr>
          <w:rFonts w:cstheme="minorHAnsi"/>
          <w:color w:val="3B3D3F"/>
          <w:shd w:val="clear" w:color="auto" w:fill="FFFFFF"/>
        </w:rPr>
        <w:t xml:space="preserve"> </w:t>
      </w:r>
      <w:r w:rsidRPr="00B6157E">
        <w:rPr>
          <w:rFonts w:cstheme="minorHAnsi"/>
          <w:color w:val="3B3D3F"/>
          <w:shd w:val="clear" w:color="auto" w:fill="FFFFFF"/>
        </w:rPr>
        <w:t>In</w:t>
      </w:r>
      <w:r w:rsidR="003D640C" w:rsidRPr="00B6157E">
        <w:rPr>
          <w:rFonts w:cstheme="minorHAnsi"/>
          <w:color w:val="3B3D3F"/>
          <w:shd w:val="clear" w:color="auto" w:fill="FFFFFF"/>
        </w:rPr>
        <w:t xml:space="preserve"> </w:t>
      </w:r>
      <w:r w:rsidRPr="00B6157E">
        <w:rPr>
          <w:rFonts w:cstheme="minorHAnsi"/>
          <w:color w:val="3B3D3F"/>
          <w:shd w:val="clear" w:color="auto" w:fill="FFFFFF"/>
        </w:rPr>
        <w:t>E.</w:t>
      </w:r>
      <w:r w:rsidR="003D640C" w:rsidRPr="00B6157E">
        <w:rPr>
          <w:rFonts w:cstheme="minorHAnsi"/>
          <w:color w:val="3B3D3F"/>
          <w:shd w:val="clear" w:color="auto" w:fill="FFFFFF"/>
        </w:rPr>
        <w:t xml:space="preserve"> </w:t>
      </w:r>
      <w:r w:rsidRPr="00B6157E">
        <w:rPr>
          <w:rFonts w:cstheme="minorHAnsi"/>
          <w:color w:val="3B3D3F"/>
          <w:shd w:val="clear" w:color="auto" w:fill="FFFFFF"/>
        </w:rPr>
        <w:t>Hermann,</w:t>
      </w:r>
      <w:r w:rsidR="003D640C" w:rsidRPr="00B6157E">
        <w:rPr>
          <w:rFonts w:cstheme="minorHAnsi"/>
          <w:color w:val="3B3D3F"/>
          <w:shd w:val="clear" w:color="auto" w:fill="FFFFFF"/>
        </w:rPr>
        <w:t xml:space="preserve"> </w:t>
      </w:r>
      <w:r w:rsidRPr="00B6157E">
        <w:rPr>
          <w:rFonts w:cstheme="minorHAnsi"/>
          <w:color w:val="3B3D3F"/>
          <w:shd w:val="clear" w:color="auto" w:fill="FFFFFF"/>
        </w:rPr>
        <w:t>W.</w:t>
      </w:r>
      <w:r w:rsidR="003D640C" w:rsidRPr="00B6157E">
        <w:rPr>
          <w:rFonts w:cstheme="minorHAnsi"/>
          <w:color w:val="3B3D3F"/>
          <w:shd w:val="clear" w:color="auto" w:fill="FFFFFF"/>
        </w:rPr>
        <w:t xml:space="preserve"> </w:t>
      </w:r>
      <w:r w:rsidRPr="00B6157E">
        <w:rPr>
          <w:rFonts w:cstheme="minorHAnsi"/>
          <w:color w:val="3B3D3F"/>
          <w:shd w:val="clear" w:color="auto" w:fill="FFFFFF"/>
        </w:rPr>
        <w:t>Kempf</w:t>
      </w:r>
      <w:r w:rsidR="000C75E6" w:rsidRPr="00B6157E">
        <w:rPr>
          <w:rFonts w:cstheme="minorHAnsi"/>
          <w:color w:val="3B3D3F"/>
          <w:shd w:val="clear" w:color="auto" w:fill="FFFFFF"/>
        </w:rPr>
        <w:t>,</w:t>
      </w:r>
      <w:r w:rsidR="003D640C" w:rsidRPr="00B6157E">
        <w:rPr>
          <w:rFonts w:cstheme="minorHAnsi"/>
          <w:color w:val="3B3D3F"/>
          <w:shd w:val="clear" w:color="auto" w:fill="FFFFFF"/>
        </w:rPr>
        <w:t xml:space="preserve"> </w:t>
      </w:r>
      <w:r w:rsidRPr="00B6157E">
        <w:rPr>
          <w:rFonts w:cstheme="minorHAnsi"/>
          <w:color w:val="3B3D3F"/>
          <w:shd w:val="clear" w:color="auto" w:fill="FFFFFF"/>
        </w:rPr>
        <w:t>&amp;</w:t>
      </w:r>
      <w:r w:rsidR="003D640C" w:rsidRPr="00B6157E">
        <w:rPr>
          <w:rFonts w:cstheme="minorHAnsi"/>
          <w:color w:val="3B3D3F"/>
          <w:shd w:val="clear" w:color="auto" w:fill="FFFFFF"/>
        </w:rPr>
        <w:t xml:space="preserve"> </w:t>
      </w:r>
      <w:r w:rsidRPr="00B6157E">
        <w:rPr>
          <w:rFonts w:cstheme="minorHAnsi"/>
          <w:color w:val="3B3D3F"/>
          <w:shd w:val="clear" w:color="auto" w:fill="FFFFFF"/>
        </w:rPr>
        <w:t>T.</w:t>
      </w:r>
      <w:r w:rsidR="003D640C" w:rsidRPr="00B6157E">
        <w:rPr>
          <w:rFonts w:cstheme="minorHAnsi"/>
          <w:color w:val="3B3D3F"/>
          <w:shd w:val="clear" w:color="auto" w:fill="FFFFFF"/>
        </w:rPr>
        <w:t xml:space="preserve"> </w:t>
      </w:r>
      <w:r w:rsidRPr="00B6157E">
        <w:rPr>
          <w:rFonts w:cstheme="minorHAnsi"/>
          <w:color w:val="3B3D3F"/>
          <w:shd w:val="clear" w:color="auto" w:fill="FFFFFF"/>
        </w:rPr>
        <w:t>Meijl</w:t>
      </w:r>
      <w:r w:rsidR="003D640C" w:rsidRPr="00B6157E">
        <w:rPr>
          <w:rFonts w:cstheme="minorHAnsi"/>
          <w:color w:val="3B3D3F"/>
          <w:shd w:val="clear" w:color="auto" w:fill="FFFFFF"/>
        </w:rPr>
        <w:t xml:space="preserve"> </w:t>
      </w:r>
      <w:r w:rsidRPr="00B6157E">
        <w:rPr>
          <w:rFonts w:cstheme="minorHAnsi"/>
          <w:color w:val="3B3D3F"/>
          <w:shd w:val="clear" w:color="auto" w:fill="FFFFFF"/>
        </w:rPr>
        <w:t>(Ed</w:t>
      </w:r>
      <w:r w:rsidR="000C75E6" w:rsidRPr="00B6157E">
        <w:rPr>
          <w:rFonts w:cstheme="minorHAnsi"/>
          <w:color w:val="3B3D3F"/>
          <w:shd w:val="clear" w:color="auto" w:fill="FFFFFF"/>
        </w:rPr>
        <w:t>s</w:t>
      </w:r>
      <w:r w:rsidRPr="00B6157E">
        <w:rPr>
          <w:rFonts w:cstheme="minorHAnsi"/>
          <w:color w:val="3B3D3F"/>
          <w:shd w:val="clear" w:color="auto" w:fill="FFFFFF"/>
        </w:rPr>
        <w:t>.),</w:t>
      </w:r>
      <w:r w:rsidR="003D640C" w:rsidRPr="00B6157E">
        <w:rPr>
          <w:rFonts w:cstheme="minorHAnsi"/>
          <w:color w:val="3B3D3F"/>
          <w:shd w:val="clear" w:color="auto" w:fill="FFFFFF"/>
        </w:rPr>
        <w:t xml:space="preserve"> </w:t>
      </w:r>
      <w:r w:rsidRPr="00B6157E">
        <w:rPr>
          <w:rFonts w:cstheme="minorHAnsi"/>
          <w:i/>
          <w:iCs/>
          <w:color w:val="3B3D3F"/>
          <w:shd w:val="clear" w:color="auto" w:fill="FFFFFF"/>
        </w:rPr>
        <w:t>Belonging</w:t>
      </w:r>
      <w:r w:rsidR="003D640C" w:rsidRPr="00B6157E">
        <w:rPr>
          <w:rFonts w:cstheme="minorHAnsi"/>
          <w:i/>
          <w:iCs/>
          <w:color w:val="3B3D3F"/>
          <w:shd w:val="clear" w:color="auto" w:fill="FFFFFF"/>
        </w:rPr>
        <w:t xml:space="preserve"> </w:t>
      </w:r>
      <w:r w:rsidRPr="00B6157E">
        <w:rPr>
          <w:rFonts w:cstheme="minorHAnsi"/>
          <w:i/>
          <w:iCs/>
          <w:color w:val="3B3D3F"/>
          <w:shd w:val="clear" w:color="auto" w:fill="FFFFFF"/>
        </w:rPr>
        <w:t>in</w:t>
      </w:r>
      <w:r w:rsidR="003D640C" w:rsidRPr="00B6157E">
        <w:rPr>
          <w:rFonts w:cstheme="minorHAnsi"/>
          <w:i/>
          <w:iCs/>
          <w:color w:val="3B3D3F"/>
          <w:shd w:val="clear" w:color="auto" w:fill="FFFFFF"/>
        </w:rPr>
        <w:t xml:space="preserve"> </w:t>
      </w:r>
      <w:r w:rsidRPr="00B6157E">
        <w:rPr>
          <w:rFonts w:cstheme="minorHAnsi"/>
          <w:i/>
          <w:iCs/>
          <w:color w:val="3B3D3F"/>
          <w:shd w:val="clear" w:color="auto" w:fill="FFFFFF"/>
        </w:rPr>
        <w:t>Oceania:</w:t>
      </w:r>
      <w:r w:rsidR="003D640C" w:rsidRPr="00B6157E">
        <w:rPr>
          <w:rFonts w:cstheme="minorHAnsi"/>
          <w:i/>
          <w:iCs/>
          <w:color w:val="3B3D3F"/>
          <w:shd w:val="clear" w:color="auto" w:fill="FFFFFF"/>
        </w:rPr>
        <w:t xml:space="preserve"> </w:t>
      </w:r>
      <w:r w:rsidRPr="00B6157E">
        <w:rPr>
          <w:rFonts w:cstheme="minorHAnsi"/>
          <w:i/>
          <w:iCs/>
          <w:color w:val="3B3D3F"/>
          <w:shd w:val="clear" w:color="auto" w:fill="FFFFFF"/>
        </w:rPr>
        <w:t>Movement,</w:t>
      </w:r>
      <w:r w:rsidR="003D640C" w:rsidRPr="00B6157E">
        <w:rPr>
          <w:rFonts w:cstheme="minorHAnsi"/>
          <w:i/>
          <w:iCs/>
          <w:color w:val="3B3D3F"/>
          <w:shd w:val="clear" w:color="auto" w:fill="FFFFFF"/>
        </w:rPr>
        <w:t xml:space="preserve"> </w:t>
      </w:r>
      <w:r w:rsidR="000C75E6" w:rsidRPr="00B6157E">
        <w:rPr>
          <w:rFonts w:cstheme="minorHAnsi"/>
          <w:i/>
          <w:iCs/>
          <w:color w:val="3B3D3F"/>
          <w:shd w:val="clear" w:color="auto" w:fill="FFFFFF"/>
        </w:rPr>
        <w:t>p</w:t>
      </w:r>
      <w:r w:rsidRPr="00B6157E">
        <w:rPr>
          <w:rFonts w:cstheme="minorHAnsi"/>
          <w:i/>
          <w:iCs/>
          <w:color w:val="3B3D3F"/>
          <w:shd w:val="clear" w:color="auto" w:fill="FFFFFF"/>
        </w:rPr>
        <w:t>lace-</w:t>
      </w:r>
      <w:r w:rsidR="000C75E6" w:rsidRPr="00B6157E">
        <w:rPr>
          <w:rFonts w:cstheme="minorHAnsi"/>
          <w:i/>
          <w:iCs/>
          <w:color w:val="3B3D3F"/>
          <w:shd w:val="clear" w:color="auto" w:fill="FFFFFF"/>
        </w:rPr>
        <w:t>m</w:t>
      </w:r>
      <w:r w:rsidRPr="00B6157E">
        <w:rPr>
          <w:rFonts w:cstheme="minorHAnsi"/>
          <w:i/>
          <w:iCs/>
          <w:color w:val="3B3D3F"/>
          <w:shd w:val="clear" w:color="auto" w:fill="FFFFFF"/>
        </w:rPr>
        <w:t>aking</w:t>
      </w:r>
      <w:r w:rsidR="003D640C" w:rsidRPr="00B6157E">
        <w:rPr>
          <w:rFonts w:cstheme="minorHAnsi"/>
          <w:i/>
          <w:iCs/>
          <w:color w:val="3B3D3F"/>
          <w:shd w:val="clear" w:color="auto" w:fill="FFFFFF"/>
        </w:rPr>
        <w:t xml:space="preserve"> </w:t>
      </w:r>
      <w:r w:rsidRPr="00B6157E">
        <w:rPr>
          <w:rFonts w:cstheme="minorHAnsi"/>
          <w:i/>
          <w:iCs/>
          <w:color w:val="3B3D3F"/>
          <w:shd w:val="clear" w:color="auto" w:fill="FFFFFF"/>
        </w:rPr>
        <w:t>and</w:t>
      </w:r>
      <w:r w:rsidR="003D640C" w:rsidRPr="00B6157E">
        <w:rPr>
          <w:rFonts w:cstheme="minorHAnsi"/>
          <w:i/>
          <w:iCs/>
          <w:color w:val="3B3D3F"/>
          <w:shd w:val="clear" w:color="auto" w:fill="FFFFFF"/>
        </w:rPr>
        <w:t xml:space="preserve"> </w:t>
      </w:r>
      <w:r w:rsidR="000C75E6" w:rsidRPr="00B6157E">
        <w:rPr>
          <w:rFonts w:cstheme="minorHAnsi"/>
          <w:i/>
          <w:iCs/>
          <w:color w:val="3B3D3F"/>
          <w:shd w:val="clear" w:color="auto" w:fill="FFFFFF"/>
        </w:rPr>
        <w:t>m</w:t>
      </w:r>
      <w:r w:rsidRPr="00B6157E">
        <w:rPr>
          <w:rFonts w:cstheme="minorHAnsi"/>
          <w:i/>
          <w:iCs/>
          <w:color w:val="3B3D3F"/>
          <w:shd w:val="clear" w:color="auto" w:fill="FFFFFF"/>
        </w:rPr>
        <w:t>ultiple</w:t>
      </w:r>
      <w:r w:rsidR="003D640C" w:rsidRPr="00B6157E">
        <w:rPr>
          <w:rFonts w:cstheme="minorHAnsi"/>
          <w:i/>
          <w:iCs/>
          <w:color w:val="3B3D3F"/>
          <w:shd w:val="clear" w:color="auto" w:fill="FFFFFF"/>
        </w:rPr>
        <w:t xml:space="preserve"> </w:t>
      </w:r>
      <w:r w:rsidR="000C75E6" w:rsidRPr="00B6157E">
        <w:rPr>
          <w:rFonts w:cstheme="minorHAnsi"/>
          <w:i/>
          <w:iCs/>
          <w:color w:val="3B3D3F"/>
          <w:shd w:val="clear" w:color="auto" w:fill="FFFFFF"/>
        </w:rPr>
        <w:t>i</w:t>
      </w:r>
      <w:r w:rsidRPr="00B6157E">
        <w:rPr>
          <w:rFonts w:cstheme="minorHAnsi"/>
          <w:i/>
          <w:iCs/>
          <w:color w:val="3B3D3F"/>
          <w:shd w:val="clear" w:color="auto" w:fill="FFFFFF"/>
        </w:rPr>
        <w:t>dentifications</w:t>
      </w:r>
      <w:r w:rsidR="003D640C" w:rsidRPr="00B6157E">
        <w:rPr>
          <w:rFonts w:cstheme="minorHAnsi"/>
          <w:color w:val="3B3D3F"/>
          <w:shd w:val="clear" w:color="auto" w:fill="FFFFFF"/>
        </w:rPr>
        <w:t xml:space="preserve"> </w:t>
      </w:r>
      <w:r w:rsidRPr="00B6157E">
        <w:rPr>
          <w:rFonts w:cstheme="minorHAnsi"/>
          <w:color w:val="3B3D3F"/>
          <w:shd w:val="clear" w:color="auto" w:fill="FFFFFF"/>
        </w:rPr>
        <w:t>(pp.</w:t>
      </w:r>
      <w:r w:rsidR="003D640C" w:rsidRPr="00B6157E">
        <w:rPr>
          <w:rFonts w:cstheme="minorHAnsi"/>
          <w:color w:val="3B3D3F"/>
          <w:shd w:val="clear" w:color="auto" w:fill="FFFFFF"/>
        </w:rPr>
        <w:t xml:space="preserve"> </w:t>
      </w:r>
      <w:r w:rsidRPr="00B6157E">
        <w:rPr>
          <w:rFonts w:cstheme="minorHAnsi"/>
          <w:color w:val="3B3D3F"/>
          <w:shd w:val="clear" w:color="auto" w:fill="FFFFFF"/>
        </w:rPr>
        <w:t>142</w:t>
      </w:r>
      <w:r w:rsidR="000C75E6" w:rsidRPr="00B6157E">
        <w:rPr>
          <w:rFonts w:cstheme="minorHAnsi"/>
          <w:color w:val="3B3D3F"/>
          <w:shd w:val="clear" w:color="auto" w:fill="FFFFFF"/>
        </w:rPr>
        <w:t>–</w:t>
      </w:r>
      <w:r w:rsidRPr="00B6157E">
        <w:rPr>
          <w:rFonts w:cstheme="minorHAnsi"/>
          <w:color w:val="3B3D3F"/>
          <w:shd w:val="clear" w:color="auto" w:fill="FFFFFF"/>
        </w:rPr>
        <w:t>163).</w:t>
      </w:r>
      <w:r w:rsidR="003D640C" w:rsidRPr="00B6157E">
        <w:rPr>
          <w:rFonts w:cstheme="minorHAnsi"/>
          <w:color w:val="3B3D3F"/>
          <w:shd w:val="clear" w:color="auto" w:fill="FFFFFF"/>
        </w:rPr>
        <w:t xml:space="preserve"> </w:t>
      </w:r>
      <w:r w:rsidRPr="00B6157E">
        <w:rPr>
          <w:rFonts w:cstheme="minorHAnsi"/>
          <w:color w:val="3B3D3F"/>
          <w:shd w:val="clear" w:color="auto" w:fill="FFFFFF"/>
        </w:rPr>
        <w:t>Berghahn</w:t>
      </w:r>
      <w:r w:rsidR="000C75E6" w:rsidRPr="00B6157E">
        <w:rPr>
          <w:rFonts w:cstheme="minorHAnsi"/>
          <w:color w:val="3B3D3F"/>
          <w:shd w:val="clear" w:color="auto" w:fill="FFFFFF"/>
        </w:rPr>
        <w:t xml:space="preserve"> Books.</w:t>
      </w:r>
    </w:p>
    <w:p w14:paraId="09EE1E85" w14:textId="36482E53" w:rsidR="002430E0" w:rsidRDefault="00F01386" w:rsidP="005B33A1">
      <w:pPr>
        <w:pStyle w:val="Reference"/>
        <w:rPr>
          <w:rFonts w:ascii="Open Sans" w:hAnsi="Open Sans" w:cs="Open Sans"/>
          <w:color w:val="333333"/>
          <w:sz w:val="20"/>
          <w:szCs w:val="20"/>
        </w:rPr>
      </w:pPr>
      <w:r w:rsidRPr="005B33A1">
        <w:t>Flentje</w:t>
      </w:r>
      <w:r w:rsidRPr="00B6157E">
        <w:t>,</w:t>
      </w:r>
      <w:r w:rsidR="003D640C" w:rsidRPr="00B6157E">
        <w:t xml:space="preserve"> </w:t>
      </w:r>
      <w:r w:rsidRPr="00B6157E">
        <w:t>A.,</w:t>
      </w:r>
      <w:r w:rsidR="003D640C" w:rsidRPr="00B6157E">
        <w:t xml:space="preserve"> </w:t>
      </w:r>
      <w:r w:rsidRPr="00B6157E">
        <w:t>Heck</w:t>
      </w:r>
      <w:r w:rsidRPr="00BB6220">
        <w:t>,</w:t>
      </w:r>
      <w:r w:rsidR="003D640C">
        <w:t xml:space="preserve"> </w:t>
      </w:r>
      <w:r w:rsidRPr="00BB6220">
        <w:t>N.</w:t>
      </w:r>
      <w:r w:rsidR="003D640C">
        <w:t xml:space="preserve"> </w:t>
      </w:r>
      <w:r w:rsidRPr="00BB6220">
        <w:t>C.,</w:t>
      </w:r>
      <w:r w:rsidR="003D640C">
        <w:t xml:space="preserve"> </w:t>
      </w:r>
      <w:r w:rsidRPr="00BB6220">
        <w:t>&amp;</w:t>
      </w:r>
      <w:r w:rsidR="003D640C">
        <w:t xml:space="preserve"> </w:t>
      </w:r>
      <w:r w:rsidRPr="00BB6220">
        <w:t>Cochran,</w:t>
      </w:r>
      <w:r w:rsidR="003D640C">
        <w:t xml:space="preserve"> </w:t>
      </w:r>
      <w:r w:rsidRPr="00BB6220">
        <w:t>B.</w:t>
      </w:r>
      <w:r w:rsidR="003D640C">
        <w:t xml:space="preserve"> </w:t>
      </w:r>
      <w:r w:rsidRPr="00BB6220">
        <w:t>N.</w:t>
      </w:r>
      <w:r w:rsidR="003D640C">
        <w:t xml:space="preserve"> </w:t>
      </w:r>
      <w:r w:rsidRPr="00BB6220">
        <w:t>(2014).</w:t>
      </w:r>
      <w:r w:rsidR="003D640C">
        <w:t xml:space="preserve"> </w:t>
      </w:r>
      <w:r w:rsidRPr="00BB6220">
        <w:t>Experiences</w:t>
      </w:r>
      <w:r w:rsidR="003D640C">
        <w:t xml:space="preserve"> </w:t>
      </w:r>
      <w:r w:rsidRPr="00BB6220">
        <w:t>of</w:t>
      </w:r>
      <w:r w:rsidR="003D640C">
        <w:t xml:space="preserve"> </w:t>
      </w:r>
      <w:r w:rsidRPr="00BB6220">
        <w:t>ex-ex-gay</w:t>
      </w:r>
      <w:r w:rsidR="003D640C">
        <w:t xml:space="preserve"> </w:t>
      </w:r>
      <w:r w:rsidRPr="00BB6220">
        <w:t>individuals</w:t>
      </w:r>
      <w:r w:rsidR="003D640C">
        <w:t xml:space="preserve"> </w:t>
      </w:r>
      <w:r w:rsidRPr="00BB6220">
        <w:t>in</w:t>
      </w:r>
      <w:r w:rsidR="003D640C">
        <w:t xml:space="preserve"> </w:t>
      </w:r>
      <w:r w:rsidRPr="00BB6220">
        <w:t>sexual</w:t>
      </w:r>
      <w:r w:rsidR="003D640C">
        <w:t xml:space="preserve"> </w:t>
      </w:r>
      <w:r w:rsidRPr="00BB6220">
        <w:t>reorientation</w:t>
      </w:r>
      <w:r w:rsidR="003D640C">
        <w:t xml:space="preserve"> </w:t>
      </w:r>
      <w:r w:rsidRPr="00BB6220">
        <w:t>therapy:</w:t>
      </w:r>
      <w:r w:rsidR="003D640C">
        <w:t xml:space="preserve"> </w:t>
      </w:r>
      <w:r w:rsidR="003D0CB2">
        <w:t>R</w:t>
      </w:r>
      <w:r w:rsidRPr="00BB6220">
        <w:t>easons</w:t>
      </w:r>
      <w:r w:rsidR="003D640C">
        <w:t xml:space="preserve"> </w:t>
      </w:r>
      <w:r w:rsidRPr="00BB6220">
        <w:t>for</w:t>
      </w:r>
      <w:r w:rsidR="003D640C">
        <w:t xml:space="preserve"> </w:t>
      </w:r>
      <w:r w:rsidRPr="00BB6220">
        <w:t>seeking</w:t>
      </w:r>
      <w:r w:rsidR="003D640C">
        <w:t xml:space="preserve"> </w:t>
      </w:r>
      <w:r w:rsidRPr="00BB6220">
        <w:t>treatment,</w:t>
      </w:r>
      <w:r w:rsidR="003D640C">
        <w:t xml:space="preserve"> </w:t>
      </w:r>
      <w:r w:rsidRPr="00BB6220">
        <w:t>perceived</w:t>
      </w:r>
      <w:r w:rsidR="003D640C">
        <w:t xml:space="preserve"> </w:t>
      </w:r>
      <w:r w:rsidRPr="00BB6220">
        <w:t>helpfulness</w:t>
      </w:r>
      <w:r w:rsidR="003D640C">
        <w:t xml:space="preserve"> </w:t>
      </w:r>
      <w:r w:rsidRPr="00BB6220">
        <w:t>and</w:t>
      </w:r>
      <w:r w:rsidR="003D640C">
        <w:t xml:space="preserve"> </w:t>
      </w:r>
      <w:r w:rsidRPr="00BB6220">
        <w:t>harmfulness</w:t>
      </w:r>
      <w:r w:rsidR="003D640C">
        <w:t xml:space="preserve"> </w:t>
      </w:r>
      <w:r w:rsidRPr="00BB6220">
        <w:t>of</w:t>
      </w:r>
      <w:r w:rsidR="003D640C">
        <w:t xml:space="preserve"> </w:t>
      </w:r>
      <w:r w:rsidRPr="00BB6220">
        <w:t>treatment,</w:t>
      </w:r>
      <w:r w:rsidR="003D640C">
        <w:t xml:space="preserve"> </w:t>
      </w:r>
      <w:r w:rsidRPr="00BB6220">
        <w:t>and</w:t>
      </w:r>
      <w:r w:rsidR="003D640C">
        <w:t xml:space="preserve"> </w:t>
      </w:r>
      <w:r w:rsidRPr="00BB6220">
        <w:t>post-treatment</w:t>
      </w:r>
      <w:r w:rsidR="003D640C">
        <w:t xml:space="preserve"> </w:t>
      </w:r>
      <w:r w:rsidRPr="00BB6220">
        <w:t>identification.</w:t>
      </w:r>
      <w:r w:rsidR="003D0CB2">
        <w:t xml:space="preserve"> </w:t>
      </w:r>
      <w:r w:rsidR="003D0CB2">
        <w:rPr>
          <w:i/>
          <w:iCs/>
        </w:rPr>
        <w:t>Journal of Homosexuality</w:t>
      </w:r>
      <w:r w:rsidR="003D0CB2">
        <w:t xml:space="preserve">, </w:t>
      </w:r>
      <w:r w:rsidR="003D0CB2">
        <w:rPr>
          <w:i/>
          <w:iCs/>
        </w:rPr>
        <w:t>61</w:t>
      </w:r>
      <w:r w:rsidR="003D0CB2">
        <w:t>(9), 1242–1268</w:t>
      </w:r>
      <w:r w:rsidRPr="00BB6220">
        <w:t>.</w:t>
      </w:r>
      <w:r w:rsidR="003D640C">
        <w:t xml:space="preserve"> </w:t>
      </w:r>
      <w:hyperlink r:id="rId53" w:history="1">
        <w:r w:rsidR="00B6157E" w:rsidRPr="005B33A1">
          <w:rPr>
            <w:rStyle w:val="Hyperlink"/>
          </w:rPr>
          <w:t>https://doi.org/10.1080/00918369.2014.926763</w:t>
        </w:r>
      </w:hyperlink>
      <w:r w:rsidR="00B6157E">
        <w:t xml:space="preserve">  </w:t>
      </w:r>
    </w:p>
    <w:p w14:paraId="4FD95DAB" w14:textId="0D7D1AF5" w:rsidR="00B8030D" w:rsidRPr="00B6157E" w:rsidRDefault="00F01386" w:rsidP="00E00167">
      <w:pPr>
        <w:pStyle w:val="Reference"/>
      </w:pPr>
      <w:r w:rsidRPr="005B33A1">
        <w:t>Fountain</w:t>
      </w:r>
      <w:r w:rsidRPr="00B6157E">
        <w:t>,</w:t>
      </w:r>
      <w:r w:rsidR="003D640C" w:rsidRPr="00B6157E">
        <w:t xml:space="preserve"> </w:t>
      </w:r>
      <w:r w:rsidRPr="00B6157E">
        <w:t>P</w:t>
      </w:r>
      <w:r w:rsidR="00F4312C" w:rsidRPr="00B6157E">
        <w:t>.,</w:t>
      </w:r>
      <w:r w:rsidR="003D640C" w:rsidRPr="00B6157E">
        <w:t xml:space="preserve"> </w:t>
      </w:r>
      <w:r w:rsidR="00F4312C" w:rsidRPr="00B6157E">
        <w:t>&amp;</w:t>
      </w:r>
      <w:r w:rsidR="003D640C" w:rsidRPr="00B6157E">
        <w:t xml:space="preserve"> </w:t>
      </w:r>
      <w:r w:rsidRPr="00B6157E">
        <w:t>Troughton,</w:t>
      </w:r>
      <w:r w:rsidR="003D640C" w:rsidRPr="00B6157E">
        <w:t xml:space="preserve"> </w:t>
      </w:r>
      <w:r w:rsidRPr="00B6157E">
        <w:t>G.</w:t>
      </w:r>
      <w:r w:rsidR="003D640C" w:rsidRPr="00B6157E">
        <w:t xml:space="preserve"> </w:t>
      </w:r>
      <w:r w:rsidRPr="00B6157E">
        <w:t>(2019)</w:t>
      </w:r>
      <w:r w:rsidR="00F4312C" w:rsidRPr="00B6157E">
        <w:t>.</w:t>
      </w:r>
      <w:r w:rsidR="003D640C" w:rsidRPr="00B6157E">
        <w:t xml:space="preserve"> </w:t>
      </w:r>
      <w:r w:rsidRPr="00B6157E">
        <w:t>Christianity</w:t>
      </w:r>
      <w:r w:rsidR="003D640C" w:rsidRPr="00B6157E">
        <w:t xml:space="preserve"> </w:t>
      </w:r>
      <w:r w:rsidRPr="00B6157E">
        <w:t>and</w:t>
      </w:r>
      <w:r w:rsidR="003D640C" w:rsidRPr="00B6157E">
        <w:t xml:space="preserve"> </w:t>
      </w:r>
      <w:r w:rsidR="00F4312C" w:rsidRPr="00B6157E">
        <w:t>d</w:t>
      </w:r>
      <w:r w:rsidRPr="00B6157E">
        <w:t>evelopment</w:t>
      </w:r>
      <w:r w:rsidR="003D640C" w:rsidRPr="00B6157E">
        <w:t xml:space="preserve"> </w:t>
      </w:r>
      <w:r w:rsidRPr="00B6157E">
        <w:t>in</w:t>
      </w:r>
      <w:r w:rsidR="003D640C" w:rsidRPr="00B6157E">
        <w:t xml:space="preserve"> </w:t>
      </w:r>
      <w:r w:rsidRPr="00B6157E">
        <w:t>the</w:t>
      </w:r>
      <w:r w:rsidR="003D640C" w:rsidRPr="00B6157E">
        <w:t xml:space="preserve"> </w:t>
      </w:r>
      <w:r w:rsidRPr="00B6157E">
        <w:t>Pacific:</w:t>
      </w:r>
      <w:r w:rsidR="003D640C" w:rsidRPr="00B6157E">
        <w:t xml:space="preserve"> </w:t>
      </w:r>
      <w:r w:rsidRPr="00B6157E">
        <w:t>An</w:t>
      </w:r>
      <w:r w:rsidR="003D640C" w:rsidRPr="00B6157E">
        <w:t xml:space="preserve"> </w:t>
      </w:r>
      <w:r w:rsidR="00F4312C" w:rsidRPr="00B6157E">
        <w:t>i</w:t>
      </w:r>
      <w:r w:rsidRPr="00B6157E">
        <w:t>ntroduction.</w:t>
      </w:r>
      <w:r w:rsidR="003D640C" w:rsidRPr="00B6157E">
        <w:t xml:space="preserve"> </w:t>
      </w:r>
      <w:r w:rsidRPr="00B6157E">
        <w:rPr>
          <w:i/>
          <w:iCs/>
        </w:rPr>
        <w:t>Sites:</w:t>
      </w:r>
      <w:r w:rsidR="003D640C" w:rsidRPr="00B6157E">
        <w:rPr>
          <w:i/>
          <w:iCs/>
        </w:rPr>
        <w:t xml:space="preserve"> </w:t>
      </w:r>
      <w:r w:rsidR="00F4312C" w:rsidRPr="00B6157E">
        <w:rPr>
          <w:i/>
          <w:iCs/>
        </w:rPr>
        <w:t>A Journal of Social Anthropology and Cultural Studies,</w:t>
      </w:r>
      <w:r w:rsidR="003D640C" w:rsidRPr="00B6157E">
        <w:t xml:space="preserve"> </w:t>
      </w:r>
      <w:r w:rsidRPr="00B6157E">
        <w:rPr>
          <w:i/>
          <w:iCs/>
        </w:rPr>
        <w:t>16</w:t>
      </w:r>
      <w:r w:rsidRPr="00B6157E">
        <w:t>(1).</w:t>
      </w:r>
      <w:r w:rsidR="003D640C" w:rsidRPr="00B6157E">
        <w:t xml:space="preserve"> </w:t>
      </w:r>
      <w:r w:rsidR="00F4312C" w:rsidRPr="00B6157E">
        <w:t xml:space="preserve"> </w:t>
      </w:r>
      <w:hyperlink r:id="rId54" w:history="1">
        <w:r w:rsidR="00B6157E" w:rsidRPr="005B33A1">
          <w:rPr>
            <w:rStyle w:val="Hyperlink"/>
          </w:rPr>
          <w:t>https://doi.org/10.11157/sites-id435</w:t>
        </w:r>
      </w:hyperlink>
      <w:r w:rsidR="00B6157E" w:rsidRPr="00B6157E">
        <w:t xml:space="preserve">  </w:t>
      </w:r>
    </w:p>
    <w:p w14:paraId="67AF8E3A" w14:textId="35E63F0A" w:rsidR="00F01386" w:rsidRPr="00B6157E" w:rsidRDefault="00F01386" w:rsidP="00E00167">
      <w:pPr>
        <w:pStyle w:val="Reference"/>
      </w:pPr>
      <w:r w:rsidRPr="005B33A1">
        <w:lastRenderedPageBreak/>
        <w:t>Glassgold</w:t>
      </w:r>
      <w:r w:rsidRPr="00B6157E">
        <w:t>,</w:t>
      </w:r>
      <w:r w:rsidR="003D640C" w:rsidRPr="00B6157E">
        <w:t xml:space="preserve"> </w:t>
      </w:r>
      <w:r w:rsidRPr="00B6157E">
        <w:t>J.</w:t>
      </w:r>
      <w:r w:rsidR="003D640C" w:rsidRPr="00B6157E">
        <w:t xml:space="preserve"> </w:t>
      </w:r>
      <w:r w:rsidRPr="00B6157E">
        <w:t>M.</w:t>
      </w:r>
      <w:r w:rsidR="003D640C" w:rsidRPr="00B6157E">
        <w:t xml:space="preserve"> </w:t>
      </w:r>
      <w:r w:rsidRPr="00B6157E">
        <w:t>(2022).</w:t>
      </w:r>
      <w:r w:rsidR="003D640C" w:rsidRPr="00B6157E">
        <w:t xml:space="preserve"> </w:t>
      </w:r>
      <w:r w:rsidRPr="00B6157E">
        <w:t>Research</w:t>
      </w:r>
      <w:r w:rsidR="003D640C" w:rsidRPr="00B6157E">
        <w:t xml:space="preserve"> </w:t>
      </w:r>
      <w:r w:rsidRPr="00B6157E">
        <w:t>on</w:t>
      </w:r>
      <w:r w:rsidR="003D640C" w:rsidRPr="00B6157E">
        <w:t xml:space="preserve"> </w:t>
      </w:r>
      <w:r w:rsidRPr="00B6157E">
        <w:t>sexual</w:t>
      </w:r>
      <w:r w:rsidR="003D640C" w:rsidRPr="00B6157E">
        <w:t xml:space="preserve"> </w:t>
      </w:r>
      <w:r w:rsidRPr="00B6157E">
        <w:t>orientation</w:t>
      </w:r>
      <w:r w:rsidR="003D640C" w:rsidRPr="00B6157E">
        <w:t xml:space="preserve"> </w:t>
      </w:r>
      <w:r w:rsidRPr="00B6157E">
        <w:t>change</w:t>
      </w:r>
      <w:r w:rsidR="003D640C" w:rsidRPr="00B6157E">
        <w:t xml:space="preserve"> </w:t>
      </w:r>
      <w:r w:rsidRPr="00B6157E">
        <w:t>efforts:</w:t>
      </w:r>
      <w:r w:rsidR="003D640C" w:rsidRPr="00B6157E">
        <w:t xml:space="preserve"> </w:t>
      </w:r>
      <w:r w:rsidR="003D0CB2" w:rsidRPr="00B6157E">
        <w:t>A</w:t>
      </w:r>
      <w:r w:rsidR="003D640C" w:rsidRPr="00B6157E">
        <w:t xml:space="preserve"> </w:t>
      </w:r>
      <w:r w:rsidRPr="00B6157E">
        <w:t>summary.</w:t>
      </w:r>
      <w:r w:rsidR="003D640C" w:rsidRPr="00B6157E">
        <w:t xml:space="preserve"> </w:t>
      </w:r>
      <w:r w:rsidRPr="00B6157E">
        <w:t>In</w:t>
      </w:r>
      <w:r w:rsidR="003D640C" w:rsidRPr="00B6157E">
        <w:t xml:space="preserve"> </w:t>
      </w:r>
      <w:r w:rsidRPr="00B6157E">
        <w:t>D.</w:t>
      </w:r>
      <w:r w:rsidR="003D640C" w:rsidRPr="00B6157E">
        <w:t xml:space="preserve"> </w:t>
      </w:r>
      <w:r w:rsidRPr="00B6157E">
        <w:t>C.</w:t>
      </w:r>
      <w:r w:rsidR="003D640C" w:rsidRPr="00B6157E">
        <w:t xml:space="preserve"> </w:t>
      </w:r>
      <w:r w:rsidRPr="00B6157E">
        <w:t>Haldeman</w:t>
      </w:r>
      <w:r w:rsidR="003D640C" w:rsidRPr="00B6157E">
        <w:t xml:space="preserve"> </w:t>
      </w:r>
      <w:r w:rsidRPr="00B6157E">
        <w:t>(Ed.),</w:t>
      </w:r>
      <w:r w:rsidR="003D640C" w:rsidRPr="00B6157E">
        <w:t xml:space="preserve"> </w:t>
      </w:r>
      <w:r w:rsidRPr="00B6157E">
        <w:rPr>
          <w:i/>
          <w:iCs/>
        </w:rPr>
        <w:t>The</w:t>
      </w:r>
      <w:r w:rsidR="003D640C" w:rsidRPr="00B6157E">
        <w:rPr>
          <w:i/>
          <w:iCs/>
        </w:rPr>
        <w:t xml:space="preserve"> </w:t>
      </w:r>
      <w:r w:rsidRPr="00B6157E">
        <w:rPr>
          <w:i/>
          <w:iCs/>
        </w:rPr>
        <w:t>case</w:t>
      </w:r>
      <w:r w:rsidR="003D640C" w:rsidRPr="00B6157E">
        <w:rPr>
          <w:i/>
          <w:iCs/>
        </w:rPr>
        <w:t xml:space="preserve"> </w:t>
      </w:r>
      <w:r w:rsidRPr="00B6157E">
        <w:rPr>
          <w:i/>
          <w:iCs/>
        </w:rPr>
        <w:t>against</w:t>
      </w:r>
      <w:r w:rsidR="003D640C" w:rsidRPr="00B6157E">
        <w:rPr>
          <w:i/>
          <w:iCs/>
        </w:rPr>
        <w:t xml:space="preserve"> </w:t>
      </w:r>
      <w:r w:rsidRPr="00B6157E">
        <w:rPr>
          <w:i/>
          <w:iCs/>
        </w:rPr>
        <w:t>conversion</w:t>
      </w:r>
      <w:r w:rsidR="003D640C" w:rsidRPr="00B6157E">
        <w:rPr>
          <w:i/>
          <w:iCs/>
        </w:rPr>
        <w:t xml:space="preserve"> </w:t>
      </w:r>
      <w:r w:rsidRPr="00B6157E">
        <w:rPr>
          <w:i/>
          <w:iCs/>
        </w:rPr>
        <w:t>“therapy”:</w:t>
      </w:r>
      <w:r w:rsidR="003D640C" w:rsidRPr="00B6157E">
        <w:rPr>
          <w:i/>
          <w:iCs/>
        </w:rPr>
        <w:t xml:space="preserve"> </w:t>
      </w:r>
      <w:r w:rsidRPr="00B6157E">
        <w:rPr>
          <w:i/>
          <w:iCs/>
        </w:rPr>
        <w:t>Evidence,</w:t>
      </w:r>
      <w:r w:rsidR="003D640C" w:rsidRPr="00B6157E">
        <w:rPr>
          <w:i/>
          <w:iCs/>
        </w:rPr>
        <w:t xml:space="preserve"> </w:t>
      </w:r>
      <w:r w:rsidRPr="00B6157E">
        <w:rPr>
          <w:i/>
          <w:iCs/>
        </w:rPr>
        <w:t>ethics,</w:t>
      </w:r>
      <w:r w:rsidR="003D640C" w:rsidRPr="00B6157E">
        <w:rPr>
          <w:i/>
          <w:iCs/>
        </w:rPr>
        <w:t xml:space="preserve"> </w:t>
      </w:r>
      <w:r w:rsidRPr="00B6157E">
        <w:rPr>
          <w:i/>
          <w:iCs/>
        </w:rPr>
        <w:t>and</w:t>
      </w:r>
      <w:r w:rsidR="003D640C" w:rsidRPr="00B6157E">
        <w:rPr>
          <w:i/>
          <w:iCs/>
        </w:rPr>
        <w:t xml:space="preserve"> </w:t>
      </w:r>
      <w:r w:rsidRPr="00B6157E">
        <w:rPr>
          <w:i/>
          <w:iCs/>
        </w:rPr>
        <w:t>alternatives</w:t>
      </w:r>
      <w:r w:rsidR="003D640C" w:rsidRPr="00B6157E">
        <w:t xml:space="preserve"> </w:t>
      </w:r>
      <w:r w:rsidRPr="00B6157E">
        <w:t>(pp.</w:t>
      </w:r>
      <w:r w:rsidR="003D640C" w:rsidRPr="00B6157E">
        <w:t xml:space="preserve"> </w:t>
      </w:r>
      <w:r w:rsidRPr="00B6157E">
        <w:t>19–50).</w:t>
      </w:r>
      <w:r w:rsidR="003D640C" w:rsidRPr="00B6157E">
        <w:t xml:space="preserve"> </w:t>
      </w:r>
      <w:r w:rsidRPr="00B6157E">
        <w:t>American</w:t>
      </w:r>
      <w:r w:rsidR="003D640C" w:rsidRPr="00B6157E">
        <w:t xml:space="preserve"> </w:t>
      </w:r>
      <w:r w:rsidRPr="00B6157E">
        <w:t>Psychological</w:t>
      </w:r>
      <w:r w:rsidR="003D640C" w:rsidRPr="00B6157E">
        <w:t xml:space="preserve"> </w:t>
      </w:r>
      <w:r w:rsidRPr="00B6157E">
        <w:t>Association.</w:t>
      </w:r>
      <w:r w:rsidR="003D640C" w:rsidRPr="00B6157E">
        <w:t xml:space="preserve"> </w:t>
      </w:r>
      <w:hyperlink r:id="rId55" w:history="1">
        <w:r w:rsidR="00B8030D" w:rsidRPr="00B6157E">
          <w:rPr>
            <w:rStyle w:val="Hyperlink"/>
          </w:rPr>
          <w:t>https://doi.org/10.1037/0000266-002</w:t>
        </w:r>
      </w:hyperlink>
      <w:r w:rsidR="00B8030D" w:rsidRPr="00B6157E">
        <w:t xml:space="preserve"> </w:t>
      </w:r>
    </w:p>
    <w:p w14:paraId="54F04181" w14:textId="64475641" w:rsidR="00F01386" w:rsidRPr="00B6157E" w:rsidRDefault="00F01386" w:rsidP="00E00167">
      <w:pPr>
        <w:pStyle w:val="Reference"/>
      </w:pPr>
      <w:r w:rsidRPr="005B33A1">
        <w:t>Glassgold</w:t>
      </w:r>
      <w:r w:rsidRPr="00B6157E">
        <w:t>,</w:t>
      </w:r>
      <w:r w:rsidR="003D640C" w:rsidRPr="00B6157E">
        <w:t xml:space="preserve"> </w:t>
      </w:r>
      <w:r w:rsidRPr="00B6157E">
        <w:t>J.</w:t>
      </w:r>
      <w:r w:rsidR="003D640C" w:rsidRPr="00B6157E">
        <w:t xml:space="preserve"> </w:t>
      </w:r>
      <w:r w:rsidRPr="00B6157E">
        <w:t>M.</w:t>
      </w:r>
      <w:r w:rsidR="003D0CB2" w:rsidRPr="00B6157E">
        <w:t>,</w:t>
      </w:r>
      <w:r w:rsidR="003D640C" w:rsidRPr="00B6157E">
        <w:t xml:space="preserve"> </w:t>
      </w:r>
      <w:r w:rsidRPr="00B6157E">
        <w:t>&amp;</w:t>
      </w:r>
      <w:r w:rsidR="003D640C" w:rsidRPr="00B6157E">
        <w:t xml:space="preserve"> </w:t>
      </w:r>
      <w:r w:rsidRPr="00B6157E">
        <w:t>Ryan,</w:t>
      </w:r>
      <w:r w:rsidR="003D640C" w:rsidRPr="00B6157E">
        <w:t xml:space="preserve"> </w:t>
      </w:r>
      <w:r w:rsidRPr="00B6157E">
        <w:t>C.</w:t>
      </w:r>
      <w:r w:rsidR="003D640C" w:rsidRPr="00B6157E">
        <w:t xml:space="preserve"> </w:t>
      </w:r>
      <w:r w:rsidRPr="00B6157E">
        <w:t>(2022).</w:t>
      </w:r>
      <w:r w:rsidR="003D640C" w:rsidRPr="00B6157E">
        <w:t xml:space="preserve"> </w:t>
      </w:r>
      <w:r w:rsidRPr="00B6157E">
        <w:t>The</w:t>
      </w:r>
      <w:r w:rsidR="003D640C" w:rsidRPr="00B6157E">
        <w:t xml:space="preserve"> </w:t>
      </w:r>
      <w:r w:rsidRPr="00B6157E">
        <w:t>role</w:t>
      </w:r>
      <w:r w:rsidR="003D640C" w:rsidRPr="00B6157E">
        <w:t xml:space="preserve"> </w:t>
      </w:r>
      <w:r w:rsidRPr="00B6157E">
        <w:t>of</w:t>
      </w:r>
      <w:r w:rsidR="003D640C" w:rsidRPr="00B6157E">
        <w:t xml:space="preserve"> </w:t>
      </w:r>
      <w:r w:rsidRPr="00B6157E">
        <w:t>families</w:t>
      </w:r>
      <w:r w:rsidR="003D640C" w:rsidRPr="00B6157E">
        <w:t xml:space="preserve"> </w:t>
      </w:r>
      <w:r w:rsidRPr="00B6157E">
        <w:t>in</w:t>
      </w:r>
      <w:r w:rsidR="003D640C" w:rsidRPr="00B6157E">
        <w:t xml:space="preserve"> </w:t>
      </w:r>
      <w:r w:rsidRPr="00B6157E">
        <w:t>efforts</w:t>
      </w:r>
      <w:r w:rsidR="003D640C" w:rsidRPr="00B6157E">
        <w:t xml:space="preserve"> </w:t>
      </w:r>
      <w:r w:rsidRPr="00B6157E">
        <w:t>to</w:t>
      </w:r>
      <w:r w:rsidR="003D640C" w:rsidRPr="00B6157E">
        <w:t xml:space="preserve"> </w:t>
      </w:r>
      <w:r w:rsidRPr="00B6157E">
        <w:t>change,</w:t>
      </w:r>
      <w:r w:rsidR="003D640C" w:rsidRPr="00B6157E">
        <w:t xml:space="preserve"> </w:t>
      </w:r>
      <w:r w:rsidRPr="00B6157E">
        <w:t>support,</w:t>
      </w:r>
      <w:r w:rsidR="003D640C" w:rsidRPr="00B6157E">
        <w:t xml:space="preserve"> </w:t>
      </w:r>
      <w:r w:rsidRPr="00B6157E">
        <w:t>and</w:t>
      </w:r>
      <w:r w:rsidR="003D640C" w:rsidRPr="00B6157E">
        <w:t xml:space="preserve"> </w:t>
      </w:r>
      <w:r w:rsidRPr="00B6157E">
        <w:t>affirm</w:t>
      </w:r>
      <w:r w:rsidR="003D640C" w:rsidRPr="00B6157E">
        <w:t xml:space="preserve"> </w:t>
      </w:r>
      <w:r w:rsidRPr="00B6157E">
        <w:t>sexual</w:t>
      </w:r>
      <w:r w:rsidR="003D640C" w:rsidRPr="00B6157E">
        <w:t xml:space="preserve"> </w:t>
      </w:r>
      <w:r w:rsidRPr="00B6157E">
        <w:t>orientation,</w:t>
      </w:r>
      <w:r w:rsidR="003D640C" w:rsidRPr="00B6157E">
        <w:t xml:space="preserve"> </w:t>
      </w:r>
      <w:r w:rsidRPr="00B6157E">
        <w:t>gender</w:t>
      </w:r>
      <w:r w:rsidR="003D640C" w:rsidRPr="00B6157E">
        <w:t xml:space="preserve"> </w:t>
      </w:r>
      <w:r w:rsidRPr="00B6157E">
        <w:t>identity,</w:t>
      </w:r>
      <w:r w:rsidR="003D640C" w:rsidRPr="00B6157E">
        <w:t xml:space="preserve"> </w:t>
      </w:r>
      <w:r w:rsidRPr="00B6157E">
        <w:t>and</w:t>
      </w:r>
      <w:r w:rsidR="003D640C" w:rsidRPr="00B6157E">
        <w:t xml:space="preserve"> </w:t>
      </w:r>
      <w:r w:rsidRPr="00B6157E">
        <w:t>expression</w:t>
      </w:r>
      <w:r w:rsidR="003D640C" w:rsidRPr="00B6157E">
        <w:t xml:space="preserve"> </w:t>
      </w:r>
      <w:r w:rsidRPr="00B6157E">
        <w:t>in</w:t>
      </w:r>
      <w:r w:rsidR="003D640C" w:rsidRPr="00B6157E">
        <w:t xml:space="preserve"> </w:t>
      </w:r>
      <w:r w:rsidRPr="00B6157E">
        <w:t>children</w:t>
      </w:r>
      <w:r w:rsidR="003D640C" w:rsidRPr="00B6157E">
        <w:t xml:space="preserve"> </w:t>
      </w:r>
      <w:r w:rsidRPr="00B6157E">
        <w:t>and</w:t>
      </w:r>
      <w:r w:rsidR="003D640C" w:rsidRPr="00B6157E">
        <w:t xml:space="preserve"> </w:t>
      </w:r>
      <w:r w:rsidRPr="00B6157E">
        <w:t>youth.</w:t>
      </w:r>
      <w:r w:rsidR="003D640C" w:rsidRPr="00B6157E">
        <w:t xml:space="preserve"> </w:t>
      </w:r>
      <w:r w:rsidRPr="00B6157E">
        <w:t>In</w:t>
      </w:r>
      <w:r w:rsidR="003D640C" w:rsidRPr="00B6157E">
        <w:t xml:space="preserve"> </w:t>
      </w:r>
      <w:r w:rsidRPr="00B6157E">
        <w:t>D.</w:t>
      </w:r>
      <w:r w:rsidR="003D640C" w:rsidRPr="00B6157E">
        <w:t xml:space="preserve"> </w:t>
      </w:r>
      <w:r w:rsidRPr="00B6157E">
        <w:t>C.</w:t>
      </w:r>
      <w:r w:rsidR="003D640C" w:rsidRPr="00B6157E">
        <w:t xml:space="preserve"> </w:t>
      </w:r>
      <w:r w:rsidRPr="00B6157E">
        <w:t>Haldeman</w:t>
      </w:r>
      <w:r w:rsidR="003D640C" w:rsidRPr="00B6157E">
        <w:t xml:space="preserve"> </w:t>
      </w:r>
      <w:r w:rsidRPr="00B6157E">
        <w:t>(Ed.),</w:t>
      </w:r>
      <w:r w:rsidR="003D640C" w:rsidRPr="00B6157E">
        <w:t xml:space="preserve"> </w:t>
      </w:r>
      <w:r w:rsidRPr="00B6157E">
        <w:rPr>
          <w:i/>
          <w:iCs/>
        </w:rPr>
        <w:t>The</w:t>
      </w:r>
      <w:r w:rsidR="003D640C" w:rsidRPr="00B6157E">
        <w:rPr>
          <w:i/>
          <w:iCs/>
        </w:rPr>
        <w:t xml:space="preserve"> </w:t>
      </w:r>
      <w:r w:rsidRPr="00B6157E">
        <w:rPr>
          <w:i/>
          <w:iCs/>
        </w:rPr>
        <w:t>case</w:t>
      </w:r>
      <w:r w:rsidR="003D640C" w:rsidRPr="00B6157E">
        <w:rPr>
          <w:i/>
          <w:iCs/>
        </w:rPr>
        <w:t xml:space="preserve"> </w:t>
      </w:r>
      <w:r w:rsidRPr="00B6157E">
        <w:rPr>
          <w:i/>
          <w:iCs/>
        </w:rPr>
        <w:t>against</w:t>
      </w:r>
      <w:r w:rsidR="003D640C" w:rsidRPr="00B6157E">
        <w:rPr>
          <w:i/>
          <w:iCs/>
        </w:rPr>
        <w:t xml:space="preserve"> </w:t>
      </w:r>
      <w:r w:rsidRPr="00B6157E">
        <w:rPr>
          <w:i/>
          <w:iCs/>
        </w:rPr>
        <w:t>conversion</w:t>
      </w:r>
      <w:r w:rsidR="003D640C" w:rsidRPr="00B6157E">
        <w:rPr>
          <w:i/>
          <w:iCs/>
        </w:rPr>
        <w:t xml:space="preserve"> </w:t>
      </w:r>
      <w:r w:rsidRPr="00B6157E">
        <w:rPr>
          <w:i/>
          <w:iCs/>
        </w:rPr>
        <w:t>“therapy”:</w:t>
      </w:r>
      <w:r w:rsidR="003D640C" w:rsidRPr="00B6157E">
        <w:rPr>
          <w:i/>
          <w:iCs/>
        </w:rPr>
        <w:t xml:space="preserve"> </w:t>
      </w:r>
      <w:r w:rsidRPr="00B6157E">
        <w:rPr>
          <w:i/>
          <w:iCs/>
        </w:rPr>
        <w:t>Evidence,</w:t>
      </w:r>
      <w:r w:rsidR="003D640C" w:rsidRPr="00B6157E">
        <w:rPr>
          <w:i/>
          <w:iCs/>
        </w:rPr>
        <w:t xml:space="preserve"> </w:t>
      </w:r>
      <w:r w:rsidRPr="00B6157E">
        <w:rPr>
          <w:i/>
          <w:iCs/>
        </w:rPr>
        <w:t>ethics,</w:t>
      </w:r>
      <w:r w:rsidR="003D640C" w:rsidRPr="00B6157E">
        <w:rPr>
          <w:i/>
          <w:iCs/>
        </w:rPr>
        <w:t xml:space="preserve"> </w:t>
      </w:r>
      <w:r w:rsidRPr="00B6157E">
        <w:rPr>
          <w:i/>
          <w:iCs/>
        </w:rPr>
        <w:t>and</w:t>
      </w:r>
      <w:r w:rsidR="003D640C" w:rsidRPr="00B6157E">
        <w:rPr>
          <w:i/>
          <w:iCs/>
        </w:rPr>
        <w:t xml:space="preserve"> </w:t>
      </w:r>
      <w:r w:rsidRPr="00B6157E">
        <w:rPr>
          <w:i/>
          <w:iCs/>
        </w:rPr>
        <w:t>alternatives</w:t>
      </w:r>
      <w:r w:rsidR="003D640C" w:rsidRPr="00B6157E">
        <w:rPr>
          <w:i/>
          <w:iCs/>
        </w:rPr>
        <w:t xml:space="preserve"> </w:t>
      </w:r>
      <w:r w:rsidRPr="00B6157E">
        <w:t>(pp.</w:t>
      </w:r>
      <w:r w:rsidR="003D0CB2" w:rsidRPr="00B6157E">
        <w:t xml:space="preserve"> </w:t>
      </w:r>
      <w:r w:rsidRPr="00B6157E">
        <w:t>89</w:t>
      </w:r>
      <w:r w:rsidR="003D0CB2" w:rsidRPr="00B6157E">
        <w:t>–</w:t>
      </w:r>
      <w:r w:rsidRPr="00B6157E">
        <w:t>107).</w:t>
      </w:r>
      <w:r w:rsidR="003D640C" w:rsidRPr="00B6157E">
        <w:t xml:space="preserve"> </w:t>
      </w:r>
      <w:r w:rsidRPr="00B6157E">
        <w:t>American</w:t>
      </w:r>
      <w:r w:rsidR="003D640C" w:rsidRPr="00B6157E">
        <w:t xml:space="preserve"> </w:t>
      </w:r>
      <w:r w:rsidRPr="00B6157E">
        <w:t>Psychological</w:t>
      </w:r>
      <w:r w:rsidR="003D640C" w:rsidRPr="00B6157E">
        <w:t xml:space="preserve"> </w:t>
      </w:r>
      <w:r w:rsidRPr="00B6157E">
        <w:t>Association.</w:t>
      </w:r>
      <w:r w:rsidR="003D640C" w:rsidRPr="00B6157E">
        <w:t xml:space="preserve"> </w:t>
      </w:r>
      <w:hyperlink r:id="rId56" w:history="1">
        <w:r w:rsidR="00B8030D" w:rsidRPr="00B6157E">
          <w:rPr>
            <w:rStyle w:val="Hyperlink"/>
          </w:rPr>
          <w:t>https://doi.org/10.1037/0000266-005</w:t>
        </w:r>
      </w:hyperlink>
      <w:r w:rsidR="00B8030D" w:rsidRPr="00B6157E">
        <w:t xml:space="preserve"> </w:t>
      </w:r>
    </w:p>
    <w:p w14:paraId="4B275741" w14:textId="25663AAE" w:rsidR="00F01386" w:rsidRPr="00B6157E" w:rsidRDefault="00F01386" w:rsidP="00E00167">
      <w:pPr>
        <w:pStyle w:val="Reference"/>
      </w:pPr>
      <w:r w:rsidRPr="005B33A1">
        <w:t>Green</w:t>
      </w:r>
      <w:r w:rsidRPr="00B6157E">
        <w:t>,</w:t>
      </w:r>
      <w:r w:rsidR="003D640C" w:rsidRPr="00B6157E">
        <w:t xml:space="preserve"> </w:t>
      </w:r>
      <w:r w:rsidRPr="00B6157E">
        <w:t>A.</w:t>
      </w:r>
      <w:r w:rsidR="003D640C" w:rsidRPr="00B6157E">
        <w:t xml:space="preserve"> </w:t>
      </w:r>
      <w:r w:rsidRPr="00B6157E">
        <w:t>E.,</w:t>
      </w:r>
      <w:r w:rsidR="003D640C" w:rsidRPr="00B6157E">
        <w:t xml:space="preserve"> </w:t>
      </w:r>
      <w:r w:rsidRPr="00B6157E">
        <w:t>Price-Feeney,</w:t>
      </w:r>
      <w:r w:rsidR="003D640C" w:rsidRPr="00B6157E">
        <w:t xml:space="preserve"> </w:t>
      </w:r>
      <w:r w:rsidRPr="00B6157E">
        <w:t>M.,</w:t>
      </w:r>
      <w:r w:rsidR="003D640C" w:rsidRPr="00B6157E">
        <w:t xml:space="preserve"> </w:t>
      </w:r>
      <w:r w:rsidRPr="00B6157E">
        <w:t>Dorison,</w:t>
      </w:r>
      <w:r w:rsidR="003D640C" w:rsidRPr="00B6157E">
        <w:t xml:space="preserve"> </w:t>
      </w:r>
      <w:r w:rsidRPr="00B6157E">
        <w:t>S.</w:t>
      </w:r>
      <w:r w:rsidR="003D640C" w:rsidRPr="00B6157E">
        <w:t xml:space="preserve"> </w:t>
      </w:r>
      <w:r w:rsidRPr="00B6157E">
        <w:t>H.,</w:t>
      </w:r>
      <w:r w:rsidR="003D640C" w:rsidRPr="00B6157E">
        <w:t xml:space="preserve"> </w:t>
      </w:r>
      <w:r w:rsidRPr="00B6157E">
        <w:t>&amp;</w:t>
      </w:r>
      <w:r w:rsidR="003D640C" w:rsidRPr="00B6157E">
        <w:t xml:space="preserve"> </w:t>
      </w:r>
      <w:r w:rsidRPr="00B6157E">
        <w:t>Pick,</w:t>
      </w:r>
      <w:r w:rsidR="003D640C" w:rsidRPr="00B6157E">
        <w:t xml:space="preserve"> </w:t>
      </w:r>
      <w:r w:rsidRPr="00B6157E">
        <w:t>C.</w:t>
      </w:r>
      <w:r w:rsidR="003D640C" w:rsidRPr="00B6157E">
        <w:t xml:space="preserve"> </w:t>
      </w:r>
      <w:r w:rsidRPr="00B6157E">
        <w:t>J.</w:t>
      </w:r>
      <w:r w:rsidR="003D640C" w:rsidRPr="00B6157E">
        <w:t xml:space="preserve"> </w:t>
      </w:r>
      <w:r w:rsidRPr="00B6157E">
        <w:t>(2020).</w:t>
      </w:r>
      <w:r w:rsidR="003D640C" w:rsidRPr="00B6157E">
        <w:t xml:space="preserve"> </w:t>
      </w:r>
      <w:r w:rsidRPr="00B6157E">
        <w:t>Self-reported</w:t>
      </w:r>
      <w:r w:rsidR="003D640C" w:rsidRPr="00B6157E">
        <w:t xml:space="preserve"> </w:t>
      </w:r>
      <w:r w:rsidRPr="00B6157E">
        <w:t>conversion</w:t>
      </w:r>
      <w:r w:rsidR="003D640C" w:rsidRPr="00B6157E">
        <w:t xml:space="preserve"> </w:t>
      </w:r>
      <w:r w:rsidRPr="00B6157E">
        <w:t>efforts</w:t>
      </w:r>
      <w:r w:rsidR="003D640C" w:rsidRPr="00B6157E">
        <w:t xml:space="preserve"> </w:t>
      </w:r>
      <w:r w:rsidRPr="00B6157E">
        <w:t>and</w:t>
      </w:r>
      <w:r w:rsidR="003D640C" w:rsidRPr="00B6157E">
        <w:t xml:space="preserve"> </w:t>
      </w:r>
      <w:r w:rsidRPr="00B6157E">
        <w:t>suicidality</w:t>
      </w:r>
      <w:r w:rsidR="003D640C" w:rsidRPr="00B6157E">
        <w:t xml:space="preserve"> </w:t>
      </w:r>
      <w:r w:rsidRPr="00B6157E">
        <w:t>among</w:t>
      </w:r>
      <w:r w:rsidR="003D640C" w:rsidRPr="00B6157E">
        <w:t xml:space="preserve"> </w:t>
      </w:r>
      <w:r w:rsidRPr="00B6157E">
        <w:t>US</w:t>
      </w:r>
      <w:r w:rsidR="003D640C" w:rsidRPr="00B6157E">
        <w:t xml:space="preserve"> </w:t>
      </w:r>
      <w:r w:rsidRPr="00B6157E">
        <w:t>LGBTQ</w:t>
      </w:r>
      <w:r w:rsidR="003D640C" w:rsidRPr="00B6157E">
        <w:t xml:space="preserve"> </w:t>
      </w:r>
      <w:r w:rsidRPr="00B6157E">
        <w:t>youths</w:t>
      </w:r>
      <w:r w:rsidR="003D640C" w:rsidRPr="00B6157E">
        <w:t xml:space="preserve"> </w:t>
      </w:r>
      <w:r w:rsidRPr="00B6157E">
        <w:t>and</w:t>
      </w:r>
      <w:r w:rsidR="003D640C" w:rsidRPr="00B6157E">
        <w:t xml:space="preserve"> </w:t>
      </w:r>
      <w:r w:rsidRPr="00B6157E">
        <w:t>young</w:t>
      </w:r>
      <w:r w:rsidR="003D640C" w:rsidRPr="00B6157E">
        <w:t xml:space="preserve"> </w:t>
      </w:r>
      <w:r w:rsidRPr="00B6157E">
        <w:t>adults,</w:t>
      </w:r>
      <w:r w:rsidR="003D640C" w:rsidRPr="00B6157E">
        <w:t xml:space="preserve"> </w:t>
      </w:r>
      <w:r w:rsidRPr="00B6157E">
        <w:t>2018.</w:t>
      </w:r>
      <w:r w:rsidR="003D640C" w:rsidRPr="00B6157E">
        <w:t xml:space="preserve"> </w:t>
      </w:r>
      <w:r w:rsidRPr="00B6157E">
        <w:rPr>
          <w:i/>
          <w:iCs/>
        </w:rPr>
        <w:t>American</w:t>
      </w:r>
      <w:r w:rsidR="003D640C" w:rsidRPr="00B6157E">
        <w:rPr>
          <w:i/>
          <w:iCs/>
        </w:rPr>
        <w:t xml:space="preserve"> </w:t>
      </w:r>
      <w:r w:rsidRPr="00B6157E">
        <w:rPr>
          <w:i/>
          <w:iCs/>
        </w:rPr>
        <w:t>Journal</w:t>
      </w:r>
      <w:r w:rsidR="003D640C" w:rsidRPr="00B6157E">
        <w:rPr>
          <w:i/>
          <w:iCs/>
        </w:rPr>
        <w:t xml:space="preserve"> </w:t>
      </w:r>
      <w:r w:rsidRPr="00B6157E">
        <w:rPr>
          <w:i/>
          <w:iCs/>
        </w:rPr>
        <w:t>of</w:t>
      </w:r>
      <w:r w:rsidR="003D640C" w:rsidRPr="00B6157E">
        <w:rPr>
          <w:i/>
          <w:iCs/>
        </w:rPr>
        <w:t xml:space="preserve"> </w:t>
      </w:r>
      <w:r w:rsidRPr="00B6157E">
        <w:rPr>
          <w:i/>
          <w:iCs/>
        </w:rPr>
        <w:t>Public</w:t>
      </w:r>
      <w:r w:rsidR="003D640C" w:rsidRPr="00B6157E">
        <w:rPr>
          <w:i/>
          <w:iCs/>
        </w:rPr>
        <w:t xml:space="preserve"> </w:t>
      </w:r>
      <w:r w:rsidRPr="00B6157E">
        <w:rPr>
          <w:i/>
          <w:iCs/>
        </w:rPr>
        <w:t>Health,</w:t>
      </w:r>
      <w:r w:rsidR="003D640C" w:rsidRPr="00B6157E">
        <w:rPr>
          <w:i/>
          <w:iCs/>
        </w:rPr>
        <w:t xml:space="preserve"> </w:t>
      </w:r>
      <w:r w:rsidRPr="00B6157E">
        <w:rPr>
          <w:i/>
          <w:iCs/>
        </w:rPr>
        <w:t>110(</w:t>
      </w:r>
      <w:r w:rsidRPr="00B6157E">
        <w:t>8</w:t>
      </w:r>
      <w:r w:rsidRPr="00B6157E">
        <w:rPr>
          <w:i/>
          <w:iCs/>
        </w:rPr>
        <w:t>)</w:t>
      </w:r>
      <w:r w:rsidR="00A74E32" w:rsidRPr="00B6157E">
        <w:t>,</w:t>
      </w:r>
      <w:r w:rsidR="00A74E32" w:rsidRPr="00B6157E">
        <w:rPr>
          <w:i/>
          <w:iCs/>
        </w:rPr>
        <w:t xml:space="preserve"> </w:t>
      </w:r>
      <w:r w:rsidRPr="00B6157E">
        <w:t>1221</w:t>
      </w:r>
      <w:r w:rsidR="00A74E32" w:rsidRPr="00B6157E">
        <w:t>–</w:t>
      </w:r>
      <w:r w:rsidRPr="00B6157E">
        <w:t>1227.</w:t>
      </w:r>
      <w:r w:rsidR="003D640C" w:rsidRPr="00B6157E">
        <w:t xml:space="preserve"> </w:t>
      </w:r>
      <w:hyperlink r:id="rId57" w:history="1">
        <w:r w:rsidR="00B8030D" w:rsidRPr="00B6157E">
          <w:rPr>
            <w:rStyle w:val="Hyperlink"/>
          </w:rPr>
          <w:t>https://doi.org/10.2105/AJPH.2020.305701</w:t>
        </w:r>
      </w:hyperlink>
      <w:r w:rsidR="00B8030D" w:rsidRPr="00B6157E">
        <w:t xml:space="preserve"> </w:t>
      </w:r>
    </w:p>
    <w:p w14:paraId="3F4B305B" w14:textId="64878082" w:rsidR="00F01386" w:rsidRDefault="00F01386" w:rsidP="00E00167">
      <w:pPr>
        <w:pStyle w:val="Reference"/>
        <w:rPr>
          <w:rFonts w:ascii="Calibri" w:hAnsi="Calibri" w:cs="Calibri"/>
        </w:rPr>
      </w:pPr>
      <w:r w:rsidRPr="005B33A1">
        <w:rPr>
          <w:rFonts w:ascii="Calibri" w:hAnsi="Calibri" w:cs="Calibri"/>
        </w:rPr>
        <w:t>Gwyn</w:t>
      </w:r>
      <w:r w:rsidRPr="00B6157E">
        <w:rPr>
          <w:rFonts w:ascii="Calibri" w:hAnsi="Calibri" w:cs="Calibri"/>
        </w:rPr>
        <w:t>,</w:t>
      </w:r>
      <w:r w:rsidR="003D640C" w:rsidRPr="00B6157E">
        <w:rPr>
          <w:rFonts w:ascii="Calibri" w:hAnsi="Calibri" w:cs="Calibri"/>
        </w:rPr>
        <w:t xml:space="preserve"> </w:t>
      </w:r>
      <w:r w:rsidRPr="00B6157E">
        <w:rPr>
          <w:rFonts w:ascii="Calibri" w:hAnsi="Calibri" w:cs="Calibri"/>
        </w:rPr>
        <w:t>C</w:t>
      </w:r>
      <w:r w:rsidRPr="00984D87">
        <w:rPr>
          <w:rFonts w:ascii="Calibri" w:hAnsi="Calibri" w:cs="Calibri"/>
        </w:rPr>
        <w:t>.</w:t>
      </w:r>
      <w:r w:rsidR="003D640C">
        <w:rPr>
          <w:rFonts w:ascii="Calibri" w:hAnsi="Calibri" w:cs="Calibri"/>
        </w:rPr>
        <w:t xml:space="preserve"> </w:t>
      </w:r>
      <w:r w:rsidRPr="00984D87">
        <w:rPr>
          <w:rFonts w:ascii="Calibri" w:hAnsi="Calibri" w:cs="Calibri"/>
        </w:rPr>
        <w:t>(2006</w:t>
      </w:r>
      <w:r w:rsidR="00D427FD">
        <w:rPr>
          <w:rFonts w:ascii="Calibri" w:hAnsi="Calibri" w:cs="Calibri"/>
        </w:rPr>
        <w:t>, August 2</w:t>
      </w:r>
      <w:r w:rsidRPr="00984D87">
        <w:rPr>
          <w:rFonts w:ascii="Calibri" w:hAnsi="Calibri" w:cs="Calibri"/>
        </w:rPr>
        <w:t>).</w:t>
      </w:r>
      <w:r w:rsidR="003D640C">
        <w:rPr>
          <w:rFonts w:ascii="Calibri" w:hAnsi="Calibri" w:cs="Calibri"/>
        </w:rPr>
        <w:t xml:space="preserve"> </w:t>
      </w:r>
      <w:r w:rsidRPr="00984D87">
        <w:rPr>
          <w:rFonts w:ascii="Calibri" w:hAnsi="Calibri" w:cs="Calibri"/>
          <w:i/>
          <w:iCs/>
        </w:rPr>
        <w:t>Crown</w:t>
      </w:r>
      <w:r w:rsidR="003D640C">
        <w:rPr>
          <w:rFonts w:ascii="Calibri" w:hAnsi="Calibri" w:cs="Calibri"/>
          <w:i/>
          <w:iCs/>
        </w:rPr>
        <w:t xml:space="preserve"> </w:t>
      </w:r>
      <w:r w:rsidRPr="00984D87">
        <w:rPr>
          <w:rFonts w:ascii="Calibri" w:hAnsi="Calibri" w:cs="Calibri"/>
          <w:i/>
          <w:iCs/>
        </w:rPr>
        <w:t>Law</w:t>
      </w:r>
      <w:r w:rsidR="003D640C">
        <w:rPr>
          <w:rFonts w:ascii="Calibri" w:hAnsi="Calibri" w:cs="Calibri"/>
          <w:i/>
          <w:iCs/>
        </w:rPr>
        <w:t xml:space="preserve"> </w:t>
      </w:r>
      <w:r w:rsidRPr="00984D87">
        <w:rPr>
          <w:rFonts w:ascii="Calibri" w:hAnsi="Calibri" w:cs="Calibri"/>
          <w:i/>
          <w:iCs/>
        </w:rPr>
        <w:t>opinion</w:t>
      </w:r>
      <w:r w:rsidR="003D640C">
        <w:rPr>
          <w:rFonts w:ascii="Calibri" w:hAnsi="Calibri" w:cs="Calibri"/>
          <w:i/>
          <w:iCs/>
        </w:rPr>
        <w:t xml:space="preserve"> </w:t>
      </w:r>
      <w:r w:rsidRPr="00984D87">
        <w:rPr>
          <w:rFonts w:ascii="Calibri" w:hAnsi="Calibri" w:cs="Calibri"/>
          <w:i/>
          <w:iCs/>
        </w:rPr>
        <w:t>on</w:t>
      </w:r>
      <w:r w:rsidR="003D640C">
        <w:rPr>
          <w:rFonts w:ascii="Calibri" w:hAnsi="Calibri" w:cs="Calibri"/>
          <w:i/>
          <w:iCs/>
        </w:rPr>
        <w:t xml:space="preserve"> </w:t>
      </w:r>
      <w:r w:rsidRPr="00984D87">
        <w:rPr>
          <w:rFonts w:ascii="Calibri" w:hAnsi="Calibri" w:cs="Calibri"/>
          <w:i/>
          <w:iCs/>
        </w:rPr>
        <w:t>transgender</w:t>
      </w:r>
      <w:r w:rsidR="003D640C">
        <w:rPr>
          <w:rFonts w:ascii="Calibri" w:hAnsi="Calibri" w:cs="Calibri"/>
          <w:i/>
          <w:iCs/>
        </w:rPr>
        <w:t xml:space="preserve"> </w:t>
      </w:r>
      <w:r w:rsidRPr="00984D87">
        <w:rPr>
          <w:rFonts w:ascii="Calibri" w:hAnsi="Calibri" w:cs="Calibri"/>
          <w:i/>
          <w:iCs/>
        </w:rPr>
        <w:t>discrimination.</w:t>
      </w:r>
      <w:r w:rsidR="003D640C">
        <w:rPr>
          <w:rFonts w:ascii="Calibri" w:hAnsi="Calibri" w:cs="Calibri"/>
        </w:rPr>
        <w:t xml:space="preserve"> </w:t>
      </w:r>
      <w:hyperlink r:id="rId58" w:history="1">
        <w:r w:rsidR="00D427FD" w:rsidRPr="00B13BFC">
          <w:rPr>
            <w:rStyle w:val="Hyperlink"/>
            <w:rFonts w:ascii="Calibri" w:hAnsi="Calibri" w:cs="Calibri"/>
          </w:rPr>
          <w:t>https://www.beehive.govt.nz/release/crown-law-opinion-transgender-discrimination</w:t>
        </w:r>
      </w:hyperlink>
      <w:r w:rsidR="00D427FD">
        <w:rPr>
          <w:rFonts w:ascii="Calibri" w:hAnsi="Calibri" w:cs="Calibri"/>
        </w:rPr>
        <w:t xml:space="preserve"> </w:t>
      </w:r>
    </w:p>
    <w:p w14:paraId="44AC2394" w14:textId="7D5F50FC" w:rsidR="00795C26" w:rsidRPr="004C557C" w:rsidRDefault="00795C26" w:rsidP="004C557C">
      <w:pPr>
        <w:pStyle w:val="Reference"/>
        <w:rPr>
          <w:rFonts w:ascii="Calibri" w:hAnsi="Calibri" w:cs="Calibri"/>
        </w:rPr>
      </w:pPr>
      <w:r w:rsidRPr="004C557C">
        <w:rPr>
          <w:rFonts w:ascii="Calibri" w:hAnsi="Calibri" w:cs="Calibri"/>
        </w:rPr>
        <w:t>Hartendorp, K. (2019, October 23). What do we really know about gender diversity in te ao Māori?</w:t>
      </w:r>
      <w:r w:rsidR="004C557C">
        <w:rPr>
          <w:rFonts w:ascii="Calibri" w:hAnsi="Calibri" w:cs="Calibri"/>
        </w:rPr>
        <w:t xml:space="preserve"> </w:t>
      </w:r>
      <w:hyperlink r:id="rId59" w:history="1">
        <w:r w:rsidR="004C557C" w:rsidRPr="003479A0">
          <w:rPr>
            <w:rStyle w:val="Hyperlink"/>
            <w:rFonts w:ascii="Calibri" w:hAnsi="Calibri" w:cs="Calibri"/>
          </w:rPr>
          <w:t>https://thespinoff.co.nz/atea/23-10-2019/what-do-we-really-know-about-gender-diversity-in-te-ao-maori</w:t>
        </w:r>
      </w:hyperlink>
      <w:r w:rsidR="004C557C" w:rsidRPr="004C557C">
        <w:rPr>
          <w:rFonts w:ascii="Calibri" w:hAnsi="Calibri" w:cs="Calibri"/>
        </w:rPr>
        <w:t xml:space="preserve"> </w:t>
      </w:r>
    </w:p>
    <w:p w14:paraId="428AE16F" w14:textId="0C9D6390" w:rsidR="00F01386" w:rsidRPr="00B6157E" w:rsidRDefault="00F01386" w:rsidP="00E00167">
      <w:pPr>
        <w:pStyle w:val="Reference"/>
      </w:pPr>
      <w:r w:rsidRPr="005B33A1">
        <w:t>Hattotuwa</w:t>
      </w:r>
      <w:r w:rsidRPr="00B6157E">
        <w:t>,</w:t>
      </w:r>
      <w:r w:rsidR="003D640C" w:rsidRPr="00B6157E">
        <w:t xml:space="preserve"> </w:t>
      </w:r>
      <w:r w:rsidRPr="00B6157E">
        <w:t>S.,</w:t>
      </w:r>
      <w:r w:rsidR="003D640C" w:rsidRPr="00B6157E">
        <w:t xml:space="preserve"> </w:t>
      </w:r>
      <w:r w:rsidRPr="00B6157E">
        <w:t>Hannah,</w:t>
      </w:r>
      <w:r w:rsidR="003D640C" w:rsidRPr="00B6157E">
        <w:t xml:space="preserve"> </w:t>
      </w:r>
      <w:r w:rsidRPr="00B6157E">
        <w:t>K.,</w:t>
      </w:r>
      <w:r w:rsidR="003D640C" w:rsidRPr="00B6157E">
        <w:t xml:space="preserve"> </w:t>
      </w:r>
      <w:r w:rsidR="002F28FC" w:rsidRPr="00B6157E">
        <w:t xml:space="preserve">&amp; </w:t>
      </w:r>
      <w:r w:rsidRPr="00B6157E">
        <w:t>Taylor</w:t>
      </w:r>
      <w:r w:rsidR="002F28FC" w:rsidRPr="00B6157E">
        <w:t>, K</w:t>
      </w:r>
      <w:r w:rsidRPr="00B6157E">
        <w:t>.</w:t>
      </w:r>
      <w:r w:rsidR="003D640C" w:rsidRPr="00B6157E">
        <w:t xml:space="preserve"> </w:t>
      </w:r>
      <w:r w:rsidRPr="00B6157E">
        <w:t>(2023)</w:t>
      </w:r>
      <w:r w:rsidR="002F28FC" w:rsidRPr="00B6157E">
        <w:t>.</w:t>
      </w:r>
      <w:r w:rsidR="003D640C" w:rsidRPr="00B6157E">
        <w:t xml:space="preserve"> </w:t>
      </w:r>
      <w:r w:rsidRPr="00B6157E">
        <w:rPr>
          <w:i/>
          <w:iCs/>
        </w:rPr>
        <w:t>Transgressive</w:t>
      </w:r>
      <w:r w:rsidR="003D640C" w:rsidRPr="00B6157E">
        <w:rPr>
          <w:i/>
          <w:iCs/>
        </w:rPr>
        <w:t xml:space="preserve"> </w:t>
      </w:r>
      <w:r w:rsidRPr="00B6157E">
        <w:rPr>
          <w:i/>
          <w:iCs/>
        </w:rPr>
        <w:t>transitions</w:t>
      </w:r>
      <w:r w:rsidR="002F28FC" w:rsidRPr="00B6157E">
        <w:rPr>
          <w:i/>
          <w:iCs/>
        </w:rPr>
        <w:t>:</w:t>
      </w:r>
      <w:r w:rsidR="003D640C" w:rsidRPr="00B6157E">
        <w:t xml:space="preserve"> </w:t>
      </w:r>
      <w:r w:rsidRPr="00B6157E">
        <w:rPr>
          <w:i/>
          <w:iCs/>
        </w:rPr>
        <w:t>Transphobia,</w:t>
      </w:r>
      <w:r w:rsidR="003D640C" w:rsidRPr="00B6157E">
        <w:rPr>
          <w:i/>
          <w:iCs/>
        </w:rPr>
        <w:t xml:space="preserve"> </w:t>
      </w:r>
      <w:r w:rsidRPr="00B6157E">
        <w:rPr>
          <w:i/>
          <w:iCs/>
        </w:rPr>
        <w:t>community</w:t>
      </w:r>
      <w:r w:rsidR="003D640C" w:rsidRPr="00B6157E">
        <w:rPr>
          <w:i/>
          <w:iCs/>
        </w:rPr>
        <w:t xml:space="preserve"> </w:t>
      </w:r>
      <w:r w:rsidRPr="00B6157E">
        <w:rPr>
          <w:i/>
          <w:iCs/>
        </w:rPr>
        <w:t>building,</w:t>
      </w:r>
      <w:r w:rsidR="003D640C" w:rsidRPr="00B6157E">
        <w:rPr>
          <w:i/>
          <w:iCs/>
        </w:rPr>
        <w:t xml:space="preserve"> </w:t>
      </w:r>
      <w:r w:rsidRPr="00B6157E">
        <w:rPr>
          <w:i/>
          <w:iCs/>
        </w:rPr>
        <w:t>bridging,</w:t>
      </w:r>
      <w:r w:rsidR="003D640C" w:rsidRPr="00B6157E">
        <w:rPr>
          <w:i/>
          <w:iCs/>
        </w:rPr>
        <w:t xml:space="preserve"> </w:t>
      </w:r>
      <w:r w:rsidRPr="00B6157E">
        <w:rPr>
          <w:i/>
          <w:iCs/>
        </w:rPr>
        <w:t>and</w:t>
      </w:r>
      <w:r w:rsidR="003D640C" w:rsidRPr="00B6157E">
        <w:rPr>
          <w:i/>
          <w:iCs/>
        </w:rPr>
        <w:t xml:space="preserve"> </w:t>
      </w:r>
      <w:r w:rsidRPr="00B6157E">
        <w:rPr>
          <w:i/>
          <w:iCs/>
        </w:rPr>
        <w:t>bonding</w:t>
      </w:r>
      <w:r w:rsidR="003D640C" w:rsidRPr="00B6157E">
        <w:rPr>
          <w:i/>
          <w:iCs/>
        </w:rPr>
        <w:t xml:space="preserve"> </w:t>
      </w:r>
      <w:r w:rsidRPr="00B6157E">
        <w:rPr>
          <w:i/>
          <w:iCs/>
        </w:rPr>
        <w:t>within</w:t>
      </w:r>
      <w:r w:rsidR="003D640C" w:rsidRPr="00B6157E">
        <w:rPr>
          <w:i/>
          <w:iCs/>
        </w:rPr>
        <w:t xml:space="preserve"> </w:t>
      </w:r>
      <w:r w:rsidRPr="00B6157E">
        <w:rPr>
          <w:i/>
          <w:iCs/>
        </w:rPr>
        <w:t>Aotearoa</w:t>
      </w:r>
      <w:r w:rsidR="003D640C" w:rsidRPr="00B6157E">
        <w:rPr>
          <w:i/>
          <w:iCs/>
        </w:rPr>
        <w:t xml:space="preserve"> </w:t>
      </w:r>
      <w:r w:rsidRPr="00B6157E">
        <w:rPr>
          <w:i/>
          <w:iCs/>
        </w:rPr>
        <w:t>New</w:t>
      </w:r>
      <w:r w:rsidR="003D640C" w:rsidRPr="00B6157E">
        <w:rPr>
          <w:i/>
          <w:iCs/>
        </w:rPr>
        <w:t xml:space="preserve"> </w:t>
      </w:r>
      <w:r w:rsidRPr="00B6157E">
        <w:rPr>
          <w:i/>
          <w:iCs/>
        </w:rPr>
        <w:t>Zealand’s</w:t>
      </w:r>
      <w:r w:rsidR="003D640C" w:rsidRPr="00B6157E">
        <w:rPr>
          <w:i/>
          <w:iCs/>
        </w:rPr>
        <w:t xml:space="preserve"> </w:t>
      </w:r>
      <w:r w:rsidRPr="00B6157E">
        <w:rPr>
          <w:i/>
          <w:iCs/>
        </w:rPr>
        <w:t>disinformation</w:t>
      </w:r>
      <w:r w:rsidR="003D640C" w:rsidRPr="00B6157E">
        <w:rPr>
          <w:i/>
          <w:iCs/>
        </w:rPr>
        <w:t xml:space="preserve"> </w:t>
      </w:r>
      <w:r w:rsidRPr="00B6157E">
        <w:rPr>
          <w:i/>
          <w:iCs/>
        </w:rPr>
        <w:t>ecologies</w:t>
      </w:r>
      <w:r w:rsidRPr="00B6157E">
        <w:t>.</w:t>
      </w:r>
      <w:r w:rsidR="003D640C" w:rsidRPr="00B6157E">
        <w:t xml:space="preserve"> </w:t>
      </w:r>
      <w:r w:rsidRPr="00B6157E">
        <w:t>The</w:t>
      </w:r>
      <w:r w:rsidR="003D640C" w:rsidRPr="00B6157E">
        <w:t xml:space="preserve"> </w:t>
      </w:r>
      <w:r w:rsidRPr="00B6157E">
        <w:t>Disinformation</w:t>
      </w:r>
      <w:r w:rsidR="003D640C" w:rsidRPr="00B6157E">
        <w:t xml:space="preserve"> </w:t>
      </w:r>
      <w:r w:rsidRPr="00B6157E">
        <w:t>Project.</w:t>
      </w:r>
      <w:r w:rsidR="003D640C" w:rsidRPr="00B6157E">
        <w:t xml:space="preserve"> </w:t>
      </w:r>
      <w:hyperlink r:id="rId60" w:history="1">
        <w:r w:rsidR="00E91682" w:rsidRPr="00B6157E">
          <w:rPr>
            <w:rStyle w:val="Hyperlink"/>
          </w:rPr>
          <w:t>https://static1.squarespace.com/static/65c9ceb1a6a5b72d6f280d67/t/65cc227b8c94e134021c9141/1707877007526/Transgressive-Transitions.pdf</w:t>
        </w:r>
      </w:hyperlink>
      <w:r w:rsidR="00E91682" w:rsidRPr="00B6157E">
        <w:t xml:space="preserve"> </w:t>
      </w:r>
    </w:p>
    <w:p w14:paraId="0EB7ABCE" w14:textId="0429D3F0" w:rsidR="00303F25" w:rsidRPr="00B6157E" w:rsidRDefault="00303F25" w:rsidP="00303F25">
      <w:pPr>
        <w:pStyle w:val="Reference"/>
      </w:pPr>
      <w:r w:rsidRPr="005B33A1">
        <w:t>Health</w:t>
      </w:r>
      <w:r w:rsidRPr="00B6157E">
        <w:t xml:space="preserve"> Promotion Agency | Te Hiringa Hauora. (2019). </w:t>
      </w:r>
      <w:r w:rsidRPr="00B6157E">
        <w:rPr>
          <w:i/>
          <w:iCs/>
        </w:rPr>
        <w:t>Wellbeing and mental health among Rainbow New Zealanders: Results from the New Zealand Mental Health Monitor</w:t>
      </w:r>
      <w:r w:rsidRPr="00B6157E">
        <w:t xml:space="preserve">. </w:t>
      </w:r>
      <w:hyperlink r:id="rId61" w:history="1">
        <w:r w:rsidRPr="00B6157E">
          <w:rPr>
            <w:rStyle w:val="Hyperlink"/>
          </w:rPr>
          <w:t>https://www.hpa.org.nz/sites/default/files/Mental-wellbeing-among-rainbow-adults-factsheet.pdf</w:t>
        </w:r>
      </w:hyperlink>
      <w:r w:rsidRPr="00B6157E">
        <w:t xml:space="preserve"> </w:t>
      </w:r>
    </w:p>
    <w:p w14:paraId="7B53122F" w14:textId="0DD13A20" w:rsidR="00F01386" w:rsidRDefault="00F01386" w:rsidP="00E00167">
      <w:pPr>
        <w:pStyle w:val="Reference"/>
      </w:pPr>
      <w:r w:rsidRPr="005B33A1">
        <w:t>Higbee</w:t>
      </w:r>
      <w:r w:rsidRPr="00B6157E">
        <w:t>,</w:t>
      </w:r>
      <w:r w:rsidR="003D640C" w:rsidRPr="00B6157E">
        <w:t xml:space="preserve"> </w:t>
      </w:r>
      <w:r w:rsidRPr="00B6157E">
        <w:t>M.,</w:t>
      </w:r>
      <w:r w:rsidR="003D640C">
        <w:t xml:space="preserve"> </w:t>
      </w:r>
      <w:r w:rsidRPr="00BB6220">
        <w:t>Wright,</w:t>
      </w:r>
      <w:r w:rsidR="003D640C">
        <w:t xml:space="preserve"> </w:t>
      </w:r>
      <w:r w:rsidRPr="00BB6220">
        <w:t>E.</w:t>
      </w:r>
      <w:r w:rsidR="003D640C">
        <w:t xml:space="preserve"> </w:t>
      </w:r>
      <w:r w:rsidRPr="00BB6220">
        <w:t>R.,</w:t>
      </w:r>
      <w:r w:rsidR="003D640C">
        <w:t xml:space="preserve"> </w:t>
      </w:r>
      <w:r w:rsidRPr="00BB6220">
        <w:t>&amp;</w:t>
      </w:r>
      <w:r w:rsidR="003D640C">
        <w:t xml:space="preserve"> </w:t>
      </w:r>
      <w:r w:rsidRPr="00BB6220">
        <w:t>Roemerman,</w:t>
      </w:r>
      <w:r w:rsidR="003D640C">
        <w:t xml:space="preserve"> </w:t>
      </w:r>
      <w:r w:rsidRPr="00BB6220">
        <w:t>R.</w:t>
      </w:r>
      <w:r w:rsidR="003D640C">
        <w:t xml:space="preserve"> </w:t>
      </w:r>
      <w:r w:rsidRPr="00BB6220">
        <w:t>M.</w:t>
      </w:r>
      <w:r w:rsidR="003D640C">
        <w:t xml:space="preserve"> </w:t>
      </w:r>
      <w:r w:rsidRPr="00BB6220">
        <w:t>(2022).</w:t>
      </w:r>
      <w:r w:rsidR="003D640C">
        <w:t xml:space="preserve"> </w:t>
      </w:r>
      <w:r w:rsidRPr="00BB6220">
        <w:t>Conversion</w:t>
      </w:r>
      <w:r w:rsidR="003D640C">
        <w:t xml:space="preserve"> </w:t>
      </w:r>
      <w:r w:rsidRPr="00BB6220">
        <w:t>therapy</w:t>
      </w:r>
      <w:r w:rsidR="003D640C">
        <w:t xml:space="preserve"> </w:t>
      </w:r>
      <w:r w:rsidRPr="00BB6220">
        <w:t>in</w:t>
      </w:r>
      <w:r w:rsidR="003D640C">
        <w:t xml:space="preserve"> </w:t>
      </w:r>
      <w:r w:rsidRPr="00BB6220">
        <w:t>the</w:t>
      </w:r>
      <w:r w:rsidR="003D640C">
        <w:t xml:space="preserve"> </w:t>
      </w:r>
      <w:r w:rsidRPr="00BB6220">
        <w:t>southern</w:t>
      </w:r>
      <w:r w:rsidR="003D640C">
        <w:t xml:space="preserve"> </w:t>
      </w:r>
      <w:r w:rsidRPr="00BB6220">
        <w:t>United</w:t>
      </w:r>
      <w:r w:rsidR="003D640C">
        <w:t xml:space="preserve"> </w:t>
      </w:r>
      <w:r w:rsidRPr="00BB6220">
        <w:t>States:</w:t>
      </w:r>
      <w:r w:rsidR="003D640C">
        <w:t xml:space="preserve"> </w:t>
      </w:r>
      <w:r w:rsidR="003D0CB2">
        <w:t>P</w:t>
      </w:r>
      <w:r w:rsidRPr="00BB6220">
        <w:t>revalence</w:t>
      </w:r>
      <w:r w:rsidR="003D640C">
        <w:t xml:space="preserve"> </w:t>
      </w:r>
      <w:r w:rsidRPr="00BB6220">
        <w:t>and</w:t>
      </w:r>
      <w:r w:rsidR="003D640C">
        <w:t xml:space="preserve"> </w:t>
      </w:r>
      <w:r w:rsidRPr="00BB6220">
        <w:t>experiences</w:t>
      </w:r>
      <w:r w:rsidR="003D640C">
        <w:t xml:space="preserve"> </w:t>
      </w:r>
      <w:r w:rsidRPr="00BB6220">
        <w:t>of</w:t>
      </w:r>
      <w:r w:rsidR="003D640C">
        <w:t xml:space="preserve"> </w:t>
      </w:r>
      <w:r w:rsidRPr="00BB6220">
        <w:t>the</w:t>
      </w:r>
      <w:r w:rsidR="003D640C">
        <w:t xml:space="preserve"> </w:t>
      </w:r>
      <w:r w:rsidRPr="00BB6220">
        <w:t>survivors.</w:t>
      </w:r>
      <w:r w:rsidR="003D640C">
        <w:t xml:space="preserve"> </w:t>
      </w:r>
      <w:r w:rsidRPr="00BB6220">
        <w:rPr>
          <w:i/>
          <w:iCs/>
        </w:rPr>
        <w:t>Journal</w:t>
      </w:r>
      <w:r w:rsidR="003D640C">
        <w:rPr>
          <w:i/>
          <w:iCs/>
        </w:rPr>
        <w:t xml:space="preserve"> </w:t>
      </w:r>
      <w:r w:rsidRPr="00BB6220">
        <w:rPr>
          <w:i/>
          <w:iCs/>
        </w:rPr>
        <w:t>of</w:t>
      </w:r>
      <w:r w:rsidR="003D640C">
        <w:rPr>
          <w:i/>
          <w:iCs/>
        </w:rPr>
        <w:t xml:space="preserve"> </w:t>
      </w:r>
      <w:r w:rsidRPr="00BB6220">
        <w:rPr>
          <w:i/>
          <w:iCs/>
        </w:rPr>
        <w:t>Homosexuality</w:t>
      </w:r>
      <w:r w:rsidR="003D0CB2">
        <w:t>,</w:t>
      </w:r>
      <w:r w:rsidR="003D640C">
        <w:rPr>
          <w:i/>
          <w:iCs/>
        </w:rPr>
        <w:t xml:space="preserve"> </w:t>
      </w:r>
      <w:r w:rsidRPr="00BB6220">
        <w:rPr>
          <w:i/>
          <w:iCs/>
        </w:rPr>
        <w:t>69</w:t>
      </w:r>
      <w:r w:rsidRPr="00BB6220">
        <w:t>(4):612</w:t>
      </w:r>
      <w:r w:rsidR="003D0CB2">
        <w:t>–</w:t>
      </w:r>
      <w:r w:rsidRPr="00BB6220">
        <w:t>631.</w:t>
      </w:r>
      <w:r w:rsidR="003D0CB2">
        <w:t xml:space="preserve"> </w:t>
      </w:r>
      <w:r w:rsidR="003D640C">
        <w:t xml:space="preserve"> </w:t>
      </w:r>
      <w:hyperlink r:id="rId62" w:history="1">
        <w:r w:rsidR="00B8030D" w:rsidRPr="008C4900">
          <w:rPr>
            <w:rStyle w:val="Hyperlink"/>
          </w:rPr>
          <w:t>https://doi.org/10.1080/00918369.2020.1840213</w:t>
        </w:r>
      </w:hyperlink>
      <w:r w:rsidR="00B8030D">
        <w:t xml:space="preserve"> </w:t>
      </w:r>
      <w:r w:rsidR="003D640C">
        <w:t xml:space="preserve"> </w:t>
      </w:r>
    </w:p>
    <w:p w14:paraId="26B18C80" w14:textId="10931E14" w:rsidR="00B93233" w:rsidRDefault="00B93233" w:rsidP="005B33A1">
      <w:pPr>
        <w:pStyle w:val="Reference"/>
      </w:pPr>
      <w:r>
        <w:t xml:space="preserve">Horner, J. (2010). Undoing the damage: Working with LGBT clients in post-conversion therapy. </w:t>
      </w:r>
      <w:r w:rsidRPr="00A67F14">
        <w:rPr>
          <w:i/>
          <w:iCs/>
        </w:rPr>
        <w:t>Columbia</w:t>
      </w:r>
      <w:r>
        <w:rPr>
          <w:i/>
          <w:iCs/>
        </w:rPr>
        <w:t xml:space="preserve"> </w:t>
      </w:r>
      <w:r w:rsidRPr="00A67F14">
        <w:rPr>
          <w:i/>
          <w:iCs/>
        </w:rPr>
        <w:t>Social</w:t>
      </w:r>
      <w:r>
        <w:rPr>
          <w:i/>
          <w:iCs/>
        </w:rPr>
        <w:t xml:space="preserve"> </w:t>
      </w:r>
      <w:r w:rsidRPr="00A67F14">
        <w:rPr>
          <w:i/>
          <w:iCs/>
        </w:rPr>
        <w:t>Work</w:t>
      </w:r>
      <w:r>
        <w:rPr>
          <w:i/>
          <w:iCs/>
        </w:rPr>
        <w:t xml:space="preserve"> </w:t>
      </w:r>
      <w:r w:rsidRPr="00A67F14">
        <w:rPr>
          <w:i/>
          <w:iCs/>
        </w:rPr>
        <w:t>Review,</w:t>
      </w:r>
      <w:r>
        <w:t xml:space="preserve"> </w:t>
      </w:r>
      <w:r w:rsidRPr="00B93233">
        <w:rPr>
          <w:i/>
          <w:iCs/>
        </w:rPr>
        <w:t>8</w:t>
      </w:r>
      <w:r>
        <w:t>(</w:t>
      </w:r>
      <w:r w:rsidRPr="00B93233">
        <w:t>1</w:t>
      </w:r>
      <w:r>
        <w:t xml:space="preserve">), 8–16. </w:t>
      </w:r>
      <w:hyperlink r:id="rId63" w:history="1">
        <w:r w:rsidRPr="005B33A1">
          <w:rPr>
            <w:rStyle w:val="Hyperlink"/>
          </w:rPr>
          <w:t>https://doi.org/10.7916/cswr.v8i1.1963</w:t>
        </w:r>
      </w:hyperlink>
      <w:r>
        <w:t xml:space="preserve"> </w:t>
      </w:r>
    </w:p>
    <w:p w14:paraId="405B11C0" w14:textId="30CA39F5" w:rsidR="00552B86" w:rsidRPr="00552B86" w:rsidRDefault="00552B86" w:rsidP="00552B86">
      <w:pPr>
        <w:pStyle w:val="Reference"/>
        <w:rPr>
          <w:rFonts w:ascii="Calibri" w:hAnsi="Calibri" w:cs="Calibri"/>
        </w:rPr>
      </w:pPr>
      <w:r w:rsidRPr="00552B86">
        <w:rPr>
          <w:rFonts w:ascii="Calibri" w:hAnsi="Calibri" w:cs="Calibri"/>
        </w:rPr>
        <w:t>Human Rights Commission. (Unpublished manuscript, 2005). Does the Human Rights Act 1993 prohibit discrimination based on gender dysphoria or transsexualism?</w:t>
      </w:r>
    </w:p>
    <w:p w14:paraId="63FF4666" w14:textId="0B0DA899" w:rsidR="00762E8A" w:rsidRDefault="00762E8A" w:rsidP="00762E8A">
      <w:pPr>
        <w:pStyle w:val="Reference"/>
        <w:rPr>
          <w:rFonts w:ascii="Calibri" w:hAnsi="Calibri" w:cs="Calibri"/>
        </w:rPr>
      </w:pPr>
      <w:r w:rsidRPr="00E12776">
        <w:rPr>
          <w:rFonts w:ascii="Calibri" w:hAnsi="Calibri" w:cs="Calibri"/>
        </w:rPr>
        <w:t>Human</w:t>
      </w:r>
      <w:r>
        <w:rPr>
          <w:rFonts w:ascii="Calibri" w:hAnsi="Calibri" w:cs="Calibri"/>
        </w:rPr>
        <w:t xml:space="preserve"> </w:t>
      </w:r>
      <w:r w:rsidRPr="00E12776">
        <w:rPr>
          <w:rFonts w:ascii="Calibri" w:hAnsi="Calibri" w:cs="Calibri"/>
        </w:rPr>
        <w:t>Rights</w:t>
      </w:r>
      <w:r>
        <w:rPr>
          <w:rFonts w:ascii="Calibri" w:hAnsi="Calibri" w:cs="Calibri"/>
        </w:rPr>
        <w:t xml:space="preserve"> </w:t>
      </w:r>
      <w:r w:rsidRPr="00E12776">
        <w:rPr>
          <w:rFonts w:ascii="Calibri" w:hAnsi="Calibri" w:cs="Calibri"/>
        </w:rPr>
        <w:t>Commission</w:t>
      </w:r>
      <w:r>
        <w:rPr>
          <w:rFonts w:ascii="Calibri" w:hAnsi="Calibri" w:cs="Calibri"/>
        </w:rPr>
        <w:t xml:space="preserve">. (2008). </w:t>
      </w:r>
      <w:r w:rsidRPr="00E12776">
        <w:rPr>
          <w:rFonts w:ascii="Calibri" w:hAnsi="Calibri" w:cs="Calibri"/>
          <w:i/>
        </w:rPr>
        <w:t>To</w:t>
      </w:r>
      <w:r>
        <w:rPr>
          <w:rFonts w:ascii="Calibri" w:hAnsi="Calibri" w:cs="Calibri"/>
          <w:i/>
        </w:rPr>
        <w:t xml:space="preserve"> </w:t>
      </w:r>
      <w:r w:rsidR="00CB0BD9">
        <w:rPr>
          <w:rFonts w:ascii="Calibri" w:hAnsi="Calibri" w:cs="Calibri"/>
          <w:i/>
        </w:rPr>
        <w:t>b</w:t>
      </w:r>
      <w:r w:rsidRPr="00E12776">
        <w:rPr>
          <w:rFonts w:ascii="Calibri" w:hAnsi="Calibri" w:cs="Calibri"/>
          <w:i/>
        </w:rPr>
        <w:t>e</w:t>
      </w:r>
      <w:r>
        <w:rPr>
          <w:rFonts w:ascii="Calibri" w:hAnsi="Calibri" w:cs="Calibri"/>
          <w:i/>
        </w:rPr>
        <w:t xml:space="preserve"> </w:t>
      </w:r>
      <w:r w:rsidR="00CB0BD9">
        <w:rPr>
          <w:rFonts w:ascii="Calibri" w:hAnsi="Calibri" w:cs="Calibri"/>
          <w:i/>
        </w:rPr>
        <w:t>w</w:t>
      </w:r>
      <w:r w:rsidRPr="00E12776">
        <w:rPr>
          <w:rFonts w:ascii="Calibri" w:hAnsi="Calibri" w:cs="Calibri"/>
          <w:i/>
        </w:rPr>
        <w:t>ho</w:t>
      </w:r>
      <w:r>
        <w:rPr>
          <w:rFonts w:ascii="Calibri" w:hAnsi="Calibri" w:cs="Calibri"/>
          <w:i/>
        </w:rPr>
        <w:t xml:space="preserve"> </w:t>
      </w:r>
      <w:r w:rsidRPr="00E12776">
        <w:rPr>
          <w:rFonts w:ascii="Calibri" w:hAnsi="Calibri" w:cs="Calibri"/>
          <w:i/>
        </w:rPr>
        <w:t>I</w:t>
      </w:r>
      <w:r w:rsidR="00CB0BD9">
        <w:rPr>
          <w:rFonts w:ascii="Calibri" w:hAnsi="Calibri" w:cs="Calibri"/>
          <w:i/>
        </w:rPr>
        <w:t xml:space="preserve"> a</w:t>
      </w:r>
      <w:r w:rsidRPr="00E12776">
        <w:rPr>
          <w:rFonts w:ascii="Calibri" w:hAnsi="Calibri" w:cs="Calibri"/>
          <w:i/>
        </w:rPr>
        <w:t>m:</w:t>
      </w:r>
      <w:r>
        <w:rPr>
          <w:rFonts w:ascii="Calibri" w:hAnsi="Calibri" w:cs="Calibri"/>
          <w:i/>
        </w:rPr>
        <w:t xml:space="preserve"> </w:t>
      </w:r>
      <w:r w:rsidRPr="00E12776">
        <w:rPr>
          <w:rFonts w:ascii="Calibri" w:hAnsi="Calibri" w:cs="Calibri"/>
          <w:i/>
        </w:rPr>
        <w:t>Report</w:t>
      </w:r>
      <w:r>
        <w:rPr>
          <w:rFonts w:ascii="Calibri" w:hAnsi="Calibri" w:cs="Calibri"/>
          <w:i/>
        </w:rPr>
        <w:t xml:space="preserve"> </w:t>
      </w:r>
      <w:r w:rsidRPr="00E12776">
        <w:rPr>
          <w:rFonts w:ascii="Calibri" w:hAnsi="Calibri" w:cs="Calibri"/>
          <w:i/>
        </w:rPr>
        <w:t>of</w:t>
      </w:r>
      <w:r>
        <w:rPr>
          <w:rFonts w:ascii="Calibri" w:hAnsi="Calibri" w:cs="Calibri"/>
          <w:i/>
        </w:rPr>
        <w:t xml:space="preserve"> </w:t>
      </w:r>
      <w:r w:rsidRPr="00E12776">
        <w:rPr>
          <w:rFonts w:ascii="Calibri" w:hAnsi="Calibri" w:cs="Calibri"/>
          <w:i/>
        </w:rPr>
        <w:t>the</w:t>
      </w:r>
      <w:r>
        <w:rPr>
          <w:rFonts w:ascii="Calibri" w:hAnsi="Calibri" w:cs="Calibri"/>
          <w:i/>
        </w:rPr>
        <w:t xml:space="preserve"> </w:t>
      </w:r>
      <w:r w:rsidRPr="00E12776">
        <w:rPr>
          <w:rFonts w:ascii="Calibri" w:hAnsi="Calibri" w:cs="Calibri"/>
          <w:i/>
        </w:rPr>
        <w:t>Inquiry</w:t>
      </w:r>
      <w:r>
        <w:rPr>
          <w:rFonts w:ascii="Calibri" w:hAnsi="Calibri" w:cs="Calibri"/>
          <w:i/>
        </w:rPr>
        <w:t xml:space="preserve"> </w:t>
      </w:r>
      <w:r w:rsidRPr="00E12776">
        <w:rPr>
          <w:rFonts w:ascii="Calibri" w:hAnsi="Calibri" w:cs="Calibri"/>
          <w:i/>
        </w:rPr>
        <w:t>into</w:t>
      </w:r>
      <w:r>
        <w:rPr>
          <w:rFonts w:ascii="Calibri" w:hAnsi="Calibri" w:cs="Calibri"/>
          <w:i/>
        </w:rPr>
        <w:t xml:space="preserve"> </w:t>
      </w:r>
      <w:r w:rsidRPr="00E12776">
        <w:rPr>
          <w:rFonts w:ascii="Calibri" w:hAnsi="Calibri" w:cs="Calibri"/>
          <w:i/>
        </w:rPr>
        <w:t>Discrimination</w:t>
      </w:r>
      <w:r>
        <w:rPr>
          <w:rFonts w:ascii="Calibri" w:hAnsi="Calibri" w:cs="Calibri"/>
          <w:i/>
        </w:rPr>
        <w:t xml:space="preserve"> </w:t>
      </w:r>
      <w:r w:rsidRPr="00E12776">
        <w:rPr>
          <w:rFonts w:ascii="Calibri" w:hAnsi="Calibri" w:cs="Calibri"/>
          <w:i/>
        </w:rPr>
        <w:t>Experienced</w:t>
      </w:r>
      <w:r>
        <w:rPr>
          <w:rFonts w:ascii="Calibri" w:hAnsi="Calibri" w:cs="Calibri"/>
          <w:i/>
        </w:rPr>
        <w:t xml:space="preserve"> </w:t>
      </w:r>
      <w:r w:rsidRPr="00E12776">
        <w:rPr>
          <w:rFonts w:ascii="Calibri" w:hAnsi="Calibri" w:cs="Calibri"/>
          <w:i/>
        </w:rPr>
        <w:t>by</w:t>
      </w:r>
      <w:r>
        <w:rPr>
          <w:rFonts w:ascii="Calibri" w:hAnsi="Calibri" w:cs="Calibri"/>
          <w:i/>
        </w:rPr>
        <w:t xml:space="preserve"> </w:t>
      </w:r>
      <w:r w:rsidRPr="00E12776">
        <w:rPr>
          <w:rFonts w:ascii="Calibri" w:hAnsi="Calibri" w:cs="Calibri"/>
          <w:i/>
        </w:rPr>
        <w:t>Transgender</w:t>
      </w:r>
      <w:r>
        <w:rPr>
          <w:rFonts w:ascii="Calibri" w:hAnsi="Calibri" w:cs="Calibri"/>
          <w:i/>
        </w:rPr>
        <w:t xml:space="preserve"> </w:t>
      </w:r>
      <w:r w:rsidRPr="00E12776">
        <w:rPr>
          <w:rFonts w:ascii="Calibri" w:hAnsi="Calibri" w:cs="Calibri"/>
          <w:i/>
        </w:rPr>
        <w:t>People</w:t>
      </w:r>
      <w:r w:rsidRPr="00E12776">
        <w:rPr>
          <w:rFonts w:ascii="Calibri" w:hAnsi="Calibri" w:cs="Calibri"/>
        </w:rPr>
        <w:t>.</w:t>
      </w:r>
      <w:r>
        <w:rPr>
          <w:rFonts w:ascii="Calibri" w:hAnsi="Calibri" w:cs="Calibri"/>
        </w:rPr>
        <w:t xml:space="preserve"> </w:t>
      </w:r>
      <w:hyperlink r:id="rId64" w:history="1">
        <w:r w:rsidRPr="00B13BFC">
          <w:rPr>
            <w:rStyle w:val="Hyperlink"/>
            <w:rFonts w:ascii="Calibri" w:hAnsi="Calibri" w:cs="Calibri"/>
          </w:rPr>
          <w:t>https://tikatangata.org.nz/our-work/inquiry-into-discrimination-experienced-by-transgender-people</w:t>
        </w:r>
      </w:hyperlink>
    </w:p>
    <w:p w14:paraId="6D4A363F" w14:textId="26099AE6" w:rsidR="00762E8A" w:rsidRPr="00B6157E" w:rsidRDefault="00762E8A" w:rsidP="007B139B">
      <w:pPr>
        <w:pStyle w:val="Reference"/>
      </w:pPr>
      <w:r w:rsidRPr="005B33A1">
        <w:t>Human</w:t>
      </w:r>
      <w:r w:rsidRPr="00B6157E">
        <w:rPr>
          <w:rFonts w:ascii="Calibri" w:hAnsi="Calibri" w:cs="Calibri"/>
          <w:lang w:val="mi-NZ"/>
        </w:rPr>
        <w:t xml:space="preserve"> Rights Commission. (2011</w:t>
      </w:r>
      <w:r w:rsidR="00F6772B" w:rsidRPr="00B6157E">
        <w:rPr>
          <w:rFonts w:ascii="Calibri" w:hAnsi="Calibri" w:cs="Calibri"/>
          <w:lang w:val="mi-NZ"/>
        </w:rPr>
        <w:t>a</w:t>
      </w:r>
      <w:r w:rsidRPr="00B6157E">
        <w:rPr>
          <w:rFonts w:ascii="Calibri" w:hAnsi="Calibri" w:cs="Calibri"/>
          <w:lang w:val="mi-NZ"/>
        </w:rPr>
        <w:t xml:space="preserve">). </w:t>
      </w:r>
      <w:r w:rsidRPr="00B6157E">
        <w:rPr>
          <w:rFonts w:ascii="Calibri" w:hAnsi="Calibri" w:cs="Calibri"/>
          <w:i/>
          <w:iCs/>
          <w:lang w:val="mi-NZ"/>
        </w:rPr>
        <w:t xml:space="preserve">2011–2014 statement of intent and service </w:t>
      </w:r>
      <w:r w:rsidR="00F6772B" w:rsidRPr="00B6157E">
        <w:rPr>
          <w:rFonts w:ascii="Calibri" w:hAnsi="Calibri" w:cs="Calibri"/>
          <w:i/>
          <w:iCs/>
          <w:lang w:val="mi-NZ"/>
        </w:rPr>
        <w:t>performance</w:t>
      </w:r>
      <w:r w:rsidRPr="00B6157E">
        <w:t xml:space="preserve">. </w:t>
      </w:r>
      <w:hyperlink r:id="rId65" w:history="1">
        <w:r w:rsidRPr="00B6157E">
          <w:rPr>
            <w:rStyle w:val="Hyperlink"/>
          </w:rPr>
          <w:t>https://www.hrc.co.nz/files/4414/2352/9981/Statement_of_Intent_2011.doc</w:t>
        </w:r>
      </w:hyperlink>
      <w:r w:rsidRPr="00B6157E">
        <w:t xml:space="preserve"> </w:t>
      </w:r>
    </w:p>
    <w:p w14:paraId="51789B95" w14:textId="6C956C12" w:rsidR="00F01386" w:rsidRPr="00B6157E" w:rsidRDefault="00F01386" w:rsidP="00E00167">
      <w:pPr>
        <w:pStyle w:val="Reference"/>
        <w:rPr>
          <w:rFonts w:ascii="Calibri" w:hAnsi="Calibri" w:cs="Calibri"/>
          <w:lang w:val="en-US"/>
        </w:rPr>
      </w:pPr>
      <w:r w:rsidRPr="005B33A1">
        <w:rPr>
          <w:rFonts w:ascii="Calibri" w:hAnsi="Calibri" w:cs="Calibri"/>
          <w:lang w:val="en-US"/>
        </w:rPr>
        <w:t>Human</w:t>
      </w:r>
      <w:r w:rsidR="003D640C" w:rsidRPr="00B6157E">
        <w:rPr>
          <w:rFonts w:ascii="Calibri" w:hAnsi="Calibri" w:cs="Calibri"/>
          <w:lang w:val="en-US"/>
        </w:rPr>
        <w:t xml:space="preserve"> </w:t>
      </w:r>
      <w:r w:rsidRPr="00B6157E">
        <w:rPr>
          <w:rFonts w:ascii="Calibri" w:hAnsi="Calibri" w:cs="Calibri"/>
          <w:lang w:val="en-US"/>
        </w:rPr>
        <w:t>Rights</w:t>
      </w:r>
      <w:r w:rsidR="003D640C" w:rsidRPr="00B6157E">
        <w:rPr>
          <w:rFonts w:ascii="Calibri" w:hAnsi="Calibri" w:cs="Calibri"/>
          <w:lang w:val="en-US"/>
        </w:rPr>
        <w:t xml:space="preserve"> </w:t>
      </w:r>
      <w:r w:rsidRPr="00B6157E">
        <w:rPr>
          <w:rFonts w:ascii="Calibri" w:hAnsi="Calibri" w:cs="Calibri"/>
          <w:lang w:val="en-US"/>
        </w:rPr>
        <w:t>Commission.</w:t>
      </w:r>
      <w:r w:rsidR="003D640C" w:rsidRPr="00B6157E">
        <w:rPr>
          <w:rFonts w:ascii="Calibri" w:hAnsi="Calibri" w:cs="Calibri"/>
          <w:lang w:val="en-US"/>
        </w:rPr>
        <w:t xml:space="preserve"> </w:t>
      </w:r>
      <w:r w:rsidRPr="00B6157E">
        <w:rPr>
          <w:rFonts w:ascii="Calibri" w:hAnsi="Calibri" w:cs="Calibri"/>
          <w:lang w:val="en-US"/>
        </w:rPr>
        <w:t>(2011</w:t>
      </w:r>
      <w:r w:rsidR="00F6772B" w:rsidRPr="00B6157E">
        <w:rPr>
          <w:rFonts w:ascii="Calibri" w:hAnsi="Calibri" w:cs="Calibri"/>
          <w:lang w:val="en-US"/>
        </w:rPr>
        <w:t>b</w:t>
      </w:r>
      <w:r w:rsidRPr="00B6157E">
        <w:rPr>
          <w:rFonts w:ascii="Calibri" w:hAnsi="Calibri" w:cs="Calibri"/>
          <w:lang w:val="en-US"/>
        </w:rPr>
        <w:t>).</w:t>
      </w:r>
      <w:r w:rsidR="003D640C" w:rsidRPr="00B6157E">
        <w:rPr>
          <w:rFonts w:ascii="Calibri" w:hAnsi="Calibri" w:cs="Calibri"/>
          <w:lang w:val="en-US"/>
        </w:rPr>
        <w:t xml:space="preserve"> </w:t>
      </w:r>
      <w:r w:rsidRPr="00B6157E">
        <w:rPr>
          <w:rFonts w:ascii="Calibri" w:hAnsi="Calibri" w:cs="Calibri"/>
          <w:i/>
          <w:iCs/>
          <w:lang w:val="en-US"/>
        </w:rPr>
        <w:t>Te</w:t>
      </w:r>
      <w:r w:rsidR="003D640C" w:rsidRPr="00B6157E">
        <w:rPr>
          <w:rFonts w:ascii="Calibri" w:hAnsi="Calibri" w:cs="Calibri"/>
          <w:i/>
          <w:iCs/>
          <w:lang w:val="en-US"/>
        </w:rPr>
        <w:t xml:space="preserve"> </w:t>
      </w:r>
      <w:r w:rsidRPr="00B6157E">
        <w:rPr>
          <w:rFonts w:ascii="Calibri" w:hAnsi="Calibri" w:cs="Calibri"/>
          <w:i/>
          <w:iCs/>
          <w:lang w:val="en-US"/>
        </w:rPr>
        <w:t>Mana</w:t>
      </w:r>
      <w:r w:rsidR="003D640C" w:rsidRPr="00B6157E">
        <w:rPr>
          <w:rFonts w:ascii="Calibri" w:hAnsi="Calibri" w:cs="Calibri"/>
          <w:i/>
          <w:iCs/>
          <w:lang w:val="en-US"/>
        </w:rPr>
        <w:t xml:space="preserve"> </w:t>
      </w:r>
      <w:r w:rsidR="0099715A" w:rsidRPr="00B6157E">
        <w:rPr>
          <w:rFonts w:ascii="Calibri" w:hAnsi="Calibri" w:cs="Calibri"/>
          <w:i/>
          <w:iCs/>
          <w:lang w:val="en-US"/>
        </w:rPr>
        <w:t>i</w:t>
      </w:r>
      <w:r w:rsidR="003D640C" w:rsidRPr="00B6157E">
        <w:rPr>
          <w:rFonts w:ascii="Calibri" w:hAnsi="Calibri" w:cs="Calibri"/>
          <w:i/>
          <w:iCs/>
          <w:lang w:val="en-US"/>
        </w:rPr>
        <w:t xml:space="preserve"> </w:t>
      </w:r>
      <w:r w:rsidRPr="00B6157E">
        <w:rPr>
          <w:rFonts w:ascii="Calibri" w:hAnsi="Calibri" w:cs="Calibri"/>
          <w:i/>
          <w:iCs/>
          <w:lang w:val="en-US"/>
        </w:rPr>
        <w:t>Waitangi:</w:t>
      </w:r>
      <w:r w:rsidR="003D640C" w:rsidRPr="00B6157E">
        <w:rPr>
          <w:rFonts w:ascii="Calibri" w:hAnsi="Calibri" w:cs="Calibri"/>
          <w:i/>
          <w:iCs/>
          <w:lang w:val="en-US"/>
        </w:rPr>
        <w:t xml:space="preserve"> </w:t>
      </w:r>
      <w:r w:rsidRPr="00B6157E">
        <w:rPr>
          <w:rFonts w:ascii="Calibri" w:hAnsi="Calibri" w:cs="Calibri"/>
          <w:i/>
          <w:iCs/>
          <w:lang w:val="en-US"/>
        </w:rPr>
        <w:t>Human</w:t>
      </w:r>
      <w:r w:rsidR="003D640C" w:rsidRPr="00B6157E">
        <w:rPr>
          <w:rFonts w:ascii="Calibri" w:hAnsi="Calibri" w:cs="Calibri"/>
          <w:i/>
          <w:iCs/>
          <w:lang w:val="en-US"/>
        </w:rPr>
        <w:t xml:space="preserve"> </w:t>
      </w:r>
      <w:r w:rsidRPr="00B6157E">
        <w:rPr>
          <w:rFonts w:ascii="Calibri" w:hAnsi="Calibri" w:cs="Calibri"/>
          <w:i/>
          <w:iCs/>
          <w:lang w:val="en-US"/>
        </w:rPr>
        <w:t>Rights</w:t>
      </w:r>
      <w:r w:rsidR="003D640C" w:rsidRPr="00B6157E">
        <w:rPr>
          <w:rFonts w:ascii="Calibri" w:hAnsi="Calibri" w:cs="Calibri"/>
          <w:i/>
          <w:iCs/>
          <w:lang w:val="en-US"/>
        </w:rPr>
        <w:t xml:space="preserve"> </w:t>
      </w:r>
      <w:r w:rsidRPr="00B6157E">
        <w:rPr>
          <w:rFonts w:ascii="Calibri" w:hAnsi="Calibri" w:cs="Calibri"/>
          <w:i/>
          <w:iCs/>
          <w:lang w:val="en-US"/>
        </w:rPr>
        <w:t>and</w:t>
      </w:r>
      <w:r w:rsidR="003D640C" w:rsidRPr="00B6157E">
        <w:rPr>
          <w:rFonts w:ascii="Calibri" w:hAnsi="Calibri" w:cs="Calibri"/>
          <w:i/>
          <w:iCs/>
          <w:lang w:val="en-US"/>
        </w:rPr>
        <w:t xml:space="preserve"> </w:t>
      </w:r>
      <w:r w:rsidRPr="00B6157E">
        <w:rPr>
          <w:rFonts w:ascii="Calibri" w:hAnsi="Calibri" w:cs="Calibri"/>
          <w:i/>
          <w:iCs/>
          <w:lang w:val="en-US"/>
        </w:rPr>
        <w:t>the</w:t>
      </w:r>
      <w:r w:rsidR="003D640C" w:rsidRPr="00B6157E">
        <w:rPr>
          <w:rFonts w:ascii="Calibri" w:hAnsi="Calibri" w:cs="Calibri"/>
          <w:i/>
          <w:iCs/>
          <w:lang w:val="en-US"/>
        </w:rPr>
        <w:t xml:space="preserve"> </w:t>
      </w:r>
      <w:r w:rsidRPr="00B6157E">
        <w:rPr>
          <w:rFonts w:ascii="Calibri" w:hAnsi="Calibri" w:cs="Calibri"/>
          <w:i/>
          <w:iCs/>
          <w:lang w:val="en-US"/>
        </w:rPr>
        <w:t>Treaty</w:t>
      </w:r>
      <w:r w:rsidR="003D640C" w:rsidRPr="00B6157E">
        <w:rPr>
          <w:rFonts w:ascii="Calibri" w:hAnsi="Calibri" w:cs="Calibri"/>
          <w:i/>
          <w:iCs/>
          <w:lang w:val="en-US"/>
        </w:rPr>
        <w:t xml:space="preserve"> </w:t>
      </w:r>
      <w:r w:rsidRPr="00B6157E">
        <w:rPr>
          <w:rFonts w:ascii="Calibri" w:hAnsi="Calibri" w:cs="Calibri"/>
          <w:i/>
          <w:iCs/>
          <w:lang w:val="en-US"/>
        </w:rPr>
        <w:t>of</w:t>
      </w:r>
      <w:r w:rsidR="003D640C" w:rsidRPr="00B6157E">
        <w:rPr>
          <w:rFonts w:ascii="Calibri" w:hAnsi="Calibri" w:cs="Calibri"/>
          <w:i/>
          <w:iCs/>
          <w:lang w:val="en-US"/>
        </w:rPr>
        <w:t xml:space="preserve"> </w:t>
      </w:r>
      <w:r w:rsidRPr="00B6157E">
        <w:rPr>
          <w:rFonts w:ascii="Calibri" w:hAnsi="Calibri" w:cs="Calibri"/>
          <w:i/>
          <w:iCs/>
          <w:lang w:val="en-US"/>
        </w:rPr>
        <w:t>Waitangi</w:t>
      </w:r>
      <w:r w:rsidR="0099715A" w:rsidRPr="00B6157E">
        <w:rPr>
          <w:rFonts w:ascii="Calibri" w:hAnsi="Calibri" w:cs="Calibri"/>
          <w:lang w:val="en-US"/>
        </w:rPr>
        <w:t>.</w:t>
      </w:r>
      <w:r w:rsidR="003D640C" w:rsidRPr="00B6157E">
        <w:rPr>
          <w:rFonts w:ascii="Calibri" w:hAnsi="Calibri" w:cs="Calibri"/>
          <w:lang w:val="en-US"/>
        </w:rPr>
        <w:t xml:space="preserve"> </w:t>
      </w:r>
      <w:hyperlink r:id="rId66" w:history="1">
        <w:r w:rsidR="0099715A" w:rsidRPr="00B6157E">
          <w:rPr>
            <w:rStyle w:val="Hyperlink"/>
            <w:rFonts w:ascii="Calibri" w:hAnsi="Calibri" w:cs="Calibri"/>
            <w:lang w:val="en-US"/>
          </w:rPr>
          <w:t>https://hrc-nz-resources.s3.ap-southeast-2.amazonaws.com/files/9114/2369/9284/Te_Mana_i_Waitangi_booklet.pdf</w:t>
        </w:r>
      </w:hyperlink>
      <w:r w:rsidR="0099715A" w:rsidRPr="00B6157E">
        <w:rPr>
          <w:rFonts w:ascii="Calibri" w:hAnsi="Calibri" w:cs="Calibri"/>
          <w:lang w:val="en-US"/>
        </w:rPr>
        <w:t xml:space="preserve"> </w:t>
      </w:r>
    </w:p>
    <w:p w14:paraId="32D877CC" w14:textId="7515EF55" w:rsidR="00A929D2" w:rsidRDefault="00A929D2" w:rsidP="007B139B">
      <w:pPr>
        <w:pStyle w:val="Reference"/>
      </w:pPr>
      <w:r w:rsidRPr="005B33A1">
        <w:lastRenderedPageBreak/>
        <w:t>Human</w:t>
      </w:r>
      <w:r w:rsidRPr="00B6157E">
        <w:t xml:space="preserve"> Rights</w:t>
      </w:r>
      <w:r>
        <w:t xml:space="preserve"> Commission. (2016). </w:t>
      </w:r>
      <w:r w:rsidRPr="00094317">
        <w:rPr>
          <w:i/>
        </w:rPr>
        <w:t>Intersex</w:t>
      </w:r>
      <w:r>
        <w:rPr>
          <w:i/>
        </w:rPr>
        <w:t xml:space="preserve"> </w:t>
      </w:r>
      <w:r w:rsidRPr="00094317">
        <w:rPr>
          <w:i/>
        </w:rPr>
        <w:t>roundtable</w:t>
      </w:r>
      <w:r>
        <w:rPr>
          <w:i/>
        </w:rPr>
        <w:t xml:space="preserve"> </w:t>
      </w:r>
      <w:r w:rsidRPr="00094317">
        <w:rPr>
          <w:i/>
        </w:rPr>
        <w:t>report</w:t>
      </w:r>
      <w:r>
        <w:rPr>
          <w:i/>
        </w:rPr>
        <w:t xml:space="preserve"> </w:t>
      </w:r>
      <w:r w:rsidRPr="00094317">
        <w:rPr>
          <w:i/>
        </w:rPr>
        <w:t>2016:</w:t>
      </w:r>
      <w:r>
        <w:rPr>
          <w:i/>
        </w:rPr>
        <w:t xml:space="preserve"> </w:t>
      </w:r>
      <w:r w:rsidRPr="00094317">
        <w:rPr>
          <w:i/>
        </w:rPr>
        <w:t>The</w:t>
      </w:r>
      <w:r>
        <w:rPr>
          <w:i/>
        </w:rPr>
        <w:t xml:space="preserve"> </w:t>
      </w:r>
      <w:r w:rsidRPr="00094317">
        <w:rPr>
          <w:i/>
        </w:rPr>
        <w:t>practice</w:t>
      </w:r>
      <w:r>
        <w:rPr>
          <w:i/>
        </w:rPr>
        <w:t xml:space="preserve"> </w:t>
      </w:r>
      <w:r w:rsidRPr="00094317">
        <w:rPr>
          <w:i/>
        </w:rPr>
        <w:t>of</w:t>
      </w:r>
      <w:r>
        <w:rPr>
          <w:i/>
        </w:rPr>
        <w:t xml:space="preserve"> </w:t>
      </w:r>
      <w:r w:rsidRPr="00094317">
        <w:rPr>
          <w:i/>
        </w:rPr>
        <w:t>genital</w:t>
      </w:r>
      <w:r>
        <w:rPr>
          <w:i/>
        </w:rPr>
        <w:t xml:space="preserve"> </w:t>
      </w:r>
      <w:r w:rsidRPr="00094317">
        <w:rPr>
          <w:i/>
        </w:rPr>
        <w:t>normalisation</w:t>
      </w:r>
      <w:r>
        <w:rPr>
          <w:i/>
        </w:rPr>
        <w:t xml:space="preserve"> </w:t>
      </w:r>
      <w:r w:rsidRPr="00094317">
        <w:rPr>
          <w:i/>
        </w:rPr>
        <w:t>on</w:t>
      </w:r>
      <w:r>
        <w:rPr>
          <w:i/>
        </w:rPr>
        <w:t xml:space="preserve"> </w:t>
      </w:r>
      <w:r w:rsidRPr="00094317">
        <w:rPr>
          <w:i/>
        </w:rPr>
        <w:t>intersex</w:t>
      </w:r>
      <w:r>
        <w:rPr>
          <w:i/>
        </w:rPr>
        <w:t xml:space="preserve"> </w:t>
      </w:r>
      <w:r w:rsidRPr="00094317">
        <w:rPr>
          <w:i/>
        </w:rPr>
        <w:t>children</w:t>
      </w:r>
      <w:r>
        <w:rPr>
          <w:i/>
        </w:rPr>
        <w:t xml:space="preserve"> </w:t>
      </w:r>
      <w:r w:rsidRPr="00094317">
        <w:rPr>
          <w:i/>
        </w:rPr>
        <w:t>in</w:t>
      </w:r>
      <w:r>
        <w:rPr>
          <w:i/>
        </w:rPr>
        <w:t xml:space="preserve"> </w:t>
      </w:r>
      <w:r w:rsidRPr="00094317">
        <w:rPr>
          <w:i/>
        </w:rPr>
        <w:t>Aotearoa</w:t>
      </w:r>
      <w:r>
        <w:rPr>
          <w:i/>
        </w:rPr>
        <w:t xml:space="preserve"> </w:t>
      </w:r>
      <w:r w:rsidRPr="00094317">
        <w:rPr>
          <w:i/>
        </w:rPr>
        <w:t>New</w:t>
      </w:r>
      <w:r>
        <w:rPr>
          <w:i/>
        </w:rPr>
        <w:t xml:space="preserve"> </w:t>
      </w:r>
      <w:r w:rsidRPr="00094317">
        <w:rPr>
          <w:i/>
        </w:rPr>
        <w:t>Zealand</w:t>
      </w:r>
      <w:r>
        <w:t xml:space="preserve">. </w:t>
      </w:r>
      <w:hyperlink r:id="rId67" w:history="1">
        <w:r w:rsidRPr="00790237">
          <w:rPr>
            <w:rStyle w:val="Hyperlink"/>
          </w:rPr>
          <w:t>https://hrc-nz-resources.s3.ap-southeast-2.amazonaws.com/files/5914/8124/9497/HRC_Intersex_Roundtable.pdf</w:t>
        </w:r>
      </w:hyperlink>
      <w:r>
        <w:t xml:space="preserve"> </w:t>
      </w:r>
    </w:p>
    <w:p w14:paraId="67FD69DE" w14:textId="0D5C880D" w:rsidR="00762E8A" w:rsidRPr="00B6157E" w:rsidRDefault="00762E8A" w:rsidP="00762E8A">
      <w:pPr>
        <w:pStyle w:val="Reference"/>
      </w:pPr>
      <w:r w:rsidRPr="005B33A1">
        <w:t>Human</w:t>
      </w:r>
      <w:r w:rsidRPr="00B6157E">
        <w:t xml:space="preserve"> Rights Commission. (2020). </w:t>
      </w:r>
      <w:r w:rsidRPr="00B6157E">
        <w:rPr>
          <w:i/>
          <w:iCs/>
        </w:rPr>
        <w:t>Prism: Human rights issues relating to sexual orientation, gender identity and expression, and sex characteristics (SOGIESC) in Aotearoa New Zealand – A report with recommendations</w:t>
      </w:r>
      <w:r w:rsidRPr="00B6157E">
        <w:t xml:space="preserve">. </w:t>
      </w:r>
      <w:hyperlink r:id="rId68" w:history="1">
        <w:r w:rsidRPr="00B6157E">
          <w:rPr>
            <w:rStyle w:val="Hyperlink"/>
          </w:rPr>
          <w:t>https://hrc-nz-resources.s3.ap-southeast-2.amazonaws.com/files/9215/9253/7296/HRC_PRISM_SOGIESC_Report_June_2020_FINAL.pdf</w:t>
        </w:r>
      </w:hyperlink>
    </w:p>
    <w:p w14:paraId="22087C8E" w14:textId="28B301A6" w:rsidR="00EC3CF2" w:rsidRPr="00B6157E" w:rsidRDefault="00EC3CF2" w:rsidP="00762E8A">
      <w:pPr>
        <w:pStyle w:val="Reference"/>
      </w:pPr>
      <w:r w:rsidRPr="005B33A1">
        <w:rPr>
          <w:rFonts w:ascii="Calibri" w:hAnsi="Calibri" w:cs="Calibri"/>
          <w:lang w:val="mi-NZ"/>
        </w:rPr>
        <w:t>Human</w:t>
      </w:r>
      <w:r w:rsidRPr="00B6157E">
        <w:rPr>
          <w:rFonts w:ascii="Calibri" w:hAnsi="Calibri" w:cs="Calibri"/>
          <w:lang w:val="mi-NZ"/>
        </w:rPr>
        <w:t xml:space="preserve"> Rights Commission. (2021). </w:t>
      </w:r>
      <w:r w:rsidRPr="00B6157E">
        <w:rPr>
          <w:i/>
          <w:iCs/>
          <w:lang w:val="mi-NZ"/>
        </w:rPr>
        <w:t>Conversion Practices Prohibition Legislation Bill: Submission of the Human Rights Commission</w:t>
      </w:r>
      <w:r w:rsidRPr="00B6157E">
        <w:rPr>
          <w:lang w:val="mi-NZ"/>
        </w:rPr>
        <w:t xml:space="preserve">. </w:t>
      </w:r>
      <w:hyperlink r:id="rId69" w:history="1">
        <w:r w:rsidRPr="00B6157E">
          <w:rPr>
            <w:rStyle w:val="Hyperlink"/>
          </w:rPr>
          <w:t>https://www.parliament.nz/resource/en-NZ/53SCJU_EVI_113397_JU39398/73793237cf31671ba3352c656c9a88eae5710d47</w:t>
        </w:r>
      </w:hyperlink>
      <w:r w:rsidRPr="00B6157E">
        <w:t xml:space="preserve"> </w:t>
      </w:r>
    </w:p>
    <w:p w14:paraId="221DF06D" w14:textId="3A95A4E7" w:rsidR="00CB0BD9" w:rsidRPr="00B6157E" w:rsidRDefault="00CB0BD9" w:rsidP="007B139B">
      <w:pPr>
        <w:pStyle w:val="Reference"/>
        <w:rPr>
          <w:lang w:val="mi-NZ"/>
        </w:rPr>
      </w:pPr>
      <w:r w:rsidRPr="005B33A1">
        <w:rPr>
          <w:rFonts w:ascii="Calibri" w:hAnsi="Calibri" w:cs="Calibri"/>
          <w:lang w:val="mi-NZ"/>
        </w:rPr>
        <w:t>Human</w:t>
      </w:r>
      <w:r w:rsidRPr="00B6157E">
        <w:rPr>
          <w:rFonts w:ascii="Calibri" w:hAnsi="Calibri" w:cs="Calibri"/>
          <w:lang w:val="mi-NZ"/>
        </w:rPr>
        <w:t xml:space="preserve"> Rights Commission. (2022</w:t>
      </w:r>
      <w:r w:rsidR="007A78A0" w:rsidRPr="00B6157E">
        <w:rPr>
          <w:rFonts w:ascii="Calibri" w:hAnsi="Calibri" w:cs="Calibri"/>
          <w:lang w:val="mi-NZ"/>
        </w:rPr>
        <w:t>a</w:t>
      </w:r>
      <w:r w:rsidRPr="00B6157E">
        <w:rPr>
          <w:rFonts w:ascii="Calibri" w:hAnsi="Calibri" w:cs="Calibri"/>
          <w:lang w:val="mi-NZ"/>
        </w:rPr>
        <w:t xml:space="preserve">). </w:t>
      </w:r>
      <w:r w:rsidRPr="00B6157E">
        <w:rPr>
          <w:rFonts w:ascii="Calibri" w:hAnsi="Calibri" w:cs="Calibri"/>
          <w:i/>
          <w:iCs/>
          <w:lang w:val="mi-NZ"/>
        </w:rPr>
        <w:t>Conversion practices guidelines.</w:t>
      </w:r>
      <w:r w:rsidRPr="00B6157E">
        <w:rPr>
          <w:rFonts w:ascii="Calibri" w:hAnsi="Calibri" w:cs="Calibri"/>
          <w:lang w:val="mi-NZ"/>
        </w:rPr>
        <w:t xml:space="preserve"> </w:t>
      </w:r>
      <w:hyperlink r:id="rId70" w:history="1">
        <w:r w:rsidRPr="00B6157E">
          <w:rPr>
            <w:rStyle w:val="Hyperlink"/>
          </w:rPr>
          <w:t>https://tikatangata.org.nz/resources-and-support/guidelines/guidelines-on-conversion-practices</w:t>
        </w:r>
      </w:hyperlink>
    </w:p>
    <w:p w14:paraId="48C792C5" w14:textId="6F475730" w:rsidR="00762E8A" w:rsidRPr="00B6157E" w:rsidRDefault="00762E8A" w:rsidP="00762E8A">
      <w:pPr>
        <w:pStyle w:val="Reference"/>
        <w:rPr>
          <w:lang w:val="en-US"/>
        </w:rPr>
      </w:pPr>
      <w:r w:rsidRPr="005B33A1">
        <w:t>Human</w:t>
      </w:r>
      <w:r w:rsidRPr="00B6157E">
        <w:t xml:space="preserve"> Rights Commission. (2022</w:t>
      </w:r>
      <w:r w:rsidR="007A78A0" w:rsidRPr="00B6157E">
        <w:t>b</w:t>
      </w:r>
      <w:r w:rsidRPr="00B6157E">
        <w:t xml:space="preserve">). </w:t>
      </w:r>
      <w:r w:rsidRPr="00B6157E">
        <w:rPr>
          <w:i/>
          <w:iCs/>
        </w:rPr>
        <w:t xml:space="preserve">Voices of Pacific </w:t>
      </w:r>
      <w:r w:rsidR="00DA6355" w:rsidRPr="00B6157E">
        <w:rPr>
          <w:i/>
          <w:iCs/>
        </w:rPr>
        <w:t>p</w:t>
      </w:r>
      <w:r w:rsidRPr="00B6157E">
        <w:rPr>
          <w:i/>
          <w:iCs/>
          <w:lang w:val="en-US"/>
        </w:rPr>
        <w:t>eoples</w:t>
      </w:r>
      <w:r w:rsidR="007A78A0" w:rsidRPr="00B6157E">
        <w:rPr>
          <w:i/>
          <w:iCs/>
          <w:lang w:val="en-US"/>
        </w:rPr>
        <w:t>:</w:t>
      </w:r>
      <w:r w:rsidRPr="00B6157E">
        <w:rPr>
          <w:i/>
          <w:iCs/>
          <w:lang w:val="en-US"/>
        </w:rPr>
        <w:t xml:space="preserve"> Eliminating </w:t>
      </w:r>
      <w:r w:rsidR="007A78A0" w:rsidRPr="00B6157E">
        <w:rPr>
          <w:i/>
          <w:iCs/>
          <w:lang w:val="en-US"/>
        </w:rPr>
        <w:t>p</w:t>
      </w:r>
      <w:r w:rsidRPr="00B6157E">
        <w:rPr>
          <w:i/>
          <w:iCs/>
          <w:lang w:val="en-US"/>
        </w:rPr>
        <w:t xml:space="preserve">ay </w:t>
      </w:r>
      <w:r w:rsidR="007A78A0" w:rsidRPr="00B6157E">
        <w:rPr>
          <w:i/>
          <w:iCs/>
          <w:lang w:val="en-US"/>
        </w:rPr>
        <w:t>g</w:t>
      </w:r>
      <w:r w:rsidRPr="00B6157E">
        <w:rPr>
          <w:i/>
          <w:iCs/>
          <w:lang w:val="en-US"/>
        </w:rPr>
        <w:t>aps</w:t>
      </w:r>
      <w:r w:rsidRPr="00B6157E">
        <w:rPr>
          <w:lang w:val="en-US"/>
        </w:rPr>
        <w:t xml:space="preserve">. </w:t>
      </w:r>
      <w:hyperlink r:id="rId71" w:history="1">
        <w:r w:rsidR="00C0497B" w:rsidRPr="00B6157E">
          <w:rPr>
            <w:rStyle w:val="Hyperlink"/>
            <w:lang w:val="en-US"/>
          </w:rPr>
          <w:t>https://tikatangata.org.nz/cms/assets/Documents/Voices-of-Pacific-Peoples-Pacific-Pay-Gap-Inquiry-Report.pdf</w:t>
        </w:r>
      </w:hyperlink>
      <w:r w:rsidR="00C0497B" w:rsidRPr="00B6157E">
        <w:rPr>
          <w:lang w:val="en-US"/>
        </w:rPr>
        <w:t xml:space="preserve"> </w:t>
      </w:r>
    </w:p>
    <w:p w14:paraId="2B566AD5" w14:textId="204282A2" w:rsidR="00762E8A" w:rsidRDefault="00762E8A" w:rsidP="00762E8A">
      <w:pPr>
        <w:pStyle w:val="Reference"/>
        <w:rPr>
          <w:lang w:val="en-US"/>
        </w:rPr>
      </w:pPr>
      <w:r w:rsidRPr="005B33A1">
        <w:t>Human</w:t>
      </w:r>
      <w:r w:rsidRPr="00B6157E">
        <w:t xml:space="preserve"> Rights Commission. (2022</w:t>
      </w:r>
      <w:r w:rsidR="00DA6355" w:rsidRPr="00B6157E">
        <w:t>c</w:t>
      </w:r>
      <w:r w:rsidRPr="00B6157E">
        <w:t xml:space="preserve">). </w:t>
      </w:r>
      <w:r w:rsidRPr="00B6157E">
        <w:rPr>
          <w:i/>
          <w:iCs/>
        </w:rPr>
        <w:t xml:space="preserve">Voices of Pacific </w:t>
      </w:r>
      <w:r w:rsidR="00DA6355" w:rsidRPr="00B6157E">
        <w:rPr>
          <w:i/>
          <w:iCs/>
        </w:rPr>
        <w:t>p</w:t>
      </w:r>
      <w:r w:rsidRPr="00B6157E">
        <w:rPr>
          <w:i/>
          <w:iCs/>
          <w:lang w:val="en-US"/>
        </w:rPr>
        <w:t>eoples</w:t>
      </w:r>
      <w:r w:rsidR="00DA6355" w:rsidRPr="00B6157E">
        <w:rPr>
          <w:i/>
          <w:iCs/>
          <w:lang w:val="en-US"/>
        </w:rPr>
        <w:t>:</w:t>
      </w:r>
      <w:r w:rsidRPr="00B6157E">
        <w:rPr>
          <w:i/>
          <w:iCs/>
          <w:lang w:val="en-US"/>
        </w:rPr>
        <w:t xml:space="preserve"> Executive </w:t>
      </w:r>
      <w:r w:rsidR="00DA6355" w:rsidRPr="00B6157E">
        <w:rPr>
          <w:i/>
          <w:iCs/>
          <w:lang w:val="en-US"/>
        </w:rPr>
        <w:t>s</w:t>
      </w:r>
      <w:r w:rsidRPr="00B6157E">
        <w:rPr>
          <w:i/>
          <w:iCs/>
          <w:lang w:val="en-US"/>
        </w:rPr>
        <w:t xml:space="preserve">ummary and </w:t>
      </w:r>
      <w:r w:rsidR="00DA6355" w:rsidRPr="00B6157E">
        <w:rPr>
          <w:i/>
          <w:iCs/>
          <w:lang w:val="en-US"/>
        </w:rPr>
        <w:t>r</w:t>
      </w:r>
      <w:r w:rsidRPr="00B6157E">
        <w:rPr>
          <w:i/>
          <w:iCs/>
          <w:lang w:val="en-US"/>
        </w:rPr>
        <w:t>ecommendations</w:t>
      </w:r>
      <w:r>
        <w:rPr>
          <w:lang w:val="en-US"/>
        </w:rPr>
        <w:t xml:space="preserve">. </w:t>
      </w:r>
      <w:hyperlink r:id="rId72" w:history="1">
        <w:r w:rsidR="00DA6355" w:rsidRPr="00B13BFC">
          <w:rPr>
            <w:rStyle w:val="Hyperlink"/>
            <w:lang w:val="en-US"/>
          </w:rPr>
          <w:t>https://tikatangata.org.nz/cms/assets/Documents/Voices-of-Pacific-Peoples-Executive-Summary.pdf</w:t>
        </w:r>
      </w:hyperlink>
      <w:r w:rsidR="00DA6355">
        <w:rPr>
          <w:lang w:val="en-US"/>
        </w:rPr>
        <w:t xml:space="preserve"> </w:t>
      </w:r>
    </w:p>
    <w:p w14:paraId="2A8563A5" w14:textId="4B1517EE" w:rsidR="001D5204" w:rsidRPr="005B33A1" w:rsidRDefault="001D5204" w:rsidP="00762E8A">
      <w:pPr>
        <w:pStyle w:val="Reference"/>
        <w:rPr>
          <w:lang w:val="en-US"/>
        </w:rPr>
      </w:pPr>
      <w:r w:rsidRPr="005B33A1">
        <w:rPr>
          <w:lang w:val="en-US"/>
        </w:rPr>
        <w:t>Human</w:t>
      </w:r>
      <w:r w:rsidRPr="00B6157E">
        <w:rPr>
          <w:lang w:val="en-US"/>
        </w:rPr>
        <w:t xml:space="preserve"> Rights Commission. (2023a). </w:t>
      </w:r>
      <w:r w:rsidRPr="00B6157E">
        <w:rPr>
          <w:rFonts w:ascii="Calibri" w:hAnsi="Calibri" w:cs="Calibri"/>
          <w:i/>
          <w:iCs/>
          <w:lang w:val="mi-NZ"/>
        </w:rPr>
        <w:t xml:space="preserve">Conversion practices: Guidance for mental healthcare professionals. </w:t>
      </w:r>
      <w:r w:rsidRPr="00B6157E">
        <w:rPr>
          <w:rFonts w:ascii="Calibri" w:hAnsi="Calibri" w:cs="Calibri"/>
          <w:lang w:val="mi-NZ"/>
        </w:rPr>
        <w:t>https://tikatangata.org.nz/our-work/conversion-practices-guidance-for-mental-healthcare-professionals</w:t>
      </w:r>
    </w:p>
    <w:p w14:paraId="08D2322B" w14:textId="30526C2F" w:rsidR="00B22E77" w:rsidRPr="00B6157E" w:rsidRDefault="00B22E77" w:rsidP="00762E8A">
      <w:pPr>
        <w:pStyle w:val="Reference"/>
        <w:rPr>
          <w:rFonts w:ascii="Calibri" w:hAnsi="Calibri" w:cs="Calibri"/>
          <w:lang w:val="mi-NZ"/>
        </w:rPr>
      </w:pPr>
      <w:r w:rsidRPr="005B33A1">
        <w:rPr>
          <w:lang w:val="en-US"/>
        </w:rPr>
        <w:t>Human</w:t>
      </w:r>
      <w:r w:rsidRPr="00B6157E">
        <w:rPr>
          <w:lang w:val="en-US"/>
        </w:rPr>
        <w:t xml:space="preserve"> Rights Commission. (2023</w:t>
      </w:r>
      <w:r w:rsidR="001D5204" w:rsidRPr="00B6157E">
        <w:rPr>
          <w:lang w:val="en-US"/>
        </w:rPr>
        <w:t>b</w:t>
      </w:r>
      <w:r w:rsidRPr="00B6157E">
        <w:rPr>
          <w:lang w:val="en-US"/>
        </w:rPr>
        <w:t xml:space="preserve">). </w:t>
      </w:r>
      <w:r w:rsidRPr="00B6157E">
        <w:rPr>
          <w:rFonts w:ascii="Calibri" w:hAnsi="Calibri" w:cs="Calibri"/>
          <w:i/>
          <w:iCs/>
          <w:lang w:val="mi-NZ"/>
        </w:rPr>
        <w:t xml:space="preserve">Conversion practices: Guidance for people working in religious communities. </w:t>
      </w:r>
      <w:hyperlink r:id="rId73" w:history="1">
        <w:r w:rsidRPr="00B6157E">
          <w:rPr>
            <w:rStyle w:val="Hyperlink"/>
          </w:rPr>
          <w:t>https://tikatangata.org.nz/our-work/conversion-practices-guidance-for-people-working-in-religious-communities-new-resource-page</w:t>
        </w:r>
      </w:hyperlink>
      <w:r w:rsidRPr="00B6157E">
        <w:rPr>
          <w:rFonts w:ascii="Calibri" w:hAnsi="Calibri" w:cs="Calibri"/>
          <w:lang w:val="mi-NZ"/>
        </w:rPr>
        <w:t xml:space="preserve"> </w:t>
      </w:r>
    </w:p>
    <w:p w14:paraId="39E6E9F1" w14:textId="28BBC192" w:rsidR="001D5204" w:rsidRPr="00B6157E" w:rsidRDefault="001D5204" w:rsidP="00762E8A">
      <w:pPr>
        <w:pStyle w:val="Reference"/>
        <w:rPr>
          <w:lang w:val="en-US"/>
        </w:rPr>
      </w:pPr>
      <w:r w:rsidRPr="005B33A1">
        <w:rPr>
          <w:lang w:val="en-US"/>
        </w:rPr>
        <w:t>Human</w:t>
      </w:r>
      <w:r w:rsidRPr="00B6157E">
        <w:rPr>
          <w:lang w:val="en-US"/>
        </w:rPr>
        <w:t xml:space="preserve"> Rights Commission. (2023c). </w:t>
      </w:r>
      <w:r w:rsidRPr="00B6157E">
        <w:rPr>
          <w:rFonts w:ascii="Calibri" w:hAnsi="Calibri" w:cs="Calibri"/>
          <w:i/>
          <w:iCs/>
          <w:lang w:val="mi-NZ"/>
        </w:rPr>
        <w:t>Conversion practices: Guidance for those working with rangatahi and their whānau.</w:t>
      </w:r>
      <w:r w:rsidRPr="00B6157E">
        <w:rPr>
          <w:rFonts w:ascii="Calibri" w:hAnsi="Calibri" w:cs="Calibri"/>
          <w:lang w:val="mi-NZ"/>
        </w:rPr>
        <w:t xml:space="preserve"> https://tikatangata.org.nz/our-work/conversion-practices-guidance-for-those-working-with-rangatahi-and-whanau</w:t>
      </w:r>
    </w:p>
    <w:p w14:paraId="51550620" w14:textId="11A72EE4" w:rsidR="00762E8A" w:rsidRPr="00B6157E" w:rsidRDefault="00762E8A" w:rsidP="00762E8A">
      <w:pPr>
        <w:pStyle w:val="Reference"/>
        <w:rPr>
          <w:rFonts w:ascii="Calibri" w:hAnsi="Calibri" w:cs="Calibri"/>
        </w:rPr>
      </w:pPr>
      <w:r w:rsidRPr="005B33A1">
        <w:rPr>
          <w:rFonts w:ascii="Calibri" w:hAnsi="Calibri" w:cs="Calibri"/>
          <w:lang w:val="mi-NZ"/>
        </w:rPr>
        <w:t>Human</w:t>
      </w:r>
      <w:r w:rsidRPr="00B6157E">
        <w:rPr>
          <w:rFonts w:ascii="Calibri" w:hAnsi="Calibri" w:cs="Calibri"/>
          <w:lang w:val="mi-NZ"/>
        </w:rPr>
        <w:t xml:space="preserve"> Rights Commission. (n.d.a). </w:t>
      </w:r>
      <w:r w:rsidRPr="00B6157E">
        <w:rPr>
          <w:rFonts w:ascii="Calibri" w:hAnsi="Calibri" w:cs="Calibri"/>
          <w:i/>
          <w:iCs/>
          <w:lang w:val="mi-NZ"/>
        </w:rPr>
        <w:t>Conversion practices.</w:t>
      </w:r>
      <w:r w:rsidRPr="00B6157E">
        <w:rPr>
          <w:rFonts w:ascii="Calibri" w:hAnsi="Calibri" w:cs="Calibri"/>
          <w:lang w:val="mi-NZ"/>
        </w:rPr>
        <w:t xml:space="preserve"> </w:t>
      </w:r>
      <w:hyperlink r:id="rId74" w:history="1">
        <w:r w:rsidRPr="00B6157E">
          <w:rPr>
            <w:rStyle w:val="Hyperlink"/>
            <w:rFonts w:ascii="Calibri" w:hAnsi="Calibri" w:cs="Calibri"/>
          </w:rPr>
          <w:t>https://tikatangata.org.nz/resources-and-support/conversion-practices</w:t>
        </w:r>
      </w:hyperlink>
    </w:p>
    <w:p w14:paraId="45D8D7BC" w14:textId="77777777" w:rsidR="00762E8A" w:rsidRPr="00B6157E" w:rsidRDefault="00762E8A" w:rsidP="00762E8A">
      <w:pPr>
        <w:pStyle w:val="Reference"/>
        <w:rPr>
          <w:rStyle w:val="Hyperlink"/>
          <w:lang w:val="mi-NZ"/>
        </w:rPr>
      </w:pPr>
      <w:r w:rsidRPr="005B33A1">
        <w:rPr>
          <w:lang w:val="mi-NZ"/>
        </w:rPr>
        <w:t>Human</w:t>
      </w:r>
      <w:r w:rsidRPr="00B6157E">
        <w:rPr>
          <w:lang w:val="mi-NZ"/>
        </w:rPr>
        <w:t xml:space="preserve"> Rights Commission. (n.d.b). </w:t>
      </w:r>
      <w:r w:rsidRPr="00B6157E">
        <w:rPr>
          <w:i/>
          <w:iCs/>
          <w:lang w:val="mi-NZ"/>
        </w:rPr>
        <w:t>Making a complaint</w:t>
      </w:r>
      <w:r w:rsidRPr="00B6157E">
        <w:rPr>
          <w:lang w:val="mi-NZ"/>
        </w:rPr>
        <w:t xml:space="preserve">. </w:t>
      </w:r>
      <w:hyperlink r:id="rId75" w:history="1">
        <w:r w:rsidRPr="00B6157E">
          <w:rPr>
            <w:rStyle w:val="Hyperlink"/>
            <w:lang w:val="mi-NZ"/>
          </w:rPr>
          <w:t>https://tikatangata.org.nz/resources-and-support/make-a-complaint</w:t>
        </w:r>
      </w:hyperlink>
    </w:p>
    <w:p w14:paraId="2AD92688" w14:textId="77777777" w:rsidR="00762E8A" w:rsidRDefault="00762E8A" w:rsidP="00762E8A">
      <w:pPr>
        <w:pStyle w:val="Reference"/>
      </w:pPr>
      <w:r w:rsidRPr="005B33A1">
        <w:rPr>
          <w:lang w:val="mi-NZ"/>
        </w:rPr>
        <w:t>Human</w:t>
      </w:r>
      <w:r w:rsidRPr="00B6157E">
        <w:rPr>
          <w:lang w:val="mi-NZ"/>
        </w:rPr>
        <w:t xml:space="preserve"> Rights Commission</w:t>
      </w:r>
      <w:r>
        <w:rPr>
          <w:lang w:val="mi-NZ"/>
        </w:rPr>
        <w:t xml:space="preserve">. (n.d.c). </w:t>
      </w:r>
      <w:r w:rsidRPr="00B6387F">
        <w:rPr>
          <w:i/>
          <w:iCs/>
          <w:lang w:val="mi-NZ"/>
        </w:rPr>
        <w:t>Te</w:t>
      </w:r>
      <w:r>
        <w:rPr>
          <w:i/>
          <w:iCs/>
          <w:lang w:val="mi-NZ"/>
        </w:rPr>
        <w:t xml:space="preserve"> </w:t>
      </w:r>
      <w:r w:rsidRPr="00B6387F">
        <w:rPr>
          <w:i/>
          <w:iCs/>
          <w:lang w:val="mi-NZ"/>
        </w:rPr>
        <w:t>Tari</w:t>
      </w:r>
      <w:r>
        <w:rPr>
          <w:i/>
          <w:iCs/>
          <w:lang w:val="mi-NZ"/>
        </w:rPr>
        <w:t xml:space="preserve"> </w:t>
      </w:r>
      <w:r w:rsidRPr="00B6387F">
        <w:rPr>
          <w:i/>
          <w:iCs/>
          <w:lang w:val="mi-NZ"/>
        </w:rPr>
        <w:t>Whakatau</w:t>
      </w:r>
      <w:r>
        <w:rPr>
          <w:i/>
          <w:iCs/>
          <w:lang w:val="mi-NZ"/>
        </w:rPr>
        <w:t xml:space="preserve"> </w:t>
      </w:r>
      <w:r w:rsidRPr="00B6387F">
        <w:rPr>
          <w:i/>
          <w:iCs/>
          <w:lang w:val="mi-NZ"/>
        </w:rPr>
        <w:t>Take</w:t>
      </w:r>
      <w:r>
        <w:rPr>
          <w:i/>
          <w:iCs/>
          <w:lang w:val="mi-NZ"/>
        </w:rPr>
        <w:t xml:space="preserve"> </w:t>
      </w:r>
      <w:r w:rsidRPr="00B6387F">
        <w:rPr>
          <w:i/>
          <w:iCs/>
          <w:lang w:val="mi-NZ"/>
        </w:rPr>
        <w:t>Tika</w:t>
      </w:r>
      <w:r>
        <w:rPr>
          <w:i/>
          <w:iCs/>
          <w:lang w:val="mi-NZ"/>
        </w:rPr>
        <w:t xml:space="preserve"> </w:t>
      </w:r>
      <w:r w:rsidRPr="00B6387F">
        <w:rPr>
          <w:i/>
          <w:iCs/>
          <w:lang w:val="mi-NZ"/>
        </w:rPr>
        <w:t>Tangata</w:t>
      </w:r>
      <w:r>
        <w:rPr>
          <w:i/>
          <w:iCs/>
          <w:lang w:val="mi-NZ"/>
        </w:rPr>
        <w:t xml:space="preserve"> | </w:t>
      </w:r>
      <w:r w:rsidRPr="00B6387F">
        <w:rPr>
          <w:i/>
          <w:iCs/>
          <w:lang w:val="mi-NZ"/>
        </w:rPr>
        <w:t>The</w:t>
      </w:r>
      <w:r>
        <w:rPr>
          <w:i/>
          <w:iCs/>
          <w:lang w:val="mi-NZ"/>
        </w:rPr>
        <w:t xml:space="preserve"> </w:t>
      </w:r>
      <w:r w:rsidRPr="00B6387F">
        <w:rPr>
          <w:i/>
          <w:iCs/>
          <w:lang w:val="mi-NZ"/>
        </w:rPr>
        <w:t>Office</w:t>
      </w:r>
      <w:r>
        <w:rPr>
          <w:i/>
          <w:iCs/>
          <w:lang w:val="mi-NZ"/>
        </w:rPr>
        <w:t xml:space="preserve"> </w:t>
      </w:r>
      <w:r w:rsidRPr="00B6387F">
        <w:rPr>
          <w:i/>
          <w:iCs/>
          <w:lang w:val="mi-NZ"/>
        </w:rPr>
        <w:t>of</w:t>
      </w:r>
      <w:r>
        <w:rPr>
          <w:i/>
          <w:iCs/>
          <w:lang w:val="mi-NZ"/>
        </w:rPr>
        <w:t xml:space="preserve"> </w:t>
      </w:r>
      <w:r w:rsidRPr="00B6387F">
        <w:rPr>
          <w:i/>
          <w:iCs/>
          <w:lang w:val="mi-NZ"/>
        </w:rPr>
        <w:t>Human</w:t>
      </w:r>
      <w:r>
        <w:rPr>
          <w:i/>
          <w:iCs/>
          <w:lang w:val="mi-NZ"/>
        </w:rPr>
        <w:t xml:space="preserve"> </w:t>
      </w:r>
      <w:r w:rsidRPr="00B6387F">
        <w:rPr>
          <w:i/>
          <w:iCs/>
          <w:lang w:val="mi-NZ"/>
        </w:rPr>
        <w:t>Rights</w:t>
      </w:r>
      <w:r>
        <w:rPr>
          <w:i/>
          <w:iCs/>
          <w:lang w:val="mi-NZ"/>
        </w:rPr>
        <w:t xml:space="preserve"> </w:t>
      </w:r>
      <w:r w:rsidRPr="00B6387F">
        <w:rPr>
          <w:i/>
          <w:iCs/>
          <w:lang w:val="mi-NZ"/>
        </w:rPr>
        <w:t>Proceedings</w:t>
      </w:r>
      <w:r>
        <w:rPr>
          <w:i/>
          <w:iCs/>
          <w:lang w:val="mi-NZ"/>
        </w:rPr>
        <w:t>.</w:t>
      </w:r>
      <w:r>
        <w:rPr>
          <w:lang w:val="mi-NZ"/>
        </w:rPr>
        <w:t xml:space="preserve"> </w:t>
      </w:r>
      <w:hyperlink r:id="rId76" w:history="1">
        <w:r w:rsidRPr="00ED2795">
          <w:rPr>
            <w:rStyle w:val="Hyperlink"/>
          </w:rPr>
          <w:t>https://tikatangata.org.nz/about-us/office-of-human-rights-proceedings</w:t>
        </w:r>
      </w:hyperlink>
      <w:r>
        <w:t xml:space="preserve"> </w:t>
      </w:r>
    </w:p>
    <w:p w14:paraId="7FC6D353" w14:textId="62F4117A" w:rsidR="00762E8A" w:rsidRPr="00B6157E" w:rsidRDefault="00762E8A" w:rsidP="00762E8A">
      <w:pPr>
        <w:pStyle w:val="Reference"/>
        <w:rPr>
          <w:rStyle w:val="Hyperlink"/>
          <w:lang w:val="en-US"/>
        </w:rPr>
      </w:pPr>
      <w:r w:rsidRPr="005B33A1">
        <w:t>Human</w:t>
      </w:r>
      <w:r w:rsidRPr="00B6157E">
        <w:t xml:space="preserve"> Rights Commission &amp; Tangata Whenua Caucus and Tangata Tiriti Caucus of the National AntiRacism Taskforce. (2022). </w:t>
      </w:r>
      <w:r w:rsidRPr="00B6157E">
        <w:rPr>
          <w:i/>
          <w:iCs/>
        </w:rPr>
        <w:t>Ki te whaiao, ki te ao Mārama: Community engagement report for developing a national action plan against racism</w:t>
      </w:r>
      <w:r w:rsidRPr="00B6157E">
        <w:t xml:space="preserve">. </w:t>
      </w:r>
      <w:hyperlink r:id="rId77" w:history="1">
        <w:r w:rsidRPr="00B6157E">
          <w:rPr>
            <w:rStyle w:val="Hyperlink"/>
          </w:rPr>
          <w:t>https://tikatangata.org.nz/our-work/ki-te-whaiao-ke-te-ao-marama</w:t>
        </w:r>
      </w:hyperlink>
    </w:p>
    <w:p w14:paraId="295993DD" w14:textId="532B8E97" w:rsidR="00F01386" w:rsidRPr="00B6157E" w:rsidRDefault="00F01386" w:rsidP="00E00167">
      <w:pPr>
        <w:pStyle w:val="Reference"/>
      </w:pPr>
      <w:r w:rsidRPr="00B6157E">
        <w:t>Independent</w:t>
      </w:r>
      <w:r w:rsidR="003D640C" w:rsidRPr="00B6157E">
        <w:t xml:space="preserve"> </w:t>
      </w:r>
      <w:r w:rsidRPr="00B6157E">
        <w:t>Expert</w:t>
      </w:r>
      <w:r w:rsidR="003D640C" w:rsidRPr="00B6157E">
        <w:t xml:space="preserve"> </w:t>
      </w:r>
      <w:r w:rsidRPr="00B6157E">
        <w:t>on</w:t>
      </w:r>
      <w:r w:rsidR="003D640C" w:rsidRPr="00B6157E">
        <w:t xml:space="preserve"> </w:t>
      </w:r>
      <w:r w:rsidR="00EA68A9" w:rsidRPr="00B6157E">
        <w:t>S</w:t>
      </w:r>
      <w:r w:rsidRPr="00B6157E">
        <w:t>exual</w:t>
      </w:r>
      <w:r w:rsidR="003D640C" w:rsidRPr="00B6157E">
        <w:t xml:space="preserve"> </w:t>
      </w:r>
      <w:r w:rsidR="00EA68A9" w:rsidRPr="00B6157E">
        <w:t>O</w:t>
      </w:r>
      <w:r w:rsidRPr="00B6157E">
        <w:t>rientation</w:t>
      </w:r>
      <w:r w:rsidR="003D640C" w:rsidRPr="00B6157E">
        <w:t xml:space="preserve"> </w:t>
      </w:r>
      <w:r w:rsidRPr="00B6157E">
        <w:t>and</w:t>
      </w:r>
      <w:r w:rsidR="003D640C" w:rsidRPr="00B6157E">
        <w:t xml:space="preserve"> </w:t>
      </w:r>
      <w:r w:rsidR="00EA68A9" w:rsidRPr="00B6157E">
        <w:t>G</w:t>
      </w:r>
      <w:r w:rsidRPr="00B6157E">
        <w:t>ender</w:t>
      </w:r>
      <w:r w:rsidR="003D640C" w:rsidRPr="00B6157E">
        <w:t xml:space="preserve"> </w:t>
      </w:r>
      <w:r w:rsidR="00EA68A9" w:rsidRPr="00B6157E">
        <w:t>I</w:t>
      </w:r>
      <w:r w:rsidRPr="00B6157E">
        <w:t>dentity.</w:t>
      </w:r>
      <w:r w:rsidR="003D640C" w:rsidRPr="00B6157E">
        <w:t xml:space="preserve"> </w:t>
      </w:r>
      <w:r w:rsidRPr="00B6157E">
        <w:t>(n.d.)</w:t>
      </w:r>
      <w:r w:rsidR="00EA68A9" w:rsidRPr="00B6157E">
        <w:t>.</w:t>
      </w:r>
      <w:r w:rsidR="003D640C" w:rsidRPr="00B6157E">
        <w:t xml:space="preserve"> </w:t>
      </w:r>
      <w:r w:rsidRPr="005B33A1">
        <w:rPr>
          <w:i/>
          <w:iCs/>
        </w:rPr>
        <w:t>The</w:t>
      </w:r>
      <w:r w:rsidR="003D640C" w:rsidRPr="005B33A1">
        <w:rPr>
          <w:i/>
          <w:iCs/>
        </w:rPr>
        <w:t xml:space="preserve"> </w:t>
      </w:r>
      <w:r w:rsidRPr="005B33A1">
        <w:rPr>
          <w:i/>
          <w:iCs/>
        </w:rPr>
        <w:t>struggle</w:t>
      </w:r>
      <w:r w:rsidR="003D640C" w:rsidRPr="005B33A1">
        <w:rPr>
          <w:i/>
          <w:iCs/>
        </w:rPr>
        <w:t xml:space="preserve"> </w:t>
      </w:r>
      <w:r w:rsidRPr="005B33A1">
        <w:rPr>
          <w:i/>
          <w:iCs/>
        </w:rPr>
        <w:t>of</w:t>
      </w:r>
      <w:r w:rsidR="003D640C" w:rsidRPr="005B33A1">
        <w:rPr>
          <w:i/>
          <w:iCs/>
        </w:rPr>
        <w:t xml:space="preserve"> </w:t>
      </w:r>
      <w:r w:rsidRPr="005B33A1">
        <w:rPr>
          <w:i/>
          <w:iCs/>
        </w:rPr>
        <w:t>trans</w:t>
      </w:r>
      <w:r w:rsidR="003D640C" w:rsidRPr="005B33A1">
        <w:rPr>
          <w:i/>
          <w:iCs/>
        </w:rPr>
        <w:t xml:space="preserve"> </w:t>
      </w:r>
      <w:r w:rsidRPr="005B33A1">
        <w:rPr>
          <w:i/>
          <w:iCs/>
        </w:rPr>
        <w:t>and</w:t>
      </w:r>
      <w:r w:rsidR="003D640C" w:rsidRPr="005B33A1">
        <w:rPr>
          <w:i/>
          <w:iCs/>
        </w:rPr>
        <w:t xml:space="preserve"> </w:t>
      </w:r>
      <w:r w:rsidRPr="005B33A1">
        <w:rPr>
          <w:i/>
          <w:iCs/>
        </w:rPr>
        <w:t>gender-diverse</w:t>
      </w:r>
      <w:r w:rsidR="003D640C" w:rsidRPr="005B33A1">
        <w:rPr>
          <w:i/>
          <w:iCs/>
        </w:rPr>
        <w:t xml:space="preserve"> </w:t>
      </w:r>
      <w:r w:rsidRPr="005B33A1">
        <w:rPr>
          <w:i/>
          <w:iCs/>
        </w:rPr>
        <w:t>persons</w:t>
      </w:r>
      <w:r w:rsidRPr="00B6157E">
        <w:t>.</w:t>
      </w:r>
      <w:r w:rsidR="003D640C" w:rsidRPr="00B6157E">
        <w:t xml:space="preserve"> </w:t>
      </w:r>
      <w:r w:rsidRPr="00B6157E">
        <w:t>United</w:t>
      </w:r>
      <w:r w:rsidR="003D640C" w:rsidRPr="00B6157E">
        <w:t xml:space="preserve"> </w:t>
      </w:r>
      <w:r w:rsidRPr="00B6157E">
        <w:t>Nations</w:t>
      </w:r>
      <w:r w:rsidR="003D640C" w:rsidRPr="00B6157E">
        <w:t xml:space="preserve"> </w:t>
      </w:r>
      <w:r w:rsidRPr="00B6157E">
        <w:t>Human</w:t>
      </w:r>
      <w:r w:rsidR="003D640C" w:rsidRPr="00B6157E">
        <w:t xml:space="preserve"> </w:t>
      </w:r>
      <w:r w:rsidRPr="00B6157E">
        <w:t>Rights</w:t>
      </w:r>
      <w:r w:rsidR="003D640C" w:rsidRPr="00B6157E">
        <w:t xml:space="preserve"> </w:t>
      </w:r>
      <w:r w:rsidRPr="00B6157E">
        <w:t>Office</w:t>
      </w:r>
      <w:r w:rsidR="003D640C" w:rsidRPr="00B6157E">
        <w:t xml:space="preserve"> </w:t>
      </w:r>
      <w:r w:rsidRPr="00B6157E">
        <w:t>of</w:t>
      </w:r>
      <w:r w:rsidR="003D640C" w:rsidRPr="00B6157E">
        <w:t xml:space="preserve"> </w:t>
      </w:r>
      <w:r w:rsidRPr="00B6157E">
        <w:t>the</w:t>
      </w:r>
      <w:r w:rsidR="003D640C" w:rsidRPr="00B6157E">
        <w:t xml:space="preserve"> </w:t>
      </w:r>
      <w:r w:rsidRPr="00B6157E">
        <w:t>High</w:t>
      </w:r>
      <w:r w:rsidR="003D640C" w:rsidRPr="00B6157E">
        <w:t xml:space="preserve"> </w:t>
      </w:r>
      <w:r w:rsidRPr="00B6157E">
        <w:t>Commissioner.</w:t>
      </w:r>
      <w:r w:rsidR="003D640C" w:rsidRPr="00B6157E">
        <w:t xml:space="preserve"> </w:t>
      </w:r>
      <w:hyperlink r:id="rId78" w:history="1">
        <w:r w:rsidR="005B7E2B" w:rsidRPr="00B6157E">
          <w:rPr>
            <w:rStyle w:val="Hyperlink"/>
          </w:rPr>
          <w:t>https://www.ohchr.org/en/special-procedures/ie-sexual-orientation-and-gender-identity/struggle-trans-and-gender-diverse-persons</w:t>
        </w:r>
      </w:hyperlink>
      <w:r w:rsidR="005B7E2B" w:rsidRPr="00B6157E">
        <w:t xml:space="preserve"> </w:t>
      </w:r>
    </w:p>
    <w:p w14:paraId="10F1FD03" w14:textId="23882848" w:rsidR="00F01386" w:rsidRDefault="00F01386" w:rsidP="00E00167">
      <w:pPr>
        <w:pStyle w:val="Reference"/>
        <w:rPr>
          <w:rFonts w:ascii="Calibri" w:hAnsi="Calibri" w:cs="Calibri"/>
        </w:rPr>
      </w:pPr>
      <w:r w:rsidRPr="005B33A1">
        <w:rPr>
          <w:rFonts w:ascii="Calibri" w:hAnsi="Calibri" w:cs="Calibri"/>
        </w:rPr>
        <w:lastRenderedPageBreak/>
        <w:t>Indigenous</w:t>
      </w:r>
      <w:r w:rsidR="003D640C" w:rsidRPr="00B6157E">
        <w:rPr>
          <w:rFonts w:ascii="Calibri" w:hAnsi="Calibri" w:cs="Calibri"/>
        </w:rPr>
        <w:t xml:space="preserve"> </w:t>
      </w:r>
      <w:r w:rsidRPr="00B6157E">
        <w:rPr>
          <w:rFonts w:ascii="Calibri" w:hAnsi="Calibri" w:cs="Calibri"/>
        </w:rPr>
        <w:t>Peoples</w:t>
      </w:r>
      <w:r w:rsidR="00E8751C" w:rsidRPr="00B6157E">
        <w:rPr>
          <w:rFonts w:ascii="Calibri" w:hAnsi="Calibri" w:cs="Calibri"/>
        </w:rPr>
        <w:t>’</w:t>
      </w:r>
      <w:r w:rsidR="003D640C">
        <w:rPr>
          <w:rFonts w:ascii="Calibri" w:hAnsi="Calibri" w:cs="Calibri"/>
        </w:rPr>
        <w:t xml:space="preserve"> </w:t>
      </w:r>
      <w:r w:rsidRPr="00984D87">
        <w:rPr>
          <w:rFonts w:ascii="Calibri" w:hAnsi="Calibri" w:cs="Calibri"/>
        </w:rPr>
        <w:t>Centre</w:t>
      </w:r>
      <w:r w:rsidR="003D640C">
        <w:rPr>
          <w:rFonts w:ascii="Calibri" w:hAnsi="Calibri" w:cs="Calibri"/>
        </w:rPr>
        <w:t xml:space="preserve"> </w:t>
      </w:r>
      <w:r w:rsidRPr="00984D87">
        <w:rPr>
          <w:rFonts w:ascii="Calibri" w:hAnsi="Calibri" w:cs="Calibri"/>
        </w:rPr>
        <w:t>for</w:t>
      </w:r>
      <w:r w:rsidR="003D640C">
        <w:rPr>
          <w:rFonts w:ascii="Calibri" w:hAnsi="Calibri" w:cs="Calibri"/>
        </w:rPr>
        <w:t xml:space="preserve"> </w:t>
      </w:r>
      <w:r w:rsidRPr="00984D87">
        <w:rPr>
          <w:rFonts w:ascii="Calibri" w:hAnsi="Calibri" w:cs="Calibri"/>
        </w:rPr>
        <w:t>Documentation,</w:t>
      </w:r>
      <w:r w:rsidR="003D640C">
        <w:rPr>
          <w:rFonts w:ascii="Calibri" w:hAnsi="Calibri" w:cs="Calibri"/>
        </w:rPr>
        <w:t xml:space="preserve"> </w:t>
      </w:r>
      <w:r w:rsidRPr="00984D87">
        <w:rPr>
          <w:rFonts w:ascii="Calibri" w:hAnsi="Calibri" w:cs="Calibri"/>
        </w:rPr>
        <w:t>Research</w:t>
      </w:r>
      <w:r w:rsidR="003D640C">
        <w:rPr>
          <w:rFonts w:ascii="Calibri" w:hAnsi="Calibri" w:cs="Calibri"/>
        </w:rPr>
        <w:t xml:space="preserve"> </w:t>
      </w:r>
      <w:r w:rsidRPr="00984D87">
        <w:rPr>
          <w:rFonts w:ascii="Calibri" w:hAnsi="Calibri" w:cs="Calibri"/>
        </w:rPr>
        <w:t>and</w:t>
      </w:r>
      <w:r w:rsidR="003D640C">
        <w:rPr>
          <w:rFonts w:ascii="Calibri" w:hAnsi="Calibri" w:cs="Calibri"/>
        </w:rPr>
        <w:t xml:space="preserve"> </w:t>
      </w:r>
      <w:r w:rsidRPr="00984D87">
        <w:rPr>
          <w:rFonts w:ascii="Calibri" w:hAnsi="Calibri" w:cs="Calibri"/>
        </w:rPr>
        <w:t>Information</w:t>
      </w:r>
      <w:r w:rsidR="00E8751C">
        <w:rPr>
          <w:rFonts w:ascii="Calibri" w:hAnsi="Calibri" w:cs="Calibri"/>
        </w:rPr>
        <w:t>. (2023).</w:t>
      </w:r>
      <w:r w:rsidR="003D640C">
        <w:rPr>
          <w:rFonts w:ascii="Calibri" w:hAnsi="Calibri" w:cs="Calibri"/>
        </w:rPr>
        <w:t xml:space="preserve"> </w:t>
      </w:r>
      <w:r w:rsidRPr="00984D87">
        <w:rPr>
          <w:rFonts w:ascii="Calibri" w:hAnsi="Calibri" w:cs="Calibri"/>
          <w:i/>
          <w:iCs/>
        </w:rPr>
        <w:t>Summary</w:t>
      </w:r>
      <w:r w:rsidR="003D640C">
        <w:rPr>
          <w:rFonts w:ascii="Calibri" w:hAnsi="Calibri" w:cs="Calibri"/>
          <w:i/>
          <w:iCs/>
        </w:rPr>
        <w:t xml:space="preserve"> </w:t>
      </w:r>
      <w:r w:rsidRPr="00984D87">
        <w:rPr>
          <w:rFonts w:ascii="Calibri" w:hAnsi="Calibri" w:cs="Calibri"/>
          <w:i/>
          <w:iCs/>
        </w:rPr>
        <w:t>notes</w:t>
      </w:r>
      <w:r w:rsidR="003D640C">
        <w:rPr>
          <w:rFonts w:ascii="Calibri" w:hAnsi="Calibri" w:cs="Calibri"/>
          <w:i/>
          <w:iCs/>
        </w:rPr>
        <w:t xml:space="preserve"> </w:t>
      </w:r>
      <w:r w:rsidRPr="00984D87">
        <w:rPr>
          <w:rFonts w:ascii="Calibri" w:hAnsi="Calibri" w:cs="Calibri"/>
          <w:i/>
          <w:iCs/>
        </w:rPr>
        <w:t>of</w:t>
      </w:r>
      <w:r w:rsidR="003D640C">
        <w:rPr>
          <w:rFonts w:ascii="Calibri" w:hAnsi="Calibri" w:cs="Calibri"/>
          <w:i/>
          <w:iCs/>
        </w:rPr>
        <w:t xml:space="preserve"> </w:t>
      </w:r>
      <w:r w:rsidRPr="00984D87">
        <w:rPr>
          <w:rFonts w:ascii="Calibri" w:hAnsi="Calibri" w:cs="Calibri"/>
          <w:i/>
          <w:iCs/>
        </w:rPr>
        <w:t>the</w:t>
      </w:r>
      <w:r w:rsidR="003D640C">
        <w:rPr>
          <w:rFonts w:ascii="Calibri" w:hAnsi="Calibri" w:cs="Calibri"/>
          <w:i/>
          <w:iCs/>
        </w:rPr>
        <w:t xml:space="preserve"> </w:t>
      </w:r>
      <w:r w:rsidRPr="00984D87">
        <w:rPr>
          <w:rFonts w:ascii="Calibri" w:hAnsi="Calibri" w:cs="Calibri"/>
          <w:i/>
          <w:iCs/>
        </w:rPr>
        <w:t>16th</w:t>
      </w:r>
      <w:r w:rsidR="003D640C">
        <w:rPr>
          <w:rFonts w:ascii="Calibri" w:hAnsi="Calibri" w:cs="Calibri"/>
          <w:i/>
          <w:iCs/>
        </w:rPr>
        <w:t xml:space="preserve"> </w:t>
      </w:r>
      <w:r w:rsidRPr="00984D87">
        <w:rPr>
          <w:rFonts w:ascii="Calibri" w:hAnsi="Calibri" w:cs="Calibri"/>
          <w:i/>
          <w:iCs/>
        </w:rPr>
        <w:t>session</w:t>
      </w:r>
      <w:r w:rsidR="003D640C">
        <w:rPr>
          <w:rFonts w:ascii="Calibri" w:hAnsi="Calibri" w:cs="Calibri"/>
          <w:i/>
          <w:iCs/>
        </w:rPr>
        <w:t xml:space="preserve"> </w:t>
      </w:r>
      <w:r w:rsidRPr="00984D87">
        <w:rPr>
          <w:rFonts w:ascii="Calibri" w:hAnsi="Calibri" w:cs="Calibri"/>
          <w:i/>
          <w:iCs/>
        </w:rPr>
        <w:t>of</w:t>
      </w:r>
      <w:r w:rsidR="003D640C">
        <w:rPr>
          <w:rFonts w:ascii="Calibri" w:hAnsi="Calibri" w:cs="Calibri"/>
          <w:i/>
          <w:iCs/>
        </w:rPr>
        <w:t xml:space="preserve"> </w:t>
      </w:r>
      <w:r w:rsidRPr="00984D87">
        <w:rPr>
          <w:rFonts w:ascii="Calibri" w:hAnsi="Calibri" w:cs="Calibri"/>
          <w:i/>
          <w:iCs/>
        </w:rPr>
        <w:t>the</w:t>
      </w:r>
      <w:r w:rsidR="003D640C">
        <w:rPr>
          <w:rFonts w:ascii="Calibri" w:hAnsi="Calibri" w:cs="Calibri"/>
          <w:i/>
          <w:iCs/>
        </w:rPr>
        <w:t xml:space="preserve"> </w:t>
      </w:r>
      <w:r w:rsidRPr="00984D87">
        <w:rPr>
          <w:rFonts w:ascii="Calibri" w:hAnsi="Calibri" w:cs="Calibri"/>
          <w:i/>
          <w:iCs/>
        </w:rPr>
        <w:t>Expert</w:t>
      </w:r>
      <w:r w:rsidR="003D640C">
        <w:rPr>
          <w:rFonts w:ascii="Calibri" w:hAnsi="Calibri" w:cs="Calibri"/>
          <w:i/>
          <w:iCs/>
        </w:rPr>
        <w:t xml:space="preserve"> </w:t>
      </w:r>
      <w:r w:rsidRPr="00984D87">
        <w:rPr>
          <w:rFonts w:ascii="Calibri" w:hAnsi="Calibri" w:cs="Calibri"/>
          <w:i/>
          <w:iCs/>
        </w:rPr>
        <w:t>Mechanism</w:t>
      </w:r>
      <w:r w:rsidR="003D640C">
        <w:rPr>
          <w:rFonts w:ascii="Calibri" w:hAnsi="Calibri" w:cs="Calibri"/>
          <w:i/>
          <w:iCs/>
        </w:rPr>
        <w:t xml:space="preserve"> </w:t>
      </w:r>
      <w:r w:rsidRPr="00984D87">
        <w:rPr>
          <w:rFonts w:ascii="Calibri" w:hAnsi="Calibri" w:cs="Calibri"/>
          <w:i/>
          <w:iCs/>
        </w:rPr>
        <w:t>on</w:t>
      </w:r>
      <w:r w:rsidR="003D640C">
        <w:rPr>
          <w:rFonts w:ascii="Calibri" w:hAnsi="Calibri" w:cs="Calibri"/>
          <w:i/>
          <w:iCs/>
        </w:rPr>
        <w:t xml:space="preserve"> </w:t>
      </w:r>
      <w:r w:rsidRPr="00984D87">
        <w:rPr>
          <w:rFonts w:ascii="Calibri" w:hAnsi="Calibri" w:cs="Calibri"/>
          <w:i/>
          <w:iCs/>
        </w:rPr>
        <w:t>the</w:t>
      </w:r>
      <w:r w:rsidR="003D640C">
        <w:rPr>
          <w:rFonts w:ascii="Calibri" w:hAnsi="Calibri" w:cs="Calibri"/>
          <w:i/>
          <w:iCs/>
        </w:rPr>
        <w:t xml:space="preserve"> </w:t>
      </w:r>
      <w:r w:rsidRPr="00984D87">
        <w:rPr>
          <w:rFonts w:ascii="Calibri" w:hAnsi="Calibri" w:cs="Calibri"/>
          <w:i/>
          <w:iCs/>
        </w:rPr>
        <w:t>Rights</w:t>
      </w:r>
      <w:r w:rsidR="003D640C">
        <w:rPr>
          <w:rFonts w:ascii="Calibri" w:hAnsi="Calibri" w:cs="Calibri"/>
          <w:i/>
          <w:iCs/>
        </w:rPr>
        <w:t xml:space="preserve"> </w:t>
      </w:r>
      <w:r w:rsidRPr="00984D87">
        <w:rPr>
          <w:rFonts w:ascii="Calibri" w:hAnsi="Calibri" w:cs="Calibri"/>
          <w:i/>
          <w:iCs/>
        </w:rPr>
        <w:t>of</w:t>
      </w:r>
      <w:r w:rsidR="003D640C">
        <w:rPr>
          <w:rFonts w:ascii="Calibri" w:hAnsi="Calibri" w:cs="Calibri"/>
          <w:i/>
          <w:iCs/>
        </w:rPr>
        <w:t xml:space="preserve"> </w:t>
      </w:r>
      <w:r w:rsidRPr="00984D87">
        <w:rPr>
          <w:rFonts w:ascii="Calibri" w:hAnsi="Calibri" w:cs="Calibri"/>
          <w:i/>
          <w:iCs/>
        </w:rPr>
        <w:t>Indigenous</w:t>
      </w:r>
      <w:r w:rsidR="003D640C">
        <w:rPr>
          <w:rFonts w:ascii="Calibri" w:hAnsi="Calibri" w:cs="Calibri"/>
          <w:i/>
          <w:iCs/>
        </w:rPr>
        <w:t xml:space="preserve"> </w:t>
      </w:r>
      <w:r w:rsidRPr="007B139B">
        <w:rPr>
          <w:rFonts w:ascii="Calibri" w:hAnsi="Calibri" w:cs="Calibri"/>
        </w:rPr>
        <w:t>Peoples</w:t>
      </w:r>
      <w:r w:rsidR="00E8751C" w:rsidRPr="007B139B">
        <w:rPr>
          <w:rFonts w:ascii="Calibri" w:hAnsi="Calibri" w:cs="Calibri"/>
        </w:rPr>
        <w:t>:</w:t>
      </w:r>
      <w:r w:rsidR="003D640C" w:rsidRPr="007B139B">
        <w:rPr>
          <w:rFonts w:ascii="Calibri" w:hAnsi="Calibri" w:cs="Calibri"/>
        </w:rPr>
        <w:t xml:space="preserve"> </w:t>
      </w:r>
      <w:r w:rsidRPr="00E8751C">
        <w:rPr>
          <w:rFonts w:ascii="Calibri" w:hAnsi="Calibri" w:cs="Calibri"/>
        </w:rPr>
        <w:t>17</w:t>
      </w:r>
      <w:r w:rsidR="00E8751C" w:rsidRPr="00E8751C">
        <w:rPr>
          <w:rFonts w:ascii="Calibri" w:hAnsi="Calibri" w:cs="Calibri"/>
        </w:rPr>
        <w:t>–</w:t>
      </w:r>
      <w:r w:rsidRPr="00E8751C">
        <w:rPr>
          <w:rFonts w:ascii="Calibri" w:hAnsi="Calibri" w:cs="Calibri"/>
        </w:rPr>
        <w:t>21</w:t>
      </w:r>
      <w:r w:rsidR="003D640C" w:rsidRPr="00E8751C">
        <w:rPr>
          <w:rFonts w:ascii="Calibri" w:hAnsi="Calibri" w:cs="Calibri"/>
        </w:rPr>
        <w:t xml:space="preserve"> </w:t>
      </w:r>
      <w:r w:rsidRPr="00E8751C">
        <w:rPr>
          <w:rFonts w:ascii="Calibri" w:hAnsi="Calibri" w:cs="Calibri"/>
        </w:rPr>
        <w:t>July</w:t>
      </w:r>
      <w:r w:rsidR="003D640C" w:rsidRPr="00E8751C">
        <w:rPr>
          <w:rFonts w:ascii="Calibri" w:hAnsi="Calibri" w:cs="Calibri"/>
        </w:rPr>
        <w:t xml:space="preserve"> </w:t>
      </w:r>
      <w:r w:rsidRPr="00E8751C">
        <w:rPr>
          <w:rFonts w:ascii="Calibri" w:hAnsi="Calibri" w:cs="Calibri"/>
        </w:rPr>
        <w:t>2023</w:t>
      </w:r>
      <w:r w:rsidR="00E8751C" w:rsidRPr="00E8751C">
        <w:rPr>
          <w:rFonts w:ascii="Calibri" w:hAnsi="Calibri" w:cs="Calibri"/>
        </w:rPr>
        <w:t>, Geneva</w:t>
      </w:r>
      <w:r w:rsidR="00E8751C">
        <w:rPr>
          <w:rFonts w:ascii="Calibri" w:hAnsi="Calibri" w:cs="Calibri"/>
        </w:rPr>
        <w:t>.</w:t>
      </w:r>
      <w:r w:rsidR="003D640C">
        <w:rPr>
          <w:rFonts w:ascii="Calibri" w:hAnsi="Calibri" w:cs="Calibri"/>
        </w:rPr>
        <w:t xml:space="preserve"> </w:t>
      </w:r>
      <w:hyperlink r:id="rId79" w:history="1">
        <w:r w:rsidR="00E8751C" w:rsidRPr="00B13BFC">
          <w:rPr>
            <w:rStyle w:val="Hyperlink"/>
            <w:rFonts w:ascii="Calibri" w:hAnsi="Calibri" w:cs="Calibri"/>
          </w:rPr>
          <w:t>https://cendoc.docip.org/collect/upd_en/index/assoc/HASH01f7/01b8b99e.dir/Summary%20Notes%20EMRIP%2016th%20session_EN.pdf</w:t>
        </w:r>
      </w:hyperlink>
      <w:r w:rsidR="00E8751C">
        <w:rPr>
          <w:rFonts w:ascii="Calibri" w:hAnsi="Calibri" w:cs="Calibri"/>
        </w:rPr>
        <w:t xml:space="preserve"> </w:t>
      </w:r>
    </w:p>
    <w:p w14:paraId="19E254AC" w14:textId="4874C2E5" w:rsidR="007B4B4D" w:rsidRPr="00B6157E" w:rsidRDefault="007B4B4D" w:rsidP="00E00167">
      <w:pPr>
        <w:pStyle w:val="Reference"/>
        <w:rPr>
          <w:rFonts w:ascii="Calibri" w:hAnsi="Calibri" w:cs="Calibri"/>
        </w:rPr>
      </w:pPr>
      <w:r w:rsidRPr="00B6157E">
        <w:t xml:space="preserve">InsideOUT. (2021). </w:t>
      </w:r>
      <w:r w:rsidRPr="00B6157E">
        <w:rPr>
          <w:i/>
          <w:iCs/>
        </w:rPr>
        <w:t>Join this chariot: Christian schools supporting Rainbow students’ wellbeing</w:t>
      </w:r>
      <w:r w:rsidRPr="00B6157E">
        <w:rPr>
          <w:lang w:val="mi-NZ"/>
        </w:rPr>
        <w:t xml:space="preserve">. </w:t>
      </w:r>
      <w:hyperlink r:id="rId80" w:history="1">
        <w:r w:rsidRPr="00B6157E">
          <w:rPr>
            <w:rStyle w:val="Hyperlink"/>
            <w:rFonts w:cstheme="minorHAnsi"/>
          </w:rPr>
          <w:t>https://insideout.org.nz/wp-content/uploads/2021/06/Join-this-Chariot.pdf</w:t>
        </w:r>
      </w:hyperlink>
      <w:r w:rsidRPr="00B6157E">
        <w:rPr>
          <w:rStyle w:val="Hyperlink"/>
          <w:rFonts w:cstheme="minorHAnsi"/>
        </w:rPr>
        <w:t xml:space="preserve"> </w:t>
      </w:r>
    </w:p>
    <w:p w14:paraId="2E840946" w14:textId="04FD0380" w:rsidR="00F01386" w:rsidRPr="00B6157E" w:rsidRDefault="00F01386" w:rsidP="00E00167">
      <w:pPr>
        <w:pStyle w:val="Reference"/>
        <w:rPr>
          <w:rFonts w:ascii="Calibri" w:hAnsi="Calibri" w:cs="Calibri"/>
        </w:rPr>
      </w:pPr>
      <w:r w:rsidRPr="005B33A1">
        <w:rPr>
          <w:rFonts w:ascii="Calibri" w:hAnsi="Calibri" w:cs="Calibri"/>
        </w:rPr>
        <w:t>International</w:t>
      </w:r>
      <w:r w:rsidR="003D640C" w:rsidRPr="00B6157E">
        <w:rPr>
          <w:rFonts w:ascii="Calibri" w:hAnsi="Calibri" w:cs="Calibri"/>
        </w:rPr>
        <w:t xml:space="preserve"> </w:t>
      </w:r>
      <w:r w:rsidRPr="00B6157E">
        <w:rPr>
          <w:rFonts w:ascii="Calibri" w:hAnsi="Calibri" w:cs="Calibri"/>
        </w:rPr>
        <w:t>Commission</w:t>
      </w:r>
      <w:r w:rsidR="003D640C" w:rsidRPr="00B6157E">
        <w:rPr>
          <w:rFonts w:ascii="Calibri" w:hAnsi="Calibri" w:cs="Calibri"/>
        </w:rPr>
        <w:t xml:space="preserve"> </w:t>
      </w:r>
      <w:r w:rsidRPr="00B6157E">
        <w:rPr>
          <w:rFonts w:ascii="Calibri" w:hAnsi="Calibri" w:cs="Calibri"/>
        </w:rPr>
        <w:t>of</w:t>
      </w:r>
      <w:r w:rsidR="003D640C" w:rsidRPr="00B6157E">
        <w:rPr>
          <w:rFonts w:ascii="Calibri" w:hAnsi="Calibri" w:cs="Calibri"/>
        </w:rPr>
        <w:t xml:space="preserve"> </w:t>
      </w:r>
      <w:r w:rsidRPr="00B6157E">
        <w:rPr>
          <w:rFonts w:ascii="Calibri" w:hAnsi="Calibri" w:cs="Calibri"/>
        </w:rPr>
        <w:t>Jurists.</w:t>
      </w:r>
      <w:r w:rsidR="003D640C" w:rsidRPr="00B6157E">
        <w:rPr>
          <w:rFonts w:ascii="Calibri" w:hAnsi="Calibri" w:cs="Calibri"/>
        </w:rPr>
        <w:t xml:space="preserve"> </w:t>
      </w:r>
      <w:r w:rsidRPr="00B6157E">
        <w:rPr>
          <w:rFonts w:ascii="Calibri" w:hAnsi="Calibri" w:cs="Calibri"/>
        </w:rPr>
        <w:t>(2007).</w:t>
      </w:r>
      <w:r w:rsidR="003D640C" w:rsidRPr="00B6157E">
        <w:rPr>
          <w:rFonts w:ascii="Calibri" w:hAnsi="Calibri" w:cs="Calibri"/>
        </w:rPr>
        <w:t xml:space="preserve"> </w:t>
      </w:r>
      <w:r w:rsidR="008E6106" w:rsidRPr="00B6157E">
        <w:rPr>
          <w:rFonts w:ascii="Calibri" w:hAnsi="Calibri" w:cs="Calibri"/>
          <w:i/>
          <w:iCs/>
        </w:rPr>
        <w:t xml:space="preserve">The </w:t>
      </w:r>
      <w:r w:rsidRPr="00B6157E">
        <w:rPr>
          <w:rFonts w:ascii="Calibri" w:hAnsi="Calibri" w:cs="Calibri"/>
          <w:i/>
        </w:rPr>
        <w:t>Yogyakarta</w:t>
      </w:r>
      <w:r w:rsidR="003D640C" w:rsidRPr="00B6157E">
        <w:rPr>
          <w:rFonts w:ascii="Calibri" w:hAnsi="Calibri" w:cs="Calibri"/>
          <w:i/>
        </w:rPr>
        <w:t xml:space="preserve"> </w:t>
      </w:r>
      <w:r w:rsidRPr="00B6157E">
        <w:rPr>
          <w:rFonts w:ascii="Calibri" w:hAnsi="Calibri" w:cs="Calibri"/>
          <w:i/>
        </w:rPr>
        <w:t>Principles</w:t>
      </w:r>
      <w:r w:rsidR="008E6106" w:rsidRPr="00B6157E">
        <w:rPr>
          <w:rFonts w:ascii="Calibri" w:hAnsi="Calibri" w:cs="Calibri"/>
          <w:i/>
        </w:rPr>
        <w:t>:</w:t>
      </w:r>
      <w:r w:rsidR="003D640C" w:rsidRPr="00B6157E">
        <w:rPr>
          <w:rFonts w:ascii="Calibri" w:hAnsi="Calibri" w:cs="Calibri"/>
          <w:i/>
        </w:rPr>
        <w:t xml:space="preserve"> </w:t>
      </w:r>
      <w:r w:rsidRPr="00B6157E">
        <w:rPr>
          <w:rFonts w:ascii="Calibri" w:hAnsi="Calibri" w:cs="Calibri"/>
          <w:i/>
        </w:rPr>
        <w:t>Principles</w:t>
      </w:r>
      <w:r w:rsidR="003D640C" w:rsidRPr="00B6157E">
        <w:rPr>
          <w:rFonts w:ascii="Calibri" w:hAnsi="Calibri" w:cs="Calibri"/>
          <w:i/>
        </w:rPr>
        <w:t xml:space="preserve"> </w:t>
      </w:r>
      <w:r w:rsidRPr="00B6157E">
        <w:rPr>
          <w:rFonts w:ascii="Calibri" w:hAnsi="Calibri" w:cs="Calibri"/>
          <w:i/>
        </w:rPr>
        <w:t>on</w:t>
      </w:r>
      <w:r w:rsidR="003D640C" w:rsidRPr="00B6157E">
        <w:rPr>
          <w:rFonts w:ascii="Calibri" w:hAnsi="Calibri" w:cs="Calibri"/>
          <w:i/>
        </w:rPr>
        <w:t xml:space="preserve"> </w:t>
      </w:r>
      <w:r w:rsidRPr="00B6157E">
        <w:rPr>
          <w:rFonts w:ascii="Calibri" w:hAnsi="Calibri" w:cs="Calibri"/>
          <w:i/>
        </w:rPr>
        <w:t>the</w:t>
      </w:r>
      <w:r w:rsidR="003D640C" w:rsidRPr="00B6157E">
        <w:rPr>
          <w:rFonts w:ascii="Calibri" w:hAnsi="Calibri" w:cs="Calibri"/>
          <w:i/>
        </w:rPr>
        <w:t xml:space="preserve"> </w:t>
      </w:r>
      <w:r w:rsidRPr="00B6157E">
        <w:rPr>
          <w:rFonts w:ascii="Calibri" w:hAnsi="Calibri" w:cs="Calibri"/>
          <w:i/>
        </w:rPr>
        <w:t>application</w:t>
      </w:r>
      <w:r w:rsidR="003D640C" w:rsidRPr="00B6157E">
        <w:rPr>
          <w:rFonts w:ascii="Calibri" w:hAnsi="Calibri" w:cs="Calibri"/>
          <w:i/>
        </w:rPr>
        <w:t xml:space="preserve"> </w:t>
      </w:r>
      <w:r w:rsidRPr="00B6157E">
        <w:rPr>
          <w:rFonts w:ascii="Calibri" w:hAnsi="Calibri" w:cs="Calibri"/>
          <w:i/>
        </w:rPr>
        <w:t>of</w:t>
      </w:r>
      <w:r w:rsidR="003D640C" w:rsidRPr="00B6157E">
        <w:rPr>
          <w:rFonts w:ascii="Calibri" w:hAnsi="Calibri" w:cs="Calibri"/>
          <w:i/>
        </w:rPr>
        <w:t xml:space="preserve"> </w:t>
      </w:r>
      <w:r w:rsidRPr="00B6157E">
        <w:rPr>
          <w:rFonts w:ascii="Calibri" w:hAnsi="Calibri" w:cs="Calibri"/>
          <w:i/>
        </w:rPr>
        <w:t>international</w:t>
      </w:r>
      <w:r w:rsidR="003D640C" w:rsidRPr="00B6157E">
        <w:rPr>
          <w:rFonts w:ascii="Calibri" w:hAnsi="Calibri" w:cs="Calibri"/>
          <w:i/>
        </w:rPr>
        <w:t xml:space="preserve"> </w:t>
      </w:r>
      <w:r w:rsidRPr="00B6157E">
        <w:rPr>
          <w:rFonts w:ascii="Calibri" w:hAnsi="Calibri" w:cs="Calibri"/>
          <w:i/>
        </w:rPr>
        <w:t>human</w:t>
      </w:r>
      <w:r w:rsidR="003D640C" w:rsidRPr="00B6157E">
        <w:rPr>
          <w:rFonts w:ascii="Calibri" w:hAnsi="Calibri" w:cs="Calibri"/>
          <w:i/>
        </w:rPr>
        <w:t xml:space="preserve"> </w:t>
      </w:r>
      <w:r w:rsidRPr="00B6157E">
        <w:rPr>
          <w:rFonts w:ascii="Calibri" w:hAnsi="Calibri" w:cs="Calibri"/>
          <w:i/>
        </w:rPr>
        <w:t>rights</w:t>
      </w:r>
      <w:r w:rsidR="003D640C" w:rsidRPr="00B6157E">
        <w:rPr>
          <w:rFonts w:ascii="Calibri" w:hAnsi="Calibri" w:cs="Calibri"/>
          <w:i/>
        </w:rPr>
        <w:t xml:space="preserve"> </w:t>
      </w:r>
      <w:r w:rsidRPr="00B6157E">
        <w:rPr>
          <w:rFonts w:ascii="Calibri" w:hAnsi="Calibri" w:cs="Calibri"/>
          <w:i/>
        </w:rPr>
        <w:t>law</w:t>
      </w:r>
      <w:r w:rsidR="003D640C" w:rsidRPr="00B6157E">
        <w:rPr>
          <w:rFonts w:ascii="Calibri" w:hAnsi="Calibri" w:cs="Calibri"/>
          <w:i/>
        </w:rPr>
        <w:t xml:space="preserve"> </w:t>
      </w:r>
      <w:r w:rsidRPr="00B6157E">
        <w:rPr>
          <w:rFonts w:ascii="Calibri" w:hAnsi="Calibri" w:cs="Calibri"/>
          <w:i/>
        </w:rPr>
        <w:t>in</w:t>
      </w:r>
      <w:r w:rsidR="003D640C" w:rsidRPr="00B6157E">
        <w:rPr>
          <w:rFonts w:ascii="Calibri" w:hAnsi="Calibri" w:cs="Calibri"/>
          <w:i/>
        </w:rPr>
        <w:t xml:space="preserve"> </w:t>
      </w:r>
      <w:r w:rsidRPr="00B6157E">
        <w:rPr>
          <w:rFonts w:ascii="Calibri" w:hAnsi="Calibri" w:cs="Calibri"/>
          <w:i/>
        </w:rPr>
        <w:t>relation</w:t>
      </w:r>
      <w:r w:rsidR="003D640C" w:rsidRPr="00B6157E">
        <w:rPr>
          <w:rFonts w:ascii="Calibri" w:hAnsi="Calibri" w:cs="Calibri"/>
          <w:i/>
        </w:rPr>
        <w:t xml:space="preserve"> </w:t>
      </w:r>
      <w:r w:rsidRPr="00B6157E">
        <w:rPr>
          <w:rFonts w:ascii="Calibri" w:hAnsi="Calibri" w:cs="Calibri"/>
          <w:i/>
        </w:rPr>
        <w:t>to</w:t>
      </w:r>
      <w:r w:rsidR="003D640C" w:rsidRPr="00B6157E">
        <w:rPr>
          <w:rFonts w:ascii="Calibri" w:hAnsi="Calibri" w:cs="Calibri"/>
          <w:i/>
        </w:rPr>
        <w:t xml:space="preserve"> </w:t>
      </w:r>
      <w:r w:rsidRPr="00B6157E">
        <w:rPr>
          <w:rFonts w:ascii="Calibri" w:hAnsi="Calibri" w:cs="Calibri"/>
          <w:i/>
        </w:rPr>
        <w:t>sexual</w:t>
      </w:r>
      <w:r w:rsidR="003D640C" w:rsidRPr="00B6157E">
        <w:rPr>
          <w:rFonts w:ascii="Calibri" w:hAnsi="Calibri" w:cs="Calibri"/>
          <w:i/>
        </w:rPr>
        <w:t xml:space="preserve"> </w:t>
      </w:r>
      <w:r w:rsidRPr="00B6157E">
        <w:rPr>
          <w:rFonts w:ascii="Calibri" w:hAnsi="Calibri" w:cs="Calibri"/>
          <w:i/>
        </w:rPr>
        <w:t>orientation</w:t>
      </w:r>
      <w:r w:rsidR="003D640C" w:rsidRPr="00B6157E">
        <w:rPr>
          <w:rFonts w:ascii="Calibri" w:hAnsi="Calibri" w:cs="Calibri"/>
          <w:i/>
        </w:rPr>
        <w:t xml:space="preserve"> </w:t>
      </w:r>
      <w:r w:rsidRPr="00B6157E">
        <w:rPr>
          <w:rFonts w:ascii="Calibri" w:hAnsi="Calibri" w:cs="Calibri"/>
          <w:i/>
        </w:rPr>
        <w:t>and</w:t>
      </w:r>
      <w:r w:rsidR="003D640C" w:rsidRPr="00B6157E">
        <w:rPr>
          <w:rFonts w:ascii="Calibri" w:hAnsi="Calibri" w:cs="Calibri"/>
          <w:i/>
        </w:rPr>
        <w:t xml:space="preserve"> </w:t>
      </w:r>
      <w:r w:rsidRPr="00B6157E">
        <w:rPr>
          <w:rFonts w:ascii="Calibri" w:hAnsi="Calibri" w:cs="Calibri"/>
          <w:i/>
        </w:rPr>
        <w:t>gender</w:t>
      </w:r>
      <w:r w:rsidR="003D640C" w:rsidRPr="00B6157E">
        <w:rPr>
          <w:rFonts w:ascii="Calibri" w:hAnsi="Calibri" w:cs="Calibri"/>
          <w:i/>
        </w:rPr>
        <w:t xml:space="preserve"> </w:t>
      </w:r>
      <w:r w:rsidRPr="00B6157E">
        <w:rPr>
          <w:rFonts w:ascii="Calibri" w:hAnsi="Calibri" w:cs="Calibri"/>
          <w:i/>
        </w:rPr>
        <w:t>identity</w:t>
      </w:r>
      <w:r w:rsidRPr="00B6157E">
        <w:rPr>
          <w:rFonts w:ascii="Calibri" w:hAnsi="Calibri" w:cs="Calibri"/>
        </w:rPr>
        <w:t>.</w:t>
      </w:r>
      <w:r w:rsidR="003D640C" w:rsidRPr="00B6157E">
        <w:rPr>
          <w:rFonts w:ascii="Calibri" w:hAnsi="Calibri" w:cs="Calibri"/>
        </w:rPr>
        <w:t xml:space="preserve"> </w:t>
      </w:r>
      <w:hyperlink r:id="rId81" w:history="1">
        <w:r w:rsidR="00451FC5" w:rsidRPr="00B6157E">
          <w:rPr>
            <w:rStyle w:val="Hyperlink"/>
            <w:rFonts w:ascii="Calibri" w:hAnsi="Calibri" w:cs="Calibri"/>
          </w:rPr>
          <w:t>https://yogyakartaprinciples.org/wp-content/uploads/2016/08/principles_en.pdf</w:t>
        </w:r>
      </w:hyperlink>
      <w:r w:rsidR="00451FC5" w:rsidRPr="00B6157E">
        <w:rPr>
          <w:rFonts w:ascii="Calibri" w:hAnsi="Calibri" w:cs="Calibri"/>
        </w:rPr>
        <w:t xml:space="preserve"> </w:t>
      </w:r>
      <w:r w:rsidR="00BA3B06" w:rsidRPr="00B6157E">
        <w:rPr>
          <w:rFonts w:ascii="Calibri" w:hAnsi="Calibri" w:cs="Calibri"/>
        </w:rPr>
        <w:t xml:space="preserve"> </w:t>
      </w:r>
    </w:p>
    <w:p w14:paraId="02F6E96F" w14:textId="6B2677A8" w:rsidR="00451FC5" w:rsidRPr="00B6157E" w:rsidRDefault="00451FC5" w:rsidP="007B139B">
      <w:pPr>
        <w:pStyle w:val="Reference"/>
        <w:rPr>
          <w:color w:val="0563C1" w:themeColor="hyperlink"/>
          <w:u w:val="single"/>
        </w:rPr>
      </w:pPr>
      <w:r w:rsidRPr="005B33A1">
        <w:t>International</w:t>
      </w:r>
      <w:r w:rsidRPr="00B6157E">
        <w:t xml:space="preserve"> Commission of Jurists. (2017).</w:t>
      </w:r>
      <w:r w:rsidRPr="00B6157E">
        <w:rPr>
          <w:rStyle w:val="Hyperlink"/>
          <w:rFonts w:cstheme="minorHAnsi"/>
          <w:color w:val="000000" w:themeColor="text1"/>
          <w:u w:val="none"/>
        </w:rPr>
        <w:t xml:space="preserve"> </w:t>
      </w:r>
      <w:r w:rsidRPr="00B6157E">
        <w:rPr>
          <w:rStyle w:val="Hyperlink"/>
          <w:rFonts w:cstheme="minorHAnsi"/>
          <w:i/>
          <w:iCs/>
          <w:color w:val="000000" w:themeColor="text1"/>
          <w:u w:val="none"/>
        </w:rPr>
        <w:t xml:space="preserve">The Yogyakarta Principles plus 10: Additional principles and state obligations on the application of international human rights law in relation to sexual orientation, gender identity, gender expression and sex characteristics to complement the Yogyakarta Principles. </w:t>
      </w:r>
      <w:hyperlink r:id="rId82" w:history="1">
        <w:r w:rsidR="00B6157E" w:rsidRPr="005B33A1">
          <w:rPr>
            <w:rStyle w:val="Hyperlink"/>
            <w:rFonts w:cstheme="minorHAnsi"/>
          </w:rPr>
          <w:t>https://yogyakartaprinciples.org/wp-content/uploads/2017/11/A5_yogyakartaWEB-2.pdf</w:t>
        </w:r>
      </w:hyperlink>
      <w:r w:rsidR="00B6157E">
        <w:rPr>
          <w:rFonts w:cstheme="minorHAnsi"/>
          <w:u w:val="single"/>
        </w:rPr>
        <w:t xml:space="preserve"> </w:t>
      </w:r>
      <w:r w:rsidRPr="00B6157E">
        <w:rPr>
          <w:rStyle w:val="Hyperlink"/>
          <w:rFonts w:cstheme="minorHAnsi"/>
          <w:color w:val="000000" w:themeColor="text1"/>
        </w:rPr>
        <w:t xml:space="preserve"> </w:t>
      </w:r>
    </w:p>
    <w:p w14:paraId="6BD615BA" w14:textId="7B31B286" w:rsidR="00FB2A84" w:rsidRPr="00FB2A84" w:rsidRDefault="00FB2A84" w:rsidP="00E00167">
      <w:pPr>
        <w:pStyle w:val="Reference"/>
      </w:pPr>
      <w:r w:rsidRPr="005B33A1">
        <w:t>Intersex</w:t>
      </w:r>
      <w:r w:rsidRPr="00B6157E">
        <w:t xml:space="preserve"> Aotearoa</w:t>
      </w:r>
      <w:r>
        <w:t xml:space="preserve">. (n.d.) </w:t>
      </w:r>
      <w:r>
        <w:rPr>
          <w:i/>
          <w:iCs/>
        </w:rPr>
        <w:t>Ira tangata.</w:t>
      </w:r>
      <w:r>
        <w:t xml:space="preserve"> </w:t>
      </w:r>
      <w:hyperlink r:id="rId83" w:history="1">
        <w:r w:rsidRPr="00790237">
          <w:rPr>
            <w:rStyle w:val="Hyperlink"/>
          </w:rPr>
          <w:t>https://www.intersexaotearoa.org/ira-tangata</w:t>
        </w:r>
      </w:hyperlink>
      <w:r>
        <w:t xml:space="preserve"> </w:t>
      </w:r>
    </w:p>
    <w:p w14:paraId="1E1713E8" w14:textId="601E00FB" w:rsidR="00F01386" w:rsidRPr="00B6157E" w:rsidRDefault="00F01386" w:rsidP="00E00167">
      <w:pPr>
        <w:pStyle w:val="Reference"/>
      </w:pPr>
      <w:r w:rsidRPr="005B33A1">
        <w:t>Johns</w:t>
      </w:r>
      <w:r w:rsidR="004D4891" w:rsidRPr="005B33A1">
        <w:t>e</w:t>
      </w:r>
      <w:r w:rsidRPr="005B33A1">
        <w:t>n</w:t>
      </w:r>
      <w:r w:rsidRPr="00B6157E">
        <w:t>,</w:t>
      </w:r>
      <w:r w:rsidR="003D640C" w:rsidRPr="00B6157E">
        <w:t xml:space="preserve"> </w:t>
      </w:r>
      <w:r w:rsidRPr="00B6157E">
        <w:t>M.</w:t>
      </w:r>
      <w:r w:rsidR="003D640C" w:rsidRPr="00B6157E">
        <w:t xml:space="preserve"> </w:t>
      </w:r>
      <w:r w:rsidRPr="00B6157E">
        <w:t>(2021,</w:t>
      </w:r>
      <w:r w:rsidR="003D640C" w:rsidRPr="00B6157E">
        <w:t xml:space="preserve"> </w:t>
      </w:r>
      <w:r w:rsidRPr="00B6157E">
        <w:t>March</w:t>
      </w:r>
      <w:r w:rsidR="003D640C" w:rsidRPr="00B6157E">
        <w:t xml:space="preserve"> </w:t>
      </w:r>
      <w:r w:rsidRPr="00B6157E">
        <w:t>8).</w:t>
      </w:r>
      <w:r w:rsidR="003D640C" w:rsidRPr="00B6157E">
        <w:t xml:space="preserve"> </w:t>
      </w:r>
      <w:r w:rsidRPr="00B6157E">
        <w:rPr>
          <w:i/>
          <w:iCs/>
        </w:rPr>
        <w:t>Conversion</w:t>
      </w:r>
      <w:r w:rsidR="003D640C" w:rsidRPr="00B6157E">
        <w:rPr>
          <w:i/>
          <w:iCs/>
        </w:rPr>
        <w:t xml:space="preserve"> </w:t>
      </w:r>
      <w:r w:rsidRPr="00B6157E">
        <w:rPr>
          <w:i/>
          <w:iCs/>
        </w:rPr>
        <w:t>therapy</w:t>
      </w:r>
      <w:r w:rsidR="003D640C" w:rsidRPr="00B6157E">
        <w:rPr>
          <w:i/>
          <w:iCs/>
        </w:rPr>
        <w:t xml:space="preserve"> </w:t>
      </w:r>
      <w:r w:rsidRPr="00B6157E">
        <w:rPr>
          <w:i/>
          <w:iCs/>
        </w:rPr>
        <w:t>ban</w:t>
      </w:r>
      <w:r w:rsidR="003D640C" w:rsidRPr="00B6157E">
        <w:rPr>
          <w:i/>
          <w:iCs/>
        </w:rPr>
        <w:t xml:space="preserve"> </w:t>
      </w:r>
      <w:r w:rsidRPr="00B6157E">
        <w:rPr>
          <w:i/>
          <w:iCs/>
        </w:rPr>
        <w:t>petition:</w:t>
      </w:r>
      <w:r w:rsidR="003D640C" w:rsidRPr="00B6157E">
        <w:rPr>
          <w:i/>
          <w:iCs/>
        </w:rPr>
        <w:t xml:space="preserve"> </w:t>
      </w:r>
      <w:r w:rsidRPr="00B6157E">
        <w:rPr>
          <w:i/>
          <w:iCs/>
        </w:rPr>
        <w:t>T</w:t>
      </w:r>
      <w:r w:rsidRPr="00B6157E">
        <w:rPr>
          <w:i/>
          <w:iCs/>
          <w:lang w:val="mi-NZ"/>
        </w:rPr>
        <w:t>akatāpui</w:t>
      </w:r>
      <w:r w:rsidR="003D640C" w:rsidRPr="00B6157E">
        <w:rPr>
          <w:i/>
          <w:iCs/>
          <w:lang w:val="mi-NZ"/>
        </w:rPr>
        <w:t xml:space="preserve"> </w:t>
      </w:r>
      <w:r w:rsidRPr="00B6157E">
        <w:rPr>
          <w:i/>
          <w:iCs/>
          <w:lang w:val="mi-NZ"/>
        </w:rPr>
        <w:t>‘</w:t>
      </w:r>
      <w:r w:rsidRPr="00B6157E">
        <w:rPr>
          <w:i/>
          <w:iCs/>
        </w:rPr>
        <w:t>inherent</w:t>
      </w:r>
      <w:r w:rsidR="003D640C" w:rsidRPr="00B6157E">
        <w:rPr>
          <w:i/>
          <w:iCs/>
        </w:rPr>
        <w:t xml:space="preserve"> </w:t>
      </w:r>
      <w:r w:rsidRPr="00B6157E">
        <w:rPr>
          <w:i/>
          <w:iCs/>
        </w:rPr>
        <w:t>to</w:t>
      </w:r>
      <w:r w:rsidR="003D640C" w:rsidRPr="00B6157E">
        <w:rPr>
          <w:i/>
          <w:iCs/>
        </w:rPr>
        <w:t xml:space="preserve"> </w:t>
      </w:r>
      <w:r w:rsidRPr="00B6157E">
        <w:rPr>
          <w:i/>
          <w:iCs/>
        </w:rPr>
        <w:t>our</w:t>
      </w:r>
      <w:r w:rsidR="003D640C" w:rsidRPr="00B6157E">
        <w:rPr>
          <w:i/>
          <w:iCs/>
        </w:rPr>
        <w:t xml:space="preserve"> </w:t>
      </w:r>
      <w:r w:rsidRPr="00B6157E">
        <w:rPr>
          <w:i/>
          <w:iCs/>
        </w:rPr>
        <w:t>culture’</w:t>
      </w:r>
      <w:r w:rsidRPr="00B6157E">
        <w:t>.</w:t>
      </w:r>
      <w:r w:rsidR="003D640C" w:rsidRPr="00B6157E">
        <w:rPr>
          <w:lang w:val="mi-NZ"/>
        </w:rPr>
        <w:t xml:space="preserve"> </w:t>
      </w:r>
      <w:hyperlink r:id="rId84" w:history="1">
        <w:r w:rsidR="004D4891" w:rsidRPr="00B6157E">
          <w:rPr>
            <w:rStyle w:val="Hyperlink"/>
          </w:rPr>
          <w:t>https://www.rnz.co.nz/news/te-manu-korihi/437894/conversion-therapy-ban-petition-takatapui-inherent-to-our-culture</w:t>
        </w:r>
      </w:hyperlink>
      <w:r w:rsidR="004D4891" w:rsidRPr="00B6157E">
        <w:t xml:space="preserve"> </w:t>
      </w:r>
    </w:p>
    <w:p w14:paraId="6241B014" w14:textId="7A188974" w:rsidR="00F01386" w:rsidRPr="00B6157E" w:rsidRDefault="00F01386" w:rsidP="0078026B">
      <w:pPr>
        <w:pStyle w:val="Reference"/>
      </w:pPr>
      <w:r w:rsidRPr="005B33A1">
        <w:t>Jones</w:t>
      </w:r>
      <w:r w:rsidRPr="00B6157E">
        <w:t>,</w:t>
      </w:r>
      <w:r w:rsidR="003D640C" w:rsidRPr="00B6157E">
        <w:t xml:space="preserve"> </w:t>
      </w:r>
      <w:r w:rsidRPr="00B6157E">
        <w:t>T.</w:t>
      </w:r>
      <w:r w:rsidR="003D640C" w:rsidRPr="00B6157E">
        <w:t xml:space="preserve"> </w:t>
      </w:r>
      <w:r w:rsidRPr="00B6157E">
        <w:t>(2013</w:t>
      </w:r>
      <w:r w:rsidR="003C6A61" w:rsidRPr="00B6157E">
        <w:t>, June 21</w:t>
      </w:r>
      <w:r w:rsidRPr="00B6157E">
        <w:t>).</w:t>
      </w:r>
      <w:r w:rsidR="003D640C" w:rsidRPr="00B6157E">
        <w:t xml:space="preserve"> </w:t>
      </w:r>
      <w:r w:rsidRPr="00B6157E">
        <w:rPr>
          <w:i/>
          <w:iCs/>
        </w:rPr>
        <w:t>World’s</w:t>
      </w:r>
      <w:r w:rsidR="003D640C" w:rsidRPr="00B6157E">
        <w:rPr>
          <w:i/>
          <w:iCs/>
        </w:rPr>
        <w:t xml:space="preserve"> </w:t>
      </w:r>
      <w:r w:rsidRPr="00B6157E">
        <w:rPr>
          <w:i/>
          <w:iCs/>
        </w:rPr>
        <w:t>largest</w:t>
      </w:r>
      <w:r w:rsidR="003D640C" w:rsidRPr="00B6157E">
        <w:rPr>
          <w:i/>
          <w:iCs/>
        </w:rPr>
        <w:t xml:space="preserve"> </w:t>
      </w:r>
      <w:r w:rsidRPr="00B6157E">
        <w:rPr>
          <w:i/>
          <w:iCs/>
        </w:rPr>
        <w:t>‘ex-gay’</w:t>
      </w:r>
      <w:r w:rsidR="003D640C" w:rsidRPr="00B6157E">
        <w:rPr>
          <w:i/>
          <w:iCs/>
        </w:rPr>
        <w:t xml:space="preserve"> </w:t>
      </w:r>
      <w:r w:rsidRPr="00B6157E">
        <w:rPr>
          <w:i/>
          <w:iCs/>
        </w:rPr>
        <w:t>organisation</w:t>
      </w:r>
      <w:r w:rsidR="003D640C" w:rsidRPr="00B6157E">
        <w:rPr>
          <w:i/>
          <w:iCs/>
        </w:rPr>
        <w:t xml:space="preserve"> </w:t>
      </w:r>
      <w:r w:rsidRPr="00B6157E">
        <w:rPr>
          <w:i/>
          <w:iCs/>
        </w:rPr>
        <w:t>shuts</w:t>
      </w:r>
      <w:r w:rsidR="003D640C" w:rsidRPr="00B6157E">
        <w:rPr>
          <w:i/>
          <w:iCs/>
        </w:rPr>
        <w:t xml:space="preserve"> </w:t>
      </w:r>
      <w:r w:rsidRPr="00B6157E">
        <w:rPr>
          <w:i/>
          <w:iCs/>
        </w:rPr>
        <w:t>down</w:t>
      </w:r>
      <w:r w:rsidRPr="00B6157E">
        <w:t>.</w:t>
      </w:r>
      <w:r w:rsidR="003D640C" w:rsidRPr="00B6157E">
        <w:t xml:space="preserve"> </w:t>
      </w:r>
      <w:r w:rsidRPr="00B6157E">
        <w:t>The</w:t>
      </w:r>
      <w:r w:rsidR="003D640C" w:rsidRPr="00B6157E">
        <w:t xml:space="preserve"> </w:t>
      </w:r>
      <w:r w:rsidRPr="00B6157E">
        <w:t>Conversation.</w:t>
      </w:r>
      <w:r w:rsidR="003D640C" w:rsidRPr="00B6157E">
        <w:t xml:space="preserve"> </w:t>
      </w:r>
      <w:hyperlink r:id="rId85" w:history="1">
        <w:r w:rsidR="009623B5" w:rsidRPr="00B6157E">
          <w:rPr>
            <w:rStyle w:val="Hyperlink"/>
          </w:rPr>
          <w:t>https://theconversation.com/worlds-largest-ex-gay-organisation-shuts-down-15405</w:t>
        </w:r>
      </w:hyperlink>
      <w:r w:rsidR="009623B5" w:rsidRPr="00B6157E">
        <w:t xml:space="preserve"> </w:t>
      </w:r>
      <w:r w:rsidR="003D640C" w:rsidRPr="00B6157E">
        <w:t xml:space="preserve"> </w:t>
      </w:r>
    </w:p>
    <w:p w14:paraId="42E7304D" w14:textId="5CFA2DD4" w:rsidR="00F01386" w:rsidRPr="00B6157E" w:rsidRDefault="00F01386" w:rsidP="00E00167">
      <w:pPr>
        <w:pStyle w:val="Reference"/>
      </w:pPr>
      <w:r w:rsidRPr="005B33A1">
        <w:t>Jones</w:t>
      </w:r>
      <w:r w:rsidRPr="00B6157E">
        <w:t>,</w:t>
      </w:r>
      <w:r w:rsidR="003D640C" w:rsidRPr="00B6157E">
        <w:t xml:space="preserve"> </w:t>
      </w:r>
      <w:r w:rsidRPr="00B6157E">
        <w:t>T</w:t>
      </w:r>
      <w:r w:rsidR="00EC7C1F" w:rsidRPr="00B6157E">
        <w:t>.</w:t>
      </w:r>
      <w:r w:rsidRPr="00B6157E">
        <w:t>,</w:t>
      </w:r>
      <w:r w:rsidR="003D640C" w:rsidRPr="00B6157E">
        <w:t xml:space="preserve"> </w:t>
      </w:r>
      <w:r w:rsidRPr="00B6157E">
        <w:t>Brown,</w:t>
      </w:r>
      <w:r w:rsidR="003D640C" w:rsidRPr="00B6157E">
        <w:t xml:space="preserve"> </w:t>
      </w:r>
      <w:r w:rsidRPr="00B6157E">
        <w:t>A</w:t>
      </w:r>
      <w:r w:rsidR="00EC7C1F" w:rsidRPr="00B6157E">
        <w:t>.</w:t>
      </w:r>
      <w:r w:rsidRPr="00B6157E">
        <w:t>,</w:t>
      </w:r>
      <w:r w:rsidR="003D640C" w:rsidRPr="00B6157E">
        <w:t xml:space="preserve"> </w:t>
      </w:r>
      <w:r w:rsidRPr="00B6157E">
        <w:t>Carnie,</w:t>
      </w:r>
      <w:r w:rsidR="003D640C" w:rsidRPr="00B6157E">
        <w:t xml:space="preserve"> </w:t>
      </w:r>
      <w:r w:rsidRPr="00B6157E">
        <w:t>L</w:t>
      </w:r>
      <w:r w:rsidR="00EC7C1F" w:rsidRPr="00B6157E">
        <w:t>.</w:t>
      </w:r>
      <w:r w:rsidRPr="00B6157E">
        <w:t>,</w:t>
      </w:r>
      <w:r w:rsidR="003D640C" w:rsidRPr="00B6157E">
        <w:t xml:space="preserve"> </w:t>
      </w:r>
      <w:r w:rsidRPr="00B6157E">
        <w:t>Fletcher,</w:t>
      </w:r>
      <w:r w:rsidR="003D640C" w:rsidRPr="00B6157E">
        <w:t xml:space="preserve"> </w:t>
      </w:r>
      <w:r w:rsidRPr="00B6157E">
        <w:t>G</w:t>
      </w:r>
      <w:r w:rsidR="00EC7C1F" w:rsidRPr="00B6157E">
        <w:t>.</w:t>
      </w:r>
      <w:r w:rsidRPr="00B6157E">
        <w:t>,</w:t>
      </w:r>
      <w:r w:rsidR="003D640C" w:rsidRPr="00B6157E">
        <w:t xml:space="preserve"> </w:t>
      </w:r>
      <w:r w:rsidRPr="00B6157E">
        <w:t>&amp;</w:t>
      </w:r>
      <w:r w:rsidR="003D640C" w:rsidRPr="00B6157E">
        <w:t xml:space="preserve"> </w:t>
      </w:r>
      <w:r w:rsidRPr="00B6157E">
        <w:t>Leonard,</w:t>
      </w:r>
      <w:r w:rsidR="003D640C" w:rsidRPr="00B6157E">
        <w:t xml:space="preserve"> </w:t>
      </w:r>
      <w:r w:rsidRPr="00B6157E">
        <w:t>W.</w:t>
      </w:r>
      <w:r w:rsidR="003D640C" w:rsidRPr="00B6157E">
        <w:t xml:space="preserve"> </w:t>
      </w:r>
      <w:r w:rsidRPr="00B6157E">
        <w:t>(2018).</w:t>
      </w:r>
      <w:r w:rsidR="003D640C" w:rsidRPr="00B6157E">
        <w:t xml:space="preserve"> </w:t>
      </w:r>
      <w:r w:rsidRPr="00B6157E">
        <w:rPr>
          <w:i/>
          <w:iCs/>
        </w:rPr>
        <w:t>Preventing</w:t>
      </w:r>
      <w:r w:rsidR="003D640C" w:rsidRPr="00B6157E">
        <w:rPr>
          <w:i/>
          <w:iCs/>
        </w:rPr>
        <w:t xml:space="preserve"> </w:t>
      </w:r>
      <w:r w:rsidRPr="00B6157E">
        <w:rPr>
          <w:i/>
          <w:iCs/>
        </w:rPr>
        <w:t>harm,</w:t>
      </w:r>
      <w:r w:rsidR="003D640C" w:rsidRPr="00B6157E">
        <w:rPr>
          <w:i/>
          <w:iCs/>
        </w:rPr>
        <w:t xml:space="preserve"> </w:t>
      </w:r>
      <w:r w:rsidRPr="00B6157E">
        <w:rPr>
          <w:i/>
          <w:iCs/>
        </w:rPr>
        <w:t>promoting</w:t>
      </w:r>
      <w:r w:rsidR="003D640C" w:rsidRPr="00B6157E">
        <w:rPr>
          <w:i/>
          <w:iCs/>
        </w:rPr>
        <w:t xml:space="preserve"> </w:t>
      </w:r>
      <w:r w:rsidRPr="00B6157E">
        <w:rPr>
          <w:i/>
          <w:iCs/>
        </w:rPr>
        <w:t>justice:</w:t>
      </w:r>
      <w:r w:rsidR="003D640C" w:rsidRPr="00B6157E">
        <w:rPr>
          <w:i/>
          <w:iCs/>
        </w:rPr>
        <w:t xml:space="preserve"> </w:t>
      </w:r>
      <w:r w:rsidR="00EC7C1F" w:rsidRPr="00B6157E">
        <w:rPr>
          <w:i/>
          <w:iCs/>
        </w:rPr>
        <w:t>R</w:t>
      </w:r>
      <w:r w:rsidRPr="00B6157E">
        <w:rPr>
          <w:i/>
          <w:iCs/>
        </w:rPr>
        <w:t>esponding</w:t>
      </w:r>
      <w:r w:rsidR="003D640C" w:rsidRPr="00B6157E">
        <w:rPr>
          <w:i/>
          <w:iCs/>
        </w:rPr>
        <w:t xml:space="preserve"> </w:t>
      </w:r>
      <w:r w:rsidRPr="00B6157E">
        <w:rPr>
          <w:i/>
          <w:iCs/>
        </w:rPr>
        <w:t>to</w:t>
      </w:r>
      <w:r w:rsidR="003D640C" w:rsidRPr="00B6157E">
        <w:rPr>
          <w:i/>
          <w:iCs/>
        </w:rPr>
        <w:t xml:space="preserve"> </w:t>
      </w:r>
      <w:r w:rsidRPr="00B6157E">
        <w:rPr>
          <w:i/>
          <w:iCs/>
        </w:rPr>
        <w:t>LGBT</w:t>
      </w:r>
      <w:r w:rsidR="003D640C" w:rsidRPr="00B6157E">
        <w:rPr>
          <w:i/>
          <w:iCs/>
        </w:rPr>
        <w:t xml:space="preserve"> </w:t>
      </w:r>
      <w:r w:rsidRPr="00B6157E">
        <w:rPr>
          <w:i/>
          <w:iCs/>
        </w:rPr>
        <w:t>conversion</w:t>
      </w:r>
      <w:r w:rsidR="003D640C" w:rsidRPr="00B6157E">
        <w:rPr>
          <w:i/>
          <w:iCs/>
        </w:rPr>
        <w:t xml:space="preserve"> </w:t>
      </w:r>
      <w:r w:rsidRPr="00B6157E">
        <w:rPr>
          <w:i/>
          <w:iCs/>
        </w:rPr>
        <w:t>therapy</w:t>
      </w:r>
      <w:r w:rsidR="003D640C" w:rsidRPr="00B6157E">
        <w:rPr>
          <w:i/>
          <w:iCs/>
        </w:rPr>
        <w:t xml:space="preserve"> </w:t>
      </w:r>
      <w:r w:rsidRPr="00B6157E">
        <w:rPr>
          <w:i/>
          <w:iCs/>
        </w:rPr>
        <w:t>in</w:t>
      </w:r>
      <w:r w:rsidR="003D640C" w:rsidRPr="00B6157E">
        <w:rPr>
          <w:i/>
          <w:iCs/>
        </w:rPr>
        <w:t xml:space="preserve"> </w:t>
      </w:r>
      <w:r w:rsidRPr="00B6157E">
        <w:rPr>
          <w:i/>
          <w:iCs/>
        </w:rPr>
        <w:t>Australia</w:t>
      </w:r>
      <w:r w:rsidRPr="00B6157E">
        <w:t>.</w:t>
      </w:r>
      <w:r w:rsidR="003D640C" w:rsidRPr="00B6157E">
        <w:t xml:space="preserve"> </w:t>
      </w:r>
      <w:r w:rsidRPr="00B6157E">
        <w:t>GLHV@ARCSHS</w:t>
      </w:r>
      <w:r w:rsidR="003D640C" w:rsidRPr="00B6157E">
        <w:t xml:space="preserve"> </w:t>
      </w:r>
      <w:r w:rsidR="004C0541" w:rsidRPr="00B6157E">
        <w:t>&amp;</w:t>
      </w:r>
      <w:r w:rsidR="003D640C" w:rsidRPr="00B6157E">
        <w:t xml:space="preserve"> </w:t>
      </w:r>
      <w:r w:rsidRPr="00B6157E">
        <w:t>Human</w:t>
      </w:r>
      <w:r w:rsidR="003D640C" w:rsidRPr="00B6157E">
        <w:t xml:space="preserve"> </w:t>
      </w:r>
      <w:r w:rsidRPr="00B6157E">
        <w:t>Rights</w:t>
      </w:r>
      <w:r w:rsidR="003D640C" w:rsidRPr="00B6157E">
        <w:t xml:space="preserve"> </w:t>
      </w:r>
      <w:r w:rsidRPr="00B6157E">
        <w:t>Law</w:t>
      </w:r>
      <w:r w:rsidR="003D640C" w:rsidRPr="00B6157E">
        <w:t xml:space="preserve"> </w:t>
      </w:r>
      <w:r w:rsidRPr="00B6157E">
        <w:t>Centre.</w:t>
      </w:r>
      <w:r w:rsidR="003D640C" w:rsidRPr="00B6157E">
        <w:t xml:space="preserve"> </w:t>
      </w:r>
      <w:hyperlink r:id="rId86" w:history="1">
        <w:r w:rsidR="00EC7C1F" w:rsidRPr="00B6157E">
          <w:rPr>
            <w:rStyle w:val="Hyperlink"/>
          </w:rPr>
          <w:t>https://www.hrlc.org.au/reports-news-commentary/preventing-harm</w:t>
        </w:r>
      </w:hyperlink>
      <w:r w:rsidR="00EC7C1F" w:rsidRPr="00B6157E">
        <w:t xml:space="preserve"> </w:t>
      </w:r>
    </w:p>
    <w:p w14:paraId="3A34DFA7" w14:textId="517EBD57" w:rsidR="00F01386" w:rsidRPr="00BB6220" w:rsidRDefault="00F01386" w:rsidP="00E00167">
      <w:pPr>
        <w:pStyle w:val="Reference"/>
        <w:rPr>
          <w:noProof/>
        </w:rPr>
      </w:pPr>
      <w:r w:rsidRPr="005B33A1">
        <w:rPr>
          <w:noProof/>
        </w:rPr>
        <w:t>Jones</w:t>
      </w:r>
      <w:r w:rsidRPr="00B6157E">
        <w:rPr>
          <w:noProof/>
        </w:rPr>
        <w:t>,</w:t>
      </w:r>
      <w:r w:rsidR="003D640C" w:rsidRPr="00B6157E">
        <w:rPr>
          <w:noProof/>
        </w:rPr>
        <w:t xml:space="preserve"> </w:t>
      </w:r>
      <w:r w:rsidRPr="00B6157E">
        <w:rPr>
          <w:noProof/>
        </w:rPr>
        <w:t>T.</w:t>
      </w:r>
      <w:r w:rsidR="00EB283D" w:rsidRPr="00B6157E">
        <w:rPr>
          <w:noProof/>
        </w:rPr>
        <w:t xml:space="preserve"> W</w:t>
      </w:r>
      <w:r w:rsidR="00EB283D">
        <w:rPr>
          <w:noProof/>
        </w:rPr>
        <w:t>.</w:t>
      </w:r>
      <w:r w:rsidRPr="00BB6220">
        <w:rPr>
          <w:noProof/>
        </w:rPr>
        <w:t>,</w:t>
      </w:r>
      <w:r w:rsidR="003D640C">
        <w:rPr>
          <w:noProof/>
        </w:rPr>
        <w:t xml:space="preserve"> </w:t>
      </w:r>
      <w:r w:rsidRPr="00BB6220">
        <w:rPr>
          <w:noProof/>
        </w:rPr>
        <w:t>Jones,</w:t>
      </w:r>
      <w:r w:rsidR="003D640C">
        <w:rPr>
          <w:noProof/>
        </w:rPr>
        <w:t xml:space="preserve"> </w:t>
      </w:r>
      <w:r w:rsidRPr="00BB6220">
        <w:rPr>
          <w:noProof/>
        </w:rPr>
        <w:t>T.</w:t>
      </w:r>
      <w:r w:rsidR="00EB283D">
        <w:rPr>
          <w:noProof/>
        </w:rPr>
        <w:t xml:space="preserve"> M.</w:t>
      </w:r>
      <w:r w:rsidRPr="00BB6220">
        <w:rPr>
          <w:noProof/>
        </w:rPr>
        <w:t>,</w:t>
      </w:r>
      <w:r w:rsidR="003D640C">
        <w:rPr>
          <w:noProof/>
        </w:rPr>
        <w:t xml:space="preserve"> </w:t>
      </w:r>
      <w:r w:rsidRPr="00BB6220">
        <w:rPr>
          <w:noProof/>
        </w:rPr>
        <w:t>Power,</w:t>
      </w:r>
      <w:r w:rsidR="003D640C">
        <w:rPr>
          <w:noProof/>
        </w:rPr>
        <w:t xml:space="preserve"> </w:t>
      </w:r>
      <w:r w:rsidRPr="00BB6220">
        <w:rPr>
          <w:noProof/>
        </w:rPr>
        <w:t>J.,</w:t>
      </w:r>
      <w:r w:rsidR="003D640C">
        <w:rPr>
          <w:noProof/>
        </w:rPr>
        <w:t xml:space="preserve"> </w:t>
      </w:r>
      <w:r w:rsidR="00EB283D">
        <w:rPr>
          <w:noProof/>
        </w:rPr>
        <w:t xml:space="preserve">Despott, N., </w:t>
      </w:r>
      <w:r w:rsidRPr="00BB6220">
        <w:rPr>
          <w:noProof/>
        </w:rPr>
        <w:t>&amp;</w:t>
      </w:r>
      <w:r w:rsidR="003D640C">
        <w:rPr>
          <w:noProof/>
        </w:rPr>
        <w:t xml:space="preserve"> </w:t>
      </w:r>
      <w:r w:rsidR="00EB283D">
        <w:t>Pallotta-Chiarolli, M</w:t>
      </w:r>
      <w:r w:rsidRPr="00BB6220">
        <w:rPr>
          <w:noProof/>
        </w:rPr>
        <w:t>.</w:t>
      </w:r>
      <w:r w:rsidR="003D640C">
        <w:rPr>
          <w:noProof/>
        </w:rPr>
        <w:t xml:space="preserve"> </w:t>
      </w:r>
      <w:r w:rsidRPr="00BB6220">
        <w:rPr>
          <w:noProof/>
        </w:rPr>
        <w:t>(2021a).</w:t>
      </w:r>
      <w:r w:rsidR="003D640C">
        <w:rPr>
          <w:noProof/>
        </w:rPr>
        <w:t xml:space="preserve"> </w:t>
      </w:r>
      <w:r w:rsidRPr="007B139B">
        <w:rPr>
          <w:i/>
          <w:iCs/>
          <w:noProof/>
        </w:rPr>
        <w:t>Healing</w:t>
      </w:r>
      <w:r w:rsidR="003D640C" w:rsidRPr="007B139B">
        <w:rPr>
          <w:i/>
          <w:iCs/>
          <w:noProof/>
        </w:rPr>
        <w:t xml:space="preserve"> </w:t>
      </w:r>
      <w:r w:rsidRPr="007B139B">
        <w:rPr>
          <w:i/>
          <w:iCs/>
          <w:noProof/>
        </w:rPr>
        <w:t>spiritual</w:t>
      </w:r>
      <w:r w:rsidR="003D640C" w:rsidRPr="007B139B">
        <w:rPr>
          <w:i/>
          <w:iCs/>
          <w:noProof/>
        </w:rPr>
        <w:t xml:space="preserve"> </w:t>
      </w:r>
      <w:r w:rsidRPr="007B139B">
        <w:rPr>
          <w:i/>
          <w:iCs/>
          <w:noProof/>
        </w:rPr>
        <w:t>harms:</w:t>
      </w:r>
      <w:r w:rsidR="003D640C" w:rsidRPr="007B139B">
        <w:rPr>
          <w:i/>
          <w:iCs/>
          <w:noProof/>
        </w:rPr>
        <w:t xml:space="preserve"> </w:t>
      </w:r>
      <w:r w:rsidRPr="007B139B">
        <w:rPr>
          <w:i/>
          <w:iCs/>
          <w:noProof/>
        </w:rPr>
        <w:t>supporting</w:t>
      </w:r>
      <w:r w:rsidR="003D640C" w:rsidRPr="007B139B">
        <w:rPr>
          <w:i/>
          <w:iCs/>
          <w:noProof/>
        </w:rPr>
        <w:t xml:space="preserve"> </w:t>
      </w:r>
      <w:r w:rsidRPr="007B139B">
        <w:rPr>
          <w:i/>
          <w:iCs/>
          <w:noProof/>
        </w:rPr>
        <w:t>recovery</w:t>
      </w:r>
      <w:r w:rsidR="003D640C" w:rsidRPr="007B139B">
        <w:rPr>
          <w:i/>
          <w:iCs/>
          <w:noProof/>
        </w:rPr>
        <w:t xml:space="preserve"> </w:t>
      </w:r>
      <w:r w:rsidRPr="007B139B">
        <w:rPr>
          <w:i/>
          <w:iCs/>
          <w:noProof/>
        </w:rPr>
        <w:t>from</w:t>
      </w:r>
      <w:r w:rsidR="003D640C" w:rsidRPr="007B139B">
        <w:rPr>
          <w:i/>
          <w:iCs/>
          <w:noProof/>
        </w:rPr>
        <w:t xml:space="preserve"> </w:t>
      </w:r>
      <w:r w:rsidRPr="007B139B">
        <w:rPr>
          <w:i/>
          <w:iCs/>
          <w:noProof/>
        </w:rPr>
        <w:t>LGBTQA+</w:t>
      </w:r>
      <w:r w:rsidR="003D640C" w:rsidRPr="007B139B">
        <w:rPr>
          <w:i/>
          <w:iCs/>
          <w:noProof/>
        </w:rPr>
        <w:t xml:space="preserve"> </w:t>
      </w:r>
      <w:r w:rsidRPr="007B139B">
        <w:rPr>
          <w:i/>
          <w:iCs/>
          <w:noProof/>
        </w:rPr>
        <w:t>change</w:t>
      </w:r>
      <w:r w:rsidR="003D640C" w:rsidRPr="007B139B">
        <w:rPr>
          <w:i/>
          <w:iCs/>
          <w:noProof/>
        </w:rPr>
        <w:t xml:space="preserve"> </w:t>
      </w:r>
      <w:r w:rsidRPr="007B139B">
        <w:rPr>
          <w:i/>
          <w:iCs/>
          <w:noProof/>
        </w:rPr>
        <w:t>and</w:t>
      </w:r>
      <w:r w:rsidR="003D640C" w:rsidRPr="007B139B">
        <w:rPr>
          <w:i/>
          <w:iCs/>
          <w:noProof/>
        </w:rPr>
        <w:t xml:space="preserve"> </w:t>
      </w:r>
      <w:r w:rsidRPr="007B139B">
        <w:rPr>
          <w:i/>
          <w:iCs/>
          <w:noProof/>
        </w:rPr>
        <w:t>suppression</w:t>
      </w:r>
      <w:r w:rsidR="003D640C" w:rsidRPr="007B139B">
        <w:rPr>
          <w:i/>
          <w:iCs/>
          <w:noProof/>
        </w:rPr>
        <w:t xml:space="preserve"> </w:t>
      </w:r>
      <w:r w:rsidRPr="007B139B">
        <w:rPr>
          <w:i/>
          <w:iCs/>
          <w:noProof/>
        </w:rPr>
        <w:t>practices</w:t>
      </w:r>
      <w:r w:rsidRPr="00BB6220">
        <w:rPr>
          <w:noProof/>
        </w:rPr>
        <w:t>.</w:t>
      </w:r>
      <w:r w:rsidR="003D640C">
        <w:rPr>
          <w:noProof/>
        </w:rPr>
        <w:t xml:space="preserve"> </w:t>
      </w:r>
      <w:r w:rsidRPr="00BB6220">
        <w:rPr>
          <w:noProof/>
        </w:rPr>
        <w:t>La</w:t>
      </w:r>
      <w:r w:rsidR="003D640C">
        <w:rPr>
          <w:noProof/>
        </w:rPr>
        <w:t xml:space="preserve"> </w:t>
      </w:r>
      <w:r w:rsidRPr="00BB6220">
        <w:rPr>
          <w:noProof/>
        </w:rPr>
        <w:t>Trobe</w:t>
      </w:r>
      <w:r w:rsidR="003D640C">
        <w:rPr>
          <w:noProof/>
        </w:rPr>
        <w:t xml:space="preserve"> </w:t>
      </w:r>
      <w:r w:rsidRPr="00BB6220">
        <w:rPr>
          <w:noProof/>
        </w:rPr>
        <w:t>University.</w:t>
      </w:r>
      <w:r w:rsidR="00EB283D">
        <w:rPr>
          <w:noProof/>
        </w:rPr>
        <w:t xml:space="preserve"> </w:t>
      </w:r>
      <w:hyperlink r:id="rId87" w:history="1">
        <w:r w:rsidR="00EB283D">
          <w:rPr>
            <w:rStyle w:val="Hyperlink"/>
          </w:rPr>
          <w:t>https://www.latrobe.edu.au/__data/assets/pdf_file/0007/1201588/Healing-spiritual-harms-Supporting-recovery-from-LGBTQA-change-and-suppression-practices.pdf</w:t>
        </w:r>
      </w:hyperlink>
    </w:p>
    <w:p w14:paraId="1974CFCE" w14:textId="0B82E3AA" w:rsidR="00F01386" w:rsidRPr="00B6157E" w:rsidRDefault="00F01386" w:rsidP="00E00167">
      <w:pPr>
        <w:pStyle w:val="Reference"/>
        <w:rPr>
          <w:lang w:val="en-US"/>
        </w:rPr>
      </w:pPr>
      <w:r w:rsidRPr="005B33A1">
        <w:rPr>
          <w:lang w:val="en-US"/>
        </w:rPr>
        <w:t>Jones</w:t>
      </w:r>
      <w:r w:rsidRPr="00B6157E">
        <w:rPr>
          <w:lang w:val="en-US"/>
        </w:rPr>
        <w:t>,</w:t>
      </w:r>
      <w:r w:rsidR="003D640C" w:rsidRPr="00B6157E">
        <w:rPr>
          <w:lang w:val="en-US"/>
        </w:rPr>
        <w:t xml:space="preserve"> </w:t>
      </w:r>
      <w:r w:rsidRPr="00B6157E">
        <w:rPr>
          <w:lang w:val="en-US"/>
        </w:rPr>
        <w:t>T.,</w:t>
      </w:r>
      <w:r w:rsidR="003D640C" w:rsidRPr="00B6157E">
        <w:rPr>
          <w:lang w:val="en-US"/>
        </w:rPr>
        <w:t xml:space="preserve"> </w:t>
      </w:r>
      <w:r w:rsidRPr="00B6157E">
        <w:rPr>
          <w:lang w:val="en-US"/>
        </w:rPr>
        <w:t>Power,</w:t>
      </w:r>
      <w:r w:rsidR="003D640C" w:rsidRPr="00B6157E">
        <w:rPr>
          <w:lang w:val="en-US"/>
        </w:rPr>
        <w:t xml:space="preserve"> </w:t>
      </w:r>
      <w:r w:rsidRPr="00B6157E">
        <w:rPr>
          <w:lang w:val="en-US"/>
        </w:rPr>
        <w:t>J.,</w:t>
      </w:r>
      <w:r w:rsidR="003D640C" w:rsidRPr="00B6157E">
        <w:rPr>
          <w:lang w:val="en-US"/>
        </w:rPr>
        <w:t xml:space="preserve"> </w:t>
      </w:r>
      <w:r w:rsidRPr="00B6157E">
        <w:rPr>
          <w:lang w:val="en-US"/>
        </w:rPr>
        <w:t>Hill,</w:t>
      </w:r>
      <w:r w:rsidR="003D640C" w:rsidRPr="00B6157E">
        <w:rPr>
          <w:lang w:val="en-US"/>
        </w:rPr>
        <w:t xml:space="preserve"> </w:t>
      </w:r>
      <w:r w:rsidRPr="00B6157E">
        <w:rPr>
          <w:lang w:val="en-US"/>
        </w:rPr>
        <w:t>A.,</w:t>
      </w:r>
      <w:r w:rsidR="003D640C" w:rsidRPr="00B6157E">
        <w:rPr>
          <w:lang w:val="en-US"/>
        </w:rPr>
        <w:t xml:space="preserve"> </w:t>
      </w:r>
      <w:r w:rsidRPr="00B6157E">
        <w:rPr>
          <w:lang w:val="en-US"/>
        </w:rPr>
        <w:t>Despott,</w:t>
      </w:r>
      <w:r w:rsidR="003D640C" w:rsidRPr="00B6157E">
        <w:rPr>
          <w:lang w:val="en-US"/>
        </w:rPr>
        <w:t xml:space="preserve"> </w:t>
      </w:r>
      <w:r w:rsidRPr="00B6157E">
        <w:rPr>
          <w:lang w:val="en-US"/>
        </w:rPr>
        <w:t>N.,</w:t>
      </w:r>
      <w:r w:rsidR="003D640C" w:rsidRPr="00B6157E">
        <w:rPr>
          <w:lang w:val="en-US"/>
        </w:rPr>
        <w:t xml:space="preserve"> </w:t>
      </w:r>
      <w:r w:rsidRPr="00B6157E">
        <w:rPr>
          <w:lang w:val="en-US"/>
        </w:rPr>
        <w:t>Carman,</w:t>
      </w:r>
      <w:r w:rsidR="003D640C" w:rsidRPr="00B6157E">
        <w:rPr>
          <w:lang w:val="en-US"/>
        </w:rPr>
        <w:t xml:space="preserve"> </w:t>
      </w:r>
      <w:r w:rsidRPr="00B6157E">
        <w:rPr>
          <w:lang w:val="en-US"/>
        </w:rPr>
        <w:t>M.,</w:t>
      </w:r>
      <w:r w:rsidR="003D640C" w:rsidRPr="00B6157E">
        <w:rPr>
          <w:lang w:val="en-US"/>
        </w:rPr>
        <w:t xml:space="preserve"> </w:t>
      </w:r>
      <w:r w:rsidRPr="00B6157E">
        <w:rPr>
          <w:lang w:val="en-US"/>
        </w:rPr>
        <w:t>Jones,</w:t>
      </w:r>
      <w:r w:rsidR="003D640C" w:rsidRPr="00B6157E">
        <w:rPr>
          <w:lang w:val="en-US"/>
        </w:rPr>
        <w:t xml:space="preserve"> </w:t>
      </w:r>
      <w:r w:rsidRPr="00B6157E">
        <w:rPr>
          <w:lang w:val="en-US"/>
        </w:rPr>
        <w:t>T.</w:t>
      </w:r>
      <w:r w:rsidR="003D640C" w:rsidRPr="00B6157E">
        <w:rPr>
          <w:lang w:val="en-US"/>
        </w:rPr>
        <w:t xml:space="preserve"> </w:t>
      </w:r>
      <w:r w:rsidRPr="00B6157E">
        <w:rPr>
          <w:lang w:val="en-US"/>
        </w:rPr>
        <w:t>W.,</w:t>
      </w:r>
      <w:r w:rsidR="003D640C" w:rsidRPr="00B6157E">
        <w:rPr>
          <w:lang w:val="en-US"/>
        </w:rPr>
        <w:t xml:space="preserve"> </w:t>
      </w:r>
      <w:r w:rsidRPr="00B6157E">
        <w:rPr>
          <w:lang w:val="en-US"/>
        </w:rPr>
        <w:t>Anderson,</w:t>
      </w:r>
      <w:r w:rsidR="003D640C" w:rsidRPr="00B6157E">
        <w:rPr>
          <w:lang w:val="en-US"/>
        </w:rPr>
        <w:t xml:space="preserve"> </w:t>
      </w:r>
      <w:r w:rsidRPr="00B6157E">
        <w:rPr>
          <w:lang w:val="en-US"/>
        </w:rPr>
        <w:t>A.,</w:t>
      </w:r>
      <w:r w:rsidR="003D640C" w:rsidRPr="00B6157E">
        <w:rPr>
          <w:lang w:val="en-US"/>
        </w:rPr>
        <w:t xml:space="preserve"> </w:t>
      </w:r>
      <w:r w:rsidRPr="00B6157E">
        <w:rPr>
          <w:lang w:val="en-US"/>
        </w:rPr>
        <w:t>&amp;</w:t>
      </w:r>
      <w:r w:rsidR="003D640C" w:rsidRPr="00B6157E">
        <w:rPr>
          <w:lang w:val="en-US"/>
        </w:rPr>
        <w:t xml:space="preserve"> </w:t>
      </w:r>
      <w:r w:rsidRPr="00B6157E">
        <w:rPr>
          <w:lang w:val="en-US"/>
        </w:rPr>
        <w:t>Bourne,</w:t>
      </w:r>
      <w:r w:rsidR="003D640C" w:rsidRPr="00B6157E">
        <w:rPr>
          <w:lang w:val="en-US"/>
        </w:rPr>
        <w:t xml:space="preserve"> </w:t>
      </w:r>
      <w:r w:rsidRPr="00B6157E">
        <w:rPr>
          <w:lang w:val="en-US"/>
        </w:rPr>
        <w:t>A.</w:t>
      </w:r>
      <w:r w:rsidR="003D640C" w:rsidRPr="00B6157E">
        <w:rPr>
          <w:lang w:val="en-US"/>
        </w:rPr>
        <w:t xml:space="preserve"> </w:t>
      </w:r>
      <w:r w:rsidRPr="00B6157E">
        <w:rPr>
          <w:lang w:val="en-US"/>
        </w:rPr>
        <w:t>(2021b).</w:t>
      </w:r>
      <w:r w:rsidR="003D640C" w:rsidRPr="00B6157E">
        <w:rPr>
          <w:lang w:val="en-US"/>
        </w:rPr>
        <w:t xml:space="preserve"> </w:t>
      </w:r>
      <w:r w:rsidRPr="00B6157E">
        <w:rPr>
          <w:lang w:val="en-US"/>
        </w:rPr>
        <w:t>Religious</w:t>
      </w:r>
      <w:r w:rsidR="003D640C" w:rsidRPr="00B6157E">
        <w:rPr>
          <w:lang w:val="en-US"/>
        </w:rPr>
        <w:t xml:space="preserve"> </w:t>
      </w:r>
      <w:r w:rsidRPr="00B6157E">
        <w:rPr>
          <w:lang w:val="en-US"/>
        </w:rPr>
        <w:t>conversion</w:t>
      </w:r>
      <w:r w:rsidR="003D640C" w:rsidRPr="00B6157E">
        <w:rPr>
          <w:lang w:val="en-US"/>
        </w:rPr>
        <w:t xml:space="preserve"> </w:t>
      </w:r>
      <w:r w:rsidRPr="00B6157E">
        <w:rPr>
          <w:lang w:val="en-US"/>
        </w:rPr>
        <w:t>practices</w:t>
      </w:r>
      <w:r w:rsidR="003D640C" w:rsidRPr="00B6157E">
        <w:rPr>
          <w:lang w:val="en-US"/>
        </w:rPr>
        <w:t xml:space="preserve"> </w:t>
      </w:r>
      <w:r w:rsidRPr="00B6157E">
        <w:rPr>
          <w:lang w:val="en-US"/>
        </w:rPr>
        <w:t>and</w:t>
      </w:r>
      <w:r w:rsidR="003D640C" w:rsidRPr="00B6157E">
        <w:rPr>
          <w:lang w:val="en-US"/>
        </w:rPr>
        <w:t xml:space="preserve"> </w:t>
      </w:r>
      <w:r w:rsidRPr="00B6157E">
        <w:rPr>
          <w:lang w:val="en-US"/>
        </w:rPr>
        <w:t>LGBTQA+</w:t>
      </w:r>
      <w:r w:rsidR="003D640C" w:rsidRPr="00B6157E">
        <w:rPr>
          <w:lang w:val="en-US"/>
        </w:rPr>
        <w:t xml:space="preserve"> </w:t>
      </w:r>
      <w:r w:rsidRPr="00B6157E">
        <w:rPr>
          <w:lang w:val="en-US"/>
        </w:rPr>
        <w:t>youth.</w:t>
      </w:r>
      <w:r w:rsidR="003D640C" w:rsidRPr="00B6157E">
        <w:rPr>
          <w:lang w:val="en-US"/>
        </w:rPr>
        <w:t xml:space="preserve"> </w:t>
      </w:r>
      <w:r w:rsidRPr="00B6157E">
        <w:rPr>
          <w:i/>
          <w:iCs/>
          <w:lang w:val="en-US"/>
        </w:rPr>
        <w:t>Sexual</w:t>
      </w:r>
      <w:r w:rsidR="003A051E" w:rsidRPr="00B6157E">
        <w:rPr>
          <w:i/>
          <w:iCs/>
          <w:lang w:val="en-US"/>
        </w:rPr>
        <w:t>ity</w:t>
      </w:r>
      <w:r w:rsidR="003D640C" w:rsidRPr="00B6157E">
        <w:rPr>
          <w:i/>
          <w:iCs/>
          <w:lang w:val="en-US"/>
        </w:rPr>
        <w:t xml:space="preserve"> </w:t>
      </w:r>
      <w:r w:rsidRPr="00B6157E">
        <w:rPr>
          <w:i/>
          <w:iCs/>
          <w:lang w:val="en-US"/>
        </w:rPr>
        <w:t>Research</w:t>
      </w:r>
      <w:r w:rsidR="003D640C" w:rsidRPr="00B6157E">
        <w:rPr>
          <w:i/>
          <w:iCs/>
          <w:lang w:val="en-US"/>
        </w:rPr>
        <w:t xml:space="preserve"> </w:t>
      </w:r>
      <w:r w:rsidRPr="00B6157E">
        <w:rPr>
          <w:i/>
          <w:iCs/>
          <w:lang w:val="en-US"/>
        </w:rPr>
        <w:t>and</w:t>
      </w:r>
      <w:r w:rsidR="003D640C" w:rsidRPr="00B6157E">
        <w:rPr>
          <w:i/>
          <w:iCs/>
          <w:lang w:val="en-US"/>
        </w:rPr>
        <w:t xml:space="preserve"> </w:t>
      </w:r>
      <w:r w:rsidRPr="00B6157E">
        <w:rPr>
          <w:i/>
          <w:iCs/>
          <w:lang w:val="en-US"/>
        </w:rPr>
        <w:t>Social</w:t>
      </w:r>
      <w:r w:rsidR="003D640C" w:rsidRPr="00B6157E">
        <w:rPr>
          <w:i/>
          <w:iCs/>
          <w:lang w:val="en-US"/>
        </w:rPr>
        <w:t xml:space="preserve"> </w:t>
      </w:r>
      <w:r w:rsidRPr="00B6157E">
        <w:rPr>
          <w:i/>
          <w:iCs/>
          <w:lang w:val="en-US"/>
        </w:rPr>
        <w:t>Policy</w:t>
      </w:r>
      <w:r w:rsidR="003A051E" w:rsidRPr="00B6157E">
        <w:rPr>
          <w:lang w:val="en-US"/>
        </w:rPr>
        <w:t xml:space="preserve">, </w:t>
      </w:r>
      <w:r w:rsidR="003A051E" w:rsidRPr="00B6157E">
        <w:rPr>
          <w:i/>
          <w:iCs/>
          <w:lang w:val="en-US"/>
        </w:rPr>
        <w:t>19</w:t>
      </w:r>
      <w:r w:rsidR="003A051E" w:rsidRPr="00B6157E">
        <w:rPr>
          <w:lang w:val="en-US"/>
        </w:rPr>
        <w:t>, 1155–1164</w:t>
      </w:r>
      <w:r w:rsidRPr="00B6157E">
        <w:rPr>
          <w:lang w:val="en-US"/>
        </w:rPr>
        <w:t>.</w:t>
      </w:r>
      <w:r w:rsidR="003D640C" w:rsidRPr="00B6157E">
        <w:rPr>
          <w:lang w:val="en-US"/>
        </w:rPr>
        <w:t xml:space="preserve"> </w:t>
      </w:r>
      <w:hyperlink r:id="rId88" w:history="1">
        <w:r w:rsidR="00E47EE5" w:rsidRPr="00B6157E">
          <w:rPr>
            <w:rStyle w:val="Hyperlink"/>
            <w:lang w:val="en-US"/>
          </w:rPr>
          <w:t>https://doi.org/10.1007/s13178-021-00615-5</w:t>
        </w:r>
      </w:hyperlink>
      <w:r w:rsidR="00E47EE5" w:rsidRPr="00B6157E">
        <w:rPr>
          <w:lang w:val="en-US"/>
        </w:rPr>
        <w:t xml:space="preserve"> </w:t>
      </w:r>
    </w:p>
    <w:p w14:paraId="3154C5EA" w14:textId="3764B2FF" w:rsidR="00F01386" w:rsidRPr="00B6157E" w:rsidRDefault="00F01386" w:rsidP="00E00167">
      <w:pPr>
        <w:pStyle w:val="Reference"/>
        <w:rPr>
          <w:lang w:val="en-US"/>
        </w:rPr>
      </w:pPr>
      <w:r w:rsidRPr="005B33A1">
        <w:rPr>
          <w:lang w:val="en-US"/>
        </w:rPr>
        <w:t>Jones</w:t>
      </w:r>
      <w:r w:rsidRPr="00B6157E">
        <w:rPr>
          <w:lang w:val="en-US"/>
        </w:rPr>
        <w:t>,</w:t>
      </w:r>
      <w:r w:rsidR="003D640C" w:rsidRPr="00B6157E">
        <w:rPr>
          <w:lang w:val="en-US"/>
        </w:rPr>
        <w:t xml:space="preserve"> </w:t>
      </w:r>
      <w:r w:rsidRPr="00B6157E">
        <w:rPr>
          <w:lang w:val="en-US"/>
        </w:rPr>
        <w:t>T.</w:t>
      </w:r>
      <w:r w:rsidR="003D640C" w:rsidRPr="00B6157E">
        <w:rPr>
          <w:lang w:val="en-US"/>
        </w:rPr>
        <w:t xml:space="preserve"> </w:t>
      </w:r>
      <w:r w:rsidRPr="00B6157E">
        <w:rPr>
          <w:lang w:val="en-US"/>
        </w:rPr>
        <w:t>W.,</w:t>
      </w:r>
      <w:r w:rsidR="003D640C" w:rsidRPr="00B6157E">
        <w:rPr>
          <w:lang w:val="en-US"/>
        </w:rPr>
        <w:t xml:space="preserve"> </w:t>
      </w:r>
      <w:r w:rsidRPr="00B6157E">
        <w:rPr>
          <w:lang w:val="en-US"/>
        </w:rPr>
        <w:t>Power,</w:t>
      </w:r>
      <w:r w:rsidR="003D640C" w:rsidRPr="00B6157E">
        <w:rPr>
          <w:lang w:val="en-US"/>
        </w:rPr>
        <w:t xml:space="preserve"> </w:t>
      </w:r>
      <w:r w:rsidRPr="00B6157E">
        <w:rPr>
          <w:lang w:val="en-US"/>
        </w:rPr>
        <w:t>J.,</w:t>
      </w:r>
      <w:r w:rsidR="003D640C" w:rsidRPr="00B6157E">
        <w:rPr>
          <w:lang w:val="en-US"/>
        </w:rPr>
        <w:t xml:space="preserve"> </w:t>
      </w:r>
      <w:r w:rsidRPr="00B6157E">
        <w:rPr>
          <w:lang w:val="en-US"/>
        </w:rPr>
        <w:t>&amp;</w:t>
      </w:r>
      <w:r w:rsidR="003D640C" w:rsidRPr="00B6157E">
        <w:rPr>
          <w:lang w:val="en-US"/>
        </w:rPr>
        <w:t xml:space="preserve"> </w:t>
      </w:r>
      <w:r w:rsidRPr="00B6157E">
        <w:rPr>
          <w:lang w:val="en-US"/>
        </w:rPr>
        <w:t>Jones,</w:t>
      </w:r>
      <w:r w:rsidR="003D640C" w:rsidRPr="00B6157E">
        <w:rPr>
          <w:lang w:val="en-US"/>
        </w:rPr>
        <w:t xml:space="preserve"> </w:t>
      </w:r>
      <w:r w:rsidRPr="00B6157E">
        <w:rPr>
          <w:lang w:val="en-US"/>
        </w:rPr>
        <w:t>T.</w:t>
      </w:r>
      <w:r w:rsidR="003D640C" w:rsidRPr="00B6157E">
        <w:rPr>
          <w:lang w:val="en-US"/>
        </w:rPr>
        <w:t xml:space="preserve"> </w:t>
      </w:r>
      <w:r w:rsidRPr="00B6157E">
        <w:rPr>
          <w:lang w:val="en-US"/>
        </w:rPr>
        <w:t>M.</w:t>
      </w:r>
      <w:r w:rsidR="003D640C" w:rsidRPr="00B6157E">
        <w:rPr>
          <w:lang w:val="en-US"/>
        </w:rPr>
        <w:t xml:space="preserve"> </w:t>
      </w:r>
      <w:r w:rsidRPr="00B6157E">
        <w:rPr>
          <w:lang w:val="en-US"/>
        </w:rPr>
        <w:t>(2022a).</w:t>
      </w:r>
      <w:r w:rsidR="003D640C" w:rsidRPr="00B6157E">
        <w:rPr>
          <w:lang w:val="en-US"/>
        </w:rPr>
        <w:t xml:space="preserve"> </w:t>
      </w:r>
      <w:r w:rsidRPr="00B6157E">
        <w:rPr>
          <w:lang w:val="en-US"/>
        </w:rPr>
        <w:t>Religious</w:t>
      </w:r>
      <w:r w:rsidR="003D640C" w:rsidRPr="00B6157E">
        <w:rPr>
          <w:lang w:val="en-US"/>
        </w:rPr>
        <w:t xml:space="preserve"> </w:t>
      </w:r>
      <w:r w:rsidRPr="00B6157E">
        <w:rPr>
          <w:lang w:val="en-US"/>
        </w:rPr>
        <w:t>trauma</w:t>
      </w:r>
      <w:r w:rsidR="003D640C" w:rsidRPr="00B6157E">
        <w:rPr>
          <w:lang w:val="en-US"/>
        </w:rPr>
        <w:t xml:space="preserve"> </w:t>
      </w:r>
      <w:r w:rsidRPr="00B6157E">
        <w:rPr>
          <w:lang w:val="en-US"/>
        </w:rPr>
        <w:t>and</w:t>
      </w:r>
      <w:r w:rsidR="003D640C" w:rsidRPr="00B6157E">
        <w:rPr>
          <w:lang w:val="en-US"/>
        </w:rPr>
        <w:t xml:space="preserve"> </w:t>
      </w:r>
      <w:r w:rsidRPr="00B6157E">
        <w:rPr>
          <w:lang w:val="en-US"/>
        </w:rPr>
        <w:t>moral</w:t>
      </w:r>
      <w:r w:rsidR="003D640C" w:rsidRPr="00B6157E">
        <w:rPr>
          <w:lang w:val="en-US"/>
        </w:rPr>
        <w:t xml:space="preserve"> </w:t>
      </w:r>
      <w:r w:rsidRPr="00B6157E">
        <w:rPr>
          <w:lang w:val="en-US"/>
        </w:rPr>
        <w:t>injury</w:t>
      </w:r>
      <w:r w:rsidR="003D640C" w:rsidRPr="00B6157E">
        <w:rPr>
          <w:lang w:val="en-US"/>
        </w:rPr>
        <w:t xml:space="preserve"> </w:t>
      </w:r>
      <w:r w:rsidRPr="00B6157E">
        <w:rPr>
          <w:lang w:val="en-US"/>
        </w:rPr>
        <w:t>from</w:t>
      </w:r>
      <w:r w:rsidR="003D640C" w:rsidRPr="00B6157E">
        <w:rPr>
          <w:lang w:val="en-US"/>
        </w:rPr>
        <w:t xml:space="preserve"> </w:t>
      </w:r>
      <w:r w:rsidRPr="00B6157E">
        <w:rPr>
          <w:lang w:val="en-US"/>
        </w:rPr>
        <w:t>LGBTQA+</w:t>
      </w:r>
      <w:r w:rsidR="003D640C" w:rsidRPr="00B6157E">
        <w:rPr>
          <w:lang w:val="en-US"/>
        </w:rPr>
        <w:t xml:space="preserve"> </w:t>
      </w:r>
      <w:r w:rsidRPr="00B6157E">
        <w:rPr>
          <w:lang w:val="en-US"/>
        </w:rPr>
        <w:t>conversion</w:t>
      </w:r>
      <w:r w:rsidR="003D640C" w:rsidRPr="00B6157E">
        <w:rPr>
          <w:lang w:val="en-US"/>
        </w:rPr>
        <w:t xml:space="preserve"> </w:t>
      </w:r>
      <w:r w:rsidRPr="00B6157E">
        <w:rPr>
          <w:lang w:val="en-US"/>
        </w:rPr>
        <w:t>practices.</w:t>
      </w:r>
      <w:r w:rsidR="003D640C" w:rsidRPr="00B6157E">
        <w:rPr>
          <w:lang w:val="en-US"/>
        </w:rPr>
        <w:t xml:space="preserve"> </w:t>
      </w:r>
      <w:r w:rsidRPr="00B6157E">
        <w:rPr>
          <w:i/>
          <w:iCs/>
          <w:lang w:val="en-US"/>
        </w:rPr>
        <w:t>Social</w:t>
      </w:r>
      <w:r w:rsidR="003D640C" w:rsidRPr="00B6157E">
        <w:rPr>
          <w:i/>
          <w:iCs/>
          <w:lang w:val="en-US"/>
        </w:rPr>
        <w:t xml:space="preserve"> </w:t>
      </w:r>
      <w:r w:rsidRPr="00B6157E">
        <w:rPr>
          <w:i/>
          <w:iCs/>
          <w:lang w:val="en-US"/>
        </w:rPr>
        <w:t>Science</w:t>
      </w:r>
      <w:r w:rsidR="003D640C" w:rsidRPr="00B6157E">
        <w:rPr>
          <w:i/>
          <w:iCs/>
          <w:lang w:val="en-US"/>
        </w:rPr>
        <w:t xml:space="preserve"> </w:t>
      </w:r>
      <w:r w:rsidRPr="00B6157E">
        <w:rPr>
          <w:i/>
          <w:iCs/>
          <w:lang w:val="en-US"/>
        </w:rPr>
        <w:t>&amp;</w:t>
      </w:r>
      <w:r w:rsidR="003D640C" w:rsidRPr="00B6157E">
        <w:rPr>
          <w:i/>
          <w:iCs/>
          <w:lang w:val="en-US"/>
        </w:rPr>
        <w:t xml:space="preserve"> </w:t>
      </w:r>
      <w:r w:rsidRPr="00B6157E">
        <w:rPr>
          <w:i/>
          <w:iCs/>
          <w:lang w:val="en-US"/>
        </w:rPr>
        <w:t>Medicine</w:t>
      </w:r>
      <w:r w:rsidRPr="00B6157E">
        <w:rPr>
          <w:lang w:val="en-US"/>
        </w:rPr>
        <w:t>,</w:t>
      </w:r>
      <w:r w:rsidR="003D640C" w:rsidRPr="00B6157E">
        <w:rPr>
          <w:i/>
          <w:iCs/>
          <w:lang w:val="en-US"/>
        </w:rPr>
        <w:t xml:space="preserve"> </w:t>
      </w:r>
      <w:r w:rsidRPr="00B6157E">
        <w:rPr>
          <w:i/>
          <w:iCs/>
          <w:lang w:val="en-US"/>
        </w:rPr>
        <w:t>305</w:t>
      </w:r>
      <w:r w:rsidR="00EC7C1F" w:rsidRPr="00B6157E">
        <w:rPr>
          <w:lang w:val="en-US"/>
        </w:rPr>
        <w:t>,</w:t>
      </w:r>
      <w:r w:rsidR="00EC7C1F" w:rsidRPr="00B6157E">
        <w:rPr>
          <w:i/>
          <w:iCs/>
          <w:lang w:val="en-US"/>
        </w:rPr>
        <w:t xml:space="preserve"> </w:t>
      </w:r>
      <w:r w:rsidRPr="00B6157E">
        <w:rPr>
          <w:lang w:val="en-US"/>
        </w:rPr>
        <w:t>115040.</w:t>
      </w:r>
      <w:r w:rsidR="003D640C" w:rsidRPr="00B6157E">
        <w:rPr>
          <w:lang w:val="en-US"/>
        </w:rPr>
        <w:t xml:space="preserve"> </w:t>
      </w:r>
      <w:hyperlink r:id="rId89" w:history="1">
        <w:r w:rsidR="00EC7C1F" w:rsidRPr="00B6157E">
          <w:rPr>
            <w:rStyle w:val="Hyperlink"/>
            <w:lang w:val="en-US"/>
          </w:rPr>
          <w:t>https://doi.org/10.1016/j.socscimed.2022.115040</w:t>
        </w:r>
      </w:hyperlink>
      <w:r w:rsidR="00EC7C1F" w:rsidRPr="00B6157E">
        <w:rPr>
          <w:lang w:val="en-US"/>
        </w:rPr>
        <w:t xml:space="preserve"> </w:t>
      </w:r>
      <w:r w:rsidR="003D640C" w:rsidRPr="00B6157E">
        <w:rPr>
          <w:lang w:val="en-US"/>
        </w:rPr>
        <w:t xml:space="preserve"> </w:t>
      </w:r>
      <w:r w:rsidR="00EC7C1F" w:rsidRPr="00B6157E">
        <w:rPr>
          <w:lang w:val="en-US"/>
        </w:rPr>
        <w:t xml:space="preserve"> </w:t>
      </w:r>
    </w:p>
    <w:p w14:paraId="1C395EB4" w14:textId="219D8D1F" w:rsidR="00F01386" w:rsidRPr="00B6157E" w:rsidRDefault="00F01386" w:rsidP="00E00167">
      <w:pPr>
        <w:pStyle w:val="Reference"/>
      </w:pPr>
      <w:r w:rsidRPr="005B33A1">
        <w:t>Jones</w:t>
      </w:r>
      <w:r w:rsidRPr="00B6157E">
        <w:t>,</w:t>
      </w:r>
      <w:r w:rsidR="003D640C" w:rsidRPr="00B6157E">
        <w:t xml:space="preserve"> </w:t>
      </w:r>
      <w:r w:rsidRPr="00B6157E">
        <w:t>T.,</w:t>
      </w:r>
      <w:r w:rsidR="003D640C" w:rsidRPr="00B6157E">
        <w:t xml:space="preserve"> </w:t>
      </w:r>
      <w:r w:rsidRPr="00B6157E">
        <w:t>Power,</w:t>
      </w:r>
      <w:r w:rsidR="003D640C" w:rsidRPr="00B6157E">
        <w:t xml:space="preserve"> </w:t>
      </w:r>
      <w:r w:rsidRPr="00B6157E">
        <w:t>J.,</w:t>
      </w:r>
      <w:r w:rsidR="003D640C" w:rsidRPr="00B6157E">
        <w:t xml:space="preserve"> </w:t>
      </w:r>
      <w:r w:rsidRPr="00B6157E">
        <w:t>Jones,</w:t>
      </w:r>
      <w:r w:rsidR="003D640C" w:rsidRPr="00B6157E">
        <w:t xml:space="preserve"> </w:t>
      </w:r>
      <w:r w:rsidRPr="00B6157E">
        <w:t>T.</w:t>
      </w:r>
      <w:r w:rsidR="002137FF" w:rsidRPr="00B6157E">
        <w:t xml:space="preserve"> </w:t>
      </w:r>
      <w:r w:rsidRPr="00B6157E">
        <w:t>W.,</w:t>
      </w:r>
      <w:r w:rsidR="003D640C" w:rsidRPr="00B6157E">
        <w:t xml:space="preserve"> </w:t>
      </w:r>
      <w:r w:rsidRPr="00B6157E">
        <w:t>Pallotta-Chiarolli,</w:t>
      </w:r>
      <w:r w:rsidR="003D640C" w:rsidRPr="00B6157E">
        <w:t xml:space="preserve"> </w:t>
      </w:r>
      <w:r w:rsidRPr="00B6157E">
        <w:t>M.</w:t>
      </w:r>
      <w:r w:rsidR="002137FF" w:rsidRPr="00B6157E">
        <w:t>,</w:t>
      </w:r>
      <w:r w:rsidR="003D640C" w:rsidRPr="00B6157E">
        <w:t xml:space="preserve"> </w:t>
      </w:r>
      <w:r w:rsidRPr="00B6157E">
        <w:t>&amp;</w:t>
      </w:r>
      <w:r w:rsidR="003D640C" w:rsidRPr="00B6157E">
        <w:t xml:space="preserve"> </w:t>
      </w:r>
      <w:r w:rsidRPr="00B6157E">
        <w:t>Despott</w:t>
      </w:r>
      <w:r w:rsidR="002137FF" w:rsidRPr="00B6157E">
        <w:t>,</w:t>
      </w:r>
      <w:r w:rsidR="003D640C" w:rsidRPr="00B6157E">
        <w:t xml:space="preserve"> </w:t>
      </w:r>
      <w:r w:rsidRPr="00B6157E">
        <w:t>N.</w:t>
      </w:r>
      <w:r w:rsidR="003D640C" w:rsidRPr="00B6157E">
        <w:t xml:space="preserve"> </w:t>
      </w:r>
      <w:r w:rsidRPr="00B6157E">
        <w:t>(2022b)</w:t>
      </w:r>
      <w:r w:rsidR="002137FF" w:rsidRPr="00B6157E">
        <w:t>.</w:t>
      </w:r>
      <w:r w:rsidR="003D640C" w:rsidRPr="00B6157E">
        <w:t xml:space="preserve"> </w:t>
      </w:r>
      <w:r w:rsidRPr="00B6157E">
        <w:t>Supporting</w:t>
      </w:r>
      <w:r w:rsidR="003D640C" w:rsidRPr="00B6157E">
        <w:t xml:space="preserve"> </w:t>
      </w:r>
      <w:r w:rsidRPr="00B6157E">
        <w:t>LGBTQA+</w:t>
      </w:r>
      <w:r w:rsidR="003D640C" w:rsidRPr="00B6157E">
        <w:t xml:space="preserve"> </w:t>
      </w:r>
      <w:r w:rsidRPr="00B6157E">
        <w:t>peoples’</w:t>
      </w:r>
      <w:r w:rsidR="003D640C" w:rsidRPr="00B6157E">
        <w:t xml:space="preserve"> </w:t>
      </w:r>
      <w:r w:rsidRPr="00B6157E">
        <w:t>recovery</w:t>
      </w:r>
      <w:r w:rsidR="003D640C" w:rsidRPr="00B6157E">
        <w:t xml:space="preserve"> </w:t>
      </w:r>
      <w:r w:rsidRPr="00B6157E">
        <w:t>from</w:t>
      </w:r>
      <w:r w:rsidR="003D640C" w:rsidRPr="00B6157E">
        <w:t xml:space="preserve"> </w:t>
      </w:r>
      <w:r w:rsidRPr="00B6157E">
        <w:t>sexual</w:t>
      </w:r>
      <w:r w:rsidR="003D640C" w:rsidRPr="00B6157E">
        <w:t xml:space="preserve"> </w:t>
      </w:r>
      <w:r w:rsidRPr="00B6157E">
        <w:t>orientation</w:t>
      </w:r>
      <w:r w:rsidR="003D640C" w:rsidRPr="00B6157E">
        <w:t xml:space="preserve"> </w:t>
      </w:r>
      <w:r w:rsidRPr="00B6157E">
        <w:t>and</w:t>
      </w:r>
      <w:r w:rsidR="003D640C" w:rsidRPr="00B6157E">
        <w:t xml:space="preserve"> </w:t>
      </w:r>
      <w:r w:rsidRPr="00B6157E">
        <w:t>gender</w:t>
      </w:r>
      <w:r w:rsidR="003D640C" w:rsidRPr="00B6157E">
        <w:t xml:space="preserve"> </w:t>
      </w:r>
      <w:r w:rsidRPr="00B6157E">
        <w:t>identity</w:t>
      </w:r>
      <w:r w:rsidR="003D640C" w:rsidRPr="00B6157E">
        <w:t xml:space="preserve"> </w:t>
      </w:r>
      <w:r w:rsidRPr="00B6157E">
        <w:t>and</w:t>
      </w:r>
      <w:r w:rsidR="003D640C" w:rsidRPr="00B6157E">
        <w:t xml:space="preserve"> </w:t>
      </w:r>
      <w:r w:rsidRPr="00B6157E">
        <w:t>expression</w:t>
      </w:r>
      <w:r w:rsidR="003D640C" w:rsidRPr="00B6157E">
        <w:t xml:space="preserve"> </w:t>
      </w:r>
      <w:r w:rsidRPr="00B6157E">
        <w:t>change</w:t>
      </w:r>
      <w:r w:rsidR="003D640C" w:rsidRPr="00B6157E">
        <w:t xml:space="preserve"> </w:t>
      </w:r>
      <w:r w:rsidRPr="00B6157E">
        <w:t>efforts</w:t>
      </w:r>
      <w:r w:rsidR="002137FF" w:rsidRPr="00B6157E">
        <w:t>.</w:t>
      </w:r>
      <w:r w:rsidR="003D640C" w:rsidRPr="00B6157E">
        <w:t xml:space="preserve"> </w:t>
      </w:r>
      <w:r w:rsidRPr="00B6157E">
        <w:rPr>
          <w:i/>
          <w:iCs/>
        </w:rPr>
        <w:t>Australian</w:t>
      </w:r>
      <w:r w:rsidR="003D640C" w:rsidRPr="00B6157E">
        <w:rPr>
          <w:i/>
          <w:iCs/>
        </w:rPr>
        <w:t xml:space="preserve"> </w:t>
      </w:r>
      <w:r w:rsidRPr="00B6157E">
        <w:rPr>
          <w:i/>
          <w:iCs/>
        </w:rPr>
        <w:t>Psychologist</w:t>
      </w:r>
      <w:r w:rsidRPr="00B6157E">
        <w:t>,</w:t>
      </w:r>
      <w:r w:rsidR="003D640C" w:rsidRPr="00B6157E">
        <w:t xml:space="preserve"> </w:t>
      </w:r>
      <w:r w:rsidRPr="00B6157E">
        <w:rPr>
          <w:i/>
          <w:iCs/>
        </w:rPr>
        <w:t>57</w:t>
      </w:r>
      <w:r w:rsidR="002137FF" w:rsidRPr="00B6157E">
        <w:t>(</w:t>
      </w:r>
      <w:r w:rsidRPr="00B6157E">
        <w:t>6</w:t>
      </w:r>
      <w:r w:rsidR="002137FF" w:rsidRPr="00B6157E">
        <w:t>)</w:t>
      </w:r>
      <w:r w:rsidRPr="00B6157E">
        <w:t>,</w:t>
      </w:r>
      <w:r w:rsidR="003D640C" w:rsidRPr="00B6157E">
        <w:t xml:space="preserve"> </w:t>
      </w:r>
      <w:r w:rsidRPr="00B6157E">
        <w:t>359</w:t>
      </w:r>
      <w:r w:rsidR="002137FF" w:rsidRPr="00B6157E">
        <w:t>–</w:t>
      </w:r>
      <w:r w:rsidRPr="00B6157E">
        <w:t>372</w:t>
      </w:r>
      <w:r w:rsidR="00E47EE5" w:rsidRPr="00B6157E">
        <w:t>.</w:t>
      </w:r>
      <w:r w:rsidR="003D640C" w:rsidRPr="00B6157E">
        <w:t xml:space="preserve"> </w:t>
      </w:r>
      <w:hyperlink r:id="rId90" w:history="1">
        <w:r w:rsidR="00E47EE5" w:rsidRPr="00B6157E">
          <w:rPr>
            <w:rStyle w:val="Hyperlink"/>
          </w:rPr>
          <w:t>https://doi.org/10.1080/00050067.2022.2093623</w:t>
        </w:r>
      </w:hyperlink>
      <w:r w:rsidR="00E47EE5" w:rsidRPr="00B6157E">
        <w:t xml:space="preserve"> </w:t>
      </w:r>
    </w:p>
    <w:p w14:paraId="5FF2D7CF" w14:textId="457CFD5B" w:rsidR="00F01386" w:rsidRPr="00B6157E" w:rsidRDefault="00F01386" w:rsidP="00E00167">
      <w:pPr>
        <w:pStyle w:val="Reference"/>
      </w:pPr>
      <w:r w:rsidRPr="005B33A1">
        <w:t>Jowett</w:t>
      </w:r>
      <w:r w:rsidRPr="00B6157E">
        <w:t>,</w:t>
      </w:r>
      <w:r w:rsidR="003D640C" w:rsidRPr="00B6157E">
        <w:t xml:space="preserve"> </w:t>
      </w:r>
      <w:r w:rsidRPr="00B6157E">
        <w:t>A.,</w:t>
      </w:r>
      <w:r w:rsidR="003D640C" w:rsidRPr="00B6157E">
        <w:t xml:space="preserve"> </w:t>
      </w:r>
      <w:r w:rsidRPr="00B6157E">
        <w:t>Brady,</w:t>
      </w:r>
      <w:r w:rsidR="003D640C" w:rsidRPr="00B6157E">
        <w:t xml:space="preserve"> </w:t>
      </w:r>
      <w:r w:rsidRPr="00B6157E">
        <w:t>G.,</w:t>
      </w:r>
      <w:r w:rsidR="003D640C" w:rsidRPr="00B6157E">
        <w:t xml:space="preserve"> </w:t>
      </w:r>
      <w:r w:rsidRPr="00B6157E">
        <w:t>Goodman,</w:t>
      </w:r>
      <w:r w:rsidR="003D640C" w:rsidRPr="00B6157E">
        <w:t xml:space="preserve"> </w:t>
      </w:r>
      <w:r w:rsidRPr="00B6157E">
        <w:t>S.,</w:t>
      </w:r>
      <w:r w:rsidR="003D640C" w:rsidRPr="00B6157E">
        <w:t xml:space="preserve"> </w:t>
      </w:r>
      <w:r w:rsidRPr="00B6157E">
        <w:t>Pillinger,</w:t>
      </w:r>
      <w:r w:rsidR="003D640C" w:rsidRPr="00B6157E">
        <w:t xml:space="preserve"> </w:t>
      </w:r>
      <w:r w:rsidRPr="00B6157E">
        <w:t>C.</w:t>
      </w:r>
      <w:r w:rsidR="000371F4" w:rsidRPr="00B6157E">
        <w:t>, &amp;</w:t>
      </w:r>
      <w:r w:rsidR="003D640C" w:rsidRPr="00B6157E">
        <w:t xml:space="preserve"> </w:t>
      </w:r>
      <w:r w:rsidRPr="00B6157E">
        <w:t>Bradley</w:t>
      </w:r>
      <w:r w:rsidR="000371F4" w:rsidRPr="00B6157E">
        <w:t>, L</w:t>
      </w:r>
      <w:r w:rsidRPr="00B6157E">
        <w:t>.</w:t>
      </w:r>
      <w:r w:rsidR="003D640C" w:rsidRPr="00B6157E">
        <w:t xml:space="preserve"> </w:t>
      </w:r>
      <w:r w:rsidRPr="00B6157E">
        <w:t>(2021)</w:t>
      </w:r>
      <w:r w:rsidR="003D640C" w:rsidRPr="00B6157E">
        <w:t xml:space="preserve"> </w:t>
      </w:r>
      <w:r w:rsidRPr="00B6157E">
        <w:rPr>
          <w:i/>
          <w:iCs/>
        </w:rPr>
        <w:t>Conversion</w:t>
      </w:r>
      <w:r w:rsidR="003D640C" w:rsidRPr="00B6157E">
        <w:rPr>
          <w:i/>
          <w:iCs/>
        </w:rPr>
        <w:t xml:space="preserve"> </w:t>
      </w:r>
      <w:r w:rsidR="00210BEF" w:rsidRPr="00B6157E">
        <w:rPr>
          <w:i/>
          <w:iCs/>
        </w:rPr>
        <w:t>t</w:t>
      </w:r>
      <w:r w:rsidRPr="00B6157E">
        <w:rPr>
          <w:i/>
          <w:iCs/>
        </w:rPr>
        <w:t>herapy:</w:t>
      </w:r>
      <w:r w:rsidR="003D640C" w:rsidRPr="00B6157E">
        <w:rPr>
          <w:i/>
          <w:iCs/>
        </w:rPr>
        <w:t xml:space="preserve"> </w:t>
      </w:r>
      <w:r w:rsidRPr="00B6157E">
        <w:rPr>
          <w:i/>
          <w:iCs/>
        </w:rPr>
        <w:t>An</w:t>
      </w:r>
      <w:r w:rsidR="003D640C" w:rsidRPr="00B6157E">
        <w:rPr>
          <w:i/>
          <w:iCs/>
        </w:rPr>
        <w:t xml:space="preserve"> </w:t>
      </w:r>
      <w:r w:rsidRPr="00B6157E">
        <w:rPr>
          <w:i/>
          <w:iCs/>
        </w:rPr>
        <w:t>evidence</w:t>
      </w:r>
      <w:r w:rsidR="003D640C" w:rsidRPr="00B6157E">
        <w:rPr>
          <w:i/>
          <w:iCs/>
        </w:rPr>
        <w:t xml:space="preserve"> </w:t>
      </w:r>
      <w:r w:rsidRPr="00B6157E">
        <w:rPr>
          <w:i/>
          <w:iCs/>
        </w:rPr>
        <w:t>assessment</w:t>
      </w:r>
      <w:r w:rsidR="003D640C" w:rsidRPr="00B6157E">
        <w:rPr>
          <w:i/>
          <w:iCs/>
        </w:rPr>
        <w:t xml:space="preserve"> </w:t>
      </w:r>
      <w:r w:rsidRPr="00B6157E">
        <w:rPr>
          <w:i/>
          <w:iCs/>
        </w:rPr>
        <w:t>and</w:t>
      </w:r>
      <w:r w:rsidR="003D640C" w:rsidRPr="00B6157E">
        <w:rPr>
          <w:i/>
          <w:iCs/>
        </w:rPr>
        <w:t xml:space="preserve"> </w:t>
      </w:r>
      <w:r w:rsidRPr="00B6157E">
        <w:rPr>
          <w:i/>
          <w:iCs/>
        </w:rPr>
        <w:t>qualitative</w:t>
      </w:r>
      <w:r w:rsidR="003D640C" w:rsidRPr="00B6157E">
        <w:rPr>
          <w:i/>
          <w:iCs/>
        </w:rPr>
        <w:t xml:space="preserve"> </w:t>
      </w:r>
      <w:r w:rsidRPr="00B6157E">
        <w:rPr>
          <w:i/>
          <w:iCs/>
        </w:rPr>
        <w:t>study</w:t>
      </w:r>
      <w:r w:rsidRPr="00B6157E">
        <w:t>.</w:t>
      </w:r>
      <w:r w:rsidR="003D640C" w:rsidRPr="00B6157E">
        <w:t xml:space="preserve"> </w:t>
      </w:r>
      <w:r w:rsidRPr="00B6157E">
        <w:t>Government</w:t>
      </w:r>
      <w:r w:rsidR="003D640C" w:rsidRPr="00B6157E">
        <w:t xml:space="preserve"> </w:t>
      </w:r>
      <w:r w:rsidRPr="00B6157E">
        <w:t>Equalities</w:t>
      </w:r>
      <w:r w:rsidR="003D640C" w:rsidRPr="00B6157E">
        <w:t xml:space="preserve"> </w:t>
      </w:r>
      <w:r w:rsidRPr="00B6157E">
        <w:t>Office.</w:t>
      </w:r>
      <w:r w:rsidR="003D640C" w:rsidRPr="00B6157E">
        <w:t xml:space="preserve"> </w:t>
      </w:r>
      <w:hyperlink r:id="rId91" w:history="1">
        <w:r w:rsidR="00B6157E" w:rsidRPr="0080137F">
          <w:rPr>
            <w:rStyle w:val="Hyperlink"/>
          </w:rPr>
          <w:t>https://pure.coventry.ac.uk/ws/portalfiles/portal/44880617/2020_12_15_Conversion_Therapy_Reserach_Report_AJ_edited_clean_4_.pdf</w:t>
        </w:r>
      </w:hyperlink>
      <w:r w:rsidR="00B6157E">
        <w:t xml:space="preserve"> </w:t>
      </w:r>
    </w:p>
    <w:p w14:paraId="06B3ACFB" w14:textId="221726F7" w:rsidR="00BB1A3B" w:rsidRDefault="00BB1A3B" w:rsidP="00BB1A3B">
      <w:pPr>
        <w:pStyle w:val="Reference"/>
        <w:rPr>
          <w:rStyle w:val="Hyperlink"/>
          <w:color w:val="auto"/>
          <w:u w:val="none"/>
        </w:rPr>
      </w:pPr>
      <w:r w:rsidRPr="005B33A1">
        <w:lastRenderedPageBreak/>
        <w:t>Justice</w:t>
      </w:r>
      <w:r w:rsidRPr="00B6157E">
        <w:t xml:space="preserve"> Select</w:t>
      </w:r>
      <w:r w:rsidRPr="00BB1A3B">
        <w:t xml:space="preserve"> </w:t>
      </w:r>
      <w:r w:rsidRPr="007B139B">
        <w:t>Committee</w:t>
      </w:r>
      <w:r w:rsidRPr="00BB1A3B">
        <w:t>. (2020).</w:t>
      </w:r>
      <w:r w:rsidRPr="007B139B">
        <w:t xml:space="preserve"> </w:t>
      </w:r>
      <w:r w:rsidRPr="007B139B">
        <w:rPr>
          <w:i/>
          <w:iCs/>
        </w:rPr>
        <w:t>Conversion Practices Prohibition Legislation Bill</w:t>
      </w:r>
      <w:r w:rsidRPr="007B139B">
        <w:rPr>
          <w:rStyle w:val="Hyperlink"/>
          <w:color w:val="auto"/>
          <w:u w:val="none"/>
        </w:rPr>
        <w:t xml:space="preserve">. </w:t>
      </w:r>
      <w:hyperlink r:id="rId92" w:history="1">
        <w:r w:rsidR="00C0497B" w:rsidRPr="007B139B">
          <w:rPr>
            <w:rStyle w:val="Hyperlink"/>
          </w:rPr>
          <w:t>https://www.parliament.nz/resource/en-NZ/SCR_118518/52c2fd4e0c6a8c06342148c0cc32534f23115fbc</w:t>
        </w:r>
      </w:hyperlink>
      <w:r w:rsidR="00C0497B">
        <w:rPr>
          <w:rStyle w:val="Hyperlink"/>
          <w:color w:val="auto"/>
          <w:u w:val="none"/>
        </w:rPr>
        <w:t xml:space="preserve">  </w:t>
      </w:r>
    </w:p>
    <w:p w14:paraId="3CDD6340" w14:textId="2C8EDD36" w:rsidR="00A0716D" w:rsidRPr="00B6157E" w:rsidRDefault="00A0716D" w:rsidP="00BB1A3B">
      <w:pPr>
        <w:pStyle w:val="Reference"/>
        <w:rPr>
          <w:rStyle w:val="Hyperlink"/>
          <w:color w:val="auto"/>
          <w:u w:val="none"/>
        </w:rPr>
      </w:pPr>
      <w:r w:rsidRPr="00B6157E">
        <w:t xml:space="preserve">Keen, K. R. (2018). </w:t>
      </w:r>
      <w:r w:rsidRPr="00B6157E">
        <w:rPr>
          <w:i/>
          <w:iCs/>
        </w:rPr>
        <w:t>Scripture, ethics, and the possibility of same-sex relationships</w:t>
      </w:r>
      <w:r w:rsidRPr="00B6157E">
        <w:t>. Eerdmans Publishing.</w:t>
      </w:r>
    </w:p>
    <w:p w14:paraId="45BD1076" w14:textId="79EE6810" w:rsidR="00A5635D" w:rsidRPr="00B6157E" w:rsidRDefault="00A5635D" w:rsidP="00A5635D">
      <w:pPr>
        <w:pStyle w:val="Reference"/>
        <w:rPr>
          <w:rStyle w:val="Hyperlink"/>
        </w:rPr>
      </w:pPr>
      <w:r w:rsidRPr="005B33A1">
        <w:t>Kerekere</w:t>
      </w:r>
      <w:r w:rsidRPr="00B6157E">
        <w:t xml:space="preserve">, E. (2017a). </w:t>
      </w:r>
      <w:r w:rsidRPr="00B6157E">
        <w:rPr>
          <w:i/>
          <w:iCs/>
        </w:rPr>
        <w:t>Growing up takatāpui: Whānau journeys.</w:t>
      </w:r>
      <w:r w:rsidRPr="00B6157E">
        <w:t xml:space="preserve"> Tīwhanawhana Trust and RainbowYOUTH. </w:t>
      </w:r>
      <w:hyperlink r:id="rId93" w:history="1">
        <w:r w:rsidRPr="00B6157E">
          <w:rPr>
            <w:rStyle w:val="Hyperlink"/>
          </w:rPr>
          <w:t>https://3ff63170-9ffb-4cf7-b5ad-a285defbbd41.filesusr.com/ugd/b7eedf_052f4ec7eeb54892816fd6b2f5ca1f00.pdf</w:t>
        </w:r>
      </w:hyperlink>
      <w:r w:rsidRPr="00B6157E">
        <w:t xml:space="preserve"> </w:t>
      </w:r>
    </w:p>
    <w:p w14:paraId="794F7751" w14:textId="4A1B1A29" w:rsidR="00F01386" w:rsidRPr="00B6157E" w:rsidRDefault="00F01386" w:rsidP="00E00167">
      <w:pPr>
        <w:pStyle w:val="Reference"/>
      </w:pPr>
      <w:r w:rsidRPr="005B33A1">
        <w:rPr>
          <w:lang w:val="mi-NZ"/>
        </w:rPr>
        <w:t>Kerekere</w:t>
      </w:r>
      <w:r w:rsidRPr="00B6157E">
        <w:rPr>
          <w:lang w:val="mi-NZ"/>
        </w:rPr>
        <w:t>,</w:t>
      </w:r>
      <w:r w:rsidR="003D640C" w:rsidRPr="00B6157E">
        <w:rPr>
          <w:lang w:val="mi-NZ"/>
        </w:rPr>
        <w:t xml:space="preserve"> </w:t>
      </w:r>
      <w:r w:rsidRPr="00B6157E">
        <w:rPr>
          <w:lang w:val="mi-NZ"/>
        </w:rPr>
        <w:t>E.</w:t>
      </w:r>
      <w:r w:rsidR="003D640C" w:rsidRPr="00B6157E">
        <w:rPr>
          <w:lang w:val="mi-NZ"/>
        </w:rPr>
        <w:t xml:space="preserve"> </w:t>
      </w:r>
      <w:r w:rsidRPr="00B6157E">
        <w:rPr>
          <w:lang w:val="mi-NZ"/>
        </w:rPr>
        <w:t>(2017</w:t>
      </w:r>
      <w:r w:rsidR="00A5635D" w:rsidRPr="00B6157E">
        <w:rPr>
          <w:lang w:val="mi-NZ"/>
        </w:rPr>
        <w:t>b</w:t>
      </w:r>
      <w:r w:rsidRPr="00B6157E">
        <w:rPr>
          <w:lang w:val="mi-NZ"/>
        </w:rPr>
        <w:t>).</w:t>
      </w:r>
      <w:r w:rsidR="003D640C" w:rsidRPr="00B6157E">
        <w:rPr>
          <w:lang w:val="mi-NZ"/>
        </w:rPr>
        <w:t xml:space="preserve"> </w:t>
      </w:r>
      <w:r w:rsidRPr="00B6157E">
        <w:rPr>
          <w:i/>
          <w:iCs/>
          <w:lang w:val="mi-NZ"/>
        </w:rPr>
        <w:t>Part</w:t>
      </w:r>
      <w:r w:rsidR="003D640C" w:rsidRPr="00B6157E">
        <w:rPr>
          <w:i/>
          <w:iCs/>
          <w:lang w:val="mi-NZ"/>
        </w:rPr>
        <w:t xml:space="preserve"> </w:t>
      </w:r>
      <w:r w:rsidRPr="00B6157E">
        <w:rPr>
          <w:i/>
          <w:iCs/>
          <w:lang w:val="mi-NZ"/>
        </w:rPr>
        <w:t>of</w:t>
      </w:r>
      <w:r w:rsidR="003D640C" w:rsidRPr="00B6157E">
        <w:rPr>
          <w:i/>
          <w:iCs/>
          <w:lang w:val="mi-NZ"/>
        </w:rPr>
        <w:t xml:space="preserve"> </w:t>
      </w:r>
      <w:r w:rsidRPr="00B6157E">
        <w:rPr>
          <w:i/>
          <w:iCs/>
          <w:lang w:val="mi-NZ"/>
        </w:rPr>
        <w:t>the</w:t>
      </w:r>
      <w:r w:rsidR="003D640C" w:rsidRPr="00B6157E">
        <w:rPr>
          <w:i/>
          <w:iCs/>
          <w:lang w:val="mi-NZ"/>
        </w:rPr>
        <w:t xml:space="preserve"> </w:t>
      </w:r>
      <w:r w:rsidRPr="00B6157E">
        <w:rPr>
          <w:i/>
          <w:iCs/>
          <w:lang w:val="mi-NZ"/>
        </w:rPr>
        <w:t>whānau:</w:t>
      </w:r>
      <w:r w:rsidR="003D640C" w:rsidRPr="00B6157E">
        <w:rPr>
          <w:i/>
          <w:iCs/>
          <w:lang w:val="mi-NZ"/>
        </w:rPr>
        <w:t xml:space="preserve"> </w:t>
      </w:r>
      <w:r w:rsidRPr="00B6157E">
        <w:rPr>
          <w:i/>
          <w:iCs/>
          <w:lang w:val="mi-NZ"/>
        </w:rPr>
        <w:t>The</w:t>
      </w:r>
      <w:r w:rsidR="003D640C" w:rsidRPr="00B6157E">
        <w:rPr>
          <w:i/>
          <w:iCs/>
          <w:lang w:val="mi-NZ"/>
        </w:rPr>
        <w:t xml:space="preserve"> </w:t>
      </w:r>
      <w:r w:rsidRPr="00B6157E">
        <w:rPr>
          <w:i/>
          <w:iCs/>
          <w:lang w:val="mi-NZ"/>
        </w:rPr>
        <w:t>emergence</w:t>
      </w:r>
      <w:r w:rsidR="003D640C" w:rsidRPr="00B6157E">
        <w:rPr>
          <w:i/>
          <w:iCs/>
          <w:lang w:val="mi-NZ"/>
        </w:rPr>
        <w:t xml:space="preserve"> </w:t>
      </w:r>
      <w:r w:rsidRPr="00B6157E">
        <w:rPr>
          <w:i/>
          <w:iCs/>
          <w:lang w:val="mi-NZ"/>
        </w:rPr>
        <w:t>of</w:t>
      </w:r>
      <w:r w:rsidR="003D640C" w:rsidRPr="00B6157E">
        <w:rPr>
          <w:i/>
          <w:iCs/>
          <w:lang w:val="mi-NZ"/>
        </w:rPr>
        <w:t xml:space="preserve"> </w:t>
      </w:r>
      <w:r w:rsidRPr="00B6157E">
        <w:rPr>
          <w:i/>
          <w:iCs/>
          <w:lang w:val="mi-NZ"/>
        </w:rPr>
        <w:t>takatāpui</w:t>
      </w:r>
      <w:r w:rsidR="003D640C" w:rsidRPr="00B6157E">
        <w:rPr>
          <w:i/>
          <w:iCs/>
          <w:lang w:val="mi-NZ"/>
        </w:rPr>
        <w:t xml:space="preserve"> </w:t>
      </w:r>
      <w:r w:rsidRPr="00B6157E">
        <w:rPr>
          <w:i/>
          <w:iCs/>
          <w:lang w:val="mi-NZ"/>
        </w:rPr>
        <w:t>identity</w:t>
      </w:r>
      <w:r w:rsidR="003D640C" w:rsidRPr="00B6157E">
        <w:rPr>
          <w:i/>
          <w:iCs/>
          <w:lang w:val="mi-NZ"/>
        </w:rPr>
        <w:t xml:space="preserve"> </w:t>
      </w:r>
      <w:r w:rsidRPr="00B6157E">
        <w:rPr>
          <w:i/>
          <w:iCs/>
          <w:lang w:val="mi-NZ"/>
        </w:rPr>
        <w:t>–</w:t>
      </w:r>
      <w:r w:rsidR="003D640C" w:rsidRPr="00B6157E">
        <w:rPr>
          <w:i/>
          <w:iCs/>
          <w:lang w:val="mi-NZ"/>
        </w:rPr>
        <w:t xml:space="preserve"> </w:t>
      </w:r>
      <w:r w:rsidRPr="00B6157E">
        <w:rPr>
          <w:i/>
          <w:iCs/>
          <w:lang w:val="mi-NZ"/>
        </w:rPr>
        <w:t>He</w:t>
      </w:r>
      <w:r w:rsidR="003D640C" w:rsidRPr="00B6157E">
        <w:rPr>
          <w:i/>
          <w:iCs/>
          <w:lang w:val="mi-NZ"/>
        </w:rPr>
        <w:t xml:space="preserve"> </w:t>
      </w:r>
      <w:r w:rsidRPr="00B6157E">
        <w:rPr>
          <w:i/>
          <w:iCs/>
          <w:lang w:val="mi-NZ"/>
        </w:rPr>
        <w:t>whāriki</w:t>
      </w:r>
      <w:r w:rsidR="003D640C" w:rsidRPr="00B6157E">
        <w:rPr>
          <w:i/>
          <w:iCs/>
          <w:lang w:val="mi-NZ"/>
        </w:rPr>
        <w:t xml:space="preserve"> </w:t>
      </w:r>
      <w:r w:rsidRPr="00B6157E">
        <w:rPr>
          <w:i/>
          <w:iCs/>
          <w:lang w:val="mi-NZ"/>
        </w:rPr>
        <w:t>takatāpui</w:t>
      </w:r>
      <w:r w:rsidR="003D640C" w:rsidRPr="00B6157E">
        <w:rPr>
          <w:lang w:val="mi-NZ"/>
        </w:rPr>
        <w:t xml:space="preserve"> </w:t>
      </w:r>
      <w:r w:rsidRPr="00B6157E">
        <w:rPr>
          <w:lang w:val="mi-NZ"/>
        </w:rPr>
        <w:t>[Doctoral</w:t>
      </w:r>
      <w:r w:rsidR="003D640C" w:rsidRPr="00B6157E">
        <w:rPr>
          <w:lang w:val="mi-NZ"/>
        </w:rPr>
        <w:t xml:space="preserve"> </w:t>
      </w:r>
      <w:r w:rsidRPr="00B6157E">
        <w:rPr>
          <w:lang w:val="mi-NZ"/>
        </w:rPr>
        <w:t>dissertation,</w:t>
      </w:r>
      <w:r w:rsidR="003D640C" w:rsidRPr="00B6157E">
        <w:rPr>
          <w:lang w:val="mi-NZ"/>
        </w:rPr>
        <w:t xml:space="preserve"> </w:t>
      </w:r>
      <w:r w:rsidRPr="00B6157E">
        <w:rPr>
          <w:lang w:val="mi-NZ"/>
        </w:rPr>
        <w:t>Victoria</w:t>
      </w:r>
      <w:r w:rsidR="003D640C" w:rsidRPr="00B6157E">
        <w:rPr>
          <w:lang w:val="mi-NZ"/>
        </w:rPr>
        <w:t xml:space="preserve"> </w:t>
      </w:r>
      <w:r w:rsidRPr="00B6157E">
        <w:rPr>
          <w:lang w:val="mi-NZ"/>
        </w:rPr>
        <w:t>University</w:t>
      </w:r>
      <w:r w:rsidR="003D640C" w:rsidRPr="00B6157E">
        <w:rPr>
          <w:lang w:val="mi-NZ"/>
        </w:rPr>
        <w:t xml:space="preserve"> </w:t>
      </w:r>
      <w:r w:rsidRPr="00B6157E">
        <w:rPr>
          <w:lang w:val="mi-NZ"/>
        </w:rPr>
        <w:t>of</w:t>
      </w:r>
      <w:r w:rsidR="003D640C" w:rsidRPr="00B6157E">
        <w:rPr>
          <w:lang w:val="mi-NZ"/>
        </w:rPr>
        <w:t xml:space="preserve"> </w:t>
      </w:r>
      <w:r w:rsidRPr="00B6157E">
        <w:rPr>
          <w:lang w:val="mi-NZ"/>
        </w:rPr>
        <w:t>Wellington].</w:t>
      </w:r>
      <w:r w:rsidR="003D640C" w:rsidRPr="00B6157E">
        <w:rPr>
          <w:lang w:val="mi-NZ"/>
        </w:rPr>
        <w:t xml:space="preserve"> </w:t>
      </w:r>
      <w:hyperlink r:id="rId94" w:history="1">
        <w:r w:rsidR="0003452C" w:rsidRPr="00B6157E">
          <w:rPr>
            <w:rStyle w:val="Hyperlink"/>
          </w:rPr>
          <w:t>https://researcharchive.vuw.ac.nz/xmlui/bitstream/handle/10063/6369/thesis_access.pdf?sequence=1</w:t>
        </w:r>
      </w:hyperlink>
      <w:r w:rsidR="0003452C" w:rsidRPr="00B6157E">
        <w:t xml:space="preserve"> </w:t>
      </w:r>
    </w:p>
    <w:p w14:paraId="367E8848" w14:textId="514F8E5C" w:rsidR="00F01386" w:rsidRDefault="00F01386" w:rsidP="00E00167">
      <w:pPr>
        <w:pStyle w:val="Reference"/>
        <w:rPr>
          <w:rStyle w:val="Hyperlink"/>
        </w:rPr>
      </w:pPr>
      <w:r w:rsidRPr="005B33A1">
        <w:t>King</w:t>
      </w:r>
      <w:r w:rsidRPr="00B6157E">
        <w:t>-</w:t>
      </w:r>
      <w:r>
        <w:t>Finau,</w:t>
      </w:r>
      <w:r w:rsidR="003D640C">
        <w:t xml:space="preserve"> </w:t>
      </w:r>
      <w:r>
        <w:t>T.</w:t>
      </w:r>
      <w:r w:rsidR="003D640C">
        <w:t xml:space="preserve"> </w:t>
      </w:r>
      <w:r>
        <w:t>(2020).</w:t>
      </w:r>
      <w:r w:rsidR="003D640C">
        <w:t xml:space="preserve"> </w:t>
      </w:r>
      <w:r w:rsidRPr="009E5082">
        <w:rPr>
          <w:i/>
          <w:iCs/>
        </w:rPr>
        <w:t>It</w:t>
      </w:r>
      <w:r w:rsidR="003D640C">
        <w:rPr>
          <w:i/>
          <w:iCs/>
        </w:rPr>
        <w:t xml:space="preserve"> </w:t>
      </w:r>
      <w:r w:rsidRPr="009E5082">
        <w:rPr>
          <w:i/>
          <w:iCs/>
        </w:rPr>
        <w:t>takes</w:t>
      </w:r>
      <w:r w:rsidR="003D640C">
        <w:rPr>
          <w:i/>
          <w:iCs/>
        </w:rPr>
        <w:t xml:space="preserve"> </w:t>
      </w:r>
      <w:r w:rsidRPr="009E5082">
        <w:rPr>
          <w:i/>
          <w:iCs/>
        </w:rPr>
        <w:t>a</w:t>
      </w:r>
      <w:r w:rsidR="003D640C">
        <w:rPr>
          <w:i/>
          <w:iCs/>
        </w:rPr>
        <w:t xml:space="preserve"> </w:t>
      </w:r>
      <w:r w:rsidRPr="009E5082">
        <w:rPr>
          <w:i/>
          <w:iCs/>
        </w:rPr>
        <w:t>village:</w:t>
      </w:r>
      <w:r w:rsidR="003D640C">
        <w:rPr>
          <w:i/>
          <w:iCs/>
        </w:rPr>
        <w:t xml:space="preserve"> </w:t>
      </w:r>
      <w:r w:rsidR="004D4891">
        <w:rPr>
          <w:i/>
          <w:iCs/>
        </w:rPr>
        <w:t>T</w:t>
      </w:r>
      <w:r w:rsidRPr="009E5082">
        <w:rPr>
          <w:i/>
          <w:iCs/>
        </w:rPr>
        <w:t>he</w:t>
      </w:r>
      <w:r w:rsidR="003D640C">
        <w:rPr>
          <w:i/>
          <w:iCs/>
        </w:rPr>
        <w:t xml:space="preserve"> </w:t>
      </w:r>
      <w:r w:rsidRPr="009E5082">
        <w:rPr>
          <w:i/>
          <w:iCs/>
        </w:rPr>
        <w:t>role</w:t>
      </w:r>
      <w:r w:rsidR="003D640C">
        <w:rPr>
          <w:i/>
          <w:iCs/>
        </w:rPr>
        <w:t xml:space="preserve"> </w:t>
      </w:r>
      <w:r w:rsidRPr="009E5082">
        <w:rPr>
          <w:i/>
          <w:iCs/>
        </w:rPr>
        <w:t>of</w:t>
      </w:r>
      <w:r w:rsidR="003D640C">
        <w:rPr>
          <w:i/>
          <w:iCs/>
        </w:rPr>
        <w:t xml:space="preserve"> </w:t>
      </w:r>
      <w:r w:rsidRPr="009E5082">
        <w:rPr>
          <w:i/>
          <w:iCs/>
        </w:rPr>
        <w:t>familial</w:t>
      </w:r>
      <w:r w:rsidR="003D640C">
        <w:rPr>
          <w:i/>
          <w:iCs/>
        </w:rPr>
        <w:t xml:space="preserve"> </w:t>
      </w:r>
      <w:r w:rsidRPr="009E5082">
        <w:rPr>
          <w:i/>
          <w:iCs/>
        </w:rPr>
        <w:t>support</w:t>
      </w:r>
      <w:r w:rsidR="003D640C">
        <w:rPr>
          <w:i/>
          <w:iCs/>
        </w:rPr>
        <w:t xml:space="preserve"> </w:t>
      </w:r>
      <w:r w:rsidRPr="009E5082">
        <w:rPr>
          <w:i/>
          <w:iCs/>
        </w:rPr>
        <w:t>on</w:t>
      </w:r>
      <w:r w:rsidR="003D640C">
        <w:rPr>
          <w:i/>
          <w:iCs/>
        </w:rPr>
        <w:t xml:space="preserve"> </w:t>
      </w:r>
      <w:r w:rsidRPr="009E5082">
        <w:rPr>
          <w:i/>
          <w:iCs/>
        </w:rPr>
        <w:t>suicidal</w:t>
      </w:r>
      <w:r w:rsidR="003D640C">
        <w:rPr>
          <w:i/>
          <w:iCs/>
        </w:rPr>
        <w:t xml:space="preserve"> </w:t>
      </w:r>
      <w:r w:rsidRPr="009E5082">
        <w:rPr>
          <w:i/>
          <w:iCs/>
        </w:rPr>
        <w:t>ideation</w:t>
      </w:r>
      <w:r w:rsidR="003D640C">
        <w:rPr>
          <w:i/>
          <w:iCs/>
        </w:rPr>
        <w:t xml:space="preserve"> </w:t>
      </w:r>
      <w:r w:rsidRPr="009E5082">
        <w:rPr>
          <w:i/>
          <w:iCs/>
        </w:rPr>
        <w:t>in</w:t>
      </w:r>
      <w:r w:rsidR="003D640C">
        <w:rPr>
          <w:i/>
          <w:iCs/>
        </w:rPr>
        <w:t xml:space="preserve"> </w:t>
      </w:r>
      <w:r w:rsidRPr="009E5082">
        <w:rPr>
          <w:i/>
          <w:iCs/>
        </w:rPr>
        <w:t>young</w:t>
      </w:r>
      <w:r w:rsidR="003D640C">
        <w:rPr>
          <w:i/>
          <w:iCs/>
        </w:rPr>
        <w:t xml:space="preserve"> </w:t>
      </w:r>
      <w:r w:rsidRPr="009E5082">
        <w:rPr>
          <w:i/>
          <w:iCs/>
        </w:rPr>
        <w:t>rainbow</w:t>
      </w:r>
      <w:r w:rsidR="003D640C">
        <w:rPr>
          <w:i/>
          <w:iCs/>
        </w:rPr>
        <w:t xml:space="preserve"> </w:t>
      </w:r>
      <w:r w:rsidRPr="009E5082">
        <w:rPr>
          <w:i/>
          <w:iCs/>
        </w:rPr>
        <w:t>(LGBTQIA+)</w:t>
      </w:r>
      <w:r w:rsidR="003D640C">
        <w:rPr>
          <w:i/>
          <w:iCs/>
        </w:rPr>
        <w:t xml:space="preserve"> </w:t>
      </w:r>
      <w:r w:rsidRPr="009E5082">
        <w:rPr>
          <w:i/>
          <w:iCs/>
        </w:rPr>
        <w:t>M</w:t>
      </w:r>
      <w:r w:rsidRPr="009E5082">
        <w:rPr>
          <w:i/>
          <w:iCs/>
          <w:lang w:val="mi-NZ"/>
        </w:rPr>
        <w:t>āori</w:t>
      </w:r>
      <w:r w:rsidR="003D640C">
        <w:rPr>
          <w:i/>
          <w:iCs/>
          <w:lang w:val="mi-NZ"/>
        </w:rPr>
        <w:t xml:space="preserve"> </w:t>
      </w:r>
      <w:r w:rsidRPr="009E5082">
        <w:rPr>
          <w:i/>
          <w:iCs/>
        </w:rPr>
        <w:t>and</w:t>
      </w:r>
      <w:r w:rsidR="003D640C">
        <w:rPr>
          <w:i/>
          <w:iCs/>
        </w:rPr>
        <w:t xml:space="preserve"> </w:t>
      </w:r>
      <w:r w:rsidRPr="009E5082">
        <w:rPr>
          <w:i/>
          <w:iCs/>
        </w:rPr>
        <w:t>Pasifika</w:t>
      </w:r>
      <w:r w:rsidR="003D640C">
        <w:rPr>
          <w:i/>
          <w:iCs/>
        </w:rPr>
        <w:t xml:space="preserve"> </w:t>
      </w:r>
      <w:r w:rsidR="004D4891">
        <w:rPr>
          <w:i/>
          <w:iCs/>
        </w:rPr>
        <w:t>a</w:t>
      </w:r>
      <w:r w:rsidRPr="009E5082">
        <w:rPr>
          <w:i/>
          <w:iCs/>
        </w:rPr>
        <w:t>dults</w:t>
      </w:r>
      <w:r w:rsidR="003D640C">
        <w:t xml:space="preserve"> </w:t>
      </w:r>
      <w:r>
        <w:t>[Honours</w:t>
      </w:r>
      <w:r w:rsidR="003D640C">
        <w:t xml:space="preserve"> </w:t>
      </w:r>
      <w:r>
        <w:t>thesis,</w:t>
      </w:r>
      <w:r w:rsidR="003D640C">
        <w:t xml:space="preserve"> </w:t>
      </w:r>
      <w:r>
        <w:t>University</w:t>
      </w:r>
      <w:r w:rsidR="003D640C">
        <w:t xml:space="preserve"> </w:t>
      </w:r>
      <w:r>
        <w:t>of</w:t>
      </w:r>
      <w:r w:rsidR="003D640C">
        <w:t xml:space="preserve"> </w:t>
      </w:r>
      <w:r>
        <w:t>Otago].</w:t>
      </w:r>
      <w:r w:rsidR="003D640C">
        <w:t xml:space="preserve"> </w:t>
      </w:r>
      <w:hyperlink r:id="rId95" w:history="1">
        <w:r w:rsidR="004D4891" w:rsidRPr="00790237">
          <w:rPr>
            <w:rStyle w:val="Hyperlink"/>
          </w:rPr>
          <w:t>https://www.manalagi.org/_files/ugd/b7eedf_c99c54cd47464a9cad79a54fcf281360.pdf</w:t>
        </w:r>
      </w:hyperlink>
      <w:r w:rsidR="004D4891">
        <w:t xml:space="preserve"> </w:t>
      </w:r>
    </w:p>
    <w:p w14:paraId="1D384FCA" w14:textId="70676CCC" w:rsidR="00F01386" w:rsidRPr="00B6157E" w:rsidRDefault="00F01386" w:rsidP="00E00167">
      <w:pPr>
        <w:pStyle w:val="Reference"/>
      </w:pPr>
      <w:r w:rsidRPr="005B33A1">
        <w:t>Kohn</w:t>
      </w:r>
      <w:r w:rsidRPr="00B6157E">
        <w:t>,</w:t>
      </w:r>
      <w:r w:rsidR="003D640C" w:rsidRPr="00B6157E">
        <w:t xml:space="preserve"> </w:t>
      </w:r>
      <w:r w:rsidRPr="00B6157E">
        <w:t>M</w:t>
      </w:r>
      <w:r w:rsidR="00B7120A" w:rsidRPr="00B6157E">
        <w:t>.,</w:t>
      </w:r>
      <w:r w:rsidR="003D640C" w:rsidRPr="00B6157E">
        <w:t xml:space="preserve"> </w:t>
      </w:r>
      <w:r w:rsidR="00B7120A" w:rsidRPr="00B6157E">
        <w:t xml:space="preserve">&amp; </w:t>
      </w:r>
      <w:r w:rsidRPr="00B6157E">
        <w:t>Reddy,</w:t>
      </w:r>
      <w:r w:rsidR="003D640C" w:rsidRPr="00B6157E">
        <w:t xml:space="preserve"> </w:t>
      </w:r>
      <w:r w:rsidRPr="00B6157E">
        <w:t>K.</w:t>
      </w:r>
      <w:r w:rsidR="003D640C" w:rsidRPr="00B6157E">
        <w:t xml:space="preserve"> </w:t>
      </w:r>
      <w:r w:rsidRPr="00B6157E">
        <w:t>(2023)</w:t>
      </w:r>
      <w:r w:rsidR="00B7120A" w:rsidRPr="00B6157E">
        <w:t>.</w:t>
      </w:r>
      <w:r w:rsidR="003D640C" w:rsidRPr="00B6157E">
        <w:t xml:space="preserve"> </w:t>
      </w:r>
      <w:r w:rsidRPr="00B6157E">
        <w:t>Colonialism.</w:t>
      </w:r>
      <w:r w:rsidR="003D640C" w:rsidRPr="00B6157E">
        <w:t xml:space="preserve"> </w:t>
      </w:r>
      <w:r w:rsidR="00B7120A" w:rsidRPr="00B6157E">
        <w:t xml:space="preserve">In E. Zalta &amp; U. Nodelman (Eds.), </w:t>
      </w:r>
      <w:r w:rsidRPr="00B6157E">
        <w:t>Stanford</w:t>
      </w:r>
      <w:r w:rsidR="003D640C" w:rsidRPr="00B6157E">
        <w:t xml:space="preserve"> </w:t>
      </w:r>
      <w:r w:rsidRPr="00B6157E">
        <w:t>Encyclopedia</w:t>
      </w:r>
      <w:r w:rsidR="003D640C" w:rsidRPr="00B6157E">
        <w:t xml:space="preserve"> </w:t>
      </w:r>
      <w:r w:rsidRPr="00B6157E">
        <w:t>of</w:t>
      </w:r>
      <w:r w:rsidR="003D640C" w:rsidRPr="00B6157E">
        <w:t xml:space="preserve"> </w:t>
      </w:r>
      <w:r w:rsidRPr="00B6157E">
        <w:t>Philosophy.</w:t>
      </w:r>
      <w:r w:rsidR="00B7120A" w:rsidRPr="00B6157E">
        <w:t xml:space="preserve"> Stanford University. </w:t>
      </w:r>
      <w:hyperlink r:id="rId96" w:history="1">
        <w:r w:rsidR="00B7120A" w:rsidRPr="00B6157E">
          <w:rPr>
            <w:rStyle w:val="Hyperlink"/>
          </w:rPr>
          <w:t>https://plato.stanford.edu/entries/colonialism/</w:t>
        </w:r>
      </w:hyperlink>
      <w:r w:rsidR="00B7120A" w:rsidRPr="00B6157E">
        <w:t xml:space="preserve"> </w:t>
      </w:r>
    </w:p>
    <w:p w14:paraId="635E87AF" w14:textId="67BBFA42" w:rsidR="00700BF3" w:rsidRDefault="00F01386" w:rsidP="00E00167">
      <w:pPr>
        <w:pStyle w:val="Reference"/>
      </w:pPr>
      <w:r w:rsidRPr="005B33A1">
        <w:t>Koloamatangi</w:t>
      </w:r>
      <w:r w:rsidRPr="00875F60">
        <w:t>,</w:t>
      </w:r>
      <w:r w:rsidR="003D640C">
        <w:t xml:space="preserve"> </w:t>
      </w:r>
      <w:r w:rsidRPr="00875F60">
        <w:t>A.</w:t>
      </w:r>
      <w:r w:rsidR="003D640C">
        <w:t xml:space="preserve"> </w:t>
      </w:r>
      <w:r w:rsidRPr="00875F60">
        <w:t>W.</w:t>
      </w:r>
      <w:r w:rsidR="003D640C">
        <w:t xml:space="preserve"> </w:t>
      </w:r>
      <w:r w:rsidRPr="00875F60">
        <w:t>(Host).</w:t>
      </w:r>
      <w:r w:rsidR="003D640C">
        <w:t xml:space="preserve"> </w:t>
      </w:r>
      <w:r w:rsidRPr="00875F60">
        <w:t>(2022,</w:t>
      </w:r>
      <w:r w:rsidR="003D640C">
        <w:t xml:space="preserve"> </w:t>
      </w:r>
      <w:r w:rsidRPr="00875F60">
        <w:t>June</w:t>
      </w:r>
      <w:r w:rsidR="003D640C">
        <w:t xml:space="preserve"> </w:t>
      </w:r>
      <w:r w:rsidRPr="00875F60">
        <w:t>9).</w:t>
      </w:r>
      <w:r w:rsidR="003D640C">
        <w:t xml:space="preserve"> </w:t>
      </w:r>
      <w:r w:rsidRPr="007B139B">
        <w:rPr>
          <w:i/>
          <w:iCs/>
        </w:rPr>
        <w:t>Queer</w:t>
      </w:r>
      <w:r w:rsidR="003D640C" w:rsidRPr="007B139B">
        <w:rPr>
          <w:i/>
          <w:iCs/>
        </w:rPr>
        <w:t xml:space="preserve"> </w:t>
      </w:r>
      <w:r w:rsidRPr="007B139B">
        <w:rPr>
          <w:i/>
          <w:iCs/>
        </w:rPr>
        <w:t>and</w:t>
      </w:r>
      <w:r w:rsidR="003D640C" w:rsidRPr="007B139B">
        <w:rPr>
          <w:i/>
          <w:iCs/>
        </w:rPr>
        <w:t xml:space="preserve"> </w:t>
      </w:r>
      <w:r w:rsidR="00700BF3">
        <w:rPr>
          <w:i/>
          <w:iCs/>
        </w:rPr>
        <w:t>h</w:t>
      </w:r>
      <w:r w:rsidRPr="007B139B">
        <w:rPr>
          <w:i/>
          <w:iCs/>
        </w:rPr>
        <w:t>ere</w:t>
      </w:r>
      <w:r w:rsidR="003D640C">
        <w:t xml:space="preserve"> </w:t>
      </w:r>
      <w:r w:rsidRPr="00875F60">
        <w:t>(Episode</w:t>
      </w:r>
      <w:r w:rsidR="003D640C">
        <w:t xml:space="preserve"> </w:t>
      </w:r>
      <w:r w:rsidRPr="00875F60">
        <w:t>4)</w:t>
      </w:r>
      <w:r w:rsidR="003D640C">
        <w:t xml:space="preserve"> </w:t>
      </w:r>
      <w:r w:rsidRPr="00875F60">
        <w:t>[TV</w:t>
      </w:r>
      <w:r w:rsidR="003D640C">
        <w:t xml:space="preserve"> </w:t>
      </w:r>
      <w:r w:rsidRPr="00875F60">
        <w:t>series</w:t>
      </w:r>
      <w:r w:rsidR="003D640C">
        <w:t xml:space="preserve"> </w:t>
      </w:r>
      <w:r w:rsidRPr="00875F60">
        <w:t>episode].</w:t>
      </w:r>
      <w:r w:rsidR="003D640C">
        <w:t xml:space="preserve"> </w:t>
      </w:r>
      <w:r w:rsidRPr="00875F60">
        <w:t>Whakaata</w:t>
      </w:r>
      <w:r w:rsidR="003D640C">
        <w:t xml:space="preserve"> </w:t>
      </w:r>
      <w:r w:rsidRPr="00875F60">
        <w:t>M</w:t>
      </w:r>
      <w:r w:rsidRPr="00875F60">
        <w:rPr>
          <w:lang w:val="mi-NZ"/>
        </w:rPr>
        <w:t>āori.</w:t>
      </w:r>
      <w:r w:rsidR="003D640C">
        <w:t xml:space="preserve"> </w:t>
      </w:r>
      <w:hyperlink r:id="rId97" w:history="1">
        <w:r w:rsidR="00700BF3" w:rsidRPr="00790237">
          <w:rPr>
            <w:rStyle w:val="Hyperlink"/>
          </w:rPr>
          <w:t>https://www.maoriplus.co.nz/show/queer-and-here/play/6307389848112</w:t>
        </w:r>
      </w:hyperlink>
    </w:p>
    <w:p w14:paraId="75D673CD" w14:textId="2F31EB91" w:rsidR="00F01386" w:rsidRPr="00B6157E" w:rsidRDefault="00F01386" w:rsidP="00E00167">
      <w:pPr>
        <w:pStyle w:val="Reference"/>
        <w:rPr>
          <w:lang w:val="mi-NZ"/>
        </w:rPr>
      </w:pPr>
      <w:r w:rsidRPr="005B33A1">
        <w:t>Laurie</w:t>
      </w:r>
      <w:r w:rsidRPr="00B6157E">
        <w:t>,</w:t>
      </w:r>
      <w:r w:rsidR="003D640C" w:rsidRPr="00B6157E">
        <w:t xml:space="preserve"> </w:t>
      </w:r>
      <w:r w:rsidRPr="00B6157E">
        <w:t>A.</w:t>
      </w:r>
      <w:r w:rsidR="003D640C" w:rsidRPr="00B6157E">
        <w:t xml:space="preserve"> </w:t>
      </w:r>
      <w:r w:rsidRPr="00B6157E">
        <w:t>J.</w:t>
      </w:r>
      <w:r w:rsidR="003D640C" w:rsidRPr="00B6157E">
        <w:t xml:space="preserve"> </w:t>
      </w:r>
      <w:r w:rsidRPr="00B6157E">
        <w:t>(2018).</w:t>
      </w:r>
      <w:r w:rsidR="003D640C" w:rsidRPr="00B6157E">
        <w:t xml:space="preserve"> </w:t>
      </w:r>
      <w:r w:rsidRPr="00B6157E">
        <w:rPr>
          <w:i/>
          <w:iCs/>
        </w:rPr>
        <w:t>Lesbian</w:t>
      </w:r>
      <w:r w:rsidR="003D640C" w:rsidRPr="00B6157E">
        <w:rPr>
          <w:i/>
          <w:iCs/>
        </w:rPr>
        <w:t xml:space="preserve"> </w:t>
      </w:r>
      <w:r w:rsidRPr="00B6157E">
        <w:rPr>
          <w:i/>
          <w:iCs/>
        </w:rPr>
        <w:t>lives.</w:t>
      </w:r>
      <w:r w:rsidR="003D640C" w:rsidRPr="00B6157E">
        <w:t xml:space="preserve"> </w:t>
      </w:r>
      <w:r w:rsidRPr="00B6157E">
        <w:t>Te</w:t>
      </w:r>
      <w:r w:rsidR="003D640C" w:rsidRPr="00B6157E">
        <w:t xml:space="preserve"> </w:t>
      </w:r>
      <w:r w:rsidRPr="00B6157E">
        <w:t>Ara</w:t>
      </w:r>
      <w:r w:rsidR="003D640C" w:rsidRPr="00B6157E">
        <w:t xml:space="preserve"> </w:t>
      </w:r>
      <w:r w:rsidRPr="00B6157E">
        <w:t>–</w:t>
      </w:r>
      <w:r w:rsidR="003D640C" w:rsidRPr="00B6157E">
        <w:t xml:space="preserve"> </w:t>
      </w:r>
      <w:r w:rsidRPr="00B6157E">
        <w:t>the</w:t>
      </w:r>
      <w:r w:rsidR="003D640C" w:rsidRPr="00B6157E">
        <w:t xml:space="preserve"> </w:t>
      </w:r>
      <w:r w:rsidRPr="00B6157E">
        <w:t>Encyclopedia</w:t>
      </w:r>
      <w:r w:rsidR="003D640C" w:rsidRPr="00B6157E">
        <w:t xml:space="preserve"> </w:t>
      </w:r>
      <w:r w:rsidRPr="00B6157E">
        <w:t>of</w:t>
      </w:r>
      <w:r w:rsidR="003D640C" w:rsidRPr="00B6157E">
        <w:t xml:space="preserve"> </w:t>
      </w:r>
      <w:r w:rsidRPr="00B6157E">
        <w:t>New</w:t>
      </w:r>
      <w:r w:rsidR="003D640C" w:rsidRPr="00B6157E">
        <w:t xml:space="preserve"> </w:t>
      </w:r>
      <w:r w:rsidRPr="00B6157E">
        <w:t>Zealand.</w:t>
      </w:r>
      <w:r w:rsidR="003D640C" w:rsidRPr="00B6157E">
        <w:t xml:space="preserve"> </w:t>
      </w:r>
      <w:hyperlink r:id="rId98" w:history="1">
        <w:r w:rsidR="00B11068" w:rsidRPr="00B6157E">
          <w:rPr>
            <w:rStyle w:val="Hyperlink"/>
          </w:rPr>
          <w:t>https://teara.govt.nz/mi/lesbian-lives/print</w:t>
        </w:r>
      </w:hyperlink>
      <w:r w:rsidR="00B11068" w:rsidRPr="00B6157E">
        <w:t xml:space="preserve"> </w:t>
      </w:r>
    </w:p>
    <w:p w14:paraId="19E28127" w14:textId="25D6D051" w:rsidR="00F01386" w:rsidRPr="00B6157E" w:rsidRDefault="00F01386" w:rsidP="00E00167">
      <w:pPr>
        <w:pStyle w:val="Reference"/>
        <w:rPr>
          <w:lang w:val="en-US"/>
        </w:rPr>
      </w:pPr>
      <w:r w:rsidRPr="005B33A1">
        <w:rPr>
          <w:lang w:val="en-US"/>
        </w:rPr>
        <w:t>Lee</w:t>
      </w:r>
      <w:r w:rsidRPr="00B6157E">
        <w:rPr>
          <w:lang w:val="en-US"/>
        </w:rPr>
        <w:t>,</w:t>
      </w:r>
      <w:r w:rsidR="003D640C" w:rsidRPr="00B6157E">
        <w:rPr>
          <w:lang w:val="en-US"/>
        </w:rPr>
        <w:t xml:space="preserve"> </w:t>
      </w:r>
      <w:r w:rsidRPr="00B6157E">
        <w:rPr>
          <w:lang w:val="en-US"/>
        </w:rPr>
        <w:t>H.,</w:t>
      </w:r>
      <w:r w:rsidR="003D640C" w:rsidRPr="00B6157E">
        <w:rPr>
          <w:lang w:val="en-US"/>
        </w:rPr>
        <w:t xml:space="preserve"> </w:t>
      </w:r>
      <w:r w:rsidRPr="00B6157E">
        <w:rPr>
          <w:lang w:val="en-US"/>
        </w:rPr>
        <w:t>Operario,</w:t>
      </w:r>
      <w:r w:rsidR="003D640C" w:rsidRPr="00B6157E">
        <w:rPr>
          <w:lang w:val="en-US"/>
        </w:rPr>
        <w:t xml:space="preserve"> </w:t>
      </w:r>
      <w:r w:rsidRPr="00B6157E">
        <w:rPr>
          <w:lang w:val="en-US"/>
        </w:rPr>
        <w:t>D.,</w:t>
      </w:r>
      <w:r w:rsidR="003D640C" w:rsidRPr="00B6157E">
        <w:rPr>
          <w:lang w:val="en-US"/>
        </w:rPr>
        <w:t xml:space="preserve"> </w:t>
      </w:r>
      <w:r w:rsidRPr="00B6157E">
        <w:rPr>
          <w:lang w:val="en-US"/>
        </w:rPr>
        <w:t>Restar,</w:t>
      </w:r>
      <w:r w:rsidR="003D640C" w:rsidRPr="00B6157E">
        <w:rPr>
          <w:lang w:val="en-US"/>
        </w:rPr>
        <w:t xml:space="preserve"> </w:t>
      </w:r>
      <w:r w:rsidRPr="00B6157E">
        <w:rPr>
          <w:lang w:val="en-US"/>
        </w:rPr>
        <w:t>A.</w:t>
      </w:r>
      <w:r w:rsidR="003D640C" w:rsidRPr="00B6157E">
        <w:rPr>
          <w:lang w:val="en-US"/>
        </w:rPr>
        <w:t xml:space="preserve"> </w:t>
      </w:r>
      <w:r w:rsidRPr="00B6157E">
        <w:rPr>
          <w:lang w:val="en-US"/>
        </w:rPr>
        <w:t>J.,</w:t>
      </w:r>
      <w:r w:rsidR="003D640C" w:rsidRPr="00B6157E">
        <w:rPr>
          <w:lang w:val="en-US"/>
        </w:rPr>
        <w:t xml:space="preserve"> </w:t>
      </w:r>
      <w:r w:rsidRPr="00B6157E">
        <w:rPr>
          <w:lang w:val="en-US"/>
        </w:rPr>
        <w:t>Choo,</w:t>
      </w:r>
      <w:r w:rsidR="003D640C" w:rsidRPr="00B6157E">
        <w:rPr>
          <w:lang w:val="en-US"/>
        </w:rPr>
        <w:t xml:space="preserve"> </w:t>
      </w:r>
      <w:r w:rsidRPr="00B6157E">
        <w:rPr>
          <w:lang w:val="en-US"/>
        </w:rPr>
        <w:t>S.,</w:t>
      </w:r>
      <w:r w:rsidR="003D640C" w:rsidRPr="00B6157E">
        <w:rPr>
          <w:lang w:val="en-US"/>
        </w:rPr>
        <w:t xml:space="preserve"> </w:t>
      </w:r>
      <w:r w:rsidRPr="00B6157E">
        <w:rPr>
          <w:lang w:val="en-US"/>
        </w:rPr>
        <w:t>Kim,</w:t>
      </w:r>
      <w:r w:rsidR="003D640C" w:rsidRPr="00B6157E">
        <w:rPr>
          <w:lang w:val="en-US"/>
        </w:rPr>
        <w:t xml:space="preserve"> </w:t>
      </w:r>
      <w:r w:rsidRPr="00B6157E">
        <w:rPr>
          <w:lang w:val="en-US"/>
        </w:rPr>
        <w:t>R.,</w:t>
      </w:r>
      <w:r w:rsidR="003D640C" w:rsidRPr="00B6157E">
        <w:rPr>
          <w:lang w:val="en-US"/>
        </w:rPr>
        <w:t xml:space="preserve"> </w:t>
      </w:r>
      <w:r w:rsidRPr="00B6157E">
        <w:rPr>
          <w:lang w:val="en-US"/>
        </w:rPr>
        <w:t>Eom,</w:t>
      </w:r>
      <w:r w:rsidR="003D640C" w:rsidRPr="00B6157E">
        <w:rPr>
          <w:lang w:val="en-US"/>
        </w:rPr>
        <w:t xml:space="preserve"> </w:t>
      </w:r>
      <w:r w:rsidRPr="00B6157E">
        <w:rPr>
          <w:lang w:val="en-US"/>
        </w:rPr>
        <w:t>Y.-J.,</w:t>
      </w:r>
      <w:r w:rsidR="003D640C" w:rsidRPr="00B6157E">
        <w:rPr>
          <w:lang w:val="en-US"/>
        </w:rPr>
        <w:t xml:space="preserve"> </w:t>
      </w:r>
      <w:r w:rsidRPr="00B6157E">
        <w:rPr>
          <w:lang w:val="en-US"/>
        </w:rPr>
        <w:t>Yi,</w:t>
      </w:r>
      <w:r w:rsidR="003D640C" w:rsidRPr="00B6157E">
        <w:rPr>
          <w:lang w:val="en-US"/>
        </w:rPr>
        <w:t xml:space="preserve"> </w:t>
      </w:r>
      <w:r w:rsidRPr="00B6157E">
        <w:rPr>
          <w:lang w:val="en-US"/>
        </w:rPr>
        <w:t>H.,</w:t>
      </w:r>
      <w:r w:rsidR="003D640C" w:rsidRPr="00B6157E">
        <w:rPr>
          <w:lang w:val="en-US"/>
        </w:rPr>
        <w:t xml:space="preserve"> </w:t>
      </w:r>
      <w:r w:rsidRPr="00B6157E">
        <w:rPr>
          <w:lang w:val="en-US"/>
        </w:rPr>
        <w:t>&amp;</w:t>
      </w:r>
      <w:r w:rsidR="003D640C" w:rsidRPr="00B6157E">
        <w:rPr>
          <w:lang w:val="en-US"/>
        </w:rPr>
        <w:t xml:space="preserve"> </w:t>
      </w:r>
      <w:r w:rsidRPr="00B6157E">
        <w:rPr>
          <w:lang w:val="en-US"/>
        </w:rPr>
        <w:t>Kim,</w:t>
      </w:r>
      <w:r w:rsidR="003D640C" w:rsidRPr="00B6157E">
        <w:rPr>
          <w:lang w:val="en-US"/>
        </w:rPr>
        <w:t xml:space="preserve"> </w:t>
      </w:r>
      <w:r w:rsidRPr="00B6157E">
        <w:rPr>
          <w:lang w:val="en-US"/>
        </w:rPr>
        <w:t>S.-S.</w:t>
      </w:r>
      <w:r w:rsidR="003D640C" w:rsidRPr="00B6157E">
        <w:rPr>
          <w:lang w:val="en-US"/>
        </w:rPr>
        <w:t xml:space="preserve"> </w:t>
      </w:r>
      <w:r w:rsidRPr="00B6157E">
        <w:rPr>
          <w:lang w:val="en-US"/>
        </w:rPr>
        <w:t>(202</w:t>
      </w:r>
      <w:r w:rsidR="003A051E" w:rsidRPr="00B6157E">
        <w:rPr>
          <w:lang w:val="en-US"/>
        </w:rPr>
        <w:t>3</w:t>
      </w:r>
      <w:r w:rsidRPr="00B6157E">
        <w:rPr>
          <w:lang w:val="en-US"/>
        </w:rPr>
        <w:t>).</w:t>
      </w:r>
      <w:r w:rsidR="003D640C" w:rsidRPr="00B6157E">
        <w:rPr>
          <w:lang w:val="en-US"/>
        </w:rPr>
        <w:t xml:space="preserve"> </w:t>
      </w:r>
      <w:r w:rsidRPr="00B6157E">
        <w:rPr>
          <w:lang w:val="en-US"/>
        </w:rPr>
        <w:t>Gender</w:t>
      </w:r>
      <w:r w:rsidR="003D640C" w:rsidRPr="00B6157E">
        <w:rPr>
          <w:lang w:val="en-US"/>
        </w:rPr>
        <w:t xml:space="preserve"> </w:t>
      </w:r>
      <w:r w:rsidRPr="00B6157E">
        <w:rPr>
          <w:lang w:val="en-US"/>
        </w:rPr>
        <w:t>identity</w:t>
      </w:r>
      <w:r w:rsidR="003D640C" w:rsidRPr="00B6157E">
        <w:rPr>
          <w:lang w:val="en-US"/>
        </w:rPr>
        <w:t xml:space="preserve"> </w:t>
      </w:r>
      <w:r w:rsidRPr="00B6157E">
        <w:rPr>
          <w:lang w:val="en-US"/>
        </w:rPr>
        <w:t>change</w:t>
      </w:r>
      <w:r w:rsidR="003D640C" w:rsidRPr="00B6157E">
        <w:rPr>
          <w:lang w:val="en-US"/>
        </w:rPr>
        <w:t xml:space="preserve"> </w:t>
      </w:r>
      <w:r w:rsidRPr="00B6157E">
        <w:rPr>
          <w:lang w:val="en-US"/>
        </w:rPr>
        <w:t>efforts</w:t>
      </w:r>
      <w:r w:rsidR="003D640C" w:rsidRPr="00B6157E">
        <w:rPr>
          <w:lang w:val="en-US"/>
        </w:rPr>
        <w:t xml:space="preserve"> </w:t>
      </w:r>
      <w:r w:rsidRPr="00B6157E">
        <w:rPr>
          <w:lang w:val="en-US"/>
        </w:rPr>
        <w:t>are</w:t>
      </w:r>
      <w:r w:rsidR="003D640C" w:rsidRPr="00B6157E">
        <w:rPr>
          <w:lang w:val="en-US"/>
        </w:rPr>
        <w:t xml:space="preserve"> </w:t>
      </w:r>
      <w:r w:rsidRPr="00B6157E">
        <w:rPr>
          <w:lang w:val="en-US"/>
        </w:rPr>
        <w:t>associated</w:t>
      </w:r>
      <w:r w:rsidR="003D640C" w:rsidRPr="00B6157E">
        <w:rPr>
          <w:lang w:val="en-US"/>
        </w:rPr>
        <w:t xml:space="preserve"> </w:t>
      </w:r>
      <w:r w:rsidRPr="00B6157E">
        <w:rPr>
          <w:lang w:val="en-US"/>
        </w:rPr>
        <w:t>with</w:t>
      </w:r>
      <w:r w:rsidR="003D640C" w:rsidRPr="00B6157E">
        <w:rPr>
          <w:lang w:val="en-US"/>
        </w:rPr>
        <w:t xml:space="preserve"> </w:t>
      </w:r>
      <w:r w:rsidRPr="00B6157E">
        <w:rPr>
          <w:lang w:val="en-US"/>
        </w:rPr>
        <w:t>depression,</w:t>
      </w:r>
      <w:r w:rsidR="003D640C" w:rsidRPr="00B6157E">
        <w:rPr>
          <w:lang w:val="en-US"/>
        </w:rPr>
        <w:t xml:space="preserve"> </w:t>
      </w:r>
      <w:r w:rsidRPr="00B6157E">
        <w:rPr>
          <w:lang w:val="en-US"/>
        </w:rPr>
        <w:t>panic</w:t>
      </w:r>
      <w:r w:rsidR="003D640C" w:rsidRPr="00B6157E">
        <w:rPr>
          <w:lang w:val="en-US"/>
        </w:rPr>
        <w:t xml:space="preserve"> </w:t>
      </w:r>
      <w:r w:rsidRPr="00B6157E">
        <w:rPr>
          <w:lang w:val="en-US"/>
        </w:rPr>
        <w:t>disorder,</w:t>
      </w:r>
      <w:r w:rsidR="003D640C" w:rsidRPr="00B6157E">
        <w:rPr>
          <w:lang w:val="en-US"/>
        </w:rPr>
        <w:t xml:space="preserve"> </w:t>
      </w:r>
      <w:r w:rsidRPr="00B6157E">
        <w:rPr>
          <w:lang w:val="en-US"/>
        </w:rPr>
        <w:t>and</w:t>
      </w:r>
      <w:r w:rsidR="003D640C" w:rsidRPr="00B6157E">
        <w:rPr>
          <w:lang w:val="en-US"/>
        </w:rPr>
        <w:t xml:space="preserve"> </w:t>
      </w:r>
      <w:r w:rsidRPr="00B6157E">
        <w:rPr>
          <w:lang w:val="en-US"/>
        </w:rPr>
        <w:t>suicide</w:t>
      </w:r>
      <w:r w:rsidR="003D640C" w:rsidRPr="00B6157E">
        <w:rPr>
          <w:lang w:val="en-US"/>
        </w:rPr>
        <w:t xml:space="preserve"> </w:t>
      </w:r>
      <w:r w:rsidRPr="00B6157E">
        <w:rPr>
          <w:lang w:val="en-US"/>
        </w:rPr>
        <w:t>attempts</w:t>
      </w:r>
      <w:r w:rsidR="003D640C" w:rsidRPr="00B6157E">
        <w:rPr>
          <w:lang w:val="en-US"/>
        </w:rPr>
        <w:t xml:space="preserve"> </w:t>
      </w:r>
      <w:r w:rsidRPr="00B6157E">
        <w:rPr>
          <w:lang w:val="en-US"/>
        </w:rPr>
        <w:t>in</w:t>
      </w:r>
      <w:r w:rsidR="003D640C" w:rsidRPr="00B6157E">
        <w:rPr>
          <w:lang w:val="en-US"/>
        </w:rPr>
        <w:t xml:space="preserve"> </w:t>
      </w:r>
      <w:r w:rsidRPr="00B6157E">
        <w:rPr>
          <w:lang w:val="en-US"/>
        </w:rPr>
        <w:t>South</w:t>
      </w:r>
      <w:r w:rsidR="003D640C" w:rsidRPr="00B6157E">
        <w:rPr>
          <w:lang w:val="en-US"/>
        </w:rPr>
        <w:t xml:space="preserve"> </w:t>
      </w:r>
      <w:r w:rsidRPr="00B6157E">
        <w:rPr>
          <w:lang w:val="en-US"/>
        </w:rPr>
        <w:t>Korean</w:t>
      </w:r>
      <w:r w:rsidR="003D640C" w:rsidRPr="00B6157E">
        <w:rPr>
          <w:lang w:val="en-US"/>
        </w:rPr>
        <w:t xml:space="preserve"> </w:t>
      </w:r>
      <w:r w:rsidRPr="00B6157E">
        <w:rPr>
          <w:lang w:val="en-US"/>
        </w:rPr>
        <w:t>transgender</w:t>
      </w:r>
      <w:r w:rsidR="003D640C" w:rsidRPr="00B6157E">
        <w:rPr>
          <w:lang w:val="en-US"/>
        </w:rPr>
        <w:t xml:space="preserve"> </w:t>
      </w:r>
      <w:r w:rsidRPr="00B6157E">
        <w:rPr>
          <w:lang w:val="en-US"/>
        </w:rPr>
        <w:t>adults.</w:t>
      </w:r>
      <w:r w:rsidR="003D640C" w:rsidRPr="00B6157E">
        <w:rPr>
          <w:lang w:val="en-US"/>
        </w:rPr>
        <w:t xml:space="preserve"> </w:t>
      </w:r>
      <w:r w:rsidRPr="00B6157E">
        <w:rPr>
          <w:i/>
          <w:iCs/>
          <w:lang w:val="en-US"/>
        </w:rPr>
        <w:t>Transgender</w:t>
      </w:r>
      <w:r w:rsidR="003D640C" w:rsidRPr="00B6157E">
        <w:rPr>
          <w:i/>
          <w:iCs/>
          <w:lang w:val="en-US"/>
        </w:rPr>
        <w:t xml:space="preserve"> </w:t>
      </w:r>
      <w:r w:rsidRPr="00B6157E">
        <w:rPr>
          <w:i/>
          <w:iCs/>
          <w:lang w:val="en-US"/>
        </w:rPr>
        <w:t>Health,</w:t>
      </w:r>
      <w:r w:rsidR="003D640C" w:rsidRPr="00B6157E">
        <w:rPr>
          <w:i/>
          <w:iCs/>
          <w:lang w:val="en-US"/>
        </w:rPr>
        <w:t xml:space="preserve"> </w:t>
      </w:r>
      <w:r w:rsidR="003A051E" w:rsidRPr="00B6157E">
        <w:rPr>
          <w:i/>
          <w:iCs/>
          <w:lang w:val="en-US"/>
        </w:rPr>
        <w:t>8</w:t>
      </w:r>
      <w:r w:rsidRPr="00B6157E">
        <w:rPr>
          <w:lang w:val="en-US"/>
        </w:rPr>
        <w:t>(</w:t>
      </w:r>
      <w:r w:rsidR="003A051E" w:rsidRPr="00B6157E">
        <w:rPr>
          <w:lang w:val="en-US"/>
        </w:rPr>
        <w:t>3</w:t>
      </w:r>
      <w:r w:rsidRPr="00B6157E">
        <w:rPr>
          <w:lang w:val="en-US"/>
        </w:rPr>
        <w:t>),</w:t>
      </w:r>
      <w:r w:rsidR="003D640C" w:rsidRPr="00B6157E">
        <w:rPr>
          <w:lang w:val="en-US"/>
        </w:rPr>
        <w:t xml:space="preserve"> </w:t>
      </w:r>
      <w:r w:rsidR="003A051E" w:rsidRPr="00B6157E">
        <w:rPr>
          <w:lang w:val="en-US"/>
        </w:rPr>
        <w:t>273–281</w:t>
      </w:r>
      <w:r w:rsidRPr="00B6157E">
        <w:rPr>
          <w:lang w:val="en-US"/>
        </w:rPr>
        <w:t>.</w:t>
      </w:r>
      <w:r w:rsidR="003D640C" w:rsidRPr="00B6157E">
        <w:rPr>
          <w:lang w:val="en-US"/>
        </w:rPr>
        <w:t xml:space="preserve"> </w:t>
      </w:r>
      <w:hyperlink r:id="rId99" w:history="1">
        <w:r w:rsidR="009E4AF8" w:rsidRPr="00B6157E">
          <w:rPr>
            <w:rStyle w:val="Hyperlink"/>
            <w:lang w:val="en-US"/>
          </w:rPr>
          <w:t>https://doi.org/10.1089/trgh.2021.0171</w:t>
        </w:r>
      </w:hyperlink>
      <w:r w:rsidR="009E4AF8" w:rsidRPr="00B6157E">
        <w:rPr>
          <w:lang w:val="en-US"/>
        </w:rPr>
        <w:t xml:space="preserve"> </w:t>
      </w:r>
    </w:p>
    <w:p w14:paraId="21817742" w14:textId="21D90A95" w:rsidR="00F01386" w:rsidRPr="00B6157E" w:rsidRDefault="00F01386" w:rsidP="00E00167">
      <w:pPr>
        <w:pStyle w:val="Reference"/>
        <w:rPr>
          <w:rFonts w:ascii="Calibri" w:hAnsi="Calibri" w:cs="Calibri"/>
        </w:rPr>
      </w:pPr>
      <w:r w:rsidRPr="005B33A1">
        <w:rPr>
          <w:rFonts w:ascii="Calibri" w:hAnsi="Calibri" w:cs="Calibri"/>
        </w:rPr>
        <w:t>Legerski</w:t>
      </w:r>
      <w:r w:rsidRPr="00B6157E">
        <w:rPr>
          <w:rFonts w:ascii="Calibri" w:hAnsi="Calibri" w:cs="Calibri"/>
        </w:rPr>
        <w:t>,</w:t>
      </w:r>
      <w:r w:rsidR="003D640C" w:rsidRPr="00B6157E">
        <w:rPr>
          <w:rFonts w:ascii="Calibri" w:hAnsi="Calibri" w:cs="Calibri"/>
        </w:rPr>
        <w:t xml:space="preserve"> </w:t>
      </w:r>
      <w:r w:rsidRPr="00B6157E">
        <w:rPr>
          <w:rFonts w:ascii="Calibri" w:hAnsi="Calibri" w:cs="Calibri"/>
        </w:rPr>
        <w:t>E.,</w:t>
      </w:r>
      <w:r w:rsidR="003D640C" w:rsidRPr="00B6157E">
        <w:rPr>
          <w:rFonts w:ascii="Calibri" w:hAnsi="Calibri" w:cs="Calibri"/>
        </w:rPr>
        <w:t xml:space="preserve"> </w:t>
      </w:r>
      <w:r w:rsidRPr="00B6157E">
        <w:rPr>
          <w:rFonts w:ascii="Calibri" w:hAnsi="Calibri" w:cs="Calibri"/>
        </w:rPr>
        <w:t>Harker,</w:t>
      </w:r>
      <w:r w:rsidR="003D640C" w:rsidRPr="00B6157E">
        <w:rPr>
          <w:rFonts w:ascii="Calibri" w:hAnsi="Calibri" w:cs="Calibri"/>
        </w:rPr>
        <w:t xml:space="preserve"> </w:t>
      </w:r>
      <w:r w:rsidRPr="00B6157E">
        <w:rPr>
          <w:rFonts w:ascii="Calibri" w:hAnsi="Calibri" w:cs="Calibri"/>
        </w:rPr>
        <w:t>A.,</w:t>
      </w:r>
      <w:r w:rsidR="003D640C" w:rsidRPr="00B6157E">
        <w:rPr>
          <w:rFonts w:ascii="Calibri" w:hAnsi="Calibri" w:cs="Calibri"/>
        </w:rPr>
        <w:t xml:space="preserve"> </w:t>
      </w:r>
      <w:r w:rsidRPr="00B6157E">
        <w:rPr>
          <w:rFonts w:ascii="Calibri" w:hAnsi="Calibri" w:cs="Calibri"/>
        </w:rPr>
        <w:t>Jeppsen,</w:t>
      </w:r>
      <w:r w:rsidR="003D640C" w:rsidRPr="00B6157E">
        <w:rPr>
          <w:rFonts w:ascii="Calibri" w:hAnsi="Calibri" w:cs="Calibri"/>
        </w:rPr>
        <w:t xml:space="preserve"> </w:t>
      </w:r>
      <w:r w:rsidRPr="00B6157E">
        <w:rPr>
          <w:rFonts w:ascii="Calibri" w:hAnsi="Calibri" w:cs="Calibri"/>
        </w:rPr>
        <w:t>C.,</w:t>
      </w:r>
      <w:r w:rsidR="003D640C" w:rsidRPr="00B6157E">
        <w:rPr>
          <w:rFonts w:ascii="Calibri" w:hAnsi="Calibri" w:cs="Calibri"/>
        </w:rPr>
        <w:t xml:space="preserve"> </w:t>
      </w:r>
      <w:r w:rsidRPr="00B6157E">
        <w:rPr>
          <w:rFonts w:ascii="Calibri" w:hAnsi="Calibri" w:cs="Calibri"/>
        </w:rPr>
        <w:t>Armstrong,</w:t>
      </w:r>
      <w:r w:rsidR="003D640C" w:rsidRPr="00B6157E">
        <w:rPr>
          <w:rFonts w:ascii="Calibri" w:hAnsi="Calibri" w:cs="Calibri"/>
        </w:rPr>
        <w:t xml:space="preserve"> </w:t>
      </w:r>
      <w:r w:rsidRPr="00B6157E">
        <w:rPr>
          <w:rFonts w:ascii="Calibri" w:hAnsi="Calibri" w:cs="Calibri"/>
        </w:rPr>
        <w:t>A.,</w:t>
      </w:r>
      <w:r w:rsidR="003D640C" w:rsidRPr="00B6157E">
        <w:rPr>
          <w:rFonts w:ascii="Calibri" w:hAnsi="Calibri" w:cs="Calibri"/>
        </w:rPr>
        <w:t xml:space="preserve"> </w:t>
      </w:r>
      <w:r w:rsidRPr="00B6157E">
        <w:rPr>
          <w:rFonts w:ascii="Calibri" w:hAnsi="Calibri" w:cs="Calibri"/>
        </w:rPr>
        <w:t>Dehlin,</w:t>
      </w:r>
      <w:r w:rsidR="003D640C" w:rsidRPr="00B6157E">
        <w:rPr>
          <w:rFonts w:ascii="Calibri" w:hAnsi="Calibri" w:cs="Calibri"/>
        </w:rPr>
        <w:t xml:space="preserve"> </w:t>
      </w:r>
      <w:r w:rsidRPr="00B6157E">
        <w:rPr>
          <w:rFonts w:ascii="Calibri" w:hAnsi="Calibri" w:cs="Calibri"/>
        </w:rPr>
        <w:t>J.</w:t>
      </w:r>
      <w:r w:rsidR="003D640C" w:rsidRPr="00B6157E">
        <w:rPr>
          <w:rFonts w:ascii="Calibri" w:hAnsi="Calibri" w:cs="Calibri"/>
        </w:rPr>
        <w:t xml:space="preserve"> </w:t>
      </w:r>
      <w:r w:rsidRPr="00B6157E">
        <w:rPr>
          <w:rFonts w:ascii="Calibri" w:hAnsi="Calibri" w:cs="Calibri"/>
        </w:rPr>
        <w:t>P.,</w:t>
      </w:r>
      <w:r w:rsidR="003D640C" w:rsidRPr="00B6157E">
        <w:rPr>
          <w:rFonts w:ascii="Calibri" w:hAnsi="Calibri" w:cs="Calibri"/>
        </w:rPr>
        <w:t xml:space="preserve"> </w:t>
      </w:r>
      <w:r w:rsidRPr="00B6157E">
        <w:rPr>
          <w:rFonts w:ascii="Calibri" w:hAnsi="Calibri" w:cs="Calibri"/>
        </w:rPr>
        <w:t>Troutman,</w:t>
      </w:r>
      <w:r w:rsidR="003D640C" w:rsidRPr="00B6157E">
        <w:rPr>
          <w:rFonts w:ascii="Calibri" w:hAnsi="Calibri" w:cs="Calibri"/>
        </w:rPr>
        <w:t xml:space="preserve"> </w:t>
      </w:r>
      <w:r w:rsidRPr="00B6157E">
        <w:rPr>
          <w:rFonts w:ascii="Calibri" w:hAnsi="Calibri" w:cs="Calibri"/>
        </w:rPr>
        <w:t>K.,</w:t>
      </w:r>
      <w:r w:rsidR="003D640C" w:rsidRPr="00B6157E">
        <w:rPr>
          <w:rFonts w:ascii="Calibri" w:hAnsi="Calibri" w:cs="Calibri"/>
        </w:rPr>
        <w:t xml:space="preserve"> </w:t>
      </w:r>
      <w:r w:rsidR="00521D2F" w:rsidRPr="00B6157E">
        <w:rPr>
          <w:rFonts w:ascii="Calibri" w:hAnsi="Calibri" w:cs="Calibri"/>
        </w:rPr>
        <w:t xml:space="preserve"> </w:t>
      </w:r>
      <w:r w:rsidRPr="00B6157E">
        <w:rPr>
          <w:rFonts w:ascii="Calibri" w:hAnsi="Calibri" w:cs="Calibri"/>
        </w:rPr>
        <w:t>Galliher,</w:t>
      </w:r>
      <w:r w:rsidR="003D640C" w:rsidRPr="00B6157E">
        <w:rPr>
          <w:rFonts w:ascii="Calibri" w:hAnsi="Calibri" w:cs="Calibri"/>
        </w:rPr>
        <w:t xml:space="preserve"> </w:t>
      </w:r>
      <w:r w:rsidRPr="00B6157E">
        <w:rPr>
          <w:rFonts w:ascii="Calibri" w:hAnsi="Calibri" w:cs="Calibri"/>
        </w:rPr>
        <w:t>R.</w:t>
      </w:r>
      <w:r w:rsidR="003D640C" w:rsidRPr="00B6157E">
        <w:rPr>
          <w:rFonts w:ascii="Calibri" w:hAnsi="Calibri" w:cs="Calibri"/>
        </w:rPr>
        <w:t xml:space="preserve"> </w:t>
      </w:r>
      <w:r w:rsidRPr="00B6157E">
        <w:rPr>
          <w:rFonts w:ascii="Calibri" w:hAnsi="Calibri" w:cs="Calibri"/>
        </w:rPr>
        <w:t>V.</w:t>
      </w:r>
      <w:r w:rsidR="003D640C" w:rsidRPr="00B6157E">
        <w:rPr>
          <w:rFonts w:ascii="Calibri" w:hAnsi="Calibri" w:cs="Calibri"/>
        </w:rPr>
        <w:t xml:space="preserve"> </w:t>
      </w:r>
      <w:r w:rsidRPr="00B6157E">
        <w:rPr>
          <w:rFonts w:ascii="Calibri" w:hAnsi="Calibri" w:cs="Calibri"/>
        </w:rPr>
        <w:t>(2017).</w:t>
      </w:r>
      <w:r w:rsidR="003D640C" w:rsidRPr="00B6157E">
        <w:rPr>
          <w:rFonts w:ascii="Calibri" w:hAnsi="Calibri" w:cs="Calibri"/>
        </w:rPr>
        <w:t xml:space="preserve"> </w:t>
      </w:r>
      <w:r w:rsidRPr="00B6157E">
        <w:rPr>
          <w:rFonts w:ascii="Calibri" w:hAnsi="Calibri" w:cs="Calibri"/>
        </w:rPr>
        <w:t>Mormon</w:t>
      </w:r>
      <w:r w:rsidR="003D640C" w:rsidRPr="00B6157E">
        <w:rPr>
          <w:rFonts w:ascii="Calibri" w:hAnsi="Calibri" w:cs="Calibri"/>
        </w:rPr>
        <w:t xml:space="preserve"> </w:t>
      </w:r>
      <w:r w:rsidRPr="00B6157E">
        <w:rPr>
          <w:rFonts w:ascii="Calibri" w:hAnsi="Calibri" w:cs="Calibri"/>
        </w:rPr>
        <w:t>mixed-orientation</w:t>
      </w:r>
      <w:r w:rsidR="003D640C" w:rsidRPr="00B6157E">
        <w:rPr>
          <w:rFonts w:ascii="Calibri" w:hAnsi="Calibri" w:cs="Calibri"/>
        </w:rPr>
        <w:t xml:space="preserve"> </w:t>
      </w:r>
      <w:r w:rsidRPr="00B6157E">
        <w:rPr>
          <w:rFonts w:ascii="Calibri" w:hAnsi="Calibri" w:cs="Calibri"/>
        </w:rPr>
        <w:t>marriages:</w:t>
      </w:r>
      <w:r w:rsidR="003D640C" w:rsidRPr="00B6157E">
        <w:rPr>
          <w:rFonts w:ascii="Calibri" w:hAnsi="Calibri" w:cs="Calibri"/>
        </w:rPr>
        <w:t xml:space="preserve"> </w:t>
      </w:r>
      <w:r w:rsidRPr="00B6157E">
        <w:rPr>
          <w:rFonts w:ascii="Calibri" w:hAnsi="Calibri" w:cs="Calibri"/>
        </w:rPr>
        <w:t>Variations</w:t>
      </w:r>
      <w:r w:rsidR="003D640C" w:rsidRPr="00B6157E">
        <w:rPr>
          <w:rFonts w:ascii="Calibri" w:hAnsi="Calibri" w:cs="Calibri"/>
        </w:rPr>
        <w:t xml:space="preserve"> </w:t>
      </w:r>
      <w:r w:rsidRPr="00B6157E">
        <w:rPr>
          <w:rFonts w:ascii="Calibri" w:hAnsi="Calibri" w:cs="Calibri"/>
        </w:rPr>
        <w:t>in</w:t>
      </w:r>
      <w:r w:rsidR="003D640C" w:rsidRPr="00B6157E">
        <w:rPr>
          <w:rFonts w:ascii="Calibri" w:hAnsi="Calibri" w:cs="Calibri"/>
        </w:rPr>
        <w:t xml:space="preserve"> </w:t>
      </w:r>
      <w:r w:rsidRPr="00B6157E">
        <w:rPr>
          <w:rFonts w:ascii="Calibri" w:hAnsi="Calibri" w:cs="Calibri"/>
        </w:rPr>
        <w:t>attitudes</w:t>
      </w:r>
      <w:r w:rsidR="003D640C" w:rsidRPr="00B6157E">
        <w:rPr>
          <w:rFonts w:ascii="Calibri" w:hAnsi="Calibri" w:cs="Calibri"/>
        </w:rPr>
        <w:t xml:space="preserve"> </w:t>
      </w:r>
      <w:r w:rsidRPr="00B6157E">
        <w:rPr>
          <w:rFonts w:ascii="Calibri" w:hAnsi="Calibri" w:cs="Calibri"/>
        </w:rPr>
        <w:t>and</w:t>
      </w:r>
      <w:r w:rsidR="003D640C" w:rsidRPr="00B6157E">
        <w:rPr>
          <w:rFonts w:ascii="Calibri" w:hAnsi="Calibri" w:cs="Calibri"/>
        </w:rPr>
        <w:t xml:space="preserve"> </w:t>
      </w:r>
      <w:r w:rsidRPr="00B6157E">
        <w:rPr>
          <w:rFonts w:ascii="Calibri" w:hAnsi="Calibri" w:cs="Calibri"/>
        </w:rPr>
        <w:t>experiences</w:t>
      </w:r>
      <w:r w:rsidR="003D640C" w:rsidRPr="00B6157E">
        <w:rPr>
          <w:rFonts w:ascii="Calibri" w:hAnsi="Calibri" w:cs="Calibri"/>
        </w:rPr>
        <w:t xml:space="preserve"> </w:t>
      </w:r>
      <w:r w:rsidRPr="00B6157E">
        <w:rPr>
          <w:rFonts w:ascii="Calibri" w:hAnsi="Calibri" w:cs="Calibri"/>
        </w:rPr>
        <w:t>by</w:t>
      </w:r>
      <w:r w:rsidR="003D640C" w:rsidRPr="00B6157E">
        <w:rPr>
          <w:rFonts w:ascii="Calibri" w:hAnsi="Calibri" w:cs="Calibri"/>
        </w:rPr>
        <w:t xml:space="preserve"> </w:t>
      </w:r>
      <w:r w:rsidRPr="00B6157E">
        <w:rPr>
          <w:rFonts w:ascii="Calibri" w:hAnsi="Calibri" w:cs="Calibri"/>
        </w:rPr>
        <w:t>sexual</w:t>
      </w:r>
      <w:r w:rsidR="003D640C" w:rsidRPr="00B6157E">
        <w:rPr>
          <w:rFonts w:ascii="Calibri" w:hAnsi="Calibri" w:cs="Calibri"/>
        </w:rPr>
        <w:t xml:space="preserve"> </w:t>
      </w:r>
      <w:r w:rsidRPr="00B6157E">
        <w:rPr>
          <w:rFonts w:ascii="Calibri" w:hAnsi="Calibri" w:cs="Calibri"/>
        </w:rPr>
        <w:t>orientation</w:t>
      </w:r>
      <w:r w:rsidR="003D640C" w:rsidRPr="00B6157E">
        <w:rPr>
          <w:rFonts w:ascii="Calibri" w:hAnsi="Calibri" w:cs="Calibri"/>
        </w:rPr>
        <w:t xml:space="preserve"> </w:t>
      </w:r>
      <w:r w:rsidRPr="00B6157E">
        <w:rPr>
          <w:rFonts w:ascii="Calibri" w:hAnsi="Calibri" w:cs="Calibri"/>
        </w:rPr>
        <w:t>and</w:t>
      </w:r>
      <w:r w:rsidR="003D640C" w:rsidRPr="00B6157E">
        <w:rPr>
          <w:rFonts w:ascii="Calibri" w:hAnsi="Calibri" w:cs="Calibri"/>
        </w:rPr>
        <w:t xml:space="preserve"> </w:t>
      </w:r>
      <w:r w:rsidRPr="00B6157E">
        <w:rPr>
          <w:rFonts w:ascii="Calibri" w:hAnsi="Calibri" w:cs="Calibri"/>
        </w:rPr>
        <w:t>current</w:t>
      </w:r>
      <w:r w:rsidR="003D640C" w:rsidRPr="00B6157E">
        <w:rPr>
          <w:rFonts w:ascii="Calibri" w:hAnsi="Calibri" w:cs="Calibri"/>
        </w:rPr>
        <w:t xml:space="preserve"> </w:t>
      </w:r>
      <w:r w:rsidRPr="00B6157E">
        <w:rPr>
          <w:rFonts w:ascii="Calibri" w:hAnsi="Calibri" w:cs="Calibri"/>
        </w:rPr>
        <w:t>relationship</w:t>
      </w:r>
      <w:r w:rsidR="003D640C" w:rsidRPr="00B6157E">
        <w:rPr>
          <w:rFonts w:ascii="Calibri" w:hAnsi="Calibri" w:cs="Calibri"/>
        </w:rPr>
        <w:t xml:space="preserve"> </w:t>
      </w:r>
      <w:r w:rsidRPr="00B6157E">
        <w:rPr>
          <w:rFonts w:ascii="Calibri" w:hAnsi="Calibri" w:cs="Calibri"/>
        </w:rPr>
        <w:t>status.</w:t>
      </w:r>
      <w:r w:rsidR="003D640C" w:rsidRPr="00B6157E">
        <w:rPr>
          <w:rFonts w:ascii="Calibri" w:hAnsi="Calibri" w:cs="Calibri"/>
        </w:rPr>
        <w:t xml:space="preserve"> </w:t>
      </w:r>
      <w:r w:rsidRPr="00B6157E">
        <w:rPr>
          <w:rFonts w:ascii="Calibri" w:hAnsi="Calibri" w:cs="Calibri"/>
          <w:i/>
          <w:iCs/>
        </w:rPr>
        <w:t>Journal</w:t>
      </w:r>
      <w:r w:rsidR="003D640C" w:rsidRPr="00B6157E">
        <w:rPr>
          <w:rFonts w:ascii="Calibri" w:hAnsi="Calibri" w:cs="Calibri"/>
          <w:i/>
          <w:iCs/>
        </w:rPr>
        <w:t xml:space="preserve"> </w:t>
      </w:r>
      <w:r w:rsidRPr="00B6157E">
        <w:rPr>
          <w:rFonts w:ascii="Calibri" w:hAnsi="Calibri" w:cs="Calibri"/>
          <w:i/>
          <w:iCs/>
        </w:rPr>
        <w:t>of</w:t>
      </w:r>
      <w:r w:rsidR="003D640C" w:rsidRPr="00B6157E">
        <w:rPr>
          <w:rFonts w:ascii="Calibri" w:hAnsi="Calibri" w:cs="Calibri"/>
          <w:i/>
          <w:iCs/>
        </w:rPr>
        <w:t xml:space="preserve"> </w:t>
      </w:r>
      <w:r w:rsidRPr="00B6157E">
        <w:rPr>
          <w:rFonts w:ascii="Calibri" w:hAnsi="Calibri" w:cs="Calibri"/>
          <w:i/>
          <w:iCs/>
        </w:rPr>
        <w:t>GLBT</w:t>
      </w:r>
      <w:r w:rsidR="003D640C" w:rsidRPr="00B6157E">
        <w:rPr>
          <w:rFonts w:ascii="Calibri" w:hAnsi="Calibri" w:cs="Calibri"/>
          <w:i/>
          <w:iCs/>
        </w:rPr>
        <w:t xml:space="preserve"> </w:t>
      </w:r>
      <w:r w:rsidRPr="00B6157E">
        <w:rPr>
          <w:rFonts w:ascii="Calibri" w:hAnsi="Calibri" w:cs="Calibri"/>
          <w:i/>
          <w:iCs/>
        </w:rPr>
        <w:t>Family</w:t>
      </w:r>
      <w:r w:rsidR="003D640C" w:rsidRPr="00B6157E">
        <w:rPr>
          <w:rFonts w:ascii="Calibri" w:hAnsi="Calibri" w:cs="Calibri"/>
          <w:i/>
          <w:iCs/>
        </w:rPr>
        <w:t xml:space="preserve"> </w:t>
      </w:r>
      <w:r w:rsidRPr="00B6157E">
        <w:rPr>
          <w:rFonts w:ascii="Calibri" w:hAnsi="Calibri" w:cs="Calibri"/>
          <w:i/>
          <w:iCs/>
        </w:rPr>
        <w:t>Studies</w:t>
      </w:r>
      <w:r w:rsidRPr="00B6157E">
        <w:rPr>
          <w:rFonts w:ascii="Calibri" w:hAnsi="Calibri" w:cs="Calibri"/>
        </w:rPr>
        <w:t>,</w:t>
      </w:r>
      <w:r w:rsidR="003D640C" w:rsidRPr="00B6157E">
        <w:rPr>
          <w:rFonts w:ascii="Calibri" w:hAnsi="Calibri" w:cs="Calibri"/>
        </w:rPr>
        <w:t xml:space="preserve"> </w:t>
      </w:r>
      <w:r w:rsidRPr="00B6157E">
        <w:rPr>
          <w:rFonts w:ascii="Calibri" w:hAnsi="Calibri" w:cs="Calibri"/>
          <w:i/>
          <w:iCs/>
        </w:rPr>
        <w:t>13</w:t>
      </w:r>
      <w:r w:rsidR="00521D2F" w:rsidRPr="00B6157E">
        <w:rPr>
          <w:rFonts w:ascii="Calibri" w:hAnsi="Calibri" w:cs="Calibri"/>
        </w:rPr>
        <w:t>(</w:t>
      </w:r>
      <w:r w:rsidRPr="00B6157E">
        <w:rPr>
          <w:rFonts w:ascii="Calibri" w:hAnsi="Calibri" w:cs="Calibri"/>
        </w:rPr>
        <w:t>2</w:t>
      </w:r>
      <w:r w:rsidR="00521D2F" w:rsidRPr="00B6157E">
        <w:rPr>
          <w:rFonts w:ascii="Calibri" w:hAnsi="Calibri" w:cs="Calibri"/>
        </w:rPr>
        <w:t>)</w:t>
      </w:r>
      <w:r w:rsidRPr="00B6157E">
        <w:rPr>
          <w:rFonts w:ascii="Calibri" w:hAnsi="Calibri" w:cs="Calibri"/>
        </w:rPr>
        <w:t>,</w:t>
      </w:r>
      <w:r w:rsidR="003D640C" w:rsidRPr="00B6157E">
        <w:rPr>
          <w:rFonts w:ascii="Calibri" w:hAnsi="Calibri" w:cs="Calibri"/>
        </w:rPr>
        <w:t xml:space="preserve"> </w:t>
      </w:r>
      <w:r w:rsidRPr="00B6157E">
        <w:rPr>
          <w:rFonts w:ascii="Calibri" w:hAnsi="Calibri" w:cs="Calibri"/>
        </w:rPr>
        <w:t>186</w:t>
      </w:r>
      <w:r w:rsidR="00521D2F" w:rsidRPr="00B6157E">
        <w:rPr>
          <w:rFonts w:ascii="Calibri" w:hAnsi="Calibri" w:cs="Calibri"/>
        </w:rPr>
        <w:t>–</w:t>
      </w:r>
      <w:r w:rsidRPr="00B6157E">
        <w:rPr>
          <w:rFonts w:ascii="Calibri" w:hAnsi="Calibri" w:cs="Calibri"/>
        </w:rPr>
        <w:t>209.</w:t>
      </w:r>
      <w:r w:rsidR="00521D2F" w:rsidRPr="00B6157E">
        <w:rPr>
          <w:rFonts w:ascii="Calibri" w:hAnsi="Calibri" w:cs="Calibri"/>
        </w:rPr>
        <w:t xml:space="preserve"> </w:t>
      </w:r>
      <w:hyperlink r:id="rId100" w:history="1">
        <w:r w:rsidR="00B6157E" w:rsidRPr="005B33A1">
          <w:rPr>
            <w:rStyle w:val="Hyperlink"/>
            <w:rFonts w:ascii="Calibri" w:hAnsi="Calibri" w:cs="Calibri"/>
          </w:rPr>
          <w:t>https://doi.org/10.1080/1550428X.2016.1159163</w:t>
        </w:r>
      </w:hyperlink>
      <w:r w:rsidR="00B6157E">
        <w:rPr>
          <w:rFonts w:ascii="Calibri" w:hAnsi="Calibri" w:cs="Calibri"/>
        </w:rPr>
        <w:t xml:space="preserve">  </w:t>
      </w:r>
      <w:r w:rsidR="00521D2F" w:rsidRPr="00B6157E">
        <w:rPr>
          <w:rFonts w:ascii="Calibri" w:hAnsi="Calibri" w:cs="Calibri"/>
        </w:rPr>
        <w:t xml:space="preserve"> </w:t>
      </w:r>
    </w:p>
    <w:p w14:paraId="7A6F301A" w14:textId="4B9DDB40" w:rsidR="00F01386" w:rsidRDefault="00F01386" w:rsidP="00E00167">
      <w:pPr>
        <w:pStyle w:val="Reference"/>
        <w:rPr>
          <w:rStyle w:val="Hyperlink"/>
        </w:rPr>
      </w:pPr>
      <w:r w:rsidRPr="00B6157E">
        <w:rPr>
          <w:lang w:val="en-US"/>
        </w:rPr>
        <w:t>Le</w:t>
      </w:r>
      <w:r w:rsidR="003D640C" w:rsidRPr="00B6157E">
        <w:rPr>
          <w:lang w:val="en-US"/>
        </w:rPr>
        <w:t xml:space="preserve"> </w:t>
      </w:r>
      <w:r w:rsidRPr="00B6157E">
        <w:rPr>
          <w:lang w:val="en-US"/>
        </w:rPr>
        <w:t>Va</w:t>
      </w:r>
      <w:r w:rsidR="00B508BF" w:rsidRPr="00B6157E">
        <w:rPr>
          <w:lang w:val="en-US"/>
        </w:rPr>
        <w:t>.</w:t>
      </w:r>
      <w:r w:rsidR="003D640C" w:rsidRPr="00B6157E">
        <w:rPr>
          <w:lang w:val="en-US"/>
        </w:rPr>
        <w:t xml:space="preserve"> </w:t>
      </w:r>
      <w:r w:rsidRPr="00B6157E">
        <w:rPr>
          <w:lang w:val="en-US"/>
        </w:rPr>
        <w:t>(2015</w:t>
      </w:r>
      <w:r>
        <w:rPr>
          <w:lang w:val="en-US"/>
        </w:rPr>
        <w:t>,</w:t>
      </w:r>
      <w:r w:rsidR="003D640C">
        <w:rPr>
          <w:lang w:val="en-US"/>
        </w:rPr>
        <w:t xml:space="preserve"> </w:t>
      </w:r>
      <w:r>
        <w:rPr>
          <w:lang w:val="en-US"/>
        </w:rPr>
        <w:t>Nov</w:t>
      </w:r>
      <w:r w:rsidR="00B508BF">
        <w:rPr>
          <w:lang w:val="en-US"/>
        </w:rPr>
        <w:t>ember 2</w:t>
      </w:r>
      <w:r>
        <w:rPr>
          <w:lang w:val="en-US"/>
        </w:rPr>
        <w:t>)</w:t>
      </w:r>
      <w:r w:rsidR="00B508BF">
        <w:rPr>
          <w:lang w:val="en-US"/>
        </w:rPr>
        <w:t>.</w:t>
      </w:r>
      <w:r w:rsidR="003D640C">
        <w:rPr>
          <w:lang w:val="en-US"/>
        </w:rPr>
        <w:t xml:space="preserve"> </w:t>
      </w:r>
      <w:r w:rsidRPr="005B33A1">
        <w:rPr>
          <w:i/>
          <w:iCs/>
          <w:lang w:val="en-US"/>
        </w:rPr>
        <w:t>Positive</w:t>
      </w:r>
      <w:r w:rsidR="003D640C" w:rsidRPr="005B33A1">
        <w:rPr>
          <w:i/>
          <w:iCs/>
          <w:lang w:val="en-US"/>
        </w:rPr>
        <w:t xml:space="preserve"> </w:t>
      </w:r>
      <w:r w:rsidRPr="005B33A1">
        <w:rPr>
          <w:i/>
          <w:iCs/>
          <w:lang w:val="en-US"/>
        </w:rPr>
        <w:t>messages</w:t>
      </w:r>
      <w:r w:rsidR="003D640C" w:rsidRPr="005B33A1">
        <w:rPr>
          <w:i/>
          <w:iCs/>
          <w:lang w:val="en-US"/>
        </w:rPr>
        <w:t xml:space="preserve"> </w:t>
      </w:r>
      <w:r w:rsidRPr="005B33A1">
        <w:rPr>
          <w:i/>
          <w:iCs/>
          <w:lang w:val="en-US"/>
        </w:rPr>
        <w:t>from</w:t>
      </w:r>
      <w:r w:rsidR="003D640C" w:rsidRPr="005B33A1">
        <w:rPr>
          <w:i/>
          <w:iCs/>
          <w:lang w:val="en-US"/>
        </w:rPr>
        <w:t xml:space="preserve"> </w:t>
      </w:r>
      <w:r w:rsidRPr="005B33A1">
        <w:rPr>
          <w:i/>
          <w:iCs/>
          <w:lang w:val="en-US"/>
        </w:rPr>
        <w:t>the</w:t>
      </w:r>
      <w:r w:rsidR="003D640C" w:rsidRPr="005B33A1">
        <w:rPr>
          <w:i/>
          <w:iCs/>
          <w:lang w:val="en-US"/>
        </w:rPr>
        <w:t xml:space="preserve"> </w:t>
      </w:r>
      <w:r w:rsidRPr="005B33A1">
        <w:rPr>
          <w:i/>
          <w:iCs/>
          <w:lang w:val="en-US"/>
        </w:rPr>
        <w:t>pulpit</w:t>
      </w:r>
      <w:r w:rsidR="00B508BF">
        <w:rPr>
          <w:lang w:val="en-US"/>
        </w:rPr>
        <w:t>.</w:t>
      </w:r>
      <w:r w:rsidR="003D640C">
        <w:rPr>
          <w:lang w:val="en-US"/>
        </w:rPr>
        <w:t xml:space="preserve"> </w:t>
      </w:r>
      <w:hyperlink r:id="rId101" w:history="1">
        <w:r w:rsidR="00B508BF" w:rsidRPr="008C4900">
          <w:rPr>
            <w:rStyle w:val="Hyperlink"/>
          </w:rPr>
          <w:t>https://www.leva.co.nz/news/positive-messages-from-the-pulpit</w:t>
        </w:r>
      </w:hyperlink>
    </w:p>
    <w:p w14:paraId="77B92D6E" w14:textId="169FF864" w:rsidR="00F01386" w:rsidRPr="00B6157E" w:rsidRDefault="00F01386" w:rsidP="00E00167">
      <w:pPr>
        <w:pStyle w:val="Reference"/>
        <w:rPr>
          <w:lang w:val="en-US"/>
        </w:rPr>
      </w:pPr>
      <w:r w:rsidRPr="005B33A1">
        <w:t>Lim</w:t>
      </w:r>
      <w:r w:rsidRPr="00B6157E">
        <w:t>-Bunnin,</w:t>
      </w:r>
      <w:r w:rsidR="003D640C" w:rsidRPr="00B6157E">
        <w:t xml:space="preserve"> </w:t>
      </w:r>
      <w:r w:rsidRPr="00B6157E">
        <w:t>L.</w:t>
      </w:r>
      <w:r w:rsidR="003D640C" w:rsidRPr="00B6157E">
        <w:t xml:space="preserve"> </w:t>
      </w:r>
      <w:r w:rsidRPr="00B6157E">
        <w:t>(2020)</w:t>
      </w:r>
      <w:r w:rsidR="00970CFF" w:rsidRPr="00B6157E">
        <w:t>.</w:t>
      </w:r>
      <w:r w:rsidR="003D640C" w:rsidRPr="00B6157E">
        <w:t xml:space="preserve"> </w:t>
      </w:r>
      <w:r w:rsidRPr="00B6157E">
        <w:t>“And</w:t>
      </w:r>
      <w:r w:rsidR="003D640C" w:rsidRPr="00B6157E">
        <w:t xml:space="preserve"> </w:t>
      </w:r>
      <w:r w:rsidRPr="00B6157E">
        <w:t>every</w:t>
      </w:r>
      <w:r w:rsidR="003D640C" w:rsidRPr="00B6157E">
        <w:t xml:space="preserve"> </w:t>
      </w:r>
      <w:r w:rsidRPr="00B6157E">
        <w:t>word</w:t>
      </w:r>
      <w:r w:rsidR="003D640C" w:rsidRPr="00B6157E">
        <w:t xml:space="preserve"> </w:t>
      </w:r>
      <w:r w:rsidRPr="00B6157E">
        <w:t>a</w:t>
      </w:r>
      <w:r w:rsidR="003D640C" w:rsidRPr="00B6157E">
        <w:t xml:space="preserve"> </w:t>
      </w:r>
      <w:r w:rsidRPr="00B6157E">
        <w:t>lie”:</w:t>
      </w:r>
      <w:r w:rsidR="003D640C" w:rsidRPr="00B6157E">
        <w:t xml:space="preserve"> </w:t>
      </w:r>
      <w:r w:rsidRPr="00B6157E">
        <w:t>Samoan</w:t>
      </w:r>
      <w:r w:rsidR="003D640C" w:rsidRPr="00B6157E">
        <w:t xml:space="preserve"> </w:t>
      </w:r>
      <w:r w:rsidRPr="00B6157E">
        <w:t>gender-divergent</w:t>
      </w:r>
      <w:r w:rsidR="003D640C" w:rsidRPr="00B6157E">
        <w:t xml:space="preserve"> </w:t>
      </w:r>
      <w:r w:rsidRPr="00B6157E">
        <w:t>communities,</w:t>
      </w:r>
      <w:r w:rsidR="003D640C" w:rsidRPr="00B6157E">
        <w:t xml:space="preserve"> </w:t>
      </w:r>
      <w:r w:rsidRPr="00B6157E">
        <w:t>language</w:t>
      </w:r>
      <w:r w:rsidR="003D640C" w:rsidRPr="00B6157E">
        <w:t xml:space="preserve"> </w:t>
      </w:r>
      <w:r w:rsidRPr="00B6157E">
        <w:t>and</w:t>
      </w:r>
      <w:r w:rsidR="003D640C" w:rsidRPr="00B6157E">
        <w:t xml:space="preserve"> </w:t>
      </w:r>
      <w:r w:rsidRPr="00B6157E">
        <w:t>epistemic</w:t>
      </w:r>
      <w:r w:rsidR="003D640C" w:rsidRPr="00B6157E">
        <w:t xml:space="preserve"> </w:t>
      </w:r>
      <w:r w:rsidRPr="00B6157E">
        <w:t>violence.</w:t>
      </w:r>
      <w:r w:rsidR="003D640C" w:rsidRPr="00B6157E">
        <w:t xml:space="preserve"> </w:t>
      </w:r>
      <w:r w:rsidRPr="00B6157E">
        <w:rPr>
          <w:i/>
          <w:iCs/>
        </w:rPr>
        <w:t>Women’s</w:t>
      </w:r>
      <w:r w:rsidR="003D640C" w:rsidRPr="00B6157E">
        <w:rPr>
          <w:i/>
          <w:iCs/>
        </w:rPr>
        <w:t xml:space="preserve"> </w:t>
      </w:r>
      <w:r w:rsidRPr="00B6157E">
        <w:rPr>
          <w:i/>
          <w:iCs/>
        </w:rPr>
        <w:t>Studies</w:t>
      </w:r>
      <w:r w:rsidR="003D640C" w:rsidRPr="00B6157E">
        <w:rPr>
          <w:i/>
          <w:iCs/>
        </w:rPr>
        <w:t xml:space="preserve"> </w:t>
      </w:r>
      <w:r w:rsidRPr="00B6157E">
        <w:rPr>
          <w:i/>
          <w:iCs/>
        </w:rPr>
        <w:t>Journal</w:t>
      </w:r>
      <w:r w:rsidRPr="00B6157E">
        <w:t>,</w:t>
      </w:r>
      <w:r w:rsidR="003D640C" w:rsidRPr="00B6157E">
        <w:t xml:space="preserve"> </w:t>
      </w:r>
      <w:r w:rsidRPr="00B6157E">
        <w:rPr>
          <w:i/>
          <w:iCs/>
        </w:rPr>
        <w:t>34</w:t>
      </w:r>
      <w:r w:rsidRPr="00B6157E">
        <w:t>(1/2)</w:t>
      </w:r>
      <w:r w:rsidR="00970CFF" w:rsidRPr="00B6157E">
        <w:t>,</w:t>
      </w:r>
      <w:r w:rsidR="003D640C" w:rsidRPr="00B6157E">
        <w:t xml:space="preserve"> </w:t>
      </w:r>
      <w:r w:rsidRPr="00B6157E">
        <w:t>76</w:t>
      </w:r>
      <w:r w:rsidR="00970CFF" w:rsidRPr="00B6157E">
        <w:t>–</w:t>
      </w:r>
      <w:r w:rsidRPr="00B6157E">
        <w:t>91.</w:t>
      </w:r>
      <w:r w:rsidR="00970CFF" w:rsidRPr="00B6157E">
        <w:t xml:space="preserve"> </w:t>
      </w:r>
      <w:hyperlink r:id="rId102" w:history="1">
        <w:r w:rsidR="00B6157E" w:rsidRPr="0080137F">
          <w:rPr>
            <w:rStyle w:val="Hyperlink"/>
          </w:rPr>
          <w:t>https://wsanz.org.nz/journal/docs/WSJNZ_34_1-2_Lim-Bunnin_76-91.pdf</w:t>
        </w:r>
      </w:hyperlink>
      <w:r w:rsidR="00B6157E">
        <w:t xml:space="preserve"> </w:t>
      </w:r>
    </w:p>
    <w:p w14:paraId="1F4A1885" w14:textId="3E907050" w:rsidR="00F01386" w:rsidRPr="00B6157E" w:rsidRDefault="00F01386" w:rsidP="00E00167">
      <w:pPr>
        <w:pStyle w:val="Reference"/>
        <w:rPr>
          <w:rStyle w:val="Hyperlink"/>
        </w:rPr>
      </w:pPr>
      <w:r w:rsidRPr="005B33A1">
        <w:t>Ling</w:t>
      </w:r>
      <w:r w:rsidRPr="00B6157E">
        <w:t>,</w:t>
      </w:r>
      <w:r w:rsidR="003D640C" w:rsidRPr="00B6157E">
        <w:t xml:space="preserve"> </w:t>
      </w:r>
      <w:r w:rsidRPr="00B6157E">
        <w:t>J.</w:t>
      </w:r>
      <w:r w:rsidR="003D640C" w:rsidRPr="00B6157E">
        <w:t xml:space="preserve"> </w:t>
      </w:r>
      <w:r w:rsidRPr="00B6157E">
        <w:t>(2023,</w:t>
      </w:r>
      <w:r w:rsidR="003D640C" w:rsidRPr="00B6157E">
        <w:t xml:space="preserve"> </w:t>
      </w:r>
      <w:r w:rsidRPr="00B6157E">
        <w:t>March</w:t>
      </w:r>
      <w:r w:rsidR="003D640C" w:rsidRPr="00B6157E">
        <w:t xml:space="preserve"> </w:t>
      </w:r>
      <w:r w:rsidRPr="00B6157E">
        <w:t>26).</w:t>
      </w:r>
      <w:r w:rsidR="003D640C" w:rsidRPr="00B6157E">
        <w:t xml:space="preserve"> </w:t>
      </w:r>
      <w:r w:rsidRPr="00B6157E">
        <w:rPr>
          <w:i/>
          <w:iCs/>
        </w:rPr>
        <w:t>Trans</w:t>
      </w:r>
      <w:r w:rsidR="003D640C" w:rsidRPr="00B6157E">
        <w:rPr>
          <w:i/>
          <w:iCs/>
        </w:rPr>
        <w:t xml:space="preserve"> </w:t>
      </w:r>
      <w:r w:rsidRPr="00B6157E">
        <w:rPr>
          <w:i/>
          <w:iCs/>
        </w:rPr>
        <w:t>woman’s</w:t>
      </w:r>
      <w:r w:rsidR="003D640C" w:rsidRPr="00B6157E">
        <w:rPr>
          <w:i/>
          <w:iCs/>
        </w:rPr>
        <w:t xml:space="preserve"> </w:t>
      </w:r>
      <w:r w:rsidRPr="00B6157E">
        <w:rPr>
          <w:i/>
          <w:iCs/>
        </w:rPr>
        <w:t>experience</w:t>
      </w:r>
      <w:r w:rsidR="003D640C" w:rsidRPr="00B6157E">
        <w:rPr>
          <w:i/>
          <w:iCs/>
        </w:rPr>
        <w:t xml:space="preserve"> </w:t>
      </w:r>
      <w:r w:rsidRPr="00B6157E">
        <w:rPr>
          <w:i/>
          <w:iCs/>
        </w:rPr>
        <w:t>of</w:t>
      </w:r>
      <w:r w:rsidR="003D640C" w:rsidRPr="00B6157E">
        <w:rPr>
          <w:i/>
          <w:iCs/>
        </w:rPr>
        <w:t xml:space="preserve"> </w:t>
      </w:r>
      <w:r w:rsidRPr="00B6157E">
        <w:rPr>
          <w:i/>
          <w:iCs/>
        </w:rPr>
        <w:t>17</w:t>
      </w:r>
      <w:r w:rsidR="003D640C" w:rsidRPr="00B6157E">
        <w:rPr>
          <w:i/>
          <w:iCs/>
        </w:rPr>
        <w:t xml:space="preserve"> </w:t>
      </w:r>
      <w:r w:rsidRPr="00B6157E">
        <w:rPr>
          <w:i/>
          <w:iCs/>
        </w:rPr>
        <w:t>years</w:t>
      </w:r>
      <w:r w:rsidR="003D640C" w:rsidRPr="00B6157E">
        <w:rPr>
          <w:i/>
          <w:iCs/>
        </w:rPr>
        <w:t xml:space="preserve"> </w:t>
      </w:r>
      <w:r w:rsidRPr="00B6157E">
        <w:rPr>
          <w:i/>
          <w:iCs/>
        </w:rPr>
        <w:t>of</w:t>
      </w:r>
      <w:r w:rsidR="003D640C" w:rsidRPr="00B6157E">
        <w:rPr>
          <w:i/>
          <w:iCs/>
        </w:rPr>
        <w:t xml:space="preserve"> </w:t>
      </w:r>
      <w:r w:rsidRPr="00B6157E">
        <w:rPr>
          <w:i/>
          <w:iCs/>
        </w:rPr>
        <w:t>conversion</w:t>
      </w:r>
      <w:r w:rsidR="003D640C" w:rsidRPr="00B6157E">
        <w:rPr>
          <w:i/>
          <w:iCs/>
        </w:rPr>
        <w:t xml:space="preserve"> </w:t>
      </w:r>
      <w:r w:rsidRPr="00B6157E">
        <w:rPr>
          <w:i/>
          <w:iCs/>
        </w:rPr>
        <w:t>therapy</w:t>
      </w:r>
      <w:r w:rsidR="003D640C" w:rsidRPr="00B6157E">
        <w:rPr>
          <w:i/>
          <w:iCs/>
        </w:rPr>
        <w:t xml:space="preserve"> </w:t>
      </w:r>
      <w:r w:rsidRPr="00B6157E">
        <w:rPr>
          <w:i/>
          <w:iCs/>
        </w:rPr>
        <w:t>at</w:t>
      </w:r>
      <w:r w:rsidR="003D640C" w:rsidRPr="00B6157E">
        <w:rPr>
          <w:i/>
          <w:iCs/>
        </w:rPr>
        <w:t xml:space="preserve"> </w:t>
      </w:r>
      <w:r w:rsidRPr="00B6157E">
        <w:rPr>
          <w:i/>
          <w:iCs/>
        </w:rPr>
        <w:t>controversial</w:t>
      </w:r>
      <w:r w:rsidR="003D640C" w:rsidRPr="00B6157E">
        <w:rPr>
          <w:i/>
          <w:iCs/>
        </w:rPr>
        <w:t xml:space="preserve"> </w:t>
      </w:r>
      <w:r w:rsidRPr="00B6157E">
        <w:rPr>
          <w:i/>
          <w:iCs/>
        </w:rPr>
        <w:t>Far</w:t>
      </w:r>
      <w:r w:rsidR="003D640C" w:rsidRPr="00B6157E">
        <w:rPr>
          <w:i/>
          <w:iCs/>
        </w:rPr>
        <w:t xml:space="preserve"> </w:t>
      </w:r>
      <w:r w:rsidRPr="00B6157E">
        <w:rPr>
          <w:i/>
          <w:iCs/>
        </w:rPr>
        <w:t>North</w:t>
      </w:r>
      <w:r w:rsidR="003D640C" w:rsidRPr="00B6157E">
        <w:rPr>
          <w:i/>
          <w:iCs/>
        </w:rPr>
        <w:t xml:space="preserve"> </w:t>
      </w:r>
      <w:r w:rsidRPr="00B6157E">
        <w:rPr>
          <w:i/>
          <w:iCs/>
        </w:rPr>
        <w:t>school</w:t>
      </w:r>
      <w:r w:rsidR="003D640C" w:rsidRPr="00B6157E">
        <w:rPr>
          <w:i/>
          <w:iCs/>
        </w:rPr>
        <w:t xml:space="preserve"> </w:t>
      </w:r>
      <w:r w:rsidRPr="00B6157E">
        <w:rPr>
          <w:i/>
          <w:iCs/>
        </w:rPr>
        <w:t>and</w:t>
      </w:r>
      <w:r w:rsidR="003D640C" w:rsidRPr="00B6157E">
        <w:rPr>
          <w:i/>
          <w:iCs/>
        </w:rPr>
        <w:t xml:space="preserve"> </w:t>
      </w:r>
      <w:r w:rsidRPr="00B6157E">
        <w:rPr>
          <w:i/>
          <w:iCs/>
        </w:rPr>
        <w:t>church</w:t>
      </w:r>
      <w:r w:rsidRPr="00B6157E">
        <w:t>.</w:t>
      </w:r>
      <w:r w:rsidR="003D640C" w:rsidRPr="00B6157E">
        <w:t xml:space="preserve"> </w:t>
      </w:r>
      <w:hyperlink r:id="rId103" w:history="1">
        <w:r w:rsidR="004D4891" w:rsidRPr="00B6157E">
          <w:rPr>
            <w:rStyle w:val="Hyperlink"/>
          </w:rPr>
          <w:t>https://www.nzherald.co.nz/northern-advocate/news/trans-womans-experience-of-17-years-of-conversion-therapy-at-controversial-far-north-school-and-church/D4GISY6ZHBFBLIOGHGIVNFATAY/</w:t>
        </w:r>
      </w:hyperlink>
      <w:r w:rsidR="004D4891" w:rsidRPr="00B6157E">
        <w:t xml:space="preserve"> </w:t>
      </w:r>
    </w:p>
    <w:p w14:paraId="450080A6" w14:textId="381694D3" w:rsidR="00191A46" w:rsidRPr="00B6157E" w:rsidRDefault="00191A46" w:rsidP="00191A46">
      <w:pPr>
        <w:pStyle w:val="Reference"/>
      </w:pPr>
      <w:r w:rsidRPr="005B33A1">
        <w:t>Local</w:t>
      </w:r>
      <w:r w:rsidRPr="00B6157E">
        <w:t xml:space="preserve"> Matters. (2018, August 14). </w:t>
      </w:r>
      <w:r w:rsidRPr="00B6157E">
        <w:rPr>
          <w:i/>
          <w:iCs/>
        </w:rPr>
        <w:t xml:space="preserve">Rodney activists seek ban on gay conversion therapy. </w:t>
      </w:r>
      <w:hyperlink r:id="rId104" w:history="1">
        <w:r w:rsidRPr="00B6157E">
          <w:rPr>
            <w:rStyle w:val="Hyperlink"/>
          </w:rPr>
          <w:t>https://www.localmatters.co.nz/news/rodney-activists-seek-ban-on-gay-conversion-therapy/</w:t>
        </w:r>
      </w:hyperlink>
    </w:p>
    <w:p w14:paraId="6A79F08C" w14:textId="6C29F10D" w:rsidR="00F01386" w:rsidRPr="00B6157E" w:rsidRDefault="00F01386" w:rsidP="00E00167">
      <w:pPr>
        <w:pStyle w:val="Reference"/>
        <w:rPr>
          <w:lang w:val="en-US"/>
        </w:rPr>
      </w:pPr>
      <w:r w:rsidRPr="005B33A1">
        <w:rPr>
          <w:lang w:val="en-US"/>
        </w:rPr>
        <w:lastRenderedPageBreak/>
        <w:t>Malatest</w:t>
      </w:r>
      <w:r w:rsidR="003D640C" w:rsidRPr="00B6157E">
        <w:rPr>
          <w:lang w:val="en-US"/>
        </w:rPr>
        <w:t xml:space="preserve"> </w:t>
      </w:r>
      <w:r w:rsidRPr="00B6157E">
        <w:rPr>
          <w:lang w:val="en-US"/>
        </w:rPr>
        <w:t>International.</w:t>
      </w:r>
      <w:r w:rsidR="003D640C" w:rsidRPr="00B6157E">
        <w:rPr>
          <w:lang w:val="en-US"/>
        </w:rPr>
        <w:t xml:space="preserve"> </w:t>
      </w:r>
      <w:r w:rsidRPr="00B6157E">
        <w:rPr>
          <w:lang w:val="en-US"/>
        </w:rPr>
        <w:t>(2021)</w:t>
      </w:r>
      <w:r w:rsidR="00946C68" w:rsidRPr="00B6157E">
        <w:rPr>
          <w:lang w:val="en-US"/>
        </w:rPr>
        <w:t>.</w:t>
      </w:r>
      <w:r w:rsidR="003D640C" w:rsidRPr="00B6157E">
        <w:rPr>
          <w:lang w:val="en-US"/>
        </w:rPr>
        <w:t xml:space="preserve"> </w:t>
      </w:r>
      <w:r w:rsidRPr="00B6157E">
        <w:rPr>
          <w:i/>
          <w:iCs/>
        </w:rPr>
        <w:t>Ngā</w:t>
      </w:r>
      <w:r w:rsidR="003D640C" w:rsidRPr="00B6157E">
        <w:rPr>
          <w:i/>
          <w:iCs/>
        </w:rPr>
        <w:t xml:space="preserve"> </w:t>
      </w:r>
      <w:r w:rsidRPr="00B6157E">
        <w:rPr>
          <w:i/>
          <w:iCs/>
        </w:rPr>
        <w:t>take</w:t>
      </w:r>
      <w:r w:rsidR="003D640C" w:rsidRPr="00B6157E">
        <w:rPr>
          <w:i/>
          <w:iCs/>
        </w:rPr>
        <w:t xml:space="preserve"> </w:t>
      </w:r>
      <w:r w:rsidRPr="00B6157E">
        <w:rPr>
          <w:i/>
          <w:iCs/>
        </w:rPr>
        <w:t>o</w:t>
      </w:r>
      <w:r w:rsidR="003D640C" w:rsidRPr="00B6157E">
        <w:rPr>
          <w:i/>
          <w:iCs/>
        </w:rPr>
        <w:t xml:space="preserve"> </w:t>
      </w:r>
      <w:r w:rsidRPr="00B6157E">
        <w:rPr>
          <w:i/>
          <w:iCs/>
        </w:rPr>
        <w:t>nga</w:t>
      </w:r>
      <w:r w:rsidR="003D640C" w:rsidRPr="00B6157E">
        <w:rPr>
          <w:i/>
          <w:iCs/>
        </w:rPr>
        <w:t xml:space="preserve"> </w:t>
      </w:r>
      <w:r w:rsidRPr="00B6157E">
        <w:rPr>
          <w:i/>
          <w:iCs/>
        </w:rPr>
        <w:t>wheako</w:t>
      </w:r>
      <w:r w:rsidR="003D640C" w:rsidRPr="00B6157E">
        <w:rPr>
          <w:i/>
          <w:iCs/>
        </w:rPr>
        <w:t xml:space="preserve"> </w:t>
      </w:r>
      <w:r w:rsidRPr="00B6157E">
        <w:rPr>
          <w:i/>
          <w:iCs/>
        </w:rPr>
        <w:t>o</w:t>
      </w:r>
      <w:r w:rsidR="003D640C" w:rsidRPr="00B6157E">
        <w:rPr>
          <w:i/>
          <w:iCs/>
        </w:rPr>
        <w:t xml:space="preserve"> </w:t>
      </w:r>
      <w:r w:rsidRPr="00B6157E">
        <w:rPr>
          <w:i/>
          <w:iCs/>
        </w:rPr>
        <w:t>te</w:t>
      </w:r>
      <w:r w:rsidR="003D640C" w:rsidRPr="00B6157E">
        <w:rPr>
          <w:i/>
          <w:iCs/>
        </w:rPr>
        <w:t xml:space="preserve"> </w:t>
      </w:r>
      <w:r w:rsidRPr="00B6157E">
        <w:rPr>
          <w:i/>
          <w:iCs/>
        </w:rPr>
        <w:t>kaikiri</w:t>
      </w:r>
      <w:r w:rsidR="003D640C" w:rsidRPr="00B6157E">
        <w:rPr>
          <w:i/>
          <w:iCs/>
        </w:rPr>
        <w:t xml:space="preserve"> </w:t>
      </w:r>
      <w:r w:rsidRPr="00B6157E">
        <w:rPr>
          <w:i/>
          <w:iCs/>
        </w:rPr>
        <w:t>ki</w:t>
      </w:r>
      <w:r w:rsidR="003D640C" w:rsidRPr="00B6157E">
        <w:rPr>
          <w:i/>
          <w:iCs/>
        </w:rPr>
        <w:t xml:space="preserve"> </w:t>
      </w:r>
      <w:r w:rsidRPr="00B6157E">
        <w:rPr>
          <w:i/>
          <w:iCs/>
        </w:rPr>
        <w:t>ngā</w:t>
      </w:r>
      <w:r w:rsidR="003D640C" w:rsidRPr="00B6157E">
        <w:rPr>
          <w:i/>
          <w:iCs/>
        </w:rPr>
        <w:t xml:space="preserve"> </w:t>
      </w:r>
      <w:r w:rsidRPr="00B6157E">
        <w:rPr>
          <w:i/>
          <w:iCs/>
        </w:rPr>
        <w:t>manene</w:t>
      </w:r>
      <w:r w:rsidR="003D640C" w:rsidRPr="00B6157E">
        <w:rPr>
          <w:i/>
          <w:iCs/>
        </w:rPr>
        <w:t xml:space="preserve"> </w:t>
      </w:r>
      <w:r w:rsidRPr="00B6157E">
        <w:rPr>
          <w:i/>
          <w:iCs/>
        </w:rPr>
        <w:t>o</w:t>
      </w:r>
      <w:r w:rsidR="003D640C" w:rsidRPr="00B6157E">
        <w:rPr>
          <w:i/>
          <w:iCs/>
        </w:rPr>
        <w:t xml:space="preserve"> </w:t>
      </w:r>
      <w:r w:rsidRPr="00B6157E">
        <w:rPr>
          <w:i/>
          <w:iCs/>
        </w:rPr>
        <w:t>Aotearoa</w:t>
      </w:r>
      <w:r w:rsidR="003D640C" w:rsidRPr="00B6157E">
        <w:rPr>
          <w:i/>
          <w:iCs/>
          <w:lang w:val="en-US"/>
        </w:rPr>
        <w:t xml:space="preserve"> </w:t>
      </w:r>
      <w:r w:rsidRPr="00B6157E">
        <w:rPr>
          <w:i/>
          <w:iCs/>
          <w:lang w:val="en-US"/>
        </w:rPr>
        <w:t>|</w:t>
      </w:r>
      <w:r w:rsidR="00946C68" w:rsidRPr="00B6157E">
        <w:rPr>
          <w:i/>
          <w:iCs/>
          <w:lang w:val="en-US"/>
        </w:rPr>
        <w:t xml:space="preserve"> </w:t>
      </w:r>
      <w:r w:rsidRPr="00B6157E">
        <w:rPr>
          <w:i/>
          <w:iCs/>
          <w:lang w:val="en-US"/>
        </w:rPr>
        <w:t>Drivers</w:t>
      </w:r>
      <w:r w:rsidR="003D640C" w:rsidRPr="00B6157E">
        <w:rPr>
          <w:i/>
          <w:iCs/>
          <w:lang w:val="en-US"/>
        </w:rPr>
        <w:t xml:space="preserve"> </w:t>
      </w:r>
      <w:r w:rsidRPr="00B6157E">
        <w:rPr>
          <w:i/>
          <w:iCs/>
          <w:lang w:val="en-US"/>
        </w:rPr>
        <w:t>of</w:t>
      </w:r>
      <w:r w:rsidR="003D640C" w:rsidRPr="00B6157E">
        <w:rPr>
          <w:i/>
          <w:iCs/>
          <w:lang w:val="en-US"/>
        </w:rPr>
        <w:t xml:space="preserve"> </w:t>
      </w:r>
      <w:r w:rsidRPr="00B6157E">
        <w:rPr>
          <w:i/>
          <w:iCs/>
          <w:lang w:val="en-US"/>
        </w:rPr>
        <w:t>migrant</w:t>
      </w:r>
      <w:r w:rsidR="003D640C" w:rsidRPr="00B6157E">
        <w:rPr>
          <w:i/>
          <w:iCs/>
          <w:lang w:val="en-US"/>
        </w:rPr>
        <w:t xml:space="preserve"> </w:t>
      </w:r>
      <w:r w:rsidRPr="00B6157E">
        <w:rPr>
          <w:i/>
          <w:iCs/>
          <w:lang w:val="en-US"/>
        </w:rPr>
        <w:t>New</w:t>
      </w:r>
      <w:r w:rsidR="003D640C" w:rsidRPr="00B6157E">
        <w:rPr>
          <w:i/>
          <w:iCs/>
          <w:lang w:val="en-US"/>
        </w:rPr>
        <w:t xml:space="preserve"> </w:t>
      </w:r>
      <w:r w:rsidRPr="00B6157E">
        <w:rPr>
          <w:i/>
          <w:iCs/>
          <w:lang w:val="en-US"/>
        </w:rPr>
        <w:t>Zealanders’</w:t>
      </w:r>
      <w:r w:rsidR="003D640C" w:rsidRPr="00B6157E">
        <w:rPr>
          <w:i/>
          <w:iCs/>
          <w:lang w:val="en-US"/>
        </w:rPr>
        <w:t xml:space="preserve"> </w:t>
      </w:r>
      <w:r w:rsidRPr="00B6157E">
        <w:rPr>
          <w:i/>
          <w:iCs/>
          <w:lang w:val="en-US"/>
        </w:rPr>
        <w:t>experiences</w:t>
      </w:r>
      <w:r w:rsidR="003D640C" w:rsidRPr="00B6157E">
        <w:rPr>
          <w:i/>
          <w:iCs/>
          <w:lang w:val="en-US"/>
        </w:rPr>
        <w:t xml:space="preserve"> </w:t>
      </w:r>
      <w:r w:rsidRPr="00B6157E">
        <w:rPr>
          <w:i/>
          <w:iCs/>
          <w:lang w:val="en-US"/>
        </w:rPr>
        <w:t>of</w:t>
      </w:r>
      <w:r w:rsidR="003D640C" w:rsidRPr="00B6157E">
        <w:rPr>
          <w:i/>
          <w:iCs/>
          <w:lang w:val="en-US"/>
        </w:rPr>
        <w:t xml:space="preserve"> </w:t>
      </w:r>
      <w:r w:rsidRPr="00B6157E">
        <w:rPr>
          <w:i/>
          <w:iCs/>
          <w:lang w:val="en-US"/>
        </w:rPr>
        <w:t>racism</w:t>
      </w:r>
      <w:r w:rsidRPr="00B6157E">
        <w:rPr>
          <w:lang w:val="en-US"/>
        </w:rPr>
        <w:t>.</w:t>
      </w:r>
      <w:r w:rsidR="003D640C" w:rsidRPr="00B6157E">
        <w:rPr>
          <w:lang w:val="en-US"/>
        </w:rPr>
        <w:t xml:space="preserve"> </w:t>
      </w:r>
      <w:r w:rsidRPr="00B6157E">
        <w:rPr>
          <w:lang w:val="en-US"/>
        </w:rPr>
        <w:t>Human</w:t>
      </w:r>
      <w:r w:rsidR="003D640C" w:rsidRPr="00B6157E">
        <w:rPr>
          <w:lang w:val="en-US"/>
        </w:rPr>
        <w:t xml:space="preserve"> </w:t>
      </w:r>
      <w:r w:rsidRPr="00B6157E">
        <w:rPr>
          <w:lang w:val="en-US"/>
        </w:rPr>
        <w:t>Rights</w:t>
      </w:r>
      <w:r w:rsidR="003D640C" w:rsidRPr="00B6157E">
        <w:rPr>
          <w:lang w:val="en-US"/>
        </w:rPr>
        <w:t xml:space="preserve"> </w:t>
      </w:r>
      <w:r w:rsidRPr="00B6157E">
        <w:rPr>
          <w:lang w:val="en-US"/>
        </w:rPr>
        <w:t>Commission.</w:t>
      </w:r>
      <w:r w:rsidR="003D640C" w:rsidRPr="00B6157E">
        <w:rPr>
          <w:lang w:val="en-US"/>
        </w:rPr>
        <w:t xml:space="preserve"> </w:t>
      </w:r>
      <w:hyperlink r:id="rId105" w:history="1">
        <w:r w:rsidR="00946C68" w:rsidRPr="00B6157E">
          <w:rPr>
            <w:rStyle w:val="Hyperlink"/>
            <w:lang w:val="en-US"/>
          </w:rPr>
          <w:t>https://apo.org.au/sites/default/files/resource-files/2021-03/apo-nid311552.pdf</w:t>
        </w:r>
      </w:hyperlink>
      <w:r w:rsidR="00946C68" w:rsidRPr="00B6157E">
        <w:rPr>
          <w:lang w:val="en-US"/>
        </w:rPr>
        <w:t xml:space="preserve">  </w:t>
      </w:r>
      <w:r w:rsidR="003D640C" w:rsidRPr="00B6157E">
        <w:rPr>
          <w:lang w:val="en-US"/>
        </w:rPr>
        <w:t xml:space="preserve"> </w:t>
      </w:r>
    </w:p>
    <w:p w14:paraId="630E0F90" w14:textId="542F0309" w:rsidR="00F01386" w:rsidRPr="00B6157E" w:rsidRDefault="00F01386" w:rsidP="00E00167">
      <w:pPr>
        <w:pStyle w:val="Reference"/>
      </w:pPr>
      <w:r w:rsidRPr="005B33A1">
        <w:t>Masten</w:t>
      </w:r>
      <w:r w:rsidRPr="00B6157E">
        <w:t>,</w:t>
      </w:r>
      <w:r w:rsidR="003D640C" w:rsidRPr="00B6157E">
        <w:t xml:space="preserve"> </w:t>
      </w:r>
      <w:r w:rsidRPr="00B6157E">
        <w:t>A</w:t>
      </w:r>
      <w:r w:rsidR="0018386B" w:rsidRPr="00B6157E">
        <w:t>.,&amp;</w:t>
      </w:r>
      <w:r w:rsidR="003D640C" w:rsidRPr="00B6157E">
        <w:t xml:space="preserve"> </w:t>
      </w:r>
      <w:r w:rsidRPr="00B6157E">
        <w:t>Shaffer</w:t>
      </w:r>
      <w:r w:rsidR="0018386B" w:rsidRPr="00B6157E">
        <w:t>, A</w:t>
      </w:r>
      <w:r w:rsidRPr="00B6157E">
        <w:t>.</w:t>
      </w:r>
      <w:r w:rsidR="003D640C" w:rsidRPr="00B6157E">
        <w:t xml:space="preserve"> </w:t>
      </w:r>
      <w:r w:rsidRPr="00B6157E">
        <w:t>(2006)</w:t>
      </w:r>
      <w:r w:rsidR="0018386B" w:rsidRPr="00B6157E">
        <w:t>.</w:t>
      </w:r>
      <w:r w:rsidR="003D640C" w:rsidRPr="00B6157E">
        <w:t xml:space="preserve"> </w:t>
      </w:r>
      <w:r w:rsidRPr="00B6157E">
        <w:t>How</w:t>
      </w:r>
      <w:r w:rsidR="003D640C" w:rsidRPr="00B6157E">
        <w:t xml:space="preserve"> </w:t>
      </w:r>
      <w:r w:rsidR="0018386B" w:rsidRPr="00B6157E">
        <w:t>f</w:t>
      </w:r>
      <w:r w:rsidRPr="00B6157E">
        <w:t>amilies</w:t>
      </w:r>
      <w:r w:rsidR="003D640C" w:rsidRPr="00B6157E">
        <w:t xml:space="preserve"> </w:t>
      </w:r>
      <w:r w:rsidR="0018386B" w:rsidRPr="00B6157E">
        <w:t>m</w:t>
      </w:r>
      <w:r w:rsidRPr="00B6157E">
        <w:t>atter</w:t>
      </w:r>
      <w:r w:rsidR="003D640C" w:rsidRPr="00B6157E">
        <w:t xml:space="preserve"> </w:t>
      </w:r>
      <w:r w:rsidRPr="00B6157E">
        <w:t>in</w:t>
      </w:r>
      <w:r w:rsidR="003D640C" w:rsidRPr="00B6157E">
        <w:t xml:space="preserve"> </w:t>
      </w:r>
      <w:r w:rsidR="0018386B" w:rsidRPr="00B6157E">
        <w:t>c</w:t>
      </w:r>
      <w:r w:rsidRPr="00B6157E">
        <w:t>hild</w:t>
      </w:r>
      <w:r w:rsidR="003D640C" w:rsidRPr="00B6157E">
        <w:t xml:space="preserve"> </w:t>
      </w:r>
      <w:r w:rsidR="0018386B" w:rsidRPr="00B6157E">
        <w:t>d</w:t>
      </w:r>
      <w:r w:rsidRPr="00B6157E">
        <w:t>evelopment:</w:t>
      </w:r>
      <w:r w:rsidR="003D640C" w:rsidRPr="00B6157E">
        <w:t xml:space="preserve"> </w:t>
      </w:r>
      <w:r w:rsidRPr="00B6157E">
        <w:t>Reflections</w:t>
      </w:r>
      <w:r w:rsidR="003D640C" w:rsidRPr="00B6157E">
        <w:t xml:space="preserve"> </w:t>
      </w:r>
      <w:r w:rsidRPr="00B6157E">
        <w:t>from</w:t>
      </w:r>
      <w:r w:rsidR="003D640C" w:rsidRPr="00B6157E">
        <w:t xml:space="preserve"> </w:t>
      </w:r>
      <w:r w:rsidR="0018386B" w:rsidRPr="00B6157E">
        <w:t>r</w:t>
      </w:r>
      <w:r w:rsidRPr="00B6157E">
        <w:t>esearch</w:t>
      </w:r>
      <w:r w:rsidR="003D640C" w:rsidRPr="00B6157E">
        <w:t xml:space="preserve"> </w:t>
      </w:r>
      <w:r w:rsidRPr="00B6157E">
        <w:t>on</w:t>
      </w:r>
      <w:r w:rsidR="003D640C" w:rsidRPr="00B6157E">
        <w:t xml:space="preserve"> </w:t>
      </w:r>
      <w:r w:rsidR="0018386B" w:rsidRPr="00B6157E">
        <w:t>r</w:t>
      </w:r>
      <w:r w:rsidRPr="00B6157E">
        <w:t>isk</w:t>
      </w:r>
      <w:r w:rsidR="003D640C" w:rsidRPr="00B6157E">
        <w:t xml:space="preserve"> </w:t>
      </w:r>
      <w:r w:rsidRPr="00B6157E">
        <w:t>and</w:t>
      </w:r>
      <w:r w:rsidR="003D640C" w:rsidRPr="00B6157E">
        <w:t xml:space="preserve"> </w:t>
      </w:r>
      <w:r w:rsidR="0018386B" w:rsidRPr="00B6157E">
        <w:t>r</w:t>
      </w:r>
      <w:r w:rsidRPr="00B6157E">
        <w:t>esilience</w:t>
      </w:r>
      <w:r w:rsidR="0018386B" w:rsidRPr="00B6157E">
        <w:t>.</w:t>
      </w:r>
      <w:r w:rsidR="003D640C" w:rsidRPr="00B6157E">
        <w:t xml:space="preserve"> </w:t>
      </w:r>
      <w:r w:rsidR="0018386B" w:rsidRPr="00B6157E">
        <w:t>I</w:t>
      </w:r>
      <w:r w:rsidRPr="00B6157E">
        <w:t>n</w:t>
      </w:r>
      <w:r w:rsidR="003D640C" w:rsidRPr="00B6157E">
        <w:t xml:space="preserve"> </w:t>
      </w:r>
      <w:r w:rsidRPr="00B6157E">
        <w:t>A.</w:t>
      </w:r>
      <w:r w:rsidR="003D640C" w:rsidRPr="00B6157E">
        <w:t xml:space="preserve"> </w:t>
      </w:r>
      <w:r w:rsidRPr="00B6157E">
        <w:t>Clarke-Stewar</w:t>
      </w:r>
      <w:r w:rsidR="0018386B" w:rsidRPr="00B6157E">
        <w:t>t</w:t>
      </w:r>
      <w:r w:rsidR="003D640C" w:rsidRPr="00B6157E">
        <w:t xml:space="preserve"> </w:t>
      </w:r>
      <w:r w:rsidR="0018386B" w:rsidRPr="00B6157E">
        <w:t>&amp;</w:t>
      </w:r>
      <w:r w:rsidR="003D640C" w:rsidRPr="00B6157E">
        <w:t xml:space="preserve"> </w:t>
      </w:r>
      <w:r w:rsidRPr="00B6157E">
        <w:t>J.</w:t>
      </w:r>
      <w:r w:rsidR="003D640C" w:rsidRPr="00B6157E">
        <w:t xml:space="preserve"> </w:t>
      </w:r>
      <w:r w:rsidRPr="00B6157E">
        <w:t>Dunn</w:t>
      </w:r>
      <w:r w:rsidR="003D640C" w:rsidRPr="00B6157E">
        <w:t xml:space="preserve"> </w:t>
      </w:r>
      <w:r w:rsidRPr="00B6157E">
        <w:t>(</w:t>
      </w:r>
      <w:r w:rsidR="0018386B" w:rsidRPr="00B6157E">
        <w:t>E</w:t>
      </w:r>
      <w:r w:rsidRPr="00B6157E">
        <w:t>ds</w:t>
      </w:r>
      <w:r w:rsidR="0018386B" w:rsidRPr="00B6157E">
        <w:t>.</w:t>
      </w:r>
      <w:r w:rsidRPr="00B6157E">
        <w:t>),</w:t>
      </w:r>
      <w:r w:rsidR="003D640C" w:rsidRPr="00B6157E">
        <w:t xml:space="preserve"> </w:t>
      </w:r>
      <w:r w:rsidRPr="00B6157E">
        <w:rPr>
          <w:i/>
          <w:iCs/>
        </w:rPr>
        <w:t>Families</w:t>
      </w:r>
      <w:r w:rsidR="003D640C" w:rsidRPr="00B6157E">
        <w:rPr>
          <w:i/>
          <w:iCs/>
        </w:rPr>
        <w:t xml:space="preserve"> </w:t>
      </w:r>
      <w:r w:rsidR="0018386B" w:rsidRPr="00B6157E">
        <w:rPr>
          <w:i/>
          <w:iCs/>
        </w:rPr>
        <w:t>c</w:t>
      </w:r>
      <w:r w:rsidRPr="00B6157E">
        <w:rPr>
          <w:i/>
          <w:iCs/>
        </w:rPr>
        <w:t>ount:</w:t>
      </w:r>
      <w:r w:rsidR="003D640C" w:rsidRPr="00B6157E">
        <w:rPr>
          <w:i/>
          <w:iCs/>
        </w:rPr>
        <w:t xml:space="preserve"> </w:t>
      </w:r>
      <w:r w:rsidRPr="00B6157E">
        <w:rPr>
          <w:i/>
          <w:iCs/>
        </w:rPr>
        <w:t>Effects</w:t>
      </w:r>
      <w:r w:rsidR="003D640C" w:rsidRPr="00B6157E">
        <w:rPr>
          <w:i/>
          <w:iCs/>
        </w:rPr>
        <w:t xml:space="preserve"> </w:t>
      </w:r>
      <w:r w:rsidRPr="00B6157E">
        <w:rPr>
          <w:i/>
          <w:iCs/>
        </w:rPr>
        <w:t>on</w:t>
      </w:r>
      <w:r w:rsidR="003D640C" w:rsidRPr="00B6157E">
        <w:rPr>
          <w:i/>
          <w:iCs/>
        </w:rPr>
        <w:t xml:space="preserve"> </w:t>
      </w:r>
      <w:r w:rsidR="0018386B" w:rsidRPr="00B6157E">
        <w:rPr>
          <w:i/>
          <w:iCs/>
        </w:rPr>
        <w:t>c</w:t>
      </w:r>
      <w:r w:rsidRPr="00B6157E">
        <w:rPr>
          <w:i/>
          <w:iCs/>
        </w:rPr>
        <w:t>hild</w:t>
      </w:r>
      <w:r w:rsidR="003D640C" w:rsidRPr="00B6157E">
        <w:rPr>
          <w:i/>
          <w:iCs/>
        </w:rPr>
        <w:t xml:space="preserve"> </w:t>
      </w:r>
      <w:r w:rsidRPr="00B6157E">
        <w:rPr>
          <w:i/>
          <w:iCs/>
        </w:rPr>
        <w:t>and</w:t>
      </w:r>
      <w:r w:rsidR="003D640C" w:rsidRPr="00B6157E">
        <w:rPr>
          <w:i/>
          <w:iCs/>
        </w:rPr>
        <w:t xml:space="preserve"> </w:t>
      </w:r>
      <w:r w:rsidR="0018386B" w:rsidRPr="00B6157E">
        <w:rPr>
          <w:i/>
          <w:iCs/>
        </w:rPr>
        <w:t>a</w:t>
      </w:r>
      <w:r w:rsidRPr="00B6157E">
        <w:rPr>
          <w:i/>
          <w:iCs/>
        </w:rPr>
        <w:t>dolescent</w:t>
      </w:r>
      <w:r w:rsidR="003D640C" w:rsidRPr="00B6157E">
        <w:rPr>
          <w:i/>
          <w:iCs/>
        </w:rPr>
        <w:t xml:space="preserve"> </w:t>
      </w:r>
      <w:r w:rsidR="0018386B" w:rsidRPr="00B6157E">
        <w:rPr>
          <w:i/>
          <w:iCs/>
        </w:rPr>
        <w:t>d</w:t>
      </w:r>
      <w:r w:rsidRPr="00B6157E">
        <w:rPr>
          <w:i/>
          <w:iCs/>
        </w:rPr>
        <w:t>evelopment</w:t>
      </w:r>
      <w:r w:rsidR="0018386B" w:rsidRPr="00B6157E">
        <w:t xml:space="preserve"> (pp. 5–25).</w:t>
      </w:r>
      <w:r w:rsidR="003D640C" w:rsidRPr="00B6157E">
        <w:t xml:space="preserve"> </w:t>
      </w:r>
      <w:r w:rsidRPr="00B6157E">
        <w:t>Cambridge</w:t>
      </w:r>
      <w:r w:rsidR="003D640C" w:rsidRPr="00B6157E">
        <w:t xml:space="preserve"> </w:t>
      </w:r>
      <w:r w:rsidRPr="00B6157E">
        <w:t>University</w:t>
      </w:r>
      <w:r w:rsidR="003D640C" w:rsidRPr="00B6157E">
        <w:t xml:space="preserve"> </w:t>
      </w:r>
      <w:r w:rsidRPr="00B6157E">
        <w:t>Press</w:t>
      </w:r>
      <w:r w:rsidR="0018386B" w:rsidRPr="00B6157E">
        <w:t xml:space="preserve">. </w:t>
      </w:r>
      <w:hyperlink r:id="rId106" w:history="1">
        <w:r w:rsidR="00B6157E" w:rsidRPr="00B6157E">
          <w:rPr>
            <w:rStyle w:val="Hyperlink"/>
          </w:rPr>
          <w:t>https://doi.org/10.1017/CBO9780511616259.002</w:t>
        </w:r>
      </w:hyperlink>
      <w:r w:rsidR="00B6157E" w:rsidRPr="00B6157E">
        <w:t xml:space="preserve">  </w:t>
      </w:r>
      <w:r w:rsidR="009E4AF8" w:rsidRPr="00B6157E">
        <w:t xml:space="preserve"> </w:t>
      </w:r>
    </w:p>
    <w:p w14:paraId="4C2F797A" w14:textId="3A7DAD04" w:rsidR="00CB4E69" w:rsidRDefault="00CB4E69" w:rsidP="00E00167">
      <w:pPr>
        <w:pStyle w:val="Reference"/>
        <w:rPr>
          <w:lang w:val="en-US"/>
        </w:rPr>
      </w:pPr>
      <w:r w:rsidRPr="005B33A1">
        <w:rPr>
          <w:lang w:val="en-US"/>
        </w:rPr>
        <w:t>Mental</w:t>
      </w:r>
      <w:r w:rsidRPr="00B6157E">
        <w:rPr>
          <w:lang w:val="en-US"/>
        </w:rPr>
        <w:t xml:space="preserve"> Health</w:t>
      </w:r>
      <w:r>
        <w:rPr>
          <w:lang w:val="en-US"/>
        </w:rPr>
        <w:t xml:space="preserve"> Foundation of New Zealand et al. (n.d.). </w:t>
      </w:r>
      <w:r w:rsidRPr="007B139B">
        <w:rPr>
          <w:rStyle w:val="Hyperlink"/>
          <w:i/>
          <w:iCs/>
          <w:shd w:val="clear" w:color="auto" w:fill="FFFFFF"/>
        </w:rPr>
        <w:t>Rainbow communities, mental health and addictions</w:t>
      </w:r>
      <w:r>
        <w:rPr>
          <w:rStyle w:val="Hyperlink"/>
          <w:i/>
          <w:iCs/>
          <w:shd w:val="clear" w:color="auto" w:fill="FFFFFF"/>
        </w:rPr>
        <w:t>:</w:t>
      </w:r>
      <w:r w:rsidRPr="007B139B">
        <w:rPr>
          <w:rStyle w:val="Hyperlink"/>
          <w:i/>
          <w:iCs/>
          <w:shd w:val="clear" w:color="auto" w:fill="FFFFFF"/>
        </w:rPr>
        <w:t xml:space="preserve"> A submission to the Government Inquiry into Mental Health and Addiction</w:t>
      </w:r>
      <w:r>
        <w:rPr>
          <w:rStyle w:val="Hyperlink"/>
          <w:i/>
          <w:iCs/>
          <w:shd w:val="clear" w:color="auto" w:fill="FFFFFF"/>
        </w:rPr>
        <w:t xml:space="preserve"> –</w:t>
      </w:r>
      <w:r w:rsidRPr="007B139B">
        <w:rPr>
          <w:rStyle w:val="Hyperlink"/>
          <w:i/>
          <w:iCs/>
          <w:shd w:val="clear" w:color="auto" w:fill="FFFFFF"/>
        </w:rPr>
        <w:t xml:space="preserve"> Oranga Tāngata, Oranga Whānau</w:t>
      </w:r>
      <w:r>
        <w:rPr>
          <w:rStyle w:val="Hyperlink"/>
          <w:i/>
          <w:iCs/>
          <w:shd w:val="clear" w:color="auto" w:fill="FFFFFF"/>
        </w:rPr>
        <w:t>.</w:t>
      </w:r>
      <w:r>
        <w:rPr>
          <w:lang w:val="en-US"/>
        </w:rPr>
        <w:t xml:space="preserve"> </w:t>
      </w:r>
      <w:hyperlink r:id="rId107" w:history="1">
        <w:r w:rsidRPr="00790237">
          <w:rPr>
            <w:rStyle w:val="Hyperlink"/>
            <w:lang w:val="en-US"/>
          </w:rPr>
          <w:t>https://static1.squarespace.com/static/5db7614cb2b9f86491787a93/t/605bc5c18335a61da9345008/1616627142743/Rainbow-communities-and-mental-health-submission-to-the-Inquiry-into-Mental-Health-and-Addiction-08062018.pdf</w:t>
        </w:r>
      </w:hyperlink>
      <w:r>
        <w:rPr>
          <w:lang w:val="en-US"/>
        </w:rPr>
        <w:t xml:space="preserve"> </w:t>
      </w:r>
    </w:p>
    <w:p w14:paraId="6BBD5E90" w14:textId="139206F0" w:rsidR="00F01386" w:rsidRPr="00B6157E" w:rsidRDefault="00F01386" w:rsidP="00E00167">
      <w:pPr>
        <w:pStyle w:val="Reference"/>
        <w:rPr>
          <w:rFonts w:eastAsia="Open Sans" w:cstheme="minorHAnsi"/>
          <w:color w:val="121317"/>
        </w:rPr>
      </w:pPr>
      <w:r w:rsidRPr="00B6157E">
        <w:rPr>
          <w:lang w:val="en-US"/>
        </w:rPr>
        <w:t>Ministry</w:t>
      </w:r>
      <w:r w:rsidR="003D640C" w:rsidRPr="00B6157E">
        <w:rPr>
          <w:lang w:val="en-US"/>
        </w:rPr>
        <w:t xml:space="preserve"> </w:t>
      </w:r>
      <w:r w:rsidRPr="00B6157E">
        <w:rPr>
          <w:lang w:val="en-US"/>
        </w:rPr>
        <w:t>for</w:t>
      </w:r>
      <w:r w:rsidR="003D640C" w:rsidRPr="00B6157E">
        <w:rPr>
          <w:lang w:val="en-US"/>
        </w:rPr>
        <w:t xml:space="preserve"> </w:t>
      </w:r>
      <w:r w:rsidRPr="00B6157E">
        <w:rPr>
          <w:lang w:val="en-US"/>
        </w:rPr>
        <w:t>Ethnic</w:t>
      </w:r>
      <w:r w:rsidR="003D640C" w:rsidRPr="00B6157E">
        <w:rPr>
          <w:lang w:val="en-US"/>
        </w:rPr>
        <w:t xml:space="preserve"> </w:t>
      </w:r>
      <w:r w:rsidRPr="00B6157E">
        <w:rPr>
          <w:lang w:val="en-US"/>
        </w:rPr>
        <w:t>Communities</w:t>
      </w:r>
      <w:r w:rsidR="000A0784" w:rsidRPr="00B6157E">
        <w:rPr>
          <w:lang w:val="en-US"/>
        </w:rPr>
        <w:t xml:space="preserve"> </w:t>
      </w:r>
      <w:r w:rsidR="000A0784" w:rsidRPr="00B6157E">
        <w:t>| Te Tari Mātāwaka</w:t>
      </w:r>
      <w:r w:rsidRPr="00B6157E">
        <w:rPr>
          <w:lang w:val="en-US"/>
        </w:rPr>
        <w:t>.</w:t>
      </w:r>
      <w:r w:rsidR="003D640C" w:rsidRPr="00B6157E">
        <w:rPr>
          <w:rFonts w:eastAsia="Open Sans" w:cstheme="minorHAnsi"/>
          <w:color w:val="121317"/>
        </w:rPr>
        <w:t xml:space="preserve"> </w:t>
      </w:r>
      <w:r w:rsidRPr="00B6157E">
        <w:rPr>
          <w:rFonts w:eastAsia="Open Sans" w:cstheme="minorHAnsi"/>
          <w:color w:val="121317"/>
        </w:rPr>
        <w:t>(</w:t>
      </w:r>
      <w:r w:rsidR="000A0784" w:rsidRPr="00B6157E">
        <w:rPr>
          <w:rFonts w:eastAsia="Open Sans" w:cstheme="minorHAnsi"/>
          <w:color w:val="121317"/>
        </w:rPr>
        <w:t>2022</w:t>
      </w:r>
      <w:r w:rsidRPr="00B6157E">
        <w:rPr>
          <w:rFonts w:eastAsia="Open Sans" w:cstheme="minorHAnsi"/>
          <w:color w:val="121317"/>
        </w:rPr>
        <w:t>)</w:t>
      </w:r>
      <w:r w:rsidR="000A0784" w:rsidRPr="00B6157E">
        <w:rPr>
          <w:rFonts w:eastAsia="Open Sans" w:cstheme="minorHAnsi"/>
          <w:color w:val="121317"/>
        </w:rPr>
        <w:t>.</w:t>
      </w:r>
      <w:r w:rsidR="003D640C" w:rsidRPr="00B6157E">
        <w:rPr>
          <w:lang w:val="en-US"/>
        </w:rPr>
        <w:t xml:space="preserve"> </w:t>
      </w:r>
      <w:r w:rsidR="000A0784" w:rsidRPr="00B6157E">
        <w:rPr>
          <w:i/>
          <w:iCs/>
        </w:rPr>
        <w:t xml:space="preserve">Strategy 2022–2025: </w:t>
      </w:r>
      <w:r w:rsidRPr="00B6157E">
        <w:rPr>
          <w:rFonts w:eastAsia="Open Sans" w:cstheme="minorHAnsi"/>
          <w:i/>
          <w:color w:val="121317"/>
        </w:rPr>
        <w:t>A</w:t>
      </w:r>
      <w:r w:rsidR="003D640C" w:rsidRPr="00B6157E">
        <w:rPr>
          <w:rFonts w:eastAsia="Open Sans" w:cstheme="minorHAnsi"/>
          <w:i/>
          <w:color w:val="121317"/>
        </w:rPr>
        <w:t xml:space="preserve"> </w:t>
      </w:r>
      <w:r w:rsidRPr="00B6157E">
        <w:rPr>
          <w:rFonts w:eastAsia="Open Sans" w:cstheme="minorHAnsi"/>
          <w:i/>
          <w:color w:val="121317"/>
        </w:rPr>
        <w:t>pathway</w:t>
      </w:r>
      <w:r w:rsidR="003D640C" w:rsidRPr="00B6157E">
        <w:rPr>
          <w:rFonts w:eastAsia="Open Sans" w:cstheme="minorHAnsi"/>
          <w:i/>
          <w:color w:val="121317"/>
        </w:rPr>
        <w:t xml:space="preserve"> </w:t>
      </w:r>
      <w:r w:rsidRPr="00B6157E">
        <w:rPr>
          <w:rFonts w:eastAsia="Open Sans" w:cstheme="minorHAnsi"/>
          <w:i/>
          <w:color w:val="121317"/>
        </w:rPr>
        <w:t>to</w:t>
      </w:r>
      <w:r w:rsidR="003D640C" w:rsidRPr="00B6157E">
        <w:rPr>
          <w:rFonts w:eastAsia="Open Sans" w:cstheme="minorHAnsi"/>
          <w:i/>
          <w:color w:val="121317"/>
        </w:rPr>
        <w:t xml:space="preserve"> </w:t>
      </w:r>
      <w:r w:rsidRPr="00B6157E">
        <w:rPr>
          <w:rFonts w:eastAsia="Open Sans" w:cstheme="minorHAnsi"/>
          <w:i/>
          <w:color w:val="121317"/>
        </w:rPr>
        <w:t>an</w:t>
      </w:r>
      <w:r w:rsidR="003D640C" w:rsidRPr="00B6157E">
        <w:rPr>
          <w:rFonts w:eastAsia="Open Sans" w:cstheme="minorHAnsi"/>
          <w:i/>
          <w:color w:val="121317"/>
        </w:rPr>
        <w:t xml:space="preserve"> </w:t>
      </w:r>
      <w:r w:rsidRPr="00B6157E">
        <w:rPr>
          <w:rFonts w:eastAsia="Open Sans" w:cstheme="minorHAnsi"/>
          <w:i/>
          <w:color w:val="121317"/>
        </w:rPr>
        <w:t>Aotearoa</w:t>
      </w:r>
      <w:r w:rsidR="003D640C" w:rsidRPr="00B6157E">
        <w:rPr>
          <w:rFonts w:eastAsia="Open Sans" w:cstheme="minorHAnsi"/>
          <w:i/>
          <w:color w:val="121317"/>
        </w:rPr>
        <w:t xml:space="preserve"> </w:t>
      </w:r>
      <w:r w:rsidRPr="00B6157E">
        <w:rPr>
          <w:rFonts w:eastAsia="Open Sans" w:cstheme="minorHAnsi"/>
          <w:i/>
          <w:color w:val="121317"/>
        </w:rPr>
        <w:t>where</w:t>
      </w:r>
      <w:r w:rsidR="003D640C" w:rsidRPr="00B6157E">
        <w:rPr>
          <w:rFonts w:eastAsia="Open Sans" w:cstheme="minorHAnsi"/>
          <w:i/>
          <w:color w:val="121317"/>
        </w:rPr>
        <w:t xml:space="preserve"> </w:t>
      </w:r>
      <w:r w:rsidRPr="00B6157E">
        <w:rPr>
          <w:rFonts w:eastAsia="Open Sans" w:cstheme="minorHAnsi"/>
          <w:i/>
          <w:color w:val="121317"/>
        </w:rPr>
        <w:t>ethnic</w:t>
      </w:r>
      <w:r w:rsidR="003D640C" w:rsidRPr="00B6157E">
        <w:rPr>
          <w:rFonts w:eastAsia="Open Sans" w:cstheme="minorHAnsi"/>
          <w:i/>
          <w:color w:val="121317"/>
        </w:rPr>
        <w:t xml:space="preserve"> </w:t>
      </w:r>
      <w:r w:rsidRPr="00B6157E">
        <w:rPr>
          <w:rFonts w:eastAsia="Open Sans" w:cstheme="minorHAnsi"/>
          <w:i/>
          <w:color w:val="121317"/>
        </w:rPr>
        <w:t>communities</w:t>
      </w:r>
      <w:r w:rsidR="003D640C" w:rsidRPr="00B6157E">
        <w:rPr>
          <w:rFonts w:eastAsia="Open Sans" w:cstheme="minorHAnsi"/>
          <w:i/>
          <w:color w:val="121317"/>
        </w:rPr>
        <w:t xml:space="preserve"> </w:t>
      </w:r>
      <w:r w:rsidRPr="00B6157E">
        <w:rPr>
          <w:rFonts w:eastAsia="Open Sans" w:cstheme="minorHAnsi"/>
          <w:i/>
          <w:color w:val="121317"/>
        </w:rPr>
        <w:t>feel</w:t>
      </w:r>
      <w:r w:rsidR="003D640C" w:rsidRPr="00B6157E">
        <w:rPr>
          <w:rFonts w:eastAsia="Open Sans" w:cstheme="minorHAnsi"/>
          <w:i/>
          <w:color w:val="121317"/>
        </w:rPr>
        <w:t xml:space="preserve"> </w:t>
      </w:r>
      <w:r w:rsidRPr="00B6157E">
        <w:rPr>
          <w:rFonts w:eastAsia="Open Sans" w:cstheme="minorHAnsi"/>
          <w:i/>
          <w:color w:val="121317"/>
        </w:rPr>
        <w:t>at</w:t>
      </w:r>
      <w:r w:rsidR="003D640C" w:rsidRPr="00B6157E">
        <w:rPr>
          <w:rFonts w:eastAsia="Open Sans" w:cstheme="minorHAnsi"/>
          <w:i/>
          <w:color w:val="121317"/>
        </w:rPr>
        <w:t xml:space="preserve"> </w:t>
      </w:r>
      <w:r w:rsidRPr="00B6157E">
        <w:rPr>
          <w:rFonts w:eastAsia="Open Sans" w:cstheme="minorHAnsi"/>
          <w:i/>
          <w:color w:val="121317"/>
        </w:rPr>
        <w:t>home.</w:t>
      </w:r>
      <w:r w:rsidR="003D640C" w:rsidRPr="00B6157E">
        <w:rPr>
          <w:rFonts w:eastAsia="Open Sans" w:cstheme="minorHAnsi"/>
          <w:color w:val="121317"/>
        </w:rPr>
        <w:t xml:space="preserve"> </w:t>
      </w:r>
      <w:hyperlink r:id="rId108" w:history="1">
        <w:r w:rsidR="00A752B0" w:rsidRPr="00B6157E">
          <w:rPr>
            <w:rStyle w:val="Hyperlink"/>
            <w:rFonts w:eastAsia="Open Sans" w:cstheme="minorHAnsi"/>
          </w:rPr>
          <w:t>https://www.ethniccommunities.govt.nz/assets/AboutUs/2022-2025_MEC_Strategy.pdf</w:t>
        </w:r>
      </w:hyperlink>
      <w:r w:rsidR="003D640C" w:rsidRPr="00B6157E">
        <w:rPr>
          <w:rFonts w:eastAsia="Open Sans" w:cstheme="minorHAnsi"/>
          <w:color w:val="121317"/>
        </w:rPr>
        <w:t xml:space="preserve"> </w:t>
      </w:r>
    </w:p>
    <w:p w14:paraId="110F4225" w14:textId="6D9A05BE" w:rsidR="00A752B0" w:rsidRPr="00B6157E" w:rsidRDefault="00A752B0" w:rsidP="007B139B">
      <w:pPr>
        <w:pStyle w:val="Reference"/>
      </w:pPr>
      <w:r w:rsidRPr="005B33A1">
        <w:t>Ministry</w:t>
      </w:r>
      <w:r w:rsidRPr="00B6157E">
        <w:t xml:space="preserve"> for Ethnic Communities | Te Tari Mātāwaka. (2023, March 13). </w:t>
      </w:r>
      <w:r w:rsidRPr="00B6157E">
        <w:rPr>
          <w:i/>
          <w:iCs/>
        </w:rPr>
        <w:t>Ethnic communities in New Zealand</w:t>
      </w:r>
      <w:r w:rsidRPr="00B6157E">
        <w:t xml:space="preserve">. </w:t>
      </w:r>
      <w:hyperlink r:id="rId109" w:history="1">
        <w:r w:rsidR="00C0497B" w:rsidRPr="00B6157E">
          <w:rPr>
            <w:rStyle w:val="Hyperlink"/>
          </w:rPr>
          <w:t>https://www.ethniccommunities.govt.nz/resources/ethnic-communities-in-new-zealand/</w:t>
        </w:r>
      </w:hyperlink>
      <w:r w:rsidR="00C0497B" w:rsidRPr="00B6157E">
        <w:t xml:space="preserve"> </w:t>
      </w:r>
    </w:p>
    <w:p w14:paraId="5AE1987F" w14:textId="3A9CCA67" w:rsidR="00F01386" w:rsidRPr="00B56A04" w:rsidRDefault="00F01386" w:rsidP="00E00167">
      <w:pPr>
        <w:pStyle w:val="Reference"/>
      </w:pPr>
      <w:r w:rsidRPr="005B33A1">
        <w:rPr>
          <w:shd w:val="clear" w:color="auto" w:fill="FFFFFF"/>
        </w:rPr>
        <w:t>Ministry</w:t>
      </w:r>
      <w:r w:rsidR="003D640C" w:rsidRPr="005B33A1">
        <w:rPr>
          <w:shd w:val="clear" w:color="auto" w:fill="FFFFFF"/>
        </w:rPr>
        <w:t xml:space="preserve"> </w:t>
      </w:r>
      <w:r w:rsidRPr="005B33A1">
        <w:rPr>
          <w:shd w:val="clear" w:color="auto" w:fill="FFFFFF"/>
        </w:rPr>
        <w:t>for</w:t>
      </w:r>
      <w:r w:rsidR="003D640C" w:rsidRPr="005B33A1">
        <w:rPr>
          <w:shd w:val="clear" w:color="auto" w:fill="FFFFFF"/>
        </w:rPr>
        <w:t xml:space="preserve"> </w:t>
      </w:r>
      <w:r w:rsidRPr="005B33A1">
        <w:rPr>
          <w:shd w:val="clear" w:color="auto" w:fill="FFFFFF"/>
        </w:rPr>
        <w:t>Ethnic</w:t>
      </w:r>
      <w:r w:rsidR="003D640C" w:rsidRPr="005B33A1">
        <w:rPr>
          <w:shd w:val="clear" w:color="auto" w:fill="FFFFFF"/>
        </w:rPr>
        <w:t xml:space="preserve"> </w:t>
      </w:r>
      <w:r w:rsidRPr="005B33A1">
        <w:rPr>
          <w:shd w:val="clear" w:color="auto" w:fill="FFFFFF"/>
        </w:rPr>
        <w:t>Communities</w:t>
      </w:r>
      <w:r w:rsidR="003D640C" w:rsidRPr="00B6157E">
        <w:rPr>
          <w:shd w:val="clear" w:color="auto" w:fill="FFFFFF"/>
        </w:rPr>
        <w:t xml:space="preserve"> </w:t>
      </w:r>
      <w:r w:rsidR="002A5F08" w:rsidRPr="00B6157E">
        <w:rPr>
          <w:shd w:val="clear" w:color="auto" w:fill="FFFFFF"/>
        </w:rPr>
        <w:t xml:space="preserve">| </w:t>
      </w:r>
      <w:r w:rsidRPr="00B6157E">
        <w:rPr>
          <w:shd w:val="clear" w:color="auto" w:fill="FFFFFF"/>
        </w:rPr>
        <w:t>Te</w:t>
      </w:r>
      <w:r w:rsidR="003D640C" w:rsidRPr="00B6157E">
        <w:rPr>
          <w:shd w:val="clear" w:color="auto" w:fill="FFFFFF"/>
        </w:rPr>
        <w:t xml:space="preserve"> </w:t>
      </w:r>
      <w:r w:rsidRPr="00B6157E">
        <w:rPr>
          <w:shd w:val="clear" w:color="auto" w:fill="FFFFFF"/>
        </w:rPr>
        <w:t>Tari</w:t>
      </w:r>
      <w:r w:rsidR="003D640C" w:rsidRPr="00B6157E">
        <w:rPr>
          <w:shd w:val="clear" w:color="auto" w:fill="FFFFFF"/>
        </w:rPr>
        <w:t xml:space="preserve"> </w:t>
      </w:r>
      <w:r w:rsidRPr="00B6157E">
        <w:rPr>
          <w:shd w:val="clear" w:color="auto" w:fill="FFFFFF"/>
        </w:rPr>
        <w:t>Mātāwaka</w:t>
      </w:r>
      <w:r w:rsidR="002A5F08" w:rsidRPr="00B6157E">
        <w:rPr>
          <w:shd w:val="clear" w:color="auto" w:fill="FFFFFF"/>
        </w:rPr>
        <w:t>.</w:t>
      </w:r>
      <w:r w:rsidR="003D640C" w:rsidRPr="00B6157E">
        <w:rPr>
          <w:shd w:val="clear" w:color="auto" w:fill="FFFFFF"/>
        </w:rPr>
        <w:t xml:space="preserve"> </w:t>
      </w:r>
      <w:r w:rsidRPr="00B6157E">
        <w:rPr>
          <w:shd w:val="clear" w:color="auto" w:fill="FFFFFF"/>
        </w:rPr>
        <w:t>(202</w:t>
      </w:r>
      <w:r w:rsidR="002A5F08" w:rsidRPr="00B6157E">
        <w:rPr>
          <w:shd w:val="clear" w:color="auto" w:fill="FFFFFF"/>
        </w:rPr>
        <w:t>4</w:t>
      </w:r>
      <w:r w:rsidRPr="00B6157E">
        <w:rPr>
          <w:shd w:val="clear" w:color="auto" w:fill="FFFFFF"/>
        </w:rPr>
        <w:t>).</w:t>
      </w:r>
      <w:r w:rsidR="003D640C" w:rsidRPr="00B6157E">
        <w:rPr>
          <w:shd w:val="clear" w:color="auto" w:fill="FFFFFF"/>
        </w:rPr>
        <w:t xml:space="preserve"> </w:t>
      </w:r>
      <w:r w:rsidRPr="00B6157E">
        <w:rPr>
          <w:rFonts w:cstheme="minorHAnsi"/>
          <w:i/>
          <w:iCs/>
          <w:color w:val="161719"/>
          <w:shd w:val="clear" w:color="auto" w:fill="FFFFFF"/>
        </w:rPr>
        <w:t>Our</w:t>
      </w:r>
      <w:r w:rsidR="003D640C" w:rsidRPr="00B6157E">
        <w:rPr>
          <w:rFonts w:cstheme="minorHAnsi"/>
          <w:i/>
          <w:iCs/>
          <w:color w:val="161719"/>
          <w:shd w:val="clear" w:color="auto" w:fill="FFFFFF"/>
        </w:rPr>
        <w:t xml:space="preserve"> </w:t>
      </w:r>
      <w:r w:rsidR="002A5F08" w:rsidRPr="00B6157E">
        <w:rPr>
          <w:rFonts w:cstheme="minorHAnsi"/>
          <w:i/>
          <w:iCs/>
          <w:color w:val="161719"/>
          <w:shd w:val="clear" w:color="auto" w:fill="FFFFFF"/>
        </w:rPr>
        <w:t>c</w:t>
      </w:r>
      <w:r w:rsidRPr="00B6157E">
        <w:rPr>
          <w:rFonts w:cstheme="minorHAnsi"/>
          <w:i/>
          <w:iCs/>
          <w:color w:val="161719"/>
          <w:shd w:val="clear" w:color="auto" w:fill="FFFFFF"/>
        </w:rPr>
        <w:t>ommunities</w:t>
      </w:r>
      <w:r w:rsidRPr="00B6157E">
        <w:rPr>
          <w:rFonts w:cstheme="minorHAnsi"/>
          <w:color w:val="161719"/>
          <w:shd w:val="clear" w:color="auto" w:fill="FFFFFF"/>
        </w:rPr>
        <w:t>.</w:t>
      </w:r>
      <w:r w:rsidR="003D640C" w:rsidRPr="00B6157E">
        <w:rPr>
          <w:shd w:val="clear" w:color="auto" w:fill="FFFFFF"/>
        </w:rPr>
        <w:t xml:space="preserve"> </w:t>
      </w:r>
      <w:hyperlink r:id="rId110" w:history="1">
        <w:r w:rsidR="002A5F08" w:rsidRPr="00B6157E">
          <w:rPr>
            <w:rStyle w:val="Hyperlink"/>
            <w:shd w:val="clear" w:color="auto" w:fill="FFFFFF"/>
          </w:rPr>
          <w:t>https://www.ethniccommunities.govt.nz/our-communities/</w:t>
        </w:r>
      </w:hyperlink>
    </w:p>
    <w:p w14:paraId="03628807" w14:textId="3D636324" w:rsidR="00F01386" w:rsidRPr="00B6157E" w:rsidRDefault="00F01386" w:rsidP="00E00167">
      <w:pPr>
        <w:pStyle w:val="Reference"/>
      </w:pPr>
      <w:r w:rsidRPr="005B33A1">
        <w:t>Ministry</w:t>
      </w:r>
      <w:r w:rsidR="003D640C" w:rsidRPr="00B6157E">
        <w:t xml:space="preserve"> </w:t>
      </w:r>
      <w:r w:rsidRPr="00B6157E">
        <w:t>for</w:t>
      </w:r>
      <w:r w:rsidR="003D640C" w:rsidRPr="00B6157E">
        <w:t xml:space="preserve"> </w:t>
      </w:r>
      <w:r w:rsidRPr="00B6157E">
        <w:t>Pacific</w:t>
      </w:r>
      <w:r w:rsidR="003D640C" w:rsidRPr="00B6157E">
        <w:t xml:space="preserve"> </w:t>
      </w:r>
      <w:r w:rsidRPr="00B6157E">
        <w:t>Peoples.</w:t>
      </w:r>
      <w:r w:rsidR="003D640C" w:rsidRPr="00B6157E">
        <w:t xml:space="preserve"> </w:t>
      </w:r>
      <w:r w:rsidRPr="00B6157E">
        <w:t>(2016).</w:t>
      </w:r>
      <w:r w:rsidR="003D640C" w:rsidRPr="00B6157E">
        <w:t xml:space="preserve"> </w:t>
      </w:r>
      <w:r w:rsidRPr="00B6157E">
        <w:rPr>
          <w:i/>
          <w:iCs/>
        </w:rPr>
        <w:t>Contemporary</w:t>
      </w:r>
      <w:r w:rsidR="003D640C" w:rsidRPr="00B6157E">
        <w:rPr>
          <w:i/>
          <w:iCs/>
        </w:rPr>
        <w:t xml:space="preserve"> </w:t>
      </w:r>
      <w:r w:rsidRPr="00B6157E">
        <w:rPr>
          <w:i/>
          <w:iCs/>
        </w:rPr>
        <w:t>Pacific</w:t>
      </w:r>
      <w:r w:rsidR="003D640C" w:rsidRPr="00B6157E">
        <w:rPr>
          <w:i/>
          <w:iCs/>
        </w:rPr>
        <w:t xml:space="preserve"> </w:t>
      </w:r>
      <w:r w:rsidRPr="00B6157E">
        <w:rPr>
          <w:i/>
          <w:iCs/>
        </w:rPr>
        <w:t>status</w:t>
      </w:r>
      <w:r w:rsidR="003D640C" w:rsidRPr="00B6157E">
        <w:rPr>
          <w:i/>
          <w:iCs/>
        </w:rPr>
        <w:t xml:space="preserve"> </w:t>
      </w:r>
      <w:r w:rsidRPr="00B6157E">
        <w:rPr>
          <w:i/>
          <w:iCs/>
        </w:rPr>
        <w:t>report:</w:t>
      </w:r>
      <w:r w:rsidR="003D640C" w:rsidRPr="00B6157E">
        <w:rPr>
          <w:i/>
          <w:iCs/>
        </w:rPr>
        <w:t xml:space="preserve"> </w:t>
      </w:r>
      <w:r w:rsidRPr="00B6157E">
        <w:rPr>
          <w:i/>
          <w:iCs/>
        </w:rPr>
        <w:t>A</w:t>
      </w:r>
      <w:r w:rsidR="003D640C" w:rsidRPr="00B6157E">
        <w:rPr>
          <w:i/>
          <w:iCs/>
        </w:rPr>
        <w:t xml:space="preserve"> </w:t>
      </w:r>
      <w:r w:rsidRPr="00B6157E">
        <w:rPr>
          <w:i/>
          <w:iCs/>
        </w:rPr>
        <w:t>snapshot</w:t>
      </w:r>
      <w:r w:rsidR="003D640C" w:rsidRPr="00B6157E">
        <w:rPr>
          <w:i/>
          <w:iCs/>
        </w:rPr>
        <w:t xml:space="preserve"> </w:t>
      </w:r>
      <w:r w:rsidRPr="00B6157E">
        <w:rPr>
          <w:i/>
          <w:iCs/>
        </w:rPr>
        <w:t>of</w:t>
      </w:r>
      <w:r w:rsidR="003D640C" w:rsidRPr="00B6157E">
        <w:rPr>
          <w:i/>
          <w:iCs/>
        </w:rPr>
        <w:t xml:space="preserve"> </w:t>
      </w:r>
      <w:r w:rsidRPr="00B6157E">
        <w:rPr>
          <w:i/>
          <w:iCs/>
        </w:rPr>
        <w:t>Pacific</w:t>
      </w:r>
      <w:r w:rsidR="003D640C" w:rsidRPr="00B6157E">
        <w:rPr>
          <w:i/>
          <w:iCs/>
        </w:rPr>
        <w:t xml:space="preserve"> </w:t>
      </w:r>
      <w:r w:rsidR="00970CFF" w:rsidRPr="00B6157E">
        <w:rPr>
          <w:i/>
          <w:iCs/>
        </w:rPr>
        <w:t>p</w:t>
      </w:r>
      <w:r w:rsidRPr="00B6157E">
        <w:rPr>
          <w:i/>
          <w:iCs/>
        </w:rPr>
        <w:t>eoples</w:t>
      </w:r>
      <w:r w:rsidR="003D640C" w:rsidRPr="00B6157E">
        <w:rPr>
          <w:i/>
          <w:iCs/>
        </w:rPr>
        <w:t xml:space="preserve"> </w:t>
      </w:r>
      <w:r w:rsidRPr="00B6157E">
        <w:rPr>
          <w:i/>
          <w:iCs/>
        </w:rPr>
        <w:t>in</w:t>
      </w:r>
      <w:r w:rsidR="003D640C" w:rsidRPr="00B6157E">
        <w:rPr>
          <w:i/>
          <w:iCs/>
        </w:rPr>
        <w:t xml:space="preserve"> </w:t>
      </w:r>
      <w:r w:rsidRPr="00B6157E">
        <w:rPr>
          <w:i/>
          <w:iCs/>
        </w:rPr>
        <w:t>New</w:t>
      </w:r>
      <w:r w:rsidR="003D640C" w:rsidRPr="00B6157E">
        <w:rPr>
          <w:i/>
          <w:iCs/>
        </w:rPr>
        <w:t xml:space="preserve"> </w:t>
      </w:r>
      <w:r w:rsidRPr="00B6157E">
        <w:rPr>
          <w:i/>
          <w:iCs/>
        </w:rPr>
        <w:t>Zealand</w:t>
      </w:r>
      <w:r w:rsidRPr="00B6157E" w:rsidDel="00970CFF">
        <w:t>.</w:t>
      </w:r>
      <w:r w:rsidR="003D640C" w:rsidRPr="00B6157E">
        <w:t xml:space="preserve"> </w:t>
      </w:r>
      <w:hyperlink r:id="rId111" w:history="1">
        <w:r w:rsidR="00970CFF" w:rsidRPr="00B6157E">
          <w:rPr>
            <w:rStyle w:val="Hyperlink"/>
          </w:rPr>
          <w:t>https://mpia.govt.nz/assets/Reports/Contemporary-Pacific-Status-Report-2016.pdf</w:t>
        </w:r>
      </w:hyperlink>
      <w:r w:rsidR="00970CFF" w:rsidRPr="00B6157E">
        <w:t xml:space="preserve"> </w:t>
      </w:r>
    </w:p>
    <w:p w14:paraId="2BA80C27" w14:textId="04F3A1E6" w:rsidR="000C75E6" w:rsidRDefault="000C75E6" w:rsidP="007B139B">
      <w:pPr>
        <w:pStyle w:val="Reference"/>
      </w:pPr>
      <w:r w:rsidRPr="005B33A1">
        <w:t>Ministry</w:t>
      </w:r>
      <w:r w:rsidRPr="00B6157E">
        <w:t xml:space="preserve"> for</w:t>
      </w:r>
      <w:r>
        <w:t xml:space="preserve"> Pacific Peoples. (2020). </w:t>
      </w:r>
      <w:r w:rsidRPr="007B139B">
        <w:rPr>
          <w:i/>
          <w:iCs/>
        </w:rPr>
        <w:t>Pacific Aotearoa status report: A snapshot</w:t>
      </w:r>
      <w:r>
        <w:t xml:space="preserve">. </w:t>
      </w:r>
      <w:hyperlink r:id="rId112" w:history="1">
        <w:r w:rsidRPr="00790237">
          <w:rPr>
            <w:rStyle w:val="Hyperlink"/>
          </w:rPr>
          <w:t>https://www.mpp.govt.nz/assets/Reports/Pacific-Peoples-in-Aotearoa-Report.pdf</w:t>
        </w:r>
      </w:hyperlink>
      <w:r>
        <w:t xml:space="preserve"> </w:t>
      </w:r>
    </w:p>
    <w:p w14:paraId="59370F24" w14:textId="641F51A7" w:rsidR="00F01386" w:rsidRPr="00984D87" w:rsidRDefault="00F01386" w:rsidP="00E00167">
      <w:pPr>
        <w:pStyle w:val="Reference"/>
        <w:rPr>
          <w:rStyle w:val="Hyperlink"/>
          <w:rFonts w:ascii="Calibri" w:hAnsi="Calibri" w:cs="Calibri"/>
        </w:rPr>
      </w:pPr>
      <w:r w:rsidRPr="005B33A1">
        <w:t>Ministry</w:t>
      </w:r>
      <w:r w:rsidR="003D640C" w:rsidRPr="00B6157E">
        <w:t xml:space="preserve"> </w:t>
      </w:r>
      <w:r w:rsidRPr="00B6157E">
        <w:t>of</w:t>
      </w:r>
      <w:r w:rsidR="003D640C" w:rsidRPr="00B6157E">
        <w:t xml:space="preserve"> </w:t>
      </w:r>
      <w:r w:rsidRPr="00B6157E">
        <w:t>Justice</w:t>
      </w:r>
      <w:r w:rsidR="008E2BE2" w:rsidRPr="00B6157E">
        <w:t xml:space="preserve"> | Tāhū o te Ture</w:t>
      </w:r>
      <w:r w:rsidRPr="00B6157E">
        <w:t>.</w:t>
      </w:r>
      <w:r w:rsidR="003D640C" w:rsidRPr="00B6157E">
        <w:t xml:space="preserve"> </w:t>
      </w:r>
      <w:r w:rsidRPr="00B6157E">
        <w:t>(2022).</w:t>
      </w:r>
      <w:r w:rsidR="003D640C" w:rsidRPr="00B6157E">
        <w:t xml:space="preserve"> </w:t>
      </w:r>
      <w:r w:rsidRPr="00B6157E">
        <w:rPr>
          <w:i/>
          <w:iCs/>
        </w:rPr>
        <w:t>Departmental</w:t>
      </w:r>
      <w:r w:rsidR="003D640C" w:rsidRPr="00B6157E">
        <w:rPr>
          <w:i/>
          <w:iCs/>
        </w:rPr>
        <w:t xml:space="preserve"> </w:t>
      </w:r>
      <w:r w:rsidRPr="00B6157E">
        <w:rPr>
          <w:i/>
          <w:iCs/>
        </w:rPr>
        <w:t>report:</w:t>
      </w:r>
      <w:r w:rsidR="003D640C" w:rsidRPr="00B6157E">
        <w:rPr>
          <w:i/>
          <w:iCs/>
        </w:rPr>
        <w:t xml:space="preserve"> </w:t>
      </w:r>
      <w:r w:rsidRPr="00B6157E">
        <w:rPr>
          <w:i/>
          <w:iCs/>
        </w:rPr>
        <w:t>Conversion</w:t>
      </w:r>
      <w:r w:rsidR="003D640C" w:rsidRPr="00B6157E">
        <w:rPr>
          <w:i/>
          <w:iCs/>
        </w:rPr>
        <w:t xml:space="preserve"> </w:t>
      </w:r>
      <w:r w:rsidRPr="00B6157E">
        <w:rPr>
          <w:i/>
          <w:iCs/>
        </w:rPr>
        <w:t>Practices</w:t>
      </w:r>
      <w:r w:rsidR="003D640C" w:rsidRPr="00B6157E">
        <w:rPr>
          <w:i/>
          <w:iCs/>
        </w:rPr>
        <w:t xml:space="preserve"> </w:t>
      </w:r>
      <w:r w:rsidRPr="00B6157E">
        <w:rPr>
          <w:i/>
          <w:iCs/>
        </w:rPr>
        <w:t>Prohibition</w:t>
      </w:r>
      <w:r w:rsidR="003D640C">
        <w:rPr>
          <w:i/>
          <w:iCs/>
        </w:rPr>
        <w:t xml:space="preserve"> </w:t>
      </w:r>
      <w:r w:rsidRPr="00984D87">
        <w:rPr>
          <w:i/>
          <w:iCs/>
        </w:rPr>
        <w:t>Legislation</w:t>
      </w:r>
      <w:r w:rsidR="003D640C">
        <w:rPr>
          <w:i/>
          <w:iCs/>
        </w:rPr>
        <w:t xml:space="preserve"> </w:t>
      </w:r>
      <w:r w:rsidRPr="00984D87">
        <w:rPr>
          <w:i/>
          <w:iCs/>
        </w:rPr>
        <w:t>Bill</w:t>
      </w:r>
      <w:r w:rsidRPr="00984D87">
        <w:t>.</w:t>
      </w:r>
      <w:r w:rsidR="003D640C">
        <w:t xml:space="preserve"> </w:t>
      </w:r>
      <w:hyperlink r:id="rId113" w:history="1">
        <w:r w:rsidR="008E2BE2" w:rsidRPr="00B13BFC">
          <w:rPr>
            <w:rStyle w:val="Hyperlink"/>
          </w:rPr>
          <w:t>https://www.parliament.nz/resource/en-NZ/53SCJU_ADV_113397_JU226248/294776e87207d3db0411cb24645ed8072dc02366</w:t>
        </w:r>
      </w:hyperlink>
      <w:r w:rsidR="008E2BE2">
        <w:t xml:space="preserve"> </w:t>
      </w:r>
    </w:p>
    <w:p w14:paraId="0B9CBBAA" w14:textId="464600E1" w:rsidR="00F01386" w:rsidRPr="00B6157E" w:rsidRDefault="00F01386" w:rsidP="00E00167">
      <w:pPr>
        <w:pStyle w:val="Reference"/>
      </w:pPr>
      <w:r w:rsidRPr="00B6157E">
        <w:t>Mirfin-Veitch,</w:t>
      </w:r>
      <w:r w:rsidR="003D640C" w:rsidRPr="00B6157E">
        <w:t xml:space="preserve"> </w:t>
      </w:r>
      <w:r w:rsidRPr="00B6157E">
        <w:t>B.,</w:t>
      </w:r>
      <w:r w:rsidR="003D640C" w:rsidRPr="00B6157E">
        <w:t xml:space="preserve"> </w:t>
      </w:r>
      <w:r w:rsidRPr="00B6157E">
        <w:t>Tikao,</w:t>
      </w:r>
      <w:r w:rsidR="003D640C" w:rsidRPr="00B6157E">
        <w:t xml:space="preserve"> </w:t>
      </w:r>
      <w:r w:rsidRPr="00B6157E">
        <w:t>K.,</w:t>
      </w:r>
      <w:r w:rsidR="003D640C" w:rsidRPr="00B6157E">
        <w:t xml:space="preserve"> </w:t>
      </w:r>
      <w:r w:rsidRPr="00B6157E">
        <w:t>Asaka,</w:t>
      </w:r>
      <w:r w:rsidR="003D640C" w:rsidRPr="00B6157E">
        <w:t xml:space="preserve"> </w:t>
      </w:r>
      <w:r w:rsidRPr="00B6157E">
        <w:t>U.,</w:t>
      </w:r>
      <w:r w:rsidR="003D640C" w:rsidRPr="00B6157E">
        <w:t xml:space="preserve"> </w:t>
      </w:r>
      <w:r w:rsidRPr="00B6157E">
        <w:t>Tuisaula,</w:t>
      </w:r>
      <w:r w:rsidR="003D640C" w:rsidRPr="00B6157E">
        <w:t xml:space="preserve"> </w:t>
      </w:r>
      <w:r w:rsidRPr="00B6157E">
        <w:t>E.,</w:t>
      </w:r>
      <w:r w:rsidR="003D640C" w:rsidRPr="00B6157E">
        <w:t xml:space="preserve"> </w:t>
      </w:r>
      <w:r w:rsidRPr="00B6157E">
        <w:t>Stace,</w:t>
      </w:r>
      <w:r w:rsidR="003D640C" w:rsidRPr="00B6157E">
        <w:t xml:space="preserve"> </w:t>
      </w:r>
      <w:r w:rsidRPr="00B6157E">
        <w:t>H.,</w:t>
      </w:r>
      <w:r w:rsidR="003D640C" w:rsidRPr="00B6157E">
        <w:t xml:space="preserve"> </w:t>
      </w:r>
      <w:r w:rsidRPr="00B6157E">
        <w:t>Watene,</w:t>
      </w:r>
      <w:r w:rsidR="003D640C" w:rsidRPr="00B6157E">
        <w:t xml:space="preserve"> </w:t>
      </w:r>
      <w:r w:rsidRPr="00B6157E">
        <w:t>F.</w:t>
      </w:r>
      <w:r w:rsidR="003D640C" w:rsidRPr="00B6157E">
        <w:t xml:space="preserve"> </w:t>
      </w:r>
      <w:r w:rsidRPr="00B6157E">
        <w:t>R.,</w:t>
      </w:r>
      <w:r w:rsidR="003D640C" w:rsidRPr="00B6157E">
        <w:t xml:space="preserve"> </w:t>
      </w:r>
      <w:r w:rsidRPr="00B6157E">
        <w:t>&amp;</w:t>
      </w:r>
      <w:r w:rsidR="003D640C" w:rsidRPr="00B6157E">
        <w:t xml:space="preserve"> </w:t>
      </w:r>
      <w:r w:rsidRPr="00B6157E">
        <w:t>Frawley,</w:t>
      </w:r>
      <w:r w:rsidR="003D640C" w:rsidRPr="00B6157E">
        <w:t xml:space="preserve"> </w:t>
      </w:r>
      <w:r w:rsidRPr="00B6157E">
        <w:t>P.</w:t>
      </w:r>
      <w:r w:rsidR="003D640C" w:rsidRPr="00B6157E">
        <w:t xml:space="preserve"> </w:t>
      </w:r>
      <w:r w:rsidRPr="00B6157E">
        <w:t>(2022).</w:t>
      </w:r>
      <w:r w:rsidR="003D640C" w:rsidRPr="00B6157E">
        <w:t xml:space="preserve"> </w:t>
      </w:r>
      <w:r w:rsidRPr="005B33A1">
        <w:rPr>
          <w:i/>
          <w:iCs/>
        </w:rPr>
        <w:t>Tell</w:t>
      </w:r>
      <w:r w:rsidR="003D640C" w:rsidRPr="005B33A1">
        <w:rPr>
          <w:i/>
          <w:iCs/>
        </w:rPr>
        <w:t xml:space="preserve"> </w:t>
      </w:r>
      <w:r w:rsidR="00200D83" w:rsidRPr="00B6157E">
        <w:rPr>
          <w:i/>
          <w:iCs/>
        </w:rPr>
        <w:t>m</w:t>
      </w:r>
      <w:r w:rsidRPr="005B33A1">
        <w:rPr>
          <w:i/>
          <w:iCs/>
        </w:rPr>
        <w:t>e</w:t>
      </w:r>
      <w:r w:rsidR="003D640C" w:rsidRPr="005B33A1">
        <w:rPr>
          <w:i/>
          <w:iCs/>
        </w:rPr>
        <w:t xml:space="preserve"> </w:t>
      </w:r>
      <w:r w:rsidR="00200D83" w:rsidRPr="00B6157E">
        <w:rPr>
          <w:i/>
          <w:iCs/>
        </w:rPr>
        <w:t>a</w:t>
      </w:r>
      <w:r w:rsidRPr="005B33A1">
        <w:rPr>
          <w:i/>
          <w:iCs/>
        </w:rPr>
        <w:t>bout</w:t>
      </w:r>
      <w:r w:rsidR="003D640C" w:rsidRPr="005B33A1">
        <w:rPr>
          <w:i/>
          <w:iCs/>
        </w:rPr>
        <w:t xml:space="preserve"> </w:t>
      </w:r>
      <w:r w:rsidR="00200D83" w:rsidRPr="00B6157E">
        <w:rPr>
          <w:i/>
          <w:iCs/>
        </w:rPr>
        <w:t>y</w:t>
      </w:r>
      <w:r w:rsidRPr="005B33A1">
        <w:rPr>
          <w:i/>
          <w:iCs/>
        </w:rPr>
        <w:t>ou:</w:t>
      </w:r>
      <w:r w:rsidR="003D640C" w:rsidRPr="005B33A1">
        <w:rPr>
          <w:i/>
          <w:iCs/>
        </w:rPr>
        <w:t xml:space="preserve"> </w:t>
      </w:r>
      <w:r w:rsidRPr="005B33A1">
        <w:rPr>
          <w:i/>
          <w:iCs/>
        </w:rPr>
        <w:t>A</w:t>
      </w:r>
      <w:r w:rsidR="003D640C" w:rsidRPr="005B33A1">
        <w:rPr>
          <w:i/>
          <w:iCs/>
        </w:rPr>
        <w:t xml:space="preserve"> </w:t>
      </w:r>
      <w:r w:rsidRPr="005B33A1">
        <w:rPr>
          <w:i/>
          <w:iCs/>
        </w:rPr>
        <w:t>life</w:t>
      </w:r>
      <w:r w:rsidR="003D640C" w:rsidRPr="005B33A1">
        <w:rPr>
          <w:i/>
          <w:iCs/>
        </w:rPr>
        <w:t xml:space="preserve"> </w:t>
      </w:r>
      <w:r w:rsidRPr="005B33A1">
        <w:rPr>
          <w:i/>
          <w:iCs/>
        </w:rPr>
        <w:t>story</w:t>
      </w:r>
      <w:r w:rsidR="003D640C" w:rsidRPr="005B33A1">
        <w:rPr>
          <w:i/>
          <w:iCs/>
        </w:rPr>
        <w:t xml:space="preserve"> </w:t>
      </w:r>
      <w:r w:rsidRPr="005B33A1">
        <w:rPr>
          <w:i/>
          <w:iCs/>
        </w:rPr>
        <w:t>approach</w:t>
      </w:r>
      <w:r w:rsidR="003D640C" w:rsidRPr="005B33A1">
        <w:rPr>
          <w:i/>
          <w:iCs/>
        </w:rPr>
        <w:t xml:space="preserve"> </w:t>
      </w:r>
      <w:r w:rsidRPr="005B33A1">
        <w:rPr>
          <w:i/>
          <w:iCs/>
        </w:rPr>
        <w:t>to</w:t>
      </w:r>
      <w:r w:rsidR="003D640C" w:rsidRPr="005B33A1">
        <w:rPr>
          <w:i/>
          <w:iCs/>
        </w:rPr>
        <w:t xml:space="preserve"> </w:t>
      </w:r>
      <w:r w:rsidRPr="005B33A1">
        <w:rPr>
          <w:i/>
          <w:iCs/>
        </w:rPr>
        <w:t>understanding</w:t>
      </w:r>
      <w:r w:rsidR="003D640C" w:rsidRPr="005B33A1">
        <w:rPr>
          <w:i/>
          <w:iCs/>
        </w:rPr>
        <w:t xml:space="preserve"> </w:t>
      </w:r>
      <w:r w:rsidRPr="005B33A1">
        <w:rPr>
          <w:i/>
          <w:iCs/>
        </w:rPr>
        <w:t>disabled</w:t>
      </w:r>
      <w:r w:rsidR="003D640C" w:rsidRPr="005B33A1">
        <w:rPr>
          <w:i/>
          <w:iCs/>
        </w:rPr>
        <w:t xml:space="preserve"> </w:t>
      </w:r>
      <w:r w:rsidRPr="005B33A1">
        <w:rPr>
          <w:i/>
          <w:iCs/>
        </w:rPr>
        <w:t>people’s</w:t>
      </w:r>
      <w:r w:rsidR="003D640C" w:rsidRPr="005B33A1">
        <w:rPr>
          <w:i/>
          <w:iCs/>
        </w:rPr>
        <w:t xml:space="preserve"> </w:t>
      </w:r>
      <w:r w:rsidRPr="005B33A1">
        <w:rPr>
          <w:i/>
          <w:iCs/>
        </w:rPr>
        <w:t>experiences</w:t>
      </w:r>
      <w:r w:rsidR="003D640C" w:rsidRPr="005B33A1">
        <w:rPr>
          <w:i/>
          <w:iCs/>
        </w:rPr>
        <w:t xml:space="preserve"> </w:t>
      </w:r>
      <w:r w:rsidRPr="005B33A1">
        <w:rPr>
          <w:i/>
          <w:iCs/>
        </w:rPr>
        <w:t>in</w:t>
      </w:r>
      <w:r w:rsidR="003D640C" w:rsidRPr="005B33A1">
        <w:rPr>
          <w:i/>
          <w:iCs/>
        </w:rPr>
        <w:t xml:space="preserve"> </w:t>
      </w:r>
      <w:r w:rsidRPr="005B33A1">
        <w:rPr>
          <w:i/>
          <w:iCs/>
        </w:rPr>
        <w:t>care</w:t>
      </w:r>
      <w:r w:rsidR="003D640C" w:rsidRPr="005B33A1">
        <w:rPr>
          <w:i/>
          <w:iCs/>
        </w:rPr>
        <w:t xml:space="preserve"> </w:t>
      </w:r>
      <w:r w:rsidRPr="005B33A1">
        <w:rPr>
          <w:i/>
          <w:iCs/>
        </w:rPr>
        <w:t>(1950-1999)</w:t>
      </w:r>
      <w:r w:rsidRPr="00B6157E">
        <w:t>.</w:t>
      </w:r>
      <w:r w:rsidR="003D640C" w:rsidRPr="00B6157E">
        <w:t xml:space="preserve"> </w:t>
      </w:r>
      <w:r w:rsidRPr="00B6157E">
        <w:t>Donald</w:t>
      </w:r>
      <w:r w:rsidR="003D640C" w:rsidRPr="00B6157E">
        <w:t xml:space="preserve"> </w:t>
      </w:r>
      <w:r w:rsidRPr="00B6157E">
        <w:t>Beasley</w:t>
      </w:r>
      <w:r w:rsidR="003D640C" w:rsidRPr="00B6157E">
        <w:t xml:space="preserve"> </w:t>
      </w:r>
      <w:r w:rsidRPr="00B6157E">
        <w:t>Institute.</w:t>
      </w:r>
      <w:r w:rsidR="00200D83" w:rsidRPr="00B6157E">
        <w:t xml:space="preserve"> </w:t>
      </w:r>
      <w:hyperlink r:id="rId114" w:history="1">
        <w:r w:rsidR="00200D83" w:rsidRPr="00B6157E">
          <w:rPr>
            <w:rStyle w:val="Hyperlink"/>
          </w:rPr>
          <w:t>https://www.donaldbeasley.org.nz/assets/publications/abuse/Tell-Me-About-You-Final.pdf</w:t>
        </w:r>
      </w:hyperlink>
      <w:r w:rsidR="00200D83" w:rsidRPr="00B6157E">
        <w:t xml:space="preserve"> </w:t>
      </w:r>
    </w:p>
    <w:p w14:paraId="6D92BBD3" w14:textId="069C80F2" w:rsidR="00F01386" w:rsidRDefault="00F01386" w:rsidP="00E00167">
      <w:pPr>
        <w:pStyle w:val="Reference"/>
      </w:pPr>
      <w:r w:rsidRPr="005B33A1">
        <w:t>Murray</w:t>
      </w:r>
      <w:r w:rsidRPr="00B6157E">
        <w:t>,</w:t>
      </w:r>
      <w:r w:rsidR="003D640C" w:rsidRPr="00B6157E">
        <w:t xml:space="preserve"> </w:t>
      </w:r>
      <w:r w:rsidRPr="00B6157E">
        <w:t>S.</w:t>
      </w:r>
      <w:r w:rsidR="003D640C" w:rsidRPr="00B6157E">
        <w:t xml:space="preserve"> </w:t>
      </w:r>
      <w:r w:rsidRPr="00B6157E">
        <w:t>O.</w:t>
      </w:r>
      <w:r w:rsidR="003D640C" w:rsidRPr="00B6157E">
        <w:t xml:space="preserve"> </w:t>
      </w:r>
      <w:r w:rsidRPr="00B6157E">
        <w:t>(2002).</w:t>
      </w:r>
      <w:r w:rsidR="003D640C" w:rsidRPr="00B6157E">
        <w:t xml:space="preserve"> </w:t>
      </w:r>
      <w:r w:rsidRPr="00B6157E">
        <w:rPr>
          <w:i/>
          <w:iCs/>
        </w:rPr>
        <w:t>Pacific</w:t>
      </w:r>
      <w:r w:rsidR="003D640C" w:rsidRPr="00B6157E">
        <w:rPr>
          <w:i/>
          <w:iCs/>
        </w:rPr>
        <w:t xml:space="preserve"> </w:t>
      </w:r>
      <w:r w:rsidR="004843E9" w:rsidRPr="00B6157E">
        <w:rPr>
          <w:i/>
          <w:iCs/>
        </w:rPr>
        <w:t>h</w:t>
      </w:r>
      <w:r w:rsidRPr="00B6157E">
        <w:rPr>
          <w:i/>
          <w:iCs/>
        </w:rPr>
        <w:t>omosexualities.</w:t>
      </w:r>
      <w:r w:rsidR="003D640C" w:rsidRPr="00B6157E">
        <w:t xml:space="preserve"> </w:t>
      </w:r>
      <w:r w:rsidRPr="00B6157E">
        <w:t>Writers</w:t>
      </w:r>
      <w:r w:rsidR="003D640C" w:rsidRPr="00B6157E">
        <w:t xml:space="preserve"> </w:t>
      </w:r>
      <w:r w:rsidRPr="00B6157E">
        <w:t>Club</w:t>
      </w:r>
      <w:r w:rsidR="003D640C" w:rsidRPr="00B6157E">
        <w:t xml:space="preserve"> </w:t>
      </w:r>
      <w:r w:rsidRPr="00B6157E">
        <w:t>Press.</w:t>
      </w:r>
      <w:r w:rsidR="003D640C">
        <w:t xml:space="preserve"> </w:t>
      </w:r>
      <w:hyperlink r:id="rId115" w:history="1">
        <w:r w:rsidR="004843E9" w:rsidRPr="00790237">
          <w:rPr>
            <w:rStyle w:val="Hyperlink"/>
          </w:rPr>
          <w:t>https://www.google.co.nz/books/edition/Pacific_Homosexualities/qafeQTWIWmcC?hl=en&amp;gbpv=1&amp;dq=isbn:0595227856&amp;printsec=frontcover</w:t>
        </w:r>
      </w:hyperlink>
      <w:r w:rsidR="004843E9">
        <w:t xml:space="preserve"> </w:t>
      </w:r>
      <w:r w:rsidR="003D640C">
        <w:t xml:space="preserve"> </w:t>
      </w:r>
    </w:p>
    <w:p w14:paraId="0F973B0C" w14:textId="3B8E7E37" w:rsidR="00EB33F5" w:rsidRDefault="00F01386" w:rsidP="00E00167">
      <w:pPr>
        <w:pStyle w:val="Reference"/>
      </w:pPr>
      <w:r w:rsidRPr="00B6157E">
        <w:t>Nakhid,</w:t>
      </w:r>
      <w:r w:rsidR="003D640C" w:rsidRPr="00B6157E">
        <w:t xml:space="preserve"> </w:t>
      </w:r>
      <w:r w:rsidRPr="00B6157E">
        <w:t>C.,</w:t>
      </w:r>
      <w:r w:rsidR="003D640C" w:rsidRPr="00B6157E">
        <w:t xml:space="preserve"> </w:t>
      </w:r>
      <w:r w:rsidRPr="00B6157E">
        <w:t>Fu,</w:t>
      </w:r>
      <w:r w:rsidR="003D640C" w:rsidRPr="00B6157E">
        <w:t xml:space="preserve"> </w:t>
      </w:r>
      <w:r w:rsidRPr="00B6157E">
        <w:t>M.</w:t>
      </w:r>
      <w:r w:rsidR="00231C0A" w:rsidRPr="00B6157E">
        <w:t>,</w:t>
      </w:r>
      <w:r w:rsidR="003D640C" w:rsidRPr="00B6157E">
        <w:t xml:space="preserve"> </w:t>
      </w:r>
      <w:r w:rsidRPr="00B6157E">
        <w:t>&amp;</w:t>
      </w:r>
      <w:r w:rsidR="003D640C" w:rsidRPr="00B6157E">
        <w:t xml:space="preserve"> </w:t>
      </w:r>
      <w:r w:rsidRPr="00B6157E">
        <w:t>Yachinta,</w:t>
      </w:r>
      <w:r w:rsidR="003D640C" w:rsidRPr="00B6157E">
        <w:t xml:space="preserve"> </w:t>
      </w:r>
      <w:r w:rsidRPr="00B6157E">
        <w:t>C.</w:t>
      </w:r>
      <w:r w:rsidR="003D640C" w:rsidRPr="00B6157E">
        <w:t xml:space="preserve"> </w:t>
      </w:r>
      <w:r w:rsidRPr="00B6157E">
        <w:t>(2020).</w:t>
      </w:r>
      <w:r w:rsidR="003D640C" w:rsidRPr="00B6157E">
        <w:t xml:space="preserve"> </w:t>
      </w:r>
      <w:r w:rsidRPr="005B33A1">
        <w:rPr>
          <w:i/>
          <w:iCs/>
        </w:rPr>
        <w:t>Letting</w:t>
      </w:r>
      <w:r w:rsidR="003D640C" w:rsidRPr="005B33A1">
        <w:rPr>
          <w:i/>
          <w:iCs/>
        </w:rPr>
        <w:t xml:space="preserve"> </w:t>
      </w:r>
      <w:r w:rsidRPr="005B33A1">
        <w:rPr>
          <w:i/>
          <w:iCs/>
        </w:rPr>
        <w:t>in</w:t>
      </w:r>
      <w:r w:rsidR="003D640C" w:rsidRPr="005B33A1">
        <w:rPr>
          <w:i/>
          <w:iCs/>
        </w:rPr>
        <w:t xml:space="preserve"> </w:t>
      </w:r>
      <w:r w:rsidRPr="005B33A1">
        <w:rPr>
          <w:i/>
          <w:iCs/>
        </w:rPr>
        <w:t>–</w:t>
      </w:r>
      <w:r w:rsidR="003D640C" w:rsidRPr="005B33A1">
        <w:rPr>
          <w:i/>
          <w:iCs/>
        </w:rPr>
        <w:t xml:space="preserve"> </w:t>
      </w:r>
      <w:r w:rsidRPr="005B33A1">
        <w:rPr>
          <w:i/>
          <w:iCs/>
        </w:rPr>
        <w:t>closing</w:t>
      </w:r>
      <w:r w:rsidR="003D640C" w:rsidRPr="005B33A1">
        <w:rPr>
          <w:i/>
          <w:iCs/>
        </w:rPr>
        <w:t xml:space="preserve"> </w:t>
      </w:r>
      <w:r w:rsidRPr="005B33A1">
        <w:rPr>
          <w:i/>
          <w:iCs/>
        </w:rPr>
        <w:t>out:</w:t>
      </w:r>
      <w:r w:rsidR="003D640C" w:rsidRPr="005B33A1">
        <w:rPr>
          <w:i/>
          <w:iCs/>
        </w:rPr>
        <w:t xml:space="preserve"> </w:t>
      </w:r>
      <w:r w:rsidR="00EB33F5" w:rsidRPr="005B33A1">
        <w:rPr>
          <w:i/>
          <w:iCs/>
        </w:rPr>
        <w:t>A research report on the p</w:t>
      </w:r>
      <w:r w:rsidRPr="005B33A1">
        <w:rPr>
          <w:i/>
          <w:iCs/>
        </w:rPr>
        <w:t>erspectives</w:t>
      </w:r>
      <w:r w:rsidR="003D640C" w:rsidRPr="005B33A1">
        <w:rPr>
          <w:i/>
          <w:iCs/>
        </w:rPr>
        <w:t xml:space="preserve"> </w:t>
      </w:r>
      <w:r w:rsidRPr="005B33A1">
        <w:rPr>
          <w:i/>
          <w:iCs/>
        </w:rPr>
        <w:t>and</w:t>
      </w:r>
      <w:r w:rsidR="003D640C" w:rsidRPr="005B33A1">
        <w:rPr>
          <w:i/>
          <w:iCs/>
        </w:rPr>
        <w:t xml:space="preserve"> </w:t>
      </w:r>
      <w:r w:rsidRPr="005B33A1">
        <w:rPr>
          <w:i/>
          <w:iCs/>
        </w:rPr>
        <w:t>experiences</w:t>
      </w:r>
      <w:r w:rsidR="003D640C" w:rsidRPr="005B33A1">
        <w:rPr>
          <w:i/>
          <w:iCs/>
        </w:rPr>
        <w:t xml:space="preserve"> </w:t>
      </w:r>
      <w:r w:rsidRPr="005B33A1">
        <w:rPr>
          <w:i/>
          <w:iCs/>
        </w:rPr>
        <w:t>of</w:t>
      </w:r>
      <w:r w:rsidR="003D640C" w:rsidRPr="005B33A1">
        <w:rPr>
          <w:i/>
          <w:iCs/>
        </w:rPr>
        <w:t xml:space="preserve"> </w:t>
      </w:r>
      <w:r w:rsidRPr="005B33A1">
        <w:rPr>
          <w:i/>
          <w:iCs/>
        </w:rPr>
        <w:t>‘coming</w:t>
      </w:r>
      <w:r w:rsidR="003D640C" w:rsidRPr="005B33A1">
        <w:rPr>
          <w:i/>
          <w:iCs/>
        </w:rPr>
        <w:t xml:space="preserve"> </w:t>
      </w:r>
      <w:r w:rsidRPr="005B33A1">
        <w:rPr>
          <w:i/>
          <w:iCs/>
        </w:rPr>
        <w:t>out’</w:t>
      </w:r>
      <w:r w:rsidR="003D640C" w:rsidRPr="005B33A1">
        <w:rPr>
          <w:i/>
          <w:iCs/>
        </w:rPr>
        <w:t xml:space="preserve"> </w:t>
      </w:r>
      <w:r w:rsidRPr="005B33A1">
        <w:rPr>
          <w:i/>
          <w:iCs/>
        </w:rPr>
        <w:t>for</w:t>
      </w:r>
      <w:r w:rsidR="003D640C" w:rsidRPr="005B33A1">
        <w:rPr>
          <w:i/>
          <w:iCs/>
        </w:rPr>
        <w:t xml:space="preserve"> </w:t>
      </w:r>
      <w:r w:rsidRPr="005B33A1">
        <w:rPr>
          <w:i/>
          <w:iCs/>
        </w:rPr>
        <w:t>queer/rainbow</w:t>
      </w:r>
      <w:r w:rsidR="003D640C" w:rsidRPr="005B33A1">
        <w:rPr>
          <w:i/>
          <w:iCs/>
        </w:rPr>
        <w:t xml:space="preserve"> </w:t>
      </w:r>
      <w:r w:rsidRPr="005B33A1">
        <w:rPr>
          <w:i/>
          <w:iCs/>
        </w:rPr>
        <w:t>ethnic</w:t>
      </w:r>
      <w:r w:rsidR="003D640C" w:rsidRPr="005B33A1">
        <w:rPr>
          <w:i/>
          <w:iCs/>
        </w:rPr>
        <w:t xml:space="preserve"> </w:t>
      </w:r>
      <w:r w:rsidRPr="005B33A1">
        <w:rPr>
          <w:i/>
          <w:iCs/>
        </w:rPr>
        <w:t>young</w:t>
      </w:r>
      <w:r w:rsidR="003D640C" w:rsidRPr="005B33A1">
        <w:rPr>
          <w:i/>
          <w:iCs/>
        </w:rPr>
        <w:t xml:space="preserve"> </w:t>
      </w:r>
      <w:r w:rsidRPr="005B33A1">
        <w:rPr>
          <w:i/>
          <w:iCs/>
        </w:rPr>
        <w:t>people</w:t>
      </w:r>
      <w:r w:rsidR="003D640C" w:rsidRPr="005B33A1">
        <w:rPr>
          <w:i/>
          <w:iCs/>
        </w:rPr>
        <w:t xml:space="preserve"> </w:t>
      </w:r>
      <w:r w:rsidRPr="005B33A1">
        <w:rPr>
          <w:i/>
          <w:iCs/>
        </w:rPr>
        <w:t>in</w:t>
      </w:r>
      <w:r w:rsidR="003D640C" w:rsidRPr="005B33A1">
        <w:rPr>
          <w:i/>
          <w:iCs/>
        </w:rPr>
        <w:t xml:space="preserve"> </w:t>
      </w:r>
      <w:r w:rsidRPr="005B33A1">
        <w:rPr>
          <w:i/>
          <w:iCs/>
        </w:rPr>
        <w:t>Aotearoa</w:t>
      </w:r>
      <w:r w:rsidR="003D640C" w:rsidRPr="005B33A1">
        <w:rPr>
          <w:i/>
          <w:iCs/>
        </w:rPr>
        <w:t xml:space="preserve"> </w:t>
      </w:r>
      <w:r w:rsidRPr="005B33A1">
        <w:rPr>
          <w:i/>
          <w:iCs/>
        </w:rPr>
        <w:t>New</w:t>
      </w:r>
      <w:r w:rsidR="003D640C" w:rsidRPr="005B33A1">
        <w:rPr>
          <w:i/>
          <w:iCs/>
        </w:rPr>
        <w:t xml:space="preserve"> </w:t>
      </w:r>
      <w:r w:rsidRPr="005B33A1">
        <w:rPr>
          <w:i/>
          <w:iCs/>
        </w:rPr>
        <w:t>Zealand</w:t>
      </w:r>
      <w:r w:rsidRPr="00FA366A">
        <w:t>.</w:t>
      </w:r>
      <w:r w:rsidR="003D640C">
        <w:t xml:space="preserve"> </w:t>
      </w:r>
      <w:hyperlink r:id="rId116" w:history="1">
        <w:r w:rsidR="00EB33F5" w:rsidRPr="008C4900">
          <w:rPr>
            <w:rStyle w:val="Hyperlink"/>
          </w:rPr>
          <w:t>https://rywebsite21.s3-ap-southeast-2.amazonaws.com/Nakhid+Fu+Yachinta+Letting+in+Closing+out+report+1.pdf</w:t>
        </w:r>
      </w:hyperlink>
    </w:p>
    <w:p w14:paraId="52A794B8" w14:textId="6BB6DB87" w:rsidR="00F01386" w:rsidRPr="00B6157E" w:rsidRDefault="00F01386" w:rsidP="00E00167">
      <w:pPr>
        <w:pStyle w:val="Reference"/>
        <w:rPr>
          <w:rStyle w:val="Hyperlink"/>
          <w:rFonts w:ascii="Calibri" w:hAnsi="Calibri" w:cs="Calibri"/>
        </w:rPr>
      </w:pPr>
      <w:r w:rsidRPr="005B33A1">
        <w:lastRenderedPageBreak/>
        <w:t>New</w:t>
      </w:r>
      <w:r w:rsidR="003D640C" w:rsidRPr="00B6157E">
        <w:t xml:space="preserve"> </w:t>
      </w:r>
      <w:r w:rsidRPr="00B6157E">
        <w:t>Zealand</w:t>
      </w:r>
      <w:r w:rsidR="003D640C" w:rsidRPr="00B6157E">
        <w:t xml:space="preserve"> </w:t>
      </w:r>
      <w:r w:rsidRPr="00B6157E">
        <w:t>Association</w:t>
      </w:r>
      <w:r w:rsidR="003D640C" w:rsidRPr="00B6157E">
        <w:t xml:space="preserve"> </w:t>
      </w:r>
      <w:r w:rsidRPr="00B6157E">
        <w:t>of</w:t>
      </w:r>
      <w:r w:rsidR="003D640C" w:rsidRPr="00B6157E">
        <w:t xml:space="preserve"> </w:t>
      </w:r>
      <w:r w:rsidRPr="00B6157E">
        <w:t>Counsellors.</w:t>
      </w:r>
      <w:r w:rsidR="003D640C" w:rsidRPr="00B6157E">
        <w:t xml:space="preserve"> </w:t>
      </w:r>
      <w:r w:rsidRPr="00B6157E">
        <w:t>(2020).</w:t>
      </w:r>
      <w:r w:rsidR="003D640C" w:rsidRPr="00B6157E">
        <w:t xml:space="preserve"> </w:t>
      </w:r>
      <w:r w:rsidRPr="00B6157E">
        <w:rPr>
          <w:i/>
          <w:iCs/>
        </w:rPr>
        <w:t>NZCCA’s</w:t>
      </w:r>
      <w:r w:rsidR="003D640C" w:rsidRPr="00B6157E">
        <w:rPr>
          <w:i/>
          <w:iCs/>
        </w:rPr>
        <w:t xml:space="preserve"> </w:t>
      </w:r>
      <w:r w:rsidR="00D74D83" w:rsidRPr="00B6157E">
        <w:rPr>
          <w:i/>
          <w:iCs/>
        </w:rPr>
        <w:t>s</w:t>
      </w:r>
      <w:r w:rsidRPr="00B6157E">
        <w:rPr>
          <w:i/>
          <w:iCs/>
        </w:rPr>
        <w:t>tance</w:t>
      </w:r>
      <w:r w:rsidR="003D640C" w:rsidRPr="00B6157E">
        <w:rPr>
          <w:i/>
          <w:iCs/>
        </w:rPr>
        <w:t xml:space="preserve"> </w:t>
      </w:r>
      <w:r w:rsidRPr="00B6157E">
        <w:rPr>
          <w:i/>
          <w:iCs/>
        </w:rPr>
        <w:t>on</w:t>
      </w:r>
      <w:r w:rsidR="003D640C" w:rsidRPr="00B6157E">
        <w:rPr>
          <w:i/>
          <w:iCs/>
        </w:rPr>
        <w:t xml:space="preserve"> </w:t>
      </w:r>
      <w:r w:rsidR="00D74D83" w:rsidRPr="00B6157E">
        <w:rPr>
          <w:i/>
          <w:iCs/>
        </w:rPr>
        <w:t>c</w:t>
      </w:r>
      <w:r w:rsidRPr="00B6157E">
        <w:rPr>
          <w:i/>
          <w:iCs/>
        </w:rPr>
        <w:t>onversion</w:t>
      </w:r>
      <w:r w:rsidR="003D640C" w:rsidRPr="00B6157E">
        <w:rPr>
          <w:i/>
          <w:iCs/>
        </w:rPr>
        <w:t xml:space="preserve"> </w:t>
      </w:r>
      <w:r w:rsidR="00D74D83" w:rsidRPr="00B6157E">
        <w:rPr>
          <w:i/>
          <w:iCs/>
        </w:rPr>
        <w:t>p</w:t>
      </w:r>
      <w:r w:rsidRPr="00B6157E">
        <w:rPr>
          <w:i/>
          <w:iCs/>
        </w:rPr>
        <w:t>ractices</w:t>
      </w:r>
      <w:r w:rsidRPr="00B6157E">
        <w:t>.</w:t>
      </w:r>
      <w:r w:rsidR="003D640C" w:rsidRPr="00B6157E">
        <w:t xml:space="preserve"> </w:t>
      </w:r>
      <w:hyperlink r:id="rId117" w:history="1">
        <w:r w:rsidR="00D74D83" w:rsidRPr="00B6157E">
          <w:rPr>
            <w:rStyle w:val="Hyperlink"/>
          </w:rPr>
          <w:t>https://nzcca.org.nz/ethics/nzccas-stance-on-conversion-practices/</w:t>
        </w:r>
      </w:hyperlink>
      <w:r w:rsidR="00D74D83" w:rsidRPr="00B6157E">
        <w:t xml:space="preserve"> </w:t>
      </w:r>
    </w:p>
    <w:p w14:paraId="02AFBB82" w14:textId="6110BD95" w:rsidR="00F01386" w:rsidRPr="00B6157E" w:rsidRDefault="00F01386" w:rsidP="00E00167">
      <w:pPr>
        <w:pStyle w:val="Reference"/>
        <w:rPr>
          <w:rStyle w:val="Hyperlink"/>
          <w:rFonts w:ascii="Calibri" w:hAnsi="Calibri" w:cs="Calibri"/>
        </w:rPr>
      </w:pPr>
      <w:r w:rsidRPr="005B33A1">
        <w:t>New</w:t>
      </w:r>
      <w:r w:rsidR="003D640C" w:rsidRPr="00B6157E">
        <w:t xml:space="preserve"> </w:t>
      </w:r>
      <w:r w:rsidRPr="00B6157E">
        <w:t>Zealand</w:t>
      </w:r>
      <w:r w:rsidR="003D640C" w:rsidRPr="00B6157E">
        <w:t xml:space="preserve"> </w:t>
      </w:r>
      <w:r w:rsidRPr="00B6157E">
        <w:t>College</w:t>
      </w:r>
      <w:r w:rsidR="003D640C" w:rsidRPr="00B6157E">
        <w:t xml:space="preserve"> </w:t>
      </w:r>
      <w:r w:rsidRPr="00B6157E">
        <w:t>of</w:t>
      </w:r>
      <w:r w:rsidR="003D640C" w:rsidRPr="00B6157E">
        <w:t xml:space="preserve"> </w:t>
      </w:r>
      <w:r w:rsidRPr="00B6157E">
        <w:t>Clinical</w:t>
      </w:r>
      <w:r w:rsidR="003D640C" w:rsidRPr="00B6157E">
        <w:t xml:space="preserve"> </w:t>
      </w:r>
      <w:r w:rsidRPr="00B6157E">
        <w:t>Psychologists</w:t>
      </w:r>
      <w:r w:rsidR="00D74D83" w:rsidRPr="00B6157E">
        <w:t xml:space="preserve"> |</w:t>
      </w:r>
      <w:r w:rsidR="003D640C" w:rsidRPr="00B6157E">
        <w:t xml:space="preserve"> </w:t>
      </w:r>
      <w:r w:rsidRPr="00B6157E">
        <w:t>Te</w:t>
      </w:r>
      <w:r w:rsidR="003D640C" w:rsidRPr="00B6157E">
        <w:t xml:space="preserve"> </w:t>
      </w:r>
      <w:r w:rsidRPr="00B6157E">
        <w:t>Whare</w:t>
      </w:r>
      <w:r w:rsidR="003D640C" w:rsidRPr="00B6157E">
        <w:t xml:space="preserve"> </w:t>
      </w:r>
      <w:r w:rsidRPr="00B6157E">
        <w:t>W</w:t>
      </w:r>
      <w:r w:rsidRPr="00B6157E">
        <w:rPr>
          <w:lang w:val="mi-NZ"/>
        </w:rPr>
        <w:t>ānanga</w:t>
      </w:r>
      <w:r w:rsidR="003D640C" w:rsidRPr="00B6157E">
        <w:rPr>
          <w:lang w:val="mi-NZ"/>
        </w:rPr>
        <w:t xml:space="preserve"> </w:t>
      </w:r>
      <w:r w:rsidRPr="00B6157E">
        <w:rPr>
          <w:lang w:val="mi-NZ"/>
        </w:rPr>
        <w:t>o</w:t>
      </w:r>
      <w:r w:rsidR="003D640C" w:rsidRPr="00B6157E">
        <w:rPr>
          <w:lang w:val="mi-NZ"/>
        </w:rPr>
        <w:t xml:space="preserve"> </w:t>
      </w:r>
      <w:r w:rsidRPr="00B6157E">
        <w:rPr>
          <w:lang w:val="mi-NZ"/>
        </w:rPr>
        <w:t>te</w:t>
      </w:r>
      <w:r w:rsidR="003D640C" w:rsidRPr="00B6157E">
        <w:rPr>
          <w:lang w:val="mi-NZ"/>
        </w:rPr>
        <w:t xml:space="preserve"> </w:t>
      </w:r>
      <w:r w:rsidRPr="00B6157E">
        <w:rPr>
          <w:lang w:val="mi-NZ"/>
        </w:rPr>
        <w:t>Mātauranga</w:t>
      </w:r>
      <w:r w:rsidR="003D640C" w:rsidRPr="00B6157E">
        <w:rPr>
          <w:lang w:val="mi-NZ"/>
        </w:rPr>
        <w:t xml:space="preserve"> </w:t>
      </w:r>
      <w:r w:rsidRPr="00B6157E">
        <w:rPr>
          <w:lang w:val="mi-NZ"/>
        </w:rPr>
        <w:t>Hinengaro.</w:t>
      </w:r>
      <w:r w:rsidR="003D640C" w:rsidRPr="00B6157E">
        <w:rPr>
          <w:lang w:val="mi-NZ"/>
        </w:rPr>
        <w:t xml:space="preserve"> </w:t>
      </w:r>
      <w:r w:rsidRPr="00B6157E">
        <w:rPr>
          <w:lang w:val="mi-NZ"/>
        </w:rPr>
        <w:t>(2021).</w:t>
      </w:r>
      <w:r w:rsidR="003D640C" w:rsidRPr="00B6157E">
        <w:rPr>
          <w:lang w:val="mi-NZ"/>
        </w:rPr>
        <w:t xml:space="preserve"> </w:t>
      </w:r>
      <w:r w:rsidRPr="00B6157E">
        <w:rPr>
          <w:i/>
          <w:iCs/>
        </w:rPr>
        <w:t>Conversion</w:t>
      </w:r>
      <w:r w:rsidR="003D640C" w:rsidRPr="00B6157E">
        <w:rPr>
          <w:i/>
          <w:iCs/>
        </w:rPr>
        <w:t xml:space="preserve"> </w:t>
      </w:r>
      <w:r w:rsidRPr="00B6157E">
        <w:rPr>
          <w:i/>
          <w:iCs/>
        </w:rPr>
        <w:t>Practices</w:t>
      </w:r>
      <w:r w:rsidR="003D640C" w:rsidRPr="00B6157E">
        <w:rPr>
          <w:i/>
          <w:iCs/>
        </w:rPr>
        <w:t xml:space="preserve"> </w:t>
      </w:r>
      <w:r w:rsidRPr="00B6157E">
        <w:rPr>
          <w:i/>
          <w:iCs/>
        </w:rPr>
        <w:t>Prohibition</w:t>
      </w:r>
      <w:r w:rsidR="003D640C" w:rsidRPr="00B6157E">
        <w:rPr>
          <w:i/>
          <w:iCs/>
        </w:rPr>
        <w:t xml:space="preserve"> </w:t>
      </w:r>
      <w:r w:rsidRPr="00B6157E">
        <w:rPr>
          <w:i/>
          <w:iCs/>
        </w:rPr>
        <w:t>Legislation</w:t>
      </w:r>
      <w:r w:rsidR="003D640C" w:rsidRPr="00B6157E">
        <w:rPr>
          <w:i/>
          <w:iCs/>
        </w:rPr>
        <w:t xml:space="preserve"> </w:t>
      </w:r>
      <w:r w:rsidRPr="00B6157E">
        <w:rPr>
          <w:i/>
          <w:iCs/>
        </w:rPr>
        <w:t>Bill</w:t>
      </w:r>
      <w:r w:rsidR="00D74D83" w:rsidRPr="00B6157E">
        <w:rPr>
          <w:i/>
          <w:iCs/>
        </w:rPr>
        <w:t>:</w:t>
      </w:r>
      <w:r w:rsidR="003D640C" w:rsidRPr="00B6157E">
        <w:rPr>
          <w:i/>
          <w:iCs/>
        </w:rPr>
        <w:t xml:space="preserve"> </w:t>
      </w:r>
      <w:r w:rsidRPr="00B6157E">
        <w:rPr>
          <w:i/>
          <w:iCs/>
        </w:rPr>
        <w:t>Submission</w:t>
      </w:r>
      <w:r w:rsidR="003D640C" w:rsidRPr="00B6157E">
        <w:rPr>
          <w:i/>
          <w:iCs/>
        </w:rPr>
        <w:t xml:space="preserve"> </w:t>
      </w:r>
      <w:r w:rsidRPr="00B6157E">
        <w:rPr>
          <w:i/>
          <w:iCs/>
        </w:rPr>
        <w:t>to</w:t>
      </w:r>
      <w:r w:rsidR="003D640C" w:rsidRPr="00B6157E">
        <w:rPr>
          <w:i/>
          <w:iCs/>
        </w:rPr>
        <w:t xml:space="preserve"> </w:t>
      </w:r>
      <w:r w:rsidRPr="00B6157E">
        <w:rPr>
          <w:i/>
          <w:iCs/>
        </w:rPr>
        <w:t>the</w:t>
      </w:r>
      <w:r w:rsidR="003D640C" w:rsidRPr="00B6157E">
        <w:rPr>
          <w:i/>
          <w:iCs/>
        </w:rPr>
        <w:t xml:space="preserve"> </w:t>
      </w:r>
      <w:r w:rsidRPr="00B6157E">
        <w:rPr>
          <w:i/>
          <w:iCs/>
        </w:rPr>
        <w:t>Justice</w:t>
      </w:r>
      <w:r w:rsidR="003D640C" w:rsidRPr="00B6157E">
        <w:rPr>
          <w:i/>
          <w:iCs/>
        </w:rPr>
        <w:t xml:space="preserve"> </w:t>
      </w:r>
      <w:r w:rsidRPr="00B6157E">
        <w:rPr>
          <w:i/>
          <w:iCs/>
        </w:rPr>
        <w:t>Select</w:t>
      </w:r>
      <w:r w:rsidR="003D640C" w:rsidRPr="00B6157E">
        <w:rPr>
          <w:i/>
          <w:iCs/>
        </w:rPr>
        <w:t xml:space="preserve"> </w:t>
      </w:r>
      <w:r w:rsidRPr="00B6157E">
        <w:rPr>
          <w:i/>
          <w:iCs/>
        </w:rPr>
        <w:t>Committee</w:t>
      </w:r>
      <w:r w:rsidRPr="00B6157E">
        <w:t>.</w:t>
      </w:r>
      <w:r w:rsidR="003D640C" w:rsidRPr="00B6157E">
        <w:t xml:space="preserve"> </w:t>
      </w:r>
      <w:hyperlink r:id="rId118" w:history="1">
        <w:r w:rsidR="00D74D83" w:rsidRPr="00B6157E">
          <w:rPr>
            <w:rStyle w:val="Hyperlink"/>
          </w:rPr>
          <w:t>https://www.nzccp.co.nz/assets/Conversion-Practices-Submission.pdf</w:t>
        </w:r>
      </w:hyperlink>
      <w:r w:rsidR="00D74D83" w:rsidRPr="00B6157E">
        <w:t xml:space="preserve"> </w:t>
      </w:r>
    </w:p>
    <w:p w14:paraId="49E060D8" w14:textId="18892C27" w:rsidR="006F5D61" w:rsidRPr="00B6157E" w:rsidRDefault="00191A46" w:rsidP="00191A46">
      <w:pPr>
        <w:pStyle w:val="Reference"/>
        <w:rPr>
          <w:rStyle w:val="FootnoteTextChar"/>
          <w:sz w:val="22"/>
          <w:szCs w:val="22"/>
        </w:rPr>
      </w:pPr>
      <w:r w:rsidRPr="005B33A1">
        <w:rPr>
          <w:rStyle w:val="FootnoteTextChar"/>
          <w:sz w:val="22"/>
          <w:szCs w:val="22"/>
        </w:rPr>
        <w:t>New</w:t>
      </w:r>
      <w:r w:rsidRPr="00B6157E">
        <w:rPr>
          <w:rStyle w:val="FootnoteTextChar"/>
          <w:sz w:val="22"/>
          <w:szCs w:val="22"/>
        </w:rPr>
        <w:t xml:space="preserve"> Zealand Parliament | Pāremata Aotearoa. (2018, July 19). </w:t>
      </w:r>
      <w:r w:rsidRPr="00B6157E">
        <w:rPr>
          <w:rStyle w:val="FootnoteTextChar"/>
          <w:i/>
          <w:iCs/>
          <w:sz w:val="22"/>
          <w:szCs w:val="22"/>
        </w:rPr>
        <w:t>Petition of Max Tweedie for Young Labour and the Young Greens: Ban gay conversion therapy</w:t>
      </w:r>
      <w:r w:rsidRPr="00B6157E">
        <w:rPr>
          <w:rStyle w:val="FootnoteTextChar"/>
          <w:sz w:val="22"/>
          <w:szCs w:val="22"/>
        </w:rPr>
        <w:t xml:space="preserve">. </w:t>
      </w:r>
      <w:hyperlink r:id="rId119" w:history="1">
        <w:r w:rsidR="00C0497B" w:rsidRPr="00B6157E">
          <w:rPr>
            <w:rStyle w:val="Hyperlink"/>
          </w:rPr>
          <w:t>https://petitions.parliament.nz/6ce4c233-a543-4876-aea6-20df3f03c193</w:t>
        </w:r>
      </w:hyperlink>
      <w:r w:rsidR="00C0497B" w:rsidRPr="00B6157E">
        <w:rPr>
          <w:rStyle w:val="FootnoteTextChar"/>
          <w:sz w:val="22"/>
          <w:szCs w:val="22"/>
        </w:rPr>
        <w:t xml:space="preserve">  </w:t>
      </w:r>
      <w:r w:rsidRPr="00B6157E">
        <w:rPr>
          <w:rStyle w:val="FootnoteTextChar"/>
          <w:sz w:val="22"/>
          <w:szCs w:val="22"/>
        </w:rPr>
        <w:t xml:space="preserve"> </w:t>
      </w:r>
    </w:p>
    <w:p w14:paraId="527200FB" w14:textId="606163AD" w:rsidR="006F5D61" w:rsidRPr="00B6157E" w:rsidRDefault="006F5D61" w:rsidP="007B139B">
      <w:pPr>
        <w:pStyle w:val="Reference"/>
      </w:pPr>
      <w:r w:rsidRPr="005B33A1">
        <w:t>New Zea</w:t>
      </w:r>
      <w:r w:rsidRPr="00B6157E">
        <w:t>land Psychological Society | R</w:t>
      </w:r>
      <w:r w:rsidRPr="00B6157E">
        <w:rPr>
          <w:lang w:val="mi-NZ"/>
        </w:rPr>
        <w:t>ōpū Mātai Hinengaro o Aotearoa</w:t>
      </w:r>
      <w:r w:rsidRPr="00B6157E">
        <w:t>. (n.d.</w:t>
      </w:r>
      <w:r w:rsidR="00D74D83" w:rsidRPr="00B6157E">
        <w:t>a</w:t>
      </w:r>
      <w:r w:rsidRPr="00B6157E">
        <w:t xml:space="preserve">). </w:t>
      </w:r>
      <w:r w:rsidRPr="00B6157E">
        <w:rPr>
          <w:i/>
          <w:iCs/>
        </w:rPr>
        <w:t>Position statement on “conversion therapy”</w:t>
      </w:r>
      <w:r w:rsidRPr="00B6157E">
        <w:t xml:space="preserve">. </w:t>
      </w:r>
      <w:hyperlink r:id="rId120" w:history="1">
        <w:r w:rsidRPr="00B6157E">
          <w:rPr>
            <w:rStyle w:val="Hyperlink"/>
          </w:rPr>
          <w:t>https://www.psychology.org.nz/application/files/9016/1350/6552/conversion_therapy_statement_-_Final_2-21.pdf</w:t>
        </w:r>
      </w:hyperlink>
      <w:r w:rsidRPr="00B6157E">
        <w:t xml:space="preserve"> </w:t>
      </w:r>
    </w:p>
    <w:p w14:paraId="0BD8EE9B" w14:textId="1D3D3016" w:rsidR="00F01386" w:rsidRPr="00A13DE0" w:rsidRDefault="00F01386" w:rsidP="00E00167">
      <w:pPr>
        <w:pStyle w:val="Reference"/>
        <w:rPr>
          <w:rFonts w:ascii="Calibri" w:hAnsi="Calibri" w:cs="Calibri"/>
        </w:rPr>
      </w:pPr>
      <w:r w:rsidRPr="005B33A1">
        <w:rPr>
          <w:rFonts w:ascii="Calibri" w:hAnsi="Calibri" w:cs="Calibri"/>
        </w:rPr>
        <w:t>New</w:t>
      </w:r>
      <w:r w:rsidR="003D640C" w:rsidRPr="00B6157E">
        <w:rPr>
          <w:rFonts w:ascii="Calibri" w:hAnsi="Calibri" w:cs="Calibri"/>
        </w:rPr>
        <w:t xml:space="preserve"> </w:t>
      </w:r>
      <w:r w:rsidRPr="00B6157E">
        <w:rPr>
          <w:rFonts w:ascii="Calibri" w:hAnsi="Calibri" w:cs="Calibri"/>
        </w:rPr>
        <w:t>Zealand</w:t>
      </w:r>
      <w:r w:rsidR="003D640C">
        <w:rPr>
          <w:rFonts w:ascii="Calibri" w:hAnsi="Calibri" w:cs="Calibri"/>
        </w:rPr>
        <w:t xml:space="preserve"> </w:t>
      </w:r>
      <w:r w:rsidRPr="00A13DE0">
        <w:rPr>
          <w:rFonts w:ascii="Calibri" w:hAnsi="Calibri" w:cs="Calibri"/>
        </w:rPr>
        <w:t>Psychological</w:t>
      </w:r>
      <w:r w:rsidR="003D640C">
        <w:rPr>
          <w:rFonts w:ascii="Calibri" w:hAnsi="Calibri" w:cs="Calibri"/>
        </w:rPr>
        <w:t xml:space="preserve"> </w:t>
      </w:r>
      <w:r w:rsidRPr="00A13DE0">
        <w:rPr>
          <w:rFonts w:ascii="Calibri" w:hAnsi="Calibri" w:cs="Calibri"/>
        </w:rPr>
        <w:t>Society</w:t>
      </w:r>
      <w:r w:rsidR="002E4BF5">
        <w:rPr>
          <w:rFonts w:ascii="Calibri" w:hAnsi="Calibri" w:cs="Calibri"/>
        </w:rPr>
        <w:t>.</w:t>
      </w:r>
      <w:r w:rsidR="003D640C">
        <w:rPr>
          <w:rFonts w:ascii="Calibri" w:hAnsi="Calibri" w:cs="Calibri"/>
        </w:rPr>
        <w:t xml:space="preserve"> </w:t>
      </w:r>
      <w:r w:rsidR="002E4BF5">
        <w:rPr>
          <w:rFonts w:ascii="Calibri" w:hAnsi="Calibri" w:cs="Calibri"/>
        </w:rPr>
        <w:t>(</w:t>
      </w:r>
      <w:r w:rsidRPr="00A13DE0">
        <w:rPr>
          <w:rFonts w:ascii="Calibri" w:hAnsi="Calibri" w:cs="Calibri"/>
        </w:rPr>
        <w:t>n.d.</w:t>
      </w:r>
      <w:r w:rsidR="00B6157E">
        <w:rPr>
          <w:rFonts w:ascii="Calibri" w:hAnsi="Calibri" w:cs="Calibri"/>
        </w:rPr>
        <w:t>b</w:t>
      </w:r>
      <w:r w:rsidR="002E4BF5">
        <w:rPr>
          <w:rFonts w:ascii="Calibri" w:hAnsi="Calibri" w:cs="Calibri"/>
        </w:rPr>
        <w:t>).</w:t>
      </w:r>
      <w:r w:rsidR="003D640C">
        <w:rPr>
          <w:rFonts w:ascii="Calibri" w:hAnsi="Calibri" w:cs="Calibri"/>
        </w:rPr>
        <w:t xml:space="preserve"> </w:t>
      </w:r>
      <w:r w:rsidRPr="007B139B">
        <w:rPr>
          <w:rFonts w:ascii="Calibri" w:hAnsi="Calibri" w:cs="Calibri"/>
          <w:i/>
          <w:iCs/>
        </w:rPr>
        <w:t>New</w:t>
      </w:r>
      <w:r w:rsidR="003D640C" w:rsidRPr="007B139B">
        <w:rPr>
          <w:rFonts w:ascii="Calibri" w:hAnsi="Calibri" w:cs="Calibri"/>
          <w:i/>
          <w:iCs/>
        </w:rPr>
        <w:t xml:space="preserve"> </w:t>
      </w:r>
      <w:r w:rsidRPr="007B139B">
        <w:rPr>
          <w:rFonts w:ascii="Calibri" w:hAnsi="Calibri" w:cs="Calibri"/>
          <w:i/>
          <w:iCs/>
        </w:rPr>
        <w:t>Zealand</w:t>
      </w:r>
      <w:r w:rsidR="003D640C" w:rsidRPr="007B139B">
        <w:rPr>
          <w:rFonts w:ascii="Calibri" w:hAnsi="Calibri" w:cs="Calibri"/>
          <w:i/>
          <w:iCs/>
        </w:rPr>
        <w:t xml:space="preserve"> </w:t>
      </w:r>
      <w:r w:rsidRPr="007B139B">
        <w:rPr>
          <w:rFonts w:ascii="Calibri" w:hAnsi="Calibri" w:cs="Calibri"/>
          <w:i/>
          <w:iCs/>
        </w:rPr>
        <w:t>Psychological</w:t>
      </w:r>
      <w:r w:rsidR="003D640C" w:rsidRPr="007B139B">
        <w:rPr>
          <w:rFonts w:ascii="Calibri" w:hAnsi="Calibri" w:cs="Calibri"/>
          <w:i/>
          <w:iCs/>
        </w:rPr>
        <w:t xml:space="preserve"> </w:t>
      </w:r>
      <w:r w:rsidRPr="007B139B">
        <w:rPr>
          <w:rFonts w:ascii="Calibri" w:hAnsi="Calibri" w:cs="Calibri"/>
          <w:i/>
          <w:iCs/>
        </w:rPr>
        <w:t>Society</w:t>
      </w:r>
      <w:r w:rsidR="003D640C" w:rsidRPr="007B139B">
        <w:rPr>
          <w:rFonts w:ascii="Calibri" w:hAnsi="Calibri" w:cs="Calibri"/>
          <w:i/>
          <w:iCs/>
        </w:rPr>
        <w:t xml:space="preserve"> </w:t>
      </w:r>
      <w:r w:rsidR="002E4BF5" w:rsidRPr="007B139B">
        <w:rPr>
          <w:rFonts w:ascii="Calibri" w:hAnsi="Calibri" w:cs="Calibri"/>
          <w:i/>
          <w:iCs/>
        </w:rPr>
        <w:t>s</w:t>
      </w:r>
      <w:r w:rsidRPr="007B139B">
        <w:rPr>
          <w:rFonts w:ascii="Calibri" w:hAnsi="Calibri" w:cs="Calibri"/>
          <w:i/>
          <w:iCs/>
        </w:rPr>
        <w:t>ubmission</w:t>
      </w:r>
      <w:r w:rsidR="003D640C" w:rsidRPr="007B139B">
        <w:rPr>
          <w:rFonts w:ascii="Calibri" w:hAnsi="Calibri" w:cs="Calibri"/>
          <w:i/>
          <w:iCs/>
        </w:rPr>
        <w:t xml:space="preserve"> </w:t>
      </w:r>
      <w:r w:rsidRPr="007B139B">
        <w:rPr>
          <w:rFonts w:ascii="Calibri" w:hAnsi="Calibri" w:cs="Calibri"/>
          <w:i/>
          <w:iCs/>
        </w:rPr>
        <w:t>to</w:t>
      </w:r>
      <w:r w:rsidR="003D640C" w:rsidRPr="007B139B">
        <w:rPr>
          <w:rFonts w:ascii="Calibri" w:hAnsi="Calibri" w:cs="Calibri"/>
          <w:i/>
          <w:iCs/>
        </w:rPr>
        <w:t xml:space="preserve"> </w:t>
      </w:r>
      <w:r w:rsidRPr="007B139B">
        <w:rPr>
          <w:rFonts w:ascii="Calibri" w:hAnsi="Calibri" w:cs="Calibri"/>
          <w:i/>
          <w:iCs/>
        </w:rPr>
        <w:t>the</w:t>
      </w:r>
      <w:r w:rsidR="003D640C" w:rsidRPr="007B139B">
        <w:rPr>
          <w:rFonts w:ascii="Calibri" w:hAnsi="Calibri" w:cs="Calibri"/>
          <w:i/>
          <w:iCs/>
        </w:rPr>
        <w:t xml:space="preserve"> </w:t>
      </w:r>
      <w:r w:rsidRPr="007B139B">
        <w:rPr>
          <w:rFonts w:ascii="Calibri" w:hAnsi="Calibri" w:cs="Calibri"/>
          <w:i/>
          <w:iCs/>
        </w:rPr>
        <w:t>Parliamentary</w:t>
      </w:r>
      <w:r w:rsidR="003D640C" w:rsidRPr="007B139B">
        <w:rPr>
          <w:rFonts w:ascii="Calibri" w:hAnsi="Calibri" w:cs="Calibri"/>
          <w:i/>
          <w:iCs/>
        </w:rPr>
        <w:t xml:space="preserve"> </w:t>
      </w:r>
      <w:r w:rsidRPr="007B139B">
        <w:rPr>
          <w:rFonts w:ascii="Calibri" w:hAnsi="Calibri" w:cs="Calibri"/>
          <w:i/>
          <w:iCs/>
        </w:rPr>
        <w:t>Justice</w:t>
      </w:r>
      <w:r w:rsidR="003D640C" w:rsidRPr="007B139B">
        <w:rPr>
          <w:rFonts w:ascii="Calibri" w:hAnsi="Calibri" w:cs="Calibri"/>
          <w:i/>
          <w:iCs/>
        </w:rPr>
        <w:t xml:space="preserve"> </w:t>
      </w:r>
      <w:r w:rsidRPr="007B139B">
        <w:rPr>
          <w:rFonts w:ascii="Calibri" w:hAnsi="Calibri" w:cs="Calibri"/>
          <w:i/>
          <w:iCs/>
        </w:rPr>
        <w:t>Select</w:t>
      </w:r>
      <w:r w:rsidR="003D640C" w:rsidRPr="007B139B">
        <w:rPr>
          <w:rFonts w:ascii="Calibri" w:hAnsi="Calibri" w:cs="Calibri"/>
          <w:i/>
          <w:iCs/>
        </w:rPr>
        <w:t xml:space="preserve"> </w:t>
      </w:r>
      <w:r w:rsidRPr="007B139B">
        <w:rPr>
          <w:rFonts w:ascii="Calibri" w:hAnsi="Calibri" w:cs="Calibri"/>
          <w:i/>
          <w:iCs/>
        </w:rPr>
        <w:t>Committee</w:t>
      </w:r>
      <w:r w:rsidR="003D640C" w:rsidRPr="007B139B">
        <w:rPr>
          <w:rFonts w:ascii="Calibri" w:hAnsi="Calibri" w:cs="Calibri"/>
          <w:i/>
          <w:iCs/>
        </w:rPr>
        <w:t xml:space="preserve"> </w:t>
      </w:r>
      <w:r w:rsidRPr="007B139B">
        <w:rPr>
          <w:rFonts w:ascii="Calibri" w:hAnsi="Calibri" w:cs="Calibri"/>
          <w:i/>
          <w:iCs/>
        </w:rPr>
        <w:t>–</w:t>
      </w:r>
      <w:r w:rsidR="003D640C" w:rsidRPr="007B139B">
        <w:rPr>
          <w:rFonts w:ascii="Calibri" w:hAnsi="Calibri" w:cs="Calibri"/>
          <w:i/>
          <w:iCs/>
        </w:rPr>
        <w:t xml:space="preserve"> </w:t>
      </w:r>
      <w:r w:rsidRPr="007B139B">
        <w:rPr>
          <w:rFonts w:ascii="Calibri" w:hAnsi="Calibri" w:cs="Calibri"/>
          <w:i/>
          <w:iCs/>
        </w:rPr>
        <w:t>on</w:t>
      </w:r>
      <w:r w:rsidR="003D640C" w:rsidRPr="007B139B">
        <w:rPr>
          <w:rFonts w:ascii="Calibri" w:hAnsi="Calibri" w:cs="Calibri"/>
          <w:i/>
          <w:iCs/>
        </w:rPr>
        <w:t xml:space="preserve"> </w:t>
      </w:r>
      <w:r w:rsidRPr="007B139B">
        <w:rPr>
          <w:rFonts w:ascii="Calibri" w:hAnsi="Calibri" w:cs="Calibri"/>
          <w:i/>
          <w:iCs/>
        </w:rPr>
        <w:t>the</w:t>
      </w:r>
      <w:r w:rsidR="003D640C" w:rsidRPr="007B139B">
        <w:rPr>
          <w:rFonts w:ascii="Calibri" w:hAnsi="Calibri" w:cs="Calibri"/>
          <w:i/>
          <w:iCs/>
        </w:rPr>
        <w:t xml:space="preserve"> </w:t>
      </w:r>
      <w:r w:rsidRPr="007B139B">
        <w:rPr>
          <w:rFonts w:ascii="Calibri" w:hAnsi="Calibri" w:cs="Calibri"/>
          <w:i/>
          <w:iCs/>
        </w:rPr>
        <w:t>Conversion</w:t>
      </w:r>
      <w:r w:rsidR="003D640C" w:rsidRPr="007B139B">
        <w:rPr>
          <w:rFonts w:ascii="Calibri" w:hAnsi="Calibri" w:cs="Calibri"/>
          <w:i/>
          <w:iCs/>
        </w:rPr>
        <w:t xml:space="preserve"> </w:t>
      </w:r>
      <w:r w:rsidRPr="007B139B">
        <w:rPr>
          <w:rFonts w:ascii="Calibri" w:hAnsi="Calibri" w:cs="Calibri"/>
          <w:i/>
          <w:iCs/>
        </w:rPr>
        <w:t>Practices</w:t>
      </w:r>
      <w:r w:rsidR="003D640C" w:rsidRPr="007B139B">
        <w:rPr>
          <w:rFonts w:ascii="Calibri" w:hAnsi="Calibri" w:cs="Calibri"/>
          <w:i/>
          <w:iCs/>
        </w:rPr>
        <w:t xml:space="preserve"> </w:t>
      </w:r>
      <w:r w:rsidRPr="007B139B">
        <w:rPr>
          <w:rFonts w:ascii="Calibri" w:hAnsi="Calibri" w:cs="Calibri"/>
          <w:i/>
          <w:iCs/>
        </w:rPr>
        <w:t>Prohibition</w:t>
      </w:r>
      <w:r w:rsidR="003D640C" w:rsidRPr="007B139B">
        <w:rPr>
          <w:rFonts w:ascii="Calibri" w:hAnsi="Calibri" w:cs="Calibri"/>
          <w:i/>
          <w:iCs/>
        </w:rPr>
        <w:t xml:space="preserve"> </w:t>
      </w:r>
      <w:r w:rsidRPr="007B139B">
        <w:rPr>
          <w:rFonts w:ascii="Calibri" w:hAnsi="Calibri" w:cs="Calibri"/>
          <w:i/>
          <w:iCs/>
        </w:rPr>
        <w:t>Legislation</w:t>
      </w:r>
      <w:r w:rsidR="003D640C" w:rsidRPr="007B139B">
        <w:rPr>
          <w:rFonts w:ascii="Calibri" w:hAnsi="Calibri" w:cs="Calibri"/>
          <w:i/>
          <w:iCs/>
        </w:rPr>
        <w:t xml:space="preserve"> </w:t>
      </w:r>
      <w:r w:rsidRPr="007B139B">
        <w:rPr>
          <w:rFonts w:ascii="Calibri" w:hAnsi="Calibri" w:cs="Calibri"/>
          <w:i/>
          <w:iCs/>
        </w:rPr>
        <w:t>Bill</w:t>
      </w:r>
      <w:r w:rsidRPr="00A13DE0">
        <w:rPr>
          <w:rFonts w:ascii="Calibri" w:hAnsi="Calibri" w:cs="Calibri"/>
        </w:rPr>
        <w:t>.</w:t>
      </w:r>
      <w:r w:rsidRPr="00A13DE0" w:rsidDel="008E1CCA">
        <w:rPr>
          <w:rFonts w:ascii="Calibri" w:hAnsi="Calibri" w:cs="Calibri"/>
        </w:rPr>
        <w:t xml:space="preserve"> </w:t>
      </w:r>
      <w:hyperlink r:id="rId121" w:history="1">
        <w:r w:rsidR="006F5D61" w:rsidRPr="00B13BFC">
          <w:rPr>
            <w:rStyle w:val="Hyperlink"/>
            <w:rFonts w:ascii="Calibri" w:hAnsi="Calibri" w:cs="Calibri"/>
          </w:rPr>
          <w:t>https://www.psychology.org.nz/application/files/9416/3113/0730/NZ_Psychological_Society_Submission_-_Conversion_Practices_Prohibition_bill_-_Final.pdf</w:t>
        </w:r>
      </w:hyperlink>
      <w:r w:rsidR="006F5D61">
        <w:rPr>
          <w:rFonts w:ascii="Calibri" w:hAnsi="Calibri" w:cs="Calibri"/>
        </w:rPr>
        <w:t xml:space="preserve"> </w:t>
      </w:r>
    </w:p>
    <w:p w14:paraId="52DF2E28" w14:textId="4F6A8CFD" w:rsidR="00F01386" w:rsidRPr="00B6157E" w:rsidRDefault="00F01386" w:rsidP="006D3AFB">
      <w:pPr>
        <w:pStyle w:val="Reference"/>
      </w:pPr>
      <w:r w:rsidRPr="00B6157E">
        <w:rPr>
          <w:shd w:val="clear" w:color="auto" w:fill="FFFFFF"/>
        </w:rPr>
        <w:t>Noonan,</w:t>
      </w:r>
      <w:r w:rsidR="003D640C" w:rsidRPr="00B6157E">
        <w:rPr>
          <w:shd w:val="clear" w:color="auto" w:fill="FFFFFF"/>
        </w:rPr>
        <w:t xml:space="preserve"> </w:t>
      </w:r>
      <w:r w:rsidRPr="00B6157E">
        <w:rPr>
          <w:shd w:val="clear" w:color="auto" w:fill="FFFFFF"/>
        </w:rPr>
        <w:t>A.,</w:t>
      </w:r>
      <w:r w:rsidR="003D640C" w:rsidRPr="00B6157E">
        <w:rPr>
          <w:shd w:val="clear" w:color="auto" w:fill="FFFFFF"/>
        </w:rPr>
        <w:t xml:space="preserve"> </w:t>
      </w:r>
      <w:r w:rsidRPr="00B6157E">
        <w:rPr>
          <w:shd w:val="clear" w:color="auto" w:fill="FFFFFF"/>
        </w:rPr>
        <w:t>&amp;</w:t>
      </w:r>
      <w:r w:rsidR="003D640C" w:rsidRPr="00B6157E">
        <w:rPr>
          <w:shd w:val="clear" w:color="auto" w:fill="FFFFFF"/>
        </w:rPr>
        <w:t xml:space="preserve"> </w:t>
      </w:r>
      <w:r w:rsidRPr="00B6157E">
        <w:rPr>
          <w:shd w:val="clear" w:color="auto" w:fill="FFFFFF"/>
        </w:rPr>
        <w:t>Taylor</w:t>
      </w:r>
      <w:r w:rsidR="003D640C" w:rsidRPr="00B6157E">
        <w:rPr>
          <w:shd w:val="clear" w:color="auto" w:fill="FFFFFF"/>
        </w:rPr>
        <w:t xml:space="preserve"> </w:t>
      </w:r>
      <w:r w:rsidRPr="00B6157E">
        <w:rPr>
          <w:shd w:val="clear" w:color="auto" w:fill="FFFFFF"/>
        </w:rPr>
        <w:t>Gomez,</w:t>
      </w:r>
      <w:r w:rsidR="003D640C" w:rsidRPr="00B6157E">
        <w:rPr>
          <w:shd w:val="clear" w:color="auto" w:fill="FFFFFF"/>
        </w:rPr>
        <w:t xml:space="preserve"> </w:t>
      </w:r>
      <w:r w:rsidRPr="00B6157E">
        <w:rPr>
          <w:shd w:val="clear" w:color="auto" w:fill="FFFFFF"/>
        </w:rPr>
        <w:t>M.</w:t>
      </w:r>
      <w:r w:rsidR="003D640C" w:rsidRPr="00B6157E">
        <w:rPr>
          <w:shd w:val="clear" w:color="auto" w:fill="FFFFFF"/>
        </w:rPr>
        <w:t xml:space="preserve"> </w:t>
      </w:r>
      <w:r w:rsidRPr="00B6157E">
        <w:rPr>
          <w:shd w:val="clear" w:color="auto" w:fill="FFFFFF"/>
        </w:rPr>
        <w:t>(2011).</w:t>
      </w:r>
      <w:r w:rsidR="003D640C" w:rsidRPr="00B6157E">
        <w:rPr>
          <w:shd w:val="clear" w:color="auto" w:fill="FFFFFF"/>
        </w:rPr>
        <w:t xml:space="preserve"> </w:t>
      </w:r>
      <w:r w:rsidRPr="00B6157E">
        <w:rPr>
          <w:shd w:val="clear" w:color="auto" w:fill="FFFFFF"/>
        </w:rPr>
        <w:t>Who’s</w:t>
      </w:r>
      <w:r w:rsidR="003D640C" w:rsidRPr="00B6157E">
        <w:rPr>
          <w:shd w:val="clear" w:color="auto" w:fill="FFFFFF"/>
        </w:rPr>
        <w:t xml:space="preserve"> </w:t>
      </w:r>
      <w:r w:rsidRPr="00B6157E">
        <w:rPr>
          <w:shd w:val="clear" w:color="auto" w:fill="FFFFFF"/>
        </w:rPr>
        <w:t>missing?</w:t>
      </w:r>
      <w:r w:rsidR="003D640C" w:rsidRPr="00B6157E">
        <w:rPr>
          <w:shd w:val="clear" w:color="auto" w:fill="FFFFFF"/>
        </w:rPr>
        <w:t xml:space="preserve"> </w:t>
      </w:r>
      <w:r w:rsidRPr="00B6157E">
        <w:rPr>
          <w:shd w:val="clear" w:color="auto" w:fill="FFFFFF"/>
        </w:rPr>
        <w:t>Awareness</w:t>
      </w:r>
      <w:r w:rsidR="003D640C" w:rsidRPr="00B6157E">
        <w:rPr>
          <w:shd w:val="clear" w:color="auto" w:fill="FFFFFF"/>
        </w:rPr>
        <w:t xml:space="preserve"> </w:t>
      </w:r>
      <w:r w:rsidRPr="00B6157E">
        <w:rPr>
          <w:shd w:val="clear" w:color="auto" w:fill="FFFFFF"/>
        </w:rPr>
        <w:t>of</w:t>
      </w:r>
      <w:r w:rsidR="003D640C" w:rsidRPr="00B6157E">
        <w:rPr>
          <w:shd w:val="clear" w:color="auto" w:fill="FFFFFF"/>
        </w:rPr>
        <w:t xml:space="preserve"> </w:t>
      </w:r>
      <w:r w:rsidRPr="00B6157E">
        <w:rPr>
          <w:shd w:val="clear" w:color="auto" w:fill="FFFFFF"/>
        </w:rPr>
        <w:t>lesbian,</w:t>
      </w:r>
      <w:r w:rsidR="003D640C" w:rsidRPr="00B6157E">
        <w:rPr>
          <w:shd w:val="clear" w:color="auto" w:fill="FFFFFF"/>
        </w:rPr>
        <w:t xml:space="preserve"> </w:t>
      </w:r>
      <w:r w:rsidRPr="00B6157E">
        <w:rPr>
          <w:shd w:val="clear" w:color="auto" w:fill="FFFFFF"/>
        </w:rPr>
        <w:t>gay,</w:t>
      </w:r>
      <w:r w:rsidR="003D640C" w:rsidRPr="00B6157E">
        <w:rPr>
          <w:shd w:val="clear" w:color="auto" w:fill="FFFFFF"/>
        </w:rPr>
        <w:t xml:space="preserve"> </w:t>
      </w:r>
      <w:r w:rsidRPr="00B6157E">
        <w:rPr>
          <w:shd w:val="clear" w:color="auto" w:fill="FFFFFF"/>
        </w:rPr>
        <w:t>bisexual</w:t>
      </w:r>
      <w:r w:rsidR="003D640C" w:rsidRPr="00B6157E">
        <w:rPr>
          <w:shd w:val="clear" w:color="auto" w:fill="FFFFFF"/>
        </w:rPr>
        <w:t xml:space="preserve"> </w:t>
      </w:r>
      <w:r w:rsidRPr="00B6157E">
        <w:rPr>
          <w:shd w:val="clear" w:color="auto" w:fill="FFFFFF"/>
        </w:rPr>
        <w:t>and</w:t>
      </w:r>
      <w:r w:rsidR="003D640C" w:rsidRPr="00B6157E">
        <w:rPr>
          <w:shd w:val="clear" w:color="auto" w:fill="FFFFFF"/>
        </w:rPr>
        <w:t xml:space="preserve"> </w:t>
      </w:r>
      <w:r w:rsidRPr="00B6157E">
        <w:rPr>
          <w:shd w:val="clear" w:color="auto" w:fill="FFFFFF"/>
        </w:rPr>
        <w:t>transgender</w:t>
      </w:r>
      <w:r w:rsidR="003D640C" w:rsidRPr="00B6157E">
        <w:rPr>
          <w:shd w:val="clear" w:color="auto" w:fill="FFFFFF"/>
        </w:rPr>
        <w:t xml:space="preserve"> </w:t>
      </w:r>
      <w:r w:rsidRPr="00B6157E">
        <w:rPr>
          <w:shd w:val="clear" w:color="auto" w:fill="FFFFFF"/>
        </w:rPr>
        <w:t>people</w:t>
      </w:r>
      <w:r w:rsidR="003D640C" w:rsidRPr="00B6157E">
        <w:rPr>
          <w:shd w:val="clear" w:color="auto" w:fill="FFFFFF"/>
        </w:rPr>
        <w:t xml:space="preserve"> </w:t>
      </w:r>
      <w:r w:rsidRPr="00B6157E">
        <w:rPr>
          <w:shd w:val="clear" w:color="auto" w:fill="FFFFFF"/>
        </w:rPr>
        <w:t>with</w:t>
      </w:r>
      <w:r w:rsidR="003D640C" w:rsidRPr="00B6157E">
        <w:rPr>
          <w:shd w:val="clear" w:color="auto" w:fill="FFFFFF"/>
        </w:rPr>
        <w:t xml:space="preserve"> </w:t>
      </w:r>
      <w:r w:rsidRPr="00B6157E">
        <w:rPr>
          <w:shd w:val="clear" w:color="auto" w:fill="FFFFFF"/>
        </w:rPr>
        <w:t>intellectual</w:t>
      </w:r>
      <w:r w:rsidR="003D640C" w:rsidRPr="00B6157E">
        <w:rPr>
          <w:shd w:val="clear" w:color="auto" w:fill="FFFFFF"/>
        </w:rPr>
        <w:t xml:space="preserve"> </w:t>
      </w:r>
      <w:r w:rsidRPr="00B6157E">
        <w:rPr>
          <w:shd w:val="clear" w:color="auto" w:fill="FFFFFF"/>
        </w:rPr>
        <w:t>disability.</w:t>
      </w:r>
      <w:r w:rsidR="003D640C" w:rsidRPr="00B6157E">
        <w:rPr>
          <w:shd w:val="clear" w:color="auto" w:fill="FFFFFF"/>
        </w:rPr>
        <w:t xml:space="preserve"> </w:t>
      </w:r>
      <w:r w:rsidRPr="00B6157E">
        <w:rPr>
          <w:i/>
          <w:iCs/>
          <w:shd w:val="clear" w:color="auto" w:fill="FFFFFF"/>
        </w:rPr>
        <w:t>Sexuality</w:t>
      </w:r>
      <w:r w:rsidR="003D640C" w:rsidRPr="00B6157E">
        <w:rPr>
          <w:i/>
          <w:iCs/>
          <w:shd w:val="clear" w:color="auto" w:fill="FFFFFF"/>
        </w:rPr>
        <w:t xml:space="preserve"> </w:t>
      </w:r>
      <w:r w:rsidRPr="00B6157E">
        <w:rPr>
          <w:i/>
          <w:iCs/>
          <w:shd w:val="clear" w:color="auto" w:fill="FFFFFF"/>
        </w:rPr>
        <w:t>and</w:t>
      </w:r>
      <w:r w:rsidR="003D640C" w:rsidRPr="00B6157E">
        <w:rPr>
          <w:i/>
          <w:iCs/>
          <w:shd w:val="clear" w:color="auto" w:fill="FFFFFF"/>
        </w:rPr>
        <w:t xml:space="preserve"> </w:t>
      </w:r>
      <w:r w:rsidRPr="00B6157E">
        <w:rPr>
          <w:i/>
          <w:iCs/>
          <w:shd w:val="clear" w:color="auto" w:fill="FFFFFF"/>
        </w:rPr>
        <w:t>Disability</w:t>
      </w:r>
      <w:r w:rsidRPr="00B6157E">
        <w:rPr>
          <w:shd w:val="clear" w:color="auto" w:fill="FFFFFF"/>
        </w:rPr>
        <w:t>,</w:t>
      </w:r>
      <w:r w:rsidR="003D640C" w:rsidRPr="00B6157E">
        <w:rPr>
          <w:shd w:val="clear" w:color="auto" w:fill="FFFFFF"/>
        </w:rPr>
        <w:t xml:space="preserve"> </w:t>
      </w:r>
      <w:r w:rsidRPr="00B6157E">
        <w:rPr>
          <w:i/>
          <w:iCs/>
          <w:shd w:val="clear" w:color="auto" w:fill="FFFFFF"/>
        </w:rPr>
        <w:t>29</w:t>
      </w:r>
      <w:r w:rsidRPr="00B6157E">
        <w:rPr>
          <w:shd w:val="clear" w:color="auto" w:fill="FFFFFF"/>
        </w:rPr>
        <w:t>(2),</w:t>
      </w:r>
      <w:r w:rsidR="003D640C" w:rsidRPr="00B6157E">
        <w:rPr>
          <w:shd w:val="clear" w:color="auto" w:fill="FFFFFF"/>
        </w:rPr>
        <w:t xml:space="preserve"> </w:t>
      </w:r>
      <w:r w:rsidRPr="00B6157E">
        <w:rPr>
          <w:shd w:val="clear" w:color="auto" w:fill="FFFFFF"/>
        </w:rPr>
        <w:t>175</w:t>
      </w:r>
      <w:r w:rsidR="006D3AFB" w:rsidRPr="00B6157E">
        <w:rPr>
          <w:shd w:val="clear" w:color="auto" w:fill="FFFFFF"/>
        </w:rPr>
        <w:t>–</w:t>
      </w:r>
      <w:r w:rsidRPr="00B6157E">
        <w:rPr>
          <w:shd w:val="clear" w:color="auto" w:fill="FFFFFF"/>
        </w:rPr>
        <w:t>180.</w:t>
      </w:r>
      <w:r w:rsidR="006D3AFB" w:rsidRPr="00B6157E">
        <w:rPr>
          <w:shd w:val="clear" w:color="auto" w:fill="FFFFFF"/>
        </w:rPr>
        <w:t xml:space="preserve"> </w:t>
      </w:r>
      <w:hyperlink r:id="rId122" w:history="1">
        <w:r w:rsidR="00B6157E" w:rsidRPr="0080137F">
          <w:rPr>
            <w:rStyle w:val="Hyperlink"/>
            <w:shd w:val="clear" w:color="auto" w:fill="FFFFFF"/>
          </w:rPr>
          <w:t>https://doi.org/</w:t>
        </w:r>
        <w:r w:rsidR="00B6157E" w:rsidRPr="005B33A1">
          <w:rPr>
            <w:rStyle w:val="Hyperlink"/>
            <w:shd w:val="clear" w:color="auto" w:fill="FFFFFF"/>
          </w:rPr>
          <w:t>10.1007/s11195-010-9175-3</w:t>
        </w:r>
      </w:hyperlink>
      <w:r w:rsidR="00B6157E">
        <w:rPr>
          <w:shd w:val="clear" w:color="auto" w:fill="FFFFFF"/>
        </w:rPr>
        <w:t xml:space="preserve">  </w:t>
      </w:r>
    </w:p>
    <w:p w14:paraId="7ABA5C3D" w14:textId="679E0F33" w:rsidR="00821FE1" w:rsidRPr="00B6157E" w:rsidRDefault="00F01386" w:rsidP="00E00167">
      <w:pPr>
        <w:pStyle w:val="Reference"/>
      </w:pPr>
      <w:r w:rsidRPr="00B6157E">
        <w:t>NZ</w:t>
      </w:r>
      <w:r w:rsidR="003D640C" w:rsidRPr="00B6157E">
        <w:t xml:space="preserve"> </w:t>
      </w:r>
      <w:r w:rsidRPr="00B6157E">
        <w:t>Herald</w:t>
      </w:r>
      <w:r w:rsidR="00821FE1" w:rsidRPr="00B6157E">
        <w:t>.</w:t>
      </w:r>
      <w:r w:rsidR="003D640C" w:rsidRPr="00B6157E">
        <w:t xml:space="preserve"> </w:t>
      </w:r>
      <w:r w:rsidRPr="00B6157E">
        <w:t>(</w:t>
      </w:r>
      <w:r w:rsidR="00821FE1" w:rsidRPr="00B6157E">
        <w:t>2022,</w:t>
      </w:r>
      <w:r w:rsidR="003D640C" w:rsidRPr="00B6157E">
        <w:t xml:space="preserve"> </w:t>
      </w:r>
      <w:r w:rsidRPr="00B6157E">
        <w:t>March</w:t>
      </w:r>
      <w:r w:rsidR="00821FE1" w:rsidRPr="00B6157E">
        <w:t xml:space="preserve"> 24</w:t>
      </w:r>
      <w:r w:rsidRPr="00B6157E">
        <w:t>)</w:t>
      </w:r>
      <w:r w:rsidR="00821FE1" w:rsidRPr="00B6157E">
        <w:t>.</w:t>
      </w:r>
      <w:r w:rsidR="003D640C" w:rsidRPr="00B6157E">
        <w:t xml:space="preserve"> </w:t>
      </w:r>
      <w:r w:rsidRPr="005B33A1">
        <w:rPr>
          <w:i/>
          <w:iCs/>
        </w:rPr>
        <w:t>Rugby:</w:t>
      </w:r>
      <w:r w:rsidR="003D640C" w:rsidRPr="005B33A1">
        <w:rPr>
          <w:i/>
          <w:iCs/>
        </w:rPr>
        <w:t xml:space="preserve"> </w:t>
      </w:r>
      <w:r w:rsidRPr="005B33A1">
        <w:rPr>
          <w:i/>
          <w:iCs/>
        </w:rPr>
        <w:t>Israel</w:t>
      </w:r>
      <w:r w:rsidR="003D640C" w:rsidRPr="005B33A1">
        <w:rPr>
          <w:i/>
          <w:iCs/>
        </w:rPr>
        <w:t xml:space="preserve"> </w:t>
      </w:r>
      <w:r w:rsidRPr="005B33A1">
        <w:rPr>
          <w:i/>
          <w:iCs/>
        </w:rPr>
        <w:t>Folau</w:t>
      </w:r>
      <w:r w:rsidR="003D640C" w:rsidRPr="005B33A1">
        <w:rPr>
          <w:i/>
          <w:iCs/>
        </w:rPr>
        <w:t xml:space="preserve"> </w:t>
      </w:r>
      <w:r w:rsidRPr="005B33A1">
        <w:rPr>
          <w:i/>
          <w:iCs/>
        </w:rPr>
        <w:t>has</w:t>
      </w:r>
      <w:r w:rsidR="003D640C" w:rsidRPr="005B33A1">
        <w:rPr>
          <w:i/>
          <w:iCs/>
        </w:rPr>
        <w:t xml:space="preserve"> </w:t>
      </w:r>
      <w:r w:rsidRPr="005B33A1">
        <w:rPr>
          <w:i/>
          <w:iCs/>
        </w:rPr>
        <w:t>no</w:t>
      </w:r>
      <w:r w:rsidR="003D640C" w:rsidRPr="005B33A1">
        <w:rPr>
          <w:i/>
          <w:iCs/>
        </w:rPr>
        <w:t xml:space="preserve"> </w:t>
      </w:r>
      <w:r w:rsidRPr="005B33A1">
        <w:rPr>
          <w:i/>
          <w:iCs/>
        </w:rPr>
        <w:t>regrets</w:t>
      </w:r>
      <w:r w:rsidR="003D640C" w:rsidRPr="005B33A1">
        <w:rPr>
          <w:i/>
          <w:iCs/>
        </w:rPr>
        <w:t xml:space="preserve"> </w:t>
      </w:r>
      <w:r w:rsidRPr="005B33A1">
        <w:rPr>
          <w:i/>
          <w:iCs/>
        </w:rPr>
        <w:t>about</w:t>
      </w:r>
      <w:r w:rsidR="003D640C" w:rsidRPr="005B33A1">
        <w:rPr>
          <w:i/>
          <w:iCs/>
        </w:rPr>
        <w:t xml:space="preserve"> </w:t>
      </w:r>
      <w:r w:rsidRPr="005B33A1">
        <w:rPr>
          <w:i/>
          <w:iCs/>
        </w:rPr>
        <w:t>homophobic</w:t>
      </w:r>
      <w:r w:rsidR="003D640C" w:rsidRPr="005B33A1">
        <w:rPr>
          <w:i/>
          <w:iCs/>
        </w:rPr>
        <w:t xml:space="preserve"> </w:t>
      </w:r>
      <w:r w:rsidRPr="005B33A1">
        <w:rPr>
          <w:i/>
          <w:iCs/>
        </w:rPr>
        <w:t>comments,</w:t>
      </w:r>
      <w:r w:rsidR="003D640C" w:rsidRPr="005B33A1">
        <w:rPr>
          <w:i/>
          <w:iCs/>
        </w:rPr>
        <w:t xml:space="preserve"> </w:t>
      </w:r>
      <w:r w:rsidRPr="005B33A1">
        <w:rPr>
          <w:i/>
          <w:iCs/>
        </w:rPr>
        <w:t>eyes</w:t>
      </w:r>
      <w:r w:rsidR="003D640C" w:rsidRPr="005B33A1">
        <w:rPr>
          <w:i/>
          <w:iCs/>
        </w:rPr>
        <w:t xml:space="preserve"> </w:t>
      </w:r>
      <w:r w:rsidRPr="005B33A1">
        <w:rPr>
          <w:i/>
          <w:iCs/>
        </w:rPr>
        <w:t>international</w:t>
      </w:r>
      <w:r w:rsidR="003D640C" w:rsidRPr="005B33A1">
        <w:rPr>
          <w:i/>
          <w:iCs/>
        </w:rPr>
        <w:t xml:space="preserve"> </w:t>
      </w:r>
      <w:r w:rsidRPr="005B33A1">
        <w:rPr>
          <w:i/>
          <w:iCs/>
        </w:rPr>
        <w:t>return</w:t>
      </w:r>
      <w:r w:rsidRPr="00B6157E">
        <w:t>.</w:t>
      </w:r>
      <w:r w:rsidR="003D640C" w:rsidRPr="00B6157E">
        <w:t xml:space="preserve"> </w:t>
      </w:r>
      <w:hyperlink r:id="rId123" w:history="1">
        <w:r w:rsidR="00821FE1" w:rsidRPr="00B6157E">
          <w:rPr>
            <w:rStyle w:val="Hyperlink"/>
          </w:rPr>
          <w:t>https://www.nzherald.co.nz/sport/rugby-israel-folau-has-no-regrets-about-homophobic-comments-eyes-international-return/E5WZX4N373PT74SM7CHEH2KXQE/</w:t>
        </w:r>
      </w:hyperlink>
    </w:p>
    <w:p w14:paraId="7372E0C3" w14:textId="35D40F76" w:rsidR="00F01386" w:rsidRDefault="00F01386" w:rsidP="00E00167">
      <w:pPr>
        <w:pStyle w:val="Reference"/>
      </w:pPr>
      <w:r w:rsidRPr="005B33A1">
        <w:t>NZ</w:t>
      </w:r>
      <w:r w:rsidR="003D640C" w:rsidRPr="00B6157E">
        <w:t xml:space="preserve"> </w:t>
      </w:r>
      <w:r w:rsidRPr="00B6157E">
        <w:t>Truth.</w:t>
      </w:r>
      <w:r w:rsidR="003D640C" w:rsidRPr="00B6157E">
        <w:t xml:space="preserve"> </w:t>
      </w:r>
      <w:r w:rsidRPr="00B6157E">
        <w:t>(1929,</w:t>
      </w:r>
      <w:r w:rsidR="003D640C" w:rsidRPr="00B6157E">
        <w:t xml:space="preserve"> </w:t>
      </w:r>
      <w:r w:rsidRPr="00B6157E">
        <w:t>May</w:t>
      </w:r>
      <w:r w:rsidR="00B11068" w:rsidRPr="00B6157E">
        <w:t xml:space="preserve"> 9</w:t>
      </w:r>
      <w:r w:rsidRPr="00B6157E">
        <w:t>)</w:t>
      </w:r>
      <w:r w:rsidR="00B11068" w:rsidRPr="00B6157E">
        <w:t>.</w:t>
      </w:r>
      <w:r w:rsidR="003D640C" w:rsidRPr="00B6157E">
        <w:t xml:space="preserve"> </w:t>
      </w:r>
      <w:r w:rsidRPr="00B6157E">
        <w:rPr>
          <w:i/>
          <w:iCs/>
          <w:lang w:val="mi-NZ"/>
        </w:rPr>
        <w:t>Man</w:t>
      </w:r>
      <w:r w:rsidR="003D640C" w:rsidRPr="00B6157E">
        <w:rPr>
          <w:i/>
          <w:iCs/>
          <w:lang w:val="mi-NZ"/>
        </w:rPr>
        <w:t xml:space="preserve"> </w:t>
      </w:r>
      <w:r w:rsidRPr="00B6157E">
        <w:rPr>
          <w:i/>
          <w:iCs/>
          <w:lang w:val="mi-NZ"/>
        </w:rPr>
        <w:t>with</w:t>
      </w:r>
      <w:r w:rsidR="003D640C" w:rsidRPr="00B6157E">
        <w:rPr>
          <w:i/>
          <w:iCs/>
          <w:lang w:val="mi-NZ"/>
        </w:rPr>
        <w:t xml:space="preserve"> </w:t>
      </w:r>
      <w:r w:rsidRPr="00B6157E">
        <w:rPr>
          <w:i/>
          <w:iCs/>
          <w:lang w:val="mi-NZ"/>
        </w:rPr>
        <w:t>female</w:t>
      </w:r>
      <w:r w:rsidR="003D640C" w:rsidRPr="00B6157E">
        <w:rPr>
          <w:i/>
          <w:iCs/>
          <w:lang w:val="mi-NZ"/>
        </w:rPr>
        <w:t xml:space="preserve"> </w:t>
      </w:r>
      <w:r w:rsidRPr="00B6157E">
        <w:rPr>
          <w:i/>
          <w:iCs/>
          <w:lang w:val="mi-NZ"/>
        </w:rPr>
        <w:t>mentality</w:t>
      </w:r>
      <w:r w:rsidRPr="00B6157E">
        <w:rPr>
          <w:lang w:val="mi-NZ"/>
        </w:rPr>
        <w:t>.</w:t>
      </w:r>
      <w:r w:rsidR="003D640C" w:rsidRPr="00B6157E" w:rsidDel="00B11068">
        <w:rPr>
          <w:lang w:val="mi-NZ"/>
        </w:rPr>
        <w:t xml:space="preserve"> </w:t>
      </w:r>
      <w:hyperlink r:id="rId124" w:history="1">
        <w:r w:rsidR="00B11068" w:rsidRPr="00B6157E">
          <w:rPr>
            <w:rStyle w:val="Hyperlink"/>
          </w:rPr>
          <w:t>https://paperspast.natlib.govt.nz/newspapers/NZTR19290509.2.8</w:t>
        </w:r>
      </w:hyperlink>
      <w:r w:rsidR="00B11068">
        <w:t xml:space="preserve"> </w:t>
      </w:r>
      <w:r w:rsidR="003D640C">
        <w:t xml:space="preserve"> </w:t>
      </w:r>
    </w:p>
    <w:p w14:paraId="7D9A31B6" w14:textId="00AC89ED" w:rsidR="00E21946" w:rsidRPr="00B6157E" w:rsidRDefault="00E21946" w:rsidP="005B33A1">
      <w:pPr>
        <w:pStyle w:val="Reference"/>
      </w:pPr>
      <w:r w:rsidRPr="00B6157E">
        <w:t>Oliphant, J., Veale, J., Macdonald</w:t>
      </w:r>
      <w:r w:rsidR="003C7279" w:rsidRPr="00B6157E">
        <w:t>,</w:t>
      </w:r>
      <w:r w:rsidRPr="00B6157E">
        <w:t xml:space="preserve"> J., Carroll, R., Johnson, R., Harte, M., Stephenson, C., &amp; Bullock, J. (2018)</w:t>
      </w:r>
      <w:r w:rsidR="003C7279" w:rsidRPr="00B6157E">
        <w:t>.</w:t>
      </w:r>
      <w:r w:rsidRPr="00B6157E">
        <w:t xml:space="preserve"> </w:t>
      </w:r>
      <w:r w:rsidRPr="005B33A1">
        <w:rPr>
          <w:i/>
          <w:iCs/>
        </w:rPr>
        <w:t>Guidelines for gender affirming healthcare for gender diverse and transgender children, young people and adults in Aotearoa, New Zealand</w:t>
      </w:r>
      <w:r w:rsidRPr="00B6157E">
        <w:t>. Transgender Health Research Lab.</w:t>
      </w:r>
      <w:r w:rsidR="003C7279" w:rsidRPr="00B6157E">
        <w:t xml:space="preserve"> </w:t>
      </w:r>
      <w:hyperlink r:id="rId125" w:history="1">
        <w:r w:rsidR="003C7279" w:rsidRPr="00B6157E">
          <w:rPr>
            <w:rStyle w:val="Hyperlink"/>
          </w:rPr>
          <w:t>https://researchcommons.waikato.ac.nz/items/e57d0714-dd18-4dc4-a7cb-ae9ad3b758d3</w:t>
        </w:r>
      </w:hyperlink>
      <w:r w:rsidR="003C7279" w:rsidRPr="00B6157E">
        <w:t xml:space="preserve"> </w:t>
      </w:r>
    </w:p>
    <w:p w14:paraId="50F19DD0" w14:textId="2C7280D7" w:rsidR="00F01386" w:rsidRPr="00B6157E" w:rsidRDefault="00F01386" w:rsidP="00E00167">
      <w:pPr>
        <w:pStyle w:val="Reference"/>
        <w:rPr>
          <w:rStyle w:val="Hyperlink"/>
          <w:rFonts w:ascii="Calibri" w:hAnsi="Calibri" w:cs="Calibri"/>
        </w:rPr>
      </w:pPr>
      <w:r w:rsidRPr="005B33A1">
        <w:rPr>
          <w:rFonts w:ascii="Calibri" w:hAnsi="Calibri" w:cs="Calibri"/>
        </w:rPr>
        <w:t>Parliamentary</w:t>
      </w:r>
      <w:r w:rsidR="003D640C" w:rsidRPr="00B6157E">
        <w:rPr>
          <w:rFonts w:ascii="Calibri" w:hAnsi="Calibri" w:cs="Calibri"/>
        </w:rPr>
        <w:t xml:space="preserve"> </w:t>
      </w:r>
      <w:r w:rsidRPr="00B6157E">
        <w:rPr>
          <w:rFonts w:ascii="Calibri" w:hAnsi="Calibri" w:cs="Calibri"/>
        </w:rPr>
        <w:t>Assembly.</w:t>
      </w:r>
      <w:r w:rsidR="003D640C" w:rsidRPr="00B6157E">
        <w:rPr>
          <w:rFonts w:ascii="Calibri" w:hAnsi="Calibri" w:cs="Calibri"/>
        </w:rPr>
        <w:t xml:space="preserve"> </w:t>
      </w:r>
      <w:r w:rsidRPr="00B6157E">
        <w:rPr>
          <w:rFonts w:ascii="Calibri" w:hAnsi="Calibri" w:cs="Calibri"/>
        </w:rPr>
        <w:t>(2017).</w:t>
      </w:r>
      <w:r w:rsidR="003D640C" w:rsidRPr="00B6157E">
        <w:rPr>
          <w:rFonts w:ascii="Calibri" w:hAnsi="Calibri" w:cs="Calibri"/>
        </w:rPr>
        <w:t xml:space="preserve"> </w:t>
      </w:r>
      <w:r w:rsidR="00F2190B" w:rsidRPr="00B6157E">
        <w:rPr>
          <w:rFonts w:ascii="Calibri" w:hAnsi="Calibri" w:cs="Calibri"/>
          <w:i/>
          <w:iCs/>
        </w:rPr>
        <w:t xml:space="preserve">Resolution 2191: </w:t>
      </w:r>
      <w:r w:rsidRPr="00B6157E">
        <w:rPr>
          <w:rFonts w:ascii="Calibri" w:hAnsi="Calibri" w:cs="Calibri"/>
          <w:i/>
          <w:iCs/>
        </w:rPr>
        <w:t>Promoting</w:t>
      </w:r>
      <w:r w:rsidR="003D640C" w:rsidRPr="00B6157E">
        <w:rPr>
          <w:rFonts w:ascii="Calibri" w:hAnsi="Calibri" w:cs="Calibri"/>
          <w:i/>
          <w:iCs/>
        </w:rPr>
        <w:t xml:space="preserve"> </w:t>
      </w:r>
      <w:r w:rsidRPr="00B6157E">
        <w:rPr>
          <w:rFonts w:ascii="Calibri" w:hAnsi="Calibri" w:cs="Calibri"/>
          <w:i/>
          <w:iCs/>
        </w:rPr>
        <w:t>the</w:t>
      </w:r>
      <w:r w:rsidR="003D640C" w:rsidRPr="00B6157E">
        <w:rPr>
          <w:rFonts w:ascii="Calibri" w:hAnsi="Calibri" w:cs="Calibri"/>
          <w:i/>
          <w:iCs/>
        </w:rPr>
        <w:t xml:space="preserve"> </w:t>
      </w:r>
      <w:r w:rsidRPr="00B6157E">
        <w:rPr>
          <w:rFonts w:ascii="Calibri" w:hAnsi="Calibri" w:cs="Calibri"/>
          <w:i/>
          <w:iCs/>
        </w:rPr>
        <w:t>human</w:t>
      </w:r>
      <w:r w:rsidR="003D640C" w:rsidRPr="00B6157E">
        <w:rPr>
          <w:rFonts w:ascii="Calibri" w:hAnsi="Calibri" w:cs="Calibri"/>
          <w:i/>
          <w:iCs/>
        </w:rPr>
        <w:t xml:space="preserve"> </w:t>
      </w:r>
      <w:r w:rsidRPr="00B6157E">
        <w:rPr>
          <w:rFonts w:ascii="Calibri" w:hAnsi="Calibri" w:cs="Calibri"/>
          <w:i/>
          <w:iCs/>
        </w:rPr>
        <w:t>rights</w:t>
      </w:r>
      <w:r w:rsidR="003D640C" w:rsidRPr="00B6157E">
        <w:rPr>
          <w:rFonts w:ascii="Calibri" w:hAnsi="Calibri" w:cs="Calibri"/>
          <w:i/>
          <w:iCs/>
        </w:rPr>
        <w:t xml:space="preserve"> </w:t>
      </w:r>
      <w:r w:rsidRPr="00B6157E">
        <w:rPr>
          <w:rFonts w:ascii="Calibri" w:hAnsi="Calibri" w:cs="Calibri"/>
          <w:i/>
          <w:iCs/>
        </w:rPr>
        <w:t>of</w:t>
      </w:r>
      <w:r w:rsidR="003D640C" w:rsidRPr="00B6157E">
        <w:rPr>
          <w:rFonts w:ascii="Calibri" w:hAnsi="Calibri" w:cs="Calibri"/>
          <w:i/>
          <w:iCs/>
        </w:rPr>
        <w:t xml:space="preserve"> </w:t>
      </w:r>
      <w:r w:rsidRPr="00B6157E">
        <w:rPr>
          <w:rFonts w:ascii="Calibri" w:hAnsi="Calibri" w:cs="Calibri"/>
          <w:i/>
          <w:iCs/>
        </w:rPr>
        <w:t>and</w:t>
      </w:r>
      <w:r w:rsidR="003D640C" w:rsidRPr="00B6157E">
        <w:rPr>
          <w:rFonts w:ascii="Calibri" w:hAnsi="Calibri" w:cs="Calibri"/>
          <w:i/>
          <w:iCs/>
        </w:rPr>
        <w:t xml:space="preserve"> </w:t>
      </w:r>
      <w:r w:rsidRPr="00B6157E">
        <w:rPr>
          <w:rFonts w:ascii="Calibri" w:hAnsi="Calibri" w:cs="Calibri"/>
          <w:i/>
          <w:iCs/>
        </w:rPr>
        <w:t>eliminating</w:t>
      </w:r>
      <w:r w:rsidR="003D640C" w:rsidRPr="00B6157E">
        <w:rPr>
          <w:rFonts w:ascii="Calibri" w:hAnsi="Calibri" w:cs="Calibri"/>
          <w:i/>
          <w:iCs/>
        </w:rPr>
        <w:t xml:space="preserve"> </w:t>
      </w:r>
      <w:r w:rsidRPr="00B6157E">
        <w:rPr>
          <w:rFonts w:ascii="Calibri" w:hAnsi="Calibri" w:cs="Calibri"/>
          <w:i/>
          <w:iCs/>
        </w:rPr>
        <w:t>discrimination</w:t>
      </w:r>
      <w:r w:rsidR="003D640C" w:rsidRPr="00B6157E">
        <w:rPr>
          <w:rFonts w:ascii="Calibri" w:hAnsi="Calibri" w:cs="Calibri"/>
          <w:i/>
          <w:iCs/>
        </w:rPr>
        <w:t xml:space="preserve"> </w:t>
      </w:r>
      <w:r w:rsidRPr="00B6157E">
        <w:rPr>
          <w:rFonts w:ascii="Calibri" w:hAnsi="Calibri" w:cs="Calibri"/>
          <w:i/>
          <w:iCs/>
        </w:rPr>
        <w:t>against</w:t>
      </w:r>
      <w:r w:rsidR="003D640C" w:rsidRPr="00B6157E">
        <w:rPr>
          <w:rFonts w:ascii="Calibri" w:hAnsi="Calibri" w:cs="Calibri"/>
          <w:i/>
          <w:iCs/>
        </w:rPr>
        <w:t xml:space="preserve"> </w:t>
      </w:r>
      <w:r w:rsidRPr="00B6157E">
        <w:rPr>
          <w:rFonts w:ascii="Calibri" w:hAnsi="Calibri" w:cs="Calibri"/>
          <w:i/>
          <w:iCs/>
        </w:rPr>
        <w:t>intersex</w:t>
      </w:r>
      <w:r w:rsidR="003D640C" w:rsidRPr="00B6157E">
        <w:rPr>
          <w:rFonts w:ascii="Calibri" w:hAnsi="Calibri" w:cs="Calibri"/>
          <w:i/>
          <w:iCs/>
        </w:rPr>
        <w:t xml:space="preserve"> </w:t>
      </w:r>
      <w:r w:rsidRPr="00B6157E">
        <w:rPr>
          <w:rFonts w:ascii="Calibri" w:hAnsi="Calibri" w:cs="Calibri"/>
          <w:i/>
          <w:iCs/>
        </w:rPr>
        <w:t>people</w:t>
      </w:r>
      <w:r w:rsidRPr="00B6157E">
        <w:rPr>
          <w:rFonts w:ascii="Calibri" w:hAnsi="Calibri" w:cs="Calibri"/>
        </w:rPr>
        <w:t>.</w:t>
      </w:r>
      <w:r w:rsidR="003D640C" w:rsidRPr="00B6157E">
        <w:rPr>
          <w:rFonts w:ascii="Calibri" w:hAnsi="Calibri" w:cs="Calibri"/>
        </w:rPr>
        <w:t xml:space="preserve"> </w:t>
      </w:r>
      <w:hyperlink r:id="rId126" w:history="1">
        <w:r w:rsidR="00F2190B" w:rsidRPr="00B6157E">
          <w:rPr>
            <w:rStyle w:val="Hyperlink"/>
            <w:rFonts w:ascii="Calibri" w:hAnsi="Calibri" w:cs="Calibri"/>
          </w:rPr>
          <w:t>https://assembly.coe.int/nw/xml/XRef/Xref-XML2HTML-en.asp?fileid=24232&amp;lang=en</w:t>
        </w:r>
      </w:hyperlink>
      <w:r w:rsidR="00F2190B" w:rsidRPr="00B6157E">
        <w:rPr>
          <w:rFonts w:ascii="Calibri" w:hAnsi="Calibri" w:cs="Calibri"/>
        </w:rPr>
        <w:t xml:space="preserve"> </w:t>
      </w:r>
    </w:p>
    <w:p w14:paraId="1677DFF1" w14:textId="4D67E19B" w:rsidR="00F01386" w:rsidRPr="00B6157E" w:rsidRDefault="00F01386" w:rsidP="00E00167">
      <w:pPr>
        <w:pStyle w:val="Reference"/>
      </w:pPr>
      <w:r w:rsidRPr="005B33A1">
        <w:t>Pierre</w:t>
      </w:r>
      <w:r w:rsidRPr="00B6157E">
        <w:t>,</w:t>
      </w:r>
      <w:r w:rsidR="003D640C" w:rsidRPr="00B6157E">
        <w:t xml:space="preserve"> </w:t>
      </w:r>
      <w:r w:rsidRPr="00B6157E">
        <w:t>J.</w:t>
      </w:r>
      <w:r w:rsidR="003D640C" w:rsidRPr="00B6157E">
        <w:t xml:space="preserve"> </w:t>
      </w:r>
      <w:r w:rsidRPr="00B6157E">
        <w:t>(2013)</w:t>
      </w:r>
      <w:r w:rsidR="00CD3E06" w:rsidRPr="00B6157E">
        <w:t>.</w:t>
      </w:r>
      <w:r w:rsidR="003D640C" w:rsidRPr="00B6157E">
        <w:t xml:space="preserve"> </w:t>
      </w:r>
      <w:r w:rsidRPr="00B6157E">
        <w:rPr>
          <w:i/>
          <w:iCs/>
        </w:rPr>
        <w:t>Diaspora</w:t>
      </w:r>
      <w:r w:rsidRPr="00B6157E">
        <w:t>.</w:t>
      </w:r>
      <w:r w:rsidR="003D640C" w:rsidRPr="00B6157E">
        <w:t xml:space="preserve"> </w:t>
      </w:r>
      <w:r w:rsidRPr="00B6157E">
        <w:t>Oxford</w:t>
      </w:r>
      <w:r w:rsidR="003D640C" w:rsidRPr="00B6157E">
        <w:t xml:space="preserve"> </w:t>
      </w:r>
      <w:r w:rsidRPr="00B6157E">
        <w:t>Bibliographies.</w:t>
      </w:r>
      <w:r w:rsidR="00CD3E06" w:rsidRPr="00B6157E">
        <w:t xml:space="preserve"> </w:t>
      </w:r>
      <w:hyperlink r:id="rId127" w:history="1">
        <w:r w:rsidR="00CD3E06" w:rsidRPr="00B6157E">
          <w:rPr>
            <w:rStyle w:val="Hyperlink"/>
          </w:rPr>
          <w:t>https://www.oxfordbibliographies.com/display/document/obo-9780199766567/obo-9780199766567-0091.xml</w:t>
        </w:r>
      </w:hyperlink>
      <w:r w:rsidR="00CD3E06" w:rsidRPr="00B6157E">
        <w:t xml:space="preserve"> </w:t>
      </w:r>
    </w:p>
    <w:p w14:paraId="43EF0FE8" w14:textId="7AF9DDB8" w:rsidR="00F01386" w:rsidRPr="00B6157E" w:rsidRDefault="00F01386" w:rsidP="00E00167">
      <w:pPr>
        <w:pStyle w:val="Reference"/>
      </w:pPr>
      <w:r w:rsidRPr="005B33A1">
        <w:t>Pihama</w:t>
      </w:r>
      <w:r w:rsidRPr="00B6157E">
        <w:t>,</w:t>
      </w:r>
      <w:r w:rsidR="003D640C" w:rsidRPr="00B6157E">
        <w:t xml:space="preserve"> </w:t>
      </w:r>
      <w:r w:rsidRPr="00B6157E">
        <w:t>L.,</w:t>
      </w:r>
      <w:r w:rsidR="003D640C" w:rsidRPr="00B6157E">
        <w:t xml:space="preserve"> </w:t>
      </w:r>
      <w:r w:rsidRPr="00B6157E">
        <w:t>Green,</w:t>
      </w:r>
      <w:r w:rsidR="003D640C" w:rsidRPr="00B6157E">
        <w:t xml:space="preserve"> </w:t>
      </w:r>
      <w:r w:rsidRPr="00B6157E">
        <w:t>A.,</w:t>
      </w:r>
      <w:r w:rsidR="003D640C" w:rsidRPr="00B6157E">
        <w:t xml:space="preserve"> </w:t>
      </w:r>
      <w:r w:rsidRPr="00B6157E">
        <w:t>Mika,</w:t>
      </w:r>
      <w:r w:rsidR="003D640C" w:rsidRPr="00B6157E">
        <w:t xml:space="preserve"> </w:t>
      </w:r>
      <w:r w:rsidRPr="00B6157E">
        <w:t>C.,</w:t>
      </w:r>
      <w:r w:rsidR="003D640C" w:rsidRPr="00B6157E">
        <w:t xml:space="preserve"> </w:t>
      </w:r>
      <w:r w:rsidRPr="00B6157E">
        <w:t>Roskrudge,</w:t>
      </w:r>
      <w:r w:rsidR="003D640C" w:rsidRPr="00B6157E">
        <w:t xml:space="preserve"> </w:t>
      </w:r>
      <w:r w:rsidRPr="00B6157E">
        <w:t>M.,</w:t>
      </w:r>
      <w:r w:rsidR="003D640C" w:rsidRPr="00B6157E">
        <w:t xml:space="preserve"> </w:t>
      </w:r>
      <w:r w:rsidRPr="00B6157E">
        <w:t>Simmonds,</w:t>
      </w:r>
      <w:r w:rsidR="003D640C" w:rsidRPr="00B6157E">
        <w:t xml:space="preserve"> </w:t>
      </w:r>
      <w:r w:rsidRPr="00B6157E">
        <w:t>S.,</w:t>
      </w:r>
      <w:r w:rsidR="003D640C" w:rsidRPr="00B6157E">
        <w:t xml:space="preserve"> </w:t>
      </w:r>
      <w:r w:rsidRPr="00B6157E">
        <w:t>Nopera,</w:t>
      </w:r>
      <w:r w:rsidR="003D640C" w:rsidRPr="00B6157E">
        <w:t xml:space="preserve"> </w:t>
      </w:r>
      <w:r w:rsidRPr="00B6157E">
        <w:t>T.,</w:t>
      </w:r>
      <w:r w:rsidR="003D640C" w:rsidRPr="00B6157E">
        <w:t xml:space="preserve"> </w:t>
      </w:r>
      <w:r w:rsidRPr="00B6157E">
        <w:t>Skipper,</w:t>
      </w:r>
      <w:r w:rsidR="003D640C" w:rsidRPr="00B6157E">
        <w:t xml:space="preserve"> </w:t>
      </w:r>
      <w:r w:rsidRPr="00B6157E">
        <w:t>H.</w:t>
      </w:r>
      <w:r w:rsidR="00C945CA" w:rsidRPr="00B6157E">
        <w:t>,</w:t>
      </w:r>
      <w:r w:rsidR="003D640C" w:rsidRPr="00B6157E">
        <w:t xml:space="preserve"> </w:t>
      </w:r>
      <w:r w:rsidR="00C945CA" w:rsidRPr="00B6157E">
        <w:t>&amp;</w:t>
      </w:r>
      <w:r w:rsidR="003D640C" w:rsidRPr="00B6157E">
        <w:t xml:space="preserve"> </w:t>
      </w:r>
      <w:r w:rsidRPr="00B6157E">
        <w:t>Laurence</w:t>
      </w:r>
      <w:r w:rsidR="00C945CA" w:rsidRPr="00B6157E">
        <w:t>, R</w:t>
      </w:r>
      <w:r w:rsidRPr="00B6157E">
        <w:t>.</w:t>
      </w:r>
      <w:r w:rsidR="003D640C" w:rsidRPr="00B6157E">
        <w:t xml:space="preserve"> </w:t>
      </w:r>
      <w:r w:rsidRPr="00B6157E">
        <w:t>(2020).</w:t>
      </w:r>
      <w:r w:rsidR="003D640C" w:rsidRPr="00B6157E">
        <w:t xml:space="preserve"> </w:t>
      </w:r>
      <w:r w:rsidRPr="00B6157E">
        <w:rPr>
          <w:i/>
          <w:iCs/>
        </w:rPr>
        <w:t>Honour</w:t>
      </w:r>
      <w:r w:rsidR="003D640C" w:rsidRPr="00B6157E">
        <w:rPr>
          <w:i/>
          <w:iCs/>
        </w:rPr>
        <w:t xml:space="preserve"> </w:t>
      </w:r>
      <w:r w:rsidRPr="00B6157E">
        <w:rPr>
          <w:i/>
          <w:iCs/>
        </w:rPr>
        <w:t>Project</w:t>
      </w:r>
      <w:r w:rsidR="003D640C" w:rsidRPr="00B6157E">
        <w:rPr>
          <w:i/>
          <w:iCs/>
        </w:rPr>
        <w:t xml:space="preserve"> </w:t>
      </w:r>
      <w:r w:rsidRPr="00B6157E">
        <w:rPr>
          <w:i/>
          <w:iCs/>
        </w:rPr>
        <w:t>Aotearoa</w:t>
      </w:r>
      <w:r w:rsidRPr="00B6157E">
        <w:t>.</w:t>
      </w:r>
      <w:r w:rsidR="003D640C" w:rsidRPr="00B6157E">
        <w:t xml:space="preserve"> </w:t>
      </w:r>
      <w:r w:rsidRPr="00B6157E">
        <w:t>Te</w:t>
      </w:r>
      <w:r w:rsidR="003D640C" w:rsidRPr="00B6157E">
        <w:t xml:space="preserve"> </w:t>
      </w:r>
      <w:r w:rsidRPr="00B6157E">
        <w:t>Kotahi</w:t>
      </w:r>
      <w:r w:rsidR="003D640C" w:rsidRPr="00B6157E">
        <w:t xml:space="preserve"> </w:t>
      </w:r>
      <w:r w:rsidRPr="00B6157E">
        <w:t>Research</w:t>
      </w:r>
      <w:r w:rsidR="003D640C" w:rsidRPr="00B6157E">
        <w:t xml:space="preserve"> </w:t>
      </w:r>
      <w:r w:rsidRPr="00B6157E">
        <w:t>Institute.</w:t>
      </w:r>
      <w:r w:rsidR="003D640C" w:rsidRPr="00B6157E">
        <w:t xml:space="preserve"> </w:t>
      </w:r>
      <w:hyperlink r:id="rId128" w:history="1">
        <w:r w:rsidR="00C945CA" w:rsidRPr="00B6157E">
          <w:rPr>
            <w:rStyle w:val="Hyperlink"/>
          </w:rPr>
          <w:t>https://apo.org.au/sites/default/files/resource-files/2020-07/apo-nid310761.pdf</w:t>
        </w:r>
      </w:hyperlink>
      <w:r w:rsidR="00C945CA" w:rsidRPr="00B6157E">
        <w:t xml:space="preserve">  </w:t>
      </w:r>
    </w:p>
    <w:p w14:paraId="454218D6" w14:textId="65074BEF" w:rsidR="00F01386" w:rsidRPr="00875F60" w:rsidRDefault="00F01386" w:rsidP="00E00167">
      <w:pPr>
        <w:pStyle w:val="Reference"/>
      </w:pPr>
      <w:r w:rsidRPr="005B33A1">
        <w:t>Pooley</w:t>
      </w:r>
      <w:r w:rsidRPr="00B6157E">
        <w:t>,</w:t>
      </w:r>
      <w:r w:rsidR="003D640C" w:rsidRPr="00B6157E">
        <w:t xml:space="preserve"> </w:t>
      </w:r>
      <w:r w:rsidRPr="00B6157E">
        <w:t>L.</w:t>
      </w:r>
      <w:r w:rsidR="003D640C" w:rsidRPr="00B6157E">
        <w:t xml:space="preserve"> </w:t>
      </w:r>
      <w:r w:rsidRPr="00B6157E">
        <w:t>(Producer</w:t>
      </w:r>
      <w:r w:rsidRPr="00875F60">
        <w:t>).</w:t>
      </w:r>
      <w:r w:rsidR="003D640C">
        <w:t xml:space="preserve"> </w:t>
      </w:r>
      <w:r w:rsidRPr="00875F60">
        <w:t>(2022).</w:t>
      </w:r>
      <w:r w:rsidR="003D640C">
        <w:t xml:space="preserve"> </w:t>
      </w:r>
      <w:r w:rsidRPr="00875F60">
        <w:rPr>
          <w:i/>
          <w:iCs/>
        </w:rPr>
        <w:t>Beyond</w:t>
      </w:r>
      <w:r w:rsidR="003D640C">
        <w:rPr>
          <w:i/>
          <w:iCs/>
        </w:rPr>
        <w:t xml:space="preserve"> </w:t>
      </w:r>
      <w:r w:rsidR="004D4891">
        <w:rPr>
          <w:i/>
          <w:iCs/>
        </w:rPr>
        <w:t>c</w:t>
      </w:r>
      <w:r w:rsidRPr="00875F60">
        <w:rPr>
          <w:i/>
          <w:iCs/>
        </w:rPr>
        <w:t>onversion</w:t>
      </w:r>
      <w:r w:rsidR="003D640C">
        <w:rPr>
          <w:i/>
          <w:iCs/>
        </w:rPr>
        <w:t xml:space="preserve"> </w:t>
      </w:r>
      <w:r w:rsidRPr="007B139B">
        <w:t>[Documentary]</w:t>
      </w:r>
      <w:r w:rsidRPr="00875F60">
        <w:rPr>
          <w:i/>
          <w:iCs/>
        </w:rPr>
        <w:t>.</w:t>
      </w:r>
      <w:r w:rsidR="003D640C">
        <w:t xml:space="preserve"> </w:t>
      </w:r>
      <w:r w:rsidRPr="00875F60">
        <w:t>Irirangi</w:t>
      </w:r>
      <w:r w:rsidR="003D640C">
        <w:t xml:space="preserve"> </w:t>
      </w:r>
      <w:r w:rsidRPr="00875F60">
        <w:t>Te</w:t>
      </w:r>
      <w:r w:rsidR="003D640C">
        <w:t xml:space="preserve"> </w:t>
      </w:r>
      <w:r w:rsidRPr="00875F60">
        <w:t>Moto</w:t>
      </w:r>
      <w:r w:rsidR="003D640C">
        <w:t xml:space="preserve"> </w:t>
      </w:r>
      <w:r w:rsidR="004D4891">
        <w:t>|</w:t>
      </w:r>
      <w:r w:rsidR="003D640C">
        <w:t xml:space="preserve"> </w:t>
      </w:r>
      <w:r w:rsidRPr="00875F60">
        <w:t>New</w:t>
      </w:r>
      <w:r w:rsidR="003D640C">
        <w:t xml:space="preserve"> </w:t>
      </w:r>
      <w:r w:rsidRPr="00875F60">
        <w:t>Zealand</w:t>
      </w:r>
      <w:r w:rsidR="003D640C">
        <w:t xml:space="preserve"> </w:t>
      </w:r>
      <w:r w:rsidRPr="00875F60">
        <w:t>on</w:t>
      </w:r>
      <w:r w:rsidR="003D640C">
        <w:t xml:space="preserve"> </w:t>
      </w:r>
      <w:r w:rsidRPr="00875F60">
        <w:t>Air</w:t>
      </w:r>
      <w:r w:rsidR="003D640C">
        <w:t xml:space="preserve"> </w:t>
      </w:r>
      <w:r w:rsidRPr="00875F60">
        <w:t>and</w:t>
      </w:r>
      <w:r w:rsidR="003D640C">
        <w:t xml:space="preserve"> </w:t>
      </w:r>
      <w:r w:rsidRPr="00875F60">
        <w:t>TVNZ.</w:t>
      </w:r>
      <w:r w:rsidR="003D640C">
        <w:t xml:space="preserve"> </w:t>
      </w:r>
      <w:hyperlink r:id="rId129" w:history="1">
        <w:r w:rsidR="004D4891" w:rsidRPr="00790237">
          <w:rPr>
            <w:rStyle w:val="Hyperlink"/>
          </w:rPr>
          <w:t>https://www.tvnz.co.nz/shows/beyond-conversion/episodes/s1-e1</w:t>
        </w:r>
      </w:hyperlink>
      <w:r w:rsidR="004D4891">
        <w:t xml:space="preserve"> </w:t>
      </w:r>
      <w:r w:rsidR="003D640C">
        <w:rPr>
          <w:rStyle w:val="Hyperlink"/>
        </w:rPr>
        <w:t xml:space="preserve"> </w:t>
      </w:r>
    </w:p>
    <w:p w14:paraId="3CCD7BF4" w14:textId="63F8F892" w:rsidR="00F01386" w:rsidRPr="00B6157E" w:rsidRDefault="00F01386" w:rsidP="00E00167">
      <w:pPr>
        <w:pStyle w:val="Reference"/>
        <w:rPr>
          <w:lang w:val="en-US"/>
        </w:rPr>
      </w:pPr>
      <w:r w:rsidRPr="005B33A1">
        <w:rPr>
          <w:lang w:val="en-US"/>
        </w:rPr>
        <w:lastRenderedPageBreak/>
        <w:t>Power</w:t>
      </w:r>
      <w:r w:rsidRPr="00B6157E">
        <w:rPr>
          <w:lang w:val="en-US"/>
        </w:rPr>
        <w:t>,</w:t>
      </w:r>
      <w:r w:rsidR="003D640C" w:rsidRPr="00B6157E">
        <w:rPr>
          <w:lang w:val="en-US"/>
        </w:rPr>
        <w:t xml:space="preserve"> </w:t>
      </w:r>
      <w:r w:rsidRPr="00B6157E">
        <w:rPr>
          <w:lang w:val="en-US"/>
        </w:rPr>
        <w:t>J.,</w:t>
      </w:r>
      <w:r w:rsidR="003D640C" w:rsidRPr="00B6157E">
        <w:rPr>
          <w:lang w:val="en-US"/>
        </w:rPr>
        <w:t xml:space="preserve"> </w:t>
      </w:r>
      <w:r w:rsidRPr="00B6157E">
        <w:rPr>
          <w:lang w:val="en-US"/>
        </w:rPr>
        <w:t>Jones,</w:t>
      </w:r>
      <w:r w:rsidR="003D640C" w:rsidRPr="00B6157E">
        <w:rPr>
          <w:lang w:val="en-US"/>
        </w:rPr>
        <w:t xml:space="preserve"> </w:t>
      </w:r>
      <w:r w:rsidRPr="00B6157E">
        <w:rPr>
          <w:lang w:val="en-US"/>
        </w:rPr>
        <w:t>T.</w:t>
      </w:r>
      <w:r w:rsidR="003D640C" w:rsidRPr="00B6157E">
        <w:rPr>
          <w:lang w:val="en-US"/>
        </w:rPr>
        <w:t xml:space="preserve"> </w:t>
      </w:r>
      <w:r w:rsidRPr="00B6157E">
        <w:rPr>
          <w:lang w:val="en-US"/>
        </w:rPr>
        <w:t>W.,</w:t>
      </w:r>
      <w:r w:rsidR="003D640C" w:rsidRPr="00B6157E">
        <w:rPr>
          <w:lang w:val="en-US"/>
        </w:rPr>
        <w:t xml:space="preserve"> </w:t>
      </w:r>
      <w:r w:rsidRPr="00B6157E">
        <w:rPr>
          <w:lang w:val="en-US"/>
        </w:rPr>
        <w:t>Jones,</w:t>
      </w:r>
      <w:r w:rsidR="003D640C" w:rsidRPr="00B6157E">
        <w:rPr>
          <w:lang w:val="en-US"/>
        </w:rPr>
        <w:t xml:space="preserve"> </w:t>
      </w:r>
      <w:r w:rsidRPr="00B6157E">
        <w:rPr>
          <w:lang w:val="en-US"/>
        </w:rPr>
        <w:t>T.,</w:t>
      </w:r>
      <w:r w:rsidR="003D640C" w:rsidRPr="00B6157E">
        <w:rPr>
          <w:lang w:val="en-US"/>
        </w:rPr>
        <w:t xml:space="preserve"> </w:t>
      </w:r>
      <w:r w:rsidRPr="00B6157E">
        <w:rPr>
          <w:lang w:val="en-US"/>
        </w:rPr>
        <w:t>Despott,</w:t>
      </w:r>
      <w:r w:rsidR="003D640C" w:rsidRPr="00B6157E">
        <w:rPr>
          <w:lang w:val="en-US"/>
        </w:rPr>
        <w:t xml:space="preserve"> </w:t>
      </w:r>
      <w:r w:rsidRPr="00B6157E">
        <w:rPr>
          <w:lang w:val="en-US"/>
        </w:rPr>
        <w:t>N.,</w:t>
      </w:r>
      <w:r w:rsidR="003D0CB2" w:rsidRPr="00B6157E">
        <w:rPr>
          <w:lang w:val="en-US"/>
        </w:rPr>
        <w:t xml:space="preserve"> </w:t>
      </w:r>
      <w:r w:rsidRPr="00B6157E">
        <w:rPr>
          <w:lang w:val="en-US"/>
        </w:rPr>
        <w:t>Pallotta-Chiarolli,</w:t>
      </w:r>
      <w:r w:rsidR="003D640C" w:rsidRPr="00B6157E">
        <w:rPr>
          <w:lang w:val="en-US"/>
        </w:rPr>
        <w:t xml:space="preserve"> </w:t>
      </w:r>
      <w:r w:rsidRPr="00B6157E">
        <w:rPr>
          <w:lang w:val="en-US"/>
        </w:rPr>
        <w:t>M.,</w:t>
      </w:r>
      <w:r w:rsidR="003D640C" w:rsidRPr="00B6157E">
        <w:rPr>
          <w:lang w:val="en-US"/>
        </w:rPr>
        <w:t xml:space="preserve"> </w:t>
      </w:r>
      <w:r w:rsidRPr="00B6157E">
        <w:rPr>
          <w:lang w:val="en-US"/>
        </w:rPr>
        <w:t>&amp;</w:t>
      </w:r>
      <w:r w:rsidR="003D640C" w:rsidRPr="00B6157E">
        <w:rPr>
          <w:lang w:val="en-US"/>
        </w:rPr>
        <w:t xml:space="preserve"> </w:t>
      </w:r>
      <w:r w:rsidRPr="00B6157E">
        <w:rPr>
          <w:lang w:val="en-US"/>
        </w:rPr>
        <w:t>Anderson,</w:t>
      </w:r>
      <w:r w:rsidR="003D640C" w:rsidRPr="00B6157E">
        <w:rPr>
          <w:lang w:val="en-US"/>
        </w:rPr>
        <w:t xml:space="preserve"> </w:t>
      </w:r>
      <w:r w:rsidRPr="00B6157E">
        <w:rPr>
          <w:lang w:val="en-US"/>
        </w:rPr>
        <w:t>J.</w:t>
      </w:r>
      <w:r w:rsidR="003D640C" w:rsidRPr="00B6157E">
        <w:rPr>
          <w:lang w:val="en-US"/>
        </w:rPr>
        <w:t xml:space="preserve"> </w:t>
      </w:r>
      <w:r w:rsidRPr="00B6157E">
        <w:rPr>
          <w:lang w:val="en-US"/>
        </w:rPr>
        <w:t>(2022).</w:t>
      </w:r>
      <w:r w:rsidR="003D640C" w:rsidRPr="00B6157E">
        <w:rPr>
          <w:lang w:val="en-US"/>
        </w:rPr>
        <w:t xml:space="preserve"> </w:t>
      </w:r>
      <w:r w:rsidRPr="00B6157E">
        <w:rPr>
          <w:lang w:val="en-US"/>
        </w:rPr>
        <w:t>Better</w:t>
      </w:r>
      <w:r w:rsidR="003D640C" w:rsidRPr="00B6157E">
        <w:rPr>
          <w:lang w:val="en-US"/>
        </w:rPr>
        <w:t xml:space="preserve"> </w:t>
      </w:r>
      <w:r w:rsidRPr="00B6157E">
        <w:rPr>
          <w:lang w:val="en-US"/>
        </w:rPr>
        <w:t>understanding</w:t>
      </w:r>
      <w:r w:rsidR="003D640C" w:rsidRPr="00B6157E">
        <w:rPr>
          <w:lang w:val="en-US"/>
        </w:rPr>
        <w:t xml:space="preserve"> </w:t>
      </w:r>
      <w:r w:rsidRPr="00B6157E">
        <w:rPr>
          <w:lang w:val="en-US"/>
        </w:rPr>
        <w:t>of</w:t>
      </w:r>
      <w:r w:rsidR="003D640C" w:rsidRPr="00B6157E">
        <w:rPr>
          <w:lang w:val="en-US"/>
        </w:rPr>
        <w:t xml:space="preserve"> </w:t>
      </w:r>
      <w:r w:rsidRPr="00B6157E">
        <w:rPr>
          <w:lang w:val="en-US"/>
        </w:rPr>
        <w:t>the</w:t>
      </w:r>
      <w:r w:rsidR="003D640C" w:rsidRPr="00B6157E">
        <w:rPr>
          <w:lang w:val="en-US"/>
        </w:rPr>
        <w:t xml:space="preserve"> </w:t>
      </w:r>
      <w:r w:rsidRPr="00B6157E">
        <w:rPr>
          <w:lang w:val="en-US"/>
        </w:rPr>
        <w:t>scope</w:t>
      </w:r>
      <w:r w:rsidR="003D640C" w:rsidRPr="00B6157E">
        <w:rPr>
          <w:lang w:val="en-US"/>
        </w:rPr>
        <w:t xml:space="preserve"> </w:t>
      </w:r>
      <w:r w:rsidRPr="00B6157E">
        <w:rPr>
          <w:lang w:val="en-US"/>
        </w:rPr>
        <w:t>and</w:t>
      </w:r>
      <w:r w:rsidR="003D640C" w:rsidRPr="00B6157E">
        <w:rPr>
          <w:lang w:val="en-US"/>
        </w:rPr>
        <w:t xml:space="preserve"> </w:t>
      </w:r>
      <w:r w:rsidRPr="00B6157E">
        <w:rPr>
          <w:lang w:val="en-US"/>
        </w:rPr>
        <w:t>nature</w:t>
      </w:r>
      <w:r w:rsidR="003D640C" w:rsidRPr="00B6157E">
        <w:rPr>
          <w:lang w:val="en-US"/>
        </w:rPr>
        <w:t xml:space="preserve"> </w:t>
      </w:r>
      <w:r w:rsidRPr="00B6157E">
        <w:rPr>
          <w:lang w:val="en-US"/>
        </w:rPr>
        <w:t>of</w:t>
      </w:r>
      <w:r w:rsidR="003D640C" w:rsidRPr="00B6157E">
        <w:rPr>
          <w:lang w:val="en-US"/>
        </w:rPr>
        <w:t xml:space="preserve"> </w:t>
      </w:r>
      <w:r w:rsidRPr="00B6157E">
        <w:rPr>
          <w:lang w:val="en-US"/>
        </w:rPr>
        <w:t>LGBTQA+</w:t>
      </w:r>
      <w:r w:rsidR="003D640C" w:rsidRPr="00B6157E">
        <w:rPr>
          <w:lang w:val="en-US"/>
        </w:rPr>
        <w:t xml:space="preserve"> </w:t>
      </w:r>
      <w:r w:rsidRPr="00B6157E">
        <w:rPr>
          <w:lang w:val="en-US"/>
        </w:rPr>
        <w:t>religious</w:t>
      </w:r>
      <w:r w:rsidR="003D640C" w:rsidRPr="00B6157E">
        <w:rPr>
          <w:lang w:val="en-US"/>
        </w:rPr>
        <w:t xml:space="preserve"> </w:t>
      </w:r>
      <w:r w:rsidRPr="00B6157E">
        <w:rPr>
          <w:lang w:val="en-US"/>
        </w:rPr>
        <w:t>conversion</w:t>
      </w:r>
      <w:r w:rsidR="003D640C" w:rsidRPr="00B6157E">
        <w:rPr>
          <w:lang w:val="en-US"/>
        </w:rPr>
        <w:t xml:space="preserve"> </w:t>
      </w:r>
      <w:r w:rsidRPr="00B6157E">
        <w:rPr>
          <w:lang w:val="en-US"/>
        </w:rPr>
        <w:t>practices</w:t>
      </w:r>
      <w:r w:rsidR="003D640C" w:rsidRPr="00B6157E">
        <w:rPr>
          <w:lang w:val="en-US"/>
        </w:rPr>
        <w:t xml:space="preserve"> </w:t>
      </w:r>
      <w:r w:rsidRPr="00B6157E">
        <w:rPr>
          <w:lang w:val="en-US"/>
        </w:rPr>
        <w:t>will</w:t>
      </w:r>
      <w:r w:rsidR="003D640C" w:rsidRPr="00B6157E">
        <w:rPr>
          <w:lang w:val="en-US"/>
        </w:rPr>
        <w:t xml:space="preserve"> </w:t>
      </w:r>
      <w:r w:rsidRPr="00B6157E">
        <w:rPr>
          <w:lang w:val="en-US"/>
        </w:rPr>
        <w:t>support</w:t>
      </w:r>
      <w:r w:rsidR="003D640C" w:rsidRPr="00B6157E">
        <w:rPr>
          <w:lang w:val="en-US"/>
        </w:rPr>
        <w:t xml:space="preserve"> </w:t>
      </w:r>
      <w:r w:rsidRPr="00B6157E">
        <w:rPr>
          <w:lang w:val="en-US"/>
        </w:rPr>
        <w:t>recovery.</w:t>
      </w:r>
      <w:r w:rsidR="003D640C" w:rsidRPr="00B6157E">
        <w:rPr>
          <w:lang w:val="en-US"/>
        </w:rPr>
        <w:t xml:space="preserve"> </w:t>
      </w:r>
      <w:r w:rsidRPr="00B6157E">
        <w:rPr>
          <w:i/>
          <w:iCs/>
          <w:lang w:val="en-US"/>
        </w:rPr>
        <w:t>Medical</w:t>
      </w:r>
      <w:r w:rsidR="003D640C" w:rsidRPr="00B6157E">
        <w:rPr>
          <w:i/>
          <w:iCs/>
          <w:lang w:val="en-US"/>
        </w:rPr>
        <w:t xml:space="preserve"> </w:t>
      </w:r>
      <w:r w:rsidRPr="00B6157E">
        <w:rPr>
          <w:i/>
          <w:iCs/>
          <w:lang w:val="en-US"/>
        </w:rPr>
        <w:t>Journal</w:t>
      </w:r>
      <w:r w:rsidR="003D640C" w:rsidRPr="00B6157E">
        <w:rPr>
          <w:i/>
          <w:iCs/>
          <w:lang w:val="en-US"/>
        </w:rPr>
        <w:t xml:space="preserve"> </w:t>
      </w:r>
      <w:r w:rsidRPr="00B6157E">
        <w:rPr>
          <w:i/>
          <w:iCs/>
          <w:lang w:val="en-US"/>
        </w:rPr>
        <w:t>of</w:t>
      </w:r>
      <w:r w:rsidR="003D640C" w:rsidRPr="00B6157E">
        <w:rPr>
          <w:i/>
          <w:iCs/>
          <w:lang w:val="en-US"/>
        </w:rPr>
        <w:t xml:space="preserve"> </w:t>
      </w:r>
      <w:r w:rsidRPr="00B6157E">
        <w:rPr>
          <w:i/>
          <w:iCs/>
          <w:lang w:val="en-US"/>
        </w:rPr>
        <w:t>Australia,</w:t>
      </w:r>
      <w:r w:rsidR="003D640C" w:rsidRPr="00B6157E">
        <w:rPr>
          <w:i/>
          <w:iCs/>
          <w:lang w:val="en-US"/>
        </w:rPr>
        <w:t xml:space="preserve"> </w:t>
      </w:r>
      <w:r w:rsidRPr="00B6157E">
        <w:rPr>
          <w:i/>
          <w:iCs/>
          <w:lang w:val="en-US"/>
        </w:rPr>
        <w:t>217</w:t>
      </w:r>
      <w:r w:rsidRPr="00B6157E">
        <w:rPr>
          <w:lang w:val="en-US"/>
        </w:rPr>
        <w:t>(3)</w:t>
      </w:r>
      <w:r w:rsidR="003D0CB2" w:rsidRPr="00B6157E">
        <w:rPr>
          <w:lang w:val="en-US"/>
        </w:rPr>
        <w:t>, 119–122</w:t>
      </w:r>
      <w:r w:rsidRPr="00B6157E">
        <w:rPr>
          <w:lang w:val="en-US"/>
        </w:rPr>
        <w:t>.</w:t>
      </w:r>
      <w:r w:rsidR="003D640C" w:rsidRPr="00B6157E">
        <w:rPr>
          <w:lang w:val="en-US"/>
        </w:rPr>
        <w:t xml:space="preserve"> </w:t>
      </w:r>
      <w:hyperlink r:id="rId130" w:history="1">
        <w:r w:rsidR="007A5161" w:rsidRPr="00B6157E">
          <w:rPr>
            <w:rStyle w:val="Hyperlink"/>
            <w:lang w:val="en-US"/>
          </w:rPr>
          <w:t>https://doi.org/10.5694/mja2.51441</w:t>
        </w:r>
      </w:hyperlink>
      <w:r w:rsidR="007A5161" w:rsidRPr="00B6157E">
        <w:rPr>
          <w:lang w:val="en-US"/>
        </w:rPr>
        <w:t xml:space="preserve"> </w:t>
      </w:r>
    </w:p>
    <w:p w14:paraId="32190E17" w14:textId="6006F445" w:rsidR="00F01386" w:rsidRPr="00B6157E" w:rsidRDefault="00F01386" w:rsidP="00E00167">
      <w:pPr>
        <w:pStyle w:val="Reference"/>
      </w:pPr>
      <w:r w:rsidRPr="005B33A1">
        <w:t>Prakash</w:t>
      </w:r>
      <w:r w:rsidRPr="00B6157E">
        <w:t>,</w:t>
      </w:r>
      <w:r w:rsidR="003D640C" w:rsidRPr="00B6157E">
        <w:t xml:space="preserve"> </w:t>
      </w:r>
      <w:r w:rsidRPr="00B6157E">
        <w:t>A.</w:t>
      </w:r>
      <w:r w:rsidRPr="00B6157E" w:rsidDel="008E1CCA">
        <w:t xml:space="preserve"> </w:t>
      </w:r>
      <w:r w:rsidRPr="00B6157E">
        <w:t>(2023).</w:t>
      </w:r>
      <w:r w:rsidR="003D640C" w:rsidRPr="00B6157E">
        <w:t xml:space="preserve"> </w:t>
      </w:r>
      <w:r w:rsidRPr="00B6157E">
        <w:rPr>
          <w:i/>
          <w:iCs/>
        </w:rPr>
        <w:t>Rainbow</w:t>
      </w:r>
      <w:r w:rsidR="003D640C" w:rsidRPr="00B6157E">
        <w:rPr>
          <w:i/>
          <w:iCs/>
        </w:rPr>
        <w:t xml:space="preserve"> </w:t>
      </w:r>
      <w:r w:rsidRPr="00B6157E">
        <w:rPr>
          <w:i/>
          <w:iCs/>
        </w:rPr>
        <w:t>people:</w:t>
      </w:r>
      <w:r w:rsidR="003D640C" w:rsidRPr="00B6157E">
        <w:rPr>
          <w:i/>
          <w:iCs/>
        </w:rPr>
        <w:t xml:space="preserve"> </w:t>
      </w:r>
      <w:r w:rsidRPr="00B6157E">
        <w:rPr>
          <w:i/>
          <w:iCs/>
        </w:rPr>
        <w:t>2022</w:t>
      </w:r>
      <w:r w:rsidR="003D640C" w:rsidRPr="00B6157E">
        <w:rPr>
          <w:i/>
          <w:iCs/>
        </w:rPr>
        <w:t xml:space="preserve"> </w:t>
      </w:r>
      <w:r w:rsidRPr="00B6157E">
        <w:rPr>
          <w:i/>
          <w:iCs/>
        </w:rPr>
        <w:t>Quality</w:t>
      </w:r>
      <w:r w:rsidR="003D640C" w:rsidRPr="00B6157E">
        <w:rPr>
          <w:i/>
          <w:iCs/>
        </w:rPr>
        <w:t xml:space="preserve"> </w:t>
      </w:r>
      <w:r w:rsidRPr="00B6157E">
        <w:rPr>
          <w:i/>
          <w:iCs/>
        </w:rPr>
        <w:t>of</w:t>
      </w:r>
      <w:r w:rsidR="003D640C" w:rsidRPr="00B6157E">
        <w:rPr>
          <w:i/>
          <w:iCs/>
        </w:rPr>
        <w:t xml:space="preserve"> </w:t>
      </w:r>
      <w:r w:rsidR="00CB4E69" w:rsidRPr="00B6157E">
        <w:rPr>
          <w:i/>
          <w:iCs/>
        </w:rPr>
        <w:t>L</w:t>
      </w:r>
      <w:r w:rsidRPr="00B6157E">
        <w:rPr>
          <w:i/>
          <w:iCs/>
        </w:rPr>
        <w:t>ife</w:t>
      </w:r>
      <w:r w:rsidR="003D640C" w:rsidRPr="00B6157E">
        <w:rPr>
          <w:i/>
          <w:iCs/>
        </w:rPr>
        <w:t xml:space="preserve"> </w:t>
      </w:r>
      <w:r w:rsidRPr="00B6157E">
        <w:rPr>
          <w:i/>
          <w:iCs/>
        </w:rPr>
        <w:t>survey</w:t>
      </w:r>
      <w:r w:rsidR="003D640C" w:rsidRPr="00B6157E">
        <w:rPr>
          <w:i/>
          <w:iCs/>
        </w:rPr>
        <w:t xml:space="preserve"> </w:t>
      </w:r>
      <w:r w:rsidRPr="00B6157E">
        <w:rPr>
          <w:i/>
          <w:iCs/>
        </w:rPr>
        <w:t>snapshot</w:t>
      </w:r>
      <w:r w:rsidR="003D640C" w:rsidRPr="00B6157E">
        <w:rPr>
          <w:i/>
          <w:iCs/>
        </w:rPr>
        <w:t xml:space="preserve"> </w:t>
      </w:r>
      <w:r w:rsidRPr="00B6157E">
        <w:rPr>
          <w:i/>
          <w:iCs/>
        </w:rPr>
        <w:t>8-city</w:t>
      </w:r>
      <w:r w:rsidRPr="00B6157E">
        <w:t>.</w:t>
      </w:r>
      <w:r w:rsidR="003D640C" w:rsidRPr="00B6157E">
        <w:t xml:space="preserve"> </w:t>
      </w:r>
      <w:r w:rsidRPr="00B6157E">
        <w:t>Research</w:t>
      </w:r>
      <w:r w:rsidR="003D640C" w:rsidRPr="00B6157E">
        <w:t xml:space="preserve"> </w:t>
      </w:r>
      <w:r w:rsidRPr="00B6157E">
        <w:t>and</w:t>
      </w:r>
      <w:r w:rsidR="003D640C" w:rsidRPr="00B6157E">
        <w:t xml:space="preserve"> </w:t>
      </w:r>
      <w:r w:rsidRPr="00B6157E">
        <w:t>Evaluation</w:t>
      </w:r>
      <w:r w:rsidR="003D640C" w:rsidRPr="00B6157E">
        <w:t xml:space="preserve"> </w:t>
      </w:r>
      <w:r w:rsidRPr="00B6157E">
        <w:t>Unit,</w:t>
      </w:r>
      <w:r w:rsidR="003D640C" w:rsidRPr="00B6157E">
        <w:t xml:space="preserve"> </w:t>
      </w:r>
      <w:r w:rsidRPr="00B6157E">
        <w:t>Auckland</w:t>
      </w:r>
      <w:r w:rsidR="003D640C" w:rsidRPr="00B6157E">
        <w:t xml:space="preserve"> </w:t>
      </w:r>
      <w:r w:rsidRPr="00B6157E">
        <w:t>Council.</w:t>
      </w:r>
      <w:r w:rsidR="003D640C" w:rsidRPr="00B6157E">
        <w:t xml:space="preserve"> </w:t>
      </w:r>
      <w:hyperlink r:id="rId131" w:history="1">
        <w:r w:rsidR="00CB4E69" w:rsidRPr="00B6157E">
          <w:rPr>
            <w:rStyle w:val="Hyperlink"/>
          </w:rPr>
          <w:t>https://www.knowledgeauckland.org.nz/media/2621/rainbow-people-qol-survey-2022-snapshot-may-2023.pdf</w:t>
        </w:r>
      </w:hyperlink>
      <w:r w:rsidR="00CB4E69" w:rsidRPr="00B6157E">
        <w:t xml:space="preserve"> </w:t>
      </w:r>
    </w:p>
    <w:p w14:paraId="15705688" w14:textId="77777777" w:rsidR="00FB2A84" w:rsidRPr="00B6157E" w:rsidRDefault="00383541" w:rsidP="007B139B">
      <w:pPr>
        <w:pStyle w:val="Reference"/>
      </w:pPr>
      <w:hyperlink r:id="rId132" w:history="1">
        <w:r w:rsidR="00FB2A84" w:rsidRPr="005B33A1">
          <w:t>Professional</w:t>
        </w:r>
        <w:r w:rsidR="00FB2A84" w:rsidRPr="00B6157E">
          <w:t xml:space="preserve"> Association for Transgender Health Aotearoa. (2021). </w:t>
        </w:r>
        <w:r w:rsidR="00FB2A84" w:rsidRPr="00B6157E">
          <w:rPr>
            <w:i/>
            <w:iCs/>
          </w:rPr>
          <w:t>Submission to the Justice Committee on the Conversion Practices Prohibition Legislation Bill</w:t>
        </w:r>
        <w:r w:rsidR="00FB2A84" w:rsidRPr="00B6157E">
          <w:t xml:space="preserve">. </w:t>
        </w:r>
      </w:hyperlink>
      <w:hyperlink r:id="rId133" w:history="1">
        <w:r w:rsidR="00FB2A84" w:rsidRPr="00B6157E">
          <w:rPr>
            <w:rStyle w:val="Hyperlink"/>
          </w:rPr>
          <w:t>https://patha.nz/resources/Documents/PATHA%20submission%20on%20Conversion%20Practices%20Sep2021.pdf</w:t>
        </w:r>
      </w:hyperlink>
    </w:p>
    <w:p w14:paraId="234F7E12" w14:textId="0CF957AA" w:rsidR="00F01386" w:rsidRDefault="00F01386" w:rsidP="00E00167">
      <w:pPr>
        <w:pStyle w:val="Reference"/>
      </w:pPr>
      <w:r w:rsidRPr="005B33A1">
        <w:t>Przeworski</w:t>
      </w:r>
      <w:r w:rsidRPr="00B6157E">
        <w:t>,</w:t>
      </w:r>
      <w:r w:rsidR="003D640C" w:rsidRPr="00B6157E">
        <w:t xml:space="preserve"> </w:t>
      </w:r>
      <w:r w:rsidRPr="00B6157E">
        <w:t>A.,</w:t>
      </w:r>
      <w:r w:rsidR="003D640C">
        <w:t xml:space="preserve"> </w:t>
      </w:r>
      <w:r w:rsidRPr="00BB6220">
        <w:t>Peterson,</w:t>
      </w:r>
      <w:r w:rsidR="003D640C">
        <w:t xml:space="preserve"> </w:t>
      </w:r>
      <w:r w:rsidRPr="00BB6220">
        <w:t>E.,</w:t>
      </w:r>
      <w:r w:rsidR="003D640C">
        <w:t xml:space="preserve"> </w:t>
      </w:r>
      <w:r w:rsidRPr="00BB6220">
        <w:t>&amp;</w:t>
      </w:r>
      <w:r w:rsidR="003D640C">
        <w:t xml:space="preserve"> </w:t>
      </w:r>
      <w:r w:rsidRPr="00BB6220">
        <w:t>Piedra,</w:t>
      </w:r>
      <w:r w:rsidR="003D640C">
        <w:t xml:space="preserve"> </w:t>
      </w:r>
      <w:r w:rsidRPr="00BB6220">
        <w:t>A.</w:t>
      </w:r>
      <w:r w:rsidR="003D640C">
        <w:t xml:space="preserve"> </w:t>
      </w:r>
      <w:r w:rsidRPr="00BB6220">
        <w:t>(202</w:t>
      </w:r>
      <w:r w:rsidR="00A17714">
        <w:t>1</w:t>
      </w:r>
      <w:r w:rsidRPr="00BB6220">
        <w:t>).</w:t>
      </w:r>
      <w:r w:rsidR="003D640C">
        <w:t xml:space="preserve"> </w:t>
      </w:r>
      <w:r w:rsidRPr="00BB6220">
        <w:t>A</w:t>
      </w:r>
      <w:r w:rsidR="003D640C">
        <w:t xml:space="preserve"> </w:t>
      </w:r>
      <w:r w:rsidRPr="00BB6220">
        <w:t>systematic</w:t>
      </w:r>
      <w:r w:rsidR="003D640C">
        <w:t xml:space="preserve"> </w:t>
      </w:r>
      <w:r w:rsidRPr="00BB6220">
        <w:t>review</w:t>
      </w:r>
      <w:r w:rsidR="003D640C">
        <w:t xml:space="preserve"> </w:t>
      </w:r>
      <w:r w:rsidRPr="00BB6220">
        <w:t>of</w:t>
      </w:r>
      <w:r w:rsidR="003D640C">
        <w:t xml:space="preserve"> </w:t>
      </w:r>
      <w:r w:rsidRPr="00BB6220">
        <w:t>the</w:t>
      </w:r>
      <w:r w:rsidR="003D640C">
        <w:t xml:space="preserve"> </w:t>
      </w:r>
      <w:r w:rsidRPr="00BB6220">
        <w:t>efficacy,</w:t>
      </w:r>
      <w:r w:rsidR="003D640C">
        <w:t xml:space="preserve"> </w:t>
      </w:r>
      <w:r w:rsidRPr="00BB6220">
        <w:t>harmful</w:t>
      </w:r>
      <w:r w:rsidR="003D640C">
        <w:t xml:space="preserve"> </w:t>
      </w:r>
      <w:r w:rsidRPr="00BB6220">
        <w:t>effects,</w:t>
      </w:r>
      <w:r w:rsidR="003D640C">
        <w:t xml:space="preserve"> </w:t>
      </w:r>
      <w:r w:rsidRPr="00BB6220">
        <w:t>and</w:t>
      </w:r>
      <w:r w:rsidR="003D640C">
        <w:t xml:space="preserve"> </w:t>
      </w:r>
      <w:r w:rsidRPr="00BB6220">
        <w:t>ethical</w:t>
      </w:r>
      <w:r w:rsidR="003D640C">
        <w:t xml:space="preserve"> </w:t>
      </w:r>
      <w:r w:rsidRPr="00BB6220">
        <w:t>issues</w:t>
      </w:r>
      <w:r w:rsidR="003D640C">
        <w:t xml:space="preserve"> </w:t>
      </w:r>
      <w:r w:rsidRPr="00BB6220">
        <w:t>related</w:t>
      </w:r>
      <w:r w:rsidR="003D640C">
        <w:t xml:space="preserve"> </w:t>
      </w:r>
      <w:r w:rsidRPr="00BB6220">
        <w:t>to</w:t>
      </w:r>
      <w:r w:rsidR="003D640C">
        <w:t xml:space="preserve"> </w:t>
      </w:r>
      <w:r w:rsidRPr="00BB6220">
        <w:t>sexual</w:t>
      </w:r>
      <w:r w:rsidR="003D640C">
        <w:t xml:space="preserve"> </w:t>
      </w:r>
      <w:r w:rsidRPr="00BB6220">
        <w:t>orientation</w:t>
      </w:r>
      <w:r w:rsidR="003D640C">
        <w:t xml:space="preserve"> </w:t>
      </w:r>
      <w:r w:rsidRPr="00BB6220">
        <w:t>change</w:t>
      </w:r>
      <w:r w:rsidR="003D640C">
        <w:t xml:space="preserve"> </w:t>
      </w:r>
      <w:r w:rsidRPr="00BB6220">
        <w:t>efforts.</w:t>
      </w:r>
      <w:r w:rsidR="003D640C">
        <w:t xml:space="preserve"> </w:t>
      </w:r>
      <w:r w:rsidRPr="00BB6220">
        <w:rPr>
          <w:i/>
          <w:iCs/>
        </w:rPr>
        <w:t>Clin</w:t>
      </w:r>
      <w:r>
        <w:rPr>
          <w:i/>
          <w:iCs/>
        </w:rPr>
        <w:t>ical</w:t>
      </w:r>
      <w:r w:rsidR="003D640C">
        <w:rPr>
          <w:i/>
          <w:iCs/>
        </w:rPr>
        <w:t xml:space="preserve"> </w:t>
      </w:r>
      <w:r w:rsidRPr="00BB6220">
        <w:rPr>
          <w:i/>
          <w:iCs/>
        </w:rPr>
        <w:t>P</w:t>
      </w:r>
      <w:r>
        <w:rPr>
          <w:i/>
          <w:iCs/>
        </w:rPr>
        <w:t>sychology:</w:t>
      </w:r>
      <w:r w:rsidR="003D640C">
        <w:rPr>
          <w:i/>
          <w:iCs/>
        </w:rPr>
        <w:t xml:space="preserve"> </w:t>
      </w:r>
      <w:r w:rsidRPr="00BB6220">
        <w:rPr>
          <w:i/>
          <w:iCs/>
        </w:rPr>
        <w:t>Sci</w:t>
      </w:r>
      <w:r>
        <w:rPr>
          <w:i/>
          <w:iCs/>
        </w:rPr>
        <w:t>ence</w:t>
      </w:r>
      <w:r w:rsidR="003D640C">
        <w:rPr>
          <w:i/>
          <w:iCs/>
        </w:rPr>
        <w:t xml:space="preserve"> </w:t>
      </w:r>
      <w:r>
        <w:rPr>
          <w:i/>
          <w:iCs/>
        </w:rPr>
        <w:t>and</w:t>
      </w:r>
      <w:r w:rsidR="003D640C">
        <w:rPr>
          <w:i/>
          <w:iCs/>
        </w:rPr>
        <w:t xml:space="preserve"> </w:t>
      </w:r>
      <w:r w:rsidRPr="00BB6220">
        <w:rPr>
          <w:i/>
          <w:iCs/>
        </w:rPr>
        <w:t>Pract</w:t>
      </w:r>
      <w:r>
        <w:rPr>
          <w:i/>
          <w:iCs/>
        </w:rPr>
        <w:t>ice</w:t>
      </w:r>
      <w:r w:rsidR="00A17714">
        <w:t xml:space="preserve">, </w:t>
      </w:r>
      <w:r w:rsidR="00A17714">
        <w:rPr>
          <w:i/>
          <w:iCs/>
        </w:rPr>
        <w:t>28</w:t>
      </w:r>
      <w:r w:rsidR="00A17714">
        <w:t>(1), 81–100</w:t>
      </w:r>
      <w:r w:rsidRPr="00BB6220">
        <w:t>.</w:t>
      </w:r>
      <w:r w:rsidR="003D640C">
        <w:t xml:space="preserve"> </w:t>
      </w:r>
      <w:hyperlink r:id="rId134" w:history="1">
        <w:r w:rsidR="007A5161" w:rsidRPr="008C4900">
          <w:rPr>
            <w:rStyle w:val="Hyperlink"/>
          </w:rPr>
          <w:t>https://doi.org/10.1111/cpsp.12377</w:t>
        </w:r>
      </w:hyperlink>
      <w:r w:rsidR="007A5161">
        <w:t xml:space="preserve"> </w:t>
      </w:r>
      <w:r w:rsidR="003D640C">
        <w:t xml:space="preserve"> </w:t>
      </w:r>
    </w:p>
    <w:p w14:paraId="3178DC78" w14:textId="5B7E39F4" w:rsidR="00886093" w:rsidRPr="00B6157E" w:rsidRDefault="00886093" w:rsidP="00886093">
      <w:pPr>
        <w:pStyle w:val="Reference"/>
      </w:pPr>
      <w:r w:rsidRPr="00B6157E">
        <w:t xml:space="preserve">Radio New Zealand. (2019, December 4). </w:t>
      </w:r>
      <w:r w:rsidRPr="005B33A1">
        <w:rPr>
          <w:i/>
          <w:iCs/>
        </w:rPr>
        <w:t>Folau settles unfair dismissal case with Rugby Australia</w:t>
      </w:r>
      <w:r w:rsidRPr="00B6157E">
        <w:t>. https://www.rnz.co.nz/news/sport/404835/folau-settles-unfair-dismissal-case-with-rugby-australia</w:t>
      </w:r>
    </w:p>
    <w:p w14:paraId="3BA4342F" w14:textId="64E2F657" w:rsidR="00F01386" w:rsidRPr="00B6157E" w:rsidRDefault="00F01386" w:rsidP="00E00167">
      <w:pPr>
        <w:pStyle w:val="Reference"/>
      </w:pPr>
      <w:r w:rsidRPr="00B6157E">
        <w:t>Radio</w:t>
      </w:r>
      <w:r w:rsidR="003D640C" w:rsidRPr="00B6157E">
        <w:t xml:space="preserve"> </w:t>
      </w:r>
      <w:r w:rsidRPr="00B6157E">
        <w:t>N</w:t>
      </w:r>
      <w:r w:rsidR="00475868" w:rsidRPr="00B6157E">
        <w:t xml:space="preserve">ew </w:t>
      </w:r>
      <w:r w:rsidRPr="00B6157E">
        <w:t>Z</w:t>
      </w:r>
      <w:r w:rsidR="00475868" w:rsidRPr="00B6157E">
        <w:t>ealand.</w:t>
      </w:r>
      <w:r w:rsidR="003D640C" w:rsidRPr="00B6157E">
        <w:t xml:space="preserve"> </w:t>
      </w:r>
      <w:r w:rsidRPr="00B6157E">
        <w:t>(</w:t>
      </w:r>
      <w:r w:rsidR="00475868" w:rsidRPr="00B6157E">
        <w:t xml:space="preserve">2020, </w:t>
      </w:r>
      <w:r w:rsidRPr="00B6157E">
        <w:t>April</w:t>
      </w:r>
      <w:r w:rsidR="003D640C" w:rsidRPr="00B6157E">
        <w:t xml:space="preserve"> </w:t>
      </w:r>
      <w:r w:rsidR="00475868" w:rsidRPr="00B6157E">
        <w:t>21</w:t>
      </w:r>
      <w:r w:rsidRPr="00B6157E">
        <w:t>)</w:t>
      </w:r>
      <w:r w:rsidR="00475868" w:rsidRPr="00B6157E">
        <w:t>.</w:t>
      </w:r>
      <w:r w:rsidR="003D640C" w:rsidRPr="00B6157E">
        <w:t xml:space="preserve"> </w:t>
      </w:r>
      <w:r w:rsidRPr="005B33A1">
        <w:rPr>
          <w:i/>
          <w:iCs/>
        </w:rPr>
        <w:t>World</w:t>
      </w:r>
      <w:r w:rsidR="003D640C" w:rsidRPr="005B33A1">
        <w:rPr>
          <w:i/>
          <w:iCs/>
        </w:rPr>
        <w:t xml:space="preserve"> </w:t>
      </w:r>
      <w:r w:rsidRPr="005B33A1">
        <w:rPr>
          <w:i/>
          <w:iCs/>
        </w:rPr>
        <w:t>Rugby</w:t>
      </w:r>
      <w:r w:rsidR="003D640C" w:rsidRPr="005B33A1">
        <w:rPr>
          <w:i/>
          <w:iCs/>
        </w:rPr>
        <w:t xml:space="preserve"> </w:t>
      </w:r>
      <w:r w:rsidRPr="005B33A1">
        <w:rPr>
          <w:i/>
          <w:iCs/>
        </w:rPr>
        <w:t>investigating</w:t>
      </w:r>
      <w:r w:rsidR="003D640C" w:rsidRPr="005B33A1">
        <w:rPr>
          <w:i/>
          <w:iCs/>
        </w:rPr>
        <w:t xml:space="preserve"> </w:t>
      </w:r>
      <w:r w:rsidRPr="005B33A1">
        <w:rPr>
          <w:i/>
          <w:iCs/>
        </w:rPr>
        <w:t>Fiji</w:t>
      </w:r>
      <w:r w:rsidR="003D640C" w:rsidRPr="005B33A1">
        <w:rPr>
          <w:i/>
          <w:iCs/>
        </w:rPr>
        <w:t xml:space="preserve"> </w:t>
      </w:r>
      <w:r w:rsidRPr="005B33A1">
        <w:rPr>
          <w:i/>
          <w:iCs/>
        </w:rPr>
        <w:t>chairman</w:t>
      </w:r>
      <w:r w:rsidR="003D640C" w:rsidRPr="005B33A1">
        <w:rPr>
          <w:i/>
          <w:iCs/>
        </w:rPr>
        <w:t xml:space="preserve"> </w:t>
      </w:r>
      <w:r w:rsidRPr="005B33A1">
        <w:rPr>
          <w:i/>
          <w:iCs/>
        </w:rPr>
        <w:t>over</w:t>
      </w:r>
      <w:r w:rsidR="003D640C" w:rsidRPr="005B33A1">
        <w:rPr>
          <w:i/>
          <w:iCs/>
        </w:rPr>
        <w:t xml:space="preserve"> </w:t>
      </w:r>
      <w:r w:rsidRPr="005B33A1">
        <w:rPr>
          <w:i/>
          <w:iCs/>
        </w:rPr>
        <w:t>homophobia</w:t>
      </w:r>
      <w:r w:rsidR="003D640C" w:rsidRPr="005B33A1">
        <w:rPr>
          <w:i/>
          <w:iCs/>
        </w:rPr>
        <w:t xml:space="preserve"> </w:t>
      </w:r>
      <w:r w:rsidRPr="005B33A1">
        <w:rPr>
          <w:i/>
          <w:iCs/>
        </w:rPr>
        <w:t>allegations</w:t>
      </w:r>
      <w:r w:rsidRPr="00B6157E">
        <w:t>.</w:t>
      </w:r>
      <w:r w:rsidR="003D640C" w:rsidRPr="00B6157E">
        <w:t xml:space="preserve"> </w:t>
      </w:r>
      <w:hyperlink r:id="rId135" w:history="1">
        <w:r w:rsidR="00475868" w:rsidRPr="00B6157E">
          <w:rPr>
            <w:rStyle w:val="Hyperlink"/>
          </w:rPr>
          <w:t>https://www.rnz.co.nz/news/sport/414738/world-rugby-investigating-fiji-chairman-over-homophobia-allegations</w:t>
        </w:r>
      </w:hyperlink>
      <w:r w:rsidR="00475868" w:rsidRPr="00B6157E">
        <w:t xml:space="preserve"> </w:t>
      </w:r>
    </w:p>
    <w:p w14:paraId="30065DAF" w14:textId="77777777" w:rsidR="006634C1" w:rsidRDefault="006634C1" w:rsidP="007B139B">
      <w:pPr>
        <w:pStyle w:val="Reference"/>
      </w:pPr>
      <w:r w:rsidRPr="005B33A1">
        <w:t>Radio</w:t>
      </w:r>
      <w:r w:rsidRPr="00B6157E">
        <w:t xml:space="preserve"> New</w:t>
      </w:r>
      <w:r>
        <w:t xml:space="preserve"> Zealand. (2021, February 23). </w:t>
      </w:r>
      <w:r>
        <w:rPr>
          <w:i/>
          <w:iCs/>
        </w:rPr>
        <w:t xml:space="preserve">Greens present petition in support of gay conversion therapy ban. </w:t>
      </w:r>
      <w:hyperlink r:id="rId136" w:history="1">
        <w:r w:rsidRPr="006634C1">
          <w:rPr>
            <w:rStyle w:val="Hyperlink"/>
          </w:rPr>
          <w:t>https://www.rnz.co.nz/news/national/436993/greens-present-petition-in-support-of-gay-conversion-therapy-ban</w:t>
        </w:r>
      </w:hyperlink>
      <w:r>
        <w:t xml:space="preserve"> </w:t>
      </w:r>
    </w:p>
    <w:p w14:paraId="22349D32" w14:textId="144710D9" w:rsidR="00287DB5" w:rsidRPr="00287DB5" w:rsidRDefault="00287DB5" w:rsidP="007B139B">
      <w:pPr>
        <w:pStyle w:val="Reference"/>
        <w:rPr>
          <w:lang w:val="en-US"/>
        </w:rPr>
      </w:pPr>
      <w:r w:rsidRPr="00287DB5">
        <w:rPr>
          <w:lang w:val="en-US"/>
        </w:rPr>
        <w:t xml:space="preserve">Re: News. (2019, December 12). </w:t>
      </w:r>
      <w:r w:rsidRPr="00287DB5">
        <w:rPr>
          <w:i/>
          <w:iCs/>
          <w:lang w:val="en-US"/>
        </w:rPr>
        <w:t>Rediscovering Aotearoa: Takatāpui | LGBTQIA+</w:t>
      </w:r>
      <w:r w:rsidR="00295919">
        <w:rPr>
          <w:i/>
          <w:iCs/>
          <w:lang w:val="en-US"/>
        </w:rPr>
        <w:t xml:space="preserve"> </w:t>
      </w:r>
      <w:r w:rsidR="00295919">
        <w:rPr>
          <w:lang w:val="en-US"/>
        </w:rPr>
        <w:t>[Video]</w:t>
      </w:r>
      <w:r>
        <w:rPr>
          <w:lang w:val="en-US"/>
        </w:rPr>
        <w:t xml:space="preserve">. </w:t>
      </w:r>
      <w:hyperlink r:id="rId137" w:history="1">
        <w:r w:rsidR="001F4390" w:rsidRPr="003479A0">
          <w:rPr>
            <w:rStyle w:val="Hyperlink"/>
            <w:lang w:val="en-US"/>
          </w:rPr>
          <w:t>https://www.renews.co.nz/rediscovering-aotearoa/</w:t>
        </w:r>
      </w:hyperlink>
      <w:r w:rsidR="001F4390">
        <w:rPr>
          <w:lang w:val="en-US"/>
        </w:rPr>
        <w:t xml:space="preserve"> </w:t>
      </w:r>
    </w:p>
    <w:p w14:paraId="0122AAE2" w14:textId="6397084E" w:rsidR="00B6157E" w:rsidRPr="00B6157E" w:rsidRDefault="00B6157E" w:rsidP="00B6157E">
      <w:pPr>
        <w:pStyle w:val="Reference"/>
      </w:pPr>
      <w:r w:rsidRPr="00B6157E">
        <w:t xml:space="preserve">Richardson, I. L. M. (1988). </w:t>
      </w:r>
      <w:r w:rsidRPr="00B6157E">
        <w:rPr>
          <w:i/>
          <w:iCs/>
        </w:rPr>
        <w:t>The April Report: Report of The Royal Commission on Social Policy  | Te Kōmihana a te Karauna mō ngā Āhuatanga-ā-iwi</w:t>
      </w:r>
      <w:r w:rsidRPr="00B6157E">
        <w:t xml:space="preserve"> (vol. 3, pt 2). The Royal Commission on Social Policy. </w:t>
      </w:r>
      <w:hyperlink r:id="rId138" w:history="1">
        <w:r w:rsidRPr="00B6157E">
          <w:rPr>
            <w:rStyle w:val="Hyperlink"/>
          </w:rPr>
          <w:t>https://ndhadeliver.natlib.govt.nz/delivery/DeliveryManagerServlet?dps_pid=IE17403822</w:t>
        </w:r>
      </w:hyperlink>
      <w:r w:rsidRPr="00B6157E">
        <w:t xml:space="preserve"> </w:t>
      </w:r>
    </w:p>
    <w:p w14:paraId="37E833F2" w14:textId="79F313A3" w:rsidR="00B6157E" w:rsidRDefault="00B6157E" w:rsidP="00B6157E">
      <w:pPr>
        <w:pStyle w:val="Reference"/>
        <w:rPr>
          <w:rStyle w:val="Hyperlink"/>
        </w:rPr>
      </w:pPr>
      <w:r w:rsidRPr="00B6157E">
        <w:t xml:space="preserve">Roberston, S. (2017). </w:t>
      </w:r>
      <w:r w:rsidRPr="005B33A1">
        <w:rPr>
          <w:i/>
          <w:iCs/>
        </w:rPr>
        <w:t>All of us.</w:t>
      </w:r>
      <w:r w:rsidRPr="00B6157E">
        <w:t xml:space="preserve"> </w:t>
      </w:r>
      <w:r w:rsidRPr="005B33A1">
        <w:rPr>
          <w:i/>
          <w:iCs/>
        </w:rPr>
        <w:t>Minority identities and inclusion in Aotearoa New Zealand</w:t>
      </w:r>
      <w:r w:rsidRPr="00B6157E">
        <w:t xml:space="preserve">. </w:t>
      </w:r>
    </w:p>
    <w:p w14:paraId="3BF1EA25" w14:textId="0C76986C" w:rsidR="0096683F" w:rsidRDefault="00F01386" w:rsidP="005B33A1">
      <w:pPr>
        <w:pStyle w:val="Reference"/>
        <w:rPr>
          <w:rStyle w:val="Hyperlink"/>
        </w:rPr>
      </w:pPr>
      <w:r w:rsidRPr="005B33A1">
        <w:t>Roguski</w:t>
      </w:r>
      <w:r w:rsidRPr="00B6157E">
        <w:t>,</w:t>
      </w:r>
      <w:r w:rsidR="003D640C">
        <w:t xml:space="preserve"> </w:t>
      </w:r>
      <w:r w:rsidRPr="00932002">
        <w:t>M.</w:t>
      </w:r>
      <w:r w:rsidR="002137FF">
        <w:t>,</w:t>
      </w:r>
      <w:r w:rsidR="003D640C">
        <w:t xml:space="preserve"> </w:t>
      </w:r>
      <w:r w:rsidRPr="00932002">
        <w:t>&amp;</w:t>
      </w:r>
      <w:r w:rsidR="003D640C">
        <w:t xml:space="preserve"> </w:t>
      </w:r>
      <w:r w:rsidRPr="00932002">
        <w:t>Atwool,</w:t>
      </w:r>
      <w:r w:rsidR="003D640C">
        <w:t xml:space="preserve"> </w:t>
      </w:r>
      <w:r w:rsidRPr="00932002">
        <w:t>N.</w:t>
      </w:r>
      <w:r w:rsidR="003D640C">
        <w:t xml:space="preserve"> </w:t>
      </w:r>
      <w:r w:rsidRPr="00932002">
        <w:t>(2024).</w:t>
      </w:r>
      <w:r w:rsidR="003D640C">
        <w:t xml:space="preserve"> </w:t>
      </w:r>
      <w:r w:rsidRPr="00932002">
        <w:t>Conversion</w:t>
      </w:r>
      <w:r w:rsidR="003D640C">
        <w:t xml:space="preserve"> </w:t>
      </w:r>
      <w:r w:rsidRPr="00932002">
        <w:t>practices</w:t>
      </w:r>
      <w:r w:rsidR="003D640C">
        <w:t xml:space="preserve"> </w:t>
      </w:r>
      <w:r w:rsidRPr="00932002">
        <w:t>in</w:t>
      </w:r>
      <w:r w:rsidR="003D640C">
        <w:t xml:space="preserve"> </w:t>
      </w:r>
      <w:r w:rsidRPr="00932002">
        <w:t>Aotearoa</w:t>
      </w:r>
      <w:r w:rsidR="003D640C">
        <w:t xml:space="preserve"> </w:t>
      </w:r>
      <w:r w:rsidRPr="00932002">
        <w:t>New</w:t>
      </w:r>
      <w:r w:rsidR="003D640C">
        <w:t xml:space="preserve"> </w:t>
      </w:r>
      <w:r w:rsidRPr="00932002">
        <w:t>Zealand:</w:t>
      </w:r>
      <w:r w:rsidR="003D640C">
        <w:t xml:space="preserve"> </w:t>
      </w:r>
      <w:r w:rsidRPr="00932002">
        <w:t>Developing</w:t>
      </w:r>
      <w:r w:rsidR="003D640C">
        <w:t xml:space="preserve"> </w:t>
      </w:r>
      <w:r w:rsidRPr="00932002">
        <w:t>a</w:t>
      </w:r>
      <w:r w:rsidR="003D640C">
        <w:t xml:space="preserve"> </w:t>
      </w:r>
      <w:r w:rsidRPr="00932002">
        <w:t>holistic</w:t>
      </w:r>
      <w:r w:rsidR="003D640C">
        <w:t xml:space="preserve"> </w:t>
      </w:r>
      <w:r w:rsidRPr="00932002">
        <w:t>response</w:t>
      </w:r>
      <w:r w:rsidR="003D640C">
        <w:t xml:space="preserve"> </w:t>
      </w:r>
      <w:r w:rsidRPr="00932002">
        <w:t>to</w:t>
      </w:r>
      <w:r w:rsidR="003D640C">
        <w:t xml:space="preserve"> </w:t>
      </w:r>
      <w:r w:rsidRPr="00932002">
        <w:t>spiritual</w:t>
      </w:r>
      <w:r w:rsidR="003D640C">
        <w:t xml:space="preserve"> </w:t>
      </w:r>
      <w:r w:rsidRPr="00932002">
        <w:t>abuse.</w:t>
      </w:r>
      <w:r w:rsidR="003D640C">
        <w:t xml:space="preserve"> </w:t>
      </w:r>
      <w:r w:rsidRPr="00932002">
        <w:rPr>
          <w:i/>
          <w:iCs/>
        </w:rPr>
        <w:t>P</w:t>
      </w:r>
      <w:r>
        <w:rPr>
          <w:i/>
          <w:iCs/>
        </w:rPr>
        <w:t>L</w:t>
      </w:r>
      <w:r w:rsidR="006B792C">
        <w:rPr>
          <w:i/>
          <w:iCs/>
        </w:rPr>
        <w:t>o</w:t>
      </w:r>
      <w:r w:rsidRPr="00932002">
        <w:rPr>
          <w:i/>
          <w:iCs/>
        </w:rPr>
        <w:t>S</w:t>
      </w:r>
      <w:r w:rsidR="003D640C">
        <w:rPr>
          <w:i/>
          <w:iCs/>
        </w:rPr>
        <w:t xml:space="preserve"> </w:t>
      </w:r>
      <w:r w:rsidRPr="00932002">
        <w:rPr>
          <w:i/>
          <w:iCs/>
        </w:rPr>
        <w:t>O</w:t>
      </w:r>
      <w:r>
        <w:rPr>
          <w:i/>
          <w:iCs/>
        </w:rPr>
        <w:t>NE</w:t>
      </w:r>
      <w:r w:rsidRPr="00932002">
        <w:t>,</w:t>
      </w:r>
      <w:r w:rsidR="003D640C">
        <w:t xml:space="preserve"> </w:t>
      </w:r>
      <w:r w:rsidRPr="00932002">
        <w:rPr>
          <w:i/>
          <w:iCs/>
        </w:rPr>
        <w:t>19</w:t>
      </w:r>
      <w:r w:rsidRPr="00932002">
        <w:t>(5),</w:t>
      </w:r>
      <w:r w:rsidR="003D640C">
        <w:t xml:space="preserve"> </w:t>
      </w:r>
      <w:r w:rsidRPr="00932002">
        <w:t>e0302163.</w:t>
      </w:r>
      <w:r w:rsidR="0096683F">
        <w:t xml:space="preserve"> </w:t>
      </w:r>
      <w:hyperlink r:id="rId139" w:history="1">
        <w:r w:rsidR="0096683F" w:rsidRPr="009E557D">
          <w:rPr>
            <w:rStyle w:val="Hyperlink"/>
          </w:rPr>
          <w:t>https://doi.org/10.1371/journal.pone.0302163</w:t>
        </w:r>
      </w:hyperlink>
    </w:p>
    <w:p w14:paraId="572C4273" w14:textId="151F6D24" w:rsidR="00F01386" w:rsidRPr="00B6157E" w:rsidRDefault="00F01386" w:rsidP="00E00167">
      <w:pPr>
        <w:pStyle w:val="Reference"/>
      </w:pPr>
      <w:r w:rsidRPr="00B6157E">
        <w:t>Roy,</w:t>
      </w:r>
      <w:r w:rsidR="003D640C" w:rsidRPr="00B6157E">
        <w:t xml:space="preserve"> </w:t>
      </w:r>
      <w:r w:rsidRPr="00B6157E">
        <w:t>R.,</w:t>
      </w:r>
      <w:r w:rsidR="003D640C" w:rsidRPr="00B6157E">
        <w:t xml:space="preserve"> </w:t>
      </w:r>
      <w:r w:rsidRPr="00B6157E">
        <w:t>Greaves,</w:t>
      </w:r>
      <w:r w:rsidR="003D640C" w:rsidRPr="00B6157E">
        <w:t xml:space="preserve"> </w:t>
      </w:r>
      <w:r w:rsidRPr="00B6157E">
        <w:t>L.</w:t>
      </w:r>
      <w:r w:rsidR="003D640C" w:rsidRPr="00B6157E">
        <w:t xml:space="preserve"> </w:t>
      </w:r>
      <w:r w:rsidRPr="00B6157E">
        <w:t>M.,</w:t>
      </w:r>
      <w:r w:rsidR="003D640C" w:rsidRPr="00B6157E">
        <w:t xml:space="preserve"> </w:t>
      </w:r>
      <w:r w:rsidRPr="00B6157E">
        <w:t>Peiris-John,</w:t>
      </w:r>
      <w:r w:rsidR="003D640C" w:rsidRPr="00B6157E">
        <w:t xml:space="preserve"> </w:t>
      </w:r>
      <w:r w:rsidRPr="00B6157E">
        <w:t>R.,</w:t>
      </w:r>
      <w:r w:rsidR="003D640C" w:rsidRPr="00B6157E">
        <w:t xml:space="preserve"> </w:t>
      </w:r>
      <w:r w:rsidRPr="00B6157E">
        <w:t>Clark,</w:t>
      </w:r>
      <w:r w:rsidR="003D640C" w:rsidRPr="00B6157E">
        <w:t xml:space="preserve"> </w:t>
      </w:r>
      <w:r w:rsidRPr="00B6157E">
        <w:t>T.,</w:t>
      </w:r>
      <w:r w:rsidR="003D640C" w:rsidRPr="00B6157E">
        <w:t xml:space="preserve"> </w:t>
      </w:r>
      <w:r w:rsidRPr="00B6157E">
        <w:t>Fenaughty,</w:t>
      </w:r>
      <w:r w:rsidR="003D640C" w:rsidRPr="00B6157E">
        <w:t xml:space="preserve"> </w:t>
      </w:r>
      <w:r w:rsidRPr="00B6157E">
        <w:t>J.,</w:t>
      </w:r>
      <w:r w:rsidR="003D640C" w:rsidRPr="00B6157E">
        <w:t xml:space="preserve"> </w:t>
      </w:r>
      <w:r w:rsidRPr="00B6157E">
        <w:t>Sutcliffe,</w:t>
      </w:r>
      <w:r w:rsidR="003D640C" w:rsidRPr="00B6157E">
        <w:t xml:space="preserve"> </w:t>
      </w:r>
      <w:r w:rsidRPr="00B6157E">
        <w:t>K.,</w:t>
      </w:r>
      <w:r w:rsidR="003D640C" w:rsidRPr="00B6157E">
        <w:t xml:space="preserve"> </w:t>
      </w:r>
      <w:r w:rsidRPr="00B6157E">
        <w:t>Barnett,</w:t>
      </w:r>
      <w:r w:rsidR="003D640C" w:rsidRPr="00B6157E">
        <w:t xml:space="preserve"> </w:t>
      </w:r>
      <w:r w:rsidRPr="00B6157E">
        <w:t>D.,</w:t>
      </w:r>
      <w:r w:rsidR="003D640C" w:rsidRPr="00B6157E">
        <w:t xml:space="preserve"> </w:t>
      </w:r>
      <w:r w:rsidRPr="00B6157E">
        <w:t>Hawthorne,</w:t>
      </w:r>
      <w:r w:rsidR="003D640C" w:rsidRPr="00B6157E">
        <w:t xml:space="preserve"> </w:t>
      </w:r>
      <w:r w:rsidRPr="00B6157E">
        <w:t>V.,</w:t>
      </w:r>
      <w:r w:rsidR="003D640C" w:rsidRPr="00B6157E">
        <w:t xml:space="preserve"> </w:t>
      </w:r>
      <w:r w:rsidRPr="00B6157E">
        <w:t>Tiatia-Seath,</w:t>
      </w:r>
      <w:r w:rsidR="003D640C" w:rsidRPr="00B6157E">
        <w:t xml:space="preserve"> </w:t>
      </w:r>
      <w:r w:rsidRPr="00B6157E">
        <w:t>J.,</w:t>
      </w:r>
      <w:r w:rsidR="003D640C" w:rsidRPr="00B6157E">
        <w:t xml:space="preserve"> </w:t>
      </w:r>
      <w:r w:rsidRPr="00B6157E">
        <w:t>&amp;</w:t>
      </w:r>
      <w:r w:rsidR="003D640C" w:rsidRPr="00B6157E">
        <w:t xml:space="preserve"> </w:t>
      </w:r>
      <w:r w:rsidRPr="00B6157E">
        <w:t>Fleming,</w:t>
      </w:r>
      <w:r w:rsidR="003D640C" w:rsidRPr="00B6157E">
        <w:t xml:space="preserve"> </w:t>
      </w:r>
      <w:r w:rsidRPr="00B6157E">
        <w:t>T.</w:t>
      </w:r>
      <w:r w:rsidR="003D640C" w:rsidRPr="00B6157E">
        <w:t xml:space="preserve"> </w:t>
      </w:r>
      <w:r w:rsidRPr="00B6157E">
        <w:t>(2021).</w:t>
      </w:r>
      <w:r w:rsidR="003D640C" w:rsidRPr="00B6157E">
        <w:t xml:space="preserve"> </w:t>
      </w:r>
      <w:r w:rsidRPr="00B6157E">
        <w:rPr>
          <w:i/>
          <w:iCs/>
        </w:rPr>
        <w:t>Negotiating</w:t>
      </w:r>
      <w:r w:rsidR="003D640C" w:rsidRPr="00B6157E">
        <w:rPr>
          <w:i/>
          <w:iCs/>
        </w:rPr>
        <w:t xml:space="preserve"> </w:t>
      </w:r>
      <w:r w:rsidRPr="00B6157E">
        <w:rPr>
          <w:i/>
          <w:iCs/>
        </w:rPr>
        <w:t>multiple</w:t>
      </w:r>
      <w:r w:rsidR="003D640C" w:rsidRPr="00B6157E">
        <w:rPr>
          <w:i/>
          <w:iCs/>
        </w:rPr>
        <w:t xml:space="preserve"> </w:t>
      </w:r>
      <w:r w:rsidRPr="00B6157E">
        <w:rPr>
          <w:i/>
          <w:iCs/>
        </w:rPr>
        <w:t>identities:</w:t>
      </w:r>
      <w:r w:rsidR="003D640C" w:rsidRPr="00B6157E">
        <w:rPr>
          <w:i/>
          <w:iCs/>
        </w:rPr>
        <w:t xml:space="preserve"> </w:t>
      </w:r>
      <w:r w:rsidRPr="00B6157E">
        <w:rPr>
          <w:i/>
          <w:iCs/>
        </w:rPr>
        <w:t>Intersecting</w:t>
      </w:r>
      <w:r w:rsidR="003D640C" w:rsidRPr="00B6157E">
        <w:rPr>
          <w:i/>
          <w:iCs/>
        </w:rPr>
        <w:t xml:space="preserve"> </w:t>
      </w:r>
      <w:r w:rsidRPr="00B6157E">
        <w:rPr>
          <w:i/>
          <w:iCs/>
        </w:rPr>
        <w:t>identities</w:t>
      </w:r>
      <w:r w:rsidR="003D640C" w:rsidRPr="00B6157E">
        <w:rPr>
          <w:i/>
          <w:iCs/>
        </w:rPr>
        <w:t xml:space="preserve"> </w:t>
      </w:r>
      <w:r w:rsidRPr="00B6157E">
        <w:rPr>
          <w:i/>
          <w:iCs/>
        </w:rPr>
        <w:t>among</w:t>
      </w:r>
      <w:r w:rsidR="003D640C" w:rsidRPr="00B6157E">
        <w:rPr>
          <w:i/>
          <w:iCs/>
        </w:rPr>
        <w:t xml:space="preserve"> </w:t>
      </w:r>
      <w:r w:rsidRPr="00B6157E">
        <w:rPr>
          <w:i/>
          <w:iCs/>
        </w:rPr>
        <w:t>Māori,</w:t>
      </w:r>
      <w:r w:rsidR="003D640C" w:rsidRPr="00B6157E">
        <w:rPr>
          <w:i/>
          <w:iCs/>
        </w:rPr>
        <w:t xml:space="preserve"> </w:t>
      </w:r>
      <w:r w:rsidRPr="00B6157E">
        <w:rPr>
          <w:i/>
          <w:iCs/>
        </w:rPr>
        <w:t>Pacific,</w:t>
      </w:r>
      <w:r w:rsidR="003D640C" w:rsidRPr="00B6157E">
        <w:rPr>
          <w:i/>
          <w:iCs/>
        </w:rPr>
        <w:t xml:space="preserve"> </w:t>
      </w:r>
      <w:r w:rsidR="004419D7" w:rsidRPr="00B6157E">
        <w:rPr>
          <w:i/>
          <w:iCs/>
        </w:rPr>
        <w:t>r</w:t>
      </w:r>
      <w:r w:rsidRPr="00B6157E">
        <w:rPr>
          <w:i/>
          <w:iCs/>
        </w:rPr>
        <w:t>ainbow</w:t>
      </w:r>
      <w:r w:rsidR="003D640C" w:rsidRPr="00B6157E">
        <w:rPr>
          <w:i/>
          <w:iCs/>
        </w:rPr>
        <w:t xml:space="preserve"> </w:t>
      </w:r>
      <w:r w:rsidRPr="00B6157E">
        <w:rPr>
          <w:i/>
          <w:iCs/>
        </w:rPr>
        <w:t>and</w:t>
      </w:r>
      <w:r w:rsidR="003D640C" w:rsidRPr="00B6157E">
        <w:rPr>
          <w:i/>
          <w:iCs/>
        </w:rPr>
        <w:t xml:space="preserve"> </w:t>
      </w:r>
      <w:r w:rsidR="004419D7" w:rsidRPr="00B6157E">
        <w:rPr>
          <w:i/>
          <w:iCs/>
        </w:rPr>
        <w:t>d</w:t>
      </w:r>
      <w:r w:rsidRPr="00B6157E">
        <w:rPr>
          <w:i/>
          <w:iCs/>
        </w:rPr>
        <w:t>isabled</w:t>
      </w:r>
      <w:r w:rsidR="003D640C" w:rsidRPr="00B6157E">
        <w:rPr>
          <w:i/>
          <w:iCs/>
        </w:rPr>
        <w:t xml:space="preserve"> </w:t>
      </w:r>
      <w:r w:rsidRPr="00B6157E">
        <w:rPr>
          <w:i/>
          <w:iCs/>
        </w:rPr>
        <w:t>young</w:t>
      </w:r>
      <w:r w:rsidR="003D640C" w:rsidRPr="00B6157E">
        <w:rPr>
          <w:i/>
          <w:iCs/>
        </w:rPr>
        <w:t xml:space="preserve"> </w:t>
      </w:r>
      <w:r w:rsidRPr="00B6157E">
        <w:rPr>
          <w:i/>
          <w:iCs/>
        </w:rPr>
        <w:t>people</w:t>
      </w:r>
      <w:r w:rsidRPr="00B6157E">
        <w:t>.</w:t>
      </w:r>
      <w:r w:rsidR="003D640C" w:rsidRPr="00B6157E">
        <w:t xml:space="preserve"> </w:t>
      </w:r>
      <w:r w:rsidRPr="00B6157E">
        <w:t>The</w:t>
      </w:r>
      <w:r w:rsidR="003D640C" w:rsidRPr="00B6157E">
        <w:t xml:space="preserve"> </w:t>
      </w:r>
      <w:r w:rsidRPr="00B6157E">
        <w:t>Youth19</w:t>
      </w:r>
      <w:r w:rsidR="003D640C" w:rsidRPr="00B6157E">
        <w:t xml:space="preserve"> </w:t>
      </w:r>
      <w:r w:rsidRPr="00B6157E">
        <w:t>Research</w:t>
      </w:r>
      <w:r w:rsidR="003D640C" w:rsidRPr="00B6157E">
        <w:t xml:space="preserve"> </w:t>
      </w:r>
      <w:r w:rsidRPr="00B6157E">
        <w:t>Group</w:t>
      </w:r>
      <w:r w:rsidR="004D4891" w:rsidRPr="00B6157E">
        <w:t>.</w:t>
      </w:r>
      <w:r w:rsidR="004419D7" w:rsidRPr="00B6157E">
        <w:t xml:space="preserve"> </w:t>
      </w:r>
      <w:hyperlink r:id="rId140" w:history="1">
        <w:r w:rsidR="004419D7" w:rsidRPr="00B6157E">
          <w:rPr>
            <w:rStyle w:val="Hyperlink"/>
          </w:rPr>
          <w:t>https://communityresearch.org.nz/wp-content/uploads/2021/12/Youth19IntersectionalityReport_FINAL_2021_print-1.pdf</w:t>
        </w:r>
      </w:hyperlink>
      <w:r w:rsidR="004419D7" w:rsidRPr="00B6157E">
        <w:t xml:space="preserve"> </w:t>
      </w:r>
    </w:p>
    <w:p w14:paraId="47D81B83" w14:textId="40A288FA" w:rsidR="00F01386" w:rsidRPr="00B6157E" w:rsidRDefault="00F01386" w:rsidP="00E00167">
      <w:pPr>
        <w:pStyle w:val="Reference"/>
        <w:rPr>
          <w:lang w:val="en-US"/>
        </w:rPr>
      </w:pPr>
      <w:r w:rsidRPr="00B6157E">
        <w:rPr>
          <w:lang w:val="en-US"/>
        </w:rPr>
        <w:t>Ryan,</w:t>
      </w:r>
      <w:r w:rsidR="003D640C" w:rsidRPr="00B6157E">
        <w:rPr>
          <w:lang w:val="en-US"/>
        </w:rPr>
        <w:t xml:space="preserve"> </w:t>
      </w:r>
      <w:r w:rsidRPr="00B6157E">
        <w:rPr>
          <w:lang w:val="en-US"/>
        </w:rPr>
        <w:t>C.,</w:t>
      </w:r>
      <w:r w:rsidR="003D640C" w:rsidRPr="00B6157E">
        <w:rPr>
          <w:lang w:val="en-US"/>
        </w:rPr>
        <w:t xml:space="preserve"> </w:t>
      </w:r>
      <w:r w:rsidRPr="00B6157E">
        <w:rPr>
          <w:lang w:val="en-US"/>
        </w:rPr>
        <w:t>Toomey,</w:t>
      </w:r>
      <w:r w:rsidR="003D640C" w:rsidRPr="00B6157E">
        <w:rPr>
          <w:lang w:val="en-US"/>
        </w:rPr>
        <w:t xml:space="preserve"> </w:t>
      </w:r>
      <w:r w:rsidRPr="00B6157E">
        <w:rPr>
          <w:lang w:val="en-US"/>
        </w:rPr>
        <w:t>R.</w:t>
      </w:r>
      <w:r w:rsidR="003D640C" w:rsidRPr="00B6157E">
        <w:rPr>
          <w:lang w:val="en-US"/>
        </w:rPr>
        <w:t xml:space="preserve"> </w:t>
      </w:r>
      <w:r w:rsidRPr="00B6157E">
        <w:rPr>
          <w:lang w:val="en-US"/>
        </w:rPr>
        <w:t>B.,</w:t>
      </w:r>
      <w:r w:rsidR="003D640C" w:rsidRPr="00B6157E">
        <w:rPr>
          <w:lang w:val="en-US"/>
        </w:rPr>
        <w:t xml:space="preserve"> </w:t>
      </w:r>
      <w:r w:rsidRPr="00B6157E">
        <w:rPr>
          <w:lang w:val="en-US"/>
        </w:rPr>
        <w:t>Diaz,</w:t>
      </w:r>
      <w:r w:rsidR="003D640C" w:rsidRPr="00B6157E">
        <w:rPr>
          <w:lang w:val="en-US"/>
        </w:rPr>
        <w:t xml:space="preserve"> </w:t>
      </w:r>
      <w:r w:rsidRPr="00B6157E">
        <w:rPr>
          <w:lang w:val="en-US"/>
        </w:rPr>
        <w:t>R.</w:t>
      </w:r>
      <w:r w:rsidR="003D640C" w:rsidRPr="00B6157E">
        <w:rPr>
          <w:lang w:val="en-US"/>
        </w:rPr>
        <w:t xml:space="preserve"> </w:t>
      </w:r>
      <w:r w:rsidRPr="00B6157E">
        <w:rPr>
          <w:lang w:val="en-US"/>
        </w:rPr>
        <w:t>M.</w:t>
      </w:r>
      <w:r w:rsidR="003D0CB2" w:rsidRPr="00B6157E">
        <w:rPr>
          <w:lang w:val="en-US"/>
        </w:rPr>
        <w:t>,</w:t>
      </w:r>
      <w:r w:rsidR="003D640C" w:rsidRPr="00B6157E">
        <w:rPr>
          <w:lang w:val="en-US"/>
        </w:rPr>
        <w:t xml:space="preserve"> </w:t>
      </w:r>
      <w:r w:rsidRPr="00B6157E">
        <w:rPr>
          <w:lang w:val="en-US"/>
        </w:rPr>
        <w:t>&amp;</w:t>
      </w:r>
      <w:r w:rsidR="003D640C" w:rsidRPr="00B6157E">
        <w:rPr>
          <w:lang w:val="en-US"/>
        </w:rPr>
        <w:t xml:space="preserve"> </w:t>
      </w:r>
      <w:r w:rsidRPr="00B6157E">
        <w:rPr>
          <w:lang w:val="en-US"/>
        </w:rPr>
        <w:t>Russell,</w:t>
      </w:r>
      <w:r w:rsidR="003D640C" w:rsidRPr="00B6157E">
        <w:rPr>
          <w:lang w:val="en-US"/>
        </w:rPr>
        <w:t xml:space="preserve"> </w:t>
      </w:r>
      <w:r w:rsidRPr="00B6157E">
        <w:rPr>
          <w:lang w:val="en-US"/>
        </w:rPr>
        <w:t>S.</w:t>
      </w:r>
      <w:r w:rsidR="003D640C" w:rsidRPr="00B6157E">
        <w:rPr>
          <w:lang w:val="en-US"/>
        </w:rPr>
        <w:t xml:space="preserve"> </w:t>
      </w:r>
      <w:r w:rsidRPr="00B6157E">
        <w:rPr>
          <w:lang w:val="en-US"/>
        </w:rPr>
        <w:t>T.</w:t>
      </w:r>
      <w:r w:rsidR="003D640C" w:rsidRPr="00B6157E">
        <w:rPr>
          <w:lang w:val="en-US"/>
        </w:rPr>
        <w:t xml:space="preserve"> </w:t>
      </w:r>
      <w:r w:rsidRPr="00B6157E">
        <w:rPr>
          <w:lang w:val="en-US"/>
        </w:rPr>
        <w:t>(2020).</w:t>
      </w:r>
      <w:r w:rsidR="003D640C" w:rsidRPr="00B6157E">
        <w:rPr>
          <w:lang w:val="en-US"/>
        </w:rPr>
        <w:t xml:space="preserve"> </w:t>
      </w:r>
      <w:r w:rsidRPr="00B6157E">
        <w:rPr>
          <w:lang w:val="en-US"/>
        </w:rPr>
        <w:t>Parent-initiated</w:t>
      </w:r>
      <w:r w:rsidR="003D640C" w:rsidRPr="00B6157E">
        <w:rPr>
          <w:lang w:val="en-US"/>
        </w:rPr>
        <w:t xml:space="preserve"> </w:t>
      </w:r>
      <w:r w:rsidRPr="00B6157E">
        <w:rPr>
          <w:lang w:val="en-US"/>
        </w:rPr>
        <w:t>sexual</w:t>
      </w:r>
      <w:r w:rsidR="003D640C" w:rsidRPr="00B6157E">
        <w:rPr>
          <w:lang w:val="en-US"/>
        </w:rPr>
        <w:t xml:space="preserve"> </w:t>
      </w:r>
      <w:r w:rsidRPr="00B6157E">
        <w:rPr>
          <w:lang w:val="en-US"/>
        </w:rPr>
        <w:t>orientation</w:t>
      </w:r>
      <w:r w:rsidR="003D640C" w:rsidRPr="00B6157E">
        <w:rPr>
          <w:lang w:val="en-US"/>
        </w:rPr>
        <w:t xml:space="preserve"> </w:t>
      </w:r>
      <w:r w:rsidRPr="00B6157E">
        <w:rPr>
          <w:lang w:val="en-US"/>
        </w:rPr>
        <w:t>change</w:t>
      </w:r>
      <w:r w:rsidR="003D640C" w:rsidRPr="00B6157E">
        <w:rPr>
          <w:lang w:val="en-US"/>
        </w:rPr>
        <w:t xml:space="preserve"> </w:t>
      </w:r>
      <w:r w:rsidRPr="00B6157E">
        <w:rPr>
          <w:lang w:val="en-US"/>
        </w:rPr>
        <w:t>efforts</w:t>
      </w:r>
      <w:r w:rsidR="003D640C" w:rsidRPr="00B6157E">
        <w:rPr>
          <w:lang w:val="en-US"/>
        </w:rPr>
        <w:t xml:space="preserve"> </w:t>
      </w:r>
      <w:r w:rsidRPr="00B6157E">
        <w:rPr>
          <w:lang w:val="en-US"/>
        </w:rPr>
        <w:t>with</w:t>
      </w:r>
      <w:r w:rsidR="003D640C" w:rsidRPr="00B6157E">
        <w:rPr>
          <w:lang w:val="en-US"/>
        </w:rPr>
        <w:t xml:space="preserve"> </w:t>
      </w:r>
      <w:r w:rsidRPr="00B6157E">
        <w:rPr>
          <w:lang w:val="en-US"/>
        </w:rPr>
        <w:t>LGBT</w:t>
      </w:r>
      <w:r w:rsidR="003D640C" w:rsidRPr="00B6157E">
        <w:rPr>
          <w:lang w:val="en-US"/>
        </w:rPr>
        <w:t xml:space="preserve"> </w:t>
      </w:r>
      <w:r w:rsidRPr="00B6157E">
        <w:rPr>
          <w:lang w:val="en-US"/>
        </w:rPr>
        <w:t>adolescents:</w:t>
      </w:r>
      <w:r w:rsidR="003D640C" w:rsidRPr="00B6157E">
        <w:rPr>
          <w:lang w:val="en-US"/>
        </w:rPr>
        <w:t xml:space="preserve"> </w:t>
      </w:r>
      <w:r w:rsidR="003D0CB2" w:rsidRPr="00B6157E">
        <w:rPr>
          <w:lang w:val="en-US"/>
        </w:rPr>
        <w:t>I</w:t>
      </w:r>
      <w:r w:rsidRPr="00B6157E">
        <w:rPr>
          <w:lang w:val="en-US"/>
        </w:rPr>
        <w:t>mplications</w:t>
      </w:r>
      <w:r w:rsidR="003D640C" w:rsidRPr="00B6157E">
        <w:rPr>
          <w:lang w:val="en-US"/>
        </w:rPr>
        <w:t xml:space="preserve"> </w:t>
      </w:r>
      <w:r w:rsidRPr="00B6157E">
        <w:rPr>
          <w:lang w:val="en-US"/>
        </w:rPr>
        <w:t>for</w:t>
      </w:r>
      <w:r w:rsidR="003D640C" w:rsidRPr="00B6157E">
        <w:rPr>
          <w:lang w:val="en-US"/>
        </w:rPr>
        <w:t xml:space="preserve"> </w:t>
      </w:r>
      <w:r w:rsidRPr="00B6157E">
        <w:rPr>
          <w:lang w:val="en-US"/>
        </w:rPr>
        <w:t>young</w:t>
      </w:r>
      <w:r w:rsidR="003D640C" w:rsidRPr="00B6157E">
        <w:rPr>
          <w:lang w:val="en-US"/>
        </w:rPr>
        <w:t xml:space="preserve"> </w:t>
      </w:r>
      <w:r w:rsidRPr="00B6157E">
        <w:rPr>
          <w:lang w:val="en-US"/>
        </w:rPr>
        <w:t>adult</w:t>
      </w:r>
      <w:r w:rsidR="003D640C" w:rsidRPr="00B6157E">
        <w:rPr>
          <w:lang w:val="en-US"/>
        </w:rPr>
        <w:t xml:space="preserve"> </w:t>
      </w:r>
      <w:r w:rsidRPr="00B6157E">
        <w:rPr>
          <w:lang w:val="en-US"/>
        </w:rPr>
        <w:t>mental</w:t>
      </w:r>
      <w:r w:rsidR="003D640C" w:rsidRPr="00B6157E">
        <w:rPr>
          <w:lang w:val="en-US"/>
        </w:rPr>
        <w:t xml:space="preserve"> </w:t>
      </w:r>
      <w:r w:rsidRPr="00B6157E">
        <w:rPr>
          <w:lang w:val="en-US"/>
        </w:rPr>
        <w:t>health</w:t>
      </w:r>
      <w:r w:rsidR="003D640C" w:rsidRPr="00B6157E">
        <w:rPr>
          <w:lang w:val="en-US"/>
        </w:rPr>
        <w:t xml:space="preserve"> </w:t>
      </w:r>
      <w:r w:rsidRPr="00B6157E">
        <w:rPr>
          <w:lang w:val="en-US"/>
        </w:rPr>
        <w:t>and</w:t>
      </w:r>
      <w:r w:rsidR="003D640C" w:rsidRPr="00B6157E">
        <w:rPr>
          <w:lang w:val="en-US"/>
        </w:rPr>
        <w:t xml:space="preserve"> </w:t>
      </w:r>
      <w:r w:rsidRPr="00B6157E">
        <w:rPr>
          <w:lang w:val="en-US"/>
        </w:rPr>
        <w:t>adjustment.</w:t>
      </w:r>
      <w:r w:rsidR="003D640C" w:rsidRPr="00B6157E">
        <w:rPr>
          <w:lang w:val="en-US"/>
        </w:rPr>
        <w:t xml:space="preserve"> </w:t>
      </w:r>
      <w:r w:rsidRPr="00B6157E">
        <w:rPr>
          <w:i/>
          <w:iCs/>
          <w:lang w:val="en-US"/>
        </w:rPr>
        <w:t>Journal</w:t>
      </w:r>
      <w:r w:rsidR="003D640C" w:rsidRPr="00B6157E">
        <w:rPr>
          <w:i/>
          <w:iCs/>
          <w:lang w:val="en-US"/>
        </w:rPr>
        <w:t xml:space="preserve"> </w:t>
      </w:r>
      <w:r w:rsidRPr="00B6157E">
        <w:rPr>
          <w:i/>
          <w:iCs/>
          <w:lang w:val="en-US"/>
        </w:rPr>
        <w:t>of</w:t>
      </w:r>
      <w:r w:rsidR="003D640C" w:rsidRPr="00B6157E">
        <w:rPr>
          <w:i/>
          <w:iCs/>
          <w:lang w:val="en-US"/>
        </w:rPr>
        <w:t xml:space="preserve"> </w:t>
      </w:r>
      <w:r w:rsidRPr="00B6157E">
        <w:rPr>
          <w:i/>
          <w:iCs/>
          <w:lang w:val="en-US"/>
        </w:rPr>
        <w:t>Homosexuality</w:t>
      </w:r>
      <w:r w:rsidR="003D0CB2" w:rsidRPr="00B6157E">
        <w:rPr>
          <w:lang w:val="en-US"/>
        </w:rPr>
        <w:t xml:space="preserve">, </w:t>
      </w:r>
      <w:r w:rsidR="003D0CB2" w:rsidRPr="00B6157E">
        <w:rPr>
          <w:i/>
          <w:iCs/>
          <w:lang w:val="en-US"/>
        </w:rPr>
        <w:t>67</w:t>
      </w:r>
      <w:r w:rsidR="003D0CB2" w:rsidRPr="00B6157E">
        <w:rPr>
          <w:lang w:val="en-US"/>
        </w:rPr>
        <w:t>(2), 159–173</w:t>
      </w:r>
      <w:r w:rsidRPr="00B6157E">
        <w:rPr>
          <w:i/>
          <w:iCs/>
          <w:lang w:val="en-US"/>
        </w:rPr>
        <w:t>.</w:t>
      </w:r>
      <w:r w:rsidR="003D640C" w:rsidRPr="00B6157E">
        <w:rPr>
          <w:lang w:val="en-US"/>
        </w:rPr>
        <w:t xml:space="preserve"> </w:t>
      </w:r>
      <w:hyperlink r:id="rId141" w:history="1">
        <w:r w:rsidR="0096683F" w:rsidRPr="00B6157E">
          <w:rPr>
            <w:rStyle w:val="Hyperlink"/>
            <w:lang w:val="en-US"/>
          </w:rPr>
          <w:t>https://doi.org/10.1080/00918369.2018.1538407</w:t>
        </w:r>
      </w:hyperlink>
      <w:r w:rsidR="0096683F" w:rsidRPr="00B6157E">
        <w:rPr>
          <w:lang w:val="en-US"/>
        </w:rPr>
        <w:t xml:space="preserve"> </w:t>
      </w:r>
      <w:r w:rsidR="003D640C" w:rsidRPr="00B6157E">
        <w:rPr>
          <w:lang w:val="en-US"/>
        </w:rPr>
        <w:t xml:space="preserve"> </w:t>
      </w:r>
    </w:p>
    <w:p w14:paraId="48A443E9" w14:textId="68B0CA20" w:rsidR="00F01386" w:rsidRDefault="00F01386" w:rsidP="00E00167">
      <w:pPr>
        <w:pStyle w:val="Reference"/>
        <w:rPr>
          <w:lang w:val="en-US"/>
        </w:rPr>
      </w:pPr>
      <w:r w:rsidRPr="00B6157E">
        <w:rPr>
          <w:lang w:val="en-US"/>
        </w:rPr>
        <w:lastRenderedPageBreak/>
        <w:t>Salway,</w:t>
      </w:r>
      <w:r w:rsidR="003D640C" w:rsidRPr="00B6157E">
        <w:rPr>
          <w:lang w:val="en-US"/>
        </w:rPr>
        <w:t xml:space="preserve"> </w:t>
      </w:r>
      <w:r w:rsidRPr="00B6157E">
        <w:rPr>
          <w:lang w:val="en-US"/>
        </w:rPr>
        <w:t>T.,</w:t>
      </w:r>
      <w:r w:rsidR="003D640C">
        <w:rPr>
          <w:lang w:val="en-US"/>
        </w:rPr>
        <w:t xml:space="preserve"> </w:t>
      </w:r>
      <w:r w:rsidR="006B792C">
        <w:rPr>
          <w:lang w:val="mi-NZ"/>
        </w:rPr>
        <w:t>Juwono, S., Klassen, B., Ferlatte, O., Ablona, A., Pruden, H., Morgan, J., Kwag, M., Card, K., Knight, R., &amp; Lachowsky, N. J</w:t>
      </w:r>
      <w:r w:rsidRPr="00BB6220">
        <w:rPr>
          <w:lang w:val="en-US"/>
        </w:rPr>
        <w:t>.</w:t>
      </w:r>
      <w:r w:rsidR="003D640C">
        <w:rPr>
          <w:lang w:val="en-US"/>
        </w:rPr>
        <w:t xml:space="preserve"> </w:t>
      </w:r>
      <w:r w:rsidRPr="00BB6220">
        <w:rPr>
          <w:lang w:val="en-US"/>
        </w:rPr>
        <w:t>(2021).</w:t>
      </w:r>
      <w:r w:rsidR="003D640C">
        <w:rPr>
          <w:lang w:val="en-US"/>
        </w:rPr>
        <w:t xml:space="preserve"> </w:t>
      </w:r>
      <w:r w:rsidRPr="00BB6220">
        <w:rPr>
          <w:lang w:val="en-US"/>
        </w:rPr>
        <w:t>Experiences</w:t>
      </w:r>
      <w:r w:rsidR="003D640C">
        <w:rPr>
          <w:lang w:val="en-US"/>
        </w:rPr>
        <w:t xml:space="preserve"> </w:t>
      </w:r>
      <w:r w:rsidRPr="00BB6220">
        <w:rPr>
          <w:lang w:val="en-US"/>
        </w:rPr>
        <w:t>with</w:t>
      </w:r>
      <w:r w:rsidR="003D640C">
        <w:rPr>
          <w:lang w:val="en-US"/>
        </w:rPr>
        <w:t xml:space="preserve"> </w:t>
      </w:r>
      <w:r w:rsidRPr="00BB6220">
        <w:rPr>
          <w:lang w:val="en-US"/>
        </w:rPr>
        <w:t>sexual</w:t>
      </w:r>
      <w:r w:rsidR="003D640C">
        <w:rPr>
          <w:lang w:val="en-US"/>
        </w:rPr>
        <w:t xml:space="preserve"> </w:t>
      </w:r>
      <w:r w:rsidRPr="00BB6220">
        <w:rPr>
          <w:lang w:val="en-US"/>
        </w:rPr>
        <w:t>orientation</w:t>
      </w:r>
      <w:r w:rsidR="003D640C">
        <w:rPr>
          <w:lang w:val="en-US"/>
        </w:rPr>
        <w:t xml:space="preserve"> </w:t>
      </w:r>
      <w:r w:rsidRPr="00BB6220">
        <w:rPr>
          <w:lang w:val="en-US"/>
        </w:rPr>
        <w:t>and</w:t>
      </w:r>
      <w:r w:rsidR="003D640C">
        <w:rPr>
          <w:lang w:val="en-US"/>
        </w:rPr>
        <w:t xml:space="preserve"> </w:t>
      </w:r>
      <w:r w:rsidRPr="00BB6220">
        <w:rPr>
          <w:lang w:val="en-US"/>
        </w:rPr>
        <w:t>gender</w:t>
      </w:r>
      <w:r w:rsidR="003D640C">
        <w:rPr>
          <w:lang w:val="en-US"/>
        </w:rPr>
        <w:t xml:space="preserve"> </w:t>
      </w:r>
      <w:r w:rsidRPr="00BB6220">
        <w:rPr>
          <w:lang w:val="en-US"/>
        </w:rPr>
        <w:t>identity</w:t>
      </w:r>
      <w:r w:rsidR="003D640C">
        <w:rPr>
          <w:lang w:val="en-US"/>
        </w:rPr>
        <w:t xml:space="preserve"> </w:t>
      </w:r>
      <w:r w:rsidRPr="00BB6220">
        <w:rPr>
          <w:lang w:val="en-US"/>
        </w:rPr>
        <w:t>conversion</w:t>
      </w:r>
      <w:r w:rsidR="003D640C">
        <w:rPr>
          <w:lang w:val="en-US"/>
        </w:rPr>
        <w:t xml:space="preserve"> </w:t>
      </w:r>
      <w:r w:rsidRPr="00BB6220">
        <w:rPr>
          <w:lang w:val="en-US"/>
        </w:rPr>
        <w:t>therapy</w:t>
      </w:r>
      <w:r w:rsidR="003D640C">
        <w:rPr>
          <w:lang w:val="en-US"/>
        </w:rPr>
        <w:t xml:space="preserve"> </w:t>
      </w:r>
      <w:r w:rsidRPr="00BB6220">
        <w:rPr>
          <w:lang w:val="en-US"/>
        </w:rPr>
        <w:t>practice</w:t>
      </w:r>
      <w:r w:rsidR="003D640C">
        <w:rPr>
          <w:lang w:val="en-US"/>
        </w:rPr>
        <w:t xml:space="preserve"> </w:t>
      </w:r>
      <w:r w:rsidRPr="00BB6220">
        <w:rPr>
          <w:lang w:val="en-US"/>
        </w:rPr>
        <w:t>among</w:t>
      </w:r>
      <w:r w:rsidR="003D640C">
        <w:rPr>
          <w:lang w:val="en-US"/>
        </w:rPr>
        <w:t xml:space="preserve"> </w:t>
      </w:r>
      <w:r w:rsidRPr="00BB6220">
        <w:rPr>
          <w:lang w:val="en-US"/>
        </w:rPr>
        <w:t>sexual</w:t>
      </w:r>
      <w:r w:rsidR="003D640C">
        <w:rPr>
          <w:lang w:val="en-US"/>
        </w:rPr>
        <w:t xml:space="preserve"> </w:t>
      </w:r>
      <w:r w:rsidRPr="00BB6220">
        <w:rPr>
          <w:lang w:val="en-US"/>
        </w:rPr>
        <w:t>minority</w:t>
      </w:r>
      <w:r w:rsidR="003D640C">
        <w:rPr>
          <w:lang w:val="en-US"/>
        </w:rPr>
        <w:t xml:space="preserve"> </w:t>
      </w:r>
      <w:r w:rsidRPr="00BB6220">
        <w:rPr>
          <w:lang w:val="en-US"/>
        </w:rPr>
        <w:t>men</w:t>
      </w:r>
      <w:r w:rsidR="003D640C">
        <w:rPr>
          <w:lang w:val="en-US"/>
        </w:rPr>
        <w:t xml:space="preserve"> </w:t>
      </w:r>
      <w:r w:rsidRPr="00BB6220">
        <w:rPr>
          <w:lang w:val="en-US"/>
        </w:rPr>
        <w:t>in</w:t>
      </w:r>
      <w:r w:rsidR="003D640C">
        <w:rPr>
          <w:lang w:val="en-US"/>
        </w:rPr>
        <w:t xml:space="preserve"> </w:t>
      </w:r>
      <w:r w:rsidRPr="00BB6220">
        <w:rPr>
          <w:lang w:val="en-US"/>
        </w:rPr>
        <w:t>Canada,</w:t>
      </w:r>
      <w:r w:rsidR="003D640C">
        <w:rPr>
          <w:lang w:val="en-US"/>
        </w:rPr>
        <w:t xml:space="preserve"> </w:t>
      </w:r>
      <w:r w:rsidRPr="00BB6220">
        <w:rPr>
          <w:lang w:val="en-US"/>
        </w:rPr>
        <w:t>2019</w:t>
      </w:r>
      <w:r w:rsidR="006B792C">
        <w:rPr>
          <w:lang w:val="en-US"/>
        </w:rPr>
        <w:t>–</w:t>
      </w:r>
      <w:r w:rsidRPr="00BB6220">
        <w:rPr>
          <w:lang w:val="en-US"/>
        </w:rPr>
        <w:t>2020.</w:t>
      </w:r>
      <w:r w:rsidR="003D640C">
        <w:rPr>
          <w:lang w:val="en-US"/>
        </w:rPr>
        <w:t xml:space="preserve"> </w:t>
      </w:r>
      <w:r w:rsidR="006B792C" w:rsidRPr="007B139B">
        <w:rPr>
          <w:i/>
          <w:iCs/>
          <w:lang w:val="en-US"/>
        </w:rPr>
        <w:t>PLoS ONE</w:t>
      </w:r>
      <w:r w:rsidR="006B792C">
        <w:rPr>
          <w:lang w:val="en-US"/>
        </w:rPr>
        <w:t xml:space="preserve">, </w:t>
      </w:r>
      <w:r w:rsidR="006B792C" w:rsidRPr="007B139B">
        <w:rPr>
          <w:i/>
          <w:iCs/>
          <w:lang w:val="en-US"/>
        </w:rPr>
        <w:t>16</w:t>
      </w:r>
      <w:r w:rsidR="006B792C">
        <w:rPr>
          <w:lang w:val="en-US"/>
        </w:rPr>
        <w:t xml:space="preserve">(6), e0252539. </w:t>
      </w:r>
      <w:hyperlink r:id="rId142" w:history="1">
        <w:r w:rsidR="0096683F" w:rsidRPr="008C4900">
          <w:rPr>
            <w:rStyle w:val="Hyperlink"/>
          </w:rPr>
          <w:t>https://doi.org/</w:t>
        </w:r>
        <w:r w:rsidR="0096683F" w:rsidRPr="008C4900">
          <w:rPr>
            <w:rStyle w:val="Hyperlink"/>
            <w:lang w:val="en-US"/>
          </w:rPr>
          <w:t>10.1371/journal.pone.0252539</w:t>
        </w:r>
      </w:hyperlink>
      <w:r w:rsidR="0096683F">
        <w:rPr>
          <w:lang w:val="en-US"/>
        </w:rPr>
        <w:t xml:space="preserve"> </w:t>
      </w:r>
      <w:r w:rsidR="003D640C">
        <w:rPr>
          <w:lang w:val="en-US"/>
        </w:rPr>
        <w:t xml:space="preserve"> </w:t>
      </w:r>
    </w:p>
    <w:p w14:paraId="77BD9FD8" w14:textId="11D8AE5B" w:rsidR="00DE0F96" w:rsidRDefault="00DE0F96" w:rsidP="003217FD">
      <w:pPr>
        <w:pStyle w:val="Reference"/>
        <w:rPr>
          <w:lang w:val="mi-NZ"/>
        </w:rPr>
      </w:pPr>
      <w:r>
        <w:rPr>
          <w:lang w:val="mi-NZ"/>
        </w:rPr>
        <w:t xml:space="preserve">Smith, P. (2021, October 17). </w:t>
      </w:r>
      <w:r w:rsidRPr="00DE0F96">
        <w:rPr>
          <w:i/>
          <w:iCs/>
          <w:lang w:val="mi-NZ"/>
        </w:rPr>
        <w:t>Submission rising: Parliament’s feedback flood</w:t>
      </w:r>
      <w:r w:rsidR="00F96D94">
        <w:rPr>
          <w:i/>
          <w:iCs/>
          <w:lang w:val="mi-NZ"/>
        </w:rPr>
        <w:t xml:space="preserve">. </w:t>
      </w:r>
      <w:hyperlink r:id="rId143" w:history="1">
        <w:r w:rsidR="00F96D94" w:rsidRPr="003479A0">
          <w:rPr>
            <w:rStyle w:val="Hyperlink"/>
            <w:lang w:val="mi-NZ"/>
          </w:rPr>
          <w:t>https://www.rnz.co.nz/national/programmes/the-house/audio/2018815908/submission-rising-parliament-s-feedback-flood</w:t>
        </w:r>
      </w:hyperlink>
      <w:r w:rsidR="00F96D94">
        <w:rPr>
          <w:lang w:val="mi-NZ"/>
        </w:rPr>
        <w:t xml:space="preserve"> </w:t>
      </w:r>
    </w:p>
    <w:p w14:paraId="62BF4AB8" w14:textId="0C3D335D" w:rsidR="008A7D69" w:rsidRPr="00B6157E" w:rsidRDefault="008A7D69" w:rsidP="003217FD">
      <w:pPr>
        <w:pStyle w:val="Reference"/>
      </w:pPr>
      <w:r w:rsidRPr="008A7D69">
        <w:t xml:space="preserve">Stats NZ. (n.d.). </w:t>
      </w:r>
      <w:r w:rsidRPr="001B1B44">
        <w:rPr>
          <w:i/>
          <w:iCs/>
        </w:rPr>
        <w:t>Pacific Peoples ethnic group</w:t>
      </w:r>
      <w:r w:rsidRPr="008A7D69">
        <w:t>.</w:t>
      </w:r>
      <w:r w:rsidR="001B1B44">
        <w:t xml:space="preserve"> </w:t>
      </w:r>
      <w:hyperlink r:id="rId144" w:history="1">
        <w:r w:rsidR="001B1B44" w:rsidRPr="003479A0">
          <w:rPr>
            <w:rStyle w:val="Hyperlink"/>
          </w:rPr>
          <w:t>https://www.stats.govt.nz/tools/2018-census-ethnic-group-summaries/pacific-peoples</w:t>
        </w:r>
      </w:hyperlink>
      <w:r w:rsidR="001B1B44">
        <w:t xml:space="preserve"> </w:t>
      </w:r>
    </w:p>
    <w:p w14:paraId="0A4C6599" w14:textId="44F22777" w:rsidR="00D63A6E" w:rsidRPr="00B6157E" w:rsidRDefault="00F01386" w:rsidP="00E00167">
      <w:pPr>
        <w:pStyle w:val="Reference"/>
        <w:rPr>
          <w:rFonts w:cstheme="minorHAnsi"/>
          <w:color w:val="161719"/>
          <w:shd w:val="clear" w:color="auto" w:fill="FFFFFF"/>
        </w:rPr>
      </w:pPr>
      <w:r w:rsidRPr="00B6157E">
        <w:rPr>
          <w:lang w:val="en-US"/>
        </w:rPr>
        <w:t>Stats</w:t>
      </w:r>
      <w:r w:rsidR="003D640C" w:rsidRPr="00B6157E">
        <w:rPr>
          <w:lang w:val="en-US"/>
        </w:rPr>
        <w:t xml:space="preserve"> </w:t>
      </w:r>
      <w:r w:rsidRPr="00B6157E">
        <w:rPr>
          <w:lang w:val="en-US"/>
        </w:rPr>
        <w:t>NZ</w:t>
      </w:r>
      <w:r w:rsidR="00D63A6E" w:rsidRPr="00B6157E">
        <w:rPr>
          <w:lang w:val="en-US"/>
        </w:rPr>
        <w:t>.</w:t>
      </w:r>
      <w:r w:rsidR="003D640C" w:rsidRPr="00B6157E">
        <w:rPr>
          <w:lang w:val="en-US"/>
        </w:rPr>
        <w:t xml:space="preserve"> </w:t>
      </w:r>
      <w:r w:rsidR="00D63A6E" w:rsidRPr="00B6157E">
        <w:rPr>
          <w:lang w:val="en-US"/>
        </w:rPr>
        <w:t>(</w:t>
      </w:r>
      <w:r w:rsidRPr="00B6157E">
        <w:rPr>
          <w:lang w:val="en-US"/>
        </w:rPr>
        <w:t>2020</w:t>
      </w:r>
      <w:r w:rsidR="00D63A6E" w:rsidRPr="00B6157E">
        <w:rPr>
          <w:lang w:val="en-US"/>
        </w:rPr>
        <w:t>, September 3)</w:t>
      </w:r>
      <w:r w:rsidRPr="00B6157E">
        <w:rPr>
          <w:lang w:val="en-US"/>
        </w:rPr>
        <w:t>.</w:t>
      </w:r>
      <w:r w:rsidR="003D640C" w:rsidRPr="00B6157E">
        <w:rPr>
          <w:lang w:val="en-US"/>
        </w:rPr>
        <w:t xml:space="preserve"> </w:t>
      </w:r>
      <w:r w:rsidRPr="005B33A1">
        <w:rPr>
          <w:rFonts w:cstheme="minorHAnsi"/>
          <w:i/>
          <w:iCs/>
          <w:color w:val="161719"/>
          <w:shd w:val="clear" w:color="auto" w:fill="FFFFFF"/>
        </w:rPr>
        <w:t>Ethnic</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group</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summaries</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reveal</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New</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Zealand’s</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multicultural</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make-up</w:t>
      </w:r>
      <w:r w:rsidRPr="00B6157E">
        <w:rPr>
          <w:rFonts w:cstheme="minorHAnsi"/>
          <w:color w:val="161719"/>
          <w:shd w:val="clear" w:color="auto" w:fill="FFFFFF"/>
        </w:rPr>
        <w:t>.</w:t>
      </w:r>
      <w:r w:rsidR="003D640C" w:rsidRPr="00B6157E">
        <w:rPr>
          <w:rFonts w:cstheme="minorHAnsi"/>
          <w:color w:val="161719"/>
          <w:shd w:val="clear" w:color="auto" w:fill="FFFFFF"/>
        </w:rPr>
        <w:t xml:space="preserve"> </w:t>
      </w:r>
      <w:hyperlink r:id="rId145" w:history="1">
        <w:r w:rsidR="00D63A6E" w:rsidRPr="00B6157E">
          <w:rPr>
            <w:rStyle w:val="Hyperlink"/>
            <w:rFonts w:cstheme="minorHAnsi"/>
            <w:shd w:val="clear" w:color="auto" w:fill="FFFFFF"/>
          </w:rPr>
          <w:t>https://www.stats.govt.nz/news/ethnic-group-summaries-reveal-new-zealands-multicultural-make-up/</w:t>
        </w:r>
      </w:hyperlink>
    </w:p>
    <w:p w14:paraId="0A87746E" w14:textId="653DF04B" w:rsidR="00A752B0" w:rsidRPr="00B6157E" w:rsidRDefault="00A752B0" w:rsidP="00A752B0">
      <w:pPr>
        <w:pStyle w:val="Reference"/>
      </w:pPr>
      <w:r w:rsidRPr="00B6157E">
        <w:t xml:space="preserve">Stats NZ. (2021, April 21). </w:t>
      </w:r>
      <w:r w:rsidRPr="00B6157E">
        <w:rPr>
          <w:i/>
          <w:iCs/>
        </w:rPr>
        <w:t>Gender, sex, variations of sex characteristics, and sexual identity</w:t>
      </w:r>
      <w:r w:rsidRPr="00B6157E">
        <w:t xml:space="preserve">. </w:t>
      </w:r>
      <w:hyperlink r:id="rId146" w:history="1">
        <w:r w:rsidRPr="00B6157E">
          <w:rPr>
            <w:rStyle w:val="Hyperlink"/>
          </w:rPr>
          <w:t>https://www.stats.govt.nz/reports/gender-sex-variations-of-sex-characteristics-and-sexual-identity</w:t>
        </w:r>
      </w:hyperlink>
      <w:r w:rsidRPr="00B6157E">
        <w:t xml:space="preserve"> </w:t>
      </w:r>
    </w:p>
    <w:p w14:paraId="1C7E2367" w14:textId="0CDDC713" w:rsidR="00F01386" w:rsidRDefault="00F01386" w:rsidP="00E00167">
      <w:pPr>
        <w:pStyle w:val="Reference"/>
        <w:rPr>
          <w:rFonts w:eastAsia="Open Sans" w:cstheme="minorHAnsi"/>
          <w:color w:val="121317"/>
        </w:rPr>
      </w:pPr>
      <w:r w:rsidRPr="00B6157E">
        <w:rPr>
          <w:lang w:val="en-US"/>
        </w:rPr>
        <w:t>Stats</w:t>
      </w:r>
      <w:r w:rsidR="003D640C" w:rsidRPr="00B6157E">
        <w:rPr>
          <w:lang w:val="en-US"/>
        </w:rPr>
        <w:t xml:space="preserve"> </w:t>
      </w:r>
      <w:r w:rsidRPr="00B6157E">
        <w:rPr>
          <w:lang w:val="en-US"/>
        </w:rPr>
        <w:t>NZ</w:t>
      </w:r>
      <w:r w:rsidR="00655F27" w:rsidRPr="00B6157E">
        <w:rPr>
          <w:lang w:val="en-US"/>
        </w:rPr>
        <w:t>. (</w:t>
      </w:r>
      <w:r w:rsidRPr="00B6157E">
        <w:rPr>
          <w:lang w:val="en-US"/>
        </w:rPr>
        <w:t>2022</w:t>
      </w:r>
      <w:r w:rsidR="00655F27" w:rsidRPr="00B6157E">
        <w:rPr>
          <w:lang w:val="en-US"/>
        </w:rPr>
        <w:t>, November 9)</w:t>
      </w:r>
      <w:r w:rsidRPr="00B6157E">
        <w:rPr>
          <w:lang w:val="en-US"/>
        </w:rPr>
        <w:t>.</w:t>
      </w:r>
      <w:r w:rsidR="003D640C" w:rsidRPr="00B6157E">
        <w:rPr>
          <w:lang w:val="en-US"/>
        </w:rPr>
        <w:t xml:space="preserve"> </w:t>
      </w:r>
      <w:r w:rsidRPr="00B6157E">
        <w:rPr>
          <w:rFonts w:eastAsia="Open Sans" w:cstheme="minorHAnsi"/>
          <w:i/>
          <w:color w:val="121317"/>
        </w:rPr>
        <w:t>LGBT+</w:t>
      </w:r>
      <w:r w:rsidR="003D640C" w:rsidRPr="00B6157E">
        <w:rPr>
          <w:rFonts w:eastAsia="Open Sans" w:cstheme="minorHAnsi"/>
          <w:i/>
          <w:color w:val="121317"/>
        </w:rPr>
        <w:t xml:space="preserve"> </w:t>
      </w:r>
      <w:r w:rsidRPr="00B6157E">
        <w:rPr>
          <w:rFonts w:eastAsia="Open Sans" w:cstheme="minorHAnsi"/>
          <w:i/>
          <w:color w:val="121317"/>
        </w:rPr>
        <w:t>population</w:t>
      </w:r>
      <w:r w:rsidR="003D640C" w:rsidRPr="00B6157E">
        <w:rPr>
          <w:rFonts w:eastAsia="Open Sans" w:cstheme="minorHAnsi"/>
          <w:i/>
          <w:color w:val="121317"/>
        </w:rPr>
        <w:t xml:space="preserve"> </w:t>
      </w:r>
      <w:r w:rsidRPr="00B6157E">
        <w:rPr>
          <w:rFonts w:eastAsia="Open Sans" w:cstheme="minorHAnsi"/>
          <w:i/>
          <w:color w:val="121317"/>
        </w:rPr>
        <w:t>of</w:t>
      </w:r>
      <w:r w:rsidR="003D640C" w:rsidRPr="00B6157E">
        <w:rPr>
          <w:rFonts w:eastAsia="Open Sans" w:cstheme="minorHAnsi"/>
          <w:i/>
          <w:color w:val="121317"/>
        </w:rPr>
        <w:t xml:space="preserve"> </w:t>
      </w:r>
      <w:r w:rsidRPr="00B6157E">
        <w:rPr>
          <w:rFonts w:eastAsia="Open Sans" w:cstheme="minorHAnsi"/>
          <w:i/>
          <w:color w:val="121317"/>
        </w:rPr>
        <w:t>Aotearoa:</w:t>
      </w:r>
      <w:r w:rsidR="003D640C" w:rsidRPr="00B6157E">
        <w:rPr>
          <w:rFonts w:eastAsia="Open Sans" w:cstheme="minorHAnsi"/>
          <w:i/>
          <w:color w:val="121317"/>
        </w:rPr>
        <w:t xml:space="preserve"> </w:t>
      </w:r>
      <w:r w:rsidR="00655F27" w:rsidRPr="00B6157E">
        <w:rPr>
          <w:rFonts w:eastAsia="Open Sans" w:cstheme="minorHAnsi"/>
          <w:i/>
          <w:color w:val="121317"/>
        </w:rPr>
        <w:t>Y</w:t>
      </w:r>
      <w:r w:rsidRPr="00B6157E">
        <w:rPr>
          <w:rFonts w:eastAsia="Open Sans" w:cstheme="minorHAnsi"/>
          <w:i/>
          <w:color w:val="121317"/>
        </w:rPr>
        <w:t>ear</w:t>
      </w:r>
      <w:r w:rsidR="003D640C" w:rsidRPr="00B6157E">
        <w:rPr>
          <w:rFonts w:eastAsia="Open Sans" w:cstheme="minorHAnsi"/>
          <w:i/>
          <w:color w:val="121317"/>
        </w:rPr>
        <w:t xml:space="preserve"> </w:t>
      </w:r>
      <w:r w:rsidRPr="00B6157E">
        <w:rPr>
          <w:rFonts w:eastAsia="Open Sans" w:cstheme="minorHAnsi"/>
          <w:i/>
          <w:color w:val="121317"/>
        </w:rPr>
        <w:t>ended</w:t>
      </w:r>
      <w:r w:rsidR="003D640C" w:rsidRPr="00B6157E">
        <w:rPr>
          <w:rFonts w:eastAsia="Open Sans" w:cstheme="minorHAnsi"/>
          <w:i/>
          <w:color w:val="121317"/>
        </w:rPr>
        <w:t xml:space="preserve"> </w:t>
      </w:r>
      <w:r w:rsidRPr="00B6157E">
        <w:rPr>
          <w:rFonts w:eastAsia="Open Sans" w:cstheme="minorHAnsi"/>
          <w:i/>
          <w:color w:val="121317"/>
        </w:rPr>
        <w:t>June</w:t>
      </w:r>
      <w:r w:rsidR="003D640C" w:rsidRPr="00B6157E">
        <w:rPr>
          <w:rFonts w:eastAsia="Open Sans" w:cstheme="minorHAnsi"/>
          <w:i/>
          <w:color w:val="121317"/>
        </w:rPr>
        <w:t xml:space="preserve"> </w:t>
      </w:r>
      <w:r w:rsidRPr="00B6157E">
        <w:rPr>
          <w:rFonts w:eastAsia="Open Sans" w:cstheme="minorHAnsi"/>
          <w:i/>
          <w:color w:val="121317"/>
        </w:rPr>
        <w:t>2021</w:t>
      </w:r>
      <w:r w:rsidRPr="00B6157E">
        <w:rPr>
          <w:rFonts w:eastAsia="Open Sans" w:cstheme="minorHAnsi"/>
          <w:color w:val="121317"/>
        </w:rPr>
        <w:t>.</w:t>
      </w:r>
      <w:r w:rsidR="003D640C" w:rsidRPr="00B6157E">
        <w:rPr>
          <w:rFonts w:eastAsia="Open Sans" w:cstheme="minorHAnsi"/>
          <w:color w:val="121317"/>
        </w:rPr>
        <w:t xml:space="preserve"> </w:t>
      </w:r>
      <w:hyperlink r:id="rId147" w:history="1">
        <w:r w:rsidR="00655F27" w:rsidRPr="00B6157E">
          <w:rPr>
            <w:rStyle w:val="Hyperlink"/>
            <w:rFonts w:eastAsia="Open Sans" w:cstheme="minorHAnsi"/>
          </w:rPr>
          <w:t>https://www.stats.govt.nz/information-releases/lgbt-plus-population-of-aotearoa-year-ended-june-2021/</w:t>
        </w:r>
      </w:hyperlink>
      <w:r w:rsidR="00655F27">
        <w:rPr>
          <w:rFonts w:eastAsia="Open Sans" w:cstheme="minorHAnsi"/>
        </w:rPr>
        <w:t xml:space="preserve"> </w:t>
      </w:r>
      <w:r w:rsidR="003D640C">
        <w:rPr>
          <w:rFonts w:eastAsia="Open Sans" w:cstheme="minorHAnsi"/>
          <w:color w:val="121317"/>
        </w:rPr>
        <w:t xml:space="preserve"> </w:t>
      </w:r>
    </w:p>
    <w:p w14:paraId="0F4FB06A" w14:textId="4D4C4430" w:rsidR="00DB2CBA" w:rsidRPr="00BC0C5F" w:rsidRDefault="00DB2CBA" w:rsidP="00E00167">
      <w:pPr>
        <w:pStyle w:val="Reference"/>
        <w:rPr>
          <w:rFonts w:eastAsia="Open Sans" w:cstheme="minorHAnsi"/>
          <w:color w:val="121317"/>
        </w:rPr>
      </w:pPr>
      <w:r w:rsidRPr="00BC0C5F">
        <w:rPr>
          <w:rFonts w:eastAsia="Open Sans" w:cstheme="minorHAnsi"/>
          <w:color w:val="121317"/>
        </w:rPr>
        <w:t xml:space="preserve">Stats NZ. (2024, May 29). </w:t>
      </w:r>
      <w:r w:rsidRPr="00BC0C5F">
        <w:rPr>
          <w:rFonts w:eastAsia="Open Sans" w:cstheme="minorHAnsi"/>
          <w:i/>
          <w:iCs/>
          <w:color w:val="121317"/>
        </w:rPr>
        <w:t>2023 Census population counts (by ethnic group, age, and Māori descent) and dwelling counts</w:t>
      </w:r>
      <w:r w:rsidRPr="00BC0C5F">
        <w:rPr>
          <w:rFonts w:eastAsia="Open Sans" w:cstheme="minorHAnsi"/>
          <w:color w:val="121317"/>
        </w:rPr>
        <w:t>.</w:t>
      </w:r>
      <w:r w:rsidR="00381D72">
        <w:rPr>
          <w:rFonts w:eastAsia="Open Sans" w:cstheme="minorHAnsi"/>
          <w:color w:val="121317"/>
        </w:rPr>
        <w:t xml:space="preserve"> </w:t>
      </w:r>
      <w:hyperlink r:id="rId148" w:history="1">
        <w:r w:rsidR="00381D72" w:rsidRPr="003479A0">
          <w:rPr>
            <w:rStyle w:val="Hyperlink"/>
            <w:rFonts w:eastAsia="Open Sans" w:cstheme="minorHAnsi"/>
          </w:rPr>
          <w:t>https://www.stats.govt.nz/information-releases/2023-census-population-counts-by-ethnic-group-age-and-maori-descent-and-dwelling-counts/</w:t>
        </w:r>
      </w:hyperlink>
      <w:r w:rsidR="00381D72">
        <w:rPr>
          <w:rFonts w:eastAsia="Open Sans" w:cstheme="minorHAnsi"/>
          <w:color w:val="121317"/>
        </w:rPr>
        <w:t xml:space="preserve"> </w:t>
      </w:r>
    </w:p>
    <w:p w14:paraId="2E20E7FB" w14:textId="0E1F6FB5" w:rsidR="00F01386" w:rsidRPr="00B6157E" w:rsidRDefault="00F01386" w:rsidP="00E00167">
      <w:pPr>
        <w:pStyle w:val="Reference"/>
        <w:rPr>
          <w:rStyle w:val="Hyperlink"/>
        </w:rPr>
      </w:pPr>
      <w:r w:rsidRPr="00B6157E">
        <w:t>Sykes,</w:t>
      </w:r>
      <w:r w:rsidR="003D640C" w:rsidRPr="00B6157E">
        <w:t xml:space="preserve"> </w:t>
      </w:r>
      <w:r w:rsidRPr="00B6157E">
        <w:t>R.</w:t>
      </w:r>
      <w:r w:rsidR="003D640C" w:rsidRPr="00B6157E">
        <w:t xml:space="preserve"> </w:t>
      </w:r>
      <w:r w:rsidRPr="00B6157E">
        <w:t>(2021,</w:t>
      </w:r>
      <w:r w:rsidR="003D640C" w:rsidRPr="00B6157E">
        <w:t xml:space="preserve"> </w:t>
      </w:r>
      <w:r w:rsidRPr="00B6157E">
        <w:t>November</w:t>
      </w:r>
      <w:r w:rsidR="003D640C" w:rsidRPr="00B6157E">
        <w:t xml:space="preserve"> </w:t>
      </w:r>
      <w:r w:rsidRPr="00B6157E">
        <w:t>6).</w:t>
      </w:r>
      <w:r w:rsidR="003D640C" w:rsidRPr="00B6157E">
        <w:t xml:space="preserve"> </w:t>
      </w:r>
      <w:r w:rsidRPr="00B6157E">
        <w:rPr>
          <w:i/>
          <w:iCs/>
        </w:rPr>
        <w:t>My</w:t>
      </w:r>
      <w:r w:rsidR="003D640C" w:rsidRPr="00B6157E">
        <w:rPr>
          <w:i/>
          <w:iCs/>
        </w:rPr>
        <w:t xml:space="preserve"> </w:t>
      </w:r>
      <w:r w:rsidRPr="00B6157E">
        <w:rPr>
          <w:i/>
          <w:iCs/>
        </w:rPr>
        <w:t>oral</w:t>
      </w:r>
      <w:r w:rsidR="003D640C" w:rsidRPr="00B6157E">
        <w:rPr>
          <w:i/>
          <w:iCs/>
        </w:rPr>
        <w:t xml:space="preserve"> </w:t>
      </w:r>
      <w:r w:rsidRPr="00B6157E">
        <w:rPr>
          <w:i/>
          <w:iCs/>
        </w:rPr>
        <w:t>submission</w:t>
      </w:r>
      <w:r w:rsidR="003D640C" w:rsidRPr="00B6157E">
        <w:rPr>
          <w:i/>
          <w:iCs/>
        </w:rPr>
        <w:t xml:space="preserve"> </w:t>
      </w:r>
      <w:r w:rsidRPr="00B6157E">
        <w:rPr>
          <w:i/>
          <w:iCs/>
        </w:rPr>
        <w:t>to</w:t>
      </w:r>
      <w:r w:rsidR="003D640C" w:rsidRPr="00B6157E">
        <w:rPr>
          <w:i/>
          <w:iCs/>
        </w:rPr>
        <w:t xml:space="preserve"> </w:t>
      </w:r>
      <w:r w:rsidRPr="00B6157E">
        <w:rPr>
          <w:i/>
          <w:iCs/>
        </w:rPr>
        <w:t>the</w:t>
      </w:r>
      <w:r w:rsidR="003D640C" w:rsidRPr="00B6157E">
        <w:rPr>
          <w:i/>
          <w:iCs/>
        </w:rPr>
        <w:t xml:space="preserve"> </w:t>
      </w:r>
      <w:r w:rsidRPr="00B6157E">
        <w:rPr>
          <w:i/>
          <w:iCs/>
        </w:rPr>
        <w:t>Justice</w:t>
      </w:r>
      <w:r w:rsidR="003D640C" w:rsidRPr="00B6157E">
        <w:rPr>
          <w:i/>
          <w:iCs/>
        </w:rPr>
        <w:t xml:space="preserve"> </w:t>
      </w:r>
      <w:r w:rsidRPr="00B6157E">
        <w:rPr>
          <w:i/>
          <w:iCs/>
        </w:rPr>
        <w:t>Committee</w:t>
      </w:r>
      <w:r w:rsidR="003D640C" w:rsidRPr="00B6157E">
        <w:rPr>
          <w:i/>
          <w:iCs/>
        </w:rPr>
        <w:t xml:space="preserve"> </w:t>
      </w:r>
      <w:r w:rsidRPr="00B6157E">
        <w:rPr>
          <w:i/>
          <w:iCs/>
        </w:rPr>
        <w:t>on</w:t>
      </w:r>
      <w:r w:rsidR="003D640C" w:rsidRPr="00B6157E">
        <w:rPr>
          <w:i/>
          <w:iCs/>
        </w:rPr>
        <w:t xml:space="preserve"> </w:t>
      </w:r>
      <w:r w:rsidRPr="00B6157E">
        <w:rPr>
          <w:i/>
          <w:iCs/>
        </w:rPr>
        <w:t>the</w:t>
      </w:r>
      <w:r w:rsidR="003D640C" w:rsidRPr="00B6157E">
        <w:rPr>
          <w:i/>
          <w:iCs/>
        </w:rPr>
        <w:t xml:space="preserve"> </w:t>
      </w:r>
      <w:r w:rsidRPr="00B6157E">
        <w:rPr>
          <w:i/>
          <w:iCs/>
        </w:rPr>
        <w:t>Conversion</w:t>
      </w:r>
      <w:r w:rsidR="003D640C" w:rsidRPr="00B6157E">
        <w:rPr>
          <w:i/>
          <w:iCs/>
        </w:rPr>
        <w:t xml:space="preserve"> </w:t>
      </w:r>
      <w:r w:rsidRPr="00B6157E">
        <w:rPr>
          <w:i/>
          <w:iCs/>
        </w:rPr>
        <w:t>Practices</w:t>
      </w:r>
      <w:r w:rsidR="003D640C" w:rsidRPr="00B6157E">
        <w:rPr>
          <w:i/>
          <w:iCs/>
        </w:rPr>
        <w:t xml:space="preserve"> </w:t>
      </w:r>
      <w:r w:rsidRPr="00B6157E">
        <w:rPr>
          <w:i/>
          <w:iCs/>
        </w:rPr>
        <w:t>Prohibition</w:t>
      </w:r>
      <w:r w:rsidR="003D640C" w:rsidRPr="00B6157E">
        <w:rPr>
          <w:i/>
          <w:iCs/>
        </w:rPr>
        <w:t xml:space="preserve"> </w:t>
      </w:r>
      <w:r w:rsidRPr="00B6157E">
        <w:rPr>
          <w:i/>
          <w:iCs/>
        </w:rPr>
        <w:t>Legislation</w:t>
      </w:r>
      <w:r w:rsidR="003D640C" w:rsidRPr="00B6157E">
        <w:rPr>
          <w:i/>
          <w:iCs/>
        </w:rPr>
        <w:t xml:space="preserve"> </w:t>
      </w:r>
      <w:r w:rsidRPr="00B6157E">
        <w:rPr>
          <w:i/>
          <w:iCs/>
        </w:rPr>
        <w:t>Bill</w:t>
      </w:r>
      <w:r w:rsidR="003D640C" w:rsidRPr="00B6157E">
        <w:t xml:space="preserve"> </w:t>
      </w:r>
      <w:r w:rsidRPr="00B6157E">
        <w:t>[</w:t>
      </w:r>
      <w:r w:rsidR="004D4891" w:rsidRPr="00B6157E">
        <w:t>V</w:t>
      </w:r>
      <w:r w:rsidRPr="00B6157E">
        <w:t>ideo].</w:t>
      </w:r>
      <w:r w:rsidR="003D640C" w:rsidRPr="00B6157E">
        <w:t xml:space="preserve"> </w:t>
      </w:r>
      <w:hyperlink r:id="rId149" w:history="1">
        <w:r w:rsidR="004D4891" w:rsidRPr="00B6157E">
          <w:rPr>
            <w:rStyle w:val="Hyperlink"/>
          </w:rPr>
          <w:t>https://www.youtube.com/watch?v=Skgg0E3UEBY</w:t>
        </w:r>
      </w:hyperlink>
      <w:r w:rsidR="004D4891" w:rsidRPr="00B6157E">
        <w:t xml:space="preserve"> </w:t>
      </w:r>
    </w:p>
    <w:p w14:paraId="550E761E" w14:textId="6DE76E79" w:rsidR="00F01386" w:rsidRPr="00B6157E" w:rsidRDefault="00F01386" w:rsidP="00E00167">
      <w:pPr>
        <w:pStyle w:val="Reference"/>
        <w:rPr>
          <w:rFonts w:ascii="Calibri" w:hAnsi="Calibri" w:cs="Calibri"/>
        </w:rPr>
      </w:pPr>
      <w:r w:rsidRPr="00B6157E">
        <w:rPr>
          <w:rFonts w:ascii="Calibri" w:hAnsi="Calibri" w:cs="Calibri"/>
        </w:rPr>
        <w:t>Tan,</w:t>
      </w:r>
      <w:r w:rsidR="003D640C" w:rsidRPr="00B6157E">
        <w:rPr>
          <w:rFonts w:ascii="Calibri" w:hAnsi="Calibri" w:cs="Calibri"/>
        </w:rPr>
        <w:t xml:space="preserve"> </w:t>
      </w:r>
      <w:r w:rsidRPr="00B6157E">
        <w:rPr>
          <w:rFonts w:ascii="Calibri" w:hAnsi="Calibri" w:cs="Calibri"/>
        </w:rPr>
        <w:t>K.</w:t>
      </w:r>
      <w:r w:rsidR="003D640C" w:rsidRPr="00B6157E">
        <w:rPr>
          <w:rFonts w:ascii="Calibri" w:hAnsi="Calibri" w:cs="Calibri"/>
        </w:rPr>
        <w:t xml:space="preserve"> </w:t>
      </w:r>
      <w:r w:rsidRPr="00B6157E">
        <w:rPr>
          <w:rFonts w:ascii="Calibri" w:hAnsi="Calibri" w:cs="Calibri"/>
        </w:rPr>
        <w:t>H.,</w:t>
      </w:r>
      <w:r w:rsidR="003D640C" w:rsidRPr="00B6157E">
        <w:rPr>
          <w:rFonts w:ascii="Calibri" w:hAnsi="Calibri" w:cs="Calibri"/>
        </w:rPr>
        <w:t xml:space="preserve"> </w:t>
      </w:r>
      <w:r w:rsidRPr="00B6157E">
        <w:rPr>
          <w:rFonts w:ascii="Calibri" w:hAnsi="Calibri" w:cs="Calibri"/>
        </w:rPr>
        <w:t>Treharne,</w:t>
      </w:r>
      <w:r w:rsidR="003D640C" w:rsidRPr="00B6157E">
        <w:rPr>
          <w:rFonts w:ascii="Calibri" w:hAnsi="Calibri" w:cs="Calibri"/>
        </w:rPr>
        <w:t xml:space="preserve"> </w:t>
      </w:r>
      <w:r w:rsidRPr="00B6157E">
        <w:rPr>
          <w:rFonts w:ascii="Calibri" w:hAnsi="Calibri" w:cs="Calibri"/>
        </w:rPr>
        <w:t>G.</w:t>
      </w:r>
      <w:r w:rsidR="003D640C" w:rsidRPr="00B6157E">
        <w:rPr>
          <w:rFonts w:ascii="Calibri" w:hAnsi="Calibri" w:cs="Calibri"/>
        </w:rPr>
        <w:t xml:space="preserve"> </w:t>
      </w:r>
      <w:r w:rsidRPr="00B6157E">
        <w:rPr>
          <w:rFonts w:ascii="Calibri" w:hAnsi="Calibri" w:cs="Calibri"/>
        </w:rPr>
        <w:t>J.,</w:t>
      </w:r>
      <w:r w:rsidR="003D640C" w:rsidRPr="00B6157E">
        <w:rPr>
          <w:rFonts w:ascii="Calibri" w:hAnsi="Calibri" w:cs="Calibri"/>
        </w:rPr>
        <w:t xml:space="preserve"> </w:t>
      </w:r>
      <w:r w:rsidRPr="00B6157E">
        <w:rPr>
          <w:rFonts w:ascii="Calibri" w:hAnsi="Calibri" w:cs="Calibri"/>
        </w:rPr>
        <w:t>Ellis,</w:t>
      </w:r>
      <w:r w:rsidR="003D640C" w:rsidRPr="00B6157E">
        <w:rPr>
          <w:rFonts w:ascii="Calibri" w:hAnsi="Calibri" w:cs="Calibri"/>
        </w:rPr>
        <w:t xml:space="preserve"> </w:t>
      </w:r>
      <w:r w:rsidRPr="00B6157E">
        <w:rPr>
          <w:rFonts w:ascii="Calibri" w:hAnsi="Calibri" w:cs="Calibri"/>
        </w:rPr>
        <w:t>S.</w:t>
      </w:r>
      <w:r w:rsidR="003D640C" w:rsidRPr="00B6157E">
        <w:rPr>
          <w:rFonts w:ascii="Calibri" w:hAnsi="Calibri" w:cs="Calibri"/>
        </w:rPr>
        <w:t xml:space="preserve"> </w:t>
      </w:r>
      <w:r w:rsidRPr="00B6157E">
        <w:rPr>
          <w:rFonts w:ascii="Calibri" w:hAnsi="Calibri" w:cs="Calibri"/>
        </w:rPr>
        <w:t>J.,</w:t>
      </w:r>
      <w:r w:rsidR="003D640C" w:rsidRPr="00B6157E">
        <w:rPr>
          <w:rFonts w:ascii="Calibri" w:hAnsi="Calibri" w:cs="Calibri"/>
        </w:rPr>
        <w:t xml:space="preserve"> </w:t>
      </w:r>
      <w:r w:rsidRPr="00B6157E">
        <w:rPr>
          <w:rFonts w:ascii="Calibri" w:hAnsi="Calibri" w:cs="Calibri"/>
        </w:rPr>
        <w:t>Schmidt,</w:t>
      </w:r>
      <w:r w:rsidR="003D640C" w:rsidRPr="00B6157E">
        <w:rPr>
          <w:rFonts w:ascii="Calibri" w:hAnsi="Calibri" w:cs="Calibri"/>
        </w:rPr>
        <w:t xml:space="preserve"> </w:t>
      </w:r>
      <w:r w:rsidRPr="00B6157E">
        <w:rPr>
          <w:rFonts w:ascii="Calibri" w:hAnsi="Calibri" w:cs="Calibri"/>
        </w:rPr>
        <w:t>J.</w:t>
      </w:r>
      <w:r w:rsidR="003D640C" w:rsidRPr="00B6157E">
        <w:rPr>
          <w:rFonts w:ascii="Calibri" w:hAnsi="Calibri" w:cs="Calibri"/>
        </w:rPr>
        <w:t xml:space="preserve"> </w:t>
      </w:r>
      <w:r w:rsidRPr="00B6157E">
        <w:rPr>
          <w:rFonts w:ascii="Calibri" w:hAnsi="Calibri" w:cs="Calibri"/>
        </w:rPr>
        <w:t>M.,</w:t>
      </w:r>
      <w:r w:rsidR="003D640C" w:rsidRPr="00B6157E">
        <w:rPr>
          <w:rFonts w:ascii="Calibri" w:hAnsi="Calibri" w:cs="Calibri"/>
        </w:rPr>
        <w:t xml:space="preserve"> </w:t>
      </w:r>
      <w:r w:rsidRPr="00B6157E">
        <w:rPr>
          <w:rFonts w:ascii="Calibri" w:hAnsi="Calibri" w:cs="Calibri"/>
        </w:rPr>
        <w:t>&amp;</w:t>
      </w:r>
      <w:r w:rsidR="003D640C" w:rsidRPr="00B6157E">
        <w:rPr>
          <w:rFonts w:ascii="Calibri" w:hAnsi="Calibri" w:cs="Calibri"/>
        </w:rPr>
        <w:t xml:space="preserve"> </w:t>
      </w:r>
      <w:r w:rsidRPr="00B6157E">
        <w:rPr>
          <w:rFonts w:ascii="Calibri" w:hAnsi="Calibri" w:cs="Calibri"/>
        </w:rPr>
        <w:t>Veale,</w:t>
      </w:r>
      <w:r w:rsidR="003D640C" w:rsidRPr="00B6157E">
        <w:rPr>
          <w:rFonts w:ascii="Calibri" w:hAnsi="Calibri" w:cs="Calibri"/>
        </w:rPr>
        <w:t xml:space="preserve"> </w:t>
      </w:r>
      <w:r w:rsidRPr="00B6157E">
        <w:rPr>
          <w:rFonts w:ascii="Calibri" w:hAnsi="Calibri" w:cs="Calibri"/>
        </w:rPr>
        <w:t>J.</w:t>
      </w:r>
      <w:r w:rsidR="003D640C" w:rsidRPr="00B6157E">
        <w:rPr>
          <w:rFonts w:ascii="Calibri" w:hAnsi="Calibri" w:cs="Calibri"/>
        </w:rPr>
        <w:t xml:space="preserve"> </w:t>
      </w:r>
      <w:r w:rsidRPr="00B6157E">
        <w:rPr>
          <w:rFonts w:ascii="Calibri" w:hAnsi="Calibri" w:cs="Calibri"/>
        </w:rPr>
        <w:t>F.</w:t>
      </w:r>
      <w:r w:rsidR="003D640C" w:rsidRPr="00B6157E">
        <w:rPr>
          <w:rFonts w:ascii="Calibri" w:hAnsi="Calibri" w:cs="Calibri"/>
        </w:rPr>
        <w:t xml:space="preserve"> </w:t>
      </w:r>
      <w:r w:rsidRPr="00B6157E">
        <w:rPr>
          <w:rFonts w:ascii="Calibri" w:hAnsi="Calibri" w:cs="Calibri"/>
        </w:rPr>
        <w:t>(2020).</w:t>
      </w:r>
      <w:r w:rsidR="003D640C" w:rsidRPr="00B6157E">
        <w:rPr>
          <w:rFonts w:ascii="Calibri" w:hAnsi="Calibri" w:cs="Calibri"/>
        </w:rPr>
        <w:t xml:space="preserve"> </w:t>
      </w:r>
      <w:r w:rsidRPr="00B6157E">
        <w:rPr>
          <w:rFonts w:ascii="Calibri" w:hAnsi="Calibri" w:cs="Calibri"/>
        </w:rPr>
        <w:t>Enacted</w:t>
      </w:r>
      <w:r w:rsidR="003D640C" w:rsidRPr="00B6157E">
        <w:rPr>
          <w:rFonts w:ascii="Calibri" w:hAnsi="Calibri" w:cs="Calibri"/>
        </w:rPr>
        <w:t xml:space="preserve"> </w:t>
      </w:r>
      <w:r w:rsidRPr="00B6157E">
        <w:rPr>
          <w:rFonts w:ascii="Calibri" w:hAnsi="Calibri" w:cs="Calibri"/>
        </w:rPr>
        <w:t>stigma</w:t>
      </w:r>
      <w:r w:rsidR="003D640C" w:rsidRPr="00B6157E">
        <w:rPr>
          <w:rFonts w:ascii="Calibri" w:hAnsi="Calibri" w:cs="Calibri"/>
        </w:rPr>
        <w:t xml:space="preserve"> </w:t>
      </w:r>
      <w:r w:rsidRPr="00B6157E">
        <w:rPr>
          <w:rFonts w:ascii="Calibri" w:hAnsi="Calibri" w:cs="Calibri"/>
        </w:rPr>
        <w:t>experiences</w:t>
      </w:r>
      <w:r w:rsidR="003D640C" w:rsidRPr="00B6157E">
        <w:rPr>
          <w:rFonts w:ascii="Calibri" w:hAnsi="Calibri" w:cs="Calibri"/>
        </w:rPr>
        <w:t xml:space="preserve"> </w:t>
      </w:r>
      <w:r w:rsidRPr="00B6157E">
        <w:rPr>
          <w:rFonts w:ascii="Calibri" w:hAnsi="Calibri" w:cs="Calibri"/>
        </w:rPr>
        <w:t>and</w:t>
      </w:r>
      <w:r w:rsidR="003D640C" w:rsidRPr="00B6157E">
        <w:rPr>
          <w:rFonts w:ascii="Calibri" w:hAnsi="Calibri" w:cs="Calibri"/>
        </w:rPr>
        <w:t xml:space="preserve"> </w:t>
      </w:r>
      <w:r w:rsidRPr="00B6157E">
        <w:rPr>
          <w:rFonts w:ascii="Calibri" w:hAnsi="Calibri" w:cs="Calibri"/>
        </w:rPr>
        <w:t>protective</w:t>
      </w:r>
      <w:r w:rsidR="003D640C" w:rsidRPr="00B6157E">
        <w:rPr>
          <w:rFonts w:ascii="Calibri" w:hAnsi="Calibri" w:cs="Calibri"/>
        </w:rPr>
        <w:t xml:space="preserve"> </w:t>
      </w:r>
      <w:r w:rsidRPr="00B6157E">
        <w:rPr>
          <w:rFonts w:ascii="Calibri" w:hAnsi="Calibri" w:cs="Calibri"/>
        </w:rPr>
        <w:t>factors</w:t>
      </w:r>
      <w:r w:rsidR="003D640C" w:rsidRPr="00B6157E">
        <w:rPr>
          <w:rFonts w:ascii="Calibri" w:hAnsi="Calibri" w:cs="Calibri"/>
        </w:rPr>
        <w:t xml:space="preserve"> </w:t>
      </w:r>
      <w:r w:rsidRPr="00B6157E">
        <w:rPr>
          <w:rFonts w:ascii="Calibri" w:hAnsi="Calibri" w:cs="Calibri"/>
        </w:rPr>
        <w:t>are</w:t>
      </w:r>
      <w:r w:rsidR="003D640C" w:rsidRPr="00B6157E">
        <w:rPr>
          <w:rFonts w:ascii="Calibri" w:hAnsi="Calibri" w:cs="Calibri"/>
        </w:rPr>
        <w:t xml:space="preserve"> </w:t>
      </w:r>
      <w:r w:rsidRPr="00B6157E">
        <w:rPr>
          <w:rFonts w:ascii="Calibri" w:hAnsi="Calibri" w:cs="Calibri"/>
        </w:rPr>
        <w:t>strongly</w:t>
      </w:r>
      <w:r w:rsidR="003D640C" w:rsidRPr="00B6157E">
        <w:rPr>
          <w:rFonts w:ascii="Calibri" w:hAnsi="Calibri" w:cs="Calibri"/>
        </w:rPr>
        <w:t xml:space="preserve"> </w:t>
      </w:r>
      <w:r w:rsidRPr="00B6157E">
        <w:rPr>
          <w:rFonts w:ascii="Calibri" w:hAnsi="Calibri" w:cs="Calibri"/>
        </w:rPr>
        <w:t>associated</w:t>
      </w:r>
      <w:r w:rsidR="003D640C" w:rsidRPr="00B6157E">
        <w:rPr>
          <w:rFonts w:ascii="Calibri" w:hAnsi="Calibri" w:cs="Calibri"/>
        </w:rPr>
        <w:t xml:space="preserve"> </w:t>
      </w:r>
      <w:r w:rsidRPr="00B6157E">
        <w:rPr>
          <w:rFonts w:ascii="Calibri" w:hAnsi="Calibri" w:cs="Calibri"/>
        </w:rPr>
        <w:t>with</w:t>
      </w:r>
      <w:r w:rsidR="003D640C" w:rsidRPr="00B6157E">
        <w:rPr>
          <w:rFonts w:ascii="Calibri" w:hAnsi="Calibri" w:cs="Calibri"/>
        </w:rPr>
        <w:t xml:space="preserve"> </w:t>
      </w:r>
      <w:r w:rsidRPr="00B6157E">
        <w:rPr>
          <w:rFonts w:ascii="Calibri" w:hAnsi="Calibri" w:cs="Calibri"/>
        </w:rPr>
        <w:t>mental</w:t>
      </w:r>
      <w:r w:rsidR="003D640C" w:rsidRPr="00B6157E">
        <w:rPr>
          <w:rFonts w:ascii="Calibri" w:hAnsi="Calibri" w:cs="Calibri"/>
        </w:rPr>
        <w:t xml:space="preserve"> </w:t>
      </w:r>
      <w:r w:rsidRPr="00B6157E">
        <w:rPr>
          <w:rFonts w:ascii="Calibri" w:hAnsi="Calibri" w:cs="Calibri"/>
        </w:rPr>
        <w:t>health</w:t>
      </w:r>
      <w:r w:rsidR="003D640C" w:rsidRPr="00B6157E">
        <w:rPr>
          <w:rFonts w:ascii="Calibri" w:hAnsi="Calibri" w:cs="Calibri"/>
        </w:rPr>
        <w:t xml:space="preserve"> </w:t>
      </w:r>
      <w:r w:rsidRPr="00B6157E">
        <w:rPr>
          <w:rFonts w:ascii="Calibri" w:hAnsi="Calibri" w:cs="Calibri"/>
        </w:rPr>
        <w:t>outcomes</w:t>
      </w:r>
      <w:r w:rsidR="003D640C" w:rsidRPr="00B6157E">
        <w:rPr>
          <w:rFonts w:ascii="Calibri" w:hAnsi="Calibri" w:cs="Calibri"/>
        </w:rPr>
        <w:t xml:space="preserve"> </w:t>
      </w:r>
      <w:r w:rsidRPr="00B6157E">
        <w:rPr>
          <w:rFonts w:ascii="Calibri" w:hAnsi="Calibri" w:cs="Calibri"/>
        </w:rPr>
        <w:t>of</w:t>
      </w:r>
      <w:r w:rsidR="003D640C" w:rsidRPr="00B6157E">
        <w:rPr>
          <w:rFonts w:ascii="Calibri" w:hAnsi="Calibri" w:cs="Calibri"/>
        </w:rPr>
        <w:t xml:space="preserve"> </w:t>
      </w:r>
      <w:r w:rsidRPr="00B6157E">
        <w:rPr>
          <w:rFonts w:ascii="Calibri" w:hAnsi="Calibri" w:cs="Calibri"/>
        </w:rPr>
        <w:t>transgender</w:t>
      </w:r>
      <w:r w:rsidR="003D640C" w:rsidRPr="00B6157E">
        <w:rPr>
          <w:rFonts w:ascii="Calibri" w:hAnsi="Calibri" w:cs="Calibri"/>
        </w:rPr>
        <w:t xml:space="preserve"> </w:t>
      </w:r>
      <w:r w:rsidRPr="00B6157E">
        <w:rPr>
          <w:rFonts w:ascii="Calibri" w:hAnsi="Calibri" w:cs="Calibri"/>
        </w:rPr>
        <w:t>people</w:t>
      </w:r>
      <w:r w:rsidR="003D640C" w:rsidRPr="00B6157E">
        <w:rPr>
          <w:rFonts w:ascii="Calibri" w:hAnsi="Calibri" w:cs="Calibri"/>
        </w:rPr>
        <w:t xml:space="preserve"> </w:t>
      </w:r>
      <w:r w:rsidRPr="00B6157E">
        <w:rPr>
          <w:rFonts w:ascii="Calibri" w:hAnsi="Calibri" w:cs="Calibri"/>
        </w:rPr>
        <w:t>in</w:t>
      </w:r>
      <w:r w:rsidR="003D640C" w:rsidRPr="00B6157E">
        <w:rPr>
          <w:rFonts w:ascii="Calibri" w:hAnsi="Calibri" w:cs="Calibri"/>
        </w:rPr>
        <w:t xml:space="preserve"> </w:t>
      </w:r>
      <w:r w:rsidRPr="00B6157E">
        <w:rPr>
          <w:rFonts w:ascii="Calibri" w:hAnsi="Calibri" w:cs="Calibri"/>
        </w:rPr>
        <w:t>Aotearoa/New</w:t>
      </w:r>
      <w:r w:rsidR="003D640C" w:rsidRPr="00B6157E">
        <w:rPr>
          <w:rFonts w:ascii="Calibri" w:hAnsi="Calibri" w:cs="Calibri"/>
        </w:rPr>
        <w:t xml:space="preserve"> </w:t>
      </w:r>
      <w:r w:rsidRPr="00B6157E">
        <w:rPr>
          <w:rFonts w:ascii="Calibri" w:hAnsi="Calibri" w:cs="Calibri"/>
        </w:rPr>
        <w:t>Zealand.</w:t>
      </w:r>
      <w:r w:rsidR="003D640C" w:rsidRPr="00B6157E">
        <w:rPr>
          <w:rFonts w:ascii="Calibri" w:hAnsi="Calibri" w:cs="Calibri"/>
        </w:rPr>
        <w:t xml:space="preserve"> </w:t>
      </w:r>
      <w:r w:rsidRPr="00B6157E">
        <w:rPr>
          <w:rFonts w:ascii="Calibri" w:hAnsi="Calibri" w:cs="Calibri"/>
          <w:i/>
          <w:iCs/>
        </w:rPr>
        <w:t>International</w:t>
      </w:r>
      <w:r w:rsidR="003D640C" w:rsidRPr="00B6157E">
        <w:rPr>
          <w:rFonts w:ascii="Calibri" w:hAnsi="Calibri" w:cs="Calibri"/>
          <w:i/>
          <w:iCs/>
        </w:rPr>
        <w:t xml:space="preserve"> </w:t>
      </w:r>
      <w:r w:rsidRPr="00B6157E">
        <w:rPr>
          <w:rFonts w:ascii="Calibri" w:hAnsi="Calibri" w:cs="Calibri"/>
          <w:i/>
          <w:iCs/>
        </w:rPr>
        <w:t>Journal</w:t>
      </w:r>
      <w:r w:rsidR="003D640C" w:rsidRPr="00B6157E">
        <w:rPr>
          <w:rFonts w:ascii="Calibri" w:hAnsi="Calibri" w:cs="Calibri"/>
          <w:i/>
          <w:iCs/>
        </w:rPr>
        <w:t xml:space="preserve"> </w:t>
      </w:r>
      <w:r w:rsidRPr="00B6157E">
        <w:rPr>
          <w:rFonts w:ascii="Calibri" w:hAnsi="Calibri" w:cs="Calibri"/>
          <w:i/>
          <w:iCs/>
        </w:rPr>
        <w:t>of</w:t>
      </w:r>
      <w:r w:rsidR="003D640C" w:rsidRPr="00B6157E">
        <w:rPr>
          <w:rFonts w:ascii="Calibri" w:hAnsi="Calibri" w:cs="Calibri"/>
          <w:i/>
          <w:iCs/>
        </w:rPr>
        <w:t xml:space="preserve"> </w:t>
      </w:r>
      <w:r w:rsidRPr="00B6157E">
        <w:rPr>
          <w:rFonts w:ascii="Calibri" w:hAnsi="Calibri" w:cs="Calibri"/>
          <w:i/>
          <w:iCs/>
        </w:rPr>
        <w:t>Transgender</w:t>
      </w:r>
      <w:r w:rsidR="003D640C" w:rsidRPr="00B6157E">
        <w:rPr>
          <w:rFonts w:ascii="Calibri" w:hAnsi="Calibri" w:cs="Calibri"/>
          <w:i/>
          <w:iCs/>
        </w:rPr>
        <w:t xml:space="preserve"> </w:t>
      </w:r>
      <w:r w:rsidRPr="00B6157E">
        <w:rPr>
          <w:rFonts w:ascii="Calibri" w:hAnsi="Calibri" w:cs="Calibri"/>
          <w:i/>
          <w:iCs/>
        </w:rPr>
        <w:t>Health</w:t>
      </w:r>
      <w:r w:rsidR="00C47BCA" w:rsidRPr="00B6157E">
        <w:rPr>
          <w:rFonts w:ascii="Calibri" w:hAnsi="Calibri" w:cs="Calibri"/>
        </w:rPr>
        <w:t>,</w:t>
      </w:r>
      <w:r w:rsidR="003D640C" w:rsidRPr="00B6157E">
        <w:rPr>
          <w:rFonts w:ascii="Calibri" w:hAnsi="Calibri" w:cs="Calibri"/>
        </w:rPr>
        <w:t xml:space="preserve"> </w:t>
      </w:r>
      <w:r w:rsidRPr="005B33A1">
        <w:rPr>
          <w:rFonts w:ascii="Calibri" w:hAnsi="Calibri" w:cs="Calibri"/>
          <w:i/>
          <w:iCs/>
        </w:rPr>
        <w:t>22</w:t>
      </w:r>
      <w:r w:rsidRPr="00B6157E">
        <w:rPr>
          <w:rFonts w:ascii="Calibri" w:hAnsi="Calibri" w:cs="Calibri"/>
        </w:rPr>
        <w:t>(3)</w:t>
      </w:r>
      <w:r w:rsidR="00C47BCA" w:rsidRPr="00B6157E">
        <w:rPr>
          <w:rFonts w:ascii="Calibri" w:hAnsi="Calibri" w:cs="Calibri"/>
        </w:rPr>
        <w:t>, 269–280</w:t>
      </w:r>
      <w:r w:rsidRPr="00B6157E">
        <w:rPr>
          <w:rFonts w:ascii="Calibri" w:hAnsi="Calibri" w:cs="Calibri"/>
        </w:rPr>
        <w:t>.</w:t>
      </w:r>
      <w:r w:rsidR="003D640C" w:rsidRPr="00B6157E">
        <w:rPr>
          <w:rFonts w:ascii="Calibri" w:hAnsi="Calibri" w:cs="Calibri"/>
        </w:rPr>
        <w:t xml:space="preserve"> </w:t>
      </w:r>
      <w:hyperlink r:id="rId150" w:history="1">
        <w:r w:rsidR="00C47BCA" w:rsidRPr="00B6157E">
          <w:rPr>
            <w:rStyle w:val="Hyperlink"/>
            <w:rFonts w:ascii="Calibri" w:hAnsi="Calibri" w:cs="Calibri"/>
          </w:rPr>
          <w:t>https://doi.org/10.1080/15532739.2020.1819504</w:t>
        </w:r>
      </w:hyperlink>
      <w:r w:rsidR="00C47BCA" w:rsidRPr="00B6157E">
        <w:rPr>
          <w:rFonts w:ascii="Calibri" w:hAnsi="Calibri" w:cs="Calibri"/>
        </w:rPr>
        <w:t xml:space="preserve"> </w:t>
      </w:r>
    </w:p>
    <w:p w14:paraId="060F7F08" w14:textId="27BEFFF2" w:rsidR="00F01386" w:rsidRDefault="00F01386" w:rsidP="00E00167">
      <w:pPr>
        <w:pStyle w:val="Reference"/>
        <w:rPr>
          <w:shd w:val="clear" w:color="auto" w:fill="FFFFFF"/>
        </w:rPr>
      </w:pPr>
      <w:r w:rsidRPr="00B6157E">
        <w:rPr>
          <w:shd w:val="clear" w:color="auto" w:fill="FFFFFF"/>
        </w:rPr>
        <w:t>Tan,</w:t>
      </w:r>
      <w:r w:rsidR="003D640C" w:rsidRPr="00B6157E">
        <w:rPr>
          <w:shd w:val="clear" w:color="auto" w:fill="FFFFFF"/>
        </w:rPr>
        <w:t xml:space="preserve"> </w:t>
      </w:r>
      <w:r w:rsidRPr="00B6157E">
        <w:rPr>
          <w:shd w:val="clear" w:color="auto" w:fill="FFFFFF"/>
        </w:rPr>
        <w:t>K.,</w:t>
      </w:r>
      <w:r w:rsidR="003D640C" w:rsidRPr="00B6157E">
        <w:rPr>
          <w:shd w:val="clear" w:color="auto" w:fill="FFFFFF"/>
        </w:rPr>
        <w:t xml:space="preserve"> </w:t>
      </w:r>
      <w:r w:rsidRPr="00B6157E">
        <w:rPr>
          <w:shd w:val="clear" w:color="auto" w:fill="FFFFFF"/>
        </w:rPr>
        <w:t>Roy,</w:t>
      </w:r>
      <w:r w:rsidR="003D640C" w:rsidRPr="00B6157E">
        <w:rPr>
          <w:shd w:val="clear" w:color="auto" w:fill="FFFFFF"/>
        </w:rPr>
        <w:t xml:space="preserve"> </w:t>
      </w:r>
      <w:r w:rsidRPr="00B6157E">
        <w:rPr>
          <w:shd w:val="clear" w:color="auto" w:fill="FFFFFF"/>
        </w:rPr>
        <w:t>R.,</w:t>
      </w:r>
      <w:r w:rsidR="003D640C" w:rsidRPr="00B6157E">
        <w:rPr>
          <w:shd w:val="clear" w:color="auto" w:fill="FFFFFF"/>
        </w:rPr>
        <w:t xml:space="preserve"> </w:t>
      </w:r>
      <w:r w:rsidRPr="00B6157E">
        <w:rPr>
          <w:shd w:val="clear" w:color="auto" w:fill="FFFFFF"/>
        </w:rPr>
        <w:t>Ker,</w:t>
      </w:r>
      <w:r w:rsidR="003D640C" w:rsidRPr="00B6157E">
        <w:rPr>
          <w:shd w:val="clear" w:color="auto" w:fill="FFFFFF"/>
        </w:rPr>
        <w:t xml:space="preserve"> </w:t>
      </w:r>
      <w:r w:rsidRPr="00B6157E">
        <w:rPr>
          <w:shd w:val="clear" w:color="auto" w:fill="FFFFFF"/>
        </w:rPr>
        <w:t>A.,</w:t>
      </w:r>
      <w:r w:rsidR="003D640C" w:rsidRPr="00B6157E">
        <w:rPr>
          <w:shd w:val="clear" w:color="auto" w:fill="FFFFFF"/>
        </w:rPr>
        <w:t xml:space="preserve"> </w:t>
      </w:r>
      <w:r w:rsidRPr="00B6157E">
        <w:rPr>
          <w:shd w:val="clear" w:color="auto" w:fill="FFFFFF"/>
        </w:rPr>
        <w:t>&amp;</w:t>
      </w:r>
      <w:r w:rsidR="003D640C" w:rsidRPr="00B6157E">
        <w:rPr>
          <w:shd w:val="clear" w:color="auto" w:fill="FFFFFF"/>
        </w:rPr>
        <w:t xml:space="preserve"> </w:t>
      </w:r>
      <w:r w:rsidRPr="00B6157E">
        <w:rPr>
          <w:shd w:val="clear" w:color="auto" w:fill="FFFFFF"/>
        </w:rPr>
        <w:t>Fenaughty,</w:t>
      </w:r>
      <w:r w:rsidR="003D640C" w:rsidRPr="00B6157E">
        <w:rPr>
          <w:shd w:val="clear" w:color="auto" w:fill="FFFFFF"/>
        </w:rPr>
        <w:t xml:space="preserve"> </w:t>
      </w:r>
      <w:r w:rsidRPr="00B6157E">
        <w:rPr>
          <w:shd w:val="clear" w:color="auto" w:fill="FFFFFF"/>
        </w:rPr>
        <w:t>J.</w:t>
      </w:r>
      <w:r w:rsidR="003D640C" w:rsidRPr="00B6157E">
        <w:rPr>
          <w:shd w:val="clear" w:color="auto" w:fill="FFFFFF"/>
        </w:rPr>
        <w:t xml:space="preserve"> </w:t>
      </w:r>
      <w:r w:rsidRPr="00B6157E">
        <w:rPr>
          <w:shd w:val="clear" w:color="auto" w:fill="FFFFFF"/>
        </w:rPr>
        <w:t>(2023).</w:t>
      </w:r>
      <w:r w:rsidR="003D640C" w:rsidRPr="00B6157E">
        <w:rPr>
          <w:shd w:val="clear" w:color="auto" w:fill="FFFFFF"/>
        </w:rPr>
        <w:t xml:space="preserve"> </w:t>
      </w:r>
      <w:r w:rsidRPr="00B6157E">
        <w:rPr>
          <w:shd w:val="clear" w:color="auto" w:fill="FFFFFF"/>
        </w:rPr>
        <w:t>An</w:t>
      </w:r>
      <w:r w:rsidR="003D640C" w:rsidRPr="00B6157E">
        <w:rPr>
          <w:shd w:val="clear" w:color="auto" w:fill="FFFFFF"/>
        </w:rPr>
        <w:t xml:space="preserve"> </w:t>
      </w:r>
      <w:r w:rsidRPr="00B6157E">
        <w:rPr>
          <w:shd w:val="clear" w:color="auto" w:fill="FFFFFF"/>
        </w:rPr>
        <w:t>ecological</w:t>
      </w:r>
      <w:r w:rsidR="003D640C" w:rsidRPr="00B6157E">
        <w:rPr>
          <w:shd w:val="clear" w:color="auto" w:fill="FFFFFF"/>
        </w:rPr>
        <w:t xml:space="preserve"> </w:t>
      </w:r>
      <w:r w:rsidRPr="00B6157E">
        <w:rPr>
          <w:shd w:val="clear" w:color="auto" w:fill="FFFFFF"/>
        </w:rPr>
        <w:t>analysis</w:t>
      </w:r>
      <w:r w:rsidR="003D640C" w:rsidRPr="00B6157E">
        <w:rPr>
          <w:shd w:val="clear" w:color="auto" w:fill="FFFFFF"/>
        </w:rPr>
        <w:t xml:space="preserve"> </w:t>
      </w:r>
      <w:r w:rsidRPr="00B6157E">
        <w:rPr>
          <w:shd w:val="clear" w:color="auto" w:fill="FFFFFF"/>
        </w:rPr>
        <w:t>of</w:t>
      </w:r>
      <w:r w:rsidR="003D640C" w:rsidRPr="00B6157E">
        <w:rPr>
          <w:shd w:val="clear" w:color="auto" w:fill="FFFFFF"/>
        </w:rPr>
        <w:t xml:space="preserve"> </w:t>
      </w:r>
      <w:r w:rsidRPr="00B6157E">
        <w:rPr>
          <w:shd w:val="clear" w:color="auto" w:fill="FFFFFF"/>
        </w:rPr>
        <w:t>hope</w:t>
      </w:r>
      <w:r w:rsidR="003D640C" w:rsidRPr="00B6157E">
        <w:rPr>
          <w:shd w:val="clear" w:color="auto" w:fill="FFFFFF"/>
        </w:rPr>
        <w:t xml:space="preserve"> </w:t>
      </w:r>
      <w:r w:rsidRPr="00B6157E">
        <w:rPr>
          <w:shd w:val="clear" w:color="auto" w:fill="FFFFFF"/>
        </w:rPr>
        <w:t>amongst</w:t>
      </w:r>
      <w:r w:rsidR="003D640C" w:rsidRPr="00B6157E">
        <w:rPr>
          <w:shd w:val="clear" w:color="auto" w:fill="FFFFFF"/>
        </w:rPr>
        <w:t xml:space="preserve"> </w:t>
      </w:r>
      <w:r w:rsidRPr="00B6157E">
        <w:rPr>
          <w:shd w:val="clear" w:color="auto" w:fill="FFFFFF"/>
        </w:rPr>
        <w:t>Asian</w:t>
      </w:r>
      <w:r w:rsidR="003D640C" w:rsidRPr="00B6157E">
        <w:rPr>
          <w:shd w:val="clear" w:color="auto" w:fill="FFFFFF"/>
        </w:rPr>
        <w:t xml:space="preserve"> </w:t>
      </w:r>
      <w:r w:rsidRPr="00B6157E">
        <w:rPr>
          <w:shd w:val="clear" w:color="auto" w:fill="FFFFFF"/>
        </w:rPr>
        <w:t>rainbow</w:t>
      </w:r>
      <w:r w:rsidR="003D640C" w:rsidRPr="00B6157E">
        <w:rPr>
          <w:shd w:val="clear" w:color="auto" w:fill="FFFFFF"/>
        </w:rPr>
        <w:t xml:space="preserve"> </w:t>
      </w:r>
      <w:r w:rsidRPr="00B6157E">
        <w:rPr>
          <w:shd w:val="clear" w:color="auto" w:fill="FFFFFF"/>
        </w:rPr>
        <w:t>young</w:t>
      </w:r>
      <w:r w:rsidR="003D640C" w:rsidRPr="00B6157E">
        <w:rPr>
          <w:shd w:val="clear" w:color="auto" w:fill="FFFFFF"/>
        </w:rPr>
        <w:t xml:space="preserve"> </w:t>
      </w:r>
      <w:r w:rsidRPr="00B6157E">
        <w:rPr>
          <w:shd w:val="clear" w:color="auto" w:fill="FFFFFF"/>
        </w:rPr>
        <w:t>people</w:t>
      </w:r>
      <w:r w:rsidR="003D640C">
        <w:rPr>
          <w:shd w:val="clear" w:color="auto" w:fill="FFFFFF"/>
        </w:rPr>
        <w:t xml:space="preserve"> </w:t>
      </w:r>
      <w:r w:rsidRPr="00993640">
        <w:rPr>
          <w:shd w:val="clear" w:color="auto" w:fill="FFFFFF"/>
        </w:rPr>
        <w:t>in</w:t>
      </w:r>
      <w:r w:rsidR="003D640C">
        <w:rPr>
          <w:shd w:val="clear" w:color="auto" w:fill="FFFFFF"/>
        </w:rPr>
        <w:t xml:space="preserve"> </w:t>
      </w:r>
      <w:r w:rsidRPr="00993640">
        <w:rPr>
          <w:shd w:val="clear" w:color="auto" w:fill="FFFFFF"/>
        </w:rPr>
        <w:t>Aotearoa</w:t>
      </w:r>
      <w:r w:rsidR="003D640C">
        <w:rPr>
          <w:shd w:val="clear" w:color="auto" w:fill="FFFFFF"/>
        </w:rPr>
        <w:t xml:space="preserve"> </w:t>
      </w:r>
      <w:r w:rsidRPr="00993640">
        <w:rPr>
          <w:shd w:val="clear" w:color="auto" w:fill="FFFFFF"/>
        </w:rPr>
        <w:t>New</w:t>
      </w:r>
      <w:r w:rsidR="003D640C">
        <w:rPr>
          <w:shd w:val="clear" w:color="auto" w:fill="FFFFFF"/>
        </w:rPr>
        <w:t xml:space="preserve"> </w:t>
      </w:r>
      <w:r w:rsidRPr="00993640">
        <w:rPr>
          <w:shd w:val="clear" w:color="auto" w:fill="FFFFFF"/>
        </w:rPr>
        <w:t>Zealand.</w:t>
      </w:r>
      <w:r w:rsidR="003D640C">
        <w:rPr>
          <w:shd w:val="clear" w:color="auto" w:fill="FFFFFF"/>
        </w:rPr>
        <w:t xml:space="preserve"> </w:t>
      </w:r>
      <w:r w:rsidRPr="005B33A1">
        <w:rPr>
          <w:rFonts w:cstheme="minorHAnsi"/>
          <w:i/>
          <w:iCs/>
          <w:color w:val="161719"/>
          <w:shd w:val="clear" w:color="auto" w:fill="FFFFFF"/>
        </w:rPr>
        <w:t>Culture,</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Health</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&amp;</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Sexuality</w:t>
      </w:r>
      <w:r w:rsidR="00C60421">
        <w:rPr>
          <w:rFonts w:cstheme="minorHAnsi"/>
          <w:color w:val="161719"/>
          <w:shd w:val="clear" w:color="auto" w:fill="FFFFFF"/>
        </w:rPr>
        <w:t xml:space="preserve">, </w:t>
      </w:r>
      <w:r w:rsidR="00C60421">
        <w:rPr>
          <w:rFonts w:cstheme="minorHAnsi"/>
          <w:i/>
          <w:iCs/>
          <w:color w:val="161719"/>
          <w:shd w:val="clear" w:color="auto" w:fill="FFFFFF"/>
        </w:rPr>
        <w:t>26</w:t>
      </w:r>
      <w:r w:rsidR="00C60421">
        <w:rPr>
          <w:rFonts w:cstheme="minorHAnsi"/>
          <w:color w:val="161719"/>
          <w:shd w:val="clear" w:color="auto" w:fill="FFFFFF"/>
        </w:rPr>
        <w:t>(6), 717–733</w:t>
      </w:r>
      <w:r w:rsidRPr="005B33A1">
        <w:rPr>
          <w:rFonts w:cstheme="minorHAnsi"/>
          <w:i/>
          <w:iCs/>
          <w:color w:val="161719"/>
          <w:shd w:val="clear" w:color="auto" w:fill="FFFFFF"/>
        </w:rPr>
        <w:t>.</w:t>
      </w:r>
      <w:r w:rsidR="003D640C">
        <w:rPr>
          <w:shd w:val="clear" w:color="auto" w:fill="FFFFFF"/>
        </w:rPr>
        <w:t xml:space="preserve"> </w:t>
      </w:r>
      <w:hyperlink r:id="rId151" w:history="1">
        <w:r w:rsidR="0022592A" w:rsidRPr="0022592A">
          <w:rPr>
            <w:rStyle w:val="Hyperlink"/>
            <w:shd w:val="clear" w:color="auto" w:fill="FFFFFF"/>
          </w:rPr>
          <w:t>https://www.tandfonline.com/doi/full/10.1080/13691058.2023.2242443</w:t>
        </w:r>
      </w:hyperlink>
      <w:r w:rsidR="0022592A" w:rsidRPr="0022592A">
        <w:rPr>
          <w:shd w:val="clear" w:color="auto" w:fill="FFFFFF"/>
        </w:rPr>
        <w:t xml:space="preserve"> </w:t>
      </w:r>
    </w:p>
    <w:p w14:paraId="71487CA5" w14:textId="2670B22B" w:rsidR="00F01386" w:rsidRDefault="00F01386" w:rsidP="00E00167">
      <w:pPr>
        <w:pStyle w:val="Reference"/>
        <w:rPr>
          <w:rStyle w:val="Hyperlink"/>
        </w:rPr>
      </w:pPr>
      <w:r w:rsidRPr="00B6157E">
        <w:t>Tangata</w:t>
      </w:r>
      <w:r w:rsidR="003D640C" w:rsidRPr="00B6157E">
        <w:t xml:space="preserve"> </w:t>
      </w:r>
      <w:r w:rsidRPr="00B6157E">
        <w:t>Whenua</w:t>
      </w:r>
      <w:r w:rsidR="003D640C">
        <w:t xml:space="preserve"> </w:t>
      </w:r>
      <w:r>
        <w:t>Caucus</w:t>
      </w:r>
      <w:r w:rsidR="003D640C">
        <w:t xml:space="preserve"> </w:t>
      </w:r>
      <w:r>
        <w:t>of</w:t>
      </w:r>
      <w:r w:rsidR="003D640C">
        <w:t xml:space="preserve"> </w:t>
      </w:r>
      <w:r>
        <w:t>the</w:t>
      </w:r>
      <w:r w:rsidR="003D640C">
        <w:t xml:space="preserve"> </w:t>
      </w:r>
      <w:r>
        <w:t>National</w:t>
      </w:r>
      <w:r w:rsidR="003D640C">
        <w:t xml:space="preserve"> </w:t>
      </w:r>
      <w:r>
        <w:t>Anti-Racism</w:t>
      </w:r>
      <w:r w:rsidR="003D640C">
        <w:t xml:space="preserve"> </w:t>
      </w:r>
      <w:r>
        <w:t>Taskforce</w:t>
      </w:r>
      <w:r w:rsidR="003D640C">
        <w:t xml:space="preserve"> </w:t>
      </w:r>
      <w:r w:rsidR="005E0957">
        <w:t xml:space="preserve">&amp; </w:t>
      </w:r>
      <w:r>
        <w:t>Ahi</w:t>
      </w:r>
      <w:r w:rsidR="003D640C">
        <w:t xml:space="preserve"> </w:t>
      </w:r>
      <w:r>
        <w:t>Kaa.</w:t>
      </w:r>
      <w:r w:rsidR="003D640C">
        <w:t xml:space="preserve"> </w:t>
      </w:r>
      <w:r>
        <w:t>(2022).</w:t>
      </w:r>
      <w:r w:rsidR="003D640C">
        <w:t xml:space="preserve"> </w:t>
      </w:r>
      <w:r>
        <w:t>Maranga</w:t>
      </w:r>
      <w:r w:rsidR="003D640C">
        <w:t xml:space="preserve"> </w:t>
      </w:r>
      <w:r>
        <w:t>Mai!:</w:t>
      </w:r>
      <w:r w:rsidR="003D640C">
        <w:t xml:space="preserve"> </w:t>
      </w:r>
      <w:r>
        <w:t>The</w:t>
      </w:r>
      <w:r w:rsidR="003D640C">
        <w:t xml:space="preserve"> </w:t>
      </w:r>
      <w:r>
        <w:t>dynamics</w:t>
      </w:r>
      <w:r w:rsidR="003D640C">
        <w:t xml:space="preserve"> </w:t>
      </w:r>
      <w:r>
        <w:t>and</w:t>
      </w:r>
      <w:r w:rsidR="003D640C">
        <w:t xml:space="preserve"> </w:t>
      </w:r>
      <w:r>
        <w:t>impacts</w:t>
      </w:r>
      <w:r w:rsidR="003D640C">
        <w:t xml:space="preserve"> </w:t>
      </w:r>
      <w:r>
        <w:t>of</w:t>
      </w:r>
      <w:r w:rsidR="003D640C">
        <w:t xml:space="preserve"> </w:t>
      </w:r>
      <w:r>
        <w:t>white</w:t>
      </w:r>
      <w:r w:rsidR="003D640C">
        <w:t xml:space="preserve"> </w:t>
      </w:r>
      <w:r>
        <w:t>supremacy,</w:t>
      </w:r>
      <w:r w:rsidR="003D640C">
        <w:t xml:space="preserve"> </w:t>
      </w:r>
      <w:r>
        <w:t>racism,</w:t>
      </w:r>
      <w:r w:rsidR="003D640C">
        <w:t xml:space="preserve"> </w:t>
      </w:r>
      <w:r>
        <w:t>and</w:t>
      </w:r>
      <w:r w:rsidR="003D640C">
        <w:t xml:space="preserve"> </w:t>
      </w:r>
      <w:r>
        <w:t>colonisation</w:t>
      </w:r>
      <w:r w:rsidR="003D640C">
        <w:t xml:space="preserve"> </w:t>
      </w:r>
      <w:r>
        <w:t>upon</w:t>
      </w:r>
      <w:r w:rsidR="003D640C">
        <w:t xml:space="preserve"> </w:t>
      </w:r>
      <w:r>
        <w:t>Tangata</w:t>
      </w:r>
      <w:r w:rsidR="003D640C">
        <w:t xml:space="preserve"> </w:t>
      </w:r>
      <w:r>
        <w:t>Whenua</w:t>
      </w:r>
      <w:r w:rsidR="003D640C">
        <w:t xml:space="preserve"> </w:t>
      </w:r>
      <w:r>
        <w:t>in</w:t>
      </w:r>
      <w:r w:rsidR="003D640C">
        <w:t xml:space="preserve"> </w:t>
      </w:r>
      <w:r>
        <w:t>Aotearoa</w:t>
      </w:r>
      <w:r w:rsidR="003D640C">
        <w:t xml:space="preserve"> </w:t>
      </w:r>
      <w:r>
        <w:t>New</w:t>
      </w:r>
      <w:r w:rsidR="003D640C">
        <w:t xml:space="preserve"> </w:t>
      </w:r>
      <w:r>
        <w:t>Zealand.</w:t>
      </w:r>
      <w:r w:rsidR="003D640C">
        <w:t xml:space="preserve"> </w:t>
      </w:r>
      <w:r>
        <w:t>Human</w:t>
      </w:r>
      <w:r w:rsidR="003D640C">
        <w:t xml:space="preserve"> </w:t>
      </w:r>
      <w:r>
        <w:t>Rights</w:t>
      </w:r>
      <w:r w:rsidR="003D640C">
        <w:t xml:space="preserve"> </w:t>
      </w:r>
      <w:r>
        <w:t>Commission.</w:t>
      </w:r>
      <w:r w:rsidR="003D640C">
        <w:t xml:space="preserve"> </w:t>
      </w:r>
      <w:hyperlink r:id="rId152" w:history="1">
        <w:r w:rsidR="005E0957" w:rsidRPr="00790237">
          <w:rPr>
            <w:rStyle w:val="Hyperlink"/>
          </w:rPr>
          <w:t>https://tikatangata.org.nz/our-work/maranga-mai</w:t>
        </w:r>
      </w:hyperlink>
      <w:r w:rsidR="005E0957">
        <w:t xml:space="preserve"> </w:t>
      </w:r>
    </w:p>
    <w:p w14:paraId="04C9CB28" w14:textId="5BD6F2FB" w:rsidR="00F01386" w:rsidRPr="00B6157E" w:rsidRDefault="00F01386" w:rsidP="00E00167">
      <w:pPr>
        <w:pStyle w:val="Reference"/>
        <w:rPr>
          <w:rStyle w:val="Hyperlink"/>
        </w:rPr>
      </w:pPr>
      <w:r w:rsidRPr="00B6157E">
        <w:t>Te</w:t>
      </w:r>
      <w:r w:rsidR="003D640C" w:rsidRPr="00B6157E">
        <w:t xml:space="preserve"> </w:t>
      </w:r>
      <w:r w:rsidRPr="00B6157E">
        <w:t>Karere</w:t>
      </w:r>
      <w:r w:rsidR="003D640C" w:rsidRPr="00B6157E">
        <w:t xml:space="preserve"> </w:t>
      </w:r>
      <w:r w:rsidRPr="00B6157E">
        <w:t>TVNZ.</w:t>
      </w:r>
      <w:r w:rsidR="003D640C" w:rsidRPr="00B6157E">
        <w:t xml:space="preserve"> </w:t>
      </w:r>
      <w:r w:rsidRPr="00B6157E">
        <w:t>(2021).</w:t>
      </w:r>
      <w:r w:rsidR="003D640C" w:rsidRPr="00B6157E">
        <w:t xml:space="preserve"> </w:t>
      </w:r>
      <w:r w:rsidRPr="00B6157E">
        <w:rPr>
          <w:i/>
          <w:iCs/>
        </w:rPr>
        <w:t>Conversion</w:t>
      </w:r>
      <w:r w:rsidR="003D640C" w:rsidRPr="00B6157E">
        <w:rPr>
          <w:i/>
          <w:iCs/>
        </w:rPr>
        <w:t xml:space="preserve"> </w:t>
      </w:r>
      <w:r w:rsidRPr="00B6157E">
        <w:rPr>
          <w:i/>
          <w:iCs/>
        </w:rPr>
        <w:t>therapy</w:t>
      </w:r>
      <w:r w:rsidR="003D640C" w:rsidRPr="00B6157E">
        <w:rPr>
          <w:i/>
          <w:iCs/>
        </w:rPr>
        <w:t xml:space="preserve"> </w:t>
      </w:r>
      <w:r w:rsidRPr="00B6157E">
        <w:rPr>
          <w:i/>
          <w:iCs/>
        </w:rPr>
        <w:t>survivor</w:t>
      </w:r>
      <w:r w:rsidR="003D640C" w:rsidRPr="00B6157E">
        <w:rPr>
          <w:i/>
          <w:iCs/>
        </w:rPr>
        <w:t xml:space="preserve"> </w:t>
      </w:r>
      <w:r w:rsidRPr="00B6157E">
        <w:rPr>
          <w:i/>
          <w:iCs/>
        </w:rPr>
        <w:t>can’t</w:t>
      </w:r>
      <w:r w:rsidR="003D640C" w:rsidRPr="00B6157E">
        <w:rPr>
          <w:i/>
          <w:iCs/>
        </w:rPr>
        <w:t xml:space="preserve"> </w:t>
      </w:r>
      <w:r w:rsidRPr="00B6157E">
        <w:rPr>
          <w:i/>
          <w:iCs/>
        </w:rPr>
        <w:t>wait</w:t>
      </w:r>
      <w:r w:rsidR="003D640C" w:rsidRPr="00B6157E">
        <w:rPr>
          <w:i/>
          <w:iCs/>
        </w:rPr>
        <w:t xml:space="preserve"> </w:t>
      </w:r>
      <w:r w:rsidRPr="00B6157E">
        <w:rPr>
          <w:i/>
          <w:iCs/>
        </w:rPr>
        <w:t>for</w:t>
      </w:r>
      <w:r w:rsidR="003D640C" w:rsidRPr="00B6157E">
        <w:rPr>
          <w:i/>
          <w:iCs/>
        </w:rPr>
        <w:t xml:space="preserve"> </w:t>
      </w:r>
      <w:r w:rsidRPr="00B6157E">
        <w:rPr>
          <w:i/>
          <w:iCs/>
        </w:rPr>
        <w:t>it</w:t>
      </w:r>
      <w:r w:rsidR="003D640C" w:rsidRPr="00B6157E">
        <w:rPr>
          <w:i/>
          <w:iCs/>
        </w:rPr>
        <w:t xml:space="preserve"> </w:t>
      </w:r>
      <w:r w:rsidRPr="00B6157E">
        <w:rPr>
          <w:i/>
          <w:iCs/>
        </w:rPr>
        <w:t>to</w:t>
      </w:r>
      <w:r w:rsidR="003D640C" w:rsidRPr="00B6157E">
        <w:rPr>
          <w:i/>
          <w:iCs/>
        </w:rPr>
        <w:t xml:space="preserve"> </w:t>
      </w:r>
      <w:r w:rsidRPr="00B6157E">
        <w:rPr>
          <w:i/>
          <w:iCs/>
        </w:rPr>
        <w:t>be</w:t>
      </w:r>
      <w:r w:rsidR="003D640C" w:rsidRPr="00B6157E">
        <w:rPr>
          <w:i/>
          <w:iCs/>
        </w:rPr>
        <w:t xml:space="preserve"> </w:t>
      </w:r>
      <w:r w:rsidRPr="00B6157E">
        <w:rPr>
          <w:i/>
          <w:iCs/>
        </w:rPr>
        <w:t>banned</w:t>
      </w:r>
      <w:r w:rsidR="003D640C" w:rsidRPr="00B6157E">
        <w:t xml:space="preserve"> </w:t>
      </w:r>
      <w:r w:rsidRPr="00B6157E">
        <w:t>[Video].</w:t>
      </w:r>
      <w:r w:rsidR="003D640C" w:rsidRPr="00B6157E">
        <w:t xml:space="preserve"> </w:t>
      </w:r>
      <w:hyperlink r:id="rId153" w:history="1">
        <w:r w:rsidR="004D4891" w:rsidRPr="00B6157E">
          <w:rPr>
            <w:rStyle w:val="Hyperlink"/>
          </w:rPr>
          <w:t>https://www.youtube.com/watch?v=H6cM9_iIx-E</w:t>
        </w:r>
      </w:hyperlink>
      <w:r w:rsidR="004D4891" w:rsidRPr="00B6157E">
        <w:t xml:space="preserve"> </w:t>
      </w:r>
    </w:p>
    <w:p w14:paraId="691A70D4" w14:textId="5AE88DB2" w:rsidR="00F01386" w:rsidRPr="00B6157E" w:rsidRDefault="00F01386" w:rsidP="00E00167">
      <w:pPr>
        <w:pStyle w:val="Reference"/>
      </w:pPr>
      <w:r w:rsidRPr="00B6157E">
        <w:t>The</w:t>
      </w:r>
      <w:r w:rsidR="003D640C" w:rsidRPr="00B6157E">
        <w:t xml:space="preserve"> </w:t>
      </w:r>
      <w:r w:rsidRPr="00B6157E">
        <w:t>Royal</w:t>
      </w:r>
      <w:r w:rsidR="003D640C" w:rsidRPr="00B6157E">
        <w:t xml:space="preserve"> </w:t>
      </w:r>
      <w:r w:rsidRPr="00B6157E">
        <w:t>Australian</w:t>
      </w:r>
      <w:r w:rsidR="003D640C" w:rsidRPr="00B6157E">
        <w:t xml:space="preserve"> </w:t>
      </w:r>
      <w:r w:rsidRPr="00B6157E">
        <w:t>&amp;</w:t>
      </w:r>
      <w:r w:rsidR="003D640C" w:rsidRPr="00B6157E">
        <w:t xml:space="preserve"> </w:t>
      </w:r>
      <w:r w:rsidRPr="00B6157E">
        <w:t>New</w:t>
      </w:r>
      <w:r w:rsidR="003D640C" w:rsidRPr="00B6157E">
        <w:t xml:space="preserve"> </w:t>
      </w:r>
      <w:r w:rsidRPr="00B6157E">
        <w:t>Zealand</w:t>
      </w:r>
      <w:r w:rsidR="003D640C" w:rsidRPr="00B6157E">
        <w:t xml:space="preserve"> </w:t>
      </w:r>
      <w:r w:rsidRPr="00B6157E">
        <w:t>College</w:t>
      </w:r>
      <w:r w:rsidR="003D640C" w:rsidRPr="00B6157E">
        <w:t xml:space="preserve"> </w:t>
      </w:r>
      <w:r w:rsidRPr="00B6157E">
        <w:t>of</w:t>
      </w:r>
      <w:r w:rsidR="003D640C" w:rsidRPr="00B6157E">
        <w:t xml:space="preserve"> </w:t>
      </w:r>
      <w:r w:rsidRPr="00B6157E">
        <w:t>Psychiatrists.</w:t>
      </w:r>
      <w:r w:rsidR="003D640C" w:rsidRPr="00B6157E">
        <w:t xml:space="preserve"> </w:t>
      </w:r>
      <w:r w:rsidRPr="00B6157E">
        <w:t>(2019).</w:t>
      </w:r>
      <w:r w:rsidR="003D640C" w:rsidRPr="00B6157E">
        <w:t xml:space="preserve"> </w:t>
      </w:r>
      <w:r w:rsidRPr="00B6157E">
        <w:rPr>
          <w:i/>
          <w:iCs/>
        </w:rPr>
        <w:t>Sexual</w:t>
      </w:r>
      <w:r w:rsidR="003D640C" w:rsidRPr="00B6157E">
        <w:rPr>
          <w:i/>
          <w:iCs/>
        </w:rPr>
        <w:t xml:space="preserve"> </w:t>
      </w:r>
      <w:r w:rsidR="00D74D83" w:rsidRPr="00B6157E">
        <w:rPr>
          <w:i/>
          <w:iCs/>
        </w:rPr>
        <w:t>o</w:t>
      </w:r>
      <w:r w:rsidRPr="00B6157E">
        <w:rPr>
          <w:i/>
          <w:iCs/>
        </w:rPr>
        <w:t>rientation</w:t>
      </w:r>
      <w:r w:rsidR="003D640C" w:rsidRPr="00B6157E">
        <w:rPr>
          <w:i/>
          <w:iCs/>
        </w:rPr>
        <w:t xml:space="preserve"> </w:t>
      </w:r>
      <w:r w:rsidR="00D74D83" w:rsidRPr="00B6157E">
        <w:rPr>
          <w:i/>
          <w:iCs/>
        </w:rPr>
        <w:t>c</w:t>
      </w:r>
      <w:r w:rsidRPr="00B6157E">
        <w:rPr>
          <w:i/>
          <w:iCs/>
        </w:rPr>
        <w:t>hange</w:t>
      </w:r>
      <w:r w:rsidR="003D640C" w:rsidRPr="00B6157E">
        <w:rPr>
          <w:i/>
          <w:iCs/>
        </w:rPr>
        <w:t xml:space="preserve"> </w:t>
      </w:r>
      <w:r w:rsidR="00D74D83" w:rsidRPr="00B6157E">
        <w:rPr>
          <w:i/>
          <w:iCs/>
        </w:rPr>
        <w:t>e</w:t>
      </w:r>
      <w:r w:rsidRPr="00B6157E">
        <w:rPr>
          <w:i/>
          <w:iCs/>
        </w:rPr>
        <w:t>fforts</w:t>
      </w:r>
      <w:r w:rsidR="00D74D83" w:rsidRPr="00B6157E">
        <w:rPr>
          <w:i/>
          <w:iCs/>
        </w:rPr>
        <w:t xml:space="preserve"> </w:t>
      </w:r>
      <w:hyperlink r:id="rId154" w:history="1">
        <w:r w:rsidR="00D74D83" w:rsidRPr="00B6157E">
          <w:rPr>
            <w:rStyle w:val="Hyperlink"/>
          </w:rPr>
          <w:t>https://www.ranzcp.org/clinical-guidelines-publications/clinical-guidelines-publications-library/sexual-orientation-change-efforts</w:t>
        </w:r>
      </w:hyperlink>
      <w:r w:rsidR="00D74D83" w:rsidRPr="00B6157E">
        <w:t xml:space="preserve"> </w:t>
      </w:r>
    </w:p>
    <w:p w14:paraId="34F809D5" w14:textId="6CBE860A" w:rsidR="00F01386" w:rsidRPr="005B33A1" w:rsidRDefault="00F01386" w:rsidP="00E00167">
      <w:pPr>
        <w:pStyle w:val="Reference"/>
      </w:pPr>
      <w:r w:rsidRPr="005B33A1">
        <w:lastRenderedPageBreak/>
        <w:t>Thomsen,</w:t>
      </w:r>
      <w:r w:rsidR="003D640C" w:rsidRPr="005B33A1">
        <w:t xml:space="preserve"> </w:t>
      </w:r>
      <w:r w:rsidRPr="005B33A1">
        <w:t>P.</w:t>
      </w:r>
      <w:r w:rsidR="003D640C" w:rsidRPr="005B33A1">
        <w:t xml:space="preserve"> </w:t>
      </w:r>
      <w:r w:rsidRPr="005B33A1">
        <w:t>S.</w:t>
      </w:r>
      <w:r w:rsidR="003D640C" w:rsidRPr="005B33A1">
        <w:t xml:space="preserve"> </w:t>
      </w:r>
      <w:r w:rsidRPr="005B33A1">
        <w:t>(2016,</w:t>
      </w:r>
      <w:r w:rsidR="003D640C" w:rsidRPr="005B33A1">
        <w:t xml:space="preserve"> </w:t>
      </w:r>
      <w:r w:rsidRPr="005B33A1">
        <w:t>October</w:t>
      </w:r>
      <w:r w:rsidR="003D640C" w:rsidRPr="005B33A1">
        <w:t xml:space="preserve"> </w:t>
      </w:r>
      <w:r w:rsidRPr="005B33A1">
        <w:t>26).</w:t>
      </w:r>
      <w:r w:rsidR="003D640C" w:rsidRPr="005B33A1">
        <w:t xml:space="preserve"> </w:t>
      </w:r>
      <w:r w:rsidRPr="005B33A1">
        <w:rPr>
          <w:i/>
          <w:iCs/>
        </w:rPr>
        <w:t>‘Hobgoblin’</w:t>
      </w:r>
      <w:r w:rsidR="003D640C" w:rsidRPr="005B33A1">
        <w:rPr>
          <w:i/>
          <w:iCs/>
        </w:rPr>
        <w:t xml:space="preserve"> </w:t>
      </w:r>
      <w:r w:rsidRPr="005B33A1">
        <w:rPr>
          <w:i/>
          <w:iCs/>
        </w:rPr>
        <w:t>logic</w:t>
      </w:r>
      <w:r w:rsidR="003D640C" w:rsidRPr="005B33A1">
        <w:rPr>
          <w:i/>
          <w:iCs/>
        </w:rPr>
        <w:t xml:space="preserve"> </w:t>
      </w:r>
      <w:r w:rsidRPr="005B33A1">
        <w:rPr>
          <w:i/>
          <w:iCs/>
        </w:rPr>
        <w:t>on</w:t>
      </w:r>
      <w:r w:rsidR="003D640C" w:rsidRPr="005B33A1">
        <w:rPr>
          <w:i/>
          <w:iCs/>
        </w:rPr>
        <w:t xml:space="preserve"> </w:t>
      </w:r>
      <w:r w:rsidRPr="005B33A1">
        <w:rPr>
          <w:i/>
          <w:iCs/>
        </w:rPr>
        <w:t>Pacific</w:t>
      </w:r>
      <w:r w:rsidR="003D640C" w:rsidRPr="005B33A1">
        <w:rPr>
          <w:i/>
          <w:iCs/>
        </w:rPr>
        <w:t xml:space="preserve"> </w:t>
      </w:r>
      <w:r w:rsidRPr="005B33A1">
        <w:rPr>
          <w:i/>
          <w:iCs/>
        </w:rPr>
        <w:t>gay</w:t>
      </w:r>
      <w:r w:rsidR="003D640C" w:rsidRPr="005B33A1">
        <w:rPr>
          <w:i/>
          <w:iCs/>
        </w:rPr>
        <w:t xml:space="preserve"> </w:t>
      </w:r>
      <w:r w:rsidRPr="005B33A1">
        <w:rPr>
          <w:i/>
          <w:iCs/>
        </w:rPr>
        <w:t>rights</w:t>
      </w:r>
      <w:r w:rsidR="003D640C" w:rsidRPr="005B33A1">
        <w:rPr>
          <w:i/>
          <w:iCs/>
        </w:rPr>
        <w:t xml:space="preserve"> </w:t>
      </w:r>
      <w:r w:rsidRPr="005B33A1">
        <w:rPr>
          <w:i/>
          <w:iCs/>
        </w:rPr>
        <w:t>has</w:t>
      </w:r>
      <w:r w:rsidR="003D640C" w:rsidRPr="005B33A1">
        <w:rPr>
          <w:i/>
          <w:iCs/>
        </w:rPr>
        <w:t xml:space="preserve"> </w:t>
      </w:r>
      <w:r w:rsidRPr="005B33A1">
        <w:rPr>
          <w:i/>
          <w:iCs/>
        </w:rPr>
        <w:t>distinctly</w:t>
      </w:r>
      <w:r w:rsidR="003D640C" w:rsidRPr="005B33A1">
        <w:rPr>
          <w:i/>
          <w:iCs/>
        </w:rPr>
        <w:t xml:space="preserve"> </w:t>
      </w:r>
      <w:r w:rsidRPr="005B33A1">
        <w:rPr>
          <w:i/>
          <w:iCs/>
        </w:rPr>
        <w:t>Western</w:t>
      </w:r>
      <w:r w:rsidR="003D640C" w:rsidRPr="005B33A1">
        <w:rPr>
          <w:i/>
          <w:iCs/>
        </w:rPr>
        <w:t xml:space="preserve"> </w:t>
      </w:r>
      <w:r w:rsidRPr="005B33A1">
        <w:rPr>
          <w:i/>
          <w:iCs/>
        </w:rPr>
        <w:t>roots</w:t>
      </w:r>
      <w:r w:rsidRPr="005B33A1">
        <w:t>.</w:t>
      </w:r>
      <w:r w:rsidR="003D640C" w:rsidRPr="005B33A1">
        <w:t xml:space="preserve"> </w:t>
      </w:r>
      <w:hyperlink r:id="rId155" w:history="1">
        <w:r w:rsidR="00B5470B" w:rsidRPr="005B33A1">
          <w:rPr>
            <w:rStyle w:val="Hyperlink"/>
          </w:rPr>
          <w:t>https://thespinoff.co.nz/society/26-10-2016/hobogblin-logic-on-pacific-gay-rights-has-distinctly-western-roots</w:t>
        </w:r>
      </w:hyperlink>
      <w:r w:rsidR="00B5470B" w:rsidRPr="005B33A1">
        <w:t xml:space="preserve"> </w:t>
      </w:r>
      <w:r w:rsidR="003D640C" w:rsidRPr="005B33A1">
        <w:t xml:space="preserve"> </w:t>
      </w:r>
    </w:p>
    <w:p w14:paraId="3305B1CD" w14:textId="0B948A2D" w:rsidR="00F01386" w:rsidRDefault="00F01386" w:rsidP="00E00167">
      <w:pPr>
        <w:pStyle w:val="Reference"/>
      </w:pPr>
      <w:r w:rsidRPr="005B33A1">
        <w:t>Thomsen,</w:t>
      </w:r>
      <w:r w:rsidR="003D640C" w:rsidRPr="005B33A1">
        <w:t xml:space="preserve"> </w:t>
      </w:r>
      <w:r w:rsidRPr="005B33A1">
        <w:t>P.,</w:t>
      </w:r>
      <w:r w:rsidR="003D640C">
        <w:t xml:space="preserve"> </w:t>
      </w:r>
      <w:r>
        <w:t>Brown-Acton,</w:t>
      </w:r>
      <w:r w:rsidR="003D640C">
        <w:t xml:space="preserve"> </w:t>
      </w:r>
      <w:r>
        <w:t>P.,</w:t>
      </w:r>
      <w:r w:rsidR="003D640C">
        <w:t xml:space="preserve"> </w:t>
      </w:r>
      <w:r>
        <w:t>Manuela,</w:t>
      </w:r>
      <w:r w:rsidR="003D640C">
        <w:t xml:space="preserve"> </w:t>
      </w:r>
      <w:r>
        <w:t>S.,</w:t>
      </w:r>
      <w:r w:rsidR="003D640C">
        <w:t xml:space="preserve"> </w:t>
      </w:r>
      <w:r>
        <w:t>Tiatia-Siau,</w:t>
      </w:r>
      <w:r w:rsidR="003D640C">
        <w:t xml:space="preserve"> </w:t>
      </w:r>
      <w:r>
        <w:t>J.,</w:t>
      </w:r>
      <w:r w:rsidR="003D640C">
        <w:t xml:space="preserve"> </w:t>
      </w:r>
      <w:r>
        <w:t>Greaves,</w:t>
      </w:r>
      <w:r w:rsidR="003D640C">
        <w:t xml:space="preserve"> </w:t>
      </w:r>
      <w:r>
        <w:t>L.,</w:t>
      </w:r>
      <w:r w:rsidR="003D640C">
        <w:t xml:space="preserve"> </w:t>
      </w:r>
      <w:r w:rsidR="00BE6FCA">
        <w:t xml:space="preserve">&amp; </w:t>
      </w:r>
      <w:r>
        <w:t>Sluyter,</w:t>
      </w:r>
      <w:r w:rsidR="003D640C">
        <w:t xml:space="preserve"> </w:t>
      </w:r>
      <w:r>
        <w:t>J.</w:t>
      </w:r>
      <w:r w:rsidR="003D640C">
        <w:t xml:space="preserve"> </w:t>
      </w:r>
      <w:r>
        <w:t>(2023)</w:t>
      </w:r>
      <w:r w:rsidR="000F2F9A">
        <w:t>.</w:t>
      </w:r>
      <w:r w:rsidR="003D640C">
        <w:t xml:space="preserve"> </w:t>
      </w:r>
      <w:r w:rsidRPr="005B33A1">
        <w:rPr>
          <w:i/>
          <w:iCs/>
        </w:rPr>
        <w:t>The</w:t>
      </w:r>
      <w:r w:rsidR="003D640C" w:rsidRPr="005B33A1">
        <w:rPr>
          <w:i/>
          <w:iCs/>
        </w:rPr>
        <w:t xml:space="preserve"> </w:t>
      </w:r>
      <w:r w:rsidRPr="005B33A1">
        <w:rPr>
          <w:i/>
          <w:iCs/>
        </w:rPr>
        <w:t>Manalagi</w:t>
      </w:r>
      <w:r w:rsidR="003D640C" w:rsidRPr="005B33A1">
        <w:rPr>
          <w:i/>
          <w:iCs/>
        </w:rPr>
        <w:t xml:space="preserve"> </w:t>
      </w:r>
      <w:r w:rsidR="00BE6FCA">
        <w:rPr>
          <w:i/>
          <w:iCs/>
        </w:rPr>
        <w:t>s</w:t>
      </w:r>
      <w:r w:rsidRPr="005B33A1">
        <w:rPr>
          <w:i/>
          <w:iCs/>
        </w:rPr>
        <w:t>urvey</w:t>
      </w:r>
      <w:r w:rsidR="003D640C" w:rsidRPr="005B33A1">
        <w:rPr>
          <w:i/>
          <w:iCs/>
        </w:rPr>
        <w:t xml:space="preserve"> </w:t>
      </w:r>
      <w:r w:rsidR="00BE6FCA">
        <w:rPr>
          <w:i/>
          <w:iCs/>
        </w:rPr>
        <w:t>c</w:t>
      </w:r>
      <w:r w:rsidRPr="005B33A1">
        <w:rPr>
          <w:i/>
          <w:iCs/>
        </w:rPr>
        <w:t>ommunity</w:t>
      </w:r>
      <w:r w:rsidR="003D640C" w:rsidRPr="005B33A1">
        <w:rPr>
          <w:i/>
          <w:iCs/>
        </w:rPr>
        <w:t xml:space="preserve"> </w:t>
      </w:r>
      <w:r w:rsidR="00BE6FCA">
        <w:rPr>
          <w:i/>
          <w:iCs/>
        </w:rPr>
        <w:t>r</w:t>
      </w:r>
      <w:r w:rsidRPr="005B33A1">
        <w:rPr>
          <w:i/>
          <w:iCs/>
        </w:rPr>
        <w:t>eport:</w:t>
      </w:r>
      <w:r w:rsidR="003D640C" w:rsidRPr="005B33A1">
        <w:rPr>
          <w:i/>
          <w:iCs/>
        </w:rPr>
        <w:t xml:space="preserve"> </w:t>
      </w:r>
      <w:r w:rsidRPr="005B33A1">
        <w:rPr>
          <w:i/>
          <w:iCs/>
        </w:rPr>
        <w:t>Examining</w:t>
      </w:r>
      <w:r w:rsidR="003D640C" w:rsidRPr="005B33A1">
        <w:rPr>
          <w:i/>
          <w:iCs/>
        </w:rPr>
        <w:t xml:space="preserve"> </w:t>
      </w:r>
      <w:r w:rsidRPr="005B33A1">
        <w:rPr>
          <w:i/>
          <w:iCs/>
        </w:rPr>
        <w:t>the</w:t>
      </w:r>
      <w:r w:rsidR="003D640C" w:rsidRPr="005B33A1">
        <w:rPr>
          <w:i/>
          <w:iCs/>
        </w:rPr>
        <w:t xml:space="preserve"> </w:t>
      </w:r>
      <w:r w:rsidR="00BE6FCA">
        <w:rPr>
          <w:i/>
          <w:iCs/>
        </w:rPr>
        <w:t>h</w:t>
      </w:r>
      <w:r w:rsidRPr="005B33A1">
        <w:rPr>
          <w:i/>
          <w:iCs/>
        </w:rPr>
        <w:t>ealth</w:t>
      </w:r>
      <w:r w:rsidR="003D640C" w:rsidRPr="005B33A1">
        <w:rPr>
          <w:i/>
          <w:iCs/>
        </w:rPr>
        <w:t xml:space="preserve"> </w:t>
      </w:r>
      <w:r w:rsidRPr="005B33A1">
        <w:rPr>
          <w:i/>
          <w:iCs/>
        </w:rPr>
        <w:t>and</w:t>
      </w:r>
      <w:r w:rsidR="003D640C" w:rsidRPr="005B33A1">
        <w:rPr>
          <w:i/>
          <w:iCs/>
        </w:rPr>
        <w:t xml:space="preserve"> </w:t>
      </w:r>
      <w:r w:rsidR="00BE6FCA">
        <w:rPr>
          <w:i/>
          <w:iCs/>
        </w:rPr>
        <w:t>w</w:t>
      </w:r>
      <w:r w:rsidRPr="005B33A1">
        <w:rPr>
          <w:i/>
          <w:iCs/>
        </w:rPr>
        <w:t>ellbeing</w:t>
      </w:r>
      <w:r w:rsidR="003D640C" w:rsidRPr="005B33A1">
        <w:rPr>
          <w:i/>
          <w:iCs/>
        </w:rPr>
        <w:t xml:space="preserve"> </w:t>
      </w:r>
      <w:r w:rsidRPr="005B33A1">
        <w:rPr>
          <w:i/>
          <w:iCs/>
        </w:rPr>
        <w:t>of</w:t>
      </w:r>
      <w:r w:rsidR="003D640C" w:rsidRPr="005B33A1">
        <w:rPr>
          <w:i/>
          <w:iCs/>
        </w:rPr>
        <w:t xml:space="preserve"> </w:t>
      </w:r>
      <w:r w:rsidRPr="005B33A1">
        <w:rPr>
          <w:i/>
          <w:iCs/>
        </w:rPr>
        <w:t>Pacific</w:t>
      </w:r>
      <w:r w:rsidR="003D640C" w:rsidRPr="005B33A1">
        <w:rPr>
          <w:i/>
          <w:iCs/>
        </w:rPr>
        <w:t xml:space="preserve"> </w:t>
      </w:r>
      <w:r w:rsidRPr="005B33A1">
        <w:rPr>
          <w:i/>
          <w:iCs/>
        </w:rPr>
        <w:t>Rainbow+</w:t>
      </w:r>
      <w:r w:rsidR="003D640C" w:rsidRPr="005B33A1">
        <w:rPr>
          <w:i/>
          <w:iCs/>
        </w:rPr>
        <w:t xml:space="preserve"> </w:t>
      </w:r>
      <w:r w:rsidR="00BE6FCA">
        <w:rPr>
          <w:i/>
          <w:iCs/>
        </w:rPr>
        <w:t>p</w:t>
      </w:r>
      <w:r w:rsidRPr="005B33A1">
        <w:rPr>
          <w:i/>
          <w:iCs/>
        </w:rPr>
        <w:t>eoples</w:t>
      </w:r>
      <w:r w:rsidR="003D640C" w:rsidRPr="005B33A1">
        <w:rPr>
          <w:i/>
          <w:iCs/>
        </w:rPr>
        <w:t xml:space="preserve"> </w:t>
      </w:r>
      <w:r w:rsidRPr="005B33A1">
        <w:rPr>
          <w:i/>
          <w:iCs/>
        </w:rPr>
        <w:t>in</w:t>
      </w:r>
      <w:r w:rsidR="003D640C" w:rsidRPr="005B33A1">
        <w:rPr>
          <w:i/>
          <w:iCs/>
        </w:rPr>
        <w:t xml:space="preserve"> </w:t>
      </w:r>
      <w:r w:rsidRPr="005B33A1">
        <w:rPr>
          <w:i/>
          <w:iCs/>
        </w:rPr>
        <w:t>Aotearoa-New</w:t>
      </w:r>
      <w:r w:rsidR="003D640C" w:rsidRPr="005B33A1">
        <w:rPr>
          <w:i/>
          <w:iCs/>
        </w:rPr>
        <w:t xml:space="preserve"> </w:t>
      </w:r>
      <w:r w:rsidRPr="005B33A1">
        <w:rPr>
          <w:i/>
          <w:iCs/>
        </w:rPr>
        <w:t>Zealand</w:t>
      </w:r>
      <w:r>
        <w:t>.</w:t>
      </w:r>
      <w:r w:rsidR="003D640C">
        <w:t xml:space="preserve"> </w:t>
      </w:r>
      <w:r>
        <w:t>The</w:t>
      </w:r>
      <w:r w:rsidR="003D640C">
        <w:t xml:space="preserve"> </w:t>
      </w:r>
      <w:r>
        <w:t>Manalagi</w:t>
      </w:r>
      <w:r w:rsidR="003D640C">
        <w:t xml:space="preserve"> </w:t>
      </w:r>
      <w:r>
        <w:t>Project</w:t>
      </w:r>
      <w:r w:rsidR="003D640C">
        <w:t xml:space="preserve"> </w:t>
      </w:r>
      <w:r>
        <w:t>Team.</w:t>
      </w:r>
      <w:r w:rsidR="003D640C">
        <w:t xml:space="preserve"> </w:t>
      </w:r>
      <w:hyperlink r:id="rId156" w:history="1">
        <w:r w:rsidR="005B33A1" w:rsidRPr="0080137F">
          <w:rPr>
            <w:rStyle w:val="Hyperlink"/>
          </w:rPr>
          <w:t>https://www.manalagi.org/_files/ugd/b7eedf_7a214bf6e78349f084581c5f2b68bf2d.pdf</w:t>
        </w:r>
      </w:hyperlink>
      <w:r w:rsidR="005B33A1">
        <w:t xml:space="preserve"> </w:t>
      </w:r>
      <w:r w:rsidR="00B17ABB">
        <w:t xml:space="preserve"> </w:t>
      </w:r>
      <w:r w:rsidR="005B33A1">
        <w:t xml:space="preserve"> </w:t>
      </w:r>
    </w:p>
    <w:p w14:paraId="7C82D32C" w14:textId="633092AA" w:rsidR="00F01386" w:rsidRPr="005B33A1" w:rsidRDefault="00F01386" w:rsidP="00992226">
      <w:pPr>
        <w:pStyle w:val="Reference"/>
      </w:pPr>
      <w:r w:rsidRPr="005B33A1">
        <w:t>Thomsen,</w:t>
      </w:r>
      <w:r w:rsidR="003D640C" w:rsidRPr="005B33A1">
        <w:t xml:space="preserve"> </w:t>
      </w:r>
      <w:r w:rsidRPr="005B33A1">
        <w:t>S.,</w:t>
      </w:r>
      <w:r w:rsidR="003D640C" w:rsidRPr="005B33A1">
        <w:t xml:space="preserve"> </w:t>
      </w:r>
      <w:r w:rsidRPr="005B33A1">
        <w:t>Shafiee,</w:t>
      </w:r>
      <w:r w:rsidR="003D640C" w:rsidRPr="005B33A1">
        <w:t xml:space="preserve"> </w:t>
      </w:r>
      <w:r w:rsidRPr="005B33A1">
        <w:t>H.</w:t>
      </w:r>
      <w:r w:rsidR="00B04BA8" w:rsidRPr="005B33A1">
        <w:t>,</w:t>
      </w:r>
      <w:r w:rsidR="003D640C" w:rsidRPr="005B33A1">
        <w:t xml:space="preserve"> </w:t>
      </w:r>
      <w:r w:rsidRPr="005B33A1">
        <w:t>&amp;</w:t>
      </w:r>
      <w:r w:rsidR="003D640C" w:rsidRPr="005B33A1">
        <w:t xml:space="preserve"> </w:t>
      </w:r>
      <w:r w:rsidRPr="005B33A1">
        <w:t>Russell,</w:t>
      </w:r>
      <w:r w:rsidR="003D640C" w:rsidRPr="005B33A1">
        <w:t xml:space="preserve"> </w:t>
      </w:r>
      <w:r w:rsidRPr="005B33A1">
        <w:t>A.</w:t>
      </w:r>
      <w:r w:rsidR="003D640C" w:rsidRPr="005B33A1">
        <w:t xml:space="preserve"> </w:t>
      </w:r>
      <w:r w:rsidRPr="005B33A1">
        <w:t>(2023)</w:t>
      </w:r>
      <w:r w:rsidR="00B04BA8" w:rsidRPr="005B33A1">
        <w:t>.</w:t>
      </w:r>
      <w:r w:rsidR="003D640C" w:rsidRPr="005B33A1">
        <w:t xml:space="preserve"> </w:t>
      </w:r>
      <w:r w:rsidRPr="005B33A1">
        <w:rPr>
          <w:i/>
          <w:iCs/>
        </w:rPr>
        <w:t>Pacific</w:t>
      </w:r>
      <w:r w:rsidR="003D640C" w:rsidRPr="005B33A1">
        <w:rPr>
          <w:i/>
          <w:iCs/>
        </w:rPr>
        <w:t xml:space="preserve"> </w:t>
      </w:r>
      <w:r w:rsidRPr="005B33A1">
        <w:rPr>
          <w:i/>
          <w:iCs/>
        </w:rPr>
        <w:t>peoples’</w:t>
      </w:r>
      <w:r w:rsidR="003D640C" w:rsidRPr="005B33A1">
        <w:rPr>
          <w:i/>
          <w:iCs/>
        </w:rPr>
        <w:t xml:space="preserve"> </w:t>
      </w:r>
      <w:r w:rsidRPr="005B33A1">
        <w:rPr>
          <w:i/>
          <w:iCs/>
        </w:rPr>
        <w:t>wellbeing</w:t>
      </w:r>
      <w:r w:rsidR="00B04BA8" w:rsidRPr="005B33A1">
        <w:rPr>
          <w:i/>
          <w:iCs/>
        </w:rPr>
        <w:t>:</w:t>
      </w:r>
      <w:r w:rsidR="003D640C" w:rsidRPr="005B33A1">
        <w:rPr>
          <w:i/>
          <w:iCs/>
        </w:rPr>
        <w:t xml:space="preserve"> </w:t>
      </w:r>
      <w:r w:rsidRPr="005B33A1">
        <w:rPr>
          <w:i/>
          <w:iCs/>
        </w:rPr>
        <w:t>Background</w:t>
      </w:r>
      <w:r w:rsidR="003D640C" w:rsidRPr="005B33A1">
        <w:rPr>
          <w:i/>
          <w:iCs/>
        </w:rPr>
        <w:t xml:space="preserve"> </w:t>
      </w:r>
      <w:r w:rsidRPr="005B33A1">
        <w:rPr>
          <w:i/>
          <w:iCs/>
        </w:rPr>
        <w:t>Paper</w:t>
      </w:r>
      <w:r w:rsidR="003D640C" w:rsidRPr="005B33A1">
        <w:rPr>
          <w:i/>
          <w:iCs/>
        </w:rPr>
        <w:t xml:space="preserve"> </w:t>
      </w:r>
      <w:r w:rsidRPr="005B33A1">
        <w:rPr>
          <w:i/>
          <w:iCs/>
        </w:rPr>
        <w:t>to</w:t>
      </w:r>
      <w:r w:rsidR="003D640C" w:rsidRPr="005B33A1">
        <w:rPr>
          <w:i/>
          <w:iCs/>
        </w:rPr>
        <w:t xml:space="preserve"> </w:t>
      </w:r>
      <w:r w:rsidRPr="005B33A1">
        <w:rPr>
          <w:i/>
          <w:iCs/>
        </w:rPr>
        <w:t>Te</w:t>
      </w:r>
      <w:r w:rsidR="003D640C" w:rsidRPr="005B33A1">
        <w:rPr>
          <w:i/>
          <w:iCs/>
        </w:rPr>
        <w:t xml:space="preserve"> </w:t>
      </w:r>
      <w:r w:rsidRPr="005B33A1">
        <w:rPr>
          <w:i/>
          <w:iCs/>
        </w:rPr>
        <w:t>Tai</w:t>
      </w:r>
      <w:r w:rsidR="003D640C" w:rsidRPr="005B33A1">
        <w:rPr>
          <w:i/>
          <w:iCs/>
        </w:rPr>
        <w:t xml:space="preserve"> </w:t>
      </w:r>
      <w:r w:rsidRPr="005B33A1">
        <w:rPr>
          <w:i/>
          <w:iCs/>
        </w:rPr>
        <w:t>Waiora:</w:t>
      </w:r>
      <w:r w:rsidR="003D640C" w:rsidRPr="005B33A1">
        <w:rPr>
          <w:i/>
          <w:iCs/>
        </w:rPr>
        <w:t xml:space="preserve"> </w:t>
      </w:r>
      <w:r w:rsidRPr="005B33A1">
        <w:rPr>
          <w:i/>
          <w:iCs/>
        </w:rPr>
        <w:t>Wellbeing</w:t>
      </w:r>
      <w:r w:rsidR="003D640C" w:rsidRPr="005B33A1">
        <w:rPr>
          <w:i/>
          <w:iCs/>
        </w:rPr>
        <w:t xml:space="preserve"> </w:t>
      </w:r>
      <w:r w:rsidRPr="005B33A1">
        <w:rPr>
          <w:i/>
          <w:iCs/>
        </w:rPr>
        <w:t>in</w:t>
      </w:r>
      <w:r w:rsidR="003D640C" w:rsidRPr="005B33A1">
        <w:rPr>
          <w:i/>
          <w:iCs/>
        </w:rPr>
        <w:t xml:space="preserve"> </w:t>
      </w:r>
      <w:r w:rsidRPr="005B33A1">
        <w:rPr>
          <w:i/>
          <w:iCs/>
        </w:rPr>
        <w:t>Aotearoa</w:t>
      </w:r>
      <w:r w:rsidR="003D640C" w:rsidRPr="005B33A1">
        <w:rPr>
          <w:i/>
          <w:iCs/>
        </w:rPr>
        <w:t xml:space="preserve"> </w:t>
      </w:r>
      <w:r w:rsidRPr="005B33A1">
        <w:rPr>
          <w:i/>
          <w:iCs/>
        </w:rPr>
        <w:t>New</w:t>
      </w:r>
      <w:r w:rsidR="003D640C" w:rsidRPr="005B33A1">
        <w:rPr>
          <w:i/>
          <w:iCs/>
        </w:rPr>
        <w:t xml:space="preserve"> </w:t>
      </w:r>
      <w:r w:rsidRPr="005B33A1">
        <w:rPr>
          <w:i/>
          <w:iCs/>
        </w:rPr>
        <w:t>Zealand</w:t>
      </w:r>
      <w:r w:rsidR="003D640C" w:rsidRPr="005B33A1">
        <w:rPr>
          <w:i/>
          <w:iCs/>
        </w:rPr>
        <w:t xml:space="preserve"> </w:t>
      </w:r>
      <w:r w:rsidRPr="005B33A1">
        <w:rPr>
          <w:i/>
          <w:iCs/>
        </w:rPr>
        <w:t>2022.</w:t>
      </w:r>
      <w:r w:rsidR="003D640C" w:rsidRPr="005B33A1">
        <w:t xml:space="preserve"> </w:t>
      </w:r>
      <w:r w:rsidRPr="005B33A1">
        <w:t>The</w:t>
      </w:r>
      <w:r w:rsidR="003D640C" w:rsidRPr="005B33A1">
        <w:t xml:space="preserve"> </w:t>
      </w:r>
      <w:r w:rsidRPr="005B33A1">
        <w:t>Treasury.</w:t>
      </w:r>
      <w:r w:rsidR="003D640C" w:rsidRPr="005B33A1">
        <w:t xml:space="preserve"> </w:t>
      </w:r>
      <w:hyperlink r:id="rId157" w:history="1">
        <w:r w:rsidR="00963EF0" w:rsidRPr="00963EF0">
          <w:rPr>
            <w:rStyle w:val="Hyperlink"/>
          </w:rPr>
          <w:t>https://www.treasury.govt.nz/publications/ap/ap-23-01</w:t>
        </w:r>
      </w:hyperlink>
    </w:p>
    <w:p w14:paraId="1B94F067" w14:textId="26D2270E" w:rsidR="00F01386" w:rsidRPr="005B33A1" w:rsidRDefault="00F01386" w:rsidP="00E00167">
      <w:pPr>
        <w:pStyle w:val="Reference"/>
      </w:pPr>
      <w:r w:rsidRPr="005B33A1">
        <w:t>Tiatia-Seath,</w:t>
      </w:r>
      <w:r w:rsidR="003D640C" w:rsidRPr="005B33A1">
        <w:t xml:space="preserve"> </w:t>
      </w:r>
      <w:r w:rsidRPr="005B33A1">
        <w:t>J.,</w:t>
      </w:r>
      <w:r w:rsidR="003D640C" w:rsidRPr="005B33A1">
        <w:t xml:space="preserve"> </w:t>
      </w:r>
      <w:r w:rsidRPr="005B33A1">
        <w:t>Fleming,</w:t>
      </w:r>
      <w:r w:rsidR="003D640C" w:rsidRPr="005B33A1">
        <w:t xml:space="preserve"> </w:t>
      </w:r>
      <w:r w:rsidRPr="005B33A1">
        <w:t>T.,</w:t>
      </w:r>
      <w:r w:rsidR="003D640C" w:rsidRPr="005B33A1">
        <w:t xml:space="preserve"> </w:t>
      </w:r>
      <w:r w:rsidRPr="005B33A1">
        <w:t>Sutcliffe,</w:t>
      </w:r>
      <w:r w:rsidR="003D640C" w:rsidRPr="005B33A1">
        <w:t xml:space="preserve"> </w:t>
      </w:r>
      <w:r w:rsidRPr="005B33A1">
        <w:t>K.,</w:t>
      </w:r>
      <w:r w:rsidR="003D640C" w:rsidRPr="005B33A1">
        <w:t xml:space="preserve"> </w:t>
      </w:r>
      <w:r w:rsidRPr="005B33A1">
        <w:t>Fenaughty,</w:t>
      </w:r>
      <w:r w:rsidR="003D640C" w:rsidRPr="005B33A1">
        <w:t xml:space="preserve"> </w:t>
      </w:r>
      <w:r w:rsidRPr="005B33A1">
        <w:t>J.,</w:t>
      </w:r>
      <w:r w:rsidR="003D640C" w:rsidRPr="005B33A1">
        <w:t xml:space="preserve"> </w:t>
      </w:r>
      <w:r w:rsidRPr="005B33A1">
        <w:t>Roy,</w:t>
      </w:r>
      <w:r w:rsidR="003D640C" w:rsidRPr="005B33A1">
        <w:t xml:space="preserve"> </w:t>
      </w:r>
      <w:r w:rsidRPr="005B33A1">
        <w:t>R.,</w:t>
      </w:r>
      <w:r w:rsidR="003D640C" w:rsidRPr="005B33A1">
        <w:t xml:space="preserve"> </w:t>
      </w:r>
      <w:r w:rsidRPr="005B33A1">
        <w:t>Greaves,</w:t>
      </w:r>
      <w:r w:rsidR="003D640C" w:rsidRPr="005B33A1">
        <w:t xml:space="preserve"> </w:t>
      </w:r>
      <w:r w:rsidRPr="005B33A1">
        <w:t>L.,</w:t>
      </w:r>
      <w:r w:rsidR="003D640C" w:rsidRPr="005B33A1">
        <w:t xml:space="preserve"> </w:t>
      </w:r>
      <w:r w:rsidRPr="005B33A1">
        <w:t>&amp;</w:t>
      </w:r>
      <w:r w:rsidR="003D640C" w:rsidRPr="005B33A1">
        <w:t xml:space="preserve"> </w:t>
      </w:r>
      <w:r w:rsidRPr="005B33A1">
        <w:t>Clark,</w:t>
      </w:r>
      <w:r w:rsidR="003D640C" w:rsidRPr="005B33A1">
        <w:t xml:space="preserve"> </w:t>
      </w:r>
      <w:r w:rsidRPr="005B33A1">
        <w:t>T.</w:t>
      </w:r>
      <w:r w:rsidR="003D640C" w:rsidRPr="005B33A1">
        <w:t xml:space="preserve"> </w:t>
      </w:r>
      <w:r w:rsidRPr="005B33A1">
        <w:t>(2021).</w:t>
      </w:r>
      <w:r w:rsidR="003D640C" w:rsidRPr="005B33A1">
        <w:t xml:space="preserve"> </w:t>
      </w:r>
      <w:r w:rsidRPr="005B33A1">
        <w:rPr>
          <w:i/>
          <w:iCs/>
        </w:rPr>
        <w:t>A</w:t>
      </w:r>
      <w:r w:rsidR="003D640C" w:rsidRPr="005B33A1">
        <w:rPr>
          <w:i/>
          <w:iCs/>
        </w:rPr>
        <w:t xml:space="preserve"> </w:t>
      </w:r>
      <w:r w:rsidRPr="005B33A1">
        <w:rPr>
          <w:i/>
          <w:iCs/>
        </w:rPr>
        <w:t>Youth19</w:t>
      </w:r>
      <w:r w:rsidR="003D640C" w:rsidRPr="005B33A1">
        <w:rPr>
          <w:i/>
          <w:iCs/>
        </w:rPr>
        <w:t xml:space="preserve"> </w:t>
      </w:r>
      <w:r w:rsidRPr="005B33A1">
        <w:rPr>
          <w:i/>
          <w:iCs/>
        </w:rPr>
        <w:t>Brief:</w:t>
      </w:r>
      <w:r w:rsidR="003D640C" w:rsidRPr="005B33A1">
        <w:rPr>
          <w:i/>
          <w:iCs/>
        </w:rPr>
        <w:t xml:space="preserve"> </w:t>
      </w:r>
      <w:r w:rsidRPr="005B33A1">
        <w:rPr>
          <w:i/>
          <w:iCs/>
        </w:rPr>
        <w:t>Pacific</w:t>
      </w:r>
      <w:r w:rsidR="003D640C" w:rsidRPr="005B33A1">
        <w:rPr>
          <w:i/>
          <w:iCs/>
        </w:rPr>
        <w:t xml:space="preserve"> </w:t>
      </w:r>
      <w:r w:rsidRPr="005B33A1">
        <w:rPr>
          <w:i/>
          <w:iCs/>
        </w:rPr>
        <w:t>Rainbow</w:t>
      </w:r>
      <w:r w:rsidR="003D640C" w:rsidRPr="005B33A1">
        <w:rPr>
          <w:i/>
          <w:iCs/>
        </w:rPr>
        <w:t xml:space="preserve"> </w:t>
      </w:r>
      <w:r w:rsidRPr="005B33A1">
        <w:rPr>
          <w:i/>
          <w:iCs/>
        </w:rPr>
        <w:t>young</w:t>
      </w:r>
      <w:r w:rsidR="003D640C" w:rsidRPr="005B33A1">
        <w:rPr>
          <w:i/>
          <w:iCs/>
        </w:rPr>
        <w:t xml:space="preserve"> </w:t>
      </w:r>
      <w:r w:rsidRPr="005B33A1">
        <w:rPr>
          <w:i/>
          <w:iCs/>
        </w:rPr>
        <w:t>people</w:t>
      </w:r>
      <w:r w:rsidRPr="005B33A1">
        <w:t>.</w:t>
      </w:r>
      <w:r w:rsidR="003D640C" w:rsidRPr="005B33A1">
        <w:t xml:space="preserve"> </w:t>
      </w:r>
      <w:r w:rsidRPr="005B33A1">
        <w:t>The</w:t>
      </w:r>
      <w:r w:rsidR="003D640C" w:rsidRPr="005B33A1">
        <w:t xml:space="preserve"> </w:t>
      </w:r>
      <w:r w:rsidRPr="005B33A1">
        <w:t>Youth19</w:t>
      </w:r>
      <w:r w:rsidR="003D640C" w:rsidRPr="005B33A1">
        <w:t xml:space="preserve"> </w:t>
      </w:r>
      <w:r w:rsidRPr="005B33A1">
        <w:t>Research</w:t>
      </w:r>
      <w:r w:rsidR="003D640C" w:rsidRPr="005B33A1">
        <w:t xml:space="preserve"> </w:t>
      </w:r>
      <w:r w:rsidRPr="005B33A1">
        <w:t>Group</w:t>
      </w:r>
      <w:r w:rsidR="004D4891" w:rsidRPr="005B33A1">
        <w:t xml:space="preserve">. </w:t>
      </w:r>
      <w:hyperlink r:id="rId158" w:history="1">
        <w:r w:rsidR="009E094C" w:rsidRPr="005B33A1">
          <w:rPr>
            <w:rStyle w:val="Hyperlink"/>
            <w:rFonts w:ascii="Calibri" w:eastAsia="Calibri" w:hAnsi="Calibri" w:cs="Calibri"/>
          </w:rPr>
          <w:t>https://static1.squarespace.com/static/5bdbb75ccef37259122e59aa/t/60dd11a05fc4a74bf0de3e7a/1625100708894/Pacific+Rainbow+Youth19+Brief.pdf</w:t>
        </w:r>
      </w:hyperlink>
      <w:r w:rsidR="009E094C" w:rsidRPr="005B33A1">
        <w:rPr>
          <w:rFonts w:ascii="Calibri" w:eastAsia="Calibri" w:hAnsi="Calibri" w:cs="Calibri"/>
        </w:rPr>
        <w:t xml:space="preserve"> </w:t>
      </w:r>
    </w:p>
    <w:p w14:paraId="4F3D853B" w14:textId="1AFA2A42" w:rsidR="00F01386" w:rsidRPr="005B33A1" w:rsidRDefault="00F01386" w:rsidP="00E00167">
      <w:pPr>
        <w:pStyle w:val="Reference"/>
      </w:pPr>
      <w:r w:rsidRPr="005B33A1">
        <w:t>Transgender</w:t>
      </w:r>
      <w:r w:rsidR="003D640C" w:rsidRPr="005B33A1">
        <w:t xml:space="preserve"> </w:t>
      </w:r>
      <w:r w:rsidRPr="005B33A1">
        <w:t>Health</w:t>
      </w:r>
      <w:r w:rsidR="003D640C" w:rsidRPr="005B33A1">
        <w:t xml:space="preserve"> </w:t>
      </w:r>
      <w:r w:rsidRPr="005B33A1">
        <w:t>Research</w:t>
      </w:r>
      <w:r w:rsidR="003D640C" w:rsidRPr="005B33A1">
        <w:t xml:space="preserve"> </w:t>
      </w:r>
      <w:r w:rsidRPr="005B33A1">
        <w:t>Lab</w:t>
      </w:r>
      <w:r w:rsidR="0054291F" w:rsidRPr="005B33A1">
        <w:t>.</w:t>
      </w:r>
      <w:r w:rsidR="003D640C" w:rsidRPr="005B33A1">
        <w:t xml:space="preserve"> </w:t>
      </w:r>
      <w:r w:rsidRPr="005B33A1">
        <w:t>(2022).</w:t>
      </w:r>
      <w:r w:rsidR="003D640C" w:rsidRPr="005B33A1">
        <w:t xml:space="preserve"> </w:t>
      </w:r>
      <w:r w:rsidRPr="005B33A1">
        <w:rPr>
          <w:i/>
          <w:iCs/>
        </w:rPr>
        <w:t>What</w:t>
      </w:r>
      <w:r w:rsidR="003D640C" w:rsidRPr="005B33A1">
        <w:rPr>
          <w:i/>
          <w:iCs/>
        </w:rPr>
        <w:t xml:space="preserve"> </w:t>
      </w:r>
      <w:r w:rsidRPr="005B33A1">
        <w:rPr>
          <w:i/>
          <w:iCs/>
        </w:rPr>
        <w:t>Counting</w:t>
      </w:r>
      <w:r w:rsidR="003D640C" w:rsidRPr="005B33A1">
        <w:rPr>
          <w:i/>
          <w:iCs/>
        </w:rPr>
        <w:t xml:space="preserve"> </w:t>
      </w:r>
      <w:r w:rsidRPr="005B33A1">
        <w:rPr>
          <w:i/>
          <w:iCs/>
        </w:rPr>
        <w:t>Ourselves</w:t>
      </w:r>
      <w:r w:rsidR="003D640C" w:rsidRPr="005B33A1">
        <w:rPr>
          <w:i/>
          <w:iCs/>
        </w:rPr>
        <w:t xml:space="preserve"> </w:t>
      </w:r>
      <w:r w:rsidRPr="005B33A1">
        <w:rPr>
          <w:i/>
          <w:iCs/>
        </w:rPr>
        <w:t>tells</w:t>
      </w:r>
      <w:r w:rsidR="003D640C" w:rsidRPr="005B33A1">
        <w:rPr>
          <w:i/>
          <w:iCs/>
        </w:rPr>
        <w:t xml:space="preserve"> </w:t>
      </w:r>
      <w:r w:rsidRPr="005B33A1">
        <w:rPr>
          <w:i/>
          <w:iCs/>
        </w:rPr>
        <w:t>us</w:t>
      </w:r>
      <w:r w:rsidR="003D640C" w:rsidRPr="005B33A1">
        <w:rPr>
          <w:i/>
          <w:iCs/>
        </w:rPr>
        <w:t xml:space="preserve"> </w:t>
      </w:r>
      <w:r w:rsidRPr="005B33A1">
        <w:rPr>
          <w:i/>
          <w:iCs/>
        </w:rPr>
        <w:t>about</w:t>
      </w:r>
      <w:r w:rsidR="003D640C" w:rsidRPr="005B33A1">
        <w:rPr>
          <w:i/>
          <w:iCs/>
        </w:rPr>
        <w:t xml:space="preserve"> </w:t>
      </w:r>
      <w:r w:rsidRPr="005B33A1">
        <w:rPr>
          <w:i/>
          <w:iCs/>
        </w:rPr>
        <w:t>conversion</w:t>
      </w:r>
      <w:r w:rsidR="003D640C" w:rsidRPr="005B33A1">
        <w:rPr>
          <w:i/>
          <w:iCs/>
        </w:rPr>
        <w:t xml:space="preserve"> </w:t>
      </w:r>
      <w:r w:rsidRPr="005B33A1">
        <w:rPr>
          <w:i/>
          <w:iCs/>
        </w:rPr>
        <w:t>practices</w:t>
      </w:r>
      <w:r w:rsidRPr="005B33A1">
        <w:t>.</w:t>
      </w:r>
      <w:r w:rsidR="003D640C" w:rsidRPr="005B33A1">
        <w:t xml:space="preserve"> </w:t>
      </w:r>
      <w:hyperlink r:id="rId159" w:history="1">
        <w:r w:rsidR="0054291F" w:rsidRPr="005B33A1">
          <w:rPr>
            <w:rStyle w:val="Hyperlink"/>
          </w:rPr>
          <w:t>https://countingourselves.nz/wp-content/uploads/2022/08/FINAL_Counting-Ourselves_Fact-Sheet_Conversion-Practices_Online.pdf</w:t>
        </w:r>
      </w:hyperlink>
      <w:r w:rsidR="0054291F" w:rsidRPr="005B33A1">
        <w:t xml:space="preserve"> </w:t>
      </w:r>
      <w:r w:rsidR="003D640C" w:rsidRPr="005B33A1">
        <w:t xml:space="preserve"> </w:t>
      </w:r>
    </w:p>
    <w:p w14:paraId="062D1B3A" w14:textId="313564C9" w:rsidR="00F01386" w:rsidRPr="00BB6220" w:rsidRDefault="00F01386" w:rsidP="00E00167">
      <w:pPr>
        <w:pStyle w:val="Reference"/>
      </w:pPr>
      <w:r w:rsidRPr="005B33A1">
        <w:t>Treharne,</w:t>
      </w:r>
      <w:r w:rsidR="003D640C" w:rsidRPr="005B33A1">
        <w:t xml:space="preserve"> </w:t>
      </w:r>
      <w:r w:rsidRPr="005B33A1">
        <w:t>G.</w:t>
      </w:r>
      <w:r w:rsidR="00FB2A84" w:rsidRPr="005B33A1">
        <w:t xml:space="preserve"> </w:t>
      </w:r>
      <w:r w:rsidRPr="005B33A1">
        <w:t>J.,</w:t>
      </w:r>
      <w:r w:rsidR="003D640C">
        <w:t xml:space="preserve"> </w:t>
      </w:r>
      <w:r w:rsidRPr="00BB6220">
        <w:t>Carroll,</w:t>
      </w:r>
      <w:r w:rsidR="003D640C">
        <w:t xml:space="preserve"> </w:t>
      </w:r>
      <w:r w:rsidRPr="00BB6220">
        <w:t>R.,</w:t>
      </w:r>
      <w:r w:rsidR="003D640C">
        <w:t xml:space="preserve"> </w:t>
      </w:r>
      <w:r w:rsidRPr="00BB6220">
        <w:t>Tan,</w:t>
      </w:r>
      <w:r w:rsidR="003D640C">
        <w:t xml:space="preserve"> </w:t>
      </w:r>
      <w:r w:rsidRPr="00BB6220">
        <w:t>K.</w:t>
      </w:r>
      <w:r w:rsidR="00FB2A84">
        <w:t xml:space="preserve"> </w:t>
      </w:r>
      <w:r w:rsidRPr="00BB6220">
        <w:t>K.</w:t>
      </w:r>
      <w:r w:rsidR="00FB2A84">
        <w:t xml:space="preserve"> </w:t>
      </w:r>
      <w:r w:rsidRPr="00BB6220">
        <w:t>H.,</w:t>
      </w:r>
      <w:r w:rsidR="003D640C">
        <w:t xml:space="preserve"> </w:t>
      </w:r>
      <w:r w:rsidRPr="00BB6220">
        <w:t>&amp;</w:t>
      </w:r>
      <w:r w:rsidR="003D640C">
        <w:t xml:space="preserve"> </w:t>
      </w:r>
      <w:r w:rsidRPr="00BB6220">
        <w:t>Veale,</w:t>
      </w:r>
      <w:r w:rsidR="003D640C">
        <w:t xml:space="preserve"> </w:t>
      </w:r>
      <w:r w:rsidRPr="00BB6220">
        <w:t>J.</w:t>
      </w:r>
      <w:r w:rsidR="003D640C">
        <w:t xml:space="preserve"> </w:t>
      </w:r>
      <w:r w:rsidRPr="00BB6220">
        <w:t>(2022).</w:t>
      </w:r>
      <w:r w:rsidR="003D640C">
        <w:t xml:space="preserve"> </w:t>
      </w:r>
      <w:r w:rsidRPr="00BB6220">
        <w:t>Supportive</w:t>
      </w:r>
      <w:r w:rsidR="003D640C">
        <w:t xml:space="preserve"> </w:t>
      </w:r>
      <w:r w:rsidRPr="00BB6220">
        <w:t>interactions</w:t>
      </w:r>
      <w:r w:rsidR="003D640C">
        <w:t xml:space="preserve"> </w:t>
      </w:r>
      <w:r w:rsidRPr="00BB6220">
        <w:t>with</w:t>
      </w:r>
      <w:r w:rsidR="003D640C">
        <w:t xml:space="preserve"> </w:t>
      </w:r>
      <w:r w:rsidRPr="00BB6220">
        <w:t>primary</w:t>
      </w:r>
      <w:r w:rsidR="003D640C">
        <w:t xml:space="preserve"> </w:t>
      </w:r>
      <w:r w:rsidRPr="00BB6220">
        <w:t>care</w:t>
      </w:r>
      <w:r w:rsidR="003D640C">
        <w:t xml:space="preserve"> </w:t>
      </w:r>
      <w:r w:rsidRPr="00BB6220">
        <w:t>doctors</w:t>
      </w:r>
      <w:r w:rsidR="003D640C">
        <w:t xml:space="preserve"> </w:t>
      </w:r>
      <w:r w:rsidRPr="00BB6220">
        <w:t>are</w:t>
      </w:r>
      <w:r w:rsidR="003D640C">
        <w:t xml:space="preserve"> </w:t>
      </w:r>
      <w:r w:rsidRPr="00BB6220">
        <w:t>associated</w:t>
      </w:r>
      <w:r w:rsidR="003D640C">
        <w:t xml:space="preserve"> </w:t>
      </w:r>
      <w:r w:rsidRPr="00BB6220">
        <w:t>with</w:t>
      </w:r>
      <w:r w:rsidR="003D640C">
        <w:t xml:space="preserve"> </w:t>
      </w:r>
      <w:r w:rsidRPr="00BB6220">
        <w:t>better</w:t>
      </w:r>
      <w:r w:rsidR="003D640C">
        <w:t xml:space="preserve"> </w:t>
      </w:r>
      <w:r w:rsidRPr="00BB6220">
        <w:t>mental</w:t>
      </w:r>
      <w:r w:rsidR="003D640C">
        <w:t xml:space="preserve"> </w:t>
      </w:r>
      <w:r w:rsidRPr="00BB6220">
        <w:t>health</w:t>
      </w:r>
      <w:r w:rsidR="003D640C">
        <w:t xml:space="preserve"> </w:t>
      </w:r>
      <w:r w:rsidRPr="00BB6220">
        <w:t>among</w:t>
      </w:r>
      <w:r w:rsidR="003D640C">
        <w:t xml:space="preserve"> </w:t>
      </w:r>
      <w:r w:rsidRPr="00BB6220">
        <w:t>transgender</w:t>
      </w:r>
      <w:r w:rsidR="003D640C">
        <w:t xml:space="preserve"> </w:t>
      </w:r>
      <w:r w:rsidRPr="00BB6220">
        <w:t>people</w:t>
      </w:r>
      <w:r w:rsidR="00FB2A84">
        <w:t>: Results of a nationwide survey in Aotearoa/New Zealand</w:t>
      </w:r>
      <w:r w:rsidRPr="00BB6220">
        <w:rPr>
          <w:i/>
          <w:iCs/>
        </w:rPr>
        <w:t>.</w:t>
      </w:r>
      <w:r w:rsidR="003D640C">
        <w:t xml:space="preserve"> </w:t>
      </w:r>
      <w:r w:rsidR="00FB2A84">
        <w:rPr>
          <w:i/>
          <w:iCs/>
        </w:rPr>
        <w:t>Family Practice</w:t>
      </w:r>
      <w:r w:rsidR="00FB2A84">
        <w:t xml:space="preserve">, </w:t>
      </w:r>
      <w:r w:rsidR="00FB2A84">
        <w:rPr>
          <w:i/>
          <w:iCs/>
        </w:rPr>
        <w:t>39</w:t>
      </w:r>
      <w:r w:rsidR="00FB2A84">
        <w:t xml:space="preserve">(5), 834–842. </w:t>
      </w:r>
      <w:hyperlink r:id="rId160" w:history="1">
        <w:r w:rsidR="0096683F" w:rsidRPr="008C4900">
          <w:rPr>
            <w:rStyle w:val="Hyperlink"/>
          </w:rPr>
          <w:t>https://doi.org/10.1093/fampra/cmac005</w:t>
        </w:r>
      </w:hyperlink>
      <w:r w:rsidR="0096683F">
        <w:t xml:space="preserve"> </w:t>
      </w:r>
    </w:p>
    <w:p w14:paraId="0B7A3E0A" w14:textId="255CEFE2" w:rsidR="00F01386" w:rsidRPr="00BB6220" w:rsidRDefault="00F01386" w:rsidP="00E00167">
      <w:pPr>
        <w:pStyle w:val="Reference"/>
      </w:pPr>
      <w:r w:rsidRPr="005B33A1">
        <w:t>Turban</w:t>
      </w:r>
      <w:r w:rsidRPr="00BB6220">
        <w:t>,</w:t>
      </w:r>
      <w:r w:rsidR="003D640C">
        <w:t xml:space="preserve"> </w:t>
      </w:r>
      <w:r w:rsidRPr="00BB6220">
        <w:t>J.,</w:t>
      </w:r>
      <w:r w:rsidR="003D640C">
        <w:t xml:space="preserve"> </w:t>
      </w:r>
      <w:r w:rsidRPr="00BB6220">
        <w:t>Beckwith,</w:t>
      </w:r>
      <w:r w:rsidR="003D640C">
        <w:t xml:space="preserve"> </w:t>
      </w:r>
      <w:r w:rsidRPr="00BB6220">
        <w:t>N.,</w:t>
      </w:r>
      <w:r w:rsidR="003D640C">
        <w:t xml:space="preserve"> </w:t>
      </w:r>
      <w:r w:rsidRPr="00BB6220">
        <w:t>Reisner,</w:t>
      </w:r>
      <w:r w:rsidR="003D640C">
        <w:t xml:space="preserve"> </w:t>
      </w:r>
      <w:r w:rsidRPr="00BB6220">
        <w:t>S.,</w:t>
      </w:r>
      <w:r w:rsidR="003D640C">
        <w:t xml:space="preserve"> </w:t>
      </w:r>
      <w:r w:rsidRPr="00BB6220">
        <w:t>&amp;</w:t>
      </w:r>
      <w:r w:rsidR="003D640C">
        <w:t xml:space="preserve"> </w:t>
      </w:r>
      <w:r w:rsidRPr="00BB6220">
        <w:t>Keuroghlian,</w:t>
      </w:r>
      <w:r w:rsidR="003D640C">
        <w:t xml:space="preserve"> </w:t>
      </w:r>
      <w:r w:rsidRPr="00BB6220">
        <w:t>A.</w:t>
      </w:r>
      <w:r w:rsidR="003D640C">
        <w:t xml:space="preserve"> </w:t>
      </w:r>
      <w:r w:rsidRPr="00BB6220">
        <w:t>(2020).</w:t>
      </w:r>
      <w:r w:rsidR="003D640C">
        <w:t xml:space="preserve"> </w:t>
      </w:r>
      <w:r w:rsidRPr="00BB6220">
        <w:t>Association</w:t>
      </w:r>
      <w:r w:rsidR="003D640C">
        <w:t xml:space="preserve"> </w:t>
      </w:r>
      <w:r w:rsidRPr="00BB6220">
        <w:t>between</w:t>
      </w:r>
      <w:r w:rsidR="003D640C">
        <w:t xml:space="preserve"> </w:t>
      </w:r>
      <w:r w:rsidRPr="00BB6220">
        <w:t>recalled</w:t>
      </w:r>
      <w:r w:rsidR="003D640C">
        <w:t xml:space="preserve"> </w:t>
      </w:r>
      <w:r w:rsidRPr="00BB6220">
        <w:t>exposure</w:t>
      </w:r>
      <w:r w:rsidR="003D640C">
        <w:t xml:space="preserve"> </w:t>
      </w:r>
      <w:r w:rsidRPr="00BB6220">
        <w:t>to</w:t>
      </w:r>
      <w:r w:rsidR="003D640C">
        <w:t xml:space="preserve"> </w:t>
      </w:r>
      <w:r w:rsidRPr="00BB6220">
        <w:t>gender</w:t>
      </w:r>
      <w:r w:rsidR="003D640C">
        <w:t xml:space="preserve"> </w:t>
      </w:r>
      <w:r w:rsidRPr="00BB6220">
        <w:t>identity</w:t>
      </w:r>
      <w:r w:rsidR="003D640C">
        <w:t xml:space="preserve"> </w:t>
      </w:r>
      <w:r w:rsidRPr="00BB6220">
        <w:t>conversion</w:t>
      </w:r>
      <w:r w:rsidR="003D640C">
        <w:t xml:space="preserve"> </w:t>
      </w:r>
      <w:r w:rsidRPr="00BB6220">
        <w:t>efforts</w:t>
      </w:r>
      <w:r w:rsidR="003D640C">
        <w:t xml:space="preserve"> </w:t>
      </w:r>
      <w:r w:rsidRPr="00BB6220">
        <w:t>and</w:t>
      </w:r>
      <w:r w:rsidR="003D640C">
        <w:t xml:space="preserve"> </w:t>
      </w:r>
      <w:r w:rsidRPr="00BB6220">
        <w:t>psychological</w:t>
      </w:r>
      <w:r w:rsidR="003D640C">
        <w:t xml:space="preserve"> </w:t>
      </w:r>
      <w:r w:rsidRPr="00BB6220">
        <w:t>distress</w:t>
      </w:r>
      <w:r w:rsidR="003D640C">
        <w:t xml:space="preserve"> </w:t>
      </w:r>
      <w:r w:rsidRPr="00BB6220">
        <w:t>and</w:t>
      </w:r>
      <w:r w:rsidR="003D640C">
        <w:t xml:space="preserve"> </w:t>
      </w:r>
      <w:r w:rsidRPr="00BB6220">
        <w:t>suicide</w:t>
      </w:r>
      <w:r w:rsidR="003D640C">
        <w:t xml:space="preserve"> </w:t>
      </w:r>
      <w:r w:rsidRPr="00BB6220">
        <w:t>attempts</w:t>
      </w:r>
      <w:r w:rsidR="003D640C">
        <w:t xml:space="preserve"> </w:t>
      </w:r>
      <w:r w:rsidRPr="00BB6220">
        <w:t>among</w:t>
      </w:r>
      <w:r w:rsidR="003D640C">
        <w:t xml:space="preserve"> </w:t>
      </w:r>
      <w:r w:rsidRPr="00BB6220">
        <w:t>transgender</w:t>
      </w:r>
      <w:r w:rsidR="003D640C">
        <w:t xml:space="preserve"> </w:t>
      </w:r>
      <w:r w:rsidRPr="00BB6220">
        <w:t>adults.</w:t>
      </w:r>
      <w:r w:rsidR="003D640C">
        <w:t xml:space="preserve"> </w:t>
      </w:r>
      <w:r w:rsidRPr="00BB6220">
        <w:rPr>
          <w:i/>
          <w:iCs/>
        </w:rPr>
        <w:t>JAMA</w:t>
      </w:r>
      <w:r w:rsidR="003D640C">
        <w:rPr>
          <w:i/>
          <w:iCs/>
        </w:rPr>
        <w:t xml:space="preserve"> </w:t>
      </w:r>
      <w:r w:rsidRPr="00BB6220">
        <w:rPr>
          <w:i/>
          <w:iCs/>
        </w:rPr>
        <w:t>Psychiatry,</w:t>
      </w:r>
      <w:r w:rsidR="003D640C">
        <w:rPr>
          <w:i/>
          <w:iCs/>
        </w:rPr>
        <w:t xml:space="preserve"> </w:t>
      </w:r>
      <w:r w:rsidRPr="00BB6220">
        <w:rPr>
          <w:i/>
          <w:iCs/>
        </w:rPr>
        <w:t>77</w:t>
      </w:r>
      <w:r w:rsidRPr="00BB6220">
        <w:t>(1)</w:t>
      </w:r>
      <w:r w:rsidR="00303F25">
        <w:t xml:space="preserve">, </w:t>
      </w:r>
      <w:r w:rsidRPr="00BB6220">
        <w:t>68</w:t>
      </w:r>
      <w:r w:rsidR="00303F25">
        <w:t>–</w:t>
      </w:r>
      <w:r w:rsidRPr="00BB6220">
        <w:t>76.</w:t>
      </w:r>
      <w:r w:rsidR="003D640C">
        <w:t xml:space="preserve"> </w:t>
      </w:r>
      <w:hyperlink r:id="rId161" w:history="1">
        <w:r w:rsidR="00563FA3" w:rsidRPr="00F530CF">
          <w:rPr>
            <w:rStyle w:val="Hyperlink"/>
          </w:rPr>
          <w:t>https://doi.org/10.1001/jamapsychiatry.2019.2285</w:t>
        </w:r>
      </w:hyperlink>
      <w:r w:rsidR="0096683F">
        <w:t xml:space="preserve"> </w:t>
      </w:r>
      <w:r w:rsidR="003D640C">
        <w:t xml:space="preserve"> </w:t>
      </w:r>
    </w:p>
    <w:p w14:paraId="4A8589F8" w14:textId="7D7B9429" w:rsidR="00F62AB6" w:rsidRPr="005B33A1" w:rsidRDefault="00F62AB6" w:rsidP="00E00167">
      <w:pPr>
        <w:pStyle w:val="Reference"/>
        <w:rPr>
          <w:rFonts w:ascii="Calibri" w:hAnsi="Calibri" w:cs="Calibri"/>
        </w:rPr>
      </w:pPr>
      <w:r w:rsidRPr="005B33A1">
        <w:rPr>
          <w:rFonts w:ascii="Calibri" w:hAnsi="Calibri" w:cs="Calibri"/>
        </w:rPr>
        <w:t xml:space="preserve">United Nations (General Assembly). 2023. </w:t>
      </w:r>
      <w:r w:rsidRPr="005B33A1">
        <w:rPr>
          <w:rFonts w:ascii="Calibri" w:hAnsi="Calibri" w:cs="Calibri"/>
          <w:i/>
          <w:iCs/>
        </w:rPr>
        <w:t>Report of the Independent Expert on protection against violence and discrimination based on sexual orientation and gender identity, Victor Madrigal-Borloz</w:t>
      </w:r>
      <w:r w:rsidRPr="005B33A1">
        <w:rPr>
          <w:rFonts w:ascii="Calibri" w:hAnsi="Calibri" w:cs="Calibri"/>
        </w:rPr>
        <w:t xml:space="preserve">. </w:t>
      </w:r>
      <w:hyperlink r:id="rId162" w:history="1">
        <w:r w:rsidRPr="005B33A1">
          <w:rPr>
            <w:rStyle w:val="Hyperlink"/>
          </w:rPr>
          <w:t>https://reliefweb.int/attachments/0afe4010-110c-4e3d-bb05-9f236d8331e1/Test.pdf</w:t>
        </w:r>
      </w:hyperlink>
      <w:r w:rsidRPr="005B33A1">
        <w:t xml:space="preserve"> </w:t>
      </w:r>
    </w:p>
    <w:p w14:paraId="000ACD95" w14:textId="08EFE8A7" w:rsidR="00F62AB6" w:rsidRPr="005B33A1" w:rsidRDefault="00F62AB6" w:rsidP="00E83F67">
      <w:pPr>
        <w:pStyle w:val="Reference"/>
      </w:pPr>
      <w:r w:rsidRPr="005B33A1">
        <w:t xml:space="preserve">United Nations Committee on the Rights of Persons with Disabilities. (2022) CRPD/C/GC/8: General comment No. 8 (2022) on the right of persons with disabilities to work and employment. </w:t>
      </w:r>
      <w:hyperlink r:id="rId163" w:history="1">
        <w:r w:rsidRPr="005B33A1">
          <w:rPr>
            <w:rStyle w:val="Hyperlink"/>
          </w:rPr>
          <w:t>https://www.ohchr.org/en/documents/general-comments-and-recommendations/crpdcgc8-general-comment-no-8-2022-right-persons</w:t>
        </w:r>
      </w:hyperlink>
      <w:r w:rsidRPr="005B33A1">
        <w:t xml:space="preserve">  </w:t>
      </w:r>
    </w:p>
    <w:p w14:paraId="397D827B" w14:textId="77777777" w:rsidR="00F62AB6" w:rsidRDefault="00F62AB6" w:rsidP="00E00167">
      <w:pPr>
        <w:pStyle w:val="Reference"/>
      </w:pPr>
      <w:r w:rsidRPr="005B33A1">
        <w:t>United Nations Committee on the</w:t>
      </w:r>
      <w:r>
        <w:t xml:space="preserve"> Rights of the Child. (2003). </w:t>
      </w:r>
      <w:r w:rsidRPr="00111B83">
        <w:rPr>
          <w:i/>
          <w:iCs/>
        </w:rPr>
        <w:t xml:space="preserve">General </w:t>
      </w:r>
      <w:r>
        <w:rPr>
          <w:i/>
          <w:iCs/>
        </w:rPr>
        <w:t>c</w:t>
      </w:r>
      <w:r w:rsidRPr="00111B83">
        <w:rPr>
          <w:i/>
          <w:iCs/>
        </w:rPr>
        <w:t>omment No. 5: General measures of implementation of the Convention on the Rights of the Child (arts. 4, 42 and 44, para. 6)</w:t>
      </w:r>
      <w:r>
        <w:t xml:space="preserve">. </w:t>
      </w:r>
      <w:hyperlink r:id="rId164" w:history="1">
        <w:r w:rsidRPr="00B13BFC">
          <w:rPr>
            <w:rStyle w:val="Hyperlink"/>
          </w:rPr>
          <w:t>https://docstore.ohchr.org/SelfServices/FilesHandler.ashx?enc=6QkG1d%2FPPRiCAqhKb7yhsiQql8gX5Zxh0cQqSRzx6Zd2%2FQRsDnCTcaruSeZhPr2vUevjbn6t6GSi1fheVp%2Bj5HTLU2Ub%2FPZZtQWn0jExFVnWuhiBbqgAj0dWBoFGbK0c</w:t>
        </w:r>
      </w:hyperlink>
      <w:r>
        <w:t xml:space="preserve"> </w:t>
      </w:r>
    </w:p>
    <w:p w14:paraId="1F0368C0" w14:textId="77777777" w:rsidR="00F62AB6" w:rsidRDefault="00F62AB6" w:rsidP="008E6A08">
      <w:pPr>
        <w:pStyle w:val="Reference"/>
      </w:pPr>
      <w:r w:rsidRPr="005B33A1">
        <w:t>United Nations Committee</w:t>
      </w:r>
      <w:r>
        <w:t xml:space="preserve"> on the Rights of </w:t>
      </w:r>
      <w:r w:rsidRPr="008E6A08">
        <w:t>the</w:t>
      </w:r>
      <w:r>
        <w:t xml:space="preserve"> Child. (2013). </w:t>
      </w:r>
      <w:r w:rsidRPr="007B139B">
        <w:rPr>
          <w:i/>
          <w:iCs/>
        </w:rPr>
        <w:t>General comment No. 14 (2013) on the right of the child to have his or her best interests taken as a primary consideration (art. 3, para. 1)</w:t>
      </w:r>
      <w:r>
        <w:t xml:space="preserve">. </w:t>
      </w:r>
      <w:hyperlink r:id="rId165" w:history="1">
        <w:r w:rsidRPr="00B13BFC">
          <w:rPr>
            <w:rStyle w:val="Hyperlink"/>
          </w:rPr>
          <w:t>https://www2.ohchr.org/english/bodies/crc/docs/gc/crc_c_gc_14_eng.pdf</w:t>
        </w:r>
      </w:hyperlink>
      <w:r>
        <w:t xml:space="preserve"> </w:t>
      </w:r>
    </w:p>
    <w:p w14:paraId="1A59D429" w14:textId="224A196E" w:rsidR="00F62AB6" w:rsidRPr="005B33A1" w:rsidRDefault="00F62AB6" w:rsidP="00E00167">
      <w:pPr>
        <w:pStyle w:val="Reference"/>
      </w:pPr>
      <w:r w:rsidRPr="005B33A1">
        <w:lastRenderedPageBreak/>
        <w:t xml:space="preserve">United Nations Human Rights Council. (2020). </w:t>
      </w:r>
      <w:r w:rsidRPr="005B33A1">
        <w:rPr>
          <w:i/>
          <w:iCs/>
        </w:rPr>
        <w:t>Practices of so‐called “conversion therapy”: Report of the Independent Expert on protection against violence and discrimination based on sexual orientation and gender identity</w:t>
      </w:r>
      <w:r w:rsidRPr="005B33A1">
        <w:t xml:space="preserve">. </w:t>
      </w:r>
      <w:hyperlink r:id="rId166" w:history="1">
        <w:r w:rsidRPr="005B33A1">
          <w:rPr>
            <w:rStyle w:val="Hyperlink"/>
          </w:rPr>
          <w:t>https://digitallibrary.un.org/record/3870697/files/A_HRC_44_53-EN.pdf?ln=en</w:t>
        </w:r>
      </w:hyperlink>
      <w:r w:rsidRPr="005B33A1">
        <w:t xml:space="preserve">  </w:t>
      </w:r>
    </w:p>
    <w:p w14:paraId="032CFA92" w14:textId="77777777" w:rsidR="00F62AB6" w:rsidRPr="005B33A1" w:rsidRDefault="00F62AB6" w:rsidP="00C75AA3">
      <w:pPr>
        <w:pStyle w:val="Reference"/>
      </w:pPr>
      <w:r w:rsidRPr="005B33A1">
        <w:t xml:space="preserve">United Nations Human Rights Council. (2024). </w:t>
      </w:r>
      <w:r w:rsidRPr="005B33A1">
        <w:rPr>
          <w:i/>
          <w:iCs/>
        </w:rPr>
        <w:t>Combating discrimination, violence and harmful practices against intersex persons</w:t>
      </w:r>
      <w:r w:rsidRPr="005B33A1">
        <w:t xml:space="preserve">. </w:t>
      </w:r>
      <w:hyperlink r:id="rId167" w:history="1">
        <w:r w:rsidRPr="005B33A1">
          <w:rPr>
            <w:rStyle w:val="Hyperlink"/>
          </w:rPr>
          <w:t>https://documents.un.org/doc/undoc/ltd/g24/048/06/pdf/g2404806.pdf?token=yJMHPb27mXVeg5q7sa&amp;fe=true</w:t>
        </w:r>
      </w:hyperlink>
      <w:r w:rsidRPr="005B33A1">
        <w:t xml:space="preserve"> </w:t>
      </w:r>
    </w:p>
    <w:p w14:paraId="6F956610" w14:textId="0FBE640F" w:rsidR="00F62AB6" w:rsidRPr="005B33A1" w:rsidRDefault="00F62AB6" w:rsidP="00E00167">
      <w:pPr>
        <w:pStyle w:val="Reference"/>
      </w:pPr>
      <w:r w:rsidRPr="005B33A1">
        <w:t xml:space="preserve">United Nations Human Rights Office of the High Commissioner. (n.d.). </w:t>
      </w:r>
      <w:r w:rsidRPr="005B33A1">
        <w:rPr>
          <w:i/>
          <w:iCs/>
        </w:rPr>
        <w:t>Fact sheet: Intersex</w:t>
      </w:r>
      <w:r w:rsidRPr="005B33A1">
        <w:t xml:space="preserve">. </w:t>
      </w:r>
      <w:hyperlink r:id="rId168" w:history="1">
        <w:r w:rsidRPr="005B33A1">
          <w:rPr>
            <w:rStyle w:val="Hyperlink"/>
          </w:rPr>
          <w:t>https://www.ohchr.org/sites/default/files/Documents/Issues/Discrimination/LGBT/FactSheets/UNFE_FactSheet_Intersex_EN.pdf</w:t>
        </w:r>
      </w:hyperlink>
      <w:r w:rsidRPr="005B33A1">
        <w:t xml:space="preserve"> </w:t>
      </w:r>
    </w:p>
    <w:p w14:paraId="39A71A40" w14:textId="3F816838" w:rsidR="00F62AB6" w:rsidRDefault="00F62AB6" w:rsidP="00E00167">
      <w:pPr>
        <w:pStyle w:val="Reference"/>
      </w:pPr>
      <w:r w:rsidRPr="005B33A1">
        <w:t>United Nations Human Rights Special Procedures. (2023, Oct</w:t>
      </w:r>
      <w:r w:rsidR="009B3E37" w:rsidRPr="005B33A1">
        <w:t>ober</w:t>
      </w:r>
      <w:r w:rsidRPr="005B33A1">
        <w:t xml:space="preserve"> 27)</w:t>
      </w:r>
      <w:r w:rsidR="009B3E37" w:rsidRPr="005B33A1">
        <w:t>.</w:t>
      </w:r>
      <w:r w:rsidRPr="005B33A1">
        <w:t xml:space="preserve"> </w:t>
      </w:r>
      <w:r w:rsidRPr="005B33A1">
        <w:rPr>
          <w:i/>
          <w:iCs/>
        </w:rPr>
        <w:t xml:space="preserve">LGBT </w:t>
      </w:r>
      <w:r w:rsidR="009B3E37" w:rsidRPr="005B33A1">
        <w:rPr>
          <w:i/>
          <w:iCs/>
        </w:rPr>
        <w:t>p</w:t>
      </w:r>
      <w:r w:rsidRPr="005B33A1">
        <w:rPr>
          <w:i/>
          <w:iCs/>
        </w:rPr>
        <w:t xml:space="preserve">ersons with </w:t>
      </w:r>
      <w:r w:rsidR="009B3E37" w:rsidRPr="005B33A1">
        <w:rPr>
          <w:i/>
          <w:iCs/>
        </w:rPr>
        <w:t>d</w:t>
      </w:r>
      <w:r w:rsidRPr="005B33A1">
        <w:rPr>
          <w:i/>
          <w:iCs/>
        </w:rPr>
        <w:t>isabilities</w:t>
      </w:r>
      <w:r w:rsidRPr="005B33A1">
        <w:t xml:space="preserve">. </w:t>
      </w:r>
      <w:hyperlink r:id="rId169" w:history="1">
        <w:r w:rsidR="009B3E37" w:rsidRPr="005B33A1">
          <w:rPr>
            <w:rStyle w:val="Hyperlink"/>
          </w:rPr>
          <w:t>https://www.ohchr.org/sites/default/files/documents/issues/sexualorientation/statements/2023-10-24-joint-stm-SOGI-disabilities.pdf</w:t>
        </w:r>
      </w:hyperlink>
      <w:r w:rsidR="009B3E37">
        <w:t xml:space="preserve">  </w:t>
      </w:r>
    </w:p>
    <w:p w14:paraId="61AFB2F1" w14:textId="6287FD7D" w:rsidR="00F01386" w:rsidRPr="005B33A1" w:rsidRDefault="00F01386" w:rsidP="00E00167">
      <w:pPr>
        <w:pStyle w:val="Reference"/>
        <w:rPr>
          <w:rStyle w:val="Hyperlink"/>
          <w:rFonts w:ascii="Calibri" w:eastAsia="Calibri" w:hAnsi="Calibri" w:cs="Calibri"/>
        </w:rPr>
      </w:pPr>
      <w:r w:rsidRPr="005B33A1">
        <w:rPr>
          <w:rFonts w:ascii="Calibri" w:hAnsi="Calibri" w:cs="Calibri"/>
        </w:rPr>
        <w:t>Veale,</w:t>
      </w:r>
      <w:r w:rsidR="003D640C" w:rsidRPr="005B33A1">
        <w:rPr>
          <w:rFonts w:ascii="Calibri" w:hAnsi="Calibri" w:cs="Calibri"/>
        </w:rPr>
        <w:t xml:space="preserve"> </w:t>
      </w:r>
      <w:r w:rsidRPr="005B33A1">
        <w:rPr>
          <w:rFonts w:ascii="Calibri" w:hAnsi="Calibri" w:cs="Calibri"/>
        </w:rPr>
        <w:t>J.,</w:t>
      </w:r>
      <w:r w:rsidR="003D640C" w:rsidRPr="005B33A1">
        <w:rPr>
          <w:rFonts w:ascii="Calibri" w:hAnsi="Calibri" w:cs="Calibri"/>
        </w:rPr>
        <w:t xml:space="preserve"> </w:t>
      </w:r>
      <w:r w:rsidRPr="005B33A1">
        <w:rPr>
          <w:rFonts w:ascii="Calibri" w:hAnsi="Calibri" w:cs="Calibri"/>
        </w:rPr>
        <w:t>Byrne,</w:t>
      </w:r>
      <w:r w:rsidR="003D640C" w:rsidRPr="005B33A1">
        <w:rPr>
          <w:rFonts w:ascii="Calibri" w:hAnsi="Calibri" w:cs="Calibri"/>
        </w:rPr>
        <w:t xml:space="preserve"> </w:t>
      </w:r>
      <w:r w:rsidRPr="005B33A1">
        <w:rPr>
          <w:rFonts w:ascii="Calibri" w:hAnsi="Calibri" w:cs="Calibri"/>
        </w:rPr>
        <w:t>J.,</w:t>
      </w:r>
      <w:r w:rsidR="003D640C" w:rsidRPr="005B33A1">
        <w:rPr>
          <w:rFonts w:ascii="Calibri" w:hAnsi="Calibri" w:cs="Calibri"/>
        </w:rPr>
        <w:t xml:space="preserve"> </w:t>
      </w:r>
      <w:r w:rsidRPr="005B33A1">
        <w:rPr>
          <w:rFonts w:ascii="Calibri" w:hAnsi="Calibri" w:cs="Calibri"/>
        </w:rPr>
        <w:t>Tan,</w:t>
      </w:r>
      <w:r w:rsidR="003D640C" w:rsidRPr="005B33A1">
        <w:rPr>
          <w:rFonts w:ascii="Calibri" w:hAnsi="Calibri" w:cs="Calibri"/>
        </w:rPr>
        <w:t xml:space="preserve"> </w:t>
      </w:r>
      <w:r w:rsidRPr="005B33A1">
        <w:rPr>
          <w:rFonts w:ascii="Calibri" w:hAnsi="Calibri" w:cs="Calibri"/>
        </w:rPr>
        <w:t>K.,</w:t>
      </w:r>
      <w:r w:rsidR="003D640C" w:rsidRPr="005B33A1">
        <w:rPr>
          <w:rFonts w:ascii="Calibri" w:hAnsi="Calibri" w:cs="Calibri"/>
        </w:rPr>
        <w:t xml:space="preserve"> </w:t>
      </w:r>
      <w:r w:rsidRPr="005B33A1">
        <w:rPr>
          <w:rFonts w:ascii="Calibri" w:hAnsi="Calibri" w:cs="Calibri"/>
        </w:rPr>
        <w:t>Guy,</w:t>
      </w:r>
      <w:r w:rsidR="003D640C" w:rsidRPr="005B33A1">
        <w:rPr>
          <w:rFonts w:ascii="Calibri" w:hAnsi="Calibri" w:cs="Calibri"/>
        </w:rPr>
        <w:t xml:space="preserve"> </w:t>
      </w:r>
      <w:r w:rsidRPr="005B33A1">
        <w:rPr>
          <w:rFonts w:ascii="Calibri" w:hAnsi="Calibri" w:cs="Calibri"/>
        </w:rPr>
        <w:t>S.,</w:t>
      </w:r>
      <w:r w:rsidR="003D640C" w:rsidRPr="005B33A1">
        <w:rPr>
          <w:rFonts w:ascii="Calibri" w:hAnsi="Calibri" w:cs="Calibri"/>
        </w:rPr>
        <w:t xml:space="preserve"> </w:t>
      </w:r>
      <w:r w:rsidRPr="005B33A1">
        <w:rPr>
          <w:rFonts w:ascii="Calibri" w:hAnsi="Calibri" w:cs="Calibri"/>
        </w:rPr>
        <w:t>Yee,</w:t>
      </w:r>
      <w:r w:rsidR="003D640C" w:rsidRPr="005B33A1">
        <w:rPr>
          <w:rFonts w:ascii="Calibri" w:hAnsi="Calibri" w:cs="Calibri"/>
        </w:rPr>
        <w:t xml:space="preserve"> </w:t>
      </w:r>
      <w:r w:rsidRPr="005B33A1">
        <w:rPr>
          <w:rFonts w:ascii="Calibri" w:hAnsi="Calibri" w:cs="Calibri"/>
        </w:rPr>
        <w:t>A.,</w:t>
      </w:r>
      <w:r w:rsidR="003D640C" w:rsidRPr="005B33A1">
        <w:rPr>
          <w:rFonts w:ascii="Calibri" w:hAnsi="Calibri" w:cs="Calibri"/>
        </w:rPr>
        <w:t xml:space="preserve"> </w:t>
      </w:r>
      <w:r w:rsidRPr="005B33A1">
        <w:rPr>
          <w:rFonts w:ascii="Calibri" w:hAnsi="Calibri" w:cs="Calibri"/>
        </w:rPr>
        <w:t>Nopera,</w:t>
      </w:r>
      <w:r w:rsidR="003D640C" w:rsidRPr="005B33A1">
        <w:rPr>
          <w:rFonts w:ascii="Calibri" w:hAnsi="Calibri" w:cs="Calibri"/>
        </w:rPr>
        <w:t xml:space="preserve"> </w:t>
      </w:r>
      <w:r w:rsidRPr="005B33A1">
        <w:rPr>
          <w:rFonts w:ascii="Calibri" w:hAnsi="Calibri" w:cs="Calibri"/>
        </w:rPr>
        <w:t>T.,</w:t>
      </w:r>
      <w:r w:rsidR="003D640C" w:rsidRPr="005B33A1">
        <w:rPr>
          <w:rFonts w:ascii="Calibri" w:hAnsi="Calibri" w:cs="Calibri"/>
        </w:rPr>
        <w:t xml:space="preserve"> </w:t>
      </w:r>
      <w:r w:rsidRPr="005B33A1">
        <w:rPr>
          <w:rFonts w:ascii="Calibri" w:hAnsi="Calibri" w:cs="Calibri"/>
        </w:rPr>
        <w:t>&amp;</w:t>
      </w:r>
      <w:r w:rsidR="003D640C" w:rsidRPr="005B33A1">
        <w:rPr>
          <w:rFonts w:ascii="Calibri" w:hAnsi="Calibri" w:cs="Calibri"/>
        </w:rPr>
        <w:t xml:space="preserve"> </w:t>
      </w:r>
      <w:r w:rsidRPr="005B33A1">
        <w:rPr>
          <w:rFonts w:ascii="Calibri" w:hAnsi="Calibri" w:cs="Calibri"/>
        </w:rPr>
        <w:t>Bentham,</w:t>
      </w:r>
      <w:r w:rsidR="003D640C" w:rsidRPr="005B33A1">
        <w:rPr>
          <w:rFonts w:ascii="Calibri" w:hAnsi="Calibri" w:cs="Calibri"/>
        </w:rPr>
        <w:t xml:space="preserve"> </w:t>
      </w:r>
      <w:r w:rsidRPr="005B33A1">
        <w:rPr>
          <w:rFonts w:ascii="Calibri" w:hAnsi="Calibri" w:cs="Calibri"/>
        </w:rPr>
        <w:t>R.</w:t>
      </w:r>
      <w:r w:rsidR="003D640C" w:rsidRPr="005B33A1">
        <w:rPr>
          <w:rFonts w:ascii="Calibri" w:hAnsi="Calibri" w:cs="Calibri"/>
        </w:rPr>
        <w:t xml:space="preserve"> </w:t>
      </w:r>
      <w:r w:rsidRPr="005B33A1">
        <w:rPr>
          <w:rFonts w:ascii="Calibri" w:hAnsi="Calibri" w:cs="Calibri"/>
        </w:rPr>
        <w:t>(2019).</w:t>
      </w:r>
      <w:r w:rsidR="003D640C" w:rsidRPr="005B33A1">
        <w:rPr>
          <w:rFonts w:ascii="Calibri" w:hAnsi="Calibri" w:cs="Calibri"/>
        </w:rPr>
        <w:t xml:space="preserve"> </w:t>
      </w:r>
      <w:r w:rsidRPr="005B33A1">
        <w:rPr>
          <w:rFonts w:ascii="Calibri" w:hAnsi="Calibri" w:cs="Calibri"/>
          <w:i/>
          <w:iCs/>
        </w:rPr>
        <w:t>Counting</w:t>
      </w:r>
      <w:r w:rsidR="003D640C" w:rsidRPr="005B33A1">
        <w:rPr>
          <w:rFonts w:ascii="Calibri" w:hAnsi="Calibri" w:cs="Calibri"/>
          <w:i/>
          <w:iCs/>
        </w:rPr>
        <w:t xml:space="preserve"> </w:t>
      </w:r>
      <w:r w:rsidR="003C3829" w:rsidRPr="005B33A1">
        <w:rPr>
          <w:rFonts w:ascii="Calibri" w:hAnsi="Calibri" w:cs="Calibri"/>
          <w:i/>
          <w:iCs/>
        </w:rPr>
        <w:t>o</w:t>
      </w:r>
      <w:r w:rsidRPr="005B33A1">
        <w:rPr>
          <w:rFonts w:ascii="Calibri" w:hAnsi="Calibri" w:cs="Calibri"/>
          <w:i/>
          <w:iCs/>
        </w:rPr>
        <w:t>urselves:</w:t>
      </w:r>
      <w:r w:rsidR="003D640C" w:rsidRPr="005B33A1">
        <w:rPr>
          <w:rFonts w:ascii="Calibri" w:hAnsi="Calibri" w:cs="Calibri"/>
          <w:i/>
          <w:iCs/>
        </w:rPr>
        <w:t xml:space="preserve"> </w:t>
      </w:r>
      <w:r w:rsidRPr="005B33A1">
        <w:rPr>
          <w:rFonts w:ascii="Calibri" w:hAnsi="Calibri" w:cs="Calibri"/>
          <w:i/>
          <w:iCs/>
        </w:rPr>
        <w:t>The</w:t>
      </w:r>
      <w:r w:rsidR="003D640C" w:rsidRPr="005B33A1">
        <w:rPr>
          <w:rFonts w:ascii="Calibri" w:hAnsi="Calibri" w:cs="Calibri"/>
          <w:i/>
          <w:iCs/>
        </w:rPr>
        <w:t xml:space="preserve"> </w:t>
      </w:r>
      <w:r w:rsidRPr="005B33A1">
        <w:rPr>
          <w:rFonts w:ascii="Calibri" w:hAnsi="Calibri" w:cs="Calibri"/>
          <w:i/>
          <w:iCs/>
        </w:rPr>
        <w:t>health</w:t>
      </w:r>
      <w:r w:rsidR="003D640C" w:rsidRPr="005B33A1">
        <w:rPr>
          <w:rFonts w:ascii="Calibri" w:hAnsi="Calibri" w:cs="Calibri"/>
          <w:i/>
          <w:iCs/>
        </w:rPr>
        <w:t xml:space="preserve"> </w:t>
      </w:r>
      <w:r w:rsidRPr="005B33A1">
        <w:rPr>
          <w:rFonts w:ascii="Calibri" w:hAnsi="Calibri" w:cs="Calibri"/>
          <w:i/>
          <w:iCs/>
        </w:rPr>
        <w:t>and</w:t>
      </w:r>
      <w:r w:rsidR="003D640C" w:rsidRPr="005B33A1">
        <w:rPr>
          <w:rFonts w:ascii="Calibri" w:hAnsi="Calibri" w:cs="Calibri"/>
          <w:i/>
          <w:iCs/>
        </w:rPr>
        <w:t xml:space="preserve"> </w:t>
      </w:r>
      <w:r w:rsidRPr="005B33A1">
        <w:rPr>
          <w:rFonts w:ascii="Calibri" w:hAnsi="Calibri" w:cs="Calibri"/>
          <w:i/>
          <w:iCs/>
        </w:rPr>
        <w:t>wellbeing</w:t>
      </w:r>
      <w:r w:rsidR="003D640C" w:rsidRPr="005B33A1">
        <w:rPr>
          <w:rFonts w:ascii="Calibri" w:hAnsi="Calibri" w:cs="Calibri"/>
          <w:i/>
          <w:iCs/>
        </w:rPr>
        <w:t xml:space="preserve"> </w:t>
      </w:r>
      <w:r w:rsidRPr="005B33A1">
        <w:rPr>
          <w:rFonts w:ascii="Calibri" w:hAnsi="Calibri" w:cs="Calibri"/>
          <w:i/>
          <w:iCs/>
        </w:rPr>
        <w:t>of</w:t>
      </w:r>
      <w:r w:rsidR="003D640C" w:rsidRPr="005B33A1">
        <w:rPr>
          <w:rFonts w:ascii="Calibri" w:hAnsi="Calibri" w:cs="Calibri"/>
          <w:i/>
          <w:iCs/>
        </w:rPr>
        <w:t xml:space="preserve"> </w:t>
      </w:r>
      <w:r w:rsidRPr="005B33A1">
        <w:rPr>
          <w:rFonts w:ascii="Calibri" w:hAnsi="Calibri" w:cs="Calibri"/>
          <w:i/>
          <w:iCs/>
        </w:rPr>
        <w:t>trans</w:t>
      </w:r>
      <w:r w:rsidR="003D640C" w:rsidRPr="005B33A1">
        <w:rPr>
          <w:rFonts w:ascii="Calibri" w:hAnsi="Calibri" w:cs="Calibri"/>
          <w:i/>
          <w:iCs/>
        </w:rPr>
        <w:t xml:space="preserve"> </w:t>
      </w:r>
      <w:r w:rsidRPr="005B33A1">
        <w:rPr>
          <w:rFonts w:ascii="Calibri" w:hAnsi="Calibri" w:cs="Calibri"/>
          <w:i/>
          <w:iCs/>
        </w:rPr>
        <w:t>and</w:t>
      </w:r>
      <w:r w:rsidR="003D640C" w:rsidRPr="005B33A1">
        <w:rPr>
          <w:rFonts w:ascii="Calibri" w:hAnsi="Calibri" w:cs="Calibri"/>
          <w:i/>
          <w:iCs/>
        </w:rPr>
        <w:t xml:space="preserve"> </w:t>
      </w:r>
      <w:r w:rsidRPr="005B33A1">
        <w:rPr>
          <w:rFonts w:ascii="Calibri" w:hAnsi="Calibri" w:cs="Calibri"/>
          <w:i/>
          <w:iCs/>
        </w:rPr>
        <w:t>non-binary</w:t>
      </w:r>
      <w:r w:rsidR="003D640C" w:rsidRPr="005B33A1">
        <w:rPr>
          <w:rFonts w:ascii="Calibri" w:hAnsi="Calibri" w:cs="Calibri"/>
          <w:i/>
          <w:iCs/>
        </w:rPr>
        <w:t xml:space="preserve"> </w:t>
      </w:r>
      <w:r w:rsidRPr="005B33A1">
        <w:rPr>
          <w:rFonts w:ascii="Calibri" w:hAnsi="Calibri" w:cs="Calibri"/>
          <w:i/>
          <w:iCs/>
        </w:rPr>
        <w:t>people</w:t>
      </w:r>
      <w:r w:rsidR="003D640C" w:rsidRPr="005B33A1">
        <w:rPr>
          <w:rFonts w:ascii="Calibri" w:hAnsi="Calibri" w:cs="Calibri"/>
          <w:i/>
          <w:iCs/>
        </w:rPr>
        <w:t xml:space="preserve"> </w:t>
      </w:r>
      <w:r w:rsidRPr="005B33A1">
        <w:rPr>
          <w:rFonts w:ascii="Calibri" w:hAnsi="Calibri" w:cs="Calibri"/>
          <w:i/>
          <w:iCs/>
        </w:rPr>
        <w:t>in</w:t>
      </w:r>
      <w:r w:rsidR="003D640C" w:rsidRPr="005B33A1">
        <w:rPr>
          <w:rFonts w:ascii="Calibri" w:hAnsi="Calibri" w:cs="Calibri"/>
          <w:i/>
          <w:iCs/>
        </w:rPr>
        <w:t xml:space="preserve"> </w:t>
      </w:r>
      <w:r w:rsidRPr="005B33A1">
        <w:rPr>
          <w:rFonts w:ascii="Calibri" w:hAnsi="Calibri" w:cs="Calibri"/>
          <w:i/>
          <w:iCs/>
        </w:rPr>
        <w:t>Aotearoa</w:t>
      </w:r>
      <w:r w:rsidR="003D640C" w:rsidRPr="005B33A1">
        <w:rPr>
          <w:rFonts w:ascii="Calibri" w:hAnsi="Calibri" w:cs="Calibri"/>
          <w:i/>
          <w:iCs/>
        </w:rPr>
        <w:t xml:space="preserve"> </w:t>
      </w:r>
      <w:r w:rsidRPr="005B33A1">
        <w:rPr>
          <w:rFonts w:ascii="Calibri" w:hAnsi="Calibri" w:cs="Calibri"/>
          <w:i/>
          <w:iCs/>
        </w:rPr>
        <w:t>New</w:t>
      </w:r>
      <w:r w:rsidR="003D640C" w:rsidRPr="005B33A1">
        <w:rPr>
          <w:rFonts w:ascii="Calibri" w:hAnsi="Calibri" w:cs="Calibri"/>
          <w:i/>
          <w:iCs/>
        </w:rPr>
        <w:t xml:space="preserve"> </w:t>
      </w:r>
      <w:r w:rsidRPr="005B33A1">
        <w:rPr>
          <w:rFonts w:ascii="Calibri" w:hAnsi="Calibri" w:cs="Calibri"/>
          <w:i/>
          <w:iCs/>
        </w:rPr>
        <w:t>Zealand</w:t>
      </w:r>
      <w:r w:rsidRPr="005B33A1">
        <w:rPr>
          <w:rFonts w:ascii="Calibri" w:hAnsi="Calibri" w:cs="Calibri"/>
        </w:rPr>
        <w:t>.</w:t>
      </w:r>
      <w:r w:rsidR="003D640C" w:rsidRPr="005B33A1">
        <w:rPr>
          <w:rFonts w:ascii="Calibri" w:hAnsi="Calibri" w:cs="Calibri"/>
        </w:rPr>
        <w:t xml:space="preserve"> </w:t>
      </w:r>
      <w:r w:rsidR="003C3829" w:rsidRPr="005B33A1">
        <w:t xml:space="preserve">Health Research Lab, University of Waikato. </w:t>
      </w:r>
      <w:hyperlink r:id="rId170" w:history="1">
        <w:r w:rsidR="003C3829" w:rsidRPr="005B33A1">
          <w:rPr>
            <w:rStyle w:val="Hyperlink"/>
            <w:rFonts w:ascii="Calibri" w:eastAsia="Calibri" w:hAnsi="Calibri" w:cs="Calibri"/>
          </w:rPr>
          <w:t>https://3ff63170-9ffb-4cf7-b5ad-a285defbbd41.filesusr.com/ugd/b7eedf_f5f62fbaebbc40b6accfb3e853c1c90b.pdf</w:t>
        </w:r>
      </w:hyperlink>
      <w:r w:rsidR="003C3829" w:rsidRPr="005B33A1">
        <w:rPr>
          <w:rFonts w:ascii="Calibri" w:eastAsia="Calibri" w:hAnsi="Calibri" w:cs="Calibri"/>
        </w:rPr>
        <w:t xml:space="preserve"> </w:t>
      </w:r>
    </w:p>
    <w:p w14:paraId="2C70C4E9" w14:textId="780D2F6F" w:rsidR="00F01386" w:rsidRPr="005B33A1" w:rsidRDefault="00F01386" w:rsidP="00E00167">
      <w:pPr>
        <w:pStyle w:val="Reference"/>
        <w:rPr>
          <w:noProof/>
        </w:rPr>
      </w:pPr>
      <w:r w:rsidRPr="005B33A1">
        <w:rPr>
          <w:noProof/>
        </w:rPr>
        <w:t>Veale,</w:t>
      </w:r>
      <w:r w:rsidR="003D640C" w:rsidRPr="005B33A1">
        <w:rPr>
          <w:noProof/>
        </w:rPr>
        <w:t xml:space="preserve"> </w:t>
      </w:r>
      <w:r w:rsidRPr="005B33A1">
        <w:rPr>
          <w:noProof/>
        </w:rPr>
        <w:t>J.,</w:t>
      </w:r>
      <w:r w:rsidR="003D640C" w:rsidRPr="005B33A1">
        <w:rPr>
          <w:noProof/>
        </w:rPr>
        <w:t xml:space="preserve"> </w:t>
      </w:r>
      <w:r w:rsidRPr="005B33A1">
        <w:rPr>
          <w:noProof/>
        </w:rPr>
        <w:t>Tan,</w:t>
      </w:r>
      <w:r w:rsidR="003D640C" w:rsidRPr="005B33A1">
        <w:rPr>
          <w:noProof/>
        </w:rPr>
        <w:t xml:space="preserve"> </w:t>
      </w:r>
      <w:r w:rsidRPr="005B33A1">
        <w:rPr>
          <w:noProof/>
        </w:rPr>
        <w:t>K.</w:t>
      </w:r>
      <w:r w:rsidR="001361A5" w:rsidRPr="005B33A1">
        <w:rPr>
          <w:noProof/>
        </w:rPr>
        <w:t>, &amp;</w:t>
      </w:r>
      <w:r w:rsidR="003D640C" w:rsidRPr="005B33A1">
        <w:rPr>
          <w:noProof/>
        </w:rPr>
        <w:t xml:space="preserve"> </w:t>
      </w:r>
      <w:r w:rsidRPr="005B33A1">
        <w:rPr>
          <w:noProof/>
        </w:rPr>
        <w:t>Byrne</w:t>
      </w:r>
      <w:r w:rsidR="001361A5" w:rsidRPr="005B33A1">
        <w:rPr>
          <w:noProof/>
        </w:rPr>
        <w:t>, J.</w:t>
      </w:r>
      <w:r w:rsidR="003D640C" w:rsidRPr="005B33A1">
        <w:rPr>
          <w:noProof/>
        </w:rPr>
        <w:t xml:space="preserve"> </w:t>
      </w:r>
      <w:r w:rsidRPr="005B33A1">
        <w:rPr>
          <w:noProof/>
        </w:rPr>
        <w:t>(2022)</w:t>
      </w:r>
      <w:r w:rsidR="001361A5" w:rsidRPr="005B33A1">
        <w:rPr>
          <w:noProof/>
        </w:rPr>
        <w:t>.</w:t>
      </w:r>
      <w:r w:rsidR="003D640C" w:rsidRPr="005B33A1">
        <w:rPr>
          <w:noProof/>
        </w:rPr>
        <w:t xml:space="preserve"> </w:t>
      </w:r>
      <w:r w:rsidRPr="005B33A1">
        <w:rPr>
          <w:noProof/>
        </w:rPr>
        <w:t>Gender</w:t>
      </w:r>
      <w:r w:rsidR="003D640C" w:rsidRPr="005B33A1">
        <w:rPr>
          <w:noProof/>
        </w:rPr>
        <w:t xml:space="preserve"> </w:t>
      </w:r>
      <w:r w:rsidRPr="005B33A1">
        <w:rPr>
          <w:noProof/>
        </w:rPr>
        <w:t>identity</w:t>
      </w:r>
      <w:r w:rsidR="003D640C" w:rsidRPr="005B33A1">
        <w:rPr>
          <w:noProof/>
        </w:rPr>
        <w:t xml:space="preserve"> </w:t>
      </w:r>
      <w:r w:rsidRPr="005B33A1">
        <w:rPr>
          <w:noProof/>
        </w:rPr>
        <w:t>change</w:t>
      </w:r>
      <w:r w:rsidR="003D640C" w:rsidRPr="005B33A1">
        <w:rPr>
          <w:noProof/>
        </w:rPr>
        <w:t xml:space="preserve"> </w:t>
      </w:r>
      <w:r w:rsidRPr="005B33A1">
        <w:rPr>
          <w:noProof/>
        </w:rPr>
        <w:t>efforts</w:t>
      </w:r>
      <w:r w:rsidR="003D640C" w:rsidRPr="005B33A1">
        <w:rPr>
          <w:noProof/>
        </w:rPr>
        <w:t xml:space="preserve"> </w:t>
      </w:r>
      <w:r w:rsidRPr="005B33A1">
        <w:rPr>
          <w:noProof/>
        </w:rPr>
        <w:t>faced</w:t>
      </w:r>
      <w:r w:rsidR="003D640C" w:rsidRPr="005B33A1">
        <w:rPr>
          <w:noProof/>
        </w:rPr>
        <w:t xml:space="preserve"> </w:t>
      </w:r>
      <w:r w:rsidRPr="005B33A1">
        <w:rPr>
          <w:noProof/>
        </w:rPr>
        <w:t>by</w:t>
      </w:r>
      <w:r w:rsidR="003D640C" w:rsidRPr="005B33A1">
        <w:rPr>
          <w:noProof/>
        </w:rPr>
        <w:t xml:space="preserve"> </w:t>
      </w:r>
      <w:r w:rsidRPr="005B33A1">
        <w:rPr>
          <w:noProof/>
        </w:rPr>
        <w:t>trans</w:t>
      </w:r>
      <w:r w:rsidR="003D640C" w:rsidRPr="005B33A1">
        <w:rPr>
          <w:noProof/>
        </w:rPr>
        <w:t xml:space="preserve"> </w:t>
      </w:r>
      <w:r w:rsidRPr="005B33A1">
        <w:rPr>
          <w:noProof/>
        </w:rPr>
        <w:t>and</w:t>
      </w:r>
      <w:r w:rsidR="003D640C" w:rsidRPr="005B33A1">
        <w:rPr>
          <w:noProof/>
        </w:rPr>
        <w:t xml:space="preserve"> </w:t>
      </w:r>
      <w:r w:rsidRPr="005B33A1">
        <w:rPr>
          <w:noProof/>
        </w:rPr>
        <w:t>nonbinary</w:t>
      </w:r>
      <w:r w:rsidR="003D640C" w:rsidRPr="005B33A1">
        <w:rPr>
          <w:noProof/>
        </w:rPr>
        <w:t xml:space="preserve"> </w:t>
      </w:r>
      <w:r w:rsidRPr="005B33A1">
        <w:rPr>
          <w:noProof/>
        </w:rPr>
        <w:t>people</w:t>
      </w:r>
      <w:r w:rsidR="003D640C" w:rsidRPr="005B33A1">
        <w:rPr>
          <w:noProof/>
        </w:rPr>
        <w:t xml:space="preserve"> </w:t>
      </w:r>
      <w:r w:rsidRPr="005B33A1">
        <w:rPr>
          <w:noProof/>
        </w:rPr>
        <w:t>in</w:t>
      </w:r>
      <w:r w:rsidR="003D640C" w:rsidRPr="005B33A1">
        <w:rPr>
          <w:noProof/>
        </w:rPr>
        <w:t xml:space="preserve"> </w:t>
      </w:r>
      <w:r w:rsidRPr="005B33A1">
        <w:rPr>
          <w:noProof/>
        </w:rPr>
        <w:t>New</w:t>
      </w:r>
      <w:r w:rsidR="003D640C" w:rsidRPr="005B33A1">
        <w:rPr>
          <w:noProof/>
        </w:rPr>
        <w:t xml:space="preserve"> </w:t>
      </w:r>
      <w:r w:rsidRPr="005B33A1">
        <w:rPr>
          <w:noProof/>
        </w:rPr>
        <w:t>Zealand:</w:t>
      </w:r>
      <w:r w:rsidR="003D640C" w:rsidRPr="005B33A1">
        <w:rPr>
          <w:noProof/>
        </w:rPr>
        <w:t xml:space="preserve"> </w:t>
      </w:r>
      <w:r w:rsidRPr="005B33A1">
        <w:rPr>
          <w:noProof/>
        </w:rPr>
        <w:t>Associations</w:t>
      </w:r>
      <w:r w:rsidR="003D640C" w:rsidRPr="005B33A1">
        <w:rPr>
          <w:noProof/>
        </w:rPr>
        <w:t xml:space="preserve"> </w:t>
      </w:r>
      <w:r w:rsidRPr="005B33A1">
        <w:rPr>
          <w:noProof/>
        </w:rPr>
        <w:t>with</w:t>
      </w:r>
      <w:r w:rsidR="003D640C" w:rsidRPr="005B33A1">
        <w:rPr>
          <w:noProof/>
        </w:rPr>
        <w:t xml:space="preserve"> </w:t>
      </w:r>
      <w:r w:rsidRPr="005B33A1">
        <w:rPr>
          <w:noProof/>
        </w:rPr>
        <w:t>demographics,</w:t>
      </w:r>
      <w:r w:rsidR="003D640C" w:rsidRPr="005B33A1">
        <w:rPr>
          <w:noProof/>
        </w:rPr>
        <w:t xml:space="preserve"> </w:t>
      </w:r>
      <w:r w:rsidRPr="005B33A1">
        <w:rPr>
          <w:noProof/>
        </w:rPr>
        <w:t>family</w:t>
      </w:r>
      <w:r w:rsidR="003D640C" w:rsidRPr="005B33A1">
        <w:rPr>
          <w:noProof/>
        </w:rPr>
        <w:t xml:space="preserve"> </w:t>
      </w:r>
      <w:r w:rsidRPr="005B33A1">
        <w:rPr>
          <w:noProof/>
        </w:rPr>
        <w:t>rejection,</w:t>
      </w:r>
      <w:r w:rsidR="003D640C" w:rsidRPr="005B33A1">
        <w:rPr>
          <w:noProof/>
        </w:rPr>
        <w:t xml:space="preserve"> </w:t>
      </w:r>
      <w:r w:rsidRPr="005B33A1">
        <w:rPr>
          <w:noProof/>
        </w:rPr>
        <w:t>internalized</w:t>
      </w:r>
      <w:r w:rsidR="003D640C" w:rsidRPr="005B33A1">
        <w:rPr>
          <w:noProof/>
        </w:rPr>
        <w:t xml:space="preserve"> </w:t>
      </w:r>
      <w:r w:rsidRPr="005B33A1">
        <w:rPr>
          <w:noProof/>
        </w:rPr>
        <w:t>transphobia,</w:t>
      </w:r>
      <w:r w:rsidR="003D640C" w:rsidRPr="005B33A1">
        <w:rPr>
          <w:noProof/>
        </w:rPr>
        <w:t xml:space="preserve"> </w:t>
      </w:r>
      <w:r w:rsidRPr="005B33A1">
        <w:rPr>
          <w:noProof/>
        </w:rPr>
        <w:t>and</w:t>
      </w:r>
      <w:r w:rsidR="003D640C" w:rsidRPr="005B33A1">
        <w:rPr>
          <w:noProof/>
        </w:rPr>
        <w:t xml:space="preserve"> </w:t>
      </w:r>
      <w:r w:rsidRPr="005B33A1">
        <w:rPr>
          <w:noProof/>
        </w:rPr>
        <w:t>mental</w:t>
      </w:r>
      <w:r w:rsidR="003D640C" w:rsidRPr="005B33A1">
        <w:rPr>
          <w:noProof/>
        </w:rPr>
        <w:t xml:space="preserve"> </w:t>
      </w:r>
      <w:r w:rsidRPr="005B33A1">
        <w:rPr>
          <w:noProof/>
        </w:rPr>
        <w:t>health.</w:t>
      </w:r>
      <w:r w:rsidR="003D640C" w:rsidRPr="005B33A1">
        <w:rPr>
          <w:noProof/>
        </w:rPr>
        <w:t xml:space="preserve"> </w:t>
      </w:r>
      <w:r w:rsidRPr="005B33A1">
        <w:rPr>
          <w:i/>
          <w:iCs/>
          <w:noProof/>
        </w:rPr>
        <w:t>Psychology</w:t>
      </w:r>
      <w:r w:rsidR="003D640C" w:rsidRPr="005B33A1">
        <w:rPr>
          <w:i/>
          <w:iCs/>
          <w:noProof/>
        </w:rPr>
        <w:t xml:space="preserve"> </w:t>
      </w:r>
      <w:r w:rsidRPr="005B33A1">
        <w:rPr>
          <w:i/>
          <w:iCs/>
          <w:noProof/>
        </w:rPr>
        <w:t>of</w:t>
      </w:r>
      <w:r w:rsidR="003D640C" w:rsidRPr="005B33A1">
        <w:rPr>
          <w:i/>
          <w:iCs/>
          <w:noProof/>
        </w:rPr>
        <w:t xml:space="preserve"> </w:t>
      </w:r>
      <w:r w:rsidRPr="005B33A1">
        <w:rPr>
          <w:i/>
          <w:iCs/>
          <w:noProof/>
        </w:rPr>
        <w:t>Sexual</w:t>
      </w:r>
      <w:r w:rsidR="003D640C" w:rsidRPr="005B33A1">
        <w:rPr>
          <w:i/>
          <w:iCs/>
          <w:noProof/>
        </w:rPr>
        <w:t xml:space="preserve"> </w:t>
      </w:r>
      <w:r w:rsidRPr="005B33A1">
        <w:rPr>
          <w:i/>
          <w:iCs/>
          <w:noProof/>
        </w:rPr>
        <w:t>Orientation</w:t>
      </w:r>
      <w:r w:rsidR="003D640C" w:rsidRPr="005B33A1">
        <w:rPr>
          <w:i/>
          <w:iCs/>
          <w:noProof/>
        </w:rPr>
        <w:t xml:space="preserve"> </w:t>
      </w:r>
      <w:r w:rsidRPr="005B33A1">
        <w:rPr>
          <w:i/>
          <w:iCs/>
          <w:noProof/>
        </w:rPr>
        <w:t>and</w:t>
      </w:r>
      <w:r w:rsidR="003D640C" w:rsidRPr="005B33A1">
        <w:rPr>
          <w:i/>
          <w:iCs/>
          <w:noProof/>
        </w:rPr>
        <w:t xml:space="preserve"> </w:t>
      </w:r>
      <w:r w:rsidRPr="005B33A1">
        <w:rPr>
          <w:i/>
          <w:iCs/>
          <w:noProof/>
        </w:rPr>
        <w:t>Gender</w:t>
      </w:r>
      <w:r w:rsidR="003D640C" w:rsidRPr="005B33A1">
        <w:rPr>
          <w:i/>
          <w:iCs/>
          <w:noProof/>
        </w:rPr>
        <w:t xml:space="preserve"> </w:t>
      </w:r>
      <w:r w:rsidRPr="005B33A1">
        <w:rPr>
          <w:i/>
          <w:iCs/>
          <w:noProof/>
        </w:rPr>
        <w:t>Diversity</w:t>
      </w:r>
      <w:r w:rsidRPr="005B33A1">
        <w:rPr>
          <w:noProof/>
        </w:rPr>
        <w:t>,</w:t>
      </w:r>
      <w:r w:rsidR="003D640C" w:rsidRPr="005B33A1">
        <w:rPr>
          <w:noProof/>
        </w:rPr>
        <w:t xml:space="preserve"> </w:t>
      </w:r>
      <w:r w:rsidRPr="005B33A1">
        <w:rPr>
          <w:i/>
          <w:iCs/>
          <w:noProof/>
        </w:rPr>
        <w:t>9</w:t>
      </w:r>
      <w:r w:rsidRPr="005B33A1">
        <w:rPr>
          <w:noProof/>
        </w:rPr>
        <w:t>(4)</w:t>
      </w:r>
      <w:r w:rsidR="001361A5" w:rsidRPr="005B33A1">
        <w:rPr>
          <w:noProof/>
        </w:rPr>
        <w:t>,</w:t>
      </w:r>
      <w:r w:rsidR="003D640C" w:rsidRPr="005B33A1">
        <w:rPr>
          <w:noProof/>
        </w:rPr>
        <w:t xml:space="preserve"> </w:t>
      </w:r>
      <w:r w:rsidRPr="005B33A1">
        <w:rPr>
          <w:noProof/>
        </w:rPr>
        <w:t>478–</w:t>
      </w:r>
      <w:r w:rsidR="001361A5" w:rsidRPr="005B33A1">
        <w:rPr>
          <w:noProof/>
        </w:rPr>
        <w:t>4</w:t>
      </w:r>
      <w:r w:rsidRPr="005B33A1">
        <w:rPr>
          <w:noProof/>
        </w:rPr>
        <w:t>87.</w:t>
      </w:r>
      <w:r w:rsidR="003D640C" w:rsidRPr="005B33A1">
        <w:rPr>
          <w:noProof/>
        </w:rPr>
        <w:t xml:space="preserve"> </w:t>
      </w:r>
      <w:hyperlink r:id="rId171" w:history="1">
        <w:r w:rsidR="001361A5" w:rsidRPr="005B33A1">
          <w:rPr>
            <w:rStyle w:val="Hyperlink"/>
            <w:noProof/>
          </w:rPr>
          <w:t>https://doi.org/10.1037/sgd0000537</w:t>
        </w:r>
      </w:hyperlink>
      <w:r w:rsidR="001361A5" w:rsidRPr="005B33A1">
        <w:rPr>
          <w:noProof/>
        </w:rPr>
        <w:t xml:space="preserve"> </w:t>
      </w:r>
    </w:p>
    <w:p w14:paraId="000E2AA2" w14:textId="12A144F2" w:rsidR="00A0716D" w:rsidRDefault="007B4B4D" w:rsidP="00E00167">
      <w:pPr>
        <w:pStyle w:val="Reference"/>
        <w:rPr>
          <w:noProof/>
        </w:rPr>
      </w:pPr>
      <w:r w:rsidRPr="005B33A1">
        <w:t xml:space="preserve">Vines, M. (2014). </w:t>
      </w:r>
      <w:r w:rsidRPr="005B33A1">
        <w:rPr>
          <w:i/>
          <w:iCs/>
        </w:rPr>
        <w:t>God and the gay Christian: The biblical case in support of same-sex relationships</w:t>
      </w:r>
      <w:r w:rsidRPr="00C6139F">
        <w:t>. Convergent Books</w:t>
      </w:r>
    </w:p>
    <w:p w14:paraId="4B0D6D1A" w14:textId="77777777" w:rsidR="00FB43E9" w:rsidRDefault="00FB43E9" w:rsidP="00FB43E9">
      <w:pPr>
        <w:pStyle w:val="Heading2"/>
      </w:pPr>
      <w:bookmarkStart w:id="494" w:name="_Toc1733345965"/>
      <w:bookmarkStart w:id="495" w:name="_Toc174628726"/>
      <w:r>
        <w:t>New Zealand legislation</w:t>
      </w:r>
      <w:bookmarkEnd w:id="494"/>
      <w:bookmarkEnd w:id="495"/>
    </w:p>
    <w:p w14:paraId="5D1F629F" w14:textId="77777777" w:rsidR="00FB43E9" w:rsidRPr="00A942D5" w:rsidRDefault="00FB43E9" w:rsidP="00FB43E9">
      <w:pPr>
        <w:pStyle w:val="Reference"/>
        <w:rPr>
          <w:lang w:val="en-US"/>
        </w:rPr>
      </w:pPr>
      <w:r w:rsidRPr="00A942D5">
        <w:rPr>
          <w:lang w:val="en-US"/>
        </w:rPr>
        <w:t>Births, Deaths, Marriages and Relationships Registration Act 2021</w:t>
      </w:r>
      <w:r>
        <w:rPr>
          <w:lang w:val="en-US"/>
        </w:rPr>
        <w:br/>
      </w:r>
      <w:hyperlink r:id="rId172" w:history="1">
        <w:r w:rsidRPr="00604C2A">
          <w:rPr>
            <w:rStyle w:val="Hyperlink"/>
            <w:lang w:val="en-US"/>
          </w:rPr>
          <w:t>https://www.legislation.govt.nz/act/public/2021/0057/latest/DLM7273502.html</w:t>
        </w:r>
      </w:hyperlink>
      <w:r>
        <w:rPr>
          <w:lang w:val="en-US"/>
        </w:rPr>
        <w:t xml:space="preserve"> </w:t>
      </w:r>
      <w:r w:rsidRPr="00A942D5">
        <w:rPr>
          <w:lang w:val="en-US"/>
        </w:rPr>
        <w:t xml:space="preserve"> </w:t>
      </w:r>
    </w:p>
    <w:p w14:paraId="18176859" w14:textId="77777777" w:rsidR="00FB43E9" w:rsidRPr="00A942D5" w:rsidRDefault="00FB43E9" w:rsidP="00FB43E9">
      <w:pPr>
        <w:pStyle w:val="Reference"/>
        <w:rPr>
          <w:lang w:val="en-US"/>
        </w:rPr>
      </w:pPr>
      <w:r w:rsidRPr="00A942D5">
        <w:rPr>
          <w:lang w:val="en-US"/>
        </w:rPr>
        <w:t>Care of Children Act 2004</w:t>
      </w:r>
      <w:r>
        <w:rPr>
          <w:lang w:val="en-US"/>
        </w:rPr>
        <w:br/>
      </w:r>
      <w:hyperlink r:id="rId173" w:history="1">
        <w:r w:rsidRPr="00604C2A">
          <w:rPr>
            <w:rStyle w:val="Hyperlink"/>
            <w:lang w:val="en-US"/>
          </w:rPr>
          <w:t>https://www.legislation.govt.nz/act/public/2004/0090/latest/DLM317233.html</w:t>
        </w:r>
      </w:hyperlink>
      <w:r>
        <w:rPr>
          <w:lang w:val="en-US"/>
        </w:rPr>
        <w:t xml:space="preserve"> </w:t>
      </w:r>
      <w:r w:rsidRPr="00A942D5">
        <w:rPr>
          <w:lang w:val="en-US"/>
        </w:rPr>
        <w:t xml:space="preserve"> </w:t>
      </w:r>
    </w:p>
    <w:p w14:paraId="550AD81A" w14:textId="77777777" w:rsidR="00FB43E9" w:rsidRPr="00A942D5" w:rsidRDefault="00FB43E9" w:rsidP="00FB43E9">
      <w:pPr>
        <w:pStyle w:val="Reference"/>
        <w:rPr>
          <w:lang w:val="en-US"/>
        </w:rPr>
      </w:pPr>
      <w:r w:rsidRPr="00A942D5">
        <w:rPr>
          <w:lang w:val="en-US"/>
        </w:rPr>
        <w:t xml:space="preserve">Civil Union Act 2004 </w:t>
      </w:r>
      <w:r>
        <w:rPr>
          <w:lang w:val="en-US"/>
        </w:rPr>
        <w:br/>
      </w:r>
      <w:hyperlink r:id="rId174" w:history="1">
        <w:r w:rsidRPr="00604C2A">
          <w:rPr>
            <w:rStyle w:val="Hyperlink"/>
            <w:lang w:val="en-US"/>
          </w:rPr>
          <w:t>https://www.legislation.govt.nz/act/public/2004/0102/latest/whole.html</w:t>
        </w:r>
      </w:hyperlink>
      <w:r>
        <w:rPr>
          <w:lang w:val="en-US"/>
        </w:rPr>
        <w:t xml:space="preserve"> </w:t>
      </w:r>
      <w:r w:rsidRPr="00A942D5">
        <w:rPr>
          <w:lang w:val="en-US"/>
        </w:rPr>
        <w:t xml:space="preserve"> </w:t>
      </w:r>
    </w:p>
    <w:p w14:paraId="1C113903" w14:textId="77777777" w:rsidR="00FB43E9" w:rsidRDefault="00FB43E9" w:rsidP="00FB43E9">
      <w:pPr>
        <w:pStyle w:val="Reference"/>
        <w:rPr>
          <w:lang w:val="en-US"/>
        </w:rPr>
      </w:pPr>
      <w:r w:rsidRPr="00BB6220">
        <w:rPr>
          <w:lang w:eastAsia="en-NZ"/>
        </w:rPr>
        <w:t>Code</w:t>
      </w:r>
      <w:r>
        <w:rPr>
          <w:lang w:eastAsia="en-NZ"/>
        </w:rPr>
        <w:t xml:space="preserve"> </w:t>
      </w:r>
      <w:r w:rsidRPr="00BB6220">
        <w:rPr>
          <w:lang w:eastAsia="en-NZ"/>
        </w:rPr>
        <w:t>of</w:t>
      </w:r>
      <w:r>
        <w:rPr>
          <w:lang w:eastAsia="en-NZ"/>
        </w:rPr>
        <w:t xml:space="preserve"> </w:t>
      </w:r>
      <w:r w:rsidRPr="00BB6220">
        <w:rPr>
          <w:lang w:eastAsia="en-NZ"/>
        </w:rPr>
        <w:t>Health</w:t>
      </w:r>
      <w:r>
        <w:rPr>
          <w:lang w:eastAsia="en-NZ"/>
        </w:rPr>
        <w:t xml:space="preserve"> </w:t>
      </w:r>
      <w:r w:rsidRPr="00BB6220">
        <w:rPr>
          <w:lang w:eastAsia="en-NZ"/>
        </w:rPr>
        <w:t>and</w:t>
      </w:r>
      <w:r>
        <w:rPr>
          <w:lang w:eastAsia="en-NZ"/>
        </w:rPr>
        <w:t xml:space="preserve"> </w:t>
      </w:r>
      <w:r w:rsidRPr="00BB6220">
        <w:rPr>
          <w:lang w:eastAsia="en-NZ"/>
        </w:rPr>
        <w:t>Disability</w:t>
      </w:r>
      <w:r>
        <w:rPr>
          <w:lang w:eastAsia="en-NZ"/>
        </w:rPr>
        <w:t xml:space="preserve"> </w:t>
      </w:r>
      <w:r w:rsidRPr="00BB6220">
        <w:rPr>
          <w:lang w:eastAsia="en-NZ"/>
        </w:rPr>
        <w:t>Services</w:t>
      </w:r>
      <w:r>
        <w:rPr>
          <w:lang w:eastAsia="en-NZ"/>
        </w:rPr>
        <w:t xml:space="preserve"> </w:t>
      </w:r>
      <w:r w:rsidRPr="00BB6220">
        <w:rPr>
          <w:lang w:eastAsia="en-NZ"/>
        </w:rPr>
        <w:t>Consumers’</w:t>
      </w:r>
      <w:r>
        <w:rPr>
          <w:lang w:eastAsia="en-NZ"/>
        </w:rPr>
        <w:t xml:space="preserve"> </w:t>
      </w:r>
      <w:r w:rsidRPr="00BB6220">
        <w:rPr>
          <w:lang w:eastAsia="en-NZ"/>
        </w:rPr>
        <w:t>Rights</w:t>
      </w:r>
      <w:r w:rsidRPr="00FD1403">
        <w:rPr>
          <w:lang w:val="en-US"/>
        </w:rPr>
        <w:t xml:space="preserve"> </w:t>
      </w:r>
      <w:hyperlink r:id="rId175" w:history="1">
        <w:r w:rsidRPr="00604C2A">
          <w:rPr>
            <w:rStyle w:val="Hyperlink"/>
            <w:lang w:val="en-US"/>
          </w:rPr>
          <w:t>https://legislation.govt.nz/regulation/public/1996/0078/10.0/DLM209085.html</w:t>
        </w:r>
      </w:hyperlink>
      <w:r>
        <w:rPr>
          <w:lang w:val="en-US"/>
        </w:rPr>
        <w:t xml:space="preserve"> </w:t>
      </w:r>
    </w:p>
    <w:p w14:paraId="477B2DFF" w14:textId="77777777" w:rsidR="00EE05A1" w:rsidRDefault="00FB43E9" w:rsidP="00FB43E9">
      <w:pPr>
        <w:pStyle w:val="Reference"/>
        <w:rPr>
          <w:lang w:val="en-US"/>
        </w:rPr>
      </w:pPr>
      <w:r w:rsidRPr="00A942D5">
        <w:rPr>
          <w:lang w:val="en-US"/>
        </w:rPr>
        <w:t>Conversion Practices Prohibition Legislation Act 2022</w:t>
      </w:r>
      <w:r>
        <w:rPr>
          <w:lang w:val="en-US"/>
        </w:rPr>
        <w:br/>
      </w:r>
      <w:hyperlink r:id="rId176" w:history="1">
        <w:r w:rsidRPr="00604C2A">
          <w:rPr>
            <w:rStyle w:val="Hyperlink"/>
            <w:lang w:val="en-US"/>
          </w:rPr>
          <w:t>https://legislation.govt.nz/act/public/2022/0001/latest/whole.html</w:t>
        </w:r>
      </w:hyperlink>
      <w:r>
        <w:rPr>
          <w:lang w:val="en-US"/>
        </w:rPr>
        <w:t xml:space="preserve"> </w:t>
      </w:r>
    </w:p>
    <w:p w14:paraId="5BC4DA37" w14:textId="50143C97" w:rsidR="00FB43E9" w:rsidRPr="00A942D5" w:rsidRDefault="00EE05A1" w:rsidP="00FB43E9">
      <w:pPr>
        <w:pStyle w:val="Reference"/>
        <w:rPr>
          <w:lang w:val="en-US"/>
        </w:rPr>
      </w:pPr>
      <w:r>
        <w:rPr>
          <w:lang w:val="en-US"/>
        </w:rPr>
        <w:t>Crimes Act 1961</w:t>
      </w:r>
      <w:r>
        <w:rPr>
          <w:lang w:val="en-US"/>
        </w:rPr>
        <w:br/>
      </w:r>
      <w:hyperlink r:id="rId177" w:history="1">
        <w:r w:rsidRPr="00604C2A">
          <w:rPr>
            <w:rStyle w:val="Hyperlink"/>
            <w:lang w:val="en-US"/>
          </w:rPr>
          <w:t>https://legislation.govt.nz/act/public/1961/0043/latest/DLM327382.html</w:t>
        </w:r>
      </w:hyperlink>
      <w:r>
        <w:rPr>
          <w:lang w:val="en-US"/>
        </w:rPr>
        <w:t xml:space="preserve"> </w:t>
      </w:r>
      <w:r w:rsidR="00FB43E9" w:rsidRPr="00A942D5">
        <w:rPr>
          <w:lang w:val="en-US"/>
        </w:rPr>
        <w:t xml:space="preserve"> </w:t>
      </w:r>
      <w:r w:rsidR="00FB43E9">
        <w:rPr>
          <w:lang w:val="en-US"/>
        </w:rPr>
        <w:t xml:space="preserve"> </w:t>
      </w:r>
      <w:r w:rsidR="00FB43E9" w:rsidRPr="00A942D5">
        <w:rPr>
          <w:lang w:val="en-US"/>
        </w:rPr>
        <w:t xml:space="preserve"> </w:t>
      </w:r>
    </w:p>
    <w:p w14:paraId="29F45DAD" w14:textId="77777777" w:rsidR="00FB43E9" w:rsidRDefault="00FB43E9" w:rsidP="00FB43E9">
      <w:pPr>
        <w:pStyle w:val="Reference"/>
        <w:rPr>
          <w:lang w:val="en-US"/>
        </w:rPr>
      </w:pPr>
      <w:r w:rsidRPr="00BB6220">
        <w:t>Education</w:t>
      </w:r>
      <w:r>
        <w:t xml:space="preserve"> </w:t>
      </w:r>
      <w:r w:rsidRPr="00BB6220">
        <w:t>and</w:t>
      </w:r>
      <w:r>
        <w:t xml:space="preserve"> </w:t>
      </w:r>
      <w:r w:rsidRPr="00BB6220">
        <w:t>Training</w:t>
      </w:r>
      <w:r>
        <w:t xml:space="preserve"> </w:t>
      </w:r>
      <w:r w:rsidRPr="00BB6220">
        <w:t>Act</w:t>
      </w:r>
      <w:r>
        <w:t xml:space="preserve"> </w:t>
      </w:r>
      <w:r w:rsidRPr="00BB6220">
        <w:t>2020</w:t>
      </w:r>
      <w:r>
        <w:br/>
      </w:r>
      <w:hyperlink r:id="rId178" w:history="1">
        <w:r w:rsidRPr="00604C2A">
          <w:rPr>
            <w:rStyle w:val="Hyperlink"/>
            <w:lang w:val="en-US"/>
          </w:rPr>
          <w:t>https://legislation.govt.nz/act/public/2020/0038/latest/LMS170676.html</w:t>
        </w:r>
      </w:hyperlink>
      <w:r>
        <w:rPr>
          <w:lang w:val="en-US"/>
        </w:rPr>
        <w:t xml:space="preserve"> </w:t>
      </w:r>
    </w:p>
    <w:p w14:paraId="1EBA8CB1" w14:textId="77777777" w:rsidR="00FB43E9" w:rsidRPr="00A942D5" w:rsidRDefault="00FB43E9" w:rsidP="00FB43E9">
      <w:pPr>
        <w:pStyle w:val="Reference"/>
        <w:rPr>
          <w:lang w:val="en-US"/>
        </w:rPr>
      </w:pPr>
      <w:r w:rsidRPr="00A942D5">
        <w:rPr>
          <w:lang w:val="en-US"/>
        </w:rPr>
        <w:lastRenderedPageBreak/>
        <w:t>Homosexual Law Reform Act 1986</w:t>
      </w:r>
      <w:r>
        <w:rPr>
          <w:lang w:val="en-US"/>
        </w:rPr>
        <w:br/>
      </w:r>
      <w:hyperlink r:id="rId179" w:history="1">
        <w:r w:rsidRPr="00604C2A">
          <w:rPr>
            <w:rStyle w:val="Hyperlink"/>
            <w:lang w:val="en-US"/>
          </w:rPr>
          <w:t>https://www.legislation.govt.nz/act/public/1986/0033/latest/whole.html</w:t>
        </w:r>
      </w:hyperlink>
      <w:r>
        <w:rPr>
          <w:lang w:val="en-US"/>
        </w:rPr>
        <w:t xml:space="preserve"> </w:t>
      </w:r>
      <w:r w:rsidRPr="00A942D5">
        <w:rPr>
          <w:lang w:val="en-US"/>
        </w:rPr>
        <w:t xml:space="preserve"> </w:t>
      </w:r>
    </w:p>
    <w:p w14:paraId="75B429C8" w14:textId="77777777" w:rsidR="00FB43E9" w:rsidRPr="00A942D5" w:rsidRDefault="00FB43E9" w:rsidP="00FB43E9">
      <w:pPr>
        <w:pStyle w:val="Reference"/>
        <w:rPr>
          <w:lang w:val="en-US"/>
        </w:rPr>
      </w:pPr>
      <w:r w:rsidRPr="00A942D5">
        <w:rPr>
          <w:lang w:val="en-US"/>
        </w:rPr>
        <w:t>Human Rights Act 1993</w:t>
      </w:r>
      <w:r>
        <w:rPr>
          <w:lang w:val="en-US"/>
        </w:rPr>
        <w:br/>
      </w:r>
      <w:hyperlink r:id="rId180" w:history="1">
        <w:r w:rsidRPr="00604C2A">
          <w:rPr>
            <w:rStyle w:val="Hyperlink"/>
            <w:lang w:val="en-US"/>
          </w:rPr>
          <w:t>https://www.legislation.govt.nz/act/public/2002/0009/latest/DLM135342.html</w:t>
        </w:r>
      </w:hyperlink>
      <w:r>
        <w:rPr>
          <w:lang w:val="en-US"/>
        </w:rPr>
        <w:t xml:space="preserve"> </w:t>
      </w:r>
      <w:r w:rsidRPr="00A942D5">
        <w:rPr>
          <w:lang w:val="en-US"/>
        </w:rPr>
        <w:t xml:space="preserve"> </w:t>
      </w:r>
    </w:p>
    <w:p w14:paraId="5316A5A7" w14:textId="0D805893" w:rsidR="00EE05A1" w:rsidRDefault="00EE05A1" w:rsidP="00FB43E9">
      <w:pPr>
        <w:pStyle w:val="Reference"/>
        <w:rPr>
          <w:lang w:val="en-US"/>
        </w:rPr>
      </w:pPr>
      <w:r>
        <w:rPr>
          <w:lang w:val="en-US"/>
        </w:rPr>
        <w:t>Marriage Act 1955</w:t>
      </w:r>
      <w:r>
        <w:rPr>
          <w:lang w:val="en-US"/>
        </w:rPr>
        <w:br/>
      </w:r>
      <w:hyperlink r:id="rId181" w:history="1">
        <w:r w:rsidRPr="00604C2A">
          <w:rPr>
            <w:rStyle w:val="Hyperlink"/>
            <w:lang w:val="en-US"/>
          </w:rPr>
          <w:t>https://www.legislation.govt.nz/act/public/1955/0092/latest/whole.html</w:t>
        </w:r>
      </w:hyperlink>
      <w:r>
        <w:rPr>
          <w:lang w:val="en-US"/>
        </w:rPr>
        <w:t xml:space="preserve"> </w:t>
      </w:r>
    </w:p>
    <w:p w14:paraId="1BB3C270" w14:textId="19F1249F" w:rsidR="00FB43E9" w:rsidRDefault="00FB43E9" w:rsidP="00FB43E9">
      <w:pPr>
        <w:pStyle w:val="Reference"/>
        <w:rPr>
          <w:lang w:val="en-US"/>
        </w:rPr>
      </w:pPr>
      <w:r w:rsidRPr="00A942D5">
        <w:rPr>
          <w:lang w:val="en-US"/>
        </w:rPr>
        <w:t>Marriage (Definition of Marriage) Amendment Act 2013</w:t>
      </w:r>
      <w:r>
        <w:rPr>
          <w:lang w:val="en-US"/>
        </w:rPr>
        <w:br/>
      </w:r>
      <w:hyperlink r:id="rId182" w:history="1">
        <w:r w:rsidRPr="00604C2A">
          <w:rPr>
            <w:rStyle w:val="Hyperlink"/>
            <w:lang w:val="en-US"/>
          </w:rPr>
          <w:t>https://www.legislation.govt.nz/act/public/2013/0020/latest/DLM4505003.html</w:t>
        </w:r>
      </w:hyperlink>
    </w:p>
    <w:p w14:paraId="5A370200" w14:textId="77777777" w:rsidR="00FB43E9" w:rsidRDefault="00FB43E9" w:rsidP="00FB43E9">
      <w:pPr>
        <w:pStyle w:val="Reference"/>
        <w:rPr>
          <w:lang w:val="en-US"/>
        </w:rPr>
      </w:pPr>
      <w:r w:rsidRPr="00BB6220" w:rsidDel="002374B1">
        <w:rPr>
          <w:lang w:eastAsia="en-NZ"/>
        </w:rPr>
        <w:t>New</w:t>
      </w:r>
      <w:r>
        <w:rPr>
          <w:lang w:eastAsia="en-NZ"/>
        </w:rPr>
        <w:t xml:space="preserve"> </w:t>
      </w:r>
      <w:r w:rsidRPr="00BB6220" w:rsidDel="002374B1">
        <w:rPr>
          <w:lang w:eastAsia="en-NZ"/>
        </w:rPr>
        <w:t>Zealand</w:t>
      </w:r>
      <w:r>
        <w:rPr>
          <w:lang w:eastAsia="en-NZ"/>
        </w:rPr>
        <w:t xml:space="preserve"> </w:t>
      </w:r>
      <w:r w:rsidRPr="00BB6220" w:rsidDel="002374B1">
        <w:rPr>
          <w:lang w:eastAsia="en-NZ"/>
        </w:rPr>
        <w:t>Bill</w:t>
      </w:r>
      <w:r>
        <w:rPr>
          <w:lang w:eastAsia="en-NZ"/>
        </w:rPr>
        <w:t xml:space="preserve"> </w:t>
      </w:r>
      <w:r w:rsidRPr="00BB6220" w:rsidDel="002374B1">
        <w:rPr>
          <w:lang w:eastAsia="en-NZ"/>
        </w:rPr>
        <w:t>of</w:t>
      </w:r>
      <w:r>
        <w:rPr>
          <w:lang w:eastAsia="en-NZ"/>
        </w:rPr>
        <w:t xml:space="preserve"> </w:t>
      </w:r>
      <w:r w:rsidRPr="00BB6220" w:rsidDel="002374B1">
        <w:rPr>
          <w:lang w:eastAsia="en-NZ"/>
        </w:rPr>
        <w:t>Rights</w:t>
      </w:r>
      <w:r>
        <w:rPr>
          <w:lang w:eastAsia="en-NZ"/>
        </w:rPr>
        <w:t xml:space="preserve"> </w:t>
      </w:r>
      <w:r w:rsidRPr="00BB6220" w:rsidDel="002374B1">
        <w:rPr>
          <w:lang w:eastAsia="en-NZ"/>
        </w:rPr>
        <w:t>Act</w:t>
      </w:r>
      <w:r>
        <w:rPr>
          <w:lang w:eastAsia="en-NZ"/>
        </w:rPr>
        <w:t xml:space="preserve"> </w:t>
      </w:r>
      <w:r w:rsidRPr="00BB6220" w:rsidDel="002374B1">
        <w:rPr>
          <w:lang w:eastAsia="en-NZ"/>
        </w:rPr>
        <w:t>1990</w:t>
      </w:r>
      <w:r>
        <w:rPr>
          <w:lang w:eastAsia="en-NZ"/>
        </w:rPr>
        <w:br/>
      </w:r>
      <w:hyperlink r:id="rId183" w:history="1">
        <w:r w:rsidRPr="00604C2A">
          <w:rPr>
            <w:rStyle w:val="Hyperlink"/>
            <w:lang w:val="en-US"/>
          </w:rPr>
          <w:t>https://www.legislation.govt.nz/act/public/1990/0109/latest/DLM224792.html</w:t>
        </w:r>
      </w:hyperlink>
      <w:r>
        <w:rPr>
          <w:lang w:val="en-US"/>
        </w:rPr>
        <w:t xml:space="preserve"> </w:t>
      </w:r>
    </w:p>
    <w:p w14:paraId="0B54A680" w14:textId="77777777" w:rsidR="00FB43E9" w:rsidRDefault="00FB43E9" w:rsidP="00FB43E9">
      <w:pPr>
        <w:pStyle w:val="Reference"/>
        <w:rPr>
          <w:lang w:val="en-US"/>
        </w:rPr>
      </w:pPr>
      <w:r>
        <w:t>Oranga Tamariki Act 1989</w:t>
      </w:r>
      <w:r>
        <w:br/>
      </w:r>
      <w:hyperlink r:id="rId184" w:history="1">
        <w:r w:rsidRPr="00604C2A">
          <w:rPr>
            <w:rStyle w:val="Hyperlink"/>
            <w:lang w:val="en-US"/>
          </w:rPr>
          <w:t>https://www.legislation.govt.nz/act/public/1989/0024/latest/DLM147088.html</w:t>
        </w:r>
      </w:hyperlink>
      <w:r>
        <w:rPr>
          <w:lang w:val="en-US"/>
        </w:rPr>
        <w:t xml:space="preserve"> </w:t>
      </w:r>
    </w:p>
    <w:p w14:paraId="49843093" w14:textId="77777777" w:rsidR="00FB43E9" w:rsidRPr="00A942D5" w:rsidRDefault="00FB43E9" w:rsidP="00FB43E9">
      <w:pPr>
        <w:pStyle w:val="Reference"/>
        <w:rPr>
          <w:lang w:val="en-US"/>
        </w:rPr>
      </w:pPr>
      <w:r w:rsidRPr="00A942D5">
        <w:rPr>
          <w:lang w:val="en-US"/>
        </w:rPr>
        <w:t xml:space="preserve">Sentencing Act 2002 </w:t>
      </w:r>
      <w:r>
        <w:rPr>
          <w:lang w:val="en-US"/>
        </w:rPr>
        <w:br/>
      </w:r>
      <w:hyperlink r:id="rId185" w:history="1">
        <w:r w:rsidRPr="00604C2A">
          <w:rPr>
            <w:rStyle w:val="Hyperlink"/>
            <w:lang w:val="en-US"/>
          </w:rPr>
          <w:t>https://www.legislation.govt.nz/act/public/2002/0009/latest/DLM135342.html</w:t>
        </w:r>
      </w:hyperlink>
      <w:r>
        <w:rPr>
          <w:lang w:val="en-US"/>
        </w:rPr>
        <w:t xml:space="preserve"> </w:t>
      </w:r>
      <w:r w:rsidRPr="00A942D5">
        <w:rPr>
          <w:lang w:val="en-US"/>
        </w:rPr>
        <w:t xml:space="preserve"> </w:t>
      </w:r>
    </w:p>
    <w:p w14:paraId="6F485A74" w14:textId="77777777" w:rsidR="00FB43E9" w:rsidRDefault="00FB43E9" w:rsidP="00FB43E9">
      <w:pPr>
        <w:pStyle w:val="Heading2"/>
      </w:pPr>
      <w:bookmarkStart w:id="496" w:name="_Toc486657703"/>
      <w:bookmarkStart w:id="497" w:name="_Toc174628727"/>
      <w:r>
        <w:t>United Nations human rights instruments</w:t>
      </w:r>
      <w:bookmarkEnd w:id="496"/>
      <w:bookmarkEnd w:id="497"/>
    </w:p>
    <w:p w14:paraId="45C3194A" w14:textId="767E1A14" w:rsidR="00FB43E9" w:rsidRDefault="00FB43E9" w:rsidP="00FB43E9">
      <w:pPr>
        <w:pStyle w:val="Reference"/>
        <w:rPr>
          <w:lang w:val="en-US"/>
        </w:rPr>
      </w:pPr>
      <w:r w:rsidRPr="00660E25">
        <w:t>Convention against Torture and Other Cruel, Inhuman or Degrading Treatment or Punishment.</w:t>
      </w:r>
      <w:r>
        <w:br/>
      </w:r>
      <w:hyperlink r:id="rId186" w:history="1">
        <w:r w:rsidRPr="00604C2A">
          <w:rPr>
            <w:rStyle w:val="Hyperlink"/>
          </w:rPr>
          <w:t>https://www.ohchr.org/en/instruments-mechanisms/instruments/convention-against-torture-and-other-cruel-inhuman-or-degrading</w:t>
        </w:r>
      </w:hyperlink>
    </w:p>
    <w:p w14:paraId="68ADFD2E" w14:textId="0F7BA14A" w:rsidR="00FB43E9" w:rsidRPr="006F7848" w:rsidRDefault="00FB43E9" w:rsidP="00FB43E9">
      <w:pPr>
        <w:pStyle w:val="Reference"/>
        <w:rPr>
          <w:rStyle w:val="Hyperlink"/>
        </w:rPr>
      </w:pPr>
      <w:r w:rsidRPr="006F7848">
        <w:rPr>
          <w:rStyle w:val="Hyperlink"/>
          <w:color w:val="auto"/>
          <w:u w:val="none"/>
          <w:lang w:val="en-US"/>
        </w:rPr>
        <w:t>Convention on the Rights of Persons with Disabilities</w:t>
      </w:r>
      <w:r>
        <w:rPr>
          <w:rStyle w:val="Hyperlink"/>
          <w:color w:val="auto"/>
          <w:u w:val="none"/>
          <w:lang w:val="en-US"/>
        </w:rPr>
        <w:br/>
      </w:r>
      <w:hyperlink r:id="rId187" w:history="1">
        <w:r w:rsidRPr="006F7848">
          <w:rPr>
            <w:rStyle w:val="Hyperlink"/>
            <w:lang w:val="en-US"/>
          </w:rPr>
          <w:t>https://social.desa.un.org/issues/disability/crpd/convention-on-the-rights-of-persons-with-disabilities-crpd</w:t>
        </w:r>
      </w:hyperlink>
      <w:r w:rsidRPr="006F7848">
        <w:rPr>
          <w:rStyle w:val="Hyperlink"/>
          <w:lang w:val="en-US"/>
        </w:rPr>
        <w:t xml:space="preserve"> </w:t>
      </w:r>
    </w:p>
    <w:p w14:paraId="75D6AA9E" w14:textId="77777777" w:rsidR="00FB43E9" w:rsidRPr="003F6BDD" w:rsidRDefault="00FB43E9" w:rsidP="00FB43E9">
      <w:pPr>
        <w:pStyle w:val="Reference"/>
        <w:rPr>
          <w:lang w:val="en-US"/>
        </w:rPr>
      </w:pPr>
      <w:r w:rsidRPr="003F6BDD">
        <w:rPr>
          <w:lang w:val="en-US"/>
        </w:rPr>
        <w:t>Convention on the Rights of the Child</w:t>
      </w:r>
      <w:r>
        <w:rPr>
          <w:lang w:val="en-US"/>
        </w:rPr>
        <w:br/>
      </w:r>
      <w:hyperlink r:id="rId188" w:history="1">
        <w:r w:rsidRPr="00604C2A">
          <w:rPr>
            <w:rStyle w:val="Hyperlink"/>
            <w:lang w:val="en-US"/>
          </w:rPr>
          <w:t>https://www.ohchr.org/en/instruments-mechanisms/instruments/convention-rights-child</w:t>
        </w:r>
      </w:hyperlink>
      <w:r>
        <w:rPr>
          <w:lang w:val="en-US"/>
        </w:rPr>
        <w:t xml:space="preserve"> </w:t>
      </w:r>
    </w:p>
    <w:p w14:paraId="475C7898" w14:textId="77777777" w:rsidR="00FB43E9" w:rsidRPr="00A74502" w:rsidRDefault="00FB43E9" w:rsidP="00FB43E9">
      <w:pPr>
        <w:pStyle w:val="Reference"/>
        <w:rPr>
          <w:lang w:val="en-US"/>
        </w:rPr>
      </w:pPr>
      <w:r w:rsidRPr="00A74502">
        <w:rPr>
          <w:lang w:val="en-US"/>
        </w:rPr>
        <w:t>Declaration on the Rights of Indigenous Peoples</w:t>
      </w:r>
      <w:r>
        <w:rPr>
          <w:lang w:val="en-US"/>
        </w:rPr>
        <w:br/>
      </w:r>
      <w:hyperlink r:id="rId189" w:history="1">
        <w:r w:rsidRPr="00604C2A">
          <w:rPr>
            <w:rStyle w:val="Hyperlink"/>
            <w:lang w:val="en-US"/>
          </w:rPr>
          <w:t>https://www.ohchr.org/sites/default/files/Documents/Publications/Declaration_indigenous_en.pdf</w:t>
        </w:r>
      </w:hyperlink>
      <w:r>
        <w:rPr>
          <w:lang w:val="en-US"/>
        </w:rPr>
        <w:t xml:space="preserve"> </w:t>
      </w:r>
    </w:p>
    <w:p w14:paraId="418B292C" w14:textId="77777777" w:rsidR="00FB43E9" w:rsidRDefault="00FB43E9" w:rsidP="00FB43E9">
      <w:pPr>
        <w:pStyle w:val="Reference"/>
        <w:rPr>
          <w:lang w:val="en-US"/>
        </w:rPr>
      </w:pPr>
      <w:r w:rsidRPr="00A74502">
        <w:rPr>
          <w:lang w:val="en-US"/>
        </w:rPr>
        <w:t>International Covenant for Civil and Political Rights</w:t>
      </w:r>
      <w:r>
        <w:rPr>
          <w:lang w:val="en-US"/>
        </w:rPr>
        <w:br/>
      </w:r>
      <w:hyperlink r:id="rId190" w:history="1">
        <w:r w:rsidRPr="00604C2A">
          <w:rPr>
            <w:rStyle w:val="Hyperlink"/>
            <w:lang w:val="en-US"/>
          </w:rPr>
          <w:t>https://www.ohchr.org/en/instruments-mechanisms/instruments/international-covenant-civil-and-political-rights</w:t>
        </w:r>
      </w:hyperlink>
      <w:r>
        <w:rPr>
          <w:lang w:val="en-US"/>
        </w:rPr>
        <w:t xml:space="preserve"> </w:t>
      </w:r>
    </w:p>
    <w:p w14:paraId="12B7618B" w14:textId="77777777" w:rsidR="00FB43E9" w:rsidRPr="00120834" w:rsidRDefault="00FB43E9" w:rsidP="00FB43E9">
      <w:pPr>
        <w:pStyle w:val="Reference"/>
        <w:rPr>
          <w:lang w:val="en-US"/>
        </w:rPr>
      </w:pPr>
      <w:r w:rsidRPr="00120834">
        <w:rPr>
          <w:lang w:val="en-US"/>
        </w:rPr>
        <w:t>International Covenant on Economic, Social and Cultural Rights</w:t>
      </w:r>
      <w:r w:rsidRPr="00120834">
        <w:rPr>
          <w:lang w:val="en-US"/>
        </w:rPr>
        <w:br/>
      </w:r>
      <w:hyperlink r:id="rId191" w:history="1">
        <w:r w:rsidRPr="00604C2A">
          <w:rPr>
            <w:rStyle w:val="Hyperlink"/>
            <w:lang w:val="en-US"/>
          </w:rPr>
          <w:t>https://www.ohchr.org/en/instruments-mechanisms/instruments/international-covenant-economic-social-and-cultural-rights</w:t>
        </w:r>
      </w:hyperlink>
      <w:r>
        <w:rPr>
          <w:lang w:val="en-US"/>
        </w:rPr>
        <w:t xml:space="preserve"> </w:t>
      </w:r>
      <w:r w:rsidRPr="00120834">
        <w:rPr>
          <w:lang w:val="en-US"/>
        </w:rPr>
        <w:t xml:space="preserve"> </w:t>
      </w:r>
    </w:p>
    <w:p w14:paraId="2025BBD5" w14:textId="77777777" w:rsidR="00FB43E9" w:rsidRPr="003F6BDD" w:rsidRDefault="00FB43E9" w:rsidP="00FB43E9">
      <w:pPr>
        <w:pStyle w:val="Reference"/>
        <w:rPr>
          <w:lang w:val="en-US"/>
        </w:rPr>
      </w:pPr>
      <w:r w:rsidRPr="003F6BDD">
        <w:rPr>
          <w:lang w:val="en-US"/>
        </w:rPr>
        <w:t>Universal Declaration of Human Rights</w:t>
      </w:r>
      <w:r>
        <w:rPr>
          <w:lang w:val="en-US"/>
        </w:rPr>
        <w:br/>
      </w:r>
      <w:hyperlink r:id="rId192" w:history="1">
        <w:r w:rsidRPr="00604C2A">
          <w:rPr>
            <w:rStyle w:val="Hyperlink"/>
            <w:lang w:val="en-US"/>
          </w:rPr>
          <w:t>https://www.ohchr.org/en/human-rights/universal-declaration/translations/english</w:t>
        </w:r>
      </w:hyperlink>
      <w:r>
        <w:rPr>
          <w:lang w:val="en-US"/>
        </w:rPr>
        <w:t xml:space="preserve">  </w:t>
      </w:r>
    </w:p>
    <w:p w14:paraId="29554340" w14:textId="77777777" w:rsidR="009A66B5" w:rsidRDefault="009A66B5" w:rsidP="00E00167">
      <w:pPr>
        <w:pStyle w:val="Reference"/>
      </w:pPr>
    </w:p>
    <w:sectPr w:rsidR="009A66B5">
      <w:headerReference w:type="default" r:id="rId193"/>
      <w:footerReference w:type="default" r:id="rId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8544" w14:textId="77777777" w:rsidR="00806023" w:rsidRDefault="00806023" w:rsidP="00D527F0">
      <w:pPr>
        <w:spacing w:after="0" w:line="240" w:lineRule="auto"/>
      </w:pPr>
      <w:r>
        <w:separator/>
      </w:r>
    </w:p>
  </w:endnote>
  <w:endnote w:type="continuationSeparator" w:id="0">
    <w:p w14:paraId="00D50C4E" w14:textId="77777777" w:rsidR="00806023" w:rsidRDefault="00806023" w:rsidP="00D527F0">
      <w:pPr>
        <w:spacing w:after="0" w:line="240" w:lineRule="auto"/>
      </w:pPr>
      <w:r>
        <w:continuationSeparator/>
      </w:r>
    </w:p>
  </w:endnote>
  <w:endnote w:type="continuationNotice" w:id="1">
    <w:p w14:paraId="771B9D63" w14:textId="77777777" w:rsidR="00806023" w:rsidRDefault="00806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SofiaPro">
    <w:altName w:val="Cambri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AdvOT5fcf1b24">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768514"/>
      <w:docPartObj>
        <w:docPartGallery w:val="Page Numbers (Bottom of Page)"/>
        <w:docPartUnique/>
      </w:docPartObj>
    </w:sdtPr>
    <w:sdtEndPr>
      <w:rPr>
        <w:noProof/>
      </w:rPr>
    </w:sdtEndPr>
    <w:sdtContent>
      <w:p w14:paraId="1867EFAA" w14:textId="2E0CC081" w:rsidR="009032B9" w:rsidRDefault="009032B9" w:rsidP="00903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9DD31" w14:textId="77777777" w:rsidR="00806023" w:rsidRDefault="00806023" w:rsidP="00D527F0">
      <w:pPr>
        <w:spacing w:after="0" w:line="240" w:lineRule="auto"/>
      </w:pPr>
      <w:r>
        <w:separator/>
      </w:r>
    </w:p>
  </w:footnote>
  <w:footnote w:type="continuationSeparator" w:id="0">
    <w:p w14:paraId="2A150E62" w14:textId="77777777" w:rsidR="00806023" w:rsidRDefault="00806023" w:rsidP="00D527F0">
      <w:pPr>
        <w:spacing w:after="0" w:line="240" w:lineRule="auto"/>
      </w:pPr>
      <w:r>
        <w:continuationSeparator/>
      </w:r>
    </w:p>
  </w:footnote>
  <w:footnote w:type="continuationNotice" w:id="1">
    <w:p w14:paraId="1291C0E1" w14:textId="77777777" w:rsidR="00806023" w:rsidRDefault="00806023">
      <w:pPr>
        <w:spacing w:after="0" w:line="240" w:lineRule="auto"/>
      </w:pPr>
    </w:p>
  </w:footnote>
  <w:footnote w:id="2">
    <w:p w14:paraId="4B049680" w14:textId="4E477097" w:rsidR="00C8345C" w:rsidRDefault="00C8345C">
      <w:pPr>
        <w:pStyle w:val="FootnoteText"/>
      </w:pPr>
      <w:r>
        <w:rPr>
          <w:rStyle w:val="FootnoteReference"/>
        </w:rPr>
        <w:footnoteRef/>
      </w:r>
      <w:r>
        <w:t xml:space="preserve"> </w:t>
      </w:r>
      <w:bookmarkStart w:id="7" w:name="_Hlk168381836"/>
      <w:r>
        <w:t>See the references section for links to New Zealand legislation referred to in this report.</w:t>
      </w:r>
      <w:bookmarkEnd w:id="7"/>
    </w:p>
  </w:footnote>
  <w:footnote w:id="3">
    <w:p w14:paraId="1B675354" w14:textId="5452C63D" w:rsidR="00D829CD" w:rsidRPr="00E00167" w:rsidRDefault="00D829CD" w:rsidP="00E00167">
      <w:pPr>
        <w:pStyle w:val="FootnoteText"/>
      </w:pPr>
      <w:r w:rsidRPr="003D640C">
        <w:rPr>
          <w:rStyle w:val="FootnoteReference"/>
        </w:rPr>
        <w:footnoteRef/>
      </w:r>
      <w:r w:rsidR="003D640C">
        <w:t xml:space="preserve"> </w:t>
      </w:r>
      <w:r w:rsidR="006F68FE" w:rsidRPr="00E00167">
        <w:t>Fenaughty,</w:t>
      </w:r>
      <w:r w:rsidR="003D640C" w:rsidRPr="00E00167">
        <w:t xml:space="preserve"> </w:t>
      </w:r>
      <w:r w:rsidR="006F68FE" w:rsidRPr="00E00167">
        <w:t>J.,</w:t>
      </w:r>
      <w:r w:rsidR="003D640C" w:rsidRPr="00E00167">
        <w:t xml:space="preserve"> </w:t>
      </w:r>
      <w:r w:rsidR="006F68FE" w:rsidRPr="00E00167">
        <w:t>Ker,</w:t>
      </w:r>
      <w:r w:rsidR="003D640C" w:rsidRPr="00E00167">
        <w:t xml:space="preserve"> </w:t>
      </w:r>
      <w:r w:rsidR="006F68FE" w:rsidRPr="00E00167">
        <w:t>A.,</w:t>
      </w:r>
      <w:r w:rsidR="003D640C" w:rsidRPr="00E00167">
        <w:t xml:space="preserve"> </w:t>
      </w:r>
      <w:r w:rsidR="006F68FE" w:rsidRPr="00E00167">
        <w:t>Alansari,</w:t>
      </w:r>
      <w:r w:rsidR="003D640C" w:rsidRPr="00E00167">
        <w:t xml:space="preserve"> </w:t>
      </w:r>
      <w:r w:rsidR="006F68FE" w:rsidRPr="00E00167">
        <w:t>M.,</w:t>
      </w:r>
      <w:r w:rsidR="003D640C" w:rsidRPr="00E00167">
        <w:t xml:space="preserve"> </w:t>
      </w:r>
      <w:r w:rsidR="006F68FE" w:rsidRPr="00E00167">
        <w:t>Besley,</w:t>
      </w:r>
      <w:r w:rsidR="003D640C" w:rsidRPr="00E00167">
        <w:t xml:space="preserve"> </w:t>
      </w:r>
      <w:r w:rsidR="006F68FE" w:rsidRPr="00E00167">
        <w:t>T.,</w:t>
      </w:r>
      <w:r w:rsidR="003D640C" w:rsidRPr="00E00167">
        <w:t xml:space="preserve"> </w:t>
      </w:r>
      <w:r w:rsidR="006F68FE" w:rsidRPr="00E00167">
        <w:t>Kerekere,</w:t>
      </w:r>
      <w:r w:rsidR="003D640C" w:rsidRPr="00E00167">
        <w:t xml:space="preserve"> </w:t>
      </w:r>
      <w:r w:rsidR="006F68FE" w:rsidRPr="00E00167">
        <w:t>E.,</w:t>
      </w:r>
      <w:r w:rsidR="003D640C" w:rsidRPr="00E00167">
        <w:t xml:space="preserve"> </w:t>
      </w:r>
      <w:r w:rsidR="006F68FE" w:rsidRPr="00E00167">
        <w:t>Pasley,</w:t>
      </w:r>
      <w:r w:rsidR="003D640C" w:rsidRPr="00E00167">
        <w:t xml:space="preserve"> </w:t>
      </w:r>
      <w:r w:rsidR="006F68FE" w:rsidRPr="00E00167">
        <w:t>A.,</w:t>
      </w:r>
      <w:r w:rsidR="003D640C" w:rsidRPr="00E00167">
        <w:t xml:space="preserve"> </w:t>
      </w:r>
      <w:r w:rsidR="006F68FE" w:rsidRPr="00E00167">
        <w:t>Saxton,</w:t>
      </w:r>
      <w:r w:rsidR="003D640C" w:rsidRPr="00E00167">
        <w:t xml:space="preserve"> </w:t>
      </w:r>
      <w:r w:rsidR="006F68FE" w:rsidRPr="00E00167">
        <w:t>P.,</w:t>
      </w:r>
      <w:r w:rsidR="003D640C" w:rsidRPr="00E00167">
        <w:t xml:space="preserve"> </w:t>
      </w:r>
      <w:r w:rsidR="006F68FE" w:rsidRPr="00E00167">
        <w:t>Subramanian,</w:t>
      </w:r>
      <w:r w:rsidR="003D640C" w:rsidRPr="00E00167">
        <w:t xml:space="preserve"> </w:t>
      </w:r>
      <w:r w:rsidR="006F68FE" w:rsidRPr="00E00167">
        <w:t>P.,</w:t>
      </w:r>
      <w:r w:rsidR="003D640C" w:rsidRPr="00E00167">
        <w:t xml:space="preserve"> </w:t>
      </w:r>
      <w:r w:rsidR="006F68FE" w:rsidRPr="00E00167">
        <w:t>Thomsen,</w:t>
      </w:r>
      <w:r w:rsidR="003D640C" w:rsidRPr="00E00167">
        <w:t xml:space="preserve"> </w:t>
      </w:r>
      <w:r w:rsidR="006F68FE" w:rsidRPr="00E00167">
        <w:t>P.,</w:t>
      </w:r>
      <w:r w:rsidR="003D640C" w:rsidRPr="00E00167">
        <w:t xml:space="preserve"> </w:t>
      </w:r>
      <w:r w:rsidR="006F68FE" w:rsidRPr="00E00167">
        <w:t>&amp;</w:t>
      </w:r>
      <w:r w:rsidR="003D640C" w:rsidRPr="00E00167">
        <w:t xml:space="preserve"> </w:t>
      </w:r>
      <w:r w:rsidR="006F68FE" w:rsidRPr="00E00167">
        <w:t>Veale,</w:t>
      </w:r>
      <w:r w:rsidR="003D640C" w:rsidRPr="00E00167">
        <w:t xml:space="preserve"> </w:t>
      </w:r>
      <w:r w:rsidR="006F68FE" w:rsidRPr="00E00167">
        <w:t>J.</w:t>
      </w:r>
      <w:r w:rsidR="003D640C" w:rsidRPr="00E00167">
        <w:t xml:space="preserve"> </w:t>
      </w:r>
      <w:r w:rsidR="006F68FE" w:rsidRPr="00E00167">
        <w:t>(2022).</w:t>
      </w:r>
      <w:r w:rsidR="5153A418" w:rsidRPr="5153A418">
        <w:rPr>
          <w:i/>
          <w:iCs/>
        </w:rPr>
        <w:t> Identify</w:t>
      </w:r>
      <w:r w:rsidR="003D640C" w:rsidRPr="007B139B">
        <w:rPr>
          <w:i/>
          <w:iCs/>
        </w:rPr>
        <w:t xml:space="preserve"> </w:t>
      </w:r>
      <w:r w:rsidR="006F68FE" w:rsidRPr="007B139B">
        <w:rPr>
          <w:i/>
          <w:iCs/>
        </w:rPr>
        <w:t>survey:</w:t>
      </w:r>
      <w:r w:rsidR="003D640C" w:rsidRPr="007B139B">
        <w:rPr>
          <w:i/>
          <w:iCs/>
        </w:rPr>
        <w:t xml:space="preserve"> </w:t>
      </w:r>
      <w:r w:rsidR="006F68FE" w:rsidRPr="007B139B">
        <w:rPr>
          <w:i/>
          <w:iCs/>
        </w:rPr>
        <w:t>Community</w:t>
      </w:r>
      <w:r w:rsidR="003D640C" w:rsidRPr="007B139B">
        <w:rPr>
          <w:i/>
          <w:iCs/>
        </w:rPr>
        <w:t xml:space="preserve"> </w:t>
      </w:r>
      <w:r w:rsidR="006F68FE" w:rsidRPr="007B139B">
        <w:rPr>
          <w:i/>
          <w:iCs/>
        </w:rPr>
        <w:t>and</w:t>
      </w:r>
      <w:r w:rsidR="003D640C" w:rsidRPr="007B139B">
        <w:rPr>
          <w:i/>
          <w:iCs/>
        </w:rPr>
        <w:t xml:space="preserve"> </w:t>
      </w:r>
      <w:r w:rsidR="006F68FE" w:rsidRPr="007B139B">
        <w:rPr>
          <w:i/>
          <w:iCs/>
        </w:rPr>
        <w:t>advocacy</w:t>
      </w:r>
      <w:r w:rsidR="003D640C" w:rsidRPr="007B139B">
        <w:rPr>
          <w:i/>
          <w:iCs/>
        </w:rPr>
        <w:t xml:space="preserve"> </w:t>
      </w:r>
      <w:r w:rsidR="006F68FE" w:rsidRPr="007B139B">
        <w:rPr>
          <w:i/>
          <w:iCs/>
        </w:rPr>
        <w:t>report</w:t>
      </w:r>
      <w:r w:rsidR="006F68FE" w:rsidRPr="00E00167">
        <w:t>.</w:t>
      </w:r>
      <w:r w:rsidR="5153A418" w:rsidRPr="00E00167">
        <w:t> Identify</w:t>
      </w:r>
      <w:r w:rsidR="003D640C" w:rsidRPr="00E00167">
        <w:t xml:space="preserve"> </w:t>
      </w:r>
      <w:r w:rsidR="006F68FE" w:rsidRPr="00E00167">
        <w:t>Survey</w:t>
      </w:r>
      <w:r w:rsidR="003D640C" w:rsidRPr="00E00167">
        <w:t xml:space="preserve"> </w:t>
      </w:r>
      <w:r w:rsidR="006F68FE" w:rsidRPr="00E00167">
        <w:t>Team.</w:t>
      </w:r>
      <w:r w:rsidR="003D640C" w:rsidRPr="00E00167" w:rsidDel="00DD1E1F">
        <w:t xml:space="preserve"> </w:t>
      </w:r>
      <w:r w:rsidR="5153A418">
        <w:t xml:space="preserve"> </w:t>
      </w:r>
    </w:p>
  </w:footnote>
  <w:footnote w:id="4">
    <w:p w14:paraId="2FC411C9" w14:textId="6D19A7D8" w:rsidR="000524BF" w:rsidRPr="003D640C" w:rsidRDefault="001A4F8C" w:rsidP="00E00167">
      <w:pPr>
        <w:pStyle w:val="FootnoteText"/>
      </w:pPr>
      <w:r w:rsidRPr="003D640C">
        <w:rPr>
          <w:rStyle w:val="FootnoteReference"/>
        </w:rPr>
        <w:footnoteRef/>
      </w:r>
      <w:r w:rsidR="003D640C">
        <w:t xml:space="preserve"> </w:t>
      </w:r>
      <w:r w:rsidR="00C7548C">
        <w:t>Ibid</w:t>
      </w:r>
      <w:r w:rsidR="000524BF" w:rsidRPr="00C7548C">
        <w:t>.</w:t>
      </w:r>
    </w:p>
  </w:footnote>
  <w:footnote w:id="5">
    <w:p w14:paraId="603C3D31" w14:textId="785C0AC8" w:rsidR="0048710C" w:rsidRPr="00CA3C7E" w:rsidRDefault="0048710C">
      <w:pPr>
        <w:pStyle w:val="FootnoteText"/>
        <w:rPr>
          <w:lang w:val="mi-NZ"/>
        </w:rPr>
      </w:pPr>
      <w:r>
        <w:rPr>
          <w:rStyle w:val="FootnoteReference"/>
        </w:rPr>
        <w:footnoteRef/>
      </w:r>
      <w:r>
        <w:t xml:space="preserve"> </w:t>
      </w:r>
      <w:r w:rsidR="00DA101F" w:rsidRPr="005B33A1">
        <w:t>Pihama</w:t>
      </w:r>
      <w:r w:rsidR="00DA101F" w:rsidRPr="00B6157E">
        <w:t xml:space="preserve">, L., Green, A., Mika, C., Roskrudge, M., Simmonds, S., Nopera, T., Skipper, H., &amp; Laurence, R. (2020). </w:t>
      </w:r>
      <w:r w:rsidR="00DA101F" w:rsidRPr="00B6157E">
        <w:rPr>
          <w:i/>
          <w:iCs/>
        </w:rPr>
        <w:t>Honour Project Aotearoa</w:t>
      </w:r>
      <w:r w:rsidR="007E237C">
        <w:t xml:space="preserve">. Te Kotahi </w:t>
      </w:r>
      <w:r w:rsidR="00810817">
        <w:t>Research Institute</w:t>
      </w:r>
      <w:r w:rsidR="00301A2D" w:rsidRPr="00A91462">
        <w:rPr>
          <w:lang w:val="mi-NZ"/>
        </w:rPr>
        <w:t xml:space="preserve">; </w:t>
      </w:r>
      <w:r w:rsidR="00493451">
        <w:t xml:space="preserve">Thomsen, P., Brown-Acton, P., Manuela, S., Tiatia-Siau, J., Greaves, L., &amp; Sluyter, J. (2023). </w:t>
      </w:r>
      <w:r w:rsidR="00493451" w:rsidRPr="00AF74F6">
        <w:rPr>
          <w:i/>
          <w:iCs/>
        </w:rPr>
        <w:t>The Manalagi survey community report: Examining the health and wellbeing of Pacific Rainbow+ peoples in Aotearoa-New Zealand</w:t>
      </w:r>
      <w:r w:rsidR="00493451">
        <w:t>. The Manalagi Project Team</w:t>
      </w:r>
      <w:r w:rsidR="00CA3C7E" w:rsidRPr="00A91462">
        <w:t>;</w:t>
      </w:r>
      <w:r w:rsidR="00015980" w:rsidRPr="00A91462">
        <w:t xml:space="preserve"> </w:t>
      </w:r>
      <w:r w:rsidR="002E05FE">
        <w:t xml:space="preserve">Bal, V., &amp; Divakalala, C. (2022). </w:t>
      </w:r>
      <w:r w:rsidR="002E05FE" w:rsidRPr="005B33A1">
        <w:rPr>
          <w:i/>
          <w:iCs/>
        </w:rPr>
        <w:t>“Community is where the knowledge is”: The Adhikaar report</w:t>
      </w:r>
      <w:r w:rsidR="002E05FE">
        <w:t xml:space="preserve">. </w:t>
      </w:r>
      <w:r w:rsidR="002E05FE" w:rsidRPr="005B33A1">
        <w:t>Adhikaar Aotearoa</w:t>
      </w:r>
      <w:r w:rsidR="009C35B8">
        <w:t>.</w:t>
      </w:r>
    </w:p>
  </w:footnote>
  <w:footnote w:id="6">
    <w:p w14:paraId="7C5B773F" w14:textId="226F8927" w:rsidR="00006AB1" w:rsidRPr="00464C9C" w:rsidRDefault="00006AB1">
      <w:pPr>
        <w:pStyle w:val="FootnoteText"/>
        <w:rPr>
          <w:lang w:val="mi-NZ"/>
        </w:rPr>
      </w:pPr>
      <w:r>
        <w:rPr>
          <w:rStyle w:val="FootnoteReference"/>
        </w:rPr>
        <w:footnoteRef/>
      </w:r>
      <w:r>
        <w:t xml:space="preserve"> </w:t>
      </w:r>
      <w:r>
        <w:rPr>
          <w:lang w:val="mi-NZ"/>
        </w:rPr>
        <w:t>Pihama et al, 202</w:t>
      </w:r>
      <w:r w:rsidR="00B7035D">
        <w:rPr>
          <w:lang w:val="mi-NZ"/>
        </w:rPr>
        <w:t>0.</w:t>
      </w:r>
    </w:p>
  </w:footnote>
  <w:footnote w:id="7">
    <w:p w14:paraId="43EB5500" w14:textId="1166C52D" w:rsidR="00AA159D" w:rsidRDefault="00AA159D">
      <w:pPr>
        <w:pStyle w:val="FootnoteText"/>
      </w:pPr>
      <w:r>
        <w:rPr>
          <w:rStyle w:val="FootnoteReference"/>
        </w:rPr>
        <w:footnoteRef/>
      </w:r>
      <w:r>
        <w:t xml:space="preserve"> </w:t>
      </w:r>
      <w:r w:rsidR="0031089A">
        <w:t xml:space="preserve">United Nations Human Rights Special Procedures. (2023, October 27). </w:t>
      </w:r>
      <w:r w:rsidR="0031089A" w:rsidRPr="005B33A1">
        <w:rPr>
          <w:i/>
          <w:iCs/>
        </w:rPr>
        <w:t>LGBT persons with disabilities</w:t>
      </w:r>
      <w:r w:rsidR="0031089A">
        <w:t xml:space="preserve"> (p. 2).</w:t>
      </w:r>
    </w:p>
  </w:footnote>
  <w:footnote w:id="8">
    <w:p w14:paraId="0C253F39" w14:textId="49B9A9CF" w:rsidR="00AA159D" w:rsidRDefault="00AA159D">
      <w:pPr>
        <w:pStyle w:val="FootnoteText"/>
      </w:pPr>
      <w:r>
        <w:rPr>
          <w:rStyle w:val="FootnoteReference"/>
        </w:rPr>
        <w:footnoteRef/>
      </w:r>
      <w:r>
        <w:t xml:space="preserve"> </w:t>
      </w:r>
      <w:r w:rsidR="002F28FC">
        <w:t xml:space="preserve">Hattotuwa, S., Hannah, K., &amp; Taylor, K. (2023). </w:t>
      </w:r>
      <w:r w:rsidR="002F28FC" w:rsidRPr="00DF1BE5">
        <w:rPr>
          <w:i/>
          <w:iCs/>
        </w:rPr>
        <w:t>Transgressive transitions. Transphobia, community building, bridging, and bonding within Aotearoa New Zealand’s disinformation ecologies</w:t>
      </w:r>
      <w:r w:rsidR="002F28FC">
        <w:t>. The Disinformation Project.</w:t>
      </w:r>
    </w:p>
  </w:footnote>
  <w:footnote w:id="9">
    <w:p w14:paraId="082B4E1E" w14:textId="131CE213" w:rsidR="00AA159D" w:rsidRDefault="00AA159D">
      <w:pPr>
        <w:pStyle w:val="FootnoteText"/>
      </w:pPr>
      <w:r>
        <w:rPr>
          <w:rStyle w:val="FootnoteReference"/>
        </w:rPr>
        <w:footnoteRef/>
      </w:r>
      <w:r>
        <w:t xml:space="preserve"> </w:t>
      </w:r>
      <w:r w:rsidR="00840033" w:rsidRPr="005B33A1">
        <w:t>Fenaughty</w:t>
      </w:r>
      <w:r w:rsidR="00840033" w:rsidRPr="009635D0">
        <w:t xml:space="preserve">, J., Ker, A., Alansari, M., Besley, T., Kerekere, E., Pasley, A., Saxton, P., Subramanian, P., Thomsen, P. &amp; Veale, J. (2022). </w:t>
      </w:r>
      <w:r w:rsidR="00840033" w:rsidRPr="009635D0">
        <w:rPr>
          <w:i/>
        </w:rPr>
        <w:t>Identify survey: Community and advocacy report.</w:t>
      </w:r>
      <w:r w:rsidR="00840033" w:rsidRPr="009635D0">
        <w:t xml:space="preserve"> Identify Survey Team.</w:t>
      </w:r>
    </w:p>
  </w:footnote>
  <w:footnote w:id="10">
    <w:p w14:paraId="3DEC9C53" w14:textId="099BC1C6" w:rsidR="009A0EC5" w:rsidRPr="005D23E2" w:rsidRDefault="009A0EC5">
      <w:pPr>
        <w:pStyle w:val="FootnoteText"/>
        <w:rPr>
          <w:lang w:val="mi-NZ"/>
        </w:rPr>
      </w:pPr>
      <w:r>
        <w:rPr>
          <w:rStyle w:val="FootnoteReference"/>
        </w:rPr>
        <w:footnoteRef/>
      </w:r>
      <w:r>
        <w:t xml:space="preserve"> </w:t>
      </w:r>
      <w:r w:rsidR="00661803" w:rsidRPr="005B33A1">
        <w:t>Human</w:t>
      </w:r>
      <w:r w:rsidR="00661803" w:rsidRPr="00B6157E">
        <w:t xml:space="preserve"> Rights Commission. (2020). </w:t>
      </w:r>
      <w:r w:rsidR="00661803" w:rsidRPr="00B6157E">
        <w:rPr>
          <w:i/>
          <w:iCs/>
        </w:rPr>
        <w:t>Prism: Human rights issues relating to sexual orientation, gender identity and expression, and sex characteristics (SOGIESC) in Aotearoa New Zealand – A report with recommendations</w:t>
      </w:r>
      <w:r w:rsidR="00661803" w:rsidRPr="00B6157E">
        <w:t>.</w:t>
      </w:r>
    </w:p>
  </w:footnote>
  <w:footnote w:id="11">
    <w:p w14:paraId="5A301394" w14:textId="37BB5A37" w:rsidR="009A0EC5" w:rsidRPr="005D23E2" w:rsidRDefault="009A0EC5">
      <w:pPr>
        <w:pStyle w:val="FootnoteText"/>
        <w:rPr>
          <w:lang w:val="mi-NZ"/>
        </w:rPr>
      </w:pPr>
      <w:r>
        <w:rPr>
          <w:rStyle w:val="FootnoteReference"/>
        </w:rPr>
        <w:footnoteRef/>
      </w:r>
      <w:r>
        <w:t xml:space="preserve"> Human Rights Commission &amp; Tangata Whenua Caucus and Tangata Tiriti Caucus of the National Anti</w:t>
      </w:r>
      <w:r w:rsidR="005D23E2">
        <w:t>-</w:t>
      </w:r>
      <w:r>
        <w:t xml:space="preserve">Racism Taskforce. (2022). </w:t>
      </w:r>
      <w:r w:rsidRPr="007B139B">
        <w:rPr>
          <w:i/>
          <w:iCs/>
        </w:rPr>
        <w:t>Ki te whaiao, ki te ao Mārama</w:t>
      </w:r>
      <w:r>
        <w:rPr>
          <w:i/>
          <w:iCs/>
        </w:rPr>
        <w:t>:</w:t>
      </w:r>
      <w:r w:rsidRPr="007B139B">
        <w:rPr>
          <w:i/>
          <w:iCs/>
        </w:rPr>
        <w:t xml:space="preserve"> Community </w:t>
      </w:r>
      <w:r>
        <w:rPr>
          <w:i/>
          <w:iCs/>
        </w:rPr>
        <w:t>e</w:t>
      </w:r>
      <w:r w:rsidRPr="007B139B">
        <w:rPr>
          <w:i/>
          <w:iCs/>
        </w:rPr>
        <w:t xml:space="preserve">ngagement </w:t>
      </w:r>
      <w:r>
        <w:rPr>
          <w:i/>
          <w:iCs/>
        </w:rPr>
        <w:t>r</w:t>
      </w:r>
      <w:r w:rsidRPr="007B139B">
        <w:rPr>
          <w:i/>
          <w:iCs/>
        </w:rPr>
        <w:t>eport</w:t>
      </w:r>
      <w:r>
        <w:rPr>
          <w:i/>
          <w:iCs/>
        </w:rPr>
        <w:t xml:space="preserve"> </w:t>
      </w:r>
      <w:r w:rsidRPr="00DF1BE5">
        <w:rPr>
          <w:i/>
          <w:iCs/>
        </w:rPr>
        <w:t>for developing a national action pl</w:t>
      </w:r>
      <w:r>
        <w:rPr>
          <w:i/>
          <w:iCs/>
        </w:rPr>
        <w:t>a</w:t>
      </w:r>
      <w:r w:rsidRPr="00DF1BE5">
        <w:rPr>
          <w:i/>
          <w:iCs/>
        </w:rPr>
        <w:t>n against racism</w:t>
      </w:r>
      <w:r>
        <w:t>.</w:t>
      </w:r>
    </w:p>
  </w:footnote>
  <w:footnote w:id="12">
    <w:p w14:paraId="04B6959A" w14:textId="3D0E9AFB" w:rsidR="00577F8F" w:rsidRDefault="00577F8F" w:rsidP="00E00167">
      <w:pPr>
        <w:pStyle w:val="FootnoteText"/>
      </w:pPr>
      <w:r>
        <w:rPr>
          <w:rStyle w:val="FootnoteReference"/>
        </w:rPr>
        <w:footnoteRef/>
      </w:r>
      <w:r>
        <w:t xml:space="preserve"> Kohn, M</w:t>
      </w:r>
      <w:r w:rsidR="001D6622">
        <w:t>.</w:t>
      </w:r>
      <w:r w:rsidR="00B7120A">
        <w:t>,</w:t>
      </w:r>
      <w:r>
        <w:t xml:space="preserve"> </w:t>
      </w:r>
      <w:r w:rsidR="001D6622">
        <w:t>&amp;</w:t>
      </w:r>
      <w:r>
        <w:t xml:space="preserve"> Reddy, K. (2023)</w:t>
      </w:r>
      <w:r w:rsidR="00B7120A">
        <w:t>.</w:t>
      </w:r>
      <w:r>
        <w:t xml:space="preserve"> Colonialism. </w:t>
      </w:r>
      <w:r w:rsidR="00B7120A">
        <w:t>In E.</w:t>
      </w:r>
      <w:r w:rsidR="00B7120A" w:rsidRPr="007B139B">
        <w:t xml:space="preserve"> Zalta &amp; U</w:t>
      </w:r>
      <w:r w:rsidR="00B7120A">
        <w:t>.</w:t>
      </w:r>
      <w:r w:rsidR="00B7120A" w:rsidRPr="007B139B">
        <w:t xml:space="preserve"> Nodelman (Eds.),</w:t>
      </w:r>
      <w:r w:rsidR="00B7120A">
        <w:rPr>
          <w:rFonts w:ascii="Source Sans Pro" w:hAnsi="Source Sans Pro"/>
          <w:color w:val="1A1A1A"/>
          <w:sz w:val="23"/>
          <w:szCs w:val="23"/>
        </w:rPr>
        <w:t xml:space="preserve"> </w:t>
      </w:r>
      <w:r w:rsidRPr="007B139B">
        <w:rPr>
          <w:i/>
          <w:iCs/>
        </w:rPr>
        <w:t>Stanford Encyclopedia of Philosophy</w:t>
      </w:r>
      <w:r>
        <w:t>.</w:t>
      </w:r>
      <w:r w:rsidR="00B7120A">
        <w:t xml:space="preserve"> Stanford University.</w:t>
      </w:r>
    </w:p>
  </w:footnote>
  <w:footnote w:id="13">
    <w:p w14:paraId="72E5332D" w14:textId="13EBBC31" w:rsidR="00577F8F" w:rsidRDefault="00577F8F" w:rsidP="00E00167">
      <w:pPr>
        <w:pStyle w:val="FootnoteText"/>
      </w:pPr>
      <w:r>
        <w:rPr>
          <w:rStyle w:val="FootnoteReference"/>
        </w:rPr>
        <w:footnoteRef/>
      </w:r>
      <w:r>
        <w:t xml:space="preserve"> Pierre, J. (2013)</w:t>
      </w:r>
      <w:r w:rsidR="00CD3E06">
        <w:t>.</w:t>
      </w:r>
      <w:r>
        <w:t xml:space="preserve"> </w:t>
      </w:r>
      <w:r w:rsidRPr="007B139B">
        <w:rPr>
          <w:i/>
          <w:iCs/>
        </w:rPr>
        <w:t>Diaspora</w:t>
      </w:r>
      <w:r>
        <w:t xml:space="preserve">. Oxford Bibliographies. </w:t>
      </w:r>
    </w:p>
  </w:footnote>
  <w:footnote w:id="14">
    <w:p w14:paraId="5DE94373" w14:textId="109F766E" w:rsidR="00577F8F" w:rsidRDefault="00577F8F" w:rsidP="00E00167">
      <w:pPr>
        <w:pStyle w:val="FootnoteText"/>
      </w:pPr>
      <w:r>
        <w:rPr>
          <w:rStyle w:val="FootnoteReference"/>
        </w:rPr>
        <w:footnoteRef/>
      </w:r>
      <w:r>
        <w:t xml:space="preserve"> </w:t>
      </w:r>
      <w:r w:rsidRPr="00993640">
        <w:rPr>
          <w:shd w:val="clear" w:color="auto" w:fill="FFFFFF"/>
        </w:rPr>
        <w:t>Ministry</w:t>
      </w:r>
      <w:r>
        <w:rPr>
          <w:shd w:val="clear" w:color="auto" w:fill="FFFFFF"/>
        </w:rPr>
        <w:t xml:space="preserve"> </w:t>
      </w:r>
      <w:r w:rsidRPr="00993640">
        <w:rPr>
          <w:shd w:val="clear" w:color="auto" w:fill="FFFFFF"/>
        </w:rPr>
        <w:t>for</w:t>
      </w:r>
      <w:r>
        <w:rPr>
          <w:shd w:val="clear" w:color="auto" w:fill="FFFFFF"/>
        </w:rPr>
        <w:t xml:space="preserve"> </w:t>
      </w:r>
      <w:r w:rsidRPr="00993640">
        <w:rPr>
          <w:shd w:val="clear" w:color="auto" w:fill="FFFFFF"/>
        </w:rPr>
        <w:t>Ethnic</w:t>
      </w:r>
      <w:r>
        <w:rPr>
          <w:shd w:val="clear" w:color="auto" w:fill="FFFFFF"/>
        </w:rPr>
        <w:t xml:space="preserve"> </w:t>
      </w:r>
      <w:r w:rsidRPr="00993640">
        <w:rPr>
          <w:shd w:val="clear" w:color="auto" w:fill="FFFFFF"/>
        </w:rPr>
        <w:t>Communities</w:t>
      </w:r>
      <w:r>
        <w:rPr>
          <w:shd w:val="clear" w:color="auto" w:fill="FFFFFF"/>
        </w:rPr>
        <w:t xml:space="preserve"> </w:t>
      </w:r>
      <w:r w:rsidR="002A5F08">
        <w:rPr>
          <w:shd w:val="clear" w:color="auto" w:fill="FFFFFF"/>
        </w:rPr>
        <w:t xml:space="preserve">| </w:t>
      </w:r>
      <w:r w:rsidRPr="00993640">
        <w:rPr>
          <w:shd w:val="clear" w:color="auto" w:fill="FFFFFF"/>
        </w:rPr>
        <w:t>Te</w:t>
      </w:r>
      <w:r>
        <w:rPr>
          <w:shd w:val="clear" w:color="auto" w:fill="FFFFFF"/>
        </w:rPr>
        <w:t xml:space="preserve"> </w:t>
      </w:r>
      <w:r w:rsidRPr="00993640">
        <w:rPr>
          <w:shd w:val="clear" w:color="auto" w:fill="FFFFFF"/>
        </w:rPr>
        <w:t>Tari</w:t>
      </w:r>
      <w:r>
        <w:rPr>
          <w:shd w:val="clear" w:color="auto" w:fill="FFFFFF"/>
        </w:rPr>
        <w:t xml:space="preserve"> </w:t>
      </w:r>
      <w:r w:rsidRPr="00993640">
        <w:rPr>
          <w:shd w:val="clear" w:color="auto" w:fill="FFFFFF"/>
        </w:rPr>
        <w:t>Mātāwaka</w:t>
      </w:r>
      <w:r w:rsidR="002A5F08">
        <w:rPr>
          <w:shd w:val="clear" w:color="auto" w:fill="FFFFFF"/>
        </w:rPr>
        <w:t>.</w:t>
      </w:r>
      <w:r>
        <w:rPr>
          <w:shd w:val="clear" w:color="auto" w:fill="FFFFFF"/>
        </w:rPr>
        <w:t xml:space="preserve"> </w:t>
      </w:r>
      <w:r w:rsidRPr="00993640">
        <w:rPr>
          <w:shd w:val="clear" w:color="auto" w:fill="FFFFFF"/>
        </w:rPr>
        <w:t>(202</w:t>
      </w:r>
      <w:r w:rsidR="002A5F08">
        <w:rPr>
          <w:shd w:val="clear" w:color="auto" w:fill="FFFFFF"/>
        </w:rPr>
        <w:t>4</w:t>
      </w:r>
      <w:r w:rsidRPr="00993640">
        <w:rPr>
          <w:shd w:val="clear" w:color="auto" w:fill="FFFFFF"/>
        </w:rPr>
        <w:t>).</w:t>
      </w:r>
      <w:r>
        <w:rPr>
          <w:shd w:val="clear" w:color="auto" w:fill="FFFFFF"/>
        </w:rPr>
        <w:t xml:space="preserve"> </w:t>
      </w:r>
      <w:r w:rsidRPr="007B139B">
        <w:rPr>
          <w:rFonts w:cstheme="minorHAnsi"/>
          <w:i/>
          <w:iCs/>
          <w:color w:val="161719"/>
          <w:shd w:val="clear" w:color="auto" w:fill="FFFFFF"/>
        </w:rPr>
        <w:t xml:space="preserve">Our </w:t>
      </w:r>
      <w:r w:rsidR="002A5F08">
        <w:rPr>
          <w:rFonts w:cstheme="minorHAnsi"/>
          <w:i/>
          <w:iCs/>
          <w:color w:val="161719"/>
          <w:shd w:val="clear" w:color="auto" w:fill="FFFFFF"/>
        </w:rPr>
        <w:t>c</w:t>
      </w:r>
      <w:r w:rsidRPr="007B139B">
        <w:rPr>
          <w:rFonts w:cstheme="minorHAnsi"/>
          <w:i/>
          <w:iCs/>
          <w:color w:val="161719"/>
          <w:shd w:val="clear" w:color="auto" w:fill="FFFFFF"/>
        </w:rPr>
        <w:t>ommunities</w:t>
      </w:r>
      <w:r w:rsidRPr="00B56A04">
        <w:t>.</w:t>
      </w:r>
    </w:p>
  </w:footnote>
  <w:footnote w:id="15">
    <w:p w14:paraId="58CD8797" w14:textId="508F1E85" w:rsidR="00577F8F" w:rsidRDefault="00577F8F" w:rsidP="00E00167">
      <w:pPr>
        <w:pStyle w:val="FootnoteText"/>
      </w:pPr>
      <w:r>
        <w:rPr>
          <w:rStyle w:val="FootnoteReference"/>
        </w:rPr>
        <w:footnoteRef/>
      </w:r>
      <w:r>
        <w:t xml:space="preserve"> Ministry for Ethnic Communities </w:t>
      </w:r>
      <w:r w:rsidR="002A5F08">
        <w:t xml:space="preserve">| </w:t>
      </w:r>
      <w:r>
        <w:t>Te Tari Mātāwaka</w:t>
      </w:r>
      <w:r w:rsidR="00A752B0">
        <w:t>.</w:t>
      </w:r>
      <w:r>
        <w:t xml:space="preserve"> (2023, March 13). </w:t>
      </w:r>
      <w:r w:rsidRPr="007B139B">
        <w:rPr>
          <w:i/>
          <w:iCs/>
        </w:rPr>
        <w:t xml:space="preserve">Ethnic </w:t>
      </w:r>
      <w:r w:rsidR="00A752B0" w:rsidRPr="007B139B">
        <w:rPr>
          <w:i/>
          <w:iCs/>
        </w:rPr>
        <w:t>c</w:t>
      </w:r>
      <w:r w:rsidRPr="007B139B">
        <w:rPr>
          <w:i/>
          <w:iCs/>
        </w:rPr>
        <w:t>ommunities in New Zealand</w:t>
      </w:r>
      <w:r>
        <w:t>.</w:t>
      </w:r>
    </w:p>
  </w:footnote>
  <w:footnote w:id="16">
    <w:p w14:paraId="5FD78C83" w14:textId="205818E3" w:rsidR="00577F8F" w:rsidRDefault="00577F8F" w:rsidP="00E00167">
      <w:pPr>
        <w:pStyle w:val="FootnoteText"/>
      </w:pPr>
      <w:r>
        <w:rPr>
          <w:rStyle w:val="FootnoteReference"/>
        </w:rPr>
        <w:footnoteRef/>
      </w:r>
      <w:r>
        <w:t xml:space="preserve"> Stats</w:t>
      </w:r>
      <w:r w:rsidR="00A752B0">
        <w:t xml:space="preserve"> </w:t>
      </w:r>
      <w:r>
        <w:t>NZ</w:t>
      </w:r>
      <w:r w:rsidR="00A752B0">
        <w:t>.</w:t>
      </w:r>
      <w:r>
        <w:t xml:space="preserve"> (2021</w:t>
      </w:r>
      <w:r w:rsidR="00A752B0">
        <w:t>, April 21</w:t>
      </w:r>
      <w:r>
        <w:t>)</w:t>
      </w:r>
      <w:r w:rsidR="00A752B0">
        <w:t>.</w:t>
      </w:r>
      <w:r>
        <w:t xml:space="preserve"> </w:t>
      </w:r>
      <w:r w:rsidRPr="007B139B">
        <w:rPr>
          <w:i/>
          <w:iCs/>
        </w:rPr>
        <w:t>Gender, sex, variations of sex characteristics, and sexual identity</w:t>
      </w:r>
      <w:r>
        <w:t>.</w:t>
      </w:r>
    </w:p>
  </w:footnote>
  <w:footnote w:id="17">
    <w:p w14:paraId="1337A540" w14:textId="51AC6D2A" w:rsidR="00774717" w:rsidRDefault="00774717">
      <w:pPr>
        <w:pStyle w:val="FootnoteText"/>
      </w:pPr>
      <w:r>
        <w:rPr>
          <w:rStyle w:val="FootnoteReference"/>
        </w:rPr>
        <w:footnoteRef/>
      </w:r>
      <w:r>
        <w:t xml:space="preserve"> Brown-Acton, P. (2011, March </w:t>
      </w:r>
      <w:r w:rsidR="003B6364">
        <w:t>12–19</w:t>
      </w:r>
      <w:r>
        <w:t xml:space="preserve">). </w:t>
      </w:r>
      <w:r w:rsidRPr="007B139B">
        <w:rPr>
          <w:i/>
          <w:iCs/>
        </w:rPr>
        <w:t xml:space="preserve">Movement </w:t>
      </w:r>
      <w:r w:rsidR="003B6364" w:rsidRPr="003B6364">
        <w:rPr>
          <w:i/>
          <w:iCs/>
        </w:rPr>
        <w:t>building for chang</w:t>
      </w:r>
      <w:r w:rsidRPr="007B139B">
        <w:rPr>
          <w:i/>
          <w:iCs/>
        </w:rPr>
        <w:t>e</w:t>
      </w:r>
      <w:r w:rsidR="003B6364">
        <w:t xml:space="preserve"> [keynote presentation].</w:t>
      </w:r>
      <w:r>
        <w:t xml:space="preserve"> </w:t>
      </w:r>
      <w:r w:rsidR="007E7BB5">
        <w:t>2</w:t>
      </w:r>
      <w:r w:rsidR="007E7BB5" w:rsidRPr="007E7BB5">
        <w:t>nd</w:t>
      </w:r>
      <w:r w:rsidR="007E7BB5">
        <w:t xml:space="preserve"> AsiaPacific Outgames, </w:t>
      </w:r>
      <w:r>
        <w:t>Wellington</w:t>
      </w:r>
      <w:r w:rsidR="007E7BB5">
        <w:t>, New Zealand</w:t>
      </w:r>
      <w:r>
        <w:t xml:space="preserve">. </w:t>
      </w:r>
    </w:p>
  </w:footnote>
  <w:footnote w:id="18">
    <w:p w14:paraId="7A3B15E5" w14:textId="68885962" w:rsidR="0046640D" w:rsidRPr="0046640D" w:rsidRDefault="0046640D">
      <w:pPr>
        <w:pStyle w:val="FootnoteText"/>
        <w:rPr>
          <w:lang w:val="mi-NZ"/>
        </w:rPr>
      </w:pPr>
      <w:r>
        <w:rPr>
          <w:rStyle w:val="FootnoteReference"/>
        </w:rPr>
        <w:footnoteRef/>
      </w:r>
      <w:r>
        <w:t xml:space="preserve"> </w:t>
      </w:r>
      <w:r w:rsidR="00B77A36">
        <w:t>Stats NZ, 2021.</w:t>
      </w:r>
    </w:p>
  </w:footnote>
  <w:footnote w:id="19">
    <w:p w14:paraId="209693AF" w14:textId="5DB4472E" w:rsidR="00577F8F" w:rsidRDefault="00577F8F" w:rsidP="00E00167">
      <w:pPr>
        <w:pStyle w:val="FootnoteText"/>
      </w:pPr>
      <w:r>
        <w:rPr>
          <w:rStyle w:val="FootnoteReference"/>
        </w:rPr>
        <w:footnoteRef/>
      </w:r>
      <w:r>
        <w:t xml:space="preserve"> Stats</w:t>
      </w:r>
      <w:r w:rsidR="00034558">
        <w:t xml:space="preserve"> </w:t>
      </w:r>
      <w:r>
        <w:t>NZ</w:t>
      </w:r>
      <w:r w:rsidR="00F1045C">
        <w:t>,</w:t>
      </w:r>
      <w:r>
        <w:t xml:space="preserve"> 2021</w:t>
      </w:r>
      <w:r w:rsidR="00034558">
        <w:t>.</w:t>
      </w:r>
      <w:r>
        <w:t xml:space="preserve"> </w:t>
      </w:r>
    </w:p>
  </w:footnote>
  <w:footnote w:id="20">
    <w:p w14:paraId="51BC8EB7" w14:textId="4B4BAECD" w:rsidR="00AE09FA" w:rsidRPr="00B1465F" w:rsidRDefault="00AE09FA" w:rsidP="00E00167">
      <w:pPr>
        <w:pStyle w:val="FootnoteText"/>
        <w:rPr>
          <w:lang w:val="en-US"/>
        </w:rPr>
      </w:pPr>
      <w:r>
        <w:rPr>
          <w:rStyle w:val="FootnoteReference"/>
        </w:rPr>
        <w:footnoteRef/>
      </w:r>
      <w:r w:rsidR="003D640C">
        <w:t xml:space="preserve"> </w:t>
      </w:r>
      <w:r w:rsidR="00D069F7">
        <w:t>Unless</w:t>
      </w:r>
      <w:r w:rsidR="003D640C">
        <w:t xml:space="preserve"> </w:t>
      </w:r>
      <w:r w:rsidR="00D069F7">
        <w:t>otherwise</w:t>
      </w:r>
      <w:r w:rsidR="003D640C">
        <w:t xml:space="preserve"> </w:t>
      </w:r>
      <w:r w:rsidR="00D069F7">
        <w:t>indicated,</w:t>
      </w:r>
      <w:r w:rsidR="003D640C">
        <w:t xml:space="preserve"> </w:t>
      </w:r>
      <w:r w:rsidR="00D069F7">
        <w:rPr>
          <w:lang w:val="en-US"/>
        </w:rPr>
        <w:t>t</w:t>
      </w:r>
      <w:r>
        <w:rPr>
          <w:lang w:val="en-US"/>
        </w:rPr>
        <w:t>he</w:t>
      </w:r>
      <w:r w:rsidR="003D640C">
        <w:rPr>
          <w:lang w:val="en-US"/>
        </w:rPr>
        <w:t xml:space="preserve"> </w:t>
      </w:r>
      <w:r>
        <w:rPr>
          <w:lang w:val="en-US"/>
        </w:rPr>
        <w:t>definitions</w:t>
      </w:r>
      <w:r w:rsidR="003D640C">
        <w:rPr>
          <w:lang w:val="en-US"/>
        </w:rPr>
        <w:t xml:space="preserve"> </w:t>
      </w:r>
      <w:r>
        <w:rPr>
          <w:lang w:val="en-US"/>
        </w:rPr>
        <w:t>for</w:t>
      </w:r>
      <w:r w:rsidR="003D640C">
        <w:rPr>
          <w:lang w:val="en-US"/>
        </w:rPr>
        <w:t xml:space="preserve"> </w:t>
      </w:r>
      <w:r>
        <w:rPr>
          <w:lang w:val="en-US"/>
        </w:rPr>
        <w:t>these</w:t>
      </w:r>
      <w:r w:rsidR="003D640C">
        <w:rPr>
          <w:lang w:val="en-US"/>
        </w:rPr>
        <w:t xml:space="preserve"> </w:t>
      </w:r>
      <w:r>
        <w:rPr>
          <w:lang w:val="en-US"/>
        </w:rPr>
        <w:t>kupu</w:t>
      </w:r>
      <w:r w:rsidR="003D640C">
        <w:rPr>
          <w:lang w:val="en-US"/>
        </w:rPr>
        <w:t xml:space="preserve"> </w:t>
      </w:r>
      <w:r>
        <w:rPr>
          <w:lang w:val="en-US"/>
        </w:rPr>
        <w:t>Māori</w:t>
      </w:r>
      <w:r w:rsidR="003D640C">
        <w:rPr>
          <w:lang w:val="en-US"/>
        </w:rPr>
        <w:t xml:space="preserve"> </w:t>
      </w:r>
      <w:r>
        <w:rPr>
          <w:lang w:val="en-US"/>
        </w:rPr>
        <w:t>are</w:t>
      </w:r>
      <w:r w:rsidR="003D640C">
        <w:rPr>
          <w:lang w:val="en-US"/>
        </w:rPr>
        <w:t xml:space="preserve"> </w:t>
      </w:r>
      <w:r>
        <w:rPr>
          <w:lang w:val="en-US"/>
        </w:rPr>
        <w:t>taken</w:t>
      </w:r>
      <w:r w:rsidR="003D640C">
        <w:rPr>
          <w:lang w:val="en-US"/>
        </w:rPr>
        <w:t xml:space="preserve"> </w:t>
      </w:r>
      <w:r>
        <w:rPr>
          <w:lang w:val="en-US"/>
        </w:rPr>
        <w:t>from</w:t>
      </w:r>
      <w:r w:rsidR="003D640C">
        <w:rPr>
          <w:lang w:val="en-US"/>
        </w:rPr>
        <w:t xml:space="preserve"> </w:t>
      </w:r>
      <w:r>
        <w:rPr>
          <w:lang w:val="en-US"/>
        </w:rPr>
        <w:t>Te</w:t>
      </w:r>
      <w:r w:rsidR="003D640C">
        <w:rPr>
          <w:lang w:val="en-US"/>
        </w:rPr>
        <w:t xml:space="preserve"> </w:t>
      </w:r>
      <w:r>
        <w:rPr>
          <w:lang w:val="en-US"/>
        </w:rPr>
        <w:t>Aka</w:t>
      </w:r>
      <w:r w:rsidR="003D640C">
        <w:rPr>
          <w:lang w:val="en-US"/>
        </w:rPr>
        <w:t xml:space="preserve"> </w:t>
      </w:r>
      <w:r>
        <w:rPr>
          <w:lang w:val="en-US"/>
        </w:rPr>
        <w:t>Māori</w:t>
      </w:r>
      <w:r w:rsidR="003D640C">
        <w:rPr>
          <w:lang w:val="en-US"/>
        </w:rPr>
        <w:t xml:space="preserve"> </w:t>
      </w:r>
      <w:r>
        <w:rPr>
          <w:lang w:val="en-US"/>
        </w:rPr>
        <w:t>Dictionary.</w:t>
      </w:r>
      <w:r w:rsidR="003D640C">
        <w:rPr>
          <w:lang w:val="en-US"/>
        </w:rPr>
        <w:t xml:space="preserve"> </w:t>
      </w:r>
      <w:hyperlink r:id="rId1" w:history="1">
        <w:r w:rsidRPr="00523CD5">
          <w:rPr>
            <w:rStyle w:val="Hyperlink"/>
            <w:lang w:val="en-US"/>
          </w:rPr>
          <w:t>https://www.maoridictionary.co.nz</w:t>
        </w:r>
      </w:hyperlink>
      <w:r w:rsidR="003D640C">
        <w:rPr>
          <w:lang w:val="en-US"/>
        </w:rPr>
        <w:t xml:space="preserve"> </w:t>
      </w:r>
    </w:p>
  </w:footnote>
  <w:footnote w:id="21">
    <w:p w14:paraId="6023D835" w14:textId="66DAF920" w:rsidR="00FB2A84" w:rsidRDefault="00FB2A84">
      <w:pPr>
        <w:pStyle w:val="FootnoteText"/>
      </w:pPr>
      <w:r>
        <w:rPr>
          <w:rStyle w:val="FootnoteReference"/>
        </w:rPr>
        <w:footnoteRef/>
      </w:r>
      <w:r>
        <w:t xml:space="preserve"> </w:t>
      </w:r>
      <w:r w:rsidRPr="007B139B">
        <w:t>Intersex</w:t>
      </w:r>
      <w:r>
        <w:t xml:space="preserve"> Aotearoa. (n.d.) </w:t>
      </w:r>
      <w:r>
        <w:rPr>
          <w:i/>
          <w:iCs/>
        </w:rPr>
        <w:t>Ira tangata.</w:t>
      </w:r>
    </w:p>
  </w:footnote>
  <w:footnote w:id="22">
    <w:p w14:paraId="3110190C" w14:textId="56C60DB2" w:rsidR="007D6EA0" w:rsidRPr="00D22105" w:rsidRDefault="007D6EA0" w:rsidP="00E00167">
      <w:pPr>
        <w:pStyle w:val="FootnoteText"/>
        <w:rPr>
          <w:lang w:val="en-US"/>
        </w:rPr>
      </w:pPr>
      <w:r w:rsidRPr="00D22105">
        <w:rPr>
          <w:rStyle w:val="FootnoteReference"/>
        </w:rPr>
        <w:footnoteRef/>
      </w:r>
      <w:r w:rsidR="003D640C">
        <w:t xml:space="preserve"> </w:t>
      </w:r>
      <w:r w:rsidRPr="00D22105">
        <w:t>The</w:t>
      </w:r>
      <w:r w:rsidR="003D640C">
        <w:t xml:space="preserve"> </w:t>
      </w:r>
      <w:r w:rsidRPr="00D22105">
        <w:t>diverse</w:t>
      </w:r>
      <w:r w:rsidR="003D640C">
        <w:t xml:space="preserve"> </w:t>
      </w:r>
      <w:r w:rsidRPr="00D22105">
        <w:t>SOGIESC</w:t>
      </w:r>
      <w:r w:rsidR="003D640C">
        <w:t xml:space="preserve"> </w:t>
      </w:r>
      <w:r w:rsidRPr="00D22105">
        <w:t>identities</w:t>
      </w:r>
      <w:r w:rsidR="003D640C">
        <w:t xml:space="preserve"> </w:t>
      </w:r>
      <w:r w:rsidRPr="00D22105">
        <w:t>defined</w:t>
      </w:r>
      <w:r w:rsidR="003D640C">
        <w:t xml:space="preserve"> </w:t>
      </w:r>
      <w:r w:rsidR="008F014D">
        <w:t>here</w:t>
      </w:r>
      <w:r w:rsidR="003D640C">
        <w:t xml:space="preserve"> </w:t>
      </w:r>
      <w:r w:rsidRPr="00D22105">
        <w:t>pre</w:t>
      </w:r>
      <w:r w:rsidR="00B140A0">
        <w:t>-</w:t>
      </w:r>
      <w:r w:rsidRPr="00D22105">
        <w:t>date</w:t>
      </w:r>
      <w:r w:rsidR="003D640C">
        <w:t xml:space="preserve"> </w:t>
      </w:r>
      <w:r w:rsidRPr="00D22105">
        <w:t>European</w:t>
      </w:r>
      <w:r w:rsidR="003D640C">
        <w:t xml:space="preserve"> </w:t>
      </w:r>
      <w:r w:rsidRPr="00D22105">
        <w:t>colonisation</w:t>
      </w:r>
      <w:r w:rsidR="003D640C">
        <w:t xml:space="preserve"> </w:t>
      </w:r>
      <w:r w:rsidRPr="00D22105">
        <w:t>of</w:t>
      </w:r>
      <w:r w:rsidR="003D640C">
        <w:t xml:space="preserve"> </w:t>
      </w:r>
      <w:r w:rsidRPr="00D22105">
        <w:t>South</w:t>
      </w:r>
      <w:r w:rsidR="003D640C">
        <w:t xml:space="preserve"> </w:t>
      </w:r>
      <w:r w:rsidRPr="00D22105">
        <w:t>Asia</w:t>
      </w:r>
      <w:r w:rsidR="003D640C">
        <w:t xml:space="preserve"> </w:t>
      </w:r>
      <w:r w:rsidRPr="00D22105">
        <w:t>by</w:t>
      </w:r>
      <w:r w:rsidR="003D640C">
        <w:t xml:space="preserve"> </w:t>
      </w:r>
      <w:r w:rsidRPr="00D22105">
        <w:t>more</w:t>
      </w:r>
      <w:r w:rsidR="003D640C">
        <w:t xml:space="preserve"> </w:t>
      </w:r>
      <w:r w:rsidRPr="00D22105">
        <w:t>than</w:t>
      </w:r>
      <w:r w:rsidR="003D640C">
        <w:t xml:space="preserve"> </w:t>
      </w:r>
      <w:r w:rsidRPr="00D22105">
        <w:t>1</w:t>
      </w:r>
      <w:r w:rsidR="00B140A0">
        <w:t>,</w:t>
      </w:r>
      <w:r w:rsidRPr="00D22105">
        <w:t>500</w:t>
      </w:r>
      <w:r w:rsidR="003D640C">
        <w:t xml:space="preserve"> </w:t>
      </w:r>
      <w:r w:rsidRPr="00D22105">
        <w:t>years.</w:t>
      </w:r>
      <w:r w:rsidR="003D640C">
        <w:t xml:space="preserve"> </w:t>
      </w:r>
      <w:r w:rsidRPr="00D22105">
        <w:t>The</w:t>
      </w:r>
      <w:r w:rsidR="003D640C">
        <w:t xml:space="preserve"> </w:t>
      </w:r>
      <w:r w:rsidRPr="00D22105">
        <w:t>translations</w:t>
      </w:r>
      <w:r w:rsidR="003D640C">
        <w:t xml:space="preserve"> </w:t>
      </w:r>
      <w:r w:rsidRPr="00D22105">
        <w:t>provided</w:t>
      </w:r>
      <w:r w:rsidR="003D640C">
        <w:t xml:space="preserve"> </w:t>
      </w:r>
      <w:r w:rsidRPr="00D22105">
        <w:t>are</w:t>
      </w:r>
      <w:r w:rsidR="003D640C">
        <w:t xml:space="preserve"> </w:t>
      </w:r>
      <w:r w:rsidRPr="00D22105">
        <w:t>approximate</w:t>
      </w:r>
      <w:r w:rsidR="003D640C">
        <w:t xml:space="preserve"> </w:t>
      </w:r>
      <w:r w:rsidRPr="00D22105">
        <w:t>as</w:t>
      </w:r>
      <w:r w:rsidR="003D640C">
        <w:t xml:space="preserve"> </w:t>
      </w:r>
      <w:r w:rsidRPr="00D22105">
        <w:t>the</w:t>
      </w:r>
      <w:r w:rsidR="003D640C">
        <w:t xml:space="preserve"> </w:t>
      </w:r>
      <w:r w:rsidRPr="00D22105">
        <w:t>terms</w:t>
      </w:r>
      <w:r w:rsidR="003D640C">
        <w:t xml:space="preserve"> </w:t>
      </w:r>
      <w:r w:rsidRPr="00D22105">
        <w:t>do</w:t>
      </w:r>
      <w:r w:rsidR="003D640C">
        <w:t xml:space="preserve"> </w:t>
      </w:r>
      <w:r w:rsidRPr="00D22105">
        <w:t>not</w:t>
      </w:r>
      <w:r w:rsidR="003D640C">
        <w:t xml:space="preserve"> </w:t>
      </w:r>
      <w:r w:rsidRPr="00D22105">
        <w:t>have</w:t>
      </w:r>
      <w:r w:rsidR="003D640C">
        <w:t xml:space="preserve"> </w:t>
      </w:r>
      <w:r w:rsidRPr="00D22105">
        <w:t>direct</w:t>
      </w:r>
      <w:r w:rsidR="003D640C">
        <w:t xml:space="preserve"> </w:t>
      </w:r>
      <w:r w:rsidRPr="00D22105">
        <w:t>English</w:t>
      </w:r>
      <w:r w:rsidR="003D640C">
        <w:t xml:space="preserve"> </w:t>
      </w:r>
      <w:r w:rsidRPr="00D22105">
        <w:t>equivalents.</w:t>
      </w:r>
    </w:p>
  </w:footnote>
  <w:footnote w:id="23">
    <w:p w14:paraId="3CC4C1BC" w14:textId="2FD5E8D0" w:rsidR="003611F4" w:rsidRDefault="003611F4">
      <w:pPr>
        <w:pStyle w:val="FootnoteText"/>
      </w:pPr>
      <w:r>
        <w:rPr>
          <w:rStyle w:val="FootnoteReference"/>
        </w:rPr>
        <w:footnoteRef/>
      </w:r>
      <w:r>
        <w:t xml:space="preserve"> </w:t>
      </w:r>
      <w:r w:rsidRPr="00984D87">
        <w:rPr>
          <w:rFonts w:ascii="Calibri" w:hAnsi="Calibri" w:cs="Calibri"/>
          <w:lang w:val="mi-NZ"/>
        </w:rPr>
        <w:t>Human</w:t>
      </w:r>
      <w:r>
        <w:rPr>
          <w:rFonts w:ascii="Calibri" w:hAnsi="Calibri" w:cs="Calibri"/>
          <w:lang w:val="mi-NZ"/>
        </w:rPr>
        <w:t xml:space="preserve"> </w:t>
      </w:r>
      <w:r w:rsidRPr="00984D87">
        <w:rPr>
          <w:rFonts w:ascii="Calibri" w:hAnsi="Calibri" w:cs="Calibri"/>
          <w:lang w:val="mi-NZ"/>
        </w:rPr>
        <w:t>Rights</w:t>
      </w:r>
      <w:r>
        <w:rPr>
          <w:rFonts w:ascii="Calibri" w:hAnsi="Calibri" w:cs="Calibri"/>
          <w:lang w:val="mi-NZ"/>
        </w:rPr>
        <w:t xml:space="preserve"> </w:t>
      </w:r>
      <w:r w:rsidRPr="00984D87">
        <w:rPr>
          <w:rFonts w:ascii="Calibri" w:hAnsi="Calibri" w:cs="Calibri"/>
          <w:lang w:val="mi-NZ"/>
        </w:rPr>
        <w:t>Commission.</w:t>
      </w:r>
      <w:r>
        <w:rPr>
          <w:rFonts w:ascii="Calibri" w:hAnsi="Calibri" w:cs="Calibri"/>
          <w:lang w:val="mi-NZ"/>
        </w:rPr>
        <w:t xml:space="preserve"> </w:t>
      </w:r>
      <w:r w:rsidRPr="00984D87">
        <w:rPr>
          <w:rFonts w:ascii="Calibri" w:hAnsi="Calibri" w:cs="Calibri"/>
          <w:lang w:val="mi-NZ"/>
        </w:rPr>
        <w:t>(</w:t>
      </w:r>
      <w:r>
        <w:rPr>
          <w:rFonts w:ascii="Calibri" w:hAnsi="Calibri" w:cs="Calibri"/>
          <w:lang w:val="mi-NZ"/>
        </w:rPr>
        <w:t>2022</w:t>
      </w:r>
      <w:r w:rsidR="007A78A0">
        <w:rPr>
          <w:rFonts w:ascii="Calibri" w:hAnsi="Calibri" w:cs="Calibri"/>
          <w:lang w:val="mi-NZ"/>
        </w:rPr>
        <w:t>a</w:t>
      </w:r>
      <w:r w:rsidRPr="00984D87">
        <w:rPr>
          <w:rFonts w:ascii="Calibri" w:hAnsi="Calibri" w:cs="Calibri"/>
          <w:lang w:val="mi-NZ"/>
        </w:rPr>
        <w:t>).</w:t>
      </w:r>
      <w:r>
        <w:rPr>
          <w:rFonts w:ascii="Calibri" w:hAnsi="Calibri" w:cs="Calibri"/>
          <w:lang w:val="mi-NZ"/>
        </w:rPr>
        <w:t xml:space="preserve"> </w:t>
      </w:r>
      <w:r w:rsidRPr="00984D87">
        <w:rPr>
          <w:rFonts w:ascii="Calibri" w:hAnsi="Calibri" w:cs="Calibri"/>
          <w:i/>
          <w:iCs/>
          <w:lang w:val="mi-NZ"/>
        </w:rPr>
        <w:t>Conversion</w:t>
      </w:r>
      <w:r>
        <w:rPr>
          <w:rFonts w:ascii="Calibri" w:hAnsi="Calibri" w:cs="Calibri"/>
          <w:i/>
          <w:iCs/>
          <w:lang w:val="mi-NZ"/>
        </w:rPr>
        <w:t xml:space="preserve"> p</w:t>
      </w:r>
      <w:r w:rsidRPr="00984D87">
        <w:rPr>
          <w:rFonts w:ascii="Calibri" w:hAnsi="Calibri" w:cs="Calibri"/>
          <w:i/>
          <w:iCs/>
          <w:lang w:val="mi-NZ"/>
        </w:rPr>
        <w:t>ractices</w:t>
      </w:r>
      <w:r>
        <w:rPr>
          <w:rFonts w:ascii="Calibri" w:hAnsi="Calibri" w:cs="Calibri"/>
          <w:i/>
          <w:iCs/>
          <w:lang w:val="mi-NZ"/>
        </w:rPr>
        <w:t xml:space="preserve"> guidelines</w:t>
      </w:r>
      <w:r w:rsidRPr="00984D87">
        <w:rPr>
          <w:rFonts w:ascii="Calibri" w:hAnsi="Calibri" w:cs="Calibri"/>
          <w:i/>
          <w:iCs/>
          <w:lang w:val="mi-NZ"/>
        </w:rPr>
        <w:t>.</w:t>
      </w:r>
    </w:p>
  </w:footnote>
  <w:footnote w:id="24">
    <w:p w14:paraId="636DB342" w14:textId="0E0F2896" w:rsidR="00BB3F27" w:rsidRDefault="00BB3F27" w:rsidP="00E00167">
      <w:pPr>
        <w:pStyle w:val="FootnoteText"/>
      </w:pPr>
      <w:r>
        <w:rPr>
          <w:rStyle w:val="FootnoteReference"/>
        </w:rPr>
        <w:footnoteRef/>
      </w:r>
      <w:r w:rsidR="003D640C">
        <w:t xml:space="preserve"> </w:t>
      </w:r>
      <w:r>
        <w:t>Human</w:t>
      </w:r>
      <w:r w:rsidR="003D640C">
        <w:t xml:space="preserve"> </w:t>
      </w:r>
      <w:r>
        <w:t>Rights</w:t>
      </w:r>
      <w:r w:rsidR="003D640C">
        <w:t xml:space="preserve"> </w:t>
      </w:r>
      <w:r>
        <w:t>Commission</w:t>
      </w:r>
      <w:r w:rsidR="003D640C">
        <w:t xml:space="preserve"> </w:t>
      </w:r>
      <w:r>
        <w:t>2020.</w:t>
      </w:r>
    </w:p>
  </w:footnote>
  <w:footnote w:id="25">
    <w:p w14:paraId="0282DCCC" w14:textId="6CBB5A93" w:rsidR="00BB3F27" w:rsidRDefault="00BB3F27" w:rsidP="00E00167">
      <w:pPr>
        <w:pStyle w:val="FootnoteText"/>
      </w:pPr>
      <w:r>
        <w:rPr>
          <w:rStyle w:val="FootnoteReference"/>
        </w:rPr>
        <w:footnoteRef/>
      </w:r>
      <w:r w:rsidR="003D640C">
        <w:t xml:space="preserve"> </w:t>
      </w:r>
      <w:r w:rsidR="00321DF2" w:rsidRPr="00596568">
        <w:t>Hattotuwa</w:t>
      </w:r>
      <w:r w:rsidR="00423464">
        <w:t xml:space="preserve"> et al</w:t>
      </w:r>
      <w:r w:rsidR="00321DF2" w:rsidRPr="00596568">
        <w:t>.</w:t>
      </w:r>
      <w:r w:rsidR="00423464">
        <w:t>,</w:t>
      </w:r>
      <w:r w:rsidR="003D640C">
        <w:t xml:space="preserve"> </w:t>
      </w:r>
      <w:r w:rsidR="00321DF2" w:rsidRPr="00596568">
        <w:t>2023.</w:t>
      </w:r>
    </w:p>
  </w:footnote>
  <w:footnote w:id="26">
    <w:p w14:paraId="60C0A076" w14:textId="38BFEAEE" w:rsidR="00CE17CA" w:rsidRPr="00CE17CA" w:rsidRDefault="00CE17CA">
      <w:pPr>
        <w:pStyle w:val="FootnoteText"/>
        <w:rPr>
          <w:i/>
          <w:iCs/>
          <w:lang w:val="mi-NZ"/>
        </w:rPr>
      </w:pPr>
      <w:r>
        <w:rPr>
          <w:rStyle w:val="FootnoteReference"/>
        </w:rPr>
        <w:footnoteRef/>
      </w:r>
      <w:r>
        <w:t xml:space="preserve"> </w:t>
      </w:r>
      <w:r>
        <w:rPr>
          <w:lang w:val="mi-NZ"/>
        </w:rPr>
        <w:t>Hartendorp</w:t>
      </w:r>
      <w:r w:rsidR="003A35E9">
        <w:rPr>
          <w:lang w:val="mi-NZ"/>
        </w:rPr>
        <w:t>, K</w:t>
      </w:r>
      <w:r>
        <w:rPr>
          <w:lang w:val="mi-NZ"/>
        </w:rPr>
        <w:t>. (2019, October 23).</w:t>
      </w:r>
      <w:r w:rsidRPr="00CE17CA">
        <w:t xml:space="preserve"> </w:t>
      </w:r>
      <w:r w:rsidRPr="00CE17CA">
        <w:rPr>
          <w:i/>
          <w:iCs/>
          <w:lang w:val="mi-NZ"/>
        </w:rPr>
        <w:t>What do we really know about gender diversity in te ao Māori?</w:t>
      </w:r>
    </w:p>
  </w:footnote>
  <w:footnote w:id="27">
    <w:p w14:paraId="11613F3A" w14:textId="6A8EA6B8" w:rsidR="00BB3F27" w:rsidRDefault="00BB3F27" w:rsidP="00E00167">
      <w:pPr>
        <w:pStyle w:val="FootnoteText"/>
      </w:pPr>
      <w:r w:rsidRPr="00901DF2">
        <w:rPr>
          <w:rStyle w:val="FootnoteReference"/>
        </w:rPr>
        <w:footnoteRef/>
      </w:r>
      <w:r w:rsidR="003D640C">
        <w:t xml:space="preserve"> </w:t>
      </w:r>
      <w:r w:rsidR="005D3EA1">
        <w:t xml:space="preserve">Local Matters. (2018, August 14). </w:t>
      </w:r>
      <w:r w:rsidR="005D3EA1">
        <w:rPr>
          <w:i/>
          <w:iCs/>
        </w:rPr>
        <w:t xml:space="preserve">Rodney activists seek ban on gay conversion therapy. </w:t>
      </w:r>
    </w:p>
  </w:footnote>
  <w:footnote w:id="28">
    <w:p w14:paraId="5AC35F72" w14:textId="59E06A92" w:rsidR="00BB3F27" w:rsidRPr="007B139B" w:rsidRDefault="00BB3F27" w:rsidP="00191A46">
      <w:pPr>
        <w:pStyle w:val="FootnoteText"/>
        <w:rPr>
          <w:rStyle w:val="FootnoteTextChar"/>
        </w:rPr>
      </w:pPr>
      <w:r w:rsidRPr="00784630">
        <w:rPr>
          <w:rStyle w:val="FootnoteReference"/>
        </w:rPr>
        <w:footnoteRef/>
      </w:r>
      <w:r w:rsidR="003D640C">
        <w:t xml:space="preserve"> </w:t>
      </w:r>
      <w:r w:rsidR="00191A46" w:rsidRPr="007B139B">
        <w:rPr>
          <w:rStyle w:val="FootnoteTextChar"/>
        </w:rPr>
        <w:t xml:space="preserve">New Zealand Parliament | Pāremata Aotearoa. (2018, July 19). </w:t>
      </w:r>
      <w:r w:rsidR="00191A46" w:rsidRPr="007B139B">
        <w:rPr>
          <w:rStyle w:val="FootnoteTextChar"/>
          <w:i/>
          <w:iCs/>
        </w:rPr>
        <w:t>Petition of Max Tweedie for Young Labour and the Young Greens: Ban gay conversion therapy.</w:t>
      </w:r>
      <w:r w:rsidR="00191A46" w:rsidRPr="007B139B">
        <w:rPr>
          <w:rStyle w:val="FootnoteTextChar"/>
        </w:rPr>
        <w:t xml:space="preserve"> </w:t>
      </w:r>
    </w:p>
  </w:footnote>
  <w:footnote w:id="29">
    <w:p w14:paraId="14318E47" w14:textId="213355A0" w:rsidR="00BB3F27" w:rsidRPr="00B1465F" w:rsidRDefault="00BB3F27" w:rsidP="00191A46">
      <w:pPr>
        <w:pStyle w:val="FootnoteText"/>
        <w:rPr>
          <w:lang w:val="en-US"/>
        </w:rPr>
      </w:pPr>
      <w:r>
        <w:rPr>
          <w:rStyle w:val="FootnoteReference"/>
        </w:rPr>
        <w:footnoteRef/>
      </w:r>
      <w:r w:rsidR="003D640C">
        <w:t xml:space="preserve"> </w:t>
      </w:r>
      <w:r w:rsidR="006634C1">
        <w:t xml:space="preserve">Radio New Zealand. (2021, February 23). </w:t>
      </w:r>
      <w:r w:rsidR="006634C1">
        <w:rPr>
          <w:i/>
          <w:iCs/>
        </w:rPr>
        <w:t xml:space="preserve">Greens present petition in support of gay conversion therapy ban. </w:t>
      </w:r>
    </w:p>
  </w:footnote>
  <w:footnote w:id="30">
    <w:p w14:paraId="1A49E19C" w14:textId="6BACCED6" w:rsidR="00AD0547" w:rsidRPr="00AD0547" w:rsidRDefault="00AD0547">
      <w:pPr>
        <w:pStyle w:val="FootnoteText"/>
        <w:rPr>
          <w:lang w:val="mi-NZ"/>
        </w:rPr>
      </w:pPr>
      <w:r>
        <w:rPr>
          <w:rStyle w:val="FootnoteReference"/>
        </w:rPr>
        <w:footnoteRef/>
      </w:r>
      <w:r>
        <w:t xml:space="preserve"> </w:t>
      </w:r>
      <w:r>
        <w:rPr>
          <w:lang w:val="mi-NZ"/>
        </w:rPr>
        <w:t>Smith, P. (2021, October 17).</w:t>
      </w:r>
      <w:r w:rsidR="00DE0F96">
        <w:rPr>
          <w:lang w:val="mi-NZ"/>
        </w:rPr>
        <w:t xml:space="preserve"> </w:t>
      </w:r>
      <w:r w:rsidR="00DE0F96" w:rsidRPr="00DE0F96">
        <w:rPr>
          <w:i/>
          <w:iCs/>
          <w:lang w:val="mi-NZ"/>
        </w:rPr>
        <w:t>Submission rising: Parliament’s feedback flood.</w:t>
      </w:r>
    </w:p>
  </w:footnote>
  <w:footnote w:id="31">
    <w:p w14:paraId="4C2C08EB" w14:textId="45B9A22C" w:rsidR="00BB3F27" w:rsidRDefault="00BB3F27" w:rsidP="00E00167">
      <w:pPr>
        <w:pStyle w:val="FootnoteText"/>
      </w:pPr>
      <w:r>
        <w:rPr>
          <w:rStyle w:val="FootnoteReference"/>
        </w:rPr>
        <w:footnoteRef/>
      </w:r>
      <w:r w:rsidR="003D640C">
        <w:t xml:space="preserve"> </w:t>
      </w:r>
      <w:r>
        <w:t>Seven</w:t>
      </w:r>
      <w:r w:rsidR="003D640C">
        <w:t xml:space="preserve"> </w:t>
      </w:r>
      <w:r w:rsidRPr="00BB2BBD">
        <w:t>National</w:t>
      </w:r>
      <w:r w:rsidR="003D640C">
        <w:t xml:space="preserve"> </w:t>
      </w:r>
      <w:r w:rsidRPr="00BB2BBD">
        <w:t>MPs</w:t>
      </w:r>
      <w:r w:rsidR="003D640C">
        <w:t xml:space="preserve"> </w:t>
      </w:r>
      <w:r w:rsidRPr="00BB2BBD">
        <w:t>opposed</w:t>
      </w:r>
      <w:r w:rsidR="003D640C">
        <w:t xml:space="preserve"> </w:t>
      </w:r>
      <w:r>
        <w:t>the</w:t>
      </w:r>
      <w:r w:rsidR="003D640C">
        <w:t xml:space="preserve"> </w:t>
      </w:r>
      <w:r>
        <w:t>Bill</w:t>
      </w:r>
      <w:r w:rsidR="003D640C">
        <w:t xml:space="preserve"> </w:t>
      </w:r>
      <w:r>
        <w:t>at</w:t>
      </w:r>
      <w:r w:rsidR="003D640C">
        <w:t xml:space="preserve"> </w:t>
      </w:r>
      <w:r>
        <w:t>the</w:t>
      </w:r>
      <w:r w:rsidR="003D640C">
        <w:t xml:space="preserve"> </w:t>
      </w:r>
      <w:r>
        <w:t>third</w:t>
      </w:r>
      <w:r w:rsidR="003D640C">
        <w:t xml:space="preserve"> </w:t>
      </w:r>
      <w:r>
        <w:t>reading</w:t>
      </w:r>
      <w:r w:rsidR="003D640C">
        <w:t xml:space="preserve"> </w:t>
      </w:r>
      <w:r>
        <w:t>and</w:t>
      </w:r>
      <w:r w:rsidR="003D640C">
        <w:t xml:space="preserve"> </w:t>
      </w:r>
      <w:r>
        <w:t>voted</w:t>
      </w:r>
      <w:r w:rsidR="003D640C">
        <w:t xml:space="preserve"> </w:t>
      </w:r>
      <w:r>
        <w:t>against</w:t>
      </w:r>
      <w:r w:rsidR="003D640C">
        <w:t xml:space="preserve"> </w:t>
      </w:r>
      <w:r>
        <w:t>it:</w:t>
      </w:r>
      <w:r w:rsidR="003D640C">
        <w:t xml:space="preserve"> </w:t>
      </w:r>
      <w:r w:rsidRPr="00866C2B">
        <w:t>Simon</w:t>
      </w:r>
      <w:r w:rsidR="003D640C">
        <w:t xml:space="preserve"> </w:t>
      </w:r>
      <w:r w:rsidRPr="00866C2B">
        <w:t>Bridges,</w:t>
      </w:r>
      <w:r w:rsidR="003D640C">
        <w:t xml:space="preserve"> </w:t>
      </w:r>
      <w:r w:rsidRPr="00866C2B">
        <w:t>Simeon</w:t>
      </w:r>
      <w:r w:rsidR="003D640C">
        <w:t xml:space="preserve"> </w:t>
      </w:r>
      <w:r w:rsidRPr="00866C2B">
        <w:t>Brown,</w:t>
      </w:r>
      <w:r w:rsidR="003D640C">
        <w:t xml:space="preserve"> </w:t>
      </w:r>
      <w:r w:rsidRPr="00866C2B">
        <w:t>Melissa</w:t>
      </w:r>
      <w:r w:rsidR="003D640C">
        <w:t xml:space="preserve"> </w:t>
      </w:r>
      <w:r w:rsidRPr="00866C2B">
        <w:t>Lee,</w:t>
      </w:r>
      <w:r w:rsidR="003D640C">
        <w:t xml:space="preserve"> </w:t>
      </w:r>
      <w:r w:rsidRPr="00866C2B">
        <w:t>Simon</w:t>
      </w:r>
      <w:r w:rsidR="003D640C">
        <w:t xml:space="preserve"> </w:t>
      </w:r>
      <w:r w:rsidRPr="00866C2B">
        <w:t>O</w:t>
      </w:r>
      <w:r w:rsidR="00CD3E06">
        <w:t>’</w:t>
      </w:r>
      <w:r w:rsidRPr="00866C2B">
        <w:t>Connor,</w:t>
      </w:r>
      <w:r w:rsidR="003D640C">
        <w:t xml:space="preserve"> </w:t>
      </w:r>
      <w:r w:rsidRPr="00866C2B">
        <w:t>Chris</w:t>
      </w:r>
      <w:r w:rsidR="003D640C">
        <w:t xml:space="preserve"> </w:t>
      </w:r>
      <w:r w:rsidRPr="00866C2B">
        <w:t>Penk,</w:t>
      </w:r>
      <w:r w:rsidR="003D640C">
        <w:t xml:space="preserve"> </w:t>
      </w:r>
      <w:r w:rsidRPr="00866C2B">
        <w:t>Shane</w:t>
      </w:r>
      <w:r w:rsidR="003D640C">
        <w:t xml:space="preserve"> </w:t>
      </w:r>
      <w:r w:rsidRPr="00866C2B">
        <w:t>Reti</w:t>
      </w:r>
      <w:r>
        <w:t>,</w:t>
      </w:r>
      <w:r w:rsidR="003D640C">
        <w:t xml:space="preserve"> </w:t>
      </w:r>
      <w:r w:rsidRPr="00866C2B">
        <w:t>and</w:t>
      </w:r>
      <w:r w:rsidR="003D640C">
        <w:t xml:space="preserve"> </w:t>
      </w:r>
      <w:r w:rsidRPr="00866C2B">
        <w:t>Michael</w:t>
      </w:r>
      <w:r w:rsidR="003D640C">
        <w:t xml:space="preserve"> </w:t>
      </w:r>
      <w:r w:rsidRPr="00866C2B">
        <w:t>Woodhouse</w:t>
      </w:r>
      <w:r>
        <w:t>.</w:t>
      </w:r>
    </w:p>
  </w:footnote>
  <w:footnote w:id="32">
    <w:p w14:paraId="5AA51DFB" w14:textId="26C0B122" w:rsidR="00BB3F27" w:rsidRPr="00313B4F" w:rsidRDefault="00BB3F27" w:rsidP="00E00167">
      <w:pPr>
        <w:pStyle w:val="FootnoteText"/>
        <w:rPr>
          <w:lang w:val="mi-NZ"/>
        </w:rPr>
      </w:pPr>
      <w:r>
        <w:rPr>
          <w:rStyle w:val="FootnoteReference"/>
        </w:rPr>
        <w:footnoteRef/>
      </w:r>
      <w:r w:rsidR="003D640C">
        <w:t xml:space="preserve"> </w:t>
      </w:r>
      <w:r w:rsidRPr="005B3B32">
        <w:t>Ministry</w:t>
      </w:r>
      <w:r w:rsidR="003D640C">
        <w:t xml:space="preserve"> </w:t>
      </w:r>
      <w:r w:rsidRPr="005B3B32">
        <w:t>of</w:t>
      </w:r>
      <w:r w:rsidR="003D640C">
        <w:t xml:space="preserve"> </w:t>
      </w:r>
      <w:r w:rsidRPr="005B3B32">
        <w:t>Justice</w:t>
      </w:r>
      <w:r w:rsidR="008E2BE2">
        <w:t xml:space="preserve"> | Tāhū o te Ture</w:t>
      </w:r>
      <w:r w:rsidRPr="005B3B32">
        <w:t>.</w:t>
      </w:r>
      <w:r w:rsidR="003D640C">
        <w:t xml:space="preserve"> </w:t>
      </w:r>
      <w:r w:rsidRPr="005B3B32">
        <w:t>(2022).</w:t>
      </w:r>
      <w:r w:rsidR="003D640C">
        <w:t xml:space="preserve"> </w:t>
      </w:r>
      <w:r w:rsidRPr="005B3B32">
        <w:rPr>
          <w:i/>
          <w:iCs/>
        </w:rPr>
        <w:t>Departmental</w:t>
      </w:r>
      <w:r w:rsidR="003D640C">
        <w:rPr>
          <w:i/>
          <w:iCs/>
        </w:rPr>
        <w:t xml:space="preserve"> </w:t>
      </w:r>
      <w:r w:rsidRPr="005B3B32">
        <w:rPr>
          <w:i/>
          <w:iCs/>
        </w:rPr>
        <w:t>report:</w:t>
      </w:r>
      <w:r w:rsidR="003D640C">
        <w:rPr>
          <w:i/>
          <w:iCs/>
        </w:rPr>
        <w:t xml:space="preserve"> </w:t>
      </w:r>
      <w:r w:rsidRPr="005B3B32">
        <w:rPr>
          <w:i/>
          <w:iCs/>
        </w:rPr>
        <w:t>Conversion</w:t>
      </w:r>
      <w:r w:rsidR="003D640C">
        <w:rPr>
          <w:i/>
          <w:iCs/>
        </w:rPr>
        <w:t xml:space="preserve"> </w:t>
      </w:r>
      <w:r w:rsidRPr="005B3B32">
        <w:rPr>
          <w:i/>
          <w:iCs/>
        </w:rPr>
        <w:t>Practices</w:t>
      </w:r>
      <w:r w:rsidR="003D640C">
        <w:rPr>
          <w:i/>
          <w:iCs/>
        </w:rPr>
        <w:t xml:space="preserve"> </w:t>
      </w:r>
      <w:r w:rsidRPr="005B3B32">
        <w:rPr>
          <w:i/>
          <w:iCs/>
        </w:rPr>
        <w:t>Prohibition</w:t>
      </w:r>
      <w:r w:rsidR="003D640C">
        <w:rPr>
          <w:i/>
          <w:iCs/>
        </w:rPr>
        <w:t xml:space="preserve"> </w:t>
      </w:r>
      <w:r w:rsidRPr="005B3B32">
        <w:rPr>
          <w:i/>
          <w:iCs/>
        </w:rPr>
        <w:t>Legislation</w:t>
      </w:r>
      <w:r w:rsidR="003D640C">
        <w:rPr>
          <w:i/>
          <w:iCs/>
        </w:rPr>
        <w:t xml:space="preserve"> </w:t>
      </w:r>
      <w:r w:rsidRPr="005B3B32">
        <w:rPr>
          <w:i/>
          <w:iCs/>
        </w:rPr>
        <w:t>Bill</w:t>
      </w:r>
      <w:r w:rsidR="004D3596">
        <w:t xml:space="preserve"> (p. 67).</w:t>
      </w:r>
    </w:p>
  </w:footnote>
  <w:footnote w:id="33">
    <w:p w14:paraId="4D9E3630" w14:textId="2F960372" w:rsidR="00BB3F27" w:rsidRPr="00B1465F" w:rsidRDefault="00BB3F27" w:rsidP="00BB3F27">
      <w:pPr>
        <w:spacing w:after="0" w:line="240" w:lineRule="auto"/>
        <w:textAlignment w:val="baseline"/>
        <w:rPr>
          <w:rFonts w:ascii="Segoe UI" w:eastAsia="Times New Roman" w:hAnsi="Segoe UI" w:cs="Segoe UI"/>
          <w:lang w:eastAsia="en-NZ"/>
        </w:rPr>
      </w:pPr>
      <w:r w:rsidRPr="002621BE">
        <w:rPr>
          <w:rStyle w:val="FootnoteReference"/>
          <w:sz w:val="20"/>
          <w:szCs w:val="20"/>
        </w:rPr>
        <w:footnoteRef/>
      </w:r>
      <w:r w:rsidR="003D640C">
        <w:rPr>
          <w:sz w:val="20"/>
          <w:szCs w:val="20"/>
        </w:rPr>
        <w:t xml:space="preserve"> </w:t>
      </w:r>
      <w:r w:rsidR="00864B1A">
        <w:rPr>
          <w:sz w:val="20"/>
          <w:szCs w:val="20"/>
        </w:rPr>
        <w:t>Justic</w:t>
      </w:r>
      <w:r w:rsidR="00BB1A3B">
        <w:rPr>
          <w:sz w:val="20"/>
          <w:szCs w:val="20"/>
        </w:rPr>
        <w:t>e</w:t>
      </w:r>
      <w:r w:rsidR="00864B1A">
        <w:rPr>
          <w:sz w:val="20"/>
          <w:szCs w:val="20"/>
        </w:rPr>
        <w:t xml:space="preserve"> </w:t>
      </w:r>
      <w:r w:rsidR="00BB1A3B">
        <w:rPr>
          <w:sz w:val="20"/>
          <w:szCs w:val="20"/>
        </w:rPr>
        <w:t xml:space="preserve">Select </w:t>
      </w:r>
      <w:r w:rsidR="00864B1A">
        <w:rPr>
          <w:sz w:val="20"/>
          <w:szCs w:val="20"/>
        </w:rPr>
        <w:t xml:space="preserve">Committee. </w:t>
      </w:r>
      <w:r w:rsidR="00BB1A3B">
        <w:rPr>
          <w:sz w:val="20"/>
          <w:szCs w:val="20"/>
        </w:rPr>
        <w:t>(2020).</w:t>
      </w:r>
      <w:r w:rsidR="00BB1A3B" w:rsidRPr="00BB1A3B">
        <w:rPr>
          <w:sz w:val="20"/>
          <w:szCs w:val="20"/>
          <w:lang w:val="mi-NZ"/>
        </w:rPr>
        <w:t xml:space="preserve"> </w:t>
      </w:r>
      <w:r w:rsidR="00BB1A3B" w:rsidRPr="007B139B">
        <w:rPr>
          <w:i/>
          <w:iCs/>
          <w:sz w:val="20"/>
          <w:szCs w:val="20"/>
          <w:lang w:val="mi-NZ"/>
        </w:rPr>
        <w:t>Conversion Practices Prohibition Legislation Bill</w:t>
      </w:r>
      <w:r w:rsidR="00814E13">
        <w:rPr>
          <w:sz w:val="20"/>
          <w:szCs w:val="20"/>
          <w:lang w:val="mi-NZ"/>
        </w:rPr>
        <w:t xml:space="preserve"> (p. 10)</w:t>
      </w:r>
      <w:r w:rsidR="00BB1A3B">
        <w:rPr>
          <w:rStyle w:val="Hyperlink"/>
          <w:sz w:val="20"/>
          <w:szCs w:val="20"/>
          <w:lang w:val="mi-NZ"/>
        </w:rPr>
        <w:t>.</w:t>
      </w:r>
      <w:r w:rsidR="00BB1A3B" w:rsidRPr="00BB1A3B">
        <w:rPr>
          <w:rStyle w:val="Hyperlink"/>
          <w:sz w:val="20"/>
          <w:szCs w:val="20"/>
          <w:lang w:val="mi-NZ"/>
        </w:rPr>
        <w:t xml:space="preserve"> </w:t>
      </w:r>
      <w:r w:rsidRPr="002621BE">
        <w:rPr>
          <w:rFonts w:ascii="Calibri" w:eastAsia="Times New Roman" w:hAnsi="Calibri" w:cs="Calibri"/>
          <w:sz w:val="20"/>
          <w:szCs w:val="20"/>
          <w:lang w:eastAsia="en-NZ"/>
        </w:rPr>
        <w:t>In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its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2018</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advice</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conversion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practices,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the</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Ministry</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of</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Health</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also</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recommended</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education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effective</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way</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to</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reduce</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harm.</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Cabinet</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papers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relevant</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to</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the</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new</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CPPLA</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also</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support</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the</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Commission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using</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its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education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function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and</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inquiry</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powers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to</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bring</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end</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to</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conversion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practices</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in</w:t>
      </w:r>
      <w:r w:rsidR="003D640C">
        <w:rPr>
          <w:rFonts w:ascii="Calibri" w:eastAsia="Times New Roman" w:hAnsi="Calibri" w:cs="Calibri"/>
          <w:sz w:val="20"/>
          <w:szCs w:val="20"/>
          <w:lang w:eastAsia="en-NZ"/>
        </w:rPr>
        <w:t xml:space="preserve"> </w:t>
      </w:r>
      <w:r w:rsidRPr="002621BE">
        <w:rPr>
          <w:rFonts w:ascii="Calibri" w:eastAsia="Times New Roman" w:hAnsi="Calibri" w:cs="Calibri"/>
          <w:sz w:val="20"/>
          <w:szCs w:val="20"/>
          <w:lang w:eastAsia="en-NZ"/>
        </w:rPr>
        <w:t>Aotearoa.</w:t>
      </w:r>
    </w:p>
  </w:footnote>
  <w:footnote w:id="34">
    <w:p w14:paraId="764D97BA" w14:textId="71991475" w:rsidR="00D96878" w:rsidRDefault="00D96878">
      <w:pPr>
        <w:pStyle w:val="FootnoteText"/>
      </w:pPr>
      <w:r>
        <w:rPr>
          <w:rStyle w:val="FootnoteReference"/>
        </w:rPr>
        <w:footnoteRef/>
      </w:r>
      <w:r>
        <w:t xml:space="preserve"> </w:t>
      </w:r>
      <w:r w:rsidR="008D7165" w:rsidRPr="00984D87">
        <w:rPr>
          <w:rFonts w:ascii="Calibri" w:hAnsi="Calibri" w:cs="Calibri"/>
          <w:lang w:val="mi-NZ"/>
        </w:rPr>
        <w:t>Human</w:t>
      </w:r>
      <w:r w:rsidR="008D7165">
        <w:rPr>
          <w:rFonts w:ascii="Calibri" w:hAnsi="Calibri" w:cs="Calibri"/>
          <w:lang w:val="mi-NZ"/>
        </w:rPr>
        <w:t xml:space="preserve"> </w:t>
      </w:r>
      <w:r w:rsidR="008D7165" w:rsidRPr="00984D87">
        <w:rPr>
          <w:rFonts w:ascii="Calibri" w:hAnsi="Calibri" w:cs="Calibri"/>
          <w:lang w:val="mi-NZ"/>
        </w:rPr>
        <w:t>Rights</w:t>
      </w:r>
      <w:r w:rsidR="008D7165">
        <w:rPr>
          <w:rFonts w:ascii="Calibri" w:hAnsi="Calibri" w:cs="Calibri"/>
          <w:lang w:val="mi-NZ"/>
        </w:rPr>
        <w:t xml:space="preserve"> </w:t>
      </w:r>
      <w:r w:rsidR="008D7165" w:rsidRPr="00984D87">
        <w:rPr>
          <w:rFonts w:ascii="Calibri" w:hAnsi="Calibri" w:cs="Calibri"/>
          <w:lang w:val="mi-NZ"/>
        </w:rPr>
        <w:t>Commission.</w:t>
      </w:r>
      <w:r w:rsidR="008D7165">
        <w:rPr>
          <w:rFonts w:ascii="Calibri" w:hAnsi="Calibri" w:cs="Calibri"/>
          <w:lang w:val="mi-NZ"/>
        </w:rPr>
        <w:t xml:space="preserve"> </w:t>
      </w:r>
      <w:r w:rsidR="008D7165" w:rsidRPr="00984D87">
        <w:rPr>
          <w:rFonts w:ascii="Calibri" w:hAnsi="Calibri" w:cs="Calibri"/>
          <w:lang w:val="mi-NZ"/>
        </w:rPr>
        <w:t>(</w:t>
      </w:r>
      <w:r w:rsidR="008D7165">
        <w:rPr>
          <w:rFonts w:ascii="Calibri" w:hAnsi="Calibri" w:cs="Calibri"/>
          <w:lang w:val="mi-NZ"/>
        </w:rPr>
        <w:t>2011</w:t>
      </w:r>
      <w:r w:rsidR="00F6772B">
        <w:rPr>
          <w:rFonts w:ascii="Calibri" w:hAnsi="Calibri" w:cs="Calibri"/>
          <w:lang w:val="mi-NZ"/>
        </w:rPr>
        <w:t>a</w:t>
      </w:r>
      <w:r w:rsidR="008D7165">
        <w:rPr>
          <w:rFonts w:ascii="Calibri" w:hAnsi="Calibri" w:cs="Calibri"/>
          <w:lang w:val="mi-NZ"/>
        </w:rPr>
        <w:t xml:space="preserve">). </w:t>
      </w:r>
      <w:r w:rsidR="008D7165">
        <w:rPr>
          <w:rFonts w:ascii="Calibri" w:hAnsi="Calibri" w:cs="Calibri"/>
          <w:i/>
          <w:iCs/>
          <w:lang w:val="mi-NZ"/>
        </w:rPr>
        <w:t xml:space="preserve">2011–2014 statement of intent and service </w:t>
      </w:r>
      <w:r w:rsidR="00F6772B">
        <w:rPr>
          <w:rFonts w:ascii="Calibri" w:hAnsi="Calibri" w:cs="Calibri"/>
          <w:i/>
          <w:iCs/>
          <w:lang w:val="mi-NZ"/>
        </w:rPr>
        <w:t>p</w:t>
      </w:r>
      <w:r w:rsidR="008D7165">
        <w:rPr>
          <w:rFonts w:ascii="Calibri" w:hAnsi="Calibri" w:cs="Calibri"/>
          <w:i/>
          <w:iCs/>
          <w:lang w:val="mi-NZ"/>
        </w:rPr>
        <w:t>erformance</w:t>
      </w:r>
      <w:r w:rsidR="008D7165">
        <w:t xml:space="preserve"> </w:t>
      </w:r>
      <w:r>
        <w:t xml:space="preserve">(p. 22). </w:t>
      </w:r>
    </w:p>
  </w:footnote>
  <w:footnote w:id="35">
    <w:p w14:paraId="7E3755EA" w14:textId="11B037FC" w:rsidR="009D7277" w:rsidRDefault="009D7277" w:rsidP="00E00167">
      <w:pPr>
        <w:pStyle w:val="FootnoteText"/>
      </w:pPr>
      <w:r>
        <w:rPr>
          <w:rStyle w:val="FootnoteReference"/>
        </w:rPr>
        <w:footnoteRef/>
      </w:r>
      <w:r w:rsidR="003D640C">
        <w:t xml:space="preserve"> </w:t>
      </w:r>
      <w:r w:rsidR="004C1464">
        <w:t xml:space="preserve">Fenaughty, J., Tan, K., Ker, A., Veale, J., Saxton, P., &amp; Alansari, M. (2023). Sexual orientation and gender identity change efforts for young people in New Zealand: Demographics, types of suggesters, and associations with mental health. </w:t>
      </w:r>
      <w:r w:rsidR="004C1464">
        <w:rPr>
          <w:i/>
          <w:iCs/>
        </w:rPr>
        <w:t>Journal of Youth and Adolescence</w:t>
      </w:r>
      <w:r w:rsidR="004C1464">
        <w:t xml:space="preserve">, </w:t>
      </w:r>
      <w:r w:rsidR="004C1464" w:rsidRPr="00111B83">
        <w:rPr>
          <w:i/>
          <w:iCs/>
        </w:rPr>
        <w:t>52</w:t>
      </w:r>
      <w:r w:rsidR="004C1464">
        <w:t xml:space="preserve">, 149–164. </w:t>
      </w:r>
    </w:p>
  </w:footnote>
  <w:footnote w:id="36">
    <w:p w14:paraId="2BE7DCEF" w14:textId="366DDD1B" w:rsidR="009D7277" w:rsidRDefault="009D7277" w:rsidP="00E00167">
      <w:pPr>
        <w:pStyle w:val="FootnoteText"/>
      </w:pPr>
      <w:r>
        <w:rPr>
          <w:rStyle w:val="FootnoteReference"/>
        </w:rPr>
        <w:footnoteRef/>
      </w:r>
      <w:r w:rsidR="003D640C">
        <w:t xml:space="preserve"> </w:t>
      </w:r>
      <w:r>
        <w:t>Gender</w:t>
      </w:r>
      <w:r w:rsidR="003D640C">
        <w:t xml:space="preserve"> </w:t>
      </w:r>
      <w:r>
        <w:t>identity</w:t>
      </w:r>
      <w:r w:rsidR="003D640C">
        <w:t xml:space="preserve"> </w:t>
      </w:r>
      <w:r>
        <w:t>change</w:t>
      </w:r>
      <w:r w:rsidR="003D640C">
        <w:t xml:space="preserve"> </w:t>
      </w:r>
      <w:r>
        <w:t>efforts</w:t>
      </w:r>
      <w:r w:rsidR="003D640C">
        <w:t xml:space="preserve"> </w:t>
      </w:r>
      <w:r>
        <w:t>in</w:t>
      </w:r>
      <w:r w:rsidR="003D640C">
        <w:t xml:space="preserve"> </w:t>
      </w:r>
      <w:r>
        <w:t>this</w:t>
      </w:r>
      <w:r w:rsidR="003D640C">
        <w:t xml:space="preserve"> </w:t>
      </w:r>
      <w:r>
        <w:t>context</w:t>
      </w:r>
      <w:r w:rsidR="003D640C">
        <w:t xml:space="preserve"> </w:t>
      </w:r>
      <w:r>
        <w:t>is</w:t>
      </w:r>
      <w:r w:rsidR="003D640C">
        <w:t xml:space="preserve"> </w:t>
      </w:r>
      <w:r>
        <w:t>another</w:t>
      </w:r>
      <w:r w:rsidR="003D640C">
        <w:t xml:space="preserve"> </w:t>
      </w:r>
      <w:r>
        <w:t>name</w:t>
      </w:r>
      <w:r w:rsidR="003D640C">
        <w:t xml:space="preserve"> </w:t>
      </w:r>
      <w:r>
        <w:t>for</w:t>
      </w:r>
      <w:r w:rsidR="003D640C">
        <w:t xml:space="preserve"> </w:t>
      </w:r>
      <w:r>
        <w:t>conversion</w:t>
      </w:r>
      <w:r w:rsidR="003D640C">
        <w:t xml:space="preserve"> </w:t>
      </w:r>
      <w:r>
        <w:t>practices.</w:t>
      </w:r>
      <w:r w:rsidR="003D640C">
        <w:t xml:space="preserve"> </w:t>
      </w:r>
      <w:r>
        <w:t>It</w:t>
      </w:r>
      <w:r w:rsidR="003D640C">
        <w:t xml:space="preserve"> </w:t>
      </w:r>
      <w:r>
        <w:t>is</w:t>
      </w:r>
      <w:r w:rsidR="003D640C">
        <w:t xml:space="preserve"> </w:t>
      </w:r>
      <w:r>
        <w:t>not</w:t>
      </w:r>
      <w:r w:rsidR="003D640C">
        <w:t xml:space="preserve"> </w:t>
      </w:r>
      <w:r>
        <w:t>a</w:t>
      </w:r>
      <w:r w:rsidR="003D640C">
        <w:t xml:space="preserve"> </w:t>
      </w:r>
      <w:r>
        <w:t>reference</w:t>
      </w:r>
      <w:r w:rsidR="003D640C">
        <w:t xml:space="preserve"> </w:t>
      </w:r>
      <w:r>
        <w:t>to</w:t>
      </w:r>
      <w:r w:rsidR="003D640C">
        <w:t xml:space="preserve"> </w:t>
      </w:r>
      <w:r>
        <w:t>the</w:t>
      </w:r>
      <w:r w:rsidR="003D640C">
        <w:t xml:space="preserve"> </w:t>
      </w:r>
      <w:r>
        <w:t>positive</w:t>
      </w:r>
      <w:r w:rsidR="003D640C">
        <w:t xml:space="preserve"> </w:t>
      </w:r>
      <w:r>
        <w:t>gender</w:t>
      </w:r>
      <w:r w:rsidR="00DD1687">
        <w:t>-</w:t>
      </w:r>
      <w:r>
        <w:t>affirmation</w:t>
      </w:r>
      <w:r w:rsidR="003D640C">
        <w:t xml:space="preserve"> </w:t>
      </w:r>
      <w:r>
        <w:t>steps</w:t>
      </w:r>
      <w:r w:rsidR="003D640C">
        <w:t xml:space="preserve"> </w:t>
      </w:r>
      <w:r>
        <w:t>a</w:t>
      </w:r>
      <w:r w:rsidR="003D640C">
        <w:t xml:space="preserve"> </w:t>
      </w:r>
      <w:r>
        <w:t>trans</w:t>
      </w:r>
      <w:r w:rsidR="003D640C">
        <w:t xml:space="preserve"> </w:t>
      </w:r>
      <w:r>
        <w:t>or</w:t>
      </w:r>
      <w:r w:rsidR="003D640C">
        <w:t xml:space="preserve"> </w:t>
      </w:r>
      <w:r>
        <w:t>non-binary</w:t>
      </w:r>
      <w:r w:rsidR="003D640C">
        <w:t xml:space="preserve"> </w:t>
      </w:r>
      <w:r>
        <w:t>person</w:t>
      </w:r>
      <w:r w:rsidR="003D640C">
        <w:t xml:space="preserve"> </w:t>
      </w:r>
      <w:r>
        <w:t>might</w:t>
      </w:r>
      <w:r w:rsidR="003D640C">
        <w:t xml:space="preserve"> </w:t>
      </w:r>
      <w:r>
        <w:t>take.</w:t>
      </w:r>
      <w:r w:rsidR="003D640C">
        <w:t xml:space="preserve"> </w:t>
      </w:r>
    </w:p>
  </w:footnote>
  <w:footnote w:id="37">
    <w:p w14:paraId="79137817" w14:textId="081129EC" w:rsidR="009D7277" w:rsidRDefault="009D7277" w:rsidP="00E00167">
      <w:pPr>
        <w:pStyle w:val="FootnoteText"/>
      </w:pPr>
      <w:r>
        <w:rPr>
          <w:rStyle w:val="FootnoteReference"/>
        </w:rPr>
        <w:footnoteRef/>
      </w:r>
      <w:r w:rsidR="003D640C">
        <w:t xml:space="preserve"> </w:t>
      </w:r>
      <w:r>
        <w:t>This</w:t>
      </w:r>
      <w:r w:rsidR="003D640C">
        <w:t xml:space="preserve"> </w:t>
      </w:r>
      <w:r>
        <w:t>statement</w:t>
      </w:r>
      <w:r w:rsidR="003D640C">
        <w:t xml:space="preserve"> </w:t>
      </w:r>
      <w:r>
        <w:t>is</w:t>
      </w:r>
      <w:r w:rsidR="003D640C">
        <w:t xml:space="preserve"> </w:t>
      </w:r>
      <w:r>
        <w:t>the</w:t>
      </w:r>
      <w:r w:rsidR="003D640C">
        <w:t xml:space="preserve"> </w:t>
      </w:r>
      <w:r>
        <w:t>first</w:t>
      </w:r>
      <w:r w:rsidR="003D640C">
        <w:t xml:space="preserve"> </w:t>
      </w:r>
      <w:r>
        <w:t>among</w:t>
      </w:r>
      <w:r w:rsidR="003D640C">
        <w:t xml:space="preserve"> </w:t>
      </w:r>
      <w:r>
        <w:t>many</w:t>
      </w:r>
      <w:r w:rsidR="003D640C">
        <w:t xml:space="preserve"> </w:t>
      </w:r>
      <w:r>
        <w:t>authentic</w:t>
      </w:r>
      <w:r w:rsidR="003D640C">
        <w:t xml:space="preserve"> </w:t>
      </w:r>
      <w:r>
        <w:t>quotes</w:t>
      </w:r>
      <w:r w:rsidR="003D640C">
        <w:t xml:space="preserve"> </w:t>
      </w:r>
      <w:r>
        <w:t>in</w:t>
      </w:r>
      <w:r w:rsidR="003D640C">
        <w:t xml:space="preserve"> </w:t>
      </w:r>
      <w:r>
        <w:t>this</w:t>
      </w:r>
      <w:r w:rsidR="003D640C">
        <w:t xml:space="preserve"> </w:t>
      </w:r>
      <w:r>
        <w:t>report</w:t>
      </w:r>
      <w:r w:rsidR="003D640C">
        <w:t xml:space="preserve"> </w:t>
      </w:r>
      <w:r>
        <w:t>from</w:t>
      </w:r>
      <w:r w:rsidR="003D640C">
        <w:t xml:space="preserve"> </w:t>
      </w:r>
      <w:r>
        <w:t>survivors</w:t>
      </w:r>
      <w:r w:rsidR="003D640C">
        <w:t xml:space="preserve"> </w:t>
      </w:r>
      <w:r>
        <w:t>who</w:t>
      </w:r>
      <w:r w:rsidR="003D640C">
        <w:t xml:space="preserve"> </w:t>
      </w:r>
      <w:r>
        <w:t>experienced</w:t>
      </w:r>
      <w:r w:rsidR="003D640C">
        <w:t xml:space="preserve"> </w:t>
      </w:r>
      <w:r>
        <w:t>conversion</w:t>
      </w:r>
      <w:r w:rsidR="003D640C">
        <w:t xml:space="preserve"> </w:t>
      </w:r>
      <w:r>
        <w:t>practices</w:t>
      </w:r>
      <w:r w:rsidR="003D640C">
        <w:t xml:space="preserve"> </w:t>
      </w:r>
      <w:r>
        <w:t>in</w:t>
      </w:r>
      <w:r w:rsidR="003D640C">
        <w:t xml:space="preserve"> </w:t>
      </w:r>
      <w:r>
        <w:t>Aotearoa</w:t>
      </w:r>
      <w:r w:rsidR="003D640C">
        <w:t xml:space="preserve"> </w:t>
      </w:r>
      <w:r>
        <w:t>New</w:t>
      </w:r>
      <w:r w:rsidR="003D640C">
        <w:t xml:space="preserve"> </w:t>
      </w:r>
      <w:r>
        <w:t>Zealand.</w:t>
      </w:r>
      <w:r w:rsidR="003D640C">
        <w:t xml:space="preserve"> </w:t>
      </w:r>
      <w:r>
        <w:t>These</w:t>
      </w:r>
      <w:r w:rsidR="003D640C">
        <w:t xml:space="preserve"> </w:t>
      </w:r>
      <w:r>
        <w:t>were</w:t>
      </w:r>
      <w:r w:rsidR="003D640C">
        <w:t xml:space="preserve"> </w:t>
      </w:r>
      <w:r>
        <w:t>gathered</w:t>
      </w:r>
      <w:r w:rsidR="003D640C">
        <w:t xml:space="preserve"> </w:t>
      </w:r>
      <w:r>
        <w:t>primarily</w:t>
      </w:r>
      <w:r w:rsidR="003D640C">
        <w:t xml:space="preserve"> </w:t>
      </w:r>
      <w:r>
        <w:t>through</w:t>
      </w:r>
      <w:r w:rsidR="003D640C">
        <w:t xml:space="preserve"> </w:t>
      </w:r>
      <w:r w:rsidR="002317B6">
        <w:t>the</w:t>
      </w:r>
      <w:r w:rsidR="003D640C">
        <w:t xml:space="preserve"> </w:t>
      </w:r>
      <w:r>
        <w:t>Commission’s</w:t>
      </w:r>
      <w:r w:rsidR="003D640C">
        <w:t xml:space="preserve"> </w:t>
      </w:r>
      <w:r>
        <w:t>18-month</w:t>
      </w:r>
      <w:r w:rsidR="003D640C">
        <w:t xml:space="preserve"> </w:t>
      </w:r>
      <w:r>
        <w:t>project</w:t>
      </w:r>
      <w:r w:rsidR="003D640C">
        <w:t xml:space="preserve"> </w:t>
      </w:r>
      <w:r>
        <w:t>to</w:t>
      </w:r>
      <w:r w:rsidR="003D640C">
        <w:t xml:space="preserve"> </w:t>
      </w:r>
      <w:r>
        <w:t>implement</w:t>
      </w:r>
      <w:r w:rsidR="003D640C">
        <w:t xml:space="preserve"> </w:t>
      </w:r>
      <w:r>
        <w:t>the</w:t>
      </w:r>
      <w:r w:rsidR="003D640C">
        <w:t xml:space="preserve"> </w:t>
      </w:r>
      <w:r>
        <w:t>changes</w:t>
      </w:r>
      <w:r w:rsidR="003D640C">
        <w:t xml:space="preserve"> </w:t>
      </w:r>
      <w:r>
        <w:t>brought</w:t>
      </w:r>
      <w:r w:rsidR="003D640C">
        <w:t xml:space="preserve"> </w:t>
      </w:r>
      <w:r>
        <w:t>about</w:t>
      </w:r>
      <w:r w:rsidR="003D640C">
        <w:t xml:space="preserve"> </w:t>
      </w:r>
      <w:r>
        <w:t>by</w:t>
      </w:r>
      <w:r w:rsidR="003D640C">
        <w:t xml:space="preserve"> </w:t>
      </w:r>
      <w:r>
        <w:t>the</w:t>
      </w:r>
      <w:r w:rsidR="003D640C">
        <w:t xml:space="preserve"> </w:t>
      </w:r>
      <w:r w:rsidR="00C0115C">
        <w:t>CPPLA</w:t>
      </w:r>
      <w:r>
        <w:t>.</w:t>
      </w:r>
      <w:r w:rsidR="003D640C">
        <w:t xml:space="preserve"> </w:t>
      </w:r>
      <w:r>
        <w:t>As</w:t>
      </w:r>
      <w:r w:rsidR="003D640C">
        <w:t xml:space="preserve"> </w:t>
      </w:r>
      <w:r>
        <w:t>many</w:t>
      </w:r>
      <w:r w:rsidR="003D640C">
        <w:t xml:space="preserve"> </w:t>
      </w:r>
      <w:r>
        <w:t>survivors</w:t>
      </w:r>
      <w:r w:rsidR="003D640C">
        <w:t xml:space="preserve"> </w:t>
      </w:r>
      <w:r>
        <w:t>find</w:t>
      </w:r>
      <w:r w:rsidR="003D640C">
        <w:t xml:space="preserve"> </w:t>
      </w:r>
      <w:r>
        <w:t>the</w:t>
      </w:r>
      <w:r w:rsidR="003D640C">
        <w:t xml:space="preserve"> </w:t>
      </w:r>
      <w:r>
        <w:t>experience</w:t>
      </w:r>
      <w:r w:rsidR="003D640C">
        <w:t xml:space="preserve"> </w:t>
      </w:r>
      <w:r>
        <w:t>of</w:t>
      </w:r>
      <w:r w:rsidR="003D640C">
        <w:t xml:space="preserve"> </w:t>
      </w:r>
      <w:r>
        <w:t>resharing</w:t>
      </w:r>
      <w:r w:rsidR="003D640C">
        <w:t xml:space="preserve"> </w:t>
      </w:r>
      <w:r>
        <w:t>their</w:t>
      </w:r>
      <w:r w:rsidR="003D640C">
        <w:t xml:space="preserve"> </w:t>
      </w:r>
      <w:r>
        <w:t>experiences</w:t>
      </w:r>
      <w:r w:rsidR="003D640C">
        <w:t xml:space="preserve"> </w:t>
      </w:r>
      <w:r>
        <w:t>retraumatising,</w:t>
      </w:r>
      <w:r w:rsidR="003D640C">
        <w:t xml:space="preserve"> </w:t>
      </w:r>
      <w:r>
        <w:t>we</w:t>
      </w:r>
      <w:r w:rsidR="003D640C">
        <w:t xml:space="preserve"> </w:t>
      </w:r>
      <w:r>
        <w:t>have</w:t>
      </w:r>
      <w:r w:rsidR="003D640C">
        <w:t xml:space="preserve"> </w:t>
      </w:r>
      <w:r>
        <w:t>supplemented</w:t>
      </w:r>
      <w:r w:rsidR="003D640C">
        <w:t xml:space="preserve"> </w:t>
      </w:r>
      <w:r>
        <w:t>the</w:t>
      </w:r>
      <w:r w:rsidR="003D640C">
        <w:t xml:space="preserve"> </w:t>
      </w:r>
      <w:r>
        <w:t>quotes</w:t>
      </w:r>
      <w:r w:rsidR="003D640C">
        <w:t xml:space="preserve"> </w:t>
      </w:r>
      <w:r>
        <w:t>we</w:t>
      </w:r>
      <w:r w:rsidR="003D640C">
        <w:t xml:space="preserve"> </w:t>
      </w:r>
      <w:r>
        <w:t>gathered</w:t>
      </w:r>
      <w:r w:rsidR="003D640C">
        <w:t xml:space="preserve"> </w:t>
      </w:r>
      <w:r>
        <w:t>with</w:t>
      </w:r>
      <w:r w:rsidR="003D640C">
        <w:t xml:space="preserve"> </w:t>
      </w:r>
      <w:r>
        <w:t>quotes</w:t>
      </w:r>
      <w:r w:rsidR="003D640C">
        <w:t xml:space="preserve"> </w:t>
      </w:r>
      <w:r>
        <w:t>from</w:t>
      </w:r>
      <w:r w:rsidR="003D640C">
        <w:t xml:space="preserve"> </w:t>
      </w:r>
      <w:r>
        <w:t>survivors</w:t>
      </w:r>
      <w:r w:rsidR="003D640C">
        <w:t xml:space="preserve"> </w:t>
      </w:r>
      <w:r>
        <w:t>who</w:t>
      </w:r>
      <w:r w:rsidR="003D640C">
        <w:t xml:space="preserve"> </w:t>
      </w:r>
      <w:r>
        <w:t>have</w:t>
      </w:r>
      <w:r w:rsidR="003D640C">
        <w:t xml:space="preserve"> </w:t>
      </w:r>
      <w:r>
        <w:t>shared</w:t>
      </w:r>
      <w:r w:rsidR="003D640C">
        <w:t xml:space="preserve"> </w:t>
      </w:r>
      <w:r>
        <w:t>their</w:t>
      </w:r>
      <w:r w:rsidR="003D640C">
        <w:t xml:space="preserve"> </w:t>
      </w:r>
      <w:r>
        <w:t>stories</w:t>
      </w:r>
      <w:r w:rsidR="003D640C">
        <w:t xml:space="preserve"> </w:t>
      </w:r>
      <w:r>
        <w:t>in</w:t>
      </w:r>
      <w:r w:rsidR="003D640C">
        <w:t xml:space="preserve"> </w:t>
      </w:r>
      <w:r>
        <w:t>the</w:t>
      </w:r>
      <w:r w:rsidR="003D640C">
        <w:t xml:space="preserve"> </w:t>
      </w:r>
      <w:r>
        <w:t>media.</w:t>
      </w:r>
      <w:r w:rsidR="003D640C">
        <w:t xml:space="preserve"> </w:t>
      </w:r>
      <w:r>
        <w:t>They</w:t>
      </w:r>
      <w:r w:rsidR="003D640C">
        <w:t xml:space="preserve"> </w:t>
      </w:r>
      <w:r>
        <w:t>are</w:t>
      </w:r>
      <w:r w:rsidR="003D640C">
        <w:t xml:space="preserve"> </w:t>
      </w:r>
      <w:r>
        <w:t>all</w:t>
      </w:r>
      <w:r w:rsidR="003D640C">
        <w:t xml:space="preserve"> </w:t>
      </w:r>
      <w:r>
        <w:t>shared</w:t>
      </w:r>
      <w:r w:rsidR="003D640C">
        <w:t xml:space="preserve"> </w:t>
      </w:r>
      <w:r>
        <w:t>because</w:t>
      </w:r>
      <w:r w:rsidR="003D640C">
        <w:t xml:space="preserve"> </w:t>
      </w:r>
      <w:r>
        <w:t>it</w:t>
      </w:r>
      <w:r w:rsidR="003D640C">
        <w:t xml:space="preserve"> </w:t>
      </w:r>
      <w:r>
        <w:t>is</w:t>
      </w:r>
      <w:r w:rsidR="003D640C">
        <w:t xml:space="preserve"> </w:t>
      </w:r>
      <w:r>
        <w:t>important</w:t>
      </w:r>
      <w:r w:rsidR="003D640C">
        <w:t xml:space="preserve"> </w:t>
      </w:r>
      <w:r>
        <w:t>to</w:t>
      </w:r>
      <w:r w:rsidR="003D640C">
        <w:t xml:space="preserve"> </w:t>
      </w:r>
      <w:r>
        <w:t>give</w:t>
      </w:r>
      <w:r w:rsidR="003D640C">
        <w:t xml:space="preserve"> </w:t>
      </w:r>
      <w:r>
        <w:t>survivors</w:t>
      </w:r>
      <w:r w:rsidR="003D640C">
        <w:t xml:space="preserve"> </w:t>
      </w:r>
      <w:r>
        <w:t>their</w:t>
      </w:r>
      <w:r w:rsidR="003D640C">
        <w:t xml:space="preserve"> </w:t>
      </w:r>
      <w:r>
        <w:t>own</w:t>
      </w:r>
      <w:r w:rsidR="003D640C">
        <w:t xml:space="preserve"> </w:t>
      </w:r>
      <w:r>
        <w:t>voice</w:t>
      </w:r>
      <w:r w:rsidR="003D640C">
        <w:t xml:space="preserve"> </w:t>
      </w:r>
      <w:r>
        <w:t>and</w:t>
      </w:r>
      <w:r w:rsidR="003D640C">
        <w:t xml:space="preserve"> </w:t>
      </w:r>
      <w:r>
        <w:t>in</w:t>
      </w:r>
      <w:r w:rsidR="003D640C">
        <w:t xml:space="preserve"> </w:t>
      </w:r>
      <w:r>
        <w:t>the</w:t>
      </w:r>
      <w:r w:rsidR="003D640C">
        <w:t xml:space="preserve"> </w:t>
      </w:r>
      <w:r>
        <w:t>hope</w:t>
      </w:r>
      <w:r w:rsidR="003D640C">
        <w:t xml:space="preserve"> </w:t>
      </w:r>
      <w:r>
        <w:t>they</w:t>
      </w:r>
      <w:r w:rsidR="003D640C">
        <w:t xml:space="preserve"> </w:t>
      </w:r>
      <w:r>
        <w:t>will</w:t>
      </w:r>
      <w:r w:rsidR="003D640C">
        <w:t xml:space="preserve"> </w:t>
      </w:r>
      <w:r>
        <w:t>personalise</w:t>
      </w:r>
      <w:r w:rsidR="003D640C">
        <w:t xml:space="preserve"> </w:t>
      </w:r>
      <w:r>
        <w:t>and</w:t>
      </w:r>
      <w:r w:rsidR="003D640C">
        <w:t xml:space="preserve"> </w:t>
      </w:r>
      <w:r>
        <w:t>bring</w:t>
      </w:r>
      <w:r w:rsidR="003D640C">
        <w:t xml:space="preserve"> </w:t>
      </w:r>
      <w:r>
        <w:t>to</w:t>
      </w:r>
      <w:r w:rsidR="003D640C">
        <w:t xml:space="preserve"> </w:t>
      </w:r>
      <w:r>
        <w:t>life</w:t>
      </w:r>
      <w:r w:rsidR="003D640C">
        <w:t xml:space="preserve"> </w:t>
      </w:r>
      <w:r>
        <w:t>the</w:t>
      </w:r>
      <w:r w:rsidR="003D640C">
        <w:t xml:space="preserve"> </w:t>
      </w:r>
      <w:r>
        <w:t>data,</w:t>
      </w:r>
      <w:r w:rsidR="003D640C">
        <w:t xml:space="preserve"> </w:t>
      </w:r>
      <w:r>
        <w:t>stories</w:t>
      </w:r>
      <w:r w:rsidR="00F5447E">
        <w:t>,</w:t>
      </w:r>
      <w:r w:rsidR="003D640C">
        <w:t xml:space="preserve"> </w:t>
      </w:r>
      <w:r>
        <w:t>and</w:t>
      </w:r>
      <w:r w:rsidR="003D640C">
        <w:t xml:space="preserve"> </w:t>
      </w:r>
      <w:r>
        <w:t>recommendations</w:t>
      </w:r>
      <w:r w:rsidR="003D640C">
        <w:t xml:space="preserve"> </w:t>
      </w:r>
      <w:r>
        <w:t>contained</w:t>
      </w:r>
      <w:r w:rsidR="003D640C">
        <w:t xml:space="preserve"> </w:t>
      </w:r>
      <w:r>
        <w:t>in</w:t>
      </w:r>
      <w:r w:rsidR="003D640C">
        <w:t xml:space="preserve"> </w:t>
      </w:r>
      <w:r>
        <w:t>this</w:t>
      </w:r>
      <w:r w:rsidR="003D640C">
        <w:t xml:space="preserve"> </w:t>
      </w:r>
      <w:r>
        <w:t>report.</w:t>
      </w:r>
      <w:r w:rsidR="003D640C">
        <w:t xml:space="preserve"> </w:t>
      </w:r>
      <w:r>
        <w:t>All</w:t>
      </w:r>
      <w:r w:rsidR="003D640C">
        <w:t xml:space="preserve"> </w:t>
      </w:r>
      <w:r>
        <w:t>quotes</w:t>
      </w:r>
      <w:r w:rsidR="003D640C">
        <w:t xml:space="preserve"> </w:t>
      </w:r>
      <w:r>
        <w:t>have</w:t>
      </w:r>
      <w:r w:rsidR="003D640C">
        <w:t xml:space="preserve"> </w:t>
      </w:r>
      <w:r>
        <w:t>been</w:t>
      </w:r>
      <w:r w:rsidR="003D640C">
        <w:t xml:space="preserve"> </w:t>
      </w:r>
      <w:r>
        <w:t>anonymised.</w:t>
      </w:r>
    </w:p>
  </w:footnote>
  <w:footnote w:id="38">
    <w:p w14:paraId="7AF2FE31" w14:textId="118CD587" w:rsidR="009D7277" w:rsidRPr="00BC42D0" w:rsidRDefault="009D7277" w:rsidP="00393F8F">
      <w:pPr>
        <w:pStyle w:val="FootnoteText"/>
      </w:pPr>
      <w:r>
        <w:rPr>
          <w:rStyle w:val="FootnoteReference"/>
        </w:rPr>
        <w:footnoteRef/>
      </w:r>
      <w:r w:rsidR="003D4B29">
        <w:t xml:space="preserve"> </w:t>
      </w:r>
      <w:r w:rsidR="009A0D20" w:rsidRPr="009A0D20">
        <w:t>Aspin,</w:t>
      </w:r>
      <w:r w:rsidR="003D640C">
        <w:t xml:space="preserve"> </w:t>
      </w:r>
      <w:r w:rsidR="009A0D20" w:rsidRPr="009A0D20">
        <w:t>C.,</w:t>
      </w:r>
      <w:r w:rsidR="003D640C">
        <w:t xml:space="preserve"> </w:t>
      </w:r>
      <w:r w:rsidR="009A0D20" w:rsidRPr="009A0D20">
        <w:t>&amp;</w:t>
      </w:r>
      <w:r w:rsidR="003D640C">
        <w:t xml:space="preserve"> </w:t>
      </w:r>
      <w:r w:rsidR="009A0D20" w:rsidRPr="009A0D20">
        <w:t>Hutchings,</w:t>
      </w:r>
      <w:r w:rsidR="003D640C">
        <w:t xml:space="preserve"> </w:t>
      </w:r>
      <w:r w:rsidR="009A0D20" w:rsidRPr="009A0D20">
        <w:t>J.</w:t>
      </w:r>
      <w:r w:rsidR="003D640C">
        <w:t xml:space="preserve"> </w:t>
      </w:r>
      <w:r w:rsidR="009A0D20" w:rsidRPr="009A0D20">
        <w:t>(2007).</w:t>
      </w:r>
      <w:r w:rsidR="003D640C">
        <w:t xml:space="preserve"> </w:t>
      </w:r>
      <w:r w:rsidR="009A0D20" w:rsidRPr="009A0D20">
        <w:t>Reclaiming</w:t>
      </w:r>
      <w:r w:rsidR="003D640C">
        <w:t xml:space="preserve"> </w:t>
      </w:r>
      <w:r w:rsidR="009A0D20" w:rsidRPr="009A0D20">
        <w:t>the</w:t>
      </w:r>
      <w:r w:rsidR="003D640C">
        <w:t xml:space="preserve"> </w:t>
      </w:r>
      <w:r w:rsidR="009A0D20" w:rsidRPr="009A0D20">
        <w:t>past</w:t>
      </w:r>
      <w:r w:rsidR="003D640C">
        <w:t xml:space="preserve"> </w:t>
      </w:r>
      <w:r w:rsidR="009A0D20" w:rsidRPr="009A0D20">
        <w:t>to</w:t>
      </w:r>
      <w:r w:rsidR="003D640C">
        <w:t xml:space="preserve"> </w:t>
      </w:r>
      <w:r w:rsidR="009A0D20" w:rsidRPr="009A0D20">
        <w:t>inform</w:t>
      </w:r>
      <w:r w:rsidR="003D640C">
        <w:t xml:space="preserve"> </w:t>
      </w:r>
      <w:r w:rsidR="009A0D20" w:rsidRPr="009A0D20">
        <w:t>the</w:t>
      </w:r>
      <w:r w:rsidR="003D640C">
        <w:t xml:space="preserve"> </w:t>
      </w:r>
      <w:r w:rsidR="009A0D20" w:rsidRPr="009A0D20">
        <w:t>future:</w:t>
      </w:r>
      <w:r w:rsidR="003D640C">
        <w:t xml:space="preserve"> </w:t>
      </w:r>
      <w:r w:rsidR="009A0D20" w:rsidRPr="009A0D20">
        <w:t>Contemporary</w:t>
      </w:r>
      <w:r w:rsidR="003D640C">
        <w:t xml:space="preserve"> </w:t>
      </w:r>
      <w:r w:rsidR="009A0D20" w:rsidRPr="009A0D20">
        <w:t>views</w:t>
      </w:r>
      <w:r w:rsidR="003D640C">
        <w:t xml:space="preserve"> </w:t>
      </w:r>
      <w:r w:rsidR="009A0D20" w:rsidRPr="009A0D20">
        <w:t>of</w:t>
      </w:r>
      <w:r w:rsidR="003D640C">
        <w:t xml:space="preserve"> </w:t>
      </w:r>
      <w:r w:rsidR="009A0D20" w:rsidRPr="009A0D20">
        <w:t>Maori</w:t>
      </w:r>
      <w:r w:rsidR="003D640C">
        <w:t xml:space="preserve"> </w:t>
      </w:r>
      <w:r w:rsidR="009A0D20" w:rsidRPr="009A0D20">
        <w:t>sexuality.</w:t>
      </w:r>
      <w:r w:rsidR="003D640C">
        <w:t xml:space="preserve"> </w:t>
      </w:r>
      <w:r w:rsidR="009A0D20" w:rsidRPr="007B139B">
        <w:rPr>
          <w:i/>
          <w:iCs/>
        </w:rPr>
        <w:t>Culture,</w:t>
      </w:r>
      <w:r w:rsidR="003D640C" w:rsidRPr="007B139B">
        <w:rPr>
          <w:i/>
          <w:iCs/>
        </w:rPr>
        <w:t xml:space="preserve"> </w:t>
      </w:r>
      <w:r w:rsidR="009A0D20" w:rsidRPr="007B139B">
        <w:rPr>
          <w:i/>
          <w:iCs/>
        </w:rPr>
        <w:t>Health</w:t>
      </w:r>
      <w:r w:rsidR="003D640C" w:rsidRPr="007B139B">
        <w:rPr>
          <w:i/>
          <w:iCs/>
        </w:rPr>
        <w:t xml:space="preserve"> </w:t>
      </w:r>
      <w:r w:rsidR="009A0D20" w:rsidRPr="007B139B">
        <w:rPr>
          <w:i/>
          <w:iCs/>
        </w:rPr>
        <w:t>&amp;</w:t>
      </w:r>
      <w:r w:rsidR="003D640C" w:rsidRPr="007B139B">
        <w:rPr>
          <w:i/>
          <w:iCs/>
        </w:rPr>
        <w:t xml:space="preserve"> </w:t>
      </w:r>
      <w:r w:rsidR="009A0D20" w:rsidRPr="007B139B">
        <w:rPr>
          <w:i/>
          <w:iCs/>
        </w:rPr>
        <w:t>Sexuality</w:t>
      </w:r>
      <w:r w:rsidR="009A0D20" w:rsidRPr="009A0D20">
        <w:t>,</w:t>
      </w:r>
      <w:r w:rsidR="003D640C">
        <w:t xml:space="preserve"> </w:t>
      </w:r>
      <w:r w:rsidR="009A0D20" w:rsidRPr="007B139B">
        <w:rPr>
          <w:i/>
          <w:iCs/>
        </w:rPr>
        <w:t>9</w:t>
      </w:r>
      <w:r w:rsidR="009A0D20" w:rsidRPr="009A0D20">
        <w:t>(4),</w:t>
      </w:r>
      <w:r w:rsidR="003D640C">
        <w:t xml:space="preserve"> </w:t>
      </w:r>
      <w:r w:rsidR="009A0D20" w:rsidRPr="009A0D20">
        <w:t>415–427</w:t>
      </w:r>
      <w:r w:rsidR="00C945CA">
        <w:t xml:space="preserve">; </w:t>
      </w:r>
      <w:r w:rsidR="00C945CA" w:rsidRPr="002306A1">
        <w:t>Kerekere,</w:t>
      </w:r>
      <w:r w:rsidR="00C945CA">
        <w:t xml:space="preserve"> </w:t>
      </w:r>
      <w:r w:rsidR="00C945CA" w:rsidRPr="002306A1">
        <w:t>E.</w:t>
      </w:r>
      <w:r w:rsidR="00C945CA">
        <w:t xml:space="preserve"> </w:t>
      </w:r>
      <w:r w:rsidR="00C945CA" w:rsidRPr="002306A1">
        <w:t>(2017</w:t>
      </w:r>
      <w:r w:rsidR="00C945CA">
        <w:t>a</w:t>
      </w:r>
      <w:r w:rsidR="00C945CA" w:rsidRPr="002306A1">
        <w:t>).</w:t>
      </w:r>
      <w:r w:rsidR="00C945CA">
        <w:t xml:space="preserve"> </w:t>
      </w:r>
      <w:r w:rsidR="00C945CA" w:rsidRPr="007B139B">
        <w:rPr>
          <w:i/>
          <w:iCs/>
        </w:rPr>
        <w:t>Growing up takatāpui: Whānau journeys</w:t>
      </w:r>
      <w:r w:rsidR="00C945CA" w:rsidRPr="002306A1">
        <w:t>.</w:t>
      </w:r>
      <w:r w:rsidR="00C945CA">
        <w:t xml:space="preserve"> </w:t>
      </w:r>
      <w:r w:rsidR="00C945CA" w:rsidRPr="002306A1">
        <w:t>Tīwhanawhana</w:t>
      </w:r>
      <w:r w:rsidR="00C945CA">
        <w:t xml:space="preserve"> </w:t>
      </w:r>
      <w:r w:rsidR="00C945CA" w:rsidRPr="002306A1">
        <w:t>Trust</w:t>
      </w:r>
      <w:r w:rsidR="00C945CA">
        <w:t xml:space="preserve"> </w:t>
      </w:r>
      <w:r w:rsidR="00C945CA" w:rsidRPr="002306A1">
        <w:t>and</w:t>
      </w:r>
      <w:r w:rsidR="00C945CA">
        <w:t xml:space="preserve"> </w:t>
      </w:r>
      <w:r w:rsidR="00C945CA" w:rsidRPr="002306A1">
        <w:t>RainbowYOUTH</w:t>
      </w:r>
      <w:r w:rsidR="00C945CA">
        <w:t xml:space="preserve">; </w:t>
      </w:r>
      <w:r w:rsidR="00D72F63" w:rsidRPr="002306A1">
        <w:t>Pihama</w:t>
      </w:r>
      <w:r w:rsidR="00516C82">
        <w:t xml:space="preserve"> et al.</w:t>
      </w:r>
      <w:r w:rsidR="00D72F63" w:rsidRPr="002306A1">
        <w:t>,</w:t>
      </w:r>
      <w:r w:rsidR="00516C82" w:rsidDel="00516C82">
        <w:t xml:space="preserve"> </w:t>
      </w:r>
      <w:r w:rsidR="00D72F63" w:rsidRPr="002306A1">
        <w:t>2020.</w:t>
      </w:r>
      <w:r w:rsidR="00D72F63" w:rsidDel="00C945CA">
        <w:t xml:space="preserve"> </w:t>
      </w:r>
    </w:p>
  </w:footnote>
  <w:footnote w:id="39">
    <w:p w14:paraId="6F9BC5D6" w14:textId="206E0E72" w:rsidR="00B50CCE" w:rsidRDefault="00B50CCE">
      <w:pPr>
        <w:pStyle w:val="FootnoteText"/>
      </w:pPr>
      <w:r>
        <w:rPr>
          <w:rStyle w:val="FootnoteReference"/>
        </w:rPr>
        <w:footnoteRef/>
      </w:r>
      <w:r>
        <w:t xml:space="preserve"> </w:t>
      </w:r>
      <w:r w:rsidR="00B950FF">
        <w:t>O</w:t>
      </w:r>
      <w:r>
        <w:t>bject</w:t>
      </w:r>
      <w:r w:rsidR="00B950FF">
        <w:t>s</w:t>
      </w:r>
      <w:r>
        <w:t xml:space="preserve"> thought to have supernatural </w:t>
      </w:r>
      <w:r w:rsidRPr="00B50CCE">
        <w:t>powers</w:t>
      </w:r>
      <w:r>
        <w:t>.</w:t>
      </w:r>
    </w:p>
  </w:footnote>
  <w:footnote w:id="40">
    <w:p w14:paraId="41692A97" w14:textId="4A0333F4" w:rsidR="009D7277" w:rsidRDefault="009D7277" w:rsidP="00E00167">
      <w:pPr>
        <w:pStyle w:val="FootnoteText"/>
      </w:pPr>
      <w:r>
        <w:rPr>
          <w:rStyle w:val="FootnoteReference"/>
        </w:rPr>
        <w:footnoteRef/>
      </w:r>
      <w:r w:rsidR="003D640C">
        <w:t xml:space="preserve"> </w:t>
      </w:r>
      <w:r>
        <w:t>Fenaughty</w:t>
      </w:r>
      <w:r w:rsidR="003D640C">
        <w:t xml:space="preserve"> </w:t>
      </w:r>
      <w:r>
        <w:t>et</w:t>
      </w:r>
      <w:r w:rsidR="003D640C">
        <w:t xml:space="preserve"> </w:t>
      </w:r>
      <w:r>
        <w:t>al.</w:t>
      </w:r>
      <w:r w:rsidR="00E626E4">
        <w:t>,</w:t>
      </w:r>
      <w:r w:rsidR="003D640C">
        <w:t xml:space="preserve"> </w:t>
      </w:r>
      <w:r>
        <w:t>2023</w:t>
      </w:r>
      <w:r w:rsidR="00FF1564">
        <w:t>,</w:t>
      </w:r>
      <w:r w:rsidR="003D640C">
        <w:t xml:space="preserve"> </w:t>
      </w:r>
      <w:r w:rsidR="00FF1564">
        <w:t>p.</w:t>
      </w:r>
      <w:r w:rsidR="003D640C">
        <w:t xml:space="preserve"> </w:t>
      </w:r>
      <w:r w:rsidR="00FF1564">
        <w:t>157</w:t>
      </w:r>
      <w:r w:rsidR="00033CEC">
        <w:t>.</w:t>
      </w:r>
    </w:p>
  </w:footnote>
  <w:footnote w:id="41">
    <w:p w14:paraId="7A93B0DA" w14:textId="3B3461BE" w:rsidR="009D7277" w:rsidRDefault="009D7277" w:rsidP="00E00167">
      <w:pPr>
        <w:pStyle w:val="FootnoteText"/>
      </w:pPr>
      <w:r>
        <w:rPr>
          <w:rStyle w:val="FootnoteReference"/>
        </w:rPr>
        <w:footnoteRef/>
      </w:r>
      <w:r w:rsidR="003D640C">
        <w:t xml:space="preserve"> </w:t>
      </w:r>
      <w:r w:rsidR="00277230">
        <w:t>For</w:t>
      </w:r>
      <w:r w:rsidR="003D640C">
        <w:t xml:space="preserve"> </w:t>
      </w:r>
      <w:r w:rsidR="00277230">
        <w:t>this</w:t>
      </w:r>
      <w:r w:rsidR="003D640C">
        <w:t xml:space="preserve"> </w:t>
      </w:r>
      <w:r w:rsidR="00277230">
        <w:t>reason,</w:t>
      </w:r>
      <w:r w:rsidR="003D640C">
        <w:t xml:space="preserve"> </w:t>
      </w:r>
      <w:r w:rsidR="00277230">
        <w:t>many</w:t>
      </w:r>
      <w:r w:rsidR="003D640C">
        <w:t xml:space="preserve"> </w:t>
      </w:r>
      <w:r w:rsidR="00277230">
        <w:t>survivors</w:t>
      </w:r>
      <w:r w:rsidR="003D640C">
        <w:t xml:space="preserve"> </w:t>
      </w:r>
      <w:r>
        <w:t>call</w:t>
      </w:r>
      <w:r w:rsidR="003D640C">
        <w:t xml:space="preserve"> </w:t>
      </w:r>
      <w:r>
        <w:t>for</w:t>
      </w:r>
      <w:r w:rsidR="003D640C">
        <w:t xml:space="preserve"> </w:t>
      </w:r>
      <w:r>
        <w:t>the</w:t>
      </w:r>
      <w:r w:rsidR="003D640C">
        <w:t xml:space="preserve"> </w:t>
      </w:r>
      <w:r>
        <w:t>CPPLA</w:t>
      </w:r>
      <w:r w:rsidR="003D640C">
        <w:t xml:space="preserve"> </w:t>
      </w:r>
      <w:r>
        <w:t>to</w:t>
      </w:r>
      <w:r w:rsidR="003D640C">
        <w:t xml:space="preserve"> </w:t>
      </w:r>
      <w:r>
        <w:t>be</w:t>
      </w:r>
      <w:r w:rsidR="003D640C">
        <w:t xml:space="preserve"> </w:t>
      </w:r>
      <w:r>
        <w:t>amended</w:t>
      </w:r>
      <w:r w:rsidR="003D640C">
        <w:t xml:space="preserve"> </w:t>
      </w:r>
      <w:r>
        <w:t>to</w:t>
      </w:r>
      <w:r w:rsidR="003D640C">
        <w:t xml:space="preserve"> </w:t>
      </w:r>
      <w:r>
        <w:t>afford</w:t>
      </w:r>
      <w:r w:rsidR="003D640C">
        <w:t xml:space="preserve"> </w:t>
      </w:r>
      <w:r>
        <w:t>the</w:t>
      </w:r>
      <w:r w:rsidR="003D640C">
        <w:t xml:space="preserve"> </w:t>
      </w:r>
      <w:r>
        <w:t>same</w:t>
      </w:r>
      <w:r w:rsidR="003D640C">
        <w:t xml:space="preserve"> </w:t>
      </w:r>
      <w:r>
        <w:t>protection</w:t>
      </w:r>
      <w:r w:rsidR="003D640C">
        <w:t xml:space="preserve"> </w:t>
      </w:r>
      <w:r>
        <w:t>to</w:t>
      </w:r>
      <w:r w:rsidR="003D640C">
        <w:t xml:space="preserve"> </w:t>
      </w:r>
      <w:r>
        <w:t>those</w:t>
      </w:r>
      <w:r w:rsidR="003D640C">
        <w:t xml:space="preserve"> </w:t>
      </w:r>
      <w:r>
        <w:t>over</w:t>
      </w:r>
      <w:r w:rsidR="003D640C">
        <w:t xml:space="preserve"> </w:t>
      </w:r>
      <w:r>
        <w:t>the</w:t>
      </w:r>
      <w:r w:rsidR="003D640C">
        <w:t xml:space="preserve"> </w:t>
      </w:r>
      <w:r>
        <w:t>age</w:t>
      </w:r>
      <w:r w:rsidR="003D640C">
        <w:t xml:space="preserve"> </w:t>
      </w:r>
      <w:r>
        <w:t>of</w:t>
      </w:r>
      <w:r w:rsidR="003D640C">
        <w:t xml:space="preserve"> </w:t>
      </w:r>
      <w:r>
        <w:t>18</w:t>
      </w:r>
      <w:r w:rsidR="003D640C">
        <w:t xml:space="preserve"> </w:t>
      </w:r>
      <w:r>
        <w:t>as</w:t>
      </w:r>
      <w:r w:rsidR="003D640C">
        <w:t xml:space="preserve"> </w:t>
      </w:r>
      <w:r>
        <w:t>it</w:t>
      </w:r>
      <w:r w:rsidR="003D640C">
        <w:t xml:space="preserve"> </w:t>
      </w:r>
      <w:r>
        <w:t>does</w:t>
      </w:r>
      <w:r w:rsidR="003D640C">
        <w:t xml:space="preserve"> </w:t>
      </w:r>
      <w:r>
        <w:t>to</w:t>
      </w:r>
      <w:r w:rsidR="003D640C">
        <w:t xml:space="preserve"> </w:t>
      </w:r>
      <w:r>
        <w:t>those</w:t>
      </w:r>
      <w:r w:rsidR="003D640C">
        <w:t xml:space="preserve"> </w:t>
      </w:r>
      <w:r>
        <w:t>under.</w:t>
      </w:r>
    </w:p>
  </w:footnote>
  <w:footnote w:id="42">
    <w:p w14:paraId="0EF49EC6" w14:textId="59C1D8CB" w:rsidR="009D7277" w:rsidRDefault="009D7277" w:rsidP="00E00167">
      <w:pPr>
        <w:pStyle w:val="FootnoteText"/>
      </w:pPr>
      <w:r>
        <w:rPr>
          <w:rStyle w:val="FootnoteReference"/>
        </w:rPr>
        <w:footnoteRef/>
      </w:r>
      <w:r w:rsidR="003D640C">
        <w:t xml:space="preserve"> </w:t>
      </w:r>
      <w:r>
        <w:t>Fenaughty</w:t>
      </w:r>
      <w:r w:rsidR="003D640C">
        <w:t xml:space="preserve"> </w:t>
      </w:r>
      <w:r>
        <w:t>et</w:t>
      </w:r>
      <w:r w:rsidR="003D640C">
        <w:t xml:space="preserve"> </w:t>
      </w:r>
      <w:r>
        <w:t>al.</w:t>
      </w:r>
      <w:r w:rsidR="00E626E4">
        <w:t>,</w:t>
      </w:r>
      <w:r w:rsidR="003D640C">
        <w:t xml:space="preserve"> </w:t>
      </w:r>
      <w:r>
        <w:t>2023</w:t>
      </w:r>
      <w:r w:rsidR="00033CEC">
        <w:t>,</w:t>
      </w:r>
      <w:r w:rsidR="003D640C">
        <w:t xml:space="preserve"> </w:t>
      </w:r>
      <w:r w:rsidR="00033CEC">
        <w:t>p.</w:t>
      </w:r>
      <w:r w:rsidR="003D640C">
        <w:t xml:space="preserve"> </w:t>
      </w:r>
      <w:r w:rsidR="00033CEC">
        <w:t>158.</w:t>
      </w:r>
    </w:p>
  </w:footnote>
  <w:footnote w:id="43">
    <w:p w14:paraId="597BC3E8" w14:textId="481711D3" w:rsidR="009D7277" w:rsidRDefault="009D7277" w:rsidP="00E00167">
      <w:pPr>
        <w:pStyle w:val="FootnoteText"/>
      </w:pPr>
      <w:r>
        <w:rPr>
          <w:rStyle w:val="FootnoteReference"/>
        </w:rPr>
        <w:footnoteRef/>
      </w:r>
      <w:r w:rsidR="003D640C">
        <w:t xml:space="preserve"> </w:t>
      </w:r>
      <w:r w:rsidR="00114476">
        <w:t>Ibid</w:t>
      </w:r>
      <w:r w:rsidR="00E626E4">
        <w:t>.</w:t>
      </w:r>
    </w:p>
  </w:footnote>
  <w:footnote w:id="44">
    <w:p w14:paraId="7145EB9E" w14:textId="4546BB6A" w:rsidR="00AD483D" w:rsidRDefault="00AD483D" w:rsidP="00E00167">
      <w:pPr>
        <w:pStyle w:val="FootnoteText"/>
      </w:pPr>
      <w:r>
        <w:rPr>
          <w:rStyle w:val="FootnoteReference"/>
        </w:rPr>
        <w:footnoteRef/>
      </w:r>
      <w:r w:rsidR="003D640C">
        <w:t xml:space="preserve"> </w:t>
      </w:r>
      <w:r>
        <w:t>Veale,</w:t>
      </w:r>
      <w:r w:rsidR="003D640C">
        <w:t xml:space="preserve"> </w:t>
      </w:r>
      <w:r>
        <w:t>J.,</w:t>
      </w:r>
      <w:r w:rsidR="003D640C">
        <w:t xml:space="preserve"> </w:t>
      </w:r>
      <w:r>
        <w:t>Tan,</w:t>
      </w:r>
      <w:r w:rsidR="003D640C">
        <w:t xml:space="preserve"> </w:t>
      </w:r>
      <w:r>
        <w:t>K.,</w:t>
      </w:r>
      <w:r w:rsidR="003D640C">
        <w:t xml:space="preserve"> </w:t>
      </w:r>
      <w:r>
        <w:t>&amp;</w:t>
      </w:r>
      <w:r w:rsidR="003D640C">
        <w:t xml:space="preserve"> </w:t>
      </w:r>
      <w:r>
        <w:t>Byrne,</w:t>
      </w:r>
      <w:r w:rsidR="003D640C">
        <w:t xml:space="preserve"> </w:t>
      </w:r>
      <w:r>
        <w:t>J.</w:t>
      </w:r>
      <w:r w:rsidR="003D640C">
        <w:t xml:space="preserve"> </w:t>
      </w:r>
      <w:r>
        <w:t>(2022).</w:t>
      </w:r>
      <w:r w:rsidR="003D640C">
        <w:t xml:space="preserve"> </w:t>
      </w:r>
      <w:r>
        <w:t>Gender</w:t>
      </w:r>
      <w:r w:rsidR="003D640C">
        <w:t xml:space="preserve"> </w:t>
      </w:r>
      <w:r>
        <w:t>identity</w:t>
      </w:r>
      <w:r w:rsidR="003D640C">
        <w:t xml:space="preserve"> </w:t>
      </w:r>
      <w:r>
        <w:t>change</w:t>
      </w:r>
      <w:r w:rsidR="003D640C">
        <w:t xml:space="preserve"> </w:t>
      </w:r>
      <w:r>
        <w:t>efforts</w:t>
      </w:r>
      <w:r w:rsidR="003D640C">
        <w:t xml:space="preserve"> </w:t>
      </w:r>
      <w:r>
        <w:t>faced</w:t>
      </w:r>
      <w:r w:rsidR="003D640C">
        <w:t xml:space="preserve"> </w:t>
      </w:r>
      <w:r>
        <w:t>by</w:t>
      </w:r>
      <w:r w:rsidR="003D640C">
        <w:t xml:space="preserve"> </w:t>
      </w:r>
      <w:r>
        <w:t>trans</w:t>
      </w:r>
      <w:r w:rsidR="003D640C">
        <w:t xml:space="preserve"> </w:t>
      </w:r>
      <w:r>
        <w:t>and</w:t>
      </w:r>
      <w:r w:rsidR="003D640C">
        <w:t xml:space="preserve"> </w:t>
      </w:r>
      <w:r>
        <w:t>non-binary</w:t>
      </w:r>
      <w:r w:rsidR="003D640C">
        <w:t xml:space="preserve"> </w:t>
      </w:r>
      <w:r>
        <w:t>people</w:t>
      </w:r>
      <w:r w:rsidR="003D640C">
        <w:t xml:space="preserve"> </w:t>
      </w:r>
      <w:r>
        <w:t>in</w:t>
      </w:r>
      <w:r w:rsidR="003D640C">
        <w:t xml:space="preserve"> </w:t>
      </w:r>
      <w:r>
        <w:t>New</w:t>
      </w:r>
      <w:r w:rsidR="003D640C">
        <w:t xml:space="preserve"> </w:t>
      </w:r>
      <w:r>
        <w:t>Zealand:</w:t>
      </w:r>
      <w:r w:rsidR="003D640C">
        <w:t xml:space="preserve"> </w:t>
      </w:r>
      <w:r>
        <w:t>Associations</w:t>
      </w:r>
      <w:r w:rsidR="003D640C">
        <w:t xml:space="preserve"> </w:t>
      </w:r>
      <w:r>
        <w:t>with</w:t>
      </w:r>
      <w:r w:rsidR="003D640C">
        <w:t xml:space="preserve"> </w:t>
      </w:r>
      <w:r>
        <w:t>demographics,</w:t>
      </w:r>
      <w:r w:rsidR="003D640C">
        <w:t xml:space="preserve"> </w:t>
      </w:r>
      <w:r>
        <w:t>family</w:t>
      </w:r>
      <w:r w:rsidR="003D640C">
        <w:t xml:space="preserve"> </w:t>
      </w:r>
      <w:r>
        <w:t>rejection,</w:t>
      </w:r>
      <w:r w:rsidR="003D640C">
        <w:t xml:space="preserve"> </w:t>
      </w:r>
      <w:r>
        <w:t>internalized</w:t>
      </w:r>
      <w:r w:rsidR="003D640C">
        <w:t xml:space="preserve"> </w:t>
      </w:r>
      <w:r>
        <w:t>transphobia,</w:t>
      </w:r>
      <w:r w:rsidR="003D640C">
        <w:t xml:space="preserve"> </w:t>
      </w:r>
      <w:r>
        <w:t>and</w:t>
      </w:r>
      <w:r w:rsidR="003D640C">
        <w:t xml:space="preserve"> </w:t>
      </w:r>
      <w:r>
        <w:t>mental</w:t>
      </w:r>
      <w:r w:rsidR="003D640C">
        <w:t xml:space="preserve"> </w:t>
      </w:r>
      <w:r>
        <w:t>health.</w:t>
      </w:r>
      <w:r w:rsidR="003D640C">
        <w:t xml:space="preserve"> </w:t>
      </w:r>
      <w:r w:rsidRPr="000E251C">
        <w:rPr>
          <w:i/>
          <w:iCs/>
        </w:rPr>
        <w:t>Psychology</w:t>
      </w:r>
      <w:r w:rsidR="003D640C">
        <w:rPr>
          <w:i/>
          <w:iCs/>
        </w:rPr>
        <w:t xml:space="preserve"> </w:t>
      </w:r>
      <w:r w:rsidRPr="000E251C">
        <w:rPr>
          <w:i/>
          <w:iCs/>
        </w:rPr>
        <w:t>of</w:t>
      </w:r>
      <w:r w:rsidR="003D640C">
        <w:rPr>
          <w:i/>
          <w:iCs/>
        </w:rPr>
        <w:t xml:space="preserve"> </w:t>
      </w:r>
      <w:r w:rsidRPr="000E251C">
        <w:rPr>
          <w:i/>
          <w:iCs/>
        </w:rPr>
        <w:t>Sexual</w:t>
      </w:r>
      <w:r w:rsidR="003D640C">
        <w:rPr>
          <w:i/>
          <w:iCs/>
        </w:rPr>
        <w:t xml:space="preserve"> </w:t>
      </w:r>
      <w:r w:rsidRPr="000E251C">
        <w:rPr>
          <w:i/>
          <w:iCs/>
        </w:rPr>
        <w:t>Orientation</w:t>
      </w:r>
      <w:r w:rsidR="003D640C">
        <w:rPr>
          <w:i/>
          <w:iCs/>
        </w:rPr>
        <w:t xml:space="preserve"> </w:t>
      </w:r>
      <w:r w:rsidRPr="000E251C">
        <w:rPr>
          <w:i/>
          <w:iCs/>
        </w:rPr>
        <w:t>and</w:t>
      </w:r>
      <w:r w:rsidR="003D640C">
        <w:rPr>
          <w:i/>
          <w:iCs/>
        </w:rPr>
        <w:t xml:space="preserve"> </w:t>
      </w:r>
      <w:r w:rsidRPr="000E251C">
        <w:rPr>
          <w:i/>
          <w:iCs/>
        </w:rPr>
        <w:t>Gender</w:t>
      </w:r>
      <w:r w:rsidR="003D640C">
        <w:rPr>
          <w:i/>
          <w:iCs/>
        </w:rPr>
        <w:t xml:space="preserve"> </w:t>
      </w:r>
      <w:r w:rsidRPr="000E251C">
        <w:rPr>
          <w:i/>
          <w:iCs/>
        </w:rPr>
        <w:t>Diversity,</w:t>
      </w:r>
      <w:r w:rsidR="003D640C">
        <w:rPr>
          <w:i/>
          <w:iCs/>
        </w:rPr>
        <w:t xml:space="preserve"> </w:t>
      </w:r>
      <w:r w:rsidRPr="000E251C">
        <w:rPr>
          <w:i/>
          <w:iCs/>
        </w:rPr>
        <w:t>9</w:t>
      </w:r>
      <w:r w:rsidRPr="007B139B">
        <w:t>(4)</w:t>
      </w:r>
      <w:r w:rsidRPr="001361A5">
        <w:t>,</w:t>
      </w:r>
      <w:r w:rsidR="003D640C">
        <w:t xml:space="preserve"> </w:t>
      </w:r>
      <w:r>
        <w:t>478</w:t>
      </w:r>
      <w:r w:rsidR="001361A5">
        <w:t>–487</w:t>
      </w:r>
      <w:r>
        <w:t>.</w:t>
      </w:r>
      <w:r w:rsidR="003D640C">
        <w:t xml:space="preserve"> </w:t>
      </w:r>
    </w:p>
  </w:footnote>
  <w:footnote w:id="45">
    <w:p w14:paraId="2BD80DB8" w14:textId="79C903B2" w:rsidR="009D7277" w:rsidRDefault="009D7277" w:rsidP="0002020B">
      <w:pPr>
        <w:pStyle w:val="FootnoteText"/>
      </w:pPr>
      <w:r>
        <w:rPr>
          <w:rStyle w:val="FootnoteReference"/>
        </w:rPr>
        <w:footnoteRef/>
      </w:r>
      <w:r w:rsidR="003D640C" w:rsidDel="003B5923">
        <w:t xml:space="preserve"> </w:t>
      </w:r>
      <w:r>
        <w:rPr>
          <w:lang w:val="mi-NZ"/>
        </w:rPr>
        <w:t>Human</w:t>
      </w:r>
      <w:r w:rsidR="003D640C">
        <w:rPr>
          <w:lang w:val="mi-NZ"/>
        </w:rPr>
        <w:t xml:space="preserve"> </w:t>
      </w:r>
      <w:r>
        <w:rPr>
          <w:lang w:val="mi-NZ"/>
        </w:rPr>
        <w:t>Rights</w:t>
      </w:r>
      <w:r w:rsidR="003D640C">
        <w:rPr>
          <w:lang w:val="mi-NZ"/>
        </w:rPr>
        <w:t xml:space="preserve"> </w:t>
      </w:r>
      <w:r>
        <w:rPr>
          <w:lang w:val="mi-NZ"/>
        </w:rPr>
        <w:t>Commission.</w:t>
      </w:r>
      <w:r w:rsidR="003D640C">
        <w:rPr>
          <w:lang w:val="mi-NZ"/>
        </w:rPr>
        <w:t xml:space="preserve"> </w:t>
      </w:r>
      <w:r>
        <w:rPr>
          <w:lang w:val="mi-NZ"/>
        </w:rPr>
        <w:t>(n.d.</w:t>
      </w:r>
      <w:r w:rsidR="00FB1C07">
        <w:rPr>
          <w:lang w:val="mi-NZ"/>
        </w:rPr>
        <w:t>a</w:t>
      </w:r>
      <w:r>
        <w:rPr>
          <w:lang w:val="mi-NZ"/>
        </w:rPr>
        <w:t>).</w:t>
      </w:r>
      <w:r w:rsidR="003D640C">
        <w:rPr>
          <w:lang w:val="mi-NZ"/>
        </w:rPr>
        <w:t xml:space="preserve"> </w:t>
      </w:r>
      <w:r w:rsidRPr="00A61DAC">
        <w:rPr>
          <w:i/>
          <w:iCs/>
          <w:lang w:val="mi-NZ"/>
        </w:rPr>
        <w:t>Conversion</w:t>
      </w:r>
      <w:r w:rsidR="003D640C">
        <w:rPr>
          <w:i/>
          <w:iCs/>
          <w:lang w:val="mi-NZ"/>
        </w:rPr>
        <w:t xml:space="preserve"> </w:t>
      </w:r>
      <w:r w:rsidR="009644D0">
        <w:rPr>
          <w:i/>
          <w:iCs/>
          <w:lang w:val="mi-NZ"/>
        </w:rPr>
        <w:t>p</w:t>
      </w:r>
      <w:r w:rsidRPr="00A61DAC">
        <w:rPr>
          <w:i/>
          <w:iCs/>
          <w:lang w:val="mi-NZ"/>
        </w:rPr>
        <w:t>ractices</w:t>
      </w:r>
      <w:r>
        <w:rPr>
          <w:lang w:val="mi-NZ"/>
        </w:rPr>
        <w:t>.</w:t>
      </w:r>
    </w:p>
  </w:footnote>
  <w:footnote w:id="46">
    <w:p w14:paraId="34FD7086" w14:textId="041C51CB" w:rsidR="006A2733" w:rsidRPr="00B1465F" w:rsidRDefault="006A2733" w:rsidP="00E00167">
      <w:pPr>
        <w:pStyle w:val="FootnoteText"/>
        <w:rPr>
          <w:iCs/>
          <w:color w:val="0563C1" w:themeColor="hyperlink"/>
          <w:u w:val="single"/>
        </w:rPr>
      </w:pPr>
      <w:r w:rsidRPr="00955F0C">
        <w:rPr>
          <w:rStyle w:val="FootnoteReference"/>
        </w:rPr>
        <w:footnoteRef/>
      </w:r>
      <w:r w:rsidR="003D640C">
        <w:t xml:space="preserve"> </w:t>
      </w:r>
      <w:r w:rsidR="00B32253">
        <w:t>International</w:t>
      </w:r>
      <w:r w:rsidR="003D640C">
        <w:t xml:space="preserve"> </w:t>
      </w:r>
      <w:r w:rsidR="00B32253">
        <w:t>Commission</w:t>
      </w:r>
      <w:r w:rsidR="003D640C">
        <w:t xml:space="preserve"> </w:t>
      </w:r>
      <w:r w:rsidR="00B32253">
        <w:t>of</w:t>
      </w:r>
      <w:r w:rsidR="003D640C">
        <w:t xml:space="preserve"> </w:t>
      </w:r>
      <w:r w:rsidR="00B32253">
        <w:t>Jurists.</w:t>
      </w:r>
      <w:r w:rsidR="003D640C">
        <w:t xml:space="preserve"> </w:t>
      </w:r>
      <w:r w:rsidR="00B32253">
        <w:t>(2007).</w:t>
      </w:r>
      <w:r w:rsidR="003D640C">
        <w:t xml:space="preserve"> </w:t>
      </w:r>
      <w:r w:rsidR="008E6106" w:rsidRPr="007B139B">
        <w:rPr>
          <w:i/>
          <w:iCs/>
        </w:rPr>
        <w:t xml:space="preserve">The </w:t>
      </w:r>
      <w:r w:rsidR="00B32253" w:rsidRPr="007B139B">
        <w:rPr>
          <w:i/>
          <w:iCs/>
        </w:rPr>
        <w:t>Yogyakarta</w:t>
      </w:r>
      <w:r w:rsidR="003D640C" w:rsidRPr="007B139B">
        <w:rPr>
          <w:i/>
          <w:iCs/>
        </w:rPr>
        <w:t xml:space="preserve"> </w:t>
      </w:r>
      <w:r w:rsidR="00B32253" w:rsidRPr="007B139B">
        <w:rPr>
          <w:i/>
          <w:iCs/>
        </w:rPr>
        <w:t>Principles</w:t>
      </w:r>
      <w:r w:rsidR="008E6106" w:rsidRPr="007B139B">
        <w:rPr>
          <w:i/>
          <w:iCs/>
        </w:rPr>
        <w:t>:</w:t>
      </w:r>
      <w:r w:rsidR="003D640C">
        <w:t xml:space="preserve"> </w:t>
      </w:r>
      <w:r w:rsidR="00B32253" w:rsidRPr="007B139B">
        <w:rPr>
          <w:i/>
          <w:iCs/>
        </w:rPr>
        <w:t>Principles</w:t>
      </w:r>
      <w:r w:rsidR="003D640C" w:rsidRPr="007B139B">
        <w:rPr>
          <w:i/>
          <w:iCs/>
        </w:rPr>
        <w:t xml:space="preserve"> </w:t>
      </w:r>
      <w:r w:rsidR="00B32253" w:rsidRPr="007B139B">
        <w:rPr>
          <w:i/>
          <w:iCs/>
        </w:rPr>
        <w:t>on</w:t>
      </w:r>
      <w:r w:rsidR="003D640C" w:rsidRPr="007B139B">
        <w:rPr>
          <w:i/>
          <w:iCs/>
        </w:rPr>
        <w:t xml:space="preserve"> </w:t>
      </w:r>
      <w:r w:rsidR="00B32253" w:rsidRPr="007B139B">
        <w:rPr>
          <w:i/>
          <w:iCs/>
        </w:rPr>
        <w:t>the</w:t>
      </w:r>
      <w:r w:rsidR="003D640C" w:rsidRPr="007B139B">
        <w:rPr>
          <w:i/>
          <w:iCs/>
        </w:rPr>
        <w:t xml:space="preserve"> </w:t>
      </w:r>
      <w:r w:rsidR="00B32253" w:rsidRPr="007B139B">
        <w:rPr>
          <w:i/>
          <w:iCs/>
        </w:rPr>
        <w:t>application</w:t>
      </w:r>
      <w:r w:rsidR="003D640C" w:rsidRPr="007B139B">
        <w:rPr>
          <w:i/>
          <w:iCs/>
        </w:rPr>
        <w:t xml:space="preserve"> </w:t>
      </w:r>
      <w:r w:rsidR="00B32253" w:rsidRPr="007B139B">
        <w:rPr>
          <w:i/>
          <w:iCs/>
        </w:rPr>
        <w:t>of</w:t>
      </w:r>
      <w:r w:rsidR="003D640C" w:rsidRPr="007B139B">
        <w:rPr>
          <w:i/>
          <w:iCs/>
        </w:rPr>
        <w:t xml:space="preserve"> </w:t>
      </w:r>
      <w:r w:rsidR="00B32253" w:rsidRPr="007B139B">
        <w:rPr>
          <w:i/>
          <w:iCs/>
        </w:rPr>
        <w:t>international</w:t>
      </w:r>
      <w:r w:rsidR="003D640C" w:rsidRPr="007B139B">
        <w:rPr>
          <w:i/>
          <w:iCs/>
        </w:rPr>
        <w:t xml:space="preserve"> </w:t>
      </w:r>
      <w:r w:rsidR="00B32253" w:rsidRPr="007B139B">
        <w:rPr>
          <w:i/>
          <w:iCs/>
        </w:rPr>
        <w:t>human</w:t>
      </w:r>
      <w:r w:rsidR="003D640C" w:rsidRPr="007B139B">
        <w:rPr>
          <w:i/>
          <w:iCs/>
        </w:rPr>
        <w:t xml:space="preserve"> </w:t>
      </w:r>
      <w:r w:rsidR="00B32253" w:rsidRPr="007B139B">
        <w:rPr>
          <w:i/>
          <w:iCs/>
        </w:rPr>
        <w:t>rights</w:t>
      </w:r>
      <w:r w:rsidR="003D640C" w:rsidRPr="007B139B">
        <w:rPr>
          <w:i/>
          <w:iCs/>
        </w:rPr>
        <w:t xml:space="preserve"> </w:t>
      </w:r>
      <w:r w:rsidR="00B32253" w:rsidRPr="007B139B">
        <w:rPr>
          <w:i/>
          <w:iCs/>
        </w:rPr>
        <w:t>law</w:t>
      </w:r>
      <w:r w:rsidR="003D640C" w:rsidRPr="007B139B">
        <w:rPr>
          <w:i/>
          <w:iCs/>
        </w:rPr>
        <w:t xml:space="preserve"> </w:t>
      </w:r>
      <w:r w:rsidR="00B32253" w:rsidRPr="007B139B">
        <w:rPr>
          <w:i/>
          <w:iCs/>
        </w:rPr>
        <w:t>in</w:t>
      </w:r>
      <w:r w:rsidR="003D640C" w:rsidRPr="007B139B">
        <w:rPr>
          <w:i/>
          <w:iCs/>
        </w:rPr>
        <w:t xml:space="preserve"> </w:t>
      </w:r>
      <w:r w:rsidR="00B32253" w:rsidRPr="007B139B">
        <w:rPr>
          <w:i/>
          <w:iCs/>
        </w:rPr>
        <w:t>relation</w:t>
      </w:r>
      <w:r w:rsidR="003D640C" w:rsidRPr="007B139B">
        <w:rPr>
          <w:i/>
          <w:iCs/>
        </w:rPr>
        <w:t xml:space="preserve"> </w:t>
      </w:r>
      <w:r w:rsidR="00B32253" w:rsidRPr="007B139B">
        <w:rPr>
          <w:i/>
          <w:iCs/>
        </w:rPr>
        <w:t>to</w:t>
      </w:r>
      <w:r w:rsidR="003D640C" w:rsidRPr="007B139B">
        <w:rPr>
          <w:i/>
          <w:iCs/>
        </w:rPr>
        <w:t xml:space="preserve"> </w:t>
      </w:r>
      <w:r w:rsidR="00B32253" w:rsidRPr="007B139B">
        <w:rPr>
          <w:i/>
          <w:iCs/>
        </w:rPr>
        <w:t>sexual</w:t>
      </w:r>
      <w:r w:rsidR="003D640C" w:rsidRPr="007B139B">
        <w:rPr>
          <w:i/>
          <w:iCs/>
        </w:rPr>
        <w:t xml:space="preserve"> </w:t>
      </w:r>
      <w:r w:rsidR="00B32253" w:rsidRPr="007B139B">
        <w:rPr>
          <w:i/>
          <w:iCs/>
        </w:rPr>
        <w:t>orientation</w:t>
      </w:r>
      <w:r w:rsidR="003D640C" w:rsidRPr="007B139B">
        <w:rPr>
          <w:i/>
          <w:iCs/>
        </w:rPr>
        <w:t xml:space="preserve"> </w:t>
      </w:r>
      <w:r w:rsidR="00B32253" w:rsidRPr="007B139B">
        <w:rPr>
          <w:i/>
          <w:iCs/>
        </w:rPr>
        <w:t>and</w:t>
      </w:r>
      <w:r w:rsidR="003D640C" w:rsidRPr="007B139B">
        <w:rPr>
          <w:i/>
          <w:iCs/>
        </w:rPr>
        <w:t xml:space="preserve"> </w:t>
      </w:r>
      <w:r w:rsidR="00B32253" w:rsidRPr="007B139B">
        <w:rPr>
          <w:i/>
          <w:iCs/>
        </w:rPr>
        <w:t>gender</w:t>
      </w:r>
      <w:r w:rsidR="003D640C" w:rsidRPr="007B139B">
        <w:rPr>
          <w:i/>
          <w:iCs/>
        </w:rPr>
        <w:t xml:space="preserve"> </w:t>
      </w:r>
      <w:r w:rsidR="00B32253" w:rsidRPr="007B139B">
        <w:rPr>
          <w:i/>
          <w:iCs/>
        </w:rPr>
        <w:t>identi</w:t>
      </w:r>
      <w:r w:rsidR="00B32253" w:rsidRPr="000A35FC">
        <w:t>ty</w:t>
      </w:r>
      <w:r w:rsidR="00B32253">
        <w:t>.</w:t>
      </w:r>
      <w:r w:rsidR="003D640C">
        <w:t xml:space="preserve"> </w:t>
      </w:r>
      <w:r w:rsidR="00183D18" w:rsidRPr="00B1465F">
        <w:rPr>
          <w:rStyle w:val="Hyperlink"/>
          <w:color w:val="000000" w:themeColor="text1"/>
          <w:u w:val="none"/>
        </w:rPr>
        <w:t>In</w:t>
      </w:r>
      <w:r w:rsidR="003D640C">
        <w:rPr>
          <w:rStyle w:val="Hyperlink"/>
          <w:color w:val="000000" w:themeColor="text1"/>
          <w:u w:val="none"/>
        </w:rPr>
        <w:t xml:space="preserve"> </w:t>
      </w:r>
      <w:r w:rsidR="00183D18" w:rsidRPr="00B1465F">
        <w:rPr>
          <w:rStyle w:val="Hyperlink"/>
          <w:color w:val="000000" w:themeColor="text1"/>
          <w:u w:val="none"/>
        </w:rPr>
        <w:t>2017,</w:t>
      </w:r>
      <w:r w:rsidR="003D640C">
        <w:rPr>
          <w:rStyle w:val="Hyperlink"/>
          <w:color w:val="000000" w:themeColor="text1"/>
          <w:u w:val="none"/>
        </w:rPr>
        <w:t xml:space="preserve"> </w:t>
      </w:r>
      <w:r w:rsidR="00183D18" w:rsidRPr="00B1465F">
        <w:rPr>
          <w:rStyle w:val="Hyperlink"/>
          <w:color w:val="000000" w:themeColor="text1"/>
          <w:u w:val="none"/>
        </w:rPr>
        <w:t>the</w:t>
      </w:r>
      <w:r w:rsidR="003D640C">
        <w:rPr>
          <w:rStyle w:val="Hyperlink"/>
          <w:color w:val="000000" w:themeColor="text1"/>
          <w:u w:val="none"/>
        </w:rPr>
        <w:t xml:space="preserve"> </w:t>
      </w:r>
      <w:r w:rsidR="00183D18" w:rsidRPr="00B1465F">
        <w:rPr>
          <w:rStyle w:val="Hyperlink"/>
          <w:color w:val="000000" w:themeColor="text1"/>
          <w:u w:val="none"/>
        </w:rPr>
        <w:t>Yogyakarta</w:t>
      </w:r>
      <w:r w:rsidR="003D640C">
        <w:rPr>
          <w:rStyle w:val="Hyperlink"/>
          <w:color w:val="000000" w:themeColor="text1"/>
          <w:u w:val="none"/>
        </w:rPr>
        <w:t xml:space="preserve"> </w:t>
      </w:r>
      <w:r w:rsidR="00183D18" w:rsidRPr="00B1465F">
        <w:rPr>
          <w:rStyle w:val="Hyperlink"/>
          <w:color w:val="000000" w:themeColor="text1"/>
          <w:u w:val="none"/>
        </w:rPr>
        <w:t>Principles</w:t>
      </w:r>
      <w:r w:rsidR="003D640C">
        <w:rPr>
          <w:rStyle w:val="Hyperlink"/>
          <w:color w:val="000000" w:themeColor="text1"/>
          <w:u w:val="none"/>
        </w:rPr>
        <w:t xml:space="preserve"> </w:t>
      </w:r>
      <w:r w:rsidR="00183D18" w:rsidRPr="00B1465F">
        <w:rPr>
          <w:rStyle w:val="Hyperlink"/>
          <w:color w:val="000000" w:themeColor="text1"/>
          <w:u w:val="none"/>
        </w:rPr>
        <w:t>Plus</w:t>
      </w:r>
      <w:r w:rsidR="003D640C">
        <w:rPr>
          <w:rStyle w:val="Hyperlink"/>
          <w:color w:val="000000" w:themeColor="text1"/>
          <w:u w:val="none"/>
        </w:rPr>
        <w:t xml:space="preserve"> </w:t>
      </w:r>
      <w:r w:rsidR="00183D18" w:rsidRPr="00B1465F">
        <w:rPr>
          <w:rStyle w:val="Hyperlink"/>
          <w:color w:val="000000" w:themeColor="text1"/>
          <w:u w:val="none"/>
        </w:rPr>
        <w:t>10</w:t>
      </w:r>
      <w:r w:rsidR="003D640C">
        <w:rPr>
          <w:rStyle w:val="Hyperlink"/>
          <w:color w:val="000000" w:themeColor="text1"/>
          <w:u w:val="none"/>
        </w:rPr>
        <w:t xml:space="preserve"> </w:t>
      </w:r>
      <w:r w:rsidR="00183D18" w:rsidRPr="00B1465F">
        <w:rPr>
          <w:rStyle w:val="Hyperlink"/>
          <w:color w:val="000000" w:themeColor="text1"/>
          <w:u w:val="none"/>
        </w:rPr>
        <w:t>expanded</w:t>
      </w:r>
      <w:r w:rsidR="003D640C">
        <w:rPr>
          <w:rStyle w:val="Hyperlink"/>
          <w:color w:val="000000" w:themeColor="text1"/>
          <w:u w:val="none"/>
        </w:rPr>
        <w:t xml:space="preserve"> </w:t>
      </w:r>
      <w:r w:rsidR="00183D18" w:rsidRPr="00B1465F">
        <w:rPr>
          <w:rStyle w:val="Hyperlink"/>
          <w:color w:val="000000" w:themeColor="text1"/>
          <w:u w:val="none"/>
        </w:rPr>
        <w:t>on</w:t>
      </w:r>
      <w:r w:rsidR="003D640C">
        <w:rPr>
          <w:rStyle w:val="Hyperlink"/>
          <w:color w:val="000000" w:themeColor="text1"/>
          <w:u w:val="none"/>
        </w:rPr>
        <w:t xml:space="preserve"> </w:t>
      </w:r>
      <w:r w:rsidR="00183D18" w:rsidRPr="00B1465F">
        <w:rPr>
          <w:rStyle w:val="Hyperlink"/>
          <w:color w:val="000000" w:themeColor="text1"/>
          <w:u w:val="none"/>
        </w:rPr>
        <w:t>the</w:t>
      </w:r>
      <w:r w:rsidR="003D640C">
        <w:rPr>
          <w:rStyle w:val="Hyperlink"/>
          <w:color w:val="000000" w:themeColor="text1"/>
          <w:u w:val="none"/>
        </w:rPr>
        <w:t xml:space="preserve"> </w:t>
      </w:r>
      <w:r w:rsidR="00183D18" w:rsidRPr="00B1465F">
        <w:rPr>
          <w:rStyle w:val="Hyperlink"/>
          <w:color w:val="000000" w:themeColor="text1"/>
          <w:u w:val="none"/>
        </w:rPr>
        <w:t>principles</w:t>
      </w:r>
      <w:r w:rsidR="003D640C">
        <w:rPr>
          <w:rStyle w:val="Hyperlink"/>
          <w:color w:val="000000" w:themeColor="text1"/>
          <w:u w:val="none"/>
        </w:rPr>
        <w:t xml:space="preserve"> </w:t>
      </w:r>
      <w:r w:rsidR="00183D18" w:rsidRPr="00B1465F">
        <w:rPr>
          <w:rStyle w:val="Hyperlink"/>
          <w:color w:val="000000" w:themeColor="text1"/>
          <w:u w:val="none"/>
        </w:rPr>
        <w:t>developed</w:t>
      </w:r>
      <w:r w:rsidR="003D640C">
        <w:rPr>
          <w:rStyle w:val="Hyperlink"/>
          <w:color w:val="000000" w:themeColor="text1"/>
          <w:u w:val="none"/>
        </w:rPr>
        <w:t xml:space="preserve"> </w:t>
      </w:r>
      <w:r w:rsidR="00183D18" w:rsidRPr="00B1465F">
        <w:rPr>
          <w:rStyle w:val="Hyperlink"/>
          <w:color w:val="000000" w:themeColor="text1"/>
          <w:u w:val="none"/>
        </w:rPr>
        <w:t>in</w:t>
      </w:r>
      <w:r w:rsidR="003D640C">
        <w:rPr>
          <w:rStyle w:val="Hyperlink"/>
          <w:color w:val="000000" w:themeColor="text1"/>
          <w:u w:val="none"/>
        </w:rPr>
        <w:t xml:space="preserve"> </w:t>
      </w:r>
      <w:r w:rsidR="00451FC5">
        <w:rPr>
          <w:rStyle w:val="Hyperlink"/>
          <w:color w:val="000000" w:themeColor="text1"/>
          <w:u w:val="none"/>
        </w:rPr>
        <w:t>2007</w:t>
      </w:r>
      <w:r w:rsidR="002A323A" w:rsidRPr="00B1465F">
        <w:rPr>
          <w:rStyle w:val="Hyperlink"/>
          <w:color w:val="000000" w:themeColor="text1"/>
          <w:u w:val="none"/>
        </w:rPr>
        <w:t>,</w:t>
      </w:r>
      <w:r w:rsidR="003D640C">
        <w:rPr>
          <w:rStyle w:val="Hyperlink"/>
          <w:color w:val="000000" w:themeColor="text1"/>
          <w:u w:val="none"/>
        </w:rPr>
        <w:t xml:space="preserve"> </w:t>
      </w:r>
      <w:r w:rsidR="002A323A" w:rsidRPr="00B1465F">
        <w:rPr>
          <w:rStyle w:val="Hyperlink"/>
          <w:color w:val="000000" w:themeColor="text1"/>
          <w:u w:val="none"/>
        </w:rPr>
        <w:t>adding</w:t>
      </w:r>
      <w:r w:rsidR="003D640C">
        <w:rPr>
          <w:rStyle w:val="Hyperlink"/>
          <w:color w:val="000000" w:themeColor="text1"/>
          <w:u w:val="none"/>
        </w:rPr>
        <w:t xml:space="preserve"> </w:t>
      </w:r>
      <w:r w:rsidR="00BA3B06">
        <w:rPr>
          <w:rStyle w:val="Hyperlink"/>
          <w:color w:val="000000" w:themeColor="text1"/>
          <w:u w:val="none"/>
        </w:rPr>
        <w:t>10</w:t>
      </w:r>
      <w:r w:rsidR="003D640C">
        <w:rPr>
          <w:rStyle w:val="Hyperlink"/>
          <w:color w:val="000000" w:themeColor="text1"/>
          <w:u w:val="none"/>
        </w:rPr>
        <w:t xml:space="preserve"> </w:t>
      </w:r>
      <w:r w:rsidR="002A323A" w:rsidRPr="00B1465F">
        <w:rPr>
          <w:rStyle w:val="Hyperlink"/>
          <w:color w:val="000000" w:themeColor="text1"/>
          <w:u w:val="none"/>
        </w:rPr>
        <w:t>new</w:t>
      </w:r>
      <w:r w:rsidR="003D640C">
        <w:rPr>
          <w:rStyle w:val="Hyperlink"/>
          <w:color w:val="000000" w:themeColor="text1"/>
          <w:u w:val="none"/>
        </w:rPr>
        <w:t xml:space="preserve"> </w:t>
      </w:r>
      <w:r w:rsidR="002A323A" w:rsidRPr="00B1465F">
        <w:rPr>
          <w:rStyle w:val="Hyperlink"/>
          <w:color w:val="000000" w:themeColor="text1"/>
          <w:u w:val="none"/>
        </w:rPr>
        <w:t>ones.</w:t>
      </w:r>
      <w:r w:rsidR="003D640C">
        <w:rPr>
          <w:rStyle w:val="Hyperlink"/>
          <w:color w:val="000000" w:themeColor="text1"/>
          <w:u w:val="none"/>
        </w:rPr>
        <w:t xml:space="preserve"> </w:t>
      </w:r>
      <w:r w:rsidR="002A323A" w:rsidRPr="00B1465F">
        <w:rPr>
          <w:rStyle w:val="Hyperlink"/>
          <w:color w:val="000000" w:themeColor="text1"/>
          <w:u w:val="none"/>
        </w:rPr>
        <w:t>These</w:t>
      </w:r>
      <w:r w:rsidR="003D640C">
        <w:rPr>
          <w:rStyle w:val="Hyperlink"/>
          <w:color w:val="000000" w:themeColor="text1"/>
          <w:u w:val="none"/>
        </w:rPr>
        <w:t xml:space="preserve"> </w:t>
      </w:r>
      <w:r w:rsidR="002A323A" w:rsidRPr="00B1465F">
        <w:rPr>
          <w:rStyle w:val="Hyperlink"/>
          <w:color w:val="000000" w:themeColor="text1"/>
          <w:u w:val="none"/>
        </w:rPr>
        <w:t>inclu</w:t>
      </w:r>
      <w:r w:rsidR="002A323A" w:rsidRPr="00B1465F">
        <w:rPr>
          <w:rStyle w:val="Hyperlink"/>
          <w:rFonts w:cstheme="minorHAnsi"/>
          <w:color w:val="000000" w:themeColor="text1"/>
          <w:u w:val="none"/>
        </w:rPr>
        <w:t>ded</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recognition</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of</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the</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right</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to</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bodily</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and</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mental</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integrity</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and</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the</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rights</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to</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state</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protection</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and</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legal</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recognition.</w:t>
      </w:r>
      <w:r w:rsidR="003D640C">
        <w:rPr>
          <w:rStyle w:val="Hyperlink"/>
          <w:rFonts w:cstheme="minorHAnsi"/>
          <w:color w:val="000000" w:themeColor="text1"/>
          <w:u w:val="none"/>
        </w:rPr>
        <w:t xml:space="preserve"> </w:t>
      </w:r>
      <w:r w:rsidR="002A323A" w:rsidRPr="00B1465F">
        <w:rPr>
          <w:rStyle w:val="Hyperlink"/>
          <w:rFonts w:cstheme="minorHAnsi"/>
          <w:color w:val="000000" w:themeColor="text1"/>
          <w:u w:val="none"/>
        </w:rPr>
        <w:t>See</w:t>
      </w:r>
      <w:r w:rsidR="00451FC5">
        <w:rPr>
          <w:rStyle w:val="Hyperlink"/>
          <w:rFonts w:cstheme="minorHAnsi"/>
          <w:color w:val="000000" w:themeColor="text1"/>
          <w:u w:val="none"/>
        </w:rPr>
        <w:t xml:space="preserve"> </w:t>
      </w:r>
      <w:r w:rsidR="00451FC5">
        <w:t>International Commission of Jurists. (2017).</w:t>
      </w:r>
      <w:r w:rsidR="003D640C">
        <w:rPr>
          <w:rStyle w:val="Hyperlink"/>
          <w:rFonts w:cstheme="minorHAnsi"/>
          <w:color w:val="000000" w:themeColor="text1"/>
          <w:u w:val="none"/>
        </w:rPr>
        <w:t xml:space="preserve"> </w:t>
      </w:r>
      <w:r w:rsidR="002A323A" w:rsidRPr="00B1465F">
        <w:rPr>
          <w:rStyle w:val="Hyperlink"/>
          <w:rFonts w:cstheme="minorHAnsi"/>
          <w:i/>
          <w:iCs/>
          <w:color w:val="000000" w:themeColor="text1"/>
          <w:u w:val="none"/>
        </w:rPr>
        <w:t>The</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Yogyakarta</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Principles</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plus</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10</w:t>
      </w:r>
      <w:r w:rsidR="00451FC5">
        <w:rPr>
          <w:rStyle w:val="Hyperlink"/>
          <w:rFonts w:cstheme="minorHAnsi"/>
          <w:i/>
          <w:iCs/>
          <w:color w:val="000000" w:themeColor="text1"/>
          <w:u w:val="none"/>
        </w:rPr>
        <w:t>:</w:t>
      </w:r>
      <w:r w:rsidR="003D640C">
        <w:rPr>
          <w:rStyle w:val="Hyperlink"/>
          <w:rFonts w:cstheme="minorHAnsi"/>
          <w:i/>
          <w:iCs/>
          <w:color w:val="000000" w:themeColor="text1"/>
          <w:u w:val="none"/>
        </w:rPr>
        <w:t xml:space="preserve"> </w:t>
      </w:r>
      <w:r w:rsidR="00451FC5">
        <w:rPr>
          <w:rStyle w:val="Hyperlink"/>
          <w:rFonts w:cstheme="minorHAnsi"/>
          <w:i/>
          <w:iCs/>
          <w:color w:val="000000" w:themeColor="text1"/>
          <w:u w:val="none"/>
        </w:rPr>
        <w:t>A</w:t>
      </w:r>
      <w:r w:rsidR="002A323A" w:rsidRPr="00B1465F">
        <w:rPr>
          <w:rStyle w:val="Hyperlink"/>
          <w:rFonts w:cstheme="minorHAnsi"/>
          <w:i/>
          <w:iCs/>
          <w:color w:val="000000" w:themeColor="text1"/>
          <w:u w:val="none"/>
        </w:rPr>
        <w:t>dditional</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principles</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and</w:t>
      </w:r>
      <w:r w:rsidR="003D640C">
        <w:rPr>
          <w:rStyle w:val="Hyperlink"/>
          <w:rFonts w:cstheme="minorHAnsi"/>
          <w:i/>
          <w:iCs/>
          <w:color w:val="000000" w:themeColor="text1"/>
          <w:u w:val="none"/>
        </w:rPr>
        <w:t xml:space="preserve"> </w:t>
      </w:r>
      <w:r w:rsidR="00451FC5">
        <w:rPr>
          <w:rStyle w:val="Hyperlink"/>
          <w:rFonts w:cstheme="minorHAnsi"/>
          <w:i/>
          <w:iCs/>
          <w:color w:val="000000" w:themeColor="text1"/>
          <w:u w:val="none"/>
        </w:rPr>
        <w:t>s</w:t>
      </w:r>
      <w:r w:rsidR="002A323A" w:rsidRPr="00B1465F">
        <w:rPr>
          <w:rStyle w:val="Hyperlink"/>
          <w:rFonts w:cstheme="minorHAnsi"/>
          <w:i/>
          <w:iCs/>
          <w:color w:val="000000" w:themeColor="text1"/>
          <w:u w:val="none"/>
        </w:rPr>
        <w:t>tate</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obligations</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on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the</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application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of</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international</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human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rights</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law</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in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relation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to</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sexual</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orientation,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gender</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identity,</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gender</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expression</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and</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sex</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characteristics</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to</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complement</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the</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Yogyakarta</w:t>
      </w:r>
      <w:r w:rsidR="003D640C">
        <w:rPr>
          <w:rStyle w:val="Hyperlink"/>
          <w:rFonts w:cstheme="minorHAnsi"/>
          <w:i/>
          <w:iCs/>
          <w:color w:val="000000" w:themeColor="text1"/>
          <w:u w:val="none"/>
        </w:rPr>
        <w:t xml:space="preserve"> </w:t>
      </w:r>
      <w:r w:rsidR="002A323A" w:rsidRPr="00B1465F">
        <w:rPr>
          <w:rStyle w:val="Hyperlink"/>
          <w:rFonts w:cstheme="minorHAnsi"/>
          <w:i/>
          <w:iCs/>
          <w:color w:val="000000" w:themeColor="text1"/>
          <w:u w:val="none"/>
        </w:rPr>
        <w:t>Principles</w:t>
      </w:r>
      <w:r w:rsidR="00451FC5">
        <w:rPr>
          <w:rStyle w:val="Hyperlink"/>
          <w:rFonts w:cstheme="minorHAnsi"/>
          <w:i/>
          <w:iCs/>
          <w:color w:val="000000" w:themeColor="text1"/>
          <w:u w:val="none"/>
        </w:rPr>
        <w:t xml:space="preserve">. </w:t>
      </w:r>
    </w:p>
  </w:footnote>
  <w:footnote w:id="47">
    <w:p w14:paraId="3BE7AC27" w14:textId="6260B861" w:rsidR="00C4209F" w:rsidRDefault="00C4209F" w:rsidP="00E00167">
      <w:pPr>
        <w:pStyle w:val="FootnoteText"/>
      </w:pPr>
      <w:r>
        <w:rPr>
          <w:rStyle w:val="FootnoteReference"/>
        </w:rPr>
        <w:footnoteRef/>
      </w:r>
      <w:r w:rsidR="003D640C">
        <w:t xml:space="preserve"> </w:t>
      </w:r>
      <w:r w:rsidR="00964484">
        <w:t>While</w:t>
      </w:r>
      <w:r w:rsidR="003D640C">
        <w:t xml:space="preserve"> </w:t>
      </w:r>
      <w:r w:rsidR="00964484">
        <w:t>this</w:t>
      </w:r>
      <w:r w:rsidR="003D640C">
        <w:t xml:space="preserve"> </w:t>
      </w:r>
      <w:r w:rsidR="000D651F">
        <w:t>r</w:t>
      </w:r>
      <w:r w:rsidR="00964484">
        <w:t>eport</w:t>
      </w:r>
      <w:r w:rsidR="003D640C">
        <w:t xml:space="preserve"> </w:t>
      </w:r>
      <w:r w:rsidR="00964484">
        <w:t>predominantly</w:t>
      </w:r>
      <w:r w:rsidR="003D640C">
        <w:t xml:space="preserve"> </w:t>
      </w:r>
      <w:r w:rsidR="00964484">
        <w:t>uses</w:t>
      </w:r>
      <w:r w:rsidR="003D640C">
        <w:t xml:space="preserve"> </w:t>
      </w:r>
      <w:r w:rsidR="00964484">
        <w:t>the</w:t>
      </w:r>
      <w:r w:rsidR="003D640C">
        <w:t xml:space="preserve"> </w:t>
      </w:r>
      <w:r w:rsidR="009B39CD">
        <w:t>term</w:t>
      </w:r>
      <w:r w:rsidR="003D640C">
        <w:t xml:space="preserve"> </w:t>
      </w:r>
      <w:r w:rsidR="00A87072">
        <w:t>‘</w:t>
      </w:r>
      <w:r w:rsidR="009B39CD">
        <w:t>Rainbow</w:t>
      </w:r>
      <w:r w:rsidR="00A87072">
        <w:t>’</w:t>
      </w:r>
      <w:r w:rsidR="00E258D9">
        <w:t>,</w:t>
      </w:r>
      <w:r w:rsidR="003D640C">
        <w:t xml:space="preserve"> </w:t>
      </w:r>
      <w:r w:rsidR="009B39CD">
        <w:t>or</w:t>
      </w:r>
      <w:r w:rsidR="003D640C">
        <w:t xml:space="preserve"> </w:t>
      </w:r>
      <w:r w:rsidR="009B39CD">
        <w:t>less</w:t>
      </w:r>
      <w:r w:rsidR="003D640C">
        <w:t xml:space="preserve"> </w:t>
      </w:r>
      <w:r w:rsidR="009B39CD">
        <w:t>often</w:t>
      </w:r>
      <w:r w:rsidR="003D640C">
        <w:t xml:space="preserve"> </w:t>
      </w:r>
      <w:r w:rsidR="009B39CD">
        <w:t>the</w:t>
      </w:r>
      <w:r w:rsidR="003D640C">
        <w:t xml:space="preserve"> </w:t>
      </w:r>
      <w:r w:rsidR="009B39CD">
        <w:t>acronym</w:t>
      </w:r>
      <w:r w:rsidR="003D640C">
        <w:t xml:space="preserve"> </w:t>
      </w:r>
      <w:r w:rsidR="009B39CD">
        <w:t>LGBTQIA+,</w:t>
      </w:r>
      <w:r w:rsidR="003D640C">
        <w:t xml:space="preserve"> </w:t>
      </w:r>
      <w:r w:rsidR="00AD0D78">
        <w:t>the</w:t>
      </w:r>
      <w:r w:rsidR="003D640C">
        <w:t xml:space="preserve"> </w:t>
      </w:r>
      <w:r w:rsidR="00AD0D78">
        <w:t>acronym</w:t>
      </w:r>
      <w:r w:rsidR="003D640C">
        <w:t xml:space="preserve"> </w:t>
      </w:r>
      <w:r w:rsidR="00AD0D78">
        <w:t>SOGIESC</w:t>
      </w:r>
      <w:r w:rsidR="003D640C">
        <w:t xml:space="preserve"> </w:t>
      </w:r>
      <w:r w:rsidR="00AD0D78">
        <w:t>is</w:t>
      </w:r>
      <w:r w:rsidR="003D640C">
        <w:t xml:space="preserve"> </w:t>
      </w:r>
      <w:r w:rsidR="00AD0D78">
        <w:t>more</w:t>
      </w:r>
      <w:r w:rsidR="003D640C">
        <w:t xml:space="preserve"> </w:t>
      </w:r>
      <w:r w:rsidR="00AD0D78">
        <w:t>widely</w:t>
      </w:r>
      <w:r w:rsidR="003D640C">
        <w:t xml:space="preserve"> </w:t>
      </w:r>
      <w:r w:rsidR="00AD0D78">
        <w:t>used</w:t>
      </w:r>
      <w:r w:rsidR="003D640C">
        <w:t xml:space="preserve"> </w:t>
      </w:r>
      <w:r w:rsidR="00AD0D78">
        <w:t>in</w:t>
      </w:r>
      <w:r w:rsidR="003D640C">
        <w:t xml:space="preserve"> </w:t>
      </w:r>
      <w:r w:rsidR="00AD0D78">
        <w:t>the</w:t>
      </w:r>
      <w:r w:rsidR="003D640C">
        <w:t xml:space="preserve"> </w:t>
      </w:r>
      <w:r w:rsidR="00AD0D78">
        <w:t>context</w:t>
      </w:r>
      <w:r w:rsidR="003D640C">
        <w:t xml:space="preserve"> </w:t>
      </w:r>
      <w:r w:rsidR="00AD0D78">
        <w:t>of</w:t>
      </w:r>
      <w:r w:rsidR="003D640C">
        <w:t xml:space="preserve"> </w:t>
      </w:r>
      <w:r w:rsidR="00AD0D78">
        <w:t>human</w:t>
      </w:r>
      <w:r w:rsidR="003D640C">
        <w:t xml:space="preserve"> </w:t>
      </w:r>
      <w:r w:rsidR="00AD0D78">
        <w:t>rights</w:t>
      </w:r>
      <w:r w:rsidR="003D640C">
        <w:t xml:space="preserve"> </w:t>
      </w:r>
      <w:r w:rsidR="00AD0D78">
        <w:t>and</w:t>
      </w:r>
      <w:r w:rsidR="003D640C">
        <w:t xml:space="preserve"> </w:t>
      </w:r>
      <w:r w:rsidR="00AD0D78">
        <w:t>so</w:t>
      </w:r>
      <w:r w:rsidR="003D640C">
        <w:t xml:space="preserve"> </w:t>
      </w:r>
      <w:r w:rsidR="00AD0D78">
        <w:t>is</w:t>
      </w:r>
      <w:r w:rsidR="003D640C">
        <w:t xml:space="preserve"> </w:t>
      </w:r>
      <w:r w:rsidR="00634C7C">
        <w:t>included</w:t>
      </w:r>
      <w:r w:rsidR="003D640C">
        <w:t xml:space="preserve"> </w:t>
      </w:r>
      <w:r w:rsidR="00920E35">
        <w:t>in</w:t>
      </w:r>
      <w:r w:rsidR="003D640C">
        <w:t xml:space="preserve"> </w:t>
      </w:r>
      <w:r w:rsidR="00920E35">
        <w:t>this</w:t>
      </w:r>
      <w:r w:rsidR="003D640C">
        <w:t xml:space="preserve"> </w:t>
      </w:r>
      <w:r w:rsidR="00920E35">
        <w:t>chapter</w:t>
      </w:r>
      <w:r w:rsidR="002E18EF">
        <w:t>.</w:t>
      </w:r>
    </w:p>
  </w:footnote>
  <w:footnote w:id="48">
    <w:p w14:paraId="40F35441" w14:textId="6D23F6E5" w:rsidR="00D869CB" w:rsidRPr="00911B63" w:rsidRDefault="00DF29A4" w:rsidP="00D869CB">
      <w:pPr>
        <w:pStyle w:val="FootnoteText"/>
        <w:rPr>
          <w:lang w:val="mi-NZ"/>
        </w:rPr>
      </w:pPr>
      <w:r>
        <w:rPr>
          <w:rStyle w:val="FootnoteReference"/>
        </w:rPr>
        <w:footnoteRef/>
      </w:r>
      <w:r>
        <w:t xml:space="preserve"> Human Rights Commission</w:t>
      </w:r>
      <w:r w:rsidR="00D869CB">
        <w:t>.</w:t>
      </w:r>
      <w:r>
        <w:t xml:space="preserve"> </w:t>
      </w:r>
      <w:r w:rsidR="00D869CB">
        <w:t xml:space="preserve">(Unpublished manuscript, 2005). </w:t>
      </w:r>
      <w:r w:rsidRPr="00D869CB">
        <w:rPr>
          <w:i/>
          <w:iCs/>
        </w:rPr>
        <w:t>Does the Human Rights Act 1993 prohibit discrimination based on gender dysphoria or transsexualism?</w:t>
      </w:r>
    </w:p>
  </w:footnote>
  <w:footnote w:id="49">
    <w:p w14:paraId="3594D046" w14:textId="19C4FC3A" w:rsidR="002A323A" w:rsidRDefault="002A323A" w:rsidP="00E00167">
      <w:pPr>
        <w:pStyle w:val="FootnoteText"/>
      </w:pPr>
      <w:r>
        <w:rPr>
          <w:rStyle w:val="FootnoteReference"/>
        </w:rPr>
        <w:footnoteRef/>
      </w:r>
      <w:r w:rsidR="003D640C">
        <w:t xml:space="preserve"> </w:t>
      </w:r>
      <w:r>
        <w:t>Gwyn,</w:t>
      </w:r>
      <w:r w:rsidR="003D640C">
        <w:t xml:space="preserve"> </w:t>
      </w:r>
      <w:r>
        <w:t>C.</w:t>
      </w:r>
      <w:r w:rsidR="003D640C">
        <w:t xml:space="preserve"> </w:t>
      </w:r>
      <w:r>
        <w:t>(2006</w:t>
      </w:r>
      <w:r w:rsidR="005F4A22">
        <w:t xml:space="preserve">, August </w:t>
      </w:r>
      <w:r w:rsidR="00D427FD">
        <w:t>2</w:t>
      </w:r>
      <w:r>
        <w:t>).</w:t>
      </w:r>
      <w:r w:rsidR="003D640C">
        <w:t xml:space="preserve"> </w:t>
      </w:r>
      <w:r w:rsidRPr="00BF6A30">
        <w:rPr>
          <w:i/>
          <w:iCs/>
        </w:rPr>
        <w:t>Crown</w:t>
      </w:r>
      <w:r w:rsidR="003D640C">
        <w:rPr>
          <w:i/>
          <w:iCs/>
        </w:rPr>
        <w:t xml:space="preserve"> </w:t>
      </w:r>
      <w:r w:rsidRPr="00BF6A30">
        <w:rPr>
          <w:i/>
          <w:iCs/>
        </w:rPr>
        <w:t>Law</w:t>
      </w:r>
      <w:r w:rsidR="003D640C">
        <w:rPr>
          <w:i/>
          <w:iCs/>
        </w:rPr>
        <w:t xml:space="preserve"> </w:t>
      </w:r>
      <w:r w:rsidRPr="00BF6A30">
        <w:rPr>
          <w:i/>
          <w:iCs/>
        </w:rPr>
        <w:t>opinion</w:t>
      </w:r>
      <w:r w:rsidR="003D640C">
        <w:rPr>
          <w:i/>
          <w:iCs/>
        </w:rPr>
        <w:t xml:space="preserve"> </w:t>
      </w:r>
      <w:r w:rsidRPr="00BF6A30">
        <w:rPr>
          <w:i/>
          <w:iCs/>
        </w:rPr>
        <w:t>on</w:t>
      </w:r>
      <w:r w:rsidR="003D640C">
        <w:rPr>
          <w:i/>
          <w:iCs/>
        </w:rPr>
        <w:t xml:space="preserve"> </w:t>
      </w:r>
      <w:r w:rsidRPr="00BF6A30">
        <w:rPr>
          <w:i/>
          <w:iCs/>
        </w:rPr>
        <w:t>transgender</w:t>
      </w:r>
      <w:r w:rsidR="003D640C">
        <w:rPr>
          <w:i/>
          <w:iCs/>
        </w:rPr>
        <w:t xml:space="preserve"> </w:t>
      </w:r>
      <w:r w:rsidRPr="00BF6A30">
        <w:rPr>
          <w:i/>
          <w:iCs/>
        </w:rPr>
        <w:t>discrimination.</w:t>
      </w:r>
      <w:r w:rsidR="003D640C">
        <w:t xml:space="preserve"> </w:t>
      </w:r>
    </w:p>
  </w:footnote>
  <w:footnote w:id="50">
    <w:p w14:paraId="4C26A25C" w14:textId="58B8A8DD" w:rsidR="00E4289F" w:rsidRDefault="00E4289F" w:rsidP="00CC4317">
      <w:pPr>
        <w:pStyle w:val="FootnoteText"/>
      </w:pPr>
      <w:r>
        <w:rPr>
          <w:rStyle w:val="FootnoteReference"/>
        </w:rPr>
        <w:footnoteRef/>
      </w:r>
      <w:r>
        <w:t xml:space="preserve"> </w:t>
      </w:r>
      <w:bookmarkStart w:id="91" w:name="_Hlk168383182"/>
      <w:r w:rsidR="00CC4317">
        <w:t xml:space="preserve">See the references section for links to United Nations </w:t>
      </w:r>
      <w:r w:rsidR="002276BC">
        <w:t>human rights instruments</w:t>
      </w:r>
      <w:r w:rsidR="00CC4317">
        <w:t xml:space="preserve"> referred to in this report.</w:t>
      </w:r>
      <w:bookmarkEnd w:id="91"/>
    </w:p>
  </w:footnote>
  <w:footnote w:id="51">
    <w:p w14:paraId="3075E702" w14:textId="0845E1DB" w:rsidR="003D0F77" w:rsidRPr="00B1465F" w:rsidRDefault="003D0F77" w:rsidP="0002020B">
      <w:pPr>
        <w:pStyle w:val="FootnoteText"/>
        <w:rPr>
          <w:lang w:val="en-US"/>
        </w:rPr>
      </w:pPr>
      <w:r>
        <w:rPr>
          <w:rStyle w:val="FootnoteReference"/>
        </w:rPr>
        <w:footnoteRef/>
      </w:r>
      <w:r w:rsidR="003D640C">
        <w:t xml:space="preserve"> </w:t>
      </w:r>
      <w:r>
        <w:rPr>
          <w:lang w:val="en-US"/>
        </w:rPr>
        <w:t>Human</w:t>
      </w:r>
      <w:r w:rsidR="003D640C">
        <w:rPr>
          <w:lang w:val="en-US"/>
        </w:rPr>
        <w:t xml:space="preserve"> </w:t>
      </w:r>
      <w:r>
        <w:rPr>
          <w:lang w:val="en-US"/>
        </w:rPr>
        <w:t>Rights</w:t>
      </w:r>
      <w:r w:rsidR="003D640C">
        <w:rPr>
          <w:lang w:val="en-US"/>
        </w:rPr>
        <w:t xml:space="preserve"> </w:t>
      </w:r>
      <w:r>
        <w:rPr>
          <w:lang w:val="en-US"/>
        </w:rPr>
        <w:t>Commission</w:t>
      </w:r>
      <w:r w:rsidR="00430DBD">
        <w:rPr>
          <w:lang w:val="en-US"/>
        </w:rPr>
        <w:t>.</w:t>
      </w:r>
      <w:r w:rsidR="003D640C">
        <w:rPr>
          <w:lang w:val="en-US"/>
        </w:rPr>
        <w:t xml:space="preserve"> </w:t>
      </w:r>
      <w:r w:rsidR="00430DBD">
        <w:rPr>
          <w:lang w:val="en-US"/>
        </w:rPr>
        <w:t>(2011</w:t>
      </w:r>
      <w:r w:rsidR="00F6772B">
        <w:rPr>
          <w:lang w:val="en-US"/>
        </w:rPr>
        <w:t>b</w:t>
      </w:r>
      <w:r w:rsidR="00430DBD">
        <w:rPr>
          <w:lang w:val="en-US"/>
        </w:rPr>
        <w:t>).</w:t>
      </w:r>
      <w:r w:rsidR="003D640C">
        <w:rPr>
          <w:lang w:val="en-US"/>
        </w:rPr>
        <w:t xml:space="preserve"> </w:t>
      </w:r>
      <w:r>
        <w:rPr>
          <w:i/>
          <w:iCs/>
          <w:lang w:val="en-US"/>
        </w:rPr>
        <w:t>Te</w:t>
      </w:r>
      <w:r w:rsidR="003D640C">
        <w:rPr>
          <w:i/>
          <w:iCs/>
          <w:lang w:val="en-US"/>
        </w:rPr>
        <w:t xml:space="preserve"> </w:t>
      </w:r>
      <w:r>
        <w:rPr>
          <w:i/>
          <w:iCs/>
          <w:lang w:val="en-US"/>
        </w:rPr>
        <w:t>Mana</w:t>
      </w:r>
      <w:r w:rsidR="003D640C">
        <w:rPr>
          <w:i/>
          <w:iCs/>
          <w:lang w:val="en-US"/>
        </w:rPr>
        <w:t xml:space="preserve"> </w:t>
      </w:r>
      <w:r w:rsidR="0099715A">
        <w:rPr>
          <w:i/>
          <w:iCs/>
          <w:lang w:val="en-US"/>
        </w:rPr>
        <w:t>i</w:t>
      </w:r>
      <w:r w:rsidR="003D640C">
        <w:rPr>
          <w:i/>
          <w:iCs/>
          <w:lang w:val="en-US"/>
        </w:rPr>
        <w:t xml:space="preserve"> </w:t>
      </w:r>
      <w:r>
        <w:rPr>
          <w:i/>
          <w:iCs/>
          <w:lang w:val="en-US"/>
        </w:rPr>
        <w:t>Waitangi</w:t>
      </w:r>
      <w:r w:rsidR="00A070CE">
        <w:rPr>
          <w:i/>
          <w:iCs/>
          <w:lang w:val="en-US"/>
        </w:rPr>
        <w:t>:</w:t>
      </w:r>
      <w:r w:rsidR="003D640C">
        <w:rPr>
          <w:i/>
          <w:iCs/>
          <w:lang w:val="en-US"/>
        </w:rPr>
        <w:t xml:space="preserve"> </w:t>
      </w:r>
      <w:r w:rsidR="00A070CE">
        <w:rPr>
          <w:i/>
          <w:iCs/>
          <w:lang w:val="en-US"/>
        </w:rPr>
        <w:t>Human</w:t>
      </w:r>
      <w:r w:rsidR="003D640C">
        <w:rPr>
          <w:i/>
          <w:iCs/>
          <w:lang w:val="en-US"/>
        </w:rPr>
        <w:t xml:space="preserve"> </w:t>
      </w:r>
      <w:r w:rsidR="0099715A">
        <w:rPr>
          <w:i/>
          <w:iCs/>
          <w:lang w:val="en-US"/>
        </w:rPr>
        <w:t>r</w:t>
      </w:r>
      <w:r w:rsidR="00A070CE">
        <w:rPr>
          <w:i/>
          <w:iCs/>
          <w:lang w:val="en-US"/>
        </w:rPr>
        <w:t>ights</w:t>
      </w:r>
      <w:r w:rsidR="003D640C">
        <w:rPr>
          <w:i/>
          <w:iCs/>
          <w:lang w:val="en-US"/>
        </w:rPr>
        <w:t xml:space="preserve"> </w:t>
      </w:r>
      <w:r w:rsidR="00A070CE">
        <w:rPr>
          <w:i/>
          <w:iCs/>
          <w:lang w:val="en-US"/>
        </w:rPr>
        <w:t>and</w:t>
      </w:r>
      <w:r w:rsidR="003D640C">
        <w:rPr>
          <w:i/>
          <w:iCs/>
          <w:lang w:val="en-US"/>
        </w:rPr>
        <w:t xml:space="preserve"> </w:t>
      </w:r>
      <w:r w:rsidR="00A070CE">
        <w:rPr>
          <w:i/>
          <w:iCs/>
          <w:lang w:val="en-US"/>
        </w:rPr>
        <w:t>the</w:t>
      </w:r>
      <w:r w:rsidR="003D640C">
        <w:rPr>
          <w:i/>
          <w:iCs/>
          <w:lang w:val="en-US"/>
        </w:rPr>
        <w:t xml:space="preserve"> </w:t>
      </w:r>
      <w:r w:rsidR="00A070CE">
        <w:rPr>
          <w:i/>
          <w:iCs/>
          <w:lang w:val="en-US"/>
        </w:rPr>
        <w:t>Treaty</w:t>
      </w:r>
      <w:r w:rsidR="003D640C">
        <w:rPr>
          <w:i/>
          <w:iCs/>
          <w:lang w:val="en-US"/>
        </w:rPr>
        <w:t xml:space="preserve"> </w:t>
      </w:r>
      <w:r w:rsidR="00A070CE">
        <w:rPr>
          <w:i/>
          <w:iCs/>
          <w:lang w:val="en-US"/>
        </w:rPr>
        <w:t>of</w:t>
      </w:r>
      <w:r w:rsidR="003D640C">
        <w:rPr>
          <w:i/>
          <w:iCs/>
          <w:lang w:val="en-US"/>
        </w:rPr>
        <w:t xml:space="preserve"> </w:t>
      </w:r>
      <w:r w:rsidR="00A070CE">
        <w:rPr>
          <w:i/>
          <w:iCs/>
          <w:lang w:val="en-US"/>
        </w:rPr>
        <w:t>Waitangi</w:t>
      </w:r>
      <w:r w:rsidR="003D640C">
        <w:rPr>
          <w:i/>
          <w:iCs/>
          <w:lang w:val="en-US"/>
        </w:rPr>
        <w:t xml:space="preserve"> </w:t>
      </w:r>
      <w:r w:rsidR="0099715A">
        <w:rPr>
          <w:lang w:val="en-US"/>
        </w:rPr>
        <w:t>(</w:t>
      </w:r>
      <w:r>
        <w:rPr>
          <w:lang w:val="en-US"/>
        </w:rPr>
        <w:t>p</w:t>
      </w:r>
      <w:r w:rsidR="0099715A">
        <w:rPr>
          <w:lang w:val="en-US"/>
        </w:rPr>
        <w:t>.</w:t>
      </w:r>
      <w:r w:rsidR="003D640C">
        <w:rPr>
          <w:lang w:val="en-US"/>
        </w:rPr>
        <w:t xml:space="preserve"> </w:t>
      </w:r>
      <w:r>
        <w:rPr>
          <w:lang w:val="en-US"/>
        </w:rPr>
        <w:t>15</w:t>
      </w:r>
      <w:r w:rsidR="0099715A">
        <w:rPr>
          <w:lang w:val="en-US"/>
        </w:rPr>
        <w:t>)</w:t>
      </w:r>
      <w:r>
        <w:rPr>
          <w:lang w:val="en-US"/>
        </w:rPr>
        <w:t>.</w:t>
      </w:r>
      <w:r w:rsidR="003D640C">
        <w:rPr>
          <w:lang w:val="en-US"/>
        </w:rPr>
        <w:t xml:space="preserve"> </w:t>
      </w:r>
    </w:p>
  </w:footnote>
  <w:footnote w:id="52">
    <w:p w14:paraId="49D9312F" w14:textId="1D4EEA84" w:rsidR="009E2A1A" w:rsidRPr="00154E57" w:rsidRDefault="00D337C0" w:rsidP="00D337C0">
      <w:pPr>
        <w:pStyle w:val="FootnoteText"/>
        <w:rPr>
          <w:lang w:val="en-US"/>
        </w:rPr>
      </w:pPr>
      <w:r>
        <w:rPr>
          <w:rStyle w:val="FootnoteReference"/>
        </w:rPr>
        <w:footnoteRef/>
      </w:r>
      <w:r>
        <w:t xml:space="preserve"> Expert</w:t>
      </w:r>
      <w:r>
        <w:rPr>
          <w:i/>
          <w:iCs/>
        </w:rPr>
        <w:t xml:space="preserve"> </w:t>
      </w:r>
      <w:r w:rsidRPr="00154E57">
        <w:t>Mechanism</w:t>
      </w:r>
      <w:r>
        <w:t xml:space="preserve"> </w:t>
      </w:r>
      <w:r w:rsidRPr="00154E57">
        <w:t>on</w:t>
      </w:r>
      <w:r>
        <w:t xml:space="preserve"> </w:t>
      </w:r>
      <w:r w:rsidRPr="00154E57">
        <w:t>the</w:t>
      </w:r>
      <w:r>
        <w:t xml:space="preserve"> </w:t>
      </w:r>
      <w:r w:rsidRPr="00154E57">
        <w:t>Rights</w:t>
      </w:r>
      <w:r>
        <w:t xml:space="preserve"> </w:t>
      </w:r>
      <w:r w:rsidRPr="00154E57">
        <w:t>of</w:t>
      </w:r>
      <w:r>
        <w:t xml:space="preserve"> </w:t>
      </w:r>
      <w:r w:rsidRPr="00154E57">
        <w:t>Indigenous</w:t>
      </w:r>
      <w:r>
        <w:t xml:space="preserve"> </w:t>
      </w:r>
      <w:r w:rsidRPr="00154E57">
        <w:t>Peoples</w:t>
      </w:r>
      <w:r w:rsidR="009E2A1A">
        <w:t xml:space="preserve">. (2023). </w:t>
      </w:r>
      <w:r w:rsidRPr="007B139B">
        <w:rPr>
          <w:i/>
          <w:iCs/>
        </w:rPr>
        <w:t xml:space="preserve">Concept </w:t>
      </w:r>
      <w:r w:rsidR="009E2A1A" w:rsidRPr="007B139B">
        <w:rPr>
          <w:i/>
          <w:iCs/>
        </w:rPr>
        <w:t>n</w:t>
      </w:r>
      <w:r w:rsidRPr="007B139B">
        <w:rPr>
          <w:i/>
          <w:iCs/>
        </w:rPr>
        <w:t>ote</w:t>
      </w:r>
      <w:r>
        <w:t xml:space="preserve">. </w:t>
      </w:r>
    </w:p>
  </w:footnote>
  <w:footnote w:id="53">
    <w:p w14:paraId="77C31257" w14:textId="0C627A93" w:rsidR="00162C94" w:rsidRPr="00D55AB0" w:rsidRDefault="00162C94" w:rsidP="00E00167">
      <w:pPr>
        <w:pStyle w:val="FootnoteText"/>
      </w:pPr>
      <w:r>
        <w:rPr>
          <w:rStyle w:val="FootnoteReference"/>
        </w:rPr>
        <w:footnoteRef/>
      </w:r>
      <w:r w:rsidR="003D640C">
        <w:t xml:space="preserve"> </w:t>
      </w:r>
      <w:r>
        <w:t>Indigenous</w:t>
      </w:r>
      <w:r w:rsidR="003D640C">
        <w:t xml:space="preserve"> </w:t>
      </w:r>
      <w:r>
        <w:t>Peoples</w:t>
      </w:r>
      <w:r w:rsidR="00E8751C">
        <w:t>’</w:t>
      </w:r>
      <w:r w:rsidR="003D640C">
        <w:t xml:space="preserve"> </w:t>
      </w:r>
      <w:r>
        <w:t>Centre</w:t>
      </w:r>
      <w:r w:rsidR="003D640C">
        <w:t xml:space="preserve"> </w:t>
      </w:r>
      <w:r>
        <w:t>for</w:t>
      </w:r>
      <w:r w:rsidR="003D640C">
        <w:t xml:space="preserve"> </w:t>
      </w:r>
      <w:r>
        <w:t>Documentation,</w:t>
      </w:r>
      <w:r w:rsidR="003D640C">
        <w:t xml:space="preserve"> </w:t>
      </w:r>
      <w:r>
        <w:t>Research</w:t>
      </w:r>
      <w:r w:rsidR="003D640C">
        <w:t xml:space="preserve"> </w:t>
      </w:r>
      <w:r>
        <w:t>and</w:t>
      </w:r>
      <w:r w:rsidR="003D640C">
        <w:t xml:space="preserve"> </w:t>
      </w:r>
      <w:r>
        <w:t>Information</w:t>
      </w:r>
      <w:r w:rsidR="00081BCF">
        <w:t>.</w:t>
      </w:r>
      <w:r w:rsidR="00E8751C">
        <w:t xml:space="preserve"> (2023).</w:t>
      </w:r>
      <w:r w:rsidR="003D640C">
        <w:t xml:space="preserve"> </w:t>
      </w:r>
      <w:r>
        <w:rPr>
          <w:i/>
          <w:iCs/>
        </w:rPr>
        <w:t>Summary</w:t>
      </w:r>
      <w:r w:rsidR="003D640C">
        <w:rPr>
          <w:i/>
          <w:iCs/>
        </w:rPr>
        <w:t xml:space="preserve"> </w:t>
      </w:r>
      <w:r>
        <w:rPr>
          <w:i/>
          <w:iCs/>
        </w:rPr>
        <w:t>notes</w:t>
      </w:r>
      <w:r w:rsidR="003D640C">
        <w:rPr>
          <w:i/>
          <w:iCs/>
        </w:rPr>
        <w:t xml:space="preserve"> </w:t>
      </w:r>
      <w:r>
        <w:rPr>
          <w:i/>
          <w:iCs/>
        </w:rPr>
        <w:t>of</w:t>
      </w:r>
      <w:r w:rsidR="003D640C">
        <w:rPr>
          <w:i/>
          <w:iCs/>
        </w:rPr>
        <w:t xml:space="preserve"> </w:t>
      </w:r>
      <w:r>
        <w:rPr>
          <w:i/>
          <w:iCs/>
        </w:rPr>
        <w:t>the</w:t>
      </w:r>
      <w:r w:rsidR="003D640C">
        <w:rPr>
          <w:i/>
          <w:iCs/>
        </w:rPr>
        <w:t xml:space="preserve"> </w:t>
      </w:r>
      <w:r>
        <w:rPr>
          <w:i/>
          <w:iCs/>
        </w:rPr>
        <w:t>16th</w:t>
      </w:r>
      <w:r w:rsidR="003D640C">
        <w:rPr>
          <w:i/>
          <w:iCs/>
        </w:rPr>
        <w:t xml:space="preserve"> </w:t>
      </w:r>
      <w:r>
        <w:rPr>
          <w:i/>
          <w:iCs/>
        </w:rPr>
        <w:t>session</w:t>
      </w:r>
      <w:r w:rsidR="003D640C">
        <w:rPr>
          <w:i/>
          <w:iCs/>
        </w:rPr>
        <w:t xml:space="preserve"> </w:t>
      </w:r>
      <w:r>
        <w:rPr>
          <w:i/>
          <w:iCs/>
        </w:rPr>
        <w:t>of</w:t>
      </w:r>
      <w:r w:rsidR="003D640C">
        <w:rPr>
          <w:i/>
          <w:iCs/>
        </w:rPr>
        <w:t xml:space="preserve"> </w:t>
      </w:r>
      <w:r>
        <w:rPr>
          <w:i/>
          <w:iCs/>
        </w:rPr>
        <w:t>the</w:t>
      </w:r>
      <w:r w:rsidR="003D640C">
        <w:rPr>
          <w:i/>
          <w:iCs/>
        </w:rPr>
        <w:t xml:space="preserve"> </w:t>
      </w:r>
      <w:r>
        <w:rPr>
          <w:i/>
          <w:iCs/>
        </w:rPr>
        <w:t>Expert</w:t>
      </w:r>
      <w:r w:rsidR="003D640C">
        <w:rPr>
          <w:i/>
          <w:iCs/>
        </w:rPr>
        <w:t xml:space="preserve"> </w:t>
      </w:r>
      <w:r>
        <w:rPr>
          <w:i/>
          <w:iCs/>
        </w:rPr>
        <w:t>Mechanism</w:t>
      </w:r>
      <w:r w:rsidR="003D640C">
        <w:rPr>
          <w:i/>
          <w:iCs/>
        </w:rPr>
        <w:t xml:space="preserve"> </w:t>
      </w:r>
      <w:r>
        <w:rPr>
          <w:i/>
          <w:iCs/>
        </w:rPr>
        <w:t>on</w:t>
      </w:r>
      <w:r w:rsidR="003D640C">
        <w:rPr>
          <w:i/>
          <w:iCs/>
        </w:rPr>
        <w:t xml:space="preserve"> </w:t>
      </w:r>
      <w:r>
        <w:rPr>
          <w:i/>
          <w:iCs/>
        </w:rPr>
        <w:t>the</w:t>
      </w:r>
      <w:r w:rsidR="003D640C">
        <w:rPr>
          <w:i/>
          <w:iCs/>
        </w:rPr>
        <w:t xml:space="preserve"> </w:t>
      </w:r>
      <w:r w:rsidRPr="001A3149">
        <w:rPr>
          <w:i/>
          <w:iCs/>
        </w:rPr>
        <w:t>Rights</w:t>
      </w:r>
      <w:r w:rsidR="003D640C">
        <w:rPr>
          <w:i/>
          <w:iCs/>
        </w:rPr>
        <w:t xml:space="preserve"> </w:t>
      </w:r>
      <w:r>
        <w:rPr>
          <w:i/>
          <w:iCs/>
        </w:rPr>
        <w:t>of</w:t>
      </w:r>
      <w:r w:rsidR="003D640C">
        <w:rPr>
          <w:i/>
          <w:iCs/>
        </w:rPr>
        <w:t xml:space="preserve"> </w:t>
      </w:r>
      <w:r>
        <w:rPr>
          <w:i/>
          <w:iCs/>
        </w:rPr>
        <w:t>Indigenous</w:t>
      </w:r>
      <w:r w:rsidR="003D640C">
        <w:rPr>
          <w:i/>
          <w:iCs/>
        </w:rPr>
        <w:t xml:space="preserve"> </w:t>
      </w:r>
      <w:r>
        <w:rPr>
          <w:i/>
          <w:iCs/>
        </w:rPr>
        <w:t>Peoples</w:t>
      </w:r>
      <w:r w:rsidR="00E8751C" w:rsidRPr="00E8751C">
        <w:rPr>
          <w:i/>
          <w:iCs/>
        </w:rPr>
        <w:t>:</w:t>
      </w:r>
      <w:r w:rsidR="003D640C" w:rsidRPr="00E8751C">
        <w:rPr>
          <w:i/>
          <w:iCs/>
        </w:rPr>
        <w:t xml:space="preserve"> </w:t>
      </w:r>
      <w:r w:rsidRPr="007B139B">
        <w:rPr>
          <w:i/>
          <w:iCs/>
        </w:rPr>
        <w:t>17</w:t>
      </w:r>
      <w:r w:rsidR="00E8751C" w:rsidRPr="007B139B">
        <w:rPr>
          <w:i/>
          <w:iCs/>
        </w:rPr>
        <w:t>–</w:t>
      </w:r>
      <w:r w:rsidRPr="007B139B">
        <w:rPr>
          <w:i/>
          <w:iCs/>
        </w:rPr>
        <w:t>21</w:t>
      </w:r>
      <w:r w:rsidR="003D640C" w:rsidRPr="007B139B">
        <w:rPr>
          <w:i/>
          <w:iCs/>
        </w:rPr>
        <w:t xml:space="preserve"> </w:t>
      </w:r>
      <w:r w:rsidRPr="007B139B">
        <w:rPr>
          <w:i/>
          <w:iCs/>
        </w:rPr>
        <w:t>July</w:t>
      </w:r>
      <w:r w:rsidR="003D640C" w:rsidRPr="007B139B">
        <w:rPr>
          <w:i/>
          <w:iCs/>
        </w:rPr>
        <w:t xml:space="preserve"> </w:t>
      </w:r>
      <w:r w:rsidRPr="007B139B">
        <w:rPr>
          <w:i/>
          <w:iCs/>
        </w:rPr>
        <w:t>2023</w:t>
      </w:r>
      <w:r w:rsidR="00081BCF" w:rsidRPr="007B139B">
        <w:rPr>
          <w:i/>
          <w:iCs/>
        </w:rPr>
        <w:t>, Geneva</w:t>
      </w:r>
      <w:r w:rsidR="00081BCF">
        <w:t>.</w:t>
      </w:r>
      <w:r w:rsidR="003D640C">
        <w:t xml:space="preserve"> </w:t>
      </w:r>
      <w:r w:rsidR="00081BCF">
        <w:t>(</w:t>
      </w:r>
      <w:r>
        <w:t>p</w:t>
      </w:r>
      <w:r w:rsidR="00081BCF">
        <w:t>.</w:t>
      </w:r>
      <w:r w:rsidR="003D640C">
        <w:t xml:space="preserve"> </w:t>
      </w:r>
      <w:r>
        <w:t>17</w:t>
      </w:r>
      <w:r w:rsidR="00081BCF">
        <w:t>)</w:t>
      </w:r>
      <w:r>
        <w:t>.</w:t>
      </w:r>
      <w:r w:rsidR="003D640C">
        <w:t xml:space="preserve"> </w:t>
      </w:r>
    </w:p>
  </w:footnote>
  <w:footnote w:id="54">
    <w:p w14:paraId="38E4BA30" w14:textId="02C50764" w:rsidR="005C480E" w:rsidRDefault="00465B12" w:rsidP="00E00167">
      <w:pPr>
        <w:pStyle w:val="FootnoteText"/>
      </w:pPr>
      <w:r>
        <w:rPr>
          <w:rStyle w:val="FootnoteReference"/>
        </w:rPr>
        <w:footnoteRef/>
      </w:r>
      <w:r w:rsidR="003D640C">
        <w:t xml:space="preserve"> </w:t>
      </w:r>
      <w:r w:rsidR="005F44A8">
        <w:t>United</w:t>
      </w:r>
      <w:r w:rsidR="003D640C">
        <w:t xml:space="preserve"> </w:t>
      </w:r>
      <w:r w:rsidR="005F44A8">
        <w:t>Nations</w:t>
      </w:r>
      <w:r w:rsidR="003D640C">
        <w:t xml:space="preserve"> </w:t>
      </w:r>
      <w:r w:rsidR="005F44A8">
        <w:t>(General</w:t>
      </w:r>
      <w:r w:rsidR="003D640C">
        <w:t xml:space="preserve"> </w:t>
      </w:r>
      <w:r w:rsidR="005F44A8">
        <w:t>Assembly).</w:t>
      </w:r>
      <w:r w:rsidR="003D640C">
        <w:t xml:space="preserve"> </w:t>
      </w:r>
      <w:r w:rsidR="005C480E">
        <w:t>(</w:t>
      </w:r>
      <w:r w:rsidR="005F44A8">
        <w:t>2023</w:t>
      </w:r>
      <w:r w:rsidR="005C480E">
        <w:t>)</w:t>
      </w:r>
      <w:r w:rsidR="005F44A8">
        <w:t>.</w:t>
      </w:r>
      <w:r w:rsidR="003D640C">
        <w:t xml:space="preserve"> </w:t>
      </w:r>
      <w:r w:rsidR="005F44A8" w:rsidRPr="007B139B">
        <w:rPr>
          <w:i/>
          <w:iCs/>
        </w:rPr>
        <w:t>Report</w:t>
      </w:r>
      <w:r w:rsidR="003D640C" w:rsidRPr="007B139B">
        <w:rPr>
          <w:i/>
          <w:iCs/>
        </w:rPr>
        <w:t xml:space="preserve"> </w:t>
      </w:r>
      <w:r w:rsidR="005F44A8" w:rsidRPr="007B139B">
        <w:rPr>
          <w:i/>
          <w:iCs/>
        </w:rPr>
        <w:t>of</w:t>
      </w:r>
      <w:r w:rsidR="003D640C" w:rsidRPr="007B139B">
        <w:rPr>
          <w:i/>
          <w:iCs/>
        </w:rPr>
        <w:t xml:space="preserve"> </w:t>
      </w:r>
      <w:r w:rsidR="005F44A8" w:rsidRPr="007B139B">
        <w:rPr>
          <w:i/>
          <w:iCs/>
        </w:rPr>
        <w:t>the</w:t>
      </w:r>
      <w:r w:rsidR="003D640C" w:rsidRPr="007B139B">
        <w:rPr>
          <w:i/>
          <w:iCs/>
        </w:rPr>
        <w:t xml:space="preserve"> </w:t>
      </w:r>
      <w:r w:rsidR="005F44A8" w:rsidRPr="007B139B">
        <w:rPr>
          <w:i/>
          <w:iCs/>
        </w:rPr>
        <w:t>Independent</w:t>
      </w:r>
      <w:r w:rsidR="003D640C" w:rsidRPr="007B139B">
        <w:rPr>
          <w:i/>
          <w:iCs/>
        </w:rPr>
        <w:t xml:space="preserve"> </w:t>
      </w:r>
      <w:r w:rsidR="005F44A8" w:rsidRPr="007B139B">
        <w:rPr>
          <w:i/>
          <w:iCs/>
        </w:rPr>
        <w:t>Expert</w:t>
      </w:r>
      <w:r w:rsidR="003D640C" w:rsidRPr="007B139B">
        <w:rPr>
          <w:i/>
          <w:iCs/>
        </w:rPr>
        <w:t xml:space="preserve"> </w:t>
      </w:r>
      <w:r w:rsidR="005F44A8" w:rsidRPr="007B139B">
        <w:rPr>
          <w:i/>
          <w:iCs/>
        </w:rPr>
        <w:t>on</w:t>
      </w:r>
      <w:r w:rsidR="003D640C" w:rsidRPr="007B139B">
        <w:rPr>
          <w:i/>
          <w:iCs/>
        </w:rPr>
        <w:t xml:space="preserve"> </w:t>
      </w:r>
      <w:r w:rsidR="005F44A8" w:rsidRPr="007B139B">
        <w:rPr>
          <w:i/>
          <w:iCs/>
        </w:rPr>
        <w:t>protection</w:t>
      </w:r>
      <w:r w:rsidR="003D640C" w:rsidRPr="007B139B">
        <w:rPr>
          <w:i/>
          <w:iCs/>
        </w:rPr>
        <w:t xml:space="preserve"> </w:t>
      </w:r>
      <w:r w:rsidR="005F44A8" w:rsidRPr="007B139B">
        <w:rPr>
          <w:i/>
          <w:iCs/>
        </w:rPr>
        <w:t>against</w:t>
      </w:r>
      <w:r w:rsidR="003D640C" w:rsidRPr="007B139B">
        <w:rPr>
          <w:i/>
          <w:iCs/>
        </w:rPr>
        <w:t xml:space="preserve"> </w:t>
      </w:r>
      <w:r w:rsidR="005F44A8" w:rsidRPr="007B139B">
        <w:rPr>
          <w:i/>
          <w:iCs/>
        </w:rPr>
        <w:t>violence</w:t>
      </w:r>
      <w:r w:rsidR="003D640C" w:rsidRPr="007B139B">
        <w:rPr>
          <w:i/>
          <w:iCs/>
        </w:rPr>
        <w:t xml:space="preserve"> </w:t>
      </w:r>
      <w:r w:rsidR="005F44A8" w:rsidRPr="007B139B">
        <w:rPr>
          <w:i/>
          <w:iCs/>
        </w:rPr>
        <w:t>and</w:t>
      </w:r>
      <w:r w:rsidR="003D640C" w:rsidRPr="007B139B">
        <w:rPr>
          <w:i/>
          <w:iCs/>
        </w:rPr>
        <w:t xml:space="preserve"> </w:t>
      </w:r>
      <w:r w:rsidR="005F44A8" w:rsidRPr="007B139B">
        <w:rPr>
          <w:i/>
          <w:iCs/>
        </w:rPr>
        <w:t>discrimination</w:t>
      </w:r>
      <w:r w:rsidR="003D640C" w:rsidRPr="007B139B">
        <w:rPr>
          <w:i/>
          <w:iCs/>
        </w:rPr>
        <w:t xml:space="preserve"> </w:t>
      </w:r>
      <w:r w:rsidR="005F44A8" w:rsidRPr="007B139B">
        <w:rPr>
          <w:i/>
          <w:iCs/>
        </w:rPr>
        <w:t>based</w:t>
      </w:r>
      <w:r w:rsidR="003D640C" w:rsidRPr="007B139B">
        <w:rPr>
          <w:i/>
          <w:iCs/>
        </w:rPr>
        <w:t xml:space="preserve"> </w:t>
      </w:r>
      <w:r w:rsidR="005F44A8" w:rsidRPr="007B139B">
        <w:rPr>
          <w:i/>
          <w:iCs/>
        </w:rPr>
        <w:t>on</w:t>
      </w:r>
      <w:r w:rsidR="003D640C" w:rsidRPr="007B139B">
        <w:rPr>
          <w:i/>
          <w:iCs/>
        </w:rPr>
        <w:t xml:space="preserve"> </w:t>
      </w:r>
      <w:r w:rsidR="005F44A8" w:rsidRPr="007B139B">
        <w:rPr>
          <w:i/>
          <w:iCs/>
        </w:rPr>
        <w:t>sexual</w:t>
      </w:r>
      <w:r w:rsidR="003D640C" w:rsidRPr="007B139B">
        <w:rPr>
          <w:i/>
          <w:iCs/>
        </w:rPr>
        <w:t xml:space="preserve"> </w:t>
      </w:r>
      <w:r w:rsidR="005F44A8" w:rsidRPr="007B139B">
        <w:rPr>
          <w:i/>
          <w:iCs/>
        </w:rPr>
        <w:t>orientation</w:t>
      </w:r>
      <w:r w:rsidR="003D640C" w:rsidRPr="007B139B">
        <w:rPr>
          <w:i/>
          <w:iCs/>
        </w:rPr>
        <w:t xml:space="preserve"> </w:t>
      </w:r>
      <w:r w:rsidR="005F44A8" w:rsidRPr="007B139B">
        <w:rPr>
          <w:i/>
          <w:iCs/>
        </w:rPr>
        <w:t>and</w:t>
      </w:r>
      <w:r w:rsidR="003D640C" w:rsidRPr="007B139B">
        <w:rPr>
          <w:i/>
          <w:iCs/>
        </w:rPr>
        <w:t xml:space="preserve"> </w:t>
      </w:r>
      <w:r w:rsidR="005F44A8" w:rsidRPr="007B139B">
        <w:rPr>
          <w:i/>
          <w:iCs/>
        </w:rPr>
        <w:t>gender</w:t>
      </w:r>
      <w:r w:rsidR="003D640C" w:rsidRPr="007B139B">
        <w:rPr>
          <w:i/>
          <w:iCs/>
        </w:rPr>
        <w:t xml:space="preserve"> </w:t>
      </w:r>
      <w:r w:rsidR="005F44A8" w:rsidRPr="007B139B">
        <w:rPr>
          <w:i/>
          <w:iCs/>
        </w:rPr>
        <w:t>identity,</w:t>
      </w:r>
      <w:r w:rsidR="003D640C" w:rsidRPr="007B139B">
        <w:rPr>
          <w:i/>
          <w:iCs/>
        </w:rPr>
        <w:t xml:space="preserve"> </w:t>
      </w:r>
      <w:r w:rsidR="005F44A8" w:rsidRPr="007B139B">
        <w:rPr>
          <w:i/>
          <w:iCs/>
        </w:rPr>
        <w:t>Victor</w:t>
      </w:r>
      <w:r w:rsidR="003D640C" w:rsidRPr="007B139B">
        <w:rPr>
          <w:i/>
          <w:iCs/>
        </w:rPr>
        <w:t xml:space="preserve"> </w:t>
      </w:r>
      <w:r w:rsidR="005F44A8" w:rsidRPr="007B139B">
        <w:rPr>
          <w:i/>
          <w:iCs/>
        </w:rPr>
        <w:t>Madrigal-Borloz</w:t>
      </w:r>
      <w:r w:rsidR="005F44A8">
        <w:t>.</w:t>
      </w:r>
      <w:r w:rsidR="003D640C">
        <w:t xml:space="preserve"> </w:t>
      </w:r>
    </w:p>
  </w:footnote>
  <w:footnote w:id="55">
    <w:p w14:paraId="5140B8E1" w14:textId="23D30E36" w:rsidR="00E37B4B" w:rsidRDefault="00E37B4B" w:rsidP="00E37B4B">
      <w:pPr>
        <w:pStyle w:val="FootnoteText"/>
      </w:pPr>
      <w:r>
        <w:rPr>
          <w:rStyle w:val="FootnoteReference"/>
        </w:rPr>
        <w:footnoteRef/>
      </w:r>
      <w:r>
        <w:t xml:space="preserve"> United Nations Human Rights Council. (2020). </w:t>
      </w:r>
      <w:r w:rsidRPr="007B139B">
        <w:rPr>
          <w:i/>
          <w:iCs/>
        </w:rPr>
        <w:t>Practices of so-called “conversion therapy”:</w:t>
      </w:r>
      <w:r w:rsidRPr="007B139B" w:rsidDel="00142CD3">
        <w:rPr>
          <w:i/>
          <w:iCs/>
        </w:rPr>
        <w:t xml:space="preserve"> </w:t>
      </w:r>
      <w:r w:rsidRPr="007B139B">
        <w:rPr>
          <w:i/>
          <w:iCs/>
        </w:rPr>
        <w:t>Report of the Independent Expert on protection against violence and discrimination based on sexual orientation and gender identity</w:t>
      </w:r>
      <w:r>
        <w:t>.</w:t>
      </w:r>
    </w:p>
  </w:footnote>
  <w:footnote w:id="56">
    <w:p w14:paraId="267E202B" w14:textId="6DF40E8F" w:rsidR="00B45497" w:rsidRDefault="00B45497" w:rsidP="00B45497">
      <w:pPr>
        <w:pStyle w:val="FootnoteText"/>
      </w:pPr>
      <w:r>
        <w:rPr>
          <w:rStyle w:val="FootnoteReference"/>
        </w:rPr>
        <w:footnoteRef/>
      </w:r>
      <w:r>
        <w:t xml:space="preserve"> </w:t>
      </w:r>
      <w:r w:rsidRPr="006C2599">
        <w:t>Abuse</w:t>
      </w:r>
      <w:r>
        <w:t xml:space="preserve"> </w:t>
      </w:r>
      <w:r w:rsidRPr="006C2599">
        <w:t>in</w:t>
      </w:r>
      <w:r>
        <w:t xml:space="preserve"> </w:t>
      </w:r>
      <w:r w:rsidRPr="006C2599">
        <w:t>Care</w:t>
      </w:r>
      <w:r>
        <w:t xml:space="preserve"> </w:t>
      </w:r>
      <w:r w:rsidRPr="006C2599">
        <w:t>Royal</w:t>
      </w:r>
      <w:r>
        <w:t xml:space="preserve"> </w:t>
      </w:r>
      <w:r w:rsidRPr="006C2599">
        <w:t>Commission</w:t>
      </w:r>
      <w:r>
        <w:t xml:space="preserve"> </w:t>
      </w:r>
      <w:r w:rsidRPr="006C2599">
        <w:t>of</w:t>
      </w:r>
      <w:r>
        <w:t xml:space="preserve"> </w:t>
      </w:r>
      <w:r w:rsidRPr="006C2599">
        <w:t>Inquiry</w:t>
      </w:r>
      <w:r>
        <w:t xml:space="preserve">. (2022). </w:t>
      </w:r>
      <w:r w:rsidRPr="00111B83">
        <w:rPr>
          <w:i/>
          <w:iCs/>
        </w:rPr>
        <w:t>Beautiful children</w:t>
      </w:r>
      <w:r>
        <w:rPr>
          <w:i/>
          <w:iCs/>
        </w:rPr>
        <w:t>:</w:t>
      </w:r>
      <w:r w:rsidRPr="00111B83">
        <w:rPr>
          <w:i/>
          <w:iCs/>
        </w:rPr>
        <w:t xml:space="preserve"> Te </w:t>
      </w:r>
      <w:r>
        <w:rPr>
          <w:i/>
          <w:iCs/>
        </w:rPr>
        <w:t>u</w:t>
      </w:r>
      <w:r w:rsidRPr="00111B83">
        <w:rPr>
          <w:i/>
          <w:iCs/>
        </w:rPr>
        <w:t>iui o te Manga Tamariki me te Rangatahi</w:t>
      </w:r>
      <w:r w:rsidRPr="00B45497">
        <w:t xml:space="preserve"> </w:t>
      </w:r>
      <w:r w:rsidRPr="00111B83">
        <w:rPr>
          <w:i/>
          <w:iCs/>
        </w:rPr>
        <w:t>ki Lake Alice</w:t>
      </w:r>
      <w:r>
        <w:rPr>
          <w:i/>
          <w:iCs/>
        </w:rPr>
        <w:t xml:space="preserve"> |</w:t>
      </w:r>
      <w:r>
        <w:t xml:space="preserve"> </w:t>
      </w:r>
      <w:r w:rsidRPr="007B139B">
        <w:rPr>
          <w:i/>
          <w:iCs/>
        </w:rPr>
        <w:t>Inquiry into the Lake Alice Child and Adolescent Unit</w:t>
      </w:r>
      <w:r>
        <w:t>.</w:t>
      </w:r>
    </w:p>
  </w:footnote>
  <w:footnote w:id="57">
    <w:p w14:paraId="2AD866E4" w14:textId="1DAA1128" w:rsidR="005E1DAF" w:rsidRDefault="005E1DAF" w:rsidP="00E00167">
      <w:pPr>
        <w:pStyle w:val="FootnoteText"/>
      </w:pPr>
      <w:r>
        <w:rPr>
          <w:rStyle w:val="FootnoteReference"/>
        </w:rPr>
        <w:footnoteRef/>
      </w:r>
      <w:r w:rsidR="003D640C">
        <w:t xml:space="preserve"> </w:t>
      </w:r>
      <w:r w:rsidR="00AE41B0">
        <w:t xml:space="preserve">United Nations </w:t>
      </w:r>
      <w:r>
        <w:t>Committee</w:t>
      </w:r>
      <w:r w:rsidR="003D640C">
        <w:t xml:space="preserve"> </w:t>
      </w:r>
      <w:r>
        <w:t>on</w:t>
      </w:r>
      <w:r w:rsidR="003D640C">
        <w:t xml:space="preserve"> </w:t>
      </w:r>
      <w:r>
        <w:t>the</w:t>
      </w:r>
      <w:r w:rsidR="003D640C">
        <w:t xml:space="preserve"> </w:t>
      </w:r>
      <w:r>
        <w:t>Rights</w:t>
      </w:r>
      <w:r w:rsidR="003D640C">
        <w:t xml:space="preserve"> </w:t>
      </w:r>
      <w:r>
        <w:t>of</w:t>
      </w:r>
      <w:r w:rsidR="003D640C">
        <w:t xml:space="preserve"> </w:t>
      </w:r>
      <w:r>
        <w:t>the</w:t>
      </w:r>
      <w:r w:rsidR="003D640C">
        <w:t xml:space="preserve"> </w:t>
      </w:r>
      <w:r>
        <w:t>Child</w:t>
      </w:r>
      <w:r w:rsidR="00E26CFC">
        <w:t>. (2003).</w:t>
      </w:r>
      <w:r w:rsidR="003D640C">
        <w:t xml:space="preserve"> </w:t>
      </w:r>
      <w:r w:rsidRPr="007B139B">
        <w:rPr>
          <w:i/>
          <w:iCs/>
        </w:rPr>
        <w:t>General</w:t>
      </w:r>
      <w:r w:rsidR="003D640C" w:rsidRPr="007B139B">
        <w:rPr>
          <w:i/>
          <w:iCs/>
        </w:rPr>
        <w:t xml:space="preserve"> </w:t>
      </w:r>
      <w:r w:rsidR="00E26CFC">
        <w:rPr>
          <w:i/>
          <w:iCs/>
        </w:rPr>
        <w:t>c</w:t>
      </w:r>
      <w:r w:rsidRPr="007B139B">
        <w:rPr>
          <w:i/>
          <w:iCs/>
        </w:rPr>
        <w:t>omment</w:t>
      </w:r>
      <w:r w:rsidR="003D640C" w:rsidRPr="007B139B">
        <w:rPr>
          <w:i/>
          <w:iCs/>
        </w:rPr>
        <w:t xml:space="preserve"> </w:t>
      </w:r>
      <w:r w:rsidRPr="007B139B">
        <w:rPr>
          <w:i/>
          <w:iCs/>
        </w:rPr>
        <w:t>No.</w:t>
      </w:r>
      <w:r w:rsidR="003D640C" w:rsidRPr="007B139B">
        <w:rPr>
          <w:i/>
          <w:iCs/>
        </w:rPr>
        <w:t xml:space="preserve"> </w:t>
      </w:r>
      <w:r w:rsidRPr="007B139B">
        <w:rPr>
          <w:i/>
          <w:iCs/>
        </w:rPr>
        <w:t>5</w:t>
      </w:r>
      <w:r w:rsidR="00E26CFC" w:rsidRPr="007B139B">
        <w:rPr>
          <w:i/>
          <w:iCs/>
        </w:rPr>
        <w:t>:</w:t>
      </w:r>
      <w:r w:rsidR="003D640C" w:rsidRPr="007B139B" w:rsidDel="00E26CFC">
        <w:rPr>
          <w:i/>
          <w:iCs/>
        </w:rPr>
        <w:t xml:space="preserve"> </w:t>
      </w:r>
      <w:r w:rsidRPr="007B139B">
        <w:rPr>
          <w:i/>
          <w:iCs/>
        </w:rPr>
        <w:t>General</w:t>
      </w:r>
      <w:r w:rsidR="003D640C" w:rsidRPr="007B139B">
        <w:rPr>
          <w:i/>
          <w:iCs/>
        </w:rPr>
        <w:t xml:space="preserve"> </w:t>
      </w:r>
      <w:r w:rsidRPr="007B139B">
        <w:rPr>
          <w:i/>
          <w:iCs/>
        </w:rPr>
        <w:t>measures</w:t>
      </w:r>
      <w:r w:rsidR="003D640C" w:rsidRPr="007B139B">
        <w:rPr>
          <w:i/>
          <w:iCs/>
        </w:rPr>
        <w:t xml:space="preserve"> </w:t>
      </w:r>
      <w:r w:rsidRPr="007B139B">
        <w:rPr>
          <w:i/>
          <w:iCs/>
        </w:rPr>
        <w:t>of</w:t>
      </w:r>
      <w:r w:rsidR="003D640C" w:rsidRPr="007B139B">
        <w:rPr>
          <w:i/>
          <w:iCs/>
        </w:rPr>
        <w:t xml:space="preserve"> </w:t>
      </w:r>
      <w:r w:rsidRPr="007B139B">
        <w:rPr>
          <w:i/>
          <w:iCs/>
        </w:rPr>
        <w:t>implementation</w:t>
      </w:r>
      <w:r w:rsidR="003D640C" w:rsidRPr="007B139B">
        <w:rPr>
          <w:i/>
          <w:iCs/>
        </w:rPr>
        <w:t xml:space="preserve"> </w:t>
      </w:r>
      <w:r w:rsidRPr="007B139B">
        <w:rPr>
          <w:i/>
          <w:iCs/>
        </w:rPr>
        <w:t>of</w:t>
      </w:r>
      <w:r w:rsidR="003D640C" w:rsidRPr="007B139B">
        <w:rPr>
          <w:i/>
          <w:iCs/>
        </w:rPr>
        <w:t xml:space="preserve"> </w:t>
      </w:r>
      <w:r w:rsidRPr="007B139B">
        <w:rPr>
          <w:i/>
          <w:iCs/>
        </w:rPr>
        <w:t>the</w:t>
      </w:r>
      <w:r w:rsidR="003D640C" w:rsidRPr="007B139B">
        <w:rPr>
          <w:i/>
          <w:iCs/>
        </w:rPr>
        <w:t xml:space="preserve"> </w:t>
      </w:r>
      <w:r w:rsidRPr="007B139B">
        <w:rPr>
          <w:i/>
          <w:iCs/>
        </w:rPr>
        <w:t>Convention</w:t>
      </w:r>
      <w:r w:rsidR="003D640C" w:rsidRPr="007B139B">
        <w:rPr>
          <w:i/>
          <w:iCs/>
        </w:rPr>
        <w:t xml:space="preserve"> </w:t>
      </w:r>
      <w:r w:rsidRPr="007B139B">
        <w:rPr>
          <w:i/>
          <w:iCs/>
        </w:rPr>
        <w:t>on</w:t>
      </w:r>
      <w:r w:rsidR="003D640C" w:rsidRPr="007B139B">
        <w:rPr>
          <w:i/>
          <w:iCs/>
        </w:rPr>
        <w:t xml:space="preserve"> </w:t>
      </w:r>
      <w:r w:rsidRPr="007B139B">
        <w:rPr>
          <w:i/>
          <w:iCs/>
        </w:rPr>
        <w:t>the</w:t>
      </w:r>
      <w:r w:rsidR="003D640C" w:rsidRPr="007B139B">
        <w:rPr>
          <w:i/>
          <w:iCs/>
        </w:rPr>
        <w:t xml:space="preserve"> </w:t>
      </w:r>
      <w:r w:rsidRPr="007B139B">
        <w:rPr>
          <w:i/>
          <w:iCs/>
        </w:rPr>
        <w:t>Rights</w:t>
      </w:r>
      <w:r w:rsidR="003D640C" w:rsidRPr="007B139B">
        <w:rPr>
          <w:i/>
          <w:iCs/>
        </w:rPr>
        <w:t xml:space="preserve"> </w:t>
      </w:r>
      <w:r w:rsidRPr="007B139B">
        <w:rPr>
          <w:i/>
          <w:iCs/>
        </w:rPr>
        <w:t>of</w:t>
      </w:r>
      <w:r w:rsidR="003D640C" w:rsidRPr="007B139B">
        <w:rPr>
          <w:i/>
          <w:iCs/>
        </w:rPr>
        <w:t xml:space="preserve"> </w:t>
      </w:r>
      <w:r w:rsidRPr="007B139B">
        <w:rPr>
          <w:i/>
          <w:iCs/>
        </w:rPr>
        <w:t>the</w:t>
      </w:r>
      <w:r w:rsidR="003D640C" w:rsidRPr="007B139B">
        <w:rPr>
          <w:i/>
          <w:iCs/>
        </w:rPr>
        <w:t xml:space="preserve"> </w:t>
      </w:r>
      <w:r w:rsidRPr="007B139B">
        <w:rPr>
          <w:i/>
          <w:iCs/>
        </w:rPr>
        <w:t>Child</w:t>
      </w:r>
      <w:r w:rsidR="003D640C" w:rsidRPr="007B139B">
        <w:rPr>
          <w:i/>
          <w:iCs/>
        </w:rPr>
        <w:t xml:space="preserve"> </w:t>
      </w:r>
      <w:r w:rsidRPr="007B139B">
        <w:rPr>
          <w:i/>
          <w:iCs/>
        </w:rPr>
        <w:t>(arts.</w:t>
      </w:r>
      <w:r w:rsidR="003D640C" w:rsidRPr="007B139B">
        <w:rPr>
          <w:i/>
          <w:iCs/>
        </w:rPr>
        <w:t xml:space="preserve"> </w:t>
      </w:r>
      <w:r w:rsidRPr="007B139B">
        <w:rPr>
          <w:i/>
          <w:iCs/>
        </w:rPr>
        <w:t>4,</w:t>
      </w:r>
      <w:r w:rsidR="003D640C" w:rsidRPr="007B139B">
        <w:rPr>
          <w:i/>
          <w:iCs/>
        </w:rPr>
        <w:t xml:space="preserve"> </w:t>
      </w:r>
      <w:r w:rsidRPr="007B139B">
        <w:rPr>
          <w:i/>
          <w:iCs/>
        </w:rPr>
        <w:t>42</w:t>
      </w:r>
      <w:r w:rsidR="003D640C" w:rsidRPr="007B139B">
        <w:rPr>
          <w:i/>
          <w:iCs/>
        </w:rPr>
        <w:t xml:space="preserve"> </w:t>
      </w:r>
      <w:r w:rsidRPr="007B139B">
        <w:rPr>
          <w:i/>
          <w:iCs/>
        </w:rPr>
        <w:t>and</w:t>
      </w:r>
      <w:r w:rsidR="003D640C" w:rsidRPr="007B139B">
        <w:rPr>
          <w:i/>
          <w:iCs/>
        </w:rPr>
        <w:t xml:space="preserve"> </w:t>
      </w:r>
      <w:r w:rsidRPr="007B139B">
        <w:rPr>
          <w:i/>
          <w:iCs/>
        </w:rPr>
        <w:t>44</w:t>
      </w:r>
      <w:r w:rsidR="00E26CFC" w:rsidRPr="007B139B">
        <w:rPr>
          <w:i/>
          <w:iCs/>
        </w:rPr>
        <w:t>, para. 6</w:t>
      </w:r>
      <w:r w:rsidRPr="007B139B">
        <w:rPr>
          <w:i/>
          <w:iCs/>
        </w:rPr>
        <w:t>)</w:t>
      </w:r>
      <w:r w:rsidR="00E26CFC">
        <w:t>.</w:t>
      </w:r>
      <w:r w:rsidR="003D640C">
        <w:t xml:space="preserve"> </w:t>
      </w:r>
    </w:p>
  </w:footnote>
  <w:footnote w:id="58">
    <w:p w14:paraId="043801CF" w14:textId="3414A8A4" w:rsidR="00AC092A" w:rsidRDefault="00AC092A" w:rsidP="00E00167">
      <w:pPr>
        <w:pStyle w:val="FootnoteText"/>
      </w:pPr>
      <w:r>
        <w:rPr>
          <w:rStyle w:val="FootnoteReference"/>
        </w:rPr>
        <w:footnoteRef/>
      </w:r>
      <w:r w:rsidR="003D640C">
        <w:t xml:space="preserve"> </w:t>
      </w:r>
      <w:r w:rsidR="008E6A08" w:rsidRPr="007B139B">
        <w:t>United Nations Committee</w:t>
      </w:r>
      <w:r w:rsidR="008E6A08">
        <w:t xml:space="preserve"> on the Rights of </w:t>
      </w:r>
      <w:r w:rsidR="008E6A08" w:rsidRPr="008E6A08">
        <w:t>the</w:t>
      </w:r>
      <w:r w:rsidR="008E6A08">
        <w:t xml:space="preserve"> Child. (2013). </w:t>
      </w:r>
      <w:r w:rsidR="008E6A08" w:rsidRPr="00111B83">
        <w:rPr>
          <w:i/>
          <w:iCs/>
        </w:rPr>
        <w:t>General comment No. 14 (2013) on the right of the child to have his or her best interests taken as a primary consideration (art. 3, para. 1)</w:t>
      </w:r>
      <w:r w:rsidR="008E6A08">
        <w:t>.</w:t>
      </w:r>
    </w:p>
  </w:footnote>
  <w:footnote w:id="59">
    <w:p w14:paraId="19F131F0" w14:textId="656311B5" w:rsidR="00BC295E" w:rsidRDefault="00BC295E" w:rsidP="00E00167">
      <w:pPr>
        <w:pStyle w:val="FootnoteText"/>
      </w:pPr>
      <w:r w:rsidRPr="00AB5900">
        <w:rPr>
          <w:rStyle w:val="FootnoteReference"/>
        </w:rPr>
        <w:footnoteRef/>
      </w:r>
      <w:r w:rsidR="003D640C">
        <w:t xml:space="preserve"> </w:t>
      </w:r>
      <w:r w:rsidR="00AA696E">
        <w:t xml:space="preserve">Crown Law. (2021, June 29). </w:t>
      </w:r>
      <w:r w:rsidR="00AA696E" w:rsidRPr="007B139B">
        <w:rPr>
          <w:i/>
          <w:iCs/>
        </w:rPr>
        <w:t>Briefing to Attorney-General – Conversion Practice Prohibition Legislation Bill</w:t>
      </w:r>
      <w:r w:rsidR="00AA696E">
        <w:t xml:space="preserve">. </w:t>
      </w:r>
    </w:p>
  </w:footnote>
  <w:footnote w:id="60">
    <w:p w14:paraId="55157E8E" w14:textId="26EF02EA" w:rsidR="00BC295E" w:rsidRPr="00493D1A" w:rsidRDefault="00BC295E" w:rsidP="00E00167">
      <w:pPr>
        <w:pStyle w:val="FootnoteText"/>
        <w:rPr>
          <w:lang w:val="mi-NZ"/>
        </w:rPr>
      </w:pPr>
      <w:r>
        <w:rPr>
          <w:rStyle w:val="FootnoteReference"/>
        </w:rPr>
        <w:footnoteRef/>
      </w:r>
      <w:r w:rsidR="003D640C">
        <w:rPr>
          <w:lang w:val="mi-NZ"/>
        </w:rPr>
        <w:t xml:space="preserve"> </w:t>
      </w:r>
      <w:r w:rsidR="00EC3CF2">
        <w:rPr>
          <w:lang w:val="mi-NZ"/>
        </w:rPr>
        <w:t xml:space="preserve">Human Rights Commission. (2021). </w:t>
      </w:r>
      <w:r w:rsidRPr="007B139B">
        <w:rPr>
          <w:i/>
          <w:iCs/>
          <w:lang w:val="mi-NZ"/>
        </w:rPr>
        <w:t>Conversion</w:t>
      </w:r>
      <w:r w:rsidR="003D640C" w:rsidRPr="007B139B">
        <w:rPr>
          <w:i/>
          <w:iCs/>
          <w:lang w:val="mi-NZ"/>
        </w:rPr>
        <w:t xml:space="preserve"> </w:t>
      </w:r>
      <w:r w:rsidRPr="007B139B">
        <w:rPr>
          <w:i/>
          <w:iCs/>
          <w:lang w:val="mi-NZ"/>
        </w:rPr>
        <w:t>Practices</w:t>
      </w:r>
      <w:r w:rsidR="003D640C" w:rsidRPr="007B139B">
        <w:rPr>
          <w:i/>
          <w:iCs/>
          <w:lang w:val="mi-NZ"/>
        </w:rPr>
        <w:t xml:space="preserve"> </w:t>
      </w:r>
      <w:r w:rsidRPr="007B139B">
        <w:rPr>
          <w:i/>
          <w:iCs/>
          <w:lang w:val="mi-NZ"/>
        </w:rPr>
        <w:t>Prohibit</w:t>
      </w:r>
      <w:r w:rsidR="00A44E61" w:rsidRPr="007B139B">
        <w:rPr>
          <w:i/>
          <w:iCs/>
          <w:lang w:val="mi-NZ"/>
        </w:rPr>
        <w:t>i</w:t>
      </w:r>
      <w:r w:rsidRPr="007B139B">
        <w:rPr>
          <w:i/>
          <w:iCs/>
          <w:lang w:val="mi-NZ"/>
        </w:rPr>
        <w:t>on</w:t>
      </w:r>
      <w:r w:rsidR="003D640C" w:rsidRPr="007B139B">
        <w:rPr>
          <w:i/>
          <w:iCs/>
          <w:lang w:val="mi-NZ"/>
        </w:rPr>
        <w:t xml:space="preserve"> </w:t>
      </w:r>
      <w:r w:rsidRPr="007B139B">
        <w:rPr>
          <w:i/>
          <w:iCs/>
          <w:lang w:val="mi-NZ"/>
        </w:rPr>
        <w:t>Legislation</w:t>
      </w:r>
      <w:r w:rsidR="003D640C" w:rsidRPr="007B139B">
        <w:rPr>
          <w:i/>
          <w:iCs/>
          <w:lang w:val="mi-NZ"/>
        </w:rPr>
        <w:t xml:space="preserve"> </w:t>
      </w:r>
      <w:r w:rsidRPr="007B139B">
        <w:rPr>
          <w:i/>
          <w:iCs/>
          <w:lang w:val="mi-NZ"/>
        </w:rPr>
        <w:t>Bill</w:t>
      </w:r>
      <w:r w:rsidR="00A929D2">
        <w:rPr>
          <w:i/>
          <w:iCs/>
          <w:lang w:val="mi-NZ"/>
        </w:rPr>
        <w:t>:</w:t>
      </w:r>
      <w:r w:rsidR="003D640C" w:rsidRPr="007B139B">
        <w:rPr>
          <w:i/>
          <w:iCs/>
          <w:lang w:val="mi-NZ"/>
        </w:rPr>
        <w:t xml:space="preserve"> </w:t>
      </w:r>
      <w:r w:rsidR="00EC3CF2" w:rsidRPr="007B139B">
        <w:rPr>
          <w:i/>
          <w:iCs/>
          <w:lang w:val="mi-NZ"/>
        </w:rPr>
        <w:t>Submission of the Human Rights Commission</w:t>
      </w:r>
      <w:r w:rsidR="00975952">
        <w:rPr>
          <w:lang w:val="mi-NZ"/>
        </w:rPr>
        <w:t xml:space="preserve"> (p. 28)</w:t>
      </w:r>
      <w:r>
        <w:rPr>
          <w:lang w:val="mi-NZ"/>
        </w:rPr>
        <w:t>.</w:t>
      </w:r>
      <w:r w:rsidR="003D640C">
        <w:rPr>
          <w:lang w:val="mi-NZ"/>
        </w:rPr>
        <w:t xml:space="preserve"> </w:t>
      </w:r>
    </w:p>
  </w:footnote>
  <w:footnote w:id="61">
    <w:p w14:paraId="6EBA1B82" w14:textId="61458FD8" w:rsidR="00090097" w:rsidRDefault="00090097" w:rsidP="00E00167">
      <w:pPr>
        <w:pStyle w:val="FootnoteText"/>
      </w:pPr>
      <w:r>
        <w:rPr>
          <w:rStyle w:val="FootnoteReference"/>
        </w:rPr>
        <w:footnoteRef/>
      </w:r>
      <w:r w:rsidR="003D640C">
        <w:t xml:space="preserve"> </w:t>
      </w:r>
      <w:r w:rsidR="00DC44EC">
        <w:t>International Commission of Jurists, 20</w:t>
      </w:r>
      <w:r w:rsidR="00D80037">
        <w:t>0</w:t>
      </w:r>
      <w:r w:rsidR="00DC44EC">
        <w:t>7,</w:t>
      </w:r>
      <w:r w:rsidR="003D640C">
        <w:t xml:space="preserve"> </w:t>
      </w:r>
      <w:r w:rsidR="00D64AEC" w:rsidRPr="00D64AEC">
        <w:t>Principle</w:t>
      </w:r>
      <w:r w:rsidR="003D640C">
        <w:t xml:space="preserve"> </w:t>
      </w:r>
      <w:r w:rsidR="00D64AEC" w:rsidRPr="00D64AEC">
        <w:t>17</w:t>
      </w:r>
      <w:r w:rsidR="00DC44EC">
        <w:t>.</w:t>
      </w:r>
    </w:p>
  </w:footnote>
  <w:footnote w:id="62">
    <w:p w14:paraId="196728EF" w14:textId="243BA974" w:rsidR="00FF55D8" w:rsidRDefault="00FF55D8" w:rsidP="00E00167">
      <w:pPr>
        <w:pStyle w:val="FootnoteText"/>
      </w:pPr>
      <w:r>
        <w:rPr>
          <w:rStyle w:val="FootnoteReference"/>
        </w:rPr>
        <w:footnoteRef/>
      </w:r>
      <w:r w:rsidR="003D640C">
        <w:t xml:space="preserve"> </w:t>
      </w:r>
      <w:r>
        <w:t>Carroll,</w:t>
      </w:r>
      <w:r w:rsidR="003D640C">
        <w:t xml:space="preserve"> </w:t>
      </w:r>
      <w:r>
        <w:t>R.,</w:t>
      </w:r>
      <w:r w:rsidR="003D640C">
        <w:t xml:space="preserve"> </w:t>
      </w:r>
      <w:r>
        <w:t>Nicholls,</w:t>
      </w:r>
      <w:r w:rsidR="003D640C">
        <w:t xml:space="preserve"> </w:t>
      </w:r>
      <w:r>
        <w:t>R.,</w:t>
      </w:r>
      <w:r w:rsidR="003D640C">
        <w:t xml:space="preserve"> </w:t>
      </w:r>
      <w:r>
        <w:t>Carroll,</w:t>
      </w:r>
      <w:r w:rsidR="003D640C">
        <w:t xml:space="preserve"> </w:t>
      </w:r>
      <w:r>
        <w:t>R.</w:t>
      </w:r>
      <w:r w:rsidR="003D640C">
        <w:t xml:space="preserve"> </w:t>
      </w:r>
      <w:r>
        <w:t>W.,</w:t>
      </w:r>
      <w:r w:rsidR="003D640C">
        <w:t xml:space="preserve"> </w:t>
      </w:r>
      <w:r>
        <w:t>Bullock,</w:t>
      </w:r>
      <w:r w:rsidR="003D640C">
        <w:t xml:space="preserve"> </w:t>
      </w:r>
      <w:r>
        <w:t>J.,</w:t>
      </w:r>
      <w:r w:rsidR="003D640C">
        <w:t xml:space="preserve"> </w:t>
      </w:r>
      <w:r>
        <w:t>Reid,</w:t>
      </w:r>
      <w:r w:rsidR="003D640C">
        <w:t xml:space="preserve"> </w:t>
      </w:r>
      <w:r>
        <w:t>D.,</w:t>
      </w:r>
      <w:r w:rsidR="003D640C">
        <w:t xml:space="preserve"> </w:t>
      </w:r>
      <w:r>
        <w:t>Shields,</w:t>
      </w:r>
      <w:r w:rsidR="003D640C">
        <w:t xml:space="preserve"> </w:t>
      </w:r>
      <w:r>
        <w:t>J.,</w:t>
      </w:r>
      <w:r w:rsidR="003D640C">
        <w:t xml:space="preserve"> </w:t>
      </w:r>
      <w:r>
        <w:t>Johnson,</w:t>
      </w:r>
      <w:r w:rsidR="003D640C">
        <w:t xml:space="preserve"> </w:t>
      </w:r>
      <w:r>
        <w:t>R.,</w:t>
      </w:r>
      <w:r w:rsidR="003D640C">
        <w:t xml:space="preserve"> </w:t>
      </w:r>
      <w:r>
        <w:t>Oliphant,</w:t>
      </w:r>
      <w:r w:rsidR="003D640C">
        <w:t xml:space="preserve"> </w:t>
      </w:r>
      <w:r>
        <w:t>J.,</w:t>
      </w:r>
      <w:r w:rsidR="003D640C">
        <w:t xml:space="preserve"> </w:t>
      </w:r>
      <w:r>
        <w:t>McElrea,</w:t>
      </w:r>
      <w:r w:rsidR="003D640C">
        <w:t xml:space="preserve"> </w:t>
      </w:r>
      <w:r>
        <w:t>E.,</w:t>
      </w:r>
      <w:r w:rsidR="003D640C">
        <w:t xml:space="preserve"> </w:t>
      </w:r>
      <w:r>
        <w:t>Whitfield,</w:t>
      </w:r>
      <w:r w:rsidR="003D640C">
        <w:t xml:space="preserve"> </w:t>
      </w:r>
      <w:r>
        <w:t>P.,</w:t>
      </w:r>
      <w:r w:rsidR="003D640C">
        <w:t xml:space="preserve"> </w:t>
      </w:r>
      <w:r>
        <w:t>&amp;</w:t>
      </w:r>
      <w:r w:rsidR="003D640C">
        <w:t xml:space="preserve"> </w:t>
      </w:r>
      <w:r>
        <w:t>Veale,</w:t>
      </w:r>
      <w:r w:rsidR="003D640C">
        <w:t xml:space="preserve"> </w:t>
      </w:r>
      <w:r>
        <w:t>J.</w:t>
      </w:r>
      <w:r w:rsidR="003D640C">
        <w:t xml:space="preserve"> </w:t>
      </w:r>
      <w:r>
        <w:t>(2023).</w:t>
      </w:r>
      <w:r w:rsidR="003D640C">
        <w:t xml:space="preserve"> </w:t>
      </w:r>
      <w:r w:rsidRPr="00480774">
        <w:rPr>
          <w:i/>
          <w:iCs/>
        </w:rPr>
        <w:t>Primary</w:t>
      </w:r>
      <w:r w:rsidR="003D640C">
        <w:rPr>
          <w:i/>
          <w:iCs/>
        </w:rPr>
        <w:t xml:space="preserve"> </w:t>
      </w:r>
      <w:r>
        <w:rPr>
          <w:i/>
          <w:iCs/>
        </w:rPr>
        <w:t>c</w:t>
      </w:r>
      <w:r w:rsidRPr="00480774">
        <w:rPr>
          <w:i/>
          <w:iCs/>
        </w:rPr>
        <w:t>are</w:t>
      </w:r>
      <w:r w:rsidR="003D640C">
        <w:rPr>
          <w:i/>
          <w:iCs/>
        </w:rPr>
        <w:t xml:space="preserve"> </w:t>
      </w:r>
      <w:r>
        <w:rPr>
          <w:i/>
          <w:iCs/>
        </w:rPr>
        <w:t>g</w:t>
      </w:r>
      <w:r w:rsidRPr="00480774">
        <w:rPr>
          <w:i/>
          <w:iCs/>
        </w:rPr>
        <w:t>ender</w:t>
      </w:r>
      <w:r w:rsidR="003D640C">
        <w:rPr>
          <w:i/>
          <w:iCs/>
        </w:rPr>
        <w:t xml:space="preserve"> </w:t>
      </w:r>
      <w:r>
        <w:rPr>
          <w:i/>
          <w:iCs/>
        </w:rPr>
        <w:t>a</w:t>
      </w:r>
      <w:r w:rsidRPr="00480774">
        <w:rPr>
          <w:i/>
          <w:iCs/>
        </w:rPr>
        <w:t>ffirming</w:t>
      </w:r>
      <w:r w:rsidR="003D640C">
        <w:rPr>
          <w:i/>
          <w:iCs/>
        </w:rPr>
        <w:t xml:space="preserve"> </w:t>
      </w:r>
      <w:r>
        <w:rPr>
          <w:i/>
          <w:iCs/>
        </w:rPr>
        <w:t>h</w:t>
      </w:r>
      <w:r w:rsidRPr="00480774">
        <w:rPr>
          <w:i/>
          <w:iCs/>
        </w:rPr>
        <w:t>ormone</w:t>
      </w:r>
      <w:r w:rsidR="003D640C">
        <w:rPr>
          <w:i/>
          <w:iCs/>
        </w:rPr>
        <w:t xml:space="preserve"> </w:t>
      </w:r>
      <w:r>
        <w:rPr>
          <w:i/>
          <w:iCs/>
        </w:rPr>
        <w:t>t</w:t>
      </w:r>
      <w:r w:rsidRPr="00480774">
        <w:rPr>
          <w:i/>
          <w:iCs/>
        </w:rPr>
        <w:t>herapy</w:t>
      </w:r>
      <w:r w:rsidR="003D640C">
        <w:rPr>
          <w:i/>
          <w:iCs/>
        </w:rPr>
        <w:t xml:space="preserve"> </w:t>
      </w:r>
      <w:r>
        <w:rPr>
          <w:i/>
          <w:iCs/>
        </w:rPr>
        <w:t>i</w:t>
      </w:r>
      <w:r w:rsidRPr="00480774">
        <w:rPr>
          <w:i/>
          <w:iCs/>
        </w:rPr>
        <w:t>nitiation</w:t>
      </w:r>
      <w:r w:rsidR="003D640C">
        <w:rPr>
          <w:i/>
          <w:iCs/>
        </w:rPr>
        <w:t xml:space="preserve"> </w:t>
      </w:r>
      <w:r>
        <w:rPr>
          <w:i/>
          <w:iCs/>
        </w:rPr>
        <w:t>g</w:t>
      </w:r>
      <w:r w:rsidRPr="00480774">
        <w:rPr>
          <w:i/>
          <w:iCs/>
        </w:rPr>
        <w:t>uidelines.</w:t>
      </w:r>
      <w:r w:rsidR="003D640C">
        <w:t xml:space="preserve"> </w:t>
      </w:r>
    </w:p>
  </w:footnote>
  <w:footnote w:id="63">
    <w:p w14:paraId="259A2853" w14:textId="387934E2" w:rsidR="00FF55D8" w:rsidRPr="00815D36" w:rsidRDefault="00FF55D8" w:rsidP="00E00167">
      <w:pPr>
        <w:pStyle w:val="FootnoteText"/>
      </w:pPr>
      <w:r>
        <w:rPr>
          <w:rStyle w:val="FootnoteReference"/>
        </w:rPr>
        <w:footnoteRef/>
      </w:r>
      <w:r w:rsidR="003D640C">
        <w:t xml:space="preserve"> </w:t>
      </w:r>
      <w:r>
        <w:t>New</w:t>
      </w:r>
      <w:r w:rsidR="003D640C">
        <w:t xml:space="preserve"> </w:t>
      </w:r>
      <w:r>
        <w:t>Zealand</w:t>
      </w:r>
      <w:r w:rsidR="003D640C">
        <w:t xml:space="preserve"> </w:t>
      </w:r>
      <w:r>
        <w:t>Psychological</w:t>
      </w:r>
      <w:r w:rsidR="003D640C">
        <w:t xml:space="preserve"> </w:t>
      </w:r>
      <w:r>
        <w:t>Society</w:t>
      </w:r>
      <w:r w:rsidR="00772CF7">
        <w:t xml:space="preserve"> |</w:t>
      </w:r>
      <w:r w:rsidR="003D640C">
        <w:t xml:space="preserve"> </w:t>
      </w:r>
      <w:r>
        <w:t>R</w:t>
      </w:r>
      <w:r>
        <w:rPr>
          <w:lang w:val="mi-NZ"/>
        </w:rPr>
        <w:t>ōpū</w:t>
      </w:r>
      <w:r w:rsidR="003D640C">
        <w:rPr>
          <w:lang w:val="mi-NZ"/>
        </w:rPr>
        <w:t xml:space="preserve"> </w:t>
      </w:r>
      <w:r>
        <w:rPr>
          <w:lang w:val="mi-NZ"/>
        </w:rPr>
        <w:t>Mātai</w:t>
      </w:r>
      <w:r w:rsidR="003D640C">
        <w:rPr>
          <w:lang w:val="mi-NZ"/>
        </w:rPr>
        <w:t xml:space="preserve"> </w:t>
      </w:r>
      <w:r>
        <w:rPr>
          <w:lang w:val="mi-NZ"/>
        </w:rPr>
        <w:t>Hinengaro</w:t>
      </w:r>
      <w:r w:rsidR="003D640C">
        <w:rPr>
          <w:lang w:val="mi-NZ"/>
        </w:rPr>
        <w:t xml:space="preserve"> </w:t>
      </w:r>
      <w:r>
        <w:rPr>
          <w:lang w:val="mi-NZ"/>
        </w:rPr>
        <w:t>o</w:t>
      </w:r>
      <w:r w:rsidR="003D640C">
        <w:rPr>
          <w:lang w:val="mi-NZ"/>
        </w:rPr>
        <w:t xml:space="preserve"> </w:t>
      </w:r>
      <w:r>
        <w:rPr>
          <w:lang w:val="mi-NZ"/>
        </w:rPr>
        <w:t>Aotearoa</w:t>
      </w:r>
      <w:r>
        <w:t>.</w:t>
      </w:r>
      <w:r w:rsidR="003D640C">
        <w:t xml:space="preserve"> </w:t>
      </w:r>
      <w:r>
        <w:t>(n.d.</w:t>
      </w:r>
      <w:r w:rsidR="00D74D83">
        <w:t>a</w:t>
      </w:r>
      <w:r>
        <w:t>).</w:t>
      </w:r>
      <w:r w:rsidR="003D640C">
        <w:t xml:space="preserve"> </w:t>
      </w:r>
      <w:r w:rsidRPr="007B139B">
        <w:rPr>
          <w:i/>
          <w:iCs/>
        </w:rPr>
        <w:t>Position</w:t>
      </w:r>
      <w:r w:rsidR="003D640C" w:rsidRPr="007B139B">
        <w:rPr>
          <w:i/>
          <w:iCs/>
        </w:rPr>
        <w:t xml:space="preserve"> </w:t>
      </w:r>
      <w:r w:rsidR="006F5D61" w:rsidRPr="007B139B">
        <w:rPr>
          <w:i/>
          <w:iCs/>
        </w:rPr>
        <w:t>s</w:t>
      </w:r>
      <w:r w:rsidRPr="007B139B">
        <w:rPr>
          <w:i/>
          <w:iCs/>
        </w:rPr>
        <w:t>tatement</w:t>
      </w:r>
      <w:r w:rsidR="003D640C" w:rsidRPr="007B139B">
        <w:rPr>
          <w:i/>
          <w:iCs/>
        </w:rPr>
        <w:t xml:space="preserve"> </w:t>
      </w:r>
      <w:r w:rsidRPr="007B139B">
        <w:rPr>
          <w:i/>
          <w:iCs/>
        </w:rPr>
        <w:t>on</w:t>
      </w:r>
      <w:r w:rsidR="003D640C" w:rsidRPr="007B139B">
        <w:rPr>
          <w:i/>
          <w:iCs/>
        </w:rPr>
        <w:t xml:space="preserve"> </w:t>
      </w:r>
      <w:r w:rsidRPr="007B139B">
        <w:rPr>
          <w:i/>
          <w:iCs/>
        </w:rPr>
        <w:t>“</w:t>
      </w:r>
      <w:r w:rsidR="006F5D61" w:rsidRPr="007B139B">
        <w:rPr>
          <w:i/>
          <w:iCs/>
        </w:rPr>
        <w:t>c</w:t>
      </w:r>
      <w:r w:rsidRPr="007B139B">
        <w:rPr>
          <w:i/>
          <w:iCs/>
        </w:rPr>
        <w:t>onversion</w:t>
      </w:r>
      <w:r w:rsidR="003D640C" w:rsidRPr="007B139B">
        <w:rPr>
          <w:i/>
          <w:iCs/>
        </w:rPr>
        <w:t xml:space="preserve"> </w:t>
      </w:r>
      <w:r w:rsidR="006F5D61" w:rsidRPr="007B139B">
        <w:rPr>
          <w:i/>
          <w:iCs/>
        </w:rPr>
        <w:t>t</w:t>
      </w:r>
      <w:r w:rsidRPr="007B139B">
        <w:rPr>
          <w:i/>
          <w:iCs/>
        </w:rPr>
        <w:t>herapy”</w:t>
      </w:r>
      <w:r w:rsidR="00D74D83">
        <w:t>;</w:t>
      </w:r>
      <w:r w:rsidR="003D640C">
        <w:t xml:space="preserve"> </w:t>
      </w:r>
      <w:r w:rsidR="00D74D83">
        <w:t>New Zealand College of Clinical Psychologists | Te Whare W</w:t>
      </w:r>
      <w:r w:rsidR="00D74D83">
        <w:rPr>
          <w:lang w:val="mi-NZ"/>
        </w:rPr>
        <w:t xml:space="preserve">ānanga o te Mātauranga Hinengaro. (2021). </w:t>
      </w:r>
      <w:r w:rsidR="00D74D83" w:rsidRPr="00063D74">
        <w:rPr>
          <w:i/>
          <w:iCs/>
        </w:rPr>
        <w:t>Conversion</w:t>
      </w:r>
      <w:r w:rsidR="00D74D83">
        <w:rPr>
          <w:i/>
          <w:iCs/>
        </w:rPr>
        <w:t xml:space="preserve"> </w:t>
      </w:r>
      <w:r w:rsidR="00D74D83" w:rsidRPr="00063D74">
        <w:rPr>
          <w:i/>
          <w:iCs/>
        </w:rPr>
        <w:t>Practices</w:t>
      </w:r>
      <w:r w:rsidR="00D74D83">
        <w:rPr>
          <w:i/>
          <w:iCs/>
        </w:rPr>
        <w:t xml:space="preserve"> </w:t>
      </w:r>
      <w:r w:rsidR="00D74D83" w:rsidRPr="00063D74">
        <w:rPr>
          <w:i/>
          <w:iCs/>
        </w:rPr>
        <w:t>Prohibition</w:t>
      </w:r>
      <w:r w:rsidR="00D74D83">
        <w:rPr>
          <w:i/>
          <w:iCs/>
        </w:rPr>
        <w:t xml:space="preserve"> </w:t>
      </w:r>
      <w:r w:rsidR="00D74D83" w:rsidRPr="00063D74">
        <w:rPr>
          <w:i/>
          <w:iCs/>
        </w:rPr>
        <w:t>Legislation</w:t>
      </w:r>
      <w:r w:rsidR="00D74D83">
        <w:rPr>
          <w:i/>
          <w:iCs/>
        </w:rPr>
        <w:t xml:space="preserve"> </w:t>
      </w:r>
      <w:r w:rsidR="00D74D83" w:rsidRPr="00063D74">
        <w:rPr>
          <w:i/>
          <w:iCs/>
        </w:rPr>
        <w:t>Bill</w:t>
      </w:r>
      <w:r w:rsidR="00D74D83">
        <w:rPr>
          <w:i/>
          <w:iCs/>
        </w:rPr>
        <w:t xml:space="preserve">: </w:t>
      </w:r>
      <w:r w:rsidR="00D74D83" w:rsidRPr="00063D74">
        <w:rPr>
          <w:i/>
          <w:iCs/>
        </w:rPr>
        <w:t>Submission</w:t>
      </w:r>
      <w:r w:rsidR="00D74D83">
        <w:rPr>
          <w:i/>
          <w:iCs/>
        </w:rPr>
        <w:t xml:space="preserve"> </w:t>
      </w:r>
      <w:r w:rsidR="00D74D83" w:rsidRPr="00063D74">
        <w:rPr>
          <w:i/>
          <w:iCs/>
        </w:rPr>
        <w:t>to</w:t>
      </w:r>
      <w:r w:rsidR="00D74D83">
        <w:rPr>
          <w:i/>
          <w:iCs/>
        </w:rPr>
        <w:t xml:space="preserve"> </w:t>
      </w:r>
      <w:r w:rsidR="00D74D83" w:rsidRPr="00063D74">
        <w:rPr>
          <w:i/>
          <w:iCs/>
        </w:rPr>
        <w:t>the</w:t>
      </w:r>
      <w:r w:rsidR="00D74D83">
        <w:rPr>
          <w:i/>
          <w:iCs/>
        </w:rPr>
        <w:t xml:space="preserve"> </w:t>
      </w:r>
      <w:r w:rsidR="00D74D83" w:rsidRPr="00063D74">
        <w:rPr>
          <w:i/>
          <w:iCs/>
        </w:rPr>
        <w:t>Justice</w:t>
      </w:r>
      <w:r w:rsidR="00D74D83">
        <w:rPr>
          <w:i/>
          <w:iCs/>
        </w:rPr>
        <w:t xml:space="preserve"> </w:t>
      </w:r>
      <w:r w:rsidR="00D74D83" w:rsidRPr="00063D74">
        <w:rPr>
          <w:i/>
          <w:iCs/>
        </w:rPr>
        <w:t>Select</w:t>
      </w:r>
      <w:r w:rsidR="00D74D83">
        <w:rPr>
          <w:i/>
          <w:iCs/>
        </w:rPr>
        <w:t xml:space="preserve"> </w:t>
      </w:r>
      <w:r w:rsidR="00D74D83" w:rsidRPr="00063D74">
        <w:rPr>
          <w:i/>
          <w:iCs/>
        </w:rPr>
        <w:t>Committee</w:t>
      </w:r>
      <w:r w:rsidR="00D74D83">
        <w:t xml:space="preserve">; The Royal Australian &amp; New Zealand College of Psychiatrists. (2019). </w:t>
      </w:r>
      <w:r w:rsidR="00D74D83" w:rsidRPr="007A1CC0">
        <w:rPr>
          <w:i/>
          <w:iCs/>
        </w:rPr>
        <w:t>Sexual</w:t>
      </w:r>
      <w:r w:rsidR="00D74D83">
        <w:rPr>
          <w:i/>
          <w:iCs/>
        </w:rPr>
        <w:t xml:space="preserve"> o</w:t>
      </w:r>
      <w:r w:rsidR="00D74D83" w:rsidRPr="007A1CC0">
        <w:rPr>
          <w:i/>
          <w:iCs/>
        </w:rPr>
        <w:t>rientation</w:t>
      </w:r>
      <w:r w:rsidR="00D74D83">
        <w:rPr>
          <w:i/>
          <w:iCs/>
        </w:rPr>
        <w:t xml:space="preserve"> c</w:t>
      </w:r>
      <w:r w:rsidR="00D74D83" w:rsidRPr="007A1CC0">
        <w:rPr>
          <w:i/>
          <w:iCs/>
        </w:rPr>
        <w:t>hange</w:t>
      </w:r>
      <w:r w:rsidR="00D74D83">
        <w:rPr>
          <w:i/>
          <w:iCs/>
        </w:rPr>
        <w:t xml:space="preserve"> e</w:t>
      </w:r>
      <w:r w:rsidR="00D74D83" w:rsidRPr="007A1CC0">
        <w:rPr>
          <w:i/>
          <w:iCs/>
        </w:rPr>
        <w:t>fforts</w:t>
      </w:r>
      <w:r w:rsidR="00D74D83">
        <w:t xml:space="preserve">; New Zealand Association of Counsellors. (2020). </w:t>
      </w:r>
      <w:r w:rsidR="00D74D83" w:rsidRPr="005C53B1">
        <w:rPr>
          <w:i/>
          <w:iCs/>
        </w:rPr>
        <w:t>NZCCA’s</w:t>
      </w:r>
      <w:r w:rsidR="00D74D83">
        <w:rPr>
          <w:i/>
          <w:iCs/>
        </w:rPr>
        <w:t xml:space="preserve"> s</w:t>
      </w:r>
      <w:r w:rsidR="00D74D83" w:rsidRPr="005C53B1">
        <w:rPr>
          <w:i/>
          <w:iCs/>
        </w:rPr>
        <w:t>tance</w:t>
      </w:r>
      <w:r w:rsidR="00D74D83">
        <w:rPr>
          <w:i/>
          <w:iCs/>
        </w:rPr>
        <w:t xml:space="preserve"> </w:t>
      </w:r>
      <w:r w:rsidR="00D74D83" w:rsidRPr="005C53B1">
        <w:rPr>
          <w:i/>
          <w:iCs/>
        </w:rPr>
        <w:t>on</w:t>
      </w:r>
      <w:r w:rsidR="00D74D83">
        <w:rPr>
          <w:i/>
          <w:iCs/>
        </w:rPr>
        <w:t xml:space="preserve"> c</w:t>
      </w:r>
      <w:r w:rsidR="00D74D83" w:rsidRPr="005C53B1">
        <w:rPr>
          <w:i/>
          <w:iCs/>
        </w:rPr>
        <w:t>onversion</w:t>
      </w:r>
      <w:r w:rsidR="00D74D83">
        <w:rPr>
          <w:i/>
          <w:iCs/>
        </w:rPr>
        <w:t xml:space="preserve"> p</w:t>
      </w:r>
      <w:r w:rsidR="00D74D83" w:rsidRPr="005C53B1">
        <w:rPr>
          <w:i/>
          <w:iCs/>
        </w:rPr>
        <w:t>ractices.</w:t>
      </w:r>
      <w:r w:rsidR="00D74D83">
        <w:t xml:space="preserve"> </w:t>
      </w:r>
    </w:p>
  </w:footnote>
  <w:footnote w:id="64">
    <w:p w14:paraId="199CD785" w14:textId="1F748716" w:rsidR="003F08CC" w:rsidRDefault="003F08CC" w:rsidP="00E00167">
      <w:pPr>
        <w:pStyle w:val="FootnoteText"/>
      </w:pPr>
      <w:r>
        <w:rPr>
          <w:rStyle w:val="FootnoteReference"/>
        </w:rPr>
        <w:footnoteRef/>
      </w:r>
      <w:r w:rsidR="003D640C">
        <w:t xml:space="preserve"> </w:t>
      </w:r>
      <w:r w:rsidR="005976E3">
        <w:t>This</w:t>
      </w:r>
      <w:r w:rsidR="003D640C">
        <w:t xml:space="preserve"> </w:t>
      </w:r>
      <w:r w:rsidR="005976E3">
        <w:t>exception</w:t>
      </w:r>
      <w:r w:rsidR="003D640C">
        <w:t xml:space="preserve"> </w:t>
      </w:r>
      <w:r w:rsidR="005976E3">
        <w:t>was</w:t>
      </w:r>
      <w:r w:rsidR="003D640C">
        <w:t xml:space="preserve"> </w:t>
      </w:r>
      <w:r w:rsidR="00B110BC">
        <w:t>maintained</w:t>
      </w:r>
      <w:r w:rsidR="003D640C">
        <w:t xml:space="preserve"> </w:t>
      </w:r>
      <w:r w:rsidR="005976E3">
        <w:t>when</w:t>
      </w:r>
      <w:r w:rsidR="003D640C">
        <w:t xml:space="preserve"> </w:t>
      </w:r>
      <w:r w:rsidR="005976E3">
        <w:t>the</w:t>
      </w:r>
      <w:r w:rsidR="003D640C">
        <w:t xml:space="preserve"> </w:t>
      </w:r>
      <w:r w:rsidR="005976E3">
        <w:t>Bill</w:t>
      </w:r>
      <w:r w:rsidR="003D640C">
        <w:t xml:space="preserve"> </w:t>
      </w:r>
      <w:r w:rsidR="005976E3">
        <w:t>passed</w:t>
      </w:r>
      <w:r w:rsidR="003D640C">
        <w:t xml:space="preserve"> </w:t>
      </w:r>
      <w:r w:rsidR="005976E3">
        <w:t>into</w:t>
      </w:r>
      <w:r w:rsidR="003D640C">
        <w:t xml:space="preserve"> </w:t>
      </w:r>
      <w:r w:rsidR="005976E3">
        <w:t>law</w:t>
      </w:r>
      <w:r w:rsidR="003D640C">
        <w:t xml:space="preserve"> </w:t>
      </w:r>
      <w:r w:rsidR="00B51EBC">
        <w:t>in</w:t>
      </w:r>
      <w:r w:rsidR="003D640C">
        <w:t xml:space="preserve"> </w:t>
      </w:r>
      <w:r>
        <w:t>section</w:t>
      </w:r>
      <w:r w:rsidR="003D640C">
        <w:t xml:space="preserve"> </w:t>
      </w:r>
      <w:r w:rsidR="006E0F54">
        <w:t>5(2)(f)</w:t>
      </w:r>
      <w:r w:rsidR="003D640C">
        <w:t xml:space="preserve"> </w:t>
      </w:r>
      <w:r w:rsidR="00B51EBC">
        <w:t>of</w:t>
      </w:r>
      <w:r w:rsidR="003D640C">
        <w:t xml:space="preserve"> </w:t>
      </w:r>
      <w:r w:rsidR="00B51EBC">
        <w:t>the</w:t>
      </w:r>
      <w:r w:rsidR="003D640C">
        <w:t xml:space="preserve"> </w:t>
      </w:r>
      <w:r w:rsidR="00B51EBC">
        <w:t>CPPLA</w:t>
      </w:r>
      <w:r w:rsidR="006A2ED6">
        <w:t>.</w:t>
      </w:r>
    </w:p>
  </w:footnote>
  <w:footnote w:id="65">
    <w:p w14:paraId="1E76D3A4" w14:textId="53CE0704" w:rsidR="05070126" w:rsidRDefault="05070126" w:rsidP="00E00167">
      <w:pPr>
        <w:pStyle w:val="FootnoteText"/>
      </w:pPr>
      <w:r w:rsidRPr="05070126">
        <w:rPr>
          <w:rStyle w:val="FootnoteReference"/>
        </w:rPr>
        <w:footnoteRef/>
      </w:r>
      <w:r w:rsidR="003D640C">
        <w:t xml:space="preserve"> </w:t>
      </w:r>
      <w:r w:rsidR="00352EC8">
        <w:t>United</w:t>
      </w:r>
      <w:r w:rsidR="003D640C">
        <w:t xml:space="preserve"> </w:t>
      </w:r>
      <w:r w:rsidR="00352EC8">
        <w:t>Nations</w:t>
      </w:r>
      <w:r w:rsidR="003D640C">
        <w:t xml:space="preserve"> </w:t>
      </w:r>
      <w:r w:rsidR="00352EC8">
        <w:t>Human</w:t>
      </w:r>
      <w:r w:rsidR="003D640C">
        <w:t xml:space="preserve"> </w:t>
      </w:r>
      <w:r w:rsidR="00352EC8">
        <w:t>Rights</w:t>
      </w:r>
      <w:r w:rsidR="003D640C">
        <w:t xml:space="preserve"> </w:t>
      </w:r>
      <w:r w:rsidR="00352EC8">
        <w:t>Council</w:t>
      </w:r>
      <w:r w:rsidR="00E37B4B">
        <w:t>,</w:t>
      </w:r>
      <w:r w:rsidR="003D640C">
        <w:t xml:space="preserve"> </w:t>
      </w:r>
      <w:r w:rsidR="00352EC8">
        <w:t>2020</w:t>
      </w:r>
      <w:r w:rsidR="00E37B4B">
        <w:t>,</w:t>
      </w:r>
      <w:r w:rsidR="003D640C">
        <w:t xml:space="preserve"> </w:t>
      </w:r>
      <w:r w:rsidR="00E37B4B">
        <w:t>p. 16.</w:t>
      </w:r>
      <w:r w:rsidR="003D640C">
        <w:t xml:space="preserve"> </w:t>
      </w:r>
    </w:p>
  </w:footnote>
  <w:footnote w:id="66">
    <w:p w14:paraId="5F133F3F" w14:textId="21F012C0" w:rsidR="009B0BA9" w:rsidRDefault="009B0BA9" w:rsidP="00E00167">
      <w:pPr>
        <w:pStyle w:val="FootnoteText"/>
      </w:pPr>
      <w:r>
        <w:rPr>
          <w:rStyle w:val="FootnoteReference"/>
        </w:rPr>
        <w:footnoteRef/>
      </w:r>
      <w:r w:rsidR="003D640C">
        <w:t xml:space="preserve"> </w:t>
      </w:r>
      <w:r>
        <w:t>Examples</w:t>
      </w:r>
      <w:r w:rsidR="003D640C">
        <w:t xml:space="preserve"> </w:t>
      </w:r>
      <w:r w:rsidR="002E7A1A">
        <w:t>of</w:t>
      </w:r>
      <w:r w:rsidR="003D640C">
        <w:t xml:space="preserve"> </w:t>
      </w:r>
      <w:r w:rsidR="002E7A1A">
        <w:t>laws</w:t>
      </w:r>
      <w:r w:rsidR="003D640C">
        <w:t xml:space="preserve"> </w:t>
      </w:r>
      <w:r w:rsidR="002E7A1A">
        <w:t>where</w:t>
      </w:r>
      <w:r w:rsidR="003D640C">
        <w:t xml:space="preserve"> </w:t>
      </w:r>
      <w:r w:rsidR="002E7A1A">
        <w:t>limit</w:t>
      </w:r>
      <w:r>
        <w:t>s</w:t>
      </w:r>
      <w:r w:rsidR="003D640C">
        <w:t xml:space="preserve"> </w:t>
      </w:r>
      <w:r>
        <w:t>have</w:t>
      </w:r>
      <w:r w:rsidR="003D640C">
        <w:t xml:space="preserve"> </w:t>
      </w:r>
      <w:r>
        <w:t>been</w:t>
      </w:r>
      <w:r w:rsidR="003D640C">
        <w:t xml:space="preserve"> </w:t>
      </w:r>
      <w:r>
        <w:t>placed</w:t>
      </w:r>
      <w:r w:rsidR="003D640C">
        <w:t xml:space="preserve"> </w:t>
      </w:r>
      <w:r>
        <w:t>on</w:t>
      </w:r>
      <w:r w:rsidR="003D640C">
        <w:t xml:space="preserve"> </w:t>
      </w:r>
      <w:r w:rsidR="00D3174E">
        <w:t>certain</w:t>
      </w:r>
      <w:r w:rsidR="003D640C">
        <w:t xml:space="preserve"> </w:t>
      </w:r>
      <w:r>
        <w:t>rights</w:t>
      </w:r>
      <w:r w:rsidR="003D640C">
        <w:t xml:space="preserve"> </w:t>
      </w:r>
      <w:r>
        <w:t>to</w:t>
      </w:r>
      <w:r w:rsidR="003D640C">
        <w:t xml:space="preserve"> </w:t>
      </w:r>
      <w:r>
        <w:t>prevent</w:t>
      </w:r>
      <w:r w:rsidR="003D640C">
        <w:t xml:space="preserve"> </w:t>
      </w:r>
      <w:r>
        <w:t>harm</w:t>
      </w:r>
      <w:r w:rsidR="003D640C">
        <w:t xml:space="preserve"> </w:t>
      </w:r>
      <w:r>
        <w:t>include</w:t>
      </w:r>
      <w:r w:rsidR="003D640C">
        <w:t xml:space="preserve"> </w:t>
      </w:r>
      <w:r w:rsidR="00C029B4">
        <w:t>laws</w:t>
      </w:r>
      <w:r w:rsidR="003D640C">
        <w:t xml:space="preserve"> </w:t>
      </w:r>
      <w:r w:rsidR="003D1A9E">
        <w:t>about</w:t>
      </w:r>
      <w:r>
        <w:t>:</w:t>
      </w:r>
      <w:r w:rsidDel="008E1CCA">
        <w:t xml:space="preserve"> </w:t>
      </w:r>
    </w:p>
    <w:p w14:paraId="63784ADF" w14:textId="120C119D" w:rsidR="00E86A1B" w:rsidRDefault="009B0BA9" w:rsidP="00E00167">
      <w:pPr>
        <w:pStyle w:val="FootnoteText"/>
        <w:numPr>
          <w:ilvl w:val="0"/>
          <w:numId w:val="103"/>
        </w:numPr>
      </w:pPr>
      <w:r>
        <w:t>racist</w:t>
      </w:r>
      <w:r w:rsidR="003D640C">
        <w:t xml:space="preserve"> </w:t>
      </w:r>
      <w:r>
        <w:t>hate</w:t>
      </w:r>
      <w:r w:rsidR="003D640C">
        <w:t xml:space="preserve"> </w:t>
      </w:r>
      <w:r>
        <w:t>speech</w:t>
      </w:r>
      <w:r w:rsidR="003D640C">
        <w:t xml:space="preserve"> </w:t>
      </w:r>
      <w:r>
        <w:t>(section</w:t>
      </w:r>
      <w:r w:rsidR="003D640C">
        <w:t xml:space="preserve"> </w:t>
      </w:r>
      <w:r>
        <w:t>61</w:t>
      </w:r>
      <w:r w:rsidR="003D640C">
        <w:t xml:space="preserve"> </w:t>
      </w:r>
      <w:r>
        <w:t>of</w:t>
      </w:r>
      <w:r w:rsidR="003D640C">
        <w:t xml:space="preserve"> </w:t>
      </w:r>
      <w:r>
        <w:t>the</w:t>
      </w:r>
      <w:r w:rsidR="003D640C">
        <w:t xml:space="preserve"> </w:t>
      </w:r>
      <w:r w:rsidR="00455E0E">
        <w:t>Human Rights Act</w:t>
      </w:r>
      <w:r>
        <w:t>)</w:t>
      </w:r>
    </w:p>
    <w:p w14:paraId="65A25F19" w14:textId="1E53ADC5" w:rsidR="00E86A1B" w:rsidRDefault="009B0BA9" w:rsidP="00E00167">
      <w:pPr>
        <w:pStyle w:val="FootnoteText"/>
        <w:numPr>
          <w:ilvl w:val="0"/>
          <w:numId w:val="103"/>
        </w:numPr>
      </w:pPr>
      <w:r>
        <w:t>withholding</w:t>
      </w:r>
      <w:r w:rsidR="003D640C">
        <w:t xml:space="preserve"> </w:t>
      </w:r>
      <w:r>
        <w:t>consent</w:t>
      </w:r>
      <w:r w:rsidR="003D640C">
        <w:t xml:space="preserve"> </w:t>
      </w:r>
      <w:r>
        <w:t>to</w:t>
      </w:r>
      <w:r w:rsidR="003D640C">
        <w:t xml:space="preserve"> </w:t>
      </w:r>
      <w:r>
        <w:t>medical</w:t>
      </w:r>
      <w:r w:rsidR="003D640C">
        <w:t xml:space="preserve"> </w:t>
      </w:r>
      <w:r>
        <w:t>treatment</w:t>
      </w:r>
      <w:r w:rsidR="00EE05A1">
        <w:t xml:space="preserve"> such as</w:t>
      </w:r>
      <w:r w:rsidR="003D640C" w:rsidDel="00EE05A1">
        <w:t xml:space="preserve"> </w:t>
      </w:r>
      <w:r>
        <w:t>blood</w:t>
      </w:r>
      <w:r w:rsidR="003D640C">
        <w:t xml:space="preserve"> </w:t>
      </w:r>
      <w:r>
        <w:t>transfusions</w:t>
      </w:r>
      <w:r w:rsidR="003D640C">
        <w:t xml:space="preserve"> </w:t>
      </w:r>
      <w:r>
        <w:t>in</w:t>
      </w:r>
      <w:r w:rsidR="003D640C">
        <w:t xml:space="preserve"> </w:t>
      </w:r>
      <w:r>
        <w:t>minors</w:t>
      </w:r>
      <w:r w:rsidR="003D640C">
        <w:t xml:space="preserve"> </w:t>
      </w:r>
      <w:r>
        <w:t>(section</w:t>
      </w:r>
      <w:r w:rsidR="003D640C">
        <w:t xml:space="preserve"> </w:t>
      </w:r>
      <w:r>
        <w:t>37</w:t>
      </w:r>
      <w:r w:rsidR="003D640C">
        <w:t xml:space="preserve"> </w:t>
      </w:r>
      <w:r>
        <w:t>of</w:t>
      </w:r>
      <w:r w:rsidR="003D640C">
        <w:t xml:space="preserve"> </w:t>
      </w:r>
      <w:r>
        <w:t>the</w:t>
      </w:r>
      <w:r w:rsidR="003D640C">
        <w:t xml:space="preserve"> </w:t>
      </w:r>
      <w:r>
        <w:t>Care</w:t>
      </w:r>
      <w:r w:rsidR="003D640C">
        <w:t xml:space="preserve"> </w:t>
      </w:r>
      <w:r>
        <w:t>of</w:t>
      </w:r>
      <w:r w:rsidR="003D640C">
        <w:t xml:space="preserve"> </w:t>
      </w:r>
      <w:r>
        <w:t>Children</w:t>
      </w:r>
      <w:r w:rsidR="003D640C">
        <w:t xml:space="preserve"> </w:t>
      </w:r>
      <w:r>
        <w:t>Act)</w:t>
      </w:r>
      <w:r w:rsidR="003D640C">
        <w:t xml:space="preserve"> </w:t>
      </w:r>
    </w:p>
    <w:p w14:paraId="4C877E45" w14:textId="75544FC1" w:rsidR="00E86A1B" w:rsidRDefault="009B0BA9" w:rsidP="00E00167">
      <w:pPr>
        <w:pStyle w:val="FootnoteText"/>
        <w:numPr>
          <w:ilvl w:val="0"/>
          <w:numId w:val="103"/>
        </w:numPr>
      </w:pPr>
      <w:r>
        <w:t>female</w:t>
      </w:r>
      <w:r w:rsidR="003D640C">
        <w:t xml:space="preserve"> </w:t>
      </w:r>
      <w:r>
        <w:t>genital</w:t>
      </w:r>
      <w:r w:rsidR="003D640C">
        <w:t xml:space="preserve"> </w:t>
      </w:r>
      <w:r>
        <w:t>mutilation</w:t>
      </w:r>
      <w:r w:rsidR="003D640C">
        <w:t xml:space="preserve"> </w:t>
      </w:r>
      <w:r>
        <w:t>(section</w:t>
      </w:r>
      <w:r w:rsidR="003D640C">
        <w:t xml:space="preserve"> </w:t>
      </w:r>
      <w:r>
        <w:t>204A(3)</w:t>
      </w:r>
      <w:r w:rsidR="003D640C">
        <w:t xml:space="preserve"> </w:t>
      </w:r>
      <w:r>
        <w:t>of</w:t>
      </w:r>
      <w:r w:rsidR="003D640C">
        <w:t xml:space="preserve"> </w:t>
      </w:r>
      <w:r>
        <w:t>the</w:t>
      </w:r>
      <w:r w:rsidR="003D640C">
        <w:t xml:space="preserve"> </w:t>
      </w:r>
      <w:r>
        <w:t>Crimes</w:t>
      </w:r>
      <w:r w:rsidR="003D640C">
        <w:t xml:space="preserve"> </w:t>
      </w:r>
      <w:r>
        <w:t>Act</w:t>
      </w:r>
      <w:r w:rsidR="003D640C">
        <w:t xml:space="preserve"> </w:t>
      </w:r>
      <w:r>
        <w:t>1961)</w:t>
      </w:r>
      <w:r w:rsidR="003D640C">
        <w:t xml:space="preserve"> </w:t>
      </w:r>
    </w:p>
    <w:p w14:paraId="373180E3" w14:textId="40ED317C" w:rsidR="009B0BA9" w:rsidRDefault="75632CB6" w:rsidP="00E00167">
      <w:pPr>
        <w:pStyle w:val="FootnoteText"/>
        <w:numPr>
          <w:ilvl w:val="0"/>
          <w:numId w:val="103"/>
        </w:numPr>
      </w:pPr>
      <w:r>
        <w:t>child</w:t>
      </w:r>
      <w:r w:rsidR="003D640C">
        <w:t xml:space="preserve"> </w:t>
      </w:r>
      <w:r>
        <w:t>marriage</w:t>
      </w:r>
      <w:r w:rsidR="003D640C">
        <w:t xml:space="preserve"> </w:t>
      </w:r>
      <w:r>
        <w:t>of</w:t>
      </w:r>
      <w:r w:rsidR="003D640C">
        <w:t xml:space="preserve"> </w:t>
      </w:r>
      <w:r>
        <w:t>under</w:t>
      </w:r>
      <w:r w:rsidR="003D640C">
        <w:t xml:space="preserve"> </w:t>
      </w:r>
      <w:r>
        <w:t>16-year-olds</w:t>
      </w:r>
      <w:r w:rsidR="003D640C">
        <w:t xml:space="preserve"> </w:t>
      </w:r>
      <w:r>
        <w:t>(section</w:t>
      </w:r>
      <w:r w:rsidR="003D640C">
        <w:t xml:space="preserve"> </w:t>
      </w:r>
      <w:r>
        <w:t>17</w:t>
      </w:r>
      <w:r w:rsidR="003D640C">
        <w:t xml:space="preserve"> </w:t>
      </w:r>
      <w:r>
        <w:t>of</w:t>
      </w:r>
      <w:r w:rsidR="003D640C">
        <w:t xml:space="preserve"> </w:t>
      </w:r>
      <w:r>
        <w:t>the</w:t>
      </w:r>
      <w:r w:rsidR="003D640C">
        <w:t xml:space="preserve"> </w:t>
      </w:r>
      <w:r>
        <w:t>Marriage</w:t>
      </w:r>
      <w:r w:rsidR="003D640C">
        <w:t xml:space="preserve"> </w:t>
      </w:r>
      <w:r>
        <w:t>Act</w:t>
      </w:r>
      <w:r w:rsidR="003D640C">
        <w:t xml:space="preserve"> </w:t>
      </w:r>
      <w:r>
        <w:t>1955)</w:t>
      </w:r>
      <w:r w:rsidR="00EE05A1">
        <w:t>.</w:t>
      </w:r>
    </w:p>
  </w:footnote>
  <w:footnote w:id="67">
    <w:p w14:paraId="43854374" w14:textId="5EBB225D" w:rsidR="003A3DC9" w:rsidRPr="003A3DC9" w:rsidRDefault="003A3DC9" w:rsidP="00E00167">
      <w:pPr>
        <w:pStyle w:val="FootnoteText"/>
        <w:rPr>
          <w:lang w:val="mi-NZ"/>
        </w:rPr>
      </w:pPr>
      <w:r>
        <w:rPr>
          <w:rStyle w:val="FootnoteReference"/>
        </w:rPr>
        <w:footnoteRef/>
      </w:r>
      <w:r w:rsidR="003D640C" w:rsidDel="003B5923">
        <w:t xml:space="preserve"> </w:t>
      </w:r>
      <w:r w:rsidR="009E13CD">
        <w:rPr>
          <w:lang w:val="mi-NZ"/>
        </w:rPr>
        <w:t>Human</w:t>
      </w:r>
      <w:r w:rsidR="003D640C">
        <w:rPr>
          <w:lang w:val="mi-NZ"/>
        </w:rPr>
        <w:t xml:space="preserve"> </w:t>
      </w:r>
      <w:r w:rsidR="009E13CD">
        <w:rPr>
          <w:lang w:val="mi-NZ"/>
        </w:rPr>
        <w:t>Rights</w:t>
      </w:r>
      <w:r w:rsidR="003D640C">
        <w:rPr>
          <w:lang w:val="mi-NZ"/>
        </w:rPr>
        <w:t xml:space="preserve"> </w:t>
      </w:r>
      <w:r w:rsidR="009E13CD">
        <w:rPr>
          <w:lang w:val="mi-NZ"/>
        </w:rPr>
        <w:t>Commission</w:t>
      </w:r>
      <w:r w:rsidR="009644D0">
        <w:rPr>
          <w:lang w:val="mi-NZ"/>
        </w:rPr>
        <w:t>. (n.d.</w:t>
      </w:r>
      <w:r w:rsidR="00FB1C07">
        <w:rPr>
          <w:lang w:val="mi-NZ"/>
        </w:rPr>
        <w:t>b</w:t>
      </w:r>
      <w:r w:rsidR="009644D0">
        <w:rPr>
          <w:lang w:val="mi-NZ"/>
        </w:rPr>
        <w:t>).</w:t>
      </w:r>
      <w:r w:rsidR="003D640C">
        <w:rPr>
          <w:lang w:val="mi-NZ"/>
        </w:rPr>
        <w:t xml:space="preserve"> </w:t>
      </w:r>
      <w:r w:rsidR="00A01310" w:rsidRPr="007B139B">
        <w:rPr>
          <w:i/>
          <w:iCs/>
          <w:lang w:val="mi-NZ"/>
        </w:rPr>
        <w:t>Making</w:t>
      </w:r>
      <w:r w:rsidR="003D640C" w:rsidRPr="007B139B">
        <w:rPr>
          <w:i/>
          <w:iCs/>
          <w:lang w:val="mi-NZ"/>
        </w:rPr>
        <w:t xml:space="preserve"> </w:t>
      </w:r>
      <w:r w:rsidR="00A01310" w:rsidRPr="007B139B">
        <w:rPr>
          <w:i/>
          <w:iCs/>
          <w:lang w:val="mi-NZ"/>
        </w:rPr>
        <w:t>a</w:t>
      </w:r>
      <w:r w:rsidR="003D640C" w:rsidRPr="007B139B">
        <w:rPr>
          <w:i/>
          <w:iCs/>
          <w:lang w:val="mi-NZ"/>
        </w:rPr>
        <w:t xml:space="preserve"> </w:t>
      </w:r>
      <w:r w:rsidR="00A01310" w:rsidRPr="007B139B">
        <w:rPr>
          <w:i/>
          <w:iCs/>
          <w:lang w:val="mi-NZ"/>
        </w:rPr>
        <w:t>complaint</w:t>
      </w:r>
      <w:r w:rsidR="00A01310">
        <w:rPr>
          <w:lang w:val="mi-NZ"/>
        </w:rPr>
        <w:t>.</w:t>
      </w:r>
      <w:r w:rsidR="00A01310" w:rsidDel="008E1CCA">
        <w:rPr>
          <w:lang w:val="mi-NZ"/>
        </w:rPr>
        <w:t xml:space="preserve"> </w:t>
      </w:r>
    </w:p>
  </w:footnote>
  <w:footnote w:id="68">
    <w:p w14:paraId="716F9A62" w14:textId="61A1045F" w:rsidR="00DE4546" w:rsidRPr="00E73BA8" w:rsidRDefault="00DE4546" w:rsidP="00E00167">
      <w:pPr>
        <w:pStyle w:val="FootnoteText"/>
        <w:rPr>
          <w:lang w:val="mi-NZ"/>
        </w:rPr>
      </w:pPr>
      <w:r>
        <w:rPr>
          <w:rStyle w:val="FootnoteReference"/>
        </w:rPr>
        <w:footnoteRef/>
      </w:r>
      <w:r w:rsidR="003D640C" w:rsidDel="003B5923">
        <w:t xml:space="preserve"> </w:t>
      </w:r>
      <w:r>
        <w:rPr>
          <w:lang w:val="mi-NZ"/>
        </w:rPr>
        <w:t>Human</w:t>
      </w:r>
      <w:r w:rsidR="003D640C">
        <w:rPr>
          <w:lang w:val="mi-NZ"/>
        </w:rPr>
        <w:t xml:space="preserve"> </w:t>
      </w:r>
      <w:r>
        <w:rPr>
          <w:lang w:val="mi-NZ"/>
        </w:rPr>
        <w:t>Rights</w:t>
      </w:r>
      <w:r w:rsidR="003D640C">
        <w:rPr>
          <w:lang w:val="mi-NZ"/>
        </w:rPr>
        <w:t xml:space="preserve"> </w:t>
      </w:r>
      <w:r>
        <w:rPr>
          <w:lang w:val="mi-NZ"/>
        </w:rPr>
        <w:t>Commission.</w:t>
      </w:r>
      <w:r w:rsidR="003D640C">
        <w:rPr>
          <w:lang w:val="mi-NZ"/>
        </w:rPr>
        <w:t xml:space="preserve"> </w:t>
      </w:r>
      <w:r w:rsidR="00FB1C07">
        <w:rPr>
          <w:lang w:val="mi-NZ"/>
        </w:rPr>
        <w:t xml:space="preserve">(n.d.c). </w:t>
      </w:r>
      <w:r w:rsidRPr="00B6387F">
        <w:rPr>
          <w:i/>
          <w:iCs/>
          <w:lang w:val="mi-NZ"/>
        </w:rPr>
        <w:t>Te</w:t>
      </w:r>
      <w:r w:rsidR="003D640C">
        <w:rPr>
          <w:i/>
          <w:iCs/>
          <w:lang w:val="mi-NZ"/>
        </w:rPr>
        <w:t xml:space="preserve"> </w:t>
      </w:r>
      <w:r w:rsidRPr="00B6387F">
        <w:rPr>
          <w:i/>
          <w:iCs/>
          <w:lang w:val="mi-NZ"/>
        </w:rPr>
        <w:t>Tari</w:t>
      </w:r>
      <w:r w:rsidR="003D640C">
        <w:rPr>
          <w:i/>
          <w:iCs/>
          <w:lang w:val="mi-NZ"/>
        </w:rPr>
        <w:t xml:space="preserve"> </w:t>
      </w:r>
      <w:r w:rsidRPr="00B6387F">
        <w:rPr>
          <w:i/>
          <w:iCs/>
          <w:lang w:val="mi-NZ"/>
        </w:rPr>
        <w:t>Whakatau</w:t>
      </w:r>
      <w:r w:rsidR="003D640C">
        <w:rPr>
          <w:i/>
          <w:iCs/>
          <w:lang w:val="mi-NZ"/>
        </w:rPr>
        <w:t xml:space="preserve"> </w:t>
      </w:r>
      <w:r w:rsidRPr="00B6387F">
        <w:rPr>
          <w:i/>
          <w:iCs/>
          <w:lang w:val="mi-NZ"/>
        </w:rPr>
        <w:t>Take</w:t>
      </w:r>
      <w:r w:rsidR="003D640C">
        <w:rPr>
          <w:i/>
          <w:iCs/>
          <w:lang w:val="mi-NZ"/>
        </w:rPr>
        <w:t xml:space="preserve"> </w:t>
      </w:r>
      <w:r w:rsidRPr="00B6387F">
        <w:rPr>
          <w:i/>
          <w:iCs/>
          <w:lang w:val="mi-NZ"/>
        </w:rPr>
        <w:t>Tika</w:t>
      </w:r>
      <w:r w:rsidR="003D640C">
        <w:rPr>
          <w:i/>
          <w:iCs/>
          <w:lang w:val="mi-NZ"/>
        </w:rPr>
        <w:t xml:space="preserve"> </w:t>
      </w:r>
      <w:r w:rsidRPr="00B6387F">
        <w:rPr>
          <w:i/>
          <w:iCs/>
          <w:lang w:val="mi-NZ"/>
        </w:rPr>
        <w:t>Tangata</w:t>
      </w:r>
      <w:r w:rsidR="003D640C">
        <w:rPr>
          <w:i/>
          <w:iCs/>
          <w:lang w:val="mi-NZ"/>
        </w:rPr>
        <w:t xml:space="preserve"> </w:t>
      </w:r>
      <w:r w:rsidR="00FB1C07">
        <w:rPr>
          <w:i/>
          <w:iCs/>
          <w:lang w:val="mi-NZ"/>
        </w:rPr>
        <w:t xml:space="preserve">| </w:t>
      </w:r>
      <w:r w:rsidRPr="00B6387F">
        <w:rPr>
          <w:i/>
          <w:iCs/>
          <w:lang w:val="mi-NZ"/>
        </w:rPr>
        <w:t>The</w:t>
      </w:r>
      <w:r w:rsidR="003D640C">
        <w:rPr>
          <w:i/>
          <w:iCs/>
          <w:lang w:val="mi-NZ"/>
        </w:rPr>
        <w:t xml:space="preserve"> </w:t>
      </w:r>
      <w:r w:rsidRPr="00B6387F">
        <w:rPr>
          <w:i/>
          <w:iCs/>
          <w:lang w:val="mi-NZ"/>
        </w:rPr>
        <w:t>Office</w:t>
      </w:r>
      <w:r w:rsidR="003D640C">
        <w:rPr>
          <w:i/>
          <w:iCs/>
          <w:lang w:val="mi-NZ"/>
        </w:rPr>
        <w:t xml:space="preserve"> </w:t>
      </w:r>
      <w:r w:rsidRPr="00B6387F">
        <w:rPr>
          <w:i/>
          <w:iCs/>
          <w:lang w:val="mi-NZ"/>
        </w:rPr>
        <w:t>of</w:t>
      </w:r>
      <w:r w:rsidR="003D640C">
        <w:rPr>
          <w:i/>
          <w:iCs/>
          <w:lang w:val="mi-NZ"/>
        </w:rPr>
        <w:t xml:space="preserve"> </w:t>
      </w:r>
      <w:r w:rsidRPr="00B6387F">
        <w:rPr>
          <w:i/>
          <w:iCs/>
          <w:lang w:val="mi-NZ"/>
        </w:rPr>
        <w:t>Human</w:t>
      </w:r>
      <w:r w:rsidR="003D640C">
        <w:rPr>
          <w:i/>
          <w:iCs/>
          <w:lang w:val="mi-NZ"/>
        </w:rPr>
        <w:t xml:space="preserve"> </w:t>
      </w:r>
      <w:r w:rsidRPr="00B6387F">
        <w:rPr>
          <w:i/>
          <w:iCs/>
          <w:lang w:val="mi-NZ"/>
        </w:rPr>
        <w:t>Rights</w:t>
      </w:r>
      <w:r w:rsidR="003D640C">
        <w:rPr>
          <w:i/>
          <w:iCs/>
          <w:lang w:val="mi-NZ"/>
        </w:rPr>
        <w:t xml:space="preserve"> </w:t>
      </w:r>
      <w:r w:rsidRPr="00B6387F">
        <w:rPr>
          <w:i/>
          <w:iCs/>
          <w:lang w:val="mi-NZ"/>
        </w:rPr>
        <w:t>Proceedings</w:t>
      </w:r>
      <w:r w:rsidR="005C3D6C">
        <w:rPr>
          <w:i/>
          <w:iCs/>
          <w:lang w:val="mi-NZ"/>
        </w:rPr>
        <w:t>.</w:t>
      </w:r>
      <w:r w:rsidR="003D640C">
        <w:rPr>
          <w:lang w:val="mi-NZ"/>
        </w:rPr>
        <w:t xml:space="preserve"> </w:t>
      </w:r>
    </w:p>
  </w:footnote>
  <w:footnote w:id="69">
    <w:p w14:paraId="7FEDB71C" w14:textId="19D0980A" w:rsidR="00062DD5" w:rsidRDefault="00062DD5" w:rsidP="00E00167">
      <w:pPr>
        <w:pStyle w:val="FootnoteText"/>
      </w:pPr>
      <w:r>
        <w:rPr>
          <w:rStyle w:val="FootnoteReference"/>
        </w:rPr>
        <w:footnoteRef/>
      </w:r>
      <w:r w:rsidR="003D640C">
        <w:t xml:space="preserve"> </w:t>
      </w:r>
      <w:r w:rsidR="00480CA8" w:rsidRPr="00480CA8">
        <w:t>Jowett,</w:t>
      </w:r>
      <w:r w:rsidR="003D640C">
        <w:t xml:space="preserve"> </w:t>
      </w:r>
      <w:r w:rsidR="00480CA8" w:rsidRPr="00480CA8">
        <w:t>A.,</w:t>
      </w:r>
      <w:r w:rsidR="003D640C">
        <w:t xml:space="preserve"> </w:t>
      </w:r>
      <w:r w:rsidR="00480CA8" w:rsidRPr="00480CA8">
        <w:t>Brady,</w:t>
      </w:r>
      <w:r w:rsidR="003D640C">
        <w:t xml:space="preserve"> </w:t>
      </w:r>
      <w:r w:rsidR="00480CA8" w:rsidRPr="00480CA8">
        <w:t>G.,</w:t>
      </w:r>
      <w:r w:rsidR="003D640C">
        <w:t xml:space="preserve"> </w:t>
      </w:r>
      <w:r w:rsidR="00480CA8" w:rsidRPr="00480CA8">
        <w:t>Goodman,</w:t>
      </w:r>
      <w:r w:rsidR="003D640C">
        <w:t xml:space="preserve"> </w:t>
      </w:r>
      <w:r w:rsidR="00480CA8" w:rsidRPr="00480CA8">
        <w:t>S.,</w:t>
      </w:r>
      <w:r w:rsidR="003D640C">
        <w:t xml:space="preserve"> </w:t>
      </w:r>
      <w:r w:rsidR="00480CA8" w:rsidRPr="00480CA8">
        <w:t>Pillinger,</w:t>
      </w:r>
      <w:r w:rsidR="003D640C">
        <w:t xml:space="preserve"> </w:t>
      </w:r>
      <w:r w:rsidR="00480CA8" w:rsidRPr="00480CA8">
        <w:t>C.</w:t>
      </w:r>
      <w:r w:rsidR="00210BEF">
        <w:t>,</w:t>
      </w:r>
      <w:r w:rsidR="003D640C">
        <w:t xml:space="preserve"> </w:t>
      </w:r>
      <w:r w:rsidR="00210BEF">
        <w:t>&amp;</w:t>
      </w:r>
      <w:r w:rsidR="003D640C">
        <w:t xml:space="preserve"> </w:t>
      </w:r>
      <w:r w:rsidR="00480CA8" w:rsidRPr="00480CA8">
        <w:t>Bradley</w:t>
      </w:r>
      <w:r w:rsidR="00210BEF">
        <w:t>, L</w:t>
      </w:r>
      <w:r w:rsidR="00480CA8" w:rsidRPr="00480CA8">
        <w:t>.</w:t>
      </w:r>
      <w:r w:rsidR="003D640C">
        <w:t xml:space="preserve"> </w:t>
      </w:r>
      <w:r w:rsidR="00480CA8" w:rsidRPr="00480CA8">
        <w:t>(2021)</w:t>
      </w:r>
      <w:r w:rsidR="00210BEF">
        <w:t>.</w:t>
      </w:r>
      <w:r w:rsidR="003D640C">
        <w:t xml:space="preserve"> </w:t>
      </w:r>
      <w:r w:rsidR="00480CA8" w:rsidRPr="007B139B">
        <w:rPr>
          <w:i/>
          <w:iCs/>
        </w:rPr>
        <w:t>Conversion</w:t>
      </w:r>
      <w:r w:rsidR="003D640C" w:rsidRPr="007B139B">
        <w:rPr>
          <w:i/>
          <w:iCs/>
        </w:rPr>
        <w:t xml:space="preserve"> </w:t>
      </w:r>
      <w:r w:rsidR="00210BEF" w:rsidRPr="007B139B">
        <w:rPr>
          <w:i/>
          <w:iCs/>
        </w:rPr>
        <w:t>t</w:t>
      </w:r>
      <w:r w:rsidR="00480CA8" w:rsidRPr="007B139B">
        <w:rPr>
          <w:i/>
          <w:iCs/>
        </w:rPr>
        <w:t>herapy:</w:t>
      </w:r>
      <w:r w:rsidR="003D640C" w:rsidRPr="007B139B">
        <w:rPr>
          <w:i/>
          <w:iCs/>
        </w:rPr>
        <w:t xml:space="preserve"> </w:t>
      </w:r>
      <w:r w:rsidR="00480CA8" w:rsidRPr="007B139B">
        <w:rPr>
          <w:i/>
          <w:iCs/>
        </w:rPr>
        <w:t>An</w:t>
      </w:r>
      <w:r w:rsidR="003D640C" w:rsidRPr="007B139B">
        <w:rPr>
          <w:i/>
          <w:iCs/>
        </w:rPr>
        <w:t xml:space="preserve"> </w:t>
      </w:r>
      <w:r w:rsidR="00480CA8" w:rsidRPr="007B139B">
        <w:rPr>
          <w:i/>
          <w:iCs/>
        </w:rPr>
        <w:t>evidence</w:t>
      </w:r>
      <w:r w:rsidR="003D640C" w:rsidRPr="007B139B">
        <w:rPr>
          <w:i/>
          <w:iCs/>
        </w:rPr>
        <w:t xml:space="preserve"> </w:t>
      </w:r>
      <w:r w:rsidR="00480CA8" w:rsidRPr="007B139B">
        <w:rPr>
          <w:i/>
          <w:iCs/>
        </w:rPr>
        <w:t>assessment</w:t>
      </w:r>
      <w:r w:rsidR="003D640C" w:rsidRPr="007B139B">
        <w:rPr>
          <w:i/>
          <w:iCs/>
        </w:rPr>
        <w:t xml:space="preserve"> </w:t>
      </w:r>
      <w:r w:rsidR="00480CA8" w:rsidRPr="007B139B">
        <w:rPr>
          <w:i/>
          <w:iCs/>
        </w:rPr>
        <w:t>and</w:t>
      </w:r>
      <w:r w:rsidR="003D640C" w:rsidRPr="007B139B">
        <w:rPr>
          <w:i/>
          <w:iCs/>
        </w:rPr>
        <w:t xml:space="preserve"> </w:t>
      </w:r>
      <w:r w:rsidR="00480CA8" w:rsidRPr="007B139B">
        <w:rPr>
          <w:i/>
          <w:iCs/>
        </w:rPr>
        <w:t>qualitative</w:t>
      </w:r>
      <w:r w:rsidR="003D640C" w:rsidRPr="007B139B">
        <w:rPr>
          <w:i/>
          <w:iCs/>
        </w:rPr>
        <w:t xml:space="preserve"> </w:t>
      </w:r>
      <w:r w:rsidR="00480CA8" w:rsidRPr="007B139B">
        <w:rPr>
          <w:i/>
          <w:iCs/>
        </w:rPr>
        <w:t>study</w:t>
      </w:r>
      <w:r w:rsidR="00480CA8" w:rsidRPr="00480CA8">
        <w:t>.</w:t>
      </w:r>
      <w:r w:rsidR="003D640C">
        <w:t xml:space="preserve"> </w:t>
      </w:r>
      <w:r w:rsidR="00480CA8" w:rsidRPr="00480CA8">
        <w:t>Government</w:t>
      </w:r>
      <w:r w:rsidR="003D640C">
        <w:t xml:space="preserve"> </w:t>
      </w:r>
      <w:r w:rsidR="00480CA8" w:rsidRPr="00480CA8">
        <w:t>Equalities</w:t>
      </w:r>
      <w:r w:rsidR="003D640C">
        <w:t xml:space="preserve"> </w:t>
      </w:r>
      <w:r w:rsidR="00480CA8" w:rsidRPr="00480CA8">
        <w:t>Office</w:t>
      </w:r>
      <w:r w:rsidR="00455072">
        <w:t>,</w:t>
      </w:r>
      <w:r w:rsidR="004D41AD">
        <w:t xml:space="preserve"> U</w:t>
      </w:r>
      <w:r w:rsidR="0027495F">
        <w:t xml:space="preserve">nited </w:t>
      </w:r>
      <w:r w:rsidR="004D41AD">
        <w:t>K</w:t>
      </w:r>
      <w:r w:rsidR="0027495F">
        <w:t>ingdom</w:t>
      </w:r>
      <w:r w:rsidR="00455072">
        <w:t>.</w:t>
      </w:r>
    </w:p>
  </w:footnote>
  <w:footnote w:id="70">
    <w:p w14:paraId="788BCD5C" w14:textId="04D6337E" w:rsidR="00062DD5" w:rsidRDefault="00062DD5" w:rsidP="00E00167">
      <w:pPr>
        <w:pStyle w:val="FootnoteText"/>
      </w:pPr>
      <w:r>
        <w:rPr>
          <w:rStyle w:val="FootnoteReference"/>
        </w:rPr>
        <w:footnoteRef/>
      </w:r>
      <w:r w:rsidR="003D640C">
        <w:t xml:space="preserve"> </w:t>
      </w:r>
      <w:r>
        <w:t>Malatest</w:t>
      </w:r>
      <w:r w:rsidR="003D640C">
        <w:t xml:space="preserve"> </w:t>
      </w:r>
      <w:r>
        <w:t>International.</w:t>
      </w:r>
      <w:r w:rsidR="003D640C">
        <w:t xml:space="preserve"> </w:t>
      </w:r>
      <w:r>
        <w:t>(2021).</w:t>
      </w:r>
      <w:r w:rsidR="003D640C">
        <w:t xml:space="preserve"> </w:t>
      </w:r>
      <w:r w:rsidRPr="00804419">
        <w:rPr>
          <w:i/>
          <w:iCs/>
        </w:rPr>
        <w:t>Ngā</w:t>
      </w:r>
      <w:r w:rsidR="003D640C">
        <w:rPr>
          <w:i/>
          <w:iCs/>
        </w:rPr>
        <w:t xml:space="preserve"> </w:t>
      </w:r>
      <w:r w:rsidRPr="00804419">
        <w:rPr>
          <w:i/>
          <w:iCs/>
        </w:rPr>
        <w:t>take</w:t>
      </w:r>
      <w:r w:rsidR="003D640C">
        <w:rPr>
          <w:i/>
          <w:iCs/>
        </w:rPr>
        <w:t xml:space="preserve"> </w:t>
      </w:r>
      <w:r w:rsidRPr="00804419">
        <w:rPr>
          <w:i/>
          <w:iCs/>
        </w:rPr>
        <w:t>o</w:t>
      </w:r>
      <w:r w:rsidR="003D640C">
        <w:rPr>
          <w:i/>
          <w:iCs/>
        </w:rPr>
        <w:t xml:space="preserve"> </w:t>
      </w:r>
      <w:r w:rsidRPr="00804419">
        <w:rPr>
          <w:i/>
          <w:iCs/>
        </w:rPr>
        <w:t>nga</w:t>
      </w:r>
      <w:r w:rsidR="003D640C">
        <w:rPr>
          <w:i/>
          <w:iCs/>
        </w:rPr>
        <w:t xml:space="preserve"> </w:t>
      </w:r>
      <w:r w:rsidRPr="00804419">
        <w:rPr>
          <w:i/>
          <w:iCs/>
        </w:rPr>
        <w:t>wheako</w:t>
      </w:r>
      <w:r w:rsidR="003D640C">
        <w:rPr>
          <w:i/>
          <w:iCs/>
        </w:rPr>
        <w:t xml:space="preserve"> </w:t>
      </w:r>
      <w:r w:rsidRPr="00804419">
        <w:rPr>
          <w:i/>
          <w:iCs/>
        </w:rPr>
        <w:t>o</w:t>
      </w:r>
      <w:r w:rsidR="003D640C">
        <w:rPr>
          <w:i/>
          <w:iCs/>
        </w:rPr>
        <w:t xml:space="preserve"> </w:t>
      </w:r>
      <w:r w:rsidRPr="00804419">
        <w:rPr>
          <w:i/>
          <w:iCs/>
        </w:rPr>
        <w:t>te</w:t>
      </w:r>
      <w:r w:rsidR="003D640C">
        <w:rPr>
          <w:i/>
          <w:iCs/>
        </w:rPr>
        <w:t xml:space="preserve"> </w:t>
      </w:r>
      <w:r w:rsidRPr="00804419">
        <w:rPr>
          <w:i/>
          <w:iCs/>
        </w:rPr>
        <w:t>kaikiri</w:t>
      </w:r>
      <w:r w:rsidR="003D640C">
        <w:rPr>
          <w:i/>
          <w:iCs/>
        </w:rPr>
        <w:t xml:space="preserve"> </w:t>
      </w:r>
      <w:r w:rsidRPr="00804419">
        <w:rPr>
          <w:i/>
          <w:iCs/>
        </w:rPr>
        <w:t>ki</w:t>
      </w:r>
      <w:r w:rsidR="003D640C">
        <w:rPr>
          <w:i/>
          <w:iCs/>
        </w:rPr>
        <w:t xml:space="preserve"> </w:t>
      </w:r>
      <w:r w:rsidRPr="00804419">
        <w:rPr>
          <w:i/>
          <w:iCs/>
        </w:rPr>
        <w:t>ngā</w:t>
      </w:r>
      <w:r w:rsidR="003D640C">
        <w:rPr>
          <w:i/>
          <w:iCs/>
        </w:rPr>
        <w:t xml:space="preserve"> </w:t>
      </w:r>
      <w:r w:rsidRPr="00804419">
        <w:rPr>
          <w:i/>
          <w:iCs/>
        </w:rPr>
        <w:t>manene</w:t>
      </w:r>
      <w:r w:rsidR="003D640C">
        <w:rPr>
          <w:i/>
          <w:iCs/>
        </w:rPr>
        <w:t xml:space="preserve"> </w:t>
      </w:r>
      <w:r w:rsidRPr="00804419">
        <w:rPr>
          <w:i/>
          <w:iCs/>
        </w:rPr>
        <w:t>o</w:t>
      </w:r>
      <w:r w:rsidR="003D640C">
        <w:rPr>
          <w:i/>
          <w:iCs/>
        </w:rPr>
        <w:t xml:space="preserve"> </w:t>
      </w:r>
      <w:r w:rsidRPr="00804419">
        <w:rPr>
          <w:i/>
          <w:iCs/>
        </w:rPr>
        <w:t>Aotearoa</w:t>
      </w:r>
      <w:r w:rsidR="00946C68">
        <w:rPr>
          <w:i/>
          <w:iCs/>
        </w:rPr>
        <w:t xml:space="preserve"> |</w:t>
      </w:r>
      <w:r w:rsidR="003D640C">
        <w:rPr>
          <w:i/>
          <w:iCs/>
        </w:rPr>
        <w:t xml:space="preserve"> </w:t>
      </w:r>
      <w:r>
        <w:rPr>
          <w:i/>
          <w:iCs/>
        </w:rPr>
        <w:t>Drivers</w:t>
      </w:r>
      <w:r w:rsidR="003D640C">
        <w:rPr>
          <w:i/>
          <w:iCs/>
        </w:rPr>
        <w:t xml:space="preserve"> </w:t>
      </w:r>
      <w:r>
        <w:rPr>
          <w:i/>
          <w:iCs/>
        </w:rPr>
        <w:t>of</w:t>
      </w:r>
      <w:r w:rsidR="003D640C">
        <w:rPr>
          <w:i/>
          <w:iCs/>
        </w:rPr>
        <w:t xml:space="preserve"> </w:t>
      </w:r>
      <w:r>
        <w:rPr>
          <w:i/>
          <w:iCs/>
        </w:rPr>
        <w:t>migrant</w:t>
      </w:r>
      <w:r w:rsidR="003D640C">
        <w:rPr>
          <w:i/>
          <w:iCs/>
        </w:rPr>
        <w:t xml:space="preserve"> </w:t>
      </w:r>
      <w:r w:rsidRPr="00804419">
        <w:rPr>
          <w:i/>
          <w:iCs/>
        </w:rPr>
        <w:t>New</w:t>
      </w:r>
      <w:r w:rsidR="003D640C">
        <w:rPr>
          <w:i/>
          <w:iCs/>
        </w:rPr>
        <w:t xml:space="preserve"> </w:t>
      </w:r>
      <w:r w:rsidRPr="00804419">
        <w:rPr>
          <w:i/>
          <w:iCs/>
        </w:rPr>
        <w:t>Zealanders’</w:t>
      </w:r>
      <w:r w:rsidR="003D640C">
        <w:rPr>
          <w:i/>
          <w:iCs/>
        </w:rPr>
        <w:t xml:space="preserve"> </w:t>
      </w:r>
      <w:r w:rsidRPr="00804419">
        <w:rPr>
          <w:i/>
          <w:iCs/>
        </w:rPr>
        <w:t>experiences</w:t>
      </w:r>
      <w:r w:rsidR="003D640C">
        <w:rPr>
          <w:i/>
          <w:iCs/>
        </w:rPr>
        <w:t xml:space="preserve"> </w:t>
      </w:r>
      <w:r w:rsidRPr="00804419">
        <w:rPr>
          <w:i/>
          <w:iCs/>
        </w:rPr>
        <w:t>of</w:t>
      </w:r>
      <w:r w:rsidR="003D640C">
        <w:rPr>
          <w:i/>
          <w:iCs/>
        </w:rPr>
        <w:t xml:space="preserve"> </w:t>
      </w:r>
      <w:r w:rsidRPr="00804419">
        <w:rPr>
          <w:i/>
          <w:iCs/>
        </w:rPr>
        <w:t>racism.</w:t>
      </w:r>
    </w:p>
  </w:footnote>
  <w:footnote w:id="71">
    <w:p w14:paraId="49412BDA" w14:textId="50F74BDE" w:rsidR="0094033D" w:rsidRPr="0094033D" w:rsidRDefault="0094033D">
      <w:pPr>
        <w:pStyle w:val="FootnoteText"/>
        <w:rPr>
          <w:lang w:val="mi-NZ"/>
        </w:rPr>
      </w:pPr>
      <w:r>
        <w:rPr>
          <w:rStyle w:val="FootnoteReference"/>
        </w:rPr>
        <w:footnoteRef/>
      </w:r>
      <w:r>
        <w:t xml:space="preserve"> </w:t>
      </w:r>
      <w:r>
        <w:rPr>
          <w:lang w:val="mi-NZ"/>
        </w:rPr>
        <w:t>Pihama et al., 2021.</w:t>
      </w:r>
    </w:p>
  </w:footnote>
  <w:footnote w:id="72">
    <w:p w14:paraId="2FAA88E9" w14:textId="26396A9C" w:rsidR="00686353" w:rsidRPr="00065995" w:rsidRDefault="00686353">
      <w:pPr>
        <w:pStyle w:val="FootnoteText"/>
        <w:rPr>
          <w:lang w:val="mi-NZ"/>
        </w:rPr>
      </w:pPr>
      <w:r>
        <w:rPr>
          <w:rStyle w:val="FootnoteReference"/>
        </w:rPr>
        <w:footnoteRef/>
      </w:r>
      <w:r>
        <w:t xml:space="preserve"> </w:t>
      </w:r>
      <w:r>
        <w:rPr>
          <w:lang w:val="mi-NZ"/>
        </w:rPr>
        <w:t xml:space="preserve">Re: News. (2019, December 12). </w:t>
      </w:r>
      <w:r w:rsidRPr="00686353">
        <w:rPr>
          <w:i/>
          <w:iCs/>
          <w:lang w:val="mi-NZ"/>
        </w:rPr>
        <w:t>Rediscovering Aotearoa: Takatāpui | LGBTQIA+</w:t>
      </w:r>
      <w:r w:rsidR="004E4841">
        <w:rPr>
          <w:i/>
          <w:iCs/>
          <w:lang w:val="mi-NZ"/>
        </w:rPr>
        <w:t xml:space="preserve"> </w:t>
      </w:r>
      <w:r w:rsidR="004E4841">
        <w:rPr>
          <w:lang w:val="mi-NZ"/>
        </w:rPr>
        <w:t>[Video]</w:t>
      </w:r>
      <w:r w:rsidR="00065995">
        <w:rPr>
          <w:lang w:val="mi-NZ"/>
        </w:rPr>
        <w:t>.</w:t>
      </w:r>
    </w:p>
  </w:footnote>
  <w:footnote w:id="73">
    <w:p w14:paraId="16F56145" w14:textId="6D1032C3" w:rsidR="00D05424" w:rsidRPr="00B2619C" w:rsidRDefault="00D05424" w:rsidP="00E00167">
      <w:pPr>
        <w:pStyle w:val="FootnoteText"/>
        <w:rPr>
          <w:lang w:val="mi-NZ"/>
        </w:rPr>
      </w:pPr>
      <w:r>
        <w:rPr>
          <w:rStyle w:val="FootnoteReference"/>
        </w:rPr>
        <w:footnoteRef/>
      </w:r>
      <w:r w:rsidR="003D640C">
        <w:t xml:space="preserve"> </w:t>
      </w:r>
      <w:r w:rsidR="00116134">
        <w:rPr>
          <w:lang w:val="mi-NZ"/>
        </w:rPr>
        <w:t>Kerekere,</w:t>
      </w:r>
      <w:r w:rsidR="003D640C">
        <w:rPr>
          <w:lang w:val="mi-NZ"/>
        </w:rPr>
        <w:t xml:space="preserve"> </w:t>
      </w:r>
      <w:r w:rsidR="00116134">
        <w:rPr>
          <w:lang w:val="mi-NZ"/>
        </w:rPr>
        <w:t>E.</w:t>
      </w:r>
      <w:r w:rsidR="003D640C">
        <w:rPr>
          <w:lang w:val="mi-NZ"/>
        </w:rPr>
        <w:t xml:space="preserve"> </w:t>
      </w:r>
      <w:r w:rsidR="00116134">
        <w:rPr>
          <w:lang w:val="mi-NZ"/>
        </w:rPr>
        <w:t>(2017</w:t>
      </w:r>
      <w:r w:rsidR="00A5635D">
        <w:rPr>
          <w:lang w:val="mi-NZ"/>
        </w:rPr>
        <w:t>b</w:t>
      </w:r>
      <w:r w:rsidR="00116134">
        <w:rPr>
          <w:lang w:val="mi-NZ"/>
        </w:rPr>
        <w:t>).</w:t>
      </w:r>
      <w:r w:rsidR="003D640C">
        <w:rPr>
          <w:lang w:val="mi-NZ"/>
        </w:rPr>
        <w:t xml:space="preserve"> </w:t>
      </w:r>
      <w:r w:rsidR="00116134" w:rsidRPr="002D6637">
        <w:rPr>
          <w:i/>
          <w:iCs/>
          <w:lang w:val="mi-NZ"/>
        </w:rPr>
        <w:t>Part</w:t>
      </w:r>
      <w:r w:rsidR="003D640C">
        <w:rPr>
          <w:i/>
          <w:iCs/>
          <w:lang w:val="mi-NZ"/>
        </w:rPr>
        <w:t xml:space="preserve"> </w:t>
      </w:r>
      <w:r w:rsidR="00116134" w:rsidRPr="002D6637">
        <w:rPr>
          <w:i/>
          <w:iCs/>
          <w:lang w:val="mi-NZ"/>
        </w:rPr>
        <w:t>of</w:t>
      </w:r>
      <w:r w:rsidR="003D640C">
        <w:rPr>
          <w:i/>
          <w:iCs/>
          <w:lang w:val="mi-NZ"/>
        </w:rPr>
        <w:t xml:space="preserve"> </w:t>
      </w:r>
      <w:r w:rsidR="00116134" w:rsidRPr="002D6637">
        <w:rPr>
          <w:i/>
          <w:iCs/>
          <w:lang w:val="mi-NZ"/>
        </w:rPr>
        <w:t>the</w:t>
      </w:r>
      <w:r w:rsidR="003D640C">
        <w:rPr>
          <w:i/>
          <w:iCs/>
          <w:lang w:val="mi-NZ"/>
        </w:rPr>
        <w:t xml:space="preserve"> </w:t>
      </w:r>
      <w:r w:rsidR="0073185C">
        <w:rPr>
          <w:i/>
          <w:iCs/>
          <w:lang w:val="mi-NZ"/>
        </w:rPr>
        <w:t>w</w:t>
      </w:r>
      <w:r w:rsidR="00116134" w:rsidRPr="002D6637">
        <w:rPr>
          <w:i/>
          <w:iCs/>
          <w:lang w:val="mi-NZ"/>
        </w:rPr>
        <w:t>hānau:</w:t>
      </w:r>
      <w:r w:rsidR="003D640C">
        <w:rPr>
          <w:i/>
          <w:iCs/>
          <w:lang w:val="mi-NZ"/>
        </w:rPr>
        <w:t xml:space="preserve"> </w:t>
      </w:r>
      <w:r w:rsidR="00116134" w:rsidRPr="002D6637">
        <w:rPr>
          <w:i/>
          <w:iCs/>
          <w:lang w:val="mi-NZ"/>
        </w:rPr>
        <w:t>The</w:t>
      </w:r>
      <w:r w:rsidR="003D640C">
        <w:rPr>
          <w:i/>
          <w:iCs/>
          <w:lang w:val="mi-NZ"/>
        </w:rPr>
        <w:t xml:space="preserve"> </w:t>
      </w:r>
      <w:r w:rsidR="0073185C">
        <w:rPr>
          <w:i/>
          <w:iCs/>
          <w:lang w:val="mi-NZ"/>
        </w:rPr>
        <w:t>e</w:t>
      </w:r>
      <w:r w:rsidR="00116134" w:rsidRPr="002D6637">
        <w:rPr>
          <w:i/>
          <w:iCs/>
          <w:lang w:val="mi-NZ"/>
        </w:rPr>
        <w:t>mergence</w:t>
      </w:r>
      <w:r w:rsidR="003D640C">
        <w:rPr>
          <w:i/>
          <w:iCs/>
          <w:lang w:val="mi-NZ"/>
        </w:rPr>
        <w:t xml:space="preserve"> </w:t>
      </w:r>
      <w:r w:rsidR="00116134" w:rsidRPr="002D6637">
        <w:rPr>
          <w:i/>
          <w:iCs/>
          <w:lang w:val="mi-NZ"/>
        </w:rPr>
        <w:t>of</w:t>
      </w:r>
      <w:r w:rsidR="003D640C">
        <w:rPr>
          <w:i/>
          <w:iCs/>
          <w:lang w:val="mi-NZ"/>
        </w:rPr>
        <w:t xml:space="preserve"> </w:t>
      </w:r>
      <w:r w:rsidR="0073185C">
        <w:rPr>
          <w:i/>
          <w:iCs/>
          <w:lang w:val="mi-NZ"/>
        </w:rPr>
        <w:t>t</w:t>
      </w:r>
      <w:r w:rsidR="00116134" w:rsidRPr="002D6637">
        <w:rPr>
          <w:i/>
          <w:iCs/>
          <w:lang w:val="mi-NZ"/>
        </w:rPr>
        <w:t>akatāpui</w:t>
      </w:r>
      <w:r w:rsidR="003D640C">
        <w:rPr>
          <w:i/>
          <w:iCs/>
          <w:lang w:val="mi-NZ"/>
        </w:rPr>
        <w:t xml:space="preserve"> </w:t>
      </w:r>
      <w:r w:rsidR="0073185C">
        <w:rPr>
          <w:i/>
          <w:iCs/>
          <w:lang w:val="mi-NZ"/>
        </w:rPr>
        <w:t>i</w:t>
      </w:r>
      <w:r w:rsidR="00116134" w:rsidRPr="002D6637">
        <w:rPr>
          <w:i/>
          <w:iCs/>
          <w:lang w:val="mi-NZ"/>
        </w:rPr>
        <w:t>dentity</w:t>
      </w:r>
      <w:r w:rsidR="003D640C">
        <w:rPr>
          <w:i/>
          <w:iCs/>
          <w:lang w:val="mi-NZ"/>
        </w:rPr>
        <w:t xml:space="preserve"> </w:t>
      </w:r>
      <w:r w:rsidR="00EA5F0D">
        <w:rPr>
          <w:i/>
          <w:iCs/>
          <w:lang w:val="mi-NZ"/>
        </w:rPr>
        <w:t>–</w:t>
      </w:r>
      <w:r w:rsidR="003D640C">
        <w:rPr>
          <w:i/>
          <w:iCs/>
          <w:lang w:val="mi-NZ"/>
        </w:rPr>
        <w:t xml:space="preserve"> </w:t>
      </w:r>
      <w:r w:rsidR="00EA5F0D">
        <w:rPr>
          <w:i/>
          <w:iCs/>
          <w:lang w:val="mi-NZ"/>
        </w:rPr>
        <w:t>H</w:t>
      </w:r>
      <w:r w:rsidR="00116134" w:rsidRPr="002D6637">
        <w:rPr>
          <w:i/>
          <w:iCs/>
          <w:lang w:val="mi-NZ"/>
        </w:rPr>
        <w:t>e</w:t>
      </w:r>
      <w:r w:rsidR="003D640C">
        <w:rPr>
          <w:i/>
          <w:iCs/>
          <w:lang w:val="mi-NZ"/>
        </w:rPr>
        <w:t xml:space="preserve"> </w:t>
      </w:r>
      <w:r w:rsidR="0073185C">
        <w:rPr>
          <w:i/>
          <w:iCs/>
          <w:lang w:val="mi-NZ"/>
        </w:rPr>
        <w:t>w</w:t>
      </w:r>
      <w:r w:rsidR="00116134" w:rsidRPr="002D6637">
        <w:rPr>
          <w:i/>
          <w:iCs/>
          <w:lang w:val="mi-NZ"/>
        </w:rPr>
        <w:t>hāriki</w:t>
      </w:r>
      <w:r w:rsidR="003D640C">
        <w:rPr>
          <w:i/>
          <w:iCs/>
          <w:lang w:val="mi-NZ"/>
        </w:rPr>
        <w:t xml:space="preserve"> </w:t>
      </w:r>
      <w:r w:rsidR="0073185C">
        <w:rPr>
          <w:i/>
          <w:iCs/>
          <w:lang w:val="mi-NZ"/>
        </w:rPr>
        <w:t>t</w:t>
      </w:r>
      <w:r w:rsidR="00116134" w:rsidRPr="002D6637">
        <w:rPr>
          <w:i/>
          <w:iCs/>
          <w:lang w:val="mi-NZ"/>
        </w:rPr>
        <w:t>akatāpui</w:t>
      </w:r>
      <w:r w:rsidR="0003452C">
        <w:rPr>
          <w:i/>
          <w:iCs/>
          <w:lang w:val="mi-NZ"/>
        </w:rPr>
        <w:t>.</w:t>
      </w:r>
      <w:r w:rsidR="003D640C">
        <w:rPr>
          <w:lang w:val="mi-NZ"/>
        </w:rPr>
        <w:t xml:space="preserve"> </w:t>
      </w:r>
    </w:p>
  </w:footnote>
  <w:footnote w:id="74">
    <w:p w14:paraId="54293548" w14:textId="22C44B70" w:rsidR="00D05424" w:rsidRPr="00E3007D" w:rsidRDefault="00D05424" w:rsidP="00E00167">
      <w:pPr>
        <w:pStyle w:val="FootnoteText"/>
        <w:rPr>
          <w:lang w:val="mi-NZ"/>
        </w:rPr>
      </w:pPr>
      <w:r>
        <w:rPr>
          <w:rStyle w:val="FootnoteReference"/>
        </w:rPr>
        <w:footnoteRef/>
      </w:r>
      <w:r w:rsidR="003D640C">
        <w:t xml:space="preserve"> </w:t>
      </w:r>
      <w:r>
        <w:t>Fenaughty</w:t>
      </w:r>
      <w:r w:rsidR="003D640C">
        <w:t xml:space="preserve"> </w:t>
      </w:r>
      <w:r>
        <w:t>et</w:t>
      </w:r>
      <w:r w:rsidR="003D640C">
        <w:t xml:space="preserve"> </w:t>
      </w:r>
      <w:r>
        <w:t>al.</w:t>
      </w:r>
      <w:r w:rsidR="00E626E4">
        <w:t>,</w:t>
      </w:r>
      <w:r w:rsidR="003D640C">
        <w:t xml:space="preserve"> </w:t>
      </w:r>
      <w:r>
        <w:t>2023</w:t>
      </w:r>
      <w:r w:rsidR="00AB64C6">
        <w:t>.</w:t>
      </w:r>
    </w:p>
  </w:footnote>
  <w:footnote w:id="75">
    <w:p w14:paraId="4BEDF794" w14:textId="6B228D91" w:rsidR="00D05424" w:rsidRDefault="00D05424" w:rsidP="00C2162C">
      <w:pPr>
        <w:pStyle w:val="FootnoteText"/>
      </w:pPr>
      <w:r w:rsidRPr="1B57FB80">
        <w:rPr>
          <w:rStyle w:val="FootnoteReference"/>
        </w:rPr>
        <w:footnoteRef/>
      </w:r>
      <w:r w:rsidR="003D640C">
        <w:t xml:space="preserve"> </w:t>
      </w:r>
      <w:r w:rsidR="00B7025E" w:rsidRPr="00B7025E">
        <w:t>Jones,</w:t>
      </w:r>
      <w:r w:rsidR="003D640C">
        <w:t xml:space="preserve"> </w:t>
      </w:r>
      <w:r w:rsidR="00B7025E" w:rsidRPr="00B7025E">
        <w:t>T.</w:t>
      </w:r>
      <w:r w:rsidR="003D640C">
        <w:t xml:space="preserve"> </w:t>
      </w:r>
      <w:r w:rsidR="00B7025E" w:rsidRPr="00B7025E">
        <w:t>W.,</w:t>
      </w:r>
      <w:r w:rsidR="003D640C">
        <w:t xml:space="preserve"> </w:t>
      </w:r>
      <w:r w:rsidR="00B7025E" w:rsidRPr="00B7025E">
        <w:t>Power,</w:t>
      </w:r>
      <w:r w:rsidR="003D640C">
        <w:t xml:space="preserve"> </w:t>
      </w:r>
      <w:r w:rsidR="00B7025E" w:rsidRPr="00B7025E">
        <w:t>J.,</w:t>
      </w:r>
      <w:r w:rsidR="003D640C">
        <w:t xml:space="preserve"> </w:t>
      </w:r>
      <w:r w:rsidR="00B7025E" w:rsidRPr="00B7025E">
        <w:t>&amp;</w:t>
      </w:r>
      <w:r w:rsidR="003D640C">
        <w:t xml:space="preserve"> </w:t>
      </w:r>
      <w:r w:rsidR="00B7025E" w:rsidRPr="00B7025E">
        <w:t>Jones,</w:t>
      </w:r>
      <w:r w:rsidR="003D640C">
        <w:t xml:space="preserve"> </w:t>
      </w:r>
      <w:r w:rsidR="00B7025E" w:rsidRPr="00B7025E">
        <w:t>T.</w:t>
      </w:r>
      <w:r w:rsidR="003D640C">
        <w:t xml:space="preserve"> </w:t>
      </w:r>
      <w:r w:rsidR="00B7025E" w:rsidRPr="00B7025E">
        <w:t>M.</w:t>
      </w:r>
      <w:r w:rsidR="003D640C">
        <w:t xml:space="preserve"> </w:t>
      </w:r>
      <w:r w:rsidR="00B7025E" w:rsidRPr="00B7025E">
        <w:t>(2022</w:t>
      </w:r>
      <w:r w:rsidR="001F08B5">
        <w:t>a</w:t>
      </w:r>
      <w:r w:rsidR="00B7025E" w:rsidRPr="00B7025E">
        <w:t>).</w:t>
      </w:r>
      <w:r w:rsidR="003D640C">
        <w:t xml:space="preserve"> </w:t>
      </w:r>
      <w:r w:rsidR="00B7025E" w:rsidRPr="00B7025E">
        <w:t>Religious</w:t>
      </w:r>
      <w:r w:rsidR="003D640C">
        <w:t xml:space="preserve"> </w:t>
      </w:r>
      <w:r w:rsidR="00B7025E" w:rsidRPr="00B7025E">
        <w:t>trauma</w:t>
      </w:r>
      <w:r w:rsidR="003D640C">
        <w:t xml:space="preserve"> </w:t>
      </w:r>
      <w:r w:rsidR="00B7025E" w:rsidRPr="00B7025E">
        <w:t>and</w:t>
      </w:r>
      <w:r w:rsidR="003D640C">
        <w:t xml:space="preserve"> </w:t>
      </w:r>
      <w:r w:rsidR="00B7025E" w:rsidRPr="00B7025E">
        <w:t>moral</w:t>
      </w:r>
      <w:r w:rsidR="003D640C">
        <w:t xml:space="preserve"> </w:t>
      </w:r>
      <w:r w:rsidR="00B7025E" w:rsidRPr="00B7025E">
        <w:t>injury</w:t>
      </w:r>
      <w:r w:rsidR="003D640C">
        <w:t xml:space="preserve"> </w:t>
      </w:r>
      <w:r w:rsidR="00B7025E" w:rsidRPr="00B7025E">
        <w:t>from</w:t>
      </w:r>
      <w:r w:rsidR="003D640C">
        <w:t xml:space="preserve"> </w:t>
      </w:r>
      <w:r w:rsidR="00B7025E" w:rsidRPr="00B7025E">
        <w:t>LGBTQA+</w:t>
      </w:r>
      <w:r w:rsidR="003D640C">
        <w:t xml:space="preserve"> </w:t>
      </w:r>
      <w:r w:rsidR="00B7025E" w:rsidRPr="00B7025E">
        <w:t>conversion</w:t>
      </w:r>
      <w:r w:rsidR="003D640C">
        <w:t xml:space="preserve"> </w:t>
      </w:r>
      <w:r w:rsidR="00B7025E" w:rsidRPr="00B7025E">
        <w:t>practices.</w:t>
      </w:r>
      <w:r w:rsidR="003D640C">
        <w:t xml:space="preserve"> </w:t>
      </w:r>
      <w:r w:rsidR="00B7025E" w:rsidRPr="00B1465F">
        <w:rPr>
          <w:i/>
          <w:iCs/>
        </w:rPr>
        <w:t>Social</w:t>
      </w:r>
      <w:r w:rsidR="003D640C">
        <w:rPr>
          <w:i/>
          <w:iCs/>
        </w:rPr>
        <w:t xml:space="preserve"> </w:t>
      </w:r>
      <w:r w:rsidR="00B7025E" w:rsidRPr="00B1465F">
        <w:rPr>
          <w:i/>
          <w:iCs/>
        </w:rPr>
        <w:t>Science</w:t>
      </w:r>
      <w:r w:rsidR="003D640C">
        <w:rPr>
          <w:i/>
          <w:iCs/>
        </w:rPr>
        <w:t xml:space="preserve"> </w:t>
      </w:r>
      <w:r w:rsidR="00B7025E" w:rsidRPr="00B1465F">
        <w:rPr>
          <w:i/>
          <w:iCs/>
        </w:rPr>
        <w:t>&amp;</w:t>
      </w:r>
      <w:r w:rsidR="003D640C">
        <w:rPr>
          <w:i/>
          <w:iCs/>
        </w:rPr>
        <w:t xml:space="preserve"> </w:t>
      </w:r>
      <w:r w:rsidR="00B7025E" w:rsidRPr="00B1465F">
        <w:rPr>
          <w:i/>
          <w:iCs/>
        </w:rPr>
        <w:t>Medicine,</w:t>
      </w:r>
      <w:r w:rsidR="003D640C">
        <w:t xml:space="preserve"> </w:t>
      </w:r>
      <w:r w:rsidR="00B7025E" w:rsidRPr="00B7025E">
        <w:t>305</w:t>
      </w:r>
      <w:r w:rsidR="00EC7C1F">
        <w:t xml:space="preserve">, </w:t>
      </w:r>
      <w:r w:rsidR="00B7025E" w:rsidRPr="00B7025E">
        <w:t>115040</w:t>
      </w:r>
      <w:r w:rsidR="003922B4">
        <w:t>.</w:t>
      </w:r>
      <w:r w:rsidR="003D640C">
        <w:t xml:space="preserve"> </w:t>
      </w:r>
    </w:p>
  </w:footnote>
  <w:footnote w:id="76">
    <w:p w14:paraId="42DDDF92" w14:textId="76FAE0A4" w:rsidR="00613B69" w:rsidRDefault="00613B69" w:rsidP="00C2162C">
      <w:pPr>
        <w:pStyle w:val="FootnoteText"/>
      </w:pPr>
      <w:r>
        <w:rPr>
          <w:rStyle w:val="FootnoteReference"/>
        </w:rPr>
        <w:footnoteRef/>
      </w:r>
      <w:r w:rsidR="003D640C">
        <w:t xml:space="preserve"> </w:t>
      </w:r>
      <w:r>
        <w:t>Jones,</w:t>
      </w:r>
      <w:r w:rsidR="003D640C">
        <w:t xml:space="preserve"> </w:t>
      </w:r>
      <w:r>
        <w:t>T.,</w:t>
      </w:r>
      <w:r w:rsidR="003D640C">
        <w:t xml:space="preserve"> </w:t>
      </w:r>
      <w:r>
        <w:t>Brown,</w:t>
      </w:r>
      <w:r w:rsidR="003D640C">
        <w:t xml:space="preserve"> </w:t>
      </w:r>
      <w:r>
        <w:t>A.,</w:t>
      </w:r>
      <w:r w:rsidR="003D640C">
        <w:t xml:space="preserve"> </w:t>
      </w:r>
      <w:r>
        <w:t>Carnie,</w:t>
      </w:r>
      <w:r w:rsidR="003D640C">
        <w:t xml:space="preserve"> </w:t>
      </w:r>
      <w:r>
        <w:t>L.,</w:t>
      </w:r>
      <w:r w:rsidR="003D640C">
        <w:t xml:space="preserve"> </w:t>
      </w:r>
      <w:r>
        <w:t>Fletcher,</w:t>
      </w:r>
      <w:r w:rsidR="003D640C">
        <w:t xml:space="preserve"> </w:t>
      </w:r>
      <w:r>
        <w:t>G.,</w:t>
      </w:r>
      <w:r w:rsidR="003D640C">
        <w:t xml:space="preserve"> </w:t>
      </w:r>
      <w:r>
        <w:t>&amp;</w:t>
      </w:r>
      <w:r w:rsidR="003D640C">
        <w:t xml:space="preserve"> </w:t>
      </w:r>
      <w:r>
        <w:t>Leonard,</w:t>
      </w:r>
      <w:r w:rsidR="003D640C">
        <w:t xml:space="preserve"> </w:t>
      </w:r>
      <w:r>
        <w:t>W.,</w:t>
      </w:r>
      <w:r w:rsidR="003D640C">
        <w:t xml:space="preserve"> </w:t>
      </w:r>
      <w:r>
        <w:t>(2018).</w:t>
      </w:r>
      <w:r w:rsidR="003D640C">
        <w:t xml:space="preserve"> </w:t>
      </w:r>
      <w:r w:rsidRPr="007B139B">
        <w:rPr>
          <w:i/>
          <w:iCs/>
        </w:rPr>
        <w:t>Preventing</w:t>
      </w:r>
      <w:r w:rsidR="003D640C" w:rsidRPr="007B139B">
        <w:rPr>
          <w:i/>
          <w:iCs/>
        </w:rPr>
        <w:t xml:space="preserve"> </w:t>
      </w:r>
      <w:r w:rsidRPr="007B139B">
        <w:rPr>
          <w:i/>
          <w:iCs/>
        </w:rPr>
        <w:t>harm,</w:t>
      </w:r>
      <w:r w:rsidR="003D640C" w:rsidRPr="007B139B">
        <w:rPr>
          <w:i/>
          <w:iCs/>
        </w:rPr>
        <w:t xml:space="preserve"> </w:t>
      </w:r>
      <w:r w:rsidRPr="007B139B">
        <w:rPr>
          <w:i/>
          <w:iCs/>
        </w:rPr>
        <w:t>promoting</w:t>
      </w:r>
      <w:r w:rsidR="003D640C" w:rsidRPr="007B139B">
        <w:rPr>
          <w:i/>
          <w:iCs/>
        </w:rPr>
        <w:t xml:space="preserve"> </w:t>
      </w:r>
      <w:r w:rsidRPr="007B139B">
        <w:rPr>
          <w:i/>
          <w:iCs/>
        </w:rPr>
        <w:t>justice:</w:t>
      </w:r>
      <w:r w:rsidR="003D640C" w:rsidRPr="007B139B">
        <w:rPr>
          <w:i/>
          <w:iCs/>
        </w:rPr>
        <w:t xml:space="preserve"> </w:t>
      </w:r>
      <w:r w:rsidRPr="007B139B">
        <w:rPr>
          <w:i/>
          <w:iCs/>
        </w:rPr>
        <w:t>Responding</w:t>
      </w:r>
      <w:r w:rsidR="003D640C" w:rsidRPr="007B139B">
        <w:rPr>
          <w:i/>
          <w:iCs/>
        </w:rPr>
        <w:t xml:space="preserve"> </w:t>
      </w:r>
      <w:r w:rsidRPr="007B139B">
        <w:rPr>
          <w:i/>
          <w:iCs/>
        </w:rPr>
        <w:t>to</w:t>
      </w:r>
      <w:r w:rsidR="003D640C" w:rsidRPr="007B139B">
        <w:rPr>
          <w:i/>
          <w:iCs/>
        </w:rPr>
        <w:t xml:space="preserve"> </w:t>
      </w:r>
      <w:r w:rsidRPr="007B139B">
        <w:rPr>
          <w:i/>
          <w:iCs/>
        </w:rPr>
        <w:t>LGBT</w:t>
      </w:r>
      <w:r w:rsidR="003D640C" w:rsidRPr="007B139B">
        <w:rPr>
          <w:i/>
          <w:iCs/>
        </w:rPr>
        <w:t xml:space="preserve"> </w:t>
      </w:r>
      <w:r w:rsidRPr="007B139B">
        <w:rPr>
          <w:i/>
          <w:iCs/>
        </w:rPr>
        <w:t>conversion</w:t>
      </w:r>
      <w:r w:rsidR="003D640C" w:rsidRPr="007B139B">
        <w:rPr>
          <w:i/>
          <w:iCs/>
        </w:rPr>
        <w:t xml:space="preserve"> </w:t>
      </w:r>
      <w:r w:rsidRPr="007B139B">
        <w:rPr>
          <w:i/>
          <w:iCs/>
        </w:rPr>
        <w:t>therapy</w:t>
      </w:r>
      <w:r w:rsidR="003D640C" w:rsidRPr="007B139B">
        <w:rPr>
          <w:i/>
          <w:iCs/>
        </w:rPr>
        <w:t xml:space="preserve"> </w:t>
      </w:r>
      <w:r w:rsidRPr="007B139B">
        <w:rPr>
          <w:i/>
          <w:iCs/>
        </w:rPr>
        <w:t>in</w:t>
      </w:r>
      <w:r w:rsidR="003D640C" w:rsidRPr="007B139B">
        <w:rPr>
          <w:i/>
          <w:iCs/>
        </w:rPr>
        <w:t xml:space="preserve"> </w:t>
      </w:r>
      <w:r w:rsidRPr="007B139B">
        <w:rPr>
          <w:i/>
          <w:iCs/>
        </w:rPr>
        <w:t>Australia</w:t>
      </w:r>
      <w:r w:rsidDel="004C0541">
        <w:t>.</w:t>
      </w:r>
      <w:r w:rsidR="003D640C" w:rsidDel="004C0541">
        <w:t xml:space="preserve"> </w:t>
      </w:r>
    </w:p>
  </w:footnote>
  <w:footnote w:id="77">
    <w:p w14:paraId="36A480AA" w14:textId="3F364CFB" w:rsidR="00D05424" w:rsidRPr="00A1266A" w:rsidRDefault="00D05424" w:rsidP="00C2162C">
      <w:pPr>
        <w:pStyle w:val="FootnoteText"/>
      </w:pPr>
      <w:r>
        <w:rPr>
          <w:rStyle w:val="FootnoteReference"/>
        </w:rPr>
        <w:footnoteRef/>
      </w:r>
      <w:r w:rsidR="003D640C">
        <w:t xml:space="preserve"> </w:t>
      </w:r>
      <w:r w:rsidR="004C0541">
        <w:t>Ibid</w:t>
      </w:r>
      <w:r w:rsidR="006166A1">
        <w:t>.</w:t>
      </w:r>
      <w:r w:rsidR="003D640C">
        <w:t xml:space="preserve"> </w:t>
      </w:r>
    </w:p>
  </w:footnote>
  <w:footnote w:id="78">
    <w:p w14:paraId="3F2530F9" w14:textId="2BB8C9B2" w:rsidR="00D05424" w:rsidRPr="003B4B2F" w:rsidRDefault="00D05424" w:rsidP="00E00167">
      <w:pPr>
        <w:pStyle w:val="FootnoteText"/>
      </w:pPr>
      <w:r>
        <w:rPr>
          <w:rStyle w:val="FootnoteReference"/>
        </w:rPr>
        <w:footnoteRef/>
      </w:r>
      <w:r w:rsidR="003D640C">
        <w:t xml:space="preserve"> </w:t>
      </w:r>
      <w:r w:rsidR="009A6E14">
        <w:t>Jowett et al., 2021</w:t>
      </w:r>
      <w:r w:rsidR="000512C3">
        <w:t>.</w:t>
      </w:r>
    </w:p>
  </w:footnote>
  <w:footnote w:id="79">
    <w:p w14:paraId="10D49EDF" w14:textId="4DBA4B1A" w:rsidR="00D05424" w:rsidRPr="009E213B" w:rsidRDefault="00D05424" w:rsidP="00E00167">
      <w:pPr>
        <w:pStyle w:val="FootnoteText"/>
      </w:pPr>
      <w:r>
        <w:rPr>
          <w:rStyle w:val="FootnoteReference"/>
        </w:rPr>
        <w:footnoteRef/>
      </w:r>
      <w:r w:rsidR="003D640C">
        <w:t xml:space="preserve"> </w:t>
      </w:r>
      <w:r>
        <w:t>Jones</w:t>
      </w:r>
      <w:r w:rsidR="003D640C">
        <w:t xml:space="preserve"> </w:t>
      </w:r>
      <w:r>
        <w:t>et</w:t>
      </w:r>
      <w:r w:rsidR="003D640C">
        <w:t xml:space="preserve"> </w:t>
      </w:r>
      <w:r>
        <w:t>al.,</w:t>
      </w:r>
      <w:r w:rsidR="003D640C">
        <w:t xml:space="preserve"> </w:t>
      </w:r>
      <w:r>
        <w:t>2018</w:t>
      </w:r>
      <w:r w:rsidR="00900F1C">
        <w:t>.</w:t>
      </w:r>
    </w:p>
  </w:footnote>
  <w:footnote w:id="80">
    <w:p w14:paraId="311D89F8" w14:textId="0DC81E00" w:rsidR="002954CA" w:rsidRPr="002954CA" w:rsidRDefault="002954CA" w:rsidP="00E00167">
      <w:pPr>
        <w:pStyle w:val="FootnoteText"/>
        <w:rPr>
          <w:highlight w:val="yellow"/>
        </w:rPr>
      </w:pPr>
      <w:r w:rsidRPr="00546993">
        <w:rPr>
          <w:rStyle w:val="FootnoteReference"/>
        </w:rPr>
        <w:footnoteRef/>
      </w:r>
      <w:r w:rsidR="003D640C">
        <w:t xml:space="preserve"> </w:t>
      </w:r>
      <w:r w:rsidR="00CF3301" w:rsidRPr="00CF3301">
        <w:t>Public Health Act 2005</w:t>
      </w:r>
      <w:r w:rsidR="00CF3301">
        <w:t xml:space="preserve"> (</w:t>
      </w:r>
      <w:r w:rsidR="00CF3301" w:rsidRPr="00CF3301">
        <w:t>https://www.legislation.qld.gov.au/view/html/inforce/current/act-2005-048#ch.5B</w:t>
      </w:r>
      <w:r w:rsidR="00CF3301">
        <w:t>).</w:t>
      </w:r>
    </w:p>
  </w:footnote>
  <w:footnote w:id="81">
    <w:p w14:paraId="182BEC42" w14:textId="5133ACBB" w:rsidR="002954CA" w:rsidRPr="002954CA" w:rsidRDefault="002954CA" w:rsidP="00E00167">
      <w:pPr>
        <w:pStyle w:val="FootnoteText"/>
        <w:rPr>
          <w:highlight w:val="yellow"/>
        </w:rPr>
      </w:pPr>
      <w:r w:rsidRPr="00B23BC5">
        <w:rPr>
          <w:rStyle w:val="FootnoteReference"/>
        </w:rPr>
        <w:footnoteRef/>
      </w:r>
      <w:r w:rsidR="003D640C">
        <w:t xml:space="preserve"> </w:t>
      </w:r>
      <w:r w:rsidR="00CF3301" w:rsidRPr="00CF3301">
        <w:t>Change or Suppression (Conversion) Practices Prohibition Act 2021</w:t>
      </w:r>
      <w:r w:rsidR="003D640C">
        <w:t xml:space="preserve"> </w:t>
      </w:r>
      <w:r w:rsidR="00CF3301">
        <w:t>(</w:t>
      </w:r>
      <w:r w:rsidR="00CF3301" w:rsidRPr="00CF3301">
        <w:t>https://www.legislation.vic.gov.au/as-made/acts/change-or-suppression-conversion-practices-prohibition-act-2021</w:t>
      </w:r>
      <w:r w:rsidR="00CF3301">
        <w:t>).</w:t>
      </w:r>
    </w:p>
  </w:footnote>
  <w:footnote w:id="82">
    <w:p w14:paraId="1DB12C61" w14:textId="46766DC1" w:rsidR="002954CA" w:rsidRDefault="002954CA" w:rsidP="00E00167">
      <w:pPr>
        <w:pStyle w:val="FootnoteText"/>
      </w:pPr>
      <w:r w:rsidRPr="005132F1">
        <w:rPr>
          <w:rStyle w:val="FootnoteReference"/>
        </w:rPr>
        <w:footnoteRef/>
      </w:r>
      <w:r w:rsidR="003D640C">
        <w:t xml:space="preserve"> </w:t>
      </w:r>
      <w:r w:rsidR="00CF3301" w:rsidRPr="00CF3301">
        <w:t>Sexuality and Gender Identity Conversion Practices Act 2020</w:t>
      </w:r>
      <w:r w:rsidR="003D640C">
        <w:t xml:space="preserve"> </w:t>
      </w:r>
      <w:r w:rsidR="00CF3301">
        <w:t>(</w:t>
      </w:r>
      <w:r w:rsidR="00CF3301" w:rsidRPr="00CF3301">
        <w:t>https://www.legislation.act.gov.au/a/2020-49/</w:t>
      </w:r>
      <w:r w:rsidR="00CF3301">
        <w:t>).</w:t>
      </w:r>
    </w:p>
  </w:footnote>
  <w:footnote w:id="83">
    <w:p w14:paraId="1FA452BC" w14:textId="43410F18" w:rsidR="00E77949" w:rsidRPr="00AA736F" w:rsidRDefault="00E77949" w:rsidP="00E00167">
      <w:pPr>
        <w:pStyle w:val="FootnoteText"/>
        <w:rPr>
          <w:lang w:val="mi-NZ"/>
        </w:rPr>
      </w:pPr>
      <w:r>
        <w:rPr>
          <w:rStyle w:val="FootnoteReference"/>
        </w:rPr>
        <w:footnoteRef/>
      </w:r>
      <w:r w:rsidR="003D640C">
        <w:t xml:space="preserve"> </w:t>
      </w:r>
      <w:r w:rsidR="005C3C4D" w:rsidRPr="005C3C4D">
        <w:t>Jones,</w:t>
      </w:r>
      <w:r w:rsidR="003D640C">
        <w:t xml:space="preserve"> </w:t>
      </w:r>
      <w:r w:rsidR="005C3C4D" w:rsidRPr="005C3C4D">
        <w:t>T.</w:t>
      </w:r>
      <w:r w:rsidR="003D640C">
        <w:t xml:space="preserve"> </w:t>
      </w:r>
      <w:r w:rsidR="005C3C4D" w:rsidRPr="005C3C4D">
        <w:t>(2013</w:t>
      </w:r>
      <w:r w:rsidR="003C6A61">
        <w:t>, June 21</w:t>
      </w:r>
      <w:r w:rsidR="005C3C4D" w:rsidRPr="005C3C4D">
        <w:t>).</w:t>
      </w:r>
      <w:r w:rsidR="003D640C">
        <w:t xml:space="preserve"> </w:t>
      </w:r>
      <w:r w:rsidR="005C3C4D" w:rsidRPr="007B139B">
        <w:rPr>
          <w:i/>
          <w:iCs/>
        </w:rPr>
        <w:t>World’s</w:t>
      </w:r>
      <w:r w:rsidR="003D640C" w:rsidRPr="007B139B">
        <w:rPr>
          <w:i/>
          <w:iCs/>
        </w:rPr>
        <w:t xml:space="preserve"> </w:t>
      </w:r>
      <w:r w:rsidR="005C3C4D" w:rsidRPr="007B139B">
        <w:rPr>
          <w:i/>
          <w:iCs/>
        </w:rPr>
        <w:t>largest</w:t>
      </w:r>
      <w:r w:rsidR="003D640C" w:rsidRPr="007B139B">
        <w:rPr>
          <w:i/>
          <w:iCs/>
        </w:rPr>
        <w:t xml:space="preserve"> </w:t>
      </w:r>
      <w:r w:rsidR="005C3C4D" w:rsidRPr="007B139B">
        <w:rPr>
          <w:i/>
          <w:iCs/>
        </w:rPr>
        <w:t>‘ex-gay’</w:t>
      </w:r>
      <w:r w:rsidR="003D640C" w:rsidRPr="007B139B">
        <w:rPr>
          <w:i/>
          <w:iCs/>
        </w:rPr>
        <w:t xml:space="preserve"> </w:t>
      </w:r>
      <w:r w:rsidR="005C3C4D" w:rsidRPr="007B139B">
        <w:rPr>
          <w:i/>
          <w:iCs/>
        </w:rPr>
        <w:t>organisation</w:t>
      </w:r>
      <w:r w:rsidR="003D640C" w:rsidRPr="007B139B">
        <w:rPr>
          <w:i/>
          <w:iCs/>
        </w:rPr>
        <w:t xml:space="preserve"> </w:t>
      </w:r>
      <w:r w:rsidR="005C3C4D" w:rsidRPr="007B139B">
        <w:rPr>
          <w:i/>
          <w:iCs/>
        </w:rPr>
        <w:t>shuts</w:t>
      </w:r>
      <w:r w:rsidR="003D640C" w:rsidRPr="007B139B">
        <w:rPr>
          <w:i/>
          <w:iCs/>
        </w:rPr>
        <w:t xml:space="preserve"> </w:t>
      </w:r>
      <w:r w:rsidR="005C3C4D" w:rsidRPr="007B139B">
        <w:rPr>
          <w:i/>
          <w:iCs/>
        </w:rPr>
        <w:t>down</w:t>
      </w:r>
      <w:r w:rsidR="005C3C4D" w:rsidRPr="005C3C4D">
        <w:t>.</w:t>
      </w:r>
      <w:r w:rsidR="003D640C">
        <w:t xml:space="preserve"> </w:t>
      </w:r>
      <w:r w:rsidR="005C3C4D" w:rsidRPr="005C3C4D">
        <w:t>The</w:t>
      </w:r>
      <w:r w:rsidR="003D640C">
        <w:t xml:space="preserve"> </w:t>
      </w:r>
      <w:r w:rsidR="005C3C4D" w:rsidRPr="005C3C4D">
        <w:t>Conversation.</w:t>
      </w:r>
      <w:r w:rsidR="003D640C">
        <w:t xml:space="preserve"> </w:t>
      </w:r>
    </w:p>
  </w:footnote>
  <w:footnote w:id="84">
    <w:p w14:paraId="70DCA62C" w14:textId="54F07515" w:rsidR="00B22E77" w:rsidRDefault="00B22E77">
      <w:pPr>
        <w:pStyle w:val="FootnoteText"/>
      </w:pPr>
      <w:r>
        <w:rPr>
          <w:rStyle w:val="FootnoteReference"/>
        </w:rPr>
        <w:footnoteRef/>
      </w:r>
      <w:r>
        <w:t xml:space="preserve"> </w:t>
      </w:r>
      <w:r>
        <w:rPr>
          <w:lang w:val="en-US"/>
        </w:rPr>
        <w:t>Human Rights Commission. (2023</w:t>
      </w:r>
      <w:r w:rsidR="001D5204">
        <w:rPr>
          <w:lang w:val="en-US"/>
        </w:rPr>
        <w:t>b</w:t>
      </w:r>
      <w:r>
        <w:rPr>
          <w:lang w:val="en-US"/>
        </w:rPr>
        <w:t xml:space="preserve">). </w:t>
      </w:r>
      <w:r w:rsidRPr="00984D87">
        <w:rPr>
          <w:rFonts w:ascii="Calibri" w:hAnsi="Calibri" w:cs="Calibri"/>
          <w:i/>
          <w:iCs/>
          <w:lang w:val="mi-NZ"/>
        </w:rPr>
        <w:t>Conversion</w:t>
      </w:r>
      <w:r>
        <w:rPr>
          <w:rFonts w:ascii="Calibri" w:hAnsi="Calibri" w:cs="Calibri"/>
          <w:i/>
          <w:iCs/>
          <w:lang w:val="mi-NZ"/>
        </w:rPr>
        <w:t xml:space="preserve"> p</w:t>
      </w:r>
      <w:r w:rsidRPr="00984D87">
        <w:rPr>
          <w:rFonts w:ascii="Calibri" w:hAnsi="Calibri" w:cs="Calibri"/>
          <w:i/>
          <w:iCs/>
          <w:lang w:val="mi-NZ"/>
        </w:rPr>
        <w:t>ractices</w:t>
      </w:r>
      <w:r>
        <w:rPr>
          <w:rFonts w:ascii="Calibri" w:hAnsi="Calibri" w:cs="Calibri"/>
          <w:i/>
          <w:iCs/>
          <w:lang w:val="mi-NZ"/>
        </w:rPr>
        <w:t>: Guidance for people working in religious communities.</w:t>
      </w:r>
    </w:p>
  </w:footnote>
  <w:footnote w:id="85">
    <w:p w14:paraId="769AA43D" w14:textId="30B2ECD9" w:rsidR="00D05424" w:rsidRPr="009D6C36" w:rsidRDefault="00D05424" w:rsidP="00E00167">
      <w:pPr>
        <w:pStyle w:val="FootnoteText"/>
        <w:rPr>
          <w:lang w:val="mi-NZ"/>
        </w:rPr>
      </w:pPr>
      <w:r>
        <w:rPr>
          <w:rStyle w:val="FootnoteReference"/>
        </w:rPr>
        <w:footnoteRef/>
      </w:r>
      <w:r w:rsidR="003D640C">
        <w:t xml:space="preserve"> </w:t>
      </w:r>
      <w:r w:rsidR="00C96C8A" w:rsidRPr="004B01BB">
        <w:rPr>
          <w:lang w:val="mi-NZ"/>
        </w:rPr>
        <w:t>Carroll</w:t>
      </w:r>
      <w:r w:rsidR="003D640C">
        <w:rPr>
          <w:lang w:val="mi-NZ"/>
        </w:rPr>
        <w:t xml:space="preserve"> </w:t>
      </w:r>
      <w:r>
        <w:rPr>
          <w:lang w:val="mi-NZ"/>
        </w:rPr>
        <w:t>et</w:t>
      </w:r>
      <w:r w:rsidR="003D640C">
        <w:rPr>
          <w:lang w:val="mi-NZ"/>
        </w:rPr>
        <w:t xml:space="preserve"> </w:t>
      </w:r>
      <w:r>
        <w:rPr>
          <w:lang w:val="mi-NZ"/>
        </w:rPr>
        <w:t>al.</w:t>
      </w:r>
      <w:r w:rsidR="00655F27">
        <w:rPr>
          <w:lang w:val="mi-NZ"/>
        </w:rPr>
        <w:t>,</w:t>
      </w:r>
      <w:r w:rsidR="003D640C">
        <w:rPr>
          <w:lang w:val="mi-NZ"/>
        </w:rPr>
        <w:t xml:space="preserve"> </w:t>
      </w:r>
      <w:r>
        <w:rPr>
          <w:lang w:val="mi-NZ"/>
        </w:rPr>
        <w:t>2023</w:t>
      </w:r>
      <w:r w:rsidR="0035296C">
        <w:rPr>
          <w:lang w:val="mi-NZ"/>
        </w:rPr>
        <w:t>.</w:t>
      </w:r>
    </w:p>
  </w:footnote>
  <w:footnote w:id="86">
    <w:p w14:paraId="538D479E" w14:textId="6831C13D" w:rsidR="00491A62" w:rsidRPr="00B24310" w:rsidRDefault="00491A62" w:rsidP="00E00167">
      <w:pPr>
        <w:pStyle w:val="FootnoteText"/>
        <w:rPr>
          <w:lang w:val="mi-NZ"/>
        </w:rPr>
      </w:pPr>
      <w:r>
        <w:rPr>
          <w:rStyle w:val="FootnoteReference"/>
        </w:rPr>
        <w:footnoteRef/>
      </w:r>
      <w:r w:rsidR="003D640C">
        <w:t xml:space="preserve"> </w:t>
      </w:r>
      <w:r w:rsidR="00655F27" w:rsidRPr="000B2D0F">
        <w:t>Stats</w:t>
      </w:r>
      <w:r w:rsidR="00655F27">
        <w:t xml:space="preserve"> </w:t>
      </w:r>
      <w:r w:rsidR="00655F27" w:rsidRPr="000B2D0F">
        <w:t>NZ</w:t>
      </w:r>
      <w:r w:rsidR="00655F27">
        <w:t>.</w:t>
      </w:r>
      <w:r w:rsidR="00655F27" w:rsidRPr="000B2D0F">
        <w:t xml:space="preserve"> (2022,</w:t>
      </w:r>
      <w:r w:rsidR="00655F27">
        <w:t xml:space="preserve"> </w:t>
      </w:r>
      <w:r w:rsidR="00655F27" w:rsidRPr="000B2D0F">
        <w:t>November</w:t>
      </w:r>
      <w:r w:rsidR="00655F27">
        <w:t xml:space="preserve"> </w:t>
      </w:r>
      <w:r w:rsidR="00655F27" w:rsidRPr="000B2D0F">
        <w:t>9).</w:t>
      </w:r>
      <w:r w:rsidR="00655F27">
        <w:t xml:space="preserve"> </w:t>
      </w:r>
      <w:r w:rsidRPr="007B139B">
        <w:rPr>
          <w:i/>
          <w:iCs/>
        </w:rPr>
        <w:t>LGBT+</w:t>
      </w:r>
      <w:r w:rsidR="003D640C" w:rsidRPr="007B139B">
        <w:rPr>
          <w:i/>
          <w:iCs/>
        </w:rPr>
        <w:t xml:space="preserve"> </w:t>
      </w:r>
      <w:r w:rsidRPr="007B139B">
        <w:rPr>
          <w:i/>
          <w:iCs/>
        </w:rPr>
        <w:t>population</w:t>
      </w:r>
      <w:r w:rsidR="003D640C" w:rsidRPr="007B139B">
        <w:rPr>
          <w:i/>
          <w:iCs/>
        </w:rPr>
        <w:t xml:space="preserve"> </w:t>
      </w:r>
      <w:r w:rsidRPr="007B139B">
        <w:rPr>
          <w:i/>
          <w:iCs/>
        </w:rPr>
        <w:t>of</w:t>
      </w:r>
      <w:r w:rsidR="003D640C" w:rsidRPr="007B139B">
        <w:rPr>
          <w:i/>
          <w:iCs/>
        </w:rPr>
        <w:t xml:space="preserve"> </w:t>
      </w:r>
      <w:r w:rsidRPr="007B139B">
        <w:rPr>
          <w:i/>
          <w:iCs/>
        </w:rPr>
        <w:t>Aotearoa:</w:t>
      </w:r>
      <w:r w:rsidR="003D640C" w:rsidRPr="007B139B">
        <w:rPr>
          <w:i/>
          <w:iCs/>
        </w:rPr>
        <w:t xml:space="preserve"> </w:t>
      </w:r>
      <w:r w:rsidRPr="007B139B">
        <w:rPr>
          <w:i/>
          <w:iCs/>
        </w:rPr>
        <w:t>Year</w:t>
      </w:r>
      <w:r w:rsidR="003D640C" w:rsidRPr="007B139B">
        <w:rPr>
          <w:i/>
          <w:iCs/>
        </w:rPr>
        <w:t xml:space="preserve"> </w:t>
      </w:r>
      <w:r w:rsidRPr="007B139B">
        <w:rPr>
          <w:i/>
          <w:iCs/>
        </w:rPr>
        <w:t>ended</w:t>
      </w:r>
      <w:r w:rsidR="003D640C" w:rsidRPr="007B139B">
        <w:rPr>
          <w:i/>
          <w:iCs/>
        </w:rPr>
        <w:t xml:space="preserve"> </w:t>
      </w:r>
      <w:r w:rsidRPr="007B139B">
        <w:rPr>
          <w:i/>
          <w:iCs/>
        </w:rPr>
        <w:t>June</w:t>
      </w:r>
      <w:r w:rsidR="003D640C" w:rsidRPr="007B139B">
        <w:rPr>
          <w:i/>
          <w:iCs/>
        </w:rPr>
        <w:t xml:space="preserve"> </w:t>
      </w:r>
      <w:r w:rsidRPr="007B139B">
        <w:rPr>
          <w:i/>
          <w:iCs/>
        </w:rPr>
        <w:t>2021</w:t>
      </w:r>
      <w:r w:rsidRPr="000B2D0F">
        <w:t>.</w:t>
      </w:r>
    </w:p>
  </w:footnote>
  <w:footnote w:id="87">
    <w:p w14:paraId="51747B94" w14:textId="1921AA52" w:rsidR="00D05424" w:rsidRDefault="00D05424" w:rsidP="00E00167">
      <w:pPr>
        <w:pStyle w:val="FootnoteText"/>
      </w:pPr>
      <w:r w:rsidRPr="1B57FB80">
        <w:rPr>
          <w:rStyle w:val="FootnoteReference"/>
        </w:rPr>
        <w:footnoteRef/>
      </w:r>
      <w:r w:rsidR="003D640C">
        <w:t xml:space="preserve"> </w:t>
      </w:r>
      <w:r>
        <w:t>Fenaughty</w:t>
      </w:r>
      <w:r w:rsidR="003D640C">
        <w:t xml:space="preserve"> </w:t>
      </w:r>
      <w:r w:rsidR="00F03CE6">
        <w:t>et</w:t>
      </w:r>
      <w:r w:rsidR="003D640C">
        <w:t xml:space="preserve"> </w:t>
      </w:r>
      <w:r w:rsidR="00F03CE6">
        <w:t>al.</w:t>
      </w:r>
      <w:r w:rsidR="00E626E4">
        <w:t>,</w:t>
      </w:r>
      <w:r w:rsidR="003D640C">
        <w:t xml:space="preserve"> </w:t>
      </w:r>
      <w:r>
        <w:t>2023</w:t>
      </w:r>
      <w:r w:rsidR="00A87072">
        <w:t>;</w:t>
      </w:r>
      <w:r w:rsidR="00A87072" w:rsidRPr="00A87072">
        <w:t xml:space="preserve"> </w:t>
      </w:r>
      <w:r w:rsidR="00A87072">
        <w:t>Veale et al., 2022.</w:t>
      </w:r>
    </w:p>
  </w:footnote>
  <w:footnote w:id="88">
    <w:p w14:paraId="7CB5AD03" w14:textId="69214320" w:rsidR="00D05424" w:rsidRDefault="00D05424" w:rsidP="00E00167">
      <w:pPr>
        <w:pStyle w:val="FootnoteText"/>
      </w:pPr>
      <w:r w:rsidRPr="1B57FB80">
        <w:rPr>
          <w:rStyle w:val="FootnoteReference"/>
        </w:rPr>
        <w:footnoteRef/>
      </w:r>
      <w:r w:rsidR="003D640C">
        <w:t xml:space="preserve"> </w:t>
      </w:r>
      <w:r w:rsidR="003066D0">
        <w:t>Jones,</w:t>
      </w:r>
      <w:r w:rsidR="003D640C">
        <w:t xml:space="preserve"> </w:t>
      </w:r>
      <w:r w:rsidR="003066D0">
        <w:t>T.</w:t>
      </w:r>
      <w:r w:rsidR="003D640C">
        <w:t xml:space="preserve"> </w:t>
      </w:r>
      <w:r w:rsidR="003066D0">
        <w:t>W.,</w:t>
      </w:r>
      <w:r w:rsidR="003D640C">
        <w:t xml:space="preserve"> </w:t>
      </w:r>
      <w:r w:rsidR="003066D0">
        <w:t>Jones,</w:t>
      </w:r>
      <w:r w:rsidR="003D640C">
        <w:t xml:space="preserve"> </w:t>
      </w:r>
      <w:r w:rsidR="003066D0">
        <w:t>T.</w:t>
      </w:r>
      <w:r w:rsidR="003D640C">
        <w:t xml:space="preserve"> </w:t>
      </w:r>
      <w:r w:rsidR="003066D0">
        <w:t>M.,</w:t>
      </w:r>
      <w:r w:rsidR="003D640C">
        <w:t xml:space="preserve"> </w:t>
      </w:r>
      <w:r w:rsidR="003066D0">
        <w:t>Power,</w:t>
      </w:r>
      <w:r w:rsidR="003D640C">
        <w:t xml:space="preserve"> </w:t>
      </w:r>
      <w:r w:rsidR="003066D0">
        <w:t>J.,</w:t>
      </w:r>
      <w:r w:rsidR="003D640C">
        <w:t xml:space="preserve"> </w:t>
      </w:r>
      <w:r w:rsidR="003066D0">
        <w:t>Despott,</w:t>
      </w:r>
      <w:r w:rsidR="003D640C">
        <w:t xml:space="preserve"> </w:t>
      </w:r>
      <w:r w:rsidR="003066D0">
        <w:t>N.,</w:t>
      </w:r>
      <w:r w:rsidR="003D640C">
        <w:t xml:space="preserve"> </w:t>
      </w:r>
      <w:r w:rsidR="003066D0">
        <w:t>&amp;</w:t>
      </w:r>
      <w:r w:rsidR="003D640C">
        <w:t xml:space="preserve"> </w:t>
      </w:r>
      <w:r w:rsidR="003066D0">
        <w:t>Pallotta-Chiarolli,</w:t>
      </w:r>
      <w:r w:rsidR="003D640C">
        <w:t xml:space="preserve"> </w:t>
      </w:r>
      <w:r w:rsidR="003066D0">
        <w:t>M.</w:t>
      </w:r>
      <w:r w:rsidR="003D640C">
        <w:t xml:space="preserve"> </w:t>
      </w:r>
      <w:r w:rsidR="003066D0">
        <w:t>(2021a).</w:t>
      </w:r>
      <w:r w:rsidR="003D640C">
        <w:t xml:space="preserve"> </w:t>
      </w:r>
      <w:r w:rsidR="003066D0" w:rsidRPr="007B139B">
        <w:rPr>
          <w:i/>
          <w:iCs/>
        </w:rPr>
        <w:t>Healing</w:t>
      </w:r>
      <w:r w:rsidR="003D640C" w:rsidRPr="007B139B">
        <w:rPr>
          <w:i/>
          <w:iCs/>
        </w:rPr>
        <w:t xml:space="preserve"> </w:t>
      </w:r>
      <w:r w:rsidR="003066D0" w:rsidRPr="007B139B">
        <w:rPr>
          <w:i/>
          <w:iCs/>
        </w:rPr>
        <w:t>spiritual</w:t>
      </w:r>
      <w:r w:rsidR="003D640C" w:rsidRPr="007B139B">
        <w:rPr>
          <w:i/>
          <w:iCs/>
        </w:rPr>
        <w:t xml:space="preserve"> </w:t>
      </w:r>
      <w:r w:rsidR="003066D0" w:rsidRPr="007B139B">
        <w:rPr>
          <w:i/>
          <w:iCs/>
        </w:rPr>
        <w:t>harms:</w:t>
      </w:r>
      <w:r w:rsidR="003D640C" w:rsidRPr="007B139B">
        <w:rPr>
          <w:i/>
          <w:iCs/>
        </w:rPr>
        <w:t xml:space="preserve"> </w:t>
      </w:r>
      <w:r w:rsidR="003066D0" w:rsidRPr="007B139B">
        <w:rPr>
          <w:i/>
          <w:iCs/>
        </w:rPr>
        <w:t>supporting</w:t>
      </w:r>
      <w:r w:rsidR="003D640C" w:rsidRPr="007B139B">
        <w:rPr>
          <w:i/>
          <w:iCs/>
        </w:rPr>
        <w:t xml:space="preserve"> </w:t>
      </w:r>
      <w:r w:rsidR="003066D0" w:rsidRPr="007B139B">
        <w:rPr>
          <w:i/>
          <w:iCs/>
        </w:rPr>
        <w:t>recovery</w:t>
      </w:r>
      <w:r w:rsidR="003D640C" w:rsidRPr="007B139B">
        <w:rPr>
          <w:i/>
          <w:iCs/>
        </w:rPr>
        <w:t xml:space="preserve"> </w:t>
      </w:r>
      <w:r w:rsidR="003066D0" w:rsidRPr="007B139B">
        <w:rPr>
          <w:i/>
          <w:iCs/>
        </w:rPr>
        <w:t>from</w:t>
      </w:r>
      <w:r w:rsidR="003D640C" w:rsidRPr="007B139B">
        <w:rPr>
          <w:i/>
          <w:iCs/>
        </w:rPr>
        <w:t xml:space="preserve"> </w:t>
      </w:r>
      <w:r w:rsidR="003066D0" w:rsidRPr="007B139B">
        <w:rPr>
          <w:i/>
          <w:iCs/>
        </w:rPr>
        <w:t>LGBTQA+</w:t>
      </w:r>
      <w:r w:rsidR="003D640C" w:rsidRPr="007B139B">
        <w:rPr>
          <w:i/>
          <w:iCs/>
        </w:rPr>
        <w:t xml:space="preserve"> </w:t>
      </w:r>
      <w:r w:rsidR="003066D0" w:rsidRPr="007B139B">
        <w:rPr>
          <w:i/>
          <w:iCs/>
        </w:rPr>
        <w:t>change</w:t>
      </w:r>
      <w:r w:rsidR="003D640C" w:rsidRPr="007B139B">
        <w:rPr>
          <w:i/>
          <w:iCs/>
        </w:rPr>
        <w:t xml:space="preserve"> </w:t>
      </w:r>
      <w:r w:rsidR="003066D0" w:rsidRPr="007B139B">
        <w:rPr>
          <w:i/>
          <w:iCs/>
        </w:rPr>
        <w:t>and</w:t>
      </w:r>
      <w:r w:rsidR="003D640C" w:rsidRPr="007B139B">
        <w:rPr>
          <w:i/>
          <w:iCs/>
        </w:rPr>
        <w:t xml:space="preserve"> </w:t>
      </w:r>
      <w:r w:rsidR="003066D0" w:rsidRPr="007B139B">
        <w:rPr>
          <w:i/>
          <w:iCs/>
        </w:rPr>
        <w:t>suppression</w:t>
      </w:r>
      <w:r w:rsidR="003D640C" w:rsidRPr="007B139B">
        <w:rPr>
          <w:i/>
          <w:iCs/>
        </w:rPr>
        <w:t xml:space="preserve"> </w:t>
      </w:r>
      <w:r w:rsidR="003066D0" w:rsidRPr="007B139B">
        <w:rPr>
          <w:i/>
          <w:iCs/>
        </w:rPr>
        <w:t>practices</w:t>
      </w:r>
      <w:r w:rsidR="003066D0">
        <w:t>.</w:t>
      </w:r>
      <w:r w:rsidR="003D640C">
        <w:t xml:space="preserve"> </w:t>
      </w:r>
      <w:r w:rsidR="003066D0">
        <w:t>La</w:t>
      </w:r>
      <w:r w:rsidR="003D640C">
        <w:t xml:space="preserve"> </w:t>
      </w:r>
      <w:r w:rsidR="003066D0">
        <w:t>Trobe</w:t>
      </w:r>
      <w:r w:rsidR="003D640C">
        <w:t xml:space="preserve"> </w:t>
      </w:r>
      <w:r w:rsidR="003066D0">
        <w:t>University.</w:t>
      </w:r>
      <w:r w:rsidR="003D640C">
        <w:t xml:space="preserve"> </w:t>
      </w:r>
    </w:p>
  </w:footnote>
  <w:footnote w:id="89">
    <w:p w14:paraId="60BB3A88" w14:textId="52D80D84" w:rsidR="00D05424" w:rsidRDefault="00D05424" w:rsidP="00E00167">
      <w:pPr>
        <w:pStyle w:val="FootnoteText"/>
      </w:pPr>
      <w:r w:rsidRPr="1B57FB80">
        <w:rPr>
          <w:rStyle w:val="FootnoteReference"/>
        </w:rPr>
        <w:footnoteRef/>
      </w:r>
      <w:r w:rsidR="003D640C">
        <w:t xml:space="preserve"> </w:t>
      </w:r>
      <w:r w:rsidR="001E15D6" w:rsidRPr="001E15D6">
        <w:t>Treharne,</w:t>
      </w:r>
      <w:r w:rsidR="003D640C">
        <w:t xml:space="preserve"> </w:t>
      </w:r>
      <w:r w:rsidR="001E15D6" w:rsidRPr="001E15D6">
        <w:t>G.</w:t>
      </w:r>
      <w:r w:rsidR="00EB283D">
        <w:t xml:space="preserve"> </w:t>
      </w:r>
      <w:r w:rsidR="001E15D6" w:rsidRPr="001E15D6">
        <w:t>J.,</w:t>
      </w:r>
      <w:r w:rsidR="003D640C">
        <w:t xml:space="preserve"> </w:t>
      </w:r>
      <w:r w:rsidR="001E15D6" w:rsidRPr="001E15D6">
        <w:t>Carroll,</w:t>
      </w:r>
      <w:r w:rsidR="003D640C">
        <w:t xml:space="preserve"> </w:t>
      </w:r>
      <w:r w:rsidR="001E15D6" w:rsidRPr="001E15D6">
        <w:t>R.,</w:t>
      </w:r>
      <w:r w:rsidR="003D640C">
        <w:t xml:space="preserve"> </w:t>
      </w:r>
      <w:r w:rsidR="001E15D6" w:rsidRPr="001E15D6">
        <w:t>Tan,</w:t>
      </w:r>
      <w:r w:rsidR="003D640C">
        <w:t xml:space="preserve"> </w:t>
      </w:r>
      <w:r w:rsidR="001E15D6" w:rsidRPr="001E15D6">
        <w:t>K.</w:t>
      </w:r>
      <w:r w:rsidR="00EB283D">
        <w:t xml:space="preserve"> </w:t>
      </w:r>
      <w:r w:rsidR="001E15D6" w:rsidRPr="001E15D6">
        <w:t>K.</w:t>
      </w:r>
      <w:r w:rsidR="00EB283D">
        <w:t xml:space="preserve"> </w:t>
      </w:r>
      <w:r w:rsidR="001E15D6" w:rsidRPr="001E15D6">
        <w:t>H.,</w:t>
      </w:r>
      <w:r w:rsidR="003D640C">
        <w:t xml:space="preserve"> </w:t>
      </w:r>
      <w:r w:rsidR="001E15D6" w:rsidRPr="001E15D6">
        <w:t>&amp;</w:t>
      </w:r>
      <w:r w:rsidR="003D640C">
        <w:t xml:space="preserve"> </w:t>
      </w:r>
      <w:r w:rsidR="001E15D6" w:rsidRPr="001E15D6">
        <w:t>Veale,</w:t>
      </w:r>
      <w:r w:rsidR="003D640C">
        <w:t xml:space="preserve"> </w:t>
      </w:r>
      <w:r w:rsidR="001E15D6" w:rsidRPr="001E15D6">
        <w:t>J.</w:t>
      </w:r>
      <w:r w:rsidR="003D640C">
        <w:t xml:space="preserve"> </w:t>
      </w:r>
      <w:r w:rsidR="001E15D6" w:rsidRPr="001E15D6">
        <w:t>(2022).</w:t>
      </w:r>
      <w:r w:rsidR="003D640C">
        <w:t xml:space="preserve"> </w:t>
      </w:r>
      <w:r w:rsidR="001E15D6" w:rsidRPr="001E15D6">
        <w:t>Supportive</w:t>
      </w:r>
      <w:r w:rsidR="003D640C">
        <w:t xml:space="preserve"> </w:t>
      </w:r>
      <w:r w:rsidR="001E15D6" w:rsidRPr="001E15D6">
        <w:t>interactions</w:t>
      </w:r>
      <w:r w:rsidR="003D640C">
        <w:t xml:space="preserve"> </w:t>
      </w:r>
      <w:r w:rsidR="001E15D6" w:rsidRPr="001E15D6">
        <w:t>with</w:t>
      </w:r>
      <w:r w:rsidR="003D640C">
        <w:t xml:space="preserve"> </w:t>
      </w:r>
      <w:r w:rsidR="001E15D6" w:rsidRPr="001E15D6">
        <w:t>primary</w:t>
      </w:r>
      <w:r w:rsidR="003D640C">
        <w:t xml:space="preserve"> </w:t>
      </w:r>
      <w:r w:rsidR="001E15D6" w:rsidRPr="001E15D6">
        <w:t>care</w:t>
      </w:r>
      <w:r w:rsidR="003D640C">
        <w:t xml:space="preserve"> </w:t>
      </w:r>
      <w:r w:rsidR="001E15D6" w:rsidRPr="001E15D6">
        <w:t>doctors</w:t>
      </w:r>
      <w:r w:rsidR="003D640C">
        <w:t xml:space="preserve"> </w:t>
      </w:r>
      <w:r w:rsidR="001E15D6" w:rsidRPr="001E15D6">
        <w:t>are</w:t>
      </w:r>
      <w:r w:rsidR="003D640C">
        <w:t xml:space="preserve"> </w:t>
      </w:r>
      <w:r w:rsidR="001E15D6" w:rsidRPr="001E15D6">
        <w:t>associated</w:t>
      </w:r>
      <w:r w:rsidR="003D640C">
        <w:t xml:space="preserve"> </w:t>
      </w:r>
      <w:r w:rsidR="001E15D6" w:rsidRPr="001E15D6">
        <w:t>with</w:t>
      </w:r>
      <w:r w:rsidR="003D640C">
        <w:t xml:space="preserve"> </w:t>
      </w:r>
      <w:r w:rsidR="001E15D6" w:rsidRPr="001E15D6">
        <w:t>better</w:t>
      </w:r>
      <w:r w:rsidR="003D640C">
        <w:t xml:space="preserve"> </w:t>
      </w:r>
      <w:r w:rsidR="001E15D6" w:rsidRPr="001E15D6">
        <w:t>mental</w:t>
      </w:r>
      <w:r w:rsidR="003D640C">
        <w:t xml:space="preserve"> </w:t>
      </w:r>
      <w:r w:rsidR="001E15D6" w:rsidRPr="001E15D6">
        <w:t>health</w:t>
      </w:r>
      <w:r w:rsidR="003D640C">
        <w:t xml:space="preserve"> </w:t>
      </w:r>
      <w:r w:rsidR="001E15D6" w:rsidRPr="001E15D6">
        <w:t>among</w:t>
      </w:r>
      <w:r w:rsidR="003D640C">
        <w:t xml:space="preserve"> </w:t>
      </w:r>
      <w:r w:rsidR="001E15D6" w:rsidRPr="001E15D6">
        <w:t>transgender</w:t>
      </w:r>
      <w:r w:rsidR="003D640C">
        <w:t xml:space="preserve"> </w:t>
      </w:r>
      <w:r w:rsidR="001E15D6" w:rsidRPr="001E15D6">
        <w:t>people</w:t>
      </w:r>
      <w:r w:rsidR="00FB2A84">
        <w:t>: Results of a nationwide survey in Aotearoa/New Zealand</w:t>
      </w:r>
      <w:r w:rsidR="00FB2A84" w:rsidRPr="00BB6220">
        <w:rPr>
          <w:i/>
          <w:iCs/>
        </w:rPr>
        <w:t>.</w:t>
      </w:r>
      <w:r w:rsidR="00FB2A84">
        <w:t xml:space="preserve"> </w:t>
      </w:r>
      <w:r w:rsidR="00FB2A84">
        <w:rPr>
          <w:i/>
          <w:iCs/>
        </w:rPr>
        <w:t>Family Practice</w:t>
      </w:r>
      <w:r w:rsidR="00FB2A84">
        <w:t xml:space="preserve">, </w:t>
      </w:r>
      <w:r w:rsidR="00FB2A84">
        <w:rPr>
          <w:i/>
          <w:iCs/>
        </w:rPr>
        <w:t>39</w:t>
      </w:r>
      <w:r w:rsidR="00FB2A84">
        <w:t>(5), 834–842.</w:t>
      </w:r>
    </w:p>
  </w:footnote>
  <w:footnote w:id="90">
    <w:p w14:paraId="4227E4CA" w14:textId="692EF054" w:rsidR="00D05424" w:rsidRDefault="00D05424" w:rsidP="00E00167">
      <w:pPr>
        <w:pStyle w:val="FootnoteText"/>
      </w:pPr>
      <w:r w:rsidRPr="007B5AE3">
        <w:rPr>
          <w:rStyle w:val="FootnoteReference"/>
        </w:rPr>
        <w:footnoteRef/>
      </w:r>
      <w:r w:rsidR="003D640C">
        <w:t xml:space="preserve"> </w:t>
      </w:r>
      <w:r w:rsidR="00B64379" w:rsidRPr="007B5AE3">
        <w:t>Betty</w:t>
      </w:r>
      <w:r w:rsidR="00FB2A84">
        <w:t>,</w:t>
      </w:r>
      <w:r w:rsidR="003D640C">
        <w:t xml:space="preserve"> </w:t>
      </w:r>
      <w:r w:rsidR="00B64379" w:rsidRPr="007B5AE3">
        <w:t>B.</w:t>
      </w:r>
      <w:r w:rsidR="003D640C">
        <w:t xml:space="preserve"> </w:t>
      </w:r>
      <w:r w:rsidR="00B64379" w:rsidRPr="007B5AE3">
        <w:t>(2021).</w:t>
      </w:r>
      <w:r w:rsidR="003D640C">
        <w:t xml:space="preserve"> </w:t>
      </w:r>
      <w:r w:rsidR="007173D5" w:rsidRPr="007B5AE3">
        <w:rPr>
          <w:i/>
          <w:iCs/>
        </w:rPr>
        <w:t>Conversion</w:t>
      </w:r>
      <w:r w:rsidR="003D640C">
        <w:rPr>
          <w:i/>
          <w:iCs/>
        </w:rPr>
        <w:t xml:space="preserve"> </w:t>
      </w:r>
      <w:r w:rsidR="007173D5" w:rsidRPr="007B5AE3">
        <w:rPr>
          <w:i/>
          <w:iCs/>
        </w:rPr>
        <w:t>Practices</w:t>
      </w:r>
      <w:r w:rsidR="003D640C">
        <w:rPr>
          <w:i/>
          <w:iCs/>
        </w:rPr>
        <w:t xml:space="preserve"> </w:t>
      </w:r>
      <w:r w:rsidR="007173D5" w:rsidRPr="007B5AE3">
        <w:rPr>
          <w:i/>
          <w:iCs/>
        </w:rPr>
        <w:t>Prohibition</w:t>
      </w:r>
      <w:r w:rsidR="003D640C">
        <w:rPr>
          <w:i/>
          <w:iCs/>
        </w:rPr>
        <w:t xml:space="preserve"> </w:t>
      </w:r>
      <w:r w:rsidR="007173D5" w:rsidRPr="007B5AE3">
        <w:rPr>
          <w:i/>
          <w:iCs/>
        </w:rPr>
        <w:t>Bill</w:t>
      </w:r>
      <w:r w:rsidR="00FB2A84">
        <w:rPr>
          <w:i/>
          <w:iCs/>
        </w:rPr>
        <w:t>:</w:t>
      </w:r>
      <w:r w:rsidR="003D640C">
        <w:rPr>
          <w:i/>
          <w:iCs/>
        </w:rPr>
        <w:t xml:space="preserve"> </w:t>
      </w:r>
      <w:r w:rsidR="00D66DF8" w:rsidRPr="007B5AE3">
        <w:rPr>
          <w:i/>
          <w:iCs/>
        </w:rPr>
        <w:t>Submission</w:t>
      </w:r>
      <w:r w:rsidR="003D640C">
        <w:rPr>
          <w:i/>
          <w:iCs/>
        </w:rPr>
        <w:t xml:space="preserve"> </w:t>
      </w:r>
      <w:r w:rsidR="00D66DF8" w:rsidRPr="007B5AE3">
        <w:rPr>
          <w:i/>
          <w:iCs/>
        </w:rPr>
        <w:t>to</w:t>
      </w:r>
      <w:r w:rsidR="003D640C">
        <w:rPr>
          <w:i/>
          <w:iCs/>
        </w:rPr>
        <w:t xml:space="preserve"> </w:t>
      </w:r>
      <w:r w:rsidR="00D66DF8" w:rsidRPr="007B5AE3">
        <w:rPr>
          <w:i/>
          <w:iCs/>
        </w:rPr>
        <w:t>the</w:t>
      </w:r>
      <w:r w:rsidR="003D640C">
        <w:rPr>
          <w:i/>
          <w:iCs/>
        </w:rPr>
        <w:t xml:space="preserve"> </w:t>
      </w:r>
      <w:r w:rsidR="00D66DF8" w:rsidRPr="007B5AE3">
        <w:rPr>
          <w:i/>
          <w:iCs/>
        </w:rPr>
        <w:t>Justice</w:t>
      </w:r>
      <w:r w:rsidR="003D640C">
        <w:rPr>
          <w:i/>
          <w:iCs/>
        </w:rPr>
        <w:t xml:space="preserve"> </w:t>
      </w:r>
      <w:r w:rsidR="00D66DF8" w:rsidRPr="007B5AE3">
        <w:rPr>
          <w:i/>
          <w:iCs/>
        </w:rPr>
        <w:t>Select</w:t>
      </w:r>
      <w:r w:rsidR="003D640C">
        <w:rPr>
          <w:i/>
          <w:iCs/>
        </w:rPr>
        <w:t xml:space="preserve"> </w:t>
      </w:r>
      <w:r w:rsidR="00D66DF8" w:rsidRPr="007B5AE3">
        <w:rPr>
          <w:i/>
          <w:iCs/>
        </w:rPr>
        <w:t>Committee</w:t>
      </w:r>
      <w:r w:rsidR="00D66DF8" w:rsidRPr="007B5AE3">
        <w:t>.</w:t>
      </w:r>
      <w:r w:rsidR="003D640C">
        <w:t xml:space="preserve"> </w:t>
      </w:r>
    </w:p>
  </w:footnote>
  <w:footnote w:id="91">
    <w:p w14:paraId="10F82947" w14:textId="1B826D9D" w:rsidR="008F059A" w:rsidRDefault="008F059A" w:rsidP="00E00167">
      <w:pPr>
        <w:pStyle w:val="FootnoteText"/>
      </w:pPr>
      <w:r>
        <w:rPr>
          <w:rStyle w:val="FootnoteReference"/>
        </w:rPr>
        <w:footnoteRef/>
      </w:r>
      <w:r w:rsidR="003D640C">
        <w:t xml:space="preserve"> </w:t>
      </w:r>
      <w:hyperlink r:id="rId2" w:history="1">
        <w:r w:rsidR="004E6421">
          <w:t>Professional</w:t>
        </w:r>
        <w:r w:rsidR="003D640C">
          <w:t xml:space="preserve"> </w:t>
        </w:r>
        <w:r w:rsidR="004E6421">
          <w:t>Association</w:t>
        </w:r>
        <w:r w:rsidR="003D640C">
          <w:t xml:space="preserve"> </w:t>
        </w:r>
        <w:r w:rsidR="004E6421">
          <w:t>for</w:t>
        </w:r>
        <w:r w:rsidR="003D640C">
          <w:t xml:space="preserve"> </w:t>
        </w:r>
        <w:r w:rsidR="004E6421">
          <w:t>Transgender</w:t>
        </w:r>
        <w:r w:rsidR="003D640C">
          <w:t xml:space="preserve"> </w:t>
        </w:r>
        <w:r w:rsidR="004E6421">
          <w:t>Health</w:t>
        </w:r>
        <w:r w:rsidR="003D640C">
          <w:t xml:space="preserve"> </w:t>
        </w:r>
        <w:r w:rsidR="004E6421">
          <w:t>Aotearoa.</w:t>
        </w:r>
        <w:r w:rsidR="003D640C">
          <w:t xml:space="preserve"> </w:t>
        </w:r>
        <w:r w:rsidR="004E6421">
          <w:t>(2021).</w:t>
        </w:r>
        <w:r w:rsidR="003D640C">
          <w:t xml:space="preserve"> </w:t>
        </w:r>
        <w:r w:rsidR="004E6421" w:rsidRPr="002E3B35">
          <w:rPr>
            <w:i/>
            <w:iCs/>
          </w:rPr>
          <w:t>Submission</w:t>
        </w:r>
        <w:r w:rsidR="003D640C">
          <w:rPr>
            <w:i/>
            <w:iCs/>
          </w:rPr>
          <w:t xml:space="preserve"> </w:t>
        </w:r>
        <w:r w:rsidR="004E6421" w:rsidRPr="002E3B35">
          <w:rPr>
            <w:i/>
            <w:iCs/>
          </w:rPr>
          <w:t>to</w:t>
        </w:r>
        <w:r w:rsidR="003D640C">
          <w:rPr>
            <w:i/>
            <w:iCs/>
          </w:rPr>
          <w:t xml:space="preserve"> </w:t>
        </w:r>
        <w:r w:rsidR="004E6421" w:rsidRPr="002E3B35">
          <w:rPr>
            <w:i/>
            <w:iCs/>
          </w:rPr>
          <w:t>the</w:t>
        </w:r>
        <w:r w:rsidR="003D640C">
          <w:rPr>
            <w:i/>
            <w:iCs/>
          </w:rPr>
          <w:t xml:space="preserve"> </w:t>
        </w:r>
        <w:r w:rsidR="004E6421" w:rsidRPr="002E3B35">
          <w:rPr>
            <w:i/>
            <w:iCs/>
          </w:rPr>
          <w:t>Justice</w:t>
        </w:r>
        <w:r w:rsidR="003D640C">
          <w:rPr>
            <w:i/>
            <w:iCs/>
          </w:rPr>
          <w:t xml:space="preserve"> </w:t>
        </w:r>
        <w:r w:rsidR="004E6421" w:rsidRPr="002E3B35">
          <w:rPr>
            <w:i/>
            <w:iCs/>
          </w:rPr>
          <w:t>Committee</w:t>
        </w:r>
        <w:r w:rsidR="003D640C">
          <w:rPr>
            <w:i/>
            <w:iCs/>
          </w:rPr>
          <w:t xml:space="preserve"> </w:t>
        </w:r>
        <w:r w:rsidR="004E6421" w:rsidRPr="002E3B35">
          <w:rPr>
            <w:i/>
            <w:iCs/>
          </w:rPr>
          <w:t>on</w:t>
        </w:r>
        <w:r w:rsidR="003D640C">
          <w:rPr>
            <w:i/>
            <w:iCs/>
          </w:rPr>
          <w:t xml:space="preserve"> </w:t>
        </w:r>
        <w:r w:rsidR="004E6421" w:rsidRPr="002E3B35">
          <w:rPr>
            <w:i/>
            <w:iCs/>
          </w:rPr>
          <w:t>the</w:t>
        </w:r>
        <w:r w:rsidR="003D640C">
          <w:rPr>
            <w:i/>
            <w:iCs/>
          </w:rPr>
          <w:t xml:space="preserve"> </w:t>
        </w:r>
        <w:r w:rsidR="004E6421" w:rsidRPr="002E3B35">
          <w:rPr>
            <w:i/>
            <w:iCs/>
          </w:rPr>
          <w:t>Conversion</w:t>
        </w:r>
        <w:r w:rsidR="003D640C">
          <w:rPr>
            <w:i/>
            <w:iCs/>
          </w:rPr>
          <w:t xml:space="preserve"> </w:t>
        </w:r>
        <w:r w:rsidR="004E6421" w:rsidRPr="002E3B35">
          <w:rPr>
            <w:i/>
            <w:iCs/>
          </w:rPr>
          <w:t>Practices</w:t>
        </w:r>
        <w:r w:rsidR="003D640C">
          <w:rPr>
            <w:i/>
            <w:iCs/>
          </w:rPr>
          <w:t xml:space="preserve"> </w:t>
        </w:r>
        <w:r w:rsidR="004E6421" w:rsidRPr="002E3B35">
          <w:rPr>
            <w:i/>
            <w:iCs/>
          </w:rPr>
          <w:t>Prohibition</w:t>
        </w:r>
        <w:r w:rsidR="003D640C">
          <w:rPr>
            <w:i/>
            <w:iCs/>
          </w:rPr>
          <w:t xml:space="preserve"> </w:t>
        </w:r>
        <w:r w:rsidR="004E6421" w:rsidRPr="002E3B35">
          <w:rPr>
            <w:i/>
            <w:iCs/>
          </w:rPr>
          <w:t>Legislation</w:t>
        </w:r>
        <w:r w:rsidR="003D640C">
          <w:rPr>
            <w:i/>
            <w:iCs/>
          </w:rPr>
          <w:t xml:space="preserve"> </w:t>
        </w:r>
        <w:r w:rsidR="004E6421" w:rsidRPr="002E3B35">
          <w:rPr>
            <w:i/>
            <w:iCs/>
          </w:rPr>
          <w:t>Bill</w:t>
        </w:r>
        <w:r w:rsidR="004E6421">
          <w:t>.</w:t>
        </w:r>
        <w:r w:rsidR="004E6421" w:rsidDel="008E1CCA">
          <w:t xml:space="preserve"> </w:t>
        </w:r>
      </w:hyperlink>
      <w:r w:rsidR="00FB2A84" w:rsidDel="00FB2A84">
        <w:t xml:space="preserve"> </w:t>
      </w:r>
    </w:p>
  </w:footnote>
  <w:footnote w:id="92">
    <w:p w14:paraId="42D572F9" w14:textId="481E9265" w:rsidR="00901DF2" w:rsidRPr="00A33AD0" w:rsidRDefault="00901DF2" w:rsidP="00E00167">
      <w:pPr>
        <w:pStyle w:val="FootnoteText"/>
        <w:rPr>
          <w:lang w:val="mi-NZ"/>
        </w:rPr>
      </w:pPr>
      <w:r>
        <w:rPr>
          <w:rStyle w:val="FootnoteReference"/>
        </w:rPr>
        <w:footnoteRef/>
      </w:r>
      <w:r w:rsidR="003D640C">
        <w:rPr>
          <w:lang w:val="mi-NZ"/>
        </w:rPr>
        <w:t xml:space="preserve"> </w:t>
      </w:r>
      <w:r w:rsidR="00F2190B" w:rsidRPr="007B139B">
        <w:t>Darlington</w:t>
      </w:r>
      <w:r w:rsidR="00F2190B">
        <w:t xml:space="preserve"> Statement. (2017, March 10). </w:t>
      </w:r>
      <w:r w:rsidR="00F2190B">
        <w:rPr>
          <w:i/>
          <w:iCs/>
        </w:rPr>
        <w:t>Darlington statement.</w:t>
      </w:r>
      <w:r w:rsidR="00F2190B" w:rsidRPr="00EE0FD1">
        <w:rPr>
          <w:lang w:val="mi-NZ"/>
        </w:rPr>
        <w:t xml:space="preserve"> </w:t>
      </w:r>
      <w:r w:rsidRPr="00EE0FD1">
        <w:rPr>
          <w:lang w:val="mi-NZ"/>
        </w:rPr>
        <w:t>Th</w:t>
      </w:r>
      <w:r w:rsidR="00F2190B">
        <w:rPr>
          <w:lang w:val="mi-NZ"/>
        </w:rPr>
        <w:t>is</w:t>
      </w:r>
      <w:r w:rsidR="003D640C" w:rsidDel="00F2190B">
        <w:rPr>
          <w:lang w:val="mi-NZ"/>
        </w:rPr>
        <w:t xml:space="preserve"> </w:t>
      </w:r>
      <w:r w:rsidRPr="00EE0FD1">
        <w:rPr>
          <w:lang w:val="mi-NZ"/>
        </w:rPr>
        <w:t>joint</w:t>
      </w:r>
      <w:r w:rsidR="003D640C">
        <w:rPr>
          <w:lang w:val="mi-NZ"/>
        </w:rPr>
        <w:t xml:space="preserve"> </w:t>
      </w:r>
      <w:r w:rsidRPr="00EE0FD1">
        <w:rPr>
          <w:lang w:val="mi-NZ"/>
        </w:rPr>
        <w:t>statement</w:t>
      </w:r>
      <w:r w:rsidR="003D640C">
        <w:rPr>
          <w:lang w:val="mi-NZ"/>
        </w:rPr>
        <w:t xml:space="preserve"> </w:t>
      </w:r>
      <w:r w:rsidRPr="00EE0FD1">
        <w:rPr>
          <w:lang w:val="mi-NZ"/>
        </w:rPr>
        <w:t>by</w:t>
      </w:r>
      <w:r w:rsidR="003D640C">
        <w:rPr>
          <w:lang w:val="mi-NZ"/>
        </w:rPr>
        <w:t xml:space="preserve"> </w:t>
      </w:r>
      <w:r w:rsidRPr="00EE0FD1">
        <w:rPr>
          <w:lang w:val="mi-NZ"/>
        </w:rPr>
        <w:t>intersex</w:t>
      </w:r>
      <w:r w:rsidR="003D640C">
        <w:rPr>
          <w:lang w:val="mi-NZ"/>
        </w:rPr>
        <w:t xml:space="preserve"> </w:t>
      </w:r>
      <w:r w:rsidRPr="00EE0FD1">
        <w:rPr>
          <w:lang w:val="mi-NZ"/>
        </w:rPr>
        <w:t>organisations</w:t>
      </w:r>
      <w:r w:rsidR="003D640C">
        <w:rPr>
          <w:lang w:val="mi-NZ"/>
        </w:rPr>
        <w:t xml:space="preserve"> </w:t>
      </w:r>
      <w:r w:rsidRPr="00EE0FD1">
        <w:rPr>
          <w:lang w:val="mi-NZ"/>
        </w:rPr>
        <w:t>from</w:t>
      </w:r>
      <w:r w:rsidR="003D640C">
        <w:rPr>
          <w:lang w:val="mi-NZ"/>
        </w:rPr>
        <w:t xml:space="preserve"> </w:t>
      </w:r>
      <w:r w:rsidRPr="00EE0FD1">
        <w:rPr>
          <w:lang w:val="mi-NZ"/>
        </w:rPr>
        <w:t>Aotearoa</w:t>
      </w:r>
      <w:r w:rsidR="003D640C">
        <w:rPr>
          <w:lang w:val="mi-NZ"/>
        </w:rPr>
        <w:t xml:space="preserve"> </w:t>
      </w:r>
      <w:r w:rsidRPr="00EE0FD1">
        <w:rPr>
          <w:lang w:val="mi-NZ"/>
        </w:rPr>
        <w:t>and</w:t>
      </w:r>
      <w:r w:rsidR="003D640C">
        <w:rPr>
          <w:lang w:val="mi-NZ"/>
        </w:rPr>
        <w:t xml:space="preserve"> </w:t>
      </w:r>
      <w:r w:rsidRPr="00EE0FD1">
        <w:rPr>
          <w:lang w:val="mi-NZ"/>
        </w:rPr>
        <w:t>Australia</w:t>
      </w:r>
      <w:r w:rsidR="003D640C">
        <w:rPr>
          <w:lang w:val="mi-NZ"/>
        </w:rPr>
        <w:t xml:space="preserve"> </w:t>
      </w:r>
      <w:r w:rsidRPr="00EE0FD1">
        <w:rPr>
          <w:lang w:val="mi-NZ"/>
        </w:rPr>
        <w:t>calls</w:t>
      </w:r>
      <w:r w:rsidR="003D640C">
        <w:rPr>
          <w:lang w:val="mi-NZ"/>
        </w:rPr>
        <w:t xml:space="preserve"> </w:t>
      </w:r>
      <w:r w:rsidRPr="00EE0FD1">
        <w:rPr>
          <w:lang w:val="mi-NZ"/>
        </w:rPr>
        <w:t>for</w:t>
      </w:r>
      <w:r w:rsidR="003D640C">
        <w:rPr>
          <w:lang w:val="mi-NZ"/>
        </w:rPr>
        <w:t xml:space="preserve"> </w:t>
      </w:r>
      <w:r w:rsidRPr="00FD4D8C">
        <w:rPr>
          <w:lang w:val="mi-NZ"/>
        </w:rPr>
        <w:t>the</w:t>
      </w:r>
      <w:r w:rsidR="003D640C">
        <w:rPr>
          <w:lang w:val="mi-NZ"/>
        </w:rPr>
        <w:t xml:space="preserve"> </w:t>
      </w:r>
      <w:r w:rsidRPr="00FD4D8C">
        <w:rPr>
          <w:lang w:val="mi-NZ"/>
        </w:rPr>
        <w:t>immediate</w:t>
      </w:r>
      <w:r w:rsidR="003D640C">
        <w:rPr>
          <w:lang w:val="mi-NZ"/>
        </w:rPr>
        <w:t xml:space="preserve"> </w:t>
      </w:r>
      <w:r w:rsidRPr="00FD4D8C">
        <w:rPr>
          <w:lang w:val="mi-NZ"/>
        </w:rPr>
        <w:t>prohibition</w:t>
      </w:r>
      <w:r w:rsidR="003D640C">
        <w:rPr>
          <w:lang w:val="mi-NZ"/>
        </w:rPr>
        <w:t xml:space="preserve"> </w:t>
      </w:r>
      <w:r w:rsidRPr="00FD4D8C">
        <w:rPr>
          <w:lang w:val="mi-NZ"/>
        </w:rPr>
        <w:t>as</w:t>
      </w:r>
      <w:r w:rsidR="003D640C">
        <w:rPr>
          <w:lang w:val="mi-NZ"/>
        </w:rPr>
        <w:t xml:space="preserve"> </w:t>
      </w:r>
      <w:r w:rsidRPr="00FD4D8C">
        <w:rPr>
          <w:lang w:val="mi-NZ"/>
        </w:rPr>
        <w:t>a</w:t>
      </w:r>
      <w:r w:rsidR="003D640C">
        <w:rPr>
          <w:lang w:val="mi-NZ"/>
        </w:rPr>
        <w:t xml:space="preserve"> </w:t>
      </w:r>
      <w:r w:rsidRPr="00FD4D8C">
        <w:rPr>
          <w:lang w:val="mi-NZ"/>
        </w:rPr>
        <w:t>criminal</w:t>
      </w:r>
      <w:r w:rsidR="003D640C">
        <w:rPr>
          <w:lang w:val="mi-NZ"/>
        </w:rPr>
        <w:t xml:space="preserve"> </w:t>
      </w:r>
      <w:r w:rsidRPr="00FD4D8C">
        <w:rPr>
          <w:lang w:val="mi-NZ"/>
        </w:rPr>
        <w:t>act</w:t>
      </w:r>
      <w:r w:rsidR="003D640C">
        <w:rPr>
          <w:lang w:val="mi-NZ"/>
        </w:rPr>
        <w:t xml:space="preserve"> </w:t>
      </w:r>
      <w:r w:rsidRPr="00FD4D8C">
        <w:rPr>
          <w:lang w:val="mi-NZ"/>
        </w:rPr>
        <w:t>of</w:t>
      </w:r>
      <w:r w:rsidR="003D640C">
        <w:rPr>
          <w:lang w:val="mi-NZ"/>
        </w:rPr>
        <w:t xml:space="preserve"> </w:t>
      </w:r>
      <w:r w:rsidRPr="00FD4D8C">
        <w:rPr>
          <w:lang w:val="mi-NZ"/>
        </w:rPr>
        <w:t>deferrable</w:t>
      </w:r>
      <w:r w:rsidR="003D640C">
        <w:rPr>
          <w:lang w:val="mi-NZ"/>
        </w:rPr>
        <w:t xml:space="preserve"> </w:t>
      </w:r>
      <w:r w:rsidRPr="00FD4D8C">
        <w:rPr>
          <w:lang w:val="mi-NZ"/>
        </w:rPr>
        <w:t>medical</w:t>
      </w:r>
      <w:r w:rsidR="003D640C">
        <w:rPr>
          <w:lang w:val="mi-NZ"/>
        </w:rPr>
        <w:t xml:space="preserve"> </w:t>
      </w:r>
      <w:r w:rsidRPr="00FD4D8C">
        <w:rPr>
          <w:lang w:val="mi-NZ"/>
        </w:rPr>
        <w:t>interventions,</w:t>
      </w:r>
      <w:r w:rsidR="003D640C">
        <w:rPr>
          <w:lang w:val="mi-NZ"/>
        </w:rPr>
        <w:t xml:space="preserve"> </w:t>
      </w:r>
      <w:r w:rsidRPr="00FD4D8C">
        <w:rPr>
          <w:lang w:val="mi-NZ"/>
        </w:rPr>
        <w:t>including</w:t>
      </w:r>
      <w:r w:rsidR="003D640C">
        <w:rPr>
          <w:lang w:val="mi-NZ"/>
        </w:rPr>
        <w:t xml:space="preserve"> </w:t>
      </w:r>
      <w:r w:rsidRPr="00FD4D8C">
        <w:rPr>
          <w:lang w:val="mi-NZ"/>
        </w:rPr>
        <w:t>surgical</w:t>
      </w:r>
      <w:r w:rsidR="003D640C">
        <w:rPr>
          <w:lang w:val="mi-NZ"/>
        </w:rPr>
        <w:t xml:space="preserve"> </w:t>
      </w:r>
      <w:r w:rsidRPr="00FD4D8C">
        <w:rPr>
          <w:lang w:val="mi-NZ"/>
        </w:rPr>
        <w:t>and</w:t>
      </w:r>
      <w:r w:rsidR="003D640C">
        <w:rPr>
          <w:lang w:val="mi-NZ"/>
        </w:rPr>
        <w:t xml:space="preserve"> </w:t>
      </w:r>
      <w:r w:rsidRPr="00FD4D8C">
        <w:rPr>
          <w:lang w:val="mi-NZ"/>
        </w:rPr>
        <w:t>hormonal</w:t>
      </w:r>
      <w:r w:rsidR="003D640C">
        <w:rPr>
          <w:lang w:val="mi-NZ"/>
        </w:rPr>
        <w:t xml:space="preserve"> </w:t>
      </w:r>
      <w:r w:rsidRPr="00FD4D8C">
        <w:rPr>
          <w:lang w:val="mi-NZ"/>
        </w:rPr>
        <w:t>interventions,</w:t>
      </w:r>
      <w:r w:rsidR="003D640C">
        <w:rPr>
          <w:lang w:val="mi-NZ"/>
        </w:rPr>
        <w:t xml:space="preserve"> </w:t>
      </w:r>
      <w:r w:rsidRPr="00FD4D8C">
        <w:rPr>
          <w:lang w:val="mi-NZ"/>
        </w:rPr>
        <w:t>that</w:t>
      </w:r>
      <w:r w:rsidR="003D640C">
        <w:rPr>
          <w:lang w:val="mi-NZ"/>
        </w:rPr>
        <w:t xml:space="preserve"> </w:t>
      </w:r>
      <w:r w:rsidRPr="00FD4D8C">
        <w:rPr>
          <w:lang w:val="mi-NZ"/>
        </w:rPr>
        <w:t>alter</w:t>
      </w:r>
      <w:r w:rsidR="003D640C">
        <w:rPr>
          <w:lang w:val="mi-NZ"/>
        </w:rPr>
        <w:t xml:space="preserve"> </w:t>
      </w:r>
      <w:r w:rsidRPr="00FD4D8C">
        <w:rPr>
          <w:lang w:val="mi-NZ"/>
        </w:rPr>
        <w:t>the</w:t>
      </w:r>
      <w:r w:rsidR="003D640C">
        <w:rPr>
          <w:lang w:val="mi-NZ"/>
        </w:rPr>
        <w:t xml:space="preserve"> </w:t>
      </w:r>
      <w:r w:rsidRPr="00FD4D8C">
        <w:rPr>
          <w:lang w:val="mi-NZ"/>
        </w:rPr>
        <w:t>sex</w:t>
      </w:r>
      <w:r w:rsidR="003D640C">
        <w:rPr>
          <w:lang w:val="mi-NZ"/>
        </w:rPr>
        <w:t xml:space="preserve"> </w:t>
      </w:r>
      <w:r w:rsidRPr="00FD4D8C">
        <w:rPr>
          <w:lang w:val="mi-NZ"/>
        </w:rPr>
        <w:t>characteristics</w:t>
      </w:r>
      <w:r w:rsidR="003D640C">
        <w:rPr>
          <w:lang w:val="mi-NZ"/>
        </w:rPr>
        <w:t xml:space="preserve"> </w:t>
      </w:r>
      <w:r w:rsidRPr="00FD4D8C">
        <w:rPr>
          <w:lang w:val="mi-NZ"/>
        </w:rPr>
        <w:t>of</w:t>
      </w:r>
      <w:r w:rsidR="003D640C">
        <w:rPr>
          <w:lang w:val="mi-NZ"/>
        </w:rPr>
        <w:t xml:space="preserve"> </w:t>
      </w:r>
      <w:r w:rsidRPr="00FD4D8C">
        <w:rPr>
          <w:lang w:val="mi-NZ"/>
        </w:rPr>
        <w:t>infants</w:t>
      </w:r>
      <w:r w:rsidR="003D640C">
        <w:rPr>
          <w:lang w:val="mi-NZ"/>
        </w:rPr>
        <w:t xml:space="preserve"> </w:t>
      </w:r>
      <w:r w:rsidRPr="00FD4D8C">
        <w:rPr>
          <w:lang w:val="mi-NZ"/>
        </w:rPr>
        <w:t>and</w:t>
      </w:r>
      <w:r w:rsidR="003D640C">
        <w:rPr>
          <w:lang w:val="mi-NZ"/>
        </w:rPr>
        <w:t xml:space="preserve"> </w:t>
      </w:r>
      <w:r w:rsidRPr="00FD4D8C">
        <w:rPr>
          <w:lang w:val="mi-NZ"/>
        </w:rPr>
        <w:t>children</w:t>
      </w:r>
      <w:r w:rsidR="003D640C">
        <w:rPr>
          <w:lang w:val="mi-NZ"/>
        </w:rPr>
        <w:t xml:space="preserve"> </w:t>
      </w:r>
      <w:r w:rsidRPr="00FD4D8C">
        <w:rPr>
          <w:lang w:val="mi-NZ"/>
        </w:rPr>
        <w:t>without</w:t>
      </w:r>
      <w:r w:rsidR="003D640C">
        <w:rPr>
          <w:lang w:val="mi-NZ"/>
        </w:rPr>
        <w:t xml:space="preserve"> </w:t>
      </w:r>
      <w:r w:rsidRPr="00FD4D8C">
        <w:rPr>
          <w:lang w:val="mi-NZ"/>
        </w:rPr>
        <w:t>personal</w:t>
      </w:r>
      <w:r w:rsidR="003D640C">
        <w:rPr>
          <w:lang w:val="mi-NZ"/>
        </w:rPr>
        <w:t xml:space="preserve"> </w:t>
      </w:r>
      <w:r w:rsidRPr="00FD4D8C">
        <w:rPr>
          <w:lang w:val="mi-NZ"/>
        </w:rPr>
        <w:t>consent</w:t>
      </w:r>
      <w:r w:rsidR="003D640C">
        <w:rPr>
          <w:lang w:val="mi-NZ"/>
        </w:rPr>
        <w:t xml:space="preserve"> </w:t>
      </w:r>
      <w:r>
        <w:rPr>
          <w:lang w:val="mi-NZ"/>
        </w:rPr>
        <w:t>alongside</w:t>
      </w:r>
      <w:r w:rsidR="003D640C">
        <w:rPr>
          <w:lang w:val="mi-NZ"/>
        </w:rPr>
        <w:t xml:space="preserve"> </w:t>
      </w:r>
      <w:r>
        <w:rPr>
          <w:lang w:val="mi-NZ"/>
        </w:rPr>
        <w:t>other</w:t>
      </w:r>
      <w:r w:rsidR="003D640C">
        <w:rPr>
          <w:lang w:val="mi-NZ"/>
        </w:rPr>
        <w:t xml:space="preserve"> </w:t>
      </w:r>
      <w:r>
        <w:rPr>
          <w:lang w:val="mi-NZ"/>
        </w:rPr>
        <w:t>measures.</w:t>
      </w:r>
    </w:p>
  </w:footnote>
  <w:footnote w:id="93">
    <w:p w14:paraId="0C188D9F" w14:textId="3F5E8A07" w:rsidR="00DF22BD" w:rsidRDefault="00DF22BD" w:rsidP="00E00167">
      <w:pPr>
        <w:pStyle w:val="FootnoteText"/>
      </w:pPr>
      <w:r>
        <w:rPr>
          <w:rStyle w:val="FootnoteReference"/>
        </w:rPr>
        <w:footnoteRef/>
      </w:r>
      <w:r w:rsidR="003D640C">
        <w:t xml:space="preserve"> </w:t>
      </w:r>
      <w:r w:rsidR="00DF0D77" w:rsidRPr="00DF0D77">
        <w:t>United</w:t>
      </w:r>
      <w:r w:rsidR="003D640C">
        <w:t xml:space="preserve"> </w:t>
      </w:r>
      <w:r w:rsidR="00DF0D77" w:rsidRPr="00DF0D77">
        <w:t>Nations</w:t>
      </w:r>
      <w:r w:rsidR="003D640C">
        <w:t xml:space="preserve"> </w:t>
      </w:r>
      <w:r w:rsidR="00DF0D77" w:rsidRPr="00DF0D77">
        <w:t>Human</w:t>
      </w:r>
      <w:r w:rsidR="003D640C">
        <w:t xml:space="preserve"> </w:t>
      </w:r>
      <w:r w:rsidR="00DF0D77" w:rsidRPr="00DF0D77">
        <w:t>Rights</w:t>
      </w:r>
      <w:r w:rsidR="003D640C">
        <w:t xml:space="preserve"> </w:t>
      </w:r>
      <w:r w:rsidR="00DF0D77" w:rsidRPr="00DF0D77">
        <w:t>Office</w:t>
      </w:r>
      <w:r w:rsidR="003D640C">
        <w:t xml:space="preserve"> </w:t>
      </w:r>
      <w:r w:rsidR="00DF0D77" w:rsidRPr="00DF0D77">
        <w:t>of</w:t>
      </w:r>
      <w:r w:rsidR="003D640C">
        <w:t xml:space="preserve"> </w:t>
      </w:r>
      <w:r w:rsidR="00DF0D77" w:rsidRPr="00DF0D77">
        <w:t>the</w:t>
      </w:r>
      <w:r w:rsidR="003D640C">
        <w:t xml:space="preserve"> </w:t>
      </w:r>
      <w:r w:rsidR="00DF0D77" w:rsidRPr="00DF0D77">
        <w:t>High</w:t>
      </w:r>
      <w:r w:rsidR="003D640C">
        <w:t xml:space="preserve"> </w:t>
      </w:r>
      <w:r w:rsidR="00DF0D77" w:rsidRPr="00DF0D77">
        <w:t>Commissioner.</w:t>
      </w:r>
      <w:r w:rsidR="003D640C">
        <w:t xml:space="preserve"> </w:t>
      </w:r>
      <w:r w:rsidR="00DF0D77" w:rsidRPr="00DF0D77">
        <w:t>(n.d.)</w:t>
      </w:r>
      <w:r w:rsidR="00F2190B">
        <w:t>.</w:t>
      </w:r>
      <w:r w:rsidR="003D640C">
        <w:t xml:space="preserve"> </w:t>
      </w:r>
      <w:r w:rsidR="00DF0D77" w:rsidRPr="007B139B">
        <w:rPr>
          <w:i/>
          <w:iCs/>
        </w:rPr>
        <w:t>Fact</w:t>
      </w:r>
      <w:r w:rsidR="003D640C" w:rsidRPr="007B139B">
        <w:rPr>
          <w:i/>
          <w:iCs/>
        </w:rPr>
        <w:t xml:space="preserve"> </w:t>
      </w:r>
      <w:r w:rsidR="00F2190B" w:rsidRPr="007B139B">
        <w:rPr>
          <w:i/>
          <w:iCs/>
        </w:rPr>
        <w:t>s</w:t>
      </w:r>
      <w:r w:rsidR="00DF0D77" w:rsidRPr="007B139B">
        <w:rPr>
          <w:i/>
          <w:iCs/>
        </w:rPr>
        <w:t>heet</w:t>
      </w:r>
      <w:r w:rsidR="00F2190B" w:rsidRPr="007B139B">
        <w:rPr>
          <w:i/>
          <w:iCs/>
        </w:rPr>
        <w:t>:</w:t>
      </w:r>
      <w:r w:rsidR="003D640C" w:rsidRPr="007B139B">
        <w:rPr>
          <w:i/>
          <w:iCs/>
        </w:rPr>
        <w:t xml:space="preserve"> </w:t>
      </w:r>
      <w:r w:rsidR="00DF0D77" w:rsidRPr="007B139B">
        <w:rPr>
          <w:i/>
          <w:iCs/>
        </w:rPr>
        <w:t>Intersex</w:t>
      </w:r>
      <w:r w:rsidR="00DF0D77" w:rsidRPr="00DF0D77">
        <w:t>.</w:t>
      </w:r>
      <w:r w:rsidR="003D640C">
        <w:t xml:space="preserve"> </w:t>
      </w:r>
    </w:p>
  </w:footnote>
  <w:footnote w:id="94">
    <w:p w14:paraId="22386E77" w14:textId="7FB50134" w:rsidR="002513D5" w:rsidRPr="00C052EC" w:rsidRDefault="002513D5" w:rsidP="00E00167">
      <w:pPr>
        <w:pStyle w:val="FootnoteText"/>
        <w:rPr>
          <w:lang w:val="mi-NZ"/>
        </w:rPr>
      </w:pPr>
      <w:r>
        <w:rPr>
          <w:rStyle w:val="FootnoteReference"/>
        </w:rPr>
        <w:footnoteRef/>
      </w:r>
      <w:r w:rsidR="003D640C">
        <w:t xml:space="preserve"> </w:t>
      </w:r>
      <w:r w:rsidR="004D01E3">
        <w:t>Parliamentary</w:t>
      </w:r>
      <w:r w:rsidR="003D640C">
        <w:t xml:space="preserve"> </w:t>
      </w:r>
      <w:r w:rsidR="004D01E3">
        <w:t>Assembly</w:t>
      </w:r>
      <w:r w:rsidR="0079562B">
        <w:t>.</w:t>
      </w:r>
      <w:r w:rsidR="003D640C">
        <w:t xml:space="preserve"> </w:t>
      </w:r>
      <w:r w:rsidR="0079562B">
        <w:t>(201</w:t>
      </w:r>
      <w:r w:rsidR="00EF5F95">
        <w:t>7</w:t>
      </w:r>
      <w:r w:rsidR="0079562B">
        <w:t>)</w:t>
      </w:r>
      <w:r w:rsidR="00E41B15">
        <w:t>.</w:t>
      </w:r>
      <w:r w:rsidR="003D640C">
        <w:t xml:space="preserve"> </w:t>
      </w:r>
      <w:r w:rsidR="00F2190B">
        <w:t xml:space="preserve">Resolution 2191: </w:t>
      </w:r>
      <w:r w:rsidR="00E41B15">
        <w:t>Promoting</w:t>
      </w:r>
      <w:r w:rsidR="003D640C">
        <w:t xml:space="preserve"> </w:t>
      </w:r>
      <w:r w:rsidR="00E41B15">
        <w:t>the</w:t>
      </w:r>
      <w:r w:rsidR="003D640C">
        <w:t xml:space="preserve"> </w:t>
      </w:r>
      <w:r w:rsidR="00E41B15">
        <w:t>human</w:t>
      </w:r>
      <w:r w:rsidR="003D640C">
        <w:t xml:space="preserve"> </w:t>
      </w:r>
      <w:r w:rsidR="00E41B15">
        <w:t>rights</w:t>
      </w:r>
      <w:r w:rsidR="003D640C">
        <w:t xml:space="preserve"> </w:t>
      </w:r>
      <w:r w:rsidR="00E41B15">
        <w:t>of</w:t>
      </w:r>
      <w:r w:rsidR="003D640C">
        <w:t xml:space="preserve"> </w:t>
      </w:r>
      <w:r w:rsidR="00E41B15">
        <w:t>and</w:t>
      </w:r>
      <w:r w:rsidR="003D640C">
        <w:t xml:space="preserve"> </w:t>
      </w:r>
      <w:r w:rsidR="00E41B15">
        <w:t>eliminating</w:t>
      </w:r>
      <w:r w:rsidR="003D640C">
        <w:t xml:space="preserve"> </w:t>
      </w:r>
      <w:r w:rsidR="00E41B15">
        <w:t>discrimination</w:t>
      </w:r>
      <w:r w:rsidR="003D640C">
        <w:t xml:space="preserve"> </w:t>
      </w:r>
      <w:r w:rsidR="00E41B15">
        <w:t>against</w:t>
      </w:r>
      <w:r w:rsidR="003D640C">
        <w:t xml:space="preserve"> </w:t>
      </w:r>
      <w:r w:rsidR="00E41B15">
        <w:t>intersex</w:t>
      </w:r>
      <w:r w:rsidR="003D640C">
        <w:t xml:space="preserve"> </w:t>
      </w:r>
      <w:r w:rsidR="00E41B15">
        <w:t>people</w:t>
      </w:r>
      <w:r w:rsidR="00C75AA3">
        <w:t>;</w:t>
      </w:r>
      <w:r w:rsidR="00C75AA3" w:rsidRPr="00C75AA3">
        <w:t xml:space="preserve"> </w:t>
      </w:r>
      <w:r w:rsidR="00C75AA3">
        <w:t xml:space="preserve">United Nations Human Rights Council. (2024). </w:t>
      </w:r>
      <w:r w:rsidR="00C75AA3" w:rsidRPr="007B139B">
        <w:rPr>
          <w:i/>
          <w:iCs/>
        </w:rPr>
        <w:t>Combating discrimination, violence and harmful practices against intersex persons</w:t>
      </w:r>
      <w:r w:rsidR="00C75AA3">
        <w:t xml:space="preserve">. </w:t>
      </w:r>
    </w:p>
  </w:footnote>
  <w:footnote w:id="95">
    <w:p w14:paraId="2AADAA72" w14:textId="1C57F00E" w:rsidR="0091120A" w:rsidRPr="00BF0C39" w:rsidRDefault="0091120A" w:rsidP="00E00167">
      <w:pPr>
        <w:pStyle w:val="FootnoteText"/>
        <w:rPr>
          <w:lang w:val="mi-NZ"/>
        </w:rPr>
      </w:pPr>
      <w:r>
        <w:rPr>
          <w:rStyle w:val="FootnoteReference"/>
        </w:rPr>
        <w:footnoteRef/>
      </w:r>
      <w:r w:rsidR="003D640C">
        <w:t xml:space="preserve"> </w:t>
      </w:r>
      <w:r w:rsidR="009F0D17">
        <w:rPr>
          <w:lang w:val="mi-NZ"/>
        </w:rPr>
        <w:t>Human</w:t>
      </w:r>
      <w:r w:rsidR="003D640C">
        <w:rPr>
          <w:lang w:val="mi-NZ"/>
        </w:rPr>
        <w:t xml:space="preserve"> </w:t>
      </w:r>
      <w:r w:rsidR="009F0D17">
        <w:rPr>
          <w:lang w:val="mi-NZ"/>
        </w:rPr>
        <w:t>Rights</w:t>
      </w:r>
      <w:r w:rsidR="003D640C">
        <w:rPr>
          <w:lang w:val="mi-NZ"/>
        </w:rPr>
        <w:t xml:space="preserve"> </w:t>
      </w:r>
      <w:r w:rsidR="009F0D17">
        <w:rPr>
          <w:lang w:val="mi-NZ"/>
        </w:rPr>
        <w:t>Commission</w:t>
      </w:r>
      <w:r w:rsidR="00A929D2">
        <w:rPr>
          <w:lang w:val="mi-NZ"/>
        </w:rPr>
        <w:t xml:space="preserve">, </w:t>
      </w:r>
      <w:r w:rsidR="009F0D17">
        <w:rPr>
          <w:lang w:val="mi-NZ"/>
        </w:rPr>
        <w:t>2021</w:t>
      </w:r>
      <w:r w:rsidR="00A929D2">
        <w:rPr>
          <w:lang w:val="mi-NZ"/>
        </w:rPr>
        <w:t>,</w:t>
      </w:r>
      <w:r w:rsidR="003D640C">
        <w:rPr>
          <w:lang w:val="mi-NZ"/>
        </w:rPr>
        <w:t xml:space="preserve"> </w:t>
      </w:r>
      <w:r w:rsidR="00A929D2">
        <w:rPr>
          <w:lang w:val="mi-NZ"/>
        </w:rPr>
        <w:t>p. 32;</w:t>
      </w:r>
      <w:r w:rsidR="00A929D2" w:rsidRPr="00A929D2">
        <w:t xml:space="preserve"> </w:t>
      </w:r>
      <w:r w:rsidR="00A929D2">
        <w:t xml:space="preserve">Human Rights Commission. (2016). </w:t>
      </w:r>
      <w:r w:rsidR="00A929D2" w:rsidRPr="00094317">
        <w:rPr>
          <w:i/>
        </w:rPr>
        <w:t>Intersex</w:t>
      </w:r>
      <w:r w:rsidR="00A929D2">
        <w:rPr>
          <w:i/>
        </w:rPr>
        <w:t xml:space="preserve"> </w:t>
      </w:r>
      <w:r w:rsidR="00A929D2" w:rsidRPr="00094317">
        <w:rPr>
          <w:i/>
        </w:rPr>
        <w:t>roundtable</w:t>
      </w:r>
      <w:r w:rsidR="00A929D2">
        <w:rPr>
          <w:i/>
        </w:rPr>
        <w:t xml:space="preserve"> </w:t>
      </w:r>
      <w:r w:rsidR="00A929D2" w:rsidRPr="00094317">
        <w:rPr>
          <w:i/>
        </w:rPr>
        <w:t>report</w:t>
      </w:r>
      <w:r w:rsidR="00A929D2">
        <w:rPr>
          <w:i/>
        </w:rPr>
        <w:t xml:space="preserve"> </w:t>
      </w:r>
      <w:r w:rsidR="00A929D2" w:rsidRPr="00094317">
        <w:rPr>
          <w:i/>
        </w:rPr>
        <w:t>2016:</w:t>
      </w:r>
      <w:r w:rsidR="00A929D2">
        <w:rPr>
          <w:i/>
        </w:rPr>
        <w:t xml:space="preserve"> </w:t>
      </w:r>
      <w:r w:rsidR="00A929D2" w:rsidRPr="00094317">
        <w:rPr>
          <w:i/>
        </w:rPr>
        <w:t>The</w:t>
      </w:r>
      <w:r w:rsidR="00A929D2">
        <w:rPr>
          <w:i/>
        </w:rPr>
        <w:t xml:space="preserve"> </w:t>
      </w:r>
      <w:r w:rsidR="00A929D2" w:rsidRPr="00094317">
        <w:rPr>
          <w:i/>
        </w:rPr>
        <w:t>practice</w:t>
      </w:r>
      <w:r w:rsidR="00A929D2">
        <w:rPr>
          <w:i/>
        </w:rPr>
        <w:t xml:space="preserve"> </w:t>
      </w:r>
      <w:r w:rsidR="00A929D2" w:rsidRPr="00094317">
        <w:rPr>
          <w:i/>
        </w:rPr>
        <w:t>of</w:t>
      </w:r>
      <w:r w:rsidR="00A929D2">
        <w:rPr>
          <w:i/>
        </w:rPr>
        <w:t xml:space="preserve"> </w:t>
      </w:r>
      <w:r w:rsidR="00A929D2" w:rsidRPr="00094317">
        <w:rPr>
          <w:i/>
        </w:rPr>
        <w:t>genital</w:t>
      </w:r>
      <w:r w:rsidR="00A929D2">
        <w:rPr>
          <w:i/>
        </w:rPr>
        <w:t xml:space="preserve"> </w:t>
      </w:r>
      <w:r w:rsidR="00A929D2" w:rsidRPr="00094317">
        <w:rPr>
          <w:i/>
        </w:rPr>
        <w:t>normalisation</w:t>
      </w:r>
      <w:r w:rsidR="00A929D2">
        <w:rPr>
          <w:i/>
        </w:rPr>
        <w:t xml:space="preserve"> </w:t>
      </w:r>
      <w:r w:rsidR="00A929D2" w:rsidRPr="00094317">
        <w:rPr>
          <w:i/>
        </w:rPr>
        <w:t>on</w:t>
      </w:r>
      <w:r w:rsidR="00A929D2">
        <w:rPr>
          <w:i/>
        </w:rPr>
        <w:t xml:space="preserve"> </w:t>
      </w:r>
      <w:r w:rsidR="00A929D2" w:rsidRPr="00094317">
        <w:rPr>
          <w:i/>
        </w:rPr>
        <w:t>intersex</w:t>
      </w:r>
      <w:r w:rsidR="00A929D2">
        <w:rPr>
          <w:i/>
        </w:rPr>
        <w:t xml:space="preserve"> </w:t>
      </w:r>
      <w:r w:rsidR="00A929D2" w:rsidRPr="00094317">
        <w:rPr>
          <w:i/>
        </w:rPr>
        <w:t>children</w:t>
      </w:r>
      <w:r w:rsidR="00A929D2">
        <w:rPr>
          <w:i/>
        </w:rPr>
        <w:t xml:space="preserve"> </w:t>
      </w:r>
      <w:r w:rsidR="00A929D2" w:rsidRPr="00094317">
        <w:rPr>
          <w:i/>
        </w:rPr>
        <w:t>in</w:t>
      </w:r>
      <w:r w:rsidR="00A929D2">
        <w:rPr>
          <w:i/>
        </w:rPr>
        <w:t xml:space="preserve"> </w:t>
      </w:r>
      <w:r w:rsidR="00A929D2" w:rsidRPr="00094317">
        <w:rPr>
          <w:i/>
        </w:rPr>
        <w:t>Aotearoa</w:t>
      </w:r>
      <w:r w:rsidR="00A929D2">
        <w:rPr>
          <w:i/>
        </w:rPr>
        <w:t xml:space="preserve"> </w:t>
      </w:r>
      <w:r w:rsidR="00A929D2" w:rsidRPr="00094317">
        <w:rPr>
          <w:i/>
        </w:rPr>
        <w:t>New</w:t>
      </w:r>
      <w:r w:rsidR="00A929D2">
        <w:rPr>
          <w:i/>
        </w:rPr>
        <w:t xml:space="preserve"> </w:t>
      </w:r>
      <w:r w:rsidR="00A929D2" w:rsidRPr="00094317">
        <w:rPr>
          <w:i/>
        </w:rPr>
        <w:t>Zealand</w:t>
      </w:r>
      <w:r w:rsidR="00A929D2">
        <w:rPr>
          <w:i/>
        </w:rPr>
        <w:t>.</w:t>
      </w:r>
    </w:p>
  </w:footnote>
  <w:footnote w:id="96">
    <w:p w14:paraId="0F8102E3" w14:textId="6113FA51" w:rsidR="00D05424" w:rsidRPr="00D16C63" w:rsidRDefault="00D05424" w:rsidP="00E00167">
      <w:pPr>
        <w:pStyle w:val="FootnoteText"/>
      </w:pPr>
      <w:r>
        <w:rPr>
          <w:rStyle w:val="FootnoteReference"/>
        </w:rPr>
        <w:footnoteRef/>
      </w:r>
      <w:r w:rsidR="003D640C">
        <w:t xml:space="preserve"> </w:t>
      </w:r>
      <w:r w:rsidR="001246D2">
        <w:t>Jones</w:t>
      </w:r>
      <w:r w:rsidR="003D640C">
        <w:t xml:space="preserve"> </w:t>
      </w:r>
      <w:r w:rsidR="003066D0">
        <w:t>et</w:t>
      </w:r>
      <w:r w:rsidR="003D640C">
        <w:t xml:space="preserve"> </w:t>
      </w:r>
      <w:r w:rsidR="003066D0">
        <w:t>al.</w:t>
      </w:r>
      <w:r w:rsidR="00A929D2">
        <w:t>,</w:t>
      </w:r>
      <w:r w:rsidR="003D640C">
        <w:t xml:space="preserve"> </w:t>
      </w:r>
      <w:r w:rsidR="003066D0">
        <w:t>2021a</w:t>
      </w:r>
      <w:r w:rsidR="005F681C">
        <w:t>.</w:t>
      </w:r>
    </w:p>
  </w:footnote>
  <w:footnote w:id="97">
    <w:p w14:paraId="51A80CC7" w14:textId="3D2BED79" w:rsidR="00D05424" w:rsidRPr="007A1E7D" w:rsidRDefault="00D05424" w:rsidP="00E00167">
      <w:pPr>
        <w:pStyle w:val="FootnoteText"/>
        <w:rPr>
          <w:lang w:val="mi-NZ"/>
        </w:rPr>
      </w:pPr>
      <w:r>
        <w:rPr>
          <w:rStyle w:val="FootnoteReference"/>
        </w:rPr>
        <w:footnoteRef/>
      </w:r>
      <w:r w:rsidR="003D640C">
        <w:t xml:space="preserve"> </w:t>
      </w:r>
      <w:r w:rsidR="00A929D2">
        <w:t>Al</w:t>
      </w:r>
      <w:r w:rsidR="00400E21">
        <w:t>t</w:t>
      </w:r>
      <w:r>
        <w:rPr>
          <w:lang w:val="mi-NZ"/>
        </w:rPr>
        <w:t>hough</w:t>
      </w:r>
      <w:r w:rsidR="003D640C">
        <w:rPr>
          <w:lang w:val="mi-NZ"/>
        </w:rPr>
        <w:t xml:space="preserve"> </w:t>
      </w:r>
      <w:r>
        <w:rPr>
          <w:lang w:val="mi-NZ"/>
        </w:rPr>
        <w:t>the</w:t>
      </w:r>
      <w:r w:rsidR="003D640C">
        <w:rPr>
          <w:lang w:val="mi-NZ"/>
        </w:rPr>
        <w:t xml:space="preserve"> </w:t>
      </w:r>
      <w:r>
        <w:rPr>
          <w:lang w:val="mi-NZ"/>
        </w:rPr>
        <w:t>term</w:t>
      </w:r>
      <w:r w:rsidR="003D640C">
        <w:rPr>
          <w:lang w:val="mi-NZ"/>
        </w:rPr>
        <w:t xml:space="preserve"> </w:t>
      </w:r>
      <w:r>
        <w:rPr>
          <w:lang w:val="mi-NZ"/>
        </w:rPr>
        <w:t>has</w:t>
      </w:r>
      <w:r w:rsidR="003D640C">
        <w:rPr>
          <w:lang w:val="mi-NZ"/>
        </w:rPr>
        <w:t xml:space="preserve"> </w:t>
      </w:r>
      <w:r>
        <w:rPr>
          <w:lang w:val="mi-NZ"/>
        </w:rPr>
        <w:t>come</w:t>
      </w:r>
      <w:r w:rsidR="003D640C">
        <w:rPr>
          <w:lang w:val="mi-NZ"/>
        </w:rPr>
        <w:t xml:space="preserve"> </w:t>
      </w:r>
      <w:r>
        <w:rPr>
          <w:lang w:val="mi-NZ"/>
        </w:rPr>
        <w:t>to</w:t>
      </w:r>
      <w:r w:rsidR="003D640C">
        <w:rPr>
          <w:lang w:val="mi-NZ"/>
        </w:rPr>
        <w:t xml:space="preserve"> </w:t>
      </w:r>
      <w:r>
        <w:rPr>
          <w:lang w:val="mi-NZ"/>
        </w:rPr>
        <w:t>refer</w:t>
      </w:r>
      <w:r w:rsidR="003D640C">
        <w:rPr>
          <w:lang w:val="mi-NZ"/>
        </w:rPr>
        <w:t xml:space="preserve"> </w:t>
      </w:r>
      <w:r>
        <w:rPr>
          <w:lang w:val="mi-NZ"/>
        </w:rPr>
        <w:t>generically</w:t>
      </w:r>
      <w:r w:rsidR="003D640C">
        <w:rPr>
          <w:lang w:val="mi-NZ"/>
        </w:rPr>
        <w:t xml:space="preserve"> </w:t>
      </w:r>
      <w:r>
        <w:rPr>
          <w:lang w:val="mi-NZ"/>
        </w:rPr>
        <w:t>to</w:t>
      </w:r>
      <w:r w:rsidR="003D640C">
        <w:rPr>
          <w:lang w:val="mi-NZ"/>
        </w:rPr>
        <w:t xml:space="preserve"> </w:t>
      </w:r>
      <w:r w:rsidR="00A929D2">
        <w:rPr>
          <w:lang w:val="mi-NZ"/>
        </w:rPr>
        <w:t xml:space="preserve">conversion </w:t>
      </w:r>
      <w:r>
        <w:rPr>
          <w:lang w:val="mi-NZ"/>
        </w:rPr>
        <w:t>practices,</w:t>
      </w:r>
      <w:r w:rsidR="003D640C">
        <w:rPr>
          <w:lang w:val="mi-NZ"/>
        </w:rPr>
        <w:t xml:space="preserve"> </w:t>
      </w:r>
      <w:r w:rsidR="00A929D2">
        <w:rPr>
          <w:lang w:val="mi-NZ"/>
        </w:rPr>
        <w:t>‘</w:t>
      </w:r>
      <w:r>
        <w:rPr>
          <w:lang w:val="mi-NZ"/>
        </w:rPr>
        <w:t>reparative</w:t>
      </w:r>
      <w:r w:rsidR="003D640C">
        <w:rPr>
          <w:lang w:val="mi-NZ"/>
        </w:rPr>
        <w:t xml:space="preserve"> </w:t>
      </w:r>
      <w:r>
        <w:rPr>
          <w:lang w:val="mi-NZ"/>
        </w:rPr>
        <w:t>therapy</w:t>
      </w:r>
      <w:r w:rsidR="00A929D2">
        <w:rPr>
          <w:lang w:val="mi-NZ"/>
        </w:rPr>
        <w:t>’</w:t>
      </w:r>
      <w:r w:rsidR="003D640C">
        <w:rPr>
          <w:lang w:val="mi-NZ"/>
        </w:rPr>
        <w:t xml:space="preserve"> </w:t>
      </w:r>
      <w:r>
        <w:rPr>
          <w:lang w:val="mi-NZ"/>
        </w:rPr>
        <w:t>was</w:t>
      </w:r>
      <w:r w:rsidR="003D640C">
        <w:rPr>
          <w:lang w:val="mi-NZ"/>
        </w:rPr>
        <w:t xml:space="preserve"> </w:t>
      </w:r>
      <w:r>
        <w:rPr>
          <w:lang w:val="mi-NZ"/>
        </w:rPr>
        <w:t>coined</w:t>
      </w:r>
      <w:r w:rsidR="003D640C">
        <w:rPr>
          <w:lang w:val="mi-NZ"/>
        </w:rPr>
        <w:t xml:space="preserve"> </w:t>
      </w:r>
      <w:r>
        <w:rPr>
          <w:lang w:val="mi-NZ"/>
        </w:rPr>
        <w:t>by</w:t>
      </w:r>
      <w:r w:rsidR="003D640C">
        <w:rPr>
          <w:lang w:val="mi-NZ"/>
        </w:rPr>
        <w:t xml:space="preserve"> </w:t>
      </w:r>
      <w:r>
        <w:rPr>
          <w:lang w:val="mi-NZ"/>
        </w:rPr>
        <w:t>J</w:t>
      </w:r>
      <w:r w:rsidR="00A929D2">
        <w:rPr>
          <w:lang w:val="mi-NZ"/>
        </w:rPr>
        <w:t>oseph</w:t>
      </w:r>
      <w:r w:rsidR="003D640C">
        <w:rPr>
          <w:lang w:val="mi-NZ"/>
        </w:rPr>
        <w:t xml:space="preserve"> </w:t>
      </w:r>
      <w:r>
        <w:rPr>
          <w:lang w:val="mi-NZ"/>
        </w:rPr>
        <w:t>Nicolosi</w:t>
      </w:r>
      <w:r w:rsidR="00A929D2">
        <w:rPr>
          <w:lang w:val="mi-NZ"/>
        </w:rPr>
        <w:t>. It</w:t>
      </w:r>
      <w:r w:rsidR="003D640C">
        <w:rPr>
          <w:lang w:val="mi-NZ"/>
        </w:rPr>
        <w:t xml:space="preserve"> </w:t>
      </w:r>
      <w:r>
        <w:rPr>
          <w:lang w:val="mi-NZ"/>
        </w:rPr>
        <w:t>concentrated</w:t>
      </w:r>
      <w:r w:rsidR="003D640C">
        <w:rPr>
          <w:lang w:val="mi-NZ"/>
        </w:rPr>
        <w:t xml:space="preserve"> </w:t>
      </w:r>
      <w:r>
        <w:rPr>
          <w:lang w:val="mi-NZ"/>
        </w:rPr>
        <w:t>on</w:t>
      </w:r>
      <w:r w:rsidR="003D640C">
        <w:rPr>
          <w:lang w:val="mi-NZ"/>
        </w:rPr>
        <w:t xml:space="preserve"> </w:t>
      </w:r>
      <w:r>
        <w:rPr>
          <w:lang w:val="mi-NZ"/>
        </w:rPr>
        <w:t>a</w:t>
      </w:r>
      <w:r w:rsidR="003D640C">
        <w:rPr>
          <w:lang w:val="mi-NZ"/>
        </w:rPr>
        <w:t xml:space="preserve"> </w:t>
      </w:r>
      <w:r>
        <w:rPr>
          <w:lang w:val="mi-NZ"/>
        </w:rPr>
        <w:t>man’s</w:t>
      </w:r>
      <w:r w:rsidR="003D640C">
        <w:rPr>
          <w:lang w:val="mi-NZ"/>
        </w:rPr>
        <w:t xml:space="preserve"> </w:t>
      </w:r>
      <w:r>
        <w:rPr>
          <w:lang w:val="mi-NZ"/>
        </w:rPr>
        <w:t>relationship</w:t>
      </w:r>
      <w:r w:rsidR="003D640C">
        <w:rPr>
          <w:lang w:val="mi-NZ"/>
        </w:rPr>
        <w:t xml:space="preserve"> </w:t>
      </w:r>
      <w:r>
        <w:rPr>
          <w:lang w:val="mi-NZ"/>
        </w:rPr>
        <w:t>with</w:t>
      </w:r>
      <w:r w:rsidR="003D640C">
        <w:rPr>
          <w:lang w:val="mi-NZ"/>
        </w:rPr>
        <w:t xml:space="preserve"> </w:t>
      </w:r>
      <w:r>
        <w:rPr>
          <w:lang w:val="mi-NZ"/>
        </w:rPr>
        <w:t>masculinity</w:t>
      </w:r>
      <w:r w:rsidR="003D640C">
        <w:rPr>
          <w:lang w:val="mi-NZ"/>
        </w:rPr>
        <w:t xml:space="preserve"> </w:t>
      </w:r>
      <w:r>
        <w:rPr>
          <w:lang w:val="mi-NZ"/>
        </w:rPr>
        <w:t>and</w:t>
      </w:r>
      <w:r w:rsidR="003D640C">
        <w:rPr>
          <w:lang w:val="mi-NZ"/>
        </w:rPr>
        <w:t xml:space="preserve"> </w:t>
      </w:r>
      <w:r>
        <w:rPr>
          <w:lang w:val="mi-NZ"/>
        </w:rPr>
        <w:t>centred</w:t>
      </w:r>
      <w:r w:rsidR="003D640C">
        <w:rPr>
          <w:lang w:val="mi-NZ"/>
        </w:rPr>
        <w:t xml:space="preserve"> </w:t>
      </w:r>
      <w:r>
        <w:rPr>
          <w:lang w:val="mi-NZ"/>
        </w:rPr>
        <w:t>on</w:t>
      </w:r>
      <w:r w:rsidR="003D640C">
        <w:rPr>
          <w:lang w:val="mi-NZ"/>
        </w:rPr>
        <w:t xml:space="preserve"> </w:t>
      </w:r>
      <w:r>
        <w:rPr>
          <w:lang w:val="mi-NZ"/>
        </w:rPr>
        <w:t>father-son</w:t>
      </w:r>
      <w:r w:rsidR="003D640C">
        <w:rPr>
          <w:lang w:val="mi-NZ"/>
        </w:rPr>
        <w:t xml:space="preserve"> </w:t>
      </w:r>
      <w:r>
        <w:rPr>
          <w:lang w:val="mi-NZ"/>
        </w:rPr>
        <w:t>relationships</w:t>
      </w:r>
      <w:r w:rsidR="003D640C">
        <w:rPr>
          <w:lang w:val="mi-NZ"/>
        </w:rPr>
        <w:t xml:space="preserve"> </w:t>
      </w:r>
      <w:r>
        <w:rPr>
          <w:lang w:val="mi-NZ"/>
        </w:rPr>
        <w:t>with</w:t>
      </w:r>
      <w:r w:rsidR="003D640C">
        <w:rPr>
          <w:lang w:val="mi-NZ"/>
        </w:rPr>
        <w:t xml:space="preserve"> </w:t>
      </w:r>
      <w:r>
        <w:rPr>
          <w:lang w:val="mi-NZ"/>
        </w:rPr>
        <w:t>the</w:t>
      </w:r>
      <w:r w:rsidR="003D640C">
        <w:rPr>
          <w:lang w:val="mi-NZ"/>
        </w:rPr>
        <w:t xml:space="preserve"> </w:t>
      </w:r>
      <w:r>
        <w:rPr>
          <w:lang w:val="mi-NZ"/>
        </w:rPr>
        <w:t>intention</w:t>
      </w:r>
      <w:r w:rsidR="003D640C">
        <w:rPr>
          <w:lang w:val="mi-NZ"/>
        </w:rPr>
        <w:t xml:space="preserve"> </w:t>
      </w:r>
      <w:r>
        <w:rPr>
          <w:lang w:val="mi-NZ"/>
        </w:rPr>
        <w:t>of</w:t>
      </w:r>
      <w:r w:rsidR="003D640C">
        <w:rPr>
          <w:lang w:val="mi-NZ"/>
        </w:rPr>
        <w:t xml:space="preserve"> </w:t>
      </w:r>
      <w:r w:rsidR="00A929D2">
        <w:rPr>
          <w:lang w:val="mi-NZ"/>
        </w:rPr>
        <w:t>‘</w:t>
      </w:r>
      <w:r>
        <w:rPr>
          <w:lang w:val="mi-NZ"/>
        </w:rPr>
        <w:t>repairing</w:t>
      </w:r>
      <w:r w:rsidR="00A929D2">
        <w:rPr>
          <w:lang w:val="mi-NZ"/>
        </w:rPr>
        <w:t>’</w:t>
      </w:r>
      <w:r w:rsidR="003D640C">
        <w:rPr>
          <w:lang w:val="mi-NZ"/>
        </w:rPr>
        <w:t xml:space="preserve"> </w:t>
      </w:r>
      <w:r>
        <w:rPr>
          <w:lang w:val="mi-NZ"/>
        </w:rPr>
        <w:t>a</w:t>
      </w:r>
      <w:r w:rsidR="003D640C">
        <w:rPr>
          <w:lang w:val="mi-NZ"/>
        </w:rPr>
        <w:t xml:space="preserve"> </w:t>
      </w:r>
      <w:r w:rsidR="00A929D2">
        <w:rPr>
          <w:lang w:val="mi-NZ"/>
        </w:rPr>
        <w:t>‘</w:t>
      </w:r>
      <w:r>
        <w:rPr>
          <w:lang w:val="mi-NZ"/>
        </w:rPr>
        <w:t>misguided</w:t>
      </w:r>
      <w:r w:rsidR="00A929D2">
        <w:rPr>
          <w:lang w:val="mi-NZ"/>
        </w:rPr>
        <w:t>’</w:t>
      </w:r>
      <w:r w:rsidR="003D640C">
        <w:rPr>
          <w:lang w:val="mi-NZ"/>
        </w:rPr>
        <w:t xml:space="preserve"> </w:t>
      </w:r>
      <w:r>
        <w:rPr>
          <w:lang w:val="mi-NZ"/>
        </w:rPr>
        <w:t>sexuality.</w:t>
      </w:r>
    </w:p>
  </w:footnote>
  <w:footnote w:id="98">
    <w:p w14:paraId="36FEFE18" w14:textId="38E9ACC2" w:rsidR="00D05424" w:rsidRPr="007A1E7D" w:rsidRDefault="00D05424" w:rsidP="00E00167">
      <w:pPr>
        <w:pStyle w:val="FootnoteText"/>
        <w:rPr>
          <w:lang w:val="mi-NZ"/>
        </w:rPr>
      </w:pPr>
      <w:r>
        <w:rPr>
          <w:rStyle w:val="FootnoteReference"/>
        </w:rPr>
        <w:footnoteRef/>
      </w:r>
      <w:r w:rsidR="003D640C">
        <w:t xml:space="preserve"> </w:t>
      </w:r>
      <w:r>
        <w:rPr>
          <w:lang w:val="mi-NZ"/>
        </w:rPr>
        <w:t>Aversion</w:t>
      </w:r>
      <w:r w:rsidR="003D640C">
        <w:rPr>
          <w:lang w:val="mi-NZ"/>
        </w:rPr>
        <w:t xml:space="preserve"> </w:t>
      </w:r>
      <w:r>
        <w:rPr>
          <w:lang w:val="mi-NZ"/>
        </w:rPr>
        <w:t>therapy</w:t>
      </w:r>
      <w:r w:rsidR="003D640C">
        <w:rPr>
          <w:lang w:val="mi-NZ"/>
        </w:rPr>
        <w:t xml:space="preserve"> </w:t>
      </w:r>
      <w:r>
        <w:rPr>
          <w:lang w:val="mi-NZ"/>
        </w:rPr>
        <w:t>aims</w:t>
      </w:r>
      <w:r w:rsidR="003D640C">
        <w:rPr>
          <w:lang w:val="mi-NZ"/>
        </w:rPr>
        <w:t xml:space="preserve"> </w:t>
      </w:r>
      <w:r>
        <w:rPr>
          <w:lang w:val="mi-NZ"/>
        </w:rPr>
        <w:t>to</w:t>
      </w:r>
      <w:r w:rsidR="003D640C">
        <w:rPr>
          <w:lang w:val="mi-NZ"/>
        </w:rPr>
        <w:t xml:space="preserve"> </w:t>
      </w:r>
      <w:r>
        <w:rPr>
          <w:lang w:val="mi-NZ"/>
        </w:rPr>
        <w:t>create</w:t>
      </w:r>
      <w:r w:rsidR="003D640C">
        <w:rPr>
          <w:lang w:val="mi-NZ"/>
        </w:rPr>
        <w:t xml:space="preserve"> </w:t>
      </w:r>
      <w:r>
        <w:rPr>
          <w:lang w:val="mi-NZ"/>
        </w:rPr>
        <w:t>a</w:t>
      </w:r>
      <w:r w:rsidR="003D640C">
        <w:rPr>
          <w:lang w:val="mi-NZ"/>
        </w:rPr>
        <w:t xml:space="preserve"> </w:t>
      </w:r>
      <w:r>
        <w:rPr>
          <w:lang w:val="mi-NZ"/>
        </w:rPr>
        <w:t>negative</w:t>
      </w:r>
      <w:r w:rsidR="003D640C">
        <w:rPr>
          <w:lang w:val="mi-NZ"/>
        </w:rPr>
        <w:t xml:space="preserve"> </w:t>
      </w:r>
      <w:r>
        <w:rPr>
          <w:lang w:val="mi-NZ"/>
        </w:rPr>
        <w:t>association</w:t>
      </w:r>
      <w:r w:rsidR="003D640C">
        <w:rPr>
          <w:lang w:val="mi-NZ"/>
        </w:rPr>
        <w:t xml:space="preserve"> </w:t>
      </w:r>
      <w:r>
        <w:rPr>
          <w:lang w:val="mi-NZ"/>
        </w:rPr>
        <w:t>with</w:t>
      </w:r>
      <w:r w:rsidR="003D640C">
        <w:rPr>
          <w:lang w:val="mi-NZ"/>
        </w:rPr>
        <w:t xml:space="preserve"> </w:t>
      </w:r>
      <w:r>
        <w:rPr>
          <w:lang w:val="mi-NZ"/>
        </w:rPr>
        <w:t>an</w:t>
      </w:r>
      <w:r w:rsidR="003D640C">
        <w:rPr>
          <w:lang w:val="mi-NZ"/>
        </w:rPr>
        <w:t xml:space="preserve"> </w:t>
      </w:r>
      <w:r w:rsidR="00A929D2">
        <w:rPr>
          <w:lang w:val="mi-NZ"/>
        </w:rPr>
        <w:t>‘</w:t>
      </w:r>
      <w:r>
        <w:rPr>
          <w:lang w:val="mi-NZ"/>
        </w:rPr>
        <w:t>undesirable</w:t>
      </w:r>
      <w:r w:rsidR="00A929D2">
        <w:rPr>
          <w:lang w:val="mi-NZ"/>
        </w:rPr>
        <w:t>’</w:t>
      </w:r>
      <w:r w:rsidR="003D640C">
        <w:rPr>
          <w:lang w:val="mi-NZ"/>
        </w:rPr>
        <w:t xml:space="preserve"> </w:t>
      </w:r>
      <w:r>
        <w:rPr>
          <w:lang w:val="mi-NZ"/>
        </w:rPr>
        <w:t>behaviour</w:t>
      </w:r>
      <w:r w:rsidR="003D640C">
        <w:rPr>
          <w:lang w:val="mi-NZ"/>
        </w:rPr>
        <w:t xml:space="preserve"> </w:t>
      </w:r>
      <w:r>
        <w:rPr>
          <w:lang w:val="mi-NZ"/>
        </w:rPr>
        <w:t>through</w:t>
      </w:r>
      <w:r w:rsidR="003D640C">
        <w:rPr>
          <w:lang w:val="mi-NZ"/>
        </w:rPr>
        <w:t xml:space="preserve"> </w:t>
      </w:r>
      <w:r>
        <w:rPr>
          <w:lang w:val="mi-NZ"/>
        </w:rPr>
        <w:t>concurrent</w:t>
      </w:r>
      <w:r w:rsidR="003D640C">
        <w:rPr>
          <w:lang w:val="mi-NZ"/>
        </w:rPr>
        <w:t xml:space="preserve"> </w:t>
      </w:r>
      <w:r>
        <w:rPr>
          <w:lang w:val="mi-NZ"/>
        </w:rPr>
        <w:t>exposure</w:t>
      </w:r>
      <w:r w:rsidR="003D640C">
        <w:rPr>
          <w:lang w:val="mi-NZ"/>
        </w:rPr>
        <w:t xml:space="preserve"> </w:t>
      </w:r>
      <w:r>
        <w:rPr>
          <w:lang w:val="mi-NZ"/>
        </w:rPr>
        <w:t>to</w:t>
      </w:r>
      <w:r w:rsidR="003D640C">
        <w:rPr>
          <w:lang w:val="mi-NZ"/>
        </w:rPr>
        <w:t xml:space="preserve"> </w:t>
      </w:r>
      <w:r>
        <w:rPr>
          <w:lang w:val="mi-NZ"/>
        </w:rPr>
        <w:t>a</w:t>
      </w:r>
      <w:r w:rsidR="003D640C">
        <w:rPr>
          <w:lang w:val="mi-NZ"/>
        </w:rPr>
        <w:t xml:space="preserve"> </w:t>
      </w:r>
      <w:r>
        <w:rPr>
          <w:lang w:val="mi-NZ"/>
        </w:rPr>
        <w:t>stimulus</w:t>
      </w:r>
      <w:r w:rsidR="003D640C">
        <w:rPr>
          <w:lang w:val="mi-NZ"/>
        </w:rPr>
        <w:t xml:space="preserve"> </w:t>
      </w:r>
      <w:r>
        <w:rPr>
          <w:lang w:val="mi-NZ"/>
        </w:rPr>
        <w:t>and</w:t>
      </w:r>
      <w:r w:rsidR="003D640C">
        <w:rPr>
          <w:lang w:val="mi-NZ"/>
        </w:rPr>
        <w:t xml:space="preserve"> </w:t>
      </w:r>
      <w:r>
        <w:rPr>
          <w:lang w:val="mi-NZ"/>
        </w:rPr>
        <w:t>discomfort.</w:t>
      </w:r>
      <w:r w:rsidR="003D640C">
        <w:rPr>
          <w:lang w:val="mi-NZ"/>
        </w:rPr>
        <w:t xml:space="preserve"> </w:t>
      </w:r>
    </w:p>
  </w:footnote>
  <w:footnote w:id="99">
    <w:p w14:paraId="3230A73A" w14:textId="76E1E2EE" w:rsidR="00412E3A" w:rsidRPr="00B24310" w:rsidRDefault="00412E3A" w:rsidP="00E00167">
      <w:pPr>
        <w:pStyle w:val="FootnoteText"/>
        <w:rPr>
          <w:lang w:val="mi-NZ"/>
        </w:rPr>
      </w:pPr>
      <w:r>
        <w:rPr>
          <w:rStyle w:val="FootnoteReference"/>
        </w:rPr>
        <w:footnoteRef/>
      </w:r>
      <w:r w:rsidR="003D640C">
        <w:t xml:space="preserve"> </w:t>
      </w:r>
      <w:r w:rsidRPr="000B2D0F">
        <w:t>Stats</w:t>
      </w:r>
      <w:r w:rsidR="003D640C">
        <w:t xml:space="preserve"> </w:t>
      </w:r>
      <w:r w:rsidRPr="000B2D0F">
        <w:t>NZ</w:t>
      </w:r>
      <w:r w:rsidR="002137FF">
        <w:t>, 2022</w:t>
      </w:r>
      <w:r w:rsidRPr="000B2D0F">
        <w:t>.</w:t>
      </w:r>
      <w:r w:rsidR="003D640C">
        <w:t xml:space="preserve"> </w:t>
      </w:r>
    </w:p>
  </w:footnote>
  <w:footnote w:id="100">
    <w:p w14:paraId="3996F92B" w14:textId="115905F3" w:rsidR="00D05424" w:rsidRPr="00D0695F" w:rsidRDefault="00D05424" w:rsidP="006E35A8">
      <w:pPr>
        <w:spacing w:after="0"/>
        <w:ind w:hanging="11"/>
        <w:rPr>
          <w:sz w:val="20"/>
          <w:szCs w:val="20"/>
        </w:rPr>
      </w:pPr>
      <w:r>
        <w:rPr>
          <w:rStyle w:val="FootnoteReference"/>
        </w:rPr>
        <w:footnoteRef/>
      </w:r>
      <w:r w:rsidR="003D640C">
        <w:t xml:space="preserve"> </w:t>
      </w:r>
      <w:r w:rsidR="00A31157" w:rsidRPr="006E35A8">
        <w:rPr>
          <w:sz w:val="20"/>
          <w:szCs w:val="20"/>
        </w:rPr>
        <w:t>Jones,</w:t>
      </w:r>
      <w:r w:rsidR="003D640C">
        <w:rPr>
          <w:sz w:val="20"/>
          <w:szCs w:val="20"/>
        </w:rPr>
        <w:t xml:space="preserve"> </w:t>
      </w:r>
      <w:r w:rsidR="00A31157" w:rsidRPr="006E35A8">
        <w:rPr>
          <w:sz w:val="20"/>
          <w:szCs w:val="20"/>
        </w:rPr>
        <w:t>T.,</w:t>
      </w:r>
      <w:r w:rsidR="003D640C">
        <w:rPr>
          <w:sz w:val="20"/>
          <w:szCs w:val="20"/>
        </w:rPr>
        <w:t xml:space="preserve"> </w:t>
      </w:r>
      <w:r w:rsidR="00A31157" w:rsidRPr="006E35A8">
        <w:rPr>
          <w:sz w:val="20"/>
          <w:szCs w:val="20"/>
        </w:rPr>
        <w:t>Power,</w:t>
      </w:r>
      <w:r w:rsidR="003D640C">
        <w:rPr>
          <w:sz w:val="20"/>
          <w:szCs w:val="20"/>
        </w:rPr>
        <w:t xml:space="preserve"> </w:t>
      </w:r>
      <w:r w:rsidR="00A31157" w:rsidRPr="006E35A8">
        <w:rPr>
          <w:sz w:val="20"/>
          <w:szCs w:val="20"/>
        </w:rPr>
        <w:t>J.,</w:t>
      </w:r>
      <w:r w:rsidR="003D640C">
        <w:rPr>
          <w:sz w:val="20"/>
          <w:szCs w:val="20"/>
        </w:rPr>
        <w:t xml:space="preserve"> </w:t>
      </w:r>
      <w:r w:rsidR="00A31157" w:rsidRPr="006E35A8">
        <w:rPr>
          <w:sz w:val="20"/>
          <w:szCs w:val="20"/>
        </w:rPr>
        <w:t>Jones,</w:t>
      </w:r>
      <w:r w:rsidR="003D640C">
        <w:rPr>
          <w:sz w:val="20"/>
          <w:szCs w:val="20"/>
        </w:rPr>
        <w:t xml:space="preserve"> </w:t>
      </w:r>
      <w:r w:rsidR="00A31157" w:rsidRPr="006E35A8">
        <w:rPr>
          <w:sz w:val="20"/>
          <w:szCs w:val="20"/>
        </w:rPr>
        <w:t>T.</w:t>
      </w:r>
      <w:r w:rsidR="002137FF">
        <w:rPr>
          <w:sz w:val="20"/>
          <w:szCs w:val="20"/>
        </w:rPr>
        <w:t xml:space="preserve"> </w:t>
      </w:r>
      <w:r w:rsidR="00A31157" w:rsidRPr="006E35A8">
        <w:rPr>
          <w:sz w:val="20"/>
          <w:szCs w:val="20"/>
        </w:rPr>
        <w:t>W.,</w:t>
      </w:r>
      <w:r w:rsidR="003D640C">
        <w:rPr>
          <w:sz w:val="20"/>
          <w:szCs w:val="20"/>
        </w:rPr>
        <w:t xml:space="preserve"> </w:t>
      </w:r>
      <w:r w:rsidR="00A31157" w:rsidRPr="006E35A8">
        <w:rPr>
          <w:sz w:val="20"/>
          <w:szCs w:val="20"/>
        </w:rPr>
        <w:t>Pallotta-Chiarolli,</w:t>
      </w:r>
      <w:r w:rsidR="003D640C">
        <w:rPr>
          <w:sz w:val="20"/>
          <w:szCs w:val="20"/>
        </w:rPr>
        <w:t xml:space="preserve"> </w:t>
      </w:r>
      <w:r w:rsidR="00A31157" w:rsidRPr="006E35A8">
        <w:rPr>
          <w:sz w:val="20"/>
          <w:szCs w:val="20"/>
        </w:rPr>
        <w:t>M.</w:t>
      </w:r>
      <w:r w:rsidR="002137FF">
        <w:rPr>
          <w:sz w:val="20"/>
          <w:szCs w:val="20"/>
        </w:rPr>
        <w:t>,</w:t>
      </w:r>
      <w:r w:rsidR="003D640C">
        <w:rPr>
          <w:sz w:val="20"/>
          <w:szCs w:val="20"/>
        </w:rPr>
        <w:t xml:space="preserve"> </w:t>
      </w:r>
      <w:r w:rsidR="00A31157" w:rsidRPr="006E35A8">
        <w:rPr>
          <w:sz w:val="20"/>
          <w:szCs w:val="20"/>
        </w:rPr>
        <w:t>&amp;</w:t>
      </w:r>
      <w:r w:rsidR="003D640C">
        <w:rPr>
          <w:sz w:val="20"/>
          <w:szCs w:val="20"/>
        </w:rPr>
        <w:t xml:space="preserve"> </w:t>
      </w:r>
      <w:r w:rsidR="00A31157" w:rsidRPr="006E35A8">
        <w:rPr>
          <w:sz w:val="20"/>
          <w:szCs w:val="20"/>
        </w:rPr>
        <w:t>Despott</w:t>
      </w:r>
      <w:r w:rsidR="002137FF">
        <w:rPr>
          <w:sz w:val="20"/>
          <w:szCs w:val="20"/>
        </w:rPr>
        <w:t>,</w:t>
      </w:r>
      <w:r w:rsidR="003D640C">
        <w:rPr>
          <w:sz w:val="20"/>
          <w:szCs w:val="20"/>
        </w:rPr>
        <w:t xml:space="preserve"> </w:t>
      </w:r>
      <w:r w:rsidR="00A31157" w:rsidRPr="006E35A8">
        <w:rPr>
          <w:sz w:val="20"/>
          <w:szCs w:val="20"/>
        </w:rPr>
        <w:t>N.</w:t>
      </w:r>
      <w:r w:rsidR="003D640C">
        <w:rPr>
          <w:sz w:val="20"/>
          <w:szCs w:val="20"/>
        </w:rPr>
        <w:t xml:space="preserve"> </w:t>
      </w:r>
      <w:r w:rsidR="00A31157" w:rsidRPr="006E35A8">
        <w:rPr>
          <w:sz w:val="20"/>
          <w:szCs w:val="20"/>
        </w:rPr>
        <w:t>(2022b)</w:t>
      </w:r>
      <w:r w:rsidR="002137FF">
        <w:rPr>
          <w:sz w:val="20"/>
          <w:szCs w:val="20"/>
        </w:rPr>
        <w:t>.</w:t>
      </w:r>
      <w:r w:rsidR="003D640C">
        <w:rPr>
          <w:sz w:val="20"/>
          <w:szCs w:val="20"/>
        </w:rPr>
        <w:t xml:space="preserve"> </w:t>
      </w:r>
      <w:r w:rsidR="00A31157" w:rsidRPr="006E35A8">
        <w:rPr>
          <w:sz w:val="20"/>
          <w:szCs w:val="20"/>
        </w:rPr>
        <w:t>Supporting</w:t>
      </w:r>
      <w:r w:rsidR="003D640C">
        <w:rPr>
          <w:sz w:val="20"/>
          <w:szCs w:val="20"/>
        </w:rPr>
        <w:t xml:space="preserve"> </w:t>
      </w:r>
      <w:r w:rsidR="00A31157" w:rsidRPr="006E35A8">
        <w:rPr>
          <w:sz w:val="20"/>
          <w:szCs w:val="20"/>
        </w:rPr>
        <w:t>LGBTQA+</w:t>
      </w:r>
      <w:r w:rsidR="003D640C">
        <w:rPr>
          <w:sz w:val="20"/>
          <w:szCs w:val="20"/>
        </w:rPr>
        <w:t xml:space="preserve"> </w:t>
      </w:r>
      <w:r w:rsidR="00A31157" w:rsidRPr="006E35A8">
        <w:rPr>
          <w:sz w:val="20"/>
          <w:szCs w:val="20"/>
        </w:rPr>
        <w:t>peoples’</w:t>
      </w:r>
      <w:r w:rsidR="003D640C">
        <w:rPr>
          <w:sz w:val="20"/>
          <w:szCs w:val="20"/>
        </w:rPr>
        <w:t xml:space="preserve"> </w:t>
      </w:r>
      <w:r w:rsidR="00A31157" w:rsidRPr="006E35A8">
        <w:rPr>
          <w:sz w:val="20"/>
          <w:szCs w:val="20"/>
        </w:rPr>
        <w:t>recovery</w:t>
      </w:r>
      <w:r w:rsidR="003D640C">
        <w:rPr>
          <w:sz w:val="20"/>
          <w:szCs w:val="20"/>
        </w:rPr>
        <w:t xml:space="preserve"> </w:t>
      </w:r>
      <w:r w:rsidR="00A31157" w:rsidRPr="006E35A8">
        <w:rPr>
          <w:sz w:val="20"/>
          <w:szCs w:val="20"/>
        </w:rPr>
        <w:t>from</w:t>
      </w:r>
      <w:r w:rsidR="003D640C">
        <w:rPr>
          <w:sz w:val="20"/>
          <w:szCs w:val="20"/>
        </w:rPr>
        <w:t xml:space="preserve"> </w:t>
      </w:r>
      <w:r w:rsidR="00A31157" w:rsidRPr="006E35A8">
        <w:rPr>
          <w:sz w:val="20"/>
          <w:szCs w:val="20"/>
        </w:rPr>
        <w:t>sexual</w:t>
      </w:r>
      <w:r w:rsidR="003D640C">
        <w:rPr>
          <w:sz w:val="20"/>
          <w:szCs w:val="20"/>
        </w:rPr>
        <w:t xml:space="preserve"> </w:t>
      </w:r>
      <w:r w:rsidR="00A31157" w:rsidRPr="006E35A8">
        <w:rPr>
          <w:sz w:val="20"/>
          <w:szCs w:val="20"/>
        </w:rPr>
        <w:t>orientation</w:t>
      </w:r>
      <w:r w:rsidR="003D640C">
        <w:rPr>
          <w:sz w:val="20"/>
          <w:szCs w:val="20"/>
        </w:rPr>
        <w:t xml:space="preserve"> </w:t>
      </w:r>
      <w:r w:rsidR="00A31157" w:rsidRPr="006E35A8">
        <w:rPr>
          <w:sz w:val="20"/>
          <w:szCs w:val="20"/>
        </w:rPr>
        <w:t>and</w:t>
      </w:r>
      <w:r w:rsidR="003D640C">
        <w:rPr>
          <w:sz w:val="20"/>
          <w:szCs w:val="20"/>
        </w:rPr>
        <w:t xml:space="preserve"> </w:t>
      </w:r>
      <w:r w:rsidR="00A31157" w:rsidRPr="006E35A8">
        <w:rPr>
          <w:sz w:val="20"/>
          <w:szCs w:val="20"/>
        </w:rPr>
        <w:t>gender</w:t>
      </w:r>
      <w:r w:rsidR="003D640C">
        <w:rPr>
          <w:sz w:val="20"/>
          <w:szCs w:val="20"/>
        </w:rPr>
        <w:t xml:space="preserve"> </w:t>
      </w:r>
      <w:r w:rsidR="00A31157" w:rsidRPr="006E35A8">
        <w:rPr>
          <w:sz w:val="20"/>
          <w:szCs w:val="20"/>
        </w:rPr>
        <w:t>identity</w:t>
      </w:r>
      <w:r w:rsidR="003D640C">
        <w:rPr>
          <w:sz w:val="20"/>
          <w:szCs w:val="20"/>
        </w:rPr>
        <w:t xml:space="preserve"> </w:t>
      </w:r>
      <w:r w:rsidR="00A31157" w:rsidRPr="006E35A8">
        <w:rPr>
          <w:sz w:val="20"/>
          <w:szCs w:val="20"/>
        </w:rPr>
        <w:t>and</w:t>
      </w:r>
      <w:r w:rsidR="003D640C">
        <w:rPr>
          <w:sz w:val="20"/>
          <w:szCs w:val="20"/>
        </w:rPr>
        <w:t xml:space="preserve"> </w:t>
      </w:r>
      <w:r w:rsidR="00A31157" w:rsidRPr="006E35A8">
        <w:rPr>
          <w:sz w:val="20"/>
          <w:szCs w:val="20"/>
        </w:rPr>
        <w:t>expression</w:t>
      </w:r>
      <w:r w:rsidR="003D640C">
        <w:rPr>
          <w:sz w:val="20"/>
          <w:szCs w:val="20"/>
        </w:rPr>
        <w:t xml:space="preserve"> </w:t>
      </w:r>
      <w:r w:rsidR="00A31157" w:rsidRPr="006E35A8">
        <w:rPr>
          <w:sz w:val="20"/>
          <w:szCs w:val="20"/>
        </w:rPr>
        <w:t>change</w:t>
      </w:r>
      <w:r w:rsidR="003D640C">
        <w:rPr>
          <w:sz w:val="20"/>
          <w:szCs w:val="20"/>
        </w:rPr>
        <w:t xml:space="preserve"> </w:t>
      </w:r>
      <w:r w:rsidR="00A31157" w:rsidRPr="006E35A8">
        <w:rPr>
          <w:sz w:val="20"/>
          <w:szCs w:val="20"/>
        </w:rPr>
        <w:t>efforts</w:t>
      </w:r>
      <w:r w:rsidR="002137FF">
        <w:rPr>
          <w:sz w:val="20"/>
          <w:szCs w:val="20"/>
        </w:rPr>
        <w:t>.</w:t>
      </w:r>
      <w:r w:rsidR="003D640C">
        <w:rPr>
          <w:sz w:val="20"/>
          <w:szCs w:val="20"/>
        </w:rPr>
        <w:t xml:space="preserve"> </w:t>
      </w:r>
      <w:r w:rsidR="00A31157" w:rsidRPr="006E35A8">
        <w:rPr>
          <w:i/>
          <w:sz w:val="20"/>
          <w:szCs w:val="20"/>
        </w:rPr>
        <w:t>Australian</w:t>
      </w:r>
      <w:r w:rsidR="003D640C">
        <w:rPr>
          <w:i/>
          <w:sz w:val="20"/>
          <w:szCs w:val="20"/>
        </w:rPr>
        <w:t xml:space="preserve"> </w:t>
      </w:r>
      <w:r w:rsidR="00A31157" w:rsidRPr="006E35A8">
        <w:rPr>
          <w:i/>
          <w:sz w:val="20"/>
          <w:szCs w:val="20"/>
        </w:rPr>
        <w:t>Psychologist</w:t>
      </w:r>
      <w:r w:rsidR="00A31157" w:rsidRPr="006E35A8">
        <w:rPr>
          <w:sz w:val="20"/>
          <w:szCs w:val="20"/>
        </w:rPr>
        <w:t>,</w:t>
      </w:r>
      <w:r w:rsidR="003D640C">
        <w:rPr>
          <w:sz w:val="20"/>
          <w:szCs w:val="20"/>
        </w:rPr>
        <w:t xml:space="preserve"> </w:t>
      </w:r>
      <w:r w:rsidR="00A31157" w:rsidRPr="007B139B">
        <w:rPr>
          <w:i/>
          <w:iCs/>
          <w:sz w:val="20"/>
          <w:szCs w:val="20"/>
        </w:rPr>
        <w:t>57</w:t>
      </w:r>
      <w:r w:rsidR="002137FF">
        <w:rPr>
          <w:sz w:val="20"/>
          <w:szCs w:val="20"/>
        </w:rPr>
        <w:t>(</w:t>
      </w:r>
      <w:r w:rsidR="00A31157" w:rsidRPr="006E35A8">
        <w:rPr>
          <w:sz w:val="20"/>
          <w:szCs w:val="20"/>
        </w:rPr>
        <w:t>6</w:t>
      </w:r>
      <w:r w:rsidR="002137FF">
        <w:rPr>
          <w:sz w:val="20"/>
          <w:szCs w:val="20"/>
        </w:rPr>
        <w:t>)</w:t>
      </w:r>
      <w:r w:rsidR="00A31157" w:rsidRPr="006E35A8">
        <w:rPr>
          <w:sz w:val="20"/>
          <w:szCs w:val="20"/>
        </w:rPr>
        <w:t>,</w:t>
      </w:r>
      <w:r w:rsidR="003D640C">
        <w:rPr>
          <w:sz w:val="20"/>
          <w:szCs w:val="20"/>
        </w:rPr>
        <w:t xml:space="preserve"> </w:t>
      </w:r>
      <w:r w:rsidR="00A31157" w:rsidRPr="006E35A8">
        <w:rPr>
          <w:sz w:val="20"/>
          <w:szCs w:val="20"/>
        </w:rPr>
        <w:t>359</w:t>
      </w:r>
      <w:r w:rsidR="002137FF">
        <w:rPr>
          <w:sz w:val="20"/>
          <w:szCs w:val="20"/>
        </w:rPr>
        <w:t>–</w:t>
      </w:r>
      <w:r w:rsidR="00A31157" w:rsidRPr="006E35A8">
        <w:rPr>
          <w:sz w:val="20"/>
          <w:szCs w:val="20"/>
        </w:rPr>
        <w:t>372</w:t>
      </w:r>
      <w:r w:rsidR="006E35A8" w:rsidRPr="006E35A8">
        <w:rPr>
          <w:sz w:val="20"/>
          <w:szCs w:val="20"/>
        </w:rPr>
        <w:t>.</w:t>
      </w:r>
    </w:p>
  </w:footnote>
  <w:footnote w:id="101">
    <w:p w14:paraId="21C10513" w14:textId="0F9665E4" w:rsidR="009C43D6" w:rsidRDefault="009C43D6" w:rsidP="00E00167">
      <w:pPr>
        <w:pStyle w:val="FootnoteText"/>
      </w:pPr>
      <w:r>
        <w:rPr>
          <w:rStyle w:val="FootnoteReference"/>
        </w:rPr>
        <w:footnoteRef/>
      </w:r>
      <w:r w:rsidR="003D640C">
        <w:t xml:space="preserve"> </w:t>
      </w:r>
      <w:r w:rsidRPr="00932002">
        <w:t>Roguski,</w:t>
      </w:r>
      <w:r w:rsidR="003D640C">
        <w:t xml:space="preserve"> </w:t>
      </w:r>
      <w:r w:rsidRPr="00932002">
        <w:t>M.</w:t>
      </w:r>
      <w:r w:rsidR="002137FF">
        <w:t>,</w:t>
      </w:r>
      <w:r w:rsidR="003D640C">
        <w:t xml:space="preserve"> </w:t>
      </w:r>
      <w:r w:rsidRPr="00932002">
        <w:t>&amp;</w:t>
      </w:r>
      <w:r w:rsidR="003D640C">
        <w:t xml:space="preserve"> </w:t>
      </w:r>
      <w:r w:rsidRPr="00932002">
        <w:t>Atwool,</w:t>
      </w:r>
      <w:r w:rsidR="003D640C">
        <w:t xml:space="preserve"> </w:t>
      </w:r>
      <w:r w:rsidRPr="00932002">
        <w:t>N.</w:t>
      </w:r>
      <w:r w:rsidR="003D640C">
        <w:t xml:space="preserve"> </w:t>
      </w:r>
      <w:r w:rsidRPr="00932002">
        <w:t>(2024).</w:t>
      </w:r>
      <w:r w:rsidR="003D640C">
        <w:t xml:space="preserve"> </w:t>
      </w:r>
      <w:r w:rsidRPr="00932002">
        <w:t>Conversion</w:t>
      </w:r>
      <w:r w:rsidR="003D640C">
        <w:t xml:space="preserve"> </w:t>
      </w:r>
      <w:r w:rsidRPr="00932002">
        <w:t>practices</w:t>
      </w:r>
      <w:r w:rsidR="003D640C">
        <w:t xml:space="preserve"> </w:t>
      </w:r>
      <w:r w:rsidRPr="00932002">
        <w:t>in</w:t>
      </w:r>
      <w:r w:rsidR="003D640C">
        <w:t xml:space="preserve"> </w:t>
      </w:r>
      <w:r w:rsidRPr="00932002">
        <w:t>Aotearoa</w:t>
      </w:r>
      <w:r w:rsidR="003D640C">
        <w:t xml:space="preserve"> </w:t>
      </w:r>
      <w:r w:rsidRPr="00932002">
        <w:t>New</w:t>
      </w:r>
      <w:r w:rsidR="003D640C">
        <w:t xml:space="preserve"> </w:t>
      </w:r>
      <w:r w:rsidRPr="00932002">
        <w:t>Zealand:</w:t>
      </w:r>
      <w:r w:rsidR="003D640C">
        <w:t xml:space="preserve"> </w:t>
      </w:r>
      <w:r w:rsidRPr="00932002">
        <w:t>Developing</w:t>
      </w:r>
      <w:r w:rsidR="003D640C">
        <w:t xml:space="preserve"> </w:t>
      </w:r>
      <w:r w:rsidRPr="00932002">
        <w:t>a</w:t>
      </w:r>
      <w:r w:rsidR="003D640C">
        <w:t xml:space="preserve"> </w:t>
      </w:r>
      <w:r w:rsidRPr="00932002">
        <w:t>holistic</w:t>
      </w:r>
      <w:r w:rsidR="003D640C">
        <w:t xml:space="preserve"> </w:t>
      </w:r>
      <w:r w:rsidRPr="00932002">
        <w:t>response</w:t>
      </w:r>
      <w:r w:rsidR="003D640C">
        <w:t xml:space="preserve"> </w:t>
      </w:r>
      <w:r w:rsidRPr="00932002">
        <w:t>to</w:t>
      </w:r>
      <w:r w:rsidR="003D640C">
        <w:t xml:space="preserve"> </w:t>
      </w:r>
      <w:r w:rsidRPr="00932002">
        <w:t>spiritual</w:t>
      </w:r>
      <w:r w:rsidR="003D640C">
        <w:t xml:space="preserve"> </w:t>
      </w:r>
      <w:r w:rsidRPr="00932002">
        <w:t>abuse.</w:t>
      </w:r>
      <w:r w:rsidR="003D640C">
        <w:t xml:space="preserve"> </w:t>
      </w:r>
      <w:r w:rsidR="001A2285" w:rsidRPr="00932002">
        <w:rPr>
          <w:i/>
          <w:iCs/>
        </w:rPr>
        <w:t>P</w:t>
      </w:r>
      <w:r w:rsidR="001A2285">
        <w:rPr>
          <w:i/>
          <w:iCs/>
        </w:rPr>
        <w:t>L</w:t>
      </w:r>
      <w:r w:rsidR="006B792C">
        <w:rPr>
          <w:i/>
          <w:iCs/>
        </w:rPr>
        <w:t>o</w:t>
      </w:r>
      <w:r w:rsidR="001A2285" w:rsidRPr="00932002">
        <w:rPr>
          <w:i/>
          <w:iCs/>
        </w:rPr>
        <w:t>S</w:t>
      </w:r>
      <w:r w:rsidR="003D640C">
        <w:rPr>
          <w:i/>
          <w:iCs/>
        </w:rPr>
        <w:t xml:space="preserve"> </w:t>
      </w:r>
      <w:r w:rsidR="001A2285" w:rsidRPr="00932002">
        <w:rPr>
          <w:i/>
          <w:iCs/>
        </w:rPr>
        <w:t>O</w:t>
      </w:r>
      <w:r w:rsidR="001A2285">
        <w:rPr>
          <w:i/>
          <w:iCs/>
        </w:rPr>
        <w:t>NE</w:t>
      </w:r>
      <w:r w:rsidRPr="00932002">
        <w:t>,</w:t>
      </w:r>
      <w:r w:rsidR="003D640C">
        <w:t xml:space="preserve"> </w:t>
      </w:r>
      <w:r w:rsidRPr="00932002">
        <w:rPr>
          <w:i/>
          <w:iCs/>
        </w:rPr>
        <w:t>19</w:t>
      </w:r>
      <w:r w:rsidRPr="00932002">
        <w:t>(5),</w:t>
      </w:r>
      <w:r w:rsidR="003D640C">
        <w:t xml:space="preserve"> </w:t>
      </w:r>
      <w:r w:rsidRPr="00932002">
        <w:t>e0302163–e0302163.</w:t>
      </w:r>
      <w:r w:rsidR="003D640C">
        <w:t xml:space="preserve"> </w:t>
      </w:r>
    </w:p>
  </w:footnote>
  <w:footnote w:id="102">
    <w:p w14:paraId="6FE1C4E1" w14:textId="139953E7" w:rsidR="00D05424" w:rsidRPr="00366C2C" w:rsidRDefault="00D05424" w:rsidP="00E00167">
      <w:pPr>
        <w:pStyle w:val="FootnoteText"/>
        <w:rPr>
          <w:lang w:val="mi-NZ"/>
        </w:rPr>
      </w:pPr>
      <w:r>
        <w:rPr>
          <w:rStyle w:val="FootnoteReference"/>
        </w:rPr>
        <w:footnoteRef/>
      </w:r>
      <w:r w:rsidR="003D640C">
        <w:t xml:space="preserve"> </w:t>
      </w:r>
      <w:r>
        <w:t>Jones</w:t>
      </w:r>
      <w:r w:rsidR="003D640C">
        <w:t xml:space="preserve"> </w:t>
      </w:r>
      <w:r w:rsidR="0000265D">
        <w:t>et</w:t>
      </w:r>
      <w:r w:rsidR="003D640C">
        <w:t xml:space="preserve"> </w:t>
      </w:r>
      <w:r w:rsidR="0000265D">
        <w:t>al.</w:t>
      </w:r>
      <w:r w:rsidR="002137FF">
        <w:t>,</w:t>
      </w:r>
      <w:r w:rsidR="003D640C">
        <w:t xml:space="preserve"> </w:t>
      </w:r>
      <w:r w:rsidR="001D7AB9" w:rsidRPr="00E012E0">
        <w:t>2022</w:t>
      </w:r>
      <w:r w:rsidR="00851726">
        <w:t>b</w:t>
      </w:r>
      <w:r w:rsidR="002137FF">
        <w:t>.</w:t>
      </w:r>
    </w:p>
  </w:footnote>
  <w:footnote w:id="103">
    <w:p w14:paraId="4F07440E" w14:textId="7107D043" w:rsidR="006D32B5" w:rsidRPr="00366C2C" w:rsidRDefault="006D32B5" w:rsidP="00E00167">
      <w:pPr>
        <w:pStyle w:val="FootnoteText"/>
      </w:pPr>
      <w:r>
        <w:rPr>
          <w:rStyle w:val="FootnoteReference"/>
        </w:rPr>
        <w:footnoteRef/>
      </w:r>
      <w:r w:rsidR="003D640C">
        <w:t xml:space="preserve"> </w:t>
      </w:r>
      <w:r>
        <w:t>New</w:t>
      </w:r>
      <w:r w:rsidR="003D640C">
        <w:t xml:space="preserve"> </w:t>
      </w:r>
      <w:r>
        <w:t>Zealand</w:t>
      </w:r>
      <w:r w:rsidR="003D640C">
        <w:t xml:space="preserve"> </w:t>
      </w:r>
      <w:r>
        <w:t>Psychological</w:t>
      </w:r>
      <w:r w:rsidR="003D640C">
        <w:t xml:space="preserve"> </w:t>
      </w:r>
      <w:r>
        <w:t>Society</w:t>
      </w:r>
      <w:r w:rsidR="002E4BF5">
        <w:t>.</w:t>
      </w:r>
      <w:r w:rsidR="003D640C">
        <w:t xml:space="preserve"> </w:t>
      </w:r>
      <w:r w:rsidR="002E4BF5">
        <w:t>(</w:t>
      </w:r>
      <w:r>
        <w:t>n.d.</w:t>
      </w:r>
      <w:r w:rsidR="00B6157E">
        <w:t>b</w:t>
      </w:r>
      <w:r w:rsidR="002E4BF5">
        <w:t>).</w:t>
      </w:r>
      <w:r w:rsidR="003D640C">
        <w:t xml:space="preserve"> </w:t>
      </w:r>
      <w:r w:rsidR="007B7E7E" w:rsidRPr="007B139B">
        <w:rPr>
          <w:i/>
          <w:iCs/>
        </w:rPr>
        <w:t>New</w:t>
      </w:r>
      <w:r w:rsidR="003D640C" w:rsidRPr="007B139B">
        <w:rPr>
          <w:i/>
          <w:iCs/>
        </w:rPr>
        <w:t xml:space="preserve"> </w:t>
      </w:r>
      <w:r w:rsidR="007B7E7E" w:rsidRPr="007B139B">
        <w:rPr>
          <w:i/>
          <w:iCs/>
        </w:rPr>
        <w:t>Zealand</w:t>
      </w:r>
      <w:r w:rsidR="003D640C" w:rsidRPr="007B139B">
        <w:rPr>
          <w:i/>
          <w:iCs/>
        </w:rPr>
        <w:t xml:space="preserve"> </w:t>
      </w:r>
      <w:r w:rsidR="007B7E7E" w:rsidRPr="007B139B">
        <w:rPr>
          <w:i/>
          <w:iCs/>
        </w:rPr>
        <w:t>Psychological</w:t>
      </w:r>
      <w:r w:rsidR="003D640C" w:rsidRPr="007B139B">
        <w:rPr>
          <w:i/>
          <w:iCs/>
        </w:rPr>
        <w:t xml:space="preserve"> </w:t>
      </w:r>
      <w:r w:rsidR="007B7E7E" w:rsidRPr="007B139B">
        <w:rPr>
          <w:i/>
          <w:iCs/>
        </w:rPr>
        <w:t>Society</w:t>
      </w:r>
      <w:r w:rsidR="003D640C" w:rsidRPr="007B139B">
        <w:rPr>
          <w:i/>
          <w:iCs/>
        </w:rPr>
        <w:t xml:space="preserve"> </w:t>
      </w:r>
      <w:r w:rsidR="002E4BF5" w:rsidRPr="007B139B">
        <w:rPr>
          <w:i/>
          <w:iCs/>
        </w:rPr>
        <w:t>s</w:t>
      </w:r>
      <w:r w:rsidR="007B7E7E" w:rsidRPr="007B139B">
        <w:rPr>
          <w:i/>
          <w:iCs/>
        </w:rPr>
        <w:t>ubmission</w:t>
      </w:r>
      <w:r w:rsidR="003D640C" w:rsidRPr="007B139B">
        <w:rPr>
          <w:i/>
          <w:iCs/>
        </w:rPr>
        <w:t xml:space="preserve"> </w:t>
      </w:r>
      <w:r w:rsidR="007B7E7E" w:rsidRPr="007B139B">
        <w:rPr>
          <w:i/>
          <w:iCs/>
        </w:rPr>
        <w:t>to</w:t>
      </w:r>
      <w:r w:rsidR="003D640C" w:rsidRPr="007B139B">
        <w:rPr>
          <w:i/>
          <w:iCs/>
        </w:rPr>
        <w:t xml:space="preserve"> </w:t>
      </w:r>
      <w:r w:rsidR="007B7E7E" w:rsidRPr="007B139B">
        <w:rPr>
          <w:i/>
          <w:iCs/>
        </w:rPr>
        <w:t>the</w:t>
      </w:r>
      <w:r w:rsidR="003D640C" w:rsidRPr="007B139B">
        <w:rPr>
          <w:i/>
          <w:iCs/>
        </w:rPr>
        <w:t xml:space="preserve"> </w:t>
      </w:r>
      <w:r w:rsidR="007B7E7E" w:rsidRPr="007B139B">
        <w:rPr>
          <w:i/>
          <w:iCs/>
        </w:rPr>
        <w:t>Parliamentary</w:t>
      </w:r>
      <w:r w:rsidR="003D640C" w:rsidRPr="007B139B">
        <w:rPr>
          <w:i/>
          <w:iCs/>
        </w:rPr>
        <w:t xml:space="preserve"> </w:t>
      </w:r>
      <w:r w:rsidR="007B7E7E" w:rsidRPr="007B139B">
        <w:rPr>
          <w:i/>
          <w:iCs/>
        </w:rPr>
        <w:t>Justice</w:t>
      </w:r>
      <w:r w:rsidR="003D640C" w:rsidRPr="007B139B">
        <w:rPr>
          <w:i/>
          <w:iCs/>
        </w:rPr>
        <w:t xml:space="preserve"> </w:t>
      </w:r>
      <w:r w:rsidR="007B7E7E" w:rsidRPr="007B139B">
        <w:rPr>
          <w:i/>
          <w:iCs/>
        </w:rPr>
        <w:t>Select</w:t>
      </w:r>
      <w:r w:rsidR="003D640C" w:rsidRPr="007B139B">
        <w:rPr>
          <w:i/>
          <w:iCs/>
        </w:rPr>
        <w:t xml:space="preserve"> </w:t>
      </w:r>
      <w:r w:rsidR="007B7E7E" w:rsidRPr="007B139B">
        <w:rPr>
          <w:i/>
          <w:iCs/>
        </w:rPr>
        <w:t>Committee</w:t>
      </w:r>
      <w:r w:rsidR="003D640C" w:rsidRPr="007B139B">
        <w:rPr>
          <w:i/>
          <w:iCs/>
        </w:rPr>
        <w:t xml:space="preserve"> </w:t>
      </w:r>
      <w:r w:rsidR="000763D3" w:rsidRPr="007B139B">
        <w:rPr>
          <w:i/>
          <w:iCs/>
        </w:rPr>
        <w:t>–</w:t>
      </w:r>
      <w:r w:rsidR="003D640C" w:rsidRPr="007B139B">
        <w:rPr>
          <w:i/>
          <w:iCs/>
        </w:rPr>
        <w:t xml:space="preserve"> </w:t>
      </w:r>
      <w:r w:rsidR="000763D3" w:rsidRPr="007B139B">
        <w:rPr>
          <w:i/>
          <w:iCs/>
        </w:rPr>
        <w:t>on</w:t>
      </w:r>
      <w:r w:rsidR="003D640C" w:rsidRPr="007B139B">
        <w:rPr>
          <w:i/>
          <w:iCs/>
        </w:rPr>
        <w:t xml:space="preserve"> </w:t>
      </w:r>
      <w:r w:rsidR="000763D3" w:rsidRPr="007B139B">
        <w:rPr>
          <w:i/>
          <w:iCs/>
        </w:rPr>
        <w:t>the</w:t>
      </w:r>
      <w:r w:rsidR="003D640C" w:rsidRPr="007B139B">
        <w:rPr>
          <w:i/>
          <w:iCs/>
        </w:rPr>
        <w:t xml:space="preserve"> </w:t>
      </w:r>
      <w:r w:rsidR="000763D3" w:rsidRPr="007B139B">
        <w:rPr>
          <w:i/>
          <w:iCs/>
        </w:rPr>
        <w:t>Conversion</w:t>
      </w:r>
      <w:r w:rsidR="003D640C" w:rsidRPr="007B139B">
        <w:rPr>
          <w:i/>
          <w:iCs/>
        </w:rPr>
        <w:t xml:space="preserve"> </w:t>
      </w:r>
      <w:r w:rsidR="000763D3" w:rsidRPr="007B139B">
        <w:rPr>
          <w:i/>
          <w:iCs/>
        </w:rPr>
        <w:t>Practices</w:t>
      </w:r>
      <w:r w:rsidR="003D640C" w:rsidRPr="007B139B">
        <w:rPr>
          <w:i/>
          <w:iCs/>
        </w:rPr>
        <w:t xml:space="preserve"> </w:t>
      </w:r>
      <w:r w:rsidR="000763D3" w:rsidRPr="007B139B">
        <w:rPr>
          <w:i/>
          <w:iCs/>
        </w:rPr>
        <w:t>Prohibition</w:t>
      </w:r>
      <w:r w:rsidR="003D640C" w:rsidRPr="007B139B">
        <w:rPr>
          <w:i/>
          <w:iCs/>
        </w:rPr>
        <w:t xml:space="preserve"> </w:t>
      </w:r>
      <w:r w:rsidR="000763D3" w:rsidRPr="007B139B">
        <w:rPr>
          <w:i/>
          <w:iCs/>
        </w:rPr>
        <w:t>Legislation</w:t>
      </w:r>
      <w:r w:rsidR="003D640C" w:rsidRPr="007B139B">
        <w:rPr>
          <w:i/>
          <w:iCs/>
        </w:rPr>
        <w:t xml:space="preserve"> </w:t>
      </w:r>
      <w:r w:rsidR="000763D3" w:rsidRPr="007B139B">
        <w:rPr>
          <w:i/>
          <w:iCs/>
        </w:rPr>
        <w:t>Bill</w:t>
      </w:r>
      <w:r w:rsidR="000763D3">
        <w:t>.</w:t>
      </w:r>
      <w:r w:rsidR="000763D3" w:rsidDel="008E1CCA">
        <w:t xml:space="preserve"> </w:t>
      </w:r>
    </w:p>
  </w:footnote>
  <w:footnote w:id="104">
    <w:p w14:paraId="31CA2480" w14:textId="29846098" w:rsidR="006D32B5" w:rsidRPr="00366C2C" w:rsidRDefault="006D32B5" w:rsidP="00E00167">
      <w:pPr>
        <w:pStyle w:val="FootnoteText"/>
      </w:pPr>
      <w:r>
        <w:rPr>
          <w:rStyle w:val="FootnoteReference"/>
        </w:rPr>
        <w:footnoteRef/>
      </w:r>
      <w:r w:rsidR="003D640C">
        <w:t xml:space="preserve"> </w:t>
      </w:r>
      <w:r w:rsidR="003F2A1E">
        <w:t>The</w:t>
      </w:r>
      <w:r w:rsidR="003D640C">
        <w:t xml:space="preserve"> </w:t>
      </w:r>
      <w:r w:rsidR="003F2A1E">
        <w:t>Royal</w:t>
      </w:r>
      <w:r w:rsidR="003D640C">
        <w:t xml:space="preserve"> </w:t>
      </w:r>
      <w:r w:rsidR="003F2A1E">
        <w:t>Australian</w:t>
      </w:r>
      <w:r w:rsidR="003D640C">
        <w:t xml:space="preserve"> </w:t>
      </w:r>
      <w:r w:rsidR="003F2A1E">
        <w:t>&amp;</w:t>
      </w:r>
      <w:r w:rsidR="003D640C">
        <w:t xml:space="preserve"> </w:t>
      </w:r>
      <w:r w:rsidR="003F2A1E">
        <w:t>New</w:t>
      </w:r>
      <w:r w:rsidR="003D640C">
        <w:t xml:space="preserve"> </w:t>
      </w:r>
      <w:r w:rsidR="003F2A1E">
        <w:t>Zealand</w:t>
      </w:r>
      <w:r w:rsidR="003D640C">
        <w:t xml:space="preserve"> </w:t>
      </w:r>
      <w:r w:rsidR="003F2A1E">
        <w:t>College</w:t>
      </w:r>
      <w:r w:rsidR="003D640C">
        <w:t xml:space="preserve"> </w:t>
      </w:r>
      <w:r w:rsidR="003F2A1E">
        <w:t>of</w:t>
      </w:r>
      <w:r w:rsidR="003D640C">
        <w:t xml:space="preserve"> </w:t>
      </w:r>
      <w:r w:rsidR="003F2A1E">
        <w:t>Psychiatrists</w:t>
      </w:r>
      <w:r w:rsidR="002E4BF5">
        <w:t>,</w:t>
      </w:r>
      <w:r w:rsidR="003D640C">
        <w:t xml:space="preserve"> </w:t>
      </w:r>
      <w:r>
        <w:t>2019</w:t>
      </w:r>
      <w:r w:rsidR="00C46F53">
        <w:t>.</w:t>
      </w:r>
    </w:p>
  </w:footnote>
  <w:footnote w:id="105">
    <w:p w14:paraId="32E71BC7" w14:textId="7B969C36" w:rsidR="006D32B5" w:rsidRPr="00366C2C" w:rsidRDefault="006D32B5" w:rsidP="00E00167">
      <w:pPr>
        <w:pStyle w:val="FootnoteText"/>
      </w:pPr>
      <w:r>
        <w:rPr>
          <w:rStyle w:val="FootnoteReference"/>
        </w:rPr>
        <w:footnoteRef/>
      </w:r>
      <w:r w:rsidR="003D640C">
        <w:t xml:space="preserve"> </w:t>
      </w:r>
      <w:r w:rsidR="00E44A1B">
        <w:t>N</w:t>
      </w:r>
      <w:r w:rsidR="002E4BF5">
        <w:t xml:space="preserve">ew </w:t>
      </w:r>
      <w:r w:rsidR="00E44A1B">
        <w:t>Z</w:t>
      </w:r>
      <w:r w:rsidR="002E4BF5">
        <w:t>ealand</w:t>
      </w:r>
      <w:r w:rsidR="003D640C">
        <w:t xml:space="preserve"> </w:t>
      </w:r>
      <w:r w:rsidR="00E44A1B">
        <w:t>College</w:t>
      </w:r>
      <w:r w:rsidR="003D640C">
        <w:t xml:space="preserve"> </w:t>
      </w:r>
      <w:r w:rsidR="00E44A1B">
        <w:t>of</w:t>
      </w:r>
      <w:r w:rsidR="003D640C">
        <w:t xml:space="preserve"> </w:t>
      </w:r>
      <w:r w:rsidR="00E44A1B">
        <w:t>Clinical</w:t>
      </w:r>
      <w:r w:rsidR="003D640C">
        <w:t xml:space="preserve"> </w:t>
      </w:r>
      <w:r w:rsidR="00E44A1B">
        <w:t>Psychologists</w:t>
      </w:r>
      <w:r w:rsidR="003D640C">
        <w:t xml:space="preserve"> </w:t>
      </w:r>
      <w:r w:rsidR="002E4BF5">
        <w:t xml:space="preserve">| </w:t>
      </w:r>
      <w:r w:rsidR="00E44A1B">
        <w:t>Te</w:t>
      </w:r>
      <w:r w:rsidR="003D640C">
        <w:t xml:space="preserve"> </w:t>
      </w:r>
      <w:r w:rsidR="00E44A1B">
        <w:t>Whare</w:t>
      </w:r>
      <w:r w:rsidR="003D640C">
        <w:t xml:space="preserve"> </w:t>
      </w:r>
      <w:r w:rsidR="00E44A1B">
        <w:t>W</w:t>
      </w:r>
      <w:r w:rsidR="00E44A1B">
        <w:rPr>
          <w:lang w:val="mi-NZ"/>
        </w:rPr>
        <w:t>ānanga</w:t>
      </w:r>
      <w:r w:rsidR="003D640C">
        <w:rPr>
          <w:lang w:val="mi-NZ"/>
        </w:rPr>
        <w:t xml:space="preserve"> </w:t>
      </w:r>
      <w:r w:rsidR="00E44A1B">
        <w:rPr>
          <w:lang w:val="mi-NZ"/>
        </w:rPr>
        <w:t>o</w:t>
      </w:r>
      <w:r w:rsidR="003D640C">
        <w:rPr>
          <w:lang w:val="mi-NZ"/>
        </w:rPr>
        <w:t xml:space="preserve"> </w:t>
      </w:r>
      <w:r w:rsidR="00E44A1B">
        <w:rPr>
          <w:lang w:val="mi-NZ"/>
        </w:rPr>
        <w:t>te</w:t>
      </w:r>
      <w:r w:rsidR="003D640C">
        <w:rPr>
          <w:lang w:val="mi-NZ"/>
        </w:rPr>
        <w:t xml:space="preserve"> </w:t>
      </w:r>
      <w:r w:rsidR="00E44A1B">
        <w:rPr>
          <w:lang w:val="mi-NZ"/>
        </w:rPr>
        <w:t>Mātauranga</w:t>
      </w:r>
      <w:r w:rsidR="003D640C">
        <w:rPr>
          <w:lang w:val="mi-NZ"/>
        </w:rPr>
        <w:t xml:space="preserve"> </w:t>
      </w:r>
      <w:r w:rsidR="00E44A1B">
        <w:rPr>
          <w:lang w:val="mi-NZ"/>
        </w:rPr>
        <w:t>Hinengaro</w:t>
      </w:r>
      <w:r w:rsidR="002E4BF5">
        <w:rPr>
          <w:lang w:val="mi-NZ"/>
        </w:rPr>
        <w:t>,</w:t>
      </w:r>
      <w:r w:rsidR="003D640C">
        <w:t xml:space="preserve"> </w:t>
      </w:r>
      <w:r>
        <w:t>2021</w:t>
      </w:r>
      <w:r w:rsidR="00C46F53">
        <w:t>.</w:t>
      </w:r>
    </w:p>
  </w:footnote>
  <w:footnote w:id="106">
    <w:p w14:paraId="6721783F" w14:textId="0C577F85" w:rsidR="006D32B5" w:rsidRPr="00366C2C" w:rsidRDefault="006D32B5" w:rsidP="00E00167">
      <w:pPr>
        <w:pStyle w:val="FootnoteText"/>
      </w:pPr>
      <w:r>
        <w:rPr>
          <w:rStyle w:val="FootnoteReference"/>
        </w:rPr>
        <w:footnoteRef/>
      </w:r>
      <w:r w:rsidR="003D640C">
        <w:t xml:space="preserve"> </w:t>
      </w:r>
      <w:r w:rsidR="00A56950">
        <w:t>New</w:t>
      </w:r>
      <w:r w:rsidR="003D640C">
        <w:t xml:space="preserve"> </w:t>
      </w:r>
      <w:r w:rsidR="00A56950">
        <w:t>Zealand</w:t>
      </w:r>
      <w:r w:rsidR="003D640C">
        <w:t xml:space="preserve"> </w:t>
      </w:r>
      <w:r w:rsidR="00A56950">
        <w:t>Association</w:t>
      </w:r>
      <w:r w:rsidR="003D640C">
        <w:t xml:space="preserve"> </w:t>
      </w:r>
      <w:r w:rsidR="00A56950">
        <w:t>of</w:t>
      </w:r>
      <w:r w:rsidR="003D640C">
        <w:t xml:space="preserve"> </w:t>
      </w:r>
      <w:r w:rsidR="00A56950">
        <w:t>Counsellors</w:t>
      </w:r>
      <w:r w:rsidR="002E4BF5">
        <w:t>,</w:t>
      </w:r>
      <w:r w:rsidR="003D640C">
        <w:t xml:space="preserve"> </w:t>
      </w:r>
      <w:r w:rsidRPr="0028206E">
        <w:t>2020</w:t>
      </w:r>
      <w:r w:rsidR="00C46F53">
        <w:t>.</w:t>
      </w:r>
    </w:p>
  </w:footnote>
  <w:footnote w:id="107">
    <w:p w14:paraId="67555ACD" w14:textId="1468E5E2" w:rsidR="001D5204" w:rsidRDefault="001D5204">
      <w:pPr>
        <w:pStyle w:val="FootnoteText"/>
      </w:pPr>
      <w:r>
        <w:rPr>
          <w:rStyle w:val="FootnoteReference"/>
        </w:rPr>
        <w:footnoteRef/>
      </w:r>
      <w:r>
        <w:t xml:space="preserve"> </w:t>
      </w:r>
      <w:r w:rsidRPr="007B139B">
        <w:rPr>
          <w:lang w:val="en-US"/>
        </w:rPr>
        <w:t>Human</w:t>
      </w:r>
      <w:r>
        <w:rPr>
          <w:lang w:val="en-US"/>
        </w:rPr>
        <w:t xml:space="preserve"> Rights Commission. (2023a). </w:t>
      </w:r>
      <w:r w:rsidRPr="00984D87">
        <w:rPr>
          <w:rFonts w:ascii="Calibri" w:hAnsi="Calibri" w:cs="Calibri"/>
          <w:i/>
          <w:iCs/>
          <w:lang w:val="mi-NZ"/>
        </w:rPr>
        <w:t>Conversion</w:t>
      </w:r>
      <w:r>
        <w:rPr>
          <w:rFonts w:ascii="Calibri" w:hAnsi="Calibri" w:cs="Calibri"/>
          <w:i/>
          <w:iCs/>
          <w:lang w:val="mi-NZ"/>
        </w:rPr>
        <w:t xml:space="preserve"> p</w:t>
      </w:r>
      <w:r w:rsidRPr="00984D87">
        <w:rPr>
          <w:rFonts w:ascii="Calibri" w:hAnsi="Calibri" w:cs="Calibri"/>
          <w:i/>
          <w:iCs/>
          <w:lang w:val="mi-NZ"/>
        </w:rPr>
        <w:t>ractices</w:t>
      </w:r>
      <w:r>
        <w:rPr>
          <w:rFonts w:ascii="Calibri" w:hAnsi="Calibri" w:cs="Calibri"/>
          <w:i/>
          <w:iCs/>
          <w:lang w:val="mi-NZ"/>
        </w:rPr>
        <w:t>: Guidance for mental healthcare professionals.</w:t>
      </w:r>
    </w:p>
  </w:footnote>
  <w:footnote w:id="108">
    <w:p w14:paraId="79774ECB" w14:textId="70FB5ADD" w:rsidR="009E5207" w:rsidRPr="00400F1E" w:rsidRDefault="009E5207" w:rsidP="00E00167">
      <w:pPr>
        <w:pStyle w:val="FootnoteText"/>
        <w:rPr>
          <w:lang w:val="mi-NZ"/>
        </w:rPr>
      </w:pPr>
      <w:r>
        <w:rPr>
          <w:rStyle w:val="FootnoteReference"/>
        </w:rPr>
        <w:footnoteRef/>
      </w:r>
      <w:r w:rsidR="004A4008">
        <w:t xml:space="preserve"> </w:t>
      </w:r>
      <w:hyperlink r:id="rId3" w:history="1">
        <w:r w:rsidR="003E0764">
          <w:t>Fenaughty</w:t>
        </w:r>
        <w:r w:rsidR="009D4725">
          <w:t>,</w:t>
        </w:r>
        <w:r w:rsidR="003D640C">
          <w:t xml:space="preserve"> </w:t>
        </w:r>
        <w:r w:rsidR="009D4725">
          <w:t>J.,</w:t>
        </w:r>
        <w:r w:rsidR="003D640C">
          <w:t xml:space="preserve"> </w:t>
        </w:r>
        <w:r w:rsidR="009D4725">
          <w:t>Sutcliffe,</w:t>
        </w:r>
        <w:r w:rsidR="003D640C">
          <w:t xml:space="preserve"> </w:t>
        </w:r>
        <w:r w:rsidR="009D4725">
          <w:t>K.,</w:t>
        </w:r>
        <w:r w:rsidR="003D640C">
          <w:t xml:space="preserve"> </w:t>
        </w:r>
        <w:r w:rsidR="009D4725">
          <w:t>Fleming,</w:t>
        </w:r>
        <w:r w:rsidR="003D640C">
          <w:t xml:space="preserve"> </w:t>
        </w:r>
        <w:r w:rsidR="009D4725">
          <w:t>T.,</w:t>
        </w:r>
        <w:r w:rsidR="003D640C">
          <w:t xml:space="preserve"> </w:t>
        </w:r>
        <w:r w:rsidR="009D4725">
          <w:t>Ker,</w:t>
        </w:r>
        <w:r w:rsidR="003D640C">
          <w:t xml:space="preserve"> </w:t>
        </w:r>
        <w:r w:rsidR="009D4725">
          <w:t>A.,</w:t>
        </w:r>
        <w:r w:rsidR="003D640C">
          <w:t xml:space="preserve"> </w:t>
        </w:r>
        <w:r w:rsidR="009D4725">
          <w:t>Lucassen,</w:t>
        </w:r>
        <w:r w:rsidR="003D640C">
          <w:t xml:space="preserve"> </w:t>
        </w:r>
        <w:r w:rsidR="009D4725">
          <w:t>M.,</w:t>
        </w:r>
        <w:r w:rsidR="003D640C">
          <w:t xml:space="preserve"> </w:t>
        </w:r>
        <w:r w:rsidR="009D4725">
          <w:t>Greaves,</w:t>
        </w:r>
        <w:r w:rsidR="003D640C">
          <w:t xml:space="preserve"> </w:t>
        </w:r>
        <w:r w:rsidR="009D4725">
          <w:t>L.,</w:t>
        </w:r>
        <w:r w:rsidR="003D640C">
          <w:t xml:space="preserve"> </w:t>
        </w:r>
        <w:r w:rsidR="00697117">
          <w:t>&amp;</w:t>
        </w:r>
        <w:r w:rsidR="003D640C">
          <w:t xml:space="preserve"> </w:t>
        </w:r>
        <w:r w:rsidR="00697117">
          <w:t>Clark,</w:t>
        </w:r>
        <w:r w:rsidR="003D640C">
          <w:t xml:space="preserve"> </w:t>
        </w:r>
        <w:r w:rsidR="00697117">
          <w:t>T.</w:t>
        </w:r>
        <w:r w:rsidR="003D640C">
          <w:t xml:space="preserve"> </w:t>
        </w:r>
        <w:r w:rsidR="00697117">
          <w:t>(2021).</w:t>
        </w:r>
        <w:r w:rsidR="003D640C">
          <w:t xml:space="preserve"> </w:t>
        </w:r>
        <w:r w:rsidR="00697117" w:rsidRPr="004D239C">
          <w:rPr>
            <w:i/>
            <w:iCs/>
          </w:rPr>
          <w:t>Youth19:</w:t>
        </w:r>
        <w:r w:rsidR="003D640C">
          <w:t xml:space="preserve"> </w:t>
        </w:r>
        <w:r w:rsidR="00697117" w:rsidRPr="004D239C">
          <w:rPr>
            <w:i/>
            <w:iCs/>
          </w:rPr>
          <w:t>Transgender</w:t>
        </w:r>
        <w:r w:rsidR="003D640C">
          <w:rPr>
            <w:i/>
            <w:iCs/>
          </w:rPr>
          <w:t xml:space="preserve"> </w:t>
        </w:r>
        <w:r w:rsidR="004D239C" w:rsidRPr="004D239C">
          <w:rPr>
            <w:i/>
            <w:iCs/>
          </w:rPr>
          <w:t>and</w:t>
        </w:r>
        <w:r w:rsidR="003D640C">
          <w:rPr>
            <w:i/>
            <w:iCs/>
          </w:rPr>
          <w:t xml:space="preserve"> </w:t>
        </w:r>
        <w:r w:rsidR="004D239C" w:rsidRPr="004D239C">
          <w:rPr>
            <w:i/>
            <w:iCs/>
          </w:rPr>
          <w:t>diverse</w:t>
        </w:r>
        <w:r w:rsidR="003D640C">
          <w:rPr>
            <w:i/>
            <w:iCs/>
          </w:rPr>
          <w:t xml:space="preserve"> </w:t>
        </w:r>
        <w:r w:rsidR="004D239C" w:rsidRPr="004D239C">
          <w:rPr>
            <w:i/>
            <w:iCs/>
          </w:rPr>
          <w:t>gender</w:t>
        </w:r>
        <w:r w:rsidR="003D640C">
          <w:rPr>
            <w:i/>
            <w:iCs/>
          </w:rPr>
          <w:t xml:space="preserve"> </w:t>
        </w:r>
        <w:r w:rsidR="004D239C" w:rsidRPr="004D239C">
          <w:rPr>
            <w:i/>
            <w:iCs/>
          </w:rPr>
          <w:t>students.</w:t>
        </w:r>
      </w:hyperlink>
      <w:r w:rsidR="004A4008">
        <w:t xml:space="preserve"> </w:t>
      </w:r>
      <w:r w:rsidR="004D4891">
        <w:t xml:space="preserve">The </w:t>
      </w:r>
      <w:r w:rsidR="004A4008">
        <w:t>Youth19</w:t>
      </w:r>
      <w:r w:rsidR="004D4891">
        <w:t xml:space="preserve"> Research Group</w:t>
      </w:r>
      <w:r w:rsidR="004A4008">
        <w:t>.</w:t>
      </w:r>
      <w:r w:rsidR="003D640C">
        <w:rPr>
          <w:rStyle w:val="Hyperlink"/>
        </w:rPr>
        <w:t xml:space="preserve"> </w:t>
      </w:r>
    </w:p>
  </w:footnote>
  <w:footnote w:id="109">
    <w:p w14:paraId="7116CC10" w14:textId="25C17FB9" w:rsidR="009E5207" w:rsidRPr="005A7B04" w:rsidRDefault="009E5207" w:rsidP="00E00167">
      <w:pPr>
        <w:pStyle w:val="FootnoteText"/>
        <w:rPr>
          <w:lang w:val="mi-NZ"/>
        </w:rPr>
      </w:pPr>
      <w:r w:rsidRPr="005A7B04">
        <w:rPr>
          <w:rStyle w:val="FootnoteReference"/>
        </w:rPr>
        <w:footnoteRef/>
      </w:r>
      <w:r w:rsidR="003D640C">
        <w:t xml:space="preserve"> </w:t>
      </w:r>
      <w:r w:rsidR="004A4008">
        <w:rPr>
          <w:rFonts w:ascii="Calibri" w:hAnsi="Calibri" w:cs="Calibri"/>
          <w:color w:val="000000"/>
          <w:shd w:val="clear" w:color="auto" w:fill="FFFFFF"/>
        </w:rPr>
        <w:t>Ibid.</w:t>
      </w:r>
    </w:p>
  </w:footnote>
  <w:footnote w:id="110">
    <w:p w14:paraId="676064DC" w14:textId="622C797D" w:rsidR="00FE669F" w:rsidRPr="00FE669F" w:rsidRDefault="00FE669F" w:rsidP="00E00167">
      <w:pPr>
        <w:pStyle w:val="FootnoteText"/>
        <w:rPr>
          <w:lang w:val="mi-NZ"/>
        </w:rPr>
      </w:pPr>
      <w:r>
        <w:rPr>
          <w:rStyle w:val="FootnoteReference"/>
        </w:rPr>
        <w:footnoteRef/>
      </w:r>
      <w:r w:rsidR="003D640C">
        <w:t xml:space="preserve"> </w:t>
      </w:r>
      <w:r w:rsidR="005454F2">
        <w:t>Fenaughty</w:t>
      </w:r>
      <w:r w:rsidR="003D640C">
        <w:t xml:space="preserve"> </w:t>
      </w:r>
      <w:r w:rsidR="005454F2">
        <w:t>et</w:t>
      </w:r>
      <w:r w:rsidR="003D640C">
        <w:t xml:space="preserve"> </w:t>
      </w:r>
      <w:r w:rsidR="005454F2">
        <w:t>al.,</w:t>
      </w:r>
      <w:r w:rsidR="003D640C">
        <w:t xml:space="preserve"> </w:t>
      </w:r>
      <w:r w:rsidR="005454F2">
        <w:t>2023</w:t>
      </w:r>
      <w:r w:rsidR="00E626E4">
        <w:t>.</w:t>
      </w:r>
    </w:p>
  </w:footnote>
  <w:footnote w:id="111">
    <w:p w14:paraId="5FA74497" w14:textId="3B71DB4F" w:rsidR="00644677" w:rsidRDefault="00644677" w:rsidP="00E00167">
      <w:pPr>
        <w:pStyle w:val="FootnoteText"/>
      </w:pPr>
      <w:r>
        <w:rPr>
          <w:rStyle w:val="FootnoteReference"/>
        </w:rPr>
        <w:footnoteRef/>
      </w:r>
      <w:r w:rsidR="003D640C">
        <w:t xml:space="preserve"> </w:t>
      </w:r>
      <w:r w:rsidR="004A4008">
        <w:t>W</w:t>
      </w:r>
      <w:r w:rsidR="006343A0" w:rsidRPr="00BB6220">
        <w:t>hile</w:t>
      </w:r>
      <w:r w:rsidR="003D640C">
        <w:t xml:space="preserve"> </w:t>
      </w:r>
      <w:r w:rsidR="006343A0" w:rsidRPr="00BB6220">
        <w:t>the</w:t>
      </w:r>
      <w:r w:rsidR="003D640C" w:rsidDel="00455E0E">
        <w:t xml:space="preserve"> </w:t>
      </w:r>
      <w:r w:rsidR="00455E0E">
        <w:t xml:space="preserve">Human Rights Act </w:t>
      </w:r>
      <w:r w:rsidR="006343A0" w:rsidRPr="00BB6220">
        <w:t>does</w:t>
      </w:r>
      <w:r w:rsidR="003D640C">
        <w:t xml:space="preserve"> </w:t>
      </w:r>
      <w:r w:rsidR="006343A0" w:rsidRPr="00BB6220">
        <w:t>not</w:t>
      </w:r>
      <w:r w:rsidR="003D640C">
        <w:t xml:space="preserve"> </w:t>
      </w:r>
      <w:r w:rsidR="006343A0" w:rsidRPr="00BB6220">
        <w:t>explicitly</w:t>
      </w:r>
      <w:r w:rsidR="003D640C">
        <w:t xml:space="preserve"> </w:t>
      </w:r>
      <w:r w:rsidR="006343A0" w:rsidRPr="00BB6220">
        <w:t>include</w:t>
      </w:r>
      <w:r w:rsidR="003D640C">
        <w:t xml:space="preserve"> </w:t>
      </w:r>
      <w:r w:rsidR="006343A0" w:rsidRPr="00BB6220">
        <w:t>discrimination</w:t>
      </w:r>
      <w:r w:rsidR="003D640C">
        <w:t xml:space="preserve"> </w:t>
      </w:r>
      <w:r w:rsidR="006343A0" w:rsidRPr="00BB6220">
        <w:t>on</w:t>
      </w:r>
      <w:r w:rsidR="003D640C">
        <w:t xml:space="preserve"> </w:t>
      </w:r>
      <w:r w:rsidR="006343A0" w:rsidRPr="00BB6220">
        <w:t>the</w:t>
      </w:r>
      <w:r w:rsidR="003D640C">
        <w:t xml:space="preserve"> </w:t>
      </w:r>
      <w:r w:rsidR="006343A0" w:rsidRPr="00BB6220">
        <w:t>basis</w:t>
      </w:r>
      <w:r w:rsidR="003D640C">
        <w:t xml:space="preserve"> </w:t>
      </w:r>
      <w:r w:rsidR="006343A0" w:rsidRPr="00BB6220">
        <w:t>of</w:t>
      </w:r>
      <w:r w:rsidR="003D640C">
        <w:t xml:space="preserve"> </w:t>
      </w:r>
      <w:r w:rsidR="006343A0" w:rsidRPr="00BB6220">
        <w:t>transgender</w:t>
      </w:r>
      <w:r w:rsidR="003D640C">
        <w:t xml:space="preserve"> </w:t>
      </w:r>
      <w:r w:rsidR="006343A0" w:rsidRPr="00BB6220">
        <w:t>status,</w:t>
      </w:r>
      <w:r w:rsidR="003D640C">
        <w:t xml:space="preserve"> </w:t>
      </w:r>
      <w:r w:rsidR="006343A0" w:rsidRPr="00BB6220">
        <w:t>the</w:t>
      </w:r>
      <w:r w:rsidR="003D640C">
        <w:t xml:space="preserve"> </w:t>
      </w:r>
      <w:r w:rsidR="006343A0" w:rsidRPr="00BB6220">
        <w:t>Commission</w:t>
      </w:r>
      <w:r w:rsidR="003D640C">
        <w:t xml:space="preserve"> </w:t>
      </w:r>
      <w:r w:rsidR="006343A0" w:rsidRPr="00BB6220">
        <w:t>interprets</w:t>
      </w:r>
      <w:r w:rsidR="003D640C">
        <w:t xml:space="preserve"> </w:t>
      </w:r>
      <w:r w:rsidR="006343A0" w:rsidRPr="00BB6220">
        <w:t>discrimination</w:t>
      </w:r>
      <w:r w:rsidR="003D640C">
        <w:t xml:space="preserve"> </w:t>
      </w:r>
      <w:r w:rsidR="006343A0" w:rsidRPr="00BB6220">
        <w:t>on</w:t>
      </w:r>
      <w:r w:rsidR="003D640C">
        <w:t xml:space="preserve"> </w:t>
      </w:r>
      <w:r w:rsidR="006343A0" w:rsidRPr="00BB6220">
        <w:t>the</w:t>
      </w:r>
      <w:r w:rsidR="003D640C">
        <w:t xml:space="preserve"> </w:t>
      </w:r>
      <w:r w:rsidR="006343A0" w:rsidRPr="00BB6220">
        <w:t>grounds</w:t>
      </w:r>
      <w:r w:rsidR="003D640C">
        <w:t xml:space="preserve"> </w:t>
      </w:r>
      <w:r w:rsidR="006343A0" w:rsidRPr="00BB6220">
        <w:t>of</w:t>
      </w:r>
      <w:r w:rsidR="003D640C">
        <w:t xml:space="preserve"> </w:t>
      </w:r>
      <w:r w:rsidR="006343A0" w:rsidRPr="00BB6220">
        <w:t>sex</w:t>
      </w:r>
      <w:r w:rsidR="003D640C">
        <w:t xml:space="preserve"> </w:t>
      </w:r>
      <w:r w:rsidR="006343A0" w:rsidRPr="00BB6220">
        <w:t>to</w:t>
      </w:r>
      <w:r w:rsidR="003D640C">
        <w:t xml:space="preserve"> </w:t>
      </w:r>
      <w:r w:rsidR="006343A0" w:rsidRPr="00BB6220">
        <w:t>include</w:t>
      </w:r>
      <w:r w:rsidR="003D640C">
        <w:t xml:space="preserve"> </w:t>
      </w:r>
      <w:r w:rsidR="006343A0" w:rsidRPr="00BB6220">
        <w:t>transgender</w:t>
      </w:r>
      <w:r w:rsidR="003D640C">
        <w:t xml:space="preserve"> </w:t>
      </w:r>
      <w:r w:rsidR="006343A0" w:rsidRPr="00BB6220">
        <w:t>status.</w:t>
      </w:r>
      <w:r w:rsidR="003D640C">
        <w:t xml:space="preserve"> </w:t>
      </w:r>
      <w:r w:rsidR="006343A0" w:rsidRPr="00BB6220">
        <w:t>The</w:t>
      </w:r>
      <w:r w:rsidR="003D640C">
        <w:t xml:space="preserve"> </w:t>
      </w:r>
      <w:r w:rsidR="006343A0" w:rsidRPr="00BB6220">
        <w:t>Solicitor</w:t>
      </w:r>
      <w:r w:rsidR="003D640C">
        <w:t xml:space="preserve"> </w:t>
      </w:r>
      <w:r w:rsidR="006343A0" w:rsidRPr="00BB6220">
        <w:t>General</w:t>
      </w:r>
      <w:r w:rsidR="003D640C">
        <w:t xml:space="preserve"> </w:t>
      </w:r>
      <w:r w:rsidR="006343A0" w:rsidRPr="00BB6220">
        <w:t>has</w:t>
      </w:r>
      <w:r w:rsidR="003D640C">
        <w:t xml:space="preserve"> </w:t>
      </w:r>
      <w:r w:rsidR="006343A0" w:rsidRPr="00BB6220">
        <w:t>taken</w:t>
      </w:r>
      <w:r w:rsidR="003D640C">
        <w:t xml:space="preserve"> </w:t>
      </w:r>
      <w:r w:rsidR="006343A0" w:rsidRPr="00BB6220">
        <w:t>a</w:t>
      </w:r>
      <w:r w:rsidR="003D640C">
        <w:t xml:space="preserve"> </w:t>
      </w:r>
      <w:r w:rsidR="006343A0" w:rsidRPr="00BB6220">
        <w:t>similar</w:t>
      </w:r>
      <w:r w:rsidR="003D640C">
        <w:t xml:space="preserve"> </w:t>
      </w:r>
      <w:r w:rsidR="006343A0" w:rsidRPr="00BB6220">
        <w:t>approach</w:t>
      </w:r>
      <w:r w:rsidR="004A4008">
        <w:t xml:space="preserve"> (see</w:t>
      </w:r>
      <w:r w:rsidR="003D640C">
        <w:t xml:space="preserve"> </w:t>
      </w:r>
      <w:r w:rsidR="002C6B65">
        <w:t>Gwyn,</w:t>
      </w:r>
      <w:r w:rsidR="003D640C">
        <w:t xml:space="preserve"> </w:t>
      </w:r>
      <w:r w:rsidR="002C6B65">
        <w:t>2006</w:t>
      </w:r>
      <w:r w:rsidR="004A4008">
        <w:t>)</w:t>
      </w:r>
      <w:r w:rsidR="002C6B65">
        <w:t>.</w:t>
      </w:r>
    </w:p>
  </w:footnote>
  <w:footnote w:id="112">
    <w:p w14:paraId="1D1977D3" w14:textId="2B32EEB7" w:rsidR="001D5204" w:rsidRDefault="001D5204">
      <w:pPr>
        <w:pStyle w:val="FootnoteText"/>
      </w:pPr>
      <w:r>
        <w:rPr>
          <w:rStyle w:val="FootnoteReference"/>
        </w:rPr>
        <w:footnoteRef/>
      </w:r>
      <w:r>
        <w:t xml:space="preserve"> </w:t>
      </w:r>
      <w:r w:rsidRPr="00163AC9">
        <w:rPr>
          <w:lang w:val="en-US"/>
        </w:rPr>
        <w:t>Human</w:t>
      </w:r>
      <w:r>
        <w:rPr>
          <w:lang w:val="en-US"/>
        </w:rPr>
        <w:t xml:space="preserve"> Rights Commission. (2023c). </w:t>
      </w:r>
      <w:r w:rsidRPr="00984D87">
        <w:rPr>
          <w:rFonts w:ascii="Calibri" w:hAnsi="Calibri" w:cs="Calibri"/>
          <w:i/>
          <w:iCs/>
          <w:lang w:val="mi-NZ"/>
        </w:rPr>
        <w:t>Conversion</w:t>
      </w:r>
      <w:r>
        <w:rPr>
          <w:rFonts w:ascii="Calibri" w:hAnsi="Calibri" w:cs="Calibri"/>
          <w:i/>
          <w:iCs/>
          <w:lang w:val="mi-NZ"/>
        </w:rPr>
        <w:t xml:space="preserve"> p</w:t>
      </w:r>
      <w:r w:rsidRPr="00984D87">
        <w:rPr>
          <w:rFonts w:ascii="Calibri" w:hAnsi="Calibri" w:cs="Calibri"/>
          <w:i/>
          <w:iCs/>
          <w:lang w:val="mi-NZ"/>
        </w:rPr>
        <w:t>ractices</w:t>
      </w:r>
      <w:r>
        <w:rPr>
          <w:rFonts w:ascii="Calibri" w:hAnsi="Calibri" w:cs="Calibri"/>
          <w:i/>
          <w:iCs/>
          <w:lang w:val="mi-NZ"/>
        </w:rPr>
        <w:t>: Guidance for those working with rangatahi and their whānau.</w:t>
      </w:r>
    </w:p>
  </w:footnote>
  <w:footnote w:id="113">
    <w:p w14:paraId="24FA8F96" w14:textId="2D90DC6E" w:rsidR="00AA130E" w:rsidRDefault="00AA130E" w:rsidP="00E00167">
      <w:pPr>
        <w:pStyle w:val="FootnoteText"/>
      </w:pPr>
      <w:r>
        <w:rPr>
          <w:rStyle w:val="FootnoteReference"/>
        </w:rPr>
        <w:footnoteRef/>
      </w:r>
      <w:r w:rsidR="003D640C">
        <w:t xml:space="preserve"> </w:t>
      </w:r>
      <w:r w:rsidR="00037D18">
        <w:t>Stats</w:t>
      </w:r>
      <w:r w:rsidR="003D640C">
        <w:t xml:space="preserve"> </w:t>
      </w:r>
      <w:r w:rsidR="00037D18">
        <w:t>NZ</w:t>
      </w:r>
      <w:r w:rsidR="004A4008">
        <w:t>,</w:t>
      </w:r>
      <w:r w:rsidR="003D640C">
        <w:t xml:space="preserve"> </w:t>
      </w:r>
      <w:r w:rsidR="00037D18" w:rsidRPr="000B2D0F">
        <w:t>2022</w:t>
      </w:r>
      <w:r w:rsidR="004A4008">
        <w:t xml:space="preserve">; </w:t>
      </w:r>
      <w:r w:rsidR="00CB4E69">
        <w:rPr>
          <w:lang w:val="en-US"/>
        </w:rPr>
        <w:t xml:space="preserve">Mental Health Foundation of New Zealand et al. (n.d.). </w:t>
      </w:r>
      <w:r w:rsidR="00CB4E69" w:rsidRPr="007B139B">
        <w:rPr>
          <w:i/>
          <w:iCs/>
        </w:rPr>
        <w:t>Rainbow communities, mental health and addictions. A submission to the Government Inquiry into Mental Health and Addiction</w:t>
      </w:r>
      <w:r w:rsidR="00CB4E69">
        <w:rPr>
          <w:i/>
          <w:iCs/>
        </w:rPr>
        <w:t xml:space="preserve"> –</w:t>
      </w:r>
      <w:r w:rsidR="00CB4E69" w:rsidRPr="007B139B">
        <w:rPr>
          <w:i/>
          <w:iCs/>
        </w:rPr>
        <w:t xml:space="preserve"> Oranga Tāngata, Oranga Whānau</w:t>
      </w:r>
      <w:r w:rsidR="00CB4E69">
        <w:t>;</w:t>
      </w:r>
      <w:r w:rsidR="00CB4E69" w:rsidRPr="00CB4E69">
        <w:t xml:space="preserve"> </w:t>
      </w:r>
      <w:r w:rsidR="00CB4E69">
        <w:t>Health Promotion Agency</w:t>
      </w:r>
      <w:r w:rsidR="00CB4E69" w:rsidRPr="00CB4E69">
        <w:t xml:space="preserve"> </w:t>
      </w:r>
      <w:r w:rsidR="00CB4E69">
        <w:t>| Te Hiringa Hauora.</w:t>
      </w:r>
      <w:r w:rsidR="00CB4E69" w:rsidDel="008E1CCA">
        <w:t xml:space="preserve"> </w:t>
      </w:r>
      <w:r w:rsidR="00CB4E69">
        <w:t>(2019).</w:t>
      </w:r>
      <w:r w:rsidR="00CB4E69" w:rsidDel="008E1CCA">
        <w:t xml:space="preserve"> </w:t>
      </w:r>
      <w:r w:rsidR="00CB4E69" w:rsidRPr="007B139B">
        <w:rPr>
          <w:i/>
          <w:iCs/>
        </w:rPr>
        <w:t xml:space="preserve">Wellbeing and </w:t>
      </w:r>
      <w:r w:rsidR="00CB4E69">
        <w:rPr>
          <w:i/>
          <w:iCs/>
        </w:rPr>
        <w:t>m</w:t>
      </w:r>
      <w:r w:rsidR="00CB4E69" w:rsidRPr="007B139B">
        <w:rPr>
          <w:i/>
          <w:iCs/>
        </w:rPr>
        <w:t xml:space="preserve">ental </w:t>
      </w:r>
      <w:r w:rsidR="00CB4E69">
        <w:rPr>
          <w:i/>
          <w:iCs/>
        </w:rPr>
        <w:t>h</w:t>
      </w:r>
      <w:r w:rsidR="00CB4E69" w:rsidRPr="007B139B">
        <w:rPr>
          <w:i/>
          <w:iCs/>
        </w:rPr>
        <w:t xml:space="preserve">ealth </w:t>
      </w:r>
      <w:r w:rsidR="00CB4E69">
        <w:rPr>
          <w:i/>
          <w:iCs/>
        </w:rPr>
        <w:t>a</w:t>
      </w:r>
      <w:r w:rsidR="00CB4E69" w:rsidRPr="007B139B">
        <w:rPr>
          <w:i/>
          <w:iCs/>
        </w:rPr>
        <w:t>mong Rainbow New Zealanders: Results from the New Zealand Men</w:t>
      </w:r>
      <w:r w:rsidR="00CB4E69">
        <w:rPr>
          <w:i/>
          <w:iCs/>
        </w:rPr>
        <w:t>t</w:t>
      </w:r>
      <w:r w:rsidR="00CB4E69" w:rsidRPr="007B139B">
        <w:rPr>
          <w:i/>
          <w:iCs/>
        </w:rPr>
        <w:t>al Health Monitor</w:t>
      </w:r>
      <w:r w:rsidR="00CB4E69">
        <w:t>; Prakash, A.</w:t>
      </w:r>
      <w:r w:rsidR="00CB4E69" w:rsidDel="008E1CCA">
        <w:t xml:space="preserve"> </w:t>
      </w:r>
      <w:r w:rsidR="00CB4E69">
        <w:t xml:space="preserve">(2023). </w:t>
      </w:r>
      <w:r w:rsidR="00CB4E69" w:rsidRPr="00094317">
        <w:rPr>
          <w:i/>
        </w:rPr>
        <w:t>Rainbow</w:t>
      </w:r>
      <w:r w:rsidR="00CB4E69">
        <w:rPr>
          <w:i/>
        </w:rPr>
        <w:t xml:space="preserve"> </w:t>
      </w:r>
      <w:r w:rsidR="00CB4E69" w:rsidRPr="00094317">
        <w:rPr>
          <w:i/>
        </w:rPr>
        <w:t>people:</w:t>
      </w:r>
      <w:r w:rsidR="00CB4E69">
        <w:rPr>
          <w:i/>
        </w:rPr>
        <w:t xml:space="preserve"> </w:t>
      </w:r>
      <w:r w:rsidR="00CB4E69" w:rsidRPr="00094317">
        <w:rPr>
          <w:i/>
        </w:rPr>
        <w:t>2022</w:t>
      </w:r>
      <w:r w:rsidR="00CB4E69">
        <w:rPr>
          <w:i/>
        </w:rPr>
        <w:t xml:space="preserve"> </w:t>
      </w:r>
      <w:r w:rsidR="00CB4E69" w:rsidRPr="00094317">
        <w:rPr>
          <w:i/>
        </w:rPr>
        <w:t>Quality</w:t>
      </w:r>
      <w:r w:rsidR="00CB4E69">
        <w:rPr>
          <w:i/>
        </w:rPr>
        <w:t xml:space="preserve"> </w:t>
      </w:r>
      <w:r w:rsidR="00CB4E69" w:rsidRPr="00094317">
        <w:rPr>
          <w:i/>
        </w:rPr>
        <w:t>of</w:t>
      </w:r>
      <w:r w:rsidR="00CB4E69">
        <w:rPr>
          <w:i/>
        </w:rPr>
        <w:t xml:space="preserve"> L</w:t>
      </w:r>
      <w:r w:rsidR="00CB4E69" w:rsidRPr="00094317">
        <w:rPr>
          <w:i/>
        </w:rPr>
        <w:t>ife</w:t>
      </w:r>
      <w:r w:rsidR="00CB4E69">
        <w:rPr>
          <w:i/>
        </w:rPr>
        <w:t xml:space="preserve"> </w:t>
      </w:r>
      <w:r w:rsidR="00CB4E69" w:rsidRPr="00094317">
        <w:rPr>
          <w:i/>
        </w:rPr>
        <w:t>survey</w:t>
      </w:r>
      <w:r w:rsidR="00CB4E69">
        <w:rPr>
          <w:i/>
        </w:rPr>
        <w:t xml:space="preserve"> </w:t>
      </w:r>
      <w:r w:rsidR="00CB4E69" w:rsidRPr="00094317">
        <w:rPr>
          <w:i/>
        </w:rPr>
        <w:t>snapshot</w:t>
      </w:r>
      <w:r w:rsidR="00CB4E69">
        <w:rPr>
          <w:i/>
        </w:rPr>
        <w:t xml:space="preserve"> </w:t>
      </w:r>
      <w:r w:rsidR="00CB4E69" w:rsidRPr="00094317">
        <w:rPr>
          <w:i/>
        </w:rPr>
        <w:t>8-city</w:t>
      </w:r>
      <w:r w:rsidR="00CB4E69">
        <w:t>.</w:t>
      </w:r>
      <w:r w:rsidR="00CB4E69" w:rsidDel="008E1CCA">
        <w:t xml:space="preserve"> </w:t>
      </w:r>
      <w:r w:rsidR="00CB4E69">
        <w:t xml:space="preserve">Research and Evaluation Unit, Auckland Council. </w:t>
      </w:r>
    </w:p>
  </w:footnote>
  <w:footnote w:id="114">
    <w:p w14:paraId="4AEEE6C5" w14:textId="2CFEC29F" w:rsidR="0061051A" w:rsidRDefault="0061051A" w:rsidP="00E00167">
      <w:pPr>
        <w:pStyle w:val="FootnoteText"/>
      </w:pPr>
      <w:r>
        <w:rPr>
          <w:rStyle w:val="FootnoteReference"/>
        </w:rPr>
        <w:footnoteRef/>
      </w:r>
      <w:r w:rsidR="003D640C">
        <w:t xml:space="preserve"> </w:t>
      </w:r>
      <w:r>
        <w:t>Fenaughty</w:t>
      </w:r>
      <w:r w:rsidR="003D640C">
        <w:t xml:space="preserve"> </w:t>
      </w:r>
      <w:r>
        <w:t>et</w:t>
      </w:r>
      <w:r w:rsidR="003D640C">
        <w:t xml:space="preserve"> </w:t>
      </w:r>
      <w:r>
        <w:t>al</w:t>
      </w:r>
      <w:r w:rsidR="00DD74F8">
        <w:t>.,</w:t>
      </w:r>
      <w:r w:rsidR="003D640C">
        <w:t xml:space="preserve"> </w:t>
      </w:r>
      <w:r w:rsidR="00DD74F8">
        <w:t>202</w:t>
      </w:r>
      <w:r w:rsidR="00EE6D55">
        <w:t>3</w:t>
      </w:r>
      <w:r w:rsidR="00CB4E69">
        <w:t>;</w:t>
      </w:r>
      <w:r w:rsidR="003D640C">
        <w:t xml:space="preserve"> </w:t>
      </w:r>
      <w:r w:rsidR="00CB4E69">
        <w:t>Jowett et al., 2021.</w:t>
      </w:r>
    </w:p>
  </w:footnote>
  <w:footnote w:id="115">
    <w:p w14:paraId="1F7E0247" w14:textId="5559F106" w:rsidR="00D527F0" w:rsidRPr="005A7B04" w:rsidRDefault="00D527F0" w:rsidP="00E00167">
      <w:pPr>
        <w:pStyle w:val="FootnoteText"/>
        <w:rPr>
          <w:rFonts w:cstheme="minorHAnsi"/>
          <w:lang w:val="mi-NZ"/>
        </w:rPr>
      </w:pPr>
      <w:r>
        <w:rPr>
          <w:rStyle w:val="FootnoteReference"/>
        </w:rPr>
        <w:footnoteRef/>
      </w:r>
      <w:r w:rsidR="003D640C">
        <w:t xml:space="preserve"> </w:t>
      </w:r>
      <w:r w:rsidR="00DA48A8">
        <w:rPr>
          <w:lang w:val="mi-NZ"/>
        </w:rPr>
        <w:t>Przeworski,</w:t>
      </w:r>
      <w:r w:rsidR="003D640C">
        <w:rPr>
          <w:lang w:val="mi-NZ"/>
        </w:rPr>
        <w:t xml:space="preserve"> </w:t>
      </w:r>
      <w:r w:rsidR="00DA48A8">
        <w:rPr>
          <w:lang w:val="mi-NZ"/>
        </w:rPr>
        <w:t>A.,</w:t>
      </w:r>
      <w:r w:rsidR="003D640C">
        <w:rPr>
          <w:lang w:val="mi-NZ"/>
        </w:rPr>
        <w:t xml:space="preserve"> </w:t>
      </w:r>
      <w:r w:rsidR="00DA48A8">
        <w:rPr>
          <w:lang w:val="mi-NZ"/>
        </w:rPr>
        <w:t>Peterson,</w:t>
      </w:r>
      <w:r w:rsidR="003D640C">
        <w:rPr>
          <w:lang w:val="mi-NZ"/>
        </w:rPr>
        <w:t xml:space="preserve"> </w:t>
      </w:r>
      <w:r w:rsidR="00DA48A8">
        <w:rPr>
          <w:lang w:val="mi-NZ"/>
        </w:rPr>
        <w:t>E.,</w:t>
      </w:r>
      <w:r w:rsidR="003D640C">
        <w:rPr>
          <w:lang w:val="mi-NZ"/>
        </w:rPr>
        <w:t xml:space="preserve"> </w:t>
      </w:r>
      <w:r w:rsidR="00DA48A8">
        <w:rPr>
          <w:lang w:val="mi-NZ"/>
        </w:rPr>
        <w:t>&amp;</w:t>
      </w:r>
      <w:r w:rsidR="003D640C">
        <w:rPr>
          <w:lang w:val="mi-NZ"/>
        </w:rPr>
        <w:t xml:space="preserve"> </w:t>
      </w:r>
      <w:r w:rsidR="00DA48A8">
        <w:rPr>
          <w:lang w:val="mi-NZ"/>
        </w:rPr>
        <w:t>Piedra,</w:t>
      </w:r>
      <w:r w:rsidR="003D640C">
        <w:rPr>
          <w:lang w:val="mi-NZ"/>
        </w:rPr>
        <w:t xml:space="preserve"> </w:t>
      </w:r>
      <w:r w:rsidR="00DA48A8">
        <w:rPr>
          <w:lang w:val="mi-NZ"/>
        </w:rPr>
        <w:t>A.</w:t>
      </w:r>
      <w:r w:rsidR="003D640C">
        <w:rPr>
          <w:lang w:val="mi-NZ"/>
        </w:rPr>
        <w:t xml:space="preserve"> </w:t>
      </w:r>
      <w:r w:rsidR="00DA48A8">
        <w:rPr>
          <w:lang w:val="mi-NZ"/>
        </w:rPr>
        <w:t>(202</w:t>
      </w:r>
      <w:r w:rsidR="00A17714">
        <w:rPr>
          <w:lang w:val="mi-NZ"/>
        </w:rPr>
        <w:t>1</w:t>
      </w:r>
      <w:r w:rsidR="00DA48A8">
        <w:rPr>
          <w:lang w:val="mi-NZ"/>
        </w:rPr>
        <w:t>).</w:t>
      </w:r>
      <w:r w:rsidR="003D640C">
        <w:rPr>
          <w:lang w:val="mi-NZ"/>
        </w:rPr>
        <w:t xml:space="preserve"> </w:t>
      </w:r>
      <w:r w:rsidR="00DA48A8" w:rsidRPr="007B139B">
        <w:rPr>
          <w:lang w:val="mi-NZ"/>
        </w:rPr>
        <w:t>A</w:t>
      </w:r>
      <w:r w:rsidR="003D640C" w:rsidRPr="007B139B">
        <w:rPr>
          <w:lang w:val="mi-NZ"/>
        </w:rPr>
        <w:t xml:space="preserve"> </w:t>
      </w:r>
      <w:r w:rsidR="00DA48A8" w:rsidRPr="007B139B">
        <w:rPr>
          <w:lang w:val="mi-NZ"/>
        </w:rPr>
        <w:t>systematic</w:t>
      </w:r>
      <w:r w:rsidR="003D640C" w:rsidRPr="007B139B">
        <w:rPr>
          <w:lang w:val="mi-NZ"/>
        </w:rPr>
        <w:t xml:space="preserve"> </w:t>
      </w:r>
      <w:r w:rsidR="00DA48A8" w:rsidRPr="007B139B">
        <w:rPr>
          <w:lang w:val="mi-NZ"/>
        </w:rPr>
        <w:t>review</w:t>
      </w:r>
      <w:r w:rsidR="003D640C" w:rsidRPr="007B139B">
        <w:rPr>
          <w:lang w:val="mi-NZ"/>
        </w:rPr>
        <w:t xml:space="preserve"> </w:t>
      </w:r>
      <w:r w:rsidR="00DA48A8" w:rsidRPr="007B139B">
        <w:rPr>
          <w:lang w:val="mi-NZ"/>
        </w:rPr>
        <w:t>of</w:t>
      </w:r>
      <w:r w:rsidR="003D640C" w:rsidRPr="007B139B">
        <w:rPr>
          <w:lang w:val="mi-NZ"/>
        </w:rPr>
        <w:t xml:space="preserve"> </w:t>
      </w:r>
      <w:r w:rsidR="00DA48A8" w:rsidRPr="007B139B">
        <w:rPr>
          <w:lang w:val="mi-NZ"/>
        </w:rPr>
        <w:t>the</w:t>
      </w:r>
      <w:r w:rsidR="003D640C" w:rsidRPr="007B139B">
        <w:rPr>
          <w:lang w:val="mi-NZ"/>
        </w:rPr>
        <w:t xml:space="preserve"> </w:t>
      </w:r>
      <w:r w:rsidR="00DA48A8" w:rsidRPr="007B139B">
        <w:rPr>
          <w:lang w:val="mi-NZ"/>
        </w:rPr>
        <w:t>efficacy,</w:t>
      </w:r>
      <w:r w:rsidR="003D640C" w:rsidRPr="007B139B">
        <w:rPr>
          <w:lang w:val="mi-NZ"/>
        </w:rPr>
        <w:t xml:space="preserve"> </w:t>
      </w:r>
      <w:r w:rsidR="00DA48A8" w:rsidRPr="007B139B">
        <w:rPr>
          <w:lang w:val="mi-NZ"/>
        </w:rPr>
        <w:t>harmful</w:t>
      </w:r>
      <w:r w:rsidR="003D640C" w:rsidRPr="007B139B">
        <w:rPr>
          <w:lang w:val="mi-NZ"/>
        </w:rPr>
        <w:t xml:space="preserve"> </w:t>
      </w:r>
      <w:r w:rsidR="00DA48A8" w:rsidRPr="007B139B">
        <w:rPr>
          <w:lang w:val="mi-NZ"/>
        </w:rPr>
        <w:t>effects,</w:t>
      </w:r>
      <w:r w:rsidR="003D640C" w:rsidRPr="007B139B">
        <w:rPr>
          <w:lang w:val="mi-NZ"/>
        </w:rPr>
        <w:t xml:space="preserve"> </w:t>
      </w:r>
      <w:r w:rsidR="00DA48A8" w:rsidRPr="007B139B">
        <w:rPr>
          <w:lang w:val="mi-NZ"/>
        </w:rPr>
        <w:t>and</w:t>
      </w:r>
      <w:r w:rsidR="003D640C" w:rsidRPr="007B139B">
        <w:rPr>
          <w:lang w:val="mi-NZ"/>
        </w:rPr>
        <w:t xml:space="preserve"> </w:t>
      </w:r>
      <w:r w:rsidR="00DA48A8" w:rsidRPr="007B139B">
        <w:rPr>
          <w:lang w:val="mi-NZ"/>
        </w:rPr>
        <w:t>ethical</w:t>
      </w:r>
      <w:r w:rsidR="003D640C" w:rsidRPr="007B139B">
        <w:rPr>
          <w:lang w:val="mi-NZ"/>
        </w:rPr>
        <w:t xml:space="preserve"> </w:t>
      </w:r>
      <w:r w:rsidR="00DA48A8" w:rsidRPr="007B139B">
        <w:rPr>
          <w:lang w:val="mi-NZ"/>
        </w:rPr>
        <w:t>issues</w:t>
      </w:r>
      <w:r w:rsidR="003D640C" w:rsidRPr="007B139B">
        <w:rPr>
          <w:lang w:val="mi-NZ"/>
        </w:rPr>
        <w:t xml:space="preserve"> </w:t>
      </w:r>
      <w:r w:rsidR="00DA48A8" w:rsidRPr="007B139B">
        <w:rPr>
          <w:lang w:val="mi-NZ"/>
        </w:rPr>
        <w:t>related</w:t>
      </w:r>
      <w:r w:rsidR="003D640C" w:rsidRPr="007B139B">
        <w:rPr>
          <w:lang w:val="mi-NZ"/>
        </w:rPr>
        <w:t xml:space="preserve"> </w:t>
      </w:r>
      <w:r w:rsidR="00DA48A8" w:rsidRPr="007B139B">
        <w:rPr>
          <w:lang w:val="mi-NZ"/>
        </w:rPr>
        <w:t>to</w:t>
      </w:r>
      <w:r w:rsidR="003D640C" w:rsidRPr="007B139B">
        <w:rPr>
          <w:lang w:val="mi-NZ"/>
        </w:rPr>
        <w:t xml:space="preserve"> </w:t>
      </w:r>
      <w:r w:rsidR="00DA48A8" w:rsidRPr="007B139B">
        <w:rPr>
          <w:lang w:val="mi-NZ"/>
        </w:rPr>
        <w:t>sexual</w:t>
      </w:r>
      <w:r w:rsidR="003D640C" w:rsidRPr="007B139B">
        <w:rPr>
          <w:lang w:val="mi-NZ"/>
        </w:rPr>
        <w:t xml:space="preserve"> </w:t>
      </w:r>
      <w:r w:rsidR="00DA48A8" w:rsidRPr="007B139B">
        <w:rPr>
          <w:lang w:val="mi-NZ"/>
        </w:rPr>
        <w:t>orientation</w:t>
      </w:r>
      <w:r w:rsidR="003D640C" w:rsidRPr="007B139B">
        <w:rPr>
          <w:lang w:val="mi-NZ"/>
        </w:rPr>
        <w:t xml:space="preserve"> </w:t>
      </w:r>
      <w:r w:rsidR="00DA48A8" w:rsidRPr="007B139B">
        <w:rPr>
          <w:lang w:val="mi-NZ"/>
        </w:rPr>
        <w:t>change</w:t>
      </w:r>
      <w:r w:rsidR="003D640C" w:rsidRPr="007B139B">
        <w:rPr>
          <w:lang w:val="mi-NZ"/>
        </w:rPr>
        <w:t xml:space="preserve"> </w:t>
      </w:r>
      <w:r w:rsidR="00DA48A8" w:rsidRPr="007B139B">
        <w:rPr>
          <w:lang w:val="mi-NZ"/>
        </w:rPr>
        <w:t>efforts</w:t>
      </w:r>
      <w:r w:rsidR="00DA48A8" w:rsidRPr="00DA48A8">
        <w:rPr>
          <w:i/>
          <w:iCs/>
          <w:lang w:val="mi-NZ"/>
        </w:rPr>
        <w:t>.</w:t>
      </w:r>
      <w:r w:rsidR="003D640C">
        <w:rPr>
          <w:lang w:val="mi-NZ"/>
        </w:rPr>
        <w:t xml:space="preserve"> </w:t>
      </w:r>
      <w:r w:rsidR="00DA48A8" w:rsidRPr="007B139B">
        <w:rPr>
          <w:i/>
          <w:iCs/>
          <w:lang w:val="mi-NZ"/>
        </w:rPr>
        <w:t>Clinical</w:t>
      </w:r>
      <w:r w:rsidR="003D640C" w:rsidRPr="007B139B">
        <w:rPr>
          <w:i/>
          <w:iCs/>
          <w:lang w:val="mi-NZ"/>
        </w:rPr>
        <w:t xml:space="preserve"> </w:t>
      </w:r>
      <w:r w:rsidR="00DA48A8" w:rsidRPr="007B139B">
        <w:rPr>
          <w:i/>
          <w:iCs/>
          <w:lang w:val="mi-NZ"/>
        </w:rPr>
        <w:t>Psychology:</w:t>
      </w:r>
      <w:r w:rsidR="003D640C" w:rsidRPr="007B139B">
        <w:rPr>
          <w:i/>
          <w:iCs/>
          <w:lang w:val="mi-NZ"/>
        </w:rPr>
        <w:t xml:space="preserve"> </w:t>
      </w:r>
      <w:r w:rsidR="00DA48A8" w:rsidRPr="007B139B">
        <w:rPr>
          <w:i/>
          <w:iCs/>
          <w:lang w:val="mi-NZ"/>
        </w:rPr>
        <w:t>Science</w:t>
      </w:r>
      <w:r w:rsidR="003D640C" w:rsidRPr="007B139B">
        <w:rPr>
          <w:i/>
          <w:iCs/>
          <w:lang w:val="mi-NZ"/>
        </w:rPr>
        <w:t xml:space="preserve"> </w:t>
      </w:r>
      <w:r w:rsidR="00DA48A8" w:rsidRPr="007B139B">
        <w:rPr>
          <w:i/>
          <w:iCs/>
          <w:lang w:val="mi-NZ"/>
        </w:rPr>
        <w:t>and</w:t>
      </w:r>
      <w:r w:rsidR="003D640C" w:rsidRPr="007B139B">
        <w:rPr>
          <w:i/>
          <w:iCs/>
          <w:lang w:val="mi-NZ"/>
        </w:rPr>
        <w:t xml:space="preserve"> </w:t>
      </w:r>
      <w:r w:rsidR="00DA48A8" w:rsidRPr="007B139B">
        <w:rPr>
          <w:i/>
          <w:iCs/>
          <w:lang w:val="mi-NZ"/>
        </w:rPr>
        <w:t>Practice</w:t>
      </w:r>
      <w:r w:rsidR="00DA48A8">
        <w:rPr>
          <w:lang w:val="mi-NZ"/>
        </w:rPr>
        <w:t>,</w:t>
      </w:r>
      <w:r w:rsidR="003D640C">
        <w:rPr>
          <w:lang w:val="mi-NZ"/>
        </w:rPr>
        <w:t xml:space="preserve"> </w:t>
      </w:r>
      <w:r w:rsidR="00DA48A8" w:rsidRPr="007B139B">
        <w:rPr>
          <w:i/>
          <w:iCs/>
          <w:lang w:val="mi-NZ"/>
        </w:rPr>
        <w:t>28</w:t>
      </w:r>
      <w:r w:rsidR="00DA48A8">
        <w:rPr>
          <w:lang w:val="mi-NZ"/>
        </w:rPr>
        <w:t>(1),</w:t>
      </w:r>
      <w:r w:rsidR="003D640C">
        <w:rPr>
          <w:lang w:val="mi-NZ"/>
        </w:rPr>
        <w:t xml:space="preserve"> </w:t>
      </w:r>
      <w:r w:rsidR="00DA48A8">
        <w:rPr>
          <w:lang w:val="mi-NZ"/>
        </w:rPr>
        <w:t>81</w:t>
      </w:r>
      <w:r w:rsidR="00A17714">
        <w:rPr>
          <w:lang w:val="mi-NZ"/>
        </w:rPr>
        <w:t>–</w:t>
      </w:r>
      <w:r w:rsidR="00DA48A8" w:rsidRPr="005A7B04">
        <w:rPr>
          <w:rFonts w:cstheme="minorHAnsi"/>
          <w:lang w:val="mi-NZ"/>
        </w:rPr>
        <w:t>100.</w:t>
      </w:r>
      <w:r w:rsidR="003D640C">
        <w:rPr>
          <w:rFonts w:cstheme="minorHAnsi"/>
          <w:lang w:val="mi-NZ"/>
        </w:rPr>
        <w:t xml:space="preserve"> </w:t>
      </w:r>
    </w:p>
  </w:footnote>
  <w:footnote w:id="116">
    <w:p w14:paraId="402A0F2C" w14:textId="2C613883" w:rsidR="00D527F0" w:rsidRPr="00C21FBE" w:rsidRDefault="00D527F0" w:rsidP="00E00167">
      <w:pPr>
        <w:pStyle w:val="FootnoteText"/>
        <w:rPr>
          <w:lang w:val="mi-NZ"/>
        </w:rPr>
      </w:pPr>
      <w:r>
        <w:rPr>
          <w:rStyle w:val="FootnoteReference"/>
        </w:rPr>
        <w:footnoteRef/>
      </w:r>
      <w:r w:rsidR="003D640C">
        <w:t xml:space="preserve"> </w:t>
      </w:r>
      <w:r w:rsidR="00A43DFE">
        <w:t>United</w:t>
      </w:r>
      <w:r w:rsidR="003D640C">
        <w:t xml:space="preserve"> </w:t>
      </w:r>
      <w:r w:rsidR="00A43DFE">
        <w:t>Nations</w:t>
      </w:r>
      <w:r w:rsidR="003D640C">
        <w:t xml:space="preserve"> </w:t>
      </w:r>
      <w:r w:rsidR="00A43DFE">
        <w:t>Human</w:t>
      </w:r>
      <w:r w:rsidR="003D640C">
        <w:t xml:space="preserve"> </w:t>
      </w:r>
      <w:r w:rsidR="00A43DFE">
        <w:t>Rights</w:t>
      </w:r>
      <w:r w:rsidR="003D640C">
        <w:t xml:space="preserve"> </w:t>
      </w:r>
      <w:r w:rsidR="00A43DFE">
        <w:t>Council</w:t>
      </w:r>
      <w:r w:rsidR="008A3B23">
        <w:t>,</w:t>
      </w:r>
      <w:r w:rsidR="003D640C">
        <w:t xml:space="preserve"> </w:t>
      </w:r>
      <w:r w:rsidR="00B02EE0">
        <w:rPr>
          <w:lang w:val="mi-NZ"/>
        </w:rPr>
        <w:t>2020</w:t>
      </w:r>
      <w:r w:rsidR="008A3B23">
        <w:rPr>
          <w:lang w:val="mi-NZ"/>
        </w:rPr>
        <w:t>;</w:t>
      </w:r>
      <w:r w:rsidR="008A3B23" w:rsidRPr="008A3B23">
        <w:t xml:space="preserve"> </w:t>
      </w:r>
      <w:r w:rsidR="008A3B23">
        <w:t>The Royal Australian &amp; New Zealand College of Psychiatrists,</w:t>
      </w:r>
      <w:r w:rsidR="008A3B23">
        <w:rPr>
          <w:lang w:val="mi-NZ"/>
        </w:rPr>
        <w:t xml:space="preserve"> 2019;</w:t>
      </w:r>
      <w:r w:rsidR="008A3B23" w:rsidRPr="008A3B23">
        <w:t xml:space="preserve"> </w:t>
      </w:r>
      <w:r w:rsidR="008A3B23">
        <w:t xml:space="preserve">American Psychological Association. (2009). </w:t>
      </w:r>
      <w:r w:rsidR="008A3B23" w:rsidRPr="007B139B">
        <w:rPr>
          <w:i/>
          <w:iCs/>
        </w:rPr>
        <w:t>Report of the American Psychological Association Task Force on appropriate therapeutic responses to sexual orientation</w:t>
      </w:r>
      <w:r w:rsidR="008A3B23">
        <w:t>.</w:t>
      </w:r>
    </w:p>
  </w:footnote>
  <w:footnote w:id="117">
    <w:p w14:paraId="1003B446" w14:textId="1FBBB08F" w:rsidR="00D527F0" w:rsidRPr="00C21FBE" w:rsidRDefault="00D527F0" w:rsidP="00E00167">
      <w:pPr>
        <w:pStyle w:val="FootnoteText"/>
        <w:rPr>
          <w:lang w:val="mi-NZ"/>
        </w:rPr>
      </w:pPr>
      <w:r>
        <w:rPr>
          <w:rStyle w:val="FootnoteReference"/>
        </w:rPr>
        <w:footnoteRef/>
      </w:r>
      <w:r w:rsidR="003D640C">
        <w:t xml:space="preserve"> </w:t>
      </w:r>
      <w:r>
        <w:rPr>
          <w:lang w:val="mi-NZ"/>
        </w:rPr>
        <w:t>Przeworski</w:t>
      </w:r>
      <w:r w:rsidR="003D640C">
        <w:rPr>
          <w:lang w:val="mi-NZ"/>
        </w:rPr>
        <w:t xml:space="preserve"> </w:t>
      </w:r>
      <w:r w:rsidR="00A15452">
        <w:rPr>
          <w:lang w:val="mi-NZ"/>
        </w:rPr>
        <w:t>et</w:t>
      </w:r>
      <w:r w:rsidR="003D640C">
        <w:rPr>
          <w:lang w:val="mi-NZ"/>
        </w:rPr>
        <w:t xml:space="preserve"> </w:t>
      </w:r>
      <w:r w:rsidR="00A15452">
        <w:rPr>
          <w:lang w:val="mi-NZ"/>
        </w:rPr>
        <w:t>al.</w:t>
      </w:r>
      <w:r w:rsidR="008A3B23">
        <w:rPr>
          <w:lang w:val="mi-NZ"/>
        </w:rPr>
        <w:t>,</w:t>
      </w:r>
      <w:r w:rsidR="003D640C">
        <w:rPr>
          <w:lang w:val="mi-NZ"/>
        </w:rPr>
        <w:t xml:space="preserve"> </w:t>
      </w:r>
      <w:r>
        <w:rPr>
          <w:lang w:val="mi-NZ"/>
        </w:rPr>
        <w:t>202</w:t>
      </w:r>
      <w:r w:rsidR="008A3B23">
        <w:rPr>
          <w:lang w:val="mi-NZ"/>
        </w:rPr>
        <w:t>1</w:t>
      </w:r>
      <w:r w:rsidR="005E5BD7">
        <w:rPr>
          <w:lang w:val="mi-NZ"/>
        </w:rPr>
        <w:t>.</w:t>
      </w:r>
    </w:p>
  </w:footnote>
  <w:footnote w:id="118">
    <w:p w14:paraId="79279CB2" w14:textId="5ACEB4F7" w:rsidR="00D527F0" w:rsidRPr="00C21FBE" w:rsidRDefault="00D527F0" w:rsidP="00E00167">
      <w:pPr>
        <w:pStyle w:val="FootnoteText"/>
        <w:rPr>
          <w:lang w:val="mi-NZ"/>
        </w:rPr>
      </w:pPr>
      <w:r>
        <w:rPr>
          <w:rStyle w:val="FootnoteReference"/>
        </w:rPr>
        <w:footnoteRef/>
      </w:r>
      <w:r w:rsidR="003D640C">
        <w:t xml:space="preserve"> </w:t>
      </w:r>
      <w:r>
        <w:rPr>
          <w:lang w:val="mi-NZ"/>
        </w:rPr>
        <w:t>Jones</w:t>
      </w:r>
      <w:r w:rsidR="003D640C">
        <w:rPr>
          <w:lang w:val="mi-NZ"/>
        </w:rPr>
        <w:t xml:space="preserve"> </w:t>
      </w:r>
      <w:r>
        <w:rPr>
          <w:lang w:val="mi-NZ"/>
        </w:rPr>
        <w:t>et</w:t>
      </w:r>
      <w:r w:rsidR="003D640C">
        <w:rPr>
          <w:lang w:val="mi-NZ"/>
        </w:rPr>
        <w:t xml:space="preserve"> </w:t>
      </w:r>
      <w:r>
        <w:rPr>
          <w:lang w:val="mi-NZ"/>
        </w:rPr>
        <w:t>al.</w:t>
      </w:r>
      <w:r w:rsidR="00DB6976">
        <w:rPr>
          <w:lang w:val="mi-NZ"/>
        </w:rPr>
        <w:t>,</w:t>
      </w:r>
      <w:r w:rsidR="003D640C">
        <w:rPr>
          <w:lang w:val="mi-NZ"/>
        </w:rPr>
        <w:t xml:space="preserve"> </w:t>
      </w:r>
      <w:r>
        <w:rPr>
          <w:lang w:val="mi-NZ"/>
        </w:rPr>
        <w:t>2021a</w:t>
      </w:r>
      <w:r w:rsidR="005E5BD7">
        <w:rPr>
          <w:lang w:val="mi-NZ"/>
        </w:rPr>
        <w:t>.</w:t>
      </w:r>
    </w:p>
  </w:footnote>
  <w:footnote w:id="119">
    <w:p w14:paraId="7FB34C80" w14:textId="027D8CF6" w:rsidR="00D527F0" w:rsidRPr="00064FB9" w:rsidRDefault="00D527F0" w:rsidP="00E04D0C">
      <w:pPr>
        <w:spacing w:after="0"/>
        <w:rPr>
          <w:lang w:val="mi-NZ"/>
        </w:rPr>
      </w:pPr>
      <w:r w:rsidRPr="00932002">
        <w:rPr>
          <w:rStyle w:val="FootnoteReference"/>
          <w:sz w:val="20"/>
          <w:szCs w:val="20"/>
        </w:rPr>
        <w:footnoteRef/>
      </w:r>
      <w:r w:rsidR="00DB6976">
        <w:rPr>
          <w:sz w:val="20"/>
          <w:szCs w:val="20"/>
        </w:rPr>
        <w:t xml:space="preserve"> </w:t>
      </w:r>
      <w:r w:rsidR="00932002" w:rsidRPr="00932002">
        <w:rPr>
          <w:sz w:val="20"/>
          <w:szCs w:val="20"/>
        </w:rPr>
        <w:t>Roguski</w:t>
      </w:r>
      <w:r w:rsidR="00DB6976">
        <w:rPr>
          <w:sz w:val="20"/>
          <w:szCs w:val="20"/>
        </w:rPr>
        <w:t xml:space="preserve"> </w:t>
      </w:r>
      <w:r w:rsidR="00932002" w:rsidRPr="00932002">
        <w:rPr>
          <w:sz w:val="20"/>
          <w:szCs w:val="20"/>
        </w:rPr>
        <w:t>&amp;</w:t>
      </w:r>
      <w:r w:rsidR="003D640C">
        <w:rPr>
          <w:sz w:val="20"/>
          <w:szCs w:val="20"/>
        </w:rPr>
        <w:t xml:space="preserve"> </w:t>
      </w:r>
      <w:r w:rsidR="00932002" w:rsidRPr="00932002">
        <w:rPr>
          <w:sz w:val="20"/>
          <w:szCs w:val="20"/>
        </w:rPr>
        <w:t>Atwool,</w:t>
      </w:r>
      <w:r w:rsidR="003D640C">
        <w:rPr>
          <w:sz w:val="20"/>
          <w:szCs w:val="20"/>
        </w:rPr>
        <w:t xml:space="preserve"> </w:t>
      </w:r>
      <w:r w:rsidR="00932002" w:rsidRPr="00932002">
        <w:rPr>
          <w:sz w:val="20"/>
          <w:szCs w:val="20"/>
        </w:rPr>
        <w:t>2024.</w:t>
      </w:r>
      <w:r w:rsidR="003D640C">
        <w:rPr>
          <w:sz w:val="20"/>
          <w:szCs w:val="20"/>
        </w:rPr>
        <w:t xml:space="preserve"> </w:t>
      </w:r>
    </w:p>
  </w:footnote>
  <w:footnote w:id="120">
    <w:p w14:paraId="1C8AC3D0" w14:textId="22BDBC68" w:rsidR="00D527F0" w:rsidRPr="00A33EB6" w:rsidRDefault="00D527F0" w:rsidP="00E00167">
      <w:pPr>
        <w:pStyle w:val="FootnoteText"/>
        <w:rPr>
          <w:lang w:val="mi-NZ"/>
        </w:rPr>
      </w:pPr>
      <w:r>
        <w:rPr>
          <w:rStyle w:val="FootnoteReference"/>
        </w:rPr>
        <w:footnoteRef/>
      </w:r>
      <w:r w:rsidR="00DB6976">
        <w:rPr>
          <w:lang w:val="mi-NZ"/>
        </w:rPr>
        <w:t xml:space="preserve"> Ibid</w:t>
      </w:r>
      <w:r w:rsidR="00E04D0C">
        <w:rPr>
          <w:lang w:val="mi-NZ"/>
        </w:rPr>
        <w:t>.</w:t>
      </w:r>
    </w:p>
  </w:footnote>
  <w:footnote w:id="121">
    <w:p w14:paraId="1286B90A" w14:textId="4663E8B0" w:rsidR="00D527F0" w:rsidRPr="00C21FBE" w:rsidRDefault="00D527F0" w:rsidP="00E00167">
      <w:pPr>
        <w:pStyle w:val="FootnoteText"/>
        <w:rPr>
          <w:lang w:val="mi-NZ"/>
        </w:rPr>
      </w:pPr>
      <w:r>
        <w:rPr>
          <w:rStyle w:val="FootnoteReference"/>
        </w:rPr>
        <w:footnoteRef/>
      </w:r>
      <w:r w:rsidR="003D640C">
        <w:t xml:space="preserve"> </w:t>
      </w:r>
      <w:r w:rsidR="00164E25">
        <w:t>Higbee,</w:t>
      </w:r>
      <w:r w:rsidR="003D640C">
        <w:t xml:space="preserve"> </w:t>
      </w:r>
      <w:r w:rsidR="00164E25">
        <w:t>M.,</w:t>
      </w:r>
      <w:r w:rsidR="003D640C">
        <w:t xml:space="preserve"> </w:t>
      </w:r>
      <w:r w:rsidR="00164E25">
        <w:t>Wright,</w:t>
      </w:r>
      <w:r w:rsidR="003D640C">
        <w:t xml:space="preserve"> </w:t>
      </w:r>
      <w:r w:rsidR="00164E25">
        <w:t>E.</w:t>
      </w:r>
      <w:r w:rsidR="003D640C">
        <w:t xml:space="preserve"> </w:t>
      </w:r>
      <w:r w:rsidR="00164E25">
        <w:t>R.,</w:t>
      </w:r>
      <w:r w:rsidR="003D640C">
        <w:t xml:space="preserve"> </w:t>
      </w:r>
      <w:r w:rsidR="008C023E">
        <w:t>&amp;</w:t>
      </w:r>
      <w:r w:rsidR="003D640C">
        <w:t xml:space="preserve"> </w:t>
      </w:r>
      <w:r w:rsidR="008C023E">
        <w:t>Roemerman,</w:t>
      </w:r>
      <w:r w:rsidR="003D640C">
        <w:t xml:space="preserve"> </w:t>
      </w:r>
      <w:r w:rsidR="008C023E">
        <w:t>R.</w:t>
      </w:r>
      <w:r w:rsidR="003D640C">
        <w:t xml:space="preserve"> </w:t>
      </w:r>
      <w:r w:rsidR="008C023E">
        <w:t>M.</w:t>
      </w:r>
      <w:r w:rsidR="003D640C">
        <w:t xml:space="preserve"> </w:t>
      </w:r>
      <w:r w:rsidR="008C023E">
        <w:t>(20</w:t>
      </w:r>
      <w:r w:rsidR="006D7951">
        <w:t>22).</w:t>
      </w:r>
      <w:r w:rsidR="003D640C">
        <w:t xml:space="preserve"> </w:t>
      </w:r>
      <w:r w:rsidR="006D7951">
        <w:t>Conversion</w:t>
      </w:r>
      <w:r w:rsidR="003D640C">
        <w:t xml:space="preserve"> </w:t>
      </w:r>
      <w:r w:rsidR="00251C50">
        <w:t>t</w:t>
      </w:r>
      <w:r w:rsidR="006D7951">
        <w:t>herapy</w:t>
      </w:r>
      <w:r w:rsidR="003D640C">
        <w:t xml:space="preserve"> </w:t>
      </w:r>
      <w:r w:rsidR="006D7951">
        <w:t>in</w:t>
      </w:r>
      <w:r w:rsidR="003D640C">
        <w:t xml:space="preserve"> </w:t>
      </w:r>
      <w:r w:rsidR="006D7951">
        <w:t>the</w:t>
      </w:r>
      <w:r w:rsidR="003D640C">
        <w:t xml:space="preserve"> </w:t>
      </w:r>
      <w:r w:rsidR="00251C50">
        <w:t>s</w:t>
      </w:r>
      <w:r w:rsidR="006D7951">
        <w:t>outhern</w:t>
      </w:r>
      <w:r w:rsidR="003D640C">
        <w:t xml:space="preserve"> </w:t>
      </w:r>
      <w:r w:rsidR="006D7951">
        <w:t>United</w:t>
      </w:r>
      <w:r w:rsidR="003D640C">
        <w:t xml:space="preserve"> </w:t>
      </w:r>
      <w:r w:rsidR="006D7951">
        <w:t>States:</w:t>
      </w:r>
      <w:r w:rsidR="003D640C">
        <w:t xml:space="preserve"> </w:t>
      </w:r>
      <w:r w:rsidR="006D7951">
        <w:t>Prevalence</w:t>
      </w:r>
      <w:r w:rsidR="003D640C">
        <w:t xml:space="preserve"> </w:t>
      </w:r>
      <w:r w:rsidR="006D7951">
        <w:t>and</w:t>
      </w:r>
      <w:r w:rsidR="003D640C">
        <w:t xml:space="preserve"> </w:t>
      </w:r>
      <w:r w:rsidR="00251C50">
        <w:t>e</w:t>
      </w:r>
      <w:r w:rsidR="006D7951">
        <w:t>xperiences</w:t>
      </w:r>
      <w:r w:rsidR="003D640C">
        <w:t xml:space="preserve"> </w:t>
      </w:r>
      <w:r w:rsidR="006D7951">
        <w:t>of</w:t>
      </w:r>
      <w:r w:rsidR="003D640C">
        <w:t xml:space="preserve"> </w:t>
      </w:r>
      <w:r w:rsidR="006D7951">
        <w:t>the</w:t>
      </w:r>
      <w:r w:rsidR="003D640C">
        <w:t xml:space="preserve"> </w:t>
      </w:r>
      <w:r w:rsidR="00251C50">
        <w:t>s</w:t>
      </w:r>
      <w:r w:rsidR="006D7951">
        <w:t>urvivors.</w:t>
      </w:r>
      <w:r w:rsidR="003D640C">
        <w:t xml:space="preserve"> </w:t>
      </w:r>
      <w:r w:rsidR="006D7951" w:rsidRPr="004F4CEA">
        <w:rPr>
          <w:i/>
          <w:iCs/>
        </w:rPr>
        <w:t>Journal</w:t>
      </w:r>
      <w:r w:rsidR="003D640C">
        <w:rPr>
          <w:i/>
          <w:iCs/>
        </w:rPr>
        <w:t xml:space="preserve"> </w:t>
      </w:r>
      <w:r w:rsidR="006D7951" w:rsidRPr="004F4CEA">
        <w:rPr>
          <w:i/>
          <w:iCs/>
        </w:rPr>
        <w:t>of</w:t>
      </w:r>
      <w:r w:rsidR="003D640C">
        <w:rPr>
          <w:i/>
          <w:iCs/>
        </w:rPr>
        <w:t xml:space="preserve"> </w:t>
      </w:r>
      <w:r w:rsidR="006D7951" w:rsidRPr="004F4CEA">
        <w:rPr>
          <w:i/>
          <w:iCs/>
        </w:rPr>
        <w:t>Homosexuality</w:t>
      </w:r>
      <w:r w:rsidR="003D0CB2">
        <w:t>,</w:t>
      </w:r>
      <w:r w:rsidR="003D640C">
        <w:t xml:space="preserve"> </w:t>
      </w:r>
      <w:r w:rsidR="006D7951" w:rsidRPr="007B139B">
        <w:rPr>
          <w:i/>
          <w:iCs/>
        </w:rPr>
        <w:t>69</w:t>
      </w:r>
      <w:r w:rsidR="006D7951">
        <w:t>(4</w:t>
      </w:r>
      <w:r w:rsidR="00380A83">
        <w:t>),</w:t>
      </w:r>
      <w:r w:rsidR="003D640C">
        <w:t xml:space="preserve"> </w:t>
      </w:r>
      <w:r w:rsidR="00574AE5">
        <w:t>612</w:t>
      </w:r>
      <w:r w:rsidR="003D0CB2">
        <w:t>–</w:t>
      </w:r>
      <w:r w:rsidR="00574AE5">
        <w:t>631</w:t>
      </w:r>
      <w:r w:rsidR="003D0CB2">
        <w:t>;</w:t>
      </w:r>
      <w:r w:rsidR="003D640C">
        <w:t xml:space="preserve"> </w:t>
      </w:r>
      <w:r w:rsidR="003D0CB2">
        <w:t xml:space="preserve">Chan, R. C. H., Leung, J. S. Y., &amp; Wong, D. C. K. (2022). Experiences, motivations, and impacts of sexual orientation change efforts: Effects on sexual identity distress and mental health among sexual minorities. </w:t>
      </w:r>
      <w:r w:rsidR="003D0CB2" w:rsidRPr="004F4CEA">
        <w:rPr>
          <w:i/>
          <w:iCs/>
        </w:rPr>
        <w:t>Sexual</w:t>
      </w:r>
      <w:r w:rsidR="003D0CB2">
        <w:rPr>
          <w:i/>
          <w:iCs/>
        </w:rPr>
        <w:t xml:space="preserve">ity </w:t>
      </w:r>
      <w:r w:rsidR="003D0CB2" w:rsidRPr="004F4CEA">
        <w:rPr>
          <w:i/>
          <w:iCs/>
        </w:rPr>
        <w:t>Research</w:t>
      </w:r>
      <w:r w:rsidR="003D0CB2">
        <w:rPr>
          <w:i/>
          <w:iCs/>
        </w:rPr>
        <w:t xml:space="preserve"> </w:t>
      </w:r>
      <w:r w:rsidR="003D0CB2" w:rsidRPr="004F4CEA">
        <w:rPr>
          <w:i/>
          <w:iCs/>
        </w:rPr>
        <w:t>and</w:t>
      </w:r>
      <w:r w:rsidR="003D0CB2">
        <w:rPr>
          <w:i/>
          <w:iCs/>
        </w:rPr>
        <w:t xml:space="preserve"> </w:t>
      </w:r>
      <w:r w:rsidR="003D0CB2" w:rsidRPr="004F4CEA">
        <w:rPr>
          <w:i/>
          <w:iCs/>
        </w:rPr>
        <w:t>Social</w:t>
      </w:r>
      <w:r w:rsidR="003D0CB2">
        <w:rPr>
          <w:i/>
          <w:iCs/>
        </w:rPr>
        <w:t xml:space="preserve"> </w:t>
      </w:r>
      <w:r w:rsidR="003D0CB2" w:rsidRPr="004F4CEA">
        <w:rPr>
          <w:i/>
          <w:iCs/>
        </w:rPr>
        <w:t>Policy</w:t>
      </w:r>
      <w:r w:rsidR="003D0CB2">
        <w:t xml:space="preserve">, </w:t>
      </w:r>
      <w:r w:rsidR="003D0CB2" w:rsidRPr="0019015C">
        <w:rPr>
          <w:i/>
          <w:iCs/>
        </w:rPr>
        <w:t>19</w:t>
      </w:r>
      <w:r w:rsidR="003D0CB2">
        <w:t>, 1534–1548;</w:t>
      </w:r>
      <w:r w:rsidR="003D0CB2" w:rsidRPr="003D0CB2">
        <w:rPr>
          <w:lang w:val="mi-NZ"/>
        </w:rPr>
        <w:t xml:space="preserve"> </w:t>
      </w:r>
      <w:r w:rsidR="003D0CB2" w:rsidRPr="0055524E">
        <w:rPr>
          <w:lang w:val="mi-NZ"/>
        </w:rPr>
        <w:t>Glassgold,</w:t>
      </w:r>
      <w:r w:rsidR="003D0CB2">
        <w:rPr>
          <w:lang w:val="mi-NZ"/>
        </w:rPr>
        <w:t xml:space="preserve"> </w:t>
      </w:r>
      <w:r w:rsidR="003D0CB2" w:rsidRPr="0055524E">
        <w:rPr>
          <w:lang w:val="mi-NZ"/>
        </w:rPr>
        <w:t>J.</w:t>
      </w:r>
      <w:r w:rsidR="003D0CB2">
        <w:rPr>
          <w:lang w:val="mi-NZ"/>
        </w:rPr>
        <w:t xml:space="preserve"> </w:t>
      </w:r>
      <w:r w:rsidR="003D0CB2" w:rsidRPr="0055524E">
        <w:rPr>
          <w:lang w:val="mi-NZ"/>
        </w:rPr>
        <w:t>M.</w:t>
      </w:r>
      <w:r w:rsidR="003D0CB2">
        <w:rPr>
          <w:lang w:val="mi-NZ"/>
        </w:rPr>
        <w:t xml:space="preserve"> </w:t>
      </w:r>
      <w:r w:rsidR="003D0CB2" w:rsidRPr="0055524E">
        <w:rPr>
          <w:lang w:val="mi-NZ"/>
        </w:rPr>
        <w:t>(2022).</w:t>
      </w:r>
      <w:r w:rsidR="003D0CB2">
        <w:rPr>
          <w:lang w:val="mi-NZ"/>
        </w:rPr>
        <w:t xml:space="preserve"> </w:t>
      </w:r>
      <w:r w:rsidR="003D0CB2" w:rsidRPr="0055524E">
        <w:rPr>
          <w:lang w:val="mi-NZ"/>
        </w:rPr>
        <w:t>Research</w:t>
      </w:r>
      <w:r w:rsidR="003D0CB2">
        <w:rPr>
          <w:lang w:val="mi-NZ"/>
        </w:rPr>
        <w:t xml:space="preserve"> </w:t>
      </w:r>
      <w:r w:rsidR="003D0CB2" w:rsidRPr="0055524E">
        <w:rPr>
          <w:lang w:val="mi-NZ"/>
        </w:rPr>
        <w:t>on</w:t>
      </w:r>
      <w:r w:rsidR="003D0CB2">
        <w:rPr>
          <w:lang w:val="mi-NZ"/>
        </w:rPr>
        <w:t xml:space="preserve"> </w:t>
      </w:r>
      <w:r w:rsidR="003D0CB2" w:rsidRPr="0055524E">
        <w:rPr>
          <w:lang w:val="mi-NZ"/>
        </w:rPr>
        <w:t>sexual</w:t>
      </w:r>
      <w:r w:rsidR="003D0CB2">
        <w:rPr>
          <w:lang w:val="mi-NZ"/>
        </w:rPr>
        <w:t xml:space="preserve"> </w:t>
      </w:r>
      <w:r w:rsidR="003D0CB2" w:rsidRPr="0055524E">
        <w:rPr>
          <w:lang w:val="mi-NZ"/>
        </w:rPr>
        <w:t>orientation</w:t>
      </w:r>
      <w:r w:rsidR="003D0CB2">
        <w:rPr>
          <w:lang w:val="mi-NZ"/>
        </w:rPr>
        <w:t xml:space="preserve"> </w:t>
      </w:r>
      <w:r w:rsidR="003D0CB2" w:rsidRPr="0055524E">
        <w:rPr>
          <w:lang w:val="mi-NZ"/>
        </w:rPr>
        <w:t>change</w:t>
      </w:r>
      <w:r w:rsidR="003D0CB2">
        <w:rPr>
          <w:lang w:val="mi-NZ"/>
        </w:rPr>
        <w:t xml:space="preserve"> </w:t>
      </w:r>
      <w:r w:rsidR="003D0CB2" w:rsidRPr="0055524E">
        <w:rPr>
          <w:lang w:val="mi-NZ"/>
        </w:rPr>
        <w:t>efforts:</w:t>
      </w:r>
      <w:r w:rsidR="003D0CB2">
        <w:rPr>
          <w:lang w:val="mi-NZ"/>
        </w:rPr>
        <w:t xml:space="preserve"> </w:t>
      </w:r>
      <w:r w:rsidR="003D0CB2" w:rsidRPr="0055524E">
        <w:rPr>
          <w:lang w:val="mi-NZ"/>
        </w:rPr>
        <w:t>A</w:t>
      </w:r>
      <w:r w:rsidR="003D0CB2">
        <w:rPr>
          <w:lang w:val="mi-NZ"/>
        </w:rPr>
        <w:t xml:space="preserve"> </w:t>
      </w:r>
      <w:r w:rsidR="003D0CB2" w:rsidRPr="0055524E">
        <w:rPr>
          <w:lang w:val="mi-NZ"/>
        </w:rPr>
        <w:t>summary.</w:t>
      </w:r>
      <w:r w:rsidR="003D0CB2">
        <w:rPr>
          <w:lang w:val="mi-NZ"/>
        </w:rPr>
        <w:t xml:space="preserve"> </w:t>
      </w:r>
      <w:r w:rsidR="003D0CB2" w:rsidRPr="0055524E">
        <w:rPr>
          <w:lang w:val="mi-NZ"/>
        </w:rPr>
        <w:t>In</w:t>
      </w:r>
      <w:r w:rsidR="003D0CB2">
        <w:rPr>
          <w:lang w:val="mi-NZ"/>
        </w:rPr>
        <w:t xml:space="preserve"> </w:t>
      </w:r>
      <w:r w:rsidR="003D0CB2" w:rsidRPr="0055524E">
        <w:rPr>
          <w:lang w:val="mi-NZ"/>
        </w:rPr>
        <w:t>D.</w:t>
      </w:r>
      <w:r w:rsidR="003D0CB2">
        <w:rPr>
          <w:lang w:val="mi-NZ"/>
        </w:rPr>
        <w:t xml:space="preserve"> </w:t>
      </w:r>
      <w:r w:rsidR="003D0CB2" w:rsidRPr="0055524E">
        <w:rPr>
          <w:lang w:val="mi-NZ"/>
        </w:rPr>
        <w:t>C.</w:t>
      </w:r>
      <w:r w:rsidR="003D0CB2">
        <w:rPr>
          <w:lang w:val="mi-NZ"/>
        </w:rPr>
        <w:t xml:space="preserve"> </w:t>
      </w:r>
      <w:r w:rsidR="003D0CB2" w:rsidRPr="0055524E">
        <w:rPr>
          <w:lang w:val="mi-NZ"/>
        </w:rPr>
        <w:t>Haldeman</w:t>
      </w:r>
      <w:r w:rsidR="003D0CB2">
        <w:rPr>
          <w:lang w:val="mi-NZ"/>
        </w:rPr>
        <w:t xml:space="preserve"> </w:t>
      </w:r>
      <w:r w:rsidR="003D0CB2" w:rsidRPr="0055524E">
        <w:rPr>
          <w:lang w:val="mi-NZ"/>
        </w:rPr>
        <w:t>(Ed.),</w:t>
      </w:r>
      <w:r w:rsidR="003D0CB2">
        <w:rPr>
          <w:lang w:val="mi-NZ"/>
        </w:rPr>
        <w:t xml:space="preserve"> </w:t>
      </w:r>
      <w:r w:rsidR="003D0CB2" w:rsidRPr="007B139B">
        <w:rPr>
          <w:i/>
          <w:iCs/>
          <w:lang w:val="mi-NZ"/>
        </w:rPr>
        <w:t>The case against conversion “therapy”: Evidence, ethics, and alternatives</w:t>
      </w:r>
      <w:r w:rsidR="003D0CB2">
        <w:rPr>
          <w:lang w:val="mi-NZ"/>
        </w:rPr>
        <w:t xml:space="preserve"> </w:t>
      </w:r>
      <w:r w:rsidR="003D0CB2" w:rsidRPr="0055524E">
        <w:rPr>
          <w:lang w:val="mi-NZ"/>
        </w:rPr>
        <w:t>(pp.</w:t>
      </w:r>
      <w:r w:rsidR="003D0CB2">
        <w:rPr>
          <w:lang w:val="mi-NZ"/>
        </w:rPr>
        <w:t xml:space="preserve"> </w:t>
      </w:r>
      <w:r w:rsidR="003D0CB2" w:rsidRPr="0055524E">
        <w:rPr>
          <w:lang w:val="mi-NZ"/>
        </w:rPr>
        <w:t>19–50).</w:t>
      </w:r>
      <w:r w:rsidR="003D0CB2">
        <w:rPr>
          <w:lang w:val="mi-NZ"/>
        </w:rPr>
        <w:t xml:space="preserve"> </w:t>
      </w:r>
      <w:r w:rsidR="003D0CB2" w:rsidRPr="0055524E">
        <w:rPr>
          <w:lang w:val="mi-NZ"/>
        </w:rPr>
        <w:t>American</w:t>
      </w:r>
      <w:r w:rsidR="003D0CB2">
        <w:rPr>
          <w:lang w:val="mi-NZ"/>
        </w:rPr>
        <w:t xml:space="preserve"> </w:t>
      </w:r>
      <w:r w:rsidR="003D0CB2" w:rsidRPr="0055524E">
        <w:rPr>
          <w:lang w:val="mi-NZ"/>
        </w:rPr>
        <w:t>Psychological</w:t>
      </w:r>
      <w:r w:rsidR="003D0CB2">
        <w:rPr>
          <w:lang w:val="mi-NZ"/>
        </w:rPr>
        <w:t xml:space="preserve"> </w:t>
      </w:r>
      <w:r w:rsidR="003D0CB2" w:rsidRPr="0055524E">
        <w:rPr>
          <w:lang w:val="mi-NZ"/>
        </w:rPr>
        <w:t>Association</w:t>
      </w:r>
      <w:r w:rsidR="003D0CB2">
        <w:rPr>
          <w:lang w:val="mi-NZ"/>
        </w:rPr>
        <w:t xml:space="preserve">; </w:t>
      </w:r>
      <w:r w:rsidR="003D0CB2" w:rsidRPr="005126BC">
        <w:rPr>
          <w:lang w:val="mi-NZ"/>
        </w:rPr>
        <w:t>Power,</w:t>
      </w:r>
      <w:r w:rsidR="003D0CB2">
        <w:rPr>
          <w:lang w:val="mi-NZ"/>
        </w:rPr>
        <w:t xml:space="preserve"> </w:t>
      </w:r>
      <w:r w:rsidR="003D0CB2" w:rsidRPr="005126BC">
        <w:rPr>
          <w:lang w:val="mi-NZ"/>
        </w:rPr>
        <w:t>J.,</w:t>
      </w:r>
      <w:r w:rsidR="003D0CB2">
        <w:rPr>
          <w:lang w:val="mi-NZ"/>
        </w:rPr>
        <w:t xml:space="preserve"> </w:t>
      </w:r>
      <w:r w:rsidR="003D0CB2" w:rsidRPr="005126BC">
        <w:rPr>
          <w:lang w:val="mi-NZ"/>
        </w:rPr>
        <w:t>Jones,</w:t>
      </w:r>
      <w:r w:rsidR="003D0CB2">
        <w:rPr>
          <w:lang w:val="mi-NZ"/>
        </w:rPr>
        <w:t xml:space="preserve"> </w:t>
      </w:r>
      <w:r w:rsidR="003D0CB2" w:rsidRPr="005126BC">
        <w:rPr>
          <w:lang w:val="mi-NZ"/>
        </w:rPr>
        <w:t>T.</w:t>
      </w:r>
      <w:r w:rsidR="003D0CB2">
        <w:rPr>
          <w:lang w:val="mi-NZ"/>
        </w:rPr>
        <w:t xml:space="preserve"> </w:t>
      </w:r>
      <w:r w:rsidR="003D0CB2" w:rsidRPr="005126BC">
        <w:rPr>
          <w:lang w:val="mi-NZ"/>
        </w:rPr>
        <w:t>W.,</w:t>
      </w:r>
      <w:r w:rsidR="003D0CB2">
        <w:rPr>
          <w:lang w:val="mi-NZ"/>
        </w:rPr>
        <w:t xml:space="preserve"> </w:t>
      </w:r>
      <w:r w:rsidR="003D0CB2" w:rsidRPr="005126BC">
        <w:rPr>
          <w:lang w:val="mi-NZ"/>
        </w:rPr>
        <w:t>Jones,</w:t>
      </w:r>
      <w:r w:rsidR="003D0CB2">
        <w:rPr>
          <w:lang w:val="mi-NZ"/>
        </w:rPr>
        <w:t xml:space="preserve"> </w:t>
      </w:r>
      <w:r w:rsidR="003D0CB2" w:rsidRPr="005126BC">
        <w:rPr>
          <w:lang w:val="mi-NZ"/>
        </w:rPr>
        <w:t>T.,</w:t>
      </w:r>
      <w:r w:rsidR="003D0CB2">
        <w:rPr>
          <w:lang w:val="mi-NZ"/>
        </w:rPr>
        <w:t xml:space="preserve"> </w:t>
      </w:r>
      <w:r w:rsidR="003D0CB2" w:rsidRPr="005126BC">
        <w:rPr>
          <w:lang w:val="mi-NZ"/>
        </w:rPr>
        <w:t>Despott,</w:t>
      </w:r>
      <w:r w:rsidR="003D0CB2">
        <w:rPr>
          <w:lang w:val="mi-NZ"/>
        </w:rPr>
        <w:t xml:space="preserve"> </w:t>
      </w:r>
      <w:r w:rsidR="003D0CB2" w:rsidRPr="005126BC">
        <w:rPr>
          <w:lang w:val="mi-NZ"/>
        </w:rPr>
        <w:t>N.,</w:t>
      </w:r>
      <w:r w:rsidR="003D0CB2">
        <w:rPr>
          <w:lang w:val="mi-NZ"/>
        </w:rPr>
        <w:t xml:space="preserve"> </w:t>
      </w:r>
      <w:r w:rsidR="003D0CB2" w:rsidRPr="005126BC">
        <w:rPr>
          <w:lang w:val="mi-NZ"/>
        </w:rPr>
        <w:t>Pallotta-Chiarolli,</w:t>
      </w:r>
      <w:r w:rsidR="003D0CB2">
        <w:rPr>
          <w:lang w:val="mi-NZ"/>
        </w:rPr>
        <w:t xml:space="preserve"> </w:t>
      </w:r>
      <w:r w:rsidR="003D0CB2" w:rsidRPr="005126BC">
        <w:rPr>
          <w:lang w:val="mi-NZ"/>
        </w:rPr>
        <w:t>M.,</w:t>
      </w:r>
      <w:r w:rsidR="003D0CB2">
        <w:rPr>
          <w:lang w:val="mi-NZ"/>
        </w:rPr>
        <w:t xml:space="preserve"> </w:t>
      </w:r>
      <w:r w:rsidR="003D0CB2" w:rsidRPr="005126BC">
        <w:rPr>
          <w:lang w:val="mi-NZ"/>
        </w:rPr>
        <w:t>&amp;</w:t>
      </w:r>
      <w:r w:rsidR="003D0CB2">
        <w:rPr>
          <w:lang w:val="mi-NZ"/>
        </w:rPr>
        <w:t xml:space="preserve"> </w:t>
      </w:r>
      <w:r w:rsidR="003D0CB2" w:rsidRPr="005126BC">
        <w:rPr>
          <w:lang w:val="mi-NZ"/>
        </w:rPr>
        <w:t>Anderson,</w:t>
      </w:r>
      <w:r w:rsidR="003D0CB2">
        <w:rPr>
          <w:lang w:val="mi-NZ"/>
        </w:rPr>
        <w:t xml:space="preserve"> </w:t>
      </w:r>
      <w:r w:rsidR="003D0CB2" w:rsidRPr="005126BC">
        <w:rPr>
          <w:lang w:val="mi-NZ"/>
        </w:rPr>
        <w:t>J.</w:t>
      </w:r>
      <w:r w:rsidR="003D0CB2">
        <w:rPr>
          <w:lang w:val="mi-NZ"/>
        </w:rPr>
        <w:t xml:space="preserve"> </w:t>
      </w:r>
      <w:r w:rsidR="003D0CB2" w:rsidRPr="005126BC">
        <w:rPr>
          <w:lang w:val="mi-NZ"/>
        </w:rPr>
        <w:t>(2022).</w:t>
      </w:r>
      <w:r w:rsidR="003D0CB2">
        <w:rPr>
          <w:lang w:val="mi-NZ"/>
        </w:rPr>
        <w:t xml:space="preserve"> </w:t>
      </w:r>
      <w:r w:rsidR="003D0CB2" w:rsidRPr="005126BC">
        <w:rPr>
          <w:lang w:val="mi-NZ"/>
        </w:rPr>
        <w:t>Better</w:t>
      </w:r>
      <w:r w:rsidR="003D0CB2">
        <w:rPr>
          <w:lang w:val="mi-NZ"/>
        </w:rPr>
        <w:t xml:space="preserve"> </w:t>
      </w:r>
      <w:r w:rsidR="003D0CB2" w:rsidRPr="005126BC">
        <w:rPr>
          <w:lang w:val="mi-NZ"/>
        </w:rPr>
        <w:t>understanding</w:t>
      </w:r>
      <w:r w:rsidR="003D0CB2">
        <w:rPr>
          <w:lang w:val="mi-NZ"/>
        </w:rPr>
        <w:t xml:space="preserve"> </w:t>
      </w:r>
      <w:r w:rsidR="003D0CB2" w:rsidRPr="005126BC">
        <w:rPr>
          <w:lang w:val="mi-NZ"/>
        </w:rPr>
        <w:t>of</w:t>
      </w:r>
      <w:r w:rsidR="003D0CB2">
        <w:rPr>
          <w:lang w:val="mi-NZ"/>
        </w:rPr>
        <w:t xml:space="preserve"> </w:t>
      </w:r>
      <w:r w:rsidR="003D0CB2" w:rsidRPr="005126BC">
        <w:rPr>
          <w:lang w:val="mi-NZ"/>
        </w:rPr>
        <w:t>the</w:t>
      </w:r>
      <w:r w:rsidR="003D0CB2">
        <w:rPr>
          <w:lang w:val="mi-NZ"/>
        </w:rPr>
        <w:t xml:space="preserve"> </w:t>
      </w:r>
      <w:r w:rsidR="003D0CB2" w:rsidRPr="005126BC">
        <w:rPr>
          <w:lang w:val="mi-NZ"/>
        </w:rPr>
        <w:t>s</w:t>
      </w:r>
      <w:r w:rsidR="003D0CB2">
        <w:rPr>
          <w:lang w:val="mi-NZ"/>
        </w:rPr>
        <w:t>c</w:t>
      </w:r>
      <w:r w:rsidR="003D0CB2" w:rsidRPr="005126BC">
        <w:rPr>
          <w:lang w:val="mi-NZ"/>
        </w:rPr>
        <w:t>ope</w:t>
      </w:r>
      <w:r w:rsidR="003D0CB2">
        <w:rPr>
          <w:lang w:val="mi-NZ"/>
        </w:rPr>
        <w:t xml:space="preserve"> </w:t>
      </w:r>
      <w:r w:rsidR="003D0CB2" w:rsidRPr="005126BC">
        <w:rPr>
          <w:lang w:val="mi-NZ"/>
        </w:rPr>
        <w:t>and</w:t>
      </w:r>
      <w:r w:rsidR="003D0CB2">
        <w:rPr>
          <w:lang w:val="mi-NZ"/>
        </w:rPr>
        <w:t xml:space="preserve"> </w:t>
      </w:r>
      <w:r w:rsidR="003D0CB2" w:rsidRPr="005126BC">
        <w:rPr>
          <w:lang w:val="mi-NZ"/>
        </w:rPr>
        <w:t>nature</w:t>
      </w:r>
      <w:r w:rsidR="003D0CB2">
        <w:rPr>
          <w:lang w:val="mi-NZ"/>
        </w:rPr>
        <w:t xml:space="preserve"> </w:t>
      </w:r>
      <w:r w:rsidR="003D0CB2" w:rsidRPr="005126BC">
        <w:rPr>
          <w:lang w:val="mi-NZ"/>
        </w:rPr>
        <w:t>of</w:t>
      </w:r>
      <w:r w:rsidR="003D0CB2">
        <w:rPr>
          <w:lang w:val="mi-NZ"/>
        </w:rPr>
        <w:t xml:space="preserve"> </w:t>
      </w:r>
      <w:r w:rsidR="003D0CB2" w:rsidRPr="005126BC">
        <w:rPr>
          <w:lang w:val="mi-NZ"/>
        </w:rPr>
        <w:t>LGBTQA+</w:t>
      </w:r>
      <w:r w:rsidR="003D0CB2">
        <w:rPr>
          <w:lang w:val="mi-NZ"/>
        </w:rPr>
        <w:t xml:space="preserve"> </w:t>
      </w:r>
      <w:r w:rsidR="003D0CB2" w:rsidRPr="005126BC">
        <w:rPr>
          <w:lang w:val="mi-NZ"/>
        </w:rPr>
        <w:t>religious</w:t>
      </w:r>
      <w:r w:rsidR="003D0CB2">
        <w:rPr>
          <w:lang w:val="mi-NZ"/>
        </w:rPr>
        <w:t xml:space="preserve"> </w:t>
      </w:r>
      <w:r w:rsidR="003D0CB2" w:rsidRPr="005126BC">
        <w:rPr>
          <w:lang w:val="mi-NZ"/>
        </w:rPr>
        <w:t>conversion</w:t>
      </w:r>
      <w:r w:rsidR="003D0CB2">
        <w:rPr>
          <w:lang w:val="mi-NZ"/>
        </w:rPr>
        <w:t xml:space="preserve"> </w:t>
      </w:r>
      <w:r w:rsidR="003D0CB2" w:rsidRPr="005126BC">
        <w:rPr>
          <w:lang w:val="mi-NZ"/>
        </w:rPr>
        <w:t>practices</w:t>
      </w:r>
      <w:r w:rsidR="003D0CB2">
        <w:rPr>
          <w:lang w:val="mi-NZ"/>
        </w:rPr>
        <w:t xml:space="preserve"> </w:t>
      </w:r>
      <w:r w:rsidR="003D0CB2" w:rsidRPr="005126BC">
        <w:rPr>
          <w:lang w:val="mi-NZ"/>
        </w:rPr>
        <w:t>will</w:t>
      </w:r>
      <w:r w:rsidR="003D0CB2">
        <w:rPr>
          <w:lang w:val="mi-NZ"/>
        </w:rPr>
        <w:t xml:space="preserve"> </w:t>
      </w:r>
      <w:r w:rsidR="003D0CB2" w:rsidRPr="005126BC">
        <w:rPr>
          <w:lang w:val="mi-NZ"/>
        </w:rPr>
        <w:t>support</w:t>
      </w:r>
      <w:r w:rsidR="003D0CB2">
        <w:rPr>
          <w:lang w:val="mi-NZ"/>
        </w:rPr>
        <w:t xml:space="preserve"> </w:t>
      </w:r>
      <w:r w:rsidR="003D0CB2" w:rsidRPr="005126BC">
        <w:rPr>
          <w:lang w:val="mi-NZ"/>
        </w:rPr>
        <w:t>recovery.</w:t>
      </w:r>
      <w:r w:rsidR="003D0CB2">
        <w:rPr>
          <w:lang w:val="mi-NZ"/>
        </w:rPr>
        <w:t xml:space="preserve"> </w:t>
      </w:r>
      <w:r w:rsidR="003D0CB2" w:rsidRPr="007B139B">
        <w:rPr>
          <w:i/>
          <w:iCs/>
          <w:lang w:val="mi-NZ"/>
        </w:rPr>
        <w:t>Medical Journal of Australia</w:t>
      </w:r>
      <w:r w:rsidR="003D0CB2" w:rsidRPr="005126BC">
        <w:rPr>
          <w:lang w:val="mi-NZ"/>
        </w:rPr>
        <w:t>,</w:t>
      </w:r>
      <w:r w:rsidR="003D0CB2">
        <w:rPr>
          <w:lang w:val="mi-NZ"/>
        </w:rPr>
        <w:t xml:space="preserve"> </w:t>
      </w:r>
      <w:r w:rsidR="003D0CB2" w:rsidRPr="007B139B">
        <w:rPr>
          <w:i/>
          <w:iCs/>
          <w:lang w:val="mi-NZ"/>
        </w:rPr>
        <w:t>217</w:t>
      </w:r>
      <w:r w:rsidR="003D0CB2" w:rsidRPr="005126BC">
        <w:rPr>
          <w:lang w:val="mi-NZ"/>
        </w:rPr>
        <w:t>(3)</w:t>
      </w:r>
      <w:r w:rsidR="003D0CB2">
        <w:rPr>
          <w:lang w:val="mi-NZ"/>
        </w:rPr>
        <w:t xml:space="preserve">, 119–122; </w:t>
      </w:r>
      <w:r w:rsidR="003D0CB2">
        <w:t xml:space="preserve">Jones et al., 2018, </w:t>
      </w:r>
      <w:r w:rsidR="003D0CB2">
        <w:rPr>
          <w:lang w:val="mi-NZ"/>
        </w:rPr>
        <w:t>2021a, 2022a</w:t>
      </w:r>
      <w:r w:rsidR="003D0CB2">
        <w:t>;</w:t>
      </w:r>
      <w:r w:rsidR="003D0CB2" w:rsidRPr="003D0CB2">
        <w:t xml:space="preserve"> </w:t>
      </w:r>
      <w:r w:rsidR="003D0CB2">
        <w:t xml:space="preserve">Flentje, A., Heck, N. C., &amp; Cochran, B. N. (2014). Experiences of ex-ex-gay individuals in sexual reorientation therapy: Reasons for seeking treatment, perceived helpfulness and harmfulness of treatment, and post-treatment identification. </w:t>
      </w:r>
      <w:r w:rsidR="003D0CB2">
        <w:rPr>
          <w:i/>
          <w:iCs/>
        </w:rPr>
        <w:t>Journal of Homosexuality</w:t>
      </w:r>
      <w:r w:rsidR="003D0CB2">
        <w:t xml:space="preserve">, </w:t>
      </w:r>
      <w:r w:rsidR="003D0CB2">
        <w:rPr>
          <w:i/>
          <w:iCs/>
        </w:rPr>
        <w:t>61</w:t>
      </w:r>
      <w:r w:rsidR="003D0CB2">
        <w:t>(9), 1242–1268.</w:t>
      </w:r>
    </w:p>
  </w:footnote>
  <w:footnote w:id="122">
    <w:p w14:paraId="0FA5E8D5" w14:textId="743166A9" w:rsidR="00D527F0" w:rsidRPr="00C21FBE" w:rsidRDefault="00D527F0" w:rsidP="00E00167">
      <w:pPr>
        <w:pStyle w:val="FootnoteText"/>
        <w:rPr>
          <w:lang w:val="mi-NZ"/>
        </w:rPr>
      </w:pPr>
      <w:r>
        <w:rPr>
          <w:rStyle w:val="FootnoteReference"/>
        </w:rPr>
        <w:footnoteRef/>
      </w:r>
      <w:r w:rsidR="003D640C">
        <w:t xml:space="preserve"> </w:t>
      </w:r>
      <w:r>
        <w:rPr>
          <w:lang w:val="mi-NZ"/>
        </w:rPr>
        <w:t>Przeworski</w:t>
      </w:r>
      <w:r w:rsidR="003D640C">
        <w:rPr>
          <w:lang w:val="mi-NZ"/>
        </w:rPr>
        <w:t xml:space="preserve"> </w:t>
      </w:r>
      <w:r w:rsidR="00DA48A8">
        <w:rPr>
          <w:lang w:val="mi-NZ"/>
        </w:rPr>
        <w:t>et</w:t>
      </w:r>
      <w:r w:rsidR="003D640C">
        <w:rPr>
          <w:lang w:val="mi-NZ"/>
        </w:rPr>
        <w:t xml:space="preserve"> </w:t>
      </w:r>
      <w:r w:rsidR="00DA48A8">
        <w:rPr>
          <w:lang w:val="mi-NZ"/>
        </w:rPr>
        <w:t>al.</w:t>
      </w:r>
      <w:r w:rsidR="008A3B23">
        <w:rPr>
          <w:lang w:val="mi-NZ"/>
        </w:rPr>
        <w:t>,</w:t>
      </w:r>
      <w:r w:rsidR="003D640C">
        <w:rPr>
          <w:lang w:val="mi-NZ"/>
        </w:rPr>
        <w:t xml:space="preserve"> </w:t>
      </w:r>
      <w:r>
        <w:rPr>
          <w:lang w:val="mi-NZ"/>
        </w:rPr>
        <w:t>202</w:t>
      </w:r>
      <w:r w:rsidR="008A3B23">
        <w:rPr>
          <w:lang w:val="mi-NZ"/>
        </w:rPr>
        <w:t>1</w:t>
      </w:r>
      <w:r w:rsidR="003D0CB2">
        <w:rPr>
          <w:lang w:val="mi-NZ"/>
        </w:rPr>
        <w:t>;</w:t>
      </w:r>
      <w:r w:rsidR="003D0CB2" w:rsidRPr="003D0CB2">
        <w:t xml:space="preserve"> </w:t>
      </w:r>
      <w:r w:rsidR="003D0CB2">
        <w:t xml:space="preserve">Jones et al., 2018, </w:t>
      </w:r>
      <w:r w:rsidR="003D0CB2" w:rsidRPr="005126BC">
        <w:rPr>
          <w:lang w:val="mi-NZ"/>
        </w:rPr>
        <w:t>2022</w:t>
      </w:r>
      <w:r w:rsidR="003D0CB2">
        <w:t>b.</w:t>
      </w:r>
    </w:p>
  </w:footnote>
  <w:footnote w:id="123">
    <w:p w14:paraId="5B96F3B4" w14:textId="57BEA6F4" w:rsidR="00D527F0" w:rsidRPr="00C21FBE" w:rsidRDefault="00D527F0" w:rsidP="00E00167">
      <w:pPr>
        <w:pStyle w:val="FootnoteText"/>
        <w:rPr>
          <w:lang w:val="mi-NZ"/>
        </w:rPr>
      </w:pPr>
      <w:r>
        <w:rPr>
          <w:rStyle w:val="FootnoteReference"/>
        </w:rPr>
        <w:footnoteRef/>
      </w:r>
      <w:r w:rsidR="003D640C">
        <w:t xml:space="preserve"> </w:t>
      </w:r>
      <w:r>
        <w:rPr>
          <w:lang w:val="mi-NZ"/>
        </w:rPr>
        <w:t>Glassgold</w:t>
      </w:r>
      <w:r w:rsidR="003D0CB2">
        <w:rPr>
          <w:lang w:val="mi-NZ"/>
        </w:rPr>
        <w:t>,</w:t>
      </w:r>
      <w:r w:rsidR="003D640C">
        <w:rPr>
          <w:lang w:val="mi-NZ"/>
        </w:rPr>
        <w:t xml:space="preserve"> </w:t>
      </w:r>
      <w:r>
        <w:rPr>
          <w:lang w:val="mi-NZ"/>
        </w:rPr>
        <w:t>2022</w:t>
      </w:r>
      <w:r w:rsidR="003D0CB2">
        <w:rPr>
          <w:lang w:val="mi-NZ"/>
        </w:rPr>
        <w:t>;</w:t>
      </w:r>
      <w:r w:rsidR="003D0CB2" w:rsidRPr="003D0CB2">
        <w:t xml:space="preserve"> </w:t>
      </w:r>
      <w:r w:rsidR="003D0CB2">
        <w:t>Jones et al., 2018, 2021a;</w:t>
      </w:r>
      <w:r w:rsidR="003D0CB2" w:rsidRPr="003D0CB2">
        <w:t xml:space="preserve"> </w:t>
      </w:r>
      <w:r w:rsidR="003D0CB2">
        <w:t xml:space="preserve">Ryan, C., Toomey, R. B., Diaz, R. M., &amp; Russel, S. T. (2020). Parent-initiated sexual orientation change efforts with LGBT adolescents: Implications for young adult mental health and adjustment. </w:t>
      </w:r>
      <w:r w:rsidR="003D0CB2" w:rsidRPr="000E1B49">
        <w:rPr>
          <w:i/>
          <w:iCs/>
        </w:rPr>
        <w:t>Journal</w:t>
      </w:r>
      <w:r w:rsidR="003D0CB2">
        <w:rPr>
          <w:i/>
          <w:iCs/>
        </w:rPr>
        <w:t xml:space="preserve"> </w:t>
      </w:r>
      <w:r w:rsidR="003D0CB2" w:rsidRPr="000E1B49">
        <w:rPr>
          <w:i/>
          <w:iCs/>
        </w:rPr>
        <w:t>of</w:t>
      </w:r>
      <w:r w:rsidR="003D0CB2">
        <w:rPr>
          <w:i/>
          <w:iCs/>
        </w:rPr>
        <w:t xml:space="preserve"> </w:t>
      </w:r>
      <w:r w:rsidR="003D0CB2" w:rsidRPr="000E1B49">
        <w:rPr>
          <w:i/>
          <w:iCs/>
        </w:rPr>
        <w:t>Homosexuality</w:t>
      </w:r>
      <w:r w:rsidR="003D0CB2">
        <w:rPr>
          <w:lang w:val="en-US"/>
        </w:rPr>
        <w:t xml:space="preserve">, </w:t>
      </w:r>
      <w:r w:rsidR="003D0CB2">
        <w:rPr>
          <w:i/>
          <w:iCs/>
          <w:lang w:val="en-US"/>
        </w:rPr>
        <w:t>67</w:t>
      </w:r>
      <w:r w:rsidR="003D0CB2">
        <w:rPr>
          <w:lang w:val="en-US"/>
        </w:rPr>
        <w:t>(2), 159–173</w:t>
      </w:r>
      <w:r w:rsidR="003D0CB2" w:rsidRPr="000E1B49">
        <w:rPr>
          <w:i/>
          <w:iCs/>
        </w:rPr>
        <w:t>.</w:t>
      </w:r>
      <w:r w:rsidR="003D0CB2">
        <w:t xml:space="preserve"> </w:t>
      </w:r>
    </w:p>
  </w:footnote>
  <w:footnote w:id="124">
    <w:p w14:paraId="51B3082C" w14:textId="44416C2C" w:rsidR="00D527F0" w:rsidRPr="00C21FBE" w:rsidRDefault="00D527F0" w:rsidP="00E00167">
      <w:pPr>
        <w:pStyle w:val="FootnoteText"/>
        <w:rPr>
          <w:lang w:val="mi-NZ"/>
        </w:rPr>
      </w:pPr>
      <w:r>
        <w:rPr>
          <w:rStyle w:val="FootnoteReference"/>
        </w:rPr>
        <w:footnoteRef/>
      </w:r>
      <w:r w:rsidR="003D640C">
        <w:t xml:space="preserve"> </w:t>
      </w:r>
      <w:r>
        <w:rPr>
          <w:lang w:val="mi-NZ"/>
        </w:rPr>
        <w:t>Glassgold</w:t>
      </w:r>
      <w:r w:rsidR="003D0CB2">
        <w:rPr>
          <w:lang w:val="mi-NZ"/>
        </w:rPr>
        <w:t>,</w:t>
      </w:r>
      <w:r w:rsidR="003D640C">
        <w:rPr>
          <w:lang w:val="mi-NZ"/>
        </w:rPr>
        <w:t xml:space="preserve"> </w:t>
      </w:r>
      <w:r>
        <w:rPr>
          <w:lang w:val="mi-NZ"/>
        </w:rPr>
        <w:t>2022</w:t>
      </w:r>
      <w:r w:rsidR="006D5FE6">
        <w:rPr>
          <w:lang w:val="mi-NZ"/>
        </w:rPr>
        <w:t>;</w:t>
      </w:r>
      <w:r w:rsidR="00897B83" w:rsidRPr="00897B83">
        <w:rPr>
          <w:lang w:val="mi-NZ"/>
        </w:rPr>
        <w:t xml:space="preserve"> </w:t>
      </w:r>
      <w:r w:rsidR="00897B83">
        <w:rPr>
          <w:lang w:val="mi-NZ"/>
        </w:rPr>
        <w:t>Power et al., 2022;</w:t>
      </w:r>
      <w:r w:rsidR="00897B83" w:rsidRPr="00897B83">
        <w:t xml:space="preserve"> </w:t>
      </w:r>
      <w:r w:rsidR="00897B83">
        <w:t>Jones et al., 2018, 2021a, 2022b;</w:t>
      </w:r>
      <w:r w:rsidR="00897B83" w:rsidRPr="00897B83">
        <w:rPr>
          <w:lang w:val="mi-NZ"/>
        </w:rPr>
        <w:t xml:space="preserve"> </w:t>
      </w:r>
      <w:r w:rsidR="00897B83">
        <w:rPr>
          <w:lang w:val="mi-NZ"/>
        </w:rPr>
        <w:t xml:space="preserve">Salway, T., Juwono, S., Klassen, B., Ferlatte, O., Ablona, A., Pruden, H., Morgan, J., Kwag, M., Card, K., Knight, R., &amp; Lachowsky, N. J. (2021). Experiences with sexual orientation and gender identity conversion therapy practice among sexual minority men in Canada, 2019–2020. </w:t>
      </w:r>
      <w:r w:rsidR="00897B83" w:rsidRPr="0019015C">
        <w:rPr>
          <w:i/>
          <w:iCs/>
          <w:lang w:val="en-US"/>
        </w:rPr>
        <w:t>PLoS ONE</w:t>
      </w:r>
      <w:r w:rsidR="00897B83">
        <w:rPr>
          <w:lang w:val="en-US"/>
        </w:rPr>
        <w:t xml:space="preserve">, </w:t>
      </w:r>
      <w:r w:rsidR="00897B83" w:rsidRPr="0019015C">
        <w:rPr>
          <w:i/>
          <w:iCs/>
          <w:lang w:val="en-US"/>
        </w:rPr>
        <w:t>16</w:t>
      </w:r>
      <w:r w:rsidR="00897B83">
        <w:rPr>
          <w:lang w:val="en-US"/>
        </w:rPr>
        <w:t>(6), e0252539</w:t>
      </w:r>
      <w:r w:rsidR="003A051E">
        <w:rPr>
          <w:lang w:val="en-US"/>
        </w:rPr>
        <w:t>;</w:t>
      </w:r>
      <w:r w:rsidR="003A051E" w:rsidRPr="003A051E">
        <w:t xml:space="preserve"> </w:t>
      </w:r>
      <w:r w:rsidR="003A051E">
        <w:t xml:space="preserve">Asia Pacific Transgender Network. (2021). </w:t>
      </w:r>
      <w:r w:rsidR="003A051E" w:rsidRPr="003A051E">
        <w:rPr>
          <w:i/>
          <w:iCs/>
        </w:rPr>
        <w:t>Conversion therapy practices against transgender persons in India, Indonesia, Malaysia and Sri Lanka</w:t>
      </w:r>
      <w:r w:rsidR="003A051E">
        <w:t xml:space="preserve">. </w:t>
      </w:r>
    </w:p>
  </w:footnote>
  <w:footnote w:id="125">
    <w:p w14:paraId="6F993CD1" w14:textId="509F9CAD" w:rsidR="00D527F0" w:rsidRPr="00C21FBE" w:rsidRDefault="00D527F0" w:rsidP="00E00167">
      <w:pPr>
        <w:pStyle w:val="FootnoteText"/>
        <w:rPr>
          <w:lang w:val="mi-NZ"/>
        </w:rPr>
      </w:pPr>
      <w:r>
        <w:rPr>
          <w:rStyle w:val="FootnoteReference"/>
        </w:rPr>
        <w:footnoteRef/>
      </w:r>
      <w:r w:rsidR="003D640C">
        <w:t xml:space="preserve"> </w:t>
      </w:r>
      <w:r w:rsidR="00DF6E6C">
        <w:rPr>
          <w:lang w:val="mi-NZ"/>
        </w:rPr>
        <w:t>Higbee</w:t>
      </w:r>
      <w:r w:rsidR="003D640C">
        <w:rPr>
          <w:lang w:val="mi-NZ"/>
        </w:rPr>
        <w:t xml:space="preserve"> </w:t>
      </w:r>
      <w:r w:rsidR="00DF6E6C">
        <w:rPr>
          <w:lang w:val="mi-NZ"/>
        </w:rPr>
        <w:t>et</w:t>
      </w:r>
      <w:r w:rsidR="003D640C">
        <w:rPr>
          <w:lang w:val="mi-NZ"/>
        </w:rPr>
        <w:t xml:space="preserve"> </w:t>
      </w:r>
      <w:r w:rsidR="00DF6E6C">
        <w:rPr>
          <w:lang w:val="mi-NZ"/>
        </w:rPr>
        <w:t>al.</w:t>
      </w:r>
      <w:r w:rsidR="003D0CB2">
        <w:rPr>
          <w:lang w:val="mi-NZ"/>
        </w:rPr>
        <w:t>,</w:t>
      </w:r>
      <w:r w:rsidR="003D640C">
        <w:rPr>
          <w:lang w:val="mi-NZ"/>
        </w:rPr>
        <w:t xml:space="preserve"> </w:t>
      </w:r>
      <w:r w:rsidR="00DF6E6C">
        <w:rPr>
          <w:lang w:val="mi-NZ"/>
        </w:rPr>
        <w:t>2022</w:t>
      </w:r>
      <w:r w:rsidR="003A051E">
        <w:rPr>
          <w:lang w:val="mi-NZ"/>
        </w:rPr>
        <w:t xml:space="preserve">; Przeworski et al., 2021; </w:t>
      </w:r>
      <w:r w:rsidR="003A051E">
        <w:t>Jones et al., 2018.</w:t>
      </w:r>
    </w:p>
  </w:footnote>
  <w:footnote w:id="126">
    <w:p w14:paraId="3C8308EF" w14:textId="3D480463" w:rsidR="00D527F0" w:rsidRPr="00C21FBE" w:rsidRDefault="00D527F0" w:rsidP="00E00167">
      <w:pPr>
        <w:pStyle w:val="FootnoteText"/>
        <w:rPr>
          <w:lang w:val="mi-NZ"/>
        </w:rPr>
      </w:pPr>
      <w:r>
        <w:rPr>
          <w:rStyle w:val="FootnoteReference"/>
        </w:rPr>
        <w:footnoteRef/>
      </w:r>
      <w:r w:rsidR="003D640C">
        <w:t xml:space="preserve"> </w:t>
      </w:r>
      <w:r>
        <w:rPr>
          <w:lang w:val="mi-NZ"/>
        </w:rPr>
        <w:t>Glassgold</w:t>
      </w:r>
      <w:r w:rsidR="003D0CB2">
        <w:rPr>
          <w:lang w:val="mi-NZ"/>
        </w:rPr>
        <w:t>,</w:t>
      </w:r>
      <w:r w:rsidR="003D640C">
        <w:rPr>
          <w:lang w:val="mi-NZ"/>
        </w:rPr>
        <w:t xml:space="preserve"> </w:t>
      </w:r>
      <w:r>
        <w:rPr>
          <w:lang w:val="mi-NZ"/>
        </w:rPr>
        <w:t>2022</w:t>
      </w:r>
      <w:r w:rsidR="003A051E">
        <w:rPr>
          <w:lang w:val="mi-NZ"/>
        </w:rPr>
        <w:t>;</w:t>
      </w:r>
      <w:r w:rsidR="003A051E" w:rsidRPr="003A051E">
        <w:rPr>
          <w:lang w:val="mi-NZ"/>
        </w:rPr>
        <w:t xml:space="preserve"> </w:t>
      </w:r>
      <w:r w:rsidR="003A051E">
        <w:rPr>
          <w:lang w:val="mi-NZ"/>
        </w:rPr>
        <w:t>Przeworski et al., 2021;</w:t>
      </w:r>
      <w:r w:rsidR="003A051E" w:rsidRPr="003A051E">
        <w:rPr>
          <w:lang w:val="mi-NZ"/>
        </w:rPr>
        <w:t xml:space="preserve"> </w:t>
      </w:r>
      <w:r w:rsidR="003A051E">
        <w:rPr>
          <w:lang w:val="mi-NZ"/>
        </w:rPr>
        <w:t>Chan et al., 2022;</w:t>
      </w:r>
      <w:r w:rsidR="003A051E" w:rsidRPr="003A051E">
        <w:rPr>
          <w:lang w:val="en-US"/>
        </w:rPr>
        <w:t xml:space="preserve"> </w:t>
      </w:r>
      <w:r w:rsidR="003A051E" w:rsidRPr="00AC0A24">
        <w:rPr>
          <w:lang w:val="en-US"/>
        </w:rPr>
        <w:t>Lee,</w:t>
      </w:r>
      <w:r w:rsidR="003A051E">
        <w:rPr>
          <w:lang w:val="en-US"/>
        </w:rPr>
        <w:t xml:space="preserve"> </w:t>
      </w:r>
      <w:r w:rsidR="003A051E" w:rsidRPr="00AC0A24">
        <w:rPr>
          <w:lang w:val="en-US"/>
        </w:rPr>
        <w:t>H.,</w:t>
      </w:r>
      <w:r w:rsidR="003A051E">
        <w:rPr>
          <w:lang w:val="en-US"/>
        </w:rPr>
        <w:t xml:space="preserve"> </w:t>
      </w:r>
      <w:r w:rsidR="003A051E" w:rsidRPr="00AC0A24">
        <w:rPr>
          <w:lang w:val="en-US"/>
        </w:rPr>
        <w:t>Operario,</w:t>
      </w:r>
      <w:r w:rsidR="003A051E">
        <w:rPr>
          <w:lang w:val="en-US"/>
        </w:rPr>
        <w:t xml:space="preserve"> </w:t>
      </w:r>
      <w:r w:rsidR="003A051E" w:rsidRPr="00AC0A24">
        <w:rPr>
          <w:lang w:val="en-US"/>
        </w:rPr>
        <w:t>D.,</w:t>
      </w:r>
      <w:r w:rsidR="003A051E">
        <w:rPr>
          <w:lang w:val="en-US"/>
        </w:rPr>
        <w:t xml:space="preserve"> </w:t>
      </w:r>
      <w:r w:rsidR="003A051E" w:rsidRPr="00AC0A24">
        <w:rPr>
          <w:lang w:val="en-US"/>
        </w:rPr>
        <w:t>Restar,</w:t>
      </w:r>
      <w:r w:rsidR="003A051E">
        <w:rPr>
          <w:lang w:val="en-US"/>
        </w:rPr>
        <w:t xml:space="preserve"> </w:t>
      </w:r>
      <w:r w:rsidR="003A051E" w:rsidRPr="00AC0A24">
        <w:rPr>
          <w:lang w:val="en-US"/>
        </w:rPr>
        <w:t>A.</w:t>
      </w:r>
      <w:r w:rsidR="003A051E">
        <w:rPr>
          <w:lang w:val="en-US"/>
        </w:rPr>
        <w:t xml:space="preserve"> </w:t>
      </w:r>
      <w:r w:rsidR="003A051E" w:rsidRPr="00AC0A24">
        <w:rPr>
          <w:lang w:val="en-US"/>
        </w:rPr>
        <w:t>J.,</w:t>
      </w:r>
      <w:r w:rsidR="003A051E">
        <w:rPr>
          <w:lang w:val="en-US"/>
        </w:rPr>
        <w:t xml:space="preserve"> </w:t>
      </w:r>
      <w:r w:rsidR="003A051E" w:rsidRPr="00AC0A24">
        <w:rPr>
          <w:lang w:val="en-US"/>
        </w:rPr>
        <w:t>Choo,</w:t>
      </w:r>
      <w:r w:rsidR="003A051E">
        <w:rPr>
          <w:lang w:val="en-US"/>
        </w:rPr>
        <w:t xml:space="preserve"> </w:t>
      </w:r>
      <w:r w:rsidR="003A051E" w:rsidRPr="00AC0A24">
        <w:rPr>
          <w:lang w:val="en-US"/>
        </w:rPr>
        <w:t>S.,</w:t>
      </w:r>
      <w:r w:rsidR="003A051E">
        <w:rPr>
          <w:lang w:val="en-US"/>
        </w:rPr>
        <w:t xml:space="preserve"> </w:t>
      </w:r>
      <w:r w:rsidR="003A051E" w:rsidRPr="00AC0A24">
        <w:rPr>
          <w:lang w:val="en-US"/>
        </w:rPr>
        <w:t>Kim,</w:t>
      </w:r>
      <w:r w:rsidR="003A051E">
        <w:rPr>
          <w:lang w:val="en-US"/>
        </w:rPr>
        <w:t xml:space="preserve"> </w:t>
      </w:r>
      <w:r w:rsidR="003A051E" w:rsidRPr="00AC0A24">
        <w:rPr>
          <w:lang w:val="en-US"/>
        </w:rPr>
        <w:t>R.,</w:t>
      </w:r>
      <w:r w:rsidR="003A051E">
        <w:rPr>
          <w:lang w:val="en-US"/>
        </w:rPr>
        <w:t xml:space="preserve"> </w:t>
      </w:r>
      <w:r w:rsidR="003A051E" w:rsidRPr="00AC0A24">
        <w:rPr>
          <w:lang w:val="en-US"/>
        </w:rPr>
        <w:t>Eom,</w:t>
      </w:r>
      <w:r w:rsidR="003A051E">
        <w:rPr>
          <w:lang w:val="en-US"/>
        </w:rPr>
        <w:t xml:space="preserve"> </w:t>
      </w:r>
      <w:r w:rsidR="003A051E" w:rsidRPr="00AC0A24">
        <w:rPr>
          <w:lang w:val="en-US"/>
        </w:rPr>
        <w:t>Y.-J.,</w:t>
      </w:r>
      <w:r w:rsidR="003A051E">
        <w:rPr>
          <w:lang w:val="en-US"/>
        </w:rPr>
        <w:t xml:space="preserve"> </w:t>
      </w:r>
      <w:r w:rsidR="003A051E" w:rsidRPr="00AC0A24">
        <w:rPr>
          <w:lang w:val="en-US"/>
        </w:rPr>
        <w:t>Yi,</w:t>
      </w:r>
      <w:r w:rsidR="003A051E">
        <w:rPr>
          <w:lang w:val="en-US"/>
        </w:rPr>
        <w:t xml:space="preserve"> </w:t>
      </w:r>
      <w:r w:rsidR="003A051E" w:rsidRPr="00AC0A24">
        <w:rPr>
          <w:lang w:val="en-US"/>
        </w:rPr>
        <w:t>H.,</w:t>
      </w:r>
      <w:r w:rsidR="003A051E">
        <w:rPr>
          <w:lang w:val="en-US"/>
        </w:rPr>
        <w:t xml:space="preserve"> </w:t>
      </w:r>
      <w:r w:rsidR="003A051E" w:rsidRPr="00AC0A24">
        <w:rPr>
          <w:lang w:val="en-US"/>
        </w:rPr>
        <w:t>&amp;</w:t>
      </w:r>
      <w:r w:rsidR="003A051E">
        <w:rPr>
          <w:lang w:val="en-US"/>
        </w:rPr>
        <w:t xml:space="preserve"> </w:t>
      </w:r>
      <w:r w:rsidR="003A051E" w:rsidRPr="00AC0A24">
        <w:rPr>
          <w:lang w:val="en-US"/>
        </w:rPr>
        <w:t>Kim,</w:t>
      </w:r>
      <w:r w:rsidR="003A051E">
        <w:rPr>
          <w:lang w:val="en-US"/>
        </w:rPr>
        <w:t xml:space="preserve"> </w:t>
      </w:r>
      <w:r w:rsidR="003A051E" w:rsidRPr="00AC0A24">
        <w:rPr>
          <w:lang w:val="en-US"/>
        </w:rPr>
        <w:t>S.-S.</w:t>
      </w:r>
      <w:r w:rsidR="003A051E">
        <w:rPr>
          <w:lang w:val="en-US"/>
        </w:rPr>
        <w:t xml:space="preserve"> </w:t>
      </w:r>
      <w:r w:rsidR="003A051E" w:rsidRPr="00AC0A24">
        <w:rPr>
          <w:lang w:val="en-US"/>
        </w:rPr>
        <w:t>(202</w:t>
      </w:r>
      <w:r w:rsidR="003A051E">
        <w:rPr>
          <w:lang w:val="en-US"/>
        </w:rPr>
        <w:t>3</w:t>
      </w:r>
      <w:r w:rsidR="003A051E" w:rsidRPr="00AC0A24">
        <w:rPr>
          <w:lang w:val="en-US"/>
        </w:rPr>
        <w:t>).</w:t>
      </w:r>
      <w:r w:rsidR="003A051E">
        <w:rPr>
          <w:lang w:val="en-US"/>
        </w:rPr>
        <w:t xml:space="preserve"> </w:t>
      </w:r>
      <w:r w:rsidR="003A051E" w:rsidRPr="00AC0A24">
        <w:rPr>
          <w:lang w:val="en-US"/>
        </w:rPr>
        <w:t>Gender</w:t>
      </w:r>
      <w:r w:rsidR="003A051E">
        <w:rPr>
          <w:lang w:val="en-US"/>
        </w:rPr>
        <w:t xml:space="preserve"> </w:t>
      </w:r>
      <w:r w:rsidR="003A051E" w:rsidRPr="00AC0A24">
        <w:rPr>
          <w:lang w:val="en-US"/>
        </w:rPr>
        <w:t>identity</w:t>
      </w:r>
      <w:r w:rsidR="003A051E">
        <w:rPr>
          <w:lang w:val="en-US"/>
        </w:rPr>
        <w:t xml:space="preserve"> </w:t>
      </w:r>
      <w:r w:rsidR="003A051E" w:rsidRPr="00AC0A24">
        <w:rPr>
          <w:lang w:val="en-US"/>
        </w:rPr>
        <w:t>change</w:t>
      </w:r>
      <w:r w:rsidR="003A051E">
        <w:rPr>
          <w:lang w:val="en-US"/>
        </w:rPr>
        <w:t xml:space="preserve"> </w:t>
      </w:r>
      <w:r w:rsidR="003A051E" w:rsidRPr="00AC0A24">
        <w:rPr>
          <w:lang w:val="en-US"/>
        </w:rPr>
        <w:t>efforts</w:t>
      </w:r>
      <w:r w:rsidR="003A051E">
        <w:rPr>
          <w:lang w:val="en-US"/>
        </w:rPr>
        <w:t xml:space="preserve"> </w:t>
      </w:r>
      <w:r w:rsidR="003A051E" w:rsidRPr="00AC0A24">
        <w:rPr>
          <w:lang w:val="en-US"/>
        </w:rPr>
        <w:t>are</w:t>
      </w:r>
      <w:r w:rsidR="003A051E">
        <w:rPr>
          <w:lang w:val="en-US"/>
        </w:rPr>
        <w:t xml:space="preserve"> </w:t>
      </w:r>
      <w:r w:rsidR="003A051E" w:rsidRPr="00AC0A24">
        <w:rPr>
          <w:lang w:val="en-US"/>
        </w:rPr>
        <w:t>associated</w:t>
      </w:r>
      <w:r w:rsidR="003A051E">
        <w:rPr>
          <w:lang w:val="en-US"/>
        </w:rPr>
        <w:t xml:space="preserve"> </w:t>
      </w:r>
      <w:r w:rsidR="003A051E" w:rsidRPr="00AC0A24">
        <w:rPr>
          <w:lang w:val="en-US"/>
        </w:rPr>
        <w:t>with</w:t>
      </w:r>
      <w:r w:rsidR="003A051E">
        <w:rPr>
          <w:lang w:val="en-US"/>
        </w:rPr>
        <w:t xml:space="preserve"> </w:t>
      </w:r>
      <w:r w:rsidR="003A051E" w:rsidRPr="00AC0A24">
        <w:rPr>
          <w:lang w:val="en-US"/>
        </w:rPr>
        <w:t>depression,</w:t>
      </w:r>
      <w:r w:rsidR="003A051E">
        <w:rPr>
          <w:lang w:val="en-US"/>
        </w:rPr>
        <w:t xml:space="preserve"> </w:t>
      </w:r>
      <w:r w:rsidR="003A051E" w:rsidRPr="00AC0A24">
        <w:rPr>
          <w:lang w:val="en-US"/>
        </w:rPr>
        <w:t>panic</w:t>
      </w:r>
      <w:r w:rsidR="003A051E">
        <w:rPr>
          <w:lang w:val="en-US"/>
        </w:rPr>
        <w:t xml:space="preserve"> </w:t>
      </w:r>
      <w:r w:rsidR="003A051E" w:rsidRPr="00AC0A24">
        <w:rPr>
          <w:lang w:val="en-US"/>
        </w:rPr>
        <w:t>disorder,</w:t>
      </w:r>
      <w:r w:rsidR="003A051E">
        <w:rPr>
          <w:lang w:val="en-US"/>
        </w:rPr>
        <w:t xml:space="preserve"> </w:t>
      </w:r>
      <w:r w:rsidR="003A051E" w:rsidRPr="00AC0A24">
        <w:rPr>
          <w:lang w:val="en-US"/>
        </w:rPr>
        <w:t>and</w:t>
      </w:r>
      <w:r w:rsidR="003A051E">
        <w:rPr>
          <w:lang w:val="en-US"/>
        </w:rPr>
        <w:t xml:space="preserve"> </w:t>
      </w:r>
      <w:r w:rsidR="003A051E" w:rsidRPr="00AC0A24">
        <w:rPr>
          <w:lang w:val="en-US"/>
        </w:rPr>
        <w:t>suicide</w:t>
      </w:r>
      <w:r w:rsidR="003A051E">
        <w:rPr>
          <w:lang w:val="en-US"/>
        </w:rPr>
        <w:t xml:space="preserve"> </w:t>
      </w:r>
      <w:r w:rsidR="003A051E" w:rsidRPr="00AC0A24">
        <w:rPr>
          <w:lang w:val="en-US"/>
        </w:rPr>
        <w:t>attempts</w:t>
      </w:r>
      <w:r w:rsidR="003A051E">
        <w:rPr>
          <w:lang w:val="en-US"/>
        </w:rPr>
        <w:t xml:space="preserve"> </w:t>
      </w:r>
      <w:r w:rsidR="003A051E" w:rsidRPr="00AC0A24">
        <w:rPr>
          <w:lang w:val="en-US"/>
        </w:rPr>
        <w:t>in</w:t>
      </w:r>
      <w:r w:rsidR="003A051E">
        <w:rPr>
          <w:lang w:val="en-US"/>
        </w:rPr>
        <w:t xml:space="preserve"> </w:t>
      </w:r>
      <w:r w:rsidR="003A051E" w:rsidRPr="00AC0A24">
        <w:rPr>
          <w:lang w:val="en-US"/>
        </w:rPr>
        <w:t>South</w:t>
      </w:r>
      <w:r w:rsidR="003A051E">
        <w:rPr>
          <w:lang w:val="en-US"/>
        </w:rPr>
        <w:t xml:space="preserve"> </w:t>
      </w:r>
      <w:r w:rsidR="003A051E" w:rsidRPr="00AC0A24">
        <w:rPr>
          <w:lang w:val="en-US"/>
        </w:rPr>
        <w:t>Korean</w:t>
      </w:r>
      <w:r w:rsidR="003A051E">
        <w:rPr>
          <w:lang w:val="en-US"/>
        </w:rPr>
        <w:t xml:space="preserve"> </w:t>
      </w:r>
      <w:r w:rsidR="003A051E" w:rsidRPr="00AC0A24">
        <w:rPr>
          <w:lang w:val="en-US"/>
        </w:rPr>
        <w:t>transgender</w:t>
      </w:r>
      <w:r w:rsidR="003A051E">
        <w:rPr>
          <w:lang w:val="en-US"/>
        </w:rPr>
        <w:t xml:space="preserve"> </w:t>
      </w:r>
      <w:r w:rsidR="003A051E" w:rsidRPr="00AC0A24">
        <w:rPr>
          <w:lang w:val="en-US"/>
        </w:rPr>
        <w:t>adults.</w:t>
      </w:r>
      <w:r w:rsidR="003A051E">
        <w:rPr>
          <w:lang w:val="en-US"/>
        </w:rPr>
        <w:t xml:space="preserve"> </w:t>
      </w:r>
      <w:r w:rsidR="003A051E" w:rsidRPr="00AC0A24">
        <w:rPr>
          <w:i/>
          <w:lang w:val="en-US"/>
        </w:rPr>
        <w:t>Transgender</w:t>
      </w:r>
      <w:r w:rsidR="003A051E">
        <w:rPr>
          <w:i/>
          <w:lang w:val="en-US"/>
        </w:rPr>
        <w:t xml:space="preserve"> </w:t>
      </w:r>
      <w:r w:rsidR="003A051E" w:rsidRPr="00AC0A24">
        <w:rPr>
          <w:i/>
          <w:lang w:val="en-US"/>
        </w:rPr>
        <w:t>Health,</w:t>
      </w:r>
      <w:r w:rsidR="003A051E">
        <w:rPr>
          <w:i/>
          <w:lang w:val="en-US"/>
        </w:rPr>
        <w:t xml:space="preserve"> </w:t>
      </w:r>
      <w:r w:rsidR="003A051E" w:rsidRPr="003A051E">
        <w:rPr>
          <w:i/>
          <w:iCs/>
          <w:lang w:val="en-US"/>
        </w:rPr>
        <w:t>8</w:t>
      </w:r>
      <w:r w:rsidR="003A051E" w:rsidRPr="003A051E">
        <w:rPr>
          <w:lang w:val="en-US"/>
        </w:rPr>
        <w:t>(3), 273–281</w:t>
      </w:r>
      <w:r w:rsidR="003A051E">
        <w:rPr>
          <w:lang w:val="en-US"/>
        </w:rPr>
        <w:t xml:space="preserve">; </w:t>
      </w:r>
      <w:r w:rsidR="003A051E">
        <w:t xml:space="preserve">Jones, T., Power, J., </w:t>
      </w:r>
      <w:r w:rsidR="003A051E" w:rsidRPr="00BB6220">
        <w:rPr>
          <w:lang w:val="en-US"/>
        </w:rPr>
        <w:t>Hill,</w:t>
      </w:r>
      <w:r w:rsidR="003A051E">
        <w:rPr>
          <w:lang w:val="en-US"/>
        </w:rPr>
        <w:t xml:space="preserve"> </w:t>
      </w:r>
      <w:r w:rsidR="003A051E" w:rsidRPr="00BB6220">
        <w:rPr>
          <w:lang w:val="en-US"/>
        </w:rPr>
        <w:t>A.,</w:t>
      </w:r>
      <w:r w:rsidR="003A051E">
        <w:rPr>
          <w:lang w:val="en-US"/>
        </w:rPr>
        <w:t xml:space="preserve"> </w:t>
      </w:r>
      <w:r w:rsidR="003A051E" w:rsidRPr="00BB6220">
        <w:rPr>
          <w:lang w:val="en-US"/>
        </w:rPr>
        <w:t>Despott,</w:t>
      </w:r>
      <w:r w:rsidR="003A051E">
        <w:rPr>
          <w:lang w:val="en-US"/>
        </w:rPr>
        <w:t xml:space="preserve"> </w:t>
      </w:r>
      <w:r w:rsidR="003A051E" w:rsidRPr="00BB6220">
        <w:rPr>
          <w:lang w:val="en-US"/>
        </w:rPr>
        <w:t>N.,</w:t>
      </w:r>
      <w:r w:rsidR="003A051E">
        <w:rPr>
          <w:lang w:val="en-US"/>
        </w:rPr>
        <w:t xml:space="preserve"> </w:t>
      </w:r>
      <w:r w:rsidR="003A051E" w:rsidRPr="00BB6220">
        <w:rPr>
          <w:lang w:val="en-US"/>
        </w:rPr>
        <w:t>Carman,</w:t>
      </w:r>
      <w:r w:rsidR="003A051E">
        <w:rPr>
          <w:lang w:val="en-US"/>
        </w:rPr>
        <w:t xml:space="preserve"> </w:t>
      </w:r>
      <w:r w:rsidR="003A051E" w:rsidRPr="00BB6220">
        <w:rPr>
          <w:lang w:val="en-US"/>
        </w:rPr>
        <w:t>M.,</w:t>
      </w:r>
      <w:r w:rsidR="003A051E">
        <w:rPr>
          <w:lang w:val="en-US"/>
        </w:rPr>
        <w:t xml:space="preserve"> </w:t>
      </w:r>
      <w:r w:rsidR="003A051E" w:rsidRPr="00BB6220">
        <w:rPr>
          <w:lang w:val="en-US"/>
        </w:rPr>
        <w:t>Jones,</w:t>
      </w:r>
      <w:r w:rsidR="003A051E">
        <w:rPr>
          <w:lang w:val="en-US"/>
        </w:rPr>
        <w:t xml:space="preserve"> </w:t>
      </w:r>
      <w:r w:rsidR="003A051E" w:rsidRPr="00BB6220">
        <w:rPr>
          <w:lang w:val="en-US"/>
        </w:rPr>
        <w:t>T.</w:t>
      </w:r>
      <w:r w:rsidR="003A051E">
        <w:rPr>
          <w:lang w:val="en-US"/>
        </w:rPr>
        <w:t xml:space="preserve"> </w:t>
      </w:r>
      <w:r w:rsidR="003A051E" w:rsidRPr="00BB6220">
        <w:rPr>
          <w:lang w:val="en-US"/>
        </w:rPr>
        <w:t>W.,</w:t>
      </w:r>
      <w:r w:rsidR="003A051E">
        <w:rPr>
          <w:lang w:val="en-US"/>
        </w:rPr>
        <w:t xml:space="preserve"> </w:t>
      </w:r>
      <w:r w:rsidR="003A051E" w:rsidRPr="00BB6220">
        <w:rPr>
          <w:lang w:val="en-US"/>
        </w:rPr>
        <w:t>Anderson,</w:t>
      </w:r>
      <w:r w:rsidR="003A051E">
        <w:rPr>
          <w:lang w:val="en-US"/>
        </w:rPr>
        <w:t xml:space="preserve"> </w:t>
      </w:r>
      <w:r w:rsidR="003A051E" w:rsidRPr="00BB6220">
        <w:rPr>
          <w:lang w:val="en-US"/>
        </w:rPr>
        <w:t>A.,</w:t>
      </w:r>
      <w:r w:rsidR="003A051E">
        <w:rPr>
          <w:lang w:val="en-US"/>
        </w:rPr>
        <w:t xml:space="preserve"> </w:t>
      </w:r>
      <w:r w:rsidR="003A051E" w:rsidRPr="00BB6220">
        <w:rPr>
          <w:lang w:val="en-US"/>
        </w:rPr>
        <w:t>&amp;</w:t>
      </w:r>
      <w:r w:rsidR="003A051E">
        <w:rPr>
          <w:lang w:val="en-US"/>
        </w:rPr>
        <w:t xml:space="preserve"> </w:t>
      </w:r>
      <w:r w:rsidR="003A051E" w:rsidRPr="00BB6220">
        <w:rPr>
          <w:lang w:val="en-US"/>
        </w:rPr>
        <w:t>Bourne,</w:t>
      </w:r>
      <w:r w:rsidR="003A051E">
        <w:rPr>
          <w:lang w:val="en-US"/>
        </w:rPr>
        <w:t xml:space="preserve"> </w:t>
      </w:r>
      <w:r w:rsidR="003A051E" w:rsidRPr="00BB6220">
        <w:rPr>
          <w:lang w:val="en-US"/>
        </w:rPr>
        <w:t>A.</w:t>
      </w:r>
      <w:r w:rsidR="003A051E">
        <w:t xml:space="preserve">. (2021b). Religious conversion practices and LGBTQA+ youth. </w:t>
      </w:r>
      <w:r w:rsidR="003A051E" w:rsidRPr="000A61D4">
        <w:rPr>
          <w:i/>
          <w:iCs/>
        </w:rPr>
        <w:t>Sexual</w:t>
      </w:r>
      <w:r w:rsidR="003A051E">
        <w:rPr>
          <w:i/>
          <w:iCs/>
        </w:rPr>
        <w:t xml:space="preserve">ity </w:t>
      </w:r>
      <w:r w:rsidR="003A051E" w:rsidRPr="000A61D4">
        <w:rPr>
          <w:i/>
          <w:iCs/>
        </w:rPr>
        <w:t>Research</w:t>
      </w:r>
      <w:r w:rsidR="003A051E">
        <w:rPr>
          <w:i/>
          <w:iCs/>
        </w:rPr>
        <w:t xml:space="preserve"> </w:t>
      </w:r>
      <w:r w:rsidR="003A051E" w:rsidRPr="000A61D4">
        <w:rPr>
          <w:i/>
          <w:iCs/>
        </w:rPr>
        <w:t>and</w:t>
      </w:r>
      <w:r w:rsidR="003A051E">
        <w:rPr>
          <w:i/>
          <w:iCs/>
        </w:rPr>
        <w:t xml:space="preserve"> </w:t>
      </w:r>
      <w:r w:rsidR="003A051E" w:rsidRPr="000A61D4">
        <w:rPr>
          <w:i/>
          <w:iCs/>
        </w:rPr>
        <w:t>Social</w:t>
      </w:r>
      <w:r w:rsidR="003A051E">
        <w:rPr>
          <w:i/>
          <w:iCs/>
        </w:rPr>
        <w:t xml:space="preserve"> </w:t>
      </w:r>
      <w:r w:rsidR="003A051E" w:rsidRPr="000A61D4">
        <w:rPr>
          <w:i/>
          <w:iCs/>
        </w:rPr>
        <w:t>Policy</w:t>
      </w:r>
      <w:r w:rsidR="003A051E">
        <w:t xml:space="preserve">, </w:t>
      </w:r>
      <w:r w:rsidR="003A051E">
        <w:rPr>
          <w:i/>
          <w:iCs/>
          <w:lang w:val="en-US"/>
        </w:rPr>
        <w:t>19</w:t>
      </w:r>
      <w:r w:rsidR="003A051E">
        <w:rPr>
          <w:lang w:val="en-US"/>
        </w:rPr>
        <w:t>, 1155–1164;</w:t>
      </w:r>
      <w:r w:rsidR="003A051E" w:rsidRPr="003A051E">
        <w:rPr>
          <w:lang w:val="mi-NZ"/>
        </w:rPr>
        <w:t xml:space="preserve"> </w:t>
      </w:r>
      <w:r w:rsidR="003A051E">
        <w:rPr>
          <w:lang w:val="mi-NZ"/>
        </w:rPr>
        <w:t>Ryan et al., 2020;</w:t>
      </w:r>
      <w:r w:rsidR="003A051E" w:rsidRPr="003A051E">
        <w:t xml:space="preserve"> </w:t>
      </w:r>
      <w:r w:rsidR="003A051E">
        <w:t>Flentje et al., 2014;</w:t>
      </w:r>
      <w:r w:rsidR="003A051E" w:rsidRPr="003A051E">
        <w:rPr>
          <w:lang w:val="mi-NZ"/>
        </w:rPr>
        <w:t xml:space="preserve"> </w:t>
      </w:r>
      <w:r w:rsidR="003A051E">
        <w:rPr>
          <w:lang w:val="mi-NZ"/>
        </w:rPr>
        <w:t>Jones, et al., 2021a.</w:t>
      </w:r>
    </w:p>
  </w:footnote>
  <w:footnote w:id="127">
    <w:p w14:paraId="25B02F09" w14:textId="1CD2CA0C" w:rsidR="00D527F0" w:rsidRPr="00774421" w:rsidRDefault="00D527F0" w:rsidP="00E00167">
      <w:pPr>
        <w:pStyle w:val="FootnoteText"/>
        <w:rPr>
          <w:lang w:val="mi-NZ"/>
        </w:rPr>
      </w:pPr>
      <w:r>
        <w:rPr>
          <w:rStyle w:val="FootnoteReference"/>
        </w:rPr>
        <w:footnoteRef/>
      </w:r>
      <w:r w:rsidR="003D640C">
        <w:t xml:space="preserve"> </w:t>
      </w:r>
      <w:r>
        <w:rPr>
          <w:lang w:val="mi-NZ"/>
        </w:rPr>
        <w:t>Jones</w:t>
      </w:r>
      <w:r w:rsidR="003D640C">
        <w:rPr>
          <w:lang w:val="mi-NZ"/>
        </w:rPr>
        <w:t xml:space="preserve"> </w:t>
      </w:r>
      <w:r>
        <w:rPr>
          <w:lang w:val="mi-NZ"/>
        </w:rPr>
        <w:t>et</w:t>
      </w:r>
      <w:r w:rsidR="003D640C">
        <w:rPr>
          <w:lang w:val="mi-NZ"/>
        </w:rPr>
        <w:t xml:space="preserve"> </w:t>
      </w:r>
      <w:r>
        <w:rPr>
          <w:lang w:val="mi-NZ"/>
        </w:rPr>
        <w:t>al.</w:t>
      </w:r>
      <w:r w:rsidR="003A051E">
        <w:rPr>
          <w:lang w:val="mi-NZ"/>
        </w:rPr>
        <w:t>,</w:t>
      </w:r>
      <w:r w:rsidR="003D640C">
        <w:rPr>
          <w:lang w:val="mi-NZ"/>
        </w:rPr>
        <w:t xml:space="preserve"> </w:t>
      </w:r>
      <w:r>
        <w:rPr>
          <w:lang w:val="mi-NZ"/>
        </w:rPr>
        <w:t>2021b</w:t>
      </w:r>
      <w:r w:rsidR="00E97B0B">
        <w:rPr>
          <w:lang w:val="mi-NZ"/>
        </w:rPr>
        <w:t>.</w:t>
      </w:r>
    </w:p>
  </w:footnote>
  <w:footnote w:id="128">
    <w:p w14:paraId="73092596" w14:textId="49E62AF8" w:rsidR="00D527F0" w:rsidRPr="00A94AA5" w:rsidRDefault="00D527F0" w:rsidP="00E00167">
      <w:pPr>
        <w:pStyle w:val="FootnoteText"/>
        <w:rPr>
          <w:lang w:val="mi-NZ"/>
        </w:rPr>
      </w:pPr>
      <w:r>
        <w:rPr>
          <w:rStyle w:val="FootnoteReference"/>
        </w:rPr>
        <w:footnoteRef/>
      </w:r>
      <w:r w:rsidR="003D640C">
        <w:t xml:space="preserve"> </w:t>
      </w:r>
      <w:r>
        <w:rPr>
          <w:lang w:val="mi-NZ"/>
        </w:rPr>
        <w:t>Power</w:t>
      </w:r>
      <w:r w:rsidR="003D640C">
        <w:rPr>
          <w:lang w:val="mi-NZ"/>
        </w:rPr>
        <w:t xml:space="preserve"> </w:t>
      </w:r>
      <w:r>
        <w:rPr>
          <w:lang w:val="mi-NZ"/>
        </w:rPr>
        <w:t>et</w:t>
      </w:r>
      <w:r w:rsidR="003D640C">
        <w:rPr>
          <w:lang w:val="mi-NZ"/>
        </w:rPr>
        <w:t xml:space="preserve"> </w:t>
      </w:r>
      <w:r>
        <w:rPr>
          <w:lang w:val="mi-NZ"/>
        </w:rPr>
        <w:t>al.</w:t>
      </w:r>
      <w:r w:rsidR="003A051E">
        <w:rPr>
          <w:lang w:val="mi-NZ"/>
        </w:rPr>
        <w:t>,</w:t>
      </w:r>
      <w:r w:rsidR="003D640C">
        <w:rPr>
          <w:lang w:val="mi-NZ"/>
        </w:rPr>
        <w:t xml:space="preserve"> </w:t>
      </w:r>
      <w:r>
        <w:rPr>
          <w:lang w:val="mi-NZ"/>
        </w:rPr>
        <w:t>2022</w:t>
      </w:r>
      <w:r w:rsidR="00E97B0B">
        <w:rPr>
          <w:lang w:val="mi-NZ"/>
        </w:rPr>
        <w:t>.</w:t>
      </w:r>
    </w:p>
  </w:footnote>
  <w:footnote w:id="129">
    <w:p w14:paraId="40F3E9F9" w14:textId="601BD193" w:rsidR="00D527F0" w:rsidRPr="00C21FBE" w:rsidRDefault="00D527F0" w:rsidP="00E00167">
      <w:pPr>
        <w:pStyle w:val="FootnoteText"/>
        <w:rPr>
          <w:lang w:val="mi-NZ"/>
        </w:rPr>
      </w:pPr>
      <w:r w:rsidRPr="00BE55A1">
        <w:rPr>
          <w:rStyle w:val="FootnoteReference"/>
        </w:rPr>
        <w:footnoteRef/>
      </w:r>
      <w:r w:rsidR="003D640C">
        <w:t xml:space="preserve"> </w:t>
      </w:r>
      <w:r w:rsidRPr="00BE55A1">
        <w:rPr>
          <w:lang w:val="mi-NZ"/>
        </w:rPr>
        <w:t>Przeworski</w:t>
      </w:r>
      <w:r w:rsidR="003D640C">
        <w:rPr>
          <w:lang w:val="mi-NZ"/>
        </w:rPr>
        <w:t xml:space="preserve"> </w:t>
      </w:r>
      <w:r w:rsidR="00DA48A8">
        <w:rPr>
          <w:lang w:val="mi-NZ"/>
        </w:rPr>
        <w:t>et</w:t>
      </w:r>
      <w:r w:rsidR="003D640C">
        <w:rPr>
          <w:lang w:val="mi-NZ"/>
        </w:rPr>
        <w:t xml:space="preserve"> </w:t>
      </w:r>
      <w:r w:rsidR="00DA48A8">
        <w:rPr>
          <w:lang w:val="mi-NZ"/>
        </w:rPr>
        <w:t>al.</w:t>
      </w:r>
      <w:r w:rsidR="008A3B23">
        <w:rPr>
          <w:lang w:val="mi-NZ"/>
        </w:rPr>
        <w:t>,</w:t>
      </w:r>
      <w:r w:rsidR="003D640C">
        <w:rPr>
          <w:lang w:val="mi-NZ"/>
        </w:rPr>
        <w:t xml:space="preserve"> </w:t>
      </w:r>
      <w:r w:rsidRPr="00BE55A1">
        <w:rPr>
          <w:lang w:val="mi-NZ"/>
        </w:rPr>
        <w:t>202</w:t>
      </w:r>
      <w:r w:rsidR="008A3B23">
        <w:rPr>
          <w:lang w:val="mi-NZ"/>
        </w:rPr>
        <w:t>1</w:t>
      </w:r>
      <w:r w:rsidR="003A051E">
        <w:rPr>
          <w:lang w:val="mi-NZ"/>
        </w:rPr>
        <w:t>;</w:t>
      </w:r>
      <w:r w:rsidR="0054291F" w:rsidRPr="0054291F">
        <w:t xml:space="preserve"> </w:t>
      </w:r>
      <w:r w:rsidR="0054291F">
        <w:t>Veale et al., 2022;</w:t>
      </w:r>
      <w:r w:rsidR="0054291F" w:rsidRPr="0054291F">
        <w:t xml:space="preserve"> </w:t>
      </w:r>
      <w:r w:rsidR="0054291F">
        <w:t>Fenaughty et al., 2023;</w:t>
      </w:r>
      <w:r w:rsidR="0054291F" w:rsidRPr="0054291F">
        <w:rPr>
          <w:lang w:val="mi-NZ"/>
        </w:rPr>
        <w:t xml:space="preserve"> </w:t>
      </w:r>
      <w:r w:rsidR="0054291F" w:rsidRPr="00BE55A1">
        <w:rPr>
          <w:lang w:val="mi-NZ"/>
        </w:rPr>
        <w:t>Jones</w:t>
      </w:r>
      <w:r w:rsidR="0054291F">
        <w:rPr>
          <w:lang w:val="mi-NZ"/>
        </w:rPr>
        <w:t xml:space="preserve"> </w:t>
      </w:r>
      <w:r w:rsidR="0054291F" w:rsidRPr="00BE55A1">
        <w:rPr>
          <w:lang w:val="mi-NZ"/>
        </w:rPr>
        <w:t>et</w:t>
      </w:r>
      <w:r w:rsidR="0054291F">
        <w:rPr>
          <w:lang w:val="mi-NZ"/>
        </w:rPr>
        <w:t xml:space="preserve"> </w:t>
      </w:r>
      <w:r w:rsidR="0054291F" w:rsidRPr="00BE55A1">
        <w:rPr>
          <w:lang w:val="mi-NZ"/>
        </w:rPr>
        <w:t>al.</w:t>
      </w:r>
      <w:r w:rsidR="0054291F">
        <w:rPr>
          <w:lang w:val="mi-NZ"/>
        </w:rPr>
        <w:t xml:space="preserve">, </w:t>
      </w:r>
      <w:r w:rsidR="0054291F" w:rsidRPr="00BE55A1">
        <w:rPr>
          <w:lang w:val="mi-NZ"/>
        </w:rPr>
        <w:t>2018</w:t>
      </w:r>
      <w:r w:rsidR="0054291F">
        <w:rPr>
          <w:lang w:val="mi-NZ"/>
        </w:rPr>
        <w:t>, 2021b;</w:t>
      </w:r>
      <w:r w:rsidR="0054291F" w:rsidRPr="0054291F">
        <w:rPr>
          <w:lang w:val="mi-NZ"/>
        </w:rPr>
        <w:t xml:space="preserve"> </w:t>
      </w:r>
      <w:r w:rsidR="0054291F" w:rsidRPr="00D22223">
        <w:rPr>
          <w:lang w:val="mi-NZ"/>
        </w:rPr>
        <w:t>Transgender</w:t>
      </w:r>
      <w:r w:rsidR="0054291F">
        <w:rPr>
          <w:lang w:val="mi-NZ"/>
        </w:rPr>
        <w:t xml:space="preserve"> Health </w:t>
      </w:r>
      <w:r w:rsidR="0054291F" w:rsidRPr="00D22223">
        <w:rPr>
          <w:lang w:val="mi-NZ"/>
        </w:rPr>
        <w:t>Research</w:t>
      </w:r>
      <w:r w:rsidR="0054291F">
        <w:rPr>
          <w:lang w:val="mi-NZ"/>
        </w:rPr>
        <w:t xml:space="preserve"> </w:t>
      </w:r>
      <w:r w:rsidR="0054291F" w:rsidRPr="00D22223">
        <w:rPr>
          <w:lang w:val="mi-NZ"/>
        </w:rPr>
        <w:t>Lab</w:t>
      </w:r>
      <w:r w:rsidR="0054291F">
        <w:rPr>
          <w:lang w:val="mi-NZ"/>
        </w:rPr>
        <w:t xml:space="preserve">. </w:t>
      </w:r>
      <w:r w:rsidR="0054291F" w:rsidRPr="00D22223">
        <w:rPr>
          <w:lang w:val="mi-NZ"/>
        </w:rPr>
        <w:t>(</w:t>
      </w:r>
      <w:r w:rsidR="0054291F">
        <w:rPr>
          <w:lang w:val="mi-NZ"/>
        </w:rPr>
        <w:t>2022</w:t>
      </w:r>
      <w:r w:rsidR="0054291F" w:rsidRPr="00D22223">
        <w:rPr>
          <w:lang w:val="mi-NZ"/>
        </w:rPr>
        <w:t>).</w:t>
      </w:r>
      <w:r w:rsidR="0054291F">
        <w:rPr>
          <w:lang w:val="mi-NZ"/>
        </w:rPr>
        <w:t xml:space="preserve"> </w:t>
      </w:r>
      <w:r w:rsidR="0054291F" w:rsidRPr="007B139B">
        <w:rPr>
          <w:i/>
          <w:iCs/>
          <w:lang w:val="mi-NZ"/>
        </w:rPr>
        <w:t>What Counting Ourselves tells us about conversion practices</w:t>
      </w:r>
      <w:r w:rsidR="0054291F">
        <w:rPr>
          <w:lang w:val="mi-NZ"/>
        </w:rPr>
        <w:t xml:space="preserve">; </w:t>
      </w:r>
      <w:r w:rsidR="0054291F" w:rsidRPr="00BE55A1">
        <w:t>Asia</w:t>
      </w:r>
      <w:r w:rsidR="0054291F">
        <w:t xml:space="preserve"> </w:t>
      </w:r>
      <w:r w:rsidR="0054291F" w:rsidRPr="00BE55A1">
        <w:t>Pacific</w:t>
      </w:r>
      <w:r w:rsidR="0054291F">
        <w:t xml:space="preserve"> </w:t>
      </w:r>
      <w:r w:rsidR="0054291F" w:rsidRPr="00BE55A1">
        <w:t>Transgender</w:t>
      </w:r>
      <w:r w:rsidR="0054291F">
        <w:t xml:space="preserve"> </w:t>
      </w:r>
      <w:r w:rsidR="0054291F" w:rsidRPr="00BE55A1">
        <w:t>Network</w:t>
      </w:r>
      <w:r w:rsidR="0054291F">
        <w:t xml:space="preserve">, </w:t>
      </w:r>
      <w:r w:rsidR="0054291F" w:rsidRPr="00BE55A1">
        <w:t>2021</w:t>
      </w:r>
      <w:r w:rsidR="0054291F">
        <w:t>.</w:t>
      </w:r>
    </w:p>
  </w:footnote>
  <w:footnote w:id="130">
    <w:p w14:paraId="1045E7C7" w14:textId="7618A9C6" w:rsidR="00D527F0" w:rsidRPr="00707A4D" w:rsidRDefault="00D527F0" w:rsidP="00E00167">
      <w:pPr>
        <w:pStyle w:val="FootnoteText"/>
        <w:rPr>
          <w:lang w:val="mi-NZ"/>
        </w:rPr>
      </w:pPr>
      <w:r>
        <w:rPr>
          <w:rStyle w:val="FootnoteReference"/>
        </w:rPr>
        <w:footnoteRef/>
      </w:r>
      <w:r w:rsidR="003D640C">
        <w:t xml:space="preserve"> </w:t>
      </w:r>
      <w:r>
        <w:rPr>
          <w:lang w:val="mi-NZ"/>
        </w:rPr>
        <w:t>Jones</w:t>
      </w:r>
      <w:r w:rsidR="003D640C">
        <w:rPr>
          <w:lang w:val="mi-NZ"/>
        </w:rPr>
        <w:t xml:space="preserve"> </w:t>
      </w:r>
      <w:r>
        <w:rPr>
          <w:lang w:val="mi-NZ"/>
        </w:rPr>
        <w:t>et</w:t>
      </w:r>
      <w:r w:rsidR="003D640C">
        <w:rPr>
          <w:lang w:val="mi-NZ"/>
        </w:rPr>
        <w:t xml:space="preserve"> </w:t>
      </w:r>
      <w:r>
        <w:rPr>
          <w:lang w:val="mi-NZ"/>
        </w:rPr>
        <w:t>al.</w:t>
      </w:r>
      <w:r w:rsidR="00303F25">
        <w:rPr>
          <w:lang w:val="mi-NZ"/>
        </w:rPr>
        <w:t>,</w:t>
      </w:r>
      <w:r w:rsidR="003D640C">
        <w:rPr>
          <w:lang w:val="mi-NZ"/>
        </w:rPr>
        <w:t xml:space="preserve"> </w:t>
      </w:r>
      <w:r w:rsidR="00303F25">
        <w:t xml:space="preserve">2018, </w:t>
      </w:r>
      <w:r w:rsidR="00303F25">
        <w:rPr>
          <w:lang w:val="mi-NZ"/>
        </w:rPr>
        <w:t>2021a,</w:t>
      </w:r>
      <w:r w:rsidR="00303F25" w:rsidDel="00303F25">
        <w:rPr>
          <w:lang w:val="mi-NZ"/>
        </w:rPr>
        <w:t xml:space="preserve"> </w:t>
      </w:r>
      <w:r>
        <w:rPr>
          <w:lang w:val="mi-NZ"/>
        </w:rPr>
        <w:t>2021b</w:t>
      </w:r>
      <w:r w:rsidR="00303F25">
        <w:rPr>
          <w:lang w:val="mi-NZ"/>
        </w:rPr>
        <w:t>;</w:t>
      </w:r>
      <w:r w:rsidR="005C0E11" w:rsidRPr="005C0E11">
        <w:rPr>
          <w:lang w:val="mi-NZ"/>
        </w:rPr>
        <w:t xml:space="preserve"> </w:t>
      </w:r>
      <w:r w:rsidR="005C0E11">
        <w:rPr>
          <w:lang w:val="mi-NZ"/>
        </w:rPr>
        <w:t>Ryan et al., 2020;</w:t>
      </w:r>
      <w:r w:rsidR="005C0E11" w:rsidRPr="005C0E11">
        <w:rPr>
          <w:lang w:val="mi-NZ"/>
        </w:rPr>
        <w:t xml:space="preserve"> </w:t>
      </w:r>
      <w:r w:rsidR="005C0E11" w:rsidRPr="001C2646">
        <w:rPr>
          <w:lang w:val="mi-NZ"/>
        </w:rPr>
        <w:t>Turban</w:t>
      </w:r>
      <w:r w:rsidR="005C0E11">
        <w:rPr>
          <w:lang w:val="mi-NZ"/>
        </w:rPr>
        <w:t xml:space="preserve">, J., Beckwith, N., Reisner, S., &amp; Keuroghlian, A. (2020). Association between recalled exposure to gender identity conversion efforts and psychological distress and suicide attempts among transgender adults. </w:t>
      </w:r>
      <w:r w:rsidR="005C0E11" w:rsidRPr="00F65D59">
        <w:rPr>
          <w:i/>
          <w:iCs/>
          <w:lang w:val="mi-NZ"/>
        </w:rPr>
        <w:t>JAMA</w:t>
      </w:r>
      <w:r w:rsidR="005C0E11">
        <w:rPr>
          <w:i/>
          <w:iCs/>
          <w:lang w:val="mi-NZ"/>
        </w:rPr>
        <w:t xml:space="preserve"> </w:t>
      </w:r>
      <w:r w:rsidR="005C0E11" w:rsidRPr="00F65D59">
        <w:rPr>
          <w:i/>
          <w:iCs/>
          <w:lang w:val="mi-NZ"/>
        </w:rPr>
        <w:t>Psychiatry</w:t>
      </w:r>
      <w:r w:rsidR="005C0E11">
        <w:rPr>
          <w:lang w:val="mi-NZ"/>
        </w:rPr>
        <w:t xml:space="preserve">, </w:t>
      </w:r>
      <w:r w:rsidR="005C0E11" w:rsidRPr="007B139B">
        <w:rPr>
          <w:i/>
          <w:iCs/>
          <w:lang w:val="mi-NZ"/>
        </w:rPr>
        <w:t>77</w:t>
      </w:r>
      <w:r w:rsidR="005C0E11">
        <w:rPr>
          <w:lang w:val="mi-NZ"/>
        </w:rPr>
        <w:t xml:space="preserve">(1), 68–76; </w:t>
      </w:r>
      <w:r w:rsidR="005C0E11">
        <w:t>Asia Pacific Transgender Network, 2021;</w:t>
      </w:r>
      <w:r w:rsidR="005C0E11" w:rsidRPr="005C0E11">
        <w:rPr>
          <w:lang w:val="mi-NZ"/>
        </w:rPr>
        <w:t xml:space="preserve"> </w:t>
      </w:r>
      <w:r w:rsidR="005C0E11">
        <w:rPr>
          <w:lang w:val="mi-NZ"/>
        </w:rPr>
        <w:t xml:space="preserve">Green, A. E., Price-Feeney, M., Dorison, S. H., &amp; Pick, C. J. (2020). Self-reported conversion efforts and suicidality among US LGBTQ youths and young adults, 2018. </w:t>
      </w:r>
      <w:r w:rsidR="005C0E11" w:rsidRPr="00F65D59">
        <w:rPr>
          <w:i/>
          <w:iCs/>
          <w:lang w:val="mi-NZ"/>
        </w:rPr>
        <w:t>American</w:t>
      </w:r>
      <w:r w:rsidR="005C0E11">
        <w:rPr>
          <w:i/>
          <w:iCs/>
          <w:lang w:val="mi-NZ"/>
        </w:rPr>
        <w:t xml:space="preserve"> </w:t>
      </w:r>
      <w:r w:rsidR="005C0E11" w:rsidRPr="00F65D59">
        <w:rPr>
          <w:i/>
          <w:iCs/>
          <w:lang w:val="mi-NZ"/>
        </w:rPr>
        <w:t>Journal</w:t>
      </w:r>
      <w:r w:rsidR="005C0E11">
        <w:rPr>
          <w:i/>
          <w:iCs/>
          <w:lang w:val="mi-NZ"/>
        </w:rPr>
        <w:t xml:space="preserve"> </w:t>
      </w:r>
      <w:r w:rsidR="005C0E11" w:rsidRPr="00F65D59">
        <w:rPr>
          <w:i/>
          <w:iCs/>
          <w:lang w:val="mi-NZ"/>
        </w:rPr>
        <w:t>of</w:t>
      </w:r>
      <w:r w:rsidR="005C0E11">
        <w:rPr>
          <w:i/>
          <w:iCs/>
          <w:lang w:val="mi-NZ"/>
        </w:rPr>
        <w:t xml:space="preserve"> </w:t>
      </w:r>
      <w:r w:rsidR="005C0E11" w:rsidRPr="00F65D59">
        <w:rPr>
          <w:i/>
          <w:iCs/>
          <w:lang w:val="mi-NZ"/>
        </w:rPr>
        <w:t>Public</w:t>
      </w:r>
      <w:r w:rsidR="005C0E11">
        <w:rPr>
          <w:i/>
          <w:iCs/>
          <w:lang w:val="mi-NZ"/>
        </w:rPr>
        <w:t xml:space="preserve"> </w:t>
      </w:r>
      <w:r w:rsidR="005C0E11" w:rsidRPr="00F65D59">
        <w:rPr>
          <w:i/>
          <w:iCs/>
          <w:lang w:val="mi-NZ"/>
        </w:rPr>
        <w:t>Health,</w:t>
      </w:r>
      <w:r w:rsidR="005C0E11">
        <w:rPr>
          <w:lang w:val="mi-NZ"/>
        </w:rPr>
        <w:t xml:space="preserve"> </w:t>
      </w:r>
      <w:r w:rsidR="005C0E11" w:rsidRPr="007B139B">
        <w:rPr>
          <w:i/>
          <w:iCs/>
          <w:lang w:val="mi-NZ"/>
        </w:rPr>
        <w:t>110</w:t>
      </w:r>
      <w:r w:rsidR="005C0E11">
        <w:rPr>
          <w:lang w:val="mi-NZ"/>
        </w:rPr>
        <w:t>(8), 1221–1227; Higbee et al., 2022;</w:t>
      </w:r>
      <w:r w:rsidR="005C0E11" w:rsidRPr="005C0E11">
        <w:rPr>
          <w:lang w:val="mi-NZ"/>
        </w:rPr>
        <w:t xml:space="preserve"> </w:t>
      </w:r>
      <w:r w:rsidR="005C0E11">
        <w:rPr>
          <w:lang w:val="mi-NZ"/>
        </w:rPr>
        <w:t>Chan et al., 2022;</w:t>
      </w:r>
      <w:r w:rsidR="005C0E11" w:rsidRPr="005C0E11">
        <w:rPr>
          <w:lang w:val="mi-NZ"/>
        </w:rPr>
        <w:t xml:space="preserve"> </w:t>
      </w:r>
      <w:r w:rsidR="005C0E11">
        <w:rPr>
          <w:lang w:val="mi-NZ"/>
        </w:rPr>
        <w:t>Power et al., 2022;</w:t>
      </w:r>
      <w:r w:rsidR="005C0E11" w:rsidRPr="005C0E11">
        <w:rPr>
          <w:lang w:val="mi-NZ"/>
        </w:rPr>
        <w:t xml:space="preserve"> </w:t>
      </w:r>
      <w:r w:rsidR="005C0E11">
        <w:rPr>
          <w:lang w:val="mi-NZ"/>
        </w:rPr>
        <w:t>Przeworski et al., 2021;</w:t>
      </w:r>
      <w:r w:rsidR="005C0E11" w:rsidRPr="005C0E11">
        <w:t xml:space="preserve"> </w:t>
      </w:r>
      <w:r w:rsidR="005C0E11">
        <w:t>Veale et al., 2022;</w:t>
      </w:r>
      <w:r w:rsidR="005C0E11" w:rsidRPr="005C0E11">
        <w:t xml:space="preserve"> </w:t>
      </w:r>
      <w:r w:rsidR="005C0E11">
        <w:t xml:space="preserve">Fenaughty et al., 2023; </w:t>
      </w:r>
      <w:r w:rsidR="005C0E11">
        <w:rPr>
          <w:lang w:val="mi-NZ"/>
        </w:rPr>
        <w:t xml:space="preserve">Blosnich, J. R., Henderson, E. R., Coulter, R. W. S., Goldbach, J. T. &amp; Meyer, I. H. (2020). Sexual orientation change efforts, adverse childhood experiences, and suicide ideation and attempt among sexual minority adults, United States, 2016–2018. </w:t>
      </w:r>
      <w:r w:rsidR="005C0E11" w:rsidRPr="00F65D59">
        <w:rPr>
          <w:i/>
          <w:iCs/>
          <w:lang w:val="mi-NZ"/>
        </w:rPr>
        <w:t>American</w:t>
      </w:r>
      <w:r w:rsidR="005C0E11">
        <w:rPr>
          <w:i/>
          <w:iCs/>
          <w:lang w:val="mi-NZ"/>
        </w:rPr>
        <w:t xml:space="preserve"> </w:t>
      </w:r>
      <w:r w:rsidR="005C0E11" w:rsidRPr="00F65D59">
        <w:rPr>
          <w:i/>
          <w:iCs/>
          <w:lang w:val="mi-NZ"/>
        </w:rPr>
        <w:t>Journal</w:t>
      </w:r>
      <w:r w:rsidR="005C0E11">
        <w:rPr>
          <w:i/>
          <w:iCs/>
          <w:lang w:val="mi-NZ"/>
        </w:rPr>
        <w:t xml:space="preserve"> </w:t>
      </w:r>
      <w:r w:rsidR="005C0E11" w:rsidRPr="00F65D59">
        <w:rPr>
          <w:i/>
          <w:iCs/>
          <w:lang w:val="mi-NZ"/>
        </w:rPr>
        <w:t>of</w:t>
      </w:r>
      <w:r w:rsidR="005C0E11">
        <w:rPr>
          <w:i/>
          <w:iCs/>
          <w:lang w:val="mi-NZ"/>
        </w:rPr>
        <w:t xml:space="preserve"> </w:t>
      </w:r>
      <w:r w:rsidR="005C0E11" w:rsidRPr="00F65D59">
        <w:rPr>
          <w:i/>
          <w:iCs/>
          <w:lang w:val="mi-NZ"/>
        </w:rPr>
        <w:t>Public</w:t>
      </w:r>
      <w:r w:rsidR="005C0E11">
        <w:rPr>
          <w:i/>
          <w:iCs/>
          <w:lang w:val="mi-NZ"/>
        </w:rPr>
        <w:t xml:space="preserve"> </w:t>
      </w:r>
      <w:r w:rsidR="005C0E11" w:rsidRPr="00F65D59">
        <w:rPr>
          <w:i/>
          <w:iCs/>
          <w:lang w:val="mi-NZ"/>
        </w:rPr>
        <w:t>Health,</w:t>
      </w:r>
      <w:r w:rsidR="005C0E11">
        <w:rPr>
          <w:lang w:val="mi-NZ"/>
        </w:rPr>
        <w:t xml:space="preserve"> </w:t>
      </w:r>
      <w:r w:rsidR="005C0E11" w:rsidRPr="007B139B">
        <w:rPr>
          <w:i/>
          <w:iCs/>
          <w:lang w:val="mi-NZ"/>
        </w:rPr>
        <w:t>110</w:t>
      </w:r>
      <w:r w:rsidR="005C0E11">
        <w:rPr>
          <w:lang w:val="mi-NZ"/>
        </w:rPr>
        <w:t xml:space="preserve">(7), 1024–1030; </w:t>
      </w:r>
      <w:r w:rsidR="005C0E11" w:rsidRPr="00BE55A1">
        <w:rPr>
          <w:lang w:val="mi-NZ"/>
        </w:rPr>
        <w:t>Transgender</w:t>
      </w:r>
      <w:r w:rsidR="005C0E11">
        <w:rPr>
          <w:lang w:val="mi-NZ"/>
        </w:rPr>
        <w:t xml:space="preserve"> </w:t>
      </w:r>
      <w:r w:rsidR="005C0E11" w:rsidRPr="00BE55A1">
        <w:rPr>
          <w:lang w:val="mi-NZ"/>
        </w:rPr>
        <w:t>Health</w:t>
      </w:r>
      <w:r w:rsidR="005C0E11">
        <w:rPr>
          <w:lang w:val="mi-NZ"/>
        </w:rPr>
        <w:t xml:space="preserve"> </w:t>
      </w:r>
      <w:r w:rsidR="005C0E11" w:rsidRPr="00BE55A1">
        <w:rPr>
          <w:lang w:val="mi-NZ"/>
        </w:rPr>
        <w:t>Research</w:t>
      </w:r>
      <w:r w:rsidR="005C0E11">
        <w:rPr>
          <w:lang w:val="mi-NZ"/>
        </w:rPr>
        <w:t xml:space="preserve"> </w:t>
      </w:r>
      <w:r w:rsidR="005C0E11" w:rsidRPr="00BE55A1">
        <w:rPr>
          <w:lang w:val="mi-NZ"/>
        </w:rPr>
        <w:t>Lab</w:t>
      </w:r>
      <w:r w:rsidR="005C0E11">
        <w:rPr>
          <w:lang w:val="mi-NZ"/>
        </w:rPr>
        <w:t>, 2022</w:t>
      </w:r>
      <w:r w:rsidR="005C0E11" w:rsidRPr="00BE55A1">
        <w:rPr>
          <w:lang w:val="mi-NZ"/>
        </w:rPr>
        <w:t>.</w:t>
      </w:r>
    </w:p>
  </w:footnote>
  <w:footnote w:id="131">
    <w:p w14:paraId="5FEB1D33" w14:textId="15B3245B" w:rsidR="00D527F0" w:rsidRPr="00C21FBE" w:rsidRDefault="00D527F0" w:rsidP="00E00167">
      <w:pPr>
        <w:pStyle w:val="FootnoteText"/>
        <w:rPr>
          <w:lang w:val="mi-NZ"/>
        </w:rPr>
      </w:pPr>
      <w:r>
        <w:rPr>
          <w:rStyle w:val="FootnoteReference"/>
        </w:rPr>
        <w:footnoteRef/>
      </w:r>
      <w:r w:rsidR="003D640C">
        <w:t xml:space="preserve"> </w:t>
      </w:r>
      <w:r>
        <w:rPr>
          <w:lang w:val="mi-NZ"/>
        </w:rPr>
        <w:t>Power</w:t>
      </w:r>
      <w:r w:rsidR="003D640C">
        <w:rPr>
          <w:lang w:val="mi-NZ"/>
        </w:rPr>
        <w:t xml:space="preserve"> </w:t>
      </w:r>
      <w:r>
        <w:rPr>
          <w:lang w:val="mi-NZ"/>
        </w:rPr>
        <w:t>et</w:t>
      </w:r>
      <w:r w:rsidR="003D640C">
        <w:rPr>
          <w:lang w:val="mi-NZ"/>
        </w:rPr>
        <w:t xml:space="preserve"> </w:t>
      </w:r>
      <w:r>
        <w:rPr>
          <w:lang w:val="mi-NZ"/>
        </w:rPr>
        <w:t>al.</w:t>
      </w:r>
      <w:r w:rsidR="005C0E11">
        <w:rPr>
          <w:lang w:val="mi-NZ"/>
        </w:rPr>
        <w:t>,</w:t>
      </w:r>
      <w:r w:rsidR="003D640C">
        <w:rPr>
          <w:lang w:val="mi-NZ"/>
        </w:rPr>
        <w:t xml:space="preserve"> </w:t>
      </w:r>
      <w:r>
        <w:rPr>
          <w:lang w:val="mi-NZ"/>
        </w:rPr>
        <w:t>2022</w:t>
      </w:r>
      <w:r w:rsidR="005C0E11">
        <w:rPr>
          <w:lang w:val="mi-NZ"/>
        </w:rPr>
        <w:t>;</w:t>
      </w:r>
      <w:r w:rsidR="005C0E11" w:rsidRPr="005C0E11">
        <w:t xml:space="preserve"> </w:t>
      </w:r>
      <w:r w:rsidR="005C0E11">
        <w:t xml:space="preserve">Fenaughty et al., 2023; </w:t>
      </w:r>
      <w:r w:rsidR="005C0E11">
        <w:rPr>
          <w:lang w:val="mi-NZ"/>
        </w:rPr>
        <w:t xml:space="preserve">Jones, et al., 2021a, 2021b, 2022a; </w:t>
      </w:r>
      <w:r w:rsidR="005C0E11">
        <w:t>Asia Pacific Transgender Network, 2021.</w:t>
      </w:r>
    </w:p>
  </w:footnote>
  <w:footnote w:id="132">
    <w:p w14:paraId="02828C24" w14:textId="44CF53DD" w:rsidR="00D527F0" w:rsidRPr="0005621D" w:rsidRDefault="00D527F0" w:rsidP="00E00167">
      <w:pPr>
        <w:pStyle w:val="FootnoteText"/>
        <w:rPr>
          <w:lang w:val="mi-NZ"/>
        </w:rPr>
      </w:pPr>
      <w:r>
        <w:rPr>
          <w:rStyle w:val="FootnoteReference"/>
        </w:rPr>
        <w:footnoteRef/>
      </w:r>
      <w:r w:rsidR="003D640C">
        <w:t xml:space="preserve"> </w:t>
      </w:r>
      <w:r>
        <w:rPr>
          <w:lang w:val="mi-NZ"/>
        </w:rPr>
        <w:t>Ryan</w:t>
      </w:r>
      <w:r w:rsidR="003D640C">
        <w:rPr>
          <w:lang w:val="mi-NZ"/>
        </w:rPr>
        <w:t xml:space="preserve"> </w:t>
      </w:r>
      <w:r>
        <w:rPr>
          <w:lang w:val="mi-NZ"/>
        </w:rPr>
        <w:t>et</w:t>
      </w:r>
      <w:r w:rsidR="003D640C">
        <w:rPr>
          <w:lang w:val="mi-NZ"/>
        </w:rPr>
        <w:t xml:space="preserve"> </w:t>
      </w:r>
      <w:r>
        <w:rPr>
          <w:lang w:val="mi-NZ"/>
        </w:rPr>
        <w:t>al.</w:t>
      </w:r>
      <w:r w:rsidR="003A051E">
        <w:rPr>
          <w:lang w:val="mi-NZ"/>
        </w:rPr>
        <w:t>,</w:t>
      </w:r>
      <w:r w:rsidR="003D640C">
        <w:rPr>
          <w:lang w:val="mi-NZ"/>
        </w:rPr>
        <w:t xml:space="preserve"> </w:t>
      </w:r>
      <w:r>
        <w:rPr>
          <w:lang w:val="mi-NZ"/>
        </w:rPr>
        <w:t>2020</w:t>
      </w:r>
      <w:r w:rsidR="005C0E11">
        <w:rPr>
          <w:lang w:val="mi-NZ"/>
        </w:rPr>
        <w:t>;</w:t>
      </w:r>
      <w:r w:rsidR="005C0E11" w:rsidRPr="005C0E11">
        <w:rPr>
          <w:lang w:val="mi-NZ"/>
        </w:rPr>
        <w:t xml:space="preserve"> </w:t>
      </w:r>
      <w:r w:rsidR="005C0E11">
        <w:rPr>
          <w:lang w:val="mi-NZ"/>
        </w:rPr>
        <w:t>Salway et al, 2021;</w:t>
      </w:r>
      <w:r w:rsidR="005C0E11" w:rsidRPr="005C0E11">
        <w:t xml:space="preserve"> </w:t>
      </w:r>
      <w:r w:rsidR="005C0E11">
        <w:t>Asia Pacific Transgender Network, 2021.</w:t>
      </w:r>
    </w:p>
  </w:footnote>
  <w:footnote w:id="133">
    <w:p w14:paraId="4756676D" w14:textId="5444811E" w:rsidR="00D527F0" w:rsidRPr="00155858" w:rsidRDefault="00D527F0" w:rsidP="00E00167">
      <w:pPr>
        <w:pStyle w:val="FootnoteText"/>
        <w:rPr>
          <w:lang w:val="mi-NZ"/>
        </w:rPr>
      </w:pPr>
      <w:r>
        <w:rPr>
          <w:rStyle w:val="FootnoteReference"/>
        </w:rPr>
        <w:footnoteRef/>
      </w:r>
      <w:r w:rsidR="003D640C">
        <w:t xml:space="preserve"> </w:t>
      </w:r>
      <w:r>
        <w:t>Asia</w:t>
      </w:r>
      <w:r w:rsidR="003D640C">
        <w:t xml:space="preserve"> </w:t>
      </w:r>
      <w:r>
        <w:t>Pacific</w:t>
      </w:r>
      <w:r w:rsidR="003D640C">
        <w:t xml:space="preserve"> </w:t>
      </w:r>
      <w:r>
        <w:t>Transgender</w:t>
      </w:r>
      <w:r w:rsidR="003D640C">
        <w:t xml:space="preserve"> </w:t>
      </w:r>
      <w:r>
        <w:t>Network</w:t>
      </w:r>
      <w:r w:rsidR="003A051E">
        <w:t>,</w:t>
      </w:r>
      <w:r w:rsidR="003D640C">
        <w:t xml:space="preserve"> </w:t>
      </w:r>
      <w:r>
        <w:t>2021</w:t>
      </w:r>
      <w:r w:rsidR="00C07E29">
        <w:t>.</w:t>
      </w:r>
      <w:r w:rsidR="003D640C">
        <w:t xml:space="preserve"> </w:t>
      </w:r>
    </w:p>
  </w:footnote>
  <w:footnote w:id="134">
    <w:p w14:paraId="2DD08DED" w14:textId="7CE5A714" w:rsidR="00D527F0" w:rsidRPr="00155858" w:rsidRDefault="00D527F0" w:rsidP="00E00167">
      <w:pPr>
        <w:pStyle w:val="FootnoteText"/>
        <w:rPr>
          <w:lang w:val="mi-NZ"/>
        </w:rPr>
      </w:pPr>
      <w:r>
        <w:rPr>
          <w:rStyle w:val="FootnoteReference"/>
        </w:rPr>
        <w:footnoteRef/>
      </w:r>
      <w:r w:rsidR="003D640C">
        <w:t xml:space="preserve"> </w:t>
      </w:r>
      <w:r w:rsidR="005C0E11">
        <w:t>Ibid</w:t>
      </w:r>
      <w:r w:rsidR="00CB4FDF">
        <w:t>.</w:t>
      </w:r>
      <w:r w:rsidR="003D640C">
        <w:t xml:space="preserve"> </w:t>
      </w:r>
    </w:p>
  </w:footnote>
  <w:footnote w:id="135">
    <w:p w14:paraId="2A9C3313" w14:textId="7FEE293A" w:rsidR="001B7E4B" w:rsidRPr="002D4001" w:rsidRDefault="001B7E4B" w:rsidP="00E00167">
      <w:pPr>
        <w:pStyle w:val="FootnoteText"/>
        <w:rPr>
          <w:lang w:val="mi-NZ"/>
        </w:rPr>
      </w:pPr>
      <w:r>
        <w:rPr>
          <w:rStyle w:val="FootnoteReference"/>
        </w:rPr>
        <w:footnoteRef/>
      </w:r>
      <w:r w:rsidR="003D640C">
        <w:t xml:space="preserve"> </w:t>
      </w:r>
      <w:r>
        <w:t>Veale</w:t>
      </w:r>
      <w:r w:rsidR="003D640C">
        <w:t xml:space="preserve"> </w:t>
      </w:r>
      <w:r w:rsidR="008C1509">
        <w:t>et</w:t>
      </w:r>
      <w:r w:rsidR="003D640C">
        <w:t xml:space="preserve"> </w:t>
      </w:r>
      <w:r w:rsidR="008C1509">
        <w:t>al.</w:t>
      </w:r>
      <w:r w:rsidR="001361A5">
        <w:t>,</w:t>
      </w:r>
      <w:r w:rsidR="003D640C">
        <w:t xml:space="preserve"> </w:t>
      </w:r>
      <w:r>
        <w:t>202</w:t>
      </w:r>
      <w:r w:rsidR="00264602">
        <w:t>2</w:t>
      </w:r>
      <w:r w:rsidR="0054081C">
        <w:t>;</w:t>
      </w:r>
      <w:r w:rsidR="0054081C" w:rsidRPr="0054081C">
        <w:rPr>
          <w:lang w:val="mi-NZ"/>
        </w:rPr>
        <w:t xml:space="preserve"> </w:t>
      </w:r>
      <w:r w:rsidR="0054081C">
        <w:rPr>
          <w:lang w:val="mi-NZ"/>
        </w:rPr>
        <w:t>Ryan et al., 2020.</w:t>
      </w:r>
    </w:p>
  </w:footnote>
  <w:footnote w:id="136">
    <w:p w14:paraId="14C83FE6" w14:textId="07A74281" w:rsidR="001B7E4B" w:rsidRPr="00306FBF" w:rsidDel="00AF329D" w:rsidRDefault="001B7E4B" w:rsidP="00E00167">
      <w:pPr>
        <w:pStyle w:val="FootnoteText"/>
        <w:rPr>
          <w:lang w:val="mi-NZ"/>
        </w:rPr>
      </w:pPr>
      <w:r>
        <w:rPr>
          <w:rStyle w:val="FootnoteReference"/>
        </w:rPr>
        <w:footnoteRef/>
      </w:r>
      <w:r w:rsidR="003D640C">
        <w:t xml:space="preserve"> </w:t>
      </w:r>
      <w:r>
        <w:t>Fenaughty</w:t>
      </w:r>
      <w:r w:rsidR="003D640C">
        <w:t xml:space="preserve"> </w:t>
      </w:r>
      <w:r>
        <w:t>et</w:t>
      </w:r>
      <w:r w:rsidR="003D640C">
        <w:t xml:space="preserve"> </w:t>
      </w:r>
      <w:r>
        <w:t>al.</w:t>
      </w:r>
      <w:r w:rsidR="00E626E4">
        <w:t>,</w:t>
      </w:r>
      <w:r w:rsidR="003D640C">
        <w:t xml:space="preserve"> </w:t>
      </w:r>
      <w:r>
        <w:t>2023</w:t>
      </w:r>
      <w:r w:rsidR="00A54D10">
        <w:t>.</w:t>
      </w:r>
    </w:p>
  </w:footnote>
  <w:footnote w:id="137">
    <w:p w14:paraId="1B5067BC" w14:textId="70340D4F" w:rsidR="00721E25" w:rsidRDefault="00721E25" w:rsidP="00E00167">
      <w:pPr>
        <w:pStyle w:val="FootnoteText"/>
      </w:pPr>
      <w:r>
        <w:rPr>
          <w:rStyle w:val="FootnoteReference"/>
        </w:rPr>
        <w:footnoteRef/>
      </w:r>
      <w:r w:rsidR="003D640C">
        <w:t xml:space="preserve"> </w:t>
      </w:r>
      <w:r w:rsidR="000A1E22">
        <w:t>Jowett et al., 2021. This</w:t>
      </w:r>
      <w:r w:rsidR="003D640C">
        <w:t xml:space="preserve"> </w:t>
      </w:r>
      <w:r w:rsidR="00805F6F">
        <w:t>review</w:t>
      </w:r>
      <w:r w:rsidR="003D640C">
        <w:t xml:space="preserve"> </w:t>
      </w:r>
      <w:r w:rsidR="00805F6F">
        <w:t>of</w:t>
      </w:r>
      <w:r w:rsidR="003D640C">
        <w:t xml:space="preserve"> </w:t>
      </w:r>
      <w:r w:rsidR="00805F6F">
        <w:t>the</w:t>
      </w:r>
      <w:r w:rsidR="003D640C">
        <w:t xml:space="preserve"> </w:t>
      </w:r>
      <w:r w:rsidR="00805F6F">
        <w:t>little</w:t>
      </w:r>
      <w:r w:rsidR="003D640C">
        <w:t xml:space="preserve"> </w:t>
      </w:r>
      <w:r w:rsidR="00805F6F">
        <w:t>research</w:t>
      </w:r>
      <w:r w:rsidR="003D640C">
        <w:t xml:space="preserve"> </w:t>
      </w:r>
      <w:r w:rsidR="00805F6F">
        <w:t>that</w:t>
      </w:r>
      <w:r w:rsidR="003D640C">
        <w:t xml:space="preserve"> </w:t>
      </w:r>
      <w:r w:rsidR="00805F6F">
        <w:t>has</w:t>
      </w:r>
      <w:r w:rsidR="003D640C">
        <w:t xml:space="preserve"> </w:t>
      </w:r>
      <w:r w:rsidR="00805F6F">
        <w:t>been</w:t>
      </w:r>
      <w:r w:rsidR="003D640C">
        <w:t xml:space="preserve"> </w:t>
      </w:r>
      <w:r w:rsidR="00805F6F">
        <w:t>conducted</w:t>
      </w:r>
      <w:r w:rsidR="003D640C">
        <w:t xml:space="preserve"> </w:t>
      </w:r>
      <w:r w:rsidR="00805F6F">
        <w:t>on</w:t>
      </w:r>
      <w:r w:rsidR="003D640C">
        <w:t xml:space="preserve"> </w:t>
      </w:r>
      <w:r w:rsidR="00805F6F">
        <w:t>the</w:t>
      </w:r>
      <w:r w:rsidR="003D640C">
        <w:t xml:space="preserve"> </w:t>
      </w:r>
      <w:r w:rsidR="00805F6F">
        <w:t>beliefs</w:t>
      </w:r>
      <w:r w:rsidR="003D640C">
        <w:t xml:space="preserve"> </w:t>
      </w:r>
      <w:r w:rsidR="00805F6F">
        <w:t>of</w:t>
      </w:r>
      <w:r w:rsidR="003D640C">
        <w:t xml:space="preserve"> </w:t>
      </w:r>
      <w:r w:rsidR="00805F6F">
        <w:t>conversion</w:t>
      </w:r>
      <w:r w:rsidR="003D640C">
        <w:t xml:space="preserve"> </w:t>
      </w:r>
      <w:r w:rsidR="00805F6F">
        <w:t>practitioners</w:t>
      </w:r>
      <w:r w:rsidR="003D640C">
        <w:t xml:space="preserve"> </w:t>
      </w:r>
      <w:r w:rsidR="00D31BEB">
        <w:t>found</w:t>
      </w:r>
      <w:r w:rsidR="003D640C">
        <w:t xml:space="preserve"> </w:t>
      </w:r>
      <w:r w:rsidR="00D31BEB">
        <w:t>that</w:t>
      </w:r>
      <w:r w:rsidR="003D640C">
        <w:t xml:space="preserve"> </w:t>
      </w:r>
      <w:r w:rsidR="00D31BEB">
        <w:t>some</w:t>
      </w:r>
      <w:r w:rsidR="003D640C">
        <w:t xml:space="preserve"> </w:t>
      </w:r>
      <w:r w:rsidR="00D31BEB">
        <w:t>considered</w:t>
      </w:r>
      <w:r w:rsidR="003D640C">
        <w:t xml:space="preserve"> </w:t>
      </w:r>
      <w:r w:rsidR="00B06180">
        <w:t>Rainbow</w:t>
      </w:r>
      <w:r w:rsidR="003D640C">
        <w:t xml:space="preserve"> </w:t>
      </w:r>
      <w:r w:rsidR="00B06180">
        <w:t>identities</w:t>
      </w:r>
      <w:r w:rsidR="003D640C">
        <w:t xml:space="preserve"> </w:t>
      </w:r>
      <w:r w:rsidR="00B06180">
        <w:t>to</w:t>
      </w:r>
      <w:r w:rsidR="003D640C">
        <w:t xml:space="preserve"> </w:t>
      </w:r>
      <w:r w:rsidR="00B06180">
        <w:t>be</w:t>
      </w:r>
      <w:r w:rsidR="003D640C">
        <w:t xml:space="preserve"> </w:t>
      </w:r>
      <w:r w:rsidR="00C837DB">
        <w:t>caused</w:t>
      </w:r>
      <w:r w:rsidR="003D640C">
        <w:t xml:space="preserve"> </w:t>
      </w:r>
      <w:r w:rsidR="00C837DB">
        <w:t>by</w:t>
      </w:r>
      <w:r w:rsidR="003D640C">
        <w:t xml:space="preserve"> </w:t>
      </w:r>
      <w:r w:rsidR="003619D7">
        <w:t>‘deficient</w:t>
      </w:r>
      <w:r w:rsidR="003D640C">
        <w:t xml:space="preserve"> </w:t>
      </w:r>
      <w:r w:rsidR="003619D7">
        <w:t>caregiver</w:t>
      </w:r>
      <w:r w:rsidR="003D640C">
        <w:t xml:space="preserve"> </w:t>
      </w:r>
      <w:r w:rsidR="003619D7">
        <w:t>role</w:t>
      </w:r>
      <w:r w:rsidR="003D640C">
        <w:t xml:space="preserve"> </w:t>
      </w:r>
      <w:r w:rsidR="003619D7">
        <w:t>models</w:t>
      </w:r>
      <w:r w:rsidR="003D640C">
        <w:t xml:space="preserve"> </w:t>
      </w:r>
      <w:r w:rsidR="003619D7">
        <w:t>or</w:t>
      </w:r>
      <w:r w:rsidR="003D640C">
        <w:t xml:space="preserve"> </w:t>
      </w:r>
      <w:r w:rsidR="003619D7">
        <w:t>childhood</w:t>
      </w:r>
      <w:r w:rsidR="003D640C">
        <w:t xml:space="preserve"> </w:t>
      </w:r>
      <w:r w:rsidR="003619D7">
        <w:t>trauma’.</w:t>
      </w:r>
    </w:p>
  </w:footnote>
  <w:footnote w:id="138">
    <w:p w14:paraId="34E17C90" w14:textId="0E8884E9" w:rsidR="00D527F0" w:rsidRPr="007547F0" w:rsidRDefault="00D527F0" w:rsidP="00E00167">
      <w:pPr>
        <w:pStyle w:val="FootnoteText"/>
        <w:rPr>
          <w:lang w:val="mi-NZ"/>
        </w:rPr>
      </w:pPr>
      <w:r>
        <w:rPr>
          <w:rStyle w:val="FootnoteReference"/>
        </w:rPr>
        <w:footnoteRef/>
      </w:r>
      <w:r w:rsidR="003D640C">
        <w:t xml:space="preserve"> </w:t>
      </w:r>
      <w:r w:rsidR="005B6C00" w:rsidRPr="00820218">
        <w:rPr>
          <w:lang w:val="mi-NZ"/>
        </w:rPr>
        <w:t>Glassgold,</w:t>
      </w:r>
      <w:r w:rsidR="003D640C">
        <w:rPr>
          <w:lang w:val="mi-NZ"/>
        </w:rPr>
        <w:t xml:space="preserve"> </w:t>
      </w:r>
      <w:r w:rsidR="005B6C00" w:rsidRPr="00820218">
        <w:rPr>
          <w:lang w:val="mi-NZ"/>
        </w:rPr>
        <w:t>J.</w:t>
      </w:r>
      <w:r w:rsidR="003D640C">
        <w:rPr>
          <w:lang w:val="mi-NZ"/>
        </w:rPr>
        <w:t xml:space="preserve"> </w:t>
      </w:r>
      <w:r w:rsidR="005B6C00" w:rsidRPr="00820218">
        <w:rPr>
          <w:lang w:val="mi-NZ"/>
        </w:rPr>
        <w:t>M.</w:t>
      </w:r>
      <w:r w:rsidR="003D0CB2">
        <w:rPr>
          <w:lang w:val="mi-NZ"/>
        </w:rPr>
        <w:t>,</w:t>
      </w:r>
      <w:r w:rsidR="003D640C">
        <w:rPr>
          <w:lang w:val="mi-NZ"/>
        </w:rPr>
        <w:t xml:space="preserve"> </w:t>
      </w:r>
      <w:r w:rsidR="005B6C00" w:rsidRPr="00820218">
        <w:rPr>
          <w:lang w:val="mi-NZ"/>
        </w:rPr>
        <w:t>&amp;</w:t>
      </w:r>
      <w:r w:rsidR="000A1E22">
        <w:rPr>
          <w:lang w:val="mi-NZ"/>
        </w:rPr>
        <w:t xml:space="preserve"> </w:t>
      </w:r>
      <w:r w:rsidR="005B6C00" w:rsidRPr="00820218">
        <w:rPr>
          <w:lang w:val="mi-NZ"/>
        </w:rPr>
        <w:t>Ryan,</w:t>
      </w:r>
      <w:r w:rsidR="003D640C">
        <w:rPr>
          <w:lang w:val="mi-NZ"/>
        </w:rPr>
        <w:t xml:space="preserve"> </w:t>
      </w:r>
      <w:r w:rsidR="005B6C00" w:rsidRPr="00820218">
        <w:rPr>
          <w:lang w:val="mi-NZ"/>
        </w:rPr>
        <w:t>C.</w:t>
      </w:r>
      <w:r w:rsidR="003D640C">
        <w:rPr>
          <w:lang w:val="mi-NZ"/>
        </w:rPr>
        <w:t xml:space="preserve"> </w:t>
      </w:r>
      <w:r w:rsidR="005B6C00" w:rsidRPr="00820218">
        <w:rPr>
          <w:lang w:val="mi-NZ"/>
        </w:rPr>
        <w:t>(2022).</w:t>
      </w:r>
      <w:r w:rsidR="003D640C">
        <w:rPr>
          <w:lang w:val="mi-NZ"/>
        </w:rPr>
        <w:t xml:space="preserve"> </w:t>
      </w:r>
      <w:r w:rsidR="005B6C00" w:rsidRPr="00820218">
        <w:rPr>
          <w:lang w:val="mi-NZ"/>
        </w:rPr>
        <w:t>The</w:t>
      </w:r>
      <w:r w:rsidR="003D640C">
        <w:rPr>
          <w:lang w:val="mi-NZ"/>
        </w:rPr>
        <w:t xml:space="preserve"> </w:t>
      </w:r>
      <w:r w:rsidR="005B6C00" w:rsidRPr="00820218">
        <w:rPr>
          <w:lang w:val="mi-NZ"/>
        </w:rPr>
        <w:t>role</w:t>
      </w:r>
      <w:r w:rsidR="003D640C">
        <w:rPr>
          <w:lang w:val="mi-NZ"/>
        </w:rPr>
        <w:t xml:space="preserve"> </w:t>
      </w:r>
      <w:r w:rsidR="005B6C00" w:rsidRPr="00820218">
        <w:rPr>
          <w:lang w:val="mi-NZ"/>
        </w:rPr>
        <w:t>of</w:t>
      </w:r>
      <w:r w:rsidR="003D640C">
        <w:rPr>
          <w:lang w:val="mi-NZ"/>
        </w:rPr>
        <w:t xml:space="preserve"> </w:t>
      </w:r>
      <w:r w:rsidR="005B6C00" w:rsidRPr="00820218">
        <w:rPr>
          <w:lang w:val="mi-NZ"/>
        </w:rPr>
        <w:t>families</w:t>
      </w:r>
      <w:r w:rsidR="003D640C">
        <w:rPr>
          <w:lang w:val="mi-NZ"/>
        </w:rPr>
        <w:t xml:space="preserve"> </w:t>
      </w:r>
      <w:r w:rsidR="005B6C00" w:rsidRPr="00820218">
        <w:rPr>
          <w:lang w:val="mi-NZ"/>
        </w:rPr>
        <w:t>in</w:t>
      </w:r>
      <w:r w:rsidR="003D640C">
        <w:rPr>
          <w:lang w:val="mi-NZ"/>
        </w:rPr>
        <w:t xml:space="preserve"> </w:t>
      </w:r>
      <w:r w:rsidR="005B6C00" w:rsidRPr="00820218">
        <w:rPr>
          <w:lang w:val="mi-NZ"/>
        </w:rPr>
        <w:t>efforts</w:t>
      </w:r>
      <w:r w:rsidR="003D640C">
        <w:rPr>
          <w:lang w:val="mi-NZ"/>
        </w:rPr>
        <w:t xml:space="preserve"> </w:t>
      </w:r>
      <w:r w:rsidR="005B6C00" w:rsidRPr="00820218">
        <w:rPr>
          <w:lang w:val="mi-NZ"/>
        </w:rPr>
        <w:t>to</w:t>
      </w:r>
      <w:r w:rsidR="003D640C">
        <w:rPr>
          <w:lang w:val="mi-NZ"/>
        </w:rPr>
        <w:t xml:space="preserve"> </w:t>
      </w:r>
      <w:r w:rsidR="005B6C00" w:rsidRPr="00820218">
        <w:rPr>
          <w:lang w:val="mi-NZ"/>
        </w:rPr>
        <w:t>change,</w:t>
      </w:r>
      <w:r w:rsidR="003D640C">
        <w:rPr>
          <w:lang w:val="mi-NZ"/>
        </w:rPr>
        <w:t xml:space="preserve"> </w:t>
      </w:r>
      <w:r w:rsidR="005B6C00" w:rsidRPr="00820218">
        <w:rPr>
          <w:lang w:val="mi-NZ"/>
        </w:rPr>
        <w:t>support,</w:t>
      </w:r>
      <w:r w:rsidR="003D640C">
        <w:rPr>
          <w:lang w:val="mi-NZ"/>
        </w:rPr>
        <w:t xml:space="preserve"> </w:t>
      </w:r>
      <w:r w:rsidR="005B6C00" w:rsidRPr="00820218">
        <w:rPr>
          <w:lang w:val="mi-NZ"/>
        </w:rPr>
        <w:t>and</w:t>
      </w:r>
      <w:r w:rsidR="003D640C">
        <w:rPr>
          <w:lang w:val="mi-NZ"/>
        </w:rPr>
        <w:t xml:space="preserve"> </w:t>
      </w:r>
      <w:r w:rsidR="005B6C00" w:rsidRPr="00820218">
        <w:rPr>
          <w:lang w:val="mi-NZ"/>
        </w:rPr>
        <w:t>affirm</w:t>
      </w:r>
      <w:r w:rsidR="003D640C">
        <w:rPr>
          <w:lang w:val="mi-NZ"/>
        </w:rPr>
        <w:t xml:space="preserve"> </w:t>
      </w:r>
      <w:r w:rsidR="005B6C00" w:rsidRPr="00820218">
        <w:rPr>
          <w:lang w:val="mi-NZ"/>
        </w:rPr>
        <w:t>sexual</w:t>
      </w:r>
      <w:r w:rsidR="003D640C">
        <w:rPr>
          <w:lang w:val="mi-NZ"/>
        </w:rPr>
        <w:t xml:space="preserve"> </w:t>
      </w:r>
      <w:r w:rsidR="005B6C00" w:rsidRPr="00820218">
        <w:rPr>
          <w:lang w:val="mi-NZ"/>
        </w:rPr>
        <w:t>orientation,</w:t>
      </w:r>
      <w:r w:rsidR="003D640C">
        <w:rPr>
          <w:lang w:val="mi-NZ"/>
        </w:rPr>
        <w:t xml:space="preserve"> </w:t>
      </w:r>
      <w:r w:rsidR="005B6C00" w:rsidRPr="00820218">
        <w:rPr>
          <w:lang w:val="mi-NZ"/>
        </w:rPr>
        <w:t>gender</w:t>
      </w:r>
      <w:r w:rsidR="003D640C">
        <w:rPr>
          <w:lang w:val="mi-NZ"/>
        </w:rPr>
        <w:t xml:space="preserve"> </w:t>
      </w:r>
      <w:r w:rsidR="005B6C00" w:rsidRPr="00820218">
        <w:rPr>
          <w:lang w:val="mi-NZ"/>
        </w:rPr>
        <w:t>identity,</w:t>
      </w:r>
      <w:r w:rsidR="003D640C">
        <w:rPr>
          <w:lang w:val="mi-NZ"/>
        </w:rPr>
        <w:t xml:space="preserve"> </w:t>
      </w:r>
      <w:r w:rsidR="005B6C00" w:rsidRPr="00820218">
        <w:rPr>
          <w:lang w:val="mi-NZ"/>
        </w:rPr>
        <w:t>and</w:t>
      </w:r>
      <w:r w:rsidR="003D640C">
        <w:rPr>
          <w:lang w:val="mi-NZ"/>
        </w:rPr>
        <w:t xml:space="preserve"> </w:t>
      </w:r>
      <w:r w:rsidR="005B6C00" w:rsidRPr="00820218">
        <w:rPr>
          <w:lang w:val="mi-NZ"/>
        </w:rPr>
        <w:t>expression</w:t>
      </w:r>
      <w:r w:rsidR="003D640C">
        <w:rPr>
          <w:lang w:val="mi-NZ"/>
        </w:rPr>
        <w:t xml:space="preserve"> </w:t>
      </w:r>
      <w:r w:rsidR="005B6C00" w:rsidRPr="00820218">
        <w:rPr>
          <w:lang w:val="mi-NZ"/>
        </w:rPr>
        <w:t>in</w:t>
      </w:r>
      <w:r w:rsidR="003D640C">
        <w:rPr>
          <w:lang w:val="mi-NZ"/>
        </w:rPr>
        <w:t xml:space="preserve"> </w:t>
      </w:r>
      <w:r w:rsidR="005B6C00" w:rsidRPr="00820218">
        <w:rPr>
          <w:lang w:val="mi-NZ"/>
        </w:rPr>
        <w:t>children</w:t>
      </w:r>
      <w:r w:rsidR="003D640C">
        <w:rPr>
          <w:lang w:val="mi-NZ"/>
        </w:rPr>
        <w:t xml:space="preserve"> </w:t>
      </w:r>
      <w:r w:rsidR="005B6C00" w:rsidRPr="00820218">
        <w:rPr>
          <w:lang w:val="mi-NZ"/>
        </w:rPr>
        <w:t>and</w:t>
      </w:r>
      <w:r w:rsidR="003D640C">
        <w:rPr>
          <w:lang w:val="mi-NZ"/>
        </w:rPr>
        <w:t xml:space="preserve"> </w:t>
      </w:r>
      <w:r w:rsidR="005B6C00" w:rsidRPr="00820218">
        <w:rPr>
          <w:lang w:val="mi-NZ"/>
        </w:rPr>
        <w:t>youth.</w:t>
      </w:r>
      <w:r w:rsidR="003D640C">
        <w:rPr>
          <w:lang w:val="mi-NZ"/>
        </w:rPr>
        <w:t xml:space="preserve"> </w:t>
      </w:r>
      <w:r w:rsidR="005B6C00" w:rsidRPr="00820218">
        <w:rPr>
          <w:lang w:val="mi-NZ"/>
        </w:rPr>
        <w:t>In</w:t>
      </w:r>
      <w:r w:rsidR="003D640C">
        <w:rPr>
          <w:lang w:val="mi-NZ"/>
        </w:rPr>
        <w:t xml:space="preserve"> </w:t>
      </w:r>
      <w:r w:rsidR="005B6C00" w:rsidRPr="00820218">
        <w:rPr>
          <w:lang w:val="mi-NZ"/>
        </w:rPr>
        <w:t>D.</w:t>
      </w:r>
      <w:r w:rsidR="003D640C">
        <w:rPr>
          <w:lang w:val="mi-NZ"/>
        </w:rPr>
        <w:t xml:space="preserve"> </w:t>
      </w:r>
      <w:r w:rsidR="005B6C00" w:rsidRPr="00820218">
        <w:rPr>
          <w:lang w:val="mi-NZ"/>
        </w:rPr>
        <w:t>C.</w:t>
      </w:r>
      <w:r w:rsidR="003D640C">
        <w:rPr>
          <w:lang w:val="mi-NZ"/>
        </w:rPr>
        <w:t xml:space="preserve"> </w:t>
      </w:r>
      <w:r w:rsidR="005B6C00" w:rsidRPr="00820218">
        <w:rPr>
          <w:lang w:val="mi-NZ"/>
        </w:rPr>
        <w:t>Haldeman</w:t>
      </w:r>
      <w:r w:rsidR="003D640C">
        <w:rPr>
          <w:lang w:val="mi-NZ"/>
        </w:rPr>
        <w:t xml:space="preserve"> </w:t>
      </w:r>
      <w:r w:rsidR="005B6C00" w:rsidRPr="00820218">
        <w:rPr>
          <w:lang w:val="mi-NZ"/>
        </w:rPr>
        <w:t>(Ed.),</w:t>
      </w:r>
      <w:r w:rsidR="003D640C">
        <w:rPr>
          <w:lang w:val="mi-NZ"/>
        </w:rPr>
        <w:t xml:space="preserve"> </w:t>
      </w:r>
      <w:r w:rsidR="005B6C00" w:rsidRPr="007B139B">
        <w:rPr>
          <w:i/>
          <w:iCs/>
          <w:lang w:val="mi-NZ"/>
        </w:rPr>
        <w:t>The</w:t>
      </w:r>
      <w:r w:rsidR="003D640C" w:rsidRPr="007B139B">
        <w:rPr>
          <w:i/>
          <w:iCs/>
          <w:lang w:val="mi-NZ"/>
        </w:rPr>
        <w:t xml:space="preserve"> </w:t>
      </w:r>
      <w:r w:rsidR="005B6C00" w:rsidRPr="007B139B">
        <w:rPr>
          <w:i/>
          <w:iCs/>
          <w:lang w:val="mi-NZ"/>
        </w:rPr>
        <w:t>case</w:t>
      </w:r>
      <w:r w:rsidR="003D640C" w:rsidRPr="007B139B">
        <w:rPr>
          <w:i/>
          <w:iCs/>
          <w:lang w:val="mi-NZ"/>
        </w:rPr>
        <w:t xml:space="preserve"> </w:t>
      </w:r>
      <w:r w:rsidR="005B6C00" w:rsidRPr="007B139B">
        <w:rPr>
          <w:i/>
          <w:iCs/>
          <w:lang w:val="mi-NZ"/>
        </w:rPr>
        <w:t>against</w:t>
      </w:r>
      <w:r w:rsidR="003D640C" w:rsidRPr="007B139B">
        <w:rPr>
          <w:i/>
          <w:iCs/>
          <w:lang w:val="mi-NZ"/>
        </w:rPr>
        <w:t xml:space="preserve"> </w:t>
      </w:r>
      <w:r w:rsidR="005B6C00" w:rsidRPr="007B139B">
        <w:rPr>
          <w:i/>
          <w:iCs/>
          <w:lang w:val="mi-NZ"/>
        </w:rPr>
        <w:t>conversion</w:t>
      </w:r>
      <w:r w:rsidR="003D640C" w:rsidRPr="007B139B">
        <w:rPr>
          <w:i/>
          <w:iCs/>
          <w:lang w:val="mi-NZ"/>
        </w:rPr>
        <w:t xml:space="preserve"> </w:t>
      </w:r>
      <w:r w:rsidR="005B6C00" w:rsidRPr="007B139B">
        <w:rPr>
          <w:i/>
          <w:iCs/>
          <w:lang w:val="mi-NZ"/>
        </w:rPr>
        <w:t>“therapy”:</w:t>
      </w:r>
      <w:r w:rsidR="003D640C" w:rsidRPr="007B139B">
        <w:rPr>
          <w:i/>
          <w:iCs/>
          <w:lang w:val="mi-NZ"/>
        </w:rPr>
        <w:t xml:space="preserve"> </w:t>
      </w:r>
      <w:r w:rsidR="005B6C00" w:rsidRPr="007B139B">
        <w:rPr>
          <w:i/>
          <w:iCs/>
          <w:lang w:val="mi-NZ"/>
        </w:rPr>
        <w:t>Evidence,</w:t>
      </w:r>
      <w:r w:rsidR="003D640C" w:rsidRPr="007B139B">
        <w:rPr>
          <w:i/>
          <w:iCs/>
          <w:lang w:val="mi-NZ"/>
        </w:rPr>
        <w:t xml:space="preserve"> </w:t>
      </w:r>
      <w:r w:rsidR="005B6C00" w:rsidRPr="007B139B">
        <w:rPr>
          <w:i/>
          <w:iCs/>
          <w:lang w:val="mi-NZ"/>
        </w:rPr>
        <w:t>ethics,</w:t>
      </w:r>
      <w:r w:rsidR="003D640C" w:rsidRPr="007B139B">
        <w:rPr>
          <w:i/>
          <w:iCs/>
          <w:lang w:val="mi-NZ"/>
        </w:rPr>
        <w:t xml:space="preserve"> </w:t>
      </w:r>
      <w:r w:rsidR="005B6C00" w:rsidRPr="007B139B">
        <w:rPr>
          <w:i/>
          <w:iCs/>
          <w:lang w:val="mi-NZ"/>
        </w:rPr>
        <w:t>and</w:t>
      </w:r>
      <w:r w:rsidR="003D640C" w:rsidRPr="007B139B">
        <w:rPr>
          <w:i/>
          <w:iCs/>
          <w:lang w:val="mi-NZ"/>
        </w:rPr>
        <w:t xml:space="preserve"> </w:t>
      </w:r>
      <w:r w:rsidR="005B6C00" w:rsidRPr="007B139B">
        <w:rPr>
          <w:i/>
          <w:iCs/>
          <w:lang w:val="mi-NZ"/>
        </w:rPr>
        <w:t>alternatives</w:t>
      </w:r>
      <w:r w:rsidR="003D640C">
        <w:rPr>
          <w:lang w:val="mi-NZ"/>
        </w:rPr>
        <w:t xml:space="preserve"> </w:t>
      </w:r>
      <w:r w:rsidR="005B6C00" w:rsidRPr="00820218">
        <w:rPr>
          <w:lang w:val="mi-NZ"/>
        </w:rPr>
        <w:t>(pp.</w:t>
      </w:r>
      <w:r w:rsidR="003D0CB2">
        <w:rPr>
          <w:lang w:val="mi-NZ"/>
        </w:rPr>
        <w:t xml:space="preserve"> </w:t>
      </w:r>
      <w:r w:rsidR="005B6C00" w:rsidRPr="00820218">
        <w:rPr>
          <w:lang w:val="mi-NZ"/>
        </w:rPr>
        <w:t>89</w:t>
      </w:r>
      <w:r w:rsidR="003D0CB2">
        <w:rPr>
          <w:lang w:val="mi-NZ"/>
        </w:rPr>
        <w:t>–</w:t>
      </w:r>
      <w:r w:rsidR="005B6C00" w:rsidRPr="00820218">
        <w:rPr>
          <w:lang w:val="mi-NZ"/>
        </w:rPr>
        <w:t>107).</w:t>
      </w:r>
      <w:r w:rsidR="005B6C00" w:rsidRPr="00820218" w:rsidDel="008E1CCA">
        <w:rPr>
          <w:lang w:val="mi-NZ"/>
        </w:rPr>
        <w:t xml:space="preserve"> </w:t>
      </w:r>
      <w:r w:rsidR="005B6C00" w:rsidRPr="00820218">
        <w:rPr>
          <w:lang w:val="mi-NZ"/>
        </w:rPr>
        <w:t>American</w:t>
      </w:r>
      <w:r w:rsidR="003D640C">
        <w:rPr>
          <w:lang w:val="mi-NZ"/>
        </w:rPr>
        <w:t xml:space="preserve"> </w:t>
      </w:r>
      <w:r w:rsidR="005B6C00" w:rsidRPr="00820218">
        <w:rPr>
          <w:lang w:val="mi-NZ"/>
        </w:rPr>
        <w:t>Psychological</w:t>
      </w:r>
      <w:r w:rsidR="003D640C">
        <w:rPr>
          <w:lang w:val="mi-NZ"/>
        </w:rPr>
        <w:t xml:space="preserve"> </w:t>
      </w:r>
      <w:r w:rsidR="005B6C00" w:rsidRPr="00820218">
        <w:rPr>
          <w:lang w:val="mi-NZ"/>
        </w:rPr>
        <w:t>Association</w:t>
      </w:r>
      <w:r w:rsidR="000A1E22">
        <w:rPr>
          <w:lang w:val="mi-NZ"/>
        </w:rPr>
        <w:t xml:space="preserve">; </w:t>
      </w:r>
      <w:r w:rsidR="000A1E22">
        <w:t>Veale et al., 2022</w:t>
      </w:r>
      <w:r w:rsidR="005B6C00" w:rsidRPr="00820218">
        <w:rPr>
          <w:lang w:val="mi-NZ"/>
        </w:rPr>
        <w:t>.</w:t>
      </w:r>
    </w:p>
  </w:footnote>
  <w:footnote w:id="139">
    <w:p w14:paraId="13A1A5CD" w14:textId="0659E33C" w:rsidR="00D527F0" w:rsidRPr="00212E8B" w:rsidRDefault="00D527F0" w:rsidP="00E00167">
      <w:pPr>
        <w:pStyle w:val="FootnoteText"/>
        <w:rPr>
          <w:lang w:val="mi-NZ"/>
        </w:rPr>
      </w:pPr>
      <w:r>
        <w:rPr>
          <w:rStyle w:val="FootnoteReference"/>
        </w:rPr>
        <w:footnoteRef/>
      </w:r>
      <w:r w:rsidR="003D640C">
        <w:t xml:space="preserve"> </w:t>
      </w:r>
      <w:r>
        <w:rPr>
          <w:lang w:val="mi-NZ"/>
        </w:rPr>
        <w:t>Transgender</w:t>
      </w:r>
      <w:r w:rsidR="003D640C">
        <w:rPr>
          <w:lang w:val="mi-NZ"/>
        </w:rPr>
        <w:t xml:space="preserve"> </w:t>
      </w:r>
      <w:r>
        <w:rPr>
          <w:lang w:val="mi-NZ"/>
        </w:rPr>
        <w:t>Health</w:t>
      </w:r>
      <w:r w:rsidR="003D640C">
        <w:rPr>
          <w:lang w:val="mi-NZ"/>
        </w:rPr>
        <w:t xml:space="preserve"> </w:t>
      </w:r>
      <w:r>
        <w:rPr>
          <w:lang w:val="mi-NZ"/>
        </w:rPr>
        <w:t>Research</w:t>
      </w:r>
      <w:r w:rsidR="003D640C">
        <w:rPr>
          <w:lang w:val="mi-NZ"/>
        </w:rPr>
        <w:t xml:space="preserve"> </w:t>
      </w:r>
      <w:r>
        <w:rPr>
          <w:lang w:val="mi-NZ"/>
        </w:rPr>
        <w:t>Lab</w:t>
      </w:r>
      <w:r w:rsidR="0054291F">
        <w:rPr>
          <w:lang w:val="mi-NZ"/>
        </w:rPr>
        <w:t>,</w:t>
      </w:r>
      <w:r w:rsidR="003D640C">
        <w:rPr>
          <w:lang w:val="mi-NZ"/>
        </w:rPr>
        <w:t xml:space="preserve"> </w:t>
      </w:r>
      <w:r w:rsidR="000F55AD">
        <w:rPr>
          <w:lang w:val="mi-NZ"/>
        </w:rPr>
        <w:t>2022.</w:t>
      </w:r>
    </w:p>
  </w:footnote>
  <w:footnote w:id="140">
    <w:p w14:paraId="3550D693" w14:textId="73DF7D29" w:rsidR="000D0B96" w:rsidRDefault="000D0B96" w:rsidP="00E00167">
      <w:pPr>
        <w:pStyle w:val="FootnoteText"/>
      </w:pPr>
      <w:r>
        <w:rPr>
          <w:rStyle w:val="FootnoteReference"/>
        </w:rPr>
        <w:footnoteRef/>
      </w:r>
      <w:r w:rsidR="003D640C">
        <w:t xml:space="preserve"> </w:t>
      </w:r>
      <w:r>
        <w:t>Masten,</w:t>
      </w:r>
      <w:r w:rsidR="003D640C">
        <w:t xml:space="preserve"> </w:t>
      </w:r>
      <w:r>
        <w:t>A</w:t>
      </w:r>
      <w:r w:rsidR="0018386B">
        <w:t>., &amp;</w:t>
      </w:r>
      <w:r w:rsidR="003D640C" w:rsidDel="0018386B">
        <w:t xml:space="preserve"> </w:t>
      </w:r>
      <w:r>
        <w:t>Shaffer</w:t>
      </w:r>
      <w:r w:rsidR="0018386B">
        <w:t>, A</w:t>
      </w:r>
      <w:r>
        <w:t>.</w:t>
      </w:r>
      <w:r w:rsidR="003D640C">
        <w:t xml:space="preserve"> </w:t>
      </w:r>
      <w:r w:rsidR="00D22DBE">
        <w:t>(2006)</w:t>
      </w:r>
      <w:r w:rsidR="0018386B">
        <w:t>.</w:t>
      </w:r>
      <w:r w:rsidR="003D640C" w:rsidDel="0018386B">
        <w:t xml:space="preserve"> </w:t>
      </w:r>
      <w:r>
        <w:t>How</w:t>
      </w:r>
      <w:r w:rsidR="003D640C">
        <w:t xml:space="preserve"> </w:t>
      </w:r>
      <w:r w:rsidR="0018386B">
        <w:t>f</w:t>
      </w:r>
      <w:r>
        <w:t>amilies</w:t>
      </w:r>
      <w:r w:rsidR="003D640C">
        <w:t xml:space="preserve"> </w:t>
      </w:r>
      <w:r w:rsidR="0018386B">
        <w:t>m</w:t>
      </w:r>
      <w:r>
        <w:t>atter</w:t>
      </w:r>
      <w:r w:rsidR="003D640C">
        <w:t xml:space="preserve"> </w:t>
      </w:r>
      <w:r>
        <w:t>in</w:t>
      </w:r>
      <w:r w:rsidR="003D640C">
        <w:t xml:space="preserve"> </w:t>
      </w:r>
      <w:r w:rsidR="0018386B">
        <w:t>c</w:t>
      </w:r>
      <w:r>
        <w:t>hild</w:t>
      </w:r>
      <w:r w:rsidR="003D640C">
        <w:t xml:space="preserve"> </w:t>
      </w:r>
      <w:r w:rsidR="0018386B">
        <w:t>d</w:t>
      </w:r>
      <w:r>
        <w:t>evelopment</w:t>
      </w:r>
      <w:r w:rsidR="00DE245C">
        <w:t>:</w:t>
      </w:r>
      <w:r w:rsidR="003D640C">
        <w:t xml:space="preserve"> </w:t>
      </w:r>
      <w:r w:rsidR="00DE245C">
        <w:t>Reflections</w:t>
      </w:r>
      <w:r w:rsidR="003D640C">
        <w:t xml:space="preserve"> </w:t>
      </w:r>
      <w:r w:rsidR="00DE245C">
        <w:t>from</w:t>
      </w:r>
      <w:r w:rsidR="003D640C">
        <w:t xml:space="preserve"> </w:t>
      </w:r>
      <w:r w:rsidR="0018386B">
        <w:t>r</w:t>
      </w:r>
      <w:r w:rsidR="00DE245C">
        <w:t>esearch</w:t>
      </w:r>
      <w:r w:rsidR="003D640C">
        <w:t xml:space="preserve"> </w:t>
      </w:r>
      <w:r w:rsidR="00DE245C">
        <w:t>on</w:t>
      </w:r>
      <w:r w:rsidR="003D640C">
        <w:t xml:space="preserve"> </w:t>
      </w:r>
      <w:r w:rsidR="0018386B">
        <w:t>r</w:t>
      </w:r>
      <w:r w:rsidR="00DE245C">
        <w:t>isk</w:t>
      </w:r>
      <w:r w:rsidR="003D640C">
        <w:t xml:space="preserve"> </w:t>
      </w:r>
      <w:r w:rsidR="00DE245C">
        <w:t>and</w:t>
      </w:r>
      <w:r w:rsidR="003D640C">
        <w:t xml:space="preserve"> </w:t>
      </w:r>
      <w:r w:rsidR="0018386B">
        <w:t>r</w:t>
      </w:r>
      <w:r w:rsidR="00DE245C">
        <w:t>esilience</w:t>
      </w:r>
      <w:r w:rsidR="0018386B">
        <w:t>.</w:t>
      </w:r>
      <w:r w:rsidR="003D640C">
        <w:t xml:space="preserve"> </w:t>
      </w:r>
      <w:r w:rsidR="0018386B">
        <w:t>I</w:t>
      </w:r>
      <w:r w:rsidR="00352B77">
        <w:t>n</w:t>
      </w:r>
      <w:r w:rsidR="003D640C">
        <w:t xml:space="preserve"> </w:t>
      </w:r>
      <w:r w:rsidR="00352B77">
        <w:t>A.</w:t>
      </w:r>
      <w:r w:rsidR="003D640C">
        <w:t xml:space="preserve"> </w:t>
      </w:r>
      <w:r w:rsidR="00352B77">
        <w:t>Clarke-Stewar</w:t>
      </w:r>
      <w:r w:rsidR="0018386B">
        <w:t>t</w:t>
      </w:r>
      <w:r w:rsidR="003D640C">
        <w:t xml:space="preserve"> </w:t>
      </w:r>
      <w:r w:rsidR="0018386B">
        <w:t>&amp;</w:t>
      </w:r>
      <w:r w:rsidR="003D640C">
        <w:t xml:space="preserve"> </w:t>
      </w:r>
      <w:r w:rsidR="00352B77">
        <w:t>J.</w:t>
      </w:r>
      <w:r w:rsidR="003D640C">
        <w:t xml:space="preserve"> </w:t>
      </w:r>
      <w:r w:rsidR="00352B77">
        <w:t>Dunn</w:t>
      </w:r>
      <w:r w:rsidR="003D640C">
        <w:t xml:space="preserve"> </w:t>
      </w:r>
      <w:r w:rsidR="00352B77">
        <w:t>(</w:t>
      </w:r>
      <w:r w:rsidR="0018386B">
        <w:t>E</w:t>
      </w:r>
      <w:r w:rsidR="00352B77">
        <w:t>ds</w:t>
      </w:r>
      <w:r w:rsidR="0018386B">
        <w:t>.</w:t>
      </w:r>
      <w:r w:rsidR="00352B77">
        <w:t>),</w:t>
      </w:r>
      <w:r w:rsidR="003D640C">
        <w:t xml:space="preserve"> </w:t>
      </w:r>
      <w:r w:rsidR="00352B77" w:rsidRPr="007B139B">
        <w:rPr>
          <w:i/>
          <w:iCs/>
        </w:rPr>
        <w:t>Families</w:t>
      </w:r>
      <w:r w:rsidR="003D640C" w:rsidRPr="007B139B">
        <w:rPr>
          <w:i/>
          <w:iCs/>
        </w:rPr>
        <w:t xml:space="preserve"> </w:t>
      </w:r>
      <w:r w:rsidR="0018386B" w:rsidRPr="007B139B">
        <w:rPr>
          <w:i/>
          <w:iCs/>
        </w:rPr>
        <w:t>c</w:t>
      </w:r>
      <w:r w:rsidR="00352B77" w:rsidRPr="007B139B">
        <w:rPr>
          <w:i/>
          <w:iCs/>
        </w:rPr>
        <w:t>ount:</w:t>
      </w:r>
      <w:r w:rsidR="003D640C" w:rsidRPr="007B139B">
        <w:rPr>
          <w:i/>
          <w:iCs/>
        </w:rPr>
        <w:t xml:space="preserve"> </w:t>
      </w:r>
      <w:r w:rsidR="00352B77" w:rsidRPr="007B139B">
        <w:rPr>
          <w:i/>
          <w:iCs/>
        </w:rPr>
        <w:t>Effects</w:t>
      </w:r>
      <w:r w:rsidR="003D640C" w:rsidRPr="007B139B">
        <w:rPr>
          <w:i/>
          <w:iCs/>
        </w:rPr>
        <w:t xml:space="preserve"> </w:t>
      </w:r>
      <w:r w:rsidR="00542E20" w:rsidRPr="007B139B">
        <w:rPr>
          <w:i/>
          <w:iCs/>
        </w:rPr>
        <w:t>on</w:t>
      </w:r>
      <w:r w:rsidR="003D640C" w:rsidRPr="007B139B">
        <w:rPr>
          <w:i/>
          <w:iCs/>
        </w:rPr>
        <w:t xml:space="preserve"> </w:t>
      </w:r>
      <w:r w:rsidR="0018386B" w:rsidRPr="007B139B">
        <w:rPr>
          <w:i/>
          <w:iCs/>
        </w:rPr>
        <w:t>c</w:t>
      </w:r>
      <w:r w:rsidR="00542E20" w:rsidRPr="007B139B">
        <w:rPr>
          <w:i/>
          <w:iCs/>
        </w:rPr>
        <w:t>hild</w:t>
      </w:r>
      <w:r w:rsidR="003D640C" w:rsidRPr="007B139B">
        <w:rPr>
          <w:i/>
          <w:iCs/>
        </w:rPr>
        <w:t xml:space="preserve"> </w:t>
      </w:r>
      <w:r w:rsidR="00542E20" w:rsidRPr="007B139B">
        <w:rPr>
          <w:i/>
          <w:iCs/>
        </w:rPr>
        <w:t>and</w:t>
      </w:r>
      <w:r w:rsidR="003D640C" w:rsidRPr="007B139B">
        <w:rPr>
          <w:i/>
          <w:iCs/>
        </w:rPr>
        <w:t xml:space="preserve"> </w:t>
      </w:r>
      <w:r w:rsidR="0018386B" w:rsidRPr="007B139B">
        <w:rPr>
          <w:i/>
          <w:iCs/>
        </w:rPr>
        <w:t>a</w:t>
      </w:r>
      <w:r w:rsidR="00542E20" w:rsidRPr="007B139B">
        <w:rPr>
          <w:i/>
          <w:iCs/>
        </w:rPr>
        <w:t>dolescent</w:t>
      </w:r>
      <w:r w:rsidR="003D640C" w:rsidRPr="007B139B">
        <w:rPr>
          <w:i/>
          <w:iCs/>
        </w:rPr>
        <w:t xml:space="preserve"> </w:t>
      </w:r>
      <w:r w:rsidR="0018386B" w:rsidRPr="007B139B">
        <w:rPr>
          <w:i/>
          <w:iCs/>
        </w:rPr>
        <w:t>d</w:t>
      </w:r>
      <w:r w:rsidR="00542E20" w:rsidRPr="007B139B">
        <w:rPr>
          <w:i/>
          <w:iCs/>
        </w:rPr>
        <w:t>evelopment</w:t>
      </w:r>
      <w:r w:rsidR="0018386B">
        <w:t xml:space="preserve"> (pp. 5–25).</w:t>
      </w:r>
      <w:r w:rsidR="003D640C" w:rsidDel="0018386B">
        <w:t xml:space="preserve"> </w:t>
      </w:r>
      <w:r w:rsidR="00542E20">
        <w:t>Cambridge</w:t>
      </w:r>
      <w:r w:rsidR="003D640C">
        <w:t xml:space="preserve"> </w:t>
      </w:r>
      <w:r w:rsidR="00542E20">
        <w:t>University</w:t>
      </w:r>
      <w:r w:rsidR="003D640C">
        <w:t xml:space="preserve"> </w:t>
      </w:r>
      <w:r w:rsidR="00542E20">
        <w:t>Press.</w:t>
      </w:r>
    </w:p>
  </w:footnote>
  <w:footnote w:id="141">
    <w:p w14:paraId="2F6D1667" w14:textId="62E02B45" w:rsidR="00FF4190" w:rsidRDefault="00FF4190" w:rsidP="00E00167">
      <w:pPr>
        <w:pStyle w:val="FootnoteText"/>
      </w:pPr>
      <w:r>
        <w:rPr>
          <w:rStyle w:val="FootnoteReference"/>
        </w:rPr>
        <w:footnoteRef/>
      </w:r>
      <w:r w:rsidR="003D640C">
        <w:t xml:space="preserve"> </w:t>
      </w:r>
      <w:r w:rsidR="006B7768">
        <w:t>Jowett</w:t>
      </w:r>
      <w:r w:rsidR="003D640C">
        <w:t xml:space="preserve"> </w:t>
      </w:r>
      <w:r w:rsidR="006B7768">
        <w:t>et</w:t>
      </w:r>
      <w:r w:rsidR="003D640C">
        <w:t xml:space="preserve"> </w:t>
      </w:r>
      <w:r w:rsidR="006B7768">
        <w:t>al.</w:t>
      </w:r>
      <w:r w:rsidR="00210BEF">
        <w:t>,</w:t>
      </w:r>
      <w:r w:rsidR="006B7768" w:rsidDel="008E1CCA">
        <w:t xml:space="preserve"> </w:t>
      </w:r>
      <w:r w:rsidR="006B7768">
        <w:t>2021</w:t>
      </w:r>
      <w:r>
        <w:t>.</w:t>
      </w:r>
    </w:p>
  </w:footnote>
  <w:footnote w:id="142">
    <w:p w14:paraId="635A998A" w14:textId="70F190E9" w:rsidR="004902EE" w:rsidRPr="004D60C9" w:rsidRDefault="004902EE" w:rsidP="00E00167">
      <w:pPr>
        <w:pStyle w:val="FootnoteText"/>
      </w:pPr>
      <w:r>
        <w:rPr>
          <w:rStyle w:val="FootnoteReference"/>
        </w:rPr>
        <w:footnoteRef/>
      </w:r>
      <w:r w:rsidR="003D640C">
        <w:t xml:space="preserve"> </w:t>
      </w:r>
      <w:r w:rsidR="00C27753" w:rsidRPr="004D60C9">
        <w:t>Buxton,</w:t>
      </w:r>
      <w:r w:rsidR="003D640C">
        <w:t xml:space="preserve"> </w:t>
      </w:r>
      <w:r w:rsidR="00C27753" w:rsidRPr="004D60C9">
        <w:t>A.</w:t>
      </w:r>
      <w:r w:rsidR="003D640C">
        <w:t xml:space="preserve"> </w:t>
      </w:r>
      <w:r w:rsidR="00C27753" w:rsidRPr="004D60C9">
        <w:t>P.</w:t>
      </w:r>
      <w:r w:rsidR="003D640C">
        <w:t xml:space="preserve"> </w:t>
      </w:r>
      <w:r w:rsidR="00C27753" w:rsidRPr="004D60C9">
        <w:t>(2001).</w:t>
      </w:r>
      <w:r w:rsidR="003D640C">
        <w:t xml:space="preserve"> </w:t>
      </w:r>
      <w:r w:rsidR="00C27753" w:rsidRPr="004D60C9">
        <w:t>Writing</w:t>
      </w:r>
      <w:r w:rsidR="003D640C">
        <w:t xml:space="preserve"> </w:t>
      </w:r>
      <w:r w:rsidR="00C27753" w:rsidRPr="004D60C9">
        <w:t>our</w:t>
      </w:r>
      <w:r w:rsidR="003D640C">
        <w:t xml:space="preserve"> </w:t>
      </w:r>
      <w:r w:rsidR="00C27753" w:rsidRPr="004D60C9">
        <w:t>own</w:t>
      </w:r>
      <w:r w:rsidR="003D640C">
        <w:t xml:space="preserve"> </w:t>
      </w:r>
      <w:r w:rsidR="00C27753" w:rsidRPr="004D60C9">
        <w:t>script:</w:t>
      </w:r>
      <w:r w:rsidR="003D640C">
        <w:t xml:space="preserve"> </w:t>
      </w:r>
      <w:r w:rsidR="00C27753" w:rsidRPr="004D60C9">
        <w:t>How</w:t>
      </w:r>
      <w:r w:rsidR="003D640C">
        <w:t xml:space="preserve"> </w:t>
      </w:r>
      <w:r w:rsidR="00C27753" w:rsidRPr="004D60C9">
        <w:t>bisexual</w:t>
      </w:r>
      <w:r w:rsidR="003D640C">
        <w:t xml:space="preserve"> </w:t>
      </w:r>
      <w:r w:rsidR="00C27753" w:rsidRPr="004D60C9">
        <w:t>men</w:t>
      </w:r>
      <w:r w:rsidR="003D640C">
        <w:t xml:space="preserve"> </w:t>
      </w:r>
      <w:r w:rsidR="00C27753" w:rsidRPr="004D60C9">
        <w:t>and</w:t>
      </w:r>
      <w:r w:rsidR="003D640C">
        <w:t xml:space="preserve"> </w:t>
      </w:r>
      <w:r w:rsidR="00C27753" w:rsidRPr="004D60C9">
        <w:t>their</w:t>
      </w:r>
      <w:r w:rsidR="003D640C">
        <w:t xml:space="preserve"> </w:t>
      </w:r>
      <w:r w:rsidR="00C27753" w:rsidRPr="004D60C9">
        <w:t>heterosexual</w:t>
      </w:r>
      <w:r w:rsidR="003D640C">
        <w:t xml:space="preserve"> </w:t>
      </w:r>
      <w:r w:rsidR="00C27753" w:rsidRPr="004D60C9">
        <w:t>wives</w:t>
      </w:r>
      <w:r w:rsidR="003D640C">
        <w:t xml:space="preserve"> </w:t>
      </w:r>
      <w:r w:rsidR="00C27753" w:rsidRPr="004D60C9">
        <w:t>maintain</w:t>
      </w:r>
      <w:r w:rsidR="003D640C">
        <w:t xml:space="preserve"> </w:t>
      </w:r>
      <w:r w:rsidR="00C27753" w:rsidRPr="004D60C9">
        <w:t>their</w:t>
      </w:r>
      <w:r w:rsidR="003D640C">
        <w:t xml:space="preserve"> </w:t>
      </w:r>
      <w:r w:rsidR="00C27753" w:rsidRPr="004D60C9">
        <w:t>marriage</w:t>
      </w:r>
      <w:r w:rsidR="003D640C">
        <w:t xml:space="preserve"> </w:t>
      </w:r>
      <w:r w:rsidR="00C27753" w:rsidRPr="004D60C9">
        <w:t>after</w:t>
      </w:r>
      <w:r w:rsidR="003D640C">
        <w:t xml:space="preserve"> </w:t>
      </w:r>
      <w:r w:rsidR="00C27753" w:rsidRPr="004D60C9">
        <w:t>disclosure.</w:t>
      </w:r>
      <w:r w:rsidR="003D640C">
        <w:t xml:space="preserve"> </w:t>
      </w:r>
      <w:r w:rsidR="00C27753" w:rsidRPr="007B139B">
        <w:rPr>
          <w:i/>
          <w:iCs/>
        </w:rPr>
        <w:t>Journal</w:t>
      </w:r>
      <w:r w:rsidR="003D640C" w:rsidRPr="007B139B">
        <w:rPr>
          <w:i/>
          <w:iCs/>
        </w:rPr>
        <w:t xml:space="preserve"> </w:t>
      </w:r>
      <w:r w:rsidR="00C27753" w:rsidRPr="007B139B">
        <w:rPr>
          <w:i/>
          <w:iCs/>
        </w:rPr>
        <w:t>of</w:t>
      </w:r>
      <w:r w:rsidR="003D640C" w:rsidRPr="007B139B">
        <w:rPr>
          <w:i/>
          <w:iCs/>
        </w:rPr>
        <w:t xml:space="preserve"> </w:t>
      </w:r>
      <w:r w:rsidR="00C27753" w:rsidRPr="007B139B">
        <w:rPr>
          <w:i/>
          <w:iCs/>
        </w:rPr>
        <w:t>Bisexuality</w:t>
      </w:r>
      <w:r w:rsidR="00C27753" w:rsidRPr="004D60C9">
        <w:t>,</w:t>
      </w:r>
      <w:r w:rsidR="003D640C">
        <w:t xml:space="preserve"> </w:t>
      </w:r>
      <w:r w:rsidR="00C27753" w:rsidRPr="007B139B">
        <w:rPr>
          <w:i/>
          <w:iCs/>
        </w:rPr>
        <w:t>1</w:t>
      </w:r>
      <w:r w:rsidR="00C27753" w:rsidRPr="004D60C9">
        <w:t>(2-3),</w:t>
      </w:r>
      <w:r w:rsidR="003D640C">
        <w:t xml:space="preserve"> </w:t>
      </w:r>
      <w:r w:rsidR="00C27753" w:rsidRPr="004D60C9">
        <w:t>155</w:t>
      </w:r>
      <w:r w:rsidR="00521D2F">
        <w:t>–</w:t>
      </w:r>
      <w:r w:rsidR="00C27753" w:rsidRPr="004D60C9">
        <w:t>189</w:t>
      </w:r>
      <w:r w:rsidR="00521D2F">
        <w:t>;</w:t>
      </w:r>
      <w:r w:rsidR="00521D2F" w:rsidRPr="00521D2F">
        <w:t xml:space="preserve"> </w:t>
      </w:r>
      <w:r w:rsidR="00521D2F">
        <w:t xml:space="preserve">Dehlin, J. P., Galliher, R. V., Bradshaw, </w:t>
      </w:r>
      <w:r w:rsidR="00521D2F" w:rsidRPr="004D60C9">
        <w:t>W.</w:t>
      </w:r>
      <w:r w:rsidR="00521D2F">
        <w:t xml:space="preserve"> </w:t>
      </w:r>
      <w:r w:rsidR="00521D2F" w:rsidRPr="004D60C9">
        <w:t>S.,</w:t>
      </w:r>
      <w:r w:rsidR="00521D2F">
        <w:t xml:space="preserve"> &amp; </w:t>
      </w:r>
      <w:r w:rsidR="00521D2F" w:rsidRPr="004D60C9">
        <w:t>Crowell,</w:t>
      </w:r>
      <w:r w:rsidR="00521D2F">
        <w:t xml:space="preserve"> </w:t>
      </w:r>
      <w:r w:rsidR="00521D2F" w:rsidRPr="004D60C9">
        <w:t>K.</w:t>
      </w:r>
      <w:r w:rsidR="00521D2F">
        <w:t xml:space="preserve"> </w:t>
      </w:r>
      <w:r w:rsidR="00521D2F" w:rsidRPr="004D60C9">
        <w:t>A.</w:t>
      </w:r>
      <w:r w:rsidR="00521D2F">
        <w:t xml:space="preserve"> </w:t>
      </w:r>
      <w:r w:rsidR="00521D2F" w:rsidRPr="004D60C9">
        <w:t>(2014)</w:t>
      </w:r>
      <w:r w:rsidR="00521D2F">
        <w:t xml:space="preserve">. Psychosocial correlates of religious approaches to same-sex attraction: A Mormon perspective. </w:t>
      </w:r>
      <w:r w:rsidR="00521D2F" w:rsidRPr="007B139B">
        <w:rPr>
          <w:i/>
          <w:iCs/>
        </w:rPr>
        <w:t>Journal of Gay &amp; Lesbian Mental Health</w:t>
      </w:r>
      <w:r w:rsidR="00521D2F">
        <w:t xml:space="preserve">, </w:t>
      </w:r>
      <w:r w:rsidR="00521D2F" w:rsidRPr="007B139B">
        <w:rPr>
          <w:i/>
          <w:iCs/>
        </w:rPr>
        <w:t>18</w:t>
      </w:r>
      <w:r w:rsidR="00521D2F">
        <w:t>(3), 284–311;</w:t>
      </w:r>
      <w:r w:rsidR="00521D2F" w:rsidRPr="00521D2F">
        <w:t xml:space="preserve"> </w:t>
      </w:r>
      <w:r w:rsidR="00521D2F">
        <w:t xml:space="preserve">Legerski, E., Harker, A., Jeppsen, C., Armstrong, A., Dehlin, J. P., Troutman, K., &amp; Galliher, R. V. (2017). Mormon mixed-orientation marriages: Variations in attitudes and experiences by sexual orientation and current relationship status. </w:t>
      </w:r>
      <w:r w:rsidR="00521D2F" w:rsidRPr="007B139B">
        <w:rPr>
          <w:i/>
          <w:iCs/>
        </w:rPr>
        <w:t>Journal of GLBT Family Studies</w:t>
      </w:r>
      <w:r w:rsidR="00521D2F">
        <w:t xml:space="preserve">, </w:t>
      </w:r>
      <w:r w:rsidR="00521D2F" w:rsidRPr="007B139B">
        <w:rPr>
          <w:i/>
          <w:iCs/>
        </w:rPr>
        <w:t>13</w:t>
      </w:r>
      <w:r w:rsidR="00521D2F">
        <w:t>(2), 186–209.</w:t>
      </w:r>
    </w:p>
  </w:footnote>
  <w:footnote w:id="143">
    <w:p w14:paraId="7A9B42B4" w14:textId="5EFC5ADE" w:rsidR="00411706" w:rsidRPr="00D2059A" w:rsidRDefault="00411706" w:rsidP="003C3829">
      <w:pPr>
        <w:pStyle w:val="FootnoteText"/>
        <w:rPr>
          <w:lang w:val="en-US"/>
        </w:rPr>
      </w:pPr>
      <w:r w:rsidRPr="00D2059A">
        <w:rPr>
          <w:rStyle w:val="FootnoteReference"/>
          <w:rFonts w:cstheme="minorHAnsi"/>
        </w:rPr>
        <w:footnoteRef/>
      </w:r>
      <w:r w:rsidR="003D640C">
        <w:t xml:space="preserve"> </w:t>
      </w:r>
      <w:r w:rsidR="00131C22" w:rsidRPr="00D2059A">
        <w:t>Veale</w:t>
      </w:r>
      <w:r w:rsidR="003C3829">
        <w:t xml:space="preserve"> et al.</w:t>
      </w:r>
      <w:r w:rsidR="00FF28DD" w:rsidRPr="00D2059A">
        <w:t>,</w:t>
      </w:r>
      <w:r w:rsidR="003D640C">
        <w:t xml:space="preserve"> </w:t>
      </w:r>
      <w:r w:rsidR="00FF28DD" w:rsidRPr="00D2059A">
        <w:t>2022</w:t>
      </w:r>
      <w:r w:rsidR="003C3829">
        <w:t>.</w:t>
      </w:r>
    </w:p>
  </w:footnote>
  <w:footnote w:id="144">
    <w:p w14:paraId="22ED3677" w14:textId="39FB8861" w:rsidR="00B6062F" w:rsidRDefault="00B6062F">
      <w:pPr>
        <w:pStyle w:val="FootnoteText"/>
      </w:pPr>
      <w:r>
        <w:rPr>
          <w:rStyle w:val="FootnoteReference"/>
        </w:rPr>
        <w:footnoteRef/>
      </w:r>
      <w:r>
        <w:t xml:space="preserve"> Ibid., p. 4.</w:t>
      </w:r>
    </w:p>
  </w:footnote>
  <w:footnote w:id="145">
    <w:p w14:paraId="08A9C746" w14:textId="7493B88A" w:rsidR="008E18D0" w:rsidRPr="008855F2" w:rsidRDefault="008E18D0" w:rsidP="00E00167">
      <w:pPr>
        <w:pStyle w:val="FootnoteText"/>
        <w:rPr>
          <w:lang w:val="mi-NZ"/>
        </w:rPr>
      </w:pPr>
      <w:r>
        <w:rPr>
          <w:rStyle w:val="FootnoteReference"/>
        </w:rPr>
        <w:footnoteRef/>
      </w:r>
      <w:r w:rsidR="003D640C">
        <w:t xml:space="preserve"> </w:t>
      </w:r>
      <w:r w:rsidR="008B3B98">
        <w:t>Richardson,</w:t>
      </w:r>
      <w:r w:rsidR="003D640C">
        <w:t xml:space="preserve"> </w:t>
      </w:r>
      <w:r w:rsidR="008B3B98">
        <w:t>I.</w:t>
      </w:r>
      <w:r w:rsidR="003D640C">
        <w:t xml:space="preserve"> </w:t>
      </w:r>
      <w:r w:rsidR="008B3B98">
        <w:t>L.</w:t>
      </w:r>
      <w:r w:rsidR="003D640C">
        <w:t xml:space="preserve"> </w:t>
      </w:r>
      <w:r w:rsidR="008B3B98">
        <w:t>M.</w:t>
      </w:r>
      <w:r w:rsidR="003D640C">
        <w:t xml:space="preserve"> </w:t>
      </w:r>
      <w:r w:rsidR="00C773FC">
        <w:t>(1988)</w:t>
      </w:r>
      <w:r w:rsidR="00CA3637">
        <w:t>.</w:t>
      </w:r>
      <w:r w:rsidR="003D640C">
        <w:t xml:space="preserve"> </w:t>
      </w:r>
      <w:r w:rsidR="00CA3637" w:rsidRPr="007B139B">
        <w:rPr>
          <w:i/>
          <w:iCs/>
        </w:rPr>
        <w:t>The</w:t>
      </w:r>
      <w:r w:rsidR="003D640C" w:rsidRPr="007B139B">
        <w:rPr>
          <w:i/>
          <w:iCs/>
        </w:rPr>
        <w:t xml:space="preserve"> </w:t>
      </w:r>
      <w:r w:rsidR="00CA3637" w:rsidRPr="007B139B">
        <w:rPr>
          <w:i/>
          <w:iCs/>
        </w:rPr>
        <w:t>April</w:t>
      </w:r>
      <w:r w:rsidR="003D640C" w:rsidRPr="007B139B">
        <w:rPr>
          <w:i/>
          <w:iCs/>
        </w:rPr>
        <w:t xml:space="preserve"> </w:t>
      </w:r>
      <w:r w:rsidR="00CA3637" w:rsidRPr="007B139B">
        <w:rPr>
          <w:i/>
          <w:iCs/>
        </w:rPr>
        <w:t>Report:</w:t>
      </w:r>
      <w:r w:rsidR="003D640C" w:rsidRPr="007B139B">
        <w:rPr>
          <w:i/>
          <w:iCs/>
        </w:rPr>
        <w:t xml:space="preserve"> </w:t>
      </w:r>
      <w:r w:rsidR="00CA3637" w:rsidRPr="007B139B">
        <w:rPr>
          <w:i/>
          <w:iCs/>
        </w:rPr>
        <w:t>Report</w:t>
      </w:r>
      <w:r w:rsidR="003D640C" w:rsidRPr="007B139B">
        <w:rPr>
          <w:i/>
          <w:iCs/>
        </w:rPr>
        <w:t xml:space="preserve"> </w:t>
      </w:r>
      <w:r w:rsidR="00CA3637" w:rsidRPr="007B139B">
        <w:rPr>
          <w:i/>
          <w:iCs/>
        </w:rPr>
        <w:t>of</w:t>
      </w:r>
      <w:r w:rsidR="003D640C" w:rsidRPr="007B139B">
        <w:rPr>
          <w:i/>
          <w:iCs/>
        </w:rPr>
        <w:t xml:space="preserve"> </w:t>
      </w:r>
      <w:r w:rsidR="00CA3637" w:rsidRPr="007B139B">
        <w:rPr>
          <w:i/>
          <w:iCs/>
        </w:rPr>
        <w:t>The</w:t>
      </w:r>
      <w:r w:rsidR="003D640C" w:rsidRPr="007B139B">
        <w:rPr>
          <w:i/>
          <w:iCs/>
        </w:rPr>
        <w:t xml:space="preserve"> </w:t>
      </w:r>
      <w:r w:rsidR="00F4009E" w:rsidRPr="007B139B">
        <w:rPr>
          <w:i/>
          <w:iCs/>
        </w:rPr>
        <w:t>Royal</w:t>
      </w:r>
      <w:r w:rsidR="003D640C" w:rsidRPr="007B139B">
        <w:rPr>
          <w:i/>
          <w:iCs/>
        </w:rPr>
        <w:t xml:space="preserve"> </w:t>
      </w:r>
      <w:r w:rsidR="00F4009E" w:rsidRPr="007B139B">
        <w:rPr>
          <w:i/>
          <w:iCs/>
        </w:rPr>
        <w:t>Commission</w:t>
      </w:r>
      <w:r w:rsidR="003D640C" w:rsidRPr="007B139B">
        <w:rPr>
          <w:i/>
          <w:iCs/>
        </w:rPr>
        <w:t xml:space="preserve"> </w:t>
      </w:r>
      <w:r w:rsidR="00F4009E" w:rsidRPr="007B139B">
        <w:rPr>
          <w:i/>
          <w:iCs/>
        </w:rPr>
        <w:t>on</w:t>
      </w:r>
      <w:r w:rsidR="003D640C" w:rsidRPr="007B139B">
        <w:rPr>
          <w:i/>
          <w:iCs/>
        </w:rPr>
        <w:t xml:space="preserve"> </w:t>
      </w:r>
      <w:r w:rsidR="00F4009E" w:rsidRPr="007B139B">
        <w:rPr>
          <w:i/>
          <w:iCs/>
        </w:rPr>
        <w:t>Social</w:t>
      </w:r>
      <w:r w:rsidR="003D640C" w:rsidRPr="007B139B">
        <w:rPr>
          <w:i/>
          <w:iCs/>
        </w:rPr>
        <w:t xml:space="preserve"> </w:t>
      </w:r>
      <w:r w:rsidR="00F4009E" w:rsidRPr="007B139B">
        <w:rPr>
          <w:i/>
          <w:iCs/>
        </w:rPr>
        <w:t>Policy</w:t>
      </w:r>
      <w:r w:rsidR="003D640C" w:rsidRPr="007B139B">
        <w:rPr>
          <w:i/>
          <w:iCs/>
        </w:rPr>
        <w:t xml:space="preserve"> </w:t>
      </w:r>
      <w:r w:rsidR="00A945D4" w:rsidRPr="007B139B">
        <w:rPr>
          <w:i/>
          <w:iCs/>
        </w:rPr>
        <w:t xml:space="preserve">| </w:t>
      </w:r>
      <w:r w:rsidR="00F4009E" w:rsidRPr="007B139B">
        <w:rPr>
          <w:i/>
          <w:iCs/>
        </w:rPr>
        <w:t>Te</w:t>
      </w:r>
      <w:r w:rsidR="003D640C" w:rsidRPr="007B139B">
        <w:rPr>
          <w:i/>
          <w:iCs/>
        </w:rPr>
        <w:t xml:space="preserve"> </w:t>
      </w:r>
      <w:r w:rsidR="00F4009E" w:rsidRPr="007B139B">
        <w:rPr>
          <w:i/>
          <w:iCs/>
        </w:rPr>
        <w:t>Kōmihana</w:t>
      </w:r>
      <w:r w:rsidR="003D640C" w:rsidRPr="007B139B">
        <w:rPr>
          <w:i/>
          <w:iCs/>
        </w:rPr>
        <w:t xml:space="preserve"> </w:t>
      </w:r>
      <w:r w:rsidR="00F4009E" w:rsidRPr="007B139B">
        <w:rPr>
          <w:i/>
          <w:iCs/>
        </w:rPr>
        <w:t>a</w:t>
      </w:r>
      <w:r w:rsidR="003D640C" w:rsidRPr="007B139B">
        <w:rPr>
          <w:i/>
          <w:iCs/>
        </w:rPr>
        <w:t xml:space="preserve"> </w:t>
      </w:r>
      <w:r w:rsidR="00F4009E" w:rsidRPr="007B139B">
        <w:rPr>
          <w:i/>
          <w:iCs/>
        </w:rPr>
        <w:t>te</w:t>
      </w:r>
      <w:r w:rsidR="003D640C" w:rsidRPr="007B139B">
        <w:rPr>
          <w:i/>
          <w:iCs/>
        </w:rPr>
        <w:t xml:space="preserve"> </w:t>
      </w:r>
      <w:r w:rsidR="00F4009E" w:rsidRPr="007B139B">
        <w:rPr>
          <w:i/>
          <w:iCs/>
        </w:rPr>
        <w:t>Karauna</w:t>
      </w:r>
      <w:r w:rsidR="003D640C" w:rsidRPr="007B139B">
        <w:rPr>
          <w:i/>
          <w:iCs/>
        </w:rPr>
        <w:t xml:space="preserve"> </w:t>
      </w:r>
      <w:r w:rsidR="00F4009E" w:rsidRPr="007B139B">
        <w:rPr>
          <w:i/>
          <w:iCs/>
        </w:rPr>
        <w:t>mō</w:t>
      </w:r>
      <w:r w:rsidR="003D640C" w:rsidRPr="007B139B">
        <w:rPr>
          <w:i/>
          <w:iCs/>
        </w:rPr>
        <w:t xml:space="preserve"> </w:t>
      </w:r>
      <w:r w:rsidR="00F4009E" w:rsidRPr="007B139B">
        <w:rPr>
          <w:i/>
          <w:iCs/>
        </w:rPr>
        <w:t>ngā</w:t>
      </w:r>
      <w:r w:rsidR="003D640C" w:rsidRPr="007B139B">
        <w:rPr>
          <w:i/>
          <w:iCs/>
        </w:rPr>
        <w:t xml:space="preserve"> </w:t>
      </w:r>
      <w:r w:rsidR="00A945D4" w:rsidRPr="00A945D4">
        <w:rPr>
          <w:i/>
          <w:iCs/>
        </w:rPr>
        <w:t>Ā</w:t>
      </w:r>
      <w:r w:rsidR="00F4009E" w:rsidRPr="007B139B">
        <w:rPr>
          <w:i/>
          <w:iCs/>
        </w:rPr>
        <w:t>huatanga-ā-iwi</w:t>
      </w:r>
      <w:r w:rsidR="003D640C">
        <w:t xml:space="preserve"> </w:t>
      </w:r>
      <w:r w:rsidR="001B0C5A">
        <w:t>(</w:t>
      </w:r>
      <w:r w:rsidR="00A51DFA">
        <w:t>v</w:t>
      </w:r>
      <w:r w:rsidR="001B0C5A">
        <w:t>ol</w:t>
      </w:r>
      <w:r w:rsidR="00A945D4">
        <w:t>.</w:t>
      </w:r>
      <w:r w:rsidR="003D640C">
        <w:t xml:space="preserve"> </w:t>
      </w:r>
      <w:r w:rsidR="001B0C5A">
        <w:t>3,</w:t>
      </w:r>
      <w:r w:rsidR="003D640C">
        <w:t xml:space="preserve"> </w:t>
      </w:r>
      <w:r w:rsidR="001B0C5A">
        <w:t>pt</w:t>
      </w:r>
      <w:r w:rsidR="003D640C">
        <w:t xml:space="preserve"> </w:t>
      </w:r>
      <w:r w:rsidR="001B0C5A">
        <w:t>2)</w:t>
      </w:r>
      <w:r w:rsidR="00A51DFA">
        <w:t>.</w:t>
      </w:r>
      <w:r w:rsidR="003D640C">
        <w:t xml:space="preserve"> </w:t>
      </w:r>
      <w:r w:rsidR="00A51DFA">
        <w:t>The</w:t>
      </w:r>
      <w:r w:rsidR="003D640C">
        <w:t xml:space="preserve"> </w:t>
      </w:r>
      <w:r w:rsidR="00A945D4">
        <w:t xml:space="preserve">Royal </w:t>
      </w:r>
      <w:r w:rsidR="00A51DFA">
        <w:t>Commission</w:t>
      </w:r>
      <w:r w:rsidR="00A945D4">
        <w:t xml:space="preserve"> on Social Policy</w:t>
      </w:r>
      <w:r w:rsidR="008855F2">
        <w:t>.</w:t>
      </w:r>
      <w:r w:rsidR="003D640C">
        <w:t xml:space="preserve"> </w:t>
      </w:r>
    </w:p>
  </w:footnote>
  <w:footnote w:id="146">
    <w:p w14:paraId="050C7CD7" w14:textId="3EC290E0" w:rsidR="003E7BC8" w:rsidRPr="008855F2" w:rsidRDefault="003E7BC8" w:rsidP="00E00167">
      <w:pPr>
        <w:pStyle w:val="FootnoteText"/>
        <w:rPr>
          <w:lang w:val="mi-NZ"/>
        </w:rPr>
      </w:pPr>
      <w:r>
        <w:rPr>
          <w:rStyle w:val="FootnoteReference"/>
        </w:rPr>
        <w:footnoteRef/>
      </w:r>
      <w:r w:rsidR="003D640C">
        <w:t xml:space="preserve"> </w:t>
      </w:r>
      <w:r w:rsidR="00E02407">
        <w:t>Kerekere,</w:t>
      </w:r>
      <w:r w:rsidR="003D640C">
        <w:t xml:space="preserve"> </w:t>
      </w:r>
      <w:r w:rsidR="000E5358">
        <w:t>2017</w:t>
      </w:r>
      <w:r w:rsidR="00A5635D">
        <w:t>a</w:t>
      </w:r>
      <w:r w:rsidR="000E5358">
        <w:t>.</w:t>
      </w:r>
      <w:r w:rsidR="003D640C">
        <w:t xml:space="preserve"> </w:t>
      </w:r>
    </w:p>
  </w:footnote>
  <w:footnote w:id="147">
    <w:p w14:paraId="1B5ED1B1" w14:textId="6C1F4CCF" w:rsidR="00980E0B" w:rsidRPr="008855F2" w:rsidRDefault="00980E0B" w:rsidP="00E00167">
      <w:pPr>
        <w:pStyle w:val="FootnoteText"/>
        <w:rPr>
          <w:lang w:val="mi-NZ"/>
        </w:rPr>
      </w:pPr>
      <w:r>
        <w:rPr>
          <w:rStyle w:val="FootnoteReference"/>
        </w:rPr>
        <w:footnoteRef/>
      </w:r>
      <w:r w:rsidR="003D640C">
        <w:t xml:space="preserve"> </w:t>
      </w:r>
      <w:r w:rsidR="005A17EA">
        <w:t>Pihama</w:t>
      </w:r>
      <w:r w:rsidR="00D72F63">
        <w:t xml:space="preserve"> et al.</w:t>
      </w:r>
      <w:r w:rsidR="004A106B">
        <w:t>,</w:t>
      </w:r>
      <w:r w:rsidR="003D640C">
        <w:t xml:space="preserve"> </w:t>
      </w:r>
      <w:r w:rsidR="00617428">
        <w:t>2020</w:t>
      </w:r>
      <w:r w:rsidR="002D4730">
        <w:t>.</w:t>
      </w:r>
    </w:p>
  </w:footnote>
  <w:footnote w:id="148">
    <w:p w14:paraId="61854D0A" w14:textId="07D28F46" w:rsidR="00B20B4C" w:rsidRPr="00F26637" w:rsidRDefault="00B20B4C" w:rsidP="00E00167">
      <w:pPr>
        <w:pStyle w:val="FootnoteText"/>
        <w:rPr>
          <w:lang w:val="mi-NZ"/>
        </w:rPr>
      </w:pPr>
      <w:r>
        <w:rPr>
          <w:rStyle w:val="FootnoteReference"/>
        </w:rPr>
        <w:footnoteRef/>
      </w:r>
      <w:r w:rsidR="003D640C">
        <w:t xml:space="preserve"> </w:t>
      </w:r>
      <w:r>
        <w:t>Kerekere</w:t>
      </w:r>
      <w:r w:rsidR="004D310E">
        <w:t>,</w:t>
      </w:r>
      <w:r w:rsidR="003D640C">
        <w:t xml:space="preserve"> </w:t>
      </w:r>
      <w:r w:rsidR="004D310E">
        <w:t>2017</w:t>
      </w:r>
      <w:r w:rsidR="00A5635D">
        <w:t>a.</w:t>
      </w:r>
    </w:p>
  </w:footnote>
  <w:footnote w:id="149">
    <w:p w14:paraId="58E3CE53" w14:textId="4DCE4A9F" w:rsidR="007A3596" w:rsidRPr="00F26637" w:rsidRDefault="007A3596" w:rsidP="00E00167">
      <w:pPr>
        <w:pStyle w:val="FootnoteText"/>
        <w:rPr>
          <w:lang w:val="mi-NZ"/>
        </w:rPr>
      </w:pPr>
      <w:r>
        <w:rPr>
          <w:rStyle w:val="FootnoteReference"/>
        </w:rPr>
        <w:footnoteRef/>
      </w:r>
      <w:r w:rsidR="003D640C">
        <w:t xml:space="preserve"> </w:t>
      </w:r>
      <w:r w:rsidR="00A82F7C">
        <w:t>Pihama</w:t>
      </w:r>
      <w:r w:rsidR="003D640C">
        <w:t xml:space="preserve"> </w:t>
      </w:r>
      <w:r w:rsidR="00A82F7C">
        <w:t>et</w:t>
      </w:r>
      <w:r w:rsidR="003D640C">
        <w:t xml:space="preserve"> </w:t>
      </w:r>
      <w:r w:rsidR="00A82F7C">
        <w:t>al.,</w:t>
      </w:r>
      <w:r w:rsidR="003D640C">
        <w:t xml:space="preserve"> </w:t>
      </w:r>
      <w:r w:rsidR="00A82F7C">
        <w:t>2020</w:t>
      </w:r>
      <w:r w:rsidR="00D72F63">
        <w:t>.</w:t>
      </w:r>
    </w:p>
  </w:footnote>
  <w:footnote w:id="150">
    <w:p w14:paraId="4CF0B69C" w14:textId="33CF1D76" w:rsidR="00925BD0" w:rsidRPr="00F26637" w:rsidRDefault="00925BD0" w:rsidP="00E00167">
      <w:pPr>
        <w:pStyle w:val="FootnoteText"/>
        <w:rPr>
          <w:lang w:val="mi-NZ"/>
        </w:rPr>
      </w:pPr>
      <w:r>
        <w:rPr>
          <w:rStyle w:val="FootnoteReference"/>
        </w:rPr>
        <w:footnoteRef/>
      </w:r>
      <w:r w:rsidR="003D640C">
        <w:t xml:space="preserve"> </w:t>
      </w:r>
      <w:r w:rsidRPr="0059666D">
        <w:rPr>
          <w:lang w:val="mi-NZ"/>
        </w:rPr>
        <w:t>Kerekere,</w:t>
      </w:r>
      <w:r w:rsidR="003D640C">
        <w:rPr>
          <w:lang w:val="mi-NZ"/>
        </w:rPr>
        <w:t xml:space="preserve"> </w:t>
      </w:r>
      <w:r w:rsidR="00585930" w:rsidRPr="0059666D">
        <w:rPr>
          <w:lang w:val="mi-NZ"/>
        </w:rPr>
        <w:t>2017</w:t>
      </w:r>
      <w:r w:rsidR="00A5635D">
        <w:rPr>
          <w:lang w:val="mi-NZ"/>
        </w:rPr>
        <w:t>a.</w:t>
      </w:r>
    </w:p>
  </w:footnote>
  <w:footnote w:id="151">
    <w:p w14:paraId="293BF53F" w14:textId="713B00D4" w:rsidR="00F26637" w:rsidRPr="00F26637" w:rsidRDefault="00F26637" w:rsidP="00E00167">
      <w:pPr>
        <w:pStyle w:val="FootnoteText"/>
        <w:rPr>
          <w:lang w:val="mi-NZ"/>
        </w:rPr>
      </w:pPr>
      <w:r>
        <w:rPr>
          <w:rStyle w:val="FootnoteReference"/>
        </w:rPr>
        <w:footnoteRef/>
      </w:r>
      <w:r w:rsidR="003D640C">
        <w:t xml:space="preserve"> </w:t>
      </w:r>
      <w:r w:rsidR="00A82F7C">
        <w:t>Pihama</w:t>
      </w:r>
      <w:r w:rsidR="003D640C">
        <w:t xml:space="preserve"> </w:t>
      </w:r>
      <w:r w:rsidR="00A82F7C">
        <w:t>et</w:t>
      </w:r>
      <w:r w:rsidR="003D640C">
        <w:t xml:space="preserve"> </w:t>
      </w:r>
      <w:r w:rsidR="00A82F7C">
        <w:t>al.,</w:t>
      </w:r>
      <w:r w:rsidR="003D640C">
        <w:t xml:space="preserve"> </w:t>
      </w:r>
      <w:r w:rsidR="00A82F7C">
        <w:t>2020</w:t>
      </w:r>
      <w:r w:rsidR="00D72F63">
        <w:t>.</w:t>
      </w:r>
    </w:p>
  </w:footnote>
  <w:footnote w:id="152">
    <w:p w14:paraId="76F1F8E0" w14:textId="5CEB445B" w:rsidR="00716776" w:rsidRPr="00650030" w:rsidRDefault="00716776" w:rsidP="00E00167">
      <w:pPr>
        <w:pStyle w:val="FootnoteText"/>
        <w:rPr>
          <w:lang w:val="mi-NZ"/>
        </w:rPr>
      </w:pPr>
      <w:r>
        <w:rPr>
          <w:rStyle w:val="FootnoteReference"/>
        </w:rPr>
        <w:footnoteRef/>
      </w:r>
      <w:r w:rsidR="003D640C">
        <w:t xml:space="preserve"> </w:t>
      </w:r>
      <w:r w:rsidR="000E5F0B">
        <w:t>Laurie,</w:t>
      </w:r>
      <w:r w:rsidR="003D640C">
        <w:t xml:space="preserve"> </w:t>
      </w:r>
      <w:r w:rsidR="000E5F0B">
        <w:t>A.</w:t>
      </w:r>
      <w:r w:rsidR="003D640C">
        <w:t xml:space="preserve"> </w:t>
      </w:r>
      <w:r w:rsidR="000E5F0B">
        <w:t>J.</w:t>
      </w:r>
      <w:r w:rsidR="003D640C">
        <w:t xml:space="preserve"> </w:t>
      </w:r>
      <w:r w:rsidR="005715E0">
        <w:t>(2018)</w:t>
      </w:r>
      <w:r w:rsidR="00196FFC">
        <w:t>.</w:t>
      </w:r>
      <w:r w:rsidR="003D640C">
        <w:t xml:space="preserve"> </w:t>
      </w:r>
      <w:r w:rsidR="00196FFC" w:rsidRPr="00650030">
        <w:rPr>
          <w:i/>
          <w:iCs/>
        </w:rPr>
        <w:t>Lesbian</w:t>
      </w:r>
      <w:r w:rsidR="003D640C">
        <w:rPr>
          <w:i/>
          <w:iCs/>
        </w:rPr>
        <w:t xml:space="preserve"> </w:t>
      </w:r>
      <w:r w:rsidR="00196FFC" w:rsidRPr="00650030">
        <w:rPr>
          <w:i/>
          <w:iCs/>
        </w:rPr>
        <w:t>lives.</w:t>
      </w:r>
      <w:r w:rsidR="003D640C">
        <w:t xml:space="preserve"> </w:t>
      </w:r>
      <w:r w:rsidR="00196FFC">
        <w:t>Te</w:t>
      </w:r>
      <w:r w:rsidR="003D640C">
        <w:t xml:space="preserve"> </w:t>
      </w:r>
      <w:r w:rsidR="00196FFC">
        <w:t>Ara</w:t>
      </w:r>
      <w:r w:rsidR="003D640C">
        <w:t xml:space="preserve"> </w:t>
      </w:r>
      <w:r w:rsidR="00196FFC">
        <w:t>–</w:t>
      </w:r>
      <w:r w:rsidR="003D640C">
        <w:t xml:space="preserve"> </w:t>
      </w:r>
      <w:r w:rsidR="00196FFC">
        <w:t>the</w:t>
      </w:r>
      <w:r w:rsidR="003D640C">
        <w:t xml:space="preserve"> </w:t>
      </w:r>
      <w:r w:rsidR="00196FFC">
        <w:t>Encyclopedia</w:t>
      </w:r>
      <w:r w:rsidR="003D640C">
        <w:t xml:space="preserve"> </w:t>
      </w:r>
      <w:r w:rsidR="00196FFC">
        <w:t>of</w:t>
      </w:r>
      <w:r w:rsidR="003D640C">
        <w:t xml:space="preserve"> </w:t>
      </w:r>
      <w:r w:rsidR="00196FFC">
        <w:t>New</w:t>
      </w:r>
      <w:r w:rsidR="003D640C">
        <w:t xml:space="preserve"> </w:t>
      </w:r>
      <w:r w:rsidR="00196FFC">
        <w:t>Zealand.</w:t>
      </w:r>
      <w:r w:rsidR="003D640C">
        <w:t xml:space="preserve"> </w:t>
      </w:r>
    </w:p>
  </w:footnote>
  <w:footnote w:id="153">
    <w:p w14:paraId="37DFB3C8" w14:textId="1F3E452F" w:rsidR="008C2F4E" w:rsidRPr="00697D51" w:rsidRDefault="008C2F4E" w:rsidP="00E00167">
      <w:pPr>
        <w:pStyle w:val="FootnoteText"/>
      </w:pPr>
      <w:r>
        <w:rPr>
          <w:rStyle w:val="FootnoteReference"/>
        </w:rPr>
        <w:footnoteRef/>
      </w:r>
      <w:r w:rsidR="003D640C">
        <w:t xml:space="preserve"> </w:t>
      </w:r>
      <w:r w:rsidR="00AA783C">
        <w:t>NZ</w:t>
      </w:r>
      <w:r w:rsidR="003D640C">
        <w:t xml:space="preserve"> </w:t>
      </w:r>
      <w:r w:rsidR="00AA783C">
        <w:t>Truth</w:t>
      </w:r>
      <w:r w:rsidR="009C47FA">
        <w:t>.</w:t>
      </w:r>
      <w:r w:rsidR="003D640C">
        <w:t xml:space="preserve"> </w:t>
      </w:r>
      <w:r w:rsidR="009C47FA">
        <w:t>(1929,</w:t>
      </w:r>
      <w:r w:rsidR="003D640C">
        <w:t xml:space="preserve"> </w:t>
      </w:r>
      <w:r w:rsidR="009C47FA">
        <w:t>May</w:t>
      </w:r>
      <w:r w:rsidR="00B11068">
        <w:t xml:space="preserve"> 9</w:t>
      </w:r>
      <w:r w:rsidR="009C47FA">
        <w:t>)</w:t>
      </w:r>
      <w:r w:rsidR="00B11068">
        <w:t>.</w:t>
      </w:r>
      <w:r w:rsidR="003D640C">
        <w:t xml:space="preserve"> </w:t>
      </w:r>
      <w:r w:rsidR="00384720" w:rsidRPr="005F35F2">
        <w:rPr>
          <w:i/>
          <w:iCs/>
          <w:lang w:val="mi-NZ"/>
        </w:rPr>
        <w:t>Man</w:t>
      </w:r>
      <w:r w:rsidR="003D640C">
        <w:rPr>
          <w:i/>
          <w:iCs/>
          <w:lang w:val="mi-NZ"/>
        </w:rPr>
        <w:t xml:space="preserve"> </w:t>
      </w:r>
      <w:r w:rsidR="00384720" w:rsidRPr="005F35F2">
        <w:rPr>
          <w:i/>
          <w:iCs/>
          <w:lang w:val="mi-NZ"/>
        </w:rPr>
        <w:t>with</w:t>
      </w:r>
      <w:r w:rsidR="003D640C">
        <w:rPr>
          <w:i/>
          <w:iCs/>
          <w:lang w:val="mi-NZ"/>
        </w:rPr>
        <w:t xml:space="preserve"> </w:t>
      </w:r>
      <w:r w:rsidR="00D577D9">
        <w:rPr>
          <w:i/>
          <w:iCs/>
          <w:lang w:val="mi-NZ"/>
        </w:rPr>
        <w:t>f</w:t>
      </w:r>
      <w:r w:rsidR="00384720" w:rsidRPr="005F35F2">
        <w:rPr>
          <w:i/>
          <w:iCs/>
          <w:lang w:val="mi-NZ"/>
        </w:rPr>
        <w:t>emale</w:t>
      </w:r>
      <w:r w:rsidR="003D640C">
        <w:rPr>
          <w:i/>
          <w:iCs/>
          <w:lang w:val="mi-NZ"/>
        </w:rPr>
        <w:t xml:space="preserve"> </w:t>
      </w:r>
      <w:r w:rsidR="00D577D9">
        <w:rPr>
          <w:i/>
          <w:iCs/>
          <w:lang w:val="mi-NZ"/>
        </w:rPr>
        <w:t>m</w:t>
      </w:r>
      <w:r w:rsidR="00384720" w:rsidRPr="005F35F2">
        <w:rPr>
          <w:i/>
          <w:iCs/>
          <w:lang w:val="mi-NZ"/>
        </w:rPr>
        <w:t>entality</w:t>
      </w:r>
      <w:r w:rsidR="009623A0">
        <w:rPr>
          <w:lang w:val="mi-NZ"/>
        </w:rPr>
        <w:t>.</w:t>
      </w:r>
    </w:p>
  </w:footnote>
  <w:footnote w:id="154">
    <w:p w14:paraId="24585DDA" w14:textId="202084F7" w:rsidR="00B832F2" w:rsidRDefault="00B832F2" w:rsidP="00E00167">
      <w:pPr>
        <w:pStyle w:val="FootnoteText"/>
      </w:pPr>
      <w:r>
        <w:rPr>
          <w:rStyle w:val="FootnoteReference"/>
        </w:rPr>
        <w:footnoteRef/>
      </w:r>
      <w:r w:rsidR="003D640C">
        <w:t xml:space="preserve"> </w:t>
      </w:r>
      <w:r w:rsidR="00A82F7C">
        <w:t>Pihama</w:t>
      </w:r>
      <w:r w:rsidR="003D640C">
        <w:t xml:space="preserve"> </w:t>
      </w:r>
      <w:r w:rsidR="00A82F7C">
        <w:t>et</w:t>
      </w:r>
      <w:r w:rsidR="003D640C">
        <w:t xml:space="preserve"> </w:t>
      </w:r>
      <w:r w:rsidR="00A82F7C">
        <w:t>al.,</w:t>
      </w:r>
      <w:r w:rsidR="003D640C">
        <w:t xml:space="preserve"> </w:t>
      </w:r>
      <w:r w:rsidR="00A82F7C">
        <w:t>2020</w:t>
      </w:r>
      <w:r w:rsidR="00D72F63">
        <w:t>.</w:t>
      </w:r>
    </w:p>
  </w:footnote>
  <w:footnote w:id="155">
    <w:p w14:paraId="23AD6F8E" w14:textId="666E5923" w:rsidR="00FD3EF5" w:rsidRDefault="00FD3EF5" w:rsidP="00E00167">
      <w:pPr>
        <w:pStyle w:val="FootnoteText"/>
      </w:pPr>
      <w:r>
        <w:rPr>
          <w:rStyle w:val="FootnoteReference"/>
        </w:rPr>
        <w:footnoteRef/>
      </w:r>
      <w:r w:rsidR="003D640C">
        <w:t xml:space="preserve"> </w:t>
      </w:r>
      <w:r w:rsidR="005E0957">
        <w:t>Ibid</w:t>
      </w:r>
      <w:r w:rsidR="00D72F63" w:rsidRPr="005E0957">
        <w:t>.</w:t>
      </w:r>
    </w:p>
  </w:footnote>
  <w:footnote w:id="156">
    <w:p w14:paraId="5981CD9F" w14:textId="35166A35" w:rsidR="004C748A" w:rsidRDefault="004C748A" w:rsidP="00E00167">
      <w:pPr>
        <w:pStyle w:val="FootnoteText"/>
      </w:pPr>
      <w:r>
        <w:rPr>
          <w:rStyle w:val="FootnoteReference"/>
        </w:rPr>
        <w:footnoteRef/>
      </w:r>
      <w:r w:rsidR="003D640C">
        <w:t xml:space="preserve"> </w:t>
      </w:r>
      <w:r>
        <w:t>Tangata</w:t>
      </w:r>
      <w:r w:rsidR="003D640C">
        <w:t xml:space="preserve"> </w:t>
      </w:r>
      <w:r>
        <w:t>Whenua</w:t>
      </w:r>
      <w:r w:rsidR="003D640C">
        <w:t xml:space="preserve"> </w:t>
      </w:r>
      <w:r>
        <w:t>Caucus</w:t>
      </w:r>
      <w:r w:rsidR="003D640C">
        <w:t xml:space="preserve"> </w:t>
      </w:r>
      <w:r>
        <w:t>of</w:t>
      </w:r>
      <w:r w:rsidR="003D640C">
        <w:t xml:space="preserve"> </w:t>
      </w:r>
      <w:r>
        <w:t>the</w:t>
      </w:r>
      <w:r w:rsidR="003D640C">
        <w:t xml:space="preserve"> </w:t>
      </w:r>
      <w:r>
        <w:t>National</w:t>
      </w:r>
      <w:r w:rsidR="003D640C">
        <w:t xml:space="preserve"> </w:t>
      </w:r>
      <w:r>
        <w:t>Anti-Racism</w:t>
      </w:r>
      <w:r w:rsidR="003D640C">
        <w:t xml:space="preserve"> </w:t>
      </w:r>
      <w:r>
        <w:t>Taskforce</w:t>
      </w:r>
      <w:r w:rsidR="003D640C">
        <w:t xml:space="preserve"> </w:t>
      </w:r>
      <w:r w:rsidR="005E0957">
        <w:t xml:space="preserve">&amp; </w:t>
      </w:r>
      <w:r>
        <w:t>Ahi</w:t>
      </w:r>
      <w:r w:rsidR="003D640C">
        <w:t xml:space="preserve"> </w:t>
      </w:r>
      <w:r>
        <w:t>Kaa.</w:t>
      </w:r>
      <w:r w:rsidR="003D640C">
        <w:t xml:space="preserve"> </w:t>
      </w:r>
      <w:r>
        <w:t>(2022).</w:t>
      </w:r>
      <w:r w:rsidR="003D640C">
        <w:t xml:space="preserve"> </w:t>
      </w:r>
      <w:r w:rsidRPr="007B139B">
        <w:rPr>
          <w:i/>
          <w:iCs/>
        </w:rPr>
        <w:t>Maranga</w:t>
      </w:r>
      <w:r w:rsidR="003D640C" w:rsidRPr="007B139B">
        <w:rPr>
          <w:i/>
          <w:iCs/>
        </w:rPr>
        <w:t xml:space="preserve"> </w:t>
      </w:r>
      <w:r w:rsidRPr="007B139B">
        <w:rPr>
          <w:i/>
          <w:iCs/>
        </w:rPr>
        <w:t>Mai!:</w:t>
      </w:r>
      <w:r w:rsidR="003D640C" w:rsidRPr="007B139B">
        <w:rPr>
          <w:i/>
          <w:iCs/>
        </w:rPr>
        <w:t xml:space="preserve"> </w:t>
      </w:r>
      <w:r w:rsidRPr="007B139B">
        <w:rPr>
          <w:i/>
          <w:iCs/>
        </w:rPr>
        <w:t>The</w:t>
      </w:r>
      <w:r w:rsidR="003D640C" w:rsidRPr="007B139B">
        <w:rPr>
          <w:i/>
          <w:iCs/>
        </w:rPr>
        <w:t xml:space="preserve"> </w:t>
      </w:r>
      <w:r w:rsidRPr="007B139B">
        <w:rPr>
          <w:i/>
          <w:iCs/>
        </w:rPr>
        <w:t>dynamics</w:t>
      </w:r>
      <w:r w:rsidR="003D640C" w:rsidRPr="007B139B">
        <w:rPr>
          <w:i/>
          <w:iCs/>
        </w:rPr>
        <w:t xml:space="preserve"> </w:t>
      </w:r>
      <w:r w:rsidRPr="007B139B">
        <w:rPr>
          <w:i/>
          <w:iCs/>
        </w:rPr>
        <w:t>and</w:t>
      </w:r>
      <w:r w:rsidR="003D640C" w:rsidRPr="007B139B">
        <w:rPr>
          <w:i/>
          <w:iCs/>
        </w:rPr>
        <w:t xml:space="preserve"> </w:t>
      </w:r>
      <w:r w:rsidRPr="007B139B">
        <w:rPr>
          <w:i/>
          <w:iCs/>
        </w:rPr>
        <w:t>impacts</w:t>
      </w:r>
      <w:r w:rsidR="003D640C" w:rsidRPr="007B139B">
        <w:rPr>
          <w:i/>
          <w:iCs/>
        </w:rPr>
        <w:t xml:space="preserve"> </w:t>
      </w:r>
      <w:r w:rsidRPr="007B139B">
        <w:rPr>
          <w:i/>
          <w:iCs/>
        </w:rPr>
        <w:t>of</w:t>
      </w:r>
      <w:r w:rsidR="003D640C" w:rsidRPr="007B139B">
        <w:rPr>
          <w:i/>
          <w:iCs/>
        </w:rPr>
        <w:t xml:space="preserve"> </w:t>
      </w:r>
      <w:r w:rsidRPr="007B139B">
        <w:rPr>
          <w:i/>
          <w:iCs/>
        </w:rPr>
        <w:t>white</w:t>
      </w:r>
      <w:r w:rsidR="003D640C" w:rsidRPr="007B139B">
        <w:rPr>
          <w:i/>
          <w:iCs/>
        </w:rPr>
        <w:t xml:space="preserve"> </w:t>
      </w:r>
      <w:r w:rsidRPr="007B139B">
        <w:rPr>
          <w:i/>
          <w:iCs/>
        </w:rPr>
        <w:t>supremacy,</w:t>
      </w:r>
      <w:r w:rsidR="003D640C" w:rsidRPr="007B139B">
        <w:rPr>
          <w:i/>
          <w:iCs/>
        </w:rPr>
        <w:t xml:space="preserve"> </w:t>
      </w:r>
      <w:r w:rsidRPr="007B139B">
        <w:rPr>
          <w:i/>
          <w:iCs/>
        </w:rPr>
        <w:t>racism,</w:t>
      </w:r>
      <w:r w:rsidR="003D640C" w:rsidRPr="007B139B">
        <w:rPr>
          <w:i/>
          <w:iCs/>
        </w:rPr>
        <w:t xml:space="preserve"> </w:t>
      </w:r>
      <w:r w:rsidRPr="007B139B">
        <w:rPr>
          <w:i/>
          <w:iCs/>
        </w:rPr>
        <w:t>and</w:t>
      </w:r>
      <w:r w:rsidR="003D640C" w:rsidRPr="007B139B">
        <w:rPr>
          <w:i/>
          <w:iCs/>
        </w:rPr>
        <w:t xml:space="preserve"> </w:t>
      </w:r>
      <w:r w:rsidRPr="007B139B">
        <w:rPr>
          <w:i/>
          <w:iCs/>
        </w:rPr>
        <w:t>colonisation</w:t>
      </w:r>
      <w:r w:rsidR="003D640C" w:rsidRPr="007B139B">
        <w:rPr>
          <w:i/>
          <w:iCs/>
        </w:rPr>
        <w:t xml:space="preserve"> </w:t>
      </w:r>
      <w:r w:rsidRPr="007B139B">
        <w:rPr>
          <w:i/>
          <w:iCs/>
        </w:rPr>
        <w:t>upon</w:t>
      </w:r>
      <w:r w:rsidR="003D640C" w:rsidRPr="007B139B">
        <w:rPr>
          <w:i/>
          <w:iCs/>
        </w:rPr>
        <w:t xml:space="preserve"> </w:t>
      </w:r>
      <w:r w:rsidR="009E32D9" w:rsidRPr="007B139B">
        <w:rPr>
          <w:i/>
          <w:iCs/>
        </w:rPr>
        <w:t>T</w:t>
      </w:r>
      <w:r w:rsidRPr="007B139B">
        <w:rPr>
          <w:i/>
          <w:iCs/>
        </w:rPr>
        <w:t>angata</w:t>
      </w:r>
      <w:r w:rsidR="003D640C" w:rsidRPr="007B139B">
        <w:rPr>
          <w:i/>
          <w:iCs/>
        </w:rPr>
        <w:t xml:space="preserve"> </w:t>
      </w:r>
      <w:r w:rsidR="009E32D9" w:rsidRPr="007B139B">
        <w:rPr>
          <w:i/>
          <w:iCs/>
        </w:rPr>
        <w:t>W</w:t>
      </w:r>
      <w:r w:rsidRPr="007B139B">
        <w:rPr>
          <w:i/>
          <w:iCs/>
        </w:rPr>
        <w:t>henua</w:t>
      </w:r>
      <w:r w:rsidR="003D640C" w:rsidRPr="007B139B">
        <w:rPr>
          <w:i/>
          <w:iCs/>
        </w:rPr>
        <w:t xml:space="preserve"> </w:t>
      </w:r>
      <w:r w:rsidRPr="007B139B">
        <w:rPr>
          <w:i/>
          <w:iCs/>
        </w:rPr>
        <w:t>in</w:t>
      </w:r>
      <w:r w:rsidR="003D640C" w:rsidRPr="007B139B">
        <w:rPr>
          <w:i/>
          <w:iCs/>
        </w:rPr>
        <w:t xml:space="preserve"> </w:t>
      </w:r>
      <w:r w:rsidRPr="007B139B">
        <w:rPr>
          <w:i/>
          <w:iCs/>
        </w:rPr>
        <w:t>Aotearoa</w:t>
      </w:r>
      <w:r w:rsidR="003D640C" w:rsidRPr="007B139B">
        <w:rPr>
          <w:i/>
          <w:iCs/>
        </w:rPr>
        <w:t xml:space="preserve"> </w:t>
      </w:r>
      <w:r w:rsidRPr="007B139B">
        <w:rPr>
          <w:i/>
          <w:iCs/>
        </w:rPr>
        <w:t>New</w:t>
      </w:r>
      <w:r w:rsidR="003D640C" w:rsidRPr="007B139B">
        <w:rPr>
          <w:i/>
          <w:iCs/>
        </w:rPr>
        <w:t xml:space="preserve"> </w:t>
      </w:r>
      <w:r w:rsidRPr="007B139B">
        <w:rPr>
          <w:i/>
          <w:iCs/>
        </w:rPr>
        <w:t>Zealand</w:t>
      </w:r>
      <w:r>
        <w:t>.</w:t>
      </w:r>
      <w:r w:rsidR="003D640C">
        <w:t xml:space="preserve"> </w:t>
      </w:r>
      <w:r>
        <w:t>Human</w:t>
      </w:r>
      <w:r w:rsidR="003D640C">
        <w:t xml:space="preserve"> </w:t>
      </w:r>
      <w:r>
        <w:t>Rights</w:t>
      </w:r>
      <w:r w:rsidR="003D640C">
        <w:t xml:space="preserve"> </w:t>
      </w:r>
      <w:r>
        <w:t>Commission.</w:t>
      </w:r>
      <w:r w:rsidR="003D640C">
        <w:t xml:space="preserve"> </w:t>
      </w:r>
    </w:p>
  </w:footnote>
  <w:footnote w:id="157">
    <w:p w14:paraId="1F78B6E8" w14:textId="60D43A4D" w:rsidR="007B79F1" w:rsidRDefault="007B79F1" w:rsidP="00E00167">
      <w:pPr>
        <w:pStyle w:val="FootnoteText"/>
      </w:pPr>
      <w:r>
        <w:rPr>
          <w:rStyle w:val="FootnoteReference"/>
        </w:rPr>
        <w:footnoteRef/>
      </w:r>
      <w:r w:rsidR="003D640C">
        <w:t xml:space="preserve"> </w:t>
      </w:r>
      <w:r>
        <w:t>Veale</w:t>
      </w:r>
      <w:r w:rsidR="003D640C">
        <w:t xml:space="preserve"> </w:t>
      </w:r>
      <w:r>
        <w:t>et</w:t>
      </w:r>
      <w:r w:rsidR="003D640C">
        <w:t xml:space="preserve"> </w:t>
      </w:r>
      <w:r>
        <w:t>al.,</w:t>
      </w:r>
      <w:r w:rsidR="003D640C">
        <w:t xml:space="preserve"> </w:t>
      </w:r>
      <w:r>
        <w:t>202</w:t>
      </w:r>
      <w:r w:rsidR="00F4569F">
        <w:t>2</w:t>
      </w:r>
      <w:r w:rsidR="003C3829">
        <w:t>.</w:t>
      </w:r>
    </w:p>
  </w:footnote>
  <w:footnote w:id="158">
    <w:p w14:paraId="6A10989B" w14:textId="7CE883B0" w:rsidR="00F943BA" w:rsidRDefault="00F943BA" w:rsidP="00E00167">
      <w:pPr>
        <w:pStyle w:val="FootnoteText"/>
      </w:pPr>
      <w:r>
        <w:rPr>
          <w:rStyle w:val="FootnoteReference"/>
        </w:rPr>
        <w:footnoteRef/>
      </w:r>
      <w:r w:rsidR="003D640C">
        <w:t xml:space="preserve"> </w:t>
      </w:r>
      <w:r>
        <w:t>Pihama</w:t>
      </w:r>
      <w:r w:rsidR="003D640C">
        <w:t xml:space="preserve"> </w:t>
      </w:r>
      <w:r>
        <w:t>et</w:t>
      </w:r>
      <w:r w:rsidR="003D640C">
        <w:t xml:space="preserve"> </w:t>
      </w:r>
      <w:r>
        <w:t>al.,</w:t>
      </w:r>
      <w:r w:rsidR="003D640C">
        <w:t xml:space="preserve"> </w:t>
      </w:r>
      <w:r>
        <w:t>2020</w:t>
      </w:r>
      <w:r w:rsidR="00D72F63">
        <w:t>.</w:t>
      </w:r>
    </w:p>
  </w:footnote>
  <w:footnote w:id="159">
    <w:p w14:paraId="6AF82270" w14:textId="30C1511E" w:rsidR="00143259" w:rsidRDefault="00143259" w:rsidP="00E00167">
      <w:pPr>
        <w:pStyle w:val="FootnoteText"/>
      </w:pPr>
      <w:r>
        <w:rPr>
          <w:rStyle w:val="FootnoteReference"/>
        </w:rPr>
        <w:footnoteRef/>
      </w:r>
      <w:r w:rsidR="003D640C">
        <w:t xml:space="preserve"> </w:t>
      </w:r>
      <w:r>
        <w:t>Hattotuwa</w:t>
      </w:r>
      <w:r w:rsidR="002F28FC">
        <w:t xml:space="preserve"> et al.,</w:t>
      </w:r>
      <w:r w:rsidR="003D640C">
        <w:t xml:space="preserve"> </w:t>
      </w:r>
      <w:r w:rsidR="002E2B5E">
        <w:t>2023</w:t>
      </w:r>
      <w:r w:rsidR="002F28FC">
        <w:t>.</w:t>
      </w:r>
      <w:r w:rsidR="003D640C">
        <w:t xml:space="preserve"> </w:t>
      </w:r>
    </w:p>
  </w:footnote>
  <w:footnote w:id="160">
    <w:p w14:paraId="1EBCDF54" w14:textId="4C42A049" w:rsidR="004E7136" w:rsidRDefault="004E7136" w:rsidP="00E00167">
      <w:pPr>
        <w:pStyle w:val="FootnoteText"/>
      </w:pPr>
      <w:r>
        <w:rPr>
          <w:rStyle w:val="FootnoteReference"/>
        </w:rPr>
        <w:footnoteRef/>
      </w:r>
      <w:r w:rsidR="003D640C">
        <w:t xml:space="preserve"> </w:t>
      </w:r>
      <w:r w:rsidR="00E35525">
        <w:t>Stats</w:t>
      </w:r>
      <w:r w:rsidR="003D640C">
        <w:t xml:space="preserve"> </w:t>
      </w:r>
      <w:r w:rsidR="00E35525">
        <w:t>NZ</w:t>
      </w:r>
      <w:r w:rsidR="002137FF">
        <w:t>,</w:t>
      </w:r>
      <w:r w:rsidR="003D640C">
        <w:t xml:space="preserve"> </w:t>
      </w:r>
      <w:r w:rsidR="00BF46A5">
        <w:t>2022.</w:t>
      </w:r>
    </w:p>
  </w:footnote>
  <w:footnote w:id="161">
    <w:p w14:paraId="1BF84179" w14:textId="011ADCE5" w:rsidR="00C7489F" w:rsidRPr="00DC205D" w:rsidRDefault="00C7489F" w:rsidP="00E00167">
      <w:pPr>
        <w:pStyle w:val="FootnoteText"/>
      </w:pPr>
      <w:r>
        <w:rPr>
          <w:rStyle w:val="FootnoteReference"/>
        </w:rPr>
        <w:footnoteRef/>
      </w:r>
      <w:r w:rsidR="003D640C">
        <w:t xml:space="preserve"> </w:t>
      </w:r>
      <w:r>
        <w:rPr>
          <w:lang w:val="mi-NZ"/>
        </w:rPr>
        <w:t>A</w:t>
      </w:r>
      <w:r w:rsidR="003D640C">
        <w:rPr>
          <w:lang w:val="mi-NZ"/>
        </w:rPr>
        <w:t xml:space="preserve"> </w:t>
      </w:r>
      <w:r w:rsidR="00816E83">
        <w:rPr>
          <w:lang w:val="mi-NZ"/>
        </w:rPr>
        <w:t>Rainbow</w:t>
      </w:r>
      <w:r w:rsidR="003D640C">
        <w:rPr>
          <w:lang w:val="mi-NZ"/>
        </w:rPr>
        <w:t xml:space="preserve"> </w:t>
      </w:r>
      <w:r>
        <w:rPr>
          <w:lang w:val="mi-NZ"/>
        </w:rPr>
        <w:t>person</w:t>
      </w:r>
      <w:r w:rsidR="003D640C">
        <w:rPr>
          <w:lang w:val="mi-NZ"/>
        </w:rPr>
        <w:t xml:space="preserve"> </w:t>
      </w:r>
      <w:r>
        <w:rPr>
          <w:lang w:val="mi-NZ"/>
        </w:rPr>
        <w:t>is</w:t>
      </w:r>
      <w:r w:rsidR="003D640C">
        <w:rPr>
          <w:lang w:val="mi-NZ"/>
        </w:rPr>
        <w:t xml:space="preserve"> </w:t>
      </w:r>
      <w:r>
        <w:rPr>
          <w:lang w:val="mi-NZ"/>
        </w:rPr>
        <w:t>considered</w:t>
      </w:r>
      <w:r w:rsidR="003D640C">
        <w:rPr>
          <w:lang w:val="mi-NZ"/>
        </w:rPr>
        <w:t xml:space="preserve"> </w:t>
      </w:r>
      <w:r>
        <w:rPr>
          <w:lang w:val="mi-NZ"/>
        </w:rPr>
        <w:t>out</w:t>
      </w:r>
      <w:r w:rsidR="003D640C">
        <w:rPr>
          <w:lang w:val="mi-NZ"/>
        </w:rPr>
        <w:t xml:space="preserve"> </w:t>
      </w:r>
      <w:r>
        <w:t>when</w:t>
      </w:r>
      <w:r w:rsidR="003D640C">
        <w:t xml:space="preserve"> </w:t>
      </w:r>
      <w:r>
        <w:t>they</w:t>
      </w:r>
      <w:r w:rsidR="003D640C">
        <w:t xml:space="preserve"> </w:t>
      </w:r>
      <w:r>
        <w:t>have</w:t>
      </w:r>
      <w:r w:rsidR="003D640C">
        <w:t xml:space="preserve"> </w:t>
      </w:r>
      <w:r>
        <w:t>told</w:t>
      </w:r>
      <w:r w:rsidR="003D640C">
        <w:t xml:space="preserve"> </w:t>
      </w:r>
      <w:r>
        <w:t>people</w:t>
      </w:r>
      <w:r w:rsidR="003D640C">
        <w:t xml:space="preserve"> </w:t>
      </w:r>
      <w:r>
        <w:t>about</w:t>
      </w:r>
      <w:r w:rsidR="003D640C">
        <w:t xml:space="preserve"> </w:t>
      </w:r>
      <w:r>
        <w:t>their</w:t>
      </w:r>
      <w:r w:rsidR="003D640C">
        <w:t xml:space="preserve"> </w:t>
      </w:r>
      <w:r w:rsidR="00816E83">
        <w:t>Rainbow</w:t>
      </w:r>
      <w:r w:rsidR="003D640C">
        <w:t xml:space="preserve"> </w:t>
      </w:r>
      <w:r>
        <w:t>identity.</w:t>
      </w:r>
      <w:r w:rsidDel="008E1CCA">
        <w:t xml:space="preserve"> </w:t>
      </w:r>
      <w:r>
        <w:t>Not</w:t>
      </w:r>
      <w:r w:rsidR="003D640C">
        <w:t xml:space="preserve"> </w:t>
      </w:r>
      <w:r>
        <w:t>everyone</w:t>
      </w:r>
      <w:r w:rsidR="003D640C">
        <w:t xml:space="preserve"> </w:t>
      </w:r>
      <w:r>
        <w:t>comes</w:t>
      </w:r>
      <w:r w:rsidR="003D640C">
        <w:t xml:space="preserve"> </w:t>
      </w:r>
      <w:r>
        <w:t>out,</w:t>
      </w:r>
      <w:r w:rsidR="003D640C">
        <w:t xml:space="preserve"> </w:t>
      </w:r>
      <w:r>
        <w:t>and</w:t>
      </w:r>
      <w:r w:rsidR="003D640C">
        <w:t xml:space="preserve"> </w:t>
      </w:r>
      <w:r>
        <w:t>some</w:t>
      </w:r>
      <w:r w:rsidR="003D640C">
        <w:t xml:space="preserve"> </w:t>
      </w:r>
      <w:r>
        <w:t>of</w:t>
      </w:r>
      <w:r w:rsidR="003D640C">
        <w:t xml:space="preserve"> </w:t>
      </w:r>
      <w:r>
        <w:t>those</w:t>
      </w:r>
      <w:r w:rsidR="003D640C">
        <w:t xml:space="preserve"> </w:t>
      </w:r>
      <w:r>
        <w:t>who</w:t>
      </w:r>
      <w:r w:rsidR="003D640C">
        <w:t xml:space="preserve"> </w:t>
      </w:r>
      <w:r>
        <w:t>do</w:t>
      </w:r>
      <w:r w:rsidR="003D640C">
        <w:t xml:space="preserve"> </w:t>
      </w:r>
      <w:r>
        <w:t>come</w:t>
      </w:r>
      <w:r w:rsidR="003D640C">
        <w:t xml:space="preserve"> </w:t>
      </w:r>
      <w:r>
        <w:t>out</w:t>
      </w:r>
      <w:r w:rsidR="003D640C">
        <w:t xml:space="preserve"> </w:t>
      </w:r>
      <w:r w:rsidR="004D4891">
        <w:t xml:space="preserve">do so </w:t>
      </w:r>
      <w:r>
        <w:t>only</w:t>
      </w:r>
      <w:r w:rsidR="003D640C">
        <w:t xml:space="preserve"> </w:t>
      </w:r>
      <w:r>
        <w:t>selectively.</w:t>
      </w:r>
      <w:r w:rsidR="003D640C">
        <w:t xml:space="preserve"> </w:t>
      </w:r>
    </w:p>
  </w:footnote>
  <w:footnote w:id="162">
    <w:p w14:paraId="0D9B8BA8" w14:textId="2DCB5B03" w:rsidR="00114A2E" w:rsidRDefault="00114A2E" w:rsidP="00E00167">
      <w:pPr>
        <w:pStyle w:val="FootnoteText"/>
      </w:pPr>
      <w:r>
        <w:rPr>
          <w:rStyle w:val="FootnoteReference"/>
        </w:rPr>
        <w:footnoteRef/>
      </w:r>
      <w:r w:rsidR="003D640C">
        <w:t xml:space="preserve"> </w:t>
      </w:r>
      <w:r w:rsidR="00A82F7C">
        <w:t>Pihama</w:t>
      </w:r>
      <w:r w:rsidR="003D640C">
        <w:t xml:space="preserve"> </w:t>
      </w:r>
      <w:r w:rsidR="00A82F7C">
        <w:t>et</w:t>
      </w:r>
      <w:r w:rsidR="003D640C">
        <w:t xml:space="preserve"> </w:t>
      </w:r>
      <w:r w:rsidR="00A82F7C">
        <w:t>al.,</w:t>
      </w:r>
      <w:r w:rsidR="003D640C">
        <w:t xml:space="preserve"> </w:t>
      </w:r>
      <w:r w:rsidR="00A82F7C">
        <w:t>2020</w:t>
      </w:r>
      <w:r w:rsidR="00D72F63">
        <w:t>.</w:t>
      </w:r>
    </w:p>
  </w:footnote>
  <w:footnote w:id="163">
    <w:p w14:paraId="45C5579F" w14:textId="5F4B7E37" w:rsidR="00B36B09" w:rsidRDefault="00B36B09" w:rsidP="00E00167">
      <w:pPr>
        <w:pStyle w:val="FootnoteText"/>
      </w:pPr>
      <w:r>
        <w:rPr>
          <w:rStyle w:val="FootnoteReference"/>
        </w:rPr>
        <w:footnoteRef/>
      </w:r>
      <w:r w:rsidR="003D640C">
        <w:t xml:space="preserve"> </w:t>
      </w:r>
      <w:r w:rsidR="007F3C13">
        <w:t>Clark,</w:t>
      </w:r>
      <w:r w:rsidR="003D640C">
        <w:t xml:space="preserve"> </w:t>
      </w:r>
      <w:r w:rsidR="007F3C13">
        <w:t>T.,</w:t>
      </w:r>
      <w:r w:rsidR="003D640C">
        <w:t xml:space="preserve"> </w:t>
      </w:r>
      <w:r w:rsidR="00365B78">
        <w:t>Fenaughty,</w:t>
      </w:r>
      <w:r w:rsidR="003D640C">
        <w:t xml:space="preserve"> </w:t>
      </w:r>
      <w:r w:rsidR="00365B78">
        <w:t>J.</w:t>
      </w:r>
      <w:r w:rsidR="008A217C">
        <w:t>,</w:t>
      </w:r>
      <w:r w:rsidR="003D640C">
        <w:t xml:space="preserve"> </w:t>
      </w:r>
      <w:r w:rsidR="008A217C">
        <w:t>Fleming,</w:t>
      </w:r>
      <w:r w:rsidR="003D640C">
        <w:t xml:space="preserve"> </w:t>
      </w:r>
      <w:r w:rsidR="008A217C">
        <w:t>T.,</w:t>
      </w:r>
      <w:r w:rsidR="003D640C">
        <w:t xml:space="preserve"> </w:t>
      </w:r>
      <w:r w:rsidR="008A217C">
        <w:t>Greaves,</w:t>
      </w:r>
      <w:r w:rsidR="003D640C">
        <w:t xml:space="preserve"> </w:t>
      </w:r>
      <w:r w:rsidR="008A217C">
        <w:t>L.</w:t>
      </w:r>
      <w:r w:rsidR="00EF40AB">
        <w:t>,</w:t>
      </w:r>
      <w:r w:rsidR="003D640C">
        <w:t xml:space="preserve"> </w:t>
      </w:r>
      <w:r w:rsidR="00BA533F">
        <w:t>Roy,</w:t>
      </w:r>
      <w:r w:rsidR="003D640C">
        <w:t xml:space="preserve"> </w:t>
      </w:r>
      <w:r w:rsidR="00BA533F">
        <w:t>R.,</w:t>
      </w:r>
      <w:r w:rsidR="003D640C">
        <w:t xml:space="preserve"> </w:t>
      </w:r>
      <w:r w:rsidR="007F3C13">
        <w:t>&amp;</w:t>
      </w:r>
      <w:r w:rsidR="003D640C">
        <w:t xml:space="preserve"> </w:t>
      </w:r>
      <w:r w:rsidR="00BA533F">
        <w:t>Sutcliffe,</w:t>
      </w:r>
      <w:r w:rsidR="003D640C">
        <w:t xml:space="preserve"> </w:t>
      </w:r>
      <w:r w:rsidR="00BA533F">
        <w:t>K.</w:t>
      </w:r>
      <w:r w:rsidR="003D640C">
        <w:t xml:space="preserve"> </w:t>
      </w:r>
      <w:r w:rsidR="007F3C13">
        <w:t>(2021</w:t>
      </w:r>
      <w:r w:rsidR="00BE7A49">
        <w:t>b</w:t>
      </w:r>
      <w:r w:rsidR="007F3C13">
        <w:t>).</w:t>
      </w:r>
      <w:r w:rsidR="003D640C">
        <w:t xml:space="preserve"> </w:t>
      </w:r>
      <w:r w:rsidR="007F3C13" w:rsidRPr="007B139B">
        <w:rPr>
          <w:i/>
          <w:iCs/>
        </w:rPr>
        <w:t>A</w:t>
      </w:r>
      <w:r w:rsidR="003D640C" w:rsidRPr="007B139B">
        <w:rPr>
          <w:i/>
          <w:iCs/>
        </w:rPr>
        <w:t xml:space="preserve"> </w:t>
      </w:r>
      <w:r w:rsidR="007F3C13" w:rsidRPr="007B139B">
        <w:rPr>
          <w:i/>
          <w:iCs/>
        </w:rPr>
        <w:t>Youth</w:t>
      </w:r>
      <w:r w:rsidR="00BD6285" w:rsidRPr="007B139B">
        <w:rPr>
          <w:i/>
          <w:iCs/>
        </w:rPr>
        <w:t>19</w:t>
      </w:r>
      <w:r w:rsidR="003D640C" w:rsidRPr="007B139B">
        <w:rPr>
          <w:i/>
          <w:iCs/>
        </w:rPr>
        <w:t xml:space="preserve"> </w:t>
      </w:r>
      <w:r w:rsidR="00025065" w:rsidRPr="007B139B">
        <w:rPr>
          <w:i/>
          <w:iCs/>
        </w:rPr>
        <w:t>b</w:t>
      </w:r>
      <w:r w:rsidR="00BD6285" w:rsidRPr="007B139B">
        <w:rPr>
          <w:i/>
          <w:iCs/>
        </w:rPr>
        <w:t>rief:</w:t>
      </w:r>
      <w:r w:rsidR="003D640C" w:rsidRPr="007B139B">
        <w:rPr>
          <w:i/>
          <w:iCs/>
        </w:rPr>
        <w:t xml:space="preserve"> </w:t>
      </w:r>
      <w:r w:rsidR="00BD6285" w:rsidRPr="007B139B">
        <w:rPr>
          <w:i/>
          <w:iCs/>
        </w:rPr>
        <w:t>Rainbow</w:t>
      </w:r>
      <w:r w:rsidR="003D640C" w:rsidRPr="007B139B">
        <w:rPr>
          <w:i/>
          <w:iCs/>
        </w:rPr>
        <w:t xml:space="preserve"> </w:t>
      </w:r>
      <w:r w:rsidR="00025065" w:rsidRPr="007B139B">
        <w:rPr>
          <w:i/>
          <w:iCs/>
        </w:rPr>
        <w:t>r</w:t>
      </w:r>
      <w:r w:rsidR="00AE4012" w:rsidRPr="007B139B">
        <w:rPr>
          <w:i/>
          <w:iCs/>
        </w:rPr>
        <w:t>angatahi</w:t>
      </w:r>
      <w:r w:rsidR="003D640C" w:rsidRPr="007B139B">
        <w:rPr>
          <w:i/>
          <w:iCs/>
        </w:rPr>
        <w:t xml:space="preserve"> </w:t>
      </w:r>
      <w:r w:rsidR="00AE4012" w:rsidRPr="007B139B">
        <w:rPr>
          <w:i/>
          <w:iCs/>
        </w:rPr>
        <w:t>M</w:t>
      </w:r>
      <w:r w:rsidR="00AE4012" w:rsidRPr="007B139B">
        <w:rPr>
          <w:i/>
          <w:iCs/>
          <w:lang w:val="mi-NZ"/>
        </w:rPr>
        <w:t>āori</w:t>
      </w:r>
      <w:r w:rsidR="00AE4012">
        <w:t>.</w:t>
      </w:r>
      <w:r w:rsidR="003D640C">
        <w:t xml:space="preserve"> </w:t>
      </w:r>
      <w:r w:rsidR="000B07E6">
        <w:t>The</w:t>
      </w:r>
      <w:r w:rsidR="003D640C">
        <w:t xml:space="preserve"> </w:t>
      </w:r>
      <w:r w:rsidR="000B07E6">
        <w:t>Youth19</w:t>
      </w:r>
      <w:r w:rsidR="003D640C">
        <w:t xml:space="preserve"> </w:t>
      </w:r>
      <w:r w:rsidR="000029AC">
        <w:t>Research</w:t>
      </w:r>
      <w:r w:rsidR="003D640C">
        <w:t xml:space="preserve"> </w:t>
      </w:r>
      <w:r w:rsidR="000029AC">
        <w:t>Group</w:t>
      </w:r>
      <w:r w:rsidR="005A389E">
        <w:t>.</w:t>
      </w:r>
      <w:r w:rsidR="003D640C">
        <w:t xml:space="preserve"> </w:t>
      </w:r>
    </w:p>
  </w:footnote>
  <w:footnote w:id="164">
    <w:p w14:paraId="73CDC33C" w14:textId="290688A1" w:rsidR="005719C8" w:rsidRPr="002C6363" w:rsidRDefault="005719C8" w:rsidP="0089093D">
      <w:pPr>
        <w:pStyle w:val="ListParagraph"/>
        <w:spacing w:after="0"/>
        <w:ind w:left="0"/>
        <w:rPr>
          <w:sz w:val="20"/>
          <w:szCs w:val="20"/>
        </w:rPr>
      </w:pPr>
      <w:r w:rsidRPr="00025065">
        <w:rPr>
          <w:rStyle w:val="FootnoteReference"/>
          <w:sz w:val="20"/>
          <w:szCs w:val="20"/>
        </w:rPr>
        <w:footnoteRef/>
      </w:r>
      <w:r w:rsidR="003D640C">
        <w:rPr>
          <w:sz w:val="20"/>
          <w:szCs w:val="20"/>
        </w:rPr>
        <w:t xml:space="preserve"> </w:t>
      </w:r>
      <w:r w:rsidR="00760CC8" w:rsidRPr="00025065">
        <w:rPr>
          <w:sz w:val="20"/>
          <w:szCs w:val="20"/>
        </w:rPr>
        <w:t>Child</w:t>
      </w:r>
      <w:r w:rsidR="003D640C">
        <w:rPr>
          <w:sz w:val="20"/>
          <w:szCs w:val="20"/>
        </w:rPr>
        <w:t xml:space="preserve"> </w:t>
      </w:r>
      <w:r w:rsidR="00760CC8" w:rsidRPr="002C6363">
        <w:rPr>
          <w:sz w:val="20"/>
          <w:szCs w:val="20"/>
        </w:rPr>
        <w:t>and</w:t>
      </w:r>
      <w:r w:rsidR="003D640C" w:rsidRPr="002C6363">
        <w:rPr>
          <w:sz w:val="20"/>
          <w:szCs w:val="20"/>
        </w:rPr>
        <w:t xml:space="preserve"> </w:t>
      </w:r>
      <w:r w:rsidR="00760CC8" w:rsidRPr="002C6363">
        <w:rPr>
          <w:sz w:val="20"/>
          <w:szCs w:val="20"/>
        </w:rPr>
        <w:t>Youth</w:t>
      </w:r>
      <w:r w:rsidR="003D640C" w:rsidRPr="002C6363">
        <w:rPr>
          <w:sz w:val="20"/>
          <w:szCs w:val="20"/>
        </w:rPr>
        <w:t xml:space="preserve"> </w:t>
      </w:r>
      <w:r w:rsidR="00760CC8" w:rsidRPr="002C6363">
        <w:rPr>
          <w:sz w:val="20"/>
          <w:szCs w:val="20"/>
        </w:rPr>
        <w:t>Mortality</w:t>
      </w:r>
      <w:r w:rsidR="003D640C" w:rsidRPr="002C6363">
        <w:rPr>
          <w:sz w:val="20"/>
          <w:szCs w:val="20"/>
        </w:rPr>
        <w:t xml:space="preserve"> </w:t>
      </w:r>
      <w:r w:rsidR="00760CC8" w:rsidRPr="002C6363">
        <w:rPr>
          <w:sz w:val="20"/>
          <w:szCs w:val="20"/>
        </w:rPr>
        <w:t>Review</w:t>
      </w:r>
      <w:r w:rsidR="003D640C" w:rsidRPr="002C6363">
        <w:rPr>
          <w:sz w:val="20"/>
          <w:szCs w:val="20"/>
        </w:rPr>
        <w:t xml:space="preserve"> </w:t>
      </w:r>
      <w:r w:rsidR="00760CC8" w:rsidRPr="002C6363">
        <w:rPr>
          <w:sz w:val="20"/>
          <w:szCs w:val="20"/>
        </w:rPr>
        <w:t>Committee</w:t>
      </w:r>
      <w:r w:rsidR="003D640C" w:rsidRPr="002C6363">
        <w:rPr>
          <w:sz w:val="20"/>
          <w:szCs w:val="20"/>
        </w:rPr>
        <w:t xml:space="preserve"> </w:t>
      </w:r>
      <w:r w:rsidR="004D4891">
        <w:rPr>
          <w:sz w:val="20"/>
          <w:szCs w:val="20"/>
        </w:rPr>
        <w:t>&amp;</w:t>
      </w:r>
      <w:r w:rsidR="004D4891" w:rsidRPr="002C6363">
        <w:rPr>
          <w:sz w:val="20"/>
          <w:szCs w:val="20"/>
        </w:rPr>
        <w:t xml:space="preserve"> </w:t>
      </w:r>
      <w:r w:rsidR="00844241" w:rsidRPr="002C6363">
        <w:rPr>
          <w:sz w:val="20"/>
          <w:szCs w:val="20"/>
        </w:rPr>
        <w:t>Suicide</w:t>
      </w:r>
      <w:r w:rsidR="003D640C" w:rsidRPr="002C6363">
        <w:rPr>
          <w:sz w:val="20"/>
          <w:szCs w:val="20"/>
        </w:rPr>
        <w:t xml:space="preserve"> </w:t>
      </w:r>
      <w:r w:rsidR="00844241" w:rsidRPr="002C6363">
        <w:rPr>
          <w:sz w:val="20"/>
          <w:szCs w:val="20"/>
        </w:rPr>
        <w:t>Mortality</w:t>
      </w:r>
      <w:r w:rsidR="003D640C" w:rsidRPr="002C6363">
        <w:rPr>
          <w:sz w:val="20"/>
          <w:szCs w:val="20"/>
        </w:rPr>
        <w:t xml:space="preserve"> </w:t>
      </w:r>
      <w:r w:rsidR="00844241" w:rsidRPr="002C6363">
        <w:rPr>
          <w:sz w:val="20"/>
          <w:szCs w:val="20"/>
        </w:rPr>
        <w:t>Review</w:t>
      </w:r>
      <w:r w:rsidR="003D640C" w:rsidRPr="002C6363">
        <w:rPr>
          <w:sz w:val="20"/>
          <w:szCs w:val="20"/>
        </w:rPr>
        <w:t xml:space="preserve"> </w:t>
      </w:r>
      <w:r w:rsidR="00844241" w:rsidRPr="002C6363">
        <w:rPr>
          <w:sz w:val="20"/>
          <w:szCs w:val="20"/>
        </w:rPr>
        <w:t>Committee.</w:t>
      </w:r>
      <w:r w:rsidR="003D640C" w:rsidRPr="002C6363">
        <w:rPr>
          <w:sz w:val="20"/>
          <w:szCs w:val="20"/>
        </w:rPr>
        <w:t xml:space="preserve"> </w:t>
      </w:r>
      <w:r w:rsidR="00844241" w:rsidRPr="002C6363">
        <w:rPr>
          <w:sz w:val="20"/>
          <w:szCs w:val="20"/>
        </w:rPr>
        <w:t>(2020).</w:t>
      </w:r>
      <w:r w:rsidR="003D640C" w:rsidRPr="002C6363">
        <w:rPr>
          <w:sz w:val="20"/>
          <w:szCs w:val="20"/>
        </w:rPr>
        <w:t xml:space="preserve"> </w:t>
      </w:r>
      <w:r w:rsidR="00844241" w:rsidRPr="002C6363">
        <w:rPr>
          <w:i/>
          <w:iCs/>
          <w:sz w:val="20"/>
          <w:szCs w:val="20"/>
        </w:rPr>
        <w:t>Rangatahi</w:t>
      </w:r>
      <w:r w:rsidR="003D640C" w:rsidRPr="002C6363">
        <w:rPr>
          <w:i/>
          <w:iCs/>
          <w:sz w:val="20"/>
          <w:szCs w:val="20"/>
        </w:rPr>
        <w:t xml:space="preserve"> </w:t>
      </w:r>
      <w:r w:rsidR="00844241" w:rsidRPr="002C6363">
        <w:rPr>
          <w:i/>
          <w:iCs/>
          <w:sz w:val="20"/>
          <w:szCs w:val="20"/>
        </w:rPr>
        <w:t>suicide</w:t>
      </w:r>
      <w:r w:rsidR="003D640C" w:rsidRPr="002C6363">
        <w:rPr>
          <w:i/>
          <w:iCs/>
          <w:sz w:val="20"/>
          <w:szCs w:val="20"/>
        </w:rPr>
        <w:t xml:space="preserve"> </w:t>
      </w:r>
      <w:r w:rsidR="00844241" w:rsidRPr="002C6363">
        <w:rPr>
          <w:i/>
          <w:iCs/>
          <w:sz w:val="20"/>
          <w:szCs w:val="20"/>
        </w:rPr>
        <w:t>report</w:t>
      </w:r>
      <w:r w:rsidR="003D640C" w:rsidRPr="002C6363">
        <w:rPr>
          <w:i/>
          <w:iCs/>
          <w:sz w:val="20"/>
          <w:szCs w:val="20"/>
        </w:rPr>
        <w:t xml:space="preserve"> </w:t>
      </w:r>
      <w:r w:rsidR="007E63FC" w:rsidRPr="002C6363">
        <w:rPr>
          <w:i/>
          <w:iCs/>
          <w:sz w:val="20"/>
          <w:szCs w:val="20"/>
        </w:rPr>
        <w:t>|</w:t>
      </w:r>
      <w:r w:rsidR="003D640C" w:rsidRPr="002C6363">
        <w:rPr>
          <w:i/>
          <w:iCs/>
          <w:sz w:val="20"/>
          <w:szCs w:val="20"/>
        </w:rPr>
        <w:t xml:space="preserve"> </w:t>
      </w:r>
      <w:r w:rsidR="00844241" w:rsidRPr="002C6363">
        <w:rPr>
          <w:i/>
          <w:iCs/>
          <w:sz w:val="20"/>
          <w:szCs w:val="20"/>
        </w:rPr>
        <w:t>Te</w:t>
      </w:r>
      <w:r w:rsidR="003D640C" w:rsidRPr="002C6363">
        <w:rPr>
          <w:i/>
          <w:iCs/>
          <w:sz w:val="20"/>
          <w:szCs w:val="20"/>
        </w:rPr>
        <w:t xml:space="preserve"> </w:t>
      </w:r>
      <w:r w:rsidR="00844241" w:rsidRPr="002C6363">
        <w:rPr>
          <w:i/>
          <w:iCs/>
          <w:sz w:val="20"/>
          <w:szCs w:val="20"/>
          <w:lang w:val="mi-NZ"/>
        </w:rPr>
        <w:t>pūrongo</w:t>
      </w:r>
      <w:r w:rsidR="003D640C" w:rsidRPr="002C6363">
        <w:rPr>
          <w:i/>
          <w:iCs/>
          <w:sz w:val="20"/>
          <w:szCs w:val="20"/>
          <w:lang w:val="mi-NZ"/>
        </w:rPr>
        <w:t xml:space="preserve"> </w:t>
      </w:r>
      <w:r w:rsidR="00E64D57" w:rsidRPr="002C6363">
        <w:rPr>
          <w:i/>
          <w:iCs/>
          <w:sz w:val="20"/>
          <w:szCs w:val="20"/>
          <w:lang w:val="mi-NZ"/>
        </w:rPr>
        <w:t>mō</w:t>
      </w:r>
      <w:r w:rsidR="003D640C" w:rsidRPr="002C6363">
        <w:rPr>
          <w:i/>
          <w:iCs/>
          <w:sz w:val="20"/>
          <w:szCs w:val="20"/>
          <w:lang w:val="mi-NZ"/>
        </w:rPr>
        <w:t xml:space="preserve"> </w:t>
      </w:r>
      <w:r w:rsidR="00E64D57" w:rsidRPr="002C6363">
        <w:rPr>
          <w:i/>
          <w:iCs/>
          <w:sz w:val="20"/>
          <w:szCs w:val="20"/>
          <w:lang w:val="mi-NZ"/>
        </w:rPr>
        <w:t>te</w:t>
      </w:r>
      <w:r w:rsidR="003D640C" w:rsidRPr="002C6363">
        <w:rPr>
          <w:i/>
          <w:iCs/>
          <w:sz w:val="20"/>
          <w:szCs w:val="20"/>
          <w:lang w:val="mi-NZ"/>
        </w:rPr>
        <w:t xml:space="preserve"> </w:t>
      </w:r>
      <w:r w:rsidR="00E64D57" w:rsidRPr="002C6363">
        <w:rPr>
          <w:i/>
          <w:iCs/>
          <w:sz w:val="20"/>
          <w:szCs w:val="20"/>
          <w:lang w:val="mi-NZ"/>
        </w:rPr>
        <w:t>mate</w:t>
      </w:r>
      <w:r w:rsidR="003D640C" w:rsidRPr="002C6363">
        <w:rPr>
          <w:i/>
          <w:iCs/>
          <w:sz w:val="20"/>
          <w:szCs w:val="20"/>
          <w:lang w:val="mi-NZ"/>
        </w:rPr>
        <w:t xml:space="preserve"> </w:t>
      </w:r>
      <w:r w:rsidR="00E64D57" w:rsidRPr="002C6363">
        <w:rPr>
          <w:i/>
          <w:iCs/>
          <w:sz w:val="20"/>
          <w:szCs w:val="20"/>
          <w:lang w:val="mi-NZ"/>
        </w:rPr>
        <w:t>whakamomori</w:t>
      </w:r>
      <w:r w:rsidR="003D640C" w:rsidRPr="002C6363">
        <w:rPr>
          <w:i/>
          <w:iCs/>
          <w:sz w:val="20"/>
          <w:szCs w:val="20"/>
          <w:lang w:val="mi-NZ"/>
        </w:rPr>
        <w:t xml:space="preserve"> </w:t>
      </w:r>
      <w:r w:rsidR="00E64D57" w:rsidRPr="002C6363">
        <w:rPr>
          <w:i/>
          <w:iCs/>
          <w:sz w:val="20"/>
          <w:szCs w:val="20"/>
          <w:lang w:val="mi-NZ"/>
        </w:rPr>
        <w:t>o</w:t>
      </w:r>
      <w:r w:rsidR="003D640C" w:rsidRPr="002C6363">
        <w:rPr>
          <w:i/>
          <w:iCs/>
          <w:sz w:val="20"/>
          <w:szCs w:val="20"/>
          <w:lang w:val="mi-NZ"/>
        </w:rPr>
        <w:t xml:space="preserve"> </w:t>
      </w:r>
      <w:r w:rsidR="00E64D57" w:rsidRPr="002C6363">
        <w:rPr>
          <w:i/>
          <w:iCs/>
          <w:sz w:val="20"/>
          <w:szCs w:val="20"/>
          <w:lang w:val="mi-NZ"/>
        </w:rPr>
        <w:t>te</w:t>
      </w:r>
      <w:r w:rsidR="003D640C" w:rsidRPr="002C6363">
        <w:rPr>
          <w:i/>
          <w:iCs/>
          <w:sz w:val="20"/>
          <w:szCs w:val="20"/>
          <w:lang w:val="mi-NZ"/>
        </w:rPr>
        <w:t xml:space="preserve"> </w:t>
      </w:r>
      <w:r w:rsidR="00E64D57" w:rsidRPr="002C6363">
        <w:rPr>
          <w:i/>
          <w:iCs/>
          <w:sz w:val="20"/>
          <w:szCs w:val="20"/>
          <w:lang w:val="mi-NZ"/>
        </w:rPr>
        <w:t>rangatahi.</w:t>
      </w:r>
      <w:r w:rsidR="003D640C" w:rsidRPr="002C6363">
        <w:rPr>
          <w:sz w:val="20"/>
          <w:szCs w:val="20"/>
          <w:lang w:val="mi-NZ"/>
        </w:rPr>
        <w:t xml:space="preserve"> </w:t>
      </w:r>
      <w:r w:rsidR="006E7655" w:rsidRPr="002C6363">
        <w:rPr>
          <w:sz w:val="20"/>
          <w:szCs w:val="20"/>
        </w:rPr>
        <w:t>Health</w:t>
      </w:r>
      <w:r w:rsidR="003D640C" w:rsidRPr="002C6363">
        <w:rPr>
          <w:sz w:val="20"/>
          <w:szCs w:val="20"/>
        </w:rPr>
        <w:t xml:space="preserve"> </w:t>
      </w:r>
      <w:r w:rsidR="006E7655" w:rsidRPr="002C6363">
        <w:rPr>
          <w:sz w:val="20"/>
          <w:szCs w:val="20"/>
        </w:rPr>
        <w:t>Quality</w:t>
      </w:r>
      <w:r w:rsidR="003D640C" w:rsidRPr="002C6363">
        <w:rPr>
          <w:sz w:val="20"/>
          <w:szCs w:val="20"/>
        </w:rPr>
        <w:t xml:space="preserve"> </w:t>
      </w:r>
      <w:r w:rsidR="006E7655" w:rsidRPr="002C6363">
        <w:rPr>
          <w:sz w:val="20"/>
          <w:szCs w:val="20"/>
        </w:rPr>
        <w:t>&amp;</w:t>
      </w:r>
      <w:r w:rsidR="003D640C" w:rsidRPr="002C6363">
        <w:rPr>
          <w:sz w:val="20"/>
          <w:szCs w:val="20"/>
        </w:rPr>
        <w:t xml:space="preserve"> </w:t>
      </w:r>
      <w:r w:rsidR="006E7655" w:rsidRPr="002C6363">
        <w:rPr>
          <w:sz w:val="20"/>
          <w:szCs w:val="20"/>
        </w:rPr>
        <w:t>Safety</w:t>
      </w:r>
      <w:r w:rsidR="003D640C" w:rsidRPr="002C6363">
        <w:rPr>
          <w:sz w:val="20"/>
          <w:szCs w:val="20"/>
        </w:rPr>
        <w:t xml:space="preserve"> </w:t>
      </w:r>
      <w:r w:rsidR="006E7655" w:rsidRPr="002C6363">
        <w:rPr>
          <w:sz w:val="20"/>
          <w:szCs w:val="20"/>
        </w:rPr>
        <w:t>Commission</w:t>
      </w:r>
      <w:r w:rsidR="00BB7603" w:rsidRPr="002C6363">
        <w:rPr>
          <w:sz w:val="20"/>
          <w:szCs w:val="20"/>
        </w:rPr>
        <w:t>.</w:t>
      </w:r>
      <w:r w:rsidR="003D640C" w:rsidRPr="002C6363">
        <w:rPr>
          <w:sz w:val="20"/>
          <w:szCs w:val="20"/>
        </w:rPr>
        <w:t xml:space="preserve"> </w:t>
      </w:r>
    </w:p>
  </w:footnote>
  <w:footnote w:id="165">
    <w:p w14:paraId="66265250" w14:textId="7474F1D2" w:rsidR="001E7D1C" w:rsidRPr="002C6363" w:rsidRDefault="001E7D1C" w:rsidP="00E00167">
      <w:pPr>
        <w:pStyle w:val="FootnoteText"/>
      </w:pPr>
      <w:r w:rsidRPr="002C6363">
        <w:rPr>
          <w:rStyle w:val="FootnoteReference"/>
        </w:rPr>
        <w:footnoteRef/>
      </w:r>
      <w:r w:rsidR="003D640C" w:rsidRPr="002C6363">
        <w:t xml:space="preserve"> </w:t>
      </w:r>
      <w:r w:rsidR="00B4226B" w:rsidRPr="002C6363">
        <w:t>King-Finau,</w:t>
      </w:r>
      <w:r w:rsidR="003D640C" w:rsidRPr="002C6363">
        <w:t xml:space="preserve"> </w:t>
      </w:r>
      <w:r w:rsidR="00B4226B" w:rsidRPr="002C6363">
        <w:t>T.</w:t>
      </w:r>
      <w:r w:rsidR="003D640C" w:rsidRPr="002C6363">
        <w:t xml:space="preserve"> </w:t>
      </w:r>
      <w:r w:rsidR="00B4226B" w:rsidRPr="002C6363">
        <w:t>(2020).</w:t>
      </w:r>
      <w:r w:rsidR="003D640C" w:rsidRPr="002C6363">
        <w:t xml:space="preserve"> </w:t>
      </w:r>
      <w:r w:rsidR="006601EF" w:rsidRPr="002C6363">
        <w:rPr>
          <w:i/>
          <w:iCs/>
        </w:rPr>
        <w:t>It</w:t>
      </w:r>
      <w:r w:rsidR="003D640C" w:rsidRPr="002C6363">
        <w:rPr>
          <w:i/>
          <w:iCs/>
        </w:rPr>
        <w:t xml:space="preserve"> </w:t>
      </w:r>
      <w:r w:rsidR="006601EF" w:rsidRPr="002C6363">
        <w:rPr>
          <w:i/>
          <w:iCs/>
        </w:rPr>
        <w:t>takes</w:t>
      </w:r>
      <w:r w:rsidR="003D640C" w:rsidRPr="002C6363">
        <w:rPr>
          <w:i/>
          <w:iCs/>
        </w:rPr>
        <w:t xml:space="preserve"> </w:t>
      </w:r>
      <w:r w:rsidR="006601EF" w:rsidRPr="002C6363">
        <w:rPr>
          <w:i/>
          <w:iCs/>
        </w:rPr>
        <w:t>a</w:t>
      </w:r>
      <w:r w:rsidR="003D640C" w:rsidRPr="002C6363">
        <w:rPr>
          <w:i/>
          <w:iCs/>
        </w:rPr>
        <w:t xml:space="preserve"> </w:t>
      </w:r>
      <w:r w:rsidR="006601EF" w:rsidRPr="002C6363">
        <w:rPr>
          <w:i/>
          <w:iCs/>
        </w:rPr>
        <w:t>village:</w:t>
      </w:r>
      <w:r w:rsidR="003D640C" w:rsidRPr="002C6363">
        <w:rPr>
          <w:i/>
          <w:iCs/>
        </w:rPr>
        <w:t xml:space="preserve"> </w:t>
      </w:r>
      <w:r w:rsidR="004D4891">
        <w:rPr>
          <w:i/>
          <w:iCs/>
        </w:rPr>
        <w:t>T</w:t>
      </w:r>
      <w:r w:rsidR="006601EF" w:rsidRPr="002C6363">
        <w:rPr>
          <w:i/>
          <w:iCs/>
        </w:rPr>
        <w:t>he</w:t>
      </w:r>
      <w:r w:rsidR="003D640C" w:rsidRPr="002C6363">
        <w:rPr>
          <w:i/>
          <w:iCs/>
        </w:rPr>
        <w:t xml:space="preserve"> </w:t>
      </w:r>
      <w:r w:rsidR="006601EF" w:rsidRPr="002C6363">
        <w:rPr>
          <w:i/>
          <w:iCs/>
        </w:rPr>
        <w:t>role</w:t>
      </w:r>
      <w:r w:rsidR="003D640C" w:rsidRPr="002C6363">
        <w:rPr>
          <w:i/>
          <w:iCs/>
        </w:rPr>
        <w:t xml:space="preserve"> </w:t>
      </w:r>
      <w:r w:rsidR="006601EF" w:rsidRPr="002C6363">
        <w:rPr>
          <w:i/>
          <w:iCs/>
        </w:rPr>
        <w:t>of</w:t>
      </w:r>
      <w:r w:rsidR="003D640C" w:rsidRPr="002C6363">
        <w:rPr>
          <w:i/>
          <w:iCs/>
        </w:rPr>
        <w:t xml:space="preserve"> </w:t>
      </w:r>
      <w:r w:rsidR="006601EF" w:rsidRPr="002C6363">
        <w:rPr>
          <w:i/>
          <w:iCs/>
        </w:rPr>
        <w:t>familial</w:t>
      </w:r>
      <w:r w:rsidR="003D640C" w:rsidRPr="002C6363">
        <w:rPr>
          <w:i/>
          <w:iCs/>
        </w:rPr>
        <w:t xml:space="preserve"> </w:t>
      </w:r>
      <w:r w:rsidR="006601EF" w:rsidRPr="002C6363">
        <w:rPr>
          <w:i/>
          <w:iCs/>
        </w:rPr>
        <w:t>support</w:t>
      </w:r>
      <w:r w:rsidR="003D640C" w:rsidRPr="002C6363">
        <w:rPr>
          <w:i/>
          <w:iCs/>
        </w:rPr>
        <w:t xml:space="preserve"> </w:t>
      </w:r>
      <w:r w:rsidR="006601EF" w:rsidRPr="002C6363">
        <w:rPr>
          <w:i/>
          <w:iCs/>
        </w:rPr>
        <w:t>on</w:t>
      </w:r>
      <w:r w:rsidR="003D640C" w:rsidRPr="002C6363">
        <w:rPr>
          <w:i/>
          <w:iCs/>
        </w:rPr>
        <w:t xml:space="preserve"> </w:t>
      </w:r>
      <w:r w:rsidR="006601EF" w:rsidRPr="002C6363">
        <w:rPr>
          <w:i/>
          <w:iCs/>
        </w:rPr>
        <w:t>suicidal</w:t>
      </w:r>
      <w:r w:rsidR="003D640C" w:rsidRPr="002C6363">
        <w:rPr>
          <w:i/>
          <w:iCs/>
        </w:rPr>
        <w:t xml:space="preserve"> </w:t>
      </w:r>
      <w:r w:rsidR="006601EF" w:rsidRPr="002C6363">
        <w:rPr>
          <w:i/>
          <w:iCs/>
        </w:rPr>
        <w:t>ideation</w:t>
      </w:r>
      <w:r w:rsidR="003D640C" w:rsidRPr="002C6363">
        <w:rPr>
          <w:i/>
          <w:iCs/>
        </w:rPr>
        <w:t xml:space="preserve"> </w:t>
      </w:r>
      <w:r w:rsidR="006601EF" w:rsidRPr="002C6363">
        <w:rPr>
          <w:i/>
          <w:iCs/>
        </w:rPr>
        <w:t>in</w:t>
      </w:r>
      <w:r w:rsidR="003D640C" w:rsidRPr="002C6363">
        <w:rPr>
          <w:i/>
          <w:iCs/>
        </w:rPr>
        <w:t xml:space="preserve"> </w:t>
      </w:r>
      <w:r w:rsidR="006601EF" w:rsidRPr="002C6363">
        <w:rPr>
          <w:i/>
          <w:iCs/>
        </w:rPr>
        <w:t>young</w:t>
      </w:r>
      <w:r w:rsidR="003D640C" w:rsidRPr="002C6363">
        <w:rPr>
          <w:i/>
          <w:iCs/>
        </w:rPr>
        <w:t xml:space="preserve"> </w:t>
      </w:r>
      <w:r w:rsidR="006601EF" w:rsidRPr="002C6363">
        <w:rPr>
          <w:i/>
          <w:iCs/>
        </w:rPr>
        <w:t>rainbow</w:t>
      </w:r>
      <w:r w:rsidR="003D640C" w:rsidRPr="002C6363">
        <w:rPr>
          <w:i/>
          <w:iCs/>
        </w:rPr>
        <w:t xml:space="preserve"> </w:t>
      </w:r>
      <w:r w:rsidR="006601EF" w:rsidRPr="002C6363">
        <w:rPr>
          <w:i/>
          <w:iCs/>
        </w:rPr>
        <w:t>(</w:t>
      </w:r>
      <w:r w:rsidR="00600028" w:rsidRPr="002C6363">
        <w:rPr>
          <w:i/>
          <w:iCs/>
        </w:rPr>
        <w:t>LGBTQIA+)</w:t>
      </w:r>
      <w:r w:rsidR="003D640C" w:rsidRPr="002C6363">
        <w:rPr>
          <w:i/>
          <w:iCs/>
        </w:rPr>
        <w:t xml:space="preserve"> </w:t>
      </w:r>
      <w:r w:rsidR="00600028" w:rsidRPr="002C6363">
        <w:rPr>
          <w:i/>
          <w:iCs/>
        </w:rPr>
        <w:t>M</w:t>
      </w:r>
      <w:r w:rsidR="00600028" w:rsidRPr="002C6363">
        <w:rPr>
          <w:i/>
          <w:iCs/>
          <w:lang w:val="mi-NZ"/>
        </w:rPr>
        <w:t>āori</w:t>
      </w:r>
      <w:r w:rsidR="003D640C" w:rsidRPr="002C6363">
        <w:rPr>
          <w:i/>
          <w:iCs/>
          <w:lang w:val="mi-NZ"/>
        </w:rPr>
        <w:t xml:space="preserve"> </w:t>
      </w:r>
      <w:r w:rsidR="00600028" w:rsidRPr="002C6363">
        <w:rPr>
          <w:i/>
          <w:iCs/>
        </w:rPr>
        <w:t>and</w:t>
      </w:r>
      <w:r w:rsidR="003D640C" w:rsidRPr="002C6363">
        <w:rPr>
          <w:i/>
          <w:iCs/>
        </w:rPr>
        <w:t xml:space="preserve"> </w:t>
      </w:r>
      <w:r w:rsidR="00600028" w:rsidRPr="002C6363">
        <w:rPr>
          <w:i/>
          <w:iCs/>
        </w:rPr>
        <w:t>Pasifika</w:t>
      </w:r>
      <w:r w:rsidR="003D640C" w:rsidRPr="002C6363">
        <w:rPr>
          <w:i/>
          <w:iCs/>
        </w:rPr>
        <w:t xml:space="preserve"> </w:t>
      </w:r>
      <w:r w:rsidR="004D4891">
        <w:rPr>
          <w:i/>
          <w:iCs/>
        </w:rPr>
        <w:t>a</w:t>
      </w:r>
      <w:r w:rsidR="00600028" w:rsidRPr="002C6363">
        <w:rPr>
          <w:i/>
          <w:iCs/>
        </w:rPr>
        <w:t>dults</w:t>
      </w:r>
      <w:r w:rsidR="003D640C" w:rsidRPr="002C6363">
        <w:t xml:space="preserve"> </w:t>
      </w:r>
      <w:r w:rsidR="00CA1DC2" w:rsidRPr="002C6363">
        <w:t>[</w:t>
      </w:r>
      <w:r w:rsidR="00E246A1" w:rsidRPr="002C6363">
        <w:t>Honours</w:t>
      </w:r>
      <w:r w:rsidR="003D640C" w:rsidRPr="002C6363">
        <w:t xml:space="preserve"> </w:t>
      </w:r>
      <w:r w:rsidR="00EA7FDD" w:rsidRPr="002C6363">
        <w:t>thesis</w:t>
      </w:r>
      <w:r w:rsidR="00FF79DA" w:rsidRPr="002C6363">
        <w:t>,</w:t>
      </w:r>
      <w:r w:rsidR="003D640C" w:rsidRPr="002C6363">
        <w:t xml:space="preserve"> </w:t>
      </w:r>
      <w:r w:rsidR="00FF79DA" w:rsidRPr="002C6363">
        <w:t>University</w:t>
      </w:r>
      <w:r w:rsidR="003D640C" w:rsidRPr="002C6363">
        <w:t xml:space="preserve"> </w:t>
      </w:r>
      <w:r w:rsidR="00FF79DA" w:rsidRPr="002C6363">
        <w:t>of</w:t>
      </w:r>
      <w:r w:rsidR="003D640C" w:rsidRPr="002C6363">
        <w:t xml:space="preserve"> </w:t>
      </w:r>
      <w:r w:rsidR="00FF79DA" w:rsidRPr="002C6363">
        <w:t>Otago].</w:t>
      </w:r>
      <w:r w:rsidR="003D640C" w:rsidRPr="002C6363">
        <w:t xml:space="preserve"> </w:t>
      </w:r>
    </w:p>
  </w:footnote>
  <w:footnote w:id="166">
    <w:p w14:paraId="6E5777D0" w14:textId="5C13FCA9" w:rsidR="00703134" w:rsidRPr="002C6363" w:rsidRDefault="00703134" w:rsidP="00E00167">
      <w:pPr>
        <w:pStyle w:val="FootnoteText"/>
      </w:pPr>
      <w:r w:rsidRPr="002C6363">
        <w:rPr>
          <w:rStyle w:val="FootnoteReference"/>
        </w:rPr>
        <w:footnoteRef/>
      </w:r>
      <w:r w:rsidR="003D640C" w:rsidRPr="002C6363">
        <w:t xml:space="preserve"> </w:t>
      </w:r>
      <w:r w:rsidR="005722AD" w:rsidRPr="002C6363">
        <w:t>Fenaughty</w:t>
      </w:r>
      <w:r w:rsidR="003D640C" w:rsidRPr="002C6363">
        <w:t xml:space="preserve"> </w:t>
      </w:r>
      <w:r w:rsidR="005722AD" w:rsidRPr="002C6363">
        <w:t>et</w:t>
      </w:r>
      <w:r w:rsidR="003D640C" w:rsidRPr="002C6363">
        <w:t xml:space="preserve"> </w:t>
      </w:r>
      <w:r w:rsidR="005722AD" w:rsidRPr="002C6363">
        <w:t>al.,</w:t>
      </w:r>
      <w:r w:rsidR="003D640C" w:rsidRPr="002C6363">
        <w:t xml:space="preserve"> </w:t>
      </w:r>
      <w:r w:rsidR="005722AD" w:rsidRPr="002C6363">
        <w:t>2023</w:t>
      </w:r>
      <w:r w:rsidR="002A6F40">
        <w:t>.</w:t>
      </w:r>
    </w:p>
  </w:footnote>
  <w:footnote w:id="167">
    <w:p w14:paraId="617BBD9E" w14:textId="191632A5" w:rsidR="00212403" w:rsidRPr="002C6363" w:rsidRDefault="00212403" w:rsidP="00E00167">
      <w:pPr>
        <w:pStyle w:val="FootnoteText"/>
      </w:pPr>
      <w:r w:rsidRPr="002C6363">
        <w:rPr>
          <w:rStyle w:val="FootnoteReference"/>
        </w:rPr>
        <w:footnoteRef/>
      </w:r>
      <w:r w:rsidR="003D640C" w:rsidRPr="002C6363">
        <w:t xml:space="preserve"> </w:t>
      </w:r>
      <w:r w:rsidR="00854EED" w:rsidRPr="002C6363">
        <w:t>Veale</w:t>
      </w:r>
      <w:r w:rsidR="003D640C" w:rsidRPr="002C6363">
        <w:t xml:space="preserve"> </w:t>
      </w:r>
      <w:r w:rsidR="00854EED" w:rsidRPr="002C6363">
        <w:t>et</w:t>
      </w:r>
      <w:r w:rsidR="003D640C" w:rsidRPr="002C6363">
        <w:t xml:space="preserve"> </w:t>
      </w:r>
      <w:r w:rsidR="00854EED" w:rsidRPr="002C6363">
        <w:t>al.,</w:t>
      </w:r>
      <w:r w:rsidR="003D640C" w:rsidRPr="002C6363">
        <w:t xml:space="preserve"> </w:t>
      </w:r>
      <w:r w:rsidR="00854EED" w:rsidRPr="002C6363">
        <w:t>202</w:t>
      </w:r>
      <w:r w:rsidR="00F4569F" w:rsidRPr="002C6363">
        <w:t>2</w:t>
      </w:r>
      <w:r w:rsidR="003C3829">
        <w:t>.</w:t>
      </w:r>
    </w:p>
  </w:footnote>
  <w:footnote w:id="168">
    <w:p w14:paraId="5D437E3D" w14:textId="3814976C" w:rsidR="00090102" w:rsidRPr="00875F60" w:rsidRDefault="00090102" w:rsidP="00E00167">
      <w:pPr>
        <w:pStyle w:val="FootnoteText"/>
      </w:pPr>
      <w:r w:rsidRPr="00875F60">
        <w:rPr>
          <w:rStyle w:val="FootnoteReference"/>
        </w:rPr>
        <w:footnoteRef/>
      </w:r>
      <w:r w:rsidR="003D640C">
        <w:t xml:space="preserve"> </w:t>
      </w:r>
      <w:r w:rsidR="00344E5F" w:rsidRPr="00875F60">
        <w:t>Johns</w:t>
      </w:r>
      <w:r w:rsidR="004D4891">
        <w:t>e</w:t>
      </w:r>
      <w:r w:rsidR="00344E5F" w:rsidRPr="00875F60">
        <w:t>n,</w:t>
      </w:r>
      <w:r w:rsidR="003D640C">
        <w:t xml:space="preserve"> </w:t>
      </w:r>
      <w:r w:rsidR="00344E5F" w:rsidRPr="00875F60">
        <w:t>M.</w:t>
      </w:r>
      <w:r w:rsidR="003D640C">
        <w:t xml:space="preserve"> </w:t>
      </w:r>
      <w:r w:rsidR="00344E5F" w:rsidRPr="00875F60">
        <w:t>(2021</w:t>
      </w:r>
      <w:r w:rsidR="0051258B" w:rsidRPr="00875F60">
        <w:t>,</w:t>
      </w:r>
      <w:r w:rsidR="003D640C">
        <w:t xml:space="preserve"> </w:t>
      </w:r>
      <w:r w:rsidR="0051258B" w:rsidRPr="00875F60">
        <w:t>March</w:t>
      </w:r>
      <w:r w:rsidR="003D640C">
        <w:t xml:space="preserve"> </w:t>
      </w:r>
      <w:r w:rsidR="0051258B" w:rsidRPr="00875F60">
        <w:t>8</w:t>
      </w:r>
      <w:r w:rsidR="00344E5F" w:rsidRPr="00875F60">
        <w:t>).</w:t>
      </w:r>
      <w:r w:rsidR="003D640C">
        <w:t xml:space="preserve"> </w:t>
      </w:r>
      <w:r w:rsidR="00344E5F" w:rsidRPr="00875F60">
        <w:rPr>
          <w:i/>
          <w:iCs/>
        </w:rPr>
        <w:t>Conversion</w:t>
      </w:r>
      <w:r w:rsidR="003D640C">
        <w:rPr>
          <w:i/>
          <w:iCs/>
        </w:rPr>
        <w:t xml:space="preserve"> </w:t>
      </w:r>
      <w:r w:rsidR="00344E5F" w:rsidRPr="00875F60">
        <w:rPr>
          <w:i/>
          <w:iCs/>
        </w:rPr>
        <w:t>therapy</w:t>
      </w:r>
      <w:r w:rsidR="003D640C">
        <w:rPr>
          <w:i/>
          <w:iCs/>
        </w:rPr>
        <w:t xml:space="preserve"> </w:t>
      </w:r>
      <w:r w:rsidR="00344E5F" w:rsidRPr="00875F60">
        <w:rPr>
          <w:i/>
          <w:iCs/>
        </w:rPr>
        <w:t>ban</w:t>
      </w:r>
      <w:r w:rsidR="003D640C">
        <w:rPr>
          <w:i/>
          <w:iCs/>
        </w:rPr>
        <w:t xml:space="preserve"> </w:t>
      </w:r>
      <w:r w:rsidR="00344E5F" w:rsidRPr="00875F60">
        <w:rPr>
          <w:i/>
          <w:iCs/>
        </w:rPr>
        <w:t>petit</w:t>
      </w:r>
      <w:r w:rsidR="00497269" w:rsidRPr="00875F60">
        <w:rPr>
          <w:i/>
          <w:iCs/>
        </w:rPr>
        <w:t>i</w:t>
      </w:r>
      <w:r w:rsidR="00C10601" w:rsidRPr="00875F60">
        <w:rPr>
          <w:i/>
          <w:iCs/>
        </w:rPr>
        <w:t>on</w:t>
      </w:r>
      <w:r w:rsidR="00E256D6" w:rsidRPr="00875F60">
        <w:rPr>
          <w:i/>
          <w:iCs/>
        </w:rPr>
        <w:t>:</w:t>
      </w:r>
      <w:r w:rsidR="003D640C">
        <w:rPr>
          <w:i/>
          <w:iCs/>
        </w:rPr>
        <w:t xml:space="preserve"> </w:t>
      </w:r>
      <w:r w:rsidR="00E256D6" w:rsidRPr="00875F60">
        <w:rPr>
          <w:i/>
          <w:iCs/>
        </w:rPr>
        <w:t>T</w:t>
      </w:r>
      <w:r w:rsidR="00E256D6" w:rsidRPr="00875F60">
        <w:rPr>
          <w:i/>
          <w:iCs/>
          <w:lang w:val="mi-NZ"/>
        </w:rPr>
        <w:t>akatāpui</w:t>
      </w:r>
      <w:r w:rsidR="003D640C">
        <w:rPr>
          <w:i/>
          <w:iCs/>
          <w:lang w:val="mi-NZ"/>
        </w:rPr>
        <w:t xml:space="preserve"> </w:t>
      </w:r>
      <w:r w:rsidR="00E256D6" w:rsidRPr="00875F60">
        <w:rPr>
          <w:i/>
          <w:iCs/>
          <w:lang w:val="mi-NZ"/>
        </w:rPr>
        <w:t>‘</w:t>
      </w:r>
      <w:r w:rsidR="00E256D6" w:rsidRPr="00875F60">
        <w:rPr>
          <w:i/>
          <w:iCs/>
        </w:rPr>
        <w:t>inherent</w:t>
      </w:r>
      <w:r w:rsidR="003D640C">
        <w:rPr>
          <w:i/>
          <w:iCs/>
        </w:rPr>
        <w:t xml:space="preserve"> </w:t>
      </w:r>
      <w:r w:rsidR="00E256D6" w:rsidRPr="00875F60">
        <w:rPr>
          <w:i/>
          <w:iCs/>
        </w:rPr>
        <w:t>to</w:t>
      </w:r>
      <w:r w:rsidR="003D640C">
        <w:rPr>
          <w:i/>
          <w:iCs/>
        </w:rPr>
        <w:t xml:space="preserve"> </w:t>
      </w:r>
      <w:r w:rsidR="00E256D6" w:rsidRPr="00875F60">
        <w:rPr>
          <w:i/>
          <w:iCs/>
        </w:rPr>
        <w:t>our</w:t>
      </w:r>
      <w:r w:rsidR="003D640C">
        <w:rPr>
          <w:i/>
          <w:iCs/>
        </w:rPr>
        <w:t xml:space="preserve"> </w:t>
      </w:r>
      <w:r w:rsidR="00E256D6" w:rsidRPr="00875F60">
        <w:rPr>
          <w:i/>
          <w:iCs/>
        </w:rPr>
        <w:t>culture’</w:t>
      </w:r>
      <w:r w:rsidR="00700BF3">
        <w:t xml:space="preserve">; </w:t>
      </w:r>
      <w:r w:rsidR="00700BF3" w:rsidRPr="00875F60">
        <w:t>Te</w:t>
      </w:r>
      <w:r w:rsidR="00700BF3">
        <w:t xml:space="preserve"> </w:t>
      </w:r>
      <w:r w:rsidR="00700BF3" w:rsidRPr="00875F60">
        <w:t>Karere</w:t>
      </w:r>
      <w:r w:rsidR="00700BF3">
        <w:t xml:space="preserve"> </w:t>
      </w:r>
      <w:r w:rsidR="00700BF3" w:rsidRPr="00875F60">
        <w:t>TVNZ.</w:t>
      </w:r>
      <w:r w:rsidR="00700BF3">
        <w:t xml:space="preserve"> </w:t>
      </w:r>
      <w:r w:rsidR="00700BF3" w:rsidRPr="00875F60">
        <w:t>(2021).</w:t>
      </w:r>
      <w:r w:rsidR="00700BF3">
        <w:t xml:space="preserve"> </w:t>
      </w:r>
      <w:r w:rsidR="00700BF3" w:rsidRPr="00875F60">
        <w:rPr>
          <w:i/>
          <w:iCs/>
        </w:rPr>
        <w:t>Conversion</w:t>
      </w:r>
      <w:r w:rsidR="00700BF3">
        <w:rPr>
          <w:i/>
          <w:iCs/>
        </w:rPr>
        <w:t xml:space="preserve"> </w:t>
      </w:r>
      <w:r w:rsidR="00700BF3" w:rsidRPr="00875F60">
        <w:rPr>
          <w:i/>
          <w:iCs/>
        </w:rPr>
        <w:t>therapy</w:t>
      </w:r>
      <w:r w:rsidR="00700BF3">
        <w:rPr>
          <w:i/>
          <w:iCs/>
        </w:rPr>
        <w:t xml:space="preserve"> </w:t>
      </w:r>
      <w:r w:rsidR="00700BF3" w:rsidRPr="00875F60">
        <w:rPr>
          <w:i/>
          <w:iCs/>
        </w:rPr>
        <w:t>survivor</w:t>
      </w:r>
      <w:r w:rsidR="00700BF3">
        <w:rPr>
          <w:i/>
          <w:iCs/>
        </w:rPr>
        <w:t xml:space="preserve"> </w:t>
      </w:r>
      <w:r w:rsidR="00700BF3" w:rsidRPr="00875F60">
        <w:rPr>
          <w:i/>
          <w:iCs/>
        </w:rPr>
        <w:t>can’t</w:t>
      </w:r>
      <w:r w:rsidR="00700BF3">
        <w:rPr>
          <w:i/>
          <w:iCs/>
        </w:rPr>
        <w:t xml:space="preserve"> </w:t>
      </w:r>
      <w:r w:rsidR="00700BF3" w:rsidRPr="00875F60">
        <w:rPr>
          <w:i/>
          <w:iCs/>
        </w:rPr>
        <w:t>wait</w:t>
      </w:r>
      <w:r w:rsidR="00700BF3">
        <w:rPr>
          <w:i/>
          <w:iCs/>
        </w:rPr>
        <w:t xml:space="preserve"> </w:t>
      </w:r>
      <w:r w:rsidR="00700BF3" w:rsidRPr="00875F60">
        <w:rPr>
          <w:i/>
          <w:iCs/>
        </w:rPr>
        <w:t>for</w:t>
      </w:r>
      <w:r w:rsidR="00700BF3">
        <w:rPr>
          <w:i/>
          <w:iCs/>
        </w:rPr>
        <w:t xml:space="preserve"> </w:t>
      </w:r>
      <w:r w:rsidR="00700BF3" w:rsidRPr="00875F60">
        <w:rPr>
          <w:i/>
          <w:iCs/>
        </w:rPr>
        <w:t>it</w:t>
      </w:r>
      <w:r w:rsidR="00700BF3">
        <w:rPr>
          <w:i/>
          <w:iCs/>
        </w:rPr>
        <w:t xml:space="preserve"> </w:t>
      </w:r>
      <w:r w:rsidR="00700BF3" w:rsidRPr="00875F60">
        <w:rPr>
          <w:i/>
          <w:iCs/>
        </w:rPr>
        <w:t>to</w:t>
      </w:r>
      <w:r w:rsidR="00700BF3">
        <w:rPr>
          <w:i/>
          <w:iCs/>
        </w:rPr>
        <w:t xml:space="preserve"> </w:t>
      </w:r>
      <w:r w:rsidR="00700BF3" w:rsidRPr="00875F60">
        <w:rPr>
          <w:i/>
          <w:iCs/>
        </w:rPr>
        <w:t>be</w:t>
      </w:r>
      <w:r w:rsidR="00700BF3">
        <w:rPr>
          <w:i/>
          <w:iCs/>
        </w:rPr>
        <w:t xml:space="preserve"> </w:t>
      </w:r>
      <w:r w:rsidR="00700BF3" w:rsidRPr="00875F60">
        <w:rPr>
          <w:i/>
          <w:iCs/>
        </w:rPr>
        <w:t>banned</w:t>
      </w:r>
      <w:r w:rsidR="00700BF3">
        <w:t xml:space="preserve"> </w:t>
      </w:r>
      <w:r w:rsidR="00700BF3" w:rsidRPr="00875F60">
        <w:t>[Video]</w:t>
      </w:r>
      <w:r w:rsidR="00700BF3">
        <w:t>;</w:t>
      </w:r>
      <w:r w:rsidR="00700BF3" w:rsidRPr="00875F60" w:rsidDel="008E1CCA">
        <w:t xml:space="preserve"> </w:t>
      </w:r>
      <w:r w:rsidR="00700BF3" w:rsidRPr="00875F60">
        <w:t>Allan,</w:t>
      </w:r>
      <w:r w:rsidR="00700BF3">
        <w:t xml:space="preserve"> </w:t>
      </w:r>
      <w:r w:rsidR="00700BF3" w:rsidRPr="00875F60">
        <w:t>K.</w:t>
      </w:r>
      <w:r w:rsidR="00700BF3">
        <w:t xml:space="preserve"> </w:t>
      </w:r>
      <w:r w:rsidR="00700BF3" w:rsidRPr="00875F60">
        <w:t>(2022,</w:t>
      </w:r>
      <w:r w:rsidR="00700BF3">
        <w:t xml:space="preserve"> </w:t>
      </w:r>
      <w:r w:rsidR="00700BF3" w:rsidRPr="00875F60">
        <w:t>February</w:t>
      </w:r>
      <w:r w:rsidR="00700BF3">
        <w:t xml:space="preserve"> </w:t>
      </w:r>
      <w:r w:rsidR="00700BF3" w:rsidRPr="00875F60">
        <w:t>19).</w:t>
      </w:r>
      <w:r w:rsidR="00700BF3">
        <w:t xml:space="preserve"> </w:t>
      </w:r>
      <w:r w:rsidR="00700BF3" w:rsidRPr="007B139B">
        <w:rPr>
          <w:i/>
          <w:iCs/>
        </w:rPr>
        <w:t>Kiri Allan: My conversion therapy story</w:t>
      </w:r>
      <w:r w:rsidR="00700BF3">
        <w:t xml:space="preserve">; </w:t>
      </w:r>
      <w:r w:rsidR="00700BF3" w:rsidRPr="00875F60">
        <w:t>Ling,</w:t>
      </w:r>
      <w:r w:rsidR="00700BF3">
        <w:t xml:space="preserve"> </w:t>
      </w:r>
      <w:r w:rsidR="00700BF3" w:rsidRPr="00875F60">
        <w:t>J.</w:t>
      </w:r>
      <w:r w:rsidR="00700BF3">
        <w:t xml:space="preserve"> </w:t>
      </w:r>
      <w:r w:rsidR="00700BF3" w:rsidRPr="00875F60">
        <w:t>(2023,</w:t>
      </w:r>
      <w:r w:rsidR="00700BF3">
        <w:t xml:space="preserve"> </w:t>
      </w:r>
      <w:r w:rsidR="00700BF3" w:rsidRPr="00875F60">
        <w:t>March</w:t>
      </w:r>
      <w:r w:rsidR="00700BF3">
        <w:t xml:space="preserve"> </w:t>
      </w:r>
      <w:r w:rsidR="00700BF3" w:rsidRPr="00875F60">
        <w:t>26).</w:t>
      </w:r>
      <w:r w:rsidR="00700BF3">
        <w:t xml:space="preserve"> </w:t>
      </w:r>
      <w:r w:rsidR="00700BF3" w:rsidRPr="007B139B">
        <w:rPr>
          <w:i/>
          <w:iCs/>
        </w:rPr>
        <w:t>Trans woman’s experience of 17 years of conversion therapy at controversial Far North school and church</w:t>
      </w:r>
      <w:r w:rsidR="00700BF3" w:rsidRPr="00875F60">
        <w:t>.</w:t>
      </w:r>
      <w:r w:rsidR="00700BF3">
        <w:t xml:space="preserve"> </w:t>
      </w:r>
    </w:p>
  </w:footnote>
  <w:footnote w:id="169">
    <w:p w14:paraId="6E932321" w14:textId="157F3A2C" w:rsidR="00E7455B" w:rsidRPr="00875F60" w:rsidRDefault="00E7455B" w:rsidP="00E00167">
      <w:pPr>
        <w:pStyle w:val="FootnoteText"/>
      </w:pPr>
      <w:r w:rsidRPr="00875F60">
        <w:rPr>
          <w:rStyle w:val="FootnoteReference"/>
        </w:rPr>
        <w:footnoteRef/>
      </w:r>
      <w:r w:rsidR="003D640C">
        <w:t xml:space="preserve"> </w:t>
      </w:r>
      <w:r w:rsidR="004177DC" w:rsidRPr="00875F60">
        <w:t>Sykes,</w:t>
      </w:r>
      <w:r w:rsidR="003D640C">
        <w:t xml:space="preserve"> </w:t>
      </w:r>
      <w:r w:rsidR="004177DC" w:rsidRPr="00875F60">
        <w:t>R.</w:t>
      </w:r>
      <w:r w:rsidR="003D640C">
        <w:t xml:space="preserve"> </w:t>
      </w:r>
      <w:r w:rsidR="004177DC" w:rsidRPr="00875F60">
        <w:t>(2021,</w:t>
      </w:r>
      <w:r w:rsidR="003D640C">
        <w:t xml:space="preserve"> </w:t>
      </w:r>
      <w:r w:rsidR="004177DC" w:rsidRPr="00875F60">
        <w:t>November</w:t>
      </w:r>
      <w:r w:rsidR="003D640C">
        <w:t xml:space="preserve"> </w:t>
      </w:r>
      <w:r w:rsidR="004177DC" w:rsidRPr="00875F60">
        <w:t>6).</w:t>
      </w:r>
      <w:r w:rsidR="003D640C">
        <w:t xml:space="preserve"> </w:t>
      </w:r>
      <w:r w:rsidR="004177DC" w:rsidRPr="00875F60">
        <w:rPr>
          <w:i/>
          <w:iCs/>
        </w:rPr>
        <w:t>My</w:t>
      </w:r>
      <w:r w:rsidR="003D640C">
        <w:rPr>
          <w:i/>
          <w:iCs/>
        </w:rPr>
        <w:t xml:space="preserve"> </w:t>
      </w:r>
      <w:r w:rsidR="004177DC" w:rsidRPr="00875F60">
        <w:rPr>
          <w:i/>
          <w:iCs/>
        </w:rPr>
        <w:t>oral</w:t>
      </w:r>
      <w:r w:rsidR="003D640C">
        <w:rPr>
          <w:i/>
          <w:iCs/>
        </w:rPr>
        <w:t xml:space="preserve"> </w:t>
      </w:r>
      <w:r w:rsidR="004177DC" w:rsidRPr="00875F60">
        <w:rPr>
          <w:i/>
          <w:iCs/>
        </w:rPr>
        <w:t>submission</w:t>
      </w:r>
      <w:r w:rsidR="003D640C">
        <w:rPr>
          <w:i/>
          <w:iCs/>
        </w:rPr>
        <w:t xml:space="preserve"> </w:t>
      </w:r>
      <w:r w:rsidR="004177DC" w:rsidRPr="00875F60">
        <w:rPr>
          <w:i/>
          <w:iCs/>
        </w:rPr>
        <w:t>to</w:t>
      </w:r>
      <w:r w:rsidR="003D640C">
        <w:rPr>
          <w:i/>
          <w:iCs/>
        </w:rPr>
        <w:t xml:space="preserve"> </w:t>
      </w:r>
      <w:r w:rsidR="004177DC" w:rsidRPr="00875F60">
        <w:rPr>
          <w:i/>
          <w:iCs/>
        </w:rPr>
        <w:t>the</w:t>
      </w:r>
      <w:r w:rsidR="003D640C">
        <w:rPr>
          <w:i/>
          <w:iCs/>
        </w:rPr>
        <w:t xml:space="preserve"> </w:t>
      </w:r>
      <w:r w:rsidR="004177DC" w:rsidRPr="00875F60">
        <w:rPr>
          <w:i/>
          <w:iCs/>
        </w:rPr>
        <w:t>Justice</w:t>
      </w:r>
      <w:r w:rsidR="003D640C">
        <w:rPr>
          <w:i/>
          <w:iCs/>
        </w:rPr>
        <w:t xml:space="preserve"> </w:t>
      </w:r>
      <w:r w:rsidR="004177DC" w:rsidRPr="00875F60">
        <w:rPr>
          <w:i/>
          <w:iCs/>
        </w:rPr>
        <w:t>Committee</w:t>
      </w:r>
      <w:r w:rsidR="003D640C">
        <w:rPr>
          <w:i/>
          <w:iCs/>
        </w:rPr>
        <w:t xml:space="preserve"> </w:t>
      </w:r>
      <w:r w:rsidR="004177DC" w:rsidRPr="00875F60">
        <w:rPr>
          <w:i/>
          <w:iCs/>
        </w:rPr>
        <w:t>on</w:t>
      </w:r>
      <w:r w:rsidR="003D640C">
        <w:rPr>
          <w:i/>
          <w:iCs/>
        </w:rPr>
        <w:t xml:space="preserve"> </w:t>
      </w:r>
      <w:r w:rsidR="004177DC" w:rsidRPr="00875F60">
        <w:rPr>
          <w:i/>
          <w:iCs/>
        </w:rPr>
        <w:t>the</w:t>
      </w:r>
      <w:r w:rsidR="003D640C">
        <w:rPr>
          <w:i/>
          <w:iCs/>
        </w:rPr>
        <w:t xml:space="preserve"> </w:t>
      </w:r>
      <w:r w:rsidR="004177DC" w:rsidRPr="00875F60">
        <w:rPr>
          <w:i/>
          <w:iCs/>
        </w:rPr>
        <w:t>Conversion</w:t>
      </w:r>
      <w:r w:rsidR="003D640C">
        <w:rPr>
          <w:i/>
          <w:iCs/>
        </w:rPr>
        <w:t xml:space="preserve"> </w:t>
      </w:r>
      <w:r w:rsidR="004177DC" w:rsidRPr="00875F60">
        <w:rPr>
          <w:i/>
          <w:iCs/>
        </w:rPr>
        <w:t>Practices</w:t>
      </w:r>
      <w:r w:rsidR="003D640C">
        <w:rPr>
          <w:i/>
          <w:iCs/>
        </w:rPr>
        <w:t xml:space="preserve"> </w:t>
      </w:r>
      <w:r w:rsidR="004177DC" w:rsidRPr="00875F60">
        <w:rPr>
          <w:i/>
          <w:iCs/>
        </w:rPr>
        <w:t>Prohibition</w:t>
      </w:r>
      <w:r w:rsidR="003D640C">
        <w:rPr>
          <w:i/>
          <w:iCs/>
        </w:rPr>
        <w:t xml:space="preserve"> </w:t>
      </w:r>
      <w:r w:rsidR="004177DC" w:rsidRPr="00875F60">
        <w:rPr>
          <w:i/>
          <w:iCs/>
        </w:rPr>
        <w:t>Legislation</w:t>
      </w:r>
      <w:r w:rsidR="003D640C">
        <w:rPr>
          <w:i/>
          <w:iCs/>
        </w:rPr>
        <w:t xml:space="preserve"> </w:t>
      </w:r>
      <w:r w:rsidR="004177DC" w:rsidRPr="00875F60">
        <w:rPr>
          <w:i/>
          <w:iCs/>
        </w:rPr>
        <w:t>Bill</w:t>
      </w:r>
      <w:r w:rsidR="003D640C">
        <w:t xml:space="preserve"> </w:t>
      </w:r>
      <w:r w:rsidR="004177DC" w:rsidRPr="00875F60">
        <w:t>[</w:t>
      </w:r>
      <w:r w:rsidR="004D4891">
        <w:t>V</w:t>
      </w:r>
      <w:r w:rsidR="004177DC" w:rsidRPr="00875F60">
        <w:t>ideo].</w:t>
      </w:r>
      <w:r w:rsidR="003D640C">
        <w:t xml:space="preserve"> </w:t>
      </w:r>
    </w:p>
  </w:footnote>
  <w:footnote w:id="170">
    <w:p w14:paraId="038B1352" w14:textId="7E417169" w:rsidR="00AE2C2B" w:rsidRPr="00875F60" w:rsidRDefault="00AE2C2B" w:rsidP="00E00167">
      <w:pPr>
        <w:pStyle w:val="FootnoteText"/>
      </w:pPr>
      <w:r w:rsidRPr="00875F60">
        <w:rPr>
          <w:rStyle w:val="FootnoteReference"/>
        </w:rPr>
        <w:footnoteRef/>
      </w:r>
      <w:r w:rsidR="003D640C">
        <w:t xml:space="preserve"> </w:t>
      </w:r>
      <w:r w:rsidR="004177DC" w:rsidRPr="00875F60">
        <w:t>Pooley,</w:t>
      </w:r>
      <w:r w:rsidR="003D640C">
        <w:t xml:space="preserve"> </w:t>
      </w:r>
      <w:r w:rsidR="004177DC" w:rsidRPr="00875F60">
        <w:t>L.</w:t>
      </w:r>
      <w:r w:rsidR="003D640C">
        <w:t xml:space="preserve"> </w:t>
      </w:r>
      <w:r w:rsidR="004177DC" w:rsidRPr="00875F60">
        <w:t>(Producer).</w:t>
      </w:r>
      <w:r w:rsidR="003D640C">
        <w:t xml:space="preserve"> </w:t>
      </w:r>
      <w:r w:rsidR="004177DC" w:rsidRPr="00875F60">
        <w:t>(2022).</w:t>
      </w:r>
      <w:r w:rsidR="003D640C">
        <w:t xml:space="preserve"> </w:t>
      </w:r>
      <w:r w:rsidR="004177DC" w:rsidRPr="00875F60">
        <w:rPr>
          <w:i/>
          <w:iCs/>
        </w:rPr>
        <w:t>Beyond</w:t>
      </w:r>
      <w:r w:rsidR="003D640C">
        <w:rPr>
          <w:i/>
          <w:iCs/>
        </w:rPr>
        <w:t xml:space="preserve"> </w:t>
      </w:r>
      <w:r w:rsidR="004D4891">
        <w:rPr>
          <w:i/>
          <w:iCs/>
        </w:rPr>
        <w:t>c</w:t>
      </w:r>
      <w:r w:rsidR="004177DC" w:rsidRPr="00875F60">
        <w:rPr>
          <w:i/>
          <w:iCs/>
        </w:rPr>
        <w:t>onversion</w:t>
      </w:r>
      <w:r w:rsidR="003D640C">
        <w:rPr>
          <w:i/>
          <w:iCs/>
        </w:rPr>
        <w:t xml:space="preserve"> </w:t>
      </w:r>
      <w:r w:rsidR="004177DC" w:rsidRPr="007B139B">
        <w:t>[Documentary]</w:t>
      </w:r>
      <w:r w:rsidR="004177DC" w:rsidRPr="00875F60">
        <w:rPr>
          <w:i/>
          <w:iCs/>
        </w:rPr>
        <w:t>.</w:t>
      </w:r>
      <w:r w:rsidR="003D640C">
        <w:t xml:space="preserve"> </w:t>
      </w:r>
      <w:r w:rsidR="009160B2" w:rsidRPr="00875F60">
        <w:t>Irirangi</w:t>
      </w:r>
      <w:r w:rsidR="003D640C">
        <w:t xml:space="preserve"> </w:t>
      </w:r>
      <w:r w:rsidR="009160B2" w:rsidRPr="00875F60">
        <w:t>Te</w:t>
      </w:r>
      <w:r w:rsidR="003D640C">
        <w:t xml:space="preserve"> </w:t>
      </w:r>
      <w:r w:rsidR="009160B2" w:rsidRPr="00875F60">
        <w:t>Moto</w:t>
      </w:r>
      <w:r w:rsidR="003D640C">
        <w:t xml:space="preserve"> </w:t>
      </w:r>
      <w:r w:rsidR="004D4891">
        <w:t>|</w:t>
      </w:r>
      <w:r w:rsidR="003D640C">
        <w:t xml:space="preserve"> </w:t>
      </w:r>
      <w:r w:rsidR="009160B2" w:rsidRPr="00875F60">
        <w:t>New</w:t>
      </w:r>
      <w:r w:rsidR="003D640C">
        <w:t xml:space="preserve"> </w:t>
      </w:r>
      <w:r w:rsidR="009160B2" w:rsidRPr="00875F60">
        <w:t>Zealand</w:t>
      </w:r>
      <w:r w:rsidR="003D640C">
        <w:t xml:space="preserve"> </w:t>
      </w:r>
      <w:r w:rsidR="009160B2" w:rsidRPr="00875F60">
        <w:t>on</w:t>
      </w:r>
      <w:r w:rsidR="003D640C">
        <w:t xml:space="preserve"> </w:t>
      </w:r>
      <w:r w:rsidR="009160B2" w:rsidRPr="00875F60">
        <w:t>Air</w:t>
      </w:r>
      <w:r w:rsidR="003D640C">
        <w:t xml:space="preserve"> </w:t>
      </w:r>
      <w:r w:rsidR="009160B2" w:rsidRPr="00875F60">
        <w:t>and</w:t>
      </w:r>
      <w:r w:rsidR="003D640C">
        <w:t xml:space="preserve"> </w:t>
      </w:r>
      <w:r w:rsidR="009160B2" w:rsidRPr="00875F60">
        <w:t>TVNZ</w:t>
      </w:r>
      <w:r w:rsidR="00700BF3">
        <w:t xml:space="preserve">; </w:t>
      </w:r>
      <w:r w:rsidR="00700BF3" w:rsidRPr="00875F60">
        <w:t>Koloamatangi,</w:t>
      </w:r>
      <w:r w:rsidR="00700BF3">
        <w:t xml:space="preserve"> </w:t>
      </w:r>
      <w:r w:rsidR="00700BF3" w:rsidRPr="00875F60">
        <w:t>A.</w:t>
      </w:r>
      <w:r w:rsidR="00700BF3">
        <w:t xml:space="preserve"> </w:t>
      </w:r>
      <w:r w:rsidR="00700BF3" w:rsidRPr="00875F60">
        <w:t>W.</w:t>
      </w:r>
      <w:r w:rsidR="00700BF3">
        <w:t xml:space="preserve"> </w:t>
      </w:r>
      <w:r w:rsidR="00700BF3" w:rsidRPr="00875F60">
        <w:t>(Host).</w:t>
      </w:r>
      <w:r w:rsidR="00700BF3">
        <w:t xml:space="preserve"> </w:t>
      </w:r>
      <w:r w:rsidR="00700BF3" w:rsidRPr="00875F60">
        <w:t>(2022,</w:t>
      </w:r>
      <w:r w:rsidR="00700BF3">
        <w:t xml:space="preserve"> </w:t>
      </w:r>
      <w:r w:rsidR="00700BF3" w:rsidRPr="00875F60">
        <w:t>June</w:t>
      </w:r>
      <w:r w:rsidR="00700BF3">
        <w:t xml:space="preserve"> </w:t>
      </w:r>
      <w:r w:rsidR="00700BF3" w:rsidRPr="00875F60">
        <w:t>9).</w:t>
      </w:r>
      <w:r w:rsidR="00700BF3">
        <w:t xml:space="preserve"> </w:t>
      </w:r>
      <w:r w:rsidR="00700BF3" w:rsidRPr="007B139B">
        <w:rPr>
          <w:i/>
          <w:iCs/>
        </w:rPr>
        <w:t>Queer and here</w:t>
      </w:r>
      <w:r w:rsidR="00700BF3">
        <w:t xml:space="preserve"> </w:t>
      </w:r>
      <w:r w:rsidR="00700BF3" w:rsidRPr="00875F60">
        <w:t>(Episode</w:t>
      </w:r>
      <w:r w:rsidR="00700BF3">
        <w:t xml:space="preserve"> </w:t>
      </w:r>
      <w:r w:rsidR="00700BF3" w:rsidRPr="00875F60">
        <w:t>4)</w:t>
      </w:r>
      <w:r w:rsidR="00700BF3">
        <w:t xml:space="preserve"> </w:t>
      </w:r>
      <w:r w:rsidR="00700BF3" w:rsidRPr="00875F60">
        <w:t>[TV</w:t>
      </w:r>
      <w:r w:rsidR="00700BF3">
        <w:t xml:space="preserve"> </w:t>
      </w:r>
      <w:r w:rsidR="00700BF3" w:rsidRPr="00875F60">
        <w:t>series</w:t>
      </w:r>
      <w:r w:rsidR="00700BF3">
        <w:t xml:space="preserve"> </w:t>
      </w:r>
      <w:r w:rsidR="00700BF3" w:rsidRPr="00875F60">
        <w:t>episode].</w:t>
      </w:r>
      <w:r w:rsidR="00700BF3" w:rsidDel="00700BF3">
        <w:t xml:space="preserve"> </w:t>
      </w:r>
      <w:r w:rsidR="00700BF3" w:rsidRPr="00875F60">
        <w:t>Whakaata</w:t>
      </w:r>
      <w:r w:rsidR="00700BF3">
        <w:t xml:space="preserve"> </w:t>
      </w:r>
      <w:r w:rsidR="00700BF3" w:rsidRPr="00875F60">
        <w:t>M</w:t>
      </w:r>
      <w:r w:rsidR="00700BF3" w:rsidRPr="00875F60">
        <w:rPr>
          <w:lang w:val="mi-NZ"/>
        </w:rPr>
        <w:t>āori</w:t>
      </w:r>
      <w:r w:rsidR="00700BF3">
        <w:rPr>
          <w:lang w:val="mi-NZ"/>
        </w:rPr>
        <w:t>.</w:t>
      </w:r>
    </w:p>
  </w:footnote>
  <w:footnote w:id="171">
    <w:p w14:paraId="358B9789" w14:textId="6140D5D8" w:rsidR="6223B888" w:rsidRDefault="6223B888" w:rsidP="6223B888">
      <w:pPr>
        <w:pStyle w:val="FootnoteText"/>
      </w:pPr>
      <w:r w:rsidRPr="6223B888">
        <w:rPr>
          <w:rStyle w:val="FootnoteReference"/>
        </w:rPr>
        <w:footnoteRef/>
      </w:r>
      <w:r>
        <w:t xml:space="preserve"> Jowett et al., 2021. </w:t>
      </w:r>
    </w:p>
  </w:footnote>
  <w:footnote w:id="172">
    <w:p w14:paraId="7CFF0CA4" w14:textId="4B0CCEB4" w:rsidR="6223B888" w:rsidRDefault="6223B888" w:rsidP="6223B888">
      <w:pPr>
        <w:pStyle w:val="FootnoteText"/>
        <w:rPr>
          <w:rFonts w:ascii="AdvOT5fcf1b24" w:hAnsi="AdvOT5fcf1b24" w:cs="AdvOT5fcf1b24"/>
          <w:sz w:val="17"/>
          <w:szCs w:val="17"/>
        </w:rPr>
      </w:pPr>
      <w:r w:rsidRPr="6223B888">
        <w:rPr>
          <w:rStyle w:val="FootnoteReference"/>
        </w:rPr>
        <w:footnoteRef/>
      </w:r>
      <w:r>
        <w:t xml:space="preserve"> Fenaughty et al., 2023.</w:t>
      </w:r>
    </w:p>
  </w:footnote>
  <w:footnote w:id="173">
    <w:p w14:paraId="31197530" w14:textId="36ADD46E" w:rsidR="6223B888" w:rsidRDefault="6223B888" w:rsidP="6223B888">
      <w:pPr>
        <w:pStyle w:val="FootnoteText"/>
      </w:pPr>
      <w:r w:rsidRPr="6223B888">
        <w:rPr>
          <w:rStyle w:val="FootnoteReference"/>
        </w:rPr>
        <w:footnoteRef/>
      </w:r>
      <w:r>
        <w:t xml:space="preserve"> Jones et al., 2022a.</w:t>
      </w:r>
    </w:p>
  </w:footnote>
  <w:footnote w:id="174">
    <w:p w14:paraId="7F7EC3BB" w14:textId="58209453" w:rsidR="008B2605" w:rsidRPr="00B1465F" w:rsidRDefault="008B2605" w:rsidP="00E00167">
      <w:pPr>
        <w:pStyle w:val="FootnoteText"/>
        <w:rPr>
          <w:lang w:val="en-US"/>
        </w:rPr>
      </w:pPr>
      <w:r>
        <w:rPr>
          <w:rStyle w:val="FootnoteReference"/>
        </w:rPr>
        <w:footnoteRef/>
      </w:r>
      <w:r w:rsidR="003D640C">
        <w:t xml:space="preserve"> </w:t>
      </w:r>
      <w:r>
        <w:rPr>
          <w:lang w:val="en-US"/>
        </w:rPr>
        <w:t>Abbot,</w:t>
      </w:r>
      <w:r w:rsidR="00970CFF">
        <w:rPr>
          <w:lang w:val="en-US"/>
        </w:rPr>
        <w:t xml:space="preserve"> </w:t>
      </w:r>
      <w:r w:rsidR="00CE3777">
        <w:rPr>
          <w:lang w:val="en-US"/>
        </w:rPr>
        <w:t>K.</w:t>
      </w:r>
      <w:r w:rsidR="003D640C">
        <w:rPr>
          <w:lang w:val="en-US"/>
        </w:rPr>
        <w:t xml:space="preserve"> </w:t>
      </w:r>
      <w:r w:rsidR="00CE3777">
        <w:rPr>
          <w:lang w:val="en-US"/>
        </w:rPr>
        <w:t>(2022)</w:t>
      </w:r>
      <w:r w:rsidR="00970CFF">
        <w:rPr>
          <w:lang w:val="en-US"/>
        </w:rPr>
        <w:t>.</w:t>
      </w:r>
      <w:r w:rsidR="003D640C">
        <w:rPr>
          <w:lang w:val="en-US"/>
        </w:rPr>
        <w:t xml:space="preserve"> </w:t>
      </w:r>
      <w:r>
        <w:rPr>
          <w:lang w:val="en-US"/>
        </w:rPr>
        <w:t>Tuākana/</w:t>
      </w:r>
      <w:r w:rsidR="00970CFF">
        <w:rPr>
          <w:lang w:val="en-US"/>
        </w:rPr>
        <w:t>t</w:t>
      </w:r>
      <w:r>
        <w:rPr>
          <w:lang w:val="en-US"/>
        </w:rPr>
        <w:t>ēina</w:t>
      </w:r>
      <w:r w:rsidR="003D640C">
        <w:rPr>
          <w:lang w:val="en-US"/>
        </w:rPr>
        <w:t xml:space="preserve"> </w:t>
      </w:r>
      <w:r w:rsidR="00970CFF">
        <w:rPr>
          <w:lang w:val="en-US"/>
        </w:rPr>
        <w:t>r</w:t>
      </w:r>
      <w:r>
        <w:rPr>
          <w:lang w:val="en-US"/>
        </w:rPr>
        <w:t>elational</w:t>
      </w:r>
      <w:r w:rsidR="003D640C">
        <w:rPr>
          <w:lang w:val="en-US"/>
        </w:rPr>
        <w:t xml:space="preserve"> </w:t>
      </w:r>
      <w:r w:rsidR="00970CFF">
        <w:rPr>
          <w:lang w:val="en-US"/>
        </w:rPr>
        <w:t>r</w:t>
      </w:r>
      <w:r>
        <w:rPr>
          <w:lang w:val="en-US"/>
        </w:rPr>
        <w:t>esponsibilities</w:t>
      </w:r>
      <w:r w:rsidR="003D640C">
        <w:rPr>
          <w:lang w:val="en-US"/>
        </w:rPr>
        <w:t xml:space="preserve"> </w:t>
      </w:r>
      <w:r>
        <w:rPr>
          <w:lang w:val="en-US"/>
        </w:rPr>
        <w:t>of</w:t>
      </w:r>
      <w:r w:rsidR="003D640C">
        <w:rPr>
          <w:lang w:val="en-US"/>
        </w:rPr>
        <w:t xml:space="preserve"> </w:t>
      </w:r>
      <w:r>
        <w:rPr>
          <w:lang w:val="en-US"/>
        </w:rPr>
        <w:t>Pacific</w:t>
      </w:r>
      <w:r w:rsidR="003D640C">
        <w:rPr>
          <w:lang w:val="en-US"/>
        </w:rPr>
        <w:t xml:space="preserve"> </w:t>
      </w:r>
      <w:r w:rsidR="00970CFF">
        <w:rPr>
          <w:lang w:val="en-US"/>
        </w:rPr>
        <w:t>t</w:t>
      </w:r>
      <w:r>
        <w:rPr>
          <w:lang w:val="en-US"/>
        </w:rPr>
        <w:t>auiwi</w:t>
      </w:r>
      <w:r w:rsidR="003D640C">
        <w:rPr>
          <w:lang w:val="en-US"/>
        </w:rPr>
        <w:t xml:space="preserve"> </w:t>
      </w:r>
      <w:r>
        <w:rPr>
          <w:lang w:val="en-US"/>
        </w:rPr>
        <w:t>to</w:t>
      </w:r>
      <w:r w:rsidR="003D640C">
        <w:rPr>
          <w:lang w:val="en-US"/>
        </w:rPr>
        <w:t xml:space="preserve"> </w:t>
      </w:r>
      <w:r>
        <w:rPr>
          <w:lang w:val="en-US"/>
        </w:rPr>
        <w:t>Māori</w:t>
      </w:r>
      <w:r w:rsidR="003D640C">
        <w:rPr>
          <w:lang w:val="en-US"/>
        </w:rPr>
        <w:t xml:space="preserve"> </w:t>
      </w:r>
      <w:r>
        <w:rPr>
          <w:lang w:val="en-US"/>
        </w:rPr>
        <w:t>and</w:t>
      </w:r>
      <w:r w:rsidR="003D640C">
        <w:rPr>
          <w:lang w:val="en-US"/>
        </w:rPr>
        <w:t xml:space="preserve"> </w:t>
      </w:r>
      <w:r w:rsidR="00970CFF">
        <w:rPr>
          <w:lang w:val="en-US"/>
        </w:rPr>
        <w:t>t</w:t>
      </w:r>
      <w:r>
        <w:rPr>
          <w:lang w:val="en-US"/>
        </w:rPr>
        <w:t>e</w:t>
      </w:r>
      <w:r w:rsidR="003D640C">
        <w:rPr>
          <w:lang w:val="en-US"/>
        </w:rPr>
        <w:t xml:space="preserve"> </w:t>
      </w:r>
      <w:r>
        <w:rPr>
          <w:lang w:val="en-US"/>
        </w:rPr>
        <w:t>Tiriti</w:t>
      </w:r>
      <w:r w:rsidR="003D640C">
        <w:rPr>
          <w:lang w:val="en-US"/>
        </w:rPr>
        <w:t xml:space="preserve"> </w:t>
      </w:r>
      <w:r>
        <w:rPr>
          <w:lang w:val="en-US"/>
        </w:rPr>
        <w:t>o</w:t>
      </w:r>
      <w:r w:rsidR="003D640C">
        <w:rPr>
          <w:lang w:val="en-US"/>
        </w:rPr>
        <w:t xml:space="preserve"> </w:t>
      </w:r>
      <w:r>
        <w:rPr>
          <w:lang w:val="en-US"/>
        </w:rPr>
        <w:t>Waitangi</w:t>
      </w:r>
      <w:r w:rsidR="003D640C">
        <w:rPr>
          <w:lang w:val="en-US"/>
        </w:rPr>
        <w:t xml:space="preserve"> </w:t>
      </w:r>
      <w:r w:rsidR="00970CFF">
        <w:rPr>
          <w:lang w:val="en-US"/>
        </w:rPr>
        <w:t>[</w:t>
      </w:r>
      <w:r w:rsidR="0051715E">
        <w:rPr>
          <w:lang w:val="en-US"/>
        </w:rPr>
        <w:t>M</w:t>
      </w:r>
      <w:r w:rsidR="00970CFF">
        <w:rPr>
          <w:lang w:val="en-US"/>
        </w:rPr>
        <w:t xml:space="preserve">aster’s </w:t>
      </w:r>
      <w:r w:rsidR="0051715E">
        <w:rPr>
          <w:lang w:val="en-US"/>
        </w:rPr>
        <w:t>thesis,</w:t>
      </w:r>
      <w:r w:rsidR="003D640C">
        <w:rPr>
          <w:lang w:val="en-US"/>
        </w:rPr>
        <w:t xml:space="preserve"> </w:t>
      </w:r>
      <w:r w:rsidR="0051715E">
        <w:rPr>
          <w:lang w:val="en-US"/>
        </w:rPr>
        <w:t>Victoria</w:t>
      </w:r>
      <w:r w:rsidR="003D640C">
        <w:rPr>
          <w:lang w:val="en-US"/>
        </w:rPr>
        <w:t xml:space="preserve"> </w:t>
      </w:r>
      <w:r w:rsidR="0051715E">
        <w:rPr>
          <w:lang w:val="en-US"/>
        </w:rPr>
        <w:t>University</w:t>
      </w:r>
      <w:r w:rsidR="003D640C">
        <w:rPr>
          <w:lang w:val="en-US"/>
        </w:rPr>
        <w:t xml:space="preserve"> </w:t>
      </w:r>
      <w:r w:rsidR="00970CFF">
        <w:rPr>
          <w:lang w:val="en-US"/>
        </w:rPr>
        <w:t xml:space="preserve">of </w:t>
      </w:r>
      <w:r w:rsidR="0051715E">
        <w:rPr>
          <w:lang w:val="en-US"/>
        </w:rPr>
        <w:t>Wellington</w:t>
      </w:r>
      <w:r w:rsidR="00970CFF">
        <w:rPr>
          <w:lang w:val="en-US"/>
        </w:rPr>
        <w:t>]</w:t>
      </w:r>
      <w:r w:rsidR="0051715E">
        <w:rPr>
          <w:lang w:val="en-US"/>
        </w:rPr>
        <w:t>.</w:t>
      </w:r>
    </w:p>
  </w:footnote>
  <w:footnote w:id="175">
    <w:p w14:paraId="2F3DC28A" w14:textId="1DFE46C5" w:rsidR="00035BAF" w:rsidRDefault="00035BAF" w:rsidP="00E00167">
      <w:pPr>
        <w:pStyle w:val="FootnoteText"/>
      </w:pPr>
      <w:r>
        <w:rPr>
          <w:rStyle w:val="FootnoteReference"/>
        </w:rPr>
        <w:footnoteRef/>
      </w:r>
      <w:r w:rsidR="003D640C">
        <w:t xml:space="preserve"> </w:t>
      </w:r>
      <w:r w:rsidR="00D8438F">
        <w:t>Malatest</w:t>
      </w:r>
      <w:r w:rsidR="003D640C">
        <w:t xml:space="preserve"> </w:t>
      </w:r>
      <w:r w:rsidR="00D8438F">
        <w:t>International</w:t>
      </w:r>
      <w:r w:rsidR="000168AE">
        <w:t>,</w:t>
      </w:r>
      <w:r w:rsidR="003D640C">
        <w:t xml:space="preserve"> </w:t>
      </w:r>
      <w:r w:rsidR="000168AE">
        <w:t>2021</w:t>
      </w:r>
      <w:r w:rsidR="00946C68">
        <w:t>.</w:t>
      </w:r>
    </w:p>
  </w:footnote>
  <w:footnote w:id="176">
    <w:p w14:paraId="77437363" w14:textId="5F7F34DD" w:rsidR="00F8160D" w:rsidRPr="00B36F0E" w:rsidRDefault="00F8160D">
      <w:pPr>
        <w:pStyle w:val="FootnoteText"/>
        <w:rPr>
          <w:lang w:val="mi-NZ"/>
        </w:rPr>
      </w:pPr>
      <w:r>
        <w:rPr>
          <w:rStyle w:val="FootnoteReference"/>
        </w:rPr>
        <w:footnoteRef/>
      </w:r>
      <w:r>
        <w:t xml:space="preserve"> </w:t>
      </w:r>
      <w:r w:rsidRPr="00B36F0E">
        <w:rPr>
          <w:lang w:val="mi-NZ"/>
        </w:rPr>
        <w:t>Stats NZ</w:t>
      </w:r>
      <w:r w:rsidR="00470AD7">
        <w:rPr>
          <w:lang w:val="mi-NZ"/>
        </w:rPr>
        <w:t xml:space="preserve">. (2024, May 29). </w:t>
      </w:r>
      <w:r w:rsidR="00B36F0E" w:rsidRPr="00B36F0E">
        <w:rPr>
          <w:i/>
          <w:iCs/>
          <w:lang w:val="mi-NZ"/>
        </w:rPr>
        <w:t>2023 Census population counts (by ethnic group, age, and Māori descent) and dwelling counts</w:t>
      </w:r>
      <w:r w:rsidR="00B36F0E">
        <w:rPr>
          <w:lang w:val="mi-NZ"/>
        </w:rPr>
        <w:t>.</w:t>
      </w:r>
    </w:p>
  </w:footnote>
  <w:footnote w:id="177">
    <w:p w14:paraId="34092ED6" w14:textId="164B1F87" w:rsidR="00C7489F" w:rsidRPr="00524255" w:rsidRDefault="00C7489F" w:rsidP="00E00167">
      <w:pPr>
        <w:pStyle w:val="FootnoteText"/>
        <w:rPr>
          <w:lang w:val="mi-NZ"/>
        </w:rPr>
      </w:pPr>
      <w:r>
        <w:rPr>
          <w:rStyle w:val="FootnoteReference"/>
        </w:rPr>
        <w:footnoteRef/>
      </w:r>
      <w:r w:rsidR="003D640C">
        <w:t xml:space="preserve"> </w:t>
      </w:r>
      <w:r w:rsidR="00524255" w:rsidRPr="00B36F0E">
        <w:rPr>
          <w:lang w:val="mi-NZ"/>
        </w:rPr>
        <w:t>Stats NZ</w:t>
      </w:r>
      <w:r w:rsidR="00524255">
        <w:rPr>
          <w:lang w:val="mi-NZ"/>
        </w:rPr>
        <w:t xml:space="preserve">. (n.d.). </w:t>
      </w:r>
      <w:r w:rsidR="00C04FAE">
        <w:rPr>
          <w:i/>
          <w:iCs/>
          <w:lang w:val="mi-NZ"/>
        </w:rPr>
        <w:t>Pacific Peoples</w:t>
      </w:r>
      <w:r w:rsidR="00524255" w:rsidRPr="00B36F0E">
        <w:rPr>
          <w:i/>
          <w:iCs/>
          <w:lang w:val="mi-NZ"/>
        </w:rPr>
        <w:t xml:space="preserve"> ethnic group</w:t>
      </w:r>
      <w:r w:rsidR="00524255">
        <w:rPr>
          <w:lang w:val="mi-NZ"/>
        </w:rPr>
        <w:t>.</w:t>
      </w:r>
    </w:p>
  </w:footnote>
  <w:footnote w:id="178">
    <w:p w14:paraId="7271DDF3" w14:textId="2C852CB5" w:rsidR="00F333CB" w:rsidRDefault="00F333CB" w:rsidP="00E00167">
      <w:pPr>
        <w:pStyle w:val="FootnoteText"/>
      </w:pPr>
      <w:r>
        <w:rPr>
          <w:rStyle w:val="FootnoteReference"/>
        </w:rPr>
        <w:footnoteRef/>
      </w:r>
      <w:r w:rsidR="003D640C">
        <w:t xml:space="preserve"> </w:t>
      </w:r>
      <w:r w:rsidR="00952212">
        <w:t>Lim-Bunnin,</w:t>
      </w:r>
      <w:r w:rsidR="003D640C">
        <w:t xml:space="preserve"> </w:t>
      </w:r>
      <w:r w:rsidR="00952212">
        <w:t>L.</w:t>
      </w:r>
      <w:r w:rsidR="003D640C">
        <w:t xml:space="preserve"> </w:t>
      </w:r>
      <w:r w:rsidR="006B3A28">
        <w:t>(2020)</w:t>
      </w:r>
      <w:r w:rsidR="00970CFF">
        <w:t>.</w:t>
      </w:r>
      <w:r w:rsidR="003D640C">
        <w:t xml:space="preserve"> </w:t>
      </w:r>
      <w:r w:rsidR="00952212">
        <w:t>“And</w:t>
      </w:r>
      <w:r w:rsidR="003D640C">
        <w:t xml:space="preserve"> </w:t>
      </w:r>
      <w:r w:rsidR="00952212">
        <w:t>every</w:t>
      </w:r>
      <w:r w:rsidR="003D640C">
        <w:t xml:space="preserve"> </w:t>
      </w:r>
      <w:r w:rsidR="00952212">
        <w:t>word</w:t>
      </w:r>
      <w:r w:rsidR="003D640C">
        <w:t xml:space="preserve"> </w:t>
      </w:r>
      <w:r w:rsidR="00952212">
        <w:t>a</w:t>
      </w:r>
      <w:r w:rsidR="003D640C">
        <w:t xml:space="preserve"> </w:t>
      </w:r>
      <w:r w:rsidR="00952212">
        <w:t>lie”:</w:t>
      </w:r>
      <w:r w:rsidR="003D640C">
        <w:t xml:space="preserve"> </w:t>
      </w:r>
      <w:r w:rsidR="00952212">
        <w:t>Samoan</w:t>
      </w:r>
      <w:r w:rsidR="003D640C">
        <w:t xml:space="preserve"> </w:t>
      </w:r>
      <w:r w:rsidR="00952212">
        <w:t>gender-divergent</w:t>
      </w:r>
      <w:r w:rsidR="003D640C">
        <w:t xml:space="preserve"> </w:t>
      </w:r>
      <w:r w:rsidR="00952212">
        <w:t>communities,</w:t>
      </w:r>
      <w:r w:rsidR="003D640C">
        <w:t xml:space="preserve"> </w:t>
      </w:r>
      <w:r w:rsidR="00952212">
        <w:t>language</w:t>
      </w:r>
      <w:r w:rsidR="003D640C">
        <w:t xml:space="preserve"> </w:t>
      </w:r>
      <w:r w:rsidR="00952212">
        <w:t>and</w:t>
      </w:r>
      <w:r w:rsidR="003D640C">
        <w:t xml:space="preserve"> </w:t>
      </w:r>
      <w:r w:rsidR="00952212">
        <w:t>epistemic</w:t>
      </w:r>
      <w:r w:rsidR="003D640C">
        <w:t xml:space="preserve"> </w:t>
      </w:r>
      <w:r w:rsidR="00952212">
        <w:t>violence.</w:t>
      </w:r>
      <w:r w:rsidR="003D640C">
        <w:t xml:space="preserve"> </w:t>
      </w:r>
      <w:r w:rsidR="00952212" w:rsidRPr="007B139B">
        <w:rPr>
          <w:i/>
          <w:iCs/>
        </w:rPr>
        <w:t>Women’s</w:t>
      </w:r>
      <w:r w:rsidR="003D640C" w:rsidRPr="007B139B">
        <w:rPr>
          <w:i/>
          <w:iCs/>
        </w:rPr>
        <w:t xml:space="preserve"> </w:t>
      </w:r>
      <w:r w:rsidR="00952212" w:rsidRPr="007B139B">
        <w:rPr>
          <w:i/>
          <w:iCs/>
        </w:rPr>
        <w:t>Studies</w:t>
      </w:r>
      <w:r w:rsidR="003D640C" w:rsidRPr="007B139B">
        <w:rPr>
          <w:i/>
          <w:iCs/>
        </w:rPr>
        <w:t xml:space="preserve"> </w:t>
      </w:r>
      <w:r w:rsidR="00952212" w:rsidRPr="007B139B">
        <w:rPr>
          <w:i/>
          <w:iCs/>
        </w:rPr>
        <w:t>Journal</w:t>
      </w:r>
      <w:r w:rsidR="00952212">
        <w:t>,</w:t>
      </w:r>
      <w:r w:rsidR="003D640C">
        <w:t xml:space="preserve"> </w:t>
      </w:r>
      <w:r w:rsidR="00952212" w:rsidRPr="007B139B">
        <w:rPr>
          <w:i/>
          <w:iCs/>
        </w:rPr>
        <w:t>34</w:t>
      </w:r>
      <w:r w:rsidR="00952212">
        <w:t>(1/2)</w:t>
      </w:r>
      <w:r w:rsidR="00970CFF">
        <w:t>,</w:t>
      </w:r>
      <w:r w:rsidR="003D640C">
        <w:t xml:space="preserve"> </w:t>
      </w:r>
      <w:r w:rsidR="006B3A28">
        <w:t>76</w:t>
      </w:r>
      <w:r w:rsidR="00970CFF">
        <w:t>–</w:t>
      </w:r>
      <w:r w:rsidR="006B3A28">
        <w:t>91.</w:t>
      </w:r>
    </w:p>
  </w:footnote>
  <w:footnote w:id="179">
    <w:p w14:paraId="59F14F5E" w14:textId="0C10F645" w:rsidR="00035BAF" w:rsidRDefault="00035BAF" w:rsidP="00E00167">
      <w:pPr>
        <w:pStyle w:val="FootnoteText"/>
      </w:pPr>
      <w:r>
        <w:rPr>
          <w:rStyle w:val="FootnoteReference"/>
        </w:rPr>
        <w:footnoteRef/>
      </w:r>
      <w:r w:rsidR="003D640C">
        <w:t xml:space="preserve"> </w:t>
      </w:r>
      <w:r w:rsidR="009D01B4">
        <w:t>Murray,</w:t>
      </w:r>
      <w:r w:rsidR="003D640C">
        <w:t xml:space="preserve"> </w:t>
      </w:r>
      <w:r w:rsidR="009D01B4">
        <w:t>S.</w:t>
      </w:r>
      <w:r w:rsidR="003D640C">
        <w:t xml:space="preserve"> </w:t>
      </w:r>
      <w:r w:rsidR="009D01B4">
        <w:t>O.</w:t>
      </w:r>
      <w:r w:rsidR="003D640C">
        <w:t xml:space="preserve"> </w:t>
      </w:r>
      <w:r w:rsidR="009D01B4">
        <w:t>(2002).</w:t>
      </w:r>
      <w:r w:rsidR="003D640C">
        <w:t xml:space="preserve"> </w:t>
      </w:r>
      <w:r w:rsidR="009D01B4" w:rsidRPr="00804419">
        <w:rPr>
          <w:i/>
          <w:iCs/>
        </w:rPr>
        <w:t>Pacific</w:t>
      </w:r>
      <w:r w:rsidR="003D640C">
        <w:rPr>
          <w:i/>
          <w:iCs/>
        </w:rPr>
        <w:t xml:space="preserve"> </w:t>
      </w:r>
      <w:r w:rsidR="004843E9">
        <w:rPr>
          <w:i/>
          <w:iCs/>
        </w:rPr>
        <w:t>h</w:t>
      </w:r>
      <w:r w:rsidR="009D01B4" w:rsidRPr="00804419">
        <w:rPr>
          <w:i/>
          <w:iCs/>
        </w:rPr>
        <w:t>omosexualities.</w:t>
      </w:r>
      <w:r w:rsidR="003D640C">
        <w:t xml:space="preserve"> </w:t>
      </w:r>
      <w:r w:rsidR="009D01B4">
        <w:t>Writers</w:t>
      </w:r>
      <w:r w:rsidR="003D640C">
        <w:t xml:space="preserve"> </w:t>
      </w:r>
      <w:r w:rsidR="009D01B4">
        <w:t>Club</w:t>
      </w:r>
      <w:r w:rsidR="003D640C">
        <w:t xml:space="preserve"> </w:t>
      </w:r>
      <w:r w:rsidR="009D01B4">
        <w:t>Press.</w:t>
      </w:r>
      <w:r w:rsidR="003D640C">
        <w:t xml:space="preserve"> </w:t>
      </w:r>
    </w:p>
  </w:footnote>
  <w:footnote w:id="180">
    <w:p w14:paraId="197EA53D" w14:textId="11C5C542" w:rsidR="00035BAF" w:rsidRDefault="00035BAF" w:rsidP="00E00167">
      <w:pPr>
        <w:pStyle w:val="FootnoteText"/>
      </w:pPr>
      <w:r>
        <w:rPr>
          <w:rStyle w:val="FootnoteReference"/>
        </w:rPr>
        <w:footnoteRef/>
      </w:r>
      <w:r w:rsidR="003D640C">
        <w:t xml:space="preserve"> </w:t>
      </w:r>
      <w:r w:rsidR="00011854">
        <w:t>Beckett,</w:t>
      </w:r>
      <w:r w:rsidR="003D640C">
        <w:t xml:space="preserve"> </w:t>
      </w:r>
      <w:r w:rsidR="00011854">
        <w:t>J.</w:t>
      </w:r>
      <w:r w:rsidR="003D640C">
        <w:t xml:space="preserve"> </w:t>
      </w:r>
      <w:r w:rsidR="00011854">
        <w:t>(</w:t>
      </w:r>
      <w:r w:rsidR="00F4312C">
        <w:t>1964</w:t>
      </w:r>
      <w:r w:rsidR="00011854">
        <w:t>).</w:t>
      </w:r>
      <w:r w:rsidR="003D640C">
        <w:t xml:space="preserve"> </w:t>
      </w:r>
      <w:r w:rsidR="00011854" w:rsidRPr="007B139B">
        <w:t>Social</w:t>
      </w:r>
      <w:r w:rsidR="003D640C" w:rsidRPr="007B139B">
        <w:t xml:space="preserve"> </w:t>
      </w:r>
      <w:r w:rsidR="004843E9">
        <w:t>c</w:t>
      </w:r>
      <w:r w:rsidR="00011854" w:rsidRPr="007B139B">
        <w:t>hange</w:t>
      </w:r>
      <w:r w:rsidR="003D640C" w:rsidRPr="007B139B">
        <w:t xml:space="preserve"> </w:t>
      </w:r>
      <w:r w:rsidR="00011854" w:rsidRPr="007B139B">
        <w:t>in</w:t>
      </w:r>
      <w:r w:rsidR="003D640C" w:rsidRPr="007B139B">
        <w:t xml:space="preserve"> </w:t>
      </w:r>
      <w:r w:rsidR="00011854" w:rsidRPr="007B139B">
        <w:t>Pukapuka</w:t>
      </w:r>
      <w:r w:rsidR="00011854" w:rsidRPr="00804419">
        <w:rPr>
          <w:i/>
          <w:iCs/>
        </w:rPr>
        <w:t>.</w:t>
      </w:r>
      <w:r w:rsidR="003D640C">
        <w:t xml:space="preserve"> </w:t>
      </w:r>
      <w:r w:rsidR="00011854" w:rsidRPr="007B139B">
        <w:rPr>
          <w:i/>
          <w:iCs/>
        </w:rPr>
        <w:t>The</w:t>
      </w:r>
      <w:r w:rsidR="003D640C" w:rsidRPr="007B139B">
        <w:rPr>
          <w:i/>
          <w:iCs/>
        </w:rPr>
        <w:t xml:space="preserve"> </w:t>
      </w:r>
      <w:r w:rsidR="00011854" w:rsidRPr="007B139B">
        <w:rPr>
          <w:i/>
          <w:iCs/>
        </w:rPr>
        <w:t>Journal</w:t>
      </w:r>
      <w:r w:rsidR="003D640C" w:rsidRPr="007B139B">
        <w:rPr>
          <w:i/>
          <w:iCs/>
        </w:rPr>
        <w:t xml:space="preserve"> </w:t>
      </w:r>
      <w:r w:rsidR="00011854" w:rsidRPr="007B139B">
        <w:rPr>
          <w:i/>
          <w:iCs/>
        </w:rPr>
        <w:t>of</w:t>
      </w:r>
      <w:r w:rsidR="003D640C" w:rsidRPr="007B139B">
        <w:rPr>
          <w:i/>
          <w:iCs/>
        </w:rPr>
        <w:t xml:space="preserve"> </w:t>
      </w:r>
      <w:r w:rsidR="00011854" w:rsidRPr="007B139B">
        <w:rPr>
          <w:i/>
          <w:iCs/>
        </w:rPr>
        <w:t>the</w:t>
      </w:r>
      <w:r w:rsidR="003D640C" w:rsidRPr="007B139B">
        <w:rPr>
          <w:i/>
          <w:iCs/>
        </w:rPr>
        <w:t xml:space="preserve"> </w:t>
      </w:r>
      <w:r w:rsidR="00011854" w:rsidRPr="007B139B">
        <w:rPr>
          <w:i/>
          <w:iCs/>
        </w:rPr>
        <w:t>Polynesian</w:t>
      </w:r>
      <w:r w:rsidR="003D640C" w:rsidRPr="007B139B">
        <w:rPr>
          <w:i/>
          <w:iCs/>
        </w:rPr>
        <w:t xml:space="preserve"> </w:t>
      </w:r>
      <w:r w:rsidR="00011854" w:rsidRPr="007B139B">
        <w:rPr>
          <w:i/>
          <w:iCs/>
        </w:rPr>
        <w:t>Society</w:t>
      </w:r>
      <w:r w:rsidR="00011854">
        <w:t>,</w:t>
      </w:r>
      <w:r w:rsidR="003D640C">
        <w:t xml:space="preserve"> </w:t>
      </w:r>
      <w:r w:rsidR="00011854">
        <w:t>73(4),</w:t>
      </w:r>
      <w:r w:rsidR="003D640C">
        <w:t xml:space="preserve"> </w:t>
      </w:r>
      <w:r w:rsidR="00011854">
        <w:t>411</w:t>
      </w:r>
      <w:r w:rsidR="004843E9">
        <w:t>–</w:t>
      </w:r>
      <w:r w:rsidR="00011854">
        <w:t>430.</w:t>
      </w:r>
      <w:r w:rsidR="003D640C">
        <w:t xml:space="preserve"> </w:t>
      </w:r>
    </w:p>
  </w:footnote>
  <w:footnote w:id="181">
    <w:p w14:paraId="2A95D1B4" w14:textId="57C0A3B0" w:rsidR="00035BAF" w:rsidRDefault="00035BAF" w:rsidP="00E00167">
      <w:pPr>
        <w:pStyle w:val="FootnoteText"/>
      </w:pPr>
      <w:r>
        <w:rPr>
          <w:rStyle w:val="FootnoteReference"/>
        </w:rPr>
        <w:footnoteRef/>
      </w:r>
      <w:r w:rsidR="003D640C">
        <w:t xml:space="preserve"> </w:t>
      </w:r>
      <w:r w:rsidR="00011854">
        <w:t>Stats</w:t>
      </w:r>
      <w:r w:rsidR="003D640C">
        <w:t xml:space="preserve"> </w:t>
      </w:r>
      <w:r w:rsidR="00011854">
        <w:t>NZ</w:t>
      </w:r>
      <w:r w:rsidR="002137FF">
        <w:t>,</w:t>
      </w:r>
      <w:r w:rsidR="003D640C">
        <w:t xml:space="preserve"> </w:t>
      </w:r>
      <w:r w:rsidR="00011854">
        <w:t>202</w:t>
      </w:r>
      <w:r w:rsidR="00B63B1E">
        <w:t>2</w:t>
      </w:r>
      <w:r w:rsidR="00011854">
        <w:t>.</w:t>
      </w:r>
    </w:p>
  </w:footnote>
  <w:footnote w:id="182">
    <w:p w14:paraId="19D64E79" w14:textId="737AC1BC" w:rsidR="00A372CB" w:rsidRDefault="00A372CB" w:rsidP="00E00167">
      <w:pPr>
        <w:pStyle w:val="FootnoteText"/>
      </w:pPr>
      <w:r>
        <w:rPr>
          <w:rStyle w:val="FootnoteReference"/>
        </w:rPr>
        <w:footnoteRef/>
      </w:r>
      <w:r w:rsidR="003D640C">
        <w:t xml:space="preserve"> </w:t>
      </w:r>
      <w:r w:rsidR="007A1BDA">
        <w:t>Fountain,</w:t>
      </w:r>
      <w:r w:rsidR="003D640C">
        <w:t xml:space="preserve"> </w:t>
      </w:r>
      <w:r w:rsidR="007A1BDA">
        <w:t>P</w:t>
      </w:r>
      <w:r w:rsidR="00F4312C">
        <w:t>.,</w:t>
      </w:r>
      <w:r w:rsidR="003B6556">
        <w:t xml:space="preserve"> </w:t>
      </w:r>
      <w:r w:rsidR="00F4312C">
        <w:t>&amp;</w:t>
      </w:r>
      <w:r w:rsidR="003D640C">
        <w:t xml:space="preserve"> </w:t>
      </w:r>
      <w:r w:rsidR="007A1BDA">
        <w:t>Troughton,</w:t>
      </w:r>
      <w:r w:rsidR="003D640C">
        <w:t xml:space="preserve"> </w:t>
      </w:r>
      <w:r w:rsidR="007A1BDA">
        <w:t>G.</w:t>
      </w:r>
      <w:r w:rsidR="003D640C">
        <w:t xml:space="preserve"> </w:t>
      </w:r>
      <w:r w:rsidR="007A1BDA">
        <w:t>(2019)</w:t>
      </w:r>
      <w:r w:rsidR="003D640C">
        <w:t xml:space="preserve"> </w:t>
      </w:r>
      <w:r w:rsidR="007A1BDA">
        <w:t>Christianity</w:t>
      </w:r>
      <w:r w:rsidR="003D640C">
        <w:t xml:space="preserve"> </w:t>
      </w:r>
      <w:r w:rsidR="007A1BDA">
        <w:t>and</w:t>
      </w:r>
      <w:r w:rsidR="003D640C">
        <w:t xml:space="preserve"> </w:t>
      </w:r>
      <w:r w:rsidR="00F4312C">
        <w:t>d</w:t>
      </w:r>
      <w:r w:rsidR="007A1BDA">
        <w:t>evelopment</w:t>
      </w:r>
      <w:r w:rsidR="003D640C">
        <w:t xml:space="preserve"> </w:t>
      </w:r>
      <w:r w:rsidR="007A1BDA">
        <w:t>in</w:t>
      </w:r>
      <w:r w:rsidR="003D640C">
        <w:t xml:space="preserve"> </w:t>
      </w:r>
      <w:r w:rsidR="007A1BDA">
        <w:t>the</w:t>
      </w:r>
      <w:r w:rsidR="003D640C">
        <w:t xml:space="preserve"> </w:t>
      </w:r>
      <w:r w:rsidR="007A1BDA">
        <w:t>Pacific:</w:t>
      </w:r>
      <w:r w:rsidR="003D640C">
        <w:t xml:space="preserve"> </w:t>
      </w:r>
      <w:r w:rsidR="007A1BDA">
        <w:t>An</w:t>
      </w:r>
      <w:r w:rsidR="003D640C">
        <w:t xml:space="preserve"> </w:t>
      </w:r>
      <w:r w:rsidR="00F4312C">
        <w:t>i</w:t>
      </w:r>
      <w:r w:rsidR="007A1BDA">
        <w:t>ntroduction</w:t>
      </w:r>
      <w:r w:rsidR="0053141B">
        <w:t>.</w:t>
      </w:r>
      <w:r w:rsidR="003D640C">
        <w:t xml:space="preserve"> </w:t>
      </w:r>
      <w:r w:rsidR="0053141B" w:rsidRPr="007B139B">
        <w:rPr>
          <w:i/>
          <w:iCs/>
        </w:rPr>
        <w:t>Sites:</w:t>
      </w:r>
      <w:r w:rsidR="003D640C" w:rsidRPr="007B139B">
        <w:rPr>
          <w:i/>
          <w:iCs/>
        </w:rPr>
        <w:t xml:space="preserve"> </w:t>
      </w:r>
      <w:r w:rsidR="00F4312C" w:rsidRPr="007B139B">
        <w:rPr>
          <w:i/>
          <w:iCs/>
        </w:rPr>
        <w:t>A Journal of Social Anthropology and Cultural Studi</w:t>
      </w:r>
      <w:r w:rsidR="00F4312C" w:rsidRPr="00F4312C">
        <w:rPr>
          <w:i/>
          <w:iCs/>
        </w:rPr>
        <w:t>es</w:t>
      </w:r>
      <w:r w:rsidR="00F4312C">
        <w:t>,</w:t>
      </w:r>
      <w:r w:rsidR="003D640C">
        <w:t xml:space="preserve"> </w:t>
      </w:r>
      <w:r w:rsidR="006B34FE" w:rsidRPr="007B139B">
        <w:rPr>
          <w:i/>
          <w:iCs/>
        </w:rPr>
        <w:t>16</w:t>
      </w:r>
      <w:r w:rsidR="006B34FE">
        <w:t>(1)</w:t>
      </w:r>
      <w:r w:rsidR="00A10A44">
        <w:t>.</w:t>
      </w:r>
      <w:r w:rsidR="003D640C">
        <w:t xml:space="preserve"> </w:t>
      </w:r>
    </w:p>
  </w:footnote>
  <w:footnote w:id="183">
    <w:p w14:paraId="625271B5" w14:textId="3222324B" w:rsidR="004E2F4E" w:rsidRDefault="004E2F4E" w:rsidP="00E00167">
      <w:pPr>
        <w:pStyle w:val="FootnoteText"/>
      </w:pPr>
      <w:r>
        <w:rPr>
          <w:rStyle w:val="FootnoteReference"/>
        </w:rPr>
        <w:footnoteRef/>
      </w:r>
      <w:r w:rsidR="003D640C">
        <w:t xml:space="preserve"> </w:t>
      </w:r>
      <w:r w:rsidR="007F2299">
        <w:t>Er</w:t>
      </w:r>
      <w:r w:rsidR="004E015F">
        <w:t>n</w:t>
      </w:r>
      <w:r w:rsidR="007F2299">
        <w:t>st,</w:t>
      </w:r>
      <w:r w:rsidR="003D640C">
        <w:t xml:space="preserve"> </w:t>
      </w:r>
      <w:r w:rsidR="007F2299">
        <w:t>M.</w:t>
      </w:r>
      <w:r w:rsidR="003D640C">
        <w:t xml:space="preserve"> </w:t>
      </w:r>
      <w:r w:rsidR="007670A7">
        <w:t>(2012)</w:t>
      </w:r>
      <w:r w:rsidR="00B5470B">
        <w:t>.</w:t>
      </w:r>
      <w:r w:rsidR="003D640C">
        <w:t xml:space="preserve"> </w:t>
      </w:r>
      <w:r w:rsidR="007670A7">
        <w:t>Changing</w:t>
      </w:r>
      <w:r w:rsidR="003D640C">
        <w:t xml:space="preserve"> </w:t>
      </w:r>
      <w:r w:rsidR="007670A7">
        <w:t>Christianity</w:t>
      </w:r>
      <w:r w:rsidR="003D640C">
        <w:t xml:space="preserve"> </w:t>
      </w:r>
      <w:r w:rsidR="007670A7">
        <w:t>in</w:t>
      </w:r>
      <w:r w:rsidR="003D640C">
        <w:t xml:space="preserve"> </w:t>
      </w:r>
      <w:r w:rsidR="007670A7">
        <w:t>Oceania:</w:t>
      </w:r>
      <w:r w:rsidR="003D640C">
        <w:t xml:space="preserve"> </w:t>
      </w:r>
      <w:r w:rsidR="00B5470B">
        <w:t>A</w:t>
      </w:r>
      <w:r w:rsidR="003D640C">
        <w:t xml:space="preserve"> </w:t>
      </w:r>
      <w:r w:rsidR="00B5470B">
        <w:t>r</w:t>
      </w:r>
      <w:r w:rsidR="007670A7">
        <w:t>egional</w:t>
      </w:r>
      <w:r w:rsidR="003D640C">
        <w:t xml:space="preserve"> </w:t>
      </w:r>
      <w:r w:rsidR="00B5470B">
        <w:t>o</w:t>
      </w:r>
      <w:r w:rsidR="007670A7">
        <w:t>verview.</w:t>
      </w:r>
      <w:r w:rsidR="003D640C">
        <w:t xml:space="preserve"> </w:t>
      </w:r>
      <w:r w:rsidR="007670A7" w:rsidRPr="007B139B">
        <w:rPr>
          <w:i/>
          <w:iCs/>
        </w:rPr>
        <w:t>Archives</w:t>
      </w:r>
      <w:r w:rsidR="003D640C" w:rsidRPr="007B139B">
        <w:rPr>
          <w:i/>
          <w:iCs/>
        </w:rPr>
        <w:t xml:space="preserve"> </w:t>
      </w:r>
      <w:r w:rsidR="00287CCB" w:rsidRPr="007B139B">
        <w:rPr>
          <w:i/>
          <w:iCs/>
        </w:rPr>
        <w:t>de</w:t>
      </w:r>
      <w:r w:rsidR="003D640C" w:rsidRPr="007B139B">
        <w:rPr>
          <w:i/>
          <w:iCs/>
        </w:rPr>
        <w:t xml:space="preserve"> </w:t>
      </w:r>
      <w:r w:rsidR="00B5470B" w:rsidRPr="007B139B">
        <w:rPr>
          <w:i/>
          <w:iCs/>
        </w:rPr>
        <w:t>S</w:t>
      </w:r>
      <w:r w:rsidR="00287CCB" w:rsidRPr="007B139B">
        <w:rPr>
          <w:i/>
          <w:iCs/>
        </w:rPr>
        <w:t>ciences</w:t>
      </w:r>
      <w:r w:rsidR="003D640C" w:rsidRPr="007B139B">
        <w:rPr>
          <w:i/>
          <w:iCs/>
        </w:rPr>
        <w:t xml:space="preserve"> </w:t>
      </w:r>
      <w:r w:rsidR="00B5470B" w:rsidRPr="007B139B">
        <w:rPr>
          <w:i/>
          <w:iCs/>
        </w:rPr>
        <w:t>S</w:t>
      </w:r>
      <w:r w:rsidR="00287CCB" w:rsidRPr="007B139B">
        <w:rPr>
          <w:i/>
          <w:iCs/>
        </w:rPr>
        <w:t>ociales</w:t>
      </w:r>
      <w:r w:rsidR="003D640C" w:rsidRPr="007B139B">
        <w:rPr>
          <w:i/>
          <w:iCs/>
        </w:rPr>
        <w:t xml:space="preserve"> </w:t>
      </w:r>
      <w:r w:rsidR="00287CCB" w:rsidRPr="007B139B">
        <w:rPr>
          <w:i/>
          <w:iCs/>
        </w:rPr>
        <w:t>des</w:t>
      </w:r>
      <w:r w:rsidR="003D640C" w:rsidRPr="007B139B">
        <w:rPr>
          <w:i/>
          <w:iCs/>
        </w:rPr>
        <w:t xml:space="preserve"> </w:t>
      </w:r>
      <w:r w:rsidR="00B5470B" w:rsidRPr="007B139B">
        <w:rPr>
          <w:i/>
          <w:iCs/>
        </w:rPr>
        <w:t>R</w:t>
      </w:r>
      <w:r w:rsidR="00287CCB" w:rsidRPr="007B139B">
        <w:rPr>
          <w:i/>
          <w:iCs/>
        </w:rPr>
        <w:t>eligions</w:t>
      </w:r>
      <w:r w:rsidR="00287CCB">
        <w:t>,</w:t>
      </w:r>
      <w:r w:rsidR="003D640C">
        <w:t xml:space="preserve"> </w:t>
      </w:r>
      <w:r w:rsidR="00287CCB" w:rsidRPr="007B139B">
        <w:rPr>
          <w:i/>
          <w:iCs/>
        </w:rPr>
        <w:t>157</w:t>
      </w:r>
      <w:r w:rsidR="00B9332B">
        <w:rPr>
          <w:i/>
          <w:iCs/>
        </w:rPr>
        <w:t xml:space="preserve"> </w:t>
      </w:r>
      <w:r w:rsidR="00B5470B">
        <w:t>(J</w:t>
      </w:r>
      <w:r w:rsidR="00287CCB">
        <w:t>anvier-</w:t>
      </w:r>
      <w:r w:rsidR="00B5470B">
        <w:t>M</w:t>
      </w:r>
      <w:r w:rsidR="00287CCB">
        <w:t>ars</w:t>
      </w:r>
      <w:r w:rsidR="00B5470B">
        <w:t>), 29–45</w:t>
      </w:r>
      <w:r w:rsidR="00D824BF">
        <w:t>.</w:t>
      </w:r>
    </w:p>
  </w:footnote>
  <w:footnote w:id="184">
    <w:p w14:paraId="075C6D2F" w14:textId="6C6D2447" w:rsidR="0051715E" w:rsidRDefault="0051715E" w:rsidP="00E00167">
      <w:pPr>
        <w:pStyle w:val="FootnoteText"/>
      </w:pPr>
      <w:r>
        <w:rPr>
          <w:rStyle w:val="FootnoteReference"/>
        </w:rPr>
        <w:footnoteRef/>
      </w:r>
      <w:r w:rsidR="003D640C">
        <w:t xml:space="preserve"> </w:t>
      </w:r>
      <w:r>
        <w:t>Thomsen,</w:t>
      </w:r>
      <w:r w:rsidR="003D640C">
        <w:t xml:space="preserve"> </w:t>
      </w:r>
      <w:r>
        <w:t>P.</w:t>
      </w:r>
      <w:r w:rsidR="003D640C">
        <w:t xml:space="preserve"> </w:t>
      </w:r>
      <w:r>
        <w:t>S.</w:t>
      </w:r>
      <w:r w:rsidR="003D640C">
        <w:t xml:space="preserve"> </w:t>
      </w:r>
      <w:r>
        <w:t>(2016,</w:t>
      </w:r>
      <w:r w:rsidR="003D640C">
        <w:t xml:space="preserve"> </w:t>
      </w:r>
      <w:r>
        <w:t>October</w:t>
      </w:r>
      <w:r w:rsidR="003D640C">
        <w:t xml:space="preserve"> </w:t>
      </w:r>
      <w:r>
        <w:t>26</w:t>
      </w:r>
      <w:r w:rsidRPr="00B5470B">
        <w:t>)</w:t>
      </w:r>
      <w:r w:rsidRPr="007B139B">
        <w:rPr>
          <w:i/>
          <w:iCs/>
        </w:rPr>
        <w:t>.</w:t>
      </w:r>
      <w:r w:rsidR="003D640C" w:rsidRPr="007B139B">
        <w:rPr>
          <w:i/>
          <w:iCs/>
        </w:rPr>
        <w:t xml:space="preserve"> </w:t>
      </w:r>
      <w:r w:rsidRPr="007B139B">
        <w:rPr>
          <w:i/>
          <w:iCs/>
        </w:rPr>
        <w:t>‘Hobgoblin’</w:t>
      </w:r>
      <w:r w:rsidR="003D640C" w:rsidRPr="007B139B">
        <w:rPr>
          <w:i/>
          <w:iCs/>
        </w:rPr>
        <w:t xml:space="preserve"> </w:t>
      </w:r>
      <w:r w:rsidRPr="007B139B">
        <w:rPr>
          <w:i/>
          <w:iCs/>
        </w:rPr>
        <w:t>logic</w:t>
      </w:r>
      <w:r w:rsidR="003D640C" w:rsidRPr="007B139B">
        <w:rPr>
          <w:i/>
          <w:iCs/>
        </w:rPr>
        <w:t xml:space="preserve"> </w:t>
      </w:r>
      <w:r w:rsidRPr="007B139B">
        <w:rPr>
          <w:i/>
          <w:iCs/>
        </w:rPr>
        <w:t>on</w:t>
      </w:r>
      <w:r w:rsidR="003D640C" w:rsidRPr="007B139B">
        <w:rPr>
          <w:i/>
          <w:iCs/>
        </w:rPr>
        <w:t xml:space="preserve"> </w:t>
      </w:r>
      <w:r w:rsidRPr="007B139B">
        <w:rPr>
          <w:i/>
          <w:iCs/>
        </w:rPr>
        <w:t>Pacific</w:t>
      </w:r>
      <w:r w:rsidR="003D640C" w:rsidRPr="007B139B">
        <w:rPr>
          <w:i/>
          <w:iCs/>
        </w:rPr>
        <w:t xml:space="preserve"> </w:t>
      </w:r>
      <w:r w:rsidRPr="007B139B">
        <w:rPr>
          <w:i/>
          <w:iCs/>
        </w:rPr>
        <w:t>gay</w:t>
      </w:r>
      <w:r w:rsidR="003D640C" w:rsidRPr="007B139B">
        <w:rPr>
          <w:i/>
          <w:iCs/>
        </w:rPr>
        <w:t xml:space="preserve"> </w:t>
      </w:r>
      <w:r w:rsidRPr="007B139B">
        <w:rPr>
          <w:i/>
          <w:iCs/>
        </w:rPr>
        <w:t>rights</w:t>
      </w:r>
      <w:r w:rsidR="003D640C" w:rsidRPr="007B139B">
        <w:rPr>
          <w:i/>
          <w:iCs/>
        </w:rPr>
        <w:t xml:space="preserve"> </w:t>
      </w:r>
      <w:r w:rsidRPr="007B139B">
        <w:rPr>
          <w:i/>
          <w:iCs/>
        </w:rPr>
        <w:t>has</w:t>
      </w:r>
      <w:r w:rsidR="003D640C" w:rsidRPr="007B139B">
        <w:rPr>
          <w:i/>
          <w:iCs/>
        </w:rPr>
        <w:t xml:space="preserve"> </w:t>
      </w:r>
      <w:r w:rsidRPr="007B139B">
        <w:rPr>
          <w:i/>
          <w:iCs/>
        </w:rPr>
        <w:t>distinctly</w:t>
      </w:r>
      <w:r w:rsidR="003D640C" w:rsidRPr="007B139B">
        <w:rPr>
          <w:i/>
          <w:iCs/>
        </w:rPr>
        <w:t xml:space="preserve"> </w:t>
      </w:r>
      <w:r w:rsidRPr="007B139B">
        <w:rPr>
          <w:i/>
          <w:iCs/>
        </w:rPr>
        <w:t>Western</w:t>
      </w:r>
      <w:r w:rsidR="003D640C" w:rsidRPr="007B139B">
        <w:rPr>
          <w:i/>
          <w:iCs/>
        </w:rPr>
        <w:t xml:space="preserve"> </w:t>
      </w:r>
      <w:r w:rsidRPr="007B139B">
        <w:rPr>
          <w:i/>
          <w:iCs/>
        </w:rPr>
        <w:t>roots</w:t>
      </w:r>
      <w:r>
        <w:t>.</w:t>
      </w:r>
    </w:p>
  </w:footnote>
  <w:footnote w:id="185">
    <w:p w14:paraId="3B930E02" w14:textId="51F16B2F" w:rsidR="003976E1" w:rsidRDefault="003976E1" w:rsidP="00E00167">
      <w:pPr>
        <w:pStyle w:val="FootnoteText"/>
      </w:pPr>
      <w:r>
        <w:rPr>
          <w:rStyle w:val="FootnoteReference"/>
        </w:rPr>
        <w:footnoteRef/>
      </w:r>
      <w:r w:rsidR="003D640C">
        <w:t xml:space="preserve"> </w:t>
      </w:r>
      <w:r>
        <w:t>Ernst,</w:t>
      </w:r>
      <w:r w:rsidR="003D640C">
        <w:t xml:space="preserve"> </w:t>
      </w:r>
      <w:r w:rsidR="000A2E47">
        <w:t>2012.</w:t>
      </w:r>
    </w:p>
  </w:footnote>
  <w:footnote w:id="186">
    <w:p w14:paraId="00A7FFB7" w14:textId="4FE88DE3" w:rsidR="005B1795" w:rsidRDefault="005B1795" w:rsidP="00E00167">
      <w:pPr>
        <w:pStyle w:val="FootnoteText"/>
      </w:pPr>
      <w:r>
        <w:rPr>
          <w:rStyle w:val="FootnoteReference"/>
        </w:rPr>
        <w:footnoteRef/>
      </w:r>
      <w:r w:rsidR="003D640C">
        <w:t xml:space="preserve"> </w:t>
      </w:r>
      <w:r w:rsidR="00B5470B">
        <w:t>Ibid</w:t>
      </w:r>
      <w:r w:rsidR="000A2E47">
        <w:t>.</w:t>
      </w:r>
    </w:p>
  </w:footnote>
  <w:footnote w:id="187">
    <w:p w14:paraId="3A603D84" w14:textId="680E2DBA" w:rsidR="00091B78" w:rsidRDefault="00091B78" w:rsidP="00E00167">
      <w:pPr>
        <w:pStyle w:val="FootnoteText"/>
      </w:pPr>
      <w:r>
        <w:rPr>
          <w:rStyle w:val="FootnoteReference"/>
        </w:rPr>
        <w:footnoteRef/>
      </w:r>
      <w:r w:rsidR="003D640C">
        <w:t xml:space="preserve"> </w:t>
      </w:r>
      <w:r w:rsidR="00B5470B">
        <w:t>Ibid</w:t>
      </w:r>
      <w:r w:rsidR="000A2E47">
        <w:t>.</w:t>
      </w:r>
    </w:p>
  </w:footnote>
  <w:footnote w:id="188">
    <w:p w14:paraId="6DE1AF25" w14:textId="3079CC14" w:rsidR="00E14705" w:rsidRPr="00407479" w:rsidRDefault="00E14705" w:rsidP="00E00167">
      <w:pPr>
        <w:pStyle w:val="FootnoteText"/>
        <w:rPr>
          <w:rFonts w:cstheme="minorHAnsi"/>
        </w:rPr>
      </w:pPr>
      <w:r>
        <w:rPr>
          <w:rStyle w:val="FootnoteReference"/>
        </w:rPr>
        <w:footnoteRef/>
      </w:r>
      <w:r w:rsidR="003D640C">
        <w:t xml:space="preserve"> </w:t>
      </w:r>
      <w:r w:rsidR="00B51C60">
        <w:t>Ibid.,</w:t>
      </w:r>
      <w:r w:rsidR="003D640C">
        <w:t xml:space="preserve"> </w:t>
      </w:r>
      <w:r w:rsidR="008B05D1">
        <w:t>p.</w:t>
      </w:r>
      <w:r w:rsidR="00B51C60">
        <w:t xml:space="preserve"> </w:t>
      </w:r>
      <w:r w:rsidR="008B05D1">
        <w:t>31</w:t>
      </w:r>
      <w:r w:rsidR="00B51C60">
        <w:t>.</w:t>
      </w:r>
    </w:p>
  </w:footnote>
  <w:footnote w:id="189">
    <w:p w14:paraId="6D0C3999" w14:textId="269517DD" w:rsidR="00BF3436" w:rsidRPr="00407479" w:rsidRDefault="00BF3436" w:rsidP="00E00167">
      <w:pPr>
        <w:pStyle w:val="FootnoteText"/>
      </w:pPr>
      <w:r w:rsidRPr="00407479">
        <w:rPr>
          <w:rStyle w:val="FootnoteReference"/>
          <w:rFonts w:cstheme="minorHAnsi"/>
        </w:rPr>
        <w:footnoteRef/>
      </w:r>
      <w:r w:rsidR="003D640C">
        <w:rPr>
          <w:shd w:val="clear" w:color="auto" w:fill="FFFFFF"/>
        </w:rPr>
        <w:t xml:space="preserve"> </w:t>
      </w:r>
      <w:r w:rsidR="00CF7FCC" w:rsidRPr="00094317">
        <w:rPr>
          <w:shd w:val="clear" w:color="auto" w:fill="FFFFFF"/>
        </w:rPr>
        <w:t>Fer,</w:t>
      </w:r>
      <w:r w:rsidR="003D640C">
        <w:rPr>
          <w:shd w:val="clear" w:color="auto" w:fill="FFFFFF"/>
        </w:rPr>
        <w:t xml:space="preserve"> </w:t>
      </w:r>
      <w:r w:rsidR="00CF7FCC" w:rsidRPr="00094317">
        <w:rPr>
          <w:shd w:val="clear" w:color="auto" w:fill="FFFFFF"/>
        </w:rPr>
        <w:t>Y.</w:t>
      </w:r>
      <w:r w:rsidR="000C75E6">
        <w:rPr>
          <w:shd w:val="clear" w:color="auto" w:fill="FFFFFF"/>
        </w:rPr>
        <w:t>,</w:t>
      </w:r>
      <w:r w:rsidR="003D640C">
        <w:rPr>
          <w:shd w:val="clear" w:color="auto" w:fill="FFFFFF"/>
        </w:rPr>
        <w:t xml:space="preserve"> </w:t>
      </w:r>
      <w:r w:rsidR="00CF7FCC" w:rsidRPr="00094317">
        <w:rPr>
          <w:shd w:val="clear" w:color="auto" w:fill="FFFFFF"/>
        </w:rPr>
        <w:t>&amp;</w:t>
      </w:r>
      <w:r w:rsidR="003D640C">
        <w:rPr>
          <w:shd w:val="clear" w:color="auto" w:fill="FFFFFF"/>
        </w:rPr>
        <w:t xml:space="preserve"> </w:t>
      </w:r>
      <w:r w:rsidR="00CF7FCC" w:rsidRPr="00094317">
        <w:rPr>
          <w:shd w:val="clear" w:color="auto" w:fill="FFFFFF"/>
        </w:rPr>
        <w:t>Malogne-Fer,</w:t>
      </w:r>
      <w:r w:rsidR="003D640C">
        <w:rPr>
          <w:shd w:val="clear" w:color="auto" w:fill="FFFFFF"/>
        </w:rPr>
        <w:t xml:space="preserve"> </w:t>
      </w:r>
      <w:r w:rsidR="00CF7FCC" w:rsidRPr="00094317">
        <w:rPr>
          <w:shd w:val="clear" w:color="auto" w:fill="FFFFFF"/>
        </w:rPr>
        <w:t>G.</w:t>
      </w:r>
      <w:r w:rsidR="003D640C">
        <w:rPr>
          <w:shd w:val="clear" w:color="auto" w:fill="FFFFFF"/>
        </w:rPr>
        <w:t xml:space="preserve"> </w:t>
      </w:r>
      <w:r w:rsidR="00CF7FCC" w:rsidRPr="00094317">
        <w:rPr>
          <w:shd w:val="clear" w:color="auto" w:fill="FFFFFF"/>
        </w:rPr>
        <w:t>(2014).</w:t>
      </w:r>
      <w:r w:rsidR="003D640C">
        <w:rPr>
          <w:shd w:val="clear" w:color="auto" w:fill="FFFFFF"/>
        </w:rPr>
        <w:t xml:space="preserve"> </w:t>
      </w:r>
      <w:r w:rsidR="00CF7FCC" w:rsidRPr="00094317">
        <w:rPr>
          <w:shd w:val="clear" w:color="auto" w:fill="FFFFFF"/>
        </w:rPr>
        <w:t>Protestantism</w:t>
      </w:r>
      <w:r w:rsidR="003D640C">
        <w:rPr>
          <w:shd w:val="clear" w:color="auto" w:fill="FFFFFF"/>
        </w:rPr>
        <w:t xml:space="preserve"> </w:t>
      </w:r>
      <w:r w:rsidR="00CF7FCC" w:rsidRPr="00094317">
        <w:rPr>
          <w:shd w:val="clear" w:color="auto" w:fill="FFFFFF"/>
        </w:rPr>
        <w:t>among</w:t>
      </w:r>
      <w:r w:rsidR="003D640C">
        <w:rPr>
          <w:shd w:val="clear" w:color="auto" w:fill="FFFFFF"/>
        </w:rPr>
        <w:t xml:space="preserve"> </w:t>
      </w:r>
      <w:r w:rsidR="00CF7FCC" w:rsidRPr="00094317">
        <w:rPr>
          <w:shd w:val="clear" w:color="auto" w:fill="FFFFFF"/>
        </w:rPr>
        <w:t>Pacific</w:t>
      </w:r>
      <w:r w:rsidR="003D640C">
        <w:rPr>
          <w:shd w:val="clear" w:color="auto" w:fill="FFFFFF"/>
        </w:rPr>
        <w:t xml:space="preserve"> </w:t>
      </w:r>
      <w:r w:rsidR="000C75E6">
        <w:rPr>
          <w:shd w:val="clear" w:color="auto" w:fill="FFFFFF"/>
        </w:rPr>
        <w:t>p</w:t>
      </w:r>
      <w:r w:rsidR="00CF7FCC" w:rsidRPr="00094317">
        <w:rPr>
          <w:shd w:val="clear" w:color="auto" w:fill="FFFFFF"/>
        </w:rPr>
        <w:t>eoples</w:t>
      </w:r>
      <w:r w:rsidR="003D640C">
        <w:rPr>
          <w:shd w:val="clear" w:color="auto" w:fill="FFFFFF"/>
        </w:rPr>
        <w:t xml:space="preserve"> </w:t>
      </w:r>
      <w:r w:rsidR="00CF7FCC" w:rsidRPr="00094317">
        <w:rPr>
          <w:shd w:val="clear" w:color="auto" w:fill="FFFFFF"/>
        </w:rPr>
        <w:t>in</w:t>
      </w:r>
      <w:r w:rsidR="003D640C">
        <w:rPr>
          <w:shd w:val="clear" w:color="auto" w:fill="FFFFFF"/>
        </w:rPr>
        <w:t xml:space="preserve"> </w:t>
      </w:r>
      <w:r w:rsidR="00CF7FCC" w:rsidRPr="00094317">
        <w:rPr>
          <w:shd w:val="clear" w:color="auto" w:fill="FFFFFF"/>
        </w:rPr>
        <w:t>New</w:t>
      </w:r>
      <w:r w:rsidR="003D640C">
        <w:rPr>
          <w:shd w:val="clear" w:color="auto" w:fill="FFFFFF"/>
        </w:rPr>
        <w:t xml:space="preserve"> </w:t>
      </w:r>
      <w:r w:rsidR="00CF7FCC" w:rsidRPr="00094317">
        <w:rPr>
          <w:shd w:val="clear" w:color="auto" w:fill="FFFFFF"/>
        </w:rPr>
        <w:t>Zealand</w:t>
      </w:r>
      <w:r w:rsidR="000C75E6">
        <w:rPr>
          <w:shd w:val="clear" w:color="auto" w:fill="FFFFFF"/>
        </w:rPr>
        <w:t>:</w:t>
      </w:r>
      <w:r w:rsidR="003D640C">
        <w:rPr>
          <w:shd w:val="clear" w:color="auto" w:fill="FFFFFF"/>
        </w:rPr>
        <w:t xml:space="preserve"> </w:t>
      </w:r>
      <w:r w:rsidR="00CF7FCC" w:rsidRPr="00094317">
        <w:rPr>
          <w:shd w:val="clear" w:color="auto" w:fill="FFFFFF"/>
        </w:rPr>
        <w:t>Mobility,</w:t>
      </w:r>
      <w:r w:rsidR="003D640C">
        <w:rPr>
          <w:shd w:val="clear" w:color="auto" w:fill="FFFFFF"/>
        </w:rPr>
        <w:t xml:space="preserve"> </w:t>
      </w:r>
      <w:r w:rsidR="000C75E6">
        <w:rPr>
          <w:shd w:val="clear" w:color="auto" w:fill="FFFFFF"/>
        </w:rPr>
        <w:t>c</w:t>
      </w:r>
      <w:r w:rsidR="00CF7FCC" w:rsidRPr="00094317">
        <w:rPr>
          <w:shd w:val="clear" w:color="auto" w:fill="FFFFFF"/>
        </w:rPr>
        <w:t>ultural</w:t>
      </w:r>
      <w:r w:rsidR="003D640C">
        <w:rPr>
          <w:shd w:val="clear" w:color="auto" w:fill="FFFFFF"/>
        </w:rPr>
        <w:t xml:space="preserve"> </w:t>
      </w:r>
      <w:r w:rsidR="000C75E6">
        <w:rPr>
          <w:shd w:val="clear" w:color="auto" w:fill="FFFFFF"/>
        </w:rPr>
        <w:t>i</w:t>
      </w:r>
      <w:r w:rsidR="00CF7FCC" w:rsidRPr="00094317">
        <w:rPr>
          <w:shd w:val="clear" w:color="auto" w:fill="FFFFFF"/>
        </w:rPr>
        <w:t>dentifications</w:t>
      </w:r>
      <w:r w:rsidR="000C75E6">
        <w:rPr>
          <w:shd w:val="clear" w:color="auto" w:fill="FFFFFF"/>
        </w:rPr>
        <w:t>,</w:t>
      </w:r>
      <w:r w:rsidR="003D640C">
        <w:rPr>
          <w:shd w:val="clear" w:color="auto" w:fill="FFFFFF"/>
        </w:rPr>
        <w:t xml:space="preserve"> </w:t>
      </w:r>
      <w:r w:rsidR="00CF7FCC" w:rsidRPr="00094317">
        <w:rPr>
          <w:shd w:val="clear" w:color="auto" w:fill="FFFFFF"/>
        </w:rPr>
        <w:t>and</w:t>
      </w:r>
      <w:r w:rsidR="003D640C">
        <w:rPr>
          <w:shd w:val="clear" w:color="auto" w:fill="FFFFFF"/>
        </w:rPr>
        <w:t xml:space="preserve"> </w:t>
      </w:r>
      <w:r w:rsidR="000C75E6">
        <w:rPr>
          <w:shd w:val="clear" w:color="auto" w:fill="FFFFFF"/>
        </w:rPr>
        <w:t>g</w:t>
      </w:r>
      <w:r w:rsidR="00CF7FCC" w:rsidRPr="00094317">
        <w:rPr>
          <w:shd w:val="clear" w:color="auto" w:fill="FFFFFF"/>
        </w:rPr>
        <w:t>enerational</w:t>
      </w:r>
      <w:r w:rsidR="003D640C">
        <w:rPr>
          <w:shd w:val="clear" w:color="auto" w:fill="FFFFFF"/>
        </w:rPr>
        <w:t xml:space="preserve"> </w:t>
      </w:r>
      <w:r w:rsidR="000C75E6">
        <w:rPr>
          <w:shd w:val="clear" w:color="auto" w:fill="FFFFFF"/>
        </w:rPr>
        <w:t>s</w:t>
      </w:r>
      <w:r w:rsidR="00CF7FCC" w:rsidRPr="00094317">
        <w:rPr>
          <w:shd w:val="clear" w:color="auto" w:fill="FFFFFF"/>
        </w:rPr>
        <w:t>hifts.</w:t>
      </w:r>
      <w:r w:rsidR="003D640C">
        <w:rPr>
          <w:shd w:val="clear" w:color="auto" w:fill="FFFFFF"/>
        </w:rPr>
        <w:t xml:space="preserve"> </w:t>
      </w:r>
      <w:r w:rsidR="00CF7FCC" w:rsidRPr="00094317">
        <w:rPr>
          <w:shd w:val="clear" w:color="auto" w:fill="FFFFFF"/>
        </w:rPr>
        <w:t>In</w:t>
      </w:r>
      <w:r w:rsidR="003D640C">
        <w:rPr>
          <w:shd w:val="clear" w:color="auto" w:fill="FFFFFF"/>
        </w:rPr>
        <w:t xml:space="preserve"> </w:t>
      </w:r>
      <w:r w:rsidR="00CF7FCC" w:rsidRPr="00094317">
        <w:rPr>
          <w:shd w:val="clear" w:color="auto" w:fill="FFFFFF"/>
        </w:rPr>
        <w:t>E.</w:t>
      </w:r>
      <w:r w:rsidR="003D640C">
        <w:rPr>
          <w:shd w:val="clear" w:color="auto" w:fill="FFFFFF"/>
        </w:rPr>
        <w:t xml:space="preserve"> </w:t>
      </w:r>
      <w:r w:rsidR="00CF7FCC" w:rsidRPr="00094317">
        <w:rPr>
          <w:shd w:val="clear" w:color="auto" w:fill="FFFFFF"/>
        </w:rPr>
        <w:t>Hermann,</w:t>
      </w:r>
      <w:r w:rsidR="003D640C">
        <w:rPr>
          <w:shd w:val="clear" w:color="auto" w:fill="FFFFFF"/>
        </w:rPr>
        <w:t xml:space="preserve"> </w:t>
      </w:r>
      <w:r w:rsidR="00CF7FCC" w:rsidRPr="00094317">
        <w:rPr>
          <w:shd w:val="clear" w:color="auto" w:fill="FFFFFF"/>
        </w:rPr>
        <w:t>W.</w:t>
      </w:r>
      <w:r w:rsidR="003D640C">
        <w:rPr>
          <w:shd w:val="clear" w:color="auto" w:fill="FFFFFF"/>
        </w:rPr>
        <w:t xml:space="preserve"> </w:t>
      </w:r>
      <w:r w:rsidR="00CF7FCC" w:rsidRPr="00094317">
        <w:rPr>
          <w:shd w:val="clear" w:color="auto" w:fill="FFFFFF"/>
        </w:rPr>
        <w:t>Kempf</w:t>
      </w:r>
      <w:r w:rsidR="000C75E6">
        <w:rPr>
          <w:shd w:val="clear" w:color="auto" w:fill="FFFFFF"/>
        </w:rPr>
        <w:t>,</w:t>
      </w:r>
      <w:r w:rsidR="003D640C">
        <w:rPr>
          <w:shd w:val="clear" w:color="auto" w:fill="FFFFFF"/>
        </w:rPr>
        <w:t xml:space="preserve"> </w:t>
      </w:r>
      <w:r w:rsidR="00CF7FCC" w:rsidRPr="00094317">
        <w:rPr>
          <w:shd w:val="clear" w:color="auto" w:fill="FFFFFF"/>
        </w:rPr>
        <w:t>&amp;</w:t>
      </w:r>
      <w:r w:rsidR="003D640C">
        <w:rPr>
          <w:shd w:val="clear" w:color="auto" w:fill="FFFFFF"/>
        </w:rPr>
        <w:t xml:space="preserve"> </w:t>
      </w:r>
      <w:r w:rsidR="00CF7FCC" w:rsidRPr="00094317">
        <w:rPr>
          <w:shd w:val="clear" w:color="auto" w:fill="FFFFFF"/>
        </w:rPr>
        <w:t>T.</w:t>
      </w:r>
      <w:r w:rsidR="003D640C">
        <w:rPr>
          <w:shd w:val="clear" w:color="auto" w:fill="FFFFFF"/>
        </w:rPr>
        <w:t xml:space="preserve"> </w:t>
      </w:r>
      <w:r w:rsidR="00CF7FCC" w:rsidRPr="00094317">
        <w:rPr>
          <w:shd w:val="clear" w:color="auto" w:fill="FFFFFF"/>
        </w:rPr>
        <w:t>Meijl</w:t>
      </w:r>
      <w:r w:rsidR="003D640C">
        <w:rPr>
          <w:shd w:val="clear" w:color="auto" w:fill="FFFFFF"/>
        </w:rPr>
        <w:t xml:space="preserve"> </w:t>
      </w:r>
      <w:r w:rsidR="00CF7FCC" w:rsidRPr="00094317">
        <w:rPr>
          <w:shd w:val="clear" w:color="auto" w:fill="FFFFFF"/>
        </w:rPr>
        <w:t>(Ed</w:t>
      </w:r>
      <w:r w:rsidR="000C75E6">
        <w:rPr>
          <w:shd w:val="clear" w:color="auto" w:fill="FFFFFF"/>
        </w:rPr>
        <w:t>s</w:t>
      </w:r>
      <w:r w:rsidR="00CF7FCC" w:rsidRPr="00094317">
        <w:rPr>
          <w:shd w:val="clear" w:color="auto" w:fill="FFFFFF"/>
        </w:rPr>
        <w:t>.),</w:t>
      </w:r>
      <w:r w:rsidR="003D640C">
        <w:rPr>
          <w:shd w:val="clear" w:color="auto" w:fill="FFFFFF"/>
        </w:rPr>
        <w:t xml:space="preserve"> </w:t>
      </w:r>
      <w:r w:rsidR="00CF7FCC" w:rsidRPr="00094317">
        <w:rPr>
          <w:i/>
          <w:iCs/>
          <w:shd w:val="clear" w:color="auto" w:fill="FFFFFF"/>
        </w:rPr>
        <w:t>Belonging</w:t>
      </w:r>
      <w:r w:rsidR="003D640C">
        <w:rPr>
          <w:i/>
          <w:iCs/>
          <w:shd w:val="clear" w:color="auto" w:fill="FFFFFF"/>
        </w:rPr>
        <w:t xml:space="preserve"> </w:t>
      </w:r>
      <w:r w:rsidR="00CF7FCC" w:rsidRPr="00094317">
        <w:rPr>
          <w:i/>
          <w:iCs/>
          <w:shd w:val="clear" w:color="auto" w:fill="FFFFFF"/>
        </w:rPr>
        <w:t>in</w:t>
      </w:r>
      <w:r w:rsidR="003D640C">
        <w:rPr>
          <w:i/>
          <w:iCs/>
          <w:shd w:val="clear" w:color="auto" w:fill="FFFFFF"/>
        </w:rPr>
        <w:t xml:space="preserve"> </w:t>
      </w:r>
      <w:r w:rsidR="00CF7FCC" w:rsidRPr="00094317">
        <w:rPr>
          <w:i/>
          <w:iCs/>
          <w:shd w:val="clear" w:color="auto" w:fill="FFFFFF"/>
        </w:rPr>
        <w:t>Oceania:</w:t>
      </w:r>
      <w:r w:rsidR="003D640C">
        <w:rPr>
          <w:i/>
          <w:iCs/>
          <w:shd w:val="clear" w:color="auto" w:fill="FFFFFF"/>
        </w:rPr>
        <w:t xml:space="preserve"> </w:t>
      </w:r>
      <w:r w:rsidR="00CF7FCC" w:rsidRPr="00094317">
        <w:rPr>
          <w:i/>
          <w:iCs/>
          <w:shd w:val="clear" w:color="auto" w:fill="FFFFFF"/>
        </w:rPr>
        <w:t>Movement,</w:t>
      </w:r>
      <w:r w:rsidR="003D640C">
        <w:rPr>
          <w:i/>
          <w:iCs/>
          <w:shd w:val="clear" w:color="auto" w:fill="FFFFFF"/>
        </w:rPr>
        <w:t xml:space="preserve"> </w:t>
      </w:r>
      <w:r w:rsidR="000C75E6">
        <w:rPr>
          <w:i/>
          <w:iCs/>
          <w:shd w:val="clear" w:color="auto" w:fill="FFFFFF"/>
        </w:rPr>
        <w:t>p</w:t>
      </w:r>
      <w:r w:rsidR="00CF7FCC" w:rsidRPr="00094317">
        <w:rPr>
          <w:i/>
          <w:iCs/>
          <w:shd w:val="clear" w:color="auto" w:fill="FFFFFF"/>
        </w:rPr>
        <w:t>lace-</w:t>
      </w:r>
      <w:r w:rsidR="000C75E6">
        <w:rPr>
          <w:i/>
          <w:iCs/>
          <w:shd w:val="clear" w:color="auto" w:fill="FFFFFF"/>
        </w:rPr>
        <w:t>m</w:t>
      </w:r>
      <w:r w:rsidR="00CF7FCC" w:rsidRPr="00094317">
        <w:rPr>
          <w:i/>
          <w:iCs/>
          <w:shd w:val="clear" w:color="auto" w:fill="FFFFFF"/>
        </w:rPr>
        <w:t>aking</w:t>
      </w:r>
      <w:r w:rsidR="003D640C">
        <w:rPr>
          <w:i/>
          <w:iCs/>
          <w:shd w:val="clear" w:color="auto" w:fill="FFFFFF"/>
        </w:rPr>
        <w:t xml:space="preserve"> </w:t>
      </w:r>
      <w:r w:rsidR="00CF7FCC" w:rsidRPr="00094317">
        <w:rPr>
          <w:i/>
          <w:iCs/>
          <w:shd w:val="clear" w:color="auto" w:fill="FFFFFF"/>
        </w:rPr>
        <w:t>and</w:t>
      </w:r>
      <w:r w:rsidR="003D640C">
        <w:rPr>
          <w:i/>
          <w:iCs/>
          <w:shd w:val="clear" w:color="auto" w:fill="FFFFFF"/>
        </w:rPr>
        <w:t xml:space="preserve"> </w:t>
      </w:r>
      <w:r w:rsidR="000C75E6">
        <w:rPr>
          <w:i/>
          <w:iCs/>
          <w:shd w:val="clear" w:color="auto" w:fill="FFFFFF"/>
        </w:rPr>
        <w:t>m</w:t>
      </w:r>
      <w:r w:rsidR="00CF7FCC" w:rsidRPr="00094317">
        <w:rPr>
          <w:i/>
          <w:iCs/>
          <w:shd w:val="clear" w:color="auto" w:fill="FFFFFF"/>
        </w:rPr>
        <w:t>ultiple</w:t>
      </w:r>
      <w:r w:rsidR="003D640C">
        <w:rPr>
          <w:i/>
          <w:iCs/>
          <w:shd w:val="clear" w:color="auto" w:fill="FFFFFF"/>
        </w:rPr>
        <w:t xml:space="preserve"> </w:t>
      </w:r>
      <w:r w:rsidR="000C75E6">
        <w:rPr>
          <w:i/>
          <w:iCs/>
          <w:shd w:val="clear" w:color="auto" w:fill="FFFFFF"/>
        </w:rPr>
        <w:t>i</w:t>
      </w:r>
      <w:r w:rsidR="00CF7FCC" w:rsidRPr="00094317">
        <w:rPr>
          <w:i/>
          <w:iCs/>
          <w:shd w:val="clear" w:color="auto" w:fill="FFFFFF"/>
        </w:rPr>
        <w:t>dentifications</w:t>
      </w:r>
      <w:r w:rsidR="003D640C">
        <w:rPr>
          <w:shd w:val="clear" w:color="auto" w:fill="FFFFFF"/>
        </w:rPr>
        <w:t xml:space="preserve"> </w:t>
      </w:r>
      <w:r w:rsidR="00CF7FCC" w:rsidRPr="00094317">
        <w:rPr>
          <w:shd w:val="clear" w:color="auto" w:fill="FFFFFF"/>
        </w:rPr>
        <w:t>(pp.</w:t>
      </w:r>
      <w:r w:rsidR="003D640C">
        <w:rPr>
          <w:shd w:val="clear" w:color="auto" w:fill="FFFFFF"/>
        </w:rPr>
        <w:t xml:space="preserve"> </w:t>
      </w:r>
      <w:r w:rsidR="00CF7FCC" w:rsidRPr="00094317">
        <w:rPr>
          <w:shd w:val="clear" w:color="auto" w:fill="FFFFFF"/>
        </w:rPr>
        <w:t>142</w:t>
      </w:r>
      <w:r w:rsidR="000C75E6">
        <w:rPr>
          <w:shd w:val="clear" w:color="auto" w:fill="FFFFFF"/>
        </w:rPr>
        <w:t>–</w:t>
      </w:r>
      <w:r w:rsidR="00CF7FCC" w:rsidRPr="00094317">
        <w:rPr>
          <w:shd w:val="clear" w:color="auto" w:fill="FFFFFF"/>
        </w:rPr>
        <w:t>163).</w:t>
      </w:r>
      <w:r w:rsidR="003D640C">
        <w:rPr>
          <w:shd w:val="clear" w:color="auto" w:fill="FFFFFF"/>
        </w:rPr>
        <w:t xml:space="preserve"> </w:t>
      </w:r>
      <w:r w:rsidR="00CF7FCC" w:rsidRPr="00094317">
        <w:rPr>
          <w:shd w:val="clear" w:color="auto" w:fill="FFFFFF"/>
        </w:rPr>
        <w:t>Berghahn</w:t>
      </w:r>
      <w:r w:rsidR="003D640C">
        <w:rPr>
          <w:shd w:val="clear" w:color="auto" w:fill="FFFFFF"/>
        </w:rPr>
        <w:t xml:space="preserve"> </w:t>
      </w:r>
      <w:r w:rsidR="00CF7FCC" w:rsidRPr="00094317">
        <w:rPr>
          <w:shd w:val="clear" w:color="auto" w:fill="FFFFFF"/>
        </w:rPr>
        <w:t>Books.</w:t>
      </w:r>
      <w:r w:rsidR="003D640C">
        <w:rPr>
          <w:shd w:val="clear" w:color="auto" w:fill="FFFFFF"/>
        </w:rPr>
        <w:t xml:space="preserve"> </w:t>
      </w:r>
    </w:p>
  </w:footnote>
  <w:footnote w:id="190">
    <w:p w14:paraId="069F6FB5" w14:textId="5957BCF0" w:rsidR="00163CE1" w:rsidRDefault="00163CE1" w:rsidP="00E00167">
      <w:pPr>
        <w:pStyle w:val="FootnoteText"/>
      </w:pPr>
      <w:r>
        <w:rPr>
          <w:rStyle w:val="FootnoteReference"/>
        </w:rPr>
        <w:footnoteRef/>
      </w:r>
      <w:r w:rsidR="003D640C">
        <w:t xml:space="preserve"> </w:t>
      </w:r>
      <w:r w:rsidR="00011854">
        <w:t>Ministry</w:t>
      </w:r>
      <w:r w:rsidR="003D640C">
        <w:t xml:space="preserve"> </w:t>
      </w:r>
      <w:r w:rsidR="00011854">
        <w:t>for</w:t>
      </w:r>
      <w:r w:rsidR="003D640C">
        <w:t xml:space="preserve"> </w:t>
      </w:r>
      <w:r w:rsidR="00011854">
        <w:t>Pacific</w:t>
      </w:r>
      <w:r w:rsidR="003D640C">
        <w:t xml:space="preserve"> </w:t>
      </w:r>
      <w:r w:rsidR="00011854">
        <w:t>Peoples</w:t>
      </w:r>
      <w:r w:rsidR="00B638E7" w:rsidRPr="00B638E7">
        <w:t xml:space="preserve">. (2016). </w:t>
      </w:r>
      <w:r w:rsidR="00B638E7" w:rsidRPr="00A740A2">
        <w:rPr>
          <w:i/>
          <w:iCs/>
        </w:rPr>
        <w:t>Contemporary Pacific status report: A snapshot of Pacific peoples in New Zealand</w:t>
      </w:r>
      <w:r w:rsidR="00B638E7" w:rsidRPr="00B638E7">
        <w:t>.</w:t>
      </w:r>
    </w:p>
  </w:footnote>
  <w:footnote w:id="191">
    <w:p w14:paraId="0E2DA2CF" w14:textId="55468B27" w:rsidR="3ED38969" w:rsidRDefault="3ED38969" w:rsidP="00E00167">
      <w:pPr>
        <w:pStyle w:val="FootnoteText"/>
      </w:pPr>
      <w:r w:rsidRPr="3ED38969">
        <w:rPr>
          <w:rStyle w:val="FootnoteReference"/>
        </w:rPr>
        <w:footnoteRef/>
      </w:r>
      <w:r w:rsidR="003D640C">
        <w:t xml:space="preserve"> </w:t>
      </w:r>
      <w:r w:rsidR="000C75E6">
        <w:t>Ibid.</w:t>
      </w:r>
      <w:r w:rsidR="003D640C">
        <w:t xml:space="preserve"> </w:t>
      </w:r>
    </w:p>
  </w:footnote>
  <w:footnote w:id="192">
    <w:p w14:paraId="09AC5DB1" w14:textId="3F5D4C4D" w:rsidR="008A4D8C" w:rsidRDefault="008A4D8C" w:rsidP="00E00167">
      <w:pPr>
        <w:pStyle w:val="FootnoteText"/>
      </w:pPr>
      <w:r>
        <w:rPr>
          <w:rStyle w:val="FootnoteReference"/>
        </w:rPr>
        <w:footnoteRef/>
      </w:r>
      <w:r w:rsidR="003D640C">
        <w:t xml:space="preserve"> </w:t>
      </w:r>
      <w:r w:rsidR="00507D77">
        <w:t>Curtis,</w:t>
      </w:r>
      <w:r w:rsidR="003D640C">
        <w:t xml:space="preserve"> </w:t>
      </w:r>
      <w:r w:rsidR="00507D77">
        <w:t>J.,</w:t>
      </w:r>
      <w:r w:rsidR="003D640C">
        <w:t xml:space="preserve"> </w:t>
      </w:r>
      <w:r w:rsidR="00507D77">
        <w:t>Dickson,</w:t>
      </w:r>
      <w:r w:rsidR="003D640C">
        <w:t xml:space="preserve"> </w:t>
      </w:r>
      <w:r w:rsidR="00507D77">
        <w:t>A.,</w:t>
      </w:r>
      <w:r w:rsidR="003D640C">
        <w:t xml:space="preserve"> </w:t>
      </w:r>
      <w:r w:rsidR="00507D77">
        <w:t>Gadd,</w:t>
      </w:r>
      <w:r w:rsidR="003D640C">
        <w:t xml:space="preserve"> </w:t>
      </w:r>
      <w:r w:rsidR="007F6D6E">
        <w:t>E.,</w:t>
      </w:r>
      <w:r w:rsidR="003D640C">
        <w:t xml:space="preserve"> </w:t>
      </w:r>
      <w:r w:rsidR="007F6D6E">
        <w:t>Robinson</w:t>
      </w:r>
      <w:r w:rsidR="00D97F54">
        <w:t>,</w:t>
      </w:r>
      <w:r w:rsidR="003D640C">
        <w:t xml:space="preserve"> </w:t>
      </w:r>
      <w:r w:rsidR="00D97F54">
        <w:t>T.</w:t>
      </w:r>
      <w:r w:rsidR="003D640C">
        <w:t xml:space="preserve"> </w:t>
      </w:r>
      <w:r w:rsidR="00D97F54">
        <w:t>(2022).</w:t>
      </w:r>
      <w:r w:rsidR="003D640C">
        <w:t xml:space="preserve"> </w:t>
      </w:r>
      <w:r w:rsidR="008E1F69" w:rsidRPr="00960139">
        <w:rPr>
          <w:i/>
          <w:iCs/>
        </w:rPr>
        <w:t>LGBT+</w:t>
      </w:r>
      <w:r w:rsidR="003D640C">
        <w:rPr>
          <w:i/>
          <w:iCs/>
        </w:rPr>
        <w:t xml:space="preserve"> </w:t>
      </w:r>
      <w:r w:rsidR="008E1F69" w:rsidRPr="00960139">
        <w:rPr>
          <w:i/>
          <w:iCs/>
        </w:rPr>
        <w:t>rights</w:t>
      </w:r>
      <w:r w:rsidR="003D640C">
        <w:rPr>
          <w:i/>
          <w:iCs/>
        </w:rPr>
        <w:t xml:space="preserve"> </w:t>
      </w:r>
      <w:r w:rsidR="008E1F69" w:rsidRPr="00960139">
        <w:rPr>
          <w:i/>
          <w:iCs/>
        </w:rPr>
        <w:t>and</w:t>
      </w:r>
      <w:r w:rsidR="003D640C">
        <w:rPr>
          <w:i/>
          <w:iCs/>
        </w:rPr>
        <w:t xml:space="preserve"> </w:t>
      </w:r>
      <w:r w:rsidR="008E1F69" w:rsidRPr="00960139">
        <w:rPr>
          <w:i/>
          <w:iCs/>
        </w:rPr>
        <w:t>issues</w:t>
      </w:r>
      <w:r w:rsidR="003D640C">
        <w:rPr>
          <w:i/>
          <w:iCs/>
        </w:rPr>
        <w:t xml:space="preserve"> </w:t>
      </w:r>
      <w:r w:rsidR="008E1F69" w:rsidRPr="00960139">
        <w:rPr>
          <w:i/>
          <w:iCs/>
        </w:rPr>
        <w:t>in</w:t>
      </w:r>
      <w:r w:rsidR="003D640C">
        <w:rPr>
          <w:i/>
          <w:iCs/>
        </w:rPr>
        <w:t xml:space="preserve"> </w:t>
      </w:r>
      <w:r w:rsidR="008E1F69" w:rsidRPr="00960139">
        <w:rPr>
          <w:i/>
          <w:iCs/>
        </w:rPr>
        <w:t>Pacific</w:t>
      </w:r>
      <w:r w:rsidR="003D640C">
        <w:rPr>
          <w:i/>
          <w:iCs/>
        </w:rPr>
        <w:t xml:space="preserve"> </w:t>
      </w:r>
      <w:r w:rsidR="008E1F69" w:rsidRPr="00960139">
        <w:rPr>
          <w:i/>
          <w:iCs/>
        </w:rPr>
        <w:t>islands.</w:t>
      </w:r>
      <w:r w:rsidR="003D640C">
        <w:rPr>
          <w:i/>
          <w:iCs/>
        </w:rPr>
        <w:t xml:space="preserve"> </w:t>
      </w:r>
      <w:r w:rsidR="00394C16">
        <w:t>House of Commons Library.</w:t>
      </w:r>
    </w:p>
  </w:footnote>
  <w:footnote w:id="193">
    <w:p w14:paraId="4C3DB434" w14:textId="352D5DFB" w:rsidR="003315C2" w:rsidRDefault="003315C2" w:rsidP="00E00167">
      <w:pPr>
        <w:pStyle w:val="FootnoteText"/>
      </w:pPr>
      <w:r>
        <w:rPr>
          <w:rStyle w:val="FootnoteReference"/>
        </w:rPr>
        <w:footnoteRef/>
      </w:r>
      <w:r w:rsidR="003D640C">
        <w:t xml:space="preserve"> </w:t>
      </w:r>
      <w:r w:rsidR="003E5AF8">
        <w:t>NZ</w:t>
      </w:r>
      <w:r w:rsidR="003D640C">
        <w:t xml:space="preserve"> </w:t>
      </w:r>
      <w:r w:rsidR="003E5AF8">
        <w:t>Herald</w:t>
      </w:r>
      <w:r w:rsidR="00475868">
        <w:t>.</w:t>
      </w:r>
      <w:r w:rsidR="003D640C">
        <w:t xml:space="preserve"> </w:t>
      </w:r>
      <w:r w:rsidR="003E5AF8">
        <w:t>(</w:t>
      </w:r>
      <w:r w:rsidR="00475868">
        <w:t xml:space="preserve">2022, </w:t>
      </w:r>
      <w:r w:rsidR="006464F5">
        <w:t>March</w:t>
      </w:r>
      <w:r w:rsidR="00475868">
        <w:t xml:space="preserve"> 24</w:t>
      </w:r>
      <w:r w:rsidR="006464F5">
        <w:t>)</w:t>
      </w:r>
      <w:r w:rsidR="00475868">
        <w:t>.</w:t>
      </w:r>
      <w:r w:rsidR="003D640C">
        <w:t xml:space="preserve"> </w:t>
      </w:r>
      <w:r w:rsidR="006464F5" w:rsidRPr="005B33A1">
        <w:rPr>
          <w:i/>
          <w:iCs/>
        </w:rPr>
        <w:t>Rugby:</w:t>
      </w:r>
      <w:r w:rsidR="003D640C" w:rsidRPr="005B33A1">
        <w:rPr>
          <w:i/>
          <w:iCs/>
        </w:rPr>
        <w:t xml:space="preserve"> </w:t>
      </w:r>
      <w:r w:rsidR="006464F5" w:rsidRPr="005B33A1">
        <w:rPr>
          <w:i/>
          <w:iCs/>
        </w:rPr>
        <w:t>Israel</w:t>
      </w:r>
      <w:r w:rsidR="003D640C" w:rsidRPr="005B33A1">
        <w:rPr>
          <w:i/>
          <w:iCs/>
        </w:rPr>
        <w:t xml:space="preserve"> </w:t>
      </w:r>
      <w:r w:rsidR="006464F5" w:rsidRPr="005B33A1">
        <w:rPr>
          <w:i/>
          <w:iCs/>
        </w:rPr>
        <w:t>Folau</w:t>
      </w:r>
      <w:r w:rsidR="003D640C" w:rsidRPr="005B33A1">
        <w:rPr>
          <w:i/>
          <w:iCs/>
        </w:rPr>
        <w:t xml:space="preserve"> </w:t>
      </w:r>
      <w:r w:rsidR="006464F5" w:rsidRPr="005B33A1">
        <w:rPr>
          <w:i/>
          <w:iCs/>
        </w:rPr>
        <w:t>has</w:t>
      </w:r>
      <w:r w:rsidR="003D640C" w:rsidRPr="005B33A1">
        <w:rPr>
          <w:i/>
          <w:iCs/>
        </w:rPr>
        <w:t xml:space="preserve"> </w:t>
      </w:r>
      <w:r w:rsidR="006464F5" w:rsidRPr="005B33A1">
        <w:rPr>
          <w:i/>
          <w:iCs/>
        </w:rPr>
        <w:t>no</w:t>
      </w:r>
      <w:r w:rsidR="003D640C" w:rsidRPr="005B33A1">
        <w:rPr>
          <w:i/>
          <w:iCs/>
        </w:rPr>
        <w:t xml:space="preserve"> </w:t>
      </w:r>
      <w:r w:rsidR="006464F5" w:rsidRPr="005B33A1">
        <w:rPr>
          <w:i/>
          <w:iCs/>
        </w:rPr>
        <w:t>regrets</w:t>
      </w:r>
      <w:r w:rsidR="003D640C" w:rsidRPr="005B33A1">
        <w:rPr>
          <w:i/>
          <w:iCs/>
        </w:rPr>
        <w:t xml:space="preserve"> </w:t>
      </w:r>
      <w:r w:rsidR="006464F5" w:rsidRPr="005B33A1">
        <w:rPr>
          <w:i/>
          <w:iCs/>
        </w:rPr>
        <w:t>about</w:t>
      </w:r>
      <w:r w:rsidR="003D640C" w:rsidRPr="005B33A1">
        <w:rPr>
          <w:i/>
          <w:iCs/>
        </w:rPr>
        <w:t xml:space="preserve"> </w:t>
      </w:r>
      <w:r w:rsidR="006464F5" w:rsidRPr="005B33A1">
        <w:rPr>
          <w:i/>
          <w:iCs/>
        </w:rPr>
        <w:t>homophobic</w:t>
      </w:r>
      <w:r w:rsidR="003D640C" w:rsidRPr="005B33A1">
        <w:rPr>
          <w:i/>
          <w:iCs/>
        </w:rPr>
        <w:t xml:space="preserve"> </w:t>
      </w:r>
      <w:r w:rsidR="006464F5" w:rsidRPr="005B33A1">
        <w:rPr>
          <w:i/>
          <w:iCs/>
        </w:rPr>
        <w:t>comments,</w:t>
      </w:r>
      <w:r w:rsidR="003D640C" w:rsidRPr="005B33A1">
        <w:rPr>
          <w:i/>
          <w:iCs/>
        </w:rPr>
        <w:t xml:space="preserve"> </w:t>
      </w:r>
      <w:r w:rsidR="006464F5" w:rsidRPr="005B33A1">
        <w:rPr>
          <w:i/>
          <w:iCs/>
        </w:rPr>
        <w:t>eyes</w:t>
      </w:r>
      <w:r w:rsidR="003D640C" w:rsidRPr="005B33A1">
        <w:rPr>
          <w:i/>
          <w:iCs/>
        </w:rPr>
        <w:t xml:space="preserve"> </w:t>
      </w:r>
      <w:r w:rsidR="006464F5" w:rsidRPr="005B33A1">
        <w:rPr>
          <w:i/>
          <w:iCs/>
        </w:rPr>
        <w:t>international</w:t>
      </w:r>
      <w:r w:rsidR="003D640C" w:rsidRPr="005B33A1">
        <w:rPr>
          <w:i/>
          <w:iCs/>
        </w:rPr>
        <w:t xml:space="preserve"> </w:t>
      </w:r>
      <w:r w:rsidR="006464F5" w:rsidRPr="005B33A1">
        <w:rPr>
          <w:i/>
          <w:iCs/>
        </w:rPr>
        <w:t>return</w:t>
      </w:r>
      <w:r w:rsidR="00821FE1">
        <w:t>;</w:t>
      </w:r>
      <w:r w:rsidR="003D640C">
        <w:t xml:space="preserve"> </w:t>
      </w:r>
      <w:r w:rsidR="00730147">
        <w:t>Radio</w:t>
      </w:r>
      <w:r w:rsidR="003D640C">
        <w:t xml:space="preserve"> </w:t>
      </w:r>
      <w:r w:rsidR="00730147">
        <w:t>N</w:t>
      </w:r>
      <w:r w:rsidR="00475868">
        <w:t xml:space="preserve">ew </w:t>
      </w:r>
      <w:r w:rsidR="00730147">
        <w:t>Z</w:t>
      </w:r>
      <w:r w:rsidR="00475868">
        <w:t>ealand.</w:t>
      </w:r>
      <w:r w:rsidR="003D640C">
        <w:t xml:space="preserve"> </w:t>
      </w:r>
      <w:r w:rsidR="00730147">
        <w:t>(</w:t>
      </w:r>
      <w:r w:rsidR="00475868">
        <w:t xml:space="preserve">2020, </w:t>
      </w:r>
      <w:r w:rsidR="00730147">
        <w:t>April</w:t>
      </w:r>
      <w:r w:rsidR="003D640C">
        <w:t xml:space="preserve"> </w:t>
      </w:r>
      <w:r w:rsidR="00475868">
        <w:t>21</w:t>
      </w:r>
      <w:r w:rsidR="00730147">
        <w:t>)</w:t>
      </w:r>
      <w:r w:rsidR="00475868">
        <w:t>.</w:t>
      </w:r>
      <w:r w:rsidR="003D640C">
        <w:t xml:space="preserve"> </w:t>
      </w:r>
      <w:r w:rsidR="00730147" w:rsidRPr="005B33A1">
        <w:rPr>
          <w:i/>
          <w:iCs/>
        </w:rPr>
        <w:t>World</w:t>
      </w:r>
      <w:r w:rsidR="003D640C" w:rsidRPr="005B33A1">
        <w:rPr>
          <w:i/>
          <w:iCs/>
        </w:rPr>
        <w:t xml:space="preserve"> </w:t>
      </w:r>
      <w:r w:rsidR="00730147" w:rsidRPr="005B33A1">
        <w:rPr>
          <w:i/>
          <w:iCs/>
        </w:rPr>
        <w:t>Ru</w:t>
      </w:r>
      <w:r w:rsidR="00B40400" w:rsidRPr="005B33A1">
        <w:rPr>
          <w:i/>
          <w:iCs/>
        </w:rPr>
        <w:t>gby</w:t>
      </w:r>
      <w:r w:rsidR="003D640C" w:rsidRPr="005B33A1">
        <w:rPr>
          <w:i/>
          <w:iCs/>
        </w:rPr>
        <w:t xml:space="preserve"> </w:t>
      </w:r>
      <w:r w:rsidR="00B40400" w:rsidRPr="005B33A1">
        <w:rPr>
          <w:i/>
          <w:iCs/>
        </w:rPr>
        <w:t>investigating</w:t>
      </w:r>
      <w:r w:rsidR="003D640C" w:rsidRPr="005B33A1">
        <w:rPr>
          <w:i/>
          <w:iCs/>
        </w:rPr>
        <w:t xml:space="preserve"> </w:t>
      </w:r>
      <w:r w:rsidR="00B40400" w:rsidRPr="005B33A1">
        <w:rPr>
          <w:i/>
          <w:iCs/>
        </w:rPr>
        <w:t>Fiji</w:t>
      </w:r>
      <w:r w:rsidR="003D640C" w:rsidRPr="005B33A1">
        <w:rPr>
          <w:i/>
          <w:iCs/>
        </w:rPr>
        <w:t xml:space="preserve"> </w:t>
      </w:r>
      <w:r w:rsidR="00AF3DB0" w:rsidRPr="005B33A1">
        <w:rPr>
          <w:i/>
          <w:iCs/>
        </w:rPr>
        <w:t>chairman</w:t>
      </w:r>
      <w:r w:rsidR="003D640C" w:rsidRPr="005B33A1">
        <w:rPr>
          <w:i/>
          <w:iCs/>
        </w:rPr>
        <w:t xml:space="preserve"> </w:t>
      </w:r>
      <w:r w:rsidR="00AF3DB0" w:rsidRPr="005B33A1">
        <w:rPr>
          <w:i/>
          <w:iCs/>
        </w:rPr>
        <w:t>over</w:t>
      </w:r>
      <w:r w:rsidR="003D640C" w:rsidRPr="005B33A1">
        <w:rPr>
          <w:i/>
          <w:iCs/>
        </w:rPr>
        <w:t xml:space="preserve"> </w:t>
      </w:r>
      <w:r w:rsidR="00AF3DB0" w:rsidRPr="005B33A1">
        <w:rPr>
          <w:i/>
          <w:iCs/>
        </w:rPr>
        <w:t>homophobia</w:t>
      </w:r>
      <w:r w:rsidR="003D640C" w:rsidRPr="005B33A1">
        <w:rPr>
          <w:i/>
          <w:iCs/>
        </w:rPr>
        <w:t xml:space="preserve"> </w:t>
      </w:r>
      <w:r w:rsidR="00AF3DB0" w:rsidRPr="005B33A1">
        <w:rPr>
          <w:i/>
          <w:iCs/>
        </w:rPr>
        <w:t>allegations</w:t>
      </w:r>
      <w:r w:rsidR="00475868">
        <w:t>;</w:t>
      </w:r>
      <w:r w:rsidR="003D640C">
        <w:t xml:space="preserve"> </w:t>
      </w:r>
      <w:r w:rsidR="00BD65C7">
        <w:t>Radio</w:t>
      </w:r>
      <w:r w:rsidR="003D640C">
        <w:t xml:space="preserve"> </w:t>
      </w:r>
      <w:r w:rsidR="00BD65C7">
        <w:t>N</w:t>
      </w:r>
      <w:r w:rsidR="00475868">
        <w:t xml:space="preserve">ew </w:t>
      </w:r>
      <w:r w:rsidR="00BD65C7">
        <w:t>Z</w:t>
      </w:r>
      <w:r w:rsidR="00475868">
        <w:t>ealand.</w:t>
      </w:r>
      <w:r w:rsidR="003D640C">
        <w:t xml:space="preserve"> </w:t>
      </w:r>
      <w:r w:rsidR="00C22551">
        <w:t>(</w:t>
      </w:r>
      <w:r w:rsidR="00475868">
        <w:t xml:space="preserve">2019, </w:t>
      </w:r>
      <w:r w:rsidR="00C22551">
        <w:t>Dec</w:t>
      </w:r>
      <w:r w:rsidR="00475868">
        <w:t>ember 4</w:t>
      </w:r>
      <w:r w:rsidR="00C22551">
        <w:t>)</w:t>
      </w:r>
      <w:r w:rsidR="00475868">
        <w:t>.</w:t>
      </w:r>
      <w:r w:rsidR="003D640C">
        <w:t xml:space="preserve"> </w:t>
      </w:r>
      <w:r w:rsidR="00C22551" w:rsidRPr="005B33A1">
        <w:rPr>
          <w:i/>
          <w:iCs/>
        </w:rPr>
        <w:t>Folau</w:t>
      </w:r>
      <w:r w:rsidR="003D640C" w:rsidRPr="005B33A1">
        <w:rPr>
          <w:i/>
          <w:iCs/>
        </w:rPr>
        <w:t xml:space="preserve"> </w:t>
      </w:r>
      <w:r w:rsidR="00C22551" w:rsidRPr="005B33A1">
        <w:rPr>
          <w:i/>
          <w:iCs/>
        </w:rPr>
        <w:t>settles</w:t>
      </w:r>
      <w:r w:rsidR="003D640C" w:rsidRPr="005B33A1">
        <w:rPr>
          <w:i/>
          <w:iCs/>
        </w:rPr>
        <w:t xml:space="preserve"> </w:t>
      </w:r>
      <w:r w:rsidR="00C22551" w:rsidRPr="005B33A1">
        <w:rPr>
          <w:i/>
          <w:iCs/>
        </w:rPr>
        <w:t>unfair</w:t>
      </w:r>
      <w:r w:rsidR="003D640C" w:rsidRPr="005B33A1">
        <w:rPr>
          <w:i/>
          <w:iCs/>
        </w:rPr>
        <w:t xml:space="preserve"> </w:t>
      </w:r>
      <w:r w:rsidR="00C22551" w:rsidRPr="005B33A1">
        <w:rPr>
          <w:i/>
          <w:iCs/>
        </w:rPr>
        <w:t>dismissal</w:t>
      </w:r>
      <w:r w:rsidR="003D640C" w:rsidRPr="005B33A1">
        <w:rPr>
          <w:i/>
          <w:iCs/>
        </w:rPr>
        <w:t xml:space="preserve"> </w:t>
      </w:r>
      <w:r w:rsidR="00C22551" w:rsidRPr="005B33A1">
        <w:rPr>
          <w:i/>
          <w:iCs/>
        </w:rPr>
        <w:t>case</w:t>
      </w:r>
      <w:r w:rsidR="003D640C" w:rsidRPr="005B33A1">
        <w:rPr>
          <w:i/>
          <w:iCs/>
        </w:rPr>
        <w:t xml:space="preserve"> </w:t>
      </w:r>
      <w:r w:rsidR="00C22551" w:rsidRPr="005B33A1">
        <w:rPr>
          <w:i/>
          <w:iCs/>
        </w:rPr>
        <w:t>with</w:t>
      </w:r>
      <w:r w:rsidR="003D640C" w:rsidRPr="005B33A1">
        <w:rPr>
          <w:i/>
          <w:iCs/>
        </w:rPr>
        <w:t xml:space="preserve"> </w:t>
      </w:r>
      <w:r w:rsidR="00C22551" w:rsidRPr="005B33A1">
        <w:rPr>
          <w:i/>
          <w:iCs/>
        </w:rPr>
        <w:t>Rugby</w:t>
      </w:r>
      <w:r w:rsidR="003D640C" w:rsidRPr="005B33A1">
        <w:rPr>
          <w:i/>
          <w:iCs/>
        </w:rPr>
        <w:t xml:space="preserve"> </w:t>
      </w:r>
      <w:r w:rsidR="00C22551" w:rsidRPr="005B33A1">
        <w:rPr>
          <w:i/>
          <w:iCs/>
        </w:rPr>
        <w:t>Australia</w:t>
      </w:r>
      <w:r w:rsidR="007304D2">
        <w:t>.</w:t>
      </w:r>
    </w:p>
  </w:footnote>
  <w:footnote w:id="194">
    <w:p w14:paraId="55A2DAA2" w14:textId="02324879" w:rsidR="00C83508" w:rsidRDefault="00C83508" w:rsidP="00E00167">
      <w:pPr>
        <w:pStyle w:val="FootnoteText"/>
      </w:pPr>
      <w:r>
        <w:rPr>
          <w:rStyle w:val="FootnoteReference"/>
        </w:rPr>
        <w:footnoteRef/>
      </w:r>
      <w:r w:rsidR="003D640C">
        <w:t xml:space="preserve"> </w:t>
      </w:r>
      <w:r w:rsidR="0090641F">
        <w:t>Thomsen</w:t>
      </w:r>
      <w:r w:rsidR="00493451">
        <w:t xml:space="preserve"> et al., 2023</w:t>
      </w:r>
      <w:r w:rsidR="00E7259C">
        <w:t>.</w:t>
      </w:r>
    </w:p>
  </w:footnote>
  <w:footnote w:id="195">
    <w:p w14:paraId="283B9C6A" w14:textId="3C009BAD" w:rsidR="00667EF4" w:rsidRDefault="00667EF4" w:rsidP="00E00167">
      <w:pPr>
        <w:pStyle w:val="FootnoteText"/>
      </w:pPr>
      <w:r>
        <w:rPr>
          <w:rStyle w:val="FootnoteReference"/>
        </w:rPr>
        <w:footnoteRef/>
      </w:r>
      <w:r w:rsidR="003D640C">
        <w:t xml:space="preserve"> </w:t>
      </w:r>
      <w:r w:rsidR="000F2F9A">
        <w:t>Ibid.</w:t>
      </w:r>
      <w:r w:rsidR="000A2D1B">
        <w:t>,</w:t>
      </w:r>
      <w:r w:rsidR="003D640C">
        <w:t xml:space="preserve"> </w:t>
      </w:r>
      <w:r>
        <w:t>p.</w:t>
      </w:r>
      <w:r w:rsidR="003D640C">
        <w:t xml:space="preserve"> </w:t>
      </w:r>
      <w:r>
        <w:t>74</w:t>
      </w:r>
      <w:r w:rsidR="000F2F9A">
        <w:t>.</w:t>
      </w:r>
    </w:p>
  </w:footnote>
  <w:footnote w:id="196">
    <w:p w14:paraId="05F0C00E" w14:textId="4342A353" w:rsidR="004520AA" w:rsidRDefault="004520AA" w:rsidP="00E00167">
      <w:pPr>
        <w:pStyle w:val="FootnoteText"/>
      </w:pPr>
      <w:r>
        <w:rPr>
          <w:rStyle w:val="FootnoteReference"/>
        </w:rPr>
        <w:footnoteRef/>
      </w:r>
      <w:r w:rsidR="003D640C">
        <w:t xml:space="preserve"> </w:t>
      </w:r>
      <w:r w:rsidR="000F2F9A">
        <w:t>Ibid.</w:t>
      </w:r>
      <w:r w:rsidR="000A2D1B">
        <w:t>,</w:t>
      </w:r>
      <w:r w:rsidR="003D640C">
        <w:t xml:space="preserve"> </w:t>
      </w:r>
      <w:r w:rsidR="008E188F">
        <w:t>p</w:t>
      </w:r>
      <w:r w:rsidR="000F2F9A">
        <w:t>p</w:t>
      </w:r>
      <w:r w:rsidR="008E188F">
        <w:t>.</w:t>
      </w:r>
      <w:r w:rsidR="003D640C">
        <w:t xml:space="preserve"> </w:t>
      </w:r>
      <w:r w:rsidR="008E188F">
        <w:t>87</w:t>
      </w:r>
      <w:r w:rsidR="000F2F9A">
        <w:t>–</w:t>
      </w:r>
      <w:r w:rsidR="008E188F">
        <w:t>88.</w:t>
      </w:r>
    </w:p>
  </w:footnote>
  <w:footnote w:id="197">
    <w:p w14:paraId="6BEF161F" w14:textId="33110280" w:rsidR="4078109E" w:rsidRDefault="4078109E" w:rsidP="00E00167">
      <w:pPr>
        <w:pStyle w:val="FootnoteText"/>
      </w:pPr>
      <w:r w:rsidRPr="4078109E">
        <w:rPr>
          <w:rStyle w:val="FootnoteReference"/>
        </w:rPr>
        <w:footnoteRef/>
      </w:r>
      <w:r w:rsidR="003D640C">
        <w:t xml:space="preserve"> </w:t>
      </w:r>
      <w:r w:rsidR="00854EED">
        <w:t>Veale</w:t>
      </w:r>
      <w:r w:rsidR="003D640C">
        <w:t xml:space="preserve"> </w:t>
      </w:r>
      <w:r w:rsidR="00854EED">
        <w:t>et</w:t>
      </w:r>
      <w:r w:rsidR="003D640C">
        <w:t xml:space="preserve"> </w:t>
      </w:r>
      <w:r w:rsidR="00854EED">
        <w:t>al.,</w:t>
      </w:r>
      <w:r w:rsidR="003D640C">
        <w:t xml:space="preserve"> </w:t>
      </w:r>
      <w:r w:rsidR="00854EED">
        <w:t>202</w:t>
      </w:r>
      <w:r w:rsidR="00F4569F">
        <w:t>2</w:t>
      </w:r>
      <w:r w:rsidR="003C3829">
        <w:t>.</w:t>
      </w:r>
    </w:p>
  </w:footnote>
  <w:footnote w:id="198">
    <w:p w14:paraId="0897339E" w14:textId="764DACCC" w:rsidR="6DCDC676" w:rsidRDefault="6DCDC676" w:rsidP="00E00167">
      <w:pPr>
        <w:pStyle w:val="FootnoteText"/>
      </w:pPr>
      <w:r w:rsidRPr="6DCDC676">
        <w:rPr>
          <w:rStyle w:val="FootnoteReference"/>
        </w:rPr>
        <w:footnoteRef/>
      </w:r>
      <w:r w:rsidR="003D640C">
        <w:t xml:space="preserve"> </w:t>
      </w:r>
      <w:r w:rsidR="006A711C">
        <w:t>Fenaughty</w:t>
      </w:r>
      <w:r w:rsidR="003D640C">
        <w:t xml:space="preserve"> </w:t>
      </w:r>
      <w:r w:rsidR="006A711C">
        <w:t>et</w:t>
      </w:r>
      <w:r w:rsidR="003D640C">
        <w:t xml:space="preserve"> </w:t>
      </w:r>
      <w:r w:rsidR="006A711C">
        <w:t>al.,</w:t>
      </w:r>
      <w:r w:rsidR="003D640C">
        <w:t xml:space="preserve"> </w:t>
      </w:r>
      <w:r w:rsidR="006A711C">
        <w:t>2023</w:t>
      </w:r>
      <w:r w:rsidR="002A6F40">
        <w:t>.</w:t>
      </w:r>
    </w:p>
  </w:footnote>
  <w:footnote w:id="199">
    <w:p w14:paraId="6434EFD8" w14:textId="205E95BF" w:rsidR="7BEB2983" w:rsidRPr="00E63B3F" w:rsidRDefault="7BEB2983" w:rsidP="00E00167">
      <w:pPr>
        <w:pStyle w:val="FootnoteText"/>
      </w:pPr>
      <w:r w:rsidRPr="7BEB2983">
        <w:rPr>
          <w:rStyle w:val="FootnoteReference"/>
        </w:rPr>
        <w:footnoteRef/>
      </w:r>
      <w:r w:rsidR="003D640C">
        <w:t xml:space="preserve"> </w:t>
      </w:r>
      <w:r w:rsidR="00D85709">
        <w:t>Tiatia-Seath,</w:t>
      </w:r>
      <w:r w:rsidR="003D640C">
        <w:t xml:space="preserve"> </w:t>
      </w:r>
      <w:r w:rsidR="00D85709">
        <w:t>J.,</w:t>
      </w:r>
      <w:r w:rsidR="003D640C">
        <w:t xml:space="preserve"> </w:t>
      </w:r>
      <w:r w:rsidR="00D85709">
        <w:t>Fleming,</w:t>
      </w:r>
      <w:r w:rsidR="003D640C">
        <w:t xml:space="preserve"> </w:t>
      </w:r>
      <w:r w:rsidR="00D85709">
        <w:t>T.,</w:t>
      </w:r>
      <w:r w:rsidR="003D640C">
        <w:t xml:space="preserve"> </w:t>
      </w:r>
      <w:r w:rsidR="00D85709">
        <w:t>Sutcliffe,</w:t>
      </w:r>
      <w:r w:rsidR="003D640C">
        <w:t xml:space="preserve"> </w:t>
      </w:r>
      <w:r w:rsidR="00D85709">
        <w:t>K.,</w:t>
      </w:r>
      <w:r w:rsidR="003D640C">
        <w:t xml:space="preserve"> </w:t>
      </w:r>
      <w:r w:rsidR="00D85709">
        <w:t>Fenaughty,</w:t>
      </w:r>
      <w:r w:rsidR="003D640C">
        <w:t xml:space="preserve"> </w:t>
      </w:r>
      <w:r w:rsidR="00D85709">
        <w:t>J.,</w:t>
      </w:r>
      <w:r w:rsidR="003D640C">
        <w:t xml:space="preserve"> </w:t>
      </w:r>
      <w:r w:rsidR="00D85709">
        <w:t>Roy,</w:t>
      </w:r>
      <w:r w:rsidR="003D640C">
        <w:t xml:space="preserve"> </w:t>
      </w:r>
      <w:r w:rsidR="00D85709">
        <w:t>R.,</w:t>
      </w:r>
      <w:r w:rsidR="003D640C">
        <w:t xml:space="preserve"> </w:t>
      </w:r>
      <w:r w:rsidR="00D85709">
        <w:t>Greaves</w:t>
      </w:r>
      <w:r w:rsidR="005278CE">
        <w:t>,</w:t>
      </w:r>
      <w:r w:rsidR="003D640C">
        <w:t xml:space="preserve"> </w:t>
      </w:r>
      <w:r w:rsidR="005278CE">
        <w:t>L.,</w:t>
      </w:r>
      <w:r w:rsidR="003D640C">
        <w:t xml:space="preserve"> </w:t>
      </w:r>
      <w:r w:rsidR="009A3B47">
        <w:t>&amp;</w:t>
      </w:r>
      <w:r w:rsidR="003D640C">
        <w:t xml:space="preserve"> </w:t>
      </w:r>
      <w:r w:rsidR="009A3B47">
        <w:t>Clark,</w:t>
      </w:r>
      <w:r w:rsidR="003D640C">
        <w:t xml:space="preserve"> </w:t>
      </w:r>
      <w:r w:rsidR="009A3B47">
        <w:t>T.</w:t>
      </w:r>
      <w:r w:rsidR="003D640C">
        <w:t xml:space="preserve"> </w:t>
      </w:r>
      <w:r w:rsidR="009A3B47">
        <w:t>(2021).</w:t>
      </w:r>
      <w:r w:rsidR="003D640C">
        <w:t xml:space="preserve"> </w:t>
      </w:r>
      <w:r w:rsidR="009A3B47" w:rsidRPr="005B33A1">
        <w:rPr>
          <w:i/>
          <w:iCs/>
        </w:rPr>
        <w:t>A</w:t>
      </w:r>
      <w:r w:rsidR="003D640C" w:rsidRPr="005B33A1">
        <w:rPr>
          <w:i/>
          <w:iCs/>
        </w:rPr>
        <w:t xml:space="preserve"> </w:t>
      </w:r>
      <w:r w:rsidR="009A3B47" w:rsidRPr="005B33A1">
        <w:rPr>
          <w:i/>
          <w:iCs/>
        </w:rPr>
        <w:t>Youth19</w:t>
      </w:r>
      <w:r w:rsidR="003D640C" w:rsidRPr="005B33A1">
        <w:rPr>
          <w:i/>
          <w:iCs/>
        </w:rPr>
        <w:t xml:space="preserve"> </w:t>
      </w:r>
      <w:r w:rsidR="009A3B47" w:rsidRPr="005B33A1">
        <w:rPr>
          <w:i/>
          <w:iCs/>
        </w:rPr>
        <w:t>Brief:</w:t>
      </w:r>
      <w:r w:rsidR="003D640C" w:rsidRPr="005B33A1">
        <w:rPr>
          <w:i/>
          <w:iCs/>
        </w:rPr>
        <w:t xml:space="preserve"> </w:t>
      </w:r>
      <w:r w:rsidR="009A3B47" w:rsidRPr="005B33A1">
        <w:rPr>
          <w:i/>
          <w:iCs/>
        </w:rPr>
        <w:t>Pacific</w:t>
      </w:r>
      <w:r w:rsidR="003D640C" w:rsidRPr="005B33A1">
        <w:rPr>
          <w:i/>
          <w:iCs/>
        </w:rPr>
        <w:t xml:space="preserve"> </w:t>
      </w:r>
      <w:r w:rsidR="009A3B47" w:rsidRPr="005B33A1">
        <w:rPr>
          <w:i/>
          <w:iCs/>
        </w:rPr>
        <w:t>Rainbow</w:t>
      </w:r>
      <w:r w:rsidR="003D640C" w:rsidRPr="005B33A1">
        <w:rPr>
          <w:i/>
          <w:iCs/>
        </w:rPr>
        <w:t xml:space="preserve"> </w:t>
      </w:r>
      <w:r w:rsidR="009A3B47" w:rsidRPr="005B33A1">
        <w:rPr>
          <w:i/>
          <w:iCs/>
        </w:rPr>
        <w:t>young</w:t>
      </w:r>
      <w:r w:rsidR="003D640C" w:rsidRPr="005B33A1">
        <w:rPr>
          <w:i/>
          <w:iCs/>
        </w:rPr>
        <w:t xml:space="preserve"> </w:t>
      </w:r>
      <w:r w:rsidR="009A3B47" w:rsidRPr="005B33A1">
        <w:rPr>
          <w:i/>
          <w:iCs/>
        </w:rPr>
        <w:t>people</w:t>
      </w:r>
      <w:r w:rsidR="009A3B47">
        <w:t>.</w:t>
      </w:r>
      <w:r w:rsidR="003D640C">
        <w:t xml:space="preserve"> </w:t>
      </w:r>
      <w:r w:rsidR="009A3B47">
        <w:t>The</w:t>
      </w:r>
      <w:r w:rsidR="003D640C">
        <w:t xml:space="preserve"> </w:t>
      </w:r>
      <w:r w:rsidR="009A3B47">
        <w:t>Youth19</w:t>
      </w:r>
      <w:r w:rsidR="003D640C">
        <w:t xml:space="preserve"> </w:t>
      </w:r>
      <w:r w:rsidR="009A3B47">
        <w:t>Research</w:t>
      </w:r>
      <w:r w:rsidR="003D640C">
        <w:t xml:space="preserve"> </w:t>
      </w:r>
      <w:r w:rsidR="009A3B47">
        <w:t>Group</w:t>
      </w:r>
      <w:r w:rsidR="009E094C">
        <w:t>.</w:t>
      </w:r>
      <w:r w:rsidR="009E094C" w:rsidDel="009E094C">
        <w:t xml:space="preserve"> </w:t>
      </w:r>
    </w:p>
  </w:footnote>
  <w:footnote w:id="200">
    <w:p w14:paraId="63D5216B" w14:textId="66D96CD7" w:rsidR="00E1774E" w:rsidRPr="00E63B3F" w:rsidRDefault="00E1774E" w:rsidP="00E00167">
      <w:pPr>
        <w:pStyle w:val="FootnoteText"/>
        <w:rPr>
          <w:color w:val="0563C1"/>
          <w:u w:val="single"/>
        </w:rPr>
      </w:pPr>
      <w:r w:rsidRPr="00E63B3F">
        <w:rPr>
          <w:rStyle w:val="FootnoteReference"/>
        </w:rPr>
        <w:footnoteRef/>
      </w:r>
      <w:r w:rsidR="003D640C">
        <w:t xml:space="preserve"> </w:t>
      </w:r>
      <w:r w:rsidR="003C3829" w:rsidRPr="007B139B">
        <w:rPr>
          <w:rFonts w:ascii="Calibri" w:hAnsi="Calibri" w:cs="Calibri"/>
        </w:rPr>
        <w:t>Veale</w:t>
      </w:r>
      <w:r w:rsidR="003C3829" w:rsidRPr="00984D87">
        <w:rPr>
          <w:rFonts w:ascii="Calibri" w:hAnsi="Calibri" w:cs="Calibri"/>
        </w:rPr>
        <w:t>,</w:t>
      </w:r>
      <w:r w:rsidR="003C3829">
        <w:rPr>
          <w:rFonts w:ascii="Calibri" w:hAnsi="Calibri" w:cs="Calibri"/>
        </w:rPr>
        <w:t xml:space="preserve"> </w:t>
      </w:r>
      <w:r w:rsidR="003C3829" w:rsidRPr="00984D87">
        <w:rPr>
          <w:rFonts w:ascii="Calibri" w:hAnsi="Calibri" w:cs="Calibri"/>
        </w:rPr>
        <w:t>J.,</w:t>
      </w:r>
      <w:r w:rsidR="003C3829">
        <w:rPr>
          <w:rFonts w:ascii="Calibri" w:hAnsi="Calibri" w:cs="Calibri"/>
        </w:rPr>
        <w:t xml:space="preserve"> </w:t>
      </w:r>
      <w:r w:rsidR="003C3829" w:rsidRPr="00984D87">
        <w:rPr>
          <w:rFonts w:ascii="Calibri" w:hAnsi="Calibri" w:cs="Calibri"/>
        </w:rPr>
        <w:t>Byrne,</w:t>
      </w:r>
      <w:r w:rsidR="003C3829">
        <w:rPr>
          <w:rFonts w:ascii="Calibri" w:hAnsi="Calibri" w:cs="Calibri"/>
        </w:rPr>
        <w:t xml:space="preserve"> </w:t>
      </w:r>
      <w:r w:rsidR="003C3829" w:rsidRPr="00984D87">
        <w:rPr>
          <w:rFonts w:ascii="Calibri" w:hAnsi="Calibri" w:cs="Calibri"/>
        </w:rPr>
        <w:t>J.,</w:t>
      </w:r>
      <w:r w:rsidR="003C3829">
        <w:rPr>
          <w:rFonts w:ascii="Calibri" w:hAnsi="Calibri" w:cs="Calibri"/>
        </w:rPr>
        <w:t xml:space="preserve"> </w:t>
      </w:r>
      <w:r w:rsidR="003C3829" w:rsidRPr="00984D87">
        <w:rPr>
          <w:rFonts w:ascii="Calibri" w:hAnsi="Calibri" w:cs="Calibri"/>
        </w:rPr>
        <w:t>Tan,</w:t>
      </w:r>
      <w:r w:rsidR="003C3829">
        <w:rPr>
          <w:rFonts w:ascii="Calibri" w:hAnsi="Calibri" w:cs="Calibri"/>
        </w:rPr>
        <w:t xml:space="preserve"> </w:t>
      </w:r>
      <w:r w:rsidR="003C3829" w:rsidRPr="00984D87">
        <w:rPr>
          <w:rFonts w:ascii="Calibri" w:hAnsi="Calibri" w:cs="Calibri"/>
        </w:rPr>
        <w:t>K.,</w:t>
      </w:r>
      <w:r w:rsidR="003C3829">
        <w:rPr>
          <w:rFonts w:ascii="Calibri" w:hAnsi="Calibri" w:cs="Calibri"/>
        </w:rPr>
        <w:t xml:space="preserve"> </w:t>
      </w:r>
      <w:r w:rsidR="003C3829" w:rsidRPr="00984D87">
        <w:rPr>
          <w:rFonts w:ascii="Calibri" w:hAnsi="Calibri" w:cs="Calibri"/>
        </w:rPr>
        <w:t>Guy,</w:t>
      </w:r>
      <w:r w:rsidR="003C3829">
        <w:rPr>
          <w:rFonts w:ascii="Calibri" w:hAnsi="Calibri" w:cs="Calibri"/>
        </w:rPr>
        <w:t xml:space="preserve"> </w:t>
      </w:r>
      <w:r w:rsidR="003C3829" w:rsidRPr="00984D87">
        <w:rPr>
          <w:rFonts w:ascii="Calibri" w:hAnsi="Calibri" w:cs="Calibri"/>
        </w:rPr>
        <w:t>S.,</w:t>
      </w:r>
      <w:r w:rsidR="003C3829">
        <w:rPr>
          <w:rFonts w:ascii="Calibri" w:hAnsi="Calibri" w:cs="Calibri"/>
        </w:rPr>
        <w:t xml:space="preserve"> </w:t>
      </w:r>
      <w:r w:rsidR="003C3829" w:rsidRPr="00984D87">
        <w:rPr>
          <w:rFonts w:ascii="Calibri" w:hAnsi="Calibri" w:cs="Calibri"/>
        </w:rPr>
        <w:t>Yee,</w:t>
      </w:r>
      <w:r w:rsidR="003C3829">
        <w:rPr>
          <w:rFonts w:ascii="Calibri" w:hAnsi="Calibri" w:cs="Calibri"/>
        </w:rPr>
        <w:t xml:space="preserve"> </w:t>
      </w:r>
      <w:r w:rsidR="003C3829" w:rsidRPr="00984D87">
        <w:rPr>
          <w:rFonts w:ascii="Calibri" w:hAnsi="Calibri" w:cs="Calibri"/>
        </w:rPr>
        <w:t>A.,</w:t>
      </w:r>
      <w:r w:rsidR="003C3829">
        <w:rPr>
          <w:rFonts w:ascii="Calibri" w:hAnsi="Calibri" w:cs="Calibri"/>
        </w:rPr>
        <w:t xml:space="preserve"> </w:t>
      </w:r>
      <w:r w:rsidR="003C3829" w:rsidRPr="00984D87">
        <w:rPr>
          <w:rFonts w:ascii="Calibri" w:hAnsi="Calibri" w:cs="Calibri"/>
        </w:rPr>
        <w:t>Nopera,</w:t>
      </w:r>
      <w:r w:rsidR="003C3829">
        <w:rPr>
          <w:rFonts w:ascii="Calibri" w:hAnsi="Calibri" w:cs="Calibri"/>
        </w:rPr>
        <w:t xml:space="preserve"> </w:t>
      </w:r>
      <w:r w:rsidR="003C3829" w:rsidRPr="00984D87">
        <w:rPr>
          <w:rFonts w:ascii="Calibri" w:hAnsi="Calibri" w:cs="Calibri"/>
        </w:rPr>
        <w:t>T.,</w:t>
      </w:r>
      <w:r w:rsidR="003C3829">
        <w:rPr>
          <w:rFonts w:ascii="Calibri" w:hAnsi="Calibri" w:cs="Calibri"/>
        </w:rPr>
        <w:t xml:space="preserve"> </w:t>
      </w:r>
      <w:r w:rsidR="003C3829" w:rsidRPr="00984D87">
        <w:rPr>
          <w:rFonts w:ascii="Calibri" w:hAnsi="Calibri" w:cs="Calibri"/>
        </w:rPr>
        <w:t>&amp;</w:t>
      </w:r>
      <w:r w:rsidR="003C3829">
        <w:rPr>
          <w:rFonts w:ascii="Calibri" w:hAnsi="Calibri" w:cs="Calibri"/>
        </w:rPr>
        <w:t xml:space="preserve"> </w:t>
      </w:r>
      <w:r w:rsidR="003C3829" w:rsidRPr="00984D87">
        <w:rPr>
          <w:rFonts w:ascii="Calibri" w:hAnsi="Calibri" w:cs="Calibri"/>
        </w:rPr>
        <w:t>Bentham,</w:t>
      </w:r>
      <w:r w:rsidR="003C3829">
        <w:rPr>
          <w:rFonts w:ascii="Calibri" w:hAnsi="Calibri" w:cs="Calibri"/>
        </w:rPr>
        <w:t xml:space="preserve"> </w:t>
      </w:r>
      <w:r w:rsidR="003C3829" w:rsidRPr="00984D87">
        <w:rPr>
          <w:rFonts w:ascii="Calibri" w:hAnsi="Calibri" w:cs="Calibri"/>
        </w:rPr>
        <w:t>R.</w:t>
      </w:r>
      <w:r w:rsidR="003C3829">
        <w:rPr>
          <w:rFonts w:ascii="Calibri" w:hAnsi="Calibri" w:cs="Calibri"/>
        </w:rPr>
        <w:t xml:space="preserve"> </w:t>
      </w:r>
      <w:r w:rsidR="003C3829" w:rsidRPr="00984D87">
        <w:rPr>
          <w:rFonts w:ascii="Calibri" w:hAnsi="Calibri" w:cs="Calibri"/>
        </w:rPr>
        <w:t>(2019).</w:t>
      </w:r>
      <w:r w:rsidR="003C3829">
        <w:rPr>
          <w:rFonts w:ascii="Calibri" w:hAnsi="Calibri" w:cs="Calibri"/>
        </w:rPr>
        <w:t xml:space="preserve"> </w:t>
      </w:r>
      <w:r w:rsidR="003C3829" w:rsidRPr="00111B83">
        <w:rPr>
          <w:rFonts w:ascii="Calibri" w:hAnsi="Calibri" w:cs="Calibri"/>
          <w:i/>
          <w:iCs/>
        </w:rPr>
        <w:t>Counting ourselves: The health and wellbeing of trans and non-binary people in Aotearoa New Zealand</w:t>
      </w:r>
      <w:r w:rsidR="003C3829" w:rsidRPr="00984D87">
        <w:rPr>
          <w:rFonts w:ascii="Calibri" w:hAnsi="Calibri" w:cs="Calibri"/>
        </w:rPr>
        <w:t>.</w:t>
      </w:r>
      <w:r w:rsidR="003C3829">
        <w:rPr>
          <w:rFonts w:ascii="Calibri" w:hAnsi="Calibri" w:cs="Calibri"/>
        </w:rPr>
        <w:t xml:space="preserve"> </w:t>
      </w:r>
      <w:r w:rsidR="003C3829">
        <w:t>Health Research Lab, University of Waikato.</w:t>
      </w:r>
    </w:p>
  </w:footnote>
  <w:footnote w:id="201">
    <w:p w14:paraId="60B6435D" w14:textId="2C21FA9B" w:rsidR="00D145E2" w:rsidRDefault="00D145E2" w:rsidP="00E00167">
      <w:pPr>
        <w:pStyle w:val="FootnoteText"/>
      </w:pPr>
      <w:r>
        <w:rPr>
          <w:rStyle w:val="FootnoteReference"/>
        </w:rPr>
        <w:footnoteRef/>
      </w:r>
      <w:r w:rsidR="003D640C">
        <w:t xml:space="preserve"> </w:t>
      </w:r>
      <w:r>
        <w:t>Thomsen,</w:t>
      </w:r>
      <w:r w:rsidR="003D640C">
        <w:t xml:space="preserve"> </w:t>
      </w:r>
      <w:r>
        <w:t>S.,</w:t>
      </w:r>
      <w:r w:rsidR="003D640C">
        <w:t xml:space="preserve"> </w:t>
      </w:r>
      <w:r w:rsidR="00706FFC">
        <w:t>Shafiee,</w:t>
      </w:r>
      <w:r w:rsidR="003D640C">
        <w:t xml:space="preserve"> </w:t>
      </w:r>
      <w:r w:rsidR="00706FFC">
        <w:t>H.</w:t>
      </w:r>
      <w:r w:rsidR="00B04BA8">
        <w:t>,</w:t>
      </w:r>
      <w:r w:rsidR="003D640C">
        <w:t xml:space="preserve"> </w:t>
      </w:r>
      <w:r w:rsidR="00706FFC">
        <w:t>&amp;</w:t>
      </w:r>
      <w:r w:rsidR="003D640C">
        <w:t xml:space="preserve"> </w:t>
      </w:r>
      <w:r w:rsidR="00706FFC">
        <w:t>Russell,</w:t>
      </w:r>
      <w:r w:rsidR="003D640C">
        <w:t xml:space="preserve"> </w:t>
      </w:r>
      <w:r w:rsidR="00706FFC">
        <w:t>A.</w:t>
      </w:r>
      <w:r w:rsidR="003D640C">
        <w:t xml:space="preserve"> </w:t>
      </w:r>
      <w:r w:rsidR="00706FFC">
        <w:t>(2023)</w:t>
      </w:r>
      <w:r w:rsidR="005B33A1">
        <w:t>.</w:t>
      </w:r>
      <w:r w:rsidR="003D640C">
        <w:t xml:space="preserve"> </w:t>
      </w:r>
      <w:r w:rsidR="00706FFC" w:rsidRPr="005B33A1">
        <w:rPr>
          <w:i/>
          <w:iCs/>
        </w:rPr>
        <w:t>Pacific</w:t>
      </w:r>
      <w:r w:rsidR="003D640C" w:rsidRPr="005B33A1">
        <w:rPr>
          <w:i/>
          <w:iCs/>
        </w:rPr>
        <w:t xml:space="preserve"> </w:t>
      </w:r>
      <w:r w:rsidR="00706FFC" w:rsidRPr="005B33A1">
        <w:rPr>
          <w:i/>
          <w:iCs/>
        </w:rPr>
        <w:t>peoples’</w:t>
      </w:r>
      <w:r w:rsidR="003D640C" w:rsidRPr="005B33A1">
        <w:rPr>
          <w:i/>
          <w:iCs/>
        </w:rPr>
        <w:t xml:space="preserve"> </w:t>
      </w:r>
      <w:r w:rsidR="00706FFC" w:rsidRPr="005B33A1">
        <w:rPr>
          <w:i/>
          <w:iCs/>
        </w:rPr>
        <w:t>wellbeing.</w:t>
      </w:r>
      <w:r w:rsidR="003D640C" w:rsidRPr="005B33A1">
        <w:rPr>
          <w:i/>
          <w:iCs/>
        </w:rPr>
        <w:t xml:space="preserve"> </w:t>
      </w:r>
      <w:r w:rsidR="00706FFC" w:rsidRPr="005B33A1">
        <w:rPr>
          <w:i/>
          <w:iCs/>
        </w:rPr>
        <w:t>Background</w:t>
      </w:r>
      <w:r w:rsidR="003D640C" w:rsidRPr="005B33A1">
        <w:rPr>
          <w:i/>
          <w:iCs/>
        </w:rPr>
        <w:t xml:space="preserve"> </w:t>
      </w:r>
      <w:r w:rsidR="00706FFC" w:rsidRPr="005B33A1">
        <w:rPr>
          <w:i/>
          <w:iCs/>
        </w:rPr>
        <w:t>Paper</w:t>
      </w:r>
      <w:r w:rsidR="003D640C" w:rsidRPr="005B33A1">
        <w:rPr>
          <w:i/>
          <w:iCs/>
        </w:rPr>
        <w:t xml:space="preserve"> </w:t>
      </w:r>
      <w:r w:rsidR="00706FFC" w:rsidRPr="005B33A1">
        <w:rPr>
          <w:i/>
          <w:iCs/>
        </w:rPr>
        <w:t>to</w:t>
      </w:r>
      <w:r w:rsidR="003D640C" w:rsidRPr="005B33A1">
        <w:rPr>
          <w:i/>
          <w:iCs/>
        </w:rPr>
        <w:t xml:space="preserve"> </w:t>
      </w:r>
      <w:r w:rsidR="00706FFC" w:rsidRPr="005B33A1">
        <w:rPr>
          <w:i/>
          <w:iCs/>
        </w:rPr>
        <w:t>Te</w:t>
      </w:r>
      <w:r w:rsidR="003D640C" w:rsidRPr="005B33A1">
        <w:rPr>
          <w:i/>
          <w:iCs/>
        </w:rPr>
        <w:t xml:space="preserve"> </w:t>
      </w:r>
      <w:r w:rsidR="00706FFC" w:rsidRPr="005B33A1">
        <w:rPr>
          <w:i/>
          <w:iCs/>
        </w:rPr>
        <w:t>Tai</w:t>
      </w:r>
      <w:r w:rsidR="003D640C" w:rsidRPr="005B33A1">
        <w:rPr>
          <w:i/>
          <w:iCs/>
        </w:rPr>
        <w:t xml:space="preserve"> </w:t>
      </w:r>
      <w:r w:rsidR="00706FFC" w:rsidRPr="005B33A1">
        <w:rPr>
          <w:i/>
          <w:iCs/>
        </w:rPr>
        <w:t>Waior</w:t>
      </w:r>
      <w:r w:rsidR="003A685C" w:rsidRPr="005B33A1">
        <w:rPr>
          <w:i/>
          <w:iCs/>
        </w:rPr>
        <w:t>a:</w:t>
      </w:r>
      <w:r w:rsidR="003D640C" w:rsidRPr="005B33A1">
        <w:rPr>
          <w:i/>
          <w:iCs/>
        </w:rPr>
        <w:t xml:space="preserve"> </w:t>
      </w:r>
      <w:r w:rsidR="003A685C" w:rsidRPr="005B33A1">
        <w:rPr>
          <w:i/>
          <w:iCs/>
        </w:rPr>
        <w:t>Wellbeing</w:t>
      </w:r>
      <w:r w:rsidR="003D640C" w:rsidRPr="005B33A1">
        <w:rPr>
          <w:i/>
          <w:iCs/>
        </w:rPr>
        <w:t xml:space="preserve"> </w:t>
      </w:r>
      <w:r w:rsidR="003A685C" w:rsidRPr="005B33A1">
        <w:rPr>
          <w:i/>
          <w:iCs/>
        </w:rPr>
        <w:t>in</w:t>
      </w:r>
      <w:r w:rsidR="003D640C" w:rsidRPr="005B33A1">
        <w:rPr>
          <w:i/>
          <w:iCs/>
        </w:rPr>
        <w:t xml:space="preserve"> </w:t>
      </w:r>
      <w:r w:rsidR="003A685C" w:rsidRPr="005B33A1">
        <w:rPr>
          <w:i/>
          <w:iCs/>
        </w:rPr>
        <w:t>Aotearoa</w:t>
      </w:r>
      <w:r w:rsidR="003D640C" w:rsidRPr="005B33A1">
        <w:rPr>
          <w:i/>
          <w:iCs/>
        </w:rPr>
        <w:t xml:space="preserve"> </w:t>
      </w:r>
      <w:r w:rsidR="003A685C" w:rsidRPr="005B33A1">
        <w:rPr>
          <w:i/>
          <w:iCs/>
        </w:rPr>
        <w:t>New</w:t>
      </w:r>
      <w:r w:rsidR="003D640C" w:rsidRPr="005B33A1">
        <w:rPr>
          <w:i/>
          <w:iCs/>
        </w:rPr>
        <w:t xml:space="preserve"> </w:t>
      </w:r>
      <w:r w:rsidR="003A685C" w:rsidRPr="005B33A1">
        <w:rPr>
          <w:i/>
          <w:iCs/>
        </w:rPr>
        <w:t>Zealand</w:t>
      </w:r>
      <w:r w:rsidR="003D640C" w:rsidRPr="005B33A1">
        <w:rPr>
          <w:i/>
          <w:iCs/>
        </w:rPr>
        <w:t xml:space="preserve"> </w:t>
      </w:r>
      <w:r w:rsidR="003A685C" w:rsidRPr="005B33A1">
        <w:rPr>
          <w:i/>
          <w:iCs/>
        </w:rPr>
        <w:t>2022</w:t>
      </w:r>
      <w:r w:rsidR="003A685C">
        <w:t>.</w:t>
      </w:r>
      <w:r w:rsidR="003D640C">
        <w:t xml:space="preserve"> </w:t>
      </w:r>
      <w:r w:rsidR="003A685C">
        <w:t>The</w:t>
      </w:r>
      <w:r w:rsidR="003D640C">
        <w:t xml:space="preserve"> </w:t>
      </w:r>
      <w:r w:rsidR="003A685C">
        <w:t>Treasury.</w:t>
      </w:r>
    </w:p>
  </w:footnote>
  <w:footnote w:id="202">
    <w:p w14:paraId="4EDC899B" w14:textId="04C13279" w:rsidR="00222E14" w:rsidRPr="00B1465F" w:rsidRDefault="00222E14" w:rsidP="00E00167">
      <w:pPr>
        <w:pStyle w:val="FootnoteText"/>
        <w:rPr>
          <w:lang w:val="en-US"/>
        </w:rPr>
      </w:pPr>
      <w:r>
        <w:rPr>
          <w:rStyle w:val="FootnoteReference"/>
        </w:rPr>
        <w:footnoteRef/>
      </w:r>
      <w:r w:rsidR="003D640C">
        <w:t xml:space="preserve"> </w:t>
      </w:r>
      <w:r>
        <w:t>Human</w:t>
      </w:r>
      <w:r w:rsidR="003D640C">
        <w:t xml:space="preserve"> </w:t>
      </w:r>
      <w:r>
        <w:t>Rights</w:t>
      </w:r>
      <w:r w:rsidR="003D640C">
        <w:t xml:space="preserve"> </w:t>
      </w:r>
      <w:r>
        <w:t>Commission.</w:t>
      </w:r>
      <w:r w:rsidR="003D640C">
        <w:t xml:space="preserve"> </w:t>
      </w:r>
      <w:r>
        <w:t>(</w:t>
      </w:r>
      <w:r w:rsidR="00F7224E">
        <w:t>2022</w:t>
      </w:r>
      <w:r w:rsidR="00DA6355">
        <w:t>c</w:t>
      </w:r>
      <w:r>
        <w:t>).</w:t>
      </w:r>
      <w:r w:rsidR="003D640C">
        <w:t xml:space="preserve"> </w:t>
      </w:r>
      <w:r w:rsidRPr="007B139B">
        <w:rPr>
          <w:i/>
          <w:iCs/>
        </w:rPr>
        <w:t>Voices</w:t>
      </w:r>
      <w:r w:rsidR="003D640C" w:rsidRPr="007B139B">
        <w:rPr>
          <w:i/>
          <w:iCs/>
        </w:rPr>
        <w:t xml:space="preserve"> </w:t>
      </w:r>
      <w:r w:rsidRPr="007B139B">
        <w:rPr>
          <w:i/>
          <w:iCs/>
        </w:rPr>
        <w:t>of</w:t>
      </w:r>
      <w:r w:rsidR="003D640C" w:rsidRPr="007B139B">
        <w:rPr>
          <w:i/>
          <w:iCs/>
        </w:rPr>
        <w:t xml:space="preserve"> </w:t>
      </w:r>
      <w:r w:rsidRPr="007B139B">
        <w:rPr>
          <w:i/>
          <w:iCs/>
        </w:rPr>
        <w:t>Pacific</w:t>
      </w:r>
      <w:r w:rsidR="003D640C" w:rsidRPr="007B139B">
        <w:rPr>
          <w:i/>
          <w:iCs/>
        </w:rPr>
        <w:t xml:space="preserve"> </w:t>
      </w:r>
      <w:r w:rsidR="00DA6355" w:rsidRPr="007B139B">
        <w:rPr>
          <w:i/>
          <w:iCs/>
        </w:rPr>
        <w:t>p</w:t>
      </w:r>
      <w:r w:rsidRPr="007B139B">
        <w:rPr>
          <w:i/>
          <w:iCs/>
          <w:lang w:val="en-US"/>
        </w:rPr>
        <w:t>eoples</w:t>
      </w:r>
      <w:r w:rsidR="00DA6355" w:rsidRPr="007B139B">
        <w:rPr>
          <w:i/>
          <w:iCs/>
          <w:lang w:val="en-US"/>
        </w:rPr>
        <w:t>:</w:t>
      </w:r>
      <w:r w:rsidR="003D640C" w:rsidRPr="007B139B" w:rsidDel="00DA6355">
        <w:rPr>
          <w:i/>
          <w:iCs/>
          <w:lang w:val="en-US"/>
        </w:rPr>
        <w:t xml:space="preserve"> </w:t>
      </w:r>
      <w:r w:rsidRPr="007B139B">
        <w:rPr>
          <w:i/>
          <w:iCs/>
          <w:lang w:val="en-US"/>
        </w:rPr>
        <w:t>Executive</w:t>
      </w:r>
      <w:r w:rsidR="003D640C" w:rsidRPr="007B139B">
        <w:rPr>
          <w:i/>
          <w:iCs/>
          <w:lang w:val="en-US"/>
        </w:rPr>
        <w:t xml:space="preserve"> </w:t>
      </w:r>
      <w:r w:rsidR="00DA6355" w:rsidRPr="007B139B">
        <w:rPr>
          <w:i/>
          <w:iCs/>
          <w:lang w:val="en-US"/>
        </w:rPr>
        <w:t>s</w:t>
      </w:r>
      <w:r w:rsidRPr="007B139B">
        <w:rPr>
          <w:i/>
          <w:iCs/>
          <w:lang w:val="en-US"/>
        </w:rPr>
        <w:t>ummary</w:t>
      </w:r>
      <w:r w:rsidR="003D640C" w:rsidRPr="007B139B">
        <w:rPr>
          <w:i/>
          <w:iCs/>
          <w:lang w:val="en-US"/>
        </w:rPr>
        <w:t xml:space="preserve"> </w:t>
      </w:r>
      <w:r w:rsidRPr="007B139B">
        <w:rPr>
          <w:i/>
          <w:iCs/>
          <w:lang w:val="en-US"/>
        </w:rPr>
        <w:t>and</w:t>
      </w:r>
      <w:r w:rsidR="003D640C" w:rsidRPr="007B139B">
        <w:rPr>
          <w:i/>
          <w:iCs/>
          <w:lang w:val="en-US"/>
        </w:rPr>
        <w:t xml:space="preserve"> </w:t>
      </w:r>
      <w:r w:rsidR="00DA6355" w:rsidRPr="007B139B">
        <w:rPr>
          <w:i/>
          <w:iCs/>
          <w:lang w:val="en-US"/>
        </w:rPr>
        <w:t>r</w:t>
      </w:r>
      <w:r w:rsidRPr="007B139B">
        <w:rPr>
          <w:i/>
          <w:iCs/>
          <w:lang w:val="en-US"/>
        </w:rPr>
        <w:t>ecommendations</w:t>
      </w:r>
      <w:r w:rsidR="00DA6355">
        <w:rPr>
          <w:lang w:val="en-US"/>
        </w:rPr>
        <w:t xml:space="preserve"> (</w:t>
      </w:r>
      <w:r>
        <w:rPr>
          <w:lang w:val="en-US"/>
        </w:rPr>
        <w:t>p</w:t>
      </w:r>
      <w:r w:rsidR="00DA6355">
        <w:rPr>
          <w:lang w:val="en-US"/>
        </w:rPr>
        <w:t>.</w:t>
      </w:r>
      <w:r w:rsidR="003D640C">
        <w:rPr>
          <w:lang w:val="en-US"/>
        </w:rPr>
        <w:t xml:space="preserve"> </w:t>
      </w:r>
      <w:r>
        <w:rPr>
          <w:lang w:val="en-US"/>
        </w:rPr>
        <w:t>2</w:t>
      </w:r>
      <w:r w:rsidR="00DA6355">
        <w:rPr>
          <w:lang w:val="en-US"/>
        </w:rPr>
        <w:t>)</w:t>
      </w:r>
      <w:r>
        <w:rPr>
          <w:lang w:val="en-US"/>
        </w:rPr>
        <w:t>.</w:t>
      </w:r>
      <w:r w:rsidR="003D640C">
        <w:rPr>
          <w:lang w:val="en-US"/>
        </w:rPr>
        <w:t xml:space="preserve"> </w:t>
      </w:r>
    </w:p>
  </w:footnote>
  <w:footnote w:id="203">
    <w:p w14:paraId="0E2D5CD1" w14:textId="68553D35" w:rsidR="00222E14" w:rsidRPr="00B1465F" w:rsidRDefault="00222E14" w:rsidP="00E00167">
      <w:pPr>
        <w:pStyle w:val="FootnoteText"/>
        <w:rPr>
          <w:lang w:val="en-US"/>
        </w:rPr>
      </w:pPr>
      <w:r>
        <w:rPr>
          <w:rStyle w:val="FootnoteReference"/>
        </w:rPr>
        <w:footnoteRef/>
      </w:r>
      <w:r w:rsidR="003D640C">
        <w:t xml:space="preserve"> </w:t>
      </w:r>
      <w:r>
        <w:t>Human</w:t>
      </w:r>
      <w:r w:rsidR="003D640C">
        <w:t xml:space="preserve"> </w:t>
      </w:r>
      <w:r>
        <w:t>Rights</w:t>
      </w:r>
      <w:r w:rsidR="003D640C">
        <w:t xml:space="preserve"> </w:t>
      </w:r>
      <w:r>
        <w:t>Commission.</w:t>
      </w:r>
      <w:r w:rsidR="003D640C">
        <w:t xml:space="preserve"> </w:t>
      </w:r>
      <w:r>
        <w:t>(</w:t>
      </w:r>
      <w:r w:rsidR="00F7224E">
        <w:t>2022</w:t>
      </w:r>
      <w:r w:rsidR="00DA6355">
        <w:t>b</w:t>
      </w:r>
      <w:r>
        <w:t>).</w:t>
      </w:r>
      <w:r w:rsidR="003D640C">
        <w:t xml:space="preserve"> </w:t>
      </w:r>
      <w:r w:rsidRPr="007B139B">
        <w:rPr>
          <w:i/>
          <w:iCs/>
        </w:rPr>
        <w:t>Voices</w:t>
      </w:r>
      <w:r w:rsidR="003D640C" w:rsidRPr="007B139B">
        <w:rPr>
          <w:i/>
          <w:iCs/>
        </w:rPr>
        <w:t xml:space="preserve"> </w:t>
      </w:r>
      <w:r w:rsidRPr="007B139B">
        <w:rPr>
          <w:i/>
          <w:iCs/>
        </w:rPr>
        <w:t>of</w:t>
      </w:r>
      <w:r w:rsidR="003D640C" w:rsidRPr="007B139B">
        <w:rPr>
          <w:i/>
          <w:iCs/>
        </w:rPr>
        <w:t xml:space="preserve"> </w:t>
      </w:r>
      <w:r w:rsidRPr="007B139B">
        <w:rPr>
          <w:i/>
          <w:iCs/>
        </w:rPr>
        <w:t>Pacific</w:t>
      </w:r>
      <w:r w:rsidR="003D640C" w:rsidRPr="007B139B">
        <w:rPr>
          <w:i/>
          <w:iCs/>
        </w:rPr>
        <w:t xml:space="preserve"> </w:t>
      </w:r>
      <w:r w:rsidR="00DA6355" w:rsidRPr="007B139B">
        <w:rPr>
          <w:i/>
          <w:iCs/>
        </w:rPr>
        <w:t>p</w:t>
      </w:r>
      <w:r w:rsidRPr="007B139B">
        <w:rPr>
          <w:i/>
          <w:iCs/>
          <w:lang w:val="en-US"/>
        </w:rPr>
        <w:t>eoples</w:t>
      </w:r>
      <w:r w:rsidR="00DA6355" w:rsidRPr="007B139B">
        <w:rPr>
          <w:i/>
          <w:iCs/>
          <w:lang w:val="en-US"/>
        </w:rPr>
        <w:t>:</w:t>
      </w:r>
      <w:r w:rsidR="003D640C" w:rsidRPr="007B139B">
        <w:rPr>
          <w:i/>
          <w:iCs/>
          <w:lang w:val="en-US"/>
        </w:rPr>
        <w:t xml:space="preserve"> </w:t>
      </w:r>
      <w:r w:rsidRPr="007B139B">
        <w:rPr>
          <w:i/>
          <w:iCs/>
          <w:lang w:val="en-US"/>
        </w:rPr>
        <w:t>Eliminating</w:t>
      </w:r>
      <w:r w:rsidR="003D640C" w:rsidRPr="007B139B">
        <w:rPr>
          <w:i/>
          <w:iCs/>
          <w:lang w:val="en-US"/>
        </w:rPr>
        <w:t xml:space="preserve"> </w:t>
      </w:r>
      <w:r w:rsidR="00DA6355" w:rsidRPr="007B139B">
        <w:rPr>
          <w:i/>
          <w:iCs/>
          <w:lang w:val="en-US"/>
        </w:rPr>
        <w:t>p</w:t>
      </w:r>
      <w:r w:rsidRPr="007B139B">
        <w:rPr>
          <w:i/>
          <w:iCs/>
          <w:lang w:val="en-US"/>
        </w:rPr>
        <w:t>ay</w:t>
      </w:r>
      <w:r w:rsidR="003D640C" w:rsidRPr="007B139B">
        <w:rPr>
          <w:i/>
          <w:iCs/>
          <w:lang w:val="en-US"/>
        </w:rPr>
        <w:t xml:space="preserve"> </w:t>
      </w:r>
      <w:r w:rsidR="00DA6355" w:rsidRPr="007B139B">
        <w:rPr>
          <w:i/>
          <w:iCs/>
          <w:lang w:val="en-US"/>
        </w:rPr>
        <w:t>g</w:t>
      </w:r>
      <w:r w:rsidRPr="007B139B">
        <w:rPr>
          <w:i/>
          <w:iCs/>
          <w:lang w:val="en-US"/>
        </w:rPr>
        <w:t>aps</w:t>
      </w:r>
      <w:r w:rsidR="003D640C">
        <w:rPr>
          <w:lang w:val="en-US"/>
        </w:rPr>
        <w:t xml:space="preserve"> </w:t>
      </w:r>
      <w:r w:rsidR="00DA6355">
        <w:rPr>
          <w:lang w:val="en-US"/>
        </w:rPr>
        <w:t>(</w:t>
      </w:r>
      <w:r>
        <w:rPr>
          <w:lang w:val="en-US"/>
        </w:rPr>
        <w:t>p</w:t>
      </w:r>
      <w:r w:rsidR="00DA6355">
        <w:rPr>
          <w:lang w:val="en-US"/>
        </w:rPr>
        <w:t>.</w:t>
      </w:r>
      <w:r w:rsidR="003D640C">
        <w:rPr>
          <w:lang w:val="en-US"/>
        </w:rPr>
        <w:t xml:space="preserve"> </w:t>
      </w:r>
      <w:r>
        <w:rPr>
          <w:lang w:val="en-US"/>
        </w:rPr>
        <w:t>77</w:t>
      </w:r>
      <w:r w:rsidR="00DA6355">
        <w:rPr>
          <w:lang w:val="en-US"/>
        </w:rPr>
        <w:t>)</w:t>
      </w:r>
      <w:r>
        <w:rPr>
          <w:lang w:val="en-US"/>
        </w:rPr>
        <w:t>.</w:t>
      </w:r>
      <w:r w:rsidR="003D640C">
        <w:rPr>
          <w:lang w:val="en-US"/>
        </w:rPr>
        <w:t xml:space="preserve"> </w:t>
      </w:r>
    </w:p>
  </w:footnote>
  <w:footnote w:id="204">
    <w:p w14:paraId="34436560" w14:textId="369485BA" w:rsidR="008B0FA9" w:rsidRPr="00B56A04" w:rsidRDefault="008B0FA9" w:rsidP="00E00167">
      <w:pPr>
        <w:pStyle w:val="FootnoteText"/>
      </w:pPr>
      <w:r>
        <w:rPr>
          <w:rStyle w:val="FootnoteReference"/>
        </w:rPr>
        <w:footnoteRef/>
      </w:r>
      <w:r w:rsidR="003D640C">
        <w:t xml:space="preserve"> </w:t>
      </w:r>
      <w:r w:rsidRPr="00993640">
        <w:rPr>
          <w:shd w:val="clear" w:color="auto" w:fill="FFFFFF"/>
        </w:rPr>
        <w:t>Ministry</w:t>
      </w:r>
      <w:r w:rsidR="003D640C">
        <w:rPr>
          <w:shd w:val="clear" w:color="auto" w:fill="FFFFFF"/>
        </w:rPr>
        <w:t xml:space="preserve"> </w:t>
      </w:r>
      <w:r w:rsidRPr="00993640">
        <w:rPr>
          <w:shd w:val="clear" w:color="auto" w:fill="FFFFFF"/>
        </w:rPr>
        <w:t>for</w:t>
      </w:r>
      <w:r w:rsidR="003D640C">
        <w:rPr>
          <w:shd w:val="clear" w:color="auto" w:fill="FFFFFF"/>
        </w:rPr>
        <w:t xml:space="preserve"> </w:t>
      </w:r>
      <w:r w:rsidRPr="00993640">
        <w:rPr>
          <w:shd w:val="clear" w:color="auto" w:fill="FFFFFF"/>
        </w:rPr>
        <w:t>Ethnic</w:t>
      </w:r>
      <w:r w:rsidR="003D640C">
        <w:rPr>
          <w:shd w:val="clear" w:color="auto" w:fill="FFFFFF"/>
        </w:rPr>
        <w:t xml:space="preserve"> </w:t>
      </w:r>
      <w:r w:rsidRPr="00993640">
        <w:rPr>
          <w:shd w:val="clear" w:color="auto" w:fill="FFFFFF"/>
        </w:rPr>
        <w:t>Communities</w:t>
      </w:r>
      <w:r w:rsidR="003D640C">
        <w:rPr>
          <w:shd w:val="clear" w:color="auto" w:fill="FFFFFF"/>
        </w:rPr>
        <w:t xml:space="preserve"> </w:t>
      </w:r>
      <w:r w:rsidR="00830382">
        <w:rPr>
          <w:shd w:val="clear" w:color="auto" w:fill="FFFFFF"/>
        </w:rPr>
        <w:t xml:space="preserve">| </w:t>
      </w:r>
      <w:r w:rsidRPr="00993640">
        <w:rPr>
          <w:shd w:val="clear" w:color="auto" w:fill="FFFFFF"/>
        </w:rPr>
        <w:t>Te</w:t>
      </w:r>
      <w:r w:rsidR="003D640C">
        <w:rPr>
          <w:shd w:val="clear" w:color="auto" w:fill="FFFFFF"/>
        </w:rPr>
        <w:t xml:space="preserve"> </w:t>
      </w:r>
      <w:r w:rsidRPr="00993640">
        <w:rPr>
          <w:shd w:val="clear" w:color="auto" w:fill="FFFFFF"/>
        </w:rPr>
        <w:t>Tari</w:t>
      </w:r>
      <w:r w:rsidR="003D640C">
        <w:rPr>
          <w:shd w:val="clear" w:color="auto" w:fill="FFFFFF"/>
        </w:rPr>
        <w:t xml:space="preserve"> </w:t>
      </w:r>
      <w:r w:rsidRPr="00993640">
        <w:rPr>
          <w:shd w:val="clear" w:color="auto" w:fill="FFFFFF"/>
        </w:rPr>
        <w:t>Mātāwaka</w:t>
      </w:r>
      <w:r w:rsidR="00830382">
        <w:rPr>
          <w:shd w:val="clear" w:color="auto" w:fill="FFFFFF"/>
        </w:rPr>
        <w:t>,</w:t>
      </w:r>
      <w:r w:rsidR="003D640C">
        <w:rPr>
          <w:shd w:val="clear" w:color="auto" w:fill="FFFFFF"/>
        </w:rPr>
        <w:t xml:space="preserve"> </w:t>
      </w:r>
      <w:r w:rsidRPr="00993640">
        <w:rPr>
          <w:shd w:val="clear" w:color="auto" w:fill="FFFFFF"/>
        </w:rPr>
        <w:t>202</w:t>
      </w:r>
      <w:r w:rsidR="00830382">
        <w:rPr>
          <w:shd w:val="clear" w:color="auto" w:fill="FFFFFF"/>
        </w:rPr>
        <w:t>4.</w:t>
      </w:r>
      <w:r w:rsidR="003D640C">
        <w:rPr>
          <w:shd w:val="clear" w:color="auto" w:fill="FFFFFF"/>
        </w:rPr>
        <w:t xml:space="preserve"> </w:t>
      </w:r>
    </w:p>
  </w:footnote>
  <w:footnote w:id="205">
    <w:p w14:paraId="1894F489" w14:textId="6AAB5CE4" w:rsidR="008B0FA9" w:rsidRPr="005E3050" w:rsidRDefault="008B0FA9" w:rsidP="00E00167">
      <w:pPr>
        <w:pStyle w:val="FootnoteText"/>
      </w:pPr>
      <w:r>
        <w:rPr>
          <w:rStyle w:val="FootnoteReference"/>
        </w:rPr>
        <w:footnoteRef/>
      </w:r>
      <w:r w:rsidR="003D640C">
        <w:t xml:space="preserve"> </w:t>
      </w:r>
      <w:r>
        <w:t>Bal</w:t>
      </w:r>
      <w:r w:rsidR="003D640C">
        <w:t xml:space="preserve"> </w:t>
      </w:r>
      <w:r>
        <w:t>&amp;</w:t>
      </w:r>
      <w:r w:rsidR="003D640C">
        <w:t xml:space="preserve"> </w:t>
      </w:r>
      <w:r>
        <w:t>Divakalala</w:t>
      </w:r>
      <w:r w:rsidR="00AF74F6">
        <w:t>,</w:t>
      </w:r>
      <w:r w:rsidR="003D640C">
        <w:t xml:space="preserve"> </w:t>
      </w:r>
      <w:r>
        <w:t>2022</w:t>
      </w:r>
      <w:r w:rsidR="007F00B8">
        <w:t>;</w:t>
      </w:r>
      <w:r w:rsidR="003D640C">
        <w:rPr>
          <w:shd w:val="clear" w:color="auto" w:fill="FFFFFF"/>
        </w:rPr>
        <w:t xml:space="preserve"> </w:t>
      </w:r>
      <w:r w:rsidRPr="00993640">
        <w:rPr>
          <w:shd w:val="clear" w:color="auto" w:fill="FFFFFF"/>
        </w:rPr>
        <w:t>Tan,</w:t>
      </w:r>
      <w:r w:rsidR="003D640C">
        <w:rPr>
          <w:shd w:val="clear" w:color="auto" w:fill="FFFFFF"/>
        </w:rPr>
        <w:t xml:space="preserve"> </w:t>
      </w:r>
      <w:r w:rsidRPr="00993640">
        <w:rPr>
          <w:shd w:val="clear" w:color="auto" w:fill="FFFFFF"/>
        </w:rPr>
        <w:t>K.,</w:t>
      </w:r>
      <w:r w:rsidR="003D640C">
        <w:rPr>
          <w:shd w:val="clear" w:color="auto" w:fill="FFFFFF"/>
        </w:rPr>
        <w:t xml:space="preserve"> </w:t>
      </w:r>
      <w:r w:rsidRPr="00993640">
        <w:rPr>
          <w:shd w:val="clear" w:color="auto" w:fill="FFFFFF"/>
        </w:rPr>
        <w:t>Roy,</w:t>
      </w:r>
      <w:r w:rsidR="003D640C">
        <w:rPr>
          <w:shd w:val="clear" w:color="auto" w:fill="FFFFFF"/>
        </w:rPr>
        <w:t xml:space="preserve"> </w:t>
      </w:r>
      <w:r w:rsidRPr="00993640">
        <w:rPr>
          <w:shd w:val="clear" w:color="auto" w:fill="FFFFFF"/>
        </w:rPr>
        <w:t>R.,</w:t>
      </w:r>
      <w:r w:rsidR="003D640C">
        <w:rPr>
          <w:shd w:val="clear" w:color="auto" w:fill="FFFFFF"/>
        </w:rPr>
        <w:t xml:space="preserve"> </w:t>
      </w:r>
      <w:r w:rsidRPr="00993640">
        <w:rPr>
          <w:shd w:val="clear" w:color="auto" w:fill="FFFFFF"/>
        </w:rPr>
        <w:t>Ker,</w:t>
      </w:r>
      <w:r w:rsidR="003D640C">
        <w:rPr>
          <w:shd w:val="clear" w:color="auto" w:fill="FFFFFF"/>
        </w:rPr>
        <w:t xml:space="preserve"> </w:t>
      </w:r>
      <w:r w:rsidRPr="00993640">
        <w:rPr>
          <w:shd w:val="clear" w:color="auto" w:fill="FFFFFF"/>
        </w:rPr>
        <w:t>A.,</w:t>
      </w:r>
      <w:r w:rsidR="003D640C">
        <w:rPr>
          <w:shd w:val="clear" w:color="auto" w:fill="FFFFFF"/>
        </w:rPr>
        <w:t xml:space="preserve"> </w:t>
      </w:r>
      <w:r w:rsidRPr="00993640">
        <w:rPr>
          <w:shd w:val="clear" w:color="auto" w:fill="FFFFFF"/>
        </w:rPr>
        <w:t>&amp;</w:t>
      </w:r>
      <w:r w:rsidR="003D640C">
        <w:rPr>
          <w:shd w:val="clear" w:color="auto" w:fill="FFFFFF"/>
        </w:rPr>
        <w:t xml:space="preserve"> </w:t>
      </w:r>
      <w:r w:rsidRPr="00993640">
        <w:rPr>
          <w:shd w:val="clear" w:color="auto" w:fill="FFFFFF"/>
        </w:rPr>
        <w:t>Fenaughty,</w:t>
      </w:r>
      <w:r w:rsidR="003D640C">
        <w:rPr>
          <w:shd w:val="clear" w:color="auto" w:fill="FFFFFF"/>
        </w:rPr>
        <w:t xml:space="preserve"> </w:t>
      </w:r>
      <w:r w:rsidRPr="00993640">
        <w:rPr>
          <w:shd w:val="clear" w:color="auto" w:fill="FFFFFF"/>
        </w:rPr>
        <w:t>J.</w:t>
      </w:r>
      <w:r w:rsidR="003D640C">
        <w:rPr>
          <w:shd w:val="clear" w:color="auto" w:fill="FFFFFF"/>
        </w:rPr>
        <w:t xml:space="preserve"> </w:t>
      </w:r>
      <w:r w:rsidRPr="00993640">
        <w:rPr>
          <w:shd w:val="clear" w:color="auto" w:fill="FFFFFF"/>
        </w:rPr>
        <w:t>(2023).</w:t>
      </w:r>
      <w:r w:rsidR="003D640C">
        <w:rPr>
          <w:shd w:val="clear" w:color="auto" w:fill="FFFFFF"/>
        </w:rPr>
        <w:t xml:space="preserve"> </w:t>
      </w:r>
      <w:r w:rsidRPr="00993640">
        <w:rPr>
          <w:shd w:val="clear" w:color="auto" w:fill="FFFFFF"/>
        </w:rPr>
        <w:t>An</w:t>
      </w:r>
      <w:r w:rsidR="003D640C">
        <w:rPr>
          <w:shd w:val="clear" w:color="auto" w:fill="FFFFFF"/>
        </w:rPr>
        <w:t xml:space="preserve"> </w:t>
      </w:r>
      <w:r w:rsidRPr="00993640">
        <w:rPr>
          <w:shd w:val="clear" w:color="auto" w:fill="FFFFFF"/>
        </w:rPr>
        <w:t>ecological</w:t>
      </w:r>
      <w:r w:rsidR="003D640C">
        <w:rPr>
          <w:shd w:val="clear" w:color="auto" w:fill="FFFFFF"/>
        </w:rPr>
        <w:t xml:space="preserve"> </w:t>
      </w:r>
      <w:r w:rsidRPr="00993640">
        <w:rPr>
          <w:shd w:val="clear" w:color="auto" w:fill="FFFFFF"/>
        </w:rPr>
        <w:t>analysis</w:t>
      </w:r>
      <w:r w:rsidR="003D640C">
        <w:rPr>
          <w:shd w:val="clear" w:color="auto" w:fill="FFFFFF"/>
        </w:rPr>
        <w:t xml:space="preserve"> </w:t>
      </w:r>
      <w:r w:rsidRPr="00993640">
        <w:rPr>
          <w:shd w:val="clear" w:color="auto" w:fill="FFFFFF"/>
        </w:rPr>
        <w:t>of</w:t>
      </w:r>
      <w:r w:rsidR="003D640C">
        <w:rPr>
          <w:shd w:val="clear" w:color="auto" w:fill="FFFFFF"/>
        </w:rPr>
        <w:t xml:space="preserve"> </w:t>
      </w:r>
      <w:r w:rsidRPr="00993640">
        <w:rPr>
          <w:shd w:val="clear" w:color="auto" w:fill="FFFFFF"/>
        </w:rPr>
        <w:t>hope</w:t>
      </w:r>
      <w:r w:rsidR="003D640C">
        <w:rPr>
          <w:shd w:val="clear" w:color="auto" w:fill="FFFFFF"/>
        </w:rPr>
        <w:t xml:space="preserve"> </w:t>
      </w:r>
      <w:r w:rsidRPr="00993640">
        <w:rPr>
          <w:shd w:val="clear" w:color="auto" w:fill="FFFFFF"/>
        </w:rPr>
        <w:t>amongst</w:t>
      </w:r>
      <w:r w:rsidR="003D640C">
        <w:rPr>
          <w:shd w:val="clear" w:color="auto" w:fill="FFFFFF"/>
        </w:rPr>
        <w:t xml:space="preserve"> </w:t>
      </w:r>
      <w:r w:rsidRPr="00993640">
        <w:rPr>
          <w:shd w:val="clear" w:color="auto" w:fill="FFFFFF"/>
        </w:rPr>
        <w:t>Asian</w:t>
      </w:r>
      <w:r w:rsidR="003D640C">
        <w:rPr>
          <w:shd w:val="clear" w:color="auto" w:fill="FFFFFF"/>
        </w:rPr>
        <w:t xml:space="preserve"> </w:t>
      </w:r>
      <w:r w:rsidRPr="00993640">
        <w:rPr>
          <w:shd w:val="clear" w:color="auto" w:fill="FFFFFF"/>
        </w:rPr>
        <w:t>rainbow</w:t>
      </w:r>
      <w:r w:rsidR="003D640C">
        <w:rPr>
          <w:shd w:val="clear" w:color="auto" w:fill="FFFFFF"/>
        </w:rPr>
        <w:t xml:space="preserve"> </w:t>
      </w:r>
      <w:r w:rsidRPr="00993640">
        <w:rPr>
          <w:shd w:val="clear" w:color="auto" w:fill="FFFFFF"/>
        </w:rPr>
        <w:t>young</w:t>
      </w:r>
      <w:r w:rsidR="003D640C">
        <w:rPr>
          <w:shd w:val="clear" w:color="auto" w:fill="FFFFFF"/>
        </w:rPr>
        <w:t xml:space="preserve"> </w:t>
      </w:r>
      <w:r w:rsidRPr="00993640">
        <w:rPr>
          <w:shd w:val="clear" w:color="auto" w:fill="FFFFFF"/>
        </w:rPr>
        <w:t>people</w:t>
      </w:r>
      <w:r w:rsidR="003D640C">
        <w:rPr>
          <w:shd w:val="clear" w:color="auto" w:fill="FFFFFF"/>
        </w:rPr>
        <w:t xml:space="preserve"> </w:t>
      </w:r>
      <w:r w:rsidRPr="00993640">
        <w:rPr>
          <w:shd w:val="clear" w:color="auto" w:fill="FFFFFF"/>
        </w:rPr>
        <w:t>in</w:t>
      </w:r>
      <w:r w:rsidR="003D640C">
        <w:rPr>
          <w:shd w:val="clear" w:color="auto" w:fill="FFFFFF"/>
        </w:rPr>
        <w:t xml:space="preserve"> </w:t>
      </w:r>
      <w:r w:rsidRPr="00993640">
        <w:rPr>
          <w:shd w:val="clear" w:color="auto" w:fill="FFFFFF"/>
        </w:rPr>
        <w:t>Aotearoa</w:t>
      </w:r>
      <w:r w:rsidR="003D640C">
        <w:rPr>
          <w:shd w:val="clear" w:color="auto" w:fill="FFFFFF"/>
        </w:rPr>
        <w:t xml:space="preserve"> </w:t>
      </w:r>
      <w:r w:rsidRPr="00993640">
        <w:rPr>
          <w:shd w:val="clear" w:color="auto" w:fill="FFFFFF"/>
        </w:rPr>
        <w:t>New</w:t>
      </w:r>
      <w:r w:rsidR="003D640C">
        <w:rPr>
          <w:shd w:val="clear" w:color="auto" w:fill="FFFFFF"/>
        </w:rPr>
        <w:t xml:space="preserve"> </w:t>
      </w:r>
      <w:r w:rsidRPr="00993640">
        <w:rPr>
          <w:shd w:val="clear" w:color="auto" w:fill="FFFFFF"/>
        </w:rPr>
        <w:t>Zealand.</w:t>
      </w:r>
      <w:r w:rsidR="003D640C">
        <w:rPr>
          <w:shd w:val="clear" w:color="auto" w:fill="FFFFFF"/>
        </w:rPr>
        <w:t xml:space="preserve"> </w:t>
      </w:r>
      <w:r w:rsidRPr="005B33A1">
        <w:rPr>
          <w:rFonts w:cstheme="minorHAnsi"/>
          <w:i/>
          <w:iCs/>
          <w:color w:val="161719"/>
          <w:shd w:val="clear" w:color="auto" w:fill="FFFFFF"/>
        </w:rPr>
        <w:t>Culture,</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Health</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&amp;</w:t>
      </w:r>
      <w:r w:rsidR="003D640C" w:rsidRPr="005B33A1">
        <w:rPr>
          <w:rFonts w:cstheme="minorHAnsi"/>
          <w:i/>
          <w:iCs/>
          <w:color w:val="161719"/>
          <w:shd w:val="clear" w:color="auto" w:fill="FFFFFF"/>
        </w:rPr>
        <w:t xml:space="preserve"> </w:t>
      </w:r>
      <w:r w:rsidRPr="005B33A1">
        <w:rPr>
          <w:rFonts w:cstheme="minorHAnsi"/>
          <w:i/>
          <w:iCs/>
          <w:color w:val="161719"/>
          <w:shd w:val="clear" w:color="auto" w:fill="FFFFFF"/>
        </w:rPr>
        <w:t>Sexuality</w:t>
      </w:r>
      <w:r w:rsidR="00D63A6E">
        <w:rPr>
          <w:rFonts w:cstheme="minorHAnsi"/>
          <w:color w:val="161719"/>
          <w:shd w:val="clear" w:color="auto" w:fill="FFFFFF"/>
        </w:rPr>
        <w:t xml:space="preserve">, </w:t>
      </w:r>
      <w:r w:rsidR="00D63A6E">
        <w:rPr>
          <w:rFonts w:cstheme="minorHAnsi"/>
          <w:i/>
          <w:iCs/>
          <w:color w:val="161719"/>
          <w:shd w:val="clear" w:color="auto" w:fill="FFFFFF"/>
        </w:rPr>
        <w:t>26</w:t>
      </w:r>
      <w:r w:rsidR="00D63A6E">
        <w:rPr>
          <w:rFonts w:cstheme="minorHAnsi"/>
          <w:color w:val="161719"/>
          <w:shd w:val="clear" w:color="auto" w:fill="FFFFFF"/>
        </w:rPr>
        <w:t>(6), 717–733.</w:t>
      </w:r>
      <w:r w:rsidR="003D640C">
        <w:t xml:space="preserve"> </w:t>
      </w:r>
    </w:p>
  </w:footnote>
  <w:footnote w:id="206">
    <w:p w14:paraId="2575EB63" w14:textId="176FA71F" w:rsidR="008B0FA9" w:rsidRPr="003A3CBE" w:rsidRDefault="008B0FA9" w:rsidP="00E00167">
      <w:pPr>
        <w:pStyle w:val="FootnoteText"/>
      </w:pPr>
      <w:r>
        <w:rPr>
          <w:rStyle w:val="FootnoteReference"/>
        </w:rPr>
        <w:footnoteRef/>
      </w:r>
      <w:r w:rsidR="003D640C">
        <w:t xml:space="preserve"> </w:t>
      </w:r>
      <w:r w:rsidRPr="00724E23">
        <w:rPr>
          <w:shd w:val="clear" w:color="auto" w:fill="FFFFFF"/>
        </w:rPr>
        <w:t>Ministry</w:t>
      </w:r>
      <w:r w:rsidR="003D640C">
        <w:rPr>
          <w:shd w:val="clear" w:color="auto" w:fill="FFFFFF"/>
        </w:rPr>
        <w:t xml:space="preserve"> </w:t>
      </w:r>
      <w:r w:rsidRPr="00724E23">
        <w:rPr>
          <w:shd w:val="clear" w:color="auto" w:fill="FFFFFF"/>
        </w:rPr>
        <w:t>for</w:t>
      </w:r>
      <w:r w:rsidR="003D640C">
        <w:rPr>
          <w:shd w:val="clear" w:color="auto" w:fill="FFFFFF"/>
        </w:rPr>
        <w:t xml:space="preserve"> </w:t>
      </w:r>
      <w:r w:rsidRPr="00724E23">
        <w:rPr>
          <w:shd w:val="clear" w:color="auto" w:fill="FFFFFF"/>
        </w:rPr>
        <w:t>Ethnic</w:t>
      </w:r>
      <w:r w:rsidR="003D640C">
        <w:rPr>
          <w:shd w:val="clear" w:color="auto" w:fill="FFFFFF"/>
        </w:rPr>
        <w:t xml:space="preserve"> </w:t>
      </w:r>
      <w:r w:rsidRPr="00724E23">
        <w:rPr>
          <w:shd w:val="clear" w:color="auto" w:fill="FFFFFF"/>
        </w:rPr>
        <w:t>Communities</w:t>
      </w:r>
      <w:r w:rsidR="003D640C">
        <w:rPr>
          <w:shd w:val="clear" w:color="auto" w:fill="FFFFFF"/>
        </w:rPr>
        <w:t xml:space="preserve"> </w:t>
      </w:r>
      <w:r w:rsidR="00D63A6E">
        <w:rPr>
          <w:shd w:val="clear" w:color="auto" w:fill="FFFFFF"/>
        </w:rPr>
        <w:t xml:space="preserve">| </w:t>
      </w:r>
      <w:r w:rsidRPr="00724E23">
        <w:rPr>
          <w:shd w:val="clear" w:color="auto" w:fill="FFFFFF"/>
        </w:rPr>
        <w:t>Te</w:t>
      </w:r>
      <w:r w:rsidR="003D640C">
        <w:rPr>
          <w:shd w:val="clear" w:color="auto" w:fill="FFFFFF"/>
        </w:rPr>
        <w:t xml:space="preserve"> </w:t>
      </w:r>
      <w:r w:rsidRPr="00724E23">
        <w:rPr>
          <w:shd w:val="clear" w:color="auto" w:fill="FFFFFF"/>
        </w:rPr>
        <w:t>Tari</w:t>
      </w:r>
      <w:r w:rsidR="003D640C">
        <w:rPr>
          <w:shd w:val="clear" w:color="auto" w:fill="FFFFFF"/>
        </w:rPr>
        <w:t xml:space="preserve"> </w:t>
      </w:r>
      <w:r w:rsidRPr="00724E23">
        <w:rPr>
          <w:shd w:val="clear" w:color="auto" w:fill="FFFFFF"/>
        </w:rPr>
        <w:t>Mātāwaka</w:t>
      </w:r>
      <w:r w:rsidR="00D63A6E">
        <w:rPr>
          <w:shd w:val="clear" w:color="auto" w:fill="FFFFFF"/>
        </w:rPr>
        <w:t>,</w:t>
      </w:r>
      <w:r w:rsidR="003D640C">
        <w:rPr>
          <w:shd w:val="clear" w:color="auto" w:fill="FFFFFF"/>
        </w:rPr>
        <w:t xml:space="preserve"> </w:t>
      </w:r>
      <w:r w:rsidRPr="00724E23">
        <w:rPr>
          <w:shd w:val="clear" w:color="auto" w:fill="FFFFFF"/>
        </w:rPr>
        <w:t>2023</w:t>
      </w:r>
      <w:r>
        <w:t>.</w:t>
      </w:r>
      <w:r w:rsidR="003D640C">
        <w:t xml:space="preserve"> </w:t>
      </w:r>
    </w:p>
  </w:footnote>
  <w:footnote w:id="207">
    <w:p w14:paraId="37D3F09C" w14:textId="31187BD5" w:rsidR="008B0FA9" w:rsidRPr="004E1608" w:rsidRDefault="008B0FA9" w:rsidP="00E00167">
      <w:pPr>
        <w:pStyle w:val="FootnoteText"/>
        <w:rPr>
          <w:rStyle w:val="FootnoteReference"/>
          <w:vertAlign w:val="baseline"/>
        </w:rPr>
      </w:pPr>
      <w:r w:rsidRPr="003A3CBE">
        <w:rPr>
          <w:rStyle w:val="FootnoteReference"/>
          <w:rFonts w:cstheme="minorHAnsi"/>
        </w:rPr>
        <w:footnoteRef/>
      </w:r>
      <w:r w:rsidR="003D640C">
        <w:rPr>
          <w:rStyle w:val="FootnoteReference"/>
          <w:rFonts w:cstheme="minorHAnsi"/>
        </w:rPr>
        <w:t xml:space="preserve"> </w:t>
      </w:r>
      <w:r w:rsidRPr="00993640">
        <w:rPr>
          <w:rFonts w:cstheme="minorHAnsi"/>
          <w:color w:val="161719"/>
          <w:shd w:val="clear" w:color="auto" w:fill="FFFFFF"/>
        </w:rPr>
        <w:t>Stats</w:t>
      </w:r>
      <w:r w:rsidR="003D640C">
        <w:rPr>
          <w:rFonts w:cstheme="minorHAnsi"/>
          <w:color w:val="161719"/>
          <w:shd w:val="clear" w:color="auto" w:fill="FFFFFF"/>
        </w:rPr>
        <w:t xml:space="preserve"> </w:t>
      </w:r>
      <w:r w:rsidRPr="00993640">
        <w:rPr>
          <w:rFonts w:cstheme="minorHAnsi"/>
          <w:color w:val="161719"/>
          <w:shd w:val="clear" w:color="auto" w:fill="FFFFFF"/>
        </w:rPr>
        <w:t>NZ</w:t>
      </w:r>
      <w:r w:rsidR="00D63A6E">
        <w:rPr>
          <w:rFonts w:cstheme="minorHAnsi"/>
          <w:color w:val="161719"/>
          <w:shd w:val="clear" w:color="auto" w:fill="FFFFFF"/>
        </w:rPr>
        <w:t>.</w:t>
      </w:r>
      <w:r w:rsidR="003D640C">
        <w:rPr>
          <w:rFonts w:cstheme="minorHAnsi"/>
          <w:color w:val="161719"/>
          <w:shd w:val="clear" w:color="auto" w:fill="FFFFFF"/>
        </w:rPr>
        <w:t xml:space="preserve"> </w:t>
      </w:r>
      <w:r w:rsidR="00D63A6E">
        <w:rPr>
          <w:rFonts w:cstheme="minorHAnsi"/>
          <w:color w:val="161719"/>
          <w:shd w:val="clear" w:color="auto" w:fill="FFFFFF"/>
        </w:rPr>
        <w:t>(</w:t>
      </w:r>
      <w:r w:rsidR="00D63A6E" w:rsidRPr="00D63A6E">
        <w:rPr>
          <w:rFonts w:cstheme="minorHAnsi"/>
          <w:shd w:val="clear" w:color="auto" w:fill="FFFFFF"/>
        </w:rPr>
        <w:t>2020</w:t>
      </w:r>
      <w:r w:rsidR="00D63A6E">
        <w:rPr>
          <w:rFonts w:cstheme="minorHAnsi"/>
          <w:shd w:val="clear" w:color="auto" w:fill="FFFFFF"/>
        </w:rPr>
        <w:t>)</w:t>
      </w:r>
      <w:r w:rsidR="00D200F4">
        <w:rPr>
          <w:rFonts w:cstheme="minorHAnsi"/>
          <w:color w:val="161719"/>
          <w:shd w:val="clear" w:color="auto" w:fill="FFFFFF"/>
        </w:rPr>
        <w:t>.</w:t>
      </w:r>
      <w:r w:rsidR="003D640C">
        <w:rPr>
          <w:rFonts w:cstheme="minorHAnsi"/>
          <w:color w:val="161719"/>
          <w:shd w:val="clear" w:color="auto" w:fill="FFFFFF"/>
        </w:rPr>
        <w:t xml:space="preserve"> </w:t>
      </w:r>
      <w:r w:rsidR="00D200F4" w:rsidRPr="005B33A1">
        <w:rPr>
          <w:rFonts w:cstheme="minorHAnsi"/>
          <w:i/>
          <w:iCs/>
          <w:color w:val="161719"/>
          <w:shd w:val="clear" w:color="auto" w:fill="FFFFFF"/>
        </w:rPr>
        <w:t>Ethnic</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group</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summaries</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reveal</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New</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Zealand’s</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multicultural</w:t>
      </w:r>
      <w:r w:rsidR="003D640C" w:rsidRPr="005B33A1">
        <w:rPr>
          <w:rFonts w:cstheme="minorHAnsi"/>
          <w:i/>
          <w:iCs/>
          <w:color w:val="161719"/>
          <w:shd w:val="clear" w:color="auto" w:fill="FFFFFF"/>
        </w:rPr>
        <w:t xml:space="preserve"> </w:t>
      </w:r>
      <w:r w:rsidR="00D200F4" w:rsidRPr="005B33A1">
        <w:rPr>
          <w:rFonts w:cstheme="minorHAnsi"/>
          <w:i/>
          <w:iCs/>
          <w:color w:val="161719"/>
          <w:shd w:val="clear" w:color="auto" w:fill="FFFFFF"/>
        </w:rPr>
        <w:t>make</w:t>
      </w:r>
      <w:r w:rsidR="00E20A72" w:rsidRPr="005B33A1">
        <w:rPr>
          <w:rFonts w:cstheme="minorHAnsi"/>
          <w:i/>
          <w:iCs/>
          <w:color w:val="161719"/>
          <w:shd w:val="clear" w:color="auto" w:fill="FFFFFF"/>
        </w:rPr>
        <w:t>-up</w:t>
      </w:r>
      <w:r w:rsidR="00E20A72" w:rsidDel="00D63A6E">
        <w:rPr>
          <w:rFonts w:cstheme="minorHAnsi"/>
          <w:color w:val="161719"/>
          <w:shd w:val="clear" w:color="auto" w:fill="FFFFFF"/>
        </w:rPr>
        <w:t>.</w:t>
      </w:r>
    </w:p>
  </w:footnote>
  <w:footnote w:id="208">
    <w:p w14:paraId="284609CC" w14:textId="762AEF0C" w:rsidR="008B0FA9" w:rsidRPr="00AA43E7" w:rsidRDefault="008B0FA9" w:rsidP="00E00167">
      <w:pPr>
        <w:pStyle w:val="FootnoteText"/>
        <w:rPr>
          <w:lang w:val="mi-NZ"/>
        </w:rPr>
      </w:pPr>
      <w:r>
        <w:rPr>
          <w:rStyle w:val="FootnoteReference"/>
        </w:rPr>
        <w:footnoteRef/>
      </w:r>
      <w:r w:rsidR="003D640C" w:rsidDel="000A0784">
        <w:t xml:space="preserve"> </w:t>
      </w:r>
      <w:r>
        <w:rPr>
          <w:lang w:val="mi-NZ"/>
        </w:rPr>
        <w:t>Asian,</w:t>
      </w:r>
      <w:r w:rsidR="003D640C">
        <w:rPr>
          <w:lang w:val="mi-NZ"/>
        </w:rPr>
        <w:t xml:space="preserve"> </w:t>
      </w:r>
      <w:r>
        <w:rPr>
          <w:lang w:val="mi-NZ"/>
        </w:rPr>
        <w:t>Middle</w:t>
      </w:r>
      <w:r w:rsidR="003D640C">
        <w:rPr>
          <w:lang w:val="mi-NZ"/>
        </w:rPr>
        <w:t xml:space="preserve"> </w:t>
      </w:r>
      <w:r>
        <w:rPr>
          <w:lang w:val="mi-NZ"/>
        </w:rPr>
        <w:t>Eastern,</w:t>
      </w:r>
      <w:r w:rsidR="003D640C">
        <w:rPr>
          <w:lang w:val="mi-NZ"/>
        </w:rPr>
        <w:t xml:space="preserve"> </w:t>
      </w:r>
      <w:r>
        <w:rPr>
          <w:lang w:val="mi-NZ"/>
        </w:rPr>
        <w:t>Latin</w:t>
      </w:r>
      <w:r w:rsidR="003D640C">
        <w:rPr>
          <w:lang w:val="mi-NZ"/>
        </w:rPr>
        <w:t xml:space="preserve"> </w:t>
      </w:r>
      <w:r>
        <w:rPr>
          <w:lang w:val="mi-NZ"/>
        </w:rPr>
        <w:t>American,</w:t>
      </w:r>
      <w:r w:rsidR="003D640C">
        <w:rPr>
          <w:lang w:val="mi-NZ"/>
        </w:rPr>
        <w:t xml:space="preserve"> </w:t>
      </w:r>
      <w:r>
        <w:rPr>
          <w:lang w:val="mi-NZ"/>
        </w:rPr>
        <w:t>African</w:t>
      </w:r>
      <w:r w:rsidR="000A0784">
        <w:rPr>
          <w:lang w:val="mi-NZ"/>
        </w:rPr>
        <w:t>,</w:t>
      </w:r>
      <w:r w:rsidR="003D640C">
        <w:rPr>
          <w:lang w:val="mi-NZ"/>
        </w:rPr>
        <w:t xml:space="preserve"> </w:t>
      </w:r>
      <w:r>
        <w:rPr>
          <w:lang w:val="mi-NZ"/>
        </w:rPr>
        <w:t>or</w:t>
      </w:r>
      <w:r w:rsidR="003D640C">
        <w:rPr>
          <w:lang w:val="mi-NZ"/>
        </w:rPr>
        <w:t xml:space="preserve"> </w:t>
      </w:r>
      <w:r>
        <w:rPr>
          <w:lang w:val="mi-NZ"/>
        </w:rPr>
        <w:t>another</w:t>
      </w:r>
      <w:r w:rsidR="003D640C">
        <w:rPr>
          <w:lang w:val="mi-NZ"/>
        </w:rPr>
        <w:t xml:space="preserve"> </w:t>
      </w:r>
      <w:r>
        <w:rPr>
          <w:lang w:val="mi-NZ"/>
        </w:rPr>
        <w:t>ethnicity</w:t>
      </w:r>
      <w:r w:rsidR="003D640C">
        <w:rPr>
          <w:lang w:val="mi-NZ"/>
        </w:rPr>
        <w:t xml:space="preserve"> </w:t>
      </w:r>
      <w:r>
        <w:rPr>
          <w:lang w:val="mi-NZ"/>
        </w:rPr>
        <w:t>but</w:t>
      </w:r>
      <w:r w:rsidR="003D640C">
        <w:rPr>
          <w:lang w:val="mi-NZ"/>
        </w:rPr>
        <w:t xml:space="preserve"> </w:t>
      </w:r>
      <w:r>
        <w:rPr>
          <w:lang w:val="mi-NZ"/>
        </w:rPr>
        <w:t>not</w:t>
      </w:r>
      <w:r w:rsidR="003D640C">
        <w:rPr>
          <w:lang w:val="mi-NZ"/>
        </w:rPr>
        <w:t xml:space="preserve"> </w:t>
      </w:r>
      <w:r>
        <w:rPr>
          <w:lang w:val="mi-NZ"/>
        </w:rPr>
        <w:t>including</w:t>
      </w:r>
      <w:r w:rsidR="003D640C">
        <w:rPr>
          <w:lang w:val="mi-NZ"/>
        </w:rPr>
        <w:t xml:space="preserve"> </w:t>
      </w:r>
      <w:r>
        <w:rPr>
          <w:lang w:val="mi-NZ"/>
        </w:rPr>
        <w:t>Māori</w:t>
      </w:r>
      <w:r w:rsidR="003D640C">
        <w:rPr>
          <w:lang w:val="mi-NZ"/>
        </w:rPr>
        <w:t xml:space="preserve"> </w:t>
      </w:r>
      <w:r>
        <w:rPr>
          <w:lang w:val="mi-NZ"/>
        </w:rPr>
        <w:t>or</w:t>
      </w:r>
      <w:r w:rsidR="003D640C">
        <w:rPr>
          <w:lang w:val="mi-NZ"/>
        </w:rPr>
        <w:t xml:space="preserve"> </w:t>
      </w:r>
      <w:r>
        <w:rPr>
          <w:lang w:val="mi-NZ"/>
        </w:rPr>
        <w:t>Pacific</w:t>
      </w:r>
      <w:r w:rsidR="003D640C">
        <w:rPr>
          <w:lang w:val="mi-NZ"/>
        </w:rPr>
        <w:t xml:space="preserve"> </w:t>
      </w:r>
      <w:r>
        <w:rPr>
          <w:lang w:val="mi-NZ"/>
        </w:rPr>
        <w:t>ethnicities.</w:t>
      </w:r>
    </w:p>
  </w:footnote>
  <w:footnote w:id="209">
    <w:p w14:paraId="483C3A4F" w14:textId="6A7E9B61" w:rsidR="008B0FA9" w:rsidRPr="004E1608" w:rsidRDefault="008B0FA9" w:rsidP="00E00167">
      <w:pPr>
        <w:pStyle w:val="FootnoteText"/>
        <w:rPr>
          <w:rStyle w:val="FootnoteReference"/>
        </w:rPr>
      </w:pPr>
      <w:r w:rsidRPr="00DB650C">
        <w:rPr>
          <w:rStyle w:val="FootnoteReference"/>
        </w:rPr>
        <w:footnoteRef/>
      </w:r>
      <w:r w:rsidR="003D640C">
        <w:rPr>
          <w:rStyle w:val="FootnoteReference"/>
          <w:vertAlign w:val="baseline"/>
        </w:rPr>
        <w:t xml:space="preserve"> </w:t>
      </w:r>
      <w:r>
        <w:t>Stats</w:t>
      </w:r>
      <w:r w:rsidR="003D640C">
        <w:t xml:space="preserve"> </w:t>
      </w:r>
      <w:r>
        <w:t>NZ</w:t>
      </w:r>
      <w:r w:rsidR="003D640C">
        <w:t xml:space="preserve"> </w:t>
      </w:r>
      <w:r w:rsidR="000A0784">
        <w:t>(</w:t>
      </w:r>
      <w:r w:rsidR="00046CCA">
        <w:t>2022</w:t>
      </w:r>
      <w:r w:rsidR="000A0784">
        <w:t>)</w:t>
      </w:r>
      <w:r w:rsidR="00046CCA">
        <w:t>.</w:t>
      </w:r>
    </w:p>
  </w:footnote>
  <w:footnote w:id="210">
    <w:p w14:paraId="7C5095EB" w14:textId="161BC171" w:rsidR="008B0FA9" w:rsidRPr="00993640" w:rsidRDefault="008B0FA9" w:rsidP="00E00167">
      <w:pPr>
        <w:pStyle w:val="FootnoteText"/>
        <w:rPr>
          <w:rStyle w:val="FootnoteReference"/>
          <w:highlight w:val="green"/>
          <w:vertAlign w:val="baseline"/>
        </w:rPr>
      </w:pPr>
      <w:r w:rsidRPr="00FA366A">
        <w:rPr>
          <w:rStyle w:val="FootnoteReference"/>
        </w:rPr>
        <w:footnoteRef/>
      </w:r>
      <w:r w:rsidR="003D640C">
        <w:rPr>
          <w:rFonts w:cstheme="minorHAnsi"/>
          <w:color w:val="161719"/>
          <w:shd w:val="clear" w:color="auto" w:fill="FFFFFF"/>
        </w:rPr>
        <w:t xml:space="preserve"> </w:t>
      </w:r>
      <w:r w:rsidRPr="00FA366A">
        <w:rPr>
          <w:rFonts w:cstheme="minorHAnsi"/>
          <w:color w:val="161719"/>
          <w:shd w:val="clear" w:color="auto" w:fill="FFFFFF"/>
        </w:rPr>
        <w:t>Ministry</w:t>
      </w:r>
      <w:r w:rsidR="003D640C">
        <w:rPr>
          <w:rFonts w:cstheme="minorHAnsi"/>
          <w:color w:val="161719"/>
          <w:shd w:val="clear" w:color="auto" w:fill="FFFFFF"/>
        </w:rPr>
        <w:t xml:space="preserve"> </w:t>
      </w:r>
      <w:r w:rsidRPr="00FA366A">
        <w:rPr>
          <w:rFonts w:cstheme="minorHAnsi"/>
          <w:color w:val="161719"/>
          <w:shd w:val="clear" w:color="auto" w:fill="FFFFFF"/>
        </w:rPr>
        <w:t>for</w:t>
      </w:r>
      <w:r w:rsidR="003D640C">
        <w:rPr>
          <w:rFonts w:cstheme="minorHAnsi"/>
          <w:color w:val="161719"/>
          <w:shd w:val="clear" w:color="auto" w:fill="FFFFFF"/>
        </w:rPr>
        <w:t xml:space="preserve"> </w:t>
      </w:r>
      <w:r w:rsidRPr="00FA366A">
        <w:rPr>
          <w:rFonts w:cstheme="minorHAnsi"/>
          <w:color w:val="161719"/>
          <w:shd w:val="clear" w:color="auto" w:fill="FFFFFF"/>
        </w:rPr>
        <w:t>Ethnic</w:t>
      </w:r>
      <w:r w:rsidR="003D640C">
        <w:rPr>
          <w:rFonts w:cstheme="minorHAnsi"/>
          <w:color w:val="161719"/>
          <w:shd w:val="clear" w:color="auto" w:fill="FFFFFF"/>
        </w:rPr>
        <w:t xml:space="preserve"> </w:t>
      </w:r>
      <w:r w:rsidRPr="00FA366A">
        <w:rPr>
          <w:rFonts w:cstheme="minorHAnsi"/>
          <w:color w:val="161719"/>
          <w:shd w:val="clear" w:color="auto" w:fill="FFFFFF"/>
        </w:rPr>
        <w:t>Communities</w:t>
      </w:r>
      <w:r w:rsidR="003D640C">
        <w:rPr>
          <w:rFonts w:cstheme="minorHAnsi"/>
          <w:color w:val="161719"/>
          <w:shd w:val="clear" w:color="auto" w:fill="FFFFFF"/>
        </w:rPr>
        <w:t xml:space="preserve"> </w:t>
      </w:r>
      <w:r w:rsidR="000A0784">
        <w:rPr>
          <w:rFonts w:cstheme="minorHAnsi"/>
          <w:color w:val="161719"/>
          <w:shd w:val="clear" w:color="auto" w:fill="FFFFFF"/>
        </w:rPr>
        <w:t xml:space="preserve">| </w:t>
      </w:r>
      <w:r w:rsidRPr="00FA366A">
        <w:rPr>
          <w:rFonts w:cstheme="minorHAnsi"/>
          <w:color w:val="161719"/>
          <w:shd w:val="clear" w:color="auto" w:fill="FFFFFF"/>
        </w:rPr>
        <w:t>Te</w:t>
      </w:r>
      <w:r w:rsidR="003D640C">
        <w:rPr>
          <w:rFonts w:cstheme="minorHAnsi"/>
          <w:color w:val="161719"/>
          <w:shd w:val="clear" w:color="auto" w:fill="FFFFFF"/>
        </w:rPr>
        <w:t xml:space="preserve"> </w:t>
      </w:r>
      <w:r w:rsidRPr="00FA366A">
        <w:rPr>
          <w:rFonts w:cstheme="minorHAnsi"/>
          <w:color w:val="161719"/>
          <w:shd w:val="clear" w:color="auto" w:fill="FFFFFF"/>
        </w:rPr>
        <w:t>Tari</w:t>
      </w:r>
      <w:r w:rsidR="003D640C">
        <w:rPr>
          <w:rFonts w:cstheme="minorHAnsi"/>
          <w:color w:val="161719"/>
          <w:shd w:val="clear" w:color="auto" w:fill="FFFFFF"/>
        </w:rPr>
        <w:t xml:space="preserve"> </w:t>
      </w:r>
      <w:r w:rsidRPr="00FA366A">
        <w:rPr>
          <w:rFonts w:cstheme="minorHAnsi"/>
          <w:color w:val="161719"/>
          <w:shd w:val="clear" w:color="auto" w:fill="FFFFFF"/>
        </w:rPr>
        <w:t>Mātāwaka</w:t>
      </w:r>
      <w:r w:rsidRPr="00FA366A">
        <w:rPr>
          <w:rStyle w:val="FootnoteReference"/>
          <w:vertAlign w:val="baseline"/>
        </w:rPr>
        <w:t>.</w:t>
      </w:r>
      <w:r w:rsidR="003D640C">
        <w:rPr>
          <w:rStyle w:val="FootnoteReference"/>
          <w:vertAlign w:val="baseline"/>
        </w:rPr>
        <w:t xml:space="preserve"> </w:t>
      </w:r>
      <w:r w:rsidRPr="00FA366A">
        <w:rPr>
          <w:rStyle w:val="FootnoteReference"/>
          <w:vertAlign w:val="baseline"/>
        </w:rPr>
        <w:t>(2022).</w:t>
      </w:r>
      <w:r w:rsidR="003D640C">
        <w:rPr>
          <w:rStyle w:val="FootnoteReference"/>
          <w:vertAlign w:val="baseline"/>
        </w:rPr>
        <w:t xml:space="preserve"> </w:t>
      </w:r>
      <w:r w:rsidR="000A0784" w:rsidRPr="005B33A1">
        <w:rPr>
          <w:i/>
          <w:iCs/>
        </w:rPr>
        <w:t xml:space="preserve">Strategy 2022–2025: </w:t>
      </w:r>
      <w:r w:rsidRPr="005B33A1">
        <w:rPr>
          <w:rStyle w:val="FootnoteReference"/>
          <w:i/>
          <w:iCs/>
          <w:vertAlign w:val="baseline"/>
        </w:rPr>
        <w:t>A</w:t>
      </w:r>
      <w:r w:rsidR="003D640C" w:rsidRPr="005B33A1">
        <w:rPr>
          <w:rStyle w:val="FootnoteReference"/>
          <w:i/>
          <w:iCs/>
          <w:vertAlign w:val="baseline"/>
        </w:rPr>
        <w:t xml:space="preserve"> </w:t>
      </w:r>
      <w:r w:rsidRPr="005B33A1">
        <w:rPr>
          <w:rStyle w:val="FootnoteReference"/>
          <w:i/>
          <w:iCs/>
          <w:vertAlign w:val="baseline"/>
        </w:rPr>
        <w:t>pathway</w:t>
      </w:r>
      <w:r w:rsidR="003D640C" w:rsidRPr="005B33A1">
        <w:rPr>
          <w:rStyle w:val="FootnoteReference"/>
          <w:i/>
          <w:iCs/>
          <w:vertAlign w:val="baseline"/>
        </w:rPr>
        <w:t xml:space="preserve"> </w:t>
      </w:r>
      <w:r w:rsidRPr="005B33A1">
        <w:rPr>
          <w:rStyle w:val="FootnoteReference"/>
          <w:i/>
          <w:iCs/>
          <w:vertAlign w:val="baseline"/>
        </w:rPr>
        <w:t>to</w:t>
      </w:r>
      <w:r w:rsidR="003D640C" w:rsidRPr="005B33A1">
        <w:rPr>
          <w:rStyle w:val="FootnoteReference"/>
          <w:i/>
          <w:iCs/>
          <w:vertAlign w:val="baseline"/>
        </w:rPr>
        <w:t xml:space="preserve"> </w:t>
      </w:r>
      <w:r w:rsidRPr="005B33A1">
        <w:rPr>
          <w:rStyle w:val="FootnoteReference"/>
          <w:i/>
          <w:iCs/>
          <w:vertAlign w:val="baseline"/>
        </w:rPr>
        <w:t>an</w:t>
      </w:r>
      <w:r w:rsidR="003D640C" w:rsidRPr="005B33A1">
        <w:rPr>
          <w:rStyle w:val="FootnoteReference"/>
          <w:i/>
          <w:iCs/>
          <w:vertAlign w:val="baseline"/>
        </w:rPr>
        <w:t xml:space="preserve"> </w:t>
      </w:r>
      <w:r w:rsidRPr="005B33A1">
        <w:rPr>
          <w:rStyle w:val="FootnoteReference"/>
          <w:i/>
          <w:iCs/>
          <w:vertAlign w:val="baseline"/>
        </w:rPr>
        <w:t>Aotearoa</w:t>
      </w:r>
      <w:r w:rsidR="003D640C" w:rsidRPr="005B33A1">
        <w:rPr>
          <w:rStyle w:val="FootnoteReference"/>
          <w:i/>
          <w:iCs/>
          <w:vertAlign w:val="baseline"/>
        </w:rPr>
        <w:t xml:space="preserve"> </w:t>
      </w:r>
      <w:r w:rsidRPr="005B33A1">
        <w:rPr>
          <w:i/>
          <w:iCs/>
        </w:rPr>
        <w:t>w</w:t>
      </w:r>
      <w:r w:rsidRPr="005B33A1">
        <w:rPr>
          <w:rStyle w:val="FootnoteReference"/>
          <w:i/>
          <w:iCs/>
          <w:vertAlign w:val="baseline"/>
        </w:rPr>
        <w:t>here</w:t>
      </w:r>
      <w:r w:rsidR="003D640C" w:rsidRPr="005B33A1">
        <w:rPr>
          <w:rStyle w:val="FootnoteReference"/>
          <w:i/>
          <w:iCs/>
          <w:vertAlign w:val="baseline"/>
        </w:rPr>
        <w:t xml:space="preserve"> </w:t>
      </w:r>
      <w:r w:rsidRPr="005B33A1">
        <w:rPr>
          <w:i/>
          <w:iCs/>
        </w:rPr>
        <w:t>e</w:t>
      </w:r>
      <w:r w:rsidRPr="005B33A1">
        <w:rPr>
          <w:rStyle w:val="FootnoteReference"/>
          <w:i/>
          <w:iCs/>
          <w:vertAlign w:val="baseline"/>
        </w:rPr>
        <w:t>thnic</w:t>
      </w:r>
      <w:r w:rsidR="003D640C" w:rsidRPr="005B33A1">
        <w:rPr>
          <w:rStyle w:val="FootnoteReference"/>
          <w:i/>
          <w:iCs/>
          <w:vertAlign w:val="baseline"/>
        </w:rPr>
        <w:t xml:space="preserve"> </w:t>
      </w:r>
      <w:r w:rsidRPr="005B33A1">
        <w:rPr>
          <w:i/>
          <w:iCs/>
        </w:rPr>
        <w:t>c</w:t>
      </w:r>
      <w:r w:rsidRPr="005B33A1">
        <w:rPr>
          <w:rStyle w:val="FootnoteReference"/>
          <w:i/>
          <w:iCs/>
          <w:vertAlign w:val="baseline"/>
        </w:rPr>
        <w:t>ommunities</w:t>
      </w:r>
      <w:r w:rsidR="003D640C" w:rsidRPr="005B33A1">
        <w:rPr>
          <w:rStyle w:val="FootnoteReference"/>
          <w:i/>
          <w:iCs/>
          <w:vertAlign w:val="baseline"/>
        </w:rPr>
        <w:t xml:space="preserve"> </w:t>
      </w:r>
      <w:r w:rsidRPr="005B33A1">
        <w:rPr>
          <w:rStyle w:val="FootnoteReference"/>
          <w:i/>
          <w:iCs/>
          <w:vertAlign w:val="baseline"/>
        </w:rPr>
        <w:t>feel</w:t>
      </w:r>
      <w:r w:rsidR="003D640C" w:rsidRPr="005B33A1">
        <w:rPr>
          <w:rStyle w:val="FootnoteReference"/>
          <w:i/>
          <w:iCs/>
          <w:vertAlign w:val="baseline"/>
        </w:rPr>
        <w:t xml:space="preserve"> </w:t>
      </w:r>
      <w:r w:rsidRPr="005B33A1">
        <w:rPr>
          <w:rStyle w:val="FootnoteReference"/>
          <w:i/>
          <w:iCs/>
          <w:vertAlign w:val="baseline"/>
        </w:rPr>
        <w:t>at</w:t>
      </w:r>
      <w:r w:rsidR="003D640C" w:rsidRPr="005B33A1">
        <w:rPr>
          <w:rStyle w:val="FootnoteReference"/>
          <w:i/>
          <w:iCs/>
          <w:vertAlign w:val="baseline"/>
        </w:rPr>
        <w:t xml:space="preserve"> </w:t>
      </w:r>
      <w:r w:rsidRPr="005B33A1">
        <w:rPr>
          <w:rStyle w:val="FootnoteReference"/>
          <w:i/>
          <w:iCs/>
          <w:vertAlign w:val="baseline"/>
        </w:rPr>
        <w:t>home</w:t>
      </w:r>
      <w:r w:rsidRPr="00FA366A">
        <w:rPr>
          <w:rStyle w:val="FootnoteReference"/>
          <w:vertAlign w:val="baseline"/>
        </w:rPr>
        <w:t>.</w:t>
      </w:r>
      <w:r w:rsidR="003D640C">
        <w:rPr>
          <w:rStyle w:val="FootnoteReference"/>
          <w:vertAlign w:val="baseline"/>
        </w:rPr>
        <w:t xml:space="preserve"> </w:t>
      </w:r>
    </w:p>
  </w:footnote>
  <w:footnote w:id="211">
    <w:p w14:paraId="1741F355" w14:textId="28A9346E" w:rsidR="007501B5" w:rsidRDefault="007501B5" w:rsidP="00E00167">
      <w:pPr>
        <w:pStyle w:val="FootnoteText"/>
      </w:pPr>
      <w:r w:rsidRPr="00FA366A">
        <w:rPr>
          <w:rStyle w:val="FootnoteReference"/>
        </w:rPr>
        <w:footnoteRef/>
      </w:r>
      <w:r w:rsidR="003D640C">
        <w:t xml:space="preserve"> </w:t>
      </w:r>
      <w:r w:rsidRPr="00FA366A">
        <w:t>Malatest</w:t>
      </w:r>
      <w:r w:rsidR="003D640C">
        <w:t xml:space="preserve"> </w:t>
      </w:r>
      <w:r w:rsidRPr="00FA366A">
        <w:t>International</w:t>
      </w:r>
      <w:r w:rsidR="00946C68">
        <w:t>,</w:t>
      </w:r>
      <w:r w:rsidR="003D640C">
        <w:t xml:space="preserve"> </w:t>
      </w:r>
      <w:r w:rsidRPr="00FA366A">
        <w:t>2021</w:t>
      </w:r>
      <w:r w:rsidR="00946C68">
        <w:t>,</w:t>
      </w:r>
      <w:r w:rsidR="003D640C">
        <w:t xml:space="preserve"> </w:t>
      </w:r>
      <w:r w:rsidR="00946C68">
        <w:t>pp</w:t>
      </w:r>
      <w:r w:rsidRPr="00FA366A">
        <w:t>.</w:t>
      </w:r>
      <w:r w:rsidR="003D640C">
        <w:t xml:space="preserve"> </w:t>
      </w:r>
      <w:r w:rsidRPr="00FA366A">
        <w:t>42</w:t>
      </w:r>
      <w:r w:rsidR="00946C68">
        <w:t>–4</w:t>
      </w:r>
      <w:r w:rsidRPr="00FA366A">
        <w:t>3.</w:t>
      </w:r>
    </w:p>
  </w:footnote>
  <w:footnote w:id="212">
    <w:p w14:paraId="2C959E6C" w14:textId="56E0D614" w:rsidR="008B0FA9" w:rsidRDefault="008B0FA9" w:rsidP="00E00167">
      <w:pPr>
        <w:pStyle w:val="FootnoteText"/>
      </w:pPr>
      <w:r>
        <w:rPr>
          <w:rStyle w:val="FootnoteReference"/>
        </w:rPr>
        <w:footnoteRef/>
      </w:r>
      <w:r w:rsidR="003D640C">
        <w:t xml:space="preserve"> </w:t>
      </w:r>
      <w:r w:rsidRPr="00993640">
        <w:rPr>
          <w:shd w:val="clear" w:color="auto" w:fill="FFFFFF"/>
        </w:rPr>
        <w:t>Chen,</w:t>
      </w:r>
      <w:r w:rsidR="003D640C">
        <w:rPr>
          <w:shd w:val="clear" w:color="auto" w:fill="FFFFFF"/>
        </w:rPr>
        <w:t xml:space="preserve"> </w:t>
      </w:r>
      <w:r w:rsidRPr="00993640">
        <w:rPr>
          <w:shd w:val="clear" w:color="auto" w:fill="FFFFFF"/>
        </w:rPr>
        <w:t>L.</w:t>
      </w:r>
      <w:r w:rsidR="003D640C">
        <w:rPr>
          <w:shd w:val="clear" w:color="auto" w:fill="FFFFFF"/>
        </w:rPr>
        <w:t xml:space="preserve"> </w:t>
      </w:r>
      <w:r w:rsidRPr="00993640">
        <w:rPr>
          <w:shd w:val="clear" w:color="auto" w:fill="FFFFFF"/>
        </w:rPr>
        <w:t>(2023,</w:t>
      </w:r>
      <w:r w:rsidR="003D640C">
        <w:rPr>
          <w:shd w:val="clear" w:color="auto" w:fill="FFFFFF"/>
        </w:rPr>
        <w:t xml:space="preserve"> </w:t>
      </w:r>
      <w:r w:rsidRPr="00993640">
        <w:rPr>
          <w:shd w:val="clear" w:color="auto" w:fill="FFFFFF"/>
        </w:rPr>
        <w:t>August</w:t>
      </w:r>
      <w:r w:rsidR="003D640C">
        <w:rPr>
          <w:shd w:val="clear" w:color="auto" w:fill="FFFFFF"/>
        </w:rPr>
        <w:t xml:space="preserve"> </w:t>
      </w:r>
      <w:r w:rsidRPr="00993640">
        <w:rPr>
          <w:shd w:val="clear" w:color="auto" w:fill="FFFFFF"/>
        </w:rPr>
        <w:t>10).</w:t>
      </w:r>
      <w:r w:rsidR="003D640C">
        <w:rPr>
          <w:shd w:val="clear" w:color="auto" w:fill="FFFFFF"/>
        </w:rPr>
        <w:t xml:space="preserve"> </w:t>
      </w:r>
      <w:r w:rsidRPr="005B33A1">
        <w:rPr>
          <w:i/>
          <w:iCs/>
          <w:shd w:val="clear" w:color="auto" w:fill="FFFFFF"/>
        </w:rPr>
        <w:t>Chinese</w:t>
      </w:r>
      <w:r w:rsidR="003D640C" w:rsidRPr="005B33A1">
        <w:rPr>
          <w:i/>
          <w:iCs/>
          <w:shd w:val="clear" w:color="auto" w:fill="FFFFFF"/>
        </w:rPr>
        <w:t xml:space="preserve"> </w:t>
      </w:r>
      <w:r w:rsidRPr="005B33A1">
        <w:rPr>
          <w:i/>
          <w:iCs/>
          <w:shd w:val="clear" w:color="auto" w:fill="FFFFFF"/>
        </w:rPr>
        <w:t>rainbow</w:t>
      </w:r>
      <w:r w:rsidR="003D640C" w:rsidRPr="005B33A1">
        <w:rPr>
          <w:i/>
          <w:iCs/>
          <w:shd w:val="clear" w:color="auto" w:fill="FFFFFF"/>
        </w:rPr>
        <w:t xml:space="preserve"> </w:t>
      </w:r>
      <w:r w:rsidRPr="005B33A1">
        <w:rPr>
          <w:i/>
          <w:iCs/>
          <w:shd w:val="clear" w:color="auto" w:fill="FFFFFF"/>
        </w:rPr>
        <w:t>communities</w:t>
      </w:r>
      <w:r w:rsidR="003D640C" w:rsidRPr="005B33A1">
        <w:rPr>
          <w:i/>
          <w:iCs/>
          <w:shd w:val="clear" w:color="auto" w:fill="FFFFFF"/>
        </w:rPr>
        <w:t xml:space="preserve"> </w:t>
      </w:r>
      <w:r w:rsidRPr="005B33A1">
        <w:rPr>
          <w:i/>
          <w:iCs/>
          <w:shd w:val="clear" w:color="auto" w:fill="FFFFFF"/>
        </w:rPr>
        <w:t>struggle</w:t>
      </w:r>
      <w:r w:rsidR="003D640C" w:rsidRPr="005B33A1">
        <w:rPr>
          <w:i/>
          <w:iCs/>
          <w:shd w:val="clear" w:color="auto" w:fill="FFFFFF"/>
        </w:rPr>
        <w:t xml:space="preserve"> </w:t>
      </w:r>
      <w:r w:rsidRPr="005B33A1">
        <w:rPr>
          <w:i/>
          <w:iCs/>
          <w:shd w:val="clear" w:color="auto" w:fill="FFFFFF"/>
        </w:rPr>
        <w:t>with</w:t>
      </w:r>
      <w:r w:rsidR="003D640C" w:rsidRPr="005B33A1">
        <w:rPr>
          <w:i/>
          <w:iCs/>
          <w:shd w:val="clear" w:color="auto" w:fill="FFFFFF"/>
        </w:rPr>
        <w:t xml:space="preserve"> </w:t>
      </w:r>
      <w:r w:rsidRPr="005B33A1">
        <w:rPr>
          <w:i/>
          <w:iCs/>
          <w:shd w:val="clear" w:color="auto" w:fill="FFFFFF"/>
        </w:rPr>
        <w:t>life</w:t>
      </w:r>
      <w:r w:rsidR="003D640C" w:rsidRPr="005B33A1">
        <w:rPr>
          <w:i/>
          <w:iCs/>
          <w:shd w:val="clear" w:color="auto" w:fill="FFFFFF"/>
        </w:rPr>
        <w:t xml:space="preserve"> </w:t>
      </w:r>
      <w:r w:rsidRPr="005B33A1">
        <w:rPr>
          <w:i/>
          <w:iCs/>
          <w:shd w:val="clear" w:color="auto" w:fill="FFFFFF"/>
        </w:rPr>
        <w:t>in</w:t>
      </w:r>
      <w:r w:rsidR="003D640C" w:rsidRPr="005B33A1">
        <w:rPr>
          <w:i/>
          <w:iCs/>
          <w:shd w:val="clear" w:color="auto" w:fill="FFFFFF"/>
        </w:rPr>
        <w:t xml:space="preserve"> </w:t>
      </w:r>
      <w:r w:rsidRPr="005B33A1">
        <w:rPr>
          <w:i/>
          <w:iCs/>
          <w:shd w:val="clear" w:color="auto" w:fill="FFFFFF"/>
        </w:rPr>
        <w:t>the</w:t>
      </w:r>
      <w:r w:rsidR="003D640C" w:rsidRPr="005B33A1">
        <w:rPr>
          <w:i/>
          <w:iCs/>
          <w:shd w:val="clear" w:color="auto" w:fill="FFFFFF"/>
        </w:rPr>
        <w:t xml:space="preserve"> </w:t>
      </w:r>
      <w:r w:rsidRPr="005B33A1">
        <w:rPr>
          <w:i/>
          <w:iCs/>
          <w:shd w:val="clear" w:color="auto" w:fill="FFFFFF"/>
        </w:rPr>
        <w:t>‘ethnic</w:t>
      </w:r>
      <w:r w:rsidR="003D640C" w:rsidRPr="005B33A1">
        <w:rPr>
          <w:i/>
          <w:iCs/>
          <w:shd w:val="clear" w:color="auto" w:fill="FFFFFF"/>
        </w:rPr>
        <w:t xml:space="preserve"> </w:t>
      </w:r>
      <w:r w:rsidRPr="005B33A1">
        <w:rPr>
          <w:i/>
          <w:iCs/>
          <w:shd w:val="clear" w:color="auto" w:fill="FFFFFF"/>
        </w:rPr>
        <w:t>closet’</w:t>
      </w:r>
      <w:r w:rsidRPr="00993640">
        <w:rPr>
          <w:shd w:val="clear" w:color="auto" w:fill="FFFFFF"/>
        </w:rPr>
        <w:t>.</w:t>
      </w:r>
      <w:r w:rsidR="003D640C">
        <w:rPr>
          <w:shd w:val="clear" w:color="auto" w:fill="FFFFFF"/>
        </w:rPr>
        <w:t xml:space="preserve"> </w:t>
      </w:r>
    </w:p>
  </w:footnote>
  <w:footnote w:id="213">
    <w:p w14:paraId="02EB5C1F" w14:textId="7EB59879" w:rsidR="008B0FA9" w:rsidRPr="00144ADA" w:rsidRDefault="008B0FA9" w:rsidP="00E00167">
      <w:pPr>
        <w:pStyle w:val="FootnoteText"/>
        <w:rPr>
          <w:rStyle w:val="FootnoteReference"/>
          <w:vertAlign w:val="baseline"/>
        </w:rPr>
      </w:pPr>
      <w:r w:rsidRPr="00E63B3F">
        <w:rPr>
          <w:rStyle w:val="FootnoteReference"/>
        </w:rPr>
        <w:footnoteRef/>
      </w:r>
      <w:r w:rsidR="003D640C">
        <w:rPr>
          <w:rStyle w:val="FootnoteReference"/>
        </w:rPr>
        <w:t xml:space="preserve"> </w:t>
      </w:r>
      <w:r>
        <w:t>Malatest</w:t>
      </w:r>
      <w:r w:rsidR="003D640C">
        <w:t xml:space="preserve"> </w:t>
      </w:r>
      <w:r>
        <w:t>International</w:t>
      </w:r>
      <w:r w:rsidR="005B4BFB">
        <w:t>,</w:t>
      </w:r>
      <w:r w:rsidR="003D640C">
        <w:t xml:space="preserve"> </w:t>
      </w:r>
      <w:r>
        <w:t>2021</w:t>
      </w:r>
      <w:r w:rsidR="005B4BFB">
        <w:t>,</w:t>
      </w:r>
      <w:r w:rsidR="003D640C">
        <w:t xml:space="preserve"> </w:t>
      </w:r>
      <w:r w:rsidR="005B4BFB">
        <w:t>p</w:t>
      </w:r>
      <w:r>
        <w:t>.</w:t>
      </w:r>
      <w:r w:rsidR="003D640C">
        <w:t xml:space="preserve"> </w:t>
      </w:r>
      <w:r>
        <w:t>42</w:t>
      </w:r>
      <w:r w:rsidR="005B4BFB">
        <w:t>.</w:t>
      </w:r>
    </w:p>
  </w:footnote>
  <w:footnote w:id="214">
    <w:p w14:paraId="00C1931F" w14:textId="4CA3F978" w:rsidR="00270E5F" w:rsidRDefault="00270E5F" w:rsidP="00E00167">
      <w:pPr>
        <w:pStyle w:val="FootnoteText"/>
      </w:pPr>
      <w:r>
        <w:rPr>
          <w:rStyle w:val="FootnoteReference"/>
        </w:rPr>
        <w:footnoteRef/>
      </w:r>
      <w:r w:rsidR="003D640C">
        <w:t xml:space="preserve"> </w:t>
      </w:r>
      <w:r w:rsidR="00813A30" w:rsidRPr="00993640">
        <w:rPr>
          <w:shd w:val="clear" w:color="auto" w:fill="FFFFFF"/>
        </w:rPr>
        <w:t>Tan</w:t>
      </w:r>
      <w:r w:rsidR="001E2C2B">
        <w:rPr>
          <w:shd w:val="clear" w:color="auto" w:fill="FFFFFF"/>
        </w:rPr>
        <w:t xml:space="preserve"> et al.</w:t>
      </w:r>
      <w:r w:rsidR="00813A30" w:rsidRPr="00993640">
        <w:rPr>
          <w:shd w:val="clear" w:color="auto" w:fill="FFFFFF"/>
        </w:rPr>
        <w:t>,</w:t>
      </w:r>
      <w:r w:rsidR="003D640C">
        <w:rPr>
          <w:shd w:val="clear" w:color="auto" w:fill="FFFFFF"/>
        </w:rPr>
        <w:t xml:space="preserve"> </w:t>
      </w:r>
      <w:r w:rsidR="00813A30" w:rsidRPr="00993640">
        <w:rPr>
          <w:shd w:val="clear" w:color="auto" w:fill="FFFFFF"/>
        </w:rPr>
        <w:t>2023</w:t>
      </w:r>
      <w:r w:rsidR="001E2C2B">
        <w:rPr>
          <w:shd w:val="clear" w:color="auto" w:fill="FFFFFF"/>
        </w:rPr>
        <w:t>,</w:t>
      </w:r>
      <w:r w:rsidR="003D640C">
        <w:rPr>
          <w:shd w:val="clear" w:color="auto" w:fill="FFFFFF"/>
        </w:rPr>
        <w:t xml:space="preserve"> </w:t>
      </w:r>
      <w:r w:rsidR="00813A30">
        <w:rPr>
          <w:shd w:val="clear" w:color="auto" w:fill="FFFFFF"/>
        </w:rPr>
        <w:t>p.</w:t>
      </w:r>
      <w:r w:rsidR="003D640C">
        <w:rPr>
          <w:shd w:val="clear" w:color="auto" w:fill="FFFFFF"/>
        </w:rPr>
        <w:t xml:space="preserve"> </w:t>
      </w:r>
      <w:r w:rsidR="00813A30">
        <w:rPr>
          <w:shd w:val="clear" w:color="auto" w:fill="FFFFFF"/>
        </w:rPr>
        <w:t>10.</w:t>
      </w:r>
      <w:r w:rsidR="003D640C">
        <w:rPr>
          <w:shd w:val="clear" w:color="auto" w:fill="FFFFFF"/>
        </w:rPr>
        <w:t xml:space="preserve"> </w:t>
      </w:r>
    </w:p>
  </w:footnote>
  <w:footnote w:id="215">
    <w:p w14:paraId="1D35C703" w14:textId="40ADDFBD" w:rsidR="00270E5F" w:rsidRDefault="00270E5F" w:rsidP="00E00167">
      <w:pPr>
        <w:pStyle w:val="FootnoteText"/>
      </w:pPr>
      <w:r>
        <w:rPr>
          <w:rStyle w:val="FootnoteReference"/>
        </w:rPr>
        <w:footnoteRef/>
      </w:r>
      <w:r w:rsidR="003D640C">
        <w:t xml:space="preserve"> </w:t>
      </w:r>
      <w:r>
        <w:rPr>
          <w:rStyle w:val="FootnoteReference"/>
          <w:vertAlign w:val="baseline"/>
        </w:rPr>
        <w:t>B</w:t>
      </w:r>
      <w:r>
        <w:t>al</w:t>
      </w:r>
      <w:r w:rsidR="003D640C">
        <w:t xml:space="preserve"> </w:t>
      </w:r>
      <w:r>
        <w:t>&amp;</w:t>
      </w:r>
      <w:r w:rsidR="003D640C">
        <w:t xml:space="preserve"> </w:t>
      </w:r>
      <w:r>
        <w:t>Divakalala,</w:t>
      </w:r>
      <w:r w:rsidR="003D640C">
        <w:t xml:space="preserve"> </w:t>
      </w:r>
      <w:r>
        <w:t>2022,</w:t>
      </w:r>
      <w:r w:rsidR="003D640C">
        <w:t xml:space="preserve"> </w:t>
      </w:r>
      <w:r>
        <w:t>p.</w:t>
      </w:r>
      <w:r w:rsidR="003D640C">
        <w:t xml:space="preserve"> </w:t>
      </w:r>
      <w:r>
        <w:t>31</w:t>
      </w:r>
      <w:r w:rsidR="001E2C2B">
        <w:t>.</w:t>
      </w:r>
    </w:p>
  </w:footnote>
  <w:footnote w:id="216">
    <w:p w14:paraId="01CB12AE" w14:textId="5A846375" w:rsidR="008B0FA9" w:rsidRPr="003D2793" w:rsidRDefault="008B0FA9" w:rsidP="00E00167">
      <w:pPr>
        <w:pStyle w:val="FootnoteText"/>
        <w:rPr>
          <w:rFonts w:ascii="Open Sans" w:eastAsia="Open Sans" w:hAnsi="Open Sans" w:cs="Open Sans"/>
          <w:color w:val="121317"/>
          <w:sz w:val="15"/>
          <w:szCs w:val="15"/>
        </w:rPr>
      </w:pPr>
      <w:r w:rsidRPr="00FA366A">
        <w:rPr>
          <w:rStyle w:val="FootnoteReference"/>
        </w:rPr>
        <w:footnoteRef/>
      </w:r>
      <w:r w:rsidR="003D640C">
        <w:rPr>
          <w:rStyle w:val="FootnoteReference"/>
        </w:rPr>
        <w:t xml:space="preserve"> </w:t>
      </w:r>
      <w:r w:rsidRPr="00FA366A">
        <w:t>Nakhid,</w:t>
      </w:r>
      <w:r w:rsidR="003D640C">
        <w:t xml:space="preserve"> </w:t>
      </w:r>
      <w:r w:rsidRPr="00FA366A">
        <w:t>C.,</w:t>
      </w:r>
      <w:r w:rsidR="003D640C">
        <w:t xml:space="preserve"> </w:t>
      </w:r>
      <w:r w:rsidRPr="00FA366A">
        <w:t>Fu,</w:t>
      </w:r>
      <w:r w:rsidR="003D640C">
        <w:t xml:space="preserve"> </w:t>
      </w:r>
      <w:r w:rsidRPr="00FA366A">
        <w:t>M.</w:t>
      </w:r>
      <w:r w:rsidR="00231C0A">
        <w:t>,</w:t>
      </w:r>
      <w:r w:rsidR="003D640C">
        <w:t xml:space="preserve"> </w:t>
      </w:r>
      <w:r w:rsidRPr="00FA366A">
        <w:t>&amp;</w:t>
      </w:r>
      <w:r w:rsidR="003D640C">
        <w:t xml:space="preserve"> </w:t>
      </w:r>
      <w:r w:rsidRPr="00FA366A">
        <w:t>Yachinta,</w:t>
      </w:r>
      <w:r w:rsidR="003D640C">
        <w:t xml:space="preserve"> </w:t>
      </w:r>
      <w:r w:rsidRPr="00FA366A">
        <w:t>C.</w:t>
      </w:r>
      <w:r w:rsidR="003D640C">
        <w:t xml:space="preserve"> </w:t>
      </w:r>
      <w:r w:rsidRPr="00FA366A">
        <w:t>(2020).</w:t>
      </w:r>
      <w:r w:rsidR="003D640C">
        <w:t xml:space="preserve"> </w:t>
      </w:r>
      <w:r w:rsidRPr="005B33A1">
        <w:rPr>
          <w:i/>
          <w:iCs/>
        </w:rPr>
        <w:t>Letting</w:t>
      </w:r>
      <w:r w:rsidR="003D640C" w:rsidRPr="005B33A1">
        <w:rPr>
          <w:i/>
          <w:iCs/>
        </w:rPr>
        <w:t xml:space="preserve"> </w:t>
      </w:r>
      <w:r w:rsidRPr="005B33A1">
        <w:rPr>
          <w:i/>
          <w:iCs/>
        </w:rPr>
        <w:t>in</w:t>
      </w:r>
      <w:r w:rsidR="003D640C" w:rsidRPr="005B33A1">
        <w:rPr>
          <w:i/>
          <w:iCs/>
        </w:rPr>
        <w:t xml:space="preserve"> </w:t>
      </w:r>
      <w:r w:rsidRPr="005B33A1">
        <w:rPr>
          <w:i/>
          <w:iCs/>
        </w:rPr>
        <w:t>–</w:t>
      </w:r>
      <w:r w:rsidR="003D640C" w:rsidRPr="005B33A1">
        <w:rPr>
          <w:i/>
          <w:iCs/>
        </w:rPr>
        <w:t xml:space="preserve"> </w:t>
      </w:r>
      <w:r w:rsidRPr="005B33A1">
        <w:rPr>
          <w:i/>
          <w:iCs/>
        </w:rPr>
        <w:t>closing</w:t>
      </w:r>
      <w:r w:rsidR="003D640C" w:rsidRPr="005B33A1">
        <w:rPr>
          <w:i/>
          <w:iCs/>
        </w:rPr>
        <w:t xml:space="preserve"> </w:t>
      </w:r>
      <w:r w:rsidRPr="005B33A1">
        <w:rPr>
          <w:i/>
          <w:iCs/>
        </w:rPr>
        <w:t>out:</w:t>
      </w:r>
      <w:r w:rsidR="003F6FF3" w:rsidRPr="003F6FF3">
        <w:rPr>
          <w:i/>
          <w:iCs/>
        </w:rPr>
        <w:t xml:space="preserve"> </w:t>
      </w:r>
      <w:r w:rsidR="003F6FF3" w:rsidRPr="003A4372">
        <w:rPr>
          <w:i/>
          <w:iCs/>
        </w:rPr>
        <w:t>A research report on the</w:t>
      </w:r>
      <w:r w:rsidR="003D640C" w:rsidRPr="005B33A1">
        <w:rPr>
          <w:i/>
          <w:iCs/>
        </w:rPr>
        <w:t xml:space="preserve"> </w:t>
      </w:r>
      <w:r w:rsidR="003F6FF3">
        <w:rPr>
          <w:i/>
          <w:iCs/>
        </w:rPr>
        <w:t>p</w:t>
      </w:r>
      <w:r w:rsidRPr="005B33A1">
        <w:rPr>
          <w:i/>
          <w:iCs/>
        </w:rPr>
        <w:t>erspectives</w:t>
      </w:r>
      <w:r w:rsidR="003D640C" w:rsidRPr="005B33A1">
        <w:rPr>
          <w:i/>
          <w:iCs/>
        </w:rPr>
        <w:t xml:space="preserve"> </w:t>
      </w:r>
      <w:r w:rsidRPr="005B33A1">
        <w:rPr>
          <w:i/>
          <w:iCs/>
        </w:rPr>
        <w:t>and</w:t>
      </w:r>
      <w:r w:rsidR="003D640C" w:rsidRPr="005B33A1">
        <w:rPr>
          <w:i/>
          <w:iCs/>
        </w:rPr>
        <w:t xml:space="preserve"> </w:t>
      </w:r>
      <w:r w:rsidRPr="005B33A1">
        <w:rPr>
          <w:i/>
          <w:iCs/>
        </w:rPr>
        <w:t>experiences</w:t>
      </w:r>
      <w:r w:rsidR="003D640C" w:rsidRPr="005B33A1">
        <w:rPr>
          <w:i/>
          <w:iCs/>
        </w:rPr>
        <w:t xml:space="preserve"> </w:t>
      </w:r>
      <w:r w:rsidRPr="005B33A1">
        <w:rPr>
          <w:i/>
          <w:iCs/>
        </w:rPr>
        <w:t>of</w:t>
      </w:r>
      <w:r w:rsidR="003D640C" w:rsidRPr="005B33A1">
        <w:rPr>
          <w:i/>
          <w:iCs/>
        </w:rPr>
        <w:t xml:space="preserve"> </w:t>
      </w:r>
      <w:r w:rsidRPr="005B33A1">
        <w:rPr>
          <w:i/>
          <w:iCs/>
        </w:rPr>
        <w:t>‘coming</w:t>
      </w:r>
      <w:r w:rsidR="003D640C" w:rsidRPr="005B33A1">
        <w:rPr>
          <w:i/>
          <w:iCs/>
        </w:rPr>
        <w:t xml:space="preserve"> </w:t>
      </w:r>
      <w:r w:rsidRPr="005B33A1">
        <w:rPr>
          <w:i/>
          <w:iCs/>
        </w:rPr>
        <w:t>out’</w:t>
      </w:r>
      <w:r w:rsidR="003D640C" w:rsidRPr="005B33A1">
        <w:rPr>
          <w:i/>
          <w:iCs/>
        </w:rPr>
        <w:t xml:space="preserve"> </w:t>
      </w:r>
      <w:r w:rsidRPr="005B33A1">
        <w:rPr>
          <w:i/>
          <w:iCs/>
        </w:rPr>
        <w:t>for</w:t>
      </w:r>
      <w:r w:rsidR="003D640C" w:rsidRPr="005B33A1">
        <w:rPr>
          <w:i/>
          <w:iCs/>
        </w:rPr>
        <w:t xml:space="preserve"> </w:t>
      </w:r>
      <w:r w:rsidRPr="005B33A1">
        <w:rPr>
          <w:i/>
          <w:iCs/>
        </w:rPr>
        <w:t>queer/rainbow</w:t>
      </w:r>
      <w:r w:rsidR="003D640C" w:rsidRPr="005B33A1">
        <w:rPr>
          <w:i/>
          <w:iCs/>
        </w:rPr>
        <w:t xml:space="preserve"> </w:t>
      </w:r>
      <w:r w:rsidRPr="005B33A1">
        <w:rPr>
          <w:i/>
          <w:iCs/>
        </w:rPr>
        <w:t>ethnic</w:t>
      </w:r>
      <w:r w:rsidR="003D640C" w:rsidRPr="005B33A1">
        <w:rPr>
          <w:i/>
          <w:iCs/>
        </w:rPr>
        <w:t xml:space="preserve"> </w:t>
      </w:r>
      <w:r w:rsidRPr="005B33A1">
        <w:rPr>
          <w:i/>
          <w:iCs/>
        </w:rPr>
        <w:t>young</w:t>
      </w:r>
      <w:r w:rsidR="003D640C" w:rsidRPr="005B33A1">
        <w:rPr>
          <w:i/>
          <w:iCs/>
        </w:rPr>
        <w:t xml:space="preserve"> </w:t>
      </w:r>
      <w:r w:rsidRPr="005B33A1">
        <w:rPr>
          <w:i/>
          <w:iCs/>
        </w:rPr>
        <w:t>people</w:t>
      </w:r>
      <w:r w:rsidR="003D640C" w:rsidRPr="005B33A1">
        <w:rPr>
          <w:i/>
          <w:iCs/>
        </w:rPr>
        <w:t xml:space="preserve"> </w:t>
      </w:r>
      <w:r w:rsidRPr="005B33A1">
        <w:rPr>
          <w:i/>
          <w:iCs/>
        </w:rPr>
        <w:t>in</w:t>
      </w:r>
      <w:r w:rsidR="003D640C" w:rsidRPr="005B33A1">
        <w:rPr>
          <w:i/>
          <w:iCs/>
        </w:rPr>
        <w:t xml:space="preserve"> </w:t>
      </w:r>
      <w:r w:rsidRPr="005B33A1">
        <w:rPr>
          <w:i/>
          <w:iCs/>
        </w:rPr>
        <w:t>Aotearoa</w:t>
      </w:r>
      <w:r w:rsidR="003D640C" w:rsidRPr="005B33A1">
        <w:rPr>
          <w:i/>
          <w:iCs/>
        </w:rPr>
        <w:t xml:space="preserve"> </w:t>
      </w:r>
      <w:r w:rsidRPr="005B33A1">
        <w:rPr>
          <w:i/>
          <w:iCs/>
        </w:rPr>
        <w:t>New</w:t>
      </w:r>
      <w:r w:rsidR="003D640C" w:rsidRPr="005B33A1">
        <w:rPr>
          <w:i/>
          <w:iCs/>
        </w:rPr>
        <w:t xml:space="preserve"> </w:t>
      </w:r>
      <w:r w:rsidRPr="005B33A1">
        <w:rPr>
          <w:i/>
          <w:iCs/>
        </w:rPr>
        <w:t>Zealand</w:t>
      </w:r>
      <w:r w:rsidRPr="00FA366A">
        <w:t>.</w:t>
      </w:r>
      <w:r w:rsidR="003D640C">
        <w:t xml:space="preserve"> </w:t>
      </w:r>
    </w:p>
  </w:footnote>
  <w:footnote w:id="217">
    <w:p w14:paraId="14CC3281" w14:textId="651FC5BA" w:rsidR="00755181" w:rsidRPr="00E63B3F" w:rsidRDefault="00755181" w:rsidP="00755181">
      <w:pPr>
        <w:spacing w:after="0" w:line="240" w:lineRule="auto"/>
        <w:rPr>
          <w:sz w:val="18"/>
          <w:szCs w:val="18"/>
        </w:rPr>
      </w:pPr>
      <w:r w:rsidRPr="00E63B3F">
        <w:rPr>
          <w:sz w:val="20"/>
          <w:szCs w:val="20"/>
          <w:vertAlign w:val="superscript"/>
        </w:rPr>
        <w:footnoteRef/>
      </w:r>
      <w:r w:rsidR="003D640C">
        <w:rPr>
          <w:sz w:val="20"/>
          <w:szCs w:val="20"/>
        </w:rPr>
        <w:t xml:space="preserve"> </w:t>
      </w:r>
      <w:r w:rsidR="003F6FF3">
        <w:rPr>
          <w:sz w:val="20"/>
          <w:szCs w:val="20"/>
        </w:rPr>
        <w:t>Ibid.</w:t>
      </w:r>
    </w:p>
  </w:footnote>
  <w:footnote w:id="218">
    <w:p w14:paraId="66984226" w14:textId="3F47756E" w:rsidR="008B0FA9" w:rsidRDefault="008B0FA9" w:rsidP="00E00167">
      <w:pPr>
        <w:pStyle w:val="FootnoteText"/>
      </w:pPr>
      <w:r>
        <w:rPr>
          <w:rStyle w:val="FootnoteReference"/>
        </w:rPr>
        <w:footnoteRef/>
      </w:r>
      <w:r w:rsidR="003D640C">
        <w:t xml:space="preserve"> </w:t>
      </w:r>
      <w:r w:rsidR="00E43D9C">
        <w:t>Asia</w:t>
      </w:r>
      <w:r w:rsidR="003D640C">
        <w:t xml:space="preserve"> </w:t>
      </w:r>
      <w:r w:rsidR="00E43D9C">
        <w:t>Pacific</w:t>
      </w:r>
      <w:r w:rsidR="003D640C">
        <w:t xml:space="preserve"> </w:t>
      </w:r>
      <w:r w:rsidR="00E43D9C">
        <w:t>Transgender</w:t>
      </w:r>
      <w:r w:rsidR="003D640C">
        <w:t xml:space="preserve"> </w:t>
      </w:r>
      <w:r w:rsidR="00E43D9C">
        <w:t>Network</w:t>
      </w:r>
      <w:r w:rsidR="003A051E">
        <w:t>,</w:t>
      </w:r>
      <w:r w:rsidR="003D640C">
        <w:t xml:space="preserve"> </w:t>
      </w:r>
      <w:r w:rsidR="007D6979">
        <w:t>2021</w:t>
      </w:r>
      <w:r>
        <w:t>.</w:t>
      </w:r>
    </w:p>
  </w:footnote>
  <w:footnote w:id="219">
    <w:p w14:paraId="7A2E9AB3" w14:textId="3A3AB7BA" w:rsidR="008B0FA9" w:rsidRDefault="008B0FA9" w:rsidP="00E00167">
      <w:pPr>
        <w:pStyle w:val="FootnoteText"/>
      </w:pPr>
      <w:r>
        <w:rPr>
          <w:rStyle w:val="FootnoteReference"/>
        </w:rPr>
        <w:footnoteRef/>
      </w:r>
      <w:r w:rsidR="003D640C">
        <w:t xml:space="preserve"> </w:t>
      </w:r>
      <w:r>
        <w:t>Chen</w:t>
      </w:r>
      <w:r w:rsidR="007D6979">
        <w:t>,</w:t>
      </w:r>
      <w:r w:rsidR="003D640C">
        <w:t xml:space="preserve"> </w:t>
      </w:r>
      <w:r>
        <w:t>2023</w:t>
      </w:r>
      <w:r w:rsidR="00636354">
        <w:t>.</w:t>
      </w:r>
    </w:p>
  </w:footnote>
  <w:footnote w:id="220">
    <w:p w14:paraId="68F1AF46" w14:textId="2C204F2E" w:rsidR="008B0FA9" w:rsidRDefault="008B0FA9" w:rsidP="00E00167">
      <w:pPr>
        <w:pStyle w:val="FootnoteText"/>
      </w:pPr>
      <w:r>
        <w:rPr>
          <w:rStyle w:val="FootnoteReference"/>
        </w:rPr>
        <w:footnoteRef/>
      </w:r>
      <w:r w:rsidR="003D640C">
        <w:t xml:space="preserve"> </w:t>
      </w:r>
      <w:r>
        <w:t>Bal</w:t>
      </w:r>
      <w:r w:rsidR="003D640C">
        <w:t xml:space="preserve"> </w:t>
      </w:r>
      <w:r>
        <w:t>&amp;</w:t>
      </w:r>
      <w:r w:rsidR="003D640C">
        <w:t xml:space="preserve"> </w:t>
      </w:r>
      <w:r>
        <w:t>Divakalala</w:t>
      </w:r>
      <w:r w:rsidR="00003B25">
        <w:t>,</w:t>
      </w:r>
      <w:r w:rsidR="003D640C" w:rsidDel="00003B25">
        <w:t xml:space="preserve"> </w:t>
      </w:r>
      <w:r>
        <w:t>2022,</w:t>
      </w:r>
      <w:r w:rsidR="003D640C">
        <w:t xml:space="preserve"> </w:t>
      </w:r>
      <w:r>
        <w:t>p.</w:t>
      </w:r>
      <w:r w:rsidR="003D640C">
        <w:t xml:space="preserve"> </w:t>
      </w:r>
      <w:r>
        <w:t>36</w:t>
      </w:r>
      <w:r w:rsidR="00003B25">
        <w:t>.</w:t>
      </w:r>
    </w:p>
  </w:footnote>
  <w:footnote w:id="221">
    <w:p w14:paraId="51B884F9" w14:textId="4F59B152" w:rsidR="008B0FA9" w:rsidRDefault="008B0FA9" w:rsidP="00E00167">
      <w:pPr>
        <w:pStyle w:val="FootnoteText"/>
      </w:pPr>
      <w:r>
        <w:rPr>
          <w:rStyle w:val="FootnoteReference"/>
        </w:rPr>
        <w:footnoteRef/>
      </w:r>
      <w:r w:rsidR="003D640C">
        <w:t xml:space="preserve"> </w:t>
      </w:r>
      <w:r w:rsidR="00E31AF7">
        <w:t>Ibid.,</w:t>
      </w:r>
      <w:r w:rsidR="003D640C">
        <w:t xml:space="preserve"> </w:t>
      </w:r>
      <w:r>
        <w:t>p.</w:t>
      </w:r>
      <w:r w:rsidR="003D640C">
        <w:t xml:space="preserve"> </w:t>
      </w:r>
      <w:r>
        <w:t>44</w:t>
      </w:r>
      <w:r w:rsidR="00E31AF7">
        <w:t>.</w:t>
      </w:r>
    </w:p>
  </w:footnote>
  <w:footnote w:id="222">
    <w:p w14:paraId="2ED23620" w14:textId="6C550F90" w:rsidR="008B0FA9" w:rsidRDefault="008B0FA9" w:rsidP="00E00167">
      <w:pPr>
        <w:pStyle w:val="FootnoteText"/>
      </w:pPr>
      <w:r>
        <w:rPr>
          <w:rStyle w:val="FootnoteReference"/>
        </w:rPr>
        <w:footnoteRef/>
      </w:r>
      <w:r w:rsidR="003D640C">
        <w:t xml:space="preserve"> </w:t>
      </w:r>
      <w:r>
        <w:t>Cui,</w:t>
      </w:r>
      <w:r w:rsidR="003D640C">
        <w:t xml:space="preserve"> </w:t>
      </w:r>
      <w:r>
        <w:t>T.</w:t>
      </w:r>
      <w:r w:rsidR="00231C0A">
        <w:t xml:space="preserve"> </w:t>
      </w:r>
      <w:r>
        <w:t>L.</w:t>
      </w:r>
      <w:r w:rsidR="00231C0A">
        <w:t>,</w:t>
      </w:r>
      <w:r w:rsidR="003D640C">
        <w:t xml:space="preserve"> </w:t>
      </w:r>
      <w:r>
        <w:t>&amp;</w:t>
      </w:r>
      <w:r w:rsidR="003D640C">
        <w:t xml:space="preserve"> </w:t>
      </w:r>
      <w:r>
        <w:t>Song,</w:t>
      </w:r>
      <w:r w:rsidR="003D640C">
        <w:t xml:space="preserve"> </w:t>
      </w:r>
      <w:r>
        <w:t>L.</w:t>
      </w:r>
      <w:r w:rsidR="003D640C">
        <w:t xml:space="preserve"> </w:t>
      </w:r>
      <w:r>
        <w:t>(2023)</w:t>
      </w:r>
      <w:r w:rsidR="00231C0A">
        <w:t>.</w:t>
      </w:r>
      <w:r w:rsidR="003D640C">
        <w:t xml:space="preserve"> </w:t>
      </w:r>
      <w:r w:rsidRPr="005B33A1">
        <w:rPr>
          <w:i/>
          <w:iCs/>
        </w:rPr>
        <w:t>The</w:t>
      </w:r>
      <w:r w:rsidR="003D640C" w:rsidRPr="005B33A1">
        <w:rPr>
          <w:i/>
          <w:iCs/>
        </w:rPr>
        <w:t xml:space="preserve"> </w:t>
      </w:r>
      <w:r w:rsidR="00231C0A">
        <w:rPr>
          <w:i/>
          <w:iCs/>
        </w:rPr>
        <w:t>e</w:t>
      </w:r>
      <w:r w:rsidRPr="005B33A1">
        <w:rPr>
          <w:i/>
          <w:iCs/>
        </w:rPr>
        <w:t>nd</w:t>
      </w:r>
      <w:r w:rsidR="003D640C" w:rsidRPr="005B33A1">
        <w:rPr>
          <w:i/>
          <w:iCs/>
        </w:rPr>
        <w:t xml:space="preserve"> </w:t>
      </w:r>
      <w:r w:rsidRPr="005B33A1">
        <w:rPr>
          <w:i/>
          <w:iCs/>
        </w:rPr>
        <w:t>of</w:t>
      </w:r>
      <w:r w:rsidR="003D640C" w:rsidRPr="005B33A1">
        <w:rPr>
          <w:i/>
          <w:iCs/>
        </w:rPr>
        <w:t xml:space="preserve"> </w:t>
      </w:r>
      <w:r w:rsidRPr="005B33A1">
        <w:rPr>
          <w:i/>
          <w:iCs/>
        </w:rPr>
        <w:t>the</w:t>
      </w:r>
      <w:r w:rsidR="003D640C" w:rsidRPr="005B33A1">
        <w:rPr>
          <w:i/>
          <w:iCs/>
        </w:rPr>
        <w:t xml:space="preserve"> </w:t>
      </w:r>
      <w:r w:rsidR="00231C0A">
        <w:rPr>
          <w:i/>
          <w:iCs/>
        </w:rPr>
        <w:t>r</w:t>
      </w:r>
      <w:r w:rsidRPr="005B33A1">
        <w:rPr>
          <w:i/>
          <w:iCs/>
        </w:rPr>
        <w:t>ainbow?</w:t>
      </w:r>
      <w:r w:rsidR="003D640C" w:rsidRPr="005B33A1">
        <w:rPr>
          <w:i/>
          <w:iCs/>
        </w:rPr>
        <w:t xml:space="preserve"> </w:t>
      </w:r>
      <w:r w:rsidRPr="005B33A1">
        <w:rPr>
          <w:i/>
          <w:iCs/>
        </w:rPr>
        <w:t>Chinese</w:t>
      </w:r>
      <w:r w:rsidR="003D640C" w:rsidRPr="005B33A1">
        <w:rPr>
          <w:i/>
          <w:iCs/>
        </w:rPr>
        <w:t xml:space="preserve"> </w:t>
      </w:r>
      <w:r w:rsidR="00231C0A">
        <w:rPr>
          <w:i/>
          <w:iCs/>
        </w:rPr>
        <w:t>q</w:t>
      </w:r>
      <w:r w:rsidRPr="005B33A1">
        <w:rPr>
          <w:i/>
          <w:iCs/>
        </w:rPr>
        <w:t>ueer</w:t>
      </w:r>
      <w:r w:rsidR="003D640C" w:rsidRPr="005B33A1">
        <w:rPr>
          <w:i/>
          <w:iCs/>
        </w:rPr>
        <w:t xml:space="preserve"> </w:t>
      </w:r>
      <w:r w:rsidR="00231C0A">
        <w:rPr>
          <w:i/>
          <w:iCs/>
        </w:rPr>
        <w:t>i</w:t>
      </w:r>
      <w:r w:rsidRPr="005B33A1">
        <w:rPr>
          <w:i/>
          <w:iCs/>
        </w:rPr>
        <w:t>nternational</w:t>
      </w:r>
      <w:r w:rsidR="003D640C" w:rsidRPr="005B33A1">
        <w:rPr>
          <w:i/>
          <w:iCs/>
        </w:rPr>
        <w:t xml:space="preserve"> </w:t>
      </w:r>
      <w:r w:rsidR="00231C0A">
        <w:rPr>
          <w:i/>
          <w:iCs/>
        </w:rPr>
        <w:t>s</w:t>
      </w:r>
      <w:r w:rsidRPr="005B33A1">
        <w:rPr>
          <w:i/>
          <w:iCs/>
        </w:rPr>
        <w:t>tudents</w:t>
      </w:r>
      <w:r w:rsidR="003D640C" w:rsidRPr="005B33A1">
        <w:rPr>
          <w:i/>
          <w:iCs/>
        </w:rPr>
        <w:t xml:space="preserve"> </w:t>
      </w:r>
      <w:r w:rsidR="00231C0A">
        <w:rPr>
          <w:i/>
          <w:iCs/>
        </w:rPr>
        <w:t>n</w:t>
      </w:r>
      <w:r w:rsidRPr="005B33A1">
        <w:rPr>
          <w:i/>
          <w:iCs/>
        </w:rPr>
        <w:t>egotiating</w:t>
      </w:r>
      <w:r w:rsidR="003D640C" w:rsidRPr="005B33A1">
        <w:rPr>
          <w:i/>
          <w:iCs/>
        </w:rPr>
        <w:t xml:space="preserve"> </w:t>
      </w:r>
      <w:r w:rsidRPr="005B33A1">
        <w:rPr>
          <w:i/>
          <w:iCs/>
        </w:rPr>
        <w:t>the</w:t>
      </w:r>
      <w:r w:rsidR="003D640C" w:rsidRPr="005B33A1">
        <w:rPr>
          <w:i/>
          <w:iCs/>
        </w:rPr>
        <w:t xml:space="preserve"> </w:t>
      </w:r>
      <w:r w:rsidRPr="005B33A1">
        <w:rPr>
          <w:i/>
          <w:iCs/>
        </w:rPr>
        <w:t>“</w:t>
      </w:r>
      <w:r w:rsidR="00231C0A">
        <w:rPr>
          <w:i/>
          <w:iCs/>
        </w:rPr>
        <w:t>e</w:t>
      </w:r>
      <w:r w:rsidRPr="005B33A1">
        <w:rPr>
          <w:i/>
          <w:iCs/>
        </w:rPr>
        <w:t>thnic</w:t>
      </w:r>
      <w:r w:rsidR="003D640C" w:rsidRPr="005B33A1">
        <w:rPr>
          <w:i/>
          <w:iCs/>
        </w:rPr>
        <w:t xml:space="preserve"> </w:t>
      </w:r>
      <w:r w:rsidR="00231C0A">
        <w:rPr>
          <w:i/>
          <w:iCs/>
        </w:rPr>
        <w:t>c</w:t>
      </w:r>
      <w:r w:rsidRPr="005B33A1">
        <w:rPr>
          <w:i/>
          <w:iCs/>
        </w:rPr>
        <w:t>loset”</w:t>
      </w:r>
      <w:r w:rsidR="003D640C" w:rsidRPr="005B33A1">
        <w:rPr>
          <w:i/>
          <w:iCs/>
        </w:rPr>
        <w:t xml:space="preserve"> </w:t>
      </w:r>
      <w:r w:rsidRPr="005B33A1">
        <w:rPr>
          <w:i/>
          <w:iCs/>
        </w:rPr>
        <w:t>in</w:t>
      </w:r>
      <w:r w:rsidR="003D640C" w:rsidRPr="005B33A1">
        <w:rPr>
          <w:i/>
          <w:iCs/>
        </w:rPr>
        <w:t xml:space="preserve"> </w:t>
      </w:r>
      <w:r w:rsidRPr="005B33A1">
        <w:rPr>
          <w:i/>
          <w:iCs/>
        </w:rPr>
        <w:t>New</w:t>
      </w:r>
      <w:r w:rsidR="003D640C" w:rsidRPr="005B33A1">
        <w:rPr>
          <w:i/>
          <w:iCs/>
        </w:rPr>
        <w:t xml:space="preserve"> </w:t>
      </w:r>
      <w:r w:rsidRPr="005B33A1">
        <w:rPr>
          <w:i/>
          <w:iCs/>
        </w:rPr>
        <w:t>Zealand</w:t>
      </w:r>
      <w:r>
        <w:t>.</w:t>
      </w:r>
      <w:r w:rsidR="003D640C">
        <w:t xml:space="preserve"> </w:t>
      </w:r>
      <w:r w:rsidR="00231C0A">
        <w:t>Community Research.</w:t>
      </w:r>
    </w:p>
  </w:footnote>
  <w:footnote w:id="223">
    <w:p w14:paraId="51733228" w14:textId="3344AD8B" w:rsidR="008B0FA9" w:rsidRDefault="008B0FA9" w:rsidP="00E00167">
      <w:pPr>
        <w:pStyle w:val="FootnoteText"/>
      </w:pPr>
      <w:r>
        <w:rPr>
          <w:rStyle w:val="FootnoteReference"/>
        </w:rPr>
        <w:footnoteRef/>
      </w:r>
      <w:r w:rsidR="003D640C">
        <w:t xml:space="preserve"> </w:t>
      </w:r>
      <w:r w:rsidRPr="00964303">
        <w:t>Tan</w:t>
      </w:r>
      <w:r w:rsidR="003D640C">
        <w:t xml:space="preserve"> </w:t>
      </w:r>
      <w:r w:rsidR="007D6979">
        <w:t>et</w:t>
      </w:r>
      <w:r w:rsidR="003D640C">
        <w:t xml:space="preserve"> </w:t>
      </w:r>
      <w:r w:rsidR="007D6979">
        <w:t>al,</w:t>
      </w:r>
      <w:r w:rsidR="003D640C">
        <w:t xml:space="preserve"> </w:t>
      </w:r>
      <w:r w:rsidR="007D6979">
        <w:t>202</w:t>
      </w:r>
      <w:r w:rsidR="00391C5B">
        <w:t>3,</w:t>
      </w:r>
      <w:r w:rsidR="003D640C">
        <w:t xml:space="preserve"> </w:t>
      </w:r>
      <w:r w:rsidR="00391C5B">
        <w:t>p.</w:t>
      </w:r>
      <w:r w:rsidR="00231C0A">
        <w:t xml:space="preserve"> </w:t>
      </w:r>
      <w:r w:rsidR="00391C5B">
        <w:t>2;</w:t>
      </w:r>
      <w:r w:rsidR="00391C5B" w:rsidDel="008E1CCA">
        <w:t xml:space="preserve"> </w:t>
      </w:r>
      <w:r>
        <w:t>Nakhid</w:t>
      </w:r>
      <w:r w:rsidR="003D640C">
        <w:t xml:space="preserve"> </w:t>
      </w:r>
      <w:r>
        <w:t>et</w:t>
      </w:r>
      <w:r w:rsidR="003D640C">
        <w:t xml:space="preserve"> </w:t>
      </w:r>
      <w:r>
        <w:t>al</w:t>
      </w:r>
      <w:r w:rsidR="00391C5B">
        <w:t>.,</w:t>
      </w:r>
      <w:r w:rsidR="003D640C">
        <w:t xml:space="preserve"> </w:t>
      </w:r>
      <w:r>
        <w:t>2020.</w:t>
      </w:r>
    </w:p>
  </w:footnote>
  <w:footnote w:id="224">
    <w:p w14:paraId="0962D391" w14:textId="52AEBA23" w:rsidR="008B0FA9" w:rsidRPr="00144ADA" w:rsidRDefault="008B0FA9" w:rsidP="00E00167">
      <w:pPr>
        <w:pStyle w:val="FootnoteText"/>
        <w:rPr>
          <w:rStyle w:val="FootnoteReference"/>
          <w:vertAlign w:val="baseline"/>
        </w:rPr>
      </w:pPr>
      <w:r w:rsidRPr="00E63B3F">
        <w:rPr>
          <w:rStyle w:val="FootnoteReference"/>
        </w:rPr>
        <w:footnoteRef/>
      </w:r>
      <w:r w:rsidR="003D640C">
        <w:rPr>
          <w:rStyle w:val="FootnoteReference"/>
        </w:rPr>
        <w:t xml:space="preserve"> </w:t>
      </w:r>
      <w:r>
        <w:rPr>
          <w:rStyle w:val="FootnoteReference"/>
          <w:vertAlign w:val="baseline"/>
        </w:rPr>
        <w:t>B</w:t>
      </w:r>
      <w:r>
        <w:t>al</w:t>
      </w:r>
      <w:r w:rsidR="003D640C">
        <w:t xml:space="preserve"> </w:t>
      </w:r>
      <w:r>
        <w:t>&amp;</w:t>
      </w:r>
      <w:r w:rsidR="003D640C">
        <w:t xml:space="preserve"> </w:t>
      </w:r>
      <w:r>
        <w:t>Divakalala</w:t>
      </w:r>
      <w:r w:rsidR="00391C5B">
        <w:t>,</w:t>
      </w:r>
      <w:r w:rsidR="003D640C">
        <w:t xml:space="preserve"> </w:t>
      </w:r>
      <w:r>
        <w:t>2022</w:t>
      </w:r>
      <w:r w:rsidR="00391C5B">
        <w:t>.</w:t>
      </w:r>
    </w:p>
  </w:footnote>
  <w:footnote w:id="225">
    <w:p w14:paraId="28386EC9" w14:textId="120A88DC" w:rsidR="008B0FA9" w:rsidRPr="00144ADA" w:rsidRDefault="008B0FA9" w:rsidP="00E00167">
      <w:pPr>
        <w:pStyle w:val="FootnoteText"/>
        <w:rPr>
          <w:rStyle w:val="FootnoteReference"/>
          <w:vertAlign w:val="baseline"/>
        </w:rPr>
      </w:pPr>
      <w:r w:rsidRPr="00E63B3F">
        <w:rPr>
          <w:rStyle w:val="FootnoteReference"/>
        </w:rPr>
        <w:footnoteRef/>
      </w:r>
      <w:r w:rsidR="003D640C">
        <w:rPr>
          <w:rStyle w:val="FootnoteReference"/>
        </w:rPr>
        <w:t xml:space="preserve"> </w:t>
      </w:r>
      <w:r>
        <w:rPr>
          <w:rStyle w:val="FootnoteReference"/>
          <w:vertAlign w:val="baseline"/>
        </w:rPr>
        <w:t>Bal</w:t>
      </w:r>
      <w:r w:rsidR="003D640C">
        <w:t xml:space="preserve"> </w:t>
      </w:r>
      <w:r>
        <w:t>&amp;</w:t>
      </w:r>
      <w:r w:rsidR="003D640C">
        <w:t xml:space="preserve"> </w:t>
      </w:r>
      <w:r>
        <w:t>Divakalala,</w:t>
      </w:r>
      <w:r w:rsidR="003D640C">
        <w:t xml:space="preserve"> </w:t>
      </w:r>
      <w:r>
        <w:rPr>
          <w:rStyle w:val="FootnoteReference"/>
          <w:vertAlign w:val="baseline"/>
        </w:rPr>
        <w:t>2022</w:t>
      </w:r>
      <w:r w:rsidR="00391C5B">
        <w:t>.</w:t>
      </w:r>
    </w:p>
  </w:footnote>
  <w:footnote w:id="226">
    <w:p w14:paraId="626D925D" w14:textId="7C8D13E2" w:rsidR="00F04606" w:rsidRDefault="00F04606" w:rsidP="00F04606">
      <w:pPr>
        <w:pStyle w:val="FootnoteText"/>
      </w:pPr>
      <w:r>
        <w:rPr>
          <w:rStyle w:val="FootnoteReference"/>
        </w:rPr>
        <w:footnoteRef/>
      </w:r>
      <w:r>
        <w:t xml:space="preserve"> Nakhid et al., 2020, p. 33–35.</w:t>
      </w:r>
    </w:p>
  </w:footnote>
  <w:footnote w:id="227">
    <w:p w14:paraId="25BDD843" w14:textId="4E3349BB" w:rsidR="008B0FA9" w:rsidRPr="00144ADA" w:rsidRDefault="008B0FA9" w:rsidP="008B0FA9">
      <w:pPr>
        <w:spacing w:after="0" w:line="240" w:lineRule="auto"/>
        <w:rPr>
          <w:sz w:val="20"/>
          <w:szCs w:val="20"/>
        </w:rPr>
      </w:pPr>
      <w:r w:rsidRPr="002E6693">
        <w:rPr>
          <w:rStyle w:val="FootnoteTextChar"/>
          <w:vertAlign w:val="superscript"/>
        </w:rPr>
        <w:footnoteRef/>
      </w:r>
      <w:r w:rsidR="003D640C">
        <w:rPr>
          <w:sz w:val="20"/>
          <w:szCs w:val="20"/>
          <w:vertAlign w:val="superscript"/>
        </w:rPr>
        <w:t xml:space="preserve"> </w:t>
      </w:r>
      <w:r w:rsidRPr="002E6693">
        <w:rPr>
          <w:rStyle w:val="FootnoteTextChar"/>
        </w:rPr>
        <w:t>Engagement</w:t>
      </w:r>
      <w:r w:rsidR="003D640C" w:rsidRPr="002E6693">
        <w:rPr>
          <w:rStyle w:val="FootnoteTextChar"/>
        </w:rPr>
        <w:t xml:space="preserve"> </w:t>
      </w:r>
      <w:r w:rsidRPr="002E6693">
        <w:rPr>
          <w:rStyle w:val="FootnoteTextChar"/>
        </w:rPr>
        <w:t>with</w:t>
      </w:r>
      <w:r w:rsidR="003D640C" w:rsidRPr="002E6693">
        <w:rPr>
          <w:rStyle w:val="FootnoteTextChar"/>
        </w:rPr>
        <w:t xml:space="preserve"> </w:t>
      </w:r>
      <w:r w:rsidR="000731B8">
        <w:rPr>
          <w:rStyle w:val="FootnoteTextChar"/>
        </w:rPr>
        <w:t xml:space="preserve">a </w:t>
      </w:r>
      <w:r w:rsidRPr="002E6693">
        <w:rPr>
          <w:rStyle w:val="FootnoteTextChar"/>
        </w:rPr>
        <w:t>Sri</w:t>
      </w:r>
      <w:r w:rsidR="003D640C" w:rsidRPr="002E6693">
        <w:rPr>
          <w:rStyle w:val="FootnoteTextChar"/>
        </w:rPr>
        <w:t xml:space="preserve"> </w:t>
      </w:r>
      <w:r w:rsidRPr="002E6693">
        <w:rPr>
          <w:rStyle w:val="FootnoteTextChar"/>
        </w:rPr>
        <w:t>Lankan</w:t>
      </w:r>
      <w:r w:rsidR="003D640C" w:rsidRPr="002E6693">
        <w:rPr>
          <w:rStyle w:val="FootnoteTextChar"/>
        </w:rPr>
        <w:t xml:space="preserve"> </w:t>
      </w:r>
      <w:r w:rsidRPr="002E6693">
        <w:rPr>
          <w:rStyle w:val="FootnoteTextChar"/>
        </w:rPr>
        <w:t>migrant</w:t>
      </w:r>
      <w:r w:rsidR="003D640C" w:rsidRPr="002E6693">
        <w:rPr>
          <w:rStyle w:val="FootnoteTextChar"/>
        </w:rPr>
        <w:t xml:space="preserve"> </w:t>
      </w:r>
      <w:r w:rsidRPr="002E6693">
        <w:rPr>
          <w:rStyle w:val="FootnoteTextChar"/>
        </w:rPr>
        <w:t>ally</w:t>
      </w:r>
      <w:r w:rsidR="003D640C" w:rsidRPr="002E6693">
        <w:rPr>
          <w:rStyle w:val="FootnoteTextChar"/>
        </w:rPr>
        <w:t xml:space="preserve"> </w:t>
      </w:r>
      <w:r w:rsidRPr="002E6693">
        <w:rPr>
          <w:rStyle w:val="FootnoteTextChar"/>
        </w:rPr>
        <w:t>of</w:t>
      </w:r>
      <w:r w:rsidR="003D640C" w:rsidRPr="002E6693">
        <w:rPr>
          <w:rStyle w:val="FootnoteTextChar"/>
        </w:rPr>
        <w:t xml:space="preserve"> </w:t>
      </w:r>
      <w:r w:rsidRPr="002E6693">
        <w:rPr>
          <w:rStyle w:val="FootnoteTextChar"/>
        </w:rPr>
        <w:t>the</w:t>
      </w:r>
      <w:r w:rsidR="003D640C" w:rsidRPr="002E6693">
        <w:rPr>
          <w:rStyle w:val="FootnoteTextChar"/>
        </w:rPr>
        <w:t xml:space="preserve"> </w:t>
      </w:r>
      <w:r w:rsidRPr="002E6693">
        <w:rPr>
          <w:rStyle w:val="FootnoteTextChar"/>
        </w:rPr>
        <w:t>Rainbow</w:t>
      </w:r>
      <w:r w:rsidR="003D640C" w:rsidRPr="002E6693">
        <w:rPr>
          <w:rStyle w:val="FootnoteTextChar"/>
        </w:rPr>
        <w:t xml:space="preserve"> </w:t>
      </w:r>
      <w:r w:rsidR="000731B8">
        <w:rPr>
          <w:rStyle w:val="FootnoteTextChar"/>
        </w:rPr>
        <w:t>c</w:t>
      </w:r>
      <w:r w:rsidRPr="002E6693">
        <w:rPr>
          <w:rStyle w:val="FootnoteTextChar"/>
        </w:rPr>
        <w:t>ommunity</w:t>
      </w:r>
      <w:r w:rsidR="000731B8">
        <w:rPr>
          <w:rStyle w:val="FootnoteTextChar"/>
        </w:rPr>
        <w:t>.</w:t>
      </w:r>
    </w:p>
  </w:footnote>
  <w:footnote w:id="228">
    <w:p w14:paraId="3C01E6B0" w14:textId="1FB23292" w:rsidR="00541767" w:rsidRPr="002E6693" w:rsidRDefault="00541767" w:rsidP="00E00167">
      <w:pPr>
        <w:pStyle w:val="FootnoteText"/>
      </w:pPr>
      <w:r w:rsidRPr="002E6693">
        <w:rPr>
          <w:rStyle w:val="FootnoteReference"/>
        </w:rPr>
        <w:footnoteRef/>
      </w:r>
      <w:r w:rsidR="003D640C" w:rsidRPr="002E6693">
        <w:t xml:space="preserve"> </w:t>
      </w:r>
      <w:r w:rsidR="003C61DC" w:rsidRPr="002E6693">
        <w:t>Stats</w:t>
      </w:r>
      <w:r w:rsidR="003D640C" w:rsidRPr="002E6693">
        <w:t xml:space="preserve"> </w:t>
      </w:r>
      <w:r w:rsidR="003C61DC" w:rsidRPr="002E6693">
        <w:t>NZ</w:t>
      </w:r>
      <w:r w:rsidR="009C4BD8">
        <w:t>,</w:t>
      </w:r>
      <w:r w:rsidR="003D640C" w:rsidRPr="002E6693">
        <w:t xml:space="preserve"> </w:t>
      </w:r>
      <w:r w:rsidR="003C61DC" w:rsidRPr="002E6693">
        <w:t>202</w:t>
      </w:r>
      <w:r w:rsidR="00D97BD2" w:rsidRPr="002E6693">
        <w:t>1.</w:t>
      </w:r>
      <w:r w:rsidR="003D640C" w:rsidRPr="002E6693">
        <w:t xml:space="preserve"> </w:t>
      </w:r>
    </w:p>
  </w:footnote>
  <w:footnote w:id="229">
    <w:p w14:paraId="51C2DDEB" w14:textId="1C6FF7F0" w:rsidR="0070354B" w:rsidRPr="002E6693" w:rsidRDefault="0070354B" w:rsidP="00702061">
      <w:pPr>
        <w:spacing w:after="0"/>
        <w:rPr>
          <w:rFonts w:ascii="Calibri" w:hAnsi="Calibri" w:cs="Calibri"/>
          <w:sz w:val="20"/>
          <w:szCs w:val="20"/>
        </w:rPr>
      </w:pPr>
      <w:r w:rsidRPr="002E6693">
        <w:rPr>
          <w:rStyle w:val="FootnoteReference"/>
          <w:sz w:val="20"/>
          <w:szCs w:val="20"/>
        </w:rPr>
        <w:footnoteRef/>
      </w:r>
      <w:r w:rsidR="003D640C" w:rsidRPr="002E6693">
        <w:rPr>
          <w:sz w:val="20"/>
          <w:szCs w:val="20"/>
        </w:rPr>
        <w:t xml:space="preserve"> </w:t>
      </w:r>
      <w:r w:rsidR="00BA5D8A" w:rsidRPr="002E6693">
        <w:rPr>
          <w:rFonts w:ascii="Calibri" w:hAnsi="Calibri" w:cs="Calibri"/>
          <w:sz w:val="20"/>
          <w:szCs w:val="20"/>
        </w:rPr>
        <w:t>Human</w:t>
      </w:r>
      <w:r w:rsidR="003D640C" w:rsidRPr="002E6693">
        <w:rPr>
          <w:rFonts w:ascii="Calibri" w:hAnsi="Calibri" w:cs="Calibri"/>
          <w:sz w:val="20"/>
          <w:szCs w:val="20"/>
        </w:rPr>
        <w:t xml:space="preserve"> </w:t>
      </w:r>
      <w:r w:rsidR="00BA5D8A" w:rsidRPr="002E6693">
        <w:rPr>
          <w:rFonts w:ascii="Calibri" w:hAnsi="Calibri" w:cs="Calibri"/>
          <w:sz w:val="20"/>
          <w:szCs w:val="20"/>
        </w:rPr>
        <w:t>Rights</w:t>
      </w:r>
      <w:r w:rsidR="003D640C" w:rsidRPr="002E6693">
        <w:rPr>
          <w:rFonts w:ascii="Calibri" w:hAnsi="Calibri" w:cs="Calibri"/>
          <w:sz w:val="20"/>
          <w:szCs w:val="20"/>
        </w:rPr>
        <w:t xml:space="preserve"> </w:t>
      </w:r>
      <w:r w:rsidR="00BA5D8A" w:rsidRPr="002E6693">
        <w:rPr>
          <w:rFonts w:ascii="Calibri" w:hAnsi="Calibri" w:cs="Calibri"/>
          <w:sz w:val="20"/>
          <w:szCs w:val="20"/>
        </w:rPr>
        <w:t>Commission</w:t>
      </w:r>
      <w:r w:rsidR="00634D3F" w:rsidRPr="002E6693">
        <w:rPr>
          <w:rFonts w:ascii="Calibri" w:hAnsi="Calibri" w:cs="Calibri"/>
          <w:sz w:val="20"/>
          <w:szCs w:val="20"/>
        </w:rPr>
        <w:t>.</w:t>
      </w:r>
      <w:r w:rsidR="003D640C" w:rsidRPr="002E6693">
        <w:rPr>
          <w:rFonts w:ascii="Calibri" w:hAnsi="Calibri" w:cs="Calibri"/>
          <w:sz w:val="20"/>
          <w:szCs w:val="20"/>
        </w:rPr>
        <w:t xml:space="preserve"> </w:t>
      </w:r>
      <w:r w:rsidR="00634D3F" w:rsidRPr="002E6693">
        <w:rPr>
          <w:rFonts w:ascii="Calibri" w:hAnsi="Calibri" w:cs="Calibri"/>
          <w:sz w:val="20"/>
          <w:szCs w:val="20"/>
        </w:rPr>
        <w:t>(2008).</w:t>
      </w:r>
      <w:r w:rsidR="003D640C" w:rsidRPr="002E6693">
        <w:rPr>
          <w:rFonts w:ascii="Calibri" w:hAnsi="Calibri" w:cs="Calibri"/>
          <w:sz w:val="20"/>
          <w:szCs w:val="20"/>
        </w:rPr>
        <w:t xml:space="preserve"> </w:t>
      </w:r>
      <w:r w:rsidR="00634D3F" w:rsidRPr="002E6693">
        <w:rPr>
          <w:rFonts w:ascii="Calibri" w:hAnsi="Calibri" w:cs="Calibri"/>
          <w:i/>
          <w:sz w:val="20"/>
          <w:szCs w:val="20"/>
        </w:rPr>
        <w:t>To</w:t>
      </w:r>
      <w:r w:rsidR="003D640C" w:rsidRPr="002E6693">
        <w:rPr>
          <w:rFonts w:ascii="Calibri" w:hAnsi="Calibri" w:cs="Calibri"/>
          <w:i/>
          <w:sz w:val="20"/>
          <w:szCs w:val="20"/>
        </w:rPr>
        <w:t xml:space="preserve"> </w:t>
      </w:r>
      <w:r w:rsidR="00CB0BD9">
        <w:rPr>
          <w:rFonts w:ascii="Calibri" w:hAnsi="Calibri" w:cs="Calibri"/>
          <w:i/>
          <w:sz w:val="20"/>
          <w:szCs w:val="20"/>
        </w:rPr>
        <w:t>b</w:t>
      </w:r>
      <w:r w:rsidR="00634D3F" w:rsidRPr="002E6693">
        <w:rPr>
          <w:rFonts w:ascii="Calibri" w:hAnsi="Calibri" w:cs="Calibri"/>
          <w:i/>
          <w:sz w:val="20"/>
          <w:szCs w:val="20"/>
        </w:rPr>
        <w:t>e</w:t>
      </w:r>
      <w:r w:rsidR="003D640C" w:rsidRPr="002E6693">
        <w:rPr>
          <w:rFonts w:ascii="Calibri" w:hAnsi="Calibri" w:cs="Calibri"/>
          <w:i/>
          <w:sz w:val="20"/>
          <w:szCs w:val="20"/>
        </w:rPr>
        <w:t xml:space="preserve"> </w:t>
      </w:r>
      <w:r w:rsidR="00CB0BD9">
        <w:rPr>
          <w:rFonts w:ascii="Calibri" w:hAnsi="Calibri" w:cs="Calibri"/>
          <w:i/>
          <w:sz w:val="20"/>
          <w:szCs w:val="20"/>
        </w:rPr>
        <w:t>w</w:t>
      </w:r>
      <w:r w:rsidR="00634D3F" w:rsidRPr="002E6693">
        <w:rPr>
          <w:rFonts w:ascii="Calibri" w:hAnsi="Calibri" w:cs="Calibri"/>
          <w:i/>
          <w:sz w:val="20"/>
          <w:szCs w:val="20"/>
        </w:rPr>
        <w:t>ho</w:t>
      </w:r>
      <w:r w:rsidR="003D640C" w:rsidRPr="002E6693">
        <w:rPr>
          <w:rFonts w:ascii="Calibri" w:hAnsi="Calibri" w:cs="Calibri"/>
          <w:i/>
          <w:sz w:val="20"/>
          <w:szCs w:val="20"/>
        </w:rPr>
        <w:t xml:space="preserve"> </w:t>
      </w:r>
      <w:r w:rsidR="00634D3F" w:rsidRPr="002E6693">
        <w:rPr>
          <w:rFonts w:ascii="Calibri" w:hAnsi="Calibri" w:cs="Calibri"/>
          <w:i/>
          <w:sz w:val="20"/>
          <w:szCs w:val="20"/>
        </w:rPr>
        <w:t>I</w:t>
      </w:r>
      <w:r w:rsidR="003D640C" w:rsidRPr="002E6693">
        <w:rPr>
          <w:rFonts w:ascii="Calibri" w:hAnsi="Calibri" w:cs="Calibri"/>
          <w:i/>
          <w:sz w:val="20"/>
          <w:szCs w:val="20"/>
        </w:rPr>
        <w:t xml:space="preserve"> </w:t>
      </w:r>
      <w:r w:rsidR="00CB0BD9">
        <w:rPr>
          <w:rFonts w:ascii="Calibri" w:hAnsi="Calibri" w:cs="Calibri"/>
          <w:i/>
          <w:sz w:val="20"/>
          <w:szCs w:val="20"/>
        </w:rPr>
        <w:t>a</w:t>
      </w:r>
      <w:r w:rsidR="00634D3F" w:rsidRPr="002E6693">
        <w:rPr>
          <w:rFonts w:ascii="Calibri" w:hAnsi="Calibri" w:cs="Calibri"/>
          <w:i/>
          <w:sz w:val="20"/>
          <w:szCs w:val="20"/>
        </w:rPr>
        <w:t>m:</w:t>
      </w:r>
      <w:r w:rsidR="003D640C" w:rsidRPr="002E6693">
        <w:rPr>
          <w:rFonts w:ascii="Calibri" w:hAnsi="Calibri" w:cs="Calibri"/>
          <w:i/>
          <w:sz w:val="20"/>
          <w:szCs w:val="20"/>
        </w:rPr>
        <w:t xml:space="preserve"> </w:t>
      </w:r>
      <w:r w:rsidR="00634D3F" w:rsidRPr="002E6693">
        <w:rPr>
          <w:rFonts w:ascii="Calibri" w:hAnsi="Calibri" w:cs="Calibri"/>
          <w:i/>
          <w:sz w:val="20"/>
          <w:szCs w:val="20"/>
        </w:rPr>
        <w:t>Report</w:t>
      </w:r>
      <w:r w:rsidR="003D640C" w:rsidRPr="002E6693">
        <w:rPr>
          <w:rFonts w:ascii="Calibri" w:hAnsi="Calibri" w:cs="Calibri"/>
          <w:i/>
          <w:sz w:val="20"/>
          <w:szCs w:val="20"/>
        </w:rPr>
        <w:t xml:space="preserve"> </w:t>
      </w:r>
      <w:r w:rsidR="00634D3F" w:rsidRPr="002E6693">
        <w:rPr>
          <w:rFonts w:ascii="Calibri" w:hAnsi="Calibri" w:cs="Calibri"/>
          <w:i/>
          <w:sz w:val="20"/>
          <w:szCs w:val="20"/>
        </w:rPr>
        <w:t>of</w:t>
      </w:r>
      <w:r w:rsidR="003D640C" w:rsidRPr="002E6693">
        <w:rPr>
          <w:rFonts w:ascii="Calibri" w:hAnsi="Calibri" w:cs="Calibri"/>
          <w:i/>
          <w:sz w:val="20"/>
          <w:szCs w:val="20"/>
        </w:rPr>
        <w:t xml:space="preserve"> </w:t>
      </w:r>
      <w:r w:rsidR="00634D3F" w:rsidRPr="002E6693">
        <w:rPr>
          <w:rFonts w:ascii="Calibri" w:hAnsi="Calibri" w:cs="Calibri"/>
          <w:i/>
          <w:sz w:val="20"/>
          <w:szCs w:val="20"/>
        </w:rPr>
        <w:t>the</w:t>
      </w:r>
      <w:r w:rsidR="003D640C" w:rsidRPr="002E6693">
        <w:rPr>
          <w:rFonts w:ascii="Calibri" w:hAnsi="Calibri" w:cs="Calibri"/>
          <w:i/>
          <w:sz w:val="20"/>
          <w:szCs w:val="20"/>
        </w:rPr>
        <w:t xml:space="preserve"> </w:t>
      </w:r>
      <w:r w:rsidR="00634D3F" w:rsidRPr="002E6693">
        <w:rPr>
          <w:rFonts w:ascii="Calibri" w:hAnsi="Calibri" w:cs="Calibri"/>
          <w:i/>
          <w:sz w:val="20"/>
          <w:szCs w:val="20"/>
        </w:rPr>
        <w:t>Inquiry</w:t>
      </w:r>
      <w:r w:rsidR="003D640C" w:rsidRPr="002E6693">
        <w:rPr>
          <w:rFonts w:ascii="Calibri" w:hAnsi="Calibri" w:cs="Calibri"/>
          <w:i/>
          <w:sz w:val="20"/>
          <w:szCs w:val="20"/>
        </w:rPr>
        <w:t xml:space="preserve"> </w:t>
      </w:r>
      <w:r w:rsidR="00634D3F" w:rsidRPr="002E6693">
        <w:rPr>
          <w:rFonts w:ascii="Calibri" w:hAnsi="Calibri" w:cs="Calibri"/>
          <w:i/>
          <w:sz w:val="20"/>
          <w:szCs w:val="20"/>
        </w:rPr>
        <w:t>into</w:t>
      </w:r>
      <w:r w:rsidR="003D640C" w:rsidRPr="002E6693">
        <w:rPr>
          <w:rFonts w:ascii="Calibri" w:hAnsi="Calibri" w:cs="Calibri"/>
          <w:i/>
          <w:sz w:val="20"/>
          <w:szCs w:val="20"/>
        </w:rPr>
        <w:t xml:space="preserve"> </w:t>
      </w:r>
      <w:r w:rsidR="00634D3F" w:rsidRPr="002E6693">
        <w:rPr>
          <w:rFonts w:ascii="Calibri" w:hAnsi="Calibri" w:cs="Calibri"/>
          <w:i/>
          <w:sz w:val="20"/>
          <w:szCs w:val="20"/>
        </w:rPr>
        <w:t>Discrimination</w:t>
      </w:r>
      <w:r w:rsidR="003D640C" w:rsidRPr="002E6693">
        <w:rPr>
          <w:rFonts w:ascii="Calibri" w:hAnsi="Calibri" w:cs="Calibri"/>
          <w:i/>
          <w:sz w:val="20"/>
          <w:szCs w:val="20"/>
        </w:rPr>
        <w:t xml:space="preserve"> </w:t>
      </w:r>
      <w:r w:rsidR="00634D3F" w:rsidRPr="002E6693">
        <w:rPr>
          <w:rFonts w:ascii="Calibri" w:hAnsi="Calibri" w:cs="Calibri"/>
          <w:i/>
          <w:sz w:val="20"/>
          <w:szCs w:val="20"/>
        </w:rPr>
        <w:t>Experienced</w:t>
      </w:r>
      <w:r w:rsidR="003D640C" w:rsidRPr="002E6693">
        <w:rPr>
          <w:rFonts w:ascii="Calibri" w:hAnsi="Calibri" w:cs="Calibri"/>
          <w:i/>
          <w:sz w:val="20"/>
          <w:szCs w:val="20"/>
        </w:rPr>
        <w:t xml:space="preserve"> </w:t>
      </w:r>
      <w:r w:rsidR="00634D3F" w:rsidRPr="002E6693">
        <w:rPr>
          <w:rFonts w:ascii="Calibri" w:hAnsi="Calibri" w:cs="Calibri"/>
          <w:i/>
          <w:sz w:val="20"/>
          <w:szCs w:val="20"/>
        </w:rPr>
        <w:t>by</w:t>
      </w:r>
      <w:r w:rsidR="003D640C" w:rsidRPr="002E6693">
        <w:rPr>
          <w:rFonts w:ascii="Calibri" w:hAnsi="Calibri" w:cs="Calibri"/>
          <w:i/>
          <w:sz w:val="20"/>
          <w:szCs w:val="20"/>
        </w:rPr>
        <w:t xml:space="preserve"> </w:t>
      </w:r>
      <w:r w:rsidR="00634D3F" w:rsidRPr="002E6693">
        <w:rPr>
          <w:rFonts w:ascii="Calibri" w:hAnsi="Calibri" w:cs="Calibri"/>
          <w:i/>
          <w:sz w:val="20"/>
          <w:szCs w:val="20"/>
        </w:rPr>
        <w:t>Transgender</w:t>
      </w:r>
      <w:r w:rsidR="003D640C" w:rsidRPr="002E6693">
        <w:rPr>
          <w:rFonts w:ascii="Calibri" w:hAnsi="Calibri" w:cs="Calibri"/>
          <w:i/>
          <w:sz w:val="20"/>
          <w:szCs w:val="20"/>
        </w:rPr>
        <w:t xml:space="preserve"> </w:t>
      </w:r>
      <w:r w:rsidR="00634D3F" w:rsidRPr="002E6693">
        <w:rPr>
          <w:rFonts w:ascii="Calibri" w:hAnsi="Calibri" w:cs="Calibri"/>
          <w:i/>
          <w:sz w:val="20"/>
          <w:szCs w:val="20"/>
        </w:rPr>
        <w:t>People</w:t>
      </w:r>
      <w:r w:rsidR="00634D3F" w:rsidRPr="002E6693">
        <w:rPr>
          <w:rFonts w:ascii="Calibri" w:hAnsi="Calibri" w:cs="Calibri"/>
          <w:sz w:val="20"/>
          <w:szCs w:val="20"/>
        </w:rPr>
        <w:t>.</w:t>
      </w:r>
      <w:r w:rsidR="003D640C" w:rsidRPr="002E6693">
        <w:rPr>
          <w:rFonts w:ascii="Calibri" w:hAnsi="Calibri" w:cs="Calibri"/>
          <w:sz w:val="20"/>
          <w:szCs w:val="20"/>
        </w:rPr>
        <w:t xml:space="preserve"> </w:t>
      </w:r>
    </w:p>
  </w:footnote>
  <w:footnote w:id="230">
    <w:p w14:paraId="26F9E2AC" w14:textId="7C20133F" w:rsidR="002B207B" w:rsidRPr="002E6693" w:rsidRDefault="002B207B" w:rsidP="00E00167">
      <w:pPr>
        <w:pStyle w:val="FootnoteText"/>
      </w:pPr>
      <w:r w:rsidRPr="002E6693">
        <w:rPr>
          <w:rStyle w:val="FootnoteReference"/>
        </w:rPr>
        <w:footnoteRef/>
      </w:r>
      <w:r w:rsidR="003D640C" w:rsidRPr="002E6693">
        <w:t xml:space="preserve"> </w:t>
      </w:r>
      <w:r w:rsidRPr="002E6693">
        <w:t>Veale</w:t>
      </w:r>
      <w:r w:rsidR="003D640C" w:rsidRPr="002E6693">
        <w:t xml:space="preserve"> </w:t>
      </w:r>
      <w:r w:rsidRPr="002E6693">
        <w:t>et</w:t>
      </w:r>
      <w:r w:rsidR="003D640C" w:rsidRPr="002E6693">
        <w:t xml:space="preserve"> </w:t>
      </w:r>
      <w:r w:rsidRPr="002E6693">
        <w:t>al.</w:t>
      </w:r>
      <w:r w:rsidR="009A5A05">
        <w:t>,</w:t>
      </w:r>
      <w:r w:rsidR="003D640C" w:rsidRPr="002E6693">
        <w:t xml:space="preserve"> </w:t>
      </w:r>
      <w:r w:rsidRPr="002E6693">
        <w:t>2019</w:t>
      </w:r>
      <w:r w:rsidR="00C352BC" w:rsidRPr="002E6693">
        <w:t>.</w:t>
      </w:r>
    </w:p>
  </w:footnote>
  <w:footnote w:id="231">
    <w:p w14:paraId="76FC489C" w14:textId="3FD1DB2C" w:rsidR="005A7B7E" w:rsidRPr="002E6693" w:rsidRDefault="005A7B7E" w:rsidP="00E00167">
      <w:pPr>
        <w:pStyle w:val="FootnoteText"/>
      </w:pPr>
      <w:r w:rsidRPr="00B81007">
        <w:rPr>
          <w:rStyle w:val="FootnoteReference"/>
        </w:rPr>
        <w:footnoteRef/>
      </w:r>
      <w:r w:rsidR="003D640C" w:rsidRPr="00B81007">
        <w:t xml:space="preserve"> </w:t>
      </w:r>
      <w:r w:rsidR="00B60364" w:rsidRPr="00B81007">
        <w:t>Forthcoming</w:t>
      </w:r>
      <w:r w:rsidR="003D640C" w:rsidRPr="00B81007">
        <w:t xml:space="preserve"> </w:t>
      </w:r>
      <w:r w:rsidR="00C03B13" w:rsidRPr="00B81007">
        <w:t xml:space="preserve">analysis of </w:t>
      </w:r>
      <w:r w:rsidR="00B81007" w:rsidRPr="00B81007">
        <w:t xml:space="preserve">the 2022 wave of </w:t>
      </w:r>
      <w:r w:rsidR="00C03B13" w:rsidRPr="00B81007">
        <w:rPr>
          <w:i/>
          <w:iCs/>
        </w:rPr>
        <w:t>Counting Ourselves</w:t>
      </w:r>
      <w:r w:rsidR="00B81007" w:rsidRPr="00B81007">
        <w:rPr>
          <w:i/>
          <w:iCs/>
        </w:rPr>
        <w:t xml:space="preserve"> </w:t>
      </w:r>
      <w:r w:rsidR="00B81007" w:rsidRPr="00B81007">
        <w:t xml:space="preserve">will be published </w:t>
      </w:r>
      <w:r w:rsidR="00B60364" w:rsidRPr="00B81007">
        <w:t>in</w:t>
      </w:r>
      <w:r w:rsidR="003D640C" w:rsidRPr="00B81007">
        <w:t xml:space="preserve"> </w:t>
      </w:r>
      <w:r w:rsidR="00B60364" w:rsidRPr="00B81007">
        <w:t>2024</w:t>
      </w:r>
      <w:r w:rsidR="009C4BD8" w:rsidRPr="00B81007">
        <w:t>.</w:t>
      </w:r>
    </w:p>
  </w:footnote>
  <w:footnote w:id="232">
    <w:p w14:paraId="5FF1D198" w14:textId="13874652" w:rsidR="009051EE" w:rsidRPr="002E6693" w:rsidRDefault="009051EE" w:rsidP="00E00167">
      <w:pPr>
        <w:pStyle w:val="FootnoteText"/>
      </w:pPr>
      <w:r w:rsidRPr="002E6693">
        <w:rPr>
          <w:rStyle w:val="FootnoteReference"/>
        </w:rPr>
        <w:footnoteRef/>
      </w:r>
      <w:r w:rsidR="003D640C" w:rsidRPr="002E6693">
        <w:t xml:space="preserve"> </w:t>
      </w:r>
      <w:r w:rsidRPr="002E6693">
        <w:t>Hattotuwa</w:t>
      </w:r>
      <w:r w:rsidR="003D640C" w:rsidRPr="002E6693">
        <w:t xml:space="preserve"> </w:t>
      </w:r>
      <w:r w:rsidRPr="002E6693">
        <w:t>et</w:t>
      </w:r>
      <w:r w:rsidR="003D640C" w:rsidRPr="002E6693">
        <w:t xml:space="preserve"> </w:t>
      </w:r>
      <w:r w:rsidRPr="002E6693">
        <w:t>al.</w:t>
      </w:r>
      <w:r w:rsidR="00627B7F">
        <w:t>,</w:t>
      </w:r>
      <w:r w:rsidR="003D640C" w:rsidRPr="002E6693">
        <w:t xml:space="preserve"> </w:t>
      </w:r>
      <w:r w:rsidRPr="002E6693">
        <w:t>2023</w:t>
      </w:r>
      <w:r w:rsidR="00E11116" w:rsidRPr="002E6693">
        <w:t>.</w:t>
      </w:r>
    </w:p>
  </w:footnote>
  <w:footnote w:id="233">
    <w:p w14:paraId="147BD086" w14:textId="065340E3" w:rsidR="0065294F" w:rsidRPr="002E6693" w:rsidRDefault="0065294F" w:rsidP="00E00167">
      <w:pPr>
        <w:pStyle w:val="FootnoteText"/>
      </w:pPr>
      <w:r w:rsidRPr="002E6693">
        <w:rPr>
          <w:rStyle w:val="FootnoteReference"/>
        </w:rPr>
        <w:footnoteRef/>
      </w:r>
      <w:r w:rsidR="003D640C" w:rsidRPr="002E6693">
        <w:t xml:space="preserve"> </w:t>
      </w:r>
      <w:r w:rsidRPr="002E6693">
        <w:t>Independent</w:t>
      </w:r>
      <w:r w:rsidR="003D640C" w:rsidRPr="002E6693">
        <w:t xml:space="preserve"> </w:t>
      </w:r>
      <w:r w:rsidRPr="002E6693">
        <w:t>Expert</w:t>
      </w:r>
      <w:r w:rsidR="003D640C" w:rsidRPr="002E6693">
        <w:t xml:space="preserve"> </w:t>
      </w:r>
      <w:r w:rsidRPr="002E6693">
        <w:t>on</w:t>
      </w:r>
      <w:r w:rsidR="003D640C" w:rsidRPr="002E6693">
        <w:t xml:space="preserve"> </w:t>
      </w:r>
      <w:r w:rsidR="00EA68A9">
        <w:t>S</w:t>
      </w:r>
      <w:r w:rsidRPr="002E6693">
        <w:t>exual</w:t>
      </w:r>
      <w:r w:rsidR="003D640C" w:rsidRPr="002E6693">
        <w:t xml:space="preserve"> </w:t>
      </w:r>
      <w:r w:rsidR="00EA68A9">
        <w:t>O</w:t>
      </w:r>
      <w:r w:rsidRPr="002E6693">
        <w:t>rientation</w:t>
      </w:r>
      <w:r w:rsidR="003D640C" w:rsidRPr="002E6693">
        <w:t xml:space="preserve"> </w:t>
      </w:r>
      <w:r w:rsidRPr="002E6693">
        <w:t>and</w:t>
      </w:r>
      <w:r w:rsidR="003D640C" w:rsidRPr="002E6693">
        <w:t xml:space="preserve"> </w:t>
      </w:r>
      <w:r w:rsidR="00EA68A9">
        <w:t>G</w:t>
      </w:r>
      <w:r w:rsidRPr="002E6693">
        <w:t>ender</w:t>
      </w:r>
      <w:r w:rsidR="003D640C" w:rsidRPr="002E6693">
        <w:t xml:space="preserve"> </w:t>
      </w:r>
      <w:r w:rsidR="00EA68A9">
        <w:t>I</w:t>
      </w:r>
      <w:r w:rsidRPr="002E6693">
        <w:t>dentity.</w:t>
      </w:r>
      <w:r w:rsidR="003D640C" w:rsidRPr="002E6693">
        <w:t xml:space="preserve"> </w:t>
      </w:r>
      <w:r w:rsidRPr="002E6693">
        <w:t>(</w:t>
      </w:r>
      <w:r w:rsidR="00F71E4A" w:rsidRPr="002E6693">
        <w:t>n.d.)</w:t>
      </w:r>
      <w:r w:rsidR="00EA68A9">
        <w:t>.</w:t>
      </w:r>
      <w:r w:rsidR="003D640C" w:rsidRPr="002E6693">
        <w:t xml:space="preserve"> </w:t>
      </w:r>
      <w:r w:rsidR="00F71E4A" w:rsidRPr="005B33A1">
        <w:rPr>
          <w:i/>
          <w:iCs/>
        </w:rPr>
        <w:t>The</w:t>
      </w:r>
      <w:r w:rsidR="003D640C" w:rsidRPr="005B33A1">
        <w:rPr>
          <w:i/>
          <w:iCs/>
        </w:rPr>
        <w:t xml:space="preserve"> </w:t>
      </w:r>
      <w:r w:rsidR="00F71E4A" w:rsidRPr="005B33A1">
        <w:rPr>
          <w:i/>
          <w:iCs/>
        </w:rPr>
        <w:t>struggle</w:t>
      </w:r>
      <w:r w:rsidR="003D640C" w:rsidRPr="005B33A1">
        <w:rPr>
          <w:i/>
          <w:iCs/>
        </w:rPr>
        <w:t xml:space="preserve"> </w:t>
      </w:r>
      <w:r w:rsidR="00F71E4A" w:rsidRPr="005B33A1">
        <w:rPr>
          <w:i/>
          <w:iCs/>
        </w:rPr>
        <w:t>of</w:t>
      </w:r>
      <w:r w:rsidR="003D640C" w:rsidRPr="005B33A1">
        <w:rPr>
          <w:i/>
          <w:iCs/>
        </w:rPr>
        <w:t xml:space="preserve"> </w:t>
      </w:r>
      <w:r w:rsidR="00F71E4A" w:rsidRPr="005B33A1">
        <w:rPr>
          <w:i/>
          <w:iCs/>
        </w:rPr>
        <w:t>trans</w:t>
      </w:r>
      <w:r w:rsidR="003D640C" w:rsidRPr="005B33A1">
        <w:rPr>
          <w:i/>
          <w:iCs/>
        </w:rPr>
        <w:t xml:space="preserve"> </w:t>
      </w:r>
      <w:r w:rsidR="00F71E4A" w:rsidRPr="005B33A1">
        <w:rPr>
          <w:i/>
          <w:iCs/>
        </w:rPr>
        <w:t>and</w:t>
      </w:r>
      <w:r w:rsidR="003D640C" w:rsidRPr="005B33A1">
        <w:rPr>
          <w:i/>
          <w:iCs/>
        </w:rPr>
        <w:t xml:space="preserve"> </w:t>
      </w:r>
      <w:r w:rsidR="00F71E4A" w:rsidRPr="005B33A1">
        <w:rPr>
          <w:i/>
          <w:iCs/>
        </w:rPr>
        <w:t>gender-diverse</w:t>
      </w:r>
      <w:r w:rsidR="003D640C" w:rsidRPr="005B33A1">
        <w:rPr>
          <w:i/>
          <w:iCs/>
        </w:rPr>
        <w:t xml:space="preserve"> </w:t>
      </w:r>
      <w:r w:rsidR="00F71E4A" w:rsidRPr="005B33A1">
        <w:rPr>
          <w:i/>
          <w:iCs/>
        </w:rPr>
        <w:t>persons</w:t>
      </w:r>
      <w:r w:rsidR="00F71E4A" w:rsidRPr="002E6693">
        <w:t>.</w:t>
      </w:r>
      <w:r w:rsidR="003D640C" w:rsidRPr="002E6693">
        <w:t xml:space="preserve"> </w:t>
      </w:r>
      <w:r w:rsidR="007D5874" w:rsidRPr="002E6693">
        <w:t>United</w:t>
      </w:r>
      <w:r w:rsidR="003D640C" w:rsidRPr="002E6693">
        <w:t xml:space="preserve"> </w:t>
      </w:r>
      <w:r w:rsidR="007D5874" w:rsidRPr="002E6693">
        <w:t>Nations</w:t>
      </w:r>
      <w:r w:rsidR="003D640C" w:rsidRPr="002E6693">
        <w:t xml:space="preserve"> </w:t>
      </w:r>
      <w:r w:rsidR="007D5874" w:rsidRPr="002E6693">
        <w:t>Human</w:t>
      </w:r>
      <w:r w:rsidR="003D640C" w:rsidRPr="002E6693">
        <w:t xml:space="preserve"> </w:t>
      </w:r>
      <w:r w:rsidR="007D5874" w:rsidRPr="002E6693">
        <w:t>Rights</w:t>
      </w:r>
      <w:r w:rsidR="003D640C" w:rsidRPr="002E6693">
        <w:t xml:space="preserve"> </w:t>
      </w:r>
      <w:r w:rsidR="007D5874" w:rsidRPr="002E6693">
        <w:t>Office</w:t>
      </w:r>
      <w:r w:rsidR="003D640C" w:rsidRPr="002E6693">
        <w:t xml:space="preserve"> </w:t>
      </w:r>
      <w:r w:rsidR="007D5874" w:rsidRPr="002E6693">
        <w:t>of</w:t>
      </w:r>
      <w:r w:rsidR="003D640C" w:rsidRPr="002E6693">
        <w:t xml:space="preserve"> </w:t>
      </w:r>
      <w:r w:rsidR="007D5874" w:rsidRPr="002E6693">
        <w:t>the</w:t>
      </w:r>
      <w:r w:rsidR="003D640C" w:rsidRPr="002E6693">
        <w:t xml:space="preserve"> </w:t>
      </w:r>
      <w:r w:rsidR="007D5874" w:rsidRPr="002E6693">
        <w:t>High</w:t>
      </w:r>
      <w:r w:rsidR="003D640C" w:rsidRPr="002E6693">
        <w:t xml:space="preserve"> </w:t>
      </w:r>
      <w:r w:rsidR="007D5874" w:rsidRPr="002E6693">
        <w:t>Commissioner.</w:t>
      </w:r>
    </w:p>
  </w:footnote>
  <w:footnote w:id="234">
    <w:p w14:paraId="1FCF8D5B" w14:textId="0DD7DBE0" w:rsidR="00D60C78" w:rsidRPr="002E6693" w:rsidRDefault="00D60C78" w:rsidP="00E00167">
      <w:pPr>
        <w:pStyle w:val="FootnoteText"/>
      </w:pPr>
      <w:r w:rsidRPr="002E6693">
        <w:rPr>
          <w:rStyle w:val="FootnoteReference"/>
        </w:rPr>
        <w:footnoteRef/>
      </w:r>
      <w:r w:rsidR="003D640C" w:rsidRPr="002E6693">
        <w:t xml:space="preserve"> </w:t>
      </w:r>
      <w:r w:rsidR="00BB2251" w:rsidRPr="002E6693">
        <w:t>Oliphant,</w:t>
      </w:r>
      <w:r w:rsidR="003D640C" w:rsidRPr="002E6693">
        <w:t xml:space="preserve"> </w:t>
      </w:r>
      <w:r w:rsidR="00BB2251" w:rsidRPr="002E6693">
        <w:t>J.,</w:t>
      </w:r>
      <w:r w:rsidR="003D640C" w:rsidRPr="002E6693">
        <w:t xml:space="preserve"> </w:t>
      </w:r>
      <w:r w:rsidR="00BB2251" w:rsidRPr="002E6693">
        <w:t>Veale,</w:t>
      </w:r>
      <w:r w:rsidR="003D640C" w:rsidRPr="002E6693">
        <w:t xml:space="preserve"> </w:t>
      </w:r>
      <w:r w:rsidR="00BB2251" w:rsidRPr="002E6693">
        <w:t>J.,</w:t>
      </w:r>
      <w:r w:rsidR="003D640C" w:rsidRPr="002E6693">
        <w:t xml:space="preserve"> </w:t>
      </w:r>
      <w:r w:rsidR="00BB2251" w:rsidRPr="002E6693">
        <w:t>Macdonald</w:t>
      </w:r>
      <w:r w:rsidR="003C7279">
        <w:t>,</w:t>
      </w:r>
      <w:r w:rsidR="003D640C" w:rsidRPr="002E6693">
        <w:t xml:space="preserve"> </w:t>
      </w:r>
      <w:r w:rsidR="00BB2251" w:rsidRPr="002E6693">
        <w:t>J.,</w:t>
      </w:r>
      <w:r w:rsidR="003D640C" w:rsidRPr="002E6693">
        <w:t xml:space="preserve"> </w:t>
      </w:r>
      <w:r w:rsidR="00BB2251" w:rsidRPr="002E6693">
        <w:t>Carroll,</w:t>
      </w:r>
      <w:r w:rsidR="003D640C" w:rsidRPr="002E6693">
        <w:t xml:space="preserve"> </w:t>
      </w:r>
      <w:r w:rsidR="00BB2251" w:rsidRPr="002E6693">
        <w:t>R.,</w:t>
      </w:r>
      <w:r w:rsidR="003D640C" w:rsidRPr="002E6693">
        <w:t xml:space="preserve"> </w:t>
      </w:r>
      <w:r w:rsidR="00BB2251" w:rsidRPr="002E6693">
        <w:t>Johnson,</w:t>
      </w:r>
      <w:r w:rsidR="003D640C" w:rsidRPr="002E6693">
        <w:t xml:space="preserve"> </w:t>
      </w:r>
      <w:r w:rsidR="00BB2251" w:rsidRPr="002E6693">
        <w:t>R.,</w:t>
      </w:r>
      <w:r w:rsidR="003D640C" w:rsidRPr="002E6693">
        <w:t xml:space="preserve"> </w:t>
      </w:r>
      <w:r w:rsidR="00BB2251" w:rsidRPr="002E6693">
        <w:t>Harte,</w:t>
      </w:r>
      <w:r w:rsidR="003D640C" w:rsidRPr="002E6693">
        <w:t xml:space="preserve"> </w:t>
      </w:r>
      <w:r w:rsidR="00BB2251" w:rsidRPr="002E6693">
        <w:t>M.,</w:t>
      </w:r>
      <w:r w:rsidR="003D640C" w:rsidRPr="002E6693">
        <w:t xml:space="preserve"> </w:t>
      </w:r>
      <w:r w:rsidR="00BB2251" w:rsidRPr="002E6693">
        <w:t>Stephenson,</w:t>
      </w:r>
      <w:r w:rsidR="003D640C" w:rsidRPr="002E6693">
        <w:t xml:space="preserve"> </w:t>
      </w:r>
      <w:r w:rsidR="00BB2251" w:rsidRPr="002E6693">
        <w:t>C.</w:t>
      </w:r>
      <w:r w:rsidR="00E21946">
        <w:t>,</w:t>
      </w:r>
      <w:r w:rsidR="003D640C" w:rsidRPr="002E6693">
        <w:t xml:space="preserve"> </w:t>
      </w:r>
      <w:r w:rsidR="00E21946">
        <w:t>&amp;</w:t>
      </w:r>
      <w:r w:rsidR="003D640C" w:rsidRPr="002E6693">
        <w:t xml:space="preserve"> </w:t>
      </w:r>
      <w:r w:rsidR="00BB2251" w:rsidRPr="002E6693">
        <w:t>Bullock</w:t>
      </w:r>
      <w:r w:rsidR="00E21946">
        <w:t>, J</w:t>
      </w:r>
      <w:r w:rsidR="00BB2251" w:rsidRPr="002E6693">
        <w:t>.</w:t>
      </w:r>
      <w:r w:rsidR="003D640C" w:rsidRPr="002E6693">
        <w:t xml:space="preserve"> </w:t>
      </w:r>
      <w:r w:rsidR="00BB2251" w:rsidRPr="002E6693">
        <w:t>(2018)</w:t>
      </w:r>
      <w:r w:rsidR="003C7279">
        <w:t>.</w:t>
      </w:r>
      <w:r w:rsidR="003D640C" w:rsidRPr="002E6693">
        <w:t xml:space="preserve"> </w:t>
      </w:r>
      <w:r w:rsidR="00BB2251" w:rsidRPr="005B33A1">
        <w:rPr>
          <w:i/>
          <w:iCs/>
        </w:rPr>
        <w:t>Guidelines</w:t>
      </w:r>
      <w:r w:rsidR="003D640C" w:rsidRPr="005B33A1">
        <w:rPr>
          <w:i/>
          <w:iCs/>
        </w:rPr>
        <w:t xml:space="preserve"> </w:t>
      </w:r>
      <w:r w:rsidR="00BB2251" w:rsidRPr="005B33A1">
        <w:rPr>
          <w:i/>
          <w:iCs/>
        </w:rPr>
        <w:t>for</w:t>
      </w:r>
      <w:r w:rsidR="003D640C" w:rsidRPr="005B33A1">
        <w:rPr>
          <w:i/>
          <w:iCs/>
        </w:rPr>
        <w:t xml:space="preserve"> </w:t>
      </w:r>
      <w:r w:rsidR="00BB2251" w:rsidRPr="005B33A1">
        <w:rPr>
          <w:i/>
          <w:iCs/>
        </w:rPr>
        <w:t>gender</w:t>
      </w:r>
      <w:r w:rsidR="003D640C" w:rsidRPr="005B33A1">
        <w:rPr>
          <w:i/>
          <w:iCs/>
        </w:rPr>
        <w:t xml:space="preserve"> </w:t>
      </w:r>
      <w:r w:rsidR="00BB2251" w:rsidRPr="005B33A1">
        <w:rPr>
          <w:i/>
          <w:iCs/>
        </w:rPr>
        <w:t>affirming</w:t>
      </w:r>
      <w:r w:rsidR="003D640C" w:rsidRPr="005B33A1">
        <w:rPr>
          <w:i/>
          <w:iCs/>
        </w:rPr>
        <w:t xml:space="preserve"> </w:t>
      </w:r>
      <w:r w:rsidR="00BB2251" w:rsidRPr="005B33A1">
        <w:rPr>
          <w:i/>
          <w:iCs/>
        </w:rPr>
        <w:t>healthcare</w:t>
      </w:r>
      <w:r w:rsidR="003D640C" w:rsidRPr="005B33A1">
        <w:rPr>
          <w:i/>
          <w:iCs/>
        </w:rPr>
        <w:t xml:space="preserve"> </w:t>
      </w:r>
      <w:r w:rsidR="00BB2251" w:rsidRPr="005B33A1">
        <w:rPr>
          <w:i/>
          <w:iCs/>
        </w:rPr>
        <w:t>for</w:t>
      </w:r>
      <w:r w:rsidR="003D640C" w:rsidRPr="005B33A1">
        <w:rPr>
          <w:i/>
          <w:iCs/>
        </w:rPr>
        <w:t xml:space="preserve"> </w:t>
      </w:r>
      <w:r w:rsidR="00BB2251" w:rsidRPr="005B33A1">
        <w:rPr>
          <w:i/>
          <w:iCs/>
        </w:rPr>
        <w:t>gender</w:t>
      </w:r>
      <w:r w:rsidR="003D640C" w:rsidRPr="005B33A1">
        <w:rPr>
          <w:i/>
          <w:iCs/>
        </w:rPr>
        <w:t xml:space="preserve"> </w:t>
      </w:r>
      <w:r w:rsidR="00BB2251" w:rsidRPr="005B33A1">
        <w:rPr>
          <w:i/>
          <w:iCs/>
        </w:rPr>
        <w:t>diverse</w:t>
      </w:r>
      <w:r w:rsidR="003D640C" w:rsidRPr="005B33A1">
        <w:rPr>
          <w:i/>
          <w:iCs/>
        </w:rPr>
        <w:t xml:space="preserve"> </w:t>
      </w:r>
      <w:r w:rsidR="00BB2251" w:rsidRPr="005B33A1">
        <w:rPr>
          <w:i/>
          <w:iCs/>
        </w:rPr>
        <w:t>and</w:t>
      </w:r>
      <w:r w:rsidR="003D640C" w:rsidRPr="005B33A1">
        <w:rPr>
          <w:i/>
          <w:iCs/>
        </w:rPr>
        <w:t xml:space="preserve"> </w:t>
      </w:r>
      <w:r w:rsidR="00BB2251" w:rsidRPr="005B33A1">
        <w:rPr>
          <w:i/>
          <w:iCs/>
        </w:rPr>
        <w:t>transgender</w:t>
      </w:r>
      <w:r w:rsidR="003D640C" w:rsidRPr="005B33A1">
        <w:rPr>
          <w:i/>
          <w:iCs/>
        </w:rPr>
        <w:t xml:space="preserve"> </w:t>
      </w:r>
      <w:r w:rsidR="00BB2251" w:rsidRPr="005B33A1">
        <w:rPr>
          <w:i/>
          <w:iCs/>
        </w:rPr>
        <w:t>children,</w:t>
      </w:r>
      <w:r w:rsidR="003D640C" w:rsidRPr="005B33A1">
        <w:rPr>
          <w:i/>
          <w:iCs/>
        </w:rPr>
        <w:t xml:space="preserve"> </w:t>
      </w:r>
      <w:r w:rsidR="00BB2251" w:rsidRPr="005B33A1">
        <w:rPr>
          <w:i/>
          <w:iCs/>
        </w:rPr>
        <w:t>young</w:t>
      </w:r>
      <w:r w:rsidR="003D640C" w:rsidRPr="005B33A1">
        <w:rPr>
          <w:i/>
          <w:iCs/>
        </w:rPr>
        <w:t xml:space="preserve"> </w:t>
      </w:r>
      <w:r w:rsidR="00BB2251" w:rsidRPr="005B33A1">
        <w:rPr>
          <w:i/>
          <w:iCs/>
        </w:rPr>
        <w:t>people</w:t>
      </w:r>
      <w:r w:rsidR="003D640C" w:rsidRPr="005B33A1">
        <w:rPr>
          <w:i/>
          <w:iCs/>
        </w:rPr>
        <w:t xml:space="preserve"> </w:t>
      </w:r>
      <w:r w:rsidR="00BB2251" w:rsidRPr="005B33A1">
        <w:rPr>
          <w:i/>
          <w:iCs/>
        </w:rPr>
        <w:t>and</w:t>
      </w:r>
      <w:r w:rsidR="003D640C" w:rsidRPr="005B33A1">
        <w:rPr>
          <w:i/>
          <w:iCs/>
        </w:rPr>
        <w:t xml:space="preserve"> </w:t>
      </w:r>
      <w:r w:rsidR="00BB2251" w:rsidRPr="005B33A1">
        <w:rPr>
          <w:i/>
          <w:iCs/>
        </w:rPr>
        <w:t>adults</w:t>
      </w:r>
      <w:r w:rsidR="003D640C" w:rsidRPr="005B33A1">
        <w:rPr>
          <w:i/>
          <w:iCs/>
        </w:rPr>
        <w:t xml:space="preserve"> </w:t>
      </w:r>
      <w:r w:rsidR="00BB2251" w:rsidRPr="005B33A1">
        <w:rPr>
          <w:i/>
          <w:iCs/>
        </w:rPr>
        <w:t>in</w:t>
      </w:r>
      <w:r w:rsidR="003D640C" w:rsidRPr="005B33A1">
        <w:rPr>
          <w:i/>
          <w:iCs/>
        </w:rPr>
        <w:t xml:space="preserve"> </w:t>
      </w:r>
      <w:r w:rsidR="00BB2251" w:rsidRPr="005B33A1">
        <w:rPr>
          <w:i/>
          <w:iCs/>
        </w:rPr>
        <w:t>Aotearoa,</w:t>
      </w:r>
      <w:r w:rsidR="003D640C" w:rsidRPr="005B33A1">
        <w:rPr>
          <w:i/>
          <w:iCs/>
        </w:rPr>
        <w:t xml:space="preserve"> </w:t>
      </w:r>
      <w:r w:rsidR="00BB2251" w:rsidRPr="005B33A1">
        <w:rPr>
          <w:i/>
          <w:iCs/>
        </w:rPr>
        <w:t>New</w:t>
      </w:r>
      <w:r w:rsidR="003D640C" w:rsidRPr="005B33A1">
        <w:rPr>
          <w:i/>
          <w:iCs/>
        </w:rPr>
        <w:t xml:space="preserve"> </w:t>
      </w:r>
      <w:r w:rsidR="00BB2251" w:rsidRPr="005B33A1">
        <w:rPr>
          <w:i/>
          <w:iCs/>
        </w:rPr>
        <w:t>Zealand</w:t>
      </w:r>
      <w:r w:rsidR="00BB2251" w:rsidRPr="002E6693">
        <w:t>.</w:t>
      </w:r>
      <w:r w:rsidR="003D640C" w:rsidRPr="002E6693">
        <w:t xml:space="preserve"> </w:t>
      </w:r>
      <w:r w:rsidR="00BB2251" w:rsidRPr="002E6693">
        <w:t>Transgender</w:t>
      </w:r>
      <w:r w:rsidR="003D640C" w:rsidRPr="002E6693">
        <w:t xml:space="preserve"> </w:t>
      </w:r>
      <w:r w:rsidR="00BB2251" w:rsidRPr="002E6693">
        <w:t>Health</w:t>
      </w:r>
      <w:r w:rsidR="003D640C" w:rsidRPr="002E6693">
        <w:t xml:space="preserve"> </w:t>
      </w:r>
      <w:r w:rsidR="00BB2251" w:rsidRPr="002E6693">
        <w:t>Research</w:t>
      </w:r>
      <w:r w:rsidR="003D640C" w:rsidRPr="002E6693">
        <w:t xml:space="preserve"> </w:t>
      </w:r>
      <w:r w:rsidR="00BB2251" w:rsidRPr="002E6693">
        <w:t>Lab.</w:t>
      </w:r>
    </w:p>
  </w:footnote>
  <w:footnote w:id="235">
    <w:p w14:paraId="11886FA0" w14:textId="7EDFB892" w:rsidR="004F5CD0" w:rsidRDefault="004F5CD0" w:rsidP="00E00167">
      <w:pPr>
        <w:pStyle w:val="FootnoteText"/>
      </w:pPr>
      <w:r>
        <w:rPr>
          <w:rStyle w:val="FootnoteReference"/>
        </w:rPr>
        <w:footnoteRef/>
      </w:r>
      <w:r w:rsidR="003D640C">
        <w:t xml:space="preserve"> </w:t>
      </w:r>
      <w:r>
        <w:t>Ashley,</w:t>
      </w:r>
      <w:r w:rsidR="003D640C">
        <w:t xml:space="preserve"> </w:t>
      </w:r>
      <w:r>
        <w:t>F.</w:t>
      </w:r>
      <w:r w:rsidR="003D640C">
        <w:t xml:space="preserve"> </w:t>
      </w:r>
      <w:r>
        <w:t>(2020).</w:t>
      </w:r>
      <w:r w:rsidR="003D640C">
        <w:t xml:space="preserve"> </w:t>
      </w:r>
      <w:r>
        <w:t>Homophobia,</w:t>
      </w:r>
      <w:r w:rsidR="003D640C">
        <w:t xml:space="preserve"> </w:t>
      </w:r>
      <w:r>
        <w:t>conversion</w:t>
      </w:r>
      <w:r w:rsidR="003D640C">
        <w:t xml:space="preserve"> </w:t>
      </w:r>
      <w:r>
        <w:t>therapy,</w:t>
      </w:r>
      <w:r w:rsidR="003D640C">
        <w:t xml:space="preserve"> </w:t>
      </w:r>
      <w:r>
        <w:t>and</w:t>
      </w:r>
      <w:r w:rsidR="003D640C">
        <w:t xml:space="preserve"> </w:t>
      </w:r>
      <w:r>
        <w:t>care</w:t>
      </w:r>
      <w:r w:rsidR="003D640C">
        <w:t xml:space="preserve"> </w:t>
      </w:r>
      <w:r>
        <w:t>models</w:t>
      </w:r>
      <w:r w:rsidR="003D640C">
        <w:t xml:space="preserve"> </w:t>
      </w:r>
      <w:r>
        <w:t>for</w:t>
      </w:r>
      <w:r w:rsidR="003D640C">
        <w:t xml:space="preserve"> </w:t>
      </w:r>
      <w:r>
        <w:t>trans</w:t>
      </w:r>
      <w:r w:rsidR="003D640C">
        <w:t xml:space="preserve"> </w:t>
      </w:r>
      <w:r>
        <w:t>youth:</w:t>
      </w:r>
      <w:r w:rsidR="003D640C">
        <w:t xml:space="preserve"> </w:t>
      </w:r>
      <w:r w:rsidR="005335F0">
        <w:t>D</w:t>
      </w:r>
      <w:r>
        <w:t>efending</w:t>
      </w:r>
      <w:r w:rsidR="003D640C">
        <w:t xml:space="preserve"> </w:t>
      </w:r>
      <w:r>
        <w:t>the</w:t>
      </w:r>
      <w:r w:rsidR="003D640C">
        <w:t xml:space="preserve"> </w:t>
      </w:r>
      <w:r>
        <w:t>gender-affirmative</w:t>
      </w:r>
      <w:r w:rsidR="003D640C">
        <w:t xml:space="preserve"> </w:t>
      </w:r>
      <w:r>
        <w:t>approach,</w:t>
      </w:r>
      <w:r w:rsidR="003D640C">
        <w:t xml:space="preserve"> </w:t>
      </w:r>
      <w:r w:rsidRPr="00E11116">
        <w:rPr>
          <w:i/>
        </w:rPr>
        <w:t>Journal</w:t>
      </w:r>
      <w:r w:rsidR="003D640C">
        <w:rPr>
          <w:i/>
        </w:rPr>
        <w:t xml:space="preserve"> </w:t>
      </w:r>
      <w:r w:rsidRPr="00E11116">
        <w:rPr>
          <w:i/>
        </w:rPr>
        <w:t>of</w:t>
      </w:r>
      <w:r w:rsidR="003D640C">
        <w:rPr>
          <w:i/>
        </w:rPr>
        <w:t xml:space="preserve"> </w:t>
      </w:r>
      <w:r w:rsidRPr="00E11116">
        <w:rPr>
          <w:i/>
        </w:rPr>
        <w:t>LGBT</w:t>
      </w:r>
      <w:r w:rsidR="003D640C">
        <w:rPr>
          <w:i/>
        </w:rPr>
        <w:t xml:space="preserve"> </w:t>
      </w:r>
      <w:r w:rsidRPr="00E11116">
        <w:rPr>
          <w:i/>
        </w:rPr>
        <w:t>Youth</w:t>
      </w:r>
      <w:r>
        <w:t>,</w:t>
      </w:r>
      <w:r w:rsidR="003D640C">
        <w:t xml:space="preserve"> </w:t>
      </w:r>
      <w:r w:rsidRPr="005B33A1">
        <w:rPr>
          <w:i/>
          <w:iCs/>
        </w:rPr>
        <w:t>17</w:t>
      </w:r>
      <w:r>
        <w:t>(4),</w:t>
      </w:r>
      <w:r w:rsidR="003D640C">
        <w:t xml:space="preserve"> </w:t>
      </w:r>
      <w:r>
        <w:t>361</w:t>
      </w:r>
      <w:r w:rsidR="005335F0">
        <w:t>–</w:t>
      </w:r>
      <w:r>
        <w:t>383</w:t>
      </w:r>
      <w:r w:rsidR="005335F0">
        <w:t>;</w:t>
      </w:r>
      <w:r w:rsidR="003D640C">
        <w:t xml:space="preserve"> </w:t>
      </w:r>
      <w:r w:rsidR="005335F0" w:rsidRPr="00481A3F">
        <w:rPr>
          <w:shd w:val="clear" w:color="auto" w:fill="FFFFFF"/>
        </w:rPr>
        <w:t>Ashley,</w:t>
      </w:r>
      <w:r w:rsidR="005335F0">
        <w:rPr>
          <w:shd w:val="clear" w:color="auto" w:fill="FFFFFF"/>
        </w:rPr>
        <w:t xml:space="preserve"> </w:t>
      </w:r>
      <w:r w:rsidR="005335F0" w:rsidRPr="00481A3F">
        <w:rPr>
          <w:shd w:val="clear" w:color="auto" w:fill="FFFFFF"/>
        </w:rPr>
        <w:t>F.</w:t>
      </w:r>
      <w:r w:rsidR="005335F0">
        <w:rPr>
          <w:shd w:val="clear" w:color="auto" w:fill="FFFFFF"/>
        </w:rPr>
        <w:t xml:space="preserve"> </w:t>
      </w:r>
      <w:r w:rsidR="005335F0" w:rsidRPr="00481A3F">
        <w:rPr>
          <w:shd w:val="clear" w:color="auto" w:fill="FFFFFF"/>
        </w:rPr>
        <w:t>(2022).</w:t>
      </w:r>
      <w:r w:rsidR="005335F0">
        <w:rPr>
          <w:shd w:val="clear" w:color="auto" w:fill="FFFFFF"/>
        </w:rPr>
        <w:t xml:space="preserve"> </w:t>
      </w:r>
      <w:r w:rsidR="005335F0" w:rsidRPr="005B33A1">
        <w:rPr>
          <w:i/>
          <w:iCs/>
          <w:shd w:val="clear" w:color="auto" w:fill="FFFFFF"/>
        </w:rPr>
        <w:t xml:space="preserve">Banning </w:t>
      </w:r>
      <w:r w:rsidR="005335F0">
        <w:rPr>
          <w:i/>
          <w:iCs/>
          <w:shd w:val="clear" w:color="auto" w:fill="FFFFFF"/>
        </w:rPr>
        <w:t>t</w:t>
      </w:r>
      <w:r w:rsidR="005335F0" w:rsidRPr="005B33A1">
        <w:rPr>
          <w:i/>
          <w:iCs/>
          <w:shd w:val="clear" w:color="auto" w:fill="FFFFFF"/>
        </w:rPr>
        <w:t xml:space="preserve">ransgender </w:t>
      </w:r>
      <w:r w:rsidR="005335F0">
        <w:rPr>
          <w:i/>
          <w:iCs/>
          <w:shd w:val="clear" w:color="auto" w:fill="FFFFFF"/>
        </w:rPr>
        <w:t>c</w:t>
      </w:r>
      <w:r w:rsidR="005335F0" w:rsidRPr="005B33A1">
        <w:rPr>
          <w:i/>
          <w:iCs/>
          <w:shd w:val="clear" w:color="auto" w:fill="FFFFFF"/>
        </w:rPr>
        <w:t xml:space="preserve">onversion </w:t>
      </w:r>
      <w:r w:rsidR="005335F0">
        <w:rPr>
          <w:i/>
          <w:iCs/>
          <w:shd w:val="clear" w:color="auto" w:fill="FFFFFF"/>
        </w:rPr>
        <w:t>p</w:t>
      </w:r>
      <w:r w:rsidR="005335F0" w:rsidRPr="005B33A1">
        <w:rPr>
          <w:i/>
          <w:iCs/>
          <w:shd w:val="clear" w:color="auto" w:fill="FFFFFF"/>
        </w:rPr>
        <w:t xml:space="preserve">ractices: A </w:t>
      </w:r>
      <w:r w:rsidR="005335F0">
        <w:rPr>
          <w:i/>
          <w:iCs/>
          <w:shd w:val="clear" w:color="auto" w:fill="FFFFFF"/>
        </w:rPr>
        <w:t>l</w:t>
      </w:r>
      <w:r w:rsidR="005335F0" w:rsidRPr="005B33A1">
        <w:rPr>
          <w:i/>
          <w:iCs/>
          <w:shd w:val="clear" w:color="auto" w:fill="FFFFFF"/>
        </w:rPr>
        <w:t xml:space="preserve">egal and </w:t>
      </w:r>
      <w:r w:rsidR="005335F0">
        <w:rPr>
          <w:i/>
          <w:iCs/>
          <w:shd w:val="clear" w:color="auto" w:fill="FFFFFF"/>
        </w:rPr>
        <w:t>p</w:t>
      </w:r>
      <w:r w:rsidR="005335F0" w:rsidRPr="005B33A1">
        <w:rPr>
          <w:i/>
          <w:iCs/>
          <w:shd w:val="clear" w:color="auto" w:fill="FFFFFF"/>
        </w:rPr>
        <w:t xml:space="preserve">olicy </w:t>
      </w:r>
      <w:r w:rsidR="005335F0">
        <w:rPr>
          <w:i/>
          <w:iCs/>
          <w:shd w:val="clear" w:color="auto" w:fill="FFFFFF"/>
        </w:rPr>
        <w:t>a</w:t>
      </w:r>
      <w:r w:rsidR="005335F0" w:rsidRPr="005B33A1">
        <w:rPr>
          <w:i/>
          <w:iCs/>
          <w:shd w:val="clear" w:color="auto" w:fill="FFFFFF"/>
        </w:rPr>
        <w:t>nalysis</w:t>
      </w:r>
      <w:r w:rsidR="005335F0" w:rsidRPr="00481A3F">
        <w:rPr>
          <w:shd w:val="clear" w:color="auto" w:fill="FFFFFF"/>
        </w:rPr>
        <w:t>.</w:t>
      </w:r>
      <w:r w:rsidR="005335F0" w:rsidDel="003C7279">
        <w:rPr>
          <w:shd w:val="clear" w:color="auto" w:fill="FFFFFF"/>
        </w:rPr>
        <w:t xml:space="preserve"> </w:t>
      </w:r>
      <w:r w:rsidR="005335F0" w:rsidRPr="00481A3F">
        <w:rPr>
          <w:shd w:val="clear" w:color="auto" w:fill="FFFFFF"/>
        </w:rPr>
        <w:t>UBC</w:t>
      </w:r>
      <w:r w:rsidR="005335F0">
        <w:rPr>
          <w:shd w:val="clear" w:color="auto" w:fill="FFFFFF"/>
        </w:rPr>
        <w:t xml:space="preserve"> </w:t>
      </w:r>
      <w:r w:rsidR="005335F0" w:rsidRPr="00481A3F">
        <w:rPr>
          <w:shd w:val="clear" w:color="auto" w:fill="FFFFFF"/>
        </w:rPr>
        <w:t>Press.</w:t>
      </w:r>
    </w:p>
  </w:footnote>
  <w:footnote w:id="236">
    <w:p w14:paraId="3BCEBC3C" w14:textId="3F98A6D5" w:rsidR="004F5CD0" w:rsidRDefault="004F5CD0" w:rsidP="00E00167">
      <w:pPr>
        <w:pStyle w:val="FootnoteText"/>
      </w:pPr>
      <w:r>
        <w:rPr>
          <w:rStyle w:val="FootnoteReference"/>
        </w:rPr>
        <w:footnoteRef/>
      </w:r>
      <w:r w:rsidR="003D640C">
        <w:t xml:space="preserve"> </w:t>
      </w:r>
      <w:r>
        <w:t>Veale</w:t>
      </w:r>
      <w:r w:rsidR="003D640C">
        <w:t xml:space="preserve"> </w:t>
      </w:r>
      <w:r>
        <w:t>et</w:t>
      </w:r>
      <w:r w:rsidR="003D640C">
        <w:t xml:space="preserve"> </w:t>
      </w:r>
      <w:r>
        <w:t>al.,</w:t>
      </w:r>
      <w:r w:rsidR="003D640C">
        <w:t xml:space="preserve"> </w:t>
      </w:r>
      <w:r>
        <w:t>2022</w:t>
      </w:r>
      <w:r w:rsidR="009A5A05">
        <w:t>.</w:t>
      </w:r>
    </w:p>
  </w:footnote>
  <w:footnote w:id="237">
    <w:p w14:paraId="5DFB00F3" w14:textId="160C7DD9" w:rsidR="002033B7" w:rsidRPr="00E37C4D" w:rsidRDefault="002033B7" w:rsidP="00E00167">
      <w:pPr>
        <w:pStyle w:val="FootnoteText"/>
      </w:pPr>
      <w:r>
        <w:rPr>
          <w:rStyle w:val="FootnoteReference"/>
        </w:rPr>
        <w:footnoteRef/>
      </w:r>
      <w:r w:rsidR="003D640C">
        <w:t xml:space="preserve"> </w:t>
      </w:r>
      <w:r w:rsidR="003D5D06">
        <w:rPr>
          <w:lang w:val="mi-NZ"/>
        </w:rPr>
        <w:t>Fenaughty</w:t>
      </w:r>
      <w:r w:rsidR="003D640C">
        <w:rPr>
          <w:lang w:val="mi-NZ"/>
        </w:rPr>
        <w:t xml:space="preserve"> </w:t>
      </w:r>
      <w:r w:rsidR="003D5D06">
        <w:rPr>
          <w:lang w:val="mi-NZ"/>
        </w:rPr>
        <w:t>et</w:t>
      </w:r>
      <w:r w:rsidR="003D640C">
        <w:rPr>
          <w:lang w:val="mi-NZ"/>
        </w:rPr>
        <w:t xml:space="preserve"> </w:t>
      </w:r>
      <w:r w:rsidR="003D5D06">
        <w:rPr>
          <w:lang w:val="mi-NZ"/>
        </w:rPr>
        <w:t>al</w:t>
      </w:r>
      <w:r w:rsidR="00F51F63">
        <w:rPr>
          <w:lang w:val="mi-NZ"/>
        </w:rPr>
        <w:t>.</w:t>
      </w:r>
      <w:r w:rsidR="003D5D06">
        <w:rPr>
          <w:lang w:val="mi-NZ"/>
        </w:rPr>
        <w:t>,</w:t>
      </w:r>
      <w:r w:rsidR="003D640C">
        <w:rPr>
          <w:lang w:val="mi-NZ"/>
        </w:rPr>
        <w:t xml:space="preserve"> </w:t>
      </w:r>
      <w:r w:rsidR="003D5D06">
        <w:rPr>
          <w:lang w:val="mi-NZ"/>
        </w:rPr>
        <w:t>202</w:t>
      </w:r>
      <w:r w:rsidR="00C705CB">
        <w:rPr>
          <w:lang w:val="mi-NZ"/>
        </w:rPr>
        <w:t>2</w:t>
      </w:r>
      <w:r w:rsidR="00DF49E3">
        <w:rPr>
          <w:lang w:val="mi-NZ"/>
        </w:rPr>
        <w:t xml:space="preserve">; </w:t>
      </w:r>
      <w:r w:rsidR="00C705CB">
        <w:rPr>
          <w:lang w:val="mi-NZ"/>
        </w:rPr>
        <w:t>Thomsen</w:t>
      </w:r>
      <w:r w:rsidR="005B33A1">
        <w:rPr>
          <w:lang w:val="mi-NZ"/>
        </w:rPr>
        <w:t>, Brown-Acton</w:t>
      </w:r>
      <w:r w:rsidR="00C705CB">
        <w:rPr>
          <w:lang w:val="mi-NZ"/>
        </w:rPr>
        <w:t xml:space="preserve"> et al., 2023; </w:t>
      </w:r>
      <w:r w:rsidR="00DF49E3">
        <w:t>Veale et al., 2019</w:t>
      </w:r>
      <w:r w:rsidR="006F5485">
        <w:t>.</w:t>
      </w:r>
      <w:r w:rsidR="00E37C4D">
        <w:t xml:space="preserve"> </w:t>
      </w:r>
      <w:r w:rsidR="00E37C4D" w:rsidRPr="00B81007">
        <w:t xml:space="preserve">Forthcoming analysis of the 2022 wave of </w:t>
      </w:r>
      <w:r w:rsidR="00E37C4D" w:rsidRPr="00B81007">
        <w:rPr>
          <w:i/>
          <w:iCs/>
        </w:rPr>
        <w:t xml:space="preserve">Counting Ourselves </w:t>
      </w:r>
      <w:r w:rsidR="00E37C4D" w:rsidRPr="00B81007">
        <w:t>will be published in 2024.</w:t>
      </w:r>
      <w:r w:rsidR="00C705CB">
        <w:rPr>
          <w:i/>
          <w:iCs/>
        </w:rPr>
        <w:t xml:space="preserve"> </w:t>
      </w:r>
      <w:r w:rsidR="00C5423E">
        <w:rPr>
          <w:lang w:eastAsia="en-NZ"/>
        </w:rPr>
        <w:t>The</w:t>
      </w:r>
      <w:r w:rsidR="000A28C9">
        <w:rPr>
          <w:lang w:eastAsia="en-NZ"/>
        </w:rPr>
        <w:t>se</w:t>
      </w:r>
      <w:r w:rsidR="00C5423E">
        <w:rPr>
          <w:lang w:eastAsia="en-NZ"/>
        </w:rPr>
        <w:t xml:space="preserve"> surveys sampled different populations and asked questions about conversion practices differently. For example,</w:t>
      </w:r>
      <w:r w:rsidR="00C5423E" w:rsidDel="00DF49E3">
        <w:rPr>
          <w:lang w:eastAsia="en-NZ"/>
        </w:rPr>
        <w:t xml:space="preserve"> </w:t>
      </w:r>
      <w:r w:rsidR="00C5423E">
        <w:rPr>
          <w:lang w:eastAsia="en-NZ"/>
        </w:rPr>
        <w:t xml:space="preserve">both 2018 and 2022 </w:t>
      </w:r>
      <w:r w:rsidR="00C5423E" w:rsidRPr="00DF49E3">
        <w:rPr>
          <w:lang w:eastAsia="en-NZ"/>
        </w:rPr>
        <w:t>Counting Ourselves</w:t>
      </w:r>
      <w:r w:rsidR="00C5423E">
        <w:rPr>
          <w:lang w:eastAsia="en-NZ"/>
        </w:rPr>
        <w:t xml:space="preserve"> surveys counted trans people only (aged 14 and older), </w:t>
      </w:r>
      <w:r w:rsidR="00C5423E" w:rsidRPr="005B33A1">
        <w:rPr>
          <w:lang w:eastAsia="en-NZ"/>
        </w:rPr>
        <w:t>Identify</w:t>
      </w:r>
      <w:r w:rsidR="00C5423E">
        <w:rPr>
          <w:lang w:eastAsia="en-NZ"/>
        </w:rPr>
        <w:t xml:space="preserve"> surveyed </w:t>
      </w:r>
      <w:r w:rsidR="00C5423E" w:rsidRPr="00A54F17">
        <w:rPr>
          <w:lang w:eastAsia="en-NZ"/>
        </w:rPr>
        <w:t>young</w:t>
      </w:r>
      <w:r w:rsidR="00C5423E">
        <w:rPr>
          <w:lang w:eastAsia="en-NZ"/>
        </w:rPr>
        <w:t xml:space="preserve"> Rainbow people (not solely trans people) aged 14–26, and </w:t>
      </w:r>
      <w:r w:rsidR="00C5423E" w:rsidRPr="005B33A1">
        <w:rPr>
          <w:lang w:eastAsia="en-NZ"/>
        </w:rPr>
        <w:t>Manalagi</w:t>
      </w:r>
      <w:r w:rsidR="00C5423E">
        <w:rPr>
          <w:i/>
          <w:iCs/>
          <w:lang w:eastAsia="en-NZ"/>
        </w:rPr>
        <w:t xml:space="preserve"> </w:t>
      </w:r>
      <w:r w:rsidR="00C5423E">
        <w:rPr>
          <w:lang w:eastAsia="en-NZ"/>
        </w:rPr>
        <w:t>surveyed Pacific Rainbow+/MVPFAFF+ peoples aged 15 and older.</w:t>
      </w:r>
    </w:p>
  </w:footnote>
  <w:footnote w:id="238">
    <w:p w14:paraId="7553E192" w14:textId="2932A2C9" w:rsidR="00EC3364" w:rsidRPr="00EC3364" w:rsidRDefault="00EC3364">
      <w:pPr>
        <w:pStyle w:val="FootnoteText"/>
        <w:rPr>
          <w:lang w:val="mi-NZ"/>
        </w:rPr>
      </w:pPr>
      <w:r>
        <w:rPr>
          <w:rStyle w:val="FootnoteReference"/>
        </w:rPr>
        <w:footnoteRef/>
      </w:r>
      <w:r>
        <w:t xml:space="preserve"> </w:t>
      </w:r>
      <w:r w:rsidR="00D17372">
        <w:t>Veale et al., 2019.</w:t>
      </w:r>
    </w:p>
  </w:footnote>
  <w:footnote w:id="239">
    <w:p w14:paraId="506CDF25" w14:textId="13FDD34C" w:rsidR="00BB4D17" w:rsidRDefault="00BB4D17" w:rsidP="00E00167">
      <w:pPr>
        <w:pStyle w:val="FootnoteText"/>
      </w:pPr>
      <w:r>
        <w:rPr>
          <w:rStyle w:val="FootnoteReference"/>
        </w:rPr>
        <w:footnoteRef/>
      </w:r>
      <w:r w:rsidR="003D640C">
        <w:t xml:space="preserve"> </w:t>
      </w:r>
      <w:r w:rsidR="003B32B2">
        <w:t>Veale</w:t>
      </w:r>
      <w:r w:rsidR="003D640C">
        <w:t xml:space="preserve"> </w:t>
      </w:r>
      <w:r w:rsidR="003B32B2">
        <w:t>et</w:t>
      </w:r>
      <w:r w:rsidR="003D640C">
        <w:t xml:space="preserve"> </w:t>
      </w:r>
      <w:r w:rsidR="003B32B2">
        <w:t>al.,</w:t>
      </w:r>
      <w:r w:rsidR="003D640C">
        <w:t xml:space="preserve"> </w:t>
      </w:r>
      <w:r w:rsidR="003B32B2">
        <w:t>202</w:t>
      </w:r>
      <w:r w:rsidR="00A553CE">
        <w:t>2</w:t>
      </w:r>
      <w:r w:rsidR="009A5A05">
        <w:t>.</w:t>
      </w:r>
    </w:p>
  </w:footnote>
  <w:footnote w:id="240">
    <w:p w14:paraId="46E5EB96" w14:textId="310A92D5" w:rsidR="00B40E7B" w:rsidRPr="00BF0C39" w:rsidRDefault="00B40E7B" w:rsidP="00E00167">
      <w:pPr>
        <w:pStyle w:val="FootnoteText"/>
        <w:rPr>
          <w:lang w:val="mi-NZ"/>
        </w:rPr>
      </w:pPr>
      <w:r>
        <w:rPr>
          <w:rStyle w:val="FootnoteReference"/>
        </w:rPr>
        <w:footnoteRef/>
      </w:r>
      <w:r w:rsidR="003D640C">
        <w:t xml:space="preserve"> </w:t>
      </w:r>
      <w:r w:rsidR="00B37129">
        <w:rPr>
          <w:lang w:val="mi-NZ"/>
        </w:rPr>
        <w:t>Ibid</w:t>
      </w:r>
      <w:r w:rsidR="009A5A05" w:rsidRPr="00B37129">
        <w:rPr>
          <w:lang w:val="mi-NZ"/>
        </w:rPr>
        <w:t>.</w:t>
      </w:r>
    </w:p>
  </w:footnote>
  <w:footnote w:id="241">
    <w:p w14:paraId="01D7C549" w14:textId="45EDF03B" w:rsidR="007D4B6F" w:rsidRPr="009F7C7A" w:rsidRDefault="007D4B6F" w:rsidP="00E00167">
      <w:pPr>
        <w:pStyle w:val="FootnoteText"/>
        <w:rPr>
          <w:lang w:val="mi-NZ"/>
        </w:rPr>
      </w:pPr>
      <w:r>
        <w:rPr>
          <w:rStyle w:val="FootnoteReference"/>
        </w:rPr>
        <w:footnoteRef/>
      </w:r>
      <w:r w:rsidR="003D640C">
        <w:t xml:space="preserve"> </w:t>
      </w:r>
      <w:r>
        <w:rPr>
          <w:lang w:val="mi-NZ"/>
        </w:rPr>
        <w:t>Fenaughty</w:t>
      </w:r>
      <w:r w:rsidR="003D640C">
        <w:rPr>
          <w:lang w:val="mi-NZ"/>
        </w:rPr>
        <w:t xml:space="preserve"> </w:t>
      </w:r>
      <w:r>
        <w:rPr>
          <w:lang w:val="mi-NZ"/>
        </w:rPr>
        <w:t>et</w:t>
      </w:r>
      <w:r w:rsidR="003D640C">
        <w:rPr>
          <w:lang w:val="mi-NZ"/>
        </w:rPr>
        <w:t xml:space="preserve"> </w:t>
      </w:r>
      <w:r>
        <w:rPr>
          <w:lang w:val="mi-NZ"/>
        </w:rPr>
        <w:t>al.,</w:t>
      </w:r>
      <w:r w:rsidR="003D640C">
        <w:rPr>
          <w:lang w:val="mi-NZ"/>
        </w:rPr>
        <w:t xml:space="preserve"> </w:t>
      </w:r>
      <w:r>
        <w:rPr>
          <w:lang w:val="mi-NZ"/>
        </w:rPr>
        <w:t>2023</w:t>
      </w:r>
      <w:r w:rsidR="002A6F40">
        <w:rPr>
          <w:lang w:val="mi-NZ"/>
        </w:rPr>
        <w:t>.</w:t>
      </w:r>
    </w:p>
  </w:footnote>
  <w:footnote w:id="242">
    <w:p w14:paraId="7DA0A840" w14:textId="04D031B1" w:rsidR="00FA3CB7" w:rsidRDefault="00FA3CB7" w:rsidP="00E00167">
      <w:pPr>
        <w:pStyle w:val="FootnoteText"/>
      </w:pPr>
      <w:r>
        <w:rPr>
          <w:rStyle w:val="FootnoteReference"/>
        </w:rPr>
        <w:footnoteRef/>
      </w:r>
      <w:r w:rsidR="003D640C">
        <w:t xml:space="preserve"> </w:t>
      </w:r>
      <w:r>
        <w:t>Veale</w:t>
      </w:r>
      <w:r w:rsidR="003D640C">
        <w:t xml:space="preserve"> </w:t>
      </w:r>
      <w:r>
        <w:t>et</w:t>
      </w:r>
      <w:r w:rsidR="003D640C">
        <w:t xml:space="preserve"> </w:t>
      </w:r>
      <w:r>
        <w:t>al.,</w:t>
      </w:r>
      <w:r w:rsidR="003D640C">
        <w:t xml:space="preserve"> </w:t>
      </w:r>
      <w:r>
        <w:t>2022</w:t>
      </w:r>
      <w:r w:rsidR="009A5A05">
        <w:t>.</w:t>
      </w:r>
    </w:p>
  </w:footnote>
  <w:footnote w:id="243">
    <w:p w14:paraId="71075463" w14:textId="4CA17DC3" w:rsidR="00862EAE" w:rsidRPr="00A51BAD" w:rsidRDefault="00862EAE" w:rsidP="00E00167">
      <w:pPr>
        <w:pStyle w:val="FootnoteText"/>
        <w:rPr>
          <w:lang w:val="mi-NZ"/>
        </w:rPr>
      </w:pPr>
      <w:r>
        <w:rPr>
          <w:rStyle w:val="FootnoteReference"/>
        </w:rPr>
        <w:footnoteRef/>
      </w:r>
      <w:r w:rsidR="003D640C">
        <w:t xml:space="preserve"> </w:t>
      </w:r>
      <w:r w:rsidR="006143B5">
        <w:rPr>
          <w:lang w:val="mi-NZ"/>
        </w:rPr>
        <w:t>Including in relation to</w:t>
      </w:r>
      <w:r w:rsidR="003D640C">
        <w:rPr>
          <w:lang w:val="mi-NZ"/>
        </w:rPr>
        <w:t xml:space="preserve"> </w:t>
      </w:r>
      <w:r w:rsidR="003C257A">
        <w:rPr>
          <w:lang w:val="mi-NZ"/>
        </w:rPr>
        <w:t>psychological</w:t>
      </w:r>
      <w:r w:rsidR="003D640C">
        <w:rPr>
          <w:lang w:val="mi-NZ"/>
        </w:rPr>
        <w:t xml:space="preserve"> </w:t>
      </w:r>
      <w:r w:rsidR="003C257A">
        <w:rPr>
          <w:lang w:val="mi-NZ"/>
        </w:rPr>
        <w:t>distress,</w:t>
      </w:r>
      <w:r w:rsidR="003D640C">
        <w:rPr>
          <w:lang w:val="mi-NZ"/>
        </w:rPr>
        <w:t xml:space="preserve"> </w:t>
      </w:r>
      <w:r w:rsidR="008757B5">
        <w:rPr>
          <w:lang w:val="mi-NZ"/>
        </w:rPr>
        <w:t>non-suicidal</w:t>
      </w:r>
      <w:r w:rsidR="003D640C">
        <w:rPr>
          <w:lang w:val="mi-NZ"/>
        </w:rPr>
        <w:t xml:space="preserve"> </w:t>
      </w:r>
      <w:r w:rsidR="008757B5">
        <w:rPr>
          <w:lang w:val="mi-NZ"/>
        </w:rPr>
        <w:t>self-injury</w:t>
      </w:r>
      <w:r w:rsidR="00436A80">
        <w:rPr>
          <w:lang w:val="mi-NZ"/>
        </w:rPr>
        <w:t>,</w:t>
      </w:r>
      <w:r w:rsidR="003D640C">
        <w:rPr>
          <w:lang w:val="mi-NZ"/>
        </w:rPr>
        <w:t xml:space="preserve"> </w:t>
      </w:r>
      <w:r w:rsidR="00436A80">
        <w:rPr>
          <w:lang w:val="mi-NZ"/>
        </w:rPr>
        <w:t>suicidal</w:t>
      </w:r>
      <w:r w:rsidR="003D640C">
        <w:rPr>
          <w:lang w:val="mi-NZ"/>
        </w:rPr>
        <w:t xml:space="preserve"> </w:t>
      </w:r>
      <w:r w:rsidR="00436A80">
        <w:rPr>
          <w:lang w:val="mi-NZ"/>
        </w:rPr>
        <w:t>ideation,</w:t>
      </w:r>
      <w:r w:rsidR="003D640C">
        <w:rPr>
          <w:lang w:val="mi-NZ"/>
        </w:rPr>
        <w:t xml:space="preserve"> </w:t>
      </w:r>
      <w:r w:rsidR="00DE53AE">
        <w:rPr>
          <w:lang w:val="mi-NZ"/>
        </w:rPr>
        <w:t>and</w:t>
      </w:r>
      <w:r w:rsidR="003D640C">
        <w:rPr>
          <w:lang w:val="mi-NZ"/>
        </w:rPr>
        <w:t xml:space="preserve"> </w:t>
      </w:r>
      <w:r w:rsidR="00436A80">
        <w:rPr>
          <w:lang w:val="mi-NZ"/>
        </w:rPr>
        <w:t>suicide</w:t>
      </w:r>
      <w:r w:rsidR="003D640C">
        <w:rPr>
          <w:lang w:val="mi-NZ"/>
        </w:rPr>
        <w:t xml:space="preserve"> </w:t>
      </w:r>
      <w:r w:rsidR="00436A80">
        <w:rPr>
          <w:lang w:val="mi-NZ"/>
        </w:rPr>
        <w:t>attempts</w:t>
      </w:r>
      <w:r w:rsidR="00DE53AE">
        <w:rPr>
          <w:lang w:val="mi-NZ"/>
        </w:rPr>
        <w:t>.</w:t>
      </w:r>
    </w:p>
  </w:footnote>
  <w:footnote w:id="244">
    <w:p w14:paraId="75769E52" w14:textId="47FB483B" w:rsidR="00A34A66" w:rsidRPr="00A34A66" w:rsidRDefault="00A34A66">
      <w:pPr>
        <w:pStyle w:val="FootnoteText"/>
        <w:rPr>
          <w:lang w:val="mi-NZ"/>
        </w:rPr>
      </w:pPr>
      <w:r>
        <w:rPr>
          <w:rStyle w:val="FootnoteReference"/>
        </w:rPr>
        <w:footnoteRef/>
      </w:r>
      <w:r>
        <w:t xml:space="preserve"> </w:t>
      </w:r>
      <w:r>
        <w:rPr>
          <w:lang w:val="mi-NZ"/>
        </w:rPr>
        <w:t>Ibid.</w:t>
      </w:r>
    </w:p>
  </w:footnote>
  <w:footnote w:id="245">
    <w:p w14:paraId="4969E476" w14:textId="4ACC04B1" w:rsidR="00AF395E" w:rsidRPr="00BF0C39" w:rsidRDefault="00AF395E" w:rsidP="00E00167">
      <w:pPr>
        <w:pStyle w:val="FootnoteText"/>
        <w:rPr>
          <w:lang w:val="mi-NZ"/>
        </w:rPr>
      </w:pPr>
      <w:r>
        <w:rPr>
          <w:rStyle w:val="FootnoteReference"/>
        </w:rPr>
        <w:footnoteRef/>
      </w:r>
      <w:r w:rsidR="003D640C">
        <w:t xml:space="preserve"> </w:t>
      </w:r>
      <w:r w:rsidR="008E51AC">
        <w:t>Veale</w:t>
      </w:r>
      <w:r w:rsidR="003D640C">
        <w:t xml:space="preserve"> </w:t>
      </w:r>
      <w:r w:rsidR="008E51AC">
        <w:t>et</w:t>
      </w:r>
      <w:r w:rsidR="003D640C">
        <w:t xml:space="preserve"> </w:t>
      </w:r>
      <w:r w:rsidR="008E51AC">
        <w:t>al.,</w:t>
      </w:r>
      <w:r w:rsidR="003D640C">
        <w:t xml:space="preserve"> </w:t>
      </w:r>
      <w:r w:rsidR="008E51AC">
        <w:t>2022</w:t>
      </w:r>
      <w:r w:rsidR="009A5A05">
        <w:t>.</w:t>
      </w:r>
    </w:p>
  </w:footnote>
  <w:footnote w:id="246">
    <w:p w14:paraId="2F891D48" w14:textId="619C5ADD" w:rsidR="005A193B" w:rsidRDefault="005A193B" w:rsidP="00E00167">
      <w:pPr>
        <w:pStyle w:val="FootnoteText"/>
      </w:pPr>
      <w:r>
        <w:rPr>
          <w:rStyle w:val="FootnoteReference"/>
        </w:rPr>
        <w:footnoteRef/>
      </w:r>
      <w:r w:rsidR="003D640C">
        <w:t xml:space="preserve"> </w:t>
      </w:r>
      <w:r w:rsidR="00711C31">
        <w:t>Fenaughty</w:t>
      </w:r>
      <w:r w:rsidR="003D640C">
        <w:t xml:space="preserve"> </w:t>
      </w:r>
      <w:r w:rsidR="00711C31">
        <w:t>et</w:t>
      </w:r>
      <w:r w:rsidR="003D640C">
        <w:t xml:space="preserve"> </w:t>
      </w:r>
      <w:r w:rsidR="00711C31">
        <w:t>al.,</w:t>
      </w:r>
      <w:r w:rsidR="003D640C">
        <w:t xml:space="preserve"> </w:t>
      </w:r>
      <w:r w:rsidR="00711C31">
        <w:t>2023</w:t>
      </w:r>
      <w:r w:rsidR="002A6F40">
        <w:t>.</w:t>
      </w:r>
    </w:p>
  </w:footnote>
  <w:footnote w:id="247">
    <w:p w14:paraId="54031BBF" w14:textId="7557890C" w:rsidR="003C1384" w:rsidRDefault="003C1384" w:rsidP="00E00167">
      <w:pPr>
        <w:pStyle w:val="FootnoteText"/>
      </w:pPr>
      <w:r>
        <w:rPr>
          <w:rStyle w:val="FootnoteReference"/>
        </w:rPr>
        <w:footnoteRef/>
      </w:r>
      <w:r w:rsidR="003D640C">
        <w:t xml:space="preserve"> </w:t>
      </w:r>
      <w:r w:rsidR="000E7764">
        <w:t>Carroll</w:t>
      </w:r>
      <w:r w:rsidR="003D640C">
        <w:t xml:space="preserve"> </w:t>
      </w:r>
      <w:r w:rsidR="000E7764">
        <w:t>et</w:t>
      </w:r>
      <w:r w:rsidR="003D640C">
        <w:t xml:space="preserve"> </w:t>
      </w:r>
      <w:r w:rsidR="000E7764">
        <w:t>al.,</w:t>
      </w:r>
      <w:r w:rsidR="003D640C">
        <w:t xml:space="preserve"> </w:t>
      </w:r>
      <w:r w:rsidR="000E7764">
        <w:t>2023</w:t>
      </w:r>
      <w:r w:rsidR="00655F27">
        <w:t>.</w:t>
      </w:r>
    </w:p>
  </w:footnote>
  <w:footnote w:id="248">
    <w:p w14:paraId="33EF4119" w14:textId="1FE0237C" w:rsidR="00E45E91" w:rsidRDefault="00E45E91" w:rsidP="00E00167">
      <w:pPr>
        <w:pStyle w:val="FootnoteText"/>
      </w:pPr>
      <w:r>
        <w:rPr>
          <w:rStyle w:val="FootnoteReference"/>
        </w:rPr>
        <w:footnoteRef/>
      </w:r>
      <w:r w:rsidR="003D640C">
        <w:t xml:space="preserve"> </w:t>
      </w:r>
      <w:r>
        <w:t>Coleman,</w:t>
      </w:r>
      <w:r w:rsidR="003D640C">
        <w:t xml:space="preserve"> </w:t>
      </w:r>
      <w:r>
        <w:t>E.,</w:t>
      </w:r>
      <w:r w:rsidR="003D640C">
        <w:t xml:space="preserve"> </w:t>
      </w:r>
      <w:r>
        <w:t>Radix,</w:t>
      </w:r>
      <w:r w:rsidR="003D640C">
        <w:t xml:space="preserve"> </w:t>
      </w:r>
      <w:r>
        <w:t>A.</w:t>
      </w:r>
      <w:r w:rsidR="003D640C">
        <w:t xml:space="preserve"> </w:t>
      </w:r>
      <w:r>
        <w:t>E.,</w:t>
      </w:r>
      <w:r w:rsidR="003D640C">
        <w:t xml:space="preserve"> </w:t>
      </w:r>
      <w:r>
        <w:t>Bouman,</w:t>
      </w:r>
      <w:r w:rsidR="003D640C">
        <w:t xml:space="preserve"> </w:t>
      </w:r>
      <w:r>
        <w:t>W.</w:t>
      </w:r>
      <w:r w:rsidR="003D640C">
        <w:t xml:space="preserve"> </w:t>
      </w:r>
      <w:r>
        <w:t>P.,</w:t>
      </w:r>
      <w:r w:rsidR="003D640C">
        <w:t xml:space="preserve"> </w:t>
      </w:r>
      <w:r>
        <w:t>Brown,</w:t>
      </w:r>
      <w:r w:rsidR="003D640C">
        <w:t xml:space="preserve"> </w:t>
      </w:r>
      <w:r>
        <w:t>G.</w:t>
      </w:r>
      <w:r w:rsidR="003D640C">
        <w:t xml:space="preserve"> </w:t>
      </w:r>
      <w:r>
        <w:t>R.,</w:t>
      </w:r>
      <w:r w:rsidR="003D640C">
        <w:t xml:space="preserve"> </w:t>
      </w:r>
      <w:r>
        <w:t>de</w:t>
      </w:r>
      <w:r w:rsidR="003D640C">
        <w:t xml:space="preserve"> </w:t>
      </w:r>
      <w:r>
        <w:t>Vries,</w:t>
      </w:r>
      <w:r w:rsidR="003D640C">
        <w:t xml:space="preserve"> </w:t>
      </w:r>
      <w:r>
        <w:t>A.</w:t>
      </w:r>
      <w:r w:rsidR="003D640C">
        <w:t xml:space="preserve"> </w:t>
      </w:r>
      <w:r>
        <w:t>L.</w:t>
      </w:r>
      <w:r w:rsidR="003D640C">
        <w:t xml:space="preserve"> </w:t>
      </w:r>
      <w:r>
        <w:t>C.,</w:t>
      </w:r>
      <w:r w:rsidR="003D640C">
        <w:t xml:space="preserve"> </w:t>
      </w:r>
      <w:r>
        <w:t>Deutsch,</w:t>
      </w:r>
      <w:r w:rsidR="003D640C">
        <w:t xml:space="preserve"> </w:t>
      </w:r>
      <w:r>
        <w:t>M.</w:t>
      </w:r>
      <w:r w:rsidR="003D640C">
        <w:t xml:space="preserve"> </w:t>
      </w:r>
      <w:r>
        <w:t>B.,</w:t>
      </w:r>
      <w:r w:rsidR="003D640C">
        <w:t xml:space="preserve"> </w:t>
      </w:r>
      <w:r>
        <w:t>Ettner,</w:t>
      </w:r>
      <w:r w:rsidR="003D640C">
        <w:t xml:space="preserve"> </w:t>
      </w:r>
      <w:r>
        <w:t>R.,</w:t>
      </w:r>
      <w:r w:rsidR="003D640C">
        <w:t xml:space="preserve"> </w:t>
      </w:r>
      <w:r>
        <w:t>Fraser,</w:t>
      </w:r>
      <w:r w:rsidR="003D640C">
        <w:t xml:space="preserve"> </w:t>
      </w:r>
      <w:r>
        <w:t>L.,</w:t>
      </w:r>
      <w:r w:rsidR="003D640C">
        <w:t xml:space="preserve"> </w:t>
      </w:r>
      <w:r>
        <w:t>Goodman,</w:t>
      </w:r>
      <w:r w:rsidR="003D640C">
        <w:t xml:space="preserve"> </w:t>
      </w:r>
      <w:r>
        <w:t>M.,</w:t>
      </w:r>
      <w:r w:rsidR="003D640C">
        <w:t xml:space="preserve"> </w:t>
      </w:r>
      <w:r>
        <w:t>Green,</w:t>
      </w:r>
      <w:r w:rsidR="003D640C">
        <w:t xml:space="preserve"> </w:t>
      </w:r>
      <w:r>
        <w:t>J.,</w:t>
      </w:r>
      <w:r w:rsidR="003D640C">
        <w:t xml:space="preserve"> </w:t>
      </w:r>
      <w:r>
        <w:t>Hancock,</w:t>
      </w:r>
      <w:r w:rsidR="003D640C">
        <w:t xml:space="preserve"> </w:t>
      </w:r>
      <w:r>
        <w:t>A.</w:t>
      </w:r>
      <w:r w:rsidR="003D640C">
        <w:t xml:space="preserve"> </w:t>
      </w:r>
      <w:r>
        <w:t>B.,</w:t>
      </w:r>
      <w:r w:rsidR="003D640C">
        <w:t xml:space="preserve"> </w:t>
      </w:r>
      <w:r>
        <w:t>Johnson,</w:t>
      </w:r>
      <w:r w:rsidR="003D640C">
        <w:t xml:space="preserve"> </w:t>
      </w:r>
      <w:r>
        <w:t>T.</w:t>
      </w:r>
      <w:r w:rsidR="003D640C">
        <w:t xml:space="preserve"> </w:t>
      </w:r>
      <w:r>
        <w:t>W.,</w:t>
      </w:r>
      <w:r w:rsidR="003D640C">
        <w:t xml:space="preserve"> </w:t>
      </w:r>
      <w:r>
        <w:t>Karasic,</w:t>
      </w:r>
      <w:r w:rsidR="003D640C">
        <w:t xml:space="preserve"> </w:t>
      </w:r>
      <w:r>
        <w:t>D.</w:t>
      </w:r>
      <w:r w:rsidR="003D640C">
        <w:t xml:space="preserve"> </w:t>
      </w:r>
      <w:r>
        <w:t>H.,</w:t>
      </w:r>
      <w:r w:rsidR="003D640C">
        <w:t xml:space="preserve"> </w:t>
      </w:r>
      <w:r>
        <w:t>Knudson,</w:t>
      </w:r>
      <w:r w:rsidR="003D640C">
        <w:t xml:space="preserve"> </w:t>
      </w:r>
      <w:r>
        <w:t>G.</w:t>
      </w:r>
      <w:r w:rsidR="003D640C">
        <w:t xml:space="preserve"> </w:t>
      </w:r>
      <w:r>
        <w:t>A.,</w:t>
      </w:r>
      <w:r w:rsidR="003D640C">
        <w:t xml:space="preserve"> </w:t>
      </w:r>
      <w:r>
        <w:t>Leibowitz,</w:t>
      </w:r>
      <w:r w:rsidR="003D640C">
        <w:t xml:space="preserve"> </w:t>
      </w:r>
      <w:r>
        <w:t>S.</w:t>
      </w:r>
      <w:r w:rsidR="003D640C">
        <w:t xml:space="preserve"> </w:t>
      </w:r>
      <w:r>
        <w:t>F.,</w:t>
      </w:r>
      <w:r w:rsidR="003D640C">
        <w:t xml:space="preserve"> </w:t>
      </w:r>
      <w:r>
        <w:t>Meyer-Bahlburg,</w:t>
      </w:r>
      <w:r w:rsidR="003D640C">
        <w:t xml:space="preserve"> </w:t>
      </w:r>
      <w:r>
        <w:t>H.</w:t>
      </w:r>
      <w:r w:rsidR="003D640C">
        <w:t xml:space="preserve"> </w:t>
      </w:r>
      <w:r>
        <w:t>F.</w:t>
      </w:r>
      <w:r w:rsidR="003D640C">
        <w:t xml:space="preserve"> </w:t>
      </w:r>
      <w:r>
        <w:t>L.,</w:t>
      </w:r>
      <w:r w:rsidR="003D640C">
        <w:t xml:space="preserve"> </w:t>
      </w:r>
      <w:r>
        <w:t>Monstrey,</w:t>
      </w:r>
      <w:r w:rsidR="003D640C">
        <w:t xml:space="preserve"> </w:t>
      </w:r>
      <w:r>
        <w:t>S.</w:t>
      </w:r>
      <w:r w:rsidR="003D640C">
        <w:t xml:space="preserve"> </w:t>
      </w:r>
      <w:r>
        <w:t>J.,</w:t>
      </w:r>
      <w:r w:rsidR="003D640C">
        <w:t xml:space="preserve"> </w:t>
      </w:r>
      <w:r>
        <w:t>Motmans,</w:t>
      </w:r>
      <w:r w:rsidR="003D640C">
        <w:t xml:space="preserve"> </w:t>
      </w:r>
      <w:r>
        <w:t>J.,</w:t>
      </w:r>
      <w:r w:rsidR="003D640C">
        <w:t xml:space="preserve"> </w:t>
      </w:r>
      <w:r>
        <w:t>Nahata,</w:t>
      </w:r>
      <w:r w:rsidR="003D640C">
        <w:t xml:space="preserve"> </w:t>
      </w:r>
      <w:r>
        <w:t>L.,</w:t>
      </w:r>
      <w:r w:rsidR="003D640C">
        <w:t xml:space="preserve"> </w:t>
      </w:r>
      <w:r>
        <w:t>…</w:t>
      </w:r>
      <w:r w:rsidR="003D640C">
        <w:t xml:space="preserve"> </w:t>
      </w:r>
      <w:r>
        <w:t>Arcelus,</w:t>
      </w:r>
      <w:r w:rsidR="003D640C">
        <w:t xml:space="preserve"> </w:t>
      </w:r>
      <w:r>
        <w:t>J.</w:t>
      </w:r>
      <w:r w:rsidR="003D640C">
        <w:t xml:space="preserve"> </w:t>
      </w:r>
      <w:r>
        <w:t>(2022).</w:t>
      </w:r>
      <w:r w:rsidR="003D640C">
        <w:t xml:space="preserve"> </w:t>
      </w:r>
      <w:r w:rsidRPr="005B33A1">
        <w:t>Standards</w:t>
      </w:r>
      <w:r w:rsidR="003D640C" w:rsidRPr="005B33A1">
        <w:t xml:space="preserve"> </w:t>
      </w:r>
      <w:r w:rsidRPr="005B33A1">
        <w:t>of</w:t>
      </w:r>
      <w:r w:rsidR="003D640C" w:rsidRPr="005B33A1">
        <w:t xml:space="preserve"> </w:t>
      </w:r>
      <w:r w:rsidR="00884D30">
        <w:t>c</w:t>
      </w:r>
      <w:r w:rsidRPr="005B33A1">
        <w:t>are</w:t>
      </w:r>
      <w:r w:rsidR="003D640C" w:rsidRPr="005B33A1">
        <w:t xml:space="preserve"> </w:t>
      </w:r>
      <w:r w:rsidRPr="005B33A1">
        <w:t>for</w:t>
      </w:r>
      <w:r w:rsidR="003D640C" w:rsidRPr="005B33A1">
        <w:t xml:space="preserve"> </w:t>
      </w:r>
      <w:r w:rsidRPr="005B33A1">
        <w:t>the</w:t>
      </w:r>
      <w:r w:rsidR="003D640C" w:rsidRPr="005B33A1">
        <w:t xml:space="preserve"> </w:t>
      </w:r>
      <w:r w:rsidR="00884D30">
        <w:t>h</w:t>
      </w:r>
      <w:r w:rsidRPr="005B33A1">
        <w:t>ealth</w:t>
      </w:r>
      <w:r w:rsidR="003D640C" w:rsidRPr="005B33A1">
        <w:t xml:space="preserve"> </w:t>
      </w:r>
      <w:r w:rsidRPr="005B33A1">
        <w:t>of</w:t>
      </w:r>
      <w:r w:rsidR="003D640C" w:rsidRPr="005B33A1">
        <w:t xml:space="preserve"> </w:t>
      </w:r>
      <w:r w:rsidR="00884D30">
        <w:t>t</w:t>
      </w:r>
      <w:r w:rsidRPr="005B33A1">
        <w:t>ransgender</w:t>
      </w:r>
      <w:r w:rsidR="003D640C" w:rsidRPr="005B33A1">
        <w:t xml:space="preserve"> </w:t>
      </w:r>
      <w:r w:rsidR="00884D30">
        <w:t>h</w:t>
      </w:r>
      <w:r w:rsidRPr="005B33A1">
        <w:t>ealth</w:t>
      </w:r>
      <w:r w:rsidR="00884D30">
        <w:t xml:space="preserve">. </w:t>
      </w:r>
      <w:r w:rsidR="00884D30">
        <w:rPr>
          <w:i/>
          <w:iCs/>
        </w:rPr>
        <w:t>International Journal of Transgender Health</w:t>
      </w:r>
      <w:r>
        <w:t>,</w:t>
      </w:r>
      <w:r w:rsidR="003D640C">
        <w:t xml:space="preserve"> </w:t>
      </w:r>
      <w:r w:rsidRPr="005B33A1">
        <w:rPr>
          <w:i/>
          <w:iCs/>
        </w:rPr>
        <w:t>23</w:t>
      </w:r>
      <w:r>
        <w:t>(1),</w:t>
      </w:r>
      <w:r w:rsidR="003D640C">
        <w:t xml:space="preserve"> </w:t>
      </w:r>
      <w:r>
        <w:t>1</w:t>
      </w:r>
      <w:r w:rsidR="00884D30">
        <w:t>–</w:t>
      </w:r>
      <w:r>
        <w:t>259.</w:t>
      </w:r>
      <w:r w:rsidR="003D640C">
        <w:t xml:space="preserve"> </w:t>
      </w:r>
    </w:p>
  </w:footnote>
  <w:footnote w:id="249">
    <w:p w14:paraId="7CA13C70" w14:textId="412B0037" w:rsidR="00E45E91" w:rsidRDefault="00E45E91" w:rsidP="00E00167">
      <w:pPr>
        <w:pStyle w:val="FootnoteText"/>
      </w:pPr>
      <w:r>
        <w:rPr>
          <w:rStyle w:val="FootnoteReference"/>
        </w:rPr>
        <w:footnoteRef/>
      </w:r>
      <w:r w:rsidR="003D640C">
        <w:t xml:space="preserve"> </w:t>
      </w:r>
      <w:r w:rsidRPr="00596568">
        <w:t>Veale</w:t>
      </w:r>
      <w:r w:rsidR="003D640C">
        <w:t xml:space="preserve"> </w:t>
      </w:r>
      <w:r>
        <w:t>et</w:t>
      </w:r>
      <w:r w:rsidR="003D640C">
        <w:t xml:space="preserve"> </w:t>
      </w:r>
      <w:r>
        <w:t>al.,</w:t>
      </w:r>
      <w:r w:rsidR="003D640C">
        <w:t xml:space="preserve"> </w:t>
      </w:r>
      <w:r>
        <w:t>2019;</w:t>
      </w:r>
      <w:r w:rsidR="003D640C">
        <w:t xml:space="preserve"> </w:t>
      </w:r>
      <w:r>
        <w:t>Fenaughty</w:t>
      </w:r>
      <w:r w:rsidR="003D640C">
        <w:t xml:space="preserve"> </w:t>
      </w:r>
      <w:r>
        <w:t>et</w:t>
      </w:r>
      <w:r w:rsidR="003D640C">
        <w:t xml:space="preserve"> </w:t>
      </w:r>
      <w:r>
        <w:t>al.,</w:t>
      </w:r>
      <w:r w:rsidR="003D640C">
        <w:t xml:space="preserve"> </w:t>
      </w:r>
      <w:r>
        <w:t>2023</w:t>
      </w:r>
      <w:r w:rsidR="002A6F40">
        <w:t>.</w:t>
      </w:r>
    </w:p>
  </w:footnote>
  <w:footnote w:id="250">
    <w:p w14:paraId="0D07DDF6" w14:textId="3AF46D7C" w:rsidR="00CD377D" w:rsidRDefault="00CD377D" w:rsidP="00E00167">
      <w:pPr>
        <w:pStyle w:val="FootnoteText"/>
      </w:pPr>
      <w:r>
        <w:rPr>
          <w:rStyle w:val="FootnoteReference"/>
        </w:rPr>
        <w:footnoteRef/>
      </w:r>
      <w:r w:rsidR="003D640C">
        <w:t xml:space="preserve"> </w:t>
      </w:r>
      <w:r w:rsidR="00050564" w:rsidRPr="005B3B32">
        <w:t>Ministry</w:t>
      </w:r>
      <w:r w:rsidR="00050564">
        <w:t xml:space="preserve"> </w:t>
      </w:r>
      <w:r w:rsidR="00050564" w:rsidRPr="005B3B32">
        <w:t>of</w:t>
      </w:r>
      <w:r w:rsidR="00050564">
        <w:t xml:space="preserve"> </w:t>
      </w:r>
      <w:r w:rsidR="00050564" w:rsidRPr="005B3B32">
        <w:t>Justice</w:t>
      </w:r>
      <w:r w:rsidR="00050564">
        <w:t xml:space="preserve"> | Tāhū o te Ture</w:t>
      </w:r>
      <w:r w:rsidR="00050564" w:rsidRPr="005B3B32">
        <w:t>.</w:t>
      </w:r>
      <w:r w:rsidR="00050564">
        <w:t xml:space="preserve"> </w:t>
      </w:r>
      <w:r w:rsidR="00050564" w:rsidRPr="005B3B32">
        <w:t>(2022)</w:t>
      </w:r>
      <w:r w:rsidR="00EE1841">
        <w:t xml:space="preserve"> (p.</w:t>
      </w:r>
      <w:r w:rsidR="00BB6B6D">
        <w:t xml:space="preserve"> 37)</w:t>
      </w:r>
      <w:r w:rsidR="00050564" w:rsidRPr="005B3B32">
        <w:t>.</w:t>
      </w:r>
    </w:p>
  </w:footnote>
  <w:footnote w:id="251">
    <w:p w14:paraId="6F69DA2D" w14:textId="1465BFCE" w:rsidR="000C59C1" w:rsidRDefault="000C59C1" w:rsidP="00E00167">
      <w:pPr>
        <w:pStyle w:val="FootnoteText"/>
      </w:pPr>
      <w:r>
        <w:rPr>
          <w:rStyle w:val="FootnoteReference"/>
        </w:rPr>
        <w:footnoteRef/>
      </w:r>
      <w:r w:rsidR="003D640C">
        <w:t xml:space="preserve"> </w:t>
      </w:r>
      <w:r w:rsidR="008C56DB">
        <w:t>Tan,</w:t>
      </w:r>
      <w:r w:rsidR="003D640C">
        <w:t xml:space="preserve"> </w:t>
      </w:r>
      <w:r w:rsidR="008C56DB">
        <w:t>K.</w:t>
      </w:r>
      <w:r w:rsidR="003D640C">
        <w:t xml:space="preserve"> </w:t>
      </w:r>
      <w:r w:rsidR="008C56DB">
        <w:t>H.,</w:t>
      </w:r>
      <w:r w:rsidR="003D640C">
        <w:t xml:space="preserve"> </w:t>
      </w:r>
      <w:r w:rsidR="00995376">
        <w:t>Treharne,</w:t>
      </w:r>
      <w:r w:rsidR="003D640C">
        <w:t xml:space="preserve"> </w:t>
      </w:r>
      <w:r w:rsidR="00995376">
        <w:t>G.</w:t>
      </w:r>
      <w:r w:rsidR="003D640C">
        <w:t xml:space="preserve"> </w:t>
      </w:r>
      <w:r w:rsidR="00995376">
        <w:t>J.,</w:t>
      </w:r>
      <w:r w:rsidR="003D640C">
        <w:t xml:space="preserve"> </w:t>
      </w:r>
      <w:r w:rsidR="00995376">
        <w:t>Ellis,</w:t>
      </w:r>
      <w:r w:rsidR="003D640C">
        <w:t xml:space="preserve"> </w:t>
      </w:r>
      <w:r w:rsidR="00995376">
        <w:t>S.</w:t>
      </w:r>
      <w:r w:rsidR="003D640C">
        <w:t xml:space="preserve"> </w:t>
      </w:r>
      <w:r w:rsidR="00995376">
        <w:t>J.,</w:t>
      </w:r>
      <w:r w:rsidR="003D640C">
        <w:t xml:space="preserve"> </w:t>
      </w:r>
      <w:r w:rsidR="00995376">
        <w:t>Schmidt,</w:t>
      </w:r>
      <w:r w:rsidR="003D640C">
        <w:t xml:space="preserve"> </w:t>
      </w:r>
      <w:r w:rsidR="00995376">
        <w:t>J.</w:t>
      </w:r>
      <w:r w:rsidR="003D640C">
        <w:t xml:space="preserve"> </w:t>
      </w:r>
      <w:r w:rsidR="00995376">
        <w:t>M.,</w:t>
      </w:r>
      <w:r w:rsidR="003D640C">
        <w:t xml:space="preserve"> </w:t>
      </w:r>
      <w:r w:rsidR="00995376">
        <w:t>&amp;</w:t>
      </w:r>
      <w:r w:rsidR="003D640C">
        <w:t xml:space="preserve"> </w:t>
      </w:r>
      <w:r w:rsidR="00995376">
        <w:t>Veale,</w:t>
      </w:r>
      <w:r w:rsidR="003D640C">
        <w:t xml:space="preserve"> </w:t>
      </w:r>
      <w:r w:rsidR="00995376">
        <w:t>J.</w:t>
      </w:r>
      <w:r w:rsidR="003D640C">
        <w:t xml:space="preserve"> </w:t>
      </w:r>
      <w:r w:rsidR="00995376">
        <w:t>F.</w:t>
      </w:r>
      <w:r w:rsidR="003D640C">
        <w:t xml:space="preserve"> </w:t>
      </w:r>
      <w:r w:rsidR="00995376">
        <w:t>(</w:t>
      </w:r>
      <w:r w:rsidR="00A42246">
        <w:t>2020).</w:t>
      </w:r>
      <w:r w:rsidR="003D640C">
        <w:t xml:space="preserve"> </w:t>
      </w:r>
      <w:r w:rsidR="00A42246">
        <w:t>Enacted</w:t>
      </w:r>
      <w:r w:rsidR="003D640C">
        <w:t xml:space="preserve"> </w:t>
      </w:r>
      <w:r w:rsidR="00A42246">
        <w:t>stigma</w:t>
      </w:r>
      <w:r w:rsidR="003D640C">
        <w:t xml:space="preserve"> </w:t>
      </w:r>
      <w:r w:rsidR="00A42246">
        <w:t>experiences</w:t>
      </w:r>
      <w:r w:rsidR="003D640C">
        <w:t xml:space="preserve"> </w:t>
      </w:r>
      <w:r w:rsidR="00A42246">
        <w:t>and</w:t>
      </w:r>
      <w:r w:rsidR="003D640C">
        <w:t xml:space="preserve"> </w:t>
      </w:r>
      <w:r w:rsidR="00A42246">
        <w:t>protective</w:t>
      </w:r>
      <w:r w:rsidR="003D640C">
        <w:t xml:space="preserve"> </w:t>
      </w:r>
      <w:r w:rsidR="00A42246">
        <w:t>factors</w:t>
      </w:r>
      <w:r w:rsidR="003D640C">
        <w:t xml:space="preserve"> </w:t>
      </w:r>
      <w:r w:rsidR="00A42246">
        <w:t>are</w:t>
      </w:r>
      <w:r w:rsidR="003D640C">
        <w:t xml:space="preserve"> </w:t>
      </w:r>
      <w:r w:rsidR="00A42246">
        <w:t>strongly</w:t>
      </w:r>
      <w:r w:rsidR="003D640C">
        <w:t xml:space="preserve"> </w:t>
      </w:r>
      <w:r w:rsidR="00A42246">
        <w:t>associated</w:t>
      </w:r>
      <w:r w:rsidR="003D640C">
        <w:t xml:space="preserve"> </w:t>
      </w:r>
      <w:r w:rsidR="00A42246">
        <w:t>with</w:t>
      </w:r>
      <w:r w:rsidR="003D640C">
        <w:t xml:space="preserve"> </w:t>
      </w:r>
      <w:r w:rsidR="00A42246">
        <w:t>mental</w:t>
      </w:r>
      <w:r w:rsidR="003D640C">
        <w:t xml:space="preserve"> </w:t>
      </w:r>
      <w:r w:rsidR="00A42246">
        <w:t>health</w:t>
      </w:r>
      <w:r w:rsidR="003D640C">
        <w:t xml:space="preserve"> </w:t>
      </w:r>
      <w:r w:rsidR="00A42246">
        <w:t>outcomes</w:t>
      </w:r>
      <w:r w:rsidR="003D640C">
        <w:t xml:space="preserve"> </w:t>
      </w:r>
      <w:r w:rsidR="00A42246">
        <w:t>of</w:t>
      </w:r>
      <w:r w:rsidR="003D640C">
        <w:t xml:space="preserve"> </w:t>
      </w:r>
      <w:r w:rsidR="00A42246">
        <w:t>transgender</w:t>
      </w:r>
      <w:r w:rsidR="003D640C">
        <w:t xml:space="preserve"> </w:t>
      </w:r>
      <w:r w:rsidR="00A42246">
        <w:t>people</w:t>
      </w:r>
      <w:r w:rsidR="003D640C">
        <w:t xml:space="preserve"> </w:t>
      </w:r>
      <w:r w:rsidR="00A42246">
        <w:t>in</w:t>
      </w:r>
      <w:r w:rsidR="003D640C">
        <w:t xml:space="preserve"> </w:t>
      </w:r>
      <w:r w:rsidR="00A42246">
        <w:t>Aotearoa/New</w:t>
      </w:r>
      <w:r w:rsidR="003D640C">
        <w:t xml:space="preserve"> </w:t>
      </w:r>
      <w:r w:rsidR="00A42246">
        <w:t>Zealand.</w:t>
      </w:r>
      <w:r w:rsidR="003D640C">
        <w:t xml:space="preserve"> </w:t>
      </w:r>
      <w:r w:rsidR="000C1D58" w:rsidRPr="001168E2">
        <w:rPr>
          <w:i/>
        </w:rPr>
        <w:t>International</w:t>
      </w:r>
      <w:r w:rsidR="003D640C">
        <w:rPr>
          <w:i/>
        </w:rPr>
        <w:t xml:space="preserve"> </w:t>
      </w:r>
      <w:r w:rsidR="000C1D58" w:rsidRPr="001168E2">
        <w:rPr>
          <w:i/>
        </w:rPr>
        <w:t>Journal</w:t>
      </w:r>
      <w:r w:rsidR="003D640C">
        <w:rPr>
          <w:i/>
        </w:rPr>
        <w:t xml:space="preserve"> </w:t>
      </w:r>
      <w:r w:rsidR="000C1D58" w:rsidRPr="001168E2">
        <w:rPr>
          <w:i/>
        </w:rPr>
        <w:t>of</w:t>
      </w:r>
      <w:r w:rsidR="003D640C">
        <w:rPr>
          <w:i/>
        </w:rPr>
        <w:t xml:space="preserve"> </w:t>
      </w:r>
      <w:r w:rsidR="000C1D58" w:rsidRPr="001168E2">
        <w:rPr>
          <w:i/>
        </w:rPr>
        <w:t>Transgender</w:t>
      </w:r>
      <w:r w:rsidR="003D640C">
        <w:rPr>
          <w:i/>
        </w:rPr>
        <w:t xml:space="preserve"> </w:t>
      </w:r>
      <w:r w:rsidR="000C1D58" w:rsidRPr="001168E2">
        <w:rPr>
          <w:i/>
        </w:rPr>
        <w:t>Health</w:t>
      </w:r>
      <w:r w:rsidR="00E83F67">
        <w:rPr>
          <w:iCs/>
        </w:rPr>
        <w:t>,</w:t>
      </w:r>
      <w:r w:rsidR="003D640C">
        <w:t xml:space="preserve"> </w:t>
      </w:r>
      <w:r w:rsidR="001168E2" w:rsidRPr="005B33A1">
        <w:rPr>
          <w:i/>
          <w:iCs/>
        </w:rPr>
        <w:t>22</w:t>
      </w:r>
      <w:r w:rsidR="001168E2">
        <w:t>(3)</w:t>
      </w:r>
      <w:r w:rsidR="00C47BCA">
        <w:t>, 269–280</w:t>
      </w:r>
      <w:r w:rsidR="007B5336">
        <w:t>.</w:t>
      </w:r>
    </w:p>
  </w:footnote>
  <w:footnote w:id="252">
    <w:p w14:paraId="23B14945" w14:textId="72A4EA56" w:rsidR="009F68A2" w:rsidRDefault="009F68A2" w:rsidP="00E00167">
      <w:pPr>
        <w:pStyle w:val="FootnoteText"/>
      </w:pPr>
      <w:r>
        <w:rPr>
          <w:rStyle w:val="FootnoteReference"/>
        </w:rPr>
        <w:footnoteRef/>
      </w:r>
      <w:r w:rsidR="003D640C">
        <w:t xml:space="preserve"> </w:t>
      </w:r>
      <w:r w:rsidR="00E83F67">
        <w:t xml:space="preserve">United Nations </w:t>
      </w:r>
      <w:r w:rsidR="00025F8B">
        <w:t>Committee</w:t>
      </w:r>
      <w:r w:rsidR="003D640C">
        <w:t xml:space="preserve"> </w:t>
      </w:r>
      <w:r w:rsidR="00025F8B">
        <w:t>on</w:t>
      </w:r>
      <w:r w:rsidR="003D640C">
        <w:t xml:space="preserve"> </w:t>
      </w:r>
      <w:r w:rsidR="00025F8B">
        <w:t>the</w:t>
      </w:r>
      <w:r w:rsidR="003D640C">
        <w:t xml:space="preserve"> </w:t>
      </w:r>
      <w:r w:rsidR="00025F8B">
        <w:t>Rights</w:t>
      </w:r>
      <w:r w:rsidR="003D640C">
        <w:t xml:space="preserve"> </w:t>
      </w:r>
      <w:r w:rsidR="00025F8B">
        <w:t>of</w:t>
      </w:r>
      <w:r w:rsidR="003D640C">
        <w:t xml:space="preserve"> </w:t>
      </w:r>
      <w:r w:rsidR="00025F8B">
        <w:t>Persons</w:t>
      </w:r>
      <w:r w:rsidR="003D640C">
        <w:t xml:space="preserve"> </w:t>
      </w:r>
      <w:r w:rsidR="00025F8B">
        <w:t>with</w:t>
      </w:r>
      <w:r w:rsidR="003D640C">
        <w:t xml:space="preserve"> </w:t>
      </w:r>
      <w:r w:rsidR="00025F8B">
        <w:t>Disabilities.</w:t>
      </w:r>
      <w:r w:rsidR="003D640C">
        <w:t xml:space="preserve"> </w:t>
      </w:r>
      <w:r w:rsidR="0072536D">
        <w:t>(2022)</w:t>
      </w:r>
      <w:r w:rsidR="00E83F67">
        <w:t>.</w:t>
      </w:r>
      <w:r w:rsidR="003D640C">
        <w:t xml:space="preserve"> </w:t>
      </w:r>
      <w:r w:rsidR="005558E5" w:rsidRPr="005B33A1">
        <w:rPr>
          <w:i/>
          <w:iCs/>
        </w:rPr>
        <w:t>General</w:t>
      </w:r>
      <w:r w:rsidR="003D640C" w:rsidRPr="005B33A1">
        <w:rPr>
          <w:i/>
          <w:iCs/>
        </w:rPr>
        <w:t xml:space="preserve"> </w:t>
      </w:r>
      <w:r w:rsidR="005558E5" w:rsidRPr="005B33A1">
        <w:rPr>
          <w:i/>
          <w:iCs/>
        </w:rPr>
        <w:t>comment</w:t>
      </w:r>
      <w:r w:rsidR="003D640C" w:rsidRPr="005B33A1">
        <w:rPr>
          <w:i/>
          <w:iCs/>
        </w:rPr>
        <w:t xml:space="preserve"> </w:t>
      </w:r>
      <w:r w:rsidR="005558E5" w:rsidRPr="005B33A1">
        <w:rPr>
          <w:i/>
          <w:iCs/>
        </w:rPr>
        <w:t>No.</w:t>
      </w:r>
      <w:r w:rsidR="003D640C" w:rsidRPr="005B33A1">
        <w:rPr>
          <w:i/>
          <w:iCs/>
        </w:rPr>
        <w:t xml:space="preserve"> </w:t>
      </w:r>
      <w:r w:rsidR="005558E5" w:rsidRPr="005B33A1">
        <w:rPr>
          <w:i/>
          <w:iCs/>
        </w:rPr>
        <w:t>8</w:t>
      </w:r>
      <w:r w:rsidR="003D640C" w:rsidRPr="005B33A1">
        <w:rPr>
          <w:i/>
          <w:iCs/>
        </w:rPr>
        <w:t xml:space="preserve"> </w:t>
      </w:r>
      <w:r w:rsidR="005558E5" w:rsidRPr="005B33A1">
        <w:rPr>
          <w:i/>
          <w:iCs/>
        </w:rPr>
        <w:t>(2022)</w:t>
      </w:r>
      <w:r w:rsidR="003D640C" w:rsidRPr="005B33A1">
        <w:rPr>
          <w:i/>
          <w:iCs/>
        </w:rPr>
        <w:t xml:space="preserve"> </w:t>
      </w:r>
      <w:r w:rsidR="005558E5" w:rsidRPr="005B33A1">
        <w:rPr>
          <w:i/>
          <w:iCs/>
        </w:rPr>
        <w:t>on</w:t>
      </w:r>
      <w:r w:rsidR="003D640C" w:rsidRPr="005B33A1">
        <w:rPr>
          <w:i/>
          <w:iCs/>
        </w:rPr>
        <w:t xml:space="preserve"> </w:t>
      </w:r>
      <w:r w:rsidR="005558E5" w:rsidRPr="005B33A1">
        <w:rPr>
          <w:i/>
          <w:iCs/>
        </w:rPr>
        <w:t>the</w:t>
      </w:r>
      <w:r w:rsidR="003D640C" w:rsidRPr="005B33A1">
        <w:rPr>
          <w:i/>
          <w:iCs/>
        </w:rPr>
        <w:t xml:space="preserve"> </w:t>
      </w:r>
      <w:r w:rsidR="005558E5" w:rsidRPr="005B33A1">
        <w:rPr>
          <w:i/>
          <w:iCs/>
        </w:rPr>
        <w:t>right</w:t>
      </w:r>
      <w:r w:rsidR="003D640C" w:rsidRPr="005B33A1">
        <w:rPr>
          <w:i/>
          <w:iCs/>
        </w:rPr>
        <w:t xml:space="preserve"> </w:t>
      </w:r>
      <w:r w:rsidR="005558E5" w:rsidRPr="005B33A1">
        <w:rPr>
          <w:i/>
          <w:iCs/>
        </w:rPr>
        <w:t>of</w:t>
      </w:r>
      <w:r w:rsidR="003D640C" w:rsidRPr="005B33A1">
        <w:rPr>
          <w:i/>
          <w:iCs/>
        </w:rPr>
        <w:t xml:space="preserve"> </w:t>
      </w:r>
      <w:r w:rsidR="005558E5" w:rsidRPr="005B33A1">
        <w:rPr>
          <w:i/>
          <w:iCs/>
        </w:rPr>
        <w:t>persons</w:t>
      </w:r>
      <w:r w:rsidR="003D640C" w:rsidRPr="005B33A1">
        <w:rPr>
          <w:i/>
          <w:iCs/>
        </w:rPr>
        <w:t xml:space="preserve"> </w:t>
      </w:r>
      <w:r w:rsidR="005558E5" w:rsidRPr="005B33A1">
        <w:rPr>
          <w:i/>
          <w:iCs/>
        </w:rPr>
        <w:t>with</w:t>
      </w:r>
      <w:r w:rsidR="003D640C" w:rsidRPr="005B33A1">
        <w:rPr>
          <w:i/>
          <w:iCs/>
        </w:rPr>
        <w:t xml:space="preserve"> </w:t>
      </w:r>
      <w:r w:rsidR="005558E5" w:rsidRPr="005B33A1">
        <w:rPr>
          <w:i/>
          <w:iCs/>
        </w:rPr>
        <w:t>disabilities</w:t>
      </w:r>
      <w:r w:rsidR="003D640C" w:rsidRPr="005B33A1">
        <w:rPr>
          <w:i/>
          <w:iCs/>
        </w:rPr>
        <w:t xml:space="preserve"> </w:t>
      </w:r>
      <w:r w:rsidR="005558E5" w:rsidRPr="005B33A1">
        <w:rPr>
          <w:i/>
          <w:iCs/>
        </w:rPr>
        <w:t>to</w:t>
      </w:r>
      <w:r w:rsidR="003D640C" w:rsidRPr="005B33A1">
        <w:rPr>
          <w:i/>
          <w:iCs/>
        </w:rPr>
        <w:t xml:space="preserve"> </w:t>
      </w:r>
      <w:r w:rsidR="005558E5" w:rsidRPr="005B33A1">
        <w:rPr>
          <w:i/>
          <w:iCs/>
        </w:rPr>
        <w:t>work</w:t>
      </w:r>
      <w:r w:rsidR="003D640C" w:rsidRPr="005B33A1">
        <w:rPr>
          <w:i/>
          <w:iCs/>
        </w:rPr>
        <w:t xml:space="preserve"> </w:t>
      </w:r>
      <w:r w:rsidR="005558E5" w:rsidRPr="005B33A1">
        <w:rPr>
          <w:i/>
          <w:iCs/>
        </w:rPr>
        <w:t>and</w:t>
      </w:r>
      <w:r w:rsidR="003D640C" w:rsidRPr="005B33A1">
        <w:rPr>
          <w:i/>
          <w:iCs/>
        </w:rPr>
        <w:t xml:space="preserve"> </w:t>
      </w:r>
      <w:r w:rsidR="005558E5" w:rsidRPr="005B33A1">
        <w:rPr>
          <w:i/>
          <w:iCs/>
        </w:rPr>
        <w:t>employment</w:t>
      </w:r>
      <w:r w:rsidR="000724F8">
        <w:rPr>
          <w:i/>
          <w:iCs/>
        </w:rPr>
        <w:t xml:space="preserve"> </w:t>
      </w:r>
      <w:r w:rsidR="000724F8" w:rsidRPr="005B33A1">
        <w:t>(p. 1)</w:t>
      </w:r>
      <w:r w:rsidR="005558E5" w:rsidRPr="000724F8">
        <w:t>.</w:t>
      </w:r>
    </w:p>
  </w:footnote>
  <w:footnote w:id="253">
    <w:p w14:paraId="3FA23C47" w14:textId="0DAC4F4B" w:rsidR="00E81ED2" w:rsidRDefault="00E81ED2" w:rsidP="00E00167">
      <w:pPr>
        <w:pStyle w:val="FootnoteText"/>
      </w:pPr>
      <w:r>
        <w:rPr>
          <w:rStyle w:val="FootnoteReference"/>
        </w:rPr>
        <w:footnoteRef/>
      </w:r>
      <w:r w:rsidR="003D640C">
        <w:t xml:space="preserve"> </w:t>
      </w:r>
      <w:r w:rsidRPr="00E81ED2">
        <w:t>Mirfin-Veitch,</w:t>
      </w:r>
      <w:r w:rsidR="003D640C">
        <w:t xml:space="preserve"> </w:t>
      </w:r>
      <w:r w:rsidRPr="00E81ED2">
        <w:t>B.,</w:t>
      </w:r>
      <w:r w:rsidR="003D640C">
        <w:t xml:space="preserve"> </w:t>
      </w:r>
      <w:r w:rsidRPr="00E81ED2">
        <w:t>Tikao,</w:t>
      </w:r>
      <w:r w:rsidR="003D640C">
        <w:t xml:space="preserve"> </w:t>
      </w:r>
      <w:r w:rsidRPr="00E81ED2">
        <w:t>K.,</w:t>
      </w:r>
      <w:r w:rsidR="003D640C">
        <w:t xml:space="preserve"> </w:t>
      </w:r>
      <w:r w:rsidRPr="00E81ED2">
        <w:t>Asaka,</w:t>
      </w:r>
      <w:r w:rsidR="003D640C">
        <w:t xml:space="preserve"> </w:t>
      </w:r>
      <w:r w:rsidRPr="00E81ED2">
        <w:t>U.,</w:t>
      </w:r>
      <w:r w:rsidR="003D640C">
        <w:t xml:space="preserve"> </w:t>
      </w:r>
      <w:r w:rsidRPr="00E81ED2">
        <w:t>Tuisaula,</w:t>
      </w:r>
      <w:r w:rsidR="003D640C">
        <w:t xml:space="preserve"> </w:t>
      </w:r>
      <w:r w:rsidRPr="00E81ED2">
        <w:t>E.,</w:t>
      </w:r>
      <w:r w:rsidR="003D640C">
        <w:t xml:space="preserve"> </w:t>
      </w:r>
      <w:r w:rsidRPr="00E81ED2">
        <w:t>Stace,</w:t>
      </w:r>
      <w:r w:rsidR="003D640C">
        <w:t xml:space="preserve"> </w:t>
      </w:r>
      <w:r w:rsidRPr="00E81ED2">
        <w:t>H.,</w:t>
      </w:r>
      <w:r w:rsidR="003D640C">
        <w:t xml:space="preserve"> </w:t>
      </w:r>
      <w:r w:rsidRPr="00E81ED2">
        <w:t>Watene,</w:t>
      </w:r>
      <w:r w:rsidR="003D640C">
        <w:t xml:space="preserve"> </w:t>
      </w:r>
      <w:r w:rsidRPr="00E81ED2">
        <w:t>F.</w:t>
      </w:r>
      <w:r w:rsidR="003D640C">
        <w:t xml:space="preserve"> </w:t>
      </w:r>
      <w:r w:rsidRPr="00E81ED2">
        <w:t>R.,</w:t>
      </w:r>
      <w:r w:rsidR="003D640C">
        <w:t xml:space="preserve"> </w:t>
      </w:r>
      <w:r w:rsidRPr="00E81ED2">
        <w:t>&amp;</w:t>
      </w:r>
      <w:r w:rsidR="003D640C">
        <w:t xml:space="preserve"> </w:t>
      </w:r>
      <w:r w:rsidRPr="00E81ED2">
        <w:t>Frawley,</w:t>
      </w:r>
      <w:r w:rsidR="003D640C">
        <w:t xml:space="preserve"> </w:t>
      </w:r>
      <w:r w:rsidRPr="00E81ED2">
        <w:t>P.</w:t>
      </w:r>
      <w:r w:rsidR="003D640C">
        <w:t xml:space="preserve"> </w:t>
      </w:r>
      <w:r w:rsidRPr="00E81ED2">
        <w:t>(2022).</w:t>
      </w:r>
      <w:r w:rsidR="003D640C">
        <w:t xml:space="preserve"> </w:t>
      </w:r>
      <w:r w:rsidRPr="005B33A1">
        <w:rPr>
          <w:i/>
          <w:iCs/>
        </w:rPr>
        <w:t>Tell</w:t>
      </w:r>
      <w:r w:rsidR="003D640C" w:rsidRPr="005B33A1">
        <w:rPr>
          <w:i/>
          <w:iCs/>
        </w:rPr>
        <w:t xml:space="preserve"> </w:t>
      </w:r>
      <w:r w:rsidR="00200D83" w:rsidRPr="005B33A1">
        <w:rPr>
          <w:i/>
          <w:iCs/>
        </w:rPr>
        <w:t>m</w:t>
      </w:r>
      <w:r w:rsidRPr="005B33A1">
        <w:rPr>
          <w:i/>
          <w:iCs/>
        </w:rPr>
        <w:t>e</w:t>
      </w:r>
      <w:r w:rsidR="003D640C" w:rsidRPr="005B33A1">
        <w:rPr>
          <w:i/>
          <w:iCs/>
        </w:rPr>
        <w:t xml:space="preserve"> </w:t>
      </w:r>
      <w:r w:rsidR="00200D83" w:rsidRPr="005B33A1">
        <w:rPr>
          <w:i/>
          <w:iCs/>
        </w:rPr>
        <w:t>a</w:t>
      </w:r>
      <w:r w:rsidRPr="005B33A1">
        <w:rPr>
          <w:i/>
          <w:iCs/>
        </w:rPr>
        <w:t>bout</w:t>
      </w:r>
      <w:r w:rsidR="003D640C" w:rsidRPr="005B33A1">
        <w:rPr>
          <w:i/>
          <w:iCs/>
        </w:rPr>
        <w:t xml:space="preserve"> </w:t>
      </w:r>
      <w:r w:rsidR="00200D83" w:rsidRPr="005B33A1">
        <w:rPr>
          <w:i/>
          <w:iCs/>
        </w:rPr>
        <w:t>y</w:t>
      </w:r>
      <w:r w:rsidRPr="005B33A1">
        <w:rPr>
          <w:i/>
          <w:iCs/>
        </w:rPr>
        <w:t>ou:</w:t>
      </w:r>
      <w:r w:rsidR="003D640C" w:rsidRPr="005B33A1">
        <w:rPr>
          <w:i/>
          <w:iCs/>
        </w:rPr>
        <w:t xml:space="preserve"> </w:t>
      </w:r>
      <w:r w:rsidRPr="005B33A1">
        <w:rPr>
          <w:i/>
          <w:iCs/>
        </w:rPr>
        <w:t>A</w:t>
      </w:r>
      <w:r w:rsidR="003D640C" w:rsidRPr="005B33A1">
        <w:rPr>
          <w:i/>
          <w:iCs/>
        </w:rPr>
        <w:t xml:space="preserve"> </w:t>
      </w:r>
      <w:r w:rsidRPr="005B33A1">
        <w:rPr>
          <w:i/>
          <w:iCs/>
        </w:rPr>
        <w:t>life</w:t>
      </w:r>
      <w:r w:rsidR="003D640C" w:rsidRPr="005B33A1">
        <w:rPr>
          <w:i/>
          <w:iCs/>
        </w:rPr>
        <w:t xml:space="preserve"> </w:t>
      </w:r>
      <w:r w:rsidRPr="005B33A1">
        <w:rPr>
          <w:i/>
          <w:iCs/>
        </w:rPr>
        <w:t>story</w:t>
      </w:r>
      <w:r w:rsidR="003D640C" w:rsidRPr="005B33A1">
        <w:rPr>
          <w:i/>
          <w:iCs/>
        </w:rPr>
        <w:t xml:space="preserve"> </w:t>
      </w:r>
      <w:r w:rsidRPr="005B33A1">
        <w:rPr>
          <w:i/>
          <w:iCs/>
        </w:rPr>
        <w:t>approach</w:t>
      </w:r>
      <w:r w:rsidR="003D640C" w:rsidRPr="005B33A1">
        <w:rPr>
          <w:i/>
          <w:iCs/>
        </w:rPr>
        <w:t xml:space="preserve"> </w:t>
      </w:r>
      <w:r w:rsidRPr="005B33A1">
        <w:rPr>
          <w:i/>
          <w:iCs/>
        </w:rPr>
        <w:t>to</w:t>
      </w:r>
      <w:r w:rsidR="003D640C" w:rsidRPr="005B33A1">
        <w:rPr>
          <w:i/>
          <w:iCs/>
        </w:rPr>
        <w:t xml:space="preserve"> </w:t>
      </w:r>
      <w:r w:rsidRPr="005B33A1">
        <w:rPr>
          <w:i/>
          <w:iCs/>
        </w:rPr>
        <w:t>understanding</w:t>
      </w:r>
      <w:r w:rsidR="003D640C" w:rsidRPr="005B33A1">
        <w:rPr>
          <w:i/>
          <w:iCs/>
        </w:rPr>
        <w:t xml:space="preserve"> </w:t>
      </w:r>
      <w:r w:rsidRPr="005B33A1">
        <w:rPr>
          <w:i/>
          <w:iCs/>
        </w:rPr>
        <w:t>disabled</w:t>
      </w:r>
      <w:r w:rsidR="003D640C" w:rsidRPr="005B33A1">
        <w:rPr>
          <w:i/>
          <w:iCs/>
        </w:rPr>
        <w:t xml:space="preserve"> </w:t>
      </w:r>
      <w:r w:rsidRPr="005B33A1">
        <w:rPr>
          <w:i/>
          <w:iCs/>
        </w:rPr>
        <w:t>people’s</w:t>
      </w:r>
      <w:r w:rsidR="003D640C" w:rsidRPr="005B33A1">
        <w:rPr>
          <w:i/>
          <w:iCs/>
        </w:rPr>
        <w:t xml:space="preserve"> </w:t>
      </w:r>
      <w:r w:rsidRPr="005B33A1">
        <w:rPr>
          <w:i/>
          <w:iCs/>
        </w:rPr>
        <w:t>experiences</w:t>
      </w:r>
      <w:r w:rsidR="003D640C" w:rsidRPr="005B33A1">
        <w:rPr>
          <w:i/>
          <w:iCs/>
        </w:rPr>
        <w:t xml:space="preserve"> </w:t>
      </w:r>
      <w:r w:rsidRPr="005B33A1">
        <w:rPr>
          <w:i/>
          <w:iCs/>
        </w:rPr>
        <w:t>in</w:t>
      </w:r>
      <w:r w:rsidR="003D640C" w:rsidRPr="005B33A1">
        <w:rPr>
          <w:i/>
          <w:iCs/>
        </w:rPr>
        <w:t xml:space="preserve"> </w:t>
      </w:r>
      <w:r w:rsidRPr="005B33A1">
        <w:rPr>
          <w:i/>
          <w:iCs/>
        </w:rPr>
        <w:t>care</w:t>
      </w:r>
      <w:r w:rsidR="003D640C" w:rsidRPr="005B33A1">
        <w:rPr>
          <w:i/>
          <w:iCs/>
        </w:rPr>
        <w:t xml:space="preserve"> </w:t>
      </w:r>
      <w:r w:rsidRPr="005B33A1">
        <w:rPr>
          <w:i/>
          <w:iCs/>
        </w:rPr>
        <w:t>(1950-1999)</w:t>
      </w:r>
      <w:r w:rsidRPr="00E81ED2">
        <w:t>.</w:t>
      </w:r>
      <w:r w:rsidR="003D640C">
        <w:t xml:space="preserve"> </w:t>
      </w:r>
      <w:r w:rsidRPr="00E81ED2">
        <w:t>Donald</w:t>
      </w:r>
      <w:r w:rsidR="003D640C">
        <w:t xml:space="preserve"> </w:t>
      </w:r>
      <w:r w:rsidRPr="00E81ED2">
        <w:t>Beasley</w:t>
      </w:r>
      <w:r w:rsidR="003D640C">
        <w:t xml:space="preserve"> </w:t>
      </w:r>
      <w:r w:rsidRPr="00E81ED2">
        <w:t>Institute</w:t>
      </w:r>
      <w:r w:rsidR="00200D83">
        <w:t xml:space="preserve"> (</w:t>
      </w:r>
      <w:r>
        <w:t>p.</w:t>
      </w:r>
      <w:r w:rsidR="003D640C">
        <w:t xml:space="preserve"> </w:t>
      </w:r>
      <w:r>
        <w:t>5</w:t>
      </w:r>
      <w:r w:rsidR="00200D83">
        <w:t>)</w:t>
      </w:r>
      <w:r>
        <w:t>.</w:t>
      </w:r>
    </w:p>
  </w:footnote>
  <w:footnote w:id="254">
    <w:p w14:paraId="572234B2" w14:textId="487BE98F" w:rsidR="00324DBE" w:rsidRDefault="00324DBE" w:rsidP="00E00167">
      <w:pPr>
        <w:pStyle w:val="FootnoteText"/>
      </w:pPr>
      <w:r>
        <w:rPr>
          <w:rStyle w:val="FootnoteReference"/>
        </w:rPr>
        <w:footnoteRef/>
      </w:r>
      <w:r w:rsidR="003D640C">
        <w:t xml:space="preserve"> </w:t>
      </w:r>
      <w:r w:rsidR="00D20B3B">
        <w:t>Roberston,</w:t>
      </w:r>
      <w:r w:rsidR="003D640C">
        <w:t xml:space="preserve"> </w:t>
      </w:r>
      <w:r w:rsidR="00D20B3B">
        <w:t>S.</w:t>
      </w:r>
      <w:r w:rsidR="003D640C">
        <w:t xml:space="preserve"> </w:t>
      </w:r>
      <w:r w:rsidR="00D20B3B">
        <w:t>(2017)</w:t>
      </w:r>
      <w:r w:rsidR="00561E9A">
        <w:t>.</w:t>
      </w:r>
      <w:r w:rsidR="003D640C">
        <w:t xml:space="preserve"> </w:t>
      </w:r>
      <w:r w:rsidR="00F035A7" w:rsidRPr="005B33A1">
        <w:rPr>
          <w:i/>
          <w:iCs/>
        </w:rPr>
        <w:t>All</w:t>
      </w:r>
      <w:r w:rsidR="003D640C" w:rsidRPr="005B33A1">
        <w:rPr>
          <w:i/>
          <w:iCs/>
        </w:rPr>
        <w:t xml:space="preserve"> </w:t>
      </w:r>
      <w:r w:rsidR="00F035A7" w:rsidRPr="005B33A1">
        <w:rPr>
          <w:i/>
          <w:iCs/>
        </w:rPr>
        <w:t>of</w:t>
      </w:r>
      <w:r w:rsidR="003D640C" w:rsidRPr="005B33A1">
        <w:rPr>
          <w:i/>
          <w:iCs/>
        </w:rPr>
        <w:t xml:space="preserve"> </w:t>
      </w:r>
      <w:r w:rsidR="00561E9A">
        <w:rPr>
          <w:i/>
          <w:iCs/>
        </w:rPr>
        <w:t>u</w:t>
      </w:r>
      <w:r w:rsidR="00F035A7" w:rsidRPr="005B33A1">
        <w:rPr>
          <w:i/>
          <w:iCs/>
        </w:rPr>
        <w:t>s.</w:t>
      </w:r>
      <w:r w:rsidR="003D640C" w:rsidRPr="005B33A1">
        <w:rPr>
          <w:i/>
          <w:iCs/>
        </w:rPr>
        <w:t xml:space="preserve"> </w:t>
      </w:r>
      <w:r w:rsidR="00F035A7" w:rsidRPr="005B33A1">
        <w:rPr>
          <w:i/>
          <w:iCs/>
        </w:rPr>
        <w:t>Minority</w:t>
      </w:r>
      <w:r w:rsidR="003D640C" w:rsidRPr="005B33A1">
        <w:rPr>
          <w:i/>
          <w:iCs/>
        </w:rPr>
        <w:t xml:space="preserve"> </w:t>
      </w:r>
      <w:r w:rsidR="00561E9A">
        <w:rPr>
          <w:i/>
          <w:iCs/>
        </w:rPr>
        <w:t>i</w:t>
      </w:r>
      <w:r w:rsidR="00F035A7" w:rsidRPr="005B33A1">
        <w:rPr>
          <w:i/>
          <w:iCs/>
        </w:rPr>
        <w:t>dentities</w:t>
      </w:r>
      <w:r w:rsidR="003D640C" w:rsidRPr="005B33A1">
        <w:rPr>
          <w:i/>
          <w:iCs/>
        </w:rPr>
        <w:t xml:space="preserve"> </w:t>
      </w:r>
      <w:r w:rsidR="00561E9A">
        <w:rPr>
          <w:i/>
          <w:iCs/>
        </w:rPr>
        <w:t>and</w:t>
      </w:r>
      <w:r w:rsidR="003D640C" w:rsidRPr="005B33A1">
        <w:rPr>
          <w:i/>
          <w:iCs/>
        </w:rPr>
        <w:t xml:space="preserve"> </w:t>
      </w:r>
      <w:r w:rsidR="00561E9A">
        <w:rPr>
          <w:i/>
          <w:iCs/>
        </w:rPr>
        <w:t>i</w:t>
      </w:r>
      <w:r w:rsidR="00F035A7" w:rsidRPr="005B33A1">
        <w:rPr>
          <w:i/>
          <w:iCs/>
        </w:rPr>
        <w:t>nclusion</w:t>
      </w:r>
      <w:r w:rsidR="003D640C" w:rsidRPr="005B33A1">
        <w:rPr>
          <w:i/>
          <w:iCs/>
        </w:rPr>
        <w:t xml:space="preserve"> </w:t>
      </w:r>
      <w:r w:rsidR="00F035A7" w:rsidRPr="005B33A1">
        <w:rPr>
          <w:i/>
          <w:iCs/>
        </w:rPr>
        <w:t>in</w:t>
      </w:r>
      <w:r w:rsidR="003D640C" w:rsidRPr="005B33A1">
        <w:rPr>
          <w:i/>
          <w:iCs/>
        </w:rPr>
        <w:t xml:space="preserve"> </w:t>
      </w:r>
      <w:r w:rsidR="00F035A7" w:rsidRPr="005B33A1">
        <w:rPr>
          <w:i/>
          <w:iCs/>
        </w:rPr>
        <w:t>Aotearoa</w:t>
      </w:r>
      <w:r w:rsidR="003D640C" w:rsidRPr="005B33A1">
        <w:rPr>
          <w:i/>
          <w:iCs/>
        </w:rPr>
        <w:t xml:space="preserve"> </w:t>
      </w:r>
      <w:r w:rsidR="00F035A7" w:rsidRPr="005B33A1">
        <w:rPr>
          <w:i/>
          <w:iCs/>
        </w:rPr>
        <w:t>New</w:t>
      </w:r>
      <w:r w:rsidR="003D640C" w:rsidRPr="005B33A1">
        <w:rPr>
          <w:i/>
          <w:iCs/>
        </w:rPr>
        <w:t xml:space="preserve"> </w:t>
      </w:r>
      <w:r w:rsidR="00F035A7" w:rsidRPr="005B33A1">
        <w:rPr>
          <w:i/>
          <w:iCs/>
        </w:rPr>
        <w:t>Zealand</w:t>
      </w:r>
      <w:r w:rsidR="00F035A7">
        <w:t>.</w:t>
      </w:r>
    </w:p>
  </w:footnote>
  <w:footnote w:id="255">
    <w:p w14:paraId="397C67BE" w14:textId="54BBED9D" w:rsidR="00CB386A" w:rsidRDefault="00CB386A" w:rsidP="00E00167">
      <w:pPr>
        <w:pStyle w:val="FootnoteText"/>
      </w:pPr>
      <w:r>
        <w:rPr>
          <w:rStyle w:val="FootnoteReference"/>
        </w:rPr>
        <w:footnoteRef/>
      </w:r>
      <w:r w:rsidR="003D640C">
        <w:t xml:space="preserve"> </w:t>
      </w:r>
      <w:r>
        <w:rPr>
          <w:shd w:val="clear" w:color="auto" w:fill="FFFFFF"/>
        </w:rPr>
        <w:t>Noonan,</w:t>
      </w:r>
      <w:r w:rsidR="003D640C">
        <w:rPr>
          <w:shd w:val="clear" w:color="auto" w:fill="FFFFFF"/>
        </w:rPr>
        <w:t xml:space="preserve"> </w:t>
      </w:r>
      <w:r>
        <w:rPr>
          <w:shd w:val="clear" w:color="auto" w:fill="FFFFFF"/>
        </w:rPr>
        <w:t>A.,</w:t>
      </w:r>
      <w:r w:rsidR="003D640C">
        <w:rPr>
          <w:shd w:val="clear" w:color="auto" w:fill="FFFFFF"/>
        </w:rPr>
        <w:t xml:space="preserve"> </w:t>
      </w:r>
      <w:r>
        <w:rPr>
          <w:shd w:val="clear" w:color="auto" w:fill="FFFFFF"/>
        </w:rPr>
        <w:t>&amp;</w:t>
      </w:r>
      <w:r w:rsidR="003D640C">
        <w:rPr>
          <w:shd w:val="clear" w:color="auto" w:fill="FFFFFF"/>
        </w:rPr>
        <w:t xml:space="preserve"> </w:t>
      </w:r>
      <w:r>
        <w:rPr>
          <w:shd w:val="clear" w:color="auto" w:fill="FFFFFF"/>
        </w:rPr>
        <w:t>Taylor</w:t>
      </w:r>
      <w:r w:rsidR="003D640C">
        <w:rPr>
          <w:shd w:val="clear" w:color="auto" w:fill="FFFFFF"/>
        </w:rPr>
        <w:t xml:space="preserve"> </w:t>
      </w:r>
      <w:r>
        <w:rPr>
          <w:shd w:val="clear" w:color="auto" w:fill="FFFFFF"/>
        </w:rPr>
        <w:t>Gomez,</w:t>
      </w:r>
      <w:r w:rsidR="003D640C">
        <w:rPr>
          <w:shd w:val="clear" w:color="auto" w:fill="FFFFFF"/>
        </w:rPr>
        <w:t xml:space="preserve"> </w:t>
      </w:r>
      <w:r>
        <w:rPr>
          <w:shd w:val="clear" w:color="auto" w:fill="FFFFFF"/>
        </w:rPr>
        <w:t>M.</w:t>
      </w:r>
      <w:r w:rsidR="003D640C">
        <w:rPr>
          <w:shd w:val="clear" w:color="auto" w:fill="FFFFFF"/>
        </w:rPr>
        <w:t xml:space="preserve"> </w:t>
      </w:r>
      <w:r>
        <w:rPr>
          <w:shd w:val="clear" w:color="auto" w:fill="FFFFFF"/>
        </w:rPr>
        <w:t>(2011).</w:t>
      </w:r>
      <w:r w:rsidR="003D640C">
        <w:rPr>
          <w:shd w:val="clear" w:color="auto" w:fill="FFFFFF"/>
        </w:rPr>
        <w:t xml:space="preserve"> </w:t>
      </w:r>
      <w:r>
        <w:rPr>
          <w:shd w:val="clear" w:color="auto" w:fill="FFFFFF"/>
        </w:rPr>
        <w:t>Who’s</w:t>
      </w:r>
      <w:r w:rsidR="003D640C">
        <w:rPr>
          <w:shd w:val="clear" w:color="auto" w:fill="FFFFFF"/>
        </w:rPr>
        <w:t xml:space="preserve"> </w:t>
      </w:r>
      <w:r>
        <w:rPr>
          <w:shd w:val="clear" w:color="auto" w:fill="FFFFFF"/>
        </w:rPr>
        <w:t>missing?</w:t>
      </w:r>
      <w:r w:rsidR="003D640C">
        <w:rPr>
          <w:shd w:val="clear" w:color="auto" w:fill="FFFFFF"/>
        </w:rPr>
        <w:t xml:space="preserve"> </w:t>
      </w:r>
      <w:r>
        <w:rPr>
          <w:shd w:val="clear" w:color="auto" w:fill="FFFFFF"/>
        </w:rPr>
        <w:t>Awareness</w:t>
      </w:r>
      <w:r w:rsidR="003D640C">
        <w:rPr>
          <w:shd w:val="clear" w:color="auto" w:fill="FFFFFF"/>
        </w:rPr>
        <w:t xml:space="preserve"> </w:t>
      </w:r>
      <w:r>
        <w:rPr>
          <w:shd w:val="clear" w:color="auto" w:fill="FFFFFF"/>
        </w:rPr>
        <w:t>of</w:t>
      </w:r>
      <w:r w:rsidR="003D640C">
        <w:rPr>
          <w:shd w:val="clear" w:color="auto" w:fill="FFFFFF"/>
        </w:rPr>
        <w:t xml:space="preserve"> </w:t>
      </w:r>
      <w:r>
        <w:rPr>
          <w:shd w:val="clear" w:color="auto" w:fill="FFFFFF"/>
        </w:rPr>
        <w:t>lesbian,</w:t>
      </w:r>
      <w:r w:rsidR="003D640C">
        <w:rPr>
          <w:shd w:val="clear" w:color="auto" w:fill="FFFFFF"/>
        </w:rPr>
        <w:t xml:space="preserve"> </w:t>
      </w:r>
      <w:r>
        <w:rPr>
          <w:shd w:val="clear" w:color="auto" w:fill="FFFFFF"/>
        </w:rPr>
        <w:t>gay,</w:t>
      </w:r>
      <w:r w:rsidR="003D640C">
        <w:rPr>
          <w:shd w:val="clear" w:color="auto" w:fill="FFFFFF"/>
        </w:rPr>
        <w:t xml:space="preserve"> </w:t>
      </w:r>
      <w:r>
        <w:rPr>
          <w:shd w:val="clear" w:color="auto" w:fill="FFFFFF"/>
        </w:rPr>
        <w:t>bisexual</w:t>
      </w:r>
      <w:r w:rsidR="003D640C">
        <w:rPr>
          <w:shd w:val="clear" w:color="auto" w:fill="FFFFFF"/>
        </w:rPr>
        <w:t xml:space="preserve"> </w:t>
      </w:r>
      <w:r>
        <w:rPr>
          <w:shd w:val="clear" w:color="auto" w:fill="FFFFFF"/>
        </w:rPr>
        <w:t>and</w:t>
      </w:r>
      <w:r w:rsidR="003D640C">
        <w:rPr>
          <w:shd w:val="clear" w:color="auto" w:fill="FFFFFF"/>
        </w:rPr>
        <w:t xml:space="preserve"> </w:t>
      </w:r>
      <w:r>
        <w:rPr>
          <w:shd w:val="clear" w:color="auto" w:fill="FFFFFF"/>
        </w:rPr>
        <w:t>transgender</w:t>
      </w:r>
      <w:r w:rsidR="003D640C">
        <w:rPr>
          <w:shd w:val="clear" w:color="auto" w:fill="FFFFFF"/>
        </w:rPr>
        <w:t xml:space="preserve"> </w:t>
      </w:r>
      <w:r>
        <w:rPr>
          <w:shd w:val="clear" w:color="auto" w:fill="FFFFFF"/>
        </w:rPr>
        <w:t>people</w:t>
      </w:r>
      <w:r w:rsidR="003D640C">
        <w:rPr>
          <w:shd w:val="clear" w:color="auto" w:fill="FFFFFF"/>
        </w:rPr>
        <w:t xml:space="preserve"> </w:t>
      </w:r>
      <w:r>
        <w:rPr>
          <w:shd w:val="clear" w:color="auto" w:fill="FFFFFF"/>
        </w:rPr>
        <w:t>with</w:t>
      </w:r>
      <w:r w:rsidR="003D640C">
        <w:rPr>
          <w:shd w:val="clear" w:color="auto" w:fill="FFFFFF"/>
        </w:rPr>
        <w:t xml:space="preserve"> </w:t>
      </w:r>
      <w:r>
        <w:rPr>
          <w:shd w:val="clear" w:color="auto" w:fill="FFFFFF"/>
        </w:rPr>
        <w:t>intellectual</w:t>
      </w:r>
      <w:r w:rsidR="003D640C">
        <w:rPr>
          <w:shd w:val="clear" w:color="auto" w:fill="FFFFFF"/>
        </w:rPr>
        <w:t xml:space="preserve"> </w:t>
      </w:r>
      <w:r>
        <w:rPr>
          <w:shd w:val="clear" w:color="auto" w:fill="FFFFFF"/>
        </w:rPr>
        <w:t>disability.</w:t>
      </w:r>
      <w:r w:rsidR="003D640C">
        <w:rPr>
          <w:shd w:val="clear" w:color="auto" w:fill="FFFFFF"/>
        </w:rPr>
        <w:t xml:space="preserve"> </w:t>
      </w:r>
      <w:r>
        <w:rPr>
          <w:i/>
          <w:iCs/>
          <w:shd w:val="clear" w:color="auto" w:fill="FFFFFF"/>
        </w:rPr>
        <w:t>Sexuality</w:t>
      </w:r>
      <w:r w:rsidR="003D640C">
        <w:rPr>
          <w:i/>
          <w:iCs/>
          <w:shd w:val="clear" w:color="auto" w:fill="FFFFFF"/>
        </w:rPr>
        <w:t xml:space="preserve"> </w:t>
      </w:r>
      <w:r>
        <w:rPr>
          <w:i/>
          <w:iCs/>
          <w:shd w:val="clear" w:color="auto" w:fill="FFFFFF"/>
        </w:rPr>
        <w:t>and</w:t>
      </w:r>
      <w:r w:rsidR="003D640C">
        <w:rPr>
          <w:i/>
          <w:iCs/>
          <w:shd w:val="clear" w:color="auto" w:fill="FFFFFF"/>
        </w:rPr>
        <w:t xml:space="preserve"> </w:t>
      </w:r>
      <w:r>
        <w:rPr>
          <w:i/>
          <w:iCs/>
          <w:shd w:val="clear" w:color="auto" w:fill="FFFFFF"/>
        </w:rPr>
        <w:t>Disability</w:t>
      </w:r>
      <w:r>
        <w:rPr>
          <w:shd w:val="clear" w:color="auto" w:fill="FFFFFF"/>
        </w:rPr>
        <w:t>,</w:t>
      </w:r>
      <w:r w:rsidR="003D640C">
        <w:rPr>
          <w:shd w:val="clear" w:color="auto" w:fill="FFFFFF"/>
        </w:rPr>
        <w:t xml:space="preserve"> </w:t>
      </w:r>
      <w:r>
        <w:rPr>
          <w:i/>
          <w:iCs/>
          <w:shd w:val="clear" w:color="auto" w:fill="FFFFFF"/>
        </w:rPr>
        <w:t>29</w:t>
      </w:r>
      <w:r>
        <w:rPr>
          <w:shd w:val="clear" w:color="auto" w:fill="FFFFFF"/>
        </w:rPr>
        <w:t>(2),</w:t>
      </w:r>
      <w:r w:rsidR="003D640C">
        <w:rPr>
          <w:shd w:val="clear" w:color="auto" w:fill="FFFFFF"/>
        </w:rPr>
        <w:t xml:space="preserve"> </w:t>
      </w:r>
      <w:r>
        <w:rPr>
          <w:shd w:val="clear" w:color="auto" w:fill="FFFFFF"/>
        </w:rPr>
        <w:t>175</w:t>
      </w:r>
      <w:r w:rsidR="009B3E37">
        <w:rPr>
          <w:shd w:val="clear" w:color="auto" w:fill="FFFFFF"/>
        </w:rPr>
        <w:t>–</w:t>
      </w:r>
      <w:r>
        <w:rPr>
          <w:shd w:val="clear" w:color="auto" w:fill="FFFFFF"/>
        </w:rPr>
        <w:t>180.</w:t>
      </w:r>
    </w:p>
  </w:footnote>
  <w:footnote w:id="256">
    <w:p w14:paraId="6B7A4CA9" w14:textId="07E6312D" w:rsidR="00F450F8" w:rsidRDefault="00F450F8" w:rsidP="00F450F8">
      <w:pPr>
        <w:pStyle w:val="FootnoteText"/>
      </w:pPr>
      <w:r>
        <w:rPr>
          <w:rStyle w:val="FootnoteReference"/>
        </w:rPr>
        <w:footnoteRef/>
      </w:r>
      <w:r>
        <w:t xml:space="preserve"> United Nations Human Rights Special Procedures. (2023, October 27). </w:t>
      </w:r>
      <w:r w:rsidRPr="005B33A1">
        <w:rPr>
          <w:i/>
          <w:iCs/>
        </w:rPr>
        <w:t>LGBT persons with disabilities</w:t>
      </w:r>
      <w:r>
        <w:t xml:space="preserve"> (p. 2). </w:t>
      </w:r>
    </w:p>
  </w:footnote>
  <w:footnote w:id="257">
    <w:p w14:paraId="474E9807" w14:textId="33FFD588" w:rsidR="00A35A1F" w:rsidRPr="00A35A1F" w:rsidRDefault="00A35A1F" w:rsidP="00E00167">
      <w:pPr>
        <w:pStyle w:val="FootnoteText"/>
        <w:rPr>
          <w:lang w:val="mi-NZ"/>
        </w:rPr>
      </w:pPr>
      <w:r>
        <w:rPr>
          <w:rStyle w:val="FootnoteReference"/>
        </w:rPr>
        <w:footnoteRef/>
      </w:r>
      <w:r w:rsidR="003D640C">
        <w:t xml:space="preserve"> </w:t>
      </w:r>
      <w:r w:rsidR="0017549B">
        <w:t>Stats</w:t>
      </w:r>
      <w:r w:rsidR="003D640C">
        <w:t xml:space="preserve"> </w:t>
      </w:r>
      <w:r w:rsidR="0017549B">
        <w:t>NZ</w:t>
      </w:r>
      <w:r w:rsidR="00F450F8">
        <w:t>,</w:t>
      </w:r>
      <w:r w:rsidR="003D640C">
        <w:t xml:space="preserve"> </w:t>
      </w:r>
      <w:r>
        <w:t>2021.</w:t>
      </w:r>
      <w:r w:rsidR="003D640C">
        <w:t xml:space="preserve"> </w:t>
      </w:r>
    </w:p>
  </w:footnote>
  <w:footnote w:id="258">
    <w:p w14:paraId="2AC36B0F" w14:textId="5EC49BDF" w:rsidR="00205EC7" w:rsidRPr="00205EC7" w:rsidRDefault="00205EC7" w:rsidP="00E00167">
      <w:pPr>
        <w:pStyle w:val="FootnoteText"/>
        <w:rPr>
          <w:lang w:val="mi-NZ"/>
        </w:rPr>
      </w:pPr>
      <w:r>
        <w:rPr>
          <w:rStyle w:val="FootnoteReference"/>
        </w:rPr>
        <w:footnoteRef/>
      </w:r>
      <w:r w:rsidR="003D640C">
        <w:t xml:space="preserve"> </w:t>
      </w:r>
      <w:r>
        <w:t>Fenaughty</w:t>
      </w:r>
      <w:r w:rsidR="003D640C">
        <w:t xml:space="preserve"> </w:t>
      </w:r>
      <w:r w:rsidR="00E1749D">
        <w:t>et</w:t>
      </w:r>
      <w:r w:rsidR="003D640C">
        <w:t xml:space="preserve"> </w:t>
      </w:r>
      <w:r w:rsidR="00E1749D">
        <w:t>al.</w:t>
      </w:r>
      <w:r w:rsidR="002A6F40">
        <w:t>,</w:t>
      </w:r>
      <w:r w:rsidR="003D640C">
        <w:t xml:space="preserve"> </w:t>
      </w:r>
      <w:r>
        <w:t>2022.</w:t>
      </w:r>
    </w:p>
  </w:footnote>
  <w:footnote w:id="259">
    <w:p w14:paraId="1374030B" w14:textId="762A5129" w:rsidR="00B53680" w:rsidRDefault="00B53680" w:rsidP="00E00167">
      <w:pPr>
        <w:pStyle w:val="FootnoteText"/>
      </w:pPr>
      <w:r>
        <w:rPr>
          <w:rStyle w:val="FootnoteReference"/>
        </w:rPr>
        <w:footnoteRef/>
      </w:r>
      <w:r w:rsidR="003D640C">
        <w:t xml:space="preserve"> </w:t>
      </w:r>
      <w:r w:rsidR="001F6F72">
        <w:t>Roy,</w:t>
      </w:r>
      <w:r w:rsidR="003D640C">
        <w:t xml:space="preserve"> </w:t>
      </w:r>
      <w:r w:rsidR="001F6F72">
        <w:t>R.,</w:t>
      </w:r>
      <w:r w:rsidR="003D640C">
        <w:t xml:space="preserve"> </w:t>
      </w:r>
      <w:r w:rsidR="001F6F72">
        <w:t>Greaves,</w:t>
      </w:r>
      <w:r w:rsidR="003D640C">
        <w:t xml:space="preserve"> </w:t>
      </w:r>
      <w:r w:rsidR="001F6F72">
        <w:t>L.</w:t>
      </w:r>
      <w:r w:rsidR="003D640C">
        <w:t xml:space="preserve"> </w:t>
      </w:r>
      <w:r w:rsidR="001F6F72">
        <w:t>M.,</w:t>
      </w:r>
      <w:r w:rsidR="003D640C">
        <w:t xml:space="preserve"> </w:t>
      </w:r>
      <w:r w:rsidR="001F6F72">
        <w:t>Peiris-John,</w:t>
      </w:r>
      <w:r w:rsidR="003D640C">
        <w:t xml:space="preserve"> </w:t>
      </w:r>
      <w:r w:rsidR="001F6F72">
        <w:t>R.,</w:t>
      </w:r>
      <w:r w:rsidR="003D640C">
        <w:t xml:space="preserve"> </w:t>
      </w:r>
      <w:r w:rsidR="001F6F72">
        <w:t>Clark,</w:t>
      </w:r>
      <w:r w:rsidR="003D640C">
        <w:t xml:space="preserve"> </w:t>
      </w:r>
      <w:r w:rsidR="001F6F72">
        <w:t>T.,</w:t>
      </w:r>
      <w:r w:rsidR="003D640C">
        <w:t xml:space="preserve"> </w:t>
      </w:r>
      <w:r w:rsidR="001F6F72">
        <w:t>Fenaughty,</w:t>
      </w:r>
      <w:r w:rsidR="003D640C">
        <w:t xml:space="preserve"> </w:t>
      </w:r>
      <w:r w:rsidR="001F6F72">
        <w:t>J.,</w:t>
      </w:r>
      <w:r w:rsidR="003D640C">
        <w:t xml:space="preserve"> </w:t>
      </w:r>
      <w:r w:rsidR="001F6F72">
        <w:t>Sutcliffe,</w:t>
      </w:r>
      <w:r w:rsidR="003D640C">
        <w:t xml:space="preserve"> </w:t>
      </w:r>
      <w:r w:rsidR="001F6F72">
        <w:t>K.,</w:t>
      </w:r>
      <w:r w:rsidR="003D640C">
        <w:t xml:space="preserve"> </w:t>
      </w:r>
      <w:r w:rsidR="001F6F72">
        <w:t>Barnett,</w:t>
      </w:r>
      <w:r w:rsidR="003D640C">
        <w:t xml:space="preserve"> </w:t>
      </w:r>
      <w:r w:rsidR="001F6F72">
        <w:t>D.,</w:t>
      </w:r>
      <w:r w:rsidR="003D640C">
        <w:t xml:space="preserve"> </w:t>
      </w:r>
      <w:r w:rsidR="001F6F72">
        <w:t>Hawthorne,</w:t>
      </w:r>
      <w:r w:rsidR="003D640C">
        <w:t xml:space="preserve"> </w:t>
      </w:r>
      <w:r w:rsidR="001F6F72">
        <w:t>V.,</w:t>
      </w:r>
      <w:r w:rsidR="003D640C">
        <w:t xml:space="preserve"> </w:t>
      </w:r>
      <w:r w:rsidR="001F6F72">
        <w:t>Tiatia-Seath,</w:t>
      </w:r>
      <w:r w:rsidR="003D640C">
        <w:t xml:space="preserve"> </w:t>
      </w:r>
      <w:r w:rsidR="001F6F72">
        <w:t>J.,</w:t>
      </w:r>
      <w:r w:rsidR="003D640C">
        <w:t xml:space="preserve"> </w:t>
      </w:r>
      <w:r w:rsidR="001F6F72">
        <w:t>&amp;</w:t>
      </w:r>
      <w:r w:rsidR="003D640C">
        <w:t xml:space="preserve"> </w:t>
      </w:r>
      <w:r w:rsidR="001F6F72">
        <w:t>Fleming,</w:t>
      </w:r>
      <w:r w:rsidR="003D640C">
        <w:t xml:space="preserve"> </w:t>
      </w:r>
      <w:r w:rsidR="001F6F72">
        <w:t>T.</w:t>
      </w:r>
      <w:r w:rsidR="003D640C">
        <w:t xml:space="preserve"> </w:t>
      </w:r>
      <w:r w:rsidR="001F6F72">
        <w:t>(2021).</w:t>
      </w:r>
      <w:r w:rsidR="003D640C">
        <w:t xml:space="preserve"> </w:t>
      </w:r>
      <w:r w:rsidR="001F6F72" w:rsidRPr="005B33A1">
        <w:rPr>
          <w:i/>
          <w:iCs/>
        </w:rPr>
        <w:t>Negotiating</w:t>
      </w:r>
      <w:r w:rsidR="003D640C" w:rsidRPr="005B33A1">
        <w:rPr>
          <w:i/>
          <w:iCs/>
        </w:rPr>
        <w:t xml:space="preserve"> </w:t>
      </w:r>
      <w:r w:rsidR="001F6F72" w:rsidRPr="005B33A1">
        <w:rPr>
          <w:i/>
          <w:iCs/>
        </w:rPr>
        <w:t>multiple</w:t>
      </w:r>
      <w:r w:rsidR="003D640C" w:rsidRPr="005B33A1">
        <w:rPr>
          <w:i/>
          <w:iCs/>
        </w:rPr>
        <w:t xml:space="preserve"> </w:t>
      </w:r>
      <w:r w:rsidR="001F6F72" w:rsidRPr="005B33A1">
        <w:rPr>
          <w:i/>
          <w:iCs/>
        </w:rPr>
        <w:t>identities:</w:t>
      </w:r>
      <w:r w:rsidR="003D640C" w:rsidRPr="005B33A1">
        <w:rPr>
          <w:i/>
          <w:iCs/>
        </w:rPr>
        <w:t xml:space="preserve"> </w:t>
      </w:r>
      <w:r w:rsidR="001F6F72" w:rsidRPr="005B33A1">
        <w:rPr>
          <w:i/>
          <w:iCs/>
        </w:rPr>
        <w:t>Intersecting</w:t>
      </w:r>
      <w:r w:rsidR="003D640C" w:rsidRPr="005B33A1">
        <w:rPr>
          <w:i/>
          <w:iCs/>
        </w:rPr>
        <w:t xml:space="preserve"> </w:t>
      </w:r>
      <w:r w:rsidR="001F6F72" w:rsidRPr="005B33A1">
        <w:rPr>
          <w:i/>
          <w:iCs/>
        </w:rPr>
        <w:t>identities</w:t>
      </w:r>
      <w:r w:rsidR="003D640C" w:rsidRPr="005B33A1">
        <w:rPr>
          <w:i/>
          <w:iCs/>
        </w:rPr>
        <w:t xml:space="preserve"> </w:t>
      </w:r>
      <w:r w:rsidR="001F6F72" w:rsidRPr="005B33A1">
        <w:rPr>
          <w:i/>
          <w:iCs/>
        </w:rPr>
        <w:t>among</w:t>
      </w:r>
      <w:r w:rsidR="003D640C" w:rsidRPr="005B33A1">
        <w:rPr>
          <w:i/>
          <w:iCs/>
        </w:rPr>
        <w:t xml:space="preserve"> </w:t>
      </w:r>
      <w:r w:rsidR="001F6F72" w:rsidRPr="005B33A1">
        <w:rPr>
          <w:i/>
          <w:iCs/>
        </w:rPr>
        <w:t>Māori,</w:t>
      </w:r>
      <w:r w:rsidR="003D640C" w:rsidRPr="005B33A1">
        <w:rPr>
          <w:i/>
          <w:iCs/>
        </w:rPr>
        <w:t xml:space="preserve"> </w:t>
      </w:r>
      <w:r w:rsidR="001F6F72" w:rsidRPr="005B33A1">
        <w:rPr>
          <w:i/>
          <w:iCs/>
        </w:rPr>
        <w:t>Pacific,</w:t>
      </w:r>
      <w:r w:rsidR="003D640C" w:rsidRPr="005B33A1">
        <w:rPr>
          <w:i/>
          <w:iCs/>
        </w:rPr>
        <w:t xml:space="preserve"> </w:t>
      </w:r>
      <w:r w:rsidR="004419D7" w:rsidRPr="005B33A1">
        <w:rPr>
          <w:i/>
          <w:iCs/>
        </w:rPr>
        <w:t>r</w:t>
      </w:r>
      <w:r w:rsidR="001F6F72" w:rsidRPr="005B33A1">
        <w:rPr>
          <w:i/>
          <w:iCs/>
        </w:rPr>
        <w:t>ainbow</w:t>
      </w:r>
      <w:r w:rsidR="003D640C" w:rsidRPr="005B33A1">
        <w:rPr>
          <w:i/>
          <w:iCs/>
        </w:rPr>
        <w:t xml:space="preserve"> </w:t>
      </w:r>
      <w:r w:rsidR="001F6F72" w:rsidRPr="005B33A1">
        <w:rPr>
          <w:i/>
          <w:iCs/>
        </w:rPr>
        <w:t>and</w:t>
      </w:r>
      <w:r w:rsidR="003D640C" w:rsidRPr="005B33A1">
        <w:rPr>
          <w:i/>
          <w:iCs/>
        </w:rPr>
        <w:t xml:space="preserve"> </w:t>
      </w:r>
      <w:r w:rsidR="004419D7" w:rsidRPr="005B33A1">
        <w:rPr>
          <w:i/>
          <w:iCs/>
        </w:rPr>
        <w:t>d</w:t>
      </w:r>
      <w:r w:rsidR="001F6F72" w:rsidRPr="005B33A1">
        <w:rPr>
          <w:i/>
          <w:iCs/>
        </w:rPr>
        <w:t>isabled</w:t>
      </w:r>
      <w:r w:rsidR="003D640C" w:rsidRPr="005B33A1">
        <w:rPr>
          <w:i/>
          <w:iCs/>
        </w:rPr>
        <w:t xml:space="preserve"> </w:t>
      </w:r>
      <w:r w:rsidR="001F6F72" w:rsidRPr="005B33A1">
        <w:rPr>
          <w:i/>
          <w:iCs/>
        </w:rPr>
        <w:t>young</w:t>
      </w:r>
      <w:r w:rsidR="003D640C" w:rsidRPr="005B33A1">
        <w:rPr>
          <w:i/>
          <w:iCs/>
        </w:rPr>
        <w:t xml:space="preserve"> </w:t>
      </w:r>
      <w:r w:rsidR="001F6F72" w:rsidRPr="005B33A1">
        <w:rPr>
          <w:i/>
          <w:iCs/>
        </w:rPr>
        <w:t>people</w:t>
      </w:r>
      <w:r w:rsidR="001F6F72">
        <w:t>.</w:t>
      </w:r>
      <w:r w:rsidR="003D640C">
        <w:t xml:space="preserve"> </w:t>
      </w:r>
      <w:r w:rsidR="001F6F72">
        <w:t>The</w:t>
      </w:r>
      <w:r w:rsidR="003D640C">
        <w:t xml:space="preserve"> </w:t>
      </w:r>
      <w:r w:rsidR="001F6F72">
        <w:t>Youth19</w:t>
      </w:r>
      <w:r w:rsidR="003D640C">
        <w:t xml:space="preserve"> </w:t>
      </w:r>
      <w:r w:rsidR="001F6F72">
        <w:t>Research</w:t>
      </w:r>
      <w:r w:rsidR="003D640C">
        <w:t xml:space="preserve"> </w:t>
      </w:r>
      <w:r w:rsidR="001F6F72">
        <w:t>Group</w:t>
      </w:r>
      <w:r w:rsidR="004419D7">
        <w:t>.</w:t>
      </w:r>
    </w:p>
  </w:footnote>
  <w:footnote w:id="260">
    <w:p w14:paraId="3EA81887" w14:textId="49A1CD54" w:rsidR="00754823" w:rsidRDefault="00754823" w:rsidP="00E00167">
      <w:pPr>
        <w:pStyle w:val="FootnoteText"/>
      </w:pPr>
      <w:r>
        <w:rPr>
          <w:rStyle w:val="FootnoteReference"/>
        </w:rPr>
        <w:footnoteRef/>
      </w:r>
      <w:r w:rsidR="003D640C">
        <w:t xml:space="preserve"> </w:t>
      </w:r>
      <w:r w:rsidR="00883CAF">
        <w:t>Donald</w:t>
      </w:r>
      <w:r w:rsidR="003D640C">
        <w:t xml:space="preserve"> </w:t>
      </w:r>
      <w:r w:rsidR="00883CAF">
        <w:t>Beasley</w:t>
      </w:r>
      <w:r w:rsidR="003D640C">
        <w:t xml:space="preserve"> </w:t>
      </w:r>
      <w:r w:rsidR="00883CAF">
        <w:t>Institute.</w:t>
      </w:r>
      <w:r w:rsidR="003D640C">
        <w:t xml:space="preserve"> </w:t>
      </w:r>
      <w:r w:rsidR="00883CAF">
        <w:t>(2022).</w:t>
      </w:r>
      <w:r w:rsidR="003D640C">
        <w:t xml:space="preserve"> </w:t>
      </w:r>
      <w:r w:rsidR="00883CAF">
        <w:t>My</w:t>
      </w:r>
      <w:r w:rsidR="003D640C">
        <w:t xml:space="preserve"> </w:t>
      </w:r>
      <w:r w:rsidR="00282786">
        <w:t>e</w:t>
      </w:r>
      <w:r w:rsidR="00883CAF">
        <w:t>xperiences,</w:t>
      </w:r>
      <w:r w:rsidR="003D640C">
        <w:t xml:space="preserve"> </w:t>
      </w:r>
      <w:r w:rsidR="00282786">
        <w:t>m</w:t>
      </w:r>
      <w:r w:rsidR="00883CAF">
        <w:t>y</w:t>
      </w:r>
      <w:r w:rsidR="003D640C">
        <w:t xml:space="preserve"> </w:t>
      </w:r>
      <w:r w:rsidR="00282786">
        <w:t>r</w:t>
      </w:r>
      <w:r w:rsidR="00883CAF">
        <w:t>ights:</w:t>
      </w:r>
      <w:r w:rsidR="003D640C">
        <w:t xml:space="preserve"> </w:t>
      </w:r>
      <w:r w:rsidR="00883CAF">
        <w:t>A</w:t>
      </w:r>
      <w:r w:rsidR="003D640C">
        <w:t xml:space="preserve"> </w:t>
      </w:r>
      <w:r w:rsidR="00282786">
        <w:t>m</w:t>
      </w:r>
      <w:r w:rsidR="00883CAF">
        <w:t>onitoring</w:t>
      </w:r>
      <w:r w:rsidR="003D640C">
        <w:t xml:space="preserve"> </w:t>
      </w:r>
      <w:r w:rsidR="00282786">
        <w:t>r</w:t>
      </w:r>
      <w:r w:rsidR="00883CAF">
        <w:t>eport</w:t>
      </w:r>
      <w:r w:rsidR="003D640C">
        <w:t xml:space="preserve"> </w:t>
      </w:r>
      <w:r w:rsidR="00883CAF">
        <w:t>on</w:t>
      </w:r>
      <w:r w:rsidR="003D640C">
        <w:t xml:space="preserve"> </w:t>
      </w:r>
      <w:r w:rsidR="00282786">
        <w:t>d</w:t>
      </w:r>
      <w:r w:rsidR="00883CAF">
        <w:t>isabled</w:t>
      </w:r>
      <w:r w:rsidR="003D640C">
        <w:t xml:space="preserve"> </w:t>
      </w:r>
      <w:r w:rsidR="00282786">
        <w:t>p</w:t>
      </w:r>
      <w:r w:rsidR="00883CAF">
        <w:t>eople’s</w:t>
      </w:r>
      <w:r w:rsidR="003D640C">
        <w:t xml:space="preserve"> </w:t>
      </w:r>
      <w:r w:rsidR="00282786">
        <w:t>e</w:t>
      </w:r>
      <w:r w:rsidR="00883CAF">
        <w:t>xperiences</w:t>
      </w:r>
      <w:r w:rsidR="003D640C">
        <w:t xml:space="preserve"> </w:t>
      </w:r>
      <w:r w:rsidR="00883CAF">
        <w:t>of</w:t>
      </w:r>
      <w:r w:rsidR="003D640C">
        <w:t xml:space="preserve"> </w:t>
      </w:r>
      <w:r w:rsidR="00282786">
        <w:t>h</w:t>
      </w:r>
      <w:r w:rsidR="00883CAF">
        <w:t>ealth</w:t>
      </w:r>
      <w:r w:rsidR="003D640C">
        <w:t xml:space="preserve"> </w:t>
      </w:r>
      <w:r w:rsidR="00883CAF">
        <w:t>and</w:t>
      </w:r>
      <w:r w:rsidR="003D640C">
        <w:t xml:space="preserve"> </w:t>
      </w:r>
      <w:r w:rsidR="00282786">
        <w:t>w</w:t>
      </w:r>
      <w:r w:rsidR="00883CAF">
        <w:t>ellbeing</w:t>
      </w:r>
      <w:r w:rsidR="003D640C">
        <w:t xml:space="preserve"> </w:t>
      </w:r>
      <w:r w:rsidR="00883CAF">
        <w:t>in</w:t>
      </w:r>
      <w:r w:rsidR="003D640C">
        <w:t xml:space="preserve"> </w:t>
      </w:r>
      <w:r w:rsidR="00883CAF">
        <w:t>Aotearoa</w:t>
      </w:r>
      <w:r w:rsidR="003D640C">
        <w:t xml:space="preserve"> </w:t>
      </w:r>
      <w:r w:rsidR="00883CAF">
        <w:t>New</w:t>
      </w:r>
      <w:r w:rsidR="003D640C">
        <w:t xml:space="preserve"> </w:t>
      </w:r>
      <w:r w:rsidR="00883CAF">
        <w:t>Zealand.</w:t>
      </w:r>
      <w:r w:rsidR="003D640C">
        <w:t xml:space="preserve"> </w:t>
      </w:r>
      <w:r w:rsidR="00883CAF">
        <w:t>New</w:t>
      </w:r>
      <w:r w:rsidR="003D640C">
        <w:t xml:space="preserve"> </w:t>
      </w:r>
      <w:r w:rsidR="00883CAF">
        <w:t>Zealand</w:t>
      </w:r>
      <w:r w:rsidR="003D640C">
        <w:t xml:space="preserve"> </w:t>
      </w:r>
      <w:r w:rsidR="00883CAF">
        <w:t>Disabled</w:t>
      </w:r>
      <w:r w:rsidR="003D640C">
        <w:t xml:space="preserve"> </w:t>
      </w:r>
      <w:r w:rsidR="00883CAF">
        <w:t>People’s</w:t>
      </w:r>
      <w:r w:rsidR="003D640C">
        <w:t xml:space="preserve"> </w:t>
      </w:r>
      <w:r w:rsidR="00883CAF">
        <w:t>Organisations</w:t>
      </w:r>
      <w:r w:rsidR="003D640C">
        <w:t xml:space="preserve"> </w:t>
      </w:r>
      <w:r w:rsidR="00883CAF">
        <w:t>Coalition</w:t>
      </w:r>
      <w:r w:rsidR="00282786">
        <w:t xml:space="preserve"> (</w:t>
      </w:r>
      <w:r w:rsidR="00883CAF">
        <w:t>p.</w:t>
      </w:r>
      <w:r w:rsidR="003D640C">
        <w:t xml:space="preserve"> </w:t>
      </w:r>
      <w:r w:rsidR="00883CAF">
        <w:t>12</w:t>
      </w:r>
      <w:r w:rsidR="00282786">
        <w:t>)</w:t>
      </w:r>
      <w:r w:rsidR="00883CAF">
        <w:t>.</w:t>
      </w:r>
    </w:p>
  </w:footnote>
  <w:footnote w:id="261">
    <w:p w14:paraId="358D0029" w14:textId="66EE0A65" w:rsidR="00A07E6D" w:rsidRDefault="00A07E6D" w:rsidP="00E00167">
      <w:pPr>
        <w:pStyle w:val="FootnoteText"/>
      </w:pPr>
      <w:r>
        <w:rPr>
          <w:rStyle w:val="FootnoteReference"/>
        </w:rPr>
        <w:footnoteRef/>
      </w:r>
      <w:r w:rsidR="003D640C">
        <w:t xml:space="preserve"> </w:t>
      </w:r>
      <w:r w:rsidR="00FC7E5F">
        <w:t>Ibid</w:t>
      </w:r>
      <w:r w:rsidR="00282786">
        <w:t>.</w:t>
      </w:r>
      <w:r w:rsidR="00F56249">
        <w:t>,</w:t>
      </w:r>
      <w:r w:rsidR="003D640C">
        <w:t xml:space="preserve"> </w:t>
      </w:r>
      <w:r w:rsidR="00F56249">
        <w:t>p.</w:t>
      </w:r>
      <w:r w:rsidR="003D640C">
        <w:t xml:space="preserve"> </w:t>
      </w:r>
      <w:r w:rsidR="00F56249">
        <w:t>7.</w:t>
      </w:r>
    </w:p>
  </w:footnote>
  <w:footnote w:id="262">
    <w:p w14:paraId="0B2DF5A4" w14:textId="76607695" w:rsidR="00152162" w:rsidRDefault="00152162" w:rsidP="00E00167">
      <w:pPr>
        <w:pStyle w:val="FootnoteText"/>
      </w:pPr>
      <w:r>
        <w:rPr>
          <w:rStyle w:val="FootnoteReference"/>
        </w:rPr>
        <w:footnoteRef/>
      </w:r>
      <w:r w:rsidR="003D640C">
        <w:t xml:space="preserve"> </w:t>
      </w:r>
      <w:r w:rsidRPr="00077B71">
        <w:t>Abuse</w:t>
      </w:r>
      <w:r w:rsidR="003D640C">
        <w:t xml:space="preserve"> </w:t>
      </w:r>
      <w:r w:rsidRPr="00077B71">
        <w:t>in</w:t>
      </w:r>
      <w:r w:rsidR="003D640C">
        <w:t xml:space="preserve"> </w:t>
      </w:r>
      <w:r w:rsidRPr="00077B71">
        <w:t>Care</w:t>
      </w:r>
      <w:r w:rsidR="0021547E">
        <w:t xml:space="preserve"> </w:t>
      </w:r>
      <w:r w:rsidRPr="00077B71">
        <w:t>Royal</w:t>
      </w:r>
      <w:r w:rsidR="003D640C">
        <w:t xml:space="preserve"> </w:t>
      </w:r>
      <w:r w:rsidRPr="00077B71">
        <w:t>Commission</w:t>
      </w:r>
      <w:r w:rsidR="003D640C">
        <w:t xml:space="preserve"> </w:t>
      </w:r>
      <w:r w:rsidRPr="00077B71">
        <w:t>of</w:t>
      </w:r>
      <w:r w:rsidR="003D640C">
        <w:t xml:space="preserve"> </w:t>
      </w:r>
      <w:r w:rsidRPr="00077B71">
        <w:t>Inquiry</w:t>
      </w:r>
      <w:r w:rsidR="0021547E">
        <w:t>,</w:t>
      </w:r>
      <w:r w:rsidR="003D640C">
        <w:t xml:space="preserve"> </w:t>
      </w:r>
      <w:r w:rsidRPr="00077B71">
        <w:t>2022</w:t>
      </w:r>
      <w:r w:rsidR="0021547E">
        <w:t xml:space="preserve">, pp. </w:t>
      </w:r>
      <w:r w:rsidR="00E5696E">
        <w:t>14</w:t>
      </w:r>
      <w:r w:rsidR="00A725C6">
        <w:t>4</w:t>
      </w:r>
      <w:r w:rsidR="0021547E">
        <w:t>–</w:t>
      </w:r>
      <w:r w:rsidR="00A725C6">
        <w:t>146.</w:t>
      </w:r>
      <w:r w:rsidR="003D640C">
        <w:t xml:space="preserve"> </w:t>
      </w:r>
    </w:p>
  </w:footnote>
  <w:footnote w:id="263">
    <w:p w14:paraId="4D2B1DFE" w14:textId="51735B5D" w:rsidR="00B930E5" w:rsidRPr="00B1465F" w:rsidRDefault="00B930E5" w:rsidP="00E00167">
      <w:pPr>
        <w:pStyle w:val="FootnoteText"/>
        <w:rPr>
          <w:lang w:val="en-US"/>
        </w:rPr>
      </w:pPr>
      <w:r>
        <w:rPr>
          <w:rStyle w:val="FootnoteReference"/>
        </w:rPr>
        <w:footnoteRef/>
      </w:r>
      <w:r w:rsidR="00B508BF">
        <w:t xml:space="preserve"> </w:t>
      </w:r>
      <w:r w:rsidR="00253311">
        <w:t>Le</w:t>
      </w:r>
      <w:r w:rsidR="003D640C">
        <w:t xml:space="preserve"> </w:t>
      </w:r>
      <w:r w:rsidR="00253311">
        <w:t>Va</w:t>
      </w:r>
      <w:r w:rsidR="00B508BF">
        <w:t>.</w:t>
      </w:r>
      <w:r w:rsidR="003D640C">
        <w:t xml:space="preserve"> </w:t>
      </w:r>
      <w:r w:rsidR="00253311">
        <w:t>(2015,</w:t>
      </w:r>
      <w:r w:rsidR="003D640C">
        <w:t xml:space="preserve"> </w:t>
      </w:r>
      <w:r w:rsidR="00253311">
        <w:t>Nov</w:t>
      </w:r>
      <w:r w:rsidR="00B508BF">
        <w:t>ember</w:t>
      </w:r>
      <w:r w:rsidR="003D640C">
        <w:t xml:space="preserve"> </w:t>
      </w:r>
      <w:r w:rsidR="00253311">
        <w:t>2)</w:t>
      </w:r>
      <w:r w:rsidR="00B508BF">
        <w:t>.</w:t>
      </w:r>
      <w:r w:rsidR="003D640C">
        <w:t xml:space="preserve"> </w:t>
      </w:r>
      <w:r w:rsidRPr="005B33A1">
        <w:rPr>
          <w:i/>
          <w:iCs/>
        </w:rPr>
        <w:t>Positive</w:t>
      </w:r>
      <w:r w:rsidR="003D640C" w:rsidRPr="005B33A1">
        <w:rPr>
          <w:i/>
          <w:iCs/>
        </w:rPr>
        <w:t xml:space="preserve"> </w:t>
      </w:r>
      <w:r w:rsidRPr="005B33A1">
        <w:rPr>
          <w:i/>
          <w:iCs/>
        </w:rPr>
        <w:t>messages</w:t>
      </w:r>
      <w:r w:rsidR="003D640C" w:rsidRPr="005B33A1">
        <w:rPr>
          <w:i/>
          <w:iCs/>
        </w:rPr>
        <w:t xml:space="preserve"> </w:t>
      </w:r>
      <w:r w:rsidRPr="005B33A1">
        <w:rPr>
          <w:i/>
          <w:iCs/>
        </w:rPr>
        <w:t>from</w:t>
      </w:r>
      <w:r w:rsidR="003D640C" w:rsidRPr="005B33A1">
        <w:rPr>
          <w:i/>
          <w:iCs/>
        </w:rPr>
        <w:t xml:space="preserve"> </w:t>
      </w:r>
      <w:r w:rsidRPr="005B33A1">
        <w:rPr>
          <w:i/>
          <w:iCs/>
        </w:rPr>
        <w:t>the</w:t>
      </w:r>
      <w:r w:rsidR="003D640C" w:rsidRPr="005B33A1">
        <w:rPr>
          <w:i/>
          <w:iCs/>
        </w:rPr>
        <w:t xml:space="preserve"> </w:t>
      </w:r>
      <w:r w:rsidRPr="005B33A1">
        <w:rPr>
          <w:i/>
          <w:iCs/>
        </w:rPr>
        <w:t>pulpit</w:t>
      </w:r>
      <w:r w:rsidR="00253311">
        <w:t>.</w:t>
      </w:r>
      <w:r w:rsidR="003D640C">
        <w:t xml:space="preserve"> </w:t>
      </w:r>
    </w:p>
  </w:footnote>
  <w:footnote w:id="264">
    <w:p w14:paraId="7CAC1C03" w14:textId="3590E8EC" w:rsidR="00CF4A69" w:rsidRPr="00A52C73" w:rsidRDefault="00CF4A69" w:rsidP="00E00167">
      <w:pPr>
        <w:pStyle w:val="FootnoteText"/>
        <w:rPr>
          <w:lang w:val="mi-NZ"/>
        </w:rPr>
      </w:pPr>
      <w:r>
        <w:rPr>
          <w:rStyle w:val="FootnoteReference"/>
        </w:rPr>
        <w:footnoteRef/>
      </w:r>
      <w:r w:rsidR="003D640C">
        <w:t xml:space="preserve"> </w:t>
      </w:r>
      <w:r>
        <w:t>Jones</w:t>
      </w:r>
      <w:r w:rsidR="003D640C">
        <w:t xml:space="preserve"> </w:t>
      </w:r>
      <w:r>
        <w:t>et</w:t>
      </w:r>
      <w:r w:rsidR="003D640C">
        <w:t xml:space="preserve"> </w:t>
      </w:r>
      <w:r>
        <w:t>al.,</w:t>
      </w:r>
      <w:r w:rsidR="003D640C">
        <w:t xml:space="preserve"> </w:t>
      </w:r>
      <w:r>
        <w:t>2018</w:t>
      </w:r>
      <w:r w:rsidR="001E4347">
        <w:t>, 2021a.</w:t>
      </w:r>
    </w:p>
  </w:footnote>
  <w:footnote w:id="265">
    <w:p w14:paraId="02423312" w14:textId="0213946D" w:rsidR="00CF4A69" w:rsidRPr="00A52C73" w:rsidRDefault="00CF4A69" w:rsidP="00E00167">
      <w:pPr>
        <w:pStyle w:val="FootnoteText"/>
        <w:rPr>
          <w:lang w:val="mi-NZ"/>
        </w:rPr>
      </w:pPr>
      <w:r>
        <w:rPr>
          <w:rStyle w:val="FootnoteReference"/>
        </w:rPr>
        <w:footnoteRef/>
      </w:r>
      <w:r w:rsidR="003D640C">
        <w:t xml:space="preserve"> </w:t>
      </w:r>
      <w:r>
        <w:rPr>
          <w:lang w:val="mi-NZ"/>
        </w:rPr>
        <w:t>Jones</w:t>
      </w:r>
      <w:r w:rsidR="003D640C">
        <w:rPr>
          <w:lang w:val="mi-NZ"/>
        </w:rPr>
        <w:t xml:space="preserve"> </w:t>
      </w:r>
      <w:r>
        <w:rPr>
          <w:lang w:val="mi-NZ"/>
        </w:rPr>
        <w:t>et</w:t>
      </w:r>
      <w:r w:rsidR="003D640C">
        <w:rPr>
          <w:lang w:val="mi-NZ"/>
        </w:rPr>
        <w:t xml:space="preserve"> </w:t>
      </w:r>
      <w:r>
        <w:rPr>
          <w:lang w:val="mi-NZ"/>
        </w:rPr>
        <w:t>al.,</w:t>
      </w:r>
      <w:r w:rsidR="003D640C">
        <w:rPr>
          <w:lang w:val="mi-NZ"/>
        </w:rPr>
        <w:t xml:space="preserve"> </w:t>
      </w:r>
      <w:r>
        <w:rPr>
          <w:lang w:val="mi-NZ"/>
        </w:rPr>
        <w:t>2022</w:t>
      </w:r>
      <w:r w:rsidR="002F2701">
        <w:rPr>
          <w:lang w:val="mi-NZ"/>
        </w:rPr>
        <w:t>b</w:t>
      </w:r>
      <w:r w:rsidR="00282ED0">
        <w:rPr>
          <w:lang w:val="mi-NZ"/>
        </w:rPr>
        <w:t>.</w:t>
      </w:r>
      <w:r w:rsidR="003D640C">
        <w:rPr>
          <w:lang w:val="mi-NZ"/>
        </w:rPr>
        <w:t xml:space="preserve"> </w:t>
      </w:r>
    </w:p>
  </w:footnote>
  <w:footnote w:id="266">
    <w:p w14:paraId="40ADF256" w14:textId="3A12E623" w:rsidR="00CF4A69" w:rsidRPr="00A52C73" w:rsidRDefault="00CF4A69" w:rsidP="00E00167">
      <w:pPr>
        <w:pStyle w:val="FootnoteText"/>
        <w:rPr>
          <w:lang w:val="mi-NZ"/>
        </w:rPr>
      </w:pPr>
      <w:r>
        <w:rPr>
          <w:rStyle w:val="FootnoteReference"/>
        </w:rPr>
        <w:footnoteRef/>
      </w:r>
      <w:r w:rsidR="003D640C">
        <w:t xml:space="preserve"> </w:t>
      </w:r>
      <w:r w:rsidR="00282ED0">
        <w:rPr>
          <w:lang w:val="mi-NZ"/>
        </w:rPr>
        <w:t>Ibid.</w:t>
      </w:r>
    </w:p>
  </w:footnote>
  <w:footnote w:id="267">
    <w:p w14:paraId="6C369AF1" w14:textId="2AB8742A" w:rsidR="00CF4A69" w:rsidRDefault="00CF4A69" w:rsidP="00E00167">
      <w:pPr>
        <w:pStyle w:val="FootnoteText"/>
      </w:pPr>
      <w:r>
        <w:rPr>
          <w:rStyle w:val="FootnoteReference"/>
        </w:rPr>
        <w:footnoteRef/>
      </w:r>
      <w:r w:rsidR="003D640C">
        <w:t xml:space="preserve"> </w:t>
      </w:r>
      <w:r>
        <w:t>Horner</w:t>
      </w:r>
      <w:r w:rsidR="00B93233">
        <w:t>,</w:t>
      </w:r>
      <w:r w:rsidR="003D640C">
        <w:t xml:space="preserve"> </w:t>
      </w:r>
      <w:r>
        <w:t>J.</w:t>
      </w:r>
      <w:r w:rsidR="003D640C">
        <w:t xml:space="preserve"> </w:t>
      </w:r>
      <w:r>
        <w:t>(2010).</w:t>
      </w:r>
      <w:r w:rsidR="003D640C">
        <w:t xml:space="preserve"> </w:t>
      </w:r>
      <w:r>
        <w:t>Undoing</w:t>
      </w:r>
      <w:r w:rsidR="003D640C">
        <w:t xml:space="preserve"> </w:t>
      </w:r>
      <w:r>
        <w:t>the</w:t>
      </w:r>
      <w:r w:rsidR="003D640C">
        <w:t xml:space="preserve"> </w:t>
      </w:r>
      <w:r>
        <w:t>damage:</w:t>
      </w:r>
      <w:r w:rsidR="003D640C">
        <w:t xml:space="preserve"> </w:t>
      </w:r>
      <w:r w:rsidR="00B93233">
        <w:t>W</w:t>
      </w:r>
      <w:r>
        <w:t>orking</w:t>
      </w:r>
      <w:r w:rsidR="003D640C">
        <w:t xml:space="preserve"> </w:t>
      </w:r>
      <w:r>
        <w:t>with</w:t>
      </w:r>
      <w:r w:rsidR="003D640C">
        <w:t xml:space="preserve"> </w:t>
      </w:r>
      <w:r>
        <w:t>LGBT</w:t>
      </w:r>
      <w:r w:rsidR="003D640C">
        <w:t xml:space="preserve"> </w:t>
      </w:r>
      <w:r>
        <w:t>clients</w:t>
      </w:r>
      <w:r w:rsidR="003D640C">
        <w:t xml:space="preserve"> </w:t>
      </w:r>
      <w:r>
        <w:t>in</w:t>
      </w:r>
      <w:r w:rsidR="003D640C">
        <w:t xml:space="preserve"> </w:t>
      </w:r>
      <w:r>
        <w:t>post-conversion</w:t>
      </w:r>
      <w:r w:rsidR="003D640C">
        <w:t xml:space="preserve"> </w:t>
      </w:r>
      <w:r>
        <w:t>therapy</w:t>
      </w:r>
      <w:r w:rsidR="00A67F14">
        <w:t>.</w:t>
      </w:r>
      <w:r w:rsidR="003D640C">
        <w:t xml:space="preserve"> </w:t>
      </w:r>
      <w:r w:rsidR="00A67F14" w:rsidRPr="00A67F14">
        <w:rPr>
          <w:i/>
          <w:iCs/>
        </w:rPr>
        <w:t>Columbia</w:t>
      </w:r>
      <w:r w:rsidR="003D640C">
        <w:rPr>
          <w:i/>
          <w:iCs/>
        </w:rPr>
        <w:t xml:space="preserve"> </w:t>
      </w:r>
      <w:r w:rsidR="00A67F14" w:rsidRPr="00A67F14">
        <w:rPr>
          <w:i/>
          <w:iCs/>
        </w:rPr>
        <w:t>Social</w:t>
      </w:r>
      <w:r w:rsidR="003D640C">
        <w:rPr>
          <w:i/>
          <w:iCs/>
        </w:rPr>
        <w:t xml:space="preserve"> </w:t>
      </w:r>
      <w:r w:rsidR="00A67F14" w:rsidRPr="00A67F14">
        <w:rPr>
          <w:i/>
          <w:iCs/>
        </w:rPr>
        <w:t>Work</w:t>
      </w:r>
      <w:r w:rsidR="003D640C">
        <w:rPr>
          <w:i/>
          <w:iCs/>
        </w:rPr>
        <w:t xml:space="preserve"> </w:t>
      </w:r>
      <w:r w:rsidR="00A67F14" w:rsidRPr="00A67F14">
        <w:rPr>
          <w:i/>
          <w:iCs/>
        </w:rPr>
        <w:t>Review,</w:t>
      </w:r>
      <w:r w:rsidR="003D640C">
        <w:t xml:space="preserve"> </w:t>
      </w:r>
      <w:r w:rsidR="00B93233" w:rsidRPr="005B33A1">
        <w:t>8</w:t>
      </w:r>
      <w:r w:rsidR="00B93233">
        <w:t>(</w:t>
      </w:r>
      <w:r w:rsidR="00A67F14" w:rsidRPr="00B93233">
        <w:t>1</w:t>
      </w:r>
      <w:r w:rsidR="00B93233">
        <w:t>), 8–16</w:t>
      </w:r>
      <w:r w:rsidR="00A67F14">
        <w:t>.</w:t>
      </w:r>
    </w:p>
  </w:footnote>
  <w:footnote w:id="268">
    <w:p w14:paraId="51889660" w14:textId="3BF7D069" w:rsidR="00F47F0E" w:rsidRPr="00437CD3" w:rsidRDefault="00F47F0E" w:rsidP="00F47F0E">
      <w:pPr>
        <w:pStyle w:val="FootnoteText"/>
      </w:pPr>
      <w:r>
        <w:rPr>
          <w:rStyle w:val="FootnoteReference"/>
        </w:rPr>
        <w:footnoteRef/>
      </w:r>
      <w:r>
        <w:t xml:space="preserve"> </w:t>
      </w:r>
      <w:r w:rsidRPr="00583A3C">
        <w:t>Jones</w:t>
      </w:r>
      <w:r>
        <w:t xml:space="preserve"> </w:t>
      </w:r>
      <w:r w:rsidRPr="00583A3C">
        <w:t>et</w:t>
      </w:r>
      <w:r>
        <w:t xml:space="preserve"> </w:t>
      </w:r>
      <w:r w:rsidRPr="00583A3C">
        <w:t>al</w:t>
      </w:r>
      <w:r>
        <w:t>.</w:t>
      </w:r>
      <w:r w:rsidRPr="00583A3C">
        <w:t>,</w:t>
      </w:r>
      <w:r>
        <w:t xml:space="preserve"> </w:t>
      </w:r>
      <w:r w:rsidRPr="00583A3C">
        <w:t>2022</w:t>
      </w:r>
      <w:r>
        <w:t>b.</w:t>
      </w:r>
    </w:p>
  </w:footnote>
  <w:footnote w:id="269">
    <w:p w14:paraId="6A98CD79" w14:textId="76C63980" w:rsidR="00CF4A69" w:rsidRPr="00BF0C39" w:rsidRDefault="00CF4A69" w:rsidP="00E00167">
      <w:pPr>
        <w:pStyle w:val="FootnoteText"/>
      </w:pPr>
      <w:r>
        <w:rPr>
          <w:rStyle w:val="FootnoteReference"/>
        </w:rPr>
        <w:footnoteRef/>
      </w:r>
      <w:r w:rsidR="003D640C">
        <w:t xml:space="preserve"> </w:t>
      </w:r>
      <w:r w:rsidRPr="00BF0C39">
        <w:t>This</w:t>
      </w:r>
      <w:r w:rsidR="003D640C">
        <w:t xml:space="preserve"> </w:t>
      </w:r>
      <w:r w:rsidRPr="00BF0C39">
        <w:t>reflects</w:t>
      </w:r>
      <w:r w:rsidR="003D640C">
        <w:t xml:space="preserve"> </w:t>
      </w:r>
      <w:r w:rsidRPr="00BF0C39">
        <w:t>the</w:t>
      </w:r>
      <w:r w:rsidR="003D640C">
        <w:t xml:space="preserve"> </w:t>
      </w:r>
      <w:r w:rsidRPr="00BF0C39">
        <w:t>requests</w:t>
      </w:r>
      <w:r w:rsidR="003D640C">
        <w:t xml:space="preserve"> </w:t>
      </w:r>
      <w:r w:rsidRPr="00BF0C39">
        <w:t>of</w:t>
      </w:r>
      <w:r w:rsidR="003D640C">
        <w:t xml:space="preserve"> </w:t>
      </w:r>
      <w:r w:rsidRPr="00BF0C39">
        <w:t>survivors</w:t>
      </w:r>
      <w:r w:rsidR="003D640C">
        <w:t xml:space="preserve"> </w:t>
      </w:r>
      <w:r w:rsidRPr="00BF0C39">
        <w:t>we</w:t>
      </w:r>
      <w:r w:rsidR="003D640C">
        <w:t xml:space="preserve"> </w:t>
      </w:r>
      <w:r w:rsidRPr="00BF0C39">
        <w:t>engaged</w:t>
      </w:r>
      <w:r w:rsidR="003D640C">
        <w:t xml:space="preserve"> </w:t>
      </w:r>
      <w:r w:rsidRPr="00BF0C39">
        <w:t>with,</w:t>
      </w:r>
      <w:r w:rsidR="003D640C">
        <w:t xml:space="preserve"> </w:t>
      </w:r>
      <w:r w:rsidRPr="00BF0C39">
        <w:t>and</w:t>
      </w:r>
      <w:r w:rsidR="003D640C">
        <w:t xml:space="preserve"> </w:t>
      </w:r>
      <w:r w:rsidRPr="00BF0C39">
        <w:t>we</w:t>
      </w:r>
      <w:r w:rsidR="003D640C">
        <w:t xml:space="preserve"> </w:t>
      </w:r>
      <w:r w:rsidRPr="00BF0C39">
        <w:t>acknowledge</w:t>
      </w:r>
      <w:r w:rsidR="003D640C">
        <w:t xml:space="preserve"> </w:t>
      </w:r>
      <w:r w:rsidRPr="00BF0C39">
        <w:t>that</w:t>
      </w:r>
      <w:r w:rsidR="003D640C">
        <w:t xml:space="preserve"> </w:t>
      </w:r>
      <w:r w:rsidRPr="00BF0C39">
        <w:t>there</w:t>
      </w:r>
      <w:r w:rsidR="003D640C">
        <w:t xml:space="preserve"> </w:t>
      </w:r>
      <w:r w:rsidRPr="00BF0C39">
        <w:t>are</w:t>
      </w:r>
      <w:r w:rsidR="003D640C">
        <w:t xml:space="preserve"> </w:t>
      </w:r>
      <w:r w:rsidRPr="00BF0C39">
        <w:t>further</w:t>
      </w:r>
      <w:r w:rsidR="003D640C">
        <w:t xml:space="preserve"> </w:t>
      </w:r>
      <w:r w:rsidRPr="00BF0C39">
        <w:t>languages</w:t>
      </w:r>
      <w:r w:rsidR="003D640C">
        <w:t xml:space="preserve"> </w:t>
      </w:r>
      <w:r w:rsidRPr="00BF0C39">
        <w:t>and</w:t>
      </w:r>
      <w:r w:rsidR="003D640C">
        <w:t xml:space="preserve"> </w:t>
      </w:r>
      <w:r w:rsidRPr="00BF0C39">
        <w:t>cultures</w:t>
      </w:r>
      <w:r w:rsidR="003D640C">
        <w:t xml:space="preserve"> </w:t>
      </w:r>
      <w:r w:rsidRPr="00BF0C39">
        <w:t>that</w:t>
      </w:r>
      <w:r w:rsidR="003D640C">
        <w:t xml:space="preserve"> </w:t>
      </w:r>
      <w:r w:rsidRPr="00BF0C39">
        <w:t>should</w:t>
      </w:r>
      <w:r w:rsidR="003D640C">
        <w:t xml:space="preserve"> </w:t>
      </w:r>
      <w:r w:rsidRPr="00BF0C39">
        <w:t>be</w:t>
      </w:r>
      <w:r w:rsidR="003D640C">
        <w:t xml:space="preserve"> </w:t>
      </w:r>
      <w:r w:rsidRPr="00BF0C39">
        <w:t>catered</w:t>
      </w:r>
      <w:r w:rsidR="003D640C">
        <w:t xml:space="preserve"> </w:t>
      </w:r>
      <w:r w:rsidRPr="00BF0C39">
        <w:t>for.</w:t>
      </w:r>
    </w:p>
  </w:footnote>
  <w:footnote w:id="270">
    <w:p w14:paraId="34127A45" w14:textId="0537491A" w:rsidR="00524EA2" w:rsidRPr="00C35AD3" w:rsidRDefault="00524EA2" w:rsidP="00E00167">
      <w:pPr>
        <w:pStyle w:val="FootnoteText"/>
        <w:rPr>
          <w:lang w:val="en-US"/>
        </w:rPr>
      </w:pPr>
      <w:r w:rsidRPr="00D25A8D">
        <w:rPr>
          <w:rStyle w:val="FootnoteReference"/>
        </w:rPr>
        <w:footnoteRef/>
      </w:r>
      <w:r w:rsidR="003D640C">
        <w:t xml:space="preserve"> </w:t>
      </w:r>
      <w:r w:rsidR="00C66676">
        <w:rPr>
          <w:lang w:val="mi-NZ"/>
        </w:rPr>
        <w:t>Human</w:t>
      </w:r>
      <w:r w:rsidR="003D640C">
        <w:rPr>
          <w:lang w:val="mi-NZ"/>
        </w:rPr>
        <w:t xml:space="preserve"> </w:t>
      </w:r>
      <w:r w:rsidR="00C66676">
        <w:rPr>
          <w:lang w:val="mi-NZ"/>
        </w:rPr>
        <w:t>Rights</w:t>
      </w:r>
      <w:r w:rsidR="003D640C">
        <w:rPr>
          <w:lang w:val="mi-NZ"/>
        </w:rPr>
        <w:t xml:space="preserve"> </w:t>
      </w:r>
      <w:r w:rsidR="00C66676">
        <w:rPr>
          <w:lang w:val="mi-NZ"/>
        </w:rPr>
        <w:t>Commission</w:t>
      </w:r>
      <w:r w:rsidR="00340B8A">
        <w:rPr>
          <w:lang w:val="mi-NZ"/>
        </w:rPr>
        <w:t>,</w:t>
      </w:r>
      <w:r w:rsidR="003D640C">
        <w:rPr>
          <w:lang w:val="mi-NZ"/>
        </w:rPr>
        <w:t xml:space="preserve"> </w:t>
      </w:r>
      <w:r w:rsidR="00340B8A">
        <w:rPr>
          <w:lang w:val="mi-NZ"/>
        </w:rPr>
        <w:t>n.d.</w:t>
      </w:r>
      <w:r w:rsidR="00FB1C07">
        <w:rPr>
          <w:lang w:val="mi-NZ"/>
        </w:rPr>
        <w:t>a.</w:t>
      </w:r>
      <w:r w:rsidR="003D640C">
        <w:rPr>
          <w:lang w:val="en-US"/>
        </w:rPr>
        <w:t xml:space="preserve"> </w:t>
      </w:r>
    </w:p>
  </w:footnote>
  <w:footnote w:id="271">
    <w:p w14:paraId="44C07317" w14:textId="5C0B65C8" w:rsidR="00B71E63" w:rsidRDefault="00B71E63" w:rsidP="00E00167">
      <w:pPr>
        <w:pStyle w:val="FootnoteText"/>
      </w:pPr>
      <w:r w:rsidRPr="00E03F91">
        <w:rPr>
          <w:rStyle w:val="FootnoteReference"/>
        </w:rPr>
        <w:footnoteRef/>
      </w:r>
      <w:r w:rsidR="003D640C">
        <w:t xml:space="preserve"> </w:t>
      </w:r>
      <w:r>
        <w:rPr>
          <w:noProof/>
          <w:lang w:val="mi-NZ"/>
        </w:rPr>
        <w:t>Stats</w:t>
      </w:r>
      <w:r w:rsidR="003D640C">
        <w:rPr>
          <w:noProof/>
          <w:lang w:val="mi-NZ"/>
        </w:rPr>
        <w:t xml:space="preserve"> </w:t>
      </w:r>
      <w:r>
        <w:rPr>
          <w:noProof/>
          <w:lang w:val="mi-NZ"/>
        </w:rPr>
        <w:t>NZ,</w:t>
      </w:r>
      <w:r w:rsidR="003D640C">
        <w:rPr>
          <w:noProof/>
          <w:lang w:val="mi-NZ"/>
        </w:rPr>
        <w:t xml:space="preserve"> </w:t>
      </w:r>
      <w:r>
        <w:rPr>
          <w:noProof/>
          <w:lang w:val="mi-NZ"/>
        </w:rPr>
        <w:t>202</w:t>
      </w:r>
      <w:r w:rsidR="00785DCB">
        <w:rPr>
          <w:noProof/>
          <w:lang w:val="mi-NZ"/>
        </w:rPr>
        <w:t>2</w:t>
      </w:r>
      <w:r w:rsidR="00CE1F6A">
        <w:rPr>
          <w:noProof/>
          <w:lang w:val="mi-NZ"/>
        </w:rPr>
        <w:t>;</w:t>
      </w:r>
      <w:r w:rsidR="00CE1F6A" w:rsidRPr="00CE1F6A">
        <w:t xml:space="preserve"> </w:t>
      </w:r>
      <w:r w:rsidR="00CE1F6A" w:rsidRPr="00E03F91">
        <w:t>Fenaughty</w:t>
      </w:r>
      <w:r w:rsidR="00CE1F6A">
        <w:t xml:space="preserve"> </w:t>
      </w:r>
      <w:r w:rsidR="00CE1F6A" w:rsidRPr="00E03F91">
        <w:t>et</w:t>
      </w:r>
      <w:r w:rsidR="00CE1F6A">
        <w:t xml:space="preserve"> </w:t>
      </w:r>
      <w:r w:rsidR="00CE1F6A" w:rsidRPr="00E03F91">
        <w:t>al.</w:t>
      </w:r>
      <w:r w:rsidR="00CE1F6A">
        <w:t xml:space="preserve">, </w:t>
      </w:r>
      <w:r w:rsidR="00CE1F6A" w:rsidRPr="00E03F91">
        <w:t>2021</w:t>
      </w:r>
      <w:r w:rsidR="00CE1F6A">
        <w:t>.</w:t>
      </w:r>
    </w:p>
  </w:footnote>
  <w:footnote w:id="272">
    <w:p w14:paraId="6C47FA50" w14:textId="45948CE5" w:rsidR="00C6139F" w:rsidRPr="00C6139F" w:rsidRDefault="00C6139F" w:rsidP="00C6139F">
      <w:pPr>
        <w:pStyle w:val="FootnoteText"/>
      </w:pPr>
      <w:r w:rsidRPr="009032B9">
        <w:rPr>
          <w:rStyle w:val="FootnoteReference"/>
        </w:rPr>
        <w:footnoteRef/>
      </w:r>
      <w:r w:rsidRPr="009032B9">
        <w:t xml:space="preserve"> </w:t>
      </w:r>
      <w:r w:rsidRPr="00C6139F">
        <w:t xml:space="preserve">Anderson, C. (2009). </w:t>
      </w:r>
      <w:r w:rsidRPr="005B33A1">
        <w:rPr>
          <w:i/>
          <w:iCs/>
        </w:rPr>
        <w:t xml:space="preserve">Ancient laws and contemporary controversies: The need for inclusive biblical </w:t>
      </w:r>
      <w:r w:rsidR="00A0716D" w:rsidRPr="005B33A1">
        <w:rPr>
          <w:i/>
          <w:iCs/>
        </w:rPr>
        <w:t>i</w:t>
      </w:r>
      <w:r w:rsidRPr="005B33A1">
        <w:rPr>
          <w:i/>
          <w:iCs/>
        </w:rPr>
        <w:t>nterpretation</w:t>
      </w:r>
      <w:r w:rsidRPr="00C6139F">
        <w:t>. Oxford University Press</w:t>
      </w:r>
      <w:r w:rsidR="00A0716D">
        <w:t>;</w:t>
      </w:r>
      <w:r w:rsidRPr="00C6139F">
        <w:t xml:space="preserve"> Keen, K.</w:t>
      </w:r>
      <w:r w:rsidR="00A0716D">
        <w:t xml:space="preserve"> </w:t>
      </w:r>
      <w:r w:rsidRPr="00C6139F">
        <w:t>R. (2018)</w:t>
      </w:r>
      <w:r w:rsidR="00A0716D">
        <w:t>.</w:t>
      </w:r>
      <w:r w:rsidRPr="00C6139F">
        <w:t xml:space="preserve"> </w:t>
      </w:r>
      <w:r w:rsidRPr="005B33A1">
        <w:rPr>
          <w:i/>
          <w:iCs/>
        </w:rPr>
        <w:t xml:space="preserve">Scripture, </w:t>
      </w:r>
      <w:r w:rsidR="00A0716D" w:rsidRPr="005B33A1">
        <w:rPr>
          <w:i/>
          <w:iCs/>
        </w:rPr>
        <w:t>e</w:t>
      </w:r>
      <w:r w:rsidRPr="005B33A1">
        <w:rPr>
          <w:i/>
          <w:iCs/>
        </w:rPr>
        <w:t xml:space="preserve">thics, and the </w:t>
      </w:r>
      <w:r w:rsidR="00A0716D" w:rsidRPr="005B33A1">
        <w:rPr>
          <w:i/>
          <w:iCs/>
        </w:rPr>
        <w:t>p</w:t>
      </w:r>
      <w:r w:rsidRPr="005B33A1">
        <w:rPr>
          <w:i/>
          <w:iCs/>
        </w:rPr>
        <w:t xml:space="preserve">ossibility of </w:t>
      </w:r>
      <w:r w:rsidR="00A0716D" w:rsidRPr="005B33A1">
        <w:rPr>
          <w:i/>
          <w:iCs/>
        </w:rPr>
        <w:t>s</w:t>
      </w:r>
      <w:r w:rsidRPr="005B33A1">
        <w:rPr>
          <w:i/>
          <w:iCs/>
        </w:rPr>
        <w:t>ame-</w:t>
      </w:r>
      <w:r w:rsidR="00A0716D" w:rsidRPr="005B33A1">
        <w:rPr>
          <w:i/>
          <w:iCs/>
        </w:rPr>
        <w:t>s</w:t>
      </w:r>
      <w:r w:rsidRPr="005B33A1">
        <w:rPr>
          <w:i/>
          <w:iCs/>
        </w:rPr>
        <w:t xml:space="preserve">ex </w:t>
      </w:r>
      <w:r w:rsidR="00A0716D" w:rsidRPr="005B33A1">
        <w:rPr>
          <w:i/>
          <w:iCs/>
        </w:rPr>
        <w:t>r</w:t>
      </w:r>
      <w:r w:rsidRPr="005B33A1">
        <w:rPr>
          <w:i/>
          <w:iCs/>
        </w:rPr>
        <w:t>elationships</w:t>
      </w:r>
      <w:r w:rsidRPr="00C6139F">
        <w:t>. Eerdmans Publishing; Vines, M. (2014)</w:t>
      </w:r>
      <w:r w:rsidR="00A0716D">
        <w:t>.</w:t>
      </w:r>
      <w:r w:rsidRPr="00C6139F">
        <w:t xml:space="preserve"> </w:t>
      </w:r>
      <w:r w:rsidRPr="005B33A1">
        <w:rPr>
          <w:i/>
          <w:iCs/>
        </w:rPr>
        <w:t xml:space="preserve">God and </w:t>
      </w:r>
      <w:r w:rsidR="00A0716D" w:rsidRPr="005B33A1">
        <w:rPr>
          <w:i/>
          <w:iCs/>
        </w:rPr>
        <w:t>t</w:t>
      </w:r>
      <w:r w:rsidRPr="005B33A1">
        <w:rPr>
          <w:i/>
          <w:iCs/>
        </w:rPr>
        <w:t xml:space="preserve">he </w:t>
      </w:r>
      <w:r w:rsidR="00A0716D" w:rsidRPr="005B33A1">
        <w:rPr>
          <w:i/>
          <w:iCs/>
        </w:rPr>
        <w:t>g</w:t>
      </w:r>
      <w:r w:rsidRPr="005B33A1">
        <w:rPr>
          <w:i/>
          <w:iCs/>
        </w:rPr>
        <w:t xml:space="preserve">ay Christian: The </w:t>
      </w:r>
      <w:r w:rsidR="00A0716D" w:rsidRPr="005B33A1">
        <w:rPr>
          <w:i/>
          <w:iCs/>
        </w:rPr>
        <w:t>b</w:t>
      </w:r>
      <w:r w:rsidRPr="005B33A1">
        <w:rPr>
          <w:i/>
          <w:iCs/>
        </w:rPr>
        <w:t xml:space="preserve">iblical </w:t>
      </w:r>
      <w:r w:rsidR="00A0716D" w:rsidRPr="005B33A1">
        <w:rPr>
          <w:i/>
          <w:iCs/>
        </w:rPr>
        <w:t>c</w:t>
      </w:r>
      <w:r w:rsidRPr="005B33A1">
        <w:rPr>
          <w:i/>
          <w:iCs/>
        </w:rPr>
        <w:t xml:space="preserve">ase in </w:t>
      </w:r>
      <w:r w:rsidR="00A0716D" w:rsidRPr="005B33A1">
        <w:rPr>
          <w:i/>
          <w:iCs/>
        </w:rPr>
        <w:t>s</w:t>
      </w:r>
      <w:r w:rsidRPr="005B33A1">
        <w:rPr>
          <w:i/>
          <w:iCs/>
        </w:rPr>
        <w:t xml:space="preserve">upport of </w:t>
      </w:r>
      <w:r w:rsidR="00A0716D" w:rsidRPr="005B33A1">
        <w:rPr>
          <w:i/>
          <w:iCs/>
        </w:rPr>
        <w:t>s</w:t>
      </w:r>
      <w:r w:rsidRPr="005B33A1">
        <w:rPr>
          <w:i/>
          <w:iCs/>
        </w:rPr>
        <w:t>ame-</w:t>
      </w:r>
      <w:r w:rsidR="00A0716D" w:rsidRPr="005B33A1">
        <w:rPr>
          <w:i/>
          <w:iCs/>
        </w:rPr>
        <w:t>s</w:t>
      </w:r>
      <w:r w:rsidRPr="005B33A1">
        <w:rPr>
          <w:i/>
          <w:iCs/>
        </w:rPr>
        <w:t xml:space="preserve">ex </w:t>
      </w:r>
      <w:r w:rsidR="00A0716D" w:rsidRPr="005B33A1">
        <w:rPr>
          <w:i/>
          <w:iCs/>
        </w:rPr>
        <w:t>r</w:t>
      </w:r>
      <w:r w:rsidRPr="005B33A1">
        <w:rPr>
          <w:i/>
          <w:iCs/>
        </w:rPr>
        <w:t>elationships</w:t>
      </w:r>
      <w:r w:rsidRPr="00C6139F">
        <w:t>. Convergent Books.</w:t>
      </w:r>
    </w:p>
  </w:footnote>
  <w:footnote w:id="273">
    <w:p w14:paraId="7C72BEC0" w14:textId="708B31A4" w:rsidR="00524EA2" w:rsidRPr="009032B9" w:rsidRDefault="00524EA2" w:rsidP="009032B9">
      <w:pPr>
        <w:pStyle w:val="FootnoteText"/>
        <w:rPr>
          <w:lang w:val="mi-NZ"/>
        </w:rPr>
      </w:pPr>
      <w:r w:rsidRPr="009032B9">
        <w:rPr>
          <w:rStyle w:val="FootnoteReference"/>
          <w:rFonts w:cstheme="minorHAnsi"/>
        </w:rPr>
        <w:footnoteRef/>
      </w:r>
      <w:r w:rsidR="003D640C" w:rsidRPr="009032B9">
        <w:t xml:space="preserve"> </w:t>
      </w:r>
      <w:r w:rsidR="00057AFB" w:rsidRPr="009032B9">
        <w:t>InsideOUT.</w:t>
      </w:r>
      <w:r w:rsidR="003D640C" w:rsidRPr="009032B9">
        <w:t xml:space="preserve"> </w:t>
      </w:r>
      <w:r w:rsidR="00057AFB" w:rsidRPr="009032B9">
        <w:t>(2021).</w:t>
      </w:r>
      <w:r w:rsidR="003D640C" w:rsidRPr="009032B9">
        <w:t xml:space="preserve"> </w:t>
      </w:r>
      <w:r w:rsidR="00057AFB" w:rsidRPr="009032B9">
        <w:rPr>
          <w:i/>
          <w:iCs/>
        </w:rPr>
        <w:t>Join</w:t>
      </w:r>
      <w:r w:rsidR="003D640C" w:rsidRPr="009032B9">
        <w:rPr>
          <w:i/>
          <w:iCs/>
        </w:rPr>
        <w:t xml:space="preserve"> </w:t>
      </w:r>
      <w:r w:rsidR="00057AFB" w:rsidRPr="009032B9">
        <w:rPr>
          <w:i/>
          <w:iCs/>
        </w:rPr>
        <w:t>this</w:t>
      </w:r>
      <w:r w:rsidR="003D640C" w:rsidRPr="009032B9">
        <w:rPr>
          <w:i/>
          <w:iCs/>
        </w:rPr>
        <w:t xml:space="preserve"> </w:t>
      </w:r>
      <w:r w:rsidR="005E5997" w:rsidRPr="009032B9">
        <w:rPr>
          <w:i/>
          <w:iCs/>
        </w:rPr>
        <w:t>c</w:t>
      </w:r>
      <w:r w:rsidR="00057AFB" w:rsidRPr="009032B9">
        <w:rPr>
          <w:i/>
          <w:iCs/>
        </w:rPr>
        <w:t>hariot</w:t>
      </w:r>
      <w:r w:rsidR="007B4B4D">
        <w:rPr>
          <w:i/>
          <w:iCs/>
        </w:rPr>
        <w:t>: Christian schools supporting Rainbow students’ wellbeing</w:t>
      </w:r>
      <w:r w:rsidR="00EE0B93" w:rsidRPr="009032B9">
        <w:rPr>
          <w:lang w:val="mi-NZ"/>
        </w:rPr>
        <w:t>.</w:t>
      </w:r>
      <w:r w:rsidR="003D640C" w:rsidRPr="009032B9">
        <w:rPr>
          <w:lang w:val="mi-NZ"/>
        </w:rPr>
        <w:t xml:space="preserve"> </w:t>
      </w:r>
    </w:p>
  </w:footnote>
  <w:footnote w:id="274">
    <w:p w14:paraId="590CB46C" w14:textId="780AAA42" w:rsidR="00524EA2" w:rsidRPr="009032B9" w:rsidRDefault="00524EA2" w:rsidP="009032B9">
      <w:pPr>
        <w:pStyle w:val="FootnoteText"/>
        <w:rPr>
          <w:lang w:val="mi-NZ"/>
        </w:rPr>
      </w:pPr>
      <w:r w:rsidRPr="009032B9">
        <w:rPr>
          <w:rStyle w:val="FootnoteReference"/>
        </w:rPr>
        <w:footnoteRef/>
      </w:r>
      <w:r w:rsidR="003D640C" w:rsidRPr="009032B9">
        <w:t xml:space="preserve"> </w:t>
      </w:r>
      <w:r w:rsidR="000337F9" w:rsidRPr="009032B9">
        <w:t>Brown</w:t>
      </w:r>
      <w:r w:rsidR="00D23EA6">
        <w:t>-Acton</w:t>
      </w:r>
      <w:r w:rsidR="00C97241">
        <w:t>, P</w:t>
      </w:r>
      <w:r w:rsidR="000337F9" w:rsidRPr="009032B9">
        <w:t>.</w:t>
      </w:r>
      <w:r w:rsidR="003D640C" w:rsidRPr="009032B9">
        <w:t xml:space="preserve"> </w:t>
      </w:r>
      <w:r w:rsidR="000337F9" w:rsidRPr="009032B9">
        <w:t>(2014</w:t>
      </w:r>
      <w:r w:rsidR="00C97241">
        <w:t>, March</w:t>
      </w:r>
      <w:r w:rsidR="00DC4D41">
        <w:t xml:space="preserve"> 4</w:t>
      </w:r>
      <w:r w:rsidR="000337F9" w:rsidRPr="009032B9">
        <w:t>).</w:t>
      </w:r>
      <w:r w:rsidR="003D640C" w:rsidRPr="009032B9">
        <w:t xml:space="preserve"> </w:t>
      </w:r>
      <w:r w:rsidR="000337F9" w:rsidRPr="005B33A1">
        <w:rPr>
          <w:i/>
          <w:iCs/>
        </w:rPr>
        <w:t>Strengthening</w:t>
      </w:r>
      <w:r w:rsidR="003D640C" w:rsidRPr="005B33A1">
        <w:rPr>
          <w:i/>
          <w:iCs/>
        </w:rPr>
        <w:t xml:space="preserve"> </w:t>
      </w:r>
      <w:r w:rsidR="005E5997" w:rsidRPr="005B33A1">
        <w:rPr>
          <w:i/>
          <w:iCs/>
        </w:rPr>
        <w:t>s</w:t>
      </w:r>
      <w:r w:rsidR="000337F9" w:rsidRPr="005B33A1">
        <w:rPr>
          <w:i/>
          <w:iCs/>
        </w:rPr>
        <w:t>olutions</w:t>
      </w:r>
      <w:r w:rsidR="003D640C" w:rsidRPr="005B33A1">
        <w:rPr>
          <w:i/>
          <w:iCs/>
        </w:rPr>
        <w:t xml:space="preserve"> </w:t>
      </w:r>
      <w:r w:rsidR="000337F9" w:rsidRPr="005B33A1">
        <w:rPr>
          <w:i/>
          <w:iCs/>
        </w:rPr>
        <w:t>for</w:t>
      </w:r>
      <w:r w:rsidR="003D640C" w:rsidRPr="005B33A1">
        <w:rPr>
          <w:i/>
          <w:iCs/>
        </w:rPr>
        <w:t xml:space="preserve"> </w:t>
      </w:r>
      <w:r w:rsidR="000337F9" w:rsidRPr="005B33A1">
        <w:rPr>
          <w:i/>
          <w:iCs/>
        </w:rPr>
        <w:t>Pasefika</w:t>
      </w:r>
      <w:r w:rsidR="003D640C" w:rsidRPr="005B33A1">
        <w:rPr>
          <w:i/>
          <w:iCs/>
        </w:rPr>
        <w:t xml:space="preserve"> </w:t>
      </w:r>
      <w:r w:rsidR="000337F9" w:rsidRPr="005B33A1">
        <w:rPr>
          <w:i/>
          <w:iCs/>
        </w:rPr>
        <w:t>Rainbow</w:t>
      </w:r>
      <w:r w:rsidR="003D640C" w:rsidRPr="009032B9">
        <w:t xml:space="preserve"> </w:t>
      </w:r>
      <w:r w:rsidR="00663A1C" w:rsidRPr="009032B9">
        <w:t>[Keynote</w:t>
      </w:r>
      <w:r w:rsidR="003D640C" w:rsidRPr="009032B9">
        <w:t xml:space="preserve"> </w:t>
      </w:r>
      <w:r w:rsidR="00663A1C" w:rsidRPr="009032B9">
        <w:t>speech].</w:t>
      </w:r>
      <w:r w:rsidR="003D640C" w:rsidRPr="009032B9">
        <w:t xml:space="preserve"> </w:t>
      </w:r>
      <w:r w:rsidR="00E76DC3" w:rsidRPr="009032B9">
        <w:t>GPS</w:t>
      </w:r>
      <w:r w:rsidR="003D640C" w:rsidRPr="009032B9">
        <w:t xml:space="preserve"> </w:t>
      </w:r>
      <w:r w:rsidR="00E76DC3" w:rsidRPr="009032B9">
        <w:t>2.0:</w:t>
      </w:r>
      <w:r w:rsidR="003D640C" w:rsidRPr="009032B9">
        <w:t xml:space="preserve"> </w:t>
      </w:r>
      <w:r w:rsidR="00E76DC3" w:rsidRPr="009032B9">
        <w:t>Growing</w:t>
      </w:r>
      <w:r w:rsidR="003D640C" w:rsidRPr="009032B9">
        <w:t xml:space="preserve"> </w:t>
      </w:r>
      <w:r w:rsidR="00E76DC3" w:rsidRPr="009032B9">
        <w:t>Pacific</w:t>
      </w:r>
      <w:r w:rsidR="003D640C" w:rsidRPr="009032B9">
        <w:t xml:space="preserve"> </w:t>
      </w:r>
      <w:r w:rsidR="00C97241">
        <w:t>S</w:t>
      </w:r>
      <w:r w:rsidR="00E76DC3" w:rsidRPr="009032B9">
        <w:t>olutions</w:t>
      </w:r>
      <w:r w:rsidR="003D640C" w:rsidRPr="009032B9">
        <w:t xml:space="preserve"> </w:t>
      </w:r>
      <w:r w:rsidR="00E76DC3" w:rsidRPr="009032B9">
        <w:t>for</w:t>
      </w:r>
      <w:r w:rsidR="003D640C" w:rsidRPr="009032B9">
        <w:t xml:space="preserve"> </w:t>
      </w:r>
      <w:r w:rsidR="00E76DC3" w:rsidRPr="009032B9">
        <w:t>our</w:t>
      </w:r>
      <w:r w:rsidR="003D640C" w:rsidRPr="009032B9">
        <w:t xml:space="preserve"> </w:t>
      </w:r>
      <w:r w:rsidR="00C97241">
        <w:t>C</w:t>
      </w:r>
      <w:r w:rsidR="00E76DC3" w:rsidRPr="009032B9">
        <w:t>ommunities</w:t>
      </w:r>
      <w:r w:rsidR="003D640C" w:rsidRPr="009032B9">
        <w:t xml:space="preserve"> </w:t>
      </w:r>
      <w:r w:rsidR="00C97241">
        <w:t>N</w:t>
      </w:r>
      <w:r w:rsidR="00E76DC3" w:rsidRPr="009032B9">
        <w:t>ational</w:t>
      </w:r>
      <w:r w:rsidR="003D640C" w:rsidRPr="009032B9">
        <w:t xml:space="preserve"> </w:t>
      </w:r>
      <w:r w:rsidR="00E76DC3" w:rsidRPr="009032B9">
        <w:t>Pacific</w:t>
      </w:r>
      <w:r w:rsidR="003D640C" w:rsidRPr="009032B9">
        <w:t xml:space="preserve"> </w:t>
      </w:r>
      <w:r w:rsidR="00DC4D41">
        <w:t>C</w:t>
      </w:r>
      <w:r w:rsidR="00E76DC3" w:rsidRPr="009032B9">
        <w:t>onference,</w:t>
      </w:r>
      <w:r w:rsidR="003D640C" w:rsidRPr="009032B9">
        <w:t xml:space="preserve"> </w:t>
      </w:r>
      <w:r w:rsidR="00E76DC3" w:rsidRPr="009032B9">
        <w:t>Auckland,</w:t>
      </w:r>
      <w:r w:rsidR="003D640C" w:rsidRPr="009032B9">
        <w:t xml:space="preserve"> </w:t>
      </w:r>
      <w:r w:rsidR="00E76DC3" w:rsidRPr="009032B9">
        <w:t>New</w:t>
      </w:r>
      <w:r w:rsidR="003D640C" w:rsidRPr="009032B9">
        <w:t xml:space="preserve"> </w:t>
      </w:r>
      <w:r w:rsidR="00E76DC3" w:rsidRPr="009032B9">
        <w:t>Zealand.</w:t>
      </w:r>
      <w:r w:rsidR="003D640C" w:rsidRPr="009032B9">
        <w:t xml:space="preserve"> </w:t>
      </w:r>
    </w:p>
  </w:footnote>
  <w:footnote w:id="275">
    <w:p w14:paraId="18296E65" w14:textId="37B2AE2B" w:rsidR="006A4FAD" w:rsidRPr="008A55D1" w:rsidRDefault="006A4FAD" w:rsidP="00E00167">
      <w:pPr>
        <w:pStyle w:val="FootnoteText"/>
        <w:rPr>
          <w:lang w:val="mi-NZ"/>
        </w:rPr>
      </w:pPr>
      <w:r>
        <w:rPr>
          <w:rStyle w:val="FootnoteReference"/>
        </w:rPr>
        <w:footnoteRef/>
      </w:r>
      <w:r w:rsidR="003D640C">
        <w:t xml:space="preserve"> </w:t>
      </w:r>
      <w:r w:rsidR="003078C2">
        <w:t>Tiatia-Seath</w:t>
      </w:r>
      <w:r w:rsidR="003D640C">
        <w:t xml:space="preserve"> </w:t>
      </w:r>
      <w:r w:rsidR="003078C2">
        <w:t>et</w:t>
      </w:r>
      <w:r w:rsidR="003D640C">
        <w:t xml:space="preserve"> </w:t>
      </w:r>
      <w:r w:rsidR="003078C2">
        <w:t>al.,</w:t>
      </w:r>
      <w:r w:rsidR="003D640C">
        <w:t xml:space="preserve"> </w:t>
      </w:r>
      <w:r w:rsidR="00AB71DC">
        <w:t>2021</w:t>
      </w:r>
      <w:r w:rsidR="009E094C">
        <w:t>.</w:t>
      </w:r>
    </w:p>
  </w:footnote>
  <w:footnote w:id="276">
    <w:p w14:paraId="7DB5B4AF" w14:textId="4FDF2ED7" w:rsidR="00F74A14" w:rsidRDefault="00F74A14" w:rsidP="00E00167">
      <w:pPr>
        <w:pStyle w:val="FootnoteText"/>
      </w:pPr>
      <w:r>
        <w:rPr>
          <w:rStyle w:val="FootnoteReference"/>
        </w:rPr>
        <w:footnoteRef/>
      </w:r>
      <w:r w:rsidR="003D640C">
        <w:t xml:space="preserve"> </w:t>
      </w:r>
      <w:r w:rsidR="00A55FED">
        <w:t>Ministry</w:t>
      </w:r>
      <w:r w:rsidR="003D640C">
        <w:t xml:space="preserve"> </w:t>
      </w:r>
      <w:r w:rsidR="00A55FED">
        <w:t>for</w:t>
      </w:r>
      <w:r w:rsidR="003D640C">
        <w:t xml:space="preserve"> </w:t>
      </w:r>
      <w:r w:rsidR="00A55FED">
        <w:t>Pacific</w:t>
      </w:r>
      <w:r w:rsidR="003D640C">
        <w:t xml:space="preserve"> </w:t>
      </w:r>
      <w:r w:rsidR="00A55FED">
        <w:t>Peoples.</w:t>
      </w:r>
      <w:r w:rsidR="003D640C">
        <w:t xml:space="preserve"> </w:t>
      </w:r>
      <w:r w:rsidR="000C75E6">
        <w:t>(</w:t>
      </w:r>
      <w:r w:rsidR="00A55FED">
        <w:t>2020</w:t>
      </w:r>
      <w:r w:rsidR="000C75E6">
        <w:t>)</w:t>
      </w:r>
      <w:r w:rsidR="00A55FED">
        <w:t>.</w:t>
      </w:r>
      <w:r w:rsidR="003D640C">
        <w:t xml:space="preserve"> </w:t>
      </w:r>
      <w:r w:rsidR="00A55FED" w:rsidRPr="007B139B">
        <w:rPr>
          <w:i/>
          <w:iCs/>
        </w:rPr>
        <w:t>Pacific</w:t>
      </w:r>
      <w:r w:rsidR="003D640C" w:rsidRPr="007B139B">
        <w:rPr>
          <w:i/>
          <w:iCs/>
        </w:rPr>
        <w:t xml:space="preserve"> </w:t>
      </w:r>
      <w:r w:rsidR="00A55FED" w:rsidRPr="007B139B">
        <w:rPr>
          <w:i/>
          <w:iCs/>
        </w:rPr>
        <w:t>Aotearoa</w:t>
      </w:r>
      <w:r w:rsidR="003D640C" w:rsidRPr="007B139B">
        <w:rPr>
          <w:i/>
          <w:iCs/>
        </w:rPr>
        <w:t xml:space="preserve"> </w:t>
      </w:r>
      <w:r w:rsidR="000C75E6" w:rsidRPr="007B139B">
        <w:rPr>
          <w:i/>
          <w:iCs/>
        </w:rPr>
        <w:t>s</w:t>
      </w:r>
      <w:r w:rsidR="00A55FED" w:rsidRPr="007B139B">
        <w:rPr>
          <w:i/>
          <w:iCs/>
        </w:rPr>
        <w:t>tatus</w:t>
      </w:r>
      <w:r w:rsidR="003D640C" w:rsidRPr="007B139B">
        <w:rPr>
          <w:i/>
          <w:iCs/>
        </w:rPr>
        <w:t xml:space="preserve"> </w:t>
      </w:r>
      <w:r w:rsidR="000C75E6" w:rsidRPr="007B139B">
        <w:rPr>
          <w:i/>
          <w:iCs/>
        </w:rPr>
        <w:t>r</w:t>
      </w:r>
      <w:r w:rsidR="00A55FED" w:rsidRPr="007B139B">
        <w:rPr>
          <w:i/>
          <w:iCs/>
        </w:rPr>
        <w:t>eport</w:t>
      </w:r>
      <w:r w:rsidR="000C75E6">
        <w:rPr>
          <w:i/>
          <w:iCs/>
        </w:rPr>
        <w:t>:</w:t>
      </w:r>
      <w:r w:rsidR="003D640C" w:rsidRPr="007B139B">
        <w:rPr>
          <w:i/>
          <w:iCs/>
        </w:rPr>
        <w:t xml:space="preserve"> </w:t>
      </w:r>
      <w:r w:rsidR="00A55FED" w:rsidRPr="007B139B">
        <w:rPr>
          <w:i/>
          <w:iCs/>
        </w:rPr>
        <w:t>A</w:t>
      </w:r>
      <w:r w:rsidR="003D640C" w:rsidRPr="007B139B">
        <w:rPr>
          <w:i/>
          <w:iCs/>
        </w:rPr>
        <w:t xml:space="preserve"> </w:t>
      </w:r>
      <w:r w:rsidR="000C75E6" w:rsidRPr="007B139B">
        <w:rPr>
          <w:i/>
          <w:iCs/>
        </w:rPr>
        <w:t>s</w:t>
      </w:r>
      <w:r w:rsidR="00A55FED" w:rsidRPr="007B139B">
        <w:rPr>
          <w:i/>
          <w:iCs/>
        </w:rPr>
        <w:t>napshot</w:t>
      </w:r>
      <w:r w:rsidR="00A55FED">
        <w:t>.</w:t>
      </w:r>
      <w:r w:rsidR="003D640C">
        <w:t xml:space="preserve"> </w:t>
      </w:r>
    </w:p>
  </w:footnote>
  <w:footnote w:id="277">
    <w:p w14:paraId="39F824C3" w14:textId="3089B433" w:rsidR="005030F4" w:rsidRPr="005030F4" w:rsidRDefault="005030F4">
      <w:pPr>
        <w:pStyle w:val="FootnoteText"/>
        <w:rPr>
          <w:lang w:val="mi-NZ"/>
        </w:rPr>
      </w:pPr>
      <w:r>
        <w:rPr>
          <w:rStyle w:val="FootnoteReference"/>
        </w:rPr>
        <w:footnoteRef/>
      </w:r>
      <w:r>
        <w:t xml:space="preserve"> </w:t>
      </w:r>
      <w:r w:rsidR="004E14CB">
        <w:t>Pooley, 2022.</w:t>
      </w:r>
    </w:p>
  </w:footnote>
  <w:footnote w:id="278">
    <w:p w14:paraId="3E4CAEE1" w14:textId="09A1E3E6" w:rsidR="00386630" w:rsidRDefault="00386630" w:rsidP="00E00167">
      <w:pPr>
        <w:pStyle w:val="FootnoteText"/>
      </w:pPr>
      <w:r>
        <w:rPr>
          <w:rStyle w:val="FootnoteReference"/>
        </w:rPr>
        <w:footnoteRef/>
      </w:r>
      <w:r w:rsidR="003D640C">
        <w:t xml:space="preserve"> </w:t>
      </w:r>
      <w:r w:rsidR="004617D9">
        <w:t>Fenaughty</w:t>
      </w:r>
      <w:r w:rsidR="003D640C">
        <w:t xml:space="preserve"> </w:t>
      </w:r>
      <w:r w:rsidR="004617D9">
        <w:t>et</w:t>
      </w:r>
      <w:r w:rsidR="003D640C">
        <w:t xml:space="preserve"> </w:t>
      </w:r>
      <w:r w:rsidR="004617D9">
        <w:t>al.,</w:t>
      </w:r>
      <w:r w:rsidR="003D640C">
        <w:t xml:space="preserve"> </w:t>
      </w:r>
      <w:r w:rsidR="004617D9">
        <w:t>2023</w:t>
      </w:r>
      <w:r w:rsidR="002A6F40">
        <w:t>.</w:t>
      </w:r>
    </w:p>
  </w:footnote>
  <w:footnote w:id="279">
    <w:p w14:paraId="62C26AC1" w14:textId="3551BC20" w:rsidR="002A47B6" w:rsidRPr="002A47B6" w:rsidRDefault="002A47B6">
      <w:pPr>
        <w:pStyle w:val="FootnoteText"/>
        <w:rPr>
          <w:lang w:val="mi-NZ"/>
        </w:rPr>
      </w:pPr>
      <w:r>
        <w:rPr>
          <w:rStyle w:val="FootnoteReference"/>
        </w:rPr>
        <w:footnoteRef/>
      </w:r>
      <w:r>
        <w:t xml:space="preserve"> </w:t>
      </w:r>
      <w:r w:rsidR="00936919">
        <w:t>Pooley,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DECA214" w14:paraId="708B1509" w14:textId="77777777" w:rsidTr="00911B63">
      <w:trPr>
        <w:trHeight w:val="300"/>
      </w:trPr>
      <w:tc>
        <w:tcPr>
          <w:tcW w:w="3005" w:type="dxa"/>
        </w:tcPr>
        <w:p w14:paraId="3062F211" w14:textId="79881672" w:rsidR="4DECA214" w:rsidRDefault="4DECA214" w:rsidP="00911B63">
          <w:pPr>
            <w:pStyle w:val="Header"/>
            <w:ind w:left="-115"/>
          </w:pPr>
        </w:p>
      </w:tc>
      <w:tc>
        <w:tcPr>
          <w:tcW w:w="3005" w:type="dxa"/>
        </w:tcPr>
        <w:p w14:paraId="00432D97" w14:textId="33435B04" w:rsidR="4DECA214" w:rsidRDefault="4DECA214" w:rsidP="00911B63">
          <w:pPr>
            <w:pStyle w:val="Header"/>
            <w:jc w:val="center"/>
          </w:pPr>
        </w:p>
      </w:tc>
      <w:tc>
        <w:tcPr>
          <w:tcW w:w="3005" w:type="dxa"/>
        </w:tcPr>
        <w:p w14:paraId="24B58FF5" w14:textId="388FE8E3" w:rsidR="4DECA214" w:rsidRDefault="4DECA214" w:rsidP="00911B63">
          <w:pPr>
            <w:pStyle w:val="Header"/>
            <w:ind w:right="-115"/>
            <w:jc w:val="right"/>
          </w:pPr>
        </w:p>
      </w:tc>
    </w:tr>
  </w:tbl>
  <w:p w14:paraId="6858BBAB" w14:textId="0AC314D0" w:rsidR="00DE3874" w:rsidRDefault="00DE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64ED"/>
    <w:multiLevelType w:val="hybridMultilevel"/>
    <w:tmpl w:val="48984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7C1B08"/>
    <w:multiLevelType w:val="hybridMultilevel"/>
    <w:tmpl w:val="2AA66CEE"/>
    <w:lvl w:ilvl="0" w:tplc="16AE5368">
      <w:start w:val="5"/>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1D50680"/>
    <w:multiLevelType w:val="hybridMultilevel"/>
    <w:tmpl w:val="EE02671E"/>
    <w:lvl w:ilvl="0" w:tplc="14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7B3A3D"/>
    <w:multiLevelType w:val="hybridMultilevel"/>
    <w:tmpl w:val="E26E3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B71D7C"/>
    <w:multiLevelType w:val="hybridMultilevel"/>
    <w:tmpl w:val="C0B8D766"/>
    <w:lvl w:ilvl="0" w:tplc="BD1A0C4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042820"/>
    <w:multiLevelType w:val="hybridMultilevel"/>
    <w:tmpl w:val="E43C5B74"/>
    <w:lvl w:ilvl="0" w:tplc="E1FADEAC">
      <w:start w:val="1"/>
      <w:numFmt w:val="decimal"/>
      <w:lvlText w:val="%1."/>
      <w:lvlJc w:val="left"/>
      <w:pPr>
        <w:ind w:left="360" w:hanging="360"/>
      </w:pPr>
      <w:rPr>
        <w:rFonts w:hint="default"/>
        <w:b/>
        <w:bCs/>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682F9C"/>
    <w:multiLevelType w:val="hybridMultilevel"/>
    <w:tmpl w:val="3F2024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08BF378F"/>
    <w:multiLevelType w:val="multilevel"/>
    <w:tmpl w:val="2886E1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E58E6"/>
    <w:multiLevelType w:val="multilevel"/>
    <w:tmpl w:val="EBC0BC4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26CC1"/>
    <w:multiLevelType w:val="hybridMultilevel"/>
    <w:tmpl w:val="D4F660A2"/>
    <w:lvl w:ilvl="0" w:tplc="8904DB8C">
      <w:start w:val="1"/>
      <w:numFmt w:val="bullet"/>
      <w:lvlText w:val=""/>
      <w:lvlJc w:val="left"/>
      <w:pPr>
        <w:ind w:left="720" w:hanging="360"/>
      </w:pPr>
      <w:rPr>
        <w:rFonts w:ascii="Symbol" w:hAnsi="Symbol"/>
      </w:rPr>
    </w:lvl>
    <w:lvl w:ilvl="1" w:tplc="21F28D32">
      <w:start w:val="1"/>
      <w:numFmt w:val="bullet"/>
      <w:lvlText w:val=""/>
      <w:lvlJc w:val="left"/>
      <w:pPr>
        <w:ind w:left="720" w:hanging="360"/>
      </w:pPr>
      <w:rPr>
        <w:rFonts w:ascii="Symbol" w:hAnsi="Symbol"/>
      </w:rPr>
    </w:lvl>
    <w:lvl w:ilvl="2" w:tplc="5178D8D6">
      <w:start w:val="1"/>
      <w:numFmt w:val="bullet"/>
      <w:lvlText w:val=""/>
      <w:lvlJc w:val="left"/>
      <w:pPr>
        <w:ind w:left="720" w:hanging="360"/>
      </w:pPr>
      <w:rPr>
        <w:rFonts w:ascii="Symbol" w:hAnsi="Symbol"/>
      </w:rPr>
    </w:lvl>
    <w:lvl w:ilvl="3" w:tplc="4B00B83E">
      <w:start w:val="1"/>
      <w:numFmt w:val="bullet"/>
      <w:lvlText w:val=""/>
      <w:lvlJc w:val="left"/>
      <w:pPr>
        <w:ind w:left="720" w:hanging="360"/>
      </w:pPr>
      <w:rPr>
        <w:rFonts w:ascii="Symbol" w:hAnsi="Symbol"/>
      </w:rPr>
    </w:lvl>
    <w:lvl w:ilvl="4" w:tplc="CF70B6FC">
      <w:start w:val="1"/>
      <w:numFmt w:val="bullet"/>
      <w:lvlText w:val=""/>
      <w:lvlJc w:val="left"/>
      <w:pPr>
        <w:ind w:left="720" w:hanging="360"/>
      </w:pPr>
      <w:rPr>
        <w:rFonts w:ascii="Symbol" w:hAnsi="Symbol"/>
      </w:rPr>
    </w:lvl>
    <w:lvl w:ilvl="5" w:tplc="7BBE8D74">
      <w:start w:val="1"/>
      <w:numFmt w:val="bullet"/>
      <w:lvlText w:val=""/>
      <w:lvlJc w:val="left"/>
      <w:pPr>
        <w:ind w:left="720" w:hanging="360"/>
      </w:pPr>
      <w:rPr>
        <w:rFonts w:ascii="Symbol" w:hAnsi="Symbol"/>
      </w:rPr>
    </w:lvl>
    <w:lvl w:ilvl="6" w:tplc="421A3B78">
      <w:start w:val="1"/>
      <w:numFmt w:val="bullet"/>
      <w:lvlText w:val=""/>
      <w:lvlJc w:val="left"/>
      <w:pPr>
        <w:ind w:left="720" w:hanging="360"/>
      </w:pPr>
      <w:rPr>
        <w:rFonts w:ascii="Symbol" w:hAnsi="Symbol"/>
      </w:rPr>
    </w:lvl>
    <w:lvl w:ilvl="7" w:tplc="F96684D8">
      <w:start w:val="1"/>
      <w:numFmt w:val="bullet"/>
      <w:lvlText w:val=""/>
      <w:lvlJc w:val="left"/>
      <w:pPr>
        <w:ind w:left="720" w:hanging="360"/>
      </w:pPr>
      <w:rPr>
        <w:rFonts w:ascii="Symbol" w:hAnsi="Symbol"/>
      </w:rPr>
    </w:lvl>
    <w:lvl w:ilvl="8" w:tplc="EAEE2CC2">
      <w:start w:val="1"/>
      <w:numFmt w:val="bullet"/>
      <w:lvlText w:val=""/>
      <w:lvlJc w:val="left"/>
      <w:pPr>
        <w:ind w:left="720" w:hanging="360"/>
      </w:pPr>
      <w:rPr>
        <w:rFonts w:ascii="Symbol" w:hAnsi="Symbol"/>
      </w:rPr>
    </w:lvl>
  </w:abstractNum>
  <w:abstractNum w:abstractNumId="10" w15:restartNumberingAfterBreak="0">
    <w:nsid w:val="0C974102"/>
    <w:multiLevelType w:val="hybridMultilevel"/>
    <w:tmpl w:val="4536A9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CA42399"/>
    <w:multiLevelType w:val="hybridMultilevel"/>
    <w:tmpl w:val="C1A467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D632EF0"/>
    <w:multiLevelType w:val="hybridMultilevel"/>
    <w:tmpl w:val="2AC29C6A"/>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E127013"/>
    <w:multiLevelType w:val="hybridMultilevel"/>
    <w:tmpl w:val="35103066"/>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E2D754B"/>
    <w:multiLevelType w:val="multilevel"/>
    <w:tmpl w:val="FC5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F595A"/>
    <w:multiLevelType w:val="hybridMultilevel"/>
    <w:tmpl w:val="A37AE93A"/>
    <w:lvl w:ilvl="0" w:tplc="14090017">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FF26BB9"/>
    <w:multiLevelType w:val="hybridMultilevel"/>
    <w:tmpl w:val="D64A9014"/>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9040BE"/>
    <w:multiLevelType w:val="hybridMultilevel"/>
    <w:tmpl w:val="5428091A"/>
    <w:lvl w:ilvl="0" w:tplc="F162F6DE">
      <w:start w:val="1"/>
      <w:numFmt w:val="decimal"/>
      <w:lvlText w:val="%1."/>
      <w:lvlJc w:val="left"/>
      <w:pPr>
        <w:ind w:left="390" w:hanging="39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2A505A2"/>
    <w:multiLevelType w:val="hybridMultilevel"/>
    <w:tmpl w:val="8BC6A4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2DA62D1"/>
    <w:multiLevelType w:val="hybridMultilevel"/>
    <w:tmpl w:val="57EEE0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13CA6AEB"/>
    <w:multiLevelType w:val="hybridMultilevel"/>
    <w:tmpl w:val="2CDE99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13E329AD"/>
    <w:multiLevelType w:val="multilevel"/>
    <w:tmpl w:val="F5E0525C"/>
    <w:lvl w:ilvl="0">
      <w:start w:val="7"/>
      <w:numFmt w:val="decimal"/>
      <w:lvlText w:val="%1"/>
      <w:lvlJc w:val="left"/>
      <w:pPr>
        <w:ind w:left="360" w:hanging="360"/>
      </w:pPr>
      <w:rPr>
        <w:rFonts w:ascii="Segoe UI" w:hAnsi="Segoe UI" w:cs="Segoe UI" w:hint="default"/>
        <w:sz w:val="18"/>
      </w:rPr>
    </w:lvl>
    <w:lvl w:ilvl="1">
      <w:start w:val="1"/>
      <w:numFmt w:val="decimal"/>
      <w:lvlText w:val="%1.%2"/>
      <w:lvlJc w:val="left"/>
      <w:pPr>
        <w:ind w:left="1800" w:hanging="360"/>
      </w:pPr>
      <w:rPr>
        <w:rFonts w:ascii="Segoe UI" w:hAnsi="Segoe UI" w:cs="Segoe UI" w:hint="default"/>
        <w:sz w:val="18"/>
      </w:rPr>
    </w:lvl>
    <w:lvl w:ilvl="2">
      <w:start w:val="1"/>
      <w:numFmt w:val="decimal"/>
      <w:lvlText w:val="%1.%2.%3"/>
      <w:lvlJc w:val="left"/>
      <w:pPr>
        <w:ind w:left="3600" w:hanging="720"/>
      </w:pPr>
      <w:rPr>
        <w:rFonts w:ascii="Segoe UI" w:hAnsi="Segoe UI" w:cs="Segoe UI" w:hint="default"/>
        <w:sz w:val="18"/>
      </w:rPr>
    </w:lvl>
    <w:lvl w:ilvl="3">
      <w:start w:val="1"/>
      <w:numFmt w:val="decimal"/>
      <w:lvlText w:val="%1.%2.%3.%4"/>
      <w:lvlJc w:val="left"/>
      <w:pPr>
        <w:ind w:left="5040" w:hanging="720"/>
      </w:pPr>
      <w:rPr>
        <w:rFonts w:ascii="Segoe UI" w:hAnsi="Segoe UI" w:cs="Segoe UI" w:hint="default"/>
        <w:sz w:val="18"/>
      </w:rPr>
    </w:lvl>
    <w:lvl w:ilvl="4">
      <w:start w:val="1"/>
      <w:numFmt w:val="decimal"/>
      <w:lvlText w:val="%1.%2.%3.%4.%5"/>
      <w:lvlJc w:val="left"/>
      <w:pPr>
        <w:ind w:left="6840" w:hanging="1080"/>
      </w:pPr>
      <w:rPr>
        <w:rFonts w:ascii="Segoe UI" w:hAnsi="Segoe UI" w:cs="Segoe UI" w:hint="default"/>
        <w:sz w:val="18"/>
      </w:rPr>
    </w:lvl>
    <w:lvl w:ilvl="5">
      <w:start w:val="1"/>
      <w:numFmt w:val="decimal"/>
      <w:lvlText w:val="%1.%2.%3.%4.%5.%6"/>
      <w:lvlJc w:val="left"/>
      <w:pPr>
        <w:ind w:left="8280" w:hanging="1080"/>
      </w:pPr>
      <w:rPr>
        <w:rFonts w:ascii="Segoe UI" w:hAnsi="Segoe UI" w:cs="Segoe UI" w:hint="default"/>
        <w:sz w:val="18"/>
      </w:rPr>
    </w:lvl>
    <w:lvl w:ilvl="6">
      <w:start w:val="1"/>
      <w:numFmt w:val="decimal"/>
      <w:lvlText w:val="%1.%2.%3.%4.%5.%6.%7"/>
      <w:lvlJc w:val="left"/>
      <w:pPr>
        <w:ind w:left="10080" w:hanging="1440"/>
      </w:pPr>
      <w:rPr>
        <w:rFonts w:ascii="Segoe UI" w:hAnsi="Segoe UI" w:cs="Segoe UI" w:hint="default"/>
        <w:sz w:val="18"/>
      </w:rPr>
    </w:lvl>
    <w:lvl w:ilvl="7">
      <w:start w:val="1"/>
      <w:numFmt w:val="decimal"/>
      <w:lvlText w:val="%1.%2.%3.%4.%5.%6.%7.%8"/>
      <w:lvlJc w:val="left"/>
      <w:pPr>
        <w:ind w:left="11520" w:hanging="1440"/>
      </w:pPr>
      <w:rPr>
        <w:rFonts w:ascii="Segoe UI" w:hAnsi="Segoe UI" w:cs="Segoe UI" w:hint="default"/>
        <w:sz w:val="18"/>
      </w:rPr>
    </w:lvl>
    <w:lvl w:ilvl="8">
      <w:start w:val="1"/>
      <w:numFmt w:val="decimal"/>
      <w:lvlText w:val="%1.%2.%3.%4.%5.%6.%7.%8.%9"/>
      <w:lvlJc w:val="left"/>
      <w:pPr>
        <w:ind w:left="13320" w:hanging="1800"/>
      </w:pPr>
      <w:rPr>
        <w:rFonts w:ascii="Segoe UI" w:hAnsi="Segoe UI" w:cs="Segoe UI" w:hint="default"/>
        <w:sz w:val="18"/>
      </w:rPr>
    </w:lvl>
  </w:abstractNum>
  <w:abstractNum w:abstractNumId="22" w15:restartNumberingAfterBreak="0">
    <w:nsid w:val="15552028"/>
    <w:multiLevelType w:val="hybridMultilevel"/>
    <w:tmpl w:val="66E26E4A"/>
    <w:lvl w:ilvl="0" w:tplc="14090013">
      <w:start w:val="1"/>
      <w:numFmt w:val="upperRoman"/>
      <w:lvlText w:val="%1."/>
      <w:lvlJc w:val="right"/>
      <w:pPr>
        <w:ind w:left="1440" w:hanging="360"/>
      </w:p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15B94A5B"/>
    <w:multiLevelType w:val="hybridMultilevel"/>
    <w:tmpl w:val="2CF06A84"/>
    <w:lvl w:ilvl="0" w:tplc="E9B6964A">
      <w:start w:val="1"/>
      <w:numFmt w:val="bullet"/>
      <w:lvlText w:val=""/>
      <w:lvlJc w:val="left"/>
      <w:pPr>
        <w:ind w:left="360" w:hanging="360"/>
      </w:pPr>
      <w:rPr>
        <w:rFonts w:ascii="Symbol" w:hAnsi="Symbol" w:hint="default"/>
      </w:rPr>
    </w:lvl>
    <w:lvl w:ilvl="1" w:tplc="33FA60E4">
      <w:start w:val="1"/>
      <w:numFmt w:val="bullet"/>
      <w:lvlText w:val="o"/>
      <w:lvlJc w:val="left"/>
      <w:pPr>
        <w:ind w:left="1440" w:hanging="360"/>
      </w:pPr>
      <w:rPr>
        <w:rFonts w:ascii="Courier New" w:hAnsi="Courier New" w:hint="default"/>
      </w:rPr>
    </w:lvl>
    <w:lvl w:ilvl="2" w:tplc="637632CE">
      <w:start w:val="1"/>
      <w:numFmt w:val="bullet"/>
      <w:lvlText w:val=""/>
      <w:lvlJc w:val="left"/>
      <w:pPr>
        <w:ind w:left="2160" w:hanging="360"/>
      </w:pPr>
      <w:rPr>
        <w:rFonts w:ascii="Wingdings" w:hAnsi="Wingdings" w:hint="default"/>
      </w:rPr>
    </w:lvl>
    <w:lvl w:ilvl="3" w:tplc="8C6CA596">
      <w:start w:val="1"/>
      <w:numFmt w:val="bullet"/>
      <w:lvlText w:val=""/>
      <w:lvlJc w:val="left"/>
      <w:pPr>
        <w:ind w:left="2880" w:hanging="360"/>
      </w:pPr>
      <w:rPr>
        <w:rFonts w:ascii="Symbol" w:hAnsi="Symbol" w:hint="default"/>
      </w:rPr>
    </w:lvl>
    <w:lvl w:ilvl="4" w:tplc="E966A2C8">
      <w:start w:val="1"/>
      <w:numFmt w:val="bullet"/>
      <w:lvlText w:val="o"/>
      <w:lvlJc w:val="left"/>
      <w:pPr>
        <w:ind w:left="3600" w:hanging="360"/>
      </w:pPr>
      <w:rPr>
        <w:rFonts w:ascii="Courier New" w:hAnsi="Courier New" w:hint="default"/>
      </w:rPr>
    </w:lvl>
    <w:lvl w:ilvl="5" w:tplc="4D24BBDE">
      <w:start w:val="1"/>
      <w:numFmt w:val="bullet"/>
      <w:lvlText w:val=""/>
      <w:lvlJc w:val="left"/>
      <w:pPr>
        <w:ind w:left="4320" w:hanging="360"/>
      </w:pPr>
      <w:rPr>
        <w:rFonts w:ascii="Wingdings" w:hAnsi="Wingdings" w:hint="default"/>
      </w:rPr>
    </w:lvl>
    <w:lvl w:ilvl="6" w:tplc="E3302768">
      <w:start w:val="1"/>
      <w:numFmt w:val="bullet"/>
      <w:lvlText w:val=""/>
      <w:lvlJc w:val="left"/>
      <w:pPr>
        <w:ind w:left="5040" w:hanging="360"/>
      </w:pPr>
      <w:rPr>
        <w:rFonts w:ascii="Symbol" w:hAnsi="Symbol" w:hint="default"/>
      </w:rPr>
    </w:lvl>
    <w:lvl w:ilvl="7" w:tplc="11ECE8D2">
      <w:start w:val="1"/>
      <w:numFmt w:val="bullet"/>
      <w:lvlText w:val="o"/>
      <w:lvlJc w:val="left"/>
      <w:pPr>
        <w:ind w:left="5760" w:hanging="360"/>
      </w:pPr>
      <w:rPr>
        <w:rFonts w:ascii="Courier New" w:hAnsi="Courier New" w:hint="default"/>
      </w:rPr>
    </w:lvl>
    <w:lvl w:ilvl="8" w:tplc="4672F656">
      <w:start w:val="1"/>
      <w:numFmt w:val="bullet"/>
      <w:lvlText w:val=""/>
      <w:lvlJc w:val="left"/>
      <w:pPr>
        <w:ind w:left="6480" w:hanging="360"/>
      </w:pPr>
      <w:rPr>
        <w:rFonts w:ascii="Wingdings" w:hAnsi="Wingdings" w:hint="default"/>
      </w:rPr>
    </w:lvl>
  </w:abstractNum>
  <w:abstractNum w:abstractNumId="24" w15:restartNumberingAfterBreak="0">
    <w:nsid w:val="16241177"/>
    <w:multiLevelType w:val="hybridMultilevel"/>
    <w:tmpl w:val="61BE2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1635262C"/>
    <w:multiLevelType w:val="multilevel"/>
    <w:tmpl w:val="AA309FE2"/>
    <w:lvl w:ilvl="0">
      <w:start w:val="6"/>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63A63E2"/>
    <w:multiLevelType w:val="hybridMultilevel"/>
    <w:tmpl w:val="603EB0D8"/>
    <w:lvl w:ilvl="0" w:tplc="C0B474FC">
      <w:start w:val="1"/>
      <w:numFmt w:val="bullet"/>
      <w:lvlText w:val=""/>
      <w:lvlJc w:val="left"/>
      <w:pPr>
        <w:ind w:left="720" w:hanging="360"/>
      </w:pPr>
      <w:rPr>
        <w:rFonts w:ascii="Symbol" w:hAnsi="Symbol"/>
      </w:rPr>
    </w:lvl>
    <w:lvl w:ilvl="1" w:tplc="7D745798">
      <w:start w:val="1"/>
      <w:numFmt w:val="bullet"/>
      <w:lvlText w:val=""/>
      <w:lvlJc w:val="left"/>
      <w:pPr>
        <w:ind w:left="720" w:hanging="360"/>
      </w:pPr>
      <w:rPr>
        <w:rFonts w:ascii="Symbol" w:hAnsi="Symbol"/>
      </w:rPr>
    </w:lvl>
    <w:lvl w:ilvl="2" w:tplc="F1AABD7C">
      <w:start w:val="1"/>
      <w:numFmt w:val="bullet"/>
      <w:lvlText w:val=""/>
      <w:lvlJc w:val="left"/>
      <w:pPr>
        <w:ind w:left="720" w:hanging="360"/>
      </w:pPr>
      <w:rPr>
        <w:rFonts w:ascii="Symbol" w:hAnsi="Symbol"/>
      </w:rPr>
    </w:lvl>
    <w:lvl w:ilvl="3" w:tplc="DC9E53EC">
      <w:start w:val="1"/>
      <w:numFmt w:val="bullet"/>
      <w:lvlText w:val=""/>
      <w:lvlJc w:val="left"/>
      <w:pPr>
        <w:ind w:left="720" w:hanging="360"/>
      </w:pPr>
      <w:rPr>
        <w:rFonts w:ascii="Symbol" w:hAnsi="Symbol"/>
      </w:rPr>
    </w:lvl>
    <w:lvl w:ilvl="4" w:tplc="D7906970">
      <w:start w:val="1"/>
      <w:numFmt w:val="bullet"/>
      <w:lvlText w:val=""/>
      <w:lvlJc w:val="left"/>
      <w:pPr>
        <w:ind w:left="720" w:hanging="360"/>
      </w:pPr>
      <w:rPr>
        <w:rFonts w:ascii="Symbol" w:hAnsi="Symbol"/>
      </w:rPr>
    </w:lvl>
    <w:lvl w:ilvl="5" w:tplc="56463EDA">
      <w:start w:val="1"/>
      <w:numFmt w:val="bullet"/>
      <w:lvlText w:val=""/>
      <w:lvlJc w:val="left"/>
      <w:pPr>
        <w:ind w:left="720" w:hanging="360"/>
      </w:pPr>
      <w:rPr>
        <w:rFonts w:ascii="Symbol" w:hAnsi="Symbol"/>
      </w:rPr>
    </w:lvl>
    <w:lvl w:ilvl="6" w:tplc="8D0465A8">
      <w:start w:val="1"/>
      <w:numFmt w:val="bullet"/>
      <w:lvlText w:val=""/>
      <w:lvlJc w:val="left"/>
      <w:pPr>
        <w:ind w:left="720" w:hanging="360"/>
      </w:pPr>
      <w:rPr>
        <w:rFonts w:ascii="Symbol" w:hAnsi="Symbol"/>
      </w:rPr>
    </w:lvl>
    <w:lvl w:ilvl="7" w:tplc="6D5AAF1C">
      <w:start w:val="1"/>
      <w:numFmt w:val="bullet"/>
      <w:lvlText w:val=""/>
      <w:lvlJc w:val="left"/>
      <w:pPr>
        <w:ind w:left="720" w:hanging="360"/>
      </w:pPr>
      <w:rPr>
        <w:rFonts w:ascii="Symbol" w:hAnsi="Symbol"/>
      </w:rPr>
    </w:lvl>
    <w:lvl w:ilvl="8" w:tplc="48EC1330">
      <w:start w:val="1"/>
      <w:numFmt w:val="bullet"/>
      <w:lvlText w:val=""/>
      <w:lvlJc w:val="left"/>
      <w:pPr>
        <w:ind w:left="720" w:hanging="360"/>
      </w:pPr>
      <w:rPr>
        <w:rFonts w:ascii="Symbol" w:hAnsi="Symbol"/>
      </w:rPr>
    </w:lvl>
  </w:abstractNum>
  <w:abstractNum w:abstractNumId="27" w15:restartNumberingAfterBreak="0">
    <w:nsid w:val="16590102"/>
    <w:multiLevelType w:val="hybridMultilevel"/>
    <w:tmpl w:val="CDBE9C32"/>
    <w:lvl w:ilvl="0" w:tplc="9AECDA44">
      <w:start w:val="1"/>
      <w:numFmt w:val="bullet"/>
      <w:lvlText w:val=""/>
      <w:lvlJc w:val="left"/>
      <w:pPr>
        <w:ind w:left="720" w:hanging="360"/>
      </w:pPr>
      <w:rPr>
        <w:rFonts w:ascii="Symbol" w:hAnsi="Symbol"/>
      </w:rPr>
    </w:lvl>
    <w:lvl w:ilvl="1" w:tplc="2418148A">
      <w:start w:val="1"/>
      <w:numFmt w:val="bullet"/>
      <w:lvlText w:val=""/>
      <w:lvlJc w:val="left"/>
      <w:pPr>
        <w:ind w:left="720" w:hanging="360"/>
      </w:pPr>
      <w:rPr>
        <w:rFonts w:ascii="Symbol" w:hAnsi="Symbol"/>
      </w:rPr>
    </w:lvl>
    <w:lvl w:ilvl="2" w:tplc="430C6E98">
      <w:start w:val="1"/>
      <w:numFmt w:val="bullet"/>
      <w:lvlText w:val=""/>
      <w:lvlJc w:val="left"/>
      <w:pPr>
        <w:ind w:left="720" w:hanging="360"/>
      </w:pPr>
      <w:rPr>
        <w:rFonts w:ascii="Symbol" w:hAnsi="Symbol"/>
      </w:rPr>
    </w:lvl>
    <w:lvl w:ilvl="3" w:tplc="24EAA270">
      <w:start w:val="1"/>
      <w:numFmt w:val="bullet"/>
      <w:lvlText w:val=""/>
      <w:lvlJc w:val="left"/>
      <w:pPr>
        <w:ind w:left="720" w:hanging="360"/>
      </w:pPr>
      <w:rPr>
        <w:rFonts w:ascii="Symbol" w:hAnsi="Symbol"/>
      </w:rPr>
    </w:lvl>
    <w:lvl w:ilvl="4" w:tplc="39D403F0">
      <w:start w:val="1"/>
      <w:numFmt w:val="bullet"/>
      <w:lvlText w:val=""/>
      <w:lvlJc w:val="left"/>
      <w:pPr>
        <w:ind w:left="720" w:hanging="360"/>
      </w:pPr>
      <w:rPr>
        <w:rFonts w:ascii="Symbol" w:hAnsi="Symbol"/>
      </w:rPr>
    </w:lvl>
    <w:lvl w:ilvl="5" w:tplc="7EEEE6FE">
      <w:start w:val="1"/>
      <w:numFmt w:val="bullet"/>
      <w:lvlText w:val=""/>
      <w:lvlJc w:val="left"/>
      <w:pPr>
        <w:ind w:left="720" w:hanging="360"/>
      </w:pPr>
      <w:rPr>
        <w:rFonts w:ascii="Symbol" w:hAnsi="Symbol"/>
      </w:rPr>
    </w:lvl>
    <w:lvl w:ilvl="6" w:tplc="31C83A84">
      <w:start w:val="1"/>
      <w:numFmt w:val="bullet"/>
      <w:lvlText w:val=""/>
      <w:lvlJc w:val="left"/>
      <w:pPr>
        <w:ind w:left="720" w:hanging="360"/>
      </w:pPr>
      <w:rPr>
        <w:rFonts w:ascii="Symbol" w:hAnsi="Symbol"/>
      </w:rPr>
    </w:lvl>
    <w:lvl w:ilvl="7" w:tplc="590821CC">
      <w:start w:val="1"/>
      <w:numFmt w:val="bullet"/>
      <w:lvlText w:val=""/>
      <w:lvlJc w:val="left"/>
      <w:pPr>
        <w:ind w:left="720" w:hanging="360"/>
      </w:pPr>
      <w:rPr>
        <w:rFonts w:ascii="Symbol" w:hAnsi="Symbol"/>
      </w:rPr>
    </w:lvl>
    <w:lvl w:ilvl="8" w:tplc="FC804F06">
      <w:start w:val="1"/>
      <w:numFmt w:val="bullet"/>
      <w:lvlText w:val=""/>
      <w:lvlJc w:val="left"/>
      <w:pPr>
        <w:ind w:left="720" w:hanging="360"/>
      </w:pPr>
      <w:rPr>
        <w:rFonts w:ascii="Symbol" w:hAnsi="Symbol"/>
      </w:rPr>
    </w:lvl>
  </w:abstractNum>
  <w:abstractNum w:abstractNumId="28" w15:restartNumberingAfterBreak="0">
    <w:nsid w:val="16F97466"/>
    <w:multiLevelType w:val="hybridMultilevel"/>
    <w:tmpl w:val="712ADDC4"/>
    <w:lvl w:ilvl="0" w:tplc="14090017">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82503C7"/>
    <w:multiLevelType w:val="hybridMultilevel"/>
    <w:tmpl w:val="3AA2D13A"/>
    <w:lvl w:ilvl="0" w:tplc="44169438">
      <w:start w:val="1"/>
      <w:numFmt w:val="bullet"/>
      <w:lvlText w:val=""/>
      <w:lvlJc w:val="left"/>
      <w:pPr>
        <w:ind w:left="720" w:hanging="360"/>
      </w:pPr>
      <w:rPr>
        <w:rFonts w:ascii="Symbol" w:hAnsi="Symbol"/>
      </w:rPr>
    </w:lvl>
    <w:lvl w:ilvl="1" w:tplc="AA32F252">
      <w:start w:val="1"/>
      <w:numFmt w:val="bullet"/>
      <w:lvlText w:val=""/>
      <w:lvlJc w:val="left"/>
      <w:pPr>
        <w:ind w:left="720" w:hanging="360"/>
      </w:pPr>
      <w:rPr>
        <w:rFonts w:ascii="Symbol" w:hAnsi="Symbol"/>
      </w:rPr>
    </w:lvl>
    <w:lvl w:ilvl="2" w:tplc="EC08B35A">
      <w:start w:val="1"/>
      <w:numFmt w:val="bullet"/>
      <w:lvlText w:val=""/>
      <w:lvlJc w:val="left"/>
      <w:pPr>
        <w:ind w:left="720" w:hanging="360"/>
      </w:pPr>
      <w:rPr>
        <w:rFonts w:ascii="Symbol" w:hAnsi="Symbol"/>
      </w:rPr>
    </w:lvl>
    <w:lvl w:ilvl="3" w:tplc="38D00FAC">
      <w:start w:val="1"/>
      <w:numFmt w:val="bullet"/>
      <w:lvlText w:val=""/>
      <w:lvlJc w:val="left"/>
      <w:pPr>
        <w:ind w:left="720" w:hanging="360"/>
      </w:pPr>
      <w:rPr>
        <w:rFonts w:ascii="Symbol" w:hAnsi="Symbol"/>
      </w:rPr>
    </w:lvl>
    <w:lvl w:ilvl="4" w:tplc="B82AD5D6">
      <w:start w:val="1"/>
      <w:numFmt w:val="bullet"/>
      <w:lvlText w:val=""/>
      <w:lvlJc w:val="left"/>
      <w:pPr>
        <w:ind w:left="720" w:hanging="360"/>
      </w:pPr>
      <w:rPr>
        <w:rFonts w:ascii="Symbol" w:hAnsi="Symbol"/>
      </w:rPr>
    </w:lvl>
    <w:lvl w:ilvl="5" w:tplc="20FE0CDC">
      <w:start w:val="1"/>
      <w:numFmt w:val="bullet"/>
      <w:lvlText w:val=""/>
      <w:lvlJc w:val="left"/>
      <w:pPr>
        <w:ind w:left="720" w:hanging="360"/>
      </w:pPr>
      <w:rPr>
        <w:rFonts w:ascii="Symbol" w:hAnsi="Symbol"/>
      </w:rPr>
    </w:lvl>
    <w:lvl w:ilvl="6" w:tplc="BD10C83A">
      <w:start w:val="1"/>
      <w:numFmt w:val="bullet"/>
      <w:lvlText w:val=""/>
      <w:lvlJc w:val="left"/>
      <w:pPr>
        <w:ind w:left="720" w:hanging="360"/>
      </w:pPr>
      <w:rPr>
        <w:rFonts w:ascii="Symbol" w:hAnsi="Symbol"/>
      </w:rPr>
    </w:lvl>
    <w:lvl w:ilvl="7" w:tplc="D0E0991A">
      <w:start w:val="1"/>
      <w:numFmt w:val="bullet"/>
      <w:lvlText w:val=""/>
      <w:lvlJc w:val="left"/>
      <w:pPr>
        <w:ind w:left="720" w:hanging="360"/>
      </w:pPr>
      <w:rPr>
        <w:rFonts w:ascii="Symbol" w:hAnsi="Symbol"/>
      </w:rPr>
    </w:lvl>
    <w:lvl w:ilvl="8" w:tplc="1B40DDB2">
      <w:start w:val="1"/>
      <w:numFmt w:val="bullet"/>
      <w:lvlText w:val=""/>
      <w:lvlJc w:val="left"/>
      <w:pPr>
        <w:ind w:left="720" w:hanging="360"/>
      </w:pPr>
      <w:rPr>
        <w:rFonts w:ascii="Symbol" w:hAnsi="Symbol"/>
      </w:rPr>
    </w:lvl>
  </w:abstractNum>
  <w:abstractNum w:abstractNumId="30" w15:restartNumberingAfterBreak="0">
    <w:nsid w:val="18D844C7"/>
    <w:multiLevelType w:val="hybridMultilevel"/>
    <w:tmpl w:val="5E3EF756"/>
    <w:lvl w:ilvl="0" w:tplc="14090017">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1A444D03"/>
    <w:multiLevelType w:val="hybridMultilevel"/>
    <w:tmpl w:val="812861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1B541811"/>
    <w:multiLevelType w:val="hybridMultilevel"/>
    <w:tmpl w:val="81D68EE8"/>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1E3A5F9A"/>
    <w:multiLevelType w:val="hybridMultilevel"/>
    <w:tmpl w:val="BE9E3148"/>
    <w:lvl w:ilvl="0" w:tplc="0324F1E8">
      <w:start w:val="1"/>
      <w:numFmt w:val="bullet"/>
      <w:lvlText w:val=""/>
      <w:lvlJc w:val="left"/>
      <w:pPr>
        <w:ind w:left="720" w:hanging="360"/>
      </w:pPr>
      <w:rPr>
        <w:rFonts w:ascii="Symbol" w:hAnsi="Symbol"/>
      </w:rPr>
    </w:lvl>
    <w:lvl w:ilvl="1" w:tplc="D34A6DB0">
      <w:start w:val="1"/>
      <w:numFmt w:val="bullet"/>
      <w:lvlText w:val=""/>
      <w:lvlJc w:val="left"/>
      <w:pPr>
        <w:ind w:left="720" w:hanging="360"/>
      </w:pPr>
      <w:rPr>
        <w:rFonts w:ascii="Symbol" w:hAnsi="Symbol"/>
      </w:rPr>
    </w:lvl>
    <w:lvl w:ilvl="2" w:tplc="74148016">
      <w:start w:val="1"/>
      <w:numFmt w:val="bullet"/>
      <w:lvlText w:val=""/>
      <w:lvlJc w:val="left"/>
      <w:pPr>
        <w:ind w:left="720" w:hanging="360"/>
      </w:pPr>
      <w:rPr>
        <w:rFonts w:ascii="Symbol" w:hAnsi="Symbol"/>
      </w:rPr>
    </w:lvl>
    <w:lvl w:ilvl="3" w:tplc="3B56D84C">
      <w:start w:val="1"/>
      <w:numFmt w:val="bullet"/>
      <w:lvlText w:val=""/>
      <w:lvlJc w:val="left"/>
      <w:pPr>
        <w:ind w:left="720" w:hanging="360"/>
      </w:pPr>
      <w:rPr>
        <w:rFonts w:ascii="Symbol" w:hAnsi="Symbol"/>
      </w:rPr>
    </w:lvl>
    <w:lvl w:ilvl="4" w:tplc="9D72AB74">
      <w:start w:val="1"/>
      <w:numFmt w:val="bullet"/>
      <w:lvlText w:val=""/>
      <w:lvlJc w:val="left"/>
      <w:pPr>
        <w:ind w:left="720" w:hanging="360"/>
      </w:pPr>
      <w:rPr>
        <w:rFonts w:ascii="Symbol" w:hAnsi="Symbol"/>
      </w:rPr>
    </w:lvl>
    <w:lvl w:ilvl="5" w:tplc="3452AAB6">
      <w:start w:val="1"/>
      <w:numFmt w:val="bullet"/>
      <w:lvlText w:val=""/>
      <w:lvlJc w:val="left"/>
      <w:pPr>
        <w:ind w:left="720" w:hanging="360"/>
      </w:pPr>
      <w:rPr>
        <w:rFonts w:ascii="Symbol" w:hAnsi="Symbol"/>
      </w:rPr>
    </w:lvl>
    <w:lvl w:ilvl="6" w:tplc="AE321FAE">
      <w:start w:val="1"/>
      <w:numFmt w:val="bullet"/>
      <w:lvlText w:val=""/>
      <w:lvlJc w:val="left"/>
      <w:pPr>
        <w:ind w:left="720" w:hanging="360"/>
      </w:pPr>
      <w:rPr>
        <w:rFonts w:ascii="Symbol" w:hAnsi="Symbol"/>
      </w:rPr>
    </w:lvl>
    <w:lvl w:ilvl="7" w:tplc="E056F384">
      <w:start w:val="1"/>
      <w:numFmt w:val="bullet"/>
      <w:lvlText w:val=""/>
      <w:lvlJc w:val="left"/>
      <w:pPr>
        <w:ind w:left="720" w:hanging="360"/>
      </w:pPr>
      <w:rPr>
        <w:rFonts w:ascii="Symbol" w:hAnsi="Symbol"/>
      </w:rPr>
    </w:lvl>
    <w:lvl w:ilvl="8" w:tplc="D79054D8">
      <w:start w:val="1"/>
      <w:numFmt w:val="bullet"/>
      <w:lvlText w:val=""/>
      <w:lvlJc w:val="left"/>
      <w:pPr>
        <w:ind w:left="720" w:hanging="360"/>
      </w:pPr>
      <w:rPr>
        <w:rFonts w:ascii="Symbol" w:hAnsi="Symbol"/>
      </w:rPr>
    </w:lvl>
  </w:abstractNum>
  <w:abstractNum w:abstractNumId="34" w15:restartNumberingAfterBreak="0">
    <w:nsid w:val="1F3F6A21"/>
    <w:multiLevelType w:val="hybridMultilevel"/>
    <w:tmpl w:val="6918597A"/>
    <w:lvl w:ilvl="0" w:tplc="1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FD15F14"/>
    <w:multiLevelType w:val="hybridMultilevel"/>
    <w:tmpl w:val="9566FCBE"/>
    <w:lvl w:ilvl="0" w:tplc="AC96AC50">
      <w:start w:val="1"/>
      <w:numFmt w:val="bullet"/>
      <w:lvlText w:val=""/>
      <w:lvlJc w:val="left"/>
      <w:pPr>
        <w:ind w:left="1440" w:hanging="360"/>
      </w:pPr>
      <w:rPr>
        <w:rFonts w:ascii="Symbol" w:hAnsi="Symbol"/>
      </w:rPr>
    </w:lvl>
    <w:lvl w:ilvl="1" w:tplc="2AAE9F7A">
      <w:start w:val="1"/>
      <w:numFmt w:val="bullet"/>
      <w:lvlText w:val=""/>
      <w:lvlJc w:val="left"/>
      <w:pPr>
        <w:ind w:left="1440" w:hanging="360"/>
      </w:pPr>
      <w:rPr>
        <w:rFonts w:ascii="Symbol" w:hAnsi="Symbol"/>
      </w:rPr>
    </w:lvl>
    <w:lvl w:ilvl="2" w:tplc="7EA88488">
      <w:start w:val="1"/>
      <w:numFmt w:val="bullet"/>
      <w:lvlText w:val=""/>
      <w:lvlJc w:val="left"/>
      <w:pPr>
        <w:ind w:left="1440" w:hanging="360"/>
      </w:pPr>
      <w:rPr>
        <w:rFonts w:ascii="Symbol" w:hAnsi="Symbol"/>
      </w:rPr>
    </w:lvl>
    <w:lvl w:ilvl="3" w:tplc="B808C2CE">
      <w:start w:val="1"/>
      <w:numFmt w:val="bullet"/>
      <w:lvlText w:val=""/>
      <w:lvlJc w:val="left"/>
      <w:pPr>
        <w:ind w:left="1440" w:hanging="360"/>
      </w:pPr>
      <w:rPr>
        <w:rFonts w:ascii="Symbol" w:hAnsi="Symbol"/>
      </w:rPr>
    </w:lvl>
    <w:lvl w:ilvl="4" w:tplc="F814D854">
      <w:start w:val="1"/>
      <w:numFmt w:val="bullet"/>
      <w:lvlText w:val=""/>
      <w:lvlJc w:val="left"/>
      <w:pPr>
        <w:ind w:left="1440" w:hanging="360"/>
      </w:pPr>
      <w:rPr>
        <w:rFonts w:ascii="Symbol" w:hAnsi="Symbol"/>
      </w:rPr>
    </w:lvl>
    <w:lvl w:ilvl="5" w:tplc="8AF42272">
      <w:start w:val="1"/>
      <w:numFmt w:val="bullet"/>
      <w:lvlText w:val=""/>
      <w:lvlJc w:val="left"/>
      <w:pPr>
        <w:ind w:left="1440" w:hanging="360"/>
      </w:pPr>
      <w:rPr>
        <w:rFonts w:ascii="Symbol" w:hAnsi="Symbol"/>
      </w:rPr>
    </w:lvl>
    <w:lvl w:ilvl="6" w:tplc="D99E1794">
      <w:start w:val="1"/>
      <w:numFmt w:val="bullet"/>
      <w:lvlText w:val=""/>
      <w:lvlJc w:val="left"/>
      <w:pPr>
        <w:ind w:left="1440" w:hanging="360"/>
      </w:pPr>
      <w:rPr>
        <w:rFonts w:ascii="Symbol" w:hAnsi="Symbol"/>
      </w:rPr>
    </w:lvl>
    <w:lvl w:ilvl="7" w:tplc="E0548C4E">
      <w:start w:val="1"/>
      <w:numFmt w:val="bullet"/>
      <w:lvlText w:val=""/>
      <w:lvlJc w:val="left"/>
      <w:pPr>
        <w:ind w:left="1440" w:hanging="360"/>
      </w:pPr>
      <w:rPr>
        <w:rFonts w:ascii="Symbol" w:hAnsi="Symbol"/>
      </w:rPr>
    </w:lvl>
    <w:lvl w:ilvl="8" w:tplc="240C2D96">
      <w:start w:val="1"/>
      <w:numFmt w:val="bullet"/>
      <w:lvlText w:val=""/>
      <w:lvlJc w:val="left"/>
      <w:pPr>
        <w:ind w:left="1440" w:hanging="360"/>
      </w:pPr>
      <w:rPr>
        <w:rFonts w:ascii="Symbol" w:hAnsi="Symbol"/>
      </w:rPr>
    </w:lvl>
  </w:abstractNum>
  <w:abstractNum w:abstractNumId="36" w15:restartNumberingAfterBreak="0">
    <w:nsid w:val="20981D03"/>
    <w:multiLevelType w:val="hybridMultilevel"/>
    <w:tmpl w:val="3BDCD6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217F449A"/>
    <w:multiLevelType w:val="hybridMultilevel"/>
    <w:tmpl w:val="0A94201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220E2520"/>
    <w:multiLevelType w:val="hybridMultilevel"/>
    <w:tmpl w:val="D70A2380"/>
    <w:lvl w:ilvl="0" w:tplc="14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231D4997"/>
    <w:multiLevelType w:val="hybridMultilevel"/>
    <w:tmpl w:val="BB5435E8"/>
    <w:lvl w:ilvl="0" w:tplc="9828A7CA">
      <w:start w:val="1"/>
      <w:numFmt w:val="decimal"/>
      <w:lvlText w:val="%1."/>
      <w:lvlJc w:val="left"/>
      <w:pPr>
        <w:ind w:left="720" w:hanging="360"/>
      </w:pPr>
    </w:lvl>
    <w:lvl w:ilvl="1" w:tplc="70560032">
      <w:start w:val="1"/>
      <w:numFmt w:val="decimal"/>
      <w:lvlText w:val="%2."/>
      <w:lvlJc w:val="left"/>
      <w:pPr>
        <w:ind w:left="720" w:hanging="360"/>
      </w:pPr>
    </w:lvl>
    <w:lvl w:ilvl="2" w:tplc="C152DE8E">
      <w:start w:val="1"/>
      <w:numFmt w:val="decimal"/>
      <w:lvlText w:val="%3."/>
      <w:lvlJc w:val="left"/>
      <w:pPr>
        <w:ind w:left="720" w:hanging="360"/>
      </w:pPr>
    </w:lvl>
    <w:lvl w:ilvl="3" w:tplc="8CFAC6D2">
      <w:start w:val="1"/>
      <w:numFmt w:val="decimal"/>
      <w:lvlText w:val="%4."/>
      <w:lvlJc w:val="left"/>
      <w:pPr>
        <w:ind w:left="720" w:hanging="360"/>
      </w:pPr>
    </w:lvl>
    <w:lvl w:ilvl="4" w:tplc="047442C8">
      <w:start w:val="1"/>
      <w:numFmt w:val="decimal"/>
      <w:lvlText w:val="%5."/>
      <w:lvlJc w:val="left"/>
      <w:pPr>
        <w:ind w:left="720" w:hanging="360"/>
      </w:pPr>
    </w:lvl>
    <w:lvl w:ilvl="5" w:tplc="88E68AC8">
      <w:start w:val="1"/>
      <w:numFmt w:val="decimal"/>
      <w:lvlText w:val="%6."/>
      <w:lvlJc w:val="left"/>
      <w:pPr>
        <w:ind w:left="720" w:hanging="360"/>
      </w:pPr>
    </w:lvl>
    <w:lvl w:ilvl="6" w:tplc="918C107C">
      <w:start w:val="1"/>
      <w:numFmt w:val="decimal"/>
      <w:lvlText w:val="%7."/>
      <w:lvlJc w:val="left"/>
      <w:pPr>
        <w:ind w:left="720" w:hanging="360"/>
      </w:pPr>
    </w:lvl>
    <w:lvl w:ilvl="7" w:tplc="C51E952A">
      <w:start w:val="1"/>
      <w:numFmt w:val="decimal"/>
      <w:lvlText w:val="%8."/>
      <w:lvlJc w:val="left"/>
      <w:pPr>
        <w:ind w:left="720" w:hanging="360"/>
      </w:pPr>
    </w:lvl>
    <w:lvl w:ilvl="8" w:tplc="04F23B76">
      <w:start w:val="1"/>
      <w:numFmt w:val="decimal"/>
      <w:lvlText w:val="%9."/>
      <w:lvlJc w:val="left"/>
      <w:pPr>
        <w:ind w:left="720" w:hanging="360"/>
      </w:pPr>
    </w:lvl>
  </w:abstractNum>
  <w:abstractNum w:abstractNumId="40" w15:restartNumberingAfterBreak="0">
    <w:nsid w:val="23DC5646"/>
    <w:multiLevelType w:val="hybridMultilevel"/>
    <w:tmpl w:val="0E32183A"/>
    <w:lvl w:ilvl="0" w:tplc="9E42D30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263745A2"/>
    <w:multiLevelType w:val="hybridMultilevel"/>
    <w:tmpl w:val="BF66386A"/>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26DF7980"/>
    <w:multiLevelType w:val="hybridMultilevel"/>
    <w:tmpl w:val="B208715A"/>
    <w:lvl w:ilvl="0" w:tplc="A5EA8DE4">
      <w:start w:val="1"/>
      <w:numFmt w:val="lowerLetter"/>
      <w:lvlText w:val="%1)"/>
      <w:lvlJc w:val="left"/>
      <w:pPr>
        <w:ind w:left="360" w:hanging="360"/>
      </w:pPr>
      <w:rPr>
        <w:rFonts w:hint="default"/>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274372ED"/>
    <w:multiLevelType w:val="hybridMultilevel"/>
    <w:tmpl w:val="9FE6CC50"/>
    <w:lvl w:ilvl="0" w:tplc="9E42D30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283237DC"/>
    <w:multiLevelType w:val="hybridMultilevel"/>
    <w:tmpl w:val="AF503B86"/>
    <w:lvl w:ilvl="0" w:tplc="1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29026D17"/>
    <w:multiLevelType w:val="hybridMultilevel"/>
    <w:tmpl w:val="FA506E5E"/>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291253F4"/>
    <w:multiLevelType w:val="hybridMultilevel"/>
    <w:tmpl w:val="0EAE9A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A843AD2"/>
    <w:multiLevelType w:val="multilevel"/>
    <w:tmpl w:val="2886E1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8128BF"/>
    <w:multiLevelType w:val="hybridMultilevel"/>
    <w:tmpl w:val="C11018F2"/>
    <w:lvl w:ilvl="0" w:tplc="7F788952">
      <w:start w:val="1"/>
      <w:numFmt w:val="bullet"/>
      <w:lvlText w:val=""/>
      <w:lvlJc w:val="left"/>
      <w:pPr>
        <w:ind w:left="720" w:hanging="360"/>
      </w:pPr>
      <w:rPr>
        <w:rFonts w:ascii="Symbol" w:hAnsi="Symbol"/>
      </w:rPr>
    </w:lvl>
    <w:lvl w:ilvl="1" w:tplc="A7923C00">
      <w:start w:val="1"/>
      <w:numFmt w:val="bullet"/>
      <w:lvlText w:val=""/>
      <w:lvlJc w:val="left"/>
      <w:pPr>
        <w:ind w:left="720" w:hanging="360"/>
      </w:pPr>
      <w:rPr>
        <w:rFonts w:ascii="Symbol" w:hAnsi="Symbol"/>
      </w:rPr>
    </w:lvl>
    <w:lvl w:ilvl="2" w:tplc="4AF400E4">
      <w:start w:val="1"/>
      <w:numFmt w:val="bullet"/>
      <w:lvlText w:val=""/>
      <w:lvlJc w:val="left"/>
      <w:pPr>
        <w:ind w:left="720" w:hanging="360"/>
      </w:pPr>
      <w:rPr>
        <w:rFonts w:ascii="Symbol" w:hAnsi="Symbol"/>
      </w:rPr>
    </w:lvl>
    <w:lvl w:ilvl="3" w:tplc="8ED884B2">
      <w:start w:val="1"/>
      <w:numFmt w:val="bullet"/>
      <w:lvlText w:val=""/>
      <w:lvlJc w:val="left"/>
      <w:pPr>
        <w:ind w:left="720" w:hanging="360"/>
      </w:pPr>
      <w:rPr>
        <w:rFonts w:ascii="Symbol" w:hAnsi="Symbol"/>
      </w:rPr>
    </w:lvl>
    <w:lvl w:ilvl="4" w:tplc="FFE0D5F0">
      <w:start w:val="1"/>
      <w:numFmt w:val="bullet"/>
      <w:lvlText w:val=""/>
      <w:lvlJc w:val="left"/>
      <w:pPr>
        <w:ind w:left="720" w:hanging="360"/>
      </w:pPr>
      <w:rPr>
        <w:rFonts w:ascii="Symbol" w:hAnsi="Symbol"/>
      </w:rPr>
    </w:lvl>
    <w:lvl w:ilvl="5" w:tplc="EECC9E32">
      <w:start w:val="1"/>
      <w:numFmt w:val="bullet"/>
      <w:lvlText w:val=""/>
      <w:lvlJc w:val="left"/>
      <w:pPr>
        <w:ind w:left="720" w:hanging="360"/>
      </w:pPr>
      <w:rPr>
        <w:rFonts w:ascii="Symbol" w:hAnsi="Symbol"/>
      </w:rPr>
    </w:lvl>
    <w:lvl w:ilvl="6" w:tplc="78E8FE36">
      <w:start w:val="1"/>
      <w:numFmt w:val="bullet"/>
      <w:lvlText w:val=""/>
      <w:lvlJc w:val="left"/>
      <w:pPr>
        <w:ind w:left="720" w:hanging="360"/>
      </w:pPr>
      <w:rPr>
        <w:rFonts w:ascii="Symbol" w:hAnsi="Symbol"/>
      </w:rPr>
    </w:lvl>
    <w:lvl w:ilvl="7" w:tplc="0540C470">
      <w:start w:val="1"/>
      <w:numFmt w:val="bullet"/>
      <w:lvlText w:val=""/>
      <w:lvlJc w:val="left"/>
      <w:pPr>
        <w:ind w:left="720" w:hanging="360"/>
      </w:pPr>
      <w:rPr>
        <w:rFonts w:ascii="Symbol" w:hAnsi="Symbol"/>
      </w:rPr>
    </w:lvl>
    <w:lvl w:ilvl="8" w:tplc="99C48F80">
      <w:start w:val="1"/>
      <w:numFmt w:val="bullet"/>
      <w:lvlText w:val=""/>
      <w:lvlJc w:val="left"/>
      <w:pPr>
        <w:ind w:left="720" w:hanging="360"/>
      </w:pPr>
      <w:rPr>
        <w:rFonts w:ascii="Symbol" w:hAnsi="Symbol"/>
      </w:rPr>
    </w:lvl>
  </w:abstractNum>
  <w:abstractNum w:abstractNumId="49" w15:restartNumberingAfterBreak="0">
    <w:nsid w:val="2C9E5EB3"/>
    <w:multiLevelType w:val="hybridMultilevel"/>
    <w:tmpl w:val="71EE1E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2CEE70F1"/>
    <w:multiLevelType w:val="hybridMultilevel"/>
    <w:tmpl w:val="EB6AFE5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1" w15:restartNumberingAfterBreak="0">
    <w:nsid w:val="2E6E6952"/>
    <w:multiLevelType w:val="hybridMultilevel"/>
    <w:tmpl w:val="FA6ED4A4"/>
    <w:lvl w:ilvl="0" w:tplc="310AB960">
      <w:start w:val="1"/>
      <w:numFmt w:val="decimal"/>
      <w:lvlText w:val="%1."/>
      <w:lvlJc w:val="left"/>
      <w:pPr>
        <w:ind w:left="360" w:hanging="360"/>
      </w:pPr>
      <w:rPr>
        <w:b w:val="0"/>
        <w:bCs w:val="0"/>
        <w:i w:val="0"/>
        <w:i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2" w15:restartNumberingAfterBreak="0">
    <w:nsid w:val="2EBD3876"/>
    <w:multiLevelType w:val="hybridMultilevel"/>
    <w:tmpl w:val="DA161E2E"/>
    <w:lvl w:ilvl="0" w:tplc="272879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FD830E4"/>
    <w:multiLevelType w:val="hybridMultilevel"/>
    <w:tmpl w:val="131C56DE"/>
    <w:lvl w:ilvl="0" w:tplc="1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30B96B27"/>
    <w:multiLevelType w:val="hybridMultilevel"/>
    <w:tmpl w:val="2CE80DF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5" w15:restartNumberingAfterBreak="0">
    <w:nsid w:val="3151273D"/>
    <w:multiLevelType w:val="hybridMultilevel"/>
    <w:tmpl w:val="F4C6DB48"/>
    <w:lvl w:ilvl="0" w:tplc="F6B2CEBA">
      <w:start w:val="1"/>
      <w:numFmt w:val="bullet"/>
      <w:lvlText w:val=""/>
      <w:lvlJc w:val="left"/>
      <w:pPr>
        <w:ind w:left="1440" w:hanging="360"/>
      </w:pPr>
      <w:rPr>
        <w:rFonts w:ascii="Symbol" w:hAnsi="Symbol"/>
      </w:rPr>
    </w:lvl>
    <w:lvl w:ilvl="1" w:tplc="71483730">
      <w:start w:val="1"/>
      <w:numFmt w:val="bullet"/>
      <w:lvlText w:val=""/>
      <w:lvlJc w:val="left"/>
      <w:pPr>
        <w:ind w:left="1440" w:hanging="360"/>
      </w:pPr>
      <w:rPr>
        <w:rFonts w:ascii="Symbol" w:hAnsi="Symbol"/>
      </w:rPr>
    </w:lvl>
    <w:lvl w:ilvl="2" w:tplc="BE6A7ED2">
      <w:start w:val="1"/>
      <w:numFmt w:val="bullet"/>
      <w:lvlText w:val=""/>
      <w:lvlJc w:val="left"/>
      <w:pPr>
        <w:ind w:left="1440" w:hanging="360"/>
      </w:pPr>
      <w:rPr>
        <w:rFonts w:ascii="Symbol" w:hAnsi="Symbol"/>
      </w:rPr>
    </w:lvl>
    <w:lvl w:ilvl="3" w:tplc="C09CAE4C">
      <w:start w:val="1"/>
      <w:numFmt w:val="bullet"/>
      <w:lvlText w:val=""/>
      <w:lvlJc w:val="left"/>
      <w:pPr>
        <w:ind w:left="1440" w:hanging="360"/>
      </w:pPr>
      <w:rPr>
        <w:rFonts w:ascii="Symbol" w:hAnsi="Symbol"/>
      </w:rPr>
    </w:lvl>
    <w:lvl w:ilvl="4" w:tplc="0FAA4732">
      <w:start w:val="1"/>
      <w:numFmt w:val="bullet"/>
      <w:lvlText w:val=""/>
      <w:lvlJc w:val="left"/>
      <w:pPr>
        <w:ind w:left="1440" w:hanging="360"/>
      </w:pPr>
      <w:rPr>
        <w:rFonts w:ascii="Symbol" w:hAnsi="Symbol"/>
      </w:rPr>
    </w:lvl>
    <w:lvl w:ilvl="5" w:tplc="A948D39A">
      <w:start w:val="1"/>
      <w:numFmt w:val="bullet"/>
      <w:lvlText w:val=""/>
      <w:lvlJc w:val="left"/>
      <w:pPr>
        <w:ind w:left="1440" w:hanging="360"/>
      </w:pPr>
      <w:rPr>
        <w:rFonts w:ascii="Symbol" w:hAnsi="Symbol"/>
      </w:rPr>
    </w:lvl>
    <w:lvl w:ilvl="6" w:tplc="4F3C19A0">
      <w:start w:val="1"/>
      <w:numFmt w:val="bullet"/>
      <w:lvlText w:val=""/>
      <w:lvlJc w:val="left"/>
      <w:pPr>
        <w:ind w:left="1440" w:hanging="360"/>
      </w:pPr>
      <w:rPr>
        <w:rFonts w:ascii="Symbol" w:hAnsi="Symbol"/>
      </w:rPr>
    </w:lvl>
    <w:lvl w:ilvl="7" w:tplc="4E9ABDEA">
      <w:start w:val="1"/>
      <w:numFmt w:val="bullet"/>
      <w:lvlText w:val=""/>
      <w:lvlJc w:val="left"/>
      <w:pPr>
        <w:ind w:left="1440" w:hanging="360"/>
      </w:pPr>
      <w:rPr>
        <w:rFonts w:ascii="Symbol" w:hAnsi="Symbol"/>
      </w:rPr>
    </w:lvl>
    <w:lvl w:ilvl="8" w:tplc="2962EEB4">
      <w:start w:val="1"/>
      <w:numFmt w:val="bullet"/>
      <w:lvlText w:val=""/>
      <w:lvlJc w:val="left"/>
      <w:pPr>
        <w:ind w:left="1440" w:hanging="360"/>
      </w:pPr>
      <w:rPr>
        <w:rFonts w:ascii="Symbol" w:hAnsi="Symbol"/>
      </w:rPr>
    </w:lvl>
  </w:abstractNum>
  <w:abstractNum w:abstractNumId="56" w15:restartNumberingAfterBreak="0">
    <w:nsid w:val="349917EE"/>
    <w:multiLevelType w:val="hybridMultilevel"/>
    <w:tmpl w:val="5BC04A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3509626B"/>
    <w:multiLevelType w:val="hybridMultilevel"/>
    <w:tmpl w:val="BA9EC8B6"/>
    <w:lvl w:ilvl="0" w:tplc="96CC7C9E">
      <w:start w:val="1"/>
      <w:numFmt w:val="bullet"/>
      <w:lvlText w:val=""/>
      <w:lvlJc w:val="left"/>
      <w:pPr>
        <w:ind w:left="720" w:hanging="360"/>
      </w:pPr>
      <w:rPr>
        <w:rFonts w:ascii="Symbol" w:hAnsi="Symbol"/>
      </w:rPr>
    </w:lvl>
    <w:lvl w:ilvl="1" w:tplc="2E26BA74">
      <w:start w:val="1"/>
      <w:numFmt w:val="bullet"/>
      <w:lvlText w:val=""/>
      <w:lvlJc w:val="left"/>
      <w:pPr>
        <w:ind w:left="720" w:hanging="360"/>
      </w:pPr>
      <w:rPr>
        <w:rFonts w:ascii="Symbol" w:hAnsi="Symbol"/>
      </w:rPr>
    </w:lvl>
    <w:lvl w:ilvl="2" w:tplc="6A9EBC04">
      <w:start w:val="1"/>
      <w:numFmt w:val="bullet"/>
      <w:lvlText w:val=""/>
      <w:lvlJc w:val="left"/>
      <w:pPr>
        <w:ind w:left="720" w:hanging="360"/>
      </w:pPr>
      <w:rPr>
        <w:rFonts w:ascii="Symbol" w:hAnsi="Symbol"/>
      </w:rPr>
    </w:lvl>
    <w:lvl w:ilvl="3" w:tplc="5C023AD6">
      <w:start w:val="1"/>
      <w:numFmt w:val="bullet"/>
      <w:lvlText w:val=""/>
      <w:lvlJc w:val="left"/>
      <w:pPr>
        <w:ind w:left="720" w:hanging="360"/>
      </w:pPr>
      <w:rPr>
        <w:rFonts w:ascii="Symbol" w:hAnsi="Symbol"/>
      </w:rPr>
    </w:lvl>
    <w:lvl w:ilvl="4" w:tplc="8550B810">
      <w:start w:val="1"/>
      <w:numFmt w:val="bullet"/>
      <w:lvlText w:val=""/>
      <w:lvlJc w:val="left"/>
      <w:pPr>
        <w:ind w:left="720" w:hanging="360"/>
      </w:pPr>
      <w:rPr>
        <w:rFonts w:ascii="Symbol" w:hAnsi="Symbol"/>
      </w:rPr>
    </w:lvl>
    <w:lvl w:ilvl="5" w:tplc="B79A2906">
      <w:start w:val="1"/>
      <w:numFmt w:val="bullet"/>
      <w:lvlText w:val=""/>
      <w:lvlJc w:val="left"/>
      <w:pPr>
        <w:ind w:left="720" w:hanging="360"/>
      </w:pPr>
      <w:rPr>
        <w:rFonts w:ascii="Symbol" w:hAnsi="Symbol"/>
      </w:rPr>
    </w:lvl>
    <w:lvl w:ilvl="6" w:tplc="4B56AF66">
      <w:start w:val="1"/>
      <w:numFmt w:val="bullet"/>
      <w:lvlText w:val=""/>
      <w:lvlJc w:val="left"/>
      <w:pPr>
        <w:ind w:left="720" w:hanging="360"/>
      </w:pPr>
      <w:rPr>
        <w:rFonts w:ascii="Symbol" w:hAnsi="Symbol"/>
      </w:rPr>
    </w:lvl>
    <w:lvl w:ilvl="7" w:tplc="776858EA">
      <w:start w:val="1"/>
      <w:numFmt w:val="bullet"/>
      <w:lvlText w:val=""/>
      <w:lvlJc w:val="left"/>
      <w:pPr>
        <w:ind w:left="720" w:hanging="360"/>
      </w:pPr>
      <w:rPr>
        <w:rFonts w:ascii="Symbol" w:hAnsi="Symbol"/>
      </w:rPr>
    </w:lvl>
    <w:lvl w:ilvl="8" w:tplc="8B4C74A0">
      <w:start w:val="1"/>
      <w:numFmt w:val="bullet"/>
      <w:lvlText w:val=""/>
      <w:lvlJc w:val="left"/>
      <w:pPr>
        <w:ind w:left="720" w:hanging="360"/>
      </w:pPr>
      <w:rPr>
        <w:rFonts w:ascii="Symbol" w:hAnsi="Symbol"/>
      </w:rPr>
    </w:lvl>
  </w:abstractNum>
  <w:abstractNum w:abstractNumId="58" w15:restartNumberingAfterBreak="0">
    <w:nsid w:val="36CA1489"/>
    <w:multiLevelType w:val="hybridMultilevel"/>
    <w:tmpl w:val="62ACCA46"/>
    <w:lvl w:ilvl="0" w:tplc="1409001B">
      <w:start w:val="1"/>
      <w:numFmt w:val="lowerRoman"/>
      <w:lvlText w:val="%1."/>
      <w:lvlJc w:val="right"/>
      <w:pPr>
        <w:ind w:left="1440" w:hanging="360"/>
      </w:p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9" w15:restartNumberingAfterBreak="0">
    <w:nsid w:val="38BD6F95"/>
    <w:multiLevelType w:val="hybridMultilevel"/>
    <w:tmpl w:val="0F66353C"/>
    <w:lvl w:ilvl="0" w:tplc="573E3B0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DAB110A"/>
    <w:multiLevelType w:val="hybridMultilevel"/>
    <w:tmpl w:val="6F0455DC"/>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3DE06DC3"/>
    <w:multiLevelType w:val="hybridMultilevel"/>
    <w:tmpl w:val="4DFAF6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3E33ECDF"/>
    <w:multiLevelType w:val="hybridMultilevel"/>
    <w:tmpl w:val="BF2C7D60"/>
    <w:lvl w:ilvl="0" w:tplc="692AF89E">
      <w:start w:val="1"/>
      <w:numFmt w:val="bullet"/>
      <w:lvlText w:val=""/>
      <w:lvlJc w:val="left"/>
      <w:pPr>
        <w:ind w:left="360" w:hanging="360"/>
      </w:pPr>
      <w:rPr>
        <w:rFonts w:ascii="Symbol" w:hAnsi="Symbol" w:hint="default"/>
      </w:rPr>
    </w:lvl>
    <w:lvl w:ilvl="1" w:tplc="4D4CC40A">
      <w:start w:val="1"/>
      <w:numFmt w:val="bullet"/>
      <w:lvlText w:val="o"/>
      <w:lvlJc w:val="left"/>
      <w:pPr>
        <w:ind w:left="1440" w:hanging="360"/>
      </w:pPr>
      <w:rPr>
        <w:rFonts w:ascii="Courier New" w:hAnsi="Courier New" w:hint="default"/>
      </w:rPr>
    </w:lvl>
    <w:lvl w:ilvl="2" w:tplc="4FF4BD2A">
      <w:start w:val="1"/>
      <w:numFmt w:val="bullet"/>
      <w:lvlText w:val=""/>
      <w:lvlJc w:val="left"/>
      <w:pPr>
        <w:ind w:left="2160" w:hanging="360"/>
      </w:pPr>
      <w:rPr>
        <w:rFonts w:ascii="Wingdings" w:hAnsi="Wingdings" w:hint="default"/>
      </w:rPr>
    </w:lvl>
    <w:lvl w:ilvl="3" w:tplc="8DF6AEDC">
      <w:start w:val="1"/>
      <w:numFmt w:val="bullet"/>
      <w:lvlText w:val=""/>
      <w:lvlJc w:val="left"/>
      <w:pPr>
        <w:ind w:left="2880" w:hanging="360"/>
      </w:pPr>
      <w:rPr>
        <w:rFonts w:ascii="Symbol" w:hAnsi="Symbol" w:hint="default"/>
      </w:rPr>
    </w:lvl>
    <w:lvl w:ilvl="4" w:tplc="DBB443A2">
      <w:start w:val="1"/>
      <w:numFmt w:val="bullet"/>
      <w:lvlText w:val="o"/>
      <w:lvlJc w:val="left"/>
      <w:pPr>
        <w:ind w:left="3600" w:hanging="360"/>
      </w:pPr>
      <w:rPr>
        <w:rFonts w:ascii="Courier New" w:hAnsi="Courier New" w:hint="default"/>
      </w:rPr>
    </w:lvl>
    <w:lvl w:ilvl="5" w:tplc="0B3A1C74">
      <w:start w:val="1"/>
      <w:numFmt w:val="bullet"/>
      <w:lvlText w:val=""/>
      <w:lvlJc w:val="left"/>
      <w:pPr>
        <w:ind w:left="4320" w:hanging="360"/>
      </w:pPr>
      <w:rPr>
        <w:rFonts w:ascii="Wingdings" w:hAnsi="Wingdings" w:hint="default"/>
      </w:rPr>
    </w:lvl>
    <w:lvl w:ilvl="6" w:tplc="D57EBCB6">
      <w:start w:val="1"/>
      <w:numFmt w:val="bullet"/>
      <w:lvlText w:val=""/>
      <w:lvlJc w:val="left"/>
      <w:pPr>
        <w:ind w:left="5040" w:hanging="360"/>
      </w:pPr>
      <w:rPr>
        <w:rFonts w:ascii="Symbol" w:hAnsi="Symbol" w:hint="default"/>
      </w:rPr>
    </w:lvl>
    <w:lvl w:ilvl="7" w:tplc="1BC6DA86">
      <w:start w:val="1"/>
      <w:numFmt w:val="bullet"/>
      <w:lvlText w:val="o"/>
      <w:lvlJc w:val="left"/>
      <w:pPr>
        <w:ind w:left="5760" w:hanging="360"/>
      </w:pPr>
      <w:rPr>
        <w:rFonts w:ascii="Courier New" w:hAnsi="Courier New" w:hint="default"/>
      </w:rPr>
    </w:lvl>
    <w:lvl w:ilvl="8" w:tplc="C28C2A18">
      <w:start w:val="1"/>
      <w:numFmt w:val="bullet"/>
      <w:lvlText w:val=""/>
      <w:lvlJc w:val="left"/>
      <w:pPr>
        <w:ind w:left="6480" w:hanging="360"/>
      </w:pPr>
      <w:rPr>
        <w:rFonts w:ascii="Wingdings" w:hAnsi="Wingdings" w:hint="default"/>
      </w:rPr>
    </w:lvl>
  </w:abstractNum>
  <w:abstractNum w:abstractNumId="63" w15:restartNumberingAfterBreak="0">
    <w:nsid w:val="3F7D5E2D"/>
    <w:multiLevelType w:val="hybridMultilevel"/>
    <w:tmpl w:val="BA968B3E"/>
    <w:lvl w:ilvl="0" w:tplc="FFFFFFFF">
      <w:start w:val="1"/>
      <w:numFmt w:val="decimal"/>
      <w:lvlText w:val="%1."/>
      <w:lvlJc w:val="left"/>
      <w:pPr>
        <w:ind w:left="720" w:hanging="360"/>
      </w:pPr>
    </w:lvl>
    <w:lvl w:ilvl="1" w:tplc="1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0B5284F"/>
    <w:multiLevelType w:val="hybridMultilevel"/>
    <w:tmpl w:val="1BEC993A"/>
    <w:lvl w:ilvl="0" w:tplc="E2EC37B2">
      <w:start w:val="1"/>
      <w:numFmt w:val="bullet"/>
      <w:lvlText w:val=""/>
      <w:lvlJc w:val="left"/>
      <w:pPr>
        <w:ind w:left="720" w:hanging="360"/>
      </w:pPr>
      <w:rPr>
        <w:rFonts w:ascii="Symbol" w:hAnsi="Symbol"/>
      </w:rPr>
    </w:lvl>
    <w:lvl w:ilvl="1" w:tplc="EEBC20C4">
      <w:start w:val="1"/>
      <w:numFmt w:val="bullet"/>
      <w:lvlText w:val=""/>
      <w:lvlJc w:val="left"/>
      <w:pPr>
        <w:ind w:left="720" w:hanging="360"/>
      </w:pPr>
      <w:rPr>
        <w:rFonts w:ascii="Symbol" w:hAnsi="Symbol"/>
      </w:rPr>
    </w:lvl>
    <w:lvl w:ilvl="2" w:tplc="651A0782">
      <w:start w:val="1"/>
      <w:numFmt w:val="bullet"/>
      <w:lvlText w:val=""/>
      <w:lvlJc w:val="left"/>
      <w:pPr>
        <w:ind w:left="720" w:hanging="360"/>
      </w:pPr>
      <w:rPr>
        <w:rFonts w:ascii="Symbol" w:hAnsi="Symbol"/>
      </w:rPr>
    </w:lvl>
    <w:lvl w:ilvl="3" w:tplc="6DF8488E">
      <w:start w:val="1"/>
      <w:numFmt w:val="bullet"/>
      <w:lvlText w:val=""/>
      <w:lvlJc w:val="left"/>
      <w:pPr>
        <w:ind w:left="720" w:hanging="360"/>
      </w:pPr>
      <w:rPr>
        <w:rFonts w:ascii="Symbol" w:hAnsi="Symbol"/>
      </w:rPr>
    </w:lvl>
    <w:lvl w:ilvl="4" w:tplc="D3F869DE">
      <w:start w:val="1"/>
      <w:numFmt w:val="bullet"/>
      <w:lvlText w:val=""/>
      <w:lvlJc w:val="left"/>
      <w:pPr>
        <w:ind w:left="720" w:hanging="360"/>
      </w:pPr>
      <w:rPr>
        <w:rFonts w:ascii="Symbol" w:hAnsi="Symbol"/>
      </w:rPr>
    </w:lvl>
    <w:lvl w:ilvl="5" w:tplc="F3E41CDC">
      <w:start w:val="1"/>
      <w:numFmt w:val="bullet"/>
      <w:lvlText w:val=""/>
      <w:lvlJc w:val="left"/>
      <w:pPr>
        <w:ind w:left="720" w:hanging="360"/>
      </w:pPr>
      <w:rPr>
        <w:rFonts w:ascii="Symbol" w:hAnsi="Symbol"/>
      </w:rPr>
    </w:lvl>
    <w:lvl w:ilvl="6" w:tplc="6E30AF08">
      <w:start w:val="1"/>
      <w:numFmt w:val="bullet"/>
      <w:lvlText w:val=""/>
      <w:lvlJc w:val="left"/>
      <w:pPr>
        <w:ind w:left="720" w:hanging="360"/>
      </w:pPr>
      <w:rPr>
        <w:rFonts w:ascii="Symbol" w:hAnsi="Symbol"/>
      </w:rPr>
    </w:lvl>
    <w:lvl w:ilvl="7" w:tplc="47A02F5E">
      <w:start w:val="1"/>
      <w:numFmt w:val="bullet"/>
      <w:lvlText w:val=""/>
      <w:lvlJc w:val="left"/>
      <w:pPr>
        <w:ind w:left="720" w:hanging="360"/>
      </w:pPr>
      <w:rPr>
        <w:rFonts w:ascii="Symbol" w:hAnsi="Symbol"/>
      </w:rPr>
    </w:lvl>
    <w:lvl w:ilvl="8" w:tplc="74D22F34">
      <w:start w:val="1"/>
      <w:numFmt w:val="bullet"/>
      <w:lvlText w:val=""/>
      <w:lvlJc w:val="left"/>
      <w:pPr>
        <w:ind w:left="720" w:hanging="360"/>
      </w:pPr>
      <w:rPr>
        <w:rFonts w:ascii="Symbol" w:hAnsi="Symbol"/>
      </w:rPr>
    </w:lvl>
  </w:abstractNum>
  <w:abstractNum w:abstractNumId="65" w15:restartNumberingAfterBreak="0">
    <w:nsid w:val="416F70D7"/>
    <w:multiLevelType w:val="hybridMultilevel"/>
    <w:tmpl w:val="7C4CDF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42562128"/>
    <w:multiLevelType w:val="hybridMultilevel"/>
    <w:tmpl w:val="534C167A"/>
    <w:lvl w:ilvl="0" w:tplc="B41056F4">
      <w:start w:val="1"/>
      <w:numFmt w:val="bullet"/>
      <w:lvlText w:val=""/>
      <w:lvlJc w:val="left"/>
      <w:pPr>
        <w:ind w:left="720" w:hanging="360"/>
      </w:pPr>
      <w:rPr>
        <w:rFonts w:ascii="Symbol" w:hAnsi="Symbol"/>
      </w:rPr>
    </w:lvl>
    <w:lvl w:ilvl="1" w:tplc="2A6CF050">
      <w:start w:val="1"/>
      <w:numFmt w:val="bullet"/>
      <w:lvlText w:val=""/>
      <w:lvlJc w:val="left"/>
      <w:pPr>
        <w:ind w:left="720" w:hanging="360"/>
      </w:pPr>
      <w:rPr>
        <w:rFonts w:ascii="Symbol" w:hAnsi="Symbol"/>
      </w:rPr>
    </w:lvl>
    <w:lvl w:ilvl="2" w:tplc="DF7E914C">
      <w:start w:val="1"/>
      <w:numFmt w:val="bullet"/>
      <w:lvlText w:val=""/>
      <w:lvlJc w:val="left"/>
      <w:pPr>
        <w:ind w:left="720" w:hanging="360"/>
      </w:pPr>
      <w:rPr>
        <w:rFonts w:ascii="Symbol" w:hAnsi="Symbol"/>
      </w:rPr>
    </w:lvl>
    <w:lvl w:ilvl="3" w:tplc="AD124204">
      <w:start w:val="1"/>
      <w:numFmt w:val="bullet"/>
      <w:lvlText w:val=""/>
      <w:lvlJc w:val="left"/>
      <w:pPr>
        <w:ind w:left="720" w:hanging="360"/>
      </w:pPr>
      <w:rPr>
        <w:rFonts w:ascii="Symbol" w:hAnsi="Symbol"/>
      </w:rPr>
    </w:lvl>
    <w:lvl w:ilvl="4" w:tplc="283E5962">
      <w:start w:val="1"/>
      <w:numFmt w:val="bullet"/>
      <w:lvlText w:val=""/>
      <w:lvlJc w:val="left"/>
      <w:pPr>
        <w:ind w:left="720" w:hanging="360"/>
      </w:pPr>
      <w:rPr>
        <w:rFonts w:ascii="Symbol" w:hAnsi="Symbol"/>
      </w:rPr>
    </w:lvl>
    <w:lvl w:ilvl="5" w:tplc="861A23EC">
      <w:start w:val="1"/>
      <w:numFmt w:val="bullet"/>
      <w:lvlText w:val=""/>
      <w:lvlJc w:val="left"/>
      <w:pPr>
        <w:ind w:left="720" w:hanging="360"/>
      </w:pPr>
      <w:rPr>
        <w:rFonts w:ascii="Symbol" w:hAnsi="Symbol"/>
      </w:rPr>
    </w:lvl>
    <w:lvl w:ilvl="6" w:tplc="977868C2">
      <w:start w:val="1"/>
      <w:numFmt w:val="bullet"/>
      <w:lvlText w:val=""/>
      <w:lvlJc w:val="left"/>
      <w:pPr>
        <w:ind w:left="720" w:hanging="360"/>
      </w:pPr>
      <w:rPr>
        <w:rFonts w:ascii="Symbol" w:hAnsi="Symbol"/>
      </w:rPr>
    </w:lvl>
    <w:lvl w:ilvl="7" w:tplc="5D948350">
      <w:start w:val="1"/>
      <w:numFmt w:val="bullet"/>
      <w:lvlText w:val=""/>
      <w:lvlJc w:val="left"/>
      <w:pPr>
        <w:ind w:left="720" w:hanging="360"/>
      </w:pPr>
      <w:rPr>
        <w:rFonts w:ascii="Symbol" w:hAnsi="Symbol"/>
      </w:rPr>
    </w:lvl>
    <w:lvl w:ilvl="8" w:tplc="0458F060">
      <w:start w:val="1"/>
      <w:numFmt w:val="bullet"/>
      <w:lvlText w:val=""/>
      <w:lvlJc w:val="left"/>
      <w:pPr>
        <w:ind w:left="720" w:hanging="360"/>
      </w:pPr>
      <w:rPr>
        <w:rFonts w:ascii="Symbol" w:hAnsi="Symbol"/>
      </w:rPr>
    </w:lvl>
  </w:abstractNum>
  <w:abstractNum w:abstractNumId="67" w15:restartNumberingAfterBreak="0">
    <w:nsid w:val="430B3716"/>
    <w:multiLevelType w:val="hybridMultilevel"/>
    <w:tmpl w:val="F56CDB5C"/>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45FD3F0D"/>
    <w:multiLevelType w:val="hybridMultilevel"/>
    <w:tmpl w:val="E9224756"/>
    <w:lvl w:ilvl="0" w:tplc="14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6B00986"/>
    <w:multiLevelType w:val="hybridMultilevel"/>
    <w:tmpl w:val="087A9E0C"/>
    <w:lvl w:ilvl="0" w:tplc="A5EA8DE4">
      <w:start w:val="1"/>
      <w:numFmt w:val="lowerLetter"/>
      <w:lvlText w:val="%1)"/>
      <w:lvlJc w:val="left"/>
      <w:pPr>
        <w:ind w:left="360" w:hanging="360"/>
      </w:pPr>
      <w:rPr>
        <w:rFonts w:hint="default"/>
        <w:i w:val="0"/>
        <w:i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486513AB"/>
    <w:multiLevelType w:val="hybridMultilevel"/>
    <w:tmpl w:val="973096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48F76F6C"/>
    <w:multiLevelType w:val="hybridMultilevel"/>
    <w:tmpl w:val="4AA293C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2" w15:restartNumberingAfterBreak="0">
    <w:nsid w:val="4E0E27A7"/>
    <w:multiLevelType w:val="hybridMultilevel"/>
    <w:tmpl w:val="CC30C12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3" w15:restartNumberingAfterBreak="0">
    <w:nsid w:val="4E69641D"/>
    <w:multiLevelType w:val="hybridMultilevel"/>
    <w:tmpl w:val="661EFD14"/>
    <w:lvl w:ilvl="0" w:tplc="FFFFFFFF">
      <w:start w:val="1"/>
      <w:numFmt w:val="decimal"/>
      <w:lvlText w:val="%1."/>
      <w:lvlJc w:val="left"/>
      <w:pPr>
        <w:ind w:left="1080" w:hanging="360"/>
      </w:pPr>
    </w:lvl>
    <w:lvl w:ilvl="1" w:tplc="1409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4F511922"/>
    <w:multiLevelType w:val="hybridMultilevel"/>
    <w:tmpl w:val="5B6251D2"/>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503A7696"/>
    <w:multiLevelType w:val="hybridMultilevel"/>
    <w:tmpl w:val="F244E1B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6" w15:restartNumberingAfterBreak="0">
    <w:nsid w:val="51514554"/>
    <w:multiLevelType w:val="hybridMultilevel"/>
    <w:tmpl w:val="F00218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556F5E14"/>
    <w:multiLevelType w:val="hybridMultilevel"/>
    <w:tmpl w:val="E71E28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557B1342"/>
    <w:multiLevelType w:val="hybridMultilevel"/>
    <w:tmpl w:val="222A1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565E2B6F"/>
    <w:multiLevelType w:val="hybridMultilevel"/>
    <w:tmpl w:val="4E6A9B36"/>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58267CA0"/>
    <w:multiLevelType w:val="hybridMultilevel"/>
    <w:tmpl w:val="C0E6CC16"/>
    <w:lvl w:ilvl="0" w:tplc="E65AD12A">
      <w:start w:val="1"/>
      <w:numFmt w:val="decimal"/>
      <w:lvlText w:val="%1."/>
      <w:lvlJc w:val="left"/>
      <w:pPr>
        <w:ind w:left="1020" w:hanging="360"/>
      </w:pPr>
    </w:lvl>
    <w:lvl w:ilvl="1" w:tplc="CEFAF7B0">
      <w:start w:val="1"/>
      <w:numFmt w:val="decimal"/>
      <w:lvlText w:val="%2."/>
      <w:lvlJc w:val="left"/>
      <w:pPr>
        <w:ind w:left="1020" w:hanging="360"/>
      </w:pPr>
    </w:lvl>
    <w:lvl w:ilvl="2" w:tplc="DF1CE364">
      <w:start w:val="1"/>
      <w:numFmt w:val="decimal"/>
      <w:lvlText w:val="%3."/>
      <w:lvlJc w:val="left"/>
      <w:pPr>
        <w:ind w:left="1020" w:hanging="360"/>
      </w:pPr>
    </w:lvl>
    <w:lvl w:ilvl="3" w:tplc="2AC8BF68">
      <w:start w:val="1"/>
      <w:numFmt w:val="decimal"/>
      <w:lvlText w:val="%4."/>
      <w:lvlJc w:val="left"/>
      <w:pPr>
        <w:ind w:left="1020" w:hanging="360"/>
      </w:pPr>
    </w:lvl>
    <w:lvl w:ilvl="4" w:tplc="A4FA8300">
      <w:start w:val="1"/>
      <w:numFmt w:val="decimal"/>
      <w:lvlText w:val="%5."/>
      <w:lvlJc w:val="left"/>
      <w:pPr>
        <w:ind w:left="1020" w:hanging="360"/>
      </w:pPr>
    </w:lvl>
    <w:lvl w:ilvl="5" w:tplc="21F635B6">
      <w:start w:val="1"/>
      <w:numFmt w:val="decimal"/>
      <w:lvlText w:val="%6."/>
      <w:lvlJc w:val="left"/>
      <w:pPr>
        <w:ind w:left="1020" w:hanging="360"/>
      </w:pPr>
    </w:lvl>
    <w:lvl w:ilvl="6" w:tplc="016A897C">
      <w:start w:val="1"/>
      <w:numFmt w:val="decimal"/>
      <w:lvlText w:val="%7."/>
      <w:lvlJc w:val="left"/>
      <w:pPr>
        <w:ind w:left="1020" w:hanging="360"/>
      </w:pPr>
    </w:lvl>
    <w:lvl w:ilvl="7" w:tplc="BC745242">
      <w:start w:val="1"/>
      <w:numFmt w:val="decimal"/>
      <w:lvlText w:val="%8."/>
      <w:lvlJc w:val="left"/>
      <w:pPr>
        <w:ind w:left="1020" w:hanging="360"/>
      </w:pPr>
    </w:lvl>
    <w:lvl w:ilvl="8" w:tplc="05B43B34">
      <w:start w:val="1"/>
      <w:numFmt w:val="decimal"/>
      <w:lvlText w:val="%9."/>
      <w:lvlJc w:val="left"/>
      <w:pPr>
        <w:ind w:left="1020" w:hanging="360"/>
      </w:pPr>
    </w:lvl>
  </w:abstractNum>
  <w:abstractNum w:abstractNumId="81" w15:restartNumberingAfterBreak="0">
    <w:nsid w:val="58B25C4D"/>
    <w:multiLevelType w:val="hybridMultilevel"/>
    <w:tmpl w:val="C0CA926A"/>
    <w:lvl w:ilvl="0" w:tplc="14090013">
      <w:start w:val="1"/>
      <w:numFmt w:val="upperRoman"/>
      <w:lvlText w:val="%1."/>
      <w:lvlJc w:val="righ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2" w15:restartNumberingAfterBreak="0">
    <w:nsid w:val="58E647AD"/>
    <w:multiLevelType w:val="hybridMultilevel"/>
    <w:tmpl w:val="283A831C"/>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596B3090"/>
    <w:multiLevelType w:val="hybridMultilevel"/>
    <w:tmpl w:val="60EEFB54"/>
    <w:lvl w:ilvl="0" w:tplc="6F545EC2">
      <w:start w:val="1"/>
      <w:numFmt w:val="decimal"/>
      <w:lvlText w:val="%1."/>
      <w:lvlJc w:val="left"/>
      <w:pPr>
        <w:ind w:left="720" w:hanging="360"/>
      </w:pPr>
    </w:lvl>
    <w:lvl w:ilvl="1" w:tplc="AFD87FD4">
      <w:start w:val="1"/>
      <w:numFmt w:val="decimal"/>
      <w:lvlText w:val="%2."/>
      <w:lvlJc w:val="left"/>
      <w:pPr>
        <w:ind w:left="720" w:hanging="360"/>
      </w:pPr>
    </w:lvl>
    <w:lvl w:ilvl="2" w:tplc="5A889136">
      <w:start w:val="1"/>
      <w:numFmt w:val="decimal"/>
      <w:lvlText w:val="%3."/>
      <w:lvlJc w:val="left"/>
      <w:pPr>
        <w:ind w:left="720" w:hanging="360"/>
      </w:pPr>
    </w:lvl>
    <w:lvl w:ilvl="3" w:tplc="347C05B6">
      <w:start w:val="1"/>
      <w:numFmt w:val="decimal"/>
      <w:lvlText w:val="%4."/>
      <w:lvlJc w:val="left"/>
      <w:pPr>
        <w:ind w:left="720" w:hanging="360"/>
      </w:pPr>
    </w:lvl>
    <w:lvl w:ilvl="4" w:tplc="62CA56A6">
      <w:start w:val="1"/>
      <w:numFmt w:val="decimal"/>
      <w:lvlText w:val="%5."/>
      <w:lvlJc w:val="left"/>
      <w:pPr>
        <w:ind w:left="720" w:hanging="360"/>
      </w:pPr>
    </w:lvl>
    <w:lvl w:ilvl="5" w:tplc="A4DE512A">
      <w:start w:val="1"/>
      <w:numFmt w:val="decimal"/>
      <w:lvlText w:val="%6."/>
      <w:lvlJc w:val="left"/>
      <w:pPr>
        <w:ind w:left="720" w:hanging="360"/>
      </w:pPr>
    </w:lvl>
    <w:lvl w:ilvl="6" w:tplc="2F08BCF8">
      <w:start w:val="1"/>
      <w:numFmt w:val="decimal"/>
      <w:lvlText w:val="%7."/>
      <w:lvlJc w:val="left"/>
      <w:pPr>
        <w:ind w:left="720" w:hanging="360"/>
      </w:pPr>
    </w:lvl>
    <w:lvl w:ilvl="7" w:tplc="EE560A00">
      <w:start w:val="1"/>
      <w:numFmt w:val="decimal"/>
      <w:lvlText w:val="%8."/>
      <w:lvlJc w:val="left"/>
      <w:pPr>
        <w:ind w:left="720" w:hanging="360"/>
      </w:pPr>
    </w:lvl>
    <w:lvl w:ilvl="8" w:tplc="17906D0C">
      <w:start w:val="1"/>
      <w:numFmt w:val="decimal"/>
      <w:lvlText w:val="%9."/>
      <w:lvlJc w:val="left"/>
      <w:pPr>
        <w:ind w:left="720" w:hanging="360"/>
      </w:pPr>
    </w:lvl>
  </w:abstractNum>
  <w:abstractNum w:abstractNumId="84" w15:restartNumberingAfterBreak="0">
    <w:nsid w:val="59E32166"/>
    <w:multiLevelType w:val="hybridMultilevel"/>
    <w:tmpl w:val="123E4FF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5" w15:restartNumberingAfterBreak="0">
    <w:nsid w:val="5A10630B"/>
    <w:multiLevelType w:val="hybridMultilevel"/>
    <w:tmpl w:val="B1A82044"/>
    <w:lvl w:ilvl="0" w:tplc="4CD2637A">
      <w:start w:val="1"/>
      <w:numFmt w:val="bullet"/>
      <w:lvlText w:val=""/>
      <w:lvlJc w:val="left"/>
      <w:pPr>
        <w:ind w:left="1080" w:hanging="360"/>
      </w:pPr>
      <w:rPr>
        <w:rFonts w:ascii="Symbol" w:hAnsi="Symbol"/>
      </w:rPr>
    </w:lvl>
    <w:lvl w:ilvl="1" w:tplc="B30EBA54">
      <w:start w:val="1"/>
      <w:numFmt w:val="bullet"/>
      <w:lvlText w:val=""/>
      <w:lvlJc w:val="left"/>
      <w:pPr>
        <w:ind w:left="1080" w:hanging="360"/>
      </w:pPr>
      <w:rPr>
        <w:rFonts w:ascii="Symbol" w:hAnsi="Symbol"/>
      </w:rPr>
    </w:lvl>
    <w:lvl w:ilvl="2" w:tplc="A070845E">
      <w:start w:val="1"/>
      <w:numFmt w:val="bullet"/>
      <w:lvlText w:val=""/>
      <w:lvlJc w:val="left"/>
      <w:pPr>
        <w:ind w:left="1080" w:hanging="360"/>
      </w:pPr>
      <w:rPr>
        <w:rFonts w:ascii="Symbol" w:hAnsi="Symbol"/>
      </w:rPr>
    </w:lvl>
    <w:lvl w:ilvl="3" w:tplc="AEE2BBF6">
      <w:start w:val="1"/>
      <w:numFmt w:val="bullet"/>
      <w:lvlText w:val=""/>
      <w:lvlJc w:val="left"/>
      <w:pPr>
        <w:ind w:left="1080" w:hanging="360"/>
      </w:pPr>
      <w:rPr>
        <w:rFonts w:ascii="Symbol" w:hAnsi="Symbol"/>
      </w:rPr>
    </w:lvl>
    <w:lvl w:ilvl="4" w:tplc="7DE8B92A">
      <w:start w:val="1"/>
      <w:numFmt w:val="bullet"/>
      <w:lvlText w:val=""/>
      <w:lvlJc w:val="left"/>
      <w:pPr>
        <w:ind w:left="1080" w:hanging="360"/>
      </w:pPr>
      <w:rPr>
        <w:rFonts w:ascii="Symbol" w:hAnsi="Symbol"/>
      </w:rPr>
    </w:lvl>
    <w:lvl w:ilvl="5" w:tplc="09600976">
      <w:start w:val="1"/>
      <w:numFmt w:val="bullet"/>
      <w:lvlText w:val=""/>
      <w:lvlJc w:val="left"/>
      <w:pPr>
        <w:ind w:left="1080" w:hanging="360"/>
      </w:pPr>
      <w:rPr>
        <w:rFonts w:ascii="Symbol" w:hAnsi="Symbol"/>
      </w:rPr>
    </w:lvl>
    <w:lvl w:ilvl="6" w:tplc="305EE8A8">
      <w:start w:val="1"/>
      <w:numFmt w:val="bullet"/>
      <w:lvlText w:val=""/>
      <w:lvlJc w:val="left"/>
      <w:pPr>
        <w:ind w:left="1080" w:hanging="360"/>
      </w:pPr>
      <w:rPr>
        <w:rFonts w:ascii="Symbol" w:hAnsi="Symbol"/>
      </w:rPr>
    </w:lvl>
    <w:lvl w:ilvl="7" w:tplc="299CC570">
      <w:start w:val="1"/>
      <w:numFmt w:val="bullet"/>
      <w:lvlText w:val=""/>
      <w:lvlJc w:val="left"/>
      <w:pPr>
        <w:ind w:left="1080" w:hanging="360"/>
      </w:pPr>
      <w:rPr>
        <w:rFonts w:ascii="Symbol" w:hAnsi="Symbol"/>
      </w:rPr>
    </w:lvl>
    <w:lvl w:ilvl="8" w:tplc="EB444402">
      <w:start w:val="1"/>
      <w:numFmt w:val="bullet"/>
      <w:lvlText w:val=""/>
      <w:lvlJc w:val="left"/>
      <w:pPr>
        <w:ind w:left="1080" w:hanging="360"/>
      </w:pPr>
      <w:rPr>
        <w:rFonts w:ascii="Symbol" w:hAnsi="Symbol"/>
      </w:rPr>
    </w:lvl>
  </w:abstractNum>
  <w:abstractNum w:abstractNumId="86" w15:restartNumberingAfterBreak="0">
    <w:nsid w:val="5AC44B82"/>
    <w:multiLevelType w:val="hybridMultilevel"/>
    <w:tmpl w:val="F5B85814"/>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5C016289"/>
    <w:multiLevelType w:val="hybridMultilevel"/>
    <w:tmpl w:val="557A7E4E"/>
    <w:lvl w:ilvl="0" w:tplc="A5EA8DE4">
      <w:start w:val="1"/>
      <w:numFmt w:val="lowerLetter"/>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C0861DC"/>
    <w:multiLevelType w:val="hybridMultilevel"/>
    <w:tmpl w:val="E9FE6016"/>
    <w:lvl w:ilvl="0" w:tplc="A5EA8DE4">
      <w:start w:val="1"/>
      <w:numFmt w:val="lowerLetter"/>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F40625A"/>
    <w:multiLevelType w:val="hybridMultilevel"/>
    <w:tmpl w:val="C3426EB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0" w15:restartNumberingAfterBreak="0">
    <w:nsid w:val="607B2947"/>
    <w:multiLevelType w:val="multilevel"/>
    <w:tmpl w:val="83282E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2"/>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F01DAA"/>
    <w:multiLevelType w:val="hybridMultilevel"/>
    <w:tmpl w:val="3320B304"/>
    <w:lvl w:ilvl="0" w:tplc="7AB84A78">
      <w:start w:val="1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610D0ACD"/>
    <w:multiLevelType w:val="hybridMultilevel"/>
    <w:tmpl w:val="B240BD5E"/>
    <w:lvl w:ilvl="0" w:tplc="14090013">
      <w:start w:val="1"/>
      <w:numFmt w:val="upperRoman"/>
      <w:lvlText w:val="%1."/>
      <w:lvlJc w:val="righ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3" w15:restartNumberingAfterBreak="0">
    <w:nsid w:val="62367F34"/>
    <w:multiLevelType w:val="hybridMultilevel"/>
    <w:tmpl w:val="47141B74"/>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62D6047A"/>
    <w:multiLevelType w:val="hybridMultilevel"/>
    <w:tmpl w:val="C87CB3B6"/>
    <w:lvl w:ilvl="0" w:tplc="00541370">
      <w:start w:val="1"/>
      <w:numFmt w:val="bullet"/>
      <w:lvlText w:val=""/>
      <w:lvlJc w:val="left"/>
      <w:pPr>
        <w:ind w:left="720" w:hanging="360"/>
      </w:pPr>
      <w:rPr>
        <w:rFonts w:ascii="Symbol" w:hAnsi="Symbol"/>
      </w:rPr>
    </w:lvl>
    <w:lvl w:ilvl="1" w:tplc="FD3C8B34">
      <w:start w:val="1"/>
      <w:numFmt w:val="bullet"/>
      <w:lvlText w:val=""/>
      <w:lvlJc w:val="left"/>
      <w:pPr>
        <w:ind w:left="720" w:hanging="360"/>
      </w:pPr>
      <w:rPr>
        <w:rFonts w:ascii="Symbol" w:hAnsi="Symbol"/>
      </w:rPr>
    </w:lvl>
    <w:lvl w:ilvl="2" w:tplc="AE127608">
      <w:start w:val="1"/>
      <w:numFmt w:val="bullet"/>
      <w:lvlText w:val=""/>
      <w:lvlJc w:val="left"/>
      <w:pPr>
        <w:ind w:left="720" w:hanging="360"/>
      </w:pPr>
      <w:rPr>
        <w:rFonts w:ascii="Symbol" w:hAnsi="Symbol"/>
      </w:rPr>
    </w:lvl>
    <w:lvl w:ilvl="3" w:tplc="91EC7FAA">
      <w:start w:val="1"/>
      <w:numFmt w:val="bullet"/>
      <w:lvlText w:val=""/>
      <w:lvlJc w:val="left"/>
      <w:pPr>
        <w:ind w:left="720" w:hanging="360"/>
      </w:pPr>
      <w:rPr>
        <w:rFonts w:ascii="Symbol" w:hAnsi="Symbol"/>
      </w:rPr>
    </w:lvl>
    <w:lvl w:ilvl="4" w:tplc="0338E6CE">
      <w:start w:val="1"/>
      <w:numFmt w:val="bullet"/>
      <w:lvlText w:val=""/>
      <w:lvlJc w:val="left"/>
      <w:pPr>
        <w:ind w:left="720" w:hanging="360"/>
      </w:pPr>
      <w:rPr>
        <w:rFonts w:ascii="Symbol" w:hAnsi="Symbol"/>
      </w:rPr>
    </w:lvl>
    <w:lvl w:ilvl="5" w:tplc="02F24980">
      <w:start w:val="1"/>
      <w:numFmt w:val="bullet"/>
      <w:lvlText w:val=""/>
      <w:lvlJc w:val="left"/>
      <w:pPr>
        <w:ind w:left="720" w:hanging="360"/>
      </w:pPr>
      <w:rPr>
        <w:rFonts w:ascii="Symbol" w:hAnsi="Symbol"/>
      </w:rPr>
    </w:lvl>
    <w:lvl w:ilvl="6" w:tplc="30102236">
      <w:start w:val="1"/>
      <w:numFmt w:val="bullet"/>
      <w:lvlText w:val=""/>
      <w:lvlJc w:val="left"/>
      <w:pPr>
        <w:ind w:left="720" w:hanging="360"/>
      </w:pPr>
      <w:rPr>
        <w:rFonts w:ascii="Symbol" w:hAnsi="Symbol"/>
      </w:rPr>
    </w:lvl>
    <w:lvl w:ilvl="7" w:tplc="E3827BEC">
      <w:start w:val="1"/>
      <w:numFmt w:val="bullet"/>
      <w:lvlText w:val=""/>
      <w:lvlJc w:val="left"/>
      <w:pPr>
        <w:ind w:left="720" w:hanging="360"/>
      </w:pPr>
      <w:rPr>
        <w:rFonts w:ascii="Symbol" w:hAnsi="Symbol"/>
      </w:rPr>
    </w:lvl>
    <w:lvl w:ilvl="8" w:tplc="862A7CF0">
      <w:start w:val="1"/>
      <w:numFmt w:val="bullet"/>
      <w:lvlText w:val=""/>
      <w:lvlJc w:val="left"/>
      <w:pPr>
        <w:ind w:left="720" w:hanging="360"/>
      </w:pPr>
      <w:rPr>
        <w:rFonts w:ascii="Symbol" w:hAnsi="Symbol"/>
      </w:rPr>
    </w:lvl>
  </w:abstractNum>
  <w:abstractNum w:abstractNumId="95" w15:restartNumberingAfterBreak="0">
    <w:nsid w:val="638364DE"/>
    <w:multiLevelType w:val="hybridMultilevel"/>
    <w:tmpl w:val="2A7AE6B2"/>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6507198B"/>
    <w:multiLevelType w:val="hybridMultilevel"/>
    <w:tmpl w:val="CE367B0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7" w15:restartNumberingAfterBreak="0">
    <w:nsid w:val="65BC24F6"/>
    <w:multiLevelType w:val="multilevel"/>
    <w:tmpl w:val="2886E1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B60FA5"/>
    <w:multiLevelType w:val="hybridMultilevel"/>
    <w:tmpl w:val="9DDCAA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9" w15:restartNumberingAfterBreak="0">
    <w:nsid w:val="69EA7F08"/>
    <w:multiLevelType w:val="hybridMultilevel"/>
    <w:tmpl w:val="CE2AAFAC"/>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6A0749B6"/>
    <w:multiLevelType w:val="hybridMultilevel"/>
    <w:tmpl w:val="FA58877A"/>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6B310C03"/>
    <w:multiLevelType w:val="hybridMultilevel"/>
    <w:tmpl w:val="E1123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15:restartNumberingAfterBreak="0">
    <w:nsid w:val="6BA30D44"/>
    <w:multiLevelType w:val="hybridMultilevel"/>
    <w:tmpl w:val="35BCB76C"/>
    <w:lvl w:ilvl="0" w:tplc="44481530">
      <w:start w:val="1"/>
      <w:numFmt w:val="bullet"/>
      <w:lvlText w:val=""/>
      <w:lvlJc w:val="left"/>
      <w:pPr>
        <w:ind w:left="1440" w:hanging="360"/>
      </w:pPr>
      <w:rPr>
        <w:rFonts w:ascii="Symbol" w:hAnsi="Symbol"/>
      </w:rPr>
    </w:lvl>
    <w:lvl w:ilvl="1" w:tplc="30C2EB24">
      <w:start w:val="1"/>
      <w:numFmt w:val="bullet"/>
      <w:lvlText w:val=""/>
      <w:lvlJc w:val="left"/>
      <w:pPr>
        <w:ind w:left="1440" w:hanging="360"/>
      </w:pPr>
      <w:rPr>
        <w:rFonts w:ascii="Symbol" w:hAnsi="Symbol"/>
      </w:rPr>
    </w:lvl>
    <w:lvl w:ilvl="2" w:tplc="71322E1C">
      <w:start w:val="1"/>
      <w:numFmt w:val="bullet"/>
      <w:lvlText w:val=""/>
      <w:lvlJc w:val="left"/>
      <w:pPr>
        <w:ind w:left="1440" w:hanging="360"/>
      </w:pPr>
      <w:rPr>
        <w:rFonts w:ascii="Symbol" w:hAnsi="Symbol"/>
      </w:rPr>
    </w:lvl>
    <w:lvl w:ilvl="3" w:tplc="4C746E54">
      <w:start w:val="1"/>
      <w:numFmt w:val="bullet"/>
      <w:lvlText w:val=""/>
      <w:lvlJc w:val="left"/>
      <w:pPr>
        <w:ind w:left="1440" w:hanging="360"/>
      </w:pPr>
      <w:rPr>
        <w:rFonts w:ascii="Symbol" w:hAnsi="Symbol"/>
      </w:rPr>
    </w:lvl>
    <w:lvl w:ilvl="4" w:tplc="2818A7BE">
      <w:start w:val="1"/>
      <w:numFmt w:val="bullet"/>
      <w:lvlText w:val=""/>
      <w:lvlJc w:val="left"/>
      <w:pPr>
        <w:ind w:left="1440" w:hanging="360"/>
      </w:pPr>
      <w:rPr>
        <w:rFonts w:ascii="Symbol" w:hAnsi="Symbol"/>
      </w:rPr>
    </w:lvl>
    <w:lvl w:ilvl="5" w:tplc="A418C990">
      <w:start w:val="1"/>
      <w:numFmt w:val="bullet"/>
      <w:lvlText w:val=""/>
      <w:lvlJc w:val="left"/>
      <w:pPr>
        <w:ind w:left="1440" w:hanging="360"/>
      </w:pPr>
      <w:rPr>
        <w:rFonts w:ascii="Symbol" w:hAnsi="Symbol"/>
      </w:rPr>
    </w:lvl>
    <w:lvl w:ilvl="6" w:tplc="3EE076FC">
      <w:start w:val="1"/>
      <w:numFmt w:val="bullet"/>
      <w:lvlText w:val=""/>
      <w:lvlJc w:val="left"/>
      <w:pPr>
        <w:ind w:left="1440" w:hanging="360"/>
      </w:pPr>
      <w:rPr>
        <w:rFonts w:ascii="Symbol" w:hAnsi="Symbol"/>
      </w:rPr>
    </w:lvl>
    <w:lvl w:ilvl="7" w:tplc="003AF956">
      <w:start w:val="1"/>
      <w:numFmt w:val="bullet"/>
      <w:lvlText w:val=""/>
      <w:lvlJc w:val="left"/>
      <w:pPr>
        <w:ind w:left="1440" w:hanging="360"/>
      </w:pPr>
      <w:rPr>
        <w:rFonts w:ascii="Symbol" w:hAnsi="Symbol"/>
      </w:rPr>
    </w:lvl>
    <w:lvl w:ilvl="8" w:tplc="15547824">
      <w:start w:val="1"/>
      <w:numFmt w:val="bullet"/>
      <w:lvlText w:val=""/>
      <w:lvlJc w:val="left"/>
      <w:pPr>
        <w:ind w:left="1440" w:hanging="360"/>
      </w:pPr>
      <w:rPr>
        <w:rFonts w:ascii="Symbol" w:hAnsi="Symbol"/>
      </w:rPr>
    </w:lvl>
  </w:abstractNum>
  <w:abstractNum w:abstractNumId="103" w15:restartNumberingAfterBreak="0">
    <w:nsid w:val="6CBC42FC"/>
    <w:multiLevelType w:val="hybridMultilevel"/>
    <w:tmpl w:val="23B644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4" w15:restartNumberingAfterBreak="0">
    <w:nsid w:val="6DC91148"/>
    <w:multiLevelType w:val="hybridMultilevel"/>
    <w:tmpl w:val="3334AC0A"/>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6DD01247"/>
    <w:multiLevelType w:val="hybridMultilevel"/>
    <w:tmpl w:val="ADE478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6" w15:restartNumberingAfterBreak="0">
    <w:nsid w:val="739A19F9"/>
    <w:multiLevelType w:val="multilevel"/>
    <w:tmpl w:val="C750BA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025137"/>
    <w:multiLevelType w:val="hybridMultilevel"/>
    <w:tmpl w:val="96CA2720"/>
    <w:lvl w:ilvl="0" w:tplc="AED48D92">
      <w:start w:val="1"/>
      <w:numFmt w:val="upp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8" w15:restartNumberingAfterBreak="0">
    <w:nsid w:val="7459490C"/>
    <w:multiLevelType w:val="multilevel"/>
    <w:tmpl w:val="251ADA5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pStyle w:val="Heading1"/>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844E4C"/>
    <w:multiLevelType w:val="hybridMultilevel"/>
    <w:tmpl w:val="0D4A2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0" w15:restartNumberingAfterBreak="0">
    <w:nsid w:val="749435D6"/>
    <w:multiLevelType w:val="hybridMultilevel"/>
    <w:tmpl w:val="0DACC562"/>
    <w:lvl w:ilvl="0" w:tplc="CF081204">
      <w:start w:val="1"/>
      <w:numFmt w:val="bullet"/>
      <w:lvlText w:val=""/>
      <w:lvlJc w:val="left"/>
      <w:pPr>
        <w:ind w:left="1080" w:hanging="360"/>
      </w:pPr>
      <w:rPr>
        <w:rFonts w:ascii="Symbol" w:hAnsi="Symbol"/>
      </w:rPr>
    </w:lvl>
    <w:lvl w:ilvl="1" w:tplc="9B26B1E0">
      <w:start w:val="1"/>
      <w:numFmt w:val="bullet"/>
      <w:lvlText w:val=""/>
      <w:lvlJc w:val="left"/>
      <w:pPr>
        <w:ind w:left="1080" w:hanging="360"/>
      </w:pPr>
      <w:rPr>
        <w:rFonts w:ascii="Symbol" w:hAnsi="Symbol"/>
      </w:rPr>
    </w:lvl>
    <w:lvl w:ilvl="2" w:tplc="6BECB460">
      <w:start w:val="1"/>
      <w:numFmt w:val="bullet"/>
      <w:lvlText w:val=""/>
      <w:lvlJc w:val="left"/>
      <w:pPr>
        <w:ind w:left="1080" w:hanging="360"/>
      </w:pPr>
      <w:rPr>
        <w:rFonts w:ascii="Symbol" w:hAnsi="Symbol"/>
      </w:rPr>
    </w:lvl>
    <w:lvl w:ilvl="3" w:tplc="75A47C72">
      <w:start w:val="1"/>
      <w:numFmt w:val="bullet"/>
      <w:lvlText w:val=""/>
      <w:lvlJc w:val="left"/>
      <w:pPr>
        <w:ind w:left="1080" w:hanging="360"/>
      </w:pPr>
      <w:rPr>
        <w:rFonts w:ascii="Symbol" w:hAnsi="Symbol"/>
      </w:rPr>
    </w:lvl>
    <w:lvl w:ilvl="4" w:tplc="90B847CE">
      <w:start w:val="1"/>
      <w:numFmt w:val="bullet"/>
      <w:lvlText w:val=""/>
      <w:lvlJc w:val="left"/>
      <w:pPr>
        <w:ind w:left="1080" w:hanging="360"/>
      </w:pPr>
      <w:rPr>
        <w:rFonts w:ascii="Symbol" w:hAnsi="Symbol"/>
      </w:rPr>
    </w:lvl>
    <w:lvl w:ilvl="5" w:tplc="1EEC90EE">
      <w:start w:val="1"/>
      <w:numFmt w:val="bullet"/>
      <w:lvlText w:val=""/>
      <w:lvlJc w:val="left"/>
      <w:pPr>
        <w:ind w:left="1080" w:hanging="360"/>
      </w:pPr>
      <w:rPr>
        <w:rFonts w:ascii="Symbol" w:hAnsi="Symbol"/>
      </w:rPr>
    </w:lvl>
    <w:lvl w:ilvl="6" w:tplc="733A1D1A">
      <w:start w:val="1"/>
      <w:numFmt w:val="bullet"/>
      <w:lvlText w:val=""/>
      <w:lvlJc w:val="left"/>
      <w:pPr>
        <w:ind w:left="1080" w:hanging="360"/>
      </w:pPr>
      <w:rPr>
        <w:rFonts w:ascii="Symbol" w:hAnsi="Symbol"/>
      </w:rPr>
    </w:lvl>
    <w:lvl w:ilvl="7" w:tplc="DA323C74">
      <w:start w:val="1"/>
      <w:numFmt w:val="bullet"/>
      <w:lvlText w:val=""/>
      <w:lvlJc w:val="left"/>
      <w:pPr>
        <w:ind w:left="1080" w:hanging="360"/>
      </w:pPr>
      <w:rPr>
        <w:rFonts w:ascii="Symbol" w:hAnsi="Symbol"/>
      </w:rPr>
    </w:lvl>
    <w:lvl w:ilvl="8" w:tplc="8BAE3546">
      <w:start w:val="1"/>
      <w:numFmt w:val="bullet"/>
      <w:lvlText w:val=""/>
      <w:lvlJc w:val="left"/>
      <w:pPr>
        <w:ind w:left="1080" w:hanging="360"/>
      </w:pPr>
      <w:rPr>
        <w:rFonts w:ascii="Symbol" w:hAnsi="Symbol"/>
      </w:rPr>
    </w:lvl>
  </w:abstractNum>
  <w:abstractNum w:abstractNumId="111" w15:restartNumberingAfterBreak="0">
    <w:nsid w:val="74C31C39"/>
    <w:multiLevelType w:val="hybridMultilevel"/>
    <w:tmpl w:val="CBAE5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2" w15:restartNumberingAfterBreak="0">
    <w:nsid w:val="755E55A9"/>
    <w:multiLevelType w:val="hybridMultilevel"/>
    <w:tmpl w:val="FFFFFFFF"/>
    <w:lvl w:ilvl="0" w:tplc="FD4E5848">
      <w:start w:val="1"/>
      <w:numFmt w:val="decimal"/>
      <w:lvlText w:val="%1."/>
      <w:lvlJc w:val="left"/>
      <w:pPr>
        <w:ind w:left="720" w:hanging="360"/>
      </w:pPr>
    </w:lvl>
    <w:lvl w:ilvl="1" w:tplc="3B0A5A9A">
      <w:start w:val="1"/>
      <w:numFmt w:val="bullet"/>
      <w:lvlText w:val="·"/>
      <w:lvlJc w:val="left"/>
      <w:pPr>
        <w:ind w:left="1440" w:hanging="360"/>
      </w:pPr>
      <w:rPr>
        <w:rFonts w:ascii="Symbol" w:hAnsi="Symbol" w:hint="default"/>
      </w:rPr>
    </w:lvl>
    <w:lvl w:ilvl="2" w:tplc="298C3A86">
      <w:start w:val="1"/>
      <w:numFmt w:val="lowerRoman"/>
      <w:lvlText w:val="%3."/>
      <w:lvlJc w:val="right"/>
      <w:pPr>
        <w:ind w:left="2160" w:hanging="180"/>
      </w:pPr>
    </w:lvl>
    <w:lvl w:ilvl="3" w:tplc="77240EB4">
      <w:start w:val="1"/>
      <w:numFmt w:val="decimal"/>
      <w:lvlText w:val="%4."/>
      <w:lvlJc w:val="left"/>
      <w:pPr>
        <w:ind w:left="2880" w:hanging="360"/>
      </w:pPr>
    </w:lvl>
    <w:lvl w:ilvl="4" w:tplc="5F0CB27A">
      <w:start w:val="1"/>
      <w:numFmt w:val="lowerLetter"/>
      <w:lvlText w:val="%5."/>
      <w:lvlJc w:val="left"/>
      <w:pPr>
        <w:ind w:left="3600" w:hanging="360"/>
      </w:pPr>
    </w:lvl>
    <w:lvl w:ilvl="5" w:tplc="7E4CC8E2">
      <w:start w:val="1"/>
      <w:numFmt w:val="lowerRoman"/>
      <w:lvlText w:val="%6."/>
      <w:lvlJc w:val="right"/>
      <w:pPr>
        <w:ind w:left="4320" w:hanging="180"/>
      </w:pPr>
    </w:lvl>
    <w:lvl w:ilvl="6" w:tplc="1114AD82">
      <w:start w:val="1"/>
      <w:numFmt w:val="decimal"/>
      <w:lvlText w:val="%7."/>
      <w:lvlJc w:val="left"/>
      <w:pPr>
        <w:ind w:left="5040" w:hanging="360"/>
      </w:pPr>
    </w:lvl>
    <w:lvl w:ilvl="7" w:tplc="FA461332">
      <w:start w:val="1"/>
      <w:numFmt w:val="lowerLetter"/>
      <w:lvlText w:val="%8."/>
      <w:lvlJc w:val="left"/>
      <w:pPr>
        <w:ind w:left="5760" w:hanging="360"/>
      </w:pPr>
    </w:lvl>
    <w:lvl w:ilvl="8" w:tplc="A5F06CF0">
      <w:start w:val="1"/>
      <w:numFmt w:val="lowerRoman"/>
      <w:lvlText w:val="%9."/>
      <w:lvlJc w:val="right"/>
      <w:pPr>
        <w:ind w:left="6480" w:hanging="180"/>
      </w:pPr>
    </w:lvl>
  </w:abstractNum>
  <w:abstractNum w:abstractNumId="113" w15:restartNumberingAfterBreak="0">
    <w:nsid w:val="7672482D"/>
    <w:multiLevelType w:val="hybridMultilevel"/>
    <w:tmpl w:val="41FA5EB8"/>
    <w:lvl w:ilvl="0" w:tplc="A5EA8DE4">
      <w:start w:val="1"/>
      <w:numFmt w:val="lowerLetter"/>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76795063"/>
    <w:multiLevelType w:val="hybridMultilevel"/>
    <w:tmpl w:val="3796F76A"/>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7721717F"/>
    <w:multiLevelType w:val="hybridMultilevel"/>
    <w:tmpl w:val="DC66B8A6"/>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80D68C6"/>
    <w:multiLevelType w:val="hybridMultilevel"/>
    <w:tmpl w:val="683C1C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7" w15:restartNumberingAfterBreak="0">
    <w:nsid w:val="794C3BC7"/>
    <w:multiLevelType w:val="hybridMultilevel"/>
    <w:tmpl w:val="F9A6DD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8" w15:restartNumberingAfterBreak="0">
    <w:nsid w:val="79975E40"/>
    <w:multiLevelType w:val="hybridMultilevel"/>
    <w:tmpl w:val="33CA1A24"/>
    <w:lvl w:ilvl="0" w:tplc="4060EDDE">
      <w:start w:val="1"/>
      <w:numFmt w:val="bullet"/>
      <w:lvlText w:val=""/>
      <w:lvlJc w:val="left"/>
      <w:pPr>
        <w:ind w:left="1080" w:hanging="360"/>
      </w:pPr>
      <w:rPr>
        <w:rFonts w:ascii="Symbol" w:hAnsi="Symbol"/>
      </w:rPr>
    </w:lvl>
    <w:lvl w:ilvl="1" w:tplc="DC4862C2">
      <w:start w:val="1"/>
      <w:numFmt w:val="bullet"/>
      <w:lvlText w:val=""/>
      <w:lvlJc w:val="left"/>
      <w:pPr>
        <w:ind w:left="1080" w:hanging="360"/>
      </w:pPr>
      <w:rPr>
        <w:rFonts w:ascii="Symbol" w:hAnsi="Symbol"/>
      </w:rPr>
    </w:lvl>
    <w:lvl w:ilvl="2" w:tplc="207A5D9C">
      <w:start w:val="1"/>
      <w:numFmt w:val="bullet"/>
      <w:lvlText w:val=""/>
      <w:lvlJc w:val="left"/>
      <w:pPr>
        <w:ind w:left="1080" w:hanging="360"/>
      </w:pPr>
      <w:rPr>
        <w:rFonts w:ascii="Symbol" w:hAnsi="Symbol"/>
      </w:rPr>
    </w:lvl>
    <w:lvl w:ilvl="3" w:tplc="B67EA41A">
      <w:start w:val="1"/>
      <w:numFmt w:val="bullet"/>
      <w:lvlText w:val=""/>
      <w:lvlJc w:val="left"/>
      <w:pPr>
        <w:ind w:left="1080" w:hanging="360"/>
      </w:pPr>
      <w:rPr>
        <w:rFonts w:ascii="Symbol" w:hAnsi="Symbol"/>
      </w:rPr>
    </w:lvl>
    <w:lvl w:ilvl="4" w:tplc="15FA7D28">
      <w:start w:val="1"/>
      <w:numFmt w:val="bullet"/>
      <w:lvlText w:val=""/>
      <w:lvlJc w:val="left"/>
      <w:pPr>
        <w:ind w:left="1080" w:hanging="360"/>
      </w:pPr>
      <w:rPr>
        <w:rFonts w:ascii="Symbol" w:hAnsi="Symbol"/>
      </w:rPr>
    </w:lvl>
    <w:lvl w:ilvl="5" w:tplc="C5F4C7FA">
      <w:start w:val="1"/>
      <w:numFmt w:val="bullet"/>
      <w:lvlText w:val=""/>
      <w:lvlJc w:val="left"/>
      <w:pPr>
        <w:ind w:left="1080" w:hanging="360"/>
      </w:pPr>
      <w:rPr>
        <w:rFonts w:ascii="Symbol" w:hAnsi="Symbol"/>
      </w:rPr>
    </w:lvl>
    <w:lvl w:ilvl="6" w:tplc="692A0974">
      <w:start w:val="1"/>
      <w:numFmt w:val="bullet"/>
      <w:lvlText w:val=""/>
      <w:lvlJc w:val="left"/>
      <w:pPr>
        <w:ind w:left="1080" w:hanging="360"/>
      </w:pPr>
      <w:rPr>
        <w:rFonts w:ascii="Symbol" w:hAnsi="Symbol"/>
      </w:rPr>
    </w:lvl>
    <w:lvl w:ilvl="7" w:tplc="E37E0784">
      <w:start w:val="1"/>
      <w:numFmt w:val="bullet"/>
      <w:lvlText w:val=""/>
      <w:lvlJc w:val="left"/>
      <w:pPr>
        <w:ind w:left="1080" w:hanging="360"/>
      </w:pPr>
      <w:rPr>
        <w:rFonts w:ascii="Symbol" w:hAnsi="Symbol"/>
      </w:rPr>
    </w:lvl>
    <w:lvl w:ilvl="8" w:tplc="CA76C922">
      <w:start w:val="1"/>
      <w:numFmt w:val="bullet"/>
      <w:lvlText w:val=""/>
      <w:lvlJc w:val="left"/>
      <w:pPr>
        <w:ind w:left="1080" w:hanging="360"/>
      </w:pPr>
      <w:rPr>
        <w:rFonts w:ascii="Symbol" w:hAnsi="Symbol"/>
      </w:rPr>
    </w:lvl>
  </w:abstractNum>
  <w:abstractNum w:abstractNumId="119" w15:restartNumberingAfterBreak="0">
    <w:nsid w:val="7B251BAD"/>
    <w:multiLevelType w:val="hybridMultilevel"/>
    <w:tmpl w:val="01D22CCE"/>
    <w:lvl w:ilvl="0" w:tplc="1409000F">
      <w:start w:val="1"/>
      <w:numFmt w:val="decimal"/>
      <w:lvlText w:val="%1."/>
      <w:lvlJc w:val="left"/>
      <w:pPr>
        <w:ind w:left="360" w:hanging="360"/>
      </w:pPr>
      <w:rPr>
        <w:rFonts w:hint="default"/>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7EBF3E94"/>
    <w:multiLevelType w:val="hybridMultilevel"/>
    <w:tmpl w:val="C8920C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1" w15:restartNumberingAfterBreak="0">
    <w:nsid w:val="7F995388"/>
    <w:multiLevelType w:val="hybridMultilevel"/>
    <w:tmpl w:val="B4B03986"/>
    <w:lvl w:ilvl="0" w:tplc="1409000F">
      <w:start w:val="1"/>
      <w:numFmt w:val="decimal"/>
      <w:lvlText w:val="%1."/>
      <w:lvlJc w:val="left"/>
      <w:pPr>
        <w:ind w:left="360" w:hanging="360"/>
      </w:pPr>
      <w:rPr>
        <w:rFonts w:hint="default"/>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FC746DE"/>
    <w:multiLevelType w:val="hybridMultilevel"/>
    <w:tmpl w:val="F77034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0222706">
    <w:abstractNumId w:val="87"/>
  </w:num>
  <w:num w:numId="2" w16cid:durableId="1984119602">
    <w:abstractNumId w:val="42"/>
  </w:num>
  <w:num w:numId="3" w16cid:durableId="242841471">
    <w:abstractNumId w:val="31"/>
  </w:num>
  <w:num w:numId="4" w16cid:durableId="153768676">
    <w:abstractNumId w:val="76"/>
  </w:num>
  <w:num w:numId="5" w16cid:durableId="436487675">
    <w:abstractNumId w:val="117"/>
  </w:num>
  <w:num w:numId="6" w16cid:durableId="1341350796">
    <w:abstractNumId w:val="51"/>
  </w:num>
  <w:num w:numId="7" w16cid:durableId="1920557839">
    <w:abstractNumId w:val="98"/>
  </w:num>
  <w:num w:numId="8" w16cid:durableId="526405752">
    <w:abstractNumId w:val="4"/>
  </w:num>
  <w:num w:numId="9" w16cid:durableId="1730882059">
    <w:abstractNumId w:val="36"/>
  </w:num>
  <w:num w:numId="10" w16cid:durableId="184709655">
    <w:abstractNumId w:val="75"/>
  </w:num>
  <w:num w:numId="11" w16cid:durableId="964042859">
    <w:abstractNumId w:val="71"/>
  </w:num>
  <w:num w:numId="12" w16cid:durableId="1487627466">
    <w:abstractNumId w:val="84"/>
  </w:num>
  <w:num w:numId="13" w16cid:durableId="1519612749">
    <w:abstractNumId w:val="65"/>
  </w:num>
  <w:num w:numId="14" w16cid:durableId="779223273">
    <w:abstractNumId w:val="96"/>
  </w:num>
  <w:num w:numId="15" w16cid:durableId="249854152">
    <w:abstractNumId w:val="91"/>
  </w:num>
  <w:num w:numId="16" w16cid:durableId="1826358010">
    <w:abstractNumId w:val="17"/>
  </w:num>
  <w:num w:numId="17" w16cid:durableId="1446578440">
    <w:abstractNumId w:val="18"/>
  </w:num>
  <w:num w:numId="18" w16cid:durableId="670908573">
    <w:abstractNumId w:val="19"/>
  </w:num>
  <w:num w:numId="19" w16cid:durableId="877357380">
    <w:abstractNumId w:val="52"/>
  </w:num>
  <w:num w:numId="20" w16cid:durableId="781192480">
    <w:abstractNumId w:val="90"/>
  </w:num>
  <w:num w:numId="21" w16cid:durableId="436869524">
    <w:abstractNumId w:val="3"/>
  </w:num>
  <w:num w:numId="22" w16cid:durableId="190579180">
    <w:abstractNumId w:val="101"/>
  </w:num>
  <w:num w:numId="23" w16cid:durableId="722171029">
    <w:abstractNumId w:val="61"/>
  </w:num>
  <w:num w:numId="24" w16cid:durableId="1953660251">
    <w:abstractNumId w:val="21"/>
  </w:num>
  <w:num w:numId="25" w16cid:durableId="1209998266">
    <w:abstractNumId w:val="39"/>
  </w:num>
  <w:num w:numId="26" w16cid:durableId="1652633380">
    <w:abstractNumId w:val="80"/>
  </w:num>
  <w:num w:numId="27" w16cid:durableId="406878790">
    <w:abstractNumId w:val="35"/>
  </w:num>
  <w:num w:numId="28" w16cid:durableId="224880763">
    <w:abstractNumId w:val="25"/>
  </w:num>
  <w:num w:numId="29" w16cid:durableId="1908568186">
    <w:abstractNumId w:val="107"/>
  </w:num>
  <w:num w:numId="30" w16cid:durableId="975373802">
    <w:abstractNumId w:val="1"/>
  </w:num>
  <w:num w:numId="31" w16cid:durableId="1379235845">
    <w:abstractNumId w:val="37"/>
  </w:num>
  <w:num w:numId="32" w16cid:durableId="746028370">
    <w:abstractNumId w:val="8"/>
  </w:num>
  <w:num w:numId="33" w16cid:durableId="1542790733">
    <w:abstractNumId w:val="47"/>
  </w:num>
  <w:num w:numId="34" w16cid:durableId="742722035">
    <w:abstractNumId w:val="97"/>
  </w:num>
  <w:num w:numId="35" w16cid:durableId="1081873669">
    <w:abstractNumId w:val="7"/>
  </w:num>
  <w:num w:numId="36" w16cid:durableId="1079205499">
    <w:abstractNumId w:val="44"/>
  </w:num>
  <w:num w:numId="37" w16cid:durableId="484202543">
    <w:abstractNumId w:val="63"/>
  </w:num>
  <w:num w:numId="38" w16cid:durableId="1712684435">
    <w:abstractNumId w:val="73"/>
  </w:num>
  <w:num w:numId="39" w16cid:durableId="1512332507">
    <w:abstractNumId w:val="53"/>
  </w:num>
  <w:num w:numId="40" w16cid:durableId="1616018060">
    <w:abstractNumId w:val="12"/>
  </w:num>
  <w:num w:numId="41" w16cid:durableId="985938624">
    <w:abstractNumId w:val="104"/>
  </w:num>
  <w:num w:numId="42" w16cid:durableId="57093810">
    <w:abstractNumId w:val="82"/>
  </w:num>
  <w:num w:numId="43" w16cid:durableId="620191549">
    <w:abstractNumId w:val="99"/>
  </w:num>
  <w:num w:numId="44" w16cid:durableId="268122892">
    <w:abstractNumId w:val="67"/>
  </w:num>
  <w:num w:numId="45" w16cid:durableId="186262439">
    <w:abstractNumId w:val="100"/>
  </w:num>
  <w:num w:numId="46" w16cid:durableId="62023848">
    <w:abstractNumId w:val="32"/>
  </w:num>
  <w:num w:numId="47" w16cid:durableId="287669682">
    <w:abstractNumId w:val="2"/>
  </w:num>
  <w:num w:numId="48" w16cid:durableId="1922367810">
    <w:abstractNumId w:val="38"/>
  </w:num>
  <w:num w:numId="49" w16cid:durableId="1105880438">
    <w:abstractNumId w:val="30"/>
  </w:num>
  <w:num w:numId="50" w16cid:durableId="1490635281">
    <w:abstractNumId w:val="60"/>
  </w:num>
  <w:num w:numId="51" w16cid:durableId="1196311604">
    <w:abstractNumId w:val="28"/>
  </w:num>
  <w:num w:numId="52" w16cid:durableId="724453449">
    <w:abstractNumId w:val="15"/>
  </w:num>
  <w:num w:numId="53" w16cid:durableId="834762850">
    <w:abstractNumId w:val="114"/>
  </w:num>
  <w:num w:numId="54" w16cid:durableId="436754530">
    <w:abstractNumId w:val="68"/>
  </w:num>
  <w:num w:numId="55" w16cid:durableId="1664504491">
    <w:abstractNumId w:val="45"/>
  </w:num>
  <w:num w:numId="56" w16cid:durableId="6835451">
    <w:abstractNumId w:val="86"/>
  </w:num>
  <w:num w:numId="57" w16cid:durableId="1902056042">
    <w:abstractNumId w:val="79"/>
  </w:num>
  <w:num w:numId="58" w16cid:durableId="406808970">
    <w:abstractNumId w:val="113"/>
  </w:num>
  <w:num w:numId="59" w16cid:durableId="1994407453">
    <w:abstractNumId w:val="95"/>
  </w:num>
  <w:num w:numId="60" w16cid:durableId="1526020040">
    <w:abstractNumId w:val="74"/>
  </w:num>
  <w:num w:numId="61" w16cid:durableId="1021080844">
    <w:abstractNumId w:val="93"/>
  </w:num>
  <w:num w:numId="62" w16cid:durableId="1940134374">
    <w:abstractNumId w:val="69"/>
  </w:num>
  <w:num w:numId="63" w16cid:durableId="1755084848">
    <w:abstractNumId w:val="13"/>
  </w:num>
  <w:num w:numId="64" w16cid:durableId="27806187">
    <w:abstractNumId w:val="88"/>
  </w:num>
  <w:num w:numId="65" w16cid:durableId="2039618331">
    <w:abstractNumId w:val="119"/>
  </w:num>
  <w:num w:numId="66" w16cid:durableId="1282760518">
    <w:abstractNumId w:val="121"/>
  </w:num>
  <w:num w:numId="67" w16cid:durableId="986738739">
    <w:abstractNumId w:val="34"/>
  </w:num>
  <w:num w:numId="68" w16cid:durableId="1641761705">
    <w:abstractNumId w:val="72"/>
  </w:num>
  <w:num w:numId="69" w16cid:durableId="1021007757">
    <w:abstractNumId w:val="33"/>
  </w:num>
  <w:num w:numId="70" w16cid:durableId="522866220">
    <w:abstractNumId w:val="64"/>
  </w:num>
  <w:num w:numId="71" w16cid:durableId="65344053">
    <w:abstractNumId w:val="55"/>
  </w:num>
  <w:num w:numId="72" w16cid:durableId="392434284">
    <w:abstractNumId w:val="27"/>
  </w:num>
  <w:num w:numId="73" w16cid:durableId="1781219537">
    <w:abstractNumId w:val="83"/>
  </w:num>
  <w:num w:numId="74" w16cid:durableId="1323506208">
    <w:abstractNumId w:val="9"/>
  </w:num>
  <w:num w:numId="75" w16cid:durableId="950741050">
    <w:abstractNumId w:val="102"/>
  </w:num>
  <w:num w:numId="76" w16cid:durableId="1037201844">
    <w:abstractNumId w:val="57"/>
  </w:num>
  <w:num w:numId="77" w16cid:durableId="807088925">
    <w:abstractNumId w:val="26"/>
  </w:num>
  <w:num w:numId="78" w16cid:durableId="843086497">
    <w:abstractNumId w:val="16"/>
  </w:num>
  <w:num w:numId="79" w16cid:durableId="862743766">
    <w:abstractNumId w:val="70"/>
  </w:num>
  <w:num w:numId="80" w16cid:durableId="505172123">
    <w:abstractNumId w:val="41"/>
  </w:num>
  <w:num w:numId="81" w16cid:durableId="1639534177">
    <w:abstractNumId w:val="23"/>
  </w:num>
  <w:num w:numId="82" w16cid:durableId="482890832">
    <w:abstractNumId w:val="62"/>
  </w:num>
  <w:num w:numId="83" w16cid:durableId="843252798">
    <w:abstractNumId w:val="103"/>
  </w:num>
  <w:num w:numId="84" w16cid:durableId="1103308908">
    <w:abstractNumId w:val="120"/>
  </w:num>
  <w:num w:numId="85" w16cid:durableId="1995254605">
    <w:abstractNumId w:val="78"/>
  </w:num>
  <w:num w:numId="86" w16cid:durableId="1961842912">
    <w:abstractNumId w:val="24"/>
  </w:num>
  <w:num w:numId="87" w16cid:durableId="618993029">
    <w:abstractNumId w:val="10"/>
  </w:num>
  <w:num w:numId="88" w16cid:durableId="1198616398">
    <w:abstractNumId w:val="77"/>
  </w:num>
  <w:num w:numId="89" w16cid:durableId="1056005779">
    <w:abstractNumId w:val="109"/>
  </w:num>
  <w:num w:numId="90" w16cid:durableId="789514063">
    <w:abstractNumId w:val="20"/>
  </w:num>
  <w:num w:numId="91" w16cid:durableId="1463497127">
    <w:abstractNumId w:val="11"/>
  </w:num>
  <w:num w:numId="92" w16cid:durableId="945308642">
    <w:abstractNumId w:val="122"/>
  </w:num>
  <w:num w:numId="93" w16cid:durableId="342754117">
    <w:abstractNumId w:val="89"/>
  </w:num>
  <w:num w:numId="94" w16cid:durableId="2143188238">
    <w:abstractNumId w:val="105"/>
  </w:num>
  <w:num w:numId="95" w16cid:durableId="230239232">
    <w:abstractNumId w:val="49"/>
  </w:num>
  <w:num w:numId="96" w16cid:durableId="2103910351">
    <w:abstractNumId w:val="112"/>
  </w:num>
  <w:num w:numId="97" w16cid:durableId="442267480">
    <w:abstractNumId w:val="50"/>
  </w:num>
  <w:num w:numId="98" w16cid:durableId="1244757932">
    <w:abstractNumId w:val="54"/>
  </w:num>
  <w:num w:numId="99" w16cid:durableId="1104807648">
    <w:abstractNumId w:val="0"/>
  </w:num>
  <w:num w:numId="100" w16cid:durableId="243808206">
    <w:abstractNumId w:val="59"/>
  </w:num>
  <w:num w:numId="101" w16cid:durableId="1117679206">
    <w:abstractNumId w:val="94"/>
  </w:num>
  <w:num w:numId="102" w16cid:durableId="7830353">
    <w:abstractNumId w:val="46"/>
  </w:num>
  <w:num w:numId="103" w16cid:durableId="1646087504">
    <w:abstractNumId w:val="56"/>
  </w:num>
  <w:num w:numId="104" w16cid:durableId="876507273">
    <w:abstractNumId w:val="106"/>
  </w:num>
  <w:num w:numId="105" w16cid:durableId="1132555308">
    <w:abstractNumId w:val="22"/>
  </w:num>
  <w:num w:numId="106" w16cid:durableId="1986427619">
    <w:abstractNumId w:val="58"/>
  </w:num>
  <w:num w:numId="107" w16cid:durableId="1652824732">
    <w:abstractNumId w:val="6"/>
  </w:num>
  <w:num w:numId="108" w16cid:durableId="1279676517">
    <w:abstractNumId w:val="116"/>
  </w:num>
  <w:num w:numId="109" w16cid:durableId="1037510779">
    <w:abstractNumId w:val="43"/>
  </w:num>
  <w:num w:numId="110" w16cid:durableId="1479149427">
    <w:abstractNumId w:val="108"/>
  </w:num>
  <w:num w:numId="111" w16cid:durableId="1932082731">
    <w:abstractNumId w:val="108"/>
  </w:num>
  <w:num w:numId="112" w16cid:durableId="1762725215">
    <w:abstractNumId w:val="40"/>
  </w:num>
  <w:num w:numId="113" w16cid:durableId="346293851">
    <w:abstractNumId w:val="111"/>
  </w:num>
  <w:num w:numId="114" w16cid:durableId="1869833678">
    <w:abstractNumId w:val="81"/>
  </w:num>
  <w:num w:numId="115" w16cid:durableId="120921839">
    <w:abstractNumId w:val="110"/>
  </w:num>
  <w:num w:numId="116" w16cid:durableId="1441336020">
    <w:abstractNumId w:val="118"/>
  </w:num>
  <w:num w:numId="117" w16cid:durableId="167791936">
    <w:abstractNumId w:val="5"/>
  </w:num>
  <w:num w:numId="118" w16cid:durableId="1448231676">
    <w:abstractNumId w:val="14"/>
  </w:num>
  <w:num w:numId="119" w16cid:durableId="1244799673">
    <w:abstractNumId w:val="85"/>
  </w:num>
  <w:num w:numId="120" w16cid:durableId="1090351855">
    <w:abstractNumId w:val="29"/>
  </w:num>
  <w:num w:numId="121" w16cid:durableId="1350714310">
    <w:abstractNumId w:val="48"/>
  </w:num>
  <w:num w:numId="122" w16cid:durableId="744374735">
    <w:abstractNumId w:val="66"/>
  </w:num>
  <w:num w:numId="123" w16cid:durableId="1194803406">
    <w:abstractNumId w:val="92"/>
  </w:num>
  <w:num w:numId="124" w16cid:durableId="1813057669">
    <w:abstractNumId w:val="11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F0"/>
    <w:rsid w:val="0000006E"/>
    <w:rsid w:val="000000BF"/>
    <w:rsid w:val="0000011C"/>
    <w:rsid w:val="000001E3"/>
    <w:rsid w:val="00000259"/>
    <w:rsid w:val="000002FB"/>
    <w:rsid w:val="0000036F"/>
    <w:rsid w:val="00000376"/>
    <w:rsid w:val="000003F3"/>
    <w:rsid w:val="000004CB"/>
    <w:rsid w:val="00000613"/>
    <w:rsid w:val="00000792"/>
    <w:rsid w:val="0000096C"/>
    <w:rsid w:val="00000A41"/>
    <w:rsid w:val="00000AB6"/>
    <w:rsid w:val="00000C57"/>
    <w:rsid w:val="00000DAD"/>
    <w:rsid w:val="00000E57"/>
    <w:rsid w:val="00000E84"/>
    <w:rsid w:val="00000EB6"/>
    <w:rsid w:val="00000F74"/>
    <w:rsid w:val="000011CB"/>
    <w:rsid w:val="00001374"/>
    <w:rsid w:val="00001404"/>
    <w:rsid w:val="00001493"/>
    <w:rsid w:val="00001644"/>
    <w:rsid w:val="000016FD"/>
    <w:rsid w:val="00001860"/>
    <w:rsid w:val="000019F4"/>
    <w:rsid w:val="00001C8C"/>
    <w:rsid w:val="00001DF8"/>
    <w:rsid w:val="00001EBC"/>
    <w:rsid w:val="00001FB7"/>
    <w:rsid w:val="00002146"/>
    <w:rsid w:val="000021B3"/>
    <w:rsid w:val="000022D7"/>
    <w:rsid w:val="00002305"/>
    <w:rsid w:val="00002419"/>
    <w:rsid w:val="0000265D"/>
    <w:rsid w:val="00002666"/>
    <w:rsid w:val="0000269A"/>
    <w:rsid w:val="000026FC"/>
    <w:rsid w:val="000027D3"/>
    <w:rsid w:val="00002878"/>
    <w:rsid w:val="000029AC"/>
    <w:rsid w:val="000029C9"/>
    <w:rsid w:val="00002AEC"/>
    <w:rsid w:val="00002B6B"/>
    <w:rsid w:val="00002BC0"/>
    <w:rsid w:val="00002BF5"/>
    <w:rsid w:val="00002C74"/>
    <w:rsid w:val="00002E51"/>
    <w:rsid w:val="00002E57"/>
    <w:rsid w:val="00002E87"/>
    <w:rsid w:val="00002F07"/>
    <w:rsid w:val="000032AF"/>
    <w:rsid w:val="0000330B"/>
    <w:rsid w:val="0000334E"/>
    <w:rsid w:val="000034D7"/>
    <w:rsid w:val="00003645"/>
    <w:rsid w:val="0000375C"/>
    <w:rsid w:val="00003A9B"/>
    <w:rsid w:val="00003B25"/>
    <w:rsid w:val="00003C55"/>
    <w:rsid w:val="00003C89"/>
    <w:rsid w:val="0000407D"/>
    <w:rsid w:val="00004503"/>
    <w:rsid w:val="0000456E"/>
    <w:rsid w:val="00004594"/>
    <w:rsid w:val="000045A1"/>
    <w:rsid w:val="0000470A"/>
    <w:rsid w:val="0000480E"/>
    <w:rsid w:val="000048BA"/>
    <w:rsid w:val="00004948"/>
    <w:rsid w:val="00004A18"/>
    <w:rsid w:val="00004D7E"/>
    <w:rsid w:val="00004DD9"/>
    <w:rsid w:val="00005023"/>
    <w:rsid w:val="00005065"/>
    <w:rsid w:val="000050B8"/>
    <w:rsid w:val="0000511D"/>
    <w:rsid w:val="0000536C"/>
    <w:rsid w:val="0000562C"/>
    <w:rsid w:val="00005686"/>
    <w:rsid w:val="000056CB"/>
    <w:rsid w:val="000056D3"/>
    <w:rsid w:val="0000587F"/>
    <w:rsid w:val="00005977"/>
    <w:rsid w:val="000059F6"/>
    <w:rsid w:val="00005CC6"/>
    <w:rsid w:val="00005FE2"/>
    <w:rsid w:val="00006071"/>
    <w:rsid w:val="00006389"/>
    <w:rsid w:val="000064C1"/>
    <w:rsid w:val="00006590"/>
    <w:rsid w:val="00006675"/>
    <w:rsid w:val="0000673E"/>
    <w:rsid w:val="0000681A"/>
    <w:rsid w:val="00006859"/>
    <w:rsid w:val="00006993"/>
    <w:rsid w:val="00006AB1"/>
    <w:rsid w:val="00006C07"/>
    <w:rsid w:val="00006DC6"/>
    <w:rsid w:val="00006EC0"/>
    <w:rsid w:val="00006EC3"/>
    <w:rsid w:val="000073CD"/>
    <w:rsid w:val="00007683"/>
    <w:rsid w:val="00007890"/>
    <w:rsid w:val="00007912"/>
    <w:rsid w:val="00007A38"/>
    <w:rsid w:val="00007C26"/>
    <w:rsid w:val="00007E34"/>
    <w:rsid w:val="00007EA8"/>
    <w:rsid w:val="0001000E"/>
    <w:rsid w:val="000100E9"/>
    <w:rsid w:val="000101F0"/>
    <w:rsid w:val="000103C0"/>
    <w:rsid w:val="0001044F"/>
    <w:rsid w:val="00010556"/>
    <w:rsid w:val="000105AA"/>
    <w:rsid w:val="000105E5"/>
    <w:rsid w:val="000106F7"/>
    <w:rsid w:val="0001073E"/>
    <w:rsid w:val="00010741"/>
    <w:rsid w:val="0001074C"/>
    <w:rsid w:val="000107D5"/>
    <w:rsid w:val="00010846"/>
    <w:rsid w:val="00010878"/>
    <w:rsid w:val="000108A1"/>
    <w:rsid w:val="00010E03"/>
    <w:rsid w:val="00010E77"/>
    <w:rsid w:val="00010ED3"/>
    <w:rsid w:val="00010EDE"/>
    <w:rsid w:val="00011075"/>
    <w:rsid w:val="000110C0"/>
    <w:rsid w:val="000111A6"/>
    <w:rsid w:val="000111ED"/>
    <w:rsid w:val="000113C0"/>
    <w:rsid w:val="00011480"/>
    <w:rsid w:val="00011764"/>
    <w:rsid w:val="000117BA"/>
    <w:rsid w:val="00011854"/>
    <w:rsid w:val="000118A3"/>
    <w:rsid w:val="00011F95"/>
    <w:rsid w:val="0001216B"/>
    <w:rsid w:val="00012350"/>
    <w:rsid w:val="00012358"/>
    <w:rsid w:val="000123AE"/>
    <w:rsid w:val="00012455"/>
    <w:rsid w:val="000124CB"/>
    <w:rsid w:val="0001250A"/>
    <w:rsid w:val="000127E6"/>
    <w:rsid w:val="00012855"/>
    <w:rsid w:val="000128EB"/>
    <w:rsid w:val="00012A12"/>
    <w:rsid w:val="00012CD5"/>
    <w:rsid w:val="00012E3A"/>
    <w:rsid w:val="00012E41"/>
    <w:rsid w:val="00012E5F"/>
    <w:rsid w:val="00012F74"/>
    <w:rsid w:val="00013039"/>
    <w:rsid w:val="00013140"/>
    <w:rsid w:val="000131B1"/>
    <w:rsid w:val="0001346E"/>
    <w:rsid w:val="000136D4"/>
    <w:rsid w:val="000137E5"/>
    <w:rsid w:val="000138A9"/>
    <w:rsid w:val="00013A0A"/>
    <w:rsid w:val="00013C10"/>
    <w:rsid w:val="00013C20"/>
    <w:rsid w:val="00013C79"/>
    <w:rsid w:val="00013DAF"/>
    <w:rsid w:val="00013DC1"/>
    <w:rsid w:val="00013E21"/>
    <w:rsid w:val="00013EA7"/>
    <w:rsid w:val="00013F78"/>
    <w:rsid w:val="000142F5"/>
    <w:rsid w:val="000144B9"/>
    <w:rsid w:val="000144EA"/>
    <w:rsid w:val="00014545"/>
    <w:rsid w:val="00014546"/>
    <w:rsid w:val="00014549"/>
    <w:rsid w:val="00014598"/>
    <w:rsid w:val="0001466A"/>
    <w:rsid w:val="000147FD"/>
    <w:rsid w:val="00014857"/>
    <w:rsid w:val="0001493C"/>
    <w:rsid w:val="00014A94"/>
    <w:rsid w:val="00014B4C"/>
    <w:rsid w:val="00014CF3"/>
    <w:rsid w:val="00014D73"/>
    <w:rsid w:val="00014E2E"/>
    <w:rsid w:val="00014E8C"/>
    <w:rsid w:val="00014EFE"/>
    <w:rsid w:val="00014F9B"/>
    <w:rsid w:val="00015021"/>
    <w:rsid w:val="00015152"/>
    <w:rsid w:val="000156E6"/>
    <w:rsid w:val="000156EE"/>
    <w:rsid w:val="00015814"/>
    <w:rsid w:val="00015980"/>
    <w:rsid w:val="00015A06"/>
    <w:rsid w:val="00015A89"/>
    <w:rsid w:val="00015B7D"/>
    <w:rsid w:val="00015BEC"/>
    <w:rsid w:val="00015C21"/>
    <w:rsid w:val="00015CD7"/>
    <w:rsid w:val="00015D6E"/>
    <w:rsid w:val="00015F73"/>
    <w:rsid w:val="00016075"/>
    <w:rsid w:val="00016414"/>
    <w:rsid w:val="00016616"/>
    <w:rsid w:val="0001665C"/>
    <w:rsid w:val="000166C7"/>
    <w:rsid w:val="000166E9"/>
    <w:rsid w:val="0001671A"/>
    <w:rsid w:val="000167B9"/>
    <w:rsid w:val="000167CB"/>
    <w:rsid w:val="000168AE"/>
    <w:rsid w:val="0001694A"/>
    <w:rsid w:val="00016B46"/>
    <w:rsid w:val="00016D7B"/>
    <w:rsid w:val="00016E8B"/>
    <w:rsid w:val="0001722D"/>
    <w:rsid w:val="00017409"/>
    <w:rsid w:val="00017444"/>
    <w:rsid w:val="000174A3"/>
    <w:rsid w:val="0001752E"/>
    <w:rsid w:val="00017675"/>
    <w:rsid w:val="0001772F"/>
    <w:rsid w:val="000177C8"/>
    <w:rsid w:val="0001791E"/>
    <w:rsid w:val="00017BC1"/>
    <w:rsid w:val="00017BEE"/>
    <w:rsid w:val="00017C26"/>
    <w:rsid w:val="00017C95"/>
    <w:rsid w:val="00017CAA"/>
    <w:rsid w:val="00017E3A"/>
    <w:rsid w:val="00017EAB"/>
    <w:rsid w:val="00017FDE"/>
    <w:rsid w:val="0002018A"/>
    <w:rsid w:val="000201E0"/>
    <w:rsid w:val="0002020B"/>
    <w:rsid w:val="00020366"/>
    <w:rsid w:val="00020415"/>
    <w:rsid w:val="0002045A"/>
    <w:rsid w:val="00020643"/>
    <w:rsid w:val="00020728"/>
    <w:rsid w:val="000207DC"/>
    <w:rsid w:val="00020819"/>
    <w:rsid w:val="0002083B"/>
    <w:rsid w:val="00020944"/>
    <w:rsid w:val="00020A7B"/>
    <w:rsid w:val="00020AF9"/>
    <w:rsid w:val="00020CEB"/>
    <w:rsid w:val="00020CEF"/>
    <w:rsid w:val="00020D6F"/>
    <w:rsid w:val="00020FF6"/>
    <w:rsid w:val="00020FF8"/>
    <w:rsid w:val="00021052"/>
    <w:rsid w:val="00021053"/>
    <w:rsid w:val="000210DE"/>
    <w:rsid w:val="000210E0"/>
    <w:rsid w:val="000210FA"/>
    <w:rsid w:val="0002114C"/>
    <w:rsid w:val="000212CE"/>
    <w:rsid w:val="000213BB"/>
    <w:rsid w:val="00021415"/>
    <w:rsid w:val="00021471"/>
    <w:rsid w:val="000215A2"/>
    <w:rsid w:val="00021763"/>
    <w:rsid w:val="00021809"/>
    <w:rsid w:val="00021975"/>
    <w:rsid w:val="000219ED"/>
    <w:rsid w:val="00021B7B"/>
    <w:rsid w:val="00021D27"/>
    <w:rsid w:val="00021E73"/>
    <w:rsid w:val="00021F44"/>
    <w:rsid w:val="0002206E"/>
    <w:rsid w:val="0002212C"/>
    <w:rsid w:val="000221ED"/>
    <w:rsid w:val="0002227E"/>
    <w:rsid w:val="00022302"/>
    <w:rsid w:val="000225B0"/>
    <w:rsid w:val="000226CC"/>
    <w:rsid w:val="00022767"/>
    <w:rsid w:val="00022B43"/>
    <w:rsid w:val="00022CFC"/>
    <w:rsid w:val="00022E4A"/>
    <w:rsid w:val="00022F56"/>
    <w:rsid w:val="00022FE4"/>
    <w:rsid w:val="00023070"/>
    <w:rsid w:val="000232AE"/>
    <w:rsid w:val="000232F1"/>
    <w:rsid w:val="000235B3"/>
    <w:rsid w:val="000235CE"/>
    <w:rsid w:val="000235E7"/>
    <w:rsid w:val="00023649"/>
    <w:rsid w:val="0002376D"/>
    <w:rsid w:val="000238F6"/>
    <w:rsid w:val="00023985"/>
    <w:rsid w:val="00023A18"/>
    <w:rsid w:val="00023A28"/>
    <w:rsid w:val="00023AA0"/>
    <w:rsid w:val="00023B38"/>
    <w:rsid w:val="00023B4E"/>
    <w:rsid w:val="00023B90"/>
    <w:rsid w:val="00023BC7"/>
    <w:rsid w:val="00023C3D"/>
    <w:rsid w:val="00023EF3"/>
    <w:rsid w:val="00023F03"/>
    <w:rsid w:val="00023F16"/>
    <w:rsid w:val="000240F3"/>
    <w:rsid w:val="0002410B"/>
    <w:rsid w:val="0002420D"/>
    <w:rsid w:val="0002427A"/>
    <w:rsid w:val="000242EC"/>
    <w:rsid w:val="00024540"/>
    <w:rsid w:val="0002459A"/>
    <w:rsid w:val="00024640"/>
    <w:rsid w:val="000246C9"/>
    <w:rsid w:val="000246F6"/>
    <w:rsid w:val="00024866"/>
    <w:rsid w:val="0002491F"/>
    <w:rsid w:val="000249B7"/>
    <w:rsid w:val="00024A63"/>
    <w:rsid w:val="00024A81"/>
    <w:rsid w:val="00024B9E"/>
    <w:rsid w:val="00024BA2"/>
    <w:rsid w:val="00024BD9"/>
    <w:rsid w:val="00024DA8"/>
    <w:rsid w:val="00024F9D"/>
    <w:rsid w:val="00025065"/>
    <w:rsid w:val="000250A4"/>
    <w:rsid w:val="0002510B"/>
    <w:rsid w:val="000251A4"/>
    <w:rsid w:val="00025224"/>
    <w:rsid w:val="0002528C"/>
    <w:rsid w:val="000253DF"/>
    <w:rsid w:val="00025411"/>
    <w:rsid w:val="000254F1"/>
    <w:rsid w:val="00025567"/>
    <w:rsid w:val="000255F0"/>
    <w:rsid w:val="000256F1"/>
    <w:rsid w:val="000257F7"/>
    <w:rsid w:val="00025812"/>
    <w:rsid w:val="0002587A"/>
    <w:rsid w:val="00025886"/>
    <w:rsid w:val="00025953"/>
    <w:rsid w:val="00025A60"/>
    <w:rsid w:val="00025AC0"/>
    <w:rsid w:val="00025B81"/>
    <w:rsid w:val="00025CC7"/>
    <w:rsid w:val="00025DBB"/>
    <w:rsid w:val="00025F0A"/>
    <w:rsid w:val="00025F4C"/>
    <w:rsid w:val="00025F8B"/>
    <w:rsid w:val="00025FF8"/>
    <w:rsid w:val="000261A0"/>
    <w:rsid w:val="00026254"/>
    <w:rsid w:val="000262E7"/>
    <w:rsid w:val="0002641B"/>
    <w:rsid w:val="00026464"/>
    <w:rsid w:val="0002658E"/>
    <w:rsid w:val="00026731"/>
    <w:rsid w:val="00026772"/>
    <w:rsid w:val="000267C0"/>
    <w:rsid w:val="00026A5E"/>
    <w:rsid w:val="00026A83"/>
    <w:rsid w:val="00026A94"/>
    <w:rsid w:val="00026AE5"/>
    <w:rsid w:val="00026B0E"/>
    <w:rsid w:val="00026BED"/>
    <w:rsid w:val="00026CE0"/>
    <w:rsid w:val="00026DAD"/>
    <w:rsid w:val="00026F54"/>
    <w:rsid w:val="000271A0"/>
    <w:rsid w:val="00027397"/>
    <w:rsid w:val="000273A9"/>
    <w:rsid w:val="0002750E"/>
    <w:rsid w:val="0002758C"/>
    <w:rsid w:val="000275A4"/>
    <w:rsid w:val="00027777"/>
    <w:rsid w:val="00027927"/>
    <w:rsid w:val="00027A7E"/>
    <w:rsid w:val="00027B98"/>
    <w:rsid w:val="00027CB1"/>
    <w:rsid w:val="00027E6C"/>
    <w:rsid w:val="00027F18"/>
    <w:rsid w:val="00027F6F"/>
    <w:rsid w:val="00027FEE"/>
    <w:rsid w:val="00030042"/>
    <w:rsid w:val="00030066"/>
    <w:rsid w:val="000301EB"/>
    <w:rsid w:val="00030271"/>
    <w:rsid w:val="00030338"/>
    <w:rsid w:val="000303D0"/>
    <w:rsid w:val="00030757"/>
    <w:rsid w:val="000308B0"/>
    <w:rsid w:val="00030A95"/>
    <w:rsid w:val="00030B0E"/>
    <w:rsid w:val="00030DCB"/>
    <w:rsid w:val="00030EA4"/>
    <w:rsid w:val="0003107F"/>
    <w:rsid w:val="000310F6"/>
    <w:rsid w:val="00031204"/>
    <w:rsid w:val="000312C3"/>
    <w:rsid w:val="00031660"/>
    <w:rsid w:val="000316F3"/>
    <w:rsid w:val="00031733"/>
    <w:rsid w:val="000317A5"/>
    <w:rsid w:val="00031914"/>
    <w:rsid w:val="00031B88"/>
    <w:rsid w:val="00031BED"/>
    <w:rsid w:val="00031CD8"/>
    <w:rsid w:val="00031E82"/>
    <w:rsid w:val="00031FD3"/>
    <w:rsid w:val="0003202C"/>
    <w:rsid w:val="00032155"/>
    <w:rsid w:val="000322F4"/>
    <w:rsid w:val="00032358"/>
    <w:rsid w:val="0003235C"/>
    <w:rsid w:val="0003266C"/>
    <w:rsid w:val="00032791"/>
    <w:rsid w:val="00032902"/>
    <w:rsid w:val="00032A48"/>
    <w:rsid w:val="00032B6D"/>
    <w:rsid w:val="00032D69"/>
    <w:rsid w:val="00032E3C"/>
    <w:rsid w:val="00032ECE"/>
    <w:rsid w:val="00032FAC"/>
    <w:rsid w:val="00033235"/>
    <w:rsid w:val="0003326E"/>
    <w:rsid w:val="000333D1"/>
    <w:rsid w:val="000333D4"/>
    <w:rsid w:val="000335C2"/>
    <w:rsid w:val="00033629"/>
    <w:rsid w:val="000336B8"/>
    <w:rsid w:val="000337F9"/>
    <w:rsid w:val="00033915"/>
    <w:rsid w:val="00033923"/>
    <w:rsid w:val="000339C8"/>
    <w:rsid w:val="00033AD0"/>
    <w:rsid w:val="00033B11"/>
    <w:rsid w:val="00033BCE"/>
    <w:rsid w:val="00033CEC"/>
    <w:rsid w:val="00033E1D"/>
    <w:rsid w:val="00033E5D"/>
    <w:rsid w:val="00033FFD"/>
    <w:rsid w:val="0003402D"/>
    <w:rsid w:val="000341F2"/>
    <w:rsid w:val="00034204"/>
    <w:rsid w:val="0003434D"/>
    <w:rsid w:val="000344C9"/>
    <w:rsid w:val="0003452C"/>
    <w:rsid w:val="00034558"/>
    <w:rsid w:val="000345E8"/>
    <w:rsid w:val="00034720"/>
    <w:rsid w:val="000349B0"/>
    <w:rsid w:val="00034B7C"/>
    <w:rsid w:val="00034C69"/>
    <w:rsid w:val="00034D8B"/>
    <w:rsid w:val="00034EE9"/>
    <w:rsid w:val="000350C9"/>
    <w:rsid w:val="00035183"/>
    <w:rsid w:val="000352A1"/>
    <w:rsid w:val="00035693"/>
    <w:rsid w:val="00035AEB"/>
    <w:rsid w:val="00035BAF"/>
    <w:rsid w:val="00035BCF"/>
    <w:rsid w:val="00035BDE"/>
    <w:rsid w:val="00035C2B"/>
    <w:rsid w:val="00035EA6"/>
    <w:rsid w:val="00035F86"/>
    <w:rsid w:val="0003606B"/>
    <w:rsid w:val="00036201"/>
    <w:rsid w:val="00036394"/>
    <w:rsid w:val="0003646C"/>
    <w:rsid w:val="00036608"/>
    <w:rsid w:val="000366D4"/>
    <w:rsid w:val="0003685A"/>
    <w:rsid w:val="00036896"/>
    <w:rsid w:val="000369B3"/>
    <w:rsid w:val="00036C2E"/>
    <w:rsid w:val="00036EB5"/>
    <w:rsid w:val="00036ECF"/>
    <w:rsid w:val="00037122"/>
    <w:rsid w:val="0003714C"/>
    <w:rsid w:val="000371F4"/>
    <w:rsid w:val="0003728A"/>
    <w:rsid w:val="00037338"/>
    <w:rsid w:val="0003739C"/>
    <w:rsid w:val="00037405"/>
    <w:rsid w:val="00037573"/>
    <w:rsid w:val="0003764B"/>
    <w:rsid w:val="00037675"/>
    <w:rsid w:val="00037C49"/>
    <w:rsid w:val="00037D18"/>
    <w:rsid w:val="00037D28"/>
    <w:rsid w:val="00037D65"/>
    <w:rsid w:val="00037EEE"/>
    <w:rsid w:val="0004005F"/>
    <w:rsid w:val="00040257"/>
    <w:rsid w:val="0004032C"/>
    <w:rsid w:val="000404DE"/>
    <w:rsid w:val="00040566"/>
    <w:rsid w:val="00040885"/>
    <w:rsid w:val="00040924"/>
    <w:rsid w:val="000409FE"/>
    <w:rsid w:val="00040B6E"/>
    <w:rsid w:val="00040BFB"/>
    <w:rsid w:val="00040C5D"/>
    <w:rsid w:val="00040D3D"/>
    <w:rsid w:val="00040D54"/>
    <w:rsid w:val="00040E0A"/>
    <w:rsid w:val="00040E9B"/>
    <w:rsid w:val="00040F54"/>
    <w:rsid w:val="000410CD"/>
    <w:rsid w:val="000414C9"/>
    <w:rsid w:val="00041564"/>
    <w:rsid w:val="000417CE"/>
    <w:rsid w:val="0004196F"/>
    <w:rsid w:val="00041A8A"/>
    <w:rsid w:val="00041B66"/>
    <w:rsid w:val="00041C68"/>
    <w:rsid w:val="00041C85"/>
    <w:rsid w:val="00041D2F"/>
    <w:rsid w:val="00041D5D"/>
    <w:rsid w:val="00041D6C"/>
    <w:rsid w:val="00041DB1"/>
    <w:rsid w:val="00042099"/>
    <w:rsid w:val="000421AB"/>
    <w:rsid w:val="000421C6"/>
    <w:rsid w:val="000421E4"/>
    <w:rsid w:val="00042234"/>
    <w:rsid w:val="00042262"/>
    <w:rsid w:val="000422A8"/>
    <w:rsid w:val="000423C2"/>
    <w:rsid w:val="000423E3"/>
    <w:rsid w:val="000424BB"/>
    <w:rsid w:val="00042505"/>
    <w:rsid w:val="00042552"/>
    <w:rsid w:val="0004260B"/>
    <w:rsid w:val="00042791"/>
    <w:rsid w:val="00042827"/>
    <w:rsid w:val="00042984"/>
    <w:rsid w:val="00042C3D"/>
    <w:rsid w:val="00042CBA"/>
    <w:rsid w:val="00042CCD"/>
    <w:rsid w:val="00042D17"/>
    <w:rsid w:val="00042DC6"/>
    <w:rsid w:val="00042EA9"/>
    <w:rsid w:val="00042FFE"/>
    <w:rsid w:val="00043000"/>
    <w:rsid w:val="0004309C"/>
    <w:rsid w:val="00043127"/>
    <w:rsid w:val="000431BF"/>
    <w:rsid w:val="00043245"/>
    <w:rsid w:val="0004324D"/>
    <w:rsid w:val="000433F9"/>
    <w:rsid w:val="000434C6"/>
    <w:rsid w:val="000434EB"/>
    <w:rsid w:val="00043586"/>
    <w:rsid w:val="000435EC"/>
    <w:rsid w:val="00043844"/>
    <w:rsid w:val="00043B28"/>
    <w:rsid w:val="00043D9C"/>
    <w:rsid w:val="0004450B"/>
    <w:rsid w:val="000446DA"/>
    <w:rsid w:val="000448C7"/>
    <w:rsid w:val="000449C2"/>
    <w:rsid w:val="00044B1A"/>
    <w:rsid w:val="00044E1F"/>
    <w:rsid w:val="00044E21"/>
    <w:rsid w:val="0004503A"/>
    <w:rsid w:val="000451A3"/>
    <w:rsid w:val="000451B9"/>
    <w:rsid w:val="000451D9"/>
    <w:rsid w:val="0004521D"/>
    <w:rsid w:val="00045248"/>
    <w:rsid w:val="000457E2"/>
    <w:rsid w:val="00045A7C"/>
    <w:rsid w:val="00045A8A"/>
    <w:rsid w:val="00045B6A"/>
    <w:rsid w:val="00045B71"/>
    <w:rsid w:val="00045CBE"/>
    <w:rsid w:val="00045D50"/>
    <w:rsid w:val="00045D58"/>
    <w:rsid w:val="00045F5A"/>
    <w:rsid w:val="000460CC"/>
    <w:rsid w:val="00046301"/>
    <w:rsid w:val="0004633F"/>
    <w:rsid w:val="000463F7"/>
    <w:rsid w:val="00046400"/>
    <w:rsid w:val="00046638"/>
    <w:rsid w:val="00046796"/>
    <w:rsid w:val="00046915"/>
    <w:rsid w:val="00046919"/>
    <w:rsid w:val="00046CB3"/>
    <w:rsid w:val="00046CCA"/>
    <w:rsid w:val="00046D6F"/>
    <w:rsid w:val="00046DA8"/>
    <w:rsid w:val="00046E54"/>
    <w:rsid w:val="00046E90"/>
    <w:rsid w:val="0004739A"/>
    <w:rsid w:val="000473DB"/>
    <w:rsid w:val="000474AC"/>
    <w:rsid w:val="00047508"/>
    <w:rsid w:val="00047547"/>
    <w:rsid w:val="000476EB"/>
    <w:rsid w:val="00047BF6"/>
    <w:rsid w:val="00047F72"/>
    <w:rsid w:val="000503A7"/>
    <w:rsid w:val="000503EE"/>
    <w:rsid w:val="000503FC"/>
    <w:rsid w:val="00050564"/>
    <w:rsid w:val="00050A1F"/>
    <w:rsid w:val="00050A48"/>
    <w:rsid w:val="00050AB3"/>
    <w:rsid w:val="00050B03"/>
    <w:rsid w:val="00050BC1"/>
    <w:rsid w:val="00050CD4"/>
    <w:rsid w:val="00050F88"/>
    <w:rsid w:val="00051185"/>
    <w:rsid w:val="000511A0"/>
    <w:rsid w:val="00051261"/>
    <w:rsid w:val="000512C3"/>
    <w:rsid w:val="00051372"/>
    <w:rsid w:val="000513D4"/>
    <w:rsid w:val="000513EE"/>
    <w:rsid w:val="0005146D"/>
    <w:rsid w:val="000514E3"/>
    <w:rsid w:val="00051563"/>
    <w:rsid w:val="00051584"/>
    <w:rsid w:val="000515F2"/>
    <w:rsid w:val="0005163A"/>
    <w:rsid w:val="000516AF"/>
    <w:rsid w:val="0005174C"/>
    <w:rsid w:val="00051C4F"/>
    <w:rsid w:val="00051E72"/>
    <w:rsid w:val="0005245C"/>
    <w:rsid w:val="000524BF"/>
    <w:rsid w:val="000524C1"/>
    <w:rsid w:val="00052541"/>
    <w:rsid w:val="00052679"/>
    <w:rsid w:val="0005270A"/>
    <w:rsid w:val="000527CF"/>
    <w:rsid w:val="00052845"/>
    <w:rsid w:val="0005294D"/>
    <w:rsid w:val="00052A05"/>
    <w:rsid w:val="00052A31"/>
    <w:rsid w:val="00052AC6"/>
    <w:rsid w:val="00052ACC"/>
    <w:rsid w:val="00052AEF"/>
    <w:rsid w:val="00052B40"/>
    <w:rsid w:val="00052BC2"/>
    <w:rsid w:val="00052C17"/>
    <w:rsid w:val="00052D9B"/>
    <w:rsid w:val="00052DEF"/>
    <w:rsid w:val="00052F2A"/>
    <w:rsid w:val="00052FD9"/>
    <w:rsid w:val="00053225"/>
    <w:rsid w:val="0005323D"/>
    <w:rsid w:val="000532CC"/>
    <w:rsid w:val="0005365A"/>
    <w:rsid w:val="000538CB"/>
    <w:rsid w:val="000539E7"/>
    <w:rsid w:val="00053AA5"/>
    <w:rsid w:val="00053AF9"/>
    <w:rsid w:val="00053B1E"/>
    <w:rsid w:val="00053B62"/>
    <w:rsid w:val="00053EFC"/>
    <w:rsid w:val="00054008"/>
    <w:rsid w:val="00054020"/>
    <w:rsid w:val="00054117"/>
    <w:rsid w:val="000543DD"/>
    <w:rsid w:val="00054450"/>
    <w:rsid w:val="000544F6"/>
    <w:rsid w:val="000545D6"/>
    <w:rsid w:val="00054688"/>
    <w:rsid w:val="000546F1"/>
    <w:rsid w:val="00054703"/>
    <w:rsid w:val="000547E0"/>
    <w:rsid w:val="00054836"/>
    <w:rsid w:val="000548E0"/>
    <w:rsid w:val="000548FA"/>
    <w:rsid w:val="00054980"/>
    <w:rsid w:val="00054A00"/>
    <w:rsid w:val="00054A18"/>
    <w:rsid w:val="00054A3E"/>
    <w:rsid w:val="00054D9D"/>
    <w:rsid w:val="00054EA4"/>
    <w:rsid w:val="00054F2A"/>
    <w:rsid w:val="00054F3B"/>
    <w:rsid w:val="00055026"/>
    <w:rsid w:val="00055053"/>
    <w:rsid w:val="000550DC"/>
    <w:rsid w:val="000551E9"/>
    <w:rsid w:val="00055408"/>
    <w:rsid w:val="00055433"/>
    <w:rsid w:val="0005546F"/>
    <w:rsid w:val="000554B6"/>
    <w:rsid w:val="000554F1"/>
    <w:rsid w:val="00055758"/>
    <w:rsid w:val="00055A44"/>
    <w:rsid w:val="00055AFC"/>
    <w:rsid w:val="00055B4B"/>
    <w:rsid w:val="00055DB0"/>
    <w:rsid w:val="00055EC7"/>
    <w:rsid w:val="00055FD9"/>
    <w:rsid w:val="00056139"/>
    <w:rsid w:val="000562B1"/>
    <w:rsid w:val="000562C0"/>
    <w:rsid w:val="00056773"/>
    <w:rsid w:val="00056827"/>
    <w:rsid w:val="000568D3"/>
    <w:rsid w:val="00056AF9"/>
    <w:rsid w:val="00056C4E"/>
    <w:rsid w:val="00056C78"/>
    <w:rsid w:val="00056CA2"/>
    <w:rsid w:val="00056CD3"/>
    <w:rsid w:val="00056D84"/>
    <w:rsid w:val="00056DEB"/>
    <w:rsid w:val="00056FF7"/>
    <w:rsid w:val="0005701C"/>
    <w:rsid w:val="0005710B"/>
    <w:rsid w:val="00057132"/>
    <w:rsid w:val="000574FF"/>
    <w:rsid w:val="00057694"/>
    <w:rsid w:val="000576E9"/>
    <w:rsid w:val="000577AF"/>
    <w:rsid w:val="00057AB4"/>
    <w:rsid w:val="00057AFB"/>
    <w:rsid w:val="00057B7D"/>
    <w:rsid w:val="00057B8D"/>
    <w:rsid w:val="00057B9B"/>
    <w:rsid w:val="00057B9D"/>
    <w:rsid w:val="00057E5A"/>
    <w:rsid w:val="00057E64"/>
    <w:rsid w:val="00057F84"/>
    <w:rsid w:val="0006007B"/>
    <w:rsid w:val="000600EF"/>
    <w:rsid w:val="000603AF"/>
    <w:rsid w:val="0006049C"/>
    <w:rsid w:val="000605DF"/>
    <w:rsid w:val="00060614"/>
    <w:rsid w:val="00060665"/>
    <w:rsid w:val="00060CF2"/>
    <w:rsid w:val="00061131"/>
    <w:rsid w:val="0006122E"/>
    <w:rsid w:val="000614E1"/>
    <w:rsid w:val="000618CE"/>
    <w:rsid w:val="000619D8"/>
    <w:rsid w:val="00061C63"/>
    <w:rsid w:val="00061DA2"/>
    <w:rsid w:val="00061F5C"/>
    <w:rsid w:val="000620D4"/>
    <w:rsid w:val="00062141"/>
    <w:rsid w:val="0006216C"/>
    <w:rsid w:val="00062175"/>
    <w:rsid w:val="000621DA"/>
    <w:rsid w:val="00062271"/>
    <w:rsid w:val="000623DF"/>
    <w:rsid w:val="00062466"/>
    <w:rsid w:val="0006249E"/>
    <w:rsid w:val="0006258B"/>
    <w:rsid w:val="000625BB"/>
    <w:rsid w:val="0006268B"/>
    <w:rsid w:val="00062827"/>
    <w:rsid w:val="00062904"/>
    <w:rsid w:val="000629ED"/>
    <w:rsid w:val="00062A23"/>
    <w:rsid w:val="00062B26"/>
    <w:rsid w:val="00062BC6"/>
    <w:rsid w:val="00062CF2"/>
    <w:rsid w:val="00062DD5"/>
    <w:rsid w:val="00062E0A"/>
    <w:rsid w:val="00062EA5"/>
    <w:rsid w:val="00062ECC"/>
    <w:rsid w:val="00063116"/>
    <w:rsid w:val="000632B2"/>
    <w:rsid w:val="000632DC"/>
    <w:rsid w:val="000633DC"/>
    <w:rsid w:val="00063418"/>
    <w:rsid w:val="000634D1"/>
    <w:rsid w:val="00063594"/>
    <w:rsid w:val="000635FD"/>
    <w:rsid w:val="00063691"/>
    <w:rsid w:val="00063717"/>
    <w:rsid w:val="000637D2"/>
    <w:rsid w:val="000637DE"/>
    <w:rsid w:val="000638A7"/>
    <w:rsid w:val="00063919"/>
    <w:rsid w:val="00063AF2"/>
    <w:rsid w:val="00063B48"/>
    <w:rsid w:val="00063D74"/>
    <w:rsid w:val="00063E2F"/>
    <w:rsid w:val="00063E99"/>
    <w:rsid w:val="00063F18"/>
    <w:rsid w:val="00063FC4"/>
    <w:rsid w:val="00063FEB"/>
    <w:rsid w:val="0006423A"/>
    <w:rsid w:val="000642C2"/>
    <w:rsid w:val="0006439B"/>
    <w:rsid w:val="00064432"/>
    <w:rsid w:val="00064807"/>
    <w:rsid w:val="000648A3"/>
    <w:rsid w:val="00064ACF"/>
    <w:rsid w:val="00064B89"/>
    <w:rsid w:val="00064F68"/>
    <w:rsid w:val="00065016"/>
    <w:rsid w:val="00065229"/>
    <w:rsid w:val="000652AD"/>
    <w:rsid w:val="00065349"/>
    <w:rsid w:val="00065352"/>
    <w:rsid w:val="00065590"/>
    <w:rsid w:val="00065629"/>
    <w:rsid w:val="00065671"/>
    <w:rsid w:val="0006577D"/>
    <w:rsid w:val="0006592F"/>
    <w:rsid w:val="00065995"/>
    <w:rsid w:val="000659AE"/>
    <w:rsid w:val="00065A99"/>
    <w:rsid w:val="00065BF4"/>
    <w:rsid w:val="00065C61"/>
    <w:rsid w:val="00065E41"/>
    <w:rsid w:val="00065E74"/>
    <w:rsid w:val="00065EE4"/>
    <w:rsid w:val="00065F47"/>
    <w:rsid w:val="00065FBE"/>
    <w:rsid w:val="00065FE4"/>
    <w:rsid w:val="00066362"/>
    <w:rsid w:val="00066374"/>
    <w:rsid w:val="000663D8"/>
    <w:rsid w:val="0006640D"/>
    <w:rsid w:val="0006660C"/>
    <w:rsid w:val="00066692"/>
    <w:rsid w:val="000667A9"/>
    <w:rsid w:val="000667B2"/>
    <w:rsid w:val="00066AB9"/>
    <w:rsid w:val="00066AC8"/>
    <w:rsid w:val="00066CFB"/>
    <w:rsid w:val="00066E01"/>
    <w:rsid w:val="00066F3F"/>
    <w:rsid w:val="00067069"/>
    <w:rsid w:val="00067229"/>
    <w:rsid w:val="00067503"/>
    <w:rsid w:val="000676FC"/>
    <w:rsid w:val="000677DD"/>
    <w:rsid w:val="0006784C"/>
    <w:rsid w:val="000678B3"/>
    <w:rsid w:val="0006792E"/>
    <w:rsid w:val="00067970"/>
    <w:rsid w:val="000679FA"/>
    <w:rsid w:val="00067E64"/>
    <w:rsid w:val="00067E9F"/>
    <w:rsid w:val="00067F3E"/>
    <w:rsid w:val="00067FA2"/>
    <w:rsid w:val="0007005D"/>
    <w:rsid w:val="00070152"/>
    <w:rsid w:val="00070239"/>
    <w:rsid w:val="00070357"/>
    <w:rsid w:val="00070497"/>
    <w:rsid w:val="000704E4"/>
    <w:rsid w:val="0007063B"/>
    <w:rsid w:val="000707B3"/>
    <w:rsid w:val="000708C5"/>
    <w:rsid w:val="00070957"/>
    <w:rsid w:val="00070958"/>
    <w:rsid w:val="00070E83"/>
    <w:rsid w:val="00070F02"/>
    <w:rsid w:val="00070F44"/>
    <w:rsid w:val="00070F82"/>
    <w:rsid w:val="00071010"/>
    <w:rsid w:val="0007122C"/>
    <w:rsid w:val="00071513"/>
    <w:rsid w:val="0007160F"/>
    <w:rsid w:val="00071722"/>
    <w:rsid w:val="00071785"/>
    <w:rsid w:val="00071801"/>
    <w:rsid w:val="00071B23"/>
    <w:rsid w:val="00071B81"/>
    <w:rsid w:val="00071E78"/>
    <w:rsid w:val="00071F29"/>
    <w:rsid w:val="000722D9"/>
    <w:rsid w:val="00072497"/>
    <w:rsid w:val="000724F8"/>
    <w:rsid w:val="00072526"/>
    <w:rsid w:val="0007264F"/>
    <w:rsid w:val="00072661"/>
    <w:rsid w:val="000727C9"/>
    <w:rsid w:val="00072903"/>
    <w:rsid w:val="00072A2E"/>
    <w:rsid w:val="00072CBC"/>
    <w:rsid w:val="00072D9B"/>
    <w:rsid w:val="00072F0D"/>
    <w:rsid w:val="00072FE5"/>
    <w:rsid w:val="00073068"/>
    <w:rsid w:val="00073181"/>
    <w:rsid w:val="000731B8"/>
    <w:rsid w:val="00073367"/>
    <w:rsid w:val="000737FE"/>
    <w:rsid w:val="000738BC"/>
    <w:rsid w:val="000738C3"/>
    <w:rsid w:val="0007395D"/>
    <w:rsid w:val="00073AEC"/>
    <w:rsid w:val="00073BB5"/>
    <w:rsid w:val="00073BC6"/>
    <w:rsid w:val="00073C15"/>
    <w:rsid w:val="00073D0B"/>
    <w:rsid w:val="00073D75"/>
    <w:rsid w:val="00073ECD"/>
    <w:rsid w:val="00073F21"/>
    <w:rsid w:val="00073FBA"/>
    <w:rsid w:val="00074086"/>
    <w:rsid w:val="0007416A"/>
    <w:rsid w:val="000741E2"/>
    <w:rsid w:val="000743FD"/>
    <w:rsid w:val="000744E4"/>
    <w:rsid w:val="00074614"/>
    <w:rsid w:val="000747F6"/>
    <w:rsid w:val="000748D9"/>
    <w:rsid w:val="00074962"/>
    <w:rsid w:val="00074976"/>
    <w:rsid w:val="00074B96"/>
    <w:rsid w:val="00074C16"/>
    <w:rsid w:val="00074C7D"/>
    <w:rsid w:val="00074CE3"/>
    <w:rsid w:val="00074CFB"/>
    <w:rsid w:val="00074EEB"/>
    <w:rsid w:val="00074F46"/>
    <w:rsid w:val="00074F88"/>
    <w:rsid w:val="00074FB7"/>
    <w:rsid w:val="00075095"/>
    <w:rsid w:val="000750ED"/>
    <w:rsid w:val="000751E1"/>
    <w:rsid w:val="00075228"/>
    <w:rsid w:val="000752B5"/>
    <w:rsid w:val="00075319"/>
    <w:rsid w:val="00075525"/>
    <w:rsid w:val="0007569F"/>
    <w:rsid w:val="00075762"/>
    <w:rsid w:val="00075836"/>
    <w:rsid w:val="000758B5"/>
    <w:rsid w:val="0007593F"/>
    <w:rsid w:val="00075A07"/>
    <w:rsid w:val="00075B84"/>
    <w:rsid w:val="00075BC6"/>
    <w:rsid w:val="00075C4E"/>
    <w:rsid w:val="00075F40"/>
    <w:rsid w:val="00076005"/>
    <w:rsid w:val="0007600E"/>
    <w:rsid w:val="000760C3"/>
    <w:rsid w:val="00076185"/>
    <w:rsid w:val="000763A4"/>
    <w:rsid w:val="000763D3"/>
    <w:rsid w:val="000763F8"/>
    <w:rsid w:val="000764D2"/>
    <w:rsid w:val="00076502"/>
    <w:rsid w:val="00076594"/>
    <w:rsid w:val="000765DB"/>
    <w:rsid w:val="000767B2"/>
    <w:rsid w:val="00076805"/>
    <w:rsid w:val="000768B6"/>
    <w:rsid w:val="00076950"/>
    <w:rsid w:val="000769C6"/>
    <w:rsid w:val="00076B88"/>
    <w:rsid w:val="00076BCE"/>
    <w:rsid w:val="00076C6C"/>
    <w:rsid w:val="00076CA3"/>
    <w:rsid w:val="00076D98"/>
    <w:rsid w:val="00076EF1"/>
    <w:rsid w:val="00076F0B"/>
    <w:rsid w:val="00076F5A"/>
    <w:rsid w:val="00076F6E"/>
    <w:rsid w:val="00077038"/>
    <w:rsid w:val="00077044"/>
    <w:rsid w:val="000770A2"/>
    <w:rsid w:val="0007714A"/>
    <w:rsid w:val="000772DA"/>
    <w:rsid w:val="000773F8"/>
    <w:rsid w:val="00077574"/>
    <w:rsid w:val="000775FE"/>
    <w:rsid w:val="0007765D"/>
    <w:rsid w:val="00077B71"/>
    <w:rsid w:val="00077ECB"/>
    <w:rsid w:val="00077F66"/>
    <w:rsid w:val="0008001C"/>
    <w:rsid w:val="00080240"/>
    <w:rsid w:val="000802A6"/>
    <w:rsid w:val="0008039E"/>
    <w:rsid w:val="0008041E"/>
    <w:rsid w:val="000804C9"/>
    <w:rsid w:val="000804D2"/>
    <w:rsid w:val="00080789"/>
    <w:rsid w:val="000807E7"/>
    <w:rsid w:val="00080910"/>
    <w:rsid w:val="000809F7"/>
    <w:rsid w:val="00080AE6"/>
    <w:rsid w:val="00080B79"/>
    <w:rsid w:val="00080BA3"/>
    <w:rsid w:val="00080E08"/>
    <w:rsid w:val="00080FC1"/>
    <w:rsid w:val="00080FE5"/>
    <w:rsid w:val="00081096"/>
    <w:rsid w:val="000810D9"/>
    <w:rsid w:val="000811F5"/>
    <w:rsid w:val="000813BA"/>
    <w:rsid w:val="000813D2"/>
    <w:rsid w:val="00081449"/>
    <w:rsid w:val="00081843"/>
    <w:rsid w:val="00081947"/>
    <w:rsid w:val="00081976"/>
    <w:rsid w:val="00081AE5"/>
    <w:rsid w:val="00081B6E"/>
    <w:rsid w:val="00081BCF"/>
    <w:rsid w:val="00081C2A"/>
    <w:rsid w:val="00081D2C"/>
    <w:rsid w:val="00081D9C"/>
    <w:rsid w:val="00081DD1"/>
    <w:rsid w:val="00081E3A"/>
    <w:rsid w:val="00081EBD"/>
    <w:rsid w:val="00082149"/>
    <w:rsid w:val="00082247"/>
    <w:rsid w:val="00082270"/>
    <w:rsid w:val="0008227E"/>
    <w:rsid w:val="000823CC"/>
    <w:rsid w:val="00082454"/>
    <w:rsid w:val="000824B0"/>
    <w:rsid w:val="0008254E"/>
    <w:rsid w:val="000825F8"/>
    <w:rsid w:val="00082662"/>
    <w:rsid w:val="000826B5"/>
    <w:rsid w:val="00082AA6"/>
    <w:rsid w:val="00082B84"/>
    <w:rsid w:val="00082B9C"/>
    <w:rsid w:val="00082CC1"/>
    <w:rsid w:val="00082CD9"/>
    <w:rsid w:val="00082D71"/>
    <w:rsid w:val="00082E46"/>
    <w:rsid w:val="000831AB"/>
    <w:rsid w:val="00083239"/>
    <w:rsid w:val="0008327A"/>
    <w:rsid w:val="000833C1"/>
    <w:rsid w:val="0008355E"/>
    <w:rsid w:val="000836BC"/>
    <w:rsid w:val="0008370E"/>
    <w:rsid w:val="00083987"/>
    <w:rsid w:val="00083B4C"/>
    <w:rsid w:val="00083BAB"/>
    <w:rsid w:val="00083BC8"/>
    <w:rsid w:val="00083C01"/>
    <w:rsid w:val="00083EAE"/>
    <w:rsid w:val="00083EC7"/>
    <w:rsid w:val="00084021"/>
    <w:rsid w:val="00084033"/>
    <w:rsid w:val="000840BB"/>
    <w:rsid w:val="000841CC"/>
    <w:rsid w:val="000843E2"/>
    <w:rsid w:val="000843F8"/>
    <w:rsid w:val="000843FA"/>
    <w:rsid w:val="00084553"/>
    <w:rsid w:val="000845CA"/>
    <w:rsid w:val="000846F7"/>
    <w:rsid w:val="0008474D"/>
    <w:rsid w:val="00084850"/>
    <w:rsid w:val="00084A95"/>
    <w:rsid w:val="00084B32"/>
    <w:rsid w:val="00084B70"/>
    <w:rsid w:val="00084C65"/>
    <w:rsid w:val="00084EC1"/>
    <w:rsid w:val="00085190"/>
    <w:rsid w:val="0008530E"/>
    <w:rsid w:val="00085310"/>
    <w:rsid w:val="00085355"/>
    <w:rsid w:val="00085475"/>
    <w:rsid w:val="0008553B"/>
    <w:rsid w:val="000855E7"/>
    <w:rsid w:val="000856D5"/>
    <w:rsid w:val="0008580A"/>
    <w:rsid w:val="00085A29"/>
    <w:rsid w:val="00085A30"/>
    <w:rsid w:val="00085C8E"/>
    <w:rsid w:val="00086139"/>
    <w:rsid w:val="000861D5"/>
    <w:rsid w:val="000861FB"/>
    <w:rsid w:val="00086207"/>
    <w:rsid w:val="000862CF"/>
    <w:rsid w:val="000866AF"/>
    <w:rsid w:val="000866D7"/>
    <w:rsid w:val="000866EA"/>
    <w:rsid w:val="000868B6"/>
    <w:rsid w:val="00086937"/>
    <w:rsid w:val="00086951"/>
    <w:rsid w:val="0008697C"/>
    <w:rsid w:val="000869BC"/>
    <w:rsid w:val="00086A12"/>
    <w:rsid w:val="00086A92"/>
    <w:rsid w:val="00086ACE"/>
    <w:rsid w:val="00086BEE"/>
    <w:rsid w:val="00086F09"/>
    <w:rsid w:val="00086F73"/>
    <w:rsid w:val="00086FE1"/>
    <w:rsid w:val="000872CA"/>
    <w:rsid w:val="0008734A"/>
    <w:rsid w:val="00087470"/>
    <w:rsid w:val="0008775A"/>
    <w:rsid w:val="00087947"/>
    <w:rsid w:val="00087A6A"/>
    <w:rsid w:val="00087A7F"/>
    <w:rsid w:val="00087CA1"/>
    <w:rsid w:val="00087CE5"/>
    <w:rsid w:val="00087FE8"/>
    <w:rsid w:val="00090005"/>
    <w:rsid w:val="00090007"/>
    <w:rsid w:val="0009003C"/>
    <w:rsid w:val="0009006D"/>
    <w:rsid w:val="00090097"/>
    <w:rsid w:val="00090102"/>
    <w:rsid w:val="00090194"/>
    <w:rsid w:val="0009022B"/>
    <w:rsid w:val="000902E9"/>
    <w:rsid w:val="00090375"/>
    <w:rsid w:val="00090387"/>
    <w:rsid w:val="00090501"/>
    <w:rsid w:val="00090565"/>
    <w:rsid w:val="000905AA"/>
    <w:rsid w:val="00090982"/>
    <w:rsid w:val="00090A14"/>
    <w:rsid w:val="00090CA1"/>
    <w:rsid w:val="00090E73"/>
    <w:rsid w:val="00091177"/>
    <w:rsid w:val="000911A7"/>
    <w:rsid w:val="0009128C"/>
    <w:rsid w:val="0009140E"/>
    <w:rsid w:val="0009149C"/>
    <w:rsid w:val="000914FA"/>
    <w:rsid w:val="000915D0"/>
    <w:rsid w:val="000918E5"/>
    <w:rsid w:val="00091A18"/>
    <w:rsid w:val="00091A49"/>
    <w:rsid w:val="00091A4D"/>
    <w:rsid w:val="00091B68"/>
    <w:rsid w:val="00091B78"/>
    <w:rsid w:val="00091C04"/>
    <w:rsid w:val="00091C39"/>
    <w:rsid w:val="00091D5C"/>
    <w:rsid w:val="00091DC0"/>
    <w:rsid w:val="00091E26"/>
    <w:rsid w:val="00091F33"/>
    <w:rsid w:val="00091F4D"/>
    <w:rsid w:val="0009214E"/>
    <w:rsid w:val="000921BD"/>
    <w:rsid w:val="000922BB"/>
    <w:rsid w:val="000922EC"/>
    <w:rsid w:val="0009241E"/>
    <w:rsid w:val="00092474"/>
    <w:rsid w:val="0009247A"/>
    <w:rsid w:val="0009267C"/>
    <w:rsid w:val="000926D3"/>
    <w:rsid w:val="0009278E"/>
    <w:rsid w:val="00092835"/>
    <w:rsid w:val="00092927"/>
    <w:rsid w:val="00092AD4"/>
    <w:rsid w:val="000930CE"/>
    <w:rsid w:val="00093122"/>
    <w:rsid w:val="000931B1"/>
    <w:rsid w:val="000931EF"/>
    <w:rsid w:val="00093238"/>
    <w:rsid w:val="0009345B"/>
    <w:rsid w:val="000935C8"/>
    <w:rsid w:val="000939B4"/>
    <w:rsid w:val="00093A99"/>
    <w:rsid w:val="00093AF9"/>
    <w:rsid w:val="00093BCA"/>
    <w:rsid w:val="00093BF5"/>
    <w:rsid w:val="00093D2C"/>
    <w:rsid w:val="00093E52"/>
    <w:rsid w:val="00093E7F"/>
    <w:rsid w:val="00093F30"/>
    <w:rsid w:val="00094000"/>
    <w:rsid w:val="00094027"/>
    <w:rsid w:val="00094197"/>
    <w:rsid w:val="000942CD"/>
    <w:rsid w:val="00094317"/>
    <w:rsid w:val="0009439A"/>
    <w:rsid w:val="000948D0"/>
    <w:rsid w:val="00094B2C"/>
    <w:rsid w:val="00094C83"/>
    <w:rsid w:val="00094C9B"/>
    <w:rsid w:val="00094DF6"/>
    <w:rsid w:val="00095182"/>
    <w:rsid w:val="00095221"/>
    <w:rsid w:val="000952C9"/>
    <w:rsid w:val="000953D6"/>
    <w:rsid w:val="00095537"/>
    <w:rsid w:val="000955BF"/>
    <w:rsid w:val="00095639"/>
    <w:rsid w:val="00095667"/>
    <w:rsid w:val="00095784"/>
    <w:rsid w:val="00095796"/>
    <w:rsid w:val="000957E0"/>
    <w:rsid w:val="000958AB"/>
    <w:rsid w:val="00095A32"/>
    <w:rsid w:val="00095E2C"/>
    <w:rsid w:val="00095EC2"/>
    <w:rsid w:val="0009602D"/>
    <w:rsid w:val="00096062"/>
    <w:rsid w:val="00096158"/>
    <w:rsid w:val="00096182"/>
    <w:rsid w:val="000961E9"/>
    <w:rsid w:val="00096235"/>
    <w:rsid w:val="00096557"/>
    <w:rsid w:val="00096617"/>
    <w:rsid w:val="00096919"/>
    <w:rsid w:val="00096A51"/>
    <w:rsid w:val="00096B40"/>
    <w:rsid w:val="00096B4C"/>
    <w:rsid w:val="00096B80"/>
    <w:rsid w:val="00096C78"/>
    <w:rsid w:val="00096D4F"/>
    <w:rsid w:val="00096D80"/>
    <w:rsid w:val="00096EF6"/>
    <w:rsid w:val="0009728A"/>
    <w:rsid w:val="000972A6"/>
    <w:rsid w:val="00097459"/>
    <w:rsid w:val="00097475"/>
    <w:rsid w:val="00097738"/>
    <w:rsid w:val="0009778A"/>
    <w:rsid w:val="000978CD"/>
    <w:rsid w:val="00097914"/>
    <w:rsid w:val="00097971"/>
    <w:rsid w:val="00097C85"/>
    <w:rsid w:val="000A0050"/>
    <w:rsid w:val="000A012A"/>
    <w:rsid w:val="000A02A8"/>
    <w:rsid w:val="000A02D0"/>
    <w:rsid w:val="000A0349"/>
    <w:rsid w:val="000A0427"/>
    <w:rsid w:val="000A0784"/>
    <w:rsid w:val="000A08C0"/>
    <w:rsid w:val="000A0BE3"/>
    <w:rsid w:val="000A0BEB"/>
    <w:rsid w:val="000A0DC2"/>
    <w:rsid w:val="000A0EB3"/>
    <w:rsid w:val="000A0F3D"/>
    <w:rsid w:val="000A104C"/>
    <w:rsid w:val="000A12A6"/>
    <w:rsid w:val="000A13E6"/>
    <w:rsid w:val="000A1439"/>
    <w:rsid w:val="000A15CA"/>
    <w:rsid w:val="000A1660"/>
    <w:rsid w:val="000A16FB"/>
    <w:rsid w:val="000A17C3"/>
    <w:rsid w:val="000A17CA"/>
    <w:rsid w:val="000A1903"/>
    <w:rsid w:val="000A1911"/>
    <w:rsid w:val="000A1946"/>
    <w:rsid w:val="000A1CCC"/>
    <w:rsid w:val="000A1D91"/>
    <w:rsid w:val="000A1E22"/>
    <w:rsid w:val="000A1EE6"/>
    <w:rsid w:val="000A1F92"/>
    <w:rsid w:val="000A1FAF"/>
    <w:rsid w:val="000A2045"/>
    <w:rsid w:val="000A23A8"/>
    <w:rsid w:val="000A23C5"/>
    <w:rsid w:val="000A2477"/>
    <w:rsid w:val="000A27E5"/>
    <w:rsid w:val="000A2843"/>
    <w:rsid w:val="000A28C9"/>
    <w:rsid w:val="000A2978"/>
    <w:rsid w:val="000A297F"/>
    <w:rsid w:val="000A29C3"/>
    <w:rsid w:val="000A2AA4"/>
    <w:rsid w:val="000A2ABC"/>
    <w:rsid w:val="000A2C5B"/>
    <w:rsid w:val="000A2D1B"/>
    <w:rsid w:val="000A2D1F"/>
    <w:rsid w:val="000A2E47"/>
    <w:rsid w:val="000A2F91"/>
    <w:rsid w:val="000A30FA"/>
    <w:rsid w:val="000A3113"/>
    <w:rsid w:val="000A3146"/>
    <w:rsid w:val="000A326C"/>
    <w:rsid w:val="000A3351"/>
    <w:rsid w:val="000A33D4"/>
    <w:rsid w:val="000A3428"/>
    <w:rsid w:val="000A35FA"/>
    <w:rsid w:val="000A35FC"/>
    <w:rsid w:val="000A37A8"/>
    <w:rsid w:val="000A37F3"/>
    <w:rsid w:val="000A39D9"/>
    <w:rsid w:val="000A3AF2"/>
    <w:rsid w:val="000A3B0A"/>
    <w:rsid w:val="000A3B1C"/>
    <w:rsid w:val="000A3B80"/>
    <w:rsid w:val="000A3C59"/>
    <w:rsid w:val="000A3CC2"/>
    <w:rsid w:val="000A3D1F"/>
    <w:rsid w:val="000A3DEE"/>
    <w:rsid w:val="000A3F68"/>
    <w:rsid w:val="000A4079"/>
    <w:rsid w:val="000A40C7"/>
    <w:rsid w:val="000A4528"/>
    <w:rsid w:val="000A4748"/>
    <w:rsid w:val="000A495A"/>
    <w:rsid w:val="000A4A2B"/>
    <w:rsid w:val="000A4B62"/>
    <w:rsid w:val="000A4BC6"/>
    <w:rsid w:val="000A4BCE"/>
    <w:rsid w:val="000A4D1C"/>
    <w:rsid w:val="000A4DBD"/>
    <w:rsid w:val="000A4FD3"/>
    <w:rsid w:val="000A4FD8"/>
    <w:rsid w:val="000A519D"/>
    <w:rsid w:val="000A527A"/>
    <w:rsid w:val="000A533D"/>
    <w:rsid w:val="000A5450"/>
    <w:rsid w:val="000A56AD"/>
    <w:rsid w:val="000A5746"/>
    <w:rsid w:val="000A5993"/>
    <w:rsid w:val="000A5B16"/>
    <w:rsid w:val="000A5BBF"/>
    <w:rsid w:val="000A5BEE"/>
    <w:rsid w:val="000A5C10"/>
    <w:rsid w:val="000A5CDD"/>
    <w:rsid w:val="000A5D83"/>
    <w:rsid w:val="000A5E7D"/>
    <w:rsid w:val="000A5F2E"/>
    <w:rsid w:val="000A5F3B"/>
    <w:rsid w:val="000A5F4C"/>
    <w:rsid w:val="000A6187"/>
    <w:rsid w:val="000A61AF"/>
    <w:rsid w:val="000A61BE"/>
    <w:rsid w:val="000A61D4"/>
    <w:rsid w:val="000A6403"/>
    <w:rsid w:val="000A641E"/>
    <w:rsid w:val="000A6498"/>
    <w:rsid w:val="000A6567"/>
    <w:rsid w:val="000A6596"/>
    <w:rsid w:val="000A66FB"/>
    <w:rsid w:val="000A67AE"/>
    <w:rsid w:val="000A684A"/>
    <w:rsid w:val="000A6A54"/>
    <w:rsid w:val="000A6C3C"/>
    <w:rsid w:val="000A6C45"/>
    <w:rsid w:val="000A6CA9"/>
    <w:rsid w:val="000A6D67"/>
    <w:rsid w:val="000A6D72"/>
    <w:rsid w:val="000A6ECA"/>
    <w:rsid w:val="000A6F06"/>
    <w:rsid w:val="000A7036"/>
    <w:rsid w:val="000A71A2"/>
    <w:rsid w:val="000A71C9"/>
    <w:rsid w:val="000A73A6"/>
    <w:rsid w:val="000A75C6"/>
    <w:rsid w:val="000A76F5"/>
    <w:rsid w:val="000A76FE"/>
    <w:rsid w:val="000A7877"/>
    <w:rsid w:val="000A7A47"/>
    <w:rsid w:val="000A7A63"/>
    <w:rsid w:val="000A7C84"/>
    <w:rsid w:val="000A7C99"/>
    <w:rsid w:val="000A7D70"/>
    <w:rsid w:val="000A7F16"/>
    <w:rsid w:val="000B013A"/>
    <w:rsid w:val="000B0158"/>
    <w:rsid w:val="000B0186"/>
    <w:rsid w:val="000B036B"/>
    <w:rsid w:val="000B0389"/>
    <w:rsid w:val="000B039E"/>
    <w:rsid w:val="000B03A0"/>
    <w:rsid w:val="000B049F"/>
    <w:rsid w:val="000B0670"/>
    <w:rsid w:val="000B07E6"/>
    <w:rsid w:val="000B07EB"/>
    <w:rsid w:val="000B0834"/>
    <w:rsid w:val="000B086A"/>
    <w:rsid w:val="000B08A1"/>
    <w:rsid w:val="000B0ECC"/>
    <w:rsid w:val="000B1108"/>
    <w:rsid w:val="000B13EA"/>
    <w:rsid w:val="000B15CD"/>
    <w:rsid w:val="000B1945"/>
    <w:rsid w:val="000B1959"/>
    <w:rsid w:val="000B1A90"/>
    <w:rsid w:val="000B1BED"/>
    <w:rsid w:val="000B1E70"/>
    <w:rsid w:val="000B204F"/>
    <w:rsid w:val="000B20C0"/>
    <w:rsid w:val="000B226A"/>
    <w:rsid w:val="000B2420"/>
    <w:rsid w:val="000B24E5"/>
    <w:rsid w:val="000B25A6"/>
    <w:rsid w:val="000B25CE"/>
    <w:rsid w:val="000B2798"/>
    <w:rsid w:val="000B2878"/>
    <w:rsid w:val="000B2B13"/>
    <w:rsid w:val="000B2B48"/>
    <w:rsid w:val="000B2D0F"/>
    <w:rsid w:val="000B2EE5"/>
    <w:rsid w:val="000B3032"/>
    <w:rsid w:val="000B3084"/>
    <w:rsid w:val="000B30B7"/>
    <w:rsid w:val="000B31BB"/>
    <w:rsid w:val="000B3309"/>
    <w:rsid w:val="000B3507"/>
    <w:rsid w:val="000B3886"/>
    <w:rsid w:val="000B3979"/>
    <w:rsid w:val="000B39FB"/>
    <w:rsid w:val="000B3A13"/>
    <w:rsid w:val="000B3A1D"/>
    <w:rsid w:val="000B3CAA"/>
    <w:rsid w:val="000B3DAC"/>
    <w:rsid w:val="000B3E39"/>
    <w:rsid w:val="000B3FE4"/>
    <w:rsid w:val="000B40F3"/>
    <w:rsid w:val="000B41EC"/>
    <w:rsid w:val="000B438B"/>
    <w:rsid w:val="000B4546"/>
    <w:rsid w:val="000B4573"/>
    <w:rsid w:val="000B4A0C"/>
    <w:rsid w:val="000B4B68"/>
    <w:rsid w:val="000B4BBE"/>
    <w:rsid w:val="000B4BFE"/>
    <w:rsid w:val="000B4C54"/>
    <w:rsid w:val="000B4D04"/>
    <w:rsid w:val="000B4DEA"/>
    <w:rsid w:val="000B4F28"/>
    <w:rsid w:val="000B4F6A"/>
    <w:rsid w:val="000B5121"/>
    <w:rsid w:val="000B5291"/>
    <w:rsid w:val="000B52CD"/>
    <w:rsid w:val="000B5555"/>
    <w:rsid w:val="000B568A"/>
    <w:rsid w:val="000B56B9"/>
    <w:rsid w:val="000B5C25"/>
    <w:rsid w:val="000B5D46"/>
    <w:rsid w:val="000B5E28"/>
    <w:rsid w:val="000B5F36"/>
    <w:rsid w:val="000B6042"/>
    <w:rsid w:val="000B60BF"/>
    <w:rsid w:val="000B622C"/>
    <w:rsid w:val="000B646E"/>
    <w:rsid w:val="000B64D9"/>
    <w:rsid w:val="000B65BC"/>
    <w:rsid w:val="000B685A"/>
    <w:rsid w:val="000B6869"/>
    <w:rsid w:val="000B69C5"/>
    <w:rsid w:val="000B6A42"/>
    <w:rsid w:val="000B6B99"/>
    <w:rsid w:val="000B6BBB"/>
    <w:rsid w:val="000B6DBE"/>
    <w:rsid w:val="000B6E2F"/>
    <w:rsid w:val="000B6F31"/>
    <w:rsid w:val="000B6F3D"/>
    <w:rsid w:val="000B6FA0"/>
    <w:rsid w:val="000B704E"/>
    <w:rsid w:val="000B70BC"/>
    <w:rsid w:val="000B7322"/>
    <w:rsid w:val="000B769F"/>
    <w:rsid w:val="000B776F"/>
    <w:rsid w:val="000B77D3"/>
    <w:rsid w:val="000B79C2"/>
    <w:rsid w:val="000B7D23"/>
    <w:rsid w:val="000B7D94"/>
    <w:rsid w:val="000B7DAC"/>
    <w:rsid w:val="000B7FD2"/>
    <w:rsid w:val="000B7FE9"/>
    <w:rsid w:val="000C0074"/>
    <w:rsid w:val="000C00AC"/>
    <w:rsid w:val="000C0104"/>
    <w:rsid w:val="000C0113"/>
    <w:rsid w:val="000C012D"/>
    <w:rsid w:val="000C0167"/>
    <w:rsid w:val="000C024D"/>
    <w:rsid w:val="000C02D7"/>
    <w:rsid w:val="000C04A1"/>
    <w:rsid w:val="000C0566"/>
    <w:rsid w:val="000C0682"/>
    <w:rsid w:val="000C06BD"/>
    <w:rsid w:val="000C0CC8"/>
    <w:rsid w:val="000C0D29"/>
    <w:rsid w:val="000C0E68"/>
    <w:rsid w:val="000C0E9B"/>
    <w:rsid w:val="000C1027"/>
    <w:rsid w:val="000C10A4"/>
    <w:rsid w:val="000C1267"/>
    <w:rsid w:val="000C13A6"/>
    <w:rsid w:val="000C16D7"/>
    <w:rsid w:val="000C17CB"/>
    <w:rsid w:val="000C189B"/>
    <w:rsid w:val="000C1903"/>
    <w:rsid w:val="000C19D0"/>
    <w:rsid w:val="000C1A3F"/>
    <w:rsid w:val="000C1D58"/>
    <w:rsid w:val="000C1D6C"/>
    <w:rsid w:val="000C1DCA"/>
    <w:rsid w:val="000C2177"/>
    <w:rsid w:val="000C2256"/>
    <w:rsid w:val="000C227F"/>
    <w:rsid w:val="000C229A"/>
    <w:rsid w:val="000C22C0"/>
    <w:rsid w:val="000C24D9"/>
    <w:rsid w:val="000C25F9"/>
    <w:rsid w:val="000C2601"/>
    <w:rsid w:val="000C264C"/>
    <w:rsid w:val="000C26BA"/>
    <w:rsid w:val="000C2766"/>
    <w:rsid w:val="000C2806"/>
    <w:rsid w:val="000C2879"/>
    <w:rsid w:val="000C290A"/>
    <w:rsid w:val="000C29D8"/>
    <w:rsid w:val="000C29FA"/>
    <w:rsid w:val="000C2A74"/>
    <w:rsid w:val="000C2B2C"/>
    <w:rsid w:val="000C2D06"/>
    <w:rsid w:val="000C2E4D"/>
    <w:rsid w:val="000C2E50"/>
    <w:rsid w:val="000C2EDE"/>
    <w:rsid w:val="000C3177"/>
    <w:rsid w:val="000C31C8"/>
    <w:rsid w:val="000C3500"/>
    <w:rsid w:val="000C3518"/>
    <w:rsid w:val="000C353C"/>
    <w:rsid w:val="000C3685"/>
    <w:rsid w:val="000C36A7"/>
    <w:rsid w:val="000C382B"/>
    <w:rsid w:val="000C385C"/>
    <w:rsid w:val="000C3B93"/>
    <w:rsid w:val="000C3BBF"/>
    <w:rsid w:val="000C3D5B"/>
    <w:rsid w:val="000C3E53"/>
    <w:rsid w:val="000C3EBC"/>
    <w:rsid w:val="000C3EEA"/>
    <w:rsid w:val="000C3FE1"/>
    <w:rsid w:val="000C43DA"/>
    <w:rsid w:val="000C4416"/>
    <w:rsid w:val="000C449B"/>
    <w:rsid w:val="000C4AC6"/>
    <w:rsid w:val="000C4B9E"/>
    <w:rsid w:val="000C4CC4"/>
    <w:rsid w:val="000C4D70"/>
    <w:rsid w:val="000C4DDC"/>
    <w:rsid w:val="000C4E2A"/>
    <w:rsid w:val="000C500F"/>
    <w:rsid w:val="000C51CE"/>
    <w:rsid w:val="000C521A"/>
    <w:rsid w:val="000C53A2"/>
    <w:rsid w:val="000C5483"/>
    <w:rsid w:val="000C55D3"/>
    <w:rsid w:val="000C59C1"/>
    <w:rsid w:val="000C5C0C"/>
    <w:rsid w:val="000C5CDA"/>
    <w:rsid w:val="000C5E66"/>
    <w:rsid w:val="000C5F56"/>
    <w:rsid w:val="000C5FED"/>
    <w:rsid w:val="000C6115"/>
    <w:rsid w:val="000C612A"/>
    <w:rsid w:val="000C623D"/>
    <w:rsid w:val="000C64C5"/>
    <w:rsid w:val="000C6654"/>
    <w:rsid w:val="000C66EA"/>
    <w:rsid w:val="000C6949"/>
    <w:rsid w:val="000C6955"/>
    <w:rsid w:val="000C69BF"/>
    <w:rsid w:val="000C6CCD"/>
    <w:rsid w:val="000C6FC0"/>
    <w:rsid w:val="000C6FC5"/>
    <w:rsid w:val="000C727A"/>
    <w:rsid w:val="000C7313"/>
    <w:rsid w:val="000C75A5"/>
    <w:rsid w:val="000C75E6"/>
    <w:rsid w:val="000C777B"/>
    <w:rsid w:val="000C7918"/>
    <w:rsid w:val="000C7A7A"/>
    <w:rsid w:val="000C7B29"/>
    <w:rsid w:val="000C7CA1"/>
    <w:rsid w:val="000C7CFE"/>
    <w:rsid w:val="000C7DE1"/>
    <w:rsid w:val="000C7E3F"/>
    <w:rsid w:val="000D00D2"/>
    <w:rsid w:val="000D0100"/>
    <w:rsid w:val="000D035B"/>
    <w:rsid w:val="000D0385"/>
    <w:rsid w:val="000D0558"/>
    <w:rsid w:val="000D056D"/>
    <w:rsid w:val="000D06F7"/>
    <w:rsid w:val="000D0812"/>
    <w:rsid w:val="000D08C2"/>
    <w:rsid w:val="000D094E"/>
    <w:rsid w:val="000D099E"/>
    <w:rsid w:val="000D0A40"/>
    <w:rsid w:val="000D0ADB"/>
    <w:rsid w:val="000D0B96"/>
    <w:rsid w:val="000D0CDD"/>
    <w:rsid w:val="000D0D8E"/>
    <w:rsid w:val="000D0E74"/>
    <w:rsid w:val="000D0F12"/>
    <w:rsid w:val="000D1022"/>
    <w:rsid w:val="000D1098"/>
    <w:rsid w:val="000D10C4"/>
    <w:rsid w:val="000D12A8"/>
    <w:rsid w:val="000D13D7"/>
    <w:rsid w:val="000D14F2"/>
    <w:rsid w:val="000D1552"/>
    <w:rsid w:val="000D162B"/>
    <w:rsid w:val="000D1763"/>
    <w:rsid w:val="000D18CE"/>
    <w:rsid w:val="000D18E5"/>
    <w:rsid w:val="000D197D"/>
    <w:rsid w:val="000D1A04"/>
    <w:rsid w:val="000D1AC9"/>
    <w:rsid w:val="000D1BDD"/>
    <w:rsid w:val="000D1C12"/>
    <w:rsid w:val="000D1D9D"/>
    <w:rsid w:val="000D202B"/>
    <w:rsid w:val="000D2199"/>
    <w:rsid w:val="000D219D"/>
    <w:rsid w:val="000D25B3"/>
    <w:rsid w:val="000D2762"/>
    <w:rsid w:val="000D27FF"/>
    <w:rsid w:val="000D283D"/>
    <w:rsid w:val="000D2A43"/>
    <w:rsid w:val="000D2A7B"/>
    <w:rsid w:val="000D2C6A"/>
    <w:rsid w:val="000D2CA9"/>
    <w:rsid w:val="000D326D"/>
    <w:rsid w:val="000D3285"/>
    <w:rsid w:val="000D3522"/>
    <w:rsid w:val="000D3547"/>
    <w:rsid w:val="000D38D7"/>
    <w:rsid w:val="000D3AA7"/>
    <w:rsid w:val="000D3B14"/>
    <w:rsid w:val="000D3CDC"/>
    <w:rsid w:val="000D4395"/>
    <w:rsid w:val="000D444B"/>
    <w:rsid w:val="000D4529"/>
    <w:rsid w:val="000D4776"/>
    <w:rsid w:val="000D4A22"/>
    <w:rsid w:val="000D4A3F"/>
    <w:rsid w:val="000D4B69"/>
    <w:rsid w:val="000D4D06"/>
    <w:rsid w:val="000D4F05"/>
    <w:rsid w:val="000D52B9"/>
    <w:rsid w:val="000D56C8"/>
    <w:rsid w:val="000D56DA"/>
    <w:rsid w:val="000D584C"/>
    <w:rsid w:val="000D59AF"/>
    <w:rsid w:val="000D5A6C"/>
    <w:rsid w:val="000D5B3F"/>
    <w:rsid w:val="000D5B4C"/>
    <w:rsid w:val="000D5B5D"/>
    <w:rsid w:val="000D5B91"/>
    <w:rsid w:val="000D5C00"/>
    <w:rsid w:val="000D5C88"/>
    <w:rsid w:val="000D5CD0"/>
    <w:rsid w:val="000D5E38"/>
    <w:rsid w:val="000D5EE0"/>
    <w:rsid w:val="000D605A"/>
    <w:rsid w:val="000D60D7"/>
    <w:rsid w:val="000D613F"/>
    <w:rsid w:val="000D62BA"/>
    <w:rsid w:val="000D62F7"/>
    <w:rsid w:val="000D63EF"/>
    <w:rsid w:val="000D651F"/>
    <w:rsid w:val="000D6850"/>
    <w:rsid w:val="000D69E2"/>
    <w:rsid w:val="000D6A8C"/>
    <w:rsid w:val="000D6B39"/>
    <w:rsid w:val="000D6D85"/>
    <w:rsid w:val="000D72C9"/>
    <w:rsid w:val="000D7462"/>
    <w:rsid w:val="000D75E3"/>
    <w:rsid w:val="000D7651"/>
    <w:rsid w:val="000D76CF"/>
    <w:rsid w:val="000D7754"/>
    <w:rsid w:val="000D7808"/>
    <w:rsid w:val="000D79AE"/>
    <w:rsid w:val="000D7AFA"/>
    <w:rsid w:val="000D7C2D"/>
    <w:rsid w:val="000D7CAD"/>
    <w:rsid w:val="000D7D3D"/>
    <w:rsid w:val="000D7D53"/>
    <w:rsid w:val="000D7D72"/>
    <w:rsid w:val="000D7DBC"/>
    <w:rsid w:val="000D7FD1"/>
    <w:rsid w:val="000E02CA"/>
    <w:rsid w:val="000E03E8"/>
    <w:rsid w:val="000E071E"/>
    <w:rsid w:val="000E0848"/>
    <w:rsid w:val="000E0981"/>
    <w:rsid w:val="000E098F"/>
    <w:rsid w:val="000E0C76"/>
    <w:rsid w:val="000E0DEE"/>
    <w:rsid w:val="000E0E80"/>
    <w:rsid w:val="000E0FC2"/>
    <w:rsid w:val="000E12BA"/>
    <w:rsid w:val="000E14BA"/>
    <w:rsid w:val="000E168D"/>
    <w:rsid w:val="000E1717"/>
    <w:rsid w:val="000E187C"/>
    <w:rsid w:val="000E1A45"/>
    <w:rsid w:val="000E1A5D"/>
    <w:rsid w:val="000E1AF4"/>
    <w:rsid w:val="000E1B00"/>
    <w:rsid w:val="000E1B17"/>
    <w:rsid w:val="000E1B2F"/>
    <w:rsid w:val="000E1B49"/>
    <w:rsid w:val="000E1DD3"/>
    <w:rsid w:val="000E1E07"/>
    <w:rsid w:val="000E1E36"/>
    <w:rsid w:val="000E1F04"/>
    <w:rsid w:val="000E1F83"/>
    <w:rsid w:val="000E210E"/>
    <w:rsid w:val="000E2136"/>
    <w:rsid w:val="000E21FB"/>
    <w:rsid w:val="000E2396"/>
    <w:rsid w:val="000E23CF"/>
    <w:rsid w:val="000E2493"/>
    <w:rsid w:val="000E251C"/>
    <w:rsid w:val="000E2608"/>
    <w:rsid w:val="000E2B3E"/>
    <w:rsid w:val="000E2B60"/>
    <w:rsid w:val="000E2C8E"/>
    <w:rsid w:val="000E2CE7"/>
    <w:rsid w:val="000E2E8B"/>
    <w:rsid w:val="000E2FA3"/>
    <w:rsid w:val="000E30CB"/>
    <w:rsid w:val="000E3244"/>
    <w:rsid w:val="000E32CC"/>
    <w:rsid w:val="000E34CA"/>
    <w:rsid w:val="000E34E6"/>
    <w:rsid w:val="000E3A6C"/>
    <w:rsid w:val="000E3A71"/>
    <w:rsid w:val="000E3B9D"/>
    <w:rsid w:val="000E3D33"/>
    <w:rsid w:val="000E3E3A"/>
    <w:rsid w:val="000E408B"/>
    <w:rsid w:val="000E40D5"/>
    <w:rsid w:val="000E4224"/>
    <w:rsid w:val="000E434B"/>
    <w:rsid w:val="000E45EF"/>
    <w:rsid w:val="000E469C"/>
    <w:rsid w:val="000E4990"/>
    <w:rsid w:val="000E499C"/>
    <w:rsid w:val="000E4B43"/>
    <w:rsid w:val="000E4BDF"/>
    <w:rsid w:val="000E4C2B"/>
    <w:rsid w:val="000E4D50"/>
    <w:rsid w:val="000E4E3B"/>
    <w:rsid w:val="000E4E8B"/>
    <w:rsid w:val="000E4FE0"/>
    <w:rsid w:val="000E504F"/>
    <w:rsid w:val="000E5135"/>
    <w:rsid w:val="000E51EA"/>
    <w:rsid w:val="000E5358"/>
    <w:rsid w:val="000E541E"/>
    <w:rsid w:val="000E5614"/>
    <w:rsid w:val="000E5754"/>
    <w:rsid w:val="000E57D6"/>
    <w:rsid w:val="000E591F"/>
    <w:rsid w:val="000E5957"/>
    <w:rsid w:val="000E59CC"/>
    <w:rsid w:val="000E59E8"/>
    <w:rsid w:val="000E5D02"/>
    <w:rsid w:val="000E5DE6"/>
    <w:rsid w:val="000E5F0B"/>
    <w:rsid w:val="000E5F35"/>
    <w:rsid w:val="000E603F"/>
    <w:rsid w:val="000E60B3"/>
    <w:rsid w:val="000E60F8"/>
    <w:rsid w:val="000E6113"/>
    <w:rsid w:val="000E62EA"/>
    <w:rsid w:val="000E6444"/>
    <w:rsid w:val="000E6453"/>
    <w:rsid w:val="000E65D3"/>
    <w:rsid w:val="000E6709"/>
    <w:rsid w:val="000E673C"/>
    <w:rsid w:val="000E674E"/>
    <w:rsid w:val="000E678D"/>
    <w:rsid w:val="000E6814"/>
    <w:rsid w:val="000E6962"/>
    <w:rsid w:val="000E69AF"/>
    <w:rsid w:val="000E6A08"/>
    <w:rsid w:val="000E6A3F"/>
    <w:rsid w:val="000E6B3E"/>
    <w:rsid w:val="000E6B5D"/>
    <w:rsid w:val="000E6C3B"/>
    <w:rsid w:val="000E6E3A"/>
    <w:rsid w:val="000E6E59"/>
    <w:rsid w:val="000E712C"/>
    <w:rsid w:val="000E718F"/>
    <w:rsid w:val="000E71D3"/>
    <w:rsid w:val="000E7299"/>
    <w:rsid w:val="000E733F"/>
    <w:rsid w:val="000E73A5"/>
    <w:rsid w:val="000E74D4"/>
    <w:rsid w:val="000E7764"/>
    <w:rsid w:val="000E7875"/>
    <w:rsid w:val="000E7AF4"/>
    <w:rsid w:val="000E7C36"/>
    <w:rsid w:val="000E7C4D"/>
    <w:rsid w:val="000E7C9E"/>
    <w:rsid w:val="000F00DB"/>
    <w:rsid w:val="000F03D6"/>
    <w:rsid w:val="000F04C3"/>
    <w:rsid w:val="000F0774"/>
    <w:rsid w:val="000F09EB"/>
    <w:rsid w:val="000F0DFE"/>
    <w:rsid w:val="000F108F"/>
    <w:rsid w:val="000F1270"/>
    <w:rsid w:val="000F1346"/>
    <w:rsid w:val="000F191E"/>
    <w:rsid w:val="000F1969"/>
    <w:rsid w:val="000F19C5"/>
    <w:rsid w:val="000F1A07"/>
    <w:rsid w:val="000F1AE9"/>
    <w:rsid w:val="000F1C62"/>
    <w:rsid w:val="000F1CC5"/>
    <w:rsid w:val="000F1D3E"/>
    <w:rsid w:val="000F2064"/>
    <w:rsid w:val="000F206E"/>
    <w:rsid w:val="000F2110"/>
    <w:rsid w:val="000F21A7"/>
    <w:rsid w:val="000F21B8"/>
    <w:rsid w:val="000F21BA"/>
    <w:rsid w:val="000F21E5"/>
    <w:rsid w:val="000F21ED"/>
    <w:rsid w:val="000F264E"/>
    <w:rsid w:val="000F268F"/>
    <w:rsid w:val="000F26DB"/>
    <w:rsid w:val="000F284A"/>
    <w:rsid w:val="000F2873"/>
    <w:rsid w:val="000F28CF"/>
    <w:rsid w:val="000F2A35"/>
    <w:rsid w:val="000F2A6F"/>
    <w:rsid w:val="000F2D1C"/>
    <w:rsid w:val="000F2D6C"/>
    <w:rsid w:val="000F2DAF"/>
    <w:rsid w:val="000F2EC3"/>
    <w:rsid w:val="000F2F1B"/>
    <w:rsid w:val="000F2F9A"/>
    <w:rsid w:val="000F3080"/>
    <w:rsid w:val="000F30D0"/>
    <w:rsid w:val="000F330E"/>
    <w:rsid w:val="000F3584"/>
    <w:rsid w:val="000F35A3"/>
    <w:rsid w:val="000F35F2"/>
    <w:rsid w:val="000F3619"/>
    <w:rsid w:val="000F38BC"/>
    <w:rsid w:val="000F396E"/>
    <w:rsid w:val="000F3A84"/>
    <w:rsid w:val="000F3ABC"/>
    <w:rsid w:val="000F3E18"/>
    <w:rsid w:val="000F3E2C"/>
    <w:rsid w:val="000F3E58"/>
    <w:rsid w:val="000F3E99"/>
    <w:rsid w:val="000F3EC7"/>
    <w:rsid w:val="000F3F7B"/>
    <w:rsid w:val="000F3FD5"/>
    <w:rsid w:val="000F3FE0"/>
    <w:rsid w:val="000F403D"/>
    <w:rsid w:val="000F4162"/>
    <w:rsid w:val="000F420B"/>
    <w:rsid w:val="000F4261"/>
    <w:rsid w:val="000F4463"/>
    <w:rsid w:val="000F44D5"/>
    <w:rsid w:val="000F4556"/>
    <w:rsid w:val="000F4593"/>
    <w:rsid w:val="000F46A3"/>
    <w:rsid w:val="000F4780"/>
    <w:rsid w:val="000F48B3"/>
    <w:rsid w:val="000F4CA7"/>
    <w:rsid w:val="000F4FAD"/>
    <w:rsid w:val="000F5030"/>
    <w:rsid w:val="000F5171"/>
    <w:rsid w:val="000F51FB"/>
    <w:rsid w:val="000F5200"/>
    <w:rsid w:val="000F532C"/>
    <w:rsid w:val="000F533E"/>
    <w:rsid w:val="000F551D"/>
    <w:rsid w:val="000F55AD"/>
    <w:rsid w:val="000F5685"/>
    <w:rsid w:val="000F56F7"/>
    <w:rsid w:val="000F5763"/>
    <w:rsid w:val="000F5978"/>
    <w:rsid w:val="000F59DB"/>
    <w:rsid w:val="000F5C53"/>
    <w:rsid w:val="000F5E72"/>
    <w:rsid w:val="000F5FEF"/>
    <w:rsid w:val="000F608B"/>
    <w:rsid w:val="000F616D"/>
    <w:rsid w:val="000F61F4"/>
    <w:rsid w:val="000F6243"/>
    <w:rsid w:val="000F62F7"/>
    <w:rsid w:val="000F6466"/>
    <w:rsid w:val="000F64C5"/>
    <w:rsid w:val="000F658F"/>
    <w:rsid w:val="000F65F6"/>
    <w:rsid w:val="000F663A"/>
    <w:rsid w:val="000F66C5"/>
    <w:rsid w:val="000F66C9"/>
    <w:rsid w:val="000F6767"/>
    <w:rsid w:val="000F683A"/>
    <w:rsid w:val="000F6A48"/>
    <w:rsid w:val="000F6AE1"/>
    <w:rsid w:val="000F6B60"/>
    <w:rsid w:val="000F6B72"/>
    <w:rsid w:val="000F6BCA"/>
    <w:rsid w:val="000F6C55"/>
    <w:rsid w:val="000F6C91"/>
    <w:rsid w:val="000F6D63"/>
    <w:rsid w:val="000F6DBA"/>
    <w:rsid w:val="000F6DF0"/>
    <w:rsid w:val="000F6E25"/>
    <w:rsid w:val="000F6F64"/>
    <w:rsid w:val="000F7028"/>
    <w:rsid w:val="000F702A"/>
    <w:rsid w:val="000F7089"/>
    <w:rsid w:val="000F70E4"/>
    <w:rsid w:val="000F71AA"/>
    <w:rsid w:val="000F730C"/>
    <w:rsid w:val="000F7320"/>
    <w:rsid w:val="000F77A3"/>
    <w:rsid w:val="000F7850"/>
    <w:rsid w:val="000F795E"/>
    <w:rsid w:val="000F7B49"/>
    <w:rsid w:val="000F7C42"/>
    <w:rsid w:val="000F7C81"/>
    <w:rsid w:val="000F7E22"/>
    <w:rsid w:val="000F7E9E"/>
    <w:rsid w:val="001001B0"/>
    <w:rsid w:val="00100410"/>
    <w:rsid w:val="001006EF"/>
    <w:rsid w:val="0010077C"/>
    <w:rsid w:val="001007F9"/>
    <w:rsid w:val="0010097A"/>
    <w:rsid w:val="00100A26"/>
    <w:rsid w:val="00100AC6"/>
    <w:rsid w:val="00100CC9"/>
    <w:rsid w:val="00100D7B"/>
    <w:rsid w:val="00100E8A"/>
    <w:rsid w:val="00100EB0"/>
    <w:rsid w:val="0010112B"/>
    <w:rsid w:val="001012C9"/>
    <w:rsid w:val="00101462"/>
    <w:rsid w:val="0010153A"/>
    <w:rsid w:val="00101548"/>
    <w:rsid w:val="001015A4"/>
    <w:rsid w:val="00101681"/>
    <w:rsid w:val="00101769"/>
    <w:rsid w:val="00101786"/>
    <w:rsid w:val="001017E5"/>
    <w:rsid w:val="00101888"/>
    <w:rsid w:val="001018D6"/>
    <w:rsid w:val="00101A5A"/>
    <w:rsid w:val="00101CD1"/>
    <w:rsid w:val="00101DFB"/>
    <w:rsid w:val="00101E96"/>
    <w:rsid w:val="00101F17"/>
    <w:rsid w:val="00101F80"/>
    <w:rsid w:val="00101FE4"/>
    <w:rsid w:val="00102052"/>
    <w:rsid w:val="001020D4"/>
    <w:rsid w:val="001021F4"/>
    <w:rsid w:val="001022C4"/>
    <w:rsid w:val="00102437"/>
    <w:rsid w:val="00102550"/>
    <w:rsid w:val="001026BF"/>
    <w:rsid w:val="0010299A"/>
    <w:rsid w:val="00102B19"/>
    <w:rsid w:val="00102B48"/>
    <w:rsid w:val="00102D30"/>
    <w:rsid w:val="00102F18"/>
    <w:rsid w:val="001030E4"/>
    <w:rsid w:val="001031AD"/>
    <w:rsid w:val="00103225"/>
    <w:rsid w:val="00103247"/>
    <w:rsid w:val="00103555"/>
    <w:rsid w:val="00103562"/>
    <w:rsid w:val="0010377D"/>
    <w:rsid w:val="001037B6"/>
    <w:rsid w:val="001039A5"/>
    <w:rsid w:val="00103C19"/>
    <w:rsid w:val="00103C57"/>
    <w:rsid w:val="00103C5C"/>
    <w:rsid w:val="00103CA5"/>
    <w:rsid w:val="00103DDB"/>
    <w:rsid w:val="00103E52"/>
    <w:rsid w:val="00103FB5"/>
    <w:rsid w:val="00104095"/>
    <w:rsid w:val="00104123"/>
    <w:rsid w:val="00104146"/>
    <w:rsid w:val="0010422B"/>
    <w:rsid w:val="0010430C"/>
    <w:rsid w:val="00104391"/>
    <w:rsid w:val="001044C1"/>
    <w:rsid w:val="00104684"/>
    <w:rsid w:val="00104709"/>
    <w:rsid w:val="00104866"/>
    <w:rsid w:val="00104923"/>
    <w:rsid w:val="00104946"/>
    <w:rsid w:val="00104B61"/>
    <w:rsid w:val="00104BA1"/>
    <w:rsid w:val="00105188"/>
    <w:rsid w:val="001051B1"/>
    <w:rsid w:val="001053DA"/>
    <w:rsid w:val="001054A7"/>
    <w:rsid w:val="0010556E"/>
    <w:rsid w:val="001055C5"/>
    <w:rsid w:val="001055D7"/>
    <w:rsid w:val="001057F3"/>
    <w:rsid w:val="0010584B"/>
    <w:rsid w:val="001058CC"/>
    <w:rsid w:val="0010594A"/>
    <w:rsid w:val="0010598A"/>
    <w:rsid w:val="00105BED"/>
    <w:rsid w:val="00105EB8"/>
    <w:rsid w:val="00105FBC"/>
    <w:rsid w:val="00105FCE"/>
    <w:rsid w:val="00106105"/>
    <w:rsid w:val="001063E9"/>
    <w:rsid w:val="00106455"/>
    <w:rsid w:val="001064D3"/>
    <w:rsid w:val="00106512"/>
    <w:rsid w:val="00106676"/>
    <w:rsid w:val="001067A6"/>
    <w:rsid w:val="001068EB"/>
    <w:rsid w:val="0010699E"/>
    <w:rsid w:val="00106A0A"/>
    <w:rsid w:val="00106BA5"/>
    <w:rsid w:val="00106BB5"/>
    <w:rsid w:val="00106EB2"/>
    <w:rsid w:val="00107057"/>
    <w:rsid w:val="00107058"/>
    <w:rsid w:val="00107070"/>
    <w:rsid w:val="0010720D"/>
    <w:rsid w:val="00107549"/>
    <w:rsid w:val="001075A9"/>
    <w:rsid w:val="0010762B"/>
    <w:rsid w:val="00107688"/>
    <w:rsid w:val="00107691"/>
    <w:rsid w:val="00107692"/>
    <w:rsid w:val="001076F0"/>
    <w:rsid w:val="0010774B"/>
    <w:rsid w:val="00107750"/>
    <w:rsid w:val="0010781C"/>
    <w:rsid w:val="00107845"/>
    <w:rsid w:val="001078B8"/>
    <w:rsid w:val="00107DE8"/>
    <w:rsid w:val="00107E9B"/>
    <w:rsid w:val="00107F41"/>
    <w:rsid w:val="00107FE1"/>
    <w:rsid w:val="0011019A"/>
    <w:rsid w:val="0011034D"/>
    <w:rsid w:val="00110466"/>
    <w:rsid w:val="0011055E"/>
    <w:rsid w:val="001106A1"/>
    <w:rsid w:val="00110776"/>
    <w:rsid w:val="001108DC"/>
    <w:rsid w:val="00110905"/>
    <w:rsid w:val="00110A41"/>
    <w:rsid w:val="00110B80"/>
    <w:rsid w:val="00110BD3"/>
    <w:rsid w:val="00110CEC"/>
    <w:rsid w:val="00110D31"/>
    <w:rsid w:val="00110DE2"/>
    <w:rsid w:val="00110E7B"/>
    <w:rsid w:val="00110E9F"/>
    <w:rsid w:val="00110F46"/>
    <w:rsid w:val="001110AD"/>
    <w:rsid w:val="001112E4"/>
    <w:rsid w:val="00111523"/>
    <w:rsid w:val="001116D3"/>
    <w:rsid w:val="0011177E"/>
    <w:rsid w:val="0011188B"/>
    <w:rsid w:val="001118D4"/>
    <w:rsid w:val="0011196F"/>
    <w:rsid w:val="00112028"/>
    <w:rsid w:val="0011210F"/>
    <w:rsid w:val="001121A3"/>
    <w:rsid w:val="001121C3"/>
    <w:rsid w:val="00112206"/>
    <w:rsid w:val="001124F6"/>
    <w:rsid w:val="0011269C"/>
    <w:rsid w:val="0011282E"/>
    <w:rsid w:val="00112866"/>
    <w:rsid w:val="0011298F"/>
    <w:rsid w:val="00112C95"/>
    <w:rsid w:val="00112DE8"/>
    <w:rsid w:val="00112E94"/>
    <w:rsid w:val="001130DA"/>
    <w:rsid w:val="001131CF"/>
    <w:rsid w:val="0011322E"/>
    <w:rsid w:val="00113262"/>
    <w:rsid w:val="00113275"/>
    <w:rsid w:val="00113301"/>
    <w:rsid w:val="001134AF"/>
    <w:rsid w:val="0011369D"/>
    <w:rsid w:val="00113796"/>
    <w:rsid w:val="001137C1"/>
    <w:rsid w:val="00113833"/>
    <w:rsid w:val="0011385E"/>
    <w:rsid w:val="00113A94"/>
    <w:rsid w:val="00113A95"/>
    <w:rsid w:val="00113A96"/>
    <w:rsid w:val="00113AD3"/>
    <w:rsid w:val="00113ECB"/>
    <w:rsid w:val="00113EE8"/>
    <w:rsid w:val="00113FA4"/>
    <w:rsid w:val="001140B7"/>
    <w:rsid w:val="001141CD"/>
    <w:rsid w:val="00114326"/>
    <w:rsid w:val="0011443E"/>
    <w:rsid w:val="00114445"/>
    <w:rsid w:val="00114476"/>
    <w:rsid w:val="0011447B"/>
    <w:rsid w:val="0011478E"/>
    <w:rsid w:val="001147BA"/>
    <w:rsid w:val="0011484F"/>
    <w:rsid w:val="001148E1"/>
    <w:rsid w:val="00114A2E"/>
    <w:rsid w:val="00114B37"/>
    <w:rsid w:val="00114BF5"/>
    <w:rsid w:val="00114BFA"/>
    <w:rsid w:val="00114CA4"/>
    <w:rsid w:val="00114D16"/>
    <w:rsid w:val="00114DC1"/>
    <w:rsid w:val="00114DEF"/>
    <w:rsid w:val="00114E8D"/>
    <w:rsid w:val="00115534"/>
    <w:rsid w:val="001156CB"/>
    <w:rsid w:val="0011589E"/>
    <w:rsid w:val="001158A5"/>
    <w:rsid w:val="00115939"/>
    <w:rsid w:val="0011598A"/>
    <w:rsid w:val="00115AC6"/>
    <w:rsid w:val="00115C30"/>
    <w:rsid w:val="00115D5F"/>
    <w:rsid w:val="00115F33"/>
    <w:rsid w:val="00116081"/>
    <w:rsid w:val="0011608E"/>
    <w:rsid w:val="00116134"/>
    <w:rsid w:val="00116155"/>
    <w:rsid w:val="001163AA"/>
    <w:rsid w:val="00116575"/>
    <w:rsid w:val="001165FF"/>
    <w:rsid w:val="00116722"/>
    <w:rsid w:val="00116786"/>
    <w:rsid w:val="001168E2"/>
    <w:rsid w:val="00116C3F"/>
    <w:rsid w:val="00117016"/>
    <w:rsid w:val="001171CC"/>
    <w:rsid w:val="0011725B"/>
    <w:rsid w:val="0011726B"/>
    <w:rsid w:val="0011728E"/>
    <w:rsid w:val="001172C2"/>
    <w:rsid w:val="001172C7"/>
    <w:rsid w:val="001173A2"/>
    <w:rsid w:val="00117475"/>
    <w:rsid w:val="001174B6"/>
    <w:rsid w:val="0011755B"/>
    <w:rsid w:val="0011759F"/>
    <w:rsid w:val="001176FE"/>
    <w:rsid w:val="00117726"/>
    <w:rsid w:val="001177F9"/>
    <w:rsid w:val="001178B9"/>
    <w:rsid w:val="001178F2"/>
    <w:rsid w:val="00117EAA"/>
    <w:rsid w:val="0012017F"/>
    <w:rsid w:val="001203C6"/>
    <w:rsid w:val="001203FC"/>
    <w:rsid w:val="001205A8"/>
    <w:rsid w:val="0012070F"/>
    <w:rsid w:val="00120857"/>
    <w:rsid w:val="00120A90"/>
    <w:rsid w:val="00120B73"/>
    <w:rsid w:val="00120D2B"/>
    <w:rsid w:val="00120DFF"/>
    <w:rsid w:val="00120F7B"/>
    <w:rsid w:val="00121073"/>
    <w:rsid w:val="001211DD"/>
    <w:rsid w:val="001214AE"/>
    <w:rsid w:val="00121612"/>
    <w:rsid w:val="00121735"/>
    <w:rsid w:val="0012192C"/>
    <w:rsid w:val="00121AF8"/>
    <w:rsid w:val="00121B38"/>
    <w:rsid w:val="00121DA4"/>
    <w:rsid w:val="00121DE5"/>
    <w:rsid w:val="00121E1A"/>
    <w:rsid w:val="00121F2F"/>
    <w:rsid w:val="00121FE8"/>
    <w:rsid w:val="00122487"/>
    <w:rsid w:val="001224AC"/>
    <w:rsid w:val="00122707"/>
    <w:rsid w:val="00122815"/>
    <w:rsid w:val="0012281E"/>
    <w:rsid w:val="00122928"/>
    <w:rsid w:val="00122B86"/>
    <w:rsid w:val="00122BA3"/>
    <w:rsid w:val="00122D1A"/>
    <w:rsid w:val="00122E0B"/>
    <w:rsid w:val="00123091"/>
    <w:rsid w:val="001231EA"/>
    <w:rsid w:val="00123227"/>
    <w:rsid w:val="0012323C"/>
    <w:rsid w:val="001232AD"/>
    <w:rsid w:val="0012345A"/>
    <w:rsid w:val="001236F5"/>
    <w:rsid w:val="00123785"/>
    <w:rsid w:val="001237C9"/>
    <w:rsid w:val="00123887"/>
    <w:rsid w:val="0012395E"/>
    <w:rsid w:val="00123A0B"/>
    <w:rsid w:val="00123ABB"/>
    <w:rsid w:val="00123ABE"/>
    <w:rsid w:val="00123B43"/>
    <w:rsid w:val="00123B68"/>
    <w:rsid w:val="00123BFE"/>
    <w:rsid w:val="00123D51"/>
    <w:rsid w:val="00123D77"/>
    <w:rsid w:val="00123E3C"/>
    <w:rsid w:val="00123F8E"/>
    <w:rsid w:val="00123FE6"/>
    <w:rsid w:val="00124106"/>
    <w:rsid w:val="0012413F"/>
    <w:rsid w:val="001242AC"/>
    <w:rsid w:val="001243F3"/>
    <w:rsid w:val="001244C7"/>
    <w:rsid w:val="00124524"/>
    <w:rsid w:val="001246D2"/>
    <w:rsid w:val="001247A5"/>
    <w:rsid w:val="001248B7"/>
    <w:rsid w:val="0012493D"/>
    <w:rsid w:val="00124942"/>
    <w:rsid w:val="0012498D"/>
    <w:rsid w:val="001249C2"/>
    <w:rsid w:val="00124C16"/>
    <w:rsid w:val="00124CB7"/>
    <w:rsid w:val="00124D8B"/>
    <w:rsid w:val="00124EB5"/>
    <w:rsid w:val="00124F21"/>
    <w:rsid w:val="00124F88"/>
    <w:rsid w:val="00124FD6"/>
    <w:rsid w:val="00125031"/>
    <w:rsid w:val="00125203"/>
    <w:rsid w:val="0012524B"/>
    <w:rsid w:val="0012528D"/>
    <w:rsid w:val="00125539"/>
    <w:rsid w:val="0012561A"/>
    <w:rsid w:val="00125624"/>
    <w:rsid w:val="001258A2"/>
    <w:rsid w:val="00125988"/>
    <w:rsid w:val="0012598F"/>
    <w:rsid w:val="00125AED"/>
    <w:rsid w:val="00125BAE"/>
    <w:rsid w:val="00125C9D"/>
    <w:rsid w:val="00125CEB"/>
    <w:rsid w:val="00125D40"/>
    <w:rsid w:val="00126150"/>
    <w:rsid w:val="0012618E"/>
    <w:rsid w:val="0012623A"/>
    <w:rsid w:val="00126248"/>
    <w:rsid w:val="0012632E"/>
    <w:rsid w:val="00126337"/>
    <w:rsid w:val="00126391"/>
    <w:rsid w:val="001263AF"/>
    <w:rsid w:val="001263DD"/>
    <w:rsid w:val="00126516"/>
    <w:rsid w:val="00126A27"/>
    <w:rsid w:val="00126B42"/>
    <w:rsid w:val="00126B4B"/>
    <w:rsid w:val="00126C38"/>
    <w:rsid w:val="00126C69"/>
    <w:rsid w:val="00126C9D"/>
    <w:rsid w:val="00126CCF"/>
    <w:rsid w:val="00126CDC"/>
    <w:rsid w:val="00126CDE"/>
    <w:rsid w:val="00126F95"/>
    <w:rsid w:val="00126FE7"/>
    <w:rsid w:val="001270EF"/>
    <w:rsid w:val="001272FB"/>
    <w:rsid w:val="0012746D"/>
    <w:rsid w:val="001274E4"/>
    <w:rsid w:val="001275B8"/>
    <w:rsid w:val="001275E7"/>
    <w:rsid w:val="00127801"/>
    <w:rsid w:val="001278C1"/>
    <w:rsid w:val="001279EF"/>
    <w:rsid w:val="001279FB"/>
    <w:rsid w:val="00127A2C"/>
    <w:rsid w:val="00127AD5"/>
    <w:rsid w:val="00127B87"/>
    <w:rsid w:val="00127DA9"/>
    <w:rsid w:val="00127E17"/>
    <w:rsid w:val="00127F4E"/>
    <w:rsid w:val="00130301"/>
    <w:rsid w:val="0013039E"/>
    <w:rsid w:val="001304CF"/>
    <w:rsid w:val="00130504"/>
    <w:rsid w:val="00130536"/>
    <w:rsid w:val="00130560"/>
    <w:rsid w:val="001307DE"/>
    <w:rsid w:val="0013088E"/>
    <w:rsid w:val="00130A8D"/>
    <w:rsid w:val="00130B53"/>
    <w:rsid w:val="0013117D"/>
    <w:rsid w:val="0013169C"/>
    <w:rsid w:val="001316D2"/>
    <w:rsid w:val="0013173B"/>
    <w:rsid w:val="00131750"/>
    <w:rsid w:val="0013188D"/>
    <w:rsid w:val="0013194F"/>
    <w:rsid w:val="00131959"/>
    <w:rsid w:val="0013195D"/>
    <w:rsid w:val="00131AE1"/>
    <w:rsid w:val="00131C22"/>
    <w:rsid w:val="00131D20"/>
    <w:rsid w:val="00131E47"/>
    <w:rsid w:val="00131F10"/>
    <w:rsid w:val="00131FC5"/>
    <w:rsid w:val="00132317"/>
    <w:rsid w:val="00132331"/>
    <w:rsid w:val="001324F7"/>
    <w:rsid w:val="0013261F"/>
    <w:rsid w:val="001327E9"/>
    <w:rsid w:val="00132A27"/>
    <w:rsid w:val="00132B43"/>
    <w:rsid w:val="00132BD2"/>
    <w:rsid w:val="00132D53"/>
    <w:rsid w:val="00132E0D"/>
    <w:rsid w:val="0013313A"/>
    <w:rsid w:val="0013324E"/>
    <w:rsid w:val="001332EF"/>
    <w:rsid w:val="0013331F"/>
    <w:rsid w:val="0013336B"/>
    <w:rsid w:val="00133503"/>
    <w:rsid w:val="001337FC"/>
    <w:rsid w:val="00133946"/>
    <w:rsid w:val="00133B67"/>
    <w:rsid w:val="00133BB5"/>
    <w:rsid w:val="00133CB0"/>
    <w:rsid w:val="00133EC9"/>
    <w:rsid w:val="00133F2F"/>
    <w:rsid w:val="00133F8F"/>
    <w:rsid w:val="00133FC2"/>
    <w:rsid w:val="00133FF8"/>
    <w:rsid w:val="00134081"/>
    <w:rsid w:val="001340F6"/>
    <w:rsid w:val="001341B5"/>
    <w:rsid w:val="00134256"/>
    <w:rsid w:val="001344EA"/>
    <w:rsid w:val="0013462B"/>
    <w:rsid w:val="00134658"/>
    <w:rsid w:val="001347D2"/>
    <w:rsid w:val="00134A81"/>
    <w:rsid w:val="00134B5D"/>
    <w:rsid w:val="00134BCA"/>
    <w:rsid w:val="00134BEB"/>
    <w:rsid w:val="00134CBE"/>
    <w:rsid w:val="00134D87"/>
    <w:rsid w:val="00134E0A"/>
    <w:rsid w:val="00134ED4"/>
    <w:rsid w:val="00135186"/>
    <w:rsid w:val="00135437"/>
    <w:rsid w:val="00135490"/>
    <w:rsid w:val="0013552B"/>
    <w:rsid w:val="00135582"/>
    <w:rsid w:val="001356C0"/>
    <w:rsid w:val="0013570F"/>
    <w:rsid w:val="001357C3"/>
    <w:rsid w:val="00135A08"/>
    <w:rsid w:val="00135AA5"/>
    <w:rsid w:val="00135B5C"/>
    <w:rsid w:val="00135C13"/>
    <w:rsid w:val="00135EE5"/>
    <w:rsid w:val="00135FC0"/>
    <w:rsid w:val="00135FCC"/>
    <w:rsid w:val="0013600D"/>
    <w:rsid w:val="0013601F"/>
    <w:rsid w:val="001361A5"/>
    <w:rsid w:val="00136320"/>
    <w:rsid w:val="001366AB"/>
    <w:rsid w:val="00136734"/>
    <w:rsid w:val="00136784"/>
    <w:rsid w:val="00136841"/>
    <w:rsid w:val="001368C7"/>
    <w:rsid w:val="00136BA0"/>
    <w:rsid w:val="00136BFF"/>
    <w:rsid w:val="00136FDB"/>
    <w:rsid w:val="00137037"/>
    <w:rsid w:val="00137071"/>
    <w:rsid w:val="001370B5"/>
    <w:rsid w:val="0013718D"/>
    <w:rsid w:val="00137334"/>
    <w:rsid w:val="0013753F"/>
    <w:rsid w:val="0013756D"/>
    <w:rsid w:val="001375CF"/>
    <w:rsid w:val="00137889"/>
    <w:rsid w:val="00137960"/>
    <w:rsid w:val="001379C8"/>
    <w:rsid w:val="00137BA7"/>
    <w:rsid w:val="00137BEA"/>
    <w:rsid w:val="00137C98"/>
    <w:rsid w:val="00137EE3"/>
    <w:rsid w:val="00137F99"/>
    <w:rsid w:val="00140119"/>
    <w:rsid w:val="0014026D"/>
    <w:rsid w:val="00140447"/>
    <w:rsid w:val="00140514"/>
    <w:rsid w:val="001407CC"/>
    <w:rsid w:val="001408EE"/>
    <w:rsid w:val="00140933"/>
    <w:rsid w:val="00140B04"/>
    <w:rsid w:val="00140C13"/>
    <w:rsid w:val="00140E81"/>
    <w:rsid w:val="00140F1F"/>
    <w:rsid w:val="00141032"/>
    <w:rsid w:val="00141071"/>
    <w:rsid w:val="001410B2"/>
    <w:rsid w:val="00141164"/>
    <w:rsid w:val="0014125B"/>
    <w:rsid w:val="0014129E"/>
    <w:rsid w:val="001412C1"/>
    <w:rsid w:val="00141764"/>
    <w:rsid w:val="0014188B"/>
    <w:rsid w:val="001418B4"/>
    <w:rsid w:val="001418EB"/>
    <w:rsid w:val="00141928"/>
    <w:rsid w:val="00141A51"/>
    <w:rsid w:val="00141A9E"/>
    <w:rsid w:val="00141AB5"/>
    <w:rsid w:val="00141B4B"/>
    <w:rsid w:val="00141D1C"/>
    <w:rsid w:val="00141DA0"/>
    <w:rsid w:val="00141DC8"/>
    <w:rsid w:val="0014202B"/>
    <w:rsid w:val="00142134"/>
    <w:rsid w:val="00142361"/>
    <w:rsid w:val="00142463"/>
    <w:rsid w:val="001426F5"/>
    <w:rsid w:val="001428C2"/>
    <w:rsid w:val="00142966"/>
    <w:rsid w:val="00142AC4"/>
    <w:rsid w:val="00142CD3"/>
    <w:rsid w:val="00142E64"/>
    <w:rsid w:val="001431AD"/>
    <w:rsid w:val="001431B1"/>
    <w:rsid w:val="00143259"/>
    <w:rsid w:val="001432E2"/>
    <w:rsid w:val="00143357"/>
    <w:rsid w:val="00143442"/>
    <w:rsid w:val="00143701"/>
    <w:rsid w:val="00143734"/>
    <w:rsid w:val="001439A5"/>
    <w:rsid w:val="00143A31"/>
    <w:rsid w:val="00143B0D"/>
    <w:rsid w:val="00144023"/>
    <w:rsid w:val="00144112"/>
    <w:rsid w:val="00144132"/>
    <w:rsid w:val="00144467"/>
    <w:rsid w:val="0014446B"/>
    <w:rsid w:val="00144546"/>
    <w:rsid w:val="00144562"/>
    <w:rsid w:val="0014459C"/>
    <w:rsid w:val="00144864"/>
    <w:rsid w:val="00144943"/>
    <w:rsid w:val="00144990"/>
    <w:rsid w:val="00144AAB"/>
    <w:rsid w:val="00144ADA"/>
    <w:rsid w:val="00144CE0"/>
    <w:rsid w:val="00144DC9"/>
    <w:rsid w:val="00144DDB"/>
    <w:rsid w:val="00144E5F"/>
    <w:rsid w:val="00144F16"/>
    <w:rsid w:val="00144FBA"/>
    <w:rsid w:val="0014508D"/>
    <w:rsid w:val="0014509F"/>
    <w:rsid w:val="001450A3"/>
    <w:rsid w:val="00145454"/>
    <w:rsid w:val="00145489"/>
    <w:rsid w:val="001457D9"/>
    <w:rsid w:val="00145854"/>
    <w:rsid w:val="00145B5E"/>
    <w:rsid w:val="00145C7F"/>
    <w:rsid w:val="00145D15"/>
    <w:rsid w:val="00145DC9"/>
    <w:rsid w:val="001461A9"/>
    <w:rsid w:val="001461B0"/>
    <w:rsid w:val="001461DB"/>
    <w:rsid w:val="001463BE"/>
    <w:rsid w:val="001464D0"/>
    <w:rsid w:val="001465CF"/>
    <w:rsid w:val="00146835"/>
    <w:rsid w:val="00146CF4"/>
    <w:rsid w:val="00146F60"/>
    <w:rsid w:val="00146F8D"/>
    <w:rsid w:val="00147029"/>
    <w:rsid w:val="00147469"/>
    <w:rsid w:val="001475E9"/>
    <w:rsid w:val="001479CE"/>
    <w:rsid w:val="00147D21"/>
    <w:rsid w:val="00147F5E"/>
    <w:rsid w:val="00147FAD"/>
    <w:rsid w:val="00147FCF"/>
    <w:rsid w:val="00147FEA"/>
    <w:rsid w:val="00150022"/>
    <w:rsid w:val="0015013B"/>
    <w:rsid w:val="001501D5"/>
    <w:rsid w:val="001502F1"/>
    <w:rsid w:val="00150342"/>
    <w:rsid w:val="00150348"/>
    <w:rsid w:val="00150425"/>
    <w:rsid w:val="00150542"/>
    <w:rsid w:val="00150546"/>
    <w:rsid w:val="0015060E"/>
    <w:rsid w:val="00150628"/>
    <w:rsid w:val="001506C6"/>
    <w:rsid w:val="0015070A"/>
    <w:rsid w:val="001507A0"/>
    <w:rsid w:val="001507E3"/>
    <w:rsid w:val="00150939"/>
    <w:rsid w:val="00150B67"/>
    <w:rsid w:val="00150CE6"/>
    <w:rsid w:val="00150F78"/>
    <w:rsid w:val="001510C1"/>
    <w:rsid w:val="001510C7"/>
    <w:rsid w:val="00151237"/>
    <w:rsid w:val="00151253"/>
    <w:rsid w:val="001512D0"/>
    <w:rsid w:val="00151368"/>
    <w:rsid w:val="00151444"/>
    <w:rsid w:val="001515D0"/>
    <w:rsid w:val="0015167D"/>
    <w:rsid w:val="00151826"/>
    <w:rsid w:val="00151A5B"/>
    <w:rsid w:val="00151B70"/>
    <w:rsid w:val="00151BE5"/>
    <w:rsid w:val="00151CF1"/>
    <w:rsid w:val="00151DC3"/>
    <w:rsid w:val="00151E10"/>
    <w:rsid w:val="00151E54"/>
    <w:rsid w:val="00151EAA"/>
    <w:rsid w:val="00152162"/>
    <w:rsid w:val="00152279"/>
    <w:rsid w:val="001522FF"/>
    <w:rsid w:val="001523D6"/>
    <w:rsid w:val="001523E8"/>
    <w:rsid w:val="001527D4"/>
    <w:rsid w:val="00152904"/>
    <w:rsid w:val="001529E4"/>
    <w:rsid w:val="00152ABC"/>
    <w:rsid w:val="00152ACE"/>
    <w:rsid w:val="00152D5E"/>
    <w:rsid w:val="00153338"/>
    <w:rsid w:val="001534B9"/>
    <w:rsid w:val="00153655"/>
    <w:rsid w:val="00153766"/>
    <w:rsid w:val="001537A5"/>
    <w:rsid w:val="001538CC"/>
    <w:rsid w:val="0015398D"/>
    <w:rsid w:val="001539A6"/>
    <w:rsid w:val="001539BC"/>
    <w:rsid w:val="00153AF5"/>
    <w:rsid w:val="00153B8D"/>
    <w:rsid w:val="00153BB7"/>
    <w:rsid w:val="00153CAA"/>
    <w:rsid w:val="00153CE4"/>
    <w:rsid w:val="00153D82"/>
    <w:rsid w:val="00153E3E"/>
    <w:rsid w:val="00153E7B"/>
    <w:rsid w:val="00153E80"/>
    <w:rsid w:val="00153EEF"/>
    <w:rsid w:val="00153F0B"/>
    <w:rsid w:val="00153FE4"/>
    <w:rsid w:val="001540BA"/>
    <w:rsid w:val="001543FC"/>
    <w:rsid w:val="00154536"/>
    <w:rsid w:val="00154542"/>
    <w:rsid w:val="0015454B"/>
    <w:rsid w:val="0015455B"/>
    <w:rsid w:val="0015456E"/>
    <w:rsid w:val="001545AD"/>
    <w:rsid w:val="00154732"/>
    <w:rsid w:val="00154803"/>
    <w:rsid w:val="001548BA"/>
    <w:rsid w:val="001548D2"/>
    <w:rsid w:val="00154A7E"/>
    <w:rsid w:val="00154C4C"/>
    <w:rsid w:val="00154C55"/>
    <w:rsid w:val="00154CE4"/>
    <w:rsid w:val="00154D62"/>
    <w:rsid w:val="00154D68"/>
    <w:rsid w:val="00154E2A"/>
    <w:rsid w:val="00154E86"/>
    <w:rsid w:val="00154F09"/>
    <w:rsid w:val="00154F19"/>
    <w:rsid w:val="001552D6"/>
    <w:rsid w:val="00155367"/>
    <w:rsid w:val="001553BE"/>
    <w:rsid w:val="00155521"/>
    <w:rsid w:val="00155610"/>
    <w:rsid w:val="001556BB"/>
    <w:rsid w:val="001557F6"/>
    <w:rsid w:val="00155847"/>
    <w:rsid w:val="0015590D"/>
    <w:rsid w:val="00155BAB"/>
    <w:rsid w:val="00155DF5"/>
    <w:rsid w:val="00155F84"/>
    <w:rsid w:val="00156015"/>
    <w:rsid w:val="001562DB"/>
    <w:rsid w:val="00156360"/>
    <w:rsid w:val="0015638D"/>
    <w:rsid w:val="0015647C"/>
    <w:rsid w:val="0015656A"/>
    <w:rsid w:val="001565C8"/>
    <w:rsid w:val="00156632"/>
    <w:rsid w:val="00156712"/>
    <w:rsid w:val="00156726"/>
    <w:rsid w:val="00156940"/>
    <w:rsid w:val="00156976"/>
    <w:rsid w:val="00156993"/>
    <w:rsid w:val="001569CE"/>
    <w:rsid w:val="00156CFA"/>
    <w:rsid w:val="00156DB6"/>
    <w:rsid w:val="00156DBD"/>
    <w:rsid w:val="00156F33"/>
    <w:rsid w:val="00157056"/>
    <w:rsid w:val="0015714B"/>
    <w:rsid w:val="00157218"/>
    <w:rsid w:val="00157341"/>
    <w:rsid w:val="0015735F"/>
    <w:rsid w:val="00157390"/>
    <w:rsid w:val="0015739D"/>
    <w:rsid w:val="001573D8"/>
    <w:rsid w:val="00157476"/>
    <w:rsid w:val="0015752D"/>
    <w:rsid w:val="00157541"/>
    <w:rsid w:val="00157673"/>
    <w:rsid w:val="001576E1"/>
    <w:rsid w:val="00157782"/>
    <w:rsid w:val="00157966"/>
    <w:rsid w:val="00157A1A"/>
    <w:rsid w:val="00157B2D"/>
    <w:rsid w:val="00157BC5"/>
    <w:rsid w:val="00157BFA"/>
    <w:rsid w:val="00157CB5"/>
    <w:rsid w:val="00157D3D"/>
    <w:rsid w:val="00160099"/>
    <w:rsid w:val="00160468"/>
    <w:rsid w:val="0016047A"/>
    <w:rsid w:val="001604CB"/>
    <w:rsid w:val="001606AB"/>
    <w:rsid w:val="00160A46"/>
    <w:rsid w:val="00160A9B"/>
    <w:rsid w:val="00160AE0"/>
    <w:rsid w:val="00160C12"/>
    <w:rsid w:val="00160C4D"/>
    <w:rsid w:val="00160ECD"/>
    <w:rsid w:val="00160EE2"/>
    <w:rsid w:val="00160FB2"/>
    <w:rsid w:val="0016103A"/>
    <w:rsid w:val="001610D1"/>
    <w:rsid w:val="001610E2"/>
    <w:rsid w:val="00161104"/>
    <w:rsid w:val="00161118"/>
    <w:rsid w:val="0016112E"/>
    <w:rsid w:val="001614B9"/>
    <w:rsid w:val="00161502"/>
    <w:rsid w:val="0016175B"/>
    <w:rsid w:val="001617B8"/>
    <w:rsid w:val="001618A0"/>
    <w:rsid w:val="001618DF"/>
    <w:rsid w:val="00161982"/>
    <w:rsid w:val="00161BA7"/>
    <w:rsid w:val="00161C41"/>
    <w:rsid w:val="00161D3C"/>
    <w:rsid w:val="00161E0B"/>
    <w:rsid w:val="00161FBC"/>
    <w:rsid w:val="00161FE5"/>
    <w:rsid w:val="00162018"/>
    <w:rsid w:val="001620EB"/>
    <w:rsid w:val="0016224E"/>
    <w:rsid w:val="001622A0"/>
    <w:rsid w:val="00162331"/>
    <w:rsid w:val="001623FD"/>
    <w:rsid w:val="001624B3"/>
    <w:rsid w:val="001624BE"/>
    <w:rsid w:val="00162BA3"/>
    <w:rsid w:val="00162C0C"/>
    <w:rsid w:val="00162C0F"/>
    <w:rsid w:val="00162C4D"/>
    <w:rsid w:val="00162C94"/>
    <w:rsid w:val="00162E2D"/>
    <w:rsid w:val="00162E99"/>
    <w:rsid w:val="00162F79"/>
    <w:rsid w:val="0016311F"/>
    <w:rsid w:val="0016323C"/>
    <w:rsid w:val="0016369E"/>
    <w:rsid w:val="001636AF"/>
    <w:rsid w:val="001636D6"/>
    <w:rsid w:val="00163820"/>
    <w:rsid w:val="00163A65"/>
    <w:rsid w:val="00163A7F"/>
    <w:rsid w:val="00163AC9"/>
    <w:rsid w:val="00163B65"/>
    <w:rsid w:val="00163BA5"/>
    <w:rsid w:val="00163C25"/>
    <w:rsid w:val="00163CE1"/>
    <w:rsid w:val="00163DD6"/>
    <w:rsid w:val="00163DEC"/>
    <w:rsid w:val="00163E4E"/>
    <w:rsid w:val="00163ED4"/>
    <w:rsid w:val="00163F99"/>
    <w:rsid w:val="00164136"/>
    <w:rsid w:val="001641AF"/>
    <w:rsid w:val="001641CE"/>
    <w:rsid w:val="001642F8"/>
    <w:rsid w:val="001643B3"/>
    <w:rsid w:val="00164411"/>
    <w:rsid w:val="00164476"/>
    <w:rsid w:val="0016448E"/>
    <w:rsid w:val="001645CC"/>
    <w:rsid w:val="001646EB"/>
    <w:rsid w:val="0016483E"/>
    <w:rsid w:val="00164930"/>
    <w:rsid w:val="001649B8"/>
    <w:rsid w:val="00164A9C"/>
    <w:rsid w:val="00164B89"/>
    <w:rsid w:val="00164C7A"/>
    <w:rsid w:val="00164CFA"/>
    <w:rsid w:val="00164D93"/>
    <w:rsid w:val="00164DCE"/>
    <w:rsid w:val="00164E25"/>
    <w:rsid w:val="00165041"/>
    <w:rsid w:val="0016520B"/>
    <w:rsid w:val="0016521C"/>
    <w:rsid w:val="001653E5"/>
    <w:rsid w:val="00165468"/>
    <w:rsid w:val="0016549F"/>
    <w:rsid w:val="001654E8"/>
    <w:rsid w:val="00165510"/>
    <w:rsid w:val="001655F5"/>
    <w:rsid w:val="0016566D"/>
    <w:rsid w:val="00165683"/>
    <w:rsid w:val="001656A8"/>
    <w:rsid w:val="001656C1"/>
    <w:rsid w:val="001656DF"/>
    <w:rsid w:val="00165979"/>
    <w:rsid w:val="00165B32"/>
    <w:rsid w:val="00165DFA"/>
    <w:rsid w:val="00165EB8"/>
    <w:rsid w:val="00165EFC"/>
    <w:rsid w:val="00165F0F"/>
    <w:rsid w:val="00166179"/>
    <w:rsid w:val="001661AE"/>
    <w:rsid w:val="001661E8"/>
    <w:rsid w:val="00166213"/>
    <w:rsid w:val="001663E3"/>
    <w:rsid w:val="00166468"/>
    <w:rsid w:val="00166578"/>
    <w:rsid w:val="001666CE"/>
    <w:rsid w:val="00166AB5"/>
    <w:rsid w:val="00166BCA"/>
    <w:rsid w:val="00166CDF"/>
    <w:rsid w:val="00166EA7"/>
    <w:rsid w:val="00167074"/>
    <w:rsid w:val="001673BA"/>
    <w:rsid w:val="001674A5"/>
    <w:rsid w:val="00167545"/>
    <w:rsid w:val="001675F5"/>
    <w:rsid w:val="0016777A"/>
    <w:rsid w:val="001677A6"/>
    <w:rsid w:val="001677DB"/>
    <w:rsid w:val="0016796C"/>
    <w:rsid w:val="0016798F"/>
    <w:rsid w:val="001679CE"/>
    <w:rsid w:val="00167D86"/>
    <w:rsid w:val="00167E75"/>
    <w:rsid w:val="00167ED8"/>
    <w:rsid w:val="00167FB5"/>
    <w:rsid w:val="00167FE8"/>
    <w:rsid w:val="00170119"/>
    <w:rsid w:val="0017015C"/>
    <w:rsid w:val="0017027F"/>
    <w:rsid w:val="001702D7"/>
    <w:rsid w:val="001703B2"/>
    <w:rsid w:val="0017065A"/>
    <w:rsid w:val="001706AA"/>
    <w:rsid w:val="001708E3"/>
    <w:rsid w:val="00170925"/>
    <w:rsid w:val="00170A13"/>
    <w:rsid w:val="00170A7F"/>
    <w:rsid w:val="00170B0A"/>
    <w:rsid w:val="00170D2C"/>
    <w:rsid w:val="00171224"/>
    <w:rsid w:val="00171527"/>
    <w:rsid w:val="001717FC"/>
    <w:rsid w:val="00171A8E"/>
    <w:rsid w:val="00171B36"/>
    <w:rsid w:val="00171B85"/>
    <w:rsid w:val="00171BC4"/>
    <w:rsid w:val="00171E8F"/>
    <w:rsid w:val="00171EFF"/>
    <w:rsid w:val="001721B3"/>
    <w:rsid w:val="001729C2"/>
    <w:rsid w:val="00172BDF"/>
    <w:rsid w:val="00172EEE"/>
    <w:rsid w:val="00172F61"/>
    <w:rsid w:val="00172FBC"/>
    <w:rsid w:val="0017308D"/>
    <w:rsid w:val="00173144"/>
    <w:rsid w:val="0017314B"/>
    <w:rsid w:val="00173195"/>
    <w:rsid w:val="00173196"/>
    <w:rsid w:val="001731A1"/>
    <w:rsid w:val="00173657"/>
    <w:rsid w:val="00173921"/>
    <w:rsid w:val="00173B54"/>
    <w:rsid w:val="00173CC7"/>
    <w:rsid w:val="00173E51"/>
    <w:rsid w:val="00173F0D"/>
    <w:rsid w:val="00173F32"/>
    <w:rsid w:val="00173FAE"/>
    <w:rsid w:val="00173FFE"/>
    <w:rsid w:val="0017402E"/>
    <w:rsid w:val="00174088"/>
    <w:rsid w:val="00174288"/>
    <w:rsid w:val="0017429C"/>
    <w:rsid w:val="00174389"/>
    <w:rsid w:val="001749D0"/>
    <w:rsid w:val="001749D7"/>
    <w:rsid w:val="00174A45"/>
    <w:rsid w:val="00174AAD"/>
    <w:rsid w:val="00174CBB"/>
    <w:rsid w:val="00174DEA"/>
    <w:rsid w:val="00174F4F"/>
    <w:rsid w:val="00174F5D"/>
    <w:rsid w:val="00174FA2"/>
    <w:rsid w:val="001752BC"/>
    <w:rsid w:val="001752F1"/>
    <w:rsid w:val="001753D6"/>
    <w:rsid w:val="0017549B"/>
    <w:rsid w:val="001755DD"/>
    <w:rsid w:val="00175812"/>
    <w:rsid w:val="001759E0"/>
    <w:rsid w:val="00175A2A"/>
    <w:rsid w:val="00175B12"/>
    <w:rsid w:val="00175B9B"/>
    <w:rsid w:val="00175C60"/>
    <w:rsid w:val="00175CA0"/>
    <w:rsid w:val="00175F9B"/>
    <w:rsid w:val="0017615B"/>
    <w:rsid w:val="00176234"/>
    <w:rsid w:val="0017625F"/>
    <w:rsid w:val="0017627F"/>
    <w:rsid w:val="001763E9"/>
    <w:rsid w:val="00176436"/>
    <w:rsid w:val="0017644C"/>
    <w:rsid w:val="001766C1"/>
    <w:rsid w:val="001766F0"/>
    <w:rsid w:val="00176736"/>
    <w:rsid w:val="00176741"/>
    <w:rsid w:val="0017675F"/>
    <w:rsid w:val="00176769"/>
    <w:rsid w:val="00176A5E"/>
    <w:rsid w:val="00176A76"/>
    <w:rsid w:val="00176AC0"/>
    <w:rsid w:val="00176B9B"/>
    <w:rsid w:val="00176BBE"/>
    <w:rsid w:val="00176C34"/>
    <w:rsid w:val="00176E5D"/>
    <w:rsid w:val="00176EC0"/>
    <w:rsid w:val="00176FBD"/>
    <w:rsid w:val="00177017"/>
    <w:rsid w:val="0017705E"/>
    <w:rsid w:val="0017713C"/>
    <w:rsid w:val="001771C5"/>
    <w:rsid w:val="0017726F"/>
    <w:rsid w:val="001772EF"/>
    <w:rsid w:val="001772F9"/>
    <w:rsid w:val="001773A2"/>
    <w:rsid w:val="0017748C"/>
    <w:rsid w:val="0017768A"/>
    <w:rsid w:val="001776CC"/>
    <w:rsid w:val="0017770C"/>
    <w:rsid w:val="001777AE"/>
    <w:rsid w:val="001777F0"/>
    <w:rsid w:val="0017792F"/>
    <w:rsid w:val="00177965"/>
    <w:rsid w:val="001779A6"/>
    <w:rsid w:val="001779F4"/>
    <w:rsid w:val="00177A77"/>
    <w:rsid w:val="00177BB8"/>
    <w:rsid w:val="00177E80"/>
    <w:rsid w:val="00177EA3"/>
    <w:rsid w:val="00177F54"/>
    <w:rsid w:val="00177FE4"/>
    <w:rsid w:val="00180262"/>
    <w:rsid w:val="001802DE"/>
    <w:rsid w:val="001805BD"/>
    <w:rsid w:val="0018078D"/>
    <w:rsid w:val="001807E2"/>
    <w:rsid w:val="0018097E"/>
    <w:rsid w:val="001809D0"/>
    <w:rsid w:val="00180AAE"/>
    <w:rsid w:val="00180CAE"/>
    <w:rsid w:val="00180DC4"/>
    <w:rsid w:val="00180E3A"/>
    <w:rsid w:val="00180EAD"/>
    <w:rsid w:val="00181054"/>
    <w:rsid w:val="00181060"/>
    <w:rsid w:val="0018115C"/>
    <w:rsid w:val="00181237"/>
    <w:rsid w:val="0018123F"/>
    <w:rsid w:val="00181279"/>
    <w:rsid w:val="00181601"/>
    <w:rsid w:val="00181646"/>
    <w:rsid w:val="0018168C"/>
    <w:rsid w:val="0018180A"/>
    <w:rsid w:val="0018183F"/>
    <w:rsid w:val="0018184C"/>
    <w:rsid w:val="00181863"/>
    <w:rsid w:val="001818CC"/>
    <w:rsid w:val="00181A91"/>
    <w:rsid w:val="00181B4D"/>
    <w:rsid w:val="00181C78"/>
    <w:rsid w:val="00181C96"/>
    <w:rsid w:val="00181CDD"/>
    <w:rsid w:val="00181D68"/>
    <w:rsid w:val="00181DC5"/>
    <w:rsid w:val="00182171"/>
    <w:rsid w:val="00182195"/>
    <w:rsid w:val="00182389"/>
    <w:rsid w:val="001823F1"/>
    <w:rsid w:val="00182531"/>
    <w:rsid w:val="001826B1"/>
    <w:rsid w:val="001827BF"/>
    <w:rsid w:val="00182AB1"/>
    <w:rsid w:val="00182AB9"/>
    <w:rsid w:val="00182AE7"/>
    <w:rsid w:val="00182C27"/>
    <w:rsid w:val="00182DD6"/>
    <w:rsid w:val="00182F00"/>
    <w:rsid w:val="00182F0A"/>
    <w:rsid w:val="0018301B"/>
    <w:rsid w:val="0018301D"/>
    <w:rsid w:val="001830ED"/>
    <w:rsid w:val="0018325E"/>
    <w:rsid w:val="0018351B"/>
    <w:rsid w:val="0018355C"/>
    <w:rsid w:val="001835EC"/>
    <w:rsid w:val="0018364B"/>
    <w:rsid w:val="00183788"/>
    <w:rsid w:val="0018386B"/>
    <w:rsid w:val="00183932"/>
    <w:rsid w:val="00183C8B"/>
    <w:rsid w:val="00183CF3"/>
    <w:rsid w:val="00183D18"/>
    <w:rsid w:val="00183E0D"/>
    <w:rsid w:val="00183E30"/>
    <w:rsid w:val="00183E80"/>
    <w:rsid w:val="001840A7"/>
    <w:rsid w:val="00184281"/>
    <w:rsid w:val="001843ED"/>
    <w:rsid w:val="001844C6"/>
    <w:rsid w:val="001846F3"/>
    <w:rsid w:val="001849BE"/>
    <w:rsid w:val="001849F7"/>
    <w:rsid w:val="00184A42"/>
    <w:rsid w:val="00184A99"/>
    <w:rsid w:val="00184AB2"/>
    <w:rsid w:val="00184AF1"/>
    <w:rsid w:val="00184C0F"/>
    <w:rsid w:val="00184C20"/>
    <w:rsid w:val="00184C74"/>
    <w:rsid w:val="00184CD0"/>
    <w:rsid w:val="00185084"/>
    <w:rsid w:val="00185089"/>
    <w:rsid w:val="001850E0"/>
    <w:rsid w:val="00185606"/>
    <w:rsid w:val="00185706"/>
    <w:rsid w:val="0018576F"/>
    <w:rsid w:val="00185772"/>
    <w:rsid w:val="00185776"/>
    <w:rsid w:val="0018588F"/>
    <w:rsid w:val="0018595E"/>
    <w:rsid w:val="0018599B"/>
    <w:rsid w:val="00185ADA"/>
    <w:rsid w:val="00185AF7"/>
    <w:rsid w:val="00185C2E"/>
    <w:rsid w:val="00185DFC"/>
    <w:rsid w:val="00185E40"/>
    <w:rsid w:val="00185EB4"/>
    <w:rsid w:val="00185ED2"/>
    <w:rsid w:val="00185F47"/>
    <w:rsid w:val="00185FC0"/>
    <w:rsid w:val="00185FC5"/>
    <w:rsid w:val="00186258"/>
    <w:rsid w:val="00186677"/>
    <w:rsid w:val="001866D1"/>
    <w:rsid w:val="0018675D"/>
    <w:rsid w:val="00186794"/>
    <w:rsid w:val="001867C5"/>
    <w:rsid w:val="00186812"/>
    <w:rsid w:val="00186884"/>
    <w:rsid w:val="00186A1B"/>
    <w:rsid w:val="00186AB4"/>
    <w:rsid w:val="00186D8F"/>
    <w:rsid w:val="00186E28"/>
    <w:rsid w:val="00186F77"/>
    <w:rsid w:val="00186FEF"/>
    <w:rsid w:val="00187123"/>
    <w:rsid w:val="001871C0"/>
    <w:rsid w:val="00187230"/>
    <w:rsid w:val="00187276"/>
    <w:rsid w:val="00187487"/>
    <w:rsid w:val="001874FB"/>
    <w:rsid w:val="00187536"/>
    <w:rsid w:val="001875D7"/>
    <w:rsid w:val="0018760B"/>
    <w:rsid w:val="00187625"/>
    <w:rsid w:val="0018774A"/>
    <w:rsid w:val="001877CA"/>
    <w:rsid w:val="00187A14"/>
    <w:rsid w:val="00187A8B"/>
    <w:rsid w:val="00187B7B"/>
    <w:rsid w:val="00187B8F"/>
    <w:rsid w:val="00187BB3"/>
    <w:rsid w:val="00187C09"/>
    <w:rsid w:val="00187E4A"/>
    <w:rsid w:val="00187F6B"/>
    <w:rsid w:val="0018A3C5"/>
    <w:rsid w:val="001900AE"/>
    <w:rsid w:val="00190174"/>
    <w:rsid w:val="00190581"/>
    <w:rsid w:val="0019067B"/>
    <w:rsid w:val="00190825"/>
    <w:rsid w:val="0019086B"/>
    <w:rsid w:val="00190996"/>
    <w:rsid w:val="00190A4D"/>
    <w:rsid w:val="00190B0F"/>
    <w:rsid w:val="00190CB6"/>
    <w:rsid w:val="00190CD3"/>
    <w:rsid w:val="00190E2D"/>
    <w:rsid w:val="00191123"/>
    <w:rsid w:val="001915DC"/>
    <w:rsid w:val="001915E4"/>
    <w:rsid w:val="001916B0"/>
    <w:rsid w:val="001916ED"/>
    <w:rsid w:val="00191737"/>
    <w:rsid w:val="001919C7"/>
    <w:rsid w:val="001919EC"/>
    <w:rsid w:val="001919F8"/>
    <w:rsid w:val="00191A1A"/>
    <w:rsid w:val="00191A46"/>
    <w:rsid w:val="00191B1F"/>
    <w:rsid w:val="00191C30"/>
    <w:rsid w:val="00191C49"/>
    <w:rsid w:val="00191C89"/>
    <w:rsid w:val="00191DF9"/>
    <w:rsid w:val="00191E10"/>
    <w:rsid w:val="00191F0C"/>
    <w:rsid w:val="00191F8A"/>
    <w:rsid w:val="00192056"/>
    <w:rsid w:val="001920E0"/>
    <w:rsid w:val="00192123"/>
    <w:rsid w:val="00192162"/>
    <w:rsid w:val="00192232"/>
    <w:rsid w:val="001923F0"/>
    <w:rsid w:val="001923F3"/>
    <w:rsid w:val="001927A3"/>
    <w:rsid w:val="001927E4"/>
    <w:rsid w:val="0019286E"/>
    <w:rsid w:val="00192A45"/>
    <w:rsid w:val="00192A48"/>
    <w:rsid w:val="00192A87"/>
    <w:rsid w:val="00192B22"/>
    <w:rsid w:val="00192BD4"/>
    <w:rsid w:val="00192D9B"/>
    <w:rsid w:val="00192F75"/>
    <w:rsid w:val="00193058"/>
    <w:rsid w:val="0019333E"/>
    <w:rsid w:val="00193660"/>
    <w:rsid w:val="0019377A"/>
    <w:rsid w:val="00193A83"/>
    <w:rsid w:val="00193A8C"/>
    <w:rsid w:val="00193B67"/>
    <w:rsid w:val="00193BD4"/>
    <w:rsid w:val="00193EE2"/>
    <w:rsid w:val="00194437"/>
    <w:rsid w:val="001945B3"/>
    <w:rsid w:val="00194686"/>
    <w:rsid w:val="00194891"/>
    <w:rsid w:val="001948A8"/>
    <w:rsid w:val="001948FC"/>
    <w:rsid w:val="00194BCD"/>
    <w:rsid w:val="00194F30"/>
    <w:rsid w:val="00195039"/>
    <w:rsid w:val="00195117"/>
    <w:rsid w:val="00195278"/>
    <w:rsid w:val="001954E2"/>
    <w:rsid w:val="00195C7A"/>
    <w:rsid w:val="00195CDC"/>
    <w:rsid w:val="00195D99"/>
    <w:rsid w:val="00195DDF"/>
    <w:rsid w:val="00195E4E"/>
    <w:rsid w:val="00195E83"/>
    <w:rsid w:val="0019602F"/>
    <w:rsid w:val="0019613A"/>
    <w:rsid w:val="00196279"/>
    <w:rsid w:val="00196364"/>
    <w:rsid w:val="001963AD"/>
    <w:rsid w:val="001965C1"/>
    <w:rsid w:val="00196944"/>
    <w:rsid w:val="00196954"/>
    <w:rsid w:val="00196974"/>
    <w:rsid w:val="001969AF"/>
    <w:rsid w:val="001969D6"/>
    <w:rsid w:val="00196A1E"/>
    <w:rsid w:val="00196A32"/>
    <w:rsid w:val="00196EA6"/>
    <w:rsid w:val="00196F36"/>
    <w:rsid w:val="00196FFC"/>
    <w:rsid w:val="0019707F"/>
    <w:rsid w:val="001970D7"/>
    <w:rsid w:val="00197181"/>
    <w:rsid w:val="0019724A"/>
    <w:rsid w:val="00197299"/>
    <w:rsid w:val="001974D9"/>
    <w:rsid w:val="001975E6"/>
    <w:rsid w:val="001976BE"/>
    <w:rsid w:val="00197760"/>
    <w:rsid w:val="00197831"/>
    <w:rsid w:val="0019797F"/>
    <w:rsid w:val="00197ABE"/>
    <w:rsid w:val="00197DC5"/>
    <w:rsid w:val="001A0034"/>
    <w:rsid w:val="001A02DC"/>
    <w:rsid w:val="001A0453"/>
    <w:rsid w:val="001A07F2"/>
    <w:rsid w:val="001A0813"/>
    <w:rsid w:val="001A089E"/>
    <w:rsid w:val="001A09B7"/>
    <w:rsid w:val="001A09BF"/>
    <w:rsid w:val="001A0A16"/>
    <w:rsid w:val="001A0C8E"/>
    <w:rsid w:val="001A0CC7"/>
    <w:rsid w:val="001A0E25"/>
    <w:rsid w:val="001A0E38"/>
    <w:rsid w:val="001A0E5D"/>
    <w:rsid w:val="001A0F55"/>
    <w:rsid w:val="001A0FC0"/>
    <w:rsid w:val="001A10CD"/>
    <w:rsid w:val="001A1379"/>
    <w:rsid w:val="001A1502"/>
    <w:rsid w:val="001A150A"/>
    <w:rsid w:val="001A172B"/>
    <w:rsid w:val="001A1773"/>
    <w:rsid w:val="001A186E"/>
    <w:rsid w:val="001A1874"/>
    <w:rsid w:val="001A189B"/>
    <w:rsid w:val="001A1A78"/>
    <w:rsid w:val="001A1A9C"/>
    <w:rsid w:val="001A1F16"/>
    <w:rsid w:val="001A1F4C"/>
    <w:rsid w:val="001A1F63"/>
    <w:rsid w:val="001A1F78"/>
    <w:rsid w:val="001A2046"/>
    <w:rsid w:val="001A207E"/>
    <w:rsid w:val="001A2150"/>
    <w:rsid w:val="001A2285"/>
    <w:rsid w:val="001A22DB"/>
    <w:rsid w:val="001A2449"/>
    <w:rsid w:val="001A249C"/>
    <w:rsid w:val="001A2622"/>
    <w:rsid w:val="001A27DF"/>
    <w:rsid w:val="001A28AB"/>
    <w:rsid w:val="001A2A02"/>
    <w:rsid w:val="001A2B94"/>
    <w:rsid w:val="001A2C31"/>
    <w:rsid w:val="001A2C4B"/>
    <w:rsid w:val="001A2E31"/>
    <w:rsid w:val="001A2FA0"/>
    <w:rsid w:val="001A3149"/>
    <w:rsid w:val="001A31D8"/>
    <w:rsid w:val="001A331F"/>
    <w:rsid w:val="001A388C"/>
    <w:rsid w:val="001A38A7"/>
    <w:rsid w:val="001A3912"/>
    <w:rsid w:val="001A3A25"/>
    <w:rsid w:val="001A3A87"/>
    <w:rsid w:val="001A3AB0"/>
    <w:rsid w:val="001A3C38"/>
    <w:rsid w:val="001A3CB6"/>
    <w:rsid w:val="001A3DA5"/>
    <w:rsid w:val="001A3E60"/>
    <w:rsid w:val="001A3E69"/>
    <w:rsid w:val="001A4109"/>
    <w:rsid w:val="001A417B"/>
    <w:rsid w:val="001A4826"/>
    <w:rsid w:val="001A497B"/>
    <w:rsid w:val="001A4A9B"/>
    <w:rsid w:val="001A4D35"/>
    <w:rsid w:val="001A4EE3"/>
    <w:rsid w:val="001A4F8C"/>
    <w:rsid w:val="001A4FD1"/>
    <w:rsid w:val="001A4FD3"/>
    <w:rsid w:val="001A50C4"/>
    <w:rsid w:val="001A5292"/>
    <w:rsid w:val="001A5307"/>
    <w:rsid w:val="001A533D"/>
    <w:rsid w:val="001A539E"/>
    <w:rsid w:val="001A564F"/>
    <w:rsid w:val="001A5677"/>
    <w:rsid w:val="001A571E"/>
    <w:rsid w:val="001A5914"/>
    <w:rsid w:val="001A5A24"/>
    <w:rsid w:val="001A5AB0"/>
    <w:rsid w:val="001A5AC1"/>
    <w:rsid w:val="001A5DBD"/>
    <w:rsid w:val="001A5F1B"/>
    <w:rsid w:val="001A6117"/>
    <w:rsid w:val="001A6134"/>
    <w:rsid w:val="001A62AD"/>
    <w:rsid w:val="001A63DE"/>
    <w:rsid w:val="001A64AB"/>
    <w:rsid w:val="001A64EA"/>
    <w:rsid w:val="001A64FB"/>
    <w:rsid w:val="001A656D"/>
    <w:rsid w:val="001A6801"/>
    <w:rsid w:val="001A68F6"/>
    <w:rsid w:val="001A692D"/>
    <w:rsid w:val="001A69A7"/>
    <w:rsid w:val="001A6A16"/>
    <w:rsid w:val="001A6A4D"/>
    <w:rsid w:val="001A6F2D"/>
    <w:rsid w:val="001A6F42"/>
    <w:rsid w:val="001A6F4B"/>
    <w:rsid w:val="001A7007"/>
    <w:rsid w:val="001A7070"/>
    <w:rsid w:val="001A71A1"/>
    <w:rsid w:val="001A71C7"/>
    <w:rsid w:val="001A7313"/>
    <w:rsid w:val="001A7452"/>
    <w:rsid w:val="001A7499"/>
    <w:rsid w:val="001A74DB"/>
    <w:rsid w:val="001A752B"/>
    <w:rsid w:val="001A75E3"/>
    <w:rsid w:val="001A785E"/>
    <w:rsid w:val="001A7A0C"/>
    <w:rsid w:val="001A7B76"/>
    <w:rsid w:val="001A7D1A"/>
    <w:rsid w:val="001A7DDF"/>
    <w:rsid w:val="001A7E0F"/>
    <w:rsid w:val="001A7F40"/>
    <w:rsid w:val="001B00AB"/>
    <w:rsid w:val="001B052E"/>
    <w:rsid w:val="001B05ED"/>
    <w:rsid w:val="001B0622"/>
    <w:rsid w:val="001B0641"/>
    <w:rsid w:val="001B08C5"/>
    <w:rsid w:val="001B08E7"/>
    <w:rsid w:val="001B09AD"/>
    <w:rsid w:val="001B0ADE"/>
    <w:rsid w:val="001B0B3E"/>
    <w:rsid w:val="001B0B84"/>
    <w:rsid w:val="001B0BD5"/>
    <w:rsid w:val="001B0BE9"/>
    <w:rsid w:val="001B0C5A"/>
    <w:rsid w:val="001B0C80"/>
    <w:rsid w:val="001B0EA0"/>
    <w:rsid w:val="001B1299"/>
    <w:rsid w:val="001B1637"/>
    <w:rsid w:val="001B163E"/>
    <w:rsid w:val="001B1715"/>
    <w:rsid w:val="001B180F"/>
    <w:rsid w:val="001B1896"/>
    <w:rsid w:val="001B191B"/>
    <w:rsid w:val="001B19B5"/>
    <w:rsid w:val="001B19D4"/>
    <w:rsid w:val="001B1B39"/>
    <w:rsid w:val="001B1B44"/>
    <w:rsid w:val="001B1D30"/>
    <w:rsid w:val="001B1DCA"/>
    <w:rsid w:val="001B20CD"/>
    <w:rsid w:val="001B20FF"/>
    <w:rsid w:val="001B2105"/>
    <w:rsid w:val="001B217C"/>
    <w:rsid w:val="001B22DC"/>
    <w:rsid w:val="001B2355"/>
    <w:rsid w:val="001B23C5"/>
    <w:rsid w:val="001B247A"/>
    <w:rsid w:val="001B2547"/>
    <w:rsid w:val="001B2557"/>
    <w:rsid w:val="001B259D"/>
    <w:rsid w:val="001B2629"/>
    <w:rsid w:val="001B266C"/>
    <w:rsid w:val="001B2821"/>
    <w:rsid w:val="001B2AA8"/>
    <w:rsid w:val="001B2B55"/>
    <w:rsid w:val="001B2C60"/>
    <w:rsid w:val="001B2D3F"/>
    <w:rsid w:val="001B2D4D"/>
    <w:rsid w:val="001B2E1A"/>
    <w:rsid w:val="001B2E43"/>
    <w:rsid w:val="001B2F8A"/>
    <w:rsid w:val="001B3058"/>
    <w:rsid w:val="001B318E"/>
    <w:rsid w:val="001B3355"/>
    <w:rsid w:val="001B3614"/>
    <w:rsid w:val="001B36A4"/>
    <w:rsid w:val="001B37BD"/>
    <w:rsid w:val="001B3B34"/>
    <w:rsid w:val="001B3B95"/>
    <w:rsid w:val="001B4045"/>
    <w:rsid w:val="001B4133"/>
    <w:rsid w:val="001B41CC"/>
    <w:rsid w:val="001B42A0"/>
    <w:rsid w:val="001B4427"/>
    <w:rsid w:val="001B442E"/>
    <w:rsid w:val="001B4445"/>
    <w:rsid w:val="001B44D1"/>
    <w:rsid w:val="001B45DF"/>
    <w:rsid w:val="001B4678"/>
    <w:rsid w:val="001B470F"/>
    <w:rsid w:val="001B4BEB"/>
    <w:rsid w:val="001B4C01"/>
    <w:rsid w:val="001B4C93"/>
    <w:rsid w:val="001B4CB0"/>
    <w:rsid w:val="001B4D17"/>
    <w:rsid w:val="001B50C9"/>
    <w:rsid w:val="001B50DF"/>
    <w:rsid w:val="001B5142"/>
    <w:rsid w:val="001B5187"/>
    <w:rsid w:val="001B526F"/>
    <w:rsid w:val="001B5315"/>
    <w:rsid w:val="001B5580"/>
    <w:rsid w:val="001B5A9E"/>
    <w:rsid w:val="001B5B26"/>
    <w:rsid w:val="001B5B2B"/>
    <w:rsid w:val="001B5BE7"/>
    <w:rsid w:val="001B5C6A"/>
    <w:rsid w:val="001B5CFA"/>
    <w:rsid w:val="001B5DD1"/>
    <w:rsid w:val="001B5E2D"/>
    <w:rsid w:val="001B5E7F"/>
    <w:rsid w:val="001B5F78"/>
    <w:rsid w:val="001B5F7A"/>
    <w:rsid w:val="001B6721"/>
    <w:rsid w:val="001B68AC"/>
    <w:rsid w:val="001B693F"/>
    <w:rsid w:val="001B6A5E"/>
    <w:rsid w:val="001B6A98"/>
    <w:rsid w:val="001B6BD7"/>
    <w:rsid w:val="001B6CD8"/>
    <w:rsid w:val="001B6EC1"/>
    <w:rsid w:val="001B6F39"/>
    <w:rsid w:val="001B7013"/>
    <w:rsid w:val="001B744D"/>
    <w:rsid w:val="001B7453"/>
    <w:rsid w:val="001B748A"/>
    <w:rsid w:val="001B74EC"/>
    <w:rsid w:val="001B7668"/>
    <w:rsid w:val="001B7724"/>
    <w:rsid w:val="001B7A05"/>
    <w:rsid w:val="001B7A8E"/>
    <w:rsid w:val="001B7CB9"/>
    <w:rsid w:val="001B7E4B"/>
    <w:rsid w:val="001B7E7E"/>
    <w:rsid w:val="001B7F4D"/>
    <w:rsid w:val="001C0007"/>
    <w:rsid w:val="001C000F"/>
    <w:rsid w:val="001C010A"/>
    <w:rsid w:val="001C0196"/>
    <w:rsid w:val="001C01A2"/>
    <w:rsid w:val="001C0280"/>
    <w:rsid w:val="001C0323"/>
    <w:rsid w:val="001C0417"/>
    <w:rsid w:val="001C0435"/>
    <w:rsid w:val="001C0519"/>
    <w:rsid w:val="001C058C"/>
    <w:rsid w:val="001C0816"/>
    <w:rsid w:val="001C0944"/>
    <w:rsid w:val="001C0A37"/>
    <w:rsid w:val="001C0D6F"/>
    <w:rsid w:val="001C10FD"/>
    <w:rsid w:val="001C12B2"/>
    <w:rsid w:val="001C1317"/>
    <w:rsid w:val="001C141B"/>
    <w:rsid w:val="001C1436"/>
    <w:rsid w:val="001C14ED"/>
    <w:rsid w:val="001C1518"/>
    <w:rsid w:val="001C15B9"/>
    <w:rsid w:val="001C163D"/>
    <w:rsid w:val="001C1642"/>
    <w:rsid w:val="001C182C"/>
    <w:rsid w:val="001C1833"/>
    <w:rsid w:val="001C1985"/>
    <w:rsid w:val="001C1A64"/>
    <w:rsid w:val="001C1AC4"/>
    <w:rsid w:val="001C1B97"/>
    <w:rsid w:val="001C1BDA"/>
    <w:rsid w:val="001C1ED5"/>
    <w:rsid w:val="001C2032"/>
    <w:rsid w:val="001C223E"/>
    <w:rsid w:val="001C22E9"/>
    <w:rsid w:val="001C248F"/>
    <w:rsid w:val="001C24DF"/>
    <w:rsid w:val="001C26BC"/>
    <w:rsid w:val="001C2754"/>
    <w:rsid w:val="001C2894"/>
    <w:rsid w:val="001C28CD"/>
    <w:rsid w:val="001C2B48"/>
    <w:rsid w:val="001C2BFE"/>
    <w:rsid w:val="001C2CBF"/>
    <w:rsid w:val="001C2D2D"/>
    <w:rsid w:val="001C2EE1"/>
    <w:rsid w:val="001C2F86"/>
    <w:rsid w:val="001C2FE6"/>
    <w:rsid w:val="001C33E8"/>
    <w:rsid w:val="001C33F1"/>
    <w:rsid w:val="001C3549"/>
    <w:rsid w:val="001C35F1"/>
    <w:rsid w:val="001C3784"/>
    <w:rsid w:val="001C3975"/>
    <w:rsid w:val="001C3A3A"/>
    <w:rsid w:val="001C3A69"/>
    <w:rsid w:val="001C3A74"/>
    <w:rsid w:val="001C3B15"/>
    <w:rsid w:val="001C3C33"/>
    <w:rsid w:val="001C3C34"/>
    <w:rsid w:val="001C3C41"/>
    <w:rsid w:val="001C3D70"/>
    <w:rsid w:val="001C411B"/>
    <w:rsid w:val="001C4148"/>
    <w:rsid w:val="001C427F"/>
    <w:rsid w:val="001C44C8"/>
    <w:rsid w:val="001C451A"/>
    <w:rsid w:val="001C4686"/>
    <w:rsid w:val="001C46BF"/>
    <w:rsid w:val="001C4738"/>
    <w:rsid w:val="001C4756"/>
    <w:rsid w:val="001C477A"/>
    <w:rsid w:val="001C4988"/>
    <w:rsid w:val="001C4A85"/>
    <w:rsid w:val="001C4AEB"/>
    <w:rsid w:val="001C4AF8"/>
    <w:rsid w:val="001C4C18"/>
    <w:rsid w:val="001C4C34"/>
    <w:rsid w:val="001C4CC6"/>
    <w:rsid w:val="001C4CFF"/>
    <w:rsid w:val="001C4D9D"/>
    <w:rsid w:val="001C4E01"/>
    <w:rsid w:val="001C5035"/>
    <w:rsid w:val="001C50D6"/>
    <w:rsid w:val="001C51F5"/>
    <w:rsid w:val="001C52CB"/>
    <w:rsid w:val="001C5701"/>
    <w:rsid w:val="001C571C"/>
    <w:rsid w:val="001C572D"/>
    <w:rsid w:val="001C5916"/>
    <w:rsid w:val="001C5999"/>
    <w:rsid w:val="001C5A57"/>
    <w:rsid w:val="001C5B0D"/>
    <w:rsid w:val="001C5B23"/>
    <w:rsid w:val="001C5BE6"/>
    <w:rsid w:val="001C606A"/>
    <w:rsid w:val="001C6075"/>
    <w:rsid w:val="001C607A"/>
    <w:rsid w:val="001C607E"/>
    <w:rsid w:val="001C6085"/>
    <w:rsid w:val="001C61E5"/>
    <w:rsid w:val="001C63C6"/>
    <w:rsid w:val="001C67A6"/>
    <w:rsid w:val="001C68A0"/>
    <w:rsid w:val="001C6C14"/>
    <w:rsid w:val="001C6CB7"/>
    <w:rsid w:val="001C6E73"/>
    <w:rsid w:val="001C6F1C"/>
    <w:rsid w:val="001C6F32"/>
    <w:rsid w:val="001C726B"/>
    <w:rsid w:val="001C7388"/>
    <w:rsid w:val="001C7455"/>
    <w:rsid w:val="001C74EF"/>
    <w:rsid w:val="001C750F"/>
    <w:rsid w:val="001C768F"/>
    <w:rsid w:val="001C771B"/>
    <w:rsid w:val="001C7938"/>
    <w:rsid w:val="001C7AC3"/>
    <w:rsid w:val="001C7AF0"/>
    <w:rsid w:val="001C7B8A"/>
    <w:rsid w:val="001C7D3D"/>
    <w:rsid w:val="001C7FC7"/>
    <w:rsid w:val="001D0016"/>
    <w:rsid w:val="001D0049"/>
    <w:rsid w:val="001D009C"/>
    <w:rsid w:val="001D0173"/>
    <w:rsid w:val="001D01D0"/>
    <w:rsid w:val="001D02AE"/>
    <w:rsid w:val="001D02B1"/>
    <w:rsid w:val="001D030D"/>
    <w:rsid w:val="001D0413"/>
    <w:rsid w:val="001D042C"/>
    <w:rsid w:val="001D0528"/>
    <w:rsid w:val="001D06F6"/>
    <w:rsid w:val="001D079B"/>
    <w:rsid w:val="001D08F5"/>
    <w:rsid w:val="001D09E6"/>
    <w:rsid w:val="001D0AE9"/>
    <w:rsid w:val="001D0BDF"/>
    <w:rsid w:val="001D0C78"/>
    <w:rsid w:val="001D0D05"/>
    <w:rsid w:val="001D0DFA"/>
    <w:rsid w:val="001D0E01"/>
    <w:rsid w:val="001D0E6E"/>
    <w:rsid w:val="001D0F37"/>
    <w:rsid w:val="001D0FDF"/>
    <w:rsid w:val="001D124E"/>
    <w:rsid w:val="001D133B"/>
    <w:rsid w:val="001D148F"/>
    <w:rsid w:val="001D15E2"/>
    <w:rsid w:val="001D171B"/>
    <w:rsid w:val="001D18E2"/>
    <w:rsid w:val="001D193B"/>
    <w:rsid w:val="001D199E"/>
    <w:rsid w:val="001D1A07"/>
    <w:rsid w:val="001D1A68"/>
    <w:rsid w:val="001D1B9E"/>
    <w:rsid w:val="001D1BF7"/>
    <w:rsid w:val="001D1C14"/>
    <w:rsid w:val="001D1C75"/>
    <w:rsid w:val="001D1CE4"/>
    <w:rsid w:val="001D1F12"/>
    <w:rsid w:val="001D1F4A"/>
    <w:rsid w:val="001D1F4B"/>
    <w:rsid w:val="001D1FAB"/>
    <w:rsid w:val="001D2029"/>
    <w:rsid w:val="001D21BD"/>
    <w:rsid w:val="001D23A3"/>
    <w:rsid w:val="001D23A6"/>
    <w:rsid w:val="001D2555"/>
    <w:rsid w:val="001D26E1"/>
    <w:rsid w:val="001D28CB"/>
    <w:rsid w:val="001D2BD9"/>
    <w:rsid w:val="001D2C34"/>
    <w:rsid w:val="001D2C5A"/>
    <w:rsid w:val="001D2D7D"/>
    <w:rsid w:val="001D2DC5"/>
    <w:rsid w:val="001D2E3B"/>
    <w:rsid w:val="001D2E49"/>
    <w:rsid w:val="001D2E4B"/>
    <w:rsid w:val="001D2EB4"/>
    <w:rsid w:val="001D2FCD"/>
    <w:rsid w:val="001D302D"/>
    <w:rsid w:val="001D314E"/>
    <w:rsid w:val="001D31BB"/>
    <w:rsid w:val="001D32F6"/>
    <w:rsid w:val="001D337A"/>
    <w:rsid w:val="001D33FF"/>
    <w:rsid w:val="001D342A"/>
    <w:rsid w:val="001D3560"/>
    <w:rsid w:val="001D3756"/>
    <w:rsid w:val="001D38CB"/>
    <w:rsid w:val="001D3A24"/>
    <w:rsid w:val="001D3AD5"/>
    <w:rsid w:val="001D3B09"/>
    <w:rsid w:val="001D3B1D"/>
    <w:rsid w:val="001D3B96"/>
    <w:rsid w:val="001D3BEB"/>
    <w:rsid w:val="001D3C17"/>
    <w:rsid w:val="001D3D49"/>
    <w:rsid w:val="001D3E3D"/>
    <w:rsid w:val="001D3F58"/>
    <w:rsid w:val="001D3F6B"/>
    <w:rsid w:val="001D3FD7"/>
    <w:rsid w:val="001D4010"/>
    <w:rsid w:val="001D40DF"/>
    <w:rsid w:val="001D413E"/>
    <w:rsid w:val="001D426C"/>
    <w:rsid w:val="001D4408"/>
    <w:rsid w:val="001D4457"/>
    <w:rsid w:val="001D48C2"/>
    <w:rsid w:val="001D4960"/>
    <w:rsid w:val="001D49D7"/>
    <w:rsid w:val="001D4B36"/>
    <w:rsid w:val="001D4C50"/>
    <w:rsid w:val="001D4DA6"/>
    <w:rsid w:val="001D4DD6"/>
    <w:rsid w:val="001D4DF2"/>
    <w:rsid w:val="001D4DFC"/>
    <w:rsid w:val="001D4ECC"/>
    <w:rsid w:val="001D5013"/>
    <w:rsid w:val="001D5027"/>
    <w:rsid w:val="001D5078"/>
    <w:rsid w:val="001D5204"/>
    <w:rsid w:val="001D52D0"/>
    <w:rsid w:val="001D53FD"/>
    <w:rsid w:val="001D544C"/>
    <w:rsid w:val="001D553F"/>
    <w:rsid w:val="001D5616"/>
    <w:rsid w:val="001D56F8"/>
    <w:rsid w:val="001D57B7"/>
    <w:rsid w:val="001D5B47"/>
    <w:rsid w:val="001D5BB4"/>
    <w:rsid w:val="001D5C41"/>
    <w:rsid w:val="001D5E5B"/>
    <w:rsid w:val="001D5F1B"/>
    <w:rsid w:val="001D6076"/>
    <w:rsid w:val="001D60CF"/>
    <w:rsid w:val="001D6120"/>
    <w:rsid w:val="001D6155"/>
    <w:rsid w:val="001D61AC"/>
    <w:rsid w:val="001D625A"/>
    <w:rsid w:val="001D62AE"/>
    <w:rsid w:val="001D6363"/>
    <w:rsid w:val="001D6396"/>
    <w:rsid w:val="001D6445"/>
    <w:rsid w:val="001D651D"/>
    <w:rsid w:val="001D659F"/>
    <w:rsid w:val="001D65B9"/>
    <w:rsid w:val="001D6622"/>
    <w:rsid w:val="001D667A"/>
    <w:rsid w:val="001D66E5"/>
    <w:rsid w:val="001D6B1E"/>
    <w:rsid w:val="001D6BF5"/>
    <w:rsid w:val="001D6C46"/>
    <w:rsid w:val="001D6F35"/>
    <w:rsid w:val="001D6FB8"/>
    <w:rsid w:val="001D70EB"/>
    <w:rsid w:val="001D7338"/>
    <w:rsid w:val="001D74C5"/>
    <w:rsid w:val="001D7591"/>
    <w:rsid w:val="001D760B"/>
    <w:rsid w:val="001D7780"/>
    <w:rsid w:val="001D7893"/>
    <w:rsid w:val="001D7A18"/>
    <w:rsid w:val="001D7AB9"/>
    <w:rsid w:val="001D7B41"/>
    <w:rsid w:val="001D7B5E"/>
    <w:rsid w:val="001D7CEB"/>
    <w:rsid w:val="001D7FCF"/>
    <w:rsid w:val="001E0141"/>
    <w:rsid w:val="001E0423"/>
    <w:rsid w:val="001E0443"/>
    <w:rsid w:val="001E04CF"/>
    <w:rsid w:val="001E0511"/>
    <w:rsid w:val="001E0529"/>
    <w:rsid w:val="001E06D5"/>
    <w:rsid w:val="001E0A1F"/>
    <w:rsid w:val="001E0A7A"/>
    <w:rsid w:val="001E0ACD"/>
    <w:rsid w:val="001E0C7C"/>
    <w:rsid w:val="001E0D2C"/>
    <w:rsid w:val="001E0E8B"/>
    <w:rsid w:val="001E0F37"/>
    <w:rsid w:val="001E10C7"/>
    <w:rsid w:val="001E12CA"/>
    <w:rsid w:val="001E12FF"/>
    <w:rsid w:val="001E137A"/>
    <w:rsid w:val="001E15D6"/>
    <w:rsid w:val="001E1860"/>
    <w:rsid w:val="001E1874"/>
    <w:rsid w:val="001E1A05"/>
    <w:rsid w:val="001E1A1A"/>
    <w:rsid w:val="001E1A25"/>
    <w:rsid w:val="001E1B58"/>
    <w:rsid w:val="001E1BAF"/>
    <w:rsid w:val="001E1DE5"/>
    <w:rsid w:val="001E1F2B"/>
    <w:rsid w:val="001E1F87"/>
    <w:rsid w:val="001E205F"/>
    <w:rsid w:val="001E209A"/>
    <w:rsid w:val="001E2216"/>
    <w:rsid w:val="001E22E1"/>
    <w:rsid w:val="001E2437"/>
    <w:rsid w:val="001E2576"/>
    <w:rsid w:val="001E2862"/>
    <w:rsid w:val="001E2952"/>
    <w:rsid w:val="001E2ADE"/>
    <w:rsid w:val="001E2BAE"/>
    <w:rsid w:val="001E2BDB"/>
    <w:rsid w:val="001E2C13"/>
    <w:rsid w:val="001E2C2B"/>
    <w:rsid w:val="001E2CD8"/>
    <w:rsid w:val="001E2D74"/>
    <w:rsid w:val="001E2F77"/>
    <w:rsid w:val="001E30D6"/>
    <w:rsid w:val="001E313B"/>
    <w:rsid w:val="001E3260"/>
    <w:rsid w:val="001E332F"/>
    <w:rsid w:val="001E335F"/>
    <w:rsid w:val="001E3421"/>
    <w:rsid w:val="001E3476"/>
    <w:rsid w:val="001E3782"/>
    <w:rsid w:val="001E391D"/>
    <w:rsid w:val="001E3A2F"/>
    <w:rsid w:val="001E3A8D"/>
    <w:rsid w:val="001E3B30"/>
    <w:rsid w:val="001E3C26"/>
    <w:rsid w:val="001E3D64"/>
    <w:rsid w:val="001E3E28"/>
    <w:rsid w:val="001E3FDB"/>
    <w:rsid w:val="001E4058"/>
    <w:rsid w:val="001E4166"/>
    <w:rsid w:val="001E4207"/>
    <w:rsid w:val="001E42B5"/>
    <w:rsid w:val="001E430A"/>
    <w:rsid w:val="001E4347"/>
    <w:rsid w:val="001E4466"/>
    <w:rsid w:val="001E4479"/>
    <w:rsid w:val="001E448A"/>
    <w:rsid w:val="001E46E1"/>
    <w:rsid w:val="001E4A28"/>
    <w:rsid w:val="001E4D22"/>
    <w:rsid w:val="001E4E46"/>
    <w:rsid w:val="001E4EC8"/>
    <w:rsid w:val="001E4F4D"/>
    <w:rsid w:val="001E513E"/>
    <w:rsid w:val="001E526C"/>
    <w:rsid w:val="001E5289"/>
    <w:rsid w:val="001E5372"/>
    <w:rsid w:val="001E53EE"/>
    <w:rsid w:val="001E5431"/>
    <w:rsid w:val="001E54F6"/>
    <w:rsid w:val="001E5586"/>
    <w:rsid w:val="001E5611"/>
    <w:rsid w:val="001E582E"/>
    <w:rsid w:val="001E5955"/>
    <w:rsid w:val="001E5A86"/>
    <w:rsid w:val="001E5AC8"/>
    <w:rsid w:val="001E5BCE"/>
    <w:rsid w:val="001E5CBF"/>
    <w:rsid w:val="001E5DA3"/>
    <w:rsid w:val="001E5E62"/>
    <w:rsid w:val="001E6025"/>
    <w:rsid w:val="001E6385"/>
    <w:rsid w:val="001E6389"/>
    <w:rsid w:val="001E63BF"/>
    <w:rsid w:val="001E6414"/>
    <w:rsid w:val="001E6527"/>
    <w:rsid w:val="001E66B3"/>
    <w:rsid w:val="001E681C"/>
    <w:rsid w:val="001E693F"/>
    <w:rsid w:val="001E6A21"/>
    <w:rsid w:val="001E6C5D"/>
    <w:rsid w:val="001E6D84"/>
    <w:rsid w:val="001E7166"/>
    <w:rsid w:val="001E739A"/>
    <w:rsid w:val="001E74A0"/>
    <w:rsid w:val="001E757C"/>
    <w:rsid w:val="001E7647"/>
    <w:rsid w:val="001E773C"/>
    <w:rsid w:val="001E774A"/>
    <w:rsid w:val="001E7A1B"/>
    <w:rsid w:val="001E7AD2"/>
    <w:rsid w:val="001E7D1C"/>
    <w:rsid w:val="001E7D2D"/>
    <w:rsid w:val="001E7E06"/>
    <w:rsid w:val="001F0158"/>
    <w:rsid w:val="001F0354"/>
    <w:rsid w:val="001F0597"/>
    <w:rsid w:val="001F08B5"/>
    <w:rsid w:val="001F09B7"/>
    <w:rsid w:val="001F0A9D"/>
    <w:rsid w:val="001F0AF5"/>
    <w:rsid w:val="001F0CD2"/>
    <w:rsid w:val="001F0D0F"/>
    <w:rsid w:val="001F0F77"/>
    <w:rsid w:val="001F0FFF"/>
    <w:rsid w:val="001F104B"/>
    <w:rsid w:val="001F106C"/>
    <w:rsid w:val="001F10FB"/>
    <w:rsid w:val="001F123B"/>
    <w:rsid w:val="001F1303"/>
    <w:rsid w:val="001F170B"/>
    <w:rsid w:val="001F1784"/>
    <w:rsid w:val="001F1817"/>
    <w:rsid w:val="001F1861"/>
    <w:rsid w:val="001F1868"/>
    <w:rsid w:val="001F1913"/>
    <w:rsid w:val="001F19B4"/>
    <w:rsid w:val="001F1ABA"/>
    <w:rsid w:val="001F1ADF"/>
    <w:rsid w:val="001F1B03"/>
    <w:rsid w:val="001F1B2D"/>
    <w:rsid w:val="001F1C1D"/>
    <w:rsid w:val="001F1C56"/>
    <w:rsid w:val="001F1C6A"/>
    <w:rsid w:val="001F2052"/>
    <w:rsid w:val="001F20B0"/>
    <w:rsid w:val="001F21CD"/>
    <w:rsid w:val="001F2212"/>
    <w:rsid w:val="001F23F4"/>
    <w:rsid w:val="001F23FA"/>
    <w:rsid w:val="001F262F"/>
    <w:rsid w:val="001F2752"/>
    <w:rsid w:val="001F2756"/>
    <w:rsid w:val="001F2AFB"/>
    <w:rsid w:val="001F2B0F"/>
    <w:rsid w:val="001F2D4C"/>
    <w:rsid w:val="001F2EEE"/>
    <w:rsid w:val="001F3128"/>
    <w:rsid w:val="001F31A7"/>
    <w:rsid w:val="001F341C"/>
    <w:rsid w:val="001F3581"/>
    <w:rsid w:val="001F35AC"/>
    <w:rsid w:val="001F35F0"/>
    <w:rsid w:val="001F3667"/>
    <w:rsid w:val="001F368D"/>
    <w:rsid w:val="001F370C"/>
    <w:rsid w:val="001F3A2A"/>
    <w:rsid w:val="001F3AD4"/>
    <w:rsid w:val="001F3BE0"/>
    <w:rsid w:val="001F3FD9"/>
    <w:rsid w:val="001F40AA"/>
    <w:rsid w:val="001F41AE"/>
    <w:rsid w:val="001F4390"/>
    <w:rsid w:val="001F463F"/>
    <w:rsid w:val="001F46EB"/>
    <w:rsid w:val="001F4818"/>
    <w:rsid w:val="001F487F"/>
    <w:rsid w:val="001F491E"/>
    <w:rsid w:val="001F4A1B"/>
    <w:rsid w:val="001F4A64"/>
    <w:rsid w:val="001F4B03"/>
    <w:rsid w:val="001F4BE4"/>
    <w:rsid w:val="001F4F0C"/>
    <w:rsid w:val="001F4F6C"/>
    <w:rsid w:val="001F4FC9"/>
    <w:rsid w:val="001F519E"/>
    <w:rsid w:val="001F51B7"/>
    <w:rsid w:val="001F5302"/>
    <w:rsid w:val="001F5364"/>
    <w:rsid w:val="001F5698"/>
    <w:rsid w:val="001F5947"/>
    <w:rsid w:val="001F5A07"/>
    <w:rsid w:val="001F5A54"/>
    <w:rsid w:val="001F5CCA"/>
    <w:rsid w:val="001F5D69"/>
    <w:rsid w:val="001F5D94"/>
    <w:rsid w:val="001F5DE8"/>
    <w:rsid w:val="001F5E4C"/>
    <w:rsid w:val="001F5F2A"/>
    <w:rsid w:val="001F5F30"/>
    <w:rsid w:val="001F5F72"/>
    <w:rsid w:val="001F5F9D"/>
    <w:rsid w:val="001F606A"/>
    <w:rsid w:val="001F60AB"/>
    <w:rsid w:val="001F629B"/>
    <w:rsid w:val="001F62C4"/>
    <w:rsid w:val="001F62EB"/>
    <w:rsid w:val="001F64BE"/>
    <w:rsid w:val="001F6A41"/>
    <w:rsid w:val="001F6AFD"/>
    <w:rsid w:val="001F6B6E"/>
    <w:rsid w:val="001F6C0B"/>
    <w:rsid w:val="001F6C4C"/>
    <w:rsid w:val="001F6D1E"/>
    <w:rsid w:val="001F6D55"/>
    <w:rsid w:val="001F6E9B"/>
    <w:rsid w:val="001F6F72"/>
    <w:rsid w:val="001F6FC8"/>
    <w:rsid w:val="001F70D4"/>
    <w:rsid w:val="001F7225"/>
    <w:rsid w:val="001F73A8"/>
    <w:rsid w:val="001F73B0"/>
    <w:rsid w:val="001F73D1"/>
    <w:rsid w:val="001F7491"/>
    <w:rsid w:val="001F74AF"/>
    <w:rsid w:val="001F75AC"/>
    <w:rsid w:val="001F7731"/>
    <w:rsid w:val="001F7777"/>
    <w:rsid w:val="001F780A"/>
    <w:rsid w:val="001F7918"/>
    <w:rsid w:val="001F791B"/>
    <w:rsid w:val="001F793F"/>
    <w:rsid w:val="001F7953"/>
    <w:rsid w:val="001F795D"/>
    <w:rsid w:val="001F7B6E"/>
    <w:rsid w:val="001F7B95"/>
    <w:rsid w:val="001F7B98"/>
    <w:rsid w:val="001F7BBC"/>
    <w:rsid w:val="001F7C11"/>
    <w:rsid w:val="001F7CFA"/>
    <w:rsid w:val="001F7DA5"/>
    <w:rsid w:val="001F7DB8"/>
    <w:rsid w:val="00200071"/>
    <w:rsid w:val="00200113"/>
    <w:rsid w:val="0020017A"/>
    <w:rsid w:val="002002AC"/>
    <w:rsid w:val="00200485"/>
    <w:rsid w:val="0020079F"/>
    <w:rsid w:val="002007A5"/>
    <w:rsid w:val="00200A60"/>
    <w:rsid w:val="00200B66"/>
    <w:rsid w:val="00200C89"/>
    <w:rsid w:val="00200CED"/>
    <w:rsid w:val="00200D83"/>
    <w:rsid w:val="00200E4C"/>
    <w:rsid w:val="00200EA9"/>
    <w:rsid w:val="0020111B"/>
    <w:rsid w:val="00201166"/>
    <w:rsid w:val="0020127F"/>
    <w:rsid w:val="002012DB"/>
    <w:rsid w:val="002013AE"/>
    <w:rsid w:val="002015C7"/>
    <w:rsid w:val="002016ED"/>
    <w:rsid w:val="002017AD"/>
    <w:rsid w:val="002018D4"/>
    <w:rsid w:val="002018E9"/>
    <w:rsid w:val="002018F7"/>
    <w:rsid w:val="00201C41"/>
    <w:rsid w:val="00201C85"/>
    <w:rsid w:val="00201C93"/>
    <w:rsid w:val="00201CA3"/>
    <w:rsid w:val="00201CA9"/>
    <w:rsid w:val="00201D10"/>
    <w:rsid w:val="00201D40"/>
    <w:rsid w:val="00201EAF"/>
    <w:rsid w:val="00201F10"/>
    <w:rsid w:val="00201F40"/>
    <w:rsid w:val="00202047"/>
    <w:rsid w:val="002020DD"/>
    <w:rsid w:val="0020214D"/>
    <w:rsid w:val="00202209"/>
    <w:rsid w:val="0020224D"/>
    <w:rsid w:val="00202270"/>
    <w:rsid w:val="002022E3"/>
    <w:rsid w:val="002023B2"/>
    <w:rsid w:val="002025A5"/>
    <w:rsid w:val="002025CC"/>
    <w:rsid w:val="002025D3"/>
    <w:rsid w:val="0020261B"/>
    <w:rsid w:val="0020271E"/>
    <w:rsid w:val="002029CF"/>
    <w:rsid w:val="00202A62"/>
    <w:rsid w:val="00202B36"/>
    <w:rsid w:val="00202D38"/>
    <w:rsid w:val="00202E7F"/>
    <w:rsid w:val="00202F7A"/>
    <w:rsid w:val="0020303F"/>
    <w:rsid w:val="002032A9"/>
    <w:rsid w:val="0020334D"/>
    <w:rsid w:val="002033B7"/>
    <w:rsid w:val="00203773"/>
    <w:rsid w:val="002037EB"/>
    <w:rsid w:val="00203A55"/>
    <w:rsid w:val="00203AC4"/>
    <w:rsid w:val="00203B3C"/>
    <w:rsid w:val="00203D79"/>
    <w:rsid w:val="00203EFB"/>
    <w:rsid w:val="00203F6D"/>
    <w:rsid w:val="00203FDB"/>
    <w:rsid w:val="00204113"/>
    <w:rsid w:val="002041D3"/>
    <w:rsid w:val="002042BF"/>
    <w:rsid w:val="002042EE"/>
    <w:rsid w:val="0020436C"/>
    <w:rsid w:val="002044F1"/>
    <w:rsid w:val="002046B1"/>
    <w:rsid w:val="002046B9"/>
    <w:rsid w:val="00204700"/>
    <w:rsid w:val="00204781"/>
    <w:rsid w:val="00204A31"/>
    <w:rsid w:val="00204AFA"/>
    <w:rsid w:val="00204B0A"/>
    <w:rsid w:val="00204C66"/>
    <w:rsid w:val="00204D43"/>
    <w:rsid w:val="00204FF3"/>
    <w:rsid w:val="002050AE"/>
    <w:rsid w:val="00205147"/>
    <w:rsid w:val="00205251"/>
    <w:rsid w:val="0020526B"/>
    <w:rsid w:val="002054A0"/>
    <w:rsid w:val="00205548"/>
    <w:rsid w:val="002056F6"/>
    <w:rsid w:val="002059D9"/>
    <w:rsid w:val="002059F6"/>
    <w:rsid w:val="00205C46"/>
    <w:rsid w:val="00205C6A"/>
    <w:rsid w:val="00205D62"/>
    <w:rsid w:val="00205E1C"/>
    <w:rsid w:val="00205E5C"/>
    <w:rsid w:val="00205EC7"/>
    <w:rsid w:val="00205EE8"/>
    <w:rsid w:val="0020602A"/>
    <w:rsid w:val="00206081"/>
    <w:rsid w:val="002061BB"/>
    <w:rsid w:val="002062C9"/>
    <w:rsid w:val="0020649B"/>
    <w:rsid w:val="002064B8"/>
    <w:rsid w:val="00206579"/>
    <w:rsid w:val="002066C3"/>
    <w:rsid w:val="0020682E"/>
    <w:rsid w:val="00206839"/>
    <w:rsid w:val="00206881"/>
    <w:rsid w:val="002068D1"/>
    <w:rsid w:val="002069FA"/>
    <w:rsid w:val="00206B6D"/>
    <w:rsid w:val="00206C91"/>
    <w:rsid w:val="00206D77"/>
    <w:rsid w:val="00206E40"/>
    <w:rsid w:val="00206EDB"/>
    <w:rsid w:val="00206F04"/>
    <w:rsid w:val="00206F90"/>
    <w:rsid w:val="00207182"/>
    <w:rsid w:val="00207339"/>
    <w:rsid w:val="00207378"/>
    <w:rsid w:val="002073DA"/>
    <w:rsid w:val="002074CB"/>
    <w:rsid w:val="002075BC"/>
    <w:rsid w:val="002076F4"/>
    <w:rsid w:val="00207719"/>
    <w:rsid w:val="0020774A"/>
    <w:rsid w:val="002077C7"/>
    <w:rsid w:val="00207A37"/>
    <w:rsid w:val="00207A3E"/>
    <w:rsid w:val="00207BB3"/>
    <w:rsid w:val="00207C72"/>
    <w:rsid w:val="00207DE3"/>
    <w:rsid w:val="00207FF2"/>
    <w:rsid w:val="0021006C"/>
    <w:rsid w:val="002100D7"/>
    <w:rsid w:val="0021012F"/>
    <w:rsid w:val="002101F9"/>
    <w:rsid w:val="00210330"/>
    <w:rsid w:val="002103C9"/>
    <w:rsid w:val="00210554"/>
    <w:rsid w:val="00210641"/>
    <w:rsid w:val="002106E8"/>
    <w:rsid w:val="00210965"/>
    <w:rsid w:val="002109BB"/>
    <w:rsid w:val="00210A48"/>
    <w:rsid w:val="00210B70"/>
    <w:rsid w:val="00210BEF"/>
    <w:rsid w:val="00210D5D"/>
    <w:rsid w:val="00210E35"/>
    <w:rsid w:val="00210E39"/>
    <w:rsid w:val="00211104"/>
    <w:rsid w:val="0021110E"/>
    <w:rsid w:val="00211209"/>
    <w:rsid w:val="002112F8"/>
    <w:rsid w:val="0021135B"/>
    <w:rsid w:val="00211434"/>
    <w:rsid w:val="0021144E"/>
    <w:rsid w:val="00211568"/>
    <w:rsid w:val="0021169D"/>
    <w:rsid w:val="0021175A"/>
    <w:rsid w:val="00211839"/>
    <w:rsid w:val="0021189D"/>
    <w:rsid w:val="00211A4D"/>
    <w:rsid w:val="00211B12"/>
    <w:rsid w:val="00211B7C"/>
    <w:rsid w:val="00211D97"/>
    <w:rsid w:val="00211DA5"/>
    <w:rsid w:val="00211E20"/>
    <w:rsid w:val="00211E9F"/>
    <w:rsid w:val="00211EA2"/>
    <w:rsid w:val="00211FEF"/>
    <w:rsid w:val="0021201C"/>
    <w:rsid w:val="00212403"/>
    <w:rsid w:val="002126EC"/>
    <w:rsid w:val="0021297B"/>
    <w:rsid w:val="002129A8"/>
    <w:rsid w:val="00212A34"/>
    <w:rsid w:val="00212A55"/>
    <w:rsid w:val="00212A58"/>
    <w:rsid w:val="00212B6E"/>
    <w:rsid w:val="00212C2C"/>
    <w:rsid w:val="00212CAD"/>
    <w:rsid w:val="00212D59"/>
    <w:rsid w:val="00212E65"/>
    <w:rsid w:val="00212E84"/>
    <w:rsid w:val="00212EC1"/>
    <w:rsid w:val="002130D3"/>
    <w:rsid w:val="0021325B"/>
    <w:rsid w:val="002133D3"/>
    <w:rsid w:val="00213501"/>
    <w:rsid w:val="00213568"/>
    <w:rsid w:val="0021364C"/>
    <w:rsid w:val="002137FF"/>
    <w:rsid w:val="00213803"/>
    <w:rsid w:val="00213807"/>
    <w:rsid w:val="00213934"/>
    <w:rsid w:val="002139A8"/>
    <w:rsid w:val="002139EC"/>
    <w:rsid w:val="00213AD0"/>
    <w:rsid w:val="00213B85"/>
    <w:rsid w:val="00213BC5"/>
    <w:rsid w:val="00213CF9"/>
    <w:rsid w:val="00213EF0"/>
    <w:rsid w:val="00213FBB"/>
    <w:rsid w:val="00214322"/>
    <w:rsid w:val="00214454"/>
    <w:rsid w:val="002144BB"/>
    <w:rsid w:val="002145B8"/>
    <w:rsid w:val="002145E8"/>
    <w:rsid w:val="002147D8"/>
    <w:rsid w:val="00214A9E"/>
    <w:rsid w:val="00214B67"/>
    <w:rsid w:val="00214BAA"/>
    <w:rsid w:val="00214F12"/>
    <w:rsid w:val="00214FA9"/>
    <w:rsid w:val="0021500D"/>
    <w:rsid w:val="00215042"/>
    <w:rsid w:val="002151C6"/>
    <w:rsid w:val="00215212"/>
    <w:rsid w:val="0021528F"/>
    <w:rsid w:val="002152D5"/>
    <w:rsid w:val="0021531F"/>
    <w:rsid w:val="0021547E"/>
    <w:rsid w:val="002156BD"/>
    <w:rsid w:val="002158ED"/>
    <w:rsid w:val="0021597D"/>
    <w:rsid w:val="002159CD"/>
    <w:rsid w:val="00215B5F"/>
    <w:rsid w:val="00215CD9"/>
    <w:rsid w:val="00215D9E"/>
    <w:rsid w:val="00215DB7"/>
    <w:rsid w:val="00215DF0"/>
    <w:rsid w:val="00215E40"/>
    <w:rsid w:val="00215F6D"/>
    <w:rsid w:val="00215FB7"/>
    <w:rsid w:val="002160CB"/>
    <w:rsid w:val="0021632C"/>
    <w:rsid w:val="00216477"/>
    <w:rsid w:val="0021658C"/>
    <w:rsid w:val="002166A5"/>
    <w:rsid w:val="00216806"/>
    <w:rsid w:val="002169B6"/>
    <w:rsid w:val="002169BF"/>
    <w:rsid w:val="002169DB"/>
    <w:rsid w:val="00216A0B"/>
    <w:rsid w:val="00216B94"/>
    <w:rsid w:val="00216C82"/>
    <w:rsid w:val="00216CAA"/>
    <w:rsid w:val="00216DD4"/>
    <w:rsid w:val="00216DFE"/>
    <w:rsid w:val="00216E25"/>
    <w:rsid w:val="00216EC4"/>
    <w:rsid w:val="00217050"/>
    <w:rsid w:val="0021705A"/>
    <w:rsid w:val="00217394"/>
    <w:rsid w:val="002173AC"/>
    <w:rsid w:val="002175E4"/>
    <w:rsid w:val="002176E1"/>
    <w:rsid w:val="002177D5"/>
    <w:rsid w:val="0021782F"/>
    <w:rsid w:val="00217875"/>
    <w:rsid w:val="00217B5E"/>
    <w:rsid w:val="00217B60"/>
    <w:rsid w:val="00217C2D"/>
    <w:rsid w:val="00217C45"/>
    <w:rsid w:val="00217CD0"/>
    <w:rsid w:val="00217DBA"/>
    <w:rsid w:val="0022013C"/>
    <w:rsid w:val="00220502"/>
    <w:rsid w:val="00220676"/>
    <w:rsid w:val="0022068A"/>
    <w:rsid w:val="002207C5"/>
    <w:rsid w:val="002207DA"/>
    <w:rsid w:val="00220816"/>
    <w:rsid w:val="00220881"/>
    <w:rsid w:val="002208DC"/>
    <w:rsid w:val="00220924"/>
    <w:rsid w:val="00220932"/>
    <w:rsid w:val="0022094D"/>
    <w:rsid w:val="00220BAD"/>
    <w:rsid w:val="00220D67"/>
    <w:rsid w:val="00220DFF"/>
    <w:rsid w:val="00220F61"/>
    <w:rsid w:val="002215B1"/>
    <w:rsid w:val="002215CD"/>
    <w:rsid w:val="0022163C"/>
    <w:rsid w:val="002217C8"/>
    <w:rsid w:val="002218DD"/>
    <w:rsid w:val="002218F6"/>
    <w:rsid w:val="002219BC"/>
    <w:rsid w:val="00221B1E"/>
    <w:rsid w:val="00221BF8"/>
    <w:rsid w:val="00221E6B"/>
    <w:rsid w:val="00221E7F"/>
    <w:rsid w:val="00221E91"/>
    <w:rsid w:val="00221EFF"/>
    <w:rsid w:val="00221F37"/>
    <w:rsid w:val="0022240C"/>
    <w:rsid w:val="002224C8"/>
    <w:rsid w:val="002228AC"/>
    <w:rsid w:val="00222904"/>
    <w:rsid w:val="002229C0"/>
    <w:rsid w:val="00222A91"/>
    <w:rsid w:val="00222E14"/>
    <w:rsid w:val="0022306A"/>
    <w:rsid w:val="0022307E"/>
    <w:rsid w:val="0022310F"/>
    <w:rsid w:val="00223168"/>
    <w:rsid w:val="002231E6"/>
    <w:rsid w:val="0022335B"/>
    <w:rsid w:val="002233C5"/>
    <w:rsid w:val="00223504"/>
    <w:rsid w:val="00223513"/>
    <w:rsid w:val="002235C4"/>
    <w:rsid w:val="0022375D"/>
    <w:rsid w:val="002237BA"/>
    <w:rsid w:val="00223878"/>
    <w:rsid w:val="00223A15"/>
    <w:rsid w:val="00223BB8"/>
    <w:rsid w:val="00223E7F"/>
    <w:rsid w:val="00223ED8"/>
    <w:rsid w:val="002240E3"/>
    <w:rsid w:val="002242DE"/>
    <w:rsid w:val="0022445D"/>
    <w:rsid w:val="002244B7"/>
    <w:rsid w:val="002247D7"/>
    <w:rsid w:val="00224853"/>
    <w:rsid w:val="002248A9"/>
    <w:rsid w:val="002248FF"/>
    <w:rsid w:val="00224960"/>
    <w:rsid w:val="00224A3D"/>
    <w:rsid w:val="00224A92"/>
    <w:rsid w:val="00224C6D"/>
    <w:rsid w:val="0022500C"/>
    <w:rsid w:val="00225042"/>
    <w:rsid w:val="002251F9"/>
    <w:rsid w:val="00225517"/>
    <w:rsid w:val="00225729"/>
    <w:rsid w:val="0022572D"/>
    <w:rsid w:val="0022574C"/>
    <w:rsid w:val="0022577D"/>
    <w:rsid w:val="002257B2"/>
    <w:rsid w:val="002257F2"/>
    <w:rsid w:val="0022592A"/>
    <w:rsid w:val="0022594C"/>
    <w:rsid w:val="00225A04"/>
    <w:rsid w:val="00225C06"/>
    <w:rsid w:val="00225DC5"/>
    <w:rsid w:val="0022603E"/>
    <w:rsid w:val="00226101"/>
    <w:rsid w:val="0022618D"/>
    <w:rsid w:val="002261D1"/>
    <w:rsid w:val="00226350"/>
    <w:rsid w:val="0022636D"/>
    <w:rsid w:val="00226506"/>
    <w:rsid w:val="0022666E"/>
    <w:rsid w:val="002266A7"/>
    <w:rsid w:val="002268B7"/>
    <w:rsid w:val="00226D47"/>
    <w:rsid w:val="00227023"/>
    <w:rsid w:val="00227072"/>
    <w:rsid w:val="002272AD"/>
    <w:rsid w:val="0022734E"/>
    <w:rsid w:val="00227517"/>
    <w:rsid w:val="002275E5"/>
    <w:rsid w:val="002276BC"/>
    <w:rsid w:val="0022783D"/>
    <w:rsid w:val="00227933"/>
    <w:rsid w:val="00227A3A"/>
    <w:rsid w:val="00227B06"/>
    <w:rsid w:val="00227C8B"/>
    <w:rsid w:val="00227CCB"/>
    <w:rsid w:val="00227D4A"/>
    <w:rsid w:val="00227D9B"/>
    <w:rsid w:val="00227F0B"/>
    <w:rsid w:val="002301E2"/>
    <w:rsid w:val="00230460"/>
    <w:rsid w:val="002304B7"/>
    <w:rsid w:val="002304B9"/>
    <w:rsid w:val="00230640"/>
    <w:rsid w:val="00230652"/>
    <w:rsid w:val="002306A1"/>
    <w:rsid w:val="002306F8"/>
    <w:rsid w:val="00230746"/>
    <w:rsid w:val="002307B0"/>
    <w:rsid w:val="002307E1"/>
    <w:rsid w:val="0023080E"/>
    <w:rsid w:val="00230816"/>
    <w:rsid w:val="00230822"/>
    <w:rsid w:val="00230865"/>
    <w:rsid w:val="00230884"/>
    <w:rsid w:val="002308C1"/>
    <w:rsid w:val="00230ADD"/>
    <w:rsid w:val="00230B0D"/>
    <w:rsid w:val="00230C45"/>
    <w:rsid w:val="00230C68"/>
    <w:rsid w:val="00230DAD"/>
    <w:rsid w:val="00230DD4"/>
    <w:rsid w:val="00230DFE"/>
    <w:rsid w:val="00230E64"/>
    <w:rsid w:val="00231033"/>
    <w:rsid w:val="002310DE"/>
    <w:rsid w:val="002312EE"/>
    <w:rsid w:val="00231306"/>
    <w:rsid w:val="002313FB"/>
    <w:rsid w:val="0023144C"/>
    <w:rsid w:val="0023152A"/>
    <w:rsid w:val="00231651"/>
    <w:rsid w:val="002317AF"/>
    <w:rsid w:val="002317B6"/>
    <w:rsid w:val="002317BA"/>
    <w:rsid w:val="0023190F"/>
    <w:rsid w:val="00231944"/>
    <w:rsid w:val="00231BD7"/>
    <w:rsid w:val="00231C0A"/>
    <w:rsid w:val="00231D18"/>
    <w:rsid w:val="00231D7D"/>
    <w:rsid w:val="002320CD"/>
    <w:rsid w:val="0023210E"/>
    <w:rsid w:val="002321C7"/>
    <w:rsid w:val="00232240"/>
    <w:rsid w:val="00232344"/>
    <w:rsid w:val="002323C1"/>
    <w:rsid w:val="0023246A"/>
    <w:rsid w:val="002324BB"/>
    <w:rsid w:val="002326AF"/>
    <w:rsid w:val="002326B2"/>
    <w:rsid w:val="00232864"/>
    <w:rsid w:val="002328D4"/>
    <w:rsid w:val="002328F0"/>
    <w:rsid w:val="002328F2"/>
    <w:rsid w:val="00232920"/>
    <w:rsid w:val="002329C0"/>
    <w:rsid w:val="00232BE9"/>
    <w:rsid w:val="00232D7E"/>
    <w:rsid w:val="00232EA1"/>
    <w:rsid w:val="00232F1C"/>
    <w:rsid w:val="00232F2F"/>
    <w:rsid w:val="00232FC6"/>
    <w:rsid w:val="002331A1"/>
    <w:rsid w:val="0023322C"/>
    <w:rsid w:val="002334D9"/>
    <w:rsid w:val="0023360A"/>
    <w:rsid w:val="002337A4"/>
    <w:rsid w:val="002337BD"/>
    <w:rsid w:val="002337C1"/>
    <w:rsid w:val="002339ED"/>
    <w:rsid w:val="00233A15"/>
    <w:rsid w:val="00233A81"/>
    <w:rsid w:val="00233AE2"/>
    <w:rsid w:val="00233B8B"/>
    <w:rsid w:val="00233C26"/>
    <w:rsid w:val="00233D22"/>
    <w:rsid w:val="00233D29"/>
    <w:rsid w:val="00233E00"/>
    <w:rsid w:val="00234167"/>
    <w:rsid w:val="00234268"/>
    <w:rsid w:val="002342A2"/>
    <w:rsid w:val="00234325"/>
    <w:rsid w:val="00234568"/>
    <w:rsid w:val="0023457F"/>
    <w:rsid w:val="0023458D"/>
    <w:rsid w:val="0023471A"/>
    <w:rsid w:val="0023481C"/>
    <w:rsid w:val="002348A8"/>
    <w:rsid w:val="00234A6F"/>
    <w:rsid w:val="00234C97"/>
    <w:rsid w:val="00234E13"/>
    <w:rsid w:val="00234E6C"/>
    <w:rsid w:val="00234E7A"/>
    <w:rsid w:val="00234E9A"/>
    <w:rsid w:val="00234F68"/>
    <w:rsid w:val="00234FEE"/>
    <w:rsid w:val="00235052"/>
    <w:rsid w:val="00235153"/>
    <w:rsid w:val="00235197"/>
    <w:rsid w:val="002351D8"/>
    <w:rsid w:val="00235239"/>
    <w:rsid w:val="002352BF"/>
    <w:rsid w:val="00235368"/>
    <w:rsid w:val="002354CB"/>
    <w:rsid w:val="002359A1"/>
    <w:rsid w:val="00235B4B"/>
    <w:rsid w:val="00235C75"/>
    <w:rsid w:val="00235FCC"/>
    <w:rsid w:val="00236188"/>
    <w:rsid w:val="002361A6"/>
    <w:rsid w:val="002362B1"/>
    <w:rsid w:val="00236421"/>
    <w:rsid w:val="002364B0"/>
    <w:rsid w:val="00236536"/>
    <w:rsid w:val="0023658E"/>
    <w:rsid w:val="002365A8"/>
    <w:rsid w:val="0023672F"/>
    <w:rsid w:val="002367C4"/>
    <w:rsid w:val="002367F6"/>
    <w:rsid w:val="002368E6"/>
    <w:rsid w:val="00236A80"/>
    <w:rsid w:val="00236CF0"/>
    <w:rsid w:val="00236D62"/>
    <w:rsid w:val="00236D65"/>
    <w:rsid w:val="002370F9"/>
    <w:rsid w:val="002371DB"/>
    <w:rsid w:val="0023726C"/>
    <w:rsid w:val="00237289"/>
    <w:rsid w:val="002372B7"/>
    <w:rsid w:val="00237371"/>
    <w:rsid w:val="002374A4"/>
    <w:rsid w:val="002374B1"/>
    <w:rsid w:val="002375DD"/>
    <w:rsid w:val="0023768F"/>
    <w:rsid w:val="002376FF"/>
    <w:rsid w:val="00237B26"/>
    <w:rsid w:val="00237CAB"/>
    <w:rsid w:val="002400B5"/>
    <w:rsid w:val="002401DB"/>
    <w:rsid w:val="0024025C"/>
    <w:rsid w:val="002402D0"/>
    <w:rsid w:val="00240340"/>
    <w:rsid w:val="002403A5"/>
    <w:rsid w:val="00240552"/>
    <w:rsid w:val="0024085D"/>
    <w:rsid w:val="00240861"/>
    <w:rsid w:val="0024096D"/>
    <w:rsid w:val="002409AE"/>
    <w:rsid w:val="00240BBE"/>
    <w:rsid w:val="00240BCF"/>
    <w:rsid w:val="00240D95"/>
    <w:rsid w:val="00240D96"/>
    <w:rsid w:val="00240DB8"/>
    <w:rsid w:val="00240E24"/>
    <w:rsid w:val="0024100F"/>
    <w:rsid w:val="00241038"/>
    <w:rsid w:val="00241156"/>
    <w:rsid w:val="00241241"/>
    <w:rsid w:val="002412EA"/>
    <w:rsid w:val="002412ED"/>
    <w:rsid w:val="0024155C"/>
    <w:rsid w:val="0024168B"/>
    <w:rsid w:val="002416EE"/>
    <w:rsid w:val="002417B5"/>
    <w:rsid w:val="00241837"/>
    <w:rsid w:val="00241874"/>
    <w:rsid w:val="002418D7"/>
    <w:rsid w:val="00241910"/>
    <w:rsid w:val="00241915"/>
    <w:rsid w:val="00241A13"/>
    <w:rsid w:val="00241A77"/>
    <w:rsid w:val="00241CCD"/>
    <w:rsid w:val="00241ED0"/>
    <w:rsid w:val="002421BD"/>
    <w:rsid w:val="0024227F"/>
    <w:rsid w:val="0024232A"/>
    <w:rsid w:val="002423E1"/>
    <w:rsid w:val="002423FD"/>
    <w:rsid w:val="00242513"/>
    <w:rsid w:val="0024278D"/>
    <w:rsid w:val="00242B24"/>
    <w:rsid w:val="00242CF6"/>
    <w:rsid w:val="00242DDC"/>
    <w:rsid w:val="00242F4B"/>
    <w:rsid w:val="00242F7E"/>
    <w:rsid w:val="00242F8F"/>
    <w:rsid w:val="00242FC5"/>
    <w:rsid w:val="002430E0"/>
    <w:rsid w:val="00243186"/>
    <w:rsid w:val="00243424"/>
    <w:rsid w:val="00243425"/>
    <w:rsid w:val="0024345C"/>
    <w:rsid w:val="0024367C"/>
    <w:rsid w:val="00243735"/>
    <w:rsid w:val="00243873"/>
    <w:rsid w:val="00243B48"/>
    <w:rsid w:val="00243B4E"/>
    <w:rsid w:val="00243DB5"/>
    <w:rsid w:val="00243DDF"/>
    <w:rsid w:val="00243E17"/>
    <w:rsid w:val="00243ECC"/>
    <w:rsid w:val="00244086"/>
    <w:rsid w:val="00244177"/>
    <w:rsid w:val="00244349"/>
    <w:rsid w:val="002444B1"/>
    <w:rsid w:val="00244640"/>
    <w:rsid w:val="00244732"/>
    <w:rsid w:val="0024475D"/>
    <w:rsid w:val="00244865"/>
    <w:rsid w:val="0024492B"/>
    <w:rsid w:val="00244940"/>
    <w:rsid w:val="00244A8B"/>
    <w:rsid w:val="00244B5C"/>
    <w:rsid w:val="00244BA8"/>
    <w:rsid w:val="00244EC7"/>
    <w:rsid w:val="00245370"/>
    <w:rsid w:val="00245388"/>
    <w:rsid w:val="002454C6"/>
    <w:rsid w:val="002454EF"/>
    <w:rsid w:val="0024569A"/>
    <w:rsid w:val="002456AF"/>
    <w:rsid w:val="00245741"/>
    <w:rsid w:val="00245771"/>
    <w:rsid w:val="00245A3F"/>
    <w:rsid w:val="00245C4D"/>
    <w:rsid w:val="00245D34"/>
    <w:rsid w:val="00245D3C"/>
    <w:rsid w:val="00245D46"/>
    <w:rsid w:val="00245D55"/>
    <w:rsid w:val="00245E92"/>
    <w:rsid w:val="002463B3"/>
    <w:rsid w:val="00246494"/>
    <w:rsid w:val="00246562"/>
    <w:rsid w:val="00246566"/>
    <w:rsid w:val="002465B3"/>
    <w:rsid w:val="002466C6"/>
    <w:rsid w:val="0024693C"/>
    <w:rsid w:val="0024695C"/>
    <w:rsid w:val="00246AB1"/>
    <w:rsid w:val="00246B49"/>
    <w:rsid w:val="00246B5E"/>
    <w:rsid w:val="00246DCB"/>
    <w:rsid w:val="00246E28"/>
    <w:rsid w:val="00246E9E"/>
    <w:rsid w:val="00246EBD"/>
    <w:rsid w:val="00246F25"/>
    <w:rsid w:val="00246F39"/>
    <w:rsid w:val="00247307"/>
    <w:rsid w:val="002474AB"/>
    <w:rsid w:val="002474B9"/>
    <w:rsid w:val="002474F2"/>
    <w:rsid w:val="0024758A"/>
    <w:rsid w:val="002475D0"/>
    <w:rsid w:val="00247784"/>
    <w:rsid w:val="0024778A"/>
    <w:rsid w:val="0024782A"/>
    <w:rsid w:val="0024787B"/>
    <w:rsid w:val="002478AF"/>
    <w:rsid w:val="00247AB8"/>
    <w:rsid w:val="00247B18"/>
    <w:rsid w:val="00247C1E"/>
    <w:rsid w:val="00247D2E"/>
    <w:rsid w:val="00247F7B"/>
    <w:rsid w:val="00247FA1"/>
    <w:rsid w:val="00247FA2"/>
    <w:rsid w:val="00250063"/>
    <w:rsid w:val="00250261"/>
    <w:rsid w:val="002502F7"/>
    <w:rsid w:val="0025039C"/>
    <w:rsid w:val="002503AE"/>
    <w:rsid w:val="00250769"/>
    <w:rsid w:val="00250811"/>
    <w:rsid w:val="00250849"/>
    <w:rsid w:val="002508D9"/>
    <w:rsid w:val="00250905"/>
    <w:rsid w:val="002509BD"/>
    <w:rsid w:val="002509F0"/>
    <w:rsid w:val="00250D09"/>
    <w:rsid w:val="00250D77"/>
    <w:rsid w:val="00250DB1"/>
    <w:rsid w:val="00250EDE"/>
    <w:rsid w:val="00250F8C"/>
    <w:rsid w:val="002510C6"/>
    <w:rsid w:val="00251166"/>
    <w:rsid w:val="0025124C"/>
    <w:rsid w:val="002513D5"/>
    <w:rsid w:val="002514DF"/>
    <w:rsid w:val="002518B6"/>
    <w:rsid w:val="002518D2"/>
    <w:rsid w:val="002518D9"/>
    <w:rsid w:val="00251A1E"/>
    <w:rsid w:val="00251AAA"/>
    <w:rsid w:val="00251C50"/>
    <w:rsid w:val="00251CD3"/>
    <w:rsid w:val="00251D3C"/>
    <w:rsid w:val="00251E1B"/>
    <w:rsid w:val="00251E4A"/>
    <w:rsid w:val="00251F2F"/>
    <w:rsid w:val="00252082"/>
    <w:rsid w:val="002521A8"/>
    <w:rsid w:val="00252401"/>
    <w:rsid w:val="00252428"/>
    <w:rsid w:val="00252433"/>
    <w:rsid w:val="0025288B"/>
    <w:rsid w:val="00252A26"/>
    <w:rsid w:val="00252A9C"/>
    <w:rsid w:val="00252B3A"/>
    <w:rsid w:val="00252E21"/>
    <w:rsid w:val="00252EE1"/>
    <w:rsid w:val="00252F89"/>
    <w:rsid w:val="002531FB"/>
    <w:rsid w:val="00253311"/>
    <w:rsid w:val="00253316"/>
    <w:rsid w:val="00253348"/>
    <w:rsid w:val="00253547"/>
    <w:rsid w:val="00253552"/>
    <w:rsid w:val="002536FA"/>
    <w:rsid w:val="0025376E"/>
    <w:rsid w:val="00253875"/>
    <w:rsid w:val="00253A5E"/>
    <w:rsid w:val="00253AE4"/>
    <w:rsid w:val="00253C13"/>
    <w:rsid w:val="00253E19"/>
    <w:rsid w:val="002540BB"/>
    <w:rsid w:val="002541DF"/>
    <w:rsid w:val="002541E1"/>
    <w:rsid w:val="00254210"/>
    <w:rsid w:val="00254226"/>
    <w:rsid w:val="0025429C"/>
    <w:rsid w:val="002542F6"/>
    <w:rsid w:val="0025465A"/>
    <w:rsid w:val="0025467B"/>
    <w:rsid w:val="002546F4"/>
    <w:rsid w:val="00254737"/>
    <w:rsid w:val="0025473D"/>
    <w:rsid w:val="0025473F"/>
    <w:rsid w:val="00254912"/>
    <w:rsid w:val="00254B1F"/>
    <w:rsid w:val="00254C4E"/>
    <w:rsid w:val="00254D83"/>
    <w:rsid w:val="00254DE3"/>
    <w:rsid w:val="00254DFD"/>
    <w:rsid w:val="002553BE"/>
    <w:rsid w:val="0025547D"/>
    <w:rsid w:val="00255631"/>
    <w:rsid w:val="00255735"/>
    <w:rsid w:val="00255877"/>
    <w:rsid w:val="00255AE2"/>
    <w:rsid w:val="00255AE7"/>
    <w:rsid w:val="00255C19"/>
    <w:rsid w:val="00255F94"/>
    <w:rsid w:val="00255F9B"/>
    <w:rsid w:val="00256383"/>
    <w:rsid w:val="00256432"/>
    <w:rsid w:val="002564C2"/>
    <w:rsid w:val="002564F5"/>
    <w:rsid w:val="0025653F"/>
    <w:rsid w:val="002566DA"/>
    <w:rsid w:val="002568EE"/>
    <w:rsid w:val="00256CA1"/>
    <w:rsid w:val="00256CBB"/>
    <w:rsid w:val="00256E0E"/>
    <w:rsid w:val="00256EA5"/>
    <w:rsid w:val="00257152"/>
    <w:rsid w:val="002572FF"/>
    <w:rsid w:val="00257416"/>
    <w:rsid w:val="0025741A"/>
    <w:rsid w:val="002574FF"/>
    <w:rsid w:val="00257545"/>
    <w:rsid w:val="0025760F"/>
    <w:rsid w:val="002576FA"/>
    <w:rsid w:val="00257B2D"/>
    <w:rsid w:val="00257BCD"/>
    <w:rsid w:val="00257CA3"/>
    <w:rsid w:val="00257DD7"/>
    <w:rsid w:val="00257FB4"/>
    <w:rsid w:val="00260091"/>
    <w:rsid w:val="00260202"/>
    <w:rsid w:val="00260240"/>
    <w:rsid w:val="002602E0"/>
    <w:rsid w:val="00260377"/>
    <w:rsid w:val="002603BE"/>
    <w:rsid w:val="0026060F"/>
    <w:rsid w:val="00260636"/>
    <w:rsid w:val="00260726"/>
    <w:rsid w:val="002607F6"/>
    <w:rsid w:val="002608FE"/>
    <w:rsid w:val="002609E0"/>
    <w:rsid w:val="00260A63"/>
    <w:rsid w:val="00260B34"/>
    <w:rsid w:val="00260B55"/>
    <w:rsid w:val="00260DC7"/>
    <w:rsid w:val="00260DF3"/>
    <w:rsid w:val="00260E8F"/>
    <w:rsid w:val="00260EB8"/>
    <w:rsid w:val="00260EFA"/>
    <w:rsid w:val="002610B3"/>
    <w:rsid w:val="00261270"/>
    <w:rsid w:val="002612AA"/>
    <w:rsid w:val="00261447"/>
    <w:rsid w:val="002614AB"/>
    <w:rsid w:val="00261646"/>
    <w:rsid w:val="002617F0"/>
    <w:rsid w:val="00261801"/>
    <w:rsid w:val="002618DA"/>
    <w:rsid w:val="00261AC1"/>
    <w:rsid w:val="00261BD1"/>
    <w:rsid w:val="00261BD2"/>
    <w:rsid w:val="00261D43"/>
    <w:rsid w:val="00261E6B"/>
    <w:rsid w:val="00262035"/>
    <w:rsid w:val="00262197"/>
    <w:rsid w:val="00262198"/>
    <w:rsid w:val="0026219A"/>
    <w:rsid w:val="002621BE"/>
    <w:rsid w:val="002621D1"/>
    <w:rsid w:val="00262276"/>
    <w:rsid w:val="002622CE"/>
    <w:rsid w:val="002622F3"/>
    <w:rsid w:val="00262343"/>
    <w:rsid w:val="00262510"/>
    <w:rsid w:val="00262708"/>
    <w:rsid w:val="00262719"/>
    <w:rsid w:val="00262824"/>
    <w:rsid w:val="00262836"/>
    <w:rsid w:val="002629B0"/>
    <w:rsid w:val="00262A3C"/>
    <w:rsid w:val="00262B39"/>
    <w:rsid w:val="00262C29"/>
    <w:rsid w:val="00262DBA"/>
    <w:rsid w:val="00262DC3"/>
    <w:rsid w:val="00262F38"/>
    <w:rsid w:val="00262F5E"/>
    <w:rsid w:val="00263030"/>
    <w:rsid w:val="0026311D"/>
    <w:rsid w:val="002632FC"/>
    <w:rsid w:val="0026332A"/>
    <w:rsid w:val="00263332"/>
    <w:rsid w:val="002634C8"/>
    <w:rsid w:val="002634CF"/>
    <w:rsid w:val="0026359E"/>
    <w:rsid w:val="00263988"/>
    <w:rsid w:val="00263AEA"/>
    <w:rsid w:val="00263C48"/>
    <w:rsid w:val="00263E64"/>
    <w:rsid w:val="00263EDB"/>
    <w:rsid w:val="00263F96"/>
    <w:rsid w:val="00263FEF"/>
    <w:rsid w:val="0026415F"/>
    <w:rsid w:val="00264398"/>
    <w:rsid w:val="002643FE"/>
    <w:rsid w:val="00264602"/>
    <w:rsid w:val="00264870"/>
    <w:rsid w:val="0026488E"/>
    <w:rsid w:val="002649CC"/>
    <w:rsid w:val="00264A98"/>
    <w:rsid w:val="00264FCC"/>
    <w:rsid w:val="00265243"/>
    <w:rsid w:val="00265263"/>
    <w:rsid w:val="00265396"/>
    <w:rsid w:val="00265403"/>
    <w:rsid w:val="002654EC"/>
    <w:rsid w:val="00265637"/>
    <w:rsid w:val="002656D8"/>
    <w:rsid w:val="0026573F"/>
    <w:rsid w:val="002657D8"/>
    <w:rsid w:val="002658AF"/>
    <w:rsid w:val="002659DA"/>
    <w:rsid w:val="00265AC0"/>
    <w:rsid w:val="00265B58"/>
    <w:rsid w:val="00265BD8"/>
    <w:rsid w:val="00265BDC"/>
    <w:rsid w:val="00265CF3"/>
    <w:rsid w:val="00265EC2"/>
    <w:rsid w:val="00265F1A"/>
    <w:rsid w:val="00265FAC"/>
    <w:rsid w:val="0026605C"/>
    <w:rsid w:val="002660A4"/>
    <w:rsid w:val="00266162"/>
    <w:rsid w:val="00266215"/>
    <w:rsid w:val="002663C6"/>
    <w:rsid w:val="00266416"/>
    <w:rsid w:val="0026679D"/>
    <w:rsid w:val="00266BE7"/>
    <w:rsid w:val="00266F16"/>
    <w:rsid w:val="00266F3B"/>
    <w:rsid w:val="00267069"/>
    <w:rsid w:val="002671BF"/>
    <w:rsid w:val="00267248"/>
    <w:rsid w:val="00267507"/>
    <w:rsid w:val="00267782"/>
    <w:rsid w:val="002677A2"/>
    <w:rsid w:val="002677C4"/>
    <w:rsid w:val="00267878"/>
    <w:rsid w:val="00267880"/>
    <w:rsid w:val="002679B1"/>
    <w:rsid w:val="002679D9"/>
    <w:rsid w:val="00267A41"/>
    <w:rsid w:val="00267A87"/>
    <w:rsid w:val="00267B6D"/>
    <w:rsid w:val="00267B6F"/>
    <w:rsid w:val="00267E4D"/>
    <w:rsid w:val="00267E75"/>
    <w:rsid w:val="00267F2E"/>
    <w:rsid w:val="002701F6"/>
    <w:rsid w:val="0027042A"/>
    <w:rsid w:val="00270468"/>
    <w:rsid w:val="00270593"/>
    <w:rsid w:val="002705D0"/>
    <w:rsid w:val="002708FD"/>
    <w:rsid w:val="0027091A"/>
    <w:rsid w:val="002709A3"/>
    <w:rsid w:val="002709E5"/>
    <w:rsid w:val="00270B21"/>
    <w:rsid w:val="00270B5F"/>
    <w:rsid w:val="00270B8A"/>
    <w:rsid w:val="00270E5F"/>
    <w:rsid w:val="00270ED8"/>
    <w:rsid w:val="00271019"/>
    <w:rsid w:val="00271217"/>
    <w:rsid w:val="00271439"/>
    <w:rsid w:val="002714AD"/>
    <w:rsid w:val="0027162B"/>
    <w:rsid w:val="00271697"/>
    <w:rsid w:val="00271887"/>
    <w:rsid w:val="00271BC7"/>
    <w:rsid w:val="00271C88"/>
    <w:rsid w:val="00271D96"/>
    <w:rsid w:val="00271DBC"/>
    <w:rsid w:val="00271F7C"/>
    <w:rsid w:val="0027204C"/>
    <w:rsid w:val="002721B4"/>
    <w:rsid w:val="002722E6"/>
    <w:rsid w:val="002724C0"/>
    <w:rsid w:val="002725DD"/>
    <w:rsid w:val="002726B8"/>
    <w:rsid w:val="00272892"/>
    <w:rsid w:val="002728B2"/>
    <w:rsid w:val="00272A1F"/>
    <w:rsid w:val="00272A79"/>
    <w:rsid w:val="00272CA4"/>
    <w:rsid w:val="00272DF9"/>
    <w:rsid w:val="00272E30"/>
    <w:rsid w:val="00272F72"/>
    <w:rsid w:val="002730F8"/>
    <w:rsid w:val="0027326F"/>
    <w:rsid w:val="002735BA"/>
    <w:rsid w:val="002737D2"/>
    <w:rsid w:val="00273AE8"/>
    <w:rsid w:val="00273C83"/>
    <w:rsid w:val="00273CBA"/>
    <w:rsid w:val="00273DA2"/>
    <w:rsid w:val="00273EF0"/>
    <w:rsid w:val="00273F25"/>
    <w:rsid w:val="00273F87"/>
    <w:rsid w:val="00273FDA"/>
    <w:rsid w:val="0027403F"/>
    <w:rsid w:val="0027406E"/>
    <w:rsid w:val="00274198"/>
    <w:rsid w:val="00274266"/>
    <w:rsid w:val="002742EB"/>
    <w:rsid w:val="0027430F"/>
    <w:rsid w:val="00274319"/>
    <w:rsid w:val="00274479"/>
    <w:rsid w:val="002745CC"/>
    <w:rsid w:val="00274689"/>
    <w:rsid w:val="00274825"/>
    <w:rsid w:val="00274950"/>
    <w:rsid w:val="0027495F"/>
    <w:rsid w:val="00274B5E"/>
    <w:rsid w:val="00274E66"/>
    <w:rsid w:val="00275062"/>
    <w:rsid w:val="002756EF"/>
    <w:rsid w:val="00275823"/>
    <w:rsid w:val="0027585B"/>
    <w:rsid w:val="00275879"/>
    <w:rsid w:val="00275887"/>
    <w:rsid w:val="002759D4"/>
    <w:rsid w:val="00275C2E"/>
    <w:rsid w:val="00275C7B"/>
    <w:rsid w:val="00275E3A"/>
    <w:rsid w:val="00275E99"/>
    <w:rsid w:val="002761ED"/>
    <w:rsid w:val="002762B8"/>
    <w:rsid w:val="00276323"/>
    <w:rsid w:val="00276377"/>
    <w:rsid w:val="0027639D"/>
    <w:rsid w:val="00276479"/>
    <w:rsid w:val="00276526"/>
    <w:rsid w:val="00276540"/>
    <w:rsid w:val="0027664F"/>
    <w:rsid w:val="00276775"/>
    <w:rsid w:val="002767C9"/>
    <w:rsid w:val="002767ED"/>
    <w:rsid w:val="002768F3"/>
    <w:rsid w:val="002769E6"/>
    <w:rsid w:val="00276A3E"/>
    <w:rsid w:val="00276B56"/>
    <w:rsid w:val="00276DCC"/>
    <w:rsid w:val="00276FB0"/>
    <w:rsid w:val="002770DB"/>
    <w:rsid w:val="00277178"/>
    <w:rsid w:val="0027717C"/>
    <w:rsid w:val="00277230"/>
    <w:rsid w:val="0027741E"/>
    <w:rsid w:val="002774E1"/>
    <w:rsid w:val="002774E4"/>
    <w:rsid w:val="002774EE"/>
    <w:rsid w:val="00277608"/>
    <w:rsid w:val="00277638"/>
    <w:rsid w:val="0027781D"/>
    <w:rsid w:val="0027787C"/>
    <w:rsid w:val="0027790C"/>
    <w:rsid w:val="00277ACB"/>
    <w:rsid w:val="00277AFB"/>
    <w:rsid w:val="00277C73"/>
    <w:rsid w:val="00277C7F"/>
    <w:rsid w:val="00277CE5"/>
    <w:rsid w:val="00277D9A"/>
    <w:rsid w:val="00277DDD"/>
    <w:rsid w:val="00277EAC"/>
    <w:rsid w:val="00277F6E"/>
    <w:rsid w:val="002803BA"/>
    <w:rsid w:val="002803F0"/>
    <w:rsid w:val="00280427"/>
    <w:rsid w:val="00280891"/>
    <w:rsid w:val="00280A48"/>
    <w:rsid w:val="00280A9D"/>
    <w:rsid w:val="00280B92"/>
    <w:rsid w:val="00280CA4"/>
    <w:rsid w:val="00280D2B"/>
    <w:rsid w:val="00280D97"/>
    <w:rsid w:val="00280DF2"/>
    <w:rsid w:val="00281115"/>
    <w:rsid w:val="0028112C"/>
    <w:rsid w:val="00281213"/>
    <w:rsid w:val="00281228"/>
    <w:rsid w:val="0028168F"/>
    <w:rsid w:val="0028170D"/>
    <w:rsid w:val="002817B0"/>
    <w:rsid w:val="002819B4"/>
    <w:rsid w:val="00281BB1"/>
    <w:rsid w:val="00281C2E"/>
    <w:rsid w:val="00281D80"/>
    <w:rsid w:val="00281EAE"/>
    <w:rsid w:val="002822FB"/>
    <w:rsid w:val="0028268F"/>
    <w:rsid w:val="002826FB"/>
    <w:rsid w:val="00282786"/>
    <w:rsid w:val="002827DA"/>
    <w:rsid w:val="00282880"/>
    <w:rsid w:val="00282921"/>
    <w:rsid w:val="00282934"/>
    <w:rsid w:val="00282B54"/>
    <w:rsid w:val="00282CFE"/>
    <w:rsid w:val="00282D2F"/>
    <w:rsid w:val="00282E6E"/>
    <w:rsid w:val="00282EB8"/>
    <w:rsid w:val="00282ED0"/>
    <w:rsid w:val="00283173"/>
    <w:rsid w:val="00283443"/>
    <w:rsid w:val="002836F0"/>
    <w:rsid w:val="002837CB"/>
    <w:rsid w:val="00283B37"/>
    <w:rsid w:val="00283CFB"/>
    <w:rsid w:val="00283DF5"/>
    <w:rsid w:val="00283F3A"/>
    <w:rsid w:val="00283FBE"/>
    <w:rsid w:val="002841BF"/>
    <w:rsid w:val="002842A2"/>
    <w:rsid w:val="002842B5"/>
    <w:rsid w:val="0028442D"/>
    <w:rsid w:val="00284482"/>
    <w:rsid w:val="002844CA"/>
    <w:rsid w:val="002845D0"/>
    <w:rsid w:val="00284769"/>
    <w:rsid w:val="0028493A"/>
    <w:rsid w:val="00284A10"/>
    <w:rsid w:val="00284B11"/>
    <w:rsid w:val="00284C53"/>
    <w:rsid w:val="00284D5A"/>
    <w:rsid w:val="00284D70"/>
    <w:rsid w:val="00284DBB"/>
    <w:rsid w:val="00284E54"/>
    <w:rsid w:val="00284EA2"/>
    <w:rsid w:val="00284F0D"/>
    <w:rsid w:val="00285020"/>
    <w:rsid w:val="0028505F"/>
    <w:rsid w:val="0028525C"/>
    <w:rsid w:val="002852F6"/>
    <w:rsid w:val="002854BA"/>
    <w:rsid w:val="002855C7"/>
    <w:rsid w:val="002855CA"/>
    <w:rsid w:val="0028560C"/>
    <w:rsid w:val="00285A27"/>
    <w:rsid w:val="00285CDF"/>
    <w:rsid w:val="00285DB6"/>
    <w:rsid w:val="00285E81"/>
    <w:rsid w:val="00285EB9"/>
    <w:rsid w:val="00285EE6"/>
    <w:rsid w:val="00286020"/>
    <w:rsid w:val="002860A1"/>
    <w:rsid w:val="002860B3"/>
    <w:rsid w:val="00286106"/>
    <w:rsid w:val="00286182"/>
    <w:rsid w:val="00286198"/>
    <w:rsid w:val="002862F0"/>
    <w:rsid w:val="002864FB"/>
    <w:rsid w:val="00286528"/>
    <w:rsid w:val="0028660E"/>
    <w:rsid w:val="002867A0"/>
    <w:rsid w:val="0028685B"/>
    <w:rsid w:val="0028687B"/>
    <w:rsid w:val="002869F6"/>
    <w:rsid w:val="00286A25"/>
    <w:rsid w:val="00286C27"/>
    <w:rsid w:val="00286C8A"/>
    <w:rsid w:val="00286CB7"/>
    <w:rsid w:val="00286CD2"/>
    <w:rsid w:val="00286E02"/>
    <w:rsid w:val="00286E6E"/>
    <w:rsid w:val="00286EC6"/>
    <w:rsid w:val="00286F2B"/>
    <w:rsid w:val="00287270"/>
    <w:rsid w:val="002872C0"/>
    <w:rsid w:val="002873C1"/>
    <w:rsid w:val="0028742F"/>
    <w:rsid w:val="00287475"/>
    <w:rsid w:val="00287717"/>
    <w:rsid w:val="002878E2"/>
    <w:rsid w:val="002879EC"/>
    <w:rsid w:val="00287C33"/>
    <w:rsid w:val="00287CCB"/>
    <w:rsid w:val="00287D5C"/>
    <w:rsid w:val="00287DB5"/>
    <w:rsid w:val="002900A2"/>
    <w:rsid w:val="00290194"/>
    <w:rsid w:val="002904E6"/>
    <w:rsid w:val="002905DE"/>
    <w:rsid w:val="00290713"/>
    <w:rsid w:val="00290850"/>
    <w:rsid w:val="00290864"/>
    <w:rsid w:val="00290963"/>
    <w:rsid w:val="00290A3A"/>
    <w:rsid w:val="00290B38"/>
    <w:rsid w:val="00290BEB"/>
    <w:rsid w:val="00290CC0"/>
    <w:rsid w:val="00290F4C"/>
    <w:rsid w:val="0029110D"/>
    <w:rsid w:val="00291252"/>
    <w:rsid w:val="0029126D"/>
    <w:rsid w:val="00291304"/>
    <w:rsid w:val="002913F4"/>
    <w:rsid w:val="00291577"/>
    <w:rsid w:val="00291A00"/>
    <w:rsid w:val="00291A4E"/>
    <w:rsid w:val="00291CF8"/>
    <w:rsid w:val="00291DFA"/>
    <w:rsid w:val="00291EA2"/>
    <w:rsid w:val="00292047"/>
    <w:rsid w:val="002922A4"/>
    <w:rsid w:val="00292384"/>
    <w:rsid w:val="002925AC"/>
    <w:rsid w:val="0029273C"/>
    <w:rsid w:val="00292762"/>
    <w:rsid w:val="0029279C"/>
    <w:rsid w:val="002928E6"/>
    <w:rsid w:val="00292B02"/>
    <w:rsid w:val="00292C35"/>
    <w:rsid w:val="00292CBF"/>
    <w:rsid w:val="00292D29"/>
    <w:rsid w:val="00292DB7"/>
    <w:rsid w:val="00292E1D"/>
    <w:rsid w:val="00292F42"/>
    <w:rsid w:val="00293224"/>
    <w:rsid w:val="002932ED"/>
    <w:rsid w:val="00293455"/>
    <w:rsid w:val="002934BB"/>
    <w:rsid w:val="00293744"/>
    <w:rsid w:val="002938E6"/>
    <w:rsid w:val="00293BB3"/>
    <w:rsid w:val="00293D41"/>
    <w:rsid w:val="00293F71"/>
    <w:rsid w:val="00293F7A"/>
    <w:rsid w:val="00294050"/>
    <w:rsid w:val="00294112"/>
    <w:rsid w:val="0029416C"/>
    <w:rsid w:val="002941B3"/>
    <w:rsid w:val="00294538"/>
    <w:rsid w:val="00294791"/>
    <w:rsid w:val="0029485C"/>
    <w:rsid w:val="00294AF3"/>
    <w:rsid w:val="00294B89"/>
    <w:rsid w:val="00294DF7"/>
    <w:rsid w:val="00294E13"/>
    <w:rsid w:val="00294E8E"/>
    <w:rsid w:val="00294E95"/>
    <w:rsid w:val="00294F9B"/>
    <w:rsid w:val="002950F5"/>
    <w:rsid w:val="002951F5"/>
    <w:rsid w:val="002952A7"/>
    <w:rsid w:val="00295345"/>
    <w:rsid w:val="0029536A"/>
    <w:rsid w:val="002953CE"/>
    <w:rsid w:val="002953E2"/>
    <w:rsid w:val="00295471"/>
    <w:rsid w:val="002954CA"/>
    <w:rsid w:val="00295710"/>
    <w:rsid w:val="00295919"/>
    <w:rsid w:val="00295A04"/>
    <w:rsid w:val="00295BA5"/>
    <w:rsid w:val="00295C6F"/>
    <w:rsid w:val="00295C84"/>
    <w:rsid w:val="00295CD8"/>
    <w:rsid w:val="00295CEF"/>
    <w:rsid w:val="00295DD5"/>
    <w:rsid w:val="00295E57"/>
    <w:rsid w:val="00295F6E"/>
    <w:rsid w:val="0029600E"/>
    <w:rsid w:val="00296044"/>
    <w:rsid w:val="0029616E"/>
    <w:rsid w:val="00296337"/>
    <w:rsid w:val="002963C6"/>
    <w:rsid w:val="00296410"/>
    <w:rsid w:val="00296416"/>
    <w:rsid w:val="0029644D"/>
    <w:rsid w:val="00296476"/>
    <w:rsid w:val="00296527"/>
    <w:rsid w:val="002965EF"/>
    <w:rsid w:val="0029673A"/>
    <w:rsid w:val="0029684A"/>
    <w:rsid w:val="00296986"/>
    <w:rsid w:val="002969F0"/>
    <w:rsid w:val="00296AC1"/>
    <w:rsid w:val="00296B9B"/>
    <w:rsid w:val="00296C82"/>
    <w:rsid w:val="00296D00"/>
    <w:rsid w:val="00296E00"/>
    <w:rsid w:val="00296F57"/>
    <w:rsid w:val="00296F8B"/>
    <w:rsid w:val="00297077"/>
    <w:rsid w:val="002971D6"/>
    <w:rsid w:val="002973BA"/>
    <w:rsid w:val="002973C3"/>
    <w:rsid w:val="00297851"/>
    <w:rsid w:val="002978C0"/>
    <w:rsid w:val="00297ACE"/>
    <w:rsid w:val="00297B8B"/>
    <w:rsid w:val="00297CCB"/>
    <w:rsid w:val="00297D05"/>
    <w:rsid w:val="00297D2C"/>
    <w:rsid w:val="00297FFB"/>
    <w:rsid w:val="002A0111"/>
    <w:rsid w:val="002A03DC"/>
    <w:rsid w:val="002A0468"/>
    <w:rsid w:val="002A0499"/>
    <w:rsid w:val="002A04FB"/>
    <w:rsid w:val="002A0512"/>
    <w:rsid w:val="002A05E0"/>
    <w:rsid w:val="002A069C"/>
    <w:rsid w:val="002A0818"/>
    <w:rsid w:val="002A0A5D"/>
    <w:rsid w:val="002A0C95"/>
    <w:rsid w:val="002A0CBC"/>
    <w:rsid w:val="002A0D1B"/>
    <w:rsid w:val="002A0EA4"/>
    <w:rsid w:val="002A132A"/>
    <w:rsid w:val="002A149D"/>
    <w:rsid w:val="002A1505"/>
    <w:rsid w:val="002A1696"/>
    <w:rsid w:val="002A1725"/>
    <w:rsid w:val="002A1824"/>
    <w:rsid w:val="002A194E"/>
    <w:rsid w:val="002A1A47"/>
    <w:rsid w:val="002A1AA4"/>
    <w:rsid w:val="002A1B6E"/>
    <w:rsid w:val="002A1E32"/>
    <w:rsid w:val="002A1E4B"/>
    <w:rsid w:val="002A1F0C"/>
    <w:rsid w:val="002A1F35"/>
    <w:rsid w:val="002A1FA2"/>
    <w:rsid w:val="002A20DB"/>
    <w:rsid w:val="002A215D"/>
    <w:rsid w:val="002A22FC"/>
    <w:rsid w:val="002A242F"/>
    <w:rsid w:val="002A246B"/>
    <w:rsid w:val="002A24E3"/>
    <w:rsid w:val="002A2732"/>
    <w:rsid w:val="002A2B7F"/>
    <w:rsid w:val="002A2C0D"/>
    <w:rsid w:val="002A2E8A"/>
    <w:rsid w:val="002A2FD4"/>
    <w:rsid w:val="002A3021"/>
    <w:rsid w:val="002A305A"/>
    <w:rsid w:val="002A30EA"/>
    <w:rsid w:val="002A318A"/>
    <w:rsid w:val="002A31FB"/>
    <w:rsid w:val="002A321C"/>
    <w:rsid w:val="002A323A"/>
    <w:rsid w:val="002A32C5"/>
    <w:rsid w:val="002A34A0"/>
    <w:rsid w:val="002A34B7"/>
    <w:rsid w:val="002A3733"/>
    <w:rsid w:val="002A37F7"/>
    <w:rsid w:val="002A37F8"/>
    <w:rsid w:val="002A3872"/>
    <w:rsid w:val="002A3A07"/>
    <w:rsid w:val="002A3AEF"/>
    <w:rsid w:val="002A3B50"/>
    <w:rsid w:val="002A3B5E"/>
    <w:rsid w:val="002A3C93"/>
    <w:rsid w:val="002A3DAB"/>
    <w:rsid w:val="002A3EBF"/>
    <w:rsid w:val="002A3F05"/>
    <w:rsid w:val="002A3F6D"/>
    <w:rsid w:val="002A40E2"/>
    <w:rsid w:val="002A410E"/>
    <w:rsid w:val="002A41A8"/>
    <w:rsid w:val="002A425D"/>
    <w:rsid w:val="002A439E"/>
    <w:rsid w:val="002A43FA"/>
    <w:rsid w:val="002A4422"/>
    <w:rsid w:val="002A4444"/>
    <w:rsid w:val="002A4463"/>
    <w:rsid w:val="002A44AE"/>
    <w:rsid w:val="002A44F8"/>
    <w:rsid w:val="002A46E3"/>
    <w:rsid w:val="002A4752"/>
    <w:rsid w:val="002A477D"/>
    <w:rsid w:val="002A47B6"/>
    <w:rsid w:val="002A4860"/>
    <w:rsid w:val="002A48EB"/>
    <w:rsid w:val="002A4A0C"/>
    <w:rsid w:val="002A4B6D"/>
    <w:rsid w:val="002A4C27"/>
    <w:rsid w:val="002A4CFC"/>
    <w:rsid w:val="002A4D53"/>
    <w:rsid w:val="002A4F65"/>
    <w:rsid w:val="002A52A4"/>
    <w:rsid w:val="002A52E2"/>
    <w:rsid w:val="002A5431"/>
    <w:rsid w:val="002A546F"/>
    <w:rsid w:val="002A5756"/>
    <w:rsid w:val="002A580C"/>
    <w:rsid w:val="002A5812"/>
    <w:rsid w:val="002A5AEC"/>
    <w:rsid w:val="002A5C4F"/>
    <w:rsid w:val="002A5CDB"/>
    <w:rsid w:val="002A5CE1"/>
    <w:rsid w:val="002A5D9C"/>
    <w:rsid w:val="002A5F08"/>
    <w:rsid w:val="002A5FFA"/>
    <w:rsid w:val="002A600C"/>
    <w:rsid w:val="002A609D"/>
    <w:rsid w:val="002A61D8"/>
    <w:rsid w:val="002A63C9"/>
    <w:rsid w:val="002A640D"/>
    <w:rsid w:val="002A642D"/>
    <w:rsid w:val="002A6473"/>
    <w:rsid w:val="002A652C"/>
    <w:rsid w:val="002A65E1"/>
    <w:rsid w:val="002A6690"/>
    <w:rsid w:val="002A67E8"/>
    <w:rsid w:val="002A68F6"/>
    <w:rsid w:val="002A69CA"/>
    <w:rsid w:val="002A69CE"/>
    <w:rsid w:val="002A6A82"/>
    <w:rsid w:val="002A6AA2"/>
    <w:rsid w:val="002A6B8F"/>
    <w:rsid w:val="002A6DC4"/>
    <w:rsid w:val="002A6E9F"/>
    <w:rsid w:val="002A6F40"/>
    <w:rsid w:val="002A728B"/>
    <w:rsid w:val="002A74D3"/>
    <w:rsid w:val="002A757F"/>
    <w:rsid w:val="002A75AC"/>
    <w:rsid w:val="002A767B"/>
    <w:rsid w:val="002A7721"/>
    <w:rsid w:val="002A7849"/>
    <w:rsid w:val="002A7A4C"/>
    <w:rsid w:val="002A7B26"/>
    <w:rsid w:val="002B003A"/>
    <w:rsid w:val="002B0106"/>
    <w:rsid w:val="002B02E4"/>
    <w:rsid w:val="002B03C6"/>
    <w:rsid w:val="002B04C4"/>
    <w:rsid w:val="002B04E6"/>
    <w:rsid w:val="002B0590"/>
    <w:rsid w:val="002B0593"/>
    <w:rsid w:val="002B0719"/>
    <w:rsid w:val="002B071A"/>
    <w:rsid w:val="002B093C"/>
    <w:rsid w:val="002B0943"/>
    <w:rsid w:val="002B09BE"/>
    <w:rsid w:val="002B0B3B"/>
    <w:rsid w:val="002B0BF1"/>
    <w:rsid w:val="002B0D83"/>
    <w:rsid w:val="002B0DD1"/>
    <w:rsid w:val="002B0F73"/>
    <w:rsid w:val="002B11FE"/>
    <w:rsid w:val="002B13D5"/>
    <w:rsid w:val="002B150C"/>
    <w:rsid w:val="002B162F"/>
    <w:rsid w:val="002B17D1"/>
    <w:rsid w:val="002B19BE"/>
    <w:rsid w:val="002B19D8"/>
    <w:rsid w:val="002B1AB6"/>
    <w:rsid w:val="002B1B33"/>
    <w:rsid w:val="002B1CBD"/>
    <w:rsid w:val="002B1CE1"/>
    <w:rsid w:val="002B1CEA"/>
    <w:rsid w:val="002B1DFD"/>
    <w:rsid w:val="002B1FCF"/>
    <w:rsid w:val="002B1FD5"/>
    <w:rsid w:val="002B205F"/>
    <w:rsid w:val="002B207B"/>
    <w:rsid w:val="002B2695"/>
    <w:rsid w:val="002B28AE"/>
    <w:rsid w:val="002B28BC"/>
    <w:rsid w:val="002B29E3"/>
    <w:rsid w:val="002B2A39"/>
    <w:rsid w:val="002B2AB3"/>
    <w:rsid w:val="002B2B8D"/>
    <w:rsid w:val="002B2BF9"/>
    <w:rsid w:val="002B2CA5"/>
    <w:rsid w:val="002B2D82"/>
    <w:rsid w:val="002B2DA0"/>
    <w:rsid w:val="002B2DE9"/>
    <w:rsid w:val="002B2F98"/>
    <w:rsid w:val="002B3056"/>
    <w:rsid w:val="002B3185"/>
    <w:rsid w:val="002B31E0"/>
    <w:rsid w:val="002B3371"/>
    <w:rsid w:val="002B347B"/>
    <w:rsid w:val="002B3620"/>
    <w:rsid w:val="002B3678"/>
    <w:rsid w:val="002B3701"/>
    <w:rsid w:val="002B3976"/>
    <w:rsid w:val="002B3AB3"/>
    <w:rsid w:val="002B3CCE"/>
    <w:rsid w:val="002B3D05"/>
    <w:rsid w:val="002B3DA0"/>
    <w:rsid w:val="002B3E08"/>
    <w:rsid w:val="002B3FA4"/>
    <w:rsid w:val="002B43AF"/>
    <w:rsid w:val="002B462E"/>
    <w:rsid w:val="002B464C"/>
    <w:rsid w:val="002B46DB"/>
    <w:rsid w:val="002B4822"/>
    <w:rsid w:val="002B4847"/>
    <w:rsid w:val="002B4853"/>
    <w:rsid w:val="002B4BB9"/>
    <w:rsid w:val="002B4BC5"/>
    <w:rsid w:val="002B4C2E"/>
    <w:rsid w:val="002B4CAE"/>
    <w:rsid w:val="002B4F82"/>
    <w:rsid w:val="002B5123"/>
    <w:rsid w:val="002B52A4"/>
    <w:rsid w:val="002B55A1"/>
    <w:rsid w:val="002B55DA"/>
    <w:rsid w:val="002B576B"/>
    <w:rsid w:val="002B5815"/>
    <w:rsid w:val="002B5A09"/>
    <w:rsid w:val="002B5A45"/>
    <w:rsid w:val="002B5A91"/>
    <w:rsid w:val="002B5C15"/>
    <w:rsid w:val="002B6046"/>
    <w:rsid w:val="002B6459"/>
    <w:rsid w:val="002B65BB"/>
    <w:rsid w:val="002B6602"/>
    <w:rsid w:val="002B6661"/>
    <w:rsid w:val="002B66A7"/>
    <w:rsid w:val="002B684E"/>
    <w:rsid w:val="002B68AF"/>
    <w:rsid w:val="002B6C8A"/>
    <w:rsid w:val="002B6F26"/>
    <w:rsid w:val="002B6FE8"/>
    <w:rsid w:val="002B707C"/>
    <w:rsid w:val="002B70F3"/>
    <w:rsid w:val="002B72AE"/>
    <w:rsid w:val="002B7370"/>
    <w:rsid w:val="002B739C"/>
    <w:rsid w:val="002B73D3"/>
    <w:rsid w:val="002B73F7"/>
    <w:rsid w:val="002B74C4"/>
    <w:rsid w:val="002B7514"/>
    <w:rsid w:val="002B7AAB"/>
    <w:rsid w:val="002B7AB8"/>
    <w:rsid w:val="002B7BE0"/>
    <w:rsid w:val="002B7C29"/>
    <w:rsid w:val="002B7CF4"/>
    <w:rsid w:val="002B7D14"/>
    <w:rsid w:val="002B7D5C"/>
    <w:rsid w:val="002C03EF"/>
    <w:rsid w:val="002C040C"/>
    <w:rsid w:val="002C0456"/>
    <w:rsid w:val="002C04D6"/>
    <w:rsid w:val="002C068E"/>
    <w:rsid w:val="002C07A3"/>
    <w:rsid w:val="002C07AD"/>
    <w:rsid w:val="002C07C7"/>
    <w:rsid w:val="002C07CB"/>
    <w:rsid w:val="002C07CF"/>
    <w:rsid w:val="002C090D"/>
    <w:rsid w:val="002C09FB"/>
    <w:rsid w:val="002C0BCC"/>
    <w:rsid w:val="002C0CD6"/>
    <w:rsid w:val="002C0D26"/>
    <w:rsid w:val="002C0D5F"/>
    <w:rsid w:val="002C0D65"/>
    <w:rsid w:val="002C110F"/>
    <w:rsid w:val="002C1161"/>
    <w:rsid w:val="002C14EC"/>
    <w:rsid w:val="002C154C"/>
    <w:rsid w:val="002C1590"/>
    <w:rsid w:val="002C186B"/>
    <w:rsid w:val="002C19EB"/>
    <w:rsid w:val="002C1A49"/>
    <w:rsid w:val="002C1B06"/>
    <w:rsid w:val="002C1B3F"/>
    <w:rsid w:val="002C1B5A"/>
    <w:rsid w:val="002C1C10"/>
    <w:rsid w:val="002C1D54"/>
    <w:rsid w:val="002C2267"/>
    <w:rsid w:val="002C2405"/>
    <w:rsid w:val="002C248C"/>
    <w:rsid w:val="002C2534"/>
    <w:rsid w:val="002C25D6"/>
    <w:rsid w:val="002C26E2"/>
    <w:rsid w:val="002C2753"/>
    <w:rsid w:val="002C27F5"/>
    <w:rsid w:val="002C27FE"/>
    <w:rsid w:val="002C2BF9"/>
    <w:rsid w:val="002C2DD2"/>
    <w:rsid w:val="002C2E26"/>
    <w:rsid w:val="002C2E75"/>
    <w:rsid w:val="002C2EBE"/>
    <w:rsid w:val="002C2F74"/>
    <w:rsid w:val="002C2FE8"/>
    <w:rsid w:val="002C3089"/>
    <w:rsid w:val="002C317E"/>
    <w:rsid w:val="002C320F"/>
    <w:rsid w:val="002C3390"/>
    <w:rsid w:val="002C34ED"/>
    <w:rsid w:val="002C34F1"/>
    <w:rsid w:val="002C36A1"/>
    <w:rsid w:val="002C3799"/>
    <w:rsid w:val="002C37E7"/>
    <w:rsid w:val="002C3866"/>
    <w:rsid w:val="002C39B1"/>
    <w:rsid w:val="002C39D2"/>
    <w:rsid w:val="002C3AEB"/>
    <w:rsid w:val="002C3B39"/>
    <w:rsid w:val="002C3CD3"/>
    <w:rsid w:val="002C3D30"/>
    <w:rsid w:val="002C40F7"/>
    <w:rsid w:val="002C42B5"/>
    <w:rsid w:val="002C4539"/>
    <w:rsid w:val="002C46AC"/>
    <w:rsid w:val="002C4855"/>
    <w:rsid w:val="002C4A6E"/>
    <w:rsid w:val="002C4BB2"/>
    <w:rsid w:val="002C4C41"/>
    <w:rsid w:val="002C4E12"/>
    <w:rsid w:val="002C4F9A"/>
    <w:rsid w:val="002C5037"/>
    <w:rsid w:val="002C505A"/>
    <w:rsid w:val="002C5168"/>
    <w:rsid w:val="002C524C"/>
    <w:rsid w:val="002C5307"/>
    <w:rsid w:val="002C546C"/>
    <w:rsid w:val="002C54F9"/>
    <w:rsid w:val="002C5649"/>
    <w:rsid w:val="002C576F"/>
    <w:rsid w:val="002C57E3"/>
    <w:rsid w:val="002C5E28"/>
    <w:rsid w:val="002C5FF1"/>
    <w:rsid w:val="002C6095"/>
    <w:rsid w:val="002C60E4"/>
    <w:rsid w:val="002C61F7"/>
    <w:rsid w:val="002C622A"/>
    <w:rsid w:val="002C6300"/>
    <w:rsid w:val="002C6363"/>
    <w:rsid w:val="002C656F"/>
    <w:rsid w:val="002C67BF"/>
    <w:rsid w:val="002C67EB"/>
    <w:rsid w:val="002C688A"/>
    <w:rsid w:val="002C6891"/>
    <w:rsid w:val="002C6969"/>
    <w:rsid w:val="002C6B0F"/>
    <w:rsid w:val="002C6B65"/>
    <w:rsid w:val="002C6E6E"/>
    <w:rsid w:val="002C706D"/>
    <w:rsid w:val="002C71B0"/>
    <w:rsid w:val="002C7228"/>
    <w:rsid w:val="002C7248"/>
    <w:rsid w:val="002C73C6"/>
    <w:rsid w:val="002C747C"/>
    <w:rsid w:val="002C749E"/>
    <w:rsid w:val="002C7690"/>
    <w:rsid w:val="002C776C"/>
    <w:rsid w:val="002C77D1"/>
    <w:rsid w:val="002C7867"/>
    <w:rsid w:val="002C7BC1"/>
    <w:rsid w:val="002C7D86"/>
    <w:rsid w:val="002C7EF2"/>
    <w:rsid w:val="002C7F3B"/>
    <w:rsid w:val="002D00B5"/>
    <w:rsid w:val="002D0194"/>
    <w:rsid w:val="002D0299"/>
    <w:rsid w:val="002D04E1"/>
    <w:rsid w:val="002D0517"/>
    <w:rsid w:val="002D0674"/>
    <w:rsid w:val="002D08BE"/>
    <w:rsid w:val="002D08D5"/>
    <w:rsid w:val="002D0918"/>
    <w:rsid w:val="002D0B80"/>
    <w:rsid w:val="002D0CD4"/>
    <w:rsid w:val="002D0DD1"/>
    <w:rsid w:val="002D0F7F"/>
    <w:rsid w:val="002D10D9"/>
    <w:rsid w:val="002D10F5"/>
    <w:rsid w:val="002D11CC"/>
    <w:rsid w:val="002D1281"/>
    <w:rsid w:val="002D12CD"/>
    <w:rsid w:val="002D1407"/>
    <w:rsid w:val="002D153C"/>
    <w:rsid w:val="002D1584"/>
    <w:rsid w:val="002D16C4"/>
    <w:rsid w:val="002D16DF"/>
    <w:rsid w:val="002D18C9"/>
    <w:rsid w:val="002D19EB"/>
    <w:rsid w:val="002D1ABD"/>
    <w:rsid w:val="002D1D49"/>
    <w:rsid w:val="002D1DAF"/>
    <w:rsid w:val="002D1DD6"/>
    <w:rsid w:val="002D1F14"/>
    <w:rsid w:val="002D1FD2"/>
    <w:rsid w:val="002D223E"/>
    <w:rsid w:val="002D277E"/>
    <w:rsid w:val="002D28FB"/>
    <w:rsid w:val="002D2909"/>
    <w:rsid w:val="002D299A"/>
    <w:rsid w:val="002D2ACE"/>
    <w:rsid w:val="002D2BD4"/>
    <w:rsid w:val="002D2C6A"/>
    <w:rsid w:val="002D2C73"/>
    <w:rsid w:val="002D2CFA"/>
    <w:rsid w:val="002D32D0"/>
    <w:rsid w:val="002D32D8"/>
    <w:rsid w:val="002D37BF"/>
    <w:rsid w:val="002D381D"/>
    <w:rsid w:val="002D3834"/>
    <w:rsid w:val="002D384B"/>
    <w:rsid w:val="002D39E1"/>
    <w:rsid w:val="002D3B20"/>
    <w:rsid w:val="002D3B92"/>
    <w:rsid w:val="002D3BBA"/>
    <w:rsid w:val="002D3C46"/>
    <w:rsid w:val="002D3C68"/>
    <w:rsid w:val="002D3D5F"/>
    <w:rsid w:val="002D3F0A"/>
    <w:rsid w:val="002D3FCE"/>
    <w:rsid w:val="002D40FE"/>
    <w:rsid w:val="002D420E"/>
    <w:rsid w:val="002D4226"/>
    <w:rsid w:val="002D42C7"/>
    <w:rsid w:val="002D4406"/>
    <w:rsid w:val="002D4730"/>
    <w:rsid w:val="002D4A33"/>
    <w:rsid w:val="002D4B3E"/>
    <w:rsid w:val="002D4D13"/>
    <w:rsid w:val="002D4D14"/>
    <w:rsid w:val="002D4D2F"/>
    <w:rsid w:val="002D5007"/>
    <w:rsid w:val="002D505D"/>
    <w:rsid w:val="002D50FA"/>
    <w:rsid w:val="002D527E"/>
    <w:rsid w:val="002D52AD"/>
    <w:rsid w:val="002D52BE"/>
    <w:rsid w:val="002D53A4"/>
    <w:rsid w:val="002D5649"/>
    <w:rsid w:val="002D5711"/>
    <w:rsid w:val="002D57AD"/>
    <w:rsid w:val="002D58DB"/>
    <w:rsid w:val="002D59B6"/>
    <w:rsid w:val="002D59CF"/>
    <w:rsid w:val="002D5B8B"/>
    <w:rsid w:val="002D5C4B"/>
    <w:rsid w:val="002D5C96"/>
    <w:rsid w:val="002D5D1F"/>
    <w:rsid w:val="002D5DE5"/>
    <w:rsid w:val="002D6167"/>
    <w:rsid w:val="002D618D"/>
    <w:rsid w:val="002D62F6"/>
    <w:rsid w:val="002D650A"/>
    <w:rsid w:val="002D6637"/>
    <w:rsid w:val="002D672E"/>
    <w:rsid w:val="002D68A3"/>
    <w:rsid w:val="002D69F2"/>
    <w:rsid w:val="002D6B81"/>
    <w:rsid w:val="002D6D73"/>
    <w:rsid w:val="002D6FD4"/>
    <w:rsid w:val="002D7389"/>
    <w:rsid w:val="002D73C6"/>
    <w:rsid w:val="002D7691"/>
    <w:rsid w:val="002D76BF"/>
    <w:rsid w:val="002D7777"/>
    <w:rsid w:val="002D77EF"/>
    <w:rsid w:val="002D7841"/>
    <w:rsid w:val="002D7984"/>
    <w:rsid w:val="002D7A9F"/>
    <w:rsid w:val="002D7BD2"/>
    <w:rsid w:val="002D7BEA"/>
    <w:rsid w:val="002E008A"/>
    <w:rsid w:val="002E0101"/>
    <w:rsid w:val="002E0123"/>
    <w:rsid w:val="002E05FE"/>
    <w:rsid w:val="002E06DF"/>
    <w:rsid w:val="002E0A80"/>
    <w:rsid w:val="002E0B1E"/>
    <w:rsid w:val="002E0DC3"/>
    <w:rsid w:val="002E0F46"/>
    <w:rsid w:val="002E0FCB"/>
    <w:rsid w:val="002E0FE3"/>
    <w:rsid w:val="002E122B"/>
    <w:rsid w:val="002E1450"/>
    <w:rsid w:val="002E1511"/>
    <w:rsid w:val="002E154D"/>
    <w:rsid w:val="002E16E1"/>
    <w:rsid w:val="002E16F7"/>
    <w:rsid w:val="002E171D"/>
    <w:rsid w:val="002E17AA"/>
    <w:rsid w:val="002E187A"/>
    <w:rsid w:val="002E18EF"/>
    <w:rsid w:val="002E1B1C"/>
    <w:rsid w:val="002E1B24"/>
    <w:rsid w:val="002E1F92"/>
    <w:rsid w:val="002E2535"/>
    <w:rsid w:val="002E25DE"/>
    <w:rsid w:val="002E2630"/>
    <w:rsid w:val="002E2642"/>
    <w:rsid w:val="002E27C3"/>
    <w:rsid w:val="002E2815"/>
    <w:rsid w:val="002E2A7C"/>
    <w:rsid w:val="002E2B5E"/>
    <w:rsid w:val="002E2BC4"/>
    <w:rsid w:val="002E2BF6"/>
    <w:rsid w:val="002E2C92"/>
    <w:rsid w:val="002E2DC9"/>
    <w:rsid w:val="002E2E1C"/>
    <w:rsid w:val="002E2E2C"/>
    <w:rsid w:val="002E2E3B"/>
    <w:rsid w:val="002E2EDF"/>
    <w:rsid w:val="002E2FB0"/>
    <w:rsid w:val="002E3086"/>
    <w:rsid w:val="002E31BF"/>
    <w:rsid w:val="002E34AD"/>
    <w:rsid w:val="002E358F"/>
    <w:rsid w:val="002E35EE"/>
    <w:rsid w:val="002E35F0"/>
    <w:rsid w:val="002E3641"/>
    <w:rsid w:val="002E367E"/>
    <w:rsid w:val="002E38B0"/>
    <w:rsid w:val="002E3A2B"/>
    <w:rsid w:val="002E3A8F"/>
    <w:rsid w:val="002E3B35"/>
    <w:rsid w:val="002E3D96"/>
    <w:rsid w:val="002E3ECC"/>
    <w:rsid w:val="002E3F12"/>
    <w:rsid w:val="002E437A"/>
    <w:rsid w:val="002E43E9"/>
    <w:rsid w:val="002E446B"/>
    <w:rsid w:val="002E454A"/>
    <w:rsid w:val="002E45BF"/>
    <w:rsid w:val="002E45F6"/>
    <w:rsid w:val="002E4894"/>
    <w:rsid w:val="002E4AEC"/>
    <w:rsid w:val="002E4BF5"/>
    <w:rsid w:val="002E4CAF"/>
    <w:rsid w:val="002E4F06"/>
    <w:rsid w:val="002E54A9"/>
    <w:rsid w:val="002E5791"/>
    <w:rsid w:val="002E5CB9"/>
    <w:rsid w:val="002E5D9A"/>
    <w:rsid w:val="002E5F22"/>
    <w:rsid w:val="002E5F86"/>
    <w:rsid w:val="002E60B0"/>
    <w:rsid w:val="002E60C5"/>
    <w:rsid w:val="002E6135"/>
    <w:rsid w:val="002E62D0"/>
    <w:rsid w:val="002E63B6"/>
    <w:rsid w:val="002E649D"/>
    <w:rsid w:val="002E658E"/>
    <w:rsid w:val="002E6633"/>
    <w:rsid w:val="002E6693"/>
    <w:rsid w:val="002E67DF"/>
    <w:rsid w:val="002E6844"/>
    <w:rsid w:val="002E6868"/>
    <w:rsid w:val="002E6A49"/>
    <w:rsid w:val="002E6BFC"/>
    <w:rsid w:val="002E6CB7"/>
    <w:rsid w:val="002E6E80"/>
    <w:rsid w:val="002E6ECD"/>
    <w:rsid w:val="002E6FCC"/>
    <w:rsid w:val="002E6FF0"/>
    <w:rsid w:val="002E6FFB"/>
    <w:rsid w:val="002E711D"/>
    <w:rsid w:val="002E71F8"/>
    <w:rsid w:val="002E7202"/>
    <w:rsid w:val="002E7203"/>
    <w:rsid w:val="002E7699"/>
    <w:rsid w:val="002E78BE"/>
    <w:rsid w:val="002E7A1A"/>
    <w:rsid w:val="002E7C6C"/>
    <w:rsid w:val="002F0049"/>
    <w:rsid w:val="002F00E6"/>
    <w:rsid w:val="002F01C9"/>
    <w:rsid w:val="002F0206"/>
    <w:rsid w:val="002F0283"/>
    <w:rsid w:val="002F0287"/>
    <w:rsid w:val="002F0455"/>
    <w:rsid w:val="002F0612"/>
    <w:rsid w:val="002F06D4"/>
    <w:rsid w:val="002F076E"/>
    <w:rsid w:val="002F0A9C"/>
    <w:rsid w:val="002F0B8A"/>
    <w:rsid w:val="002F0CE5"/>
    <w:rsid w:val="002F0E63"/>
    <w:rsid w:val="002F0F7E"/>
    <w:rsid w:val="002F1202"/>
    <w:rsid w:val="002F1261"/>
    <w:rsid w:val="002F134F"/>
    <w:rsid w:val="002F140C"/>
    <w:rsid w:val="002F1550"/>
    <w:rsid w:val="002F1613"/>
    <w:rsid w:val="002F1625"/>
    <w:rsid w:val="002F1694"/>
    <w:rsid w:val="002F188B"/>
    <w:rsid w:val="002F1944"/>
    <w:rsid w:val="002F1A49"/>
    <w:rsid w:val="002F1A5E"/>
    <w:rsid w:val="002F1AB6"/>
    <w:rsid w:val="002F1BF5"/>
    <w:rsid w:val="002F1CD1"/>
    <w:rsid w:val="002F1E14"/>
    <w:rsid w:val="002F1E4A"/>
    <w:rsid w:val="002F1EB4"/>
    <w:rsid w:val="002F20A2"/>
    <w:rsid w:val="002F2107"/>
    <w:rsid w:val="002F2173"/>
    <w:rsid w:val="002F2701"/>
    <w:rsid w:val="002F27FA"/>
    <w:rsid w:val="002F283F"/>
    <w:rsid w:val="002F28AE"/>
    <w:rsid w:val="002F28F6"/>
    <w:rsid w:val="002F28FC"/>
    <w:rsid w:val="002F2A1C"/>
    <w:rsid w:val="002F2AFC"/>
    <w:rsid w:val="002F2B11"/>
    <w:rsid w:val="002F2BAB"/>
    <w:rsid w:val="002F2E90"/>
    <w:rsid w:val="002F2EED"/>
    <w:rsid w:val="002F30F1"/>
    <w:rsid w:val="002F325A"/>
    <w:rsid w:val="002F356D"/>
    <w:rsid w:val="002F367C"/>
    <w:rsid w:val="002F371B"/>
    <w:rsid w:val="002F377D"/>
    <w:rsid w:val="002F386B"/>
    <w:rsid w:val="002F389E"/>
    <w:rsid w:val="002F38B5"/>
    <w:rsid w:val="002F3E36"/>
    <w:rsid w:val="002F3F0B"/>
    <w:rsid w:val="002F3FF5"/>
    <w:rsid w:val="002F4120"/>
    <w:rsid w:val="002F412C"/>
    <w:rsid w:val="002F44D3"/>
    <w:rsid w:val="002F46ED"/>
    <w:rsid w:val="002F486D"/>
    <w:rsid w:val="002F48DA"/>
    <w:rsid w:val="002F4938"/>
    <w:rsid w:val="002F4944"/>
    <w:rsid w:val="002F4D3F"/>
    <w:rsid w:val="002F4D73"/>
    <w:rsid w:val="002F4DC7"/>
    <w:rsid w:val="002F4E2D"/>
    <w:rsid w:val="002F5095"/>
    <w:rsid w:val="002F51D5"/>
    <w:rsid w:val="002F541F"/>
    <w:rsid w:val="002F58BA"/>
    <w:rsid w:val="002F5918"/>
    <w:rsid w:val="002F5992"/>
    <w:rsid w:val="002F5A00"/>
    <w:rsid w:val="002F5B46"/>
    <w:rsid w:val="002F5B88"/>
    <w:rsid w:val="002F5D2C"/>
    <w:rsid w:val="002F5ECB"/>
    <w:rsid w:val="002F5F3D"/>
    <w:rsid w:val="002F5FB0"/>
    <w:rsid w:val="002F613D"/>
    <w:rsid w:val="002F6286"/>
    <w:rsid w:val="002F6317"/>
    <w:rsid w:val="002F65B6"/>
    <w:rsid w:val="002F6784"/>
    <w:rsid w:val="002F67C4"/>
    <w:rsid w:val="002F6A57"/>
    <w:rsid w:val="002F6AA0"/>
    <w:rsid w:val="002F6CC7"/>
    <w:rsid w:val="002F6DAB"/>
    <w:rsid w:val="002F6E6D"/>
    <w:rsid w:val="002F6F6F"/>
    <w:rsid w:val="002F6F9E"/>
    <w:rsid w:val="002F6FF6"/>
    <w:rsid w:val="002F7005"/>
    <w:rsid w:val="002F7027"/>
    <w:rsid w:val="002F7058"/>
    <w:rsid w:val="002F73E3"/>
    <w:rsid w:val="002F75CF"/>
    <w:rsid w:val="002F7650"/>
    <w:rsid w:val="002F773B"/>
    <w:rsid w:val="002F79CC"/>
    <w:rsid w:val="002F7C1A"/>
    <w:rsid w:val="002F7C24"/>
    <w:rsid w:val="002F7E11"/>
    <w:rsid w:val="002F7F03"/>
    <w:rsid w:val="002F7F73"/>
    <w:rsid w:val="0030010F"/>
    <w:rsid w:val="003002C9"/>
    <w:rsid w:val="0030039F"/>
    <w:rsid w:val="003003E6"/>
    <w:rsid w:val="00300452"/>
    <w:rsid w:val="00300677"/>
    <w:rsid w:val="00300724"/>
    <w:rsid w:val="00300777"/>
    <w:rsid w:val="0030077A"/>
    <w:rsid w:val="003007C0"/>
    <w:rsid w:val="003007CA"/>
    <w:rsid w:val="003008B2"/>
    <w:rsid w:val="00300998"/>
    <w:rsid w:val="003009C6"/>
    <w:rsid w:val="00300A30"/>
    <w:rsid w:val="00300B21"/>
    <w:rsid w:val="00300BD8"/>
    <w:rsid w:val="00300CA1"/>
    <w:rsid w:val="00300EEF"/>
    <w:rsid w:val="00300F83"/>
    <w:rsid w:val="00300F8B"/>
    <w:rsid w:val="0030109A"/>
    <w:rsid w:val="00301162"/>
    <w:rsid w:val="00301276"/>
    <w:rsid w:val="00301370"/>
    <w:rsid w:val="003014BB"/>
    <w:rsid w:val="00301555"/>
    <w:rsid w:val="003015F2"/>
    <w:rsid w:val="00301938"/>
    <w:rsid w:val="00301945"/>
    <w:rsid w:val="00301A2D"/>
    <w:rsid w:val="00301AB0"/>
    <w:rsid w:val="00301E67"/>
    <w:rsid w:val="00301EDD"/>
    <w:rsid w:val="0030208C"/>
    <w:rsid w:val="003021A5"/>
    <w:rsid w:val="0030244E"/>
    <w:rsid w:val="0030259C"/>
    <w:rsid w:val="0030283A"/>
    <w:rsid w:val="0030295D"/>
    <w:rsid w:val="0030297A"/>
    <w:rsid w:val="00302AB5"/>
    <w:rsid w:val="00302B81"/>
    <w:rsid w:val="00302C5C"/>
    <w:rsid w:val="00302CBA"/>
    <w:rsid w:val="00302D16"/>
    <w:rsid w:val="00302D63"/>
    <w:rsid w:val="00302E22"/>
    <w:rsid w:val="00302E44"/>
    <w:rsid w:val="00302FD2"/>
    <w:rsid w:val="00302FDE"/>
    <w:rsid w:val="003032B3"/>
    <w:rsid w:val="00303332"/>
    <w:rsid w:val="003033FA"/>
    <w:rsid w:val="003035E0"/>
    <w:rsid w:val="0030362A"/>
    <w:rsid w:val="0030367C"/>
    <w:rsid w:val="003036BE"/>
    <w:rsid w:val="00303778"/>
    <w:rsid w:val="003037A3"/>
    <w:rsid w:val="00303858"/>
    <w:rsid w:val="003038CC"/>
    <w:rsid w:val="003039DE"/>
    <w:rsid w:val="00303B0B"/>
    <w:rsid w:val="00303C84"/>
    <w:rsid w:val="00303EFD"/>
    <w:rsid w:val="00303F25"/>
    <w:rsid w:val="003040C6"/>
    <w:rsid w:val="0030437D"/>
    <w:rsid w:val="00304471"/>
    <w:rsid w:val="0030447E"/>
    <w:rsid w:val="0030458A"/>
    <w:rsid w:val="0030459C"/>
    <w:rsid w:val="003045F2"/>
    <w:rsid w:val="00304673"/>
    <w:rsid w:val="003046C7"/>
    <w:rsid w:val="003047EB"/>
    <w:rsid w:val="00304850"/>
    <w:rsid w:val="00304993"/>
    <w:rsid w:val="00304B6D"/>
    <w:rsid w:val="00304BAC"/>
    <w:rsid w:val="00304C20"/>
    <w:rsid w:val="00304C3C"/>
    <w:rsid w:val="00304C78"/>
    <w:rsid w:val="00304CAB"/>
    <w:rsid w:val="00304CF1"/>
    <w:rsid w:val="00304D79"/>
    <w:rsid w:val="00304E66"/>
    <w:rsid w:val="00304F27"/>
    <w:rsid w:val="00304FE3"/>
    <w:rsid w:val="0030508F"/>
    <w:rsid w:val="00305155"/>
    <w:rsid w:val="003051B3"/>
    <w:rsid w:val="0030530B"/>
    <w:rsid w:val="003053F4"/>
    <w:rsid w:val="00305421"/>
    <w:rsid w:val="00305430"/>
    <w:rsid w:val="00305501"/>
    <w:rsid w:val="00305544"/>
    <w:rsid w:val="003055D6"/>
    <w:rsid w:val="003057F4"/>
    <w:rsid w:val="00305859"/>
    <w:rsid w:val="003058C4"/>
    <w:rsid w:val="003059A6"/>
    <w:rsid w:val="00305CA9"/>
    <w:rsid w:val="00305D5D"/>
    <w:rsid w:val="00305DC7"/>
    <w:rsid w:val="00305E1A"/>
    <w:rsid w:val="00305E56"/>
    <w:rsid w:val="00305EC9"/>
    <w:rsid w:val="00305F4A"/>
    <w:rsid w:val="003060CA"/>
    <w:rsid w:val="00306136"/>
    <w:rsid w:val="00306376"/>
    <w:rsid w:val="00306554"/>
    <w:rsid w:val="00306680"/>
    <w:rsid w:val="003066D0"/>
    <w:rsid w:val="003067E0"/>
    <w:rsid w:val="0030683C"/>
    <w:rsid w:val="00306A42"/>
    <w:rsid w:val="00306A90"/>
    <w:rsid w:val="00306AAD"/>
    <w:rsid w:val="00306BC3"/>
    <w:rsid w:val="00306D1A"/>
    <w:rsid w:val="00306D87"/>
    <w:rsid w:val="00306DA2"/>
    <w:rsid w:val="00306DFC"/>
    <w:rsid w:val="00306E18"/>
    <w:rsid w:val="0030714D"/>
    <w:rsid w:val="0030724E"/>
    <w:rsid w:val="003075D4"/>
    <w:rsid w:val="0030765D"/>
    <w:rsid w:val="00307855"/>
    <w:rsid w:val="003078C2"/>
    <w:rsid w:val="00307938"/>
    <w:rsid w:val="00307A0D"/>
    <w:rsid w:val="00307ACA"/>
    <w:rsid w:val="00307E07"/>
    <w:rsid w:val="003100F5"/>
    <w:rsid w:val="00310133"/>
    <w:rsid w:val="003101C1"/>
    <w:rsid w:val="003102C2"/>
    <w:rsid w:val="003103D8"/>
    <w:rsid w:val="003107D7"/>
    <w:rsid w:val="0031083D"/>
    <w:rsid w:val="0031086E"/>
    <w:rsid w:val="0031089A"/>
    <w:rsid w:val="0031089B"/>
    <w:rsid w:val="00310A6B"/>
    <w:rsid w:val="00310C94"/>
    <w:rsid w:val="00310CF3"/>
    <w:rsid w:val="00310D2B"/>
    <w:rsid w:val="00310E6B"/>
    <w:rsid w:val="00310EA0"/>
    <w:rsid w:val="00310FBA"/>
    <w:rsid w:val="0031109C"/>
    <w:rsid w:val="0031130A"/>
    <w:rsid w:val="00311378"/>
    <w:rsid w:val="00311534"/>
    <w:rsid w:val="00311597"/>
    <w:rsid w:val="0031165A"/>
    <w:rsid w:val="0031173C"/>
    <w:rsid w:val="0031194D"/>
    <w:rsid w:val="00311BE3"/>
    <w:rsid w:val="00311CF4"/>
    <w:rsid w:val="00311D83"/>
    <w:rsid w:val="00311E5A"/>
    <w:rsid w:val="00311F1E"/>
    <w:rsid w:val="003120C5"/>
    <w:rsid w:val="0031218A"/>
    <w:rsid w:val="003121C6"/>
    <w:rsid w:val="003122E1"/>
    <w:rsid w:val="0031258F"/>
    <w:rsid w:val="003125D4"/>
    <w:rsid w:val="003126BD"/>
    <w:rsid w:val="00312938"/>
    <w:rsid w:val="0031294A"/>
    <w:rsid w:val="00312F0B"/>
    <w:rsid w:val="00312F17"/>
    <w:rsid w:val="00312FA4"/>
    <w:rsid w:val="0031314D"/>
    <w:rsid w:val="0031321B"/>
    <w:rsid w:val="00313A7D"/>
    <w:rsid w:val="00313B4F"/>
    <w:rsid w:val="00313DAB"/>
    <w:rsid w:val="00313E1A"/>
    <w:rsid w:val="00313F32"/>
    <w:rsid w:val="003142C5"/>
    <w:rsid w:val="00314570"/>
    <w:rsid w:val="00314666"/>
    <w:rsid w:val="0031466A"/>
    <w:rsid w:val="003147AB"/>
    <w:rsid w:val="00314885"/>
    <w:rsid w:val="00314893"/>
    <w:rsid w:val="00314AA5"/>
    <w:rsid w:val="00314AE1"/>
    <w:rsid w:val="00314B45"/>
    <w:rsid w:val="00314B5E"/>
    <w:rsid w:val="00314BF5"/>
    <w:rsid w:val="00314C91"/>
    <w:rsid w:val="00314DFA"/>
    <w:rsid w:val="00315117"/>
    <w:rsid w:val="00315290"/>
    <w:rsid w:val="003152DB"/>
    <w:rsid w:val="00315371"/>
    <w:rsid w:val="003154F0"/>
    <w:rsid w:val="0031551D"/>
    <w:rsid w:val="0031562A"/>
    <w:rsid w:val="00315813"/>
    <w:rsid w:val="00315850"/>
    <w:rsid w:val="003158E4"/>
    <w:rsid w:val="00315A44"/>
    <w:rsid w:val="00315B65"/>
    <w:rsid w:val="00315BCE"/>
    <w:rsid w:val="00315BF1"/>
    <w:rsid w:val="00315BF3"/>
    <w:rsid w:val="00315F39"/>
    <w:rsid w:val="00315F9E"/>
    <w:rsid w:val="003160A9"/>
    <w:rsid w:val="003161EB"/>
    <w:rsid w:val="00316211"/>
    <w:rsid w:val="003162A1"/>
    <w:rsid w:val="003162BF"/>
    <w:rsid w:val="003163C0"/>
    <w:rsid w:val="003163DA"/>
    <w:rsid w:val="003163E9"/>
    <w:rsid w:val="00316500"/>
    <w:rsid w:val="00316603"/>
    <w:rsid w:val="0031685C"/>
    <w:rsid w:val="00316957"/>
    <w:rsid w:val="003169CB"/>
    <w:rsid w:val="003169EE"/>
    <w:rsid w:val="00316CF1"/>
    <w:rsid w:val="00316CFA"/>
    <w:rsid w:val="00316D84"/>
    <w:rsid w:val="00316DDE"/>
    <w:rsid w:val="00317268"/>
    <w:rsid w:val="00317369"/>
    <w:rsid w:val="00317657"/>
    <w:rsid w:val="003176B4"/>
    <w:rsid w:val="003178ED"/>
    <w:rsid w:val="003179A2"/>
    <w:rsid w:val="003179B0"/>
    <w:rsid w:val="00317CC1"/>
    <w:rsid w:val="00317CE1"/>
    <w:rsid w:val="00317D2E"/>
    <w:rsid w:val="00317D75"/>
    <w:rsid w:val="00317F8B"/>
    <w:rsid w:val="00320303"/>
    <w:rsid w:val="0032036D"/>
    <w:rsid w:val="00320700"/>
    <w:rsid w:val="0032082C"/>
    <w:rsid w:val="00320A64"/>
    <w:rsid w:val="00320B66"/>
    <w:rsid w:val="00320B7F"/>
    <w:rsid w:val="00320BB5"/>
    <w:rsid w:val="00320C11"/>
    <w:rsid w:val="00320D3E"/>
    <w:rsid w:val="00320EE9"/>
    <w:rsid w:val="00320F2B"/>
    <w:rsid w:val="00321106"/>
    <w:rsid w:val="00321219"/>
    <w:rsid w:val="0032146B"/>
    <w:rsid w:val="00321610"/>
    <w:rsid w:val="003217FD"/>
    <w:rsid w:val="00321866"/>
    <w:rsid w:val="003218CF"/>
    <w:rsid w:val="0032190D"/>
    <w:rsid w:val="003219FA"/>
    <w:rsid w:val="00321A7C"/>
    <w:rsid w:val="00321A94"/>
    <w:rsid w:val="00321AB2"/>
    <w:rsid w:val="00321C4C"/>
    <w:rsid w:val="00321DF2"/>
    <w:rsid w:val="00321DF7"/>
    <w:rsid w:val="00321E32"/>
    <w:rsid w:val="003220E4"/>
    <w:rsid w:val="00322248"/>
    <w:rsid w:val="003222CC"/>
    <w:rsid w:val="00322491"/>
    <w:rsid w:val="003224DC"/>
    <w:rsid w:val="003224E7"/>
    <w:rsid w:val="00322607"/>
    <w:rsid w:val="0032275C"/>
    <w:rsid w:val="00322931"/>
    <w:rsid w:val="0032294C"/>
    <w:rsid w:val="00322C9E"/>
    <w:rsid w:val="00322D0B"/>
    <w:rsid w:val="00322D4F"/>
    <w:rsid w:val="00322DEC"/>
    <w:rsid w:val="00322E95"/>
    <w:rsid w:val="00322F5A"/>
    <w:rsid w:val="00322F64"/>
    <w:rsid w:val="0032328B"/>
    <w:rsid w:val="0032328C"/>
    <w:rsid w:val="00323346"/>
    <w:rsid w:val="00323408"/>
    <w:rsid w:val="00323510"/>
    <w:rsid w:val="0032354A"/>
    <w:rsid w:val="0032372B"/>
    <w:rsid w:val="003238ED"/>
    <w:rsid w:val="00323926"/>
    <w:rsid w:val="003239AC"/>
    <w:rsid w:val="003239EC"/>
    <w:rsid w:val="00323B8D"/>
    <w:rsid w:val="00323CD8"/>
    <w:rsid w:val="00323D30"/>
    <w:rsid w:val="00323DC5"/>
    <w:rsid w:val="00323DFA"/>
    <w:rsid w:val="00323E57"/>
    <w:rsid w:val="00323F71"/>
    <w:rsid w:val="0032420C"/>
    <w:rsid w:val="0032444A"/>
    <w:rsid w:val="00324888"/>
    <w:rsid w:val="003248D9"/>
    <w:rsid w:val="00324A07"/>
    <w:rsid w:val="00324A96"/>
    <w:rsid w:val="00324B17"/>
    <w:rsid w:val="00324BC5"/>
    <w:rsid w:val="00324C1F"/>
    <w:rsid w:val="00324C99"/>
    <w:rsid w:val="00324CC0"/>
    <w:rsid w:val="00324D11"/>
    <w:rsid w:val="00324DBE"/>
    <w:rsid w:val="0032501B"/>
    <w:rsid w:val="003250E9"/>
    <w:rsid w:val="0032511D"/>
    <w:rsid w:val="00325225"/>
    <w:rsid w:val="003252B4"/>
    <w:rsid w:val="00325397"/>
    <w:rsid w:val="00325454"/>
    <w:rsid w:val="0032545B"/>
    <w:rsid w:val="00325768"/>
    <w:rsid w:val="0032586A"/>
    <w:rsid w:val="003259C2"/>
    <w:rsid w:val="00325B3F"/>
    <w:rsid w:val="00325D30"/>
    <w:rsid w:val="00325DD5"/>
    <w:rsid w:val="00325E11"/>
    <w:rsid w:val="003262DA"/>
    <w:rsid w:val="0032630C"/>
    <w:rsid w:val="0032639F"/>
    <w:rsid w:val="003263AA"/>
    <w:rsid w:val="00326431"/>
    <w:rsid w:val="0032646A"/>
    <w:rsid w:val="003268D1"/>
    <w:rsid w:val="00326A27"/>
    <w:rsid w:val="00326A99"/>
    <w:rsid w:val="00326BA0"/>
    <w:rsid w:val="00326C32"/>
    <w:rsid w:val="00326D61"/>
    <w:rsid w:val="00326EF6"/>
    <w:rsid w:val="00326F82"/>
    <w:rsid w:val="003271AA"/>
    <w:rsid w:val="00327204"/>
    <w:rsid w:val="0032724F"/>
    <w:rsid w:val="00327391"/>
    <w:rsid w:val="00327420"/>
    <w:rsid w:val="00327455"/>
    <w:rsid w:val="00327518"/>
    <w:rsid w:val="00327577"/>
    <w:rsid w:val="00327619"/>
    <w:rsid w:val="00327640"/>
    <w:rsid w:val="0032765B"/>
    <w:rsid w:val="00327BC2"/>
    <w:rsid w:val="00327D16"/>
    <w:rsid w:val="00327D78"/>
    <w:rsid w:val="00327D92"/>
    <w:rsid w:val="00327E05"/>
    <w:rsid w:val="00327E95"/>
    <w:rsid w:val="00327EB9"/>
    <w:rsid w:val="0033010A"/>
    <w:rsid w:val="00330298"/>
    <w:rsid w:val="00330412"/>
    <w:rsid w:val="00330437"/>
    <w:rsid w:val="00330591"/>
    <w:rsid w:val="0033068F"/>
    <w:rsid w:val="00330761"/>
    <w:rsid w:val="00330843"/>
    <w:rsid w:val="00330878"/>
    <w:rsid w:val="00330A0D"/>
    <w:rsid w:val="00330A6C"/>
    <w:rsid w:val="00330A7E"/>
    <w:rsid w:val="00330A9E"/>
    <w:rsid w:val="00330ADC"/>
    <w:rsid w:val="00330E61"/>
    <w:rsid w:val="00331273"/>
    <w:rsid w:val="0033128F"/>
    <w:rsid w:val="003312B0"/>
    <w:rsid w:val="003313D9"/>
    <w:rsid w:val="003313EF"/>
    <w:rsid w:val="003315C2"/>
    <w:rsid w:val="00331874"/>
    <w:rsid w:val="00331A68"/>
    <w:rsid w:val="00331AC6"/>
    <w:rsid w:val="00331AE1"/>
    <w:rsid w:val="00331BDC"/>
    <w:rsid w:val="00331E43"/>
    <w:rsid w:val="00331ED8"/>
    <w:rsid w:val="00331F5F"/>
    <w:rsid w:val="0033204D"/>
    <w:rsid w:val="003320E2"/>
    <w:rsid w:val="00332105"/>
    <w:rsid w:val="003322B8"/>
    <w:rsid w:val="00332322"/>
    <w:rsid w:val="003327E1"/>
    <w:rsid w:val="00332802"/>
    <w:rsid w:val="003328C9"/>
    <w:rsid w:val="0033293D"/>
    <w:rsid w:val="00332A65"/>
    <w:rsid w:val="00332A74"/>
    <w:rsid w:val="00332EE6"/>
    <w:rsid w:val="00332F15"/>
    <w:rsid w:val="00332F5B"/>
    <w:rsid w:val="00332FBB"/>
    <w:rsid w:val="00332FF2"/>
    <w:rsid w:val="00333012"/>
    <w:rsid w:val="00333041"/>
    <w:rsid w:val="003330D3"/>
    <w:rsid w:val="003330F7"/>
    <w:rsid w:val="00333177"/>
    <w:rsid w:val="003331CA"/>
    <w:rsid w:val="00333292"/>
    <w:rsid w:val="0033389E"/>
    <w:rsid w:val="003338C5"/>
    <w:rsid w:val="003338E6"/>
    <w:rsid w:val="00333964"/>
    <w:rsid w:val="00333A1E"/>
    <w:rsid w:val="00333A91"/>
    <w:rsid w:val="00333AB6"/>
    <w:rsid w:val="00333BBA"/>
    <w:rsid w:val="00333C3E"/>
    <w:rsid w:val="00333CB3"/>
    <w:rsid w:val="00333CFF"/>
    <w:rsid w:val="00333DD5"/>
    <w:rsid w:val="00333FB9"/>
    <w:rsid w:val="003341D8"/>
    <w:rsid w:val="00334341"/>
    <w:rsid w:val="003343E6"/>
    <w:rsid w:val="003344C1"/>
    <w:rsid w:val="00334502"/>
    <w:rsid w:val="0033450C"/>
    <w:rsid w:val="0033459E"/>
    <w:rsid w:val="00334713"/>
    <w:rsid w:val="00334831"/>
    <w:rsid w:val="00334897"/>
    <w:rsid w:val="0033489A"/>
    <w:rsid w:val="00334B2E"/>
    <w:rsid w:val="00334D26"/>
    <w:rsid w:val="00334D56"/>
    <w:rsid w:val="00334DAF"/>
    <w:rsid w:val="00334EFA"/>
    <w:rsid w:val="00334F0E"/>
    <w:rsid w:val="00334F2C"/>
    <w:rsid w:val="00334F3A"/>
    <w:rsid w:val="00334F7B"/>
    <w:rsid w:val="003350E4"/>
    <w:rsid w:val="00335116"/>
    <w:rsid w:val="0033549C"/>
    <w:rsid w:val="003355C7"/>
    <w:rsid w:val="003356C7"/>
    <w:rsid w:val="003357D3"/>
    <w:rsid w:val="0033586C"/>
    <w:rsid w:val="00335915"/>
    <w:rsid w:val="00335A78"/>
    <w:rsid w:val="00335E01"/>
    <w:rsid w:val="00335F26"/>
    <w:rsid w:val="00335F55"/>
    <w:rsid w:val="003360B7"/>
    <w:rsid w:val="0033613F"/>
    <w:rsid w:val="00336349"/>
    <w:rsid w:val="003363B3"/>
    <w:rsid w:val="00336414"/>
    <w:rsid w:val="003365EB"/>
    <w:rsid w:val="003365F3"/>
    <w:rsid w:val="0033677C"/>
    <w:rsid w:val="0033688B"/>
    <w:rsid w:val="00336A32"/>
    <w:rsid w:val="00336A5A"/>
    <w:rsid w:val="00336D6F"/>
    <w:rsid w:val="003370F9"/>
    <w:rsid w:val="00337183"/>
    <w:rsid w:val="003371E6"/>
    <w:rsid w:val="003372C0"/>
    <w:rsid w:val="00337361"/>
    <w:rsid w:val="00337452"/>
    <w:rsid w:val="00337485"/>
    <w:rsid w:val="003374A4"/>
    <w:rsid w:val="003374C4"/>
    <w:rsid w:val="00337592"/>
    <w:rsid w:val="003375C9"/>
    <w:rsid w:val="00337733"/>
    <w:rsid w:val="0033776A"/>
    <w:rsid w:val="00337A8F"/>
    <w:rsid w:val="00337ABA"/>
    <w:rsid w:val="00337B28"/>
    <w:rsid w:val="00337BDF"/>
    <w:rsid w:val="00337CBF"/>
    <w:rsid w:val="00337CD0"/>
    <w:rsid w:val="00337E41"/>
    <w:rsid w:val="00337EEA"/>
    <w:rsid w:val="00340180"/>
    <w:rsid w:val="003402E2"/>
    <w:rsid w:val="00340352"/>
    <w:rsid w:val="00340602"/>
    <w:rsid w:val="003406B1"/>
    <w:rsid w:val="0034093C"/>
    <w:rsid w:val="0034096E"/>
    <w:rsid w:val="00340B2E"/>
    <w:rsid w:val="00340B38"/>
    <w:rsid w:val="00340B8A"/>
    <w:rsid w:val="00340D2B"/>
    <w:rsid w:val="00340D69"/>
    <w:rsid w:val="00340D8C"/>
    <w:rsid w:val="00340E15"/>
    <w:rsid w:val="00341014"/>
    <w:rsid w:val="0034105B"/>
    <w:rsid w:val="003412E6"/>
    <w:rsid w:val="0034141E"/>
    <w:rsid w:val="0034145E"/>
    <w:rsid w:val="003414A3"/>
    <w:rsid w:val="0034159D"/>
    <w:rsid w:val="003415DE"/>
    <w:rsid w:val="003416C7"/>
    <w:rsid w:val="00341803"/>
    <w:rsid w:val="003418A8"/>
    <w:rsid w:val="0034196C"/>
    <w:rsid w:val="00341A0D"/>
    <w:rsid w:val="00341D44"/>
    <w:rsid w:val="00341D5F"/>
    <w:rsid w:val="00341DA6"/>
    <w:rsid w:val="00341E38"/>
    <w:rsid w:val="00341EEC"/>
    <w:rsid w:val="00341EEE"/>
    <w:rsid w:val="00341F41"/>
    <w:rsid w:val="00342140"/>
    <w:rsid w:val="00342164"/>
    <w:rsid w:val="00342348"/>
    <w:rsid w:val="00342352"/>
    <w:rsid w:val="00342515"/>
    <w:rsid w:val="0034257B"/>
    <w:rsid w:val="003425B3"/>
    <w:rsid w:val="003425DF"/>
    <w:rsid w:val="00342611"/>
    <w:rsid w:val="00342614"/>
    <w:rsid w:val="0034269B"/>
    <w:rsid w:val="0034293D"/>
    <w:rsid w:val="00342A80"/>
    <w:rsid w:val="00342AFD"/>
    <w:rsid w:val="00342B53"/>
    <w:rsid w:val="00342DAE"/>
    <w:rsid w:val="00342E6C"/>
    <w:rsid w:val="00342F8A"/>
    <w:rsid w:val="003430BF"/>
    <w:rsid w:val="003430E6"/>
    <w:rsid w:val="00343168"/>
    <w:rsid w:val="003431DA"/>
    <w:rsid w:val="00343284"/>
    <w:rsid w:val="003434A0"/>
    <w:rsid w:val="003434B9"/>
    <w:rsid w:val="00343610"/>
    <w:rsid w:val="00343738"/>
    <w:rsid w:val="00343AB3"/>
    <w:rsid w:val="00343CCB"/>
    <w:rsid w:val="00343D16"/>
    <w:rsid w:val="00343F4F"/>
    <w:rsid w:val="003440CF"/>
    <w:rsid w:val="003440E6"/>
    <w:rsid w:val="0034425A"/>
    <w:rsid w:val="003444DA"/>
    <w:rsid w:val="00344676"/>
    <w:rsid w:val="003447F6"/>
    <w:rsid w:val="00344AC6"/>
    <w:rsid w:val="00344B05"/>
    <w:rsid w:val="00344B95"/>
    <w:rsid w:val="00344D3A"/>
    <w:rsid w:val="00344E5F"/>
    <w:rsid w:val="00344F44"/>
    <w:rsid w:val="0034503C"/>
    <w:rsid w:val="003451A0"/>
    <w:rsid w:val="00345263"/>
    <w:rsid w:val="0034562B"/>
    <w:rsid w:val="0034569A"/>
    <w:rsid w:val="003456C7"/>
    <w:rsid w:val="0034587D"/>
    <w:rsid w:val="00345B37"/>
    <w:rsid w:val="00345B5F"/>
    <w:rsid w:val="00345BE8"/>
    <w:rsid w:val="00345DA3"/>
    <w:rsid w:val="00345F1F"/>
    <w:rsid w:val="00345FC4"/>
    <w:rsid w:val="003460CD"/>
    <w:rsid w:val="00346144"/>
    <w:rsid w:val="0034625F"/>
    <w:rsid w:val="003462ED"/>
    <w:rsid w:val="00346383"/>
    <w:rsid w:val="003463C2"/>
    <w:rsid w:val="003466D0"/>
    <w:rsid w:val="003466F5"/>
    <w:rsid w:val="003469DC"/>
    <w:rsid w:val="00346A5A"/>
    <w:rsid w:val="00346AA4"/>
    <w:rsid w:val="00346D40"/>
    <w:rsid w:val="00346D7C"/>
    <w:rsid w:val="00346E96"/>
    <w:rsid w:val="00346F73"/>
    <w:rsid w:val="00347133"/>
    <w:rsid w:val="00347134"/>
    <w:rsid w:val="00347137"/>
    <w:rsid w:val="003471AC"/>
    <w:rsid w:val="003471F3"/>
    <w:rsid w:val="00347386"/>
    <w:rsid w:val="003473E7"/>
    <w:rsid w:val="00347471"/>
    <w:rsid w:val="003474DB"/>
    <w:rsid w:val="00347A7A"/>
    <w:rsid w:val="00347B76"/>
    <w:rsid w:val="00347D10"/>
    <w:rsid w:val="00347FE6"/>
    <w:rsid w:val="003504AB"/>
    <w:rsid w:val="00350653"/>
    <w:rsid w:val="003506CF"/>
    <w:rsid w:val="00350957"/>
    <w:rsid w:val="0035097C"/>
    <w:rsid w:val="003509A4"/>
    <w:rsid w:val="00350B3F"/>
    <w:rsid w:val="00350C12"/>
    <w:rsid w:val="00350C85"/>
    <w:rsid w:val="00350D22"/>
    <w:rsid w:val="003510D1"/>
    <w:rsid w:val="0035110A"/>
    <w:rsid w:val="00351332"/>
    <w:rsid w:val="00351386"/>
    <w:rsid w:val="0035146F"/>
    <w:rsid w:val="00351693"/>
    <w:rsid w:val="00351722"/>
    <w:rsid w:val="003517E9"/>
    <w:rsid w:val="00351C26"/>
    <w:rsid w:val="00351F77"/>
    <w:rsid w:val="00352051"/>
    <w:rsid w:val="0035209D"/>
    <w:rsid w:val="0035211B"/>
    <w:rsid w:val="00352474"/>
    <w:rsid w:val="0035261D"/>
    <w:rsid w:val="0035287F"/>
    <w:rsid w:val="003528B8"/>
    <w:rsid w:val="0035294C"/>
    <w:rsid w:val="0035296C"/>
    <w:rsid w:val="00352AD6"/>
    <w:rsid w:val="00352B17"/>
    <w:rsid w:val="00352B77"/>
    <w:rsid w:val="00352BB9"/>
    <w:rsid w:val="00352C41"/>
    <w:rsid w:val="00352E98"/>
    <w:rsid w:val="00352EC1"/>
    <w:rsid w:val="00352EC6"/>
    <w:rsid w:val="00352EC8"/>
    <w:rsid w:val="00352F05"/>
    <w:rsid w:val="00352F36"/>
    <w:rsid w:val="00353079"/>
    <w:rsid w:val="003534E9"/>
    <w:rsid w:val="003536AB"/>
    <w:rsid w:val="003536B9"/>
    <w:rsid w:val="0035373B"/>
    <w:rsid w:val="003537AE"/>
    <w:rsid w:val="003539C3"/>
    <w:rsid w:val="00353A4B"/>
    <w:rsid w:val="00353B05"/>
    <w:rsid w:val="00353BDC"/>
    <w:rsid w:val="00353D8B"/>
    <w:rsid w:val="00353E35"/>
    <w:rsid w:val="00353EDA"/>
    <w:rsid w:val="00353EF7"/>
    <w:rsid w:val="00353F33"/>
    <w:rsid w:val="003540E2"/>
    <w:rsid w:val="0035415A"/>
    <w:rsid w:val="003543AD"/>
    <w:rsid w:val="003547B5"/>
    <w:rsid w:val="003548FB"/>
    <w:rsid w:val="003549F6"/>
    <w:rsid w:val="00354A90"/>
    <w:rsid w:val="00354E1E"/>
    <w:rsid w:val="00354F05"/>
    <w:rsid w:val="00355081"/>
    <w:rsid w:val="0035512F"/>
    <w:rsid w:val="00355143"/>
    <w:rsid w:val="003551BE"/>
    <w:rsid w:val="003551E5"/>
    <w:rsid w:val="00355231"/>
    <w:rsid w:val="00355321"/>
    <w:rsid w:val="0035535F"/>
    <w:rsid w:val="00355410"/>
    <w:rsid w:val="0035552A"/>
    <w:rsid w:val="003555DF"/>
    <w:rsid w:val="003558E5"/>
    <w:rsid w:val="00355C78"/>
    <w:rsid w:val="00355DE1"/>
    <w:rsid w:val="003561DF"/>
    <w:rsid w:val="00356391"/>
    <w:rsid w:val="003564EF"/>
    <w:rsid w:val="0035652F"/>
    <w:rsid w:val="003568C0"/>
    <w:rsid w:val="00356998"/>
    <w:rsid w:val="00356A46"/>
    <w:rsid w:val="00356BFA"/>
    <w:rsid w:val="00356CFC"/>
    <w:rsid w:val="00356D30"/>
    <w:rsid w:val="00356F1B"/>
    <w:rsid w:val="00356F64"/>
    <w:rsid w:val="0035705F"/>
    <w:rsid w:val="00357099"/>
    <w:rsid w:val="003572F4"/>
    <w:rsid w:val="0035759C"/>
    <w:rsid w:val="003578CD"/>
    <w:rsid w:val="00357902"/>
    <w:rsid w:val="00357B4B"/>
    <w:rsid w:val="00357BD7"/>
    <w:rsid w:val="00357C14"/>
    <w:rsid w:val="00360201"/>
    <w:rsid w:val="00360B86"/>
    <w:rsid w:val="00360CB9"/>
    <w:rsid w:val="00360CE4"/>
    <w:rsid w:val="00360DFE"/>
    <w:rsid w:val="00360EF0"/>
    <w:rsid w:val="003611B6"/>
    <w:rsid w:val="003611F4"/>
    <w:rsid w:val="00361424"/>
    <w:rsid w:val="003615E7"/>
    <w:rsid w:val="00361773"/>
    <w:rsid w:val="0036186A"/>
    <w:rsid w:val="003618E4"/>
    <w:rsid w:val="003619D7"/>
    <w:rsid w:val="00361A1B"/>
    <w:rsid w:val="00361A36"/>
    <w:rsid w:val="00361A86"/>
    <w:rsid w:val="00361ACD"/>
    <w:rsid w:val="00361C49"/>
    <w:rsid w:val="00361D8E"/>
    <w:rsid w:val="00361F40"/>
    <w:rsid w:val="00361F43"/>
    <w:rsid w:val="003620E5"/>
    <w:rsid w:val="003622F8"/>
    <w:rsid w:val="00362304"/>
    <w:rsid w:val="003623FE"/>
    <w:rsid w:val="003624EF"/>
    <w:rsid w:val="0036253D"/>
    <w:rsid w:val="003625A4"/>
    <w:rsid w:val="0036267F"/>
    <w:rsid w:val="0036279D"/>
    <w:rsid w:val="003628C7"/>
    <w:rsid w:val="00362933"/>
    <w:rsid w:val="0036293D"/>
    <w:rsid w:val="00362A54"/>
    <w:rsid w:val="00362E4D"/>
    <w:rsid w:val="00362E81"/>
    <w:rsid w:val="00362EF1"/>
    <w:rsid w:val="00362F9F"/>
    <w:rsid w:val="00363024"/>
    <w:rsid w:val="00363150"/>
    <w:rsid w:val="003631A5"/>
    <w:rsid w:val="003631FD"/>
    <w:rsid w:val="003634CA"/>
    <w:rsid w:val="0036354F"/>
    <w:rsid w:val="00363611"/>
    <w:rsid w:val="00363646"/>
    <w:rsid w:val="00363820"/>
    <w:rsid w:val="00363999"/>
    <w:rsid w:val="003639BD"/>
    <w:rsid w:val="00363A21"/>
    <w:rsid w:val="00363AE6"/>
    <w:rsid w:val="00363CF3"/>
    <w:rsid w:val="00363DBB"/>
    <w:rsid w:val="00363DE9"/>
    <w:rsid w:val="00363E34"/>
    <w:rsid w:val="003640F6"/>
    <w:rsid w:val="00364129"/>
    <w:rsid w:val="00364154"/>
    <w:rsid w:val="00364256"/>
    <w:rsid w:val="003642BD"/>
    <w:rsid w:val="003643AE"/>
    <w:rsid w:val="003643FB"/>
    <w:rsid w:val="0036443D"/>
    <w:rsid w:val="003646C8"/>
    <w:rsid w:val="00364716"/>
    <w:rsid w:val="003647EC"/>
    <w:rsid w:val="00364D46"/>
    <w:rsid w:val="00364E3A"/>
    <w:rsid w:val="00364E81"/>
    <w:rsid w:val="00364E89"/>
    <w:rsid w:val="00364F6A"/>
    <w:rsid w:val="00364F95"/>
    <w:rsid w:val="0036534C"/>
    <w:rsid w:val="003653A3"/>
    <w:rsid w:val="00365445"/>
    <w:rsid w:val="00365448"/>
    <w:rsid w:val="00365568"/>
    <w:rsid w:val="003655BF"/>
    <w:rsid w:val="003655EA"/>
    <w:rsid w:val="003657AB"/>
    <w:rsid w:val="00365948"/>
    <w:rsid w:val="00365B69"/>
    <w:rsid w:val="00365B78"/>
    <w:rsid w:val="00365CAE"/>
    <w:rsid w:val="00365F91"/>
    <w:rsid w:val="003661BE"/>
    <w:rsid w:val="00366269"/>
    <w:rsid w:val="0036640F"/>
    <w:rsid w:val="003667CA"/>
    <w:rsid w:val="00366853"/>
    <w:rsid w:val="00366916"/>
    <w:rsid w:val="003669B6"/>
    <w:rsid w:val="00366A32"/>
    <w:rsid w:val="00366B57"/>
    <w:rsid w:val="00366F3A"/>
    <w:rsid w:val="00367096"/>
    <w:rsid w:val="003671BE"/>
    <w:rsid w:val="003671DF"/>
    <w:rsid w:val="00367230"/>
    <w:rsid w:val="00367390"/>
    <w:rsid w:val="003673C9"/>
    <w:rsid w:val="003673F6"/>
    <w:rsid w:val="00367493"/>
    <w:rsid w:val="003674B8"/>
    <w:rsid w:val="003674C0"/>
    <w:rsid w:val="00367559"/>
    <w:rsid w:val="003676E9"/>
    <w:rsid w:val="0036780B"/>
    <w:rsid w:val="003678F0"/>
    <w:rsid w:val="00367950"/>
    <w:rsid w:val="00367A38"/>
    <w:rsid w:val="00367B09"/>
    <w:rsid w:val="00367E10"/>
    <w:rsid w:val="00367F14"/>
    <w:rsid w:val="00367F93"/>
    <w:rsid w:val="003701EC"/>
    <w:rsid w:val="0037052B"/>
    <w:rsid w:val="0037070E"/>
    <w:rsid w:val="0037078B"/>
    <w:rsid w:val="003709AD"/>
    <w:rsid w:val="003709E1"/>
    <w:rsid w:val="00370A5F"/>
    <w:rsid w:val="00370B93"/>
    <w:rsid w:val="00370B9E"/>
    <w:rsid w:val="00370BE8"/>
    <w:rsid w:val="00370C13"/>
    <w:rsid w:val="00370C81"/>
    <w:rsid w:val="00370E52"/>
    <w:rsid w:val="00370F0C"/>
    <w:rsid w:val="00370F6C"/>
    <w:rsid w:val="00370FD5"/>
    <w:rsid w:val="00371047"/>
    <w:rsid w:val="00371365"/>
    <w:rsid w:val="00371386"/>
    <w:rsid w:val="0037138F"/>
    <w:rsid w:val="003713FF"/>
    <w:rsid w:val="00371474"/>
    <w:rsid w:val="00371492"/>
    <w:rsid w:val="0037153B"/>
    <w:rsid w:val="003716D9"/>
    <w:rsid w:val="00371853"/>
    <w:rsid w:val="00371887"/>
    <w:rsid w:val="00371924"/>
    <w:rsid w:val="00371A50"/>
    <w:rsid w:val="00371B82"/>
    <w:rsid w:val="00371C3D"/>
    <w:rsid w:val="00371C6D"/>
    <w:rsid w:val="00371D26"/>
    <w:rsid w:val="003720ED"/>
    <w:rsid w:val="00372213"/>
    <w:rsid w:val="00372305"/>
    <w:rsid w:val="00372399"/>
    <w:rsid w:val="003723D7"/>
    <w:rsid w:val="00372500"/>
    <w:rsid w:val="00372507"/>
    <w:rsid w:val="00372752"/>
    <w:rsid w:val="00372769"/>
    <w:rsid w:val="003727E4"/>
    <w:rsid w:val="00372844"/>
    <w:rsid w:val="0037286C"/>
    <w:rsid w:val="00372A0B"/>
    <w:rsid w:val="00372A1F"/>
    <w:rsid w:val="00372A21"/>
    <w:rsid w:val="00372E69"/>
    <w:rsid w:val="00372ED2"/>
    <w:rsid w:val="00373050"/>
    <w:rsid w:val="00373140"/>
    <w:rsid w:val="00373260"/>
    <w:rsid w:val="0037337C"/>
    <w:rsid w:val="00373445"/>
    <w:rsid w:val="003735AF"/>
    <w:rsid w:val="003736A9"/>
    <w:rsid w:val="003737A1"/>
    <w:rsid w:val="003739D8"/>
    <w:rsid w:val="00373CFC"/>
    <w:rsid w:val="00373DC7"/>
    <w:rsid w:val="00373DE8"/>
    <w:rsid w:val="00373E37"/>
    <w:rsid w:val="0037404C"/>
    <w:rsid w:val="00374070"/>
    <w:rsid w:val="003746CA"/>
    <w:rsid w:val="00374736"/>
    <w:rsid w:val="00374822"/>
    <w:rsid w:val="00374996"/>
    <w:rsid w:val="00374BE8"/>
    <w:rsid w:val="00374C81"/>
    <w:rsid w:val="00374D8F"/>
    <w:rsid w:val="00374EB1"/>
    <w:rsid w:val="0037505B"/>
    <w:rsid w:val="003751AB"/>
    <w:rsid w:val="003753A8"/>
    <w:rsid w:val="00375497"/>
    <w:rsid w:val="003754BD"/>
    <w:rsid w:val="003755B5"/>
    <w:rsid w:val="0037560F"/>
    <w:rsid w:val="003756D0"/>
    <w:rsid w:val="003758DD"/>
    <w:rsid w:val="00375937"/>
    <w:rsid w:val="00375A56"/>
    <w:rsid w:val="00375B8D"/>
    <w:rsid w:val="00375D62"/>
    <w:rsid w:val="00375E10"/>
    <w:rsid w:val="00375EF2"/>
    <w:rsid w:val="00376027"/>
    <w:rsid w:val="003762FB"/>
    <w:rsid w:val="0037638C"/>
    <w:rsid w:val="003764C9"/>
    <w:rsid w:val="0037664C"/>
    <w:rsid w:val="00376760"/>
    <w:rsid w:val="003768D2"/>
    <w:rsid w:val="003768F6"/>
    <w:rsid w:val="00376C14"/>
    <w:rsid w:val="00376C1E"/>
    <w:rsid w:val="00376D22"/>
    <w:rsid w:val="00376D71"/>
    <w:rsid w:val="00376F3B"/>
    <w:rsid w:val="00376FCF"/>
    <w:rsid w:val="00377104"/>
    <w:rsid w:val="003773C0"/>
    <w:rsid w:val="00377535"/>
    <w:rsid w:val="0037756B"/>
    <w:rsid w:val="0037782D"/>
    <w:rsid w:val="003778B1"/>
    <w:rsid w:val="00377986"/>
    <w:rsid w:val="00377987"/>
    <w:rsid w:val="00377A2A"/>
    <w:rsid w:val="00377BA4"/>
    <w:rsid w:val="00377D39"/>
    <w:rsid w:val="00377D46"/>
    <w:rsid w:val="00377DF9"/>
    <w:rsid w:val="00377E3F"/>
    <w:rsid w:val="00377EA7"/>
    <w:rsid w:val="003800A0"/>
    <w:rsid w:val="003801BE"/>
    <w:rsid w:val="0038041B"/>
    <w:rsid w:val="0038045C"/>
    <w:rsid w:val="003804B8"/>
    <w:rsid w:val="00380634"/>
    <w:rsid w:val="003807C9"/>
    <w:rsid w:val="00380870"/>
    <w:rsid w:val="00380981"/>
    <w:rsid w:val="00380990"/>
    <w:rsid w:val="00380A83"/>
    <w:rsid w:val="00380C34"/>
    <w:rsid w:val="00380D03"/>
    <w:rsid w:val="00380EB3"/>
    <w:rsid w:val="00380EE4"/>
    <w:rsid w:val="00381367"/>
    <w:rsid w:val="003813CD"/>
    <w:rsid w:val="0038181A"/>
    <w:rsid w:val="00381851"/>
    <w:rsid w:val="0038186E"/>
    <w:rsid w:val="00381897"/>
    <w:rsid w:val="003819DB"/>
    <w:rsid w:val="00381A96"/>
    <w:rsid w:val="00381AF5"/>
    <w:rsid w:val="00381BF4"/>
    <w:rsid w:val="00381C97"/>
    <w:rsid w:val="00381D0A"/>
    <w:rsid w:val="00381D0E"/>
    <w:rsid w:val="00381D72"/>
    <w:rsid w:val="00381D9F"/>
    <w:rsid w:val="00381DAF"/>
    <w:rsid w:val="00381E8C"/>
    <w:rsid w:val="00381F4B"/>
    <w:rsid w:val="00381F6E"/>
    <w:rsid w:val="003820CE"/>
    <w:rsid w:val="0038212F"/>
    <w:rsid w:val="00382148"/>
    <w:rsid w:val="0038222E"/>
    <w:rsid w:val="00382463"/>
    <w:rsid w:val="00382759"/>
    <w:rsid w:val="00382A07"/>
    <w:rsid w:val="00383019"/>
    <w:rsid w:val="0038304A"/>
    <w:rsid w:val="00383257"/>
    <w:rsid w:val="003832CC"/>
    <w:rsid w:val="0038330A"/>
    <w:rsid w:val="0038335B"/>
    <w:rsid w:val="00383395"/>
    <w:rsid w:val="003833EE"/>
    <w:rsid w:val="003833F5"/>
    <w:rsid w:val="00383541"/>
    <w:rsid w:val="003835B7"/>
    <w:rsid w:val="003835EB"/>
    <w:rsid w:val="003836A1"/>
    <w:rsid w:val="003836A5"/>
    <w:rsid w:val="00383982"/>
    <w:rsid w:val="00383B02"/>
    <w:rsid w:val="00383B28"/>
    <w:rsid w:val="00383BAA"/>
    <w:rsid w:val="00383EC7"/>
    <w:rsid w:val="00383FDF"/>
    <w:rsid w:val="00383FF0"/>
    <w:rsid w:val="003840E5"/>
    <w:rsid w:val="00384136"/>
    <w:rsid w:val="0038422E"/>
    <w:rsid w:val="003842A4"/>
    <w:rsid w:val="00384529"/>
    <w:rsid w:val="0038465D"/>
    <w:rsid w:val="00384720"/>
    <w:rsid w:val="003847E3"/>
    <w:rsid w:val="00384ABB"/>
    <w:rsid w:val="00384C27"/>
    <w:rsid w:val="00384C54"/>
    <w:rsid w:val="00384CB7"/>
    <w:rsid w:val="00384E8F"/>
    <w:rsid w:val="00384EAC"/>
    <w:rsid w:val="00384F56"/>
    <w:rsid w:val="0038501F"/>
    <w:rsid w:val="00385152"/>
    <w:rsid w:val="003851AB"/>
    <w:rsid w:val="003853A8"/>
    <w:rsid w:val="003853C9"/>
    <w:rsid w:val="0038546F"/>
    <w:rsid w:val="003855FF"/>
    <w:rsid w:val="0038562E"/>
    <w:rsid w:val="003858F5"/>
    <w:rsid w:val="00385918"/>
    <w:rsid w:val="0038594E"/>
    <w:rsid w:val="00385957"/>
    <w:rsid w:val="00385AD0"/>
    <w:rsid w:val="00385AD3"/>
    <w:rsid w:val="00385BC3"/>
    <w:rsid w:val="00385C9E"/>
    <w:rsid w:val="00385CA9"/>
    <w:rsid w:val="00385CAD"/>
    <w:rsid w:val="00385D0E"/>
    <w:rsid w:val="00385D97"/>
    <w:rsid w:val="00385DC7"/>
    <w:rsid w:val="00385EF3"/>
    <w:rsid w:val="00385F29"/>
    <w:rsid w:val="00385F53"/>
    <w:rsid w:val="0038617F"/>
    <w:rsid w:val="003862AF"/>
    <w:rsid w:val="00386455"/>
    <w:rsid w:val="00386559"/>
    <w:rsid w:val="0038656A"/>
    <w:rsid w:val="00386630"/>
    <w:rsid w:val="0038671D"/>
    <w:rsid w:val="00386770"/>
    <w:rsid w:val="00386867"/>
    <w:rsid w:val="00386920"/>
    <w:rsid w:val="00386BCE"/>
    <w:rsid w:val="00386C84"/>
    <w:rsid w:val="00386CB0"/>
    <w:rsid w:val="00386D9B"/>
    <w:rsid w:val="00386EBD"/>
    <w:rsid w:val="00386F76"/>
    <w:rsid w:val="00386FF1"/>
    <w:rsid w:val="00387019"/>
    <w:rsid w:val="00387027"/>
    <w:rsid w:val="003870C4"/>
    <w:rsid w:val="00387133"/>
    <w:rsid w:val="00387252"/>
    <w:rsid w:val="00387277"/>
    <w:rsid w:val="0038747F"/>
    <w:rsid w:val="00387488"/>
    <w:rsid w:val="003874D9"/>
    <w:rsid w:val="00387516"/>
    <w:rsid w:val="00387541"/>
    <w:rsid w:val="003876D9"/>
    <w:rsid w:val="003876EE"/>
    <w:rsid w:val="003876F8"/>
    <w:rsid w:val="00387811"/>
    <w:rsid w:val="00387854"/>
    <w:rsid w:val="0038797B"/>
    <w:rsid w:val="003879DB"/>
    <w:rsid w:val="00387BA3"/>
    <w:rsid w:val="00387C91"/>
    <w:rsid w:val="00387D7A"/>
    <w:rsid w:val="00387D7D"/>
    <w:rsid w:val="00387DDC"/>
    <w:rsid w:val="00387E33"/>
    <w:rsid w:val="00387F29"/>
    <w:rsid w:val="003900F1"/>
    <w:rsid w:val="00390104"/>
    <w:rsid w:val="003901AE"/>
    <w:rsid w:val="003901D7"/>
    <w:rsid w:val="00390579"/>
    <w:rsid w:val="003905F0"/>
    <w:rsid w:val="003906B8"/>
    <w:rsid w:val="00390818"/>
    <w:rsid w:val="00390923"/>
    <w:rsid w:val="00390B25"/>
    <w:rsid w:val="00390CDA"/>
    <w:rsid w:val="00390DB9"/>
    <w:rsid w:val="00390E8A"/>
    <w:rsid w:val="003910D0"/>
    <w:rsid w:val="00391125"/>
    <w:rsid w:val="00391305"/>
    <w:rsid w:val="003914E8"/>
    <w:rsid w:val="00391563"/>
    <w:rsid w:val="003915A1"/>
    <w:rsid w:val="0039171A"/>
    <w:rsid w:val="003917B9"/>
    <w:rsid w:val="003917CF"/>
    <w:rsid w:val="00391852"/>
    <w:rsid w:val="00391A10"/>
    <w:rsid w:val="00391BFA"/>
    <w:rsid w:val="00391C5B"/>
    <w:rsid w:val="00391CC7"/>
    <w:rsid w:val="00391CCA"/>
    <w:rsid w:val="00391D14"/>
    <w:rsid w:val="00391D3E"/>
    <w:rsid w:val="00391D92"/>
    <w:rsid w:val="00391FAE"/>
    <w:rsid w:val="00392195"/>
    <w:rsid w:val="003921C5"/>
    <w:rsid w:val="0039224B"/>
    <w:rsid w:val="0039225C"/>
    <w:rsid w:val="003922B4"/>
    <w:rsid w:val="003923C5"/>
    <w:rsid w:val="00392483"/>
    <w:rsid w:val="00392496"/>
    <w:rsid w:val="003927CA"/>
    <w:rsid w:val="00392810"/>
    <w:rsid w:val="00392A1B"/>
    <w:rsid w:val="00392E10"/>
    <w:rsid w:val="00392E19"/>
    <w:rsid w:val="00393011"/>
    <w:rsid w:val="0039329E"/>
    <w:rsid w:val="00393405"/>
    <w:rsid w:val="00393453"/>
    <w:rsid w:val="003934EA"/>
    <w:rsid w:val="003934FF"/>
    <w:rsid w:val="0039372E"/>
    <w:rsid w:val="00393743"/>
    <w:rsid w:val="003938D1"/>
    <w:rsid w:val="00393C31"/>
    <w:rsid w:val="00393D2A"/>
    <w:rsid w:val="00393DAA"/>
    <w:rsid w:val="00393E10"/>
    <w:rsid w:val="00393F31"/>
    <w:rsid w:val="00393F8F"/>
    <w:rsid w:val="0039418C"/>
    <w:rsid w:val="00394527"/>
    <w:rsid w:val="00394806"/>
    <w:rsid w:val="00394913"/>
    <w:rsid w:val="0039492A"/>
    <w:rsid w:val="00394941"/>
    <w:rsid w:val="00394A3C"/>
    <w:rsid w:val="00394C07"/>
    <w:rsid w:val="00394C16"/>
    <w:rsid w:val="00394CE4"/>
    <w:rsid w:val="00394D9E"/>
    <w:rsid w:val="00394F11"/>
    <w:rsid w:val="0039510D"/>
    <w:rsid w:val="003951C6"/>
    <w:rsid w:val="0039527D"/>
    <w:rsid w:val="003953AC"/>
    <w:rsid w:val="0039550C"/>
    <w:rsid w:val="0039553C"/>
    <w:rsid w:val="0039570C"/>
    <w:rsid w:val="00395E71"/>
    <w:rsid w:val="00395F2D"/>
    <w:rsid w:val="00396043"/>
    <w:rsid w:val="0039607E"/>
    <w:rsid w:val="0039610C"/>
    <w:rsid w:val="003963C4"/>
    <w:rsid w:val="00396505"/>
    <w:rsid w:val="0039658E"/>
    <w:rsid w:val="003965F2"/>
    <w:rsid w:val="00396915"/>
    <w:rsid w:val="003969FF"/>
    <w:rsid w:val="00396ADE"/>
    <w:rsid w:val="00396CD4"/>
    <w:rsid w:val="00396D7F"/>
    <w:rsid w:val="00396D97"/>
    <w:rsid w:val="00396DF3"/>
    <w:rsid w:val="00396E19"/>
    <w:rsid w:val="0039749F"/>
    <w:rsid w:val="003976E1"/>
    <w:rsid w:val="003977E8"/>
    <w:rsid w:val="00397891"/>
    <w:rsid w:val="003978BC"/>
    <w:rsid w:val="00397901"/>
    <w:rsid w:val="00397969"/>
    <w:rsid w:val="00397986"/>
    <w:rsid w:val="00397AE0"/>
    <w:rsid w:val="00397BF6"/>
    <w:rsid w:val="00397DE5"/>
    <w:rsid w:val="00397E53"/>
    <w:rsid w:val="00397E9B"/>
    <w:rsid w:val="00397F2C"/>
    <w:rsid w:val="00397F92"/>
    <w:rsid w:val="003A002B"/>
    <w:rsid w:val="003A00A3"/>
    <w:rsid w:val="003A020A"/>
    <w:rsid w:val="003A025A"/>
    <w:rsid w:val="003A03A8"/>
    <w:rsid w:val="003A040C"/>
    <w:rsid w:val="003A04D2"/>
    <w:rsid w:val="003A051E"/>
    <w:rsid w:val="003A05F0"/>
    <w:rsid w:val="003A06AF"/>
    <w:rsid w:val="003A06F3"/>
    <w:rsid w:val="003A0B91"/>
    <w:rsid w:val="003A0BA1"/>
    <w:rsid w:val="003A0CDF"/>
    <w:rsid w:val="003A0D22"/>
    <w:rsid w:val="003A0E22"/>
    <w:rsid w:val="003A0E56"/>
    <w:rsid w:val="003A0EB5"/>
    <w:rsid w:val="003A105C"/>
    <w:rsid w:val="003A1126"/>
    <w:rsid w:val="003A11C2"/>
    <w:rsid w:val="003A11FC"/>
    <w:rsid w:val="003A13AC"/>
    <w:rsid w:val="003A1498"/>
    <w:rsid w:val="003A14CD"/>
    <w:rsid w:val="003A1559"/>
    <w:rsid w:val="003A1765"/>
    <w:rsid w:val="003A196F"/>
    <w:rsid w:val="003A19A1"/>
    <w:rsid w:val="003A1A6B"/>
    <w:rsid w:val="003A1ABB"/>
    <w:rsid w:val="003A1ABF"/>
    <w:rsid w:val="003A1B6B"/>
    <w:rsid w:val="003A1BFD"/>
    <w:rsid w:val="003A1C50"/>
    <w:rsid w:val="003A1C59"/>
    <w:rsid w:val="003A1C69"/>
    <w:rsid w:val="003A1C72"/>
    <w:rsid w:val="003A1F68"/>
    <w:rsid w:val="003A1FB7"/>
    <w:rsid w:val="003A1FC8"/>
    <w:rsid w:val="003A20E3"/>
    <w:rsid w:val="003A24CE"/>
    <w:rsid w:val="003A2704"/>
    <w:rsid w:val="003A27C2"/>
    <w:rsid w:val="003A2995"/>
    <w:rsid w:val="003A29D4"/>
    <w:rsid w:val="003A2A60"/>
    <w:rsid w:val="003A2A6E"/>
    <w:rsid w:val="003A2C98"/>
    <w:rsid w:val="003A2CC4"/>
    <w:rsid w:val="003A2CFC"/>
    <w:rsid w:val="003A2D6F"/>
    <w:rsid w:val="003A2F45"/>
    <w:rsid w:val="003A30C4"/>
    <w:rsid w:val="003A31BB"/>
    <w:rsid w:val="003A3377"/>
    <w:rsid w:val="003A338F"/>
    <w:rsid w:val="003A3392"/>
    <w:rsid w:val="003A340F"/>
    <w:rsid w:val="003A345D"/>
    <w:rsid w:val="003A352B"/>
    <w:rsid w:val="003A35E9"/>
    <w:rsid w:val="003A3617"/>
    <w:rsid w:val="003A3720"/>
    <w:rsid w:val="003A396D"/>
    <w:rsid w:val="003A39FB"/>
    <w:rsid w:val="003A3A80"/>
    <w:rsid w:val="003A3AA8"/>
    <w:rsid w:val="003A3B5B"/>
    <w:rsid w:val="003A3B8E"/>
    <w:rsid w:val="003A3DC9"/>
    <w:rsid w:val="003A3E4B"/>
    <w:rsid w:val="003A3EBF"/>
    <w:rsid w:val="003A40DC"/>
    <w:rsid w:val="003A41BB"/>
    <w:rsid w:val="003A447C"/>
    <w:rsid w:val="003A44F7"/>
    <w:rsid w:val="003A4521"/>
    <w:rsid w:val="003A475B"/>
    <w:rsid w:val="003A495B"/>
    <w:rsid w:val="003A4AFB"/>
    <w:rsid w:val="003A4C74"/>
    <w:rsid w:val="003A4CA9"/>
    <w:rsid w:val="003A4DD6"/>
    <w:rsid w:val="003A4F2F"/>
    <w:rsid w:val="003A4F74"/>
    <w:rsid w:val="003A4FA7"/>
    <w:rsid w:val="003A5452"/>
    <w:rsid w:val="003A5580"/>
    <w:rsid w:val="003A55AD"/>
    <w:rsid w:val="003A570F"/>
    <w:rsid w:val="003A5764"/>
    <w:rsid w:val="003A5804"/>
    <w:rsid w:val="003A5904"/>
    <w:rsid w:val="003A595D"/>
    <w:rsid w:val="003A5A83"/>
    <w:rsid w:val="003A5B38"/>
    <w:rsid w:val="003A5B6F"/>
    <w:rsid w:val="003A5B8B"/>
    <w:rsid w:val="003A5BE8"/>
    <w:rsid w:val="003A5BF9"/>
    <w:rsid w:val="003A5C11"/>
    <w:rsid w:val="003A5DBF"/>
    <w:rsid w:val="003A5F0D"/>
    <w:rsid w:val="003A6086"/>
    <w:rsid w:val="003A60E7"/>
    <w:rsid w:val="003A6408"/>
    <w:rsid w:val="003A646F"/>
    <w:rsid w:val="003A6490"/>
    <w:rsid w:val="003A67D2"/>
    <w:rsid w:val="003A685C"/>
    <w:rsid w:val="003A698F"/>
    <w:rsid w:val="003A6B24"/>
    <w:rsid w:val="003A6B64"/>
    <w:rsid w:val="003A6B82"/>
    <w:rsid w:val="003A6B89"/>
    <w:rsid w:val="003A6BBA"/>
    <w:rsid w:val="003A6CC1"/>
    <w:rsid w:val="003A6DC6"/>
    <w:rsid w:val="003A6ED4"/>
    <w:rsid w:val="003A7120"/>
    <w:rsid w:val="003A7244"/>
    <w:rsid w:val="003A733B"/>
    <w:rsid w:val="003A73E2"/>
    <w:rsid w:val="003A7692"/>
    <w:rsid w:val="003A7856"/>
    <w:rsid w:val="003A7879"/>
    <w:rsid w:val="003A78E3"/>
    <w:rsid w:val="003A7911"/>
    <w:rsid w:val="003A79D7"/>
    <w:rsid w:val="003A7B6B"/>
    <w:rsid w:val="003A7C44"/>
    <w:rsid w:val="003A7C60"/>
    <w:rsid w:val="003A7C7F"/>
    <w:rsid w:val="003A7E41"/>
    <w:rsid w:val="003B0042"/>
    <w:rsid w:val="003B00B4"/>
    <w:rsid w:val="003B00EE"/>
    <w:rsid w:val="003B0115"/>
    <w:rsid w:val="003B0122"/>
    <w:rsid w:val="003B0167"/>
    <w:rsid w:val="003B018D"/>
    <w:rsid w:val="003B02F0"/>
    <w:rsid w:val="003B0478"/>
    <w:rsid w:val="003B04D9"/>
    <w:rsid w:val="003B06A5"/>
    <w:rsid w:val="003B071B"/>
    <w:rsid w:val="003B0B15"/>
    <w:rsid w:val="003B0BA3"/>
    <w:rsid w:val="003B0BAA"/>
    <w:rsid w:val="003B0D3D"/>
    <w:rsid w:val="003B0D73"/>
    <w:rsid w:val="003B0E0A"/>
    <w:rsid w:val="003B0ED3"/>
    <w:rsid w:val="003B0F22"/>
    <w:rsid w:val="003B0FCD"/>
    <w:rsid w:val="003B10A8"/>
    <w:rsid w:val="003B11D8"/>
    <w:rsid w:val="003B1232"/>
    <w:rsid w:val="003B130D"/>
    <w:rsid w:val="003B13D3"/>
    <w:rsid w:val="003B152E"/>
    <w:rsid w:val="003B15F5"/>
    <w:rsid w:val="003B15FB"/>
    <w:rsid w:val="003B176C"/>
    <w:rsid w:val="003B19A1"/>
    <w:rsid w:val="003B1A06"/>
    <w:rsid w:val="003B1A36"/>
    <w:rsid w:val="003B1CEC"/>
    <w:rsid w:val="003B218C"/>
    <w:rsid w:val="003B2197"/>
    <w:rsid w:val="003B21BE"/>
    <w:rsid w:val="003B225F"/>
    <w:rsid w:val="003B229F"/>
    <w:rsid w:val="003B22F0"/>
    <w:rsid w:val="003B2394"/>
    <w:rsid w:val="003B252A"/>
    <w:rsid w:val="003B25A7"/>
    <w:rsid w:val="003B26BC"/>
    <w:rsid w:val="003B2792"/>
    <w:rsid w:val="003B27BB"/>
    <w:rsid w:val="003B2881"/>
    <w:rsid w:val="003B2CEF"/>
    <w:rsid w:val="003B2E6A"/>
    <w:rsid w:val="003B2F25"/>
    <w:rsid w:val="003B2FC1"/>
    <w:rsid w:val="003B3009"/>
    <w:rsid w:val="003B308A"/>
    <w:rsid w:val="003B32B2"/>
    <w:rsid w:val="003B33D3"/>
    <w:rsid w:val="003B34F8"/>
    <w:rsid w:val="003B356B"/>
    <w:rsid w:val="003B359B"/>
    <w:rsid w:val="003B35C6"/>
    <w:rsid w:val="003B37C7"/>
    <w:rsid w:val="003B3937"/>
    <w:rsid w:val="003B39F3"/>
    <w:rsid w:val="003B3ABC"/>
    <w:rsid w:val="003B3B95"/>
    <w:rsid w:val="003B3F5E"/>
    <w:rsid w:val="003B408E"/>
    <w:rsid w:val="003B4142"/>
    <w:rsid w:val="003B4262"/>
    <w:rsid w:val="003B4340"/>
    <w:rsid w:val="003B45C2"/>
    <w:rsid w:val="003B45E8"/>
    <w:rsid w:val="003B4777"/>
    <w:rsid w:val="003B4792"/>
    <w:rsid w:val="003B48AC"/>
    <w:rsid w:val="003B49CD"/>
    <w:rsid w:val="003B4B37"/>
    <w:rsid w:val="003B4B88"/>
    <w:rsid w:val="003B4CA3"/>
    <w:rsid w:val="003B4D84"/>
    <w:rsid w:val="003B4E88"/>
    <w:rsid w:val="003B5424"/>
    <w:rsid w:val="003B5457"/>
    <w:rsid w:val="003B5481"/>
    <w:rsid w:val="003B55C0"/>
    <w:rsid w:val="003B5627"/>
    <w:rsid w:val="003B5923"/>
    <w:rsid w:val="003B5A04"/>
    <w:rsid w:val="003B5A35"/>
    <w:rsid w:val="003B5A70"/>
    <w:rsid w:val="003B5A8E"/>
    <w:rsid w:val="003B5AF3"/>
    <w:rsid w:val="003B5D5B"/>
    <w:rsid w:val="003B5D91"/>
    <w:rsid w:val="003B5F34"/>
    <w:rsid w:val="003B6051"/>
    <w:rsid w:val="003B6057"/>
    <w:rsid w:val="003B6364"/>
    <w:rsid w:val="003B636E"/>
    <w:rsid w:val="003B6556"/>
    <w:rsid w:val="003B6794"/>
    <w:rsid w:val="003B6807"/>
    <w:rsid w:val="003B6901"/>
    <w:rsid w:val="003B69D1"/>
    <w:rsid w:val="003B6CAB"/>
    <w:rsid w:val="003B6F09"/>
    <w:rsid w:val="003B71DE"/>
    <w:rsid w:val="003B7533"/>
    <w:rsid w:val="003B76F2"/>
    <w:rsid w:val="003B76FC"/>
    <w:rsid w:val="003B783C"/>
    <w:rsid w:val="003B7A29"/>
    <w:rsid w:val="003B7ABA"/>
    <w:rsid w:val="003B7B59"/>
    <w:rsid w:val="003B7B79"/>
    <w:rsid w:val="003B7C2F"/>
    <w:rsid w:val="003B7C5C"/>
    <w:rsid w:val="003B7E44"/>
    <w:rsid w:val="003B7E63"/>
    <w:rsid w:val="003B7EE8"/>
    <w:rsid w:val="003B7F01"/>
    <w:rsid w:val="003B7F7C"/>
    <w:rsid w:val="003B7FAC"/>
    <w:rsid w:val="003C0156"/>
    <w:rsid w:val="003C016D"/>
    <w:rsid w:val="003C01D3"/>
    <w:rsid w:val="003C026B"/>
    <w:rsid w:val="003C02C1"/>
    <w:rsid w:val="003C0354"/>
    <w:rsid w:val="003C0480"/>
    <w:rsid w:val="003C04DB"/>
    <w:rsid w:val="003C057A"/>
    <w:rsid w:val="003C05BD"/>
    <w:rsid w:val="003C0782"/>
    <w:rsid w:val="003C099A"/>
    <w:rsid w:val="003C09DA"/>
    <w:rsid w:val="003C0A9D"/>
    <w:rsid w:val="003C0B9D"/>
    <w:rsid w:val="003C0BA5"/>
    <w:rsid w:val="003C0BCB"/>
    <w:rsid w:val="003C0DFF"/>
    <w:rsid w:val="003C0ECC"/>
    <w:rsid w:val="003C0F6B"/>
    <w:rsid w:val="003C0FE0"/>
    <w:rsid w:val="003C1091"/>
    <w:rsid w:val="003C1128"/>
    <w:rsid w:val="003C1219"/>
    <w:rsid w:val="003C1384"/>
    <w:rsid w:val="003C1465"/>
    <w:rsid w:val="003C14A1"/>
    <w:rsid w:val="003C14A7"/>
    <w:rsid w:val="003C1702"/>
    <w:rsid w:val="003C1744"/>
    <w:rsid w:val="003C181D"/>
    <w:rsid w:val="003C19A1"/>
    <w:rsid w:val="003C1AC7"/>
    <w:rsid w:val="003C1E11"/>
    <w:rsid w:val="003C2311"/>
    <w:rsid w:val="003C23CA"/>
    <w:rsid w:val="003C246D"/>
    <w:rsid w:val="003C251E"/>
    <w:rsid w:val="003C257A"/>
    <w:rsid w:val="003C26E7"/>
    <w:rsid w:val="003C279F"/>
    <w:rsid w:val="003C2829"/>
    <w:rsid w:val="003C28A0"/>
    <w:rsid w:val="003C2AAC"/>
    <w:rsid w:val="003C2B02"/>
    <w:rsid w:val="003C2C42"/>
    <w:rsid w:val="003C2C9C"/>
    <w:rsid w:val="003C2CDB"/>
    <w:rsid w:val="003C2D96"/>
    <w:rsid w:val="003C2FC0"/>
    <w:rsid w:val="003C2FC8"/>
    <w:rsid w:val="003C315F"/>
    <w:rsid w:val="003C33C2"/>
    <w:rsid w:val="003C33E4"/>
    <w:rsid w:val="003C3473"/>
    <w:rsid w:val="003C3499"/>
    <w:rsid w:val="003C34CE"/>
    <w:rsid w:val="003C34E5"/>
    <w:rsid w:val="003C3507"/>
    <w:rsid w:val="003C3560"/>
    <w:rsid w:val="003C35BB"/>
    <w:rsid w:val="003C35BE"/>
    <w:rsid w:val="003C361C"/>
    <w:rsid w:val="003C3663"/>
    <w:rsid w:val="003C374B"/>
    <w:rsid w:val="003C37B1"/>
    <w:rsid w:val="003C3829"/>
    <w:rsid w:val="003C3958"/>
    <w:rsid w:val="003C3998"/>
    <w:rsid w:val="003C3C17"/>
    <w:rsid w:val="003C3DA6"/>
    <w:rsid w:val="003C3F2B"/>
    <w:rsid w:val="003C406C"/>
    <w:rsid w:val="003C41D1"/>
    <w:rsid w:val="003C4225"/>
    <w:rsid w:val="003C43AA"/>
    <w:rsid w:val="003C4409"/>
    <w:rsid w:val="003C4447"/>
    <w:rsid w:val="003C44FD"/>
    <w:rsid w:val="003C4513"/>
    <w:rsid w:val="003C458B"/>
    <w:rsid w:val="003C4795"/>
    <w:rsid w:val="003C4885"/>
    <w:rsid w:val="003C4895"/>
    <w:rsid w:val="003C4958"/>
    <w:rsid w:val="003C4959"/>
    <w:rsid w:val="003C499B"/>
    <w:rsid w:val="003C49BC"/>
    <w:rsid w:val="003C4A3A"/>
    <w:rsid w:val="003C4B3B"/>
    <w:rsid w:val="003C4B97"/>
    <w:rsid w:val="003C4BB2"/>
    <w:rsid w:val="003C4CAE"/>
    <w:rsid w:val="003C4D06"/>
    <w:rsid w:val="003C4D4B"/>
    <w:rsid w:val="003C4D6F"/>
    <w:rsid w:val="003C4DB5"/>
    <w:rsid w:val="003C4F19"/>
    <w:rsid w:val="003C4F1A"/>
    <w:rsid w:val="003C4F76"/>
    <w:rsid w:val="003C504D"/>
    <w:rsid w:val="003C5299"/>
    <w:rsid w:val="003C536A"/>
    <w:rsid w:val="003C53A1"/>
    <w:rsid w:val="003C53C7"/>
    <w:rsid w:val="003C53E3"/>
    <w:rsid w:val="003C54F9"/>
    <w:rsid w:val="003C55F2"/>
    <w:rsid w:val="003C5672"/>
    <w:rsid w:val="003C56DE"/>
    <w:rsid w:val="003C572A"/>
    <w:rsid w:val="003C582C"/>
    <w:rsid w:val="003C586A"/>
    <w:rsid w:val="003C5997"/>
    <w:rsid w:val="003C5A65"/>
    <w:rsid w:val="003C5B08"/>
    <w:rsid w:val="003C5B13"/>
    <w:rsid w:val="003C5B9E"/>
    <w:rsid w:val="003C5C75"/>
    <w:rsid w:val="003C5EB2"/>
    <w:rsid w:val="003C5EF4"/>
    <w:rsid w:val="003C5F3F"/>
    <w:rsid w:val="003C607B"/>
    <w:rsid w:val="003C61A5"/>
    <w:rsid w:val="003C61DC"/>
    <w:rsid w:val="003C6442"/>
    <w:rsid w:val="003C64A8"/>
    <w:rsid w:val="003C64EA"/>
    <w:rsid w:val="003C672B"/>
    <w:rsid w:val="003C67F2"/>
    <w:rsid w:val="003C6886"/>
    <w:rsid w:val="003C6A61"/>
    <w:rsid w:val="003C6B7F"/>
    <w:rsid w:val="003C6BC9"/>
    <w:rsid w:val="003C6E0A"/>
    <w:rsid w:val="003C6EA5"/>
    <w:rsid w:val="003C6FAB"/>
    <w:rsid w:val="003C702A"/>
    <w:rsid w:val="003C7205"/>
    <w:rsid w:val="003C7224"/>
    <w:rsid w:val="003C7279"/>
    <w:rsid w:val="003C739E"/>
    <w:rsid w:val="003C73DE"/>
    <w:rsid w:val="003C7448"/>
    <w:rsid w:val="003C75A8"/>
    <w:rsid w:val="003C76B3"/>
    <w:rsid w:val="003C77E5"/>
    <w:rsid w:val="003C77F1"/>
    <w:rsid w:val="003C7870"/>
    <w:rsid w:val="003C7945"/>
    <w:rsid w:val="003C79A0"/>
    <w:rsid w:val="003C7AA4"/>
    <w:rsid w:val="003C7B81"/>
    <w:rsid w:val="003C7BC2"/>
    <w:rsid w:val="003C7C21"/>
    <w:rsid w:val="003C7E44"/>
    <w:rsid w:val="003C7E59"/>
    <w:rsid w:val="003C7EA6"/>
    <w:rsid w:val="003D00A6"/>
    <w:rsid w:val="003D013B"/>
    <w:rsid w:val="003D01C4"/>
    <w:rsid w:val="003D01E2"/>
    <w:rsid w:val="003D01FE"/>
    <w:rsid w:val="003D03D1"/>
    <w:rsid w:val="003D04C6"/>
    <w:rsid w:val="003D0674"/>
    <w:rsid w:val="003D06DF"/>
    <w:rsid w:val="003D0737"/>
    <w:rsid w:val="003D07D5"/>
    <w:rsid w:val="003D08FC"/>
    <w:rsid w:val="003D0A40"/>
    <w:rsid w:val="003D0A5D"/>
    <w:rsid w:val="003D0C22"/>
    <w:rsid w:val="003D0CB2"/>
    <w:rsid w:val="003D0EBB"/>
    <w:rsid w:val="003D0EC2"/>
    <w:rsid w:val="003D0F46"/>
    <w:rsid w:val="003D0F77"/>
    <w:rsid w:val="003D10B9"/>
    <w:rsid w:val="003D11C4"/>
    <w:rsid w:val="003D12AB"/>
    <w:rsid w:val="003D1380"/>
    <w:rsid w:val="003D1392"/>
    <w:rsid w:val="003D13B5"/>
    <w:rsid w:val="003D1442"/>
    <w:rsid w:val="003D144C"/>
    <w:rsid w:val="003D153F"/>
    <w:rsid w:val="003D1868"/>
    <w:rsid w:val="003D186A"/>
    <w:rsid w:val="003D1941"/>
    <w:rsid w:val="003D1A4E"/>
    <w:rsid w:val="003D1A9E"/>
    <w:rsid w:val="003D1E22"/>
    <w:rsid w:val="003D1F36"/>
    <w:rsid w:val="003D1F9D"/>
    <w:rsid w:val="003D207F"/>
    <w:rsid w:val="003D249E"/>
    <w:rsid w:val="003D258D"/>
    <w:rsid w:val="003D26B1"/>
    <w:rsid w:val="003D273F"/>
    <w:rsid w:val="003D2793"/>
    <w:rsid w:val="003D286D"/>
    <w:rsid w:val="003D2D39"/>
    <w:rsid w:val="003D2F8B"/>
    <w:rsid w:val="003D3135"/>
    <w:rsid w:val="003D318D"/>
    <w:rsid w:val="003D31A5"/>
    <w:rsid w:val="003D322F"/>
    <w:rsid w:val="003D33AD"/>
    <w:rsid w:val="003D33AE"/>
    <w:rsid w:val="003D3504"/>
    <w:rsid w:val="003D3550"/>
    <w:rsid w:val="003D3718"/>
    <w:rsid w:val="003D3848"/>
    <w:rsid w:val="003D3A07"/>
    <w:rsid w:val="003D3AF0"/>
    <w:rsid w:val="003D3FA2"/>
    <w:rsid w:val="003D3FC8"/>
    <w:rsid w:val="003D4171"/>
    <w:rsid w:val="003D4357"/>
    <w:rsid w:val="003D4538"/>
    <w:rsid w:val="003D4575"/>
    <w:rsid w:val="003D45D5"/>
    <w:rsid w:val="003D4672"/>
    <w:rsid w:val="003D46B2"/>
    <w:rsid w:val="003D4859"/>
    <w:rsid w:val="003D4996"/>
    <w:rsid w:val="003D4A35"/>
    <w:rsid w:val="003D4A64"/>
    <w:rsid w:val="003D4B29"/>
    <w:rsid w:val="003D4C9B"/>
    <w:rsid w:val="003D4CCC"/>
    <w:rsid w:val="003D4CDA"/>
    <w:rsid w:val="003D4E72"/>
    <w:rsid w:val="003D5190"/>
    <w:rsid w:val="003D51C7"/>
    <w:rsid w:val="003D52FE"/>
    <w:rsid w:val="003D54CF"/>
    <w:rsid w:val="003D557F"/>
    <w:rsid w:val="003D563E"/>
    <w:rsid w:val="003D5711"/>
    <w:rsid w:val="003D57B1"/>
    <w:rsid w:val="003D57EF"/>
    <w:rsid w:val="003D5A06"/>
    <w:rsid w:val="003D5ABF"/>
    <w:rsid w:val="003D5AEE"/>
    <w:rsid w:val="003D5D06"/>
    <w:rsid w:val="003D5F8A"/>
    <w:rsid w:val="003D6050"/>
    <w:rsid w:val="003D622F"/>
    <w:rsid w:val="003D6284"/>
    <w:rsid w:val="003D63CF"/>
    <w:rsid w:val="003D640C"/>
    <w:rsid w:val="003D6572"/>
    <w:rsid w:val="003D6845"/>
    <w:rsid w:val="003D6994"/>
    <w:rsid w:val="003D69DC"/>
    <w:rsid w:val="003D69FD"/>
    <w:rsid w:val="003D6BD4"/>
    <w:rsid w:val="003D6F77"/>
    <w:rsid w:val="003D701E"/>
    <w:rsid w:val="003D705D"/>
    <w:rsid w:val="003D7147"/>
    <w:rsid w:val="003D7842"/>
    <w:rsid w:val="003D7982"/>
    <w:rsid w:val="003D7A93"/>
    <w:rsid w:val="003D7EA8"/>
    <w:rsid w:val="003D7F34"/>
    <w:rsid w:val="003D7FEA"/>
    <w:rsid w:val="003E0127"/>
    <w:rsid w:val="003E0342"/>
    <w:rsid w:val="003E038C"/>
    <w:rsid w:val="003E05B2"/>
    <w:rsid w:val="003E0675"/>
    <w:rsid w:val="003E0764"/>
    <w:rsid w:val="003E093E"/>
    <w:rsid w:val="003E09D8"/>
    <w:rsid w:val="003E0C56"/>
    <w:rsid w:val="003E0D5D"/>
    <w:rsid w:val="003E0D6C"/>
    <w:rsid w:val="003E0E1D"/>
    <w:rsid w:val="003E0F3E"/>
    <w:rsid w:val="003E12C2"/>
    <w:rsid w:val="003E1412"/>
    <w:rsid w:val="003E1563"/>
    <w:rsid w:val="003E1898"/>
    <w:rsid w:val="003E19FD"/>
    <w:rsid w:val="003E1A9F"/>
    <w:rsid w:val="003E1B22"/>
    <w:rsid w:val="003E1DCF"/>
    <w:rsid w:val="003E1DF8"/>
    <w:rsid w:val="003E1F25"/>
    <w:rsid w:val="003E2089"/>
    <w:rsid w:val="003E2207"/>
    <w:rsid w:val="003E23BB"/>
    <w:rsid w:val="003E2478"/>
    <w:rsid w:val="003E2534"/>
    <w:rsid w:val="003E2625"/>
    <w:rsid w:val="003E269D"/>
    <w:rsid w:val="003E2779"/>
    <w:rsid w:val="003E27D8"/>
    <w:rsid w:val="003E27E3"/>
    <w:rsid w:val="003E2AC5"/>
    <w:rsid w:val="003E2BB5"/>
    <w:rsid w:val="003E2C3A"/>
    <w:rsid w:val="003E2C4C"/>
    <w:rsid w:val="003E2C90"/>
    <w:rsid w:val="003E2D48"/>
    <w:rsid w:val="003E2F5B"/>
    <w:rsid w:val="003E2F81"/>
    <w:rsid w:val="003E30C7"/>
    <w:rsid w:val="003E34E3"/>
    <w:rsid w:val="003E3579"/>
    <w:rsid w:val="003E369D"/>
    <w:rsid w:val="003E36BA"/>
    <w:rsid w:val="003E36CD"/>
    <w:rsid w:val="003E3846"/>
    <w:rsid w:val="003E397B"/>
    <w:rsid w:val="003E3AC9"/>
    <w:rsid w:val="003E3B43"/>
    <w:rsid w:val="003E3BA3"/>
    <w:rsid w:val="003E3CB3"/>
    <w:rsid w:val="003E3CDB"/>
    <w:rsid w:val="003E3D26"/>
    <w:rsid w:val="003E3E45"/>
    <w:rsid w:val="003E3E85"/>
    <w:rsid w:val="003E404E"/>
    <w:rsid w:val="003E423A"/>
    <w:rsid w:val="003E4271"/>
    <w:rsid w:val="003E42CC"/>
    <w:rsid w:val="003E4302"/>
    <w:rsid w:val="003E43C3"/>
    <w:rsid w:val="003E4660"/>
    <w:rsid w:val="003E46F3"/>
    <w:rsid w:val="003E4736"/>
    <w:rsid w:val="003E47CA"/>
    <w:rsid w:val="003E4838"/>
    <w:rsid w:val="003E4888"/>
    <w:rsid w:val="003E492C"/>
    <w:rsid w:val="003E4981"/>
    <w:rsid w:val="003E4CFE"/>
    <w:rsid w:val="003E4DEF"/>
    <w:rsid w:val="003E4E01"/>
    <w:rsid w:val="003E4E49"/>
    <w:rsid w:val="003E4EE4"/>
    <w:rsid w:val="003E51F0"/>
    <w:rsid w:val="003E5596"/>
    <w:rsid w:val="003E5618"/>
    <w:rsid w:val="003E5672"/>
    <w:rsid w:val="003E5AF5"/>
    <w:rsid w:val="003E5AF8"/>
    <w:rsid w:val="003E5B22"/>
    <w:rsid w:val="003E5B72"/>
    <w:rsid w:val="003E5BFA"/>
    <w:rsid w:val="003E5E7E"/>
    <w:rsid w:val="003E5F2B"/>
    <w:rsid w:val="003E5F3F"/>
    <w:rsid w:val="003E5F9B"/>
    <w:rsid w:val="003E5FFF"/>
    <w:rsid w:val="003E6000"/>
    <w:rsid w:val="003E6117"/>
    <w:rsid w:val="003E62A7"/>
    <w:rsid w:val="003E68C1"/>
    <w:rsid w:val="003E699E"/>
    <w:rsid w:val="003E69F6"/>
    <w:rsid w:val="003E6C51"/>
    <w:rsid w:val="003E6EA2"/>
    <w:rsid w:val="003E6F1F"/>
    <w:rsid w:val="003E7073"/>
    <w:rsid w:val="003E70A6"/>
    <w:rsid w:val="003E70C7"/>
    <w:rsid w:val="003E7196"/>
    <w:rsid w:val="003E71F0"/>
    <w:rsid w:val="003E740A"/>
    <w:rsid w:val="003E752D"/>
    <w:rsid w:val="003E7565"/>
    <w:rsid w:val="003E7785"/>
    <w:rsid w:val="003E7840"/>
    <w:rsid w:val="003E785C"/>
    <w:rsid w:val="003E78E9"/>
    <w:rsid w:val="003E78F7"/>
    <w:rsid w:val="003E7B6B"/>
    <w:rsid w:val="003E7B95"/>
    <w:rsid w:val="003E7BC8"/>
    <w:rsid w:val="003E7D04"/>
    <w:rsid w:val="003E7E0A"/>
    <w:rsid w:val="003E7E59"/>
    <w:rsid w:val="003E7F96"/>
    <w:rsid w:val="003E7F9E"/>
    <w:rsid w:val="003F0048"/>
    <w:rsid w:val="003F06E9"/>
    <w:rsid w:val="003F08CC"/>
    <w:rsid w:val="003F08EA"/>
    <w:rsid w:val="003F0946"/>
    <w:rsid w:val="003F0A59"/>
    <w:rsid w:val="003F0B22"/>
    <w:rsid w:val="003F0C4F"/>
    <w:rsid w:val="003F0EAE"/>
    <w:rsid w:val="003F0EFB"/>
    <w:rsid w:val="003F0FD5"/>
    <w:rsid w:val="003F113F"/>
    <w:rsid w:val="003F11FA"/>
    <w:rsid w:val="003F1267"/>
    <w:rsid w:val="003F1505"/>
    <w:rsid w:val="003F1522"/>
    <w:rsid w:val="003F179A"/>
    <w:rsid w:val="003F18AE"/>
    <w:rsid w:val="003F1A8B"/>
    <w:rsid w:val="003F1B68"/>
    <w:rsid w:val="003F1BA9"/>
    <w:rsid w:val="003F1BEF"/>
    <w:rsid w:val="003F1CA6"/>
    <w:rsid w:val="003F1DB2"/>
    <w:rsid w:val="003F1FD5"/>
    <w:rsid w:val="003F204C"/>
    <w:rsid w:val="003F213C"/>
    <w:rsid w:val="003F24DE"/>
    <w:rsid w:val="003F2589"/>
    <w:rsid w:val="003F27C3"/>
    <w:rsid w:val="003F28AB"/>
    <w:rsid w:val="003F2A1E"/>
    <w:rsid w:val="003F2B3C"/>
    <w:rsid w:val="003F2C17"/>
    <w:rsid w:val="003F2C5F"/>
    <w:rsid w:val="003F2CCD"/>
    <w:rsid w:val="003F2DC9"/>
    <w:rsid w:val="003F2EE5"/>
    <w:rsid w:val="003F2FAC"/>
    <w:rsid w:val="003F3057"/>
    <w:rsid w:val="003F3149"/>
    <w:rsid w:val="003F3174"/>
    <w:rsid w:val="003F3243"/>
    <w:rsid w:val="003F324D"/>
    <w:rsid w:val="003F338C"/>
    <w:rsid w:val="003F3499"/>
    <w:rsid w:val="003F34A5"/>
    <w:rsid w:val="003F36D0"/>
    <w:rsid w:val="003F36E7"/>
    <w:rsid w:val="003F3716"/>
    <w:rsid w:val="003F3747"/>
    <w:rsid w:val="003F3874"/>
    <w:rsid w:val="003F393D"/>
    <w:rsid w:val="003F3943"/>
    <w:rsid w:val="003F3B68"/>
    <w:rsid w:val="003F41E7"/>
    <w:rsid w:val="003F4292"/>
    <w:rsid w:val="003F429D"/>
    <w:rsid w:val="003F42F0"/>
    <w:rsid w:val="003F43E7"/>
    <w:rsid w:val="003F4684"/>
    <w:rsid w:val="003F487E"/>
    <w:rsid w:val="003F489B"/>
    <w:rsid w:val="003F49CF"/>
    <w:rsid w:val="003F4A05"/>
    <w:rsid w:val="003F4C9F"/>
    <w:rsid w:val="003F4E57"/>
    <w:rsid w:val="003F4E91"/>
    <w:rsid w:val="003F4F4D"/>
    <w:rsid w:val="003F4FA3"/>
    <w:rsid w:val="003F50FF"/>
    <w:rsid w:val="003F5168"/>
    <w:rsid w:val="003F51CD"/>
    <w:rsid w:val="003F51E5"/>
    <w:rsid w:val="003F523E"/>
    <w:rsid w:val="003F5355"/>
    <w:rsid w:val="003F544E"/>
    <w:rsid w:val="003F55DA"/>
    <w:rsid w:val="003F57FF"/>
    <w:rsid w:val="003F5815"/>
    <w:rsid w:val="003F58E7"/>
    <w:rsid w:val="003F598B"/>
    <w:rsid w:val="003F5992"/>
    <w:rsid w:val="003F5B06"/>
    <w:rsid w:val="003F5BE9"/>
    <w:rsid w:val="003F5BEC"/>
    <w:rsid w:val="003F5C29"/>
    <w:rsid w:val="003F5D11"/>
    <w:rsid w:val="003F5E46"/>
    <w:rsid w:val="003F5F69"/>
    <w:rsid w:val="003F6010"/>
    <w:rsid w:val="003F6304"/>
    <w:rsid w:val="003F6487"/>
    <w:rsid w:val="003F64CF"/>
    <w:rsid w:val="003F679A"/>
    <w:rsid w:val="003F68A3"/>
    <w:rsid w:val="003F69A1"/>
    <w:rsid w:val="003F69D9"/>
    <w:rsid w:val="003F6D4D"/>
    <w:rsid w:val="003F6DC7"/>
    <w:rsid w:val="003F6EAF"/>
    <w:rsid w:val="003F6ED6"/>
    <w:rsid w:val="003F6FAB"/>
    <w:rsid w:val="003F6FBD"/>
    <w:rsid w:val="003F6FEA"/>
    <w:rsid w:val="003F6FF3"/>
    <w:rsid w:val="003F7105"/>
    <w:rsid w:val="003F745E"/>
    <w:rsid w:val="003F7633"/>
    <w:rsid w:val="003F77CD"/>
    <w:rsid w:val="003F78B4"/>
    <w:rsid w:val="003F7901"/>
    <w:rsid w:val="003F7B13"/>
    <w:rsid w:val="003F7B17"/>
    <w:rsid w:val="003F7CBD"/>
    <w:rsid w:val="003F7CEC"/>
    <w:rsid w:val="003F7DC1"/>
    <w:rsid w:val="003F7DE4"/>
    <w:rsid w:val="003F7F71"/>
    <w:rsid w:val="003F7FD9"/>
    <w:rsid w:val="0040002B"/>
    <w:rsid w:val="00400078"/>
    <w:rsid w:val="0040017F"/>
    <w:rsid w:val="004001D3"/>
    <w:rsid w:val="004002F0"/>
    <w:rsid w:val="004003A8"/>
    <w:rsid w:val="00400A1B"/>
    <w:rsid w:val="00400C81"/>
    <w:rsid w:val="00400CED"/>
    <w:rsid w:val="00400D64"/>
    <w:rsid w:val="00400E21"/>
    <w:rsid w:val="00400F2B"/>
    <w:rsid w:val="0040109E"/>
    <w:rsid w:val="004010B3"/>
    <w:rsid w:val="00401107"/>
    <w:rsid w:val="0040114C"/>
    <w:rsid w:val="0040118D"/>
    <w:rsid w:val="004011A1"/>
    <w:rsid w:val="004011F0"/>
    <w:rsid w:val="00401299"/>
    <w:rsid w:val="004013AA"/>
    <w:rsid w:val="0040142D"/>
    <w:rsid w:val="004014C4"/>
    <w:rsid w:val="00401574"/>
    <w:rsid w:val="00401727"/>
    <w:rsid w:val="00401882"/>
    <w:rsid w:val="00401AE4"/>
    <w:rsid w:val="00401B86"/>
    <w:rsid w:val="00401DEA"/>
    <w:rsid w:val="00401E7E"/>
    <w:rsid w:val="00402193"/>
    <w:rsid w:val="004025A2"/>
    <w:rsid w:val="004025B9"/>
    <w:rsid w:val="00402858"/>
    <w:rsid w:val="00402D6E"/>
    <w:rsid w:val="00402ED0"/>
    <w:rsid w:val="00402F01"/>
    <w:rsid w:val="00402FEB"/>
    <w:rsid w:val="0040302C"/>
    <w:rsid w:val="00403430"/>
    <w:rsid w:val="004034B0"/>
    <w:rsid w:val="00403552"/>
    <w:rsid w:val="004035B6"/>
    <w:rsid w:val="0040364D"/>
    <w:rsid w:val="00403CEA"/>
    <w:rsid w:val="00403F1B"/>
    <w:rsid w:val="00404022"/>
    <w:rsid w:val="004042E4"/>
    <w:rsid w:val="00404343"/>
    <w:rsid w:val="004046D1"/>
    <w:rsid w:val="00404710"/>
    <w:rsid w:val="0040488B"/>
    <w:rsid w:val="00404A70"/>
    <w:rsid w:val="00404A82"/>
    <w:rsid w:val="00404AB7"/>
    <w:rsid w:val="00404B18"/>
    <w:rsid w:val="00404BC0"/>
    <w:rsid w:val="00404C22"/>
    <w:rsid w:val="00404D46"/>
    <w:rsid w:val="004051DB"/>
    <w:rsid w:val="00405344"/>
    <w:rsid w:val="004053FB"/>
    <w:rsid w:val="00405426"/>
    <w:rsid w:val="004054EA"/>
    <w:rsid w:val="00405556"/>
    <w:rsid w:val="0040555D"/>
    <w:rsid w:val="004055DF"/>
    <w:rsid w:val="00405636"/>
    <w:rsid w:val="0040572C"/>
    <w:rsid w:val="004058FD"/>
    <w:rsid w:val="004059BA"/>
    <w:rsid w:val="00405A09"/>
    <w:rsid w:val="00405B44"/>
    <w:rsid w:val="00405E5A"/>
    <w:rsid w:val="00405F6E"/>
    <w:rsid w:val="004062A5"/>
    <w:rsid w:val="004063BB"/>
    <w:rsid w:val="00406427"/>
    <w:rsid w:val="0040647C"/>
    <w:rsid w:val="0040656B"/>
    <w:rsid w:val="00406580"/>
    <w:rsid w:val="00406668"/>
    <w:rsid w:val="0040686F"/>
    <w:rsid w:val="004068B6"/>
    <w:rsid w:val="00406924"/>
    <w:rsid w:val="00406A37"/>
    <w:rsid w:val="00406A9D"/>
    <w:rsid w:val="00406BC8"/>
    <w:rsid w:val="00406FF9"/>
    <w:rsid w:val="00407068"/>
    <w:rsid w:val="004070D7"/>
    <w:rsid w:val="004071F4"/>
    <w:rsid w:val="00407323"/>
    <w:rsid w:val="004073D5"/>
    <w:rsid w:val="0040745F"/>
    <w:rsid w:val="00407467"/>
    <w:rsid w:val="00407479"/>
    <w:rsid w:val="00407597"/>
    <w:rsid w:val="004075F8"/>
    <w:rsid w:val="00407822"/>
    <w:rsid w:val="004079FF"/>
    <w:rsid w:val="00407A7C"/>
    <w:rsid w:val="00407B92"/>
    <w:rsid w:val="00407D33"/>
    <w:rsid w:val="00407F1C"/>
    <w:rsid w:val="00407F54"/>
    <w:rsid w:val="00407F98"/>
    <w:rsid w:val="00410053"/>
    <w:rsid w:val="004103DE"/>
    <w:rsid w:val="0041040B"/>
    <w:rsid w:val="004107CC"/>
    <w:rsid w:val="00410803"/>
    <w:rsid w:val="00410AF3"/>
    <w:rsid w:val="00410D3B"/>
    <w:rsid w:val="00410E6E"/>
    <w:rsid w:val="00410F27"/>
    <w:rsid w:val="00411082"/>
    <w:rsid w:val="00411190"/>
    <w:rsid w:val="00411506"/>
    <w:rsid w:val="0041160D"/>
    <w:rsid w:val="0041165F"/>
    <w:rsid w:val="0041166D"/>
    <w:rsid w:val="004116B8"/>
    <w:rsid w:val="00411706"/>
    <w:rsid w:val="00411734"/>
    <w:rsid w:val="00411748"/>
    <w:rsid w:val="004119CF"/>
    <w:rsid w:val="00411AD6"/>
    <w:rsid w:val="00411C4B"/>
    <w:rsid w:val="00411E58"/>
    <w:rsid w:val="00411EB1"/>
    <w:rsid w:val="00411FB2"/>
    <w:rsid w:val="00412011"/>
    <w:rsid w:val="004121B2"/>
    <w:rsid w:val="004121E7"/>
    <w:rsid w:val="00412328"/>
    <w:rsid w:val="004123C7"/>
    <w:rsid w:val="0041241D"/>
    <w:rsid w:val="00412513"/>
    <w:rsid w:val="00412599"/>
    <w:rsid w:val="004126BC"/>
    <w:rsid w:val="0041275B"/>
    <w:rsid w:val="0041297D"/>
    <w:rsid w:val="00412AD6"/>
    <w:rsid w:val="00412E3A"/>
    <w:rsid w:val="00412F63"/>
    <w:rsid w:val="00413001"/>
    <w:rsid w:val="004131F6"/>
    <w:rsid w:val="00413241"/>
    <w:rsid w:val="004132C1"/>
    <w:rsid w:val="0041334A"/>
    <w:rsid w:val="004134B9"/>
    <w:rsid w:val="004134C1"/>
    <w:rsid w:val="004136DB"/>
    <w:rsid w:val="00413812"/>
    <w:rsid w:val="0041386F"/>
    <w:rsid w:val="0041388F"/>
    <w:rsid w:val="00413984"/>
    <w:rsid w:val="004139B0"/>
    <w:rsid w:val="004139E2"/>
    <w:rsid w:val="00413A2A"/>
    <w:rsid w:val="00413AD2"/>
    <w:rsid w:val="00413D1B"/>
    <w:rsid w:val="00413ECD"/>
    <w:rsid w:val="00413F72"/>
    <w:rsid w:val="00413F81"/>
    <w:rsid w:val="004140DE"/>
    <w:rsid w:val="0041414A"/>
    <w:rsid w:val="004141C0"/>
    <w:rsid w:val="00414213"/>
    <w:rsid w:val="004142C4"/>
    <w:rsid w:val="004143CE"/>
    <w:rsid w:val="0041455A"/>
    <w:rsid w:val="00414607"/>
    <w:rsid w:val="00414919"/>
    <w:rsid w:val="0041495E"/>
    <w:rsid w:val="00414A10"/>
    <w:rsid w:val="00414AC9"/>
    <w:rsid w:val="00414F35"/>
    <w:rsid w:val="00415004"/>
    <w:rsid w:val="00415151"/>
    <w:rsid w:val="0041542A"/>
    <w:rsid w:val="00415612"/>
    <w:rsid w:val="004157D4"/>
    <w:rsid w:val="004158B3"/>
    <w:rsid w:val="004158D2"/>
    <w:rsid w:val="00415921"/>
    <w:rsid w:val="004159CC"/>
    <w:rsid w:val="00415B12"/>
    <w:rsid w:val="00415EDB"/>
    <w:rsid w:val="00415F20"/>
    <w:rsid w:val="00415FC9"/>
    <w:rsid w:val="00416146"/>
    <w:rsid w:val="004162A0"/>
    <w:rsid w:val="004164A5"/>
    <w:rsid w:val="00416586"/>
    <w:rsid w:val="00416720"/>
    <w:rsid w:val="0041695E"/>
    <w:rsid w:val="00416A86"/>
    <w:rsid w:val="00416AA9"/>
    <w:rsid w:val="00416E2A"/>
    <w:rsid w:val="00416E6E"/>
    <w:rsid w:val="00416FDD"/>
    <w:rsid w:val="00417113"/>
    <w:rsid w:val="0041730C"/>
    <w:rsid w:val="00417338"/>
    <w:rsid w:val="0041746A"/>
    <w:rsid w:val="0041753A"/>
    <w:rsid w:val="004176AB"/>
    <w:rsid w:val="004177DC"/>
    <w:rsid w:val="00417AE5"/>
    <w:rsid w:val="00417BD5"/>
    <w:rsid w:val="00417CEE"/>
    <w:rsid w:val="00417E78"/>
    <w:rsid w:val="00417F96"/>
    <w:rsid w:val="004200AD"/>
    <w:rsid w:val="004201D3"/>
    <w:rsid w:val="00420220"/>
    <w:rsid w:val="0042039F"/>
    <w:rsid w:val="004206E1"/>
    <w:rsid w:val="0042073B"/>
    <w:rsid w:val="004208B8"/>
    <w:rsid w:val="00420960"/>
    <w:rsid w:val="00420A2C"/>
    <w:rsid w:val="00420AAE"/>
    <w:rsid w:val="00420AE1"/>
    <w:rsid w:val="00420B2B"/>
    <w:rsid w:val="00420C4E"/>
    <w:rsid w:val="00420FF5"/>
    <w:rsid w:val="00421050"/>
    <w:rsid w:val="00421135"/>
    <w:rsid w:val="00421153"/>
    <w:rsid w:val="004211FE"/>
    <w:rsid w:val="004214B8"/>
    <w:rsid w:val="004216EB"/>
    <w:rsid w:val="004218CA"/>
    <w:rsid w:val="00421A02"/>
    <w:rsid w:val="00421BEC"/>
    <w:rsid w:val="00421BF9"/>
    <w:rsid w:val="00421F72"/>
    <w:rsid w:val="004220B2"/>
    <w:rsid w:val="004222CF"/>
    <w:rsid w:val="00422425"/>
    <w:rsid w:val="004225B2"/>
    <w:rsid w:val="00422606"/>
    <w:rsid w:val="004229CF"/>
    <w:rsid w:val="00422B2B"/>
    <w:rsid w:val="00422EBF"/>
    <w:rsid w:val="00422F26"/>
    <w:rsid w:val="00423286"/>
    <w:rsid w:val="00423464"/>
    <w:rsid w:val="00423497"/>
    <w:rsid w:val="004234FD"/>
    <w:rsid w:val="00423685"/>
    <w:rsid w:val="00423877"/>
    <w:rsid w:val="0042391E"/>
    <w:rsid w:val="004239F7"/>
    <w:rsid w:val="00423A21"/>
    <w:rsid w:val="00423A3E"/>
    <w:rsid w:val="00423BE8"/>
    <w:rsid w:val="00423C9C"/>
    <w:rsid w:val="00423CDA"/>
    <w:rsid w:val="00423D81"/>
    <w:rsid w:val="00423EA4"/>
    <w:rsid w:val="00423F1E"/>
    <w:rsid w:val="00423F3C"/>
    <w:rsid w:val="004240A8"/>
    <w:rsid w:val="00424225"/>
    <w:rsid w:val="004243AA"/>
    <w:rsid w:val="004243DD"/>
    <w:rsid w:val="004244C1"/>
    <w:rsid w:val="00424529"/>
    <w:rsid w:val="004246F4"/>
    <w:rsid w:val="004247DB"/>
    <w:rsid w:val="00424800"/>
    <w:rsid w:val="0042487C"/>
    <w:rsid w:val="004248F9"/>
    <w:rsid w:val="004249D4"/>
    <w:rsid w:val="00424A5A"/>
    <w:rsid w:val="00424ABD"/>
    <w:rsid w:val="00424B00"/>
    <w:rsid w:val="00424C57"/>
    <w:rsid w:val="00424CCC"/>
    <w:rsid w:val="00424D2D"/>
    <w:rsid w:val="00424D66"/>
    <w:rsid w:val="00424DA5"/>
    <w:rsid w:val="00424DA9"/>
    <w:rsid w:val="00424E72"/>
    <w:rsid w:val="00424F86"/>
    <w:rsid w:val="0042501E"/>
    <w:rsid w:val="00425030"/>
    <w:rsid w:val="00425141"/>
    <w:rsid w:val="004252D1"/>
    <w:rsid w:val="004252F4"/>
    <w:rsid w:val="004254A7"/>
    <w:rsid w:val="0042561A"/>
    <w:rsid w:val="00425A3F"/>
    <w:rsid w:val="00425ABA"/>
    <w:rsid w:val="00425AFC"/>
    <w:rsid w:val="00425B3B"/>
    <w:rsid w:val="00425C65"/>
    <w:rsid w:val="00425D85"/>
    <w:rsid w:val="00425E32"/>
    <w:rsid w:val="00425EB1"/>
    <w:rsid w:val="004261AE"/>
    <w:rsid w:val="00426254"/>
    <w:rsid w:val="00426285"/>
    <w:rsid w:val="00426429"/>
    <w:rsid w:val="004264F2"/>
    <w:rsid w:val="004268CB"/>
    <w:rsid w:val="00426916"/>
    <w:rsid w:val="00426931"/>
    <w:rsid w:val="00426A17"/>
    <w:rsid w:val="00426BF6"/>
    <w:rsid w:val="00427035"/>
    <w:rsid w:val="00427084"/>
    <w:rsid w:val="00427166"/>
    <w:rsid w:val="00427610"/>
    <w:rsid w:val="00427734"/>
    <w:rsid w:val="0042773F"/>
    <w:rsid w:val="004278C1"/>
    <w:rsid w:val="004278CD"/>
    <w:rsid w:val="00427A59"/>
    <w:rsid w:val="00427C52"/>
    <w:rsid w:val="00427DB3"/>
    <w:rsid w:val="00427DD2"/>
    <w:rsid w:val="00427E99"/>
    <w:rsid w:val="0043001B"/>
    <w:rsid w:val="0043013A"/>
    <w:rsid w:val="00430167"/>
    <w:rsid w:val="004301B7"/>
    <w:rsid w:val="00430388"/>
    <w:rsid w:val="004303A6"/>
    <w:rsid w:val="00430482"/>
    <w:rsid w:val="0043052A"/>
    <w:rsid w:val="0043082A"/>
    <w:rsid w:val="00430995"/>
    <w:rsid w:val="00430A90"/>
    <w:rsid w:val="00430BDD"/>
    <w:rsid w:val="00430BEC"/>
    <w:rsid w:val="00430C12"/>
    <w:rsid w:val="00430CA0"/>
    <w:rsid w:val="00430DBD"/>
    <w:rsid w:val="00430E22"/>
    <w:rsid w:val="004310D7"/>
    <w:rsid w:val="004310E4"/>
    <w:rsid w:val="004311EF"/>
    <w:rsid w:val="00431213"/>
    <w:rsid w:val="00431366"/>
    <w:rsid w:val="0043137E"/>
    <w:rsid w:val="004313A1"/>
    <w:rsid w:val="00431414"/>
    <w:rsid w:val="00431624"/>
    <w:rsid w:val="004317F6"/>
    <w:rsid w:val="004318D2"/>
    <w:rsid w:val="004319F8"/>
    <w:rsid w:val="00431A99"/>
    <w:rsid w:val="00431B53"/>
    <w:rsid w:val="00431C38"/>
    <w:rsid w:val="00431D6A"/>
    <w:rsid w:val="00431D76"/>
    <w:rsid w:val="00431E50"/>
    <w:rsid w:val="00432023"/>
    <w:rsid w:val="00432033"/>
    <w:rsid w:val="0043204B"/>
    <w:rsid w:val="00432068"/>
    <w:rsid w:val="004321A5"/>
    <w:rsid w:val="004327C9"/>
    <w:rsid w:val="004329A2"/>
    <w:rsid w:val="00432AD2"/>
    <w:rsid w:val="00432B6A"/>
    <w:rsid w:val="00432B74"/>
    <w:rsid w:val="00432D3D"/>
    <w:rsid w:val="00432E1A"/>
    <w:rsid w:val="00432F37"/>
    <w:rsid w:val="004331E2"/>
    <w:rsid w:val="0043332F"/>
    <w:rsid w:val="0043358A"/>
    <w:rsid w:val="004337DD"/>
    <w:rsid w:val="0043390B"/>
    <w:rsid w:val="004339E8"/>
    <w:rsid w:val="00433A70"/>
    <w:rsid w:val="00433F06"/>
    <w:rsid w:val="00433F63"/>
    <w:rsid w:val="00434231"/>
    <w:rsid w:val="004342FC"/>
    <w:rsid w:val="00434310"/>
    <w:rsid w:val="00434346"/>
    <w:rsid w:val="0043434D"/>
    <w:rsid w:val="0043475F"/>
    <w:rsid w:val="00434AA8"/>
    <w:rsid w:val="00434C4B"/>
    <w:rsid w:val="00434E10"/>
    <w:rsid w:val="00434E19"/>
    <w:rsid w:val="00434F40"/>
    <w:rsid w:val="00434FDB"/>
    <w:rsid w:val="0043500C"/>
    <w:rsid w:val="004350C1"/>
    <w:rsid w:val="00435154"/>
    <w:rsid w:val="004351DE"/>
    <w:rsid w:val="00435384"/>
    <w:rsid w:val="0043558B"/>
    <w:rsid w:val="004355E0"/>
    <w:rsid w:val="004358E0"/>
    <w:rsid w:val="0043591C"/>
    <w:rsid w:val="00435992"/>
    <w:rsid w:val="00435C7E"/>
    <w:rsid w:val="0043601A"/>
    <w:rsid w:val="00436085"/>
    <w:rsid w:val="004361A9"/>
    <w:rsid w:val="004361BE"/>
    <w:rsid w:val="004365B1"/>
    <w:rsid w:val="00436784"/>
    <w:rsid w:val="00436878"/>
    <w:rsid w:val="004368EE"/>
    <w:rsid w:val="00436939"/>
    <w:rsid w:val="00436A71"/>
    <w:rsid w:val="00436A80"/>
    <w:rsid w:val="00436B1C"/>
    <w:rsid w:val="00436C80"/>
    <w:rsid w:val="00436D67"/>
    <w:rsid w:val="00436E1E"/>
    <w:rsid w:val="00436F53"/>
    <w:rsid w:val="00436F6E"/>
    <w:rsid w:val="00436F8C"/>
    <w:rsid w:val="00437097"/>
    <w:rsid w:val="0043709B"/>
    <w:rsid w:val="00437117"/>
    <w:rsid w:val="00437168"/>
    <w:rsid w:val="004371F2"/>
    <w:rsid w:val="0043722D"/>
    <w:rsid w:val="00437398"/>
    <w:rsid w:val="0043748F"/>
    <w:rsid w:val="0043779D"/>
    <w:rsid w:val="00437938"/>
    <w:rsid w:val="0043793F"/>
    <w:rsid w:val="00437A05"/>
    <w:rsid w:val="00437BDC"/>
    <w:rsid w:val="00437CBF"/>
    <w:rsid w:val="00437DFD"/>
    <w:rsid w:val="004400CA"/>
    <w:rsid w:val="00440104"/>
    <w:rsid w:val="0044016A"/>
    <w:rsid w:val="00440229"/>
    <w:rsid w:val="004402C1"/>
    <w:rsid w:val="00440312"/>
    <w:rsid w:val="00440426"/>
    <w:rsid w:val="0044082A"/>
    <w:rsid w:val="0044085C"/>
    <w:rsid w:val="00440AD2"/>
    <w:rsid w:val="00440B1E"/>
    <w:rsid w:val="00440BB6"/>
    <w:rsid w:val="00440CB1"/>
    <w:rsid w:val="00440E91"/>
    <w:rsid w:val="00440F0F"/>
    <w:rsid w:val="0044104F"/>
    <w:rsid w:val="004410DC"/>
    <w:rsid w:val="00441314"/>
    <w:rsid w:val="0044144A"/>
    <w:rsid w:val="0044147C"/>
    <w:rsid w:val="0044151A"/>
    <w:rsid w:val="00441595"/>
    <w:rsid w:val="00441605"/>
    <w:rsid w:val="0044165A"/>
    <w:rsid w:val="004416BC"/>
    <w:rsid w:val="004416D2"/>
    <w:rsid w:val="0044176C"/>
    <w:rsid w:val="00441841"/>
    <w:rsid w:val="004418A1"/>
    <w:rsid w:val="0044196D"/>
    <w:rsid w:val="004419D7"/>
    <w:rsid w:val="00441A89"/>
    <w:rsid w:val="00441AB4"/>
    <w:rsid w:val="00441B13"/>
    <w:rsid w:val="00441D52"/>
    <w:rsid w:val="00441DFE"/>
    <w:rsid w:val="00441E15"/>
    <w:rsid w:val="004422AD"/>
    <w:rsid w:val="004422BF"/>
    <w:rsid w:val="0044240E"/>
    <w:rsid w:val="00442646"/>
    <w:rsid w:val="004428ED"/>
    <w:rsid w:val="00442A48"/>
    <w:rsid w:val="00442E95"/>
    <w:rsid w:val="00442F9E"/>
    <w:rsid w:val="00443108"/>
    <w:rsid w:val="0044321D"/>
    <w:rsid w:val="004432E5"/>
    <w:rsid w:val="00443377"/>
    <w:rsid w:val="004434B0"/>
    <w:rsid w:val="00443895"/>
    <w:rsid w:val="004438C2"/>
    <w:rsid w:val="004438D0"/>
    <w:rsid w:val="004439BA"/>
    <w:rsid w:val="00443A44"/>
    <w:rsid w:val="00443FE1"/>
    <w:rsid w:val="00444041"/>
    <w:rsid w:val="00444277"/>
    <w:rsid w:val="00444342"/>
    <w:rsid w:val="004443E9"/>
    <w:rsid w:val="00444405"/>
    <w:rsid w:val="00444580"/>
    <w:rsid w:val="004446B4"/>
    <w:rsid w:val="0044481B"/>
    <w:rsid w:val="004448C0"/>
    <w:rsid w:val="004448C4"/>
    <w:rsid w:val="00444A4F"/>
    <w:rsid w:val="00444A57"/>
    <w:rsid w:val="00444AC2"/>
    <w:rsid w:val="00444AEF"/>
    <w:rsid w:val="00444AF2"/>
    <w:rsid w:val="00444BB7"/>
    <w:rsid w:val="00444D7F"/>
    <w:rsid w:val="00444F8D"/>
    <w:rsid w:val="0044507C"/>
    <w:rsid w:val="004451CE"/>
    <w:rsid w:val="0044524B"/>
    <w:rsid w:val="004455AA"/>
    <w:rsid w:val="004455F2"/>
    <w:rsid w:val="0044573A"/>
    <w:rsid w:val="00445B29"/>
    <w:rsid w:val="00445BA0"/>
    <w:rsid w:val="00445CB4"/>
    <w:rsid w:val="00445CC2"/>
    <w:rsid w:val="00445D29"/>
    <w:rsid w:val="00445DD0"/>
    <w:rsid w:val="00445EFF"/>
    <w:rsid w:val="004460F8"/>
    <w:rsid w:val="00446513"/>
    <w:rsid w:val="00446628"/>
    <w:rsid w:val="00446642"/>
    <w:rsid w:val="00446950"/>
    <w:rsid w:val="00446C3E"/>
    <w:rsid w:val="0044707B"/>
    <w:rsid w:val="00447472"/>
    <w:rsid w:val="004476C7"/>
    <w:rsid w:val="0044775C"/>
    <w:rsid w:val="0044776D"/>
    <w:rsid w:val="00447867"/>
    <w:rsid w:val="00447925"/>
    <w:rsid w:val="00447963"/>
    <w:rsid w:val="00447A01"/>
    <w:rsid w:val="00447D1C"/>
    <w:rsid w:val="00447DBA"/>
    <w:rsid w:val="00447EBF"/>
    <w:rsid w:val="00447FF6"/>
    <w:rsid w:val="004503FC"/>
    <w:rsid w:val="0045041B"/>
    <w:rsid w:val="00450613"/>
    <w:rsid w:val="0045066D"/>
    <w:rsid w:val="00450717"/>
    <w:rsid w:val="0045092A"/>
    <w:rsid w:val="00450939"/>
    <w:rsid w:val="00450B4E"/>
    <w:rsid w:val="00450CC0"/>
    <w:rsid w:val="00450DBC"/>
    <w:rsid w:val="00450E97"/>
    <w:rsid w:val="00450F33"/>
    <w:rsid w:val="00451381"/>
    <w:rsid w:val="004515A9"/>
    <w:rsid w:val="004516D1"/>
    <w:rsid w:val="0045170B"/>
    <w:rsid w:val="004517FC"/>
    <w:rsid w:val="00451BA5"/>
    <w:rsid w:val="00451C2D"/>
    <w:rsid w:val="00451DAF"/>
    <w:rsid w:val="00451F8F"/>
    <w:rsid w:val="00451FC5"/>
    <w:rsid w:val="00451FDD"/>
    <w:rsid w:val="004520AA"/>
    <w:rsid w:val="004520AE"/>
    <w:rsid w:val="004520D8"/>
    <w:rsid w:val="00452182"/>
    <w:rsid w:val="00452273"/>
    <w:rsid w:val="004522D8"/>
    <w:rsid w:val="0045230F"/>
    <w:rsid w:val="00452328"/>
    <w:rsid w:val="004524CC"/>
    <w:rsid w:val="004525F0"/>
    <w:rsid w:val="0045266F"/>
    <w:rsid w:val="0045268C"/>
    <w:rsid w:val="00452886"/>
    <w:rsid w:val="004529C7"/>
    <w:rsid w:val="004529EB"/>
    <w:rsid w:val="00452F52"/>
    <w:rsid w:val="00452F6B"/>
    <w:rsid w:val="00453405"/>
    <w:rsid w:val="004534A8"/>
    <w:rsid w:val="004535E1"/>
    <w:rsid w:val="0045388B"/>
    <w:rsid w:val="00453948"/>
    <w:rsid w:val="004539A8"/>
    <w:rsid w:val="00453B1E"/>
    <w:rsid w:val="00453CAE"/>
    <w:rsid w:val="00453CE9"/>
    <w:rsid w:val="00453D04"/>
    <w:rsid w:val="00453F0F"/>
    <w:rsid w:val="00453F17"/>
    <w:rsid w:val="00453FA4"/>
    <w:rsid w:val="00453FB8"/>
    <w:rsid w:val="00454128"/>
    <w:rsid w:val="00454185"/>
    <w:rsid w:val="004542A6"/>
    <w:rsid w:val="004542CA"/>
    <w:rsid w:val="00454317"/>
    <w:rsid w:val="004543BF"/>
    <w:rsid w:val="00454420"/>
    <w:rsid w:val="0045464E"/>
    <w:rsid w:val="0045483D"/>
    <w:rsid w:val="00454861"/>
    <w:rsid w:val="00454A0E"/>
    <w:rsid w:val="00454A63"/>
    <w:rsid w:val="00454AE1"/>
    <w:rsid w:val="00454B09"/>
    <w:rsid w:val="00454B11"/>
    <w:rsid w:val="00454B93"/>
    <w:rsid w:val="00454C6E"/>
    <w:rsid w:val="00454E28"/>
    <w:rsid w:val="00455061"/>
    <w:rsid w:val="00455072"/>
    <w:rsid w:val="00455116"/>
    <w:rsid w:val="0045515A"/>
    <w:rsid w:val="0045517E"/>
    <w:rsid w:val="004554CC"/>
    <w:rsid w:val="004555AA"/>
    <w:rsid w:val="004555FB"/>
    <w:rsid w:val="00455682"/>
    <w:rsid w:val="0045580E"/>
    <w:rsid w:val="004558FC"/>
    <w:rsid w:val="00455B86"/>
    <w:rsid w:val="00455BC1"/>
    <w:rsid w:val="00455CBB"/>
    <w:rsid w:val="00455CC6"/>
    <w:rsid w:val="00455D69"/>
    <w:rsid w:val="00455DBE"/>
    <w:rsid w:val="00455E0E"/>
    <w:rsid w:val="00455F52"/>
    <w:rsid w:val="00456178"/>
    <w:rsid w:val="00456529"/>
    <w:rsid w:val="004565E9"/>
    <w:rsid w:val="00456BB0"/>
    <w:rsid w:val="00456BC1"/>
    <w:rsid w:val="00456F0F"/>
    <w:rsid w:val="00456FF3"/>
    <w:rsid w:val="00457043"/>
    <w:rsid w:val="00457073"/>
    <w:rsid w:val="0045710D"/>
    <w:rsid w:val="00457214"/>
    <w:rsid w:val="004574B8"/>
    <w:rsid w:val="00457548"/>
    <w:rsid w:val="004576AE"/>
    <w:rsid w:val="0045773B"/>
    <w:rsid w:val="004579B0"/>
    <w:rsid w:val="00457A0B"/>
    <w:rsid w:val="00457CE5"/>
    <w:rsid w:val="00457D6A"/>
    <w:rsid w:val="00457F66"/>
    <w:rsid w:val="00460100"/>
    <w:rsid w:val="0046016A"/>
    <w:rsid w:val="004601ED"/>
    <w:rsid w:val="0046027E"/>
    <w:rsid w:val="004602B8"/>
    <w:rsid w:val="0046035A"/>
    <w:rsid w:val="004603CC"/>
    <w:rsid w:val="004603FA"/>
    <w:rsid w:val="00460477"/>
    <w:rsid w:val="00460635"/>
    <w:rsid w:val="00460733"/>
    <w:rsid w:val="0046077B"/>
    <w:rsid w:val="00460792"/>
    <w:rsid w:val="004607DC"/>
    <w:rsid w:val="00460882"/>
    <w:rsid w:val="00460926"/>
    <w:rsid w:val="00460A55"/>
    <w:rsid w:val="00460AC8"/>
    <w:rsid w:val="00460B3C"/>
    <w:rsid w:val="00460E6E"/>
    <w:rsid w:val="00460E77"/>
    <w:rsid w:val="0046105B"/>
    <w:rsid w:val="004610AD"/>
    <w:rsid w:val="0046126F"/>
    <w:rsid w:val="004613EB"/>
    <w:rsid w:val="0046142D"/>
    <w:rsid w:val="004614A0"/>
    <w:rsid w:val="004614EA"/>
    <w:rsid w:val="004615E7"/>
    <w:rsid w:val="00461694"/>
    <w:rsid w:val="0046174F"/>
    <w:rsid w:val="004617D9"/>
    <w:rsid w:val="00461890"/>
    <w:rsid w:val="00461A08"/>
    <w:rsid w:val="00461A42"/>
    <w:rsid w:val="00461AF4"/>
    <w:rsid w:val="00461CCD"/>
    <w:rsid w:val="00461CFD"/>
    <w:rsid w:val="00461D79"/>
    <w:rsid w:val="00462005"/>
    <w:rsid w:val="00462105"/>
    <w:rsid w:val="004622B8"/>
    <w:rsid w:val="0046238A"/>
    <w:rsid w:val="004623A4"/>
    <w:rsid w:val="00462425"/>
    <w:rsid w:val="00462464"/>
    <w:rsid w:val="00462648"/>
    <w:rsid w:val="004626A4"/>
    <w:rsid w:val="004629A6"/>
    <w:rsid w:val="004629AC"/>
    <w:rsid w:val="00462A09"/>
    <w:rsid w:val="00462AEC"/>
    <w:rsid w:val="00462B49"/>
    <w:rsid w:val="00462BEA"/>
    <w:rsid w:val="00462DCE"/>
    <w:rsid w:val="00462E25"/>
    <w:rsid w:val="00462E3F"/>
    <w:rsid w:val="00462F24"/>
    <w:rsid w:val="00462FB6"/>
    <w:rsid w:val="00463172"/>
    <w:rsid w:val="00463280"/>
    <w:rsid w:val="004632C6"/>
    <w:rsid w:val="00463376"/>
    <w:rsid w:val="0046341B"/>
    <w:rsid w:val="0046344D"/>
    <w:rsid w:val="00463606"/>
    <w:rsid w:val="0046373D"/>
    <w:rsid w:val="0046395C"/>
    <w:rsid w:val="0046399E"/>
    <w:rsid w:val="00463A2C"/>
    <w:rsid w:val="00463AAF"/>
    <w:rsid w:val="00463B0D"/>
    <w:rsid w:val="00463B17"/>
    <w:rsid w:val="00463CF0"/>
    <w:rsid w:val="00463F5A"/>
    <w:rsid w:val="0046405C"/>
    <w:rsid w:val="004640F4"/>
    <w:rsid w:val="004641F8"/>
    <w:rsid w:val="00464389"/>
    <w:rsid w:val="00464426"/>
    <w:rsid w:val="004645D5"/>
    <w:rsid w:val="004645FC"/>
    <w:rsid w:val="004646DF"/>
    <w:rsid w:val="004646EB"/>
    <w:rsid w:val="00464824"/>
    <w:rsid w:val="00464893"/>
    <w:rsid w:val="004648A0"/>
    <w:rsid w:val="0046497A"/>
    <w:rsid w:val="00464A1E"/>
    <w:rsid w:val="00464B1B"/>
    <w:rsid w:val="00464C9C"/>
    <w:rsid w:val="00464CEB"/>
    <w:rsid w:val="00464D10"/>
    <w:rsid w:val="00464E05"/>
    <w:rsid w:val="00464EE8"/>
    <w:rsid w:val="00464F53"/>
    <w:rsid w:val="00465116"/>
    <w:rsid w:val="00465156"/>
    <w:rsid w:val="00465246"/>
    <w:rsid w:val="0046547E"/>
    <w:rsid w:val="00465664"/>
    <w:rsid w:val="004656A4"/>
    <w:rsid w:val="004656CD"/>
    <w:rsid w:val="004657E2"/>
    <w:rsid w:val="00465903"/>
    <w:rsid w:val="00465919"/>
    <w:rsid w:val="004659BA"/>
    <w:rsid w:val="004659EE"/>
    <w:rsid w:val="00465A4A"/>
    <w:rsid w:val="00465B12"/>
    <w:rsid w:val="00465B78"/>
    <w:rsid w:val="00465F8B"/>
    <w:rsid w:val="004660B0"/>
    <w:rsid w:val="004661C0"/>
    <w:rsid w:val="004663DF"/>
    <w:rsid w:val="0046640D"/>
    <w:rsid w:val="00466464"/>
    <w:rsid w:val="004664DC"/>
    <w:rsid w:val="004664F3"/>
    <w:rsid w:val="0046650B"/>
    <w:rsid w:val="00466786"/>
    <w:rsid w:val="00466816"/>
    <w:rsid w:val="004668A5"/>
    <w:rsid w:val="004668DB"/>
    <w:rsid w:val="0046692A"/>
    <w:rsid w:val="00466A55"/>
    <w:rsid w:val="00466A94"/>
    <w:rsid w:val="00466B30"/>
    <w:rsid w:val="00466C3E"/>
    <w:rsid w:val="00466C62"/>
    <w:rsid w:val="00466C78"/>
    <w:rsid w:val="00466D2A"/>
    <w:rsid w:val="00466E17"/>
    <w:rsid w:val="004672C5"/>
    <w:rsid w:val="00467309"/>
    <w:rsid w:val="00467499"/>
    <w:rsid w:val="00467540"/>
    <w:rsid w:val="004675D3"/>
    <w:rsid w:val="0046782A"/>
    <w:rsid w:val="00467848"/>
    <w:rsid w:val="00467B08"/>
    <w:rsid w:val="00467C1C"/>
    <w:rsid w:val="00467C30"/>
    <w:rsid w:val="00467CBF"/>
    <w:rsid w:val="00467D95"/>
    <w:rsid w:val="0047018A"/>
    <w:rsid w:val="0047035A"/>
    <w:rsid w:val="004703DF"/>
    <w:rsid w:val="004704ED"/>
    <w:rsid w:val="004706B1"/>
    <w:rsid w:val="00470AD7"/>
    <w:rsid w:val="00470AEE"/>
    <w:rsid w:val="00470B8A"/>
    <w:rsid w:val="00470C48"/>
    <w:rsid w:val="00471278"/>
    <w:rsid w:val="0047136E"/>
    <w:rsid w:val="004714D2"/>
    <w:rsid w:val="00471BF4"/>
    <w:rsid w:val="00471C6C"/>
    <w:rsid w:val="00471C9C"/>
    <w:rsid w:val="004721A3"/>
    <w:rsid w:val="004721E2"/>
    <w:rsid w:val="00472328"/>
    <w:rsid w:val="0047239C"/>
    <w:rsid w:val="00472414"/>
    <w:rsid w:val="00472420"/>
    <w:rsid w:val="00472797"/>
    <w:rsid w:val="00472A4F"/>
    <w:rsid w:val="00472AF3"/>
    <w:rsid w:val="00473092"/>
    <w:rsid w:val="004730A8"/>
    <w:rsid w:val="004730D9"/>
    <w:rsid w:val="0047324E"/>
    <w:rsid w:val="004732BE"/>
    <w:rsid w:val="004733AA"/>
    <w:rsid w:val="0047360D"/>
    <w:rsid w:val="0047366D"/>
    <w:rsid w:val="0047387B"/>
    <w:rsid w:val="0047388F"/>
    <w:rsid w:val="004738AA"/>
    <w:rsid w:val="00473903"/>
    <w:rsid w:val="00473925"/>
    <w:rsid w:val="00473AB3"/>
    <w:rsid w:val="00473B93"/>
    <w:rsid w:val="00473C6E"/>
    <w:rsid w:val="00473CB1"/>
    <w:rsid w:val="00473D44"/>
    <w:rsid w:val="00473EF8"/>
    <w:rsid w:val="00473F85"/>
    <w:rsid w:val="00474297"/>
    <w:rsid w:val="004742D1"/>
    <w:rsid w:val="004743C9"/>
    <w:rsid w:val="00474568"/>
    <w:rsid w:val="00474674"/>
    <w:rsid w:val="00474895"/>
    <w:rsid w:val="00474991"/>
    <w:rsid w:val="00474B11"/>
    <w:rsid w:val="00474BBB"/>
    <w:rsid w:val="00474C7D"/>
    <w:rsid w:val="00474EE7"/>
    <w:rsid w:val="00474FFA"/>
    <w:rsid w:val="00475099"/>
    <w:rsid w:val="0047515E"/>
    <w:rsid w:val="0047528B"/>
    <w:rsid w:val="0047535B"/>
    <w:rsid w:val="004753A2"/>
    <w:rsid w:val="004755B1"/>
    <w:rsid w:val="0047583F"/>
    <w:rsid w:val="0047584F"/>
    <w:rsid w:val="00475868"/>
    <w:rsid w:val="004758E4"/>
    <w:rsid w:val="00475A7C"/>
    <w:rsid w:val="00475BC5"/>
    <w:rsid w:val="00475DC0"/>
    <w:rsid w:val="00475E78"/>
    <w:rsid w:val="004763C8"/>
    <w:rsid w:val="004763DB"/>
    <w:rsid w:val="00476587"/>
    <w:rsid w:val="004766DC"/>
    <w:rsid w:val="004766F9"/>
    <w:rsid w:val="00476718"/>
    <w:rsid w:val="004767DE"/>
    <w:rsid w:val="004768CE"/>
    <w:rsid w:val="0047691C"/>
    <w:rsid w:val="00476B97"/>
    <w:rsid w:val="00476C09"/>
    <w:rsid w:val="00476CBC"/>
    <w:rsid w:val="00476D23"/>
    <w:rsid w:val="00476D62"/>
    <w:rsid w:val="00476D6D"/>
    <w:rsid w:val="00476E1D"/>
    <w:rsid w:val="00476EAF"/>
    <w:rsid w:val="00477011"/>
    <w:rsid w:val="0047718A"/>
    <w:rsid w:val="004771FA"/>
    <w:rsid w:val="0047738A"/>
    <w:rsid w:val="004774B3"/>
    <w:rsid w:val="004775ED"/>
    <w:rsid w:val="0047775C"/>
    <w:rsid w:val="004778BF"/>
    <w:rsid w:val="004778DE"/>
    <w:rsid w:val="004779BB"/>
    <w:rsid w:val="00477A21"/>
    <w:rsid w:val="00477D3A"/>
    <w:rsid w:val="00477E5A"/>
    <w:rsid w:val="00477ECC"/>
    <w:rsid w:val="00477F7A"/>
    <w:rsid w:val="00480173"/>
    <w:rsid w:val="004801C9"/>
    <w:rsid w:val="004801FB"/>
    <w:rsid w:val="0048032B"/>
    <w:rsid w:val="00480364"/>
    <w:rsid w:val="004803BA"/>
    <w:rsid w:val="0048043D"/>
    <w:rsid w:val="00480526"/>
    <w:rsid w:val="0048070E"/>
    <w:rsid w:val="00480774"/>
    <w:rsid w:val="0048079B"/>
    <w:rsid w:val="00480805"/>
    <w:rsid w:val="0048089E"/>
    <w:rsid w:val="004808E1"/>
    <w:rsid w:val="00480941"/>
    <w:rsid w:val="00480966"/>
    <w:rsid w:val="004809B9"/>
    <w:rsid w:val="00480A65"/>
    <w:rsid w:val="00480CA8"/>
    <w:rsid w:val="00481120"/>
    <w:rsid w:val="004812D5"/>
    <w:rsid w:val="004814DB"/>
    <w:rsid w:val="004814DE"/>
    <w:rsid w:val="004815A3"/>
    <w:rsid w:val="004817BC"/>
    <w:rsid w:val="00481806"/>
    <w:rsid w:val="004818AA"/>
    <w:rsid w:val="004818E0"/>
    <w:rsid w:val="00481967"/>
    <w:rsid w:val="00481A3F"/>
    <w:rsid w:val="00481B3D"/>
    <w:rsid w:val="00481C7F"/>
    <w:rsid w:val="00481F93"/>
    <w:rsid w:val="00482011"/>
    <w:rsid w:val="00482075"/>
    <w:rsid w:val="00482149"/>
    <w:rsid w:val="00482207"/>
    <w:rsid w:val="00482A23"/>
    <w:rsid w:val="00482B7C"/>
    <w:rsid w:val="00482B9E"/>
    <w:rsid w:val="00482E72"/>
    <w:rsid w:val="00482EC1"/>
    <w:rsid w:val="0048302E"/>
    <w:rsid w:val="0048319A"/>
    <w:rsid w:val="0048326A"/>
    <w:rsid w:val="00483309"/>
    <w:rsid w:val="00483317"/>
    <w:rsid w:val="0048334B"/>
    <w:rsid w:val="00483414"/>
    <w:rsid w:val="004834F6"/>
    <w:rsid w:val="00483870"/>
    <w:rsid w:val="00483A0F"/>
    <w:rsid w:val="00483A11"/>
    <w:rsid w:val="00483AF6"/>
    <w:rsid w:val="00483BAB"/>
    <w:rsid w:val="00483BFA"/>
    <w:rsid w:val="00483C37"/>
    <w:rsid w:val="00483CB5"/>
    <w:rsid w:val="00483CFE"/>
    <w:rsid w:val="00483D98"/>
    <w:rsid w:val="00483DC2"/>
    <w:rsid w:val="00483E40"/>
    <w:rsid w:val="00483EFE"/>
    <w:rsid w:val="0048404F"/>
    <w:rsid w:val="004840C8"/>
    <w:rsid w:val="004841C3"/>
    <w:rsid w:val="004842BE"/>
    <w:rsid w:val="004842D8"/>
    <w:rsid w:val="00484307"/>
    <w:rsid w:val="004843E9"/>
    <w:rsid w:val="004843FB"/>
    <w:rsid w:val="004845FC"/>
    <w:rsid w:val="0048471F"/>
    <w:rsid w:val="0048474B"/>
    <w:rsid w:val="00484AEC"/>
    <w:rsid w:val="00484BF0"/>
    <w:rsid w:val="00484CB0"/>
    <w:rsid w:val="00484D2C"/>
    <w:rsid w:val="00484E30"/>
    <w:rsid w:val="00484E3B"/>
    <w:rsid w:val="00484F15"/>
    <w:rsid w:val="004850C8"/>
    <w:rsid w:val="004851C4"/>
    <w:rsid w:val="0048520B"/>
    <w:rsid w:val="00485265"/>
    <w:rsid w:val="0048526E"/>
    <w:rsid w:val="0048531F"/>
    <w:rsid w:val="004853BD"/>
    <w:rsid w:val="004853D0"/>
    <w:rsid w:val="0048547D"/>
    <w:rsid w:val="00485782"/>
    <w:rsid w:val="004857C9"/>
    <w:rsid w:val="00485834"/>
    <w:rsid w:val="0048583F"/>
    <w:rsid w:val="00485930"/>
    <w:rsid w:val="00485946"/>
    <w:rsid w:val="00485AA5"/>
    <w:rsid w:val="00485B08"/>
    <w:rsid w:val="00485C46"/>
    <w:rsid w:val="00485D15"/>
    <w:rsid w:val="00485F62"/>
    <w:rsid w:val="00486006"/>
    <w:rsid w:val="00486020"/>
    <w:rsid w:val="004860A5"/>
    <w:rsid w:val="004860E4"/>
    <w:rsid w:val="004862E0"/>
    <w:rsid w:val="00486345"/>
    <w:rsid w:val="0048637B"/>
    <w:rsid w:val="004863A1"/>
    <w:rsid w:val="004863E5"/>
    <w:rsid w:val="00486512"/>
    <w:rsid w:val="0048654E"/>
    <w:rsid w:val="00486554"/>
    <w:rsid w:val="004865BF"/>
    <w:rsid w:val="004865D9"/>
    <w:rsid w:val="00486653"/>
    <w:rsid w:val="004866CE"/>
    <w:rsid w:val="004866F5"/>
    <w:rsid w:val="0048673C"/>
    <w:rsid w:val="004867C1"/>
    <w:rsid w:val="00486917"/>
    <w:rsid w:val="0048694F"/>
    <w:rsid w:val="00486ACC"/>
    <w:rsid w:val="00486ADC"/>
    <w:rsid w:val="00486AE4"/>
    <w:rsid w:val="00486B18"/>
    <w:rsid w:val="00486D1A"/>
    <w:rsid w:val="00486D41"/>
    <w:rsid w:val="00486D66"/>
    <w:rsid w:val="00486DD9"/>
    <w:rsid w:val="004870C5"/>
    <w:rsid w:val="0048710C"/>
    <w:rsid w:val="0048713D"/>
    <w:rsid w:val="00487149"/>
    <w:rsid w:val="0048743C"/>
    <w:rsid w:val="00487A7D"/>
    <w:rsid w:val="00487C45"/>
    <w:rsid w:val="00487D62"/>
    <w:rsid w:val="00487D80"/>
    <w:rsid w:val="00487EBE"/>
    <w:rsid w:val="00487F5D"/>
    <w:rsid w:val="004902A5"/>
    <w:rsid w:val="004902A7"/>
    <w:rsid w:val="004902EE"/>
    <w:rsid w:val="00490303"/>
    <w:rsid w:val="00490318"/>
    <w:rsid w:val="00490319"/>
    <w:rsid w:val="004903B3"/>
    <w:rsid w:val="0049048F"/>
    <w:rsid w:val="004904F1"/>
    <w:rsid w:val="004905B3"/>
    <w:rsid w:val="0049060B"/>
    <w:rsid w:val="0049068C"/>
    <w:rsid w:val="00490695"/>
    <w:rsid w:val="004906F3"/>
    <w:rsid w:val="004907D5"/>
    <w:rsid w:val="004907E2"/>
    <w:rsid w:val="004907F2"/>
    <w:rsid w:val="00490849"/>
    <w:rsid w:val="004909C9"/>
    <w:rsid w:val="004909F9"/>
    <w:rsid w:val="00490AD1"/>
    <w:rsid w:val="00490CBB"/>
    <w:rsid w:val="00490E5E"/>
    <w:rsid w:val="00490FE4"/>
    <w:rsid w:val="00491111"/>
    <w:rsid w:val="0049111E"/>
    <w:rsid w:val="00491260"/>
    <w:rsid w:val="0049147B"/>
    <w:rsid w:val="004914EC"/>
    <w:rsid w:val="004916D7"/>
    <w:rsid w:val="00491925"/>
    <w:rsid w:val="00491A62"/>
    <w:rsid w:val="00491BBF"/>
    <w:rsid w:val="00491C35"/>
    <w:rsid w:val="00491D2A"/>
    <w:rsid w:val="00491E9A"/>
    <w:rsid w:val="00491F87"/>
    <w:rsid w:val="004920AA"/>
    <w:rsid w:val="0049222B"/>
    <w:rsid w:val="00492256"/>
    <w:rsid w:val="0049228D"/>
    <w:rsid w:val="004922C1"/>
    <w:rsid w:val="00492348"/>
    <w:rsid w:val="0049243C"/>
    <w:rsid w:val="004927A4"/>
    <w:rsid w:val="00492884"/>
    <w:rsid w:val="00492963"/>
    <w:rsid w:val="004929B3"/>
    <w:rsid w:val="00492AA0"/>
    <w:rsid w:val="00492B77"/>
    <w:rsid w:val="00492B82"/>
    <w:rsid w:val="00492C8D"/>
    <w:rsid w:val="00492F24"/>
    <w:rsid w:val="00492F4A"/>
    <w:rsid w:val="00493164"/>
    <w:rsid w:val="00493213"/>
    <w:rsid w:val="00493451"/>
    <w:rsid w:val="0049347E"/>
    <w:rsid w:val="00493588"/>
    <w:rsid w:val="0049362C"/>
    <w:rsid w:val="004938A2"/>
    <w:rsid w:val="004938D1"/>
    <w:rsid w:val="0049396D"/>
    <w:rsid w:val="00493D1A"/>
    <w:rsid w:val="0049416E"/>
    <w:rsid w:val="004941B0"/>
    <w:rsid w:val="004941C9"/>
    <w:rsid w:val="00494249"/>
    <w:rsid w:val="004944EC"/>
    <w:rsid w:val="00494524"/>
    <w:rsid w:val="0049455C"/>
    <w:rsid w:val="004948B0"/>
    <w:rsid w:val="004948E4"/>
    <w:rsid w:val="00494A8D"/>
    <w:rsid w:val="00494C78"/>
    <w:rsid w:val="00494D00"/>
    <w:rsid w:val="00494D36"/>
    <w:rsid w:val="0049535C"/>
    <w:rsid w:val="0049566F"/>
    <w:rsid w:val="00495840"/>
    <w:rsid w:val="0049588C"/>
    <w:rsid w:val="004958F5"/>
    <w:rsid w:val="00495B1C"/>
    <w:rsid w:val="00495D4D"/>
    <w:rsid w:val="0049620D"/>
    <w:rsid w:val="00496372"/>
    <w:rsid w:val="004963F4"/>
    <w:rsid w:val="0049658C"/>
    <w:rsid w:val="0049677D"/>
    <w:rsid w:val="00496858"/>
    <w:rsid w:val="004968B0"/>
    <w:rsid w:val="00496B7C"/>
    <w:rsid w:val="00496C68"/>
    <w:rsid w:val="00496C82"/>
    <w:rsid w:val="00496DE8"/>
    <w:rsid w:val="00496E91"/>
    <w:rsid w:val="0049701E"/>
    <w:rsid w:val="0049708D"/>
    <w:rsid w:val="004970AF"/>
    <w:rsid w:val="00497263"/>
    <w:rsid w:val="00497269"/>
    <w:rsid w:val="0049727C"/>
    <w:rsid w:val="00497298"/>
    <w:rsid w:val="00497352"/>
    <w:rsid w:val="004973BE"/>
    <w:rsid w:val="004973CF"/>
    <w:rsid w:val="0049747E"/>
    <w:rsid w:val="004974D9"/>
    <w:rsid w:val="00497895"/>
    <w:rsid w:val="00497908"/>
    <w:rsid w:val="00497D3A"/>
    <w:rsid w:val="00497E52"/>
    <w:rsid w:val="00497E7A"/>
    <w:rsid w:val="00497EDE"/>
    <w:rsid w:val="00497F56"/>
    <w:rsid w:val="00497FAF"/>
    <w:rsid w:val="004A00E9"/>
    <w:rsid w:val="004A014B"/>
    <w:rsid w:val="004A01BC"/>
    <w:rsid w:val="004A020C"/>
    <w:rsid w:val="004A023F"/>
    <w:rsid w:val="004A02A5"/>
    <w:rsid w:val="004A0316"/>
    <w:rsid w:val="004A03C9"/>
    <w:rsid w:val="004A0421"/>
    <w:rsid w:val="004A04CC"/>
    <w:rsid w:val="004A051A"/>
    <w:rsid w:val="004A056F"/>
    <w:rsid w:val="004A07DF"/>
    <w:rsid w:val="004A08A6"/>
    <w:rsid w:val="004A09AF"/>
    <w:rsid w:val="004A0AE1"/>
    <w:rsid w:val="004A0B1B"/>
    <w:rsid w:val="004A0D07"/>
    <w:rsid w:val="004A0D21"/>
    <w:rsid w:val="004A0E13"/>
    <w:rsid w:val="004A106B"/>
    <w:rsid w:val="004A10C3"/>
    <w:rsid w:val="004A10D1"/>
    <w:rsid w:val="004A1226"/>
    <w:rsid w:val="004A1247"/>
    <w:rsid w:val="004A126D"/>
    <w:rsid w:val="004A1439"/>
    <w:rsid w:val="004A151B"/>
    <w:rsid w:val="004A1524"/>
    <w:rsid w:val="004A1667"/>
    <w:rsid w:val="004A1771"/>
    <w:rsid w:val="004A180E"/>
    <w:rsid w:val="004A1850"/>
    <w:rsid w:val="004A18F6"/>
    <w:rsid w:val="004A1938"/>
    <w:rsid w:val="004A1987"/>
    <w:rsid w:val="004A1A20"/>
    <w:rsid w:val="004A1A7F"/>
    <w:rsid w:val="004A1ABF"/>
    <w:rsid w:val="004A1BB5"/>
    <w:rsid w:val="004A1BCB"/>
    <w:rsid w:val="004A1D2A"/>
    <w:rsid w:val="004A1F24"/>
    <w:rsid w:val="004A1FA7"/>
    <w:rsid w:val="004A20CE"/>
    <w:rsid w:val="004A210C"/>
    <w:rsid w:val="004A2171"/>
    <w:rsid w:val="004A2204"/>
    <w:rsid w:val="004A231C"/>
    <w:rsid w:val="004A262E"/>
    <w:rsid w:val="004A2908"/>
    <w:rsid w:val="004A2974"/>
    <w:rsid w:val="004A29C6"/>
    <w:rsid w:val="004A2A21"/>
    <w:rsid w:val="004A2A3E"/>
    <w:rsid w:val="004A2DA8"/>
    <w:rsid w:val="004A2FA4"/>
    <w:rsid w:val="004A32C7"/>
    <w:rsid w:val="004A36D7"/>
    <w:rsid w:val="004A36F9"/>
    <w:rsid w:val="004A371D"/>
    <w:rsid w:val="004A374C"/>
    <w:rsid w:val="004A3A3F"/>
    <w:rsid w:val="004A3BE3"/>
    <w:rsid w:val="004A3C17"/>
    <w:rsid w:val="004A3DBB"/>
    <w:rsid w:val="004A3E80"/>
    <w:rsid w:val="004A3F8A"/>
    <w:rsid w:val="004A4008"/>
    <w:rsid w:val="004A4098"/>
    <w:rsid w:val="004A411E"/>
    <w:rsid w:val="004A42A2"/>
    <w:rsid w:val="004A43D2"/>
    <w:rsid w:val="004A4603"/>
    <w:rsid w:val="004A497D"/>
    <w:rsid w:val="004A4AEA"/>
    <w:rsid w:val="004A4BD8"/>
    <w:rsid w:val="004A4DD0"/>
    <w:rsid w:val="004A5012"/>
    <w:rsid w:val="004A5147"/>
    <w:rsid w:val="004A515C"/>
    <w:rsid w:val="004A524F"/>
    <w:rsid w:val="004A52F8"/>
    <w:rsid w:val="004A559D"/>
    <w:rsid w:val="004A559F"/>
    <w:rsid w:val="004A55C3"/>
    <w:rsid w:val="004A576B"/>
    <w:rsid w:val="004A5803"/>
    <w:rsid w:val="004A5949"/>
    <w:rsid w:val="004A5A38"/>
    <w:rsid w:val="004A5B49"/>
    <w:rsid w:val="004A5BE2"/>
    <w:rsid w:val="004A5C8B"/>
    <w:rsid w:val="004A5D7A"/>
    <w:rsid w:val="004A5E90"/>
    <w:rsid w:val="004A600B"/>
    <w:rsid w:val="004A6232"/>
    <w:rsid w:val="004A6277"/>
    <w:rsid w:val="004A62EA"/>
    <w:rsid w:val="004A6424"/>
    <w:rsid w:val="004A652A"/>
    <w:rsid w:val="004A67F4"/>
    <w:rsid w:val="004A6800"/>
    <w:rsid w:val="004A68F5"/>
    <w:rsid w:val="004A6A91"/>
    <w:rsid w:val="004A6A99"/>
    <w:rsid w:val="004A6B6B"/>
    <w:rsid w:val="004A6CEC"/>
    <w:rsid w:val="004A6E22"/>
    <w:rsid w:val="004A6F9E"/>
    <w:rsid w:val="004A7119"/>
    <w:rsid w:val="004A7121"/>
    <w:rsid w:val="004A7202"/>
    <w:rsid w:val="004A72B4"/>
    <w:rsid w:val="004A7499"/>
    <w:rsid w:val="004A75BA"/>
    <w:rsid w:val="004A7676"/>
    <w:rsid w:val="004A7864"/>
    <w:rsid w:val="004A7935"/>
    <w:rsid w:val="004A7DDC"/>
    <w:rsid w:val="004A7ED8"/>
    <w:rsid w:val="004A7F34"/>
    <w:rsid w:val="004B0010"/>
    <w:rsid w:val="004B0062"/>
    <w:rsid w:val="004B01BB"/>
    <w:rsid w:val="004B03FA"/>
    <w:rsid w:val="004B0662"/>
    <w:rsid w:val="004B0841"/>
    <w:rsid w:val="004B08D4"/>
    <w:rsid w:val="004B0BA1"/>
    <w:rsid w:val="004B0D1E"/>
    <w:rsid w:val="004B0E8C"/>
    <w:rsid w:val="004B1251"/>
    <w:rsid w:val="004B135C"/>
    <w:rsid w:val="004B13B2"/>
    <w:rsid w:val="004B14E1"/>
    <w:rsid w:val="004B152B"/>
    <w:rsid w:val="004B163A"/>
    <w:rsid w:val="004B1671"/>
    <w:rsid w:val="004B1674"/>
    <w:rsid w:val="004B1718"/>
    <w:rsid w:val="004B1720"/>
    <w:rsid w:val="004B1826"/>
    <w:rsid w:val="004B1942"/>
    <w:rsid w:val="004B19A2"/>
    <w:rsid w:val="004B1E77"/>
    <w:rsid w:val="004B1EAF"/>
    <w:rsid w:val="004B1FA3"/>
    <w:rsid w:val="004B20AD"/>
    <w:rsid w:val="004B2136"/>
    <w:rsid w:val="004B2141"/>
    <w:rsid w:val="004B22B1"/>
    <w:rsid w:val="004B2453"/>
    <w:rsid w:val="004B25BC"/>
    <w:rsid w:val="004B2657"/>
    <w:rsid w:val="004B269D"/>
    <w:rsid w:val="004B2772"/>
    <w:rsid w:val="004B27BA"/>
    <w:rsid w:val="004B27C4"/>
    <w:rsid w:val="004B291D"/>
    <w:rsid w:val="004B29D6"/>
    <w:rsid w:val="004B2A00"/>
    <w:rsid w:val="004B2A24"/>
    <w:rsid w:val="004B2A25"/>
    <w:rsid w:val="004B2A37"/>
    <w:rsid w:val="004B2A5D"/>
    <w:rsid w:val="004B2C7C"/>
    <w:rsid w:val="004B2C82"/>
    <w:rsid w:val="004B2DB0"/>
    <w:rsid w:val="004B2E1D"/>
    <w:rsid w:val="004B2E7F"/>
    <w:rsid w:val="004B2EB0"/>
    <w:rsid w:val="004B3203"/>
    <w:rsid w:val="004B3345"/>
    <w:rsid w:val="004B3366"/>
    <w:rsid w:val="004B33FC"/>
    <w:rsid w:val="004B3401"/>
    <w:rsid w:val="004B34CF"/>
    <w:rsid w:val="004B36BF"/>
    <w:rsid w:val="004B36E1"/>
    <w:rsid w:val="004B3734"/>
    <w:rsid w:val="004B375F"/>
    <w:rsid w:val="004B3C6B"/>
    <w:rsid w:val="004B3E85"/>
    <w:rsid w:val="004B422E"/>
    <w:rsid w:val="004B42F1"/>
    <w:rsid w:val="004B435D"/>
    <w:rsid w:val="004B45CE"/>
    <w:rsid w:val="004B4796"/>
    <w:rsid w:val="004B480C"/>
    <w:rsid w:val="004B4A38"/>
    <w:rsid w:val="004B4BA7"/>
    <w:rsid w:val="004B4BD0"/>
    <w:rsid w:val="004B4C78"/>
    <w:rsid w:val="004B4FEB"/>
    <w:rsid w:val="004B50FA"/>
    <w:rsid w:val="004B53F2"/>
    <w:rsid w:val="004B5580"/>
    <w:rsid w:val="004B55AA"/>
    <w:rsid w:val="004B569B"/>
    <w:rsid w:val="004B56C7"/>
    <w:rsid w:val="004B586C"/>
    <w:rsid w:val="004B5B45"/>
    <w:rsid w:val="004B5DA7"/>
    <w:rsid w:val="004B5E84"/>
    <w:rsid w:val="004B5ED5"/>
    <w:rsid w:val="004B5F9A"/>
    <w:rsid w:val="004B60CE"/>
    <w:rsid w:val="004B6152"/>
    <w:rsid w:val="004B6158"/>
    <w:rsid w:val="004B61B4"/>
    <w:rsid w:val="004B625F"/>
    <w:rsid w:val="004B62DF"/>
    <w:rsid w:val="004B63D8"/>
    <w:rsid w:val="004B65FD"/>
    <w:rsid w:val="004B6630"/>
    <w:rsid w:val="004B67AF"/>
    <w:rsid w:val="004B689B"/>
    <w:rsid w:val="004B68A9"/>
    <w:rsid w:val="004B68EC"/>
    <w:rsid w:val="004B69C4"/>
    <w:rsid w:val="004B6C80"/>
    <w:rsid w:val="004B6D2B"/>
    <w:rsid w:val="004B6FE3"/>
    <w:rsid w:val="004B7078"/>
    <w:rsid w:val="004B71EC"/>
    <w:rsid w:val="004B7216"/>
    <w:rsid w:val="004B729C"/>
    <w:rsid w:val="004B73C3"/>
    <w:rsid w:val="004B749F"/>
    <w:rsid w:val="004B7606"/>
    <w:rsid w:val="004B782F"/>
    <w:rsid w:val="004B7925"/>
    <w:rsid w:val="004B7A80"/>
    <w:rsid w:val="004B7C25"/>
    <w:rsid w:val="004B7C46"/>
    <w:rsid w:val="004B7E67"/>
    <w:rsid w:val="004C0333"/>
    <w:rsid w:val="004C0541"/>
    <w:rsid w:val="004C07D4"/>
    <w:rsid w:val="004C08AA"/>
    <w:rsid w:val="004C0916"/>
    <w:rsid w:val="004C098E"/>
    <w:rsid w:val="004C0A7A"/>
    <w:rsid w:val="004C0CEB"/>
    <w:rsid w:val="004C0FF1"/>
    <w:rsid w:val="004C1093"/>
    <w:rsid w:val="004C10EF"/>
    <w:rsid w:val="004C1281"/>
    <w:rsid w:val="004C1464"/>
    <w:rsid w:val="004C15AF"/>
    <w:rsid w:val="004C1736"/>
    <w:rsid w:val="004C1836"/>
    <w:rsid w:val="004C1ADA"/>
    <w:rsid w:val="004C1D97"/>
    <w:rsid w:val="004C1DE2"/>
    <w:rsid w:val="004C2026"/>
    <w:rsid w:val="004C207F"/>
    <w:rsid w:val="004C20D1"/>
    <w:rsid w:val="004C2540"/>
    <w:rsid w:val="004C2648"/>
    <w:rsid w:val="004C26A8"/>
    <w:rsid w:val="004C2756"/>
    <w:rsid w:val="004C281F"/>
    <w:rsid w:val="004C2842"/>
    <w:rsid w:val="004C29A1"/>
    <w:rsid w:val="004C2A05"/>
    <w:rsid w:val="004C2A06"/>
    <w:rsid w:val="004C2BF6"/>
    <w:rsid w:val="004C2C1B"/>
    <w:rsid w:val="004C2C2D"/>
    <w:rsid w:val="004C2D50"/>
    <w:rsid w:val="004C2FE9"/>
    <w:rsid w:val="004C3003"/>
    <w:rsid w:val="004C30FA"/>
    <w:rsid w:val="004C3163"/>
    <w:rsid w:val="004C3165"/>
    <w:rsid w:val="004C3190"/>
    <w:rsid w:val="004C33DF"/>
    <w:rsid w:val="004C34E5"/>
    <w:rsid w:val="004C3592"/>
    <w:rsid w:val="004C365E"/>
    <w:rsid w:val="004C3736"/>
    <w:rsid w:val="004C3961"/>
    <w:rsid w:val="004C3A36"/>
    <w:rsid w:val="004C40EB"/>
    <w:rsid w:val="004C4133"/>
    <w:rsid w:val="004C42CF"/>
    <w:rsid w:val="004C4410"/>
    <w:rsid w:val="004C4432"/>
    <w:rsid w:val="004C4461"/>
    <w:rsid w:val="004C454E"/>
    <w:rsid w:val="004C46DB"/>
    <w:rsid w:val="004C47C7"/>
    <w:rsid w:val="004C4825"/>
    <w:rsid w:val="004C4827"/>
    <w:rsid w:val="004C493F"/>
    <w:rsid w:val="004C4A3A"/>
    <w:rsid w:val="004C4A43"/>
    <w:rsid w:val="004C4D45"/>
    <w:rsid w:val="004C4DE4"/>
    <w:rsid w:val="004C4E84"/>
    <w:rsid w:val="004C4F03"/>
    <w:rsid w:val="004C4F19"/>
    <w:rsid w:val="004C4FDD"/>
    <w:rsid w:val="004C5197"/>
    <w:rsid w:val="004C51AD"/>
    <w:rsid w:val="004C557C"/>
    <w:rsid w:val="004C55CB"/>
    <w:rsid w:val="004C560B"/>
    <w:rsid w:val="004C562D"/>
    <w:rsid w:val="004C56EE"/>
    <w:rsid w:val="004C580B"/>
    <w:rsid w:val="004C5922"/>
    <w:rsid w:val="004C59EB"/>
    <w:rsid w:val="004C5A0B"/>
    <w:rsid w:val="004C5A66"/>
    <w:rsid w:val="004C5C0E"/>
    <w:rsid w:val="004C5C41"/>
    <w:rsid w:val="004C5C5C"/>
    <w:rsid w:val="004C5D2D"/>
    <w:rsid w:val="004C5DAE"/>
    <w:rsid w:val="004C5E2E"/>
    <w:rsid w:val="004C5E77"/>
    <w:rsid w:val="004C5EDE"/>
    <w:rsid w:val="004C6071"/>
    <w:rsid w:val="004C62E5"/>
    <w:rsid w:val="004C630B"/>
    <w:rsid w:val="004C64D6"/>
    <w:rsid w:val="004C65C9"/>
    <w:rsid w:val="004C66AF"/>
    <w:rsid w:val="004C67CB"/>
    <w:rsid w:val="004C67ED"/>
    <w:rsid w:val="004C680F"/>
    <w:rsid w:val="004C6824"/>
    <w:rsid w:val="004C6962"/>
    <w:rsid w:val="004C6993"/>
    <w:rsid w:val="004C6BDB"/>
    <w:rsid w:val="004C6CF4"/>
    <w:rsid w:val="004C6EB0"/>
    <w:rsid w:val="004C6FB1"/>
    <w:rsid w:val="004C7035"/>
    <w:rsid w:val="004C72BD"/>
    <w:rsid w:val="004C72E0"/>
    <w:rsid w:val="004C748A"/>
    <w:rsid w:val="004C76F0"/>
    <w:rsid w:val="004C7972"/>
    <w:rsid w:val="004C7B3C"/>
    <w:rsid w:val="004C7B48"/>
    <w:rsid w:val="004C7D62"/>
    <w:rsid w:val="004C7F6A"/>
    <w:rsid w:val="004C7F6B"/>
    <w:rsid w:val="004D0010"/>
    <w:rsid w:val="004D008A"/>
    <w:rsid w:val="004D01E3"/>
    <w:rsid w:val="004D01EE"/>
    <w:rsid w:val="004D04EA"/>
    <w:rsid w:val="004D04F9"/>
    <w:rsid w:val="004D0561"/>
    <w:rsid w:val="004D0607"/>
    <w:rsid w:val="004D0AE9"/>
    <w:rsid w:val="004D0B53"/>
    <w:rsid w:val="004D0B5A"/>
    <w:rsid w:val="004D0BF3"/>
    <w:rsid w:val="004D0BF7"/>
    <w:rsid w:val="004D0D18"/>
    <w:rsid w:val="004D0D44"/>
    <w:rsid w:val="004D0F36"/>
    <w:rsid w:val="004D1062"/>
    <w:rsid w:val="004D1069"/>
    <w:rsid w:val="004D1306"/>
    <w:rsid w:val="004D1330"/>
    <w:rsid w:val="004D138D"/>
    <w:rsid w:val="004D146A"/>
    <w:rsid w:val="004D1624"/>
    <w:rsid w:val="004D16AA"/>
    <w:rsid w:val="004D1B43"/>
    <w:rsid w:val="004D1CDD"/>
    <w:rsid w:val="004D1EF4"/>
    <w:rsid w:val="004D1F54"/>
    <w:rsid w:val="004D2074"/>
    <w:rsid w:val="004D220D"/>
    <w:rsid w:val="004D2298"/>
    <w:rsid w:val="004D239C"/>
    <w:rsid w:val="004D2448"/>
    <w:rsid w:val="004D2577"/>
    <w:rsid w:val="004D25B7"/>
    <w:rsid w:val="004D268D"/>
    <w:rsid w:val="004D26A5"/>
    <w:rsid w:val="004D2763"/>
    <w:rsid w:val="004D27C7"/>
    <w:rsid w:val="004D2891"/>
    <w:rsid w:val="004D28ED"/>
    <w:rsid w:val="004D297F"/>
    <w:rsid w:val="004D30AB"/>
    <w:rsid w:val="004D310E"/>
    <w:rsid w:val="004D3257"/>
    <w:rsid w:val="004D352C"/>
    <w:rsid w:val="004D3596"/>
    <w:rsid w:val="004D35F9"/>
    <w:rsid w:val="004D363D"/>
    <w:rsid w:val="004D36B8"/>
    <w:rsid w:val="004D3759"/>
    <w:rsid w:val="004D3919"/>
    <w:rsid w:val="004D3C0C"/>
    <w:rsid w:val="004D3D4A"/>
    <w:rsid w:val="004D3E3C"/>
    <w:rsid w:val="004D3E9B"/>
    <w:rsid w:val="004D3E9D"/>
    <w:rsid w:val="004D3EE1"/>
    <w:rsid w:val="004D41AD"/>
    <w:rsid w:val="004D4235"/>
    <w:rsid w:val="004D435A"/>
    <w:rsid w:val="004D44AD"/>
    <w:rsid w:val="004D453D"/>
    <w:rsid w:val="004D46B7"/>
    <w:rsid w:val="004D4891"/>
    <w:rsid w:val="004D4B92"/>
    <w:rsid w:val="004D4D96"/>
    <w:rsid w:val="004D4DAE"/>
    <w:rsid w:val="004D4DDB"/>
    <w:rsid w:val="004D4F3D"/>
    <w:rsid w:val="004D5093"/>
    <w:rsid w:val="004D5298"/>
    <w:rsid w:val="004D52A0"/>
    <w:rsid w:val="004D53CE"/>
    <w:rsid w:val="004D53DC"/>
    <w:rsid w:val="004D560C"/>
    <w:rsid w:val="004D5794"/>
    <w:rsid w:val="004D579C"/>
    <w:rsid w:val="004D58B7"/>
    <w:rsid w:val="004D5A43"/>
    <w:rsid w:val="004D5C6D"/>
    <w:rsid w:val="004D5CDB"/>
    <w:rsid w:val="004D5D5B"/>
    <w:rsid w:val="004D5EAE"/>
    <w:rsid w:val="004D60C9"/>
    <w:rsid w:val="004D61B5"/>
    <w:rsid w:val="004D62E5"/>
    <w:rsid w:val="004D6483"/>
    <w:rsid w:val="004D65A4"/>
    <w:rsid w:val="004D6676"/>
    <w:rsid w:val="004D6732"/>
    <w:rsid w:val="004D6819"/>
    <w:rsid w:val="004D68A4"/>
    <w:rsid w:val="004D69F3"/>
    <w:rsid w:val="004D6AEF"/>
    <w:rsid w:val="004D6B99"/>
    <w:rsid w:val="004D6E62"/>
    <w:rsid w:val="004D6EA2"/>
    <w:rsid w:val="004D6F8C"/>
    <w:rsid w:val="004D7083"/>
    <w:rsid w:val="004D72D2"/>
    <w:rsid w:val="004D7425"/>
    <w:rsid w:val="004D74BB"/>
    <w:rsid w:val="004D7698"/>
    <w:rsid w:val="004D77A0"/>
    <w:rsid w:val="004D7AB6"/>
    <w:rsid w:val="004D7DA0"/>
    <w:rsid w:val="004E0050"/>
    <w:rsid w:val="004E00CE"/>
    <w:rsid w:val="004E0117"/>
    <w:rsid w:val="004E015F"/>
    <w:rsid w:val="004E02C1"/>
    <w:rsid w:val="004E033D"/>
    <w:rsid w:val="004E04DD"/>
    <w:rsid w:val="004E04F2"/>
    <w:rsid w:val="004E0501"/>
    <w:rsid w:val="004E05AF"/>
    <w:rsid w:val="004E0648"/>
    <w:rsid w:val="004E06AA"/>
    <w:rsid w:val="004E0791"/>
    <w:rsid w:val="004E0839"/>
    <w:rsid w:val="004E084A"/>
    <w:rsid w:val="004E08AE"/>
    <w:rsid w:val="004E098D"/>
    <w:rsid w:val="004E0C86"/>
    <w:rsid w:val="004E0CEE"/>
    <w:rsid w:val="004E0D03"/>
    <w:rsid w:val="004E0DD9"/>
    <w:rsid w:val="004E0E47"/>
    <w:rsid w:val="004E0E59"/>
    <w:rsid w:val="004E111F"/>
    <w:rsid w:val="004E1163"/>
    <w:rsid w:val="004E11CD"/>
    <w:rsid w:val="004E1250"/>
    <w:rsid w:val="004E127F"/>
    <w:rsid w:val="004E130F"/>
    <w:rsid w:val="004E1345"/>
    <w:rsid w:val="004E145E"/>
    <w:rsid w:val="004E14CB"/>
    <w:rsid w:val="004E15A0"/>
    <w:rsid w:val="004E1608"/>
    <w:rsid w:val="004E17FD"/>
    <w:rsid w:val="004E1807"/>
    <w:rsid w:val="004E1816"/>
    <w:rsid w:val="004E188F"/>
    <w:rsid w:val="004E18FF"/>
    <w:rsid w:val="004E1954"/>
    <w:rsid w:val="004E19AD"/>
    <w:rsid w:val="004E1A87"/>
    <w:rsid w:val="004E1BCB"/>
    <w:rsid w:val="004E1C77"/>
    <w:rsid w:val="004E1CA9"/>
    <w:rsid w:val="004E1CFD"/>
    <w:rsid w:val="004E1D0F"/>
    <w:rsid w:val="004E1F97"/>
    <w:rsid w:val="004E214F"/>
    <w:rsid w:val="004E221F"/>
    <w:rsid w:val="004E236C"/>
    <w:rsid w:val="004E2436"/>
    <w:rsid w:val="004E2454"/>
    <w:rsid w:val="004E24CE"/>
    <w:rsid w:val="004E25F5"/>
    <w:rsid w:val="004E262B"/>
    <w:rsid w:val="004E26B2"/>
    <w:rsid w:val="004E26E1"/>
    <w:rsid w:val="004E275A"/>
    <w:rsid w:val="004E275C"/>
    <w:rsid w:val="004E2831"/>
    <w:rsid w:val="004E28AC"/>
    <w:rsid w:val="004E28D0"/>
    <w:rsid w:val="004E28DE"/>
    <w:rsid w:val="004E28F5"/>
    <w:rsid w:val="004E294A"/>
    <w:rsid w:val="004E2B98"/>
    <w:rsid w:val="004E2E93"/>
    <w:rsid w:val="004E2EE8"/>
    <w:rsid w:val="004E2EF1"/>
    <w:rsid w:val="004E2F4E"/>
    <w:rsid w:val="004E2FEE"/>
    <w:rsid w:val="004E2FF6"/>
    <w:rsid w:val="004E301B"/>
    <w:rsid w:val="004E304E"/>
    <w:rsid w:val="004E312E"/>
    <w:rsid w:val="004E31CD"/>
    <w:rsid w:val="004E31E0"/>
    <w:rsid w:val="004E3674"/>
    <w:rsid w:val="004E385F"/>
    <w:rsid w:val="004E3E75"/>
    <w:rsid w:val="004E3FB5"/>
    <w:rsid w:val="004E4001"/>
    <w:rsid w:val="004E4248"/>
    <w:rsid w:val="004E42AC"/>
    <w:rsid w:val="004E42D7"/>
    <w:rsid w:val="004E4456"/>
    <w:rsid w:val="004E4472"/>
    <w:rsid w:val="004E4745"/>
    <w:rsid w:val="004E4841"/>
    <w:rsid w:val="004E48CB"/>
    <w:rsid w:val="004E4A0A"/>
    <w:rsid w:val="004E4B32"/>
    <w:rsid w:val="004E4D50"/>
    <w:rsid w:val="004E4F3A"/>
    <w:rsid w:val="004E5072"/>
    <w:rsid w:val="004E5319"/>
    <w:rsid w:val="004E53B7"/>
    <w:rsid w:val="004E5442"/>
    <w:rsid w:val="004E547F"/>
    <w:rsid w:val="004E559B"/>
    <w:rsid w:val="004E56DB"/>
    <w:rsid w:val="004E574F"/>
    <w:rsid w:val="004E5BA6"/>
    <w:rsid w:val="004E5C44"/>
    <w:rsid w:val="004E5D64"/>
    <w:rsid w:val="004E5DB8"/>
    <w:rsid w:val="004E5E21"/>
    <w:rsid w:val="004E5EBC"/>
    <w:rsid w:val="004E5F26"/>
    <w:rsid w:val="004E604F"/>
    <w:rsid w:val="004E6091"/>
    <w:rsid w:val="004E609D"/>
    <w:rsid w:val="004E6371"/>
    <w:rsid w:val="004E6421"/>
    <w:rsid w:val="004E647E"/>
    <w:rsid w:val="004E64E6"/>
    <w:rsid w:val="004E6523"/>
    <w:rsid w:val="004E66AF"/>
    <w:rsid w:val="004E670A"/>
    <w:rsid w:val="004E6857"/>
    <w:rsid w:val="004E6AA7"/>
    <w:rsid w:val="004E6C4C"/>
    <w:rsid w:val="004E6CB1"/>
    <w:rsid w:val="004E6D6A"/>
    <w:rsid w:val="004E6D6F"/>
    <w:rsid w:val="004E7067"/>
    <w:rsid w:val="004E7091"/>
    <w:rsid w:val="004E7136"/>
    <w:rsid w:val="004E725C"/>
    <w:rsid w:val="004E72CA"/>
    <w:rsid w:val="004E7354"/>
    <w:rsid w:val="004E73B9"/>
    <w:rsid w:val="004E7486"/>
    <w:rsid w:val="004E766A"/>
    <w:rsid w:val="004E77A9"/>
    <w:rsid w:val="004E781C"/>
    <w:rsid w:val="004E7997"/>
    <w:rsid w:val="004E7AFB"/>
    <w:rsid w:val="004E7CC1"/>
    <w:rsid w:val="004E7E45"/>
    <w:rsid w:val="004E7E87"/>
    <w:rsid w:val="004E7FC7"/>
    <w:rsid w:val="004F0078"/>
    <w:rsid w:val="004F0190"/>
    <w:rsid w:val="004F01DD"/>
    <w:rsid w:val="004F0280"/>
    <w:rsid w:val="004F04A2"/>
    <w:rsid w:val="004F0651"/>
    <w:rsid w:val="004F0B7D"/>
    <w:rsid w:val="004F0BAA"/>
    <w:rsid w:val="004F0BB4"/>
    <w:rsid w:val="004F0BC2"/>
    <w:rsid w:val="004F0BD1"/>
    <w:rsid w:val="004F0C8D"/>
    <w:rsid w:val="004F111F"/>
    <w:rsid w:val="004F1123"/>
    <w:rsid w:val="004F1182"/>
    <w:rsid w:val="004F118B"/>
    <w:rsid w:val="004F1318"/>
    <w:rsid w:val="004F1400"/>
    <w:rsid w:val="004F149C"/>
    <w:rsid w:val="004F16C6"/>
    <w:rsid w:val="004F191B"/>
    <w:rsid w:val="004F1A0D"/>
    <w:rsid w:val="004F1A19"/>
    <w:rsid w:val="004F1AF5"/>
    <w:rsid w:val="004F1B63"/>
    <w:rsid w:val="004F1D16"/>
    <w:rsid w:val="004F1E24"/>
    <w:rsid w:val="004F1EC0"/>
    <w:rsid w:val="004F2045"/>
    <w:rsid w:val="004F2077"/>
    <w:rsid w:val="004F208C"/>
    <w:rsid w:val="004F20C5"/>
    <w:rsid w:val="004F22AA"/>
    <w:rsid w:val="004F23FF"/>
    <w:rsid w:val="004F243A"/>
    <w:rsid w:val="004F2639"/>
    <w:rsid w:val="004F27EA"/>
    <w:rsid w:val="004F27F1"/>
    <w:rsid w:val="004F285F"/>
    <w:rsid w:val="004F28F6"/>
    <w:rsid w:val="004F29D4"/>
    <w:rsid w:val="004F29E5"/>
    <w:rsid w:val="004F2B98"/>
    <w:rsid w:val="004F2C67"/>
    <w:rsid w:val="004F2D63"/>
    <w:rsid w:val="004F2DA8"/>
    <w:rsid w:val="004F2E80"/>
    <w:rsid w:val="004F2FB6"/>
    <w:rsid w:val="004F3070"/>
    <w:rsid w:val="004F31FE"/>
    <w:rsid w:val="004F322D"/>
    <w:rsid w:val="004F3272"/>
    <w:rsid w:val="004F3319"/>
    <w:rsid w:val="004F34FC"/>
    <w:rsid w:val="004F3527"/>
    <w:rsid w:val="004F362F"/>
    <w:rsid w:val="004F3C6E"/>
    <w:rsid w:val="004F3D88"/>
    <w:rsid w:val="004F3E0D"/>
    <w:rsid w:val="004F3F84"/>
    <w:rsid w:val="004F4171"/>
    <w:rsid w:val="004F426F"/>
    <w:rsid w:val="004F429B"/>
    <w:rsid w:val="004F4352"/>
    <w:rsid w:val="004F442D"/>
    <w:rsid w:val="004F4581"/>
    <w:rsid w:val="004F4701"/>
    <w:rsid w:val="004F4950"/>
    <w:rsid w:val="004F49EA"/>
    <w:rsid w:val="004F4BF6"/>
    <w:rsid w:val="004F4CEA"/>
    <w:rsid w:val="004F4D3A"/>
    <w:rsid w:val="004F4E2D"/>
    <w:rsid w:val="004F4F2C"/>
    <w:rsid w:val="004F4FF5"/>
    <w:rsid w:val="004F502F"/>
    <w:rsid w:val="004F5180"/>
    <w:rsid w:val="004F51B4"/>
    <w:rsid w:val="004F51E3"/>
    <w:rsid w:val="004F5301"/>
    <w:rsid w:val="004F5313"/>
    <w:rsid w:val="004F54D0"/>
    <w:rsid w:val="004F5596"/>
    <w:rsid w:val="004F55CB"/>
    <w:rsid w:val="004F561C"/>
    <w:rsid w:val="004F562F"/>
    <w:rsid w:val="004F5650"/>
    <w:rsid w:val="004F5727"/>
    <w:rsid w:val="004F5836"/>
    <w:rsid w:val="004F58E4"/>
    <w:rsid w:val="004F58F6"/>
    <w:rsid w:val="004F5C1C"/>
    <w:rsid w:val="004F5CD0"/>
    <w:rsid w:val="004F5CEE"/>
    <w:rsid w:val="004F60A9"/>
    <w:rsid w:val="004F6191"/>
    <w:rsid w:val="004F61A0"/>
    <w:rsid w:val="004F621C"/>
    <w:rsid w:val="004F64AC"/>
    <w:rsid w:val="004F64D9"/>
    <w:rsid w:val="004F654E"/>
    <w:rsid w:val="004F65C6"/>
    <w:rsid w:val="004F67D7"/>
    <w:rsid w:val="004F696E"/>
    <w:rsid w:val="004F6C14"/>
    <w:rsid w:val="004F6F53"/>
    <w:rsid w:val="004F700C"/>
    <w:rsid w:val="004F708F"/>
    <w:rsid w:val="004F7163"/>
    <w:rsid w:val="004F71FB"/>
    <w:rsid w:val="004F71FD"/>
    <w:rsid w:val="004F72AA"/>
    <w:rsid w:val="004F7308"/>
    <w:rsid w:val="004F7370"/>
    <w:rsid w:val="004F741B"/>
    <w:rsid w:val="004F75DD"/>
    <w:rsid w:val="004F7631"/>
    <w:rsid w:val="004F763A"/>
    <w:rsid w:val="004F76D7"/>
    <w:rsid w:val="004F779C"/>
    <w:rsid w:val="004F7910"/>
    <w:rsid w:val="004F7915"/>
    <w:rsid w:val="004F795D"/>
    <w:rsid w:val="004F7A48"/>
    <w:rsid w:val="004F7B54"/>
    <w:rsid w:val="004F7C2B"/>
    <w:rsid w:val="004F7C81"/>
    <w:rsid w:val="004F7FB9"/>
    <w:rsid w:val="005000F0"/>
    <w:rsid w:val="00500213"/>
    <w:rsid w:val="005003E7"/>
    <w:rsid w:val="00500449"/>
    <w:rsid w:val="005004CF"/>
    <w:rsid w:val="0050071C"/>
    <w:rsid w:val="0050073F"/>
    <w:rsid w:val="00500856"/>
    <w:rsid w:val="0050092E"/>
    <w:rsid w:val="00500968"/>
    <w:rsid w:val="00500B9F"/>
    <w:rsid w:val="00500C6E"/>
    <w:rsid w:val="00500CF1"/>
    <w:rsid w:val="00500D04"/>
    <w:rsid w:val="00500D74"/>
    <w:rsid w:val="00500FCE"/>
    <w:rsid w:val="00501068"/>
    <w:rsid w:val="00501253"/>
    <w:rsid w:val="00501398"/>
    <w:rsid w:val="0050166E"/>
    <w:rsid w:val="005016D6"/>
    <w:rsid w:val="00501B76"/>
    <w:rsid w:val="00501BC4"/>
    <w:rsid w:val="00501D5B"/>
    <w:rsid w:val="00501D69"/>
    <w:rsid w:val="00501DDA"/>
    <w:rsid w:val="00501E5D"/>
    <w:rsid w:val="00501EB3"/>
    <w:rsid w:val="00502038"/>
    <w:rsid w:val="005020FD"/>
    <w:rsid w:val="0050213E"/>
    <w:rsid w:val="00502225"/>
    <w:rsid w:val="005023A0"/>
    <w:rsid w:val="005023EC"/>
    <w:rsid w:val="0050247C"/>
    <w:rsid w:val="005024C5"/>
    <w:rsid w:val="0050253A"/>
    <w:rsid w:val="00502663"/>
    <w:rsid w:val="00502825"/>
    <w:rsid w:val="00502885"/>
    <w:rsid w:val="005029C6"/>
    <w:rsid w:val="00502BC1"/>
    <w:rsid w:val="00502E9B"/>
    <w:rsid w:val="00502F63"/>
    <w:rsid w:val="00503061"/>
    <w:rsid w:val="005030F4"/>
    <w:rsid w:val="0050347A"/>
    <w:rsid w:val="00503490"/>
    <w:rsid w:val="005035E2"/>
    <w:rsid w:val="0050368F"/>
    <w:rsid w:val="0050375E"/>
    <w:rsid w:val="0050377B"/>
    <w:rsid w:val="0050381E"/>
    <w:rsid w:val="00503879"/>
    <w:rsid w:val="005038A4"/>
    <w:rsid w:val="005039E1"/>
    <w:rsid w:val="00503ABA"/>
    <w:rsid w:val="00503AE1"/>
    <w:rsid w:val="00503D9B"/>
    <w:rsid w:val="00503E2E"/>
    <w:rsid w:val="00503EDF"/>
    <w:rsid w:val="00503EF9"/>
    <w:rsid w:val="00503F2F"/>
    <w:rsid w:val="00503F4B"/>
    <w:rsid w:val="00504064"/>
    <w:rsid w:val="00504078"/>
    <w:rsid w:val="005041CB"/>
    <w:rsid w:val="005042C0"/>
    <w:rsid w:val="00504340"/>
    <w:rsid w:val="005044E0"/>
    <w:rsid w:val="0050472E"/>
    <w:rsid w:val="00504802"/>
    <w:rsid w:val="00504957"/>
    <w:rsid w:val="00504A67"/>
    <w:rsid w:val="00504B6A"/>
    <w:rsid w:val="00504B78"/>
    <w:rsid w:val="00504C6F"/>
    <w:rsid w:val="00504C8D"/>
    <w:rsid w:val="00504CA0"/>
    <w:rsid w:val="00504D46"/>
    <w:rsid w:val="00504F7A"/>
    <w:rsid w:val="00505085"/>
    <w:rsid w:val="005050D3"/>
    <w:rsid w:val="00505103"/>
    <w:rsid w:val="005052F3"/>
    <w:rsid w:val="00505350"/>
    <w:rsid w:val="005055E9"/>
    <w:rsid w:val="00505798"/>
    <w:rsid w:val="005059B0"/>
    <w:rsid w:val="00505A6F"/>
    <w:rsid w:val="00505B6D"/>
    <w:rsid w:val="00505B76"/>
    <w:rsid w:val="00505C33"/>
    <w:rsid w:val="00505CB4"/>
    <w:rsid w:val="00505D1E"/>
    <w:rsid w:val="00505DAC"/>
    <w:rsid w:val="00505F5F"/>
    <w:rsid w:val="00505F63"/>
    <w:rsid w:val="00506005"/>
    <w:rsid w:val="00506064"/>
    <w:rsid w:val="005061D3"/>
    <w:rsid w:val="0050649D"/>
    <w:rsid w:val="005064BD"/>
    <w:rsid w:val="005064F3"/>
    <w:rsid w:val="005067BC"/>
    <w:rsid w:val="00506894"/>
    <w:rsid w:val="0050691E"/>
    <w:rsid w:val="00506925"/>
    <w:rsid w:val="00506981"/>
    <w:rsid w:val="00506BB2"/>
    <w:rsid w:val="00506CAF"/>
    <w:rsid w:val="00506D77"/>
    <w:rsid w:val="00506DF3"/>
    <w:rsid w:val="00506E33"/>
    <w:rsid w:val="00506EA3"/>
    <w:rsid w:val="00506EE7"/>
    <w:rsid w:val="00506F40"/>
    <w:rsid w:val="00506FB8"/>
    <w:rsid w:val="005070CB"/>
    <w:rsid w:val="005071A7"/>
    <w:rsid w:val="00507375"/>
    <w:rsid w:val="0050740E"/>
    <w:rsid w:val="0050763D"/>
    <w:rsid w:val="00507788"/>
    <w:rsid w:val="00507800"/>
    <w:rsid w:val="00507803"/>
    <w:rsid w:val="005079FA"/>
    <w:rsid w:val="00507B42"/>
    <w:rsid w:val="00507C39"/>
    <w:rsid w:val="00507D1D"/>
    <w:rsid w:val="00507D27"/>
    <w:rsid w:val="00507D77"/>
    <w:rsid w:val="00510276"/>
    <w:rsid w:val="005103FE"/>
    <w:rsid w:val="00510641"/>
    <w:rsid w:val="005106FD"/>
    <w:rsid w:val="005106FF"/>
    <w:rsid w:val="005107B8"/>
    <w:rsid w:val="00510886"/>
    <w:rsid w:val="005108F5"/>
    <w:rsid w:val="00510997"/>
    <w:rsid w:val="005109FF"/>
    <w:rsid w:val="00510A9D"/>
    <w:rsid w:val="00510C28"/>
    <w:rsid w:val="00510CA7"/>
    <w:rsid w:val="00510CC4"/>
    <w:rsid w:val="00510E92"/>
    <w:rsid w:val="00510E94"/>
    <w:rsid w:val="00510EB2"/>
    <w:rsid w:val="005110D2"/>
    <w:rsid w:val="005111B8"/>
    <w:rsid w:val="00511240"/>
    <w:rsid w:val="0051138D"/>
    <w:rsid w:val="00511415"/>
    <w:rsid w:val="00511589"/>
    <w:rsid w:val="0051168C"/>
    <w:rsid w:val="00511873"/>
    <w:rsid w:val="00511A67"/>
    <w:rsid w:val="00511AB4"/>
    <w:rsid w:val="00511B31"/>
    <w:rsid w:val="00512028"/>
    <w:rsid w:val="005120DB"/>
    <w:rsid w:val="0051217F"/>
    <w:rsid w:val="00512283"/>
    <w:rsid w:val="00512441"/>
    <w:rsid w:val="0051258B"/>
    <w:rsid w:val="005126BC"/>
    <w:rsid w:val="005126D2"/>
    <w:rsid w:val="005126EA"/>
    <w:rsid w:val="00512707"/>
    <w:rsid w:val="005127CB"/>
    <w:rsid w:val="005128B2"/>
    <w:rsid w:val="005129AF"/>
    <w:rsid w:val="00512B7B"/>
    <w:rsid w:val="00512CA6"/>
    <w:rsid w:val="00512CF5"/>
    <w:rsid w:val="00512D97"/>
    <w:rsid w:val="00512EB2"/>
    <w:rsid w:val="005131FC"/>
    <w:rsid w:val="005132CC"/>
    <w:rsid w:val="005132F1"/>
    <w:rsid w:val="0051332A"/>
    <w:rsid w:val="00513496"/>
    <w:rsid w:val="005134E5"/>
    <w:rsid w:val="0051352B"/>
    <w:rsid w:val="0051355F"/>
    <w:rsid w:val="00513619"/>
    <w:rsid w:val="005137C7"/>
    <w:rsid w:val="00513AA4"/>
    <w:rsid w:val="00513B87"/>
    <w:rsid w:val="00513C12"/>
    <w:rsid w:val="00513CE7"/>
    <w:rsid w:val="00513D60"/>
    <w:rsid w:val="00513F7C"/>
    <w:rsid w:val="00513FEF"/>
    <w:rsid w:val="005141F4"/>
    <w:rsid w:val="005142E6"/>
    <w:rsid w:val="005145E5"/>
    <w:rsid w:val="0051472E"/>
    <w:rsid w:val="00514847"/>
    <w:rsid w:val="00514875"/>
    <w:rsid w:val="0051490D"/>
    <w:rsid w:val="005149C1"/>
    <w:rsid w:val="005149E4"/>
    <w:rsid w:val="00514A25"/>
    <w:rsid w:val="00514B07"/>
    <w:rsid w:val="00514B55"/>
    <w:rsid w:val="00514C48"/>
    <w:rsid w:val="00514DCE"/>
    <w:rsid w:val="00514DEF"/>
    <w:rsid w:val="00514E9E"/>
    <w:rsid w:val="00514EA3"/>
    <w:rsid w:val="00515232"/>
    <w:rsid w:val="005152AA"/>
    <w:rsid w:val="0051533E"/>
    <w:rsid w:val="00515359"/>
    <w:rsid w:val="00515397"/>
    <w:rsid w:val="005155F2"/>
    <w:rsid w:val="00515765"/>
    <w:rsid w:val="005157B7"/>
    <w:rsid w:val="005157C6"/>
    <w:rsid w:val="00515A5C"/>
    <w:rsid w:val="00515AF6"/>
    <w:rsid w:val="00515CFD"/>
    <w:rsid w:val="00515D64"/>
    <w:rsid w:val="00515D6C"/>
    <w:rsid w:val="00515F0F"/>
    <w:rsid w:val="00515F62"/>
    <w:rsid w:val="00515FF4"/>
    <w:rsid w:val="00516205"/>
    <w:rsid w:val="005166A6"/>
    <w:rsid w:val="005167CF"/>
    <w:rsid w:val="005167DD"/>
    <w:rsid w:val="005168A2"/>
    <w:rsid w:val="005168EF"/>
    <w:rsid w:val="005169B8"/>
    <w:rsid w:val="00516A26"/>
    <w:rsid w:val="00516B46"/>
    <w:rsid w:val="00516BFE"/>
    <w:rsid w:val="00516C82"/>
    <w:rsid w:val="00516D49"/>
    <w:rsid w:val="00516EC5"/>
    <w:rsid w:val="00517014"/>
    <w:rsid w:val="005170B7"/>
    <w:rsid w:val="0051715E"/>
    <w:rsid w:val="005172DF"/>
    <w:rsid w:val="00517463"/>
    <w:rsid w:val="00517802"/>
    <w:rsid w:val="0051781C"/>
    <w:rsid w:val="00517916"/>
    <w:rsid w:val="00517966"/>
    <w:rsid w:val="00517B0D"/>
    <w:rsid w:val="00517B17"/>
    <w:rsid w:val="00517B92"/>
    <w:rsid w:val="00517CF5"/>
    <w:rsid w:val="00517D83"/>
    <w:rsid w:val="00517DB4"/>
    <w:rsid w:val="00517E38"/>
    <w:rsid w:val="00517F4B"/>
    <w:rsid w:val="00520043"/>
    <w:rsid w:val="0052012E"/>
    <w:rsid w:val="00520308"/>
    <w:rsid w:val="00520337"/>
    <w:rsid w:val="0052033A"/>
    <w:rsid w:val="005204EB"/>
    <w:rsid w:val="005205FE"/>
    <w:rsid w:val="00520605"/>
    <w:rsid w:val="005206C3"/>
    <w:rsid w:val="0052082C"/>
    <w:rsid w:val="00520BEC"/>
    <w:rsid w:val="00520C09"/>
    <w:rsid w:val="00520C49"/>
    <w:rsid w:val="00520D7D"/>
    <w:rsid w:val="00520DF0"/>
    <w:rsid w:val="00521057"/>
    <w:rsid w:val="00521131"/>
    <w:rsid w:val="00521251"/>
    <w:rsid w:val="0052132A"/>
    <w:rsid w:val="005214D0"/>
    <w:rsid w:val="0052168F"/>
    <w:rsid w:val="005216B5"/>
    <w:rsid w:val="005216E8"/>
    <w:rsid w:val="0052172E"/>
    <w:rsid w:val="00521795"/>
    <w:rsid w:val="005218DD"/>
    <w:rsid w:val="00521902"/>
    <w:rsid w:val="00521905"/>
    <w:rsid w:val="005219ED"/>
    <w:rsid w:val="00521C97"/>
    <w:rsid w:val="00521D2F"/>
    <w:rsid w:val="00521DED"/>
    <w:rsid w:val="00521E9A"/>
    <w:rsid w:val="005220B2"/>
    <w:rsid w:val="0052228A"/>
    <w:rsid w:val="005222E1"/>
    <w:rsid w:val="0052231E"/>
    <w:rsid w:val="0052236C"/>
    <w:rsid w:val="005223DB"/>
    <w:rsid w:val="00522455"/>
    <w:rsid w:val="00522604"/>
    <w:rsid w:val="00522785"/>
    <w:rsid w:val="005227B3"/>
    <w:rsid w:val="00522A8D"/>
    <w:rsid w:val="00522BC9"/>
    <w:rsid w:val="00522FF3"/>
    <w:rsid w:val="00523073"/>
    <w:rsid w:val="0052310F"/>
    <w:rsid w:val="005232B0"/>
    <w:rsid w:val="00523444"/>
    <w:rsid w:val="00523517"/>
    <w:rsid w:val="005235D3"/>
    <w:rsid w:val="005236CB"/>
    <w:rsid w:val="00523794"/>
    <w:rsid w:val="005237AF"/>
    <w:rsid w:val="005237E4"/>
    <w:rsid w:val="00523927"/>
    <w:rsid w:val="00523A6E"/>
    <w:rsid w:val="00523B30"/>
    <w:rsid w:val="00523B47"/>
    <w:rsid w:val="00523B50"/>
    <w:rsid w:val="00523B66"/>
    <w:rsid w:val="00523CF8"/>
    <w:rsid w:val="00523D50"/>
    <w:rsid w:val="00523D80"/>
    <w:rsid w:val="00523DCF"/>
    <w:rsid w:val="00524043"/>
    <w:rsid w:val="005241E7"/>
    <w:rsid w:val="00524255"/>
    <w:rsid w:val="00524257"/>
    <w:rsid w:val="005242D9"/>
    <w:rsid w:val="005245BF"/>
    <w:rsid w:val="005246B5"/>
    <w:rsid w:val="0052473B"/>
    <w:rsid w:val="005247A4"/>
    <w:rsid w:val="00524852"/>
    <w:rsid w:val="005248A4"/>
    <w:rsid w:val="00524AA3"/>
    <w:rsid w:val="00524B24"/>
    <w:rsid w:val="00524DEC"/>
    <w:rsid w:val="00524E86"/>
    <w:rsid w:val="00524EA2"/>
    <w:rsid w:val="00524EB9"/>
    <w:rsid w:val="00524FAE"/>
    <w:rsid w:val="005250A9"/>
    <w:rsid w:val="005251CC"/>
    <w:rsid w:val="005252B9"/>
    <w:rsid w:val="005255BA"/>
    <w:rsid w:val="00525631"/>
    <w:rsid w:val="00525773"/>
    <w:rsid w:val="005259C9"/>
    <w:rsid w:val="00525A0E"/>
    <w:rsid w:val="00525B33"/>
    <w:rsid w:val="00525BFB"/>
    <w:rsid w:val="00525E7C"/>
    <w:rsid w:val="0052603C"/>
    <w:rsid w:val="0052612A"/>
    <w:rsid w:val="005261D2"/>
    <w:rsid w:val="00526362"/>
    <w:rsid w:val="00526403"/>
    <w:rsid w:val="00526457"/>
    <w:rsid w:val="00526459"/>
    <w:rsid w:val="00526782"/>
    <w:rsid w:val="0052690B"/>
    <w:rsid w:val="00526932"/>
    <w:rsid w:val="00526B7B"/>
    <w:rsid w:val="00526CEA"/>
    <w:rsid w:val="00526E53"/>
    <w:rsid w:val="00526E9F"/>
    <w:rsid w:val="0052715D"/>
    <w:rsid w:val="005271AD"/>
    <w:rsid w:val="005275F2"/>
    <w:rsid w:val="00527708"/>
    <w:rsid w:val="00527717"/>
    <w:rsid w:val="005277F6"/>
    <w:rsid w:val="005278CE"/>
    <w:rsid w:val="00527968"/>
    <w:rsid w:val="005279AD"/>
    <w:rsid w:val="00527B54"/>
    <w:rsid w:val="00527BF4"/>
    <w:rsid w:val="00527D65"/>
    <w:rsid w:val="00527DBD"/>
    <w:rsid w:val="00530186"/>
    <w:rsid w:val="0053020A"/>
    <w:rsid w:val="00530231"/>
    <w:rsid w:val="0053026B"/>
    <w:rsid w:val="005302EE"/>
    <w:rsid w:val="005303CE"/>
    <w:rsid w:val="00530473"/>
    <w:rsid w:val="005306A7"/>
    <w:rsid w:val="00530738"/>
    <w:rsid w:val="005308A3"/>
    <w:rsid w:val="005308AB"/>
    <w:rsid w:val="00530AEE"/>
    <w:rsid w:val="00530B38"/>
    <w:rsid w:val="00530C00"/>
    <w:rsid w:val="00530E2E"/>
    <w:rsid w:val="00530E9A"/>
    <w:rsid w:val="00530F2C"/>
    <w:rsid w:val="00530FC9"/>
    <w:rsid w:val="0053101C"/>
    <w:rsid w:val="005310F1"/>
    <w:rsid w:val="0053114C"/>
    <w:rsid w:val="005312B9"/>
    <w:rsid w:val="00531337"/>
    <w:rsid w:val="0053141B"/>
    <w:rsid w:val="00531496"/>
    <w:rsid w:val="00531503"/>
    <w:rsid w:val="00531586"/>
    <w:rsid w:val="005315C7"/>
    <w:rsid w:val="00531612"/>
    <w:rsid w:val="00531623"/>
    <w:rsid w:val="005316EA"/>
    <w:rsid w:val="00531761"/>
    <w:rsid w:val="005318C6"/>
    <w:rsid w:val="00531AF3"/>
    <w:rsid w:val="00531DBB"/>
    <w:rsid w:val="00531E1C"/>
    <w:rsid w:val="00531E49"/>
    <w:rsid w:val="00531E89"/>
    <w:rsid w:val="00531F7F"/>
    <w:rsid w:val="005321EA"/>
    <w:rsid w:val="00532312"/>
    <w:rsid w:val="00532535"/>
    <w:rsid w:val="005325F9"/>
    <w:rsid w:val="005326B7"/>
    <w:rsid w:val="005328B7"/>
    <w:rsid w:val="00532912"/>
    <w:rsid w:val="00532996"/>
    <w:rsid w:val="00532BA8"/>
    <w:rsid w:val="00532C5B"/>
    <w:rsid w:val="00532D24"/>
    <w:rsid w:val="00532D6E"/>
    <w:rsid w:val="00532E88"/>
    <w:rsid w:val="005330AB"/>
    <w:rsid w:val="00533182"/>
    <w:rsid w:val="00533530"/>
    <w:rsid w:val="00533556"/>
    <w:rsid w:val="005335D4"/>
    <w:rsid w:val="005335EC"/>
    <w:rsid w:val="005335F0"/>
    <w:rsid w:val="005335FB"/>
    <w:rsid w:val="005336BB"/>
    <w:rsid w:val="00533BB8"/>
    <w:rsid w:val="00533CC2"/>
    <w:rsid w:val="00533DFC"/>
    <w:rsid w:val="0053419E"/>
    <w:rsid w:val="005341AC"/>
    <w:rsid w:val="00534236"/>
    <w:rsid w:val="005343DE"/>
    <w:rsid w:val="0053450D"/>
    <w:rsid w:val="0053453E"/>
    <w:rsid w:val="0053458D"/>
    <w:rsid w:val="0053471B"/>
    <w:rsid w:val="00534802"/>
    <w:rsid w:val="00534878"/>
    <w:rsid w:val="00534C18"/>
    <w:rsid w:val="00534D33"/>
    <w:rsid w:val="00534E77"/>
    <w:rsid w:val="0053512D"/>
    <w:rsid w:val="0053516F"/>
    <w:rsid w:val="005353A3"/>
    <w:rsid w:val="00535439"/>
    <w:rsid w:val="00535546"/>
    <w:rsid w:val="005357F3"/>
    <w:rsid w:val="005359A8"/>
    <w:rsid w:val="005359F9"/>
    <w:rsid w:val="00535C49"/>
    <w:rsid w:val="00535C94"/>
    <w:rsid w:val="00535DB3"/>
    <w:rsid w:val="00535DF3"/>
    <w:rsid w:val="00535FA6"/>
    <w:rsid w:val="0053615A"/>
    <w:rsid w:val="00536182"/>
    <w:rsid w:val="005361B3"/>
    <w:rsid w:val="0053623B"/>
    <w:rsid w:val="0053661F"/>
    <w:rsid w:val="00536752"/>
    <w:rsid w:val="00536871"/>
    <w:rsid w:val="005369EC"/>
    <w:rsid w:val="005369F3"/>
    <w:rsid w:val="00536AAE"/>
    <w:rsid w:val="00536BE0"/>
    <w:rsid w:val="00536BF2"/>
    <w:rsid w:val="00536D2D"/>
    <w:rsid w:val="00536F49"/>
    <w:rsid w:val="00536F8C"/>
    <w:rsid w:val="00537030"/>
    <w:rsid w:val="005370FE"/>
    <w:rsid w:val="0053727B"/>
    <w:rsid w:val="005372A6"/>
    <w:rsid w:val="005373D8"/>
    <w:rsid w:val="00537452"/>
    <w:rsid w:val="0053771D"/>
    <w:rsid w:val="0053774D"/>
    <w:rsid w:val="00537861"/>
    <w:rsid w:val="00537C2F"/>
    <w:rsid w:val="00537CAA"/>
    <w:rsid w:val="0054012D"/>
    <w:rsid w:val="0054038C"/>
    <w:rsid w:val="0054042B"/>
    <w:rsid w:val="00540569"/>
    <w:rsid w:val="005405C6"/>
    <w:rsid w:val="00540618"/>
    <w:rsid w:val="00540670"/>
    <w:rsid w:val="00540746"/>
    <w:rsid w:val="0054081C"/>
    <w:rsid w:val="00540841"/>
    <w:rsid w:val="00540857"/>
    <w:rsid w:val="00540E30"/>
    <w:rsid w:val="00540EBA"/>
    <w:rsid w:val="00540EC9"/>
    <w:rsid w:val="00540F7F"/>
    <w:rsid w:val="00540F9E"/>
    <w:rsid w:val="00540FB1"/>
    <w:rsid w:val="005414BC"/>
    <w:rsid w:val="0054152C"/>
    <w:rsid w:val="00541543"/>
    <w:rsid w:val="00541738"/>
    <w:rsid w:val="00541752"/>
    <w:rsid w:val="00541767"/>
    <w:rsid w:val="005417AF"/>
    <w:rsid w:val="00541903"/>
    <w:rsid w:val="00541A95"/>
    <w:rsid w:val="00541BA2"/>
    <w:rsid w:val="00541C9A"/>
    <w:rsid w:val="00541CFB"/>
    <w:rsid w:val="00541D3E"/>
    <w:rsid w:val="00541D40"/>
    <w:rsid w:val="00541E80"/>
    <w:rsid w:val="00542103"/>
    <w:rsid w:val="0054216A"/>
    <w:rsid w:val="0054221D"/>
    <w:rsid w:val="00542280"/>
    <w:rsid w:val="0054257D"/>
    <w:rsid w:val="005425D4"/>
    <w:rsid w:val="005425D7"/>
    <w:rsid w:val="0054268D"/>
    <w:rsid w:val="005426A8"/>
    <w:rsid w:val="005426CC"/>
    <w:rsid w:val="0054276F"/>
    <w:rsid w:val="005427F5"/>
    <w:rsid w:val="005428E4"/>
    <w:rsid w:val="0054291F"/>
    <w:rsid w:val="00542BC4"/>
    <w:rsid w:val="00542C75"/>
    <w:rsid w:val="00542DC9"/>
    <w:rsid w:val="00542E20"/>
    <w:rsid w:val="00542EF1"/>
    <w:rsid w:val="00542FB7"/>
    <w:rsid w:val="00543057"/>
    <w:rsid w:val="00543127"/>
    <w:rsid w:val="0054312E"/>
    <w:rsid w:val="00543144"/>
    <w:rsid w:val="005431ED"/>
    <w:rsid w:val="0054322C"/>
    <w:rsid w:val="00543524"/>
    <w:rsid w:val="005436BE"/>
    <w:rsid w:val="005436FF"/>
    <w:rsid w:val="00543749"/>
    <w:rsid w:val="00543759"/>
    <w:rsid w:val="00543B40"/>
    <w:rsid w:val="00543B47"/>
    <w:rsid w:val="00543B4B"/>
    <w:rsid w:val="00543BFD"/>
    <w:rsid w:val="00543D2E"/>
    <w:rsid w:val="00543D66"/>
    <w:rsid w:val="00543D80"/>
    <w:rsid w:val="00543EBA"/>
    <w:rsid w:val="00543EF5"/>
    <w:rsid w:val="00543EF7"/>
    <w:rsid w:val="0054411C"/>
    <w:rsid w:val="005441BD"/>
    <w:rsid w:val="005441F6"/>
    <w:rsid w:val="0054432B"/>
    <w:rsid w:val="00544543"/>
    <w:rsid w:val="0054491E"/>
    <w:rsid w:val="0054494C"/>
    <w:rsid w:val="0054499F"/>
    <w:rsid w:val="00544A04"/>
    <w:rsid w:val="00544B7A"/>
    <w:rsid w:val="00544B8A"/>
    <w:rsid w:val="00544EB9"/>
    <w:rsid w:val="00544F13"/>
    <w:rsid w:val="005450BA"/>
    <w:rsid w:val="00545120"/>
    <w:rsid w:val="00545196"/>
    <w:rsid w:val="005451DF"/>
    <w:rsid w:val="0054520B"/>
    <w:rsid w:val="005452BD"/>
    <w:rsid w:val="005452E3"/>
    <w:rsid w:val="005452F6"/>
    <w:rsid w:val="005454F2"/>
    <w:rsid w:val="0054553D"/>
    <w:rsid w:val="00545652"/>
    <w:rsid w:val="0054581D"/>
    <w:rsid w:val="00545921"/>
    <w:rsid w:val="00545992"/>
    <w:rsid w:val="00545A97"/>
    <w:rsid w:val="00545B03"/>
    <w:rsid w:val="00545C8D"/>
    <w:rsid w:val="00545E1D"/>
    <w:rsid w:val="00545ECF"/>
    <w:rsid w:val="00545EFC"/>
    <w:rsid w:val="00546097"/>
    <w:rsid w:val="00546164"/>
    <w:rsid w:val="00546197"/>
    <w:rsid w:val="0054626D"/>
    <w:rsid w:val="00546530"/>
    <w:rsid w:val="0054665E"/>
    <w:rsid w:val="00546716"/>
    <w:rsid w:val="0054676D"/>
    <w:rsid w:val="005468FD"/>
    <w:rsid w:val="00546903"/>
    <w:rsid w:val="0054693F"/>
    <w:rsid w:val="00546985"/>
    <w:rsid w:val="00546993"/>
    <w:rsid w:val="00546B90"/>
    <w:rsid w:val="00546C1E"/>
    <w:rsid w:val="00547272"/>
    <w:rsid w:val="005474D7"/>
    <w:rsid w:val="005474F4"/>
    <w:rsid w:val="0054769F"/>
    <w:rsid w:val="005476CA"/>
    <w:rsid w:val="005477CE"/>
    <w:rsid w:val="005478E5"/>
    <w:rsid w:val="00547B78"/>
    <w:rsid w:val="00547C48"/>
    <w:rsid w:val="00547CE2"/>
    <w:rsid w:val="00550056"/>
    <w:rsid w:val="005501AB"/>
    <w:rsid w:val="0055028B"/>
    <w:rsid w:val="0055035A"/>
    <w:rsid w:val="005504B3"/>
    <w:rsid w:val="005505F6"/>
    <w:rsid w:val="00550623"/>
    <w:rsid w:val="0055063B"/>
    <w:rsid w:val="00550701"/>
    <w:rsid w:val="005507E7"/>
    <w:rsid w:val="005509AD"/>
    <w:rsid w:val="00550A25"/>
    <w:rsid w:val="00550E2B"/>
    <w:rsid w:val="00550E60"/>
    <w:rsid w:val="00551076"/>
    <w:rsid w:val="00551132"/>
    <w:rsid w:val="005511A5"/>
    <w:rsid w:val="005511C2"/>
    <w:rsid w:val="005514DE"/>
    <w:rsid w:val="00551A6D"/>
    <w:rsid w:val="00551AF2"/>
    <w:rsid w:val="00551B74"/>
    <w:rsid w:val="00551CB9"/>
    <w:rsid w:val="00551CD9"/>
    <w:rsid w:val="00551D26"/>
    <w:rsid w:val="00551E6D"/>
    <w:rsid w:val="00551F1F"/>
    <w:rsid w:val="00551FD8"/>
    <w:rsid w:val="005520AF"/>
    <w:rsid w:val="0055213B"/>
    <w:rsid w:val="0055219F"/>
    <w:rsid w:val="005522C2"/>
    <w:rsid w:val="005522E2"/>
    <w:rsid w:val="00552429"/>
    <w:rsid w:val="005524E2"/>
    <w:rsid w:val="00552536"/>
    <w:rsid w:val="0055257D"/>
    <w:rsid w:val="005525A8"/>
    <w:rsid w:val="0055263E"/>
    <w:rsid w:val="005526C6"/>
    <w:rsid w:val="00552743"/>
    <w:rsid w:val="00552749"/>
    <w:rsid w:val="00552810"/>
    <w:rsid w:val="0055284D"/>
    <w:rsid w:val="00552872"/>
    <w:rsid w:val="005528FE"/>
    <w:rsid w:val="00552A2C"/>
    <w:rsid w:val="00552AE1"/>
    <w:rsid w:val="00552B5B"/>
    <w:rsid w:val="00552B86"/>
    <w:rsid w:val="00552BF7"/>
    <w:rsid w:val="00552C11"/>
    <w:rsid w:val="00552C41"/>
    <w:rsid w:val="00552D57"/>
    <w:rsid w:val="00552E51"/>
    <w:rsid w:val="00552ECF"/>
    <w:rsid w:val="005530A8"/>
    <w:rsid w:val="00553190"/>
    <w:rsid w:val="005531CC"/>
    <w:rsid w:val="00553214"/>
    <w:rsid w:val="005532B0"/>
    <w:rsid w:val="005533E0"/>
    <w:rsid w:val="00553476"/>
    <w:rsid w:val="005534A7"/>
    <w:rsid w:val="005534AC"/>
    <w:rsid w:val="005534D0"/>
    <w:rsid w:val="00553528"/>
    <w:rsid w:val="00553532"/>
    <w:rsid w:val="005535B9"/>
    <w:rsid w:val="00553673"/>
    <w:rsid w:val="00553775"/>
    <w:rsid w:val="005538FC"/>
    <w:rsid w:val="00553998"/>
    <w:rsid w:val="00553C49"/>
    <w:rsid w:val="00553E05"/>
    <w:rsid w:val="00554022"/>
    <w:rsid w:val="005540CA"/>
    <w:rsid w:val="0055414A"/>
    <w:rsid w:val="0055420B"/>
    <w:rsid w:val="00554260"/>
    <w:rsid w:val="005543FC"/>
    <w:rsid w:val="00554432"/>
    <w:rsid w:val="005545D0"/>
    <w:rsid w:val="005547D3"/>
    <w:rsid w:val="005548CB"/>
    <w:rsid w:val="00554B31"/>
    <w:rsid w:val="00554BE3"/>
    <w:rsid w:val="00554C19"/>
    <w:rsid w:val="00554DFB"/>
    <w:rsid w:val="00554EA9"/>
    <w:rsid w:val="00554ECC"/>
    <w:rsid w:val="00554F34"/>
    <w:rsid w:val="00554FED"/>
    <w:rsid w:val="00555066"/>
    <w:rsid w:val="0055524E"/>
    <w:rsid w:val="005552E8"/>
    <w:rsid w:val="00555394"/>
    <w:rsid w:val="005553A8"/>
    <w:rsid w:val="00555724"/>
    <w:rsid w:val="005558E5"/>
    <w:rsid w:val="00555B18"/>
    <w:rsid w:val="00555C67"/>
    <w:rsid w:val="00555D24"/>
    <w:rsid w:val="00555DD0"/>
    <w:rsid w:val="00555F4A"/>
    <w:rsid w:val="00555F79"/>
    <w:rsid w:val="0055615A"/>
    <w:rsid w:val="00556358"/>
    <w:rsid w:val="0055644E"/>
    <w:rsid w:val="005565EA"/>
    <w:rsid w:val="005565F9"/>
    <w:rsid w:val="005566EF"/>
    <w:rsid w:val="00556706"/>
    <w:rsid w:val="005568C6"/>
    <w:rsid w:val="00556AD7"/>
    <w:rsid w:val="00556B20"/>
    <w:rsid w:val="00556B6F"/>
    <w:rsid w:val="00556C7E"/>
    <w:rsid w:val="00556CE5"/>
    <w:rsid w:val="00556EEA"/>
    <w:rsid w:val="00556F87"/>
    <w:rsid w:val="00556FD8"/>
    <w:rsid w:val="005572C6"/>
    <w:rsid w:val="0055731B"/>
    <w:rsid w:val="0055739F"/>
    <w:rsid w:val="0055754E"/>
    <w:rsid w:val="005575F9"/>
    <w:rsid w:val="0055793B"/>
    <w:rsid w:val="00557ACA"/>
    <w:rsid w:val="00557B18"/>
    <w:rsid w:val="00557C3B"/>
    <w:rsid w:val="00557C84"/>
    <w:rsid w:val="00557D2E"/>
    <w:rsid w:val="00557DD6"/>
    <w:rsid w:val="005601A7"/>
    <w:rsid w:val="005601CC"/>
    <w:rsid w:val="00560328"/>
    <w:rsid w:val="00560339"/>
    <w:rsid w:val="00560380"/>
    <w:rsid w:val="00560402"/>
    <w:rsid w:val="0056045C"/>
    <w:rsid w:val="0056057C"/>
    <w:rsid w:val="005605B0"/>
    <w:rsid w:val="00560654"/>
    <w:rsid w:val="00560703"/>
    <w:rsid w:val="005608A1"/>
    <w:rsid w:val="0056091D"/>
    <w:rsid w:val="00560AA8"/>
    <w:rsid w:val="00560DD3"/>
    <w:rsid w:val="00560DF0"/>
    <w:rsid w:val="00560EDE"/>
    <w:rsid w:val="00560F0A"/>
    <w:rsid w:val="00560F5E"/>
    <w:rsid w:val="005610A8"/>
    <w:rsid w:val="005611C2"/>
    <w:rsid w:val="00561265"/>
    <w:rsid w:val="00561277"/>
    <w:rsid w:val="005612B9"/>
    <w:rsid w:val="00561571"/>
    <w:rsid w:val="00561592"/>
    <w:rsid w:val="00561625"/>
    <w:rsid w:val="0056166A"/>
    <w:rsid w:val="0056168D"/>
    <w:rsid w:val="005617E4"/>
    <w:rsid w:val="005618F0"/>
    <w:rsid w:val="00561921"/>
    <w:rsid w:val="00561C57"/>
    <w:rsid w:val="00561E17"/>
    <w:rsid w:val="00561E63"/>
    <w:rsid w:val="00561E9A"/>
    <w:rsid w:val="00561EE6"/>
    <w:rsid w:val="00561FE0"/>
    <w:rsid w:val="00562040"/>
    <w:rsid w:val="0056227E"/>
    <w:rsid w:val="0056228C"/>
    <w:rsid w:val="005622D0"/>
    <w:rsid w:val="005622E3"/>
    <w:rsid w:val="00562325"/>
    <w:rsid w:val="0056233D"/>
    <w:rsid w:val="0056251B"/>
    <w:rsid w:val="00562534"/>
    <w:rsid w:val="0056265F"/>
    <w:rsid w:val="005626AB"/>
    <w:rsid w:val="005626AE"/>
    <w:rsid w:val="00562AB5"/>
    <w:rsid w:val="00562C9C"/>
    <w:rsid w:val="00562D4E"/>
    <w:rsid w:val="00562EC4"/>
    <w:rsid w:val="00562F47"/>
    <w:rsid w:val="00562FA6"/>
    <w:rsid w:val="00563091"/>
    <w:rsid w:val="0056313D"/>
    <w:rsid w:val="00563238"/>
    <w:rsid w:val="005632E3"/>
    <w:rsid w:val="005633EE"/>
    <w:rsid w:val="00563461"/>
    <w:rsid w:val="00563AE3"/>
    <w:rsid w:val="00563C2C"/>
    <w:rsid w:val="00563E5F"/>
    <w:rsid w:val="00563FA3"/>
    <w:rsid w:val="0056428E"/>
    <w:rsid w:val="00564309"/>
    <w:rsid w:val="0056443A"/>
    <w:rsid w:val="00564547"/>
    <w:rsid w:val="005645A3"/>
    <w:rsid w:val="005647BE"/>
    <w:rsid w:val="00564912"/>
    <w:rsid w:val="00564A46"/>
    <w:rsid w:val="00564B63"/>
    <w:rsid w:val="00564B8A"/>
    <w:rsid w:val="00564BC3"/>
    <w:rsid w:val="00564BF4"/>
    <w:rsid w:val="00564C14"/>
    <w:rsid w:val="00564C3F"/>
    <w:rsid w:val="00564F69"/>
    <w:rsid w:val="0056505E"/>
    <w:rsid w:val="005650D3"/>
    <w:rsid w:val="00565199"/>
    <w:rsid w:val="0056530E"/>
    <w:rsid w:val="0056543A"/>
    <w:rsid w:val="0056546E"/>
    <w:rsid w:val="0056555B"/>
    <w:rsid w:val="0056564A"/>
    <w:rsid w:val="0056564E"/>
    <w:rsid w:val="00565669"/>
    <w:rsid w:val="0056569E"/>
    <w:rsid w:val="005656E7"/>
    <w:rsid w:val="005657E0"/>
    <w:rsid w:val="00565828"/>
    <w:rsid w:val="0056591D"/>
    <w:rsid w:val="0056596E"/>
    <w:rsid w:val="00565AD8"/>
    <w:rsid w:val="00565C20"/>
    <w:rsid w:val="00565D8D"/>
    <w:rsid w:val="00565D96"/>
    <w:rsid w:val="00565F88"/>
    <w:rsid w:val="005661D2"/>
    <w:rsid w:val="005661EA"/>
    <w:rsid w:val="005666E3"/>
    <w:rsid w:val="005667B3"/>
    <w:rsid w:val="005669E7"/>
    <w:rsid w:val="00566B1B"/>
    <w:rsid w:val="00566C79"/>
    <w:rsid w:val="00566D45"/>
    <w:rsid w:val="00566DAD"/>
    <w:rsid w:val="00566DE8"/>
    <w:rsid w:val="00566EAA"/>
    <w:rsid w:val="00566FCA"/>
    <w:rsid w:val="0056706D"/>
    <w:rsid w:val="005670B8"/>
    <w:rsid w:val="005672A3"/>
    <w:rsid w:val="00567337"/>
    <w:rsid w:val="00567558"/>
    <w:rsid w:val="005676FB"/>
    <w:rsid w:val="005677DD"/>
    <w:rsid w:val="005678A2"/>
    <w:rsid w:val="005678DE"/>
    <w:rsid w:val="005678FF"/>
    <w:rsid w:val="00567917"/>
    <w:rsid w:val="005679BD"/>
    <w:rsid w:val="00567B6B"/>
    <w:rsid w:val="00567D7D"/>
    <w:rsid w:val="00567DB6"/>
    <w:rsid w:val="00567EFC"/>
    <w:rsid w:val="00567FDE"/>
    <w:rsid w:val="00567FF7"/>
    <w:rsid w:val="00570096"/>
    <w:rsid w:val="005700C4"/>
    <w:rsid w:val="0057012D"/>
    <w:rsid w:val="0057013A"/>
    <w:rsid w:val="005701D0"/>
    <w:rsid w:val="00570203"/>
    <w:rsid w:val="005702EC"/>
    <w:rsid w:val="0057031C"/>
    <w:rsid w:val="005705CA"/>
    <w:rsid w:val="00570718"/>
    <w:rsid w:val="00570730"/>
    <w:rsid w:val="00570A5F"/>
    <w:rsid w:val="00570EAD"/>
    <w:rsid w:val="00570FD5"/>
    <w:rsid w:val="005710F3"/>
    <w:rsid w:val="0057132C"/>
    <w:rsid w:val="0057133F"/>
    <w:rsid w:val="005715E0"/>
    <w:rsid w:val="00571741"/>
    <w:rsid w:val="005719C8"/>
    <w:rsid w:val="005719DC"/>
    <w:rsid w:val="00571A95"/>
    <w:rsid w:val="00571C62"/>
    <w:rsid w:val="00571DD8"/>
    <w:rsid w:val="00571E20"/>
    <w:rsid w:val="00571F1E"/>
    <w:rsid w:val="0057212C"/>
    <w:rsid w:val="00572170"/>
    <w:rsid w:val="005721CF"/>
    <w:rsid w:val="00572243"/>
    <w:rsid w:val="005722AD"/>
    <w:rsid w:val="00572348"/>
    <w:rsid w:val="00572448"/>
    <w:rsid w:val="005724B2"/>
    <w:rsid w:val="005724CE"/>
    <w:rsid w:val="00572507"/>
    <w:rsid w:val="00572552"/>
    <w:rsid w:val="0057259A"/>
    <w:rsid w:val="0057264D"/>
    <w:rsid w:val="0057273E"/>
    <w:rsid w:val="0057275D"/>
    <w:rsid w:val="005727D5"/>
    <w:rsid w:val="0057280E"/>
    <w:rsid w:val="00572867"/>
    <w:rsid w:val="005729AF"/>
    <w:rsid w:val="005729E3"/>
    <w:rsid w:val="00572BA1"/>
    <w:rsid w:val="00572DC7"/>
    <w:rsid w:val="00572E65"/>
    <w:rsid w:val="0057302B"/>
    <w:rsid w:val="00573117"/>
    <w:rsid w:val="00573213"/>
    <w:rsid w:val="005732F8"/>
    <w:rsid w:val="0057333B"/>
    <w:rsid w:val="00573387"/>
    <w:rsid w:val="00573453"/>
    <w:rsid w:val="005735FE"/>
    <w:rsid w:val="0057381B"/>
    <w:rsid w:val="005739CB"/>
    <w:rsid w:val="005739F9"/>
    <w:rsid w:val="00573AC0"/>
    <w:rsid w:val="00573ADD"/>
    <w:rsid w:val="00573B47"/>
    <w:rsid w:val="00573CD9"/>
    <w:rsid w:val="00573D50"/>
    <w:rsid w:val="00573DED"/>
    <w:rsid w:val="00573F44"/>
    <w:rsid w:val="0057417B"/>
    <w:rsid w:val="00574223"/>
    <w:rsid w:val="00574326"/>
    <w:rsid w:val="00574343"/>
    <w:rsid w:val="00574467"/>
    <w:rsid w:val="005746F7"/>
    <w:rsid w:val="005747E8"/>
    <w:rsid w:val="0057496D"/>
    <w:rsid w:val="0057498C"/>
    <w:rsid w:val="00574995"/>
    <w:rsid w:val="00574A75"/>
    <w:rsid w:val="00574AE5"/>
    <w:rsid w:val="00574F25"/>
    <w:rsid w:val="005750E5"/>
    <w:rsid w:val="00575131"/>
    <w:rsid w:val="005751E6"/>
    <w:rsid w:val="00575283"/>
    <w:rsid w:val="005752BF"/>
    <w:rsid w:val="005754C4"/>
    <w:rsid w:val="005755E5"/>
    <w:rsid w:val="00575611"/>
    <w:rsid w:val="00575710"/>
    <w:rsid w:val="00575736"/>
    <w:rsid w:val="00575752"/>
    <w:rsid w:val="00575B9E"/>
    <w:rsid w:val="00575BFF"/>
    <w:rsid w:val="00575CC3"/>
    <w:rsid w:val="00575CFA"/>
    <w:rsid w:val="00575E0D"/>
    <w:rsid w:val="00575E72"/>
    <w:rsid w:val="00575ECF"/>
    <w:rsid w:val="00576022"/>
    <w:rsid w:val="0057628B"/>
    <w:rsid w:val="005762B1"/>
    <w:rsid w:val="005762ED"/>
    <w:rsid w:val="0057640B"/>
    <w:rsid w:val="00576717"/>
    <w:rsid w:val="0057678E"/>
    <w:rsid w:val="00576925"/>
    <w:rsid w:val="00576937"/>
    <w:rsid w:val="00576B26"/>
    <w:rsid w:val="00576D0E"/>
    <w:rsid w:val="00576D79"/>
    <w:rsid w:val="00576DC5"/>
    <w:rsid w:val="00576F09"/>
    <w:rsid w:val="0057701C"/>
    <w:rsid w:val="00577028"/>
    <w:rsid w:val="00577149"/>
    <w:rsid w:val="005772B0"/>
    <w:rsid w:val="00577376"/>
    <w:rsid w:val="005773DA"/>
    <w:rsid w:val="0057757E"/>
    <w:rsid w:val="005775A3"/>
    <w:rsid w:val="005775AE"/>
    <w:rsid w:val="005775F0"/>
    <w:rsid w:val="00577732"/>
    <w:rsid w:val="005777CC"/>
    <w:rsid w:val="00577805"/>
    <w:rsid w:val="0057782D"/>
    <w:rsid w:val="00577CAA"/>
    <w:rsid w:val="00577D50"/>
    <w:rsid w:val="00577DED"/>
    <w:rsid w:val="00577E97"/>
    <w:rsid w:val="00577EB8"/>
    <w:rsid w:val="00577F8F"/>
    <w:rsid w:val="00580082"/>
    <w:rsid w:val="00580111"/>
    <w:rsid w:val="0058018E"/>
    <w:rsid w:val="00580288"/>
    <w:rsid w:val="00580645"/>
    <w:rsid w:val="0058067A"/>
    <w:rsid w:val="00580775"/>
    <w:rsid w:val="0058078A"/>
    <w:rsid w:val="00580895"/>
    <w:rsid w:val="00580980"/>
    <w:rsid w:val="00580AB4"/>
    <w:rsid w:val="00580B5B"/>
    <w:rsid w:val="00580BE6"/>
    <w:rsid w:val="00580C78"/>
    <w:rsid w:val="00580C8E"/>
    <w:rsid w:val="00580D8A"/>
    <w:rsid w:val="00580E00"/>
    <w:rsid w:val="00580E68"/>
    <w:rsid w:val="00580EC4"/>
    <w:rsid w:val="00580F19"/>
    <w:rsid w:val="00580F62"/>
    <w:rsid w:val="00581091"/>
    <w:rsid w:val="005812A4"/>
    <w:rsid w:val="0058131D"/>
    <w:rsid w:val="00581631"/>
    <w:rsid w:val="005816D3"/>
    <w:rsid w:val="00581839"/>
    <w:rsid w:val="00581A4F"/>
    <w:rsid w:val="00581DF4"/>
    <w:rsid w:val="00581E29"/>
    <w:rsid w:val="00581E2F"/>
    <w:rsid w:val="00581E83"/>
    <w:rsid w:val="00581EBB"/>
    <w:rsid w:val="0058201C"/>
    <w:rsid w:val="00582108"/>
    <w:rsid w:val="00582128"/>
    <w:rsid w:val="0058217D"/>
    <w:rsid w:val="00582225"/>
    <w:rsid w:val="0058229A"/>
    <w:rsid w:val="00582386"/>
    <w:rsid w:val="00582391"/>
    <w:rsid w:val="005824B5"/>
    <w:rsid w:val="005824C6"/>
    <w:rsid w:val="005824EC"/>
    <w:rsid w:val="005826ED"/>
    <w:rsid w:val="005827D8"/>
    <w:rsid w:val="00582810"/>
    <w:rsid w:val="00582ABA"/>
    <w:rsid w:val="00582C3B"/>
    <w:rsid w:val="00582E07"/>
    <w:rsid w:val="00582F56"/>
    <w:rsid w:val="00582F6E"/>
    <w:rsid w:val="00582FE0"/>
    <w:rsid w:val="00582FF9"/>
    <w:rsid w:val="005834C9"/>
    <w:rsid w:val="005835EF"/>
    <w:rsid w:val="00583641"/>
    <w:rsid w:val="005836E0"/>
    <w:rsid w:val="005836E3"/>
    <w:rsid w:val="0058396B"/>
    <w:rsid w:val="00583B63"/>
    <w:rsid w:val="00583CB6"/>
    <w:rsid w:val="00583EC3"/>
    <w:rsid w:val="00583EFA"/>
    <w:rsid w:val="0058414F"/>
    <w:rsid w:val="005843EC"/>
    <w:rsid w:val="005844B5"/>
    <w:rsid w:val="00584531"/>
    <w:rsid w:val="00584546"/>
    <w:rsid w:val="00584573"/>
    <w:rsid w:val="0058462C"/>
    <w:rsid w:val="00584678"/>
    <w:rsid w:val="005847C1"/>
    <w:rsid w:val="00584801"/>
    <w:rsid w:val="00584C09"/>
    <w:rsid w:val="00584C7B"/>
    <w:rsid w:val="005850C1"/>
    <w:rsid w:val="00585105"/>
    <w:rsid w:val="005852F7"/>
    <w:rsid w:val="005853BB"/>
    <w:rsid w:val="005854F5"/>
    <w:rsid w:val="00585507"/>
    <w:rsid w:val="00585518"/>
    <w:rsid w:val="00585780"/>
    <w:rsid w:val="005857F1"/>
    <w:rsid w:val="005857F4"/>
    <w:rsid w:val="00585872"/>
    <w:rsid w:val="00585930"/>
    <w:rsid w:val="00585DEC"/>
    <w:rsid w:val="00585E83"/>
    <w:rsid w:val="0058604A"/>
    <w:rsid w:val="0058608E"/>
    <w:rsid w:val="005860BF"/>
    <w:rsid w:val="00586227"/>
    <w:rsid w:val="0058630F"/>
    <w:rsid w:val="005864EE"/>
    <w:rsid w:val="005866E6"/>
    <w:rsid w:val="005866EF"/>
    <w:rsid w:val="005867EB"/>
    <w:rsid w:val="00586884"/>
    <w:rsid w:val="00586893"/>
    <w:rsid w:val="00586908"/>
    <w:rsid w:val="0058692C"/>
    <w:rsid w:val="0058699F"/>
    <w:rsid w:val="005869E1"/>
    <w:rsid w:val="00586B44"/>
    <w:rsid w:val="00586B4A"/>
    <w:rsid w:val="00586B6E"/>
    <w:rsid w:val="00586C0F"/>
    <w:rsid w:val="00586C5C"/>
    <w:rsid w:val="00586E26"/>
    <w:rsid w:val="00587101"/>
    <w:rsid w:val="00587482"/>
    <w:rsid w:val="0058754C"/>
    <w:rsid w:val="005876E6"/>
    <w:rsid w:val="00587860"/>
    <w:rsid w:val="005878A4"/>
    <w:rsid w:val="005878B7"/>
    <w:rsid w:val="00587B3E"/>
    <w:rsid w:val="00587D0D"/>
    <w:rsid w:val="00587D17"/>
    <w:rsid w:val="00587DB7"/>
    <w:rsid w:val="00587E12"/>
    <w:rsid w:val="00587F18"/>
    <w:rsid w:val="00587FE5"/>
    <w:rsid w:val="00590128"/>
    <w:rsid w:val="00590222"/>
    <w:rsid w:val="00590274"/>
    <w:rsid w:val="0059056F"/>
    <w:rsid w:val="00590625"/>
    <w:rsid w:val="0059072A"/>
    <w:rsid w:val="00590742"/>
    <w:rsid w:val="005908E4"/>
    <w:rsid w:val="00590959"/>
    <w:rsid w:val="005909EF"/>
    <w:rsid w:val="00590D37"/>
    <w:rsid w:val="00590E9C"/>
    <w:rsid w:val="00590EC0"/>
    <w:rsid w:val="005911B4"/>
    <w:rsid w:val="00591224"/>
    <w:rsid w:val="00591392"/>
    <w:rsid w:val="005916EB"/>
    <w:rsid w:val="00591719"/>
    <w:rsid w:val="005919C8"/>
    <w:rsid w:val="00591A48"/>
    <w:rsid w:val="00591A97"/>
    <w:rsid w:val="00591C76"/>
    <w:rsid w:val="00591CED"/>
    <w:rsid w:val="00591E1E"/>
    <w:rsid w:val="00591ED3"/>
    <w:rsid w:val="00591F49"/>
    <w:rsid w:val="00591F94"/>
    <w:rsid w:val="00592172"/>
    <w:rsid w:val="00592202"/>
    <w:rsid w:val="005925A4"/>
    <w:rsid w:val="00592613"/>
    <w:rsid w:val="005926AE"/>
    <w:rsid w:val="0059274F"/>
    <w:rsid w:val="00592851"/>
    <w:rsid w:val="005929BD"/>
    <w:rsid w:val="00592B09"/>
    <w:rsid w:val="00592B69"/>
    <w:rsid w:val="00592D0C"/>
    <w:rsid w:val="00592D44"/>
    <w:rsid w:val="00592D77"/>
    <w:rsid w:val="00592F07"/>
    <w:rsid w:val="00592F63"/>
    <w:rsid w:val="00592F83"/>
    <w:rsid w:val="00592F9F"/>
    <w:rsid w:val="0059304A"/>
    <w:rsid w:val="0059305A"/>
    <w:rsid w:val="0059322D"/>
    <w:rsid w:val="005932A6"/>
    <w:rsid w:val="005932CF"/>
    <w:rsid w:val="00593336"/>
    <w:rsid w:val="005934A4"/>
    <w:rsid w:val="00593663"/>
    <w:rsid w:val="005936D2"/>
    <w:rsid w:val="005936FF"/>
    <w:rsid w:val="00593702"/>
    <w:rsid w:val="00593993"/>
    <w:rsid w:val="00593B67"/>
    <w:rsid w:val="00593C2B"/>
    <w:rsid w:val="00593D4E"/>
    <w:rsid w:val="00593DB6"/>
    <w:rsid w:val="00593DC9"/>
    <w:rsid w:val="00593E25"/>
    <w:rsid w:val="00593E4B"/>
    <w:rsid w:val="00593F0F"/>
    <w:rsid w:val="005940F7"/>
    <w:rsid w:val="005943E1"/>
    <w:rsid w:val="00594505"/>
    <w:rsid w:val="005945FF"/>
    <w:rsid w:val="005946C2"/>
    <w:rsid w:val="0059470B"/>
    <w:rsid w:val="0059471D"/>
    <w:rsid w:val="00594762"/>
    <w:rsid w:val="00594DE6"/>
    <w:rsid w:val="00594DED"/>
    <w:rsid w:val="00594E43"/>
    <w:rsid w:val="00594E81"/>
    <w:rsid w:val="00594EDD"/>
    <w:rsid w:val="00594F6D"/>
    <w:rsid w:val="00595027"/>
    <w:rsid w:val="0059510B"/>
    <w:rsid w:val="00595176"/>
    <w:rsid w:val="0059523C"/>
    <w:rsid w:val="00595245"/>
    <w:rsid w:val="0059527C"/>
    <w:rsid w:val="005952E7"/>
    <w:rsid w:val="005952EE"/>
    <w:rsid w:val="00595428"/>
    <w:rsid w:val="0059542B"/>
    <w:rsid w:val="005954F9"/>
    <w:rsid w:val="00595580"/>
    <w:rsid w:val="00595602"/>
    <w:rsid w:val="00595659"/>
    <w:rsid w:val="005959F1"/>
    <w:rsid w:val="00595A57"/>
    <w:rsid w:val="00595B02"/>
    <w:rsid w:val="00595BA1"/>
    <w:rsid w:val="005961E9"/>
    <w:rsid w:val="00596369"/>
    <w:rsid w:val="005964DB"/>
    <w:rsid w:val="00596568"/>
    <w:rsid w:val="0059660D"/>
    <w:rsid w:val="00596655"/>
    <w:rsid w:val="0059666D"/>
    <w:rsid w:val="005966AC"/>
    <w:rsid w:val="0059671C"/>
    <w:rsid w:val="005967A5"/>
    <w:rsid w:val="00596955"/>
    <w:rsid w:val="00596EB8"/>
    <w:rsid w:val="00596F11"/>
    <w:rsid w:val="00596F36"/>
    <w:rsid w:val="0059718F"/>
    <w:rsid w:val="005973BC"/>
    <w:rsid w:val="005974C7"/>
    <w:rsid w:val="005975B2"/>
    <w:rsid w:val="005976E3"/>
    <w:rsid w:val="005977AD"/>
    <w:rsid w:val="00597970"/>
    <w:rsid w:val="00597974"/>
    <w:rsid w:val="005979E7"/>
    <w:rsid w:val="005979F5"/>
    <w:rsid w:val="00597B24"/>
    <w:rsid w:val="00597D02"/>
    <w:rsid w:val="00597DB8"/>
    <w:rsid w:val="00597E00"/>
    <w:rsid w:val="00597FA9"/>
    <w:rsid w:val="005A01C2"/>
    <w:rsid w:val="005A023C"/>
    <w:rsid w:val="005A0267"/>
    <w:rsid w:val="005A02F3"/>
    <w:rsid w:val="005A0310"/>
    <w:rsid w:val="005A031D"/>
    <w:rsid w:val="005A03A9"/>
    <w:rsid w:val="005A043E"/>
    <w:rsid w:val="005A044C"/>
    <w:rsid w:val="005A04B8"/>
    <w:rsid w:val="005A0725"/>
    <w:rsid w:val="005A0752"/>
    <w:rsid w:val="005A0822"/>
    <w:rsid w:val="005A08DA"/>
    <w:rsid w:val="005A08DB"/>
    <w:rsid w:val="005A0A81"/>
    <w:rsid w:val="005A0B23"/>
    <w:rsid w:val="005A0BB6"/>
    <w:rsid w:val="005A0C6F"/>
    <w:rsid w:val="005A0DD9"/>
    <w:rsid w:val="005A0E1D"/>
    <w:rsid w:val="005A0E21"/>
    <w:rsid w:val="005A0F97"/>
    <w:rsid w:val="005A0FB6"/>
    <w:rsid w:val="005A10A7"/>
    <w:rsid w:val="005A10C0"/>
    <w:rsid w:val="005A1326"/>
    <w:rsid w:val="005A1365"/>
    <w:rsid w:val="005A1498"/>
    <w:rsid w:val="005A14B8"/>
    <w:rsid w:val="005A14F7"/>
    <w:rsid w:val="005A166E"/>
    <w:rsid w:val="005A1743"/>
    <w:rsid w:val="005A17EA"/>
    <w:rsid w:val="005A1800"/>
    <w:rsid w:val="005A1862"/>
    <w:rsid w:val="005A193B"/>
    <w:rsid w:val="005A198A"/>
    <w:rsid w:val="005A19BD"/>
    <w:rsid w:val="005A1AD5"/>
    <w:rsid w:val="005A1D02"/>
    <w:rsid w:val="005A1D51"/>
    <w:rsid w:val="005A1D54"/>
    <w:rsid w:val="005A1EB6"/>
    <w:rsid w:val="005A20B0"/>
    <w:rsid w:val="005A22C9"/>
    <w:rsid w:val="005A22E9"/>
    <w:rsid w:val="005A2315"/>
    <w:rsid w:val="005A23AE"/>
    <w:rsid w:val="005A23D0"/>
    <w:rsid w:val="005A2460"/>
    <w:rsid w:val="005A24F9"/>
    <w:rsid w:val="005A253A"/>
    <w:rsid w:val="005A25A3"/>
    <w:rsid w:val="005A26D3"/>
    <w:rsid w:val="005A27EB"/>
    <w:rsid w:val="005A28DF"/>
    <w:rsid w:val="005A2AC4"/>
    <w:rsid w:val="005A2AE1"/>
    <w:rsid w:val="005A2B45"/>
    <w:rsid w:val="005A2C91"/>
    <w:rsid w:val="005A2D92"/>
    <w:rsid w:val="005A2FFC"/>
    <w:rsid w:val="005A3006"/>
    <w:rsid w:val="005A31D7"/>
    <w:rsid w:val="005A31E3"/>
    <w:rsid w:val="005A32EC"/>
    <w:rsid w:val="005A3368"/>
    <w:rsid w:val="005A345D"/>
    <w:rsid w:val="005A3484"/>
    <w:rsid w:val="005A34CA"/>
    <w:rsid w:val="005A389E"/>
    <w:rsid w:val="005A397B"/>
    <w:rsid w:val="005A3ACA"/>
    <w:rsid w:val="005A3ACB"/>
    <w:rsid w:val="005A3B45"/>
    <w:rsid w:val="005A3C0D"/>
    <w:rsid w:val="005A3FBB"/>
    <w:rsid w:val="005A412D"/>
    <w:rsid w:val="005A447E"/>
    <w:rsid w:val="005A44A8"/>
    <w:rsid w:val="005A45C3"/>
    <w:rsid w:val="005A492E"/>
    <w:rsid w:val="005A4988"/>
    <w:rsid w:val="005A49C6"/>
    <w:rsid w:val="005A49CC"/>
    <w:rsid w:val="005A4A05"/>
    <w:rsid w:val="005A4BB1"/>
    <w:rsid w:val="005A4BBE"/>
    <w:rsid w:val="005A4C2A"/>
    <w:rsid w:val="005A4E47"/>
    <w:rsid w:val="005A4F2C"/>
    <w:rsid w:val="005A4FD9"/>
    <w:rsid w:val="005A521B"/>
    <w:rsid w:val="005A5445"/>
    <w:rsid w:val="005A54CD"/>
    <w:rsid w:val="005A55F0"/>
    <w:rsid w:val="005A56D5"/>
    <w:rsid w:val="005A5851"/>
    <w:rsid w:val="005A5A1C"/>
    <w:rsid w:val="005A5C0D"/>
    <w:rsid w:val="005A5C7B"/>
    <w:rsid w:val="005A5DE1"/>
    <w:rsid w:val="005A5F93"/>
    <w:rsid w:val="005A6094"/>
    <w:rsid w:val="005A60D1"/>
    <w:rsid w:val="005A617C"/>
    <w:rsid w:val="005A64BC"/>
    <w:rsid w:val="005A652B"/>
    <w:rsid w:val="005A6554"/>
    <w:rsid w:val="005A6564"/>
    <w:rsid w:val="005A6607"/>
    <w:rsid w:val="005A679C"/>
    <w:rsid w:val="005A695E"/>
    <w:rsid w:val="005A6AFA"/>
    <w:rsid w:val="005A6B7A"/>
    <w:rsid w:val="005A6BE3"/>
    <w:rsid w:val="005A6C6F"/>
    <w:rsid w:val="005A6CB8"/>
    <w:rsid w:val="005A6D35"/>
    <w:rsid w:val="005A6D52"/>
    <w:rsid w:val="005A7064"/>
    <w:rsid w:val="005A70BF"/>
    <w:rsid w:val="005A711F"/>
    <w:rsid w:val="005A7147"/>
    <w:rsid w:val="005A7267"/>
    <w:rsid w:val="005A72BB"/>
    <w:rsid w:val="005A72D3"/>
    <w:rsid w:val="005A734C"/>
    <w:rsid w:val="005A73E6"/>
    <w:rsid w:val="005A744A"/>
    <w:rsid w:val="005A74D1"/>
    <w:rsid w:val="005A761E"/>
    <w:rsid w:val="005A7682"/>
    <w:rsid w:val="005A773E"/>
    <w:rsid w:val="005A77B8"/>
    <w:rsid w:val="005A783A"/>
    <w:rsid w:val="005A785C"/>
    <w:rsid w:val="005A78E4"/>
    <w:rsid w:val="005A796E"/>
    <w:rsid w:val="005A7986"/>
    <w:rsid w:val="005A7ADA"/>
    <w:rsid w:val="005A7B04"/>
    <w:rsid w:val="005A7B7E"/>
    <w:rsid w:val="005A7BEC"/>
    <w:rsid w:val="005A7C3E"/>
    <w:rsid w:val="005A7D71"/>
    <w:rsid w:val="005A7D7E"/>
    <w:rsid w:val="005A7DC1"/>
    <w:rsid w:val="005A7DEF"/>
    <w:rsid w:val="005A7ECC"/>
    <w:rsid w:val="005A7F6D"/>
    <w:rsid w:val="005A7FB1"/>
    <w:rsid w:val="005A7FCF"/>
    <w:rsid w:val="005AF38A"/>
    <w:rsid w:val="005B0196"/>
    <w:rsid w:val="005B02C6"/>
    <w:rsid w:val="005B0356"/>
    <w:rsid w:val="005B0437"/>
    <w:rsid w:val="005B0921"/>
    <w:rsid w:val="005B0B71"/>
    <w:rsid w:val="005B0BD2"/>
    <w:rsid w:val="005B0D30"/>
    <w:rsid w:val="005B0E1B"/>
    <w:rsid w:val="005B0E4F"/>
    <w:rsid w:val="005B0F53"/>
    <w:rsid w:val="005B123D"/>
    <w:rsid w:val="005B14A8"/>
    <w:rsid w:val="005B14BE"/>
    <w:rsid w:val="005B14FF"/>
    <w:rsid w:val="005B1649"/>
    <w:rsid w:val="005B16A2"/>
    <w:rsid w:val="005B1795"/>
    <w:rsid w:val="005B1999"/>
    <w:rsid w:val="005B19F1"/>
    <w:rsid w:val="005B1B58"/>
    <w:rsid w:val="005B1D47"/>
    <w:rsid w:val="005B1F06"/>
    <w:rsid w:val="005B1FE3"/>
    <w:rsid w:val="005B2180"/>
    <w:rsid w:val="005B2279"/>
    <w:rsid w:val="005B229E"/>
    <w:rsid w:val="005B234E"/>
    <w:rsid w:val="005B24D0"/>
    <w:rsid w:val="005B260B"/>
    <w:rsid w:val="005B270B"/>
    <w:rsid w:val="005B27B1"/>
    <w:rsid w:val="005B2A50"/>
    <w:rsid w:val="005B2ABF"/>
    <w:rsid w:val="005B2B1B"/>
    <w:rsid w:val="005B2EE0"/>
    <w:rsid w:val="005B33A1"/>
    <w:rsid w:val="005B3540"/>
    <w:rsid w:val="005B3614"/>
    <w:rsid w:val="005B36CA"/>
    <w:rsid w:val="005B3821"/>
    <w:rsid w:val="005B38DD"/>
    <w:rsid w:val="005B3927"/>
    <w:rsid w:val="005B3A0A"/>
    <w:rsid w:val="005B3A33"/>
    <w:rsid w:val="005B3ABC"/>
    <w:rsid w:val="005B3B02"/>
    <w:rsid w:val="005B3B32"/>
    <w:rsid w:val="005B3CB7"/>
    <w:rsid w:val="005B3CE2"/>
    <w:rsid w:val="005B3EDF"/>
    <w:rsid w:val="005B3F07"/>
    <w:rsid w:val="005B403F"/>
    <w:rsid w:val="005B416D"/>
    <w:rsid w:val="005B45E1"/>
    <w:rsid w:val="005B4695"/>
    <w:rsid w:val="005B469C"/>
    <w:rsid w:val="005B487E"/>
    <w:rsid w:val="005B4963"/>
    <w:rsid w:val="005B49FF"/>
    <w:rsid w:val="005B4BFB"/>
    <w:rsid w:val="005B4D26"/>
    <w:rsid w:val="005B4D3E"/>
    <w:rsid w:val="005B4DC9"/>
    <w:rsid w:val="005B4ED1"/>
    <w:rsid w:val="005B4F85"/>
    <w:rsid w:val="005B50E4"/>
    <w:rsid w:val="005B5136"/>
    <w:rsid w:val="005B5172"/>
    <w:rsid w:val="005B51D6"/>
    <w:rsid w:val="005B57A3"/>
    <w:rsid w:val="005B57AC"/>
    <w:rsid w:val="005B584E"/>
    <w:rsid w:val="005B599E"/>
    <w:rsid w:val="005B5CC5"/>
    <w:rsid w:val="005B5FE3"/>
    <w:rsid w:val="005B609C"/>
    <w:rsid w:val="005B6117"/>
    <w:rsid w:val="005B62CC"/>
    <w:rsid w:val="005B6328"/>
    <w:rsid w:val="005B644F"/>
    <w:rsid w:val="005B6485"/>
    <w:rsid w:val="005B66D5"/>
    <w:rsid w:val="005B66F8"/>
    <w:rsid w:val="005B678C"/>
    <w:rsid w:val="005B68C6"/>
    <w:rsid w:val="005B6982"/>
    <w:rsid w:val="005B6A66"/>
    <w:rsid w:val="005B6AB7"/>
    <w:rsid w:val="005B6C00"/>
    <w:rsid w:val="005B6CEA"/>
    <w:rsid w:val="005B6CFE"/>
    <w:rsid w:val="005B6D17"/>
    <w:rsid w:val="005B6D28"/>
    <w:rsid w:val="005B6D74"/>
    <w:rsid w:val="005B6E12"/>
    <w:rsid w:val="005B6F46"/>
    <w:rsid w:val="005B6F6A"/>
    <w:rsid w:val="005B70A8"/>
    <w:rsid w:val="005B73E9"/>
    <w:rsid w:val="005B7451"/>
    <w:rsid w:val="005B7470"/>
    <w:rsid w:val="005B750D"/>
    <w:rsid w:val="005B7536"/>
    <w:rsid w:val="005B7576"/>
    <w:rsid w:val="005B7628"/>
    <w:rsid w:val="005B7802"/>
    <w:rsid w:val="005B79D4"/>
    <w:rsid w:val="005B7A69"/>
    <w:rsid w:val="005B7C12"/>
    <w:rsid w:val="005B7E28"/>
    <w:rsid w:val="005B7E2B"/>
    <w:rsid w:val="005B7E83"/>
    <w:rsid w:val="005B7EBF"/>
    <w:rsid w:val="005B7F32"/>
    <w:rsid w:val="005B7F8B"/>
    <w:rsid w:val="005C0004"/>
    <w:rsid w:val="005C007D"/>
    <w:rsid w:val="005C010C"/>
    <w:rsid w:val="005C0139"/>
    <w:rsid w:val="005C013B"/>
    <w:rsid w:val="005C04EE"/>
    <w:rsid w:val="005C05A0"/>
    <w:rsid w:val="005C08A0"/>
    <w:rsid w:val="005C090A"/>
    <w:rsid w:val="005C098F"/>
    <w:rsid w:val="005C0B62"/>
    <w:rsid w:val="005C0B89"/>
    <w:rsid w:val="005C0E11"/>
    <w:rsid w:val="005C0E29"/>
    <w:rsid w:val="005C0E9B"/>
    <w:rsid w:val="005C0F0F"/>
    <w:rsid w:val="005C1183"/>
    <w:rsid w:val="005C12B0"/>
    <w:rsid w:val="005C131A"/>
    <w:rsid w:val="005C15AC"/>
    <w:rsid w:val="005C1670"/>
    <w:rsid w:val="005C1689"/>
    <w:rsid w:val="005C1784"/>
    <w:rsid w:val="005C17A9"/>
    <w:rsid w:val="005C183D"/>
    <w:rsid w:val="005C18F0"/>
    <w:rsid w:val="005C19F9"/>
    <w:rsid w:val="005C1AC6"/>
    <w:rsid w:val="005C1B4D"/>
    <w:rsid w:val="005C1CB6"/>
    <w:rsid w:val="005C1E3A"/>
    <w:rsid w:val="005C23D4"/>
    <w:rsid w:val="005C2626"/>
    <w:rsid w:val="005C26D8"/>
    <w:rsid w:val="005C2718"/>
    <w:rsid w:val="005C2737"/>
    <w:rsid w:val="005C2CC1"/>
    <w:rsid w:val="005C2EB1"/>
    <w:rsid w:val="005C2ED4"/>
    <w:rsid w:val="005C2F8E"/>
    <w:rsid w:val="005C2FE4"/>
    <w:rsid w:val="005C307F"/>
    <w:rsid w:val="005C31BB"/>
    <w:rsid w:val="005C3277"/>
    <w:rsid w:val="005C35C2"/>
    <w:rsid w:val="005C382C"/>
    <w:rsid w:val="005C3ADD"/>
    <w:rsid w:val="005C3C37"/>
    <w:rsid w:val="005C3C4D"/>
    <w:rsid w:val="005C3C5B"/>
    <w:rsid w:val="005C3CFA"/>
    <w:rsid w:val="005C3D6C"/>
    <w:rsid w:val="005C3DE2"/>
    <w:rsid w:val="005C4077"/>
    <w:rsid w:val="005C444C"/>
    <w:rsid w:val="005C456C"/>
    <w:rsid w:val="005C45CE"/>
    <w:rsid w:val="005C4805"/>
    <w:rsid w:val="005C480E"/>
    <w:rsid w:val="005C48BE"/>
    <w:rsid w:val="005C4AAD"/>
    <w:rsid w:val="005C4AB2"/>
    <w:rsid w:val="005C4BE3"/>
    <w:rsid w:val="005C4D08"/>
    <w:rsid w:val="005C4E8A"/>
    <w:rsid w:val="005C4EE3"/>
    <w:rsid w:val="005C4F24"/>
    <w:rsid w:val="005C4F45"/>
    <w:rsid w:val="005C51F3"/>
    <w:rsid w:val="005C529B"/>
    <w:rsid w:val="005C53B1"/>
    <w:rsid w:val="005C548A"/>
    <w:rsid w:val="005C5605"/>
    <w:rsid w:val="005C5640"/>
    <w:rsid w:val="005C5753"/>
    <w:rsid w:val="005C576C"/>
    <w:rsid w:val="005C59EA"/>
    <w:rsid w:val="005C5ABA"/>
    <w:rsid w:val="005C62FB"/>
    <w:rsid w:val="005C63D8"/>
    <w:rsid w:val="005C6422"/>
    <w:rsid w:val="005C6508"/>
    <w:rsid w:val="005C6658"/>
    <w:rsid w:val="005C6700"/>
    <w:rsid w:val="005C67BD"/>
    <w:rsid w:val="005C6BFA"/>
    <w:rsid w:val="005C6E4D"/>
    <w:rsid w:val="005C6E7E"/>
    <w:rsid w:val="005C6E94"/>
    <w:rsid w:val="005C6F24"/>
    <w:rsid w:val="005C6F68"/>
    <w:rsid w:val="005C7040"/>
    <w:rsid w:val="005C7045"/>
    <w:rsid w:val="005C71C0"/>
    <w:rsid w:val="005C725C"/>
    <w:rsid w:val="005C72D7"/>
    <w:rsid w:val="005C732C"/>
    <w:rsid w:val="005C7408"/>
    <w:rsid w:val="005C747C"/>
    <w:rsid w:val="005C7717"/>
    <w:rsid w:val="005C77E2"/>
    <w:rsid w:val="005C7A56"/>
    <w:rsid w:val="005C7A94"/>
    <w:rsid w:val="005C7AD3"/>
    <w:rsid w:val="005C7C32"/>
    <w:rsid w:val="005C7C52"/>
    <w:rsid w:val="005C7D2D"/>
    <w:rsid w:val="005C7E28"/>
    <w:rsid w:val="005C7F3C"/>
    <w:rsid w:val="005D00DF"/>
    <w:rsid w:val="005D0252"/>
    <w:rsid w:val="005D0343"/>
    <w:rsid w:val="005D040C"/>
    <w:rsid w:val="005D0688"/>
    <w:rsid w:val="005D087B"/>
    <w:rsid w:val="005D09B5"/>
    <w:rsid w:val="005D0A10"/>
    <w:rsid w:val="005D0B06"/>
    <w:rsid w:val="005D0B09"/>
    <w:rsid w:val="005D0DC2"/>
    <w:rsid w:val="005D0DEB"/>
    <w:rsid w:val="005D101D"/>
    <w:rsid w:val="005D1131"/>
    <w:rsid w:val="005D1193"/>
    <w:rsid w:val="005D141A"/>
    <w:rsid w:val="005D1457"/>
    <w:rsid w:val="005D1552"/>
    <w:rsid w:val="005D15B4"/>
    <w:rsid w:val="005D15E5"/>
    <w:rsid w:val="005D1616"/>
    <w:rsid w:val="005D19C2"/>
    <w:rsid w:val="005D1A28"/>
    <w:rsid w:val="005D1B53"/>
    <w:rsid w:val="005D1BE9"/>
    <w:rsid w:val="005D1C5B"/>
    <w:rsid w:val="005D1E05"/>
    <w:rsid w:val="005D1FA6"/>
    <w:rsid w:val="005D208E"/>
    <w:rsid w:val="005D23E2"/>
    <w:rsid w:val="005D2422"/>
    <w:rsid w:val="005D2427"/>
    <w:rsid w:val="005D252C"/>
    <w:rsid w:val="005D2551"/>
    <w:rsid w:val="005D2659"/>
    <w:rsid w:val="005D2762"/>
    <w:rsid w:val="005D27E8"/>
    <w:rsid w:val="005D27FF"/>
    <w:rsid w:val="005D283B"/>
    <w:rsid w:val="005D2873"/>
    <w:rsid w:val="005D2A4D"/>
    <w:rsid w:val="005D2D87"/>
    <w:rsid w:val="005D2DFE"/>
    <w:rsid w:val="005D2E67"/>
    <w:rsid w:val="005D3024"/>
    <w:rsid w:val="005D3046"/>
    <w:rsid w:val="005D318D"/>
    <w:rsid w:val="005D320D"/>
    <w:rsid w:val="005D32BD"/>
    <w:rsid w:val="005D348F"/>
    <w:rsid w:val="005D34A5"/>
    <w:rsid w:val="005D356B"/>
    <w:rsid w:val="005D3583"/>
    <w:rsid w:val="005D3A6E"/>
    <w:rsid w:val="005D3B9D"/>
    <w:rsid w:val="005D3C01"/>
    <w:rsid w:val="005D3C2F"/>
    <w:rsid w:val="005D3C9C"/>
    <w:rsid w:val="005D3EA1"/>
    <w:rsid w:val="005D444F"/>
    <w:rsid w:val="005D447B"/>
    <w:rsid w:val="005D451F"/>
    <w:rsid w:val="005D45FA"/>
    <w:rsid w:val="005D4692"/>
    <w:rsid w:val="005D46C8"/>
    <w:rsid w:val="005D4747"/>
    <w:rsid w:val="005D47D6"/>
    <w:rsid w:val="005D4CA6"/>
    <w:rsid w:val="005D4E1C"/>
    <w:rsid w:val="005D50B4"/>
    <w:rsid w:val="005D51B9"/>
    <w:rsid w:val="005D523A"/>
    <w:rsid w:val="005D530E"/>
    <w:rsid w:val="005D5398"/>
    <w:rsid w:val="005D53E5"/>
    <w:rsid w:val="005D54C4"/>
    <w:rsid w:val="005D5765"/>
    <w:rsid w:val="005D581D"/>
    <w:rsid w:val="005D5970"/>
    <w:rsid w:val="005D59C9"/>
    <w:rsid w:val="005D5B69"/>
    <w:rsid w:val="005D5CD0"/>
    <w:rsid w:val="005D5D52"/>
    <w:rsid w:val="005D5DCA"/>
    <w:rsid w:val="005D5EDF"/>
    <w:rsid w:val="005D5F58"/>
    <w:rsid w:val="005D5FDE"/>
    <w:rsid w:val="005D5FE2"/>
    <w:rsid w:val="005D6000"/>
    <w:rsid w:val="005D626C"/>
    <w:rsid w:val="005D62F8"/>
    <w:rsid w:val="005D62FB"/>
    <w:rsid w:val="005D6335"/>
    <w:rsid w:val="005D63DA"/>
    <w:rsid w:val="005D65C8"/>
    <w:rsid w:val="005D66CA"/>
    <w:rsid w:val="005D67C4"/>
    <w:rsid w:val="005D680B"/>
    <w:rsid w:val="005D6818"/>
    <w:rsid w:val="005D6B2F"/>
    <w:rsid w:val="005D6BD2"/>
    <w:rsid w:val="005D6C1C"/>
    <w:rsid w:val="005D6C48"/>
    <w:rsid w:val="005D6C51"/>
    <w:rsid w:val="005D6C8F"/>
    <w:rsid w:val="005D6CA1"/>
    <w:rsid w:val="005D6D86"/>
    <w:rsid w:val="005D6E3E"/>
    <w:rsid w:val="005D6EA8"/>
    <w:rsid w:val="005D6F0F"/>
    <w:rsid w:val="005D6FED"/>
    <w:rsid w:val="005D70A6"/>
    <w:rsid w:val="005D7142"/>
    <w:rsid w:val="005D71EE"/>
    <w:rsid w:val="005D72E3"/>
    <w:rsid w:val="005D7418"/>
    <w:rsid w:val="005D763E"/>
    <w:rsid w:val="005D7705"/>
    <w:rsid w:val="005D77ED"/>
    <w:rsid w:val="005D780A"/>
    <w:rsid w:val="005D78E5"/>
    <w:rsid w:val="005D79BE"/>
    <w:rsid w:val="005D7ADA"/>
    <w:rsid w:val="005D7B4C"/>
    <w:rsid w:val="005D7BFD"/>
    <w:rsid w:val="005D7C54"/>
    <w:rsid w:val="005D7CD5"/>
    <w:rsid w:val="005D7D27"/>
    <w:rsid w:val="005D7E28"/>
    <w:rsid w:val="005E002B"/>
    <w:rsid w:val="005E0323"/>
    <w:rsid w:val="005E03B6"/>
    <w:rsid w:val="005E0482"/>
    <w:rsid w:val="005E0626"/>
    <w:rsid w:val="005E0674"/>
    <w:rsid w:val="005E0721"/>
    <w:rsid w:val="005E0725"/>
    <w:rsid w:val="005E0762"/>
    <w:rsid w:val="005E0814"/>
    <w:rsid w:val="005E0888"/>
    <w:rsid w:val="005E0899"/>
    <w:rsid w:val="005E0900"/>
    <w:rsid w:val="005E0957"/>
    <w:rsid w:val="005E0A5F"/>
    <w:rsid w:val="005E0DF7"/>
    <w:rsid w:val="005E0FBF"/>
    <w:rsid w:val="005E1071"/>
    <w:rsid w:val="005E116E"/>
    <w:rsid w:val="005E117D"/>
    <w:rsid w:val="005E11B3"/>
    <w:rsid w:val="005E12C6"/>
    <w:rsid w:val="005E145E"/>
    <w:rsid w:val="005E14CC"/>
    <w:rsid w:val="005E17E6"/>
    <w:rsid w:val="005E1835"/>
    <w:rsid w:val="005E18B7"/>
    <w:rsid w:val="005E18C9"/>
    <w:rsid w:val="005E18F3"/>
    <w:rsid w:val="005E1CC7"/>
    <w:rsid w:val="005E1DAF"/>
    <w:rsid w:val="005E1EF4"/>
    <w:rsid w:val="005E2362"/>
    <w:rsid w:val="005E2442"/>
    <w:rsid w:val="005E24AC"/>
    <w:rsid w:val="005E25B7"/>
    <w:rsid w:val="005E26A6"/>
    <w:rsid w:val="005E2708"/>
    <w:rsid w:val="005E28F6"/>
    <w:rsid w:val="005E2943"/>
    <w:rsid w:val="005E296A"/>
    <w:rsid w:val="005E296F"/>
    <w:rsid w:val="005E2A28"/>
    <w:rsid w:val="005E2B06"/>
    <w:rsid w:val="005E2C01"/>
    <w:rsid w:val="005E2D01"/>
    <w:rsid w:val="005E2DE3"/>
    <w:rsid w:val="005E2E17"/>
    <w:rsid w:val="005E2E89"/>
    <w:rsid w:val="005E2EA2"/>
    <w:rsid w:val="005E2FA4"/>
    <w:rsid w:val="005E3001"/>
    <w:rsid w:val="005E3195"/>
    <w:rsid w:val="005E320F"/>
    <w:rsid w:val="005E325D"/>
    <w:rsid w:val="005E3287"/>
    <w:rsid w:val="005E33A4"/>
    <w:rsid w:val="005E3452"/>
    <w:rsid w:val="005E345F"/>
    <w:rsid w:val="005E3538"/>
    <w:rsid w:val="005E35AA"/>
    <w:rsid w:val="005E3630"/>
    <w:rsid w:val="005E3643"/>
    <w:rsid w:val="005E36A3"/>
    <w:rsid w:val="005E36F8"/>
    <w:rsid w:val="005E3BB0"/>
    <w:rsid w:val="005E3BF9"/>
    <w:rsid w:val="005E3CAB"/>
    <w:rsid w:val="005E3D19"/>
    <w:rsid w:val="005E3D7D"/>
    <w:rsid w:val="005E3D94"/>
    <w:rsid w:val="005E449E"/>
    <w:rsid w:val="005E457D"/>
    <w:rsid w:val="005E459E"/>
    <w:rsid w:val="005E469A"/>
    <w:rsid w:val="005E4A18"/>
    <w:rsid w:val="005E4AEC"/>
    <w:rsid w:val="005E4B00"/>
    <w:rsid w:val="005E4B50"/>
    <w:rsid w:val="005E4B52"/>
    <w:rsid w:val="005E4C38"/>
    <w:rsid w:val="005E4D46"/>
    <w:rsid w:val="005E4DB5"/>
    <w:rsid w:val="005E4E5C"/>
    <w:rsid w:val="005E5074"/>
    <w:rsid w:val="005E5197"/>
    <w:rsid w:val="005E52ED"/>
    <w:rsid w:val="005E530B"/>
    <w:rsid w:val="005E53FB"/>
    <w:rsid w:val="005E550D"/>
    <w:rsid w:val="005E5907"/>
    <w:rsid w:val="005E5997"/>
    <w:rsid w:val="005E5B71"/>
    <w:rsid w:val="005E5BD7"/>
    <w:rsid w:val="005E5DDA"/>
    <w:rsid w:val="005E5E7D"/>
    <w:rsid w:val="005E5ECF"/>
    <w:rsid w:val="005E600C"/>
    <w:rsid w:val="005E60FA"/>
    <w:rsid w:val="005E610F"/>
    <w:rsid w:val="005E628D"/>
    <w:rsid w:val="005E6401"/>
    <w:rsid w:val="005E6477"/>
    <w:rsid w:val="005E669F"/>
    <w:rsid w:val="005E66B5"/>
    <w:rsid w:val="005E674D"/>
    <w:rsid w:val="005E688C"/>
    <w:rsid w:val="005E68B8"/>
    <w:rsid w:val="005E6B75"/>
    <w:rsid w:val="005E6DB9"/>
    <w:rsid w:val="005E6DDC"/>
    <w:rsid w:val="005E6E64"/>
    <w:rsid w:val="005E6E87"/>
    <w:rsid w:val="005E71A3"/>
    <w:rsid w:val="005E71E5"/>
    <w:rsid w:val="005E72DC"/>
    <w:rsid w:val="005E7449"/>
    <w:rsid w:val="005E7A75"/>
    <w:rsid w:val="005E7AE5"/>
    <w:rsid w:val="005E7C00"/>
    <w:rsid w:val="005E7CE2"/>
    <w:rsid w:val="005E7E5C"/>
    <w:rsid w:val="005E7FE0"/>
    <w:rsid w:val="005F00A3"/>
    <w:rsid w:val="005F027A"/>
    <w:rsid w:val="005F0408"/>
    <w:rsid w:val="005F0486"/>
    <w:rsid w:val="005F05B7"/>
    <w:rsid w:val="005F05F5"/>
    <w:rsid w:val="005F06B0"/>
    <w:rsid w:val="005F06C1"/>
    <w:rsid w:val="005F0835"/>
    <w:rsid w:val="005F0C04"/>
    <w:rsid w:val="005F0C2C"/>
    <w:rsid w:val="005F0C7F"/>
    <w:rsid w:val="005F0D64"/>
    <w:rsid w:val="005F0DF8"/>
    <w:rsid w:val="005F0E0B"/>
    <w:rsid w:val="005F0F70"/>
    <w:rsid w:val="005F118F"/>
    <w:rsid w:val="005F1199"/>
    <w:rsid w:val="005F126A"/>
    <w:rsid w:val="005F12BB"/>
    <w:rsid w:val="005F1462"/>
    <w:rsid w:val="005F14E0"/>
    <w:rsid w:val="005F151C"/>
    <w:rsid w:val="005F152F"/>
    <w:rsid w:val="005F1542"/>
    <w:rsid w:val="005F169C"/>
    <w:rsid w:val="005F1AE6"/>
    <w:rsid w:val="005F1BB2"/>
    <w:rsid w:val="005F1CCD"/>
    <w:rsid w:val="005F1E03"/>
    <w:rsid w:val="005F1E04"/>
    <w:rsid w:val="005F1FD8"/>
    <w:rsid w:val="005F207F"/>
    <w:rsid w:val="005F21A3"/>
    <w:rsid w:val="005F22A7"/>
    <w:rsid w:val="005F23B0"/>
    <w:rsid w:val="005F2435"/>
    <w:rsid w:val="005F2997"/>
    <w:rsid w:val="005F2B6E"/>
    <w:rsid w:val="005F2C36"/>
    <w:rsid w:val="005F2D93"/>
    <w:rsid w:val="005F2E78"/>
    <w:rsid w:val="005F3066"/>
    <w:rsid w:val="005F30D9"/>
    <w:rsid w:val="005F32D6"/>
    <w:rsid w:val="005F3313"/>
    <w:rsid w:val="005F3399"/>
    <w:rsid w:val="005F3480"/>
    <w:rsid w:val="005F35F2"/>
    <w:rsid w:val="005F36FD"/>
    <w:rsid w:val="005F3774"/>
    <w:rsid w:val="005F3846"/>
    <w:rsid w:val="005F38A9"/>
    <w:rsid w:val="005F39E0"/>
    <w:rsid w:val="005F39EE"/>
    <w:rsid w:val="005F3C52"/>
    <w:rsid w:val="005F3D5E"/>
    <w:rsid w:val="005F3DC7"/>
    <w:rsid w:val="005F3E11"/>
    <w:rsid w:val="005F3E43"/>
    <w:rsid w:val="005F3FCF"/>
    <w:rsid w:val="005F421C"/>
    <w:rsid w:val="005F42A2"/>
    <w:rsid w:val="005F4334"/>
    <w:rsid w:val="005F43BE"/>
    <w:rsid w:val="005F4444"/>
    <w:rsid w:val="005F44A8"/>
    <w:rsid w:val="005F46DE"/>
    <w:rsid w:val="005F4865"/>
    <w:rsid w:val="005F4877"/>
    <w:rsid w:val="005F4A22"/>
    <w:rsid w:val="005F4A90"/>
    <w:rsid w:val="005F4D3A"/>
    <w:rsid w:val="005F4E40"/>
    <w:rsid w:val="005F4F2C"/>
    <w:rsid w:val="005F4F94"/>
    <w:rsid w:val="005F5005"/>
    <w:rsid w:val="005F502B"/>
    <w:rsid w:val="005F51EF"/>
    <w:rsid w:val="005F5213"/>
    <w:rsid w:val="005F521B"/>
    <w:rsid w:val="005F527D"/>
    <w:rsid w:val="005F530F"/>
    <w:rsid w:val="005F5327"/>
    <w:rsid w:val="005F548F"/>
    <w:rsid w:val="005F54F5"/>
    <w:rsid w:val="005F5719"/>
    <w:rsid w:val="005F5922"/>
    <w:rsid w:val="005F5A4E"/>
    <w:rsid w:val="005F5B77"/>
    <w:rsid w:val="005F5BD5"/>
    <w:rsid w:val="005F5CDA"/>
    <w:rsid w:val="005F5FBE"/>
    <w:rsid w:val="005F605A"/>
    <w:rsid w:val="005F65B8"/>
    <w:rsid w:val="005F6609"/>
    <w:rsid w:val="005F6668"/>
    <w:rsid w:val="005F666F"/>
    <w:rsid w:val="005F681C"/>
    <w:rsid w:val="005F6871"/>
    <w:rsid w:val="005F698D"/>
    <w:rsid w:val="005F6ECF"/>
    <w:rsid w:val="005F6FAF"/>
    <w:rsid w:val="005F71EF"/>
    <w:rsid w:val="005F7206"/>
    <w:rsid w:val="005F73CE"/>
    <w:rsid w:val="005F745B"/>
    <w:rsid w:val="005F76DF"/>
    <w:rsid w:val="005F76ED"/>
    <w:rsid w:val="005F77AB"/>
    <w:rsid w:val="005F7999"/>
    <w:rsid w:val="005F79C2"/>
    <w:rsid w:val="005F7BF7"/>
    <w:rsid w:val="005F7C4F"/>
    <w:rsid w:val="005F7D51"/>
    <w:rsid w:val="005F7D53"/>
    <w:rsid w:val="005F7D61"/>
    <w:rsid w:val="00600028"/>
    <w:rsid w:val="00600362"/>
    <w:rsid w:val="006005B6"/>
    <w:rsid w:val="0060067B"/>
    <w:rsid w:val="00600778"/>
    <w:rsid w:val="0060080A"/>
    <w:rsid w:val="00600853"/>
    <w:rsid w:val="00600901"/>
    <w:rsid w:val="0060096D"/>
    <w:rsid w:val="00600A77"/>
    <w:rsid w:val="00600B51"/>
    <w:rsid w:val="00600B74"/>
    <w:rsid w:val="00600CC9"/>
    <w:rsid w:val="00600DDF"/>
    <w:rsid w:val="00600DEE"/>
    <w:rsid w:val="00600F56"/>
    <w:rsid w:val="00600F6E"/>
    <w:rsid w:val="00600F70"/>
    <w:rsid w:val="0060110C"/>
    <w:rsid w:val="006011BA"/>
    <w:rsid w:val="006013DD"/>
    <w:rsid w:val="0060151C"/>
    <w:rsid w:val="00601748"/>
    <w:rsid w:val="00601925"/>
    <w:rsid w:val="00601957"/>
    <w:rsid w:val="00601AB5"/>
    <w:rsid w:val="00601C8B"/>
    <w:rsid w:val="00601C8E"/>
    <w:rsid w:val="00601E6D"/>
    <w:rsid w:val="00601E9A"/>
    <w:rsid w:val="00601F47"/>
    <w:rsid w:val="00602058"/>
    <w:rsid w:val="006023F6"/>
    <w:rsid w:val="00602537"/>
    <w:rsid w:val="006027A3"/>
    <w:rsid w:val="006028C9"/>
    <w:rsid w:val="00602938"/>
    <w:rsid w:val="0060299B"/>
    <w:rsid w:val="00602C92"/>
    <w:rsid w:val="00602D6D"/>
    <w:rsid w:val="00602D7C"/>
    <w:rsid w:val="00602E65"/>
    <w:rsid w:val="00602EC9"/>
    <w:rsid w:val="0060308E"/>
    <w:rsid w:val="00603141"/>
    <w:rsid w:val="006031E1"/>
    <w:rsid w:val="006032D2"/>
    <w:rsid w:val="00603361"/>
    <w:rsid w:val="006034A4"/>
    <w:rsid w:val="006034B6"/>
    <w:rsid w:val="0060353D"/>
    <w:rsid w:val="0060380F"/>
    <w:rsid w:val="00603BA8"/>
    <w:rsid w:val="00603E30"/>
    <w:rsid w:val="00603F98"/>
    <w:rsid w:val="00604101"/>
    <w:rsid w:val="006042E6"/>
    <w:rsid w:val="006044F5"/>
    <w:rsid w:val="00604718"/>
    <w:rsid w:val="0060472E"/>
    <w:rsid w:val="00604740"/>
    <w:rsid w:val="0060476D"/>
    <w:rsid w:val="00604899"/>
    <w:rsid w:val="006048A0"/>
    <w:rsid w:val="0060495E"/>
    <w:rsid w:val="006049AF"/>
    <w:rsid w:val="00604B19"/>
    <w:rsid w:val="00604B22"/>
    <w:rsid w:val="00604D19"/>
    <w:rsid w:val="00604E55"/>
    <w:rsid w:val="00604E85"/>
    <w:rsid w:val="00604FCF"/>
    <w:rsid w:val="00605118"/>
    <w:rsid w:val="00605222"/>
    <w:rsid w:val="006052BD"/>
    <w:rsid w:val="006052E2"/>
    <w:rsid w:val="006054FA"/>
    <w:rsid w:val="00605629"/>
    <w:rsid w:val="00605665"/>
    <w:rsid w:val="00605A3F"/>
    <w:rsid w:val="00605A7B"/>
    <w:rsid w:val="00605C4F"/>
    <w:rsid w:val="00605C55"/>
    <w:rsid w:val="00605CE3"/>
    <w:rsid w:val="00605D6A"/>
    <w:rsid w:val="00605E4F"/>
    <w:rsid w:val="00605EB1"/>
    <w:rsid w:val="00605FA7"/>
    <w:rsid w:val="00606036"/>
    <w:rsid w:val="0060607C"/>
    <w:rsid w:val="006060CB"/>
    <w:rsid w:val="006062C1"/>
    <w:rsid w:val="006064DE"/>
    <w:rsid w:val="00606584"/>
    <w:rsid w:val="006066E5"/>
    <w:rsid w:val="00606775"/>
    <w:rsid w:val="006068FF"/>
    <w:rsid w:val="00606977"/>
    <w:rsid w:val="00606997"/>
    <w:rsid w:val="00606A1E"/>
    <w:rsid w:val="00606A93"/>
    <w:rsid w:val="00606AC2"/>
    <w:rsid w:val="00606AC7"/>
    <w:rsid w:val="00606B97"/>
    <w:rsid w:val="00606DAA"/>
    <w:rsid w:val="00606E43"/>
    <w:rsid w:val="00606EF6"/>
    <w:rsid w:val="00606F88"/>
    <w:rsid w:val="00607184"/>
    <w:rsid w:val="00607254"/>
    <w:rsid w:val="00607358"/>
    <w:rsid w:val="00607418"/>
    <w:rsid w:val="00607507"/>
    <w:rsid w:val="00607612"/>
    <w:rsid w:val="006078FB"/>
    <w:rsid w:val="00607920"/>
    <w:rsid w:val="00607937"/>
    <w:rsid w:val="006079B3"/>
    <w:rsid w:val="006079E0"/>
    <w:rsid w:val="00607AE8"/>
    <w:rsid w:val="00607D03"/>
    <w:rsid w:val="00607F39"/>
    <w:rsid w:val="00610062"/>
    <w:rsid w:val="0061011B"/>
    <w:rsid w:val="0061032F"/>
    <w:rsid w:val="00610393"/>
    <w:rsid w:val="006103A0"/>
    <w:rsid w:val="006104A5"/>
    <w:rsid w:val="0061051A"/>
    <w:rsid w:val="0061053E"/>
    <w:rsid w:val="006106BC"/>
    <w:rsid w:val="006106ED"/>
    <w:rsid w:val="006107D9"/>
    <w:rsid w:val="0061083A"/>
    <w:rsid w:val="006109D9"/>
    <w:rsid w:val="00610C07"/>
    <w:rsid w:val="00610D6E"/>
    <w:rsid w:val="00610F63"/>
    <w:rsid w:val="00611017"/>
    <w:rsid w:val="006110E5"/>
    <w:rsid w:val="00611502"/>
    <w:rsid w:val="006115D2"/>
    <w:rsid w:val="00611905"/>
    <w:rsid w:val="00611977"/>
    <w:rsid w:val="00611988"/>
    <w:rsid w:val="00611AD1"/>
    <w:rsid w:val="00611C84"/>
    <w:rsid w:val="00612065"/>
    <w:rsid w:val="0061220C"/>
    <w:rsid w:val="006122CA"/>
    <w:rsid w:val="006123BA"/>
    <w:rsid w:val="00612471"/>
    <w:rsid w:val="0061254E"/>
    <w:rsid w:val="00612569"/>
    <w:rsid w:val="00612599"/>
    <w:rsid w:val="006125FA"/>
    <w:rsid w:val="0061296D"/>
    <w:rsid w:val="00612A47"/>
    <w:rsid w:val="00612AE8"/>
    <w:rsid w:val="00612C29"/>
    <w:rsid w:val="00612E82"/>
    <w:rsid w:val="00612F48"/>
    <w:rsid w:val="00613295"/>
    <w:rsid w:val="006132FE"/>
    <w:rsid w:val="006132FF"/>
    <w:rsid w:val="00613445"/>
    <w:rsid w:val="006134B7"/>
    <w:rsid w:val="006137A9"/>
    <w:rsid w:val="0061396B"/>
    <w:rsid w:val="00613B69"/>
    <w:rsid w:val="00613D46"/>
    <w:rsid w:val="00613D7E"/>
    <w:rsid w:val="00613E5C"/>
    <w:rsid w:val="00613FBB"/>
    <w:rsid w:val="00613FD3"/>
    <w:rsid w:val="0061406A"/>
    <w:rsid w:val="00614124"/>
    <w:rsid w:val="006142F7"/>
    <w:rsid w:val="006143B5"/>
    <w:rsid w:val="006144B3"/>
    <w:rsid w:val="0061457E"/>
    <w:rsid w:val="00614608"/>
    <w:rsid w:val="006148B8"/>
    <w:rsid w:val="00614AD3"/>
    <w:rsid w:val="00614B5C"/>
    <w:rsid w:val="00614B7A"/>
    <w:rsid w:val="00614E6A"/>
    <w:rsid w:val="006151A2"/>
    <w:rsid w:val="0061548F"/>
    <w:rsid w:val="006154FC"/>
    <w:rsid w:val="006157A6"/>
    <w:rsid w:val="00615C34"/>
    <w:rsid w:val="00615C64"/>
    <w:rsid w:val="00615C72"/>
    <w:rsid w:val="00615D92"/>
    <w:rsid w:val="00615FC0"/>
    <w:rsid w:val="00615FF0"/>
    <w:rsid w:val="006161D9"/>
    <w:rsid w:val="006162A7"/>
    <w:rsid w:val="006164E7"/>
    <w:rsid w:val="006164F1"/>
    <w:rsid w:val="00616531"/>
    <w:rsid w:val="0061658E"/>
    <w:rsid w:val="006166A1"/>
    <w:rsid w:val="006166AF"/>
    <w:rsid w:val="006166E3"/>
    <w:rsid w:val="00616918"/>
    <w:rsid w:val="00616ADF"/>
    <w:rsid w:val="00616C3F"/>
    <w:rsid w:val="00616C88"/>
    <w:rsid w:val="00616C89"/>
    <w:rsid w:val="00616F05"/>
    <w:rsid w:val="00617017"/>
    <w:rsid w:val="00617428"/>
    <w:rsid w:val="0061758F"/>
    <w:rsid w:val="0061772A"/>
    <w:rsid w:val="00617C33"/>
    <w:rsid w:val="00617C71"/>
    <w:rsid w:val="00617E85"/>
    <w:rsid w:val="00620026"/>
    <w:rsid w:val="00620070"/>
    <w:rsid w:val="00620120"/>
    <w:rsid w:val="00620263"/>
    <w:rsid w:val="00620466"/>
    <w:rsid w:val="00620587"/>
    <w:rsid w:val="006205BA"/>
    <w:rsid w:val="006206C2"/>
    <w:rsid w:val="006206FC"/>
    <w:rsid w:val="006208E2"/>
    <w:rsid w:val="00620955"/>
    <w:rsid w:val="00620A9A"/>
    <w:rsid w:val="00620BDE"/>
    <w:rsid w:val="00620C4D"/>
    <w:rsid w:val="00620C69"/>
    <w:rsid w:val="00620C98"/>
    <w:rsid w:val="00620CCB"/>
    <w:rsid w:val="00620DFD"/>
    <w:rsid w:val="0062103C"/>
    <w:rsid w:val="00621044"/>
    <w:rsid w:val="006211CC"/>
    <w:rsid w:val="006211EE"/>
    <w:rsid w:val="00621210"/>
    <w:rsid w:val="00621389"/>
    <w:rsid w:val="00621461"/>
    <w:rsid w:val="006214F6"/>
    <w:rsid w:val="0062152A"/>
    <w:rsid w:val="006215A6"/>
    <w:rsid w:val="00621612"/>
    <w:rsid w:val="00621648"/>
    <w:rsid w:val="00621907"/>
    <w:rsid w:val="00621992"/>
    <w:rsid w:val="00621A4F"/>
    <w:rsid w:val="00621BB6"/>
    <w:rsid w:val="00621C3A"/>
    <w:rsid w:val="00621D79"/>
    <w:rsid w:val="00621D7A"/>
    <w:rsid w:val="00621F46"/>
    <w:rsid w:val="00621F49"/>
    <w:rsid w:val="00621FB1"/>
    <w:rsid w:val="00622059"/>
    <w:rsid w:val="0062205B"/>
    <w:rsid w:val="0062208F"/>
    <w:rsid w:val="006220BD"/>
    <w:rsid w:val="0062214A"/>
    <w:rsid w:val="00622206"/>
    <w:rsid w:val="00622304"/>
    <w:rsid w:val="00622520"/>
    <w:rsid w:val="00622579"/>
    <w:rsid w:val="006225A3"/>
    <w:rsid w:val="006225D4"/>
    <w:rsid w:val="00622620"/>
    <w:rsid w:val="00622634"/>
    <w:rsid w:val="00622639"/>
    <w:rsid w:val="006226CD"/>
    <w:rsid w:val="006226E5"/>
    <w:rsid w:val="006228DE"/>
    <w:rsid w:val="006229E5"/>
    <w:rsid w:val="00622B0D"/>
    <w:rsid w:val="00622B68"/>
    <w:rsid w:val="00622C3D"/>
    <w:rsid w:val="00622D29"/>
    <w:rsid w:val="00622ED9"/>
    <w:rsid w:val="00622EFD"/>
    <w:rsid w:val="00622F9A"/>
    <w:rsid w:val="00622FC6"/>
    <w:rsid w:val="006230A2"/>
    <w:rsid w:val="00623539"/>
    <w:rsid w:val="00623597"/>
    <w:rsid w:val="006235D9"/>
    <w:rsid w:val="006236D2"/>
    <w:rsid w:val="006237FA"/>
    <w:rsid w:val="006239C9"/>
    <w:rsid w:val="00623A2C"/>
    <w:rsid w:val="00623A40"/>
    <w:rsid w:val="00623C52"/>
    <w:rsid w:val="00623D57"/>
    <w:rsid w:val="00623E50"/>
    <w:rsid w:val="00623ED3"/>
    <w:rsid w:val="00624082"/>
    <w:rsid w:val="00624093"/>
    <w:rsid w:val="00624167"/>
    <w:rsid w:val="006241DA"/>
    <w:rsid w:val="006241F9"/>
    <w:rsid w:val="00624464"/>
    <w:rsid w:val="006246B3"/>
    <w:rsid w:val="006246D8"/>
    <w:rsid w:val="00624829"/>
    <w:rsid w:val="00624A72"/>
    <w:rsid w:val="00624A8C"/>
    <w:rsid w:val="00624B17"/>
    <w:rsid w:val="00624B5E"/>
    <w:rsid w:val="00624C49"/>
    <w:rsid w:val="00624C96"/>
    <w:rsid w:val="00624FCB"/>
    <w:rsid w:val="00625084"/>
    <w:rsid w:val="00625242"/>
    <w:rsid w:val="0062550D"/>
    <w:rsid w:val="0062565B"/>
    <w:rsid w:val="006256B2"/>
    <w:rsid w:val="006256D7"/>
    <w:rsid w:val="006256EA"/>
    <w:rsid w:val="00625762"/>
    <w:rsid w:val="00625A4D"/>
    <w:rsid w:val="00625EE6"/>
    <w:rsid w:val="006260FA"/>
    <w:rsid w:val="00626275"/>
    <w:rsid w:val="006262DC"/>
    <w:rsid w:val="00626423"/>
    <w:rsid w:val="00626658"/>
    <w:rsid w:val="00626811"/>
    <w:rsid w:val="00626874"/>
    <w:rsid w:val="00626956"/>
    <w:rsid w:val="00626A26"/>
    <w:rsid w:val="00626A68"/>
    <w:rsid w:val="00626B43"/>
    <w:rsid w:val="00626D43"/>
    <w:rsid w:val="00626D9A"/>
    <w:rsid w:val="00626DAA"/>
    <w:rsid w:val="00626E2B"/>
    <w:rsid w:val="006270A0"/>
    <w:rsid w:val="0062717B"/>
    <w:rsid w:val="006273BB"/>
    <w:rsid w:val="00627ACF"/>
    <w:rsid w:val="00627B7F"/>
    <w:rsid w:val="00627C06"/>
    <w:rsid w:val="00627D2A"/>
    <w:rsid w:val="00627E7B"/>
    <w:rsid w:val="006300F1"/>
    <w:rsid w:val="00630208"/>
    <w:rsid w:val="00630238"/>
    <w:rsid w:val="00630265"/>
    <w:rsid w:val="00630322"/>
    <w:rsid w:val="0063044B"/>
    <w:rsid w:val="006307A1"/>
    <w:rsid w:val="00630AED"/>
    <w:rsid w:val="00630BE1"/>
    <w:rsid w:val="00630D29"/>
    <w:rsid w:val="00630E14"/>
    <w:rsid w:val="00631017"/>
    <w:rsid w:val="00631065"/>
    <w:rsid w:val="00631221"/>
    <w:rsid w:val="00631282"/>
    <w:rsid w:val="00631302"/>
    <w:rsid w:val="00631311"/>
    <w:rsid w:val="00631323"/>
    <w:rsid w:val="00631405"/>
    <w:rsid w:val="00631537"/>
    <w:rsid w:val="006316A9"/>
    <w:rsid w:val="0063171C"/>
    <w:rsid w:val="00631863"/>
    <w:rsid w:val="00631F2F"/>
    <w:rsid w:val="00632044"/>
    <w:rsid w:val="006323CD"/>
    <w:rsid w:val="006324DF"/>
    <w:rsid w:val="0063267D"/>
    <w:rsid w:val="006326C1"/>
    <w:rsid w:val="00632757"/>
    <w:rsid w:val="006328F6"/>
    <w:rsid w:val="00632926"/>
    <w:rsid w:val="00632BCD"/>
    <w:rsid w:val="00632C08"/>
    <w:rsid w:val="00632E3A"/>
    <w:rsid w:val="00632FC4"/>
    <w:rsid w:val="0063306D"/>
    <w:rsid w:val="006331EB"/>
    <w:rsid w:val="00633452"/>
    <w:rsid w:val="00633499"/>
    <w:rsid w:val="00633556"/>
    <w:rsid w:val="006336B7"/>
    <w:rsid w:val="006336B9"/>
    <w:rsid w:val="0063371C"/>
    <w:rsid w:val="006338BA"/>
    <w:rsid w:val="006339BD"/>
    <w:rsid w:val="00633A66"/>
    <w:rsid w:val="00633BA3"/>
    <w:rsid w:val="00633C52"/>
    <w:rsid w:val="00633CDE"/>
    <w:rsid w:val="00633D1A"/>
    <w:rsid w:val="00633D36"/>
    <w:rsid w:val="00633D3C"/>
    <w:rsid w:val="00633DB4"/>
    <w:rsid w:val="00633DC9"/>
    <w:rsid w:val="00634081"/>
    <w:rsid w:val="00634123"/>
    <w:rsid w:val="00634340"/>
    <w:rsid w:val="006343A0"/>
    <w:rsid w:val="006343A7"/>
    <w:rsid w:val="006343D7"/>
    <w:rsid w:val="0063463C"/>
    <w:rsid w:val="00634867"/>
    <w:rsid w:val="0063490C"/>
    <w:rsid w:val="00634BDB"/>
    <w:rsid w:val="00634C7A"/>
    <w:rsid w:val="00634C7C"/>
    <w:rsid w:val="00634D3F"/>
    <w:rsid w:val="00634D6F"/>
    <w:rsid w:val="00634EAB"/>
    <w:rsid w:val="00634ED9"/>
    <w:rsid w:val="00634F3C"/>
    <w:rsid w:val="00634FB3"/>
    <w:rsid w:val="006350F3"/>
    <w:rsid w:val="00635165"/>
    <w:rsid w:val="00635295"/>
    <w:rsid w:val="00635464"/>
    <w:rsid w:val="006354DC"/>
    <w:rsid w:val="006354F8"/>
    <w:rsid w:val="006355DF"/>
    <w:rsid w:val="006355FB"/>
    <w:rsid w:val="00635796"/>
    <w:rsid w:val="006358F4"/>
    <w:rsid w:val="0063594C"/>
    <w:rsid w:val="00635B85"/>
    <w:rsid w:val="00635C1E"/>
    <w:rsid w:val="00635C50"/>
    <w:rsid w:val="00635D23"/>
    <w:rsid w:val="00635E4C"/>
    <w:rsid w:val="006361CC"/>
    <w:rsid w:val="006362DB"/>
    <w:rsid w:val="00636354"/>
    <w:rsid w:val="006365C1"/>
    <w:rsid w:val="0063672B"/>
    <w:rsid w:val="0063675C"/>
    <w:rsid w:val="00636BDA"/>
    <w:rsid w:val="00636D2E"/>
    <w:rsid w:val="00636DCD"/>
    <w:rsid w:val="00637283"/>
    <w:rsid w:val="00637358"/>
    <w:rsid w:val="006375B7"/>
    <w:rsid w:val="0063773E"/>
    <w:rsid w:val="0063786C"/>
    <w:rsid w:val="006378C5"/>
    <w:rsid w:val="0063795F"/>
    <w:rsid w:val="006379AB"/>
    <w:rsid w:val="006379F2"/>
    <w:rsid w:val="00637A13"/>
    <w:rsid w:val="00637B46"/>
    <w:rsid w:val="00637CBE"/>
    <w:rsid w:val="0064006F"/>
    <w:rsid w:val="006405BF"/>
    <w:rsid w:val="006405DB"/>
    <w:rsid w:val="00640664"/>
    <w:rsid w:val="0064081A"/>
    <w:rsid w:val="00640AE2"/>
    <w:rsid w:val="00640F12"/>
    <w:rsid w:val="00640F6A"/>
    <w:rsid w:val="00640F75"/>
    <w:rsid w:val="00640F76"/>
    <w:rsid w:val="006410E6"/>
    <w:rsid w:val="006410E9"/>
    <w:rsid w:val="006411E5"/>
    <w:rsid w:val="00641217"/>
    <w:rsid w:val="006414EB"/>
    <w:rsid w:val="00641805"/>
    <w:rsid w:val="00641919"/>
    <w:rsid w:val="006419BC"/>
    <w:rsid w:val="00641B1F"/>
    <w:rsid w:val="00641B2F"/>
    <w:rsid w:val="00641B4B"/>
    <w:rsid w:val="00641DE7"/>
    <w:rsid w:val="00641DFC"/>
    <w:rsid w:val="00641F47"/>
    <w:rsid w:val="00641F5E"/>
    <w:rsid w:val="00641FFE"/>
    <w:rsid w:val="00642086"/>
    <w:rsid w:val="006421C2"/>
    <w:rsid w:val="006423E5"/>
    <w:rsid w:val="006423F2"/>
    <w:rsid w:val="00642555"/>
    <w:rsid w:val="006426EA"/>
    <w:rsid w:val="006427DD"/>
    <w:rsid w:val="00642979"/>
    <w:rsid w:val="00642CA5"/>
    <w:rsid w:val="00642D66"/>
    <w:rsid w:val="00642EE7"/>
    <w:rsid w:val="00642F02"/>
    <w:rsid w:val="00642F80"/>
    <w:rsid w:val="00642FEA"/>
    <w:rsid w:val="00643194"/>
    <w:rsid w:val="00643201"/>
    <w:rsid w:val="00643247"/>
    <w:rsid w:val="00643258"/>
    <w:rsid w:val="006433CB"/>
    <w:rsid w:val="0064351F"/>
    <w:rsid w:val="006437FB"/>
    <w:rsid w:val="0064380E"/>
    <w:rsid w:val="00643894"/>
    <w:rsid w:val="00643927"/>
    <w:rsid w:val="00643A29"/>
    <w:rsid w:val="00643AE4"/>
    <w:rsid w:val="00643B18"/>
    <w:rsid w:val="00643B6E"/>
    <w:rsid w:val="00643C42"/>
    <w:rsid w:val="00643C6D"/>
    <w:rsid w:val="00643E20"/>
    <w:rsid w:val="00643E47"/>
    <w:rsid w:val="00643EFC"/>
    <w:rsid w:val="00643FFB"/>
    <w:rsid w:val="006440E1"/>
    <w:rsid w:val="00644331"/>
    <w:rsid w:val="00644502"/>
    <w:rsid w:val="0064458C"/>
    <w:rsid w:val="006445AC"/>
    <w:rsid w:val="00644677"/>
    <w:rsid w:val="00644726"/>
    <w:rsid w:val="00644752"/>
    <w:rsid w:val="00644975"/>
    <w:rsid w:val="00644A2B"/>
    <w:rsid w:val="00644C40"/>
    <w:rsid w:val="00644D32"/>
    <w:rsid w:val="00644DB6"/>
    <w:rsid w:val="006450F3"/>
    <w:rsid w:val="0064513F"/>
    <w:rsid w:val="006451BF"/>
    <w:rsid w:val="006451C3"/>
    <w:rsid w:val="00645240"/>
    <w:rsid w:val="00645288"/>
    <w:rsid w:val="00645311"/>
    <w:rsid w:val="00645316"/>
    <w:rsid w:val="00645401"/>
    <w:rsid w:val="00645456"/>
    <w:rsid w:val="00645968"/>
    <w:rsid w:val="00645A8D"/>
    <w:rsid w:val="00645AC4"/>
    <w:rsid w:val="00645BBE"/>
    <w:rsid w:val="00645C13"/>
    <w:rsid w:val="00645DB7"/>
    <w:rsid w:val="00645E2D"/>
    <w:rsid w:val="00645E8B"/>
    <w:rsid w:val="00646159"/>
    <w:rsid w:val="0064629D"/>
    <w:rsid w:val="006464F5"/>
    <w:rsid w:val="0064667B"/>
    <w:rsid w:val="006466FC"/>
    <w:rsid w:val="0064674C"/>
    <w:rsid w:val="00646752"/>
    <w:rsid w:val="0064680A"/>
    <w:rsid w:val="0064696E"/>
    <w:rsid w:val="0064698B"/>
    <w:rsid w:val="00646BBA"/>
    <w:rsid w:val="00646BCE"/>
    <w:rsid w:val="00646C38"/>
    <w:rsid w:val="00646C41"/>
    <w:rsid w:val="00646EB1"/>
    <w:rsid w:val="00646EBF"/>
    <w:rsid w:val="00647188"/>
    <w:rsid w:val="006473EB"/>
    <w:rsid w:val="0064762C"/>
    <w:rsid w:val="0064768A"/>
    <w:rsid w:val="0064793A"/>
    <w:rsid w:val="00647B08"/>
    <w:rsid w:val="00647DE9"/>
    <w:rsid w:val="00647E97"/>
    <w:rsid w:val="00650030"/>
    <w:rsid w:val="00650098"/>
    <w:rsid w:val="00650214"/>
    <w:rsid w:val="006502D7"/>
    <w:rsid w:val="006504A8"/>
    <w:rsid w:val="00650550"/>
    <w:rsid w:val="00650562"/>
    <w:rsid w:val="00650582"/>
    <w:rsid w:val="006506DE"/>
    <w:rsid w:val="00650847"/>
    <w:rsid w:val="006508EC"/>
    <w:rsid w:val="006509D1"/>
    <w:rsid w:val="00650BDB"/>
    <w:rsid w:val="00650C3A"/>
    <w:rsid w:val="00650D09"/>
    <w:rsid w:val="00650DEF"/>
    <w:rsid w:val="00650E0D"/>
    <w:rsid w:val="00650E36"/>
    <w:rsid w:val="00650F0F"/>
    <w:rsid w:val="00650F22"/>
    <w:rsid w:val="00650FF7"/>
    <w:rsid w:val="00651105"/>
    <w:rsid w:val="00651122"/>
    <w:rsid w:val="0065118F"/>
    <w:rsid w:val="0065122F"/>
    <w:rsid w:val="0065130F"/>
    <w:rsid w:val="006515BE"/>
    <w:rsid w:val="006515C7"/>
    <w:rsid w:val="0065188E"/>
    <w:rsid w:val="00651A22"/>
    <w:rsid w:val="00651AD9"/>
    <w:rsid w:val="00651D3C"/>
    <w:rsid w:val="0065205F"/>
    <w:rsid w:val="00652170"/>
    <w:rsid w:val="006522BE"/>
    <w:rsid w:val="00652482"/>
    <w:rsid w:val="00652612"/>
    <w:rsid w:val="0065269B"/>
    <w:rsid w:val="0065280D"/>
    <w:rsid w:val="006528FA"/>
    <w:rsid w:val="00652905"/>
    <w:rsid w:val="0065294F"/>
    <w:rsid w:val="00652A33"/>
    <w:rsid w:val="00652C73"/>
    <w:rsid w:val="00652CDB"/>
    <w:rsid w:val="00652D9E"/>
    <w:rsid w:val="00652DE5"/>
    <w:rsid w:val="00652E70"/>
    <w:rsid w:val="00652ECE"/>
    <w:rsid w:val="00652FB3"/>
    <w:rsid w:val="0065307D"/>
    <w:rsid w:val="00653303"/>
    <w:rsid w:val="006533F7"/>
    <w:rsid w:val="00653608"/>
    <w:rsid w:val="0065367E"/>
    <w:rsid w:val="006536C9"/>
    <w:rsid w:val="006538AA"/>
    <w:rsid w:val="00653A2F"/>
    <w:rsid w:val="00653A66"/>
    <w:rsid w:val="00653AF4"/>
    <w:rsid w:val="00653BB6"/>
    <w:rsid w:val="00653D41"/>
    <w:rsid w:val="00653ECF"/>
    <w:rsid w:val="00653F15"/>
    <w:rsid w:val="00654028"/>
    <w:rsid w:val="00654069"/>
    <w:rsid w:val="00654582"/>
    <w:rsid w:val="006545CB"/>
    <w:rsid w:val="00654696"/>
    <w:rsid w:val="006547F9"/>
    <w:rsid w:val="0065485E"/>
    <w:rsid w:val="00654C63"/>
    <w:rsid w:val="00654C67"/>
    <w:rsid w:val="00654D3E"/>
    <w:rsid w:val="00654DA6"/>
    <w:rsid w:val="0065505B"/>
    <w:rsid w:val="00655108"/>
    <w:rsid w:val="00655172"/>
    <w:rsid w:val="006551C5"/>
    <w:rsid w:val="006551EA"/>
    <w:rsid w:val="00655253"/>
    <w:rsid w:val="006552DD"/>
    <w:rsid w:val="00655409"/>
    <w:rsid w:val="00655425"/>
    <w:rsid w:val="006554A8"/>
    <w:rsid w:val="006558E1"/>
    <w:rsid w:val="00655C89"/>
    <w:rsid w:val="00655D61"/>
    <w:rsid w:val="00655E55"/>
    <w:rsid w:val="00655F27"/>
    <w:rsid w:val="00655F6B"/>
    <w:rsid w:val="00655F83"/>
    <w:rsid w:val="006560AA"/>
    <w:rsid w:val="00656131"/>
    <w:rsid w:val="0065616E"/>
    <w:rsid w:val="006561E9"/>
    <w:rsid w:val="006562B2"/>
    <w:rsid w:val="00656305"/>
    <w:rsid w:val="00656332"/>
    <w:rsid w:val="006563AC"/>
    <w:rsid w:val="006563BF"/>
    <w:rsid w:val="0065641D"/>
    <w:rsid w:val="00656568"/>
    <w:rsid w:val="00656629"/>
    <w:rsid w:val="00656724"/>
    <w:rsid w:val="006567F1"/>
    <w:rsid w:val="00656AC5"/>
    <w:rsid w:val="00656B34"/>
    <w:rsid w:val="00656B45"/>
    <w:rsid w:val="00656B6C"/>
    <w:rsid w:val="00656BF5"/>
    <w:rsid w:val="00656C2B"/>
    <w:rsid w:val="00656DA7"/>
    <w:rsid w:val="00656DA8"/>
    <w:rsid w:val="00656E9C"/>
    <w:rsid w:val="00657366"/>
    <w:rsid w:val="006573AE"/>
    <w:rsid w:val="00657406"/>
    <w:rsid w:val="0065742A"/>
    <w:rsid w:val="00657435"/>
    <w:rsid w:val="0065743D"/>
    <w:rsid w:val="00657649"/>
    <w:rsid w:val="0065766D"/>
    <w:rsid w:val="006576FB"/>
    <w:rsid w:val="006577E4"/>
    <w:rsid w:val="00657931"/>
    <w:rsid w:val="00657957"/>
    <w:rsid w:val="00657994"/>
    <w:rsid w:val="00657AC9"/>
    <w:rsid w:val="00657ADD"/>
    <w:rsid w:val="00657B13"/>
    <w:rsid w:val="00657C13"/>
    <w:rsid w:val="00657C63"/>
    <w:rsid w:val="00657C9C"/>
    <w:rsid w:val="00660055"/>
    <w:rsid w:val="006601EF"/>
    <w:rsid w:val="00660312"/>
    <w:rsid w:val="006603BA"/>
    <w:rsid w:val="00660495"/>
    <w:rsid w:val="006605DF"/>
    <w:rsid w:val="006605FB"/>
    <w:rsid w:val="00660657"/>
    <w:rsid w:val="006607AA"/>
    <w:rsid w:val="00660A3D"/>
    <w:rsid w:val="00660B5F"/>
    <w:rsid w:val="00660BBE"/>
    <w:rsid w:val="00660CB1"/>
    <w:rsid w:val="00660DA2"/>
    <w:rsid w:val="00660E25"/>
    <w:rsid w:val="00660F5F"/>
    <w:rsid w:val="00661130"/>
    <w:rsid w:val="00661197"/>
    <w:rsid w:val="006611F9"/>
    <w:rsid w:val="00661400"/>
    <w:rsid w:val="00661618"/>
    <w:rsid w:val="00661803"/>
    <w:rsid w:val="00661817"/>
    <w:rsid w:val="00661A84"/>
    <w:rsid w:val="00661B43"/>
    <w:rsid w:val="00661DDF"/>
    <w:rsid w:val="00661DE0"/>
    <w:rsid w:val="00661DF0"/>
    <w:rsid w:val="00661F4B"/>
    <w:rsid w:val="006620C7"/>
    <w:rsid w:val="006621DF"/>
    <w:rsid w:val="006621EA"/>
    <w:rsid w:val="006622E0"/>
    <w:rsid w:val="00662301"/>
    <w:rsid w:val="00662581"/>
    <w:rsid w:val="0066258A"/>
    <w:rsid w:val="006626B1"/>
    <w:rsid w:val="006629E8"/>
    <w:rsid w:val="006629F6"/>
    <w:rsid w:val="00662B69"/>
    <w:rsid w:val="00662C17"/>
    <w:rsid w:val="00662D88"/>
    <w:rsid w:val="00662E5E"/>
    <w:rsid w:val="00663096"/>
    <w:rsid w:val="006632FD"/>
    <w:rsid w:val="006634C1"/>
    <w:rsid w:val="006634F6"/>
    <w:rsid w:val="00663552"/>
    <w:rsid w:val="006635DF"/>
    <w:rsid w:val="00663606"/>
    <w:rsid w:val="006637CB"/>
    <w:rsid w:val="0066388B"/>
    <w:rsid w:val="00663942"/>
    <w:rsid w:val="00663A1C"/>
    <w:rsid w:val="00663C68"/>
    <w:rsid w:val="00663FAE"/>
    <w:rsid w:val="00664191"/>
    <w:rsid w:val="00664195"/>
    <w:rsid w:val="0066436D"/>
    <w:rsid w:val="00664377"/>
    <w:rsid w:val="006643E7"/>
    <w:rsid w:val="0066442B"/>
    <w:rsid w:val="006644C1"/>
    <w:rsid w:val="00664580"/>
    <w:rsid w:val="00664AA0"/>
    <w:rsid w:val="00664D0D"/>
    <w:rsid w:val="00664D28"/>
    <w:rsid w:val="00664D3F"/>
    <w:rsid w:val="00664E75"/>
    <w:rsid w:val="00664ECC"/>
    <w:rsid w:val="00664F1B"/>
    <w:rsid w:val="00664F6E"/>
    <w:rsid w:val="00665257"/>
    <w:rsid w:val="006654D0"/>
    <w:rsid w:val="00665674"/>
    <w:rsid w:val="0066574F"/>
    <w:rsid w:val="00665762"/>
    <w:rsid w:val="006657F1"/>
    <w:rsid w:val="00665876"/>
    <w:rsid w:val="00665926"/>
    <w:rsid w:val="006659FF"/>
    <w:rsid w:val="00665ADB"/>
    <w:rsid w:val="00665B33"/>
    <w:rsid w:val="00665EA2"/>
    <w:rsid w:val="00665FA1"/>
    <w:rsid w:val="00666071"/>
    <w:rsid w:val="00666217"/>
    <w:rsid w:val="006662B7"/>
    <w:rsid w:val="006662D6"/>
    <w:rsid w:val="006662E1"/>
    <w:rsid w:val="006664D8"/>
    <w:rsid w:val="006665A9"/>
    <w:rsid w:val="006665C7"/>
    <w:rsid w:val="006666AF"/>
    <w:rsid w:val="00666756"/>
    <w:rsid w:val="00666777"/>
    <w:rsid w:val="006667DD"/>
    <w:rsid w:val="00666885"/>
    <w:rsid w:val="006668BD"/>
    <w:rsid w:val="00666A3B"/>
    <w:rsid w:val="00666B87"/>
    <w:rsid w:val="00666CE4"/>
    <w:rsid w:val="00666D1F"/>
    <w:rsid w:val="00666EAC"/>
    <w:rsid w:val="0066705E"/>
    <w:rsid w:val="00667188"/>
    <w:rsid w:val="00667330"/>
    <w:rsid w:val="0066747A"/>
    <w:rsid w:val="006674EF"/>
    <w:rsid w:val="00667698"/>
    <w:rsid w:val="00667898"/>
    <w:rsid w:val="006679E2"/>
    <w:rsid w:val="00667D0B"/>
    <w:rsid w:val="00667E3A"/>
    <w:rsid w:val="00667EA8"/>
    <w:rsid w:val="00667EF4"/>
    <w:rsid w:val="006701AC"/>
    <w:rsid w:val="006701F7"/>
    <w:rsid w:val="00670225"/>
    <w:rsid w:val="00670455"/>
    <w:rsid w:val="006705BE"/>
    <w:rsid w:val="00670770"/>
    <w:rsid w:val="00670865"/>
    <w:rsid w:val="00670981"/>
    <w:rsid w:val="00670994"/>
    <w:rsid w:val="00670A10"/>
    <w:rsid w:val="00670A57"/>
    <w:rsid w:val="00670B9C"/>
    <w:rsid w:val="00670BCD"/>
    <w:rsid w:val="00670C32"/>
    <w:rsid w:val="00670C93"/>
    <w:rsid w:val="00670E6F"/>
    <w:rsid w:val="00670F3A"/>
    <w:rsid w:val="0067113E"/>
    <w:rsid w:val="006711A2"/>
    <w:rsid w:val="006712B9"/>
    <w:rsid w:val="00671437"/>
    <w:rsid w:val="0067146E"/>
    <w:rsid w:val="006714BC"/>
    <w:rsid w:val="006714F8"/>
    <w:rsid w:val="0067174C"/>
    <w:rsid w:val="0067178E"/>
    <w:rsid w:val="006717A4"/>
    <w:rsid w:val="00671AA3"/>
    <w:rsid w:val="00671CEE"/>
    <w:rsid w:val="00671D90"/>
    <w:rsid w:val="00671E59"/>
    <w:rsid w:val="00671F01"/>
    <w:rsid w:val="00671FC5"/>
    <w:rsid w:val="00672026"/>
    <w:rsid w:val="00672090"/>
    <w:rsid w:val="0067210E"/>
    <w:rsid w:val="0067227C"/>
    <w:rsid w:val="006726A7"/>
    <w:rsid w:val="00672C6D"/>
    <w:rsid w:val="00672D10"/>
    <w:rsid w:val="00672DD3"/>
    <w:rsid w:val="00672DF9"/>
    <w:rsid w:val="00672F1A"/>
    <w:rsid w:val="0067336C"/>
    <w:rsid w:val="0067368D"/>
    <w:rsid w:val="00673792"/>
    <w:rsid w:val="006737A7"/>
    <w:rsid w:val="00673A97"/>
    <w:rsid w:val="00673ACF"/>
    <w:rsid w:val="00673AD1"/>
    <w:rsid w:val="00673C6C"/>
    <w:rsid w:val="00673F75"/>
    <w:rsid w:val="00673FD7"/>
    <w:rsid w:val="006740D0"/>
    <w:rsid w:val="006740F0"/>
    <w:rsid w:val="00674142"/>
    <w:rsid w:val="006741BB"/>
    <w:rsid w:val="006741EE"/>
    <w:rsid w:val="0067447E"/>
    <w:rsid w:val="006745B6"/>
    <w:rsid w:val="00674709"/>
    <w:rsid w:val="00674791"/>
    <w:rsid w:val="00674972"/>
    <w:rsid w:val="00674A2A"/>
    <w:rsid w:val="00674C4A"/>
    <w:rsid w:val="00674DBE"/>
    <w:rsid w:val="00674DE6"/>
    <w:rsid w:val="00674EC6"/>
    <w:rsid w:val="006752C8"/>
    <w:rsid w:val="006756A1"/>
    <w:rsid w:val="006756AB"/>
    <w:rsid w:val="006756C0"/>
    <w:rsid w:val="006757D3"/>
    <w:rsid w:val="00675826"/>
    <w:rsid w:val="00675975"/>
    <w:rsid w:val="00675A09"/>
    <w:rsid w:val="00675A65"/>
    <w:rsid w:val="00675BEB"/>
    <w:rsid w:val="00675E57"/>
    <w:rsid w:val="00675F18"/>
    <w:rsid w:val="00675F85"/>
    <w:rsid w:val="00675FBD"/>
    <w:rsid w:val="0067602E"/>
    <w:rsid w:val="0067614E"/>
    <w:rsid w:val="006761F3"/>
    <w:rsid w:val="00676224"/>
    <w:rsid w:val="00676314"/>
    <w:rsid w:val="0067664C"/>
    <w:rsid w:val="00676782"/>
    <w:rsid w:val="006769CA"/>
    <w:rsid w:val="00676AB7"/>
    <w:rsid w:val="00676B76"/>
    <w:rsid w:val="00676CF7"/>
    <w:rsid w:val="00676E14"/>
    <w:rsid w:val="00676ECB"/>
    <w:rsid w:val="00677155"/>
    <w:rsid w:val="006772D4"/>
    <w:rsid w:val="00677641"/>
    <w:rsid w:val="006776B2"/>
    <w:rsid w:val="00677853"/>
    <w:rsid w:val="0067785B"/>
    <w:rsid w:val="0067787B"/>
    <w:rsid w:val="00677F0D"/>
    <w:rsid w:val="00677F6D"/>
    <w:rsid w:val="00677FA3"/>
    <w:rsid w:val="0068007E"/>
    <w:rsid w:val="0068031C"/>
    <w:rsid w:val="006805DE"/>
    <w:rsid w:val="006805FE"/>
    <w:rsid w:val="006806D6"/>
    <w:rsid w:val="006807FB"/>
    <w:rsid w:val="0068080D"/>
    <w:rsid w:val="0068086D"/>
    <w:rsid w:val="00680A91"/>
    <w:rsid w:val="00680B52"/>
    <w:rsid w:val="00680C41"/>
    <w:rsid w:val="00680D17"/>
    <w:rsid w:val="00680E0F"/>
    <w:rsid w:val="00680E95"/>
    <w:rsid w:val="00680E98"/>
    <w:rsid w:val="00680F06"/>
    <w:rsid w:val="00680F96"/>
    <w:rsid w:val="0068108F"/>
    <w:rsid w:val="00681187"/>
    <w:rsid w:val="00681255"/>
    <w:rsid w:val="0068135A"/>
    <w:rsid w:val="0068135F"/>
    <w:rsid w:val="00681385"/>
    <w:rsid w:val="0068140C"/>
    <w:rsid w:val="00681520"/>
    <w:rsid w:val="00681553"/>
    <w:rsid w:val="006815D7"/>
    <w:rsid w:val="0068162C"/>
    <w:rsid w:val="0068176E"/>
    <w:rsid w:val="00681851"/>
    <w:rsid w:val="0068188A"/>
    <w:rsid w:val="00681A45"/>
    <w:rsid w:val="00681AB4"/>
    <w:rsid w:val="00681BF3"/>
    <w:rsid w:val="00681C1D"/>
    <w:rsid w:val="00681DB6"/>
    <w:rsid w:val="00681F1F"/>
    <w:rsid w:val="0068205B"/>
    <w:rsid w:val="00682128"/>
    <w:rsid w:val="006822AC"/>
    <w:rsid w:val="006825D5"/>
    <w:rsid w:val="006826B3"/>
    <w:rsid w:val="00682969"/>
    <w:rsid w:val="006829FA"/>
    <w:rsid w:val="00682C39"/>
    <w:rsid w:val="00682E54"/>
    <w:rsid w:val="00682EF7"/>
    <w:rsid w:val="00683000"/>
    <w:rsid w:val="006832CB"/>
    <w:rsid w:val="0068344E"/>
    <w:rsid w:val="006839A1"/>
    <w:rsid w:val="00683A06"/>
    <w:rsid w:val="00683A88"/>
    <w:rsid w:val="00683AB6"/>
    <w:rsid w:val="00683B07"/>
    <w:rsid w:val="00683B30"/>
    <w:rsid w:val="00683B3E"/>
    <w:rsid w:val="00683BF7"/>
    <w:rsid w:val="00683BFD"/>
    <w:rsid w:val="00683D64"/>
    <w:rsid w:val="00683DEE"/>
    <w:rsid w:val="00683E61"/>
    <w:rsid w:val="00683E71"/>
    <w:rsid w:val="00683FC4"/>
    <w:rsid w:val="00683FE2"/>
    <w:rsid w:val="00683FF7"/>
    <w:rsid w:val="00684076"/>
    <w:rsid w:val="00684105"/>
    <w:rsid w:val="0068414F"/>
    <w:rsid w:val="00684288"/>
    <w:rsid w:val="006845AF"/>
    <w:rsid w:val="006845DF"/>
    <w:rsid w:val="00684623"/>
    <w:rsid w:val="006846D7"/>
    <w:rsid w:val="00684770"/>
    <w:rsid w:val="00684BBF"/>
    <w:rsid w:val="00684DC4"/>
    <w:rsid w:val="00684F84"/>
    <w:rsid w:val="0068504A"/>
    <w:rsid w:val="0068508E"/>
    <w:rsid w:val="006851A2"/>
    <w:rsid w:val="006852DE"/>
    <w:rsid w:val="006855AB"/>
    <w:rsid w:val="006855BB"/>
    <w:rsid w:val="006855C6"/>
    <w:rsid w:val="00685646"/>
    <w:rsid w:val="006857AB"/>
    <w:rsid w:val="006857FC"/>
    <w:rsid w:val="006858B0"/>
    <w:rsid w:val="0068599B"/>
    <w:rsid w:val="00685D0C"/>
    <w:rsid w:val="00685DD1"/>
    <w:rsid w:val="00685E34"/>
    <w:rsid w:val="00685F29"/>
    <w:rsid w:val="00685F32"/>
    <w:rsid w:val="00685F8A"/>
    <w:rsid w:val="006861C8"/>
    <w:rsid w:val="0068620F"/>
    <w:rsid w:val="0068624C"/>
    <w:rsid w:val="006862B5"/>
    <w:rsid w:val="00686353"/>
    <w:rsid w:val="0068639B"/>
    <w:rsid w:val="0068673F"/>
    <w:rsid w:val="006868D9"/>
    <w:rsid w:val="006869A2"/>
    <w:rsid w:val="00686AD5"/>
    <w:rsid w:val="00686B13"/>
    <w:rsid w:val="00686F78"/>
    <w:rsid w:val="006870FC"/>
    <w:rsid w:val="00687226"/>
    <w:rsid w:val="00687423"/>
    <w:rsid w:val="00687475"/>
    <w:rsid w:val="00687523"/>
    <w:rsid w:val="006875A7"/>
    <w:rsid w:val="00687A1B"/>
    <w:rsid w:val="00687C24"/>
    <w:rsid w:val="00687C9B"/>
    <w:rsid w:val="00687CC8"/>
    <w:rsid w:val="00687E43"/>
    <w:rsid w:val="00687FE8"/>
    <w:rsid w:val="0069024C"/>
    <w:rsid w:val="00690367"/>
    <w:rsid w:val="0069038F"/>
    <w:rsid w:val="00690478"/>
    <w:rsid w:val="00690493"/>
    <w:rsid w:val="0069054E"/>
    <w:rsid w:val="00690745"/>
    <w:rsid w:val="006908AC"/>
    <w:rsid w:val="00690C22"/>
    <w:rsid w:val="00690C6E"/>
    <w:rsid w:val="00690CE3"/>
    <w:rsid w:val="00690D58"/>
    <w:rsid w:val="00690D8A"/>
    <w:rsid w:val="00690FAC"/>
    <w:rsid w:val="006910BF"/>
    <w:rsid w:val="006911CF"/>
    <w:rsid w:val="0069134E"/>
    <w:rsid w:val="00691376"/>
    <w:rsid w:val="0069141A"/>
    <w:rsid w:val="00691428"/>
    <w:rsid w:val="006914E1"/>
    <w:rsid w:val="0069160E"/>
    <w:rsid w:val="00691749"/>
    <w:rsid w:val="006917A0"/>
    <w:rsid w:val="00691886"/>
    <w:rsid w:val="00691B32"/>
    <w:rsid w:val="00691C1D"/>
    <w:rsid w:val="00691CA3"/>
    <w:rsid w:val="00691CFB"/>
    <w:rsid w:val="00691EA9"/>
    <w:rsid w:val="00691F5E"/>
    <w:rsid w:val="00691F8C"/>
    <w:rsid w:val="00692072"/>
    <w:rsid w:val="006921F4"/>
    <w:rsid w:val="0069229A"/>
    <w:rsid w:val="006922A1"/>
    <w:rsid w:val="0069233A"/>
    <w:rsid w:val="00692373"/>
    <w:rsid w:val="00692684"/>
    <w:rsid w:val="0069268F"/>
    <w:rsid w:val="00692BAF"/>
    <w:rsid w:val="00692E2A"/>
    <w:rsid w:val="0069308C"/>
    <w:rsid w:val="00693280"/>
    <w:rsid w:val="0069329E"/>
    <w:rsid w:val="00693308"/>
    <w:rsid w:val="00693658"/>
    <w:rsid w:val="00693898"/>
    <w:rsid w:val="006938E1"/>
    <w:rsid w:val="006938ED"/>
    <w:rsid w:val="00693909"/>
    <w:rsid w:val="00693AF1"/>
    <w:rsid w:val="00693B3E"/>
    <w:rsid w:val="00693C37"/>
    <w:rsid w:val="00693C98"/>
    <w:rsid w:val="00693CBC"/>
    <w:rsid w:val="00693D98"/>
    <w:rsid w:val="00693DB0"/>
    <w:rsid w:val="00693E08"/>
    <w:rsid w:val="00693E19"/>
    <w:rsid w:val="00693F2C"/>
    <w:rsid w:val="00693FA3"/>
    <w:rsid w:val="0069403D"/>
    <w:rsid w:val="006944EF"/>
    <w:rsid w:val="0069469E"/>
    <w:rsid w:val="0069470B"/>
    <w:rsid w:val="00694980"/>
    <w:rsid w:val="00694CAE"/>
    <w:rsid w:val="00694D4B"/>
    <w:rsid w:val="00694DFE"/>
    <w:rsid w:val="00694EAE"/>
    <w:rsid w:val="006950E4"/>
    <w:rsid w:val="0069526A"/>
    <w:rsid w:val="0069535E"/>
    <w:rsid w:val="00695389"/>
    <w:rsid w:val="006953F6"/>
    <w:rsid w:val="006954D6"/>
    <w:rsid w:val="0069569C"/>
    <w:rsid w:val="00695715"/>
    <w:rsid w:val="0069571C"/>
    <w:rsid w:val="006957C9"/>
    <w:rsid w:val="00695802"/>
    <w:rsid w:val="00695813"/>
    <w:rsid w:val="006958A1"/>
    <w:rsid w:val="00695A1E"/>
    <w:rsid w:val="00695BEF"/>
    <w:rsid w:val="00695D42"/>
    <w:rsid w:val="00695FC7"/>
    <w:rsid w:val="0069603A"/>
    <w:rsid w:val="00696291"/>
    <w:rsid w:val="00696307"/>
    <w:rsid w:val="006966B1"/>
    <w:rsid w:val="0069675A"/>
    <w:rsid w:val="00696805"/>
    <w:rsid w:val="00696988"/>
    <w:rsid w:val="00696991"/>
    <w:rsid w:val="006969DD"/>
    <w:rsid w:val="00696A1F"/>
    <w:rsid w:val="00697117"/>
    <w:rsid w:val="00697154"/>
    <w:rsid w:val="0069717D"/>
    <w:rsid w:val="006971A8"/>
    <w:rsid w:val="006971FF"/>
    <w:rsid w:val="0069743D"/>
    <w:rsid w:val="0069753F"/>
    <w:rsid w:val="006975B6"/>
    <w:rsid w:val="00697887"/>
    <w:rsid w:val="00697C14"/>
    <w:rsid w:val="00697D2B"/>
    <w:rsid w:val="00697D51"/>
    <w:rsid w:val="00697D52"/>
    <w:rsid w:val="00697DD7"/>
    <w:rsid w:val="006A0023"/>
    <w:rsid w:val="006A0076"/>
    <w:rsid w:val="006A02CB"/>
    <w:rsid w:val="006A02F9"/>
    <w:rsid w:val="006A035A"/>
    <w:rsid w:val="006A03A9"/>
    <w:rsid w:val="006A03AD"/>
    <w:rsid w:val="006A041E"/>
    <w:rsid w:val="006A0465"/>
    <w:rsid w:val="006A067B"/>
    <w:rsid w:val="006A06A7"/>
    <w:rsid w:val="006A0782"/>
    <w:rsid w:val="006A07D5"/>
    <w:rsid w:val="006A0802"/>
    <w:rsid w:val="006A0A8E"/>
    <w:rsid w:val="006A0A9A"/>
    <w:rsid w:val="006A0D57"/>
    <w:rsid w:val="006A0EA9"/>
    <w:rsid w:val="006A0EFD"/>
    <w:rsid w:val="006A1043"/>
    <w:rsid w:val="006A1056"/>
    <w:rsid w:val="006A10EC"/>
    <w:rsid w:val="006A1369"/>
    <w:rsid w:val="006A136C"/>
    <w:rsid w:val="006A198F"/>
    <w:rsid w:val="006A19B6"/>
    <w:rsid w:val="006A1BC4"/>
    <w:rsid w:val="006A1BD5"/>
    <w:rsid w:val="006A1EA7"/>
    <w:rsid w:val="006A1F0F"/>
    <w:rsid w:val="006A202E"/>
    <w:rsid w:val="006A2153"/>
    <w:rsid w:val="006A21C4"/>
    <w:rsid w:val="006A21CA"/>
    <w:rsid w:val="006A22D2"/>
    <w:rsid w:val="006A2320"/>
    <w:rsid w:val="006A248F"/>
    <w:rsid w:val="006A24CF"/>
    <w:rsid w:val="006A254E"/>
    <w:rsid w:val="006A2716"/>
    <w:rsid w:val="006A2733"/>
    <w:rsid w:val="006A2747"/>
    <w:rsid w:val="006A28AC"/>
    <w:rsid w:val="006A2AD2"/>
    <w:rsid w:val="006A2C27"/>
    <w:rsid w:val="006A2C7B"/>
    <w:rsid w:val="006A2DE4"/>
    <w:rsid w:val="006A2ECA"/>
    <w:rsid w:val="006A2ED6"/>
    <w:rsid w:val="006A2F69"/>
    <w:rsid w:val="006A2F77"/>
    <w:rsid w:val="006A2FE3"/>
    <w:rsid w:val="006A3162"/>
    <w:rsid w:val="006A3316"/>
    <w:rsid w:val="006A3336"/>
    <w:rsid w:val="006A335C"/>
    <w:rsid w:val="006A340C"/>
    <w:rsid w:val="006A3440"/>
    <w:rsid w:val="006A34AA"/>
    <w:rsid w:val="006A3590"/>
    <w:rsid w:val="006A35B8"/>
    <w:rsid w:val="006A369D"/>
    <w:rsid w:val="006A3778"/>
    <w:rsid w:val="006A3A16"/>
    <w:rsid w:val="006A3B0A"/>
    <w:rsid w:val="006A3C4B"/>
    <w:rsid w:val="006A3C70"/>
    <w:rsid w:val="006A3C9C"/>
    <w:rsid w:val="006A3D09"/>
    <w:rsid w:val="006A3F34"/>
    <w:rsid w:val="006A3F40"/>
    <w:rsid w:val="006A401F"/>
    <w:rsid w:val="006A41D4"/>
    <w:rsid w:val="006A42EA"/>
    <w:rsid w:val="006A4509"/>
    <w:rsid w:val="006A453F"/>
    <w:rsid w:val="006A4724"/>
    <w:rsid w:val="006A477F"/>
    <w:rsid w:val="006A48D6"/>
    <w:rsid w:val="006A4925"/>
    <w:rsid w:val="006A4AE6"/>
    <w:rsid w:val="006A4CBB"/>
    <w:rsid w:val="006A4FAD"/>
    <w:rsid w:val="006A5002"/>
    <w:rsid w:val="006A5086"/>
    <w:rsid w:val="006A51FF"/>
    <w:rsid w:val="006A533F"/>
    <w:rsid w:val="006A54A4"/>
    <w:rsid w:val="006A54B1"/>
    <w:rsid w:val="006A562C"/>
    <w:rsid w:val="006A56E8"/>
    <w:rsid w:val="006A583E"/>
    <w:rsid w:val="006A5975"/>
    <w:rsid w:val="006A5AAF"/>
    <w:rsid w:val="006A5C97"/>
    <w:rsid w:val="006A5CB4"/>
    <w:rsid w:val="006A6047"/>
    <w:rsid w:val="006A6123"/>
    <w:rsid w:val="006A613C"/>
    <w:rsid w:val="006A61E5"/>
    <w:rsid w:val="006A61F0"/>
    <w:rsid w:val="006A62A9"/>
    <w:rsid w:val="006A6433"/>
    <w:rsid w:val="006A6451"/>
    <w:rsid w:val="006A66CD"/>
    <w:rsid w:val="006A68A9"/>
    <w:rsid w:val="006A68DC"/>
    <w:rsid w:val="006A68FA"/>
    <w:rsid w:val="006A6A09"/>
    <w:rsid w:val="006A6A2B"/>
    <w:rsid w:val="006A6D6F"/>
    <w:rsid w:val="006A6E3B"/>
    <w:rsid w:val="006A6EAD"/>
    <w:rsid w:val="006A6FBE"/>
    <w:rsid w:val="006A711C"/>
    <w:rsid w:val="006A7130"/>
    <w:rsid w:val="006A7427"/>
    <w:rsid w:val="006A7433"/>
    <w:rsid w:val="006A74E1"/>
    <w:rsid w:val="006A7540"/>
    <w:rsid w:val="006A7594"/>
    <w:rsid w:val="006A768C"/>
    <w:rsid w:val="006A7747"/>
    <w:rsid w:val="006A7748"/>
    <w:rsid w:val="006A7787"/>
    <w:rsid w:val="006A77B2"/>
    <w:rsid w:val="006A780D"/>
    <w:rsid w:val="006A7879"/>
    <w:rsid w:val="006A790C"/>
    <w:rsid w:val="006A7A05"/>
    <w:rsid w:val="006A7AD2"/>
    <w:rsid w:val="006A7AD9"/>
    <w:rsid w:val="006A7B34"/>
    <w:rsid w:val="006A7BD1"/>
    <w:rsid w:val="006A7D10"/>
    <w:rsid w:val="006A7D69"/>
    <w:rsid w:val="006A7DAA"/>
    <w:rsid w:val="006A7F37"/>
    <w:rsid w:val="006B055B"/>
    <w:rsid w:val="006B05C5"/>
    <w:rsid w:val="006B065C"/>
    <w:rsid w:val="006B07AA"/>
    <w:rsid w:val="006B09C2"/>
    <w:rsid w:val="006B09F1"/>
    <w:rsid w:val="006B0A2E"/>
    <w:rsid w:val="006B0BFA"/>
    <w:rsid w:val="006B0C15"/>
    <w:rsid w:val="006B0C65"/>
    <w:rsid w:val="006B0C7E"/>
    <w:rsid w:val="006B0CC7"/>
    <w:rsid w:val="006B0E63"/>
    <w:rsid w:val="006B0F05"/>
    <w:rsid w:val="006B1031"/>
    <w:rsid w:val="006B109C"/>
    <w:rsid w:val="006B10EF"/>
    <w:rsid w:val="006B1277"/>
    <w:rsid w:val="006B1310"/>
    <w:rsid w:val="006B13DF"/>
    <w:rsid w:val="006B1401"/>
    <w:rsid w:val="006B14C4"/>
    <w:rsid w:val="006B15B3"/>
    <w:rsid w:val="006B178C"/>
    <w:rsid w:val="006B17C5"/>
    <w:rsid w:val="006B17CB"/>
    <w:rsid w:val="006B1885"/>
    <w:rsid w:val="006B1899"/>
    <w:rsid w:val="006B1B64"/>
    <w:rsid w:val="006B1C7B"/>
    <w:rsid w:val="006B1CAA"/>
    <w:rsid w:val="006B1D8B"/>
    <w:rsid w:val="006B1DEC"/>
    <w:rsid w:val="006B22BE"/>
    <w:rsid w:val="006B232C"/>
    <w:rsid w:val="006B23C7"/>
    <w:rsid w:val="006B2436"/>
    <w:rsid w:val="006B24C9"/>
    <w:rsid w:val="006B2527"/>
    <w:rsid w:val="006B2641"/>
    <w:rsid w:val="006B2749"/>
    <w:rsid w:val="006B28C8"/>
    <w:rsid w:val="006B2B9F"/>
    <w:rsid w:val="006B2CDF"/>
    <w:rsid w:val="006B2D41"/>
    <w:rsid w:val="006B2DAF"/>
    <w:rsid w:val="006B2DD7"/>
    <w:rsid w:val="006B2EBE"/>
    <w:rsid w:val="006B2EEC"/>
    <w:rsid w:val="006B315D"/>
    <w:rsid w:val="006B32A9"/>
    <w:rsid w:val="006B33E7"/>
    <w:rsid w:val="006B3420"/>
    <w:rsid w:val="006B348D"/>
    <w:rsid w:val="006B34FE"/>
    <w:rsid w:val="006B3A28"/>
    <w:rsid w:val="006B3A7C"/>
    <w:rsid w:val="006B3B8F"/>
    <w:rsid w:val="006B3B95"/>
    <w:rsid w:val="006B3C2B"/>
    <w:rsid w:val="006B3CCA"/>
    <w:rsid w:val="006B3DAA"/>
    <w:rsid w:val="006B3DE8"/>
    <w:rsid w:val="006B3E58"/>
    <w:rsid w:val="006B3E83"/>
    <w:rsid w:val="006B3E9B"/>
    <w:rsid w:val="006B3ED2"/>
    <w:rsid w:val="006B4042"/>
    <w:rsid w:val="006B40F9"/>
    <w:rsid w:val="006B423E"/>
    <w:rsid w:val="006B43EE"/>
    <w:rsid w:val="006B4585"/>
    <w:rsid w:val="006B471F"/>
    <w:rsid w:val="006B486C"/>
    <w:rsid w:val="006B487C"/>
    <w:rsid w:val="006B4984"/>
    <w:rsid w:val="006B4A2C"/>
    <w:rsid w:val="006B4E1C"/>
    <w:rsid w:val="006B505F"/>
    <w:rsid w:val="006B5180"/>
    <w:rsid w:val="006B520B"/>
    <w:rsid w:val="006B5350"/>
    <w:rsid w:val="006B53B7"/>
    <w:rsid w:val="006B5641"/>
    <w:rsid w:val="006B57D7"/>
    <w:rsid w:val="006B5B3A"/>
    <w:rsid w:val="006B5C1B"/>
    <w:rsid w:val="006B5D2E"/>
    <w:rsid w:val="006B5FE5"/>
    <w:rsid w:val="006B60C5"/>
    <w:rsid w:val="006B61E4"/>
    <w:rsid w:val="006B6212"/>
    <w:rsid w:val="006B665A"/>
    <w:rsid w:val="006B688C"/>
    <w:rsid w:val="006B690A"/>
    <w:rsid w:val="006B6A0E"/>
    <w:rsid w:val="006B6A1F"/>
    <w:rsid w:val="006B6B96"/>
    <w:rsid w:val="006B6C31"/>
    <w:rsid w:val="006B6C67"/>
    <w:rsid w:val="006B6D76"/>
    <w:rsid w:val="006B6DDE"/>
    <w:rsid w:val="006B6DDF"/>
    <w:rsid w:val="006B6F71"/>
    <w:rsid w:val="006B7000"/>
    <w:rsid w:val="006B7138"/>
    <w:rsid w:val="006B71B1"/>
    <w:rsid w:val="006B7216"/>
    <w:rsid w:val="006B7263"/>
    <w:rsid w:val="006B744A"/>
    <w:rsid w:val="006B7485"/>
    <w:rsid w:val="006B75E5"/>
    <w:rsid w:val="006B7665"/>
    <w:rsid w:val="006B7718"/>
    <w:rsid w:val="006B7768"/>
    <w:rsid w:val="006B7770"/>
    <w:rsid w:val="006B7893"/>
    <w:rsid w:val="006B792C"/>
    <w:rsid w:val="006B7938"/>
    <w:rsid w:val="006B79EE"/>
    <w:rsid w:val="006B7BB6"/>
    <w:rsid w:val="006B7C48"/>
    <w:rsid w:val="006B7C82"/>
    <w:rsid w:val="006B7CBF"/>
    <w:rsid w:val="006B7EB7"/>
    <w:rsid w:val="006B7FEF"/>
    <w:rsid w:val="006C0114"/>
    <w:rsid w:val="006C0160"/>
    <w:rsid w:val="006C0176"/>
    <w:rsid w:val="006C01C7"/>
    <w:rsid w:val="006C01E6"/>
    <w:rsid w:val="006C0296"/>
    <w:rsid w:val="006C0427"/>
    <w:rsid w:val="006C0458"/>
    <w:rsid w:val="006C052A"/>
    <w:rsid w:val="006C05FA"/>
    <w:rsid w:val="006C068D"/>
    <w:rsid w:val="006C074B"/>
    <w:rsid w:val="006C076B"/>
    <w:rsid w:val="006C0C33"/>
    <w:rsid w:val="006C0CC2"/>
    <w:rsid w:val="006C0D2F"/>
    <w:rsid w:val="006C0E7E"/>
    <w:rsid w:val="006C0FCB"/>
    <w:rsid w:val="006C11D5"/>
    <w:rsid w:val="006C11FE"/>
    <w:rsid w:val="006C12E1"/>
    <w:rsid w:val="006C132D"/>
    <w:rsid w:val="006C1357"/>
    <w:rsid w:val="006C13BD"/>
    <w:rsid w:val="006C1543"/>
    <w:rsid w:val="006C15BE"/>
    <w:rsid w:val="006C15EB"/>
    <w:rsid w:val="006C1958"/>
    <w:rsid w:val="006C1B1A"/>
    <w:rsid w:val="006C1B45"/>
    <w:rsid w:val="006C1BD5"/>
    <w:rsid w:val="006C1C25"/>
    <w:rsid w:val="006C1C4D"/>
    <w:rsid w:val="006C1F14"/>
    <w:rsid w:val="006C1FA4"/>
    <w:rsid w:val="006C2007"/>
    <w:rsid w:val="006C203F"/>
    <w:rsid w:val="006C20DA"/>
    <w:rsid w:val="006C21C0"/>
    <w:rsid w:val="006C2331"/>
    <w:rsid w:val="006C239D"/>
    <w:rsid w:val="006C23AD"/>
    <w:rsid w:val="006C2535"/>
    <w:rsid w:val="006C2599"/>
    <w:rsid w:val="006C25CA"/>
    <w:rsid w:val="006C263B"/>
    <w:rsid w:val="006C2649"/>
    <w:rsid w:val="006C26AA"/>
    <w:rsid w:val="006C270F"/>
    <w:rsid w:val="006C2868"/>
    <w:rsid w:val="006C289B"/>
    <w:rsid w:val="006C28FC"/>
    <w:rsid w:val="006C2977"/>
    <w:rsid w:val="006C29B9"/>
    <w:rsid w:val="006C2B17"/>
    <w:rsid w:val="006C2E7E"/>
    <w:rsid w:val="006C2FA0"/>
    <w:rsid w:val="006C3107"/>
    <w:rsid w:val="006C32DA"/>
    <w:rsid w:val="006C32E8"/>
    <w:rsid w:val="006C330F"/>
    <w:rsid w:val="006C343D"/>
    <w:rsid w:val="006C3454"/>
    <w:rsid w:val="006C34A1"/>
    <w:rsid w:val="006C351C"/>
    <w:rsid w:val="006C363C"/>
    <w:rsid w:val="006C3697"/>
    <w:rsid w:val="006C371A"/>
    <w:rsid w:val="006C3875"/>
    <w:rsid w:val="006C3908"/>
    <w:rsid w:val="006C3B95"/>
    <w:rsid w:val="006C3BDE"/>
    <w:rsid w:val="006C3C41"/>
    <w:rsid w:val="006C3CA0"/>
    <w:rsid w:val="006C3DE7"/>
    <w:rsid w:val="006C3F49"/>
    <w:rsid w:val="006C4255"/>
    <w:rsid w:val="006C488B"/>
    <w:rsid w:val="006C4A14"/>
    <w:rsid w:val="006C4A9A"/>
    <w:rsid w:val="006C4AF3"/>
    <w:rsid w:val="006C4B85"/>
    <w:rsid w:val="006C4CA6"/>
    <w:rsid w:val="006C4E8D"/>
    <w:rsid w:val="006C51E7"/>
    <w:rsid w:val="006C5271"/>
    <w:rsid w:val="006C52E6"/>
    <w:rsid w:val="006C550B"/>
    <w:rsid w:val="006C55D2"/>
    <w:rsid w:val="006C5733"/>
    <w:rsid w:val="006C57BF"/>
    <w:rsid w:val="006C580E"/>
    <w:rsid w:val="006C5854"/>
    <w:rsid w:val="006C5891"/>
    <w:rsid w:val="006C5898"/>
    <w:rsid w:val="006C593F"/>
    <w:rsid w:val="006C59E9"/>
    <w:rsid w:val="006C5A33"/>
    <w:rsid w:val="006C5C57"/>
    <w:rsid w:val="006C5CC9"/>
    <w:rsid w:val="006C5DF7"/>
    <w:rsid w:val="006C5EAB"/>
    <w:rsid w:val="006C5F4F"/>
    <w:rsid w:val="006C5FCA"/>
    <w:rsid w:val="006C604C"/>
    <w:rsid w:val="006C626E"/>
    <w:rsid w:val="006C6318"/>
    <w:rsid w:val="006C636B"/>
    <w:rsid w:val="006C6E0E"/>
    <w:rsid w:val="006C6E25"/>
    <w:rsid w:val="006C710D"/>
    <w:rsid w:val="006C715E"/>
    <w:rsid w:val="006C7179"/>
    <w:rsid w:val="006C72F0"/>
    <w:rsid w:val="006C7428"/>
    <w:rsid w:val="006C7508"/>
    <w:rsid w:val="006C75D2"/>
    <w:rsid w:val="006C7643"/>
    <w:rsid w:val="006C7715"/>
    <w:rsid w:val="006C7815"/>
    <w:rsid w:val="006C7C3D"/>
    <w:rsid w:val="006C7CAD"/>
    <w:rsid w:val="006C7D07"/>
    <w:rsid w:val="006C7DB4"/>
    <w:rsid w:val="006C7EDD"/>
    <w:rsid w:val="006C7FA2"/>
    <w:rsid w:val="006D002A"/>
    <w:rsid w:val="006D0040"/>
    <w:rsid w:val="006D00CE"/>
    <w:rsid w:val="006D0281"/>
    <w:rsid w:val="006D0732"/>
    <w:rsid w:val="006D0753"/>
    <w:rsid w:val="006D07B6"/>
    <w:rsid w:val="006D084F"/>
    <w:rsid w:val="006D091C"/>
    <w:rsid w:val="006D0A13"/>
    <w:rsid w:val="006D0AC2"/>
    <w:rsid w:val="006D0B09"/>
    <w:rsid w:val="006D0CC2"/>
    <w:rsid w:val="006D11B3"/>
    <w:rsid w:val="006D11BB"/>
    <w:rsid w:val="006D125B"/>
    <w:rsid w:val="006D12FE"/>
    <w:rsid w:val="006D13DE"/>
    <w:rsid w:val="006D15EC"/>
    <w:rsid w:val="006D16FF"/>
    <w:rsid w:val="006D170C"/>
    <w:rsid w:val="006D18C1"/>
    <w:rsid w:val="006D1A38"/>
    <w:rsid w:val="006D2057"/>
    <w:rsid w:val="006D210A"/>
    <w:rsid w:val="006D248C"/>
    <w:rsid w:val="006D25AD"/>
    <w:rsid w:val="006D275A"/>
    <w:rsid w:val="006D2A8B"/>
    <w:rsid w:val="006D2B63"/>
    <w:rsid w:val="006D2F5B"/>
    <w:rsid w:val="006D304D"/>
    <w:rsid w:val="006D3111"/>
    <w:rsid w:val="006D312D"/>
    <w:rsid w:val="006D32B5"/>
    <w:rsid w:val="006D3333"/>
    <w:rsid w:val="006D33E1"/>
    <w:rsid w:val="006D354A"/>
    <w:rsid w:val="006D3558"/>
    <w:rsid w:val="006D35CE"/>
    <w:rsid w:val="006D36EB"/>
    <w:rsid w:val="006D3A2C"/>
    <w:rsid w:val="006D3AC7"/>
    <w:rsid w:val="006D3AD6"/>
    <w:rsid w:val="006D3AFB"/>
    <w:rsid w:val="006D3B03"/>
    <w:rsid w:val="006D3B0A"/>
    <w:rsid w:val="006D3E64"/>
    <w:rsid w:val="006D3F3B"/>
    <w:rsid w:val="006D3F4C"/>
    <w:rsid w:val="006D4117"/>
    <w:rsid w:val="006D41E4"/>
    <w:rsid w:val="006D43A8"/>
    <w:rsid w:val="006D447C"/>
    <w:rsid w:val="006D48C5"/>
    <w:rsid w:val="006D4A76"/>
    <w:rsid w:val="006D4AA6"/>
    <w:rsid w:val="006D4B14"/>
    <w:rsid w:val="006D4CEF"/>
    <w:rsid w:val="006D4D6D"/>
    <w:rsid w:val="006D4DAB"/>
    <w:rsid w:val="006D4E08"/>
    <w:rsid w:val="006D50B2"/>
    <w:rsid w:val="006D516A"/>
    <w:rsid w:val="006D52FC"/>
    <w:rsid w:val="006D53AD"/>
    <w:rsid w:val="006D5571"/>
    <w:rsid w:val="006D5986"/>
    <w:rsid w:val="006D59C7"/>
    <w:rsid w:val="006D5A8F"/>
    <w:rsid w:val="006D5AC3"/>
    <w:rsid w:val="006D5C58"/>
    <w:rsid w:val="006D5CA7"/>
    <w:rsid w:val="006D5D1B"/>
    <w:rsid w:val="006D5D5D"/>
    <w:rsid w:val="006D5F93"/>
    <w:rsid w:val="006D5FE6"/>
    <w:rsid w:val="006D627E"/>
    <w:rsid w:val="006D62C1"/>
    <w:rsid w:val="006D6498"/>
    <w:rsid w:val="006D64B7"/>
    <w:rsid w:val="006D6616"/>
    <w:rsid w:val="006D6695"/>
    <w:rsid w:val="006D66BB"/>
    <w:rsid w:val="006D66CE"/>
    <w:rsid w:val="006D67FE"/>
    <w:rsid w:val="006D696D"/>
    <w:rsid w:val="006D698B"/>
    <w:rsid w:val="006D698D"/>
    <w:rsid w:val="006D69C5"/>
    <w:rsid w:val="006D6A14"/>
    <w:rsid w:val="006D6B49"/>
    <w:rsid w:val="006D6EA1"/>
    <w:rsid w:val="006D72DE"/>
    <w:rsid w:val="006D7378"/>
    <w:rsid w:val="006D7461"/>
    <w:rsid w:val="006D74A8"/>
    <w:rsid w:val="006D74B8"/>
    <w:rsid w:val="006D74C8"/>
    <w:rsid w:val="006D7515"/>
    <w:rsid w:val="006D75FB"/>
    <w:rsid w:val="006D775B"/>
    <w:rsid w:val="006D77F1"/>
    <w:rsid w:val="006D78CF"/>
    <w:rsid w:val="006D7951"/>
    <w:rsid w:val="006D7A12"/>
    <w:rsid w:val="006D7A97"/>
    <w:rsid w:val="006D7AA1"/>
    <w:rsid w:val="006D7B10"/>
    <w:rsid w:val="006D7B41"/>
    <w:rsid w:val="006D7EB5"/>
    <w:rsid w:val="006D7F62"/>
    <w:rsid w:val="006E013C"/>
    <w:rsid w:val="006E01B0"/>
    <w:rsid w:val="006E0257"/>
    <w:rsid w:val="006E054C"/>
    <w:rsid w:val="006E05F5"/>
    <w:rsid w:val="006E07FD"/>
    <w:rsid w:val="006E0897"/>
    <w:rsid w:val="006E08AE"/>
    <w:rsid w:val="006E09DC"/>
    <w:rsid w:val="006E0A23"/>
    <w:rsid w:val="006E0A74"/>
    <w:rsid w:val="006E0D6B"/>
    <w:rsid w:val="006E0E3E"/>
    <w:rsid w:val="006E0F54"/>
    <w:rsid w:val="006E0F9E"/>
    <w:rsid w:val="006E1049"/>
    <w:rsid w:val="006E1127"/>
    <w:rsid w:val="006E1133"/>
    <w:rsid w:val="006E1156"/>
    <w:rsid w:val="006E1188"/>
    <w:rsid w:val="006E16BB"/>
    <w:rsid w:val="006E1908"/>
    <w:rsid w:val="006E1970"/>
    <w:rsid w:val="006E1BE8"/>
    <w:rsid w:val="006E1C5A"/>
    <w:rsid w:val="006E1E31"/>
    <w:rsid w:val="006E1EC9"/>
    <w:rsid w:val="006E211E"/>
    <w:rsid w:val="006E213A"/>
    <w:rsid w:val="006E22BB"/>
    <w:rsid w:val="006E2396"/>
    <w:rsid w:val="006E2406"/>
    <w:rsid w:val="006E2452"/>
    <w:rsid w:val="006E254F"/>
    <w:rsid w:val="006E2559"/>
    <w:rsid w:val="006E280A"/>
    <w:rsid w:val="006E2827"/>
    <w:rsid w:val="006E2860"/>
    <w:rsid w:val="006E2A94"/>
    <w:rsid w:val="006E2B7A"/>
    <w:rsid w:val="006E2C7C"/>
    <w:rsid w:val="006E2D63"/>
    <w:rsid w:val="006E30AE"/>
    <w:rsid w:val="006E35A8"/>
    <w:rsid w:val="006E3698"/>
    <w:rsid w:val="006E3751"/>
    <w:rsid w:val="006E38BE"/>
    <w:rsid w:val="006E3986"/>
    <w:rsid w:val="006E3BBF"/>
    <w:rsid w:val="006E3C0E"/>
    <w:rsid w:val="006E3C7B"/>
    <w:rsid w:val="006E3D9E"/>
    <w:rsid w:val="006E3DDA"/>
    <w:rsid w:val="006E3E92"/>
    <w:rsid w:val="006E3EF4"/>
    <w:rsid w:val="006E4262"/>
    <w:rsid w:val="006E42C1"/>
    <w:rsid w:val="006E46D9"/>
    <w:rsid w:val="006E47AA"/>
    <w:rsid w:val="006E47E4"/>
    <w:rsid w:val="006E4A7D"/>
    <w:rsid w:val="006E4B4E"/>
    <w:rsid w:val="006E4C5D"/>
    <w:rsid w:val="006E4EC8"/>
    <w:rsid w:val="006E4F27"/>
    <w:rsid w:val="006E5021"/>
    <w:rsid w:val="006E504E"/>
    <w:rsid w:val="006E5095"/>
    <w:rsid w:val="006E5195"/>
    <w:rsid w:val="006E5209"/>
    <w:rsid w:val="006E528A"/>
    <w:rsid w:val="006E53C0"/>
    <w:rsid w:val="006E5539"/>
    <w:rsid w:val="006E56C7"/>
    <w:rsid w:val="006E6227"/>
    <w:rsid w:val="006E63F6"/>
    <w:rsid w:val="006E6483"/>
    <w:rsid w:val="006E652E"/>
    <w:rsid w:val="006E65A6"/>
    <w:rsid w:val="006E66AF"/>
    <w:rsid w:val="006E6A51"/>
    <w:rsid w:val="006E6D01"/>
    <w:rsid w:val="006E6E03"/>
    <w:rsid w:val="006E6EE5"/>
    <w:rsid w:val="006E6FDD"/>
    <w:rsid w:val="006E7214"/>
    <w:rsid w:val="006E7342"/>
    <w:rsid w:val="006E7373"/>
    <w:rsid w:val="006E7655"/>
    <w:rsid w:val="006E766B"/>
    <w:rsid w:val="006E7672"/>
    <w:rsid w:val="006E7728"/>
    <w:rsid w:val="006E7777"/>
    <w:rsid w:val="006E7D26"/>
    <w:rsid w:val="006E7D4B"/>
    <w:rsid w:val="006E7D66"/>
    <w:rsid w:val="006E7EBB"/>
    <w:rsid w:val="006E7EDF"/>
    <w:rsid w:val="006F01BA"/>
    <w:rsid w:val="006F0318"/>
    <w:rsid w:val="006F03DF"/>
    <w:rsid w:val="006F04F9"/>
    <w:rsid w:val="006F0509"/>
    <w:rsid w:val="006F06A8"/>
    <w:rsid w:val="006F06ED"/>
    <w:rsid w:val="006F0830"/>
    <w:rsid w:val="006F0919"/>
    <w:rsid w:val="006F09B2"/>
    <w:rsid w:val="006F0AA1"/>
    <w:rsid w:val="006F0D22"/>
    <w:rsid w:val="006F10EA"/>
    <w:rsid w:val="006F11A4"/>
    <w:rsid w:val="006F14AE"/>
    <w:rsid w:val="006F16B6"/>
    <w:rsid w:val="006F1714"/>
    <w:rsid w:val="006F1756"/>
    <w:rsid w:val="006F193C"/>
    <w:rsid w:val="006F1AD7"/>
    <w:rsid w:val="006F1B09"/>
    <w:rsid w:val="006F1BBA"/>
    <w:rsid w:val="006F1CE2"/>
    <w:rsid w:val="006F1D2B"/>
    <w:rsid w:val="006F1E89"/>
    <w:rsid w:val="006F211F"/>
    <w:rsid w:val="006F214F"/>
    <w:rsid w:val="006F25B7"/>
    <w:rsid w:val="006F27D0"/>
    <w:rsid w:val="006F28D8"/>
    <w:rsid w:val="006F2A63"/>
    <w:rsid w:val="006F2B4E"/>
    <w:rsid w:val="006F2D43"/>
    <w:rsid w:val="006F2DAA"/>
    <w:rsid w:val="006F2E7C"/>
    <w:rsid w:val="006F2E81"/>
    <w:rsid w:val="006F300B"/>
    <w:rsid w:val="006F31E5"/>
    <w:rsid w:val="006F31F0"/>
    <w:rsid w:val="006F320A"/>
    <w:rsid w:val="006F343C"/>
    <w:rsid w:val="006F361F"/>
    <w:rsid w:val="006F36AF"/>
    <w:rsid w:val="006F37D3"/>
    <w:rsid w:val="006F3829"/>
    <w:rsid w:val="006F38A7"/>
    <w:rsid w:val="006F3A03"/>
    <w:rsid w:val="006F3BE9"/>
    <w:rsid w:val="006F3C25"/>
    <w:rsid w:val="006F3C2A"/>
    <w:rsid w:val="006F3CC8"/>
    <w:rsid w:val="006F3D59"/>
    <w:rsid w:val="006F3D91"/>
    <w:rsid w:val="006F3DD3"/>
    <w:rsid w:val="006F3FFE"/>
    <w:rsid w:val="006F4049"/>
    <w:rsid w:val="006F4194"/>
    <w:rsid w:val="006F419C"/>
    <w:rsid w:val="006F41CF"/>
    <w:rsid w:val="006F4246"/>
    <w:rsid w:val="006F42E2"/>
    <w:rsid w:val="006F451A"/>
    <w:rsid w:val="006F4569"/>
    <w:rsid w:val="006F477B"/>
    <w:rsid w:val="006F487E"/>
    <w:rsid w:val="006F48AB"/>
    <w:rsid w:val="006F493E"/>
    <w:rsid w:val="006F4A0D"/>
    <w:rsid w:val="006F4A1B"/>
    <w:rsid w:val="006F4AB1"/>
    <w:rsid w:val="006F4D50"/>
    <w:rsid w:val="006F4E07"/>
    <w:rsid w:val="006F4F4F"/>
    <w:rsid w:val="006F4FA4"/>
    <w:rsid w:val="006F5014"/>
    <w:rsid w:val="006F5188"/>
    <w:rsid w:val="006F5271"/>
    <w:rsid w:val="006F5276"/>
    <w:rsid w:val="006F5334"/>
    <w:rsid w:val="006F5400"/>
    <w:rsid w:val="006F5407"/>
    <w:rsid w:val="006F5485"/>
    <w:rsid w:val="006F55A7"/>
    <w:rsid w:val="006F55B7"/>
    <w:rsid w:val="006F5689"/>
    <w:rsid w:val="006F56F7"/>
    <w:rsid w:val="006F5818"/>
    <w:rsid w:val="006F589F"/>
    <w:rsid w:val="006F5902"/>
    <w:rsid w:val="006F5A4B"/>
    <w:rsid w:val="006F5B24"/>
    <w:rsid w:val="006F5C0A"/>
    <w:rsid w:val="006F5D61"/>
    <w:rsid w:val="006F5D92"/>
    <w:rsid w:val="006F5E66"/>
    <w:rsid w:val="006F5E7A"/>
    <w:rsid w:val="006F5E95"/>
    <w:rsid w:val="006F613B"/>
    <w:rsid w:val="006F626F"/>
    <w:rsid w:val="006F629A"/>
    <w:rsid w:val="006F62AD"/>
    <w:rsid w:val="006F638B"/>
    <w:rsid w:val="006F647C"/>
    <w:rsid w:val="006F6525"/>
    <w:rsid w:val="006F6754"/>
    <w:rsid w:val="006F67DB"/>
    <w:rsid w:val="006F68FE"/>
    <w:rsid w:val="006F69C2"/>
    <w:rsid w:val="006F6A60"/>
    <w:rsid w:val="006F6A96"/>
    <w:rsid w:val="006F6BD7"/>
    <w:rsid w:val="006F6C77"/>
    <w:rsid w:val="006F6CD0"/>
    <w:rsid w:val="006F6F04"/>
    <w:rsid w:val="006F6FF3"/>
    <w:rsid w:val="006F70C4"/>
    <w:rsid w:val="006F7201"/>
    <w:rsid w:val="006F731D"/>
    <w:rsid w:val="006F733A"/>
    <w:rsid w:val="006F73FA"/>
    <w:rsid w:val="006F7421"/>
    <w:rsid w:val="006F7483"/>
    <w:rsid w:val="006F75E1"/>
    <w:rsid w:val="006F7605"/>
    <w:rsid w:val="006F7635"/>
    <w:rsid w:val="006F76BF"/>
    <w:rsid w:val="006F7852"/>
    <w:rsid w:val="006F7A04"/>
    <w:rsid w:val="006F7AF3"/>
    <w:rsid w:val="006F7B7D"/>
    <w:rsid w:val="006F7BD6"/>
    <w:rsid w:val="006F7C57"/>
    <w:rsid w:val="006F7CD4"/>
    <w:rsid w:val="006F7D0D"/>
    <w:rsid w:val="006F7D9F"/>
    <w:rsid w:val="006F7E1D"/>
    <w:rsid w:val="006F7E78"/>
    <w:rsid w:val="006F7EE6"/>
    <w:rsid w:val="006F7FB9"/>
    <w:rsid w:val="00700199"/>
    <w:rsid w:val="007002CF"/>
    <w:rsid w:val="00700456"/>
    <w:rsid w:val="007005A7"/>
    <w:rsid w:val="00700626"/>
    <w:rsid w:val="0070089F"/>
    <w:rsid w:val="00700904"/>
    <w:rsid w:val="00700932"/>
    <w:rsid w:val="00700AFD"/>
    <w:rsid w:val="00700B4B"/>
    <w:rsid w:val="00700B9D"/>
    <w:rsid w:val="00700BF3"/>
    <w:rsid w:val="00700C73"/>
    <w:rsid w:val="00700EEE"/>
    <w:rsid w:val="00700F6C"/>
    <w:rsid w:val="0070100E"/>
    <w:rsid w:val="00701051"/>
    <w:rsid w:val="0070105E"/>
    <w:rsid w:val="007010B3"/>
    <w:rsid w:val="00701190"/>
    <w:rsid w:val="007011BB"/>
    <w:rsid w:val="00701200"/>
    <w:rsid w:val="007013CF"/>
    <w:rsid w:val="0070143C"/>
    <w:rsid w:val="00701581"/>
    <w:rsid w:val="007016D0"/>
    <w:rsid w:val="007017C3"/>
    <w:rsid w:val="00701852"/>
    <w:rsid w:val="00701C4A"/>
    <w:rsid w:val="00701C63"/>
    <w:rsid w:val="00701C69"/>
    <w:rsid w:val="00701DB3"/>
    <w:rsid w:val="00701DEB"/>
    <w:rsid w:val="00701EB8"/>
    <w:rsid w:val="00702061"/>
    <w:rsid w:val="00702065"/>
    <w:rsid w:val="007020BB"/>
    <w:rsid w:val="0070219A"/>
    <w:rsid w:val="007023B3"/>
    <w:rsid w:val="0070244F"/>
    <w:rsid w:val="007024B5"/>
    <w:rsid w:val="007025CF"/>
    <w:rsid w:val="00702955"/>
    <w:rsid w:val="00702A1A"/>
    <w:rsid w:val="00702AA8"/>
    <w:rsid w:val="00702D5E"/>
    <w:rsid w:val="00702E19"/>
    <w:rsid w:val="00702E41"/>
    <w:rsid w:val="00702E43"/>
    <w:rsid w:val="00702FDC"/>
    <w:rsid w:val="00703062"/>
    <w:rsid w:val="00703134"/>
    <w:rsid w:val="0070317E"/>
    <w:rsid w:val="00703368"/>
    <w:rsid w:val="00703408"/>
    <w:rsid w:val="0070354B"/>
    <w:rsid w:val="007035CE"/>
    <w:rsid w:val="007035D8"/>
    <w:rsid w:val="0070378E"/>
    <w:rsid w:val="007037B9"/>
    <w:rsid w:val="0070383F"/>
    <w:rsid w:val="007038AB"/>
    <w:rsid w:val="007038D3"/>
    <w:rsid w:val="00703B52"/>
    <w:rsid w:val="00703B6B"/>
    <w:rsid w:val="00703CD4"/>
    <w:rsid w:val="00703D0D"/>
    <w:rsid w:val="00703F94"/>
    <w:rsid w:val="007040B2"/>
    <w:rsid w:val="00704479"/>
    <w:rsid w:val="007046B9"/>
    <w:rsid w:val="007046C6"/>
    <w:rsid w:val="00704778"/>
    <w:rsid w:val="0070491B"/>
    <w:rsid w:val="007049AB"/>
    <w:rsid w:val="00704A32"/>
    <w:rsid w:val="00704B20"/>
    <w:rsid w:val="00704FD5"/>
    <w:rsid w:val="00705075"/>
    <w:rsid w:val="00705295"/>
    <w:rsid w:val="0070533C"/>
    <w:rsid w:val="007053D2"/>
    <w:rsid w:val="00705425"/>
    <w:rsid w:val="00705579"/>
    <w:rsid w:val="007055E5"/>
    <w:rsid w:val="0070585E"/>
    <w:rsid w:val="007058EA"/>
    <w:rsid w:val="0070597D"/>
    <w:rsid w:val="00705C72"/>
    <w:rsid w:val="00705D42"/>
    <w:rsid w:val="00705D56"/>
    <w:rsid w:val="00705E3B"/>
    <w:rsid w:val="00705EF3"/>
    <w:rsid w:val="00705FC2"/>
    <w:rsid w:val="0070608D"/>
    <w:rsid w:val="007060A4"/>
    <w:rsid w:val="0070617D"/>
    <w:rsid w:val="00706247"/>
    <w:rsid w:val="0070629A"/>
    <w:rsid w:val="0070638B"/>
    <w:rsid w:val="0070639B"/>
    <w:rsid w:val="007065F1"/>
    <w:rsid w:val="007066ED"/>
    <w:rsid w:val="0070671E"/>
    <w:rsid w:val="00706861"/>
    <w:rsid w:val="007068E4"/>
    <w:rsid w:val="00706911"/>
    <w:rsid w:val="00706932"/>
    <w:rsid w:val="00706978"/>
    <w:rsid w:val="00706BD2"/>
    <w:rsid w:val="00706D0A"/>
    <w:rsid w:val="00706D38"/>
    <w:rsid w:val="00706D8B"/>
    <w:rsid w:val="00706DEF"/>
    <w:rsid w:val="00706FFC"/>
    <w:rsid w:val="00707213"/>
    <w:rsid w:val="00707361"/>
    <w:rsid w:val="00707754"/>
    <w:rsid w:val="0070788C"/>
    <w:rsid w:val="00707918"/>
    <w:rsid w:val="00707B85"/>
    <w:rsid w:val="00707C44"/>
    <w:rsid w:val="00707E6A"/>
    <w:rsid w:val="00707EA0"/>
    <w:rsid w:val="00707F06"/>
    <w:rsid w:val="0071033C"/>
    <w:rsid w:val="00710363"/>
    <w:rsid w:val="007106AA"/>
    <w:rsid w:val="0071077F"/>
    <w:rsid w:val="007107CF"/>
    <w:rsid w:val="007107F0"/>
    <w:rsid w:val="0071088E"/>
    <w:rsid w:val="0071093D"/>
    <w:rsid w:val="00710A51"/>
    <w:rsid w:val="00710C60"/>
    <w:rsid w:val="00710D50"/>
    <w:rsid w:val="00710D74"/>
    <w:rsid w:val="00710D7C"/>
    <w:rsid w:val="00710F1B"/>
    <w:rsid w:val="00710F58"/>
    <w:rsid w:val="00711063"/>
    <w:rsid w:val="00711348"/>
    <w:rsid w:val="007113C4"/>
    <w:rsid w:val="00711550"/>
    <w:rsid w:val="007115A0"/>
    <w:rsid w:val="007115AA"/>
    <w:rsid w:val="0071172F"/>
    <w:rsid w:val="007117FE"/>
    <w:rsid w:val="0071180C"/>
    <w:rsid w:val="007118ED"/>
    <w:rsid w:val="00711964"/>
    <w:rsid w:val="00711987"/>
    <w:rsid w:val="00711A36"/>
    <w:rsid w:val="00711AC4"/>
    <w:rsid w:val="00711AC7"/>
    <w:rsid w:val="00711C31"/>
    <w:rsid w:val="00711EC4"/>
    <w:rsid w:val="00711F25"/>
    <w:rsid w:val="007120CC"/>
    <w:rsid w:val="007120CE"/>
    <w:rsid w:val="0071214F"/>
    <w:rsid w:val="0071215C"/>
    <w:rsid w:val="00712484"/>
    <w:rsid w:val="00712681"/>
    <w:rsid w:val="00712699"/>
    <w:rsid w:val="00712777"/>
    <w:rsid w:val="007127EF"/>
    <w:rsid w:val="00712B98"/>
    <w:rsid w:val="00712C55"/>
    <w:rsid w:val="0071335A"/>
    <w:rsid w:val="007134CB"/>
    <w:rsid w:val="00713647"/>
    <w:rsid w:val="007136E2"/>
    <w:rsid w:val="007136FD"/>
    <w:rsid w:val="00713B21"/>
    <w:rsid w:val="00713B43"/>
    <w:rsid w:val="00713B63"/>
    <w:rsid w:val="00713BDC"/>
    <w:rsid w:val="00713D48"/>
    <w:rsid w:val="00713DC6"/>
    <w:rsid w:val="00713DEE"/>
    <w:rsid w:val="00713E39"/>
    <w:rsid w:val="00713F8E"/>
    <w:rsid w:val="0071412E"/>
    <w:rsid w:val="00714201"/>
    <w:rsid w:val="0071441D"/>
    <w:rsid w:val="00714431"/>
    <w:rsid w:val="00714474"/>
    <w:rsid w:val="007147CC"/>
    <w:rsid w:val="007148C3"/>
    <w:rsid w:val="007148E0"/>
    <w:rsid w:val="00714BA9"/>
    <w:rsid w:val="00714C04"/>
    <w:rsid w:val="00714CED"/>
    <w:rsid w:val="00714D00"/>
    <w:rsid w:val="0071517B"/>
    <w:rsid w:val="00715280"/>
    <w:rsid w:val="00715336"/>
    <w:rsid w:val="00715510"/>
    <w:rsid w:val="00715536"/>
    <w:rsid w:val="00715699"/>
    <w:rsid w:val="00715770"/>
    <w:rsid w:val="0071587B"/>
    <w:rsid w:val="00715934"/>
    <w:rsid w:val="007159B6"/>
    <w:rsid w:val="00715B69"/>
    <w:rsid w:val="00715C22"/>
    <w:rsid w:val="00715E76"/>
    <w:rsid w:val="00715EB0"/>
    <w:rsid w:val="00715EC7"/>
    <w:rsid w:val="00715F8A"/>
    <w:rsid w:val="00715F96"/>
    <w:rsid w:val="0071605E"/>
    <w:rsid w:val="007160E0"/>
    <w:rsid w:val="007161F8"/>
    <w:rsid w:val="0071623A"/>
    <w:rsid w:val="00716379"/>
    <w:rsid w:val="007164A9"/>
    <w:rsid w:val="00716552"/>
    <w:rsid w:val="007166BF"/>
    <w:rsid w:val="00716716"/>
    <w:rsid w:val="00716776"/>
    <w:rsid w:val="0071682A"/>
    <w:rsid w:val="00716A13"/>
    <w:rsid w:val="00716AB7"/>
    <w:rsid w:val="00716ACA"/>
    <w:rsid w:val="00716E16"/>
    <w:rsid w:val="00716F22"/>
    <w:rsid w:val="00716F2B"/>
    <w:rsid w:val="00716F59"/>
    <w:rsid w:val="0071709D"/>
    <w:rsid w:val="007172A5"/>
    <w:rsid w:val="007173D5"/>
    <w:rsid w:val="007174E0"/>
    <w:rsid w:val="007175E9"/>
    <w:rsid w:val="00717631"/>
    <w:rsid w:val="00717813"/>
    <w:rsid w:val="00717911"/>
    <w:rsid w:val="0071796B"/>
    <w:rsid w:val="007179EB"/>
    <w:rsid w:val="007179FD"/>
    <w:rsid w:val="00717A2A"/>
    <w:rsid w:val="00717A50"/>
    <w:rsid w:val="00717A9D"/>
    <w:rsid w:val="00717C1E"/>
    <w:rsid w:val="00717CE5"/>
    <w:rsid w:val="00717DDD"/>
    <w:rsid w:val="0072007F"/>
    <w:rsid w:val="00720096"/>
    <w:rsid w:val="007201D1"/>
    <w:rsid w:val="00720226"/>
    <w:rsid w:val="00720317"/>
    <w:rsid w:val="00720344"/>
    <w:rsid w:val="00720524"/>
    <w:rsid w:val="0072063D"/>
    <w:rsid w:val="00720696"/>
    <w:rsid w:val="007206AB"/>
    <w:rsid w:val="007207F6"/>
    <w:rsid w:val="00720A24"/>
    <w:rsid w:val="00720AC1"/>
    <w:rsid w:val="00720AEC"/>
    <w:rsid w:val="00720B39"/>
    <w:rsid w:val="00720C9B"/>
    <w:rsid w:val="00720FA8"/>
    <w:rsid w:val="007210A8"/>
    <w:rsid w:val="007211D4"/>
    <w:rsid w:val="007212FA"/>
    <w:rsid w:val="00721396"/>
    <w:rsid w:val="00721456"/>
    <w:rsid w:val="00721470"/>
    <w:rsid w:val="00721916"/>
    <w:rsid w:val="00721B13"/>
    <w:rsid w:val="00721BDD"/>
    <w:rsid w:val="00721C25"/>
    <w:rsid w:val="00721DCC"/>
    <w:rsid w:val="00721E25"/>
    <w:rsid w:val="00721E5E"/>
    <w:rsid w:val="00722023"/>
    <w:rsid w:val="00722145"/>
    <w:rsid w:val="007221E0"/>
    <w:rsid w:val="00722279"/>
    <w:rsid w:val="0072227C"/>
    <w:rsid w:val="00722586"/>
    <w:rsid w:val="007228AE"/>
    <w:rsid w:val="00722918"/>
    <w:rsid w:val="007229A4"/>
    <w:rsid w:val="007229F6"/>
    <w:rsid w:val="00722DAD"/>
    <w:rsid w:val="00722DC1"/>
    <w:rsid w:val="00722E60"/>
    <w:rsid w:val="00722FA0"/>
    <w:rsid w:val="00722FEE"/>
    <w:rsid w:val="007230F4"/>
    <w:rsid w:val="0072310A"/>
    <w:rsid w:val="0072310D"/>
    <w:rsid w:val="0072329F"/>
    <w:rsid w:val="00723351"/>
    <w:rsid w:val="0072344A"/>
    <w:rsid w:val="0072350B"/>
    <w:rsid w:val="007236DD"/>
    <w:rsid w:val="007238D1"/>
    <w:rsid w:val="00723964"/>
    <w:rsid w:val="007239A3"/>
    <w:rsid w:val="00723B68"/>
    <w:rsid w:val="00723CBD"/>
    <w:rsid w:val="00723D56"/>
    <w:rsid w:val="00723D5D"/>
    <w:rsid w:val="00723DCB"/>
    <w:rsid w:val="00723E3C"/>
    <w:rsid w:val="00723EAD"/>
    <w:rsid w:val="00724130"/>
    <w:rsid w:val="00724379"/>
    <w:rsid w:val="00724561"/>
    <w:rsid w:val="007245B7"/>
    <w:rsid w:val="0072479C"/>
    <w:rsid w:val="007247E4"/>
    <w:rsid w:val="00724871"/>
    <w:rsid w:val="007248F9"/>
    <w:rsid w:val="00724915"/>
    <w:rsid w:val="00724A39"/>
    <w:rsid w:val="00724A99"/>
    <w:rsid w:val="00724DD7"/>
    <w:rsid w:val="00724EA8"/>
    <w:rsid w:val="00724EDD"/>
    <w:rsid w:val="00724F34"/>
    <w:rsid w:val="00724F95"/>
    <w:rsid w:val="00725078"/>
    <w:rsid w:val="0072526A"/>
    <w:rsid w:val="00725353"/>
    <w:rsid w:val="0072536D"/>
    <w:rsid w:val="0072572E"/>
    <w:rsid w:val="0072581C"/>
    <w:rsid w:val="0072582A"/>
    <w:rsid w:val="00725992"/>
    <w:rsid w:val="00725AD8"/>
    <w:rsid w:val="00725CA1"/>
    <w:rsid w:val="00725D00"/>
    <w:rsid w:val="00725D38"/>
    <w:rsid w:val="00725FB2"/>
    <w:rsid w:val="00726254"/>
    <w:rsid w:val="00726533"/>
    <w:rsid w:val="007265C5"/>
    <w:rsid w:val="00726751"/>
    <w:rsid w:val="0072675B"/>
    <w:rsid w:val="007267CE"/>
    <w:rsid w:val="00726849"/>
    <w:rsid w:val="00726927"/>
    <w:rsid w:val="007269FB"/>
    <w:rsid w:val="00726BA9"/>
    <w:rsid w:val="00726C9E"/>
    <w:rsid w:val="00726D0C"/>
    <w:rsid w:val="00726D31"/>
    <w:rsid w:val="00726DAC"/>
    <w:rsid w:val="00726DBE"/>
    <w:rsid w:val="00726F95"/>
    <w:rsid w:val="00726FF1"/>
    <w:rsid w:val="00727050"/>
    <w:rsid w:val="00727132"/>
    <w:rsid w:val="007272DC"/>
    <w:rsid w:val="0072757D"/>
    <w:rsid w:val="00727650"/>
    <w:rsid w:val="00727877"/>
    <w:rsid w:val="00727884"/>
    <w:rsid w:val="00727A10"/>
    <w:rsid w:val="00727A48"/>
    <w:rsid w:val="00727B69"/>
    <w:rsid w:val="00727C1F"/>
    <w:rsid w:val="00727D2B"/>
    <w:rsid w:val="00727DCB"/>
    <w:rsid w:val="00727FD9"/>
    <w:rsid w:val="00730088"/>
    <w:rsid w:val="007300EF"/>
    <w:rsid w:val="00730147"/>
    <w:rsid w:val="007301D1"/>
    <w:rsid w:val="007301F3"/>
    <w:rsid w:val="007302C9"/>
    <w:rsid w:val="00730316"/>
    <w:rsid w:val="007304D2"/>
    <w:rsid w:val="007307E5"/>
    <w:rsid w:val="0073085C"/>
    <w:rsid w:val="0073097D"/>
    <w:rsid w:val="00730AE3"/>
    <w:rsid w:val="00730B14"/>
    <w:rsid w:val="00730B84"/>
    <w:rsid w:val="00730BCD"/>
    <w:rsid w:val="00730C10"/>
    <w:rsid w:val="00730CBB"/>
    <w:rsid w:val="00730E1B"/>
    <w:rsid w:val="00730EB3"/>
    <w:rsid w:val="00731049"/>
    <w:rsid w:val="007310A6"/>
    <w:rsid w:val="0073115B"/>
    <w:rsid w:val="007311CF"/>
    <w:rsid w:val="0073129D"/>
    <w:rsid w:val="00731382"/>
    <w:rsid w:val="007313F2"/>
    <w:rsid w:val="00731433"/>
    <w:rsid w:val="0073145E"/>
    <w:rsid w:val="007314B7"/>
    <w:rsid w:val="007315E3"/>
    <w:rsid w:val="00731630"/>
    <w:rsid w:val="00731690"/>
    <w:rsid w:val="0073185C"/>
    <w:rsid w:val="00731B06"/>
    <w:rsid w:val="00731BD0"/>
    <w:rsid w:val="00731CE8"/>
    <w:rsid w:val="00731D96"/>
    <w:rsid w:val="00731DC8"/>
    <w:rsid w:val="00731F54"/>
    <w:rsid w:val="00731FFC"/>
    <w:rsid w:val="00732005"/>
    <w:rsid w:val="00732133"/>
    <w:rsid w:val="0073218F"/>
    <w:rsid w:val="00732239"/>
    <w:rsid w:val="00732283"/>
    <w:rsid w:val="007325B4"/>
    <w:rsid w:val="007327A2"/>
    <w:rsid w:val="007328BE"/>
    <w:rsid w:val="00732928"/>
    <w:rsid w:val="00732CFD"/>
    <w:rsid w:val="00732E3D"/>
    <w:rsid w:val="00732EA2"/>
    <w:rsid w:val="00732F77"/>
    <w:rsid w:val="00733009"/>
    <w:rsid w:val="00733070"/>
    <w:rsid w:val="007330DC"/>
    <w:rsid w:val="007330EF"/>
    <w:rsid w:val="007331B2"/>
    <w:rsid w:val="00733278"/>
    <w:rsid w:val="00733302"/>
    <w:rsid w:val="007334E3"/>
    <w:rsid w:val="007336C7"/>
    <w:rsid w:val="0073381D"/>
    <w:rsid w:val="007338AF"/>
    <w:rsid w:val="0073397B"/>
    <w:rsid w:val="007339BD"/>
    <w:rsid w:val="007339C8"/>
    <w:rsid w:val="00733B63"/>
    <w:rsid w:val="00733C42"/>
    <w:rsid w:val="00733C7D"/>
    <w:rsid w:val="00733DD5"/>
    <w:rsid w:val="00733EB6"/>
    <w:rsid w:val="00733EEB"/>
    <w:rsid w:val="007341F0"/>
    <w:rsid w:val="0073435F"/>
    <w:rsid w:val="007343DA"/>
    <w:rsid w:val="007345D4"/>
    <w:rsid w:val="0073461A"/>
    <w:rsid w:val="00734647"/>
    <w:rsid w:val="00734968"/>
    <w:rsid w:val="00734B40"/>
    <w:rsid w:val="00734BC7"/>
    <w:rsid w:val="00734C17"/>
    <w:rsid w:val="00734E06"/>
    <w:rsid w:val="00734F09"/>
    <w:rsid w:val="00735115"/>
    <w:rsid w:val="007352FA"/>
    <w:rsid w:val="0073542A"/>
    <w:rsid w:val="0073557F"/>
    <w:rsid w:val="007355BA"/>
    <w:rsid w:val="007355EE"/>
    <w:rsid w:val="00735627"/>
    <w:rsid w:val="00735A80"/>
    <w:rsid w:val="00735B26"/>
    <w:rsid w:val="00735B82"/>
    <w:rsid w:val="00735C40"/>
    <w:rsid w:val="00735D52"/>
    <w:rsid w:val="00735D72"/>
    <w:rsid w:val="00735E9A"/>
    <w:rsid w:val="00735FFD"/>
    <w:rsid w:val="00736065"/>
    <w:rsid w:val="007360D9"/>
    <w:rsid w:val="00736252"/>
    <w:rsid w:val="00736275"/>
    <w:rsid w:val="007366B1"/>
    <w:rsid w:val="0073671F"/>
    <w:rsid w:val="007367DF"/>
    <w:rsid w:val="00736A5B"/>
    <w:rsid w:val="00736AAF"/>
    <w:rsid w:val="00736AD0"/>
    <w:rsid w:val="00736B8C"/>
    <w:rsid w:val="00736DAB"/>
    <w:rsid w:val="00737078"/>
    <w:rsid w:val="00737103"/>
    <w:rsid w:val="0073713B"/>
    <w:rsid w:val="00737307"/>
    <w:rsid w:val="0073742A"/>
    <w:rsid w:val="00737480"/>
    <w:rsid w:val="00737522"/>
    <w:rsid w:val="00737743"/>
    <w:rsid w:val="00737770"/>
    <w:rsid w:val="00737784"/>
    <w:rsid w:val="0073778C"/>
    <w:rsid w:val="0073784C"/>
    <w:rsid w:val="007378ED"/>
    <w:rsid w:val="007379B5"/>
    <w:rsid w:val="00737C07"/>
    <w:rsid w:val="00737C88"/>
    <w:rsid w:val="00737D4C"/>
    <w:rsid w:val="00737E96"/>
    <w:rsid w:val="007400DE"/>
    <w:rsid w:val="00740537"/>
    <w:rsid w:val="007405F6"/>
    <w:rsid w:val="00740617"/>
    <w:rsid w:val="00740783"/>
    <w:rsid w:val="00740823"/>
    <w:rsid w:val="00740969"/>
    <w:rsid w:val="00740A25"/>
    <w:rsid w:val="00740AA4"/>
    <w:rsid w:val="00740C15"/>
    <w:rsid w:val="00740C3E"/>
    <w:rsid w:val="00740C72"/>
    <w:rsid w:val="00740D99"/>
    <w:rsid w:val="007410A4"/>
    <w:rsid w:val="007412C7"/>
    <w:rsid w:val="007412E0"/>
    <w:rsid w:val="0074146B"/>
    <w:rsid w:val="007415B4"/>
    <w:rsid w:val="00741611"/>
    <w:rsid w:val="00741A8F"/>
    <w:rsid w:val="00741AB9"/>
    <w:rsid w:val="00741B84"/>
    <w:rsid w:val="00741BD0"/>
    <w:rsid w:val="00741BFA"/>
    <w:rsid w:val="00741E5E"/>
    <w:rsid w:val="0074200E"/>
    <w:rsid w:val="00742112"/>
    <w:rsid w:val="0074227C"/>
    <w:rsid w:val="00742397"/>
    <w:rsid w:val="00742422"/>
    <w:rsid w:val="007424A4"/>
    <w:rsid w:val="00742699"/>
    <w:rsid w:val="007428BA"/>
    <w:rsid w:val="00742A0A"/>
    <w:rsid w:val="00742A0D"/>
    <w:rsid w:val="00742B7A"/>
    <w:rsid w:val="00742BE8"/>
    <w:rsid w:val="00742C09"/>
    <w:rsid w:val="00742C3C"/>
    <w:rsid w:val="00742DEB"/>
    <w:rsid w:val="00742E9F"/>
    <w:rsid w:val="00742F02"/>
    <w:rsid w:val="00742FAC"/>
    <w:rsid w:val="0074307F"/>
    <w:rsid w:val="00743150"/>
    <w:rsid w:val="0074321C"/>
    <w:rsid w:val="0074335A"/>
    <w:rsid w:val="007433ED"/>
    <w:rsid w:val="007434D7"/>
    <w:rsid w:val="007437B0"/>
    <w:rsid w:val="00743970"/>
    <w:rsid w:val="00743B0A"/>
    <w:rsid w:val="00743BB2"/>
    <w:rsid w:val="00743C63"/>
    <w:rsid w:val="00743D65"/>
    <w:rsid w:val="00743E4E"/>
    <w:rsid w:val="00743ED7"/>
    <w:rsid w:val="0074408F"/>
    <w:rsid w:val="00744525"/>
    <w:rsid w:val="007445D7"/>
    <w:rsid w:val="00744631"/>
    <w:rsid w:val="00744639"/>
    <w:rsid w:val="007446B0"/>
    <w:rsid w:val="0074478D"/>
    <w:rsid w:val="0074482F"/>
    <w:rsid w:val="007448C6"/>
    <w:rsid w:val="00744905"/>
    <w:rsid w:val="00744B8A"/>
    <w:rsid w:val="00744BC6"/>
    <w:rsid w:val="00744C2F"/>
    <w:rsid w:val="0074515F"/>
    <w:rsid w:val="0074517C"/>
    <w:rsid w:val="007451BA"/>
    <w:rsid w:val="00745214"/>
    <w:rsid w:val="0074529F"/>
    <w:rsid w:val="007453B2"/>
    <w:rsid w:val="00745458"/>
    <w:rsid w:val="00745672"/>
    <w:rsid w:val="00745687"/>
    <w:rsid w:val="00745761"/>
    <w:rsid w:val="00745831"/>
    <w:rsid w:val="00745AE7"/>
    <w:rsid w:val="00745C13"/>
    <w:rsid w:val="00745D0C"/>
    <w:rsid w:val="00745E89"/>
    <w:rsid w:val="00745EEE"/>
    <w:rsid w:val="00745FA3"/>
    <w:rsid w:val="00746248"/>
    <w:rsid w:val="00746334"/>
    <w:rsid w:val="00746454"/>
    <w:rsid w:val="00746466"/>
    <w:rsid w:val="007465C4"/>
    <w:rsid w:val="007466EB"/>
    <w:rsid w:val="007468E1"/>
    <w:rsid w:val="007468FE"/>
    <w:rsid w:val="00746E10"/>
    <w:rsid w:val="00746EB2"/>
    <w:rsid w:val="00746F3D"/>
    <w:rsid w:val="00747041"/>
    <w:rsid w:val="00747079"/>
    <w:rsid w:val="0074709F"/>
    <w:rsid w:val="00747106"/>
    <w:rsid w:val="007471C3"/>
    <w:rsid w:val="0074721A"/>
    <w:rsid w:val="0074730C"/>
    <w:rsid w:val="00747446"/>
    <w:rsid w:val="0074769A"/>
    <w:rsid w:val="007477FE"/>
    <w:rsid w:val="00747838"/>
    <w:rsid w:val="00747845"/>
    <w:rsid w:val="00747869"/>
    <w:rsid w:val="00747945"/>
    <w:rsid w:val="00747B02"/>
    <w:rsid w:val="00747B7E"/>
    <w:rsid w:val="00747C61"/>
    <w:rsid w:val="00747CC7"/>
    <w:rsid w:val="00747D09"/>
    <w:rsid w:val="00747D99"/>
    <w:rsid w:val="00747DF3"/>
    <w:rsid w:val="00747E1C"/>
    <w:rsid w:val="00747F5C"/>
    <w:rsid w:val="00750095"/>
    <w:rsid w:val="00750184"/>
    <w:rsid w:val="007501B5"/>
    <w:rsid w:val="007501CF"/>
    <w:rsid w:val="007501FC"/>
    <w:rsid w:val="00750258"/>
    <w:rsid w:val="0075040E"/>
    <w:rsid w:val="00750599"/>
    <w:rsid w:val="007505D5"/>
    <w:rsid w:val="007506DE"/>
    <w:rsid w:val="00750792"/>
    <w:rsid w:val="00750909"/>
    <w:rsid w:val="00750AAB"/>
    <w:rsid w:val="00750BD4"/>
    <w:rsid w:val="00750DBB"/>
    <w:rsid w:val="00750DDF"/>
    <w:rsid w:val="00750DED"/>
    <w:rsid w:val="00750EE3"/>
    <w:rsid w:val="00750EEB"/>
    <w:rsid w:val="00750FBF"/>
    <w:rsid w:val="007512C8"/>
    <w:rsid w:val="00751376"/>
    <w:rsid w:val="0075151D"/>
    <w:rsid w:val="007516AA"/>
    <w:rsid w:val="007516DF"/>
    <w:rsid w:val="00751745"/>
    <w:rsid w:val="00751820"/>
    <w:rsid w:val="00751869"/>
    <w:rsid w:val="007519D7"/>
    <w:rsid w:val="00751A2B"/>
    <w:rsid w:val="00751CD8"/>
    <w:rsid w:val="00751CE3"/>
    <w:rsid w:val="00751CF1"/>
    <w:rsid w:val="00751E86"/>
    <w:rsid w:val="007520F8"/>
    <w:rsid w:val="007523E0"/>
    <w:rsid w:val="007525E7"/>
    <w:rsid w:val="00752683"/>
    <w:rsid w:val="00752730"/>
    <w:rsid w:val="0075278C"/>
    <w:rsid w:val="007527DF"/>
    <w:rsid w:val="0075288E"/>
    <w:rsid w:val="00752895"/>
    <w:rsid w:val="007528C4"/>
    <w:rsid w:val="00752920"/>
    <w:rsid w:val="007529F6"/>
    <w:rsid w:val="00752A51"/>
    <w:rsid w:val="00752C1D"/>
    <w:rsid w:val="00752DFD"/>
    <w:rsid w:val="00752E36"/>
    <w:rsid w:val="00752E7E"/>
    <w:rsid w:val="00752E91"/>
    <w:rsid w:val="00753036"/>
    <w:rsid w:val="0075316C"/>
    <w:rsid w:val="0075320B"/>
    <w:rsid w:val="00753219"/>
    <w:rsid w:val="007532C0"/>
    <w:rsid w:val="007534C4"/>
    <w:rsid w:val="00753574"/>
    <w:rsid w:val="007536E9"/>
    <w:rsid w:val="00753791"/>
    <w:rsid w:val="0075389F"/>
    <w:rsid w:val="00753946"/>
    <w:rsid w:val="0075395B"/>
    <w:rsid w:val="0075399B"/>
    <w:rsid w:val="00753B02"/>
    <w:rsid w:val="00753D9A"/>
    <w:rsid w:val="00753E6D"/>
    <w:rsid w:val="00754137"/>
    <w:rsid w:val="0075414B"/>
    <w:rsid w:val="00754152"/>
    <w:rsid w:val="007546F9"/>
    <w:rsid w:val="007547F5"/>
    <w:rsid w:val="00754823"/>
    <w:rsid w:val="007548AC"/>
    <w:rsid w:val="00754A2C"/>
    <w:rsid w:val="00754B11"/>
    <w:rsid w:val="00754C02"/>
    <w:rsid w:val="00755010"/>
    <w:rsid w:val="00755181"/>
    <w:rsid w:val="007551BD"/>
    <w:rsid w:val="00755434"/>
    <w:rsid w:val="0075544B"/>
    <w:rsid w:val="007555CE"/>
    <w:rsid w:val="00755986"/>
    <w:rsid w:val="00755FE8"/>
    <w:rsid w:val="00756040"/>
    <w:rsid w:val="00756152"/>
    <w:rsid w:val="00756355"/>
    <w:rsid w:val="0075653E"/>
    <w:rsid w:val="00756548"/>
    <w:rsid w:val="00756560"/>
    <w:rsid w:val="007567C3"/>
    <w:rsid w:val="00756939"/>
    <w:rsid w:val="00756A49"/>
    <w:rsid w:val="00756A4D"/>
    <w:rsid w:val="00756B0B"/>
    <w:rsid w:val="00756CC1"/>
    <w:rsid w:val="00756F5B"/>
    <w:rsid w:val="00756FF0"/>
    <w:rsid w:val="007570DB"/>
    <w:rsid w:val="00757337"/>
    <w:rsid w:val="0075739F"/>
    <w:rsid w:val="0075748B"/>
    <w:rsid w:val="00757586"/>
    <w:rsid w:val="0075762B"/>
    <w:rsid w:val="0075772E"/>
    <w:rsid w:val="00757B42"/>
    <w:rsid w:val="00757D0E"/>
    <w:rsid w:val="00757F00"/>
    <w:rsid w:val="00757F55"/>
    <w:rsid w:val="00757FB2"/>
    <w:rsid w:val="00757FCA"/>
    <w:rsid w:val="00760144"/>
    <w:rsid w:val="00760749"/>
    <w:rsid w:val="0076077C"/>
    <w:rsid w:val="0076082C"/>
    <w:rsid w:val="0076093F"/>
    <w:rsid w:val="007609D9"/>
    <w:rsid w:val="007609F1"/>
    <w:rsid w:val="00760AC0"/>
    <w:rsid w:val="00760C20"/>
    <w:rsid w:val="00760C50"/>
    <w:rsid w:val="00760CC8"/>
    <w:rsid w:val="00760E14"/>
    <w:rsid w:val="00760ED9"/>
    <w:rsid w:val="00760F9B"/>
    <w:rsid w:val="007610A1"/>
    <w:rsid w:val="007610EE"/>
    <w:rsid w:val="0076110D"/>
    <w:rsid w:val="007611FB"/>
    <w:rsid w:val="0076124B"/>
    <w:rsid w:val="0076135A"/>
    <w:rsid w:val="00761407"/>
    <w:rsid w:val="007616C2"/>
    <w:rsid w:val="007617EF"/>
    <w:rsid w:val="0076183B"/>
    <w:rsid w:val="007618DE"/>
    <w:rsid w:val="00761AF9"/>
    <w:rsid w:val="00761FC5"/>
    <w:rsid w:val="0076207B"/>
    <w:rsid w:val="007620A9"/>
    <w:rsid w:val="0076214A"/>
    <w:rsid w:val="00762213"/>
    <w:rsid w:val="0076233E"/>
    <w:rsid w:val="00762493"/>
    <w:rsid w:val="007626D4"/>
    <w:rsid w:val="00762827"/>
    <w:rsid w:val="00762960"/>
    <w:rsid w:val="00762C07"/>
    <w:rsid w:val="00762C67"/>
    <w:rsid w:val="00762E8A"/>
    <w:rsid w:val="00762EBE"/>
    <w:rsid w:val="00762EF3"/>
    <w:rsid w:val="007631CD"/>
    <w:rsid w:val="007631FD"/>
    <w:rsid w:val="00763340"/>
    <w:rsid w:val="0076339E"/>
    <w:rsid w:val="00763420"/>
    <w:rsid w:val="00763457"/>
    <w:rsid w:val="00763564"/>
    <w:rsid w:val="00763CBF"/>
    <w:rsid w:val="00763D74"/>
    <w:rsid w:val="00763E41"/>
    <w:rsid w:val="00763E76"/>
    <w:rsid w:val="00763FBD"/>
    <w:rsid w:val="00764014"/>
    <w:rsid w:val="007640AF"/>
    <w:rsid w:val="007643A0"/>
    <w:rsid w:val="007643C6"/>
    <w:rsid w:val="007644C0"/>
    <w:rsid w:val="00764505"/>
    <w:rsid w:val="0076474F"/>
    <w:rsid w:val="007647A0"/>
    <w:rsid w:val="00764904"/>
    <w:rsid w:val="00764A79"/>
    <w:rsid w:val="00764ABB"/>
    <w:rsid w:val="00764C95"/>
    <w:rsid w:val="00764D03"/>
    <w:rsid w:val="00764D3B"/>
    <w:rsid w:val="00764DB7"/>
    <w:rsid w:val="00764E10"/>
    <w:rsid w:val="00764F3A"/>
    <w:rsid w:val="0076504D"/>
    <w:rsid w:val="0076515C"/>
    <w:rsid w:val="00765241"/>
    <w:rsid w:val="00765244"/>
    <w:rsid w:val="007652D8"/>
    <w:rsid w:val="007654CB"/>
    <w:rsid w:val="0076559A"/>
    <w:rsid w:val="007656E2"/>
    <w:rsid w:val="0076571D"/>
    <w:rsid w:val="007659D7"/>
    <w:rsid w:val="00765CFE"/>
    <w:rsid w:val="00765DA1"/>
    <w:rsid w:val="00765DE5"/>
    <w:rsid w:val="007660FA"/>
    <w:rsid w:val="0076638C"/>
    <w:rsid w:val="007664E4"/>
    <w:rsid w:val="007664E8"/>
    <w:rsid w:val="00766570"/>
    <w:rsid w:val="0076658A"/>
    <w:rsid w:val="007665A3"/>
    <w:rsid w:val="007665CA"/>
    <w:rsid w:val="00766815"/>
    <w:rsid w:val="00766C89"/>
    <w:rsid w:val="00766E35"/>
    <w:rsid w:val="00766E7A"/>
    <w:rsid w:val="00766EC0"/>
    <w:rsid w:val="00766F31"/>
    <w:rsid w:val="00767073"/>
    <w:rsid w:val="007670A7"/>
    <w:rsid w:val="007670F4"/>
    <w:rsid w:val="007670F7"/>
    <w:rsid w:val="007672B2"/>
    <w:rsid w:val="007672C6"/>
    <w:rsid w:val="0076737D"/>
    <w:rsid w:val="00767567"/>
    <w:rsid w:val="0076760C"/>
    <w:rsid w:val="00767919"/>
    <w:rsid w:val="00767977"/>
    <w:rsid w:val="00767A3A"/>
    <w:rsid w:val="00767B4C"/>
    <w:rsid w:val="00767CBC"/>
    <w:rsid w:val="00767D0A"/>
    <w:rsid w:val="00770081"/>
    <w:rsid w:val="00770219"/>
    <w:rsid w:val="00770268"/>
    <w:rsid w:val="0077035A"/>
    <w:rsid w:val="0077039D"/>
    <w:rsid w:val="00770461"/>
    <w:rsid w:val="0077049B"/>
    <w:rsid w:val="007705A1"/>
    <w:rsid w:val="00770667"/>
    <w:rsid w:val="007707F3"/>
    <w:rsid w:val="00770831"/>
    <w:rsid w:val="007708C2"/>
    <w:rsid w:val="00770964"/>
    <w:rsid w:val="00770C5E"/>
    <w:rsid w:val="00770CAC"/>
    <w:rsid w:val="00770E25"/>
    <w:rsid w:val="00770EF6"/>
    <w:rsid w:val="00770FF6"/>
    <w:rsid w:val="007710A0"/>
    <w:rsid w:val="00771185"/>
    <w:rsid w:val="00771193"/>
    <w:rsid w:val="0077120A"/>
    <w:rsid w:val="007712A8"/>
    <w:rsid w:val="007712E5"/>
    <w:rsid w:val="00771370"/>
    <w:rsid w:val="0077146E"/>
    <w:rsid w:val="007714F2"/>
    <w:rsid w:val="00771916"/>
    <w:rsid w:val="007719EF"/>
    <w:rsid w:val="00771B0A"/>
    <w:rsid w:val="00771B3E"/>
    <w:rsid w:val="00771BC8"/>
    <w:rsid w:val="00771D78"/>
    <w:rsid w:val="00771DA4"/>
    <w:rsid w:val="00771F0F"/>
    <w:rsid w:val="00771F2C"/>
    <w:rsid w:val="00771FCD"/>
    <w:rsid w:val="00772055"/>
    <w:rsid w:val="007724BA"/>
    <w:rsid w:val="007725D6"/>
    <w:rsid w:val="007725EE"/>
    <w:rsid w:val="00772982"/>
    <w:rsid w:val="00772AFE"/>
    <w:rsid w:val="00772BD4"/>
    <w:rsid w:val="00772CB0"/>
    <w:rsid w:val="00772CE5"/>
    <w:rsid w:val="00772CF7"/>
    <w:rsid w:val="00772D13"/>
    <w:rsid w:val="00772D27"/>
    <w:rsid w:val="00772D53"/>
    <w:rsid w:val="00772DD9"/>
    <w:rsid w:val="00772E29"/>
    <w:rsid w:val="00772E39"/>
    <w:rsid w:val="00772E62"/>
    <w:rsid w:val="007730BC"/>
    <w:rsid w:val="00773153"/>
    <w:rsid w:val="0077324F"/>
    <w:rsid w:val="007732B7"/>
    <w:rsid w:val="00773303"/>
    <w:rsid w:val="00773683"/>
    <w:rsid w:val="00773690"/>
    <w:rsid w:val="0077372B"/>
    <w:rsid w:val="0077386D"/>
    <w:rsid w:val="00773C0F"/>
    <w:rsid w:val="00773C6F"/>
    <w:rsid w:val="00773C9E"/>
    <w:rsid w:val="00773E4B"/>
    <w:rsid w:val="0077405C"/>
    <w:rsid w:val="0077408B"/>
    <w:rsid w:val="00774310"/>
    <w:rsid w:val="007746DC"/>
    <w:rsid w:val="00774717"/>
    <w:rsid w:val="00774791"/>
    <w:rsid w:val="007749A5"/>
    <w:rsid w:val="007749DB"/>
    <w:rsid w:val="00774B24"/>
    <w:rsid w:val="00774C50"/>
    <w:rsid w:val="00774C7C"/>
    <w:rsid w:val="00774CE3"/>
    <w:rsid w:val="00774D13"/>
    <w:rsid w:val="00774D78"/>
    <w:rsid w:val="00774E3C"/>
    <w:rsid w:val="0077578A"/>
    <w:rsid w:val="00775978"/>
    <w:rsid w:val="00775B60"/>
    <w:rsid w:val="00775B6B"/>
    <w:rsid w:val="00775C66"/>
    <w:rsid w:val="00775DA1"/>
    <w:rsid w:val="00775DC3"/>
    <w:rsid w:val="00776117"/>
    <w:rsid w:val="00776142"/>
    <w:rsid w:val="0077614D"/>
    <w:rsid w:val="00776232"/>
    <w:rsid w:val="007762E3"/>
    <w:rsid w:val="0077637E"/>
    <w:rsid w:val="007766CF"/>
    <w:rsid w:val="007766E4"/>
    <w:rsid w:val="0077690C"/>
    <w:rsid w:val="00776A49"/>
    <w:rsid w:val="00776B9B"/>
    <w:rsid w:val="00776C2E"/>
    <w:rsid w:val="00776CF4"/>
    <w:rsid w:val="00776DEE"/>
    <w:rsid w:val="0077725A"/>
    <w:rsid w:val="0077738F"/>
    <w:rsid w:val="00777480"/>
    <w:rsid w:val="007774C7"/>
    <w:rsid w:val="00777522"/>
    <w:rsid w:val="00777798"/>
    <w:rsid w:val="007777A3"/>
    <w:rsid w:val="00777834"/>
    <w:rsid w:val="007778DC"/>
    <w:rsid w:val="00777901"/>
    <w:rsid w:val="007779BA"/>
    <w:rsid w:val="00777A2E"/>
    <w:rsid w:val="00777BFD"/>
    <w:rsid w:val="00777E2A"/>
    <w:rsid w:val="00777E49"/>
    <w:rsid w:val="00777F02"/>
    <w:rsid w:val="00777F81"/>
    <w:rsid w:val="0078012A"/>
    <w:rsid w:val="0078026B"/>
    <w:rsid w:val="0078035C"/>
    <w:rsid w:val="007803B5"/>
    <w:rsid w:val="00780475"/>
    <w:rsid w:val="007805CC"/>
    <w:rsid w:val="007806FD"/>
    <w:rsid w:val="00780734"/>
    <w:rsid w:val="0078078D"/>
    <w:rsid w:val="00780CDF"/>
    <w:rsid w:val="00780D70"/>
    <w:rsid w:val="00780EAA"/>
    <w:rsid w:val="00780FC8"/>
    <w:rsid w:val="0078100E"/>
    <w:rsid w:val="007810FB"/>
    <w:rsid w:val="00781214"/>
    <w:rsid w:val="00781245"/>
    <w:rsid w:val="0078131A"/>
    <w:rsid w:val="00781367"/>
    <w:rsid w:val="007815E4"/>
    <w:rsid w:val="0078171F"/>
    <w:rsid w:val="0078174C"/>
    <w:rsid w:val="00781802"/>
    <w:rsid w:val="00781842"/>
    <w:rsid w:val="007819FD"/>
    <w:rsid w:val="00781A76"/>
    <w:rsid w:val="00781AA4"/>
    <w:rsid w:val="00781B0A"/>
    <w:rsid w:val="00781B2C"/>
    <w:rsid w:val="00781BE6"/>
    <w:rsid w:val="00781BEF"/>
    <w:rsid w:val="00781C15"/>
    <w:rsid w:val="00781C27"/>
    <w:rsid w:val="00781FA0"/>
    <w:rsid w:val="00781FA3"/>
    <w:rsid w:val="007820E9"/>
    <w:rsid w:val="0078220E"/>
    <w:rsid w:val="007822F8"/>
    <w:rsid w:val="00782410"/>
    <w:rsid w:val="007824B6"/>
    <w:rsid w:val="007825F2"/>
    <w:rsid w:val="00782646"/>
    <w:rsid w:val="00782690"/>
    <w:rsid w:val="00782722"/>
    <w:rsid w:val="007827CE"/>
    <w:rsid w:val="00782936"/>
    <w:rsid w:val="007829A3"/>
    <w:rsid w:val="007829AA"/>
    <w:rsid w:val="00782AE1"/>
    <w:rsid w:val="00782B95"/>
    <w:rsid w:val="00782E02"/>
    <w:rsid w:val="00782E04"/>
    <w:rsid w:val="00782E68"/>
    <w:rsid w:val="00782F0A"/>
    <w:rsid w:val="0078312C"/>
    <w:rsid w:val="00783153"/>
    <w:rsid w:val="00783259"/>
    <w:rsid w:val="00783277"/>
    <w:rsid w:val="0078352E"/>
    <w:rsid w:val="0078352F"/>
    <w:rsid w:val="00783563"/>
    <w:rsid w:val="0078360B"/>
    <w:rsid w:val="0078361A"/>
    <w:rsid w:val="007837DA"/>
    <w:rsid w:val="007837EB"/>
    <w:rsid w:val="007837F9"/>
    <w:rsid w:val="0078392B"/>
    <w:rsid w:val="00783BB3"/>
    <w:rsid w:val="00783BCD"/>
    <w:rsid w:val="00783C02"/>
    <w:rsid w:val="00783DE8"/>
    <w:rsid w:val="00783F4A"/>
    <w:rsid w:val="00784036"/>
    <w:rsid w:val="0078412B"/>
    <w:rsid w:val="00784407"/>
    <w:rsid w:val="00784442"/>
    <w:rsid w:val="007844FA"/>
    <w:rsid w:val="0078455B"/>
    <w:rsid w:val="00784630"/>
    <w:rsid w:val="007847CB"/>
    <w:rsid w:val="007849AF"/>
    <w:rsid w:val="00784A91"/>
    <w:rsid w:val="00784ABE"/>
    <w:rsid w:val="00784BE8"/>
    <w:rsid w:val="00784D45"/>
    <w:rsid w:val="00784D80"/>
    <w:rsid w:val="00784F30"/>
    <w:rsid w:val="00784F79"/>
    <w:rsid w:val="00785175"/>
    <w:rsid w:val="00785244"/>
    <w:rsid w:val="0078528F"/>
    <w:rsid w:val="00785290"/>
    <w:rsid w:val="00785352"/>
    <w:rsid w:val="00785378"/>
    <w:rsid w:val="007853E8"/>
    <w:rsid w:val="00785451"/>
    <w:rsid w:val="00785539"/>
    <w:rsid w:val="007856C4"/>
    <w:rsid w:val="007858EB"/>
    <w:rsid w:val="00785953"/>
    <w:rsid w:val="00785AC0"/>
    <w:rsid w:val="00785AEE"/>
    <w:rsid w:val="00785DCB"/>
    <w:rsid w:val="00785FDD"/>
    <w:rsid w:val="00786192"/>
    <w:rsid w:val="0078622C"/>
    <w:rsid w:val="007862D4"/>
    <w:rsid w:val="007864D7"/>
    <w:rsid w:val="00786564"/>
    <w:rsid w:val="00786583"/>
    <w:rsid w:val="00786778"/>
    <w:rsid w:val="007868FF"/>
    <w:rsid w:val="007869F2"/>
    <w:rsid w:val="00786BFC"/>
    <w:rsid w:val="00787091"/>
    <w:rsid w:val="007872F9"/>
    <w:rsid w:val="0078734B"/>
    <w:rsid w:val="00787376"/>
    <w:rsid w:val="00787692"/>
    <w:rsid w:val="00787700"/>
    <w:rsid w:val="00787777"/>
    <w:rsid w:val="007879A7"/>
    <w:rsid w:val="00787A46"/>
    <w:rsid w:val="00787AF1"/>
    <w:rsid w:val="00787B2F"/>
    <w:rsid w:val="00787BA5"/>
    <w:rsid w:val="00787D9D"/>
    <w:rsid w:val="00787EA7"/>
    <w:rsid w:val="00790117"/>
    <w:rsid w:val="00790505"/>
    <w:rsid w:val="00790538"/>
    <w:rsid w:val="0079058F"/>
    <w:rsid w:val="007905CF"/>
    <w:rsid w:val="0079068E"/>
    <w:rsid w:val="0079087E"/>
    <w:rsid w:val="007908C7"/>
    <w:rsid w:val="0079098F"/>
    <w:rsid w:val="00790BF7"/>
    <w:rsid w:val="00790C36"/>
    <w:rsid w:val="00790CE4"/>
    <w:rsid w:val="00790D39"/>
    <w:rsid w:val="00790E11"/>
    <w:rsid w:val="00790E3B"/>
    <w:rsid w:val="00790EE9"/>
    <w:rsid w:val="0079105E"/>
    <w:rsid w:val="00791275"/>
    <w:rsid w:val="00791354"/>
    <w:rsid w:val="007913B7"/>
    <w:rsid w:val="00791460"/>
    <w:rsid w:val="0079152E"/>
    <w:rsid w:val="007915C7"/>
    <w:rsid w:val="007918F4"/>
    <w:rsid w:val="007919BA"/>
    <w:rsid w:val="007919D7"/>
    <w:rsid w:val="00791ACC"/>
    <w:rsid w:val="00791BCB"/>
    <w:rsid w:val="00791D9A"/>
    <w:rsid w:val="00791E6D"/>
    <w:rsid w:val="007920D4"/>
    <w:rsid w:val="00792131"/>
    <w:rsid w:val="00792157"/>
    <w:rsid w:val="00792411"/>
    <w:rsid w:val="00792428"/>
    <w:rsid w:val="0079262F"/>
    <w:rsid w:val="007926CB"/>
    <w:rsid w:val="00792735"/>
    <w:rsid w:val="0079276D"/>
    <w:rsid w:val="007927FC"/>
    <w:rsid w:val="0079291E"/>
    <w:rsid w:val="007929CC"/>
    <w:rsid w:val="00792A4C"/>
    <w:rsid w:val="00792B10"/>
    <w:rsid w:val="00792CF3"/>
    <w:rsid w:val="00792DCD"/>
    <w:rsid w:val="00792EB2"/>
    <w:rsid w:val="00792FE9"/>
    <w:rsid w:val="007930EA"/>
    <w:rsid w:val="0079314B"/>
    <w:rsid w:val="00793156"/>
    <w:rsid w:val="007931C8"/>
    <w:rsid w:val="00793247"/>
    <w:rsid w:val="007932CD"/>
    <w:rsid w:val="0079330E"/>
    <w:rsid w:val="0079335D"/>
    <w:rsid w:val="0079335F"/>
    <w:rsid w:val="0079339D"/>
    <w:rsid w:val="007933BE"/>
    <w:rsid w:val="007935EA"/>
    <w:rsid w:val="00793676"/>
    <w:rsid w:val="0079384D"/>
    <w:rsid w:val="00793931"/>
    <w:rsid w:val="00793A04"/>
    <w:rsid w:val="00793A3F"/>
    <w:rsid w:val="00793AC5"/>
    <w:rsid w:val="00793C04"/>
    <w:rsid w:val="00793C2E"/>
    <w:rsid w:val="00793D6B"/>
    <w:rsid w:val="00793FC2"/>
    <w:rsid w:val="007942CD"/>
    <w:rsid w:val="0079448A"/>
    <w:rsid w:val="0079448B"/>
    <w:rsid w:val="00794898"/>
    <w:rsid w:val="00794A2C"/>
    <w:rsid w:val="00794AA7"/>
    <w:rsid w:val="00794AC6"/>
    <w:rsid w:val="00794BD8"/>
    <w:rsid w:val="00794C53"/>
    <w:rsid w:val="00794D8B"/>
    <w:rsid w:val="00794DD4"/>
    <w:rsid w:val="00795197"/>
    <w:rsid w:val="0079525B"/>
    <w:rsid w:val="00795345"/>
    <w:rsid w:val="0079536E"/>
    <w:rsid w:val="007953F8"/>
    <w:rsid w:val="007953FE"/>
    <w:rsid w:val="0079551A"/>
    <w:rsid w:val="0079562B"/>
    <w:rsid w:val="00795707"/>
    <w:rsid w:val="007957A4"/>
    <w:rsid w:val="0079589D"/>
    <w:rsid w:val="007958CA"/>
    <w:rsid w:val="0079590D"/>
    <w:rsid w:val="00795997"/>
    <w:rsid w:val="00795B05"/>
    <w:rsid w:val="00795B53"/>
    <w:rsid w:val="00795C26"/>
    <w:rsid w:val="00795C87"/>
    <w:rsid w:val="00795F2F"/>
    <w:rsid w:val="00796001"/>
    <w:rsid w:val="007960E8"/>
    <w:rsid w:val="0079621E"/>
    <w:rsid w:val="00796257"/>
    <w:rsid w:val="0079640C"/>
    <w:rsid w:val="007964F1"/>
    <w:rsid w:val="00796528"/>
    <w:rsid w:val="00796698"/>
    <w:rsid w:val="0079677E"/>
    <w:rsid w:val="007969AA"/>
    <w:rsid w:val="00796C2C"/>
    <w:rsid w:val="00796D8C"/>
    <w:rsid w:val="0079710E"/>
    <w:rsid w:val="00797179"/>
    <w:rsid w:val="00797195"/>
    <w:rsid w:val="00797227"/>
    <w:rsid w:val="00797498"/>
    <w:rsid w:val="00797572"/>
    <w:rsid w:val="007978AC"/>
    <w:rsid w:val="007978ED"/>
    <w:rsid w:val="007978FA"/>
    <w:rsid w:val="00797BF2"/>
    <w:rsid w:val="00797C74"/>
    <w:rsid w:val="00797D9F"/>
    <w:rsid w:val="00797DB0"/>
    <w:rsid w:val="00797EF3"/>
    <w:rsid w:val="007A010A"/>
    <w:rsid w:val="007A0289"/>
    <w:rsid w:val="007A02D7"/>
    <w:rsid w:val="007A05E2"/>
    <w:rsid w:val="007A0ABF"/>
    <w:rsid w:val="007A0D3B"/>
    <w:rsid w:val="007A0DE1"/>
    <w:rsid w:val="007A0E5C"/>
    <w:rsid w:val="007A101C"/>
    <w:rsid w:val="007A13B2"/>
    <w:rsid w:val="007A18CF"/>
    <w:rsid w:val="007A1976"/>
    <w:rsid w:val="007A19CA"/>
    <w:rsid w:val="007A1B7C"/>
    <w:rsid w:val="007A1BDA"/>
    <w:rsid w:val="007A1CC0"/>
    <w:rsid w:val="007A1D66"/>
    <w:rsid w:val="007A1DC6"/>
    <w:rsid w:val="007A1E6D"/>
    <w:rsid w:val="007A1E7D"/>
    <w:rsid w:val="007A1F29"/>
    <w:rsid w:val="007A201C"/>
    <w:rsid w:val="007A2049"/>
    <w:rsid w:val="007A20C1"/>
    <w:rsid w:val="007A2180"/>
    <w:rsid w:val="007A21BB"/>
    <w:rsid w:val="007A21DE"/>
    <w:rsid w:val="007A2751"/>
    <w:rsid w:val="007A2787"/>
    <w:rsid w:val="007A27CC"/>
    <w:rsid w:val="007A29B1"/>
    <w:rsid w:val="007A2A5D"/>
    <w:rsid w:val="007A2ACC"/>
    <w:rsid w:val="007A2B41"/>
    <w:rsid w:val="007A2C5E"/>
    <w:rsid w:val="007A2C90"/>
    <w:rsid w:val="007A2D52"/>
    <w:rsid w:val="007A2FB9"/>
    <w:rsid w:val="007A2FD9"/>
    <w:rsid w:val="007A3087"/>
    <w:rsid w:val="007A33ED"/>
    <w:rsid w:val="007A341A"/>
    <w:rsid w:val="007A34FF"/>
    <w:rsid w:val="007A355A"/>
    <w:rsid w:val="007A3596"/>
    <w:rsid w:val="007A37E4"/>
    <w:rsid w:val="007A3875"/>
    <w:rsid w:val="007A3AC9"/>
    <w:rsid w:val="007A3C95"/>
    <w:rsid w:val="007A3E1D"/>
    <w:rsid w:val="007A3E3B"/>
    <w:rsid w:val="007A3F8A"/>
    <w:rsid w:val="007A405B"/>
    <w:rsid w:val="007A408C"/>
    <w:rsid w:val="007A40D4"/>
    <w:rsid w:val="007A4164"/>
    <w:rsid w:val="007A4246"/>
    <w:rsid w:val="007A4414"/>
    <w:rsid w:val="007A44A9"/>
    <w:rsid w:val="007A457D"/>
    <w:rsid w:val="007A459E"/>
    <w:rsid w:val="007A468D"/>
    <w:rsid w:val="007A4A6C"/>
    <w:rsid w:val="007A4A78"/>
    <w:rsid w:val="007A4BD4"/>
    <w:rsid w:val="007A4EDC"/>
    <w:rsid w:val="007A4F94"/>
    <w:rsid w:val="007A5073"/>
    <w:rsid w:val="007A5161"/>
    <w:rsid w:val="007A5178"/>
    <w:rsid w:val="007A529E"/>
    <w:rsid w:val="007A53FE"/>
    <w:rsid w:val="007A561E"/>
    <w:rsid w:val="007A5686"/>
    <w:rsid w:val="007A572A"/>
    <w:rsid w:val="007A586C"/>
    <w:rsid w:val="007A5AF9"/>
    <w:rsid w:val="007A5CEC"/>
    <w:rsid w:val="007A5DE4"/>
    <w:rsid w:val="007A5F4B"/>
    <w:rsid w:val="007A602A"/>
    <w:rsid w:val="007A60AB"/>
    <w:rsid w:val="007A612B"/>
    <w:rsid w:val="007A63F6"/>
    <w:rsid w:val="007A6492"/>
    <w:rsid w:val="007A65C5"/>
    <w:rsid w:val="007A66FA"/>
    <w:rsid w:val="007A6712"/>
    <w:rsid w:val="007A6883"/>
    <w:rsid w:val="007A6924"/>
    <w:rsid w:val="007A6A10"/>
    <w:rsid w:val="007A6A38"/>
    <w:rsid w:val="007A6AD1"/>
    <w:rsid w:val="007A6B50"/>
    <w:rsid w:val="007A6B66"/>
    <w:rsid w:val="007A6BFC"/>
    <w:rsid w:val="007A6C8B"/>
    <w:rsid w:val="007A6CF9"/>
    <w:rsid w:val="007A6D27"/>
    <w:rsid w:val="007A6DAD"/>
    <w:rsid w:val="007A6E5A"/>
    <w:rsid w:val="007A705E"/>
    <w:rsid w:val="007A70D1"/>
    <w:rsid w:val="007A7289"/>
    <w:rsid w:val="007A73A4"/>
    <w:rsid w:val="007A7420"/>
    <w:rsid w:val="007A75F2"/>
    <w:rsid w:val="007A764B"/>
    <w:rsid w:val="007A76E3"/>
    <w:rsid w:val="007A784D"/>
    <w:rsid w:val="007A78A0"/>
    <w:rsid w:val="007A7915"/>
    <w:rsid w:val="007A7A4C"/>
    <w:rsid w:val="007A7AC9"/>
    <w:rsid w:val="007A7B36"/>
    <w:rsid w:val="007A7C28"/>
    <w:rsid w:val="007A7C3D"/>
    <w:rsid w:val="007A7D73"/>
    <w:rsid w:val="007A7E53"/>
    <w:rsid w:val="007A7FA1"/>
    <w:rsid w:val="007A7FFE"/>
    <w:rsid w:val="007B003B"/>
    <w:rsid w:val="007B015A"/>
    <w:rsid w:val="007B0188"/>
    <w:rsid w:val="007B018D"/>
    <w:rsid w:val="007B04C1"/>
    <w:rsid w:val="007B0671"/>
    <w:rsid w:val="007B06DE"/>
    <w:rsid w:val="007B0861"/>
    <w:rsid w:val="007B096A"/>
    <w:rsid w:val="007B0DE1"/>
    <w:rsid w:val="007B1142"/>
    <w:rsid w:val="007B139B"/>
    <w:rsid w:val="007B1473"/>
    <w:rsid w:val="007B154C"/>
    <w:rsid w:val="007B160D"/>
    <w:rsid w:val="007B16DA"/>
    <w:rsid w:val="007B17E1"/>
    <w:rsid w:val="007B17F6"/>
    <w:rsid w:val="007B1831"/>
    <w:rsid w:val="007B18F5"/>
    <w:rsid w:val="007B1991"/>
    <w:rsid w:val="007B1AD3"/>
    <w:rsid w:val="007B1BD5"/>
    <w:rsid w:val="007B1C2E"/>
    <w:rsid w:val="007B1C9C"/>
    <w:rsid w:val="007B1DBD"/>
    <w:rsid w:val="007B1FB1"/>
    <w:rsid w:val="007B206B"/>
    <w:rsid w:val="007B20FC"/>
    <w:rsid w:val="007B218E"/>
    <w:rsid w:val="007B22DC"/>
    <w:rsid w:val="007B261C"/>
    <w:rsid w:val="007B26E4"/>
    <w:rsid w:val="007B275B"/>
    <w:rsid w:val="007B28E9"/>
    <w:rsid w:val="007B2928"/>
    <w:rsid w:val="007B2AD0"/>
    <w:rsid w:val="007B2B05"/>
    <w:rsid w:val="007B2F0C"/>
    <w:rsid w:val="007B2F2E"/>
    <w:rsid w:val="007B3080"/>
    <w:rsid w:val="007B3151"/>
    <w:rsid w:val="007B3171"/>
    <w:rsid w:val="007B33A5"/>
    <w:rsid w:val="007B3429"/>
    <w:rsid w:val="007B34D1"/>
    <w:rsid w:val="007B34E5"/>
    <w:rsid w:val="007B358E"/>
    <w:rsid w:val="007B35A0"/>
    <w:rsid w:val="007B3731"/>
    <w:rsid w:val="007B3744"/>
    <w:rsid w:val="007B3769"/>
    <w:rsid w:val="007B3784"/>
    <w:rsid w:val="007B3B14"/>
    <w:rsid w:val="007B3B60"/>
    <w:rsid w:val="007B3E93"/>
    <w:rsid w:val="007B42FB"/>
    <w:rsid w:val="007B4439"/>
    <w:rsid w:val="007B4483"/>
    <w:rsid w:val="007B4565"/>
    <w:rsid w:val="007B4575"/>
    <w:rsid w:val="007B466F"/>
    <w:rsid w:val="007B472F"/>
    <w:rsid w:val="007B47C1"/>
    <w:rsid w:val="007B48E1"/>
    <w:rsid w:val="007B4975"/>
    <w:rsid w:val="007B49AC"/>
    <w:rsid w:val="007B4B4D"/>
    <w:rsid w:val="007B4CFB"/>
    <w:rsid w:val="007B4DFB"/>
    <w:rsid w:val="007B514A"/>
    <w:rsid w:val="007B51DC"/>
    <w:rsid w:val="007B522A"/>
    <w:rsid w:val="007B524A"/>
    <w:rsid w:val="007B527E"/>
    <w:rsid w:val="007B527F"/>
    <w:rsid w:val="007B5335"/>
    <w:rsid w:val="007B5336"/>
    <w:rsid w:val="007B542B"/>
    <w:rsid w:val="007B5590"/>
    <w:rsid w:val="007B55AE"/>
    <w:rsid w:val="007B5605"/>
    <w:rsid w:val="007B577E"/>
    <w:rsid w:val="007B58F8"/>
    <w:rsid w:val="007B5A21"/>
    <w:rsid w:val="007B5A87"/>
    <w:rsid w:val="007B5AE3"/>
    <w:rsid w:val="007B5B91"/>
    <w:rsid w:val="007B5BA6"/>
    <w:rsid w:val="007B5C52"/>
    <w:rsid w:val="007B5D05"/>
    <w:rsid w:val="007B5DB8"/>
    <w:rsid w:val="007B5F10"/>
    <w:rsid w:val="007B5F43"/>
    <w:rsid w:val="007B605D"/>
    <w:rsid w:val="007B609A"/>
    <w:rsid w:val="007B60ED"/>
    <w:rsid w:val="007B61C7"/>
    <w:rsid w:val="007B623E"/>
    <w:rsid w:val="007B6400"/>
    <w:rsid w:val="007B64FE"/>
    <w:rsid w:val="007B6809"/>
    <w:rsid w:val="007B689D"/>
    <w:rsid w:val="007B68F8"/>
    <w:rsid w:val="007B695B"/>
    <w:rsid w:val="007B6985"/>
    <w:rsid w:val="007B69B7"/>
    <w:rsid w:val="007B6AE7"/>
    <w:rsid w:val="007B6B16"/>
    <w:rsid w:val="007B6B5D"/>
    <w:rsid w:val="007B6C51"/>
    <w:rsid w:val="007B6C57"/>
    <w:rsid w:val="007B6C7E"/>
    <w:rsid w:val="007B6D48"/>
    <w:rsid w:val="007B6F5D"/>
    <w:rsid w:val="007B70DD"/>
    <w:rsid w:val="007B738A"/>
    <w:rsid w:val="007B7461"/>
    <w:rsid w:val="007B756A"/>
    <w:rsid w:val="007B76A6"/>
    <w:rsid w:val="007B7748"/>
    <w:rsid w:val="007B7762"/>
    <w:rsid w:val="007B77A8"/>
    <w:rsid w:val="007B78C7"/>
    <w:rsid w:val="007B7913"/>
    <w:rsid w:val="007B79F1"/>
    <w:rsid w:val="007B7A18"/>
    <w:rsid w:val="007B7A83"/>
    <w:rsid w:val="007B7CDF"/>
    <w:rsid w:val="007B7D77"/>
    <w:rsid w:val="007B7DB4"/>
    <w:rsid w:val="007B7DD7"/>
    <w:rsid w:val="007B7DFD"/>
    <w:rsid w:val="007B7E7E"/>
    <w:rsid w:val="007B7EF9"/>
    <w:rsid w:val="007C005C"/>
    <w:rsid w:val="007C00DA"/>
    <w:rsid w:val="007C00FE"/>
    <w:rsid w:val="007C0220"/>
    <w:rsid w:val="007C0228"/>
    <w:rsid w:val="007C05BE"/>
    <w:rsid w:val="007C0686"/>
    <w:rsid w:val="007C06D6"/>
    <w:rsid w:val="007C07E8"/>
    <w:rsid w:val="007C0B1F"/>
    <w:rsid w:val="007C0BB5"/>
    <w:rsid w:val="007C0D10"/>
    <w:rsid w:val="007C0D97"/>
    <w:rsid w:val="007C0E1B"/>
    <w:rsid w:val="007C0E5E"/>
    <w:rsid w:val="007C0F12"/>
    <w:rsid w:val="007C104B"/>
    <w:rsid w:val="007C10BD"/>
    <w:rsid w:val="007C125D"/>
    <w:rsid w:val="007C12EA"/>
    <w:rsid w:val="007C1359"/>
    <w:rsid w:val="007C1403"/>
    <w:rsid w:val="007C140E"/>
    <w:rsid w:val="007C14D4"/>
    <w:rsid w:val="007C153C"/>
    <w:rsid w:val="007C1713"/>
    <w:rsid w:val="007C1745"/>
    <w:rsid w:val="007C181C"/>
    <w:rsid w:val="007C1C27"/>
    <w:rsid w:val="007C1C71"/>
    <w:rsid w:val="007C1D38"/>
    <w:rsid w:val="007C1E68"/>
    <w:rsid w:val="007C20B2"/>
    <w:rsid w:val="007C2114"/>
    <w:rsid w:val="007C21D9"/>
    <w:rsid w:val="007C23A1"/>
    <w:rsid w:val="007C23FC"/>
    <w:rsid w:val="007C263D"/>
    <w:rsid w:val="007C2644"/>
    <w:rsid w:val="007C272E"/>
    <w:rsid w:val="007C274D"/>
    <w:rsid w:val="007C2906"/>
    <w:rsid w:val="007C2A2E"/>
    <w:rsid w:val="007C2A7E"/>
    <w:rsid w:val="007C2B1E"/>
    <w:rsid w:val="007C2C2F"/>
    <w:rsid w:val="007C2CDC"/>
    <w:rsid w:val="007C2D06"/>
    <w:rsid w:val="007C2F05"/>
    <w:rsid w:val="007C31F8"/>
    <w:rsid w:val="007C3218"/>
    <w:rsid w:val="007C323F"/>
    <w:rsid w:val="007C32AA"/>
    <w:rsid w:val="007C3340"/>
    <w:rsid w:val="007C3348"/>
    <w:rsid w:val="007C37CA"/>
    <w:rsid w:val="007C3823"/>
    <w:rsid w:val="007C385D"/>
    <w:rsid w:val="007C3A4C"/>
    <w:rsid w:val="007C3AE5"/>
    <w:rsid w:val="007C3B06"/>
    <w:rsid w:val="007C3B78"/>
    <w:rsid w:val="007C3FA7"/>
    <w:rsid w:val="007C3FBF"/>
    <w:rsid w:val="007C4074"/>
    <w:rsid w:val="007C4115"/>
    <w:rsid w:val="007C42EA"/>
    <w:rsid w:val="007C4630"/>
    <w:rsid w:val="007C4705"/>
    <w:rsid w:val="007C4763"/>
    <w:rsid w:val="007C47D0"/>
    <w:rsid w:val="007C47D8"/>
    <w:rsid w:val="007C4839"/>
    <w:rsid w:val="007C4A22"/>
    <w:rsid w:val="007C4C08"/>
    <w:rsid w:val="007C4CCF"/>
    <w:rsid w:val="007C4DDD"/>
    <w:rsid w:val="007C4E02"/>
    <w:rsid w:val="007C4EA0"/>
    <w:rsid w:val="007C5082"/>
    <w:rsid w:val="007C5190"/>
    <w:rsid w:val="007C527C"/>
    <w:rsid w:val="007C550B"/>
    <w:rsid w:val="007C5531"/>
    <w:rsid w:val="007C5555"/>
    <w:rsid w:val="007C577B"/>
    <w:rsid w:val="007C57A2"/>
    <w:rsid w:val="007C58A6"/>
    <w:rsid w:val="007C5961"/>
    <w:rsid w:val="007C59DD"/>
    <w:rsid w:val="007C5A14"/>
    <w:rsid w:val="007C5A25"/>
    <w:rsid w:val="007C5A7A"/>
    <w:rsid w:val="007C5B43"/>
    <w:rsid w:val="007C5BB6"/>
    <w:rsid w:val="007C5BFA"/>
    <w:rsid w:val="007C5D9F"/>
    <w:rsid w:val="007C5E0A"/>
    <w:rsid w:val="007C5E5C"/>
    <w:rsid w:val="007C5F77"/>
    <w:rsid w:val="007C5F83"/>
    <w:rsid w:val="007C602E"/>
    <w:rsid w:val="007C607A"/>
    <w:rsid w:val="007C6100"/>
    <w:rsid w:val="007C6149"/>
    <w:rsid w:val="007C6199"/>
    <w:rsid w:val="007C61EB"/>
    <w:rsid w:val="007C622A"/>
    <w:rsid w:val="007C6422"/>
    <w:rsid w:val="007C642A"/>
    <w:rsid w:val="007C64AF"/>
    <w:rsid w:val="007C65C4"/>
    <w:rsid w:val="007C65E8"/>
    <w:rsid w:val="007C67CC"/>
    <w:rsid w:val="007C6831"/>
    <w:rsid w:val="007C6995"/>
    <w:rsid w:val="007C69DC"/>
    <w:rsid w:val="007C6A5D"/>
    <w:rsid w:val="007C6A7E"/>
    <w:rsid w:val="007C6AA3"/>
    <w:rsid w:val="007C6AB9"/>
    <w:rsid w:val="007C6FF7"/>
    <w:rsid w:val="007C711C"/>
    <w:rsid w:val="007C71A0"/>
    <w:rsid w:val="007C71B0"/>
    <w:rsid w:val="007C724A"/>
    <w:rsid w:val="007C7293"/>
    <w:rsid w:val="007C7333"/>
    <w:rsid w:val="007C7347"/>
    <w:rsid w:val="007C7516"/>
    <w:rsid w:val="007C7536"/>
    <w:rsid w:val="007C7618"/>
    <w:rsid w:val="007C76D7"/>
    <w:rsid w:val="007C77A9"/>
    <w:rsid w:val="007C77ED"/>
    <w:rsid w:val="007C7862"/>
    <w:rsid w:val="007C78F3"/>
    <w:rsid w:val="007C7B48"/>
    <w:rsid w:val="007C7B9D"/>
    <w:rsid w:val="007C7BA0"/>
    <w:rsid w:val="007C7DA9"/>
    <w:rsid w:val="007C7F51"/>
    <w:rsid w:val="007C7F93"/>
    <w:rsid w:val="007C7FC6"/>
    <w:rsid w:val="007D010F"/>
    <w:rsid w:val="007D0144"/>
    <w:rsid w:val="007D01D1"/>
    <w:rsid w:val="007D0214"/>
    <w:rsid w:val="007D02CE"/>
    <w:rsid w:val="007D0313"/>
    <w:rsid w:val="007D046F"/>
    <w:rsid w:val="007D053D"/>
    <w:rsid w:val="007D081A"/>
    <w:rsid w:val="007D09C7"/>
    <w:rsid w:val="007D09D7"/>
    <w:rsid w:val="007D0A13"/>
    <w:rsid w:val="007D0AB8"/>
    <w:rsid w:val="007D0C37"/>
    <w:rsid w:val="007D0E5C"/>
    <w:rsid w:val="007D10FC"/>
    <w:rsid w:val="007D1382"/>
    <w:rsid w:val="007D1397"/>
    <w:rsid w:val="007D1537"/>
    <w:rsid w:val="007D15F2"/>
    <w:rsid w:val="007D1755"/>
    <w:rsid w:val="007D18C8"/>
    <w:rsid w:val="007D19ED"/>
    <w:rsid w:val="007D19F1"/>
    <w:rsid w:val="007D19F5"/>
    <w:rsid w:val="007D1A45"/>
    <w:rsid w:val="007D1DE4"/>
    <w:rsid w:val="007D1F57"/>
    <w:rsid w:val="007D1F62"/>
    <w:rsid w:val="007D1F95"/>
    <w:rsid w:val="007D1FC4"/>
    <w:rsid w:val="007D2035"/>
    <w:rsid w:val="007D20B0"/>
    <w:rsid w:val="007D2362"/>
    <w:rsid w:val="007D2420"/>
    <w:rsid w:val="007D257C"/>
    <w:rsid w:val="007D25F1"/>
    <w:rsid w:val="007D2633"/>
    <w:rsid w:val="007D27E8"/>
    <w:rsid w:val="007D2999"/>
    <w:rsid w:val="007D29AE"/>
    <w:rsid w:val="007D2ECF"/>
    <w:rsid w:val="007D2F50"/>
    <w:rsid w:val="007D30B1"/>
    <w:rsid w:val="007D33C1"/>
    <w:rsid w:val="007D33F3"/>
    <w:rsid w:val="007D36AE"/>
    <w:rsid w:val="007D36DA"/>
    <w:rsid w:val="007D3819"/>
    <w:rsid w:val="007D38E2"/>
    <w:rsid w:val="007D3909"/>
    <w:rsid w:val="007D3A17"/>
    <w:rsid w:val="007D3A6C"/>
    <w:rsid w:val="007D3BF3"/>
    <w:rsid w:val="007D3CB3"/>
    <w:rsid w:val="007D3D0B"/>
    <w:rsid w:val="007D3E8C"/>
    <w:rsid w:val="007D3F2E"/>
    <w:rsid w:val="007D41A1"/>
    <w:rsid w:val="007D43AC"/>
    <w:rsid w:val="007D4463"/>
    <w:rsid w:val="007D4593"/>
    <w:rsid w:val="007D47A8"/>
    <w:rsid w:val="007D486C"/>
    <w:rsid w:val="007D4980"/>
    <w:rsid w:val="007D4A18"/>
    <w:rsid w:val="007D4A60"/>
    <w:rsid w:val="007D4B6F"/>
    <w:rsid w:val="007D4E07"/>
    <w:rsid w:val="007D4E4A"/>
    <w:rsid w:val="007D5066"/>
    <w:rsid w:val="007D50A1"/>
    <w:rsid w:val="007D50CC"/>
    <w:rsid w:val="007D5181"/>
    <w:rsid w:val="007D5310"/>
    <w:rsid w:val="007D5462"/>
    <w:rsid w:val="007D5512"/>
    <w:rsid w:val="007D57B8"/>
    <w:rsid w:val="007D5874"/>
    <w:rsid w:val="007D5883"/>
    <w:rsid w:val="007D58D6"/>
    <w:rsid w:val="007D593C"/>
    <w:rsid w:val="007D5963"/>
    <w:rsid w:val="007D5A69"/>
    <w:rsid w:val="007D5AE6"/>
    <w:rsid w:val="007D5E9E"/>
    <w:rsid w:val="007D6086"/>
    <w:rsid w:val="007D61BF"/>
    <w:rsid w:val="007D6389"/>
    <w:rsid w:val="007D6412"/>
    <w:rsid w:val="007D648A"/>
    <w:rsid w:val="007D64CF"/>
    <w:rsid w:val="007D6506"/>
    <w:rsid w:val="007D656E"/>
    <w:rsid w:val="007D65C0"/>
    <w:rsid w:val="007D678C"/>
    <w:rsid w:val="007D68E3"/>
    <w:rsid w:val="007D6979"/>
    <w:rsid w:val="007D69A5"/>
    <w:rsid w:val="007D6B83"/>
    <w:rsid w:val="007D6C4B"/>
    <w:rsid w:val="007D6D02"/>
    <w:rsid w:val="007D6D1C"/>
    <w:rsid w:val="007D6D36"/>
    <w:rsid w:val="007D6E41"/>
    <w:rsid w:val="007D6E63"/>
    <w:rsid w:val="007D6EA0"/>
    <w:rsid w:val="007D73F0"/>
    <w:rsid w:val="007D75D1"/>
    <w:rsid w:val="007D75E0"/>
    <w:rsid w:val="007D75EF"/>
    <w:rsid w:val="007D7728"/>
    <w:rsid w:val="007D776F"/>
    <w:rsid w:val="007D78CF"/>
    <w:rsid w:val="007D7989"/>
    <w:rsid w:val="007D7A5E"/>
    <w:rsid w:val="007D7C6C"/>
    <w:rsid w:val="007D7DC2"/>
    <w:rsid w:val="007E01AB"/>
    <w:rsid w:val="007E0375"/>
    <w:rsid w:val="007E0384"/>
    <w:rsid w:val="007E05F9"/>
    <w:rsid w:val="007E0831"/>
    <w:rsid w:val="007E09B5"/>
    <w:rsid w:val="007E0CA9"/>
    <w:rsid w:val="007E0DA3"/>
    <w:rsid w:val="007E0DB6"/>
    <w:rsid w:val="007E0E08"/>
    <w:rsid w:val="007E0E3D"/>
    <w:rsid w:val="007E0E5A"/>
    <w:rsid w:val="007E0F37"/>
    <w:rsid w:val="007E1170"/>
    <w:rsid w:val="007E14BD"/>
    <w:rsid w:val="007E1545"/>
    <w:rsid w:val="007E156A"/>
    <w:rsid w:val="007E15BD"/>
    <w:rsid w:val="007E15DC"/>
    <w:rsid w:val="007E15E4"/>
    <w:rsid w:val="007E187F"/>
    <w:rsid w:val="007E1991"/>
    <w:rsid w:val="007E1ACB"/>
    <w:rsid w:val="007E1C0E"/>
    <w:rsid w:val="007E1CD4"/>
    <w:rsid w:val="007E1E29"/>
    <w:rsid w:val="007E1EEA"/>
    <w:rsid w:val="007E237C"/>
    <w:rsid w:val="007E2396"/>
    <w:rsid w:val="007E2503"/>
    <w:rsid w:val="007E2683"/>
    <w:rsid w:val="007E296B"/>
    <w:rsid w:val="007E29AF"/>
    <w:rsid w:val="007E2CBF"/>
    <w:rsid w:val="007E2CF3"/>
    <w:rsid w:val="007E2D5E"/>
    <w:rsid w:val="007E2F2F"/>
    <w:rsid w:val="007E2F4E"/>
    <w:rsid w:val="007E311B"/>
    <w:rsid w:val="007E313A"/>
    <w:rsid w:val="007E31B2"/>
    <w:rsid w:val="007E3211"/>
    <w:rsid w:val="007E33E5"/>
    <w:rsid w:val="007E3517"/>
    <w:rsid w:val="007E354D"/>
    <w:rsid w:val="007E37CA"/>
    <w:rsid w:val="007E3AF0"/>
    <w:rsid w:val="007E3C69"/>
    <w:rsid w:val="007E3DAA"/>
    <w:rsid w:val="007E3DD7"/>
    <w:rsid w:val="007E4001"/>
    <w:rsid w:val="007E41A5"/>
    <w:rsid w:val="007E41AF"/>
    <w:rsid w:val="007E41BB"/>
    <w:rsid w:val="007E423C"/>
    <w:rsid w:val="007E4286"/>
    <w:rsid w:val="007E4304"/>
    <w:rsid w:val="007E4473"/>
    <w:rsid w:val="007E4480"/>
    <w:rsid w:val="007E44BD"/>
    <w:rsid w:val="007E4507"/>
    <w:rsid w:val="007E4942"/>
    <w:rsid w:val="007E4BD5"/>
    <w:rsid w:val="007E4BF2"/>
    <w:rsid w:val="007E4DD7"/>
    <w:rsid w:val="007E4E75"/>
    <w:rsid w:val="007E4EAD"/>
    <w:rsid w:val="007E4EEF"/>
    <w:rsid w:val="007E4F8D"/>
    <w:rsid w:val="007E4FAE"/>
    <w:rsid w:val="007E50B4"/>
    <w:rsid w:val="007E50D2"/>
    <w:rsid w:val="007E5162"/>
    <w:rsid w:val="007E5338"/>
    <w:rsid w:val="007E538D"/>
    <w:rsid w:val="007E54C8"/>
    <w:rsid w:val="007E56C0"/>
    <w:rsid w:val="007E580F"/>
    <w:rsid w:val="007E5878"/>
    <w:rsid w:val="007E594B"/>
    <w:rsid w:val="007E5961"/>
    <w:rsid w:val="007E5989"/>
    <w:rsid w:val="007E5BAE"/>
    <w:rsid w:val="007E5BB5"/>
    <w:rsid w:val="007E5CA2"/>
    <w:rsid w:val="007E5D91"/>
    <w:rsid w:val="007E5EA7"/>
    <w:rsid w:val="007E5EA8"/>
    <w:rsid w:val="007E5EE6"/>
    <w:rsid w:val="007E5FC5"/>
    <w:rsid w:val="007E600C"/>
    <w:rsid w:val="007E619B"/>
    <w:rsid w:val="007E6298"/>
    <w:rsid w:val="007E62F7"/>
    <w:rsid w:val="007E63C7"/>
    <w:rsid w:val="007E63FC"/>
    <w:rsid w:val="007E65E1"/>
    <w:rsid w:val="007E6793"/>
    <w:rsid w:val="007E6B90"/>
    <w:rsid w:val="007E6BE4"/>
    <w:rsid w:val="007E70EF"/>
    <w:rsid w:val="007E710F"/>
    <w:rsid w:val="007E7277"/>
    <w:rsid w:val="007E72B9"/>
    <w:rsid w:val="007E72E7"/>
    <w:rsid w:val="007E73EE"/>
    <w:rsid w:val="007E7541"/>
    <w:rsid w:val="007E7577"/>
    <w:rsid w:val="007E7581"/>
    <w:rsid w:val="007E7589"/>
    <w:rsid w:val="007E758C"/>
    <w:rsid w:val="007E7732"/>
    <w:rsid w:val="007E7A5B"/>
    <w:rsid w:val="007E7A6D"/>
    <w:rsid w:val="007E7BB5"/>
    <w:rsid w:val="007E7BFA"/>
    <w:rsid w:val="007E7CAB"/>
    <w:rsid w:val="007E7E42"/>
    <w:rsid w:val="007E7EBD"/>
    <w:rsid w:val="007E7F8D"/>
    <w:rsid w:val="007E7F9F"/>
    <w:rsid w:val="007F00B8"/>
    <w:rsid w:val="007F00D9"/>
    <w:rsid w:val="007F013A"/>
    <w:rsid w:val="007F01C2"/>
    <w:rsid w:val="007F02E0"/>
    <w:rsid w:val="007F040B"/>
    <w:rsid w:val="007F04A5"/>
    <w:rsid w:val="007F04E8"/>
    <w:rsid w:val="007F0771"/>
    <w:rsid w:val="007F07BE"/>
    <w:rsid w:val="007F0B1D"/>
    <w:rsid w:val="007F0B68"/>
    <w:rsid w:val="007F0C98"/>
    <w:rsid w:val="007F0CB7"/>
    <w:rsid w:val="007F0D1A"/>
    <w:rsid w:val="007F0F48"/>
    <w:rsid w:val="007F108A"/>
    <w:rsid w:val="007F11A5"/>
    <w:rsid w:val="007F1245"/>
    <w:rsid w:val="007F131D"/>
    <w:rsid w:val="007F13ED"/>
    <w:rsid w:val="007F1562"/>
    <w:rsid w:val="007F1798"/>
    <w:rsid w:val="007F188F"/>
    <w:rsid w:val="007F19A6"/>
    <w:rsid w:val="007F1AA4"/>
    <w:rsid w:val="007F1E5E"/>
    <w:rsid w:val="007F1F47"/>
    <w:rsid w:val="007F1FD4"/>
    <w:rsid w:val="007F2299"/>
    <w:rsid w:val="007F2301"/>
    <w:rsid w:val="007F24E7"/>
    <w:rsid w:val="007F2552"/>
    <w:rsid w:val="007F26B8"/>
    <w:rsid w:val="007F28D6"/>
    <w:rsid w:val="007F297A"/>
    <w:rsid w:val="007F29C5"/>
    <w:rsid w:val="007F2A3C"/>
    <w:rsid w:val="007F2B27"/>
    <w:rsid w:val="007F2B36"/>
    <w:rsid w:val="007F2B39"/>
    <w:rsid w:val="007F2D0A"/>
    <w:rsid w:val="007F2DE4"/>
    <w:rsid w:val="007F2E3D"/>
    <w:rsid w:val="007F2EDB"/>
    <w:rsid w:val="007F2F42"/>
    <w:rsid w:val="007F3026"/>
    <w:rsid w:val="007F343B"/>
    <w:rsid w:val="007F34A9"/>
    <w:rsid w:val="007F356E"/>
    <w:rsid w:val="007F3720"/>
    <w:rsid w:val="007F3C13"/>
    <w:rsid w:val="007F3CE4"/>
    <w:rsid w:val="007F3CF9"/>
    <w:rsid w:val="007F3D04"/>
    <w:rsid w:val="007F3D5B"/>
    <w:rsid w:val="007F3F2B"/>
    <w:rsid w:val="007F3F43"/>
    <w:rsid w:val="007F4009"/>
    <w:rsid w:val="007F4017"/>
    <w:rsid w:val="007F4041"/>
    <w:rsid w:val="007F4288"/>
    <w:rsid w:val="007F4400"/>
    <w:rsid w:val="007F4417"/>
    <w:rsid w:val="007F464C"/>
    <w:rsid w:val="007F4667"/>
    <w:rsid w:val="007F46EF"/>
    <w:rsid w:val="007F47F4"/>
    <w:rsid w:val="007F488C"/>
    <w:rsid w:val="007F4C9D"/>
    <w:rsid w:val="007F4FEA"/>
    <w:rsid w:val="007F5067"/>
    <w:rsid w:val="007F5073"/>
    <w:rsid w:val="007F5094"/>
    <w:rsid w:val="007F50B7"/>
    <w:rsid w:val="007F50B9"/>
    <w:rsid w:val="007F56C7"/>
    <w:rsid w:val="007F5733"/>
    <w:rsid w:val="007F5818"/>
    <w:rsid w:val="007F5CD6"/>
    <w:rsid w:val="007F5D6E"/>
    <w:rsid w:val="007F5D81"/>
    <w:rsid w:val="007F5FBB"/>
    <w:rsid w:val="007F5FCE"/>
    <w:rsid w:val="007F6116"/>
    <w:rsid w:val="007F615D"/>
    <w:rsid w:val="007F6247"/>
    <w:rsid w:val="007F624F"/>
    <w:rsid w:val="007F63CB"/>
    <w:rsid w:val="007F63D8"/>
    <w:rsid w:val="007F6608"/>
    <w:rsid w:val="007F6650"/>
    <w:rsid w:val="007F6727"/>
    <w:rsid w:val="007F67A7"/>
    <w:rsid w:val="007F6965"/>
    <w:rsid w:val="007F6C3B"/>
    <w:rsid w:val="007F6C85"/>
    <w:rsid w:val="007F6D6E"/>
    <w:rsid w:val="007F6E28"/>
    <w:rsid w:val="007F6E7B"/>
    <w:rsid w:val="007F6EDC"/>
    <w:rsid w:val="007F6F00"/>
    <w:rsid w:val="007F7192"/>
    <w:rsid w:val="007F71B5"/>
    <w:rsid w:val="007F71E0"/>
    <w:rsid w:val="007F7262"/>
    <w:rsid w:val="007F73E1"/>
    <w:rsid w:val="007F7493"/>
    <w:rsid w:val="007F7714"/>
    <w:rsid w:val="007F7843"/>
    <w:rsid w:val="007F7880"/>
    <w:rsid w:val="007F7A28"/>
    <w:rsid w:val="007F7A2C"/>
    <w:rsid w:val="007F7BB5"/>
    <w:rsid w:val="007F7BBC"/>
    <w:rsid w:val="007F7E51"/>
    <w:rsid w:val="007F7F26"/>
    <w:rsid w:val="007F7FC8"/>
    <w:rsid w:val="008001E8"/>
    <w:rsid w:val="00800270"/>
    <w:rsid w:val="0080030A"/>
    <w:rsid w:val="0080056D"/>
    <w:rsid w:val="0080057F"/>
    <w:rsid w:val="008005B0"/>
    <w:rsid w:val="008007AF"/>
    <w:rsid w:val="00800962"/>
    <w:rsid w:val="00800BEB"/>
    <w:rsid w:val="00800BF5"/>
    <w:rsid w:val="00800C68"/>
    <w:rsid w:val="00800D05"/>
    <w:rsid w:val="00801092"/>
    <w:rsid w:val="0080116B"/>
    <w:rsid w:val="00801193"/>
    <w:rsid w:val="00801349"/>
    <w:rsid w:val="0080137B"/>
    <w:rsid w:val="008014BC"/>
    <w:rsid w:val="00801500"/>
    <w:rsid w:val="00801560"/>
    <w:rsid w:val="0080162D"/>
    <w:rsid w:val="0080177E"/>
    <w:rsid w:val="00801793"/>
    <w:rsid w:val="008017DB"/>
    <w:rsid w:val="00801A79"/>
    <w:rsid w:val="00801A93"/>
    <w:rsid w:val="00801D1E"/>
    <w:rsid w:val="00801D86"/>
    <w:rsid w:val="00801D8A"/>
    <w:rsid w:val="00801D9C"/>
    <w:rsid w:val="00801E05"/>
    <w:rsid w:val="00801ED8"/>
    <w:rsid w:val="008023A3"/>
    <w:rsid w:val="0080240C"/>
    <w:rsid w:val="0080258D"/>
    <w:rsid w:val="0080259A"/>
    <w:rsid w:val="00802786"/>
    <w:rsid w:val="008029AB"/>
    <w:rsid w:val="00802C2F"/>
    <w:rsid w:val="00802D6A"/>
    <w:rsid w:val="00802E2C"/>
    <w:rsid w:val="00802E41"/>
    <w:rsid w:val="00802E94"/>
    <w:rsid w:val="00802EA1"/>
    <w:rsid w:val="0080312F"/>
    <w:rsid w:val="008032E6"/>
    <w:rsid w:val="008032E9"/>
    <w:rsid w:val="00803428"/>
    <w:rsid w:val="00803454"/>
    <w:rsid w:val="00803854"/>
    <w:rsid w:val="008038C0"/>
    <w:rsid w:val="00803918"/>
    <w:rsid w:val="00803AD2"/>
    <w:rsid w:val="00803C56"/>
    <w:rsid w:val="00803D72"/>
    <w:rsid w:val="00803DBF"/>
    <w:rsid w:val="00803F5F"/>
    <w:rsid w:val="00803F66"/>
    <w:rsid w:val="00803F84"/>
    <w:rsid w:val="00804169"/>
    <w:rsid w:val="0080417C"/>
    <w:rsid w:val="008041CB"/>
    <w:rsid w:val="00804207"/>
    <w:rsid w:val="0080426D"/>
    <w:rsid w:val="0080427A"/>
    <w:rsid w:val="0080439A"/>
    <w:rsid w:val="00804419"/>
    <w:rsid w:val="00804584"/>
    <w:rsid w:val="008046EE"/>
    <w:rsid w:val="0080470F"/>
    <w:rsid w:val="008048F0"/>
    <w:rsid w:val="00804931"/>
    <w:rsid w:val="0080498C"/>
    <w:rsid w:val="00804AB7"/>
    <w:rsid w:val="00804E18"/>
    <w:rsid w:val="00804E1A"/>
    <w:rsid w:val="00804EA1"/>
    <w:rsid w:val="00805228"/>
    <w:rsid w:val="008053B5"/>
    <w:rsid w:val="008053D4"/>
    <w:rsid w:val="0080548D"/>
    <w:rsid w:val="008055AF"/>
    <w:rsid w:val="008055E3"/>
    <w:rsid w:val="00805A7E"/>
    <w:rsid w:val="00805B47"/>
    <w:rsid w:val="00805D0E"/>
    <w:rsid w:val="00805DE6"/>
    <w:rsid w:val="00805EA0"/>
    <w:rsid w:val="00805EEF"/>
    <w:rsid w:val="00805F6F"/>
    <w:rsid w:val="00806023"/>
    <w:rsid w:val="008060A0"/>
    <w:rsid w:val="00806237"/>
    <w:rsid w:val="008063E0"/>
    <w:rsid w:val="00806732"/>
    <w:rsid w:val="0080678D"/>
    <w:rsid w:val="00806882"/>
    <w:rsid w:val="00806DE1"/>
    <w:rsid w:val="00806DE5"/>
    <w:rsid w:val="00806EBE"/>
    <w:rsid w:val="00806F5A"/>
    <w:rsid w:val="00806F8B"/>
    <w:rsid w:val="00807141"/>
    <w:rsid w:val="008072AA"/>
    <w:rsid w:val="008072EC"/>
    <w:rsid w:val="008072EF"/>
    <w:rsid w:val="008072F8"/>
    <w:rsid w:val="00807411"/>
    <w:rsid w:val="0080753D"/>
    <w:rsid w:val="0080757C"/>
    <w:rsid w:val="00807597"/>
    <w:rsid w:val="00807642"/>
    <w:rsid w:val="008076D4"/>
    <w:rsid w:val="0080787C"/>
    <w:rsid w:val="00807B1F"/>
    <w:rsid w:val="00807C63"/>
    <w:rsid w:val="00807C66"/>
    <w:rsid w:val="00807CC4"/>
    <w:rsid w:val="0081004B"/>
    <w:rsid w:val="008100B0"/>
    <w:rsid w:val="008102F1"/>
    <w:rsid w:val="00810462"/>
    <w:rsid w:val="00810568"/>
    <w:rsid w:val="008105FD"/>
    <w:rsid w:val="00810604"/>
    <w:rsid w:val="008106ED"/>
    <w:rsid w:val="00810817"/>
    <w:rsid w:val="008108A4"/>
    <w:rsid w:val="008108DF"/>
    <w:rsid w:val="0081095D"/>
    <w:rsid w:val="008109B9"/>
    <w:rsid w:val="00810B23"/>
    <w:rsid w:val="00810B2A"/>
    <w:rsid w:val="00810B41"/>
    <w:rsid w:val="00810E3D"/>
    <w:rsid w:val="00810EE7"/>
    <w:rsid w:val="008111DB"/>
    <w:rsid w:val="00811253"/>
    <w:rsid w:val="0081141D"/>
    <w:rsid w:val="00811547"/>
    <w:rsid w:val="00811A18"/>
    <w:rsid w:val="00811A7D"/>
    <w:rsid w:val="008123B7"/>
    <w:rsid w:val="00812400"/>
    <w:rsid w:val="0081252E"/>
    <w:rsid w:val="0081255C"/>
    <w:rsid w:val="0081267E"/>
    <w:rsid w:val="00812869"/>
    <w:rsid w:val="008128F9"/>
    <w:rsid w:val="00812A71"/>
    <w:rsid w:val="00812AC6"/>
    <w:rsid w:val="00812B8E"/>
    <w:rsid w:val="00812BB7"/>
    <w:rsid w:val="00812D8A"/>
    <w:rsid w:val="00812E9A"/>
    <w:rsid w:val="00812EA4"/>
    <w:rsid w:val="00812EEC"/>
    <w:rsid w:val="00813109"/>
    <w:rsid w:val="0081311E"/>
    <w:rsid w:val="008132F5"/>
    <w:rsid w:val="0081334F"/>
    <w:rsid w:val="0081365C"/>
    <w:rsid w:val="0081372E"/>
    <w:rsid w:val="00813762"/>
    <w:rsid w:val="00813805"/>
    <w:rsid w:val="0081382D"/>
    <w:rsid w:val="00813942"/>
    <w:rsid w:val="00813A30"/>
    <w:rsid w:val="00813AC4"/>
    <w:rsid w:val="00813B6B"/>
    <w:rsid w:val="00813BF0"/>
    <w:rsid w:val="00813D89"/>
    <w:rsid w:val="00813FD3"/>
    <w:rsid w:val="0081400B"/>
    <w:rsid w:val="0081406F"/>
    <w:rsid w:val="00814184"/>
    <w:rsid w:val="0081424B"/>
    <w:rsid w:val="0081446E"/>
    <w:rsid w:val="00814478"/>
    <w:rsid w:val="008147F7"/>
    <w:rsid w:val="008147F9"/>
    <w:rsid w:val="00814860"/>
    <w:rsid w:val="00814A75"/>
    <w:rsid w:val="00814B5D"/>
    <w:rsid w:val="00814CCE"/>
    <w:rsid w:val="00814D94"/>
    <w:rsid w:val="00814E13"/>
    <w:rsid w:val="00814FBD"/>
    <w:rsid w:val="00815069"/>
    <w:rsid w:val="0081507E"/>
    <w:rsid w:val="00815102"/>
    <w:rsid w:val="0081515C"/>
    <w:rsid w:val="00815229"/>
    <w:rsid w:val="00815309"/>
    <w:rsid w:val="00815506"/>
    <w:rsid w:val="00815556"/>
    <w:rsid w:val="008155A5"/>
    <w:rsid w:val="008156FB"/>
    <w:rsid w:val="00815783"/>
    <w:rsid w:val="008158BE"/>
    <w:rsid w:val="0081594C"/>
    <w:rsid w:val="00815B53"/>
    <w:rsid w:val="00815D14"/>
    <w:rsid w:val="00815D36"/>
    <w:rsid w:val="00815F54"/>
    <w:rsid w:val="00815FA6"/>
    <w:rsid w:val="00816080"/>
    <w:rsid w:val="008163C9"/>
    <w:rsid w:val="008165B7"/>
    <w:rsid w:val="008165ED"/>
    <w:rsid w:val="00816869"/>
    <w:rsid w:val="00816941"/>
    <w:rsid w:val="00816A60"/>
    <w:rsid w:val="00816A7D"/>
    <w:rsid w:val="00816ABA"/>
    <w:rsid w:val="00816B0E"/>
    <w:rsid w:val="00816BA7"/>
    <w:rsid w:val="00816CC3"/>
    <w:rsid w:val="00816E83"/>
    <w:rsid w:val="00816EA1"/>
    <w:rsid w:val="00816FF1"/>
    <w:rsid w:val="00817067"/>
    <w:rsid w:val="008170DF"/>
    <w:rsid w:val="008170F3"/>
    <w:rsid w:val="00817210"/>
    <w:rsid w:val="00817491"/>
    <w:rsid w:val="008174D3"/>
    <w:rsid w:val="0081768E"/>
    <w:rsid w:val="0081769E"/>
    <w:rsid w:val="008177BF"/>
    <w:rsid w:val="008177EA"/>
    <w:rsid w:val="008177F8"/>
    <w:rsid w:val="0081780C"/>
    <w:rsid w:val="008178CA"/>
    <w:rsid w:val="00817B1D"/>
    <w:rsid w:val="00817B30"/>
    <w:rsid w:val="00817D7E"/>
    <w:rsid w:val="00817FEB"/>
    <w:rsid w:val="0082003C"/>
    <w:rsid w:val="008200D7"/>
    <w:rsid w:val="00820181"/>
    <w:rsid w:val="00820218"/>
    <w:rsid w:val="0082024B"/>
    <w:rsid w:val="008202FD"/>
    <w:rsid w:val="008206B7"/>
    <w:rsid w:val="008206BE"/>
    <w:rsid w:val="0082081E"/>
    <w:rsid w:val="008209A1"/>
    <w:rsid w:val="008209FC"/>
    <w:rsid w:val="00820A76"/>
    <w:rsid w:val="00820B8B"/>
    <w:rsid w:val="00820C35"/>
    <w:rsid w:val="00820CD8"/>
    <w:rsid w:val="00820CF8"/>
    <w:rsid w:val="00820D38"/>
    <w:rsid w:val="00820D41"/>
    <w:rsid w:val="00820DB0"/>
    <w:rsid w:val="00820DF3"/>
    <w:rsid w:val="00820E08"/>
    <w:rsid w:val="00820E5B"/>
    <w:rsid w:val="00820E75"/>
    <w:rsid w:val="00820E7E"/>
    <w:rsid w:val="00820F7A"/>
    <w:rsid w:val="00821018"/>
    <w:rsid w:val="0082104D"/>
    <w:rsid w:val="0082106F"/>
    <w:rsid w:val="008210B1"/>
    <w:rsid w:val="008211A0"/>
    <w:rsid w:val="008211A6"/>
    <w:rsid w:val="008211B2"/>
    <w:rsid w:val="00821315"/>
    <w:rsid w:val="008214D8"/>
    <w:rsid w:val="00821630"/>
    <w:rsid w:val="008216B1"/>
    <w:rsid w:val="00821781"/>
    <w:rsid w:val="00821877"/>
    <w:rsid w:val="00821C20"/>
    <w:rsid w:val="00821C77"/>
    <w:rsid w:val="00821CC7"/>
    <w:rsid w:val="00821D58"/>
    <w:rsid w:val="00821E7A"/>
    <w:rsid w:val="00821EF6"/>
    <w:rsid w:val="00821FAD"/>
    <w:rsid w:val="00821FE1"/>
    <w:rsid w:val="00822092"/>
    <w:rsid w:val="008220A9"/>
    <w:rsid w:val="0082240B"/>
    <w:rsid w:val="00822421"/>
    <w:rsid w:val="008226A2"/>
    <w:rsid w:val="008226A4"/>
    <w:rsid w:val="008226D4"/>
    <w:rsid w:val="00822938"/>
    <w:rsid w:val="00822BC2"/>
    <w:rsid w:val="00822C4E"/>
    <w:rsid w:val="00822D70"/>
    <w:rsid w:val="00822E32"/>
    <w:rsid w:val="00822E89"/>
    <w:rsid w:val="00822F91"/>
    <w:rsid w:val="0082305A"/>
    <w:rsid w:val="00823118"/>
    <w:rsid w:val="0082338E"/>
    <w:rsid w:val="008233F0"/>
    <w:rsid w:val="0082349F"/>
    <w:rsid w:val="008234EE"/>
    <w:rsid w:val="00823512"/>
    <w:rsid w:val="00823737"/>
    <w:rsid w:val="00823844"/>
    <w:rsid w:val="00823AD0"/>
    <w:rsid w:val="00823B2C"/>
    <w:rsid w:val="00823C55"/>
    <w:rsid w:val="00823CAF"/>
    <w:rsid w:val="00823DDC"/>
    <w:rsid w:val="00823EBE"/>
    <w:rsid w:val="00824185"/>
    <w:rsid w:val="008243A7"/>
    <w:rsid w:val="008246AA"/>
    <w:rsid w:val="008247CC"/>
    <w:rsid w:val="0082483C"/>
    <w:rsid w:val="00824CE4"/>
    <w:rsid w:val="00824ECA"/>
    <w:rsid w:val="008250B1"/>
    <w:rsid w:val="008250FB"/>
    <w:rsid w:val="00825280"/>
    <w:rsid w:val="008252A5"/>
    <w:rsid w:val="00825417"/>
    <w:rsid w:val="00825469"/>
    <w:rsid w:val="008255E3"/>
    <w:rsid w:val="0082576D"/>
    <w:rsid w:val="0082576E"/>
    <w:rsid w:val="00825839"/>
    <w:rsid w:val="008258C8"/>
    <w:rsid w:val="00825959"/>
    <w:rsid w:val="008259E7"/>
    <w:rsid w:val="00825A3E"/>
    <w:rsid w:val="00825A90"/>
    <w:rsid w:val="00825B0B"/>
    <w:rsid w:val="00825BE5"/>
    <w:rsid w:val="00825BFA"/>
    <w:rsid w:val="00825D49"/>
    <w:rsid w:val="00825E33"/>
    <w:rsid w:val="00825EB8"/>
    <w:rsid w:val="00825EE5"/>
    <w:rsid w:val="0082606C"/>
    <w:rsid w:val="0082612D"/>
    <w:rsid w:val="008261D1"/>
    <w:rsid w:val="0082622D"/>
    <w:rsid w:val="00826365"/>
    <w:rsid w:val="008264BE"/>
    <w:rsid w:val="008264EF"/>
    <w:rsid w:val="008267D2"/>
    <w:rsid w:val="00826917"/>
    <w:rsid w:val="0082692D"/>
    <w:rsid w:val="00826993"/>
    <w:rsid w:val="00826C97"/>
    <w:rsid w:val="00826F73"/>
    <w:rsid w:val="00826F8D"/>
    <w:rsid w:val="00827016"/>
    <w:rsid w:val="00827028"/>
    <w:rsid w:val="00827050"/>
    <w:rsid w:val="008270E7"/>
    <w:rsid w:val="0082717D"/>
    <w:rsid w:val="008274AB"/>
    <w:rsid w:val="008275E7"/>
    <w:rsid w:val="00827610"/>
    <w:rsid w:val="00827620"/>
    <w:rsid w:val="0082778C"/>
    <w:rsid w:val="008277EB"/>
    <w:rsid w:val="00827894"/>
    <w:rsid w:val="008278AC"/>
    <w:rsid w:val="008278BF"/>
    <w:rsid w:val="00827A8D"/>
    <w:rsid w:val="00827A98"/>
    <w:rsid w:val="00827C02"/>
    <w:rsid w:val="00827CA2"/>
    <w:rsid w:val="00827CCA"/>
    <w:rsid w:val="00827D11"/>
    <w:rsid w:val="00827D5F"/>
    <w:rsid w:val="00827FAE"/>
    <w:rsid w:val="0083005F"/>
    <w:rsid w:val="008301CE"/>
    <w:rsid w:val="0083033F"/>
    <w:rsid w:val="00830382"/>
    <w:rsid w:val="008303EE"/>
    <w:rsid w:val="00830725"/>
    <w:rsid w:val="00830726"/>
    <w:rsid w:val="008307BE"/>
    <w:rsid w:val="00830912"/>
    <w:rsid w:val="00830BF3"/>
    <w:rsid w:val="00830D04"/>
    <w:rsid w:val="00830E38"/>
    <w:rsid w:val="00830E5E"/>
    <w:rsid w:val="00830EB3"/>
    <w:rsid w:val="00830FE3"/>
    <w:rsid w:val="00831155"/>
    <w:rsid w:val="008311D7"/>
    <w:rsid w:val="0083132A"/>
    <w:rsid w:val="00831408"/>
    <w:rsid w:val="008314F3"/>
    <w:rsid w:val="00831550"/>
    <w:rsid w:val="00831569"/>
    <w:rsid w:val="00831599"/>
    <w:rsid w:val="008315B9"/>
    <w:rsid w:val="0083171C"/>
    <w:rsid w:val="00831758"/>
    <w:rsid w:val="0083177B"/>
    <w:rsid w:val="00831A14"/>
    <w:rsid w:val="00831A27"/>
    <w:rsid w:val="00831AC2"/>
    <w:rsid w:val="00831BCE"/>
    <w:rsid w:val="00831CBC"/>
    <w:rsid w:val="00831F3B"/>
    <w:rsid w:val="00831F6B"/>
    <w:rsid w:val="00832207"/>
    <w:rsid w:val="0083223A"/>
    <w:rsid w:val="008322B3"/>
    <w:rsid w:val="008322CA"/>
    <w:rsid w:val="00832393"/>
    <w:rsid w:val="0083240A"/>
    <w:rsid w:val="00832577"/>
    <w:rsid w:val="0083277D"/>
    <w:rsid w:val="00832802"/>
    <w:rsid w:val="00832ACF"/>
    <w:rsid w:val="00832B09"/>
    <w:rsid w:val="00832B60"/>
    <w:rsid w:val="00832BB3"/>
    <w:rsid w:val="00832D69"/>
    <w:rsid w:val="00832E1A"/>
    <w:rsid w:val="00833054"/>
    <w:rsid w:val="0083335A"/>
    <w:rsid w:val="00833368"/>
    <w:rsid w:val="008333E2"/>
    <w:rsid w:val="0083350F"/>
    <w:rsid w:val="0083357D"/>
    <w:rsid w:val="00833582"/>
    <w:rsid w:val="0083364A"/>
    <w:rsid w:val="0083388C"/>
    <w:rsid w:val="00833895"/>
    <w:rsid w:val="00833A31"/>
    <w:rsid w:val="00833A56"/>
    <w:rsid w:val="00833B86"/>
    <w:rsid w:val="00833D0F"/>
    <w:rsid w:val="00833D8E"/>
    <w:rsid w:val="00833EC7"/>
    <w:rsid w:val="00833EE6"/>
    <w:rsid w:val="00833F65"/>
    <w:rsid w:val="00833FC9"/>
    <w:rsid w:val="00834094"/>
    <w:rsid w:val="00834117"/>
    <w:rsid w:val="0083429B"/>
    <w:rsid w:val="008342E2"/>
    <w:rsid w:val="008346AA"/>
    <w:rsid w:val="008346B0"/>
    <w:rsid w:val="0083475F"/>
    <w:rsid w:val="00834BC4"/>
    <w:rsid w:val="00834EDD"/>
    <w:rsid w:val="00834FD6"/>
    <w:rsid w:val="00835012"/>
    <w:rsid w:val="0083520C"/>
    <w:rsid w:val="0083533D"/>
    <w:rsid w:val="008354BF"/>
    <w:rsid w:val="00835513"/>
    <w:rsid w:val="00835613"/>
    <w:rsid w:val="008356BF"/>
    <w:rsid w:val="0083572E"/>
    <w:rsid w:val="008358DD"/>
    <w:rsid w:val="00835989"/>
    <w:rsid w:val="008359A4"/>
    <w:rsid w:val="00835A51"/>
    <w:rsid w:val="00835AB6"/>
    <w:rsid w:val="00835BDE"/>
    <w:rsid w:val="00835E6E"/>
    <w:rsid w:val="00835ECA"/>
    <w:rsid w:val="00835F16"/>
    <w:rsid w:val="00835F31"/>
    <w:rsid w:val="00835FBA"/>
    <w:rsid w:val="008360CD"/>
    <w:rsid w:val="00836136"/>
    <w:rsid w:val="00836268"/>
    <w:rsid w:val="008362D3"/>
    <w:rsid w:val="008362DB"/>
    <w:rsid w:val="008362E7"/>
    <w:rsid w:val="00836465"/>
    <w:rsid w:val="00836653"/>
    <w:rsid w:val="008366FF"/>
    <w:rsid w:val="0083672B"/>
    <w:rsid w:val="00836818"/>
    <w:rsid w:val="00836856"/>
    <w:rsid w:val="008368DF"/>
    <w:rsid w:val="00836A9A"/>
    <w:rsid w:val="00836B5B"/>
    <w:rsid w:val="00836BC7"/>
    <w:rsid w:val="00836C52"/>
    <w:rsid w:val="00836D1F"/>
    <w:rsid w:val="00836E00"/>
    <w:rsid w:val="00836E20"/>
    <w:rsid w:val="00836E4B"/>
    <w:rsid w:val="008371E9"/>
    <w:rsid w:val="00837247"/>
    <w:rsid w:val="008372D0"/>
    <w:rsid w:val="0083739D"/>
    <w:rsid w:val="0083763C"/>
    <w:rsid w:val="0083766F"/>
    <w:rsid w:val="008376B1"/>
    <w:rsid w:val="008376C9"/>
    <w:rsid w:val="008376E1"/>
    <w:rsid w:val="0083770C"/>
    <w:rsid w:val="008378B5"/>
    <w:rsid w:val="00837935"/>
    <w:rsid w:val="00837D4A"/>
    <w:rsid w:val="00837D8B"/>
    <w:rsid w:val="00837DD3"/>
    <w:rsid w:val="00837E28"/>
    <w:rsid w:val="00837F4F"/>
    <w:rsid w:val="00840033"/>
    <w:rsid w:val="0084007B"/>
    <w:rsid w:val="008401AA"/>
    <w:rsid w:val="008401E9"/>
    <w:rsid w:val="0084028E"/>
    <w:rsid w:val="008402A4"/>
    <w:rsid w:val="00840387"/>
    <w:rsid w:val="00840663"/>
    <w:rsid w:val="008407DF"/>
    <w:rsid w:val="00840877"/>
    <w:rsid w:val="00840907"/>
    <w:rsid w:val="008409DD"/>
    <w:rsid w:val="00840A98"/>
    <w:rsid w:val="00840EBC"/>
    <w:rsid w:val="00840F3E"/>
    <w:rsid w:val="0084105F"/>
    <w:rsid w:val="008410B6"/>
    <w:rsid w:val="008410DD"/>
    <w:rsid w:val="008411A1"/>
    <w:rsid w:val="00841207"/>
    <w:rsid w:val="00841480"/>
    <w:rsid w:val="00841AE6"/>
    <w:rsid w:val="00841AEF"/>
    <w:rsid w:val="00841C25"/>
    <w:rsid w:val="00841DFA"/>
    <w:rsid w:val="00842014"/>
    <w:rsid w:val="00842094"/>
    <w:rsid w:val="00842108"/>
    <w:rsid w:val="00842308"/>
    <w:rsid w:val="008423A9"/>
    <w:rsid w:val="00842401"/>
    <w:rsid w:val="0084259E"/>
    <w:rsid w:val="00842761"/>
    <w:rsid w:val="008428E9"/>
    <w:rsid w:val="00842C7A"/>
    <w:rsid w:val="00842ED1"/>
    <w:rsid w:val="0084331B"/>
    <w:rsid w:val="0084341A"/>
    <w:rsid w:val="00843463"/>
    <w:rsid w:val="008435BB"/>
    <w:rsid w:val="008438BC"/>
    <w:rsid w:val="00843934"/>
    <w:rsid w:val="0084399C"/>
    <w:rsid w:val="00843B1F"/>
    <w:rsid w:val="00843B22"/>
    <w:rsid w:val="00843BE8"/>
    <w:rsid w:val="00843C5A"/>
    <w:rsid w:val="00843CFF"/>
    <w:rsid w:val="00843D11"/>
    <w:rsid w:val="00843E03"/>
    <w:rsid w:val="008441B5"/>
    <w:rsid w:val="00844241"/>
    <w:rsid w:val="00844342"/>
    <w:rsid w:val="00844407"/>
    <w:rsid w:val="00844483"/>
    <w:rsid w:val="0084451A"/>
    <w:rsid w:val="008446DD"/>
    <w:rsid w:val="0084477A"/>
    <w:rsid w:val="00844829"/>
    <w:rsid w:val="008448A0"/>
    <w:rsid w:val="00844935"/>
    <w:rsid w:val="008449D4"/>
    <w:rsid w:val="00844A64"/>
    <w:rsid w:val="00844AAD"/>
    <w:rsid w:val="00844AD1"/>
    <w:rsid w:val="00844B1C"/>
    <w:rsid w:val="00844FFD"/>
    <w:rsid w:val="0084503E"/>
    <w:rsid w:val="00845050"/>
    <w:rsid w:val="008452FD"/>
    <w:rsid w:val="0084535D"/>
    <w:rsid w:val="008454E8"/>
    <w:rsid w:val="0084556F"/>
    <w:rsid w:val="008455E5"/>
    <w:rsid w:val="00845668"/>
    <w:rsid w:val="008457ED"/>
    <w:rsid w:val="0084590D"/>
    <w:rsid w:val="0084595E"/>
    <w:rsid w:val="008459E5"/>
    <w:rsid w:val="00845AD2"/>
    <w:rsid w:val="008463F9"/>
    <w:rsid w:val="008464F0"/>
    <w:rsid w:val="00846517"/>
    <w:rsid w:val="00846591"/>
    <w:rsid w:val="008466D9"/>
    <w:rsid w:val="008467FC"/>
    <w:rsid w:val="00846872"/>
    <w:rsid w:val="008469BA"/>
    <w:rsid w:val="00846A26"/>
    <w:rsid w:val="00846A4C"/>
    <w:rsid w:val="00846C62"/>
    <w:rsid w:val="00846CA0"/>
    <w:rsid w:val="00846D9D"/>
    <w:rsid w:val="00846EED"/>
    <w:rsid w:val="00846FBA"/>
    <w:rsid w:val="00847003"/>
    <w:rsid w:val="008470D8"/>
    <w:rsid w:val="008470FC"/>
    <w:rsid w:val="0084717F"/>
    <w:rsid w:val="008471C6"/>
    <w:rsid w:val="008471F5"/>
    <w:rsid w:val="008471F8"/>
    <w:rsid w:val="00847217"/>
    <w:rsid w:val="00847457"/>
    <w:rsid w:val="00847751"/>
    <w:rsid w:val="00847975"/>
    <w:rsid w:val="008479B8"/>
    <w:rsid w:val="008479F0"/>
    <w:rsid w:val="00847AEB"/>
    <w:rsid w:val="00847DA5"/>
    <w:rsid w:val="00847F86"/>
    <w:rsid w:val="00850017"/>
    <w:rsid w:val="0085003E"/>
    <w:rsid w:val="008502A9"/>
    <w:rsid w:val="008502F5"/>
    <w:rsid w:val="008505C0"/>
    <w:rsid w:val="0085083E"/>
    <w:rsid w:val="008509CF"/>
    <w:rsid w:val="008509DA"/>
    <w:rsid w:val="00850A20"/>
    <w:rsid w:val="00850D08"/>
    <w:rsid w:val="008510A6"/>
    <w:rsid w:val="008511BE"/>
    <w:rsid w:val="00851393"/>
    <w:rsid w:val="008516DD"/>
    <w:rsid w:val="00851726"/>
    <w:rsid w:val="00851A38"/>
    <w:rsid w:val="00851A95"/>
    <w:rsid w:val="00851B79"/>
    <w:rsid w:val="00851C43"/>
    <w:rsid w:val="00851D69"/>
    <w:rsid w:val="00851E0E"/>
    <w:rsid w:val="00851E68"/>
    <w:rsid w:val="00851F15"/>
    <w:rsid w:val="00851F5E"/>
    <w:rsid w:val="0085206E"/>
    <w:rsid w:val="00852175"/>
    <w:rsid w:val="0085233B"/>
    <w:rsid w:val="00852455"/>
    <w:rsid w:val="00852467"/>
    <w:rsid w:val="008524CC"/>
    <w:rsid w:val="00852503"/>
    <w:rsid w:val="00852538"/>
    <w:rsid w:val="008525ED"/>
    <w:rsid w:val="0085271A"/>
    <w:rsid w:val="008528E1"/>
    <w:rsid w:val="00852A0A"/>
    <w:rsid w:val="00852B08"/>
    <w:rsid w:val="00852BEA"/>
    <w:rsid w:val="00852C9B"/>
    <w:rsid w:val="00852DF0"/>
    <w:rsid w:val="00852FDA"/>
    <w:rsid w:val="00853027"/>
    <w:rsid w:val="00853100"/>
    <w:rsid w:val="0085320E"/>
    <w:rsid w:val="00853215"/>
    <w:rsid w:val="00853224"/>
    <w:rsid w:val="008533D7"/>
    <w:rsid w:val="00853436"/>
    <w:rsid w:val="0085345E"/>
    <w:rsid w:val="008534D6"/>
    <w:rsid w:val="00853513"/>
    <w:rsid w:val="0085360E"/>
    <w:rsid w:val="00853973"/>
    <w:rsid w:val="00853A3F"/>
    <w:rsid w:val="00853C7C"/>
    <w:rsid w:val="00853D8A"/>
    <w:rsid w:val="00853DC8"/>
    <w:rsid w:val="00853E82"/>
    <w:rsid w:val="00853EF2"/>
    <w:rsid w:val="008540FD"/>
    <w:rsid w:val="0085429A"/>
    <w:rsid w:val="00854305"/>
    <w:rsid w:val="008543AB"/>
    <w:rsid w:val="00854519"/>
    <w:rsid w:val="0085455B"/>
    <w:rsid w:val="008545B7"/>
    <w:rsid w:val="0085478C"/>
    <w:rsid w:val="00854855"/>
    <w:rsid w:val="008548FB"/>
    <w:rsid w:val="0085497B"/>
    <w:rsid w:val="00854A43"/>
    <w:rsid w:val="00854D2C"/>
    <w:rsid w:val="00854DC3"/>
    <w:rsid w:val="00854E2F"/>
    <w:rsid w:val="00854E89"/>
    <w:rsid w:val="00854EED"/>
    <w:rsid w:val="00855065"/>
    <w:rsid w:val="008550AB"/>
    <w:rsid w:val="008550C1"/>
    <w:rsid w:val="008553D0"/>
    <w:rsid w:val="00855474"/>
    <w:rsid w:val="008555F7"/>
    <w:rsid w:val="0085574F"/>
    <w:rsid w:val="00855AB7"/>
    <w:rsid w:val="00855B7B"/>
    <w:rsid w:val="00855CAF"/>
    <w:rsid w:val="00855DA8"/>
    <w:rsid w:val="00855F92"/>
    <w:rsid w:val="008560D6"/>
    <w:rsid w:val="0085615D"/>
    <w:rsid w:val="008561F7"/>
    <w:rsid w:val="00856219"/>
    <w:rsid w:val="00856345"/>
    <w:rsid w:val="008563D0"/>
    <w:rsid w:val="00856624"/>
    <w:rsid w:val="008569B5"/>
    <w:rsid w:val="008569F9"/>
    <w:rsid w:val="00856C20"/>
    <w:rsid w:val="00856D30"/>
    <w:rsid w:val="00856D46"/>
    <w:rsid w:val="00856E7D"/>
    <w:rsid w:val="00856EDD"/>
    <w:rsid w:val="00856F93"/>
    <w:rsid w:val="00856FBA"/>
    <w:rsid w:val="00857056"/>
    <w:rsid w:val="00857140"/>
    <w:rsid w:val="00857486"/>
    <w:rsid w:val="00857557"/>
    <w:rsid w:val="008575E4"/>
    <w:rsid w:val="00857AC7"/>
    <w:rsid w:val="00857B95"/>
    <w:rsid w:val="00857BDA"/>
    <w:rsid w:val="00857F33"/>
    <w:rsid w:val="00857FE8"/>
    <w:rsid w:val="00860189"/>
    <w:rsid w:val="00860222"/>
    <w:rsid w:val="008602C0"/>
    <w:rsid w:val="00860422"/>
    <w:rsid w:val="00860470"/>
    <w:rsid w:val="00860544"/>
    <w:rsid w:val="008605E8"/>
    <w:rsid w:val="008608E3"/>
    <w:rsid w:val="00860BAA"/>
    <w:rsid w:val="00860E0A"/>
    <w:rsid w:val="00860E54"/>
    <w:rsid w:val="0086109D"/>
    <w:rsid w:val="008610C9"/>
    <w:rsid w:val="0086113B"/>
    <w:rsid w:val="00861203"/>
    <w:rsid w:val="00861373"/>
    <w:rsid w:val="0086141B"/>
    <w:rsid w:val="0086141C"/>
    <w:rsid w:val="0086141D"/>
    <w:rsid w:val="00861434"/>
    <w:rsid w:val="00861439"/>
    <w:rsid w:val="008615BF"/>
    <w:rsid w:val="00861642"/>
    <w:rsid w:val="00861875"/>
    <w:rsid w:val="008618F1"/>
    <w:rsid w:val="00861C78"/>
    <w:rsid w:val="00861F8D"/>
    <w:rsid w:val="008620E5"/>
    <w:rsid w:val="008621AE"/>
    <w:rsid w:val="008621D3"/>
    <w:rsid w:val="00862235"/>
    <w:rsid w:val="008624AC"/>
    <w:rsid w:val="00862648"/>
    <w:rsid w:val="0086272A"/>
    <w:rsid w:val="008627E5"/>
    <w:rsid w:val="00862945"/>
    <w:rsid w:val="00862A93"/>
    <w:rsid w:val="00862AB9"/>
    <w:rsid w:val="00862C17"/>
    <w:rsid w:val="00862EAE"/>
    <w:rsid w:val="0086314A"/>
    <w:rsid w:val="0086314B"/>
    <w:rsid w:val="00863250"/>
    <w:rsid w:val="008634CF"/>
    <w:rsid w:val="0086363C"/>
    <w:rsid w:val="008636A9"/>
    <w:rsid w:val="0086385F"/>
    <w:rsid w:val="00863A51"/>
    <w:rsid w:val="00863B70"/>
    <w:rsid w:val="00863C07"/>
    <w:rsid w:val="00863C97"/>
    <w:rsid w:val="00863CAF"/>
    <w:rsid w:val="00864001"/>
    <w:rsid w:val="00864075"/>
    <w:rsid w:val="0086418E"/>
    <w:rsid w:val="00864402"/>
    <w:rsid w:val="00864554"/>
    <w:rsid w:val="00864593"/>
    <w:rsid w:val="008646E0"/>
    <w:rsid w:val="0086476E"/>
    <w:rsid w:val="008647B2"/>
    <w:rsid w:val="008647DA"/>
    <w:rsid w:val="00864865"/>
    <w:rsid w:val="00864A57"/>
    <w:rsid w:val="00864AF6"/>
    <w:rsid w:val="00864B1A"/>
    <w:rsid w:val="00864B2A"/>
    <w:rsid w:val="00864B63"/>
    <w:rsid w:val="00864BD3"/>
    <w:rsid w:val="00864DDC"/>
    <w:rsid w:val="00864E2A"/>
    <w:rsid w:val="00864ECF"/>
    <w:rsid w:val="008651C0"/>
    <w:rsid w:val="00865542"/>
    <w:rsid w:val="008655E8"/>
    <w:rsid w:val="00865637"/>
    <w:rsid w:val="0086565E"/>
    <w:rsid w:val="00865830"/>
    <w:rsid w:val="00865AF8"/>
    <w:rsid w:val="00865CAD"/>
    <w:rsid w:val="00865CC0"/>
    <w:rsid w:val="00865E21"/>
    <w:rsid w:val="00866091"/>
    <w:rsid w:val="008660F8"/>
    <w:rsid w:val="0086611C"/>
    <w:rsid w:val="0086616E"/>
    <w:rsid w:val="00866258"/>
    <w:rsid w:val="0086643F"/>
    <w:rsid w:val="008664D9"/>
    <w:rsid w:val="00866663"/>
    <w:rsid w:val="008666C3"/>
    <w:rsid w:val="0086672E"/>
    <w:rsid w:val="00866869"/>
    <w:rsid w:val="00866999"/>
    <w:rsid w:val="008669F2"/>
    <w:rsid w:val="00866A1A"/>
    <w:rsid w:val="00866ACB"/>
    <w:rsid w:val="00866C2B"/>
    <w:rsid w:val="00866C31"/>
    <w:rsid w:val="00866CA9"/>
    <w:rsid w:val="00866CB6"/>
    <w:rsid w:val="00866DE0"/>
    <w:rsid w:val="00866E3C"/>
    <w:rsid w:val="00866EED"/>
    <w:rsid w:val="00866F38"/>
    <w:rsid w:val="00866FC6"/>
    <w:rsid w:val="00866FD2"/>
    <w:rsid w:val="00867122"/>
    <w:rsid w:val="008672CA"/>
    <w:rsid w:val="0086730B"/>
    <w:rsid w:val="0086733B"/>
    <w:rsid w:val="00867468"/>
    <w:rsid w:val="0086746D"/>
    <w:rsid w:val="008677DA"/>
    <w:rsid w:val="00867A14"/>
    <w:rsid w:val="00867A94"/>
    <w:rsid w:val="00867B70"/>
    <w:rsid w:val="00867BA0"/>
    <w:rsid w:val="00867D27"/>
    <w:rsid w:val="00867D60"/>
    <w:rsid w:val="00867D6D"/>
    <w:rsid w:val="00867E09"/>
    <w:rsid w:val="00867E96"/>
    <w:rsid w:val="0087000F"/>
    <w:rsid w:val="00870024"/>
    <w:rsid w:val="00870041"/>
    <w:rsid w:val="00870186"/>
    <w:rsid w:val="0087020B"/>
    <w:rsid w:val="0087025D"/>
    <w:rsid w:val="008702D8"/>
    <w:rsid w:val="00870429"/>
    <w:rsid w:val="008705FB"/>
    <w:rsid w:val="008706C1"/>
    <w:rsid w:val="00870778"/>
    <w:rsid w:val="00870793"/>
    <w:rsid w:val="008707E3"/>
    <w:rsid w:val="00870830"/>
    <w:rsid w:val="0087099A"/>
    <w:rsid w:val="00870B90"/>
    <w:rsid w:val="00870CB6"/>
    <w:rsid w:val="00870CE2"/>
    <w:rsid w:val="00870DCB"/>
    <w:rsid w:val="00870E5F"/>
    <w:rsid w:val="00870EA9"/>
    <w:rsid w:val="00870FA9"/>
    <w:rsid w:val="0087102E"/>
    <w:rsid w:val="008712CA"/>
    <w:rsid w:val="0087163C"/>
    <w:rsid w:val="00871681"/>
    <w:rsid w:val="008716FC"/>
    <w:rsid w:val="00871735"/>
    <w:rsid w:val="0087177D"/>
    <w:rsid w:val="008717D6"/>
    <w:rsid w:val="00871A5F"/>
    <w:rsid w:val="00871D3C"/>
    <w:rsid w:val="00871DDE"/>
    <w:rsid w:val="00871EAB"/>
    <w:rsid w:val="00871F25"/>
    <w:rsid w:val="008722ED"/>
    <w:rsid w:val="00872302"/>
    <w:rsid w:val="00872446"/>
    <w:rsid w:val="008726B9"/>
    <w:rsid w:val="00872809"/>
    <w:rsid w:val="00872864"/>
    <w:rsid w:val="00872981"/>
    <w:rsid w:val="008729D4"/>
    <w:rsid w:val="00872AE2"/>
    <w:rsid w:val="00872DDC"/>
    <w:rsid w:val="00872E3E"/>
    <w:rsid w:val="00872E68"/>
    <w:rsid w:val="00872FDD"/>
    <w:rsid w:val="00872FF0"/>
    <w:rsid w:val="0087304C"/>
    <w:rsid w:val="008731F9"/>
    <w:rsid w:val="00873300"/>
    <w:rsid w:val="00873464"/>
    <w:rsid w:val="0087364B"/>
    <w:rsid w:val="008736AA"/>
    <w:rsid w:val="00873717"/>
    <w:rsid w:val="0087375A"/>
    <w:rsid w:val="00873794"/>
    <w:rsid w:val="008737D5"/>
    <w:rsid w:val="00873802"/>
    <w:rsid w:val="00873812"/>
    <w:rsid w:val="008738ED"/>
    <w:rsid w:val="008739BD"/>
    <w:rsid w:val="00873B47"/>
    <w:rsid w:val="00873CBB"/>
    <w:rsid w:val="00873CCE"/>
    <w:rsid w:val="00873D87"/>
    <w:rsid w:val="0087403D"/>
    <w:rsid w:val="0087403E"/>
    <w:rsid w:val="0087405E"/>
    <w:rsid w:val="008740D5"/>
    <w:rsid w:val="00874116"/>
    <w:rsid w:val="00874547"/>
    <w:rsid w:val="00874558"/>
    <w:rsid w:val="00874633"/>
    <w:rsid w:val="008749B8"/>
    <w:rsid w:val="008749C3"/>
    <w:rsid w:val="00874A8E"/>
    <w:rsid w:val="00874ADE"/>
    <w:rsid w:val="00874B45"/>
    <w:rsid w:val="00874BAE"/>
    <w:rsid w:val="00874C03"/>
    <w:rsid w:val="00874CF3"/>
    <w:rsid w:val="00874DDC"/>
    <w:rsid w:val="00874F4E"/>
    <w:rsid w:val="008750DF"/>
    <w:rsid w:val="00875199"/>
    <w:rsid w:val="00875207"/>
    <w:rsid w:val="008752C8"/>
    <w:rsid w:val="00875310"/>
    <w:rsid w:val="0087534E"/>
    <w:rsid w:val="00875467"/>
    <w:rsid w:val="0087555D"/>
    <w:rsid w:val="008755D3"/>
    <w:rsid w:val="00875768"/>
    <w:rsid w:val="008757B5"/>
    <w:rsid w:val="00875843"/>
    <w:rsid w:val="00875A89"/>
    <w:rsid w:val="00875AC2"/>
    <w:rsid w:val="00875B9E"/>
    <w:rsid w:val="00875BD8"/>
    <w:rsid w:val="00875C01"/>
    <w:rsid w:val="00875CAA"/>
    <w:rsid w:val="00875E2F"/>
    <w:rsid w:val="00875F60"/>
    <w:rsid w:val="0087622E"/>
    <w:rsid w:val="008762C5"/>
    <w:rsid w:val="008767DE"/>
    <w:rsid w:val="00876979"/>
    <w:rsid w:val="00876CE8"/>
    <w:rsid w:val="00876D13"/>
    <w:rsid w:val="00876E78"/>
    <w:rsid w:val="00876ECF"/>
    <w:rsid w:val="00876F70"/>
    <w:rsid w:val="00876F72"/>
    <w:rsid w:val="008771BE"/>
    <w:rsid w:val="008771E5"/>
    <w:rsid w:val="00877246"/>
    <w:rsid w:val="00877349"/>
    <w:rsid w:val="008773A1"/>
    <w:rsid w:val="008776B9"/>
    <w:rsid w:val="0087784A"/>
    <w:rsid w:val="008779E5"/>
    <w:rsid w:val="00877BD6"/>
    <w:rsid w:val="00877D30"/>
    <w:rsid w:val="00877D82"/>
    <w:rsid w:val="00877E3E"/>
    <w:rsid w:val="00877F74"/>
    <w:rsid w:val="00877FE9"/>
    <w:rsid w:val="00880059"/>
    <w:rsid w:val="008801E2"/>
    <w:rsid w:val="008802DC"/>
    <w:rsid w:val="008803D1"/>
    <w:rsid w:val="00880691"/>
    <w:rsid w:val="008808B4"/>
    <w:rsid w:val="00880946"/>
    <w:rsid w:val="008809B4"/>
    <w:rsid w:val="008809F0"/>
    <w:rsid w:val="00880ADF"/>
    <w:rsid w:val="00880AFE"/>
    <w:rsid w:val="00880BC7"/>
    <w:rsid w:val="00880C28"/>
    <w:rsid w:val="00880CBB"/>
    <w:rsid w:val="00880E01"/>
    <w:rsid w:val="00880FC4"/>
    <w:rsid w:val="008810CE"/>
    <w:rsid w:val="00881203"/>
    <w:rsid w:val="008812D4"/>
    <w:rsid w:val="008814D8"/>
    <w:rsid w:val="0088172D"/>
    <w:rsid w:val="008818C9"/>
    <w:rsid w:val="008818EF"/>
    <w:rsid w:val="00881A68"/>
    <w:rsid w:val="00881AE0"/>
    <w:rsid w:val="00881BF5"/>
    <w:rsid w:val="00881CAF"/>
    <w:rsid w:val="00881CC0"/>
    <w:rsid w:val="00881E37"/>
    <w:rsid w:val="00881F33"/>
    <w:rsid w:val="00881FFB"/>
    <w:rsid w:val="00882078"/>
    <w:rsid w:val="0088227C"/>
    <w:rsid w:val="008822B4"/>
    <w:rsid w:val="00882416"/>
    <w:rsid w:val="00882439"/>
    <w:rsid w:val="00882A28"/>
    <w:rsid w:val="00882A38"/>
    <w:rsid w:val="00882B56"/>
    <w:rsid w:val="00882D2E"/>
    <w:rsid w:val="00882DBE"/>
    <w:rsid w:val="00882DE1"/>
    <w:rsid w:val="00882E19"/>
    <w:rsid w:val="0088317D"/>
    <w:rsid w:val="008831F9"/>
    <w:rsid w:val="008832CA"/>
    <w:rsid w:val="00883316"/>
    <w:rsid w:val="008833A1"/>
    <w:rsid w:val="0088342C"/>
    <w:rsid w:val="00883511"/>
    <w:rsid w:val="008835D7"/>
    <w:rsid w:val="008835F8"/>
    <w:rsid w:val="00883620"/>
    <w:rsid w:val="008837A2"/>
    <w:rsid w:val="00883AB1"/>
    <w:rsid w:val="00883CAF"/>
    <w:rsid w:val="00883E6B"/>
    <w:rsid w:val="00884182"/>
    <w:rsid w:val="00884260"/>
    <w:rsid w:val="0088439A"/>
    <w:rsid w:val="0088448D"/>
    <w:rsid w:val="00884492"/>
    <w:rsid w:val="00884494"/>
    <w:rsid w:val="008844E3"/>
    <w:rsid w:val="0088453F"/>
    <w:rsid w:val="00884674"/>
    <w:rsid w:val="008846BB"/>
    <w:rsid w:val="008847E3"/>
    <w:rsid w:val="008848D2"/>
    <w:rsid w:val="00884A3C"/>
    <w:rsid w:val="00884A89"/>
    <w:rsid w:val="00884B8D"/>
    <w:rsid w:val="00884D30"/>
    <w:rsid w:val="00884DDB"/>
    <w:rsid w:val="00884DEB"/>
    <w:rsid w:val="00884DED"/>
    <w:rsid w:val="00884F10"/>
    <w:rsid w:val="00884F5E"/>
    <w:rsid w:val="00884FC5"/>
    <w:rsid w:val="00884FF4"/>
    <w:rsid w:val="008851CC"/>
    <w:rsid w:val="0088526B"/>
    <w:rsid w:val="0088537B"/>
    <w:rsid w:val="008853A8"/>
    <w:rsid w:val="0088547A"/>
    <w:rsid w:val="008855F2"/>
    <w:rsid w:val="00885734"/>
    <w:rsid w:val="0088592E"/>
    <w:rsid w:val="00885A14"/>
    <w:rsid w:val="00885A22"/>
    <w:rsid w:val="00885C25"/>
    <w:rsid w:val="00885C60"/>
    <w:rsid w:val="00885C8D"/>
    <w:rsid w:val="00885DAE"/>
    <w:rsid w:val="00885FEF"/>
    <w:rsid w:val="00885FFA"/>
    <w:rsid w:val="00886093"/>
    <w:rsid w:val="008860D9"/>
    <w:rsid w:val="0088635F"/>
    <w:rsid w:val="00886368"/>
    <w:rsid w:val="00886504"/>
    <w:rsid w:val="008865D9"/>
    <w:rsid w:val="0088665A"/>
    <w:rsid w:val="00886766"/>
    <w:rsid w:val="008868AA"/>
    <w:rsid w:val="00886A15"/>
    <w:rsid w:val="00886B77"/>
    <w:rsid w:val="00886BDE"/>
    <w:rsid w:val="00886C13"/>
    <w:rsid w:val="00886CCE"/>
    <w:rsid w:val="00886CDF"/>
    <w:rsid w:val="00886CE9"/>
    <w:rsid w:val="00886CF4"/>
    <w:rsid w:val="00887008"/>
    <w:rsid w:val="00887365"/>
    <w:rsid w:val="00887391"/>
    <w:rsid w:val="008873AE"/>
    <w:rsid w:val="00887430"/>
    <w:rsid w:val="008874EA"/>
    <w:rsid w:val="008875EE"/>
    <w:rsid w:val="00887755"/>
    <w:rsid w:val="00887785"/>
    <w:rsid w:val="00887C10"/>
    <w:rsid w:val="00887CA5"/>
    <w:rsid w:val="00887D88"/>
    <w:rsid w:val="00887DC1"/>
    <w:rsid w:val="00887E56"/>
    <w:rsid w:val="00887ECB"/>
    <w:rsid w:val="00887F96"/>
    <w:rsid w:val="00890065"/>
    <w:rsid w:val="00890182"/>
    <w:rsid w:val="008901D1"/>
    <w:rsid w:val="0089022D"/>
    <w:rsid w:val="00890287"/>
    <w:rsid w:val="008902D3"/>
    <w:rsid w:val="0089038B"/>
    <w:rsid w:val="00890450"/>
    <w:rsid w:val="00890495"/>
    <w:rsid w:val="0089058E"/>
    <w:rsid w:val="00890617"/>
    <w:rsid w:val="0089064E"/>
    <w:rsid w:val="008908C1"/>
    <w:rsid w:val="0089093D"/>
    <w:rsid w:val="00890AF7"/>
    <w:rsid w:val="00890AFE"/>
    <w:rsid w:val="00890B4E"/>
    <w:rsid w:val="00890D27"/>
    <w:rsid w:val="00890D2A"/>
    <w:rsid w:val="00890D8F"/>
    <w:rsid w:val="00890E4C"/>
    <w:rsid w:val="00890E67"/>
    <w:rsid w:val="00890EBA"/>
    <w:rsid w:val="00890ECF"/>
    <w:rsid w:val="00890F48"/>
    <w:rsid w:val="00890F49"/>
    <w:rsid w:val="00890FCD"/>
    <w:rsid w:val="0089108A"/>
    <w:rsid w:val="008910A1"/>
    <w:rsid w:val="008913B9"/>
    <w:rsid w:val="00891677"/>
    <w:rsid w:val="00891A00"/>
    <w:rsid w:val="00891AD9"/>
    <w:rsid w:val="00891B94"/>
    <w:rsid w:val="00891CA1"/>
    <w:rsid w:val="00891F11"/>
    <w:rsid w:val="00891F5B"/>
    <w:rsid w:val="00892210"/>
    <w:rsid w:val="00892215"/>
    <w:rsid w:val="0089223B"/>
    <w:rsid w:val="00892359"/>
    <w:rsid w:val="008923D6"/>
    <w:rsid w:val="00892429"/>
    <w:rsid w:val="00892838"/>
    <w:rsid w:val="008928D6"/>
    <w:rsid w:val="00892987"/>
    <w:rsid w:val="008929CB"/>
    <w:rsid w:val="00892BEF"/>
    <w:rsid w:val="00892BF3"/>
    <w:rsid w:val="00892DAA"/>
    <w:rsid w:val="00892F04"/>
    <w:rsid w:val="008931B0"/>
    <w:rsid w:val="0089322E"/>
    <w:rsid w:val="0089338F"/>
    <w:rsid w:val="008934FC"/>
    <w:rsid w:val="008936F9"/>
    <w:rsid w:val="00893791"/>
    <w:rsid w:val="0089382B"/>
    <w:rsid w:val="0089392E"/>
    <w:rsid w:val="00893956"/>
    <w:rsid w:val="00893A19"/>
    <w:rsid w:val="00893DFA"/>
    <w:rsid w:val="00893DFC"/>
    <w:rsid w:val="00893EF0"/>
    <w:rsid w:val="0089401C"/>
    <w:rsid w:val="008940AA"/>
    <w:rsid w:val="00894138"/>
    <w:rsid w:val="008942D2"/>
    <w:rsid w:val="00894458"/>
    <w:rsid w:val="00894515"/>
    <w:rsid w:val="00894682"/>
    <w:rsid w:val="00894706"/>
    <w:rsid w:val="00894896"/>
    <w:rsid w:val="008949D8"/>
    <w:rsid w:val="00894A44"/>
    <w:rsid w:val="00894DD1"/>
    <w:rsid w:val="00894ED5"/>
    <w:rsid w:val="008952EB"/>
    <w:rsid w:val="008955C3"/>
    <w:rsid w:val="00895841"/>
    <w:rsid w:val="0089589B"/>
    <w:rsid w:val="00895912"/>
    <w:rsid w:val="00895A27"/>
    <w:rsid w:val="00895C38"/>
    <w:rsid w:val="00895D4F"/>
    <w:rsid w:val="00895D73"/>
    <w:rsid w:val="00895E10"/>
    <w:rsid w:val="00895F08"/>
    <w:rsid w:val="00895F50"/>
    <w:rsid w:val="0089607A"/>
    <w:rsid w:val="00896183"/>
    <w:rsid w:val="008961C6"/>
    <w:rsid w:val="00896229"/>
    <w:rsid w:val="0089644C"/>
    <w:rsid w:val="00896456"/>
    <w:rsid w:val="00896526"/>
    <w:rsid w:val="008966F3"/>
    <w:rsid w:val="008967C7"/>
    <w:rsid w:val="008967D1"/>
    <w:rsid w:val="00896B0F"/>
    <w:rsid w:val="00896B27"/>
    <w:rsid w:val="00896C76"/>
    <w:rsid w:val="00897020"/>
    <w:rsid w:val="00897050"/>
    <w:rsid w:val="008971AF"/>
    <w:rsid w:val="00897364"/>
    <w:rsid w:val="0089737A"/>
    <w:rsid w:val="008973DB"/>
    <w:rsid w:val="008973EB"/>
    <w:rsid w:val="008974CC"/>
    <w:rsid w:val="0089768A"/>
    <w:rsid w:val="008976DE"/>
    <w:rsid w:val="008976F8"/>
    <w:rsid w:val="0089775D"/>
    <w:rsid w:val="00897922"/>
    <w:rsid w:val="0089797E"/>
    <w:rsid w:val="00897AE7"/>
    <w:rsid w:val="00897B83"/>
    <w:rsid w:val="00897F0C"/>
    <w:rsid w:val="00897F43"/>
    <w:rsid w:val="008A00FE"/>
    <w:rsid w:val="008A016E"/>
    <w:rsid w:val="008A01E9"/>
    <w:rsid w:val="008A080E"/>
    <w:rsid w:val="008A0A9F"/>
    <w:rsid w:val="008A0ADD"/>
    <w:rsid w:val="008A0BF2"/>
    <w:rsid w:val="008A0BF5"/>
    <w:rsid w:val="008A0C0B"/>
    <w:rsid w:val="008A0C87"/>
    <w:rsid w:val="008A0D28"/>
    <w:rsid w:val="008A111E"/>
    <w:rsid w:val="008A11A7"/>
    <w:rsid w:val="008A120A"/>
    <w:rsid w:val="008A1237"/>
    <w:rsid w:val="008A1357"/>
    <w:rsid w:val="008A14BF"/>
    <w:rsid w:val="008A14ED"/>
    <w:rsid w:val="008A15D9"/>
    <w:rsid w:val="008A15E2"/>
    <w:rsid w:val="008A1653"/>
    <w:rsid w:val="008A1AA0"/>
    <w:rsid w:val="008A1AA1"/>
    <w:rsid w:val="008A1B3F"/>
    <w:rsid w:val="008A1C69"/>
    <w:rsid w:val="008A1E8F"/>
    <w:rsid w:val="008A217C"/>
    <w:rsid w:val="008A2184"/>
    <w:rsid w:val="008A2248"/>
    <w:rsid w:val="008A22B4"/>
    <w:rsid w:val="008A22FA"/>
    <w:rsid w:val="008A2445"/>
    <w:rsid w:val="008A246A"/>
    <w:rsid w:val="008A24DB"/>
    <w:rsid w:val="008A25CB"/>
    <w:rsid w:val="008A2662"/>
    <w:rsid w:val="008A26AF"/>
    <w:rsid w:val="008A26F4"/>
    <w:rsid w:val="008A2887"/>
    <w:rsid w:val="008A2BBD"/>
    <w:rsid w:val="008A2CEE"/>
    <w:rsid w:val="008A2D26"/>
    <w:rsid w:val="008A2D42"/>
    <w:rsid w:val="008A2DA6"/>
    <w:rsid w:val="008A2DB0"/>
    <w:rsid w:val="008A2DC7"/>
    <w:rsid w:val="008A2F2E"/>
    <w:rsid w:val="008A2F7D"/>
    <w:rsid w:val="008A323B"/>
    <w:rsid w:val="008A3288"/>
    <w:rsid w:val="008A3609"/>
    <w:rsid w:val="008A3629"/>
    <w:rsid w:val="008A3654"/>
    <w:rsid w:val="008A36C2"/>
    <w:rsid w:val="008A3811"/>
    <w:rsid w:val="008A388F"/>
    <w:rsid w:val="008A38B3"/>
    <w:rsid w:val="008A3980"/>
    <w:rsid w:val="008A39BD"/>
    <w:rsid w:val="008A3A43"/>
    <w:rsid w:val="008A3A55"/>
    <w:rsid w:val="008A3AF8"/>
    <w:rsid w:val="008A3B01"/>
    <w:rsid w:val="008A3B23"/>
    <w:rsid w:val="008A3B55"/>
    <w:rsid w:val="008A3BB1"/>
    <w:rsid w:val="008A3C1A"/>
    <w:rsid w:val="008A3CDD"/>
    <w:rsid w:val="008A3D01"/>
    <w:rsid w:val="008A3EE6"/>
    <w:rsid w:val="008A3F16"/>
    <w:rsid w:val="008A3F76"/>
    <w:rsid w:val="008A415C"/>
    <w:rsid w:val="008A41A7"/>
    <w:rsid w:val="008A43AC"/>
    <w:rsid w:val="008A4545"/>
    <w:rsid w:val="008A4736"/>
    <w:rsid w:val="008A4826"/>
    <w:rsid w:val="008A486B"/>
    <w:rsid w:val="008A48A0"/>
    <w:rsid w:val="008A4981"/>
    <w:rsid w:val="008A498A"/>
    <w:rsid w:val="008A49CD"/>
    <w:rsid w:val="008A4D8C"/>
    <w:rsid w:val="008A4F8D"/>
    <w:rsid w:val="008A5010"/>
    <w:rsid w:val="008A521A"/>
    <w:rsid w:val="008A547E"/>
    <w:rsid w:val="008A5583"/>
    <w:rsid w:val="008A559F"/>
    <w:rsid w:val="008A55C2"/>
    <w:rsid w:val="008A55D1"/>
    <w:rsid w:val="008A5647"/>
    <w:rsid w:val="008A56C8"/>
    <w:rsid w:val="008A593E"/>
    <w:rsid w:val="008A5B83"/>
    <w:rsid w:val="008A5C34"/>
    <w:rsid w:val="008A5D31"/>
    <w:rsid w:val="008A5E09"/>
    <w:rsid w:val="008A5F42"/>
    <w:rsid w:val="008A5FF1"/>
    <w:rsid w:val="008A61A1"/>
    <w:rsid w:val="008A61A6"/>
    <w:rsid w:val="008A6329"/>
    <w:rsid w:val="008A6336"/>
    <w:rsid w:val="008A63EF"/>
    <w:rsid w:val="008A6436"/>
    <w:rsid w:val="008A64E4"/>
    <w:rsid w:val="008A650C"/>
    <w:rsid w:val="008A6541"/>
    <w:rsid w:val="008A6668"/>
    <w:rsid w:val="008A66D7"/>
    <w:rsid w:val="008A6753"/>
    <w:rsid w:val="008A698F"/>
    <w:rsid w:val="008A69E0"/>
    <w:rsid w:val="008A6A44"/>
    <w:rsid w:val="008A6C50"/>
    <w:rsid w:val="008A6D65"/>
    <w:rsid w:val="008A6D9D"/>
    <w:rsid w:val="008A6F53"/>
    <w:rsid w:val="008A7001"/>
    <w:rsid w:val="008A7024"/>
    <w:rsid w:val="008A7047"/>
    <w:rsid w:val="008A706D"/>
    <w:rsid w:val="008A712E"/>
    <w:rsid w:val="008A727A"/>
    <w:rsid w:val="008A72B7"/>
    <w:rsid w:val="008A72FC"/>
    <w:rsid w:val="008A733F"/>
    <w:rsid w:val="008A7362"/>
    <w:rsid w:val="008A74F8"/>
    <w:rsid w:val="008A7504"/>
    <w:rsid w:val="008A7885"/>
    <w:rsid w:val="008A7967"/>
    <w:rsid w:val="008A7C52"/>
    <w:rsid w:val="008A7C65"/>
    <w:rsid w:val="008A7C9C"/>
    <w:rsid w:val="008A7CF2"/>
    <w:rsid w:val="008A7D69"/>
    <w:rsid w:val="008A7DA5"/>
    <w:rsid w:val="008A7E26"/>
    <w:rsid w:val="008A7EEE"/>
    <w:rsid w:val="008B00D1"/>
    <w:rsid w:val="008B0177"/>
    <w:rsid w:val="008B0191"/>
    <w:rsid w:val="008B023F"/>
    <w:rsid w:val="008B058F"/>
    <w:rsid w:val="008B05D1"/>
    <w:rsid w:val="008B05D3"/>
    <w:rsid w:val="008B06ED"/>
    <w:rsid w:val="008B072B"/>
    <w:rsid w:val="008B0732"/>
    <w:rsid w:val="008B07C4"/>
    <w:rsid w:val="008B0A25"/>
    <w:rsid w:val="008B0A99"/>
    <w:rsid w:val="008B0BBF"/>
    <w:rsid w:val="008B0C90"/>
    <w:rsid w:val="008B0D99"/>
    <w:rsid w:val="008B0DBB"/>
    <w:rsid w:val="008B0FA9"/>
    <w:rsid w:val="008B114D"/>
    <w:rsid w:val="008B12FA"/>
    <w:rsid w:val="008B1441"/>
    <w:rsid w:val="008B14CE"/>
    <w:rsid w:val="008B1586"/>
    <w:rsid w:val="008B1636"/>
    <w:rsid w:val="008B1831"/>
    <w:rsid w:val="008B186B"/>
    <w:rsid w:val="008B18C8"/>
    <w:rsid w:val="008B1923"/>
    <w:rsid w:val="008B1C7A"/>
    <w:rsid w:val="008B1CE9"/>
    <w:rsid w:val="008B1D39"/>
    <w:rsid w:val="008B1E44"/>
    <w:rsid w:val="008B1ED7"/>
    <w:rsid w:val="008B1F51"/>
    <w:rsid w:val="008B1F88"/>
    <w:rsid w:val="008B214F"/>
    <w:rsid w:val="008B2335"/>
    <w:rsid w:val="008B23DB"/>
    <w:rsid w:val="008B2444"/>
    <w:rsid w:val="008B245C"/>
    <w:rsid w:val="008B24A9"/>
    <w:rsid w:val="008B2605"/>
    <w:rsid w:val="008B26ED"/>
    <w:rsid w:val="008B2778"/>
    <w:rsid w:val="008B2789"/>
    <w:rsid w:val="008B27A9"/>
    <w:rsid w:val="008B27C9"/>
    <w:rsid w:val="008B27EC"/>
    <w:rsid w:val="008B28CB"/>
    <w:rsid w:val="008B2A1D"/>
    <w:rsid w:val="008B2AAD"/>
    <w:rsid w:val="008B2DB3"/>
    <w:rsid w:val="008B2E47"/>
    <w:rsid w:val="008B2F2C"/>
    <w:rsid w:val="008B2FC6"/>
    <w:rsid w:val="008B3111"/>
    <w:rsid w:val="008B3248"/>
    <w:rsid w:val="008B327B"/>
    <w:rsid w:val="008B39A3"/>
    <w:rsid w:val="008B39C6"/>
    <w:rsid w:val="008B3B47"/>
    <w:rsid w:val="008B3B98"/>
    <w:rsid w:val="008B3BD1"/>
    <w:rsid w:val="008B3CB5"/>
    <w:rsid w:val="008B3E8D"/>
    <w:rsid w:val="008B4179"/>
    <w:rsid w:val="008B422D"/>
    <w:rsid w:val="008B42BC"/>
    <w:rsid w:val="008B443C"/>
    <w:rsid w:val="008B4462"/>
    <w:rsid w:val="008B448C"/>
    <w:rsid w:val="008B4504"/>
    <w:rsid w:val="008B46E5"/>
    <w:rsid w:val="008B4767"/>
    <w:rsid w:val="008B4811"/>
    <w:rsid w:val="008B4855"/>
    <w:rsid w:val="008B48E9"/>
    <w:rsid w:val="008B48EA"/>
    <w:rsid w:val="008B4950"/>
    <w:rsid w:val="008B4CD3"/>
    <w:rsid w:val="008B4D58"/>
    <w:rsid w:val="008B4E45"/>
    <w:rsid w:val="008B50EF"/>
    <w:rsid w:val="008B517E"/>
    <w:rsid w:val="008B51F0"/>
    <w:rsid w:val="008B5212"/>
    <w:rsid w:val="008B5372"/>
    <w:rsid w:val="008B53FA"/>
    <w:rsid w:val="008B5570"/>
    <w:rsid w:val="008B577D"/>
    <w:rsid w:val="008B583F"/>
    <w:rsid w:val="008B5930"/>
    <w:rsid w:val="008B5A19"/>
    <w:rsid w:val="008B5BF7"/>
    <w:rsid w:val="008B5C7B"/>
    <w:rsid w:val="008B5EDC"/>
    <w:rsid w:val="008B6160"/>
    <w:rsid w:val="008B619A"/>
    <w:rsid w:val="008B6425"/>
    <w:rsid w:val="008B6430"/>
    <w:rsid w:val="008B6506"/>
    <w:rsid w:val="008B68B6"/>
    <w:rsid w:val="008B68BE"/>
    <w:rsid w:val="008B698C"/>
    <w:rsid w:val="008B699E"/>
    <w:rsid w:val="008B7360"/>
    <w:rsid w:val="008B7415"/>
    <w:rsid w:val="008B748C"/>
    <w:rsid w:val="008B7517"/>
    <w:rsid w:val="008B759B"/>
    <w:rsid w:val="008B7790"/>
    <w:rsid w:val="008B7807"/>
    <w:rsid w:val="008B7955"/>
    <w:rsid w:val="008B7A30"/>
    <w:rsid w:val="008B7B5D"/>
    <w:rsid w:val="008B7BF2"/>
    <w:rsid w:val="008B7D25"/>
    <w:rsid w:val="008B7E36"/>
    <w:rsid w:val="008B7EEA"/>
    <w:rsid w:val="008B7F55"/>
    <w:rsid w:val="008C013A"/>
    <w:rsid w:val="008C0205"/>
    <w:rsid w:val="008C0206"/>
    <w:rsid w:val="008C023E"/>
    <w:rsid w:val="008C028E"/>
    <w:rsid w:val="008C041E"/>
    <w:rsid w:val="008C0447"/>
    <w:rsid w:val="008C0518"/>
    <w:rsid w:val="008C05A6"/>
    <w:rsid w:val="008C069D"/>
    <w:rsid w:val="008C06C5"/>
    <w:rsid w:val="008C06D7"/>
    <w:rsid w:val="008C0793"/>
    <w:rsid w:val="008C07BB"/>
    <w:rsid w:val="008C08AA"/>
    <w:rsid w:val="008C08E5"/>
    <w:rsid w:val="008C09F8"/>
    <w:rsid w:val="008C0A2E"/>
    <w:rsid w:val="008C0BEF"/>
    <w:rsid w:val="008C0DB0"/>
    <w:rsid w:val="008C0EA4"/>
    <w:rsid w:val="008C0FDF"/>
    <w:rsid w:val="008C1078"/>
    <w:rsid w:val="008C1366"/>
    <w:rsid w:val="008C1509"/>
    <w:rsid w:val="008C191E"/>
    <w:rsid w:val="008C1A00"/>
    <w:rsid w:val="008C1B67"/>
    <w:rsid w:val="008C1C95"/>
    <w:rsid w:val="008C1CB6"/>
    <w:rsid w:val="008C207F"/>
    <w:rsid w:val="008C209F"/>
    <w:rsid w:val="008C2161"/>
    <w:rsid w:val="008C2218"/>
    <w:rsid w:val="008C245C"/>
    <w:rsid w:val="008C2503"/>
    <w:rsid w:val="008C2542"/>
    <w:rsid w:val="008C26C5"/>
    <w:rsid w:val="008C2742"/>
    <w:rsid w:val="008C2978"/>
    <w:rsid w:val="008C2A30"/>
    <w:rsid w:val="008C2B7C"/>
    <w:rsid w:val="008C2B7E"/>
    <w:rsid w:val="008C2C32"/>
    <w:rsid w:val="008C2CEC"/>
    <w:rsid w:val="008C2E11"/>
    <w:rsid w:val="008C2E68"/>
    <w:rsid w:val="008C2EC3"/>
    <w:rsid w:val="008C2F4E"/>
    <w:rsid w:val="008C2F66"/>
    <w:rsid w:val="008C3120"/>
    <w:rsid w:val="008C3321"/>
    <w:rsid w:val="008C3488"/>
    <w:rsid w:val="008C354B"/>
    <w:rsid w:val="008C3568"/>
    <w:rsid w:val="008C3865"/>
    <w:rsid w:val="008C39FA"/>
    <w:rsid w:val="008C3AB1"/>
    <w:rsid w:val="008C3AD5"/>
    <w:rsid w:val="008C3D0D"/>
    <w:rsid w:val="008C3D19"/>
    <w:rsid w:val="008C3F3B"/>
    <w:rsid w:val="008C4108"/>
    <w:rsid w:val="008C4262"/>
    <w:rsid w:val="008C42BA"/>
    <w:rsid w:val="008C446D"/>
    <w:rsid w:val="008C45CF"/>
    <w:rsid w:val="008C4616"/>
    <w:rsid w:val="008C46EF"/>
    <w:rsid w:val="008C4728"/>
    <w:rsid w:val="008C4AC5"/>
    <w:rsid w:val="008C4B0D"/>
    <w:rsid w:val="008C4C7A"/>
    <w:rsid w:val="008C4CAA"/>
    <w:rsid w:val="008C4EFF"/>
    <w:rsid w:val="008C4F37"/>
    <w:rsid w:val="008C5000"/>
    <w:rsid w:val="008C5232"/>
    <w:rsid w:val="008C5240"/>
    <w:rsid w:val="008C52BA"/>
    <w:rsid w:val="008C52D5"/>
    <w:rsid w:val="008C53BE"/>
    <w:rsid w:val="008C561B"/>
    <w:rsid w:val="008C5635"/>
    <w:rsid w:val="008C56DB"/>
    <w:rsid w:val="008C5776"/>
    <w:rsid w:val="008C597F"/>
    <w:rsid w:val="008C5A1C"/>
    <w:rsid w:val="008C5A35"/>
    <w:rsid w:val="008C5A44"/>
    <w:rsid w:val="008C5BA4"/>
    <w:rsid w:val="008C5C64"/>
    <w:rsid w:val="008C5DD9"/>
    <w:rsid w:val="008C5F5B"/>
    <w:rsid w:val="008C637B"/>
    <w:rsid w:val="008C63A3"/>
    <w:rsid w:val="008C640A"/>
    <w:rsid w:val="008C663E"/>
    <w:rsid w:val="008C6768"/>
    <w:rsid w:val="008C68FB"/>
    <w:rsid w:val="008C6AB5"/>
    <w:rsid w:val="008C6B05"/>
    <w:rsid w:val="008C6B42"/>
    <w:rsid w:val="008C6CB4"/>
    <w:rsid w:val="008C6F89"/>
    <w:rsid w:val="008C718A"/>
    <w:rsid w:val="008C7775"/>
    <w:rsid w:val="008C7B76"/>
    <w:rsid w:val="008C7D9A"/>
    <w:rsid w:val="008D02BE"/>
    <w:rsid w:val="008D032C"/>
    <w:rsid w:val="008D0380"/>
    <w:rsid w:val="008D0390"/>
    <w:rsid w:val="008D03D6"/>
    <w:rsid w:val="008D04A1"/>
    <w:rsid w:val="008D04A4"/>
    <w:rsid w:val="008D0A16"/>
    <w:rsid w:val="008D0AB2"/>
    <w:rsid w:val="008D0ACD"/>
    <w:rsid w:val="008D0D71"/>
    <w:rsid w:val="008D0E60"/>
    <w:rsid w:val="008D0EC9"/>
    <w:rsid w:val="008D0F4B"/>
    <w:rsid w:val="008D100D"/>
    <w:rsid w:val="008D1034"/>
    <w:rsid w:val="008D103C"/>
    <w:rsid w:val="008D1222"/>
    <w:rsid w:val="008D1518"/>
    <w:rsid w:val="008D1773"/>
    <w:rsid w:val="008D17D2"/>
    <w:rsid w:val="008D17FD"/>
    <w:rsid w:val="008D19BA"/>
    <w:rsid w:val="008D1A70"/>
    <w:rsid w:val="008D1B42"/>
    <w:rsid w:val="008D1BAC"/>
    <w:rsid w:val="008D1BFB"/>
    <w:rsid w:val="008D1F4F"/>
    <w:rsid w:val="008D2066"/>
    <w:rsid w:val="008D213E"/>
    <w:rsid w:val="008D2156"/>
    <w:rsid w:val="008D21E5"/>
    <w:rsid w:val="008D23CD"/>
    <w:rsid w:val="008D2452"/>
    <w:rsid w:val="008D2563"/>
    <w:rsid w:val="008D2565"/>
    <w:rsid w:val="008D25E9"/>
    <w:rsid w:val="008D2642"/>
    <w:rsid w:val="008D27C6"/>
    <w:rsid w:val="008D28D9"/>
    <w:rsid w:val="008D2903"/>
    <w:rsid w:val="008D2AC6"/>
    <w:rsid w:val="008D2AF3"/>
    <w:rsid w:val="008D2C09"/>
    <w:rsid w:val="008D2C6A"/>
    <w:rsid w:val="008D2CC1"/>
    <w:rsid w:val="008D2CCD"/>
    <w:rsid w:val="008D2D4C"/>
    <w:rsid w:val="008D2DA7"/>
    <w:rsid w:val="008D2E32"/>
    <w:rsid w:val="008D2EF0"/>
    <w:rsid w:val="008D2F67"/>
    <w:rsid w:val="008D2FE3"/>
    <w:rsid w:val="008D3407"/>
    <w:rsid w:val="008D375B"/>
    <w:rsid w:val="008D379B"/>
    <w:rsid w:val="008D37D8"/>
    <w:rsid w:val="008D3C5B"/>
    <w:rsid w:val="008D3D7A"/>
    <w:rsid w:val="008D3DC8"/>
    <w:rsid w:val="008D3EF1"/>
    <w:rsid w:val="008D3F3C"/>
    <w:rsid w:val="008D4037"/>
    <w:rsid w:val="008D4055"/>
    <w:rsid w:val="008D4066"/>
    <w:rsid w:val="008D409F"/>
    <w:rsid w:val="008D4100"/>
    <w:rsid w:val="008D4127"/>
    <w:rsid w:val="008D4426"/>
    <w:rsid w:val="008D4608"/>
    <w:rsid w:val="008D462F"/>
    <w:rsid w:val="008D4910"/>
    <w:rsid w:val="008D49EB"/>
    <w:rsid w:val="008D4BE8"/>
    <w:rsid w:val="008D4D7F"/>
    <w:rsid w:val="008D4D8B"/>
    <w:rsid w:val="008D4DA9"/>
    <w:rsid w:val="008D4E6B"/>
    <w:rsid w:val="008D51FC"/>
    <w:rsid w:val="008D55D1"/>
    <w:rsid w:val="008D562C"/>
    <w:rsid w:val="008D5683"/>
    <w:rsid w:val="008D59A8"/>
    <w:rsid w:val="008D5B70"/>
    <w:rsid w:val="008D5B73"/>
    <w:rsid w:val="008D5BF8"/>
    <w:rsid w:val="008D5C87"/>
    <w:rsid w:val="008D5D60"/>
    <w:rsid w:val="008D5DEF"/>
    <w:rsid w:val="008D5EEB"/>
    <w:rsid w:val="008D5F1F"/>
    <w:rsid w:val="008D6090"/>
    <w:rsid w:val="008D60CD"/>
    <w:rsid w:val="008D61BB"/>
    <w:rsid w:val="008D63A5"/>
    <w:rsid w:val="008D63A8"/>
    <w:rsid w:val="008D646C"/>
    <w:rsid w:val="008D652A"/>
    <w:rsid w:val="008D6603"/>
    <w:rsid w:val="008D6607"/>
    <w:rsid w:val="008D686B"/>
    <w:rsid w:val="008D6E3F"/>
    <w:rsid w:val="008D6F89"/>
    <w:rsid w:val="008D6F8E"/>
    <w:rsid w:val="008D7028"/>
    <w:rsid w:val="008D709B"/>
    <w:rsid w:val="008D70D0"/>
    <w:rsid w:val="008D7165"/>
    <w:rsid w:val="008D71FC"/>
    <w:rsid w:val="008D7346"/>
    <w:rsid w:val="008D743C"/>
    <w:rsid w:val="008D748B"/>
    <w:rsid w:val="008D74F5"/>
    <w:rsid w:val="008D74F9"/>
    <w:rsid w:val="008D7583"/>
    <w:rsid w:val="008D7636"/>
    <w:rsid w:val="008D7693"/>
    <w:rsid w:val="008D76F3"/>
    <w:rsid w:val="008D77B7"/>
    <w:rsid w:val="008D7BDE"/>
    <w:rsid w:val="008D7D99"/>
    <w:rsid w:val="008D7DC5"/>
    <w:rsid w:val="008D7FB2"/>
    <w:rsid w:val="008E0034"/>
    <w:rsid w:val="008E00BD"/>
    <w:rsid w:val="008E016A"/>
    <w:rsid w:val="008E0234"/>
    <w:rsid w:val="008E03F5"/>
    <w:rsid w:val="008E0492"/>
    <w:rsid w:val="008E05D3"/>
    <w:rsid w:val="008E09A9"/>
    <w:rsid w:val="008E0B48"/>
    <w:rsid w:val="008E0BFE"/>
    <w:rsid w:val="008E0C4F"/>
    <w:rsid w:val="008E0F79"/>
    <w:rsid w:val="008E1009"/>
    <w:rsid w:val="008E11E1"/>
    <w:rsid w:val="008E12A6"/>
    <w:rsid w:val="008E12C2"/>
    <w:rsid w:val="008E1383"/>
    <w:rsid w:val="008E1454"/>
    <w:rsid w:val="008E1497"/>
    <w:rsid w:val="008E1591"/>
    <w:rsid w:val="008E16FA"/>
    <w:rsid w:val="008E188F"/>
    <w:rsid w:val="008E18D0"/>
    <w:rsid w:val="008E1973"/>
    <w:rsid w:val="008E1975"/>
    <w:rsid w:val="008E1A83"/>
    <w:rsid w:val="008E1B6C"/>
    <w:rsid w:val="008E1B93"/>
    <w:rsid w:val="008E1C42"/>
    <w:rsid w:val="008E1C56"/>
    <w:rsid w:val="008E1CCA"/>
    <w:rsid w:val="008E1CF9"/>
    <w:rsid w:val="008E1D05"/>
    <w:rsid w:val="008E1D7A"/>
    <w:rsid w:val="008E1F47"/>
    <w:rsid w:val="008E1F69"/>
    <w:rsid w:val="008E2036"/>
    <w:rsid w:val="008E22A0"/>
    <w:rsid w:val="008E22B7"/>
    <w:rsid w:val="008E2417"/>
    <w:rsid w:val="008E255B"/>
    <w:rsid w:val="008E2616"/>
    <w:rsid w:val="008E2703"/>
    <w:rsid w:val="008E2769"/>
    <w:rsid w:val="008E2A37"/>
    <w:rsid w:val="008E2A9B"/>
    <w:rsid w:val="008E2BE2"/>
    <w:rsid w:val="008E2C15"/>
    <w:rsid w:val="008E2CF7"/>
    <w:rsid w:val="008E2D8C"/>
    <w:rsid w:val="008E2EE7"/>
    <w:rsid w:val="008E308A"/>
    <w:rsid w:val="008E30E8"/>
    <w:rsid w:val="008E3263"/>
    <w:rsid w:val="008E3282"/>
    <w:rsid w:val="008E3587"/>
    <w:rsid w:val="008E3613"/>
    <w:rsid w:val="008E36CD"/>
    <w:rsid w:val="008E36D1"/>
    <w:rsid w:val="008E371D"/>
    <w:rsid w:val="008E37B2"/>
    <w:rsid w:val="008E3CED"/>
    <w:rsid w:val="008E3F0C"/>
    <w:rsid w:val="008E3F63"/>
    <w:rsid w:val="008E4046"/>
    <w:rsid w:val="008E40C9"/>
    <w:rsid w:val="008E4100"/>
    <w:rsid w:val="008E41CA"/>
    <w:rsid w:val="008E4458"/>
    <w:rsid w:val="008E4854"/>
    <w:rsid w:val="008E48A4"/>
    <w:rsid w:val="008E48FC"/>
    <w:rsid w:val="008E49FF"/>
    <w:rsid w:val="008E4A01"/>
    <w:rsid w:val="008E4AD1"/>
    <w:rsid w:val="008E4AE3"/>
    <w:rsid w:val="008E4B20"/>
    <w:rsid w:val="008E4B91"/>
    <w:rsid w:val="008E4C90"/>
    <w:rsid w:val="008E4CE0"/>
    <w:rsid w:val="008E4CE6"/>
    <w:rsid w:val="008E4D61"/>
    <w:rsid w:val="008E4D95"/>
    <w:rsid w:val="008E4E26"/>
    <w:rsid w:val="008E4E28"/>
    <w:rsid w:val="008E4F83"/>
    <w:rsid w:val="008E51AC"/>
    <w:rsid w:val="008E5274"/>
    <w:rsid w:val="008E540F"/>
    <w:rsid w:val="008E57BA"/>
    <w:rsid w:val="008E594A"/>
    <w:rsid w:val="008E5A10"/>
    <w:rsid w:val="008E5AB2"/>
    <w:rsid w:val="008E5AF6"/>
    <w:rsid w:val="008E5CA7"/>
    <w:rsid w:val="008E5E6C"/>
    <w:rsid w:val="008E5F1D"/>
    <w:rsid w:val="008E5FBE"/>
    <w:rsid w:val="008E60ED"/>
    <w:rsid w:val="008E6106"/>
    <w:rsid w:val="008E61FB"/>
    <w:rsid w:val="008E6767"/>
    <w:rsid w:val="008E6A08"/>
    <w:rsid w:val="008E6BC5"/>
    <w:rsid w:val="008E6C06"/>
    <w:rsid w:val="008E71C9"/>
    <w:rsid w:val="008E728F"/>
    <w:rsid w:val="008E73D9"/>
    <w:rsid w:val="008E742C"/>
    <w:rsid w:val="008E74D1"/>
    <w:rsid w:val="008E74E4"/>
    <w:rsid w:val="008E762F"/>
    <w:rsid w:val="008E76BC"/>
    <w:rsid w:val="008E76E5"/>
    <w:rsid w:val="008E781B"/>
    <w:rsid w:val="008E78EA"/>
    <w:rsid w:val="008E7956"/>
    <w:rsid w:val="008E7BD6"/>
    <w:rsid w:val="008E7EF3"/>
    <w:rsid w:val="008F0015"/>
    <w:rsid w:val="008F012E"/>
    <w:rsid w:val="008F014D"/>
    <w:rsid w:val="008F02A5"/>
    <w:rsid w:val="008F02ED"/>
    <w:rsid w:val="008F02FE"/>
    <w:rsid w:val="008F0381"/>
    <w:rsid w:val="008F047F"/>
    <w:rsid w:val="008F04DF"/>
    <w:rsid w:val="008F0566"/>
    <w:rsid w:val="008F059A"/>
    <w:rsid w:val="008F0697"/>
    <w:rsid w:val="008F0735"/>
    <w:rsid w:val="008F0842"/>
    <w:rsid w:val="008F08CF"/>
    <w:rsid w:val="008F099B"/>
    <w:rsid w:val="008F0A12"/>
    <w:rsid w:val="008F0CE6"/>
    <w:rsid w:val="008F0E92"/>
    <w:rsid w:val="008F0F34"/>
    <w:rsid w:val="008F0FA0"/>
    <w:rsid w:val="008F0FF2"/>
    <w:rsid w:val="008F106A"/>
    <w:rsid w:val="008F10D7"/>
    <w:rsid w:val="008F111B"/>
    <w:rsid w:val="008F123F"/>
    <w:rsid w:val="008F12ED"/>
    <w:rsid w:val="008F14F6"/>
    <w:rsid w:val="008F15E5"/>
    <w:rsid w:val="008F18B8"/>
    <w:rsid w:val="008F1B76"/>
    <w:rsid w:val="008F1BA9"/>
    <w:rsid w:val="008F1C00"/>
    <w:rsid w:val="008F1C14"/>
    <w:rsid w:val="008F1D08"/>
    <w:rsid w:val="008F1E3F"/>
    <w:rsid w:val="008F1E66"/>
    <w:rsid w:val="008F1E7A"/>
    <w:rsid w:val="008F1EB5"/>
    <w:rsid w:val="008F1FC8"/>
    <w:rsid w:val="008F1FE6"/>
    <w:rsid w:val="008F20CC"/>
    <w:rsid w:val="008F2117"/>
    <w:rsid w:val="008F2141"/>
    <w:rsid w:val="008F2151"/>
    <w:rsid w:val="008F21E6"/>
    <w:rsid w:val="008F22B8"/>
    <w:rsid w:val="008F23E3"/>
    <w:rsid w:val="008F2485"/>
    <w:rsid w:val="008F25F6"/>
    <w:rsid w:val="008F2611"/>
    <w:rsid w:val="008F26C2"/>
    <w:rsid w:val="008F2763"/>
    <w:rsid w:val="008F28BE"/>
    <w:rsid w:val="008F29F5"/>
    <w:rsid w:val="008F2A4D"/>
    <w:rsid w:val="008F2AFB"/>
    <w:rsid w:val="008F2AFE"/>
    <w:rsid w:val="008F2B60"/>
    <w:rsid w:val="008F2C4C"/>
    <w:rsid w:val="008F2F55"/>
    <w:rsid w:val="008F301A"/>
    <w:rsid w:val="008F312F"/>
    <w:rsid w:val="008F32BB"/>
    <w:rsid w:val="008F3436"/>
    <w:rsid w:val="008F35B9"/>
    <w:rsid w:val="008F361F"/>
    <w:rsid w:val="008F3691"/>
    <w:rsid w:val="008F3705"/>
    <w:rsid w:val="008F3783"/>
    <w:rsid w:val="008F396A"/>
    <w:rsid w:val="008F3AAC"/>
    <w:rsid w:val="008F3B04"/>
    <w:rsid w:val="008F3CAB"/>
    <w:rsid w:val="008F3E4A"/>
    <w:rsid w:val="008F409C"/>
    <w:rsid w:val="008F4323"/>
    <w:rsid w:val="008F45C1"/>
    <w:rsid w:val="008F46B2"/>
    <w:rsid w:val="008F472C"/>
    <w:rsid w:val="008F48A0"/>
    <w:rsid w:val="008F48C1"/>
    <w:rsid w:val="008F4933"/>
    <w:rsid w:val="008F4948"/>
    <w:rsid w:val="008F4966"/>
    <w:rsid w:val="008F4A69"/>
    <w:rsid w:val="008F4B23"/>
    <w:rsid w:val="008F4B83"/>
    <w:rsid w:val="008F4BC8"/>
    <w:rsid w:val="008F4D2F"/>
    <w:rsid w:val="008F4D61"/>
    <w:rsid w:val="008F4E27"/>
    <w:rsid w:val="008F4FED"/>
    <w:rsid w:val="008F51E5"/>
    <w:rsid w:val="008F5279"/>
    <w:rsid w:val="008F5337"/>
    <w:rsid w:val="008F53C8"/>
    <w:rsid w:val="008F5459"/>
    <w:rsid w:val="008F5539"/>
    <w:rsid w:val="008F56A4"/>
    <w:rsid w:val="008F5A4B"/>
    <w:rsid w:val="008F5A8A"/>
    <w:rsid w:val="008F5B6F"/>
    <w:rsid w:val="008F5BAB"/>
    <w:rsid w:val="008F5C76"/>
    <w:rsid w:val="008F5CBD"/>
    <w:rsid w:val="008F5DBD"/>
    <w:rsid w:val="008F5E87"/>
    <w:rsid w:val="008F5F53"/>
    <w:rsid w:val="008F60BB"/>
    <w:rsid w:val="008F6252"/>
    <w:rsid w:val="008F625D"/>
    <w:rsid w:val="008F629D"/>
    <w:rsid w:val="008F6695"/>
    <w:rsid w:val="008F66CF"/>
    <w:rsid w:val="008F69E7"/>
    <w:rsid w:val="008F6B46"/>
    <w:rsid w:val="008F6BF5"/>
    <w:rsid w:val="008F6D24"/>
    <w:rsid w:val="008F6EC3"/>
    <w:rsid w:val="008F6FED"/>
    <w:rsid w:val="008F7006"/>
    <w:rsid w:val="008F7037"/>
    <w:rsid w:val="008F7199"/>
    <w:rsid w:val="008F7582"/>
    <w:rsid w:val="008F76C4"/>
    <w:rsid w:val="008F78F3"/>
    <w:rsid w:val="008F7969"/>
    <w:rsid w:val="008F7F47"/>
    <w:rsid w:val="008F7FB3"/>
    <w:rsid w:val="0090013B"/>
    <w:rsid w:val="00900239"/>
    <w:rsid w:val="0090041C"/>
    <w:rsid w:val="009006EB"/>
    <w:rsid w:val="009006FF"/>
    <w:rsid w:val="00900AC2"/>
    <w:rsid w:val="00900B89"/>
    <w:rsid w:val="00900CFF"/>
    <w:rsid w:val="00900D71"/>
    <w:rsid w:val="00900E22"/>
    <w:rsid w:val="00900EC0"/>
    <w:rsid w:val="00900F1C"/>
    <w:rsid w:val="00900F73"/>
    <w:rsid w:val="00900FF4"/>
    <w:rsid w:val="0090110A"/>
    <w:rsid w:val="009011DE"/>
    <w:rsid w:val="0090133D"/>
    <w:rsid w:val="00901357"/>
    <w:rsid w:val="009013F6"/>
    <w:rsid w:val="0090141D"/>
    <w:rsid w:val="00901507"/>
    <w:rsid w:val="009016D9"/>
    <w:rsid w:val="009016E4"/>
    <w:rsid w:val="009017D6"/>
    <w:rsid w:val="0090180D"/>
    <w:rsid w:val="0090182A"/>
    <w:rsid w:val="00901858"/>
    <w:rsid w:val="009019ED"/>
    <w:rsid w:val="00901AFA"/>
    <w:rsid w:val="00901BCD"/>
    <w:rsid w:val="00901CD9"/>
    <w:rsid w:val="00901DF2"/>
    <w:rsid w:val="00902029"/>
    <w:rsid w:val="009020EE"/>
    <w:rsid w:val="00902174"/>
    <w:rsid w:val="009021A8"/>
    <w:rsid w:val="009021DA"/>
    <w:rsid w:val="00902246"/>
    <w:rsid w:val="009022C6"/>
    <w:rsid w:val="009023AA"/>
    <w:rsid w:val="00902449"/>
    <w:rsid w:val="009025ED"/>
    <w:rsid w:val="00902603"/>
    <w:rsid w:val="00902610"/>
    <w:rsid w:val="0090283F"/>
    <w:rsid w:val="00902879"/>
    <w:rsid w:val="009028B3"/>
    <w:rsid w:val="009028DD"/>
    <w:rsid w:val="009029D0"/>
    <w:rsid w:val="00902B8F"/>
    <w:rsid w:val="00902BA4"/>
    <w:rsid w:val="00902C47"/>
    <w:rsid w:val="00902CCF"/>
    <w:rsid w:val="00902E2A"/>
    <w:rsid w:val="00902E41"/>
    <w:rsid w:val="00902E6E"/>
    <w:rsid w:val="00902F48"/>
    <w:rsid w:val="00903128"/>
    <w:rsid w:val="009031B5"/>
    <w:rsid w:val="009031D6"/>
    <w:rsid w:val="009031DB"/>
    <w:rsid w:val="0090321C"/>
    <w:rsid w:val="00903260"/>
    <w:rsid w:val="00903292"/>
    <w:rsid w:val="009032A1"/>
    <w:rsid w:val="009032B5"/>
    <w:rsid w:val="009032B9"/>
    <w:rsid w:val="009034E1"/>
    <w:rsid w:val="00903551"/>
    <w:rsid w:val="0090360A"/>
    <w:rsid w:val="00903690"/>
    <w:rsid w:val="009037A6"/>
    <w:rsid w:val="009037E4"/>
    <w:rsid w:val="009037E9"/>
    <w:rsid w:val="0090393F"/>
    <w:rsid w:val="009039E2"/>
    <w:rsid w:val="00903A1B"/>
    <w:rsid w:val="00903A4B"/>
    <w:rsid w:val="00903B9E"/>
    <w:rsid w:val="00903BE6"/>
    <w:rsid w:val="00903E00"/>
    <w:rsid w:val="00903F0C"/>
    <w:rsid w:val="00903F64"/>
    <w:rsid w:val="00904107"/>
    <w:rsid w:val="00904294"/>
    <w:rsid w:val="009043BD"/>
    <w:rsid w:val="009043EA"/>
    <w:rsid w:val="009045D1"/>
    <w:rsid w:val="009045F2"/>
    <w:rsid w:val="009047E3"/>
    <w:rsid w:val="009047F2"/>
    <w:rsid w:val="00904839"/>
    <w:rsid w:val="00904841"/>
    <w:rsid w:val="00904852"/>
    <w:rsid w:val="0090486A"/>
    <w:rsid w:val="00904908"/>
    <w:rsid w:val="0090496D"/>
    <w:rsid w:val="00904A3E"/>
    <w:rsid w:val="00904C04"/>
    <w:rsid w:val="00904DDB"/>
    <w:rsid w:val="00904E55"/>
    <w:rsid w:val="00905022"/>
    <w:rsid w:val="009051D9"/>
    <w:rsid w:val="009051EE"/>
    <w:rsid w:val="009056C0"/>
    <w:rsid w:val="00905825"/>
    <w:rsid w:val="0090599D"/>
    <w:rsid w:val="00905A57"/>
    <w:rsid w:val="00905AA5"/>
    <w:rsid w:val="00905B9D"/>
    <w:rsid w:val="00905D37"/>
    <w:rsid w:val="00905DAC"/>
    <w:rsid w:val="00905E57"/>
    <w:rsid w:val="00905F4D"/>
    <w:rsid w:val="00905F5D"/>
    <w:rsid w:val="00905F8B"/>
    <w:rsid w:val="00905FCA"/>
    <w:rsid w:val="00906194"/>
    <w:rsid w:val="0090621A"/>
    <w:rsid w:val="00906347"/>
    <w:rsid w:val="00906385"/>
    <w:rsid w:val="0090641F"/>
    <w:rsid w:val="00906421"/>
    <w:rsid w:val="0090672F"/>
    <w:rsid w:val="00906835"/>
    <w:rsid w:val="00906880"/>
    <w:rsid w:val="00906957"/>
    <w:rsid w:val="00906A46"/>
    <w:rsid w:val="00906B27"/>
    <w:rsid w:val="00906B8D"/>
    <w:rsid w:val="00906C3E"/>
    <w:rsid w:val="00906C8F"/>
    <w:rsid w:val="00906CD7"/>
    <w:rsid w:val="00906D1B"/>
    <w:rsid w:val="00906E51"/>
    <w:rsid w:val="00906EE6"/>
    <w:rsid w:val="00906FD3"/>
    <w:rsid w:val="0090733B"/>
    <w:rsid w:val="00907438"/>
    <w:rsid w:val="009074A2"/>
    <w:rsid w:val="00907549"/>
    <w:rsid w:val="0090766B"/>
    <w:rsid w:val="0090768C"/>
    <w:rsid w:val="00907724"/>
    <w:rsid w:val="009077DC"/>
    <w:rsid w:val="0090783B"/>
    <w:rsid w:val="00907B70"/>
    <w:rsid w:val="00907BB3"/>
    <w:rsid w:val="00907BEA"/>
    <w:rsid w:val="00907CDF"/>
    <w:rsid w:val="00907D90"/>
    <w:rsid w:val="00907EED"/>
    <w:rsid w:val="00907F22"/>
    <w:rsid w:val="00907F8E"/>
    <w:rsid w:val="00910082"/>
    <w:rsid w:val="00910223"/>
    <w:rsid w:val="009105DE"/>
    <w:rsid w:val="00910689"/>
    <w:rsid w:val="00910928"/>
    <w:rsid w:val="009109EC"/>
    <w:rsid w:val="00910DBB"/>
    <w:rsid w:val="00910FE3"/>
    <w:rsid w:val="00911055"/>
    <w:rsid w:val="0091120A"/>
    <w:rsid w:val="009113D3"/>
    <w:rsid w:val="00911412"/>
    <w:rsid w:val="00911614"/>
    <w:rsid w:val="0091161A"/>
    <w:rsid w:val="00911B63"/>
    <w:rsid w:val="00911B9C"/>
    <w:rsid w:val="00911BB7"/>
    <w:rsid w:val="00911C29"/>
    <w:rsid w:val="00911CC2"/>
    <w:rsid w:val="00911D49"/>
    <w:rsid w:val="00911DFD"/>
    <w:rsid w:val="009121AF"/>
    <w:rsid w:val="009121BB"/>
    <w:rsid w:val="0091224B"/>
    <w:rsid w:val="009123B2"/>
    <w:rsid w:val="009123FB"/>
    <w:rsid w:val="009124A2"/>
    <w:rsid w:val="00912522"/>
    <w:rsid w:val="00912E25"/>
    <w:rsid w:val="00912E40"/>
    <w:rsid w:val="00912E62"/>
    <w:rsid w:val="00912F44"/>
    <w:rsid w:val="00913032"/>
    <w:rsid w:val="009130CE"/>
    <w:rsid w:val="00913115"/>
    <w:rsid w:val="00913248"/>
    <w:rsid w:val="009132E1"/>
    <w:rsid w:val="00913476"/>
    <w:rsid w:val="0091353E"/>
    <w:rsid w:val="009135DE"/>
    <w:rsid w:val="00913650"/>
    <w:rsid w:val="00913851"/>
    <w:rsid w:val="009139E7"/>
    <w:rsid w:val="00913A27"/>
    <w:rsid w:val="00913ABB"/>
    <w:rsid w:val="00913BB5"/>
    <w:rsid w:val="00913BC0"/>
    <w:rsid w:val="00913C5A"/>
    <w:rsid w:val="00913DCB"/>
    <w:rsid w:val="00913E71"/>
    <w:rsid w:val="00913E74"/>
    <w:rsid w:val="00913E8C"/>
    <w:rsid w:val="00913FAF"/>
    <w:rsid w:val="0091419F"/>
    <w:rsid w:val="009141AD"/>
    <w:rsid w:val="009143EA"/>
    <w:rsid w:val="009144FA"/>
    <w:rsid w:val="00914552"/>
    <w:rsid w:val="00914642"/>
    <w:rsid w:val="009148E8"/>
    <w:rsid w:val="009148FD"/>
    <w:rsid w:val="0091491C"/>
    <w:rsid w:val="00914D56"/>
    <w:rsid w:val="00914F11"/>
    <w:rsid w:val="009150BF"/>
    <w:rsid w:val="00915243"/>
    <w:rsid w:val="0091527F"/>
    <w:rsid w:val="0091537C"/>
    <w:rsid w:val="00915442"/>
    <w:rsid w:val="009155DB"/>
    <w:rsid w:val="00915669"/>
    <w:rsid w:val="00915792"/>
    <w:rsid w:val="00915889"/>
    <w:rsid w:val="009158FE"/>
    <w:rsid w:val="00915976"/>
    <w:rsid w:val="00915A52"/>
    <w:rsid w:val="00915AFC"/>
    <w:rsid w:val="00915BB6"/>
    <w:rsid w:val="00915C51"/>
    <w:rsid w:val="00915C9A"/>
    <w:rsid w:val="00915D02"/>
    <w:rsid w:val="00915D03"/>
    <w:rsid w:val="00915E6B"/>
    <w:rsid w:val="00915EB9"/>
    <w:rsid w:val="00915FFB"/>
    <w:rsid w:val="009160B2"/>
    <w:rsid w:val="009161B6"/>
    <w:rsid w:val="009161B8"/>
    <w:rsid w:val="00916232"/>
    <w:rsid w:val="0091633E"/>
    <w:rsid w:val="009166F0"/>
    <w:rsid w:val="00916856"/>
    <w:rsid w:val="0091690D"/>
    <w:rsid w:val="00916917"/>
    <w:rsid w:val="0091698D"/>
    <w:rsid w:val="00916C4C"/>
    <w:rsid w:val="00916C7C"/>
    <w:rsid w:val="00916CD7"/>
    <w:rsid w:val="00916D03"/>
    <w:rsid w:val="00916D71"/>
    <w:rsid w:val="00916DA0"/>
    <w:rsid w:val="00916DCF"/>
    <w:rsid w:val="00916EF3"/>
    <w:rsid w:val="00916FC1"/>
    <w:rsid w:val="00917042"/>
    <w:rsid w:val="00917054"/>
    <w:rsid w:val="00917123"/>
    <w:rsid w:val="0091716B"/>
    <w:rsid w:val="0091742D"/>
    <w:rsid w:val="009175D5"/>
    <w:rsid w:val="00917673"/>
    <w:rsid w:val="009176C9"/>
    <w:rsid w:val="00917A45"/>
    <w:rsid w:val="00917AD8"/>
    <w:rsid w:val="00917B0F"/>
    <w:rsid w:val="00917B66"/>
    <w:rsid w:val="00917BE5"/>
    <w:rsid w:val="00917D4A"/>
    <w:rsid w:val="00917DC3"/>
    <w:rsid w:val="00917DD4"/>
    <w:rsid w:val="00917E26"/>
    <w:rsid w:val="00917E30"/>
    <w:rsid w:val="00920359"/>
    <w:rsid w:val="009204C1"/>
    <w:rsid w:val="00920566"/>
    <w:rsid w:val="009205C7"/>
    <w:rsid w:val="00920758"/>
    <w:rsid w:val="00920880"/>
    <w:rsid w:val="00920A8E"/>
    <w:rsid w:val="00920B7C"/>
    <w:rsid w:val="00920E35"/>
    <w:rsid w:val="00920FD7"/>
    <w:rsid w:val="00921017"/>
    <w:rsid w:val="00921044"/>
    <w:rsid w:val="00921061"/>
    <w:rsid w:val="00921161"/>
    <w:rsid w:val="00921180"/>
    <w:rsid w:val="009214AD"/>
    <w:rsid w:val="00921520"/>
    <w:rsid w:val="0092177D"/>
    <w:rsid w:val="009217A2"/>
    <w:rsid w:val="009217D3"/>
    <w:rsid w:val="00921854"/>
    <w:rsid w:val="0092186C"/>
    <w:rsid w:val="00921981"/>
    <w:rsid w:val="009219C7"/>
    <w:rsid w:val="00921C0A"/>
    <w:rsid w:val="00921D0E"/>
    <w:rsid w:val="00921E48"/>
    <w:rsid w:val="00921EFC"/>
    <w:rsid w:val="009220D9"/>
    <w:rsid w:val="00922161"/>
    <w:rsid w:val="0092217D"/>
    <w:rsid w:val="00922248"/>
    <w:rsid w:val="0092237E"/>
    <w:rsid w:val="00922384"/>
    <w:rsid w:val="009223A9"/>
    <w:rsid w:val="00922400"/>
    <w:rsid w:val="009224AE"/>
    <w:rsid w:val="00922844"/>
    <w:rsid w:val="009228BB"/>
    <w:rsid w:val="0092293D"/>
    <w:rsid w:val="00922BC6"/>
    <w:rsid w:val="00922FEE"/>
    <w:rsid w:val="0092304B"/>
    <w:rsid w:val="0092318A"/>
    <w:rsid w:val="00923265"/>
    <w:rsid w:val="0092326E"/>
    <w:rsid w:val="0092355F"/>
    <w:rsid w:val="009235C1"/>
    <w:rsid w:val="00923638"/>
    <w:rsid w:val="00923643"/>
    <w:rsid w:val="00923655"/>
    <w:rsid w:val="00923786"/>
    <w:rsid w:val="0092380A"/>
    <w:rsid w:val="00923872"/>
    <w:rsid w:val="009238BE"/>
    <w:rsid w:val="00923A38"/>
    <w:rsid w:val="00923C73"/>
    <w:rsid w:val="00923C7E"/>
    <w:rsid w:val="00923CDE"/>
    <w:rsid w:val="00923E32"/>
    <w:rsid w:val="00923EFC"/>
    <w:rsid w:val="00923F09"/>
    <w:rsid w:val="00924195"/>
    <w:rsid w:val="00924351"/>
    <w:rsid w:val="009243F0"/>
    <w:rsid w:val="009244FA"/>
    <w:rsid w:val="0092452B"/>
    <w:rsid w:val="00924561"/>
    <w:rsid w:val="00924641"/>
    <w:rsid w:val="00924680"/>
    <w:rsid w:val="009246F1"/>
    <w:rsid w:val="009249C5"/>
    <w:rsid w:val="00924AFF"/>
    <w:rsid w:val="00924B5E"/>
    <w:rsid w:val="00924BDD"/>
    <w:rsid w:val="00924C8C"/>
    <w:rsid w:val="00924CC3"/>
    <w:rsid w:val="00924DBF"/>
    <w:rsid w:val="00924DC2"/>
    <w:rsid w:val="0092515F"/>
    <w:rsid w:val="00925167"/>
    <w:rsid w:val="009251DC"/>
    <w:rsid w:val="009251F5"/>
    <w:rsid w:val="00925210"/>
    <w:rsid w:val="0092522C"/>
    <w:rsid w:val="00925319"/>
    <w:rsid w:val="009253C6"/>
    <w:rsid w:val="009253F3"/>
    <w:rsid w:val="00925435"/>
    <w:rsid w:val="009255AF"/>
    <w:rsid w:val="009255D5"/>
    <w:rsid w:val="00925647"/>
    <w:rsid w:val="00925761"/>
    <w:rsid w:val="009257BA"/>
    <w:rsid w:val="0092587D"/>
    <w:rsid w:val="009258AF"/>
    <w:rsid w:val="00925A37"/>
    <w:rsid w:val="00925A61"/>
    <w:rsid w:val="00925AD1"/>
    <w:rsid w:val="00925BD0"/>
    <w:rsid w:val="00925D52"/>
    <w:rsid w:val="00925DD7"/>
    <w:rsid w:val="00925EF3"/>
    <w:rsid w:val="00925F7B"/>
    <w:rsid w:val="00925FA0"/>
    <w:rsid w:val="00925FA1"/>
    <w:rsid w:val="00926061"/>
    <w:rsid w:val="00926132"/>
    <w:rsid w:val="009262A3"/>
    <w:rsid w:val="00926373"/>
    <w:rsid w:val="0092649A"/>
    <w:rsid w:val="0092663D"/>
    <w:rsid w:val="009267EF"/>
    <w:rsid w:val="009267F0"/>
    <w:rsid w:val="00926977"/>
    <w:rsid w:val="00926B57"/>
    <w:rsid w:val="00926B78"/>
    <w:rsid w:val="00926D52"/>
    <w:rsid w:val="00926DA2"/>
    <w:rsid w:val="00926F38"/>
    <w:rsid w:val="00926FC4"/>
    <w:rsid w:val="00927170"/>
    <w:rsid w:val="00927186"/>
    <w:rsid w:val="0092719F"/>
    <w:rsid w:val="0092736D"/>
    <w:rsid w:val="009273F6"/>
    <w:rsid w:val="009273FE"/>
    <w:rsid w:val="009275D7"/>
    <w:rsid w:val="009276EC"/>
    <w:rsid w:val="009277E8"/>
    <w:rsid w:val="009277F3"/>
    <w:rsid w:val="00927880"/>
    <w:rsid w:val="009278DB"/>
    <w:rsid w:val="00927B80"/>
    <w:rsid w:val="00927D39"/>
    <w:rsid w:val="009301BC"/>
    <w:rsid w:val="009301C5"/>
    <w:rsid w:val="009302C4"/>
    <w:rsid w:val="00930384"/>
    <w:rsid w:val="0093039E"/>
    <w:rsid w:val="0093044F"/>
    <w:rsid w:val="0093053B"/>
    <w:rsid w:val="0093073F"/>
    <w:rsid w:val="009307F3"/>
    <w:rsid w:val="009308E2"/>
    <w:rsid w:val="00930A57"/>
    <w:rsid w:val="00930ADE"/>
    <w:rsid w:val="00930AF1"/>
    <w:rsid w:val="00930C64"/>
    <w:rsid w:val="00930C65"/>
    <w:rsid w:val="00930D09"/>
    <w:rsid w:val="00930D2D"/>
    <w:rsid w:val="009310BE"/>
    <w:rsid w:val="009310C6"/>
    <w:rsid w:val="0093113D"/>
    <w:rsid w:val="0093122E"/>
    <w:rsid w:val="009312D4"/>
    <w:rsid w:val="009313BE"/>
    <w:rsid w:val="00931456"/>
    <w:rsid w:val="00931517"/>
    <w:rsid w:val="00931533"/>
    <w:rsid w:val="009315E7"/>
    <w:rsid w:val="009316ED"/>
    <w:rsid w:val="00931740"/>
    <w:rsid w:val="0093179B"/>
    <w:rsid w:val="009318D2"/>
    <w:rsid w:val="009318DA"/>
    <w:rsid w:val="00931A40"/>
    <w:rsid w:val="00931ADD"/>
    <w:rsid w:val="00931BE4"/>
    <w:rsid w:val="00931C8E"/>
    <w:rsid w:val="00931DB1"/>
    <w:rsid w:val="00931ED7"/>
    <w:rsid w:val="00931F15"/>
    <w:rsid w:val="00931F5D"/>
    <w:rsid w:val="00932002"/>
    <w:rsid w:val="009322F3"/>
    <w:rsid w:val="00932365"/>
    <w:rsid w:val="0093237E"/>
    <w:rsid w:val="009323E8"/>
    <w:rsid w:val="009324D0"/>
    <w:rsid w:val="009325AC"/>
    <w:rsid w:val="009325BD"/>
    <w:rsid w:val="0093270C"/>
    <w:rsid w:val="00932831"/>
    <w:rsid w:val="009328E5"/>
    <w:rsid w:val="0093290C"/>
    <w:rsid w:val="0093297F"/>
    <w:rsid w:val="00932A02"/>
    <w:rsid w:val="00932A3A"/>
    <w:rsid w:val="00932BD3"/>
    <w:rsid w:val="00932C1F"/>
    <w:rsid w:val="00932C67"/>
    <w:rsid w:val="00932E67"/>
    <w:rsid w:val="00933121"/>
    <w:rsid w:val="00933138"/>
    <w:rsid w:val="009331DB"/>
    <w:rsid w:val="0093323B"/>
    <w:rsid w:val="009332C1"/>
    <w:rsid w:val="009332C3"/>
    <w:rsid w:val="009332D5"/>
    <w:rsid w:val="00933382"/>
    <w:rsid w:val="009336FE"/>
    <w:rsid w:val="009337B9"/>
    <w:rsid w:val="00933812"/>
    <w:rsid w:val="00933871"/>
    <w:rsid w:val="00933884"/>
    <w:rsid w:val="009338D5"/>
    <w:rsid w:val="00933B88"/>
    <w:rsid w:val="00933D0E"/>
    <w:rsid w:val="00933D69"/>
    <w:rsid w:val="00933EBB"/>
    <w:rsid w:val="00933F57"/>
    <w:rsid w:val="00933F86"/>
    <w:rsid w:val="009342E9"/>
    <w:rsid w:val="00934304"/>
    <w:rsid w:val="00934392"/>
    <w:rsid w:val="00934480"/>
    <w:rsid w:val="009345E4"/>
    <w:rsid w:val="009346E4"/>
    <w:rsid w:val="00934700"/>
    <w:rsid w:val="00934735"/>
    <w:rsid w:val="009347F4"/>
    <w:rsid w:val="0093486A"/>
    <w:rsid w:val="009348AC"/>
    <w:rsid w:val="009349B8"/>
    <w:rsid w:val="00934ADE"/>
    <w:rsid w:val="00934DB4"/>
    <w:rsid w:val="00934DB9"/>
    <w:rsid w:val="00934EF1"/>
    <w:rsid w:val="00934F21"/>
    <w:rsid w:val="00934FC2"/>
    <w:rsid w:val="00935013"/>
    <w:rsid w:val="00935219"/>
    <w:rsid w:val="009352EA"/>
    <w:rsid w:val="00935502"/>
    <w:rsid w:val="0093553E"/>
    <w:rsid w:val="00935761"/>
    <w:rsid w:val="009357B5"/>
    <w:rsid w:val="0093588E"/>
    <w:rsid w:val="009358A0"/>
    <w:rsid w:val="00935A92"/>
    <w:rsid w:val="00935AF9"/>
    <w:rsid w:val="00935AFE"/>
    <w:rsid w:val="00935B20"/>
    <w:rsid w:val="00935B72"/>
    <w:rsid w:val="00935E58"/>
    <w:rsid w:val="00935FA3"/>
    <w:rsid w:val="0093603B"/>
    <w:rsid w:val="00936369"/>
    <w:rsid w:val="00936410"/>
    <w:rsid w:val="00936755"/>
    <w:rsid w:val="0093684A"/>
    <w:rsid w:val="00936919"/>
    <w:rsid w:val="00936AD6"/>
    <w:rsid w:val="00936B48"/>
    <w:rsid w:val="00936DEA"/>
    <w:rsid w:val="00936E18"/>
    <w:rsid w:val="00936EA4"/>
    <w:rsid w:val="00936F2D"/>
    <w:rsid w:val="00936FE0"/>
    <w:rsid w:val="0093708C"/>
    <w:rsid w:val="009370E9"/>
    <w:rsid w:val="00937201"/>
    <w:rsid w:val="00937384"/>
    <w:rsid w:val="0093752A"/>
    <w:rsid w:val="009375DA"/>
    <w:rsid w:val="00937629"/>
    <w:rsid w:val="00937642"/>
    <w:rsid w:val="009376B4"/>
    <w:rsid w:val="00937750"/>
    <w:rsid w:val="00937770"/>
    <w:rsid w:val="009377E2"/>
    <w:rsid w:val="0093788B"/>
    <w:rsid w:val="00937927"/>
    <w:rsid w:val="009379C7"/>
    <w:rsid w:val="009379EC"/>
    <w:rsid w:val="00937AC5"/>
    <w:rsid w:val="00937B5E"/>
    <w:rsid w:val="00937C91"/>
    <w:rsid w:val="00937CD1"/>
    <w:rsid w:val="00937CD5"/>
    <w:rsid w:val="00937DC7"/>
    <w:rsid w:val="00937DD1"/>
    <w:rsid w:val="00937DDC"/>
    <w:rsid w:val="00937EE7"/>
    <w:rsid w:val="00937FBB"/>
    <w:rsid w:val="00940088"/>
    <w:rsid w:val="009400DA"/>
    <w:rsid w:val="009401DB"/>
    <w:rsid w:val="0094033D"/>
    <w:rsid w:val="009403E0"/>
    <w:rsid w:val="00940468"/>
    <w:rsid w:val="009404A4"/>
    <w:rsid w:val="00940684"/>
    <w:rsid w:val="0094072E"/>
    <w:rsid w:val="009408F3"/>
    <w:rsid w:val="00940970"/>
    <w:rsid w:val="009409B2"/>
    <w:rsid w:val="00940A8F"/>
    <w:rsid w:val="00940DC8"/>
    <w:rsid w:val="00940E44"/>
    <w:rsid w:val="00940EDF"/>
    <w:rsid w:val="00941215"/>
    <w:rsid w:val="0094155B"/>
    <w:rsid w:val="0094159C"/>
    <w:rsid w:val="009415A8"/>
    <w:rsid w:val="009416BC"/>
    <w:rsid w:val="009417F6"/>
    <w:rsid w:val="0094184F"/>
    <w:rsid w:val="009419A4"/>
    <w:rsid w:val="00941B1F"/>
    <w:rsid w:val="00941DC8"/>
    <w:rsid w:val="00941E32"/>
    <w:rsid w:val="00941E43"/>
    <w:rsid w:val="00941E4E"/>
    <w:rsid w:val="00941E79"/>
    <w:rsid w:val="00941EE6"/>
    <w:rsid w:val="00941F11"/>
    <w:rsid w:val="00941F57"/>
    <w:rsid w:val="00942183"/>
    <w:rsid w:val="00942419"/>
    <w:rsid w:val="00942422"/>
    <w:rsid w:val="009424F2"/>
    <w:rsid w:val="0094264D"/>
    <w:rsid w:val="0094268E"/>
    <w:rsid w:val="009426BF"/>
    <w:rsid w:val="00942850"/>
    <w:rsid w:val="0094297B"/>
    <w:rsid w:val="009429D4"/>
    <w:rsid w:val="009429EE"/>
    <w:rsid w:val="00942A96"/>
    <w:rsid w:val="00942A9B"/>
    <w:rsid w:val="00942C14"/>
    <w:rsid w:val="00942C39"/>
    <w:rsid w:val="00942C58"/>
    <w:rsid w:val="00942D3E"/>
    <w:rsid w:val="00942DA7"/>
    <w:rsid w:val="00942FCB"/>
    <w:rsid w:val="00943027"/>
    <w:rsid w:val="009431E4"/>
    <w:rsid w:val="009431FE"/>
    <w:rsid w:val="00943249"/>
    <w:rsid w:val="0094330C"/>
    <w:rsid w:val="00943398"/>
    <w:rsid w:val="00943443"/>
    <w:rsid w:val="0094366C"/>
    <w:rsid w:val="00943759"/>
    <w:rsid w:val="00943784"/>
    <w:rsid w:val="0094385F"/>
    <w:rsid w:val="00943A54"/>
    <w:rsid w:val="00943B1D"/>
    <w:rsid w:val="00943B9E"/>
    <w:rsid w:val="00943CAA"/>
    <w:rsid w:val="00943CB2"/>
    <w:rsid w:val="00943F80"/>
    <w:rsid w:val="009440AD"/>
    <w:rsid w:val="009440EB"/>
    <w:rsid w:val="009443A4"/>
    <w:rsid w:val="00944460"/>
    <w:rsid w:val="00944462"/>
    <w:rsid w:val="0094446D"/>
    <w:rsid w:val="009444F8"/>
    <w:rsid w:val="009445D1"/>
    <w:rsid w:val="00944685"/>
    <w:rsid w:val="00944729"/>
    <w:rsid w:val="0094477F"/>
    <w:rsid w:val="00944816"/>
    <w:rsid w:val="00944843"/>
    <w:rsid w:val="009448FF"/>
    <w:rsid w:val="00944A4F"/>
    <w:rsid w:val="00944C51"/>
    <w:rsid w:val="00944DE1"/>
    <w:rsid w:val="00944E7D"/>
    <w:rsid w:val="00944FD2"/>
    <w:rsid w:val="00944FDE"/>
    <w:rsid w:val="009453ED"/>
    <w:rsid w:val="0094544F"/>
    <w:rsid w:val="00945618"/>
    <w:rsid w:val="0094562F"/>
    <w:rsid w:val="00945A17"/>
    <w:rsid w:val="00945B1F"/>
    <w:rsid w:val="00945C01"/>
    <w:rsid w:val="00945C9C"/>
    <w:rsid w:val="00945E37"/>
    <w:rsid w:val="009460DC"/>
    <w:rsid w:val="00946281"/>
    <w:rsid w:val="00946326"/>
    <w:rsid w:val="00946659"/>
    <w:rsid w:val="00946695"/>
    <w:rsid w:val="00946753"/>
    <w:rsid w:val="009467D8"/>
    <w:rsid w:val="00946810"/>
    <w:rsid w:val="00946928"/>
    <w:rsid w:val="00946C68"/>
    <w:rsid w:val="00946E88"/>
    <w:rsid w:val="00946F8F"/>
    <w:rsid w:val="0094706F"/>
    <w:rsid w:val="0094710A"/>
    <w:rsid w:val="00947112"/>
    <w:rsid w:val="009471EC"/>
    <w:rsid w:val="00947231"/>
    <w:rsid w:val="0094729A"/>
    <w:rsid w:val="009472C7"/>
    <w:rsid w:val="00947339"/>
    <w:rsid w:val="0094742D"/>
    <w:rsid w:val="00947440"/>
    <w:rsid w:val="00947497"/>
    <w:rsid w:val="00947648"/>
    <w:rsid w:val="00947781"/>
    <w:rsid w:val="0094780A"/>
    <w:rsid w:val="00947848"/>
    <w:rsid w:val="00947A88"/>
    <w:rsid w:val="00947B00"/>
    <w:rsid w:val="00947C55"/>
    <w:rsid w:val="00947D93"/>
    <w:rsid w:val="00947E5F"/>
    <w:rsid w:val="00947EBD"/>
    <w:rsid w:val="00947F56"/>
    <w:rsid w:val="00947F9A"/>
    <w:rsid w:val="00947FB1"/>
    <w:rsid w:val="0095004E"/>
    <w:rsid w:val="009500A3"/>
    <w:rsid w:val="009500DE"/>
    <w:rsid w:val="00950217"/>
    <w:rsid w:val="009502E6"/>
    <w:rsid w:val="009503F3"/>
    <w:rsid w:val="009504B2"/>
    <w:rsid w:val="00950506"/>
    <w:rsid w:val="00950510"/>
    <w:rsid w:val="00950557"/>
    <w:rsid w:val="00950675"/>
    <w:rsid w:val="009506FC"/>
    <w:rsid w:val="00950725"/>
    <w:rsid w:val="009507E3"/>
    <w:rsid w:val="00950824"/>
    <w:rsid w:val="009508FC"/>
    <w:rsid w:val="00950916"/>
    <w:rsid w:val="0095096D"/>
    <w:rsid w:val="0095099A"/>
    <w:rsid w:val="009509DE"/>
    <w:rsid w:val="00950A86"/>
    <w:rsid w:val="00950B1C"/>
    <w:rsid w:val="00950B41"/>
    <w:rsid w:val="00950B62"/>
    <w:rsid w:val="00950C4D"/>
    <w:rsid w:val="00950CCC"/>
    <w:rsid w:val="00950CCD"/>
    <w:rsid w:val="00950D69"/>
    <w:rsid w:val="00950F02"/>
    <w:rsid w:val="00951101"/>
    <w:rsid w:val="0095128A"/>
    <w:rsid w:val="0095136E"/>
    <w:rsid w:val="0095137C"/>
    <w:rsid w:val="009514C4"/>
    <w:rsid w:val="009514D4"/>
    <w:rsid w:val="009514FA"/>
    <w:rsid w:val="009516F1"/>
    <w:rsid w:val="00951845"/>
    <w:rsid w:val="009518BD"/>
    <w:rsid w:val="0095197C"/>
    <w:rsid w:val="00951A68"/>
    <w:rsid w:val="00951B5F"/>
    <w:rsid w:val="00951BCD"/>
    <w:rsid w:val="00951BEE"/>
    <w:rsid w:val="00951C79"/>
    <w:rsid w:val="00951CA6"/>
    <w:rsid w:val="00951D26"/>
    <w:rsid w:val="00951E07"/>
    <w:rsid w:val="0095200E"/>
    <w:rsid w:val="00952071"/>
    <w:rsid w:val="00952212"/>
    <w:rsid w:val="0095222E"/>
    <w:rsid w:val="00952420"/>
    <w:rsid w:val="009524ED"/>
    <w:rsid w:val="0095261B"/>
    <w:rsid w:val="00952641"/>
    <w:rsid w:val="00952764"/>
    <w:rsid w:val="0095282A"/>
    <w:rsid w:val="009529EC"/>
    <w:rsid w:val="00952C78"/>
    <w:rsid w:val="00952D73"/>
    <w:rsid w:val="00953273"/>
    <w:rsid w:val="0095332B"/>
    <w:rsid w:val="0095345A"/>
    <w:rsid w:val="00953600"/>
    <w:rsid w:val="00953702"/>
    <w:rsid w:val="009537F4"/>
    <w:rsid w:val="00953815"/>
    <w:rsid w:val="00953A52"/>
    <w:rsid w:val="00953CC7"/>
    <w:rsid w:val="00953D0B"/>
    <w:rsid w:val="00953EBB"/>
    <w:rsid w:val="00953F4A"/>
    <w:rsid w:val="00954010"/>
    <w:rsid w:val="00954164"/>
    <w:rsid w:val="00954358"/>
    <w:rsid w:val="0095468A"/>
    <w:rsid w:val="009547D9"/>
    <w:rsid w:val="0095483B"/>
    <w:rsid w:val="00954932"/>
    <w:rsid w:val="0095495F"/>
    <w:rsid w:val="009549BA"/>
    <w:rsid w:val="00954A0F"/>
    <w:rsid w:val="00954AC9"/>
    <w:rsid w:val="00954B93"/>
    <w:rsid w:val="00954C2D"/>
    <w:rsid w:val="00954D97"/>
    <w:rsid w:val="00954FA8"/>
    <w:rsid w:val="00955055"/>
    <w:rsid w:val="00955306"/>
    <w:rsid w:val="009553DD"/>
    <w:rsid w:val="00955496"/>
    <w:rsid w:val="00955507"/>
    <w:rsid w:val="009555B8"/>
    <w:rsid w:val="0095576A"/>
    <w:rsid w:val="00955786"/>
    <w:rsid w:val="009557D8"/>
    <w:rsid w:val="009557F0"/>
    <w:rsid w:val="00955B07"/>
    <w:rsid w:val="00955B42"/>
    <w:rsid w:val="00955BA1"/>
    <w:rsid w:val="00955CD9"/>
    <w:rsid w:val="00955D10"/>
    <w:rsid w:val="00955ED6"/>
    <w:rsid w:val="00955F0C"/>
    <w:rsid w:val="00955F55"/>
    <w:rsid w:val="00955F68"/>
    <w:rsid w:val="00955F87"/>
    <w:rsid w:val="0095608B"/>
    <w:rsid w:val="00956363"/>
    <w:rsid w:val="00956384"/>
    <w:rsid w:val="009563D0"/>
    <w:rsid w:val="009566F4"/>
    <w:rsid w:val="0095677B"/>
    <w:rsid w:val="009567AC"/>
    <w:rsid w:val="00956801"/>
    <w:rsid w:val="00956876"/>
    <w:rsid w:val="009568A1"/>
    <w:rsid w:val="00956978"/>
    <w:rsid w:val="00956BDD"/>
    <w:rsid w:val="00956C14"/>
    <w:rsid w:val="00956FAA"/>
    <w:rsid w:val="00957004"/>
    <w:rsid w:val="0095713D"/>
    <w:rsid w:val="00957155"/>
    <w:rsid w:val="009572CD"/>
    <w:rsid w:val="00957414"/>
    <w:rsid w:val="00957465"/>
    <w:rsid w:val="009574D9"/>
    <w:rsid w:val="009579D6"/>
    <w:rsid w:val="00957DCB"/>
    <w:rsid w:val="00957DED"/>
    <w:rsid w:val="00957DF1"/>
    <w:rsid w:val="00957EE0"/>
    <w:rsid w:val="00957F09"/>
    <w:rsid w:val="00957F42"/>
    <w:rsid w:val="00957F7C"/>
    <w:rsid w:val="00960139"/>
    <w:rsid w:val="00960285"/>
    <w:rsid w:val="009602DC"/>
    <w:rsid w:val="009603E2"/>
    <w:rsid w:val="00960405"/>
    <w:rsid w:val="00960432"/>
    <w:rsid w:val="0096048E"/>
    <w:rsid w:val="00960544"/>
    <w:rsid w:val="00960579"/>
    <w:rsid w:val="00960921"/>
    <w:rsid w:val="00960982"/>
    <w:rsid w:val="00960A98"/>
    <w:rsid w:val="00960BC6"/>
    <w:rsid w:val="00960C4E"/>
    <w:rsid w:val="00960CFD"/>
    <w:rsid w:val="00960D21"/>
    <w:rsid w:val="00960D4F"/>
    <w:rsid w:val="00960E60"/>
    <w:rsid w:val="00960E8F"/>
    <w:rsid w:val="00960F2C"/>
    <w:rsid w:val="00960FF2"/>
    <w:rsid w:val="00961101"/>
    <w:rsid w:val="0096119A"/>
    <w:rsid w:val="009611E4"/>
    <w:rsid w:val="00961395"/>
    <w:rsid w:val="009613F3"/>
    <w:rsid w:val="009614D6"/>
    <w:rsid w:val="009615AE"/>
    <w:rsid w:val="009615E8"/>
    <w:rsid w:val="009616A8"/>
    <w:rsid w:val="009616E3"/>
    <w:rsid w:val="00961BBF"/>
    <w:rsid w:val="00961C9B"/>
    <w:rsid w:val="00961E5A"/>
    <w:rsid w:val="0096208B"/>
    <w:rsid w:val="009621E6"/>
    <w:rsid w:val="00962317"/>
    <w:rsid w:val="00962372"/>
    <w:rsid w:val="009623A0"/>
    <w:rsid w:val="009623B5"/>
    <w:rsid w:val="0096245E"/>
    <w:rsid w:val="009624CD"/>
    <w:rsid w:val="00962592"/>
    <w:rsid w:val="009625D7"/>
    <w:rsid w:val="00962624"/>
    <w:rsid w:val="009626C1"/>
    <w:rsid w:val="00962703"/>
    <w:rsid w:val="00962972"/>
    <w:rsid w:val="00962ADD"/>
    <w:rsid w:val="00962B0E"/>
    <w:rsid w:val="00962B20"/>
    <w:rsid w:val="00962B80"/>
    <w:rsid w:val="00962B82"/>
    <w:rsid w:val="00962BA2"/>
    <w:rsid w:val="00962BCC"/>
    <w:rsid w:val="00962BFB"/>
    <w:rsid w:val="00962CC5"/>
    <w:rsid w:val="00962CD3"/>
    <w:rsid w:val="00962D1A"/>
    <w:rsid w:val="00962F13"/>
    <w:rsid w:val="0096304B"/>
    <w:rsid w:val="00963226"/>
    <w:rsid w:val="009633B3"/>
    <w:rsid w:val="009635D0"/>
    <w:rsid w:val="0096364A"/>
    <w:rsid w:val="0096375B"/>
    <w:rsid w:val="009637C4"/>
    <w:rsid w:val="009637E6"/>
    <w:rsid w:val="00963A10"/>
    <w:rsid w:val="00963BD5"/>
    <w:rsid w:val="00963BDE"/>
    <w:rsid w:val="00963D17"/>
    <w:rsid w:val="00963D1C"/>
    <w:rsid w:val="00963DF1"/>
    <w:rsid w:val="00963DF5"/>
    <w:rsid w:val="00963DFA"/>
    <w:rsid w:val="00963E2B"/>
    <w:rsid w:val="00963EE7"/>
    <w:rsid w:val="00963EF0"/>
    <w:rsid w:val="00963FEB"/>
    <w:rsid w:val="00964106"/>
    <w:rsid w:val="0096416B"/>
    <w:rsid w:val="00964435"/>
    <w:rsid w:val="00964484"/>
    <w:rsid w:val="00964495"/>
    <w:rsid w:val="009644C2"/>
    <w:rsid w:val="009644D0"/>
    <w:rsid w:val="009645C3"/>
    <w:rsid w:val="00964640"/>
    <w:rsid w:val="00964732"/>
    <w:rsid w:val="00964865"/>
    <w:rsid w:val="00964997"/>
    <w:rsid w:val="009649DA"/>
    <w:rsid w:val="009649F3"/>
    <w:rsid w:val="00964A68"/>
    <w:rsid w:val="00964A88"/>
    <w:rsid w:val="00964B6A"/>
    <w:rsid w:val="00964E95"/>
    <w:rsid w:val="0096505C"/>
    <w:rsid w:val="00965084"/>
    <w:rsid w:val="0096519D"/>
    <w:rsid w:val="00965215"/>
    <w:rsid w:val="0096536F"/>
    <w:rsid w:val="009653F5"/>
    <w:rsid w:val="009654AD"/>
    <w:rsid w:val="00965550"/>
    <w:rsid w:val="00965564"/>
    <w:rsid w:val="00965716"/>
    <w:rsid w:val="0096572D"/>
    <w:rsid w:val="00965819"/>
    <w:rsid w:val="00965A52"/>
    <w:rsid w:val="00965AD6"/>
    <w:rsid w:val="00965D61"/>
    <w:rsid w:val="00965E62"/>
    <w:rsid w:val="00965F32"/>
    <w:rsid w:val="00965F67"/>
    <w:rsid w:val="009660ED"/>
    <w:rsid w:val="009663CE"/>
    <w:rsid w:val="00966424"/>
    <w:rsid w:val="00966468"/>
    <w:rsid w:val="009664E1"/>
    <w:rsid w:val="00966691"/>
    <w:rsid w:val="0096683F"/>
    <w:rsid w:val="009668A0"/>
    <w:rsid w:val="009668F8"/>
    <w:rsid w:val="00966924"/>
    <w:rsid w:val="00966AC5"/>
    <w:rsid w:val="00966CE3"/>
    <w:rsid w:val="00966D27"/>
    <w:rsid w:val="00966D4A"/>
    <w:rsid w:val="00966D65"/>
    <w:rsid w:val="00966E1F"/>
    <w:rsid w:val="00966E62"/>
    <w:rsid w:val="00966E72"/>
    <w:rsid w:val="00966ECA"/>
    <w:rsid w:val="00966F45"/>
    <w:rsid w:val="0096720E"/>
    <w:rsid w:val="00967464"/>
    <w:rsid w:val="00967614"/>
    <w:rsid w:val="00967685"/>
    <w:rsid w:val="0096774D"/>
    <w:rsid w:val="009677F3"/>
    <w:rsid w:val="00967987"/>
    <w:rsid w:val="00967AF5"/>
    <w:rsid w:val="00967B08"/>
    <w:rsid w:val="00967E7E"/>
    <w:rsid w:val="00967EE7"/>
    <w:rsid w:val="00967F23"/>
    <w:rsid w:val="0097024A"/>
    <w:rsid w:val="0097046D"/>
    <w:rsid w:val="0097047E"/>
    <w:rsid w:val="0097048F"/>
    <w:rsid w:val="009704BF"/>
    <w:rsid w:val="009707A9"/>
    <w:rsid w:val="00970843"/>
    <w:rsid w:val="0097096C"/>
    <w:rsid w:val="00970AFD"/>
    <w:rsid w:val="00970C3A"/>
    <w:rsid w:val="00970CFF"/>
    <w:rsid w:val="00970D92"/>
    <w:rsid w:val="00970E04"/>
    <w:rsid w:val="0097107C"/>
    <w:rsid w:val="009712D8"/>
    <w:rsid w:val="009712D9"/>
    <w:rsid w:val="0097138D"/>
    <w:rsid w:val="0097148D"/>
    <w:rsid w:val="009714F8"/>
    <w:rsid w:val="009717A0"/>
    <w:rsid w:val="00971860"/>
    <w:rsid w:val="00971865"/>
    <w:rsid w:val="00971887"/>
    <w:rsid w:val="00971B7F"/>
    <w:rsid w:val="00971CE9"/>
    <w:rsid w:val="00971D8E"/>
    <w:rsid w:val="00971EC7"/>
    <w:rsid w:val="00971F59"/>
    <w:rsid w:val="00971F71"/>
    <w:rsid w:val="00971F8A"/>
    <w:rsid w:val="00972216"/>
    <w:rsid w:val="0097221B"/>
    <w:rsid w:val="00972278"/>
    <w:rsid w:val="009723E8"/>
    <w:rsid w:val="009724F6"/>
    <w:rsid w:val="00972636"/>
    <w:rsid w:val="0097273A"/>
    <w:rsid w:val="0097274F"/>
    <w:rsid w:val="009727D1"/>
    <w:rsid w:val="00972907"/>
    <w:rsid w:val="00972935"/>
    <w:rsid w:val="00972954"/>
    <w:rsid w:val="00972A21"/>
    <w:rsid w:val="00972B07"/>
    <w:rsid w:val="00972B0C"/>
    <w:rsid w:val="00972B1E"/>
    <w:rsid w:val="00972B3F"/>
    <w:rsid w:val="00972F9D"/>
    <w:rsid w:val="00973060"/>
    <w:rsid w:val="0097311F"/>
    <w:rsid w:val="00973174"/>
    <w:rsid w:val="009737AF"/>
    <w:rsid w:val="00973879"/>
    <w:rsid w:val="00973ACB"/>
    <w:rsid w:val="00973BE9"/>
    <w:rsid w:val="00973CB1"/>
    <w:rsid w:val="00973DDB"/>
    <w:rsid w:val="00973F82"/>
    <w:rsid w:val="00973FC5"/>
    <w:rsid w:val="00973FF8"/>
    <w:rsid w:val="00974118"/>
    <w:rsid w:val="00974147"/>
    <w:rsid w:val="009743A5"/>
    <w:rsid w:val="00974617"/>
    <w:rsid w:val="00974C72"/>
    <w:rsid w:val="00974CEC"/>
    <w:rsid w:val="00974DD4"/>
    <w:rsid w:val="00974E0A"/>
    <w:rsid w:val="009750C5"/>
    <w:rsid w:val="00975187"/>
    <w:rsid w:val="009752F4"/>
    <w:rsid w:val="00975625"/>
    <w:rsid w:val="00975661"/>
    <w:rsid w:val="009757B1"/>
    <w:rsid w:val="009757F2"/>
    <w:rsid w:val="00975952"/>
    <w:rsid w:val="00975B3C"/>
    <w:rsid w:val="00975BE1"/>
    <w:rsid w:val="00975E65"/>
    <w:rsid w:val="00975E85"/>
    <w:rsid w:val="0097612A"/>
    <w:rsid w:val="0097619F"/>
    <w:rsid w:val="009761B2"/>
    <w:rsid w:val="00976279"/>
    <w:rsid w:val="0097631A"/>
    <w:rsid w:val="00976448"/>
    <w:rsid w:val="0097647B"/>
    <w:rsid w:val="00976613"/>
    <w:rsid w:val="009766A3"/>
    <w:rsid w:val="00976A2B"/>
    <w:rsid w:val="00976A5A"/>
    <w:rsid w:val="00976B89"/>
    <w:rsid w:val="0097700F"/>
    <w:rsid w:val="0097708D"/>
    <w:rsid w:val="009771AF"/>
    <w:rsid w:val="00977285"/>
    <w:rsid w:val="009772B4"/>
    <w:rsid w:val="00977307"/>
    <w:rsid w:val="0097739A"/>
    <w:rsid w:val="00977545"/>
    <w:rsid w:val="00977549"/>
    <w:rsid w:val="009776BE"/>
    <w:rsid w:val="00977768"/>
    <w:rsid w:val="00977880"/>
    <w:rsid w:val="009778B5"/>
    <w:rsid w:val="00977B16"/>
    <w:rsid w:val="00977B3C"/>
    <w:rsid w:val="00977C31"/>
    <w:rsid w:val="00977CCD"/>
    <w:rsid w:val="00977D8E"/>
    <w:rsid w:val="00977E2B"/>
    <w:rsid w:val="00977E72"/>
    <w:rsid w:val="00977FBC"/>
    <w:rsid w:val="0098011F"/>
    <w:rsid w:val="0098021E"/>
    <w:rsid w:val="0098034F"/>
    <w:rsid w:val="0098035D"/>
    <w:rsid w:val="009804D7"/>
    <w:rsid w:val="0098050B"/>
    <w:rsid w:val="00980527"/>
    <w:rsid w:val="00980672"/>
    <w:rsid w:val="0098067B"/>
    <w:rsid w:val="009807B2"/>
    <w:rsid w:val="00980A58"/>
    <w:rsid w:val="00980B2E"/>
    <w:rsid w:val="00980BFE"/>
    <w:rsid w:val="00980DA7"/>
    <w:rsid w:val="00980E0B"/>
    <w:rsid w:val="009810A1"/>
    <w:rsid w:val="00981191"/>
    <w:rsid w:val="009811BC"/>
    <w:rsid w:val="0098126E"/>
    <w:rsid w:val="0098199C"/>
    <w:rsid w:val="00981D67"/>
    <w:rsid w:val="00981EBB"/>
    <w:rsid w:val="00981F0C"/>
    <w:rsid w:val="00981FA9"/>
    <w:rsid w:val="0098241D"/>
    <w:rsid w:val="0098246A"/>
    <w:rsid w:val="00982493"/>
    <w:rsid w:val="009826C5"/>
    <w:rsid w:val="009826E8"/>
    <w:rsid w:val="009828CE"/>
    <w:rsid w:val="00982A50"/>
    <w:rsid w:val="00982B1A"/>
    <w:rsid w:val="00982B59"/>
    <w:rsid w:val="00982BE8"/>
    <w:rsid w:val="00983130"/>
    <w:rsid w:val="00983147"/>
    <w:rsid w:val="0098326F"/>
    <w:rsid w:val="00983273"/>
    <w:rsid w:val="009834B7"/>
    <w:rsid w:val="0098356F"/>
    <w:rsid w:val="0098366D"/>
    <w:rsid w:val="00983750"/>
    <w:rsid w:val="00983869"/>
    <w:rsid w:val="0098391E"/>
    <w:rsid w:val="0098392E"/>
    <w:rsid w:val="009839AF"/>
    <w:rsid w:val="00983ABE"/>
    <w:rsid w:val="00983B18"/>
    <w:rsid w:val="00983B6B"/>
    <w:rsid w:val="00983DC4"/>
    <w:rsid w:val="0098413C"/>
    <w:rsid w:val="0098476E"/>
    <w:rsid w:val="0098477A"/>
    <w:rsid w:val="009849AF"/>
    <w:rsid w:val="00984A50"/>
    <w:rsid w:val="00984A9F"/>
    <w:rsid w:val="00984B78"/>
    <w:rsid w:val="00984C04"/>
    <w:rsid w:val="00984C21"/>
    <w:rsid w:val="00984C46"/>
    <w:rsid w:val="00984CAB"/>
    <w:rsid w:val="00984DCD"/>
    <w:rsid w:val="00984E09"/>
    <w:rsid w:val="0098505A"/>
    <w:rsid w:val="00985066"/>
    <w:rsid w:val="009850E9"/>
    <w:rsid w:val="009850FB"/>
    <w:rsid w:val="00985168"/>
    <w:rsid w:val="00985333"/>
    <w:rsid w:val="009853EB"/>
    <w:rsid w:val="009853F8"/>
    <w:rsid w:val="0098542E"/>
    <w:rsid w:val="00985494"/>
    <w:rsid w:val="009854FA"/>
    <w:rsid w:val="0098564B"/>
    <w:rsid w:val="00985831"/>
    <w:rsid w:val="00985876"/>
    <w:rsid w:val="00985880"/>
    <w:rsid w:val="0098591F"/>
    <w:rsid w:val="00985B02"/>
    <w:rsid w:val="00985CA7"/>
    <w:rsid w:val="00985E7B"/>
    <w:rsid w:val="0098617E"/>
    <w:rsid w:val="009862A0"/>
    <w:rsid w:val="00986348"/>
    <w:rsid w:val="009863A5"/>
    <w:rsid w:val="009863FE"/>
    <w:rsid w:val="009864D4"/>
    <w:rsid w:val="009865A3"/>
    <w:rsid w:val="009866A7"/>
    <w:rsid w:val="00986724"/>
    <w:rsid w:val="00986E00"/>
    <w:rsid w:val="00986E32"/>
    <w:rsid w:val="00986F52"/>
    <w:rsid w:val="0098709B"/>
    <w:rsid w:val="009870E4"/>
    <w:rsid w:val="00987108"/>
    <w:rsid w:val="009872A2"/>
    <w:rsid w:val="0098731B"/>
    <w:rsid w:val="009874AE"/>
    <w:rsid w:val="0098769A"/>
    <w:rsid w:val="00987793"/>
    <w:rsid w:val="009877FA"/>
    <w:rsid w:val="009878FB"/>
    <w:rsid w:val="00987A02"/>
    <w:rsid w:val="00987A70"/>
    <w:rsid w:val="00987CBB"/>
    <w:rsid w:val="00987DE0"/>
    <w:rsid w:val="00987ED1"/>
    <w:rsid w:val="00987F49"/>
    <w:rsid w:val="00987FB7"/>
    <w:rsid w:val="009900F4"/>
    <w:rsid w:val="00990484"/>
    <w:rsid w:val="0099052D"/>
    <w:rsid w:val="00990566"/>
    <w:rsid w:val="00990633"/>
    <w:rsid w:val="009906C7"/>
    <w:rsid w:val="00990743"/>
    <w:rsid w:val="009908B8"/>
    <w:rsid w:val="00990909"/>
    <w:rsid w:val="009909AE"/>
    <w:rsid w:val="009909EF"/>
    <w:rsid w:val="00990AEE"/>
    <w:rsid w:val="00990B29"/>
    <w:rsid w:val="00990B45"/>
    <w:rsid w:val="00990BAD"/>
    <w:rsid w:val="00990E4D"/>
    <w:rsid w:val="00990F03"/>
    <w:rsid w:val="00990F99"/>
    <w:rsid w:val="0099100C"/>
    <w:rsid w:val="00991045"/>
    <w:rsid w:val="0099112B"/>
    <w:rsid w:val="00991190"/>
    <w:rsid w:val="00991279"/>
    <w:rsid w:val="00991283"/>
    <w:rsid w:val="009912F8"/>
    <w:rsid w:val="00991388"/>
    <w:rsid w:val="009913D3"/>
    <w:rsid w:val="009914D5"/>
    <w:rsid w:val="00991660"/>
    <w:rsid w:val="00991665"/>
    <w:rsid w:val="009916ED"/>
    <w:rsid w:val="00991853"/>
    <w:rsid w:val="0099186D"/>
    <w:rsid w:val="009918FB"/>
    <w:rsid w:val="00991AB5"/>
    <w:rsid w:val="00991AC7"/>
    <w:rsid w:val="00991C44"/>
    <w:rsid w:val="00991C49"/>
    <w:rsid w:val="00991C4B"/>
    <w:rsid w:val="00992115"/>
    <w:rsid w:val="00992150"/>
    <w:rsid w:val="009921C3"/>
    <w:rsid w:val="00992226"/>
    <w:rsid w:val="009922A2"/>
    <w:rsid w:val="009922DC"/>
    <w:rsid w:val="00992590"/>
    <w:rsid w:val="0099277E"/>
    <w:rsid w:val="009928CB"/>
    <w:rsid w:val="009928CE"/>
    <w:rsid w:val="00992ACD"/>
    <w:rsid w:val="00992D12"/>
    <w:rsid w:val="00992E7B"/>
    <w:rsid w:val="00992E9D"/>
    <w:rsid w:val="00992FD9"/>
    <w:rsid w:val="0099306F"/>
    <w:rsid w:val="009930A0"/>
    <w:rsid w:val="00993176"/>
    <w:rsid w:val="009931CE"/>
    <w:rsid w:val="00993327"/>
    <w:rsid w:val="00993566"/>
    <w:rsid w:val="00993907"/>
    <w:rsid w:val="00993928"/>
    <w:rsid w:val="00993BFD"/>
    <w:rsid w:val="00993C64"/>
    <w:rsid w:val="00993CF1"/>
    <w:rsid w:val="00993CF4"/>
    <w:rsid w:val="00993D59"/>
    <w:rsid w:val="00993E06"/>
    <w:rsid w:val="00993E2D"/>
    <w:rsid w:val="00994047"/>
    <w:rsid w:val="00994165"/>
    <w:rsid w:val="0099431D"/>
    <w:rsid w:val="00994419"/>
    <w:rsid w:val="009945D2"/>
    <w:rsid w:val="009945D4"/>
    <w:rsid w:val="00994846"/>
    <w:rsid w:val="00994986"/>
    <w:rsid w:val="00994998"/>
    <w:rsid w:val="00994AB2"/>
    <w:rsid w:val="00994C3B"/>
    <w:rsid w:val="00994C53"/>
    <w:rsid w:val="00994D67"/>
    <w:rsid w:val="00994DF5"/>
    <w:rsid w:val="00994E49"/>
    <w:rsid w:val="00994F66"/>
    <w:rsid w:val="0099502B"/>
    <w:rsid w:val="00995169"/>
    <w:rsid w:val="009952B7"/>
    <w:rsid w:val="009952F1"/>
    <w:rsid w:val="00995350"/>
    <w:rsid w:val="00995376"/>
    <w:rsid w:val="009954EC"/>
    <w:rsid w:val="0099570A"/>
    <w:rsid w:val="009957A0"/>
    <w:rsid w:val="009958F1"/>
    <w:rsid w:val="00995C3E"/>
    <w:rsid w:val="00995C47"/>
    <w:rsid w:val="00995D15"/>
    <w:rsid w:val="00995E85"/>
    <w:rsid w:val="00995FA0"/>
    <w:rsid w:val="00995FD0"/>
    <w:rsid w:val="009962A8"/>
    <w:rsid w:val="0099633D"/>
    <w:rsid w:val="0099640D"/>
    <w:rsid w:val="00996565"/>
    <w:rsid w:val="0099656E"/>
    <w:rsid w:val="009966D3"/>
    <w:rsid w:val="009967B1"/>
    <w:rsid w:val="0099682A"/>
    <w:rsid w:val="00996D5E"/>
    <w:rsid w:val="00996F71"/>
    <w:rsid w:val="0099715A"/>
    <w:rsid w:val="009971A7"/>
    <w:rsid w:val="009971E1"/>
    <w:rsid w:val="009972B6"/>
    <w:rsid w:val="00997368"/>
    <w:rsid w:val="009976A3"/>
    <w:rsid w:val="0099774E"/>
    <w:rsid w:val="009977E2"/>
    <w:rsid w:val="009977E5"/>
    <w:rsid w:val="0099792D"/>
    <w:rsid w:val="00997B3C"/>
    <w:rsid w:val="00997C32"/>
    <w:rsid w:val="00997D43"/>
    <w:rsid w:val="00997EB7"/>
    <w:rsid w:val="00997F79"/>
    <w:rsid w:val="009A0039"/>
    <w:rsid w:val="009A0235"/>
    <w:rsid w:val="009A0430"/>
    <w:rsid w:val="009A0459"/>
    <w:rsid w:val="009A04B0"/>
    <w:rsid w:val="009A04BA"/>
    <w:rsid w:val="009A04F3"/>
    <w:rsid w:val="009A05C0"/>
    <w:rsid w:val="009A05CB"/>
    <w:rsid w:val="009A0819"/>
    <w:rsid w:val="009A0902"/>
    <w:rsid w:val="009A0935"/>
    <w:rsid w:val="009A09A3"/>
    <w:rsid w:val="009A0B79"/>
    <w:rsid w:val="009A0BA3"/>
    <w:rsid w:val="009A0C71"/>
    <w:rsid w:val="009A0C8E"/>
    <w:rsid w:val="009A0D20"/>
    <w:rsid w:val="009A0DD9"/>
    <w:rsid w:val="009A0E8C"/>
    <w:rsid w:val="009A0EC5"/>
    <w:rsid w:val="009A1211"/>
    <w:rsid w:val="009A1256"/>
    <w:rsid w:val="009A1259"/>
    <w:rsid w:val="009A152A"/>
    <w:rsid w:val="009A1573"/>
    <w:rsid w:val="009A1587"/>
    <w:rsid w:val="009A15D3"/>
    <w:rsid w:val="009A16BC"/>
    <w:rsid w:val="009A16E7"/>
    <w:rsid w:val="009A1923"/>
    <w:rsid w:val="009A19F3"/>
    <w:rsid w:val="009A1A4E"/>
    <w:rsid w:val="009A1AC9"/>
    <w:rsid w:val="009A1AE7"/>
    <w:rsid w:val="009A1B1B"/>
    <w:rsid w:val="009A1B3C"/>
    <w:rsid w:val="009A1B64"/>
    <w:rsid w:val="009A1D86"/>
    <w:rsid w:val="009A1FF3"/>
    <w:rsid w:val="009A220B"/>
    <w:rsid w:val="009A2256"/>
    <w:rsid w:val="009A251D"/>
    <w:rsid w:val="009A263C"/>
    <w:rsid w:val="009A26FA"/>
    <w:rsid w:val="009A27AB"/>
    <w:rsid w:val="009A2866"/>
    <w:rsid w:val="009A292F"/>
    <w:rsid w:val="009A2A57"/>
    <w:rsid w:val="009A2ABC"/>
    <w:rsid w:val="009A2F05"/>
    <w:rsid w:val="009A2FCC"/>
    <w:rsid w:val="009A2FCF"/>
    <w:rsid w:val="009A3053"/>
    <w:rsid w:val="009A3065"/>
    <w:rsid w:val="009A3185"/>
    <w:rsid w:val="009A31B3"/>
    <w:rsid w:val="009A31B6"/>
    <w:rsid w:val="009A31DC"/>
    <w:rsid w:val="009A321E"/>
    <w:rsid w:val="009A338E"/>
    <w:rsid w:val="009A3476"/>
    <w:rsid w:val="009A35B0"/>
    <w:rsid w:val="009A35E7"/>
    <w:rsid w:val="009A37CE"/>
    <w:rsid w:val="009A388A"/>
    <w:rsid w:val="009A3950"/>
    <w:rsid w:val="009A3B21"/>
    <w:rsid w:val="009A3B47"/>
    <w:rsid w:val="009A3CC4"/>
    <w:rsid w:val="009A3D1E"/>
    <w:rsid w:val="009A3F92"/>
    <w:rsid w:val="009A400F"/>
    <w:rsid w:val="009A4160"/>
    <w:rsid w:val="009A423F"/>
    <w:rsid w:val="009A433C"/>
    <w:rsid w:val="009A436A"/>
    <w:rsid w:val="009A43BA"/>
    <w:rsid w:val="009A43CD"/>
    <w:rsid w:val="009A4599"/>
    <w:rsid w:val="009A45D4"/>
    <w:rsid w:val="009A4678"/>
    <w:rsid w:val="009A47B1"/>
    <w:rsid w:val="009A4B11"/>
    <w:rsid w:val="009A4EE2"/>
    <w:rsid w:val="009A4EEE"/>
    <w:rsid w:val="009A4F12"/>
    <w:rsid w:val="009A5111"/>
    <w:rsid w:val="009A5147"/>
    <w:rsid w:val="009A5266"/>
    <w:rsid w:val="009A52AD"/>
    <w:rsid w:val="009A53DF"/>
    <w:rsid w:val="009A5591"/>
    <w:rsid w:val="009A5649"/>
    <w:rsid w:val="009A581A"/>
    <w:rsid w:val="009A5A05"/>
    <w:rsid w:val="009A5A78"/>
    <w:rsid w:val="009A5AA0"/>
    <w:rsid w:val="009A5AC7"/>
    <w:rsid w:val="009A5CF6"/>
    <w:rsid w:val="009A5E27"/>
    <w:rsid w:val="009A5E34"/>
    <w:rsid w:val="009A627C"/>
    <w:rsid w:val="009A629E"/>
    <w:rsid w:val="009A64D4"/>
    <w:rsid w:val="009A64D6"/>
    <w:rsid w:val="009A6605"/>
    <w:rsid w:val="009A6620"/>
    <w:rsid w:val="009A667D"/>
    <w:rsid w:val="009A66A7"/>
    <w:rsid w:val="009A66B5"/>
    <w:rsid w:val="009A67EC"/>
    <w:rsid w:val="009A6879"/>
    <w:rsid w:val="009A68BA"/>
    <w:rsid w:val="009A6926"/>
    <w:rsid w:val="009A69D7"/>
    <w:rsid w:val="009A6B49"/>
    <w:rsid w:val="009A6D17"/>
    <w:rsid w:val="009A6D85"/>
    <w:rsid w:val="009A6E14"/>
    <w:rsid w:val="009A6E52"/>
    <w:rsid w:val="009A71A2"/>
    <w:rsid w:val="009A71B1"/>
    <w:rsid w:val="009A730F"/>
    <w:rsid w:val="009A7363"/>
    <w:rsid w:val="009A7674"/>
    <w:rsid w:val="009A7679"/>
    <w:rsid w:val="009A7758"/>
    <w:rsid w:val="009A782C"/>
    <w:rsid w:val="009A786C"/>
    <w:rsid w:val="009A79F5"/>
    <w:rsid w:val="009A7AAA"/>
    <w:rsid w:val="009A7BD9"/>
    <w:rsid w:val="009A7CD1"/>
    <w:rsid w:val="009A7F94"/>
    <w:rsid w:val="009B0226"/>
    <w:rsid w:val="009B02A8"/>
    <w:rsid w:val="009B0717"/>
    <w:rsid w:val="009B0719"/>
    <w:rsid w:val="009B096F"/>
    <w:rsid w:val="009B0AE2"/>
    <w:rsid w:val="009B0B10"/>
    <w:rsid w:val="009B0B2A"/>
    <w:rsid w:val="009B0BA9"/>
    <w:rsid w:val="009B0C34"/>
    <w:rsid w:val="009B0E96"/>
    <w:rsid w:val="009B0EE4"/>
    <w:rsid w:val="009B0F36"/>
    <w:rsid w:val="009B0FDC"/>
    <w:rsid w:val="009B10A7"/>
    <w:rsid w:val="009B10B5"/>
    <w:rsid w:val="009B11D0"/>
    <w:rsid w:val="009B1223"/>
    <w:rsid w:val="009B12F5"/>
    <w:rsid w:val="009B135C"/>
    <w:rsid w:val="009B15AD"/>
    <w:rsid w:val="009B1653"/>
    <w:rsid w:val="009B16FE"/>
    <w:rsid w:val="009B1700"/>
    <w:rsid w:val="009B17B8"/>
    <w:rsid w:val="009B17C9"/>
    <w:rsid w:val="009B18A7"/>
    <w:rsid w:val="009B191F"/>
    <w:rsid w:val="009B19E1"/>
    <w:rsid w:val="009B1AAE"/>
    <w:rsid w:val="009B1B7E"/>
    <w:rsid w:val="009B1BBE"/>
    <w:rsid w:val="009B1CED"/>
    <w:rsid w:val="009B1E46"/>
    <w:rsid w:val="009B1E5F"/>
    <w:rsid w:val="009B216D"/>
    <w:rsid w:val="009B2320"/>
    <w:rsid w:val="009B2535"/>
    <w:rsid w:val="009B259E"/>
    <w:rsid w:val="009B25D1"/>
    <w:rsid w:val="009B29FD"/>
    <w:rsid w:val="009B2A09"/>
    <w:rsid w:val="009B2B24"/>
    <w:rsid w:val="009B2BCB"/>
    <w:rsid w:val="009B2CA6"/>
    <w:rsid w:val="009B2D2D"/>
    <w:rsid w:val="009B2DAA"/>
    <w:rsid w:val="009B2FBE"/>
    <w:rsid w:val="009B30E4"/>
    <w:rsid w:val="009B3410"/>
    <w:rsid w:val="009B347D"/>
    <w:rsid w:val="009B358B"/>
    <w:rsid w:val="009B35E8"/>
    <w:rsid w:val="009B37E7"/>
    <w:rsid w:val="009B3895"/>
    <w:rsid w:val="009B38BA"/>
    <w:rsid w:val="009B38BB"/>
    <w:rsid w:val="009B3902"/>
    <w:rsid w:val="009B392B"/>
    <w:rsid w:val="009B3987"/>
    <w:rsid w:val="009B39C2"/>
    <w:rsid w:val="009B39CD"/>
    <w:rsid w:val="009B3A23"/>
    <w:rsid w:val="009B3BC6"/>
    <w:rsid w:val="009B3C3D"/>
    <w:rsid w:val="009B3C6A"/>
    <w:rsid w:val="009B3D2F"/>
    <w:rsid w:val="009B3D30"/>
    <w:rsid w:val="009B3E37"/>
    <w:rsid w:val="009B42DE"/>
    <w:rsid w:val="009B4380"/>
    <w:rsid w:val="009B45F6"/>
    <w:rsid w:val="009B47CC"/>
    <w:rsid w:val="009B4A90"/>
    <w:rsid w:val="009B4C7A"/>
    <w:rsid w:val="009B4D12"/>
    <w:rsid w:val="009B4DE1"/>
    <w:rsid w:val="009B4DFE"/>
    <w:rsid w:val="009B506D"/>
    <w:rsid w:val="009B5076"/>
    <w:rsid w:val="009B50EC"/>
    <w:rsid w:val="009B5166"/>
    <w:rsid w:val="009B54E2"/>
    <w:rsid w:val="009B555F"/>
    <w:rsid w:val="009B55CA"/>
    <w:rsid w:val="009B5604"/>
    <w:rsid w:val="009B5B12"/>
    <w:rsid w:val="009B5C22"/>
    <w:rsid w:val="009B5C2F"/>
    <w:rsid w:val="009B5D97"/>
    <w:rsid w:val="009B5DDF"/>
    <w:rsid w:val="009B5DEA"/>
    <w:rsid w:val="009B5EF0"/>
    <w:rsid w:val="009B61DD"/>
    <w:rsid w:val="009B6211"/>
    <w:rsid w:val="009B62F3"/>
    <w:rsid w:val="009B641B"/>
    <w:rsid w:val="009B64B4"/>
    <w:rsid w:val="009B6550"/>
    <w:rsid w:val="009B65F0"/>
    <w:rsid w:val="009B6656"/>
    <w:rsid w:val="009B673D"/>
    <w:rsid w:val="009B6799"/>
    <w:rsid w:val="009B67D9"/>
    <w:rsid w:val="009B688A"/>
    <w:rsid w:val="009B6B4C"/>
    <w:rsid w:val="009B6B94"/>
    <w:rsid w:val="009B6C7D"/>
    <w:rsid w:val="009B6D23"/>
    <w:rsid w:val="009B6D2D"/>
    <w:rsid w:val="009B6D49"/>
    <w:rsid w:val="009B6E42"/>
    <w:rsid w:val="009B6E9D"/>
    <w:rsid w:val="009B7121"/>
    <w:rsid w:val="009B7189"/>
    <w:rsid w:val="009B719F"/>
    <w:rsid w:val="009B72BB"/>
    <w:rsid w:val="009B737E"/>
    <w:rsid w:val="009B751B"/>
    <w:rsid w:val="009B75AC"/>
    <w:rsid w:val="009B7639"/>
    <w:rsid w:val="009B7658"/>
    <w:rsid w:val="009B76D0"/>
    <w:rsid w:val="009B7772"/>
    <w:rsid w:val="009B7838"/>
    <w:rsid w:val="009B791C"/>
    <w:rsid w:val="009B793A"/>
    <w:rsid w:val="009B7B99"/>
    <w:rsid w:val="009B7E69"/>
    <w:rsid w:val="009B7EE0"/>
    <w:rsid w:val="009B7F2C"/>
    <w:rsid w:val="009C032F"/>
    <w:rsid w:val="009C03EA"/>
    <w:rsid w:val="009C05D1"/>
    <w:rsid w:val="009C06BD"/>
    <w:rsid w:val="009C076E"/>
    <w:rsid w:val="009C077C"/>
    <w:rsid w:val="009C09A5"/>
    <w:rsid w:val="009C0A29"/>
    <w:rsid w:val="009C0A68"/>
    <w:rsid w:val="009C0D59"/>
    <w:rsid w:val="009C0EE1"/>
    <w:rsid w:val="009C0F11"/>
    <w:rsid w:val="009C0F63"/>
    <w:rsid w:val="009C0FCF"/>
    <w:rsid w:val="009C1011"/>
    <w:rsid w:val="009C11EB"/>
    <w:rsid w:val="009C127C"/>
    <w:rsid w:val="009C134B"/>
    <w:rsid w:val="009C1430"/>
    <w:rsid w:val="009C145E"/>
    <w:rsid w:val="009C1849"/>
    <w:rsid w:val="009C193F"/>
    <w:rsid w:val="009C1973"/>
    <w:rsid w:val="009C1AFD"/>
    <w:rsid w:val="009C1CCC"/>
    <w:rsid w:val="009C1DBC"/>
    <w:rsid w:val="009C1DC1"/>
    <w:rsid w:val="009C1DF5"/>
    <w:rsid w:val="009C1E0F"/>
    <w:rsid w:val="009C1E56"/>
    <w:rsid w:val="009C1E57"/>
    <w:rsid w:val="009C1EFC"/>
    <w:rsid w:val="009C1F59"/>
    <w:rsid w:val="009C1F77"/>
    <w:rsid w:val="009C1F91"/>
    <w:rsid w:val="009C20E6"/>
    <w:rsid w:val="009C2197"/>
    <w:rsid w:val="009C21AB"/>
    <w:rsid w:val="009C21F4"/>
    <w:rsid w:val="009C2632"/>
    <w:rsid w:val="009C263C"/>
    <w:rsid w:val="009C26DF"/>
    <w:rsid w:val="009C26E1"/>
    <w:rsid w:val="009C2711"/>
    <w:rsid w:val="009C2737"/>
    <w:rsid w:val="009C2758"/>
    <w:rsid w:val="009C2809"/>
    <w:rsid w:val="009C284D"/>
    <w:rsid w:val="009C2871"/>
    <w:rsid w:val="009C2D0E"/>
    <w:rsid w:val="009C2ED9"/>
    <w:rsid w:val="009C2F84"/>
    <w:rsid w:val="009C2F9E"/>
    <w:rsid w:val="009C303D"/>
    <w:rsid w:val="009C313A"/>
    <w:rsid w:val="009C32B0"/>
    <w:rsid w:val="009C33D5"/>
    <w:rsid w:val="009C3595"/>
    <w:rsid w:val="009C35B8"/>
    <w:rsid w:val="009C376E"/>
    <w:rsid w:val="009C39C4"/>
    <w:rsid w:val="009C3C42"/>
    <w:rsid w:val="009C3DA8"/>
    <w:rsid w:val="009C3F90"/>
    <w:rsid w:val="009C4079"/>
    <w:rsid w:val="009C4267"/>
    <w:rsid w:val="009C433D"/>
    <w:rsid w:val="009C435B"/>
    <w:rsid w:val="009C43D6"/>
    <w:rsid w:val="009C43E7"/>
    <w:rsid w:val="009C4542"/>
    <w:rsid w:val="009C454C"/>
    <w:rsid w:val="009C46AB"/>
    <w:rsid w:val="009C47FA"/>
    <w:rsid w:val="009C486E"/>
    <w:rsid w:val="009C489B"/>
    <w:rsid w:val="009C4908"/>
    <w:rsid w:val="009C4938"/>
    <w:rsid w:val="009C4A75"/>
    <w:rsid w:val="009C4B19"/>
    <w:rsid w:val="009C4B3C"/>
    <w:rsid w:val="009C4BD8"/>
    <w:rsid w:val="009C4CC1"/>
    <w:rsid w:val="009C4D9E"/>
    <w:rsid w:val="009C501C"/>
    <w:rsid w:val="009C5137"/>
    <w:rsid w:val="009C51A5"/>
    <w:rsid w:val="009C5338"/>
    <w:rsid w:val="009C535E"/>
    <w:rsid w:val="009C543A"/>
    <w:rsid w:val="009C545C"/>
    <w:rsid w:val="009C5804"/>
    <w:rsid w:val="009C5843"/>
    <w:rsid w:val="009C594E"/>
    <w:rsid w:val="009C5AFE"/>
    <w:rsid w:val="009C5B35"/>
    <w:rsid w:val="009C5C74"/>
    <w:rsid w:val="009C5EBB"/>
    <w:rsid w:val="009C6075"/>
    <w:rsid w:val="009C617C"/>
    <w:rsid w:val="009C640F"/>
    <w:rsid w:val="009C656E"/>
    <w:rsid w:val="009C65E8"/>
    <w:rsid w:val="009C6719"/>
    <w:rsid w:val="009C6780"/>
    <w:rsid w:val="009C67B2"/>
    <w:rsid w:val="009C68D4"/>
    <w:rsid w:val="009C6A4C"/>
    <w:rsid w:val="009C6B84"/>
    <w:rsid w:val="009C6C56"/>
    <w:rsid w:val="009C6CEE"/>
    <w:rsid w:val="009C6E5D"/>
    <w:rsid w:val="009C6F0B"/>
    <w:rsid w:val="009C6F1A"/>
    <w:rsid w:val="009C6F47"/>
    <w:rsid w:val="009C6F94"/>
    <w:rsid w:val="009C70D6"/>
    <w:rsid w:val="009C7197"/>
    <w:rsid w:val="009C71F6"/>
    <w:rsid w:val="009C72EF"/>
    <w:rsid w:val="009C735B"/>
    <w:rsid w:val="009C7424"/>
    <w:rsid w:val="009C791F"/>
    <w:rsid w:val="009C7AE2"/>
    <w:rsid w:val="009C7C0D"/>
    <w:rsid w:val="009C7C40"/>
    <w:rsid w:val="009C7E8F"/>
    <w:rsid w:val="009D011B"/>
    <w:rsid w:val="009D01B4"/>
    <w:rsid w:val="009D01F7"/>
    <w:rsid w:val="009D0292"/>
    <w:rsid w:val="009D02B6"/>
    <w:rsid w:val="009D02C0"/>
    <w:rsid w:val="009D0401"/>
    <w:rsid w:val="009D088A"/>
    <w:rsid w:val="009D0960"/>
    <w:rsid w:val="009D0BF3"/>
    <w:rsid w:val="009D0C34"/>
    <w:rsid w:val="009D0C6B"/>
    <w:rsid w:val="009D0DFA"/>
    <w:rsid w:val="009D0EE3"/>
    <w:rsid w:val="009D0F72"/>
    <w:rsid w:val="009D1075"/>
    <w:rsid w:val="009D13B0"/>
    <w:rsid w:val="009D1641"/>
    <w:rsid w:val="009D1651"/>
    <w:rsid w:val="009D1656"/>
    <w:rsid w:val="009D169B"/>
    <w:rsid w:val="009D1774"/>
    <w:rsid w:val="009D17F4"/>
    <w:rsid w:val="009D1A00"/>
    <w:rsid w:val="009D1BDB"/>
    <w:rsid w:val="009D1BE1"/>
    <w:rsid w:val="009D1DC6"/>
    <w:rsid w:val="009D1F6D"/>
    <w:rsid w:val="009D204A"/>
    <w:rsid w:val="009D20F0"/>
    <w:rsid w:val="009D215E"/>
    <w:rsid w:val="009D2286"/>
    <w:rsid w:val="009D22A0"/>
    <w:rsid w:val="009D2465"/>
    <w:rsid w:val="009D2556"/>
    <w:rsid w:val="009D2586"/>
    <w:rsid w:val="009D2608"/>
    <w:rsid w:val="009D263B"/>
    <w:rsid w:val="009D26F2"/>
    <w:rsid w:val="009D26FB"/>
    <w:rsid w:val="009D2739"/>
    <w:rsid w:val="009D27F8"/>
    <w:rsid w:val="009D2852"/>
    <w:rsid w:val="009D28AA"/>
    <w:rsid w:val="009D28FE"/>
    <w:rsid w:val="009D299C"/>
    <w:rsid w:val="009D2AB9"/>
    <w:rsid w:val="009D2B25"/>
    <w:rsid w:val="009D2CF0"/>
    <w:rsid w:val="009D2D1A"/>
    <w:rsid w:val="009D2D5A"/>
    <w:rsid w:val="009D2F05"/>
    <w:rsid w:val="009D2FFA"/>
    <w:rsid w:val="009D304E"/>
    <w:rsid w:val="009D32C1"/>
    <w:rsid w:val="009D3360"/>
    <w:rsid w:val="009D33FE"/>
    <w:rsid w:val="009D348C"/>
    <w:rsid w:val="009D34EF"/>
    <w:rsid w:val="009D3528"/>
    <w:rsid w:val="009D35B3"/>
    <w:rsid w:val="009D3689"/>
    <w:rsid w:val="009D3861"/>
    <w:rsid w:val="009D38D1"/>
    <w:rsid w:val="009D39AE"/>
    <w:rsid w:val="009D39B1"/>
    <w:rsid w:val="009D3A16"/>
    <w:rsid w:val="009D3C4A"/>
    <w:rsid w:val="009D3C58"/>
    <w:rsid w:val="009D3FD5"/>
    <w:rsid w:val="009D419E"/>
    <w:rsid w:val="009D4218"/>
    <w:rsid w:val="009D440B"/>
    <w:rsid w:val="009D4725"/>
    <w:rsid w:val="009D4793"/>
    <w:rsid w:val="009D47A5"/>
    <w:rsid w:val="009D488D"/>
    <w:rsid w:val="009D4A3C"/>
    <w:rsid w:val="009D4B82"/>
    <w:rsid w:val="009D4C27"/>
    <w:rsid w:val="009D4C90"/>
    <w:rsid w:val="009D4D65"/>
    <w:rsid w:val="009D4EA1"/>
    <w:rsid w:val="009D4F9C"/>
    <w:rsid w:val="009D4FCC"/>
    <w:rsid w:val="009D50AE"/>
    <w:rsid w:val="009D5167"/>
    <w:rsid w:val="009D530D"/>
    <w:rsid w:val="009D53C0"/>
    <w:rsid w:val="009D547D"/>
    <w:rsid w:val="009D54FA"/>
    <w:rsid w:val="009D557F"/>
    <w:rsid w:val="009D55A4"/>
    <w:rsid w:val="009D56D1"/>
    <w:rsid w:val="009D5993"/>
    <w:rsid w:val="009D5AAE"/>
    <w:rsid w:val="009D5C34"/>
    <w:rsid w:val="009D5C4D"/>
    <w:rsid w:val="009D5CF7"/>
    <w:rsid w:val="009D5DB7"/>
    <w:rsid w:val="009D6076"/>
    <w:rsid w:val="009D60A8"/>
    <w:rsid w:val="009D61A0"/>
    <w:rsid w:val="009D6583"/>
    <w:rsid w:val="009D65E7"/>
    <w:rsid w:val="009D667E"/>
    <w:rsid w:val="009D6738"/>
    <w:rsid w:val="009D67A1"/>
    <w:rsid w:val="009D682D"/>
    <w:rsid w:val="009D6851"/>
    <w:rsid w:val="009D68B3"/>
    <w:rsid w:val="009D69DF"/>
    <w:rsid w:val="009D6ADD"/>
    <w:rsid w:val="009D6C45"/>
    <w:rsid w:val="009D6C98"/>
    <w:rsid w:val="009D6CDF"/>
    <w:rsid w:val="009D6D61"/>
    <w:rsid w:val="009D6D9A"/>
    <w:rsid w:val="009D6DC5"/>
    <w:rsid w:val="009D6E1C"/>
    <w:rsid w:val="009D720A"/>
    <w:rsid w:val="009D7277"/>
    <w:rsid w:val="009D728C"/>
    <w:rsid w:val="009D776C"/>
    <w:rsid w:val="009D7A10"/>
    <w:rsid w:val="009D7AA4"/>
    <w:rsid w:val="009D7C6D"/>
    <w:rsid w:val="009E00AF"/>
    <w:rsid w:val="009E022E"/>
    <w:rsid w:val="009E0398"/>
    <w:rsid w:val="009E03EA"/>
    <w:rsid w:val="009E045B"/>
    <w:rsid w:val="009E0476"/>
    <w:rsid w:val="009E04B9"/>
    <w:rsid w:val="009E06D1"/>
    <w:rsid w:val="009E06DE"/>
    <w:rsid w:val="009E0814"/>
    <w:rsid w:val="009E094C"/>
    <w:rsid w:val="009E0B5D"/>
    <w:rsid w:val="009E0C8C"/>
    <w:rsid w:val="009E0D9A"/>
    <w:rsid w:val="009E0E54"/>
    <w:rsid w:val="009E0F8B"/>
    <w:rsid w:val="009E0F96"/>
    <w:rsid w:val="009E10FE"/>
    <w:rsid w:val="009E115C"/>
    <w:rsid w:val="009E12DD"/>
    <w:rsid w:val="009E12E4"/>
    <w:rsid w:val="009E13CD"/>
    <w:rsid w:val="009E1457"/>
    <w:rsid w:val="009E15B8"/>
    <w:rsid w:val="009E1976"/>
    <w:rsid w:val="009E19B6"/>
    <w:rsid w:val="009E1B3C"/>
    <w:rsid w:val="009E1BAD"/>
    <w:rsid w:val="009E1C4E"/>
    <w:rsid w:val="009E1C8D"/>
    <w:rsid w:val="009E1EC4"/>
    <w:rsid w:val="009E1F40"/>
    <w:rsid w:val="009E1FB3"/>
    <w:rsid w:val="009E2041"/>
    <w:rsid w:val="009E2072"/>
    <w:rsid w:val="009E21C5"/>
    <w:rsid w:val="009E2245"/>
    <w:rsid w:val="009E22D5"/>
    <w:rsid w:val="009E2338"/>
    <w:rsid w:val="009E23AE"/>
    <w:rsid w:val="009E23F8"/>
    <w:rsid w:val="009E2480"/>
    <w:rsid w:val="009E2696"/>
    <w:rsid w:val="009E2788"/>
    <w:rsid w:val="009E2851"/>
    <w:rsid w:val="009E28DC"/>
    <w:rsid w:val="009E28F5"/>
    <w:rsid w:val="009E2A1A"/>
    <w:rsid w:val="009E2BF1"/>
    <w:rsid w:val="009E2C56"/>
    <w:rsid w:val="009E2D03"/>
    <w:rsid w:val="009E2F1C"/>
    <w:rsid w:val="009E3026"/>
    <w:rsid w:val="009E327A"/>
    <w:rsid w:val="009E32D9"/>
    <w:rsid w:val="009E3408"/>
    <w:rsid w:val="009E3536"/>
    <w:rsid w:val="009E3694"/>
    <w:rsid w:val="009E3764"/>
    <w:rsid w:val="009E37A2"/>
    <w:rsid w:val="009E3B8D"/>
    <w:rsid w:val="009E3DCF"/>
    <w:rsid w:val="009E3E75"/>
    <w:rsid w:val="009E3ED3"/>
    <w:rsid w:val="009E3FBD"/>
    <w:rsid w:val="009E4243"/>
    <w:rsid w:val="009E4356"/>
    <w:rsid w:val="009E4861"/>
    <w:rsid w:val="009E4879"/>
    <w:rsid w:val="009E48E8"/>
    <w:rsid w:val="009E4A09"/>
    <w:rsid w:val="009E4A6E"/>
    <w:rsid w:val="009E4A97"/>
    <w:rsid w:val="009E4ACB"/>
    <w:rsid w:val="009E4AF8"/>
    <w:rsid w:val="009E4C2C"/>
    <w:rsid w:val="009E4CB8"/>
    <w:rsid w:val="009E4D09"/>
    <w:rsid w:val="009E4D47"/>
    <w:rsid w:val="009E500F"/>
    <w:rsid w:val="009E5081"/>
    <w:rsid w:val="009E5082"/>
    <w:rsid w:val="009E512D"/>
    <w:rsid w:val="009E51B3"/>
    <w:rsid w:val="009E5207"/>
    <w:rsid w:val="009E5262"/>
    <w:rsid w:val="009E5364"/>
    <w:rsid w:val="009E5378"/>
    <w:rsid w:val="009E54FE"/>
    <w:rsid w:val="009E553F"/>
    <w:rsid w:val="009E55FC"/>
    <w:rsid w:val="009E5632"/>
    <w:rsid w:val="009E5753"/>
    <w:rsid w:val="009E591B"/>
    <w:rsid w:val="009E598F"/>
    <w:rsid w:val="009E59FA"/>
    <w:rsid w:val="009E5B01"/>
    <w:rsid w:val="009E5EBB"/>
    <w:rsid w:val="009E5FC1"/>
    <w:rsid w:val="009E6038"/>
    <w:rsid w:val="009E62DC"/>
    <w:rsid w:val="009E636E"/>
    <w:rsid w:val="009E6501"/>
    <w:rsid w:val="009E650C"/>
    <w:rsid w:val="009E6726"/>
    <w:rsid w:val="009E68FD"/>
    <w:rsid w:val="009E69BF"/>
    <w:rsid w:val="009E6B66"/>
    <w:rsid w:val="009E6B8D"/>
    <w:rsid w:val="009E6CB5"/>
    <w:rsid w:val="009E6ED6"/>
    <w:rsid w:val="009E6FD0"/>
    <w:rsid w:val="009E6FDB"/>
    <w:rsid w:val="009E72D9"/>
    <w:rsid w:val="009E730E"/>
    <w:rsid w:val="009E73FA"/>
    <w:rsid w:val="009E7787"/>
    <w:rsid w:val="009E795C"/>
    <w:rsid w:val="009E79DD"/>
    <w:rsid w:val="009E7A94"/>
    <w:rsid w:val="009E7AC3"/>
    <w:rsid w:val="009E7B99"/>
    <w:rsid w:val="009E7BF1"/>
    <w:rsid w:val="009E7BF7"/>
    <w:rsid w:val="009E7CC6"/>
    <w:rsid w:val="009E7D11"/>
    <w:rsid w:val="009E7D55"/>
    <w:rsid w:val="009E7ED5"/>
    <w:rsid w:val="009F034F"/>
    <w:rsid w:val="009F03AE"/>
    <w:rsid w:val="009F045C"/>
    <w:rsid w:val="009F07DC"/>
    <w:rsid w:val="009F0879"/>
    <w:rsid w:val="009F0931"/>
    <w:rsid w:val="009F0997"/>
    <w:rsid w:val="009F0ACE"/>
    <w:rsid w:val="009F0CA9"/>
    <w:rsid w:val="009F0D17"/>
    <w:rsid w:val="009F0D22"/>
    <w:rsid w:val="009F0FF5"/>
    <w:rsid w:val="009F117C"/>
    <w:rsid w:val="009F120E"/>
    <w:rsid w:val="009F121C"/>
    <w:rsid w:val="009F144C"/>
    <w:rsid w:val="009F15FF"/>
    <w:rsid w:val="009F17EA"/>
    <w:rsid w:val="009F1A4F"/>
    <w:rsid w:val="009F1C35"/>
    <w:rsid w:val="009F1C79"/>
    <w:rsid w:val="009F1D0B"/>
    <w:rsid w:val="009F1EDA"/>
    <w:rsid w:val="009F1F95"/>
    <w:rsid w:val="009F223B"/>
    <w:rsid w:val="009F23E0"/>
    <w:rsid w:val="009F25D9"/>
    <w:rsid w:val="009F260B"/>
    <w:rsid w:val="009F26AB"/>
    <w:rsid w:val="009F26BF"/>
    <w:rsid w:val="009F2870"/>
    <w:rsid w:val="009F28A6"/>
    <w:rsid w:val="009F2A2C"/>
    <w:rsid w:val="009F2ADD"/>
    <w:rsid w:val="009F2B2F"/>
    <w:rsid w:val="009F2DD1"/>
    <w:rsid w:val="009F2E11"/>
    <w:rsid w:val="009F2FE5"/>
    <w:rsid w:val="009F3096"/>
    <w:rsid w:val="009F319A"/>
    <w:rsid w:val="009F33A2"/>
    <w:rsid w:val="009F363C"/>
    <w:rsid w:val="009F364C"/>
    <w:rsid w:val="009F3683"/>
    <w:rsid w:val="009F3742"/>
    <w:rsid w:val="009F3A4B"/>
    <w:rsid w:val="009F3B81"/>
    <w:rsid w:val="009F3B88"/>
    <w:rsid w:val="009F3C5D"/>
    <w:rsid w:val="009F3C85"/>
    <w:rsid w:val="009F3C97"/>
    <w:rsid w:val="009F3CC0"/>
    <w:rsid w:val="009F3E61"/>
    <w:rsid w:val="009F4070"/>
    <w:rsid w:val="009F42E4"/>
    <w:rsid w:val="009F4354"/>
    <w:rsid w:val="009F4378"/>
    <w:rsid w:val="009F4380"/>
    <w:rsid w:val="009F43AD"/>
    <w:rsid w:val="009F4670"/>
    <w:rsid w:val="009F4708"/>
    <w:rsid w:val="009F4899"/>
    <w:rsid w:val="009F489E"/>
    <w:rsid w:val="009F4AC4"/>
    <w:rsid w:val="009F4BBF"/>
    <w:rsid w:val="009F4C2B"/>
    <w:rsid w:val="009F4DE4"/>
    <w:rsid w:val="009F4EC9"/>
    <w:rsid w:val="009F4FB2"/>
    <w:rsid w:val="009F4FF2"/>
    <w:rsid w:val="009F4FF3"/>
    <w:rsid w:val="009F50C9"/>
    <w:rsid w:val="009F5222"/>
    <w:rsid w:val="009F5306"/>
    <w:rsid w:val="009F5332"/>
    <w:rsid w:val="009F53E0"/>
    <w:rsid w:val="009F53EB"/>
    <w:rsid w:val="009F5555"/>
    <w:rsid w:val="009F5638"/>
    <w:rsid w:val="009F5869"/>
    <w:rsid w:val="009F58DA"/>
    <w:rsid w:val="009F58F9"/>
    <w:rsid w:val="009F59B8"/>
    <w:rsid w:val="009F5A8D"/>
    <w:rsid w:val="009F5B0C"/>
    <w:rsid w:val="009F5B89"/>
    <w:rsid w:val="009F5CFD"/>
    <w:rsid w:val="009F5D78"/>
    <w:rsid w:val="009F5F5B"/>
    <w:rsid w:val="009F6088"/>
    <w:rsid w:val="009F60D1"/>
    <w:rsid w:val="009F6144"/>
    <w:rsid w:val="009F61CB"/>
    <w:rsid w:val="009F61DF"/>
    <w:rsid w:val="009F6565"/>
    <w:rsid w:val="009F6680"/>
    <w:rsid w:val="009F68A2"/>
    <w:rsid w:val="009F68C1"/>
    <w:rsid w:val="009F6DAB"/>
    <w:rsid w:val="009F6DB8"/>
    <w:rsid w:val="009F72BC"/>
    <w:rsid w:val="009F7313"/>
    <w:rsid w:val="009F7380"/>
    <w:rsid w:val="009F73B9"/>
    <w:rsid w:val="009F766C"/>
    <w:rsid w:val="009F7980"/>
    <w:rsid w:val="009F7A75"/>
    <w:rsid w:val="009F7AE1"/>
    <w:rsid w:val="009F7B50"/>
    <w:rsid w:val="009F7D64"/>
    <w:rsid w:val="009F7EA6"/>
    <w:rsid w:val="009F7EE8"/>
    <w:rsid w:val="00A0003D"/>
    <w:rsid w:val="00A000C1"/>
    <w:rsid w:val="00A00181"/>
    <w:rsid w:val="00A001CF"/>
    <w:rsid w:val="00A0078C"/>
    <w:rsid w:val="00A00811"/>
    <w:rsid w:val="00A00A42"/>
    <w:rsid w:val="00A00A90"/>
    <w:rsid w:val="00A00B95"/>
    <w:rsid w:val="00A00C6F"/>
    <w:rsid w:val="00A00CAF"/>
    <w:rsid w:val="00A01019"/>
    <w:rsid w:val="00A0102F"/>
    <w:rsid w:val="00A01126"/>
    <w:rsid w:val="00A01230"/>
    <w:rsid w:val="00A012F3"/>
    <w:rsid w:val="00A01310"/>
    <w:rsid w:val="00A015EB"/>
    <w:rsid w:val="00A017BB"/>
    <w:rsid w:val="00A018BE"/>
    <w:rsid w:val="00A019D5"/>
    <w:rsid w:val="00A01F3F"/>
    <w:rsid w:val="00A01FD0"/>
    <w:rsid w:val="00A0208C"/>
    <w:rsid w:val="00A021B3"/>
    <w:rsid w:val="00A02263"/>
    <w:rsid w:val="00A022B7"/>
    <w:rsid w:val="00A02405"/>
    <w:rsid w:val="00A02672"/>
    <w:rsid w:val="00A02792"/>
    <w:rsid w:val="00A027C0"/>
    <w:rsid w:val="00A0290D"/>
    <w:rsid w:val="00A02955"/>
    <w:rsid w:val="00A029A8"/>
    <w:rsid w:val="00A02B75"/>
    <w:rsid w:val="00A02C93"/>
    <w:rsid w:val="00A02F5C"/>
    <w:rsid w:val="00A031F0"/>
    <w:rsid w:val="00A0321F"/>
    <w:rsid w:val="00A0330A"/>
    <w:rsid w:val="00A0335D"/>
    <w:rsid w:val="00A033FA"/>
    <w:rsid w:val="00A0340F"/>
    <w:rsid w:val="00A034F3"/>
    <w:rsid w:val="00A035D1"/>
    <w:rsid w:val="00A03699"/>
    <w:rsid w:val="00A0373E"/>
    <w:rsid w:val="00A037A3"/>
    <w:rsid w:val="00A03802"/>
    <w:rsid w:val="00A03BDA"/>
    <w:rsid w:val="00A03C76"/>
    <w:rsid w:val="00A03C99"/>
    <w:rsid w:val="00A03E6F"/>
    <w:rsid w:val="00A03F96"/>
    <w:rsid w:val="00A040AC"/>
    <w:rsid w:val="00A040B2"/>
    <w:rsid w:val="00A040D8"/>
    <w:rsid w:val="00A041A0"/>
    <w:rsid w:val="00A0438E"/>
    <w:rsid w:val="00A04401"/>
    <w:rsid w:val="00A04545"/>
    <w:rsid w:val="00A0470E"/>
    <w:rsid w:val="00A04A5B"/>
    <w:rsid w:val="00A04B33"/>
    <w:rsid w:val="00A04C5B"/>
    <w:rsid w:val="00A04C79"/>
    <w:rsid w:val="00A04E2A"/>
    <w:rsid w:val="00A04EC8"/>
    <w:rsid w:val="00A04FDC"/>
    <w:rsid w:val="00A05225"/>
    <w:rsid w:val="00A0526D"/>
    <w:rsid w:val="00A05293"/>
    <w:rsid w:val="00A056A5"/>
    <w:rsid w:val="00A05785"/>
    <w:rsid w:val="00A059BA"/>
    <w:rsid w:val="00A05BE1"/>
    <w:rsid w:val="00A05C64"/>
    <w:rsid w:val="00A05C91"/>
    <w:rsid w:val="00A05D46"/>
    <w:rsid w:val="00A05E73"/>
    <w:rsid w:val="00A05F1B"/>
    <w:rsid w:val="00A06001"/>
    <w:rsid w:val="00A06063"/>
    <w:rsid w:val="00A060B7"/>
    <w:rsid w:val="00A060C3"/>
    <w:rsid w:val="00A0613E"/>
    <w:rsid w:val="00A061F2"/>
    <w:rsid w:val="00A061F6"/>
    <w:rsid w:val="00A0623B"/>
    <w:rsid w:val="00A0630E"/>
    <w:rsid w:val="00A06367"/>
    <w:rsid w:val="00A063A6"/>
    <w:rsid w:val="00A063D4"/>
    <w:rsid w:val="00A064FE"/>
    <w:rsid w:val="00A06553"/>
    <w:rsid w:val="00A065DF"/>
    <w:rsid w:val="00A066B4"/>
    <w:rsid w:val="00A066BD"/>
    <w:rsid w:val="00A068F2"/>
    <w:rsid w:val="00A06C53"/>
    <w:rsid w:val="00A06D28"/>
    <w:rsid w:val="00A06DF3"/>
    <w:rsid w:val="00A06E20"/>
    <w:rsid w:val="00A0702E"/>
    <w:rsid w:val="00A070CE"/>
    <w:rsid w:val="00A0716D"/>
    <w:rsid w:val="00A07311"/>
    <w:rsid w:val="00A074EF"/>
    <w:rsid w:val="00A07505"/>
    <w:rsid w:val="00A07732"/>
    <w:rsid w:val="00A0784F"/>
    <w:rsid w:val="00A07936"/>
    <w:rsid w:val="00A07AFC"/>
    <w:rsid w:val="00A07CA1"/>
    <w:rsid w:val="00A07CCF"/>
    <w:rsid w:val="00A07E6D"/>
    <w:rsid w:val="00A07E9D"/>
    <w:rsid w:val="00A10017"/>
    <w:rsid w:val="00A10035"/>
    <w:rsid w:val="00A10137"/>
    <w:rsid w:val="00A1035E"/>
    <w:rsid w:val="00A104C4"/>
    <w:rsid w:val="00A104E1"/>
    <w:rsid w:val="00A1060B"/>
    <w:rsid w:val="00A1060C"/>
    <w:rsid w:val="00A107C7"/>
    <w:rsid w:val="00A1086E"/>
    <w:rsid w:val="00A10930"/>
    <w:rsid w:val="00A10A44"/>
    <w:rsid w:val="00A10B5C"/>
    <w:rsid w:val="00A10DE2"/>
    <w:rsid w:val="00A10E7E"/>
    <w:rsid w:val="00A1106B"/>
    <w:rsid w:val="00A111A5"/>
    <w:rsid w:val="00A111B4"/>
    <w:rsid w:val="00A1129A"/>
    <w:rsid w:val="00A1143E"/>
    <w:rsid w:val="00A1145D"/>
    <w:rsid w:val="00A11555"/>
    <w:rsid w:val="00A115BA"/>
    <w:rsid w:val="00A1166B"/>
    <w:rsid w:val="00A117A6"/>
    <w:rsid w:val="00A11895"/>
    <w:rsid w:val="00A11CD9"/>
    <w:rsid w:val="00A11CE8"/>
    <w:rsid w:val="00A11DC2"/>
    <w:rsid w:val="00A11DF5"/>
    <w:rsid w:val="00A11EAD"/>
    <w:rsid w:val="00A11F1A"/>
    <w:rsid w:val="00A11FFD"/>
    <w:rsid w:val="00A12031"/>
    <w:rsid w:val="00A120E1"/>
    <w:rsid w:val="00A12103"/>
    <w:rsid w:val="00A12139"/>
    <w:rsid w:val="00A12269"/>
    <w:rsid w:val="00A12476"/>
    <w:rsid w:val="00A124B1"/>
    <w:rsid w:val="00A12599"/>
    <w:rsid w:val="00A12775"/>
    <w:rsid w:val="00A12ABC"/>
    <w:rsid w:val="00A12C47"/>
    <w:rsid w:val="00A12CBF"/>
    <w:rsid w:val="00A12D14"/>
    <w:rsid w:val="00A12DD9"/>
    <w:rsid w:val="00A12E80"/>
    <w:rsid w:val="00A12F28"/>
    <w:rsid w:val="00A12F39"/>
    <w:rsid w:val="00A12F47"/>
    <w:rsid w:val="00A13250"/>
    <w:rsid w:val="00A13442"/>
    <w:rsid w:val="00A1347D"/>
    <w:rsid w:val="00A134F3"/>
    <w:rsid w:val="00A1364D"/>
    <w:rsid w:val="00A13920"/>
    <w:rsid w:val="00A13CE9"/>
    <w:rsid w:val="00A13DC5"/>
    <w:rsid w:val="00A13F1C"/>
    <w:rsid w:val="00A13F1F"/>
    <w:rsid w:val="00A13F51"/>
    <w:rsid w:val="00A13FC1"/>
    <w:rsid w:val="00A13FC6"/>
    <w:rsid w:val="00A1409D"/>
    <w:rsid w:val="00A14173"/>
    <w:rsid w:val="00A141AB"/>
    <w:rsid w:val="00A14265"/>
    <w:rsid w:val="00A142AB"/>
    <w:rsid w:val="00A1434A"/>
    <w:rsid w:val="00A143B4"/>
    <w:rsid w:val="00A14452"/>
    <w:rsid w:val="00A14480"/>
    <w:rsid w:val="00A144A4"/>
    <w:rsid w:val="00A144D3"/>
    <w:rsid w:val="00A14509"/>
    <w:rsid w:val="00A146A7"/>
    <w:rsid w:val="00A146EB"/>
    <w:rsid w:val="00A14783"/>
    <w:rsid w:val="00A14880"/>
    <w:rsid w:val="00A14C6E"/>
    <w:rsid w:val="00A14C93"/>
    <w:rsid w:val="00A14D23"/>
    <w:rsid w:val="00A14D3D"/>
    <w:rsid w:val="00A14D6A"/>
    <w:rsid w:val="00A14EA5"/>
    <w:rsid w:val="00A14F69"/>
    <w:rsid w:val="00A14F7D"/>
    <w:rsid w:val="00A15065"/>
    <w:rsid w:val="00A1509A"/>
    <w:rsid w:val="00A15312"/>
    <w:rsid w:val="00A15383"/>
    <w:rsid w:val="00A1540C"/>
    <w:rsid w:val="00A15452"/>
    <w:rsid w:val="00A154AC"/>
    <w:rsid w:val="00A158E5"/>
    <w:rsid w:val="00A159A4"/>
    <w:rsid w:val="00A159AC"/>
    <w:rsid w:val="00A15A05"/>
    <w:rsid w:val="00A15C6A"/>
    <w:rsid w:val="00A15C82"/>
    <w:rsid w:val="00A15D4C"/>
    <w:rsid w:val="00A15DBA"/>
    <w:rsid w:val="00A15E80"/>
    <w:rsid w:val="00A15EA4"/>
    <w:rsid w:val="00A15FFB"/>
    <w:rsid w:val="00A1603B"/>
    <w:rsid w:val="00A16116"/>
    <w:rsid w:val="00A1616A"/>
    <w:rsid w:val="00A163D1"/>
    <w:rsid w:val="00A16504"/>
    <w:rsid w:val="00A16579"/>
    <w:rsid w:val="00A16714"/>
    <w:rsid w:val="00A1672B"/>
    <w:rsid w:val="00A168B9"/>
    <w:rsid w:val="00A1691B"/>
    <w:rsid w:val="00A16B0F"/>
    <w:rsid w:val="00A16D12"/>
    <w:rsid w:val="00A16D95"/>
    <w:rsid w:val="00A16E63"/>
    <w:rsid w:val="00A16E7E"/>
    <w:rsid w:val="00A16EAF"/>
    <w:rsid w:val="00A17013"/>
    <w:rsid w:val="00A171A7"/>
    <w:rsid w:val="00A17563"/>
    <w:rsid w:val="00A17714"/>
    <w:rsid w:val="00A17756"/>
    <w:rsid w:val="00A177B7"/>
    <w:rsid w:val="00A1780D"/>
    <w:rsid w:val="00A1781B"/>
    <w:rsid w:val="00A1786C"/>
    <w:rsid w:val="00A17A20"/>
    <w:rsid w:val="00A17AF6"/>
    <w:rsid w:val="00A17C72"/>
    <w:rsid w:val="00A17DE0"/>
    <w:rsid w:val="00A200DA"/>
    <w:rsid w:val="00A200EC"/>
    <w:rsid w:val="00A2031C"/>
    <w:rsid w:val="00A2034A"/>
    <w:rsid w:val="00A20523"/>
    <w:rsid w:val="00A20584"/>
    <w:rsid w:val="00A20727"/>
    <w:rsid w:val="00A20780"/>
    <w:rsid w:val="00A2086E"/>
    <w:rsid w:val="00A20884"/>
    <w:rsid w:val="00A20898"/>
    <w:rsid w:val="00A208E7"/>
    <w:rsid w:val="00A209A3"/>
    <w:rsid w:val="00A209F4"/>
    <w:rsid w:val="00A20A88"/>
    <w:rsid w:val="00A20D45"/>
    <w:rsid w:val="00A20E68"/>
    <w:rsid w:val="00A20EEC"/>
    <w:rsid w:val="00A20F90"/>
    <w:rsid w:val="00A20FCF"/>
    <w:rsid w:val="00A21102"/>
    <w:rsid w:val="00A21217"/>
    <w:rsid w:val="00A213FE"/>
    <w:rsid w:val="00A2158D"/>
    <w:rsid w:val="00A215E9"/>
    <w:rsid w:val="00A2168A"/>
    <w:rsid w:val="00A216A1"/>
    <w:rsid w:val="00A21824"/>
    <w:rsid w:val="00A219EB"/>
    <w:rsid w:val="00A21AC3"/>
    <w:rsid w:val="00A21B6E"/>
    <w:rsid w:val="00A21C7F"/>
    <w:rsid w:val="00A21E20"/>
    <w:rsid w:val="00A21E78"/>
    <w:rsid w:val="00A21E84"/>
    <w:rsid w:val="00A22022"/>
    <w:rsid w:val="00A2219C"/>
    <w:rsid w:val="00A22498"/>
    <w:rsid w:val="00A225A5"/>
    <w:rsid w:val="00A226A4"/>
    <w:rsid w:val="00A22743"/>
    <w:rsid w:val="00A228EF"/>
    <w:rsid w:val="00A229BF"/>
    <w:rsid w:val="00A22EF1"/>
    <w:rsid w:val="00A2328D"/>
    <w:rsid w:val="00A23304"/>
    <w:rsid w:val="00A23326"/>
    <w:rsid w:val="00A23444"/>
    <w:rsid w:val="00A234F8"/>
    <w:rsid w:val="00A236A8"/>
    <w:rsid w:val="00A237CA"/>
    <w:rsid w:val="00A237CB"/>
    <w:rsid w:val="00A2381C"/>
    <w:rsid w:val="00A2399A"/>
    <w:rsid w:val="00A24068"/>
    <w:rsid w:val="00A24180"/>
    <w:rsid w:val="00A245AE"/>
    <w:rsid w:val="00A245EE"/>
    <w:rsid w:val="00A24711"/>
    <w:rsid w:val="00A249B7"/>
    <w:rsid w:val="00A24A5E"/>
    <w:rsid w:val="00A24C67"/>
    <w:rsid w:val="00A24E14"/>
    <w:rsid w:val="00A24EE6"/>
    <w:rsid w:val="00A251D0"/>
    <w:rsid w:val="00A25324"/>
    <w:rsid w:val="00A25359"/>
    <w:rsid w:val="00A2542A"/>
    <w:rsid w:val="00A2550B"/>
    <w:rsid w:val="00A2550C"/>
    <w:rsid w:val="00A255BD"/>
    <w:rsid w:val="00A25714"/>
    <w:rsid w:val="00A2591C"/>
    <w:rsid w:val="00A25C49"/>
    <w:rsid w:val="00A25D32"/>
    <w:rsid w:val="00A25DE8"/>
    <w:rsid w:val="00A25F55"/>
    <w:rsid w:val="00A25F7E"/>
    <w:rsid w:val="00A261AC"/>
    <w:rsid w:val="00A26261"/>
    <w:rsid w:val="00A26315"/>
    <w:rsid w:val="00A26630"/>
    <w:rsid w:val="00A26707"/>
    <w:rsid w:val="00A26776"/>
    <w:rsid w:val="00A269FE"/>
    <w:rsid w:val="00A26AB2"/>
    <w:rsid w:val="00A26B0C"/>
    <w:rsid w:val="00A26C21"/>
    <w:rsid w:val="00A26DBA"/>
    <w:rsid w:val="00A26DE3"/>
    <w:rsid w:val="00A26E48"/>
    <w:rsid w:val="00A26E72"/>
    <w:rsid w:val="00A26EF0"/>
    <w:rsid w:val="00A26FFA"/>
    <w:rsid w:val="00A2706E"/>
    <w:rsid w:val="00A2711A"/>
    <w:rsid w:val="00A271D2"/>
    <w:rsid w:val="00A2723D"/>
    <w:rsid w:val="00A272A2"/>
    <w:rsid w:val="00A274B6"/>
    <w:rsid w:val="00A27544"/>
    <w:rsid w:val="00A27559"/>
    <w:rsid w:val="00A2759C"/>
    <w:rsid w:val="00A276AC"/>
    <w:rsid w:val="00A278C7"/>
    <w:rsid w:val="00A278FE"/>
    <w:rsid w:val="00A27949"/>
    <w:rsid w:val="00A279F1"/>
    <w:rsid w:val="00A27AFA"/>
    <w:rsid w:val="00A27B38"/>
    <w:rsid w:val="00A27BE1"/>
    <w:rsid w:val="00A27BF9"/>
    <w:rsid w:val="00A27CDE"/>
    <w:rsid w:val="00A27EA4"/>
    <w:rsid w:val="00A27EB3"/>
    <w:rsid w:val="00A3006C"/>
    <w:rsid w:val="00A3017F"/>
    <w:rsid w:val="00A30223"/>
    <w:rsid w:val="00A3029D"/>
    <w:rsid w:val="00A302B0"/>
    <w:rsid w:val="00A30366"/>
    <w:rsid w:val="00A3072E"/>
    <w:rsid w:val="00A3073D"/>
    <w:rsid w:val="00A307FA"/>
    <w:rsid w:val="00A3088A"/>
    <w:rsid w:val="00A3092F"/>
    <w:rsid w:val="00A30958"/>
    <w:rsid w:val="00A309D2"/>
    <w:rsid w:val="00A30A9C"/>
    <w:rsid w:val="00A30B8E"/>
    <w:rsid w:val="00A30B9F"/>
    <w:rsid w:val="00A30C4B"/>
    <w:rsid w:val="00A30ECE"/>
    <w:rsid w:val="00A30F09"/>
    <w:rsid w:val="00A3109B"/>
    <w:rsid w:val="00A31157"/>
    <w:rsid w:val="00A3124D"/>
    <w:rsid w:val="00A31363"/>
    <w:rsid w:val="00A31509"/>
    <w:rsid w:val="00A31568"/>
    <w:rsid w:val="00A31642"/>
    <w:rsid w:val="00A31764"/>
    <w:rsid w:val="00A31788"/>
    <w:rsid w:val="00A3180A"/>
    <w:rsid w:val="00A3194E"/>
    <w:rsid w:val="00A31A20"/>
    <w:rsid w:val="00A31C86"/>
    <w:rsid w:val="00A31F1A"/>
    <w:rsid w:val="00A32158"/>
    <w:rsid w:val="00A32197"/>
    <w:rsid w:val="00A32229"/>
    <w:rsid w:val="00A3244A"/>
    <w:rsid w:val="00A324DC"/>
    <w:rsid w:val="00A326C3"/>
    <w:rsid w:val="00A326DA"/>
    <w:rsid w:val="00A3271D"/>
    <w:rsid w:val="00A327E9"/>
    <w:rsid w:val="00A328FF"/>
    <w:rsid w:val="00A32B3D"/>
    <w:rsid w:val="00A32E4A"/>
    <w:rsid w:val="00A32F67"/>
    <w:rsid w:val="00A332BC"/>
    <w:rsid w:val="00A332C7"/>
    <w:rsid w:val="00A333CF"/>
    <w:rsid w:val="00A33651"/>
    <w:rsid w:val="00A33659"/>
    <w:rsid w:val="00A336DB"/>
    <w:rsid w:val="00A337CD"/>
    <w:rsid w:val="00A33899"/>
    <w:rsid w:val="00A33AD3"/>
    <w:rsid w:val="00A33BDC"/>
    <w:rsid w:val="00A33C6D"/>
    <w:rsid w:val="00A33C81"/>
    <w:rsid w:val="00A33C93"/>
    <w:rsid w:val="00A33D6E"/>
    <w:rsid w:val="00A33EFF"/>
    <w:rsid w:val="00A341FA"/>
    <w:rsid w:val="00A3446F"/>
    <w:rsid w:val="00A344FF"/>
    <w:rsid w:val="00A34500"/>
    <w:rsid w:val="00A346A9"/>
    <w:rsid w:val="00A346EE"/>
    <w:rsid w:val="00A3476F"/>
    <w:rsid w:val="00A349CB"/>
    <w:rsid w:val="00A34A66"/>
    <w:rsid w:val="00A34ADA"/>
    <w:rsid w:val="00A34B9B"/>
    <w:rsid w:val="00A34BE4"/>
    <w:rsid w:val="00A34C90"/>
    <w:rsid w:val="00A34D36"/>
    <w:rsid w:val="00A34DB1"/>
    <w:rsid w:val="00A34DFC"/>
    <w:rsid w:val="00A34EEA"/>
    <w:rsid w:val="00A34EF1"/>
    <w:rsid w:val="00A35083"/>
    <w:rsid w:val="00A350E1"/>
    <w:rsid w:val="00A355A3"/>
    <w:rsid w:val="00A35876"/>
    <w:rsid w:val="00A35896"/>
    <w:rsid w:val="00A358A9"/>
    <w:rsid w:val="00A35A1F"/>
    <w:rsid w:val="00A35A35"/>
    <w:rsid w:val="00A35BDA"/>
    <w:rsid w:val="00A360B7"/>
    <w:rsid w:val="00A3623F"/>
    <w:rsid w:val="00A362AA"/>
    <w:rsid w:val="00A36588"/>
    <w:rsid w:val="00A36774"/>
    <w:rsid w:val="00A367E4"/>
    <w:rsid w:val="00A36913"/>
    <w:rsid w:val="00A36985"/>
    <w:rsid w:val="00A36C3E"/>
    <w:rsid w:val="00A36C9A"/>
    <w:rsid w:val="00A36DFE"/>
    <w:rsid w:val="00A36E33"/>
    <w:rsid w:val="00A36E87"/>
    <w:rsid w:val="00A36E93"/>
    <w:rsid w:val="00A36F1F"/>
    <w:rsid w:val="00A37012"/>
    <w:rsid w:val="00A3720D"/>
    <w:rsid w:val="00A372CB"/>
    <w:rsid w:val="00A372CD"/>
    <w:rsid w:val="00A3733F"/>
    <w:rsid w:val="00A374EB"/>
    <w:rsid w:val="00A3753F"/>
    <w:rsid w:val="00A375A5"/>
    <w:rsid w:val="00A375BE"/>
    <w:rsid w:val="00A376E4"/>
    <w:rsid w:val="00A37708"/>
    <w:rsid w:val="00A37789"/>
    <w:rsid w:val="00A377D9"/>
    <w:rsid w:val="00A378C7"/>
    <w:rsid w:val="00A37A04"/>
    <w:rsid w:val="00A37A31"/>
    <w:rsid w:val="00A37ABB"/>
    <w:rsid w:val="00A37CDD"/>
    <w:rsid w:val="00A37D35"/>
    <w:rsid w:val="00A37E64"/>
    <w:rsid w:val="00A37F5F"/>
    <w:rsid w:val="00A40060"/>
    <w:rsid w:val="00A40075"/>
    <w:rsid w:val="00A400AF"/>
    <w:rsid w:val="00A40152"/>
    <w:rsid w:val="00A4050A"/>
    <w:rsid w:val="00A40521"/>
    <w:rsid w:val="00A40554"/>
    <w:rsid w:val="00A4089A"/>
    <w:rsid w:val="00A40A33"/>
    <w:rsid w:val="00A40A81"/>
    <w:rsid w:val="00A40B03"/>
    <w:rsid w:val="00A40BF1"/>
    <w:rsid w:val="00A40BF7"/>
    <w:rsid w:val="00A40CE1"/>
    <w:rsid w:val="00A40DF1"/>
    <w:rsid w:val="00A40E55"/>
    <w:rsid w:val="00A4104E"/>
    <w:rsid w:val="00A4105C"/>
    <w:rsid w:val="00A412EA"/>
    <w:rsid w:val="00A41490"/>
    <w:rsid w:val="00A415B7"/>
    <w:rsid w:val="00A4162C"/>
    <w:rsid w:val="00A417DC"/>
    <w:rsid w:val="00A4180C"/>
    <w:rsid w:val="00A41C82"/>
    <w:rsid w:val="00A41CAD"/>
    <w:rsid w:val="00A41D70"/>
    <w:rsid w:val="00A41EBE"/>
    <w:rsid w:val="00A41F28"/>
    <w:rsid w:val="00A41F5A"/>
    <w:rsid w:val="00A4214D"/>
    <w:rsid w:val="00A4216B"/>
    <w:rsid w:val="00A42246"/>
    <w:rsid w:val="00A42553"/>
    <w:rsid w:val="00A425D8"/>
    <w:rsid w:val="00A4280C"/>
    <w:rsid w:val="00A42CCE"/>
    <w:rsid w:val="00A42E1E"/>
    <w:rsid w:val="00A42E4F"/>
    <w:rsid w:val="00A430F7"/>
    <w:rsid w:val="00A431EB"/>
    <w:rsid w:val="00A4339C"/>
    <w:rsid w:val="00A43494"/>
    <w:rsid w:val="00A43658"/>
    <w:rsid w:val="00A43725"/>
    <w:rsid w:val="00A43760"/>
    <w:rsid w:val="00A43AEC"/>
    <w:rsid w:val="00A43B2D"/>
    <w:rsid w:val="00A43C49"/>
    <w:rsid w:val="00A43CD5"/>
    <w:rsid w:val="00A43DFE"/>
    <w:rsid w:val="00A43E78"/>
    <w:rsid w:val="00A43EDC"/>
    <w:rsid w:val="00A43F5A"/>
    <w:rsid w:val="00A4444A"/>
    <w:rsid w:val="00A444D6"/>
    <w:rsid w:val="00A444D7"/>
    <w:rsid w:val="00A44600"/>
    <w:rsid w:val="00A447C7"/>
    <w:rsid w:val="00A448D6"/>
    <w:rsid w:val="00A44A3B"/>
    <w:rsid w:val="00A44C6C"/>
    <w:rsid w:val="00A44C9E"/>
    <w:rsid w:val="00A44D42"/>
    <w:rsid w:val="00A44D66"/>
    <w:rsid w:val="00A44E61"/>
    <w:rsid w:val="00A44E70"/>
    <w:rsid w:val="00A44EF9"/>
    <w:rsid w:val="00A450B1"/>
    <w:rsid w:val="00A451CA"/>
    <w:rsid w:val="00A45234"/>
    <w:rsid w:val="00A45312"/>
    <w:rsid w:val="00A453F7"/>
    <w:rsid w:val="00A4571F"/>
    <w:rsid w:val="00A4580A"/>
    <w:rsid w:val="00A458D3"/>
    <w:rsid w:val="00A4598A"/>
    <w:rsid w:val="00A45B65"/>
    <w:rsid w:val="00A45BFD"/>
    <w:rsid w:val="00A45CDF"/>
    <w:rsid w:val="00A45D13"/>
    <w:rsid w:val="00A45D31"/>
    <w:rsid w:val="00A45D8F"/>
    <w:rsid w:val="00A46113"/>
    <w:rsid w:val="00A4625F"/>
    <w:rsid w:val="00A462A7"/>
    <w:rsid w:val="00A46461"/>
    <w:rsid w:val="00A464B9"/>
    <w:rsid w:val="00A464DA"/>
    <w:rsid w:val="00A4660F"/>
    <w:rsid w:val="00A46679"/>
    <w:rsid w:val="00A466D6"/>
    <w:rsid w:val="00A46878"/>
    <w:rsid w:val="00A468D6"/>
    <w:rsid w:val="00A4698D"/>
    <w:rsid w:val="00A46C9F"/>
    <w:rsid w:val="00A46CEB"/>
    <w:rsid w:val="00A46D03"/>
    <w:rsid w:val="00A46E63"/>
    <w:rsid w:val="00A46FE8"/>
    <w:rsid w:val="00A470D0"/>
    <w:rsid w:val="00A4725B"/>
    <w:rsid w:val="00A472C7"/>
    <w:rsid w:val="00A472D5"/>
    <w:rsid w:val="00A4732B"/>
    <w:rsid w:val="00A4756A"/>
    <w:rsid w:val="00A476EF"/>
    <w:rsid w:val="00A47807"/>
    <w:rsid w:val="00A47840"/>
    <w:rsid w:val="00A4786E"/>
    <w:rsid w:val="00A478B1"/>
    <w:rsid w:val="00A479CD"/>
    <w:rsid w:val="00A47D09"/>
    <w:rsid w:val="00A47E1A"/>
    <w:rsid w:val="00A47E73"/>
    <w:rsid w:val="00A47EDD"/>
    <w:rsid w:val="00A47F7E"/>
    <w:rsid w:val="00A50011"/>
    <w:rsid w:val="00A5003B"/>
    <w:rsid w:val="00A50156"/>
    <w:rsid w:val="00A50242"/>
    <w:rsid w:val="00A50411"/>
    <w:rsid w:val="00A50440"/>
    <w:rsid w:val="00A50631"/>
    <w:rsid w:val="00A506C1"/>
    <w:rsid w:val="00A506D2"/>
    <w:rsid w:val="00A50743"/>
    <w:rsid w:val="00A507F3"/>
    <w:rsid w:val="00A509B2"/>
    <w:rsid w:val="00A50B68"/>
    <w:rsid w:val="00A50B93"/>
    <w:rsid w:val="00A50DDD"/>
    <w:rsid w:val="00A50F65"/>
    <w:rsid w:val="00A50FE3"/>
    <w:rsid w:val="00A51075"/>
    <w:rsid w:val="00A5112D"/>
    <w:rsid w:val="00A51141"/>
    <w:rsid w:val="00A51220"/>
    <w:rsid w:val="00A51277"/>
    <w:rsid w:val="00A5157A"/>
    <w:rsid w:val="00A5179F"/>
    <w:rsid w:val="00A517BA"/>
    <w:rsid w:val="00A5185F"/>
    <w:rsid w:val="00A5193E"/>
    <w:rsid w:val="00A51B1D"/>
    <w:rsid w:val="00A51BAD"/>
    <w:rsid w:val="00A51CCE"/>
    <w:rsid w:val="00A51D1E"/>
    <w:rsid w:val="00A51D31"/>
    <w:rsid w:val="00A51D76"/>
    <w:rsid w:val="00A51DFA"/>
    <w:rsid w:val="00A51E71"/>
    <w:rsid w:val="00A51F12"/>
    <w:rsid w:val="00A51FB4"/>
    <w:rsid w:val="00A52012"/>
    <w:rsid w:val="00A52236"/>
    <w:rsid w:val="00A52238"/>
    <w:rsid w:val="00A5244B"/>
    <w:rsid w:val="00A52536"/>
    <w:rsid w:val="00A5268E"/>
    <w:rsid w:val="00A5269B"/>
    <w:rsid w:val="00A52742"/>
    <w:rsid w:val="00A52805"/>
    <w:rsid w:val="00A52810"/>
    <w:rsid w:val="00A529F4"/>
    <w:rsid w:val="00A52B9E"/>
    <w:rsid w:val="00A52D96"/>
    <w:rsid w:val="00A52E49"/>
    <w:rsid w:val="00A52FF6"/>
    <w:rsid w:val="00A5308C"/>
    <w:rsid w:val="00A53095"/>
    <w:rsid w:val="00A530D1"/>
    <w:rsid w:val="00A53155"/>
    <w:rsid w:val="00A532E9"/>
    <w:rsid w:val="00A53395"/>
    <w:rsid w:val="00A533A8"/>
    <w:rsid w:val="00A53406"/>
    <w:rsid w:val="00A53572"/>
    <w:rsid w:val="00A536AF"/>
    <w:rsid w:val="00A536C3"/>
    <w:rsid w:val="00A536F2"/>
    <w:rsid w:val="00A537F8"/>
    <w:rsid w:val="00A53808"/>
    <w:rsid w:val="00A5397B"/>
    <w:rsid w:val="00A53A5E"/>
    <w:rsid w:val="00A53D34"/>
    <w:rsid w:val="00A54072"/>
    <w:rsid w:val="00A5436A"/>
    <w:rsid w:val="00A54457"/>
    <w:rsid w:val="00A544F7"/>
    <w:rsid w:val="00A545F1"/>
    <w:rsid w:val="00A54733"/>
    <w:rsid w:val="00A5483C"/>
    <w:rsid w:val="00A5484D"/>
    <w:rsid w:val="00A54A1D"/>
    <w:rsid w:val="00A54C8A"/>
    <w:rsid w:val="00A54CB8"/>
    <w:rsid w:val="00A54CE4"/>
    <w:rsid w:val="00A54CFB"/>
    <w:rsid w:val="00A54D10"/>
    <w:rsid w:val="00A54EC6"/>
    <w:rsid w:val="00A54F17"/>
    <w:rsid w:val="00A54F4F"/>
    <w:rsid w:val="00A55046"/>
    <w:rsid w:val="00A552AA"/>
    <w:rsid w:val="00A552DC"/>
    <w:rsid w:val="00A552EE"/>
    <w:rsid w:val="00A55333"/>
    <w:rsid w:val="00A553CE"/>
    <w:rsid w:val="00A554BB"/>
    <w:rsid w:val="00A555B9"/>
    <w:rsid w:val="00A5562D"/>
    <w:rsid w:val="00A55B8A"/>
    <w:rsid w:val="00A55C85"/>
    <w:rsid w:val="00A55E02"/>
    <w:rsid w:val="00A55E88"/>
    <w:rsid w:val="00A55ECF"/>
    <w:rsid w:val="00A55F95"/>
    <w:rsid w:val="00A55FED"/>
    <w:rsid w:val="00A560BB"/>
    <w:rsid w:val="00A560D6"/>
    <w:rsid w:val="00A5635D"/>
    <w:rsid w:val="00A56372"/>
    <w:rsid w:val="00A5643F"/>
    <w:rsid w:val="00A564FE"/>
    <w:rsid w:val="00A56729"/>
    <w:rsid w:val="00A567CC"/>
    <w:rsid w:val="00A56950"/>
    <w:rsid w:val="00A56972"/>
    <w:rsid w:val="00A56A17"/>
    <w:rsid w:val="00A56ABF"/>
    <w:rsid w:val="00A56ADF"/>
    <w:rsid w:val="00A56AE1"/>
    <w:rsid w:val="00A56C21"/>
    <w:rsid w:val="00A56D4C"/>
    <w:rsid w:val="00A56D66"/>
    <w:rsid w:val="00A56F13"/>
    <w:rsid w:val="00A56FFA"/>
    <w:rsid w:val="00A57067"/>
    <w:rsid w:val="00A57137"/>
    <w:rsid w:val="00A5717F"/>
    <w:rsid w:val="00A57221"/>
    <w:rsid w:val="00A5725C"/>
    <w:rsid w:val="00A5732D"/>
    <w:rsid w:val="00A5743E"/>
    <w:rsid w:val="00A574D7"/>
    <w:rsid w:val="00A574F7"/>
    <w:rsid w:val="00A57648"/>
    <w:rsid w:val="00A57B8F"/>
    <w:rsid w:val="00A57C15"/>
    <w:rsid w:val="00A57C42"/>
    <w:rsid w:val="00A57DE2"/>
    <w:rsid w:val="00A57DE4"/>
    <w:rsid w:val="00A600ED"/>
    <w:rsid w:val="00A6027F"/>
    <w:rsid w:val="00A603E2"/>
    <w:rsid w:val="00A60614"/>
    <w:rsid w:val="00A606B1"/>
    <w:rsid w:val="00A606F1"/>
    <w:rsid w:val="00A60741"/>
    <w:rsid w:val="00A6075C"/>
    <w:rsid w:val="00A609D7"/>
    <w:rsid w:val="00A60AE4"/>
    <w:rsid w:val="00A60B25"/>
    <w:rsid w:val="00A60CC2"/>
    <w:rsid w:val="00A60EDA"/>
    <w:rsid w:val="00A60F50"/>
    <w:rsid w:val="00A61087"/>
    <w:rsid w:val="00A612A5"/>
    <w:rsid w:val="00A61403"/>
    <w:rsid w:val="00A614EF"/>
    <w:rsid w:val="00A615B0"/>
    <w:rsid w:val="00A616EA"/>
    <w:rsid w:val="00A61713"/>
    <w:rsid w:val="00A617B2"/>
    <w:rsid w:val="00A61804"/>
    <w:rsid w:val="00A61825"/>
    <w:rsid w:val="00A6190C"/>
    <w:rsid w:val="00A61A6F"/>
    <w:rsid w:val="00A61D04"/>
    <w:rsid w:val="00A61DAC"/>
    <w:rsid w:val="00A61F23"/>
    <w:rsid w:val="00A61F48"/>
    <w:rsid w:val="00A62111"/>
    <w:rsid w:val="00A6216A"/>
    <w:rsid w:val="00A62175"/>
    <w:rsid w:val="00A6234E"/>
    <w:rsid w:val="00A625FD"/>
    <w:rsid w:val="00A6266F"/>
    <w:rsid w:val="00A629A2"/>
    <w:rsid w:val="00A62B0A"/>
    <w:rsid w:val="00A62D2C"/>
    <w:rsid w:val="00A62DC9"/>
    <w:rsid w:val="00A62E10"/>
    <w:rsid w:val="00A62E20"/>
    <w:rsid w:val="00A62F8C"/>
    <w:rsid w:val="00A6312F"/>
    <w:rsid w:val="00A63235"/>
    <w:rsid w:val="00A63289"/>
    <w:rsid w:val="00A632F8"/>
    <w:rsid w:val="00A63623"/>
    <w:rsid w:val="00A636CD"/>
    <w:rsid w:val="00A63726"/>
    <w:rsid w:val="00A637D8"/>
    <w:rsid w:val="00A638AE"/>
    <w:rsid w:val="00A639B6"/>
    <w:rsid w:val="00A639CD"/>
    <w:rsid w:val="00A63A1C"/>
    <w:rsid w:val="00A640F3"/>
    <w:rsid w:val="00A6411F"/>
    <w:rsid w:val="00A641D3"/>
    <w:rsid w:val="00A641E3"/>
    <w:rsid w:val="00A64236"/>
    <w:rsid w:val="00A6430D"/>
    <w:rsid w:val="00A6435D"/>
    <w:rsid w:val="00A64460"/>
    <w:rsid w:val="00A644A2"/>
    <w:rsid w:val="00A6463C"/>
    <w:rsid w:val="00A646E5"/>
    <w:rsid w:val="00A646F9"/>
    <w:rsid w:val="00A6487E"/>
    <w:rsid w:val="00A648BB"/>
    <w:rsid w:val="00A64932"/>
    <w:rsid w:val="00A649F2"/>
    <w:rsid w:val="00A64A5E"/>
    <w:rsid w:val="00A64AB3"/>
    <w:rsid w:val="00A64BD2"/>
    <w:rsid w:val="00A64C7A"/>
    <w:rsid w:val="00A65017"/>
    <w:rsid w:val="00A653AD"/>
    <w:rsid w:val="00A653D0"/>
    <w:rsid w:val="00A6552D"/>
    <w:rsid w:val="00A65591"/>
    <w:rsid w:val="00A655E0"/>
    <w:rsid w:val="00A6560E"/>
    <w:rsid w:val="00A6560F"/>
    <w:rsid w:val="00A65621"/>
    <w:rsid w:val="00A65742"/>
    <w:rsid w:val="00A657C2"/>
    <w:rsid w:val="00A65800"/>
    <w:rsid w:val="00A65B3C"/>
    <w:rsid w:val="00A65B51"/>
    <w:rsid w:val="00A65B61"/>
    <w:rsid w:val="00A65D2D"/>
    <w:rsid w:val="00A65D55"/>
    <w:rsid w:val="00A65E33"/>
    <w:rsid w:val="00A65F83"/>
    <w:rsid w:val="00A65FB5"/>
    <w:rsid w:val="00A6610D"/>
    <w:rsid w:val="00A66194"/>
    <w:rsid w:val="00A661D0"/>
    <w:rsid w:val="00A6620C"/>
    <w:rsid w:val="00A66408"/>
    <w:rsid w:val="00A6640E"/>
    <w:rsid w:val="00A665C3"/>
    <w:rsid w:val="00A6670C"/>
    <w:rsid w:val="00A66A0F"/>
    <w:rsid w:val="00A66A7F"/>
    <w:rsid w:val="00A66B6A"/>
    <w:rsid w:val="00A66BB3"/>
    <w:rsid w:val="00A66C93"/>
    <w:rsid w:val="00A66ECA"/>
    <w:rsid w:val="00A6748A"/>
    <w:rsid w:val="00A67529"/>
    <w:rsid w:val="00A6758E"/>
    <w:rsid w:val="00A6777F"/>
    <w:rsid w:val="00A6785D"/>
    <w:rsid w:val="00A67914"/>
    <w:rsid w:val="00A67A37"/>
    <w:rsid w:val="00A67BDF"/>
    <w:rsid w:val="00A67C42"/>
    <w:rsid w:val="00A67C86"/>
    <w:rsid w:val="00A67C9F"/>
    <w:rsid w:val="00A67F14"/>
    <w:rsid w:val="00A67F7C"/>
    <w:rsid w:val="00A70023"/>
    <w:rsid w:val="00A7031F"/>
    <w:rsid w:val="00A70395"/>
    <w:rsid w:val="00A703CF"/>
    <w:rsid w:val="00A7043F"/>
    <w:rsid w:val="00A704E3"/>
    <w:rsid w:val="00A704EA"/>
    <w:rsid w:val="00A7055F"/>
    <w:rsid w:val="00A7060B"/>
    <w:rsid w:val="00A707B1"/>
    <w:rsid w:val="00A707BA"/>
    <w:rsid w:val="00A707DF"/>
    <w:rsid w:val="00A709A3"/>
    <w:rsid w:val="00A709BB"/>
    <w:rsid w:val="00A70A55"/>
    <w:rsid w:val="00A70AB2"/>
    <w:rsid w:val="00A70B19"/>
    <w:rsid w:val="00A70C4D"/>
    <w:rsid w:val="00A70D71"/>
    <w:rsid w:val="00A70F8E"/>
    <w:rsid w:val="00A71001"/>
    <w:rsid w:val="00A71110"/>
    <w:rsid w:val="00A71177"/>
    <w:rsid w:val="00A7119C"/>
    <w:rsid w:val="00A7120E"/>
    <w:rsid w:val="00A71254"/>
    <w:rsid w:val="00A71257"/>
    <w:rsid w:val="00A71459"/>
    <w:rsid w:val="00A716EB"/>
    <w:rsid w:val="00A717B8"/>
    <w:rsid w:val="00A717F7"/>
    <w:rsid w:val="00A718FB"/>
    <w:rsid w:val="00A71A3D"/>
    <w:rsid w:val="00A71A4F"/>
    <w:rsid w:val="00A71B0C"/>
    <w:rsid w:val="00A71B98"/>
    <w:rsid w:val="00A71C7E"/>
    <w:rsid w:val="00A71DBA"/>
    <w:rsid w:val="00A71DCD"/>
    <w:rsid w:val="00A71E1B"/>
    <w:rsid w:val="00A71E41"/>
    <w:rsid w:val="00A71FB4"/>
    <w:rsid w:val="00A72001"/>
    <w:rsid w:val="00A72029"/>
    <w:rsid w:val="00A720FC"/>
    <w:rsid w:val="00A7213D"/>
    <w:rsid w:val="00A721F5"/>
    <w:rsid w:val="00A725C6"/>
    <w:rsid w:val="00A72635"/>
    <w:rsid w:val="00A72677"/>
    <w:rsid w:val="00A726B0"/>
    <w:rsid w:val="00A726C4"/>
    <w:rsid w:val="00A7276C"/>
    <w:rsid w:val="00A727E2"/>
    <w:rsid w:val="00A728A1"/>
    <w:rsid w:val="00A72AD3"/>
    <w:rsid w:val="00A72B21"/>
    <w:rsid w:val="00A72B9C"/>
    <w:rsid w:val="00A72BCE"/>
    <w:rsid w:val="00A72E7C"/>
    <w:rsid w:val="00A72F00"/>
    <w:rsid w:val="00A7305C"/>
    <w:rsid w:val="00A731B8"/>
    <w:rsid w:val="00A73404"/>
    <w:rsid w:val="00A7366F"/>
    <w:rsid w:val="00A7367C"/>
    <w:rsid w:val="00A7376D"/>
    <w:rsid w:val="00A739B5"/>
    <w:rsid w:val="00A73C8C"/>
    <w:rsid w:val="00A73D08"/>
    <w:rsid w:val="00A73D14"/>
    <w:rsid w:val="00A73DB2"/>
    <w:rsid w:val="00A73EB9"/>
    <w:rsid w:val="00A740A2"/>
    <w:rsid w:val="00A74208"/>
    <w:rsid w:val="00A74288"/>
    <w:rsid w:val="00A74421"/>
    <w:rsid w:val="00A74435"/>
    <w:rsid w:val="00A744AD"/>
    <w:rsid w:val="00A746A0"/>
    <w:rsid w:val="00A7488D"/>
    <w:rsid w:val="00A74A72"/>
    <w:rsid w:val="00A74B36"/>
    <w:rsid w:val="00A74BE5"/>
    <w:rsid w:val="00A74CEE"/>
    <w:rsid w:val="00A74E32"/>
    <w:rsid w:val="00A74E5D"/>
    <w:rsid w:val="00A74E8C"/>
    <w:rsid w:val="00A74F43"/>
    <w:rsid w:val="00A74FCB"/>
    <w:rsid w:val="00A7502B"/>
    <w:rsid w:val="00A750B2"/>
    <w:rsid w:val="00A75135"/>
    <w:rsid w:val="00A7513E"/>
    <w:rsid w:val="00A752B0"/>
    <w:rsid w:val="00A7533D"/>
    <w:rsid w:val="00A753D2"/>
    <w:rsid w:val="00A7543F"/>
    <w:rsid w:val="00A756EC"/>
    <w:rsid w:val="00A756F2"/>
    <w:rsid w:val="00A7578F"/>
    <w:rsid w:val="00A75802"/>
    <w:rsid w:val="00A75ADF"/>
    <w:rsid w:val="00A75BE0"/>
    <w:rsid w:val="00A75D48"/>
    <w:rsid w:val="00A7600C"/>
    <w:rsid w:val="00A7602B"/>
    <w:rsid w:val="00A760F3"/>
    <w:rsid w:val="00A763CC"/>
    <w:rsid w:val="00A76493"/>
    <w:rsid w:val="00A764C6"/>
    <w:rsid w:val="00A76739"/>
    <w:rsid w:val="00A76787"/>
    <w:rsid w:val="00A76857"/>
    <w:rsid w:val="00A768B7"/>
    <w:rsid w:val="00A76A2A"/>
    <w:rsid w:val="00A76B13"/>
    <w:rsid w:val="00A76C6D"/>
    <w:rsid w:val="00A76FB5"/>
    <w:rsid w:val="00A7712E"/>
    <w:rsid w:val="00A771DC"/>
    <w:rsid w:val="00A7721B"/>
    <w:rsid w:val="00A772F9"/>
    <w:rsid w:val="00A7731B"/>
    <w:rsid w:val="00A775CB"/>
    <w:rsid w:val="00A775D6"/>
    <w:rsid w:val="00A7769C"/>
    <w:rsid w:val="00A77729"/>
    <w:rsid w:val="00A77771"/>
    <w:rsid w:val="00A778A5"/>
    <w:rsid w:val="00A779A5"/>
    <w:rsid w:val="00A77A03"/>
    <w:rsid w:val="00A77A1E"/>
    <w:rsid w:val="00A77A47"/>
    <w:rsid w:val="00A77B16"/>
    <w:rsid w:val="00A77BA9"/>
    <w:rsid w:val="00A77EFB"/>
    <w:rsid w:val="00A77F3A"/>
    <w:rsid w:val="00A77F7B"/>
    <w:rsid w:val="00A800FB"/>
    <w:rsid w:val="00A80222"/>
    <w:rsid w:val="00A8033F"/>
    <w:rsid w:val="00A80373"/>
    <w:rsid w:val="00A8039C"/>
    <w:rsid w:val="00A805EF"/>
    <w:rsid w:val="00A80764"/>
    <w:rsid w:val="00A80877"/>
    <w:rsid w:val="00A808E4"/>
    <w:rsid w:val="00A80B36"/>
    <w:rsid w:val="00A80D0B"/>
    <w:rsid w:val="00A80D22"/>
    <w:rsid w:val="00A80EDA"/>
    <w:rsid w:val="00A80EF8"/>
    <w:rsid w:val="00A80F3A"/>
    <w:rsid w:val="00A81149"/>
    <w:rsid w:val="00A81206"/>
    <w:rsid w:val="00A81224"/>
    <w:rsid w:val="00A8123B"/>
    <w:rsid w:val="00A8124A"/>
    <w:rsid w:val="00A812E2"/>
    <w:rsid w:val="00A81638"/>
    <w:rsid w:val="00A8174A"/>
    <w:rsid w:val="00A81DB7"/>
    <w:rsid w:val="00A81E78"/>
    <w:rsid w:val="00A81FEF"/>
    <w:rsid w:val="00A8214B"/>
    <w:rsid w:val="00A82204"/>
    <w:rsid w:val="00A82324"/>
    <w:rsid w:val="00A823C2"/>
    <w:rsid w:val="00A82400"/>
    <w:rsid w:val="00A8248A"/>
    <w:rsid w:val="00A8269F"/>
    <w:rsid w:val="00A82740"/>
    <w:rsid w:val="00A8278B"/>
    <w:rsid w:val="00A82B3B"/>
    <w:rsid w:val="00A82C66"/>
    <w:rsid w:val="00A82D8E"/>
    <w:rsid w:val="00A82DE2"/>
    <w:rsid w:val="00A82E98"/>
    <w:rsid w:val="00A82F7C"/>
    <w:rsid w:val="00A83005"/>
    <w:rsid w:val="00A83061"/>
    <w:rsid w:val="00A83248"/>
    <w:rsid w:val="00A83319"/>
    <w:rsid w:val="00A8347C"/>
    <w:rsid w:val="00A834B5"/>
    <w:rsid w:val="00A8358A"/>
    <w:rsid w:val="00A83799"/>
    <w:rsid w:val="00A837B9"/>
    <w:rsid w:val="00A83917"/>
    <w:rsid w:val="00A83A01"/>
    <w:rsid w:val="00A83B11"/>
    <w:rsid w:val="00A83B3D"/>
    <w:rsid w:val="00A83BE9"/>
    <w:rsid w:val="00A83C0E"/>
    <w:rsid w:val="00A83CEA"/>
    <w:rsid w:val="00A83DF3"/>
    <w:rsid w:val="00A83E86"/>
    <w:rsid w:val="00A83EE1"/>
    <w:rsid w:val="00A83F1B"/>
    <w:rsid w:val="00A83F44"/>
    <w:rsid w:val="00A83FE8"/>
    <w:rsid w:val="00A8407C"/>
    <w:rsid w:val="00A840A0"/>
    <w:rsid w:val="00A840AF"/>
    <w:rsid w:val="00A84192"/>
    <w:rsid w:val="00A8427E"/>
    <w:rsid w:val="00A842D3"/>
    <w:rsid w:val="00A8433E"/>
    <w:rsid w:val="00A84494"/>
    <w:rsid w:val="00A84591"/>
    <w:rsid w:val="00A846B8"/>
    <w:rsid w:val="00A8477B"/>
    <w:rsid w:val="00A847E9"/>
    <w:rsid w:val="00A848E3"/>
    <w:rsid w:val="00A8495F"/>
    <w:rsid w:val="00A849CC"/>
    <w:rsid w:val="00A84A52"/>
    <w:rsid w:val="00A84AFF"/>
    <w:rsid w:val="00A84B90"/>
    <w:rsid w:val="00A84DBC"/>
    <w:rsid w:val="00A84F79"/>
    <w:rsid w:val="00A84F9B"/>
    <w:rsid w:val="00A84FC4"/>
    <w:rsid w:val="00A84FEB"/>
    <w:rsid w:val="00A85139"/>
    <w:rsid w:val="00A85173"/>
    <w:rsid w:val="00A8550D"/>
    <w:rsid w:val="00A85558"/>
    <w:rsid w:val="00A8560B"/>
    <w:rsid w:val="00A858F4"/>
    <w:rsid w:val="00A858F9"/>
    <w:rsid w:val="00A85A4D"/>
    <w:rsid w:val="00A85C12"/>
    <w:rsid w:val="00A85CDF"/>
    <w:rsid w:val="00A85D3D"/>
    <w:rsid w:val="00A85DEA"/>
    <w:rsid w:val="00A85EE4"/>
    <w:rsid w:val="00A85F35"/>
    <w:rsid w:val="00A85F45"/>
    <w:rsid w:val="00A85F6C"/>
    <w:rsid w:val="00A861DF"/>
    <w:rsid w:val="00A8638E"/>
    <w:rsid w:val="00A8653D"/>
    <w:rsid w:val="00A86711"/>
    <w:rsid w:val="00A867AF"/>
    <w:rsid w:val="00A86865"/>
    <w:rsid w:val="00A8698E"/>
    <w:rsid w:val="00A86A84"/>
    <w:rsid w:val="00A86C43"/>
    <w:rsid w:val="00A86C87"/>
    <w:rsid w:val="00A86E50"/>
    <w:rsid w:val="00A86FEE"/>
    <w:rsid w:val="00A87072"/>
    <w:rsid w:val="00A87175"/>
    <w:rsid w:val="00A871A9"/>
    <w:rsid w:val="00A87204"/>
    <w:rsid w:val="00A8735B"/>
    <w:rsid w:val="00A87738"/>
    <w:rsid w:val="00A87AD2"/>
    <w:rsid w:val="00A87C7E"/>
    <w:rsid w:val="00A87D12"/>
    <w:rsid w:val="00A87D98"/>
    <w:rsid w:val="00A87EF8"/>
    <w:rsid w:val="00A90056"/>
    <w:rsid w:val="00A900AF"/>
    <w:rsid w:val="00A90220"/>
    <w:rsid w:val="00A9027B"/>
    <w:rsid w:val="00A902E9"/>
    <w:rsid w:val="00A9038B"/>
    <w:rsid w:val="00A9055B"/>
    <w:rsid w:val="00A906CA"/>
    <w:rsid w:val="00A907F4"/>
    <w:rsid w:val="00A90825"/>
    <w:rsid w:val="00A90877"/>
    <w:rsid w:val="00A90936"/>
    <w:rsid w:val="00A909BB"/>
    <w:rsid w:val="00A90BC6"/>
    <w:rsid w:val="00A90BCD"/>
    <w:rsid w:val="00A90E0E"/>
    <w:rsid w:val="00A90F15"/>
    <w:rsid w:val="00A90FF5"/>
    <w:rsid w:val="00A91127"/>
    <w:rsid w:val="00A9120C"/>
    <w:rsid w:val="00A91387"/>
    <w:rsid w:val="00A913CD"/>
    <w:rsid w:val="00A9145D"/>
    <w:rsid w:val="00A91462"/>
    <w:rsid w:val="00A91468"/>
    <w:rsid w:val="00A9154D"/>
    <w:rsid w:val="00A915D9"/>
    <w:rsid w:val="00A91837"/>
    <w:rsid w:val="00A9193A"/>
    <w:rsid w:val="00A91C03"/>
    <w:rsid w:val="00A91C59"/>
    <w:rsid w:val="00A91CE3"/>
    <w:rsid w:val="00A91E98"/>
    <w:rsid w:val="00A91FD5"/>
    <w:rsid w:val="00A92008"/>
    <w:rsid w:val="00A92139"/>
    <w:rsid w:val="00A923CC"/>
    <w:rsid w:val="00A92545"/>
    <w:rsid w:val="00A92577"/>
    <w:rsid w:val="00A92594"/>
    <w:rsid w:val="00A92764"/>
    <w:rsid w:val="00A927BD"/>
    <w:rsid w:val="00A92804"/>
    <w:rsid w:val="00A928B8"/>
    <w:rsid w:val="00A929D2"/>
    <w:rsid w:val="00A92AFA"/>
    <w:rsid w:val="00A92CCA"/>
    <w:rsid w:val="00A92D0E"/>
    <w:rsid w:val="00A92EB5"/>
    <w:rsid w:val="00A92F74"/>
    <w:rsid w:val="00A9313C"/>
    <w:rsid w:val="00A931D8"/>
    <w:rsid w:val="00A93239"/>
    <w:rsid w:val="00A9341E"/>
    <w:rsid w:val="00A934F4"/>
    <w:rsid w:val="00A93773"/>
    <w:rsid w:val="00A938B0"/>
    <w:rsid w:val="00A938C3"/>
    <w:rsid w:val="00A93939"/>
    <w:rsid w:val="00A93A20"/>
    <w:rsid w:val="00A93A21"/>
    <w:rsid w:val="00A93A39"/>
    <w:rsid w:val="00A93AC3"/>
    <w:rsid w:val="00A93CB4"/>
    <w:rsid w:val="00A93D25"/>
    <w:rsid w:val="00A93DA3"/>
    <w:rsid w:val="00A9420E"/>
    <w:rsid w:val="00A942AC"/>
    <w:rsid w:val="00A942CD"/>
    <w:rsid w:val="00A943CC"/>
    <w:rsid w:val="00A94479"/>
    <w:rsid w:val="00A945BC"/>
    <w:rsid w:val="00A945D4"/>
    <w:rsid w:val="00A9465D"/>
    <w:rsid w:val="00A9467C"/>
    <w:rsid w:val="00A946D6"/>
    <w:rsid w:val="00A9474B"/>
    <w:rsid w:val="00A94791"/>
    <w:rsid w:val="00A94BE3"/>
    <w:rsid w:val="00A94E61"/>
    <w:rsid w:val="00A94E63"/>
    <w:rsid w:val="00A94F48"/>
    <w:rsid w:val="00A9500A"/>
    <w:rsid w:val="00A95069"/>
    <w:rsid w:val="00A950A2"/>
    <w:rsid w:val="00A95121"/>
    <w:rsid w:val="00A954DF"/>
    <w:rsid w:val="00A9559D"/>
    <w:rsid w:val="00A955D0"/>
    <w:rsid w:val="00A956DF"/>
    <w:rsid w:val="00A95807"/>
    <w:rsid w:val="00A958D9"/>
    <w:rsid w:val="00A95924"/>
    <w:rsid w:val="00A959F0"/>
    <w:rsid w:val="00A95B01"/>
    <w:rsid w:val="00A95BB2"/>
    <w:rsid w:val="00A95C08"/>
    <w:rsid w:val="00A95D31"/>
    <w:rsid w:val="00A95DED"/>
    <w:rsid w:val="00A9608C"/>
    <w:rsid w:val="00A9651C"/>
    <w:rsid w:val="00A96619"/>
    <w:rsid w:val="00A9667B"/>
    <w:rsid w:val="00A96795"/>
    <w:rsid w:val="00A967C3"/>
    <w:rsid w:val="00A9690A"/>
    <w:rsid w:val="00A96B37"/>
    <w:rsid w:val="00A96B39"/>
    <w:rsid w:val="00A96B5B"/>
    <w:rsid w:val="00A96D1B"/>
    <w:rsid w:val="00A96D86"/>
    <w:rsid w:val="00A96DD4"/>
    <w:rsid w:val="00A96E9B"/>
    <w:rsid w:val="00A96EF1"/>
    <w:rsid w:val="00A97006"/>
    <w:rsid w:val="00A9707D"/>
    <w:rsid w:val="00A97118"/>
    <w:rsid w:val="00A971A8"/>
    <w:rsid w:val="00A97302"/>
    <w:rsid w:val="00A97431"/>
    <w:rsid w:val="00A97459"/>
    <w:rsid w:val="00A97483"/>
    <w:rsid w:val="00A97534"/>
    <w:rsid w:val="00A97572"/>
    <w:rsid w:val="00A97956"/>
    <w:rsid w:val="00A97C6A"/>
    <w:rsid w:val="00A97C97"/>
    <w:rsid w:val="00A97D25"/>
    <w:rsid w:val="00A97D3D"/>
    <w:rsid w:val="00A97EDD"/>
    <w:rsid w:val="00A97F10"/>
    <w:rsid w:val="00A97F80"/>
    <w:rsid w:val="00A97FDA"/>
    <w:rsid w:val="00AA00B8"/>
    <w:rsid w:val="00AA0437"/>
    <w:rsid w:val="00AA06D3"/>
    <w:rsid w:val="00AA08A4"/>
    <w:rsid w:val="00AA08B0"/>
    <w:rsid w:val="00AA08F0"/>
    <w:rsid w:val="00AA090A"/>
    <w:rsid w:val="00AA098D"/>
    <w:rsid w:val="00AA09BF"/>
    <w:rsid w:val="00AA0BE1"/>
    <w:rsid w:val="00AA0C8C"/>
    <w:rsid w:val="00AA0CAB"/>
    <w:rsid w:val="00AA0D23"/>
    <w:rsid w:val="00AA130E"/>
    <w:rsid w:val="00AA1375"/>
    <w:rsid w:val="00AA159D"/>
    <w:rsid w:val="00AA17FB"/>
    <w:rsid w:val="00AA1810"/>
    <w:rsid w:val="00AA188B"/>
    <w:rsid w:val="00AA1D1C"/>
    <w:rsid w:val="00AA1FF8"/>
    <w:rsid w:val="00AA2238"/>
    <w:rsid w:val="00AA241D"/>
    <w:rsid w:val="00AA2E2B"/>
    <w:rsid w:val="00AA2E76"/>
    <w:rsid w:val="00AA2EC4"/>
    <w:rsid w:val="00AA2FAC"/>
    <w:rsid w:val="00AA3034"/>
    <w:rsid w:val="00AA3075"/>
    <w:rsid w:val="00AA308E"/>
    <w:rsid w:val="00AA3206"/>
    <w:rsid w:val="00AA32ED"/>
    <w:rsid w:val="00AA33D5"/>
    <w:rsid w:val="00AA340E"/>
    <w:rsid w:val="00AA3576"/>
    <w:rsid w:val="00AA38F7"/>
    <w:rsid w:val="00AA39BC"/>
    <w:rsid w:val="00AA39BE"/>
    <w:rsid w:val="00AA3A8A"/>
    <w:rsid w:val="00AA3B31"/>
    <w:rsid w:val="00AA3C48"/>
    <w:rsid w:val="00AA3C62"/>
    <w:rsid w:val="00AA3DA7"/>
    <w:rsid w:val="00AA3F2D"/>
    <w:rsid w:val="00AA423A"/>
    <w:rsid w:val="00AA43E7"/>
    <w:rsid w:val="00AA44B5"/>
    <w:rsid w:val="00AA45D7"/>
    <w:rsid w:val="00AA47DE"/>
    <w:rsid w:val="00AA4903"/>
    <w:rsid w:val="00AA4B9B"/>
    <w:rsid w:val="00AA4E03"/>
    <w:rsid w:val="00AA4EF3"/>
    <w:rsid w:val="00AA4F00"/>
    <w:rsid w:val="00AA4FEC"/>
    <w:rsid w:val="00AA5016"/>
    <w:rsid w:val="00AA513F"/>
    <w:rsid w:val="00AA562F"/>
    <w:rsid w:val="00AA571C"/>
    <w:rsid w:val="00AA5729"/>
    <w:rsid w:val="00AA5783"/>
    <w:rsid w:val="00AA59E8"/>
    <w:rsid w:val="00AA5B66"/>
    <w:rsid w:val="00AA5D43"/>
    <w:rsid w:val="00AA5D98"/>
    <w:rsid w:val="00AA5DE9"/>
    <w:rsid w:val="00AA5E74"/>
    <w:rsid w:val="00AA621C"/>
    <w:rsid w:val="00AA623C"/>
    <w:rsid w:val="00AA62C4"/>
    <w:rsid w:val="00AA62E7"/>
    <w:rsid w:val="00AA635C"/>
    <w:rsid w:val="00AA64A9"/>
    <w:rsid w:val="00AA6508"/>
    <w:rsid w:val="00AA660A"/>
    <w:rsid w:val="00AA6757"/>
    <w:rsid w:val="00AA679E"/>
    <w:rsid w:val="00AA6884"/>
    <w:rsid w:val="00AA68AC"/>
    <w:rsid w:val="00AA696E"/>
    <w:rsid w:val="00AA6AB8"/>
    <w:rsid w:val="00AA6C5D"/>
    <w:rsid w:val="00AA6CE6"/>
    <w:rsid w:val="00AA6D64"/>
    <w:rsid w:val="00AA6EB1"/>
    <w:rsid w:val="00AA6FAA"/>
    <w:rsid w:val="00AA6FF9"/>
    <w:rsid w:val="00AA7026"/>
    <w:rsid w:val="00AA709E"/>
    <w:rsid w:val="00AA70CF"/>
    <w:rsid w:val="00AA710F"/>
    <w:rsid w:val="00AA717B"/>
    <w:rsid w:val="00AA7193"/>
    <w:rsid w:val="00AA7233"/>
    <w:rsid w:val="00AA746D"/>
    <w:rsid w:val="00AA7534"/>
    <w:rsid w:val="00AA7595"/>
    <w:rsid w:val="00AA7637"/>
    <w:rsid w:val="00AA771C"/>
    <w:rsid w:val="00AA7741"/>
    <w:rsid w:val="00AA783C"/>
    <w:rsid w:val="00AA7840"/>
    <w:rsid w:val="00AA78B2"/>
    <w:rsid w:val="00AA78D0"/>
    <w:rsid w:val="00AA79B0"/>
    <w:rsid w:val="00AA7A07"/>
    <w:rsid w:val="00AA7A0F"/>
    <w:rsid w:val="00AA7C0E"/>
    <w:rsid w:val="00AA7CE7"/>
    <w:rsid w:val="00AB0174"/>
    <w:rsid w:val="00AB0210"/>
    <w:rsid w:val="00AB0367"/>
    <w:rsid w:val="00AB0577"/>
    <w:rsid w:val="00AB06E4"/>
    <w:rsid w:val="00AB07B9"/>
    <w:rsid w:val="00AB087F"/>
    <w:rsid w:val="00AB091E"/>
    <w:rsid w:val="00AB0A11"/>
    <w:rsid w:val="00AB0A58"/>
    <w:rsid w:val="00AB0BC8"/>
    <w:rsid w:val="00AB0BD0"/>
    <w:rsid w:val="00AB1035"/>
    <w:rsid w:val="00AB1295"/>
    <w:rsid w:val="00AB159E"/>
    <w:rsid w:val="00AB17F1"/>
    <w:rsid w:val="00AB1A7D"/>
    <w:rsid w:val="00AB1BC8"/>
    <w:rsid w:val="00AB1C53"/>
    <w:rsid w:val="00AB1F15"/>
    <w:rsid w:val="00AB203B"/>
    <w:rsid w:val="00AB2071"/>
    <w:rsid w:val="00AB23DF"/>
    <w:rsid w:val="00AB24AD"/>
    <w:rsid w:val="00AB24E6"/>
    <w:rsid w:val="00AB2519"/>
    <w:rsid w:val="00AB266C"/>
    <w:rsid w:val="00AB2843"/>
    <w:rsid w:val="00AB2A92"/>
    <w:rsid w:val="00AB2ABC"/>
    <w:rsid w:val="00AB2B5E"/>
    <w:rsid w:val="00AB2C68"/>
    <w:rsid w:val="00AB2E08"/>
    <w:rsid w:val="00AB2ED9"/>
    <w:rsid w:val="00AB2F35"/>
    <w:rsid w:val="00AB3020"/>
    <w:rsid w:val="00AB310B"/>
    <w:rsid w:val="00AB3439"/>
    <w:rsid w:val="00AB34A3"/>
    <w:rsid w:val="00AB34C0"/>
    <w:rsid w:val="00AB3522"/>
    <w:rsid w:val="00AB35AA"/>
    <w:rsid w:val="00AB369C"/>
    <w:rsid w:val="00AB37EA"/>
    <w:rsid w:val="00AB3856"/>
    <w:rsid w:val="00AB387E"/>
    <w:rsid w:val="00AB38FF"/>
    <w:rsid w:val="00AB3C05"/>
    <w:rsid w:val="00AB3FF8"/>
    <w:rsid w:val="00AB40DF"/>
    <w:rsid w:val="00AB40F8"/>
    <w:rsid w:val="00AB429E"/>
    <w:rsid w:val="00AB44D0"/>
    <w:rsid w:val="00AB4587"/>
    <w:rsid w:val="00AB4616"/>
    <w:rsid w:val="00AB4790"/>
    <w:rsid w:val="00AB48AB"/>
    <w:rsid w:val="00AB4E7A"/>
    <w:rsid w:val="00AB4FDC"/>
    <w:rsid w:val="00AB50B3"/>
    <w:rsid w:val="00AB5224"/>
    <w:rsid w:val="00AB52CB"/>
    <w:rsid w:val="00AB52CF"/>
    <w:rsid w:val="00AB530B"/>
    <w:rsid w:val="00AB5390"/>
    <w:rsid w:val="00AB5721"/>
    <w:rsid w:val="00AB5730"/>
    <w:rsid w:val="00AB57E5"/>
    <w:rsid w:val="00AB59DA"/>
    <w:rsid w:val="00AB5BE5"/>
    <w:rsid w:val="00AB5DED"/>
    <w:rsid w:val="00AB5EA6"/>
    <w:rsid w:val="00AB5ED1"/>
    <w:rsid w:val="00AB5ED7"/>
    <w:rsid w:val="00AB61A0"/>
    <w:rsid w:val="00AB62A0"/>
    <w:rsid w:val="00AB64C5"/>
    <w:rsid w:val="00AB64C6"/>
    <w:rsid w:val="00AB65A5"/>
    <w:rsid w:val="00AB65F3"/>
    <w:rsid w:val="00AB6A62"/>
    <w:rsid w:val="00AB6C51"/>
    <w:rsid w:val="00AB6D42"/>
    <w:rsid w:val="00AB6D7D"/>
    <w:rsid w:val="00AB6F88"/>
    <w:rsid w:val="00AB6FDD"/>
    <w:rsid w:val="00AB6FEA"/>
    <w:rsid w:val="00AB7093"/>
    <w:rsid w:val="00AB71B8"/>
    <w:rsid w:val="00AB71DC"/>
    <w:rsid w:val="00AB721C"/>
    <w:rsid w:val="00AB732A"/>
    <w:rsid w:val="00AB744C"/>
    <w:rsid w:val="00AB756C"/>
    <w:rsid w:val="00AB769D"/>
    <w:rsid w:val="00AB7753"/>
    <w:rsid w:val="00AB77A6"/>
    <w:rsid w:val="00AB77B4"/>
    <w:rsid w:val="00AB7857"/>
    <w:rsid w:val="00AB78E1"/>
    <w:rsid w:val="00AB7934"/>
    <w:rsid w:val="00AB793D"/>
    <w:rsid w:val="00AB7B08"/>
    <w:rsid w:val="00AB7B38"/>
    <w:rsid w:val="00AB7C64"/>
    <w:rsid w:val="00AB7DDC"/>
    <w:rsid w:val="00AB7E03"/>
    <w:rsid w:val="00AB7E7E"/>
    <w:rsid w:val="00AC0099"/>
    <w:rsid w:val="00AC03B0"/>
    <w:rsid w:val="00AC0434"/>
    <w:rsid w:val="00AC0692"/>
    <w:rsid w:val="00AC07AC"/>
    <w:rsid w:val="00AC087D"/>
    <w:rsid w:val="00AC092A"/>
    <w:rsid w:val="00AC096D"/>
    <w:rsid w:val="00AC0A24"/>
    <w:rsid w:val="00AC0AFF"/>
    <w:rsid w:val="00AC0C7A"/>
    <w:rsid w:val="00AC0D17"/>
    <w:rsid w:val="00AC0D4D"/>
    <w:rsid w:val="00AC0EB1"/>
    <w:rsid w:val="00AC0FC1"/>
    <w:rsid w:val="00AC112B"/>
    <w:rsid w:val="00AC114E"/>
    <w:rsid w:val="00AC1171"/>
    <w:rsid w:val="00AC1188"/>
    <w:rsid w:val="00AC129D"/>
    <w:rsid w:val="00AC1365"/>
    <w:rsid w:val="00AC1589"/>
    <w:rsid w:val="00AC165C"/>
    <w:rsid w:val="00AC16A2"/>
    <w:rsid w:val="00AC1716"/>
    <w:rsid w:val="00AC177A"/>
    <w:rsid w:val="00AC1783"/>
    <w:rsid w:val="00AC1817"/>
    <w:rsid w:val="00AC18C5"/>
    <w:rsid w:val="00AC19FE"/>
    <w:rsid w:val="00AC1BD4"/>
    <w:rsid w:val="00AC1C22"/>
    <w:rsid w:val="00AC1C57"/>
    <w:rsid w:val="00AC1CB0"/>
    <w:rsid w:val="00AC1CCF"/>
    <w:rsid w:val="00AC1D65"/>
    <w:rsid w:val="00AC1E1A"/>
    <w:rsid w:val="00AC2045"/>
    <w:rsid w:val="00AC21BD"/>
    <w:rsid w:val="00AC256E"/>
    <w:rsid w:val="00AC26AB"/>
    <w:rsid w:val="00AC274A"/>
    <w:rsid w:val="00AC2769"/>
    <w:rsid w:val="00AC27FC"/>
    <w:rsid w:val="00AC2858"/>
    <w:rsid w:val="00AC28A3"/>
    <w:rsid w:val="00AC28BD"/>
    <w:rsid w:val="00AC295C"/>
    <w:rsid w:val="00AC29DB"/>
    <w:rsid w:val="00AC2BBA"/>
    <w:rsid w:val="00AC2C5F"/>
    <w:rsid w:val="00AC2CEB"/>
    <w:rsid w:val="00AC2D0B"/>
    <w:rsid w:val="00AC2D7D"/>
    <w:rsid w:val="00AC2F45"/>
    <w:rsid w:val="00AC31AD"/>
    <w:rsid w:val="00AC3281"/>
    <w:rsid w:val="00AC3491"/>
    <w:rsid w:val="00AC352B"/>
    <w:rsid w:val="00AC35E0"/>
    <w:rsid w:val="00AC361E"/>
    <w:rsid w:val="00AC3B92"/>
    <w:rsid w:val="00AC3BBB"/>
    <w:rsid w:val="00AC3D11"/>
    <w:rsid w:val="00AC3F2F"/>
    <w:rsid w:val="00AC401D"/>
    <w:rsid w:val="00AC4226"/>
    <w:rsid w:val="00AC4344"/>
    <w:rsid w:val="00AC449E"/>
    <w:rsid w:val="00AC455F"/>
    <w:rsid w:val="00AC45A5"/>
    <w:rsid w:val="00AC47D3"/>
    <w:rsid w:val="00AC4854"/>
    <w:rsid w:val="00AC4955"/>
    <w:rsid w:val="00AC4AF2"/>
    <w:rsid w:val="00AC4C26"/>
    <w:rsid w:val="00AC4EE6"/>
    <w:rsid w:val="00AC4FDA"/>
    <w:rsid w:val="00AC50EF"/>
    <w:rsid w:val="00AC5437"/>
    <w:rsid w:val="00AC54BB"/>
    <w:rsid w:val="00AC54E2"/>
    <w:rsid w:val="00AC556A"/>
    <w:rsid w:val="00AC5832"/>
    <w:rsid w:val="00AC58E8"/>
    <w:rsid w:val="00AC5BEA"/>
    <w:rsid w:val="00AC5CF7"/>
    <w:rsid w:val="00AC5D62"/>
    <w:rsid w:val="00AC5DA6"/>
    <w:rsid w:val="00AC6034"/>
    <w:rsid w:val="00AC6072"/>
    <w:rsid w:val="00AC6081"/>
    <w:rsid w:val="00AC60DF"/>
    <w:rsid w:val="00AC616A"/>
    <w:rsid w:val="00AC6316"/>
    <w:rsid w:val="00AC65BB"/>
    <w:rsid w:val="00AC6688"/>
    <w:rsid w:val="00AC6816"/>
    <w:rsid w:val="00AC698B"/>
    <w:rsid w:val="00AC6BA1"/>
    <w:rsid w:val="00AC6BEF"/>
    <w:rsid w:val="00AC6DCE"/>
    <w:rsid w:val="00AC6E25"/>
    <w:rsid w:val="00AC6E5A"/>
    <w:rsid w:val="00AC6EA2"/>
    <w:rsid w:val="00AC6F64"/>
    <w:rsid w:val="00AC7088"/>
    <w:rsid w:val="00AC7175"/>
    <w:rsid w:val="00AC72A2"/>
    <w:rsid w:val="00AC7340"/>
    <w:rsid w:val="00AC7344"/>
    <w:rsid w:val="00AC7410"/>
    <w:rsid w:val="00AC742A"/>
    <w:rsid w:val="00AC7511"/>
    <w:rsid w:val="00AC75BD"/>
    <w:rsid w:val="00AC767E"/>
    <w:rsid w:val="00AC78F2"/>
    <w:rsid w:val="00AC7951"/>
    <w:rsid w:val="00AC7AA3"/>
    <w:rsid w:val="00AC7AAE"/>
    <w:rsid w:val="00AC7B4B"/>
    <w:rsid w:val="00AC7E2F"/>
    <w:rsid w:val="00AC7E94"/>
    <w:rsid w:val="00AC7F03"/>
    <w:rsid w:val="00AD01E3"/>
    <w:rsid w:val="00AD0265"/>
    <w:rsid w:val="00AD0530"/>
    <w:rsid w:val="00AD0547"/>
    <w:rsid w:val="00AD058D"/>
    <w:rsid w:val="00AD08D4"/>
    <w:rsid w:val="00AD08F2"/>
    <w:rsid w:val="00AD097B"/>
    <w:rsid w:val="00AD0C8F"/>
    <w:rsid w:val="00AD0D78"/>
    <w:rsid w:val="00AD1004"/>
    <w:rsid w:val="00AD1009"/>
    <w:rsid w:val="00AD11AB"/>
    <w:rsid w:val="00AD11DB"/>
    <w:rsid w:val="00AD1232"/>
    <w:rsid w:val="00AD125E"/>
    <w:rsid w:val="00AD12E7"/>
    <w:rsid w:val="00AD1321"/>
    <w:rsid w:val="00AD1422"/>
    <w:rsid w:val="00AD14E0"/>
    <w:rsid w:val="00AD17A9"/>
    <w:rsid w:val="00AD17D6"/>
    <w:rsid w:val="00AD180E"/>
    <w:rsid w:val="00AD1821"/>
    <w:rsid w:val="00AD1A8F"/>
    <w:rsid w:val="00AD1B4D"/>
    <w:rsid w:val="00AD1BCF"/>
    <w:rsid w:val="00AD1C9A"/>
    <w:rsid w:val="00AD1E98"/>
    <w:rsid w:val="00AD2066"/>
    <w:rsid w:val="00AD20D0"/>
    <w:rsid w:val="00AD21DE"/>
    <w:rsid w:val="00AD2313"/>
    <w:rsid w:val="00AD2399"/>
    <w:rsid w:val="00AD24BF"/>
    <w:rsid w:val="00AD2501"/>
    <w:rsid w:val="00AD25CB"/>
    <w:rsid w:val="00AD28BC"/>
    <w:rsid w:val="00AD2905"/>
    <w:rsid w:val="00AD2A1B"/>
    <w:rsid w:val="00AD2DF8"/>
    <w:rsid w:val="00AD2E47"/>
    <w:rsid w:val="00AD2EE1"/>
    <w:rsid w:val="00AD304E"/>
    <w:rsid w:val="00AD30AF"/>
    <w:rsid w:val="00AD3479"/>
    <w:rsid w:val="00AD34C7"/>
    <w:rsid w:val="00AD34E9"/>
    <w:rsid w:val="00AD353A"/>
    <w:rsid w:val="00AD363B"/>
    <w:rsid w:val="00AD3657"/>
    <w:rsid w:val="00AD384E"/>
    <w:rsid w:val="00AD38B7"/>
    <w:rsid w:val="00AD3AF5"/>
    <w:rsid w:val="00AD3CE7"/>
    <w:rsid w:val="00AD3D47"/>
    <w:rsid w:val="00AD3D77"/>
    <w:rsid w:val="00AD3DAE"/>
    <w:rsid w:val="00AD3E55"/>
    <w:rsid w:val="00AD3E7F"/>
    <w:rsid w:val="00AD3F29"/>
    <w:rsid w:val="00AD4119"/>
    <w:rsid w:val="00AD41A8"/>
    <w:rsid w:val="00AD42BD"/>
    <w:rsid w:val="00AD4501"/>
    <w:rsid w:val="00AD4596"/>
    <w:rsid w:val="00AD45B7"/>
    <w:rsid w:val="00AD4627"/>
    <w:rsid w:val="00AD46E0"/>
    <w:rsid w:val="00AD47DD"/>
    <w:rsid w:val="00AD483B"/>
    <w:rsid w:val="00AD483D"/>
    <w:rsid w:val="00AD4879"/>
    <w:rsid w:val="00AD48CC"/>
    <w:rsid w:val="00AD48D3"/>
    <w:rsid w:val="00AD4946"/>
    <w:rsid w:val="00AD4AE7"/>
    <w:rsid w:val="00AD4BB6"/>
    <w:rsid w:val="00AD4CEB"/>
    <w:rsid w:val="00AD4E2A"/>
    <w:rsid w:val="00AD4F95"/>
    <w:rsid w:val="00AD5040"/>
    <w:rsid w:val="00AD5052"/>
    <w:rsid w:val="00AD51AA"/>
    <w:rsid w:val="00AD553E"/>
    <w:rsid w:val="00AD5661"/>
    <w:rsid w:val="00AD56D5"/>
    <w:rsid w:val="00AD5A17"/>
    <w:rsid w:val="00AD5D18"/>
    <w:rsid w:val="00AD5D7F"/>
    <w:rsid w:val="00AD639D"/>
    <w:rsid w:val="00AD66DE"/>
    <w:rsid w:val="00AD6790"/>
    <w:rsid w:val="00AD6A54"/>
    <w:rsid w:val="00AD6AD9"/>
    <w:rsid w:val="00AD6B50"/>
    <w:rsid w:val="00AD6DCF"/>
    <w:rsid w:val="00AD6E8C"/>
    <w:rsid w:val="00AD6EE7"/>
    <w:rsid w:val="00AD74A8"/>
    <w:rsid w:val="00AD754D"/>
    <w:rsid w:val="00AD75C8"/>
    <w:rsid w:val="00AD7695"/>
    <w:rsid w:val="00AD789E"/>
    <w:rsid w:val="00AD7C9E"/>
    <w:rsid w:val="00AD7CC9"/>
    <w:rsid w:val="00AD7CE8"/>
    <w:rsid w:val="00AD7DB6"/>
    <w:rsid w:val="00AD7E88"/>
    <w:rsid w:val="00AD7E89"/>
    <w:rsid w:val="00AD7F61"/>
    <w:rsid w:val="00AE0400"/>
    <w:rsid w:val="00AE0449"/>
    <w:rsid w:val="00AE06D1"/>
    <w:rsid w:val="00AE087C"/>
    <w:rsid w:val="00AE092A"/>
    <w:rsid w:val="00AE09FA"/>
    <w:rsid w:val="00AE0A30"/>
    <w:rsid w:val="00AE0A36"/>
    <w:rsid w:val="00AE0C18"/>
    <w:rsid w:val="00AE0F7F"/>
    <w:rsid w:val="00AE10AB"/>
    <w:rsid w:val="00AE10B1"/>
    <w:rsid w:val="00AE12EE"/>
    <w:rsid w:val="00AE13AC"/>
    <w:rsid w:val="00AE151C"/>
    <w:rsid w:val="00AE163E"/>
    <w:rsid w:val="00AE164B"/>
    <w:rsid w:val="00AE16B3"/>
    <w:rsid w:val="00AE17C1"/>
    <w:rsid w:val="00AE1909"/>
    <w:rsid w:val="00AE1937"/>
    <w:rsid w:val="00AE1C8E"/>
    <w:rsid w:val="00AE1CA5"/>
    <w:rsid w:val="00AE1CB3"/>
    <w:rsid w:val="00AE1D33"/>
    <w:rsid w:val="00AE1EE7"/>
    <w:rsid w:val="00AE20EA"/>
    <w:rsid w:val="00AE2137"/>
    <w:rsid w:val="00AE21BB"/>
    <w:rsid w:val="00AE21DD"/>
    <w:rsid w:val="00AE231B"/>
    <w:rsid w:val="00AE23BC"/>
    <w:rsid w:val="00AE2403"/>
    <w:rsid w:val="00AE24A3"/>
    <w:rsid w:val="00AE273F"/>
    <w:rsid w:val="00AE276C"/>
    <w:rsid w:val="00AE28D5"/>
    <w:rsid w:val="00AE2929"/>
    <w:rsid w:val="00AE2966"/>
    <w:rsid w:val="00AE29D9"/>
    <w:rsid w:val="00AE2AB2"/>
    <w:rsid w:val="00AE2ACD"/>
    <w:rsid w:val="00AE2B98"/>
    <w:rsid w:val="00AE2BE6"/>
    <w:rsid w:val="00AE2C2B"/>
    <w:rsid w:val="00AE2C9F"/>
    <w:rsid w:val="00AE2F72"/>
    <w:rsid w:val="00AE322C"/>
    <w:rsid w:val="00AE3571"/>
    <w:rsid w:val="00AE35DE"/>
    <w:rsid w:val="00AE3696"/>
    <w:rsid w:val="00AE371D"/>
    <w:rsid w:val="00AE37B2"/>
    <w:rsid w:val="00AE37E1"/>
    <w:rsid w:val="00AE3C30"/>
    <w:rsid w:val="00AE3C97"/>
    <w:rsid w:val="00AE3D32"/>
    <w:rsid w:val="00AE4012"/>
    <w:rsid w:val="00AE41B0"/>
    <w:rsid w:val="00AE4202"/>
    <w:rsid w:val="00AE4386"/>
    <w:rsid w:val="00AE44B3"/>
    <w:rsid w:val="00AE454B"/>
    <w:rsid w:val="00AE4573"/>
    <w:rsid w:val="00AE463E"/>
    <w:rsid w:val="00AE4645"/>
    <w:rsid w:val="00AE467F"/>
    <w:rsid w:val="00AE48E4"/>
    <w:rsid w:val="00AE4950"/>
    <w:rsid w:val="00AE4A25"/>
    <w:rsid w:val="00AE4C34"/>
    <w:rsid w:val="00AE4C61"/>
    <w:rsid w:val="00AE4CAE"/>
    <w:rsid w:val="00AE4CFA"/>
    <w:rsid w:val="00AE4D4F"/>
    <w:rsid w:val="00AE4DF7"/>
    <w:rsid w:val="00AE4ED7"/>
    <w:rsid w:val="00AE4EF5"/>
    <w:rsid w:val="00AE5125"/>
    <w:rsid w:val="00AE5142"/>
    <w:rsid w:val="00AE51AA"/>
    <w:rsid w:val="00AE5410"/>
    <w:rsid w:val="00AE5440"/>
    <w:rsid w:val="00AE5728"/>
    <w:rsid w:val="00AE5981"/>
    <w:rsid w:val="00AE5989"/>
    <w:rsid w:val="00AE59DF"/>
    <w:rsid w:val="00AE5A7B"/>
    <w:rsid w:val="00AE5ED9"/>
    <w:rsid w:val="00AE6020"/>
    <w:rsid w:val="00AE60B3"/>
    <w:rsid w:val="00AE60CF"/>
    <w:rsid w:val="00AE6263"/>
    <w:rsid w:val="00AE650F"/>
    <w:rsid w:val="00AE65B8"/>
    <w:rsid w:val="00AE65CD"/>
    <w:rsid w:val="00AE65E1"/>
    <w:rsid w:val="00AE66FA"/>
    <w:rsid w:val="00AE6852"/>
    <w:rsid w:val="00AE68BF"/>
    <w:rsid w:val="00AE69D9"/>
    <w:rsid w:val="00AE6BA2"/>
    <w:rsid w:val="00AE6C65"/>
    <w:rsid w:val="00AE6E80"/>
    <w:rsid w:val="00AE6EF1"/>
    <w:rsid w:val="00AE70D6"/>
    <w:rsid w:val="00AE7102"/>
    <w:rsid w:val="00AE7104"/>
    <w:rsid w:val="00AE73A4"/>
    <w:rsid w:val="00AE73B6"/>
    <w:rsid w:val="00AE73FC"/>
    <w:rsid w:val="00AE7573"/>
    <w:rsid w:val="00AE763C"/>
    <w:rsid w:val="00AE769F"/>
    <w:rsid w:val="00AE783E"/>
    <w:rsid w:val="00AE7B05"/>
    <w:rsid w:val="00AE7D9B"/>
    <w:rsid w:val="00AE7FBD"/>
    <w:rsid w:val="00AF01C7"/>
    <w:rsid w:val="00AF04F9"/>
    <w:rsid w:val="00AF0557"/>
    <w:rsid w:val="00AF056F"/>
    <w:rsid w:val="00AF0711"/>
    <w:rsid w:val="00AF092F"/>
    <w:rsid w:val="00AF0A26"/>
    <w:rsid w:val="00AF0B1B"/>
    <w:rsid w:val="00AF0CA7"/>
    <w:rsid w:val="00AF0D20"/>
    <w:rsid w:val="00AF0D2D"/>
    <w:rsid w:val="00AF0D8B"/>
    <w:rsid w:val="00AF0DA6"/>
    <w:rsid w:val="00AF0DFE"/>
    <w:rsid w:val="00AF0E91"/>
    <w:rsid w:val="00AF0FB4"/>
    <w:rsid w:val="00AF12FD"/>
    <w:rsid w:val="00AF131A"/>
    <w:rsid w:val="00AF1337"/>
    <w:rsid w:val="00AF1398"/>
    <w:rsid w:val="00AF157A"/>
    <w:rsid w:val="00AF169B"/>
    <w:rsid w:val="00AF16B4"/>
    <w:rsid w:val="00AF1785"/>
    <w:rsid w:val="00AF1824"/>
    <w:rsid w:val="00AF1908"/>
    <w:rsid w:val="00AF1A68"/>
    <w:rsid w:val="00AF1BD2"/>
    <w:rsid w:val="00AF1BF2"/>
    <w:rsid w:val="00AF1C54"/>
    <w:rsid w:val="00AF1CDC"/>
    <w:rsid w:val="00AF1F49"/>
    <w:rsid w:val="00AF207E"/>
    <w:rsid w:val="00AF2157"/>
    <w:rsid w:val="00AF237E"/>
    <w:rsid w:val="00AF2388"/>
    <w:rsid w:val="00AF2390"/>
    <w:rsid w:val="00AF2841"/>
    <w:rsid w:val="00AF2970"/>
    <w:rsid w:val="00AF2B74"/>
    <w:rsid w:val="00AF2C02"/>
    <w:rsid w:val="00AF2E45"/>
    <w:rsid w:val="00AF303D"/>
    <w:rsid w:val="00AF34AA"/>
    <w:rsid w:val="00AF3777"/>
    <w:rsid w:val="00AF3789"/>
    <w:rsid w:val="00AF3835"/>
    <w:rsid w:val="00AF3847"/>
    <w:rsid w:val="00AF3933"/>
    <w:rsid w:val="00AF395E"/>
    <w:rsid w:val="00AF398E"/>
    <w:rsid w:val="00AF3B74"/>
    <w:rsid w:val="00AF3BE7"/>
    <w:rsid w:val="00AF3C1E"/>
    <w:rsid w:val="00AF3C32"/>
    <w:rsid w:val="00AF3CDC"/>
    <w:rsid w:val="00AF3CDE"/>
    <w:rsid w:val="00AF3D07"/>
    <w:rsid w:val="00AF3DA6"/>
    <w:rsid w:val="00AF3DB0"/>
    <w:rsid w:val="00AF3F45"/>
    <w:rsid w:val="00AF3F51"/>
    <w:rsid w:val="00AF4AFC"/>
    <w:rsid w:val="00AF4B16"/>
    <w:rsid w:val="00AF4CFA"/>
    <w:rsid w:val="00AF5363"/>
    <w:rsid w:val="00AF53D7"/>
    <w:rsid w:val="00AF5431"/>
    <w:rsid w:val="00AF552B"/>
    <w:rsid w:val="00AF5588"/>
    <w:rsid w:val="00AF560A"/>
    <w:rsid w:val="00AF56B4"/>
    <w:rsid w:val="00AF5974"/>
    <w:rsid w:val="00AF5A76"/>
    <w:rsid w:val="00AF5B46"/>
    <w:rsid w:val="00AF5D64"/>
    <w:rsid w:val="00AF61EC"/>
    <w:rsid w:val="00AF639D"/>
    <w:rsid w:val="00AF648C"/>
    <w:rsid w:val="00AF67A8"/>
    <w:rsid w:val="00AF67CA"/>
    <w:rsid w:val="00AF6A7D"/>
    <w:rsid w:val="00AF6D32"/>
    <w:rsid w:val="00AF6E8B"/>
    <w:rsid w:val="00AF7146"/>
    <w:rsid w:val="00AF74F6"/>
    <w:rsid w:val="00AF7529"/>
    <w:rsid w:val="00AF75BF"/>
    <w:rsid w:val="00AF767B"/>
    <w:rsid w:val="00AF7724"/>
    <w:rsid w:val="00AF78D7"/>
    <w:rsid w:val="00AF790F"/>
    <w:rsid w:val="00AF791B"/>
    <w:rsid w:val="00AF7A24"/>
    <w:rsid w:val="00AF7A6B"/>
    <w:rsid w:val="00AF7AB9"/>
    <w:rsid w:val="00AF7D14"/>
    <w:rsid w:val="00AF7DCE"/>
    <w:rsid w:val="00AF7E7A"/>
    <w:rsid w:val="00AF7F3C"/>
    <w:rsid w:val="00AF7FBC"/>
    <w:rsid w:val="00B003CC"/>
    <w:rsid w:val="00B003F4"/>
    <w:rsid w:val="00B00539"/>
    <w:rsid w:val="00B00699"/>
    <w:rsid w:val="00B006E4"/>
    <w:rsid w:val="00B007D3"/>
    <w:rsid w:val="00B00861"/>
    <w:rsid w:val="00B008BD"/>
    <w:rsid w:val="00B00A09"/>
    <w:rsid w:val="00B00A95"/>
    <w:rsid w:val="00B00B10"/>
    <w:rsid w:val="00B00D71"/>
    <w:rsid w:val="00B00E2A"/>
    <w:rsid w:val="00B00E72"/>
    <w:rsid w:val="00B00FA6"/>
    <w:rsid w:val="00B011C5"/>
    <w:rsid w:val="00B01351"/>
    <w:rsid w:val="00B013D0"/>
    <w:rsid w:val="00B01452"/>
    <w:rsid w:val="00B016D7"/>
    <w:rsid w:val="00B017E8"/>
    <w:rsid w:val="00B0181B"/>
    <w:rsid w:val="00B01831"/>
    <w:rsid w:val="00B01879"/>
    <w:rsid w:val="00B018D9"/>
    <w:rsid w:val="00B01988"/>
    <w:rsid w:val="00B01A88"/>
    <w:rsid w:val="00B01C48"/>
    <w:rsid w:val="00B01D33"/>
    <w:rsid w:val="00B01DD0"/>
    <w:rsid w:val="00B01DE6"/>
    <w:rsid w:val="00B01E3F"/>
    <w:rsid w:val="00B01FF8"/>
    <w:rsid w:val="00B021CC"/>
    <w:rsid w:val="00B021EE"/>
    <w:rsid w:val="00B025F7"/>
    <w:rsid w:val="00B02609"/>
    <w:rsid w:val="00B026DD"/>
    <w:rsid w:val="00B027DF"/>
    <w:rsid w:val="00B028AD"/>
    <w:rsid w:val="00B02959"/>
    <w:rsid w:val="00B029E6"/>
    <w:rsid w:val="00B02DD5"/>
    <w:rsid w:val="00B02E01"/>
    <w:rsid w:val="00B02EE0"/>
    <w:rsid w:val="00B0322C"/>
    <w:rsid w:val="00B03255"/>
    <w:rsid w:val="00B0348D"/>
    <w:rsid w:val="00B034B9"/>
    <w:rsid w:val="00B0394D"/>
    <w:rsid w:val="00B03AB8"/>
    <w:rsid w:val="00B03C72"/>
    <w:rsid w:val="00B03D52"/>
    <w:rsid w:val="00B03D71"/>
    <w:rsid w:val="00B03D8D"/>
    <w:rsid w:val="00B03DBA"/>
    <w:rsid w:val="00B04031"/>
    <w:rsid w:val="00B040D6"/>
    <w:rsid w:val="00B041FD"/>
    <w:rsid w:val="00B0421F"/>
    <w:rsid w:val="00B0463A"/>
    <w:rsid w:val="00B04B9D"/>
    <w:rsid w:val="00B04BA8"/>
    <w:rsid w:val="00B04E1C"/>
    <w:rsid w:val="00B04E26"/>
    <w:rsid w:val="00B04EC4"/>
    <w:rsid w:val="00B04EFE"/>
    <w:rsid w:val="00B04F61"/>
    <w:rsid w:val="00B05081"/>
    <w:rsid w:val="00B0512D"/>
    <w:rsid w:val="00B05168"/>
    <w:rsid w:val="00B051C4"/>
    <w:rsid w:val="00B052F4"/>
    <w:rsid w:val="00B05344"/>
    <w:rsid w:val="00B053CE"/>
    <w:rsid w:val="00B05728"/>
    <w:rsid w:val="00B05BE5"/>
    <w:rsid w:val="00B05C22"/>
    <w:rsid w:val="00B05C3D"/>
    <w:rsid w:val="00B05C7A"/>
    <w:rsid w:val="00B05F2B"/>
    <w:rsid w:val="00B05F88"/>
    <w:rsid w:val="00B05FE6"/>
    <w:rsid w:val="00B05FE8"/>
    <w:rsid w:val="00B06180"/>
    <w:rsid w:val="00B0644D"/>
    <w:rsid w:val="00B064AC"/>
    <w:rsid w:val="00B064B2"/>
    <w:rsid w:val="00B0668E"/>
    <w:rsid w:val="00B06722"/>
    <w:rsid w:val="00B06802"/>
    <w:rsid w:val="00B0682E"/>
    <w:rsid w:val="00B0690C"/>
    <w:rsid w:val="00B06936"/>
    <w:rsid w:val="00B06AE7"/>
    <w:rsid w:val="00B06B4F"/>
    <w:rsid w:val="00B06DD6"/>
    <w:rsid w:val="00B06F57"/>
    <w:rsid w:val="00B06FE4"/>
    <w:rsid w:val="00B0706E"/>
    <w:rsid w:val="00B070AA"/>
    <w:rsid w:val="00B071A8"/>
    <w:rsid w:val="00B071CB"/>
    <w:rsid w:val="00B071EC"/>
    <w:rsid w:val="00B0737F"/>
    <w:rsid w:val="00B07422"/>
    <w:rsid w:val="00B07639"/>
    <w:rsid w:val="00B076B4"/>
    <w:rsid w:val="00B0771A"/>
    <w:rsid w:val="00B078F3"/>
    <w:rsid w:val="00B07A0C"/>
    <w:rsid w:val="00B07A92"/>
    <w:rsid w:val="00B07B19"/>
    <w:rsid w:val="00B07BBC"/>
    <w:rsid w:val="00B07D50"/>
    <w:rsid w:val="00B07D96"/>
    <w:rsid w:val="00B07DE9"/>
    <w:rsid w:val="00B07E97"/>
    <w:rsid w:val="00B07F5D"/>
    <w:rsid w:val="00B100CF"/>
    <w:rsid w:val="00B10119"/>
    <w:rsid w:val="00B10265"/>
    <w:rsid w:val="00B106FE"/>
    <w:rsid w:val="00B10759"/>
    <w:rsid w:val="00B108FC"/>
    <w:rsid w:val="00B10A2C"/>
    <w:rsid w:val="00B10A4A"/>
    <w:rsid w:val="00B10FBA"/>
    <w:rsid w:val="00B10FFE"/>
    <w:rsid w:val="00B1102D"/>
    <w:rsid w:val="00B11068"/>
    <w:rsid w:val="00B1108B"/>
    <w:rsid w:val="00B110BC"/>
    <w:rsid w:val="00B11245"/>
    <w:rsid w:val="00B11253"/>
    <w:rsid w:val="00B113E6"/>
    <w:rsid w:val="00B11413"/>
    <w:rsid w:val="00B116B9"/>
    <w:rsid w:val="00B116CF"/>
    <w:rsid w:val="00B116E6"/>
    <w:rsid w:val="00B117A1"/>
    <w:rsid w:val="00B117DF"/>
    <w:rsid w:val="00B11956"/>
    <w:rsid w:val="00B119C2"/>
    <w:rsid w:val="00B119D0"/>
    <w:rsid w:val="00B11A31"/>
    <w:rsid w:val="00B11A78"/>
    <w:rsid w:val="00B11ACC"/>
    <w:rsid w:val="00B11C8E"/>
    <w:rsid w:val="00B11CD9"/>
    <w:rsid w:val="00B11ED5"/>
    <w:rsid w:val="00B11F4C"/>
    <w:rsid w:val="00B1222E"/>
    <w:rsid w:val="00B12304"/>
    <w:rsid w:val="00B123DC"/>
    <w:rsid w:val="00B1242C"/>
    <w:rsid w:val="00B124D1"/>
    <w:rsid w:val="00B1261D"/>
    <w:rsid w:val="00B1276E"/>
    <w:rsid w:val="00B127B3"/>
    <w:rsid w:val="00B128F4"/>
    <w:rsid w:val="00B12A9E"/>
    <w:rsid w:val="00B12B81"/>
    <w:rsid w:val="00B12CB4"/>
    <w:rsid w:val="00B12CC7"/>
    <w:rsid w:val="00B12DC6"/>
    <w:rsid w:val="00B132FC"/>
    <w:rsid w:val="00B13478"/>
    <w:rsid w:val="00B13507"/>
    <w:rsid w:val="00B13617"/>
    <w:rsid w:val="00B13656"/>
    <w:rsid w:val="00B138F8"/>
    <w:rsid w:val="00B1390F"/>
    <w:rsid w:val="00B139C4"/>
    <w:rsid w:val="00B13BD7"/>
    <w:rsid w:val="00B13CEC"/>
    <w:rsid w:val="00B13FCC"/>
    <w:rsid w:val="00B14005"/>
    <w:rsid w:val="00B140A0"/>
    <w:rsid w:val="00B14125"/>
    <w:rsid w:val="00B14132"/>
    <w:rsid w:val="00B141C1"/>
    <w:rsid w:val="00B141F2"/>
    <w:rsid w:val="00B141F9"/>
    <w:rsid w:val="00B142D5"/>
    <w:rsid w:val="00B14305"/>
    <w:rsid w:val="00B14461"/>
    <w:rsid w:val="00B14615"/>
    <w:rsid w:val="00B1465F"/>
    <w:rsid w:val="00B146AF"/>
    <w:rsid w:val="00B14771"/>
    <w:rsid w:val="00B14949"/>
    <w:rsid w:val="00B14A60"/>
    <w:rsid w:val="00B14B13"/>
    <w:rsid w:val="00B14B55"/>
    <w:rsid w:val="00B14B5C"/>
    <w:rsid w:val="00B14BC3"/>
    <w:rsid w:val="00B14C6D"/>
    <w:rsid w:val="00B14C8D"/>
    <w:rsid w:val="00B14D4C"/>
    <w:rsid w:val="00B14DA2"/>
    <w:rsid w:val="00B14E16"/>
    <w:rsid w:val="00B14EDE"/>
    <w:rsid w:val="00B14F83"/>
    <w:rsid w:val="00B15081"/>
    <w:rsid w:val="00B150CD"/>
    <w:rsid w:val="00B150CF"/>
    <w:rsid w:val="00B152B6"/>
    <w:rsid w:val="00B152BC"/>
    <w:rsid w:val="00B15343"/>
    <w:rsid w:val="00B155B2"/>
    <w:rsid w:val="00B1574A"/>
    <w:rsid w:val="00B157FA"/>
    <w:rsid w:val="00B15A94"/>
    <w:rsid w:val="00B15BA2"/>
    <w:rsid w:val="00B15C34"/>
    <w:rsid w:val="00B15C9D"/>
    <w:rsid w:val="00B15DB6"/>
    <w:rsid w:val="00B15E24"/>
    <w:rsid w:val="00B15EFE"/>
    <w:rsid w:val="00B160E1"/>
    <w:rsid w:val="00B16297"/>
    <w:rsid w:val="00B16350"/>
    <w:rsid w:val="00B1639D"/>
    <w:rsid w:val="00B164F6"/>
    <w:rsid w:val="00B16588"/>
    <w:rsid w:val="00B166D4"/>
    <w:rsid w:val="00B1676D"/>
    <w:rsid w:val="00B1677B"/>
    <w:rsid w:val="00B167DB"/>
    <w:rsid w:val="00B168BC"/>
    <w:rsid w:val="00B1697B"/>
    <w:rsid w:val="00B16C62"/>
    <w:rsid w:val="00B16D87"/>
    <w:rsid w:val="00B16D8C"/>
    <w:rsid w:val="00B16DD9"/>
    <w:rsid w:val="00B16F1A"/>
    <w:rsid w:val="00B17215"/>
    <w:rsid w:val="00B175CB"/>
    <w:rsid w:val="00B175E9"/>
    <w:rsid w:val="00B1762F"/>
    <w:rsid w:val="00B1765F"/>
    <w:rsid w:val="00B176B1"/>
    <w:rsid w:val="00B17862"/>
    <w:rsid w:val="00B178BE"/>
    <w:rsid w:val="00B17946"/>
    <w:rsid w:val="00B17A34"/>
    <w:rsid w:val="00B17ABB"/>
    <w:rsid w:val="00B17B25"/>
    <w:rsid w:val="00B17B98"/>
    <w:rsid w:val="00B17C0A"/>
    <w:rsid w:val="00B17C62"/>
    <w:rsid w:val="00B17D62"/>
    <w:rsid w:val="00B17E91"/>
    <w:rsid w:val="00B17F40"/>
    <w:rsid w:val="00B20029"/>
    <w:rsid w:val="00B2009B"/>
    <w:rsid w:val="00B20240"/>
    <w:rsid w:val="00B20281"/>
    <w:rsid w:val="00B20356"/>
    <w:rsid w:val="00B20393"/>
    <w:rsid w:val="00B2039F"/>
    <w:rsid w:val="00B204E1"/>
    <w:rsid w:val="00B204FE"/>
    <w:rsid w:val="00B206A2"/>
    <w:rsid w:val="00B20714"/>
    <w:rsid w:val="00B2076B"/>
    <w:rsid w:val="00B2076D"/>
    <w:rsid w:val="00B2082A"/>
    <w:rsid w:val="00B2086D"/>
    <w:rsid w:val="00B20B4C"/>
    <w:rsid w:val="00B20C38"/>
    <w:rsid w:val="00B20E13"/>
    <w:rsid w:val="00B20E63"/>
    <w:rsid w:val="00B20ED9"/>
    <w:rsid w:val="00B210EB"/>
    <w:rsid w:val="00B21139"/>
    <w:rsid w:val="00B21158"/>
    <w:rsid w:val="00B21184"/>
    <w:rsid w:val="00B213EF"/>
    <w:rsid w:val="00B214BA"/>
    <w:rsid w:val="00B215BB"/>
    <w:rsid w:val="00B21694"/>
    <w:rsid w:val="00B216C5"/>
    <w:rsid w:val="00B216EA"/>
    <w:rsid w:val="00B21808"/>
    <w:rsid w:val="00B21A28"/>
    <w:rsid w:val="00B21A45"/>
    <w:rsid w:val="00B21B5F"/>
    <w:rsid w:val="00B21D02"/>
    <w:rsid w:val="00B21E34"/>
    <w:rsid w:val="00B21EBD"/>
    <w:rsid w:val="00B21EEA"/>
    <w:rsid w:val="00B22064"/>
    <w:rsid w:val="00B220B1"/>
    <w:rsid w:val="00B220B4"/>
    <w:rsid w:val="00B220C2"/>
    <w:rsid w:val="00B222ED"/>
    <w:rsid w:val="00B223D5"/>
    <w:rsid w:val="00B22410"/>
    <w:rsid w:val="00B2249C"/>
    <w:rsid w:val="00B22618"/>
    <w:rsid w:val="00B22930"/>
    <w:rsid w:val="00B22970"/>
    <w:rsid w:val="00B229D3"/>
    <w:rsid w:val="00B22AB9"/>
    <w:rsid w:val="00B22BDD"/>
    <w:rsid w:val="00B22CB3"/>
    <w:rsid w:val="00B22D30"/>
    <w:rsid w:val="00B22DD2"/>
    <w:rsid w:val="00B22E77"/>
    <w:rsid w:val="00B23066"/>
    <w:rsid w:val="00B2306E"/>
    <w:rsid w:val="00B2315E"/>
    <w:rsid w:val="00B23248"/>
    <w:rsid w:val="00B232B4"/>
    <w:rsid w:val="00B2336B"/>
    <w:rsid w:val="00B23384"/>
    <w:rsid w:val="00B2357E"/>
    <w:rsid w:val="00B2373B"/>
    <w:rsid w:val="00B2383A"/>
    <w:rsid w:val="00B23A67"/>
    <w:rsid w:val="00B23BC5"/>
    <w:rsid w:val="00B23D43"/>
    <w:rsid w:val="00B23D47"/>
    <w:rsid w:val="00B23E20"/>
    <w:rsid w:val="00B23E98"/>
    <w:rsid w:val="00B24164"/>
    <w:rsid w:val="00B24211"/>
    <w:rsid w:val="00B24230"/>
    <w:rsid w:val="00B24458"/>
    <w:rsid w:val="00B2446E"/>
    <w:rsid w:val="00B24542"/>
    <w:rsid w:val="00B24568"/>
    <w:rsid w:val="00B24650"/>
    <w:rsid w:val="00B24670"/>
    <w:rsid w:val="00B247B2"/>
    <w:rsid w:val="00B24826"/>
    <w:rsid w:val="00B24C2A"/>
    <w:rsid w:val="00B24E88"/>
    <w:rsid w:val="00B24ECB"/>
    <w:rsid w:val="00B24FC3"/>
    <w:rsid w:val="00B25097"/>
    <w:rsid w:val="00B250FA"/>
    <w:rsid w:val="00B251B2"/>
    <w:rsid w:val="00B2522A"/>
    <w:rsid w:val="00B252A3"/>
    <w:rsid w:val="00B2541D"/>
    <w:rsid w:val="00B2546F"/>
    <w:rsid w:val="00B2550B"/>
    <w:rsid w:val="00B2551D"/>
    <w:rsid w:val="00B25549"/>
    <w:rsid w:val="00B25552"/>
    <w:rsid w:val="00B25633"/>
    <w:rsid w:val="00B257C5"/>
    <w:rsid w:val="00B258AF"/>
    <w:rsid w:val="00B25948"/>
    <w:rsid w:val="00B25BBB"/>
    <w:rsid w:val="00B25C2E"/>
    <w:rsid w:val="00B25D73"/>
    <w:rsid w:val="00B25E73"/>
    <w:rsid w:val="00B25F58"/>
    <w:rsid w:val="00B25FDA"/>
    <w:rsid w:val="00B25FEE"/>
    <w:rsid w:val="00B25FEF"/>
    <w:rsid w:val="00B26005"/>
    <w:rsid w:val="00B2600D"/>
    <w:rsid w:val="00B261EC"/>
    <w:rsid w:val="00B2622E"/>
    <w:rsid w:val="00B262B8"/>
    <w:rsid w:val="00B26741"/>
    <w:rsid w:val="00B2698C"/>
    <w:rsid w:val="00B26A4D"/>
    <w:rsid w:val="00B26AA0"/>
    <w:rsid w:val="00B26AB5"/>
    <w:rsid w:val="00B26B85"/>
    <w:rsid w:val="00B26BEA"/>
    <w:rsid w:val="00B26C1E"/>
    <w:rsid w:val="00B26C70"/>
    <w:rsid w:val="00B26D4E"/>
    <w:rsid w:val="00B26ECF"/>
    <w:rsid w:val="00B26FB1"/>
    <w:rsid w:val="00B27029"/>
    <w:rsid w:val="00B27084"/>
    <w:rsid w:val="00B271A8"/>
    <w:rsid w:val="00B27295"/>
    <w:rsid w:val="00B27298"/>
    <w:rsid w:val="00B273B3"/>
    <w:rsid w:val="00B273B7"/>
    <w:rsid w:val="00B27419"/>
    <w:rsid w:val="00B2760A"/>
    <w:rsid w:val="00B2773A"/>
    <w:rsid w:val="00B27768"/>
    <w:rsid w:val="00B2778C"/>
    <w:rsid w:val="00B27850"/>
    <w:rsid w:val="00B27875"/>
    <w:rsid w:val="00B27A54"/>
    <w:rsid w:val="00B27B1F"/>
    <w:rsid w:val="00B27C0D"/>
    <w:rsid w:val="00B27C1D"/>
    <w:rsid w:val="00B27C36"/>
    <w:rsid w:val="00B27CEC"/>
    <w:rsid w:val="00B27D21"/>
    <w:rsid w:val="00B2EB19"/>
    <w:rsid w:val="00B30010"/>
    <w:rsid w:val="00B304EF"/>
    <w:rsid w:val="00B306C9"/>
    <w:rsid w:val="00B30737"/>
    <w:rsid w:val="00B307D0"/>
    <w:rsid w:val="00B30856"/>
    <w:rsid w:val="00B3093B"/>
    <w:rsid w:val="00B30A65"/>
    <w:rsid w:val="00B30D0F"/>
    <w:rsid w:val="00B30F43"/>
    <w:rsid w:val="00B3105F"/>
    <w:rsid w:val="00B310AB"/>
    <w:rsid w:val="00B31207"/>
    <w:rsid w:val="00B31396"/>
    <w:rsid w:val="00B314CD"/>
    <w:rsid w:val="00B314ED"/>
    <w:rsid w:val="00B31573"/>
    <w:rsid w:val="00B31744"/>
    <w:rsid w:val="00B3183E"/>
    <w:rsid w:val="00B31CC3"/>
    <w:rsid w:val="00B31ED4"/>
    <w:rsid w:val="00B32253"/>
    <w:rsid w:val="00B32313"/>
    <w:rsid w:val="00B324F9"/>
    <w:rsid w:val="00B3251D"/>
    <w:rsid w:val="00B3251F"/>
    <w:rsid w:val="00B3260A"/>
    <w:rsid w:val="00B32821"/>
    <w:rsid w:val="00B32859"/>
    <w:rsid w:val="00B328EE"/>
    <w:rsid w:val="00B3295D"/>
    <w:rsid w:val="00B32ABF"/>
    <w:rsid w:val="00B32C2A"/>
    <w:rsid w:val="00B32EED"/>
    <w:rsid w:val="00B32FA0"/>
    <w:rsid w:val="00B33017"/>
    <w:rsid w:val="00B3330E"/>
    <w:rsid w:val="00B33435"/>
    <w:rsid w:val="00B334A9"/>
    <w:rsid w:val="00B334DA"/>
    <w:rsid w:val="00B3366C"/>
    <w:rsid w:val="00B3380A"/>
    <w:rsid w:val="00B339B1"/>
    <w:rsid w:val="00B33A6B"/>
    <w:rsid w:val="00B33BF5"/>
    <w:rsid w:val="00B33CF6"/>
    <w:rsid w:val="00B33F34"/>
    <w:rsid w:val="00B340B7"/>
    <w:rsid w:val="00B340CD"/>
    <w:rsid w:val="00B342B7"/>
    <w:rsid w:val="00B343DD"/>
    <w:rsid w:val="00B344C8"/>
    <w:rsid w:val="00B34503"/>
    <w:rsid w:val="00B34504"/>
    <w:rsid w:val="00B34822"/>
    <w:rsid w:val="00B34BAB"/>
    <w:rsid w:val="00B34BB3"/>
    <w:rsid w:val="00B34C81"/>
    <w:rsid w:val="00B34D23"/>
    <w:rsid w:val="00B34DEC"/>
    <w:rsid w:val="00B34F32"/>
    <w:rsid w:val="00B35084"/>
    <w:rsid w:val="00B3509B"/>
    <w:rsid w:val="00B35190"/>
    <w:rsid w:val="00B35287"/>
    <w:rsid w:val="00B35290"/>
    <w:rsid w:val="00B353D3"/>
    <w:rsid w:val="00B35463"/>
    <w:rsid w:val="00B35467"/>
    <w:rsid w:val="00B354C7"/>
    <w:rsid w:val="00B354D8"/>
    <w:rsid w:val="00B35500"/>
    <w:rsid w:val="00B35581"/>
    <w:rsid w:val="00B357F7"/>
    <w:rsid w:val="00B35B45"/>
    <w:rsid w:val="00B35C37"/>
    <w:rsid w:val="00B35C84"/>
    <w:rsid w:val="00B35C8C"/>
    <w:rsid w:val="00B35D4F"/>
    <w:rsid w:val="00B35E49"/>
    <w:rsid w:val="00B35E5B"/>
    <w:rsid w:val="00B35EC3"/>
    <w:rsid w:val="00B35FC4"/>
    <w:rsid w:val="00B3600C"/>
    <w:rsid w:val="00B36012"/>
    <w:rsid w:val="00B360A6"/>
    <w:rsid w:val="00B360FD"/>
    <w:rsid w:val="00B3612F"/>
    <w:rsid w:val="00B36489"/>
    <w:rsid w:val="00B36967"/>
    <w:rsid w:val="00B36B09"/>
    <w:rsid w:val="00B36B1D"/>
    <w:rsid w:val="00B36B3B"/>
    <w:rsid w:val="00B36EC6"/>
    <w:rsid w:val="00B36F0E"/>
    <w:rsid w:val="00B3703F"/>
    <w:rsid w:val="00B370C3"/>
    <w:rsid w:val="00B37129"/>
    <w:rsid w:val="00B372CC"/>
    <w:rsid w:val="00B3746B"/>
    <w:rsid w:val="00B3751E"/>
    <w:rsid w:val="00B37560"/>
    <w:rsid w:val="00B37575"/>
    <w:rsid w:val="00B375E3"/>
    <w:rsid w:val="00B376FB"/>
    <w:rsid w:val="00B37710"/>
    <w:rsid w:val="00B37772"/>
    <w:rsid w:val="00B377F0"/>
    <w:rsid w:val="00B379AB"/>
    <w:rsid w:val="00B37B85"/>
    <w:rsid w:val="00B37D01"/>
    <w:rsid w:val="00B37D27"/>
    <w:rsid w:val="00B37EE0"/>
    <w:rsid w:val="00B37EE5"/>
    <w:rsid w:val="00B37F6C"/>
    <w:rsid w:val="00B402E6"/>
    <w:rsid w:val="00B4034E"/>
    <w:rsid w:val="00B40387"/>
    <w:rsid w:val="00B403F1"/>
    <w:rsid w:val="00B40400"/>
    <w:rsid w:val="00B405D5"/>
    <w:rsid w:val="00B406F7"/>
    <w:rsid w:val="00B40720"/>
    <w:rsid w:val="00B40730"/>
    <w:rsid w:val="00B4091C"/>
    <w:rsid w:val="00B40A5E"/>
    <w:rsid w:val="00B40AD3"/>
    <w:rsid w:val="00B40BD2"/>
    <w:rsid w:val="00B40CDD"/>
    <w:rsid w:val="00B40E4A"/>
    <w:rsid w:val="00B40E7B"/>
    <w:rsid w:val="00B40EDF"/>
    <w:rsid w:val="00B410A3"/>
    <w:rsid w:val="00B41126"/>
    <w:rsid w:val="00B41169"/>
    <w:rsid w:val="00B41194"/>
    <w:rsid w:val="00B411AA"/>
    <w:rsid w:val="00B417FC"/>
    <w:rsid w:val="00B41825"/>
    <w:rsid w:val="00B41A9B"/>
    <w:rsid w:val="00B41CCE"/>
    <w:rsid w:val="00B41D37"/>
    <w:rsid w:val="00B41DDB"/>
    <w:rsid w:val="00B41F46"/>
    <w:rsid w:val="00B41FD5"/>
    <w:rsid w:val="00B42112"/>
    <w:rsid w:val="00B42154"/>
    <w:rsid w:val="00B421CF"/>
    <w:rsid w:val="00B4226B"/>
    <w:rsid w:val="00B42270"/>
    <w:rsid w:val="00B422F4"/>
    <w:rsid w:val="00B42375"/>
    <w:rsid w:val="00B42493"/>
    <w:rsid w:val="00B42707"/>
    <w:rsid w:val="00B42974"/>
    <w:rsid w:val="00B42A07"/>
    <w:rsid w:val="00B42AF3"/>
    <w:rsid w:val="00B42AFD"/>
    <w:rsid w:val="00B42B51"/>
    <w:rsid w:val="00B42B69"/>
    <w:rsid w:val="00B42BEF"/>
    <w:rsid w:val="00B42E39"/>
    <w:rsid w:val="00B42EDD"/>
    <w:rsid w:val="00B4303C"/>
    <w:rsid w:val="00B4315B"/>
    <w:rsid w:val="00B4321B"/>
    <w:rsid w:val="00B4323E"/>
    <w:rsid w:val="00B4338A"/>
    <w:rsid w:val="00B4349A"/>
    <w:rsid w:val="00B4358B"/>
    <w:rsid w:val="00B435EB"/>
    <w:rsid w:val="00B43691"/>
    <w:rsid w:val="00B436B3"/>
    <w:rsid w:val="00B437AE"/>
    <w:rsid w:val="00B4384E"/>
    <w:rsid w:val="00B438A8"/>
    <w:rsid w:val="00B439B9"/>
    <w:rsid w:val="00B43C21"/>
    <w:rsid w:val="00B43E95"/>
    <w:rsid w:val="00B43F76"/>
    <w:rsid w:val="00B44037"/>
    <w:rsid w:val="00B440DC"/>
    <w:rsid w:val="00B44133"/>
    <w:rsid w:val="00B442F3"/>
    <w:rsid w:val="00B44307"/>
    <w:rsid w:val="00B443CB"/>
    <w:rsid w:val="00B443DC"/>
    <w:rsid w:val="00B4457F"/>
    <w:rsid w:val="00B445BF"/>
    <w:rsid w:val="00B445E1"/>
    <w:rsid w:val="00B44785"/>
    <w:rsid w:val="00B448E7"/>
    <w:rsid w:val="00B449EA"/>
    <w:rsid w:val="00B44C63"/>
    <w:rsid w:val="00B44C75"/>
    <w:rsid w:val="00B44DF5"/>
    <w:rsid w:val="00B44E5F"/>
    <w:rsid w:val="00B44EA8"/>
    <w:rsid w:val="00B44FE8"/>
    <w:rsid w:val="00B45116"/>
    <w:rsid w:val="00B452F3"/>
    <w:rsid w:val="00B45329"/>
    <w:rsid w:val="00B453FF"/>
    <w:rsid w:val="00B45497"/>
    <w:rsid w:val="00B454B7"/>
    <w:rsid w:val="00B45524"/>
    <w:rsid w:val="00B4561B"/>
    <w:rsid w:val="00B458E4"/>
    <w:rsid w:val="00B45BE5"/>
    <w:rsid w:val="00B45C6D"/>
    <w:rsid w:val="00B45C9D"/>
    <w:rsid w:val="00B45D22"/>
    <w:rsid w:val="00B45DA4"/>
    <w:rsid w:val="00B45F3F"/>
    <w:rsid w:val="00B45FBA"/>
    <w:rsid w:val="00B460AE"/>
    <w:rsid w:val="00B46403"/>
    <w:rsid w:val="00B46617"/>
    <w:rsid w:val="00B467B1"/>
    <w:rsid w:val="00B46A13"/>
    <w:rsid w:val="00B46B71"/>
    <w:rsid w:val="00B46C38"/>
    <w:rsid w:val="00B46D9C"/>
    <w:rsid w:val="00B473FC"/>
    <w:rsid w:val="00B47455"/>
    <w:rsid w:val="00B4760E"/>
    <w:rsid w:val="00B4762A"/>
    <w:rsid w:val="00B47676"/>
    <w:rsid w:val="00B477C2"/>
    <w:rsid w:val="00B4784A"/>
    <w:rsid w:val="00B478B5"/>
    <w:rsid w:val="00B47925"/>
    <w:rsid w:val="00B47AD0"/>
    <w:rsid w:val="00B47B0B"/>
    <w:rsid w:val="00B47BA6"/>
    <w:rsid w:val="00B47C2C"/>
    <w:rsid w:val="00B47EB4"/>
    <w:rsid w:val="00B47EBD"/>
    <w:rsid w:val="00B47EE4"/>
    <w:rsid w:val="00B50193"/>
    <w:rsid w:val="00B50195"/>
    <w:rsid w:val="00B5034B"/>
    <w:rsid w:val="00B503C5"/>
    <w:rsid w:val="00B5056A"/>
    <w:rsid w:val="00B508BF"/>
    <w:rsid w:val="00B509D0"/>
    <w:rsid w:val="00B50AF2"/>
    <w:rsid w:val="00B50CCE"/>
    <w:rsid w:val="00B50D5A"/>
    <w:rsid w:val="00B50EA6"/>
    <w:rsid w:val="00B50F14"/>
    <w:rsid w:val="00B50F87"/>
    <w:rsid w:val="00B510D1"/>
    <w:rsid w:val="00B51224"/>
    <w:rsid w:val="00B5125F"/>
    <w:rsid w:val="00B5129E"/>
    <w:rsid w:val="00B512E6"/>
    <w:rsid w:val="00B51409"/>
    <w:rsid w:val="00B516B4"/>
    <w:rsid w:val="00B516F6"/>
    <w:rsid w:val="00B51786"/>
    <w:rsid w:val="00B51867"/>
    <w:rsid w:val="00B51936"/>
    <w:rsid w:val="00B51B57"/>
    <w:rsid w:val="00B51C60"/>
    <w:rsid w:val="00B51CE1"/>
    <w:rsid w:val="00B51E4F"/>
    <w:rsid w:val="00B51E76"/>
    <w:rsid w:val="00B51EBC"/>
    <w:rsid w:val="00B51F0B"/>
    <w:rsid w:val="00B5203D"/>
    <w:rsid w:val="00B5221A"/>
    <w:rsid w:val="00B523A9"/>
    <w:rsid w:val="00B523C7"/>
    <w:rsid w:val="00B52447"/>
    <w:rsid w:val="00B52757"/>
    <w:rsid w:val="00B527C3"/>
    <w:rsid w:val="00B52877"/>
    <w:rsid w:val="00B528A7"/>
    <w:rsid w:val="00B5296C"/>
    <w:rsid w:val="00B52C86"/>
    <w:rsid w:val="00B52E6D"/>
    <w:rsid w:val="00B52FE0"/>
    <w:rsid w:val="00B53090"/>
    <w:rsid w:val="00B53093"/>
    <w:rsid w:val="00B530E1"/>
    <w:rsid w:val="00B532B6"/>
    <w:rsid w:val="00B53477"/>
    <w:rsid w:val="00B5347F"/>
    <w:rsid w:val="00B53543"/>
    <w:rsid w:val="00B53680"/>
    <w:rsid w:val="00B53B04"/>
    <w:rsid w:val="00B53B56"/>
    <w:rsid w:val="00B53C7F"/>
    <w:rsid w:val="00B53CB7"/>
    <w:rsid w:val="00B53D7D"/>
    <w:rsid w:val="00B53E10"/>
    <w:rsid w:val="00B54189"/>
    <w:rsid w:val="00B54329"/>
    <w:rsid w:val="00B5443A"/>
    <w:rsid w:val="00B5470B"/>
    <w:rsid w:val="00B5471C"/>
    <w:rsid w:val="00B5476B"/>
    <w:rsid w:val="00B54781"/>
    <w:rsid w:val="00B547EF"/>
    <w:rsid w:val="00B54921"/>
    <w:rsid w:val="00B549A7"/>
    <w:rsid w:val="00B54A49"/>
    <w:rsid w:val="00B54AF3"/>
    <w:rsid w:val="00B54C2D"/>
    <w:rsid w:val="00B54DD4"/>
    <w:rsid w:val="00B54DF4"/>
    <w:rsid w:val="00B54E3A"/>
    <w:rsid w:val="00B54E70"/>
    <w:rsid w:val="00B55176"/>
    <w:rsid w:val="00B5520E"/>
    <w:rsid w:val="00B5535C"/>
    <w:rsid w:val="00B5540F"/>
    <w:rsid w:val="00B55527"/>
    <w:rsid w:val="00B55537"/>
    <w:rsid w:val="00B555FA"/>
    <w:rsid w:val="00B556B2"/>
    <w:rsid w:val="00B557AD"/>
    <w:rsid w:val="00B5589C"/>
    <w:rsid w:val="00B558FE"/>
    <w:rsid w:val="00B559C6"/>
    <w:rsid w:val="00B55A04"/>
    <w:rsid w:val="00B55BF2"/>
    <w:rsid w:val="00B55DD6"/>
    <w:rsid w:val="00B55E6B"/>
    <w:rsid w:val="00B55E94"/>
    <w:rsid w:val="00B56038"/>
    <w:rsid w:val="00B562A8"/>
    <w:rsid w:val="00B562DE"/>
    <w:rsid w:val="00B56471"/>
    <w:rsid w:val="00B564FF"/>
    <w:rsid w:val="00B567EB"/>
    <w:rsid w:val="00B56B29"/>
    <w:rsid w:val="00B56BF2"/>
    <w:rsid w:val="00B56D42"/>
    <w:rsid w:val="00B56E2D"/>
    <w:rsid w:val="00B5707E"/>
    <w:rsid w:val="00B57117"/>
    <w:rsid w:val="00B5711F"/>
    <w:rsid w:val="00B571AA"/>
    <w:rsid w:val="00B5724B"/>
    <w:rsid w:val="00B57288"/>
    <w:rsid w:val="00B572F1"/>
    <w:rsid w:val="00B57319"/>
    <w:rsid w:val="00B57330"/>
    <w:rsid w:val="00B57478"/>
    <w:rsid w:val="00B574D3"/>
    <w:rsid w:val="00B5761F"/>
    <w:rsid w:val="00B57677"/>
    <w:rsid w:val="00B576C5"/>
    <w:rsid w:val="00B576D0"/>
    <w:rsid w:val="00B57906"/>
    <w:rsid w:val="00B5791D"/>
    <w:rsid w:val="00B57B0E"/>
    <w:rsid w:val="00B57C3A"/>
    <w:rsid w:val="00B57F60"/>
    <w:rsid w:val="00B57F7A"/>
    <w:rsid w:val="00B57F86"/>
    <w:rsid w:val="00B60011"/>
    <w:rsid w:val="00B602AC"/>
    <w:rsid w:val="00B6031C"/>
    <w:rsid w:val="00B60364"/>
    <w:rsid w:val="00B60380"/>
    <w:rsid w:val="00B603C3"/>
    <w:rsid w:val="00B605A7"/>
    <w:rsid w:val="00B6062F"/>
    <w:rsid w:val="00B609F8"/>
    <w:rsid w:val="00B60A14"/>
    <w:rsid w:val="00B60A79"/>
    <w:rsid w:val="00B60C4B"/>
    <w:rsid w:val="00B60C61"/>
    <w:rsid w:val="00B60DEF"/>
    <w:rsid w:val="00B60E27"/>
    <w:rsid w:val="00B60EAE"/>
    <w:rsid w:val="00B610C2"/>
    <w:rsid w:val="00B610E9"/>
    <w:rsid w:val="00B6122D"/>
    <w:rsid w:val="00B6130A"/>
    <w:rsid w:val="00B61340"/>
    <w:rsid w:val="00B61414"/>
    <w:rsid w:val="00B6147E"/>
    <w:rsid w:val="00B61532"/>
    <w:rsid w:val="00B6157E"/>
    <w:rsid w:val="00B61610"/>
    <w:rsid w:val="00B616E6"/>
    <w:rsid w:val="00B619B5"/>
    <w:rsid w:val="00B61BB7"/>
    <w:rsid w:val="00B61D41"/>
    <w:rsid w:val="00B61FD4"/>
    <w:rsid w:val="00B6201A"/>
    <w:rsid w:val="00B6214C"/>
    <w:rsid w:val="00B6227C"/>
    <w:rsid w:val="00B62327"/>
    <w:rsid w:val="00B62374"/>
    <w:rsid w:val="00B62375"/>
    <w:rsid w:val="00B6279D"/>
    <w:rsid w:val="00B62869"/>
    <w:rsid w:val="00B6289A"/>
    <w:rsid w:val="00B62C97"/>
    <w:rsid w:val="00B62FCA"/>
    <w:rsid w:val="00B632E5"/>
    <w:rsid w:val="00B63416"/>
    <w:rsid w:val="00B63570"/>
    <w:rsid w:val="00B63599"/>
    <w:rsid w:val="00B635BE"/>
    <w:rsid w:val="00B635F8"/>
    <w:rsid w:val="00B63660"/>
    <w:rsid w:val="00B63683"/>
    <w:rsid w:val="00B63742"/>
    <w:rsid w:val="00B63775"/>
    <w:rsid w:val="00B6380C"/>
    <w:rsid w:val="00B6387F"/>
    <w:rsid w:val="00B638A9"/>
    <w:rsid w:val="00B638D2"/>
    <w:rsid w:val="00B638E7"/>
    <w:rsid w:val="00B63A46"/>
    <w:rsid w:val="00B63B0C"/>
    <w:rsid w:val="00B63B1E"/>
    <w:rsid w:val="00B63B99"/>
    <w:rsid w:val="00B63FDE"/>
    <w:rsid w:val="00B640E9"/>
    <w:rsid w:val="00B64211"/>
    <w:rsid w:val="00B6428A"/>
    <w:rsid w:val="00B642CF"/>
    <w:rsid w:val="00B64379"/>
    <w:rsid w:val="00B64549"/>
    <w:rsid w:val="00B646EF"/>
    <w:rsid w:val="00B647F6"/>
    <w:rsid w:val="00B6485F"/>
    <w:rsid w:val="00B648B4"/>
    <w:rsid w:val="00B64950"/>
    <w:rsid w:val="00B649EC"/>
    <w:rsid w:val="00B64ABF"/>
    <w:rsid w:val="00B64BAA"/>
    <w:rsid w:val="00B64C0C"/>
    <w:rsid w:val="00B64C98"/>
    <w:rsid w:val="00B64CCE"/>
    <w:rsid w:val="00B64D27"/>
    <w:rsid w:val="00B64DF5"/>
    <w:rsid w:val="00B65143"/>
    <w:rsid w:val="00B65179"/>
    <w:rsid w:val="00B65218"/>
    <w:rsid w:val="00B654F7"/>
    <w:rsid w:val="00B65598"/>
    <w:rsid w:val="00B6559F"/>
    <w:rsid w:val="00B655E7"/>
    <w:rsid w:val="00B65701"/>
    <w:rsid w:val="00B6570E"/>
    <w:rsid w:val="00B6596C"/>
    <w:rsid w:val="00B659F6"/>
    <w:rsid w:val="00B65BC8"/>
    <w:rsid w:val="00B65C9B"/>
    <w:rsid w:val="00B65CF3"/>
    <w:rsid w:val="00B65F3F"/>
    <w:rsid w:val="00B66014"/>
    <w:rsid w:val="00B66027"/>
    <w:rsid w:val="00B66227"/>
    <w:rsid w:val="00B66480"/>
    <w:rsid w:val="00B664E6"/>
    <w:rsid w:val="00B6678A"/>
    <w:rsid w:val="00B66883"/>
    <w:rsid w:val="00B668F4"/>
    <w:rsid w:val="00B66BF2"/>
    <w:rsid w:val="00B66BFD"/>
    <w:rsid w:val="00B66CB1"/>
    <w:rsid w:val="00B66CB4"/>
    <w:rsid w:val="00B66D75"/>
    <w:rsid w:val="00B6708E"/>
    <w:rsid w:val="00B67097"/>
    <w:rsid w:val="00B671E8"/>
    <w:rsid w:val="00B6723C"/>
    <w:rsid w:val="00B6735C"/>
    <w:rsid w:val="00B674B9"/>
    <w:rsid w:val="00B67514"/>
    <w:rsid w:val="00B67619"/>
    <w:rsid w:val="00B679BC"/>
    <w:rsid w:val="00B679D4"/>
    <w:rsid w:val="00B67D63"/>
    <w:rsid w:val="00B67E26"/>
    <w:rsid w:val="00B67EDB"/>
    <w:rsid w:val="00B67F16"/>
    <w:rsid w:val="00B67FFB"/>
    <w:rsid w:val="00B7025E"/>
    <w:rsid w:val="00B7035D"/>
    <w:rsid w:val="00B703C2"/>
    <w:rsid w:val="00B70615"/>
    <w:rsid w:val="00B7074B"/>
    <w:rsid w:val="00B7082E"/>
    <w:rsid w:val="00B708AB"/>
    <w:rsid w:val="00B70A72"/>
    <w:rsid w:val="00B70CB0"/>
    <w:rsid w:val="00B70DBD"/>
    <w:rsid w:val="00B70F0F"/>
    <w:rsid w:val="00B70FDE"/>
    <w:rsid w:val="00B7120A"/>
    <w:rsid w:val="00B71358"/>
    <w:rsid w:val="00B7139E"/>
    <w:rsid w:val="00B713C4"/>
    <w:rsid w:val="00B715FC"/>
    <w:rsid w:val="00B716E8"/>
    <w:rsid w:val="00B71977"/>
    <w:rsid w:val="00B7197B"/>
    <w:rsid w:val="00B71D68"/>
    <w:rsid w:val="00B71E63"/>
    <w:rsid w:val="00B71E6D"/>
    <w:rsid w:val="00B71EB4"/>
    <w:rsid w:val="00B71F68"/>
    <w:rsid w:val="00B7217D"/>
    <w:rsid w:val="00B7227E"/>
    <w:rsid w:val="00B72558"/>
    <w:rsid w:val="00B7275B"/>
    <w:rsid w:val="00B727A2"/>
    <w:rsid w:val="00B727C4"/>
    <w:rsid w:val="00B72B32"/>
    <w:rsid w:val="00B72BBF"/>
    <w:rsid w:val="00B72BE9"/>
    <w:rsid w:val="00B72C11"/>
    <w:rsid w:val="00B72CF2"/>
    <w:rsid w:val="00B72CF8"/>
    <w:rsid w:val="00B72EB3"/>
    <w:rsid w:val="00B73031"/>
    <w:rsid w:val="00B73068"/>
    <w:rsid w:val="00B7312A"/>
    <w:rsid w:val="00B7321D"/>
    <w:rsid w:val="00B7337F"/>
    <w:rsid w:val="00B7347E"/>
    <w:rsid w:val="00B736B5"/>
    <w:rsid w:val="00B736B9"/>
    <w:rsid w:val="00B73773"/>
    <w:rsid w:val="00B73853"/>
    <w:rsid w:val="00B73982"/>
    <w:rsid w:val="00B73AE1"/>
    <w:rsid w:val="00B73BF7"/>
    <w:rsid w:val="00B73D71"/>
    <w:rsid w:val="00B73DDD"/>
    <w:rsid w:val="00B73E45"/>
    <w:rsid w:val="00B74012"/>
    <w:rsid w:val="00B74018"/>
    <w:rsid w:val="00B740D5"/>
    <w:rsid w:val="00B740DF"/>
    <w:rsid w:val="00B74284"/>
    <w:rsid w:val="00B7441E"/>
    <w:rsid w:val="00B74476"/>
    <w:rsid w:val="00B74590"/>
    <w:rsid w:val="00B74616"/>
    <w:rsid w:val="00B74649"/>
    <w:rsid w:val="00B74656"/>
    <w:rsid w:val="00B74674"/>
    <w:rsid w:val="00B7478D"/>
    <w:rsid w:val="00B74856"/>
    <w:rsid w:val="00B748FF"/>
    <w:rsid w:val="00B7499C"/>
    <w:rsid w:val="00B749E3"/>
    <w:rsid w:val="00B74A30"/>
    <w:rsid w:val="00B74A54"/>
    <w:rsid w:val="00B74B68"/>
    <w:rsid w:val="00B74B7E"/>
    <w:rsid w:val="00B74D80"/>
    <w:rsid w:val="00B74E81"/>
    <w:rsid w:val="00B74EAD"/>
    <w:rsid w:val="00B74FA8"/>
    <w:rsid w:val="00B74FBB"/>
    <w:rsid w:val="00B7500E"/>
    <w:rsid w:val="00B75363"/>
    <w:rsid w:val="00B753B4"/>
    <w:rsid w:val="00B75562"/>
    <w:rsid w:val="00B7568D"/>
    <w:rsid w:val="00B75975"/>
    <w:rsid w:val="00B75A95"/>
    <w:rsid w:val="00B75AF6"/>
    <w:rsid w:val="00B75C1D"/>
    <w:rsid w:val="00B75CC0"/>
    <w:rsid w:val="00B75D64"/>
    <w:rsid w:val="00B75DBB"/>
    <w:rsid w:val="00B75E6D"/>
    <w:rsid w:val="00B75EA9"/>
    <w:rsid w:val="00B7612C"/>
    <w:rsid w:val="00B76302"/>
    <w:rsid w:val="00B763F2"/>
    <w:rsid w:val="00B7658D"/>
    <w:rsid w:val="00B7665E"/>
    <w:rsid w:val="00B7666D"/>
    <w:rsid w:val="00B76787"/>
    <w:rsid w:val="00B76808"/>
    <w:rsid w:val="00B769B3"/>
    <w:rsid w:val="00B76A1D"/>
    <w:rsid w:val="00B76A46"/>
    <w:rsid w:val="00B76B1C"/>
    <w:rsid w:val="00B76C03"/>
    <w:rsid w:val="00B76C37"/>
    <w:rsid w:val="00B76CEF"/>
    <w:rsid w:val="00B76D1F"/>
    <w:rsid w:val="00B76D63"/>
    <w:rsid w:val="00B76D73"/>
    <w:rsid w:val="00B76FE4"/>
    <w:rsid w:val="00B772C3"/>
    <w:rsid w:val="00B773B1"/>
    <w:rsid w:val="00B774B3"/>
    <w:rsid w:val="00B774F8"/>
    <w:rsid w:val="00B77637"/>
    <w:rsid w:val="00B776FD"/>
    <w:rsid w:val="00B778AD"/>
    <w:rsid w:val="00B779E3"/>
    <w:rsid w:val="00B77A08"/>
    <w:rsid w:val="00B77A36"/>
    <w:rsid w:val="00B77A5E"/>
    <w:rsid w:val="00B77B17"/>
    <w:rsid w:val="00B77D4D"/>
    <w:rsid w:val="00B77D79"/>
    <w:rsid w:val="00B77E19"/>
    <w:rsid w:val="00B77F6F"/>
    <w:rsid w:val="00B8023E"/>
    <w:rsid w:val="00B80293"/>
    <w:rsid w:val="00B8030D"/>
    <w:rsid w:val="00B80415"/>
    <w:rsid w:val="00B80487"/>
    <w:rsid w:val="00B8066B"/>
    <w:rsid w:val="00B80681"/>
    <w:rsid w:val="00B806EA"/>
    <w:rsid w:val="00B807C6"/>
    <w:rsid w:val="00B80E37"/>
    <w:rsid w:val="00B80E7F"/>
    <w:rsid w:val="00B80F15"/>
    <w:rsid w:val="00B80F9D"/>
    <w:rsid w:val="00B81007"/>
    <w:rsid w:val="00B8105B"/>
    <w:rsid w:val="00B81079"/>
    <w:rsid w:val="00B81278"/>
    <w:rsid w:val="00B81463"/>
    <w:rsid w:val="00B814A0"/>
    <w:rsid w:val="00B81564"/>
    <w:rsid w:val="00B81665"/>
    <w:rsid w:val="00B81673"/>
    <w:rsid w:val="00B81941"/>
    <w:rsid w:val="00B81AD8"/>
    <w:rsid w:val="00B81CFD"/>
    <w:rsid w:val="00B81D9B"/>
    <w:rsid w:val="00B81DB6"/>
    <w:rsid w:val="00B81DDF"/>
    <w:rsid w:val="00B81EA6"/>
    <w:rsid w:val="00B81EC5"/>
    <w:rsid w:val="00B82190"/>
    <w:rsid w:val="00B825B9"/>
    <w:rsid w:val="00B8260D"/>
    <w:rsid w:val="00B82652"/>
    <w:rsid w:val="00B82875"/>
    <w:rsid w:val="00B82953"/>
    <w:rsid w:val="00B8296E"/>
    <w:rsid w:val="00B8298A"/>
    <w:rsid w:val="00B829DD"/>
    <w:rsid w:val="00B82A05"/>
    <w:rsid w:val="00B82D59"/>
    <w:rsid w:val="00B82DE2"/>
    <w:rsid w:val="00B82F48"/>
    <w:rsid w:val="00B83147"/>
    <w:rsid w:val="00B831A5"/>
    <w:rsid w:val="00B831B9"/>
    <w:rsid w:val="00B8324F"/>
    <w:rsid w:val="00B832F2"/>
    <w:rsid w:val="00B832F8"/>
    <w:rsid w:val="00B833AB"/>
    <w:rsid w:val="00B83596"/>
    <w:rsid w:val="00B836FA"/>
    <w:rsid w:val="00B837F6"/>
    <w:rsid w:val="00B83935"/>
    <w:rsid w:val="00B83BDA"/>
    <w:rsid w:val="00B83C9E"/>
    <w:rsid w:val="00B83D41"/>
    <w:rsid w:val="00B83DFA"/>
    <w:rsid w:val="00B83E44"/>
    <w:rsid w:val="00B840A1"/>
    <w:rsid w:val="00B841A6"/>
    <w:rsid w:val="00B841B0"/>
    <w:rsid w:val="00B84213"/>
    <w:rsid w:val="00B84443"/>
    <w:rsid w:val="00B844FE"/>
    <w:rsid w:val="00B846C7"/>
    <w:rsid w:val="00B84746"/>
    <w:rsid w:val="00B8474B"/>
    <w:rsid w:val="00B847C4"/>
    <w:rsid w:val="00B848A8"/>
    <w:rsid w:val="00B8492D"/>
    <w:rsid w:val="00B84981"/>
    <w:rsid w:val="00B84BE8"/>
    <w:rsid w:val="00B84C1D"/>
    <w:rsid w:val="00B84D95"/>
    <w:rsid w:val="00B84E76"/>
    <w:rsid w:val="00B84EA4"/>
    <w:rsid w:val="00B8503F"/>
    <w:rsid w:val="00B85080"/>
    <w:rsid w:val="00B85082"/>
    <w:rsid w:val="00B850E6"/>
    <w:rsid w:val="00B852ED"/>
    <w:rsid w:val="00B85316"/>
    <w:rsid w:val="00B85320"/>
    <w:rsid w:val="00B8578F"/>
    <w:rsid w:val="00B8595C"/>
    <w:rsid w:val="00B859F4"/>
    <w:rsid w:val="00B85C68"/>
    <w:rsid w:val="00B85DC7"/>
    <w:rsid w:val="00B85EA8"/>
    <w:rsid w:val="00B86033"/>
    <w:rsid w:val="00B8605B"/>
    <w:rsid w:val="00B860A8"/>
    <w:rsid w:val="00B861BC"/>
    <w:rsid w:val="00B86278"/>
    <w:rsid w:val="00B8636B"/>
    <w:rsid w:val="00B863AD"/>
    <w:rsid w:val="00B863C9"/>
    <w:rsid w:val="00B86488"/>
    <w:rsid w:val="00B8657C"/>
    <w:rsid w:val="00B86838"/>
    <w:rsid w:val="00B868B2"/>
    <w:rsid w:val="00B86A59"/>
    <w:rsid w:val="00B86B9D"/>
    <w:rsid w:val="00B86D0E"/>
    <w:rsid w:val="00B86D7D"/>
    <w:rsid w:val="00B86D96"/>
    <w:rsid w:val="00B86E31"/>
    <w:rsid w:val="00B87146"/>
    <w:rsid w:val="00B871D9"/>
    <w:rsid w:val="00B871FC"/>
    <w:rsid w:val="00B8737D"/>
    <w:rsid w:val="00B874B6"/>
    <w:rsid w:val="00B874DC"/>
    <w:rsid w:val="00B87543"/>
    <w:rsid w:val="00B87574"/>
    <w:rsid w:val="00B875C3"/>
    <w:rsid w:val="00B87711"/>
    <w:rsid w:val="00B8780E"/>
    <w:rsid w:val="00B8784D"/>
    <w:rsid w:val="00B8785E"/>
    <w:rsid w:val="00B878CF"/>
    <w:rsid w:val="00B8793E"/>
    <w:rsid w:val="00B87AEF"/>
    <w:rsid w:val="00B87B57"/>
    <w:rsid w:val="00B87BCD"/>
    <w:rsid w:val="00B87BE7"/>
    <w:rsid w:val="00B87D0D"/>
    <w:rsid w:val="00B87DC6"/>
    <w:rsid w:val="00B87DDC"/>
    <w:rsid w:val="00B87E1E"/>
    <w:rsid w:val="00B87E4F"/>
    <w:rsid w:val="00B900CA"/>
    <w:rsid w:val="00B900D2"/>
    <w:rsid w:val="00B90110"/>
    <w:rsid w:val="00B901C4"/>
    <w:rsid w:val="00B90447"/>
    <w:rsid w:val="00B9044E"/>
    <w:rsid w:val="00B9052A"/>
    <w:rsid w:val="00B90555"/>
    <w:rsid w:val="00B90597"/>
    <w:rsid w:val="00B90752"/>
    <w:rsid w:val="00B90A53"/>
    <w:rsid w:val="00B90A8C"/>
    <w:rsid w:val="00B90A8F"/>
    <w:rsid w:val="00B90E52"/>
    <w:rsid w:val="00B90F62"/>
    <w:rsid w:val="00B9131B"/>
    <w:rsid w:val="00B91914"/>
    <w:rsid w:val="00B91D09"/>
    <w:rsid w:val="00B920D7"/>
    <w:rsid w:val="00B921D9"/>
    <w:rsid w:val="00B922E8"/>
    <w:rsid w:val="00B923C4"/>
    <w:rsid w:val="00B925EA"/>
    <w:rsid w:val="00B926FF"/>
    <w:rsid w:val="00B92930"/>
    <w:rsid w:val="00B92CDC"/>
    <w:rsid w:val="00B92E1E"/>
    <w:rsid w:val="00B9300A"/>
    <w:rsid w:val="00B93068"/>
    <w:rsid w:val="00B930E5"/>
    <w:rsid w:val="00B93233"/>
    <w:rsid w:val="00B9332B"/>
    <w:rsid w:val="00B9353F"/>
    <w:rsid w:val="00B93715"/>
    <w:rsid w:val="00B9377D"/>
    <w:rsid w:val="00B9381C"/>
    <w:rsid w:val="00B93913"/>
    <w:rsid w:val="00B93A72"/>
    <w:rsid w:val="00B93AB0"/>
    <w:rsid w:val="00B93AC3"/>
    <w:rsid w:val="00B93ACD"/>
    <w:rsid w:val="00B93B98"/>
    <w:rsid w:val="00B93BA7"/>
    <w:rsid w:val="00B93BC9"/>
    <w:rsid w:val="00B93E04"/>
    <w:rsid w:val="00B93E0C"/>
    <w:rsid w:val="00B942DA"/>
    <w:rsid w:val="00B944DC"/>
    <w:rsid w:val="00B94527"/>
    <w:rsid w:val="00B9462C"/>
    <w:rsid w:val="00B94857"/>
    <w:rsid w:val="00B948A5"/>
    <w:rsid w:val="00B948BF"/>
    <w:rsid w:val="00B948DC"/>
    <w:rsid w:val="00B94B03"/>
    <w:rsid w:val="00B94C61"/>
    <w:rsid w:val="00B94C74"/>
    <w:rsid w:val="00B94DA6"/>
    <w:rsid w:val="00B94DBB"/>
    <w:rsid w:val="00B94DD3"/>
    <w:rsid w:val="00B94E53"/>
    <w:rsid w:val="00B95043"/>
    <w:rsid w:val="00B95090"/>
    <w:rsid w:val="00B950E6"/>
    <w:rsid w:val="00B950FF"/>
    <w:rsid w:val="00B951B0"/>
    <w:rsid w:val="00B9530C"/>
    <w:rsid w:val="00B95522"/>
    <w:rsid w:val="00B95536"/>
    <w:rsid w:val="00B95565"/>
    <w:rsid w:val="00B95580"/>
    <w:rsid w:val="00B95581"/>
    <w:rsid w:val="00B955B9"/>
    <w:rsid w:val="00B955D7"/>
    <w:rsid w:val="00B955E3"/>
    <w:rsid w:val="00B956D6"/>
    <w:rsid w:val="00B957CE"/>
    <w:rsid w:val="00B95BBC"/>
    <w:rsid w:val="00B95CC5"/>
    <w:rsid w:val="00B95D1E"/>
    <w:rsid w:val="00B95FA1"/>
    <w:rsid w:val="00B95FA3"/>
    <w:rsid w:val="00B9607C"/>
    <w:rsid w:val="00B960ED"/>
    <w:rsid w:val="00B96235"/>
    <w:rsid w:val="00B962B0"/>
    <w:rsid w:val="00B9633A"/>
    <w:rsid w:val="00B96386"/>
    <w:rsid w:val="00B963B6"/>
    <w:rsid w:val="00B9642B"/>
    <w:rsid w:val="00B96442"/>
    <w:rsid w:val="00B9650A"/>
    <w:rsid w:val="00B96551"/>
    <w:rsid w:val="00B9659F"/>
    <w:rsid w:val="00B965C7"/>
    <w:rsid w:val="00B96984"/>
    <w:rsid w:val="00B96BC2"/>
    <w:rsid w:val="00B96BF8"/>
    <w:rsid w:val="00B96C2E"/>
    <w:rsid w:val="00B96D3C"/>
    <w:rsid w:val="00B96D7D"/>
    <w:rsid w:val="00B96E7A"/>
    <w:rsid w:val="00B96EE5"/>
    <w:rsid w:val="00B96F40"/>
    <w:rsid w:val="00B96FEF"/>
    <w:rsid w:val="00B97064"/>
    <w:rsid w:val="00B970AE"/>
    <w:rsid w:val="00B97133"/>
    <w:rsid w:val="00B9719A"/>
    <w:rsid w:val="00B971BA"/>
    <w:rsid w:val="00B97202"/>
    <w:rsid w:val="00B9730B"/>
    <w:rsid w:val="00B973E6"/>
    <w:rsid w:val="00B97546"/>
    <w:rsid w:val="00B975C9"/>
    <w:rsid w:val="00B97B3D"/>
    <w:rsid w:val="00B97BCC"/>
    <w:rsid w:val="00B97C7E"/>
    <w:rsid w:val="00B97C81"/>
    <w:rsid w:val="00B97F68"/>
    <w:rsid w:val="00BA003C"/>
    <w:rsid w:val="00BA04F1"/>
    <w:rsid w:val="00BA0503"/>
    <w:rsid w:val="00BA0508"/>
    <w:rsid w:val="00BA0558"/>
    <w:rsid w:val="00BA0612"/>
    <w:rsid w:val="00BA08B4"/>
    <w:rsid w:val="00BA0A8F"/>
    <w:rsid w:val="00BA0AD4"/>
    <w:rsid w:val="00BA0B32"/>
    <w:rsid w:val="00BA0C1B"/>
    <w:rsid w:val="00BA0DB3"/>
    <w:rsid w:val="00BA0E0D"/>
    <w:rsid w:val="00BA11A1"/>
    <w:rsid w:val="00BA12CA"/>
    <w:rsid w:val="00BA1314"/>
    <w:rsid w:val="00BA13EE"/>
    <w:rsid w:val="00BA1606"/>
    <w:rsid w:val="00BA1670"/>
    <w:rsid w:val="00BA168A"/>
    <w:rsid w:val="00BA16A1"/>
    <w:rsid w:val="00BA180E"/>
    <w:rsid w:val="00BA1B74"/>
    <w:rsid w:val="00BA1E82"/>
    <w:rsid w:val="00BA1FC7"/>
    <w:rsid w:val="00BA1FF3"/>
    <w:rsid w:val="00BA2043"/>
    <w:rsid w:val="00BA216F"/>
    <w:rsid w:val="00BA21BA"/>
    <w:rsid w:val="00BA231D"/>
    <w:rsid w:val="00BA2481"/>
    <w:rsid w:val="00BA25F2"/>
    <w:rsid w:val="00BA260B"/>
    <w:rsid w:val="00BA2613"/>
    <w:rsid w:val="00BA26D0"/>
    <w:rsid w:val="00BA2759"/>
    <w:rsid w:val="00BA2A66"/>
    <w:rsid w:val="00BA2B27"/>
    <w:rsid w:val="00BA2D11"/>
    <w:rsid w:val="00BA2D5D"/>
    <w:rsid w:val="00BA3471"/>
    <w:rsid w:val="00BA362C"/>
    <w:rsid w:val="00BA3880"/>
    <w:rsid w:val="00BA3B06"/>
    <w:rsid w:val="00BA3B78"/>
    <w:rsid w:val="00BA3B7E"/>
    <w:rsid w:val="00BA3D5A"/>
    <w:rsid w:val="00BA3E76"/>
    <w:rsid w:val="00BA3E82"/>
    <w:rsid w:val="00BA41F7"/>
    <w:rsid w:val="00BA4302"/>
    <w:rsid w:val="00BA433F"/>
    <w:rsid w:val="00BA443C"/>
    <w:rsid w:val="00BA4595"/>
    <w:rsid w:val="00BA4597"/>
    <w:rsid w:val="00BA46DB"/>
    <w:rsid w:val="00BA4941"/>
    <w:rsid w:val="00BA4DEF"/>
    <w:rsid w:val="00BA4EAE"/>
    <w:rsid w:val="00BA4EF9"/>
    <w:rsid w:val="00BA4F4B"/>
    <w:rsid w:val="00BA4FB4"/>
    <w:rsid w:val="00BA4FB9"/>
    <w:rsid w:val="00BA507C"/>
    <w:rsid w:val="00BA5301"/>
    <w:rsid w:val="00BA530E"/>
    <w:rsid w:val="00BA533F"/>
    <w:rsid w:val="00BA55D5"/>
    <w:rsid w:val="00BA5669"/>
    <w:rsid w:val="00BA56C1"/>
    <w:rsid w:val="00BA5BC3"/>
    <w:rsid w:val="00BA5C10"/>
    <w:rsid w:val="00BA5C5F"/>
    <w:rsid w:val="00BA5D8A"/>
    <w:rsid w:val="00BA5E3A"/>
    <w:rsid w:val="00BA5EFD"/>
    <w:rsid w:val="00BA5FB5"/>
    <w:rsid w:val="00BA604C"/>
    <w:rsid w:val="00BA60B3"/>
    <w:rsid w:val="00BA6106"/>
    <w:rsid w:val="00BA6237"/>
    <w:rsid w:val="00BA6470"/>
    <w:rsid w:val="00BA6521"/>
    <w:rsid w:val="00BA6630"/>
    <w:rsid w:val="00BA6773"/>
    <w:rsid w:val="00BA68A6"/>
    <w:rsid w:val="00BA6A92"/>
    <w:rsid w:val="00BA6AEC"/>
    <w:rsid w:val="00BA6C56"/>
    <w:rsid w:val="00BA6C72"/>
    <w:rsid w:val="00BA6CD7"/>
    <w:rsid w:val="00BA70A3"/>
    <w:rsid w:val="00BA7115"/>
    <w:rsid w:val="00BA714B"/>
    <w:rsid w:val="00BA717A"/>
    <w:rsid w:val="00BA7275"/>
    <w:rsid w:val="00BA7496"/>
    <w:rsid w:val="00BA761A"/>
    <w:rsid w:val="00BA7682"/>
    <w:rsid w:val="00BA77CC"/>
    <w:rsid w:val="00BA790F"/>
    <w:rsid w:val="00BA79C0"/>
    <w:rsid w:val="00BA7B0D"/>
    <w:rsid w:val="00BA7B53"/>
    <w:rsid w:val="00BA7D95"/>
    <w:rsid w:val="00BB006B"/>
    <w:rsid w:val="00BB00A7"/>
    <w:rsid w:val="00BB00FB"/>
    <w:rsid w:val="00BB02FA"/>
    <w:rsid w:val="00BB0475"/>
    <w:rsid w:val="00BB054C"/>
    <w:rsid w:val="00BB05A1"/>
    <w:rsid w:val="00BB0806"/>
    <w:rsid w:val="00BB080A"/>
    <w:rsid w:val="00BB089F"/>
    <w:rsid w:val="00BB09FD"/>
    <w:rsid w:val="00BB0AB3"/>
    <w:rsid w:val="00BB0E27"/>
    <w:rsid w:val="00BB0E71"/>
    <w:rsid w:val="00BB0EEE"/>
    <w:rsid w:val="00BB0F9E"/>
    <w:rsid w:val="00BB1013"/>
    <w:rsid w:val="00BB1291"/>
    <w:rsid w:val="00BB1420"/>
    <w:rsid w:val="00BB179F"/>
    <w:rsid w:val="00BB17FB"/>
    <w:rsid w:val="00BB181D"/>
    <w:rsid w:val="00BB185A"/>
    <w:rsid w:val="00BB1A3B"/>
    <w:rsid w:val="00BB1AF7"/>
    <w:rsid w:val="00BB1B96"/>
    <w:rsid w:val="00BB1CDD"/>
    <w:rsid w:val="00BB1DB2"/>
    <w:rsid w:val="00BB1FEC"/>
    <w:rsid w:val="00BB20D4"/>
    <w:rsid w:val="00BB2251"/>
    <w:rsid w:val="00BB242C"/>
    <w:rsid w:val="00BB243A"/>
    <w:rsid w:val="00BB25AA"/>
    <w:rsid w:val="00BB26EA"/>
    <w:rsid w:val="00BB28E0"/>
    <w:rsid w:val="00BB29BD"/>
    <w:rsid w:val="00BB29EA"/>
    <w:rsid w:val="00BB2A25"/>
    <w:rsid w:val="00BB2A4E"/>
    <w:rsid w:val="00BB2B93"/>
    <w:rsid w:val="00BB2BBD"/>
    <w:rsid w:val="00BB2CFC"/>
    <w:rsid w:val="00BB2DA6"/>
    <w:rsid w:val="00BB2F96"/>
    <w:rsid w:val="00BB300F"/>
    <w:rsid w:val="00BB312F"/>
    <w:rsid w:val="00BB31BB"/>
    <w:rsid w:val="00BB31BF"/>
    <w:rsid w:val="00BB3629"/>
    <w:rsid w:val="00BB36D6"/>
    <w:rsid w:val="00BB37E2"/>
    <w:rsid w:val="00BB3BA6"/>
    <w:rsid w:val="00BB3BFB"/>
    <w:rsid w:val="00BB3C47"/>
    <w:rsid w:val="00BB3CE5"/>
    <w:rsid w:val="00BB3E9B"/>
    <w:rsid w:val="00BB3F27"/>
    <w:rsid w:val="00BB4094"/>
    <w:rsid w:val="00BB4129"/>
    <w:rsid w:val="00BB4152"/>
    <w:rsid w:val="00BB4197"/>
    <w:rsid w:val="00BB41AC"/>
    <w:rsid w:val="00BB450C"/>
    <w:rsid w:val="00BB4651"/>
    <w:rsid w:val="00BB4736"/>
    <w:rsid w:val="00BB4779"/>
    <w:rsid w:val="00BB4823"/>
    <w:rsid w:val="00BB4908"/>
    <w:rsid w:val="00BB4BEF"/>
    <w:rsid w:val="00BB4C46"/>
    <w:rsid w:val="00BB4D17"/>
    <w:rsid w:val="00BB4F78"/>
    <w:rsid w:val="00BB4F88"/>
    <w:rsid w:val="00BB4FF3"/>
    <w:rsid w:val="00BB517B"/>
    <w:rsid w:val="00BB551F"/>
    <w:rsid w:val="00BB5851"/>
    <w:rsid w:val="00BB5858"/>
    <w:rsid w:val="00BB5C94"/>
    <w:rsid w:val="00BB5E97"/>
    <w:rsid w:val="00BB5F4C"/>
    <w:rsid w:val="00BB601E"/>
    <w:rsid w:val="00BB605B"/>
    <w:rsid w:val="00BB6113"/>
    <w:rsid w:val="00BB6220"/>
    <w:rsid w:val="00BB62EF"/>
    <w:rsid w:val="00BB63D1"/>
    <w:rsid w:val="00BB64F7"/>
    <w:rsid w:val="00BB67D7"/>
    <w:rsid w:val="00BB69C7"/>
    <w:rsid w:val="00BB69F6"/>
    <w:rsid w:val="00BB6A27"/>
    <w:rsid w:val="00BB6A2F"/>
    <w:rsid w:val="00BB6B6D"/>
    <w:rsid w:val="00BB6C6A"/>
    <w:rsid w:val="00BB6E7F"/>
    <w:rsid w:val="00BB6F27"/>
    <w:rsid w:val="00BB6F7D"/>
    <w:rsid w:val="00BB6FB9"/>
    <w:rsid w:val="00BB708A"/>
    <w:rsid w:val="00BB7101"/>
    <w:rsid w:val="00BB7139"/>
    <w:rsid w:val="00BB7146"/>
    <w:rsid w:val="00BB7367"/>
    <w:rsid w:val="00BB74FC"/>
    <w:rsid w:val="00BB75D0"/>
    <w:rsid w:val="00BB7603"/>
    <w:rsid w:val="00BB772F"/>
    <w:rsid w:val="00BB778E"/>
    <w:rsid w:val="00BB77E8"/>
    <w:rsid w:val="00BB78A9"/>
    <w:rsid w:val="00BB7C67"/>
    <w:rsid w:val="00BB7CBC"/>
    <w:rsid w:val="00BB7E5D"/>
    <w:rsid w:val="00BC016C"/>
    <w:rsid w:val="00BC02AD"/>
    <w:rsid w:val="00BC032C"/>
    <w:rsid w:val="00BC03D5"/>
    <w:rsid w:val="00BC051C"/>
    <w:rsid w:val="00BC054D"/>
    <w:rsid w:val="00BC0613"/>
    <w:rsid w:val="00BC07DD"/>
    <w:rsid w:val="00BC0B3F"/>
    <w:rsid w:val="00BC0C5F"/>
    <w:rsid w:val="00BC0F9B"/>
    <w:rsid w:val="00BC1283"/>
    <w:rsid w:val="00BC14AD"/>
    <w:rsid w:val="00BC1507"/>
    <w:rsid w:val="00BC1541"/>
    <w:rsid w:val="00BC17DC"/>
    <w:rsid w:val="00BC1899"/>
    <w:rsid w:val="00BC18C7"/>
    <w:rsid w:val="00BC1B6D"/>
    <w:rsid w:val="00BC1B92"/>
    <w:rsid w:val="00BC1C00"/>
    <w:rsid w:val="00BC1D5E"/>
    <w:rsid w:val="00BC1F15"/>
    <w:rsid w:val="00BC2055"/>
    <w:rsid w:val="00BC2120"/>
    <w:rsid w:val="00BC215E"/>
    <w:rsid w:val="00BC21D6"/>
    <w:rsid w:val="00BC2221"/>
    <w:rsid w:val="00BC229A"/>
    <w:rsid w:val="00BC22F9"/>
    <w:rsid w:val="00BC23A3"/>
    <w:rsid w:val="00BC23B6"/>
    <w:rsid w:val="00BC23F8"/>
    <w:rsid w:val="00BC24CF"/>
    <w:rsid w:val="00BC269B"/>
    <w:rsid w:val="00BC295E"/>
    <w:rsid w:val="00BC2B44"/>
    <w:rsid w:val="00BC2DA1"/>
    <w:rsid w:val="00BC2EAC"/>
    <w:rsid w:val="00BC2EFB"/>
    <w:rsid w:val="00BC31BA"/>
    <w:rsid w:val="00BC32B5"/>
    <w:rsid w:val="00BC3349"/>
    <w:rsid w:val="00BC3391"/>
    <w:rsid w:val="00BC34DF"/>
    <w:rsid w:val="00BC382F"/>
    <w:rsid w:val="00BC3841"/>
    <w:rsid w:val="00BC3A50"/>
    <w:rsid w:val="00BC3AC4"/>
    <w:rsid w:val="00BC3DAC"/>
    <w:rsid w:val="00BC3E2C"/>
    <w:rsid w:val="00BC3E77"/>
    <w:rsid w:val="00BC3FA4"/>
    <w:rsid w:val="00BC40A9"/>
    <w:rsid w:val="00BC418A"/>
    <w:rsid w:val="00BC41F3"/>
    <w:rsid w:val="00BC42D0"/>
    <w:rsid w:val="00BC4D8A"/>
    <w:rsid w:val="00BC4E3C"/>
    <w:rsid w:val="00BC4E46"/>
    <w:rsid w:val="00BC50A2"/>
    <w:rsid w:val="00BC50E7"/>
    <w:rsid w:val="00BC5239"/>
    <w:rsid w:val="00BC5257"/>
    <w:rsid w:val="00BC5346"/>
    <w:rsid w:val="00BC54E0"/>
    <w:rsid w:val="00BC5591"/>
    <w:rsid w:val="00BC559D"/>
    <w:rsid w:val="00BC55AA"/>
    <w:rsid w:val="00BC57D1"/>
    <w:rsid w:val="00BC5802"/>
    <w:rsid w:val="00BC58A0"/>
    <w:rsid w:val="00BC597C"/>
    <w:rsid w:val="00BC5A5A"/>
    <w:rsid w:val="00BC5C20"/>
    <w:rsid w:val="00BC5C82"/>
    <w:rsid w:val="00BC5D52"/>
    <w:rsid w:val="00BC5DC1"/>
    <w:rsid w:val="00BC611E"/>
    <w:rsid w:val="00BC6339"/>
    <w:rsid w:val="00BC640C"/>
    <w:rsid w:val="00BC646F"/>
    <w:rsid w:val="00BC6589"/>
    <w:rsid w:val="00BC6657"/>
    <w:rsid w:val="00BC66BE"/>
    <w:rsid w:val="00BC66C1"/>
    <w:rsid w:val="00BC684F"/>
    <w:rsid w:val="00BC694F"/>
    <w:rsid w:val="00BC6ADE"/>
    <w:rsid w:val="00BC6DB3"/>
    <w:rsid w:val="00BC6ED6"/>
    <w:rsid w:val="00BC7253"/>
    <w:rsid w:val="00BC7397"/>
    <w:rsid w:val="00BC739B"/>
    <w:rsid w:val="00BC75A5"/>
    <w:rsid w:val="00BC7604"/>
    <w:rsid w:val="00BC779C"/>
    <w:rsid w:val="00BC7835"/>
    <w:rsid w:val="00BC784A"/>
    <w:rsid w:val="00BC790B"/>
    <w:rsid w:val="00BC7A67"/>
    <w:rsid w:val="00BC7BD2"/>
    <w:rsid w:val="00BC7C9E"/>
    <w:rsid w:val="00BC7CB7"/>
    <w:rsid w:val="00BC7E2C"/>
    <w:rsid w:val="00BC7EAD"/>
    <w:rsid w:val="00BD0149"/>
    <w:rsid w:val="00BD076C"/>
    <w:rsid w:val="00BD0779"/>
    <w:rsid w:val="00BD07E5"/>
    <w:rsid w:val="00BD0800"/>
    <w:rsid w:val="00BD0875"/>
    <w:rsid w:val="00BD0979"/>
    <w:rsid w:val="00BD0A23"/>
    <w:rsid w:val="00BD0AD2"/>
    <w:rsid w:val="00BD0B54"/>
    <w:rsid w:val="00BD0BE5"/>
    <w:rsid w:val="00BD0C56"/>
    <w:rsid w:val="00BD0C5B"/>
    <w:rsid w:val="00BD0DAF"/>
    <w:rsid w:val="00BD0DDF"/>
    <w:rsid w:val="00BD0E5A"/>
    <w:rsid w:val="00BD102C"/>
    <w:rsid w:val="00BD11C3"/>
    <w:rsid w:val="00BD12F5"/>
    <w:rsid w:val="00BD14AE"/>
    <w:rsid w:val="00BD15FA"/>
    <w:rsid w:val="00BD1ACE"/>
    <w:rsid w:val="00BD1B7A"/>
    <w:rsid w:val="00BD1D25"/>
    <w:rsid w:val="00BD1E19"/>
    <w:rsid w:val="00BD1FA9"/>
    <w:rsid w:val="00BD1FF3"/>
    <w:rsid w:val="00BD2050"/>
    <w:rsid w:val="00BD2073"/>
    <w:rsid w:val="00BD20B4"/>
    <w:rsid w:val="00BD218F"/>
    <w:rsid w:val="00BD22F6"/>
    <w:rsid w:val="00BD2344"/>
    <w:rsid w:val="00BD23B3"/>
    <w:rsid w:val="00BD27B7"/>
    <w:rsid w:val="00BD28A2"/>
    <w:rsid w:val="00BD2A17"/>
    <w:rsid w:val="00BD2AEC"/>
    <w:rsid w:val="00BD2C69"/>
    <w:rsid w:val="00BD2CFC"/>
    <w:rsid w:val="00BD2DBC"/>
    <w:rsid w:val="00BD2E5C"/>
    <w:rsid w:val="00BD2E80"/>
    <w:rsid w:val="00BD2F70"/>
    <w:rsid w:val="00BD31AB"/>
    <w:rsid w:val="00BD31D5"/>
    <w:rsid w:val="00BD326E"/>
    <w:rsid w:val="00BD3287"/>
    <w:rsid w:val="00BD3377"/>
    <w:rsid w:val="00BD3449"/>
    <w:rsid w:val="00BD34B6"/>
    <w:rsid w:val="00BD3709"/>
    <w:rsid w:val="00BD381D"/>
    <w:rsid w:val="00BD38F3"/>
    <w:rsid w:val="00BD399C"/>
    <w:rsid w:val="00BD39C6"/>
    <w:rsid w:val="00BD3A50"/>
    <w:rsid w:val="00BD3AB1"/>
    <w:rsid w:val="00BD3BA4"/>
    <w:rsid w:val="00BD3D0E"/>
    <w:rsid w:val="00BD3DD3"/>
    <w:rsid w:val="00BD3F59"/>
    <w:rsid w:val="00BD3FE4"/>
    <w:rsid w:val="00BD4067"/>
    <w:rsid w:val="00BD407B"/>
    <w:rsid w:val="00BD4240"/>
    <w:rsid w:val="00BD428E"/>
    <w:rsid w:val="00BD42B2"/>
    <w:rsid w:val="00BD43E2"/>
    <w:rsid w:val="00BD44D4"/>
    <w:rsid w:val="00BD45FA"/>
    <w:rsid w:val="00BD4635"/>
    <w:rsid w:val="00BD469A"/>
    <w:rsid w:val="00BD48B6"/>
    <w:rsid w:val="00BD4912"/>
    <w:rsid w:val="00BD4A49"/>
    <w:rsid w:val="00BD4A88"/>
    <w:rsid w:val="00BD4B52"/>
    <w:rsid w:val="00BD4C2B"/>
    <w:rsid w:val="00BD4D3F"/>
    <w:rsid w:val="00BD4DF5"/>
    <w:rsid w:val="00BD4DF7"/>
    <w:rsid w:val="00BD4E42"/>
    <w:rsid w:val="00BD4F37"/>
    <w:rsid w:val="00BD4F93"/>
    <w:rsid w:val="00BD4FD8"/>
    <w:rsid w:val="00BD51B9"/>
    <w:rsid w:val="00BD5330"/>
    <w:rsid w:val="00BD53AE"/>
    <w:rsid w:val="00BD559F"/>
    <w:rsid w:val="00BD57DF"/>
    <w:rsid w:val="00BD57E9"/>
    <w:rsid w:val="00BD5812"/>
    <w:rsid w:val="00BD5925"/>
    <w:rsid w:val="00BD59D3"/>
    <w:rsid w:val="00BD59DE"/>
    <w:rsid w:val="00BD5A6D"/>
    <w:rsid w:val="00BD5BF1"/>
    <w:rsid w:val="00BD5CFE"/>
    <w:rsid w:val="00BD5D03"/>
    <w:rsid w:val="00BD5E2B"/>
    <w:rsid w:val="00BD5FDF"/>
    <w:rsid w:val="00BD60C0"/>
    <w:rsid w:val="00BD6285"/>
    <w:rsid w:val="00BD6296"/>
    <w:rsid w:val="00BD63FA"/>
    <w:rsid w:val="00BD6534"/>
    <w:rsid w:val="00BD65C7"/>
    <w:rsid w:val="00BD662B"/>
    <w:rsid w:val="00BD66BE"/>
    <w:rsid w:val="00BD6895"/>
    <w:rsid w:val="00BD697D"/>
    <w:rsid w:val="00BD6A2C"/>
    <w:rsid w:val="00BD6A58"/>
    <w:rsid w:val="00BD6B9F"/>
    <w:rsid w:val="00BD6C3E"/>
    <w:rsid w:val="00BD6CDA"/>
    <w:rsid w:val="00BD6E35"/>
    <w:rsid w:val="00BD705C"/>
    <w:rsid w:val="00BD708D"/>
    <w:rsid w:val="00BD723E"/>
    <w:rsid w:val="00BD75DA"/>
    <w:rsid w:val="00BD77AE"/>
    <w:rsid w:val="00BD792F"/>
    <w:rsid w:val="00BD7948"/>
    <w:rsid w:val="00BD7A4C"/>
    <w:rsid w:val="00BD7ABA"/>
    <w:rsid w:val="00BD7B20"/>
    <w:rsid w:val="00BD7CD2"/>
    <w:rsid w:val="00BD7FA3"/>
    <w:rsid w:val="00BE00FB"/>
    <w:rsid w:val="00BE022F"/>
    <w:rsid w:val="00BE02EF"/>
    <w:rsid w:val="00BE0306"/>
    <w:rsid w:val="00BE03BD"/>
    <w:rsid w:val="00BE03C1"/>
    <w:rsid w:val="00BE0446"/>
    <w:rsid w:val="00BE0587"/>
    <w:rsid w:val="00BE059A"/>
    <w:rsid w:val="00BE06F0"/>
    <w:rsid w:val="00BE0813"/>
    <w:rsid w:val="00BE08F9"/>
    <w:rsid w:val="00BE0ABF"/>
    <w:rsid w:val="00BE0ACD"/>
    <w:rsid w:val="00BE0C24"/>
    <w:rsid w:val="00BE0C5E"/>
    <w:rsid w:val="00BE0D63"/>
    <w:rsid w:val="00BE0E8B"/>
    <w:rsid w:val="00BE0EDC"/>
    <w:rsid w:val="00BE0F73"/>
    <w:rsid w:val="00BE1095"/>
    <w:rsid w:val="00BE1130"/>
    <w:rsid w:val="00BE14D5"/>
    <w:rsid w:val="00BE1508"/>
    <w:rsid w:val="00BE1891"/>
    <w:rsid w:val="00BE19A7"/>
    <w:rsid w:val="00BE1B08"/>
    <w:rsid w:val="00BE1B75"/>
    <w:rsid w:val="00BE1B9B"/>
    <w:rsid w:val="00BE1BBE"/>
    <w:rsid w:val="00BE1D88"/>
    <w:rsid w:val="00BE1DC1"/>
    <w:rsid w:val="00BE1F8A"/>
    <w:rsid w:val="00BE2005"/>
    <w:rsid w:val="00BE205F"/>
    <w:rsid w:val="00BE2142"/>
    <w:rsid w:val="00BE244B"/>
    <w:rsid w:val="00BE25B1"/>
    <w:rsid w:val="00BE2823"/>
    <w:rsid w:val="00BE2835"/>
    <w:rsid w:val="00BE290F"/>
    <w:rsid w:val="00BE2D95"/>
    <w:rsid w:val="00BE2E66"/>
    <w:rsid w:val="00BE2EF6"/>
    <w:rsid w:val="00BE2F5C"/>
    <w:rsid w:val="00BE31D6"/>
    <w:rsid w:val="00BE3331"/>
    <w:rsid w:val="00BE3553"/>
    <w:rsid w:val="00BE35CB"/>
    <w:rsid w:val="00BE3844"/>
    <w:rsid w:val="00BE38CE"/>
    <w:rsid w:val="00BE3913"/>
    <w:rsid w:val="00BE3BAB"/>
    <w:rsid w:val="00BE3C66"/>
    <w:rsid w:val="00BE3E1C"/>
    <w:rsid w:val="00BE3E55"/>
    <w:rsid w:val="00BE3E89"/>
    <w:rsid w:val="00BE3F2D"/>
    <w:rsid w:val="00BE40AC"/>
    <w:rsid w:val="00BE40E0"/>
    <w:rsid w:val="00BE462B"/>
    <w:rsid w:val="00BE4723"/>
    <w:rsid w:val="00BE4729"/>
    <w:rsid w:val="00BE4B3E"/>
    <w:rsid w:val="00BE4B59"/>
    <w:rsid w:val="00BE4BB5"/>
    <w:rsid w:val="00BE4C21"/>
    <w:rsid w:val="00BE5102"/>
    <w:rsid w:val="00BE51BB"/>
    <w:rsid w:val="00BE52F6"/>
    <w:rsid w:val="00BE548F"/>
    <w:rsid w:val="00BE55CF"/>
    <w:rsid w:val="00BE572F"/>
    <w:rsid w:val="00BE59AA"/>
    <w:rsid w:val="00BE5C79"/>
    <w:rsid w:val="00BE5F9F"/>
    <w:rsid w:val="00BE60F4"/>
    <w:rsid w:val="00BE614E"/>
    <w:rsid w:val="00BE6295"/>
    <w:rsid w:val="00BE635F"/>
    <w:rsid w:val="00BE641A"/>
    <w:rsid w:val="00BE6442"/>
    <w:rsid w:val="00BE6456"/>
    <w:rsid w:val="00BE65BD"/>
    <w:rsid w:val="00BE65F7"/>
    <w:rsid w:val="00BE6810"/>
    <w:rsid w:val="00BE6898"/>
    <w:rsid w:val="00BE6951"/>
    <w:rsid w:val="00BE6AA7"/>
    <w:rsid w:val="00BE6C2F"/>
    <w:rsid w:val="00BE6C66"/>
    <w:rsid w:val="00BE6DA7"/>
    <w:rsid w:val="00BE6FCA"/>
    <w:rsid w:val="00BE702D"/>
    <w:rsid w:val="00BE7040"/>
    <w:rsid w:val="00BE714F"/>
    <w:rsid w:val="00BE726E"/>
    <w:rsid w:val="00BE72E3"/>
    <w:rsid w:val="00BE72F1"/>
    <w:rsid w:val="00BE7427"/>
    <w:rsid w:val="00BE749D"/>
    <w:rsid w:val="00BE7684"/>
    <w:rsid w:val="00BE77D8"/>
    <w:rsid w:val="00BE7870"/>
    <w:rsid w:val="00BE7929"/>
    <w:rsid w:val="00BE7A16"/>
    <w:rsid w:val="00BE7A49"/>
    <w:rsid w:val="00BE7C0E"/>
    <w:rsid w:val="00BE7D82"/>
    <w:rsid w:val="00BF01F6"/>
    <w:rsid w:val="00BF0253"/>
    <w:rsid w:val="00BF0254"/>
    <w:rsid w:val="00BF039B"/>
    <w:rsid w:val="00BF0535"/>
    <w:rsid w:val="00BF05F0"/>
    <w:rsid w:val="00BF0677"/>
    <w:rsid w:val="00BF074A"/>
    <w:rsid w:val="00BF0B6A"/>
    <w:rsid w:val="00BF0C39"/>
    <w:rsid w:val="00BF0C60"/>
    <w:rsid w:val="00BF0D96"/>
    <w:rsid w:val="00BF0E46"/>
    <w:rsid w:val="00BF0E62"/>
    <w:rsid w:val="00BF0EE0"/>
    <w:rsid w:val="00BF116D"/>
    <w:rsid w:val="00BF1193"/>
    <w:rsid w:val="00BF1196"/>
    <w:rsid w:val="00BF123D"/>
    <w:rsid w:val="00BF1309"/>
    <w:rsid w:val="00BF143E"/>
    <w:rsid w:val="00BF161A"/>
    <w:rsid w:val="00BF16D8"/>
    <w:rsid w:val="00BF18DC"/>
    <w:rsid w:val="00BF1BD1"/>
    <w:rsid w:val="00BF1DF7"/>
    <w:rsid w:val="00BF1FC4"/>
    <w:rsid w:val="00BF2576"/>
    <w:rsid w:val="00BF2718"/>
    <w:rsid w:val="00BF2869"/>
    <w:rsid w:val="00BF28F9"/>
    <w:rsid w:val="00BF2987"/>
    <w:rsid w:val="00BF29CB"/>
    <w:rsid w:val="00BF2AE2"/>
    <w:rsid w:val="00BF2B4C"/>
    <w:rsid w:val="00BF2D23"/>
    <w:rsid w:val="00BF2DF6"/>
    <w:rsid w:val="00BF2E70"/>
    <w:rsid w:val="00BF2F58"/>
    <w:rsid w:val="00BF2FEF"/>
    <w:rsid w:val="00BF3033"/>
    <w:rsid w:val="00BF3382"/>
    <w:rsid w:val="00BF33C5"/>
    <w:rsid w:val="00BF3424"/>
    <w:rsid w:val="00BF3436"/>
    <w:rsid w:val="00BF34F7"/>
    <w:rsid w:val="00BF3504"/>
    <w:rsid w:val="00BF356A"/>
    <w:rsid w:val="00BF35F4"/>
    <w:rsid w:val="00BF365F"/>
    <w:rsid w:val="00BF3679"/>
    <w:rsid w:val="00BF371B"/>
    <w:rsid w:val="00BF38FC"/>
    <w:rsid w:val="00BF3A1C"/>
    <w:rsid w:val="00BF3A54"/>
    <w:rsid w:val="00BF3AB3"/>
    <w:rsid w:val="00BF3B6C"/>
    <w:rsid w:val="00BF3B86"/>
    <w:rsid w:val="00BF3C75"/>
    <w:rsid w:val="00BF3C7F"/>
    <w:rsid w:val="00BF3DF2"/>
    <w:rsid w:val="00BF401D"/>
    <w:rsid w:val="00BF4035"/>
    <w:rsid w:val="00BF4128"/>
    <w:rsid w:val="00BF4343"/>
    <w:rsid w:val="00BF46A5"/>
    <w:rsid w:val="00BF46FB"/>
    <w:rsid w:val="00BF4B32"/>
    <w:rsid w:val="00BF4BC7"/>
    <w:rsid w:val="00BF4C3E"/>
    <w:rsid w:val="00BF4E2A"/>
    <w:rsid w:val="00BF4F4C"/>
    <w:rsid w:val="00BF4FDB"/>
    <w:rsid w:val="00BF521D"/>
    <w:rsid w:val="00BF5235"/>
    <w:rsid w:val="00BF5354"/>
    <w:rsid w:val="00BF538A"/>
    <w:rsid w:val="00BF549F"/>
    <w:rsid w:val="00BF55C6"/>
    <w:rsid w:val="00BF5785"/>
    <w:rsid w:val="00BF5857"/>
    <w:rsid w:val="00BF5860"/>
    <w:rsid w:val="00BF5874"/>
    <w:rsid w:val="00BF588F"/>
    <w:rsid w:val="00BF5BBB"/>
    <w:rsid w:val="00BF6125"/>
    <w:rsid w:val="00BF6168"/>
    <w:rsid w:val="00BF61AF"/>
    <w:rsid w:val="00BF61DD"/>
    <w:rsid w:val="00BF64A9"/>
    <w:rsid w:val="00BF6737"/>
    <w:rsid w:val="00BF69A6"/>
    <w:rsid w:val="00BF6A30"/>
    <w:rsid w:val="00BF6A99"/>
    <w:rsid w:val="00BF6ABB"/>
    <w:rsid w:val="00BF6B7F"/>
    <w:rsid w:val="00BF6C77"/>
    <w:rsid w:val="00BF6E60"/>
    <w:rsid w:val="00BF6E99"/>
    <w:rsid w:val="00BF7667"/>
    <w:rsid w:val="00BF777A"/>
    <w:rsid w:val="00BF7800"/>
    <w:rsid w:val="00BF7826"/>
    <w:rsid w:val="00BF795D"/>
    <w:rsid w:val="00BF7C67"/>
    <w:rsid w:val="00BF7CD2"/>
    <w:rsid w:val="00BF7E78"/>
    <w:rsid w:val="00BF7E7F"/>
    <w:rsid w:val="00BF7EF8"/>
    <w:rsid w:val="00C000AA"/>
    <w:rsid w:val="00C001FF"/>
    <w:rsid w:val="00C0025C"/>
    <w:rsid w:val="00C0034A"/>
    <w:rsid w:val="00C004CE"/>
    <w:rsid w:val="00C00584"/>
    <w:rsid w:val="00C0065D"/>
    <w:rsid w:val="00C008CB"/>
    <w:rsid w:val="00C009EB"/>
    <w:rsid w:val="00C00A1D"/>
    <w:rsid w:val="00C00A8E"/>
    <w:rsid w:val="00C00B01"/>
    <w:rsid w:val="00C00B8A"/>
    <w:rsid w:val="00C00BC1"/>
    <w:rsid w:val="00C00C32"/>
    <w:rsid w:val="00C00C3F"/>
    <w:rsid w:val="00C00C99"/>
    <w:rsid w:val="00C00E8D"/>
    <w:rsid w:val="00C00EE7"/>
    <w:rsid w:val="00C00F50"/>
    <w:rsid w:val="00C00F7B"/>
    <w:rsid w:val="00C0100C"/>
    <w:rsid w:val="00C01045"/>
    <w:rsid w:val="00C0107F"/>
    <w:rsid w:val="00C01134"/>
    <w:rsid w:val="00C0115C"/>
    <w:rsid w:val="00C0117E"/>
    <w:rsid w:val="00C0124A"/>
    <w:rsid w:val="00C01286"/>
    <w:rsid w:val="00C014E9"/>
    <w:rsid w:val="00C015B6"/>
    <w:rsid w:val="00C0177A"/>
    <w:rsid w:val="00C01805"/>
    <w:rsid w:val="00C01958"/>
    <w:rsid w:val="00C01B16"/>
    <w:rsid w:val="00C01C1F"/>
    <w:rsid w:val="00C01D45"/>
    <w:rsid w:val="00C01D4C"/>
    <w:rsid w:val="00C01F89"/>
    <w:rsid w:val="00C01FFC"/>
    <w:rsid w:val="00C021F5"/>
    <w:rsid w:val="00C0220E"/>
    <w:rsid w:val="00C022BB"/>
    <w:rsid w:val="00C023DA"/>
    <w:rsid w:val="00C0264A"/>
    <w:rsid w:val="00C02652"/>
    <w:rsid w:val="00C02784"/>
    <w:rsid w:val="00C02963"/>
    <w:rsid w:val="00C029B4"/>
    <w:rsid w:val="00C029C1"/>
    <w:rsid w:val="00C02B64"/>
    <w:rsid w:val="00C02EB8"/>
    <w:rsid w:val="00C031DF"/>
    <w:rsid w:val="00C03355"/>
    <w:rsid w:val="00C03379"/>
    <w:rsid w:val="00C0341E"/>
    <w:rsid w:val="00C03671"/>
    <w:rsid w:val="00C039C9"/>
    <w:rsid w:val="00C039E4"/>
    <w:rsid w:val="00C03B13"/>
    <w:rsid w:val="00C03B67"/>
    <w:rsid w:val="00C03B72"/>
    <w:rsid w:val="00C03E76"/>
    <w:rsid w:val="00C04025"/>
    <w:rsid w:val="00C0432D"/>
    <w:rsid w:val="00C04446"/>
    <w:rsid w:val="00C04489"/>
    <w:rsid w:val="00C044A8"/>
    <w:rsid w:val="00C0477B"/>
    <w:rsid w:val="00C047DA"/>
    <w:rsid w:val="00C0497B"/>
    <w:rsid w:val="00C04995"/>
    <w:rsid w:val="00C04B2B"/>
    <w:rsid w:val="00C04B56"/>
    <w:rsid w:val="00C04CD1"/>
    <w:rsid w:val="00C04E73"/>
    <w:rsid w:val="00C04FAE"/>
    <w:rsid w:val="00C05103"/>
    <w:rsid w:val="00C051AF"/>
    <w:rsid w:val="00C05236"/>
    <w:rsid w:val="00C0526B"/>
    <w:rsid w:val="00C052EC"/>
    <w:rsid w:val="00C052F9"/>
    <w:rsid w:val="00C053B9"/>
    <w:rsid w:val="00C05468"/>
    <w:rsid w:val="00C05490"/>
    <w:rsid w:val="00C054F5"/>
    <w:rsid w:val="00C0550E"/>
    <w:rsid w:val="00C05527"/>
    <w:rsid w:val="00C057F6"/>
    <w:rsid w:val="00C05838"/>
    <w:rsid w:val="00C058C5"/>
    <w:rsid w:val="00C05949"/>
    <w:rsid w:val="00C05ACF"/>
    <w:rsid w:val="00C05BA4"/>
    <w:rsid w:val="00C05BC1"/>
    <w:rsid w:val="00C05C11"/>
    <w:rsid w:val="00C05D32"/>
    <w:rsid w:val="00C05DBC"/>
    <w:rsid w:val="00C05E55"/>
    <w:rsid w:val="00C05F69"/>
    <w:rsid w:val="00C060CD"/>
    <w:rsid w:val="00C06207"/>
    <w:rsid w:val="00C0637F"/>
    <w:rsid w:val="00C06482"/>
    <w:rsid w:val="00C066C1"/>
    <w:rsid w:val="00C068CD"/>
    <w:rsid w:val="00C06963"/>
    <w:rsid w:val="00C0698A"/>
    <w:rsid w:val="00C06A4B"/>
    <w:rsid w:val="00C06C0D"/>
    <w:rsid w:val="00C06CE4"/>
    <w:rsid w:val="00C06DF8"/>
    <w:rsid w:val="00C06EBE"/>
    <w:rsid w:val="00C06F34"/>
    <w:rsid w:val="00C0704A"/>
    <w:rsid w:val="00C070F3"/>
    <w:rsid w:val="00C0744C"/>
    <w:rsid w:val="00C07453"/>
    <w:rsid w:val="00C0780C"/>
    <w:rsid w:val="00C078A7"/>
    <w:rsid w:val="00C078E3"/>
    <w:rsid w:val="00C07932"/>
    <w:rsid w:val="00C07A62"/>
    <w:rsid w:val="00C07BB5"/>
    <w:rsid w:val="00C07C0F"/>
    <w:rsid w:val="00C07C35"/>
    <w:rsid w:val="00C07C85"/>
    <w:rsid w:val="00C07E29"/>
    <w:rsid w:val="00C07E2F"/>
    <w:rsid w:val="00C07E32"/>
    <w:rsid w:val="00C07F28"/>
    <w:rsid w:val="00C07F85"/>
    <w:rsid w:val="00C10034"/>
    <w:rsid w:val="00C100B2"/>
    <w:rsid w:val="00C100F2"/>
    <w:rsid w:val="00C1012C"/>
    <w:rsid w:val="00C103B0"/>
    <w:rsid w:val="00C1041E"/>
    <w:rsid w:val="00C10463"/>
    <w:rsid w:val="00C10464"/>
    <w:rsid w:val="00C10479"/>
    <w:rsid w:val="00C105B0"/>
    <w:rsid w:val="00C10601"/>
    <w:rsid w:val="00C1086B"/>
    <w:rsid w:val="00C108CE"/>
    <w:rsid w:val="00C10AC5"/>
    <w:rsid w:val="00C10BCE"/>
    <w:rsid w:val="00C10BEF"/>
    <w:rsid w:val="00C10E3C"/>
    <w:rsid w:val="00C10E6B"/>
    <w:rsid w:val="00C10FBC"/>
    <w:rsid w:val="00C110A2"/>
    <w:rsid w:val="00C1121F"/>
    <w:rsid w:val="00C11445"/>
    <w:rsid w:val="00C1156A"/>
    <w:rsid w:val="00C11708"/>
    <w:rsid w:val="00C1175E"/>
    <w:rsid w:val="00C11A2C"/>
    <w:rsid w:val="00C11AF4"/>
    <w:rsid w:val="00C11B4A"/>
    <w:rsid w:val="00C11CAF"/>
    <w:rsid w:val="00C11F36"/>
    <w:rsid w:val="00C11F4E"/>
    <w:rsid w:val="00C11FD6"/>
    <w:rsid w:val="00C12071"/>
    <w:rsid w:val="00C12126"/>
    <w:rsid w:val="00C124BF"/>
    <w:rsid w:val="00C1275D"/>
    <w:rsid w:val="00C128DF"/>
    <w:rsid w:val="00C1294C"/>
    <w:rsid w:val="00C12F92"/>
    <w:rsid w:val="00C13203"/>
    <w:rsid w:val="00C13276"/>
    <w:rsid w:val="00C134B8"/>
    <w:rsid w:val="00C13535"/>
    <w:rsid w:val="00C13585"/>
    <w:rsid w:val="00C135CC"/>
    <w:rsid w:val="00C13839"/>
    <w:rsid w:val="00C139DD"/>
    <w:rsid w:val="00C13B04"/>
    <w:rsid w:val="00C13CE5"/>
    <w:rsid w:val="00C13E3A"/>
    <w:rsid w:val="00C13F43"/>
    <w:rsid w:val="00C13F4F"/>
    <w:rsid w:val="00C13FD7"/>
    <w:rsid w:val="00C13FF4"/>
    <w:rsid w:val="00C140E6"/>
    <w:rsid w:val="00C1417B"/>
    <w:rsid w:val="00C14237"/>
    <w:rsid w:val="00C14261"/>
    <w:rsid w:val="00C14266"/>
    <w:rsid w:val="00C146A9"/>
    <w:rsid w:val="00C146D7"/>
    <w:rsid w:val="00C14737"/>
    <w:rsid w:val="00C14811"/>
    <w:rsid w:val="00C14889"/>
    <w:rsid w:val="00C148AB"/>
    <w:rsid w:val="00C14A49"/>
    <w:rsid w:val="00C14B00"/>
    <w:rsid w:val="00C14DFD"/>
    <w:rsid w:val="00C14E84"/>
    <w:rsid w:val="00C14EE4"/>
    <w:rsid w:val="00C150B2"/>
    <w:rsid w:val="00C15123"/>
    <w:rsid w:val="00C15461"/>
    <w:rsid w:val="00C15552"/>
    <w:rsid w:val="00C1575F"/>
    <w:rsid w:val="00C158B9"/>
    <w:rsid w:val="00C15AB4"/>
    <w:rsid w:val="00C15AE8"/>
    <w:rsid w:val="00C15B28"/>
    <w:rsid w:val="00C15B65"/>
    <w:rsid w:val="00C15C73"/>
    <w:rsid w:val="00C15D00"/>
    <w:rsid w:val="00C15D8A"/>
    <w:rsid w:val="00C15E07"/>
    <w:rsid w:val="00C15F7E"/>
    <w:rsid w:val="00C16289"/>
    <w:rsid w:val="00C16433"/>
    <w:rsid w:val="00C16534"/>
    <w:rsid w:val="00C1655D"/>
    <w:rsid w:val="00C165B0"/>
    <w:rsid w:val="00C16731"/>
    <w:rsid w:val="00C1685C"/>
    <w:rsid w:val="00C169B9"/>
    <w:rsid w:val="00C16A12"/>
    <w:rsid w:val="00C16A46"/>
    <w:rsid w:val="00C16C42"/>
    <w:rsid w:val="00C16D1D"/>
    <w:rsid w:val="00C16D44"/>
    <w:rsid w:val="00C16F38"/>
    <w:rsid w:val="00C16F42"/>
    <w:rsid w:val="00C16F61"/>
    <w:rsid w:val="00C17005"/>
    <w:rsid w:val="00C1720D"/>
    <w:rsid w:val="00C172C4"/>
    <w:rsid w:val="00C173A9"/>
    <w:rsid w:val="00C17765"/>
    <w:rsid w:val="00C1780D"/>
    <w:rsid w:val="00C17AB1"/>
    <w:rsid w:val="00C17C0E"/>
    <w:rsid w:val="00C17CC7"/>
    <w:rsid w:val="00C17ED8"/>
    <w:rsid w:val="00C17FF5"/>
    <w:rsid w:val="00C20037"/>
    <w:rsid w:val="00C20113"/>
    <w:rsid w:val="00C2017E"/>
    <w:rsid w:val="00C201DC"/>
    <w:rsid w:val="00C202E6"/>
    <w:rsid w:val="00C2033C"/>
    <w:rsid w:val="00C2037A"/>
    <w:rsid w:val="00C20525"/>
    <w:rsid w:val="00C20749"/>
    <w:rsid w:val="00C2075E"/>
    <w:rsid w:val="00C209CD"/>
    <w:rsid w:val="00C20A32"/>
    <w:rsid w:val="00C20A43"/>
    <w:rsid w:val="00C20AA4"/>
    <w:rsid w:val="00C20C7F"/>
    <w:rsid w:val="00C20CA4"/>
    <w:rsid w:val="00C20D23"/>
    <w:rsid w:val="00C20D7F"/>
    <w:rsid w:val="00C20E6F"/>
    <w:rsid w:val="00C21031"/>
    <w:rsid w:val="00C21261"/>
    <w:rsid w:val="00C21345"/>
    <w:rsid w:val="00C214E2"/>
    <w:rsid w:val="00C2162C"/>
    <w:rsid w:val="00C21733"/>
    <w:rsid w:val="00C21748"/>
    <w:rsid w:val="00C21883"/>
    <w:rsid w:val="00C21941"/>
    <w:rsid w:val="00C219E8"/>
    <w:rsid w:val="00C21CAF"/>
    <w:rsid w:val="00C21CFB"/>
    <w:rsid w:val="00C2218C"/>
    <w:rsid w:val="00C223EF"/>
    <w:rsid w:val="00C224BD"/>
    <w:rsid w:val="00C22551"/>
    <w:rsid w:val="00C2286E"/>
    <w:rsid w:val="00C22A33"/>
    <w:rsid w:val="00C22A92"/>
    <w:rsid w:val="00C22C58"/>
    <w:rsid w:val="00C22CF4"/>
    <w:rsid w:val="00C22DC9"/>
    <w:rsid w:val="00C22FB7"/>
    <w:rsid w:val="00C230BD"/>
    <w:rsid w:val="00C23166"/>
    <w:rsid w:val="00C2316B"/>
    <w:rsid w:val="00C231B9"/>
    <w:rsid w:val="00C232ED"/>
    <w:rsid w:val="00C234F8"/>
    <w:rsid w:val="00C23530"/>
    <w:rsid w:val="00C2356A"/>
    <w:rsid w:val="00C2373B"/>
    <w:rsid w:val="00C23770"/>
    <w:rsid w:val="00C23773"/>
    <w:rsid w:val="00C23A44"/>
    <w:rsid w:val="00C23ABB"/>
    <w:rsid w:val="00C23C11"/>
    <w:rsid w:val="00C23C3D"/>
    <w:rsid w:val="00C23C3F"/>
    <w:rsid w:val="00C23C51"/>
    <w:rsid w:val="00C23C89"/>
    <w:rsid w:val="00C23D3D"/>
    <w:rsid w:val="00C240A8"/>
    <w:rsid w:val="00C24132"/>
    <w:rsid w:val="00C2419E"/>
    <w:rsid w:val="00C241D3"/>
    <w:rsid w:val="00C24493"/>
    <w:rsid w:val="00C24513"/>
    <w:rsid w:val="00C24601"/>
    <w:rsid w:val="00C24613"/>
    <w:rsid w:val="00C24883"/>
    <w:rsid w:val="00C249C1"/>
    <w:rsid w:val="00C24AF7"/>
    <w:rsid w:val="00C24B3B"/>
    <w:rsid w:val="00C24C08"/>
    <w:rsid w:val="00C24E1A"/>
    <w:rsid w:val="00C24E35"/>
    <w:rsid w:val="00C24F7F"/>
    <w:rsid w:val="00C2508F"/>
    <w:rsid w:val="00C2514F"/>
    <w:rsid w:val="00C2520C"/>
    <w:rsid w:val="00C25321"/>
    <w:rsid w:val="00C25550"/>
    <w:rsid w:val="00C2566B"/>
    <w:rsid w:val="00C25727"/>
    <w:rsid w:val="00C25786"/>
    <w:rsid w:val="00C257A7"/>
    <w:rsid w:val="00C25836"/>
    <w:rsid w:val="00C25D30"/>
    <w:rsid w:val="00C25E74"/>
    <w:rsid w:val="00C25E88"/>
    <w:rsid w:val="00C261EE"/>
    <w:rsid w:val="00C262D9"/>
    <w:rsid w:val="00C2630B"/>
    <w:rsid w:val="00C2637C"/>
    <w:rsid w:val="00C263C3"/>
    <w:rsid w:val="00C26506"/>
    <w:rsid w:val="00C26586"/>
    <w:rsid w:val="00C265D3"/>
    <w:rsid w:val="00C265E6"/>
    <w:rsid w:val="00C26803"/>
    <w:rsid w:val="00C2689F"/>
    <w:rsid w:val="00C26922"/>
    <w:rsid w:val="00C26953"/>
    <w:rsid w:val="00C2696A"/>
    <w:rsid w:val="00C269DC"/>
    <w:rsid w:val="00C26A08"/>
    <w:rsid w:val="00C26B05"/>
    <w:rsid w:val="00C26C34"/>
    <w:rsid w:val="00C26DFA"/>
    <w:rsid w:val="00C26EBB"/>
    <w:rsid w:val="00C26F23"/>
    <w:rsid w:val="00C26F6F"/>
    <w:rsid w:val="00C26FF4"/>
    <w:rsid w:val="00C270D6"/>
    <w:rsid w:val="00C27328"/>
    <w:rsid w:val="00C2747A"/>
    <w:rsid w:val="00C2757D"/>
    <w:rsid w:val="00C276B0"/>
    <w:rsid w:val="00C27753"/>
    <w:rsid w:val="00C27783"/>
    <w:rsid w:val="00C27843"/>
    <w:rsid w:val="00C278B0"/>
    <w:rsid w:val="00C278E8"/>
    <w:rsid w:val="00C27959"/>
    <w:rsid w:val="00C279B8"/>
    <w:rsid w:val="00C279E1"/>
    <w:rsid w:val="00C27BA4"/>
    <w:rsid w:val="00C27E66"/>
    <w:rsid w:val="00C27E72"/>
    <w:rsid w:val="00C30071"/>
    <w:rsid w:val="00C300EA"/>
    <w:rsid w:val="00C30117"/>
    <w:rsid w:val="00C301E7"/>
    <w:rsid w:val="00C303E1"/>
    <w:rsid w:val="00C3056D"/>
    <w:rsid w:val="00C30703"/>
    <w:rsid w:val="00C3094D"/>
    <w:rsid w:val="00C30959"/>
    <w:rsid w:val="00C309AC"/>
    <w:rsid w:val="00C30C03"/>
    <w:rsid w:val="00C30CCF"/>
    <w:rsid w:val="00C30F61"/>
    <w:rsid w:val="00C30F82"/>
    <w:rsid w:val="00C30FCC"/>
    <w:rsid w:val="00C31054"/>
    <w:rsid w:val="00C3119C"/>
    <w:rsid w:val="00C3126E"/>
    <w:rsid w:val="00C312E8"/>
    <w:rsid w:val="00C315A6"/>
    <w:rsid w:val="00C31613"/>
    <w:rsid w:val="00C31626"/>
    <w:rsid w:val="00C31709"/>
    <w:rsid w:val="00C31726"/>
    <w:rsid w:val="00C31793"/>
    <w:rsid w:val="00C3197F"/>
    <w:rsid w:val="00C31986"/>
    <w:rsid w:val="00C31B77"/>
    <w:rsid w:val="00C31D2E"/>
    <w:rsid w:val="00C31EE2"/>
    <w:rsid w:val="00C3208C"/>
    <w:rsid w:val="00C323A4"/>
    <w:rsid w:val="00C32542"/>
    <w:rsid w:val="00C3256D"/>
    <w:rsid w:val="00C3262C"/>
    <w:rsid w:val="00C326E0"/>
    <w:rsid w:val="00C327C9"/>
    <w:rsid w:val="00C3285D"/>
    <w:rsid w:val="00C328D8"/>
    <w:rsid w:val="00C328FF"/>
    <w:rsid w:val="00C3293F"/>
    <w:rsid w:val="00C32AEC"/>
    <w:rsid w:val="00C32B83"/>
    <w:rsid w:val="00C32B94"/>
    <w:rsid w:val="00C32BBD"/>
    <w:rsid w:val="00C32BE4"/>
    <w:rsid w:val="00C32CFD"/>
    <w:rsid w:val="00C32EC5"/>
    <w:rsid w:val="00C32F62"/>
    <w:rsid w:val="00C32FC8"/>
    <w:rsid w:val="00C330B3"/>
    <w:rsid w:val="00C330B4"/>
    <w:rsid w:val="00C3331F"/>
    <w:rsid w:val="00C33372"/>
    <w:rsid w:val="00C3347B"/>
    <w:rsid w:val="00C3361B"/>
    <w:rsid w:val="00C33621"/>
    <w:rsid w:val="00C33697"/>
    <w:rsid w:val="00C3370C"/>
    <w:rsid w:val="00C338CC"/>
    <w:rsid w:val="00C339C5"/>
    <w:rsid w:val="00C33BF6"/>
    <w:rsid w:val="00C33C7E"/>
    <w:rsid w:val="00C33DFE"/>
    <w:rsid w:val="00C33F46"/>
    <w:rsid w:val="00C33F93"/>
    <w:rsid w:val="00C34196"/>
    <w:rsid w:val="00C342F3"/>
    <w:rsid w:val="00C342F9"/>
    <w:rsid w:val="00C3447F"/>
    <w:rsid w:val="00C34500"/>
    <w:rsid w:val="00C345C6"/>
    <w:rsid w:val="00C3462F"/>
    <w:rsid w:val="00C34651"/>
    <w:rsid w:val="00C34684"/>
    <w:rsid w:val="00C34928"/>
    <w:rsid w:val="00C34B3C"/>
    <w:rsid w:val="00C34B42"/>
    <w:rsid w:val="00C34D52"/>
    <w:rsid w:val="00C34DD8"/>
    <w:rsid w:val="00C3516C"/>
    <w:rsid w:val="00C3516D"/>
    <w:rsid w:val="00C35170"/>
    <w:rsid w:val="00C3517E"/>
    <w:rsid w:val="00C35262"/>
    <w:rsid w:val="00C352BC"/>
    <w:rsid w:val="00C35742"/>
    <w:rsid w:val="00C35814"/>
    <w:rsid w:val="00C359C4"/>
    <w:rsid w:val="00C35AB4"/>
    <w:rsid w:val="00C35C2E"/>
    <w:rsid w:val="00C35DE6"/>
    <w:rsid w:val="00C35FB3"/>
    <w:rsid w:val="00C35FF3"/>
    <w:rsid w:val="00C36053"/>
    <w:rsid w:val="00C360FC"/>
    <w:rsid w:val="00C36184"/>
    <w:rsid w:val="00C362CE"/>
    <w:rsid w:val="00C366E2"/>
    <w:rsid w:val="00C3680F"/>
    <w:rsid w:val="00C3691B"/>
    <w:rsid w:val="00C36A4A"/>
    <w:rsid w:val="00C36C2F"/>
    <w:rsid w:val="00C36D3E"/>
    <w:rsid w:val="00C36D69"/>
    <w:rsid w:val="00C36E76"/>
    <w:rsid w:val="00C36E99"/>
    <w:rsid w:val="00C36F28"/>
    <w:rsid w:val="00C36F7C"/>
    <w:rsid w:val="00C36F9C"/>
    <w:rsid w:val="00C36FA1"/>
    <w:rsid w:val="00C371D6"/>
    <w:rsid w:val="00C37282"/>
    <w:rsid w:val="00C37290"/>
    <w:rsid w:val="00C372AA"/>
    <w:rsid w:val="00C3733F"/>
    <w:rsid w:val="00C37359"/>
    <w:rsid w:val="00C3736C"/>
    <w:rsid w:val="00C3782B"/>
    <w:rsid w:val="00C378FF"/>
    <w:rsid w:val="00C3793B"/>
    <w:rsid w:val="00C379A6"/>
    <w:rsid w:val="00C37C12"/>
    <w:rsid w:val="00C37C29"/>
    <w:rsid w:val="00C37C4E"/>
    <w:rsid w:val="00C37D07"/>
    <w:rsid w:val="00C37D5E"/>
    <w:rsid w:val="00C37F54"/>
    <w:rsid w:val="00C37F80"/>
    <w:rsid w:val="00C40168"/>
    <w:rsid w:val="00C40301"/>
    <w:rsid w:val="00C40444"/>
    <w:rsid w:val="00C404F8"/>
    <w:rsid w:val="00C406E3"/>
    <w:rsid w:val="00C407B7"/>
    <w:rsid w:val="00C4086C"/>
    <w:rsid w:val="00C408A6"/>
    <w:rsid w:val="00C40930"/>
    <w:rsid w:val="00C4093A"/>
    <w:rsid w:val="00C4099C"/>
    <w:rsid w:val="00C40A00"/>
    <w:rsid w:val="00C40A25"/>
    <w:rsid w:val="00C40A36"/>
    <w:rsid w:val="00C40AB1"/>
    <w:rsid w:val="00C40C2A"/>
    <w:rsid w:val="00C40CAF"/>
    <w:rsid w:val="00C40CC2"/>
    <w:rsid w:val="00C40D83"/>
    <w:rsid w:val="00C40DDD"/>
    <w:rsid w:val="00C40E94"/>
    <w:rsid w:val="00C40EF1"/>
    <w:rsid w:val="00C40F0B"/>
    <w:rsid w:val="00C41344"/>
    <w:rsid w:val="00C413D6"/>
    <w:rsid w:val="00C4192F"/>
    <w:rsid w:val="00C419FF"/>
    <w:rsid w:val="00C41A01"/>
    <w:rsid w:val="00C41A8F"/>
    <w:rsid w:val="00C41B0E"/>
    <w:rsid w:val="00C41B9D"/>
    <w:rsid w:val="00C41BCD"/>
    <w:rsid w:val="00C41D2A"/>
    <w:rsid w:val="00C41DB9"/>
    <w:rsid w:val="00C4209F"/>
    <w:rsid w:val="00C42107"/>
    <w:rsid w:val="00C421CC"/>
    <w:rsid w:val="00C42202"/>
    <w:rsid w:val="00C4225C"/>
    <w:rsid w:val="00C423FB"/>
    <w:rsid w:val="00C428A9"/>
    <w:rsid w:val="00C42941"/>
    <w:rsid w:val="00C4295B"/>
    <w:rsid w:val="00C42A39"/>
    <w:rsid w:val="00C42A70"/>
    <w:rsid w:val="00C42AB9"/>
    <w:rsid w:val="00C42B01"/>
    <w:rsid w:val="00C42B9F"/>
    <w:rsid w:val="00C42E8E"/>
    <w:rsid w:val="00C42FFB"/>
    <w:rsid w:val="00C4301B"/>
    <w:rsid w:val="00C43046"/>
    <w:rsid w:val="00C430DB"/>
    <w:rsid w:val="00C4311E"/>
    <w:rsid w:val="00C4326A"/>
    <w:rsid w:val="00C43403"/>
    <w:rsid w:val="00C436D9"/>
    <w:rsid w:val="00C43729"/>
    <w:rsid w:val="00C43918"/>
    <w:rsid w:val="00C439FB"/>
    <w:rsid w:val="00C43AE4"/>
    <w:rsid w:val="00C43B44"/>
    <w:rsid w:val="00C43CAB"/>
    <w:rsid w:val="00C43E2A"/>
    <w:rsid w:val="00C43F1D"/>
    <w:rsid w:val="00C44316"/>
    <w:rsid w:val="00C44367"/>
    <w:rsid w:val="00C44385"/>
    <w:rsid w:val="00C44472"/>
    <w:rsid w:val="00C4462C"/>
    <w:rsid w:val="00C4484B"/>
    <w:rsid w:val="00C44859"/>
    <w:rsid w:val="00C448D8"/>
    <w:rsid w:val="00C44B18"/>
    <w:rsid w:val="00C44D71"/>
    <w:rsid w:val="00C44E1B"/>
    <w:rsid w:val="00C44ECD"/>
    <w:rsid w:val="00C44EE8"/>
    <w:rsid w:val="00C44F55"/>
    <w:rsid w:val="00C45194"/>
    <w:rsid w:val="00C451D9"/>
    <w:rsid w:val="00C45314"/>
    <w:rsid w:val="00C4549D"/>
    <w:rsid w:val="00C454AB"/>
    <w:rsid w:val="00C4557A"/>
    <w:rsid w:val="00C455F3"/>
    <w:rsid w:val="00C456FC"/>
    <w:rsid w:val="00C4576A"/>
    <w:rsid w:val="00C45849"/>
    <w:rsid w:val="00C4585F"/>
    <w:rsid w:val="00C45886"/>
    <w:rsid w:val="00C45925"/>
    <w:rsid w:val="00C45ACE"/>
    <w:rsid w:val="00C45BFB"/>
    <w:rsid w:val="00C45DC1"/>
    <w:rsid w:val="00C45DCC"/>
    <w:rsid w:val="00C45F34"/>
    <w:rsid w:val="00C4635D"/>
    <w:rsid w:val="00C4660D"/>
    <w:rsid w:val="00C4678F"/>
    <w:rsid w:val="00C467F2"/>
    <w:rsid w:val="00C46B04"/>
    <w:rsid w:val="00C46BB0"/>
    <w:rsid w:val="00C46C84"/>
    <w:rsid w:val="00C46C96"/>
    <w:rsid w:val="00C46CC7"/>
    <w:rsid w:val="00C46F53"/>
    <w:rsid w:val="00C46FCB"/>
    <w:rsid w:val="00C4703F"/>
    <w:rsid w:val="00C471FD"/>
    <w:rsid w:val="00C4723C"/>
    <w:rsid w:val="00C47274"/>
    <w:rsid w:val="00C47318"/>
    <w:rsid w:val="00C47365"/>
    <w:rsid w:val="00C473BB"/>
    <w:rsid w:val="00C47526"/>
    <w:rsid w:val="00C476AC"/>
    <w:rsid w:val="00C477B2"/>
    <w:rsid w:val="00C477F0"/>
    <w:rsid w:val="00C478C6"/>
    <w:rsid w:val="00C47935"/>
    <w:rsid w:val="00C47BCA"/>
    <w:rsid w:val="00C47C86"/>
    <w:rsid w:val="00C47CC1"/>
    <w:rsid w:val="00C47CE2"/>
    <w:rsid w:val="00C47D6D"/>
    <w:rsid w:val="00C47DAF"/>
    <w:rsid w:val="00C47E4C"/>
    <w:rsid w:val="00C500B6"/>
    <w:rsid w:val="00C500CE"/>
    <w:rsid w:val="00C50178"/>
    <w:rsid w:val="00C5028B"/>
    <w:rsid w:val="00C503AE"/>
    <w:rsid w:val="00C50421"/>
    <w:rsid w:val="00C504FA"/>
    <w:rsid w:val="00C5057B"/>
    <w:rsid w:val="00C50752"/>
    <w:rsid w:val="00C50888"/>
    <w:rsid w:val="00C509A2"/>
    <w:rsid w:val="00C50B81"/>
    <w:rsid w:val="00C50C30"/>
    <w:rsid w:val="00C50CE2"/>
    <w:rsid w:val="00C50D94"/>
    <w:rsid w:val="00C50E06"/>
    <w:rsid w:val="00C50FE1"/>
    <w:rsid w:val="00C510B0"/>
    <w:rsid w:val="00C512C3"/>
    <w:rsid w:val="00C5157A"/>
    <w:rsid w:val="00C515AA"/>
    <w:rsid w:val="00C515E3"/>
    <w:rsid w:val="00C51811"/>
    <w:rsid w:val="00C51848"/>
    <w:rsid w:val="00C51873"/>
    <w:rsid w:val="00C51AF8"/>
    <w:rsid w:val="00C51BE9"/>
    <w:rsid w:val="00C5208B"/>
    <w:rsid w:val="00C52099"/>
    <w:rsid w:val="00C520C5"/>
    <w:rsid w:val="00C520EC"/>
    <w:rsid w:val="00C52212"/>
    <w:rsid w:val="00C5234E"/>
    <w:rsid w:val="00C52430"/>
    <w:rsid w:val="00C524CE"/>
    <w:rsid w:val="00C5252D"/>
    <w:rsid w:val="00C527D0"/>
    <w:rsid w:val="00C52804"/>
    <w:rsid w:val="00C52970"/>
    <w:rsid w:val="00C52A98"/>
    <w:rsid w:val="00C52D50"/>
    <w:rsid w:val="00C52DB8"/>
    <w:rsid w:val="00C52E50"/>
    <w:rsid w:val="00C52FB5"/>
    <w:rsid w:val="00C52FB7"/>
    <w:rsid w:val="00C531E3"/>
    <w:rsid w:val="00C5323E"/>
    <w:rsid w:val="00C53278"/>
    <w:rsid w:val="00C53376"/>
    <w:rsid w:val="00C53423"/>
    <w:rsid w:val="00C5376A"/>
    <w:rsid w:val="00C53844"/>
    <w:rsid w:val="00C53A03"/>
    <w:rsid w:val="00C53A73"/>
    <w:rsid w:val="00C53A9C"/>
    <w:rsid w:val="00C53AD7"/>
    <w:rsid w:val="00C53C7C"/>
    <w:rsid w:val="00C53D1C"/>
    <w:rsid w:val="00C53DC3"/>
    <w:rsid w:val="00C53E1F"/>
    <w:rsid w:val="00C5423E"/>
    <w:rsid w:val="00C5434C"/>
    <w:rsid w:val="00C54357"/>
    <w:rsid w:val="00C54B8F"/>
    <w:rsid w:val="00C54C1C"/>
    <w:rsid w:val="00C54E89"/>
    <w:rsid w:val="00C54F50"/>
    <w:rsid w:val="00C54FAD"/>
    <w:rsid w:val="00C55313"/>
    <w:rsid w:val="00C553CA"/>
    <w:rsid w:val="00C554C2"/>
    <w:rsid w:val="00C5586C"/>
    <w:rsid w:val="00C55878"/>
    <w:rsid w:val="00C558EE"/>
    <w:rsid w:val="00C55913"/>
    <w:rsid w:val="00C559DE"/>
    <w:rsid w:val="00C55B38"/>
    <w:rsid w:val="00C55C9A"/>
    <w:rsid w:val="00C55D4B"/>
    <w:rsid w:val="00C55E59"/>
    <w:rsid w:val="00C55E73"/>
    <w:rsid w:val="00C55FD9"/>
    <w:rsid w:val="00C5615A"/>
    <w:rsid w:val="00C5674D"/>
    <w:rsid w:val="00C5683C"/>
    <w:rsid w:val="00C56900"/>
    <w:rsid w:val="00C56987"/>
    <w:rsid w:val="00C569CB"/>
    <w:rsid w:val="00C56AEE"/>
    <w:rsid w:val="00C56B3B"/>
    <w:rsid w:val="00C56B66"/>
    <w:rsid w:val="00C56CDC"/>
    <w:rsid w:val="00C56E6C"/>
    <w:rsid w:val="00C57028"/>
    <w:rsid w:val="00C5704C"/>
    <w:rsid w:val="00C57142"/>
    <w:rsid w:val="00C572D7"/>
    <w:rsid w:val="00C573BF"/>
    <w:rsid w:val="00C573CB"/>
    <w:rsid w:val="00C5740F"/>
    <w:rsid w:val="00C5758D"/>
    <w:rsid w:val="00C57596"/>
    <w:rsid w:val="00C577A8"/>
    <w:rsid w:val="00C579BA"/>
    <w:rsid w:val="00C57A55"/>
    <w:rsid w:val="00C57AB9"/>
    <w:rsid w:val="00C57C42"/>
    <w:rsid w:val="00C57D09"/>
    <w:rsid w:val="00C57D22"/>
    <w:rsid w:val="00C57E50"/>
    <w:rsid w:val="00C60078"/>
    <w:rsid w:val="00C60175"/>
    <w:rsid w:val="00C601F8"/>
    <w:rsid w:val="00C60270"/>
    <w:rsid w:val="00C6034A"/>
    <w:rsid w:val="00C60363"/>
    <w:rsid w:val="00C603B7"/>
    <w:rsid w:val="00C60421"/>
    <w:rsid w:val="00C60461"/>
    <w:rsid w:val="00C60651"/>
    <w:rsid w:val="00C606AB"/>
    <w:rsid w:val="00C6093E"/>
    <w:rsid w:val="00C609F1"/>
    <w:rsid w:val="00C60B97"/>
    <w:rsid w:val="00C60C0C"/>
    <w:rsid w:val="00C60E52"/>
    <w:rsid w:val="00C60E91"/>
    <w:rsid w:val="00C60F37"/>
    <w:rsid w:val="00C60FB3"/>
    <w:rsid w:val="00C60FE0"/>
    <w:rsid w:val="00C6103F"/>
    <w:rsid w:val="00C61156"/>
    <w:rsid w:val="00C61158"/>
    <w:rsid w:val="00C611FB"/>
    <w:rsid w:val="00C61337"/>
    <w:rsid w:val="00C6139F"/>
    <w:rsid w:val="00C6156C"/>
    <w:rsid w:val="00C61620"/>
    <w:rsid w:val="00C6197F"/>
    <w:rsid w:val="00C61AE0"/>
    <w:rsid w:val="00C61F24"/>
    <w:rsid w:val="00C61F96"/>
    <w:rsid w:val="00C6204C"/>
    <w:rsid w:val="00C62156"/>
    <w:rsid w:val="00C6228A"/>
    <w:rsid w:val="00C625DC"/>
    <w:rsid w:val="00C6268A"/>
    <w:rsid w:val="00C626E2"/>
    <w:rsid w:val="00C626F4"/>
    <w:rsid w:val="00C62743"/>
    <w:rsid w:val="00C62744"/>
    <w:rsid w:val="00C6275E"/>
    <w:rsid w:val="00C627E1"/>
    <w:rsid w:val="00C62812"/>
    <w:rsid w:val="00C62931"/>
    <w:rsid w:val="00C62A4A"/>
    <w:rsid w:val="00C62D28"/>
    <w:rsid w:val="00C62DF9"/>
    <w:rsid w:val="00C62E4B"/>
    <w:rsid w:val="00C62E72"/>
    <w:rsid w:val="00C62EC0"/>
    <w:rsid w:val="00C62F68"/>
    <w:rsid w:val="00C6307D"/>
    <w:rsid w:val="00C630E4"/>
    <w:rsid w:val="00C6325F"/>
    <w:rsid w:val="00C63342"/>
    <w:rsid w:val="00C6367C"/>
    <w:rsid w:val="00C636A6"/>
    <w:rsid w:val="00C63797"/>
    <w:rsid w:val="00C63890"/>
    <w:rsid w:val="00C639B2"/>
    <w:rsid w:val="00C63A71"/>
    <w:rsid w:val="00C63C19"/>
    <w:rsid w:val="00C64023"/>
    <w:rsid w:val="00C6417E"/>
    <w:rsid w:val="00C641A3"/>
    <w:rsid w:val="00C64273"/>
    <w:rsid w:val="00C642F8"/>
    <w:rsid w:val="00C643B6"/>
    <w:rsid w:val="00C64426"/>
    <w:rsid w:val="00C644C8"/>
    <w:rsid w:val="00C644D4"/>
    <w:rsid w:val="00C64727"/>
    <w:rsid w:val="00C648EF"/>
    <w:rsid w:val="00C64B6D"/>
    <w:rsid w:val="00C64D23"/>
    <w:rsid w:val="00C64D6F"/>
    <w:rsid w:val="00C64E71"/>
    <w:rsid w:val="00C64E83"/>
    <w:rsid w:val="00C64EDE"/>
    <w:rsid w:val="00C64F38"/>
    <w:rsid w:val="00C64FB8"/>
    <w:rsid w:val="00C65051"/>
    <w:rsid w:val="00C6511E"/>
    <w:rsid w:val="00C6519F"/>
    <w:rsid w:val="00C6553A"/>
    <w:rsid w:val="00C65667"/>
    <w:rsid w:val="00C6571A"/>
    <w:rsid w:val="00C65770"/>
    <w:rsid w:val="00C65C36"/>
    <w:rsid w:val="00C65DBC"/>
    <w:rsid w:val="00C65E94"/>
    <w:rsid w:val="00C65EF7"/>
    <w:rsid w:val="00C66019"/>
    <w:rsid w:val="00C66146"/>
    <w:rsid w:val="00C661E8"/>
    <w:rsid w:val="00C662E4"/>
    <w:rsid w:val="00C66372"/>
    <w:rsid w:val="00C6639D"/>
    <w:rsid w:val="00C664B3"/>
    <w:rsid w:val="00C66589"/>
    <w:rsid w:val="00C665C3"/>
    <w:rsid w:val="00C665FC"/>
    <w:rsid w:val="00C66676"/>
    <w:rsid w:val="00C66802"/>
    <w:rsid w:val="00C668A9"/>
    <w:rsid w:val="00C669A0"/>
    <w:rsid w:val="00C66B8F"/>
    <w:rsid w:val="00C66D23"/>
    <w:rsid w:val="00C66D4D"/>
    <w:rsid w:val="00C66D92"/>
    <w:rsid w:val="00C66E5D"/>
    <w:rsid w:val="00C66E93"/>
    <w:rsid w:val="00C66FB2"/>
    <w:rsid w:val="00C67145"/>
    <w:rsid w:val="00C6720D"/>
    <w:rsid w:val="00C67333"/>
    <w:rsid w:val="00C67388"/>
    <w:rsid w:val="00C673C0"/>
    <w:rsid w:val="00C673C6"/>
    <w:rsid w:val="00C67479"/>
    <w:rsid w:val="00C6767D"/>
    <w:rsid w:val="00C6776A"/>
    <w:rsid w:val="00C677F0"/>
    <w:rsid w:val="00C67808"/>
    <w:rsid w:val="00C67811"/>
    <w:rsid w:val="00C6783D"/>
    <w:rsid w:val="00C678AE"/>
    <w:rsid w:val="00C679E9"/>
    <w:rsid w:val="00C67AB9"/>
    <w:rsid w:val="00C67B30"/>
    <w:rsid w:val="00C67C0A"/>
    <w:rsid w:val="00C67C5D"/>
    <w:rsid w:val="00C67C8D"/>
    <w:rsid w:val="00C67CBC"/>
    <w:rsid w:val="00C67CE3"/>
    <w:rsid w:val="00C67F4D"/>
    <w:rsid w:val="00C70068"/>
    <w:rsid w:val="00C700C6"/>
    <w:rsid w:val="00C7012F"/>
    <w:rsid w:val="00C70194"/>
    <w:rsid w:val="00C701E4"/>
    <w:rsid w:val="00C70553"/>
    <w:rsid w:val="00C705C2"/>
    <w:rsid w:val="00C705CB"/>
    <w:rsid w:val="00C70753"/>
    <w:rsid w:val="00C70888"/>
    <w:rsid w:val="00C709AF"/>
    <w:rsid w:val="00C709C5"/>
    <w:rsid w:val="00C70A2A"/>
    <w:rsid w:val="00C70A44"/>
    <w:rsid w:val="00C70BDE"/>
    <w:rsid w:val="00C70E03"/>
    <w:rsid w:val="00C70E92"/>
    <w:rsid w:val="00C70E97"/>
    <w:rsid w:val="00C70EE0"/>
    <w:rsid w:val="00C70FD8"/>
    <w:rsid w:val="00C710D6"/>
    <w:rsid w:val="00C712EC"/>
    <w:rsid w:val="00C71502"/>
    <w:rsid w:val="00C7152A"/>
    <w:rsid w:val="00C71556"/>
    <w:rsid w:val="00C715B3"/>
    <w:rsid w:val="00C715DD"/>
    <w:rsid w:val="00C7164B"/>
    <w:rsid w:val="00C7172C"/>
    <w:rsid w:val="00C717C6"/>
    <w:rsid w:val="00C71817"/>
    <w:rsid w:val="00C718E0"/>
    <w:rsid w:val="00C71D46"/>
    <w:rsid w:val="00C71E0E"/>
    <w:rsid w:val="00C71E50"/>
    <w:rsid w:val="00C71FD5"/>
    <w:rsid w:val="00C71FEF"/>
    <w:rsid w:val="00C7258B"/>
    <w:rsid w:val="00C72630"/>
    <w:rsid w:val="00C726D6"/>
    <w:rsid w:val="00C72994"/>
    <w:rsid w:val="00C729AD"/>
    <w:rsid w:val="00C72A83"/>
    <w:rsid w:val="00C72BF5"/>
    <w:rsid w:val="00C72C41"/>
    <w:rsid w:val="00C72C51"/>
    <w:rsid w:val="00C72CE8"/>
    <w:rsid w:val="00C72E83"/>
    <w:rsid w:val="00C72E92"/>
    <w:rsid w:val="00C73021"/>
    <w:rsid w:val="00C730B7"/>
    <w:rsid w:val="00C7314F"/>
    <w:rsid w:val="00C7324A"/>
    <w:rsid w:val="00C73580"/>
    <w:rsid w:val="00C7379E"/>
    <w:rsid w:val="00C739C4"/>
    <w:rsid w:val="00C739E3"/>
    <w:rsid w:val="00C73A0A"/>
    <w:rsid w:val="00C73B11"/>
    <w:rsid w:val="00C73C56"/>
    <w:rsid w:val="00C73C5D"/>
    <w:rsid w:val="00C73D8D"/>
    <w:rsid w:val="00C73E91"/>
    <w:rsid w:val="00C73EB8"/>
    <w:rsid w:val="00C73F1F"/>
    <w:rsid w:val="00C73F59"/>
    <w:rsid w:val="00C73F77"/>
    <w:rsid w:val="00C7418E"/>
    <w:rsid w:val="00C742CD"/>
    <w:rsid w:val="00C7433B"/>
    <w:rsid w:val="00C74368"/>
    <w:rsid w:val="00C745B7"/>
    <w:rsid w:val="00C746DA"/>
    <w:rsid w:val="00C74735"/>
    <w:rsid w:val="00C74774"/>
    <w:rsid w:val="00C747F6"/>
    <w:rsid w:val="00C74881"/>
    <w:rsid w:val="00C7489F"/>
    <w:rsid w:val="00C748CA"/>
    <w:rsid w:val="00C74A22"/>
    <w:rsid w:val="00C74AD9"/>
    <w:rsid w:val="00C74C16"/>
    <w:rsid w:val="00C74CCD"/>
    <w:rsid w:val="00C74D8A"/>
    <w:rsid w:val="00C74D95"/>
    <w:rsid w:val="00C74DE9"/>
    <w:rsid w:val="00C74E73"/>
    <w:rsid w:val="00C74FAC"/>
    <w:rsid w:val="00C75134"/>
    <w:rsid w:val="00C7518B"/>
    <w:rsid w:val="00C75199"/>
    <w:rsid w:val="00C7535E"/>
    <w:rsid w:val="00C7548C"/>
    <w:rsid w:val="00C754ED"/>
    <w:rsid w:val="00C75544"/>
    <w:rsid w:val="00C75552"/>
    <w:rsid w:val="00C7561D"/>
    <w:rsid w:val="00C75648"/>
    <w:rsid w:val="00C756FD"/>
    <w:rsid w:val="00C757EE"/>
    <w:rsid w:val="00C75AA3"/>
    <w:rsid w:val="00C75CBC"/>
    <w:rsid w:val="00C75DC8"/>
    <w:rsid w:val="00C75EC4"/>
    <w:rsid w:val="00C75F2A"/>
    <w:rsid w:val="00C75FD7"/>
    <w:rsid w:val="00C760EF"/>
    <w:rsid w:val="00C76287"/>
    <w:rsid w:val="00C76443"/>
    <w:rsid w:val="00C76595"/>
    <w:rsid w:val="00C7666E"/>
    <w:rsid w:val="00C76776"/>
    <w:rsid w:val="00C767D0"/>
    <w:rsid w:val="00C768E4"/>
    <w:rsid w:val="00C76903"/>
    <w:rsid w:val="00C76AFB"/>
    <w:rsid w:val="00C76CB2"/>
    <w:rsid w:val="00C76F96"/>
    <w:rsid w:val="00C7717B"/>
    <w:rsid w:val="00C772C4"/>
    <w:rsid w:val="00C773FC"/>
    <w:rsid w:val="00C77549"/>
    <w:rsid w:val="00C775D2"/>
    <w:rsid w:val="00C7767B"/>
    <w:rsid w:val="00C77BC1"/>
    <w:rsid w:val="00C77EAE"/>
    <w:rsid w:val="00C80137"/>
    <w:rsid w:val="00C80233"/>
    <w:rsid w:val="00C802D2"/>
    <w:rsid w:val="00C80506"/>
    <w:rsid w:val="00C8069B"/>
    <w:rsid w:val="00C8074A"/>
    <w:rsid w:val="00C80753"/>
    <w:rsid w:val="00C808BF"/>
    <w:rsid w:val="00C808E3"/>
    <w:rsid w:val="00C809A4"/>
    <w:rsid w:val="00C809BB"/>
    <w:rsid w:val="00C80ADC"/>
    <w:rsid w:val="00C80C09"/>
    <w:rsid w:val="00C80C0C"/>
    <w:rsid w:val="00C80C0F"/>
    <w:rsid w:val="00C80D3A"/>
    <w:rsid w:val="00C80D83"/>
    <w:rsid w:val="00C80D91"/>
    <w:rsid w:val="00C80DA7"/>
    <w:rsid w:val="00C80E48"/>
    <w:rsid w:val="00C80F32"/>
    <w:rsid w:val="00C81039"/>
    <w:rsid w:val="00C811D0"/>
    <w:rsid w:val="00C812D6"/>
    <w:rsid w:val="00C814FB"/>
    <w:rsid w:val="00C815DB"/>
    <w:rsid w:val="00C8160D"/>
    <w:rsid w:val="00C816DE"/>
    <w:rsid w:val="00C817A7"/>
    <w:rsid w:val="00C817AF"/>
    <w:rsid w:val="00C81816"/>
    <w:rsid w:val="00C81880"/>
    <w:rsid w:val="00C81986"/>
    <w:rsid w:val="00C81AF5"/>
    <w:rsid w:val="00C81B29"/>
    <w:rsid w:val="00C81C2D"/>
    <w:rsid w:val="00C81DFF"/>
    <w:rsid w:val="00C81EC2"/>
    <w:rsid w:val="00C82020"/>
    <w:rsid w:val="00C8206B"/>
    <w:rsid w:val="00C821E8"/>
    <w:rsid w:val="00C82545"/>
    <w:rsid w:val="00C82640"/>
    <w:rsid w:val="00C826A0"/>
    <w:rsid w:val="00C82B6F"/>
    <w:rsid w:val="00C82B7D"/>
    <w:rsid w:val="00C82B8B"/>
    <w:rsid w:val="00C82BE3"/>
    <w:rsid w:val="00C82C7B"/>
    <w:rsid w:val="00C82D4F"/>
    <w:rsid w:val="00C82D5C"/>
    <w:rsid w:val="00C82D82"/>
    <w:rsid w:val="00C83230"/>
    <w:rsid w:val="00C83394"/>
    <w:rsid w:val="00C8345C"/>
    <w:rsid w:val="00C83508"/>
    <w:rsid w:val="00C8359D"/>
    <w:rsid w:val="00C835A3"/>
    <w:rsid w:val="00C837DB"/>
    <w:rsid w:val="00C83835"/>
    <w:rsid w:val="00C83A73"/>
    <w:rsid w:val="00C83AB6"/>
    <w:rsid w:val="00C83ABE"/>
    <w:rsid w:val="00C83CBC"/>
    <w:rsid w:val="00C83F53"/>
    <w:rsid w:val="00C8438D"/>
    <w:rsid w:val="00C84443"/>
    <w:rsid w:val="00C84473"/>
    <w:rsid w:val="00C8448B"/>
    <w:rsid w:val="00C844A3"/>
    <w:rsid w:val="00C844E9"/>
    <w:rsid w:val="00C8456D"/>
    <w:rsid w:val="00C846D9"/>
    <w:rsid w:val="00C8475D"/>
    <w:rsid w:val="00C847AD"/>
    <w:rsid w:val="00C848B0"/>
    <w:rsid w:val="00C8494D"/>
    <w:rsid w:val="00C84975"/>
    <w:rsid w:val="00C8499E"/>
    <w:rsid w:val="00C849BE"/>
    <w:rsid w:val="00C84B78"/>
    <w:rsid w:val="00C84CDB"/>
    <w:rsid w:val="00C84F04"/>
    <w:rsid w:val="00C84FE4"/>
    <w:rsid w:val="00C850D8"/>
    <w:rsid w:val="00C85105"/>
    <w:rsid w:val="00C85189"/>
    <w:rsid w:val="00C851D6"/>
    <w:rsid w:val="00C85285"/>
    <w:rsid w:val="00C853A4"/>
    <w:rsid w:val="00C85498"/>
    <w:rsid w:val="00C85597"/>
    <w:rsid w:val="00C856C5"/>
    <w:rsid w:val="00C8580F"/>
    <w:rsid w:val="00C85841"/>
    <w:rsid w:val="00C8586B"/>
    <w:rsid w:val="00C85915"/>
    <w:rsid w:val="00C8593D"/>
    <w:rsid w:val="00C8597A"/>
    <w:rsid w:val="00C85A34"/>
    <w:rsid w:val="00C85EA7"/>
    <w:rsid w:val="00C86355"/>
    <w:rsid w:val="00C8640C"/>
    <w:rsid w:val="00C86512"/>
    <w:rsid w:val="00C866EF"/>
    <w:rsid w:val="00C867BE"/>
    <w:rsid w:val="00C867E3"/>
    <w:rsid w:val="00C86889"/>
    <w:rsid w:val="00C869D2"/>
    <w:rsid w:val="00C86B9A"/>
    <w:rsid w:val="00C86D26"/>
    <w:rsid w:val="00C86D3D"/>
    <w:rsid w:val="00C86D54"/>
    <w:rsid w:val="00C86DD1"/>
    <w:rsid w:val="00C86E06"/>
    <w:rsid w:val="00C86EE8"/>
    <w:rsid w:val="00C86EEA"/>
    <w:rsid w:val="00C8707C"/>
    <w:rsid w:val="00C873CF"/>
    <w:rsid w:val="00C8742D"/>
    <w:rsid w:val="00C87563"/>
    <w:rsid w:val="00C875B5"/>
    <w:rsid w:val="00C87636"/>
    <w:rsid w:val="00C8769B"/>
    <w:rsid w:val="00C877B1"/>
    <w:rsid w:val="00C87808"/>
    <w:rsid w:val="00C878AD"/>
    <w:rsid w:val="00C87912"/>
    <w:rsid w:val="00C879AB"/>
    <w:rsid w:val="00C87ABB"/>
    <w:rsid w:val="00C87B05"/>
    <w:rsid w:val="00C87E1B"/>
    <w:rsid w:val="00C90038"/>
    <w:rsid w:val="00C9004A"/>
    <w:rsid w:val="00C900B2"/>
    <w:rsid w:val="00C902A3"/>
    <w:rsid w:val="00C903A4"/>
    <w:rsid w:val="00C903BD"/>
    <w:rsid w:val="00C903D7"/>
    <w:rsid w:val="00C903EA"/>
    <w:rsid w:val="00C904C5"/>
    <w:rsid w:val="00C90505"/>
    <w:rsid w:val="00C90620"/>
    <w:rsid w:val="00C9063C"/>
    <w:rsid w:val="00C906C3"/>
    <w:rsid w:val="00C90797"/>
    <w:rsid w:val="00C9083B"/>
    <w:rsid w:val="00C909B9"/>
    <w:rsid w:val="00C90A1B"/>
    <w:rsid w:val="00C90E3B"/>
    <w:rsid w:val="00C90E44"/>
    <w:rsid w:val="00C91007"/>
    <w:rsid w:val="00C9116A"/>
    <w:rsid w:val="00C9119F"/>
    <w:rsid w:val="00C911AB"/>
    <w:rsid w:val="00C911F8"/>
    <w:rsid w:val="00C91449"/>
    <w:rsid w:val="00C91550"/>
    <w:rsid w:val="00C9158C"/>
    <w:rsid w:val="00C9166E"/>
    <w:rsid w:val="00C91703"/>
    <w:rsid w:val="00C91725"/>
    <w:rsid w:val="00C917F3"/>
    <w:rsid w:val="00C9187B"/>
    <w:rsid w:val="00C91A57"/>
    <w:rsid w:val="00C91BF1"/>
    <w:rsid w:val="00C91C20"/>
    <w:rsid w:val="00C91C71"/>
    <w:rsid w:val="00C91E61"/>
    <w:rsid w:val="00C920AA"/>
    <w:rsid w:val="00C920E8"/>
    <w:rsid w:val="00C921A8"/>
    <w:rsid w:val="00C9240C"/>
    <w:rsid w:val="00C92479"/>
    <w:rsid w:val="00C924AA"/>
    <w:rsid w:val="00C92875"/>
    <w:rsid w:val="00C92884"/>
    <w:rsid w:val="00C92D3E"/>
    <w:rsid w:val="00C93020"/>
    <w:rsid w:val="00C930E7"/>
    <w:rsid w:val="00C93325"/>
    <w:rsid w:val="00C93413"/>
    <w:rsid w:val="00C93602"/>
    <w:rsid w:val="00C936EC"/>
    <w:rsid w:val="00C93928"/>
    <w:rsid w:val="00C939FA"/>
    <w:rsid w:val="00C93AF0"/>
    <w:rsid w:val="00C93D10"/>
    <w:rsid w:val="00C93D98"/>
    <w:rsid w:val="00C941ED"/>
    <w:rsid w:val="00C94289"/>
    <w:rsid w:val="00C94294"/>
    <w:rsid w:val="00C942AC"/>
    <w:rsid w:val="00C9434C"/>
    <w:rsid w:val="00C94402"/>
    <w:rsid w:val="00C94417"/>
    <w:rsid w:val="00C94475"/>
    <w:rsid w:val="00C945CA"/>
    <w:rsid w:val="00C94704"/>
    <w:rsid w:val="00C947AB"/>
    <w:rsid w:val="00C947D5"/>
    <w:rsid w:val="00C948F6"/>
    <w:rsid w:val="00C94A51"/>
    <w:rsid w:val="00C94A88"/>
    <w:rsid w:val="00C94ABD"/>
    <w:rsid w:val="00C94AFF"/>
    <w:rsid w:val="00C94B49"/>
    <w:rsid w:val="00C94B89"/>
    <w:rsid w:val="00C94C62"/>
    <w:rsid w:val="00C94D12"/>
    <w:rsid w:val="00C94EFF"/>
    <w:rsid w:val="00C94F6E"/>
    <w:rsid w:val="00C951C9"/>
    <w:rsid w:val="00C95219"/>
    <w:rsid w:val="00C95223"/>
    <w:rsid w:val="00C9545B"/>
    <w:rsid w:val="00C954BC"/>
    <w:rsid w:val="00C954DF"/>
    <w:rsid w:val="00C95556"/>
    <w:rsid w:val="00C95689"/>
    <w:rsid w:val="00C95772"/>
    <w:rsid w:val="00C95811"/>
    <w:rsid w:val="00C95A91"/>
    <w:rsid w:val="00C95AEF"/>
    <w:rsid w:val="00C95D82"/>
    <w:rsid w:val="00C95DA0"/>
    <w:rsid w:val="00C95E78"/>
    <w:rsid w:val="00C95E97"/>
    <w:rsid w:val="00C95EAA"/>
    <w:rsid w:val="00C9627D"/>
    <w:rsid w:val="00C9628D"/>
    <w:rsid w:val="00C962B7"/>
    <w:rsid w:val="00C96302"/>
    <w:rsid w:val="00C963F6"/>
    <w:rsid w:val="00C965DF"/>
    <w:rsid w:val="00C9664B"/>
    <w:rsid w:val="00C966D5"/>
    <w:rsid w:val="00C9671B"/>
    <w:rsid w:val="00C968FB"/>
    <w:rsid w:val="00C969BE"/>
    <w:rsid w:val="00C969FF"/>
    <w:rsid w:val="00C96A5C"/>
    <w:rsid w:val="00C96B04"/>
    <w:rsid w:val="00C96C8A"/>
    <w:rsid w:val="00C96CBD"/>
    <w:rsid w:val="00C96E63"/>
    <w:rsid w:val="00C97038"/>
    <w:rsid w:val="00C97241"/>
    <w:rsid w:val="00C97265"/>
    <w:rsid w:val="00C9739C"/>
    <w:rsid w:val="00C9739E"/>
    <w:rsid w:val="00C974FB"/>
    <w:rsid w:val="00C977D8"/>
    <w:rsid w:val="00C97873"/>
    <w:rsid w:val="00C9787F"/>
    <w:rsid w:val="00C978D6"/>
    <w:rsid w:val="00C97EEF"/>
    <w:rsid w:val="00C97F2C"/>
    <w:rsid w:val="00CA0073"/>
    <w:rsid w:val="00CA035A"/>
    <w:rsid w:val="00CA0372"/>
    <w:rsid w:val="00CA0448"/>
    <w:rsid w:val="00CA0561"/>
    <w:rsid w:val="00CA0569"/>
    <w:rsid w:val="00CA0677"/>
    <w:rsid w:val="00CA06A8"/>
    <w:rsid w:val="00CA06CE"/>
    <w:rsid w:val="00CA0768"/>
    <w:rsid w:val="00CA07D1"/>
    <w:rsid w:val="00CA08FA"/>
    <w:rsid w:val="00CA0906"/>
    <w:rsid w:val="00CA0B1C"/>
    <w:rsid w:val="00CA0B9E"/>
    <w:rsid w:val="00CA0BD6"/>
    <w:rsid w:val="00CA0D18"/>
    <w:rsid w:val="00CA0E95"/>
    <w:rsid w:val="00CA0FD0"/>
    <w:rsid w:val="00CA11CA"/>
    <w:rsid w:val="00CA1258"/>
    <w:rsid w:val="00CA13F1"/>
    <w:rsid w:val="00CA1533"/>
    <w:rsid w:val="00CA153E"/>
    <w:rsid w:val="00CA15D6"/>
    <w:rsid w:val="00CA162B"/>
    <w:rsid w:val="00CA177C"/>
    <w:rsid w:val="00CA19DE"/>
    <w:rsid w:val="00CA19E9"/>
    <w:rsid w:val="00CA1A6D"/>
    <w:rsid w:val="00CA1ACE"/>
    <w:rsid w:val="00CA1B73"/>
    <w:rsid w:val="00CA1D7C"/>
    <w:rsid w:val="00CA1DC2"/>
    <w:rsid w:val="00CA1E93"/>
    <w:rsid w:val="00CA1EAF"/>
    <w:rsid w:val="00CA2043"/>
    <w:rsid w:val="00CA2146"/>
    <w:rsid w:val="00CA2915"/>
    <w:rsid w:val="00CA297C"/>
    <w:rsid w:val="00CA2A28"/>
    <w:rsid w:val="00CA2C4B"/>
    <w:rsid w:val="00CA2E42"/>
    <w:rsid w:val="00CA2E6F"/>
    <w:rsid w:val="00CA2E87"/>
    <w:rsid w:val="00CA331F"/>
    <w:rsid w:val="00CA357D"/>
    <w:rsid w:val="00CA3637"/>
    <w:rsid w:val="00CA3661"/>
    <w:rsid w:val="00CA39B9"/>
    <w:rsid w:val="00CA3A69"/>
    <w:rsid w:val="00CA3C7E"/>
    <w:rsid w:val="00CA3D57"/>
    <w:rsid w:val="00CA3E19"/>
    <w:rsid w:val="00CA3F0A"/>
    <w:rsid w:val="00CA3F91"/>
    <w:rsid w:val="00CA3F96"/>
    <w:rsid w:val="00CA4028"/>
    <w:rsid w:val="00CA410F"/>
    <w:rsid w:val="00CA42BF"/>
    <w:rsid w:val="00CA4326"/>
    <w:rsid w:val="00CA43F8"/>
    <w:rsid w:val="00CA44BA"/>
    <w:rsid w:val="00CA454B"/>
    <w:rsid w:val="00CA45BA"/>
    <w:rsid w:val="00CA46DE"/>
    <w:rsid w:val="00CA4741"/>
    <w:rsid w:val="00CA480F"/>
    <w:rsid w:val="00CA49D5"/>
    <w:rsid w:val="00CA49DF"/>
    <w:rsid w:val="00CA4A9F"/>
    <w:rsid w:val="00CA4AAD"/>
    <w:rsid w:val="00CA4AC0"/>
    <w:rsid w:val="00CA4AFB"/>
    <w:rsid w:val="00CA4CA9"/>
    <w:rsid w:val="00CA4D7A"/>
    <w:rsid w:val="00CA4D83"/>
    <w:rsid w:val="00CA4DA9"/>
    <w:rsid w:val="00CA4F01"/>
    <w:rsid w:val="00CA4F9E"/>
    <w:rsid w:val="00CA50D2"/>
    <w:rsid w:val="00CA52CD"/>
    <w:rsid w:val="00CA55B1"/>
    <w:rsid w:val="00CA55C6"/>
    <w:rsid w:val="00CA55D8"/>
    <w:rsid w:val="00CA570F"/>
    <w:rsid w:val="00CA5724"/>
    <w:rsid w:val="00CA5726"/>
    <w:rsid w:val="00CA582D"/>
    <w:rsid w:val="00CA5898"/>
    <w:rsid w:val="00CA5BE4"/>
    <w:rsid w:val="00CA5C83"/>
    <w:rsid w:val="00CA5E71"/>
    <w:rsid w:val="00CA5F1D"/>
    <w:rsid w:val="00CA6452"/>
    <w:rsid w:val="00CA6475"/>
    <w:rsid w:val="00CA648C"/>
    <w:rsid w:val="00CA64BD"/>
    <w:rsid w:val="00CA6684"/>
    <w:rsid w:val="00CA66FE"/>
    <w:rsid w:val="00CA674C"/>
    <w:rsid w:val="00CA687B"/>
    <w:rsid w:val="00CA698A"/>
    <w:rsid w:val="00CA6B12"/>
    <w:rsid w:val="00CA6B2E"/>
    <w:rsid w:val="00CA6CB8"/>
    <w:rsid w:val="00CA6D52"/>
    <w:rsid w:val="00CA6F0D"/>
    <w:rsid w:val="00CA7161"/>
    <w:rsid w:val="00CA727B"/>
    <w:rsid w:val="00CA738A"/>
    <w:rsid w:val="00CA73DC"/>
    <w:rsid w:val="00CA7528"/>
    <w:rsid w:val="00CA7571"/>
    <w:rsid w:val="00CA7826"/>
    <w:rsid w:val="00CA78A6"/>
    <w:rsid w:val="00CA7947"/>
    <w:rsid w:val="00CA799F"/>
    <w:rsid w:val="00CA79CF"/>
    <w:rsid w:val="00CA7A99"/>
    <w:rsid w:val="00CA7AD2"/>
    <w:rsid w:val="00CA7ADC"/>
    <w:rsid w:val="00CA7B58"/>
    <w:rsid w:val="00CA7B66"/>
    <w:rsid w:val="00CA7D31"/>
    <w:rsid w:val="00CA7EB6"/>
    <w:rsid w:val="00CA7EBE"/>
    <w:rsid w:val="00CB005C"/>
    <w:rsid w:val="00CB00C6"/>
    <w:rsid w:val="00CB01E1"/>
    <w:rsid w:val="00CB028C"/>
    <w:rsid w:val="00CB02DC"/>
    <w:rsid w:val="00CB0373"/>
    <w:rsid w:val="00CB03A3"/>
    <w:rsid w:val="00CB0632"/>
    <w:rsid w:val="00CB0656"/>
    <w:rsid w:val="00CB0751"/>
    <w:rsid w:val="00CB077D"/>
    <w:rsid w:val="00CB094D"/>
    <w:rsid w:val="00CB0A43"/>
    <w:rsid w:val="00CB0ABB"/>
    <w:rsid w:val="00CB0AFD"/>
    <w:rsid w:val="00CB0B01"/>
    <w:rsid w:val="00CB0BD9"/>
    <w:rsid w:val="00CB0BDB"/>
    <w:rsid w:val="00CB0C9B"/>
    <w:rsid w:val="00CB0CA2"/>
    <w:rsid w:val="00CB0EE9"/>
    <w:rsid w:val="00CB13CE"/>
    <w:rsid w:val="00CB14AE"/>
    <w:rsid w:val="00CB14C6"/>
    <w:rsid w:val="00CB1568"/>
    <w:rsid w:val="00CB1592"/>
    <w:rsid w:val="00CB171B"/>
    <w:rsid w:val="00CB1914"/>
    <w:rsid w:val="00CB1980"/>
    <w:rsid w:val="00CB1C82"/>
    <w:rsid w:val="00CB1CDD"/>
    <w:rsid w:val="00CB1D0C"/>
    <w:rsid w:val="00CB1D23"/>
    <w:rsid w:val="00CB1F63"/>
    <w:rsid w:val="00CB2006"/>
    <w:rsid w:val="00CB204B"/>
    <w:rsid w:val="00CB208B"/>
    <w:rsid w:val="00CB218F"/>
    <w:rsid w:val="00CB21D2"/>
    <w:rsid w:val="00CB22B5"/>
    <w:rsid w:val="00CB2356"/>
    <w:rsid w:val="00CB2403"/>
    <w:rsid w:val="00CB24CC"/>
    <w:rsid w:val="00CB25ED"/>
    <w:rsid w:val="00CB26AE"/>
    <w:rsid w:val="00CB299B"/>
    <w:rsid w:val="00CB29CB"/>
    <w:rsid w:val="00CB2A20"/>
    <w:rsid w:val="00CB2A4C"/>
    <w:rsid w:val="00CB2A65"/>
    <w:rsid w:val="00CB2B5C"/>
    <w:rsid w:val="00CB2B5D"/>
    <w:rsid w:val="00CB2D03"/>
    <w:rsid w:val="00CB2D6E"/>
    <w:rsid w:val="00CB2DE4"/>
    <w:rsid w:val="00CB2E0A"/>
    <w:rsid w:val="00CB2F49"/>
    <w:rsid w:val="00CB3062"/>
    <w:rsid w:val="00CB30C3"/>
    <w:rsid w:val="00CB30C8"/>
    <w:rsid w:val="00CB3297"/>
    <w:rsid w:val="00CB3366"/>
    <w:rsid w:val="00CB337B"/>
    <w:rsid w:val="00CB361A"/>
    <w:rsid w:val="00CB378E"/>
    <w:rsid w:val="00CB3854"/>
    <w:rsid w:val="00CB386A"/>
    <w:rsid w:val="00CB3B7D"/>
    <w:rsid w:val="00CB3DC3"/>
    <w:rsid w:val="00CB3FC2"/>
    <w:rsid w:val="00CB4099"/>
    <w:rsid w:val="00CB4328"/>
    <w:rsid w:val="00CB437C"/>
    <w:rsid w:val="00CB4442"/>
    <w:rsid w:val="00CB44A9"/>
    <w:rsid w:val="00CB45E5"/>
    <w:rsid w:val="00CB45E9"/>
    <w:rsid w:val="00CB4601"/>
    <w:rsid w:val="00CB46FA"/>
    <w:rsid w:val="00CB471B"/>
    <w:rsid w:val="00CB47E5"/>
    <w:rsid w:val="00CB47F6"/>
    <w:rsid w:val="00CB4AA4"/>
    <w:rsid w:val="00CB4B40"/>
    <w:rsid w:val="00CB4BCD"/>
    <w:rsid w:val="00CB4BD5"/>
    <w:rsid w:val="00CB4E69"/>
    <w:rsid w:val="00CB4FB4"/>
    <w:rsid w:val="00CB4FDF"/>
    <w:rsid w:val="00CB51A5"/>
    <w:rsid w:val="00CB52E4"/>
    <w:rsid w:val="00CB5498"/>
    <w:rsid w:val="00CB558C"/>
    <w:rsid w:val="00CB5692"/>
    <w:rsid w:val="00CB5857"/>
    <w:rsid w:val="00CB5866"/>
    <w:rsid w:val="00CB5954"/>
    <w:rsid w:val="00CB59AB"/>
    <w:rsid w:val="00CB5AC1"/>
    <w:rsid w:val="00CB5B6F"/>
    <w:rsid w:val="00CB5B8C"/>
    <w:rsid w:val="00CB5BE3"/>
    <w:rsid w:val="00CB5C7E"/>
    <w:rsid w:val="00CB5E2F"/>
    <w:rsid w:val="00CB61D1"/>
    <w:rsid w:val="00CB62E8"/>
    <w:rsid w:val="00CB6380"/>
    <w:rsid w:val="00CB6461"/>
    <w:rsid w:val="00CB66C2"/>
    <w:rsid w:val="00CB66D3"/>
    <w:rsid w:val="00CB688C"/>
    <w:rsid w:val="00CB6B57"/>
    <w:rsid w:val="00CB6C27"/>
    <w:rsid w:val="00CB6CBD"/>
    <w:rsid w:val="00CB6E40"/>
    <w:rsid w:val="00CB6E6A"/>
    <w:rsid w:val="00CB6EF5"/>
    <w:rsid w:val="00CB7028"/>
    <w:rsid w:val="00CB714F"/>
    <w:rsid w:val="00CB72D8"/>
    <w:rsid w:val="00CB7446"/>
    <w:rsid w:val="00CB767B"/>
    <w:rsid w:val="00CB773A"/>
    <w:rsid w:val="00CB7776"/>
    <w:rsid w:val="00CB7790"/>
    <w:rsid w:val="00CB7828"/>
    <w:rsid w:val="00CB78CE"/>
    <w:rsid w:val="00CB7902"/>
    <w:rsid w:val="00CB79DD"/>
    <w:rsid w:val="00CB7A67"/>
    <w:rsid w:val="00CB7D1F"/>
    <w:rsid w:val="00CB7D90"/>
    <w:rsid w:val="00CB7E98"/>
    <w:rsid w:val="00CC0113"/>
    <w:rsid w:val="00CC011B"/>
    <w:rsid w:val="00CC019A"/>
    <w:rsid w:val="00CC021B"/>
    <w:rsid w:val="00CC04A7"/>
    <w:rsid w:val="00CC0765"/>
    <w:rsid w:val="00CC07A8"/>
    <w:rsid w:val="00CC08D2"/>
    <w:rsid w:val="00CC0B4A"/>
    <w:rsid w:val="00CC0B4B"/>
    <w:rsid w:val="00CC0C2E"/>
    <w:rsid w:val="00CC0C6A"/>
    <w:rsid w:val="00CC0C89"/>
    <w:rsid w:val="00CC0CAB"/>
    <w:rsid w:val="00CC0D5B"/>
    <w:rsid w:val="00CC0E4A"/>
    <w:rsid w:val="00CC0F07"/>
    <w:rsid w:val="00CC0FE7"/>
    <w:rsid w:val="00CC10AF"/>
    <w:rsid w:val="00CC10C2"/>
    <w:rsid w:val="00CC10DF"/>
    <w:rsid w:val="00CC1200"/>
    <w:rsid w:val="00CC127B"/>
    <w:rsid w:val="00CC12FD"/>
    <w:rsid w:val="00CC1364"/>
    <w:rsid w:val="00CC15F7"/>
    <w:rsid w:val="00CC172F"/>
    <w:rsid w:val="00CC1784"/>
    <w:rsid w:val="00CC1898"/>
    <w:rsid w:val="00CC1A7F"/>
    <w:rsid w:val="00CC1B44"/>
    <w:rsid w:val="00CC1D22"/>
    <w:rsid w:val="00CC1DE7"/>
    <w:rsid w:val="00CC1E8F"/>
    <w:rsid w:val="00CC1F34"/>
    <w:rsid w:val="00CC212A"/>
    <w:rsid w:val="00CC217A"/>
    <w:rsid w:val="00CC239B"/>
    <w:rsid w:val="00CC24B4"/>
    <w:rsid w:val="00CC2608"/>
    <w:rsid w:val="00CC2705"/>
    <w:rsid w:val="00CC2750"/>
    <w:rsid w:val="00CC2759"/>
    <w:rsid w:val="00CC2976"/>
    <w:rsid w:val="00CC29A3"/>
    <w:rsid w:val="00CC29AA"/>
    <w:rsid w:val="00CC2A14"/>
    <w:rsid w:val="00CC2AF5"/>
    <w:rsid w:val="00CC2B2E"/>
    <w:rsid w:val="00CC2E2A"/>
    <w:rsid w:val="00CC2E32"/>
    <w:rsid w:val="00CC2EC6"/>
    <w:rsid w:val="00CC2F0E"/>
    <w:rsid w:val="00CC2FB7"/>
    <w:rsid w:val="00CC3023"/>
    <w:rsid w:val="00CC3125"/>
    <w:rsid w:val="00CC3148"/>
    <w:rsid w:val="00CC32B2"/>
    <w:rsid w:val="00CC335F"/>
    <w:rsid w:val="00CC3397"/>
    <w:rsid w:val="00CC3410"/>
    <w:rsid w:val="00CC35E5"/>
    <w:rsid w:val="00CC369F"/>
    <w:rsid w:val="00CC3715"/>
    <w:rsid w:val="00CC37B4"/>
    <w:rsid w:val="00CC3B21"/>
    <w:rsid w:val="00CC3B73"/>
    <w:rsid w:val="00CC3BC2"/>
    <w:rsid w:val="00CC3D41"/>
    <w:rsid w:val="00CC3E28"/>
    <w:rsid w:val="00CC3E8E"/>
    <w:rsid w:val="00CC3EA3"/>
    <w:rsid w:val="00CC3FC0"/>
    <w:rsid w:val="00CC418F"/>
    <w:rsid w:val="00CC41DF"/>
    <w:rsid w:val="00CC4317"/>
    <w:rsid w:val="00CC45BA"/>
    <w:rsid w:val="00CC4658"/>
    <w:rsid w:val="00CC473B"/>
    <w:rsid w:val="00CC4788"/>
    <w:rsid w:val="00CC47F9"/>
    <w:rsid w:val="00CC4A74"/>
    <w:rsid w:val="00CC4B1E"/>
    <w:rsid w:val="00CC4CC3"/>
    <w:rsid w:val="00CC4D16"/>
    <w:rsid w:val="00CC4E61"/>
    <w:rsid w:val="00CC4F1A"/>
    <w:rsid w:val="00CC505B"/>
    <w:rsid w:val="00CC50E4"/>
    <w:rsid w:val="00CC5158"/>
    <w:rsid w:val="00CC5178"/>
    <w:rsid w:val="00CC51B4"/>
    <w:rsid w:val="00CC5394"/>
    <w:rsid w:val="00CC5439"/>
    <w:rsid w:val="00CC564E"/>
    <w:rsid w:val="00CC56A9"/>
    <w:rsid w:val="00CC57F2"/>
    <w:rsid w:val="00CC5945"/>
    <w:rsid w:val="00CC5A35"/>
    <w:rsid w:val="00CC5D9C"/>
    <w:rsid w:val="00CC5E0E"/>
    <w:rsid w:val="00CC5FE3"/>
    <w:rsid w:val="00CC6021"/>
    <w:rsid w:val="00CC60AF"/>
    <w:rsid w:val="00CC61FE"/>
    <w:rsid w:val="00CC622D"/>
    <w:rsid w:val="00CC6285"/>
    <w:rsid w:val="00CC62BE"/>
    <w:rsid w:val="00CC63BB"/>
    <w:rsid w:val="00CC6724"/>
    <w:rsid w:val="00CC6A0F"/>
    <w:rsid w:val="00CC6A72"/>
    <w:rsid w:val="00CC6B93"/>
    <w:rsid w:val="00CC6D12"/>
    <w:rsid w:val="00CC6DA2"/>
    <w:rsid w:val="00CC6F11"/>
    <w:rsid w:val="00CC70B8"/>
    <w:rsid w:val="00CC730F"/>
    <w:rsid w:val="00CC7394"/>
    <w:rsid w:val="00CC7459"/>
    <w:rsid w:val="00CC76EF"/>
    <w:rsid w:val="00CC7821"/>
    <w:rsid w:val="00CC7B6A"/>
    <w:rsid w:val="00CC7C34"/>
    <w:rsid w:val="00CC7C57"/>
    <w:rsid w:val="00CC7F3F"/>
    <w:rsid w:val="00CC7F82"/>
    <w:rsid w:val="00CC7F8E"/>
    <w:rsid w:val="00CC7FA4"/>
    <w:rsid w:val="00CD01A7"/>
    <w:rsid w:val="00CD027A"/>
    <w:rsid w:val="00CD02A6"/>
    <w:rsid w:val="00CD0313"/>
    <w:rsid w:val="00CD044F"/>
    <w:rsid w:val="00CD0483"/>
    <w:rsid w:val="00CD05F0"/>
    <w:rsid w:val="00CD0641"/>
    <w:rsid w:val="00CD08EA"/>
    <w:rsid w:val="00CD08FE"/>
    <w:rsid w:val="00CD0905"/>
    <w:rsid w:val="00CD09BB"/>
    <w:rsid w:val="00CD0BA0"/>
    <w:rsid w:val="00CD0BCD"/>
    <w:rsid w:val="00CD0D5B"/>
    <w:rsid w:val="00CD10C0"/>
    <w:rsid w:val="00CD10E0"/>
    <w:rsid w:val="00CD1146"/>
    <w:rsid w:val="00CD1236"/>
    <w:rsid w:val="00CD1252"/>
    <w:rsid w:val="00CD15A3"/>
    <w:rsid w:val="00CD1658"/>
    <w:rsid w:val="00CD16A7"/>
    <w:rsid w:val="00CD1737"/>
    <w:rsid w:val="00CD19C0"/>
    <w:rsid w:val="00CD1A3F"/>
    <w:rsid w:val="00CD1BB0"/>
    <w:rsid w:val="00CD1C3E"/>
    <w:rsid w:val="00CD1C6F"/>
    <w:rsid w:val="00CD1CC6"/>
    <w:rsid w:val="00CD1E12"/>
    <w:rsid w:val="00CD1EF3"/>
    <w:rsid w:val="00CD1F50"/>
    <w:rsid w:val="00CD1F97"/>
    <w:rsid w:val="00CD1FA1"/>
    <w:rsid w:val="00CD2011"/>
    <w:rsid w:val="00CD23E1"/>
    <w:rsid w:val="00CD23EF"/>
    <w:rsid w:val="00CD2464"/>
    <w:rsid w:val="00CD2594"/>
    <w:rsid w:val="00CD2676"/>
    <w:rsid w:val="00CD27A5"/>
    <w:rsid w:val="00CD2844"/>
    <w:rsid w:val="00CD2A05"/>
    <w:rsid w:val="00CD2A9A"/>
    <w:rsid w:val="00CD2B84"/>
    <w:rsid w:val="00CD2C01"/>
    <w:rsid w:val="00CD2C3B"/>
    <w:rsid w:val="00CD2E8E"/>
    <w:rsid w:val="00CD2E9C"/>
    <w:rsid w:val="00CD3091"/>
    <w:rsid w:val="00CD32BB"/>
    <w:rsid w:val="00CD331A"/>
    <w:rsid w:val="00CD3354"/>
    <w:rsid w:val="00CD340A"/>
    <w:rsid w:val="00CD344D"/>
    <w:rsid w:val="00CD3519"/>
    <w:rsid w:val="00CD3636"/>
    <w:rsid w:val="00CD3648"/>
    <w:rsid w:val="00CD36A1"/>
    <w:rsid w:val="00CD36B9"/>
    <w:rsid w:val="00CD377D"/>
    <w:rsid w:val="00CD39C0"/>
    <w:rsid w:val="00CD3CD2"/>
    <w:rsid w:val="00CD3D75"/>
    <w:rsid w:val="00CD3E06"/>
    <w:rsid w:val="00CD3F05"/>
    <w:rsid w:val="00CD3F8A"/>
    <w:rsid w:val="00CD40B6"/>
    <w:rsid w:val="00CD410D"/>
    <w:rsid w:val="00CD4153"/>
    <w:rsid w:val="00CD42C0"/>
    <w:rsid w:val="00CD42C2"/>
    <w:rsid w:val="00CD431E"/>
    <w:rsid w:val="00CD4335"/>
    <w:rsid w:val="00CD436F"/>
    <w:rsid w:val="00CD44A7"/>
    <w:rsid w:val="00CD452D"/>
    <w:rsid w:val="00CD47C0"/>
    <w:rsid w:val="00CD4964"/>
    <w:rsid w:val="00CD4A06"/>
    <w:rsid w:val="00CD4A09"/>
    <w:rsid w:val="00CD4B56"/>
    <w:rsid w:val="00CD4BA8"/>
    <w:rsid w:val="00CD4E4B"/>
    <w:rsid w:val="00CD4FCB"/>
    <w:rsid w:val="00CD508D"/>
    <w:rsid w:val="00CD5320"/>
    <w:rsid w:val="00CD5337"/>
    <w:rsid w:val="00CD53EB"/>
    <w:rsid w:val="00CD54DE"/>
    <w:rsid w:val="00CD5676"/>
    <w:rsid w:val="00CD56D7"/>
    <w:rsid w:val="00CD5770"/>
    <w:rsid w:val="00CD5780"/>
    <w:rsid w:val="00CD5809"/>
    <w:rsid w:val="00CD58F2"/>
    <w:rsid w:val="00CD5B71"/>
    <w:rsid w:val="00CD5EB1"/>
    <w:rsid w:val="00CD5F0A"/>
    <w:rsid w:val="00CD6063"/>
    <w:rsid w:val="00CD617A"/>
    <w:rsid w:val="00CD6283"/>
    <w:rsid w:val="00CD631D"/>
    <w:rsid w:val="00CD6609"/>
    <w:rsid w:val="00CD6730"/>
    <w:rsid w:val="00CD69D9"/>
    <w:rsid w:val="00CD6A55"/>
    <w:rsid w:val="00CD6B82"/>
    <w:rsid w:val="00CD6E19"/>
    <w:rsid w:val="00CD6FED"/>
    <w:rsid w:val="00CD70AA"/>
    <w:rsid w:val="00CD7103"/>
    <w:rsid w:val="00CD757E"/>
    <w:rsid w:val="00CD76A9"/>
    <w:rsid w:val="00CD7A24"/>
    <w:rsid w:val="00CD7B16"/>
    <w:rsid w:val="00CD7C8B"/>
    <w:rsid w:val="00CD7D91"/>
    <w:rsid w:val="00CD7E58"/>
    <w:rsid w:val="00CD7E6B"/>
    <w:rsid w:val="00CD7F24"/>
    <w:rsid w:val="00CD7F5B"/>
    <w:rsid w:val="00CE007D"/>
    <w:rsid w:val="00CE0113"/>
    <w:rsid w:val="00CE0225"/>
    <w:rsid w:val="00CE034C"/>
    <w:rsid w:val="00CE034D"/>
    <w:rsid w:val="00CE03F3"/>
    <w:rsid w:val="00CE049F"/>
    <w:rsid w:val="00CE04A2"/>
    <w:rsid w:val="00CE07A3"/>
    <w:rsid w:val="00CE07B2"/>
    <w:rsid w:val="00CE0A16"/>
    <w:rsid w:val="00CE0A27"/>
    <w:rsid w:val="00CE0BA3"/>
    <w:rsid w:val="00CE0DB2"/>
    <w:rsid w:val="00CE0E5D"/>
    <w:rsid w:val="00CE0EB3"/>
    <w:rsid w:val="00CE0EDA"/>
    <w:rsid w:val="00CE0F1F"/>
    <w:rsid w:val="00CE0FDC"/>
    <w:rsid w:val="00CE1052"/>
    <w:rsid w:val="00CE10A3"/>
    <w:rsid w:val="00CE1237"/>
    <w:rsid w:val="00CE13B4"/>
    <w:rsid w:val="00CE14E3"/>
    <w:rsid w:val="00CE1688"/>
    <w:rsid w:val="00CE17CA"/>
    <w:rsid w:val="00CE1AC0"/>
    <w:rsid w:val="00CE1C05"/>
    <w:rsid w:val="00CE1C59"/>
    <w:rsid w:val="00CE1C5C"/>
    <w:rsid w:val="00CE1CEE"/>
    <w:rsid w:val="00CE1D54"/>
    <w:rsid w:val="00CE1E84"/>
    <w:rsid w:val="00CE1F6A"/>
    <w:rsid w:val="00CE1FAA"/>
    <w:rsid w:val="00CE207A"/>
    <w:rsid w:val="00CE20DF"/>
    <w:rsid w:val="00CE214F"/>
    <w:rsid w:val="00CE2158"/>
    <w:rsid w:val="00CE21CB"/>
    <w:rsid w:val="00CE22E5"/>
    <w:rsid w:val="00CE23BE"/>
    <w:rsid w:val="00CE23D4"/>
    <w:rsid w:val="00CE277C"/>
    <w:rsid w:val="00CE286C"/>
    <w:rsid w:val="00CE2903"/>
    <w:rsid w:val="00CE2935"/>
    <w:rsid w:val="00CE2A43"/>
    <w:rsid w:val="00CE2A7F"/>
    <w:rsid w:val="00CE2AE1"/>
    <w:rsid w:val="00CE2C48"/>
    <w:rsid w:val="00CE2D99"/>
    <w:rsid w:val="00CE2FBE"/>
    <w:rsid w:val="00CE30B7"/>
    <w:rsid w:val="00CE32C2"/>
    <w:rsid w:val="00CE3355"/>
    <w:rsid w:val="00CE33D1"/>
    <w:rsid w:val="00CE3453"/>
    <w:rsid w:val="00CE3512"/>
    <w:rsid w:val="00CE362F"/>
    <w:rsid w:val="00CE36BA"/>
    <w:rsid w:val="00CE3777"/>
    <w:rsid w:val="00CE39AB"/>
    <w:rsid w:val="00CE39FF"/>
    <w:rsid w:val="00CE3ACB"/>
    <w:rsid w:val="00CE3B5F"/>
    <w:rsid w:val="00CE3DA3"/>
    <w:rsid w:val="00CE3F8E"/>
    <w:rsid w:val="00CE4376"/>
    <w:rsid w:val="00CE4483"/>
    <w:rsid w:val="00CE44E4"/>
    <w:rsid w:val="00CE4684"/>
    <w:rsid w:val="00CE49BB"/>
    <w:rsid w:val="00CE4DCC"/>
    <w:rsid w:val="00CE4E25"/>
    <w:rsid w:val="00CE50B3"/>
    <w:rsid w:val="00CE51BB"/>
    <w:rsid w:val="00CE557D"/>
    <w:rsid w:val="00CE56C9"/>
    <w:rsid w:val="00CE57DC"/>
    <w:rsid w:val="00CE5C1A"/>
    <w:rsid w:val="00CE5C80"/>
    <w:rsid w:val="00CE5D24"/>
    <w:rsid w:val="00CE5E0E"/>
    <w:rsid w:val="00CE5E6B"/>
    <w:rsid w:val="00CE6270"/>
    <w:rsid w:val="00CE62E2"/>
    <w:rsid w:val="00CE632D"/>
    <w:rsid w:val="00CE654A"/>
    <w:rsid w:val="00CE68C2"/>
    <w:rsid w:val="00CE6997"/>
    <w:rsid w:val="00CE6A55"/>
    <w:rsid w:val="00CE6BD5"/>
    <w:rsid w:val="00CE6DCD"/>
    <w:rsid w:val="00CE6E8B"/>
    <w:rsid w:val="00CE7053"/>
    <w:rsid w:val="00CE7291"/>
    <w:rsid w:val="00CE73D1"/>
    <w:rsid w:val="00CE7407"/>
    <w:rsid w:val="00CE74C5"/>
    <w:rsid w:val="00CE7565"/>
    <w:rsid w:val="00CE75D3"/>
    <w:rsid w:val="00CE7BC1"/>
    <w:rsid w:val="00CE7C24"/>
    <w:rsid w:val="00CE7D51"/>
    <w:rsid w:val="00CE7D84"/>
    <w:rsid w:val="00CE7D9A"/>
    <w:rsid w:val="00CE7F85"/>
    <w:rsid w:val="00CF01B7"/>
    <w:rsid w:val="00CF02A7"/>
    <w:rsid w:val="00CF02B1"/>
    <w:rsid w:val="00CF0321"/>
    <w:rsid w:val="00CF0338"/>
    <w:rsid w:val="00CF0693"/>
    <w:rsid w:val="00CF06F5"/>
    <w:rsid w:val="00CF0708"/>
    <w:rsid w:val="00CF085F"/>
    <w:rsid w:val="00CF088B"/>
    <w:rsid w:val="00CF08AF"/>
    <w:rsid w:val="00CF092E"/>
    <w:rsid w:val="00CF09A4"/>
    <w:rsid w:val="00CF0C88"/>
    <w:rsid w:val="00CF0D8A"/>
    <w:rsid w:val="00CF106F"/>
    <w:rsid w:val="00CF10BD"/>
    <w:rsid w:val="00CF11B7"/>
    <w:rsid w:val="00CF1240"/>
    <w:rsid w:val="00CF1265"/>
    <w:rsid w:val="00CF1272"/>
    <w:rsid w:val="00CF127F"/>
    <w:rsid w:val="00CF14A8"/>
    <w:rsid w:val="00CF1714"/>
    <w:rsid w:val="00CF1BDA"/>
    <w:rsid w:val="00CF1CD9"/>
    <w:rsid w:val="00CF1D24"/>
    <w:rsid w:val="00CF1DE2"/>
    <w:rsid w:val="00CF1FB0"/>
    <w:rsid w:val="00CF22C1"/>
    <w:rsid w:val="00CF24E5"/>
    <w:rsid w:val="00CF25AB"/>
    <w:rsid w:val="00CF25B5"/>
    <w:rsid w:val="00CF2799"/>
    <w:rsid w:val="00CF28A1"/>
    <w:rsid w:val="00CF2949"/>
    <w:rsid w:val="00CF2A20"/>
    <w:rsid w:val="00CF2B5F"/>
    <w:rsid w:val="00CF2B8E"/>
    <w:rsid w:val="00CF2D28"/>
    <w:rsid w:val="00CF2D85"/>
    <w:rsid w:val="00CF311E"/>
    <w:rsid w:val="00CF318B"/>
    <w:rsid w:val="00CF31D8"/>
    <w:rsid w:val="00CF32DA"/>
    <w:rsid w:val="00CF32EE"/>
    <w:rsid w:val="00CF3301"/>
    <w:rsid w:val="00CF3348"/>
    <w:rsid w:val="00CF34C5"/>
    <w:rsid w:val="00CF35D3"/>
    <w:rsid w:val="00CF36EC"/>
    <w:rsid w:val="00CF391C"/>
    <w:rsid w:val="00CF3A7A"/>
    <w:rsid w:val="00CF3B41"/>
    <w:rsid w:val="00CF3C3E"/>
    <w:rsid w:val="00CF3C72"/>
    <w:rsid w:val="00CF3DC8"/>
    <w:rsid w:val="00CF3DE7"/>
    <w:rsid w:val="00CF3FC8"/>
    <w:rsid w:val="00CF40C6"/>
    <w:rsid w:val="00CF4146"/>
    <w:rsid w:val="00CF4350"/>
    <w:rsid w:val="00CF4434"/>
    <w:rsid w:val="00CF4564"/>
    <w:rsid w:val="00CF485B"/>
    <w:rsid w:val="00CF48B2"/>
    <w:rsid w:val="00CF4A69"/>
    <w:rsid w:val="00CF4A7F"/>
    <w:rsid w:val="00CF4AE5"/>
    <w:rsid w:val="00CF4D58"/>
    <w:rsid w:val="00CF4D9D"/>
    <w:rsid w:val="00CF4E38"/>
    <w:rsid w:val="00CF503C"/>
    <w:rsid w:val="00CF5071"/>
    <w:rsid w:val="00CF5118"/>
    <w:rsid w:val="00CF5202"/>
    <w:rsid w:val="00CF5222"/>
    <w:rsid w:val="00CF538D"/>
    <w:rsid w:val="00CF53CC"/>
    <w:rsid w:val="00CF5473"/>
    <w:rsid w:val="00CF548C"/>
    <w:rsid w:val="00CF54EF"/>
    <w:rsid w:val="00CF5747"/>
    <w:rsid w:val="00CF58AC"/>
    <w:rsid w:val="00CF5923"/>
    <w:rsid w:val="00CF5966"/>
    <w:rsid w:val="00CF59B9"/>
    <w:rsid w:val="00CF59E4"/>
    <w:rsid w:val="00CF5A03"/>
    <w:rsid w:val="00CF5D05"/>
    <w:rsid w:val="00CF5D46"/>
    <w:rsid w:val="00CF5E63"/>
    <w:rsid w:val="00CF5E77"/>
    <w:rsid w:val="00CF5EEB"/>
    <w:rsid w:val="00CF5F5F"/>
    <w:rsid w:val="00CF600A"/>
    <w:rsid w:val="00CF6072"/>
    <w:rsid w:val="00CF6333"/>
    <w:rsid w:val="00CF63F7"/>
    <w:rsid w:val="00CF6521"/>
    <w:rsid w:val="00CF656B"/>
    <w:rsid w:val="00CF65F0"/>
    <w:rsid w:val="00CF67EC"/>
    <w:rsid w:val="00CF67F9"/>
    <w:rsid w:val="00CF6806"/>
    <w:rsid w:val="00CF686F"/>
    <w:rsid w:val="00CF6C7D"/>
    <w:rsid w:val="00CF6D8B"/>
    <w:rsid w:val="00CF70BB"/>
    <w:rsid w:val="00CF7100"/>
    <w:rsid w:val="00CF731F"/>
    <w:rsid w:val="00CF734F"/>
    <w:rsid w:val="00CF7374"/>
    <w:rsid w:val="00CF74AD"/>
    <w:rsid w:val="00CF74F9"/>
    <w:rsid w:val="00CF779D"/>
    <w:rsid w:val="00CF77DB"/>
    <w:rsid w:val="00CF7911"/>
    <w:rsid w:val="00CF7932"/>
    <w:rsid w:val="00CF793E"/>
    <w:rsid w:val="00CF7971"/>
    <w:rsid w:val="00CF7A4C"/>
    <w:rsid w:val="00CF7F21"/>
    <w:rsid w:val="00CF7FA0"/>
    <w:rsid w:val="00CF7FCC"/>
    <w:rsid w:val="00D00193"/>
    <w:rsid w:val="00D003CD"/>
    <w:rsid w:val="00D004C9"/>
    <w:rsid w:val="00D005B2"/>
    <w:rsid w:val="00D005BD"/>
    <w:rsid w:val="00D007AC"/>
    <w:rsid w:val="00D00A15"/>
    <w:rsid w:val="00D00B85"/>
    <w:rsid w:val="00D00C73"/>
    <w:rsid w:val="00D00E05"/>
    <w:rsid w:val="00D00E7C"/>
    <w:rsid w:val="00D00F29"/>
    <w:rsid w:val="00D01024"/>
    <w:rsid w:val="00D0128E"/>
    <w:rsid w:val="00D0132D"/>
    <w:rsid w:val="00D01380"/>
    <w:rsid w:val="00D013A9"/>
    <w:rsid w:val="00D013FC"/>
    <w:rsid w:val="00D0153E"/>
    <w:rsid w:val="00D0158A"/>
    <w:rsid w:val="00D0171B"/>
    <w:rsid w:val="00D017E4"/>
    <w:rsid w:val="00D018B2"/>
    <w:rsid w:val="00D018B4"/>
    <w:rsid w:val="00D01B13"/>
    <w:rsid w:val="00D01B23"/>
    <w:rsid w:val="00D01B4C"/>
    <w:rsid w:val="00D01B91"/>
    <w:rsid w:val="00D01CD1"/>
    <w:rsid w:val="00D01D02"/>
    <w:rsid w:val="00D01D23"/>
    <w:rsid w:val="00D01FAD"/>
    <w:rsid w:val="00D01FC2"/>
    <w:rsid w:val="00D02169"/>
    <w:rsid w:val="00D0222E"/>
    <w:rsid w:val="00D0226C"/>
    <w:rsid w:val="00D022E3"/>
    <w:rsid w:val="00D025FA"/>
    <w:rsid w:val="00D02680"/>
    <w:rsid w:val="00D026DA"/>
    <w:rsid w:val="00D02818"/>
    <w:rsid w:val="00D02A87"/>
    <w:rsid w:val="00D02AFB"/>
    <w:rsid w:val="00D02BC7"/>
    <w:rsid w:val="00D02C6E"/>
    <w:rsid w:val="00D03079"/>
    <w:rsid w:val="00D0309F"/>
    <w:rsid w:val="00D03118"/>
    <w:rsid w:val="00D031BB"/>
    <w:rsid w:val="00D0321F"/>
    <w:rsid w:val="00D03331"/>
    <w:rsid w:val="00D034CC"/>
    <w:rsid w:val="00D0367B"/>
    <w:rsid w:val="00D03852"/>
    <w:rsid w:val="00D03898"/>
    <w:rsid w:val="00D03992"/>
    <w:rsid w:val="00D039EC"/>
    <w:rsid w:val="00D03A63"/>
    <w:rsid w:val="00D03C1A"/>
    <w:rsid w:val="00D03C63"/>
    <w:rsid w:val="00D03EB1"/>
    <w:rsid w:val="00D03F1B"/>
    <w:rsid w:val="00D03F37"/>
    <w:rsid w:val="00D03FB1"/>
    <w:rsid w:val="00D040F6"/>
    <w:rsid w:val="00D04139"/>
    <w:rsid w:val="00D042A9"/>
    <w:rsid w:val="00D04357"/>
    <w:rsid w:val="00D045C2"/>
    <w:rsid w:val="00D04680"/>
    <w:rsid w:val="00D0474F"/>
    <w:rsid w:val="00D04A04"/>
    <w:rsid w:val="00D04BEF"/>
    <w:rsid w:val="00D04E8E"/>
    <w:rsid w:val="00D05004"/>
    <w:rsid w:val="00D050B1"/>
    <w:rsid w:val="00D0519D"/>
    <w:rsid w:val="00D0539A"/>
    <w:rsid w:val="00D05424"/>
    <w:rsid w:val="00D0566B"/>
    <w:rsid w:val="00D05724"/>
    <w:rsid w:val="00D05818"/>
    <w:rsid w:val="00D05B98"/>
    <w:rsid w:val="00D05C2C"/>
    <w:rsid w:val="00D05C94"/>
    <w:rsid w:val="00D05D56"/>
    <w:rsid w:val="00D05E1E"/>
    <w:rsid w:val="00D05EBE"/>
    <w:rsid w:val="00D060D5"/>
    <w:rsid w:val="00D0641A"/>
    <w:rsid w:val="00D06438"/>
    <w:rsid w:val="00D06584"/>
    <w:rsid w:val="00D0695F"/>
    <w:rsid w:val="00D069F7"/>
    <w:rsid w:val="00D06AAC"/>
    <w:rsid w:val="00D06C2E"/>
    <w:rsid w:val="00D06DB6"/>
    <w:rsid w:val="00D06DD2"/>
    <w:rsid w:val="00D06F78"/>
    <w:rsid w:val="00D06FDC"/>
    <w:rsid w:val="00D071CB"/>
    <w:rsid w:val="00D0721C"/>
    <w:rsid w:val="00D073F3"/>
    <w:rsid w:val="00D0761B"/>
    <w:rsid w:val="00D0783E"/>
    <w:rsid w:val="00D07842"/>
    <w:rsid w:val="00D0798D"/>
    <w:rsid w:val="00D07A8C"/>
    <w:rsid w:val="00D07ACF"/>
    <w:rsid w:val="00D07B27"/>
    <w:rsid w:val="00D07B70"/>
    <w:rsid w:val="00D07C9F"/>
    <w:rsid w:val="00D07D6A"/>
    <w:rsid w:val="00D07F3A"/>
    <w:rsid w:val="00D10185"/>
    <w:rsid w:val="00D102B7"/>
    <w:rsid w:val="00D10320"/>
    <w:rsid w:val="00D1034A"/>
    <w:rsid w:val="00D10354"/>
    <w:rsid w:val="00D10419"/>
    <w:rsid w:val="00D10725"/>
    <w:rsid w:val="00D10A4C"/>
    <w:rsid w:val="00D10B0D"/>
    <w:rsid w:val="00D10CC5"/>
    <w:rsid w:val="00D10CE1"/>
    <w:rsid w:val="00D10DDE"/>
    <w:rsid w:val="00D10DF5"/>
    <w:rsid w:val="00D10EC2"/>
    <w:rsid w:val="00D10EF4"/>
    <w:rsid w:val="00D10F28"/>
    <w:rsid w:val="00D10FEB"/>
    <w:rsid w:val="00D11004"/>
    <w:rsid w:val="00D1141B"/>
    <w:rsid w:val="00D11853"/>
    <w:rsid w:val="00D118D7"/>
    <w:rsid w:val="00D11968"/>
    <w:rsid w:val="00D119C2"/>
    <w:rsid w:val="00D11AFE"/>
    <w:rsid w:val="00D11C1F"/>
    <w:rsid w:val="00D11D27"/>
    <w:rsid w:val="00D1204C"/>
    <w:rsid w:val="00D12164"/>
    <w:rsid w:val="00D121A4"/>
    <w:rsid w:val="00D12259"/>
    <w:rsid w:val="00D1236E"/>
    <w:rsid w:val="00D123A4"/>
    <w:rsid w:val="00D12468"/>
    <w:rsid w:val="00D12619"/>
    <w:rsid w:val="00D1261E"/>
    <w:rsid w:val="00D12A1D"/>
    <w:rsid w:val="00D12C76"/>
    <w:rsid w:val="00D12D5C"/>
    <w:rsid w:val="00D12F05"/>
    <w:rsid w:val="00D13055"/>
    <w:rsid w:val="00D13189"/>
    <w:rsid w:val="00D13256"/>
    <w:rsid w:val="00D13407"/>
    <w:rsid w:val="00D13481"/>
    <w:rsid w:val="00D13722"/>
    <w:rsid w:val="00D137E8"/>
    <w:rsid w:val="00D137F4"/>
    <w:rsid w:val="00D13816"/>
    <w:rsid w:val="00D139DF"/>
    <w:rsid w:val="00D13BDB"/>
    <w:rsid w:val="00D13DA3"/>
    <w:rsid w:val="00D13DD5"/>
    <w:rsid w:val="00D13ECE"/>
    <w:rsid w:val="00D13F3D"/>
    <w:rsid w:val="00D13F6C"/>
    <w:rsid w:val="00D14019"/>
    <w:rsid w:val="00D14106"/>
    <w:rsid w:val="00D1418E"/>
    <w:rsid w:val="00D1422F"/>
    <w:rsid w:val="00D142BA"/>
    <w:rsid w:val="00D14319"/>
    <w:rsid w:val="00D14340"/>
    <w:rsid w:val="00D14355"/>
    <w:rsid w:val="00D143FB"/>
    <w:rsid w:val="00D1448A"/>
    <w:rsid w:val="00D145E2"/>
    <w:rsid w:val="00D14617"/>
    <w:rsid w:val="00D14B09"/>
    <w:rsid w:val="00D14B34"/>
    <w:rsid w:val="00D14D97"/>
    <w:rsid w:val="00D14DBF"/>
    <w:rsid w:val="00D14F5F"/>
    <w:rsid w:val="00D14FD5"/>
    <w:rsid w:val="00D1509B"/>
    <w:rsid w:val="00D15233"/>
    <w:rsid w:val="00D1534D"/>
    <w:rsid w:val="00D155B1"/>
    <w:rsid w:val="00D157AD"/>
    <w:rsid w:val="00D15DA7"/>
    <w:rsid w:val="00D15DD0"/>
    <w:rsid w:val="00D15F07"/>
    <w:rsid w:val="00D15F74"/>
    <w:rsid w:val="00D15F84"/>
    <w:rsid w:val="00D16064"/>
    <w:rsid w:val="00D1631A"/>
    <w:rsid w:val="00D1635C"/>
    <w:rsid w:val="00D16365"/>
    <w:rsid w:val="00D1661A"/>
    <w:rsid w:val="00D16814"/>
    <w:rsid w:val="00D16A8C"/>
    <w:rsid w:val="00D16A97"/>
    <w:rsid w:val="00D16BEE"/>
    <w:rsid w:val="00D16CB2"/>
    <w:rsid w:val="00D16D7C"/>
    <w:rsid w:val="00D16F70"/>
    <w:rsid w:val="00D171D7"/>
    <w:rsid w:val="00D17281"/>
    <w:rsid w:val="00D17372"/>
    <w:rsid w:val="00D17552"/>
    <w:rsid w:val="00D177FF"/>
    <w:rsid w:val="00D178F8"/>
    <w:rsid w:val="00D17AD4"/>
    <w:rsid w:val="00D17C57"/>
    <w:rsid w:val="00D17D63"/>
    <w:rsid w:val="00D17E1C"/>
    <w:rsid w:val="00D17FB3"/>
    <w:rsid w:val="00D20014"/>
    <w:rsid w:val="00D200C0"/>
    <w:rsid w:val="00D200F4"/>
    <w:rsid w:val="00D20127"/>
    <w:rsid w:val="00D20133"/>
    <w:rsid w:val="00D20219"/>
    <w:rsid w:val="00D2027F"/>
    <w:rsid w:val="00D2059A"/>
    <w:rsid w:val="00D20A2B"/>
    <w:rsid w:val="00D20B14"/>
    <w:rsid w:val="00D20B3B"/>
    <w:rsid w:val="00D20BD6"/>
    <w:rsid w:val="00D20DBA"/>
    <w:rsid w:val="00D20DE3"/>
    <w:rsid w:val="00D20E6D"/>
    <w:rsid w:val="00D20EF8"/>
    <w:rsid w:val="00D20F62"/>
    <w:rsid w:val="00D21444"/>
    <w:rsid w:val="00D214F0"/>
    <w:rsid w:val="00D217FB"/>
    <w:rsid w:val="00D218B7"/>
    <w:rsid w:val="00D21993"/>
    <w:rsid w:val="00D21B85"/>
    <w:rsid w:val="00D21D20"/>
    <w:rsid w:val="00D21D33"/>
    <w:rsid w:val="00D21E05"/>
    <w:rsid w:val="00D21E43"/>
    <w:rsid w:val="00D21FE8"/>
    <w:rsid w:val="00D220F3"/>
    <w:rsid w:val="00D22105"/>
    <w:rsid w:val="00D22223"/>
    <w:rsid w:val="00D22458"/>
    <w:rsid w:val="00D225E0"/>
    <w:rsid w:val="00D2260A"/>
    <w:rsid w:val="00D226D0"/>
    <w:rsid w:val="00D22948"/>
    <w:rsid w:val="00D2297E"/>
    <w:rsid w:val="00D22A97"/>
    <w:rsid w:val="00D22C0F"/>
    <w:rsid w:val="00D22D10"/>
    <w:rsid w:val="00D22DBE"/>
    <w:rsid w:val="00D22EDB"/>
    <w:rsid w:val="00D230D8"/>
    <w:rsid w:val="00D230EE"/>
    <w:rsid w:val="00D23197"/>
    <w:rsid w:val="00D2343D"/>
    <w:rsid w:val="00D23545"/>
    <w:rsid w:val="00D2364B"/>
    <w:rsid w:val="00D23768"/>
    <w:rsid w:val="00D238A8"/>
    <w:rsid w:val="00D2391B"/>
    <w:rsid w:val="00D23C8C"/>
    <w:rsid w:val="00D23D9F"/>
    <w:rsid w:val="00D23DF8"/>
    <w:rsid w:val="00D23EA2"/>
    <w:rsid w:val="00D23EA6"/>
    <w:rsid w:val="00D23F55"/>
    <w:rsid w:val="00D240B9"/>
    <w:rsid w:val="00D24122"/>
    <w:rsid w:val="00D242EB"/>
    <w:rsid w:val="00D2442E"/>
    <w:rsid w:val="00D245C9"/>
    <w:rsid w:val="00D2475E"/>
    <w:rsid w:val="00D24918"/>
    <w:rsid w:val="00D24CDD"/>
    <w:rsid w:val="00D24EB7"/>
    <w:rsid w:val="00D25207"/>
    <w:rsid w:val="00D25278"/>
    <w:rsid w:val="00D252C1"/>
    <w:rsid w:val="00D2557C"/>
    <w:rsid w:val="00D255C7"/>
    <w:rsid w:val="00D25608"/>
    <w:rsid w:val="00D2585B"/>
    <w:rsid w:val="00D2595A"/>
    <w:rsid w:val="00D25963"/>
    <w:rsid w:val="00D2596A"/>
    <w:rsid w:val="00D25B29"/>
    <w:rsid w:val="00D25B76"/>
    <w:rsid w:val="00D25BB9"/>
    <w:rsid w:val="00D25C44"/>
    <w:rsid w:val="00D25D60"/>
    <w:rsid w:val="00D25DE8"/>
    <w:rsid w:val="00D25FE4"/>
    <w:rsid w:val="00D2611C"/>
    <w:rsid w:val="00D26127"/>
    <w:rsid w:val="00D2624E"/>
    <w:rsid w:val="00D26322"/>
    <w:rsid w:val="00D2653E"/>
    <w:rsid w:val="00D26553"/>
    <w:rsid w:val="00D26560"/>
    <w:rsid w:val="00D2668E"/>
    <w:rsid w:val="00D2671A"/>
    <w:rsid w:val="00D26840"/>
    <w:rsid w:val="00D2685E"/>
    <w:rsid w:val="00D269B9"/>
    <w:rsid w:val="00D26E17"/>
    <w:rsid w:val="00D26F0C"/>
    <w:rsid w:val="00D27142"/>
    <w:rsid w:val="00D272B3"/>
    <w:rsid w:val="00D27358"/>
    <w:rsid w:val="00D2749F"/>
    <w:rsid w:val="00D27519"/>
    <w:rsid w:val="00D27641"/>
    <w:rsid w:val="00D2783C"/>
    <w:rsid w:val="00D278AA"/>
    <w:rsid w:val="00D27A5A"/>
    <w:rsid w:val="00D27B00"/>
    <w:rsid w:val="00D27BA6"/>
    <w:rsid w:val="00D27BE5"/>
    <w:rsid w:val="00D27C21"/>
    <w:rsid w:val="00D27E05"/>
    <w:rsid w:val="00D3007B"/>
    <w:rsid w:val="00D300BB"/>
    <w:rsid w:val="00D300DD"/>
    <w:rsid w:val="00D301AE"/>
    <w:rsid w:val="00D301F2"/>
    <w:rsid w:val="00D30666"/>
    <w:rsid w:val="00D3086B"/>
    <w:rsid w:val="00D30888"/>
    <w:rsid w:val="00D308CA"/>
    <w:rsid w:val="00D3098D"/>
    <w:rsid w:val="00D30B78"/>
    <w:rsid w:val="00D30BA3"/>
    <w:rsid w:val="00D30BAE"/>
    <w:rsid w:val="00D30BF2"/>
    <w:rsid w:val="00D30E0A"/>
    <w:rsid w:val="00D31165"/>
    <w:rsid w:val="00D3117A"/>
    <w:rsid w:val="00D31595"/>
    <w:rsid w:val="00D31699"/>
    <w:rsid w:val="00D3174E"/>
    <w:rsid w:val="00D3183F"/>
    <w:rsid w:val="00D319B4"/>
    <w:rsid w:val="00D31B00"/>
    <w:rsid w:val="00D31BEB"/>
    <w:rsid w:val="00D31DBB"/>
    <w:rsid w:val="00D321BB"/>
    <w:rsid w:val="00D322A8"/>
    <w:rsid w:val="00D32306"/>
    <w:rsid w:val="00D32560"/>
    <w:rsid w:val="00D325F7"/>
    <w:rsid w:val="00D32622"/>
    <w:rsid w:val="00D3275B"/>
    <w:rsid w:val="00D32807"/>
    <w:rsid w:val="00D328BE"/>
    <w:rsid w:val="00D32ABD"/>
    <w:rsid w:val="00D32C21"/>
    <w:rsid w:val="00D32C2C"/>
    <w:rsid w:val="00D331A2"/>
    <w:rsid w:val="00D332D9"/>
    <w:rsid w:val="00D332FE"/>
    <w:rsid w:val="00D334AD"/>
    <w:rsid w:val="00D337A9"/>
    <w:rsid w:val="00D337C0"/>
    <w:rsid w:val="00D33937"/>
    <w:rsid w:val="00D33981"/>
    <w:rsid w:val="00D339E3"/>
    <w:rsid w:val="00D33A3F"/>
    <w:rsid w:val="00D33B29"/>
    <w:rsid w:val="00D33E10"/>
    <w:rsid w:val="00D33E1B"/>
    <w:rsid w:val="00D33FD5"/>
    <w:rsid w:val="00D33FEC"/>
    <w:rsid w:val="00D34043"/>
    <w:rsid w:val="00D341A0"/>
    <w:rsid w:val="00D3429A"/>
    <w:rsid w:val="00D342A9"/>
    <w:rsid w:val="00D342AE"/>
    <w:rsid w:val="00D342E0"/>
    <w:rsid w:val="00D34439"/>
    <w:rsid w:val="00D3465A"/>
    <w:rsid w:val="00D346A7"/>
    <w:rsid w:val="00D34731"/>
    <w:rsid w:val="00D347A0"/>
    <w:rsid w:val="00D3485B"/>
    <w:rsid w:val="00D34940"/>
    <w:rsid w:val="00D349C3"/>
    <w:rsid w:val="00D349F7"/>
    <w:rsid w:val="00D349FC"/>
    <w:rsid w:val="00D34B89"/>
    <w:rsid w:val="00D34D22"/>
    <w:rsid w:val="00D34D33"/>
    <w:rsid w:val="00D34ED7"/>
    <w:rsid w:val="00D34FAC"/>
    <w:rsid w:val="00D350F2"/>
    <w:rsid w:val="00D350F5"/>
    <w:rsid w:val="00D35144"/>
    <w:rsid w:val="00D35152"/>
    <w:rsid w:val="00D3537C"/>
    <w:rsid w:val="00D35429"/>
    <w:rsid w:val="00D35522"/>
    <w:rsid w:val="00D35537"/>
    <w:rsid w:val="00D35577"/>
    <w:rsid w:val="00D3564F"/>
    <w:rsid w:val="00D356DF"/>
    <w:rsid w:val="00D3578B"/>
    <w:rsid w:val="00D359B4"/>
    <w:rsid w:val="00D35A60"/>
    <w:rsid w:val="00D35A62"/>
    <w:rsid w:val="00D35A83"/>
    <w:rsid w:val="00D35B62"/>
    <w:rsid w:val="00D35C63"/>
    <w:rsid w:val="00D35D75"/>
    <w:rsid w:val="00D35DD0"/>
    <w:rsid w:val="00D35E47"/>
    <w:rsid w:val="00D35EA3"/>
    <w:rsid w:val="00D35FC4"/>
    <w:rsid w:val="00D36078"/>
    <w:rsid w:val="00D3618C"/>
    <w:rsid w:val="00D3637B"/>
    <w:rsid w:val="00D3639B"/>
    <w:rsid w:val="00D363C8"/>
    <w:rsid w:val="00D363DC"/>
    <w:rsid w:val="00D36408"/>
    <w:rsid w:val="00D36572"/>
    <w:rsid w:val="00D3680E"/>
    <w:rsid w:val="00D36844"/>
    <w:rsid w:val="00D36853"/>
    <w:rsid w:val="00D36905"/>
    <w:rsid w:val="00D36961"/>
    <w:rsid w:val="00D36CA5"/>
    <w:rsid w:val="00D36D5A"/>
    <w:rsid w:val="00D36EF8"/>
    <w:rsid w:val="00D37049"/>
    <w:rsid w:val="00D3728A"/>
    <w:rsid w:val="00D37318"/>
    <w:rsid w:val="00D375C4"/>
    <w:rsid w:val="00D37847"/>
    <w:rsid w:val="00D3795F"/>
    <w:rsid w:val="00D37C6B"/>
    <w:rsid w:val="00D37CB1"/>
    <w:rsid w:val="00D37D5E"/>
    <w:rsid w:val="00D37E6B"/>
    <w:rsid w:val="00D37F5C"/>
    <w:rsid w:val="00D37F84"/>
    <w:rsid w:val="00D400A3"/>
    <w:rsid w:val="00D40236"/>
    <w:rsid w:val="00D40260"/>
    <w:rsid w:val="00D404B3"/>
    <w:rsid w:val="00D40588"/>
    <w:rsid w:val="00D405A9"/>
    <w:rsid w:val="00D4067F"/>
    <w:rsid w:val="00D406FC"/>
    <w:rsid w:val="00D4082C"/>
    <w:rsid w:val="00D40AC4"/>
    <w:rsid w:val="00D40AED"/>
    <w:rsid w:val="00D40B5E"/>
    <w:rsid w:val="00D40BEC"/>
    <w:rsid w:val="00D40FE6"/>
    <w:rsid w:val="00D41032"/>
    <w:rsid w:val="00D41171"/>
    <w:rsid w:val="00D4129A"/>
    <w:rsid w:val="00D4139F"/>
    <w:rsid w:val="00D41409"/>
    <w:rsid w:val="00D41449"/>
    <w:rsid w:val="00D4159D"/>
    <w:rsid w:val="00D4196D"/>
    <w:rsid w:val="00D419D1"/>
    <w:rsid w:val="00D41B4B"/>
    <w:rsid w:val="00D41BC7"/>
    <w:rsid w:val="00D41E15"/>
    <w:rsid w:val="00D41EE3"/>
    <w:rsid w:val="00D41FAC"/>
    <w:rsid w:val="00D41FB2"/>
    <w:rsid w:val="00D41FEB"/>
    <w:rsid w:val="00D42142"/>
    <w:rsid w:val="00D423C0"/>
    <w:rsid w:val="00D42718"/>
    <w:rsid w:val="00D42753"/>
    <w:rsid w:val="00D42785"/>
    <w:rsid w:val="00D427FD"/>
    <w:rsid w:val="00D42A78"/>
    <w:rsid w:val="00D42ABF"/>
    <w:rsid w:val="00D42C77"/>
    <w:rsid w:val="00D42CC0"/>
    <w:rsid w:val="00D42E57"/>
    <w:rsid w:val="00D42ED9"/>
    <w:rsid w:val="00D42F88"/>
    <w:rsid w:val="00D43036"/>
    <w:rsid w:val="00D430D3"/>
    <w:rsid w:val="00D430EC"/>
    <w:rsid w:val="00D43327"/>
    <w:rsid w:val="00D434B9"/>
    <w:rsid w:val="00D435F3"/>
    <w:rsid w:val="00D43659"/>
    <w:rsid w:val="00D4375D"/>
    <w:rsid w:val="00D4395C"/>
    <w:rsid w:val="00D4398B"/>
    <w:rsid w:val="00D43BF8"/>
    <w:rsid w:val="00D43C5D"/>
    <w:rsid w:val="00D43CA2"/>
    <w:rsid w:val="00D43D0D"/>
    <w:rsid w:val="00D43D1F"/>
    <w:rsid w:val="00D43FF3"/>
    <w:rsid w:val="00D440CA"/>
    <w:rsid w:val="00D441A5"/>
    <w:rsid w:val="00D4433B"/>
    <w:rsid w:val="00D44445"/>
    <w:rsid w:val="00D44458"/>
    <w:rsid w:val="00D4471B"/>
    <w:rsid w:val="00D4489F"/>
    <w:rsid w:val="00D44A92"/>
    <w:rsid w:val="00D44E4D"/>
    <w:rsid w:val="00D44EC0"/>
    <w:rsid w:val="00D44EF6"/>
    <w:rsid w:val="00D44F16"/>
    <w:rsid w:val="00D450D3"/>
    <w:rsid w:val="00D451DB"/>
    <w:rsid w:val="00D452D3"/>
    <w:rsid w:val="00D45390"/>
    <w:rsid w:val="00D45481"/>
    <w:rsid w:val="00D45526"/>
    <w:rsid w:val="00D45825"/>
    <w:rsid w:val="00D45866"/>
    <w:rsid w:val="00D45D2B"/>
    <w:rsid w:val="00D45E3E"/>
    <w:rsid w:val="00D45F0F"/>
    <w:rsid w:val="00D45F86"/>
    <w:rsid w:val="00D45FEF"/>
    <w:rsid w:val="00D46083"/>
    <w:rsid w:val="00D460A9"/>
    <w:rsid w:val="00D461A6"/>
    <w:rsid w:val="00D4624B"/>
    <w:rsid w:val="00D46309"/>
    <w:rsid w:val="00D46461"/>
    <w:rsid w:val="00D465C5"/>
    <w:rsid w:val="00D46648"/>
    <w:rsid w:val="00D46795"/>
    <w:rsid w:val="00D46816"/>
    <w:rsid w:val="00D46968"/>
    <w:rsid w:val="00D46A7B"/>
    <w:rsid w:val="00D46D03"/>
    <w:rsid w:val="00D46DFD"/>
    <w:rsid w:val="00D46E10"/>
    <w:rsid w:val="00D46F49"/>
    <w:rsid w:val="00D47012"/>
    <w:rsid w:val="00D47393"/>
    <w:rsid w:val="00D47476"/>
    <w:rsid w:val="00D47550"/>
    <w:rsid w:val="00D47558"/>
    <w:rsid w:val="00D47655"/>
    <w:rsid w:val="00D4776F"/>
    <w:rsid w:val="00D47B09"/>
    <w:rsid w:val="00D47E35"/>
    <w:rsid w:val="00D47E79"/>
    <w:rsid w:val="00D47FD3"/>
    <w:rsid w:val="00D50159"/>
    <w:rsid w:val="00D50582"/>
    <w:rsid w:val="00D50820"/>
    <w:rsid w:val="00D50860"/>
    <w:rsid w:val="00D508C4"/>
    <w:rsid w:val="00D509FA"/>
    <w:rsid w:val="00D50B9C"/>
    <w:rsid w:val="00D50BB6"/>
    <w:rsid w:val="00D50BC8"/>
    <w:rsid w:val="00D50C4C"/>
    <w:rsid w:val="00D50CBA"/>
    <w:rsid w:val="00D50D0B"/>
    <w:rsid w:val="00D51079"/>
    <w:rsid w:val="00D5122B"/>
    <w:rsid w:val="00D5127E"/>
    <w:rsid w:val="00D512BD"/>
    <w:rsid w:val="00D5134A"/>
    <w:rsid w:val="00D51367"/>
    <w:rsid w:val="00D513A8"/>
    <w:rsid w:val="00D513E6"/>
    <w:rsid w:val="00D516F6"/>
    <w:rsid w:val="00D516FB"/>
    <w:rsid w:val="00D518EC"/>
    <w:rsid w:val="00D519AC"/>
    <w:rsid w:val="00D5206B"/>
    <w:rsid w:val="00D52096"/>
    <w:rsid w:val="00D523E8"/>
    <w:rsid w:val="00D52414"/>
    <w:rsid w:val="00D525E5"/>
    <w:rsid w:val="00D52714"/>
    <w:rsid w:val="00D52774"/>
    <w:rsid w:val="00D527F0"/>
    <w:rsid w:val="00D5282E"/>
    <w:rsid w:val="00D5290B"/>
    <w:rsid w:val="00D529BB"/>
    <w:rsid w:val="00D529E1"/>
    <w:rsid w:val="00D52ADD"/>
    <w:rsid w:val="00D52BB2"/>
    <w:rsid w:val="00D52D15"/>
    <w:rsid w:val="00D52E35"/>
    <w:rsid w:val="00D52EED"/>
    <w:rsid w:val="00D53008"/>
    <w:rsid w:val="00D530B3"/>
    <w:rsid w:val="00D531E7"/>
    <w:rsid w:val="00D53358"/>
    <w:rsid w:val="00D534B0"/>
    <w:rsid w:val="00D5369D"/>
    <w:rsid w:val="00D537C9"/>
    <w:rsid w:val="00D53A12"/>
    <w:rsid w:val="00D53A31"/>
    <w:rsid w:val="00D53A92"/>
    <w:rsid w:val="00D53AAA"/>
    <w:rsid w:val="00D53B6A"/>
    <w:rsid w:val="00D53BA0"/>
    <w:rsid w:val="00D53BB7"/>
    <w:rsid w:val="00D53F14"/>
    <w:rsid w:val="00D53FDA"/>
    <w:rsid w:val="00D541BF"/>
    <w:rsid w:val="00D54229"/>
    <w:rsid w:val="00D542F2"/>
    <w:rsid w:val="00D54332"/>
    <w:rsid w:val="00D5438F"/>
    <w:rsid w:val="00D543E2"/>
    <w:rsid w:val="00D54518"/>
    <w:rsid w:val="00D54619"/>
    <w:rsid w:val="00D546B2"/>
    <w:rsid w:val="00D54821"/>
    <w:rsid w:val="00D54972"/>
    <w:rsid w:val="00D54983"/>
    <w:rsid w:val="00D54B32"/>
    <w:rsid w:val="00D54BC1"/>
    <w:rsid w:val="00D54BC5"/>
    <w:rsid w:val="00D54BF9"/>
    <w:rsid w:val="00D54C7A"/>
    <w:rsid w:val="00D54DC3"/>
    <w:rsid w:val="00D550BA"/>
    <w:rsid w:val="00D55395"/>
    <w:rsid w:val="00D5543D"/>
    <w:rsid w:val="00D5557F"/>
    <w:rsid w:val="00D5564A"/>
    <w:rsid w:val="00D559D5"/>
    <w:rsid w:val="00D559DC"/>
    <w:rsid w:val="00D55A57"/>
    <w:rsid w:val="00D55AB0"/>
    <w:rsid w:val="00D55AD0"/>
    <w:rsid w:val="00D55AD4"/>
    <w:rsid w:val="00D55BEB"/>
    <w:rsid w:val="00D55D98"/>
    <w:rsid w:val="00D55DDC"/>
    <w:rsid w:val="00D55DE5"/>
    <w:rsid w:val="00D55E87"/>
    <w:rsid w:val="00D56165"/>
    <w:rsid w:val="00D563CA"/>
    <w:rsid w:val="00D563D5"/>
    <w:rsid w:val="00D56515"/>
    <w:rsid w:val="00D5660E"/>
    <w:rsid w:val="00D566D7"/>
    <w:rsid w:val="00D5693F"/>
    <w:rsid w:val="00D56992"/>
    <w:rsid w:val="00D56B70"/>
    <w:rsid w:val="00D56D3D"/>
    <w:rsid w:val="00D56ED2"/>
    <w:rsid w:val="00D56F39"/>
    <w:rsid w:val="00D57206"/>
    <w:rsid w:val="00D5722D"/>
    <w:rsid w:val="00D577D9"/>
    <w:rsid w:val="00D57937"/>
    <w:rsid w:val="00D57974"/>
    <w:rsid w:val="00D57AE5"/>
    <w:rsid w:val="00D57B57"/>
    <w:rsid w:val="00D57BA2"/>
    <w:rsid w:val="00D57C35"/>
    <w:rsid w:val="00D57E18"/>
    <w:rsid w:val="00D57FC3"/>
    <w:rsid w:val="00D60040"/>
    <w:rsid w:val="00D6014F"/>
    <w:rsid w:val="00D6034F"/>
    <w:rsid w:val="00D6036B"/>
    <w:rsid w:val="00D603FD"/>
    <w:rsid w:val="00D6067E"/>
    <w:rsid w:val="00D60683"/>
    <w:rsid w:val="00D6073B"/>
    <w:rsid w:val="00D607C7"/>
    <w:rsid w:val="00D6095C"/>
    <w:rsid w:val="00D609F3"/>
    <w:rsid w:val="00D60AA6"/>
    <w:rsid w:val="00D60C78"/>
    <w:rsid w:val="00D60C8C"/>
    <w:rsid w:val="00D60F01"/>
    <w:rsid w:val="00D6108A"/>
    <w:rsid w:val="00D61090"/>
    <w:rsid w:val="00D612A1"/>
    <w:rsid w:val="00D61456"/>
    <w:rsid w:val="00D616CB"/>
    <w:rsid w:val="00D6179C"/>
    <w:rsid w:val="00D617C2"/>
    <w:rsid w:val="00D61818"/>
    <w:rsid w:val="00D61830"/>
    <w:rsid w:val="00D618CF"/>
    <w:rsid w:val="00D618F4"/>
    <w:rsid w:val="00D619AA"/>
    <w:rsid w:val="00D61AA8"/>
    <w:rsid w:val="00D61D1F"/>
    <w:rsid w:val="00D61D27"/>
    <w:rsid w:val="00D62062"/>
    <w:rsid w:val="00D62107"/>
    <w:rsid w:val="00D6212F"/>
    <w:rsid w:val="00D6230A"/>
    <w:rsid w:val="00D62899"/>
    <w:rsid w:val="00D62AB5"/>
    <w:rsid w:val="00D62B88"/>
    <w:rsid w:val="00D62C98"/>
    <w:rsid w:val="00D62E92"/>
    <w:rsid w:val="00D62EAE"/>
    <w:rsid w:val="00D62EBC"/>
    <w:rsid w:val="00D62F96"/>
    <w:rsid w:val="00D62FF6"/>
    <w:rsid w:val="00D631F2"/>
    <w:rsid w:val="00D6321F"/>
    <w:rsid w:val="00D633A0"/>
    <w:rsid w:val="00D634C2"/>
    <w:rsid w:val="00D635C9"/>
    <w:rsid w:val="00D635E8"/>
    <w:rsid w:val="00D6383B"/>
    <w:rsid w:val="00D63A6E"/>
    <w:rsid w:val="00D63AE8"/>
    <w:rsid w:val="00D63B7F"/>
    <w:rsid w:val="00D63C1A"/>
    <w:rsid w:val="00D63C1E"/>
    <w:rsid w:val="00D63C89"/>
    <w:rsid w:val="00D63CD7"/>
    <w:rsid w:val="00D63D03"/>
    <w:rsid w:val="00D63D88"/>
    <w:rsid w:val="00D63E1F"/>
    <w:rsid w:val="00D63EC2"/>
    <w:rsid w:val="00D6400E"/>
    <w:rsid w:val="00D640B4"/>
    <w:rsid w:val="00D6431A"/>
    <w:rsid w:val="00D64326"/>
    <w:rsid w:val="00D6436B"/>
    <w:rsid w:val="00D64663"/>
    <w:rsid w:val="00D646CD"/>
    <w:rsid w:val="00D646FB"/>
    <w:rsid w:val="00D6471C"/>
    <w:rsid w:val="00D648AA"/>
    <w:rsid w:val="00D64A3D"/>
    <w:rsid w:val="00D64AEC"/>
    <w:rsid w:val="00D64BC2"/>
    <w:rsid w:val="00D64DA2"/>
    <w:rsid w:val="00D64E0C"/>
    <w:rsid w:val="00D64FB6"/>
    <w:rsid w:val="00D65037"/>
    <w:rsid w:val="00D651D2"/>
    <w:rsid w:val="00D65200"/>
    <w:rsid w:val="00D65449"/>
    <w:rsid w:val="00D654F0"/>
    <w:rsid w:val="00D65535"/>
    <w:rsid w:val="00D655A9"/>
    <w:rsid w:val="00D655F3"/>
    <w:rsid w:val="00D656AA"/>
    <w:rsid w:val="00D656BA"/>
    <w:rsid w:val="00D656F5"/>
    <w:rsid w:val="00D65722"/>
    <w:rsid w:val="00D657E7"/>
    <w:rsid w:val="00D65844"/>
    <w:rsid w:val="00D65871"/>
    <w:rsid w:val="00D65A5C"/>
    <w:rsid w:val="00D65C09"/>
    <w:rsid w:val="00D65C5D"/>
    <w:rsid w:val="00D65D8C"/>
    <w:rsid w:val="00D65E3A"/>
    <w:rsid w:val="00D662C2"/>
    <w:rsid w:val="00D66301"/>
    <w:rsid w:val="00D66474"/>
    <w:rsid w:val="00D664DB"/>
    <w:rsid w:val="00D66903"/>
    <w:rsid w:val="00D66A08"/>
    <w:rsid w:val="00D66B89"/>
    <w:rsid w:val="00D66C1D"/>
    <w:rsid w:val="00D66DA2"/>
    <w:rsid w:val="00D66DF8"/>
    <w:rsid w:val="00D66EF8"/>
    <w:rsid w:val="00D67096"/>
    <w:rsid w:val="00D6719B"/>
    <w:rsid w:val="00D672C8"/>
    <w:rsid w:val="00D67310"/>
    <w:rsid w:val="00D6735D"/>
    <w:rsid w:val="00D67510"/>
    <w:rsid w:val="00D67855"/>
    <w:rsid w:val="00D67863"/>
    <w:rsid w:val="00D67917"/>
    <w:rsid w:val="00D67A02"/>
    <w:rsid w:val="00D67BC8"/>
    <w:rsid w:val="00D67BFA"/>
    <w:rsid w:val="00D67C41"/>
    <w:rsid w:val="00D67CE2"/>
    <w:rsid w:val="00D67E26"/>
    <w:rsid w:val="00D67EBD"/>
    <w:rsid w:val="00D70070"/>
    <w:rsid w:val="00D70199"/>
    <w:rsid w:val="00D70262"/>
    <w:rsid w:val="00D7055C"/>
    <w:rsid w:val="00D706A2"/>
    <w:rsid w:val="00D70702"/>
    <w:rsid w:val="00D70742"/>
    <w:rsid w:val="00D70820"/>
    <w:rsid w:val="00D7085B"/>
    <w:rsid w:val="00D7089C"/>
    <w:rsid w:val="00D708CD"/>
    <w:rsid w:val="00D7093F"/>
    <w:rsid w:val="00D709C6"/>
    <w:rsid w:val="00D70BFA"/>
    <w:rsid w:val="00D70C71"/>
    <w:rsid w:val="00D70CA0"/>
    <w:rsid w:val="00D70EF6"/>
    <w:rsid w:val="00D70F1A"/>
    <w:rsid w:val="00D70F72"/>
    <w:rsid w:val="00D71082"/>
    <w:rsid w:val="00D71110"/>
    <w:rsid w:val="00D71135"/>
    <w:rsid w:val="00D713BC"/>
    <w:rsid w:val="00D7142D"/>
    <w:rsid w:val="00D714F5"/>
    <w:rsid w:val="00D715C2"/>
    <w:rsid w:val="00D715D6"/>
    <w:rsid w:val="00D7161B"/>
    <w:rsid w:val="00D7173A"/>
    <w:rsid w:val="00D717AC"/>
    <w:rsid w:val="00D71820"/>
    <w:rsid w:val="00D71822"/>
    <w:rsid w:val="00D719A4"/>
    <w:rsid w:val="00D719F7"/>
    <w:rsid w:val="00D71A69"/>
    <w:rsid w:val="00D71B63"/>
    <w:rsid w:val="00D71B83"/>
    <w:rsid w:val="00D71CE6"/>
    <w:rsid w:val="00D71E28"/>
    <w:rsid w:val="00D71F58"/>
    <w:rsid w:val="00D72021"/>
    <w:rsid w:val="00D720A1"/>
    <w:rsid w:val="00D72265"/>
    <w:rsid w:val="00D7227E"/>
    <w:rsid w:val="00D72305"/>
    <w:rsid w:val="00D72483"/>
    <w:rsid w:val="00D724AF"/>
    <w:rsid w:val="00D724FD"/>
    <w:rsid w:val="00D725B1"/>
    <w:rsid w:val="00D72772"/>
    <w:rsid w:val="00D72799"/>
    <w:rsid w:val="00D729A4"/>
    <w:rsid w:val="00D72C62"/>
    <w:rsid w:val="00D72D09"/>
    <w:rsid w:val="00D72F63"/>
    <w:rsid w:val="00D73222"/>
    <w:rsid w:val="00D73279"/>
    <w:rsid w:val="00D73306"/>
    <w:rsid w:val="00D7330A"/>
    <w:rsid w:val="00D7330E"/>
    <w:rsid w:val="00D73344"/>
    <w:rsid w:val="00D7361A"/>
    <w:rsid w:val="00D736C0"/>
    <w:rsid w:val="00D73748"/>
    <w:rsid w:val="00D73823"/>
    <w:rsid w:val="00D73843"/>
    <w:rsid w:val="00D73874"/>
    <w:rsid w:val="00D7389B"/>
    <w:rsid w:val="00D738F5"/>
    <w:rsid w:val="00D73AB6"/>
    <w:rsid w:val="00D73B01"/>
    <w:rsid w:val="00D73E98"/>
    <w:rsid w:val="00D73F24"/>
    <w:rsid w:val="00D7403D"/>
    <w:rsid w:val="00D7415B"/>
    <w:rsid w:val="00D7433B"/>
    <w:rsid w:val="00D7445E"/>
    <w:rsid w:val="00D744C2"/>
    <w:rsid w:val="00D74846"/>
    <w:rsid w:val="00D748FF"/>
    <w:rsid w:val="00D7498C"/>
    <w:rsid w:val="00D749A3"/>
    <w:rsid w:val="00D74A52"/>
    <w:rsid w:val="00D74ABD"/>
    <w:rsid w:val="00D74B78"/>
    <w:rsid w:val="00D74C81"/>
    <w:rsid w:val="00D74C8A"/>
    <w:rsid w:val="00D74D83"/>
    <w:rsid w:val="00D74DDC"/>
    <w:rsid w:val="00D74E15"/>
    <w:rsid w:val="00D75107"/>
    <w:rsid w:val="00D7517C"/>
    <w:rsid w:val="00D75382"/>
    <w:rsid w:val="00D754BD"/>
    <w:rsid w:val="00D75570"/>
    <w:rsid w:val="00D755B5"/>
    <w:rsid w:val="00D7576F"/>
    <w:rsid w:val="00D75B58"/>
    <w:rsid w:val="00D75C98"/>
    <w:rsid w:val="00D75D3B"/>
    <w:rsid w:val="00D760C7"/>
    <w:rsid w:val="00D760D8"/>
    <w:rsid w:val="00D76103"/>
    <w:rsid w:val="00D7618E"/>
    <w:rsid w:val="00D762E9"/>
    <w:rsid w:val="00D7641B"/>
    <w:rsid w:val="00D76499"/>
    <w:rsid w:val="00D764C6"/>
    <w:rsid w:val="00D7652E"/>
    <w:rsid w:val="00D7658C"/>
    <w:rsid w:val="00D765D3"/>
    <w:rsid w:val="00D76A1A"/>
    <w:rsid w:val="00D76B7B"/>
    <w:rsid w:val="00D76BDB"/>
    <w:rsid w:val="00D76C8E"/>
    <w:rsid w:val="00D76D21"/>
    <w:rsid w:val="00D76D48"/>
    <w:rsid w:val="00D76D65"/>
    <w:rsid w:val="00D76E88"/>
    <w:rsid w:val="00D76FCF"/>
    <w:rsid w:val="00D77027"/>
    <w:rsid w:val="00D7714D"/>
    <w:rsid w:val="00D771AB"/>
    <w:rsid w:val="00D77421"/>
    <w:rsid w:val="00D778F8"/>
    <w:rsid w:val="00D77A31"/>
    <w:rsid w:val="00D77AEC"/>
    <w:rsid w:val="00D77CDD"/>
    <w:rsid w:val="00D77CF9"/>
    <w:rsid w:val="00D77D69"/>
    <w:rsid w:val="00D77DF2"/>
    <w:rsid w:val="00D80037"/>
    <w:rsid w:val="00D8012E"/>
    <w:rsid w:val="00D801F3"/>
    <w:rsid w:val="00D803EE"/>
    <w:rsid w:val="00D80642"/>
    <w:rsid w:val="00D80A03"/>
    <w:rsid w:val="00D80ADC"/>
    <w:rsid w:val="00D80AFF"/>
    <w:rsid w:val="00D80C31"/>
    <w:rsid w:val="00D80EB7"/>
    <w:rsid w:val="00D80FAB"/>
    <w:rsid w:val="00D80FB7"/>
    <w:rsid w:val="00D81085"/>
    <w:rsid w:val="00D8125D"/>
    <w:rsid w:val="00D812B4"/>
    <w:rsid w:val="00D81346"/>
    <w:rsid w:val="00D813D1"/>
    <w:rsid w:val="00D813DD"/>
    <w:rsid w:val="00D81456"/>
    <w:rsid w:val="00D814C0"/>
    <w:rsid w:val="00D814CF"/>
    <w:rsid w:val="00D81501"/>
    <w:rsid w:val="00D81732"/>
    <w:rsid w:val="00D818FE"/>
    <w:rsid w:val="00D81919"/>
    <w:rsid w:val="00D81AA0"/>
    <w:rsid w:val="00D81B57"/>
    <w:rsid w:val="00D81C24"/>
    <w:rsid w:val="00D81C77"/>
    <w:rsid w:val="00D81DB2"/>
    <w:rsid w:val="00D81DB3"/>
    <w:rsid w:val="00D81FE7"/>
    <w:rsid w:val="00D821BD"/>
    <w:rsid w:val="00D821DB"/>
    <w:rsid w:val="00D82219"/>
    <w:rsid w:val="00D82284"/>
    <w:rsid w:val="00D82386"/>
    <w:rsid w:val="00D824A9"/>
    <w:rsid w:val="00D824BF"/>
    <w:rsid w:val="00D8251A"/>
    <w:rsid w:val="00D828B5"/>
    <w:rsid w:val="00D82916"/>
    <w:rsid w:val="00D829CD"/>
    <w:rsid w:val="00D82A12"/>
    <w:rsid w:val="00D82B6D"/>
    <w:rsid w:val="00D82BE7"/>
    <w:rsid w:val="00D82C3B"/>
    <w:rsid w:val="00D82C5C"/>
    <w:rsid w:val="00D82C80"/>
    <w:rsid w:val="00D82CEA"/>
    <w:rsid w:val="00D82CFB"/>
    <w:rsid w:val="00D82ED3"/>
    <w:rsid w:val="00D8301A"/>
    <w:rsid w:val="00D830D1"/>
    <w:rsid w:val="00D83118"/>
    <w:rsid w:val="00D83380"/>
    <w:rsid w:val="00D83401"/>
    <w:rsid w:val="00D83577"/>
    <w:rsid w:val="00D836A9"/>
    <w:rsid w:val="00D838C3"/>
    <w:rsid w:val="00D83A62"/>
    <w:rsid w:val="00D83AE8"/>
    <w:rsid w:val="00D83BF5"/>
    <w:rsid w:val="00D83F0B"/>
    <w:rsid w:val="00D84133"/>
    <w:rsid w:val="00D8438F"/>
    <w:rsid w:val="00D84405"/>
    <w:rsid w:val="00D84447"/>
    <w:rsid w:val="00D8453D"/>
    <w:rsid w:val="00D845CF"/>
    <w:rsid w:val="00D84619"/>
    <w:rsid w:val="00D848DE"/>
    <w:rsid w:val="00D8496A"/>
    <w:rsid w:val="00D84984"/>
    <w:rsid w:val="00D84A94"/>
    <w:rsid w:val="00D84B6E"/>
    <w:rsid w:val="00D84C80"/>
    <w:rsid w:val="00D84CFC"/>
    <w:rsid w:val="00D84DE5"/>
    <w:rsid w:val="00D84F48"/>
    <w:rsid w:val="00D8510F"/>
    <w:rsid w:val="00D85216"/>
    <w:rsid w:val="00D8548B"/>
    <w:rsid w:val="00D854D9"/>
    <w:rsid w:val="00D85641"/>
    <w:rsid w:val="00D85709"/>
    <w:rsid w:val="00D85724"/>
    <w:rsid w:val="00D8575A"/>
    <w:rsid w:val="00D85832"/>
    <w:rsid w:val="00D859DA"/>
    <w:rsid w:val="00D85B89"/>
    <w:rsid w:val="00D85B8F"/>
    <w:rsid w:val="00D85C0F"/>
    <w:rsid w:val="00D8602C"/>
    <w:rsid w:val="00D8608D"/>
    <w:rsid w:val="00D862DE"/>
    <w:rsid w:val="00D86770"/>
    <w:rsid w:val="00D869CB"/>
    <w:rsid w:val="00D86A2E"/>
    <w:rsid w:val="00D86AAC"/>
    <w:rsid w:val="00D86B96"/>
    <w:rsid w:val="00D86C1F"/>
    <w:rsid w:val="00D86C50"/>
    <w:rsid w:val="00D86CD8"/>
    <w:rsid w:val="00D86CFC"/>
    <w:rsid w:val="00D87125"/>
    <w:rsid w:val="00D87153"/>
    <w:rsid w:val="00D87232"/>
    <w:rsid w:val="00D872C1"/>
    <w:rsid w:val="00D873BD"/>
    <w:rsid w:val="00D87684"/>
    <w:rsid w:val="00D8773B"/>
    <w:rsid w:val="00D87797"/>
    <w:rsid w:val="00D877D8"/>
    <w:rsid w:val="00D87922"/>
    <w:rsid w:val="00D87A0C"/>
    <w:rsid w:val="00D87A7B"/>
    <w:rsid w:val="00D87AFD"/>
    <w:rsid w:val="00D87B5D"/>
    <w:rsid w:val="00D87DD1"/>
    <w:rsid w:val="00D87E98"/>
    <w:rsid w:val="00D87F38"/>
    <w:rsid w:val="00D9012F"/>
    <w:rsid w:val="00D901C7"/>
    <w:rsid w:val="00D90358"/>
    <w:rsid w:val="00D90392"/>
    <w:rsid w:val="00D904EE"/>
    <w:rsid w:val="00D9065D"/>
    <w:rsid w:val="00D90777"/>
    <w:rsid w:val="00D90931"/>
    <w:rsid w:val="00D90B4A"/>
    <w:rsid w:val="00D90C96"/>
    <w:rsid w:val="00D90EFA"/>
    <w:rsid w:val="00D90F75"/>
    <w:rsid w:val="00D911D4"/>
    <w:rsid w:val="00D91217"/>
    <w:rsid w:val="00D913D2"/>
    <w:rsid w:val="00D9141C"/>
    <w:rsid w:val="00D9142B"/>
    <w:rsid w:val="00D914A0"/>
    <w:rsid w:val="00D9156D"/>
    <w:rsid w:val="00D915EB"/>
    <w:rsid w:val="00D9166A"/>
    <w:rsid w:val="00D91719"/>
    <w:rsid w:val="00D917DF"/>
    <w:rsid w:val="00D91800"/>
    <w:rsid w:val="00D918F1"/>
    <w:rsid w:val="00D91C76"/>
    <w:rsid w:val="00D91D1F"/>
    <w:rsid w:val="00D91D45"/>
    <w:rsid w:val="00D91E8F"/>
    <w:rsid w:val="00D91F17"/>
    <w:rsid w:val="00D920EE"/>
    <w:rsid w:val="00D92484"/>
    <w:rsid w:val="00D924CD"/>
    <w:rsid w:val="00D925DD"/>
    <w:rsid w:val="00D926ED"/>
    <w:rsid w:val="00D927AA"/>
    <w:rsid w:val="00D927EF"/>
    <w:rsid w:val="00D928A3"/>
    <w:rsid w:val="00D928B2"/>
    <w:rsid w:val="00D929C8"/>
    <w:rsid w:val="00D92A16"/>
    <w:rsid w:val="00D92A6A"/>
    <w:rsid w:val="00D92BE9"/>
    <w:rsid w:val="00D92C29"/>
    <w:rsid w:val="00D92D33"/>
    <w:rsid w:val="00D92F48"/>
    <w:rsid w:val="00D92FA6"/>
    <w:rsid w:val="00D93044"/>
    <w:rsid w:val="00D9317B"/>
    <w:rsid w:val="00D9324C"/>
    <w:rsid w:val="00D933A9"/>
    <w:rsid w:val="00D933D7"/>
    <w:rsid w:val="00D93485"/>
    <w:rsid w:val="00D934A8"/>
    <w:rsid w:val="00D93633"/>
    <w:rsid w:val="00D936F2"/>
    <w:rsid w:val="00D9378E"/>
    <w:rsid w:val="00D9383B"/>
    <w:rsid w:val="00D93A0F"/>
    <w:rsid w:val="00D93BCD"/>
    <w:rsid w:val="00D93C63"/>
    <w:rsid w:val="00D93C7B"/>
    <w:rsid w:val="00D93D30"/>
    <w:rsid w:val="00D9439C"/>
    <w:rsid w:val="00D9461C"/>
    <w:rsid w:val="00D948E4"/>
    <w:rsid w:val="00D94CDF"/>
    <w:rsid w:val="00D94D1A"/>
    <w:rsid w:val="00D94D1B"/>
    <w:rsid w:val="00D94F90"/>
    <w:rsid w:val="00D952A5"/>
    <w:rsid w:val="00D95334"/>
    <w:rsid w:val="00D9535F"/>
    <w:rsid w:val="00D953E6"/>
    <w:rsid w:val="00D954F5"/>
    <w:rsid w:val="00D95706"/>
    <w:rsid w:val="00D95B37"/>
    <w:rsid w:val="00D95BE7"/>
    <w:rsid w:val="00D95C34"/>
    <w:rsid w:val="00D9610B"/>
    <w:rsid w:val="00D96208"/>
    <w:rsid w:val="00D9632F"/>
    <w:rsid w:val="00D963A8"/>
    <w:rsid w:val="00D96495"/>
    <w:rsid w:val="00D964CF"/>
    <w:rsid w:val="00D964D3"/>
    <w:rsid w:val="00D96708"/>
    <w:rsid w:val="00D9678D"/>
    <w:rsid w:val="00D96878"/>
    <w:rsid w:val="00D96B78"/>
    <w:rsid w:val="00D96D86"/>
    <w:rsid w:val="00D96DA0"/>
    <w:rsid w:val="00D96E9D"/>
    <w:rsid w:val="00D970CD"/>
    <w:rsid w:val="00D97180"/>
    <w:rsid w:val="00D971DF"/>
    <w:rsid w:val="00D9724B"/>
    <w:rsid w:val="00D97396"/>
    <w:rsid w:val="00D973FD"/>
    <w:rsid w:val="00D97517"/>
    <w:rsid w:val="00D97612"/>
    <w:rsid w:val="00D97613"/>
    <w:rsid w:val="00D9761D"/>
    <w:rsid w:val="00D976AF"/>
    <w:rsid w:val="00D97764"/>
    <w:rsid w:val="00D97942"/>
    <w:rsid w:val="00D97A64"/>
    <w:rsid w:val="00D97BD2"/>
    <w:rsid w:val="00D97C36"/>
    <w:rsid w:val="00D97C7C"/>
    <w:rsid w:val="00D97C89"/>
    <w:rsid w:val="00D97F54"/>
    <w:rsid w:val="00DA0075"/>
    <w:rsid w:val="00DA00C8"/>
    <w:rsid w:val="00DA0281"/>
    <w:rsid w:val="00DA03F8"/>
    <w:rsid w:val="00DA04C5"/>
    <w:rsid w:val="00DA04C9"/>
    <w:rsid w:val="00DA04D2"/>
    <w:rsid w:val="00DA061A"/>
    <w:rsid w:val="00DA0665"/>
    <w:rsid w:val="00DA0685"/>
    <w:rsid w:val="00DA09F0"/>
    <w:rsid w:val="00DA0B23"/>
    <w:rsid w:val="00DA0D23"/>
    <w:rsid w:val="00DA0D32"/>
    <w:rsid w:val="00DA0FB1"/>
    <w:rsid w:val="00DA101F"/>
    <w:rsid w:val="00DA1025"/>
    <w:rsid w:val="00DA1078"/>
    <w:rsid w:val="00DA10F2"/>
    <w:rsid w:val="00DA1209"/>
    <w:rsid w:val="00DA1348"/>
    <w:rsid w:val="00DA1536"/>
    <w:rsid w:val="00DA1ADC"/>
    <w:rsid w:val="00DA1BD8"/>
    <w:rsid w:val="00DA1BE8"/>
    <w:rsid w:val="00DA1C3C"/>
    <w:rsid w:val="00DA1DA3"/>
    <w:rsid w:val="00DA1E79"/>
    <w:rsid w:val="00DA1EAB"/>
    <w:rsid w:val="00DA1EB5"/>
    <w:rsid w:val="00DA20DC"/>
    <w:rsid w:val="00DA218F"/>
    <w:rsid w:val="00DA2287"/>
    <w:rsid w:val="00DA22FF"/>
    <w:rsid w:val="00DA2363"/>
    <w:rsid w:val="00DA254C"/>
    <w:rsid w:val="00DA257C"/>
    <w:rsid w:val="00DA278A"/>
    <w:rsid w:val="00DA2A52"/>
    <w:rsid w:val="00DA2BB5"/>
    <w:rsid w:val="00DA2C3B"/>
    <w:rsid w:val="00DA315A"/>
    <w:rsid w:val="00DA348C"/>
    <w:rsid w:val="00DA360C"/>
    <w:rsid w:val="00DA370F"/>
    <w:rsid w:val="00DA3723"/>
    <w:rsid w:val="00DA39C8"/>
    <w:rsid w:val="00DA3A58"/>
    <w:rsid w:val="00DA3A74"/>
    <w:rsid w:val="00DA3B0D"/>
    <w:rsid w:val="00DA3B4B"/>
    <w:rsid w:val="00DA3BF6"/>
    <w:rsid w:val="00DA3C7D"/>
    <w:rsid w:val="00DA3C9F"/>
    <w:rsid w:val="00DA3D77"/>
    <w:rsid w:val="00DA3FCF"/>
    <w:rsid w:val="00DA400E"/>
    <w:rsid w:val="00DA40C9"/>
    <w:rsid w:val="00DA4127"/>
    <w:rsid w:val="00DA414E"/>
    <w:rsid w:val="00DA41A4"/>
    <w:rsid w:val="00DA41DB"/>
    <w:rsid w:val="00DA42FE"/>
    <w:rsid w:val="00DA4657"/>
    <w:rsid w:val="00DA48A8"/>
    <w:rsid w:val="00DA4BFE"/>
    <w:rsid w:val="00DA4CC9"/>
    <w:rsid w:val="00DA4DBF"/>
    <w:rsid w:val="00DA4EB8"/>
    <w:rsid w:val="00DA4EC3"/>
    <w:rsid w:val="00DA4F55"/>
    <w:rsid w:val="00DA5017"/>
    <w:rsid w:val="00DA50D1"/>
    <w:rsid w:val="00DA51B0"/>
    <w:rsid w:val="00DA528F"/>
    <w:rsid w:val="00DA543D"/>
    <w:rsid w:val="00DA5446"/>
    <w:rsid w:val="00DA54A4"/>
    <w:rsid w:val="00DA553A"/>
    <w:rsid w:val="00DA561B"/>
    <w:rsid w:val="00DA5631"/>
    <w:rsid w:val="00DA5914"/>
    <w:rsid w:val="00DA5A6B"/>
    <w:rsid w:val="00DA5DDB"/>
    <w:rsid w:val="00DA5EFA"/>
    <w:rsid w:val="00DA61A3"/>
    <w:rsid w:val="00DA61C4"/>
    <w:rsid w:val="00DA6355"/>
    <w:rsid w:val="00DA63A0"/>
    <w:rsid w:val="00DA64B1"/>
    <w:rsid w:val="00DA65BF"/>
    <w:rsid w:val="00DA6653"/>
    <w:rsid w:val="00DA6A44"/>
    <w:rsid w:val="00DA6B26"/>
    <w:rsid w:val="00DA6B7F"/>
    <w:rsid w:val="00DA6F20"/>
    <w:rsid w:val="00DA6F76"/>
    <w:rsid w:val="00DA7246"/>
    <w:rsid w:val="00DA72BA"/>
    <w:rsid w:val="00DA7374"/>
    <w:rsid w:val="00DA74B8"/>
    <w:rsid w:val="00DA759E"/>
    <w:rsid w:val="00DA761E"/>
    <w:rsid w:val="00DA7694"/>
    <w:rsid w:val="00DA77ED"/>
    <w:rsid w:val="00DA7B69"/>
    <w:rsid w:val="00DA7E9C"/>
    <w:rsid w:val="00DB004B"/>
    <w:rsid w:val="00DB0215"/>
    <w:rsid w:val="00DB0251"/>
    <w:rsid w:val="00DB039C"/>
    <w:rsid w:val="00DB03A9"/>
    <w:rsid w:val="00DB03CD"/>
    <w:rsid w:val="00DB0470"/>
    <w:rsid w:val="00DB04BE"/>
    <w:rsid w:val="00DB0608"/>
    <w:rsid w:val="00DB0703"/>
    <w:rsid w:val="00DB071B"/>
    <w:rsid w:val="00DB07F3"/>
    <w:rsid w:val="00DB08F2"/>
    <w:rsid w:val="00DB0B5F"/>
    <w:rsid w:val="00DB0BB1"/>
    <w:rsid w:val="00DB0BBB"/>
    <w:rsid w:val="00DB0BBC"/>
    <w:rsid w:val="00DB0D2D"/>
    <w:rsid w:val="00DB0DBF"/>
    <w:rsid w:val="00DB0E4B"/>
    <w:rsid w:val="00DB0E7A"/>
    <w:rsid w:val="00DB0F25"/>
    <w:rsid w:val="00DB0FF5"/>
    <w:rsid w:val="00DB10B7"/>
    <w:rsid w:val="00DB1196"/>
    <w:rsid w:val="00DB1622"/>
    <w:rsid w:val="00DB1AB4"/>
    <w:rsid w:val="00DB1C9C"/>
    <w:rsid w:val="00DB1F01"/>
    <w:rsid w:val="00DB2022"/>
    <w:rsid w:val="00DB20ED"/>
    <w:rsid w:val="00DB2173"/>
    <w:rsid w:val="00DB22ED"/>
    <w:rsid w:val="00DB2353"/>
    <w:rsid w:val="00DB2369"/>
    <w:rsid w:val="00DB23E0"/>
    <w:rsid w:val="00DB2491"/>
    <w:rsid w:val="00DB252C"/>
    <w:rsid w:val="00DB27D8"/>
    <w:rsid w:val="00DB2A6D"/>
    <w:rsid w:val="00DB2ACE"/>
    <w:rsid w:val="00DB2C09"/>
    <w:rsid w:val="00DB2C1D"/>
    <w:rsid w:val="00DB2C47"/>
    <w:rsid w:val="00DB2CBA"/>
    <w:rsid w:val="00DB2CEA"/>
    <w:rsid w:val="00DB2DCC"/>
    <w:rsid w:val="00DB2E7B"/>
    <w:rsid w:val="00DB2E94"/>
    <w:rsid w:val="00DB2FDB"/>
    <w:rsid w:val="00DB30C7"/>
    <w:rsid w:val="00DB31EA"/>
    <w:rsid w:val="00DB339D"/>
    <w:rsid w:val="00DB343B"/>
    <w:rsid w:val="00DB3457"/>
    <w:rsid w:val="00DB36A6"/>
    <w:rsid w:val="00DB36B3"/>
    <w:rsid w:val="00DB371D"/>
    <w:rsid w:val="00DB389D"/>
    <w:rsid w:val="00DB3909"/>
    <w:rsid w:val="00DB3911"/>
    <w:rsid w:val="00DB39C1"/>
    <w:rsid w:val="00DB3BBB"/>
    <w:rsid w:val="00DB3EDC"/>
    <w:rsid w:val="00DB3FE8"/>
    <w:rsid w:val="00DB403A"/>
    <w:rsid w:val="00DB40C4"/>
    <w:rsid w:val="00DB41DC"/>
    <w:rsid w:val="00DB4317"/>
    <w:rsid w:val="00DB4406"/>
    <w:rsid w:val="00DB4689"/>
    <w:rsid w:val="00DB46DF"/>
    <w:rsid w:val="00DB470E"/>
    <w:rsid w:val="00DB478B"/>
    <w:rsid w:val="00DB4A4F"/>
    <w:rsid w:val="00DB4B37"/>
    <w:rsid w:val="00DB4BDE"/>
    <w:rsid w:val="00DB4CDC"/>
    <w:rsid w:val="00DB4EFF"/>
    <w:rsid w:val="00DB5017"/>
    <w:rsid w:val="00DB514E"/>
    <w:rsid w:val="00DB52E6"/>
    <w:rsid w:val="00DB52E8"/>
    <w:rsid w:val="00DB55BD"/>
    <w:rsid w:val="00DB55E3"/>
    <w:rsid w:val="00DB576F"/>
    <w:rsid w:val="00DB5928"/>
    <w:rsid w:val="00DB5A18"/>
    <w:rsid w:val="00DB5A58"/>
    <w:rsid w:val="00DB5B4B"/>
    <w:rsid w:val="00DB5B66"/>
    <w:rsid w:val="00DB5C97"/>
    <w:rsid w:val="00DB5D2F"/>
    <w:rsid w:val="00DB5E4E"/>
    <w:rsid w:val="00DB5FD7"/>
    <w:rsid w:val="00DB61BD"/>
    <w:rsid w:val="00DB61C0"/>
    <w:rsid w:val="00DB6264"/>
    <w:rsid w:val="00DB631C"/>
    <w:rsid w:val="00DB636D"/>
    <w:rsid w:val="00DB650C"/>
    <w:rsid w:val="00DB658C"/>
    <w:rsid w:val="00DB6976"/>
    <w:rsid w:val="00DB6A0A"/>
    <w:rsid w:val="00DB6B04"/>
    <w:rsid w:val="00DB6CB6"/>
    <w:rsid w:val="00DB6CE3"/>
    <w:rsid w:val="00DB6EC0"/>
    <w:rsid w:val="00DB6EFB"/>
    <w:rsid w:val="00DB6FC3"/>
    <w:rsid w:val="00DB7088"/>
    <w:rsid w:val="00DB70D7"/>
    <w:rsid w:val="00DB72A0"/>
    <w:rsid w:val="00DB73DA"/>
    <w:rsid w:val="00DB7457"/>
    <w:rsid w:val="00DB7494"/>
    <w:rsid w:val="00DB74FB"/>
    <w:rsid w:val="00DB762C"/>
    <w:rsid w:val="00DB7795"/>
    <w:rsid w:val="00DB7EBF"/>
    <w:rsid w:val="00DB7F75"/>
    <w:rsid w:val="00DB7F77"/>
    <w:rsid w:val="00DC000F"/>
    <w:rsid w:val="00DC066B"/>
    <w:rsid w:val="00DC06A8"/>
    <w:rsid w:val="00DC06EB"/>
    <w:rsid w:val="00DC0745"/>
    <w:rsid w:val="00DC07F2"/>
    <w:rsid w:val="00DC0A13"/>
    <w:rsid w:val="00DC0A50"/>
    <w:rsid w:val="00DC0B94"/>
    <w:rsid w:val="00DC0CA9"/>
    <w:rsid w:val="00DC0F43"/>
    <w:rsid w:val="00DC1102"/>
    <w:rsid w:val="00DC1119"/>
    <w:rsid w:val="00DC1315"/>
    <w:rsid w:val="00DC133D"/>
    <w:rsid w:val="00DC1774"/>
    <w:rsid w:val="00DC1C88"/>
    <w:rsid w:val="00DC1DAB"/>
    <w:rsid w:val="00DC1E61"/>
    <w:rsid w:val="00DC1FFF"/>
    <w:rsid w:val="00DC205D"/>
    <w:rsid w:val="00DC209A"/>
    <w:rsid w:val="00DC20C8"/>
    <w:rsid w:val="00DC2447"/>
    <w:rsid w:val="00DC246A"/>
    <w:rsid w:val="00DC24AE"/>
    <w:rsid w:val="00DC253A"/>
    <w:rsid w:val="00DC2856"/>
    <w:rsid w:val="00DC29B8"/>
    <w:rsid w:val="00DC2BA7"/>
    <w:rsid w:val="00DC2C2D"/>
    <w:rsid w:val="00DC2DA5"/>
    <w:rsid w:val="00DC2E95"/>
    <w:rsid w:val="00DC3083"/>
    <w:rsid w:val="00DC313D"/>
    <w:rsid w:val="00DC3198"/>
    <w:rsid w:val="00DC323B"/>
    <w:rsid w:val="00DC3269"/>
    <w:rsid w:val="00DC329E"/>
    <w:rsid w:val="00DC32AB"/>
    <w:rsid w:val="00DC34ED"/>
    <w:rsid w:val="00DC3675"/>
    <w:rsid w:val="00DC3802"/>
    <w:rsid w:val="00DC381D"/>
    <w:rsid w:val="00DC3986"/>
    <w:rsid w:val="00DC3B7B"/>
    <w:rsid w:val="00DC3BE9"/>
    <w:rsid w:val="00DC3CFB"/>
    <w:rsid w:val="00DC3D56"/>
    <w:rsid w:val="00DC3E26"/>
    <w:rsid w:val="00DC3E68"/>
    <w:rsid w:val="00DC3ED1"/>
    <w:rsid w:val="00DC3F88"/>
    <w:rsid w:val="00DC41E7"/>
    <w:rsid w:val="00DC4260"/>
    <w:rsid w:val="00DC438E"/>
    <w:rsid w:val="00DC446B"/>
    <w:rsid w:val="00DC449B"/>
    <w:rsid w:val="00DC44EC"/>
    <w:rsid w:val="00DC45EC"/>
    <w:rsid w:val="00DC4639"/>
    <w:rsid w:val="00DC4660"/>
    <w:rsid w:val="00DC471B"/>
    <w:rsid w:val="00DC4721"/>
    <w:rsid w:val="00DC47F4"/>
    <w:rsid w:val="00DC4811"/>
    <w:rsid w:val="00DC484C"/>
    <w:rsid w:val="00DC48EA"/>
    <w:rsid w:val="00DC4A0F"/>
    <w:rsid w:val="00DC4A88"/>
    <w:rsid w:val="00DC4BEF"/>
    <w:rsid w:val="00DC4D41"/>
    <w:rsid w:val="00DC4DF2"/>
    <w:rsid w:val="00DC4E50"/>
    <w:rsid w:val="00DC4ED0"/>
    <w:rsid w:val="00DC502D"/>
    <w:rsid w:val="00DC50A1"/>
    <w:rsid w:val="00DC54F1"/>
    <w:rsid w:val="00DC5542"/>
    <w:rsid w:val="00DC55A1"/>
    <w:rsid w:val="00DC564C"/>
    <w:rsid w:val="00DC5801"/>
    <w:rsid w:val="00DC586D"/>
    <w:rsid w:val="00DC591B"/>
    <w:rsid w:val="00DC5AD4"/>
    <w:rsid w:val="00DC5E71"/>
    <w:rsid w:val="00DC5F7F"/>
    <w:rsid w:val="00DC6008"/>
    <w:rsid w:val="00DC62AA"/>
    <w:rsid w:val="00DC631E"/>
    <w:rsid w:val="00DC638F"/>
    <w:rsid w:val="00DC63B1"/>
    <w:rsid w:val="00DC6743"/>
    <w:rsid w:val="00DC676D"/>
    <w:rsid w:val="00DC6916"/>
    <w:rsid w:val="00DC6DC4"/>
    <w:rsid w:val="00DC6E9F"/>
    <w:rsid w:val="00DC6ECE"/>
    <w:rsid w:val="00DC6EE7"/>
    <w:rsid w:val="00DC7121"/>
    <w:rsid w:val="00DC73AB"/>
    <w:rsid w:val="00DC7422"/>
    <w:rsid w:val="00DC7434"/>
    <w:rsid w:val="00DC7766"/>
    <w:rsid w:val="00DC7912"/>
    <w:rsid w:val="00DC795C"/>
    <w:rsid w:val="00DC7972"/>
    <w:rsid w:val="00DC79F8"/>
    <w:rsid w:val="00DC7BF8"/>
    <w:rsid w:val="00DC7C92"/>
    <w:rsid w:val="00DC7D0A"/>
    <w:rsid w:val="00DC7E9A"/>
    <w:rsid w:val="00DC7EEE"/>
    <w:rsid w:val="00DD011C"/>
    <w:rsid w:val="00DD012A"/>
    <w:rsid w:val="00DD018C"/>
    <w:rsid w:val="00DD01B6"/>
    <w:rsid w:val="00DD0252"/>
    <w:rsid w:val="00DD0280"/>
    <w:rsid w:val="00DD0378"/>
    <w:rsid w:val="00DD0528"/>
    <w:rsid w:val="00DD06A7"/>
    <w:rsid w:val="00DD0773"/>
    <w:rsid w:val="00DD0E26"/>
    <w:rsid w:val="00DD0E63"/>
    <w:rsid w:val="00DD0E90"/>
    <w:rsid w:val="00DD1026"/>
    <w:rsid w:val="00DD11D5"/>
    <w:rsid w:val="00DD1292"/>
    <w:rsid w:val="00DD138F"/>
    <w:rsid w:val="00DD161D"/>
    <w:rsid w:val="00DD1687"/>
    <w:rsid w:val="00DD1942"/>
    <w:rsid w:val="00DD1956"/>
    <w:rsid w:val="00DD198C"/>
    <w:rsid w:val="00DD19B9"/>
    <w:rsid w:val="00DD1B08"/>
    <w:rsid w:val="00DD1D93"/>
    <w:rsid w:val="00DD1E1F"/>
    <w:rsid w:val="00DD1ECD"/>
    <w:rsid w:val="00DD2028"/>
    <w:rsid w:val="00DD214E"/>
    <w:rsid w:val="00DD21C6"/>
    <w:rsid w:val="00DD21D1"/>
    <w:rsid w:val="00DD21EB"/>
    <w:rsid w:val="00DD222E"/>
    <w:rsid w:val="00DD2322"/>
    <w:rsid w:val="00DD24E6"/>
    <w:rsid w:val="00DD2544"/>
    <w:rsid w:val="00DD25F7"/>
    <w:rsid w:val="00DD26C0"/>
    <w:rsid w:val="00DD26EA"/>
    <w:rsid w:val="00DD26FF"/>
    <w:rsid w:val="00DD29E5"/>
    <w:rsid w:val="00DD2A6C"/>
    <w:rsid w:val="00DD2D6A"/>
    <w:rsid w:val="00DD3003"/>
    <w:rsid w:val="00DD3080"/>
    <w:rsid w:val="00DD3150"/>
    <w:rsid w:val="00DD3205"/>
    <w:rsid w:val="00DD325C"/>
    <w:rsid w:val="00DD326A"/>
    <w:rsid w:val="00DD3285"/>
    <w:rsid w:val="00DD32AE"/>
    <w:rsid w:val="00DD32E6"/>
    <w:rsid w:val="00DD360D"/>
    <w:rsid w:val="00DD3B67"/>
    <w:rsid w:val="00DD3B8E"/>
    <w:rsid w:val="00DD3CE8"/>
    <w:rsid w:val="00DD3D3F"/>
    <w:rsid w:val="00DD3E3D"/>
    <w:rsid w:val="00DD3E46"/>
    <w:rsid w:val="00DD3F69"/>
    <w:rsid w:val="00DD4005"/>
    <w:rsid w:val="00DD410E"/>
    <w:rsid w:val="00DD4115"/>
    <w:rsid w:val="00DD416F"/>
    <w:rsid w:val="00DD42AF"/>
    <w:rsid w:val="00DD4428"/>
    <w:rsid w:val="00DD4631"/>
    <w:rsid w:val="00DD476C"/>
    <w:rsid w:val="00DD4B17"/>
    <w:rsid w:val="00DD4BE8"/>
    <w:rsid w:val="00DD4DE9"/>
    <w:rsid w:val="00DD4E0C"/>
    <w:rsid w:val="00DD4E17"/>
    <w:rsid w:val="00DD4F9F"/>
    <w:rsid w:val="00DD50F4"/>
    <w:rsid w:val="00DD5142"/>
    <w:rsid w:val="00DD51D4"/>
    <w:rsid w:val="00DD5207"/>
    <w:rsid w:val="00DD521A"/>
    <w:rsid w:val="00DD540F"/>
    <w:rsid w:val="00DD54BC"/>
    <w:rsid w:val="00DD56D5"/>
    <w:rsid w:val="00DD5B82"/>
    <w:rsid w:val="00DD5BA5"/>
    <w:rsid w:val="00DD5BB9"/>
    <w:rsid w:val="00DD6146"/>
    <w:rsid w:val="00DD6237"/>
    <w:rsid w:val="00DD6285"/>
    <w:rsid w:val="00DD631A"/>
    <w:rsid w:val="00DD63AA"/>
    <w:rsid w:val="00DD63EB"/>
    <w:rsid w:val="00DD64ED"/>
    <w:rsid w:val="00DD664E"/>
    <w:rsid w:val="00DD6881"/>
    <w:rsid w:val="00DD68B2"/>
    <w:rsid w:val="00DD696B"/>
    <w:rsid w:val="00DD6980"/>
    <w:rsid w:val="00DD69F0"/>
    <w:rsid w:val="00DD69F6"/>
    <w:rsid w:val="00DD6F84"/>
    <w:rsid w:val="00DD6F99"/>
    <w:rsid w:val="00DD7097"/>
    <w:rsid w:val="00DD713A"/>
    <w:rsid w:val="00DD71CC"/>
    <w:rsid w:val="00DD7242"/>
    <w:rsid w:val="00DD74F8"/>
    <w:rsid w:val="00DD7539"/>
    <w:rsid w:val="00DD759E"/>
    <w:rsid w:val="00DD7750"/>
    <w:rsid w:val="00DD7764"/>
    <w:rsid w:val="00DD7A21"/>
    <w:rsid w:val="00DD7B85"/>
    <w:rsid w:val="00DD7BC1"/>
    <w:rsid w:val="00DD7D59"/>
    <w:rsid w:val="00DD7FF2"/>
    <w:rsid w:val="00DE0015"/>
    <w:rsid w:val="00DE0046"/>
    <w:rsid w:val="00DE015B"/>
    <w:rsid w:val="00DE01FA"/>
    <w:rsid w:val="00DE033A"/>
    <w:rsid w:val="00DE039E"/>
    <w:rsid w:val="00DE03A8"/>
    <w:rsid w:val="00DE03C7"/>
    <w:rsid w:val="00DE047F"/>
    <w:rsid w:val="00DE04A9"/>
    <w:rsid w:val="00DE0560"/>
    <w:rsid w:val="00DE068F"/>
    <w:rsid w:val="00DE06E1"/>
    <w:rsid w:val="00DE081D"/>
    <w:rsid w:val="00DE0BC1"/>
    <w:rsid w:val="00DE0D61"/>
    <w:rsid w:val="00DE0DC1"/>
    <w:rsid w:val="00DE0F43"/>
    <w:rsid w:val="00DE0F73"/>
    <w:rsid w:val="00DE0F96"/>
    <w:rsid w:val="00DE0FD3"/>
    <w:rsid w:val="00DE102A"/>
    <w:rsid w:val="00DE1159"/>
    <w:rsid w:val="00DE1245"/>
    <w:rsid w:val="00DE12F6"/>
    <w:rsid w:val="00DE1324"/>
    <w:rsid w:val="00DE13D6"/>
    <w:rsid w:val="00DE153E"/>
    <w:rsid w:val="00DE1559"/>
    <w:rsid w:val="00DE156E"/>
    <w:rsid w:val="00DE182A"/>
    <w:rsid w:val="00DE1866"/>
    <w:rsid w:val="00DE19ED"/>
    <w:rsid w:val="00DE1A15"/>
    <w:rsid w:val="00DE1A1B"/>
    <w:rsid w:val="00DE1B65"/>
    <w:rsid w:val="00DE1B91"/>
    <w:rsid w:val="00DE1CEF"/>
    <w:rsid w:val="00DE1D73"/>
    <w:rsid w:val="00DE1DB3"/>
    <w:rsid w:val="00DE1DF7"/>
    <w:rsid w:val="00DE2019"/>
    <w:rsid w:val="00DE2178"/>
    <w:rsid w:val="00DE21B7"/>
    <w:rsid w:val="00DE220C"/>
    <w:rsid w:val="00DE23CF"/>
    <w:rsid w:val="00DE23D4"/>
    <w:rsid w:val="00DE245C"/>
    <w:rsid w:val="00DE25BC"/>
    <w:rsid w:val="00DE269E"/>
    <w:rsid w:val="00DE276D"/>
    <w:rsid w:val="00DE2791"/>
    <w:rsid w:val="00DE2845"/>
    <w:rsid w:val="00DE2999"/>
    <w:rsid w:val="00DE2BAF"/>
    <w:rsid w:val="00DE2BC5"/>
    <w:rsid w:val="00DE3017"/>
    <w:rsid w:val="00DE3239"/>
    <w:rsid w:val="00DE3346"/>
    <w:rsid w:val="00DE33CC"/>
    <w:rsid w:val="00DE34E0"/>
    <w:rsid w:val="00DE357E"/>
    <w:rsid w:val="00DE369E"/>
    <w:rsid w:val="00DE3746"/>
    <w:rsid w:val="00DE3785"/>
    <w:rsid w:val="00DE37BB"/>
    <w:rsid w:val="00DE3874"/>
    <w:rsid w:val="00DE391D"/>
    <w:rsid w:val="00DE3966"/>
    <w:rsid w:val="00DE397C"/>
    <w:rsid w:val="00DE398E"/>
    <w:rsid w:val="00DE39F4"/>
    <w:rsid w:val="00DE3CA2"/>
    <w:rsid w:val="00DE3EAE"/>
    <w:rsid w:val="00DE4209"/>
    <w:rsid w:val="00DE43C6"/>
    <w:rsid w:val="00DE440E"/>
    <w:rsid w:val="00DE446B"/>
    <w:rsid w:val="00DE4546"/>
    <w:rsid w:val="00DE47DE"/>
    <w:rsid w:val="00DE4926"/>
    <w:rsid w:val="00DE4958"/>
    <w:rsid w:val="00DE497C"/>
    <w:rsid w:val="00DE49E6"/>
    <w:rsid w:val="00DE4A32"/>
    <w:rsid w:val="00DE4B84"/>
    <w:rsid w:val="00DE4B9F"/>
    <w:rsid w:val="00DE4CF3"/>
    <w:rsid w:val="00DE4D49"/>
    <w:rsid w:val="00DE4DF1"/>
    <w:rsid w:val="00DE4DF9"/>
    <w:rsid w:val="00DE4F16"/>
    <w:rsid w:val="00DE50C1"/>
    <w:rsid w:val="00DE5168"/>
    <w:rsid w:val="00DE5351"/>
    <w:rsid w:val="00DE5392"/>
    <w:rsid w:val="00DE53AE"/>
    <w:rsid w:val="00DE541C"/>
    <w:rsid w:val="00DE546D"/>
    <w:rsid w:val="00DE54D0"/>
    <w:rsid w:val="00DE5520"/>
    <w:rsid w:val="00DE55E4"/>
    <w:rsid w:val="00DE5662"/>
    <w:rsid w:val="00DE56D5"/>
    <w:rsid w:val="00DE5774"/>
    <w:rsid w:val="00DE580D"/>
    <w:rsid w:val="00DE58CD"/>
    <w:rsid w:val="00DE5967"/>
    <w:rsid w:val="00DE5A6B"/>
    <w:rsid w:val="00DE5A7C"/>
    <w:rsid w:val="00DE5A99"/>
    <w:rsid w:val="00DE5B78"/>
    <w:rsid w:val="00DE5C76"/>
    <w:rsid w:val="00DE5CAC"/>
    <w:rsid w:val="00DE5E61"/>
    <w:rsid w:val="00DE5F66"/>
    <w:rsid w:val="00DE5F97"/>
    <w:rsid w:val="00DE5FC1"/>
    <w:rsid w:val="00DE6015"/>
    <w:rsid w:val="00DE616C"/>
    <w:rsid w:val="00DE619B"/>
    <w:rsid w:val="00DE61D0"/>
    <w:rsid w:val="00DE630E"/>
    <w:rsid w:val="00DE6317"/>
    <w:rsid w:val="00DE6324"/>
    <w:rsid w:val="00DE636E"/>
    <w:rsid w:val="00DE63EC"/>
    <w:rsid w:val="00DE642B"/>
    <w:rsid w:val="00DE64C3"/>
    <w:rsid w:val="00DE6564"/>
    <w:rsid w:val="00DE6583"/>
    <w:rsid w:val="00DE66E9"/>
    <w:rsid w:val="00DE6731"/>
    <w:rsid w:val="00DE6864"/>
    <w:rsid w:val="00DE6BAA"/>
    <w:rsid w:val="00DE6CD8"/>
    <w:rsid w:val="00DE6D6D"/>
    <w:rsid w:val="00DE6D88"/>
    <w:rsid w:val="00DE6DED"/>
    <w:rsid w:val="00DE6E19"/>
    <w:rsid w:val="00DE6E87"/>
    <w:rsid w:val="00DE7025"/>
    <w:rsid w:val="00DE7053"/>
    <w:rsid w:val="00DE7217"/>
    <w:rsid w:val="00DE72D4"/>
    <w:rsid w:val="00DE7568"/>
    <w:rsid w:val="00DE759E"/>
    <w:rsid w:val="00DE7612"/>
    <w:rsid w:val="00DE779B"/>
    <w:rsid w:val="00DE78AC"/>
    <w:rsid w:val="00DE7A2D"/>
    <w:rsid w:val="00DE7AC6"/>
    <w:rsid w:val="00DE7B3A"/>
    <w:rsid w:val="00DE7B5F"/>
    <w:rsid w:val="00DE7CF0"/>
    <w:rsid w:val="00DE7F29"/>
    <w:rsid w:val="00DE7F44"/>
    <w:rsid w:val="00DF00B7"/>
    <w:rsid w:val="00DF0177"/>
    <w:rsid w:val="00DF0234"/>
    <w:rsid w:val="00DF060D"/>
    <w:rsid w:val="00DF07F1"/>
    <w:rsid w:val="00DF080C"/>
    <w:rsid w:val="00DF08AF"/>
    <w:rsid w:val="00DF0977"/>
    <w:rsid w:val="00DF09C5"/>
    <w:rsid w:val="00DF0ADF"/>
    <w:rsid w:val="00DF0D77"/>
    <w:rsid w:val="00DF0E9B"/>
    <w:rsid w:val="00DF1223"/>
    <w:rsid w:val="00DF1270"/>
    <w:rsid w:val="00DF1330"/>
    <w:rsid w:val="00DF154B"/>
    <w:rsid w:val="00DF180A"/>
    <w:rsid w:val="00DF180E"/>
    <w:rsid w:val="00DF18E2"/>
    <w:rsid w:val="00DF1902"/>
    <w:rsid w:val="00DF19B6"/>
    <w:rsid w:val="00DF1A2B"/>
    <w:rsid w:val="00DF1B76"/>
    <w:rsid w:val="00DF1B77"/>
    <w:rsid w:val="00DF1BFB"/>
    <w:rsid w:val="00DF1DE5"/>
    <w:rsid w:val="00DF200B"/>
    <w:rsid w:val="00DF2096"/>
    <w:rsid w:val="00DF2162"/>
    <w:rsid w:val="00DF22BD"/>
    <w:rsid w:val="00DF2596"/>
    <w:rsid w:val="00DF260E"/>
    <w:rsid w:val="00DF2674"/>
    <w:rsid w:val="00DF273E"/>
    <w:rsid w:val="00DF29A4"/>
    <w:rsid w:val="00DF2AE9"/>
    <w:rsid w:val="00DF2C1C"/>
    <w:rsid w:val="00DF2C2E"/>
    <w:rsid w:val="00DF2DF1"/>
    <w:rsid w:val="00DF2DF8"/>
    <w:rsid w:val="00DF3082"/>
    <w:rsid w:val="00DF30B2"/>
    <w:rsid w:val="00DF30D4"/>
    <w:rsid w:val="00DF313B"/>
    <w:rsid w:val="00DF3215"/>
    <w:rsid w:val="00DF3417"/>
    <w:rsid w:val="00DF3774"/>
    <w:rsid w:val="00DF384C"/>
    <w:rsid w:val="00DF3B87"/>
    <w:rsid w:val="00DF3C42"/>
    <w:rsid w:val="00DF3D3E"/>
    <w:rsid w:val="00DF3E58"/>
    <w:rsid w:val="00DF3E60"/>
    <w:rsid w:val="00DF4109"/>
    <w:rsid w:val="00DF424C"/>
    <w:rsid w:val="00DF45F5"/>
    <w:rsid w:val="00DF4662"/>
    <w:rsid w:val="00DF4979"/>
    <w:rsid w:val="00DF49D6"/>
    <w:rsid w:val="00DF49E3"/>
    <w:rsid w:val="00DF4A05"/>
    <w:rsid w:val="00DF4A2B"/>
    <w:rsid w:val="00DF4A2C"/>
    <w:rsid w:val="00DF4B7D"/>
    <w:rsid w:val="00DF4C77"/>
    <w:rsid w:val="00DF4CBD"/>
    <w:rsid w:val="00DF4D53"/>
    <w:rsid w:val="00DF503C"/>
    <w:rsid w:val="00DF5062"/>
    <w:rsid w:val="00DF50DF"/>
    <w:rsid w:val="00DF51B4"/>
    <w:rsid w:val="00DF51D9"/>
    <w:rsid w:val="00DF56DF"/>
    <w:rsid w:val="00DF58AB"/>
    <w:rsid w:val="00DF59B2"/>
    <w:rsid w:val="00DF59D2"/>
    <w:rsid w:val="00DF5A6C"/>
    <w:rsid w:val="00DF5A84"/>
    <w:rsid w:val="00DF5CAD"/>
    <w:rsid w:val="00DF5CD2"/>
    <w:rsid w:val="00DF5D3C"/>
    <w:rsid w:val="00DF5E51"/>
    <w:rsid w:val="00DF5FCD"/>
    <w:rsid w:val="00DF60F7"/>
    <w:rsid w:val="00DF6269"/>
    <w:rsid w:val="00DF6274"/>
    <w:rsid w:val="00DF6521"/>
    <w:rsid w:val="00DF65A7"/>
    <w:rsid w:val="00DF6C38"/>
    <w:rsid w:val="00DF6C62"/>
    <w:rsid w:val="00DF6C8C"/>
    <w:rsid w:val="00DF6CEA"/>
    <w:rsid w:val="00DF6D38"/>
    <w:rsid w:val="00DF6E6C"/>
    <w:rsid w:val="00DF71E9"/>
    <w:rsid w:val="00DF71F8"/>
    <w:rsid w:val="00DF71FE"/>
    <w:rsid w:val="00DF726D"/>
    <w:rsid w:val="00DF72AB"/>
    <w:rsid w:val="00DF72D5"/>
    <w:rsid w:val="00DF7300"/>
    <w:rsid w:val="00DF7477"/>
    <w:rsid w:val="00DF755F"/>
    <w:rsid w:val="00DF765D"/>
    <w:rsid w:val="00DF768E"/>
    <w:rsid w:val="00DF7875"/>
    <w:rsid w:val="00DF7879"/>
    <w:rsid w:val="00DF792F"/>
    <w:rsid w:val="00DF7AAF"/>
    <w:rsid w:val="00DF7AD7"/>
    <w:rsid w:val="00DF7C37"/>
    <w:rsid w:val="00DF7D62"/>
    <w:rsid w:val="00DF7D97"/>
    <w:rsid w:val="00DF7E2E"/>
    <w:rsid w:val="00DF7F7A"/>
    <w:rsid w:val="00DF7F92"/>
    <w:rsid w:val="00E00044"/>
    <w:rsid w:val="00E00167"/>
    <w:rsid w:val="00E004DD"/>
    <w:rsid w:val="00E004DE"/>
    <w:rsid w:val="00E004FB"/>
    <w:rsid w:val="00E005DD"/>
    <w:rsid w:val="00E007C9"/>
    <w:rsid w:val="00E0086E"/>
    <w:rsid w:val="00E00879"/>
    <w:rsid w:val="00E00C63"/>
    <w:rsid w:val="00E00E08"/>
    <w:rsid w:val="00E01026"/>
    <w:rsid w:val="00E012E0"/>
    <w:rsid w:val="00E013CA"/>
    <w:rsid w:val="00E01424"/>
    <w:rsid w:val="00E0165B"/>
    <w:rsid w:val="00E01695"/>
    <w:rsid w:val="00E0178F"/>
    <w:rsid w:val="00E0183B"/>
    <w:rsid w:val="00E0188B"/>
    <w:rsid w:val="00E01A38"/>
    <w:rsid w:val="00E01A55"/>
    <w:rsid w:val="00E01B53"/>
    <w:rsid w:val="00E01B78"/>
    <w:rsid w:val="00E01B90"/>
    <w:rsid w:val="00E01B9F"/>
    <w:rsid w:val="00E01BFF"/>
    <w:rsid w:val="00E01CDD"/>
    <w:rsid w:val="00E01CF5"/>
    <w:rsid w:val="00E01D60"/>
    <w:rsid w:val="00E01E8D"/>
    <w:rsid w:val="00E01EE6"/>
    <w:rsid w:val="00E021CF"/>
    <w:rsid w:val="00E02205"/>
    <w:rsid w:val="00E0220C"/>
    <w:rsid w:val="00E023A6"/>
    <w:rsid w:val="00E023EE"/>
    <w:rsid w:val="00E02407"/>
    <w:rsid w:val="00E024CB"/>
    <w:rsid w:val="00E02521"/>
    <w:rsid w:val="00E02633"/>
    <w:rsid w:val="00E02719"/>
    <w:rsid w:val="00E02820"/>
    <w:rsid w:val="00E02825"/>
    <w:rsid w:val="00E02AB4"/>
    <w:rsid w:val="00E02ABA"/>
    <w:rsid w:val="00E02AFC"/>
    <w:rsid w:val="00E02B2A"/>
    <w:rsid w:val="00E02C41"/>
    <w:rsid w:val="00E02E50"/>
    <w:rsid w:val="00E02EFF"/>
    <w:rsid w:val="00E02F27"/>
    <w:rsid w:val="00E0313E"/>
    <w:rsid w:val="00E0323D"/>
    <w:rsid w:val="00E03344"/>
    <w:rsid w:val="00E036F5"/>
    <w:rsid w:val="00E039A5"/>
    <w:rsid w:val="00E03A14"/>
    <w:rsid w:val="00E03A43"/>
    <w:rsid w:val="00E03AB1"/>
    <w:rsid w:val="00E03B5D"/>
    <w:rsid w:val="00E03CFA"/>
    <w:rsid w:val="00E03DD3"/>
    <w:rsid w:val="00E03E1D"/>
    <w:rsid w:val="00E04198"/>
    <w:rsid w:val="00E04304"/>
    <w:rsid w:val="00E04387"/>
    <w:rsid w:val="00E043A3"/>
    <w:rsid w:val="00E0444C"/>
    <w:rsid w:val="00E044C2"/>
    <w:rsid w:val="00E045A3"/>
    <w:rsid w:val="00E045F0"/>
    <w:rsid w:val="00E04D0C"/>
    <w:rsid w:val="00E04E2B"/>
    <w:rsid w:val="00E04E87"/>
    <w:rsid w:val="00E04EF2"/>
    <w:rsid w:val="00E04FC6"/>
    <w:rsid w:val="00E050CC"/>
    <w:rsid w:val="00E050F5"/>
    <w:rsid w:val="00E0516B"/>
    <w:rsid w:val="00E0522F"/>
    <w:rsid w:val="00E05295"/>
    <w:rsid w:val="00E052A4"/>
    <w:rsid w:val="00E0530F"/>
    <w:rsid w:val="00E053F0"/>
    <w:rsid w:val="00E053F3"/>
    <w:rsid w:val="00E056F4"/>
    <w:rsid w:val="00E0571C"/>
    <w:rsid w:val="00E05778"/>
    <w:rsid w:val="00E05FA3"/>
    <w:rsid w:val="00E0602E"/>
    <w:rsid w:val="00E06059"/>
    <w:rsid w:val="00E060BC"/>
    <w:rsid w:val="00E06517"/>
    <w:rsid w:val="00E066C3"/>
    <w:rsid w:val="00E06807"/>
    <w:rsid w:val="00E06866"/>
    <w:rsid w:val="00E06A60"/>
    <w:rsid w:val="00E06D87"/>
    <w:rsid w:val="00E06DDE"/>
    <w:rsid w:val="00E06DEF"/>
    <w:rsid w:val="00E070BA"/>
    <w:rsid w:val="00E071ED"/>
    <w:rsid w:val="00E072B6"/>
    <w:rsid w:val="00E0748D"/>
    <w:rsid w:val="00E0756A"/>
    <w:rsid w:val="00E0757A"/>
    <w:rsid w:val="00E07773"/>
    <w:rsid w:val="00E07877"/>
    <w:rsid w:val="00E0789C"/>
    <w:rsid w:val="00E078A3"/>
    <w:rsid w:val="00E07970"/>
    <w:rsid w:val="00E07B8E"/>
    <w:rsid w:val="00E07C3E"/>
    <w:rsid w:val="00E07DCE"/>
    <w:rsid w:val="00E07F79"/>
    <w:rsid w:val="00E07F98"/>
    <w:rsid w:val="00E07FAC"/>
    <w:rsid w:val="00E07FD3"/>
    <w:rsid w:val="00E102BC"/>
    <w:rsid w:val="00E105D2"/>
    <w:rsid w:val="00E105EB"/>
    <w:rsid w:val="00E107F4"/>
    <w:rsid w:val="00E10993"/>
    <w:rsid w:val="00E109FD"/>
    <w:rsid w:val="00E10C22"/>
    <w:rsid w:val="00E10C40"/>
    <w:rsid w:val="00E10C50"/>
    <w:rsid w:val="00E10CA5"/>
    <w:rsid w:val="00E10D74"/>
    <w:rsid w:val="00E10DA1"/>
    <w:rsid w:val="00E10E35"/>
    <w:rsid w:val="00E1103D"/>
    <w:rsid w:val="00E110C2"/>
    <w:rsid w:val="00E1110D"/>
    <w:rsid w:val="00E11116"/>
    <w:rsid w:val="00E111A0"/>
    <w:rsid w:val="00E1129D"/>
    <w:rsid w:val="00E1145B"/>
    <w:rsid w:val="00E114C8"/>
    <w:rsid w:val="00E1154B"/>
    <w:rsid w:val="00E1165F"/>
    <w:rsid w:val="00E1198A"/>
    <w:rsid w:val="00E11ACE"/>
    <w:rsid w:val="00E11AE7"/>
    <w:rsid w:val="00E11C37"/>
    <w:rsid w:val="00E11D28"/>
    <w:rsid w:val="00E11FC2"/>
    <w:rsid w:val="00E120AC"/>
    <w:rsid w:val="00E1216B"/>
    <w:rsid w:val="00E12175"/>
    <w:rsid w:val="00E1224B"/>
    <w:rsid w:val="00E123BD"/>
    <w:rsid w:val="00E123D7"/>
    <w:rsid w:val="00E125CB"/>
    <w:rsid w:val="00E1268D"/>
    <w:rsid w:val="00E1278D"/>
    <w:rsid w:val="00E127D9"/>
    <w:rsid w:val="00E127FF"/>
    <w:rsid w:val="00E12822"/>
    <w:rsid w:val="00E12AFE"/>
    <w:rsid w:val="00E12EF1"/>
    <w:rsid w:val="00E130DD"/>
    <w:rsid w:val="00E131E0"/>
    <w:rsid w:val="00E131E7"/>
    <w:rsid w:val="00E1323B"/>
    <w:rsid w:val="00E13490"/>
    <w:rsid w:val="00E1351C"/>
    <w:rsid w:val="00E137D4"/>
    <w:rsid w:val="00E139AE"/>
    <w:rsid w:val="00E13B01"/>
    <w:rsid w:val="00E13B69"/>
    <w:rsid w:val="00E13BE9"/>
    <w:rsid w:val="00E13C68"/>
    <w:rsid w:val="00E13D0D"/>
    <w:rsid w:val="00E13DEB"/>
    <w:rsid w:val="00E13EAD"/>
    <w:rsid w:val="00E13EC0"/>
    <w:rsid w:val="00E14213"/>
    <w:rsid w:val="00E14361"/>
    <w:rsid w:val="00E14445"/>
    <w:rsid w:val="00E144CD"/>
    <w:rsid w:val="00E144FC"/>
    <w:rsid w:val="00E1460F"/>
    <w:rsid w:val="00E1469B"/>
    <w:rsid w:val="00E14705"/>
    <w:rsid w:val="00E14742"/>
    <w:rsid w:val="00E1486D"/>
    <w:rsid w:val="00E14879"/>
    <w:rsid w:val="00E14A54"/>
    <w:rsid w:val="00E14DEB"/>
    <w:rsid w:val="00E14F89"/>
    <w:rsid w:val="00E15139"/>
    <w:rsid w:val="00E151B6"/>
    <w:rsid w:val="00E153B1"/>
    <w:rsid w:val="00E155DA"/>
    <w:rsid w:val="00E15609"/>
    <w:rsid w:val="00E15742"/>
    <w:rsid w:val="00E1608D"/>
    <w:rsid w:val="00E160F7"/>
    <w:rsid w:val="00E16198"/>
    <w:rsid w:val="00E161EE"/>
    <w:rsid w:val="00E16272"/>
    <w:rsid w:val="00E16366"/>
    <w:rsid w:val="00E165CD"/>
    <w:rsid w:val="00E16685"/>
    <w:rsid w:val="00E167AD"/>
    <w:rsid w:val="00E16A07"/>
    <w:rsid w:val="00E16B9F"/>
    <w:rsid w:val="00E16BD7"/>
    <w:rsid w:val="00E16D3A"/>
    <w:rsid w:val="00E16D94"/>
    <w:rsid w:val="00E16E83"/>
    <w:rsid w:val="00E16F06"/>
    <w:rsid w:val="00E170CA"/>
    <w:rsid w:val="00E172CF"/>
    <w:rsid w:val="00E1749D"/>
    <w:rsid w:val="00E17574"/>
    <w:rsid w:val="00E1761F"/>
    <w:rsid w:val="00E1774E"/>
    <w:rsid w:val="00E1780D"/>
    <w:rsid w:val="00E17847"/>
    <w:rsid w:val="00E17868"/>
    <w:rsid w:val="00E178F5"/>
    <w:rsid w:val="00E1793D"/>
    <w:rsid w:val="00E1794E"/>
    <w:rsid w:val="00E179B3"/>
    <w:rsid w:val="00E17B0A"/>
    <w:rsid w:val="00E17C95"/>
    <w:rsid w:val="00E17E3D"/>
    <w:rsid w:val="00E17F0D"/>
    <w:rsid w:val="00E20028"/>
    <w:rsid w:val="00E20185"/>
    <w:rsid w:val="00E2019E"/>
    <w:rsid w:val="00E202F5"/>
    <w:rsid w:val="00E20391"/>
    <w:rsid w:val="00E203B4"/>
    <w:rsid w:val="00E204AF"/>
    <w:rsid w:val="00E207B6"/>
    <w:rsid w:val="00E207FD"/>
    <w:rsid w:val="00E2084D"/>
    <w:rsid w:val="00E20A13"/>
    <w:rsid w:val="00E20A72"/>
    <w:rsid w:val="00E20BD1"/>
    <w:rsid w:val="00E20D2D"/>
    <w:rsid w:val="00E20E00"/>
    <w:rsid w:val="00E20E2A"/>
    <w:rsid w:val="00E20F0F"/>
    <w:rsid w:val="00E20F30"/>
    <w:rsid w:val="00E2101C"/>
    <w:rsid w:val="00E210CE"/>
    <w:rsid w:val="00E2127F"/>
    <w:rsid w:val="00E21282"/>
    <w:rsid w:val="00E212C1"/>
    <w:rsid w:val="00E21481"/>
    <w:rsid w:val="00E21615"/>
    <w:rsid w:val="00E216C1"/>
    <w:rsid w:val="00E2177D"/>
    <w:rsid w:val="00E2177E"/>
    <w:rsid w:val="00E217B2"/>
    <w:rsid w:val="00E217C4"/>
    <w:rsid w:val="00E217F5"/>
    <w:rsid w:val="00E21857"/>
    <w:rsid w:val="00E218A4"/>
    <w:rsid w:val="00E218C0"/>
    <w:rsid w:val="00E21946"/>
    <w:rsid w:val="00E21962"/>
    <w:rsid w:val="00E2198F"/>
    <w:rsid w:val="00E219DB"/>
    <w:rsid w:val="00E21A2D"/>
    <w:rsid w:val="00E21A80"/>
    <w:rsid w:val="00E21C35"/>
    <w:rsid w:val="00E21D59"/>
    <w:rsid w:val="00E21FD2"/>
    <w:rsid w:val="00E22204"/>
    <w:rsid w:val="00E2221F"/>
    <w:rsid w:val="00E223BC"/>
    <w:rsid w:val="00E229CD"/>
    <w:rsid w:val="00E22B7E"/>
    <w:rsid w:val="00E22D9B"/>
    <w:rsid w:val="00E22E19"/>
    <w:rsid w:val="00E22E2E"/>
    <w:rsid w:val="00E22F75"/>
    <w:rsid w:val="00E230AA"/>
    <w:rsid w:val="00E231E5"/>
    <w:rsid w:val="00E2329C"/>
    <w:rsid w:val="00E232C8"/>
    <w:rsid w:val="00E23331"/>
    <w:rsid w:val="00E23449"/>
    <w:rsid w:val="00E234A4"/>
    <w:rsid w:val="00E234C1"/>
    <w:rsid w:val="00E234E4"/>
    <w:rsid w:val="00E2351B"/>
    <w:rsid w:val="00E2354E"/>
    <w:rsid w:val="00E2366C"/>
    <w:rsid w:val="00E23809"/>
    <w:rsid w:val="00E23825"/>
    <w:rsid w:val="00E2385B"/>
    <w:rsid w:val="00E23937"/>
    <w:rsid w:val="00E2399D"/>
    <w:rsid w:val="00E23B80"/>
    <w:rsid w:val="00E24167"/>
    <w:rsid w:val="00E24177"/>
    <w:rsid w:val="00E24310"/>
    <w:rsid w:val="00E243C2"/>
    <w:rsid w:val="00E244BA"/>
    <w:rsid w:val="00E244DF"/>
    <w:rsid w:val="00E24501"/>
    <w:rsid w:val="00E24532"/>
    <w:rsid w:val="00E246A1"/>
    <w:rsid w:val="00E24710"/>
    <w:rsid w:val="00E24745"/>
    <w:rsid w:val="00E24832"/>
    <w:rsid w:val="00E24891"/>
    <w:rsid w:val="00E24A4A"/>
    <w:rsid w:val="00E24B68"/>
    <w:rsid w:val="00E24BAF"/>
    <w:rsid w:val="00E24CCB"/>
    <w:rsid w:val="00E24EA8"/>
    <w:rsid w:val="00E24ED5"/>
    <w:rsid w:val="00E24F1E"/>
    <w:rsid w:val="00E24F8D"/>
    <w:rsid w:val="00E24F9F"/>
    <w:rsid w:val="00E24FD1"/>
    <w:rsid w:val="00E25090"/>
    <w:rsid w:val="00E250F4"/>
    <w:rsid w:val="00E251B3"/>
    <w:rsid w:val="00E2548F"/>
    <w:rsid w:val="00E256D6"/>
    <w:rsid w:val="00E258BB"/>
    <w:rsid w:val="00E258D9"/>
    <w:rsid w:val="00E258DC"/>
    <w:rsid w:val="00E258FC"/>
    <w:rsid w:val="00E25A11"/>
    <w:rsid w:val="00E25DED"/>
    <w:rsid w:val="00E25E3B"/>
    <w:rsid w:val="00E25F6A"/>
    <w:rsid w:val="00E25F88"/>
    <w:rsid w:val="00E2620D"/>
    <w:rsid w:val="00E262DF"/>
    <w:rsid w:val="00E26310"/>
    <w:rsid w:val="00E2641C"/>
    <w:rsid w:val="00E264E5"/>
    <w:rsid w:val="00E264FD"/>
    <w:rsid w:val="00E2654C"/>
    <w:rsid w:val="00E26787"/>
    <w:rsid w:val="00E267AA"/>
    <w:rsid w:val="00E26921"/>
    <w:rsid w:val="00E2692E"/>
    <w:rsid w:val="00E269C1"/>
    <w:rsid w:val="00E26A6C"/>
    <w:rsid w:val="00E26CC8"/>
    <w:rsid w:val="00E26CFC"/>
    <w:rsid w:val="00E26F54"/>
    <w:rsid w:val="00E27072"/>
    <w:rsid w:val="00E2711A"/>
    <w:rsid w:val="00E27395"/>
    <w:rsid w:val="00E274DE"/>
    <w:rsid w:val="00E2758F"/>
    <w:rsid w:val="00E275D6"/>
    <w:rsid w:val="00E27674"/>
    <w:rsid w:val="00E27724"/>
    <w:rsid w:val="00E277C1"/>
    <w:rsid w:val="00E2781A"/>
    <w:rsid w:val="00E2784D"/>
    <w:rsid w:val="00E27A78"/>
    <w:rsid w:val="00E27B39"/>
    <w:rsid w:val="00E27B6C"/>
    <w:rsid w:val="00E27C91"/>
    <w:rsid w:val="00E27C96"/>
    <w:rsid w:val="00E27DB1"/>
    <w:rsid w:val="00E27E5D"/>
    <w:rsid w:val="00E3004A"/>
    <w:rsid w:val="00E3033F"/>
    <w:rsid w:val="00E303B8"/>
    <w:rsid w:val="00E30592"/>
    <w:rsid w:val="00E30751"/>
    <w:rsid w:val="00E30973"/>
    <w:rsid w:val="00E30A1E"/>
    <w:rsid w:val="00E30A45"/>
    <w:rsid w:val="00E30CA3"/>
    <w:rsid w:val="00E30E95"/>
    <w:rsid w:val="00E311D5"/>
    <w:rsid w:val="00E3155D"/>
    <w:rsid w:val="00E3156A"/>
    <w:rsid w:val="00E318F2"/>
    <w:rsid w:val="00E3198D"/>
    <w:rsid w:val="00E31AF7"/>
    <w:rsid w:val="00E320D2"/>
    <w:rsid w:val="00E3224F"/>
    <w:rsid w:val="00E322EB"/>
    <w:rsid w:val="00E3234E"/>
    <w:rsid w:val="00E32383"/>
    <w:rsid w:val="00E32389"/>
    <w:rsid w:val="00E324C1"/>
    <w:rsid w:val="00E32532"/>
    <w:rsid w:val="00E327B8"/>
    <w:rsid w:val="00E329AF"/>
    <w:rsid w:val="00E32AA8"/>
    <w:rsid w:val="00E32BA0"/>
    <w:rsid w:val="00E32C94"/>
    <w:rsid w:val="00E32CC6"/>
    <w:rsid w:val="00E32F55"/>
    <w:rsid w:val="00E33237"/>
    <w:rsid w:val="00E332CF"/>
    <w:rsid w:val="00E336AE"/>
    <w:rsid w:val="00E337EB"/>
    <w:rsid w:val="00E3385A"/>
    <w:rsid w:val="00E3388E"/>
    <w:rsid w:val="00E3399B"/>
    <w:rsid w:val="00E339D0"/>
    <w:rsid w:val="00E33A64"/>
    <w:rsid w:val="00E33B62"/>
    <w:rsid w:val="00E33BCC"/>
    <w:rsid w:val="00E33C99"/>
    <w:rsid w:val="00E33E35"/>
    <w:rsid w:val="00E33EF1"/>
    <w:rsid w:val="00E33FD7"/>
    <w:rsid w:val="00E34019"/>
    <w:rsid w:val="00E3443E"/>
    <w:rsid w:val="00E34484"/>
    <w:rsid w:val="00E345EE"/>
    <w:rsid w:val="00E34691"/>
    <w:rsid w:val="00E3474A"/>
    <w:rsid w:val="00E34906"/>
    <w:rsid w:val="00E34B03"/>
    <w:rsid w:val="00E34D75"/>
    <w:rsid w:val="00E34E8B"/>
    <w:rsid w:val="00E35059"/>
    <w:rsid w:val="00E351D3"/>
    <w:rsid w:val="00E35293"/>
    <w:rsid w:val="00E35335"/>
    <w:rsid w:val="00E3537F"/>
    <w:rsid w:val="00E35381"/>
    <w:rsid w:val="00E353D6"/>
    <w:rsid w:val="00E35499"/>
    <w:rsid w:val="00E35525"/>
    <w:rsid w:val="00E355F0"/>
    <w:rsid w:val="00E35659"/>
    <w:rsid w:val="00E356AB"/>
    <w:rsid w:val="00E356BE"/>
    <w:rsid w:val="00E35795"/>
    <w:rsid w:val="00E35892"/>
    <w:rsid w:val="00E359FA"/>
    <w:rsid w:val="00E35A08"/>
    <w:rsid w:val="00E35AE6"/>
    <w:rsid w:val="00E35B2E"/>
    <w:rsid w:val="00E35B3C"/>
    <w:rsid w:val="00E35BAA"/>
    <w:rsid w:val="00E35DE8"/>
    <w:rsid w:val="00E36175"/>
    <w:rsid w:val="00E36355"/>
    <w:rsid w:val="00E363C3"/>
    <w:rsid w:val="00E3674E"/>
    <w:rsid w:val="00E36968"/>
    <w:rsid w:val="00E36A26"/>
    <w:rsid w:val="00E36BB6"/>
    <w:rsid w:val="00E36E1D"/>
    <w:rsid w:val="00E36ED0"/>
    <w:rsid w:val="00E36EDA"/>
    <w:rsid w:val="00E36F62"/>
    <w:rsid w:val="00E3708C"/>
    <w:rsid w:val="00E370FA"/>
    <w:rsid w:val="00E37100"/>
    <w:rsid w:val="00E37272"/>
    <w:rsid w:val="00E3742A"/>
    <w:rsid w:val="00E374F8"/>
    <w:rsid w:val="00E376CE"/>
    <w:rsid w:val="00E3770D"/>
    <w:rsid w:val="00E37760"/>
    <w:rsid w:val="00E378D0"/>
    <w:rsid w:val="00E379A1"/>
    <w:rsid w:val="00E379EB"/>
    <w:rsid w:val="00E37A6E"/>
    <w:rsid w:val="00E37AF9"/>
    <w:rsid w:val="00E37B47"/>
    <w:rsid w:val="00E37B4B"/>
    <w:rsid w:val="00E37BAD"/>
    <w:rsid w:val="00E37C4D"/>
    <w:rsid w:val="00E37EB7"/>
    <w:rsid w:val="00E37EC1"/>
    <w:rsid w:val="00E37F1F"/>
    <w:rsid w:val="00E40003"/>
    <w:rsid w:val="00E40388"/>
    <w:rsid w:val="00E403A8"/>
    <w:rsid w:val="00E4042E"/>
    <w:rsid w:val="00E40472"/>
    <w:rsid w:val="00E404B1"/>
    <w:rsid w:val="00E4060C"/>
    <w:rsid w:val="00E40714"/>
    <w:rsid w:val="00E40734"/>
    <w:rsid w:val="00E40864"/>
    <w:rsid w:val="00E40893"/>
    <w:rsid w:val="00E40971"/>
    <w:rsid w:val="00E40984"/>
    <w:rsid w:val="00E40A13"/>
    <w:rsid w:val="00E40B3F"/>
    <w:rsid w:val="00E40D30"/>
    <w:rsid w:val="00E40D33"/>
    <w:rsid w:val="00E40D7F"/>
    <w:rsid w:val="00E40ED3"/>
    <w:rsid w:val="00E41013"/>
    <w:rsid w:val="00E4123B"/>
    <w:rsid w:val="00E41573"/>
    <w:rsid w:val="00E41629"/>
    <w:rsid w:val="00E41779"/>
    <w:rsid w:val="00E417F3"/>
    <w:rsid w:val="00E41AC9"/>
    <w:rsid w:val="00E41AD7"/>
    <w:rsid w:val="00E41B15"/>
    <w:rsid w:val="00E41C18"/>
    <w:rsid w:val="00E41CB3"/>
    <w:rsid w:val="00E41D97"/>
    <w:rsid w:val="00E41E76"/>
    <w:rsid w:val="00E41FE6"/>
    <w:rsid w:val="00E42232"/>
    <w:rsid w:val="00E4225B"/>
    <w:rsid w:val="00E4227D"/>
    <w:rsid w:val="00E425B9"/>
    <w:rsid w:val="00E42777"/>
    <w:rsid w:val="00E42894"/>
    <w:rsid w:val="00E4289F"/>
    <w:rsid w:val="00E42A0D"/>
    <w:rsid w:val="00E42B39"/>
    <w:rsid w:val="00E42C15"/>
    <w:rsid w:val="00E42DC8"/>
    <w:rsid w:val="00E42DCB"/>
    <w:rsid w:val="00E42FC4"/>
    <w:rsid w:val="00E430D6"/>
    <w:rsid w:val="00E43193"/>
    <w:rsid w:val="00E431A5"/>
    <w:rsid w:val="00E4332F"/>
    <w:rsid w:val="00E4337F"/>
    <w:rsid w:val="00E4348C"/>
    <w:rsid w:val="00E43518"/>
    <w:rsid w:val="00E435FA"/>
    <w:rsid w:val="00E43661"/>
    <w:rsid w:val="00E4379E"/>
    <w:rsid w:val="00E439A6"/>
    <w:rsid w:val="00E43B1B"/>
    <w:rsid w:val="00E43B4D"/>
    <w:rsid w:val="00E43B7B"/>
    <w:rsid w:val="00E43D9C"/>
    <w:rsid w:val="00E43E2E"/>
    <w:rsid w:val="00E43F18"/>
    <w:rsid w:val="00E4401B"/>
    <w:rsid w:val="00E440AA"/>
    <w:rsid w:val="00E44170"/>
    <w:rsid w:val="00E4420C"/>
    <w:rsid w:val="00E442A6"/>
    <w:rsid w:val="00E4433B"/>
    <w:rsid w:val="00E444C6"/>
    <w:rsid w:val="00E444E3"/>
    <w:rsid w:val="00E444F6"/>
    <w:rsid w:val="00E44895"/>
    <w:rsid w:val="00E44A1B"/>
    <w:rsid w:val="00E44B67"/>
    <w:rsid w:val="00E44B68"/>
    <w:rsid w:val="00E44DF5"/>
    <w:rsid w:val="00E44E05"/>
    <w:rsid w:val="00E44E0A"/>
    <w:rsid w:val="00E44EDF"/>
    <w:rsid w:val="00E44F16"/>
    <w:rsid w:val="00E45045"/>
    <w:rsid w:val="00E45091"/>
    <w:rsid w:val="00E453F5"/>
    <w:rsid w:val="00E4542C"/>
    <w:rsid w:val="00E4544C"/>
    <w:rsid w:val="00E45453"/>
    <w:rsid w:val="00E4548E"/>
    <w:rsid w:val="00E456BC"/>
    <w:rsid w:val="00E45708"/>
    <w:rsid w:val="00E45922"/>
    <w:rsid w:val="00E45979"/>
    <w:rsid w:val="00E45B37"/>
    <w:rsid w:val="00E45BE7"/>
    <w:rsid w:val="00E45E71"/>
    <w:rsid w:val="00E45E91"/>
    <w:rsid w:val="00E45EEC"/>
    <w:rsid w:val="00E45F3F"/>
    <w:rsid w:val="00E45F7C"/>
    <w:rsid w:val="00E45FCD"/>
    <w:rsid w:val="00E45FDF"/>
    <w:rsid w:val="00E45FE6"/>
    <w:rsid w:val="00E46052"/>
    <w:rsid w:val="00E461B8"/>
    <w:rsid w:val="00E46499"/>
    <w:rsid w:val="00E4667D"/>
    <w:rsid w:val="00E46810"/>
    <w:rsid w:val="00E468E3"/>
    <w:rsid w:val="00E46911"/>
    <w:rsid w:val="00E469F0"/>
    <w:rsid w:val="00E46A3D"/>
    <w:rsid w:val="00E46AE7"/>
    <w:rsid w:val="00E46AEA"/>
    <w:rsid w:val="00E46C56"/>
    <w:rsid w:val="00E4701E"/>
    <w:rsid w:val="00E4706A"/>
    <w:rsid w:val="00E47086"/>
    <w:rsid w:val="00E4716A"/>
    <w:rsid w:val="00E4738C"/>
    <w:rsid w:val="00E4744F"/>
    <w:rsid w:val="00E475A2"/>
    <w:rsid w:val="00E47618"/>
    <w:rsid w:val="00E47673"/>
    <w:rsid w:val="00E476A6"/>
    <w:rsid w:val="00E476ED"/>
    <w:rsid w:val="00E47998"/>
    <w:rsid w:val="00E47AC7"/>
    <w:rsid w:val="00E47AFB"/>
    <w:rsid w:val="00E47BBA"/>
    <w:rsid w:val="00E47BC7"/>
    <w:rsid w:val="00E47C2E"/>
    <w:rsid w:val="00E47D81"/>
    <w:rsid w:val="00E47EE5"/>
    <w:rsid w:val="00E47FE6"/>
    <w:rsid w:val="00E501D3"/>
    <w:rsid w:val="00E501F4"/>
    <w:rsid w:val="00E502BD"/>
    <w:rsid w:val="00E503CB"/>
    <w:rsid w:val="00E506E5"/>
    <w:rsid w:val="00E50759"/>
    <w:rsid w:val="00E5078E"/>
    <w:rsid w:val="00E507E8"/>
    <w:rsid w:val="00E50B44"/>
    <w:rsid w:val="00E50C65"/>
    <w:rsid w:val="00E50E3B"/>
    <w:rsid w:val="00E50EB8"/>
    <w:rsid w:val="00E50EF9"/>
    <w:rsid w:val="00E51257"/>
    <w:rsid w:val="00E51266"/>
    <w:rsid w:val="00E51554"/>
    <w:rsid w:val="00E51654"/>
    <w:rsid w:val="00E51668"/>
    <w:rsid w:val="00E5179C"/>
    <w:rsid w:val="00E51A65"/>
    <w:rsid w:val="00E51ABF"/>
    <w:rsid w:val="00E51B1A"/>
    <w:rsid w:val="00E51E79"/>
    <w:rsid w:val="00E51E7E"/>
    <w:rsid w:val="00E520BD"/>
    <w:rsid w:val="00E520F0"/>
    <w:rsid w:val="00E520FF"/>
    <w:rsid w:val="00E52186"/>
    <w:rsid w:val="00E52310"/>
    <w:rsid w:val="00E5239F"/>
    <w:rsid w:val="00E52591"/>
    <w:rsid w:val="00E52776"/>
    <w:rsid w:val="00E52786"/>
    <w:rsid w:val="00E52916"/>
    <w:rsid w:val="00E529C7"/>
    <w:rsid w:val="00E52A3A"/>
    <w:rsid w:val="00E52A50"/>
    <w:rsid w:val="00E52B4B"/>
    <w:rsid w:val="00E530A0"/>
    <w:rsid w:val="00E53133"/>
    <w:rsid w:val="00E53205"/>
    <w:rsid w:val="00E53276"/>
    <w:rsid w:val="00E53328"/>
    <w:rsid w:val="00E53346"/>
    <w:rsid w:val="00E5338E"/>
    <w:rsid w:val="00E5339B"/>
    <w:rsid w:val="00E53723"/>
    <w:rsid w:val="00E53867"/>
    <w:rsid w:val="00E53882"/>
    <w:rsid w:val="00E538E7"/>
    <w:rsid w:val="00E539DA"/>
    <w:rsid w:val="00E53B58"/>
    <w:rsid w:val="00E53F8C"/>
    <w:rsid w:val="00E540CE"/>
    <w:rsid w:val="00E5411C"/>
    <w:rsid w:val="00E54196"/>
    <w:rsid w:val="00E54205"/>
    <w:rsid w:val="00E5440C"/>
    <w:rsid w:val="00E544A7"/>
    <w:rsid w:val="00E54630"/>
    <w:rsid w:val="00E546F8"/>
    <w:rsid w:val="00E54813"/>
    <w:rsid w:val="00E548CE"/>
    <w:rsid w:val="00E54999"/>
    <w:rsid w:val="00E54B23"/>
    <w:rsid w:val="00E54B94"/>
    <w:rsid w:val="00E54BC6"/>
    <w:rsid w:val="00E54CE5"/>
    <w:rsid w:val="00E54D9C"/>
    <w:rsid w:val="00E54EDE"/>
    <w:rsid w:val="00E54EF6"/>
    <w:rsid w:val="00E54F6C"/>
    <w:rsid w:val="00E54F82"/>
    <w:rsid w:val="00E54F92"/>
    <w:rsid w:val="00E5524C"/>
    <w:rsid w:val="00E55289"/>
    <w:rsid w:val="00E5546B"/>
    <w:rsid w:val="00E55669"/>
    <w:rsid w:val="00E556C1"/>
    <w:rsid w:val="00E55776"/>
    <w:rsid w:val="00E55885"/>
    <w:rsid w:val="00E55972"/>
    <w:rsid w:val="00E55DEF"/>
    <w:rsid w:val="00E55E2D"/>
    <w:rsid w:val="00E55E57"/>
    <w:rsid w:val="00E55F76"/>
    <w:rsid w:val="00E55FC8"/>
    <w:rsid w:val="00E56001"/>
    <w:rsid w:val="00E560CD"/>
    <w:rsid w:val="00E56197"/>
    <w:rsid w:val="00E562A7"/>
    <w:rsid w:val="00E562DA"/>
    <w:rsid w:val="00E562F4"/>
    <w:rsid w:val="00E5634A"/>
    <w:rsid w:val="00E5634E"/>
    <w:rsid w:val="00E563F1"/>
    <w:rsid w:val="00E56488"/>
    <w:rsid w:val="00E56530"/>
    <w:rsid w:val="00E565D4"/>
    <w:rsid w:val="00E566FA"/>
    <w:rsid w:val="00E56710"/>
    <w:rsid w:val="00E56725"/>
    <w:rsid w:val="00E56783"/>
    <w:rsid w:val="00E5690A"/>
    <w:rsid w:val="00E56957"/>
    <w:rsid w:val="00E5696E"/>
    <w:rsid w:val="00E56B7E"/>
    <w:rsid w:val="00E56BE8"/>
    <w:rsid w:val="00E56D41"/>
    <w:rsid w:val="00E570BB"/>
    <w:rsid w:val="00E57821"/>
    <w:rsid w:val="00E57874"/>
    <w:rsid w:val="00E578FE"/>
    <w:rsid w:val="00E57B5C"/>
    <w:rsid w:val="00E57BC1"/>
    <w:rsid w:val="00E57C79"/>
    <w:rsid w:val="00E57C88"/>
    <w:rsid w:val="00E57FB5"/>
    <w:rsid w:val="00E600EC"/>
    <w:rsid w:val="00E60117"/>
    <w:rsid w:val="00E60151"/>
    <w:rsid w:val="00E6016F"/>
    <w:rsid w:val="00E6028A"/>
    <w:rsid w:val="00E6054A"/>
    <w:rsid w:val="00E606D9"/>
    <w:rsid w:val="00E606F3"/>
    <w:rsid w:val="00E60DE2"/>
    <w:rsid w:val="00E60F4B"/>
    <w:rsid w:val="00E60F86"/>
    <w:rsid w:val="00E60FA4"/>
    <w:rsid w:val="00E60FA7"/>
    <w:rsid w:val="00E611BB"/>
    <w:rsid w:val="00E61218"/>
    <w:rsid w:val="00E6124B"/>
    <w:rsid w:val="00E61320"/>
    <w:rsid w:val="00E61461"/>
    <w:rsid w:val="00E61518"/>
    <w:rsid w:val="00E616C7"/>
    <w:rsid w:val="00E617B1"/>
    <w:rsid w:val="00E617D0"/>
    <w:rsid w:val="00E61A3F"/>
    <w:rsid w:val="00E61B37"/>
    <w:rsid w:val="00E61CE8"/>
    <w:rsid w:val="00E61D4C"/>
    <w:rsid w:val="00E61D8E"/>
    <w:rsid w:val="00E61E2C"/>
    <w:rsid w:val="00E61FE3"/>
    <w:rsid w:val="00E62089"/>
    <w:rsid w:val="00E620C1"/>
    <w:rsid w:val="00E6250F"/>
    <w:rsid w:val="00E62684"/>
    <w:rsid w:val="00E626E4"/>
    <w:rsid w:val="00E62851"/>
    <w:rsid w:val="00E62928"/>
    <w:rsid w:val="00E629B1"/>
    <w:rsid w:val="00E62DBB"/>
    <w:rsid w:val="00E62E21"/>
    <w:rsid w:val="00E63377"/>
    <w:rsid w:val="00E6372A"/>
    <w:rsid w:val="00E6379B"/>
    <w:rsid w:val="00E6380D"/>
    <w:rsid w:val="00E63A6D"/>
    <w:rsid w:val="00E63AF2"/>
    <w:rsid w:val="00E63B3F"/>
    <w:rsid w:val="00E63B9A"/>
    <w:rsid w:val="00E63CFD"/>
    <w:rsid w:val="00E63D89"/>
    <w:rsid w:val="00E6410A"/>
    <w:rsid w:val="00E64238"/>
    <w:rsid w:val="00E6429C"/>
    <w:rsid w:val="00E642CE"/>
    <w:rsid w:val="00E645D1"/>
    <w:rsid w:val="00E645EB"/>
    <w:rsid w:val="00E646F9"/>
    <w:rsid w:val="00E6478B"/>
    <w:rsid w:val="00E64809"/>
    <w:rsid w:val="00E64924"/>
    <w:rsid w:val="00E64A91"/>
    <w:rsid w:val="00E64B8E"/>
    <w:rsid w:val="00E64BF2"/>
    <w:rsid w:val="00E64C12"/>
    <w:rsid w:val="00E64D57"/>
    <w:rsid w:val="00E64F78"/>
    <w:rsid w:val="00E65052"/>
    <w:rsid w:val="00E6510C"/>
    <w:rsid w:val="00E65365"/>
    <w:rsid w:val="00E65450"/>
    <w:rsid w:val="00E65701"/>
    <w:rsid w:val="00E65737"/>
    <w:rsid w:val="00E65860"/>
    <w:rsid w:val="00E658DE"/>
    <w:rsid w:val="00E65A53"/>
    <w:rsid w:val="00E65BF7"/>
    <w:rsid w:val="00E65DFB"/>
    <w:rsid w:val="00E666E4"/>
    <w:rsid w:val="00E66751"/>
    <w:rsid w:val="00E668D5"/>
    <w:rsid w:val="00E66941"/>
    <w:rsid w:val="00E66990"/>
    <w:rsid w:val="00E669C6"/>
    <w:rsid w:val="00E66AB6"/>
    <w:rsid w:val="00E66C9E"/>
    <w:rsid w:val="00E66E95"/>
    <w:rsid w:val="00E66FE8"/>
    <w:rsid w:val="00E66FED"/>
    <w:rsid w:val="00E6700E"/>
    <w:rsid w:val="00E6715A"/>
    <w:rsid w:val="00E6717D"/>
    <w:rsid w:val="00E6727B"/>
    <w:rsid w:val="00E675F0"/>
    <w:rsid w:val="00E6768E"/>
    <w:rsid w:val="00E677F4"/>
    <w:rsid w:val="00E67A77"/>
    <w:rsid w:val="00E67AA0"/>
    <w:rsid w:val="00E67BF2"/>
    <w:rsid w:val="00E7001F"/>
    <w:rsid w:val="00E70030"/>
    <w:rsid w:val="00E70174"/>
    <w:rsid w:val="00E7017F"/>
    <w:rsid w:val="00E70256"/>
    <w:rsid w:val="00E703B4"/>
    <w:rsid w:val="00E703B9"/>
    <w:rsid w:val="00E703BA"/>
    <w:rsid w:val="00E704B6"/>
    <w:rsid w:val="00E705FF"/>
    <w:rsid w:val="00E70693"/>
    <w:rsid w:val="00E70705"/>
    <w:rsid w:val="00E707FD"/>
    <w:rsid w:val="00E70856"/>
    <w:rsid w:val="00E7098B"/>
    <w:rsid w:val="00E709B2"/>
    <w:rsid w:val="00E70A29"/>
    <w:rsid w:val="00E70A2E"/>
    <w:rsid w:val="00E70C07"/>
    <w:rsid w:val="00E70C8D"/>
    <w:rsid w:val="00E70D55"/>
    <w:rsid w:val="00E710A8"/>
    <w:rsid w:val="00E7111C"/>
    <w:rsid w:val="00E7111F"/>
    <w:rsid w:val="00E71179"/>
    <w:rsid w:val="00E71272"/>
    <w:rsid w:val="00E712E9"/>
    <w:rsid w:val="00E7139D"/>
    <w:rsid w:val="00E713F0"/>
    <w:rsid w:val="00E71448"/>
    <w:rsid w:val="00E7161E"/>
    <w:rsid w:val="00E7188C"/>
    <w:rsid w:val="00E71C98"/>
    <w:rsid w:val="00E71D49"/>
    <w:rsid w:val="00E71D4E"/>
    <w:rsid w:val="00E71ECF"/>
    <w:rsid w:val="00E72016"/>
    <w:rsid w:val="00E7215C"/>
    <w:rsid w:val="00E72161"/>
    <w:rsid w:val="00E72204"/>
    <w:rsid w:val="00E72224"/>
    <w:rsid w:val="00E72255"/>
    <w:rsid w:val="00E724EE"/>
    <w:rsid w:val="00E724FA"/>
    <w:rsid w:val="00E7259C"/>
    <w:rsid w:val="00E726CB"/>
    <w:rsid w:val="00E7280D"/>
    <w:rsid w:val="00E72891"/>
    <w:rsid w:val="00E728B0"/>
    <w:rsid w:val="00E72900"/>
    <w:rsid w:val="00E72A72"/>
    <w:rsid w:val="00E72A86"/>
    <w:rsid w:val="00E72C87"/>
    <w:rsid w:val="00E72DFB"/>
    <w:rsid w:val="00E72E04"/>
    <w:rsid w:val="00E72EF7"/>
    <w:rsid w:val="00E72F14"/>
    <w:rsid w:val="00E72F64"/>
    <w:rsid w:val="00E73102"/>
    <w:rsid w:val="00E731AC"/>
    <w:rsid w:val="00E73209"/>
    <w:rsid w:val="00E7327E"/>
    <w:rsid w:val="00E733BD"/>
    <w:rsid w:val="00E7343E"/>
    <w:rsid w:val="00E73465"/>
    <w:rsid w:val="00E7356C"/>
    <w:rsid w:val="00E73643"/>
    <w:rsid w:val="00E736E6"/>
    <w:rsid w:val="00E738C1"/>
    <w:rsid w:val="00E73906"/>
    <w:rsid w:val="00E73942"/>
    <w:rsid w:val="00E73A57"/>
    <w:rsid w:val="00E73ADC"/>
    <w:rsid w:val="00E73BA8"/>
    <w:rsid w:val="00E73CF1"/>
    <w:rsid w:val="00E73D96"/>
    <w:rsid w:val="00E73E59"/>
    <w:rsid w:val="00E73EA5"/>
    <w:rsid w:val="00E73F43"/>
    <w:rsid w:val="00E74004"/>
    <w:rsid w:val="00E7437D"/>
    <w:rsid w:val="00E7455B"/>
    <w:rsid w:val="00E745A0"/>
    <w:rsid w:val="00E7469D"/>
    <w:rsid w:val="00E747ED"/>
    <w:rsid w:val="00E7487A"/>
    <w:rsid w:val="00E748C7"/>
    <w:rsid w:val="00E7490B"/>
    <w:rsid w:val="00E749EC"/>
    <w:rsid w:val="00E74AAA"/>
    <w:rsid w:val="00E74AC8"/>
    <w:rsid w:val="00E74B07"/>
    <w:rsid w:val="00E74B2A"/>
    <w:rsid w:val="00E74CB3"/>
    <w:rsid w:val="00E74E63"/>
    <w:rsid w:val="00E74EAF"/>
    <w:rsid w:val="00E74F14"/>
    <w:rsid w:val="00E750E4"/>
    <w:rsid w:val="00E750F9"/>
    <w:rsid w:val="00E751CA"/>
    <w:rsid w:val="00E75264"/>
    <w:rsid w:val="00E7529B"/>
    <w:rsid w:val="00E75446"/>
    <w:rsid w:val="00E75486"/>
    <w:rsid w:val="00E754E4"/>
    <w:rsid w:val="00E75526"/>
    <w:rsid w:val="00E755F6"/>
    <w:rsid w:val="00E7599A"/>
    <w:rsid w:val="00E759F3"/>
    <w:rsid w:val="00E75A79"/>
    <w:rsid w:val="00E75B55"/>
    <w:rsid w:val="00E75D5F"/>
    <w:rsid w:val="00E75FE3"/>
    <w:rsid w:val="00E76246"/>
    <w:rsid w:val="00E7636C"/>
    <w:rsid w:val="00E765EF"/>
    <w:rsid w:val="00E766FD"/>
    <w:rsid w:val="00E76933"/>
    <w:rsid w:val="00E769EA"/>
    <w:rsid w:val="00E769FC"/>
    <w:rsid w:val="00E76DC3"/>
    <w:rsid w:val="00E76E36"/>
    <w:rsid w:val="00E76E4B"/>
    <w:rsid w:val="00E77198"/>
    <w:rsid w:val="00E7724D"/>
    <w:rsid w:val="00E77256"/>
    <w:rsid w:val="00E772F1"/>
    <w:rsid w:val="00E77383"/>
    <w:rsid w:val="00E7755C"/>
    <w:rsid w:val="00E77613"/>
    <w:rsid w:val="00E7782D"/>
    <w:rsid w:val="00E77896"/>
    <w:rsid w:val="00E77949"/>
    <w:rsid w:val="00E77B1B"/>
    <w:rsid w:val="00E77B8A"/>
    <w:rsid w:val="00E77C2C"/>
    <w:rsid w:val="00E77C4B"/>
    <w:rsid w:val="00E77CA6"/>
    <w:rsid w:val="00E77D0B"/>
    <w:rsid w:val="00E77DCE"/>
    <w:rsid w:val="00E77E72"/>
    <w:rsid w:val="00E77F8B"/>
    <w:rsid w:val="00E80299"/>
    <w:rsid w:val="00E8036C"/>
    <w:rsid w:val="00E8072A"/>
    <w:rsid w:val="00E8092E"/>
    <w:rsid w:val="00E80AAA"/>
    <w:rsid w:val="00E80AF4"/>
    <w:rsid w:val="00E80B20"/>
    <w:rsid w:val="00E80B58"/>
    <w:rsid w:val="00E80C9C"/>
    <w:rsid w:val="00E80E27"/>
    <w:rsid w:val="00E810C1"/>
    <w:rsid w:val="00E81359"/>
    <w:rsid w:val="00E81395"/>
    <w:rsid w:val="00E813DF"/>
    <w:rsid w:val="00E81441"/>
    <w:rsid w:val="00E8163A"/>
    <w:rsid w:val="00E81640"/>
    <w:rsid w:val="00E8179B"/>
    <w:rsid w:val="00E817DF"/>
    <w:rsid w:val="00E818E1"/>
    <w:rsid w:val="00E8195E"/>
    <w:rsid w:val="00E81A14"/>
    <w:rsid w:val="00E81D02"/>
    <w:rsid w:val="00E81DEE"/>
    <w:rsid w:val="00E81E64"/>
    <w:rsid w:val="00E81ED2"/>
    <w:rsid w:val="00E82052"/>
    <w:rsid w:val="00E821B2"/>
    <w:rsid w:val="00E8228A"/>
    <w:rsid w:val="00E823F0"/>
    <w:rsid w:val="00E82811"/>
    <w:rsid w:val="00E82864"/>
    <w:rsid w:val="00E829A0"/>
    <w:rsid w:val="00E829BB"/>
    <w:rsid w:val="00E82ABC"/>
    <w:rsid w:val="00E82C37"/>
    <w:rsid w:val="00E82C3E"/>
    <w:rsid w:val="00E82DF1"/>
    <w:rsid w:val="00E82E38"/>
    <w:rsid w:val="00E82EDA"/>
    <w:rsid w:val="00E82EF2"/>
    <w:rsid w:val="00E82EF7"/>
    <w:rsid w:val="00E82FE7"/>
    <w:rsid w:val="00E83069"/>
    <w:rsid w:val="00E830D4"/>
    <w:rsid w:val="00E83154"/>
    <w:rsid w:val="00E83163"/>
    <w:rsid w:val="00E8349C"/>
    <w:rsid w:val="00E83529"/>
    <w:rsid w:val="00E83607"/>
    <w:rsid w:val="00E8373B"/>
    <w:rsid w:val="00E83859"/>
    <w:rsid w:val="00E83871"/>
    <w:rsid w:val="00E839D9"/>
    <w:rsid w:val="00E839F0"/>
    <w:rsid w:val="00E83B8E"/>
    <w:rsid w:val="00E83C3E"/>
    <w:rsid w:val="00E83D3B"/>
    <w:rsid w:val="00E83D4F"/>
    <w:rsid w:val="00E83EE8"/>
    <w:rsid w:val="00E83F13"/>
    <w:rsid w:val="00E83F67"/>
    <w:rsid w:val="00E83FAC"/>
    <w:rsid w:val="00E83FCD"/>
    <w:rsid w:val="00E84063"/>
    <w:rsid w:val="00E841D6"/>
    <w:rsid w:val="00E84211"/>
    <w:rsid w:val="00E8422D"/>
    <w:rsid w:val="00E84348"/>
    <w:rsid w:val="00E84478"/>
    <w:rsid w:val="00E84541"/>
    <w:rsid w:val="00E8455C"/>
    <w:rsid w:val="00E84675"/>
    <w:rsid w:val="00E846E0"/>
    <w:rsid w:val="00E846FD"/>
    <w:rsid w:val="00E84719"/>
    <w:rsid w:val="00E849AD"/>
    <w:rsid w:val="00E84B33"/>
    <w:rsid w:val="00E84C52"/>
    <w:rsid w:val="00E84ED9"/>
    <w:rsid w:val="00E84FEB"/>
    <w:rsid w:val="00E85315"/>
    <w:rsid w:val="00E8534F"/>
    <w:rsid w:val="00E85422"/>
    <w:rsid w:val="00E855EC"/>
    <w:rsid w:val="00E85619"/>
    <w:rsid w:val="00E85672"/>
    <w:rsid w:val="00E85797"/>
    <w:rsid w:val="00E857B0"/>
    <w:rsid w:val="00E85906"/>
    <w:rsid w:val="00E85972"/>
    <w:rsid w:val="00E859AC"/>
    <w:rsid w:val="00E85A10"/>
    <w:rsid w:val="00E85AB2"/>
    <w:rsid w:val="00E85B06"/>
    <w:rsid w:val="00E85CFD"/>
    <w:rsid w:val="00E86099"/>
    <w:rsid w:val="00E860C2"/>
    <w:rsid w:val="00E8611C"/>
    <w:rsid w:val="00E8614D"/>
    <w:rsid w:val="00E861CF"/>
    <w:rsid w:val="00E861D7"/>
    <w:rsid w:val="00E86465"/>
    <w:rsid w:val="00E8656B"/>
    <w:rsid w:val="00E8662C"/>
    <w:rsid w:val="00E868B6"/>
    <w:rsid w:val="00E869F1"/>
    <w:rsid w:val="00E86A1B"/>
    <w:rsid w:val="00E86A69"/>
    <w:rsid w:val="00E86B58"/>
    <w:rsid w:val="00E86BE8"/>
    <w:rsid w:val="00E87378"/>
    <w:rsid w:val="00E874B4"/>
    <w:rsid w:val="00E8751C"/>
    <w:rsid w:val="00E875C5"/>
    <w:rsid w:val="00E87642"/>
    <w:rsid w:val="00E87698"/>
    <w:rsid w:val="00E8778B"/>
    <w:rsid w:val="00E87807"/>
    <w:rsid w:val="00E8787B"/>
    <w:rsid w:val="00E87B9A"/>
    <w:rsid w:val="00E87BDF"/>
    <w:rsid w:val="00E87E99"/>
    <w:rsid w:val="00E9007B"/>
    <w:rsid w:val="00E90081"/>
    <w:rsid w:val="00E90323"/>
    <w:rsid w:val="00E90364"/>
    <w:rsid w:val="00E90527"/>
    <w:rsid w:val="00E90B83"/>
    <w:rsid w:val="00E90E44"/>
    <w:rsid w:val="00E90E56"/>
    <w:rsid w:val="00E90E88"/>
    <w:rsid w:val="00E90F74"/>
    <w:rsid w:val="00E9113D"/>
    <w:rsid w:val="00E911CA"/>
    <w:rsid w:val="00E91214"/>
    <w:rsid w:val="00E912B0"/>
    <w:rsid w:val="00E9130A"/>
    <w:rsid w:val="00E9136C"/>
    <w:rsid w:val="00E91597"/>
    <w:rsid w:val="00E91653"/>
    <w:rsid w:val="00E91682"/>
    <w:rsid w:val="00E917BC"/>
    <w:rsid w:val="00E91842"/>
    <w:rsid w:val="00E91945"/>
    <w:rsid w:val="00E91A87"/>
    <w:rsid w:val="00E91B9E"/>
    <w:rsid w:val="00E91CFC"/>
    <w:rsid w:val="00E91D97"/>
    <w:rsid w:val="00E91E0A"/>
    <w:rsid w:val="00E91F44"/>
    <w:rsid w:val="00E91F4F"/>
    <w:rsid w:val="00E920F6"/>
    <w:rsid w:val="00E921A8"/>
    <w:rsid w:val="00E92205"/>
    <w:rsid w:val="00E9226A"/>
    <w:rsid w:val="00E92662"/>
    <w:rsid w:val="00E9272C"/>
    <w:rsid w:val="00E929CB"/>
    <w:rsid w:val="00E92AD9"/>
    <w:rsid w:val="00E92BF5"/>
    <w:rsid w:val="00E92D8D"/>
    <w:rsid w:val="00E92E21"/>
    <w:rsid w:val="00E92EE2"/>
    <w:rsid w:val="00E93040"/>
    <w:rsid w:val="00E93157"/>
    <w:rsid w:val="00E931ED"/>
    <w:rsid w:val="00E932D7"/>
    <w:rsid w:val="00E93377"/>
    <w:rsid w:val="00E93379"/>
    <w:rsid w:val="00E93464"/>
    <w:rsid w:val="00E93635"/>
    <w:rsid w:val="00E9384E"/>
    <w:rsid w:val="00E939DC"/>
    <w:rsid w:val="00E93D34"/>
    <w:rsid w:val="00E93D3E"/>
    <w:rsid w:val="00E93EAF"/>
    <w:rsid w:val="00E93F07"/>
    <w:rsid w:val="00E93F7A"/>
    <w:rsid w:val="00E94315"/>
    <w:rsid w:val="00E94317"/>
    <w:rsid w:val="00E943C7"/>
    <w:rsid w:val="00E94505"/>
    <w:rsid w:val="00E94532"/>
    <w:rsid w:val="00E94699"/>
    <w:rsid w:val="00E9482A"/>
    <w:rsid w:val="00E94A64"/>
    <w:rsid w:val="00E94B46"/>
    <w:rsid w:val="00E94D5C"/>
    <w:rsid w:val="00E94E8C"/>
    <w:rsid w:val="00E94FB2"/>
    <w:rsid w:val="00E95039"/>
    <w:rsid w:val="00E95221"/>
    <w:rsid w:val="00E952EA"/>
    <w:rsid w:val="00E953A1"/>
    <w:rsid w:val="00E953D7"/>
    <w:rsid w:val="00E95774"/>
    <w:rsid w:val="00E957B4"/>
    <w:rsid w:val="00E95B27"/>
    <w:rsid w:val="00E95B4D"/>
    <w:rsid w:val="00E95F54"/>
    <w:rsid w:val="00E9609D"/>
    <w:rsid w:val="00E960E5"/>
    <w:rsid w:val="00E962C0"/>
    <w:rsid w:val="00E9635F"/>
    <w:rsid w:val="00E96404"/>
    <w:rsid w:val="00E964CE"/>
    <w:rsid w:val="00E964EE"/>
    <w:rsid w:val="00E965AD"/>
    <w:rsid w:val="00E96802"/>
    <w:rsid w:val="00E9680C"/>
    <w:rsid w:val="00E96979"/>
    <w:rsid w:val="00E9698E"/>
    <w:rsid w:val="00E96A0C"/>
    <w:rsid w:val="00E96BF0"/>
    <w:rsid w:val="00E96C80"/>
    <w:rsid w:val="00E96CBB"/>
    <w:rsid w:val="00E96DA3"/>
    <w:rsid w:val="00E96E64"/>
    <w:rsid w:val="00E96ED5"/>
    <w:rsid w:val="00E96F60"/>
    <w:rsid w:val="00E96F92"/>
    <w:rsid w:val="00E96FF7"/>
    <w:rsid w:val="00E97033"/>
    <w:rsid w:val="00E97111"/>
    <w:rsid w:val="00E971FA"/>
    <w:rsid w:val="00E9753C"/>
    <w:rsid w:val="00E979DD"/>
    <w:rsid w:val="00E979E0"/>
    <w:rsid w:val="00E97A1C"/>
    <w:rsid w:val="00E97B0B"/>
    <w:rsid w:val="00E97BEF"/>
    <w:rsid w:val="00E97C60"/>
    <w:rsid w:val="00E97D2C"/>
    <w:rsid w:val="00E97D9E"/>
    <w:rsid w:val="00E97E56"/>
    <w:rsid w:val="00E97F2C"/>
    <w:rsid w:val="00E9E6A7"/>
    <w:rsid w:val="00EA0285"/>
    <w:rsid w:val="00EA045D"/>
    <w:rsid w:val="00EA04F0"/>
    <w:rsid w:val="00EA05DD"/>
    <w:rsid w:val="00EA075D"/>
    <w:rsid w:val="00EA078D"/>
    <w:rsid w:val="00EA07FC"/>
    <w:rsid w:val="00EA0963"/>
    <w:rsid w:val="00EA09CA"/>
    <w:rsid w:val="00EA0A4A"/>
    <w:rsid w:val="00EA0C1C"/>
    <w:rsid w:val="00EA0E77"/>
    <w:rsid w:val="00EA0ECC"/>
    <w:rsid w:val="00EA1020"/>
    <w:rsid w:val="00EA1087"/>
    <w:rsid w:val="00EA121A"/>
    <w:rsid w:val="00EA1507"/>
    <w:rsid w:val="00EA15E5"/>
    <w:rsid w:val="00EA16E2"/>
    <w:rsid w:val="00EA1768"/>
    <w:rsid w:val="00EA1A48"/>
    <w:rsid w:val="00EA1DFD"/>
    <w:rsid w:val="00EA1F16"/>
    <w:rsid w:val="00EA201F"/>
    <w:rsid w:val="00EA22D3"/>
    <w:rsid w:val="00EA2712"/>
    <w:rsid w:val="00EA286D"/>
    <w:rsid w:val="00EA2996"/>
    <w:rsid w:val="00EA2C2A"/>
    <w:rsid w:val="00EA2F70"/>
    <w:rsid w:val="00EA330A"/>
    <w:rsid w:val="00EA37E7"/>
    <w:rsid w:val="00EA39AC"/>
    <w:rsid w:val="00EA3A08"/>
    <w:rsid w:val="00EA3A37"/>
    <w:rsid w:val="00EA3B80"/>
    <w:rsid w:val="00EA3C3E"/>
    <w:rsid w:val="00EA3D8E"/>
    <w:rsid w:val="00EA3DA1"/>
    <w:rsid w:val="00EA3E80"/>
    <w:rsid w:val="00EA3EDC"/>
    <w:rsid w:val="00EA3F99"/>
    <w:rsid w:val="00EA3FC6"/>
    <w:rsid w:val="00EA4013"/>
    <w:rsid w:val="00EA40D4"/>
    <w:rsid w:val="00EA41D1"/>
    <w:rsid w:val="00EA43EA"/>
    <w:rsid w:val="00EA46B3"/>
    <w:rsid w:val="00EA481F"/>
    <w:rsid w:val="00EA4964"/>
    <w:rsid w:val="00EA4A2F"/>
    <w:rsid w:val="00EA4B58"/>
    <w:rsid w:val="00EA4B75"/>
    <w:rsid w:val="00EA4BA1"/>
    <w:rsid w:val="00EA4E4A"/>
    <w:rsid w:val="00EA5000"/>
    <w:rsid w:val="00EA5017"/>
    <w:rsid w:val="00EA51AB"/>
    <w:rsid w:val="00EA51CF"/>
    <w:rsid w:val="00EA529F"/>
    <w:rsid w:val="00EA533D"/>
    <w:rsid w:val="00EA535C"/>
    <w:rsid w:val="00EA5537"/>
    <w:rsid w:val="00EA5543"/>
    <w:rsid w:val="00EA55AA"/>
    <w:rsid w:val="00EA5621"/>
    <w:rsid w:val="00EA5779"/>
    <w:rsid w:val="00EA595C"/>
    <w:rsid w:val="00EA59B3"/>
    <w:rsid w:val="00EA5B66"/>
    <w:rsid w:val="00EA5F0D"/>
    <w:rsid w:val="00EA602B"/>
    <w:rsid w:val="00EA604B"/>
    <w:rsid w:val="00EA60C3"/>
    <w:rsid w:val="00EA615B"/>
    <w:rsid w:val="00EA618D"/>
    <w:rsid w:val="00EA61AC"/>
    <w:rsid w:val="00EA61F2"/>
    <w:rsid w:val="00EA6488"/>
    <w:rsid w:val="00EA648B"/>
    <w:rsid w:val="00EA6574"/>
    <w:rsid w:val="00EA65C9"/>
    <w:rsid w:val="00EA676A"/>
    <w:rsid w:val="00EA687D"/>
    <w:rsid w:val="00EA68A9"/>
    <w:rsid w:val="00EA6915"/>
    <w:rsid w:val="00EA6A8F"/>
    <w:rsid w:val="00EA6B06"/>
    <w:rsid w:val="00EA6D81"/>
    <w:rsid w:val="00EA7028"/>
    <w:rsid w:val="00EA7047"/>
    <w:rsid w:val="00EA7301"/>
    <w:rsid w:val="00EA7306"/>
    <w:rsid w:val="00EA746D"/>
    <w:rsid w:val="00EA7606"/>
    <w:rsid w:val="00EA78F9"/>
    <w:rsid w:val="00EA7AA2"/>
    <w:rsid w:val="00EA7C8D"/>
    <w:rsid w:val="00EA7D96"/>
    <w:rsid w:val="00EA7FDD"/>
    <w:rsid w:val="00EB010F"/>
    <w:rsid w:val="00EB03D0"/>
    <w:rsid w:val="00EB06DE"/>
    <w:rsid w:val="00EB08D8"/>
    <w:rsid w:val="00EB0959"/>
    <w:rsid w:val="00EB09BF"/>
    <w:rsid w:val="00EB0A9C"/>
    <w:rsid w:val="00EB0BE8"/>
    <w:rsid w:val="00EB0C58"/>
    <w:rsid w:val="00EB0CBC"/>
    <w:rsid w:val="00EB0DD2"/>
    <w:rsid w:val="00EB1248"/>
    <w:rsid w:val="00EB1267"/>
    <w:rsid w:val="00EB131F"/>
    <w:rsid w:val="00EB1490"/>
    <w:rsid w:val="00EB1748"/>
    <w:rsid w:val="00EB1776"/>
    <w:rsid w:val="00EB188A"/>
    <w:rsid w:val="00EB1964"/>
    <w:rsid w:val="00EB19CC"/>
    <w:rsid w:val="00EB1B68"/>
    <w:rsid w:val="00EB1B70"/>
    <w:rsid w:val="00EB1BB1"/>
    <w:rsid w:val="00EB1E23"/>
    <w:rsid w:val="00EB2111"/>
    <w:rsid w:val="00EB211F"/>
    <w:rsid w:val="00EB2160"/>
    <w:rsid w:val="00EB216C"/>
    <w:rsid w:val="00EB21FD"/>
    <w:rsid w:val="00EB222E"/>
    <w:rsid w:val="00EB22F4"/>
    <w:rsid w:val="00EB2333"/>
    <w:rsid w:val="00EB268D"/>
    <w:rsid w:val="00EB2720"/>
    <w:rsid w:val="00EB283D"/>
    <w:rsid w:val="00EB2873"/>
    <w:rsid w:val="00EB28F9"/>
    <w:rsid w:val="00EB2990"/>
    <w:rsid w:val="00EB2A47"/>
    <w:rsid w:val="00EB2A6A"/>
    <w:rsid w:val="00EB2A7B"/>
    <w:rsid w:val="00EB2BD9"/>
    <w:rsid w:val="00EB2C13"/>
    <w:rsid w:val="00EB2C86"/>
    <w:rsid w:val="00EB3069"/>
    <w:rsid w:val="00EB3168"/>
    <w:rsid w:val="00EB3222"/>
    <w:rsid w:val="00EB336A"/>
    <w:rsid w:val="00EB33A6"/>
    <w:rsid w:val="00EB33F5"/>
    <w:rsid w:val="00EB3642"/>
    <w:rsid w:val="00EB3694"/>
    <w:rsid w:val="00EB37E5"/>
    <w:rsid w:val="00EB391A"/>
    <w:rsid w:val="00EB39C8"/>
    <w:rsid w:val="00EB3A13"/>
    <w:rsid w:val="00EB3A9A"/>
    <w:rsid w:val="00EB3AD1"/>
    <w:rsid w:val="00EB3C76"/>
    <w:rsid w:val="00EB3CC4"/>
    <w:rsid w:val="00EB3DEA"/>
    <w:rsid w:val="00EB3E20"/>
    <w:rsid w:val="00EB3EB8"/>
    <w:rsid w:val="00EB403C"/>
    <w:rsid w:val="00EB4101"/>
    <w:rsid w:val="00EB4146"/>
    <w:rsid w:val="00EB41B3"/>
    <w:rsid w:val="00EB41CB"/>
    <w:rsid w:val="00EB41D6"/>
    <w:rsid w:val="00EB4283"/>
    <w:rsid w:val="00EB434C"/>
    <w:rsid w:val="00EB43E0"/>
    <w:rsid w:val="00EB4439"/>
    <w:rsid w:val="00EB452D"/>
    <w:rsid w:val="00EB458B"/>
    <w:rsid w:val="00EB470B"/>
    <w:rsid w:val="00EB494F"/>
    <w:rsid w:val="00EB4972"/>
    <w:rsid w:val="00EB4997"/>
    <w:rsid w:val="00EB49AA"/>
    <w:rsid w:val="00EB4BC3"/>
    <w:rsid w:val="00EB4CB1"/>
    <w:rsid w:val="00EB4DD5"/>
    <w:rsid w:val="00EB4DFC"/>
    <w:rsid w:val="00EB4E9B"/>
    <w:rsid w:val="00EB4F2B"/>
    <w:rsid w:val="00EB5022"/>
    <w:rsid w:val="00EB5033"/>
    <w:rsid w:val="00EB5119"/>
    <w:rsid w:val="00EB51DD"/>
    <w:rsid w:val="00EB53AC"/>
    <w:rsid w:val="00EB5400"/>
    <w:rsid w:val="00EB54D9"/>
    <w:rsid w:val="00EB556E"/>
    <w:rsid w:val="00EB55AA"/>
    <w:rsid w:val="00EB561C"/>
    <w:rsid w:val="00EB580B"/>
    <w:rsid w:val="00EB5829"/>
    <w:rsid w:val="00EB5A27"/>
    <w:rsid w:val="00EB5B72"/>
    <w:rsid w:val="00EB5D3B"/>
    <w:rsid w:val="00EB5D71"/>
    <w:rsid w:val="00EB5DFF"/>
    <w:rsid w:val="00EB5E63"/>
    <w:rsid w:val="00EB6035"/>
    <w:rsid w:val="00EB612F"/>
    <w:rsid w:val="00EB61B4"/>
    <w:rsid w:val="00EB6222"/>
    <w:rsid w:val="00EB639A"/>
    <w:rsid w:val="00EB63DF"/>
    <w:rsid w:val="00EB64EB"/>
    <w:rsid w:val="00EB64F1"/>
    <w:rsid w:val="00EB672D"/>
    <w:rsid w:val="00EB6978"/>
    <w:rsid w:val="00EB6A39"/>
    <w:rsid w:val="00EB6B8B"/>
    <w:rsid w:val="00EB6E65"/>
    <w:rsid w:val="00EB6E97"/>
    <w:rsid w:val="00EB6F24"/>
    <w:rsid w:val="00EB7095"/>
    <w:rsid w:val="00EB726C"/>
    <w:rsid w:val="00EB72FD"/>
    <w:rsid w:val="00EB732F"/>
    <w:rsid w:val="00EB736F"/>
    <w:rsid w:val="00EB73D1"/>
    <w:rsid w:val="00EB73E3"/>
    <w:rsid w:val="00EB7683"/>
    <w:rsid w:val="00EB7691"/>
    <w:rsid w:val="00EB7842"/>
    <w:rsid w:val="00EB784F"/>
    <w:rsid w:val="00EB7938"/>
    <w:rsid w:val="00EB7990"/>
    <w:rsid w:val="00EB7B1D"/>
    <w:rsid w:val="00EB7BB8"/>
    <w:rsid w:val="00EB7BF0"/>
    <w:rsid w:val="00EB7D1A"/>
    <w:rsid w:val="00EB7E0E"/>
    <w:rsid w:val="00EB7E5F"/>
    <w:rsid w:val="00EB7F75"/>
    <w:rsid w:val="00EC0097"/>
    <w:rsid w:val="00EC00D4"/>
    <w:rsid w:val="00EC0104"/>
    <w:rsid w:val="00EC01DE"/>
    <w:rsid w:val="00EC0239"/>
    <w:rsid w:val="00EC052E"/>
    <w:rsid w:val="00EC0532"/>
    <w:rsid w:val="00EC053B"/>
    <w:rsid w:val="00EC059D"/>
    <w:rsid w:val="00EC06A7"/>
    <w:rsid w:val="00EC0814"/>
    <w:rsid w:val="00EC08C9"/>
    <w:rsid w:val="00EC0A6B"/>
    <w:rsid w:val="00EC0BC3"/>
    <w:rsid w:val="00EC0F72"/>
    <w:rsid w:val="00EC10B9"/>
    <w:rsid w:val="00EC1127"/>
    <w:rsid w:val="00EC124A"/>
    <w:rsid w:val="00EC128D"/>
    <w:rsid w:val="00EC1341"/>
    <w:rsid w:val="00EC13CE"/>
    <w:rsid w:val="00EC1432"/>
    <w:rsid w:val="00EC1630"/>
    <w:rsid w:val="00EC164A"/>
    <w:rsid w:val="00EC1982"/>
    <w:rsid w:val="00EC1AC6"/>
    <w:rsid w:val="00EC1C09"/>
    <w:rsid w:val="00EC1CFE"/>
    <w:rsid w:val="00EC1E26"/>
    <w:rsid w:val="00EC1EB7"/>
    <w:rsid w:val="00EC21D3"/>
    <w:rsid w:val="00EC21DF"/>
    <w:rsid w:val="00EC225A"/>
    <w:rsid w:val="00EC2322"/>
    <w:rsid w:val="00EC2374"/>
    <w:rsid w:val="00EC2399"/>
    <w:rsid w:val="00EC2473"/>
    <w:rsid w:val="00EC24D9"/>
    <w:rsid w:val="00EC24F8"/>
    <w:rsid w:val="00EC2515"/>
    <w:rsid w:val="00EC26B7"/>
    <w:rsid w:val="00EC26F3"/>
    <w:rsid w:val="00EC2706"/>
    <w:rsid w:val="00EC29BC"/>
    <w:rsid w:val="00EC2B87"/>
    <w:rsid w:val="00EC2C07"/>
    <w:rsid w:val="00EC2E98"/>
    <w:rsid w:val="00EC2F80"/>
    <w:rsid w:val="00EC3030"/>
    <w:rsid w:val="00EC318D"/>
    <w:rsid w:val="00EC3320"/>
    <w:rsid w:val="00EC3364"/>
    <w:rsid w:val="00EC33A0"/>
    <w:rsid w:val="00EC36BE"/>
    <w:rsid w:val="00EC384A"/>
    <w:rsid w:val="00EC387C"/>
    <w:rsid w:val="00EC3959"/>
    <w:rsid w:val="00EC3A78"/>
    <w:rsid w:val="00EC3A8A"/>
    <w:rsid w:val="00EC3B0E"/>
    <w:rsid w:val="00EC3C27"/>
    <w:rsid w:val="00EC3C89"/>
    <w:rsid w:val="00EC3CA8"/>
    <w:rsid w:val="00EC3CF2"/>
    <w:rsid w:val="00EC3D96"/>
    <w:rsid w:val="00EC401E"/>
    <w:rsid w:val="00EC4092"/>
    <w:rsid w:val="00EC412F"/>
    <w:rsid w:val="00EC43AD"/>
    <w:rsid w:val="00EC43E3"/>
    <w:rsid w:val="00EC44A4"/>
    <w:rsid w:val="00EC45B9"/>
    <w:rsid w:val="00EC46DA"/>
    <w:rsid w:val="00EC482D"/>
    <w:rsid w:val="00EC4843"/>
    <w:rsid w:val="00EC4862"/>
    <w:rsid w:val="00EC486D"/>
    <w:rsid w:val="00EC48B1"/>
    <w:rsid w:val="00EC496B"/>
    <w:rsid w:val="00EC4A2E"/>
    <w:rsid w:val="00EC4A5C"/>
    <w:rsid w:val="00EC4BC7"/>
    <w:rsid w:val="00EC4C5A"/>
    <w:rsid w:val="00EC4C6F"/>
    <w:rsid w:val="00EC4C9D"/>
    <w:rsid w:val="00EC4E79"/>
    <w:rsid w:val="00EC4F22"/>
    <w:rsid w:val="00EC4FFE"/>
    <w:rsid w:val="00EC50B8"/>
    <w:rsid w:val="00EC510F"/>
    <w:rsid w:val="00EC5217"/>
    <w:rsid w:val="00EC52D3"/>
    <w:rsid w:val="00EC53B7"/>
    <w:rsid w:val="00EC540A"/>
    <w:rsid w:val="00EC56D9"/>
    <w:rsid w:val="00EC5758"/>
    <w:rsid w:val="00EC5914"/>
    <w:rsid w:val="00EC599D"/>
    <w:rsid w:val="00EC5AB3"/>
    <w:rsid w:val="00EC5B09"/>
    <w:rsid w:val="00EC5D33"/>
    <w:rsid w:val="00EC5D39"/>
    <w:rsid w:val="00EC5EC3"/>
    <w:rsid w:val="00EC60F2"/>
    <w:rsid w:val="00EC6182"/>
    <w:rsid w:val="00EC63FA"/>
    <w:rsid w:val="00EC6744"/>
    <w:rsid w:val="00EC6787"/>
    <w:rsid w:val="00EC68BD"/>
    <w:rsid w:val="00EC6AAE"/>
    <w:rsid w:val="00EC6AC7"/>
    <w:rsid w:val="00EC6AEA"/>
    <w:rsid w:val="00EC6B84"/>
    <w:rsid w:val="00EC6CAC"/>
    <w:rsid w:val="00EC6CFB"/>
    <w:rsid w:val="00EC6E55"/>
    <w:rsid w:val="00EC6FD0"/>
    <w:rsid w:val="00EC6FE8"/>
    <w:rsid w:val="00EC705D"/>
    <w:rsid w:val="00EC7113"/>
    <w:rsid w:val="00EC7135"/>
    <w:rsid w:val="00EC715B"/>
    <w:rsid w:val="00EC718A"/>
    <w:rsid w:val="00EC71F8"/>
    <w:rsid w:val="00EC7246"/>
    <w:rsid w:val="00EC7291"/>
    <w:rsid w:val="00EC7376"/>
    <w:rsid w:val="00EC73D0"/>
    <w:rsid w:val="00EC7442"/>
    <w:rsid w:val="00EC758C"/>
    <w:rsid w:val="00EC765D"/>
    <w:rsid w:val="00EC7714"/>
    <w:rsid w:val="00EC77CC"/>
    <w:rsid w:val="00EC77E2"/>
    <w:rsid w:val="00EC7A12"/>
    <w:rsid w:val="00EC7AB1"/>
    <w:rsid w:val="00EC7C1F"/>
    <w:rsid w:val="00EC7C3B"/>
    <w:rsid w:val="00EC7CDE"/>
    <w:rsid w:val="00EC7E43"/>
    <w:rsid w:val="00ED0172"/>
    <w:rsid w:val="00ED0275"/>
    <w:rsid w:val="00ED0951"/>
    <w:rsid w:val="00ED098A"/>
    <w:rsid w:val="00ED0F15"/>
    <w:rsid w:val="00ED0F7D"/>
    <w:rsid w:val="00ED10A3"/>
    <w:rsid w:val="00ED1260"/>
    <w:rsid w:val="00ED12AD"/>
    <w:rsid w:val="00ED1382"/>
    <w:rsid w:val="00ED138B"/>
    <w:rsid w:val="00ED13E5"/>
    <w:rsid w:val="00ED154D"/>
    <w:rsid w:val="00ED158E"/>
    <w:rsid w:val="00ED1676"/>
    <w:rsid w:val="00ED1739"/>
    <w:rsid w:val="00ED192C"/>
    <w:rsid w:val="00ED1992"/>
    <w:rsid w:val="00ED1A07"/>
    <w:rsid w:val="00ED1CA1"/>
    <w:rsid w:val="00ED1D8F"/>
    <w:rsid w:val="00ED1F2F"/>
    <w:rsid w:val="00ED1F61"/>
    <w:rsid w:val="00ED1FCF"/>
    <w:rsid w:val="00ED20FA"/>
    <w:rsid w:val="00ED21AB"/>
    <w:rsid w:val="00ED22A9"/>
    <w:rsid w:val="00ED23D0"/>
    <w:rsid w:val="00ED23EF"/>
    <w:rsid w:val="00ED28D8"/>
    <w:rsid w:val="00ED2A04"/>
    <w:rsid w:val="00ED2A66"/>
    <w:rsid w:val="00ED2A93"/>
    <w:rsid w:val="00ED2BB6"/>
    <w:rsid w:val="00ED2C85"/>
    <w:rsid w:val="00ED2D3E"/>
    <w:rsid w:val="00ED2E8A"/>
    <w:rsid w:val="00ED2F05"/>
    <w:rsid w:val="00ED2F84"/>
    <w:rsid w:val="00ED30DC"/>
    <w:rsid w:val="00ED32CA"/>
    <w:rsid w:val="00ED339B"/>
    <w:rsid w:val="00ED349C"/>
    <w:rsid w:val="00ED34F2"/>
    <w:rsid w:val="00ED34F4"/>
    <w:rsid w:val="00ED354E"/>
    <w:rsid w:val="00ED35F0"/>
    <w:rsid w:val="00ED3656"/>
    <w:rsid w:val="00ED37C9"/>
    <w:rsid w:val="00ED399F"/>
    <w:rsid w:val="00ED39EF"/>
    <w:rsid w:val="00ED3A59"/>
    <w:rsid w:val="00ED3B7A"/>
    <w:rsid w:val="00ED3D5E"/>
    <w:rsid w:val="00ED3E8C"/>
    <w:rsid w:val="00ED3FBE"/>
    <w:rsid w:val="00ED406A"/>
    <w:rsid w:val="00ED40D7"/>
    <w:rsid w:val="00ED418E"/>
    <w:rsid w:val="00ED41BE"/>
    <w:rsid w:val="00ED4309"/>
    <w:rsid w:val="00ED43EE"/>
    <w:rsid w:val="00ED45CF"/>
    <w:rsid w:val="00ED4636"/>
    <w:rsid w:val="00ED46D9"/>
    <w:rsid w:val="00ED4A83"/>
    <w:rsid w:val="00ED4C9A"/>
    <w:rsid w:val="00ED4CDC"/>
    <w:rsid w:val="00ED4D7A"/>
    <w:rsid w:val="00ED4E01"/>
    <w:rsid w:val="00ED4F5E"/>
    <w:rsid w:val="00ED514B"/>
    <w:rsid w:val="00ED51B7"/>
    <w:rsid w:val="00ED527E"/>
    <w:rsid w:val="00ED52DA"/>
    <w:rsid w:val="00ED5476"/>
    <w:rsid w:val="00ED5656"/>
    <w:rsid w:val="00ED56FB"/>
    <w:rsid w:val="00ED57C4"/>
    <w:rsid w:val="00ED5886"/>
    <w:rsid w:val="00ED5B3E"/>
    <w:rsid w:val="00ED5B64"/>
    <w:rsid w:val="00ED5BDB"/>
    <w:rsid w:val="00ED5D11"/>
    <w:rsid w:val="00ED5D94"/>
    <w:rsid w:val="00ED5DC0"/>
    <w:rsid w:val="00ED60AB"/>
    <w:rsid w:val="00ED62C5"/>
    <w:rsid w:val="00ED66A7"/>
    <w:rsid w:val="00ED67D2"/>
    <w:rsid w:val="00ED6A01"/>
    <w:rsid w:val="00ED6A46"/>
    <w:rsid w:val="00ED6EE4"/>
    <w:rsid w:val="00ED7113"/>
    <w:rsid w:val="00ED7131"/>
    <w:rsid w:val="00ED7142"/>
    <w:rsid w:val="00ED7277"/>
    <w:rsid w:val="00ED73C5"/>
    <w:rsid w:val="00ED751F"/>
    <w:rsid w:val="00ED7579"/>
    <w:rsid w:val="00ED758E"/>
    <w:rsid w:val="00ED75A8"/>
    <w:rsid w:val="00ED7844"/>
    <w:rsid w:val="00ED78A4"/>
    <w:rsid w:val="00ED799A"/>
    <w:rsid w:val="00ED79D0"/>
    <w:rsid w:val="00ED7A8C"/>
    <w:rsid w:val="00ED7A91"/>
    <w:rsid w:val="00ED7BA6"/>
    <w:rsid w:val="00ED7C93"/>
    <w:rsid w:val="00ED7CB5"/>
    <w:rsid w:val="00ED7D51"/>
    <w:rsid w:val="00ED7EC0"/>
    <w:rsid w:val="00ED7F21"/>
    <w:rsid w:val="00ED7FB5"/>
    <w:rsid w:val="00EE0164"/>
    <w:rsid w:val="00EE02C0"/>
    <w:rsid w:val="00EE0327"/>
    <w:rsid w:val="00EE0404"/>
    <w:rsid w:val="00EE04A4"/>
    <w:rsid w:val="00EE04B5"/>
    <w:rsid w:val="00EE05A1"/>
    <w:rsid w:val="00EE0625"/>
    <w:rsid w:val="00EE0674"/>
    <w:rsid w:val="00EE070F"/>
    <w:rsid w:val="00EE075B"/>
    <w:rsid w:val="00EE0894"/>
    <w:rsid w:val="00EE08D9"/>
    <w:rsid w:val="00EE0B93"/>
    <w:rsid w:val="00EE0BBA"/>
    <w:rsid w:val="00EE0BF4"/>
    <w:rsid w:val="00EE0C13"/>
    <w:rsid w:val="00EE0D75"/>
    <w:rsid w:val="00EE0D76"/>
    <w:rsid w:val="00EE0DD9"/>
    <w:rsid w:val="00EE0ED0"/>
    <w:rsid w:val="00EE0F63"/>
    <w:rsid w:val="00EE107B"/>
    <w:rsid w:val="00EE10BE"/>
    <w:rsid w:val="00EE1244"/>
    <w:rsid w:val="00EE1422"/>
    <w:rsid w:val="00EE1444"/>
    <w:rsid w:val="00EE144D"/>
    <w:rsid w:val="00EE14C7"/>
    <w:rsid w:val="00EE15F5"/>
    <w:rsid w:val="00EE164E"/>
    <w:rsid w:val="00EE16E6"/>
    <w:rsid w:val="00EE1827"/>
    <w:rsid w:val="00EE1841"/>
    <w:rsid w:val="00EE1870"/>
    <w:rsid w:val="00EE1A6F"/>
    <w:rsid w:val="00EE1B22"/>
    <w:rsid w:val="00EE1B25"/>
    <w:rsid w:val="00EE1BBE"/>
    <w:rsid w:val="00EE1E15"/>
    <w:rsid w:val="00EE1E4A"/>
    <w:rsid w:val="00EE2203"/>
    <w:rsid w:val="00EE22DD"/>
    <w:rsid w:val="00EE2479"/>
    <w:rsid w:val="00EE24F7"/>
    <w:rsid w:val="00EE253F"/>
    <w:rsid w:val="00EE272B"/>
    <w:rsid w:val="00EE2ABE"/>
    <w:rsid w:val="00EE2B97"/>
    <w:rsid w:val="00EE2C94"/>
    <w:rsid w:val="00EE2D16"/>
    <w:rsid w:val="00EE2E51"/>
    <w:rsid w:val="00EE2EFD"/>
    <w:rsid w:val="00EE30A1"/>
    <w:rsid w:val="00EE3356"/>
    <w:rsid w:val="00EE34AA"/>
    <w:rsid w:val="00EE35DD"/>
    <w:rsid w:val="00EE36CD"/>
    <w:rsid w:val="00EE36DD"/>
    <w:rsid w:val="00EE3705"/>
    <w:rsid w:val="00EE381A"/>
    <w:rsid w:val="00EE389D"/>
    <w:rsid w:val="00EE395B"/>
    <w:rsid w:val="00EE39BB"/>
    <w:rsid w:val="00EE39D3"/>
    <w:rsid w:val="00EE3A2B"/>
    <w:rsid w:val="00EE3B3F"/>
    <w:rsid w:val="00EE3C55"/>
    <w:rsid w:val="00EE3C6F"/>
    <w:rsid w:val="00EE3CC2"/>
    <w:rsid w:val="00EE3D80"/>
    <w:rsid w:val="00EE3D89"/>
    <w:rsid w:val="00EE3DC2"/>
    <w:rsid w:val="00EE3F42"/>
    <w:rsid w:val="00EE3F64"/>
    <w:rsid w:val="00EE422E"/>
    <w:rsid w:val="00EE456B"/>
    <w:rsid w:val="00EE45F5"/>
    <w:rsid w:val="00EE4693"/>
    <w:rsid w:val="00EE4705"/>
    <w:rsid w:val="00EE4801"/>
    <w:rsid w:val="00EE481F"/>
    <w:rsid w:val="00EE4A45"/>
    <w:rsid w:val="00EE4A85"/>
    <w:rsid w:val="00EE4BE8"/>
    <w:rsid w:val="00EE4CC7"/>
    <w:rsid w:val="00EE4DBA"/>
    <w:rsid w:val="00EE4EEF"/>
    <w:rsid w:val="00EE5226"/>
    <w:rsid w:val="00EE526D"/>
    <w:rsid w:val="00EE52F5"/>
    <w:rsid w:val="00EE5485"/>
    <w:rsid w:val="00EE54FE"/>
    <w:rsid w:val="00EE561D"/>
    <w:rsid w:val="00EE58B1"/>
    <w:rsid w:val="00EE5902"/>
    <w:rsid w:val="00EE59CF"/>
    <w:rsid w:val="00EE5A61"/>
    <w:rsid w:val="00EE5C46"/>
    <w:rsid w:val="00EE5E81"/>
    <w:rsid w:val="00EE5F0E"/>
    <w:rsid w:val="00EE60C9"/>
    <w:rsid w:val="00EE610C"/>
    <w:rsid w:val="00EE62F9"/>
    <w:rsid w:val="00EE6304"/>
    <w:rsid w:val="00EE635F"/>
    <w:rsid w:val="00EE6402"/>
    <w:rsid w:val="00EE6695"/>
    <w:rsid w:val="00EE6717"/>
    <w:rsid w:val="00EE695D"/>
    <w:rsid w:val="00EE6982"/>
    <w:rsid w:val="00EE6A7D"/>
    <w:rsid w:val="00EE6ACB"/>
    <w:rsid w:val="00EE6B92"/>
    <w:rsid w:val="00EE6CFE"/>
    <w:rsid w:val="00EE6D55"/>
    <w:rsid w:val="00EE6D84"/>
    <w:rsid w:val="00EE6EC3"/>
    <w:rsid w:val="00EE6F56"/>
    <w:rsid w:val="00EE6F7A"/>
    <w:rsid w:val="00EE7065"/>
    <w:rsid w:val="00EE72E7"/>
    <w:rsid w:val="00EE74E6"/>
    <w:rsid w:val="00EE74EA"/>
    <w:rsid w:val="00EE7626"/>
    <w:rsid w:val="00EE76DB"/>
    <w:rsid w:val="00EE7726"/>
    <w:rsid w:val="00EE78E9"/>
    <w:rsid w:val="00EE798A"/>
    <w:rsid w:val="00EE7A57"/>
    <w:rsid w:val="00EE7C24"/>
    <w:rsid w:val="00EE7C5D"/>
    <w:rsid w:val="00EE7CB3"/>
    <w:rsid w:val="00EE7E04"/>
    <w:rsid w:val="00EE7E1B"/>
    <w:rsid w:val="00EE7E7D"/>
    <w:rsid w:val="00EE7F46"/>
    <w:rsid w:val="00EF016B"/>
    <w:rsid w:val="00EF027B"/>
    <w:rsid w:val="00EF0405"/>
    <w:rsid w:val="00EF0424"/>
    <w:rsid w:val="00EF05FB"/>
    <w:rsid w:val="00EF0626"/>
    <w:rsid w:val="00EF064E"/>
    <w:rsid w:val="00EF0924"/>
    <w:rsid w:val="00EF09D8"/>
    <w:rsid w:val="00EF0A43"/>
    <w:rsid w:val="00EF0B77"/>
    <w:rsid w:val="00EF0B7B"/>
    <w:rsid w:val="00EF0BEF"/>
    <w:rsid w:val="00EF0D3A"/>
    <w:rsid w:val="00EF11B9"/>
    <w:rsid w:val="00EF139B"/>
    <w:rsid w:val="00EF1423"/>
    <w:rsid w:val="00EF1478"/>
    <w:rsid w:val="00EF14CF"/>
    <w:rsid w:val="00EF1A20"/>
    <w:rsid w:val="00EF1A63"/>
    <w:rsid w:val="00EF1AA7"/>
    <w:rsid w:val="00EF1B01"/>
    <w:rsid w:val="00EF1C5C"/>
    <w:rsid w:val="00EF1D16"/>
    <w:rsid w:val="00EF1F80"/>
    <w:rsid w:val="00EF2105"/>
    <w:rsid w:val="00EF2203"/>
    <w:rsid w:val="00EF23A3"/>
    <w:rsid w:val="00EF248E"/>
    <w:rsid w:val="00EF269A"/>
    <w:rsid w:val="00EF2743"/>
    <w:rsid w:val="00EF2775"/>
    <w:rsid w:val="00EF2A07"/>
    <w:rsid w:val="00EF2A75"/>
    <w:rsid w:val="00EF2AE5"/>
    <w:rsid w:val="00EF2B95"/>
    <w:rsid w:val="00EF2D2F"/>
    <w:rsid w:val="00EF2DEA"/>
    <w:rsid w:val="00EF310F"/>
    <w:rsid w:val="00EF3124"/>
    <w:rsid w:val="00EF31DA"/>
    <w:rsid w:val="00EF33B6"/>
    <w:rsid w:val="00EF3435"/>
    <w:rsid w:val="00EF3535"/>
    <w:rsid w:val="00EF367C"/>
    <w:rsid w:val="00EF377E"/>
    <w:rsid w:val="00EF389F"/>
    <w:rsid w:val="00EF391F"/>
    <w:rsid w:val="00EF3BA2"/>
    <w:rsid w:val="00EF3C33"/>
    <w:rsid w:val="00EF3DBD"/>
    <w:rsid w:val="00EF3E1C"/>
    <w:rsid w:val="00EF3E54"/>
    <w:rsid w:val="00EF3FB9"/>
    <w:rsid w:val="00EF4031"/>
    <w:rsid w:val="00EF4036"/>
    <w:rsid w:val="00EF40AB"/>
    <w:rsid w:val="00EF4103"/>
    <w:rsid w:val="00EF41E1"/>
    <w:rsid w:val="00EF4518"/>
    <w:rsid w:val="00EF463D"/>
    <w:rsid w:val="00EF49AA"/>
    <w:rsid w:val="00EF4CF9"/>
    <w:rsid w:val="00EF4D58"/>
    <w:rsid w:val="00EF4D99"/>
    <w:rsid w:val="00EF4E07"/>
    <w:rsid w:val="00EF4E30"/>
    <w:rsid w:val="00EF5053"/>
    <w:rsid w:val="00EF5058"/>
    <w:rsid w:val="00EF5069"/>
    <w:rsid w:val="00EF5422"/>
    <w:rsid w:val="00EF569B"/>
    <w:rsid w:val="00EF57B7"/>
    <w:rsid w:val="00EF57C2"/>
    <w:rsid w:val="00EF5958"/>
    <w:rsid w:val="00EF5AE4"/>
    <w:rsid w:val="00EF5BC4"/>
    <w:rsid w:val="00EF5C15"/>
    <w:rsid w:val="00EF5C1B"/>
    <w:rsid w:val="00EF5D2F"/>
    <w:rsid w:val="00EF5D36"/>
    <w:rsid w:val="00EF5E23"/>
    <w:rsid w:val="00EF5F1B"/>
    <w:rsid w:val="00EF5F95"/>
    <w:rsid w:val="00EF606F"/>
    <w:rsid w:val="00EF6172"/>
    <w:rsid w:val="00EF617C"/>
    <w:rsid w:val="00EF6207"/>
    <w:rsid w:val="00EF6348"/>
    <w:rsid w:val="00EF6361"/>
    <w:rsid w:val="00EF63CB"/>
    <w:rsid w:val="00EF6432"/>
    <w:rsid w:val="00EF6541"/>
    <w:rsid w:val="00EF66DB"/>
    <w:rsid w:val="00EF68EB"/>
    <w:rsid w:val="00EF69D2"/>
    <w:rsid w:val="00EF6AB2"/>
    <w:rsid w:val="00EF6AE2"/>
    <w:rsid w:val="00EF6AEB"/>
    <w:rsid w:val="00EF6BFC"/>
    <w:rsid w:val="00EF6DE7"/>
    <w:rsid w:val="00EF6E1E"/>
    <w:rsid w:val="00EF6E3C"/>
    <w:rsid w:val="00EF6E3E"/>
    <w:rsid w:val="00EF7064"/>
    <w:rsid w:val="00EF709C"/>
    <w:rsid w:val="00EF7209"/>
    <w:rsid w:val="00EF72FD"/>
    <w:rsid w:val="00EF7453"/>
    <w:rsid w:val="00EF7478"/>
    <w:rsid w:val="00EF74A6"/>
    <w:rsid w:val="00EF74EA"/>
    <w:rsid w:val="00EF779A"/>
    <w:rsid w:val="00EF797D"/>
    <w:rsid w:val="00EF7983"/>
    <w:rsid w:val="00EF7AC0"/>
    <w:rsid w:val="00EF7B78"/>
    <w:rsid w:val="00EF7C35"/>
    <w:rsid w:val="00EF7CA2"/>
    <w:rsid w:val="00F00052"/>
    <w:rsid w:val="00F0010D"/>
    <w:rsid w:val="00F002A5"/>
    <w:rsid w:val="00F00446"/>
    <w:rsid w:val="00F00481"/>
    <w:rsid w:val="00F005CF"/>
    <w:rsid w:val="00F00642"/>
    <w:rsid w:val="00F00810"/>
    <w:rsid w:val="00F0099A"/>
    <w:rsid w:val="00F00BF6"/>
    <w:rsid w:val="00F00F96"/>
    <w:rsid w:val="00F010FF"/>
    <w:rsid w:val="00F011AA"/>
    <w:rsid w:val="00F01386"/>
    <w:rsid w:val="00F013AC"/>
    <w:rsid w:val="00F01435"/>
    <w:rsid w:val="00F0180B"/>
    <w:rsid w:val="00F01929"/>
    <w:rsid w:val="00F01B00"/>
    <w:rsid w:val="00F01B57"/>
    <w:rsid w:val="00F01BE8"/>
    <w:rsid w:val="00F01CD8"/>
    <w:rsid w:val="00F01EA7"/>
    <w:rsid w:val="00F01FE1"/>
    <w:rsid w:val="00F01FFC"/>
    <w:rsid w:val="00F02147"/>
    <w:rsid w:val="00F02263"/>
    <w:rsid w:val="00F0226C"/>
    <w:rsid w:val="00F02363"/>
    <w:rsid w:val="00F0245A"/>
    <w:rsid w:val="00F02576"/>
    <w:rsid w:val="00F026C6"/>
    <w:rsid w:val="00F028A1"/>
    <w:rsid w:val="00F02993"/>
    <w:rsid w:val="00F02B1B"/>
    <w:rsid w:val="00F02C63"/>
    <w:rsid w:val="00F02C73"/>
    <w:rsid w:val="00F02CC8"/>
    <w:rsid w:val="00F02D0B"/>
    <w:rsid w:val="00F02D56"/>
    <w:rsid w:val="00F02E2D"/>
    <w:rsid w:val="00F02EA3"/>
    <w:rsid w:val="00F03183"/>
    <w:rsid w:val="00F031B3"/>
    <w:rsid w:val="00F033F0"/>
    <w:rsid w:val="00F035A7"/>
    <w:rsid w:val="00F03733"/>
    <w:rsid w:val="00F037B6"/>
    <w:rsid w:val="00F03A23"/>
    <w:rsid w:val="00F03AE4"/>
    <w:rsid w:val="00F03CE6"/>
    <w:rsid w:val="00F03E66"/>
    <w:rsid w:val="00F03F93"/>
    <w:rsid w:val="00F03FE7"/>
    <w:rsid w:val="00F04036"/>
    <w:rsid w:val="00F040AD"/>
    <w:rsid w:val="00F04125"/>
    <w:rsid w:val="00F04164"/>
    <w:rsid w:val="00F043ED"/>
    <w:rsid w:val="00F044DE"/>
    <w:rsid w:val="00F04606"/>
    <w:rsid w:val="00F048CF"/>
    <w:rsid w:val="00F0498A"/>
    <w:rsid w:val="00F04A1E"/>
    <w:rsid w:val="00F04AAC"/>
    <w:rsid w:val="00F04AEE"/>
    <w:rsid w:val="00F04B71"/>
    <w:rsid w:val="00F04BCB"/>
    <w:rsid w:val="00F04C1B"/>
    <w:rsid w:val="00F04C93"/>
    <w:rsid w:val="00F04F87"/>
    <w:rsid w:val="00F050ED"/>
    <w:rsid w:val="00F051DC"/>
    <w:rsid w:val="00F05237"/>
    <w:rsid w:val="00F05573"/>
    <w:rsid w:val="00F05632"/>
    <w:rsid w:val="00F056B8"/>
    <w:rsid w:val="00F057E3"/>
    <w:rsid w:val="00F0582F"/>
    <w:rsid w:val="00F05B55"/>
    <w:rsid w:val="00F05D98"/>
    <w:rsid w:val="00F06293"/>
    <w:rsid w:val="00F062D3"/>
    <w:rsid w:val="00F062E7"/>
    <w:rsid w:val="00F064DF"/>
    <w:rsid w:val="00F06517"/>
    <w:rsid w:val="00F06650"/>
    <w:rsid w:val="00F066F4"/>
    <w:rsid w:val="00F066FF"/>
    <w:rsid w:val="00F067C9"/>
    <w:rsid w:val="00F067DD"/>
    <w:rsid w:val="00F06932"/>
    <w:rsid w:val="00F06982"/>
    <w:rsid w:val="00F06AAB"/>
    <w:rsid w:val="00F06ADC"/>
    <w:rsid w:val="00F06D5D"/>
    <w:rsid w:val="00F06DF2"/>
    <w:rsid w:val="00F06E69"/>
    <w:rsid w:val="00F06ECD"/>
    <w:rsid w:val="00F0704D"/>
    <w:rsid w:val="00F07107"/>
    <w:rsid w:val="00F0710A"/>
    <w:rsid w:val="00F07170"/>
    <w:rsid w:val="00F071BC"/>
    <w:rsid w:val="00F07387"/>
    <w:rsid w:val="00F075DA"/>
    <w:rsid w:val="00F0774C"/>
    <w:rsid w:val="00F07895"/>
    <w:rsid w:val="00F078BA"/>
    <w:rsid w:val="00F07A17"/>
    <w:rsid w:val="00F07B56"/>
    <w:rsid w:val="00F07D69"/>
    <w:rsid w:val="00F07D74"/>
    <w:rsid w:val="00F07D82"/>
    <w:rsid w:val="00F07F84"/>
    <w:rsid w:val="00F10237"/>
    <w:rsid w:val="00F1045C"/>
    <w:rsid w:val="00F10469"/>
    <w:rsid w:val="00F104CA"/>
    <w:rsid w:val="00F10579"/>
    <w:rsid w:val="00F1065A"/>
    <w:rsid w:val="00F10AB4"/>
    <w:rsid w:val="00F10ABA"/>
    <w:rsid w:val="00F10BA6"/>
    <w:rsid w:val="00F10C6D"/>
    <w:rsid w:val="00F10CD2"/>
    <w:rsid w:val="00F10D33"/>
    <w:rsid w:val="00F10E65"/>
    <w:rsid w:val="00F10EA6"/>
    <w:rsid w:val="00F11242"/>
    <w:rsid w:val="00F113A3"/>
    <w:rsid w:val="00F11527"/>
    <w:rsid w:val="00F115A2"/>
    <w:rsid w:val="00F11754"/>
    <w:rsid w:val="00F11790"/>
    <w:rsid w:val="00F1197B"/>
    <w:rsid w:val="00F119EF"/>
    <w:rsid w:val="00F11A00"/>
    <w:rsid w:val="00F11A57"/>
    <w:rsid w:val="00F11B03"/>
    <w:rsid w:val="00F11B1C"/>
    <w:rsid w:val="00F11B45"/>
    <w:rsid w:val="00F11DE1"/>
    <w:rsid w:val="00F11EFD"/>
    <w:rsid w:val="00F11F11"/>
    <w:rsid w:val="00F11F81"/>
    <w:rsid w:val="00F121FA"/>
    <w:rsid w:val="00F12248"/>
    <w:rsid w:val="00F1248C"/>
    <w:rsid w:val="00F126D4"/>
    <w:rsid w:val="00F1271E"/>
    <w:rsid w:val="00F1276E"/>
    <w:rsid w:val="00F127DE"/>
    <w:rsid w:val="00F1289C"/>
    <w:rsid w:val="00F12B11"/>
    <w:rsid w:val="00F12CED"/>
    <w:rsid w:val="00F12D53"/>
    <w:rsid w:val="00F130D9"/>
    <w:rsid w:val="00F1380E"/>
    <w:rsid w:val="00F13819"/>
    <w:rsid w:val="00F138A4"/>
    <w:rsid w:val="00F138B9"/>
    <w:rsid w:val="00F138CD"/>
    <w:rsid w:val="00F13B76"/>
    <w:rsid w:val="00F13CD1"/>
    <w:rsid w:val="00F13DB2"/>
    <w:rsid w:val="00F13F2F"/>
    <w:rsid w:val="00F13F4A"/>
    <w:rsid w:val="00F1414B"/>
    <w:rsid w:val="00F14270"/>
    <w:rsid w:val="00F14623"/>
    <w:rsid w:val="00F1469A"/>
    <w:rsid w:val="00F1477A"/>
    <w:rsid w:val="00F1486E"/>
    <w:rsid w:val="00F1496B"/>
    <w:rsid w:val="00F14A7C"/>
    <w:rsid w:val="00F14B8C"/>
    <w:rsid w:val="00F14E0A"/>
    <w:rsid w:val="00F15067"/>
    <w:rsid w:val="00F151D7"/>
    <w:rsid w:val="00F1531A"/>
    <w:rsid w:val="00F156C2"/>
    <w:rsid w:val="00F156E6"/>
    <w:rsid w:val="00F15722"/>
    <w:rsid w:val="00F159B0"/>
    <w:rsid w:val="00F159BF"/>
    <w:rsid w:val="00F15A3F"/>
    <w:rsid w:val="00F15DD3"/>
    <w:rsid w:val="00F15E3C"/>
    <w:rsid w:val="00F15F5E"/>
    <w:rsid w:val="00F15FD2"/>
    <w:rsid w:val="00F161C9"/>
    <w:rsid w:val="00F16404"/>
    <w:rsid w:val="00F16417"/>
    <w:rsid w:val="00F164BC"/>
    <w:rsid w:val="00F1658C"/>
    <w:rsid w:val="00F16658"/>
    <w:rsid w:val="00F166E6"/>
    <w:rsid w:val="00F167F1"/>
    <w:rsid w:val="00F1690C"/>
    <w:rsid w:val="00F169D9"/>
    <w:rsid w:val="00F16AD1"/>
    <w:rsid w:val="00F16B36"/>
    <w:rsid w:val="00F16CA3"/>
    <w:rsid w:val="00F16CB9"/>
    <w:rsid w:val="00F16CF4"/>
    <w:rsid w:val="00F16DE2"/>
    <w:rsid w:val="00F16E3F"/>
    <w:rsid w:val="00F16E51"/>
    <w:rsid w:val="00F16E7D"/>
    <w:rsid w:val="00F16F26"/>
    <w:rsid w:val="00F1720B"/>
    <w:rsid w:val="00F17238"/>
    <w:rsid w:val="00F1723B"/>
    <w:rsid w:val="00F17511"/>
    <w:rsid w:val="00F17555"/>
    <w:rsid w:val="00F175B1"/>
    <w:rsid w:val="00F1779A"/>
    <w:rsid w:val="00F17C89"/>
    <w:rsid w:val="00F17CBD"/>
    <w:rsid w:val="00F17D47"/>
    <w:rsid w:val="00F17EDD"/>
    <w:rsid w:val="00F17F03"/>
    <w:rsid w:val="00F17F95"/>
    <w:rsid w:val="00F20024"/>
    <w:rsid w:val="00F20241"/>
    <w:rsid w:val="00F20388"/>
    <w:rsid w:val="00F20552"/>
    <w:rsid w:val="00F20596"/>
    <w:rsid w:val="00F20633"/>
    <w:rsid w:val="00F206CC"/>
    <w:rsid w:val="00F207D3"/>
    <w:rsid w:val="00F20837"/>
    <w:rsid w:val="00F20E31"/>
    <w:rsid w:val="00F20E39"/>
    <w:rsid w:val="00F20E7B"/>
    <w:rsid w:val="00F20F6B"/>
    <w:rsid w:val="00F20FC7"/>
    <w:rsid w:val="00F210E8"/>
    <w:rsid w:val="00F2114D"/>
    <w:rsid w:val="00F211DA"/>
    <w:rsid w:val="00F2128E"/>
    <w:rsid w:val="00F21496"/>
    <w:rsid w:val="00F214D4"/>
    <w:rsid w:val="00F214F6"/>
    <w:rsid w:val="00F215B9"/>
    <w:rsid w:val="00F21754"/>
    <w:rsid w:val="00F2180D"/>
    <w:rsid w:val="00F2190B"/>
    <w:rsid w:val="00F21A6B"/>
    <w:rsid w:val="00F21BC8"/>
    <w:rsid w:val="00F21C3A"/>
    <w:rsid w:val="00F21CA7"/>
    <w:rsid w:val="00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val="00F22C67"/>
    <w:rsid w:val="00F22CE2"/>
    <w:rsid w:val="00F22E41"/>
    <w:rsid w:val="00F23043"/>
    <w:rsid w:val="00F231B8"/>
    <w:rsid w:val="00F231EB"/>
    <w:rsid w:val="00F23223"/>
    <w:rsid w:val="00F23316"/>
    <w:rsid w:val="00F23491"/>
    <w:rsid w:val="00F2349C"/>
    <w:rsid w:val="00F23680"/>
    <w:rsid w:val="00F2379F"/>
    <w:rsid w:val="00F237CA"/>
    <w:rsid w:val="00F237F6"/>
    <w:rsid w:val="00F238AD"/>
    <w:rsid w:val="00F238B7"/>
    <w:rsid w:val="00F239D8"/>
    <w:rsid w:val="00F23A11"/>
    <w:rsid w:val="00F23BFC"/>
    <w:rsid w:val="00F23CC9"/>
    <w:rsid w:val="00F23E9B"/>
    <w:rsid w:val="00F23FB4"/>
    <w:rsid w:val="00F240EE"/>
    <w:rsid w:val="00F240FA"/>
    <w:rsid w:val="00F24259"/>
    <w:rsid w:val="00F24356"/>
    <w:rsid w:val="00F2447B"/>
    <w:rsid w:val="00F244C2"/>
    <w:rsid w:val="00F244F0"/>
    <w:rsid w:val="00F24772"/>
    <w:rsid w:val="00F248FD"/>
    <w:rsid w:val="00F24D5D"/>
    <w:rsid w:val="00F24DAC"/>
    <w:rsid w:val="00F24DAE"/>
    <w:rsid w:val="00F24E43"/>
    <w:rsid w:val="00F24EC1"/>
    <w:rsid w:val="00F24F41"/>
    <w:rsid w:val="00F2503B"/>
    <w:rsid w:val="00F251DF"/>
    <w:rsid w:val="00F25256"/>
    <w:rsid w:val="00F255A6"/>
    <w:rsid w:val="00F25613"/>
    <w:rsid w:val="00F25696"/>
    <w:rsid w:val="00F256D1"/>
    <w:rsid w:val="00F25DF6"/>
    <w:rsid w:val="00F25EEA"/>
    <w:rsid w:val="00F2617E"/>
    <w:rsid w:val="00F26301"/>
    <w:rsid w:val="00F263C2"/>
    <w:rsid w:val="00F26637"/>
    <w:rsid w:val="00F266AF"/>
    <w:rsid w:val="00F26832"/>
    <w:rsid w:val="00F26AFA"/>
    <w:rsid w:val="00F26C09"/>
    <w:rsid w:val="00F26C6A"/>
    <w:rsid w:val="00F26DEB"/>
    <w:rsid w:val="00F26FA9"/>
    <w:rsid w:val="00F27031"/>
    <w:rsid w:val="00F275AC"/>
    <w:rsid w:val="00F275AF"/>
    <w:rsid w:val="00F275F3"/>
    <w:rsid w:val="00F27605"/>
    <w:rsid w:val="00F27777"/>
    <w:rsid w:val="00F277E5"/>
    <w:rsid w:val="00F279AE"/>
    <w:rsid w:val="00F27BB9"/>
    <w:rsid w:val="00F27C80"/>
    <w:rsid w:val="00F27CEC"/>
    <w:rsid w:val="00F27DB1"/>
    <w:rsid w:val="00F27F12"/>
    <w:rsid w:val="00F30092"/>
    <w:rsid w:val="00F30183"/>
    <w:rsid w:val="00F301ED"/>
    <w:rsid w:val="00F3084A"/>
    <w:rsid w:val="00F3091E"/>
    <w:rsid w:val="00F309AA"/>
    <w:rsid w:val="00F30A61"/>
    <w:rsid w:val="00F30CAC"/>
    <w:rsid w:val="00F30D1E"/>
    <w:rsid w:val="00F30DD2"/>
    <w:rsid w:val="00F30FA5"/>
    <w:rsid w:val="00F31055"/>
    <w:rsid w:val="00F3105F"/>
    <w:rsid w:val="00F31069"/>
    <w:rsid w:val="00F31245"/>
    <w:rsid w:val="00F312F2"/>
    <w:rsid w:val="00F31371"/>
    <w:rsid w:val="00F31388"/>
    <w:rsid w:val="00F31470"/>
    <w:rsid w:val="00F31485"/>
    <w:rsid w:val="00F314AB"/>
    <w:rsid w:val="00F31563"/>
    <w:rsid w:val="00F31718"/>
    <w:rsid w:val="00F3181F"/>
    <w:rsid w:val="00F31858"/>
    <w:rsid w:val="00F3188A"/>
    <w:rsid w:val="00F31901"/>
    <w:rsid w:val="00F31B5D"/>
    <w:rsid w:val="00F31BAD"/>
    <w:rsid w:val="00F31BCE"/>
    <w:rsid w:val="00F31D5E"/>
    <w:rsid w:val="00F31E45"/>
    <w:rsid w:val="00F31F8D"/>
    <w:rsid w:val="00F31FF4"/>
    <w:rsid w:val="00F321E0"/>
    <w:rsid w:val="00F3229B"/>
    <w:rsid w:val="00F322CD"/>
    <w:rsid w:val="00F323CB"/>
    <w:rsid w:val="00F3248D"/>
    <w:rsid w:val="00F32531"/>
    <w:rsid w:val="00F32608"/>
    <w:rsid w:val="00F32743"/>
    <w:rsid w:val="00F327E8"/>
    <w:rsid w:val="00F3281B"/>
    <w:rsid w:val="00F32A16"/>
    <w:rsid w:val="00F32A57"/>
    <w:rsid w:val="00F32B7F"/>
    <w:rsid w:val="00F32BF0"/>
    <w:rsid w:val="00F32CDE"/>
    <w:rsid w:val="00F32D3C"/>
    <w:rsid w:val="00F32ED6"/>
    <w:rsid w:val="00F330BE"/>
    <w:rsid w:val="00F330C3"/>
    <w:rsid w:val="00F3311B"/>
    <w:rsid w:val="00F33233"/>
    <w:rsid w:val="00F33318"/>
    <w:rsid w:val="00F333CB"/>
    <w:rsid w:val="00F33482"/>
    <w:rsid w:val="00F33611"/>
    <w:rsid w:val="00F33833"/>
    <w:rsid w:val="00F33983"/>
    <w:rsid w:val="00F33A2F"/>
    <w:rsid w:val="00F33AEE"/>
    <w:rsid w:val="00F33CB0"/>
    <w:rsid w:val="00F33D1B"/>
    <w:rsid w:val="00F33E5B"/>
    <w:rsid w:val="00F33F38"/>
    <w:rsid w:val="00F33F64"/>
    <w:rsid w:val="00F34164"/>
    <w:rsid w:val="00F34218"/>
    <w:rsid w:val="00F34290"/>
    <w:rsid w:val="00F3442E"/>
    <w:rsid w:val="00F34937"/>
    <w:rsid w:val="00F349A9"/>
    <w:rsid w:val="00F34A7F"/>
    <w:rsid w:val="00F34A87"/>
    <w:rsid w:val="00F34AC8"/>
    <w:rsid w:val="00F34B4E"/>
    <w:rsid w:val="00F34BA2"/>
    <w:rsid w:val="00F34E6A"/>
    <w:rsid w:val="00F34F23"/>
    <w:rsid w:val="00F350F7"/>
    <w:rsid w:val="00F35288"/>
    <w:rsid w:val="00F354E7"/>
    <w:rsid w:val="00F35711"/>
    <w:rsid w:val="00F35838"/>
    <w:rsid w:val="00F35981"/>
    <w:rsid w:val="00F35B4B"/>
    <w:rsid w:val="00F35CEF"/>
    <w:rsid w:val="00F35D2F"/>
    <w:rsid w:val="00F35F16"/>
    <w:rsid w:val="00F3626F"/>
    <w:rsid w:val="00F363FC"/>
    <w:rsid w:val="00F364A9"/>
    <w:rsid w:val="00F365E2"/>
    <w:rsid w:val="00F366DD"/>
    <w:rsid w:val="00F366F6"/>
    <w:rsid w:val="00F36745"/>
    <w:rsid w:val="00F36791"/>
    <w:rsid w:val="00F369B1"/>
    <w:rsid w:val="00F36A32"/>
    <w:rsid w:val="00F36D5C"/>
    <w:rsid w:val="00F36D7B"/>
    <w:rsid w:val="00F36ED3"/>
    <w:rsid w:val="00F36FCA"/>
    <w:rsid w:val="00F36FF4"/>
    <w:rsid w:val="00F37027"/>
    <w:rsid w:val="00F37049"/>
    <w:rsid w:val="00F37106"/>
    <w:rsid w:val="00F371D3"/>
    <w:rsid w:val="00F37266"/>
    <w:rsid w:val="00F37493"/>
    <w:rsid w:val="00F374ED"/>
    <w:rsid w:val="00F377EE"/>
    <w:rsid w:val="00F37995"/>
    <w:rsid w:val="00F37A8A"/>
    <w:rsid w:val="00F37B3C"/>
    <w:rsid w:val="00F37CC6"/>
    <w:rsid w:val="00F37DB8"/>
    <w:rsid w:val="00F37E83"/>
    <w:rsid w:val="00F37FE8"/>
    <w:rsid w:val="00F4009E"/>
    <w:rsid w:val="00F4016B"/>
    <w:rsid w:val="00F40195"/>
    <w:rsid w:val="00F4047C"/>
    <w:rsid w:val="00F40613"/>
    <w:rsid w:val="00F4067E"/>
    <w:rsid w:val="00F406AC"/>
    <w:rsid w:val="00F40724"/>
    <w:rsid w:val="00F40786"/>
    <w:rsid w:val="00F40868"/>
    <w:rsid w:val="00F408E7"/>
    <w:rsid w:val="00F40AB5"/>
    <w:rsid w:val="00F40BD8"/>
    <w:rsid w:val="00F40F13"/>
    <w:rsid w:val="00F40F45"/>
    <w:rsid w:val="00F41126"/>
    <w:rsid w:val="00F412B2"/>
    <w:rsid w:val="00F4132B"/>
    <w:rsid w:val="00F41468"/>
    <w:rsid w:val="00F419C1"/>
    <w:rsid w:val="00F419DF"/>
    <w:rsid w:val="00F41B1B"/>
    <w:rsid w:val="00F41B46"/>
    <w:rsid w:val="00F41CAD"/>
    <w:rsid w:val="00F41CBC"/>
    <w:rsid w:val="00F41D72"/>
    <w:rsid w:val="00F41FDB"/>
    <w:rsid w:val="00F42074"/>
    <w:rsid w:val="00F42369"/>
    <w:rsid w:val="00F424A6"/>
    <w:rsid w:val="00F424D5"/>
    <w:rsid w:val="00F42516"/>
    <w:rsid w:val="00F42672"/>
    <w:rsid w:val="00F427AF"/>
    <w:rsid w:val="00F427CD"/>
    <w:rsid w:val="00F4299E"/>
    <w:rsid w:val="00F42B8C"/>
    <w:rsid w:val="00F42C5C"/>
    <w:rsid w:val="00F42CA4"/>
    <w:rsid w:val="00F42CC8"/>
    <w:rsid w:val="00F42E65"/>
    <w:rsid w:val="00F42ECB"/>
    <w:rsid w:val="00F42F97"/>
    <w:rsid w:val="00F42FA4"/>
    <w:rsid w:val="00F4312C"/>
    <w:rsid w:val="00F43177"/>
    <w:rsid w:val="00F4358B"/>
    <w:rsid w:val="00F435F1"/>
    <w:rsid w:val="00F436F5"/>
    <w:rsid w:val="00F43756"/>
    <w:rsid w:val="00F43791"/>
    <w:rsid w:val="00F4397A"/>
    <w:rsid w:val="00F4399C"/>
    <w:rsid w:val="00F43AEF"/>
    <w:rsid w:val="00F43B2D"/>
    <w:rsid w:val="00F43BF2"/>
    <w:rsid w:val="00F43C8D"/>
    <w:rsid w:val="00F43CD0"/>
    <w:rsid w:val="00F43DB4"/>
    <w:rsid w:val="00F43E08"/>
    <w:rsid w:val="00F43E7C"/>
    <w:rsid w:val="00F43E90"/>
    <w:rsid w:val="00F43EA7"/>
    <w:rsid w:val="00F44076"/>
    <w:rsid w:val="00F440A3"/>
    <w:rsid w:val="00F4420A"/>
    <w:rsid w:val="00F4446A"/>
    <w:rsid w:val="00F444BE"/>
    <w:rsid w:val="00F446B1"/>
    <w:rsid w:val="00F448B8"/>
    <w:rsid w:val="00F44B21"/>
    <w:rsid w:val="00F44C4E"/>
    <w:rsid w:val="00F44D50"/>
    <w:rsid w:val="00F44F20"/>
    <w:rsid w:val="00F450F8"/>
    <w:rsid w:val="00F451C4"/>
    <w:rsid w:val="00F45397"/>
    <w:rsid w:val="00F45506"/>
    <w:rsid w:val="00F4569F"/>
    <w:rsid w:val="00F457EC"/>
    <w:rsid w:val="00F45AA7"/>
    <w:rsid w:val="00F45BE6"/>
    <w:rsid w:val="00F45CFA"/>
    <w:rsid w:val="00F45D27"/>
    <w:rsid w:val="00F45DBB"/>
    <w:rsid w:val="00F45DEE"/>
    <w:rsid w:val="00F45DFB"/>
    <w:rsid w:val="00F45EBC"/>
    <w:rsid w:val="00F45F53"/>
    <w:rsid w:val="00F45FFF"/>
    <w:rsid w:val="00F46174"/>
    <w:rsid w:val="00F4627D"/>
    <w:rsid w:val="00F462EB"/>
    <w:rsid w:val="00F46549"/>
    <w:rsid w:val="00F46668"/>
    <w:rsid w:val="00F466F1"/>
    <w:rsid w:val="00F46721"/>
    <w:rsid w:val="00F46A18"/>
    <w:rsid w:val="00F46B59"/>
    <w:rsid w:val="00F46D90"/>
    <w:rsid w:val="00F46E41"/>
    <w:rsid w:val="00F46F3C"/>
    <w:rsid w:val="00F46FB7"/>
    <w:rsid w:val="00F470DD"/>
    <w:rsid w:val="00F470DE"/>
    <w:rsid w:val="00F4715A"/>
    <w:rsid w:val="00F471FA"/>
    <w:rsid w:val="00F473D5"/>
    <w:rsid w:val="00F4740C"/>
    <w:rsid w:val="00F4749F"/>
    <w:rsid w:val="00F47507"/>
    <w:rsid w:val="00F47542"/>
    <w:rsid w:val="00F4757A"/>
    <w:rsid w:val="00F47619"/>
    <w:rsid w:val="00F476EC"/>
    <w:rsid w:val="00F47727"/>
    <w:rsid w:val="00F47768"/>
    <w:rsid w:val="00F47770"/>
    <w:rsid w:val="00F477AA"/>
    <w:rsid w:val="00F47B2D"/>
    <w:rsid w:val="00F47BC2"/>
    <w:rsid w:val="00F47D4E"/>
    <w:rsid w:val="00F47F0E"/>
    <w:rsid w:val="00F47FA5"/>
    <w:rsid w:val="00F501C7"/>
    <w:rsid w:val="00F50236"/>
    <w:rsid w:val="00F504B6"/>
    <w:rsid w:val="00F507A8"/>
    <w:rsid w:val="00F5084B"/>
    <w:rsid w:val="00F50D66"/>
    <w:rsid w:val="00F50D8F"/>
    <w:rsid w:val="00F50E37"/>
    <w:rsid w:val="00F50E6E"/>
    <w:rsid w:val="00F50EE8"/>
    <w:rsid w:val="00F50EF7"/>
    <w:rsid w:val="00F50FA0"/>
    <w:rsid w:val="00F50FEA"/>
    <w:rsid w:val="00F5134C"/>
    <w:rsid w:val="00F5135C"/>
    <w:rsid w:val="00F51483"/>
    <w:rsid w:val="00F51701"/>
    <w:rsid w:val="00F51858"/>
    <w:rsid w:val="00F51A6A"/>
    <w:rsid w:val="00F51A9D"/>
    <w:rsid w:val="00F51BE2"/>
    <w:rsid w:val="00F51C93"/>
    <w:rsid w:val="00F51CC6"/>
    <w:rsid w:val="00F51DD8"/>
    <w:rsid w:val="00F51F63"/>
    <w:rsid w:val="00F5207D"/>
    <w:rsid w:val="00F52124"/>
    <w:rsid w:val="00F5222E"/>
    <w:rsid w:val="00F52388"/>
    <w:rsid w:val="00F523B0"/>
    <w:rsid w:val="00F524B0"/>
    <w:rsid w:val="00F524D1"/>
    <w:rsid w:val="00F524FC"/>
    <w:rsid w:val="00F525E4"/>
    <w:rsid w:val="00F5267C"/>
    <w:rsid w:val="00F5286F"/>
    <w:rsid w:val="00F52870"/>
    <w:rsid w:val="00F52E59"/>
    <w:rsid w:val="00F52F18"/>
    <w:rsid w:val="00F52F1B"/>
    <w:rsid w:val="00F52FCF"/>
    <w:rsid w:val="00F52FE5"/>
    <w:rsid w:val="00F530AD"/>
    <w:rsid w:val="00F5313E"/>
    <w:rsid w:val="00F531E0"/>
    <w:rsid w:val="00F53229"/>
    <w:rsid w:val="00F53412"/>
    <w:rsid w:val="00F534A7"/>
    <w:rsid w:val="00F53558"/>
    <w:rsid w:val="00F53874"/>
    <w:rsid w:val="00F53933"/>
    <w:rsid w:val="00F53A81"/>
    <w:rsid w:val="00F53B91"/>
    <w:rsid w:val="00F53BC6"/>
    <w:rsid w:val="00F53D5B"/>
    <w:rsid w:val="00F53E51"/>
    <w:rsid w:val="00F53FBA"/>
    <w:rsid w:val="00F54011"/>
    <w:rsid w:val="00F54022"/>
    <w:rsid w:val="00F54083"/>
    <w:rsid w:val="00F54094"/>
    <w:rsid w:val="00F54148"/>
    <w:rsid w:val="00F54185"/>
    <w:rsid w:val="00F54298"/>
    <w:rsid w:val="00F542FD"/>
    <w:rsid w:val="00F54408"/>
    <w:rsid w:val="00F5447E"/>
    <w:rsid w:val="00F54552"/>
    <w:rsid w:val="00F54630"/>
    <w:rsid w:val="00F5468B"/>
    <w:rsid w:val="00F546E2"/>
    <w:rsid w:val="00F547E8"/>
    <w:rsid w:val="00F5480E"/>
    <w:rsid w:val="00F54853"/>
    <w:rsid w:val="00F548E9"/>
    <w:rsid w:val="00F5498D"/>
    <w:rsid w:val="00F549FF"/>
    <w:rsid w:val="00F54C0B"/>
    <w:rsid w:val="00F54C68"/>
    <w:rsid w:val="00F54D56"/>
    <w:rsid w:val="00F54DA7"/>
    <w:rsid w:val="00F54E21"/>
    <w:rsid w:val="00F54F57"/>
    <w:rsid w:val="00F55030"/>
    <w:rsid w:val="00F5506D"/>
    <w:rsid w:val="00F550F7"/>
    <w:rsid w:val="00F55109"/>
    <w:rsid w:val="00F551EE"/>
    <w:rsid w:val="00F551EF"/>
    <w:rsid w:val="00F55241"/>
    <w:rsid w:val="00F55262"/>
    <w:rsid w:val="00F55303"/>
    <w:rsid w:val="00F554C5"/>
    <w:rsid w:val="00F55775"/>
    <w:rsid w:val="00F557DB"/>
    <w:rsid w:val="00F55C25"/>
    <w:rsid w:val="00F55E11"/>
    <w:rsid w:val="00F55EB4"/>
    <w:rsid w:val="00F560A5"/>
    <w:rsid w:val="00F561F6"/>
    <w:rsid w:val="00F56249"/>
    <w:rsid w:val="00F5626F"/>
    <w:rsid w:val="00F56291"/>
    <w:rsid w:val="00F56411"/>
    <w:rsid w:val="00F56494"/>
    <w:rsid w:val="00F56502"/>
    <w:rsid w:val="00F566D4"/>
    <w:rsid w:val="00F56802"/>
    <w:rsid w:val="00F56ACF"/>
    <w:rsid w:val="00F56AFE"/>
    <w:rsid w:val="00F56D52"/>
    <w:rsid w:val="00F56D7C"/>
    <w:rsid w:val="00F56DCC"/>
    <w:rsid w:val="00F56E0F"/>
    <w:rsid w:val="00F5729B"/>
    <w:rsid w:val="00F57351"/>
    <w:rsid w:val="00F573C6"/>
    <w:rsid w:val="00F57494"/>
    <w:rsid w:val="00F574AF"/>
    <w:rsid w:val="00F57507"/>
    <w:rsid w:val="00F5790C"/>
    <w:rsid w:val="00F57AB9"/>
    <w:rsid w:val="00F57BB9"/>
    <w:rsid w:val="00F57C93"/>
    <w:rsid w:val="00F57CF6"/>
    <w:rsid w:val="00F57E9F"/>
    <w:rsid w:val="00F6006B"/>
    <w:rsid w:val="00F60148"/>
    <w:rsid w:val="00F60191"/>
    <w:rsid w:val="00F604D6"/>
    <w:rsid w:val="00F60513"/>
    <w:rsid w:val="00F60554"/>
    <w:rsid w:val="00F605D0"/>
    <w:rsid w:val="00F60748"/>
    <w:rsid w:val="00F60829"/>
    <w:rsid w:val="00F60861"/>
    <w:rsid w:val="00F608F8"/>
    <w:rsid w:val="00F6099D"/>
    <w:rsid w:val="00F60B0E"/>
    <w:rsid w:val="00F60C36"/>
    <w:rsid w:val="00F60E56"/>
    <w:rsid w:val="00F60E6F"/>
    <w:rsid w:val="00F60F12"/>
    <w:rsid w:val="00F60F98"/>
    <w:rsid w:val="00F6107E"/>
    <w:rsid w:val="00F61191"/>
    <w:rsid w:val="00F613B4"/>
    <w:rsid w:val="00F61592"/>
    <w:rsid w:val="00F615FF"/>
    <w:rsid w:val="00F61657"/>
    <w:rsid w:val="00F6166A"/>
    <w:rsid w:val="00F616F9"/>
    <w:rsid w:val="00F617CF"/>
    <w:rsid w:val="00F619B1"/>
    <w:rsid w:val="00F619BA"/>
    <w:rsid w:val="00F619C1"/>
    <w:rsid w:val="00F61BFB"/>
    <w:rsid w:val="00F61C4B"/>
    <w:rsid w:val="00F61C5E"/>
    <w:rsid w:val="00F61E56"/>
    <w:rsid w:val="00F61E5F"/>
    <w:rsid w:val="00F61EE8"/>
    <w:rsid w:val="00F61F95"/>
    <w:rsid w:val="00F62042"/>
    <w:rsid w:val="00F623EB"/>
    <w:rsid w:val="00F625DD"/>
    <w:rsid w:val="00F625EA"/>
    <w:rsid w:val="00F625F2"/>
    <w:rsid w:val="00F625F4"/>
    <w:rsid w:val="00F62775"/>
    <w:rsid w:val="00F627F2"/>
    <w:rsid w:val="00F627FA"/>
    <w:rsid w:val="00F62888"/>
    <w:rsid w:val="00F628DF"/>
    <w:rsid w:val="00F629A7"/>
    <w:rsid w:val="00F62A6A"/>
    <w:rsid w:val="00F62AB6"/>
    <w:rsid w:val="00F62B51"/>
    <w:rsid w:val="00F62C1C"/>
    <w:rsid w:val="00F62C69"/>
    <w:rsid w:val="00F62C9A"/>
    <w:rsid w:val="00F62CDD"/>
    <w:rsid w:val="00F62D58"/>
    <w:rsid w:val="00F62F41"/>
    <w:rsid w:val="00F62F7C"/>
    <w:rsid w:val="00F63284"/>
    <w:rsid w:val="00F632F6"/>
    <w:rsid w:val="00F63336"/>
    <w:rsid w:val="00F633F9"/>
    <w:rsid w:val="00F6365D"/>
    <w:rsid w:val="00F636F6"/>
    <w:rsid w:val="00F637B6"/>
    <w:rsid w:val="00F63937"/>
    <w:rsid w:val="00F639BB"/>
    <w:rsid w:val="00F63A3C"/>
    <w:rsid w:val="00F63A57"/>
    <w:rsid w:val="00F63B1F"/>
    <w:rsid w:val="00F63B45"/>
    <w:rsid w:val="00F63BB0"/>
    <w:rsid w:val="00F63C2B"/>
    <w:rsid w:val="00F63CA9"/>
    <w:rsid w:val="00F63D16"/>
    <w:rsid w:val="00F63D89"/>
    <w:rsid w:val="00F63EA2"/>
    <w:rsid w:val="00F63EEA"/>
    <w:rsid w:val="00F64226"/>
    <w:rsid w:val="00F64325"/>
    <w:rsid w:val="00F643F1"/>
    <w:rsid w:val="00F6484B"/>
    <w:rsid w:val="00F6493B"/>
    <w:rsid w:val="00F64A72"/>
    <w:rsid w:val="00F64AE6"/>
    <w:rsid w:val="00F64C91"/>
    <w:rsid w:val="00F64CB8"/>
    <w:rsid w:val="00F64E22"/>
    <w:rsid w:val="00F65069"/>
    <w:rsid w:val="00F65181"/>
    <w:rsid w:val="00F65219"/>
    <w:rsid w:val="00F652D6"/>
    <w:rsid w:val="00F6544C"/>
    <w:rsid w:val="00F65455"/>
    <w:rsid w:val="00F65541"/>
    <w:rsid w:val="00F65656"/>
    <w:rsid w:val="00F656A1"/>
    <w:rsid w:val="00F65B7F"/>
    <w:rsid w:val="00F65D59"/>
    <w:rsid w:val="00F65F31"/>
    <w:rsid w:val="00F6609F"/>
    <w:rsid w:val="00F661AE"/>
    <w:rsid w:val="00F66221"/>
    <w:rsid w:val="00F6639E"/>
    <w:rsid w:val="00F664FD"/>
    <w:rsid w:val="00F66594"/>
    <w:rsid w:val="00F665DE"/>
    <w:rsid w:val="00F66657"/>
    <w:rsid w:val="00F6682D"/>
    <w:rsid w:val="00F668D5"/>
    <w:rsid w:val="00F66A7B"/>
    <w:rsid w:val="00F66D24"/>
    <w:rsid w:val="00F66DAC"/>
    <w:rsid w:val="00F66F18"/>
    <w:rsid w:val="00F66F4B"/>
    <w:rsid w:val="00F66F53"/>
    <w:rsid w:val="00F670E4"/>
    <w:rsid w:val="00F6711A"/>
    <w:rsid w:val="00F67293"/>
    <w:rsid w:val="00F67436"/>
    <w:rsid w:val="00F67570"/>
    <w:rsid w:val="00F67664"/>
    <w:rsid w:val="00F6772B"/>
    <w:rsid w:val="00F67904"/>
    <w:rsid w:val="00F67A41"/>
    <w:rsid w:val="00F67A46"/>
    <w:rsid w:val="00F67A6E"/>
    <w:rsid w:val="00F67B63"/>
    <w:rsid w:val="00F67C33"/>
    <w:rsid w:val="00F67C8A"/>
    <w:rsid w:val="00F67E84"/>
    <w:rsid w:val="00F67FBF"/>
    <w:rsid w:val="00F701CF"/>
    <w:rsid w:val="00F7027C"/>
    <w:rsid w:val="00F702E2"/>
    <w:rsid w:val="00F70663"/>
    <w:rsid w:val="00F706BF"/>
    <w:rsid w:val="00F70728"/>
    <w:rsid w:val="00F70969"/>
    <w:rsid w:val="00F709A3"/>
    <w:rsid w:val="00F71023"/>
    <w:rsid w:val="00F7105D"/>
    <w:rsid w:val="00F711B8"/>
    <w:rsid w:val="00F71236"/>
    <w:rsid w:val="00F713E2"/>
    <w:rsid w:val="00F7147B"/>
    <w:rsid w:val="00F71483"/>
    <w:rsid w:val="00F7160B"/>
    <w:rsid w:val="00F71724"/>
    <w:rsid w:val="00F7174A"/>
    <w:rsid w:val="00F71947"/>
    <w:rsid w:val="00F719D4"/>
    <w:rsid w:val="00F719F2"/>
    <w:rsid w:val="00F71BB5"/>
    <w:rsid w:val="00F71E4A"/>
    <w:rsid w:val="00F71F09"/>
    <w:rsid w:val="00F71F21"/>
    <w:rsid w:val="00F71F63"/>
    <w:rsid w:val="00F71F9E"/>
    <w:rsid w:val="00F71FD4"/>
    <w:rsid w:val="00F7215F"/>
    <w:rsid w:val="00F72232"/>
    <w:rsid w:val="00F7224E"/>
    <w:rsid w:val="00F7231E"/>
    <w:rsid w:val="00F72386"/>
    <w:rsid w:val="00F72681"/>
    <w:rsid w:val="00F72724"/>
    <w:rsid w:val="00F7274D"/>
    <w:rsid w:val="00F72886"/>
    <w:rsid w:val="00F728EC"/>
    <w:rsid w:val="00F728FA"/>
    <w:rsid w:val="00F72B26"/>
    <w:rsid w:val="00F72F85"/>
    <w:rsid w:val="00F72F97"/>
    <w:rsid w:val="00F7327F"/>
    <w:rsid w:val="00F732E5"/>
    <w:rsid w:val="00F7330E"/>
    <w:rsid w:val="00F7345E"/>
    <w:rsid w:val="00F73529"/>
    <w:rsid w:val="00F73737"/>
    <w:rsid w:val="00F738F5"/>
    <w:rsid w:val="00F7392F"/>
    <w:rsid w:val="00F7397D"/>
    <w:rsid w:val="00F73985"/>
    <w:rsid w:val="00F73AD7"/>
    <w:rsid w:val="00F73BCB"/>
    <w:rsid w:val="00F73C45"/>
    <w:rsid w:val="00F73C94"/>
    <w:rsid w:val="00F73CA0"/>
    <w:rsid w:val="00F73E04"/>
    <w:rsid w:val="00F73F00"/>
    <w:rsid w:val="00F74219"/>
    <w:rsid w:val="00F74418"/>
    <w:rsid w:val="00F74684"/>
    <w:rsid w:val="00F7485B"/>
    <w:rsid w:val="00F7486B"/>
    <w:rsid w:val="00F74964"/>
    <w:rsid w:val="00F74A14"/>
    <w:rsid w:val="00F74A2B"/>
    <w:rsid w:val="00F74A84"/>
    <w:rsid w:val="00F74AA2"/>
    <w:rsid w:val="00F74B79"/>
    <w:rsid w:val="00F74D53"/>
    <w:rsid w:val="00F74D81"/>
    <w:rsid w:val="00F74E42"/>
    <w:rsid w:val="00F74E70"/>
    <w:rsid w:val="00F74E81"/>
    <w:rsid w:val="00F74FAB"/>
    <w:rsid w:val="00F74FB5"/>
    <w:rsid w:val="00F7504D"/>
    <w:rsid w:val="00F75131"/>
    <w:rsid w:val="00F75283"/>
    <w:rsid w:val="00F7532E"/>
    <w:rsid w:val="00F75393"/>
    <w:rsid w:val="00F7540F"/>
    <w:rsid w:val="00F7573B"/>
    <w:rsid w:val="00F7579A"/>
    <w:rsid w:val="00F75854"/>
    <w:rsid w:val="00F7589D"/>
    <w:rsid w:val="00F75915"/>
    <w:rsid w:val="00F76023"/>
    <w:rsid w:val="00F761E5"/>
    <w:rsid w:val="00F7638A"/>
    <w:rsid w:val="00F76417"/>
    <w:rsid w:val="00F7657F"/>
    <w:rsid w:val="00F766C6"/>
    <w:rsid w:val="00F76700"/>
    <w:rsid w:val="00F76749"/>
    <w:rsid w:val="00F767EC"/>
    <w:rsid w:val="00F76826"/>
    <w:rsid w:val="00F76A65"/>
    <w:rsid w:val="00F76ACD"/>
    <w:rsid w:val="00F76B12"/>
    <w:rsid w:val="00F76DBE"/>
    <w:rsid w:val="00F76DD0"/>
    <w:rsid w:val="00F77085"/>
    <w:rsid w:val="00F774EA"/>
    <w:rsid w:val="00F77602"/>
    <w:rsid w:val="00F77605"/>
    <w:rsid w:val="00F77855"/>
    <w:rsid w:val="00F778A9"/>
    <w:rsid w:val="00F7793C"/>
    <w:rsid w:val="00F77A2C"/>
    <w:rsid w:val="00F77A77"/>
    <w:rsid w:val="00F77BF0"/>
    <w:rsid w:val="00F77D2B"/>
    <w:rsid w:val="00F77DAD"/>
    <w:rsid w:val="00F77F6B"/>
    <w:rsid w:val="00F77FE9"/>
    <w:rsid w:val="00F8001B"/>
    <w:rsid w:val="00F8005D"/>
    <w:rsid w:val="00F80362"/>
    <w:rsid w:val="00F8042C"/>
    <w:rsid w:val="00F806BF"/>
    <w:rsid w:val="00F80735"/>
    <w:rsid w:val="00F808D0"/>
    <w:rsid w:val="00F808F0"/>
    <w:rsid w:val="00F80A14"/>
    <w:rsid w:val="00F80AF5"/>
    <w:rsid w:val="00F80B96"/>
    <w:rsid w:val="00F80C4C"/>
    <w:rsid w:val="00F80C55"/>
    <w:rsid w:val="00F80C9C"/>
    <w:rsid w:val="00F80D34"/>
    <w:rsid w:val="00F80DBB"/>
    <w:rsid w:val="00F80E0C"/>
    <w:rsid w:val="00F80E3B"/>
    <w:rsid w:val="00F80E3C"/>
    <w:rsid w:val="00F80E79"/>
    <w:rsid w:val="00F810AB"/>
    <w:rsid w:val="00F810D4"/>
    <w:rsid w:val="00F810E0"/>
    <w:rsid w:val="00F810EF"/>
    <w:rsid w:val="00F81140"/>
    <w:rsid w:val="00F811E2"/>
    <w:rsid w:val="00F8125D"/>
    <w:rsid w:val="00F812FB"/>
    <w:rsid w:val="00F8130A"/>
    <w:rsid w:val="00F81427"/>
    <w:rsid w:val="00F8160D"/>
    <w:rsid w:val="00F816CB"/>
    <w:rsid w:val="00F816DB"/>
    <w:rsid w:val="00F8196A"/>
    <w:rsid w:val="00F8198E"/>
    <w:rsid w:val="00F81AA0"/>
    <w:rsid w:val="00F81C2D"/>
    <w:rsid w:val="00F81CE6"/>
    <w:rsid w:val="00F81E19"/>
    <w:rsid w:val="00F81F72"/>
    <w:rsid w:val="00F81FFE"/>
    <w:rsid w:val="00F8225E"/>
    <w:rsid w:val="00F82303"/>
    <w:rsid w:val="00F823BA"/>
    <w:rsid w:val="00F823EA"/>
    <w:rsid w:val="00F823EF"/>
    <w:rsid w:val="00F824C2"/>
    <w:rsid w:val="00F82515"/>
    <w:rsid w:val="00F8264F"/>
    <w:rsid w:val="00F82680"/>
    <w:rsid w:val="00F82694"/>
    <w:rsid w:val="00F8270E"/>
    <w:rsid w:val="00F82851"/>
    <w:rsid w:val="00F828A4"/>
    <w:rsid w:val="00F828E7"/>
    <w:rsid w:val="00F82B7B"/>
    <w:rsid w:val="00F82BF5"/>
    <w:rsid w:val="00F82D23"/>
    <w:rsid w:val="00F8302F"/>
    <w:rsid w:val="00F83176"/>
    <w:rsid w:val="00F8327C"/>
    <w:rsid w:val="00F833B4"/>
    <w:rsid w:val="00F833EE"/>
    <w:rsid w:val="00F8346C"/>
    <w:rsid w:val="00F83599"/>
    <w:rsid w:val="00F83817"/>
    <w:rsid w:val="00F83882"/>
    <w:rsid w:val="00F838C5"/>
    <w:rsid w:val="00F8399F"/>
    <w:rsid w:val="00F839CB"/>
    <w:rsid w:val="00F83C4C"/>
    <w:rsid w:val="00F83D0B"/>
    <w:rsid w:val="00F83E8E"/>
    <w:rsid w:val="00F83F15"/>
    <w:rsid w:val="00F83F3C"/>
    <w:rsid w:val="00F84080"/>
    <w:rsid w:val="00F841B4"/>
    <w:rsid w:val="00F841C4"/>
    <w:rsid w:val="00F8427E"/>
    <w:rsid w:val="00F842C7"/>
    <w:rsid w:val="00F8437C"/>
    <w:rsid w:val="00F84432"/>
    <w:rsid w:val="00F8444F"/>
    <w:rsid w:val="00F8449A"/>
    <w:rsid w:val="00F8493D"/>
    <w:rsid w:val="00F85007"/>
    <w:rsid w:val="00F85079"/>
    <w:rsid w:val="00F8518D"/>
    <w:rsid w:val="00F85305"/>
    <w:rsid w:val="00F854F6"/>
    <w:rsid w:val="00F856DC"/>
    <w:rsid w:val="00F8573E"/>
    <w:rsid w:val="00F85783"/>
    <w:rsid w:val="00F85A39"/>
    <w:rsid w:val="00F85A4E"/>
    <w:rsid w:val="00F85A81"/>
    <w:rsid w:val="00F85C35"/>
    <w:rsid w:val="00F85CB0"/>
    <w:rsid w:val="00F85D0C"/>
    <w:rsid w:val="00F85FE1"/>
    <w:rsid w:val="00F85FE7"/>
    <w:rsid w:val="00F86059"/>
    <w:rsid w:val="00F860F1"/>
    <w:rsid w:val="00F8623B"/>
    <w:rsid w:val="00F86397"/>
    <w:rsid w:val="00F8644D"/>
    <w:rsid w:val="00F86477"/>
    <w:rsid w:val="00F86540"/>
    <w:rsid w:val="00F86678"/>
    <w:rsid w:val="00F86893"/>
    <w:rsid w:val="00F86B9B"/>
    <w:rsid w:val="00F86C1F"/>
    <w:rsid w:val="00F86CC7"/>
    <w:rsid w:val="00F86D41"/>
    <w:rsid w:val="00F86F46"/>
    <w:rsid w:val="00F8710A"/>
    <w:rsid w:val="00F872BF"/>
    <w:rsid w:val="00F873BA"/>
    <w:rsid w:val="00F874E7"/>
    <w:rsid w:val="00F8752F"/>
    <w:rsid w:val="00F87637"/>
    <w:rsid w:val="00F877B0"/>
    <w:rsid w:val="00F8784C"/>
    <w:rsid w:val="00F87871"/>
    <w:rsid w:val="00F879CA"/>
    <w:rsid w:val="00F87AC2"/>
    <w:rsid w:val="00F87AE9"/>
    <w:rsid w:val="00F87B66"/>
    <w:rsid w:val="00F87EF3"/>
    <w:rsid w:val="00F9005F"/>
    <w:rsid w:val="00F90130"/>
    <w:rsid w:val="00F90140"/>
    <w:rsid w:val="00F902D8"/>
    <w:rsid w:val="00F903E2"/>
    <w:rsid w:val="00F905ED"/>
    <w:rsid w:val="00F905F5"/>
    <w:rsid w:val="00F906B2"/>
    <w:rsid w:val="00F909EC"/>
    <w:rsid w:val="00F90A81"/>
    <w:rsid w:val="00F90C6F"/>
    <w:rsid w:val="00F90D71"/>
    <w:rsid w:val="00F90DC4"/>
    <w:rsid w:val="00F90ECA"/>
    <w:rsid w:val="00F90FA7"/>
    <w:rsid w:val="00F9102A"/>
    <w:rsid w:val="00F9128C"/>
    <w:rsid w:val="00F91299"/>
    <w:rsid w:val="00F91360"/>
    <w:rsid w:val="00F913FE"/>
    <w:rsid w:val="00F9145D"/>
    <w:rsid w:val="00F9145F"/>
    <w:rsid w:val="00F91504"/>
    <w:rsid w:val="00F9168C"/>
    <w:rsid w:val="00F916C7"/>
    <w:rsid w:val="00F91751"/>
    <w:rsid w:val="00F91BBA"/>
    <w:rsid w:val="00F91C06"/>
    <w:rsid w:val="00F91DB3"/>
    <w:rsid w:val="00F91E00"/>
    <w:rsid w:val="00F91FA8"/>
    <w:rsid w:val="00F9201C"/>
    <w:rsid w:val="00F92028"/>
    <w:rsid w:val="00F92152"/>
    <w:rsid w:val="00F921BD"/>
    <w:rsid w:val="00F92352"/>
    <w:rsid w:val="00F92374"/>
    <w:rsid w:val="00F92528"/>
    <w:rsid w:val="00F92693"/>
    <w:rsid w:val="00F92696"/>
    <w:rsid w:val="00F92794"/>
    <w:rsid w:val="00F927C4"/>
    <w:rsid w:val="00F929FD"/>
    <w:rsid w:val="00F92A37"/>
    <w:rsid w:val="00F92DFA"/>
    <w:rsid w:val="00F93251"/>
    <w:rsid w:val="00F93576"/>
    <w:rsid w:val="00F93630"/>
    <w:rsid w:val="00F937A1"/>
    <w:rsid w:val="00F93893"/>
    <w:rsid w:val="00F93959"/>
    <w:rsid w:val="00F93A2C"/>
    <w:rsid w:val="00F93AD1"/>
    <w:rsid w:val="00F93BF0"/>
    <w:rsid w:val="00F93CDD"/>
    <w:rsid w:val="00F93E60"/>
    <w:rsid w:val="00F93E8E"/>
    <w:rsid w:val="00F9400C"/>
    <w:rsid w:val="00F9431C"/>
    <w:rsid w:val="00F943BA"/>
    <w:rsid w:val="00F943F1"/>
    <w:rsid w:val="00F94650"/>
    <w:rsid w:val="00F94656"/>
    <w:rsid w:val="00F9474D"/>
    <w:rsid w:val="00F94767"/>
    <w:rsid w:val="00F947F6"/>
    <w:rsid w:val="00F94900"/>
    <w:rsid w:val="00F9495D"/>
    <w:rsid w:val="00F94984"/>
    <w:rsid w:val="00F949B6"/>
    <w:rsid w:val="00F94A89"/>
    <w:rsid w:val="00F94ABE"/>
    <w:rsid w:val="00F94B0A"/>
    <w:rsid w:val="00F94D0B"/>
    <w:rsid w:val="00F94E77"/>
    <w:rsid w:val="00F94E7E"/>
    <w:rsid w:val="00F94F99"/>
    <w:rsid w:val="00F94F9B"/>
    <w:rsid w:val="00F950D6"/>
    <w:rsid w:val="00F9534A"/>
    <w:rsid w:val="00F9547C"/>
    <w:rsid w:val="00F957BE"/>
    <w:rsid w:val="00F95842"/>
    <w:rsid w:val="00F958FF"/>
    <w:rsid w:val="00F95B89"/>
    <w:rsid w:val="00F95BED"/>
    <w:rsid w:val="00F95C5E"/>
    <w:rsid w:val="00F95DB8"/>
    <w:rsid w:val="00F95DC1"/>
    <w:rsid w:val="00F95E1F"/>
    <w:rsid w:val="00F95EC3"/>
    <w:rsid w:val="00F96185"/>
    <w:rsid w:val="00F961BE"/>
    <w:rsid w:val="00F96206"/>
    <w:rsid w:val="00F96239"/>
    <w:rsid w:val="00F9629D"/>
    <w:rsid w:val="00F96429"/>
    <w:rsid w:val="00F964A7"/>
    <w:rsid w:val="00F96578"/>
    <w:rsid w:val="00F96618"/>
    <w:rsid w:val="00F966B6"/>
    <w:rsid w:val="00F96A60"/>
    <w:rsid w:val="00F96B71"/>
    <w:rsid w:val="00F96BFA"/>
    <w:rsid w:val="00F96D94"/>
    <w:rsid w:val="00F96DE0"/>
    <w:rsid w:val="00F96DFE"/>
    <w:rsid w:val="00F96E92"/>
    <w:rsid w:val="00F96EDE"/>
    <w:rsid w:val="00F96F4A"/>
    <w:rsid w:val="00F970E2"/>
    <w:rsid w:val="00F97133"/>
    <w:rsid w:val="00F97401"/>
    <w:rsid w:val="00F9744E"/>
    <w:rsid w:val="00F97502"/>
    <w:rsid w:val="00F9754A"/>
    <w:rsid w:val="00F97825"/>
    <w:rsid w:val="00F979E3"/>
    <w:rsid w:val="00F97A8F"/>
    <w:rsid w:val="00F97B00"/>
    <w:rsid w:val="00F97B36"/>
    <w:rsid w:val="00F97BA3"/>
    <w:rsid w:val="00F97E3F"/>
    <w:rsid w:val="00F97E49"/>
    <w:rsid w:val="00F97E87"/>
    <w:rsid w:val="00F97EA7"/>
    <w:rsid w:val="00F97F44"/>
    <w:rsid w:val="00FA005C"/>
    <w:rsid w:val="00FA0095"/>
    <w:rsid w:val="00FA00DC"/>
    <w:rsid w:val="00FA0175"/>
    <w:rsid w:val="00FA0191"/>
    <w:rsid w:val="00FA01ED"/>
    <w:rsid w:val="00FA0450"/>
    <w:rsid w:val="00FA0462"/>
    <w:rsid w:val="00FA0468"/>
    <w:rsid w:val="00FA060C"/>
    <w:rsid w:val="00FA065C"/>
    <w:rsid w:val="00FA0AC3"/>
    <w:rsid w:val="00FA0B4F"/>
    <w:rsid w:val="00FA0BCC"/>
    <w:rsid w:val="00FA0C03"/>
    <w:rsid w:val="00FA0DD9"/>
    <w:rsid w:val="00FA0E17"/>
    <w:rsid w:val="00FA0F87"/>
    <w:rsid w:val="00FA0FCE"/>
    <w:rsid w:val="00FA0FDA"/>
    <w:rsid w:val="00FA1066"/>
    <w:rsid w:val="00FA1087"/>
    <w:rsid w:val="00FA118F"/>
    <w:rsid w:val="00FA12DD"/>
    <w:rsid w:val="00FA130D"/>
    <w:rsid w:val="00FA140C"/>
    <w:rsid w:val="00FA1437"/>
    <w:rsid w:val="00FA1652"/>
    <w:rsid w:val="00FA16A7"/>
    <w:rsid w:val="00FA16A9"/>
    <w:rsid w:val="00FA17FA"/>
    <w:rsid w:val="00FA19D1"/>
    <w:rsid w:val="00FA1A85"/>
    <w:rsid w:val="00FA1B9D"/>
    <w:rsid w:val="00FA1D83"/>
    <w:rsid w:val="00FA2042"/>
    <w:rsid w:val="00FA238D"/>
    <w:rsid w:val="00FA2399"/>
    <w:rsid w:val="00FA2497"/>
    <w:rsid w:val="00FA2618"/>
    <w:rsid w:val="00FA265F"/>
    <w:rsid w:val="00FA2894"/>
    <w:rsid w:val="00FA2995"/>
    <w:rsid w:val="00FA2A20"/>
    <w:rsid w:val="00FA2BB5"/>
    <w:rsid w:val="00FA2C14"/>
    <w:rsid w:val="00FA2CEE"/>
    <w:rsid w:val="00FA2E60"/>
    <w:rsid w:val="00FA2ECD"/>
    <w:rsid w:val="00FA2F44"/>
    <w:rsid w:val="00FA2F79"/>
    <w:rsid w:val="00FA3096"/>
    <w:rsid w:val="00FA3272"/>
    <w:rsid w:val="00FA33B9"/>
    <w:rsid w:val="00FA33FB"/>
    <w:rsid w:val="00FA3468"/>
    <w:rsid w:val="00FA3614"/>
    <w:rsid w:val="00FA367D"/>
    <w:rsid w:val="00FA374E"/>
    <w:rsid w:val="00FA3985"/>
    <w:rsid w:val="00FA3B74"/>
    <w:rsid w:val="00FA3B7E"/>
    <w:rsid w:val="00FA3CB7"/>
    <w:rsid w:val="00FA3D79"/>
    <w:rsid w:val="00FA3DF8"/>
    <w:rsid w:val="00FA3E02"/>
    <w:rsid w:val="00FA3EF0"/>
    <w:rsid w:val="00FA3F7C"/>
    <w:rsid w:val="00FA3FB0"/>
    <w:rsid w:val="00FA3FE8"/>
    <w:rsid w:val="00FA405C"/>
    <w:rsid w:val="00FA40D0"/>
    <w:rsid w:val="00FA4208"/>
    <w:rsid w:val="00FA422F"/>
    <w:rsid w:val="00FA4320"/>
    <w:rsid w:val="00FA43CB"/>
    <w:rsid w:val="00FA44E4"/>
    <w:rsid w:val="00FA4539"/>
    <w:rsid w:val="00FA4557"/>
    <w:rsid w:val="00FA4646"/>
    <w:rsid w:val="00FA474E"/>
    <w:rsid w:val="00FA484F"/>
    <w:rsid w:val="00FA48FE"/>
    <w:rsid w:val="00FA4906"/>
    <w:rsid w:val="00FA4A3B"/>
    <w:rsid w:val="00FA4A9B"/>
    <w:rsid w:val="00FA4AF9"/>
    <w:rsid w:val="00FA4B3A"/>
    <w:rsid w:val="00FA4D3E"/>
    <w:rsid w:val="00FA4DD1"/>
    <w:rsid w:val="00FA4DE8"/>
    <w:rsid w:val="00FA4E4B"/>
    <w:rsid w:val="00FA4E62"/>
    <w:rsid w:val="00FA4ECA"/>
    <w:rsid w:val="00FA4FC6"/>
    <w:rsid w:val="00FA50AB"/>
    <w:rsid w:val="00FA5117"/>
    <w:rsid w:val="00FA51BB"/>
    <w:rsid w:val="00FA52AF"/>
    <w:rsid w:val="00FA53EA"/>
    <w:rsid w:val="00FA55C8"/>
    <w:rsid w:val="00FA570D"/>
    <w:rsid w:val="00FA5723"/>
    <w:rsid w:val="00FA5736"/>
    <w:rsid w:val="00FA5849"/>
    <w:rsid w:val="00FA5C71"/>
    <w:rsid w:val="00FA5D2E"/>
    <w:rsid w:val="00FA5D39"/>
    <w:rsid w:val="00FA5D81"/>
    <w:rsid w:val="00FA5ECE"/>
    <w:rsid w:val="00FA60FC"/>
    <w:rsid w:val="00FA6118"/>
    <w:rsid w:val="00FA61F1"/>
    <w:rsid w:val="00FA628E"/>
    <w:rsid w:val="00FA6420"/>
    <w:rsid w:val="00FA6480"/>
    <w:rsid w:val="00FA66EA"/>
    <w:rsid w:val="00FA6787"/>
    <w:rsid w:val="00FA6830"/>
    <w:rsid w:val="00FA6991"/>
    <w:rsid w:val="00FA6B98"/>
    <w:rsid w:val="00FA6F99"/>
    <w:rsid w:val="00FA7142"/>
    <w:rsid w:val="00FA71C7"/>
    <w:rsid w:val="00FA7328"/>
    <w:rsid w:val="00FA7389"/>
    <w:rsid w:val="00FA749C"/>
    <w:rsid w:val="00FA7543"/>
    <w:rsid w:val="00FA77AA"/>
    <w:rsid w:val="00FA79B3"/>
    <w:rsid w:val="00FA79B6"/>
    <w:rsid w:val="00FA7AB6"/>
    <w:rsid w:val="00FA7ABC"/>
    <w:rsid w:val="00FA7F4C"/>
    <w:rsid w:val="00FA7FE7"/>
    <w:rsid w:val="00FB01CA"/>
    <w:rsid w:val="00FB01F8"/>
    <w:rsid w:val="00FB02DC"/>
    <w:rsid w:val="00FB0375"/>
    <w:rsid w:val="00FB0483"/>
    <w:rsid w:val="00FB0629"/>
    <w:rsid w:val="00FB0685"/>
    <w:rsid w:val="00FB08AA"/>
    <w:rsid w:val="00FB095A"/>
    <w:rsid w:val="00FB0A1C"/>
    <w:rsid w:val="00FB0A20"/>
    <w:rsid w:val="00FB0B3C"/>
    <w:rsid w:val="00FB0B54"/>
    <w:rsid w:val="00FB0D4C"/>
    <w:rsid w:val="00FB0D6C"/>
    <w:rsid w:val="00FB0DE9"/>
    <w:rsid w:val="00FB118E"/>
    <w:rsid w:val="00FB11AC"/>
    <w:rsid w:val="00FB1266"/>
    <w:rsid w:val="00FB12D0"/>
    <w:rsid w:val="00FB1336"/>
    <w:rsid w:val="00FB134C"/>
    <w:rsid w:val="00FB1539"/>
    <w:rsid w:val="00FB1608"/>
    <w:rsid w:val="00FB1756"/>
    <w:rsid w:val="00FB17BA"/>
    <w:rsid w:val="00FB1884"/>
    <w:rsid w:val="00FB1B8A"/>
    <w:rsid w:val="00FB1C07"/>
    <w:rsid w:val="00FB1D04"/>
    <w:rsid w:val="00FB1E2C"/>
    <w:rsid w:val="00FB2019"/>
    <w:rsid w:val="00FB2060"/>
    <w:rsid w:val="00FB20A2"/>
    <w:rsid w:val="00FB237F"/>
    <w:rsid w:val="00FB2550"/>
    <w:rsid w:val="00FB271D"/>
    <w:rsid w:val="00FB27CD"/>
    <w:rsid w:val="00FB27E7"/>
    <w:rsid w:val="00FB2992"/>
    <w:rsid w:val="00FB2A84"/>
    <w:rsid w:val="00FB2ABF"/>
    <w:rsid w:val="00FB2B9E"/>
    <w:rsid w:val="00FB2C04"/>
    <w:rsid w:val="00FB2C28"/>
    <w:rsid w:val="00FB2D51"/>
    <w:rsid w:val="00FB2D85"/>
    <w:rsid w:val="00FB2E70"/>
    <w:rsid w:val="00FB2ED8"/>
    <w:rsid w:val="00FB2F0A"/>
    <w:rsid w:val="00FB32B9"/>
    <w:rsid w:val="00FB332C"/>
    <w:rsid w:val="00FB347F"/>
    <w:rsid w:val="00FB3524"/>
    <w:rsid w:val="00FB3544"/>
    <w:rsid w:val="00FB357E"/>
    <w:rsid w:val="00FB360B"/>
    <w:rsid w:val="00FB36D6"/>
    <w:rsid w:val="00FB3784"/>
    <w:rsid w:val="00FB391E"/>
    <w:rsid w:val="00FB3966"/>
    <w:rsid w:val="00FB39D6"/>
    <w:rsid w:val="00FB3D92"/>
    <w:rsid w:val="00FB3DB9"/>
    <w:rsid w:val="00FB4045"/>
    <w:rsid w:val="00FB4113"/>
    <w:rsid w:val="00FB41A6"/>
    <w:rsid w:val="00FB4251"/>
    <w:rsid w:val="00FB428A"/>
    <w:rsid w:val="00FB43E9"/>
    <w:rsid w:val="00FB44A8"/>
    <w:rsid w:val="00FB48CF"/>
    <w:rsid w:val="00FB4980"/>
    <w:rsid w:val="00FB4A6E"/>
    <w:rsid w:val="00FB4AA4"/>
    <w:rsid w:val="00FB4AE2"/>
    <w:rsid w:val="00FB4B62"/>
    <w:rsid w:val="00FB4B97"/>
    <w:rsid w:val="00FB4C49"/>
    <w:rsid w:val="00FB4CD2"/>
    <w:rsid w:val="00FB4D42"/>
    <w:rsid w:val="00FB4DDD"/>
    <w:rsid w:val="00FB4F15"/>
    <w:rsid w:val="00FB53F4"/>
    <w:rsid w:val="00FB55B9"/>
    <w:rsid w:val="00FB55E8"/>
    <w:rsid w:val="00FB5829"/>
    <w:rsid w:val="00FB5917"/>
    <w:rsid w:val="00FB5BB2"/>
    <w:rsid w:val="00FB5C67"/>
    <w:rsid w:val="00FB5CDC"/>
    <w:rsid w:val="00FB5E13"/>
    <w:rsid w:val="00FB5E69"/>
    <w:rsid w:val="00FB5ED6"/>
    <w:rsid w:val="00FB5EE0"/>
    <w:rsid w:val="00FB5F26"/>
    <w:rsid w:val="00FB5F8E"/>
    <w:rsid w:val="00FB5FEA"/>
    <w:rsid w:val="00FB600B"/>
    <w:rsid w:val="00FB60F2"/>
    <w:rsid w:val="00FB61AC"/>
    <w:rsid w:val="00FB632C"/>
    <w:rsid w:val="00FB6352"/>
    <w:rsid w:val="00FB641F"/>
    <w:rsid w:val="00FB64C6"/>
    <w:rsid w:val="00FB6506"/>
    <w:rsid w:val="00FB65BB"/>
    <w:rsid w:val="00FB6635"/>
    <w:rsid w:val="00FB682B"/>
    <w:rsid w:val="00FB6A3B"/>
    <w:rsid w:val="00FB6BD6"/>
    <w:rsid w:val="00FB6DD9"/>
    <w:rsid w:val="00FB6DF5"/>
    <w:rsid w:val="00FB6E67"/>
    <w:rsid w:val="00FB6EEF"/>
    <w:rsid w:val="00FB718E"/>
    <w:rsid w:val="00FB71B2"/>
    <w:rsid w:val="00FB7289"/>
    <w:rsid w:val="00FB74CE"/>
    <w:rsid w:val="00FB74E0"/>
    <w:rsid w:val="00FB753A"/>
    <w:rsid w:val="00FB754D"/>
    <w:rsid w:val="00FB75EA"/>
    <w:rsid w:val="00FB7666"/>
    <w:rsid w:val="00FB779F"/>
    <w:rsid w:val="00FB77DC"/>
    <w:rsid w:val="00FB79B8"/>
    <w:rsid w:val="00FB7B42"/>
    <w:rsid w:val="00FB7C02"/>
    <w:rsid w:val="00FB7DEF"/>
    <w:rsid w:val="00FB7E80"/>
    <w:rsid w:val="00FC001F"/>
    <w:rsid w:val="00FC00FC"/>
    <w:rsid w:val="00FC0156"/>
    <w:rsid w:val="00FC02F9"/>
    <w:rsid w:val="00FC037B"/>
    <w:rsid w:val="00FC04BC"/>
    <w:rsid w:val="00FC057A"/>
    <w:rsid w:val="00FC057C"/>
    <w:rsid w:val="00FC0860"/>
    <w:rsid w:val="00FC08D7"/>
    <w:rsid w:val="00FC09D1"/>
    <w:rsid w:val="00FC09FB"/>
    <w:rsid w:val="00FC0A2E"/>
    <w:rsid w:val="00FC0A6F"/>
    <w:rsid w:val="00FC0A97"/>
    <w:rsid w:val="00FC0B1D"/>
    <w:rsid w:val="00FC0C7D"/>
    <w:rsid w:val="00FC0E01"/>
    <w:rsid w:val="00FC0E47"/>
    <w:rsid w:val="00FC0E6B"/>
    <w:rsid w:val="00FC0FEE"/>
    <w:rsid w:val="00FC1015"/>
    <w:rsid w:val="00FC10BC"/>
    <w:rsid w:val="00FC1332"/>
    <w:rsid w:val="00FC146D"/>
    <w:rsid w:val="00FC1501"/>
    <w:rsid w:val="00FC15F4"/>
    <w:rsid w:val="00FC1770"/>
    <w:rsid w:val="00FC17DD"/>
    <w:rsid w:val="00FC187C"/>
    <w:rsid w:val="00FC18C7"/>
    <w:rsid w:val="00FC18F0"/>
    <w:rsid w:val="00FC1A16"/>
    <w:rsid w:val="00FC1B59"/>
    <w:rsid w:val="00FC1F7B"/>
    <w:rsid w:val="00FC1FD0"/>
    <w:rsid w:val="00FC2048"/>
    <w:rsid w:val="00FC2090"/>
    <w:rsid w:val="00FC21CB"/>
    <w:rsid w:val="00FC22BF"/>
    <w:rsid w:val="00FC23DD"/>
    <w:rsid w:val="00FC2433"/>
    <w:rsid w:val="00FC24AE"/>
    <w:rsid w:val="00FC2569"/>
    <w:rsid w:val="00FC27E8"/>
    <w:rsid w:val="00FC2990"/>
    <w:rsid w:val="00FC2A4A"/>
    <w:rsid w:val="00FC2A4E"/>
    <w:rsid w:val="00FC2D1E"/>
    <w:rsid w:val="00FC2F04"/>
    <w:rsid w:val="00FC2FCA"/>
    <w:rsid w:val="00FC30ED"/>
    <w:rsid w:val="00FC31BA"/>
    <w:rsid w:val="00FC3231"/>
    <w:rsid w:val="00FC3301"/>
    <w:rsid w:val="00FC3363"/>
    <w:rsid w:val="00FC3525"/>
    <w:rsid w:val="00FC3667"/>
    <w:rsid w:val="00FC36F3"/>
    <w:rsid w:val="00FC3715"/>
    <w:rsid w:val="00FC3769"/>
    <w:rsid w:val="00FC37FB"/>
    <w:rsid w:val="00FC3A89"/>
    <w:rsid w:val="00FC3AEB"/>
    <w:rsid w:val="00FC3B79"/>
    <w:rsid w:val="00FC3C24"/>
    <w:rsid w:val="00FC3E6B"/>
    <w:rsid w:val="00FC3F8A"/>
    <w:rsid w:val="00FC4003"/>
    <w:rsid w:val="00FC403E"/>
    <w:rsid w:val="00FC40F3"/>
    <w:rsid w:val="00FC4109"/>
    <w:rsid w:val="00FC4255"/>
    <w:rsid w:val="00FC42D9"/>
    <w:rsid w:val="00FC4523"/>
    <w:rsid w:val="00FC4707"/>
    <w:rsid w:val="00FC474F"/>
    <w:rsid w:val="00FC4777"/>
    <w:rsid w:val="00FC47E9"/>
    <w:rsid w:val="00FC4836"/>
    <w:rsid w:val="00FC4AF4"/>
    <w:rsid w:val="00FC4B05"/>
    <w:rsid w:val="00FC4B0C"/>
    <w:rsid w:val="00FC4BED"/>
    <w:rsid w:val="00FC4BF9"/>
    <w:rsid w:val="00FC4C79"/>
    <w:rsid w:val="00FC4D21"/>
    <w:rsid w:val="00FC4D78"/>
    <w:rsid w:val="00FC4D85"/>
    <w:rsid w:val="00FC4E37"/>
    <w:rsid w:val="00FC4F7C"/>
    <w:rsid w:val="00FC4F7E"/>
    <w:rsid w:val="00FC4FA7"/>
    <w:rsid w:val="00FC503D"/>
    <w:rsid w:val="00FC50B6"/>
    <w:rsid w:val="00FC517C"/>
    <w:rsid w:val="00FC51DD"/>
    <w:rsid w:val="00FC54BE"/>
    <w:rsid w:val="00FC5601"/>
    <w:rsid w:val="00FC56E2"/>
    <w:rsid w:val="00FC585A"/>
    <w:rsid w:val="00FC58FB"/>
    <w:rsid w:val="00FC5A35"/>
    <w:rsid w:val="00FC5AD0"/>
    <w:rsid w:val="00FC5D1B"/>
    <w:rsid w:val="00FC5D92"/>
    <w:rsid w:val="00FC6059"/>
    <w:rsid w:val="00FC6262"/>
    <w:rsid w:val="00FC638D"/>
    <w:rsid w:val="00FC6551"/>
    <w:rsid w:val="00FC65CE"/>
    <w:rsid w:val="00FC6658"/>
    <w:rsid w:val="00FC6676"/>
    <w:rsid w:val="00FC698F"/>
    <w:rsid w:val="00FC69F9"/>
    <w:rsid w:val="00FC6B7C"/>
    <w:rsid w:val="00FC6D7E"/>
    <w:rsid w:val="00FC706D"/>
    <w:rsid w:val="00FC7127"/>
    <w:rsid w:val="00FC7280"/>
    <w:rsid w:val="00FC7318"/>
    <w:rsid w:val="00FC74CB"/>
    <w:rsid w:val="00FC760D"/>
    <w:rsid w:val="00FC761A"/>
    <w:rsid w:val="00FC766C"/>
    <w:rsid w:val="00FC7780"/>
    <w:rsid w:val="00FC77EE"/>
    <w:rsid w:val="00FC7A67"/>
    <w:rsid w:val="00FC7AA7"/>
    <w:rsid w:val="00FC7B1F"/>
    <w:rsid w:val="00FC7B5B"/>
    <w:rsid w:val="00FC7B78"/>
    <w:rsid w:val="00FC7DD3"/>
    <w:rsid w:val="00FC7E5F"/>
    <w:rsid w:val="00FC7EB2"/>
    <w:rsid w:val="00FD0035"/>
    <w:rsid w:val="00FD003E"/>
    <w:rsid w:val="00FD0191"/>
    <w:rsid w:val="00FD0273"/>
    <w:rsid w:val="00FD034C"/>
    <w:rsid w:val="00FD0358"/>
    <w:rsid w:val="00FD04EF"/>
    <w:rsid w:val="00FD063C"/>
    <w:rsid w:val="00FD0653"/>
    <w:rsid w:val="00FD0871"/>
    <w:rsid w:val="00FD09A4"/>
    <w:rsid w:val="00FD09D6"/>
    <w:rsid w:val="00FD0A7B"/>
    <w:rsid w:val="00FD0B43"/>
    <w:rsid w:val="00FD0CD7"/>
    <w:rsid w:val="00FD0D7B"/>
    <w:rsid w:val="00FD0E1B"/>
    <w:rsid w:val="00FD0F0E"/>
    <w:rsid w:val="00FD1025"/>
    <w:rsid w:val="00FD110B"/>
    <w:rsid w:val="00FD1155"/>
    <w:rsid w:val="00FD1295"/>
    <w:rsid w:val="00FD12F2"/>
    <w:rsid w:val="00FD14A8"/>
    <w:rsid w:val="00FD14E2"/>
    <w:rsid w:val="00FD1641"/>
    <w:rsid w:val="00FD172F"/>
    <w:rsid w:val="00FD1876"/>
    <w:rsid w:val="00FD1B00"/>
    <w:rsid w:val="00FD1B04"/>
    <w:rsid w:val="00FD1B22"/>
    <w:rsid w:val="00FD1C00"/>
    <w:rsid w:val="00FD1C05"/>
    <w:rsid w:val="00FD1F38"/>
    <w:rsid w:val="00FD1F91"/>
    <w:rsid w:val="00FD2055"/>
    <w:rsid w:val="00FD205C"/>
    <w:rsid w:val="00FD205F"/>
    <w:rsid w:val="00FD2236"/>
    <w:rsid w:val="00FD2245"/>
    <w:rsid w:val="00FD254B"/>
    <w:rsid w:val="00FD25C6"/>
    <w:rsid w:val="00FD267E"/>
    <w:rsid w:val="00FD2744"/>
    <w:rsid w:val="00FD2784"/>
    <w:rsid w:val="00FD28BD"/>
    <w:rsid w:val="00FD2A7E"/>
    <w:rsid w:val="00FD2A82"/>
    <w:rsid w:val="00FD2ABF"/>
    <w:rsid w:val="00FD2B91"/>
    <w:rsid w:val="00FD2C14"/>
    <w:rsid w:val="00FD2DE8"/>
    <w:rsid w:val="00FD2E95"/>
    <w:rsid w:val="00FD2EC6"/>
    <w:rsid w:val="00FD30D3"/>
    <w:rsid w:val="00FD3159"/>
    <w:rsid w:val="00FD3220"/>
    <w:rsid w:val="00FD32D6"/>
    <w:rsid w:val="00FD3330"/>
    <w:rsid w:val="00FD3517"/>
    <w:rsid w:val="00FD361D"/>
    <w:rsid w:val="00FD3639"/>
    <w:rsid w:val="00FD3751"/>
    <w:rsid w:val="00FD37C1"/>
    <w:rsid w:val="00FD3804"/>
    <w:rsid w:val="00FD3BC3"/>
    <w:rsid w:val="00FD3C82"/>
    <w:rsid w:val="00FD3DBA"/>
    <w:rsid w:val="00FD3EF5"/>
    <w:rsid w:val="00FD3FEC"/>
    <w:rsid w:val="00FD3FF3"/>
    <w:rsid w:val="00FD408D"/>
    <w:rsid w:val="00FD4237"/>
    <w:rsid w:val="00FD4503"/>
    <w:rsid w:val="00FD4668"/>
    <w:rsid w:val="00FD4703"/>
    <w:rsid w:val="00FD47F1"/>
    <w:rsid w:val="00FD48E5"/>
    <w:rsid w:val="00FD494A"/>
    <w:rsid w:val="00FD4ADD"/>
    <w:rsid w:val="00FD4B39"/>
    <w:rsid w:val="00FD4B5B"/>
    <w:rsid w:val="00FD4B9E"/>
    <w:rsid w:val="00FD4D8C"/>
    <w:rsid w:val="00FD4D9E"/>
    <w:rsid w:val="00FD4F23"/>
    <w:rsid w:val="00FD51C7"/>
    <w:rsid w:val="00FD5225"/>
    <w:rsid w:val="00FD5379"/>
    <w:rsid w:val="00FD56A1"/>
    <w:rsid w:val="00FD588E"/>
    <w:rsid w:val="00FD58E7"/>
    <w:rsid w:val="00FD5A65"/>
    <w:rsid w:val="00FD5A8B"/>
    <w:rsid w:val="00FD5CAB"/>
    <w:rsid w:val="00FD5ED6"/>
    <w:rsid w:val="00FD602A"/>
    <w:rsid w:val="00FD6139"/>
    <w:rsid w:val="00FD6233"/>
    <w:rsid w:val="00FD62B9"/>
    <w:rsid w:val="00FD631B"/>
    <w:rsid w:val="00FD63C5"/>
    <w:rsid w:val="00FD6557"/>
    <w:rsid w:val="00FD6660"/>
    <w:rsid w:val="00FD66BE"/>
    <w:rsid w:val="00FD67B1"/>
    <w:rsid w:val="00FD687A"/>
    <w:rsid w:val="00FD6B27"/>
    <w:rsid w:val="00FD6E8E"/>
    <w:rsid w:val="00FD6F08"/>
    <w:rsid w:val="00FD6F8B"/>
    <w:rsid w:val="00FD6FD9"/>
    <w:rsid w:val="00FD709C"/>
    <w:rsid w:val="00FD7309"/>
    <w:rsid w:val="00FD769F"/>
    <w:rsid w:val="00FD76DA"/>
    <w:rsid w:val="00FD77DB"/>
    <w:rsid w:val="00FD78FD"/>
    <w:rsid w:val="00FD7973"/>
    <w:rsid w:val="00FD799B"/>
    <w:rsid w:val="00FD7B88"/>
    <w:rsid w:val="00FD7CDB"/>
    <w:rsid w:val="00FD7E0B"/>
    <w:rsid w:val="00FD7E68"/>
    <w:rsid w:val="00FD7EEF"/>
    <w:rsid w:val="00FD7F12"/>
    <w:rsid w:val="00FD7F48"/>
    <w:rsid w:val="00FE00A8"/>
    <w:rsid w:val="00FE0102"/>
    <w:rsid w:val="00FE0104"/>
    <w:rsid w:val="00FE01C8"/>
    <w:rsid w:val="00FE01E7"/>
    <w:rsid w:val="00FE041E"/>
    <w:rsid w:val="00FE0491"/>
    <w:rsid w:val="00FE04A9"/>
    <w:rsid w:val="00FE04C9"/>
    <w:rsid w:val="00FE04E9"/>
    <w:rsid w:val="00FE0509"/>
    <w:rsid w:val="00FE0596"/>
    <w:rsid w:val="00FE05C0"/>
    <w:rsid w:val="00FE070F"/>
    <w:rsid w:val="00FE0744"/>
    <w:rsid w:val="00FE07FF"/>
    <w:rsid w:val="00FE09AA"/>
    <w:rsid w:val="00FE09F1"/>
    <w:rsid w:val="00FE0C25"/>
    <w:rsid w:val="00FE0C7B"/>
    <w:rsid w:val="00FE0CD9"/>
    <w:rsid w:val="00FE0D73"/>
    <w:rsid w:val="00FE0E61"/>
    <w:rsid w:val="00FE0E8B"/>
    <w:rsid w:val="00FE0FE8"/>
    <w:rsid w:val="00FE10A9"/>
    <w:rsid w:val="00FE1122"/>
    <w:rsid w:val="00FE1144"/>
    <w:rsid w:val="00FE1165"/>
    <w:rsid w:val="00FE135A"/>
    <w:rsid w:val="00FE137D"/>
    <w:rsid w:val="00FE13C8"/>
    <w:rsid w:val="00FE164F"/>
    <w:rsid w:val="00FE16AA"/>
    <w:rsid w:val="00FE16AC"/>
    <w:rsid w:val="00FE1780"/>
    <w:rsid w:val="00FE1791"/>
    <w:rsid w:val="00FE1A1D"/>
    <w:rsid w:val="00FE1AA6"/>
    <w:rsid w:val="00FE1B7A"/>
    <w:rsid w:val="00FE1BBE"/>
    <w:rsid w:val="00FE1C49"/>
    <w:rsid w:val="00FE1D97"/>
    <w:rsid w:val="00FE1DCE"/>
    <w:rsid w:val="00FE22EE"/>
    <w:rsid w:val="00FE23D7"/>
    <w:rsid w:val="00FE2469"/>
    <w:rsid w:val="00FE2489"/>
    <w:rsid w:val="00FE270E"/>
    <w:rsid w:val="00FE2774"/>
    <w:rsid w:val="00FE2871"/>
    <w:rsid w:val="00FE2993"/>
    <w:rsid w:val="00FE29BE"/>
    <w:rsid w:val="00FE2AD3"/>
    <w:rsid w:val="00FE2B2C"/>
    <w:rsid w:val="00FE2B6E"/>
    <w:rsid w:val="00FE2DF9"/>
    <w:rsid w:val="00FE2E09"/>
    <w:rsid w:val="00FE2E20"/>
    <w:rsid w:val="00FE2EEB"/>
    <w:rsid w:val="00FE2F6E"/>
    <w:rsid w:val="00FE2FBF"/>
    <w:rsid w:val="00FE2FE2"/>
    <w:rsid w:val="00FE3067"/>
    <w:rsid w:val="00FE309F"/>
    <w:rsid w:val="00FE3122"/>
    <w:rsid w:val="00FE31C1"/>
    <w:rsid w:val="00FE3242"/>
    <w:rsid w:val="00FE32AE"/>
    <w:rsid w:val="00FE33E1"/>
    <w:rsid w:val="00FE3409"/>
    <w:rsid w:val="00FE341E"/>
    <w:rsid w:val="00FE3424"/>
    <w:rsid w:val="00FE36BC"/>
    <w:rsid w:val="00FE3CC6"/>
    <w:rsid w:val="00FE3DB6"/>
    <w:rsid w:val="00FE3F42"/>
    <w:rsid w:val="00FE3F8E"/>
    <w:rsid w:val="00FE3FB0"/>
    <w:rsid w:val="00FE40E8"/>
    <w:rsid w:val="00FE40E9"/>
    <w:rsid w:val="00FE42B7"/>
    <w:rsid w:val="00FE4565"/>
    <w:rsid w:val="00FE4689"/>
    <w:rsid w:val="00FE4704"/>
    <w:rsid w:val="00FE485F"/>
    <w:rsid w:val="00FE48C4"/>
    <w:rsid w:val="00FE4BFF"/>
    <w:rsid w:val="00FE4C71"/>
    <w:rsid w:val="00FE4DA6"/>
    <w:rsid w:val="00FE4EC2"/>
    <w:rsid w:val="00FE500F"/>
    <w:rsid w:val="00FE542C"/>
    <w:rsid w:val="00FE554D"/>
    <w:rsid w:val="00FE555D"/>
    <w:rsid w:val="00FE563D"/>
    <w:rsid w:val="00FE583C"/>
    <w:rsid w:val="00FE5857"/>
    <w:rsid w:val="00FE589F"/>
    <w:rsid w:val="00FE5C92"/>
    <w:rsid w:val="00FE5E60"/>
    <w:rsid w:val="00FE6311"/>
    <w:rsid w:val="00FE659D"/>
    <w:rsid w:val="00FE669F"/>
    <w:rsid w:val="00FE6787"/>
    <w:rsid w:val="00FE690A"/>
    <w:rsid w:val="00FE6963"/>
    <w:rsid w:val="00FE698A"/>
    <w:rsid w:val="00FE6A15"/>
    <w:rsid w:val="00FE6B44"/>
    <w:rsid w:val="00FE6DD5"/>
    <w:rsid w:val="00FE701D"/>
    <w:rsid w:val="00FE7131"/>
    <w:rsid w:val="00FE7214"/>
    <w:rsid w:val="00FE722E"/>
    <w:rsid w:val="00FE72E1"/>
    <w:rsid w:val="00FE7441"/>
    <w:rsid w:val="00FE74EC"/>
    <w:rsid w:val="00FE75B5"/>
    <w:rsid w:val="00FE7656"/>
    <w:rsid w:val="00FE76BC"/>
    <w:rsid w:val="00FE76DF"/>
    <w:rsid w:val="00FE790E"/>
    <w:rsid w:val="00FE7AA9"/>
    <w:rsid w:val="00FE7B0B"/>
    <w:rsid w:val="00FE7B62"/>
    <w:rsid w:val="00FE7BBC"/>
    <w:rsid w:val="00FE7C37"/>
    <w:rsid w:val="00FE7D30"/>
    <w:rsid w:val="00FE7ED2"/>
    <w:rsid w:val="00FF0125"/>
    <w:rsid w:val="00FF06B4"/>
    <w:rsid w:val="00FF0742"/>
    <w:rsid w:val="00FF0E83"/>
    <w:rsid w:val="00FF0FC6"/>
    <w:rsid w:val="00FF0FE0"/>
    <w:rsid w:val="00FF12F4"/>
    <w:rsid w:val="00FF14A5"/>
    <w:rsid w:val="00FF14C4"/>
    <w:rsid w:val="00FF1564"/>
    <w:rsid w:val="00FF1582"/>
    <w:rsid w:val="00FF1646"/>
    <w:rsid w:val="00FF1690"/>
    <w:rsid w:val="00FF171F"/>
    <w:rsid w:val="00FF17BE"/>
    <w:rsid w:val="00FF17ED"/>
    <w:rsid w:val="00FF1925"/>
    <w:rsid w:val="00FF1A28"/>
    <w:rsid w:val="00FF1A38"/>
    <w:rsid w:val="00FF1AC5"/>
    <w:rsid w:val="00FF1BD3"/>
    <w:rsid w:val="00FF1C7A"/>
    <w:rsid w:val="00FF1DB7"/>
    <w:rsid w:val="00FF1ED1"/>
    <w:rsid w:val="00FF2109"/>
    <w:rsid w:val="00FF213E"/>
    <w:rsid w:val="00FF22DB"/>
    <w:rsid w:val="00FF2329"/>
    <w:rsid w:val="00FF2396"/>
    <w:rsid w:val="00FF23AA"/>
    <w:rsid w:val="00FF241C"/>
    <w:rsid w:val="00FF255C"/>
    <w:rsid w:val="00FF267E"/>
    <w:rsid w:val="00FF2734"/>
    <w:rsid w:val="00FF28BA"/>
    <w:rsid w:val="00FF28DD"/>
    <w:rsid w:val="00FF2A2C"/>
    <w:rsid w:val="00FF2BB4"/>
    <w:rsid w:val="00FF2C53"/>
    <w:rsid w:val="00FF2E40"/>
    <w:rsid w:val="00FF2F29"/>
    <w:rsid w:val="00FF2F2B"/>
    <w:rsid w:val="00FF2F69"/>
    <w:rsid w:val="00FF30B9"/>
    <w:rsid w:val="00FF32C6"/>
    <w:rsid w:val="00FF33B7"/>
    <w:rsid w:val="00FF3787"/>
    <w:rsid w:val="00FF38B3"/>
    <w:rsid w:val="00FF3906"/>
    <w:rsid w:val="00FF39AF"/>
    <w:rsid w:val="00FF3A1E"/>
    <w:rsid w:val="00FF3C7D"/>
    <w:rsid w:val="00FF3D59"/>
    <w:rsid w:val="00FF3F90"/>
    <w:rsid w:val="00FF4190"/>
    <w:rsid w:val="00FF4320"/>
    <w:rsid w:val="00FF43D2"/>
    <w:rsid w:val="00FF4598"/>
    <w:rsid w:val="00FF47B4"/>
    <w:rsid w:val="00FF480F"/>
    <w:rsid w:val="00FF4813"/>
    <w:rsid w:val="00FF4823"/>
    <w:rsid w:val="00FF4869"/>
    <w:rsid w:val="00FF4898"/>
    <w:rsid w:val="00FF49DA"/>
    <w:rsid w:val="00FF4CDF"/>
    <w:rsid w:val="00FF4D9E"/>
    <w:rsid w:val="00FF4DED"/>
    <w:rsid w:val="00FF4F58"/>
    <w:rsid w:val="00FF4F70"/>
    <w:rsid w:val="00FF5015"/>
    <w:rsid w:val="00FF5122"/>
    <w:rsid w:val="00FF5263"/>
    <w:rsid w:val="00FF5412"/>
    <w:rsid w:val="00FF5446"/>
    <w:rsid w:val="00FF5559"/>
    <w:rsid w:val="00FF55D8"/>
    <w:rsid w:val="00FF57F3"/>
    <w:rsid w:val="00FF59D8"/>
    <w:rsid w:val="00FF5BA4"/>
    <w:rsid w:val="00FF5BF3"/>
    <w:rsid w:val="00FF5CEE"/>
    <w:rsid w:val="00FF5D7D"/>
    <w:rsid w:val="00FF5E58"/>
    <w:rsid w:val="00FF5E93"/>
    <w:rsid w:val="00FF5FD0"/>
    <w:rsid w:val="00FF6447"/>
    <w:rsid w:val="00FF6661"/>
    <w:rsid w:val="00FF666F"/>
    <w:rsid w:val="00FF669B"/>
    <w:rsid w:val="00FF66C1"/>
    <w:rsid w:val="00FF6709"/>
    <w:rsid w:val="00FF67B3"/>
    <w:rsid w:val="00FF6AE4"/>
    <w:rsid w:val="00FF6EC4"/>
    <w:rsid w:val="00FF7130"/>
    <w:rsid w:val="00FF75D3"/>
    <w:rsid w:val="00FF76F5"/>
    <w:rsid w:val="00FF7707"/>
    <w:rsid w:val="00FF7714"/>
    <w:rsid w:val="00FF7725"/>
    <w:rsid w:val="00FF78DE"/>
    <w:rsid w:val="00FF79DA"/>
    <w:rsid w:val="00FF7AA9"/>
    <w:rsid w:val="00FF7CCC"/>
    <w:rsid w:val="00FF7F50"/>
    <w:rsid w:val="0102A6A6"/>
    <w:rsid w:val="010F2B5F"/>
    <w:rsid w:val="01353876"/>
    <w:rsid w:val="0137E83A"/>
    <w:rsid w:val="013BA43F"/>
    <w:rsid w:val="013EA6FA"/>
    <w:rsid w:val="0170780D"/>
    <w:rsid w:val="0177FFF1"/>
    <w:rsid w:val="017BE210"/>
    <w:rsid w:val="01A9EAC6"/>
    <w:rsid w:val="01B92975"/>
    <w:rsid w:val="01C7F9D1"/>
    <w:rsid w:val="01CC56D2"/>
    <w:rsid w:val="01D214F3"/>
    <w:rsid w:val="01DECA0E"/>
    <w:rsid w:val="01F9F4D9"/>
    <w:rsid w:val="01FBC347"/>
    <w:rsid w:val="01FD19B1"/>
    <w:rsid w:val="01FFB587"/>
    <w:rsid w:val="0204CAE9"/>
    <w:rsid w:val="021FCFEC"/>
    <w:rsid w:val="0223B1FC"/>
    <w:rsid w:val="0226D71A"/>
    <w:rsid w:val="02322F92"/>
    <w:rsid w:val="023AC501"/>
    <w:rsid w:val="023ACA1C"/>
    <w:rsid w:val="023B4885"/>
    <w:rsid w:val="024A6897"/>
    <w:rsid w:val="0263DA79"/>
    <w:rsid w:val="026A7147"/>
    <w:rsid w:val="0270B125"/>
    <w:rsid w:val="027FD74C"/>
    <w:rsid w:val="0286CA90"/>
    <w:rsid w:val="028F752B"/>
    <w:rsid w:val="02ACF42B"/>
    <w:rsid w:val="02DC2161"/>
    <w:rsid w:val="02DEB690"/>
    <w:rsid w:val="02E176F7"/>
    <w:rsid w:val="03011E6D"/>
    <w:rsid w:val="0324C623"/>
    <w:rsid w:val="0330A8F7"/>
    <w:rsid w:val="0352A65B"/>
    <w:rsid w:val="0356900C"/>
    <w:rsid w:val="035B4899"/>
    <w:rsid w:val="0365D649"/>
    <w:rsid w:val="03778FB8"/>
    <w:rsid w:val="038130F9"/>
    <w:rsid w:val="0389032B"/>
    <w:rsid w:val="0392D172"/>
    <w:rsid w:val="039BD4EA"/>
    <w:rsid w:val="03A32380"/>
    <w:rsid w:val="03BF524A"/>
    <w:rsid w:val="03CF1C24"/>
    <w:rsid w:val="03E3687F"/>
    <w:rsid w:val="03F4985C"/>
    <w:rsid w:val="0403082F"/>
    <w:rsid w:val="0420515D"/>
    <w:rsid w:val="042C6F50"/>
    <w:rsid w:val="0457A3AA"/>
    <w:rsid w:val="045C91BB"/>
    <w:rsid w:val="0464EBB1"/>
    <w:rsid w:val="04676E00"/>
    <w:rsid w:val="04708544"/>
    <w:rsid w:val="047659C8"/>
    <w:rsid w:val="04768E29"/>
    <w:rsid w:val="047AC499"/>
    <w:rsid w:val="04841BEC"/>
    <w:rsid w:val="0484DDF6"/>
    <w:rsid w:val="048EE68E"/>
    <w:rsid w:val="0492F557"/>
    <w:rsid w:val="04BC934B"/>
    <w:rsid w:val="04C6D434"/>
    <w:rsid w:val="04CD574E"/>
    <w:rsid w:val="04E1D3D4"/>
    <w:rsid w:val="04ED2F84"/>
    <w:rsid w:val="04F49F75"/>
    <w:rsid w:val="05070126"/>
    <w:rsid w:val="05082735"/>
    <w:rsid w:val="0508DE10"/>
    <w:rsid w:val="050D3922"/>
    <w:rsid w:val="050F8CA6"/>
    <w:rsid w:val="052DAC2F"/>
    <w:rsid w:val="05469266"/>
    <w:rsid w:val="055084E5"/>
    <w:rsid w:val="0555035A"/>
    <w:rsid w:val="0558F44B"/>
    <w:rsid w:val="055BC446"/>
    <w:rsid w:val="0563925B"/>
    <w:rsid w:val="0588F8A4"/>
    <w:rsid w:val="058B0EC7"/>
    <w:rsid w:val="059F4529"/>
    <w:rsid w:val="05A4E0C4"/>
    <w:rsid w:val="05A895FA"/>
    <w:rsid w:val="05AEAD63"/>
    <w:rsid w:val="05C22E38"/>
    <w:rsid w:val="05D8F99B"/>
    <w:rsid w:val="05E685E8"/>
    <w:rsid w:val="05EC2D39"/>
    <w:rsid w:val="05EE2C04"/>
    <w:rsid w:val="05EFF812"/>
    <w:rsid w:val="05F95285"/>
    <w:rsid w:val="05FBD30F"/>
    <w:rsid w:val="060F22B1"/>
    <w:rsid w:val="061114BA"/>
    <w:rsid w:val="06161F8B"/>
    <w:rsid w:val="06227A95"/>
    <w:rsid w:val="06231611"/>
    <w:rsid w:val="062477D2"/>
    <w:rsid w:val="06314731"/>
    <w:rsid w:val="06383C9B"/>
    <w:rsid w:val="063CDB42"/>
    <w:rsid w:val="065B93A0"/>
    <w:rsid w:val="0669F11D"/>
    <w:rsid w:val="066B1C36"/>
    <w:rsid w:val="067E2481"/>
    <w:rsid w:val="0682E896"/>
    <w:rsid w:val="0683AEC2"/>
    <w:rsid w:val="0692890B"/>
    <w:rsid w:val="06D1E215"/>
    <w:rsid w:val="06D814EE"/>
    <w:rsid w:val="06DC97FB"/>
    <w:rsid w:val="06E8EB31"/>
    <w:rsid w:val="06ECDFD2"/>
    <w:rsid w:val="06FF62A1"/>
    <w:rsid w:val="071CC72F"/>
    <w:rsid w:val="071CDBF5"/>
    <w:rsid w:val="071DD03E"/>
    <w:rsid w:val="0725FD65"/>
    <w:rsid w:val="0740EDFE"/>
    <w:rsid w:val="0755F559"/>
    <w:rsid w:val="0765A09B"/>
    <w:rsid w:val="079D12E2"/>
    <w:rsid w:val="07A52B52"/>
    <w:rsid w:val="07A70508"/>
    <w:rsid w:val="07B290DF"/>
    <w:rsid w:val="07F2DFB3"/>
    <w:rsid w:val="07F7768B"/>
    <w:rsid w:val="07F8B1D7"/>
    <w:rsid w:val="07FD8688"/>
    <w:rsid w:val="08571476"/>
    <w:rsid w:val="085A3C08"/>
    <w:rsid w:val="086B8797"/>
    <w:rsid w:val="0874A83D"/>
    <w:rsid w:val="087D2EC8"/>
    <w:rsid w:val="08831EB5"/>
    <w:rsid w:val="08877E5C"/>
    <w:rsid w:val="088DE653"/>
    <w:rsid w:val="0891CC36"/>
    <w:rsid w:val="08AB993F"/>
    <w:rsid w:val="08BACA94"/>
    <w:rsid w:val="08C8C19C"/>
    <w:rsid w:val="08F2A4D5"/>
    <w:rsid w:val="090DBB3F"/>
    <w:rsid w:val="090E9F1E"/>
    <w:rsid w:val="092DB7D6"/>
    <w:rsid w:val="09325ECD"/>
    <w:rsid w:val="093684C5"/>
    <w:rsid w:val="093F1DDD"/>
    <w:rsid w:val="0943B116"/>
    <w:rsid w:val="094E877E"/>
    <w:rsid w:val="095039AC"/>
    <w:rsid w:val="0954C3D8"/>
    <w:rsid w:val="095BB8CB"/>
    <w:rsid w:val="0964FCDD"/>
    <w:rsid w:val="096BD9F3"/>
    <w:rsid w:val="097AA412"/>
    <w:rsid w:val="097C969B"/>
    <w:rsid w:val="098BF663"/>
    <w:rsid w:val="098D57EF"/>
    <w:rsid w:val="0992AE7E"/>
    <w:rsid w:val="0995BABB"/>
    <w:rsid w:val="09AC7368"/>
    <w:rsid w:val="09C967A8"/>
    <w:rsid w:val="09CCF7FE"/>
    <w:rsid w:val="09D5A1F8"/>
    <w:rsid w:val="09DCFFF0"/>
    <w:rsid w:val="09F1C923"/>
    <w:rsid w:val="09F8D85C"/>
    <w:rsid w:val="0A02B2A8"/>
    <w:rsid w:val="0A02B817"/>
    <w:rsid w:val="0A0EA3FE"/>
    <w:rsid w:val="0A30EBAF"/>
    <w:rsid w:val="0A47EAB0"/>
    <w:rsid w:val="0A54187A"/>
    <w:rsid w:val="0A5AF737"/>
    <w:rsid w:val="0A6467EC"/>
    <w:rsid w:val="0A6CAEA8"/>
    <w:rsid w:val="0A6D5C9E"/>
    <w:rsid w:val="0A751AC7"/>
    <w:rsid w:val="0A97DC03"/>
    <w:rsid w:val="0A9ADD22"/>
    <w:rsid w:val="0ABA7AFF"/>
    <w:rsid w:val="0ADD643B"/>
    <w:rsid w:val="0ADEA30D"/>
    <w:rsid w:val="0AE41573"/>
    <w:rsid w:val="0AE58BE1"/>
    <w:rsid w:val="0AE5ED3A"/>
    <w:rsid w:val="0AEC9BF7"/>
    <w:rsid w:val="0B18EEC9"/>
    <w:rsid w:val="0B294A7C"/>
    <w:rsid w:val="0B34F585"/>
    <w:rsid w:val="0B3E0609"/>
    <w:rsid w:val="0B3FC730"/>
    <w:rsid w:val="0B456539"/>
    <w:rsid w:val="0B4C0912"/>
    <w:rsid w:val="0B63E0FA"/>
    <w:rsid w:val="0B6906DF"/>
    <w:rsid w:val="0B717259"/>
    <w:rsid w:val="0B8174C8"/>
    <w:rsid w:val="0B918559"/>
    <w:rsid w:val="0B9B23C3"/>
    <w:rsid w:val="0BBFAD43"/>
    <w:rsid w:val="0BC743D5"/>
    <w:rsid w:val="0BD57AB4"/>
    <w:rsid w:val="0BF4BDA8"/>
    <w:rsid w:val="0C26385D"/>
    <w:rsid w:val="0C2FCED3"/>
    <w:rsid w:val="0C32A1AE"/>
    <w:rsid w:val="0C436070"/>
    <w:rsid w:val="0C4374EA"/>
    <w:rsid w:val="0C52AB8D"/>
    <w:rsid w:val="0C52C8CB"/>
    <w:rsid w:val="0C5320B6"/>
    <w:rsid w:val="0C61B492"/>
    <w:rsid w:val="0C7AD0F8"/>
    <w:rsid w:val="0C8D22EB"/>
    <w:rsid w:val="0C8E769A"/>
    <w:rsid w:val="0C97A0AC"/>
    <w:rsid w:val="0CA34144"/>
    <w:rsid w:val="0CB4A34F"/>
    <w:rsid w:val="0CD38C24"/>
    <w:rsid w:val="0CD7A368"/>
    <w:rsid w:val="0CDCAB59"/>
    <w:rsid w:val="0CDCD808"/>
    <w:rsid w:val="0CF8CA5D"/>
    <w:rsid w:val="0CFF7DD9"/>
    <w:rsid w:val="0D06E30A"/>
    <w:rsid w:val="0D1B0C7C"/>
    <w:rsid w:val="0D293384"/>
    <w:rsid w:val="0D2DE34B"/>
    <w:rsid w:val="0D51ACE1"/>
    <w:rsid w:val="0D5B4574"/>
    <w:rsid w:val="0D5FDEAD"/>
    <w:rsid w:val="0D6F10FC"/>
    <w:rsid w:val="0D703144"/>
    <w:rsid w:val="0D8299BB"/>
    <w:rsid w:val="0D89FC02"/>
    <w:rsid w:val="0D908E09"/>
    <w:rsid w:val="0D994DED"/>
    <w:rsid w:val="0D9BBB81"/>
    <w:rsid w:val="0D9C6E01"/>
    <w:rsid w:val="0DA7A126"/>
    <w:rsid w:val="0DAFC6A8"/>
    <w:rsid w:val="0DD269A6"/>
    <w:rsid w:val="0E0ACA5A"/>
    <w:rsid w:val="0E0C52C3"/>
    <w:rsid w:val="0E0F0242"/>
    <w:rsid w:val="0E20B29C"/>
    <w:rsid w:val="0E2DC9B4"/>
    <w:rsid w:val="0E2F5840"/>
    <w:rsid w:val="0E458A7E"/>
    <w:rsid w:val="0E49921B"/>
    <w:rsid w:val="0E5ED544"/>
    <w:rsid w:val="0E617DB7"/>
    <w:rsid w:val="0E6647A8"/>
    <w:rsid w:val="0E707052"/>
    <w:rsid w:val="0E7E16C7"/>
    <w:rsid w:val="0E83A9D4"/>
    <w:rsid w:val="0EACF503"/>
    <w:rsid w:val="0EB0118C"/>
    <w:rsid w:val="0EBE700B"/>
    <w:rsid w:val="0EBEBC98"/>
    <w:rsid w:val="0EBF4DAA"/>
    <w:rsid w:val="0ECAA6A3"/>
    <w:rsid w:val="0ED7CFCC"/>
    <w:rsid w:val="0ED92ABC"/>
    <w:rsid w:val="0EDF21DC"/>
    <w:rsid w:val="0EE9108A"/>
    <w:rsid w:val="0F011FDA"/>
    <w:rsid w:val="0F12CC30"/>
    <w:rsid w:val="0F252AF0"/>
    <w:rsid w:val="0F392154"/>
    <w:rsid w:val="0F5773B5"/>
    <w:rsid w:val="0F5E7520"/>
    <w:rsid w:val="0F66EE53"/>
    <w:rsid w:val="0F821191"/>
    <w:rsid w:val="0F862052"/>
    <w:rsid w:val="0FA100CC"/>
    <w:rsid w:val="0FADC174"/>
    <w:rsid w:val="0FB8FD04"/>
    <w:rsid w:val="0FC14183"/>
    <w:rsid w:val="0FCC9B77"/>
    <w:rsid w:val="0FD28A69"/>
    <w:rsid w:val="0FDFC7E8"/>
    <w:rsid w:val="0FF0CEAA"/>
    <w:rsid w:val="0FFD2C6C"/>
    <w:rsid w:val="0FFDF128"/>
    <w:rsid w:val="1006EE16"/>
    <w:rsid w:val="101C255F"/>
    <w:rsid w:val="101D3575"/>
    <w:rsid w:val="101FCCBD"/>
    <w:rsid w:val="10557893"/>
    <w:rsid w:val="105BD878"/>
    <w:rsid w:val="1060247E"/>
    <w:rsid w:val="1061F3F8"/>
    <w:rsid w:val="106971C4"/>
    <w:rsid w:val="10914913"/>
    <w:rsid w:val="1092045F"/>
    <w:rsid w:val="10C82ECB"/>
    <w:rsid w:val="10D4CBFC"/>
    <w:rsid w:val="10DB2580"/>
    <w:rsid w:val="10E1A495"/>
    <w:rsid w:val="10E1D374"/>
    <w:rsid w:val="10ECF0E7"/>
    <w:rsid w:val="10FA32CA"/>
    <w:rsid w:val="1105595D"/>
    <w:rsid w:val="1119914F"/>
    <w:rsid w:val="11200CCE"/>
    <w:rsid w:val="113676A6"/>
    <w:rsid w:val="113A8A41"/>
    <w:rsid w:val="1156F19A"/>
    <w:rsid w:val="115E9294"/>
    <w:rsid w:val="116378BF"/>
    <w:rsid w:val="116409BF"/>
    <w:rsid w:val="11797675"/>
    <w:rsid w:val="117C1685"/>
    <w:rsid w:val="118B3ACC"/>
    <w:rsid w:val="11A6849E"/>
    <w:rsid w:val="11B47E57"/>
    <w:rsid w:val="11BBAA57"/>
    <w:rsid w:val="11C3EF4B"/>
    <w:rsid w:val="11D1EEBA"/>
    <w:rsid w:val="11DF4DB8"/>
    <w:rsid w:val="11E883A0"/>
    <w:rsid w:val="12111CBC"/>
    <w:rsid w:val="122684D1"/>
    <w:rsid w:val="122AC773"/>
    <w:rsid w:val="123133FC"/>
    <w:rsid w:val="1233B62B"/>
    <w:rsid w:val="12418FCC"/>
    <w:rsid w:val="125A6138"/>
    <w:rsid w:val="1264164D"/>
    <w:rsid w:val="127A7074"/>
    <w:rsid w:val="127B8D88"/>
    <w:rsid w:val="128402C9"/>
    <w:rsid w:val="128B7513"/>
    <w:rsid w:val="12A1E24C"/>
    <w:rsid w:val="12A448FF"/>
    <w:rsid w:val="12ACF3D9"/>
    <w:rsid w:val="12B25A33"/>
    <w:rsid w:val="12DDF12A"/>
    <w:rsid w:val="12EE4174"/>
    <w:rsid w:val="12EF243D"/>
    <w:rsid w:val="13117A71"/>
    <w:rsid w:val="13239A7C"/>
    <w:rsid w:val="132A2082"/>
    <w:rsid w:val="132E74EE"/>
    <w:rsid w:val="133AE62E"/>
    <w:rsid w:val="134925B3"/>
    <w:rsid w:val="1370553E"/>
    <w:rsid w:val="13729D75"/>
    <w:rsid w:val="13829128"/>
    <w:rsid w:val="139B5F63"/>
    <w:rsid w:val="13A1E3A2"/>
    <w:rsid w:val="13A49103"/>
    <w:rsid w:val="13AF7CF2"/>
    <w:rsid w:val="13B631A6"/>
    <w:rsid w:val="13BA6896"/>
    <w:rsid w:val="13C4E094"/>
    <w:rsid w:val="13C71B17"/>
    <w:rsid w:val="13DBB10C"/>
    <w:rsid w:val="13F24C41"/>
    <w:rsid w:val="13F31B9D"/>
    <w:rsid w:val="140421EB"/>
    <w:rsid w:val="14045334"/>
    <w:rsid w:val="14052944"/>
    <w:rsid w:val="14058EDD"/>
    <w:rsid w:val="1412C2FC"/>
    <w:rsid w:val="143B9DC9"/>
    <w:rsid w:val="1441AA29"/>
    <w:rsid w:val="144DF643"/>
    <w:rsid w:val="145EC2E1"/>
    <w:rsid w:val="14822B74"/>
    <w:rsid w:val="14824330"/>
    <w:rsid w:val="14B27A95"/>
    <w:rsid w:val="14B39041"/>
    <w:rsid w:val="14B6B745"/>
    <w:rsid w:val="14BE2043"/>
    <w:rsid w:val="14BF78DE"/>
    <w:rsid w:val="14E9F485"/>
    <w:rsid w:val="1506D735"/>
    <w:rsid w:val="150A1578"/>
    <w:rsid w:val="151253F4"/>
    <w:rsid w:val="1520DF66"/>
    <w:rsid w:val="15217E1F"/>
    <w:rsid w:val="15401A10"/>
    <w:rsid w:val="1541BAB6"/>
    <w:rsid w:val="1550A6B0"/>
    <w:rsid w:val="1550F85B"/>
    <w:rsid w:val="15512E45"/>
    <w:rsid w:val="156730FF"/>
    <w:rsid w:val="158159A3"/>
    <w:rsid w:val="15B130E3"/>
    <w:rsid w:val="15B188A1"/>
    <w:rsid w:val="15B3761E"/>
    <w:rsid w:val="15BE4FE8"/>
    <w:rsid w:val="15C0C998"/>
    <w:rsid w:val="15C52EF4"/>
    <w:rsid w:val="15D6B119"/>
    <w:rsid w:val="15E88DE3"/>
    <w:rsid w:val="15FB98FA"/>
    <w:rsid w:val="16086B8F"/>
    <w:rsid w:val="1634F376"/>
    <w:rsid w:val="1637E5C8"/>
    <w:rsid w:val="165900A1"/>
    <w:rsid w:val="1684D649"/>
    <w:rsid w:val="168F1B7A"/>
    <w:rsid w:val="169E2EAD"/>
    <w:rsid w:val="16AF782C"/>
    <w:rsid w:val="16B1B310"/>
    <w:rsid w:val="16C16E00"/>
    <w:rsid w:val="16C86D3A"/>
    <w:rsid w:val="16C93EE4"/>
    <w:rsid w:val="16FA7290"/>
    <w:rsid w:val="16FE0EE2"/>
    <w:rsid w:val="16FE0F60"/>
    <w:rsid w:val="170216F4"/>
    <w:rsid w:val="1715E60F"/>
    <w:rsid w:val="17274111"/>
    <w:rsid w:val="17373607"/>
    <w:rsid w:val="1737704F"/>
    <w:rsid w:val="1741A2C5"/>
    <w:rsid w:val="1745564F"/>
    <w:rsid w:val="17605C37"/>
    <w:rsid w:val="17760A42"/>
    <w:rsid w:val="17781ADB"/>
    <w:rsid w:val="177B8D87"/>
    <w:rsid w:val="178ADA35"/>
    <w:rsid w:val="178C9B6C"/>
    <w:rsid w:val="1795E65B"/>
    <w:rsid w:val="1799ECD3"/>
    <w:rsid w:val="17A35289"/>
    <w:rsid w:val="17AB4F47"/>
    <w:rsid w:val="17AF04B5"/>
    <w:rsid w:val="17B56F8D"/>
    <w:rsid w:val="17D31454"/>
    <w:rsid w:val="17D7A139"/>
    <w:rsid w:val="17E8B054"/>
    <w:rsid w:val="17E97C13"/>
    <w:rsid w:val="17FB0D75"/>
    <w:rsid w:val="182B52D1"/>
    <w:rsid w:val="1836C037"/>
    <w:rsid w:val="18535AE7"/>
    <w:rsid w:val="18660F19"/>
    <w:rsid w:val="18664E52"/>
    <w:rsid w:val="188B64F8"/>
    <w:rsid w:val="188D1B35"/>
    <w:rsid w:val="1896DFFD"/>
    <w:rsid w:val="18AE619E"/>
    <w:rsid w:val="18BBB07B"/>
    <w:rsid w:val="18D47400"/>
    <w:rsid w:val="18E65CC6"/>
    <w:rsid w:val="18F11724"/>
    <w:rsid w:val="1907A3FB"/>
    <w:rsid w:val="190BFDB6"/>
    <w:rsid w:val="191B562C"/>
    <w:rsid w:val="1930BF0B"/>
    <w:rsid w:val="1935946B"/>
    <w:rsid w:val="194C274D"/>
    <w:rsid w:val="195F9F63"/>
    <w:rsid w:val="1977FC32"/>
    <w:rsid w:val="197DD166"/>
    <w:rsid w:val="19815FA6"/>
    <w:rsid w:val="1991C871"/>
    <w:rsid w:val="19B3BB16"/>
    <w:rsid w:val="19BB6132"/>
    <w:rsid w:val="19C4D61A"/>
    <w:rsid w:val="19C50B38"/>
    <w:rsid w:val="19CA8593"/>
    <w:rsid w:val="19D50C9C"/>
    <w:rsid w:val="19D6F10C"/>
    <w:rsid w:val="19F91A59"/>
    <w:rsid w:val="1A05B22E"/>
    <w:rsid w:val="1A13FEA9"/>
    <w:rsid w:val="1A1DEB89"/>
    <w:rsid w:val="1A2CFAA9"/>
    <w:rsid w:val="1A2DB17B"/>
    <w:rsid w:val="1A4A3DC9"/>
    <w:rsid w:val="1A56D6D1"/>
    <w:rsid w:val="1A616691"/>
    <w:rsid w:val="1A684178"/>
    <w:rsid w:val="1A8C2F13"/>
    <w:rsid w:val="1AA40B32"/>
    <w:rsid w:val="1AB123AA"/>
    <w:rsid w:val="1AB12AC4"/>
    <w:rsid w:val="1AEA5010"/>
    <w:rsid w:val="1B011640"/>
    <w:rsid w:val="1B0984F5"/>
    <w:rsid w:val="1B163997"/>
    <w:rsid w:val="1B1BC251"/>
    <w:rsid w:val="1B2ACA98"/>
    <w:rsid w:val="1B2D98D2"/>
    <w:rsid w:val="1B333D2A"/>
    <w:rsid w:val="1B4EC211"/>
    <w:rsid w:val="1B56D5EF"/>
    <w:rsid w:val="1B617017"/>
    <w:rsid w:val="1B6AB770"/>
    <w:rsid w:val="1B7044F3"/>
    <w:rsid w:val="1B72E412"/>
    <w:rsid w:val="1B804669"/>
    <w:rsid w:val="1B8E8CA7"/>
    <w:rsid w:val="1B9983EE"/>
    <w:rsid w:val="1BA7C775"/>
    <w:rsid w:val="1BAAF3E0"/>
    <w:rsid w:val="1BE1796C"/>
    <w:rsid w:val="1BECEEE2"/>
    <w:rsid w:val="1BF4CD58"/>
    <w:rsid w:val="1BF54AF8"/>
    <w:rsid w:val="1BFCB21F"/>
    <w:rsid w:val="1C08E2FC"/>
    <w:rsid w:val="1C12BE23"/>
    <w:rsid w:val="1C152269"/>
    <w:rsid w:val="1C3B962A"/>
    <w:rsid w:val="1C46832E"/>
    <w:rsid w:val="1C51BDB4"/>
    <w:rsid w:val="1C53B4B5"/>
    <w:rsid w:val="1C5A1842"/>
    <w:rsid w:val="1C5C73D3"/>
    <w:rsid w:val="1C60186F"/>
    <w:rsid w:val="1C7F9193"/>
    <w:rsid w:val="1C83614B"/>
    <w:rsid w:val="1CA088B1"/>
    <w:rsid w:val="1CA778AC"/>
    <w:rsid w:val="1CA9164A"/>
    <w:rsid w:val="1CAF0FAE"/>
    <w:rsid w:val="1CD26014"/>
    <w:rsid w:val="1CDDB3FA"/>
    <w:rsid w:val="1D0613A0"/>
    <w:rsid w:val="1D0838DA"/>
    <w:rsid w:val="1D1435EA"/>
    <w:rsid w:val="1D1CE067"/>
    <w:rsid w:val="1D2F8EBC"/>
    <w:rsid w:val="1D45A399"/>
    <w:rsid w:val="1D5EC2B9"/>
    <w:rsid w:val="1D6F944D"/>
    <w:rsid w:val="1D7A173E"/>
    <w:rsid w:val="1D828139"/>
    <w:rsid w:val="1D969F98"/>
    <w:rsid w:val="1DAF2933"/>
    <w:rsid w:val="1DBAAD34"/>
    <w:rsid w:val="1DBC85F6"/>
    <w:rsid w:val="1DC87286"/>
    <w:rsid w:val="1DCCF451"/>
    <w:rsid w:val="1DCF3021"/>
    <w:rsid w:val="1DEBAD22"/>
    <w:rsid w:val="1E1D16BF"/>
    <w:rsid w:val="1E24F85A"/>
    <w:rsid w:val="1E309A42"/>
    <w:rsid w:val="1E321E71"/>
    <w:rsid w:val="1E3DFB72"/>
    <w:rsid w:val="1E4CF2BA"/>
    <w:rsid w:val="1E51D5D9"/>
    <w:rsid w:val="1E9282C6"/>
    <w:rsid w:val="1E9EB0F1"/>
    <w:rsid w:val="1EA66C04"/>
    <w:rsid w:val="1EB34BD4"/>
    <w:rsid w:val="1EBAE29E"/>
    <w:rsid w:val="1EBC8AE0"/>
    <w:rsid w:val="1ED38D8C"/>
    <w:rsid w:val="1EDA00EF"/>
    <w:rsid w:val="1EDC6159"/>
    <w:rsid w:val="1EE09CDF"/>
    <w:rsid w:val="1EE15F3A"/>
    <w:rsid w:val="1EEEEFB8"/>
    <w:rsid w:val="1EFF18E0"/>
    <w:rsid w:val="1F004222"/>
    <w:rsid w:val="1F04B0C9"/>
    <w:rsid w:val="1F1B1F31"/>
    <w:rsid w:val="1F254826"/>
    <w:rsid w:val="1F56097C"/>
    <w:rsid w:val="1F657E36"/>
    <w:rsid w:val="1F676A82"/>
    <w:rsid w:val="1F7F2EC3"/>
    <w:rsid w:val="1F8A784D"/>
    <w:rsid w:val="1FA138FD"/>
    <w:rsid w:val="1FB1235C"/>
    <w:rsid w:val="1FBD58D4"/>
    <w:rsid w:val="1FBD6BA6"/>
    <w:rsid w:val="1FBE617C"/>
    <w:rsid w:val="1FBEEAA4"/>
    <w:rsid w:val="1FDC11E3"/>
    <w:rsid w:val="1FEE3202"/>
    <w:rsid w:val="1FF9F4B1"/>
    <w:rsid w:val="201333B0"/>
    <w:rsid w:val="20251587"/>
    <w:rsid w:val="20300BEB"/>
    <w:rsid w:val="2040C6CE"/>
    <w:rsid w:val="2063AEC7"/>
    <w:rsid w:val="206A6A60"/>
    <w:rsid w:val="206F1B26"/>
    <w:rsid w:val="209D0315"/>
    <w:rsid w:val="20A3742D"/>
    <w:rsid w:val="20A712F7"/>
    <w:rsid w:val="20A8A09D"/>
    <w:rsid w:val="20AE0BA3"/>
    <w:rsid w:val="20B95385"/>
    <w:rsid w:val="20C32BC2"/>
    <w:rsid w:val="20C968BB"/>
    <w:rsid w:val="20CB4019"/>
    <w:rsid w:val="20D43C1A"/>
    <w:rsid w:val="20F2A758"/>
    <w:rsid w:val="21060795"/>
    <w:rsid w:val="21149061"/>
    <w:rsid w:val="2125085F"/>
    <w:rsid w:val="212FF940"/>
    <w:rsid w:val="213E485F"/>
    <w:rsid w:val="21485754"/>
    <w:rsid w:val="214F4CF7"/>
    <w:rsid w:val="216BD256"/>
    <w:rsid w:val="218FA7D4"/>
    <w:rsid w:val="21A3DEB4"/>
    <w:rsid w:val="21B278CD"/>
    <w:rsid w:val="21B6A57B"/>
    <w:rsid w:val="21C3FC8B"/>
    <w:rsid w:val="21CE77B2"/>
    <w:rsid w:val="21FA82D5"/>
    <w:rsid w:val="21FC24CC"/>
    <w:rsid w:val="2205B366"/>
    <w:rsid w:val="222B7585"/>
    <w:rsid w:val="22364BFB"/>
    <w:rsid w:val="2237B43B"/>
    <w:rsid w:val="223C2D75"/>
    <w:rsid w:val="2244355A"/>
    <w:rsid w:val="2255F09B"/>
    <w:rsid w:val="226D206F"/>
    <w:rsid w:val="2275F00B"/>
    <w:rsid w:val="227A8C8D"/>
    <w:rsid w:val="22922BF7"/>
    <w:rsid w:val="229B1BD4"/>
    <w:rsid w:val="22AA7641"/>
    <w:rsid w:val="22AEDD07"/>
    <w:rsid w:val="22BDA772"/>
    <w:rsid w:val="22C5E2D6"/>
    <w:rsid w:val="22E4C9E3"/>
    <w:rsid w:val="22E7B3FB"/>
    <w:rsid w:val="23078F97"/>
    <w:rsid w:val="23758C08"/>
    <w:rsid w:val="2384E369"/>
    <w:rsid w:val="23884C6C"/>
    <w:rsid w:val="2395901F"/>
    <w:rsid w:val="23A4ED91"/>
    <w:rsid w:val="23BBD684"/>
    <w:rsid w:val="23C24D0C"/>
    <w:rsid w:val="23C549BC"/>
    <w:rsid w:val="23D34FBE"/>
    <w:rsid w:val="23DF3DDB"/>
    <w:rsid w:val="23E2CEB7"/>
    <w:rsid w:val="23E42693"/>
    <w:rsid w:val="23EC8624"/>
    <w:rsid w:val="24118FD0"/>
    <w:rsid w:val="241235D8"/>
    <w:rsid w:val="24244FCF"/>
    <w:rsid w:val="243329BC"/>
    <w:rsid w:val="24374435"/>
    <w:rsid w:val="244CCD43"/>
    <w:rsid w:val="244F51BD"/>
    <w:rsid w:val="2451E3B9"/>
    <w:rsid w:val="24528A17"/>
    <w:rsid w:val="24655679"/>
    <w:rsid w:val="2472D72A"/>
    <w:rsid w:val="24794BC9"/>
    <w:rsid w:val="248E94F8"/>
    <w:rsid w:val="2490BD01"/>
    <w:rsid w:val="249CC3EC"/>
    <w:rsid w:val="24AA24E5"/>
    <w:rsid w:val="24BA15B8"/>
    <w:rsid w:val="2506CC29"/>
    <w:rsid w:val="25261C07"/>
    <w:rsid w:val="252B5449"/>
    <w:rsid w:val="254D09DE"/>
    <w:rsid w:val="25518928"/>
    <w:rsid w:val="255577F9"/>
    <w:rsid w:val="25624F07"/>
    <w:rsid w:val="25641C99"/>
    <w:rsid w:val="2574D8E4"/>
    <w:rsid w:val="257641A1"/>
    <w:rsid w:val="2585EA9C"/>
    <w:rsid w:val="258CD493"/>
    <w:rsid w:val="25A4C131"/>
    <w:rsid w:val="25C3DEC9"/>
    <w:rsid w:val="25C807BF"/>
    <w:rsid w:val="25E1D131"/>
    <w:rsid w:val="25E4961C"/>
    <w:rsid w:val="25E559E0"/>
    <w:rsid w:val="25FF055E"/>
    <w:rsid w:val="26039C76"/>
    <w:rsid w:val="261D24E9"/>
    <w:rsid w:val="26241246"/>
    <w:rsid w:val="263F40D8"/>
    <w:rsid w:val="26411CC4"/>
    <w:rsid w:val="26416EA9"/>
    <w:rsid w:val="264DEDA9"/>
    <w:rsid w:val="265078B9"/>
    <w:rsid w:val="26550EE6"/>
    <w:rsid w:val="2656BB8F"/>
    <w:rsid w:val="2679D0CC"/>
    <w:rsid w:val="267B235D"/>
    <w:rsid w:val="268235A1"/>
    <w:rsid w:val="26878EA5"/>
    <w:rsid w:val="268C2C78"/>
    <w:rsid w:val="268D544E"/>
    <w:rsid w:val="2691408E"/>
    <w:rsid w:val="26A9E3B2"/>
    <w:rsid w:val="26ADBB81"/>
    <w:rsid w:val="26B2EF86"/>
    <w:rsid w:val="26B900E4"/>
    <w:rsid w:val="26C0425C"/>
    <w:rsid w:val="26C44130"/>
    <w:rsid w:val="26C5A741"/>
    <w:rsid w:val="26CDA163"/>
    <w:rsid w:val="26E81CA9"/>
    <w:rsid w:val="26F60591"/>
    <w:rsid w:val="26FCD68C"/>
    <w:rsid w:val="270486FD"/>
    <w:rsid w:val="27053A8D"/>
    <w:rsid w:val="271F0489"/>
    <w:rsid w:val="276C8467"/>
    <w:rsid w:val="276CEF4E"/>
    <w:rsid w:val="277E7D67"/>
    <w:rsid w:val="278B6A80"/>
    <w:rsid w:val="278CB302"/>
    <w:rsid w:val="279B4B9F"/>
    <w:rsid w:val="27D248CB"/>
    <w:rsid w:val="27DB03F8"/>
    <w:rsid w:val="27E7D502"/>
    <w:rsid w:val="27EE59CB"/>
    <w:rsid w:val="27F3B590"/>
    <w:rsid w:val="2801A83D"/>
    <w:rsid w:val="281293DC"/>
    <w:rsid w:val="281928A2"/>
    <w:rsid w:val="28235787"/>
    <w:rsid w:val="2829B264"/>
    <w:rsid w:val="282AEBC7"/>
    <w:rsid w:val="282C6B38"/>
    <w:rsid w:val="286B5AAC"/>
    <w:rsid w:val="2874277B"/>
    <w:rsid w:val="28768CC4"/>
    <w:rsid w:val="287D46E3"/>
    <w:rsid w:val="289618F8"/>
    <w:rsid w:val="2897E394"/>
    <w:rsid w:val="28A62969"/>
    <w:rsid w:val="28AB6AAE"/>
    <w:rsid w:val="28B3654A"/>
    <w:rsid w:val="28B5F96E"/>
    <w:rsid w:val="28BFF204"/>
    <w:rsid w:val="28D01AA2"/>
    <w:rsid w:val="28D299D0"/>
    <w:rsid w:val="28E9ABC8"/>
    <w:rsid w:val="28EB1579"/>
    <w:rsid w:val="28F5025D"/>
    <w:rsid w:val="28FA243C"/>
    <w:rsid w:val="28FFCDAA"/>
    <w:rsid w:val="290009F0"/>
    <w:rsid w:val="29006FB1"/>
    <w:rsid w:val="290EC26E"/>
    <w:rsid w:val="291EF701"/>
    <w:rsid w:val="291FEAE6"/>
    <w:rsid w:val="294706ED"/>
    <w:rsid w:val="295DBBDE"/>
    <w:rsid w:val="2964930E"/>
    <w:rsid w:val="29ACD1F0"/>
    <w:rsid w:val="29AFD9C1"/>
    <w:rsid w:val="29B58B1C"/>
    <w:rsid w:val="29B5CDBC"/>
    <w:rsid w:val="29B9BA45"/>
    <w:rsid w:val="29D52F5D"/>
    <w:rsid w:val="29F4D973"/>
    <w:rsid w:val="29FF3049"/>
    <w:rsid w:val="2A0B1684"/>
    <w:rsid w:val="2A132430"/>
    <w:rsid w:val="2A1C32F4"/>
    <w:rsid w:val="2A215093"/>
    <w:rsid w:val="2A281FFB"/>
    <w:rsid w:val="2A2A1D1D"/>
    <w:rsid w:val="2A2A7DBF"/>
    <w:rsid w:val="2A309615"/>
    <w:rsid w:val="2A35D98C"/>
    <w:rsid w:val="2A3F0C79"/>
    <w:rsid w:val="2A465EA4"/>
    <w:rsid w:val="2A48A3E7"/>
    <w:rsid w:val="2A7C4F81"/>
    <w:rsid w:val="2A8B0D21"/>
    <w:rsid w:val="2A8B0E2D"/>
    <w:rsid w:val="2A8B640F"/>
    <w:rsid w:val="2A994873"/>
    <w:rsid w:val="2AA0EC92"/>
    <w:rsid w:val="2AB1DAEC"/>
    <w:rsid w:val="2AB45493"/>
    <w:rsid w:val="2AD19C0B"/>
    <w:rsid w:val="2AF5FAFB"/>
    <w:rsid w:val="2AFA7529"/>
    <w:rsid w:val="2B282D48"/>
    <w:rsid w:val="2B2FB421"/>
    <w:rsid w:val="2B342C3A"/>
    <w:rsid w:val="2B35C7E2"/>
    <w:rsid w:val="2B4B65B6"/>
    <w:rsid w:val="2B5DD0FB"/>
    <w:rsid w:val="2B658EC1"/>
    <w:rsid w:val="2B73C562"/>
    <w:rsid w:val="2B754B15"/>
    <w:rsid w:val="2B770F97"/>
    <w:rsid w:val="2B876E93"/>
    <w:rsid w:val="2B88479D"/>
    <w:rsid w:val="2B8961E1"/>
    <w:rsid w:val="2BA30D31"/>
    <w:rsid w:val="2BA41930"/>
    <w:rsid w:val="2BA73FE9"/>
    <w:rsid w:val="2BB775A1"/>
    <w:rsid w:val="2BBD8DA5"/>
    <w:rsid w:val="2BC2FBF5"/>
    <w:rsid w:val="2BCBFA9D"/>
    <w:rsid w:val="2BDB23BB"/>
    <w:rsid w:val="2BE92F9E"/>
    <w:rsid w:val="2BEBAADA"/>
    <w:rsid w:val="2C0A431C"/>
    <w:rsid w:val="2C123B9D"/>
    <w:rsid w:val="2C189C2B"/>
    <w:rsid w:val="2C31BCC9"/>
    <w:rsid w:val="2C44DEE6"/>
    <w:rsid w:val="2C485C21"/>
    <w:rsid w:val="2C601CD5"/>
    <w:rsid w:val="2C75978A"/>
    <w:rsid w:val="2C80254A"/>
    <w:rsid w:val="2C84C164"/>
    <w:rsid w:val="2C90B294"/>
    <w:rsid w:val="2C956912"/>
    <w:rsid w:val="2CDC4A66"/>
    <w:rsid w:val="2CE5861C"/>
    <w:rsid w:val="2D2AB152"/>
    <w:rsid w:val="2D317D9D"/>
    <w:rsid w:val="2D3F634A"/>
    <w:rsid w:val="2D4D208E"/>
    <w:rsid w:val="2D711785"/>
    <w:rsid w:val="2D80BC98"/>
    <w:rsid w:val="2D8697E0"/>
    <w:rsid w:val="2D896A91"/>
    <w:rsid w:val="2DB9D7F1"/>
    <w:rsid w:val="2DC2D0D4"/>
    <w:rsid w:val="2DD7FE5D"/>
    <w:rsid w:val="2DED3D25"/>
    <w:rsid w:val="2DF200E4"/>
    <w:rsid w:val="2DF81B82"/>
    <w:rsid w:val="2E03A64C"/>
    <w:rsid w:val="2E0C50EF"/>
    <w:rsid w:val="2E0CE0E4"/>
    <w:rsid w:val="2E1D8B6D"/>
    <w:rsid w:val="2E3C31A9"/>
    <w:rsid w:val="2E4EA946"/>
    <w:rsid w:val="2E5F5131"/>
    <w:rsid w:val="2E701FAD"/>
    <w:rsid w:val="2E8758EB"/>
    <w:rsid w:val="2E8EA5C4"/>
    <w:rsid w:val="2E92D631"/>
    <w:rsid w:val="2E93E2D5"/>
    <w:rsid w:val="2EAAC2EB"/>
    <w:rsid w:val="2EC771E6"/>
    <w:rsid w:val="2EDD2AA4"/>
    <w:rsid w:val="2EE0F782"/>
    <w:rsid w:val="2EE75ED7"/>
    <w:rsid w:val="2EEE0025"/>
    <w:rsid w:val="2EFB42E6"/>
    <w:rsid w:val="2F01F54D"/>
    <w:rsid w:val="2F1CF6E0"/>
    <w:rsid w:val="2F251C1B"/>
    <w:rsid w:val="2F3C3E9D"/>
    <w:rsid w:val="2F672EE8"/>
    <w:rsid w:val="2F6BE38A"/>
    <w:rsid w:val="2F8B9438"/>
    <w:rsid w:val="2F93AA8B"/>
    <w:rsid w:val="2F97EF5E"/>
    <w:rsid w:val="2F99A5F5"/>
    <w:rsid w:val="2FA8B145"/>
    <w:rsid w:val="2FAE4CF7"/>
    <w:rsid w:val="2FB08303"/>
    <w:rsid w:val="2FBE0DED"/>
    <w:rsid w:val="2FD9B5F6"/>
    <w:rsid w:val="2FEC964A"/>
    <w:rsid w:val="2FF3759E"/>
    <w:rsid w:val="2FF886F8"/>
    <w:rsid w:val="2FF8A6F3"/>
    <w:rsid w:val="2FFB0921"/>
    <w:rsid w:val="3028359B"/>
    <w:rsid w:val="3028F0ED"/>
    <w:rsid w:val="304D7E2B"/>
    <w:rsid w:val="305F44CB"/>
    <w:rsid w:val="306DF6DE"/>
    <w:rsid w:val="307B0A11"/>
    <w:rsid w:val="308C7DD4"/>
    <w:rsid w:val="308D388A"/>
    <w:rsid w:val="30928B63"/>
    <w:rsid w:val="309D118C"/>
    <w:rsid w:val="30A79EAC"/>
    <w:rsid w:val="30C17E15"/>
    <w:rsid w:val="30ECBFB6"/>
    <w:rsid w:val="30F4A780"/>
    <w:rsid w:val="3105005A"/>
    <w:rsid w:val="3122F6A8"/>
    <w:rsid w:val="31369BFF"/>
    <w:rsid w:val="3139B8A4"/>
    <w:rsid w:val="31520F96"/>
    <w:rsid w:val="315579EB"/>
    <w:rsid w:val="315AC7D3"/>
    <w:rsid w:val="31603729"/>
    <w:rsid w:val="3165B751"/>
    <w:rsid w:val="31820B3C"/>
    <w:rsid w:val="3184D266"/>
    <w:rsid w:val="31896BAC"/>
    <w:rsid w:val="31C92A6A"/>
    <w:rsid w:val="31D709B2"/>
    <w:rsid w:val="31DEB119"/>
    <w:rsid w:val="31E950E4"/>
    <w:rsid w:val="32113059"/>
    <w:rsid w:val="32144F23"/>
    <w:rsid w:val="3218541D"/>
    <w:rsid w:val="321A716A"/>
    <w:rsid w:val="32294B84"/>
    <w:rsid w:val="322BFB19"/>
    <w:rsid w:val="322FDA29"/>
    <w:rsid w:val="323383BE"/>
    <w:rsid w:val="32370C98"/>
    <w:rsid w:val="324AFDA9"/>
    <w:rsid w:val="3260A508"/>
    <w:rsid w:val="32611D20"/>
    <w:rsid w:val="3263A9D0"/>
    <w:rsid w:val="32870464"/>
    <w:rsid w:val="329A5D91"/>
    <w:rsid w:val="329F1046"/>
    <w:rsid w:val="32B2FA63"/>
    <w:rsid w:val="32B9BB34"/>
    <w:rsid w:val="32E53646"/>
    <w:rsid w:val="32F7D078"/>
    <w:rsid w:val="33008B90"/>
    <w:rsid w:val="3304BB80"/>
    <w:rsid w:val="33187861"/>
    <w:rsid w:val="3324AD75"/>
    <w:rsid w:val="3326E480"/>
    <w:rsid w:val="332EE15E"/>
    <w:rsid w:val="3343CD97"/>
    <w:rsid w:val="3356ACC7"/>
    <w:rsid w:val="3359373C"/>
    <w:rsid w:val="33683BE7"/>
    <w:rsid w:val="337213E8"/>
    <w:rsid w:val="3375BBED"/>
    <w:rsid w:val="337E689E"/>
    <w:rsid w:val="338B50C8"/>
    <w:rsid w:val="338F196B"/>
    <w:rsid w:val="339483D4"/>
    <w:rsid w:val="33B48D19"/>
    <w:rsid w:val="33C37769"/>
    <w:rsid w:val="33CFAB9A"/>
    <w:rsid w:val="33D7ADE9"/>
    <w:rsid w:val="33E75763"/>
    <w:rsid w:val="34099B3B"/>
    <w:rsid w:val="340ADCBD"/>
    <w:rsid w:val="34128ABC"/>
    <w:rsid w:val="3414A096"/>
    <w:rsid w:val="341AEC51"/>
    <w:rsid w:val="34203AC0"/>
    <w:rsid w:val="3455BBC7"/>
    <w:rsid w:val="3484B879"/>
    <w:rsid w:val="34960F57"/>
    <w:rsid w:val="3499BF59"/>
    <w:rsid w:val="349FDD33"/>
    <w:rsid w:val="34AAAD06"/>
    <w:rsid w:val="34B563C5"/>
    <w:rsid w:val="34BF32D2"/>
    <w:rsid w:val="34C29152"/>
    <w:rsid w:val="34CCF3AC"/>
    <w:rsid w:val="34E235B5"/>
    <w:rsid w:val="34F33A08"/>
    <w:rsid w:val="3506D927"/>
    <w:rsid w:val="350CE0FE"/>
    <w:rsid w:val="350F75D4"/>
    <w:rsid w:val="35160552"/>
    <w:rsid w:val="3517DBDF"/>
    <w:rsid w:val="351EEB2B"/>
    <w:rsid w:val="35236807"/>
    <w:rsid w:val="3530197E"/>
    <w:rsid w:val="35316FAA"/>
    <w:rsid w:val="35341E34"/>
    <w:rsid w:val="3538D473"/>
    <w:rsid w:val="353B69D6"/>
    <w:rsid w:val="3545AED4"/>
    <w:rsid w:val="35544B3E"/>
    <w:rsid w:val="35547C6B"/>
    <w:rsid w:val="3558E012"/>
    <w:rsid w:val="356FBA92"/>
    <w:rsid w:val="356FD53D"/>
    <w:rsid w:val="35B3F3DF"/>
    <w:rsid w:val="35CD5559"/>
    <w:rsid w:val="35E0886E"/>
    <w:rsid w:val="35E86959"/>
    <w:rsid w:val="361441B5"/>
    <w:rsid w:val="3627BFBC"/>
    <w:rsid w:val="363A6DE6"/>
    <w:rsid w:val="3659A1C4"/>
    <w:rsid w:val="365E6383"/>
    <w:rsid w:val="365EE13E"/>
    <w:rsid w:val="3675346C"/>
    <w:rsid w:val="368790D0"/>
    <w:rsid w:val="369E8C1F"/>
    <w:rsid w:val="369F25E4"/>
    <w:rsid w:val="36A0DE8E"/>
    <w:rsid w:val="36A495AA"/>
    <w:rsid w:val="36A7A07C"/>
    <w:rsid w:val="36AA6F9E"/>
    <w:rsid w:val="36B8A39A"/>
    <w:rsid w:val="36C17712"/>
    <w:rsid w:val="36CFDFDA"/>
    <w:rsid w:val="36D33567"/>
    <w:rsid w:val="36E117E8"/>
    <w:rsid w:val="36E636D7"/>
    <w:rsid w:val="36E88888"/>
    <w:rsid w:val="36F7CFA2"/>
    <w:rsid w:val="36F86B48"/>
    <w:rsid w:val="36FA7D6B"/>
    <w:rsid w:val="3701B832"/>
    <w:rsid w:val="370702AA"/>
    <w:rsid w:val="37102A26"/>
    <w:rsid w:val="371AD4D7"/>
    <w:rsid w:val="372938A8"/>
    <w:rsid w:val="3731A0D9"/>
    <w:rsid w:val="3744F7C0"/>
    <w:rsid w:val="377E4E4C"/>
    <w:rsid w:val="377E8678"/>
    <w:rsid w:val="378E5972"/>
    <w:rsid w:val="37A4950B"/>
    <w:rsid w:val="37C48CA4"/>
    <w:rsid w:val="37D63E47"/>
    <w:rsid w:val="37DEDC22"/>
    <w:rsid w:val="37EEC2E6"/>
    <w:rsid w:val="380478D5"/>
    <w:rsid w:val="381B7D20"/>
    <w:rsid w:val="38298648"/>
    <w:rsid w:val="383EA9BD"/>
    <w:rsid w:val="383F0C1C"/>
    <w:rsid w:val="38502110"/>
    <w:rsid w:val="385FEA43"/>
    <w:rsid w:val="38614B39"/>
    <w:rsid w:val="38707794"/>
    <w:rsid w:val="3871022D"/>
    <w:rsid w:val="387A37A8"/>
    <w:rsid w:val="3881512A"/>
    <w:rsid w:val="3886A7E2"/>
    <w:rsid w:val="38876F0B"/>
    <w:rsid w:val="38BE82CC"/>
    <w:rsid w:val="38EB75D0"/>
    <w:rsid w:val="38F1338A"/>
    <w:rsid w:val="38FFC81E"/>
    <w:rsid w:val="393A84D9"/>
    <w:rsid w:val="394939DB"/>
    <w:rsid w:val="394AEADE"/>
    <w:rsid w:val="395010AF"/>
    <w:rsid w:val="395B5CC0"/>
    <w:rsid w:val="395C707E"/>
    <w:rsid w:val="39659352"/>
    <w:rsid w:val="39665ED8"/>
    <w:rsid w:val="398865DA"/>
    <w:rsid w:val="3998AE31"/>
    <w:rsid w:val="39A7214F"/>
    <w:rsid w:val="39BC12E3"/>
    <w:rsid w:val="39CC2DEC"/>
    <w:rsid w:val="39D48CB9"/>
    <w:rsid w:val="39F1EE4E"/>
    <w:rsid w:val="3A1E64F8"/>
    <w:rsid w:val="3A210F6D"/>
    <w:rsid w:val="3A3BAD3A"/>
    <w:rsid w:val="3A5EF608"/>
    <w:rsid w:val="3A67DB6C"/>
    <w:rsid w:val="3A6D7216"/>
    <w:rsid w:val="3A74500D"/>
    <w:rsid w:val="3A8C3E53"/>
    <w:rsid w:val="3AA203CA"/>
    <w:rsid w:val="3AA37645"/>
    <w:rsid w:val="3AAB4CE2"/>
    <w:rsid w:val="3AB7939F"/>
    <w:rsid w:val="3ABA756C"/>
    <w:rsid w:val="3ABCB62D"/>
    <w:rsid w:val="3AD52C2B"/>
    <w:rsid w:val="3B0516E5"/>
    <w:rsid w:val="3B11B5E9"/>
    <w:rsid w:val="3B1B5AC8"/>
    <w:rsid w:val="3B37DEB6"/>
    <w:rsid w:val="3B41EBD0"/>
    <w:rsid w:val="3B4405A9"/>
    <w:rsid w:val="3B45E246"/>
    <w:rsid w:val="3B5F5E02"/>
    <w:rsid w:val="3B643818"/>
    <w:rsid w:val="3B6B323A"/>
    <w:rsid w:val="3B831480"/>
    <w:rsid w:val="3B9CDFCC"/>
    <w:rsid w:val="3BE20D29"/>
    <w:rsid w:val="3BEF5399"/>
    <w:rsid w:val="3BF2E8D2"/>
    <w:rsid w:val="3BFC4C6B"/>
    <w:rsid w:val="3C032F6E"/>
    <w:rsid w:val="3C038888"/>
    <w:rsid w:val="3C0C854D"/>
    <w:rsid w:val="3C24D571"/>
    <w:rsid w:val="3C38872E"/>
    <w:rsid w:val="3C4D5643"/>
    <w:rsid w:val="3C5B98E9"/>
    <w:rsid w:val="3C5C055F"/>
    <w:rsid w:val="3C5CDC8B"/>
    <w:rsid w:val="3C66C740"/>
    <w:rsid w:val="3C6C5415"/>
    <w:rsid w:val="3C7325ED"/>
    <w:rsid w:val="3CA8B6BA"/>
    <w:rsid w:val="3CC65001"/>
    <w:rsid w:val="3CE97572"/>
    <w:rsid w:val="3CEF31E7"/>
    <w:rsid w:val="3CF7027A"/>
    <w:rsid w:val="3D0101F1"/>
    <w:rsid w:val="3D174D89"/>
    <w:rsid w:val="3D1A4124"/>
    <w:rsid w:val="3D3AA804"/>
    <w:rsid w:val="3D4B4AEB"/>
    <w:rsid w:val="3D618543"/>
    <w:rsid w:val="3D69F05A"/>
    <w:rsid w:val="3D7F8F3B"/>
    <w:rsid w:val="3D80D3B7"/>
    <w:rsid w:val="3DBDAF6F"/>
    <w:rsid w:val="3DC2C423"/>
    <w:rsid w:val="3DD2B677"/>
    <w:rsid w:val="3DDE3609"/>
    <w:rsid w:val="3DF1530B"/>
    <w:rsid w:val="3DF6C55A"/>
    <w:rsid w:val="3DFBD34F"/>
    <w:rsid w:val="3E089AD2"/>
    <w:rsid w:val="3E145303"/>
    <w:rsid w:val="3E1D0AAA"/>
    <w:rsid w:val="3E20EE22"/>
    <w:rsid w:val="3E3627C9"/>
    <w:rsid w:val="3E375062"/>
    <w:rsid w:val="3E4485C4"/>
    <w:rsid w:val="3E491C1A"/>
    <w:rsid w:val="3E4D0135"/>
    <w:rsid w:val="3E4D71BD"/>
    <w:rsid w:val="3E5E7070"/>
    <w:rsid w:val="3E61ACA2"/>
    <w:rsid w:val="3E6BD107"/>
    <w:rsid w:val="3E7F64BA"/>
    <w:rsid w:val="3E868BF5"/>
    <w:rsid w:val="3E8DF0DD"/>
    <w:rsid w:val="3E926D2A"/>
    <w:rsid w:val="3EAE53A6"/>
    <w:rsid w:val="3EB31847"/>
    <w:rsid w:val="3EB9FF31"/>
    <w:rsid w:val="3ECE1ABB"/>
    <w:rsid w:val="3ED38969"/>
    <w:rsid w:val="3EDCE27F"/>
    <w:rsid w:val="3EDEC3EE"/>
    <w:rsid w:val="3EE3EF0E"/>
    <w:rsid w:val="3EF092AE"/>
    <w:rsid w:val="3EF9021B"/>
    <w:rsid w:val="3F06441B"/>
    <w:rsid w:val="3F198DA6"/>
    <w:rsid w:val="3F19DFFA"/>
    <w:rsid w:val="3F1CD372"/>
    <w:rsid w:val="3F1D2B99"/>
    <w:rsid w:val="3F286606"/>
    <w:rsid w:val="3F2D1B66"/>
    <w:rsid w:val="3F43D412"/>
    <w:rsid w:val="3F679E03"/>
    <w:rsid w:val="3F72D02A"/>
    <w:rsid w:val="3F821F51"/>
    <w:rsid w:val="3FA62AF1"/>
    <w:rsid w:val="3FAC3258"/>
    <w:rsid w:val="3FB6FEA9"/>
    <w:rsid w:val="3FE0512D"/>
    <w:rsid w:val="3FF1F182"/>
    <w:rsid w:val="3FFAFE4F"/>
    <w:rsid w:val="3FFE99BE"/>
    <w:rsid w:val="3FFF57BE"/>
    <w:rsid w:val="400FFA3D"/>
    <w:rsid w:val="4010BE1B"/>
    <w:rsid w:val="4011CB9B"/>
    <w:rsid w:val="401FC07E"/>
    <w:rsid w:val="40214C14"/>
    <w:rsid w:val="402BE97C"/>
    <w:rsid w:val="40325036"/>
    <w:rsid w:val="4039B8A0"/>
    <w:rsid w:val="4060478E"/>
    <w:rsid w:val="4078109E"/>
    <w:rsid w:val="4083689A"/>
    <w:rsid w:val="408BCC2F"/>
    <w:rsid w:val="4095ECB0"/>
    <w:rsid w:val="40A386D2"/>
    <w:rsid w:val="40AAEAB6"/>
    <w:rsid w:val="40B27086"/>
    <w:rsid w:val="40DD92C2"/>
    <w:rsid w:val="40F2BF0D"/>
    <w:rsid w:val="410356C8"/>
    <w:rsid w:val="410B1F52"/>
    <w:rsid w:val="411136F0"/>
    <w:rsid w:val="4123CD1E"/>
    <w:rsid w:val="412B2B3E"/>
    <w:rsid w:val="414C8DBE"/>
    <w:rsid w:val="415177E4"/>
    <w:rsid w:val="41526823"/>
    <w:rsid w:val="4153DA2B"/>
    <w:rsid w:val="4156C45C"/>
    <w:rsid w:val="41592371"/>
    <w:rsid w:val="415D02BF"/>
    <w:rsid w:val="4162F8D6"/>
    <w:rsid w:val="417E6EBC"/>
    <w:rsid w:val="4183788B"/>
    <w:rsid w:val="41959879"/>
    <w:rsid w:val="4195D196"/>
    <w:rsid w:val="41991A9B"/>
    <w:rsid w:val="41A03DD7"/>
    <w:rsid w:val="41A31E92"/>
    <w:rsid w:val="41A94DA1"/>
    <w:rsid w:val="41B5B142"/>
    <w:rsid w:val="41FBA9E9"/>
    <w:rsid w:val="42108F3D"/>
    <w:rsid w:val="42226A7E"/>
    <w:rsid w:val="424B6311"/>
    <w:rsid w:val="4264C6B3"/>
    <w:rsid w:val="42721FCA"/>
    <w:rsid w:val="42941ACE"/>
    <w:rsid w:val="42967663"/>
    <w:rsid w:val="42A1283E"/>
    <w:rsid w:val="42A3C0B6"/>
    <w:rsid w:val="42AA5E0B"/>
    <w:rsid w:val="42AB45C3"/>
    <w:rsid w:val="42AC3A37"/>
    <w:rsid w:val="42B48CFF"/>
    <w:rsid w:val="42B7C465"/>
    <w:rsid w:val="42CD6DA5"/>
    <w:rsid w:val="42D5623B"/>
    <w:rsid w:val="42E1D4D0"/>
    <w:rsid w:val="42E5BBF5"/>
    <w:rsid w:val="430040EE"/>
    <w:rsid w:val="43134782"/>
    <w:rsid w:val="4326311E"/>
    <w:rsid w:val="435ED839"/>
    <w:rsid w:val="436DDCE6"/>
    <w:rsid w:val="436F7536"/>
    <w:rsid w:val="437C01D9"/>
    <w:rsid w:val="437C178F"/>
    <w:rsid w:val="43C17CDB"/>
    <w:rsid w:val="43C5D0BF"/>
    <w:rsid w:val="43C93790"/>
    <w:rsid w:val="43CFA9B8"/>
    <w:rsid w:val="43D4AD4D"/>
    <w:rsid w:val="43E18088"/>
    <w:rsid w:val="43F0386F"/>
    <w:rsid w:val="43F55C84"/>
    <w:rsid w:val="43FCE7BB"/>
    <w:rsid w:val="44165522"/>
    <w:rsid w:val="441A759E"/>
    <w:rsid w:val="442266A2"/>
    <w:rsid w:val="44248BDB"/>
    <w:rsid w:val="444F927C"/>
    <w:rsid w:val="445D1E03"/>
    <w:rsid w:val="445F3199"/>
    <w:rsid w:val="446530DA"/>
    <w:rsid w:val="4472397D"/>
    <w:rsid w:val="4478865D"/>
    <w:rsid w:val="44791C6F"/>
    <w:rsid w:val="44875F26"/>
    <w:rsid w:val="448FC5B4"/>
    <w:rsid w:val="449BA585"/>
    <w:rsid w:val="44A3ADFB"/>
    <w:rsid w:val="44BB03AE"/>
    <w:rsid w:val="44BF6F5C"/>
    <w:rsid w:val="44DABF54"/>
    <w:rsid w:val="44DEF72F"/>
    <w:rsid w:val="44F282F6"/>
    <w:rsid w:val="44F36E34"/>
    <w:rsid w:val="45005420"/>
    <w:rsid w:val="451E77EE"/>
    <w:rsid w:val="451F1B44"/>
    <w:rsid w:val="4523C894"/>
    <w:rsid w:val="452F480D"/>
    <w:rsid w:val="4535675C"/>
    <w:rsid w:val="4538DB04"/>
    <w:rsid w:val="45396731"/>
    <w:rsid w:val="454BFBBB"/>
    <w:rsid w:val="456DC599"/>
    <w:rsid w:val="457A4BB9"/>
    <w:rsid w:val="458D90E4"/>
    <w:rsid w:val="45A243D3"/>
    <w:rsid w:val="45A73637"/>
    <w:rsid w:val="45BCF2E6"/>
    <w:rsid w:val="45CA2A91"/>
    <w:rsid w:val="45EAE72C"/>
    <w:rsid w:val="45F3F5B0"/>
    <w:rsid w:val="45FE5292"/>
    <w:rsid w:val="46091DC6"/>
    <w:rsid w:val="460E026A"/>
    <w:rsid w:val="4613211F"/>
    <w:rsid w:val="46134866"/>
    <w:rsid w:val="46173F60"/>
    <w:rsid w:val="461BF351"/>
    <w:rsid w:val="4636188E"/>
    <w:rsid w:val="4638C6AF"/>
    <w:rsid w:val="464E369E"/>
    <w:rsid w:val="4650C9AA"/>
    <w:rsid w:val="46514765"/>
    <w:rsid w:val="465B21F8"/>
    <w:rsid w:val="465CFA88"/>
    <w:rsid w:val="465D8C42"/>
    <w:rsid w:val="4666D576"/>
    <w:rsid w:val="466CD5D0"/>
    <w:rsid w:val="468DF03A"/>
    <w:rsid w:val="46A15F7D"/>
    <w:rsid w:val="46AAC96A"/>
    <w:rsid w:val="46B415B3"/>
    <w:rsid w:val="46E1AF41"/>
    <w:rsid w:val="46EE9D16"/>
    <w:rsid w:val="46FB16D6"/>
    <w:rsid w:val="472FBCFF"/>
    <w:rsid w:val="47345E48"/>
    <w:rsid w:val="475018D2"/>
    <w:rsid w:val="47579C5F"/>
    <w:rsid w:val="475A061A"/>
    <w:rsid w:val="47611422"/>
    <w:rsid w:val="4771AA38"/>
    <w:rsid w:val="4787C4F1"/>
    <w:rsid w:val="4798FFC8"/>
    <w:rsid w:val="479D6643"/>
    <w:rsid w:val="47C1D9A3"/>
    <w:rsid w:val="47D66C75"/>
    <w:rsid w:val="47F77517"/>
    <w:rsid w:val="47F9C7BD"/>
    <w:rsid w:val="484DA7DE"/>
    <w:rsid w:val="485ADECF"/>
    <w:rsid w:val="485B440D"/>
    <w:rsid w:val="486F61AC"/>
    <w:rsid w:val="48769B9D"/>
    <w:rsid w:val="4887AE37"/>
    <w:rsid w:val="48925280"/>
    <w:rsid w:val="48943D8E"/>
    <w:rsid w:val="48A2B56A"/>
    <w:rsid w:val="48B04AA4"/>
    <w:rsid w:val="48CEC681"/>
    <w:rsid w:val="48CF030A"/>
    <w:rsid w:val="48ECFAAC"/>
    <w:rsid w:val="48F76EB0"/>
    <w:rsid w:val="49028710"/>
    <w:rsid w:val="491EF2C5"/>
    <w:rsid w:val="492B589D"/>
    <w:rsid w:val="49307781"/>
    <w:rsid w:val="4950515F"/>
    <w:rsid w:val="49823D72"/>
    <w:rsid w:val="49905B6D"/>
    <w:rsid w:val="49A09542"/>
    <w:rsid w:val="49A4170B"/>
    <w:rsid w:val="49A6DD8D"/>
    <w:rsid w:val="49C2958C"/>
    <w:rsid w:val="49C9D9CB"/>
    <w:rsid w:val="49DD306B"/>
    <w:rsid w:val="49E710F4"/>
    <w:rsid w:val="49EF25E5"/>
    <w:rsid w:val="49F651B8"/>
    <w:rsid w:val="49FCEDCA"/>
    <w:rsid w:val="4A045A00"/>
    <w:rsid w:val="4A183CDB"/>
    <w:rsid w:val="4A22D3CC"/>
    <w:rsid w:val="4A2FBACB"/>
    <w:rsid w:val="4A33710D"/>
    <w:rsid w:val="4A3D9234"/>
    <w:rsid w:val="4A4BE641"/>
    <w:rsid w:val="4A557EBB"/>
    <w:rsid w:val="4A5BAA34"/>
    <w:rsid w:val="4A72621F"/>
    <w:rsid w:val="4A72ECA5"/>
    <w:rsid w:val="4A7C502B"/>
    <w:rsid w:val="4A9CAB47"/>
    <w:rsid w:val="4AA70D46"/>
    <w:rsid w:val="4AAB7B26"/>
    <w:rsid w:val="4AB21EE5"/>
    <w:rsid w:val="4AC77AC7"/>
    <w:rsid w:val="4ADE6882"/>
    <w:rsid w:val="4AE47C82"/>
    <w:rsid w:val="4AEC3448"/>
    <w:rsid w:val="4AFD4D19"/>
    <w:rsid w:val="4B086147"/>
    <w:rsid w:val="4B0AEE7B"/>
    <w:rsid w:val="4B1A3A74"/>
    <w:rsid w:val="4B3F839C"/>
    <w:rsid w:val="4B406E8E"/>
    <w:rsid w:val="4B46BA9A"/>
    <w:rsid w:val="4B4AB817"/>
    <w:rsid w:val="4B61A870"/>
    <w:rsid w:val="4B61CD76"/>
    <w:rsid w:val="4B7156F7"/>
    <w:rsid w:val="4B7F385A"/>
    <w:rsid w:val="4B966D31"/>
    <w:rsid w:val="4B9810A1"/>
    <w:rsid w:val="4B9B48A5"/>
    <w:rsid w:val="4B9FC40F"/>
    <w:rsid w:val="4BA4B8B6"/>
    <w:rsid w:val="4BA519B1"/>
    <w:rsid w:val="4BAAD290"/>
    <w:rsid w:val="4BE83777"/>
    <w:rsid w:val="4BEE2189"/>
    <w:rsid w:val="4C1D10EF"/>
    <w:rsid w:val="4C37798C"/>
    <w:rsid w:val="4C386455"/>
    <w:rsid w:val="4C3B0BAA"/>
    <w:rsid w:val="4C3F4785"/>
    <w:rsid w:val="4C45EC84"/>
    <w:rsid w:val="4C4BACF4"/>
    <w:rsid w:val="4C5E19AA"/>
    <w:rsid w:val="4C78D164"/>
    <w:rsid w:val="4C7C4AA5"/>
    <w:rsid w:val="4C7DAB6B"/>
    <w:rsid w:val="4C84D213"/>
    <w:rsid w:val="4C8DD197"/>
    <w:rsid w:val="4C8E02F0"/>
    <w:rsid w:val="4CB2A89B"/>
    <w:rsid w:val="4CB536DD"/>
    <w:rsid w:val="4CB572B1"/>
    <w:rsid w:val="4CB5B17D"/>
    <w:rsid w:val="4CBD4EE6"/>
    <w:rsid w:val="4CDB5CB3"/>
    <w:rsid w:val="4CE6DF37"/>
    <w:rsid w:val="4CEC827A"/>
    <w:rsid w:val="4CEF8140"/>
    <w:rsid w:val="4CEF8699"/>
    <w:rsid w:val="4D107550"/>
    <w:rsid w:val="4D14AE19"/>
    <w:rsid w:val="4D1AF14B"/>
    <w:rsid w:val="4D1C02F2"/>
    <w:rsid w:val="4D23D1F3"/>
    <w:rsid w:val="4D42A291"/>
    <w:rsid w:val="4D463878"/>
    <w:rsid w:val="4D6E9E42"/>
    <w:rsid w:val="4D8F055A"/>
    <w:rsid w:val="4D98CA56"/>
    <w:rsid w:val="4DBBAF54"/>
    <w:rsid w:val="4DC2B895"/>
    <w:rsid w:val="4DC92C84"/>
    <w:rsid w:val="4DD724C3"/>
    <w:rsid w:val="4DDDE3DD"/>
    <w:rsid w:val="4DECA214"/>
    <w:rsid w:val="4DF52A9A"/>
    <w:rsid w:val="4DF87A0E"/>
    <w:rsid w:val="4E01EE90"/>
    <w:rsid w:val="4E0F4476"/>
    <w:rsid w:val="4E458A92"/>
    <w:rsid w:val="4E47A008"/>
    <w:rsid w:val="4E63DCC9"/>
    <w:rsid w:val="4E6AC846"/>
    <w:rsid w:val="4E73B6DA"/>
    <w:rsid w:val="4E7E0A02"/>
    <w:rsid w:val="4E8F0FDF"/>
    <w:rsid w:val="4E92EF38"/>
    <w:rsid w:val="4EAC8243"/>
    <w:rsid w:val="4EB1CCF9"/>
    <w:rsid w:val="4EB98BE7"/>
    <w:rsid w:val="4EBD6567"/>
    <w:rsid w:val="4EBDBCFF"/>
    <w:rsid w:val="4EC5CF65"/>
    <w:rsid w:val="4EC963EA"/>
    <w:rsid w:val="4ECB22EB"/>
    <w:rsid w:val="4ED14856"/>
    <w:rsid w:val="4EDE7203"/>
    <w:rsid w:val="4EE32498"/>
    <w:rsid w:val="4EE650D3"/>
    <w:rsid w:val="4EED67DA"/>
    <w:rsid w:val="4EFA7651"/>
    <w:rsid w:val="4F00CA0B"/>
    <w:rsid w:val="4F02557F"/>
    <w:rsid w:val="4F039DB0"/>
    <w:rsid w:val="4F333ADB"/>
    <w:rsid w:val="4F3FD1A3"/>
    <w:rsid w:val="4F639F5E"/>
    <w:rsid w:val="4F67BDD5"/>
    <w:rsid w:val="4F881FB6"/>
    <w:rsid w:val="4F8ED9D1"/>
    <w:rsid w:val="4F906ECD"/>
    <w:rsid w:val="4F9335CB"/>
    <w:rsid w:val="4FAF3F57"/>
    <w:rsid w:val="4FF8F03F"/>
    <w:rsid w:val="50080FD1"/>
    <w:rsid w:val="500C5D69"/>
    <w:rsid w:val="5017A697"/>
    <w:rsid w:val="50238D0C"/>
    <w:rsid w:val="5024E4B4"/>
    <w:rsid w:val="5028642E"/>
    <w:rsid w:val="502FE6CF"/>
    <w:rsid w:val="503231E4"/>
    <w:rsid w:val="5035D601"/>
    <w:rsid w:val="50691D98"/>
    <w:rsid w:val="50843BCA"/>
    <w:rsid w:val="50898B15"/>
    <w:rsid w:val="508AF87D"/>
    <w:rsid w:val="5090E34F"/>
    <w:rsid w:val="50913F10"/>
    <w:rsid w:val="50C46DF0"/>
    <w:rsid w:val="50C85308"/>
    <w:rsid w:val="50D267C7"/>
    <w:rsid w:val="50E48A35"/>
    <w:rsid w:val="50FD8D50"/>
    <w:rsid w:val="51281937"/>
    <w:rsid w:val="512DB6FF"/>
    <w:rsid w:val="51330BB6"/>
    <w:rsid w:val="5143820D"/>
    <w:rsid w:val="514BF22A"/>
    <w:rsid w:val="5153A418"/>
    <w:rsid w:val="5168427B"/>
    <w:rsid w:val="517426FA"/>
    <w:rsid w:val="519584DA"/>
    <w:rsid w:val="519A8E1F"/>
    <w:rsid w:val="51DECC34"/>
    <w:rsid w:val="520A9098"/>
    <w:rsid w:val="520C2885"/>
    <w:rsid w:val="5214C70F"/>
    <w:rsid w:val="52198971"/>
    <w:rsid w:val="521EA8E4"/>
    <w:rsid w:val="52374949"/>
    <w:rsid w:val="524DC01B"/>
    <w:rsid w:val="525EA599"/>
    <w:rsid w:val="526CC9D5"/>
    <w:rsid w:val="5277C6AA"/>
    <w:rsid w:val="5277E871"/>
    <w:rsid w:val="527B0CFE"/>
    <w:rsid w:val="52964CF0"/>
    <w:rsid w:val="529C36E7"/>
    <w:rsid w:val="53011AC0"/>
    <w:rsid w:val="53233FA3"/>
    <w:rsid w:val="532542AA"/>
    <w:rsid w:val="53353197"/>
    <w:rsid w:val="535E415E"/>
    <w:rsid w:val="5361839C"/>
    <w:rsid w:val="5369EA80"/>
    <w:rsid w:val="53736B82"/>
    <w:rsid w:val="537C0F4D"/>
    <w:rsid w:val="538737E0"/>
    <w:rsid w:val="539347B3"/>
    <w:rsid w:val="53A2EF42"/>
    <w:rsid w:val="53A6FA22"/>
    <w:rsid w:val="53AC80D6"/>
    <w:rsid w:val="53B9EC93"/>
    <w:rsid w:val="53BA8F85"/>
    <w:rsid w:val="53D70F11"/>
    <w:rsid w:val="54065BC9"/>
    <w:rsid w:val="5422C5C4"/>
    <w:rsid w:val="54312A46"/>
    <w:rsid w:val="543A8248"/>
    <w:rsid w:val="543C1A25"/>
    <w:rsid w:val="545C641E"/>
    <w:rsid w:val="547B62D8"/>
    <w:rsid w:val="54842F2D"/>
    <w:rsid w:val="5486B114"/>
    <w:rsid w:val="548B97A8"/>
    <w:rsid w:val="5496E579"/>
    <w:rsid w:val="54A933B4"/>
    <w:rsid w:val="54CDEA9B"/>
    <w:rsid w:val="54D286D5"/>
    <w:rsid w:val="54D8DC7A"/>
    <w:rsid w:val="54E99CAC"/>
    <w:rsid w:val="54F00791"/>
    <w:rsid w:val="54F167D5"/>
    <w:rsid w:val="54F618DF"/>
    <w:rsid w:val="550500E4"/>
    <w:rsid w:val="551B0F00"/>
    <w:rsid w:val="5521BE74"/>
    <w:rsid w:val="55287081"/>
    <w:rsid w:val="552D7857"/>
    <w:rsid w:val="55304C63"/>
    <w:rsid w:val="554B57D1"/>
    <w:rsid w:val="555BC2B0"/>
    <w:rsid w:val="557331F7"/>
    <w:rsid w:val="5575577C"/>
    <w:rsid w:val="557EBB09"/>
    <w:rsid w:val="5592B39F"/>
    <w:rsid w:val="559532A4"/>
    <w:rsid w:val="5596EE66"/>
    <w:rsid w:val="55A395D4"/>
    <w:rsid w:val="55AC35C8"/>
    <w:rsid w:val="55B1AF88"/>
    <w:rsid w:val="55C8DEE1"/>
    <w:rsid w:val="55DDA4C1"/>
    <w:rsid w:val="55EB1460"/>
    <w:rsid w:val="55EBF6E1"/>
    <w:rsid w:val="55F1242E"/>
    <w:rsid w:val="5608F6CB"/>
    <w:rsid w:val="5612C89B"/>
    <w:rsid w:val="561D02B5"/>
    <w:rsid w:val="563DA738"/>
    <w:rsid w:val="5643A1B9"/>
    <w:rsid w:val="5644674D"/>
    <w:rsid w:val="564D39C2"/>
    <w:rsid w:val="565DDEAC"/>
    <w:rsid w:val="5666E034"/>
    <w:rsid w:val="5667FD86"/>
    <w:rsid w:val="56BB08B8"/>
    <w:rsid w:val="56BD84DC"/>
    <w:rsid w:val="56C5166A"/>
    <w:rsid w:val="56C6423C"/>
    <w:rsid w:val="56CCB564"/>
    <w:rsid w:val="56E38706"/>
    <w:rsid w:val="56E3F557"/>
    <w:rsid w:val="56F27F85"/>
    <w:rsid w:val="56F4C5B4"/>
    <w:rsid w:val="570737CB"/>
    <w:rsid w:val="5708FCF3"/>
    <w:rsid w:val="570F0258"/>
    <w:rsid w:val="57316EA3"/>
    <w:rsid w:val="57396E1D"/>
    <w:rsid w:val="574410D9"/>
    <w:rsid w:val="57447C2D"/>
    <w:rsid w:val="575E0339"/>
    <w:rsid w:val="57711293"/>
    <w:rsid w:val="57809222"/>
    <w:rsid w:val="57C49930"/>
    <w:rsid w:val="57C57D63"/>
    <w:rsid w:val="57E53720"/>
    <w:rsid w:val="5801D6F6"/>
    <w:rsid w:val="5802203E"/>
    <w:rsid w:val="58155E79"/>
    <w:rsid w:val="581D89AA"/>
    <w:rsid w:val="581EECAE"/>
    <w:rsid w:val="58215665"/>
    <w:rsid w:val="583128D2"/>
    <w:rsid w:val="5855B5F8"/>
    <w:rsid w:val="5876D92C"/>
    <w:rsid w:val="58814141"/>
    <w:rsid w:val="58962639"/>
    <w:rsid w:val="58AF106A"/>
    <w:rsid w:val="58BC9CCD"/>
    <w:rsid w:val="58CFB882"/>
    <w:rsid w:val="58D55E68"/>
    <w:rsid w:val="58E0800A"/>
    <w:rsid w:val="58F4D457"/>
    <w:rsid w:val="58F5E8C8"/>
    <w:rsid w:val="58F6E9BB"/>
    <w:rsid w:val="5912944D"/>
    <w:rsid w:val="59227598"/>
    <w:rsid w:val="59447510"/>
    <w:rsid w:val="59485747"/>
    <w:rsid w:val="594AE640"/>
    <w:rsid w:val="594D2229"/>
    <w:rsid w:val="594E90F4"/>
    <w:rsid w:val="594EB677"/>
    <w:rsid w:val="595A6540"/>
    <w:rsid w:val="595D8F30"/>
    <w:rsid w:val="595EDAE3"/>
    <w:rsid w:val="596E8604"/>
    <w:rsid w:val="5970583B"/>
    <w:rsid w:val="5981501E"/>
    <w:rsid w:val="59820BEF"/>
    <w:rsid w:val="5986CF21"/>
    <w:rsid w:val="59883354"/>
    <w:rsid w:val="598B440B"/>
    <w:rsid w:val="5990C859"/>
    <w:rsid w:val="599461EA"/>
    <w:rsid w:val="59A910E1"/>
    <w:rsid w:val="59B32ABC"/>
    <w:rsid w:val="59BEF9D6"/>
    <w:rsid w:val="59C5EBEC"/>
    <w:rsid w:val="59C844D3"/>
    <w:rsid w:val="59CC0538"/>
    <w:rsid w:val="59E29CBA"/>
    <w:rsid w:val="59F0FE02"/>
    <w:rsid w:val="59FB840D"/>
    <w:rsid w:val="59FCF782"/>
    <w:rsid w:val="5A1DF7A2"/>
    <w:rsid w:val="5A2B594E"/>
    <w:rsid w:val="5A31EB20"/>
    <w:rsid w:val="5A55528E"/>
    <w:rsid w:val="5A6094C5"/>
    <w:rsid w:val="5A62FF65"/>
    <w:rsid w:val="5A7C461F"/>
    <w:rsid w:val="5A891691"/>
    <w:rsid w:val="5A8E1288"/>
    <w:rsid w:val="5A91C174"/>
    <w:rsid w:val="5A9B2B17"/>
    <w:rsid w:val="5AE16728"/>
    <w:rsid w:val="5AE2C0E2"/>
    <w:rsid w:val="5AE5EFC6"/>
    <w:rsid w:val="5AEA3746"/>
    <w:rsid w:val="5AEDD63B"/>
    <w:rsid w:val="5AEEA38F"/>
    <w:rsid w:val="5AFC59FC"/>
    <w:rsid w:val="5B00DA1C"/>
    <w:rsid w:val="5B019A90"/>
    <w:rsid w:val="5B02A77F"/>
    <w:rsid w:val="5B163013"/>
    <w:rsid w:val="5B3A7B8C"/>
    <w:rsid w:val="5B60CFE7"/>
    <w:rsid w:val="5B9BE809"/>
    <w:rsid w:val="5B9DA21D"/>
    <w:rsid w:val="5B9E4FDB"/>
    <w:rsid w:val="5BBB6DC4"/>
    <w:rsid w:val="5BBBB873"/>
    <w:rsid w:val="5BC4528C"/>
    <w:rsid w:val="5BF42FC3"/>
    <w:rsid w:val="5C2F2AC0"/>
    <w:rsid w:val="5C3EBBE8"/>
    <w:rsid w:val="5C4085DC"/>
    <w:rsid w:val="5C4F6359"/>
    <w:rsid w:val="5C673392"/>
    <w:rsid w:val="5C68DBA0"/>
    <w:rsid w:val="5C84E3F1"/>
    <w:rsid w:val="5C8BF878"/>
    <w:rsid w:val="5C949423"/>
    <w:rsid w:val="5CA79DC0"/>
    <w:rsid w:val="5CC75988"/>
    <w:rsid w:val="5CD92642"/>
    <w:rsid w:val="5CD981B1"/>
    <w:rsid w:val="5CDFF3B4"/>
    <w:rsid w:val="5CE0DC75"/>
    <w:rsid w:val="5D02E47C"/>
    <w:rsid w:val="5D0A16C7"/>
    <w:rsid w:val="5D0E869D"/>
    <w:rsid w:val="5D1496D4"/>
    <w:rsid w:val="5D176E14"/>
    <w:rsid w:val="5D34BDDF"/>
    <w:rsid w:val="5D3748F2"/>
    <w:rsid w:val="5D41836A"/>
    <w:rsid w:val="5D4664E4"/>
    <w:rsid w:val="5D54653F"/>
    <w:rsid w:val="5D5A843E"/>
    <w:rsid w:val="5D745BB4"/>
    <w:rsid w:val="5D776424"/>
    <w:rsid w:val="5D80C04D"/>
    <w:rsid w:val="5DA2E03F"/>
    <w:rsid w:val="5DBC39D9"/>
    <w:rsid w:val="5DBE8622"/>
    <w:rsid w:val="5DE0ED17"/>
    <w:rsid w:val="5DF91F1C"/>
    <w:rsid w:val="5DFBDDC3"/>
    <w:rsid w:val="5E01DB1C"/>
    <w:rsid w:val="5E09B617"/>
    <w:rsid w:val="5E0F404E"/>
    <w:rsid w:val="5E33C2B7"/>
    <w:rsid w:val="5E347F9B"/>
    <w:rsid w:val="5E4DC078"/>
    <w:rsid w:val="5E6B54A3"/>
    <w:rsid w:val="5E823900"/>
    <w:rsid w:val="5E8AB101"/>
    <w:rsid w:val="5EBE82CC"/>
    <w:rsid w:val="5EDD94AB"/>
    <w:rsid w:val="5EF0E9C3"/>
    <w:rsid w:val="5EF2EA36"/>
    <w:rsid w:val="5F0F7F17"/>
    <w:rsid w:val="5F1162ED"/>
    <w:rsid w:val="5F11B265"/>
    <w:rsid w:val="5F272B04"/>
    <w:rsid w:val="5F286F03"/>
    <w:rsid w:val="5F2D9505"/>
    <w:rsid w:val="5F366C59"/>
    <w:rsid w:val="5F3915C7"/>
    <w:rsid w:val="5F4646DE"/>
    <w:rsid w:val="5F700B4B"/>
    <w:rsid w:val="5F74327C"/>
    <w:rsid w:val="5F7B423C"/>
    <w:rsid w:val="5F992F08"/>
    <w:rsid w:val="5FA83499"/>
    <w:rsid w:val="5FA9DF5F"/>
    <w:rsid w:val="5FBA6465"/>
    <w:rsid w:val="5FC01E1C"/>
    <w:rsid w:val="5FC13777"/>
    <w:rsid w:val="5FD55AC4"/>
    <w:rsid w:val="5FDC2505"/>
    <w:rsid w:val="5FDDF88E"/>
    <w:rsid w:val="5FEDCE36"/>
    <w:rsid w:val="60105AFC"/>
    <w:rsid w:val="60176DCE"/>
    <w:rsid w:val="601B9A40"/>
    <w:rsid w:val="60284A72"/>
    <w:rsid w:val="603BE094"/>
    <w:rsid w:val="603C1CEC"/>
    <w:rsid w:val="604DA671"/>
    <w:rsid w:val="60581D5F"/>
    <w:rsid w:val="6065F66C"/>
    <w:rsid w:val="6072BA78"/>
    <w:rsid w:val="6076BC5F"/>
    <w:rsid w:val="607D7AFA"/>
    <w:rsid w:val="6092B36A"/>
    <w:rsid w:val="60AD2654"/>
    <w:rsid w:val="60DC60F3"/>
    <w:rsid w:val="60E75420"/>
    <w:rsid w:val="60F0A9FB"/>
    <w:rsid w:val="60F5B189"/>
    <w:rsid w:val="6107E5F9"/>
    <w:rsid w:val="6111B343"/>
    <w:rsid w:val="611ECBAA"/>
    <w:rsid w:val="613A26DD"/>
    <w:rsid w:val="613EFF58"/>
    <w:rsid w:val="61429D94"/>
    <w:rsid w:val="61614D47"/>
    <w:rsid w:val="617B6347"/>
    <w:rsid w:val="6188E589"/>
    <w:rsid w:val="61A072A6"/>
    <w:rsid w:val="61B88E70"/>
    <w:rsid w:val="61C78FF0"/>
    <w:rsid w:val="61D4546C"/>
    <w:rsid w:val="61DC1AA9"/>
    <w:rsid w:val="61ECC719"/>
    <w:rsid w:val="61F5DC64"/>
    <w:rsid w:val="6223B888"/>
    <w:rsid w:val="622B5B3D"/>
    <w:rsid w:val="62318B36"/>
    <w:rsid w:val="62345BC5"/>
    <w:rsid w:val="624C59FD"/>
    <w:rsid w:val="624F3630"/>
    <w:rsid w:val="625A54A4"/>
    <w:rsid w:val="625F3B9B"/>
    <w:rsid w:val="626EA3E0"/>
    <w:rsid w:val="627F36F7"/>
    <w:rsid w:val="627FC2B0"/>
    <w:rsid w:val="628BF03D"/>
    <w:rsid w:val="628F15BD"/>
    <w:rsid w:val="62902696"/>
    <w:rsid w:val="62914DC2"/>
    <w:rsid w:val="62984F90"/>
    <w:rsid w:val="62A0F98D"/>
    <w:rsid w:val="62A5937D"/>
    <w:rsid w:val="62AD4D05"/>
    <w:rsid w:val="62B02E6E"/>
    <w:rsid w:val="62B57776"/>
    <w:rsid w:val="62C54380"/>
    <w:rsid w:val="62DF383E"/>
    <w:rsid w:val="62DF441D"/>
    <w:rsid w:val="62E6BFCE"/>
    <w:rsid w:val="62EA6748"/>
    <w:rsid w:val="62ECDE26"/>
    <w:rsid w:val="62F7AAB4"/>
    <w:rsid w:val="6310D08B"/>
    <w:rsid w:val="63341783"/>
    <w:rsid w:val="634B07EF"/>
    <w:rsid w:val="636D1F32"/>
    <w:rsid w:val="638C57A8"/>
    <w:rsid w:val="63952D2E"/>
    <w:rsid w:val="639DA8C8"/>
    <w:rsid w:val="63A77051"/>
    <w:rsid w:val="63DC6A1D"/>
    <w:rsid w:val="63DC739A"/>
    <w:rsid w:val="63E28861"/>
    <w:rsid w:val="63EC1D09"/>
    <w:rsid w:val="63F25D24"/>
    <w:rsid w:val="63F3325F"/>
    <w:rsid w:val="63FDB9D5"/>
    <w:rsid w:val="6409DD7C"/>
    <w:rsid w:val="640C24B8"/>
    <w:rsid w:val="6412FB55"/>
    <w:rsid w:val="6445D11D"/>
    <w:rsid w:val="6450A332"/>
    <w:rsid w:val="64511C91"/>
    <w:rsid w:val="64513145"/>
    <w:rsid w:val="645CF754"/>
    <w:rsid w:val="645D81E2"/>
    <w:rsid w:val="6461E7D2"/>
    <w:rsid w:val="64629280"/>
    <w:rsid w:val="647E5292"/>
    <w:rsid w:val="64844DC6"/>
    <w:rsid w:val="6499DCE9"/>
    <w:rsid w:val="649F87E4"/>
    <w:rsid w:val="64A8ABDE"/>
    <w:rsid w:val="64B30581"/>
    <w:rsid w:val="64C44C34"/>
    <w:rsid w:val="64CB62FB"/>
    <w:rsid w:val="64D9E3BE"/>
    <w:rsid w:val="64DCFCCD"/>
    <w:rsid w:val="64DF5AEF"/>
    <w:rsid w:val="64ED8495"/>
    <w:rsid w:val="64FC8AEC"/>
    <w:rsid w:val="650B998A"/>
    <w:rsid w:val="650DFA78"/>
    <w:rsid w:val="65308830"/>
    <w:rsid w:val="6533BA2F"/>
    <w:rsid w:val="6536DFA9"/>
    <w:rsid w:val="65398406"/>
    <w:rsid w:val="654763BA"/>
    <w:rsid w:val="654C2081"/>
    <w:rsid w:val="654FEFFE"/>
    <w:rsid w:val="655CBBA4"/>
    <w:rsid w:val="655F6CB3"/>
    <w:rsid w:val="659F1348"/>
    <w:rsid w:val="65AF0F9D"/>
    <w:rsid w:val="65B5AE79"/>
    <w:rsid w:val="65BB07A1"/>
    <w:rsid w:val="65DB0B3C"/>
    <w:rsid w:val="65DFF684"/>
    <w:rsid w:val="65E348E2"/>
    <w:rsid w:val="65F7A920"/>
    <w:rsid w:val="660125F3"/>
    <w:rsid w:val="660175B2"/>
    <w:rsid w:val="660C1E58"/>
    <w:rsid w:val="6610D504"/>
    <w:rsid w:val="66231DDB"/>
    <w:rsid w:val="662DFBDE"/>
    <w:rsid w:val="66366A4F"/>
    <w:rsid w:val="663CF45B"/>
    <w:rsid w:val="66669EB2"/>
    <w:rsid w:val="6667790D"/>
    <w:rsid w:val="6671E656"/>
    <w:rsid w:val="66748B6F"/>
    <w:rsid w:val="6678640B"/>
    <w:rsid w:val="66846764"/>
    <w:rsid w:val="669A820B"/>
    <w:rsid w:val="66AF6576"/>
    <w:rsid w:val="66B00528"/>
    <w:rsid w:val="66B06F32"/>
    <w:rsid w:val="66B36C13"/>
    <w:rsid w:val="66C481B8"/>
    <w:rsid w:val="66CC9F11"/>
    <w:rsid w:val="66CDC13B"/>
    <w:rsid w:val="66D8701E"/>
    <w:rsid w:val="66E3C097"/>
    <w:rsid w:val="66E77421"/>
    <w:rsid w:val="66FB4FBD"/>
    <w:rsid w:val="66FECC60"/>
    <w:rsid w:val="6700577A"/>
    <w:rsid w:val="670D906E"/>
    <w:rsid w:val="670F818A"/>
    <w:rsid w:val="6710227A"/>
    <w:rsid w:val="67177F9A"/>
    <w:rsid w:val="673B7752"/>
    <w:rsid w:val="6751D7F0"/>
    <w:rsid w:val="67526987"/>
    <w:rsid w:val="675F6160"/>
    <w:rsid w:val="67728BD4"/>
    <w:rsid w:val="677FDAB5"/>
    <w:rsid w:val="678CABFD"/>
    <w:rsid w:val="67A03433"/>
    <w:rsid w:val="67A23FFB"/>
    <w:rsid w:val="67A7F3C2"/>
    <w:rsid w:val="67B76B01"/>
    <w:rsid w:val="67BB6E7A"/>
    <w:rsid w:val="67BC5D17"/>
    <w:rsid w:val="67DC0892"/>
    <w:rsid w:val="67DF2B07"/>
    <w:rsid w:val="67E034F7"/>
    <w:rsid w:val="67E1B0CB"/>
    <w:rsid w:val="67E5A9B0"/>
    <w:rsid w:val="67EF85C8"/>
    <w:rsid w:val="6815CE08"/>
    <w:rsid w:val="683EFD25"/>
    <w:rsid w:val="686C9EAA"/>
    <w:rsid w:val="687B930A"/>
    <w:rsid w:val="688008DC"/>
    <w:rsid w:val="688EE4FB"/>
    <w:rsid w:val="689B99DB"/>
    <w:rsid w:val="68B66DA3"/>
    <w:rsid w:val="68BFE9E1"/>
    <w:rsid w:val="68C85B21"/>
    <w:rsid w:val="68D44C01"/>
    <w:rsid w:val="68E82D53"/>
    <w:rsid w:val="68E9DF6A"/>
    <w:rsid w:val="68F43568"/>
    <w:rsid w:val="68F539E8"/>
    <w:rsid w:val="6927CE20"/>
    <w:rsid w:val="6929BF86"/>
    <w:rsid w:val="69309971"/>
    <w:rsid w:val="69332D5E"/>
    <w:rsid w:val="693498D0"/>
    <w:rsid w:val="693DE7C0"/>
    <w:rsid w:val="694F79BC"/>
    <w:rsid w:val="69661CCD"/>
    <w:rsid w:val="696980A9"/>
    <w:rsid w:val="696E8C7D"/>
    <w:rsid w:val="697BBD73"/>
    <w:rsid w:val="6992B307"/>
    <w:rsid w:val="69A61AF3"/>
    <w:rsid w:val="69C32133"/>
    <w:rsid w:val="69D11192"/>
    <w:rsid w:val="69D8B682"/>
    <w:rsid w:val="69ECDC60"/>
    <w:rsid w:val="69F0FDBA"/>
    <w:rsid w:val="69FCAD27"/>
    <w:rsid w:val="69FCD5A2"/>
    <w:rsid w:val="6A068955"/>
    <w:rsid w:val="6A1BE15D"/>
    <w:rsid w:val="6A323AC7"/>
    <w:rsid w:val="6A38BC26"/>
    <w:rsid w:val="6A41DF8C"/>
    <w:rsid w:val="6A4B51DC"/>
    <w:rsid w:val="6A65A09B"/>
    <w:rsid w:val="6A67E492"/>
    <w:rsid w:val="6A77C3EA"/>
    <w:rsid w:val="6A7CE431"/>
    <w:rsid w:val="6AB7F142"/>
    <w:rsid w:val="6AC98AB2"/>
    <w:rsid w:val="6AD5578F"/>
    <w:rsid w:val="6ADFA239"/>
    <w:rsid w:val="6AFDF594"/>
    <w:rsid w:val="6B0ADB10"/>
    <w:rsid w:val="6B19B9A3"/>
    <w:rsid w:val="6B1C2BBA"/>
    <w:rsid w:val="6B3025B1"/>
    <w:rsid w:val="6B41C471"/>
    <w:rsid w:val="6B4201A0"/>
    <w:rsid w:val="6B49510C"/>
    <w:rsid w:val="6B4B8A9D"/>
    <w:rsid w:val="6B6889AC"/>
    <w:rsid w:val="6B979ABD"/>
    <w:rsid w:val="6BA12BA5"/>
    <w:rsid w:val="6BA82D33"/>
    <w:rsid w:val="6BA9770C"/>
    <w:rsid w:val="6BADF851"/>
    <w:rsid w:val="6BBDB876"/>
    <w:rsid w:val="6BC0A3D0"/>
    <w:rsid w:val="6BD9F8CB"/>
    <w:rsid w:val="6BEDE658"/>
    <w:rsid w:val="6C055DAD"/>
    <w:rsid w:val="6C153077"/>
    <w:rsid w:val="6C1D52FE"/>
    <w:rsid w:val="6C226F3C"/>
    <w:rsid w:val="6C2CD249"/>
    <w:rsid w:val="6C2E0193"/>
    <w:rsid w:val="6C52729E"/>
    <w:rsid w:val="6C66E50A"/>
    <w:rsid w:val="6C806E93"/>
    <w:rsid w:val="6C82F1A8"/>
    <w:rsid w:val="6C8FA3ED"/>
    <w:rsid w:val="6C91A5AF"/>
    <w:rsid w:val="6C93738C"/>
    <w:rsid w:val="6CA6C4FB"/>
    <w:rsid w:val="6CB2F22C"/>
    <w:rsid w:val="6CBC41C6"/>
    <w:rsid w:val="6CE34FE4"/>
    <w:rsid w:val="6CE598C1"/>
    <w:rsid w:val="6CEB61C2"/>
    <w:rsid w:val="6CF593E1"/>
    <w:rsid w:val="6D16857D"/>
    <w:rsid w:val="6D1A0277"/>
    <w:rsid w:val="6D1E244D"/>
    <w:rsid w:val="6D21EA48"/>
    <w:rsid w:val="6D252ADC"/>
    <w:rsid w:val="6D434FF1"/>
    <w:rsid w:val="6D4B028E"/>
    <w:rsid w:val="6D5A736E"/>
    <w:rsid w:val="6D5CE7C6"/>
    <w:rsid w:val="6D658D2F"/>
    <w:rsid w:val="6D66379C"/>
    <w:rsid w:val="6D72011E"/>
    <w:rsid w:val="6D97266B"/>
    <w:rsid w:val="6D98DC01"/>
    <w:rsid w:val="6D99CF43"/>
    <w:rsid w:val="6D9CDC11"/>
    <w:rsid w:val="6DA03103"/>
    <w:rsid w:val="6DB66D01"/>
    <w:rsid w:val="6DBAFC75"/>
    <w:rsid w:val="6DCDC676"/>
    <w:rsid w:val="6DD395A8"/>
    <w:rsid w:val="6DF30E93"/>
    <w:rsid w:val="6E0112D9"/>
    <w:rsid w:val="6E07B28C"/>
    <w:rsid w:val="6E0821DD"/>
    <w:rsid w:val="6E0D7771"/>
    <w:rsid w:val="6E0EF427"/>
    <w:rsid w:val="6E2A91E7"/>
    <w:rsid w:val="6E2AE2CF"/>
    <w:rsid w:val="6E3B0C6B"/>
    <w:rsid w:val="6E576E71"/>
    <w:rsid w:val="6E61897A"/>
    <w:rsid w:val="6E927523"/>
    <w:rsid w:val="6E9CAE57"/>
    <w:rsid w:val="6EAB0E7A"/>
    <w:rsid w:val="6EC1EEA3"/>
    <w:rsid w:val="6EC2C4D2"/>
    <w:rsid w:val="6EDA472D"/>
    <w:rsid w:val="6EDB2740"/>
    <w:rsid w:val="6EE86DE7"/>
    <w:rsid w:val="6EEAEB01"/>
    <w:rsid w:val="6EEE8701"/>
    <w:rsid w:val="6F055E88"/>
    <w:rsid w:val="6F167673"/>
    <w:rsid w:val="6F17664C"/>
    <w:rsid w:val="6F2F2BC7"/>
    <w:rsid w:val="6F31FDB3"/>
    <w:rsid w:val="6F4022CC"/>
    <w:rsid w:val="6F450374"/>
    <w:rsid w:val="6F4C62D7"/>
    <w:rsid w:val="6F536CF9"/>
    <w:rsid w:val="6F544601"/>
    <w:rsid w:val="6F5A0FAA"/>
    <w:rsid w:val="6F65EE3C"/>
    <w:rsid w:val="6F74CEF9"/>
    <w:rsid w:val="6F8925E4"/>
    <w:rsid w:val="6F942D4F"/>
    <w:rsid w:val="6F99EE5B"/>
    <w:rsid w:val="6FB0AF60"/>
    <w:rsid w:val="6FB7D53E"/>
    <w:rsid w:val="6FD0CF85"/>
    <w:rsid w:val="6FD8A616"/>
    <w:rsid w:val="70158628"/>
    <w:rsid w:val="70174A80"/>
    <w:rsid w:val="70190391"/>
    <w:rsid w:val="701D54E4"/>
    <w:rsid w:val="702FD6DF"/>
    <w:rsid w:val="70306D90"/>
    <w:rsid w:val="70398869"/>
    <w:rsid w:val="7049216D"/>
    <w:rsid w:val="704A65A4"/>
    <w:rsid w:val="70589B84"/>
    <w:rsid w:val="707FFA00"/>
    <w:rsid w:val="70811B6F"/>
    <w:rsid w:val="70A86F67"/>
    <w:rsid w:val="70C2DC80"/>
    <w:rsid w:val="70C4EDFB"/>
    <w:rsid w:val="70DE506A"/>
    <w:rsid w:val="70DF978B"/>
    <w:rsid w:val="70E2C1CF"/>
    <w:rsid w:val="71247F10"/>
    <w:rsid w:val="713790A2"/>
    <w:rsid w:val="713878E5"/>
    <w:rsid w:val="713C72D3"/>
    <w:rsid w:val="71509265"/>
    <w:rsid w:val="7171AF9C"/>
    <w:rsid w:val="71BE2F22"/>
    <w:rsid w:val="71D7FA1C"/>
    <w:rsid w:val="72044DB3"/>
    <w:rsid w:val="72123D2D"/>
    <w:rsid w:val="7213C4A5"/>
    <w:rsid w:val="7240013F"/>
    <w:rsid w:val="72430F23"/>
    <w:rsid w:val="724C27CD"/>
    <w:rsid w:val="7262AACD"/>
    <w:rsid w:val="726A8A38"/>
    <w:rsid w:val="726EBAEA"/>
    <w:rsid w:val="72703883"/>
    <w:rsid w:val="7286A180"/>
    <w:rsid w:val="728950DF"/>
    <w:rsid w:val="72958071"/>
    <w:rsid w:val="72A3202B"/>
    <w:rsid w:val="72A5C6C0"/>
    <w:rsid w:val="72B4214A"/>
    <w:rsid w:val="72BFB006"/>
    <w:rsid w:val="72D13AF0"/>
    <w:rsid w:val="73039717"/>
    <w:rsid w:val="73103F0C"/>
    <w:rsid w:val="731924D7"/>
    <w:rsid w:val="7325E05B"/>
    <w:rsid w:val="73319D9C"/>
    <w:rsid w:val="733A1706"/>
    <w:rsid w:val="733C6DFA"/>
    <w:rsid w:val="734DFC98"/>
    <w:rsid w:val="734FA63B"/>
    <w:rsid w:val="735289DE"/>
    <w:rsid w:val="736A4948"/>
    <w:rsid w:val="736E2F49"/>
    <w:rsid w:val="736E47E5"/>
    <w:rsid w:val="73869E80"/>
    <w:rsid w:val="7387A721"/>
    <w:rsid w:val="73A0FAD0"/>
    <w:rsid w:val="73A764C6"/>
    <w:rsid w:val="73A90E88"/>
    <w:rsid w:val="73D04AF6"/>
    <w:rsid w:val="73DBA03A"/>
    <w:rsid w:val="73E196CB"/>
    <w:rsid w:val="73E2AAFC"/>
    <w:rsid w:val="73E7D712"/>
    <w:rsid w:val="73EAB257"/>
    <w:rsid w:val="73EB615D"/>
    <w:rsid w:val="73EC68EE"/>
    <w:rsid w:val="73EFD405"/>
    <w:rsid w:val="73FEE0D0"/>
    <w:rsid w:val="74079FDE"/>
    <w:rsid w:val="7421DED1"/>
    <w:rsid w:val="7446661C"/>
    <w:rsid w:val="7459C9BA"/>
    <w:rsid w:val="746F79CE"/>
    <w:rsid w:val="7472CBE7"/>
    <w:rsid w:val="74796676"/>
    <w:rsid w:val="747A8526"/>
    <w:rsid w:val="747C19F9"/>
    <w:rsid w:val="747FD566"/>
    <w:rsid w:val="748D4FDB"/>
    <w:rsid w:val="74979EF7"/>
    <w:rsid w:val="74A1AC37"/>
    <w:rsid w:val="74BE97ED"/>
    <w:rsid w:val="74C00BA4"/>
    <w:rsid w:val="74CAB4F1"/>
    <w:rsid w:val="74CD7778"/>
    <w:rsid w:val="74CFCEEE"/>
    <w:rsid w:val="74DA9C65"/>
    <w:rsid w:val="74F2E928"/>
    <w:rsid w:val="74FEDC0A"/>
    <w:rsid w:val="75248F9D"/>
    <w:rsid w:val="752AB191"/>
    <w:rsid w:val="752B6744"/>
    <w:rsid w:val="753AC11D"/>
    <w:rsid w:val="754552F0"/>
    <w:rsid w:val="75469B8D"/>
    <w:rsid w:val="75488397"/>
    <w:rsid w:val="754D8457"/>
    <w:rsid w:val="754E85B4"/>
    <w:rsid w:val="7552BD63"/>
    <w:rsid w:val="7557F73E"/>
    <w:rsid w:val="75632CB6"/>
    <w:rsid w:val="75680F45"/>
    <w:rsid w:val="75898150"/>
    <w:rsid w:val="759FC625"/>
    <w:rsid w:val="75A629EA"/>
    <w:rsid w:val="75BCB336"/>
    <w:rsid w:val="75C7908E"/>
    <w:rsid w:val="75D35F5D"/>
    <w:rsid w:val="75DE13D8"/>
    <w:rsid w:val="75EE563E"/>
    <w:rsid w:val="75F72BF8"/>
    <w:rsid w:val="75FFB2CE"/>
    <w:rsid w:val="76110172"/>
    <w:rsid w:val="76210372"/>
    <w:rsid w:val="764025D0"/>
    <w:rsid w:val="76500899"/>
    <w:rsid w:val="765374D6"/>
    <w:rsid w:val="76619075"/>
    <w:rsid w:val="766AC7C9"/>
    <w:rsid w:val="76791EAB"/>
    <w:rsid w:val="767B1A28"/>
    <w:rsid w:val="7689D8D2"/>
    <w:rsid w:val="768A2AA0"/>
    <w:rsid w:val="768D4BAF"/>
    <w:rsid w:val="76940421"/>
    <w:rsid w:val="76AE7E84"/>
    <w:rsid w:val="76CD4FBC"/>
    <w:rsid w:val="76CD77BC"/>
    <w:rsid w:val="76D29A8A"/>
    <w:rsid w:val="76DAF156"/>
    <w:rsid w:val="76DEA6A6"/>
    <w:rsid w:val="76E12895"/>
    <w:rsid w:val="77138708"/>
    <w:rsid w:val="77168046"/>
    <w:rsid w:val="771BC47B"/>
    <w:rsid w:val="775F8F8E"/>
    <w:rsid w:val="777D62BA"/>
    <w:rsid w:val="7789F9AA"/>
    <w:rsid w:val="77A00BD3"/>
    <w:rsid w:val="77ABB557"/>
    <w:rsid w:val="77AF1274"/>
    <w:rsid w:val="77B1192E"/>
    <w:rsid w:val="77B41671"/>
    <w:rsid w:val="77CC75A6"/>
    <w:rsid w:val="77D70BA6"/>
    <w:rsid w:val="77F63D99"/>
    <w:rsid w:val="780A4B6C"/>
    <w:rsid w:val="7816AE1D"/>
    <w:rsid w:val="7827AFC5"/>
    <w:rsid w:val="7833EF87"/>
    <w:rsid w:val="78373228"/>
    <w:rsid w:val="783AB222"/>
    <w:rsid w:val="784DA19E"/>
    <w:rsid w:val="7868E129"/>
    <w:rsid w:val="788B5E4D"/>
    <w:rsid w:val="788F0969"/>
    <w:rsid w:val="788FA922"/>
    <w:rsid w:val="78BC6B92"/>
    <w:rsid w:val="78BCEA59"/>
    <w:rsid w:val="78C4920A"/>
    <w:rsid w:val="78CA4D66"/>
    <w:rsid w:val="78CAA1FF"/>
    <w:rsid w:val="78CCE973"/>
    <w:rsid w:val="78D1EC48"/>
    <w:rsid w:val="78E5FB59"/>
    <w:rsid w:val="78F92ED2"/>
    <w:rsid w:val="7909AE27"/>
    <w:rsid w:val="7909B4F6"/>
    <w:rsid w:val="7911B5A5"/>
    <w:rsid w:val="792372B3"/>
    <w:rsid w:val="7925E653"/>
    <w:rsid w:val="7932EC6D"/>
    <w:rsid w:val="7946F82F"/>
    <w:rsid w:val="795F6862"/>
    <w:rsid w:val="79647BFF"/>
    <w:rsid w:val="79755677"/>
    <w:rsid w:val="79837A30"/>
    <w:rsid w:val="7989A790"/>
    <w:rsid w:val="799AF79F"/>
    <w:rsid w:val="79C877F0"/>
    <w:rsid w:val="79CC6553"/>
    <w:rsid w:val="79D4507D"/>
    <w:rsid w:val="79E06DFF"/>
    <w:rsid w:val="79E7CA84"/>
    <w:rsid w:val="79EC36B7"/>
    <w:rsid w:val="79F7DB11"/>
    <w:rsid w:val="79FB4550"/>
    <w:rsid w:val="7A1EC982"/>
    <w:rsid w:val="7A2CC598"/>
    <w:rsid w:val="7A310ECC"/>
    <w:rsid w:val="7A3967BF"/>
    <w:rsid w:val="7A3D137B"/>
    <w:rsid w:val="7A453D34"/>
    <w:rsid w:val="7A613D3F"/>
    <w:rsid w:val="7A78BC2C"/>
    <w:rsid w:val="7A7DAAC7"/>
    <w:rsid w:val="7A835042"/>
    <w:rsid w:val="7A86ACA2"/>
    <w:rsid w:val="7A8ADA5C"/>
    <w:rsid w:val="7A8C203E"/>
    <w:rsid w:val="7A974C84"/>
    <w:rsid w:val="7AA4C391"/>
    <w:rsid w:val="7AC06DDA"/>
    <w:rsid w:val="7AD69199"/>
    <w:rsid w:val="7B03FF47"/>
    <w:rsid w:val="7B04204D"/>
    <w:rsid w:val="7B34122C"/>
    <w:rsid w:val="7B3F8DCC"/>
    <w:rsid w:val="7B4148B7"/>
    <w:rsid w:val="7B453AB4"/>
    <w:rsid w:val="7B5709A8"/>
    <w:rsid w:val="7B59ABBE"/>
    <w:rsid w:val="7B762C10"/>
    <w:rsid w:val="7B94BEEE"/>
    <w:rsid w:val="7B952069"/>
    <w:rsid w:val="7B9531A7"/>
    <w:rsid w:val="7B9F8E62"/>
    <w:rsid w:val="7BA0B518"/>
    <w:rsid w:val="7BA660AE"/>
    <w:rsid w:val="7BB7036A"/>
    <w:rsid w:val="7BE0C098"/>
    <w:rsid w:val="7BEB2983"/>
    <w:rsid w:val="7BF2729B"/>
    <w:rsid w:val="7BF77AD3"/>
    <w:rsid w:val="7BF786E0"/>
    <w:rsid w:val="7C08024E"/>
    <w:rsid w:val="7C0AAEEA"/>
    <w:rsid w:val="7C410E4C"/>
    <w:rsid w:val="7C4319C6"/>
    <w:rsid w:val="7C4E3407"/>
    <w:rsid w:val="7C57116E"/>
    <w:rsid w:val="7C7FDB7B"/>
    <w:rsid w:val="7C811778"/>
    <w:rsid w:val="7C837D68"/>
    <w:rsid w:val="7C84083D"/>
    <w:rsid w:val="7C9FCFA8"/>
    <w:rsid w:val="7CABF57E"/>
    <w:rsid w:val="7CB07D4A"/>
    <w:rsid w:val="7CD24674"/>
    <w:rsid w:val="7CDABADB"/>
    <w:rsid w:val="7CE704FE"/>
    <w:rsid w:val="7CE7CF47"/>
    <w:rsid w:val="7CE95736"/>
    <w:rsid w:val="7CEA4CE4"/>
    <w:rsid w:val="7D19965C"/>
    <w:rsid w:val="7D24AF78"/>
    <w:rsid w:val="7D329BA6"/>
    <w:rsid w:val="7D5E3FFB"/>
    <w:rsid w:val="7D616E60"/>
    <w:rsid w:val="7D63A8BF"/>
    <w:rsid w:val="7D710A75"/>
    <w:rsid w:val="7D79E066"/>
    <w:rsid w:val="7D82FED9"/>
    <w:rsid w:val="7D88A6C4"/>
    <w:rsid w:val="7D891D4C"/>
    <w:rsid w:val="7DA02CD9"/>
    <w:rsid w:val="7DBED5FE"/>
    <w:rsid w:val="7DC86254"/>
    <w:rsid w:val="7DD3BF46"/>
    <w:rsid w:val="7DFCFD33"/>
    <w:rsid w:val="7E09CC30"/>
    <w:rsid w:val="7E17B787"/>
    <w:rsid w:val="7E23EE3A"/>
    <w:rsid w:val="7E25635C"/>
    <w:rsid w:val="7E5F771C"/>
    <w:rsid w:val="7E6F816E"/>
    <w:rsid w:val="7E806752"/>
    <w:rsid w:val="7E86AE66"/>
    <w:rsid w:val="7E91170D"/>
    <w:rsid w:val="7EAE2FB6"/>
    <w:rsid w:val="7EB16941"/>
    <w:rsid w:val="7ECCC404"/>
    <w:rsid w:val="7ED51358"/>
    <w:rsid w:val="7EDDB981"/>
    <w:rsid w:val="7EFA27CA"/>
    <w:rsid w:val="7EFEBE36"/>
    <w:rsid w:val="7EFEE83E"/>
    <w:rsid w:val="7F07F883"/>
    <w:rsid w:val="7F1BB207"/>
    <w:rsid w:val="7F1FFF8A"/>
    <w:rsid w:val="7F2C2D46"/>
    <w:rsid w:val="7F2D4DB9"/>
    <w:rsid w:val="7F2F7654"/>
    <w:rsid w:val="7F43CED3"/>
    <w:rsid w:val="7F475962"/>
    <w:rsid w:val="7F47E1DA"/>
    <w:rsid w:val="7F4CCDC6"/>
    <w:rsid w:val="7F65A754"/>
    <w:rsid w:val="7F719288"/>
    <w:rsid w:val="7F7C08F0"/>
    <w:rsid w:val="7F8846AE"/>
    <w:rsid w:val="7F8DAA5E"/>
    <w:rsid w:val="7F94C01C"/>
    <w:rsid w:val="7F996690"/>
    <w:rsid w:val="7F99B56B"/>
    <w:rsid w:val="7FB8B83A"/>
    <w:rsid w:val="7FC41BE3"/>
    <w:rsid w:val="7FC4E667"/>
    <w:rsid w:val="7FCB4F1C"/>
    <w:rsid w:val="7FD6B723"/>
    <w:rsid w:val="7FD7706A"/>
    <w:rsid w:val="7FE0D5EC"/>
    <w:rsid w:val="7FE294C6"/>
    <w:rsid w:val="7FE9EEEF"/>
    <w:rsid w:val="7FEEC99D"/>
    <w:rsid w:val="7FF80CF3"/>
    <w:rsid w:val="7FF90AB4"/>
    <w:rsid w:val="7FFC4C7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E291"/>
  <w15:docId w15:val="{BAAD474E-0E73-44B8-9A35-854CA81B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CA"/>
  </w:style>
  <w:style w:type="paragraph" w:styleId="Heading1">
    <w:name w:val="heading 1"/>
    <w:basedOn w:val="Normal"/>
    <w:next w:val="Normal"/>
    <w:link w:val="Heading1Char"/>
    <w:uiPriority w:val="9"/>
    <w:qFormat/>
    <w:rsid w:val="00501BC4"/>
    <w:pPr>
      <w:keepNext/>
      <w:keepLines/>
      <w:numPr>
        <w:ilvl w:val="6"/>
        <w:numId w:val="110"/>
      </w:numPr>
      <w:spacing w:after="200"/>
      <w:ind w:left="567" w:hanging="567"/>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Spacing"/>
    <w:next w:val="Normal"/>
    <w:link w:val="Heading2Char"/>
    <w:uiPriority w:val="9"/>
    <w:unhideWhenUsed/>
    <w:qFormat/>
    <w:rsid w:val="00501068"/>
    <w:pPr>
      <w:spacing w:after="160" w:line="259" w:lineRule="auto"/>
      <w:outlineLvl w:val="1"/>
    </w:pPr>
    <w:rPr>
      <w:b/>
      <w:bCs/>
      <w:color w:val="2F5496" w:themeColor="accent1" w:themeShade="BF"/>
      <w:sz w:val="28"/>
      <w:szCs w:val="28"/>
    </w:rPr>
  </w:style>
  <w:style w:type="paragraph" w:styleId="Heading3">
    <w:name w:val="heading 3"/>
    <w:basedOn w:val="Normal"/>
    <w:next w:val="Normal"/>
    <w:link w:val="Heading3Char"/>
    <w:uiPriority w:val="9"/>
    <w:unhideWhenUsed/>
    <w:qFormat/>
    <w:rsid w:val="002C6363"/>
    <w:pPr>
      <w:keepNext/>
      <w:keepLines/>
      <w:outlineLvl w:val="2"/>
    </w:pPr>
    <w:rPr>
      <w:rFonts w:asciiTheme="majorHAnsi" w:eastAsiaTheme="majorEastAsia" w:hAnsiTheme="majorHAnsi" w:cstheme="majorBidi"/>
      <w:b/>
      <w:bCs/>
      <w:color w:val="1F3763" w:themeColor="accent1" w:themeShade="7F"/>
      <w:sz w:val="24"/>
      <w:szCs w:val="24"/>
      <w:lang w:eastAsia="en-NZ"/>
    </w:rPr>
  </w:style>
  <w:style w:type="paragraph" w:styleId="Heading4">
    <w:name w:val="heading 4"/>
    <w:basedOn w:val="Normal"/>
    <w:next w:val="Normal"/>
    <w:link w:val="Heading4Char"/>
    <w:uiPriority w:val="9"/>
    <w:unhideWhenUsed/>
    <w:qFormat/>
    <w:rsid w:val="00035B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BC4"/>
    <w:rPr>
      <w:rFonts w:asciiTheme="majorHAnsi" w:eastAsiaTheme="majorEastAsia" w:hAnsiTheme="majorHAnsi" w:cstheme="majorBidi"/>
      <w:b/>
      <w:bCs/>
      <w:color w:val="2F5496" w:themeColor="accent1" w:themeShade="BF"/>
      <w:sz w:val="40"/>
      <w:szCs w:val="40"/>
    </w:rPr>
  </w:style>
  <w:style w:type="character" w:customStyle="1" w:styleId="Heading2Char">
    <w:name w:val="Heading 2 Char"/>
    <w:basedOn w:val="DefaultParagraphFont"/>
    <w:link w:val="Heading2"/>
    <w:uiPriority w:val="9"/>
    <w:rsid w:val="00501068"/>
    <w:rPr>
      <w:b/>
      <w:bCs/>
      <w:color w:val="2F5496" w:themeColor="accent1" w:themeShade="BF"/>
      <w:sz w:val="28"/>
      <w:szCs w:val="28"/>
    </w:rPr>
  </w:style>
  <w:style w:type="paragraph" w:styleId="NoSpacing">
    <w:name w:val="No Spacing"/>
    <w:link w:val="NoSpacingChar"/>
    <w:uiPriority w:val="1"/>
    <w:qFormat/>
    <w:rsid w:val="00D527F0"/>
    <w:pPr>
      <w:spacing w:after="0" w:line="240" w:lineRule="auto"/>
    </w:pPr>
  </w:style>
  <w:style w:type="paragraph" w:styleId="FootnoteText">
    <w:name w:val="footnote text"/>
    <w:basedOn w:val="Normal"/>
    <w:link w:val="FootnoteTextChar"/>
    <w:uiPriority w:val="99"/>
    <w:unhideWhenUsed/>
    <w:rsid w:val="00E00167"/>
    <w:pPr>
      <w:spacing w:after="0" w:line="240" w:lineRule="auto"/>
    </w:pPr>
    <w:rPr>
      <w:sz w:val="20"/>
      <w:szCs w:val="20"/>
    </w:rPr>
  </w:style>
  <w:style w:type="character" w:customStyle="1" w:styleId="FootnoteTextChar">
    <w:name w:val="Footnote Text Char"/>
    <w:basedOn w:val="DefaultParagraphFont"/>
    <w:link w:val="FootnoteText"/>
    <w:uiPriority w:val="99"/>
    <w:rsid w:val="00E00167"/>
    <w:rPr>
      <w:sz w:val="20"/>
      <w:szCs w:val="20"/>
    </w:rPr>
  </w:style>
  <w:style w:type="character" w:styleId="FootnoteReference">
    <w:name w:val="footnote reference"/>
    <w:basedOn w:val="DefaultParagraphFont"/>
    <w:uiPriority w:val="99"/>
    <w:unhideWhenUsed/>
    <w:rsid w:val="00D527F0"/>
    <w:rPr>
      <w:vertAlign w:val="superscript"/>
    </w:rPr>
  </w:style>
  <w:style w:type="character" w:styleId="CommentReference">
    <w:name w:val="annotation reference"/>
    <w:basedOn w:val="DefaultParagraphFont"/>
    <w:uiPriority w:val="99"/>
    <w:semiHidden/>
    <w:unhideWhenUsed/>
    <w:rsid w:val="00D527F0"/>
    <w:rPr>
      <w:sz w:val="16"/>
      <w:szCs w:val="16"/>
    </w:rPr>
  </w:style>
  <w:style w:type="paragraph" w:styleId="CommentText">
    <w:name w:val="annotation text"/>
    <w:basedOn w:val="Normal"/>
    <w:link w:val="CommentTextChar"/>
    <w:uiPriority w:val="99"/>
    <w:unhideWhenUsed/>
    <w:rsid w:val="00D527F0"/>
    <w:pPr>
      <w:spacing w:line="240" w:lineRule="auto"/>
    </w:pPr>
    <w:rPr>
      <w:sz w:val="20"/>
      <w:szCs w:val="20"/>
    </w:rPr>
  </w:style>
  <w:style w:type="character" w:customStyle="1" w:styleId="CommentTextChar">
    <w:name w:val="Comment Text Char"/>
    <w:basedOn w:val="DefaultParagraphFont"/>
    <w:link w:val="CommentText"/>
    <w:uiPriority w:val="99"/>
    <w:rsid w:val="00D527F0"/>
    <w:rPr>
      <w:sz w:val="20"/>
      <w:szCs w:val="20"/>
    </w:rPr>
  </w:style>
  <w:style w:type="paragraph" w:styleId="ListParagraph">
    <w:name w:val="List Paragraph"/>
    <w:basedOn w:val="Normal"/>
    <w:uiPriority w:val="34"/>
    <w:qFormat/>
    <w:rsid w:val="00D527F0"/>
    <w:pPr>
      <w:ind w:left="720"/>
      <w:contextualSpacing/>
    </w:pPr>
  </w:style>
  <w:style w:type="character" w:styleId="Mention">
    <w:name w:val="Mention"/>
    <w:basedOn w:val="DefaultParagraphFont"/>
    <w:uiPriority w:val="99"/>
    <w:unhideWhenUsed/>
    <w:rsid w:val="00D527F0"/>
    <w:rPr>
      <w:color w:val="2B579A"/>
      <w:shd w:val="clear" w:color="auto" w:fill="E1DFDD"/>
    </w:rPr>
  </w:style>
  <w:style w:type="paragraph" w:styleId="Footer">
    <w:name w:val="footer"/>
    <w:basedOn w:val="Normal"/>
    <w:link w:val="FooterChar"/>
    <w:uiPriority w:val="99"/>
    <w:unhideWhenUsed/>
    <w:rsid w:val="00D5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7F0"/>
  </w:style>
  <w:style w:type="character" w:styleId="Hyperlink">
    <w:name w:val="Hyperlink"/>
    <w:basedOn w:val="DefaultParagraphFont"/>
    <w:uiPriority w:val="99"/>
    <w:unhideWhenUsed/>
    <w:rsid w:val="00D527F0"/>
    <w:rPr>
      <w:color w:val="0563C1" w:themeColor="hyperlink"/>
      <w:u w:val="single"/>
    </w:rPr>
  </w:style>
  <w:style w:type="paragraph" w:styleId="Bibliography">
    <w:name w:val="Bibliography"/>
    <w:basedOn w:val="Normal"/>
    <w:next w:val="Normal"/>
    <w:uiPriority w:val="37"/>
    <w:unhideWhenUsed/>
    <w:rsid w:val="00D527F0"/>
    <w:rPr>
      <w:lang w:val="en-US"/>
    </w:rPr>
  </w:style>
  <w:style w:type="character" w:styleId="FollowedHyperlink">
    <w:name w:val="FollowedHyperlink"/>
    <w:basedOn w:val="DefaultParagraphFont"/>
    <w:uiPriority w:val="99"/>
    <w:semiHidden/>
    <w:unhideWhenUsed/>
    <w:rsid w:val="00D527F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527F0"/>
    <w:rPr>
      <w:b/>
      <w:bCs/>
    </w:rPr>
  </w:style>
  <w:style w:type="character" w:customStyle="1" w:styleId="CommentSubjectChar">
    <w:name w:val="Comment Subject Char"/>
    <w:basedOn w:val="CommentTextChar"/>
    <w:link w:val="CommentSubject"/>
    <w:uiPriority w:val="99"/>
    <w:semiHidden/>
    <w:rsid w:val="00D527F0"/>
    <w:rPr>
      <w:b/>
      <w:bCs/>
      <w:sz w:val="20"/>
      <w:szCs w:val="20"/>
    </w:rPr>
  </w:style>
  <w:style w:type="character" w:customStyle="1" w:styleId="Heading3Char">
    <w:name w:val="Heading 3 Char"/>
    <w:basedOn w:val="DefaultParagraphFont"/>
    <w:link w:val="Heading3"/>
    <w:uiPriority w:val="9"/>
    <w:rsid w:val="002C6363"/>
    <w:rPr>
      <w:rFonts w:asciiTheme="majorHAnsi" w:eastAsiaTheme="majorEastAsia" w:hAnsiTheme="majorHAnsi" w:cstheme="majorBidi"/>
      <w:b/>
      <w:bCs/>
      <w:color w:val="1F3763" w:themeColor="accent1" w:themeShade="7F"/>
      <w:sz w:val="24"/>
      <w:szCs w:val="24"/>
      <w:lang w:eastAsia="en-NZ"/>
    </w:rPr>
  </w:style>
  <w:style w:type="paragraph" w:styleId="Revision">
    <w:name w:val="Revision"/>
    <w:hidden/>
    <w:uiPriority w:val="99"/>
    <w:semiHidden/>
    <w:rsid w:val="00363611"/>
    <w:pPr>
      <w:spacing w:after="0" w:line="240" w:lineRule="auto"/>
    </w:pPr>
  </w:style>
  <w:style w:type="paragraph" w:styleId="Quote">
    <w:name w:val="Quote"/>
    <w:basedOn w:val="Normal"/>
    <w:next w:val="Normal"/>
    <w:link w:val="QuoteChar"/>
    <w:uiPriority w:val="29"/>
    <w:qFormat/>
    <w:rsid w:val="00FA0175"/>
    <w:pPr>
      <w:ind w:left="720"/>
    </w:pPr>
    <w:rPr>
      <w:lang w:val="en-US" w:eastAsia="en-NZ"/>
    </w:rPr>
  </w:style>
  <w:style w:type="character" w:customStyle="1" w:styleId="QuoteChar">
    <w:name w:val="Quote Char"/>
    <w:basedOn w:val="DefaultParagraphFont"/>
    <w:link w:val="Quote"/>
    <w:uiPriority w:val="29"/>
    <w:rsid w:val="00FA0175"/>
    <w:rPr>
      <w:lang w:val="en-US" w:eastAsia="en-NZ"/>
    </w:rPr>
  </w:style>
  <w:style w:type="paragraph" w:customStyle="1" w:styleId="Heading1-nonumbering">
    <w:name w:val="Heading 1 - no numbering"/>
    <w:basedOn w:val="Heading1"/>
    <w:qFormat/>
    <w:rsid w:val="00501BC4"/>
    <w:pPr>
      <w:numPr>
        <w:ilvl w:val="0"/>
        <w:numId w:val="0"/>
      </w:numPr>
      <w:ind w:left="567" w:hanging="567"/>
    </w:pPr>
  </w:style>
  <w:style w:type="paragraph" w:styleId="Header">
    <w:name w:val="header"/>
    <w:basedOn w:val="Normal"/>
    <w:link w:val="HeaderChar"/>
    <w:uiPriority w:val="99"/>
    <w:unhideWhenUsed/>
    <w:rsid w:val="00884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F5E"/>
  </w:style>
  <w:style w:type="paragraph" w:customStyle="1" w:styleId="msonormal0">
    <w:name w:val="msonormal"/>
    <w:basedOn w:val="Normal"/>
    <w:rsid w:val="00A83BE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A83BE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extrun">
    <w:name w:val="textrun"/>
    <w:basedOn w:val="DefaultParagraphFont"/>
    <w:rsid w:val="00A83BE9"/>
  </w:style>
  <w:style w:type="character" w:customStyle="1" w:styleId="superscript">
    <w:name w:val="superscript"/>
    <w:basedOn w:val="DefaultParagraphFont"/>
    <w:rsid w:val="00A83BE9"/>
  </w:style>
  <w:style w:type="character" w:customStyle="1" w:styleId="trackchangetextinsertion">
    <w:name w:val="trackchangetextinsertion"/>
    <w:basedOn w:val="DefaultParagraphFont"/>
    <w:rsid w:val="00A83BE9"/>
  </w:style>
  <w:style w:type="character" w:customStyle="1" w:styleId="trackchangetextdeletionmarker">
    <w:name w:val="trackchangetextdeletionmarker"/>
    <w:basedOn w:val="DefaultParagraphFont"/>
    <w:rsid w:val="00A83BE9"/>
  </w:style>
  <w:style w:type="character" w:customStyle="1" w:styleId="trackedchange">
    <w:name w:val="trackedchange"/>
    <w:basedOn w:val="DefaultParagraphFont"/>
    <w:rsid w:val="00A83BE9"/>
  </w:style>
  <w:style w:type="paragraph" w:customStyle="1" w:styleId="outlineelement">
    <w:name w:val="outlineelement"/>
    <w:basedOn w:val="Normal"/>
    <w:rsid w:val="00A83BE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cxw84012900">
    <w:name w:val="scxw84012900"/>
    <w:basedOn w:val="DefaultParagraphFont"/>
    <w:rsid w:val="00D10DF5"/>
  </w:style>
  <w:style w:type="character" w:customStyle="1" w:styleId="tabchar">
    <w:name w:val="tabchar"/>
    <w:basedOn w:val="DefaultParagraphFont"/>
    <w:rsid w:val="00D10DF5"/>
  </w:style>
  <w:style w:type="character" w:customStyle="1" w:styleId="Heading4Char">
    <w:name w:val="Heading 4 Char"/>
    <w:basedOn w:val="DefaultParagraphFont"/>
    <w:link w:val="Heading4"/>
    <w:uiPriority w:val="9"/>
    <w:rsid w:val="00035BAF"/>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unhideWhenUsed/>
    <w:rsid w:val="00A14D23"/>
    <w:rPr>
      <w:color w:val="605E5C"/>
      <w:shd w:val="clear" w:color="auto" w:fill="E1DFDD"/>
    </w:rPr>
  </w:style>
  <w:style w:type="paragraph" w:styleId="TOCHeading">
    <w:name w:val="TOC Heading"/>
    <w:basedOn w:val="Heading1"/>
    <w:next w:val="Normal"/>
    <w:uiPriority w:val="39"/>
    <w:unhideWhenUsed/>
    <w:qFormat/>
    <w:rsid w:val="00110E7B"/>
    <w:pPr>
      <w:outlineLvl w:val="9"/>
    </w:pPr>
    <w:rPr>
      <w:b w:val="0"/>
      <w:bCs w:val="0"/>
      <w:sz w:val="32"/>
      <w:szCs w:val="32"/>
      <w:lang w:val="en-US"/>
    </w:rPr>
  </w:style>
  <w:style w:type="paragraph" w:styleId="TOC1">
    <w:name w:val="toc 1"/>
    <w:basedOn w:val="Normal"/>
    <w:next w:val="Normal"/>
    <w:autoRedefine/>
    <w:uiPriority w:val="39"/>
    <w:unhideWhenUsed/>
    <w:rsid w:val="00501BC4"/>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F619BA"/>
    <w:pPr>
      <w:tabs>
        <w:tab w:val="right" w:leader="dot" w:pos="9016"/>
      </w:tabs>
      <w:spacing w:after="100"/>
      <w:ind w:left="709" w:hanging="206"/>
    </w:pPr>
  </w:style>
  <w:style w:type="paragraph" w:styleId="TOC3">
    <w:name w:val="toc 3"/>
    <w:basedOn w:val="Normal"/>
    <w:next w:val="Normal"/>
    <w:autoRedefine/>
    <w:uiPriority w:val="39"/>
    <w:unhideWhenUsed/>
    <w:rsid w:val="00F619BA"/>
    <w:pPr>
      <w:tabs>
        <w:tab w:val="right" w:leader="dot" w:pos="9016"/>
      </w:tabs>
      <w:spacing w:after="100"/>
      <w:ind w:left="851"/>
    </w:pPr>
  </w:style>
  <w:style w:type="character" w:styleId="SubtleEmphasis">
    <w:name w:val="Subtle Emphasis"/>
    <w:basedOn w:val="DefaultParagraphFont"/>
    <w:uiPriority w:val="19"/>
    <w:qFormat/>
    <w:rsid w:val="00C044A8"/>
    <w:rPr>
      <w:i/>
      <w:iCs/>
      <w:color w:val="404040" w:themeColor="text1" w:themeTint="BF"/>
    </w:rPr>
  </w:style>
  <w:style w:type="character" w:customStyle="1" w:styleId="NoSpacingChar">
    <w:name w:val="No Spacing Char"/>
    <w:basedOn w:val="DefaultParagraphFont"/>
    <w:link w:val="NoSpacing"/>
    <w:uiPriority w:val="1"/>
    <w:rsid w:val="005D523A"/>
  </w:style>
  <w:style w:type="paragraph" w:styleId="NormalWeb">
    <w:name w:val="Normal (Web)"/>
    <w:basedOn w:val="Normal"/>
    <w:uiPriority w:val="99"/>
    <w:unhideWhenUsed/>
    <w:rsid w:val="00F6622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cxw252270414">
    <w:name w:val="scxw252270414"/>
    <w:basedOn w:val="DefaultParagraphFont"/>
    <w:rsid w:val="009F4670"/>
  </w:style>
  <w:style w:type="paragraph" w:customStyle="1" w:styleId="pf0">
    <w:name w:val="pf0"/>
    <w:basedOn w:val="Normal"/>
    <w:rsid w:val="00A11DC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21">
    <w:name w:val="cf21"/>
    <w:basedOn w:val="DefaultParagraphFont"/>
    <w:rsid w:val="00A11DC2"/>
    <w:rPr>
      <w:rFonts w:ascii="Segoe UI" w:hAnsi="Segoe UI" w:cs="Segoe UI" w:hint="default"/>
      <w:sz w:val="18"/>
      <w:szCs w:val="18"/>
      <w:shd w:val="clear" w:color="auto" w:fill="FFFFFF"/>
    </w:rPr>
  </w:style>
  <w:style w:type="table" w:styleId="TableGrid">
    <w:name w:val="Table Grid"/>
    <w:basedOn w:val="TableNormal"/>
    <w:uiPriority w:val="39"/>
    <w:rsid w:val="005D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D4E01"/>
  </w:style>
  <w:style w:type="paragraph" w:styleId="TOC4">
    <w:name w:val="toc 4"/>
    <w:basedOn w:val="Normal"/>
    <w:next w:val="Normal"/>
    <w:autoRedefine/>
    <w:uiPriority w:val="39"/>
    <w:unhideWhenUsed/>
    <w:rsid w:val="00890495"/>
    <w:pPr>
      <w:spacing w:after="100" w:line="240" w:lineRule="auto"/>
      <w:ind w:left="720"/>
    </w:pPr>
    <w:rPr>
      <w:rFonts w:eastAsiaTheme="minorEastAsia"/>
      <w:kern w:val="2"/>
      <w:sz w:val="24"/>
      <w:szCs w:val="24"/>
      <w:lang w:eastAsia="en-GB"/>
    </w:rPr>
  </w:style>
  <w:style w:type="paragraph" w:styleId="TOC5">
    <w:name w:val="toc 5"/>
    <w:basedOn w:val="Normal"/>
    <w:next w:val="Normal"/>
    <w:autoRedefine/>
    <w:uiPriority w:val="39"/>
    <w:unhideWhenUsed/>
    <w:rsid w:val="00890495"/>
    <w:pPr>
      <w:spacing w:after="100" w:line="240" w:lineRule="auto"/>
      <w:ind w:left="960"/>
    </w:pPr>
    <w:rPr>
      <w:rFonts w:eastAsiaTheme="minorEastAsia"/>
      <w:kern w:val="2"/>
      <w:sz w:val="24"/>
      <w:szCs w:val="24"/>
      <w:lang w:eastAsia="en-GB"/>
    </w:rPr>
  </w:style>
  <w:style w:type="paragraph" w:styleId="TOC6">
    <w:name w:val="toc 6"/>
    <w:basedOn w:val="Normal"/>
    <w:next w:val="Normal"/>
    <w:autoRedefine/>
    <w:uiPriority w:val="39"/>
    <w:unhideWhenUsed/>
    <w:rsid w:val="00890495"/>
    <w:pPr>
      <w:spacing w:after="100" w:line="240" w:lineRule="auto"/>
      <w:ind w:left="1200"/>
    </w:pPr>
    <w:rPr>
      <w:rFonts w:eastAsiaTheme="minorEastAsia"/>
      <w:kern w:val="2"/>
      <w:sz w:val="24"/>
      <w:szCs w:val="24"/>
      <w:lang w:eastAsia="en-GB"/>
    </w:rPr>
  </w:style>
  <w:style w:type="paragraph" w:styleId="TOC7">
    <w:name w:val="toc 7"/>
    <w:basedOn w:val="Normal"/>
    <w:next w:val="Normal"/>
    <w:autoRedefine/>
    <w:uiPriority w:val="39"/>
    <w:unhideWhenUsed/>
    <w:rsid w:val="00890495"/>
    <w:pPr>
      <w:spacing w:after="100" w:line="240" w:lineRule="auto"/>
      <w:ind w:left="1440"/>
    </w:pPr>
    <w:rPr>
      <w:rFonts w:eastAsiaTheme="minorEastAsia"/>
      <w:kern w:val="2"/>
      <w:sz w:val="24"/>
      <w:szCs w:val="24"/>
      <w:lang w:eastAsia="en-GB"/>
    </w:rPr>
  </w:style>
  <w:style w:type="paragraph" w:styleId="TOC8">
    <w:name w:val="toc 8"/>
    <w:basedOn w:val="Normal"/>
    <w:next w:val="Normal"/>
    <w:autoRedefine/>
    <w:uiPriority w:val="39"/>
    <w:unhideWhenUsed/>
    <w:rsid w:val="00890495"/>
    <w:pPr>
      <w:spacing w:after="100" w:line="240" w:lineRule="auto"/>
      <w:ind w:left="1680"/>
    </w:pPr>
    <w:rPr>
      <w:rFonts w:eastAsiaTheme="minorEastAsia"/>
      <w:kern w:val="2"/>
      <w:sz w:val="24"/>
      <w:szCs w:val="24"/>
      <w:lang w:eastAsia="en-GB"/>
    </w:rPr>
  </w:style>
  <w:style w:type="paragraph" w:styleId="TOC9">
    <w:name w:val="toc 9"/>
    <w:basedOn w:val="Normal"/>
    <w:next w:val="Normal"/>
    <w:autoRedefine/>
    <w:uiPriority w:val="39"/>
    <w:unhideWhenUsed/>
    <w:rsid w:val="00890495"/>
    <w:pPr>
      <w:spacing w:after="100" w:line="240" w:lineRule="auto"/>
      <w:ind w:left="1920"/>
    </w:pPr>
    <w:rPr>
      <w:rFonts w:eastAsiaTheme="minorEastAsia"/>
      <w:kern w:val="2"/>
      <w:sz w:val="24"/>
      <w:szCs w:val="24"/>
      <w:lang w:eastAsia="en-GB"/>
    </w:rPr>
  </w:style>
  <w:style w:type="table" w:styleId="TableGridLight">
    <w:name w:val="Grid Table Light"/>
    <w:basedOn w:val="TableNormal"/>
    <w:uiPriority w:val="40"/>
    <w:rsid w:val="00391C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nchor-text">
    <w:name w:val="anchor-text"/>
    <w:basedOn w:val="DefaultParagraphFont"/>
    <w:rsid w:val="0018183F"/>
  </w:style>
  <w:style w:type="paragraph" w:styleId="Caption">
    <w:name w:val="caption"/>
    <w:basedOn w:val="Normal"/>
    <w:next w:val="Normal"/>
    <w:uiPriority w:val="35"/>
    <w:unhideWhenUsed/>
    <w:qFormat/>
    <w:rsid w:val="007B527F"/>
    <w:rPr>
      <w:i/>
      <w:iCs/>
      <w:sz w:val="20"/>
      <w:szCs w:val="20"/>
    </w:rPr>
  </w:style>
  <w:style w:type="paragraph" w:styleId="TableofFigures">
    <w:name w:val="table of figures"/>
    <w:basedOn w:val="Normal"/>
    <w:next w:val="Normal"/>
    <w:uiPriority w:val="99"/>
    <w:unhideWhenUsed/>
    <w:rsid w:val="00D025FA"/>
    <w:pPr>
      <w:tabs>
        <w:tab w:val="right" w:leader="dot" w:pos="9016"/>
      </w:tabs>
      <w:spacing w:after="80"/>
      <w:ind w:left="851" w:hanging="851"/>
    </w:pPr>
    <w:rPr>
      <w:noProof/>
    </w:rPr>
  </w:style>
  <w:style w:type="paragraph" w:customStyle="1" w:styleId="Reference">
    <w:name w:val="Reference"/>
    <w:basedOn w:val="Normal"/>
    <w:qFormat/>
    <w:rsid w:val="00E00167"/>
    <w:pPr>
      <w:ind w:left="284" w:hanging="284"/>
    </w:pPr>
  </w:style>
  <w:style w:type="paragraph" w:customStyle="1" w:styleId="Bullet">
    <w:name w:val="Bullet"/>
    <w:basedOn w:val="ListParagraph"/>
    <w:qFormat/>
    <w:rsid w:val="00E00167"/>
    <w:pPr>
      <w:numPr>
        <w:numId w:val="109"/>
      </w:numPr>
      <w:ind w:left="360"/>
    </w:pPr>
  </w:style>
  <w:style w:type="paragraph" w:customStyle="1" w:styleId="dx-doi">
    <w:name w:val="dx-doi"/>
    <w:basedOn w:val="Normal"/>
    <w:rsid w:val="002430E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519">
      <w:bodyDiv w:val="1"/>
      <w:marLeft w:val="0"/>
      <w:marRight w:val="0"/>
      <w:marTop w:val="0"/>
      <w:marBottom w:val="0"/>
      <w:divBdr>
        <w:top w:val="none" w:sz="0" w:space="0" w:color="auto"/>
        <w:left w:val="none" w:sz="0" w:space="0" w:color="auto"/>
        <w:bottom w:val="none" w:sz="0" w:space="0" w:color="auto"/>
        <w:right w:val="none" w:sz="0" w:space="0" w:color="auto"/>
      </w:divBdr>
    </w:div>
    <w:div w:id="40597306">
      <w:bodyDiv w:val="1"/>
      <w:marLeft w:val="0"/>
      <w:marRight w:val="0"/>
      <w:marTop w:val="0"/>
      <w:marBottom w:val="0"/>
      <w:divBdr>
        <w:top w:val="none" w:sz="0" w:space="0" w:color="auto"/>
        <w:left w:val="none" w:sz="0" w:space="0" w:color="auto"/>
        <w:bottom w:val="none" w:sz="0" w:space="0" w:color="auto"/>
        <w:right w:val="none" w:sz="0" w:space="0" w:color="auto"/>
      </w:divBdr>
    </w:div>
    <w:div w:id="78137312">
      <w:bodyDiv w:val="1"/>
      <w:marLeft w:val="0"/>
      <w:marRight w:val="0"/>
      <w:marTop w:val="0"/>
      <w:marBottom w:val="0"/>
      <w:divBdr>
        <w:top w:val="none" w:sz="0" w:space="0" w:color="auto"/>
        <w:left w:val="none" w:sz="0" w:space="0" w:color="auto"/>
        <w:bottom w:val="none" w:sz="0" w:space="0" w:color="auto"/>
        <w:right w:val="none" w:sz="0" w:space="0" w:color="auto"/>
      </w:divBdr>
      <w:divsChild>
        <w:div w:id="1075006262">
          <w:marLeft w:val="0"/>
          <w:marRight w:val="0"/>
          <w:marTop w:val="0"/>
          <w:marBottom w:val="0"/>
          <w:divBdr>
            <w:top w:val="none" w:sz="0" w:space="0" w:color="auto"/>
            <w:left w:val="none" w:sz="0" w:space="0" w:color="auto"/>
            <w:bottom w:val="none" w:sz="0" w:space="0" w:color="auto"/>
            <w:right w:val="none" w:sz="0" w:space="0" w:color="auto"/>
          </w:divBdr>
          <w:divsChild>
            <w:div w:id="1946493926">
              <w:marLeft w:val="0"/>
              <w:marRight w:val="0"/>
              <w:marTop w:val="0"/>
              <w:marBottom w:val="0"/>
              <w:divBdr>
                <w:top w:val="none" w:sz="0" w:space="0" w:color="auto"/>
                <w:left w:val="none" w:sz="0" w:space="0" w:color="auto"/>
                <w:bottom w:val="none" w:sz="0" w:space="0" w:color="auto"/>
                <w:right w:val="none" w:sz="0" w:space="0" w:color="auto"/>
              </w:divBdr>
              <w:divsChild>
                <w:div w:id="164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6430">
      <w:bodyDiv w:val="1"/>
      <w:marLeft w:val="0"/>
      <w:marRight w:val="0"/>
      <w:marTop w:val="0"/>
      <w:marBottom w:val="0"/>
      <w:divBdr>
        <w:top w:val="none" w:sz="0" w:space="0" w:color="auto"/>
        <w:left w:val="none" w:sz="0" w:space="0" w:color="auto"/>
        <w:bottom w:val="none" w:sz="0" w:space="0" w:color="auto"/>
        <w:right w:val="none" w:sz="0" w:space="0" w:color="auto"/>
      </w:divBdr>
    </w:div>
    <w:div w:id="104077269">
      <w:bodyDiv w:val="1"/>
      <w:marLeft w:val="0"/>
      <w:marRight w:val="0"/>
      <w:marTop w:val="0"/>
      <w:marBottom w:val="0"/>
      <w:divBdr>
        <w:top w:val="none" w:sz="0" w:space="0" w:color="auto"/>
        <w:left w:val="none" w:sz="0" w:space="0" w:color="auto"/>
        <w:bottom w:val="none" w:sz="0" w:space="0" w:color="auto"/>
        <w:right w:val="none" w:sz="0" w:space="0" w:color="auto"/>
      </w:divBdr>
      <w:divsChild>
        <w:div w:id="3633359">
          <w:marLeft w:val="0"/>
          <w:marRight w:val="0"/>
          <w:marTop w:val="0"/>
          <w:marBottom w:val="0"/>
          <w:divBdr>
            <w:top w:val="none" w:sz="0" w:space="0" w:color="auto"/>
            <w:left w:val="none" w:sz="0" w:space="0" w:color="auto"/>
            <w:bottom w:val="none" w:sz="0" w:space="0" w:color="auto"/>
            <w:right w:val="none" w:sz="0" w:space="0" w:color="auto"/>
          </w:divBdr>
        </w:div>
        <w:div w:id="75444861">
          <w:marLeft w:val="0"/>
          <w:marRight w:val="0"/>
          <w:marTop w:val="0"/>
          <w:marBottom w:val="0"/>
          <w:divBdr>
            <w:top w:val="none" w:sz="0" w:space="0" w:color="auto"/>
            <w:left w:val="none" w:sz="0" w:space="0" w:color="auto"/>
            <w:bottom w:val="none" w:sz="0" w:space="0" w:color="auto"/>
            <w:right w:val="none" w:sz="0" w:space="0" w:color="auto"/>
          </w:divBdr>
        </w:div>
        <w:div w:id="87123831">
          <w:marLeft w:val="0"/>
          <w:marRight w:val="0"/>
          <w:marTop w:val="0"/>
          <w:marBottom w:val="0"/>
          <w:divBdr>
            <w:top w:val="none" w:sz="0" w:space="0" w:color="auto"/>
            <w:left w:val="none" w:sz="0" w:space="0" w:color="auto"/>
            <w:bottom w:val="none" w:sz="0" w:space="0" w:color="auto"/>
            <w:right w:val="none" w:sz="0" w:space="0" w:color="auto"/>
          </w:divBdr>
        </w:div>
        <w:div w:id="102699001">
          <w:marLeft w:val="0"/>
          <w:marRight w:val="0"/>
          <w:marTop w:val="0"/>
          <w:marBottom w:val="0"/>
          <w:divBdr>
            <w:top w:val="none" w:sz="0" w:space="0" w:color="auto"/>
            <w:left w:val="none" w:sz="0" w:space="0" w:color="auto"/>
            <w:bottom w:val="none" w:sz="0" w:space="0" w:color="auto"/>
            <w:right w:val="none" w:sz="0" w:space="0" w:color="auto"/>
          </w:divBdr>
        </w:div>
        <w:div w:id="110325902">
          <w:marLeft w:val="0"/>
          <w:marRight w:val="0"/>
          <w:marTop w:val="0"/>
          <w:marBottom w:val="0"/>
          <w:divBdr>
            <w:top w:val="none" w:sz="0" w:space="0" w:color="auto"/>
            <w:left w:val="none" w:sz="0" w:space="0" w:color="auto"/>
            <w:bottom w:val="none" w:sz="0" w:space="0" w:color="auto"/>
            <w:right w:val="none" w:sz="0" w:space="0" w:color="auto"/>
          </w:divBdr>
        </w:div>
        <w:div w:id="112481160">
          <w:marLeft w:val="0"/>
          <w:marRight w:val="0"/>
          <w:marTop w:val="0"/>
          <w:marBottom w:val="0"/>
          <w:divBdr>
            <w:top w:val="none" w:sz="0" w:space="0" w:color="auto"/>
            <w:left w:val="none" w:sz="0" w:space="0" w:color="auto"/>
            <w:bottom w:val="none" w:sz="0" w:space="0" w:color="auto"/>
            <w:right w:val="none" w:sz="0" w:space="0" w:color="auto"/>
          </w:divBdr>
        </w:div>
        <w:div w:id="114837692">
          <w:marLeft w:val="0"/>
          <w:marRight w:val="0"/>
          <w:marTop w:val="0"/>
          <w:marBottom w:val="0"/>
          <w:divBdr>
            <w:top w:val="none" w:sz="0" w:space="0" w:color="auto"/>
            <w:left w:val="none" w:sz="0" w:space="0" w:color="auto"/>
            <w:bottom w:val="none" w:sz="0" w:space="0" w:color="auto"/>
            <w:right w:val="none" w:sz="0" w:space="0" w:color="auto"/>
          </w:divBdr>
        </w:div>
        <w:div w:id="144129006">
          <w:marLeft w:val="0"/>
          <w:marRight w:val="0"/>
          <w:marTop w:val="0"/>
          <w:marBottom w:val="0"/>
          <w:divBdr>
            <w:top w:val="none" w:sz="0" w:space="0" w:color="auto"/>
            <w:left w:val="none" w:sz="0" w:space="0" w:color="auto"/>
            <w:bottom w:val="none" w:sz="0" w:space="0" w:color="auto"/>
            <w:right w:val="none" w:sz="0" w:space="0" w:color="auto"/>
          </w:divBdr>
        </w:div>
        <w:div w:id="251163695">
          <w:marLeft w:val="0"/>
          <w:marRight w:val="0"/>
          <w:marTop w:val="0"/>
          <w:marBottom w:val="0"/>
          <w:divBdr>
            <w:top w:val="none" w:sz="0" w:space="0" w:color="auto"/>
            <w:left w:val="none" w:sz="0" w:space="0" w:color="auto"/>
            <w:bottom w:val="none" w:sz="0" w:space="0" w:color="auto"/>
            <w:right w:val="none" w:sz="0" w:space="0" w:color="auto"/>
          </w:divBdr>
        </w:div>
        <w:div w:id="283004014">
          <w:marLeft w:val="0"/>
          <w:marRight w:val="0"/>
          <w:marTop w:val="0"/>
          <w:marBottom w:val="0"/>
          <w:divBdr>
            <w:top w:val="none" w:sz="0" w:space="0" w:color="auto"/>
            <w:left w:val="none" w:sz="0" w:space="0" w:color="auto"/>
            <w:bottom w:val="none" w:sz="0" w:space="0" w:color="auto"/>
            <w:right w:val="none" w:sz="0" w:space="0" w:color="auto"/>
          </w:divBdr>
        </w:div>
        <w:div w:id="312829206">
          <w:marLeft w:val="0"/>
          <w:marRight w:val="0"/>
          <w:marTop w:val="0"/>
          <w:marBottom w:val="0"/>
          <w:divBdr>
            <w:top w:val="none" w:sz="0" w:space="0" w:color="auto"/>
            <w:left w:val="none" w:sz="0" w:space="0" w:color="auto"/>
            <w:bottom w:val="none" w:sz="0" w:space="0" w:color="auto"/>
            <w:right w:val="none" w:sz="0" w:space="0" w:color="auto"/>
          </w:divBdr>
        </w:div>
        <w:div w:id="404451343">
          <w:marLeft w:val="0"/>
          <w:marRight w:val="0"/>
          <w:marTop w:val="0"/>
          <w:marBottom w:val="0"/>
          <w:divBdr>
            <w:top w:val="none" w:sz="0" w:space="0" w:color="auto"/>
            <w:left w:val="none" w:sz="0" w:space="0" w:color="auto"/>
            <w:bottom w:val="none" w:sz="0" w:space="0" w:color="auto"/>
            <w:right w:val="none" w:sz="0" w:space="0" w:color="auto"/>
          </w:divBdr>
        </w:div>
        <w:div w:id="406272003">
          <w:marLeft w:val="0"/>
          <w:marRight w:val="0"/>
          <w:marTop w:val="0"/>
          <w:marBottom w:val="0"/>
          <w:divBdr>
            <w:top w:val="none" w:sz="0" w:space="0" w:color="auto"/>
            <w:left w:val="none" w:sz="0" w:space="0" w:color="auto"/>
            <w:bottom w:val="none" w:sz="0" w:space="0" w:color="auto"/>
            <w:right w:val="none" w:sz="0" w:space="0" w:color="auto"/>
          </w:divBdr>
        </w:div>
        <w:div w:id="437915459">
          <w:marLeft w:val="0"/>
          <w:marRight w:val="0"/>
          <w:marTop w:val="0"/>
          <w:marBottom w:val="0"/>
          <w:divBdr>
            <w:top w:val="none" w:sz="0" w:space="0" w:color="auto"/>
            <w:left w:val="none" w:sz="0" w:space="0" w:color="auto"/>
            <w:bottom w:val="none" w:sz="0" w:space="0" w:color="auto"/>
            <w:right w:val="none" w:sz="0" w:space="0" w:color="auto"/>
          </w:divBdr>
        </w:div>
        <w:div w:id="449664911">
          <w:marLeft w:val="0"/>
          <w:marRight w:val="0"/>
          <w:marTop w:val="0"/>
          <w:marBottom w:val="0"/>
          <w:divBdr>
            <w:top w:val="none" w:sz="0" w:space="0" w:color="auto"/>
            <w:left w:val="none" w:sz="0" w:space="0" w:color="auto"/>
            <w:bottom w:val="none" w:sz="0" w:space="0" w:color="auto"/>
            <w:right w:val="none" w:sz="0" w:space="0" w:color="auto"/>
          </w:divBdr>
        </w:div>
        <w:div w:id="486824139">
          <w:marLeft w:val="0"/>
          <w:marRight w:val="0"/>
          <w:marTop w:val="0"/>
          <w:marBottom w:val="0"/>
          <w:divBdr>
            <w:top w:val="none" w:sz="0" w:space="0" w:color="auto"/>
            <w:left w:val="none" w:sz="0" w:space="0" w:color="auto"/>
            <w:bottom w:val="none" w:sz="0" w:space="0" w:color="auto"/>
            <w:right w:val="none" w:sz="0" w:space="0" w:color="auto"/>
          </w:divBdr>
        </w:div>
        <w:div w:id="499781951">
          <w:marLeft w:val="0"/>
          <w:marRight w:val="0"/>
          <w:marTop w:val="0"/>
          <w:marBottom w:val="0"/>
          <w:divBdr>
            <w:top w:val="none" w:sz="0" w:space="0" w:color="auto"/>
            <w:left w:val="none" w:sz="0" w:space="0" w:color="auto"/>
            <w:bottom w:val="none" w:sz="0" w:space="0" w:color="auto"/>
            <w:right w:val="none" w:sz="0" w:space="0" w:color="auto"/>
          </w:divBdr>
        </w:div>
        <w:div w:id="537745201">
          <w:marLeft w:val="0"/>
          <w:marRight w:val="0"/>
          <w:marTop w:val="0"/>
          <w:marBottom w:val="0"/>
          <w:divBdr>
            <w:top w:val="none" w:sz="0" w:space="0" w:color="auto"/>
            <w:left w:val="none" w:sz="0" w:space="0" w:color="auto"/>
            <w:bottom w:val="none" w:sz="0" w:space="0" w:color="auto"/>
            <w:right w:val="none" w:sz="0" w:space="0" w:color="auto"/>
          </w:divBdr>
        </w:div>
        <w:div w:id="538127462">
          <w:marLeft w:val="0"/>
          <w:marRight w:val="0"/>
          <w:marTop w:val="0"/>
          <w:marBottom w:val="0"/>
          <w:divBdr>
            <w:top w:val="none" w:sz="0" w:space="0" w:color="auto"/>
            <w:left w:val="none" w:sz="0" w:space="0" w:color="auto"/>
            <w:bottom w:val="none" w:sz="0" w:space="0" w:color="auto"/>
            <w:right w:val="none" w:sz="0" w:space="0" w:color="auto"/>
          </w:divBdr>
        </w:div>
        <w:div w:id="552620706">
          <w:marLeft w:val="0"/>
          <w:marRight w:val="0"/>
          <w:marTop w:val="0"/>
          <w:marBottom w:val="0"/>
          <w:divBdr>
            <w:top w:val="none" w:sz="0" w:space="0" w:color="auto"/>
            <w:left w:val="none" w:sz="0" w:space="0" w:color="auto"/>
            <w:bottom w:val="none" w:sz="0" w:space="0" w:color="auto"/>
            <w:right w:val="none" w:sz="0" w:space="0" w:color="auto"/>
          </w:divBdr>
        </w:div>
        <w:div w:id="571162733">
          <w:marLeft w:val="0"/>
          <w:marRight w:val="0"/>
          <w:marTop w:val="0"/>
          <w:marBottom w:val="0"/>
          <w:divBdr>
            <w:top w:val="none" w:sz="0" w:space="0" w:color="auto"/>
            <w:left w:val="none" w:sz="0" w:space="0" w:color="auto"/>
            <w:bottom w:val="none" w:sz="0" w:space="0" w:color="auto"/>
            <w:right w:val="none" w:sz="0" w:space="0" w:color="auto"/>
          </w:divBdr>
        </w:div>
        <w:div w:id="600843115">
          <w:marLeft w:val="0"/>
          <w:marRight w:val="0"/>
          <w:marTop w:val="0"/>
          <w:marBottom w:val="0"/>
          <w:divBdr>
            <w:top w:val="none" w:sz="0" w:space="0" w:color="auto"/>
            <w:left w:val="none" w:sz="0" w:space="0" w:color="auto"/>
            <w:bottom w:val="none" w:sz="0" w:space="0" w:color="auto"/>
            <w:right w:val="none" w:sz="0" w:space="0" w:color="auto"/>
          </w:divBdr>
        </w:div>
        <w:div w:id="628440200">
          <w:marLeft w:val="0"/>
          <w:marRight w:val="0"/>
          <w:marTop w:val="0"/>
          <w:marBottom w:val="0"/>
          <w:divBdr>
            <w:top w:val="none" w:sz="0" w:space="0" w:color="auto"/>
            <w:left w:val="none" w:sz="0" w:space="0" w:color="auto"/>
            <w:bottom w:val="none" w:sz="0" w:space="0" w:color="auto"/>
            <w:right w:val="none" w:sz="0" w:space="0" w:color="auto"/>
          </w:divBdr>
        </w:div>
        <w:div w:id="643507981">
          <w:marLeft w:val="0"/>
          <w:marRight w:val="0"/>
          <w:marTop w:val="0"/>
          <w:marBottom w:val="0"/>
          <w:divBdr>
            <w:top w:val="none" w:sz="0" w:space="0" w:color="auto"/>
            <w:left w:val="none" w:sz="0" w:space="0" w:color="auto"/>
            <w:bottom w:val="none" w:sz="0" w:space="0" w:color="auto"/>
            <w:right w:val="none" w:sz="0" w:space="0" w:color="auto"/>
          </w:divBdr>
        </w:div>
        <w:div w:id="685255325">
          <w:marLeft w:val="0"/>
          <w:marRight w:val="0"/>
          <w:marTop w:val="0"/>
          <w:marBottom w:val="0"/>
          <w:divBdr>
            <w:top w:val="none" w:sz="0" w:space="0" w:color="auto"/>
            <w:left w:val="none" w:sz="0" w:space="0" w:color="auto"/>
            <w:bottom w:val="none" w:sz="0" w:space="0" w:color="auto"/>
            <w:right w:val="none" w:sz="0" w:space="0" w:color="auto"/>
          </w:divBdr>
        </w:div>
        <w:div w:id="703017764">
          <w:marLeft w:val="0"/>
          <w:marRight w:val="0"/>
          <w:marTop w:val="0"/>
          <w:marBottom w:val="0"/>
          <w:divBdr>
            <w:top w:val="none" w:sz="0" w:space="0" w:color="auto"/>
            <w:left w:val="none" w:sz="0" w:space="0" w:color="auto"/>
            <w:bottom w:val="none" w:sz="0" w:space="0" w:color="auto"/>
            <w:right w:val="none" w:sz="0" w:space="0" w:color="auto"/>
          </w:divBdr>
        </w:div>
        <w:div w:id="721249768">
          <w:marLeft w:val="0"/>
          <w:marRight w:val="0"/>
          <w:marTop w:val="0"/>
          <w:marBottom w:val="0"/>
          <w:divBdr>
            <w:top w:val="none" w:sz="0" w:space="0" w:color="auto"/>
            <w:left w:val="none" w:sz="0" w:space="0" w:color="auto"/>
            <w:bottom w:val="none" w:sz="0" w:space="0" w:color="auto"/>
            <w:right w:val="none" w:sz="0" w:space="0" w:color="auto"/>
          </w:divBdr>
        </w:div>
        <w:div w:id="721253963">
          <w:marLeft w:val="0"/>
          <w:marRight w:val="0"/>
          <w:marTop w:val="0"/>
          <w:marBottom w:val="0"/>
          <w:divBdr>
            <w:top w:val="none" w:sz="0" w:space="0" w:color="auto"/>
            <w:left w:val="none" w:sz="0" w:space="0" w:color="auto"/>
            <w:bottom w:val="none" w:sz="0" w:space="0" w:color="auto"/>
            <w:right w:val="none" w:sz="0" w:space="0" w:color="auto"/>
          </w:divBdr>
        </w:div>
        <w:div w:id="742798674">
          <w:marLeft w:val="0"/>
          <w:marRight w:val="0"/>
          <w:marTop w:val="0"/>
          <w:marBottom w:val="0"/>
          <w:divBdr>
            <w:top w:val="none" w:sz="0" w:space="0" w:color="auto"/>
            <w:left w:val="none" w:sz="0" w:space="0" w:color="auto"/>
            <w:bottom w:val="none" w:sz="0" w:space="0" w:color="auto"/>
            <w:right w:val="none" w:sz="0" w:space="0" w:color="auto"/>
          </w:divBdr>
        </w:div>
        <w:div w:id="786579104">
          <w:marLeft w:val="0"/>
          <w:marRight w:val="0"/>
          <w:marTop w:val="0"/>
          <w:marBottom w:val="0"/>
          <w:divBdr>
            <w:top w:val="none" w:sz="0" w:space="0" w:color="auto"/>
            <w:left w:val="none" w:sz="0" w:space="0" w:color="auto"/>
            <w:bottom w:val="none" w:sz="0" w:space="0" w:color="auto"/>
            <w:right w:val="none" w:sz="0" w:space="0" w:color="auto"/>
          </w:divBdr>
        </w:div>
        <w:div w:id="840582656">
          <w:marLeft w:val="0"/>
          <w:marRight w:val="0"/>
          <w:marTop w:val="0"/>
          <w:marBottom w:val="0"/>
          <w:divBdr>
            <w:top w:val="none" w:sz="0" w:space="0" w:color="auto"/>
            <w:left w:val="none" w:sz="0" w:space="0" w:color="auto"/>
            <w:bottom w:val="none" w:sz="0" w:space="0" w:color="auto"/>
            <w:right w:val="none" w:sz="0" w:space="0" w:color="auto"/>
          </w:divBdr>
        </w:div>
        <w:div w:id="842478264">
          <w:marLeft w:val="0"/>
          <w:marRight w:val="0"/>
          <w:marTop w:val="0"/>
          <w:marBottom w:val="0"/>
          <w:divBdr>
            <w:top w:val="none" w:sz="0" w:space="0" w:color="auto"/>
            <w:left w:val="none" w:sz="0" w:space="0" w:color="auto"/>
            <w:bottom w:val="none" w:sz="0" w:space="0" w:color="auto"/>
            <w:right w:val="none" w:sz="0" w:space="0" w:color="auto"/>
          </w:divBdr>
        </w:div>
        <w:div w:id="932250796">
          <w:marLeft w:val="0"/>
          <w:marRight w:val="0"/>
          <w:marTop w:val="0"/>
          <w:marBottom w:val="0"/>
          <w:divBdr>
            <w:top w:val="none" w:sz="0" w:space="0" w:color="auto"/>
            <w:left w:val="none" w:sz="0" w:space="0" w:color="auto"/>
            <w:bottom w:val="none" w:sz="0" w:space="0" w:color="auto"/>
            <w:right w:val="none" w:sz="0" w:space="0" w:color="auto"/>
          </w:divBdr>
        </w:div>
        <w:div w:id="936212111">
          <w:marLeft w:val="0"/>
          <w:marRight w:val="0"/>
          <w:marTop w:val="0"/>
          <w:marBottom w:val="0"/>
          <w:divBdr>
            <w:top w:val="none" w:sz="0" w:space="0" w:color="auto"/>
            <w:left w:val="none" w:sz="0" w:space="0" w:color="auto"/>
            <w:bottom w:val="none" w:sz="0" w:space="0" w:color="auto"/>
            <w:right w:val="none" w:sz="0" w:space="0" w:color="auto"/>
          </w:divBdr>
        </w:div>
        <w:div w:id="958032784">
          <w:marLeft w:val="0"/>
          <w:marRight w:val="0"/>
          <w:marTop w:val="0"/>
          <w:marBottom w:val="0"/>
          <w:divBdr>
            <w:top w:val="none" w:sz="0" w:space="0" w:color="auto"/>
            <w:left w:val="none" w:sz="0" w:space="0" w:color="auto"/>
            <w:bottom w:val="none" w:sz="0" w:space="0" w:color="auto"/>
            <w:right w:val="none" w:sz="0" w:space="0" w:color="auto"/>
          </w:divBdr>
        </w:div>
        <w:div w:id="1044210995">
          <w:marLeft w:val="0"/>
          <w:marRight w:val="0"/>
          <w:marTop w:val="0"/>
          <w:marBottom w:val="0"/>
          <w:divBdr>
            <w:top w:val="none" w:sz="0" w:space="0" w:color="auto"/>
            <w:left w:val="none" w:sz="0" w:space="0" w:color="auto"/>
            <w:bottom w:val="none" w:sz="0" w:space="0" w:color="auto"/>
            <w:right w:val="none" w:sz="0" w:space="0" w:color="auto"/>
          </w:divBdr>
        </w:div>
        <w:div w:id="1069615755">
          <w:marLeft w:val="0"/>
          <w:marRight w:val="0"/>
          <w:marTop w:val="0"/>
          <w:marBottom w:val="0"/>
          <w:divBdr>
            <w:top w:val="none" w:sz="0" w:space="0" w:color="auto"/>
            <w:left w:val="none" w:sz="0" w:space="0" w:color="auto"/>
            <w:bottom w:val="none" w:sz="0" w:space="0" w:color="auto"/>
            <w:right w:val="none" w:sz="0" w:space="0" w:color="auto"/>
          </w:divBdr>
        </w:div>
        <w:div w:id="1090661113">
          <w:marLeft w:val="0"/>
          <w:marRight w:val="0"/>
          <w:marTop w:val="0"/>
          <w:marBottom w:val="0"/>
          <w:divBdr>
            <w:top w:val="none" w:sz="0" w:space="0" w:color="auto"/>
            <w:left w:val="none" w:sz="0" w:space="0" w:color="auto"/>
            <w:bottom w:val="none" w:sz="0" w:space="0" w:color="auto"/>
            <w:right w:val="none" w:sz="0" w:space="0" w:color="auto"/>
          </w:divBdr>
        </w:div>
        <w:div w:id="1102603690">
          <w:marLeft w:val="0"/>
          <w:marRight w:val="0"/>
          <w:marTop w:val="0"/>
          <w:marBottom w:val="0"/>
          <w:divBdr>
            <w:top w:val="none" w:sz="0" w:space="0" w:color="auto"/>
            <w:left w:val="none" w:sz="0" w:space="0" w:color="auto"/>
            <w:bottom w:val="none" w:sz="0" w:space="0" w:color="auto"/>
            <w:right w:val="none" w:sz="0" w:space="0" w:color="auto"/>
          </w:divBdr>
        </w:div>
        <w:div w:id="1115947393">
          <w:marLeft w:val="0"/>
          <w:marRight w:val="0"/>
          <w:marTop w:val="0"/>
          <w:marBottom w:val="0"/>
          <w:divBdr>
            <w:top w:val="none" w:sz="0" w:space="0" w:color="auto"/>
            <w:left w:val="none" w:sz="0" w:space="0" w:color="auto"/>
            <w:bottom w:val="none" w:sz="0" w:space="0" w:color="auto"/>
            <w:right w:val="none" w:sz="0" w:space="0" w:color="auto"/>
          </w:divBdr>
        </w:div>
        <w:div w:id="1154956356">
          <w:marLeft w:val="0"/>
          <w:marRight w:val="0"/>
          <w:marTop w:val="0"/>
          <w:marBottom w:val="0"/>
          <w:divBdr>
            <w:top w:val="none" w:sz="0" w:space="0" w:color="auto"/>
            <w:left w:val="none" w:sz="0" w:space="0" w:color="auto"/>
            <w:bottom w:val="none" w:sz="0" w:space="0" w:color="auto"/>
            <w:right w:val="none" w:sz="0" w:space="0" w:color="auto"/>
          </w:divBdr>
        </w:div>
        <w:div w:id="1166238531">
          <w:marLeft w:val="0"/>
          <w:marRight w:val="0"/>
          <w:marTop w:val="0"/>
          <w:marBottom w:val="0"/>
          <w:divBdr>
            <w:top w:val="none" w:sz="0" w:space="0" w:color="auto"/>
            <w:left w:val="none" w:sz="0" w:space="0" w:color="auto"/>
            <w:bottom w:val="none" w:sz="0" w:space="0" w:color="auto"/>
            <w:right w:val="none" w:sz="0" w:space="0" w:color="auto"/>
          </w:divBdr>
        </w:div>
        <w:div w:id="1192887159">
          <w:marLeft w:val="0"/>
          <w:marRight w:val="0"/>
          <w:marTop w:val="0"/>
          <w:marBottom w:val="0"/>
          <w:divBdr>
            <w:top w:val="none" w:sz="0" w:space="0" w:color="auto"/>
            <w:left w:val="none" w:sz="0" w:space="0" w:color="auto"/>
            <w:bottom w:val="none" w:sz="0" w:space="0" w:color="auto"/>
            <w:right w:val="none" w:sz="0" w:space="0" w:color="auto"/>
          </w:divBdr>
        </w:div>
        <w:div w:id="1293318377">
          <w:marLeft w:val="0"/>
          <w:marRight w:val="0"/>
          <w:marTop w:val="0"/>
          <w:marBottom w:val="0"/>
          <w:divBdr>
            <w:top w:val="none" w:sz="0" w:space="0" w:color="auto"/>
            <w:left w:val="none" w:sz="0" w:space="0" w:color="auto"/>
            <w:bottom w:val="none" w:sz="0" w:space="0" w:color="auto"/>
            <w:right w:val="none" w:sz="0" w:space="0" w:color="auto"/>
          </w:divBdr>
        </w:div>
        <w:div w:id="1338582218">
          <w:marLeft w:val="0"/>
          <w:marRight w:val="0"/>
          <w:marTop w:val="0"/>
          <w:marBottom w:val="0"/>
          <w:divBdr>
            <w:top w:val="none" w:sz="0" w:space="0" w:color="auto"/>
            <w:left w:val="none" w:sz="0" w:space="0" w:color="auto"/>
            <w:bottom w:val="none" w:sz="0" w:space="0" w:color="auto"/>
            <w:right w:val="none" w:sz="0" w:space="0" w:color="auto"/>
          </w:divBdr>
        </w:div>
        <w:div w:id="1358039973">
          <w:marLeft w:val="0"/>
          <w:marRight w:val="0"/>
          <w:marTop w:val="0"/>
          <w:marBottom w:val="0"/>
          <w:divBdr>
            <w:top w:val="none" w:sz="0" w:space="0" w:color="auto"/>
            <w:left w:val="none" w:sz="0" w:space="0" w:color="auto"/>
            <w:bottom w:val="none" w:sz="0" w:space="0" w:color="auto"/>
            <w:right w:val="none" w:sz="0" w:space="0" w:color="auto"/>
          </w:divBdr>
        </w:div>
        <w:div w:id="1367558909">
          <w:marLeft w:val="0"/>
          <w:marRight w:val="0"/>
          <w:marTop w:val="0"/>
          <w:marBottom w:val="0"/>
          <w:divBdr>
            <w:top w:val="none" w:sz="0" w:space="0" w:color="auto"/>
            <w:left w:val="none" w:sz="0" w:space="0" w:color="auto"/>
            <w:bottom w:val="none" w:sz="0" w:space="0" w:color="auto"/>
            <w:right w:val="none" w:sz="0" w:space="0" w:color="auto"/>
          </w:divBdr>
        </w:div>
        <w:div w:id="1385134045">
          <w:marLeft w:val="0"/>
          <w:marRight w:val="0"/>
          <w:marTop w:val="0"/>
          <w:marBottom w:val="0"/>
          <w:divBdr>
            <w:top w:val="none" w:sz="0" w:space="0" w:color="auto"/>
            <w:left w:val="none" w:sz="0" w:space="0" w:color="auto"/>
            <w:bottom w:val="none" w:sz="0" w:space="0" w:color="auto"/>
            <w:right w:val="none" w:sz="0" w:space="0" w:color="auto"/>
          </w:divBdr>
        </w:div>
        <w:div w:id="1385719219">
          <w:marLeft w:val="0"/>
          <w:marRight w:val="0"/>
          <w:marTop w:val="0"/>
          <w:marBottom w:val="0"/>
          <w:divBdr>
            <w:top w:val="none" w:sz="0" w:space="0" w:color="auto"/>
            <w:left w:val="none" w:sz="0" w:space="0" w:color="auto"/>
            <w:bottom w:val="none" w:sz="0" w:space="0" w:color="auto"/>
            <w:right w:val="none" w:sz="0" w:space="0" w:color="auto"/>
          </w:divBdr>
        </w:div>
        <w:div w:id="1448616762">
          <w:marLeft w:val="0"/>
          <w:marRight w:val="0"/>
          <w:marTop w:val="0"/>
          <w:marBottom w:val="0"/>
          <w:divBdr>
            <w:top w:val="none" w:sz="0" w:space="0" w:color="auto"/>
            <w:left w:val="none" w:sz="0" w:space="0" w:color="auto"/>
            <w:bottom w:val="none" w:sz="0" w:space="0" w:color="auto"/>
            <w:right w:val="none" w:sz="0" w:space="0" w:color="auto"/>
          </w:divBdr>
        </w:div>
        <w:div w:id="1474906386">
          <w:marLeft w:val="0"/>
          <w:marRight w:val="0"/>
          <w:marTop w:val="0"/>
          <w:marBottom w:val="0"/>
          <w:divBdr>
            <w:top w:val="none" w:sz="0" w:space="0" w:color="auto"/>
            <w:left w:val="none" w:sz="0" w:space="0" w:color="auto"/>
            <w:bottom w:val="none" w:sz="0" w:space="0" w:color="auto"/>
            <w:right w:val="none" w:sz="0" w:space="0" w:color="auto"/>
          </w:divBdr>
        </w:div>
        <w:div w:id="1503087798">
          <w:marLeft w:val="0"/>
          <w:marRight w:val="0"/>
          <w:marTop w:val="0"/>
          <w:marBottom w:val="0"/>
          <w:divBdr>
            <w:top w:val="none" w:sz="0" w:space="0" w:color="auto"/>
            <w:left w:val="none" w:sz="0" w:space="0" w:color="auto"/>
            <w:bottom w:val="none" w:sz="0" w:space="0" w:color="auto"/>
            <w:right w:val="none" w:sz="0" w:space="0" w:color="auto"/>
          </w:divBdr>
        </w:div>
        <w:div w:id="1562137153">
          <w:marLeft w:val="0"/>
          <w:marRight w:val="0"/>
          <w:marTop w:val="0"/>
          <w:marBottom w:val="0"/>
          <w:divBdr>
            <w:top w:val="none" w:sz="0" w:space="0" w:color="auto"/>
            <w:left w:val="none" w:sz="0" w:space="0" w:color="auto"/>
            <w:bottom w:val="none" w:sz="0" w:space="0" w:color="auto"/>
            <w:right w:val="none" w:sz="0" w:space="0" w:color="auto"/>
          </w:divBdr>
        </w:div>
        <w:div w:id="1578321548">
          <w:marLeft w:val="0"/>
          <w:marRight w:val="0"/>
          <w:marTop w:val="0"/>
          <w:marBottom w:val="0"/>
          <w:divBdr>
            <w:top w:val="none" w:sz="0" w:space="0" w:color="auto"/>
            <w:left w:val="none" w:sz="0" w:space="0" w:color="auto"/>
            <w:bottom w:val="none" w:sz="0" w:space="0" w:color="auto"/>
            <w:right w:val="none" w:sz="0" w:space="0" w:color="auto"/>
          </w:divBdr>
        </w:div>
        <w:div w:id="1661077423">
          <w:marLeft w:val="0"/>
          <w:marRight w:val="0"/>
          <w:marTop w:val="0"/>
          <w:marBottom w:val="0"/>
          <w:divBdr>
            <w:top w:val="none" w:sz="0" w:space="0" w:color="auto"/>
            <w:left w:val="none" w:sz="0" w:space="0" w:color="auto"/>
            <w:bottom w:val="none" w:sz="0" w:space="0" w:color="auto"/>
            <w:right w:val="none" w:sz="0" w:space="0" w:color="auto"/>
          </w:divBdr>
        </w:div>
        <w:div w:id="1698584641">
          <w:marLeft w:val="0"/>
          <w:marRight w:val="0"/>
          <w:marTop w:val="0"/>
          <w:marBottom w:val="0"/>
          <w:divBdr>
            <w:top w:val="none" w:sz="0" w:space="0" w:color="auto"/>
            <w:left w:val="none" w:sz="0" w:space="0" w:color="auto"/>
            <w:bottom w:val="none" w:sz="0" w:space="0" w:color="auto"/>
            <w:right w:val="none" w:sz="0" w:space="0" w:color="auto"/>
          </w:divBdr>
        </w:div>
        <w:div w:id="1720586375">
          <w:marLeft w:val="0"/>
          <w:marRight w:val="0"/>
          <w:marTop w:val="0"/>
          <w:marBottom w:val="0"/>
          <w:divBdr>
            <w:top w:val="none" w:sz="0" w:space="0" w:color="auto"/>
            <w:left w:val="none" w:sz="0" w:space="0" w:color="auto"/>
            <w:bottom w:val="none" w:sz="0" w:space="0" w:color="auto"/>
            <w:right w:val="none" w:sz="0" w:space="0" w:color="auto"/>
          </w:divBdr>
        </w:div>
        <w:div w:id="1770663706">
          <w:marLeft w:val="0"/>
          <w:marRight w:val="0"/>
          <w:marTop w:val="0"/>
          <w:marBottom w:val="0"/>
          <w:divBdr>
            <w:top w:val="none" w:sz="0" w:space="0" w:color="auto"/>
            <w:left w:val="none" w:sz="0" w:space="0" w:color="auto"/>
            <w:bottom w:val="none" w:sz="0" w:space="0" w:color="auto"/>
            <w:right w:val="none" w:sz="0" w:space="0" w:color="auto"/>
          </w:divBdr>
        </w:div>
        <w:div w:id="1810778392">
          <w:marLeft w:val="0"/>
          <w:marRight w:val="0"/>
          <w:marTop w:val="0"/>
          <w:marBottom w:val="0"/>
          <w:divBdr>
            <w:top w:val="none" w:sz="0" w:space="0" w:color="auto"/>
            <w:left w:val="none" w:sz="0" w:space="0" w:color="auto"/>
            <w:bottom w:val="none" w:sz="0" w:space="0" w:color="auto"/>
            <w:right w:val="none" w:sz="0" w:space="0" w:color="auto"/>
          </w:divBdr>
        </w:div>
        <w:div w:id="1852571716">
          <w:marLeft w:val="0"/>
          <w:marRight w:val="0"/>
          <w:marTop w:val="0"/>
          <w:marBottom w:val="0"/>
          <w:divBdr>
            <w:top w:val="none" w:sz="0" w:space="0" w:color="auto"/>
            <w:left w:val="none" w:sz="0" w:space="0" w:color="auto"/>
            <w:bottom w:val="none" w:sz="0" w:space="0" w:color="auto"/>
            <w:right w:val="none" w:sz="0" w:space="0" w:color="auto"/>
          </w:divBdr>
        </w:div>
        <w:div w:id="1893038964">
          <w:marLeft w:val="0"/>
          <w:marRight w:val="0"/>
          <w:marTop w:val="0"/>
          <w:marBottom w:val="0"/>
          <w:divBdr>
            <w:top w:val="none" w:sz="0" w:space="0" w:color="auto"/>
            <w:left w:val="none" w:sz="0" w:space="0" w:color="auto"/>
            <w:bottom w:val="none" w:sz="0" w:space="0" w:color="auto"/>
            <w:right w:val="none" w:sz="0" w:space="0" w:color="auto"/>
          </w:divBdr>
        </w:div>
        <w:div w:id="1965579850">
          <w:marLeft w:val="0"/>
          <w:marRight w:val="0"/>
          <w:marTop w:val="0"/>
          <w:marBottom w:val="0"/>
          <w:divBdr>
            <w:top w:val="none" w:sz="0" w:space="0" w:color="auto"/>
            <w:left w:val="none" w:sz="0" w:space="0" w:color="auto"/>
            <w:bottom w:val="none" w:sz="0" w:space="0" w:color="auto"/>
            <w:right w:val="none" w:sz="0" w:space="0" w:color="auto"/>
          </w:divBdr>
        </w:div>
        <w:div w:id="1972128773">
          <w:marLeft w:val="0"/>
          <w:marRight w:val="0"/>
          <w:marTop w:val="0"/>
          <w:marBottom w:val="0"/>
          <w:divBdr>
            <w:top w:val="none" w:sz="0" w:space="0" w:color="auto"/>
            <w:left w:val="none" w:sz="0" w:space="0" w:color="auto"/>
            <w:bottom w:val="none" w:sz="0" w:space="0" w:color="auto"/>
            <w:right w:val="none" w:sz="0" w:space="0" w:color="auto"/>
          </w:divBdr>
        </w:div>
        <w:div w:id="2023974289">
          <w:marLeft w:val="0"/>
          <w:marRight w:val="0"/>
          <w:marTop w:val="0"/>
          <w:marBottom w:val="0"/>
          <w:divBdr>
            <w:top w:val="none" w:sz="0" w:space="0" w:color="auto"/>
            <w:left w:val="none" w:sz="0" w:space="0" w:color="auto"/>
            <w:bottom w:val="none" w:sz="0" w:space="0" w:color="auto"/>
            <w:right w:val="none" w:sz="0" w:space="0" w:color="auto"/>
          </w:divBdr>
        </w:div>
        <w:div w:id="2124641976">
          <w:marLeft w:val="0"/>
          <w:marRight w:val="0"/>
          <w:marTop w:val="0"/>
          <w:marBottom w:val="0"/>
          <w:divBdr>
            <w:top w:val="none" w:sz="0" w:space="0" w:color="auto"/>
            <w:left w:val="none" w:sz="0" w:space="0" w:color="auto"/>
            <w:bottom w:val="none" w:sz="0" w:space="0" w:color="auto"/>
            <w:right w:val="none" w:sz="0" w:space="0" w:color="auto"/>
          </w:divBdr>
        </w:div>
        <w:div w:id="2136942239">
          <w:marLeft w:val="0"/>
          <w:marRight w:val="0"/>
          <w:marTop w:val="0"/>
          <w:marBottom w:val="0"/>
          <w:divBdr>
            <w:top w:val="none" w:sz="0" w:space="0" w:color="auto"/>
            <w:left w:val="none" w:sz="0" w:space="0" w:color="auto"/>
            <w:bottom w:val="none" w:sz="0" w:space="0" w:color="auto"/>
            <w:right w:val="none" w:sz="0" w:space="0" w:color="auto"/>
          </w:divBdr>
        </w:div>
        <w:div w:id="2143423786">
          <w:marLeft w:val="0"/>
          <w:marRight w:val="0"/>
          <w:marTop w:val="0"/>
          <w:marBottom w:val="0"/>
          <w:divBdr>
            <w:top w:val="none" w:sz="0" w:space="0" w:color="auto"/>
            <w:left w:val="none" w:sz="0" w:space="0" w:color="auto"/>
            <w:bottom w:val="none" w:sz="0" w:space="0" w:color="auto"/>
            <w:right w:val="none" w:sz="0" w:space="0" w:color="auto"/>
          </w:divBdr>
        </w:div>
      </w:divsChild>
    </w:div>
    <w:div w:id="109321328">
      <w:bodyDiv w:val="1"/>
      <w:marLeft w:val="0"/>
      <w:marRight w:val="0"/>
      <w:marTop w:val="0"/>
      <w:marBottom w:val="0"/>
      <w:divBdr>
        <w:top w:val="none" w:sz="0" w:space="0" w:color="auto"/>
        <w:left w:val="none" w:sz="0" w:space="0" w:color="auto"/>
        <w:bottom w:val="none" w:sz="0" w:space="0" w:color="auto"/>
        <w:right w:val="none" w:sz="0" w:space="0" w:color="auto"/>
      </w:divBdr>
    </w:div>
    <w:div w:id="137185211">
      <w:bodyDiv w:val="1"/>
      <w:marLeft w:val="0"/>
      <w:marRight w:val="0"/>
      <w:marTop w:val="0"/>
      <w:marBottom w:val="0"/>
      <w:divBdr>
        <w:top w:val="none" w:sz="0" w:space="0" w:color="auto"/>
        <w:left w:val="none" w:sz="0" w:space="0" w:color="auto"/>
        <w:bottom w:val="none" w:sz="0" w:space="0" w:color="auto"/>
        <w:right w:val="none" w:sz="0" w:space="0" w:color="auto"/>
      </w:divBdr>
      <w:divsChild>
        <w:div w:id="17893185">
          <w:marLeft w:val="0"/>
          <w:marRight w:val="0"/>
          <w:marTop w:val="0"/>
          <w:marBottom w:val="0"/>
          <w:divBdr>
            <w:top w:val="none" w:sz="0" w:space="0" w:color="auto"/>
            <w:left w:val="none" w:sz="0" w:space="0" w:color="auto"/>
            <w:bottom w:val="none" w:sz="0" w:space="0" w:color="auto"/>
            <w:right w:val="none" w:sz="0" w:space="0" w:color="auto"/>
          </w:divBdr>
        </w:div>
        <w:div w:id="222495948">
          <w:marLeft w:val="0"/>
          <w:marRight w:val="0"/>
          <w:marTop w:val="0"/>
          <w:marBottom w:val="0"/>
          <w:divBdr>
            <w:top w:val="none" w:sz="0" w:space="0" w:color="auto"/>
            <w:left w:val="none" w:sz="0" w:space="0" w:color="auto"/>
            <w:bottom w:val="none" w:sz="0" w:space="0" w:color="auto"/>
            <w:right w:val="none" w:sz="0" w:space="0" w:color="auto"/>
          </w:divBdr>
          <w:divsChild>
            <w:div w:id="535701012">
              <w:marLeft w:val="0"/>
              <w:marRight w:val="0"/>
              <w:marTop w:val="0"/>
              <w:marBottom w:val="0"/>
              <w:divBdr>
                <w:top w:val="none" w:sz="0" w:space="0" w:color="auto"/>
                <w:left w:val="none" w:sz="0" w:space="0" w:color="auto"/>
                <w:bottom w:val="none" w:sz="0" w:space="0" w:color="auto"/>
                <w:right w:val="none" w:sz="0" w:space="0" w:color="auto"/>
              </w:divBdr>
            </w:div>
            <w:div w:id="555163950">
              <w:marLeft w:val="0"/>
              <w:marRight w:val="0"/>
              <w:marTop w:val="0"/>
              <w:marBottom w:val="0"/>
              <w:divBdr>
                <w:top w:val="none" w:sz="0" w:space="0" w:color="auto"/>
                <w:left w:val="none" w:sz="0" w:space="0" w:color="auto"/>
                <w:bottom w:val="none" w:sz="0" w:space="0" w:color="auto"/>
                <w:right w:val="none" w:sz="0" w:space="0" w:color="auto"/>
              </w:divBdr>
            </w:div>
            <w:div w:id="627009423">
              <w:marLeft w:val="0"/>
              <w:marRight w:val="0"/>
              <w:marTop w:val="0"/>
              <w:marBottom w:val="0"/>
              <w:divBdr>
                <w:top w:val="none" w:sz="0" w:space="0" w:color="auto"/>
                <w:left w:val="none" w:sz="0" w:space="0" w:color="auto"/>
                <w:bottom w:val="none" w:sz="0" w:space="0" w:color="auto"/>
                <w:right w:val="none" w:sz="0" w:space="0" w:color="auto"/>
              </w:divBdr>
            </w:div>
            <w:div w:id="2090731357">
              <w:marLeft w:val="0"/>
              <w:marRight w:val="0"/>
              <w:marTop w:val="0"/>
              <w:marBottom w:val="0"/>
              <w:divBdr>
                <w:top w:val="none" w:sz="0" w:space="0" w:color="auto"/>
                <w:left w:val="none" w:sz="0" w:space="0" w:color="auto"/>
                <w:bottom w:val="none" w:sz="0" w:space="0" w:color="auto"/>
                <w:right w:val="none" w:sz="0" w:space="0" w:color="auto"/>
              </w:divBdr>
            </w:div>
            <w:div w:id="2096780429">
              <w:marLeft w:val="0"/>
              <w:marRight w:val="0"/>
              <w:marTop w:val="0"/>
              <w:marBottom w:val="0"/>
              <w:divBdr>
                <w:top w:val="none" w:sz="0" w:space="0" w:color="auto"/>
                <w:left w:val="none" w:sz="0" w:space="0" w:color="auto"/>
                <w:bottom w:val="none" w:sz="0" w:space="0" w:color="auto"/>
                <w:right w:val="none" w:sz="0" w:space="0" w:color="auto"/>
              </w:divBdr>
            </w:div>
          </w:divsChild>
        </w:div>
        <w:div w:id="234823128">
          <w:marLeft w:val="0"/>
          <w:marRight w:val="0"/>
          <w:marTop w:val="0"/>
          <w:marBottom w:val="0"/>
          <w:divBdr>
            <w:top w:val="none" w:sz="0" w:space="0" w:color="auto"/>
            <w:left w:val="none" w:sz="0" w:space="0" w:color="auto"/>
            <w:bottom w:val="none" w:sz="0" w:space="0" w:color="auto"/>
            <w:right w:val="none" w:sz="0" w:space="0" w:color="auto"/>
          </w:divBdr>
        </w:div>
        <w:div w:id="307978992">
          <w:marLeft w:val="0"/>
          <w:marRight w:val="0"/>
          <w:marTop w:val="0"/>
          <w:marBottom w:val="0"/>
          <w:divBdr>
            <w:top w:val="none" w:sz="0" w:space="0" w:color="auto"/>
            <w:left w:val="none" w:sz="0" w:space="0" w:color="auto"/>
            <w:bottom w:val="none" w:sz="0" w:space="0" w:color="auto"/>
            <w:right w:val="none" w:sz="0" w:space="0" w:color="auto"/>
          </w:divBdr>
        </w:div>
        <w:div w:id="427392094">
          <w:marLeft w:val="0"/>
          <w:marRight w:val="0"/>
          <w:marTop w:val="0"/>
          <w:marBottom w:val="0"/>
          <w:divBdr>
            <w:top w:val="none" w:sz="0" w:space="0" w:color="auto"/>
            <w:left w:val="none" w:sz="0" w:space="0" w:color="auto"/>
            <w:bottom w:val="none" w:sz="0" w:space="0" w:color="auto"/>
            <w:right w:val="none" w:sz="0" w:space="0" w:color="auto"/>
          </w:divBdr>
        </w:div>
        <w:div w:id="428622097">
          <w:marLeft w:val="0"/>
          <w:marRight w:val="0"/>
          <w:marTop w:val="0"/>
          <w:marBottom w:val="0"/>
          <w:divBdr>
            <w:top w:val="none" w:sz="0" w:space="0" w:color="auto"/>
            <w:left w:val="none" w:sz="0" w:space="0" w:color="auto"/>
            <w:bottom w:val="none" w:sz="0" w:space="0" w:color="auto"/>
            <w:right w:val="none" w:sz="0" w:space="0" w:color="auto"/>
          </w:divBdr>
        </w:div>
        <w:div w:id="438259553">
          <w:marLeft w:val="0"/>
          <w:marRight w:val="0"/>
          <w:marTop w:val="0"/>
          <w:marBottom w:val="0"/>
          <w:divBdr>
            <w:top w:val="none" w:sz="0" w:space="0" w:color="auto"/>
            <w:left w:val="none" w:sz="0" w:space="0" w:color="auto"/>
            <w:bottom w:val="none" w:sz="0" w:space="0" w:color="auto"/>
            <w:right w:val="none" w:sz="0" w:space="0" w:color="auto"/>
          </w:divBdr>
        </w:div>
        <w:div w:id="440688200">
          <w:marLeft w:val="0"/>
          <w:marRight w:val="0"/>
          <w:marTop w:val="0"/>
          <w:marBottom w:val="0"/>
          <w:divBdr>
            <w:top w:val="none" w:sz="0" w:space="0" w:color="auto"/>
            <w:left w:val="none" w:sz="0" w:space="0" w:color="auto"/>
            <w:bottom w:val="none" w:sz="0" w:space="0" w:color="auto"/>
            <w:right w:val="none" w:sz="0" w:space="0" w:color="auto"/>
          </w:divBdr>
        </w:div>
        <w:div w:id="502671220">
          <w:marLeft w:val="0"/>
          <w:marRight w:val="0"/>
          <w:marTop w:val="0"/>
          <w:marBottom w:val="0"/>
          <w:divBdr>
            <w:top w:val="none" w:sz="0" w:space="0" w:color="auto"/>
            <w:left w:val="none" w:sz="0" w:space="0" w:color="auto"/>
            <w:bottom w:val="none" w:sz="0" w:space="0" w:color="auto"/>
            <w:right w:val="none" w:sz="0" w:space="0" w:color="auto"/>
          </w:divBdr>
        </w:div>
        <w:div w:id="520706004">
          <w:marLeft w:val="0"/>
          <w:marRight w:val="0"/>
          <w:marTop w:val="0"/>
          <w:marBottom w:val="0"/>
          <w:divBdr>
            <w:top w:val="none" w:sz="0" w:space="0" w:color="auto"/>
            <w:left w:val="none" w:sz="0" w:space="0" w:color="auto"/>
            <w:bottom w:val="none" w:sz="0" w:space="0" w:color="auto"/>
            <w:right w:val="none" w:sz="0" w:space="0" w:color="auto"/>
          </w:divBdr>
        </w:div>
        <w:div w:id="554242711">
          <w:marLeft w:val="0"/>
          <w:marRight w:val="0"/>
          <w:marTop w:val="0"/>
          <w:marBottom w:val="0"/>
          <w:divBdr>
            <w:top w:val="none" w:sz="0" w:space="0" w:color="auto"/>
            <w:left w:val="none" w:sz="0" w:space="0" w:color="auto"/>
            <w:bottom w:val="none" w:sz="0" w:space="0" w:color="auto"/>
            <w:right w:val="none" w:sz="0" w:space="0" w:color="auto"/>
          </w:divBdr>
        </w:div>
        <w:div w:id="592249502">
          <w:marLeft w:val="0"/>
          <w:marRight w:val="0"/>
          <w:marTop w:val="0"/>
          <w:marBottom w:val="0"/>
          <w:divBdr>
            <w:top w:val="none" w:sz="0" w:space="0" w:color="auto"/>
            <w:left w:val="none" w:sz="0" w:space="0" w:color="auto"/>
            <w:bottom w:val="none" w:sz="0" w:space="0" w:color="auto"/>
            <w:right w:val="none" w:sz="0" w:space="0" w:color="auto"/>
          </w:divBdr>
        </w:div>
        <w:div w:id="608389121">
          <w:marLeft w:val="0"/>
          <w:marRight w:val="0"/>
          <w:marTop w:val="0"/>
          <w:marBottom w:val="0"/>
          <w:divBdr>
            <w:top w:val="none" w:sz="0" w:space="0" w:color="auto"/>
            <w:left w:val="none" w:sz="0" w:space="0" w:color="auto"/>
            <w:bottom w:val="none" w:sz="0" w:space="0" w:color="auto"/>
            <w:right w:val="none" w:sz="0" w:space="0" w:color="auto"/>
          </w:divBdr>
        </w:div>
        <w:div w:id="731998480">
          <w:marLeft w:val="0"/>
          <w:marRight w:val="0"/>
          <w:marTop w:val="0"/>
          <w:marBottom w:val="0"/>
          <w:divBdr>
            <w:top w:val="none" w:sz="0" w:space="0" w:color="auto"/>
            <w:left w:val="none" w:sz="0" w:space="0" w:color="auto"/>
            <w:bottom w:val="none" w:sz="0" w:space="0" w:color="auto"/>
            <w:right w:val="none" w:sz="0" w:space="0" w:color="auto"/>
          </w:divBdr>
        </w:div>
        <w:div w:id="875891230">
          <w:marLeft w:val="0"/>
          <w:marRight w:val="0"/>
          <w:marTop w:val="0"/>
          <w:marBottom w:val="0"/>
          <w:divBdr>
            <w:top w:val="none" w:sz="0" w:space="0" w:color="auto"/>
            <w:left w:val="none" w:sz="0" w:space="0" w:color="auto"/>
            <w:bottom w:val="none" w:sz="0" w:space="0" w:color="auto"/>
            <w:right w:val="none" w:sz="0" w:space="0" w:color="auto"/>
          </w:divBdr>
        </w:div>
        <w:div w:id="932588498">
          <w:marLeft w:val="0"/>
          <w:marRight w:val="0"/>
          <w:marTop w:val="0"/>
          <w:marBottom w:val="0"/>
          <w:divBdr>
            <w:top w:val="none" w:sz="0" w:space="0" w:color="auto"/>
            <w:left w:val="none" w:sz="0" w:space="0" w:color="auto"/>
            <w:bottom w:val="none" w:sz="0" w:space="0" w:color="auto"/>
            <w:right w:val="none" w:sz="0" w:space="0" w:color="auto"/>
          </w:divBdr>
        </w:div>
        <w:div w:id="977415690">
          <w:marLeft w:val="0"/>
          <w:marRight w:val="0"/>
          <w:marTop w:val="0"/>
          <w:marBottom w:val="0"/>
          <w:divBdr>
            <w:top w:val="none" w:sz="0" w:space="0" w:color="auto"/>
            <w:left w:val="none" w:sz="0" w:space="0" w:color="auto"/>
            <w:bottom w:val="none" w:sz="0" w:space="0" w:color="auto"/>
            <w:right w:val="none" w:sz="0" w:space="0" w:color="auto"/>
          </w:divBdr>
        </w:div>
        <w:div w:id="1026832123">
          <w:marLeft w:val="0"/>
          <w:marRight w:val="0"/>
          <w:marTop w:val="0"/>
          <w:marBottom w:val="0"/>
          <w:divBdr>
            <w:top w:val="none" w:sz="0" w:space="0" w:color="auto"/>
            <w:left w:val="none" w:sz="0" w:space="0" w:color="auto"/>
            <w:bottom w:val="none" w:sz="0" w:space="0" w:color="auto"/>
            <w:right w:val="none" w:sz="0" w:space="0" w:color="auto"/>
          </w:divBdr>
        </w:div>
        <w:div w:id="1033654932">
          <w:marLeft w:val="0"/>
          <w:marRight w:val="0"/>
          <w:marTop w:val="0"/>
          <w:marBottom w:val="0"/>
          <w:divBdr>
            <w:top w:val="none" w:sz="0" w:space="0" w:color="auto"/>
            <w:left w:val="none" w:sz="0" w:space="0" w:color="auto"/>
            <w:bottom w:val="none" w:sz="0" w:space="0" w:color="auto"/>
            <w:right w:val="none" w:sz="0" w:space="0" w:color="auto"/>
          </w:divBdr>
        </w:div>
        <w:div w:id="1068766996">
          <w:marLeft w:val="0"/>
          <w:marRight w:val="0"/>
          <w:marTop w:val="0"/>
          <w:marBottom w:val="0"/>
          <w:divBdr>
            <w:top w:val="none" w:sz="0" w:space="0" w:color="auto"/>
            <w:left w:val="none" w:sz="0" w:space="0" w:color="auto"/>
            <w:bottom w:val="none" w:sz="0" w:space="0" w:color="auto"/>
            <w:right w:val="none" w:sz="0" w:space="0" w:color="auto"/>
          </w:divBdr>
        </w:div>
        <w:div w:id="1073428013">
          <w:marLeft w:val="0"/>
          <w:marRight w:val="0"/>
          <w:marTop w:val="0"/>
          <w:marBottom w:val="0"/>
          <w:divBdr>
            <w:top w:val="none" w:sz="0" w:space="0" w:color="auto"/>
            <w:left w:val="none" w:sz="0" w:space="0" w:color="auto"/>
            <w:bottom w:val="none" w:sz="0" w:space="0" w:color="auto"/>
            <w:right w:val="none" w:sz="0" w:space="0" w:color="auto"/>
          </w:divBdr>
        </w:div>
        <w:div w:id="1119182398">
          <w:marLeft w:val="0"/>
          <w:marRight w:val="0"/>
          <w:marTop w:val="0"/>
          <w:marBottom w:val="0"/>
          <w:divBdr>
            <w:top w:val="none" w:sz="0" w:space="0" w:color="auto"/>
            <w:left w:val="none" w:sz="0" w:space="0" w:color="auto"/>
            <w:bottom w:val="none" w:sz="0" w:space="0" w:color="auto"/>
            <w:right w:val="none" w:sz="0" w:space="0" w:color="auto"/>
          </w:divBdr>
        </w:div>
        <w:div w:id="1217204850">
          <w:marLeft w:val="0"/>
          <w:marRight w:val="0"/>
          <w:marTop w:val="0"/>
          <w:marBottom w:val="0"/>
          <w:divBdr>
            <w:top w:val="none" w:sz="0" w:space="0" w:color="auto"/>
            <w:left w:val="none" w:sz="0" w:space="0" w:color="auto"/>
            <w:bottom w:val="none" w:sz="0" w:space="0" w:color="auto"/>
            <w:right w:val="none" w:sz="0" w:space="0" w:color="auto"/>
          </w:divBdr>
        </w:div>
        <w:div w:id="1234122961">
          <w:marLeft w:val="0"/>
          <w:marRight w:val="0"/>
          <w:marTop w:val="0"/>
          <w:marBottom w:val="0"/>
          <w:divBdr>
            <w:top w:val="none" w:sz="0" w:space="0" w:color="auto"/>
            <w:left w:val="none" w:sz="0" w:space="0" w:color="auto"/>
            <w:bottom w:val="none" w:sz="0" w:space="0" w:color="auto"/>
            <w:right w:val="none" w:sz="0" w:space="0" w:color="auto"/>
          </w:divBdr>
        </w:div>
        <w:div w:id="1310555183">
          <w:marLeft w:val="0"/>
          <w:marRight w:val="0"/>
          <w:marTop w:val="0"/>
          <w:marBottom w:val="0"/>
          <w:divBdr>
            <w:top w:val="none" w:sz="0" w:space="0" w:color="auto"/>
            <w:left w:val="none" w:sz="0" w:space="0" w:color="auto"/>
            <w:bottom w:val="none" w:sz="0" w:space="0" w:color="auto"/>
            <w:right w:val="none" w:sz="0" w:space="0" w:color="auto"/>
          </w:divBdr>
        </w:div>
        <w:div w:id="1331106894">
          <w:marLeft w:val="0"/>
          <w:marRight w:val="0"/>
          <w:marTop w:val="0"/>
          <w:marBottom w:val="0"/>
          <w:divBdr>
            <w:top w:val="none" w:sz="0" w:space="0" w:color="auto"/>
            <w:left w:val="none" w:sz="0" w:space="0" w:color="auto"/>
            <w:bottom w:val="none" w:sz="0" w:space="0" w:color="auto"/>
            <w:right w:val="none" w:sz="0" w:space="0" w:color="auto"/>
          </w:divBdr>
        </w:div>
        <w:div w:id="1333528220">
          <w:marLeft w:val="0"/>
          <w:marRight w:val="0"/>
          <w:marTop w:val="0"/>
          <w:marBottom w:val="0"/>
          <w:divBdr>
            <w:top w:val="none" w:sz="0" w:space="0" w:color="auto"/>
            <w:left w:val="none" w:sz="0" w:space="0" w:color="auto"/>
            <w:bottom w:val="none" w:sz="0" w:space="0" w:color="auto"/>
            <w:right w:val="none" w:sz="0" w:space="0" w:color="auto"/>
          </w:divBdr>
        </w:div>
        <w:div w:id="1339502495">
          <w:marLeft w:val="0"/>
          <w:marRight w:val="0"/>
          <w:marTop w:val="0"/>
          <w:marBottom w:val="0"/>
          <w:divBdr>
            <w:top w:val="none" w:sz="0" w:space="0" w:color="auto"/>
            <w:left w:val="none" w:sz="0" w:space="0" w:color="auto"/>
            <w:bottom w:val="none" w:sz="0" w:space="0" w:color="auto"/>
            <w:right w:val="none" w:sz="0" w:space="0" w:color="auto"/>
          </w:divBdr>
        </w:div>
        <w:div w:id="1495410605">
          <w:marLeft w:val="0"/>
          <w:marRight w:val="0"/>
          <w:marTop w:val="0"/>
          <w:marBottom w:val="0"/>
          <w:divBdr>
            <w:top w:val="none" w:sz="0" w:space="0" w:color="auto"/>
            <w:left w:val="none" w:sz="0" w:space="0" w:color="auto"/>
            <w:bottom w:val="none" w:sz="0" w:space="0" w:color="auto"/>
            <w:right w:val="none" w:sz="0" w:space="0" w:color="auto"/>
          </w:divBdr>
        </w:div>
        <w:div w:id="1496337781">
          <w:marLeft w:val="0"/>
          <w:marRight w:val="0"/>
          <w:marTop w:val="0"/>
          <w:marBottom w:val="0"/>
          <w:divBdr>
            <w:top w:val="none" w:sz="0" w:space="0" w:color="auto"/>
            <w:left w:val="none" w:sz="0" w:space="0" w:color="auto"/>
            <w:bottom w:val="none" w:sz="0" w:space="0" w:color="auto"/>
            <w:right w:val="none" w:sz="0" w:space="0" w:color="auto"/>
          </w:divBdr>
        </w:div>
        <w:div w:id="1511985770">
          <w:marLeft w:val="0"/>
          <w:marRight w:val="0"/>
          <w:marTop w:val="0"/>
          <w:marBottom w:val="0"/>
          <w:divBdr>
            <w:top w:val="none" w:sz="0" w:space="0" w:color="auto"/>
            <w:left w:val="none" w:sz="0" w:space="0" w:color="auto"/>
            <w:bottom w:val="none" w:sz="0" w:space="0" w:color="auto"/>
            <w:right w:val="none" w:sz="0" w:space="0" w:color="auto"/>
          </w:divBdr>
        </w:div>
        <w:div w:id="1588735284">
          <w:marLeft w:val="0"/>
          <w:marRight w:val="0"/>
          <w:marTop w:val="0"/>
          <w:marBottom w:val="0"/>
          <w:divBdr>
            <w:top w:val="none" w:sz="0" w:space="0" w:color="auto"/>
            <w:left w:val="none" w:sz="0" w:space="0" w:color="auto"/>
            <w:bottom w:val="none" w:sz="0" w:space="0" w:color="auto"/>
            <w:right w:val="none" w:sz="0" w:space="0" w:color="auto"/>
          </w:divBdr>
        </w:div>
        <w:div w:id="1633900091">
          <w:marLeft w:val="0"/>
          <w:marRight w:val="0"/>
          <w:marTop w:val="0"/>
          <w:marBottom w:val="0"/>
          <w:divBdr>
            <w:top w:val="none" w:sz="0" w:space="0" w:color="auto"/>
            <w:left w:val="none" w:sz="0" w:space="0" w:color="auto"/>
            <w:bottom w:val="none" w:sz="0" w:space="0" w:color="auto"/>
            <w:right w:val="none" w:sz="0" w:space="0" w:color="auto"/>
          </w:divBdr>
        </w:div>
        <w:div w:id="1660503351">
          <w:marLeft w:val="0"/>
          <w:marRight w:val="0"/>
          <w:marTop w:val="0"/>
          <w:marBottom w:val="0"/>
          <w:divBdr>
            <w:top w:val="none" w:sz="0" w:space="0" w:color="auto"/>
            <w:left w:val="none" w:sz="0" w:space="0" w:color="auto"/>
            <w:bottom w:val="none" w:sz="0" w:space="0" w:color="auto"/>
            <w:right w:val="none" w:sz="0" w:space="0" w:color="auto"/>
          </w:divBdr>
        </w:div>
        <w:div w:id="1678579546">
          <w:marLeft w:val="0"/>
          <w:marRight w:val="0"/>
          <w:marTop w:val="0"/>
          <w:marBottom w:val="0"/>
          <w:divBdr>
            <w:top w:val="none" w:sz="0" w:space="0" w:color="auto"/>
            <w:left w:val="none" w:sz="0" w:space="0" w:color="auto"/>
            <w:bottom w:val="none" w:sz="0" w:space="0" w:color="auto"/>
            <w:right w:val="none" w:sz="0" w:space="0" w:color="auto"/>
          </w:divBdr>
        </w:div>
        <w:div w:id="1714958640">
          <w:marLeft w:val="0"/>
          <w:marRight w:val="0"/>
          <w:marTop w:val="0"/>
          <w:marBottom w:val="0"/>
          <w:divBdr>
            <w:top w:val="none" w:sz="0" w:space="0" w:color="auto"/>
            <w:left w:val="none" w:sz="0" w:space="0" w:color="auto"/>
            <w:bottom w:val="none" w:sz="0" w:space="0" w:color="auto"/>
            <w:right w:val="none" w:sz="0" w:space="0" w:color="auto"/>
          </w:divBdr>
        </w:div>
        <w:div w:id="1753045740">
          <w:marLeft w:val="0"/>
          <w:marRight w:val="0"/>
          <w:marTop w:val="0"/>
          <w:marBottom w:val="0"/>
          <w:divBdr>
            <w:top w:val="none" w:sz="0" w:space="0" w:color="auto"/>
            <w:left w:val="none" w:sz="0" w:space="0" w:color="auto"/>
            <w:bottom w:val="none" w:sz="0" w:space="0" w:color="auto"/>
            <w:right w:val="none" w:sz="0" w:space="0" w:color="auto"/>
          </w:divBdr>
          <w:divsChild>
            <w:div w:id="1028070763">
              <w:marLeft w:val="0"/>
              <w:marRight w:val="0"/>
              <w:marTop w:val="0"/>
              <w:marBottom w:val="0"/>
              <w:divBdr>
                <w:top w:val="none" w:sz="0" w:space="0" w:color="auto"/>
                <w:left w:val="none" w:sz="0" w:space="0" w:color="auto"/>
                <w:bottom w:val="none" w:sz="0" w:space="0" w:color="auto"/>
                <w:right w:val="none" w:sz="0" w:space="0" w:color="auto"/>
              </w:divBdr>
            </w:div>
            <w:div w:id="1174301502">
              <w:marLeft w:val="0"/>
              <w:marRight w:val="0"/>
              <w:marTop w:val="0"/>
              <w:marBottom w:val="0"/>
              <w:divBdr>
                <w:top w:val="none" w:sz="0" w:space="0" w:color="auto"/>
                <w:left w:val="none" w:sz="0" w:space="0" w:color="auto"/>
                <w:bottom w:val="none" w:sz="0" w:space="0" w:color="auto"/>
                <w:right w:val="none" w:sz="0" w:space="0" w:color="auto"/>
              </w:divBdr>
            </w:div>
            <w:div w:id="1536118334">
              <w:marLeft w:val="0"/>
              <w:marRight w:val="0"/>
              <w:marTop w:val="0"/>
              <w:marBottom w:val="0"/>
              <w:divBdr>
                <w:top w:val="none" w:sz="0" w:space="0" w:color="auto"/>
                <w:left w:val="none" w:sz="0" w:space="0" w:color="auto"/>
                <w:bottom w:val="none" w:sz="0" w:space="0" w:color="auto"/>
                <w:right w:val="none" w:sz="0" w:space="0" w:color="auto"/>
              </w:divBdr>
            </w:div>
            <w:div w:id="1564221697">
              <w:marLeft w:val="0"/>
              <w:marRight w:val="0"/>
              <w:marTop w:val="0"/>
              <w:marBottom w:val="0"/>
              <w:divBdr>
                <w:top w:val="none" w:sz="0" w:space="0" w:color="auto"/>
                <w:left w:val="none" w:sz="0" w:space="0" w:color="auto"/>
                <w:bottom w:val="none" w:sz="0" w:space="0" w:color="auto"/>
                <w:right w:val="none" w:sz="0" w:space="0" w:color="auto"/>
              </w:divBdr>
            </w:div>
            <w:div w:id="2019038202">
              <w:marLeft w:val="0"/>
              <w:marRight w:val="0"/>
              <w:marTop w:val="0"/>
              <w:marBottom w:val="0"/>
              <w:divBdr>
                <w:top w:val="none" w:sz="0" w:space="0" w:color="auto"/>
                <w:left w:val="none" w:sz="0" w:space="0" w:color="auto"/>
                <w:bottom w:val="none" w:sz="0" w:space="0" w:color="auto"/>
                <w:right w:val="none" w:sz="0" w:space="0" w:color="auto"/>
              </w:divBdr>
            </w:div>
          </w:divsChild>
        </w:div>
        <w:div w:id="1778910074">
          <w:marLeft w:val="0"/>
          <w:marRight w:val="0"/>
          <w:marTop w:val="0"/>
          <w:marBottom w:val="0"/>
          <w:divBdr>
            <w:top w:val="none" w:sz="0" w:space="0" w:color="auto"/>
            <w:left w:val="none" w:sz="0" w:space="0" w:color="auto"/>
            <w:bottom w:val="none" w:sz="0" w:space="0" w:color="auto"/>
            <w:right w:val="none" w:sz="0" w:space="0" w:color="auto"/>
          </w:divBdr>
        </w:div>
        <w:div w:id="1800418960">
          <w:marLeft w:val="0"/>
          <w:marRight w:val="0"/>
          <w:marTop w:val="0"/>
          <w:marBottom w:val="0"/>
          <w:divBdr>
            <w:top w:val="none" w:sz="0" w:space="0" w:color="auto"/>
            <w:left w:val="none" w:sz="0" w:space="0" w:color="auto"/>
            <w:bottom w:val="none" w:sz="0" w:space="0" w:color="auto"/>
            <w:right w:val="none" w:sz="0" w:space="0" w:color="auto"/>
          </w:divBdr>
        </w:div>
        <w:div w:id="1993869894">
          <w:marLeft w:val="0"/>
          <w:marRight w:val="0"/>
          <w:marTop w:val="0"/>
          <w:marBottom w:val="0"/>
          <w:divBdr>
            <w:top w:val="none" w:sz="0" w:space="0" w:color="auto"/>
            <w:left w:val="none" w:sz="0" w:space="0" w:color="auto"/>
            <w:bottom w:val="none" w:sz="0" w:space="0" w:color="auto"/>
            <w:right w:val="none" w:sz="0" w:space="0" w:color="auto"/>
          </w:divBdr>
        </w:div>
        <w:div w:id="2081705558">
          <w:marLeft w:val="0"/>
          <w:marRight w:val="0"/>
          <w:marTop w:val="0"/>
          <w:marBottom w:val="0"/>
          <w:divBdr>
            <w:top w:val="none" w:sz="0" w:space="0" w:color="auto"/>
            <w:left w:val="none" w:sz="0" w:space="0" w:color="auto"/>
            <w:bottom w:val="none" w:sz="0" w:space="0" w:color="auto"/>
            <w:right w:val="none" w:sz="0" w:space="0" w:color="auto"/>
          </w:divBdr>
        </w:div>
        <w:div w:id="2119136997">
          <w:marLeft w:val="0"/>
          <w:marRight w:val="0"/>
          <w:marTop w:val="0"/>
          <w:marBottom w:val="0"/>
          <w:divBdr>
            <w:top w:val="none" w:sz="0" w:space="0" w:color="auto"/>
            <w:left w:val="none" w:sz="0" w:space="0" w:color="auto"/>
            <w:bottom w:val="none" w:sz="0" w:space="0" w:color="auto"/>
            <w:right w:val="none" w:sz="0" w:space="0" w:color="auto"/>
          </w:divBdr>
        </w:div>
        <w:div w:id="2128430229">
          <w:marLeft w:val="0"/>
          <w:marRight w:val="0"/>
          <w:marTop w:val="0"/>
          <w:marBottom w:val="0"/>
          <w:divBdr>
            <w:top w:val="none" w:sz="0" w:space="0" w:color="auto"/>
            <w:left w:val="none" w:sz="0" w:space="0" w:color="auto"/>
            <w:bottom w:val="none" w:sz="0" w:space="0" w:color="auto"/>
            <w:right w:val="none" w:sz="0" w:space="0" w:color="auto"/>
          </w:divBdr>
        </w:div>
      </w:divsChild>
    </w:div>
    <w:div w:id="175073684">
      <w:bodyDiv w:val="1"/>
      <w:marLeft w:val="0"/>
      <w:marRight w:val="0"/>
      <w:marTop w:val="0"/>
      <w:marBottom w:val="0"/>
      <w:divBdr>
        <w:top w:val="none" w:sz="0" w:space="0" w:color="auto"/>
        <w:left w:val="none" w:sz="0" w:space="0" w:color="auto"/>
        <w:bottom w:val="none" w:sz="0" w:space="0" w:color="auto"/>
        <w:right w:val="none" w:sz="0" w:space="0" w:color="auto"/>
      </w:divBdr>
    </w:div>
    <w:div w:id="193151053">
      <w:bodyDiv w:val="1"/>
      <w:marLeft w:val="0"/>
      <w:marRight w:val="0"/>
      <w:marTop w:val="0"/>
      <w:marBottom w:val="0"/>
      <w:divBdr>
        <w:top w:val="none" w:sz="0" w:space="0" w:color="auto"/>
        <w:left w:val="none" w:sz="0" w:space="0" w:color="auto"/>
        <w:bottom w:val="none" w:sz="0" w:space="0" w:color="auto"/>
        <w:right w:val="none" w:sz="0" w:space="0" w:color="auto"/>
      </w:divBdr>
    </w:div>
    <w:div w:id="206380020">
      <w:bodyDiv w:val="1"/>
      <w:marLeft w:val="0"/>
      <w:marRight w:val="0"/>
      <w:marTop w:val="0"/>
      <w:marBottom w:val="0"/>
      <w:divBdr>
        <w:top w:val="none" w:sz="0" w:space="0" w:color="auto"/>
        <w:left w:val="none" w:sz="0" w:space="0" w:color="auto"/>
        <w:bottom w:val="none" w:sz="0" w:space="0" w:color="auto"/>
        <w:right w:val="none" w:sz="0" w:space="0" w:color="auto"/>
      </w:divBdr>
      <w:divsChild>
        <w:div w:id="1748335445">
          <w:marLeft w:val="0"/>
          <w:marRight w:val="0"/>
          <w:marTop w:val="0"/>
          <w:marBottom w:val="0"/>
          <w:divBdr>
            <w:top w:val="none" w:sz="0" w:space="0" w:color="auto"/>
            <w:left w:val="none" w:sz="0" w:space="0" w:color="auto"/>
            <w:bottom w:val="none" w:sz="0" w:space="0" w:color="auto"/>
            <w:right w:val="none" w:sz="0" w:space="0" w:color="auto"/>
          </w:divBdr>
          <w:divsChild>
            <w:div w:id="1483233706">
              <w:marLeft w:val="0"/>
              <w:marRight w:val="0"/>
              <w:marTop w:val="0"/>
              <w:marBottom w:val="0"/>
              <w:divBdr>
                <w:top w:val="none" w:sz="0" w:space="0" w:color="auto"/>
                <w:left w:val="none" w:sz="0" w:space="0" w:color="auto"/>
                <w:bottom w:val="none" w:sz="0" w:space="0" w:color="auto"/>
                <w:right w:val="none" w:sz="0" w:space="0" w:color="auto"/>
              </w:divBdr>
              <w:divsChild>
                <w:div w:id="169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1096">
      <w:bodyDiv w:val="1"/>
      <w:marLeft w:val="0"/>
      <w:marRight w:val="0"/>
      <w:marTop w:val="0"/>
      <w:marBottom w:val="0"/>
      <w:divBdr>
        <w:top w:val="none" w:sz="0" w:space="0" w:color="auto"/>
        <w:left w:val="none" w:sz="0" w:space="0" w:color="auto"/>
        <w:bottom w:val="none" w:sz="0" w:space="0" w:color="auto"/>
        <w:right w:val="none" w:sz="0" w:space="0" w:color="auto"/>
      </w:divBdr>
      <w:divsChild>
        <w:div w:id="129399443">
          <w:marLeft w:val="0"/>
          <w:marRight w:val="0"/>
          <w:marTop w:val="150"/>
          <w:marBottom w:val="150"/>
          <w:divBdr>
            <w:top w:val="none" w:sz="0" w:space="0" w:color="auto"/>
            <w:left w:val="none" w:sz="0" w:space="0" w:color="auto"/>
            <w:bottom w:val="none" w:sz="0" w:space="0" w:color="auto"/>
            <w:right w:val="none" w:sz="0" w:space="0" w:color="auto"/>
          </w:divBdr>
        </w:div>
        <w:div w:id="1606692857">
          <w:marLeft w:val="0"/>
          <w:marRight w:val="0"/>
          <w:marTop w:val="0"/>
          <w:marBottom w:val="75"/>
          <w:divBdr>
            <w:top w:val="none" w:sz="0" w:space="0" w:color="auto"/>
            <w:left w:val="none" w:sz="0" w:space="0" w:color="auto"/>
            <w:bottom w:val="none" w:sz="0" w:space="0" w:color="auto"/>
            <w:right w:val="none" w:sz="0" w:space="0" w:color="auto"/>
          </w:divBdr>
        </w:div>
      </w:divsChild>
    </w:div>
    <w:div w:id="270478753">
      <w:bodyDiv w:val="1"/>
      <w:marLeft w:val="0"/>
      <w:marRight w:val="0"/>
      <w:marTop w:val="0"/>
      <w:marBottom w:val="0"/>
      <w:divBdr>
        <w:top w:val="none" w:sz="0" w:space="0" w:color="auto"/>
        <w:left w:val="none" w:sz="0" w:space="0" w:color="auto"/>
        <w:bottom w:val="none" w:sz="0" w:space="0" w:color="auto"/>
        <w:right w:val="none" w:sz="0" w:space="0" w:color="auto"/>
      </w:divBdr>
    </w:div>
    <w:div w:id="272715138">
      <w:bodyDiv w:val="1"/>
      <w:marLeft w:val="0"/>
      <w:marRight w:val="0"/>
      <w:marTop w:val="0"/>
      <w:marBottom w:val="0"/>
      <w:divBdr>
        <w:top w:val="none" w:sz="0" w:space="0" w:color="auto"/>
        <w:left w:val="none" w:sz="0" w:space="0" w:color="auto"/>
        <w:bottom w:val="none" w:sz="0" w:space="0" w:color="auto"/>
        <w:right w:val="none" w:sz="0" w:space="0" w:color="auto"/>
      </w:divBdr>
    </w:div>
    <w:div w:id="387807849">
      <w:bodyDiv w:val="1"/>
      <w:marLeft w:val="0"/>
      <w:marRight w:val="0"/>
      <w:marTop w:val="0"/>
      <w:marBottom w:val="0"/>
      <w:divBdr>
        <w:top w:val="none" w:sz="0" w:space="0" w:color="auto"/>
        <w:left w:val="none" w:sz="0" w:space="0" w:color="auto"/>
        <w:bottom w:val="none" w:sz="0" w:space="0" w:color="auto"/>
        <w:right w:val="none" w:sz="0" w:space="0" w:color="auto"/>
      </w:divBdr>
    </w:div>
    <w:div w:id="394201898">
      <w:bodyDiv w:val="1"/>
      <w:marLeft w:val="0"/>
      <w:marRight w:val="0"/>
      <w:marTop w:val="0"/>
      <w:marBottom w:val="0"/>
      <w:divBdr>
        <w:top w:val="none" w:sz="0" w:space="0" w:color="auto"/>
        <w:left w:val="none" w:sz="0" w:space="0" w:color="auto"/>
        <w:bottom w:val="none" w:sz="0" w:space="0" w:color="auto"/>
        <w:right w:val="none" w:sz="0" w:space="0" w:color="auto"/>
      </w:divBdr>
      <w:divsChild>
        <w:div w:id="2009628615">
          <w:marLeft w:val="0"/>
          <w:marRight w:val="0"/>
          <w:marTop w:val="0"/>
          <w:marBottom w:val="0"/>
          <w:divBdr>
            <w:top w:val="none" w:sz="0" w:space="0" w:color="auto"/>
            <w:left w:val="none" w:sz="0" w:space="0" w:color="auto"/>
            <w:bottom w:val="none" w:sz="0" w:space="0" w:color="auto"/>
            <w:right w:val="none" w:sz="0" w:space="0" w:color="auto"/>
          </w:divBdr>
          <w:divsChild>
            <w:div w:id="1065835246">
              <w:marLeft w:val="0"/>
              <w:marRight w:val="0"/>
              <w:marTop w:val="0"/>
              <w:marBottom w:val="0"/>
              <w:divBdr>
                <w:top w:val="none" w:sz="0" w:space="0" w:color="auto"/>
                <w:left w:val="none" w:sz="0" w:space="0" w:color="auto"/>
                <w:bottom w:val="none" w:sz="0" w:space="0" w:color="auto"/>
                <w:right w:val="none" w:sz="0" w:space="0" w:color="auto"/>
              </w:divBdr>
              <w:divsChild>
                <w:div w:id="1699500616">
                  <w:marLeft w:val="0"/>
                  <w:marRight w:val="0"/>
                  <w:marTop w:val="0"/>
                  <w:marBottom w:val="0"/>
                  <w:divBdr>
                    <w:top w:val="none" w:sz="0" w:space="0" w:color="auto"/>
                    <w:left w:val="none" w:sz="0" w:space="0" w:color="auto"/>
                    <w:bottom w:val="none" w:sz="0" w:space="0" w:color="auto"/>
                    <w:right w:val="none" w:sz="0" w:space="0" w:color="auto"/>
                  </w:divBdr>
                  <w:divsChild>
                    <w:div w:id="12001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2188">
      <w:bodyDiv w:val="1"/>
      <w:marLeft w:val="0"/>
      <w:marRight w:val="0"/>
      <w:marTop w:val="0"/>
      <w:marBottom w:val="0"/>
      <w:divBdr>
        <w:top w:val="none" w:sz="0" w:space="0" w:color="auto"/>
        <w:left w:val="none" w:sz="0" w:space="0" w:color="auto"/>
        <w:bottom w:val="none" w:sz="0" w:space="0" w:color="auto"/>
        <w:right w:val="none" w:sz="0" w:space="0" w:color="auto"/>
      </w:divBdr>
      <w:divsChild>
        <w:div w:id="2129542666">
          <w:marLeft w:val="0"/>
          <w:marRight w:val="0"/>
          <w:marTop w:val="0"/>
          <w:marBottom w:val="0"/>
          <w:divBdr>
            <w:top w:val="none" w:sz="0" w:space="0" w:color="auto"/>
            <w:left w:val="none" w:sz="0" w:space="0" w:color="auto"/>
            <w:bottom w:val="none" w:sz="0" w:space="0" w:color="auto"/>
            <w:right w:val="none" w:sz="0" w:space="0" w:color="auto"/>
          </w:divBdr>
          <w:divsChild>
            <w:div w:id="553541368">
              <w:marLeft w:val="0"/>
              <w:marRight w:val="0"/>
              <w:marTop w:val="0"/>
              <w:marBottom w:val="0"/>
              <w:divBdr>
                <w:top w:val="none" w:sz="0" w:space="0" w:color="auto"/>
                <w:left w:val="none" w:sz="0" w:space="0" w:color="auto"/>
                <w:bottom w:val="none" w:sz="0" w:space="0" w:color="auto"/>
                <w:right w:val="none" w:sz="0" w:space="0" w:color="auto"/>
              </w:divBdr>
              <w:divsChild>
                <w:div w:id="1201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4213">
      <w:bodyDiv w:val="1"/>
      <w:marLeft w:val="0"/>
      <w:marRight w:val="0"/>
      <w:marTop w:val="0"/>
      <w:marBottom w:val="0"/>
      <w:divBdr>
        <w:top w:val="none" w:sz="0" w:space="0" w:color="auto"/>
        <w:left w:val="none" w:sz="0" w:space="0" w:color="auto"/>
        <w:bottom w:val="none" w:sz="0" w:space="0" w:color="auto"/>
        <w:right w:val="none" w:sz="0" w:space="0" w:color="auto"/>
      </w:divBdr>
    </w:div>
    <w:div w:id="521363209">
      <w:bodyDiv w:val="1"/>
      <w:marLeft w:val="0"/>
      <w:marRight w:val="0"/>
      <w:marTop w:val="0"/>
      <w:marBottom w:val="0"/>
      <w:divBdr>
        <w:top w:val="none" w:sz="0" w:space="0" w:color="auto"/>
        <w:left w:val="none" w:sz="0" w:space="0" w:color="auto"/>
        <w:bottom w:val="none" w:sz="0" w:space="0" w:color="auto"/>
        <w:right w:val="none" w:sz="0" w:space="0" w:color="auto"/>
      </w:divBdr>
    </w:div>
    <w:div w:id="591281227">
      <w:bodyDiv w:val="1"/>
      <w:marLeft w:val="0"/>
      <w:marRight w:val="0"/>
      <w:marTop w:val="0"/>
      <w:marBottom w:val="0"/>
      <w:divBdr>
        <w:top w:val="none" w:sz="0" w:space="0" w:color="auto"/>
        <w:left w:val="none" w:sz="0" w:space="0" w:color="auto"/>
        <w:bottom w:val="none" w:sz="0" w:space="0" w:color="auto"/>
        <w:right w:val="none" w:sz="0" w:space="0" w:color="auto"/>
      </w:divBdr>
      <w:divsChild>
        <w:div w:id="1253708909">
          <w:marLeft w:val="0"/>
          <w:marRight w:val="0"/>
          <w:marTop w:val="0"/>
          <w:marBottom w:val="0"/>
          <w:divBdr>
            <w:top w:val="none" w:sz="0" w:space="0" w:color="auto"/>
            <w:left w:val="none" w:sz="0" w:space="0" w:color="auto"/>
            <w:bottom w:val="none" w:sz="0" w:space="0" w:color="auto"/>
            <w:right w:val="none" w:sz="0" w:space="0" w:color="auto"/>
          </w:divBdr>
          <w:divsChild>
            <w:div w:id="1171337765">
              <w:marLeft w:val="0"/>
              <w:marRight w:val="0"/>
              <w:marTop w:val="0"/>
              <w:marBottom w:val="0"/>
              <w:divBdr>
                <w:top w:val="none" w:sz="0" w:space="0" w:color="auto"/>
                <w:left w:val="none" w:sz="0" w:space="0" w:color="auto"/>
                <w:bottom w:val="none" w:sz="0" w:space="0" w:color="auto"/>
                <w:right w:val="none" w:sz="0" w:space="0" w:color="auto"/>
              </w:divBdr>
              <w:divsChild>
                <w:div w:id="1756438091">
                  <w:marLeft w:val="0"/>
                  <w:marRight w:val="0"/>
                  <w:marTop w:val="0"/>
                  <w:marBottom w:val="0"/>
                  <w:divBdr>
                    <w:top w:val="none" w:sz="0" w:space="0" w:color="auto"/>
                    <w:left w:val="none" w:sz="0" w:space="0" w:color="auto"/>
                    <w:bottom w:val="none" w:sz="0" w:space="0" w:color="auto"/>
                    <w:right w:val="none" w:sz="0" w:space="0" w:color="auto"/>
                  </w:divBdr>
                  <w:divsChild>
                    <w:div w:id="7761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67104">
      <w:bodyDiv w:val="1"/>
      <w:marLeft w:val="0"/>
      <w:marRight w:val="0"/>
      <w:marTop w:val="0"/>
      <w:marBottom w:val="0"/>
      <w:divBdr>
        <w:top w:val="none" w:sz="0" w:space="0" w:color="auto"/>
        <w:left w:val="none" w:sz="0" w:space="0" w:color="auto"/>
        <w:bottom w:val="none" w:sz="0" w:space="0" w:color="auto"/>
        <w:right w:val="none" w:sz="0" w:space="0" w:color="auto"/>
      </w:divBdr>
    </w:div>
    <w:div w:id="609706343">
      <w:bodyDiv w:val="1"/>
      <w:marLeft w:val="0"/>
      <w:marRight w:val="0"/>
      <w:marTop w:val="0"/>
      <w:marBottom w:val="0"/>
      <w:divBdr>
        <w:top w:val="none" w:sz="0" w:space="0" w:color="auto"/>
        <w:left w:val="none" w:sz="0" w:space="0" w:color="auto"/>
        <w:bottom w:val="none" w:sz="0" w:space="0" w:color="auto"/>
        <w:right w:val="none" w:sz="0" w:space="0" w:color="auto"/>
      </w:divBdr>
    </w:div>
    <w:div w:id="638345961">
      <w:bodyDiv w:val="1"/>
      <w:marLeft w:val="0"/>
      <w:marRight w:val="0"/>
      <w:marTop w:val="0"/>
      <w:marBottom w:val="0"/>
      <w:divBdr>
        <w:top w:val="none" w:sz="0" w:space="0" w:color="auto"/>
        <w:left w:val="none" w:sz="0" w:space="0" w:color="auto"/>
        <w:bottom w:val="none" w:sz="0" w:space="0" w:color="auto"/>
        <w:right w:val="none" w:sz="0" w:space="0" w:color="auto"/>
      </w:divBdr>
    </w:div>
    <w:div w:id="648100663">
      <w:bodyDiv w:val="1"/>
      <w:marLeft w:val="0"/>
      <w:marRight w:val="0"/>
      <w:marTop w:val="0"/>
      <w:marBottom w:val="0"/>
      <w:divBdr>
        <w:top w:val="none" w:sz="0" w:space="0" w:color="auto"/>
        <w:left w:val="none" w:sz="0" w:space="0" w:color="auto"/>
        <w:bottom w:val="none" w:sz="0" w:space="0" w:color="auto"/>
        <w:right w:val="none" w:sz="0" w:space="0" w:color="auto"/>
      </w:divBdr>
    </w:div>
    <w:div w:id="707224507">
      <w:bodyDiv w:val="1"/>
      <w:marLeft w:val="0"/>
      <w:marRight w:val="0"/>
      <w:marTop w:val="0"/>
      <w:marBottom w:val="0"/>
      <w:divBdr>
        <w:top w:val="none" w:sz="0" w:space="0" w:color="auto"/>
        <w:left w:val="none" w:sz="0" w:space="0" w:color="auto"/>
        <w:bottom w:val="none" w:sz="0" w:space="0" w:color="auto"/>
        <w:right w:val="none" w:sz="0" w:space="0" w:color="auto"/>
      </w:divBdr>
      <w:divsChild>
        <w:div w:id="813765010">
          <w:marLeft w:val="0"/>
          <w:marRight w:val="0"/>
          <w:marTop w:val="0"/>
          <w:marBottom w:val="0"/>
          <w:divBdr>
            <w:top w:val="none" w:sz="0" w:space="0" w:color="auto"/>
            <w:left w:val="none" w:sz="0" w:space="0" w:color="auto"/>
            <w:bottom w:val="none" w:sz="0" w:space="0" w:color="auto"/>
            <w:right w:val="none" w:sz="0" w:space="0" w:color="auto"/>
          </w:divBdr>
          <w:divsChild>
            <w:div w:id="1743478465">
              <w:marLeft w:val="0"/>
              <w:marRight w:val="0"/>
              <w:marTop w:val="0"/>
              <w:marBottom w:val="0"/>
              <w:divBdr>
                <w:top w:val="none" w:sz="0" w:space="0" w:color="auto"/>
                <w:left w:val="none" w:sz="0" w:space="0" w:color="auto"/>
                <w:bottom w:val="none" w:sz="0" w:space="0" w:color="auto"/>
                <w:right w:val="none" w:sz="0" w:space="0" w:color="auto"/>
              </w:divBdr>
              <w:divsChild>
                <w:div w:id="87969872">
                  <w:marLeft w:val="0"/>
                  <w:marRight w:val="0"/>
                  <w:marTop w:val="0"/>
                  <w:marBottom w:val="0"/>
                  <w:divBdr>
                    <w:top w:val="none" w:sz="0" w:space="0" w:color="auto"/>
                    <w:left w:val="none" w:sz="0" w:space="0" w:color="auto"/>
                    <w:bottom w:val="none" w:sz="0" w:space="0" w:color="auto"/>
                    <w:right w:val="none" w:sz="0" w:space="0" w:color="auto"/>
                  </w:divBdr>
                </w:div>
                <w:div w:id="8818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1267">
      <w:bodyDiv w:val="1"/>
      <w:marLeft w:val="0"/>
      <w:marRight w:val="0"/>
      <w:marTop w:val="0"/>
      <w:marBottom w:val="0"/>
      <w:divBdr>
        <w:top w:val="none" w:sz="0" w:space="0" w:color="auto"/>
        <w:left w:val="none" w:sz="0" w:space="0" w:color="auto"/>
        <w:bottom w:val="none" w:sz="0" w:space="0" w:color="auto"/>
        <w:right w:val="none" w:sz="0" w:space="0" w:color="auto"/>
      </w:divBdr>
      <w:divsChild>
        <w:div w:id="169375070">
          <w:marLeft w:val="0"/>
          <w:marRight w:val="0"/>
          <w:marTop w:val="0"/>
          <w:marBottom w:val="0"/>
          <w:divBdr>
            <w:top w:val="none" w:sz="0" w:space="0" w:color="auto"/>
            <w:left w:val="none" w:sz="0" w:space="0" w:color="auto"/>
            <w:bottom w:val="none" w:sz="0" w:space="0" w:color="auto"/>
            <w:right w:val="none" w:sz="0" w:space="0" w:color="auto"/>
          </w:divBdr>
        </w:div>
        <w:div w:id="284310200">
          <w:marLeft w:val="0"/>
          <w:marRight w:val="0"/>
          <w:marTop w:val="0"/>
          <w:marBottom w:val="0"/>
          <w:divBdr>
            <w:top w:val="none" w:sz="0" w:space="0" w:color="auto"/>
            <w:left w:val="none" w:sz="0" w:space="0" w:color="auto"/>
            <w:bottom w:val="none" w:sz="0" w:space="0" w:color="auto"/>
            <w:right w:val="none" w:sz="0" w:space="0" w:color="auto"/>
          </w:divBdr>
        </w:div>
        <w:div w:id="361710201">
          <w:marLeft w:val="0"/>
          <w:marRight w:val="0"/>
          <w:marTop w:val="0"/>
          <w:marBottom w:val="0"/>
          <w:divBdr>
            <w:top w:val="none" w:sz="0" w:space="0" w:color="auto"/>
            <w:left w:val="none" w:sz="0" w:space="0" w:color="auto"/>
            <w:bottom w:val="none" w:sz="0" w:space="0" w:color="auto"/>
            <w:right w:val="none" w:sz="0" w:space="0" w:color="auto"/>
          </w:divBdr>
        </w:div>
        <w:div w:id="602542532">
          <w:marLeft w:val="0"/>
          <w:marRight w:val="0"/>
          <w:marTop w:val="0"/>
          <w:marBottom w:val="0"/>
          <w:divBdr>
            <w:top w:val="none" w:sz="0" w:space="0" w:color="auto"/>
            <w:left w:val="none" w:sz="0" w:space="0" w:color="auto"/>
            <w:bottom w:val="none" w:sz="0" w:space="0" w:color="auto"/>
            <w:right w:val="none" w:sz="0" w:space="0" w:color="auto"/>
          </w:divBdr>
        </w:div>
        <w:div w:id="756946324">
          <w:marLeft w:val="0"/>
          <w:marRight w:val="0"/>
          <w:marTop w:val="0"/>
          <w:marBottom w:val="0"/>
          <w:divBdr>
            <w:top w:val="none" w:sz="0" w:space="0" w:color="auto"/>
            <w:left w:val="none" w:sz="0" w:space="0" w:color="auto"/>
            <w:bottom w:val="none" w:sz="0" w:space="0" w:color="auto"/>
            <w:right w:val="none" w:sz="0" w:space="0" w:color="auto"/>
          </w:divBdr>
        </w:div>
        <w:div w:id="775565995">
          <w:marLeft w:val="0"/>
          <w:marRight w:val="0"/>
          <w:marTop w:val="0"/>
          <w:marBottom w:val="0"/>
          <w:divBdr>
            <w:top w:val="none" w:sz="0" w:space="0" w:color="auto"/>
            <w:left w:val="none" w:sz="0" w:space="0" w:color="auto"/>
            <w:bottom w:val="none" w:sz="0" w:space="0" w:color="auto"/>
            <w:right w:val="none" w:sz="0" w:space="0" w:color="auto"/>
          </w:divBdr>
        </w:div>
        <w:div w:id="803540749">
          <w:marLeft w:val="0"/>
          <w:marRight w:val="0"/>
          <w:marTop w:val="0"/>
          <w:marBottom w:val="0"/>
          <w:divBdr>
            <w:top w:val="none" w:sz="0" w:space="0" w:color="auto"/>
            <w:left w:val="none" w:sz="0" w:space="0" w:color="auto"/>
            <w:bottom w:val="none" w:sz="0" w:space="0" w:color="auto"/>
            <w:right w:val="none" w:sz="0" w:space="0" w:color="auto"/>
          </w:divBdr>
        </w:div>
        <w:div w:id="1026905922">
          <w:marLeft w:val="0"/>
          <w:marRight w:val="0"/>
          <w:marTop w:val="0"/>
          <w:marBottom w:val="0"/>
          <w:divBdr>
            <w:top w:val="none" w:sz="0" w:space="0" w:color="auto"/>
            <w:left w:val="none" w:sz="0" w:space="0" w:color="auto"/>
            <w:bottom w:val="none" w:sz="0" w:space="0" w:color="auto"/>
            <w:right w:val="none" w:sz="0" w:space="0" w:color="auto"/>
          </w:divBdr>
        </w:div>
        <w:div w:id="1047145974">
          <w:marLeft w:val="0"/>
          <w:marRight w:val="0"/>
          <w:marTop w:val="0"/>
          <w:marBottom w:val="0"/>
          <w:divBdr>
            <w:top w:val="none" w:sz="0" w:space="0" w:color="auto"/>
            <w:left w:val="none" w:sz="0" w:space="0" w:color="auto"/>
            <w:bottom w:val="none" w:sz="0" w:space="0" w:color="auto"/>
            <w:right w:val="none" w:sz="0" w:space="0" w:color="auto"/>
          </w:divBdr>
        </w:div>
        <w:div w:id="1073510888">
          <w:marLeft w:val="0"/>
          <w:marRight w:val="0"/>
          <w:marTop w:val="0"/>
          <w:marBottom w:val="0"/>
          <w:divBdr>
            <w:top w:val="none" w:sz="0" w:space="0" w:color="auto"/>
            <w:left w:val="none" w:sz="0" w:space="0" w:color="auto"/>
            <w:bottom w:val="none" w:sz="0" w:space="0" w:color="auto"/>
            <w:right w:val="none" w:sz="0" w:space="0" w:color="auto"/>
          </w:divBdr>
        </w:div>
        <w:div w:id="1131480296">
          <w:marLeft w:val="0"/>
          <w:marRight w:val="0"/>
          <w:marTop w:val="0"/>
          <w:marBottom w:val="0"/>
          <w:divBdr>
            <w:top w:val="none" w:sz="0" w:space="0" w:color="auto"/>
            <w:left w:val="none" w:sz="0" w:space="0" w:color="auto"/>
            <w:bottom w:val="none" w:sz="0" w:space="0" w:color="auto"/>
            <w:right w:val="none" w:sz="0" w:space="0" w:color="auto"/>
          </w:divBdr>
        </w:div>
        <w:div w:id="1161576230">
          <w:marLeft w:val="0"/>
          <w:marRight w:val="0"/>
          <w:marTop w:val="0"/>
          <w:marBottom w:val="0"/>
          <w:divBdr>
            <w:top w:val="none" w:sz="0" w:space="0" w:color="auto"/>
            <w:left w:val="none" w:sz="0" w:space="0" w:color="auto"/>
            <w:bottom w:val="none" w:sz="0" w:space="0" w:color="auto"/>
            <w:right w:val="none" w:sz="0" w:space="0" w:color="auto"/>
          </w:divBdr>
        </w:div>
        <w:div w:id="1170831762">
          <w:marLeft w:val="0"/>
          <w:marRight w:val="0"/>
          <w:marTop w:val="0"/>
          <w:marBottom w:val="0"/>
          <w:divBdr>
            <w:top w:val="none" w:sz="0" w:space="0" w:color="auto"/>
            <w:left w:val="none" w:sz="0" w:space="0" w:color="auto"/>
            <w:bottom w:val="none" w:sz="0" w:space="0" w:color="auto"/>
            <w:right w:val="none" w:sz="0" w:space="0" w:color="auto"/>
          </w:divBdr>
        </w:div>
        <w:div w:id="1286696020">
          <w:marLeft w:val="0"/>
          <w:marRight w:val="0"/>
          <w:marTop w:val="0"/>
          <w:marBottom w:val="0"/>
          <w:divBdr>
            <w:top w:val="none" w:sz="0" w:space="0" w:color="auto"/>
            <w:left w:val="none" w:sz="0" w:space="0" w:color="auto"/>
            <w:bottom w:val="none" w:sz="0" w:space="0" w:color="auto"/>
            <w:right w:val="none" w:sz="0" w:space="0" w:color="auto"/>
          </w:divBdr>
        </w:div>
        <w:div w:id="1374890315">
          <w:marLeft w:val="0"/>
          <w:marRight w:val="0"/>
          <w:marTop w:val="0"/>
          <w:marBottom w:val="0"/>
          <w:divBdr>
            <w:top w:val="none" w:sz="0" w:space="0" w:color="auto"/>
            <w:left w:val="none" w:sz="0" w:space="0" w:color="auto"/>
            <w:bottom w:val="none" w:sz="0" w:space="0" w:color="auto"/>
            <w:right w:val="none" w:sz="0" w:space="0" w:color="auto"/>
          </w:divBdr>
        </w:div>
        <w:div w:id="1419057585">
          <w:marLeft w:val="0"/>
          <w:marRight w:val="0"/>
          <w:marTop w:val="0"/>
          <w:marBottom w:val="0"/>
          <w:divBdr>
            <w:top w:val="none" w:sz="0" w:space="0" w:color="auto"/>
            <w:left w:val="none" w:sz="0" w:space="0" w:color="auto"/>
            <w:bottom w:val="none" w:sz="0" w:space="0" w:color="auto"/>
            <w:right w:val="none" w:sz="0" w:space="0" w:color="auto"/>
          </w:divBdr>
        </w:div>
        <w:div w:id="1631594004">
          <w:marLeft w:val="0"/>
          <w:marRight w:val="0"/>
          <w:marTop w:val="0"/>
          <w:marBottom w:val="0"/>
          <w:divBdr>
            <w:top w:val="none" w:sz="0" w:space="0" w:color="auto"/>
            <w:left w:val="none" w:sz="0" w:space="0" w:color="auto"/>
            <w:bottom w:val="none" w:sz="0" w:space="0" w:color="auto"/>
            <w:right w:val="none" w:sz="0" w:space="0" w:color="auto"/>
          </w:divBdr>
        </w:div>
        <w:div w:id="1782676823">
          <w:marLeft w:val="0"/>
          <w:marRight w:val="0"/>
          <w:marTop w:val="0"/>
          <w:marBottom w:val="0"/>
          <w:divBdr>
            <w:top w:val="none" w:sz="0" w:space="0" w:color="auto"/>
            <w:left w:val="none" w:sz="0" w:space="0" w:color="auto"/>
            <w:bottom w:val="none" w:sz="0" w:space="0" w:color="auto"/>
            <w:right w:val="none" w:sz="0" w:space="0" w:color="auto"/>
          </w:divBdr>
        </w:div>
        <w:div w:id="1785880062">
          <w:marLeft w:val="0"/>
          <w:marRight w:val="0"/>
          <w:marTop w:val="0"/>
          <w:marBottom w:val="0"/>
          <w:divBdr>
            <w:top w:val="none" w:sz="0" w:space="0" w:color="auto"/>
            <w:left w:val="none" w:sz="0" w:space="0" w:color="auto"/>
            <w:bottom w:val="none" w:sz="0" w:space="0" w:color="auto"/>
            <w:right w:val="none" w:sz="0" w:space="0" w:color="auto"/>
          </w:divBdr>
        </w:div>
        <w:div w:id="1862814357">
          <w:marLeft w:val="0"/>
          <w:marRight w:val="0"/>
          <w:marTop w:val="0"/>
          <w:marBottom w:val="0"/>
          <w:divBdr>
            <w:top w:val="none" w:sz="0" w:space="0" w:color="auto"/>
            <w:left w:val="none" w:sz="0" w:space="0" w:color="auto"/>
            <w:bottom w:val="none" w:sz="0" w:space="0" w:color="auto"/>
            <w:right w:val="none" w:sz="0" w:space="0" w:color="auto"/>
          </w:divBdr>
        </w:div>
        <w:div w:id="1919364182">
          <w:marLeft w:val="0"/>
          <w:marRight w:val="0"/>
          <w:marTop w:val="0"/>
          <w:marBottom w:val="0"/>
          <w:divBdr>
            <w:top w:val="none" w:sz="0" w:space="0" w:color="auto"/>
            <w:left w:val="none" w:sz="0" w:space="0" w:color="auto"/>
            <w:bottom w:val="none" w:sz="0" w:space="0" w:color="auto"/>
            <w:right w:val="none" w:sz="0" w:space="0" w:color="auto"/>
          </w:divBdr>
        </w:div>
        <w:div w:id="1939097752">
          <w:marLeft w:val="0"/>
          <w:marRight w:val="0"/>
          <w:marTop w:val="0"/>
          <w:marBottom w:val="0"/>
          <w:divBdr>
            <w:top w:val="none" w:sz="0" w:space="0" w:color="auto"/>
            <w:left w:val="none" w:sz="0" w:space="0" w:color="auto"/>
            <w:bottom w:val="none" w:sz="0" w:space="0" w:color="auto"/>
            <w:right w:val="none" w:sz="0" w:space="0" w:color="auto"/>
          </w:divBdr>
        </w:div>
        <w:div w:id="2092652441">
          <w:marLeft w:val="0"/>
          <w:marRight w:val="0"/>
          <w:marTop w:val="0"/>
          <w:marBottom w:val="0"/>
          <w:divBdr>
            <w:top w:val="none" w:sz="0" w:space="0" w:color="auto"/>
            <w:left w:val="none" w:sz="0" w:space="0" w:color="auto"/>
            <w:bottom w:val="none" w:sz="0" w:space="0" w:color="auto"/>
            <w:right w:val="none" w:sz="0" w:space="0" w:color="auto"/>
          </w:divBdr>
        </w:div>
      </w:divsChild>
    </w:div>
    <w:div w:id="724522482">
      <w:bodyDiv w:val="1"/>
      <w:marLeft w:val="0"/>
      <w:marRight w:val="0"/>
      <w:marTop w:val="0"/>
      <w:marBottom w:val="0"/>
      <w:divBdr>
        <w:top w:val="none" w:sz="0" w:space="0" w:color="auto"/>
        <w:left w:val="none" w:sz="0" w:space="0" w:color="auto"/>
        <w:bottom w:val="none" w:sz="0" w:space="0" w:color="auto"/>
        <w:right w:val="none" w:sz="0" w:space="0" w:color="auto"/>
      </w:divBdr>
      <w:divsChild>
        <w:div w:id="1211041944">
          <w:marLeft w:val="0"/>
          <w:marRight w:val="0"/>
          <w:marTop w:val="0"/>
          <w:marBottom w:val="0"/>
          <w:divBdr>
            <w:top w:val="none" w:sz="0" w:space="0" w:color="auto"/>
            <w:left w:val="none" w:sz="0" w:space="0" w:color="auto"/>
            <w:bottom w:val="none" w:sz="0" w:space="0" w:color="auto"/>
            <w:right w:val="none" w:sz="0" w:space="0" w:color="auto"/>
          </w:divBdr>
          <w:divsChild>
            <w:div w:id="1335453532">
              <w:marLeft w:val="0"/>
              <w:marRight w:val="0"/>
              <w:marTop w:val="0"/>
              <w:marBottom w:val="0"/>
              <w:divBdr>
                <w:top w:val="none" w:sz="0" w:space="0" w:color="auto"/>
                <w:left w:val="none" w:sz="0" w:space="0" w:color="auto"/>
                <w:bottom w:val="none" w:sz="0" w:space="0" w:color="auto"/>
                <w:right w:val="none" w:sz="0" w:space="0" w:color="auto"/>
              </w:divBdr>
              <w:divsChild>
                <w:div w:id="1370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3895">
      <w:bodyDiv w:val="1"/>
      <w:marLeft w:val="0"/>
      <w:marRight w:val="0"/>
      <w:marTop w:val="0"/>
      <w:marBottom w:val="0"/>
      <w:divBdr>
        <w:top w:val="none" w:sz="0" w:space="0" w:color="auto"/>
        <w:left w:val="none" w:sz="0" w:space="0" w:color="auto"/>
        <w:bottom w:val="none" w:sz="0" w:space="0" w:color="auto"/>
        <w:right w:val="none" w:sz="0" w:space="0" w:color="auto"/>
      </w:divBdr>
    </w:div>
    <w:div w:id="878784348">
      <w:bodyDiv w:val="1"/>
      <w:marLeft w:val="0"/>
      <w:marRight w:val="0"/>
      <w:marTop w:val="0"/>
      <w:marBottom w:val="0"/>
      <w:divBdr>
        <w:top w:val="none" w:sz="0" w:space="0" w:color="auto"/>
        <w:left w:val="none" w:sz="0" w:space="0" w:color="auto"/>
        <w:bottom w:val="none" w:sz="0" w:space="0" w:color="auto"/>
        <w:right w:val="none" w:sz="0" w:space="0" w:color="auto"/>
      </w:divBdr>
    </w:div>
    <w:div w:id="892236327">
      <w:bodyDiv w:val="1"/>
      <w:marLeft w:val="0"/>
      <w:marRight w:val="0"/>
      <w:marTop w:val="0"/>
      <w:marBottom w:val="0"/>
      <w:divBdr>
        <w:top w:val="none" w:sz="0" w:space="0" w:color="auto"/>
        <w:left w:val="none" w:sz="0" w:space="0" w:color="auto"/>
        <w:bottom w:val="none" w:sz="0" w:space="0" w:color="auto"/>
        <w:right w:val="none" w:sz="0" w:space="0" w:color="auto"/>
      </w:divBdr>
      <w:divsChild>
        <w:div w:id="475221119">
          <w:marLeft w:val="0"/>
          <w:marRight w:val="0"/>
          <w:marTop w:val="0"/>
          <w:marBottom w:val="0"/>
          <w:divBdr>
            <w:top w:val="none" w:sz="0" w:space="0" w:color="auto"/>
            <w:left w:val="none" w:sz="0" w:space="0" w:color="auto"/>
            <w:bottom w:val="none" w:sz="0" w:space="0" w:color="auto"/>
            <w:right w:val="none" w:sz="0" w:space="0" w:color="auto"/>
          </w:divBdr>
          <w:divsChild>
            <w:div w:id="343748218">
              <w:marLeft w:val="0"/>
              <w:marRight w:val="0"/>
              <w:marTop w:val="0"/>
              <w:marBottom w:val="0"/>
              <w:divBdr>
                <w:top w:val="none" w:sz="0" w:space="0" w:color="auto"/>
                <w:left w:val="none" w:sz="0" w:space="0" w:color="auto"/>
                <w:bottom w:val="none" w:sz="0" w:space="0" w:color="auto"/>
                <w:right w:val="none" w:sz="0" w:space="0" w:color="auto"/>
              </w:divBdr>
              <w:divsChild>
                <w:div w:id="759375945">
                  <w:marLeft w:val="0"/>
                  <w:marRight w:val="0"/>
                  <w:marTop w:val="0"/>
                  <w:marBottom w:val="0"/>
                  <w:divBdr>
                    <w:top w:val="none" w:sz="0" w:space="0" w:color="auto"/>
                    <w:left w:val="none" w:sz="0" w:space="0" w:color="auto"/>
                    <w:bottom w:val="none" w:sz="0" w:space="0" w:color="auto"/>
                    <w:right w:val="none" w:sz="0" w:space="0" w:color="auto"/>
                  </w:divBdr>
                </w:div>
              </w:divsChild>
            </w:div>
            <w:div w:id="1897934748">
              <w:marLeft w:val="0"/>
              <w:marRight w:val="0"/>
              <w:marTop w:val="0"/>
              <w:marBottom w:val="0"/>
              <w:divBdr>
                <w:top w:val="none" w:sz="0" w:space="0" w:color="auto"/>
                <w:left w:val="none" w:sz="0" w:space="0" w:color="auto"/>
                <w:bottom w:val="none" w:sz="0" w:space="0" w:color="auto"/>
                <w:right w:val="none" w:sz="0" w:space="0" w:color="auto"/>
              </w:divBdr>
              <w:divsChild>
                <w:div w:id="411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965">
          <w:marLeft w:val="0"/>
          <w:marRight w:val="0"/>
          <w:marTop w:val="0"/>
          <w:marBottom w:val="0"/>
          <w:divBdr>
            <w:top w:val="none" w:sz="0" w:space="0" w:color="auto"/>
            <w:left w:val="none" w:sz="0" w:space="0" w:color="auto"/>
            <w:bottom w:val="none" w:sz="0" w:space="0" w:color="auto"/>
            <w:right w:val="none" w:sz="0" w:space="0" w:color="auto"/>
          </w:divBdr>
          <w:divsChild>
            <w:div w:id="218326859">
              <w:marLeft w:val="0"/>
              <w:marRight w:val="0"/>
              <w:marTop w:val="0"/>
              <w:marBottom w:val="0"/>
              <w:divBdr>
                <w:top w:val="none" w:sz="0" w:space="0" w:color="auto"/>
                <w:left w:val="none" w:sz="0" w:space="0" w:color="auto"/>
                <w:bottom w:val="none" w:sz="0" w:space="0" w:color="auto"/>
                <w:right w:val="none" w:sz="0" w:space="0" w:color="auto"/>
              </w:divBdr>
              <w:divsChild>
                <w:div w:id="164826160">
                  <w:marLeft w:val="0"/>
                  <w:marRight w:val="0"/>
                  <w:marTop w:val="0"/>
                  <w:marBottom w:val="0"/>
                  <w:divBdr>
                    <w:top w:val="none" w:sz="0" w:space="0" w:color="auto"/>
                    <w:left w:val="none" w:sz="0" w:space="0" w:color="auto"/>
                    <w:bottom w:val="none" w:sz="0" w:space="0" w:color="auto"/>
                    <w:right w:val="none" w:sz="0" w:space="0" w:color="auto"/>
                  </w:divBdr>
                </w:div>
                <w:div w:id="215243492">
                  <w:marLeft w:val="0"/>
                  <w:marRight w:val="0"/>
                  <w:marTop w:val="0"/>
                  <w:marBottom w:val="0"/>
                  <w:divBdr>
                    <w:top w:val="none" w:sz="0" w:space="0" w:color="auto"/>
                    <w:left w:val="none" w:sz="0" w:space="0" w:color="auto"/>
                    <w:bottom w:val="none" w:sz="0" w:space="0" w:color="auto"/>
                    <w:right w:val="none" w:sz="0" w:space="0" w:color="auto"/>
                  </w:divBdr>
                </w:div>
              </w:divsChild>
            </w:div>
            <w:div w:id="983581995">
              <w:marLeft w:val="0"/>
              <w:marRight w:val="0"/>
              <w:marTop w:val="0"/>
              <w:marBottom w:val="0"/>
              <w:divBdr>
                <w:top w:val="none" w:sz="0" w:space="0" w:color="auto"/>
                <w:left w:val="none" w:sz="0" w:space="0" w:color="auto"/>
                <w:bottom w:val="none" w:sz="0" w:space="0" w:color="auto"/>
                <w:right w:val="none" w:sz="0" w:space="0" w:color="auto"/>
              </w:divBdr>
              <w:divsChild>
                <w:div w:id="18813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6699">
      <w:bodyDiv w:val="1"/>
      <w:marLeft w:val="0"/>
      <w:marRight w:val="0"/>
      <w:marTop w:val="0"/>
      <w:marBottom w:val="0"/>
      <w:divBdr>
        <w:top w:val="none" w:sz="0" w:space="0" w:color="auto"/>
        <w:left w:val="none" w:sz="0" w:space="0" w:color="auto"/>
        <w:bottom w:val="none" w:sz="0" w:space="0" w:color="auto"/>
        <w:right w:val="none" w:sz="0" w:space="0" w:color="auto"/>
      </w:divBdr>
    </w:div>
    <w:div w:id="963149082">
      <w:bodyDiv w:val="1"/>
      <w:marLeft w:val="0"/>
      <w:marRight w:val="0"/>
      <w:marTop w:val="0"/>
      <w:marBottom w:val="0"/>
      <w:divBdr>
        <w:top w:val="none" w:sz="0" w:space="0" w:color="auto"/>
        <w:left w:val="none" w:sz="0" w:space="0" w:color="auto"/>
        <w:bottom w:val="none" w:sz="0" w:space="0" w:color="auto"/>
        <w:right w:val="none" w:sz="0" w:space="0" w:color="auto"/>
      </w:divBdr>
    </w:div>
    <w:div w:id="1071587633">
      <w:bodyDiv w:val="1"/>
      <w:marLeft w:val="0"/>
      <w:marRight w:val="0"/>
      <w:marTop w:val="0"/>
      <w:marBottom w:val="0"/>
      <w:divBdr>
        <w:top w:val="none" w:sz="0" w:space="0" w:color="auto"/>
        <w:left w:val="none" w:sz="0" w:space="0" w:color="auto"/>
        <w:bottom w:val="none" w:sz="0" w:space="0" w:color="auto"/>
        <w:right w:val="none" w:sz="0" w:space="0" w:color="auto"/>
      </w:divBdr>
    </w:div>
    <w:div w:id="1108044081">
      <w:bodyDiv w:val="1"/>
      <w:marLeft w:val="0"/>
      <w:marRight w:val="0"/>
      <w:marTop w:val="0"/>
      <w:marBottom w:val="0"/>
      <w:divBdr>
        <w:top w:val="none" w:sz="0" w:space="0" w:color="auto"/>
        <w:left w:val="none" w:sz="0" w:space="0" w:color="auto"/>
        <w:bottom w:val="none" w:sz="0" w:space="0" w:color="auto"/>
        <w:right w:val="none" w:sz="0" w:space="0" w:color="auto"/>
      </w:divBdr>
      <w:divsChild>
        <w:div w:id="1781295844">
          <w:marLeft w:val="0"/>
          <w:marRight w:val="0"/>
          <w:marTop w:val="0"/>
          <w:marBottom w:val="0"/>
          <w:divBdr>
            <w:top w:val="none" w:sz="0" w:space="0" w:color="auto"/>
            <w:left w:val="none" w:sz="0" w:space="0" w:color="auto"/>
            <w:bottom w:val="none" w:sz="0" w:space="0" w:color="auto"/>
            <w:right w:val="none" w:sz="0" w:space="0" w:color="auto"/>
          </w:divBdr>
          <w:divsChild>
            <w:div w:id="2124685971">
              <w:marLeft w:val="0"/>
              <w:marRight w:val="0"/>
              <w:marTop w:val="0"/>
              <w:marBottom w:val="0"/>
              <w:divBdr>
                <w:top w:val="none" w:sz="0" w:space="0" w:color="auto"/>
                <w:left w:val="none" w:sz="0" w:space="0" w:color="auto"/>
                <w:bottom w:val="none" w:sz="0" w:space="0" w:color="auto"/>
                <w:right w:val="none" w:sz="0" w:space="0" w:color="auto"/>
              </w:divBdr>
              <w:divsChild>
                <w:div w:id="103964932">
                  <w:marLeft w:val="0"/>
                  <w:marRight w:val="0"/>
                  <w:marTop w:val="0"/>
                  <w:marBottom w:val="0"/>
                  <w:divBdr>
                    <w:top w:val="none" w:sz="0" w:space="0" w:color="auto"/>
                    <w:left w:val="none" w:sz="0" w:space="0" w:color="auto"/>
                    <w:bottom w:val="none" w:sz="0" w:space="0" w:color="auto"/>
                    <w:right w:val="none" w:sz="0" w:space="0" w:color="auto"/>
                  </w:divBdr>
                  <w:divsChild>
                    <w:div w:id="11544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1593">
      <w:bodyDiv w:val="1"/>
      <w:marLeft w:val="0"/>
      <w:marRight w:val="0"/>
      <w:marTop w:val="0"/>
      <w:marBottom w:val="0"/>
      <w:divBdr>
        <w:top w:val="none" w:sz="0" w:space="0" w:color="auto"/>
        <w:left w:val="none" w:sz="0" w:space="0" w:color="auto"/>
        <w:bottom w:val="none" w:sz="0" w:space="0" w:color="auto"/>
        <w:right w:val="none" w:sz="0" w:space="0" w:color="auto"/>
      </w:divBdr>
      <w:divsChild>
        <w:div w:id="1129668853">
          <w:marLeft w:val="60"/>
          <w:marRight w:val="60"/>
          <w:marTop w:val="0"/>
          <w:marBottom w:val="0"/>
          <w:divBdr>
            <w:top w:val="none" w:sz="0" w:space="0" w:color="auto"/>
            <w:left w:val="none" w:sz="0" w:space="0" w:color="auto"/>
            <w:bottom w:val="none" w:sz="0" w:space="0" w:color="auto"/>
            <w:right w:val="none" w:sz="0" w:space="0" w:color="auto"/>
          </w:divBdr>
        </w:div>
      </w:divsChild>
    </w:div>
    <w:div w:id="1350445629">
      <w:bodyDiv w:val="1"/>
      <w:marLeft w:val="0"/>
      <w:marRight w:val="0"/>
      <w:marTop w:val="0"/>
      <w:marBottom w:val="0"/>
      <w:divBdr>
        <w:top w:val="none" w:sz="0" w:space="0" w:color="auto"/>
        <w:left w:val="none" w:sz="0" w:space="0" w:color="auto"/>
        <w:bottom w:val="none" w:sz="0" w:space="0" w:color="auto"/>
        <w:right w:val="none" w:sz="0" w:space="0" w:color="auto"/>
      </w:divBdr>
    </w:div>
    <w:div w:id="1459954136">
      <w:bodyDiv w:val="1"/>
      <w:marLeft w:val="0"/>
      <w:marRight w:val="0"/>
      <w:marTop w:val="0"/>
      <w:marBottom w:val="0"/>
      <w:divBdr>
        <w:top w:val="none" w:sz="0" w:space="0" w:color="auto"/>
        <w:left w:val="none" w:sz="0" w:space="0" w:color="auto"/>
        <w:bottom w:val="none" w:sz="0" w:space="0" w:color="auto"/>
        <w:right w:val="none" w:sz="0" w:space="0" w:color="auto"/>
      </w:divBdr>
      <w:divsChild>
        <w:div w:id="1722897423">
          <w:marLeft w:val="0"/>
          <w:marRight w:val="0"/>
          <w:marTop w:val="0"/>
          <w:marBottom w:val="0"/>
          <w:divBdr>
            <w:top w:val="none" w:sz="0" w:space="0" w:color="auto"/>
            <w:left w:val="none" w:sz="0" w:space="0" w:color="auto"/>
            <w:bottom w:val="none" w:sz="0" w:space="0" w:color="auto"/>
            <w:right w:val="none" w:sz="0" w:space="0" w:color="auto"/>
          </w:divBdr>
          <w:divsChild>
            <w:div w:id="551232520">
              <w:marLeft w:val="0"/>
              <w:marRight w:val="0"/>
              <w:marTop w:val="0"/>
              <w:marBottom w:val="0"/>
              <w:divBdr>
                <w:top w:val="none" w:sz="0" w:space="0" w:color="auto"/>
                <w:left w:val="none" w:sz="0" w:space="0" w:color="auto"/>
                <w:bottom w:val="none" w:sz="0" w:space="0" w:color="auto"/>
                <w:right w:val="none" w:sz="0" w:space="0" w:color="auto"/>
              </w:divBdr>
              <w:divsChild>
                <w:div w:id="2143956195">
                  <w:marLeft w:val="0"/>
                  <w:marRight w:val="0"/>
                  <w:marTop w:val="0"/>
                  <w:marBottom w:val="0"/>
                  <w:divBdr>
                    <w:top w:val="none" w:sz="0" w:space="0" w:color="auto"/>
                    <w:left w:val="none" w:sz="0" w:space="0" w:color="auto"/>
                    <w:bottom w:val="none" w:sz="0" w:space="0" w:color="auto"/>
                    <w:right w:val="none" w:sz="0" w:space="0" w:color="auto"/>
                  </w:divBdr>
                  <w:divsChild>
                    <w:div w:id="1159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90130">
      <w:bodyDiv w:val="1"/>
      <w:marLeft w:val="0"/>
      <w:marRight w:val="0"/>
      <w:marTop w:val="0"/>
      <w:marBottom w:val="0"/>
      <w:divBdr>
        <w:top w:val="none" w:sz="0" w:space="0" w:color="auto"/>
        <w:left w:val="none" w:sz="0" w:space="0" w:color="auto"/>
        <w:bottom w:val="none" w:sz="0" w:space="0" w:color="auto"/>
        <w:right w:val="none" w:sz="0" w:space="0" w:color="auto"/>
      </w:divBdr>
    </w:div>
    <w:div w:id="1494443842">
      <w:bodyDiv w:val="1"/>
      <w:marLeft w:val="0"/>
      <w:marRight w:val="0"/>
      <w:marTop w:val="0"/>
      <w:marBottom w:val="0"/>
      <w:divBdr>
        <w:top w:val="none" w:sz="0" w:space="0" w:color="auto"/>
        <w:left w:val="none" w:sz="0" w:space="0" w:color="auto"/>
        <w:bottom w:val="none" w:sz="0" w:space="0" w:color="auto"/>
        <w:right w:val="none" w:sz="0" w:space="0" w:color="auto"/>
      </w:divBdr>
      <w:divsChild>
        <w:div w:id="8258233">
          <w:marLeft w:val="0"/>
          <w:marRight w:val="0"/>
          <w:marTop w:val="0"/>
          <w:marBottom w:val="0"/>
          <w:divBdr>
            <w:top w:val="none" w:sz="0" w:space="0" w:color="auto"/>
            <w:left w:val="none" w:sz="0" w:space="0" w:color="auto"/>
            <w:bottom w:val="none" w:sz="0" w:space="0" w:color="auto"/>
            <w:right w:val="none" w:sz="0" w:space="0" w:color="auto"/>
          </w:divBdr>
        </w:div>
        <w:div w:id="36206669">
          <w:marLeft w:val="0"/>
          <w:marRight w:val="0"/>
          <w:marTop w:val="0"/>
          <w:marBottom w:val="0"/>
          <w:divBdr>
            <w:top w:val="none" w:sz="0" w:space="0" w:color="auto"/>
            <w:left w:val="none" w:sz="0" w:space="0" w:color="auto"/>
            <w:bottom w:val="none" w:sz="0" w:space="0" w:color="auto"/>
            <w:right w:val="none" w:sz="0" w:space="0" w:color="auto"/>
          </w:divBdr>
        </w:div>
        <w:div w:id="128593217">
          <w:marLeft w:val="0"/>
          <w:marRight w:val="0"/>
          <w:marTop w:val="0"/>
          <w:marBottom w:val="0"/>
          <w:divBdr>
            <w:top w:val="none" w:sz="0" w:space="0" w:color="auto"/>
            <w:left w:val="none" w:sz="0" w:space="0" w:color="auto"/>
            <w:bottom w:val="none" w:sz="0" w:space="0" w:color="auto"/>
            <w:right w:val="none" w:sz="0" w:space="0" w:color="auto"/>
          </w:divBdr>
        </w:div>
        <w:div w:id="172300723">
          <w:marLeft w:val="0"/>
          <w:marRight w:val="0"/>
          <w:marTop w:val="0"/>
          <w:marBottom w:val="0"/>
          <w:divBdr>
            <w:top w:val="none" w:sz="0" w:space="0" w:color="auto"/>
            <w:left w:val="none" w:sz="0" w:space="0" w:color="auto"/>
            <w:bottom w:val="none" w:sz="0" w:space="0" w:color="auto"/>
            <w:right w:val="none" w:sz="0" w:space="0" w:color="auto"/>
          </w:divBdr>
        </w:div>
        <w:div w:id="313946616">
          <w:marLeft w:val="0"/>
          <w:marRight w:val="0"/>
          <w:marTop w:val="0"/>
          <w:marBottom w:val="0"/>
          <w:divBdr>
            <w:top w:val="none" w:sz="0" w:space="0" w:color="auto"/>
            <w:left w:val="none" w:sz="0" w:space="0" w:color="auto"/>
            <w:bottom w:val="none" w:sz="0" w:space="0" w:color="auto"/>
            <w:right w:val="none" w:sz="0" w:space="0" w:color="auto"/>
          </w:divBdr>
        </w:div>
        <w:div w:id="316225530">
          <w:marLeft w:val="0"/>
          <w:marRight w:val="0"/>
          <w:marTop w:val="0"/>
          <w:marBottom w:val="0"/>
          <w:divBdr>
            <w:top w:val="none" w:sz="0" w:space="0" w:color="auto"/>
            <w:left w:val="none" w:sz="0" w:space="0" w:color="auto"/>
            <w:bottom w:val="none" w:sz="0" w:space="0" w:color="auto"/>
            <w:right w:val="none" w:sz="0" w:space="0" w:color="auto"/>
          </w:divBdr>
        </w:div>
        <w:div w:id="330528933">
          <w:marLeft w:val="0"/>
          <w:marRight w:val="0"/>
          <w:marTop w:val="0"/>
          <w:marBottom w:val="0"/>
          <w:divBdr>
            <w:top w:val="none" w:sz="0" w:space="0" w:color="auto"/>
            <w:left w:val="none" w:sz="0" w:space="0" w:color="auto"/>
            <w:bottom w:val="none" w:sz="0" w:space="0" w:color="auto"/>
            <w:right w:val="none" w:sz="0" w:space="0" w:color="auto"/>
          </w:divBdr>
        </w:div>
        <w:div w:id="342250290">
          <w:marLeft w:val="0"/>
          <w:marRight w:val="0"/>
          <w:marTop w:val="0"/>
          <w:marBottom w:val="0"/>
          <w:divBdr>
            <w:top w:val="none" w:sz="0" w:space="0" w:color="auto"/>
            <w:left w:val="none" w:sz="0" w:space="0" w:color="auto"/>
            <w:bottom w:val="none" w:sz="0" w:space="0" w:color="auto"/>
            <w:right w:val="none" w:sz="0" w:space="0" w:color="auto"/>
          </w:divBdr>
        </w:div>
        <w:div w:id="460613206">
          <w:marLeft w:val="0"/>
          <w:marRight w:val="0"/>
          <w:marTop w:val="0"/>
          <w:marBottom w:val="0"/>
          <w:divBdr>
            <w:top w:val="none" w:sz="0" w:space="0" w:color="auto"/>
            <w:left w:val="none" w:sz="0" w:space="0" w:color="auto"/>
            <w:bottom w:val="none" w:sz="0" w:space="0" w:color="auto"/>
            <w:right w:val="none" w:sz="0" w:space="0" w:color="auto"/>
          </w:divBdr>
        </w:div>
        <w:div w:id="486558487">
          <w:marLeft w:val="0"/>
          <w:marRight w:val="0"/>
          <w:marTop w:val="0"/>
          <w:marBottom w:val="0"/>
          <w:divBdr>
            <w:top w:val="none" w:sz="0" w:space="0" w:color="auto"/>
            <w:left w:val="none" w:sz="0" w:space="0" w:color="auto"/>
            <w:bottom w:val="none" w:sz="0" w:space="0" w:color="auto"/>
            <w:right w:val="none" w:sz="0" w:space="0" w:color="auto"/>
          </w:divBdr>
          <w:divsChild>
            <w:div w:id="97525376">
              <w:marLeft w:val="0"/>
              <w:marRight w:val="0"/>
              <w:marTop w:val="0"/>
              <w:marBottom w:val="0"/>
              <w:divBdr>
                <w:top w:val="none" w:sz="0" w:space="0" w:color="auto"/>
                <w:left w:val="none" w:sz="0" w:space="0" w:color="auto"/>
                <w:bottom w:val="none" w:sz="0" w:space="0" w:color="auto"/>
                <w:right w:val="none" w:sz="0" w:space="0" w:color="auto"/>
              </w:divBdr>
            </w:div>
            <w:div w:id="1787112351">
              <w:marLeft w:val="0"/>
              <w:marRight w:val="0"/>
              <w:marTop w:val="0"/>
              <w:marBottom w:val="0"/>
              <w:divBdr>
                <w:top w:val="none" w:sz="0" w:space="0" w:color="auto"/>
                <w:left w:val="none" w:sz="0" w:space="0" w:color="auto"/>
                <w:bottom w:val="none" w:sz="0" w:space="0" w:color="auto"/>
                <w:right w:val="none" w:sz="0" w:space="0" w:color="auto"/>
              </w:divBdr>
            </w:div>
          </w:divsChild>
        </w:div>
        <w:div w:id="562183936">
          <w:marLeft w:val="0"/>
          <w:marRight w:val="0"/>
          <w:marTop w:val="0"/>
          <w:marBottom w:val="0"/>
          <w:divBdr>
            <w:top w:val="none" w:sz="0" w:space="0" w:color="auto"/>
            <w:left w:val="none" w:sz="0" w:space="0" w:color="auto"/>
            <w:bottom w:val="none" w:sz="0" w:space="0" w:color="auto"/>
            <w:right w:val="none" w:sz="0" w:space="0" w:color="auto"/>
          </w:divBdr>
        </w:div>
        <w:div w:id="617108762">
          <w:marLeft w:val="0"/>
          <w:marRight w:val="0"/>
          <w:marTop w:val="0"/>
          <w:marBottom w:val="0"/>
          <w:divBdr>
            <w:top w:val="none" w:sz="0" w:space="0" w:color="auto"/>
            <w:left w:val="none" w:sz="0" w:space="0" w:color="auto"/>
            <w:bottom w:val="none" w:sz="0" w:space="0" w:color="auto"/>
            <w:right w:val="none" w:sz="0" w:space="0" w:color="auto"/>
          </w:divBdr>
        </w:div>
        <w:div w:id="709651911">
          <w:marLeft w:val="0"/>
          <w:marRight w:val="0"/>
          <w:marTop w:val="0"/>
          <w:marBottom w:val="0"/>
          <w:divBdr>
            <w:top w:val="none" w:sz="0" w:space="0" w:color="auto"/>
            <w:left w:val="none" w:sz="0" w:space="0" w:color="auto"/>
            <w:bottom w:val="none" w:sz="0" w:space="0" w:color="auto"/>
            <w:right w:val="none" w:sz="0" w:space="0" w:color="auto"/>
          </w:divBdr>
        </w:div>
        <w:div w:id="717050398">
          <w:marLeft w:val="0"/>
          <w:marRight w:val="0"/>
          <w:marTop w:val="0"/>
          <w:marBottom w:val="0"/>
          <w:divBdr>
            <w:top w:val="none" w:sz="0" w:space="0" w:color="auto"/>
            <w:left w:val="none" w:sz="0" w:space="0" w:color="auto"/>
            <w:bottom w:val="none" w:sz="0" w:space="0" w:color="auto"/>
            <w:right w:val="none" w:sz="0" w:space="0" w:color="auto"/>
          </w:divBdr>
        </w:div>
        <w:div w:id="752118344">
          <w:marLeft w:val="0"/>
          <w:marRight w:val="0"/>
          <w:marTop w:val="0"/>
          <w:marBottom w:val="0"/>
          <w:divBdr>
            <w:top w:val="none" w:sz="0" w:space="0" w:color="auto"/>
            <w:left w:val="none" w:sz="0" w:space="0" w:color="auto"/>
            <w:bottom w:val="none" w:sz="0" w:space="0" w:color="auto"/>
            <w:right w:val="none" w:sz="0" w:space="0" w:color="auto"/>
          </w:divBdr>
          <w:divsChild>
            <w:div w:id="103424701">
              <w:marLeft w:val="0"/>
              <w:marRight w:val="0"/>
              <w:marTop w:val="0"/>
              <w:marBottom w:val="0"/>
              <w:divBdr>
                <w:top w:val="none" w:sz="0" w:space="0" w:color="auto"/>
                <w:left w:val="none" w:sz="0" w:space="0" w:color="auto"/>
                <w:bottom w:val="none" w:sz="0" w:space="0" w:color="auto"/>
                <w:right w:val="none" w:sz="0" w:space="0" w:color="auto"/>
              </w:divBdr>
            </w:div>
            <w:div w:id="645666774">
              <w:marLeft w:val="0"/>
              <w:marRight w:val="0"/>
              <w:marTop w:val="0"/>
              <w:marBottom w:val="0"/>
              <w:divBdr>
                <w:top w:val="none" w:sz="0" w:space="0" w:color="auto"/>
                <w:left w:val="none" w:sz="0" w:space="0" w:color="auto"/>
                <w:bottom w:val="none" w:sz="0" w:space="0" w:color="auto"/>
                <w:right w:val="none" w:sz="0" w:space="0" w:color="auto"/>
              </w:divBdr>
            </w:div>
            <w:div w:id="1853688947">
              <w:marLeft w:val="0"/>
              <w:marRight w:val="0"/>
              <w:marTop w:val="0"/>
              <w:marBottom w:val="0"/>
              <w:divBdr>
                <w:top w:val="none" w:sz="0" w:space="0" w:color="auto"/>
                <w:left w:val="none" w:sz="0" w:space="0" w:color="auto"/>
                <w:bottom w:val="none" w:sz="0" w:space="0" w:color="auto"/>
                <w:right w:val="none" w:sz="0" w:space="0" w:color="auto"/>
              </w:divBdr>
            </w:div>
          </w:divsChild>
        </w:div>
        <w:div w:id="894897841">
          <w:marLeft w:val="0"/>
          <w:marRight w:val="0"/>
          <w:marTop w:val="0"/>
          <w:marBottom w:val="0"/>
          <w:divBdr>
            <w:top w:val="none" w:sz="0" w:space="0" w:color="auto"/>
            <w:left w:val="none" w:sz="0" w:space="0" w:color="auto"/>
            <w:bottom w:val="none" w:sz="0" w:space="0" w:color="auto"/>
            <w:right w:val="none" w:sz="0" w:space="0" w:color="auto"/>
          </w:divBdr>
        </w:div>
        <w:div w:id="900021572">
          <w:marLeft w:val="0"/>
          <w:marRight w:val="0"/>
          <w:marTop w:val="0"/>
          <w:marBottom w:val="0"/>
          <w:divBdr>
            <w:top w:val="none" w:sz="0" w:space="0" w:color="auto"/>
            <w:left w:val="none" w:sz="0" w:space="0" w:color="auto"/>
            <w:bottom w:val="none" w:sz="0" w:space="0" w:color="auto"/>
            <w:right w:val="none" w:sz="0" w:space="0" w:color="auto"/>
          </w:divBdr>
        </w:div>
        <w:div w:id="926108857">
          <w:marLeft w:val="0"/>
          <w:marRight w:val="0"/>
          <w:marTop w:val="0"/>
          <w:marBottom w:val="0"/>
          <w:divBdr>
            <w:top w:val="none" w:sz="0" w:space="0" w:color="auto"/>
            <w:left w:val="none" w:sz="0" w:space="0" w:color="auto"/>
            <w:bottom w:val="none" w:sz="0" w:space="0" w:color="auto"/>
            <w:right w:val="none" w:sz="0" w:space="0" w:color="auto"/>
          </w:divBdr>
        </w:div>
        <w:div w:id="937566837">
          <w:marLeft w:val="0"/>
          <w:marRight w:val="0"/>
          <w:marTop w:val="0"/>
          <w:marBottom w:val="0"/>
          <w:divBdr>
            <w:top w:val="none" w:sz="0" w:space="0" w:color="auto"/>
            <w:left w:val="none" w:sz="0" w:space="0" w:color="auto"/>
            <w:bottom w:val="none" w:sz="0" w:space="0" w:color="auto"/>
            <w:right w:val="none" w:sz="0" w:space="0" w:color="auto"/>
          </w:divBdr>
        </w:div>
        <w:div w:id="944382214">
          <w:marLeft w:val="0"/>
          <w:marRight w:val="0"/>
          <w:marTop w:val="0"/>
          <w:marBottom w:val="0"/>
          <w:divBdr>
            <w:top w:val="none" w:sz="0" w:space="0" w:color="auto"/>
            <w:left w:val="none" w:sz="0" w:space="0" w:color="auto"/>
            <w:bottom w:val="none" w:sz="0" w:space="0" w:color="auto"/>
            <w:right w:val="none" w:sz="0" w:space="0" w:color="auto"/>
          </w:divBdr>
        </w:div>
        <w:div w:id="1001008456">
          <w:marLeft w:val="0"/>
          <w:marRight w:val="0"/>
          <w:marTop w:val="0"/>
          <w:marBottom w:val="0"/>
          <w:divBdr>
            <w:top w:val="none" w:sz="0" w:space="0" w:color="auto"/>
            <w:left w:val="none" w:sz="0" w:space="0" w:color="auto"/>
            <w:bottom w:val="none" w:sz="0" w:space="0" w:color="auto"/>
            <w:right w:val="none" w:sz="0" w:space="0" w:color="auto"/>
          </w:divBdr>
        </w:div>
        <w:div w:id="1083142609">
          <w:marLeft w:val="0"/>
          <w:marRight w:val="0"/>
          <w:marTop w:val="0"/>
          <w:marBottom w:val="0"/>
          <w:divBdr>
            <w:top w:val="none" w:sz="0" w:space="0" w:color="auto"/>
            <w:left w:val="none" w:sz="0" w:space="0" w:color="auto"/>
            <w:bottom w:val="none" w:sz="0" w:space="0" w:color="auto"/>
            <w:right w:val="none" w:sz="0" w:space="0" w:color="auto"/>
          </w:divBdr>
        </w:div>
        <w:div w:id="1110198499">
          <w:marLeft w:val="0"/>
          <w:marRight w:val="0"/>
          <w:marTop w:val="0"/>
          <w:marBottom w:val="0"/>
          <w:divBdr>
            <w:top w:val="none" w:sz="0" w:space="0" w:color="auto"/>
            <w:left w:val="none" w:sz="0" w:space="0" w:color="auto"/>
            <w:bottom w:val="none" w:sz="0" w:space="0" w:color="auto"/>
            <w:right w:val="none" w:sz="0" w:space="0" w:color="auto"/>
          </w:divBdr>
        </w:div>
        <w:div w:id="1122723002">
          <w:marLeft w:val="0"/>
          <w:marRight w:val="0"/>
          <w:marTop w:val="0"/>
          <w:marBottom w:val="0"/>
          <w:divBdr>
            <w:top w:val="none" w:sz="0" w:space="0" w:color="auto"/>
            <w:left w:val="none" w:sz="0" w:space="0" w:color="auto"/>
            <w:bottom w:val="none" w:sz="0" w:space="0" w:color="auto"/>
            <w:right w:val="none" w:sz="0" w:space="0" w:color="auto"/>
          </w:divBdr>
        </w:div>
        <w:div w:id="1204094400">
          <w:marLeft w:val="0"/>
          <w:marRight w:val="0"/>
          <w:marTop w:val="0"/>
          <w:marBottom w:val="0"/>
          <w:divBdr>
            <w:top w:val="none" w:sz="0" w:space="0" w:color="auto"/>
            <w:left w:val="none" w:sz="0" w:space="0" w:color="auto"/>
            <w:bottom w:val="none" w:sz="0" w:space="0" w:color="auto"/>
            <w:right w:val="none" w:sz="0" w:space="0" w:color="auto"/>
          </w:divBdr>
        </w:div>
        <w:div w:id="1269460197">
          <w:marLeft w:val="0"/>
          <w:marRight w:val="0"/>
          <w:marTop w:val="0"/>
          <w:marBottom w:val="0"/>
          <w:divBdr>
            <w:top w:val="none" w:sz="0" w:space="0" w:color="auto"/>
            <w:left w:val="none" w:sz="0" w:space="0" w:color="auto"/>
            <w:bottom w:val="none" w:sz="0" w:space="0" w:color="auto"/>
            <w:right w:val="none" w:sz="0" w:space="0" w:color="auto"/>
          </w:divBdr>
        </w:div>
        <w:div w:id="1283608172">
          <w:marLeft w:val="0"/>
          <w:marRight w:val="0"/>
          <w:marTop w:val="0"/>
          <w:marBottom w:val="0"/>
          <w:divBdr>
            <w:top w:val="none" w:sz="0" w:space="0" w:color="auto"/>
            <w:left w:val="none" w:sz="0" w:space="0" w:color="auto"/>
            <w:bottom w:val="none" w:sz="0" w:space="0" w:color="auto"/>
            <w:right w:val="none" w:sz="0" w:space="0" w:color="auto"/>
          </w:divBdr>
        </w:div>
        <w:div w:id="1356276147">
          <w:marLeft w:val="0"/>
          <w:marRight w:val="0"/>
          <w:marTop w:val="0"/>
          <w:marBottom w:val="0"/>
          <w:divBdr>
            <w:top w:val="none" w:sz="0" w:space="0" w:color="auto"/>
            <w:left w:val="none" w:sz="0" w:space="0" w:color="auto"/>
            <w:bottom w:val="none" w:sz="0" w:space="0" w:color="auto"/>
            <w:right w:val="none" w:sz="0" w:space="0" w:color="auto"/>
          </w:divBdr>
        </w:div>
        <w:div w:id="1394963364">
          <w:marLeft w:val="0"/>
          <w:marRight w:val="0"/>
          <w:marTop w:val="0"/>
          <w:marBottom w:val="0"/>
          <w:divBdr>
            <w:top w:val="none" w:sz="0" w:space="0" w:color="auto"/>
            <w:left w:val="none" w:sz="0" w:space="0" w:color="auto"/>
            <w:bottom w:val="none" w:sz="0" w:space="0" w:color="auto"/>
            <w:right w:val="none" w:sz="0" w:space="0" w:color="auto"/>
          </w:divBdr>
          <w:divsChild>
            <w:div w:id="862404955">
              <w:marLeft w:val="0"/>
              <w:marRight w:val="0"/>
              <w:marTop w:val="0"/>
              <w:marBottom w:val="0"/>
              <w:divBdr>
                <w:top w:val="none" w:sz="0" w:space="0" w:color="auto"/>
                <w:left w:val="none" w:sz="0" w:space="0" w:color="auto"/>
                <w:bottom w:val="none" w:sz="0" w:space="0" w:color="auto"/>
                <w:right w:val="none" w:sz="0" w:space="0" w:color="auto"/>
              </w:divBdr>
            </w:div>
            <w:div w:id="1691446311">
              <w:marLeft w:val="0"/>
              <w:marRight w:val="0"/>
              <w:marTop w:val="0"/>
              <w:marBottom w:val="0"/>
              <w:divBdr>
                <w:top w:val="none" w:sz="0" w:space="0" w:color="auto"/>
                <w:left w:val="none" w:sz="0" w:space="0" w:color="auto"/>
                <w:bottom w:val="none" w:sz="0" w:space="0" w:color="auto"/>
                <w:right w:val="none" w:sz="0" w:space="0" w:color="auto"/>
              </w:divBdr>
            </w:div>
          </w:divsChild>
        </w:div>
        <w:div w:id="1415280982">
          <w:marLeft w:val="0"/>
          <w:marRight w:val="0"/>
          <w:marTop w:val="0"/>
          <w:marBottom w:val="0"/>
          <w:divBdr>
            <w:top w:val="none" w:sz="0" w:space="0" w:color="auto"/>
            <w:left w:val="none" w:sz="0" w:space="0" w:color="auto"/>
            <w:bottom w:val="none" w:sz="0" w:space="0" w:color="auto"/>
            <w:right w:val="none" w:sz="0" w:space="0" w:color="auto"/>
          </w:divBdr>
          <w:divsChild>
            <w:div w:id="357512197">
              <w:marLeft w:val="0"/>
              <w:marRight w:val="0"/>
              <w:marTop w:val="0"/>
              <w:marBottom w:val="0"/>
              <w:divBdr>
                <w:top w:val="none" w:sz="0" w:space="0" w:color="auto"/>
                <w:left w:val="none" w:sz="0" w:space="0" w:color="auto"/>
                <w:bottom w:val="none" w:sz="0" w:space="0" w:color="auto"/>
                <w:right w:val="none" w:sz="0" w:space="0" w:color="auto"/>
              </w:divBdr>
            </w:div>
            <w:div w:id="841706415">
              <w:marLeft w:val="0"/>
              <w:marRight w:val="0"/>
              <w:marTop w:val="0"/>
              <w:marBottom w:val="0"/>
              <w:divBdr>
                <w:top w:val="none" w:sz="0" w:space="0" w:color="auto"/>
                <w:left w:val="none" w:sz="0" w:space="0" w:color="auto"/>
                <w:bottom w:val="none" w:sz="0" w:space="0" w:color="auto"/>
                <w:right w:val="none" w:sz="0" w:space="0" w:color="auto"/>
              </w:divBdr>
            </w:div>
            <w:div w:id="1128821126">
              <w:marLeft w:val="0"/>
              <w:marRight w:val="0"/>
              <w:marTop w:val="0"/>
              <w:marBottom w:val="0"/>
              <w:divBdr>
                <w:top w:val="none" w:sz="0" w:space="0" w:color="auto"/>
                <w:left w:val="none" w:sz="0" w:space="0" w:color="auto"/>
                <w:bottom w:val="none" w:sz="0" w:space="0" w:color="auto"/>
                <w:right w:val="none" w:sz="0" w:space="0" w:color="auto"/>
              </w:divBdr>
            </w:div>
          </w:divsChild>
        </w:div>
        <w:div w:id="1420246943">
          <w:marLeft w:val="0"/>
          <w:marRight w:val="0"/>
          <w:marTop w:val="0"/>
          <w:marBottom w:val="0"/>
          <w:divBdr>
            <w:top w:val="none" w:sz="0" w:space="0" w:color="auto"/>
            <w:left w:val="none" w:sz="0" w:space="0" w:color="auto"/>
            <w:bottom w:val="none" w:sz="0" w:space="0" w:color="auto"/>
            <w:right w:val="none" w:sz="0" w:space="0" w:color="auto"/>
          </w:divBdr>
        </w:div>
        <w:div w:id="1420565721">
          <w:marLeft w:val="0"/>
          <w:marRight w:val="0"/>
          <w:marTop w:val="0"/>
          <w:marBottom w:val="0"/>
          <w:divBdr>
            <w:top w:val="none" w:sz="0" w:space="0" w:color="auto"/>
            <w:left w:val="none" w:sz="0" w:space="0" w:color="auto"/>
            <w:bottom w:val="none" w:sz="0" w:space="0" w:color="auto"/>
            <w:right w:val="none" w:sz="0" w:space="0" w:color="auto"/>
          </w:divBdr>
        </w:div>
        <w:div w:id="1423448361">
          <w:marLeft w:val="0"/>
          <w:marRight w:val="0"/>
          <w:marTop w:val="0"/>
          <w:marBottom w:val="0"/>
          <w:divBdr>
            <w:top w:val="none" w:sz="0" w:space="0" w:color="auto"/>
            <w:left w:val="none" w:sz="0" w:space="0" w:color="auto"/>
            <w:bottom w:val="none" w:sz="0" w:space="0" w:color="auto"/>
            <w:right w:val="none" w:sz="0" w:space="0" w:color="auto"/>
          </w:divBdr>
        </w:div>
        <w:div w:id="1459952375">
          <w:marLeft w:val="0"/>
          <w:marRight w:val="0"/>
          <w:marTop w:val="0"/>
          <w:marBottom w:val="0"/>
          <w:divBdr>
            <w:top w:val="none" w:sz="0" w:space="0" w:color="auto"/>
            <w:left w:val="none" w:sz="0" w:space="0" w:color="auto"/>
            <w:bottom w:val="none" w:sz="0" w:space="0" w:color="auto"/>
            <w:right w:val="none" w:sz="0" w:space="0" w:color="auto"/>
          </w:divBdr>
        </w:div>
        <w:div w:id="1460879082">
          <w:marLeft w:val="0"/>
          <w:marRight w:val="0"/>
          <w:marTop w:val="0"/>
          <w:marBottom w:val="0"/>
          <w:divBdr>
            <w:top w:val="none" w:sz="0" w:space="0" w:color="auto"/>
            <w:left w:val="none" w:sz="0" w:space="0" w:color="auto"/>
            <w:bottom w:val="none" w:sz="0" w:space="0" w:color="auto"/>
            <w:right w:val="none" w:sz="0" w:space="0" w:color="auto"/>
          </w:divBdr>
        </w:div>
        <w:div w:id="1491557315">
          <w:marLeft w:val="0"/>
          <w:marRight w:val="0"/>
          <w:marTop w:val="0"/>
          <w:marBottom w:val="0"/>
          <w:divBdr>
            <w:top w:val="none" w:sz="0" w:space="0" w:color="auto"/>
            <w:left w:val="none" w:sz="0" w:space="0" w:color="auto"/>
            <w:bottom w:val="none" w:sz="0" w:space="0" w:color="auto"/>
            <w:right w:val="none" w:sz="0" w:space="0" w:color="auto"/>
          </w:divBdr>
        </w:div>
        <w:div w:id="1543706611">
          <w:marLeft w:val="0"/>
          <w:marRight w:val="0"/>
          <w:marTop w:val="0"/>
          <w:marBottom w:val="0"/>
          <w:divBdr>
            <w:top w:val="none" w:sz="0" w:space="0" w:color="auto"/>
            <w:left w:val="none" w:sz="0" w:space="0" w:color="auto"/>
            <w:bottom w:val="none" w:sz="0" w:space="0" w:color="auto"/>
            <w:right w:val="none" w:sz="0" w:space="0" w:color="auto"/>
          </w:divBdr>
        </w:div>
        <w:div w:id="1579361992">
          <w:marLeft w:val="0"/>
          <w:marRight w:val="0"/>
          <w:marTop w:val="0"/>
          <w:marBottom w:val="0"/>
          <w:divBdr>
            <w:top w:val="none" w:sz="0" w:space="0" w:color="auto"/>
            <w:left w:val="none" w:sz="0" w:space="0" w:color="auto"/>
            <w:bottom w:val="none" w:sz="0" w:space="0" w:color="auto"/>
            <w:right w:val="none" w:sz="0" w:space="0" w:color="auto"/>
          </w:divBdr>
        </w:div>
        <w:div w:id="1649554039">
          <w:marLeft w:val="0"/>
          <w:marRight w:val="0"/>
          <w:marTop w:val="0"/>
          <w:marBottom w:val="0"/>
          <w:divBdr>
            <w:top w:val="none" w:sz="0" w:space="0" w:color="auto"/>
            <w:left w:val="none" w:sz="0" w:space="0" w:color="auto"/>
            <w:bottom w:val="none" w:sz="0" w:space="0" w:color="auto"/>
            <w:right w:val="none" w:sz="0" w:space="0" w:color="auto"/>
          </w:divBdr>
        </w:div>
        <w:div w:id="1698771960">
          <w:marLeft w:val="0"/>
          <w:marRight w:val="0"/>
          <w:marTop w:val="0"/>
          <w:marBottom w:val="0"/>
          <w:divBdr>
            <w:top w:val="none" w:sz="0" w:space="0" w:color="auto"/>
            <w:left w:val="none" w:sz="0" w:space="0" w:color="auto"/>
            <w:bottom w:val="none" w:sz="0" w:space="0" w:color="auto"/>
            <w:right w:val="none" w:sz="0" w:space="0" w:color="auto"/>
          </w:divBdr>
        </w:div>
        <w:div w:id="1709913078">
          <w:marLeft w:val="0"/>
          <w:marRight w:val="0"/>
          <w:marTop w:val="0"/>
          <w:marBottom w:val="0"/>
          <w:divBdr>
            <w:top w:val="none" w:sz="0" w:space="0" w:color="auto"/>
            <w:left w:val="none" w:sz="0" w:space="0" w:color="auto"/>
            <w:bottom w:val="none" w:sz="0" w:space="0" w:color="auto"/>
            <w:right w:val="none" w:sz="0" w:space="0" w:color="auto"/>
          </w:divBdr>
        </w:div>
        <w:div w:id="1795177957">
          <w:marLeft w:val="0"/>
          <w:marRight w:val="0"/>
          <w:marTop w:val="0"/>
          <w:marBottom w:val="0"/>
          <w:divBdr>
            <w:top w:val="none" w:sz="0" w:space="0" w:color="auto"/>
            <w:left w:val="none" w:sz="0" w:space="0" w:color="auto"/>
            <w:bottom w:val="none" w:sz="0" w:space="0" w:color="auto"/>
            <w:right w:val="none" w:sz="0" w:space="0" w:color="auto"/>
          </w:divBdr>
        </w:div>
        <w:div w:id="1833448347">
          <w:marLeft w:val="0"/>
          <w:marRight w:val="0"/>
          <w:marTop w:val="0"/>
          <w:marBottom w:val="0"/>
          <w:divBdr>
            <w:top w:val="none" w:sz="0" w:space="0" w:color="auto"/>
            <w:left w:val="none" w:sz="0" w:space="0" w:color="auto"/>
            <w:bottom w:val="none" w:sz="0" w:space="0" w:color="auto"/>
            <w:right w:val="none" w:sz="0" w:space="0" w:color="auto"/>
          </w:divBdr>
        </w:div>
        <w:div w:id="1858108049">
          <w:marLeft w:val="0"/>
          <w:marRight w:val="0"/>
          <w:marTop w:val="0"/>
          <w:marBottom w:val="0"/>
          <w:divBdr>
            <w:top w:val="none" w:sz="0" w:space="0" w:color="auto"/>
            <w:left w:val="none" w:sz="0" w:space="0" w:color="auto"/>
            <w:bottom w:val="none" w:sz="0" w:space="0" w:color="auto"/>
            <w:right w:val="none" w:sz="0" w:space="0" w:color="auto"/>
          </w:divBdr>
        </w:div>
        <w:div w:id="1858614674">
          <w:marLeft w:val="0"/>
          <w:marRight w:val="0"/>
          <w:marTop w:val="0"/>
          <w:marBottom w:val="0"/>
          <w:divBdr>
            <w:top w:val="none" w:sz="0" w:space="0" w:color="auto"/>
            <w:left w:val="none" w:sz="0" w:space="0" w:color="auto"/>
            <w:bottom w:val="none" w:sz="0" w:space="0" w:color="auto"/>
            <w:right w:val="none" w:sz="0" w:space="0" w:color="auto"/>
          </w:divBdr>
        </w:div>
        <w:div w:id="1878270478">
          <w:marLeft w:val="0"/>
          <w:marRight w:val="0"/>
          <w:marTop w:val="0"/>
          <w:marBottom w:val="0"/>
          <w:divBdr>
            <w:top w:val="none" w:sz="0" w:space="0" w:color="auto"/>
            <w:left w:val="none" w:sz="0" w:space="0" w:color="auto"/>
            <w:bottom w:val="none" w:sz="0" w:space="0" w:color="auto"/>
            <w:right w:val="none" w:sz="0" w:space="0" w:color="auto"/>
          </w:divBdr>
        </w:div>
        <w:div w:id="1896962773">
          <w:marLeft w:val="0"/>
          <w:marRight w:val="0"/>
          <w:marTop w:val="0"/>
          <w:marBottom w:val="0"/>
          <w:divBdr>
            <w:top w:val="none" w:sz="0" w:space="0" w:color="auto"/>
            <w:left w:val="none" w:sz="0" w:space="0" w:color="auto"/>
            <w:bottom w:val="none" w:sz="0" w:space="0" w:color="auto"/>
            <w:right w:val="none" w:sz="0" w:space="0" w:color="auto"/>
          </w:divBdr>
        </w:div>
        <w:div w:id="1994793971">
          <w:marLeft w:val="0"/>
          <w:marRight w:val="0"/>
          <w:marTop w:val="0"/>
          <w:marBottom w:val="0"/>
          <w:divBdr>
            <w:top w:val="none" w:sz="0" w:space="0" w:color="auto"/>
            <w:left w:val="none" w:sz="0" w:space="0" w:color="auto"/>
            <w:bottom w:val="none" w:sz="0" w:space="0" w:color="auto"/>
            <w:right w:val="none" w:sz="0" w:space="0" w:color="auto"/>
          </w:divBdr>
        </w:div>
        <w:div w:id="2022581930">
          <w:marLeft w:val="0"/>
          <w:marRight w:val="0"/>
          <w:marTop w:val="0"/>
          <w:marBottom w:val="0"/>
          <w:divBdr>
            <w:top w:val="none" w:sz="0" w:space="0" w:color="auto"/>
            <w:left w:val="none" w:sz="0" w:space="0" w:color="auto"/>
            <w:bottom w:val="none" w:sz="0" w:space="0" w:color="auto"/>
            <w:right w:val="none" w:sz="0" w:space="0" w:color="auto"/>
          </w:divBdr>
          <w:divsChild>
            <w:div w:id="202834638">
              <w:marLeft w:val="0"/>
              <w:marRight w:val="0"/>
              <w:marTop w:val="0"/>
              <w:marBottom w:val="0"/>
              <w:divBdr>
                <w:top w:val="none" w:sz="0" w:space="0" w:color="auto"/>
                <w:left w:val="none" w:sz="0" w:space="0" w:color="auto"/>
                <w:bottom w:val="none" w:sz="0" w:space="0" w:color="auto"/>
                <w:right w:val="none" w:sz="0" w:space="0" w:color="auto"/>
              </w:divBdr>
            </w:div>
            <w:div w:id="310645738">
              <w:marLeft w:val="0"/>
              <w:marRight w:val="0"/>
              <w:marTop w:val="0"/>
              <w:marBottom w:val="0"/>
              <w:divBdr>
                <w:top w:val="none" w:sz="0" w:space="0" w:color="auto"/>
                <w:left w:val="none" w:sz="0" w:space="0" w:color="auto"/>
                <w:bottom w:val="none" w:sz="0" w:space="0" w:color="auto"/>
                <w:right w:val="none" w:sz="0" w:space="0" w:color="auto"/>
              </w:divBdr>
            </w:div>
            <w:div w:id="320816546">
              <w:marLeft w:val="0"/>
              <w:marRight w:val="0"/>
              <w:marTop w:val="0"/>
              <w:marBottom w:val="0"/>
              <w:divBdr>
                <w:top w:val="none" w:sz="0" w:space="0" w:color="auto"/>
                <w:left w:val="none" w:sz="0" w:space="0" w:color="auto"/>
                <w:bottom w:val="none" w:sz="0" w:space="0" w:color="auto"/>
                <w:right w:val="none" w:sz="0" w:space="0" w:color="auto"/>
              </w:divBdr>
            </w:div>
            <w:div w:id="356128436">
              <w:marLeft w:val="0"/>
              <w:marRight w:val="0"/>
              <w:marTop w:val="0"/>
              <w:marBottom w:val="0"/>
              <w:divBdr>
                <w:top w:val="none" w:sz="0" w:space="0" w:color="auto"/>
                <w:left w:val="none" w:sz="0" w:space="0" w:color="auto"/>
                <w:bottom w:val="none" w:sz="0" w:space="0" w:color="auto"/>
                <w:right w:val="none" w:sz="0" w:space="0" w:color="auto"/>
              </w:divBdr>
            </w:div>
            <w:div w:id="1573655304">
              <w:marLeft w:val="0"/>
              <w:marRight w:val="0"/>
              <w:marTop w:val="0"/>
              <w:marBottom w:val="0"/>
              <w:divBdr>
                <w:top w:val="none" w:sz="0" w:space="0" w:color="auto"/>
                <w:left w:val="none" w:sz="0" w:space="0" w:color="auto"/>
                <w:bottom w:val="none" w:sz="0" w:space="0" w:color="auto"/>
                <w:right w:val="none" w:sz="0" w:space="0" w:color="auto"/>
              </w:divBdr>
            </w:div>
          </w:divsChild>
        </w:div>
        <w:div w:id="2043433733">
          <w:marLeft w:val="0"/>
          <w:marRight w:val="0"/>
          <w:marTop w:val="0"/>
          <w:marBottom w:val="0"/>
          <w:divBdr>
            <w:top w:val="none" w:sz="0" w:space="0" w:color="auto"/>
            <w:left w:val="none" w:sz="0" w:space="0" w:color="auto"/>
            <w:bottom w:val="none" w:sz="0" w:space="0" w:color="auto"/>
            <w:right w:val="none" w:sz="0" w:space="0" w:color="auto"/>
          </w:divBdr>
          <w:divsChild>
            <w:div w:id="262421202">
              <w:marLeft w:val="0"/>
              <w:marRight w:val="0"/>
              <w:marTop w:val="0"/>
              <w:marBottom w:val="0"/>
              <w:divBdr>
                <w:top w:val="none" w:sz="0" w:space="0" w:color="auto"/>
                <w:left w:val="none" w:sz="0" w:space="0" w:color="auto"/>
                <w:bottom w:val="none" w:sz="0" w:space="0" w:color="auto"/>
                <w:right w:val="none" w:sz="0" w:space="0" w:color="auto"/>
              </w:divBdr>
            </w:div>
            <w:div w:id="526600594">
              <w:marLeft w:val="0"/>
              <w:marRight w:val="0"/>
              <w:marTop w:val="0"/>
              <w:marBottom w:val="0"/>
              <w:divBdr>
                <w:top w:val="none" w:sz="0" w:space="0" w:color="auto"/>
                <w:left w:val="none" w:sz="0" w:space="0" w:color="auto"/>
                <w:bottom w:val="none" w:sz="0" w:space="0" w:color="auto"/>
                <w:right w:val="none" w:sz="0" w:space="0" w:color="auto"/>
              </w:divBdr>
            </w:div>
            <w:div w:id="1286546747">
              <w:marLeft w:val="0"/>
              <w:marRight w:val="0"/>
              <w:marTop w:val="0"/>
              <w:marBottom w:val="0"/>
              <w:divBdr>
                <w:top w:val="none" w:sz="0" w:space="0" w:color="auto"/>
                <w:left w:val="none" w:sz="0" w:space="0" w:color="auto"/>
                <w:bottom w:val="none" w:sz="0" w:space="0" w:color="auto"/>
                <w:right w:val="none" w:sz="0" w:space="0" w:color="auto"/>
              </w:divBdr>
            </w:div>
            <w:div w:id="1793477447">
              <w:marLeft w:val="0"/>
              <w:marRight w:val="0"/>
              <w:marTop w:val="0"/>
              <w:marBottom w:val="0"/>
              <w:divBdr>
                <w:top w:val="none" w:sz="0" w:space="0" w:color="auto"/>
                <w:left w:val="none" w:sz="0" w:space="0" w:color="auto"/>
                <w:bottom w:val="none" w:sz="0" w:space="0" w:color="auto"/>
                <w:right w:val="none" w:sz="0" w:space="0" w:color="auto"/>
              </w:divBdr>
            </w:div>
            <w:div w:id="1899701789">
              <w:marLeft w:val="0"/>
              <w:marRight w:val="0"/>
              <w:marTop w:val="0"/>
              <w:marBottom w:val="0"/>
              <w:divBdr>
                <w:top w:val="none" w:sz="0" w:space="0" w:color="auto"/>
                <w:left w:val="none" w:sz="0" w:space="0" w:color="auto"/>
                <w:bottom w:val="none" w:sz="0" w:space="0" w:color="auto"/>
                <w:right w:val="none" w:sz="0" w:space="0" w:color="auto"/>
              </w:divBdr>
            </w:div>
          </w:divsChild>
        </w:div>
        <w:div w:id="2082019347">
          <w:marLeft w:val="0"/>
          <w:marRight w:val="0"/>
          <w:marTop w:val="0"/>
          <w:marBottom w:val="0"/>
          <w:divBdr>
            <w:top w:val="none" w:sz="0" w:space="0" w:color="auto"/>
            <w:left w:val="none" w:sz="0" w:space="0" w:color="auto"/>
            <w:bottom w:val="none" w:sz="0" w:space="0" w:color="auto"/>
            <w:right w:val="none" w:sz="0" w:space="0" w:color="auto"/>
          </w:divBdr>
        </w:div>
      </w:divsChild>
    </w:div>
    <w:div w:id="1523282330">
      <w:bodyDiv w:val="1"/>
      <w:marLeft w:val="0"/>
      <w:marRight w:val="0"/>
      <w:marTop w:val="0"/>
      <w:marBottom w:val="0"/>
      <w:divBdr>
        <w:top w:val="none" w:sz="0" w:space="0" w:color="auto"/>
        <w:left w:val="none" w:sz="0" w:space="0" w:color="auto"/>
        <w:bottom w:val="none" w:sz="0" w:space="0" w:color="auto"/>
        <w:right w:val="none" w:sz="0" w:space="0" w:color="auto"/>
      </w:divBdr>
    </w:div>
    <w:div w:id="1614551579">
      <w:bodyDiv w:val="1"/>
      <w:marLeft w:val="0"/>
      <w:marRight w:val="0"/>
      <w:marTop w:val="0"/>
      <w:marBottom w:val="0"/>
      <w:divBdr>
        <w:top w:val="none" w:sz="0" w:space="0" w:color="auto"/>
        <w:left w:val="none" w:sz="0" w:space="0" w:color="auto"/>
        <w:bottom w:val="none" w:sz="0" w:space="0" w:color="auto"/>
        <w:right w:val="none" w:sz="0" w:space="0" w:color="auto"/>
      </w:divBdr>
    </w:div>
    <w:div w:id="1652251287">
      <w:bodyDiv w:val="1"/>
      <w:marLeft w:val="0"/>
      <w:marRight w:val="0"/>
      <w:marTop w:val="0"/>
      <w:marBottom w:val="0"/>
      <w:divBdr>
        <w:top w:val="none" w:sz="0" w:space="0" w:color="auto"/>
        <w:left w:val="none" w:sz="0" w:space="0" w:color="auto"/>
        <w:bottom w:val="none" w:sz="0" w:space="0" w:color="auto"/>
        <w:right w:val="none" w:sz="0" w:space="0" w:color="auto"/>
      </w:divBdr>
      <w:divsChild>
        <w:div w:id="1564874336">
          <w:marLeft w:val="0"/>
          <w:marRight w:val="0"/>
          <w:marTop w:val="0"/>
          <w:marBottom w:val="0"/>
          <w:divBdr>
            <w:top w:val="none" w:sz="0" w:space="0" w:color="auto"/>
            <w:left w:val="none" w:sz="0" w:space="0" w:color="auto"/>
            <w:bottom w:val="none" w:sz="0" w:space="0" w:color="auto"/>
            <w:right w:val="none" w:sz="0" w:space="0" w:color="auto"/>
          </w:divBdr>
          <w:divsChild>
            <w:div w:id="807672249">
              <w:marLeft w:val="0"/>
              <w:marRight w:val="0"/>
              <w:marTop w:val="0"/>
              <w:marBottom w:val="0"/>
              <w:divBdr>
                <w:top w:val="none" w:sz="0" w:space="0" w:color="auto"/>
                <w:left w:val="none" w:sz="0" w:space="0" w:color="auto"/>
                <w:bottom w:val="none" w:sz="0" w:space="0" w:color="auto"/>
                <w:right w:val="none" w:sz="0" w:space="0" w:color="auto"/>
              </w:divBdr>
              <w:divsChild>
                <w:div w:id="212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0908">
      <w:bodyDiv w:val="1"/>
      <w:marLeft w:val="0"/>
      <w:marRight w:val="0"/>
      <w:marTop w:val="0"/>
      <w:marBottom w:val="0"/>
      <w:divBdr>
        <w:top w:val="none" w:sz="0" w:space="0" w:color="auto"/>
        <w:left w:val="none" w:sz="0" w:space="0" w:color="auto"/>
        <w:bottom w:val="none" w:sz="0" w:space="0" w:color="auto"/>
        <w:right w:val="none" w:sz="0" w:space="0" w:color="auto"/>
      </w:divBdr>
    </w:div>
    <w:div w:id="1670794742">
      <w:bodyDiv w:val="1"/>
      <w:marLeft w:val="0"/>
      <w:marRight w:val="0"/>
      <w:marTop w:val="0"/>
      <w:marBottom w:val="0"/>
      <w:divBdr>
        <w:top w:val="none" w:sz="0" w:space="0" w:color="auto"/>
        <w:left w:val="none" w:sz="0" w:space="0" w:color="auto"/>
        <w:bottom w:val="none" w:sz="0" w:space="0" w:color="auto"/>
        <w:right w:val="none" w:sz="0" w:space="0" w:color="auto"/>
      </w:divBdr>
      <w:divsChild>
        <w:div w:id="58023266">
          <w:marLeft w:val="0"/>
          <w:marRight w:val="0"/>
          <w:marTop w:val="0"/>
          <w:marBottom w:val="0"/>
          <w:divBdr>
            <w:top w:val="none" w:sz="0" w:space="0" w:color="auto"/>
            <w:left w:val="none" w:sz="0" w:space="0" w:color="auto"/>
            <w:bottom w:val="none" w:sz="0" w:space="0" w:color="auto"/>
            <w:right w:val="none" w:sz="0" w:space="0" w:color="auto"/>
          </w:divBdr>
        </w:div>
        <w:div w:id="105393543">
          <w:marLeft w:val="0"/>
          <w:marRight w:val="0"/>
          <w:marTop w:val="0"/>
          <w:marBottom w:val="0"/>
          <w:divBdr>
            <w:top w:val="none" w:sz="0" w:space="0" w:color="auto"/>
            <w:left w:val="none" w:sz="0" w:space="0" w:color="auto"/>
            <w:bottom w:val="none" w:sz="0" w:space="0" w:color="auto"/>
            <w:right w:val="none" w:sz="0" w:space="0" w:color="auto"/>
          </w:divBdr>
        </w:div>
        <w:div w:id="113599386">
          <w:marLeft w:val="0"/>
          <w:marRight w:val="0"/>
          <w:marTop w:val="0"/>
          <w:marBottom w:val="0"/>
          <w:divBdr>
            <w:top w:val="none" w:sz="0" w:space="0" w:color="auto"/>
            <w:left w:val="none" w:sz="0" w:space="0" w:color="auto"/>
            <w:bottom w:val="none" w:sz="0" w:space="0" w:color="auto"/>
            <w:right w:val="none" w:sz="0" w:space="0" w:color="auto"/>
          </w:divBdr>
        </w:div>
        <w:div w:id="143661614">
          <w:marLeft w:val="0"/>
          <w:marRight w:val="0"/>
          <w:marTop w:val="0"/>
          <w:marBottom w:val="0"/>
          <w:divBdr>
            <w:top w:val="none" w:sz="0" w:space="0" w:color="auto"/>
            <w:left w:val="none" w:sz="0" w:space="0" w:color="auto"/>
            <w:bottom w:val="none" w:sz="0" w:space="0" w:color="auto"/>
            <w:right w:val="none" w:sz="0" w:space="0" w:color="auto"/>
          </w:divBdr>
        </w:div>
        <w:div w:id="178813593">
          <w:marLeft w:val="0"/>
          <w:marRight w:val="0"/>
          <w:marTop w:val="0"/>
          <w:marBottom w:val="0"/>
          <w:divBdr>
            <w:top w:val="none" w:sz="0" w:space="0" w:color="auto"/>
            <w:left w:val="none" w:sz="0" w:space="0" w:color="auto"/>
            <w:bottom w:val="none" w:sz="0" w:space="0" w:color="auto"/>
            <w:right w:val="none" w:sz="0" w:space="0" w:color="auto"/>
          </w:divBdr>
        </w:div>
        <w:div w:id="182598895">
          <w:marLeft w:val="0"/>
          <w:marRight w:val="0"/>
          <w:marTop w:val="0"/>
          <w:marBottom w:val="0"/>
          <w:divBdr>
            <w:top w:val="none" w:sz="0" w:space="0" w:color="auto"/>
            <w:left w:val="none" w:sz="0" w:space="0" w:color="auto"/>
            <w:bottom w:val="none" w:sz="0" w:space="0" w:color="auto"/>
            <w:right w:val="none" w:sz="0" w:space="0" w:color="auto"/>
          </w:divBdr>
        </w:div>
        <w:div w:id="228270478">
          <w:marLeft w:val="0"/>
          <w:marRight w:val="0"/>
          <w:marTop w:val="0"/>
          <w:marBottom w:val="0"/>
          <w:divBdr>
            <w:top w:val="none" w:sz="0" w:space="0" w:color="auto"/>
            <w:left w:val="none" w:sz="0" w:space="0" w:color="auto"/>
            <w:bottom w:val="none" w:sz="0" w:space="0" w:color="auto"/>
            <w:right w:val="none" w:sz="0" w:space="0" w:color="auto"/>
          </w:divBdr>
        </w:div>
        <w:div w:id="325204679">
          <w:marLeft w:val="0"/>
          <w:marRight w:val="0"/>
          <w:marTop w:val="0"/>
          <w:marBottom w:val="0"/>
          <w:divBdr>
            <w:top w:val="none" w:sz="0" w:space="0" w:color="auto"/>
            <w:left w:val="none" w:sz="0" w:space="0" w:color="auto"/>
            <w:bottom w:val="none" w:sz="0" w:space="0" w:color="auto"/>
            <w:right w:val="none" w:sz="0" w:space="0" w:color="auto"/>
          </w:divBdr>
        </w:div>
        <w:div w:id="416363139">
          <w:marLeft w:val="0"/>
          <w:marRight w:val="0"/>
          <w:marTop w:val="0"/>
          <w:marBottom w:val="0"/>
          <w:divBdr>
            <w:top w:val="none" w:sz="0" w:space="0" w:color="auto"/>
            <w:left w:val="none" w:sz="0" w:space="0" w:color="auto"/>
            <w:bottom w:val="none" w:sz="0" w:space="0" w:color="auto"/>
            <w:right w:val="none" w:sz="0" w:space="0" w:color="auto"/>
          </w:divBdr>
        </w:div>
        <w:div w:id="447824103">
          <w:marLeft w:val="0"/>
          <w:marRight w:val="0"/>
          <w:marTop w:val="0"/>
          <w:marBottom w:val="0"/>
          <w:divBdr>
            <w:top w:val="none" w:sz="0" w:space="0" w:color="auto"/>
            <w:left w:val="none" w:sz="0" w:space="0" w:color="auto"/>
            <w:bottom w:val="none" w:sz="0" w:space="0" w:color="auto"/>
            <w:right w:val="none" w:sz="0" w:space="0" w:color="auto"/>
          </w:divBdr>
          <w:divsChild>
            <w:div w:id="88624849">
              <w:marLeft w:val="0"/>
              <w:marRight w:val="0"/>
              <w:marTop w:val="0"/>
              <w:marBottom w:val="0"/>
              <w:divBdr>
                <w:top w:val="none" w:sz="0" w:space="0" w:color="auto"/>
                <w:left w:val="none" w:sz="0" w:space="0" w:color="auto"/>
                <w:bottom w:val="none" w:sz="0" w:space="0" w:color="auto"/>
                <w:right w:val="none" w:sz="0" w:space="0" w:color="auto"/>
              </w:divBdr>
            </w:div>
            <w:div w:id="959455108">
              <w:marLeft w:val="0"/>
              <w:marRight w:val="0"/>
              <w:marTop w:val="0"/>
              <w:marBottom w:val="0"/>
              <w:divBdr>
                <w:top w:val="none" w:sz="0" w:space="0" w:color="auto"/>
                <w:left w:val="none" w:sz="0" w:space="0" w:color="auto"/>
                <w:bottom w:val="none" w:sz="0" w:space="0" w:color="auto"/>
                <w:right w:val="none" w:sz="0" w:space="0" w:color="auto"/>
              </w:divBdr>
            </w:div>
            <w:div w:id="1278246874">
              <w:marLeft w:val="0"/>
              <w:marRight w:val="0"/>
              <w:marTop w:val="0"/>
              <w:marBottom w:val="0"/>
              <w:divBdr>
                <w:top w:val="none" w:sz="0" w:space="0" w:color="auto"/>
                <w:left w:val="none" w:sz="0" w:space="0" w:color="auto"/>
                <w:bottom w:val="none" w:sz="0" w:space="0" w:color="auto"/>
                <w:right w:val="none" w:sz="0" w:space="0" w:color="auto"/>
              </w:divBdr>
            </w:div>
            <w:div w:id="1785072838">
              <w:marLeft w:val="0"/>
              <w:marRight w:val="0"/>
              <w:marTop w:val="0"/>
              <w:marBottom w:val="0"/>
              <w:divBdr>
                <w:top w:val="none" w:sz="0" w:space="0" w:color="auto"/>
                <w:left w:val="none" w:sz="0" w:space="0" w:color="auto"/>
                <w:bottom w:val="none" w:sz="0" w:space="0" w:color="auto"/>
                <w:right w:val="none" w:sz="0" w:space="0" w:color="auto"/>
              </w:divBdr>
            </w:div>
            <w:div w:id="1942032663">
              <w:marLeft w:val="0"/>
              <w:marRight w:val="0"/>
              <w:marTop w:val="0"/>
              <w:marBottom w:val="0"/>
              <w:divBdr>
                <w:top w:val="none" w:sz="0" w:space="0" w:color="auto"/>
                <w:left w:val="none" w:sz="0" w:space="0" w:color="auto"/>
                <w:bottom w:val="none" w:sz="0" w:space="0" w:color="auto"/>
                <w:right w:val="none" w:sz="0" w:space="0" w:color="auto"/>
              </w:divBdr>
            </w:div>
          </w:divsChild>
        </w:div>
        <w:div w:id="449859822">
          <w:marLeft w:val="0"/>
          <w:marRight w:val="0"/>
          <w:marTop w:val="0"/>
          <w:marBottom w:val="0"/>
          <w:divBdr>
            <w:top w:val="none" w:sz="0" w:space="0" w:color="auto"/>
            <w:left w:val="none" w:sz="0" w:space="0" w:color="auto"/>
            <w:bottom w:val="none" w:sz="0" w:space="0" w:color="auto"/>
            <w:right w:val="none" w:sz="0" w:space="0" w:color="auto"/>
          </w:divBdr>
          <w:divsChild>
            <w:div w:id="151987841">
              <w:marLeft w:val="0"/>
              <w:marRight w:val="0"/>
              <w:marTop w:val="0"/>
              <w:marBottom w:val="0"/>
              <w:divBdr>
                <w:top w:val="none" w:sz="0" w:space="0" w:color="auto"/>
                <w:left w:val="none" w:sz="0" w:space="0" w:color="auto"/>
                <w:bottom w:val="none" w:sz="0" w:space="0" w:color="auto"/>
                <w:right w:val="none" w:sz="0" w:space="0" w:color="auto"/>
              </w:divBdr>
            </w:div>
            <w:div w:id="255405813">
              <w:marLeft w:val="0"/>
              <w:marRight w:val="0"/>
              <w:marTop w:val="0"/>
              <w:marBottom w:val="0"/>
              <w:divBdr>
                <w:top w:val="none" w:sz="0" w:space="0" w:color="auto"/>
                <w:left w:val="none" w:sz="0" w:space="0" w:color="auto"/>
                <w:bottom w:val="none" w:sz="0" w:space="0" w:color="auto"/>
                <w:right w:val="none" w:sz="0" w:space="0" w:color="auto"/>
              </w:divBdr>
            </w:div>
            <w:div w:id="274293237">
              <w:marLeft w:val="0"/>
              <w:marRight w:val="0"/>
              <w:marTop w:val="0"/>
              <w:marBottom w:val="0"/>
              <w:divBdr>
                <w:top w:val="none" w:sz="0" w:space="0" w:color="auto"/>
                <w:left w:val="none" w:sz="0" w:space="0" w:color="auto"/>
                <w:bottom w:val="none" w:sz="0" w:space="0" w:color="auto"/>
                <w:right w:val="none" w:sz="0" w:space="0" w:color="auto"/>
              </w:divBdr>
            </w:div>
            <w:div w:id="372191543">
              <w:marLeft w:val="0"/>
              <w:marRight w:val="0"/>
              <w:marTop w:val="0"/>
              <w:marBottom w:val="0"/>
              <w:divBdr>
                <w:top w:val="none" w:sz="0" w:space="0" w:color="auto"/>
                <w:left w:val="none" w:sz="0" w:space="0" w:color="auto"/>
                <w:bottom w:val="none" w:sz="0" w:space="0" w:color="auto"/>
                <w:right w:val="none" w:sz="0" w:space="0" w:color="auto"/>
              </w:divBdr>
            </w:div>
            <w:div w:id="1479416941">
              <w:marLeft w:val="0"/>
              <w:marRight w:val="0"/>
              <w:marTop w:val="0"/>
              <w:marBottom w:val="0"/>
              <w:divBdr>
                <w:top w:val="none" w:sz="0" w:space="0" w:color="auto"/>
                <w:left w:val="none" w:sz="0" w:space="0" w:color="auto"/>
                <w:bottom w:val="none" w:sz="0" w:space="0" w:color="auto"/>
                <w:right w:val="none" w:sz="0" w:space="0" w:color="auto"/>
              </w:divBdr>
            </w:div>
          </w:divsChild>
        </w:div>
        <w:div w:id="493686062">
          <w:marLeft w:val="0"/>
          <w:marRight w:val="0"/>
          <w:marTop w:val="0"/>
          <w:marBottom w:val="0"/>
          <w:divBdr>
            <w:top w:val="none" w:sz="0" w:space="0" w:color="auto"/>
            <w:left w:val="none" w:sz="0" w:space="0" w:color="auto"/>
            <w:bottom w:val="none" w:sz="0" w:space="0" w:color="auto"/>
            <w:right w:val="none" w:sz="0" w:space="0" w:color="auto"/>
          </w:divBdr>
        </w:div>
        <w:div w:id="523440493">
          <w:marLeft w:val="0"/>
          <w:marRight w:val="0"/>
          <w:marTop w:val="0"/>
          <w:marBottom w:val="0"/>
          <w:divBdr>
            <w:top w:val="none" w:sz="0" w:space="0" w:color="auto"/>
            <w:left w:val="none" w:sz="0" w:space="0" w:color="auto"/>
            <w:bottom w:val="none" w:sz="0" w:space="0" w:color="auto"/>
            <w:right w:val="none" w:sz="0" w:space="0" w:color="auto"/>
          </w:divBdr>
        </w:div>
        <w:div w:id="547033369">
          <w:marLeft w:val="0"/>
          <w:marRight w:val="0"/>
          <w:marTop w:val="0"/>
          <w:marBottom w:val="0"/>
          <w:divBdr>
            <w:top w:val="none" w:sz="0" w:space="0" w:color="auto"/>
            <w:left w:val="none" w:sz="0" w:space="0" w:color="auto"/>
            <w:bottom w:val="none" w:sz="0" w:space="0" w:color="auto"/>
            <w:right w:val="none" w:sz="0" w:space="0" w:color="auto"/>
          </w:divBdr>
        </w:div>
        <w:div w:id="575020491">
          <w:marLeft w:val="0"/>
          <w:marRight w:val="0"/>
          <w:marTop w:val="0"/>
          <w:marBottom w:val="0"/>
          <w:divBdr>
            <w:top w:val="none" w:sz="0" w:space="0" w:color="auto"/>
            <w:left w:val="none" w:sz="0" w:space="0" w:color="auto"/>
            <w:bottom w:val="none" w:sz="0" w:space="0" w:color="auto"/>
            <w:right w:val="none" w:sz="0" w:space="0" w:color="auto"/>
          </w:divBdr>
        </w:div>
        <w:div w:id="654146806">
          <w:marLeft w:val="0"/>
          <w:marRight w:val="0"/>
          <w:marTop w:val="0"/>
          <w:marBottom w:val="0"/>
          <w:divBdr>
            <w:top w:val="none" w:sz="0" w:space="0" w:color="auto"/>
            <w:left w:val="none" w:sz="0" w:space="0" w:color="auto"/>
            <w:bottom w:val="none" w:sz="0" w:space="0" w:color="auto"/>
            <w:right w:val="none" w:sz="0" w:space="0" w:color="auto"/>
          </w:divBdr>
        </w:div>
        <w:div w:id="659428268">
          <w:marLeft w:val="0"/>
          <w:marRight w:val="0"/>
          <w:marTop w:val="0"/>
          <w:marBottom w:val="0"/>
          <w:divBdr>
            <w:top w:val="none" w:sz="0" w:space="0" w:color="auto"/>
            <w:left w:val="none" w:sz="0" w:space="0" w:color="auto"/>
            <w:bottom w:val="none" w:sz="0" w:space="0" w:color="auto"/>
            <w:right w:val="none" w:sz="0" w:space="0" w:color="auto"/>
          </w:divBdr>
        </w:div>
        <w:div w:id="665743028">
          <w:marLeft w:val="0"/>
          <w:marRight w:val="0"/>
          <w:marTop w:val="0"/>
          <w:marBottom w:val="0"/>
          <w:divBdr>
            <w:top w:val="none" w:sz="0" w:space="0" w:color="auto"/>
            <w:left w:val="none" w:sz="0" w:space="0" w:color="auto"/>
            <w:bottom w:val="none" w:sz="0" w:space="0" w:color="auto"/>
            <w:right w:val="none" w:sz="0" w:space="0" w:color="auto"/>
          </w:divBdr>
        </w:div>
        <w:div w:id="700328164">
          <w:marLeft w:val="0"/>
          <w:marRight w:val="0"/>
          <w:marTop w:val="0"/>
          <w:marBottom w:val="0"/>
          <w:divBdr>
            <w:top w:val="none" w:sz="0" w:space="0" w:color="auto"/>
            <w:left w:val="none" w:sz="0" w:space="0" w:color="auto"/>
            <w:bottom w:val="none" w:sz="0" w:space="0" w:color="auto"/>
            <w:right w:val="none" w:sz="0" w:space="0" w:color="auto"/>
          </w:divBdr>
        </w:div>
        <w:div w:id="712271124">
          <w:marLeft w:val="0"/>
          <w:marRight w:val="0"/>
          <w:marTop w:val="0"/>
          <w:marBottom w:val="0"/>
          <w:divBdr>
            <w:top w:val="none" w:sz="0" w:space="0" w:color="auto"/>
            <w:left w:val="none" w:sz="0" w:space="0" w:color="auto"/>
            <w:bottom w:val="none" w:sz="0" w:space="0" w:color="auto"/>
            <w:right w:val="none" w:sz="0" w:space="0" w:color="auto"/>
          </w:divBdr>
        </w:div>
        <w:div w:id="772819640">
          <w:marLeft w:val="0"/>
          <w:marRight w:val="0"/>
          <w:marTop w:val="0"/>
          <w:marBottom w:val="0"/>
          <w:divBdr>
            <w:top w:val="none" w:sz="0" w:space="0" w:color="auto"/>
            <w:left w:val="none" w:sz="0" w:space="0" w:color="auto"/>
            <w:bottom w:val="none" w:sz="0" w:space="0" w:color="auto"/>
            <w:right w:val="none" w:sz="0" w:space="0" w:color="auto"/>
          </w:divBdr>
        </w:div>
        <w:div w:id="799299721">
          <w:marLeft w:val="0"/>
          <w:marRight w:val="0"/>
          <w:marTop w:val="0"/>
          <w:marBottom w:val="0"/>
          <w:divBdr>
            <w:top w:val="none" w:sz="0" w:space="0" w:color="auto"/>
            <w:left w:val="none" w:sz="0" w:space="0" w:color="auto"/>
            <w:bottom w:val="none" w:sz="0" w:space="0" w:color="auto"/>
            <w:right w:val="none" w:sz="0" w:space="0" w:color="auto"/>
          </w:divBdr>
        </w:div>
        <w:div w:id="856432746">
          <w:marLeft w:val="0"/>
          <w:marRight w:val="0"/>
          <w:marTop w:val="0"/>
          <w:marBottom w:val="0"/>
          <w:divBdr>
            <w:top w:val="none" w:sz="0" w:space="0" w:color="auto"/>
            <w:left w:val="none" w:sz="0" w:space="0" w:color="auto"/>
            <w:bottom w:val="none" w:sz="0" w:space="0" w:color="auto"/>
            <w:right w:val="none" w:sz="0" w:space="0" w:color="auto"/>
          </w:divBdr>
        </w:div>
        <w:div w:id="883950570">
          <w:marLeft w:val="0"/>
          <w:marRight w:val="0"/>
          <w:marTop w:val="0"/>
          <w:marBottom w:val="0"/>
          <w:divBdr>
            <w:top w:val="none" w:sz="0" w:space="0" w:color="auto"/>
            <w:left w:val="none" w:sz="0" w:space="0" w:color="auto"/>
            <w:bottom w:val="none" w:sz="0" w:space="0" w:color="auto"/>
            <w:right w:val="none" w:sz="0" w:space="0" w:color="auto"/>
          </w:divBdr>
        </w:div>
        <w:div w:id="964582770">
          <w:marLeft w:val="0"/>
          <w:marRight w:val="0"/>
          <w:marTop w:val="0"/>
          <w:marBottom w:val="0"/>
          <w:divBdr>
            <w:top w:val="none" w:sz="0" w:space="0" w:color="auto"/>
            <w:left w:val="none" w:sz="0" w:space="0" w:color="auto"/>
            <w:bottom w:val="none" w:sz="0" w:space="0" w:color="auto"/>
            <w:right w:val="none" w:sz="0" w:space="0" w:color="auto"/>
          </w:divBdr>
        </w:div>
        <w:div w:id="1039933201">
          <w:marLeft w:val="0"/>
          <w:marRight w:val="0"/>
          <w:marTop w:val="0"/>
          <w:marBottom w:val="0"/>
          <w:divBdr>
            <w:top w:val="none" w:sz="0" w:space="0" w:color="auto"/>
            <w:left w:val="none" w:sz="0" w:space="0" w:color="auto"/>
            <w:bottom w:val="none" w:sz="0" w:space="0" w:color="auto"/>
            <w:right w:val="none" w:sz="0" w:space="0" w:color="auto"/>
          </w:divBdr>
        </w:div>
        <w:div w:id="1115295606">
          <w:marLeft w:val="0"/>
          <w:marRight w:val="0"/>
          <w:marTop w:val="0"/>
          <w:marBottom w:val="0"/>
          <w:divBdr>
            <w:top w:val="none" w:sz="0" w:space="0" w:color="auto"/>
            <w:left w:val="none" w:sz="0" w:space="0" w:color="auto"/>
            <w:bottom w:val="none" w:sz="0" w:space="0" w:color="auto"/>
            <w:right w:val="none" w:sz="0" w:space="0" w:color="auto"/>
          </w:divBdr>
        </w:div>
        <w:div w:id="1165243185">
          <w:marLeft w:val="0"/>
          <w:marRight w:val="0"/>
          <w:marTop w:val="0"/>
          <w:marBottom w:val="0"/>
          <w:divBdr>
            <w:top w:val="none" w:sz="0" w:space="0" w:color="auto"/>
            <w:left w:val="none" w:sz="0" w:space="0" w:color="auto"/>
            <w:bottom w:val="none" w:sz="0" w:space="0" w:color="auto"/>
            <w:right w:val="none" w:sz="0" w:space="0" w:color="auto"/>
          </w:divBdr>
        </w:div>
        <w:div w:id="1410272650">
          <w:marLeft w:val="0"/>
          <w:marRight w:val="0"/>
          <w:marTop w:val="0"/>
          <w:marBottom w:val="0"/>
          <w:divBdr>
            <w:top w:val="none" w:sz="0" w:space="0" w:color="auto"/>
            <w:left w:val="none" w:sz="0" w:space="0" w:color="auto"/>
            <w:bottom w:val="none" w:sz="0" w:space="0" w:color="auto"/>
            <w:right w:val="none" w:sz="0" w:space="0" w:color="auto"/>
          </w:divBdr>
        </w:div>
        <w:div w:id="1440880747">
          <w:marLeft w:val="0"/>
          <w:marRight w:val="0"/>
          <w:marTop w:val="0"/>
          <w:marBottom w:val="0"/>
          <w:divBdr>
            <w:top w:val="none" w:sz="0" w:space="0" w:color="auto"/>
            <w:left w:val="none" w:sz="0" w:space="0" w:color="auto"/>
            <w:bottom w:val="none" w:sz="0" w:space="0" w:color="auto"/>
            <w:right w:val="none" w:sz="0" w:space="0" w:color="auto"/>
          </w:divBdr>
        </w:div>
        <w:div w:id="1441411864">
          <w:marLeft w:val="0"/>
          <w:marRight w:val="0"/>
          <w:marTop w:val="0"/>
          <w:marBottom w:val="0"/>
          <w:divBdr>
            <w:top w:val="none" w:sz="0" w:space="0" w:color="auto"/>
            <w:left w:val="none" w:sz="0" w:space="0" w:color="auto"/>
            <w:bottom w:val="none" w:sz="0" w:space="0" w:color="auto"/>
            <w:right w:val="none" w:sz="0" w:space="0" w:color="auto"/>
          </w:divBdr>
        </w:div>
        <w:div w:id="1449356658">
          <w:marLeft w:val="0"/>
          <w:marRight w:val="0"/>
          <w:marTop w:val="0"/>
          <w:marBottom w:val="0"/>
          <w:divBdr>
            <w:top w:val="none" w:sz="0" w:space="0" w:color="auto"/>
            <w:left w:val="none" w:sz="0" w:space="0" w:color="auto"/>
            <w:bottom w:val="none" w:sz="0" w:space="0" w:color="auto"/>
            <w:right w:val="none" w:sz="0" w:space="0" w:color="auto"/>
          </w:divBdr>
        </w:div>
        <w:div w:id="1464613170">
          <w:marLeft w:val="0"/>
          <w:marRight w:val="0"/>
          <w:marTop w:val="0"/>
          <w:marBottom w:val="0"/>
          <w:divBdr>
            <w:top w:val="none" w:sz="0" w:space="0" w:color="auto"/>
            <w:left w:val="none" w:sz="0" w:space="0" w:color="auto"/>
            <w:bottom w:val="none" w:sz="0" w:space="0" w:color="auto"/>
            <w:right w:val="none" w:sz="0" w:space="0" w:color="auto"/>
          </w:divBdr>
        </w:div>
        <w:div w:id="1572545073">
          <w:marLeft w:val="0"/>
          <w:marRight w:val="0"/>
          <w:marTop w:val="0"/>
          <w:marBottom w:val="0"/>
          <w:divBdr>
            <w:top w:val="none" w:sz="0" w:space="0" w:color="auto"/>
            <w:left w:val="none" w:sz="0" w:space="0" w:color="auto"/>
            <w:bottom w:val="none" w:sz="0" w:space="0" w:color="auto"/>
            <w:right w:val="none" w:sz="0" w:space="0" w:color="auto"/>
          </w:divBdr>
        </w:div>
        <w:div w:id="1619948799">
          <w:marLeft w:val="0"/>
          <w:marRight w:val="0"/>
          <w:marTop w:val="0"/>
          <w:marBottom w:val="0"/>
          <w:divBdr>
            <w:top w:val="none" w:sz="0" w:space="0" w:color="auto"/>
            <w:left w:val="none" w:sz="0" w:space="0" w:color="auto"/>
            <w:bottom w:val="none" w:sz="0" w:space="0" w:color="auto"/>
            <w:right w:val="none" w:sz="0" w:space="0" w:color="auto"/>
          </w:divBdr>
        </w:div>
        <w:div w:id="1699890692">
          <w:marLeft w:val="0"/>
          <w:marRight w:val="0"/>
          <w:marTop w:val="0"/>
          <w:marBottom w:val="0"/>
          <w:divBdr>
            <w:top w:val="none" w:sz="0" w:space="0" w:color="auto"/>
            <w:left w:val="none" w:sz="0" w:space="0" w:color="auto"/>
            <w:bottom w:val="none" w:sz="0" w:space="0" w:color="auto"/>
            <w:right w:val="none" w:sz="0" w:space="0" w:color="auto"/>
          </w:divBdr>
        </w:div>
        <w:div w:id="1755930588">
          <w:marLeft w:val="0"/>
          <w:marRight w:val="0"/>
          <w:marTop w:val="0"/>
          <w:marBottom w:val="0"/>
          <w:divBdr>
            <w:top w:val="none" w:sz="0" w:space="0" w:color="auto"/>
            <w:left w:val="none" w:sz="0" w:space="0" w:color="auto"/>
            <w:bottom w:val="none" w:sz="0" w:space="0" w:color="auto"/>
            <w:right w:val="none" w:sz="0" w:space="0" w:color="auto"/>
          </w:divBdr>
        </w:div>
        <w:div w:id="1761440341">
          <w:marLeft w:val="0"/>
          <w:marRight w:val="0"/>
          <w:marTop w:val="0"/>
          <w:marBottom w:val="0"/>
          <w:divBdr>
            <w:top w:val="none" w:sz="0" w:space="0" w:color="auto"/>
            <w:left w:val="none" w:sz="0" w:space="0" w:color="auto"/>
            <w:bottom w:val="none" w:sz="0" w:space="0" w:color="auto"/>
            <w:right w:val="none" w:sz="0" w:space="0" w:color="auto"/>
          </w:divBdr>
        </w:div>
        <w:div w:id="1810854727">
          <w:marLeft w:val="0"/>
          <w:marRight w:val="0"/>
          <w:marTop w:val="0"/>
          <w:marBottom w:val="0"/>
          <w:divBdr>
            <w:top w:val="none" w:sz="0" w:space="0" w:color="auto"/>
            <w:left w:val="none" w:sz="0" w:space="0" w:color="auto"/>
            <w:bottom w:val="none" w:sz="0" w:space="0" w:color="auto"/>
            <w:right w:val="none" w:sz="0" w:space="0" w:color="auto"/>
          </w:divBdr>
        </w:div>
        <w:div w:id="1876305550">
          <w:marLeft w:val="0"/>
          <w:marRight w:val="0"/>
          <w:marTop w:val="0"/>
          <w:marBottom w:val="0"/>
          <w:divBdr>
            <w:top w:val="none" w:sz="0" w:space="0" w:color="auto"/>
            <w:left w:val="none" w:sz="0" w:space="0" w:color="auto"/>
            <w:bottom w:val="none" w:sz="0" w:space="0" w:color="auto"/>
            <w:right w:val="none" w:sz="0" w:space="0" w:color="auto"/>
          </w:divBdr>
        </w:div>
        <w:div w:id="1974217143">
          <w:marLeft w:val="0"/>
          <w:marRight w:val="0"/>
          <w:marTop w:val="0"/>
          <w:marBottom w:val="0"/>
          <w:divBdr>
            <w:top w:val="none" w:sz="0" w:space="0" w:color="auto"/>
            <w:left w:val="none" w:sz="0" w:space="0" w:color="auto"/>
            <w:bottom w:val="none" w:sz="0" w:space="0" w:color="auto"/>
            <w:right w:val="none" w:sz="0" w:space="0" w:color="auto"/>
          </w:divBdr>
        </w:div>
        <w:div w:id="1975015831">
          <w:marLeft w:val="0"/>
          <w:marRight w:val="0"/>
          <w:marTop w:val="0"/>
          <w:marBottom w:val="0"/>
          <w:divBdr>
            <w:top w:val="none" w:sz="0" w:space="0" w:color="auto"/>
            <w:left w:val="none" w:sz="0" w:space="0" w:color="auto"/>
            <w:bottom w:val="none" w:sz="0" w:space="0" w:color="auto"/>
            <w:right w:val="none" w:sz="0" w:space="0" w:color="auto"/>
          </w:divBdr>
        </w:div>
        <w:div w:id="2021276877">
          <w:marLeft w:val="0"/>
          <w:marRight w:val="0"/>
          <w:marTop w:val="0"/>
          <w:marBottom w:val="0"/>
          <w:divBdr>
            <w:top w:val="none" w:sz="0" w:space="0" w:color="auto"/>
            <w:left w:val="none" w:sz="0" w:space="0" w:color="auto"/>
            <w:bottom w:val="none" w:sz="0" w:space="0" w:color="auto"/>
            <w:right w:val="none" w:sz="0" w:space="0" w:color="auto"/>
          </w:divBdr>
        </w:div>
      </w:divsChild>
    </w:div>
    <w:div w:id="1720742522">
      <w:bodyDiv w:val="1"/>
      <w:marLeft w:val="0"/>
      <w:marRight w:val="0"/>
      <w:marTop w:val="0"/>
      <w:marBottom w:val="0"/>
      <w:divBdr>
        <w:top w:val="none" w:sz="0" w:space="0" w:color="auto"/>
        <w:left w:val="none" w:sz="0" w:space="0" w:color="auto"/>
        <w:bottom w:val="none" w:sz="0" w:space="0" w:color="auto"/>
        <w:right w:val="none" w:sz="0" w:space="0" w:color="auto"/>
      </w:divBdr>
    </w:div>
    <w:div w:id="1790659444">
      <w:bodyDiv w:val="1"/>
      <w:marLeft w:val="0"/>
      <w:marRight w:val="0"/>
      <w:marTop w:val="0"/>
      <w:marBottom w:val="0"/>
      <w:divBdr>
        <w:top w:val="none" w:sz="0" w:space="0" w:color="auto"/>
        <w:left w:val="none" w:sz="0" w:space="0" w:color="auto"/>
        <w:bottom w:val="none" w:sz="0" w:space="0" w:color="auto"/>
        <w:right w:val="none" w:sz="0" w:space="0" w:color="auto"/>
      </w:divBdr>
      <w:divsChild>
        <w:div w:id="61606758">
          <w:marLeft w:val="0"/>
          <w:marRight w:val="0"/>
          <w:marTop w:val="0"/>
          <w:marBottom w:val="0"/>
          <w:divBdr>
            <w:top w:val="none" w:sz="0" w:space="0" w:color="auto"/>
            <w:left w:val="none" w:sz="0" w:space="0" w:color="auto"/>
            <w:bottom w:val="none" w:sz="0" w:space="0" w:color="auto"/>
            <w:right w:val="none" w:sz="0" w:space="0" w:color="auto"/>
          </w:divBdr>
        </w:div>
        <w:div w:id="142628034">
          <w:marLeft w:val="0"/>
          <w:marRight w:val="0"/>
          <w:marTop w:val="0"/>
          <w:marBottom w:val="0"/>
          <w:divBdr>
            <w:top w:val="none" w:sz="0" w:space="0" w:color="auto"/>
            <w:left w:val="none" w:sz="0" w:space="0" w:color="auto"/>
            <w:bottom w:val="none" w:sz="0" w:space="0" w:color="auto"/>
            <w:right w:val="none" w:sz="0" w:space="0" w:color="auto"/>
          </w:divBdr>
        </w:div>
        <w:div w:id="247010417">
          <w:marLeft w:val="0"/>
          <w:marRight w:val="0"/>
          <w:marTop w:val="0"/>
          <w:marBottom w:val="0"/>
          <w:divBdr>
            <w:top w:val="none" w:sz="0" w:space="0" w:color="auto"/>
            <w:left w:val="none" w:sz="0" w:space="0" w:color="auto"/>
            <w:bottom w:val="none" w:sz="0" w:space="0" w:color="auto"/>
            <w:right w:val="none" w:sz="0" w:space="0" w:color="auto"/>
          </w:divBdr>
        </w:div>
        <w:div w:id="500004964">
          <w:marLeft w:val="0"/>
          <w:marRight w:val="0"/>
          <w:marTop w:val="0"/>
          <w:marBottom w:val="0"/>
          <w:divBdr>
            <w:top w:val="none" w:sz="0" w:space="0" w:color="auto"/>
            <w:left w:val="none" w:sz="0" w:space="0" w:color="auto"/>
            <w:bottom w:val="none" w:sz="0" w:space="0" w:color="auto"/>
            <w:right w:val="none" w:sz="0" w:space="0" w:color="auto"/>
          </w:divBdr>
        </w:div>
        <w:div w:id="512260778">
          <w:marLeft w:val="0"/>
          <w:marRight w:val="0"/>
          <w:marTop w:val="0"/>
          <w:marBottom w:val="0"/>
          <w:divBdr>
            <w:top w:val="none" w:sz="0" w:space="0" w:color="auto"/>
            <w:left w:val="none" w:sz="0" w:space="0" w:color="auto"/>
            <w:bottom w:val="none" w:sz="0" w:space="0" w:color="auto"/>
            <w:right w:val="none" w:sz="0" w:space="0" w:color="auto"/>
          </w:divBdr>
        </w:div>
        <w:div w:id="540482216">
          <w:marLeft w:val="0"/>
          <w:marRight w:val="0"/>
          <w:marTop w:val="0"/>
          <w:marBottom w:val="0"/>
          <w:divBdr>
            <w:top w:val="none" w:sz="0" w:space="0" w:color="auto"/>
            <w:left w:val="none" w:sz="0" w:space="0" w:color="auto"/>
            <w:bottom w:val="none" w:sz="0" w:space="0" w:color="auto"/>
            <w:right w:val="none" w:sz="0" w:space="0" w:color="auto"/>
          </w:divBdr>
        </w:div>
        <w:div w:id="821586326">
          <w:marLeft w:val="0"/>
          <w:marRight w:val="0"/>
          <w:marTop w:val="0"/>
          <w:marBottom w:val="0"/>
          <w:divBdr>
            <w:top w:val="none" w:sz="0" w:space="0" w:color="auto"/>
            <w:left w:val="none" w:sz="0" w:space="0" w:color="auto"/>
            <w:bottom w:val="none" w:sz="0" w:space="0" w:color="auto"/>
            <w:right w:val="none" w:sz="0" w:space="0" w:color="auto"/>
          </w:divBdr>
        </w:div>
        <w:div w:id="829294872">
          <w:marLeft w:val="0"/>
          <w:marRight w:val="0"/>
          <w:marTop w:val="0"/>
          <w:marBottom w:val="0"/>
          <w:divBdr>
            <w:top w:val="none" w:sz="0" w:space="0" w:color="auto"/>
            <w:left w:val="none" w:sz="0" w:space="0" w:color="auto"/>
            <w:bottom w:val="none" w:sz="0" w:space="0" w:color="auto"/>
            <w:right w:val="none" w:sz="0" w:space="0" w:color="auto"/>
          </w:divBdr>
        </w:div>
        <w:div w:id="899747459">
          <w:marLeft w:val="0"/>
          <w:marRight w:val="0"/>
          <w:marTop w:val="0"/>
          <w:marBottom w:val="0"/>
          <w:divBdr>
            <w:top w:val="none" w:sz="0" w:space="0" w:color="auto"/>
            <w:left w:val="none" w:sz="0" w:space="0" w:color="auto"/>
            <w:bottom w:val="none" w:sz="0" w:space="0" w:color="auto"/>
            <w:right w:val="none" w:sz="0" w:space="0" w:color="auto"/>
          </w:divBdr>
        </w:div>
        <w:div w:id="912813306">
          <w:marLeft w:val="0"/>
          <w:marRight w:val="0"/>
          <w:marTop w:val="0"/>
          <w:marBottom w:val="0"/>
          <w:divBdr>
            <w:top w:val="none" w:sz="0" w:space="0" w:color="auto"/>
            <w:left w:val="none" w:sz="0" w:space="0" w:color="auto"/>
            <w:bottom w:val="none" w:sz="0" w:space="0" w:color="auto"/>
            <w:right w:val="none" w:sz="0" w:space="0" w:color="auto"/>
          </w:divBdr>
        </w:div>
        <w:div w:id="930550943">
          <w:marLeft w:val="0"/>
          <w:marRight w:val="0"/>
          <w:marTop w:val="0"/>
          <w:marBottom w:val="0"/>
          <w:divBdr>
            <w:top w:val="none" w:sz="0" w:space="0" w:color="auto"/>
            <w:left w:val="none" w:sz="0" w:space="0" w:color="auto"/>
            <w:bottom w:val="none" w:sz="0" w:space="0" w:color="auto"/>
            <w:right w:val="none" w:sz="0" w:space="0" w:color="auto"/>
          </w:divBdr>
        </w:div>
        <w:div w:id="967854111">
          <w:marLeft w:val="0"/>
          <w:marRight w:val="0"/>
          <w:marTop w:val="0"/>
          <w:marBottom w:val="0"/>
          <w:divBdr>
            <w:top w:val="none" w:sz="0" w:space="0" w:color="auto"/>
            <w:left w:val="none" w:sz="0" w:space="0" w:color="auto"/>
            <w:bottom w:val="none" w:sz="0" w:space="0" w:color="auto"/>
            <w:right w:val="none" w:sz="0" w:space="0" w:color="auto"/>
          </w:divBdr>
        </w:div>
        <w:div w:id="983045316">
          <w:marLeft w:val="0"/>
          <w:marRight w:val="0"/>
          <w:marTop w:val="0"/>
          <w:marBottom w:val="0"/>
          <w:divBdr>
            <w:top w:val="none" w:sz="0" w:space="0" w:color="auto"/>
            <w:left w:val="none" w:sz="0" w:space="0" w:color="auto"/>
            <w:bottom w:val="none" w:sz="0" w:space="0" w:color="auto"/>
            <w:right w:val="none" w:sz="0" w:space="0" w:color="auto"/>
          </w:divBdr>
        </w:div>
        <w:div w:id="1162621218">
          <w:marLeft w:val="0"/>
          <w:marRight w:val="0"/>
          <w:marTop w:val="0"/>
          <w:marBottom w:val="0"/>
          <w:divBdr>
            <w:top w:val="none" w:sz="0" w:space="0" w:color="auto"/>
            <w:left w:val="none" w:sz="0" w:space="0" w:color="auto"/>
            <w:bottom w:val="none" w:sz="0" w:space="0" w:color="auto"/>
            <w:right w:val="none" w:sz="0" w:space="0" w:color="auto"/>
          </w:divBdr>
        </w:div>
        <w:div w:id="1179000286">
          <w:marLeft w:val="0"/>
          <w:marRight w:val="0"/>
          <w:marTop w:val="0"/>
          <w:marBottom w:val="0"/>
          <w:divBdr>
            <w:top w:val="none" w:sz="0" w:space="0" w:color="auto"/>
            <w:left w:val="none" w:sz="0" w:space="0" w:color="auto"/>
            <w:bottom w:val="none" w:sz="0" w:space="0" w:color="auto"/>
            <w:right w:val="none" w:sz="0" w:space="0" w:color="auto"/>
          </w:divBdr>
        </w:div>
        <w:div w:id="1183394822">
          <w:marLeft w:val="0"/>
          <w:marRight w:val="0"/>
          <w:marTop w:val="0"/>
          <w:marBottom w:val="0"/>
          <w:divBdr>
            <w:top w:val="none" w:sz="0" w:space="0" w:color="auto"/>
            <w:left w:val="none" w:sz="0" w:space="0" w:color="auto"/>
            <w:bottom w:val="none" w:sz="0" w:space="0" w:color="auto"/>
            <w:right w:val="none" w:sz="0" w:space="0" w:color="auto"/>
          </w:divBdr>
        </w:div>
        <w:div w:id="1188568841">
          <w:marLeft w:val="0"/>
          <w:marRight w:val="0"/>
          <w:marTop w:val="0"/>
          <w:marBottom w:val="0"/>
          <w:divBdr>
            <w:top w:val="none" w:sz="0" w:space="0" w:color="auto"/>
            <w:left w:val="none" w:sz="0" w:space="0" w:color="auto"/>
            <w:bottom w:val="none" w:sz="0" w:space="0" w:color="auto"/>
            <w:right w:val="none" w:sz="0" w:space="0" w:color="auto"/>
          </w:divBdr>
        </w:div>
        <w:div w:id="1217083755">
          <w:marLeft w:val="0"/>
          <w:marRight w:val="0"/>
          <w:marTop w:val="0"/>
          <w:marBottom w:val="0"/>
          <w:divBdr>
            <w:top w:val="none" w:sz="0" w:space="0" w:color="auto"/>
            <w:left w:val="none" w:sz="0" w:space="0" w:color="auto"/>
            <w:bottom w:val="none" w:sz="0" w:space="0" w:color="auto"/>
            <w:right w:val="none" w:sz="0" w:space="0" w:color="auto"/>
          </w:divBdr>
        </w:div>
        <w:div w:id="1253247316">
          <w:marLeft w:val="0"/>
          <w:marRight w:val="0"/>
          <w:marTop w:val="0"/>
          <w:marBottom w:val="0"/>
          <w:divBdr>
            <w:top w:val="none" w:sz="0" w:space="0" w:color="auto"/>
            <w:left w:val="none" w:sz="0" w:space="0" w:color="auto"/>
            <w:bottom w:val="none" w:sz="0" w:space="0" w:color="auto"/>
            <w:right w:val="none" w:sz="0" w:space="0" w:color="auto"/>
          </w:divBdr>
        </w:div>
        <w:div w:id="1322078900">
          <w:marLeft w:val="0"/>
          <w:marRight w:val="0"/>
          <w:marTop w:val="0"/>
          <w:marBottom w:val="0"/>
          <w:divBdr>
            <w:top w:val="none" w:sz="0" w:space="0" w:color="auto"/>
            <w:left w:val="none" w:sz="0" w:space="0" w:color="auto"/>
            <w:bottom w:val="none" w:sz="0" w:space="0" w:color="auto"/>
            <w:right w:val="none" w:sz="0" w:space="0" w:color="auto"/>
          </w:divBdr>
        </w:div>
        <w:div w:id="1328704608">
          <w:marLeft w:val="0"/>
          <w:marRight w:val="0"/>
          <w:marTop w:val="0"/>
          <w:marBottom w:val="0"/>
          <w:divBdr>
            <w:top w:val="none" w:sz="0" w:space="0" w:color="auto"/>
            <w:left w:val="none" w:sz="0" w:space="0" w:color="auto"/>
            <w:bottom w:val="none" w:sz="0" w:space="0" w:color="auto"/>
            <w:right w:val="none" w:sz="0" w:space="0" w:color="auto"/>
          </w:divBdr>
        </w:div>
        <w:div w:id="1355229300">
          <w:marLeft w:val="0"/>
          <w:marRight w:val="0"/>
          <w:marTop w:val="0"/>
          <w:marBottom w:val="0"/>
          <w:divBdr>
            <w:top w:val="none" w:sz="0" w:space="0" w:color="auto"/>
            <w:left w:val="none" w:sz="0" w:space="0" w:color="auto"/>
            <w:bottom w:val="none" w:sz="0" w:space="0" w:color="auto"/>
            <w:right w:val="none" w:sz="0" w:space="0" w:color="auto"/>
          </w:divBdr>
        </w:div>
        <w:div w:id="1428816985">
          <w:marLeft w:val="0"/>
          <w:marRight w:val="0"/>
          <w:marTop w:val="0"/>
          <w:marBottom w:val="0"/>
          <w:divBdr>
            <w:top w:val="none" w:sz="0" w:space="0" w:color="auto"/>
            <w:left w:val="none" w:sz="0" w:space="0" w:color="auto"/>
            <w:bottom w:val="none" w:sz="0" w:space="0" w:color="auto"/>
            <w:right w:val="none" w:sz="0" w:space="0" w:color="auto"/>
          </w:divBdr>
        </w:div>
        <w:div w:id="1487428794">
          <w:marLeft w:val="0"/>
          <w:marRight w:val="0"/>
          <w:marTop w:val="0"/>
          <w:marBottom w:val="0"/>
          <w:divBdr>
            <w:top w:val="none" w:sz="0" w:space="0" w:color="auto"/>
            <w:left w:val="none" w:sz="0" w:space="0" w:color="auto"/>
            <w:bottom w:val="none" w:sz="0" w:space="0" w:color="auto"/>
            <w:right w:val="none" w:sz="0" w:space="0" w:color="auto"/>
          </w:divBdr>
        </w:div>
        <w:div w:id="1557281722">
          <w:marLeft w:val="0"/>
          <w:marRight w:val="0"/>
          <w:marTop w:val="0"/>
          <w:marBottom w:val="0"/>
          <w:divBdr>
            <w:top w:val="none" w:sz="0" w:space="0" w:color="auto"/>
            <w:left w:val="none" w:sz="0" w:space="0" w:color="auto"/>
            <w:bottom w:val="none" w:sz="0" w:space="0" w:color="auto"/>
            <w:right w:val="none" w:sz="0" w:space="0" w:color="auto"/>
          </w:divBdr>
        </w:div>
        <w:div w:id="1651405768">
          <w:marLeft w:val="0"/>
          <w:marRight w:val="0"/>
          <w:marTop w:val="0"/>
          <w:marBottom w:val="0"/>
          <w:divBdr>
            <w:top w:val="none" w:sz="0" w:space="0" w:color="auto"/>
            <w:left w:val="none" w:sz="0" w:space="0" w:color="auto"/>
            <w:bottom w:val="none" w:sz="0" w:space="0" w:color="auto"/>
            <w:right w:val="none" w:sz="0" w:space="0" w:color="auto"/>
          </w:divBdr>
        </w:div>
        <w:div w:id="1708875258">
          <w:marLeft w:val="0"/>
          <w:marRight w:val="0"/>
          <w:marTop w:val="0"/>
          <w:marBottom w:val="0"/>
          <w:divBdr>
            <w:top w:val="none" w:sz="0" w:space="0" w:color="auto"/>
            <w:left w:val="none" w:sz="0" w:space="0" w:color="auto"/>
            <w:bottom w:val="none" w:sz="0" w:space="0" w:color="auto"/>
            <w:right w:val="none" w:sz="0" w:space="0" w:color="auto"/>
          </w:divBdr>
        </w:div>
        <w:div w:id="1764456195">
          <w:marLeft w:val="0"/>
          <w:marRight w:val="0"/>
          <w:marTop w:val="0"/>
          <w:marBottom w:val="0"/>
          <w:divBdr>
            <w:top w:val="none" w:sz="0" w:space="0" w:color="auto"/>
            <w:left w:val="none" w:sz="0" w:space="0" w:color="auto"/>
            <w:bottom w:val="none" w:sz="0" w:space="0" w:color="auto"/>
            <w:right w:val="none" w:sz="0" w:space="0" w:color="auto"/>
          </w:divBdr>
        </w:div>
        <w:div w:id="1786849815">
          <w:marLeft w:val="0"/>
          <w:marRight w:val="0"/>
          <w:marTop w:val="0"/>
          <w:marBottom w:val="0"/>
          <w:divBdr>
            <w:top w:val="none" w:sz="0" w:space="0" w:color="auto"/>
            <w:left w:val="none" w:sz="0" w:space="0" w:color="auto"/>
            <w:bottom w:val="none" w:sz="0" w:space="0" w:color="auto"/>
            <w:right w:val="none" w:sz="0" w:space="0" w:color="auto"/>
          </w:divBdr>
        </w:div>
        <w:div w:id="1795715698">
          <w:marLeft w:val="0"/>
          <w:marRight w:val="0"/>
          <w:marTop w:val="0"/>
          <w:marBottom w:val="0"/>
          <w:divBdr>
            <w:top w:val="none" w:sz="0" w:space="0" w:color="auto"/>
            <w:left w:val="none" w:sz="0" w:space="0" w:color="auto"/>
            <w:bottom w:val="none" w:sz="0" w:space="0" w:color="auto"/>
            <w:right w:val="none" w:sz="0" w:space="0" w:color="auto"/>
          </w:divBdr>
        </w:div>
        <w:div w:id="1830902227">
          <w:marLeft w:val="0"/>
          <w:marRight w:val="0"/>
          <w:marTop w:val="0"/>
          <w:marBottom w:val="0"/>
          <w:divBdr>
            <w:top w:val="none" w:sz="0" w:space="0" w:color="auto"/>
            <w:left w:val="none" w:sz="0" w:space="0" w:color="auto"/>
            <w:bottom w:val="none" w:sz="0" w:space="0" w:color="auto"/>
            <w:right w:val="none" w:sz="0" w:space="0" w:color="auto"/>
          </w:divBdr>
        </w:div>
        <w:div w:id="1865947308">
          <w:marLeft w:val="0"/>
          <w:marRight w:val="0"/>
          <w:marTop w:val="0"/>
          <w:marBottom w:val="0"/>
          <w:divBdr>
            <w:top w:val="none" w:sz="0" w:space="0" w:color="auto"/>
            <w:left w:val="none" w:sz="0" w:space="0" w:color="auto"/>
            <w:bottom w:val="none" w:sz="0" w:space="0" w:color="auto"/>
            <w:right w:val="none" w:sz="0" w:space="0" w:color="auto"/>
          </w:divBdr>
        </w:div>
        <w:div w:id="1932397236">
          <w:marLeft w:val="0"/>
          <w:marRight w:val="0"/>
          <w:marTop w:val="0"/>
          <w:marBottom w:val="0"/>
          <w:divBdr>
            <w:top w:val="none" w:sz="0" w:space="0" w:color="auto"/>
            <w:left w:val="none" w:sz="0" w:space="0" w:color="auto"/>
            <w:bottom w:val="none" w:sz="0" w:space="0" w:color="auto"/>
            <w:right w:val="none" w:sz="0" w:space="0" w:color="auto"/>
          </w:divBdr>
        </w:div>
        <w:div w:id="1999650033">
          <w:marLeft w:val="0"/>
          <w:marRight w:val="0"/>
          <w:marTop w:val="0"/>
          <w:marBottom w:val="0"/>
          <w:divBdr>
            <w:top w:val="none" w:sz="0" w:space="0" w:color="auto"/>
            <w:left w:val="none" w:sz="0" w:space="0" w:color="auto"/>
            <w:bottom w:val="none" w:sz="0" w:space="0" w:color="auto"/>
            <w:right w:val="none" w:sz="0" w:space="0" w:color="auto"/>
          </w:divBdr>
        </w:div>
        <w:div w:id="2072800676">
          <w:marLeft w:val="0"/>
          <w:marRight w:val="0"/>
          <w:marTop w:val="0"/>
          <w:marBottom w:val="0"/>
          <w:divBdr>
            <w:top w:val="none" w:sz="0" w:space="0" w:color="auto"/>
            <w:left w:val="none" w:sz="0" w:space="0" w:color="auto"/>
            <w:bottom w:val="none" w:sz="0" w:space="0" w:color="auto"/>
            <w:right w:val="none" w:sz="0" w:space="0" w:color="auto"/>
          </w:divBdr>
        </w:div>
        <w:div w:id="2079940605">
          <w:marLeft w:val="0"/>
          <w:marRight w:val="0"/>
          <w:marTop w:val="0"/>
          <w:marBottom w:val="0"/>
          <w:divBdr>
            <w:top w:val="none" w:sz="0" w:space="0" w:color="auto"/>
            <w:left w:val="none" w:sz="0" w:space="0" w:color="auto"/>
            <w:bottom w:val="none" w:sz="0" w:space="0" w:color="auto"/>
            <w:right w:val="none" w:sz="0" w:space="0" w:color="auto"/>
          </w:divBdr>
        </w:div>
      </w:divsChild>
    </w:div>
    <w:div w:id="1813599231">
      <w:bodyDiv w:val="1"/>
      <w:marLeft w:val="0"/>
      <w:marRight w:val="0"/>
      <w:marTop w:val="0"/>
      <w:marBottom w:val="0"/>
      <w:divBdr>
        <w:top w:val="none" w:sz="0" w:space="0" w:color="auto"/>
        <w:left w:val="none" w:sz="0" w:space="0" w:color="auto"/>
        <w:bottom w:val="none" w:sz="0" w:space="0" w:color="auto"/>
        <w:right w:val="none" w:sz="0" w:space="0" w:color="auto"/>
      </w:divBdr>
      <w:divsChild>
        <w:div w:id="43263101">
          <w:marLeft w:val="0"/>
          <w:marRight w:val="0"/>
          <w:marTop w:val="0"/>
          <w:marBottom w:val="0"/>
          <w:divBdr>
            <w:top w:val="none" w:sz="0" w:space="0" w:color="auto"/>
            <w:left w:val="none" w:sz="0" w:space="0" w:color="auto"/>
            <w:bottom w:val="none" w:sz="0" w:space="0" w:color="auto"/>
            <w:right w:val="none" w:sz="0" w:space="0" w:color="auto"/>
          </w:divBdr>
        </w:div>
        <w:div w:id="80569194">
          <w:marLeft w:val="0"/>
          <w:marRight w:val="0"/>
          <w:marTop w:val="0"/>
          <w:marBottom w:val="0"/>
          <w:divBdr>
            <w:top w:val="none" w:sz="0" w:space="0" w:color="auto"/>
            <w:left w:val="none" w:sz="0" w:space="0" w:color="auto"/>
            <w:bottom w:val="none" w:sz="0" w:space="0" w:color="auto"/>
            <w:right w:val="none" w:sz="0" w:space="0" w:color="auto"/>
          </w:divBdr>
        </w:div>
        <w:div w:id="122500831">
          <w:marLeft w:val="0"/>
          <w:marRight w:val="0"/>
          <w:marTop w:val="0"/>
          <w:marBottom w:val="0"/>
          <w:divBdr>
            <w:top w:val="none" w:sz="0" w:space="0" w:color="auto"/>
            <w:left w:val="none" w:sz="0" w:space="0" w:color="auto"/>
            <w:bottom w:val="none" w:sz="0" w:space="0" w:color="auto"/>
            <w:right w:val="none" w:sz="0" w:space="0" w:color="auto"/>
          </w:divBdr>
        </w:div>
        <w:div w:id="177080547">
          <w:marLeft w:val="0"/>
          <w:marRight w:val="0"/>
          <w:marTop w:val="0"/>
          <w:marBottom w:val="0"/>
          <w:divBdr>
            <w:top w:val="none" w:sz="0" w:space="0" w:color="auto"/>
            <w:left w:val="none" w:sz="0" w:space="0" w:color="auto"/>
            <w:bottom w:val="none" w:sz="0" w:space="0" w:color="auto"/>
            <w:right w:val="none" w:sz="0" w:space="0" w:color="auto"/>
          </w:divBdr>
        </w:div>
        <w:div w:id="200823691">
          <w:marLeft w:val="0"/>
          <w:marRight w:val="0"/>
          <w:marTop w:val="0"/>
          <w:marBottom w:val="0"/>
          <w:divBdr>
            <w:top w:val="none" w:sz="0" w:space="0" w:color="auto"/>
            <w:left w:val="none" w:sz="0" w:space="0" w:color="auto"/>
            <w:bottom w:val="none" w:sz="0" w:space="0" w:color="auto"/>
            <w:right w:val="none" w:sz="0" w:space="0" w:color="auto"/>
          </w:divBdr>
        </w:div>
        <w:div w:id="246037284">
          <w:marLeft w:val="0"/>
          <w:marRight w:val="0"/>
          <w:marTop w:val="0"/>
          <w:marBottom w:val="0"/>
          <w:divBdr>
            <w:top w:val="none" w:sz="0" w:space="0" w:color="auto"/>
            <w:left w:val="none" w:sz="0" w:space="0" w:color="auto"/>
            <w:bottom w:val="none" w:sz="0" w:space="0" w:color="auto"/>
            <w:right w:val="none" w:sz="0" w:space="0" w:color="auto"/>
          </w:divBdr>
        </w:div>
        <w:div w:id="284626242">
          <w:marLeft w:val="0"/>
          <w:marRight w:val="0"/>
          <w:marTop w:val="0"/>
          <w:marBottom w:val="0"/>
          <w:divBdr>
            <w:top w:val="none" w:sz="0" w:space="0" w:color="auto"/>
            <w:left w:val="none" w:sz="0" w:space="0" w:color="auto"/>
            <w:bottom w:val="none" w:sz="0" w:space="0" w:color="auto"/>
            <w:right w:val="none" w:sz="0" w:space="0" w:color="auto"/>
          </w:divBdr>
        </w:div>
        <w:div w:id="355621146">
          <w:marLeft w:val="0"/>
          <w:marRight w:val="0"/>
          <w:marTop w:val="0"/>
          <w:marBottom w:val="0"/>
          <w:divBdr>
            <w:top w:val="none" w:sz="0" w:space="0" w:color="auto"/>
            <w:left w:val="none" w:sz="0" w:space="0" w:color="auto"/>
            <w:bottom w:val="none" w:sz="0" w:space="0" w:color="auto"/>
            <w:right w:val="none" w:sz="0" w:space="0" w:color="auto"/>
          </w:divBdr>
        </w:div>
        <w:div w:id="357243113">
          <w:marLeft w:val="0"/>
          <w:marRight w:val="0"/>
          <w:marTop w:val="0"/>
          <w:marBottom w:val="0"/>
          <w:divBdr>
            <w:top w:val="none" w:sz="0" w:space="0" w:color="auto"/>
            <w:left w:val="none" w:sz="0" w:space="0" w:color="auto"/>
            <w:bottom w:val="none" w:sz="0" w:space="0" w:color="auto"/>
            <w:right w:val="none" w:sz="0" w:space="0" w:color="auto"/>
          </w:divBdr>
        </w:div>
        <w:div w:id="357439655">
          <w:marLeft w:val="0"/>
          <w:marRight w:val="0"/>
          <w:marTop w:val="0"/>
          <w:marBottom w:val="0"/>
          <w:divBdr>
            <w:top w:val="none" w:sz="0" w:space="0" w:color="auto"/>
            <w:left w:val="none" w:sz="0" w:space="0" w:color="auto"/>
            <w:bottom w:val="none" w:sz="0" w:space="0" w:color="auto"/>
            <w:right w:val="none" w:sz="0" w:space="0" w:color="auto"/>
          </w:divBdr>
        </w:div>
        <w:div w:id="430048737">
          <w:marLeft w:val="0"/>
          <w:marRight w:val="0"/>
          <w:marTop w:val="0"/>
          <w:marBottom w:val="0"/>
          <w:divBdr>
            <w:top w:val="none" w:sz="0" w:space="0" w:color="auto"/>
            <w:left w:val="none" w:sz="0" w:space="0" w:color="auto"/>
            <w:bottom w:val="none" w:sz="0" w:space="0" w:color="auto"/>
            <w:right w:val="none" w:sz="0" w:space="0" w:color="auto"/>
          </w:divBdr>
        </w:div>
        <w:div w:id="491141327">
          <w:marLeft w:val="0"/>
          <w:marRight w:val="0"/>
          <w:marTop w:val="0"/>
          <w:marBottom w:val="0"/>
          <w:divBdr>
            <w:top w:val="none" w:sz="0" w:space="0" w:color="auto"/>
            <w:left w:val="none" w:sz="0" w:space="0" w:color="auto"/>
            <w:bottom w:val="none" w:sz="0" w:space="0" w:color="auto"/>
            <w:right w:val="none" w:sz="0" w:space="0" w:color="auto"/>
          </w:divBdr>
        </w:div>
        <w:div w:id="565650620">
          <w:marLeft w:val="0"/>
          <w:marRight w:val="0"/>
          <w:marTop w:val="0"/>
          <w:marBottom w:val="0"/>
          <w:divBdr>
            <w:top w:val="none" w:sz="0" w:space="0" w:color="auto"/>
            <w:left w:val="none" w:sz="0" w:space="0" w:color="auto"/>
            <w:bottom w:val="none" w:sz="0" w:space="0" w:color="auto"/>
            <w:right w:val="none" w:sz="0" w:space="0" w:color="auto"/>
          </w:divBdr>
        </w:div>
        <w:div w:id="577323498">
          <w:marLeft w:val="0"/>
          <w:marRight w:val="0"/>
          <w:marTop w:val="0"/>
          <w:marBottom w:val="0"/>
          <w:divBdr>
            <w:top w:val="none" w:sz="0" w:space="0" w:color="auto"/>
            <w:left w:val="none" w:sz="0" w:space="0" w:color="auto"/>
            <w:bottom w:val="none" w:sz="0" w:space="0" w:color="auto"/>
            <w:right w:val="none" w:sz="0" w:space="0" w:color="auto"/>
          </w:divBdr>
        </w:div>
        <w:div w:id="666128735">
          <w:marLeft w:val="0"/>
          <w:marRight w:val="0"/>
          <w:marTop w:val="0"/>
          <w:marBottom w:val="0"/>
          <w:divBdr>
            <w:top w:val="none" w:sz="0" w:space="0" w:color="auto"/>
            <w:left w:val="none" w:sz="0" w:space="0" w:color="auto"/>
            <w:bottom w:val="none" w:sz="0" w:space="0" w:color="auto"/>
            <w:right w:val="none" w:sz="0" w:space="0" w:color="auto"/>
          </w:divBdr>
        </w:div>
        <w:div w:id="705104956">
          <w:marLeft w:val="0"/>
          <w:marRight w:val="0"/>
          <w:marTop w:val="0"/>
          <w:marBottom w:val="0"/>
          <w:divBdr>
            <w:top w:val="none" w:sz="0" w:space="0" w:color="auto"/>
            <w:left w:val="none" w:sz="0" w:space="0" w:color="auto"/>
            <w:bottom w:val="none" w:sz="0" w:space="0" w:color="auto"/>
            <w:right w:val="none" w:sz="0" w:space="0" w:color="auto"/>
          </w:divBdr>
        </w:div>
        <w:div w:id="738286307">
          <w:marLeft w:val="0"/>
          <w:marRight w:val="0"/>
          <w:marTop w:val="0"/>
          <w:marBottom w:val="0"/>
          <w:divBdr>
            <w:top w:val="none" w:sz="0" w:space="0" w:color="auto"/>
            <w:left w:val="none" w:sz="0" w:space="0" w:color="auto"/>
            <w:bottom w:val="none" w:sz="0" w:space="0" w:color="auto"/>
            <w:right w:val="none" w:sz="0" w:space="0" w:color="auto"/>
          </w:divBdr>
        </w:div>
        <w:div w:id="741753912">
          <w:marLeft w:val="0"/>
          <w:marRight w:val="0"/>
          <w:marTop w:val="0"/>
          <w:marBottom w:val="0"/>
          <w:divBdr>
            <w:top w:val="none" w:sz="0" w:space="0" w:color="auto"/>
            <w:left w:val="none" w:sz="0" w:space="0" w:color="auto"/>
            <w:bottom w:val="none" w:sz="0" w:space="0" w:color="auto"/>
            <w:right w:val="none" w:sz="0" w:space="0" w:color="auto"/>
          </w:divBdr>
        </w:div>
        <w:div w:id="770050532">
          <w:marLeft w:val="0"/>
          <w:marRight w:val="0"/>
          <w:marTop w:val="0"/>
          <w:marBottom w:val="0"/>
          <w:divBdr>
            <w:top w:val="none" w:sz="0" w:space="0" w:color="auto"/>
            <w:left w:val="none" w:sz="0" w:space="0" w:color="auto"/>
            <w:bottom w:val="none" w:sz="0" w:space="0" w:color="auto"/>
            <w:right w:val="none" w:sz="0" w:space="0" w:color="auto"/>
          </w:divBdr>
        </w:div>
        <w:div w:id="776295845">
          <w:marLeft w:val="0"/>
          <w:marRight w:val="0"/>
          <w:marTop w:val="0"/>
          <w:marBottom w:val="0"/>
          <w:divBdr>
            <w:top w:val="none" w:sz="0" w:space="0" w:color="auto"/>
            <w:left w:val="none" w:sz="0" w:space="0" w:color="auto"/>
            <w:bottom w:val="none" w:sz="0" w:space="0" w:color="auto"/>
            <w:right w:val="none" w:sz="0" w:space="0" w:color="auto"/>
          </w:divBdr>
        </w:div>
        <w:div w:id="839004433">
          <w:marLeft w:val="0"/>
          <w:marRight w:val="0"/>
          <w:marTop w:val="0"/>
          <w:marBottom w:val="0"/>
          <w:divBdr>
            <w:top w:val="none" w:sz="0" w:space="0" w:color="auto"/>
            <w:left w:val="none" w:sz="0" w:space="0" w:color="auto"/>
            <w:bottom w:val="none" w:sz="0" w:space="0" w:color="auto"/>
            <w:right w:val="none" w:sz="0" w:space="0" w:color="auto"/>
          </w:divBdr>
        </w:div>
        <w:div w:id="860363678">
          <w:marLeft w:val="0"/>
          <w:marRight w:val="0"/>
          <w:marTop w:val="0"/>
          <w:marBottom w:val="0"/>
          <w:divBdr>
            <w:top w:val="none" w:sz="0" w:space="0" w:color="auto"/>
            <w:left w:val="none" w:sz="0" w:space="0" w:color="auto"/>
            <w:bottom w:val="none" w:sz="0" w:space="0" w:color="auto"/>
            <w:right w:val="none" w:sz="0" w:space="0" w:color="auto"/>
          </w:divBdr>
        </w:div>
        <w:div w:id="880021144">
          <w:marLeft w:val="0"/>
          <w:marRight w:val="0"/>
          <w:marTop w:val="0"/>
          <w:marBottom w:val="0"/>
          <w:divBdr>
            <w:top w:val="none" w:sz="0" w:space="0" w:color="auto"/>
            <w:left w:val="none" w:sz="0" w:space="0" w:color="auto"/>
            <w:bottom w:val="none" w:sz="0" w:space="0" w:color="auto"/>
            <w:right w:val="none" w:sz="0" w:space="0" w:color="auto"/>
          </w:divBdr>
        </w:div>
        <w:div w:id="890387408">
          <w:marLeft w:val="0"/>
          <w:marRight w:val="0"/>
          <w:marTop w:val="0"/>
          <w:marBottom w:val="0"/>
          <w:divBdr>
            <w:top w:val="none" w:sz="0" w:space="0" w:color="auto"/>
            <w:left w:val="none" w:sz="0" w:space="0" w:color="auto"/>
            <w:bottom w:val="none" w:sz="0" w:space="0" w:color="auto"/>
            <w:right w:val="none" w:sz="0" w:space="0" w:color="auto"/>
          </w:divBdr>
        </w:div>
        <w:div w:id="896862294">
          <w:marLeft w:val="0"/>
          <w:marRight w:val="0"/>
          <w:marTop w:val="0"/>
          <w:marBottom w:val="0"/>
          <w:divBdr>
            <w:top w:val="none" w:sz="0" w:space="0" w:color="auto"/>
            <w:left w:val="none" w:sz="0" w:space="0" w:color="auto"/>
            <w:bottom w:val="none" w:sz="0" w:space="0" w:color="auto"/>
            <w:right w:val="none" w:sz="0" w:space="0" w:color="auto"/>
          </w:divBdr>
        </w:div>
        <w:div w:id="944733419">
          <w:marLeft w:val="0"/>
          <w:marRight w:val="0"/>
          <w:marTop w:val="0"/>
          <w:marBottom w:val="0"/>
          <w:divBdr>
            <w:top w:val="none" w:sz="0" w:space="0" w:color="auto"/>
            <w:left w:val="none" w:sz="0" w:space="0" w:color="auto"/>
            <w:bottom w:val="none" w:sz="0" w:space="0" w:color="auto"/>
            <w:right w:val="none" w:sz="0" w:space="0" w:color="auto"/>
          </w:divBdr>
        </w:div>
        <w:div w:id="970357863">
          <w:marLeft w:val="0"/>
          <w:marRight w:val="0"/>
          <w:marTop w:val="0"/>
          <w:marBottom w:val="0"/>
          <w:divBdr>
            <w:top w:val="none" w:sz="0" w:space="0" w:color="auto"/>
            <w:left w:val="none" w:sz="0" w:space="0" w:color="auto"/>
            <w:bottom w:val="none" w:sz="0" w:space="0" w:color="auto"/>
            <w:right w:val="none" w:sz="0" w:space="0" w:color="auto"/>
          </w:divBdr>
        </w:div>
        <w:div w:id="985091350">
          <w:marLeft w:val="0"/>
          <w:marRight w:val="0"/>
          <w:marTop w:val="0"/>
          <w:marBottom w:val="0"/>
          <w:divBdr>
            <w:top w:val="none" w:sz="0" w:space="0" w:color="auto"/>
            <w:left w:val="none" w:sz="0" w:space="0" w:color="auto"/>
            <w:bottom w:val="none" w:sz="0" w:space="0" w:color="auto"/>
            <w:right w:val="none" w:sz="0" w:space="0" w:color="auto"/>
          </w:divBdr>
        </w:div>
        <w:div w:id="1060594232">
          <w:marLeft w:val="0"/>
          <w:marRight w:val="0"/>
          <w:marTop w:val="0"/>
          <w:marBottom w:val="0"/>
          <w:divBdr>
            <w:top w:val="none" w:sz="0" w:space="0" w:color="auto"/>
            <w:left w:val="none" w:sz="0" w:space="0" w:color="auto"/>
            <w:bottom w:val="none" w:sz="0" w:space="0" w:color="auto"/>
            <w:right w:val="none" w:sz="0" w:space="0" w:color="auto"/>
          </w:divBdr>
        </w:div>
        <w:div w:id="1111129326">
          <w:marLeft w:val="0"/>
          <w:marRight w:val="0"/>
          <w:marTop w:val="0"/>
          <w:marBottom w:val="0"/>
          <w:divBdr>
            <w:top w:val="none" w:sz="0" w:space="0" w:color="auto"/>
            <w:left w:val="none" w:sz="0" w:space="0" w:color="auto"/>
            <w:bottom w:val="none" w:sz="0" w:space="0" w:color="auto"/>
            <w:right w:val="none" w:sz="0" w:space="0" w:color="auto"/>
          </w:divBdr>
        </w:div>
        <w:div w:id="1115177859">
          <w:marLeft w:val="0"/>
          <w:marRight w:val="0"/>
          <w:marTop w:val="0"/>
          <w:marBottom w:val="0"/>
          <w:divBdr>
            <w:top w:val="none" w:sz="0" w:space="0" w:color="auto"/>
            <w:left w:val="none" w:sz="0" w:space="0" w:color="auto"/>
            <w:bottom w:val="none" w:sz="0" w:space="0" w:color="auto"/>
            <w:right w:val="none" w:sz="0" w:space="0" w:color="auto"/>
          </w:divBdr>
        </w:div>
        <w:div w:id="1218131669">
          <w:marLeft w:val="0"/>
          <w:marRight w:val="0"/>
          <w:marTop w:val="0"/>
          <w:marBottom w:val="0"/>
          <w:divBdr>
            <w:top w:val="none" w:sz="0" w:space="0" w:color="auto"/>
            <w:left w:val="none" w:sz="0" w:space="0" w:color="auto"/>
            <w:bottom w:val="none" w:sz="0" w:space="0" w:color="auto"/>
            <w:right w:val="none" w:sz="0" w:space="0" w:color="auto"/>
          </w:divBdr>
        </w:div>
        <w:div w:id="1237133830">
          <w:marLeft w:val="0"/>
          <w:marRight w:val="0"/>
          <w:marTop w:val="0"/>
          <w:marBottom w:val="0"/>
          <w:divBdr>
            <w:top w:val="none" w:sz="0" w:space="0" w:color="auto"/>
            <w:left w:val="none" w:sz="0" w:space="0" w:color="auto"/>
            <w:bottom w:val="none" w:sz="0" w:space="0" w:color="auto"/>
            <w:right w:val="none" w:sz="0" w:space="0" w:color="auto"/>
          </w:divBdr>
        </w:div>
        <w:div w:id="1247299516">
          <w:marLeft w:val="0"/>
          <w:marRight w:val="0"/>
          <w:marTop w:val="0"/>
          <w:marBottom w:val="0"/>
          <w:divBdr>
            <w:top w:val="none" w:sz="0" w:space="0" w:color="auto"/>
            <w:left w:val="none" w:sz="0" w:space="0" w:color="auto"/>
            <w:bottom w:val="none" w:sz="0" w:space="0" w:color="auto"/>
            <w:right w:val="none" w:sz="0" w:space="0" w:color="auto"/>
          </w:divBdr>
        </w:div>
        <w:div w:id="1320773302">
          <w:marLeft w:val="0"/>
          <w:marRight w:val="0"/>
          <w:marTop w:val="0"/>
          <w:marBottom w:val="0"/>
          <w:divBdr>
            <w:top w:val="none" w:sz="0" w:space="0" w:color="auto"/>
            <w:left w:val="none" w:sz="0" w:space="0" w:color="auto"/>
            <w:bottom w:val="none" w:sz="0" w:space="0" w:color="auto"/>
            <w:right w:val="none" w:sz="0" w:space="0" w:color="auto"/>
          </w:divBdr>
        </w:div>
        <w:div w:id="1354570214">
          <w:marLeft w:val="0"/>
          <w:marRight w:val="0"/>
          <w:marTop w:val="0"/>
          <w:marBottom w:val="0"/>
          <w:divBdr>
            <w:top w:val="none" w:sz="0" w:space="0" w:color="auto"/>
            <w:left w:val="none" w:sz="0" w:space="0" w:color="auto"/>
            <w:bottom w:val="none" w:sz="0" w:space="0" w:color="auto"/>
            <w:right w:val="none" w:sz="0" w:space="0" w:color="auto"/>
          </w:divBdr>
        </w:div>
        <w:div w:id="1381781991">
          <w:marLeft w:val="0"/>
          <w:marRight w:val="0"/>
          <w:marTop w:val="0"/>
          <w:marBottom w:val="0"/>
          <w:divBdr>
            <w:top w:val="none" w:sz="0" w:space="0" w:color="auto"/>
            <w:left w:val="none" w:sz="0" w:space="0" w:color="auto"/>
            <w:bottom w:val="none" w:sz="0" w:space="0" w:color="auto"/>
            <w:right w:val="none" w:sz="0" w:space="0" w:color="auto"/>
          </w:divBdr>
        </w:div>
        <w:div w:id="1443068657">
          <w:marLeft w:val="0"/>
          <w:marRight w:val="0"/>
          <w:marTop w:val="0"/>
          <w:marBottom w:val="0"/>
          <w:divBdr>
            <w:top w:val="none" w:sz="0" w:space="0" w:color="auto"/>
            <w:left w:val="none" w:sz="0" w:space="0" w:color="auto"/>
            <w:bottom w:val="none" w:sz="0" w:space="0" w:color="auto"/>
            <w:right w:val="none" w:sz="0" w:space="0" w:color="auto"/>
          </w:divBdr>
        </w:div>
        <w:div w:id="1490752538">
          <w:marLeft w:val="0"/>
          <w:marRight w:val="0"/>
          <w:marTop w:val="0"/>
          <w:marBottom w:val="0"/>
          <w:divBdr>
            <w:top w:val="none" w:sz="0" w:space="0" w:color="auto"/>
            <w:left w:val="none" w:sz="0" w:space="0" w:color="auto"/>
            <w:bottom w:val="none" w:sz="0" w:space="0" w:color="auto"/>
            <w:right w:val="none" w:sz="0" w:space="0" w:color="auto"/>
          </w:divBdr>
        </w:div>
        <w:div w:id="1496646186">
          <w:marLeft w:val="0"/>
          <w:marRight w:val="0"/>
          <w:marTop w:val="0"/>
          <w:marBottom w:val="0"/>
          <w:divBdr>
            <w:top w:val="none" w:sz="0" w:space="0" w:color="auto"/>
            <w:left w:val="none" w:sz="0" w:space="0" w:color="auto"/>
            <w:bottom w:val="none" w:sz="0" w:space="0" w:color="auto"/>
            <w:right w:val="none" w:sz="0" w:space="0" w:color="auto"/>
          </w:divBdr>
        </w:div>
        <w:div w:id="1527325429">
          <w:marLeft w:val="0"/>
          <w:marRight w:val="0"/>
          <w:marTop w:val="0"/>
          <w:marBottom w:val="0"/>
          <w:divBdr>
            <w:top w:val="none" w:sz="0" w:space="0" w:color="auto"/>
            <w:left w:val="none" w:sz="0" w:space="0" w:color="auto"/>
            <w:bottom w:val="none" w:sz="0" w:space="0" w:color="auto"/>
            <w:right w:val="none" w:sz="0" w:space="0" w:color="auto"/>
          </w:divBdr>
        </w:div>
        <w:div w:id="1527479109">
          <w:marLeft w:val="0"/>
          <w:marRight w:val="0"/>
          <w:marTop w:val="0"/>
          <w:marBottom w:val="0"/>
          <w:divBdr>
            <w:top w:val="none" w:sz="0" w:space="0" w:color="auto"/>
            <w:left w:val="none" w:sz="0" w:space="0" w:color="auto"/>
            <w:bottom w:val="none" w:sz="0" w:space="0" w:color="auto"/>
            <w:right w:val="none" w:sz="0" w:space="0" w:color="auto"/>
          </w:divBdr>
        </w:div>
        <w:div w:id="1604537736">
          <w:marLeft w:val="0"/>
          <w:marRight w:val="0"/>
          <w:marTop w:val="0"/>
          <w:marBottom w:val="0"/>
          <w:divBdr>
            <w:top w:val="none" w:sz="0" w:space="0" w:color="auto"/>
            <w:left w:val="none" w:sz="0" w:space="0" w:color="auto"/>
            <w:bottom w:val="none" w:sz="0" w:space="0" w:color="auto"/>
            <w:right w:val="none" w:sz="0" w:space="0" w:color="auto"/>
          </w:divBdr>
        </w:div>
        <w:div w:id="1617907586">
          <w:marLeft w:val="0"/>
          <w:marRight w:val="0"/>
          <w:marTop w:val="0"/>
          <w:marBottom w:val="0"/>
          <w:divBdr>
            <w:top w:val="none" w:sz="0" w:space="0" w:color="auto"/>
            <w:left w:val="none" w:sz="0" w:space="0" w:color="auto"/>
            <w:bottom w:val="none" w:sz="0" w:space="0" w:color="auto"/>
            <w:right w:val="none" w:sz="0" w:space="0" w:color="auto"/>
          </w:divBdr>
        </w:div>
        <w:div w:id="1645430232">
          <w:marLeft w:val="0"/>
          <w:marRight w:val="0"/>
          <w:marTop w:val="0"/>
          <w:marBottom w:val="0"/>
          <w:divBdr>
            <w:top w:val="none" w:sz="0" w:space="0" w:color="auto"/>
            <w:left w:val="none" w:sz="0" w:space="0" w:color="auto"/>
            <w:bottom w:val="none" w:sz="0" w:space="0" w:color="auto"/>
            <w:right w:val="none" w:sz="0" w:space="0" w:color="auto"/>
          </w:divBdr>
        </w:div>
        <w:div w:id="1660502669">
          <w:marLeft w:val="0"/>
          <w:marRight w:val="0"/>
          <w:marTop w:val="0"/>
          <w:marBottom w:val="0"/>
          <w:divBdr>
            <w:top w:val="none" w:sz="0" w:space="0" w:color="auto"/>
            <w:left w:val="none" w:sz="0" w:space="0" w:color="auto"/>
            <w:bottom w:val="none" w:sz="0" w:space="0" w:color="auto"/>
            <w:right w:val="none" w:sz="0" w:space="0" w:color="auto"/>
          </w:divBdr>
        </w:div>
        <w:div w:id="1674260145">
          <w:marLeft w:val="0"/>
          <w:marRight w:val="0"/>
          <w:marTop w:val="0"/>
          <w:marBottom w:val="0"/>
          <w:divBdr>
            <w:top w:val="none" w:sz="0" w:space="0" w:color="auto"/>
            <w:left w:val="none" w:sz="0" w:space="0" w:color="auto"/>
            <w:bottom w:val="none" w:sz="0" w:space="0" w:color="auto"/>
            <w:right w:val="none" w:sz="0" w:space="0" w:color="auto"/>
          </w:divBdr>
        </w:div>
        <w:div w:id="1687056666">
          <w:marLeft w:val="0"/>
          <w:marRight w:val="0"/>
          <w:marTop w:val="0"/>
          <w:marBottom w:val="0"/>
          <w:divBdr>
            <w:top w:val="none" w:sz="0" w:space="0" w:color="auto"/>
            <w:left w:val="none" w:sz="0" w:space="0" w:color="auto"/>
            <w:bottom w:val="none" w:sz="0" w:space="0" w:color="auto"/>
            <w:right w:val="none" w:sz="0" w:space="0" w:color="auto"/>
          </w:divBdr>
        </w:div>
        <w:div w:id="1734353152">
          <w:marLeft w:val="0"/>
          <w:marRight w:val="0"/>
          <w:marTop w:val="0"/>
          <w:marBottom w:val="0"/>
          <w:divBdr>
            <w:top w:val="none" w:sz="0" w:space="0" w:color="auto"/>
            <w:left w:val="none" w:sz="0" w:space="0" w:color="auto"/>
            <w:bottom w:val="none" w:sz="0" w:space="0" w:color="auto"/>
            <w:right w:val="none" w:sz="0" w:space="0" w:color="auto"/>
          </w:divBdr>
        </w:div>
        <w:div w:id="1809854796">
          <w:marLeft w:val="0"/>
          <w:marRight w:val="0"/>
          <w:marTop w:val="0"/>
          <w:marBottom w:val="0"/>
          <w:divBdr>
            <w:top w:val="none" w:sz="0" w:space="0" w:color="auto"/>
            <w:left w:val="none" w:sz="0" w:space="0" w:color="auto"/>
            <w:bottom w:val="none" w:sz="0" w:space="0" w:color="auto"/>
            <w:right w:val="none" w:sz="0" w:space="0" w:color="auto"/>
          </w:divBdr>
        </w:div>
        <w:div w:id="1822041689">
          <w:marLeft w:val="0"/>
          <w:marRight w:val="0"/>
          <w:marTop w:val="0"/>
          <w:marBottom w:val="0"/>
          <w:divBdr>
            <w:top w:val="none" w:sz="0" w:space="0" w:color="auto"/>
            <w:left w:val="none" w:sz="0" w:space="0" w:color="auto"/>
            <w:bottom w:val="none" w:sz="0" w:space="0" w:color="auto"/>
            <w:right w:val="none" w:sz="0" w:space="0" w:color="auto"/>
          </w:divBdr>
        </w:div>
        <w:div w:id="1872573118">
          <w:marLeft w:val="0"/>
          <w:marRight w:val="0"/>
          <w:marTop w:val="0"/>
          <w:marBottom w:val="0"/>
          <w:divBdr>
            <w:top w:val="none" w:sz="0" w:space="0" w:color="auto"/>
            <w:left w:val="none" w:sz="0" w:space="0" w:color="auto"/>
            <w:bottom w:val="none" w:sz="0" w:space="0" w:color="auto"/>
            <w:right w:val="none" w:sz="0" w:space="0" w:color="auto"/>
          </w:divBdr>
        </w:div>
        <w:div w:id="1907035068">
          <w:marLeft w:val="0"/>
          <w:marRight w:val="0"/>
          <w:marTop w:val="0"/>
          <w:marBottom w:val="0"/>
          <w:divBdr>
            <w:top w:val="none" w:sz="0" w:space="0" w:color="auto"/>
            <w:left w:val="none" w:sz="0" w:space="0" w:color="auto"/>
            <w:bottom w:val="none" w:sz="0" w:space="0" w:color="auto"/>
            <w:right w:val="none" w:sz="0" w:space="0" w:color="auto"/>
          </w:divBdr>
        </w:div>
        <w:div w:id="1932885827">
          <w:marLeft w:val="0"/>
          <w:marRight w:val="0"/>
          <w:marTop w:val="0"/>
          <w:marBottom w:val="0"/>
          <w:divBdr>
            <w:top w:val="none" w:sz="0" w:space="0" w:color="auto"/>
            <w:left w:val="none" w:sz="0" w:space="0" w:color="auto"/>
            <w:bottom w:val="none" w:sz="0" w:space="0" w:color="auto"/>
            <w:right w:val="none" w:sz="0" w:space="0" w:color="auto"/>
          </w:divBdr>
        </w:div>
        <w:div w:id="1934168894">
          <w:marLeft w:val="0"/>
          <w:marRight w:val="0"/>
          <w:marTop w:val="0"/>
          <w:marBottom w:val="0"/>
          <w:divBdr>
            <w:top w:val="none" w:sz="0" w:space="0" w:color="auto"/>
            <w:left w:val="none" w:sz="0" w:space="0" w:color="auto"/>
            <w:bottom w:val="none" w:sz="0" w:space="0" w:color="auto"/>
            <w:right w:val="none" w:sz="0" w:space="0" w:color="auto"/>
          </w:divBdr>
        </w:div>
        <w:div w:id="1961918255">
          <w:marLeft w:val="0"/>
          <w:marRight w:val="0"/>
          <w:marTop w:val="0"/>
          <w:marBottom w:val="0"/>
          <w:divBdr>
            <w:top w:val="none" w:sz="0" w:space="0" w:color="auto"/>
            <w:left w:val="none" w:sz="0" w:space="0" w:color="auto"/>
            <w:bottom w:val="none" w:sz="0" w:space="0" w:color="auto"/>
            <w:right w:val="none" w:sz="0" w:space="0" w:color="auto"/>
          </w:divBdr>
        </w:div>
        <w:div w:id="1968197590">
          <w:marLeft w:val="0"/>
          <w:marRight w:val="0"/>
          <w:marTop w:val="0"/>
          <w:marBottom w:val="0"/>
          <w:divBdr>
            <w:top w:val="none" w:sz="0" w:space="0" w:color="auto"/>
            <w:left w:val="none" w:sz="0" w:space="0" w:color="auto"/>
            <w:bottom w:val="none" w:sz="0" w:space="0" w:color="auto"/>
            <w:right w:val="none" w:sz="0" w:space="0" w:color="auto"/>
          </w:divBdr>
        </w:div>
        <w:div w:id="1993215366">
          <w:marLeft w:val="0"/>
          <w:marRight w:val="0"/>
          <w:marTop w:val="0"/>
          <w:marBottom w:val="0"/>
          <w:divBdr>
            <w:top w:val="none" w:sz="0" w:space="0" w:color="auto"/>
            <w:left w:val="none" w:sz="0" w:space="0" w:color="auto"/>
            <w:bottom w:val="none" w:sz="0" w:space="0" w:color="auto"/>
            <w:right w:val="none" w:sz="0" w:space="0" w:color="auto"/>
          </w:divBdr>
        </w:div>
        <w:div w:id="2001889145">
          <w:marLeft w:val="0"/>
          <w:marRight w:val="0"/>
          <w:marTop w:val="0"/>
          <w:marBottom w:val="0"/>
          <w:divBdr>
            <w:top w:val="none" w:sz="0" w:space="0" w:color="auto"/>
            <w:left w:val="none" w:sz="0" w:space="0" w:color="auto"/>
            <w:bottom w:val="none" w:sz="0" w:space="0" w:color="auto"/>
            <w:right w:val="none" w:sz="0" w:space="0" w:color="auto"/>
          </w:divBdr>
        </w:div>
        <w:div w:id="2057778953">
          <w:marLeft w:val="0"/>
          <w:marRight w:val="0"/>
          <w:marTop w:val="0"/>
          <w:marBottom w:val="0"/>
          <w:divBdr>
            <w:top w:val="none" w:sz="0" w:space="0" w:color="auto"/>
            <w:left w:val="none" w:sz="0" w:space="0" w:color="auto"/>
            <w:bottom w:val="none" w:sz="0" w:space="0" w:color="auto"/>
            <w:right w:val="none" w:sz="0" w:space="0" w:color="auto"/>
          </w:divBdr>
          <w:divsChild>
            <w:div w:id="811170124">
              <w:marLeft w:val="0"/>
              <w:marRight w:val="0"/>
              <w:marTop w:val="0"/>
              <w:marBottom w:val="0"/>
              <w:divBdr>
                <w:top w:val="none" w:sz="0" w:space="0" w:color="auto"/>
                <w:left w:val="none" w:sz="0" w:space="0" w:color="auto"/>
                <w:bottom w:val="none" w:sz="0" w:space="0" w:color="auto"/>
                <w:right w:val="none" w:sz="0" w:space="0" w:color="auto"/>
              </w:divBdr>
            </w:div>
            <w:div w:id="1031956217">
              <w:marLeft w:val="0"/>
              <w:marRight w:val="0"/>
              <w:marTop w:val="0"/>
              <w:marBottom w:val="0"/>
              <w:divBdr>
                <w:top w:val="none" w:sz="0" w:space="0" w:color="auto"/>
                <w:left w:val="none" w:sz="0" w:space="0" w:color="auto"/>
                <w:bottom w:val="none" w:sz="0" w:space="0" w:color="auto"/>
                <w:right w:val="none" w:sz="0" w:space="0" w:color="auto"/>
              </w:divBdr>
            </w:div>
            <w:div w:id="1413232391">
              <w:marLeft w:val="0"/>
              <w:marRight w:val="0"/>
              <w:marTop w:val="0"/>
              <w:marBottom w:val="0"/>
              <w:divBdr>
                <w:top w:val="none" w:sz="0" w:space="0" w:color="auto"/>
                <w:left w:val="none" w:sz="0" w:space="0" w:color="auto"/>
                <w:bottom w:val="none" w:sz="0" w:space="0" w:color="auto"/>
                <w:right w:val="none" w:sz="0" w:space="0" w:color="auto"/>
              </w:divBdr>
            </w:div>
            <w:div w:id="2134013699">
              <w:marLeft w:val="0"/>
              <w:marRight w:val="0"/>
              <w:marTop w:val="0"/>
              <w:marBottom w:val="0"/>
              <w:divBdr>
                <w:top w:val="none" w:sz="0" w:space="0" w:color="auto"/>
                <w:left w:val="none" w:sz="0" w:space="0" w:color="auto"/>
                <w:bottom w:val="none" w:sz="0" w:space="0" w:color="auto"/>
                <w:right w:val="none" w:sz="0" w:space="0" w:color="auto"/>
              </w:divBdr>
            </w:div>
          </w:divsChild>
        </w:div>
        <w:div w:id="2099447431">
          <w:marLeft w:val="0"/>
          <w:marRight w:val="0"/>
          <w:marTop w:val="0"/>
          <w:marBottom w:val="0"/>
          <w:divBdr>
            <w:top w:val="none" w:sz="0" w:space="0" w:color="auto"/>
            <w:left w:val="none" w:sz="0" w:space="0" w:color="auto"/>
            <w:bottom w:val="none" w:sz="0" w:space="0" w:color="auto"/>
            <w:right w:val="none" w:sz="0" w:space="0" w:color="auto"/>
          </w:divBdr>
        </w:div>
        <w:div w:id="2113819407">
          <w:marLeft w:val="0"/>
          <w:marRight w:val="0"/>
          <w:marTop w:val="0"/>
          <w:marBottom w:val="0"/>
          <w:divBdr>
            <w:top w:val="none" w:sz="0" w:space="0" w:color="auto"/>
            <w:left w:val="none" w:sz="0" w:space="0" w:color="auto"/>
            <w:bottom w:val="none" w:sz="0" w:space="0" w:color="auto"/>
            <w:right w:val="none" w:sz="0" w:space="0" w:color="auto"/>
          </w:divBdr>
        </w:div>
      </w:divsChild>
    </w:div>
    <w:div w:id="1860657629">
      <w:bodyDiv w:val="1"/>
      <w:marLeft w:val="0"/>
      <w:marRight w:val="0"/>
      <w:marTop w:val="0"/>
      <w:marBottom w:val="0"/>
      <w:divBdr>
        <w:top w:val="none" w:sz="0" w:space="0" w:color="auto"/>
        <w:left w:val="none" w:sz="0" w:space="0" w:color="auto"/>
        <w:bottom w:val="none" w:sz="0" w:space="0" w:color="auto"/>
        <w:right w:val="none" w:sz="0" w:space="0" w:color="auto"/>
      </w:divBdr>
      <w:divsChild>
        <w:div w:id="22873370">
          <w:marLeft w:val="0"/>
          <w:marRight w:val="0"/>
          <w:marTop w:val="0"/>
          <w:marBottom w:val="0"/>
          <w:divBdr>
            <w:top w:val="none" w:sz="0" w:space="0" w:color="auto"/>
            <w:left w:val="none" w:sz="0" w:space="0" w:color="auto"/>
            <w:bottom w:val="none" w:sz="0" w:space="0" w:color="auto"/>
            <w:right w:val="none" w:sz="0" w:space="0" w:color="auto"/>
          </w:divBdr>
        </w:div>
        <w:div w:id="23294263">
          <w:marLeft w:val="0"/>
          <w:marRight w:val="0"/>
          <w:marTop w:val="0"/>
          <w:marBottom w:val="0"/>
          <w:divBdr>
            <w:top w:val="none" w:sz="0" w:space="0" w:color="auto"/>
            <w:left w:val="none" w:sz="0" w:space="0" w:color="auto"/>
            <w:bottom w:val="none" w:sz="0" w:space="0" w:color="auto"/>
            <w:right w:val="none" w:sz="0" w:space="0" w:color="auto"/>
          </w:divBdr>
        </w:div>
        <w:div w:id="44834696">
          <w:marLeft w:val="0"/>
          <w:marRight w:val="0"/>
          <w:marTop w:val="0"/>
          <w:marBottom w:val="0"/>
          <w:divBdr>
            <w:top w:val="none" w:sz="0" w:space="0" w:color="auto"/>
            <w:left w:val="none" w:sz="0" w:space="0" w:color="auto"/>
            <w:bottom w:val="none" w:sz="0" w:space="0" w:color="auto"/>
            <w:right w:val="none" w:sz="0" w:space="0" w:color="auto"/>
          </w:divBdr>
          <w:divsChild>
            <w:div w:id="386298993">
              <w:marLeft w:val="0"/>
              <w:marRight w:val="0"/>
              <w:marTop w:val="0"/>
              <w:marBottom w:val="0"/>
              <w:divBdr>
                <w:top w:val="none" w:sz="0" w:space="0" w:color="auto"/>
                <w:left w:val="none" w:sz="0" w:space="0" w:color="auto"/>
                <w:bottom w:val="none" w:sz="0" w:space="0" w:color="auto"/>
                <w:right w:val="none" w:sz="0" w:space="0" w:color="auto"/>
              </w:divBdr>
            </w:div>
            <w:div w:id="983436472">
              <w:marLeft w:val="0"/>
              <w:marRight w:val="0"/>
              <w:marTop w:val="0"/>
              <w:marBottom w:val="0"/>
              <w:divBdr>
                <w:top w:val="none" w:sz="0" w:space="0" w:color="auto"/>
                <w:left w:val="none" w:sz="0" w:space="0" w:color="auto"/>
                <w:bottom w:val="none" w:sz="0" w:space="0" w:color="auto"/>
                <w:right w:val="none" w:sz="0" w:space="0" w:color="auto"/>
              </w:divBdr>
            </w:div>
            <w:div w:id="1341618960">
              <w:marLeft w:val="0"/>
              <w:marRight w:val="0"/>
              <w:marTop w:val="0"/>
              <w:marBottom w:val="0"/>
              <w:divBdr>
                <w:top w:val="none" w:sz="0" w:space="0" w:color="auto"/>
                <w:left w:val="none" w:sz="0" w:space="0" w:color="auto"/>
                <w:bottom w:val="none" w:sz="0" w:space="0" w:color="auto"/>
                <w:right w:val="none" w:sz="0" w:space="0" w:color="auto"/>
              </w:divBdr>
            </w:div>
          </w:divsChild>
        </w:div>
        <w:div w:id="62727872">
          <w:marLeft w:val="0"/>
          <w:marRight w:val="0"/>
          <w:marTop w:val="0"/>
          <w:marBottom w:val="0"/>
          <w:divBdr>
            <w:top w:val="none" w:sz="0" w:space="0" w:color="auto"/>
            <w:left w:val="none" w:sz="0" w:space="0" w:color="auto"/>
            <w:bottom w:val="none" w:sz="0" w:space="0" w:color="auto"/>
            <w:right w:val="none" w:sz="0" w:space="0" w:color="auto"/>
          </w:divBdr>
        </w:div>
        <w:div w:id="76947922">
          <w:marLeft w:val="0"/>
          <w:marRight w:val="0"/>
          <w:marTop w:val="0"/>
          <w:marBottom w:val="0"/>
          <w:divBdr>
            <w:top w:val="none" w:sz="0" w:space="0" w:color="auto"/>
            <w:left w:val="none" w:sz="0" w:space="0" w:color="auto"/>
            <w:bottom w:val="none" w:sz="0" w:space="0" w:color="auto"/>
            <w:right w:val="none" w:sz="0" w:space="0" w:color="auto"/>
          </w:divBdr>
        </w:div>
        <w:div w:id="110563673">
          <w:marLeft w:val="0"/>
          <w:marRight w:val="0"/>
          <w:marTop w:val="0"/>
          <w:marBottom w:val="0"/>
          <w:divBdr>
            <w:top w:val="none" w:sz="0" w:space="0" w:color="auto"/>
            <w:left w:val="none" w:sz="0" w:space="0" w:color="auto"/>
            <w:bottom w:val="none" w:sz="0" w:space="0" w:color="auto"/>
            <w:right w:val="none" w:sz="0" w:space="0" w:color="auto"/>
          </w:divBdr>
        </w:div>
        <w:div w:id="132796005">
          <w:marLeft w:val="0"/>
          <w:marRight w:val="0"/>
          <w:marTop w:val="0"/>
          <w:marBottom w:val="0"/>
          <w:divBdr>
            <w:top w:val="none" w:sz="0" w:space="0" w:color="auto"/>
            <w:left w:val="none" w:sz="0" w:space="0" w:color="auto"/>
            <w:bottom w:val="none" w:sz="0" w:space="0" w:color="auto"/>
            <w:right w:val="none" w:sz="0" w:space="0" w:color="auto"/>
          </w:divBdr>
        </w:div>
        <w:div w:id="189883494">
          <w:marLeft w:val="0"/>
          <w:marRight w:val="0"/>
          <w:marTop w:val="0"/>
          <w:marBottom w:val="0"/>
          <w:divBdr>
            <w:top w:val="none" w:sz="0" w:space="0" w:color="auto"/>
            <w:left w:val="none" w:sz="0" w:space="0" w:color="auto"/>
            <w:bottom w:val="none" w:sz="0" w:space="0" w:color="auto"/>
            <w:right w:val="none" w:sz="0" w:space="0" w:color="auto"/>
          </w:divBdr>
        </w:div>
        <w:div w:id="268700565">
          <w:marLeft w:val="0"/>
          <w:marRight w:val="0"/>
          <w:marTop w:val="0"/>
          <w:marBottom w:val="0"/>
          <w:divBdr>
            <w:top w:val="none" w:sz="0" w:space="0" w:color="auto"/>
            <w:left w:val="none" w:sz="0" w:space="0" w:color="auto"/>
            <w:bottom w:val="none" w:sz="0" w:space="0" w:color="auto"/>
            <w:right w:val="none" w:sz="0" w:space="0" w:color="auto"/>
          </w:divBdr>
        </w:div>
        <w:div w:id="304900243">
          <w:marLeft w:val="0"/>
          <w:marRight w:val="0"/>
          <w:marTop w:val="0"/>
          <w:marBottom w:val="0"/>
          <w:divBdr>
            <w:top w:val="none" w:sz="0" w:space="0" w:color="auto"/>
            <w:left w:val="none" w:sz="0" w:space="0" w:color="auto"/>
            <w:bottom w:val="none" w:sz="0" w:space="0" w:color="auto"/>
            <w:right w:val="none" w:sz="0" w:space="0" w:color="auto"/>
          </w:divBdr>
        </w:div>
        <w:div w:id="436291337">
          <w:marLeft w:val="0"/>
          <w:marRight w:val="0"/>
          <w:marTop w:val="0"/>
          <w:marBottom w:val="0"/>
          <w:divBdr>
            <w:top w:val="none" w:sz="0" w:space="0" w:color="auto"/>
            <w:left w:val="none" w:sz="0" w:space="0" w:color="auto"/>
            <w:bottom w:val="none" w:sz="0" w:space="0" w:color="auto"/>
            <w:right w:val="none" w:sz="0" w:space="0" w:color="auto"/>
          </w:divBdr>
        </w:div>
        <w:div w:id="452557459">
          <w:marLeft w:val="0"/>
          <w:marRight w:val="0"/>
          <w:marTop w:val="0"/>
          <w:marBottom w:val="0"/>
          <w:divBdr>
            <w:top w:val="none" w:sz="0" w:space="0" w:color="auto"/>
            <w:left w:val="none" w:sz="0" w:space="0" w:color="auto"/>
            <w:bottom w:val="none" w:sz="0" w:space="0" w:color="auto"/>
            <w:right w:val="none" w:sz="0" w:space="0" w:color="auto"/>
          </w:divBdr>
        </w:div>
        <w:div w:id="455803844">
          <w:marLeft w:val="0"/>
          <w:marRight w:val="0"/>
          <w:marTop w:val="0"/>
          <w:marBottom w:val="0"/>
          <w:divBdr>
            <w:top w:val="none" w:sz="0" w:space="0" w:color="auto"/>
            <w:left w:val="none" w:sz="0" w:space="0" w:color="auto"/>
            <w:bottom w:val="none" w:sz="0" w:space="0" w:color="auto"/>
            <w:right w:val="none" w:sz="0" w:space="0" w:color="auto"/>
          </w:divBdr>
        </w:div>
        <w:div w:id="488328382">
          <w:marLeft w:val="0"/>
          <w:marRight w:val="0"/>
          <w:marTop w:val="0"/>
          <w:marBottom w:val="0"/>
          <w:divBdr>
            <w:top w:val="none" w:sz="0" w:space="0" w:color="auto"/>
            <w:left w:val="none" w:sz="0" w:space="0" w:color="auto"/>
            <w:bottom w:val="none" w:sz="0" w:space="0" w:color="auto"/>
            <w:right w:val="none" w:sz="0" w:space="0" w:color="auto"/>
          </w:divBdr>
        </w:div>
        <w:div w:id="517163659">
          <w:marLeft w:val="0"/>
          <w:marRight w:val="0"/>
          <w:marTop w:val="0"/>
          <w:marBottom w:val="0"/>
          <w:divBdr>
            <w:top w:val="none" w:sz="0" w:space="0" w:color="auto"/>
            <w:left w:val="none" w:sz="0" w:space="0" w:color="auto"/>
            <w:bottom w:val="none" w:sz="0" w:space="0" w:color="auto"/>
            <w:right w:val="none" w:sz="0" w:space="0" w:color="auto"/>
          </w:divBdr>
        </w:div>
        <w:div w:id="552694509">
          <w:marLeft w:val="0"/>
          <w:marRight w:val="0"/>
          <w:marTop w:val="0"/>
          <w:marBottom w:val="0"/>
          <w:divBdr>
            <w:top w:val="none" w:sz="0" w:space="0" w:color="auto"/>
            <w:left w:val="none" w:sz="0" w:space="0" w:color="auto"/>
            <w:bottom w:val="none" w:sz="0" w:space="0" w:color="auto"/>
            <w:right w:val="none" w:sz="0" w:space="0" w:color="auto"/>
          </w:divBdr>
        </w:div>
        <w:div w:id="564026771">
          <w:marLeft w:val="0"/>
          <w:marRight w:val="0"/>
          <w:marTop w:val="0"/>
          <w:marBottom w:val="0"/>
          <w:divBdr>
            <w:top w:val="none" w:sz="0" w:space="0" w:color="auto"/>
            <w:left w:val="none" w:sz="0" w:space="0" w:color="auto"/>
            <w:bottom w:val="none" w:sz="0" w:space="0" w:color="auto"/>
            <w:right w:val="none" w:sz="0" w:space="0" w:color="auto"/>
          </w:divBdr>
        </w:div>
        <w:div w:id="645399279">
          <w:marLeft w:val="0"/>
          <w:marRight w:val="0"/>
          <w:marTop w:val="0"/>
          <w:marBottom w:val="0"/>
          <w:divBdr>
            <w:top w:val="none" w:sz="0" w:space="0" w:color="auto"/>
            <w:left w:val="none" w:sz="0" w:space="0" w:color="auto"/>
            <w:bottom w:val="none" w:sz="0" w:space="0" w:color="auto"/>
            <w:right w:val="none" w:sz="0" w:space="0" w:color="auto"/>
          </w:divBdr>
        </w:div>
        <w:div w:id="656761840">
          <w:marLeft w:val="0"/>
          <w:marRight w:val="0"/>
          <w:marTop w:val="0"/>
          <w:marBottom w:val="0"/>
          <w:divBdr>
            <w:top w:val="none" w:sz="0" w:space="0" w:color="auto"/>
            <w:left w:val="none" w:sz="0" w:space="0" w:color="auto"/>
            <w:bottom w:val="none" w:sz="0" w:space="0" w:color="auto"/>
            <w:right w:val="none" w:sz="0" w:space="0" w:color="auto"/>
          </w:divBdr>
        </w:div>
        <w:div w:id="692075784">
          <w:marLeft w:val="0"/>
          <w:marRight w:val="0"/>
          <w:marTop w:val="0"/>
          <w:marBottom w:val="0"/>
          <w:divBdr>
            <w:top w:val="none" w:sz="0" w:space="0" w:color="auto"/>
            <w:left w:val="none" w:sz="0" w:space="0" w:color="auto"/>
            <w:bottom w:val="none" w:sz="0" w:space="0" w:color="auto"/>
            <w:right w:val="none" w:sz="0" w:space="0" w:color="auto"/>
          </w:divBdr>
        </w:div>
        <w:div w:id="693576488">
          <w:marLeft w:val="0"/>
          <w:marRight w:val="0"/>
          <w:marTop w:val="0"/>
          <w:marBottom w:val="0"/>
          <w:divBdr>
            <w:top w:val="none" w:sz="0" w:space="0" w:color="auto"/>
            <w:left w:val="none" w:sz="0" w:space="0" w:color="auto"/>
            <w:bottom w:val="none" w:sz="0" w:space="0" w:color="auto"/>
            <w:right w:val="none" w:sz="0" w:space="0" w:color="auto"/>
          </w:divBdr>
        </w:div>
        <w:div w:id="798954697">
          <w:marLeft w:val="0"/>
          <w:marRight w:val="0"/>
          <w:marTop w:val="0"/>
          <w:marBottom w:val="0"/>
          <w:divBdr>
            <w:top w:val="none" w:sz="0" w:space="0" w:color="auto"/>
            <w:left w:val="none" w:sz="0" w:space="0" w:color="auto"/>
            <w:bottom w:val="none" w:sz="0" w:space="0" w:color="auto"/>
            <w:right w:val="none" w:sz="0" w:space="0" w:color="auto"/>
          </w:divBdr>
        </w:div>
        <w:div w:id="835994601">
          <w:marLeft w:val="0"/>
          <w:marRight w:val="0"/>
          <w:marTop w:val="0"/>
          <w:marBottom w:val="0"/>
          <w:divBdr>
            <w:top w:val="none" w:sz="0" w:space="0" w:color="auto"/>
            <w:left w:val="none" w:sz="0" w:space="0" w:color="auto"/>
            <w:bottom w:val="none" w:sz="0" w:space="0" w:color="auto"/>
            <w:right w:val="none" w:sz="0" w:space="0" w:color="auto"/>
          </w:divBdr>
        </w:div>
        <w:div w:id="869925634">
          <w:marLeft w:val="0"/>
          <w:marRight w:val="0"/>
          <w:marTop w:val="0"/>
          <w:marBottom w:val="0"/>
          <w:divBdr>
            <w:top w:val="none" w:sz="0" w:space="0" w:color="auto"/>
            <w:left w:val="none" w:sz="0" w:space="0" w:color="auto"/>
            <w:bottom w:val="none" w:sz="0" w:space="0" w:color="auto"/>
            <w:right w:val="none" w:sz="0" w:space="0" w:color="auto"/>
          </w:divBdr>
        </w:div>
        <w:div w:id="886533436">
          <w:marLeft w:val="0"/>
          <w:marRight w:val="0"/>
          <w:marTop w:val="0"/>
          <w:marBottom w:val="0"/>
          <w:divBdr>
            <w:top w:val="none" w:sz="0" w:space="0" w:color="auto"/>
            <w:left w:val="none" w:sz="0" w:space="0" w:color="auto"/>
            <w:bottom w:val="none" w:sz="0" w:space="0" w:color="auto"/>
            <w:right w:val="none" w:sz="0" w:space="0" w:color="auto"/>
          </w:divBdr>
        </w:div>
        <w:div w:id="942298523">
          <w:marLeft w:val="0"/>
          <w:marRight w:val="0"/>
          <w:marTop w:val="0"/>
          <w:marBottom w:val="0"/>
          <w:divBdr>
            <w:top w:val="none" w:sz="0" w:space="0" w:color="auto"/>
            <w:left w:val="none" w:sz="0" w:space="0" w:color="auto"/>
            <w:bottom w:val="none" w:sz="0" w:space="0" w:color="auto"/>
            <w:right w:val="none" w:sz="0" w:space="0" w:color="auto"/>
          </w:divBdr>
        </w:div>
        <w:div w:id="1023744711">
          <w:marLeft w:val="0"/>
          <w:marRight w:val="0"/>
          <w:marTop w:val="0"/>
          <w:marBottom w:val="0"/>
          <w:divBdr>
            <w:top w:val="none" w:sz="0" w:space="0" w:color="auto"/>
            <w:left w:val="none" w:sz="0" w:space="0" w:color="auto"/>
            <w:bottom w:val="none" w:sz="0" w:space="0" w:color="auto"/>
            <w:right w:val="none" w:sz="0" w:space="0" w:color="auto"/>
          </w:divBdr>
        </w:div>
        <w:div w:id="1040401685">
          <w:marLeft w:val="0"/>
          <w:marRight w:val="0"/>
          <w:marTop w:val="0"/>
          <w:marBottom w:val="0"/>
          <w:divBdr>
            <w:top w:val="none" w:sz="0" w:space="0" w:color="auto"/>
            <w:left w:val="none" w:sz="0" w:space="0" w:color="auto"/>
            <w:bottom w:val="none" w:sz="0" w:space="0" w:color="auto"/>
            <w:right w:val="none" w:sz="0" w:space="0" w:color="auto"/>
          </w:divBdr>
        </w:div>
        <w:div w:id="1063796134">
          <w:marLeft w:val="0"/>
          <w:marRight w:val="0"/>
          <w:marTop w:val="0"/>
          <w:marBottom w:val="0"/>
          <w:divBdr>
            <w:top w:val="none" w:sz="0" w:space="0" w:color="auto"/>
            <w:left w:val="none" w:sz="0" w:space="0" w:color="auto"/>
            <w:bottom w:val="none" w:sz="0" w:space="0" w:color="auto"/>
            <w:right w:val="none" w:sz="0" w:space="0" w:color="auto"/>
          </w:divBdr>
          <w:divsChild>
            <w:div w:id="1070932459">
              <w:marLeft w:val="0"/>
              <w:marRight w:val="0"/>
              <w:marTop w:val="0"/>
              <w:marBottom w:val="0"/>
              <w:divBdr>
                <w:top w:val="none" w:sz="0" w:space="0" w:color="auto"/>
                <w:left w:val="none" w:sz="0" w:space="0" w:color="auto"/>
                <w:bottom w:val="none" w:sz="0" w:space="0" w:color="auto"/>
                <w:right w:val="none" w:sz="0" w:space="0" w:color="auto"/>
              </w:divBdr>
            </w:div>
            <w:div w:id="1635061204">
              <w:marLeft w:val="0"/>
              <w:marRight w:val="0"/>
              <w:marTop w:val="0"/>
              <w:marBottom w:val="0"/>
              <w:divBdr>
                <w:top w:val="none" w:sz="0" w:space="0" w:color="auto"/>
                <w:left w:val="none" w:sz="0" w:space="0" w:color="auto"/>
                <w:bottom w:val="none" w:sz="0" w:space="0" w:color="auto"/>
                <w:right w:val="none" w:sz="0" w:space="0" w:color="auto"/>
              </w:divBdr>
            </w:div>
          </w:divsChild>
        </w:div>
        <w:div w:id="1071125786">
          <w:marLeft w:val="0"/>
          <w:marRight w:val="0"/>
          <w:marTop w:val="0"/>
          <w:marBottom w:val="0"/>
          <w:divBdr>
            <w:top w:val="none" w:sz="0" w:space="0" w:color="auto"/>
            <w:left w:val="none" w:sz="0" w:space="0" w:color="auto"/>
            <w:bottom w:val="none" w:sz="0" w:space="0" w:color="auto"/>
            <w:right w:val="none" w:sz="0" w:space="0" w:color="auto"/>
          </w:divBdr>
        </w:div>
        <w:div w:id="1101293305">
          <w:marLeft w:val="0"/>
          <w:marRight w:val="0"/>
          <w:marTop w:val="0"/>
          <w:marBottom w:val="0"/>
          <w:divBdr>
            <w:top w:val="none" w:sz="0" w:space="0" w:color="auto"/>
            <w:left w:val="none" w:sz="0" w:space="0" w:color="auto"/>
            <w:bottom w:val="none" w:sz="0" w:space="0" w:color="auto"/>
            <w:right w:val="none" w:sz="0" w:space="0" w:color="auto"/>
          </w:divBdr>
        </w:div>
        <w:div w:id="1113211228">
          <w:marLeft w:val="0"/>
          <w:marRight w:val="0"/>
          <w:marTop w:val="0"/>
          <w:marBottom w:val="0"/>
          <w:divBdr>
            <w:top w:val="none" w:sz="0" w:space="0" w:color="auto"/>
            <w:left w:val="none" w:sz="0" w:space="0" w:color="auto"/>
            <w:bottom w:val="none" w:sz="0" w:space="0" w:color="auto"/>
            <w:right w:val="none" w:sz="0" w:space="0" w:color="auto"/>
          </w:divBdr>
        </w:div>
        <w:div w:id="1176849082">
          <w:marLeft w:val="0"/>
          <w:marRight w:val="0"/>
          <w:marTop w:val="0"/>
          <w:marBottom w:val="0"/>
          <w:divBdr>
            <w:top w:val="none" w:sz="0" w:space="0" w:color="auto"/>
            <w:left w:val="none" w:sz="0" w:space="0" w:color="auto"/>
            <w:bottom w:val="none" w:sz="0" w:space="0" w:color="auto"/>
            <w:right w:val="none" w:sz="0" w:space="0" w:color="auto"/>
          </w:divBdr>
        </w:div>
        <w:div w:id="1181313158">
          <w:marLeft w:val="0"/>
          <w:marRight w:val="0"/>
          <w:marTop w:val="0"/>
          <w:marBottom w:val="0"/>
          <w:divBdr>
            <w:top w:val="none" w:sz="0" w:space="0" w:color="auto"/>
            <w:left w:val="none" w:sz="0" w:space="0" w:color="auto"/>
            <w:bottom w:val="none" w:sz="0" w:space="0" w:color="auto"/>
            <w:right w:val="none" w:sz="0" w:space="0" w:color="auto"/>
          </w:divBdr>
        </w:div>
        <w:div w:id="1254709241">
          <w:marLeft w:val="0"/>
          <w:marRight w:val="0"/>
          <w:marTop w:val="0"/>
          <w:marBottom w:val="0"/>
          <w:divBdr>
            <w:top w:val="none" w:sz="0" w:space="0" w:color="auto"/>
            <w:left w:val="none" w:sz="0" w:space="0" w:color="auto"/>
            <w:bottom w:val="none" w:sz="0" w:space="0" w:color="auto"/>
            <w:right w:val="none" w:sz="0" w:space="0" w:color="auto"/>
          </w:divBdr>
        </w:div>
        <w:div w:id="1355693912">
          <w:marLeft w:val="0"/>
          <w:marRight w:val="0"/>
          <w:marTop w:val="0"/>
          <w:marBottom w:val="0"/>
          <w:divBdr>
            <w:top w:val="none" w:sz="0" w:space="0" w:color="auto"/>
            <w:left w:val="none" w:sz="0" w:space="0" w:color="auto"/>
            <w:bottom w:val="none" w:sz="0" w:space="0" w:color="auto"/>
            <w:right w:val="none" w:sz="0" w:space="0" w:color="auto"/>
          </w:divBdr>
        </w:div>
        <w:div w:id="1397781899">
          <w:marLeft w:val="0"/>
          <w:marRight w:val="0"/>
          <w:marTop w:val="0"/>
          <w:marBottom w:val="0"/>
          <w:divBdr>
            <w:top w:val="none" w:sz="0" w:space="0" w:color="auto"/>
            <w:left w:val="none" w:sz="0" w:space="0" w:color="auto"/>
            <w:bottom w:val="none" w:sz="0" w:space="0" w:color="auto"/>
            <w:right w:val="none" w:sz="0" w:space="0" w:color="auto"/>
          </w:divBdr>
        </w:div>
        <w:div w:id="1438481632">
          <w:marLeft w:val="0"/>
          <w:marRight w:val="0"/>
          <w:marTop w:val="0"/>
          <w:marBottom w:val="0"/>
          <w:divBdr>
            <w:top w:val="none" w:sz="0" w:space="0" w:color="auto"/>
            <w:left w:val="none" w:sz="0" w:space="0" w:color="auto"/>
            <w:bottom w:val="none" w:sz="0" w:space="0" w:color="auto"/>
            <w:right w:val="none" w:sz="0" w:space="0" w:color="auto"/>
          </w:divBdr>
        </w:div>
        <w:div w:id="1501264658">
          <w:marLeft w:val="0"/>
          <w:marRight w:val="0"/>
          <w:marTop w:val="0"/>
          <w:marBottom w:val="0"/>
          <w:divBdr>
            <w:top w:val="none" w:sz="0" w:space="0" w:color="auto"/>
            <w:left w:val="none" w:sz="0" w:space="0" w:color="auto"/>
            <w:bottom w:val="none" w:sz="0" w:space="0" w:color="auto"/>
            <w:right w:val="none" w:sz="0" w:space="0" w:color="auto"/>
          </w:divBdr>
        </w:div>
        <w:div w:id="1528711860">
          <w:marLeft w:val="0"/>
          <w:marRight w:val="0"/>
          <w:marTop w:val="0"/>
          <w:marBottom w:val="0"/>
          <w:divBdr>
            <w:top w:val="none" w:sz="0" w:space="0" w:color="auto"/>
            <w:left w:val="none" w:sz="0" w:space="0" w:color="auto"/>
            <w:bottom w:val="none" w:sz="0" w:space="0" w:color="auto"/>
            <w:right w:val="none" w:sz="0" w:space="0" w:color="auto"/>
          </w:divBdr>
        </w:div>
        <w:div w:id="1637641434">
          <w:marLeft w:val="0"/>
          <w:marRight w:val="0"/>
          <w:marTop w:val="0"/>
          <w:marBottom w:val="0"/>
          <w:divBdr>
            <w:top w:val="none" w:sz="0" w:space="0" w:color="auto"/>
            <w:left w:val="none" w:sz="0" w:space="0" w:color="auto"/>
            <w:bottom w:val="none" w:sz="0" w:space="0" w:color="auto"/>
            <w:right w:val="none" w:sz="0" w:space="0" w:color="auto"/>
          </w:divBdr>
        </w:div>
        <w:div w:id="1761634890">
          <w:marLeft w:val="0"/>
          <w:marRight w:val="0"/>
          <w:marTop w:val="0"/>
          <w:marBottom w:val="0"/>
          <w:divBdr>
            <w:top w:val="none" w:sz="0" w:space="0" w:color="auto"/>
            <w:left w:val="none" w:sz="0" w:space="0" w:color="auto"/>
            <w:bottom w:val="none" w:sz="0" w:space="0" w:color="auto"/>
            <w:right w:val="none" w:sz="0" w:space="0" w:color="auto"/>
          </w:divBdr>
        </w:div>
        <w:div w:id="1799370603">
          <w:marLeft w:val="0"/>
          <w:marRight w:val="0"/>
          <w:marTop w:val="0"/>
          <w:marBottom w:val="0"/>
          <w:divBdr>
            <w:top w:val="none" w:sz="0" w:space="0" w:color="auto"/>
            <w:left w:val="none" w:sz="0" w:space="0" w:color="auto"/>
            <w:bottom w:val="none" w:sz="0" w:space="0" w:color="auto"/>
            <w:right w:val="none" w:sz="0" w:space="0" w:color="auto"/>
          </w:divBdr>
        </w:div>
        <w:div w:id="1802647504">
          <w:marLeft w:val="0"/>
          <w:marRight w:val="0"/>
          <w:marTop w:val="0"/>
          <w:marBottom w:val="0"/>
          <w:divBdr>
            <w:top w:val="none" w:sz="0" w:space="0" w:color="auto"/>
            <w:left w:val="none" w:sz="0" w:space="0" w:color="auto"/>
            <w:bottom w:val="none" w:sz="0" w:space="0" w:color="auto"/>
            <w:right w:val="none" w:sz="0" w:space="0" w:color="auto"/>
          </w:divBdr>
        </w:div>
        <w:div w:id="1804931190">
          <w:marLeft w:val="0"/>
          <w:marRight w:val="0"/>
          <w:marTop w:val="0"/>
          <w:marBottom w:val="0"/>
          <w:divBdr>
            <w:top w:val="none" w:sz="0" w:space="0" w:color="auto"/>
            <w:left w:val="none" w:sz="0" w:space="0" w:color="auto"/>
            <w:bottom w:val="none" w:sz="0" w:space="0" w:color="auto"/>
            <w:right w:val="none" w:sz="0" w:space="0" w:color="auto"/>
          </w:divBdr>
        </w:div>
        <w:div w:id="1819413897">
          <w:marLeft w:val="0"/>
          <w:marRight w:val="0"/>
          <w:marTop w:val="0"/>
          <w:marBottom w:val="0"/>
          <w:divBdr>
            <w:top w:val="none" w:sz="0" w:space="0" w:color="auto"/>
            <w:left w:val="none" w:sz="0" w:space="0" w:color="auto"/>
            <w:bottom w:val="none" w:sz="0" w:space="0" w:color="auto"/>
            <w:right w:val="none" w:sz="0" w:space="0" w:color="auto"/>
          </w:divBdr>
        </w:div>
        <w:div w:id="1861122006">
          <w:marLeft w:val="0"/>
          <w:marRight w:val="0"/>
          <w:marTop w:val="0"/>
          <w:marBottom w:val="0"/>
          <w:divBdr>
            <w:top w:val="none" w:sz="0" w:space="0" w:color="auto"/>
            <w:left w:val="none" w:sz="0" w:space="0" w:color="auto"/>
            <w:bottom w:val="none" w:sz="0" w:space="0" w:color="auto"/>
            <w:right w:val="none" w:sz="0" w:space="0" w:color="auto"/>
          </w:divBdr>
          <w:divsChild>
            <w:div w:id="541013924">
              <w:marLeft w:val="0"/>
              <w:marRight w:val="0"/>
              <w:marTop w:val="0"/>
              <w:marBottom w:val="0"/>
              <w:divBdr>
                <w:top w:val="none" w:sz="0" w:space="0" w:color="auto"/>
                <w:left w:val="none" w:sz="0" w:space="0" w:color="auto"/>
                <w:bottom w:val="none" w:sz="0" w:space="0" w:color="auto"/>
                <w:right w:val="none" w:sz="0" w:space="0" w:color="auto"/>
              </w:divBdr>
            </w:div>
            <w:div w:id="815534287">
              <w:marLeft w:val="0"/>
              <w:marRight w:val="0"/>
              <w:marTop w:val="0"/>
              <w:marBottom w:val="0"/>
              <w:divBdr>
                <w:top w:val="none" w:sz="0" w:space="0" w:color="auto"/>
                <w:left w:val="none" w:sz="0" w:space="0" w:color="auto"/>
                <w:bottom w:val="none" w:sz="0" w:space="0" w:color="auto"/>
                <w:right w:val="none" w:sz="0" w:space="0" w:color="auto"/>
              </w:divBdr>
            </w:div>
            <w:div w:id="1144083910">
              <w:marLeft w:val="0"/>
              <w:marRight w:val="0"/>
              <w:marTop w:val="0"/>
              <w:marBottom w:val="0"/>
              <w:divBdr>
                <w:top w:val="none" w:sz="0" w:space="0" w:color="auto"/>
                <w:left w:val="none" w:sz="0" w:space="0" w:color="auto"/>
                <w:bottom w:val="none" w:sz="0" w:space="0" w:color="auto"/>
                <w:right w:val="none" w:sz="0" w:space="0" w:color="auto"/>
              </w:divBdr>
            </w:div>
          </w:divsChild>
        </w:div>
        <w:div w:id="1886528142">
          <w:marLeft w:val="0"/>
          <w:marRight w:val="0"/>
          <w:marTop w:val="0"/>
          <w:marBottom w:val="0"/>
          <w:divBdr>
            <w:top w:val="none" w:sz="0" w:space="0" w:color="auto"/>
            <w:left w:val="none" w:sz="0" w:space="0" w:color="auto"/>
            <w:bottom w:val="none" w:sz="0" w:space="0" w:color="auto"/>
            <w:right w:val="none" w:sz="0" w:space="0" w:color="auto"/>
          </w:divBdr>
        </w:div>
        <w:div w:id="1976063983">
          <w:marLeft w:val="0"/>
          <w:marRight w:val="0"/>
          <w:marTop w:val="0"/>
          <w:marBottom w:val="0"/>
          <w:divBdr>
            <w:top w:val="none" w:sz="0" w:space="0" w:color="auto"/>
            <w:left w:val="none" w:sz="0" w:space="0" w:color="auto"/>
            <w:bottom w:val="none" w:sz="0" w:space="0" w:color="auto"/>
            <w:right w:val="none" w:sz="0" w:space="0" w:color="auto"/>
          </w:divBdr>
        </w:div>
        <w:div w:id="2005086010">
          <w:marLeft w:val="0"/>
          <w:marRight w:val="0"/>
          <w:marTop w:val="0"/>
          <w:marBottom w:val="0"/>
          <w:divBdr>
            <w:top w:val="none" w:sz="0" w:space="0" w:color="auto"/>
            <w:left w:val="none" w:sz="0" w:space="0" w:color="auto"/>
            <w:bottom w:val="none" w:sz="0" w:space="0" w:color="auto"/>
            <w:right w:val="none" w:sz="0" w:space="0" w:color="auto"/>
          </w:divBdr>
        </w:div>
        <w:div w:id="2005280890">
          <w:marLeft w:val="0"/>
          <w:marRight w:val="0"/>
          <w:marTop w:val="0"/>
          <w:marBottom w:val="0"/>
          <w:divBdr>
            <w:top w:val="none" w:sz="0" w:space="0" w:color="auto"/>
            <w:left w:val="none" w:sz="0" w:space="0" w:color="auto"/>
            <w:bottom w:val="none" w:sz="0" w:space="0" w:color="auto"/>
            <w:right w:val="none" w:sz="0" w:space="0" w:color="auto"/>
          </w:divBdr>
        </w:div>
        <w:div w:id="2032224475">
          <w:marLeft w:val="0"/>
          <w:marRight w:val="0"/>
          <w:marTop w:val="0"/>
          <w:marBottom w:val="0"/>
          <w:divBdr>
            <w:top w:val="none" w:sz="0" w:space="0" w:color="auto"/>
            <w:left w:val="none" w:sz="0" w:space="0" w:color="auto"/>
            <w:bottom w:val="none" w:sz="0" w:space="0" w:color="auto"/>
            <w:right w:val="none" w:sz="0" w:space="0" w:color="auto"/>
          </w:divBdr>
        </w:div>
        <w:div w:id="2055884367">
          <w:marLeft w:val="0"/>
          <w:marRight w:val="0"/>
          <w:marTop w:val="0"/>
          <w:marBottom w:val="0"/>
          <w:divBdr>
            <w:top w:val="none" w:sz="0" w:space="0" w:color="auto"/>
            <w:left w:val="none" w:sz="0" w:space="0" w:color="auto"/>
            <w:bottom w:val="none" w:sz="0" w:space="0" w:color="auto"/>
            <w:right w:val="none" w:sz="0" w:space="0" w:color="auto"/>
          </w:divBdr>
        </w:div>
        <w:div w:id="2068844131">
          <w:marLeft w:val="0"/>
          <w:marRight w:val="0"/>
          <w:marTop w:val="0"/>
          <w:marBottom w:val="0"/>
          <w:divBdr>
            <w:top w:val="none" w:sz="0" w:space="0" w:color="auto"/>
            <w:left w:val="none" w:sz="0" w:space="0" w:color="auto"/>
            <w:bottom w:val="none" w:sz="0" w:space="0" w:color="auto"/>
            <w:right w:val="none" w:sz="0" w:space="0" w:color="auto"/>
          </w:divBdr>
        </w:div>
        <w:div w:id="2079671088">
          <w:marLeft w:val="0"/>
          <w:marRight w:val="0"/>
          <w:marTop w:val="0"/>
          <w:marBottom w:val="0"/>
          <w:divBdr>
            <w:top w:val="none" w:sz="0" w:space="0" w:color="auto"/>
            <w:left w:val="none" w:sz="0" w:space="0" w:color="auto"/>
            <w:bottom w:val="none" w:sz="0" w:space="0" w:color="auto"/>
            <w:right w:val="none" w:sz="0" w:space="0" w:color="auto"/>
          </w:divBdr>
        </w:div>
        <w:div w:id="2092970181">
          <w:marLeft w:val="0"/>
          <w:marRight w:val="0"/>
          <w:marTop w:val="0"/>
          <w:marBottom w:val="0"/>
          <w:divBdr>
            <w:top w:val="none" w:sz="0" w:space="0" w:color="auto"/>
            <w:left w:val="none" w:sz="0" w:space="0" w:color="auto"/>
            <w:bottom w:val="none" w:sz="0" w:space="0" w:color="auto"/>
            <w:right w:val="none" w:sz="0" w:space="0" w:color="auto"/>
          </w:divBdr>
        </w:div>
        <w:div w:id="2125731173">
          <w:marLeft w:val="0"/>
          <w:marRight w:val="0"/>
          <w:marTop w:val="0"/>
          <w:marBottom w:val="0"/>
          <w:divBdr>
            <w:top w:val="none" w:sz="0" w:space="0" w:color="auto"/>
            <w:left w:val="none" w:sz="0" w:space="0" w:color="auto"/>
            <w:bottom w:val="none" w:sz="0" w:space="0" w:color="auto"/>
            <w:right w:val="none" w:sz="0" w:space="0" w:color="auto"/>
          </w:divBdr>
        </w:div>
      </w:divsChild>
    </w:div>
    <w:div w:id="1909337246">
      <w:bodyDiv w:val="1"/>
      <w:marLeft w:val="0"/>
      <w:marRight w:val="0"/>
      <w:marTop w:val="0"/>
      <w:marBottom w:val="0"/>
      <w:divBdr>
        <w:top w:val="none" w:sz="0" w:space="0" w:color="auto"/>
        <w:left w:val="none" w:sz="0" w:space="0" w:color="auto"/>
        <w:bottom w:val="none" w:sz="0" w:space="0" w:color="auto"/>
        <w:right w:val="none" w:sz="0" w:space="0" w:color="auto"/>
      </w:divBdr>
    </w:div>
    <w:div w:id="1916476056">
      <w:bodyDiv w:val="1"/>
      <w:marLeft w:val="0"/>
      <w:marRight w:val="0"/>
      <w:marTop w:val="0"/>
      <w:marBottom w:val="0"/>
      <w:divBdr>
        <w:top w:val="none" w:sz="0" w:space="0" w:color="auto"/>
        <w:left w:val="none" w:sz="0" w:space="0" w:color="auto"/>
        <w:bottom w:val="none" w:sz="0" w:space="0" w:color="auto"/>
        <w:right w:val="none" w:sz="0" w:space="0" w:color="auto"/>
      </w:divBdr>
    </w:div>
    <w:div w:id="1947419669">
      <w:bodyDiv w:val="1"/>
      <w:marLeft w:val="0"/>
      <w:marRight w:val="0"/>
      <w:marTop w:val="0"/>
      <w:marBottom w:val="0"/>
      <w:divBdr>
        <w:top w:val="none" w:sz="0" w:space="0" w:color="auto"/>
        <w:left w:val="none" w:sz="0" w:space="0" w:color="auto"/>
        <w:bottom w:val="none" w:sz="0" w:space="0" w:color="auto"/>
        <w:right w:val="none" w:sz="0" w:space="0" w:color="auto"/>
      </w:divBdr>
    </w:div>
    <w:div w:id="2056851979">
      <w:bodyDiv w:val="1"/>
      <w:marLeft w:val="0"/>
      <w:marRight w:val="0"/>
      <w:marTop w:val="0"/>
      <w:marBottom w:val="0"/>
      <w:divBdr>
        <w:top w:val="none" w:sz="0" w:space="0" w:color="auto"/>
        <w:left w:val="none" w:sz="0" w:space="0" w:color="auto"/>
        <w:bottom w:val="none" w:sz="0" w:space="0" w:color="auto"/>
        <w:right w:val="none" w:sz="0" w:space="0" w:color="auto"/>
      </w:divBdr>
      <w:divsChild>
        <w:div w:id="1210074263">
          <w:marLeft w:val="0"/>
          <w:marRight w:val="0"/>
          <w:marTop w:val="0"/>
          <w:marBottom w:val="0"/>
          <w:divBdr>
            <w:top w:val="none" w:sz="0" w:space="0" w:color="auto"/>
            <w:left w:val="none" w:sz="0" w:space="0" w:color="auto"/>
            <w:bottom w:val="none" w:sz="0" w:space="0" w:color="auto"/>
            <w:right w:val="none" w:sz="0" w:space="0" w:color="auto"/>
          </w:divBdr>
          <w:divsChild>
            <w:div w:id="1263296897">
              <w:marLeft w:val="0"/>
              <w:marRight w:val="0"/>
              <w:marTop w:val="0"/>
              <w:marBottom w:val="0"/>
              <w:divBdr>
                <w:top w:val="none" w:sz="0" w:space="0" w:color="auto"/>
                <w:left w:val="none" w:sz="0" w:space="0" w:color="auto"/>
                <w:bottom w:val="none" w:sz="0" w:space="0" w:color="auto"/>
                <w:right w:val="none" w:sz="0" w:space="0" w:color="auto"/>
              </w:divBdr>
              <w:divsChild>
                <w:div w:id="10496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9376">
      <w:bodyDiv w:val="1"/>
      <w:marLeft w:val="0"/>
      <w:marRight w:val="0"/>
      <w:marTop w:val="0"/>
      <w:marBottom w:val="0"/>
      <w:divBdr>
        <w:top w:val="none" w:sz="0" w:space="0" w:color="auto"/>
        <w:left w:val="none" w:sz="0" w:space="0" w:color="auto"/>
        <w:bottom w:val="none" w:sz="0" w:space="0" w:color="auto"/>
        <w:right w:val="none" w:sz="0" w:space="0" w:color="auto"/>
      </w:divBdr>
    </w:div>
    <w:div w:id="207075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zcca.org.nz/ethics/nzccas-stance-on-conversion-practices/" TargetMode="External"/><Relationship Id="rId21" Type="http://schemas.openxmlformats.org/officeDocument/2006/relationships/hyperlink" Target="https://outline.org.nz/conversion-practices-survivor-network/" TargetMode="External"/><Relationship Id="rId42" Type="http://schemas.openxmlformats.org/officeDocument/2006/relationships/hyperlink" Target="https://www.justice.govt.nz/assets/6352184-BORA-vet-Briefing-to-Attorney-General-Conversion-Practice-Prohibition-Legislation-Bill.pdf" TargetMode="External"/><Relationship Id="rId63" Type="http://schemas.openxmlformats.org/officeDocument/2006/relationships/hyperlink" Target="https://doi.org/10.7916/cswr.v8i1.1963" TargetMode="External"/><Relationship Id="rId84" Type="http://schemas.openxmlformats.org/officeDocument/2006/relationships/hyperlink" Target="https://www.rnz.co.nz/news/te-manu-korihi/437894/conversion-therapy-ban-petition-takatapui-inherent-to-our-culture" TargetMode="External"/><Relationship Id="rId138" Type="http://schemas.openxmlformats.org/officeDocument/2006/relationships/hyperlink" Target="https://ndhadeliver.natlib.govt.nz/delivery/DeliveryManagerServlet?dps_pid=IE17403822" TargetMode="External"/><Relationship Id="rId159" Type="http://schemas.openxmlformats.org/officeDocument/2006/relationships/hyperlink" Target="https://countingourselves.nz/wp-content/uploads/2022/08/FINAL_Counting-Ourselves_Fact-Sheet_Conversion-Practices_Online.pdf" TargetMode="External"/><Relationship Id="rId170" Type="http://schemas.openxmlformats.org/officeDocument/2006/relationships/hyperlink" Target="https://3ff63170-9ffb-4cf7-b5ad-a285defbbd41.filesusr.com/ugd/b7eedf_f5f62fbaebbc40b6accfb3e853c1c90b.pdf" TargetMode="External"/><Relationship Id="rId191" Type="http://schemas.openxmlformats.org/officeDocument/2006/relationships/hyperlink" Target="https://www.ohchr.org/en/instruments-mechanisms/instruments/international-covenant-economic-social-and-cultural-rights" TargetMode="External"/><Relationship Id="rId107" Type="http://schemas.openxmlformats.org/officeDocument/2006/relationships/hyperlink" Target="https://static1.squarespace.com/static/5db7614cb2b9f86491787a93/t/605bc5c18335a61da9345008/1616627142743/Rainbow-communities-and-mental-health-submission-to-the-Inquiry-into-Mental-Health-and-Addiction-08062018.pdf" TargetMode="External"/><Relationship Id="rId11" Type="http://schemas.openxmlformats.org/officeDocument/2006/relationships/chart" Target="charts/chart1.xml"/><Relationship Id="rId32" Type="http://schemas.openxmlformats.org/officeDocument/2006/relationships/hyperlink" Target="https://doi.org/10.2105/AJPH.2020.305637" TargetMode="External"/><Relationship Id="rId53" Type="http://schemas.openxmlformats.org/officeDocument/2006/relationships/hyperlink" Target="https://doi.org/10.1080/00918369.2014.926763" TargetMode="External"/><Relationship Id="rId74" Type="http://schemas.openxmlformats.org/officeDocument/2006/relationships/hyperlink" Target="https://tikatangata.org.nz/resources-and-support/conversion-practices" TargetMode="External"/><Relationship Id="rId128" Type="http://schemas.openxmlformats.org/officeDocument/2006/relationships/hyperlink" Target="https://apo.org.au/sites/default/files/resource-files/2020-07/apo-nid310761.pdf" TargetMode="External"/><Relationship Id="rId149" Type="http://schemas.openxmlformats.org/officeDocument/2006/relationships/hyperlink" Target="https://www.youtube.com/watch?v=Skgg0E3UEBY" TargetMode="External"/><Relationship Id="rId5" Type="http://schemas.openxmlformats.org/officeDocument/2006/relationships/numbering" Target="numbering.xml"/><Relationship Id="rId95" Type="http://schemas.openxmlformats.org/officeDocument/2006/relationships/hyperlink" Target="https://www.manalagi.org/_files/ugd/b7eedf_c99c54cd47464a9cad79a54fcf281360.pdf" TargetMode="External"/><Relationship Id="rId160" Type="http://schemas.openxmlformats.org/officeDocument/2006/relationships/hyperlink" Target="https://doi.org/10.1093/fampra/cmac005" TargetMode="External"/><Relationship Id="rId181" Type="http://schemas.openxmlformats.org/officeDocument/2006/relationships/hyperlink" Target="https://www.legislation.govt.nz/act/public/1955/0092/latest/whole.html" TargetMode="External"/><Relationship Id="rId22" Type="http://schemas.openxmlformats.org/officeDocument/2006/relationships/hyperlink" Target="http://www.alreadyenough.co.nz" TargetMode="External"/><Relationship Id="rId43" Type="http://schemas.openxmlformats.org/officeDocument/2006/relationships/hyperlink" Target="https://communityresearch.org.nz/research/the-end-of-the-rainbow-chinese-queer-international-students-negotiating-the-ethnic-closet-in-new-zealand/" TargetMode="External"/><Relationship Id="rId64" Type="http://schemas.openxmlformats.org/officeDocument/2006/relationships/hyperlink" Target="https://tikatangata.org.nz/our-work/inquiry-into-discrimination-experienced-by-transgender-people" TargetMode="External"/><Relationship Id="rId118" Type="http://schemas.openxmlformats.org/officeDocument/2006/relationships/hyperlink" Target="https://www.nzccp.co.nz/assets/Conversion-Practices-Submission.pdf" TargetMode="External"/><Relationship Id="rId139" Type="http://schemas.openxmlformats.org/officeDocument/2006/relationships/hyperlink" Target="https://doi.org/10.1371/journal.pone.0302163" TargetMode="External"/><Relationship Id="rId85" Type="http://schemas.openxmlformats.org/officeDocument/2006/relationships/hyperlink" Target="https://theconversation.com/worlds-largest-ex-gay-organisation-shuts-down-15405" TargetMode="External"/><Relationship Id="rId150" Type="http://schemas.openxmlformats.org/officeDocument/2006/relationships/hyperlink" Target="https://doi.org/10.1080/15532739.2020.1819504" TargetMode="External"/><Relationship Id="rId171" Type="http://schemas.openxmlformats.org/officeDocument/2006/relationships/hyperlink" Target="https://doi.org/10.1037/sgd0000537" TargetMode="External"/><Relationship Id="rId192" Type="http://schemas.openxmlformats.org/officeDocument/2006/relationships/hyperlink" Target="https://www.ohchr.org/en/human-rights/universal-declaration/translations/english" TargetMode="External"/><Relationship Id="rId12" Type="http://schemas.openxmlformats.org/officeDocument/2006/relationships/chart" Target="charts/chart2.xml"/><Relationship Id="rId33" Type="http://schemas.openxmlformats.org/officeDocument/2006/relationships/hyperlink" Target="https://www.pridenz.com/apog_phylesha_brown_acton_keynote_transcript.html" TargetMode="External"/><Relationship Id="rId108" Type="http://schemas.openxmlformats.org/officeDocument/2006/relationships/hyperlink" Target="https://www.ethniccommunities.govt.nz/assets/AboutUs/2022-2025_MEC_Strategy.pdf" TargetMode="External"/><Relationship Id="rId129" Type="http://schemas.openxmlformats.org/officeDocument/2006/relationships/hyperlink" Target="https://www.tvnz.co.nz/shows/beyond-conversion/episodes/s1-e1" TargetMode="External"/><Relationship Id="rId54" Type="http://schemas.openxmlformats.org/officeDocument/2006/relationships/hyperlink" Target="https://doi.org/10.11157/sites-id435" TargetMode="External"/><Relationship Id="rId75" Type="http://schemas.openxmlformats.org/officeDocument/2006/relationships/hyperlink" Target="https://tikatangata.org.nz/resources-and-support/make-a-complaint" TargetMode="External"/><Relationship Id="rId96" Type="http://schemas.openxmlformats.org/officeDocument/2006/relationships/hyperlink" Target="https://plato.stanford.edu/entries/colonialism/" TargetMode="External"/><Relationship Id="rId140" Type="http://schemas.openxmlformats.org/officeDocument/2006/relationships/hyperlink" Target="https://communityresearch.org.nz/wp-content/uploads/2021/12/Youth19IntersectionalityReport_FINAL_2021_print-1.pdf" TargetMode="External"/><Relationship Id="rId161" Type="http://schemas.openxmlformats.org/officeDocument/2006/relationships/hyperlink" Target="https://doi.org/10.1001/jamapsychiatry.2019.2285" TargetMode="External"/><Relationship Id="rId182" Type="http://schemas.openxmlformats.org/officeDocument/2006/relationships/hyperlink" Target="https://www.legislation.govt.nz/act/public/2013/0020/latest/DLM4505003.html" TargetMode="External"/><Relationship Id="rId6" Type="http://schemas.openxmlformats.org/officeDocument/2006/relationships/styles" Target="styles.xml"/><Relationship Id="rId23" Type="http://schemas.openxmlformats.org/officeDocument/2006/relationships/hyperlink" Target="https://openaccess.wgtn.ac.nz/articles/thesis/Tu_kana_T_ina_Relational_Responsibilities_of_Pacific_Tauiwi_to_M_ori_and_Te_Tiriti_o_Waitangi/20514870" TargetMode="External"/><Relationship Id="rId119" Type="http://schemas.openxmlformats.org/officeDocument/2006/relationships/hyperlink" Target="https://petitions.parliament.nz/6ce4c233-a543-4876-aea6-20df3f03c193" TargetMode="External"/><Relationship Id="rId44" Type="http://schemas.openxmlformats.org/officeDocument/2006/relationships/hyperlink" Target="https://researchbriefings.files.parliament.uk/documents/CBP-9502/CBP-9502.pdf" TargetMode="External"/><Relationship Id="rId65" Type="http://schemas.openxmlformats.org/officeDocument/2006/relationships/hyperlink" Target="https://www.hrc.co.nz/files/4414/2352/9981/Statement_of_Intent_2011.doc" TargetMode="External"/><Relationship Id="rId86" Type="http://schemas.openxmlformats.org/officeDocument/2006/relationships/hyperlink" Target="https://www.hrlc.org.au/reports-news-commentary/preventing-harm" TargetMode="External"/><Relationship Id="rId130" Type="http://schemas.openxmlformats.org/officeDocument/2006/relationships/hyperlink" Target="https://doi.org/10.5694/mja2.51441" TargetMode="External"/><Relationship Id="rId151" Type="http://schemas.openxmlformats.org/officeDocument/2006/relationships/hyperlink" Target="https://www.tandfonline.com/doi/full/10.1080/13691058.2023.2242443" TargetMode="External"/><Relationship Id="rId172" Type="http://schemas.openxmlformats.org/officeDocument/2006/relationships/hyperlink" Target="https://www.legislation.govt.nz/act/public/2021/0057/latest/DLM7273502.html" TargetMode="External"/><Relationship Id="rId193" Type="http://schemas.openxmlformats.org/officeDocument/2006/relationships/header" Target="header1.xml"/><Relationship Id="rId13" Type="http://schemas.openxmlformats.org/officeDocument/2006/relationships/chart" Target="charts/chart3.xml"/><Relationship Id="rId109" Type="http://schemas.openxmlformats.org/officeDocument/2006/relationships/hyperlink" Target="https://www.ethniccommunities.govt.nz/resources/ethnic-communities-in-new-zealand/" TargetMode="External"/><Relationship Id="rId34" Type="http://schemas.openxmlformats.org/officeDocument/2006/relationships/hyperlink" Target="https://www.leva.co.nz/uploads/files/resources/strengthening-solutions-for-pasefika-rainbow.pdf" TargetMode="External"/><Relationship Id="rId55" Type="http://schemas.openxmlformats.org/officeDocument/2006/relationships/hyperlink" Target="https://doi.org/10.1037/0000266-002" TargetMode="External"/><Relationship Id="rId76" Type="http://schemas.openxmlformats.org/officeDocument/2006/relationships/hyperlink" Target="https://tikatangata.org.nz/about-us/office-of-human-rights-proceedings" TargetMode="External"/><Relationship Id="rId97" Type="http://schemas.openxmlformats.org/officeDocument/2006/relationships/hyperlink" Target="https://www.maoriplus.co.nz/show/queer-and-here/play/6307389848112" TargetMode="External"/><Relationship Id="rId120" Type="http://schemas.openxmlformats.org/officeDocument/2006/relationships/hyperlink" Target="https://www.psychology.org.nz/application/files/9016/1350/6552/conversion_therapy_statement_-_Final_2-21.pdf" TargetMode="External"/><Relationship Id="rId141" Type="http://schemas.openxmlformats.org/officeDocument/2006/relationships/hyperlink" Target="https://doi.org/10.1080/00918369.2018.1538407" TargetMode="External"/><Relationship Id="rId7" Type="http://schemas.openxmlformats.org/officeDocument/2006/relationships/settings" Target="settings.xml"/><Relationship Id="rId71" Type="http://schemas.openxmlformats.org/officeDocument/2006/relationships/hyperlink" Target="https://tikatangata.org.nz/cms/assets/Documents/Voices-of-Pacific-Peoples-Pacific-Pay-Gap-Inquiry-Report.pdf" TargetMode="External"/><Relationship Id="rId92" Type="http://schemas.openxmlformats.org/officeDocument/2006/relationships/hyperlink" Target="https://www.parliament.nz/resource/en-NZ/SCR_118518/52c2fd4e0c6a8c06342148c0cc32534f23115fbc" TargetMode="External"/><Relationship Id="rId162" Type="http://schemas.openxmlformats.org/officeDocument/2006/relationships/hyperlink" Target="https://reliefweb.int/attachments/0afe4010-110c-4e3d-bb05-9f236d8331e1/Test.pdf" TargetMode="External"/><Relationship Id="rId183" Type="http://schemas.openxmlformats.org/officeDocument/2006/relationships/hyperlink" Target="https://www.legislation.govt.nz/act/public/1990/0109/latest/DLM224792.html" TargetMode="External"/><Relationship Id="rId2" Type="http://schemas.openxmlformats.org/officeDocument/2006/relationships/customXml" Target="../customXml/item2.xml"/><Relationship Id="rId29" Type="http://schemas.openxmlformats.org/officeDocument/2006/relationships/hyperlink" Target="https://doi.org/10.1080/13691050701195119" TargetMode="External"/><Relationship Id="rId24" Type="http://schemas.openxmlformats.org/officeDocument/2006/relationships/hyperlink" Target="https://www.abuseincare.org.nz/assets/Document-Library/Beautiful-Children-Full-Report-PDF-v2.pdf" TargetMode="External"/><Relationship Id="rId40" Type="http://schemas.openxmlformats.org/officeDocument/2006/relationships/hyperlink" Target="https://static1.squarespace.com/static/5bdbb75ccef37259122e59aa/t/60ca75d00a6a3a028b086ce0/1623881172777/Youth19+Brief_Rainbow+rangatahi.pdf" TargetMode="External"/><Relationship Id="rId45" Type="http://schemas.openxmlformats.org/officeDocument/2006/relationships/hyperlink" Target="https://darlington.org.au/statement/" TargetMode="External"/><Relationship Id="rId66" Type="http://schemas.openxmlformats.org/officeDocument/2006/relationships/hyperlink" Target="https://hrc-nz-resources.s3.ap-southeast-2.amazonaws.com/files/9114/2369/9284/Te_Mana_i_Waitangi_booklet.pdf" TargetMode="External"/><Relationship Id="rId87" Type="http://schemas.openxmlformats.org/officeDocument/2006/relationships/hyperlink" Target="https://www.latrobe.edu.au/__data/assets/pdf_file/0007/1201588/Healing-spiritual-harms-Supporting-recovery-from-LGBTQA-change-and-suppression-practices.pdf" TargetMode="External"/><Relationship Id="rId110" Type="http://schemas.openxmlformats.org/officeDocument/2006/relationships/hyperlink" Target="https://www.ethniccommunities.govt.nz/our-communities/" TargetMode="External"/><Relationship Id="rId115" Type="http://schemas.openxmlformats.org/officeDocument/2006/relationships/hyperlink" Target="https://www.google.co.nz/books/edition/Pacific_Homosexualities/qafeQTWIWmcC?hl=en&amp;gbpv=1&amp;dq=isbn:0595227856&amp;printsec=frontcover" TargetMode="External"/><Relationship Id="rId131" Type="http://schemas.openxmlformats.org/officeDocument/2006/relationships/hyperlink" Target="https://www.knowledgeauckland.org.nz/media/2621/rainbow-people-qol-survey-2022-snapshot-may-2023.pdf" TargetMode="External"/><Relationship Id="rId136" Type="http://schemas.openxmlformats.org/officeDocument/2006/relationships/hyperlink" Target="https://www.rnz.co.nz/news/national/436993/greens-present-petition-in-support-of-gay-conversion-therapy-ban" TargetMode="External"/><Relationship Id="rId157" Type="http://schemas.openxmlformats.org/officeDocument/2006/relationships/hyperlink" Target="https://www.treasury.govt.nz/publications/ap/ap-23-01" TargetMode="External"/><Relationship Id="rId178" Type="http://schemas.openxmlformats.org/officeDocument/2006/relationships/hyperlink" Target="https://legislation.govt.nz/act/public/2020/0038/latest/LMS170676.html" TargetMode="External"/><Relationship Id="rId61" Type="http://schemas.openxmlformats.org/officeDocument/2006/relationships/hyperlink" Target="https://www.hpa.org.nz/sites/default/files/Mental-wellbeing-among-rainbow-adults-factsheet.pdf" TargetMode="External"/><Relationship Id="rId82" Type="http://schemas.openxmlformats.org/officeDocument/2006/relationships/hyperlink" Target="https://yogyakartaprinciples.org/wp-content/uploads/2017/11/A5_yogyakartaWEB-2.pdf" TargetMode="External"/><Relationship Id="rId152" Type="http://schemas.openxmlformats.org/officeDocument/2006/relationships/hyperlink" Target="https://tikatangata.org.nz/our-work/maranga-mai" TargetMode="External"/><Relationship Id="rId173" Type="http://schemas.openxmlformats.org/officeDocument/2006/relationships/hyperlink" Target="https://www.legislation.govt.nz/act/public/2004/0090/latest/DLM317233.html" TargetMode="External"/><Relationship Id="rId194" Type="http://schemas.openxmlformats.org/officeDocument/2006/relationships/footer" Target="footer1.xml"/><Relationship Id="rId19" Type="http://schemas.openxmlformats.org/officeDocument/2006/relationships/image" Target="media/image4.png"/><Relationship Id="rId14" Type="http://schemas.openxmlformats.org/officeDocument/2006/relationships/chart" Target="charts/chart4.xml"/><Relationship Id="rId30" Type="http://schemas.openxmlformats.org/officeDocument/2006/relationships/hyperlink" Target="https://adhikaaraotearoa.rocketspark.co.nz/site_files/30452/upload_files/TheAdhikaarReportFINAL.pdf?dl=1" TargetMode="External"/><Relationship Id="rId35" Type="http://schemas.openxmlformats.org/officeDocument/2006/relationships/hyperlink" Target="https://doi.org/10.1300/J159v01n02_06" TargetMode="External"/><Relationship Id="rId56" Type="http://schemas.openxmlformats.org/officeDocument/2006/relationships/hyperlink" Target="https://doi.org/10.1037/0000266-005" TargetMode="External"/><Relationship Id="rId77" Type="http://schemas.openxmlformats.org/officeDocument/2006/relationships/hyperlink" Target="https://tikatangata.org.nz/our-work/ki-te-whaiao-ke-te-ao-marama" TargetMode="External"/><Relationship Id="rId100" Type="http://schemas.openxmlformats.org/officeDocument/2006/relationships/hyperlink" Target="https://doi.org/10.1080/1550428X.2016.1159163" TargetMode="External"/><Relationship Id="rId105" Type="http://schemas.openxmlformats.org/officeDocument/2006/relationships/hyperlink" Target="https://apo.org.au/sites/default/files/resource-files/2021-03/apo-nid311552.pdf" TargetMode="External"/><Relationship Id="rId126" Type="http://schemas.openxmlformats.org/officeDocument/2006/relationships/hyperlink" Target="https://assembly.coe.int/nw/xml/XRef/Xref-XML2HTML-en.asp?fileid=24232&amp;lang=en" TargetMode="External"/><Relationship Id="rId147" Type="http://schemas.openxmlformats.org/officeDocument/2006/relationships/hyperlink" Target="https://www.stats.govt.nz/information-releases/lgbt-plus-population-of-aotearoa-year-ended-june-2021/" TargetMode="External"/><Relationship Id="rId168" Type="http://schemas.openxmlformats.org/officeDocument/2006/relationships/hyperlink" Target="https://www.ohchr.org/sites/default/files/Documents/Issues/Discrimination/LGBT/FactSheets/UNFE_FactSheet_Intersex_EN.pdf" TargetMode="External"/><Relationship Id="rId8" Type="http://schemas.openxmlformats.org/officeDocument/2006/relationships/webSettings" Target="webSettings.xml"/><Relationship Id="rId51" Type="http://schemas.openxmlformats.org/officeDocument/2006/relationships/hyperlink" Target="https://static1.squarespace.com/static/60187146e9f9034475dea113/t/6390e802bd4e535d10b72a17/1670440980159/community_advocacy_report.pdf" TargetMode="External"/><Relationship Id="rId72" Type="http://schemas.openxmlformats.org/officeDocument/2006/relationships/hyperlink" Target="https://tikatangata.org.nz/cms/assets/Documents/Voices-of-Pacific-Peoples-Executive-Summary.pdf" TargetMode="External"/><Relationship Id="rId93" Type="http://schemas.openxmlformats.org/officeDocument/2006/relationships/hyperlink" Target="https://3ff63170-9ffb-4cf7-b5ad-a285defbbd41.filesusr.com/ugd/b7eedf_052f4ec7eeb54892816fd6b2f5ca1f00.pdf" TargetMode="External"/><Relationship Id="rId98" Type="http://schemas.openxmlformats.org/officeDocument/2006/relationships/hyperlink" Target="https://teara.govt.nz/mi/lesbian-lives/print" TargetMode="External"/><Relationship Id="rId121" Type="http://schemas.openxmlformats.org/officeDocument/2006/relationships/hyperlink" Target="https://www.psychology.org.nz/application/files/9416/3113/0730/NZ_Psychological_Society_Submission_-_Conversion_Practices_Prohibition_bill_-_Final.pdf" TargetMode="External"/><Relationship Id="rId142" Type="http://schemas.openxmlformats.org/officeDocument/2006/relationships/hyperlink" Target="https://doi.org/10.1371/journal.pone.0252539" TargetMode="External"/><Relationship Id="rId163" Type="http://schemas.openxmlformats.org/officeDocument/2006/relationships/hyperlink" Target="https://www.ohchr.org/en/documents/general-comments-and-recommendations/crpdcgc8-general-comment-no-8-2022-right-persons" TargetMode="External"/><Relationship Id="rId184" Type="http://schemas.openxmlformats.org/officeDocument/2006/relationships/hyperlink" Target="https://www.legislation.govt.nz/act/public/1989/0024/latest/DLM147088.html" TargetMode="External"/><Relationship Id="rId189" Type="http://schemas.openxmlformats.org/officeDocument/2006/relationships/hyperlink" Target="https://www.ohchr.org/sites/default/files/Documents/Publications/Declaration_indigenous_en.pdf" TargetMode="External"/><Relationship Id="rId3" Type="http://schemas.openxmlformats.org/officeDocument/2006/relationships/customXml" Target="../customXml/item3.xml"/><Relationship Id="rId25" Type="http://schemas.openxmlformats.org/officeDocument/2006/relationships/hyperlink" Target="https://thespinoff.co.nz/politics/19-02-2022/kiri-allan-my-conversion-therapy-story" TargetMode="External"/><Relationship Id="rId46" Type="http://schemas.openxmlformats.org/officeDocument/2006/relationships/hyperlink" Target="https://doi.org/10.1080/19359705.2014.912970" TargetMode="External"/><Relationship Id="rId67" Type="http://schemas.openxmlformats.org/officeDocument/2006/relationships/hyperlink" Target="https://hrc-nz-resources.s3.ap-southeast-2.amazonaws.com/files/5914/8124/9497/HRC_Intersex_Roundtable.pdf" TargetMode="External"/><Relationship Id="rId116" Type="http://schemas.openxmlformats.org/officeDocument/2006/relationships/hyperlink" Target="https://rywebsite21.s3-ap-southeast-2.amazonaws.com/Nakhid+Fu+Yachinta+Letting+in+Closing+out+report+1.pdf" TargetMode="External"/><Relationship Id="rId137" Type="http://schemas.openxmlformats.org/officeDocument/2006/relationships/hyperlink" Target="https://www.renews.co.nz/rediscovering-aotearoa/" TargetMode="External"/><Relationship Id="rId158" Type="http://schemas.openxmlformats.org/officeDocument/2006/relationships/hyperlink" Target="https://static1.squarespace.com/static/5bdbb75ccef37259122e59aa/t/60dd11a05fc4a74bf0de3e7a/1625100708894/Pacific+Rainbow+Youth19+Brief.pdf" TargetMode="External"/><Relationship Id="rId20" Type="http://schemas.openxmlformats.org/officeDocument/2006/relationships/image" Target="media/image5.png"/><Relationship Id="rId41" Type="http://schemas.openxmlformats.org/officeDocument/2006/relationships/hyperlink" Target="https://doi.org/10.1080/26895269.2022.2100644" TargetMode="External"/><Relationship Id="rId62" Type="http://schemas.openxmlformats.org/officeDocument/2006/relationships/hyperlink" Target="https://doi.org/10.1080/00918369.2020.1840213" TargetMode="External"/><Relationship Id="rId83" Type="http://schemas.openxmlformats.org/officeDocument/2006/relationships/hyperlink" Target="https://www.intersexaotearoa.org/ira-tangata" TargetMode="External"/><Relationship Id="rId88" Type="http://schemas.openxmlformats.org/officeDocument/2006/relationships/hyperlink" Target="https://doi.org/10.1007/s13178-021-00615-5" TargetMode="External"/><Relationship Id="rId111" Type="http://schemas.openxmlformats.org/officeDocument/2006/relationships/hyperlink" Target="https://mpia.govt.nz/assets/Reports/Contemporary-Pacific-Status-Report-2016.pdf" TargetMode="External"/><Relationship Id="rId132" Type="http://schemas.openxmlformats.org/officeDocument/2006/relationships/hyperlink" Target="https://patha.nz/resources/Documents/PATHA%20submission%20on%20Conversion%20Practices%20Sep2021.pdf" TargetMode="External"/><Relationship Id="rId153" Type="http://schemas.openxmlformats.org/officeDocument/2006/relationships/hyperlink" Target="https://www.youtube.com/watch?v=H6cM9_iIx-E" TargetMode="External"/><Relationship Id="rId174" Type="http://schemas.openxmlformats.org/officeDocument/2006/relationships/hyperlink" Target="https://www.legislation.govt.nz/act/public/2004/0102/latest/whole.html" TargetMode="External"/><Relationship Id="rId179" Type="http://schemas.openxmlformats.org/officeDocument/2006/relationships/hyperlink" Target="https://www.legislation.govt.nz/act/public/1986/0033/latest/whole.html" TargetMode="External"/><Relationship Id="rId195" Type="http://schemas.openxmlformats.org/officeDocument/2006/relationships/fontTable" Target="fontTable.xml"/><Relationship Id="rId190" Type="http://schemas.openxmlformats.org/officeDocument/2006/relationships/hyperlink" Target="https://www.ohchr.org/en/instruments-mechanisms/instruments/international-covenant-civil-and-political-rights" TargetMode="External"/><Relationship Id="rId15" Type="http://schemas.openxmlformats.org/officeDocument/2006/relationships/chart" Target="charts/chart5.xml"/><Relationship Id="rId36" Type="http://schemas.openxmlformats.org/officeDocument/2006/relationships/hyperlink" Target="https://blogs.otago.ac.nz/rainbow/files/2023/03/Primary-Care-GAHT-Guidelines_Web_29-Mar.pdf" TargetMode="External"/><Relationship Id="rId57" Type="http://schemas.openxmlformats.org/officeDocument/2006/relationships/hyperlink" Target="https://doi.org/10.2105/AJPH.2020.305701" TargetMode="External"/><Relationship Id="rId106" Type="http://schemas.openxmlformats.org/officeDocument/2006/relationships/hyperlink" Target="https://doi.org/10.1017/CBO9780511616259.002" TargetMode="External"/><Relationship Id="rId127" Type="http://schemas.openxmlformats.org/officeDocument/2006/relationships/hyperlink" Target="https://www.oxfordbibliographies.com/display/document/obo-9780199766567/obo-9780199766567-0091.xml" TargetMode="External"/><Relationship Id="rId10" Type="http://schemas.openxmlformats.org/officeDocument/2006/relationships/endnotes" Target="endnotes.xml"/><Relationship Id="rId31" Type="http://schemas.openxmlformats.org/officeDocument/2006/relationships/hyperlink" Target="https://www.rnzcgp.org.nz/gpdocs/new-website/advocacy/submissions/2021.09.08-RNZCGP0-response-conversion-practices.pdf" TargetMode="External"/><Relationship Id="rId52" Type="http://schemas.openxmlformats.org/officeDocument/2006/relationships/hyperlink" Target="https://doi.org/10.1007/s10964-022-01693-3" TargetMode="External"/><Relationship Id="rId73" Type="http://schemas.openxmlformats.org/officeDocument/2006/relationships/hyperlink" Target="https://tikatangata.org.nz/our-work/conversion-practices-guidance-for-people-working-in-religious-communities-new-resource-page" TargetMode="External"/><Relationship Id="rId78" Type="http://schemas.openxmlformats.org/officeDocument/2006/relationships/hyperlink" Target="https://www.ohchr.org/en/special-procedures/ie-sexual-orientation-and-gender-identity/struggle-trans-and-gender-diverse-persons" TargetMode="External"/><Relationship Id="rId94" Type="http://schemas.openxmlformats.org/officeDocument/2006/relationships/hyperlink" Target="https://researcharchive.vuw.ac.nz/xmlui/bitstream/handle/10063/6369/thesis_access.pdf?sequence=1" TargetMode="External"/><Relationship Id="rId99" Type="http://schemas.openxmlformats.org/officeDocument/2006/relationships/hyperlink" Target="https://doi.org/10.1089/trgh.2021.0171" TargetMode="External"/><Relationship Id="rId101" Type="http://schemas.openxmlformats.org/officeDocument/2006/relationships/hyperlink" Target="https://www.leva.co.nz/news/positive-messages-from-the-pulpit" TargetMode="External"/><Relationship Id="rId122" Type="http://schemas.openxmlformats.org/officeDocument/2006/relationships/hyperlink" Target="https://doi.org/10.1007/s11195-010-9175-3" TargetMode="External"/><Relationship Id="rId143" Type="http://schemas.openxmlformats.org/officeDocument/2006/relationships/hyperlink" Target="https://www.rnz.co.nz/national/programmes/the-house/audio/2018815908/submission-rising-parliament-s-feedback-flood" TargetMode="External"/><Relationship Id="rId148" Type="http://schemas.openxmlformats.org/officeDocument/2006/relationships/hyperlink" Target="https://www.stats.govt.nz/information-releases/2023-census-population-counts-by-ethnic-group-age-and-maori-descent-and-dwelling-counts/" TargetMode="External"/><Relationship Id="rId164" Type="http://schemas.openxmlformats.org/officeDocument/2006/relationships/hyperlink" Target="https://docstore.ohchr.org/SelfServices/FilesHandler.ashx?enc=6QkG1d%2FPPRiCAqhKb7yhsiQql8gX5Zxh0cQqSRzx6Zd2%2FQRsDnCTcaruSeZhPr2vUevjbn6t6GSi1fheVp%2Bj5HTLU2Ub%2FPZZtQWn0jExFVnWuhiBbqgAj0dWBoFGbK0c" TargetMode="External"/><Relationship Id="rId169" Type="http://schemas.openxmlformats.org/officeDocument/2006/relationships/hyperlink" Target="https://www.ohchr.org/sites/default/files/documents/issues/sexualorientation/statements/2023-10-24-joint-stm-SOGI-disabilities.pdf" TargetMode="External"/><Relationship Id="rId185" Type="http://schemas.openxmlformats.org/officeDocument/2006/relationships/hyperlink" Target="https://www.legislation.govt.nz/act/public/2002/0009/latest/DLM135342.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egislation.govt.nz/act/public/2002/0009/latest/DLM135342.html" TargetMode="External"/><Relationship Id="rId26" Type="http://schemas.openxmlformats.org/officeDocument/2006/relationships/hyperlink" Target="https://www.apa.org/pi/lgbt/resources/therapeutic-response.pdf" TargetMode="External"/><Relationship Id="rId47" Type="http://schemas.openxmlformats.org/officeDocument/2006/relationships/hyperlink" Target="https://donaldbeasley.org.nz/assets/publications/uncrpd/My-Experiences-My-Rights_-A-Monitoring-Report-on-Disabled-People_s-Experience-of-Health-and-Wellbeing-in-Aotearoa-New-Zealand-Long-Report.pdf" TargetMode="External"/><Relationship Id="rId68" Type="http://schemas.openxmlformats.org/officeDocument/2006/relationships/hyperlink" Target="https://hrc-nz-resources.s3.ap-southeast-2.amazonaws.com/files/9215/9253/7296/HRC_PRISM_SOGIESC_Report_June_2020_FINAL.pdf" TargetMode="External"/><Relationship Id="rId89" Type="http://schemas.openxmlformats.org/officeDocument/2006/relationships/hyperlink" Target="https://doi.org/10.1016/j.socscimed.2022.115040" TargetMode="External"/><Relationship Id="rId112" Type="http://schemas.openxmlformats.org/officeDocument/2006/relationships/hyperlink" Target="https://www.mpp.govt.nz/assets/Reports/Pacific-Peoples-in-Aotearoa-Report.pdf" TargetMode="External"/><Relationship Id="rId133" Type="http://schemas.openxmlformats.org/officeDocument/2006/relationships/hyperlink" Target="https://patha.nz/resources/Documents/PATHA%20submission%20on%20Conversion%20Practices%20Sep2021.pdf" TargetMode="External"/><Relationship Id="rId154" Type="http://schemas.openxmlformats.org/officeDocument/2006/relationships/hyperlink" Target="https://www.ranzcp.org/clinical-guidelines-publications/clinical-guidelines-publications-library/sexual-orientation-change-efforts" TargetMode="External"/><Relationship Id="rId175" Type="http://schemas.openxmlformats.org/officeDocument/2006/relationships/hyperlink" Target="https://legislation.govt.nz/regulation/public/1996/0078/10.0/DLM209085.html" TargetMode="External"/><Relationship Id="rId196" Type="http://schemas.openxmlformats.org/officeDocument/2006/relationships/theme" Target="theme/theme1.xml"/><Relationship Id="rId16" Type="http://schemas.openxmlformats.org/officeDocument/2006/relationships/image" Target="media/image1.PNG"/><Relationship Id="rId37" Type="http://schemas.openxmlformats.org/officeDocument/2006/relationships/hyperlink" Target="https://doi.org/10.1007/s13178-021-00669-5" TargetMode="External"/><Relationship Id="rId58" Type="http://schemas.openxmlformats.org/officeDocument/2006/relationships/hyperlink" Target="https://www.beehive.govt.nz/release/crown-law-opinion-transgender-discrimination" TargetMode="External"/><Relationship Id="rId79" Type="http://schemas.openxmlformats.org/officeDocument/2006/relationships/hyperlink" Target="https://cendoc.docip.org/collect/upd_en/index/assoc/HASH01f7/01b8b99e.dir/Summary%20Notes%20EMRIP%2016th%20session_EN.pdf" TargetMode="External"/><Relationship Id="rId102" Type="http://schemas.openxmlformats.org/officeDocument/2006/relationships/hyperlink" Target="https://wsanz.org.nz/journal/docs/WSJNZ_34_1-2_Lim-Bunnin_76-91.pdf" TargetMode="External"/><Relationship Id="rId123" Type="http://schemas.openxmlformats.org/officeDocument/2006/relationships/hyperlink" Target="https://www.nzherald.co.nz/sport/rugby-israel-folau-has-no-regrets-about-homophobic-comments-eyes-international-return/E5WZX4N373PT74SM7CHEH2KXQE/" TargetMode="External"/><Relationship Id="rId144" Type="http://schemas.openxmlformats.org/officeDocument/2006/relationships/hyperlink" Target="https://www.stats.govt.nz/tools/2018-census-ethnic-group-summaries/pacific-peoples" TargetMode="External"/><Relationship Id="rId90" Type="http://schemas.openxmlformats.org/officeDocument/2006/relationships/hyperlink" Target="https://doi.org/10.1080/00050067.2022.2093623" TargetMode="External"/><Relationship Id="rId165" Type="http://schemas.openxmlformats.org/officeDocument/2006/relationships/hyperlink" Target="https://www2.ohchr.org/english/bodies/crc/docs/gc/crc_c_gc_14_eng.pdf" TargetMode="External"/><Relationship Id="rId186" Type="http://schemas.openxmlformats.org/officeDocument/2006/relationships/hyperlink" Target="https://www.ohchr.org/en/instruments-mechanisms/instruments/convention-against-torture-and-other-cruel-inhuman-or-degrading" TargetMode="External"/><Relationship Id="rId27" Type="http://schemas.openxmlformats.org/officeDocument/2006/relationships/hyperlink" Target="https://doi.org/10.1080/19361653.2019.1665610" TargetMode="External"/><Relationship Id="rId48" Type="http://schemas.openxmlformats.org/officeDocument/2006/relationships/hyperlink" Target="https://doi.org/10.4000/assr.23613" TargetMode="External"/><Relationship Id="rId69" Type="http://schemas.openxmlformats.org/officeDocument/2006/relationships/hyperlink" Target="https://www.parliament.nz/resource/en-NZ/53SCJU_EVI_113397_JU39398/73793237cf31671ba3352c656c9a88eae5710d47" TargetMode="External"/><Relationship Id="rId113" Type="http://schemas.openxmlformats.org/officeDocument/2006/relationships/hyperlink" Target="https://www.parliament.nz/resource/en-NZ/53SCJU_ADV_113397_JU226248/294776e87207d3db0411cb24645ed8072dc02366" TargetMode="External"/><Relationship Id="rId134" Type="http://schemas.openxmlformats.org/officeDocument/2006/relationships/hyperlink" Target="https://doi.org/10.1111/cpsp.12377" TargetMode="External"/><Relationship Id="rId80" Type="http://schemas.openxmlformats.org/officeDocument/2006/relationships/hyperlink" Target="https://insideout.org.nz/wp-content/uploads/2021/06/Join-this-Chariot.pdf" TargetMode="External"/><Relationship Id="rId155" Type="http://schemas.openxmlformats.org/officeDocument/2006/relationships/hyperlink" Target="https://thespinoff.co.nz/society/26-10-2016/hobogblin-logic-on-pacific-gay-rights-has-distinctly-western-roots" TargetMode="External"/><Relationship Id="rId176" Type="http://schemas.openxmlformats.org/officeDocument/2006/relationships/hyperlink" Target="https://legislation.govt.nz/act/public/2022/0001/latest/whole.html" TargetMode="External"/><Relationship Id="rId197" Type="http://schemas.microsoft.com/office/2019/05/relationships/documenttasks" Target="documenttasks/documenttasks1.xml"/><Relationship Id="rId17" Type="http://schemas.openxmlformats.org/officeDocument/2006/relationships/image" Target="media/image2.PNG"/><Relationship Id="rId38" Type="http://schemas.openxmlformats.org/officeDocument/2006/relationships/hyperlink" Target="https://www.rnz.co.nz/news/chinese/495437/chinese-rainbow-communities-struggle-with-life-in-the-ethnic-closett" TargetMode="External"/><Relationship Id="rId59" Type="http://schemas.openxmlformats.org/officeDocument/2006/relationships/hyperlink" Target="https://thespinoff.co.nz/atea/23-10-2019/what-do-we-really-know-about-gender-diversity-in-te-ao-maori" TargetMode="External"/><Relationship Id="rId103" Type="http://schemas.openxmlformats.org/officeDocument/2006/relationships/hyperlink" Target="https://www.nzherald.co.nz/northern-advocate/news/trans-womans-experience-of-17-years-of-conversion-therapy-at-controversial-far-north-school-and-church/D4GISY6ZHBFBLIOGHGIVNFATAY/" TargetMode="External"/><Relationship Id="rId124" Type="http://schemas.openxmlformats.org/officeDocument/2006/relationships/hyperlink" Target="https://paperspast.natlib.govt.nz/newspapers/NZTR19290509.2.8" TargetMode="External"/><Relationship Id="rId70" Type="http://schemas.openxmlformats.org/officeDocument/2006/relationships/hyperlink" Target="https://tikatangata.org.nz/resources-and-support/guidelines/guidelines-on-conversion-practices" TargetMode="External"/><Relationship Id="rId91" Type="http://schemas.openxmlformats.org/officeDocument/2006/relationships/hyperlink" Target="https://pure.coventry.ac.uk/ws/portalfiles/portal/44880617/2020_12_15_Conversion_Therapy_Reserach_Report_AJ_edited_clean_4_.pdf" TargetMode="External"/><Relationship Id="rId145" Type="http://schemas.openxmlformats.org/officeDocument/2006/relationships/hyperlink" Target="https://www.stats.govt.nz/news/ethnic-group-summaries-reveal-new-zealands-multicultural-make-up/" TargetMode="External"/><Relationship Id="rId166" Type="http://schemas.openxmlformats.org/officeDocument/2006/relationships/hyperlink" Target="https://digitallibrary.un.org/record/3870697/files/A_HRC_44_53-EN.pdf?ln=en" TargetMode="External"/><Relationship Id="rId187" Type="http://schemas.openxmlformats.org/officeDocument/2006/relationships/hyperlink" Target="https://social.desa.un.org/issues/disability/crpd/convention-on-the-rights-of-persons-with-disabilities-crpd" TargetMode="External"/><Relationship Id="rId1" Type="http://schemas.openxmlformats.org/officeDocument/2006/relationships/customXml" Target="../customXml/item1.xml"/><Relationship Id="rId28" Type="http://schemas.openxmlformats.org/officeDocument/2006/relationships/hyperlink" Target="https://weareaptn.org/resource/conversion-therapy-practices-against-transgender-persons-in-india-indonesia-malaysia-and-sri-lanka/" TargetMode="External"/><Relationship Id="rId49" Type="http://schemas.openxmlformats.org/officeDocument/2006/relationships/hyperlink" Target="https://www.ohchr.org/sites/default/files/documents/issues/indigenouspeoples/emrip/sessions/session16/EMRIP-16-Concept_note_Panel-LGBTQIA.pdf" TargetMode="External"/><Relationship Id="rId114" Type="http://schemas.openxmlformats.org/officeDocument/2006/relationships/hyperlink" Target="https://www.donaldbeasley.org.nz/assets/publications/abuse/Tell-Me-About-You-Final.pdf" TargetMode="External"/><Relationship Id="rId60" Type="http://schemas.openxmlformats.org/officeDocument/2006/relationships/hyperlink" Target="https://static1.squarespace.com/static/65c9ceb1a6a5b72d6f280d67/t/65cc227b8c94e134021c9141/1707877007526/Transgressive-Transitions.pdf" TargetMode="External"/><Relationship Id="rId81" Type="http://schemas.openxmlformats.org/officeDocument/2006/relationships/hyperlink" Target="https://yogyakartaprinciples.org/wp-content/uploads/2016/08/principles_en.pdf" TargetMode="External"/><Relationship Id="rId135" Type="http://schemas.openxmlformats.org/officeDocument/2006/relationships/hyperlink" Target="https://www.rnz.co.nz/news/sport/414738/world-rugby-investigating-fiji-chairman-over-homophobia-allegations" TargetMode="External"/><Relationship Id="rId156" Type="http://schemas.openxmlformats.org/officeDocument/2006/relationships/hyperlink" Target="https://www.manalagi.org/_files/ugd/b7eedf_7a214bf6e78349f084581c5f2b68bf2d.pdf" TargetMode="External"/><Relationship Id="rId177" Type="http://schemas.openxmlformats.org/officeDocument/2006/relationships/hyperlink" Target="https://legislation.govt.nz/act/public/1961/0043/latest/DLM327382.html" TargetMode="External"/><Relationship Id="rId18" Type="http://schemas.openxmlformats.org/officeDocument/2006/relationships/image" Target="media/image3.PNG"/><Relationship Id="rId39" Type="http://schemas.openxmlformats.org/officeDocument/2006/relationships/hyperlink" Target="https://www.hqsc.govt.nz/assets/Our-work/Mortality-review-committee/SuMRC/Publications-resources/TeMauriTheLifeForce_final.pdf" TargetMode="External"/><Relationship Id="rId50" Type="http://schemas.openxmlformats.org/officeDocument/2006/relationships/hyperlink" Target="https://static1.squarespace.com/static/5bdbb75ccef37259122e59aa/t/607cb8431453ca0b05c53bb8/1618786373138/Youth19+Brief_Transgender+and+diverse+gender+students+April2021.pdf" TargetMode="External"/><Relationship Id="rId104" Type="http://schemas.openxmlformats.org/officeDocument/2006/relationships/hyperlink" Target="https://www.localmatters.co.nz/news/rodney-activists-seek-ban-on-gay-conversion-therapy/" TargetMode="External"/><Relationship Id="rId125" Type="http://schemas.openxmlformats.org/officeDocument/2006/relationships/hyperlink" Target="https://researchcommons.waikato.ac.nz/items/e57d0714-dd18-4dc4-a7cb-ae9ad3b758d3" TargetMode="External"/><Relationship Id="rId146" Type="http://schemas.openxmlformats.org/officeDocument/2006/relationships/hyperlink" Target="https://www.stats.govt.nz/reports/gender-sex-variations-of-sex-characteristics-and-sexual-identity" TargetMode="External"/><Relationship Id="rId167" Type="http://schemas.openxmlformats.org/officeDocument/2006/relationships/hyperlink" Target="https://documents.un.org/doc/undoc/ltd/g24/048/06/pdf/g2404806.pdf?token=yJMHPb27mXVeg5q7sa&amp;fe=true" TargetMode="External"/><Relationship Id="rId188" Type="http://schemas.openxmlformats.org/officeDocument/2006/relationships/hyperlink" Target="https://www.ohchr.org/en/instruments-mechanisms/instruments/convention-rights-chil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ic1.squarespace.com/static/5bdbb75ccef37259122e59aa/t/607cb8431453ca0b05c53bb8/1618786373138/Youth19+Brief_Transgender+and+diverse+gender+students+April2021.pdf" TargetMode="External"/><Relationship Id="rId2" Type="http://schemas.openxmlformats.org/officeDocument/2006/relationships/hyperlink" Target="https://patha.nz/resources/Documents/PATHA%20submission%20on%20Conversion%20Practices%20Sep2021.pdf" TargetMode="External"/><Relationship Id="rId1" Type="http://schemas.openxmlformats.org/officeDocument/2006/relationships/hyperlink" Target="https://www.maoridictionary.co.n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rcnz.sharepoint.com/sites/ConversionPracticesResponseTeam/Shared%20Documents/Seminars%20&amp;%20Conferences/Maranga%20Mai%20Awaken%20Conference/Survey/Awaken%20Survey%20raw%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https://hrcnz.sharepoint.com/sites/ConversionPracticesResponseTeam/Shared%20Documents/Final%20Insights%20Report/Visuals%20for%20insights%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rcnz.sharepoint.com/sites/ConversionPracticesResponseTeam/Shared%20Documents/Final%20Insights%20Report/Visuals%20for%20insights%20repor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FE-42AC-B2B9-C188029D18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FE-42AC-B2B9-C188029D18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FE-42AC-B2B9-C188029D1800}"/>
              </c:ext>
            </c:extLst>
          </c:dPt>
          <c:dLbls>
            <c:dLbl>
              <c:idx val="0"/>
              <c:tx>
                <c:rich>
                  <a:bodyPr/>
                  <a:lstStyle/>
                  <a:p>
                    <a:fld id="{43F39E24-9E2C-4B23-8B52-C46668DA227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9FE-42AC-B2B9-C188029D1800}"/>
                </c:ext>
              </c:extLst>
            </c:dLbl>
            <c:dLbl>
              <c:idx val="1"/>
              <c:tx>
                <c:rich>
                  <a:bodyPr/>
                  <a:lstStyle/>
                  <a:p>
                    <a:fld id="{FC9F1C9D-1DFC-494C-9F02-97311312A70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9FE-42AC-B2B9-C188029D1800}"/>
                </c:ext>
              </c:extLst>
            </c:dLbl>
            <c:dLbl>
              <c:idx val="2"/>
              <c:tx>
                <c:rich>
                  <a:bodyPr/>
                  <a:lstStyle/>
                  <a:p>
                    <a:fld id="{3A9BE60C-7A17-4B12-A8F2-E4EE833ADEE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9FE-42AC-B2B9-C188029D18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'[Awaken Survey raw data.xlsx]Transformed Data'!$H$2:$H$4</c:f>
              <c:strCache>
                <c:ptCount val="3"/>
                <c:pt idx="0">
                  <c:v>I'm not sure</c:v>
                </c:pt>
                <c:pt idx="1">
                  <c:v>No</c:v>
                </c:pt>
                <c:pt idx="2">
                  <c:v>Yes</c:v>
                </c:pt>
              </c:strCache>
            </c:strRef>
          </c:cat>
          <c:val>
            <c:numRef>
              <c:f>'[Awaken Survey raw data.xlsx]Transformed Data'!$I$2:$I$4</c:f>
              <c:numCache>
                <c:formatCode>0</c:formatCode>
                <c:ptCount val="3"/>
                <c:pt idx="0">
                  <c:v>26.923076923076923</c:v>
                </c:pt>
                <c:pt idx="1">
                  <c:v>38.461538461538467</c:v>
                </c:pt>
                <c:pt idx="2">
                  <c:v>34.615384615384613</c:v>
                </c:pt>
              </c:numCache>
            </c:numRef>
          </c:val>
          <c:extLst>
            <c:ext xmlns:c16="http://schemas.microsoft.com/office/drawing/2014/chart" uri="{C3380CC4-5D6E-409C-BE32-E72D297353CC}">
              <c16:uniqueId val="{00000006-49FE-42AC-B2B9-C188029D18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Sheet1!$A$1:$A$9</c:f>
              <c:strCache>
                <c:ptCount val="9"/>
                <c:pt idx="0">
                  <c:v>Prefer not to say</c:v>
                </c:pt>
                <c:pt idx="1">
                  <c:v>Not sure</c:v>
                </c:pt>
                <c:pt idx="2">
                  <c:v>Teacher, coah or other community leader</c:v>
                </c:pt>
                <c:pt idx="3">
                  <c:v>Doctor or other clinician</c:v>
                </c:pt>
                <c:pt idx="4">
                  <c:v>Friend</c:v>
                </c:pt>
                <c:pt idx="5">
                  <c:v>Counsellor or other mental health professional</c:v>
                </c:pt>
                <c:pt idx="6">
                  <c:v>Tried to change myself</c:v>
                </c:pt>
                <c:pt idx="7">
                  <c:v>Family member</c:v>
                </c:pt>
                <c:pt idx="8">
                  <c:v>Faith leader</c:v>
                </c:pt>
              </c:strCache>
            </c:strRef>
          </c:cat>
          <c:val>
            <c:numRef>
              <c:f>Sheet1!$B$1:$B$9</c:f>
              <c:numCache>
                <c:formatCode>0%</c:formatCode>
                <c:ptCount val="9"/>
                <c:pt idx="0">
                  <c:v>0.04</c:v>
                </c:pt>
                <c:pt idx="1">
                  <c:v>0.12</c:v>
                </c:pt>
                <c:pt idx="2">
                  <c:v>0.04</c:v>
                </c:pt>
                <c:pt idx="3">
                  <c:v>0.04</c:v>
                </c:pt>
                <c:pt idx="4">
                  <c:v>0.27</c:v>
                </c:pt>
                <c:pt idx="5">
                  <c:v>0.27</c:v>
                </c:pt>
                <c:pt idx="6">
                  <c:v>0.5</c:v>
                </c:pt>
                <c:pt idx="7">
                  <c:v>0.5</c:v>
                </c:pt>
                <c:pt idx="8">
                  <c:v>0.54</c:v>
                </c:pt>
              </c:numCache>
            </c:numRef>
          </c:val>
          <c:extLst>
            <c:ext xmlns:c16="http://schemas.microsoft.com/office/drawing/2014/chart" uri="{C3380CC4-5D6E-409C-BE32-E72D297353CC}">
              <c16:uniqueId val="{00000000-9B17-4B77-B9FA-8B520F97AF41}"/>
            </c:ext>
          </c:extLst>
        </c:ser>
        <c:dLbls>
          <c:showLegendKey val="0"/>
          <c:showVal val="0"/>
          <c:showCatName val="0"/>
          <c:showSerName val="0"/>
          <c:showPercent val="0"/>
          <c:showBubbleSize val="0"/>
        </c:dLbls>
        <c:gapWidth val="182"/>
        <c:axId val="1136554704"/>
        <c:axId val="1136552624"/>
      </c:barChart>
      <c:catAx>
        <c:axId val="113655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6552624"/>
        <c:crosses val="autoZero"/>
        <c:auto val="1"/>
        <c:lblAlgn val="ctr"/>
        <c:lblOffset val="100"/>
        <c:noMultiLvlLbl val="0"/>
      </c:catAx>
      <c:valAx>
        <c:axId val="11365526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6554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Sheet1!$A$38:$A$45</c:f>
              <c:strCache>
                <c:ptCount val="8"/>
                <c:pt idx="0">
                  <c:v>Slowling becoming more comfortable in affirming church spaces</c:v>
                </c:pt>
                <c:pt idx="1">
                  <c:v>I am comfortable in faith settings as long as people do not kow or assume I am queer</c:v>
                </c:pt>
                <c:pt idx="2">
                  <c:v>I have chosen to stay away from churches</c:v>
                </c:pt>
                <c:pt idx="3">
                  <c:v>I am uncomfortable in faith settings because of how they have treated Rainbow people generally</c:v>
                </c:pt>
                <c:pt idx="4">
                  <c:v>Sometimes I am comfortable, sometimes I am not - it depends how I'm feeling</c:v>
                </c:pt>
                <c:pt idx="5">
                  <c:v>I am comfortable in most settings</c:v>
                </c:pt>
                <c:pt idx="6">
                  <c:v>I am comfortable if they explicitly affirm Rainbow people</c:v>
                </c:pt>
                <c:pt idx="7">
                  <c:v>I am comfortable only in faith settings I know well</c:v>
                </c:pt>
              </c:strCache>
            </c:strRef>
          </c:cat>
          <c:val>
            <c:numRef>
              <c:f>Sheet1!$B$38:$B$45</c:f>
              <c:numCache>
                <c:formatCode>0%</c:formatCode>
                <c:ptCount val="8"/>
                <c:pt idx="0">
                  <c:v>0.04</c:v>
                </c:pt>
                <c:pt idx="1">
                  <c:v>0.04</c:v>
                </c:pt>
                <c:pt idx="2">
                  <c:v>0.12</c:v>
                </c:pt>
                <c:pt idx="3">
                  <c:v>0.12</c:v>
                </c:pt>
                <c:pt idx="4">
                  <c:v>0.12</c:v>
                </c:pt>
                <c:pt idx="5">
                  <c:v>0.12</c:v>
                </c:pt>
                <c:pt idx="6">
                  <c:v>0.16</c:v>
                </c:pt>
                <c:pt idx="7">
                  <c:v>0.24</c:v>
                </c:pt>
              </c:numCache>
            </c:numRef>
          </c:val>
          <c:extLst>
            <c:ext xmlns:c16="http://schemas.microsoft.com/office/drawing/2014/chart" uri="{C3380CC4-5D6E-409C-BE32-E72D297353CC}">
              <c16:uniqueId val="{00000000-8126-414C-A9B6-92D6C68976D9}"/>
            </c:ext>
          </c:extLst>
        </c:ser>
        <c:dLbls>
          <c:showLegendKey val="0"/>
          <c:showVal val="0"/>
          <c:showCatName val="0"/>
          <c:showSerName val="0"/>
          <c:showPercent val="0"/>
          <c:showBubbleSize val="0"/>
        </c:dLbls>
        <c:gapWidth val="182"/>
        <c:axId val="201971520"/>
        <c:axId val="201972480"/>
      </c:barChart>
      <c:catAx>
        <c:axId val="20197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72480"/>
        <c:crosses val="autoZero"/>
        <c:auto val="1"/>
        <c:lblAlgn val="ctr"/>
        <c:lblOffset val="100"/>
        <c:noMultiLvlLbl val="0"/>
      </c:catAx>
      <c:valAx>
        <c:axId val="201972480"/>
        <c:scaling>
          <c:orientation val="minMax"/>
        </c:scaling>
        <c:delete val="1"/>
        <c:axPos val="b"/>
        <c:numFmt formatCode="0%" sourceLinked="1"/>
        <c:majorTickMark val="none"/>
        <c:minorTickMark val="none"/>
        <c:tickLblPos val="nextTo"/>
        <c:crossAx val="201971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Sheet1!$A$50:$A$59</c:f>
              <c:strCache>
                <c:ptCount val="10"/>
                <c:pt idx="0">
                  <c:v>I'm not sure</c:v>
                </c:pt>
                <c:pt idx="1">
                  <c:v>None</c:v>
                </c:pt>
                <c:pt idx="2">
                  <c:v>Small groups</c:v>
                </c:pt>
                <c:pt idx="3">
                  <c:v>Community culture</c:v>
                </c:pt>
                <c:pt idx="4">
                  <c:v>Aspects of the physical space</c:v>
                </c:pt>
                <c:pt idx="5">
                  <c:v>Volunteer/ministry opportunities</c:v>
                </c:pt>
                <c:pt idx="6">
                  <c:v>Prayer</c:v>
                </c:pt>
                <c:pt idx="7">
                  <c:v>Being around faith leaders</c:v>
                </c:pt>
                <c:pt idx="8">
                  <c:v>Worship</c:v>
                </c:pt>
                <c:pt idx="9">
                  <c:v>Preaching</c:v>
                </c:pt>
              </c:strCache>
            </c:strRef>
          </c:cat>
          <c:val>
            <c:numRef>
              <c:f>Sheet1!$B$50:$B$59</c:f>
              <c:numCache>
                <c:formatCode>0%</c:formatCode>
                <c:ptCount val="10"/>
                <c:pt idx="0">
                  <c:v>0.08</c:v>
                </c:pt>
                <c:pt idx="1">
                  <c:v>0.12</c:v>
                </c:pt>
                <c:pt idx="2">
                  <c:v>0.15</c:v>
                </c:pt>
                <c:pt idx="3">
                  <c:v>0.15</c:v>
                </c:pt>
                <c:pt idx="4">
                  <c:v>0.15</c:v>
                </c:pt>
                <c:pt idx="5">
                  <c:v>0.23</c:v>
                </c:pt>
                <c:pt idx="6">
                  <c:v>0.31</c:v>
                </c:pt>
                <c:pt idx="7">
                  <c:v>0.39</c:v>
                </c:pt>
                <c:pt idx="8">
                  <c:v>0.42</c:v>
                </c:pt>
                <c:pt idx="9">
                  <c:v>0.54</c:v>
                </c:pt>
              </c:numCache>
            </c:numRef>
          </c:val>
          <c:extLst>
            <c:ext xmlns:c16="http://schemas.microsoft.com/office/drawing/2014/chart" uri="{C3380CC4-5D6E-409C-BE32-E72D297353CC}">
              <c16:uniqueId val="{00000000-E878-40CF-9B45-44AE6C7DB33A}"/>
            </c:ext>
          </c:extLst>
        </c:ser>
        <c:dLbls>
          <c:showLegendKey val="0"/>
          <c:showVal val="0"/>
          <c:showCatName val="0"/>
          <c:showSerName val="0"/>
          <c:showPercent val="0"/>
          <c:showBubbleSize val="0"/>
        </c:dLbls>
        <c:gapWidth val="182"/>
        <c:axId val="207980192"/>
        <c:axId val="207980672"/>
      </c:barChart>
      <c:catAx>
        <c:axId val="20798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980672"/>
        <c:crosses val="autoZero"/>
        <c:auto val="1"/>
        <c:lblAlgn val="ctr"/>
        <c:lblOffset val="100"/>
        <c:noMultiLvlLbl val="0"/>
      </c:catAx>
      <c:valAx>
        <c:axId val="207980672"/>
        <c:scaling>
          <c:orientation val="minMax"/>
        </c:scaling>
        <c:delete val="1"/>
        <c:axPos val="b"/>
        <c:numFmt formatCode="0%" sourceLinked="1"/>
        <c:majorTickMark val="none"/>
        <c:minorTickMark val="none"/>
        <c:tickLblPos val="nextTo"/>
        <c:crossAx val="20798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Sheet1!$A$66:$A$79</c:f>
              <c:strCache>
                <c:ptCount val="14"/>
                <c:pt idx="0">
                  <c:v>I'm not sure</c:v>
                </c:pt>
                <c:pt idx="1">
                  <c:v>Looking/being completely not like a church</c:v>
                </c:pt>
                <c:pt idx="2">
                  <c:v>Help to meet other Rainbow community members</c:v>
                </c:pt>
                <c:pt idx="3">
                  <c:v>Proactive links to Rainbow organisations and support</c:v>
                </c:pt>
                <c:pt idx="4">
                  <c:v>Explicit pro-Tiriti and/or anti-racism kaupapa</c:v>
                </c:pt>
                <c:pt idx="5">
                  <c:v>Acknowledgement of past  harms</c:v>
                </c:pt>
                <c:pt idx="6">
                  <c:v>Rainbow small group option</c:v>
                </c:pt>
                <c:pt idx="7">
                  <c:v>Affirming Bible teachings</c:v>
                </c:pt>
                <c:pt idx="8">
                  <c:v>Removing patriarchal/ non-affirming workship songs</c:v>
                </c:pt>
                <c:pt idx="9">
                  <c:v>Gender neutral toilets/bathrooms</c:v>
                </c:pt>
                <c:pt idx="10">
                  <c:v>Prayer that refers to God with neutral or varied pronouns</c:v>
                </c:pt>
                <c:pt idx="11">
                  <c:v>Rainbow flags or other visible signs</c:v>
                </c:pt>
                <c:pt idx="12">
                  <c:v>Explicit evidence they affirm Rainbow people</c:v>
                </c:pt>
                <c:pt idx="13">
                  <c:v>Rainbow people in leadership roles</c:v>
                </c:pt>
              </c:strCache>
            </c:strRef>
          </c:cat>
          <c:val>
            <c:numRef>
              <c:f>Sheet1!$B$66:$B$79</c:f>
              <c:numCache>
                <c:formatCode>0%</c:formatCode>
                <c:ptCount val="14"/>
                <c:pt idx="0">
                  <c:v>0.04</c:v>
                </c:pt>
                <c:pt idx="1">
                  <c:v>0.12</c:v>
                </c:pt>
                <c:pt idx="2">
                  <c:v>0.19</c:v>
                </c:pt>
                <c:pt idx="3">
                  <c:v>0.19</c:v>
                </c:pt>
                <c:pt idx="4">
                  <c:v>0.23</c:v>
                </c:pt>
                <c:pt idx="5">
                  <c:v>0.23</c:v>
                </c:pt>
                <c:pt idx="6">
                  <c:v>0.23</c:v>
                </c:pt>
                <c:pt idx="7">
                  <c:v>0.27</c:v>
                </c:pt>
                <c:pt idx="8">
                  <c:v>0.27</c:v>
                </c:pt>
                <c:pt idx="9">
                  <c:v>0.27</c:v>
                </c:pt>
                <c:pt idx="10">
                  <c:v>0.31</c:v>
                </c:pt>
                <c:pt idx="11">
                  <c:v>0.31</c:v>
                </c:pt>
                <c:pt idx="12">
                  <c:v>0.69</c:v>
                </c:pt>
                <c:pt idx="13">
                  <c:v>0.77</c:v>
                </c:pt>
              </c:numCache>
            </c:numRef>
          </c:val>
          <c:extLst>
            <c:ext xmlns:c16="http://schemas.microsoft.com/office/drawing/2014/chart" uri="{C3380CC4-5D6E-409C-BE32-E72D297353CC}">
              <c16:uniqueId val="{00000000-0714-4502-A699-4BD44449BED9}"/>
            </c:ext>
          </c:extLst>
        </c:ser>
        <c:dLbls>
          <c:showLegendKey val="0"/>
          <c:showVal val="0"/>
          <c:showCatName val="0"/>
          <c:showSerName val="0"/>
          <c:showPercent val="0"/>
          <c:showBubbleSize val="0"/>
        </c:dLbls>
        <c:gapWidth val="182"/>
        <c:axId val="1554890960"/>
        <c:axId val="1554891440"/>
      </c:barChart>
      <c:catAx>
        <c:axId val="155489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891440"/>
        <c:crosses val="autoZero"/>
        <c:auto val="1"/>
        <c:lblAlgn val="ctr"/>
        <c:lblOffset val="100"/>
        <c:noMultiLvlLbl val="0"/>
      </c:catAx>
      <c:valAx>
        <c:axId val="1554891440"/>
        <c:scaling>
          <c:orientation val="minMax"/>
        </c:scaling>
        <c:delete val="1"/>
        <c:axPos val="b"/>
        <c:numFmt formatCode="0%" sourceLinked="1"/>
        <c:majorTickMark val="none"/>
        <c:minorTickMark val="none"/>
        <c:tickLblPos val="nextTo"/>
        <c:crossAx val="1554890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370B84E3-BE6B-409E-9616-ECD74238CEF7}">
    <t:Anchor>
      <t:Comment id="675651325"/>
    </t:Anchor>
    <t:History>
      <t:Event id="{AB9510C2-65D3-4B8F-B4F7-7642356513E0}" time="2023-06-27T05:46:37.079Z">
        <t:Attribution userId="S::Tainep@hrc.co.nz::d657942d-3e7c-43ec-a9c0-54ec2c3b0bbd" userProvider="AD" userName="Taine Polkinghorne"/>
        <t:Anchor>
          <t:Comment id="675651325"/>
        </t:Anchor>
        <t:Create/>
      </t:Event>
      <t:Event id="{A4F145FF-0612-4010-8FD9-48A621A75CE0}" time="2023-06-27T05:46:37.079Z">
        <t:Attribution userId="S::Tainep@hrc.co.nz::d657942d-3e7c-43ec-a9c0-54ec2c3b0bbd" userProvider="AD" userName="Taine Polkinghorne"/>
        <t:Anchor>
          <t:Comment id="675651325"/>
        </t:Anchor>
        <t:Assign userId="S::EleanorV@hrc.co.nz::0864683c-34f6-49d2-bf49-4b588c1a4c50" userProvider="AD" userName="Eleanor Vermunt"/>
      </t:Event>
      <t:Event id="{7F18A202-3B56-4DC9-A01B-672A971D640D}" time="2023-06-27T05:46:37.079Z">
        <t:Attribution userId="S::Tainep@hrc.co.nz::d657942d-3e7c-43ec-a9c0-54ec2c3b0bbd" userProvider="AD" userName="Taine Polkinghorne"/>
        <t:Anchor>
          <t:Comment id="675651325"/>
        </t:Anchor>
        <t:SetTitle title="Might ask @Eleanor Vermunt to pls check this wording - I think it could be a little clearer"/>
      </t:Event>
    </t:History>
  </t:Task>
  <t:Task id="{A89508B6-76A6-48B1-9B3D-930D00C62788}">
    <t:Anchor>
      <t:Comment id="1794712419"/>
    </t:Anchor>
    <t:History>
      <t:Event id="{4FC470CE-0455-408E-A79E-5638C90623DA}" time="2024-06-07T00:14:06.644Z">
        <t:Attribution userId="S::EstherR@hrc.co.nz::9d420ac4-64c8-48b0-bd42-8dbd12ff7412" userProvider="AD" userName="Esther Rootham"/>
        <t:Anchor>
          <t:Comment id="1503555867"/>
        </t:Anchor>
        <t:Create/>
      </t:Event>
      <t:Event id="{0B08698F-2C4F-48FD-B3CD-D307C679ACA9}" time="2024-06-07T00:14:06.644Z">
        <t:Attribution userId="S::EstherR@hrc.co.nz::9d420ac4-64c8-48b0-bd42-8dbd12ff7412" userProvider="AD" userName="Esther Rootham"/>
        <t:Anchor>
          <t:Comment id="1503555867"/>
        </t:Anchor>
        <t:Assign userId="S::Tainep@hrc.co.nz::d657942d-3e7c-43ec-a9c0-54ec2c3b0bbd" userProvider="AD" userName="Taine Polkinghorne"/>
      </t:Event>
      <t:Event id="{99008046-891E-46B3-A63A-6E33F5AAA930}" time="2024-06-07T00:14:06.644Z">
        <t:Attribution userId="S::EstherR@hrc.co.nz::9d420ac4-64c8-48b0-bd42-8dbd12ff7412" userProvider="AD" userName="Esther Rootham"/>
        <t:Anchor>
          <t:Comment id="1503555867"/>
        </t:Anchor>
        <t:SetTitle title="@Taine Polkinghorne have reworded this one to make more clear, is it?"/>
      </t:Event>
      <t:Event id="{A7FD79F1-D7FB-417E-9EFB-D9665013C067}" time="2024-06-07T00:31:18.79Z">
        <t:Attribution userId="S::Tainep@hrc.co.nz::d657942d-3e7c-43ec-a9c0-54ec2c3b0bbd" userProvider="AD" userName="Taine Polkinghor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Fen</b:Tag>
    <b:SourceType>Report</b:SourceType>
    <b:Guid>{D8DA9409-223D-448B-B408-9389481C464F}</b:Guid>
    <b:Title>Identify survey: Community and advocacy report.</b:Title>
    <b:Publisher>Identify Survey Team</b:Publisher>
    <b:Author>
      <b:Author>
        <b:NameList>
          <b:Person>
            <b:Last>Fenaughty </b:Last>
            <b:First>J</b:First>
          </b:Person>
          <b:Person>
            <b:Last>Ker</b:Last>
            <b:First>A</b:First>
          </b:Person>
          <b:Person>
            <b:Last>Alansari</b:Last>
            <b:First>M</b:First>
          </b:Person>
          <b:Person>
            <b:Last>Besley</b:Last>
            <b:First>T</b:First>
          </b:Person>
          <b:Person>
            <b:Last>Kerekere</b:Last>
            <b:First>E</b:First>
          </b:Person>
          <b:Person>
            <b:Last>Pasley</b:Last>
            <b:First>A</b:First>
          </b:Person>
          <b:Person>
            <b:Last>Saxton</b:Last>
            <b:First>P</b:First>
          </b:Person>
          <b:Person>
            <b:Last>Subramanian</b:Last>
            <b:First>P</b:First>
          </b:Person>
          <b:Person>
            <b:Last>Thomsen</b:Last>
            <b:First>P</b:First>
          </b:Person>
          <b:Person>
            <b:Last>Veale</b:Last>
            <b:First>J</b:First>
          </b:Person>
        </b:NameList>
      </b:Author>
    </b:Author>
    <b:URL>https://www.identifysurvey.nz/s/community_advocacy_report.pdf</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57CAD8BCE614BA0722606C68626EC" ma:contentTypeVersion="17" ma:contentTypeDescription="Create a new document." ma:contentTypeScope="" ma:versionID="e147734caa95bad373c1329f006d8cac">
  <xsd:schema xmlns:xsd="http://www.w3.org/2001/XMLSchema" xmlns:xs="http://www.w3.org/2001/XMLSchema" xmlns:p="http://schemas.microsoft.com/office/2006/metadata/properties" xmlns:ns2="ab2566d0-6a46-4987-bcbf-fe4ddd9de4d2" xmlns:ns3="ec105f9e-1d14-4892-97bf-81bd8e6bb628" targetNamespace="http://schemas.microsoft.com/office/2006/metadata/properties" ma:root="true" ma:fieldsID="8872858e83c0bc711c06b9a01a888165" ns2:_="" ns3:_="">
    <xsd:import namespace="ab2566d0-6a46-4987-bcbf-fe4ddd9de4d2"/>
    <xsd:import namespace="ec105f9e-1d14-4892-97bf-81bd8e6bb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566d0-6a46-4987-bcbf-fe4ddd9de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05f9e-1d14-4892-97bf-81bd8e6bb6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38da59-0c1e-4850-9268-2f6ea7ab4d22}" ma:internalName="TaxCatchAll" ma:showField="CatchAllData" ma:web="ec105f9e-1d14-4892-97bf-81bd8e6bb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105f9e-1d14-4892-97bf-81bd8e6bb628" xsi:nil="true"/>
    <lcf76f155ced4ddcb4097134ff3c332f xmlns="ab2566d0-6a46-4987-bcbf-fe4ddd9de4d2">
      <Terms xmlns="http://schemas.microsoft.com/office/infopath/2007/PartnerControls"/>
    </lcf76f155ced4ddcb4097134ff3c332f>
    <SharedWithUsers xmlns="ec105f9e-1d14-4892-97bf-81bd8e6bb628">
      <UserInfo>
        <DisplayName>Kerri Kruse</DisplayName>
        <AccountId>44</AccountId>
        <AccountType/>
      </UserInfo>
      <UserInfo>
        <DisplayName>Jac Lynch</DisplayName>
        <AccountId>183</AccountId>
        <AccountType/>
      </UserInfo>
      <UserInfo>
        <DisplayName>Hannah Northover</DisplayName>
        <AccountId>40</AccountId>
        <AccountType/>
      </UserInfo>
      <UserInfo>
        <DisplayName>Helen Isbister</DisplayName>
        <AccountId>160</AccountId>
        <AccountType/>
      </UserInfo>
      <UserInfo>
        <DisplayName>Marianne Elliott</DisplayName>
        <AccountId>192</AccountId>
        <AccountType/>
      </UserInfo>
      <UserInfo>
        <DisplayName>Nera Tautau</DisplayName>
        <AccountId>195</AccountId>
        <AccountType/>
      </UserInfo>
    </SharedWithUsers>
  </documentManagement>
</p:properties>
</file>

<file path=customXml/itemProps1.xml><?xml version="1.0" encoding="utf-8"?>
<ds:datastoreItem xmlns:ds="http://schemas.openxmlformats.org/officeDocument/2006/customXml" ds:itemID="{0E3A3C4A-8A62-4D37-BF56-6A42633BCE6F}">
  <ds:schemaRefs>
    <ds:schemaRef ds:uri="http://schemas.openxmlformats.org/officeDocument/2006/bibliography"/>
  </ds:schemaRefs>
</ds:datastoreItem>
</file>

<file path=customXml/itemProps2.xml><?xml version="1.0" encoding="utf-8"?>
<ds:datastoreItem xmlns:ds="http://schemas.openxmlformats.org/officeDocument/2006/customXml" ds:itemID="{5B7BFDAF-A733-4D7B-B1D4-3E68BA24D04E}">
  <ds:schemaRefs>
    <ds:schemaRef ds:uri="http://schemas.microsoft.com/sharepoint/v3/contenttype/forms"/>
  </ds:schemaRefs>
</ds:datastoreItem>
</file>

<file path=customXml/itemProps3.xml><?xml version="1.0" encoding="utf-8"?>
<ds:datastoreItem xmlns:ds="http://schemas.openxmlformats.org/officeDocument/2006/customXml" ds:itemID="{76DF9BDA-15AB-4B36-A278-C9E3A4A24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566d0-6a46-4987-bcbf-fe4ddd9de4d2"/>
    <ds:schemaRef ds:uri="ec105f9e-1d14-4892-97bf-81bd8e6bb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6A815-145C-4B94-BEAB-86B251F10C60}">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ec105f9e-1d14-4892-97bf-81bd8e6bb628"/>
    <ds:schemaRef ds:uri="ab2566d0-6a46-4987-bcbf-fe4ddd9de4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56309</Words>
  <Characters>320964</Characters>
  <Application>Microsoft Office Word</Application>
  <DocSecurity>4</DocSecurity>
  <Lines>2674</Lines>
  <Paragraphs>753</Paragraphs>
  <ScaleCrop>false</ScaleCrop>
  <Company/>
  <LinksUpToDate>false</LinksUpToDate>
  <CharactersWithSpaces>376520</CharactersWithSpaces>
  <SharedDoc>false</SharedDoc>
  <HLinks>
    <vt:vector size="1782" baseType="variant">
      <vt:variant>
        <vt:i4>131087</vt:i4>
      </vt:variant>
      <vt:variant>
        <vt:i4>1317</vt:i4>
      </vt:variant>
      <vt:variant>
        <vt:i4>0</vt:i4>
      </vt:variant>
      <vt:variant>
        <vt:i4>5</vt:i4>
      </vt:variant>
      <vt:variant>
        <vt:lpwstr>https://www.ohchr.org/en/human-rights/universal-declaration/translations/english</vt:lpwstr>
      </vt:variant>
      <vt:variant>
        <vt:lpwstr/>
      </vt:variant>
      <vt:variant>
        <vt:i4>8323179</vt:i4>
      </vt:variant>
      <vt:variant>
        <vt:i4>1314</vt:i4>
      </vt:variant>
      <vt:variant>
        <vt:i4>0</vt:i4>
      </vt:variant>
      <vt:variant>
        <vt:i4>5</vt:i4>
      </vt:variant>
      <vt:variant>
        <vt:lpwstr>https://www.ohchr.org/en/instruments-mechanisms/instruments/international-covenant-economic-social-and-cultural-rights</vt:lpwstr>
      </vt:variant>
      <vt:variant>
        <vt:lpwstr/>
      </vt:variant>
      <vt:variant>
        <vt:i4>983109</vt:i4>
      </vt:variant>
      <vt:variant>
        <vt:i4>1311</vt:i4>
      </vt:variant>
      <vt:variant>
        <vt:i4>0</vt:i4>
      </vt:variant>
      <vt:variant>
        <vt:i4>5</vt:i4>
      </vt:variant>
      <vt:variant>
        <vt:lpwstr>https://www.ohchr.org/en/instruments-mechanisms/instruments/international-covenant-civil-and-political-rights</vt:lpwstr>
      </vt:variant>
      <vt:variant>
        <vt:lpwstr/>
      </vt:variant>
      <vt:variant>
        <vt:i4>1835027</vt:i4>
      </vt:variant>
      <vt:variant>
        <vt:i4>1308</vt:i4>
      </vt:variant>
      <vt:variant>
        <vt:i4>0</vt:i4>
      </vt:variant>
      <vt:variant>
        <vt:i4>5</vt:i4>
      </vt:variant>
      <vt:variant>
        <vt:lpwstr>https://www.ohchr.org/sites/default/files/Documents/Publications/Declaration_indigenous_en.pdf</vt:lpwstr>
      </vt:variant>
      <vt:variant>
        <vt:lpwstr/>
      </vt:variant>
      <vt:variant>
        <vt:i4>6291570</vt:i4>
      </vt:variant>
      <vt:variant>
        <vt:i4>1305</vt:i4>
      </vt:variant>
      <vt:variant>
        <vt:i4>0</vt:i4>
      </vt:variant>
      <vt:variant>
        <vt:i4>5</vt:i4>
      </vt:variant>
      <vt:variant>
        <vt:lpwstr>https://www.ohchr.org/en/instruments-mechanisms/instruments/convention-rights-child</vt:lpwstr>
      </vt:variant>
      <vt:variant>
        <vt:lpwstr/>
      </vt:variant>
      <vt:variant>
        <vt:i4>1638406</vt:i4>
      </vt:variant>
      <vt:variant>
        <vt:i4>1302</vt:i4>
      </vt:variant>
      <vt:variant>
        <vt:i4>0</vt:i4>
      </vt:variant>
      <vt:variant>
        <vt:i4>5</vt:i4>
      </vt:variant>
      <vt:variant>
        <vt:lpwstr>https://social.desa.un.org/issues/disability/crpd/convention-on-the-rights-of-persons-with-disabilities-crpd</vt:lpwstr>
      </vt:variant>
      <vt:variant>
        <vt:lpwstr/>
      </vt:variant>
      <vt:variant>
        <vt:i4>7536757</vt:i4>
      </vt:variant>
      <vt:variant>
        <vt:i4>1299</vt:i4>
      </vt:variant>
      <vt:variant>
        <vt:i4>0</vt:i4>
      </vt:variant>
      <vt:variant>
        <vt:i4>5</vt:i4>
      </vt:variant>
      <vt:variant>
        <vt:lpwstr>https://www.ohchr.org/en/instruments-mechanisms/instruments/convention-against-torture-and-other-cruel-inhuman-or-degrading</vt:lpwstr>
      </vt:variant>
      <vt:variant>
        <vt:lpwstr/>
      </vt:variant>
      <vt:variant>
        <vt:i4>8060985</vt:i4>
      </vt:variant>
      <vt:variant>
        <vt:i4>1296</vt:i4>
      </vt:variant>
      <vt:variant>
        <vt:i4>0</vt:i4>
      </vt:variant>
      <vt:variant>
        <vt:i4>5</vt:i4>
      </vt:variant>
      <vt:variant>
        <vt:lpwstr>https://www.legislation.govt.nz/act/public/2002/0009/latest/DLM135342.html</vt:lpwstr>
      </vt:variant>
      <vt:variant>
        <vt:lpwstr/>
      </vt:variant>
      <vt:variant>
        <vt:i4>7536695</vt:i4>
      </vt:variant>
      <vt:variant>
        <vt:i4>1293</vt:i4>
      </vt:variant>
      <vt:variant>
        <vt:i4>0</vt:i4>
      </vt:variant>
      <vt:variant>
        <vt:i4>5</vt:i4>
      </vt:variant>
      <vt:variant>
        <vt:lpwstr>https://www.legislation.govt.nz/act/public/1989/0024/latest/DLM147088.html</vt:lpwstr>
      </vt:variant>
      <vt:variant>
        <vt:lpwstr/>
      </vt:variant>
      <vt:variant>
        <vt:i4>8323127</vt:i4>
      </vt:variant>
      <vt:variant>
        <vt:i4>1290</vt:i4>
      </vt:variant>
      <vt:variant>
        <vt:i4>0</vt:i4>
      </vt:variant>
      <vt:variant>
        <vt:i4>5</vt:i4>
      </vt:variant>
      <vt:variant>
        <vt:lpwstr>https://www.legislation.govt.nz/act/public/1990/0109/latest/DLM224792.html</vt:lpwstr>
      </vt:variant>
      <vt:variant>
        <vt:lpwstr/>
      </vt:variant>
      <vt:variant>
        <vt:i4>7798887</vt:i4>
      </vt:variant>
      <vt:variant>
        <vt:i4>1287</vt:i4>
      </vt:variant>
      <vt:variant>
        <vt:i4>0</vt:i4>
      </vt:variant>
      <vt:variant>
        <vt:i4>5</vt:i4>
      </vt:variant>
      <vt:variant>
        <vt:lpwstr>https://www.legislation.govt.nz/act/public/2013/0020/latest/DLM4505003.html</vt:lpwstr>
      </vt:variant>
      <vt:variant>
        <vt:lpwstr/>
      </vt:variant>
      <vt:variant>
        <vt:i4>3014776</vt:i4>
      </vt:variant>
      <vt:variant>
        <vt:i4>1284</vt:i4>
      </vt:variant>
      <vt:variant>
        <vt:i4>0</vt:i4>
      </vt:variant>
      <vt:variant>
        <vt:i4>5</vt:i4>
      </vt:variant>
      <vt:variant>
        <vt:lpwstr>https://www.legislation.govt.nz/act/public/1955/0092/latest/whole.html</vt:lpwstr>
      </vt:variant>
      <vt:variant>
        <vt:lpwstr/>
      </vt:variant>
      <vt:variant>
        <vt:i4>8060985</vt:i4>
      </vt:variant>
      <vt:variant>
        <vt:i4>1281</vt:i4>
      </vt:variant>
      <vt:variant>
        <vt:i4>0</vt:i4>
      </vt:variant>
      <vt:variant>
        <vt:i4>5</vt:i4>
      </vt:variant>
      <vt:variant>
        <vt:lpwstr>https://www.legislation.govt.nz/act/public/2002/0009/latest/DLM135342.html</vt:lpwstr>
      </vt:variant>
      <vt:variant>
        <vt:lpwstr/>
      </vt:variant>
      <vt:variant>
        <vt:i4>2228337</vt:i4>
      </vt:variant>
      <vt:variant>
        <vt:i4>1278</vt:i4>
      </vt:variant>
      <vt:variant>
        <vt:i4>0</vt:i4>
      </vt:variant>
      <vt:variant>
        <vt:i4>5</vt:i4>
      </vt:variant>
      <vt:variant>
        <vt:lpwstr>https://www.legislation.govt.nz/act/public/1986/0033/latest/whole.html</vt:lpwstr>
      </vt:variant>
      <vt:variant>
        <vt:lpwstr/>
      </vt:variant>
      <vt:variant>
        <vt:i4>2490411</vt:i4>
      </vt:variant>
      <vt:variant>
        <vt:i4>1275</vt:i4>
      </vt:variant>
      <vt:variant>
        <vt:i4>0</vt:i4>
      </vt:variant>
      <vt:variant>
        <vt:i4>5</vt:i4>
      </vt:variant>
      <vt:variant>
        <vt:lpwstr>https://legislation.govt.nz/act/public/2020/0038/latest/LMS170676.html</vt:lpwstr>
      </vt:variant>
      <vt:variant>
        <vt:lpwstr/>
      </vt:variant>
      <vt:variant>
        <vt:i4>2162742</vt:i4>
      </vt:variant>
      <vt:variant>
        <vt:i4>1272</vt:i4>
      </vt:variant>
      <vt:variant>
        <vt:i4>0</vt:i4>
      </vt:variant>
      <vt:variant>
        <vt:i4>5</vt:i4>
      </vt:variant>
      <vt:variant>
        <vt:lpwstr>https://legislation.govt.nz/act/public/1961/0043/latest/DLM327382.html</vt:lpwstr>
      </vt:variant>
      <vt:variant>
        <vt:lpwstr/>
      </vt:variant>
      <vt:variant>
        <vt:i4>7340159</vt:i4>
      </vt:variant>
      <vt:variant>
        <vt:i4>1269</vt:i4>
      </vt:variant>
      <vt:variant>
        <vt:i4>0</vt:i4>
      </vt:variant>
      <vt:variant>
        <vt:i4>5</vt:i4>
      </vt:variant>
      <vt:variant>
        <vt:lpwstr>https://legislation.govt.nz/act/public/2022/0001/latest/whole.html</vt:lpwstr>
      </vt:variant>
      <vt:variant>
        <vt:lpwstr/>
      </vt:variant>
      <vt:variant>
        <vt:i4>2228278</vt:i4>
      </vt:variant>
      <vt:variant>
        <vt:i4>1266</vt:i4>
      </vt:variant>
      <vt:variant>
        <vt:i4>0</vt:i4>
      </vt:variant>
      <vt:variant>
        <vt:i4>5</vt:i4>
      </vt:variant>
      <vt:variant>
        <vt:lpwstr>https://legislation.govt.nz/regulation/public/1996/0078/10.0/DLM209085.html</vt:lpwstr>
      </vt:variant>
      <vt:variant>
        <vt:lpwstr/>
      </vt:variant>
      <vt:variant>
        <vt:i4>2687097</vt:i4>
      </vt:variant>
      <vt:variant>
        <vt:i4>1263</vt:i4>
      </vt:variant>
      <vt:variant>
        <vt:i4>0</vt:i4>
      </vt:variant>
      <vt:variant>
        <vt:i4>5</vt:i4>
      </vt:variant>
      <vt:variant>
        <vt:lpwstr>https://www.legislation.govt.nz/act/public/2004/0102/latest/whole.html</vt:lpwstr>
      </vt:variant>
      <vt:variant>
        <vt:lpwstr/>
      </vt:variant>
      <vt:variant>
        <vt:i4>7667764</vt:i4>
      </vt:variant>
      <vt:variant>
        <vt:i4>1260</vt:i4>
      </vt:variant>
      <vt:variant>
        <vt:i4>0</vt:i4>
      </vt:variant>
      <vt:variant>
        <vt:i4>5</vt:i4>
      </vt:variant>
      <vt:variant>
        <vt:lpwstr>https://www.legislation.govt.nz/act/public/2004/0090/latest/DLM317233.html</vt:lpwstr>
      </vt:variant>
      <vt:variant>
        <vt:lpwstr/>
      </vt:variant>
      <vt:variant>
        <vt:i4>7536739</vt:i4>
      </vt:variant>
      <vt:variant>
        <vt:i4>1257</vt:i4>
      </vt:variant>
      <vt:variant>
        <vt:i4>0</vt:i4>
      </vt:variant>
      <vt:variant>
        <vt:i4>5</vt:i4>
      </vt:variant>
      <vt:variant>
        <vt:lpwstr>https://www.legislation.govt.nz/act/public/2021/0057/latest/DLM7273502.html</vt:lpwstr>
      </vt:variant>
      <vt:variant>
        <vt:lpwstr/>
      </vt:variant>
      <vt:variant>
        <vt:i4>7667833</vt:i4>
      </vt:variant>
      <vt:variant>
        <vt:i4>1254</vt:i4>
      </vt:variant>
      <vt:variant>
        <vt:i4>0</vt:i4>
      </vt:variant>
      <vt:variant>
        <vt:i4>5</vt:i4>
      </vt:variant>
      <vt:variant>
        <vt:lpwstr>https://doi.org/10.1037/sgd0000537</vt:lpwstr>
      </vt:variant>
      <vt:variant>
        <vt:lpwstr/>
      </vt:variant>
      <vt:variant>
        <vt:i4>5111865</vt:i4>
      </vt:variant>
      <vt:variant>
        <vt:i4>1251</vt:i4>
      </vt:variant>
      <vt:variant>
        <vt:i4>0</vt:i4>
      </vt:variant>
      <vt:variant>
        <vt:i4>5</vt:i4>
      </vt:variant>
      <vt:variant>
        <vt:lpwstr>https://3ff63170-9ffb-4cf7-b5ad-a285defbbd41.filesusr.com/ugd/b7eedf_f5f62fbaebbc40b6accfb3e853c1c90b.pdf</vt:lpwstr>
      </vt:variant>
      <vt:variant>
        <vt:lpwstr/>
      </vt:variant>
      <vt:variant>
        <vt:i4>8323191</vt:i4>
      </vt:variant>
      <vt:variant>
        <vt:i4>1248</vt:i4>
      </vt:variant>
      <vt:variant>
        <vt:i4>0</vt:i4>
      </vt:variant>
      <vt:variant>
        <vt:i4>5</vt:i4>
      </vt:variant>
      <vt:variant>
        <vt:lpwstr>https://www.ohchr.org/sites/default/files/documents/issues/sexualorientation/statements/2023-10-24-joint-stm-SOGI-disabilities.pdf</vt:lpwstr>
      </vt:variant>
      <vt:variant>
        <vt:lpwstr/>
      </vt:variant>
      <vt:variant>
        <vt:i4>6619165</vt:i4>
      </vt:variant>
      <vt:variant>
        <vt:i4>1245</vt:i4>
      </vt:variant>
      <vt:variant>
        <vt:i4>0</vt:i4>
      </vt:variant>
      <vt:variant>
        <vt:i4>5</vt:i4>
      </vt:variant>
      <vt:variant>
        <vt:lpwstr>https://www.ohchr.org/sites/default/files/Documents/Issues/Discrimination/LGBT/FactSheets/UNFE_FactSheet_Intersex_EN.pdf</vt:lpwstr>
      </vt:variant>
      <vt:variant>
        <vt:lpwstr/>
      </vt:variant>
      <vt:variant>
        <vt:i4>2162743</vt:i4>
      </vt:variant>
      <vt:variant>
        <vt:i4>1242</vt:i4>
      </vt:variant>
      <vt:variant>
        <vt:i4>0</vt:i4>
      </vt:variant>
      <vt:variant>
        <vt:i4>5</vt:i4>
      </vt:variant>
      <vt:variant>
        <vt:lpwstr>https://documents.un.org/doc/undoc/ltd/g24/048/06/pdf/g2404806.pdf?token=yJMHPb27mXVeg5q7sa&amp;fe=true</vt:lpwstr>
      </vt:variant>
      <vt:variant>
        <vt:lpwstr/>
      </vt:variant>
      <vt:variant>
        <vt:i4>5963900</vt:i4>
      </vt:variant>
      <vt:variant>
        <vt:i4>1239</vt:i4>
      </vt:variant>
      <vt:variant>
        <vt:i4>0</vt:i4>
      </vt:variant>
      <vt:variant>
        <vt:i4>5</vt:i4>
      </vt:variant>
      <vt:variant>
        <vt:lpwstr>https://digitallibrary.un.org/record/3870697/files/A_HRC_44_53-EN.pdf?ln=en</vt:lpwstr>
      </vt:variant>
      <vt:variant>
        <vt:lpwstr/>
      </vt:variant>
      <vt:variant>
        <vt:i4>4128864</vt:i4>
      </vt:variant>
      <vt:variant>
        <vt:i4>1236</vt:i4>
      </vt:variant>
      <vt:variant>
        <vt:i4>0</vt:i4>
      </vt:variant>
      <vt:variant>
        <vt:i4>5</vt:i4>
      </vt:variant>
      <vt:variant>
        <vt:lpwstr>https://www2.ohchr.org/english/bodies/crc/docs/gc/crc_c_gc_14_eng.pdf</vt:lpwstr>
      </vt:variant>
      <vt:variant>
        <vt:lpwstr/>
      </vt:variant>
      <vt:variant>
        <vt:i4>7929901</vt:i4>
      </vt:variant>
      <vt:variant>
        <vt:i4>1233</vt:i4>
      </vt:variant>
      <vt:variant>
        <vt:i4>0</vt:i4>
      </vt:variant>
      <vt:variant>
        <vt:i4>5</vt:i4>
      </vt:variant>
      <vt:variant>
        <vt:lpwstr>https://docstore.ohchr.org/SelfServices/FilesHandler.ashx?enc=6QkG1d%2FPPRiCAqhKb7yhsiQql8gX5Zxh0cQqSRzx6Zd2%2FQRsDnCTcaruSeZhPr2vUevjbn6t6GSi1fheVp%2Bj5HTLU2Ub%2FPZZtQWn0jExFVnWuhiBbqgAj0dWBoFGbK0c</vt:lpwstr>
      </vt:variant>
      <vt:variant>
        <vt:lpwstr/>
      </vt:variant>
      <vt:variant>
        <vt:i4>5636102</vt:i4>
      </vt:variant>
      <vt:variant>
        <vt:i4>1230</vt:i4>
      </vt:variant>
      <vt:variant>
        <vt:i4>0</vt:i4>
      </vt:variant>
      <vt:variant>
        <vt:i4>5</vt:i4>
      </vt:variant>
      <vt:variant>
        <vt:lpwstr>https://www.ohchr.org/en/documents/general-comments-and-recommendations/crpdcgc8-general-comment-no-8-2022-right-persons</vt:lpwstr>
      </vt:variant>
      <vt:variant>
        <vt:lpwstr/>
      </vt:variant>
      <vt:variant>
        <vt:i4>2818169</vt:i4>
      </vt:variant>
      <vt:variant>
        <vt:i4>1227</vt:i4>
      </vt:variant>
      <vt:variant>
        <vt:i4>0</vt:i4>
      </vt:variant>
      <vt:variant>
        <vt:i4>5</vt:i4>
      </vt:variant>
      <vt:variant>
        <vt:lpwstr>https://reliefweb.int/attachments/0afe4010-110c-4e3d-bb05-9f236d8331e1/Test.pdf</vt:lpwstr>
      </vt:variant>
      <vt:variant>
        <vt:lpwstr/>
      </vt:variant>
      <vt:variant>
        <vt:i4>5046275</vt:i4>
      </vt:variant>
      <vt:variant>
        <vt:i4>1224</vt:i4>
      </vt:variant>
      <vt:variant>
        <vt:i4>0</vt:i4>
      </vt:variant>
      <vt:variant>
        <vt:i4>5</vt:i4>
      </vt:variant>
      <vt:variant>
        <vt:lpwstr>https://doi.org/10.1001/jamapsychiatry.2019.2285</vt:lpwstr>
      </vt:variant>
      <vt:variant>
        <vt:lpwstr/>
      </vt:variant>
      <vt:variant>
        <vt:i4>7143473</vt:i4>
      </vt:variant>
      <vt:variant>
        <vt:i4>1221</vt:i4>
      </vt:variant>
      <vt:variant>
        <vt:i4>0</vt:i4>
      </vt:variant>
      <vt:variant>
        <vt:i4>5</vt:i4>
      </vt:variant>
      <vt:variant>
        <vt:lpwstr>https://doi.org/10.1093/fampra/cmac005</vt:lpwstr>
      </vt:variant>
      <vt:variant>
        <vt:lpwstr/>
      </vt:variant>
      <vt:variant>
        <vt:i4>7143531</vt:i4>
      </vt:variant>
      <vt:variant>
        <vt:i4>1218</vt:i4>
      </vt:variant>
      <vt:variant>
        <vt:i4>0</vt:i4>
      </vt:variant>
      <vt:variant>
        <vt:i4>5</vt:i4>
      </vt:variant>
      <vt:variant>
        <vt:lpwstr>https://countingourselves.nz/wp-content/uploads/2022/08/FINAL_Counting-Ourselves_Fact-Sheet_Conversion-Practices_Online.pdf</vt:lpwstr>
      </vt:variant>
      <vt:variant>
        <vt:lpwstr/>
      </vt:variant>
      <vt:variant>
        <vt:i4>6422654</vt:i4>
      </vt:variant>
      <vt:variant>
        <vt:i4>1215</vt:i4>
      </vt:variant>
      <vt:variant>
        <vt:i4>0</vt:i4>
      </vt:variant>
      <vt:variant>
        <vt:i4>5</vt:i4>
      </vt:variant>
      <vt:variant>
        <vt:lpwstr>https://static1.squarespace.com/static/5bdbb75ccef37259122e59aa/t/60dd11a05fc4a74bf0de3e7a/1625100708894/Pacific+Rainbow+Youth19+Brief.pdf</vt:lpwstr>
      </vt:variant>
      <vt:variant>
        <vt:lpwstr/>
      </vt:variant>
      <vt:variant>
        <vt:i4>2031639</vt:i4>
      </vt:variant>
      <vt:variant>
        <vt:i4>1212</vt:i4>
      </vt:variant>
      <vt:variant>
        <vt:i4>0</vt:i4>
      </vt:variant>
      <vt:variant>
        <vt:i4>5</vt:i4>
      </vt:variant>
      <vt:variant>
        <vt:lpwstr>https://www.treasury.govt.nz/publications/ap/ap-23-01</vt:lpwstr>
      </vt:variant>
      <vt:variant>
        <vt:lpwstr/>
      </vt:variant>
      <vt:variant>
        <vt:i4>458823</vt:i4>
      </vt:variant>
      <vt:variant>
        <vt:i4>1209</vt:i4>
      </vt:variant>
      <vt:variant>
        <vt:i4>0</vt:i4>
      </vt:variant>
      <vt:variant>
        <vt:i4>5</vt:i4>
      </vt:variant>
      <vt:variant>
        <vt:lpwstr>https://www.manalagi.org/_files/ugd/b7eedf_7a214bf6e78349f084581c5f2b68bf2d.pdf</vt:lpwstr>
      </vt:variant>
      <vt:variant>
        <vt:lpwstr/>
      </vt:variant>
      <vt:variant>
        <vt:i4>2490493</vt:i4>
      </vt:variant>
      <vt:variant>
        <vt:i4>1206</vt:i4>
      </vt:variant>
      <vt:variant>
        <vt:i4>0</vt:i4>
      </vt:variant>
      <vt:variant>
        <vt:i4>5</vt:i4>
      </vt:variant>
      <vt:variant>
        <vt:lpwstr>https://thespinoff.co.nz/society/26-10-2016/hobogblin-logic-on-pacific-gay-rights-has-distinctly-western-roots</vt:lpwstr>
      </vt:variant>
      <vt:variant>
        <vt:lpwstr/>
      </vt:variant>
      <vt:variant>
        <vt:i4>6684775</vt:i4>
      </vt:variant>
      <vt:variant>
        <vt:i4>1203</vt:i4>
      </vt:variant>
      <vt:variant>
        <vt:i4>0</vt:i4>
      </vt:variant>
      <vt:variant>
        <vt:i4>5</vt:i4>
      </vt:variant>
      <vt:variant>
        <vt:lpwstr>https://www.ranzcp.org/clinical-guidelines-publications/clinical-guidelines-publications-library/sexual-orientation-change-efforts</vt:lpwstr>
      </vt:variant>
      <vt:variant>
        <vt:lpwstr/>
      </vt:variant>
      <vt:variant>
        <vt:i4>2031724</vt:i4>
      </vt:variant>
      <vt:variant>
        <vt:i4>1200</vt:i4>
      </vt:variant>
      <vt:variant>
        <vt:i4>0</vt:i4>
      </vt:variant>
      <vt:variant>
        <vt:i4>5</vt:i4>
      </vt:variant>
      <vt:variant>
        <vt:lpwstr>https://www.youtube.com/watch?v=H6cM9_iIx-E</vt:lpwstr>
      </vt:variant>
      <vt:variant>
        <vt:lpwstr/>
      </vt:variant>
      <vt:variant>
        <vt:i4>8323117</vt:i4>
      </vt:variant>
      <vt:variant>
        <vt:i4>1197</vt:i4>
      </vt:variant>
      <vt:variant>
        <vt:i4>0</vt:i4>
      </vt:variant>
      <vt:variant>
        <vt:i4>5</vt:i4>
      </vt:variant>
      <vt:variant>
        <vt:lpwstr>https://tikatangata.org.nz/our-work/maranga-mai</vt:lpwstr>
      </vt:variant>
      <vt:variant>
        <vt:lpwstr/>
      </vt:variant>
      <vt:variant>
        <vt:i4>2556022</vt:i4>
      </vt:variant>
      <vt:variant>
        <vt:i4>1194</vt:i4>
      </vt:variant>
      <vt:variant>
        <vt:i4>0</vt:i4>
      </vt:variant>
      <vt:variant>
        <vt:i4>5</vt:i4>
      </vt:variant>
      <vt:variant>
        <vt:lpwstr>https://www.tandfonline.com/doi/full/10.1080/13691058.2023.2242443</vt:lpwstr>
      </vt:variant>
      <vt:variant>
        <vt:lpwstr/>
      </vt:variant>
      <vt:variant>
        <vt:i4>786500</vt:i4>
      </vt:variant>
      <vt:variant>
        <vt:i4>1191</vt:i4>
      </vt:variant>
      <vt:variant>
        <vt:i4>0</vt:i4>
      </vt:variant>
      <vt:variant>
        <vt:i4>5</vt:i4>
      </vt:variant>
      <vt:variant>
        <vt:lpwstr>https://doi.org/10.1080/15532739.2020.1819504</vt:lpwstr>
      </vt:variant>
      <vt:variant>
        <vt:lpwstr/>
      </vt:variant>
      <vt:variant>
        <vt:i4>2162749</vt:i4>
      </vt:variant>
      <vt:variant>
        <vt:i4>1188</vt:i4>
      </vt:variant>
      <vt:variant>
        <vt:i4>0</vt:i4>
      </vt:variant>
      <vt:variant>
        <vt:i4>5</vt:i4>
      </vt:variant>
      <vt:variant>
        <vt:lpwstr>https://www.youtube.com/watch?v=Skgg0E3UEBY</vt:lpwstr>
      </vt:variant>
      <vt:variant>
        <vt:lpwstr/>
      </vt:variant>
      <vt:variant>
        <vt:i4>8192115</vt:i4>
      </vt:variant>
      <vt:variant>
        <vt:i4>1185</vt:i4>
      </vt:variant>
      <vt:variant>
        <vt:i4>0</vt:i4>
      </vt:variant>
      <vt:variant>
        <vt:i4>5</vt:i4>
      </vt:variant>
      <vt:variant>
        <vt:lpwstr>https://www.stats.govt.nz/information-releases/2023-census-population-counts-by-ethnic-group-age-and-maori-descent-and-dwelling-counts/</vt:lpwstr>
      </vt:variant>
      <vt:variant>
        <vt:lpwstr/>
      </vt:variant>
      <vt:variant>
        <vt:i4>655445</vt:i4>
      </vt:variant>
      <vt:variant>
        <vt:i4>1182</vt:i4>
      </vt:variant>
      <vt:variant>
        <vt:i4>0</vt:i4>
      </vt:variant>
      <vt:variant>
        <vt:i4>5</vt:i4>
      </vt:variant>
      <vt:variant>
        <vt:lpwstr>https://www.stats.govt.nz/information-releases/lgbt-plus-population-of-aotearoa-year-ended-june-2021/</vt:lpwstr>
      </vt:variant>
      <vt:variant>
        <vt:lpwstr/>
      </vt:variant>
      <vt:variant>
        <vt:i4>6488184</vt:i4>
      </vt:variant>
      <vt:variant>
        <vt:i4>1179</vt:i4>
      </vt:variant>
      <vt:variant>
        <vt:i4>0</vt:i4>
      </vt:variant>
      <vt:variant>
        <vt:i4>5</vt:i4>
      </vt:variant>
      <vt:variant>
        <vt:lpwstr>https://www.stats.govt.nz/reports/gender-sex-variations-of-sex-characteristics-and-sexual-identity</vt:lpwstr>
      </vt:variant>
      <vt:variant>
        <vt:lpwstr/>
      </vt:variant>
      <vt:variant>
        <vt:i4>4456462</vt:i4>
      </vt:variant>
      <vt:variant>
        <vt:i4>1176</vt:i4>
      </vt:variant>
      <vt:variant>
        <vt:i4>0</vt:i4>
      </vt:variant>
      <vt:variant>
        <vt:i4>5</vt:i4>
      </vt:variant>
      <vt:variant>
        <vt:lpwstr>https://www.stats.govt.nz/news/ethnic-group-summaries-reveal-new-zealands-multicultural-make-up/</vt:lpwstr>
      </vt:variant>
      <vt:variant>
        <vt:lpwstr/>
      </vt:variant>
      <vt:variant>
        <vt:i4>4128824</vt:i4>
      </vt:variant>
      <vt:variant>
        <vt:i4>1173</vt:i4>
      </vt:variant>
      <vt:variant>
        <vt:i4>0</vt:i4>
      </vt:variant>
      <vt:variant>
        <vt:i4>5</vt:i4>
      </vt:variant>
      <vt:variant>
        <vt:lpwstr>https://www.stats.govt.nz/tools/2018-census-ethnic-group-summaries/pacific-peoples</vt:lpwstr>
      </vt:variant>
      <vt:variant>
        <vt:lpwstr/>
      </vt:variant>
      <vt:variant>
        <vt:i4>3866672</vt:i4>
      </vt:variant>
      <vt:variant>
        <vt:i4>1170</vt:i4>
      </vt:variant>
      <vt:variant>
        <vt:i4>0</vt:i4>
      </vt:variant>
      <vt:variant>
        <vt:i4>5</vt:i4>
      </vt:variant>
      <vt:variant>
        <vt:lpwstr>https://www.rnz.co.nz/national/programmes/the-house/audio/2018815908/submission-rising-parliament-s-feedback-flood</vt:lpwstr>
      </vt:variant>
      <vt:variant>
        <vt:lpwstr/>
      </vt:variant>
      <vt:variant>
        <vt:i4>4522054</vt:i4>
      </vt:variant>
      <vt:variant>
        <vt:i4>1167</vt:i4>
      </vt:variant>
      <vt:variant>
        <vt:i4>0</vt:i4>
      </vt:variant>
      <vt:variant>
        <vt:i4>5</vt:i4>
      </vt:variant>
      <vt:variant>
        <vt:lpwstr>https://doi.org/10.1371/journal.pone.0252539</vt:lpwstr>
      </vt:variant>
      <vt:variant>
        <vt:lpwstr/>
      </vt:variant>
      <vt:variant>
        <vt:i4>77</vt:i4>
      </vt:variant>
      <vt:variant>
        <vt:i4>1164</vt:i4>
      </vt:variant>
      <vt:variant>
        <vt:i4>0</vt:i4>
      </vt:variant>
      <vt:variant>
        <vt:i4>5</vt:i4>
      </vt:variant>
      <vt:variant>
        <vt:lpwstr>https://doi.org/10.1080/00918369.2018.1538407</vt:lpwstr>
      </vt:variant>
      <vt:variant>
        <vt:lpwstr/>
      </vt:variant>
      <vt:variant>
        <vt:i4>3997710</vt:i4>
      </vt:variant>
      <vt:variant>
        <vt:i4>1161</vt:i4>
      </vt:variant>
      <vt:variant>
        <vt:i4>0</vt:i4>
      </vt:variant>
      <vt:variant>
        <vt:i4>5</vt:i4>
      </vt:variant>
      <vt:variant>
        <vt:lpwstr>https://communityresearch.org.nz/wp-content/uploads/2021/12/Youth19IntersectionalityReport_FINAL_2021_print-1.pdf</vt:lpwstr>
      </vt:variant>
      <vt:variant>
        <vt:lpwstr/>
      </vt:variant>
      <vt:variant>
        <vt:i4>5111874</vt:i4>
      </vt:variant>
      <vt:variant>
        <vt:i4>1158</vt:i4>
      </vt:variant>
      <vt:variant>
        <vt:i4>0</vt:i4>
      </vt:variant>
      <vt:variant>
        <vt:i4>5</vt:i4>
      </vt:variant>
      <vt:variant>
        <vt:lpwstr>https://doi.org/10.1371/journal.pone.0302163</vt:lpwstr>
      </vt:variant>
      <vt:variant>
        <vt:lpwstr/>
      </vt:variant>
      <vt:variant>
        <vt:i4>5767215</vt:i4>
      </vt:variant>
      <vt:variant>
        <vt:i4>1155</vt:i4>
      </vt:variant>
      <vt:variant>
        <vt:i4>0</vt:i4>
      </vt:variant>
      <vt:variant>
        <vt:i4>5</vt:i4>
      </vt:variant>
      <vt:variant>
        <vt:lpwstr>https://ndhadeliver.natlib.govt.nz/delivery/DeliveryManagerServlet?dps_pid=IE17403822</vt:lpwstr>
      </vt:variant>
      <vt:variant>
        <vt:lpwstr/>
      </vt:variant>
      <vt:variant>
        <vt:i4>5832730</vt:i4>
      </vt:variant>
      <vt:variant>
        <vt:i4>1152</vt:i4>
      </vt:variant>
      <vt:variant>
        <vt:i4>0</vt:i4>
      </vt:variant>
      <vt:variant>
        <vt:i4>5</vt:i4>
      </vt:variant>
      <vt:variant>
        <vt:lpwstr>https://www.renews.co.nz/rediscovering-aotearoa/</vt:lpwstr>
      </vt:variant>
      <vt:variant>
        <vt:lpwstr/>
      </vt:variant>
      <vt:variant>
        <vt:i4>2293882</vt:i4>
      </vt:variant>
      <vt:variant>
        <vt:i4>1149</vt:i4>
      </vt:variant>
      <vt:variant>
        <vt:i4>0</vt:i4>
      </vt:variant>
      <vt:variant>
        <vt:i4>5</vt:i4>
      </vt:variant>
      <vt:variant>
        <vt:lpwstr>https://www.rnz.co.nz/news/national/436993/greens-present-petition-in-support-of-gay-conversion-therapy-ban</vt:lpwstr>
      </vt:variant>
      <vt:variant>
        <vt:lpwstr/>
      </vt:variant>
      <vt:variant>
        <vt:i4>7733283</vt:i4>
      </vt:variant>
      <vt:variant>
        <vt:i4>1146</vt:i4>
      </vt:variant>
      <vt:variant>
        <vt:i4>0</vt:i4>
      </vt:variant>
      <vt:variant>
        <vt:i4>5</vt:i4>
      </vt:variant>
      <vt:variant>
        <vt:lpwstr>https://www.rnz.co.nz/news/sport/414738/world-rugby-investigating-fiji-chairman-over-homophobia-allegations</vt:lpwstr>
      </vt:variant>
      <vt:variant>
        <vt:lpwstr/>
      </vt:variant>
      <vt:variant>
        <vt:i4>2556001</vt:i4>
      </vt:variant>
      <vt:variant>
        <vt:i4>1143</vt:i4>
      </vt:variant>
      <vt:variant>
        <vt:i4>0</vt:i4>
      </vt:variant>
      <vt:variant>
        <vt:i4>5</vt:i4>
      </vt:variant>
      <vt:variant>
        <vt:lpwstr>https://doi.org/10.1111/cpsp.12377</vt:lpwstr>
      </vt:variant>
      <vt:variant>
        <vt:lpwstr/>
      </vt:variant>
      <vt:variant>
        <vt:i4>5636115</vt:i4>
      </vt:variant>
      <vt:variant>
        <vt:i4>1140</vt:i4>
      </vt:variant>
      <vt:variant>
        <vt:i4>0</vt:i4>
      </vt:variant>
      <vt:variant>
        <vt:i4>5</vt:i4>
      </vt:variant>
      <vt:variant>
        <vt:lpwstr>https://patha.nz/resources/Documents/PATHA submission on Conversion Practices Sep2021.pdf</vt:lpwstr>
      </vt:variant>
      <vt:variant>
        <vt:lpwstr/>
      </vt:variant>
      <vt:variant>
        <vt:i4>5636115</vt:i4>
      </vt:variant>
      <vt:variant>
        <vt:i4>1137</vt:i4>
      </vt:variant>
      <vt:variant>
        <vt:i4>0</vt:i4>
      </vt:variant>
      <vt:variant>
        <vt:i4>5</vt:i4>
      </vt:variant>
      <vt:variant>
        <vt:lpwstr>https://patha.nz/resources/Documents/PATHA submission on Conversion Practices Sep2021.pdf</vt:lpwstr>
      </vt:variant>
      <vt:variant>
        <vt:lpwstr/>
      </vt:variant>
      <vt:variant>
        <vt:i4>852038</vt:i4>
      </vt:variant>
      <vt:variant>
        <vt:i4>1134</vt:i4>
      </vt:variant>
      <vt:variant>
        <vt:i4>0</vt:i4>
      </vt:variant>
      <vt:variant>
        <vt:i4>5</vt:i4>
      </vt:variant>
      <vt:variant>
        <vt:lpwstr>https://www.knowledgeauckland.org.nz/media/2621/rainbow-people-qol-survey-2022-snapshot-may-2023.pdf</vt:lpwstr>
      </vt:variant>
      <vt:variant>
        <vt:lpwstr/>
      </vt:variant>
      <vt:variant>
        <vt:i4>7733375</vt:i4>
      </vt:variant>
      <vt:variant>
        <vt:i4>1131</vt:i4>
      </vt:variant>
      <vt:variant>
        <vt:i4>0</vt:i4>
      </vt:variant>
      <vt:variant>
        <vt:i4>5</vt:i4>
      </vt:variant>
      <vt:variant>
        <vt:lpwstr>https://doi.org/10.5694/mja2.51441</vt:lpwstr>
      </vt:variant>
      <vt:variant>
        <vt:lpwstr/>
      </vt:variant>
      <vt:variant>
        <vt:i4>5570581</vt:i4>
      </vt:variant>
      <vt:variant>
        <vt:i4>1128</vt:i4>
      </vt:variant>
      <vt:variant>
        <vt:i4>0</vt:i4>
      </vt:variant>
      <vt:variant>
        <vt:i4>5</vt:i4>
      </vt:variant>
      <vt:variant>
        <vt:lpwstr>https://www.tvnz.co.nz/shows/beyond-conversion/episodes/s1-e1</vt:lpwstr>
      </vt:variant>
      <vt:variant>
        <vt:lpwstr/>
      </vt:variant>
      <vt:variant>
        <vt:i4>2424946</vt:i4>
      </vt:variant>
      <vt:variant>
        <vt:i4>1125</vt:i4>
      </vt:variant>
      <vt:variant>
        <vt:i4>0</vt:i4>
      </vt:variant>
      <vt:variant>
        <vt:i4>5</vt:i4>
      </vt:variant>
      <vt:variant>
        <vt:lpwstr>https://apo.org.au/sites/default/files/resource-files/2020-07/apo-nid310761.pdf</vt:lpwstr>
      </vt:variant>
      <vt:variant>
        <vt:lpwstr/>
      </vt:variant>
      <vt:variant>
        <vt:i4>7929889</vt:i4>
      </vt:variant>
      <vt:variant>
        <vt:i4>1122</vt:i4>
      </vt:variant>
      <vt:variant>
        <vt:i4>0</vt:i4>
      </vt:variant>
      <vt:variant>
        <vt:i4>5</vt:i4>
      </vt:variant>
      <vt:variant>
        <vt:lpwstr>https://www.oxfordbibliographies.com/display/document/obo-9780199766567/obo-9780199766567-0091.xml</vt:lpwstr>
      </vt:variant>
      <vt:variant>
        <vt:lpwstr/>
      </vt:variant>
      <vt:variant>
        <vt:i4>7012455</vt:i4>
      </vt:variant>
      <vt:variant>
        <vt:i4>1119</vt:i4>
      </vt:variant>
      <vt:variant>
        <vt:i4>0</vt:i4>
      </vt:variant>
      <vt:variant>
        <vt:i4>5</vt:i4>
      </vt:variant>
      <vt:variant>
        <vt:lpwstr>https://assembly.coe.int/nw/xml/XRef/Xref-XML2HTML-en.asp?fileid=24232&amp;lang=en</vt:lpwstr>
      </vt:variant>
      <vt:variant>
        <vt:lpwstr/>
      </vt:variant>
      <vt:variant>
        <vt:i4>5439497</vt:i4>
      </vt:variant>
      <vt:variant>
        <vt:i4>1116</vt:i4>
      </vt:variant>
      <vt:variant>
        <vt:i4>0</vt:i4>
      </vt:variant>
      <vt:variant>
        <vt:i4>5</vt:i4>
      </vt:variant>
      <vt:variant>
        <vt:lpwstr>https://researchcommons.waikato.ac.nz/items/e57d0714-dd18-4dc4-a7cb-ae9ad3b758d3</vt:lpwstr>
      </vt:variant>
      <vt:variant>
        <vt:lpwstr/>
      </vt:variant>
      <vt:variant>
        <vt:i4>786503</vt:i4>
      </vt:variant>
      <vt:variant>
        <vt:i4>1113</vt:i4>
      </vt:variant>
      <vt:variant>
        <vt:i4>0</vt:i4>
      </vt:variant>
      <vt:variant>
        <vt:i4>5</vt:i4>
      </vt:variant>
      <vt:variant>
        <vt:lpwstr>https://paperspast.natlib.govt.nz/newspapers/NZTR19290509.2.8</vt:lpwstr>
      </vt:variant>
      <vt:variant>
        <vt:lpwstr/>
      </vt:variant>
      <vt:variant>
        <vt:i4>7209074</vt:i4>
      </vt:variant>
      <vt:variant>
        <vt:i4>1110</vt:i4>
      </vt:variant>
      <vt:variant>
        <vt:i4>0</vt:i4>
      </vt:variant>
      <vt:variant>
        <vt:i4>5</vt:i4>
      </vt:variant>
      <vt:variant>
        <vt:lpwstr>https://www.nzherald.co.nz/sport/rugby-israel-folau-has-no-regrets-about-homophobic-comments-eyes-international-return/E5WZX4N373PT74SM7CHEH2KXQE/</vt:lpwstr>
      </vt:variant>
      <vt:variant>
        <vt:lpwstr/>
      </vt:variant>
      <vt:variant>
        <vt:i4>327699</vt:i4>
      </vt:variant>
      <vt:variant>
        <vt:i4>1107</vt:i4>
      </vt:variant>
      <vt:variant>
        <vt:i4>0</vt:i4>
      </vt:variant>
      <vt:variant>
        <vt:i4>5</vt:i4>
      </vt:variant>
      <vt:variant>
        <vt:lpwstr>https://doi.org/10.1007/s11195-010-9175-3</vt:lpwstr>
      </vt:variant>
      <vt:variant>
        <vt:lpwstr/>
      </vt:variant>
      <vt:variant>
        <vt:i4>3997814</vt:i4>
      </vt:variant>
      <vt:variant>
        <vt:i4>1104</vt:i4>
      </vt:variant>
      <vt:variant>
        <vt:i4>0</vt:i4>
      </vt:variant>
      <vt:variant>
        <vt:i4>5</vt:i4>
      </vt:variant>
      <vt:variant>
        <vt:lpwstr>https://www.psychology.org.nz/application/files/9416/3113/0730/NZ_Psychological_Society_Submission_-_Conversion_Practices_Prohibition_bill_-_Final.pdf</vt:lpwstr>
      </vt:variant>
      <vt:variant>
        <vt:lpwstr/>
      </vt:variant>
      <vt:variant>
        <vt:i4>6946893</vt:i4>
      </vt:variant>
      <vt:variant>
        <vt:i4>1101</vt:i4>
      </vt:variant>
      <vt:variant>
        <vt:i4>0</vt:i4>
      </vt:variant>
      <vt:variant>
        <vt:i4>5</vt:i4>
      </vt:variant>
      <vt:variant>
        <vt:lpwstr>https://www.psychology.org.nz/application/files/9016/1350/6552/conversion_therapy_statement_-_Final_2-21.pdf</vt:lpwstr>
      </vt:variant>
      <vt:variant>
        <vt:lpwstr/>
      </vt:variant>
      <vt:variant>
        <vt:i4>262218</vt:i4>
      </vt:variant>
      <vt:variant>
        <vt:i4>1098</vt:i4>
      </vt:variant>
      <vt:variant>
        <vt:i4>0</vt:i4>
      </vt:variant>
      <vt:variant>
        <vt:i4>5</vt:i4>
      </vt:variant>
      <vt:variant>
        <vt:lpwstr>https://petitions.parliament.nz/6ce4c233-a543-4876-aea6-20df3f03c193</vt:lpwstr>
      </vt:variant>
      <vt:variant>
        <vt:lpwstr/>
      </vt:variant>
      <vt:variant>
        <vt:i4>2556020</vt:i4>
      </vt:variant>
      <vt:variant>
        <vt:i4>1095</vt:i4>
      </vt:variant>
      <vt:variant>
        <vt:i4>0</vt:i4>
      </vt:variant>
      <vt:variant>
        <vt:i4>5</vt:i4>
      </vt:variant>
      <vt:variant>
        <vt:lpwstr>https://www.nzccp.co.nz/assets/Conversion-Practices-Submission.pdf</vt:lpwstr>
      </vt:variant>
      <vt:variant>
        <vt:lpwstr/>
      </vt:variant>
      <vt:variant>
        <vt:i4>7471214</vt:i4>
      </vt:variant>
      <vt:variant>
        <vt:i4>1092</vt:i4>
      </vt:variant>
      <vt:variant>
        <vt:i4>0</vt:i4>
      </vt:variant>
      <vt:variant>
        <vt:i4>5</vt:i4>
      </vt:variant>
      <vt:variant>
        <vt:lpwstr>https://nzcca.org.nz/ethics/nzccas-stance-on-conversion-practices/</vt:lpwstr>
      </vt:variant>
      <vt:variant>
        <vt:lpwstr/>
      </vt:variant>
      <vt:variant>
        <vt:i4>2621474</vt:i4>
      </vt:variant>
      <vt:variant>
        <vt:i4>1089</vt:i4>
      </vt:variant>
      <vt:variant>
        <vt:i4>0</vt:i4>
      </vt:variant>
      <vt:variant>
        <vt:i4>5</vt:i4>
      </vt:variant>
      <vt:variant>
        <vt:lpwstr>https://rywebsite21.s3-ap-southeast-2.amazonaws.com/Nakhid+Fu+Yachinta+Letting+in+Closing+out+report+1.pdf</vt:lpwstr>
      </vt:variant>
      <vt:variant>
        <vt:lpwstr/>
      </vt:variant>
      <vt:variant>
        <vt:i4>8192067</vt:i4>
      </vt:variant>
      <vt:variant>
        <vt:i4>1086</vt:i4>
      </vt:variant>
      <vt:variant>
        <vt:i4>0</vt:i4>
      </vt:variant>
      <vt:variant>
        <vt:i4>5</vt:i4>
      </vt:variant>
      <vt:variant>
        <vt:lpwstr>https://www.google.co.nz/books/edition/Pacific_Homosexualities/qafeQTWIWmcC?hl=en&amp;gbpv=1&amp;dq=isbn:0595227856&amp;printsec=frontcover</vt:lpwstr>
      </vt:variant>
      <vt:variant>
        <vt:lpwstr/>
      </vt:variant>
      <vt:variant>
        <vt:i4>2556003</vt:i4>
      </vt:variant>
      <vt:variant>
        <vt:i4>1083</vt:i4>
      </vt:variant>
      <vt:variant>
        <vt:i4>0</vt:i4>
      </vt:variant>
      <vt:variant>
        <vt:i4>5</vt:i4>
      </vt:variant>
      <vt:variant>
        <vt:lpwstr>https://www.donaldbeasley.org.nz/assets/publications/abuse/Tell-Me-About-You-Final.pdf</vt:lpwstr>
      </vt:variant>
      <vt:variant>
        <vt:lpwstr/>
      </vt:variant>
      <vt:variant>
        <vt:i4>5963889</vt:i4>
      </vt:variant>
      <vt:variant>
        <vt:i4>1080</vt:i4>
      </vt:variant>
      <vt:variant>
        <vt:i4>0</vt:i4>
      </vt:variant>
      <vt:variant>
        <vt:i4>5</vt:i4>
      </vt:variant>
      <vt:variant>
        <vt:lpwstr>https://www.parliament.nz/resource/en-NZ/53SCJU_ADV_113397_JU226248/294776e87207d3db0411cb24645ed8072dc02366</vt:lpwstr>
      </vt:variant>
      <vt:variant>
        <vt:lpwstr/>
      </vt:variant>
      <vt:variant>
        <vt:i4>5963847</vt:i4>
      </vt:variant>
      <vt:variant>
        <vt:i4>1077</vt:i4>
      </vt:variant>
      <vt:variant>
        <vt:i4>0</vt:i4>
      </vt:variant>
      <vt:variant>
        <vt:i4>5</vt:i4>
      </vt:variant>
      <vt:variant>
        <vt:lpwstr>https://www.mpp.govt.nz/assets/Reports/Pacific-Peoples-in-Aotearoa-Report.pdf</vt:lpwstr>
      </vt:variant>
      <vt:variant>
        <vt:lpwstr/>
      </vt:variant>
      <vt:variant>
        <vt:i4>3604599</vt:i4>
      </vt:variant>
      <vt:variant>
        <vt:i4>1074</vt:i4>
      </vt:variant>
      <vt:variant>
        <vt:i4>0</vt:i4>
      </vt:variant>
      <vt:variant>
        <vt:i4>5</vt:i4>
      </vt:variant>
      <vt:variant>
        <vt:lpwstr>https://mpia.govt.nz/assets/Reports/Contemporary-Pacific-Status-Report-2016.pdf</vt:lpwstr>
      </vt:variant>
      <vt:variant>
        <vt:lpwstr/>
      </vt:variant>
      <vt:variant>
        <vt:i4>3276924</vt:i4>
      </vt:variant>
      <vt:variant>
        <vt:i4>1071</vt:i4>
      </vt:variant>
      <vt:variant>
        <vt:i4>0</vt:i4>
      </vt:variant>
      <vt:variant>
        <vt:i4>5</vt:i4>
      </vt:variant>
      <vt:variant>
        <vt:lpwstr>https://www.ethniccommunities.govt.nz/our-communities/</vt:lpwstr>
      </vt:variant>
      <vt:variant>
        <vt:lpwstr/>
      </vt:variant>
      <vt:variant>
        <vt:i4>4128893</vt:i4>
      </vt:variant>
      <vt:variant>
        <vt:i4>1068</vt:i4>
      </vt:variant>
      <vt:variant>
        <vt:i4>0</vt:i4>
      </vt:variant>
      <vt:variant>
        <vt:i4>5</vt:i4>
      </vt:variant>
      <vt:variant>
        <vt:lpwstr>https://www.ethniccommunities.govt.nz/resources/ethnic-communities-in-new-zealand/</vt:lpwstr>
      </vt:variant>
      <vt:variant>
        <vt:lpwstr/>
      </vt:variant>
      <vt:variant>
        <vt:i4>2752627</vt:i4>
      </vt:variant>
      <vt:variant>
        <vt:i4>1065</vt:i4>
      </vt:variant>
      <vt:variant>
        <vt:i4>0</vt:i4>
      </vt:variant>
      <vt:variant>
        <vt:i4>5</vt:i4>
      </vt:variant>
      <vt:variant>
        <vt:lpwstr>https://www.ethniccommunities.govt.nz/assets/AboutUs/2022-2025_MEC_Strategy.pdf</vt:lpwstr>
      </vt:variant>
      <vt:variant>
        <vt:lpwstr/>
      </vt:variant>
      <vt:variant>
        <vt:i4>6488117</vt:i4>
      </vt:variant>
      <vt:variant>
        <vt:i4>1062</vt:i4>
      </vt:variant>
      <vt:variant>
        <vt:i4>0</vt:i4>
      </vt:variant>
      <vt:variant>
        <vt:i4>5</vt:i4>
      </vt:variant>
      <vt:variant>
        <vt:lpwstr>https://static1.squarespace.com/static/5db7614cb2b9f86491787a93/t/605bc5c18335a61da9345008/1616627142743/Rainbow-communities-and-mental-health-submission-to-the-Inquiry-into-Mental-Health-and-Addiction-08062018.pdf</vt:lpwstr>
      </vt:variant>
      <vt:variant>
        <vt:lpwstr/>
      </vt:variant>
      <vt:variant>
        <vt:i4>5046348</vt:i4>
      </vt:variant>
      <vt:variant>
        <vt:i4>1059</vt:i4>
      </vt:variant>
      <vt:variant>
        <vt:i4>0</vt:i4>
      </vt:variant>
      <vt:variant>
        <vt:i4>5</vt:i4>
      </vt:variant>
      <vt:variant>
        <vt:lpwstr>https://doi.org/10.1017/CBO9780511616259.002</vt:lpwstr>
      </vt:variant>
      <vt:variant>
        <vt:lpwstr/>
      </vt:variant>
      <vt:variant>
        <vt:i4>2490487</vt:i4>
      </vt:variant>
      <vt:variant>
        <vt:i4>1056</vt:i4>
      </vt:variant>
      <vt:variant>
        <vt:i4>0</vt:i4>
      </vt:variant>
      <vt:variant>
        <vt:i4>5</vt:i4>
      </vt:variant>
      <vt:variant>
        <vt:lpwstr>https://apo.org.au/sites/default/files/resource-files/2021-03/apo-nid311552.pdf</vt:lpwstr>
      </vt:variant>
      <vt:variant>
        <vt:lpwstr/>
      </vt:variant>
      <vt:variant>
        <vt:i4>4718687</vt:i4>
      </vt:variant>
      <vt:variant>
        <vt:i4>1053</vt:i4>
      </vt:variant>
      <vt:variant>
        <vt:i4>0</vt:i4>
      </vt:variant>
      <vt:variant>
        <vt:i4>5</vt:i4>
      </vt:variant>
      <vt:variant>
        <vt:lpwstr>https://www.localmatters.co.nz/news/rodney-activists-seek-ban-on-gay-conversion-therapy/</vt:lpwstr>
      </vt:variant>
      <vt:variant>
        <vt:lpwstr/>
      </vt:variant>
      <vt:variant>
        <vt:i4>4587525</vt:i4>
      </vt:variant>
      <vt:variant>
        <vt:i4>1050</vt:i4>
      </vt:variant>
      <vt:variant>
        <vt:i4>0</vt:i4>
      </vt:variant>
      <vt:variant>
        <vt:i4>5</vt:i4>
      </vt:variant>
      <vt:variant>
        <vt:lpwstr>https://www.nzherald.co.nz/northern-advocate/news/trans-womans-experience-of-17-years-of-conversion-therapy-at-controversial-far-north-school-and-church/D4GISY6ZHBFBLIOGHGIVNFATAY/</vt:lpwstr>
      </vt:variant>
      <vt:variant>
        <vt:lpwstr/>
      </vt:variant>
      <vt:variant>
        <vt:i4>3801145</vt:i4>
      </vt:variant>
      <vt:variant>
        <vt:i4>1047</vt:i4>
      </vt:variant>
      <vt:variant>
        <vt:i4>0</vt:i4>
      </vt:variant>
      <vt:variant>
        <vt:i4>5</vt:i4>
      </vt:variant>
      <vt:variant>
        <vt:lpwstr>https://wsanz.org.nz/journal/docs/WSJNZ_34_1-2_Lim-Bunnin_76-91.pdf</vt:lpwstr>
      </vt:variant>
      <vt:variant>
        <vt:lpwstr/>
      </vt:variant>
      <vt:variant>
        <vt:i4>720902</vt:i4>
      </vt:variant>
      <vt:variant>
        <vt:i4>1044</vt:i4>
      </vt:variant>
      <vt:variant>
        <vt:i4>0</vt:i4>
      </vt:variant>
      <vt:variant>
        <vt:i4>5</vt:i4>
      </vt:variant>
      <vt:variant>
        <vt:lpwstr>https://www.leva.co.nz/news/positive-messages-from-the-pulpit</vt:lpwstr>
      </vt:variant>
      <vt:variant>
        <vt:lpwstr/>
      </vt:variant>
      <vt:variant>
        <vt:i4>4653135</vt:i4>
      </vt:variant>
      <vt:variant>
        <vt:i4>1041</vt:i4>
      </vt:variant>
      <vt:variant>
        <vt:i4>0</vt:i4>
      </vt:variant>
      <vt:variant>
        <vt:i4>5</vt:i4>
      </vt:variant>
      <vt:variant>
        <vt:lpwstr>https://doi.org/10.1080/1550428X.2016.1159163</vt:lpwstr>
      </vt:variant>
      <vt:variant>
        <vt:lpwstr/>
      </vt:variant>
      <vt:variant>
        <vt:i4>3080296</vt:i4>
      </vt:variant>
      <vt:variant>
        <vt:i4>1038</vt:i4>
      </vt:variant>
      <vt:variant>
        <vt:i4>0</vt:i4>
      </vt:variant>
      <vt:variant>
        <vt:i4>5</vt:i4>
      </vt:variant>
      <vt:variant>
        <vt:lpwstr>https://doi.org/10.1089/trgh.2021.0171</vt:lpwstr>
      </vt:variant>
      <vt:variant>
        <vt:lpwstr/>
      </vt:variant>
      <vt:variant>
        <vt:i4>458823</vt:i4>
      </vt:variant>
      <vt:variant>
        <vt:i4>1035</vt:i4>
      </vt:variant>
      <vt:variant>
        <vt:i4>0</vt:i4>
      </vt:variant>
      <vt:variant>
        <vt:i4>5</vt:i4>
      </vt:variant>
      <vt:variant>
        <vt:lpwstr>https://teara.govt.nz/mi/lesbian-lives/print</vt:lpwstr>
      </vt:variant>
      <vt:variant>
        <vt:lpwstr/>
      </vt:variant>
      <vt:variant>
        <vt:i4>3735677</vt:i4>
      </vt:variant>
      <vt:variant>
        <vt:i4>1032</vt:i4>
      </vt:variant>
      <vt:variant>
        <vt:i4>0</vt:i4>
      </vt:variant>
      <vt:variant>
        <vt:i4>5</vt:i4>
      </vt:variant>
      <vt:variant>
        <vt:lpwstr>https://www.maoriplus.co.nz/show/queer-and-here/play/6307389848112</vt:lpwstr>
      </vt:variant>
      <vt:variant>
        <vt:lpwstr/>
      </vt:variant>
      <vt:variant>
        <vt:i4>2687101</vt:i4>
      </vt:variant>
      <vt:variant>
        <vt:i4>1029</vt:i4>
      </vt:variant>
      <vt:variant>
        <vt:i4>0</vt:i4>
      </vt:variant>
      <vt:variant>
        <vt:i4>5</vt:i4>
      </vt:variant>
      <vt:variant>
        <vt:lpwstr>https://plato.stanford.edu/entries/colonialism/</vt:lpwstr>
      </vt:variant>
      <vt:variant>
        <vt:lpwstr/>
      </vt:variant>
      <vt:variant>
        <vt:i4>5636165</vt:i4>
      </vt:variant>
      <vt:variant>
        <vt:i4>1026</vt:i4>
      </vt:variant>
      <vt:variant>
        <vt:i4>0</vt:i4>
      </vt:variant>
      <vt:variant>
        <vt:i4>5</vt:i4>
      </vt:variant>
      <vt:variant>
        <vt:lpwstr>https://www.manalagi.org/_files/ugd/b7eedf_c99c54cd47464a9cad79a54fcf281360.pdf</vt:lpwstr>
      </vt:variant>
      <vt:variant>
        <vt:lpwstr/>
      </vt:variant>
      <vt:variant>
        <vt:i4>1704053</vt:i4>
      </vt:variant>
      <vt:variant>
        <vt:i4>1023</vt:i4>
      </vt:variant>
      <vt:variant>
        <vt:i4>0</vt:i4>
      </vt:variant>
      <vt:variant>
        <vt:i4>5</vt:i4>
      </vt:variant>
      <vt:variant>
        <vt:lpwstr>https://researcharchive.vuw.ac.nz/xmlui/bitstream/handle/10063/6369/thesis_access.pdf?sequence=1</vt:lpwstr>
      </vt:variant>
      <vt:variant>
        <vt:lpwstr/>
      </vt:variant>
      <vt:variant>
        <vt:i4>1835111</vt:i4>
      </vt:variant>
      <vt:variant>
        <vt:i4>1020</vt:i4>
      </vt:variant>
      <vt:variant>
        <vt:i4>0</vt:i4>
      </vt:variant>
      <vt:variant>
        <vt:i4>5</vt:i4>
      </vt:variant>
      <vt:variant>
        <vt:lpwstr>https://3ff63170-9ffb-4cf7-b5ad-a285defbbd41.filesusr.com/ugd/b7eedf_052f4ec7eeb54892816fd6b2f5ca1f00.pdf</vt:lpwstr>
      </vt:variant>
      <vt:variant>
        <vt:lpwstr/>
      </vt:variant>
      <vt:variant>
        <vt:i4>1376306</vt:i4>
      </vt:variant>
      <vt:variant>
        <vt:i4>1017</vt:i4>
      </vt:variant>
      <vt:variant>
        <vt:i4>0</vt:i4>
      </vt:variant>
      <vt:variant>
        <vt:i4>5</vt:i4>
      </vt:variant>
      <vt:variant>
        <vt:lpwstr>https://www.parliament.nz/resource/en-NZ/SCR_118518/52c2fd4e0c6a8c06342148c0cc32534f23115fbc</vt:lpwstr>
      </vt:variant>
      <vt:variant>
        <vt:lpwstr/>
      </vt:variant>
      <vt:variant>
        <vt:i4>3932244</vt:i4>
      </vt:variant>
      <vt:variant>
        <vt:i4>1014</vt:i4>
      </vt:variant>
      <vt:variant>
        <vt:i4>0</vt:i4>
      </vt:variant>
      <vt:variant>
        <vt:i4>5</vt:i4>
      </vt:variant>
      <vt:variant>
        <vt:lpwstr>https://pure.coventry.ac.uk/ws/portalfiles/portal/44880617/2020_12_15_Conversion_Therapy_Reserach_Report_AJ_edited_clean_4_.pdf</vt:lpwstr>
      </vt:variant>
      <vt:variant>
        <vt:lpwstr/>
      </vt:variant>
      <vt:variant>
        <vt:i4>393293</vt:i4>
      </vt:variant>
      <vt:variant>
        <vt:i4>1011</vt:i4>
      </vt:variant>
      <vt:variant>
        <vt:i4>0</vt:i4>
      </vt:variant>
      <vt:variant>
        <vt:i4>5</vt:i4>
      </vt:variant>
      <vt:variant>
        <vt:lpwstr>https://doi.org/10.1080/00050067.2022.2093623</vt:lpwstr>
      </vt:variant>
      <vt:variant>
        <vt:lpwstr/>
      </vt:variant>
      <vt:variant>
        <vt:i4>3145827</vt:i4>
      </vt:variant>
      <vt:variant>
        <vt:i4>1008</vt:i4>
      </vt:variant>
      <vt:variant>
        <vt:i4>0</vt:i4>
      </vt:variant>
      <vt:variant>
        <vt:i4>5</vt:i4>
      </vt:variant>
      <vt:variant>
        <vt:lpwstr>https://doi.org/10.1016/j.socscimed.2022.115040</vt:lpwstr>
      </vt:variant>
      <vt:variant>
        <vt:lpwstr/>
      </vt:variant>
      <vt:variant>
        <vt:i4>2883636</vt:i4>
      </vt:variant>
      <vt:variant>
        <vt:i4>1005</vt:i4>
      </vt:variant>
      <vt:variant>
        <vt:i4>0</vt:i4>
      </vt:variant>
      <vt:variant>
        <vt:i4>5</vt:i4>
      </vt:variant>
      <vt:variant>
        <vt:lpwstr>https://doi.org/10.1007/s13178-021-00615-5</vt:lpwstr>
      </vt:variant>
      <vt:variant>
        <vt:lpwstr/>
      </vt:variant>
      <vt:variant>
        <vt:i4>458797</vt:i4>
      </vt:variant>
      <vt:variant>
        <vt:i4>1002</vt:i4>
      </vt:variant>
      <vt:variant>
        <vt:i4>0</vt:i4>
      </vt:variant>
      <vt:variant>
        <vt:i4>5</vt:i4>
      </vt:variant>
      <vt:variant>
        <vt:lpwstr>https://www.latrobe.edu.au/__data/assets/pdf_file/0007/1201588/Healing-spiritual-harms-Supporting-recovery-from-LGBTQA-change-and-suppression-practices.pdf</vt:lpwstr>
      </vt:variant>
      <vt:variant>
        <vt:lpwstr/>
      </vt:variant>
      <vt:variant>
        <vt:i4>6684710</vt:i4>
      </vt:variant>
      <vt:variant>
        <vt:i4>999</vt:i4>
      </vt:variant>
      <vt:variant>
        <vt:i4>0</vt:i4>
      </vt:variant>
      <vt:variant>
        <vt:i4>5</vt:i4>
      </vt:variant>
      <vt:variant>
        <vt:lpwstr>https://www.hrlc.org.au/reports-news-commentary/preventing-harm</vt:lpwstr>
      </vt:variant>
      <vt:variant>
        <vt:lpwstr/>
      </vt:variant>
      <vt:variant>
        <vt:i4>4063286</vt:i4>
      </vt:variant>
      <vt:variant>
        <vt:i4>996</vt:i4>
      </vt:variant>
      <vt:variant>
        <vt:i4>0</vt:i4>
      </vt:variant>
      <vt:variant>
        <vt:i4>5</vt:i4>
      </vt:variant>
      <vt:variant>
        <vt:lpwstr>https://theconversation.com/worlds-largest-ex-gay-organisation-shuts-down-15405</vt:lpwstr>
      </vt:variant>
      <vt:variant>
        <vt:lpwstr/>
      </vt:variant>
      <vt:variant>
        <vt:i4>6946930</vt:i4>
      </vt:variant>
      <vt:variant>
        <vt:i4>993</vt:i4>
      </vt:variant>
      <vt:variant>
        <vt:i4>0</vt:i4>
      </vt:variant>
      <vt:variant>
        <vt:i4>5</vt:i4>
      </vt:variant>
      <vt:variant>
        <vt:lpwstr>https://www.rnz.co.nz/news/te-manu-korihi/437894/conversion-therapy-ban-petition-takatapui-inherent-to-our-culture</vt:lpwstr>
      </vt:variant>
      <vt:variant>
        <vt:lpwstr/>
      </vt:variant>
      <vt:variant>
        <vt:i4>4915215</vt:i4>
      </vt:variant>
      <vt:variant>
        <vt:i4>990</vt:i4>
      </vt:variant>
      <vt:variant>
        <vt:i4>0</vt:i4>
      </vt:variant>
      <vt:variant>
        <vt:i4>5</vt:i4>
      </vt:variant>
      <vt:variant>
        <vt:lpwstr>https://www.intersexaotearoa.org/ira-tangata</vt:lpwstr>
      </vt:variant>
      <vt:variant>
        <vt:lpwstr/>
      </vt:variant>
      <vt:variant>
        <vt:i4>4063262</vt:i4>
      </vt:variant>
      <vt:variant>
        <vt:i4>987</vt:i4>
      </vt:variant>
      <vt:variant>
        <vt:i4>0</vt:i4>
      </vt:variant>
      <vt:variant>
        <vt:i4>5</vt:i4>
      </vt:variant>
      <vt:variant>
        <vt:lpwstr>https://yogyakartaprinciples.org/wp-content/uploads/2017/11/A5_yogyakartaWEB-2.pdf</vt:lpwstr>
      </vt:variant>
      <vt:variant>
        <vt:lpwstr/>
      </vt:variant>
      <vt:variant>
        <vt:i4>1376363</vt:i4>
      </vt:variant>
      <vt:variant>
        <vt:i4>984</vt:i4>
      </vt:variant>
      <vt:variant>
        <vt:i4>0</vt:i4>
      </vt:variant>
      <vt:variant>
        <vt:i4>5</vt:i4>
      </vt:variant>
      <vt:variant>
        <vt:lpwstr>https://yogyakartaprinciples.org/wp-content/uploads/2016/08/principles_en.pdf</vt:lpwstr>
      </vt:variant>
      <vt:variant>
        <vt:lpwstr/>
      </vt:variant>
      <vt:variant>
        <vt:i4>4849736</vt:i4>
      </vt:variant>
      <vt:variant>
        <vt:i4>981</vt:i4>
      </vt:variant>
      <vt:variant>
        <vt:i4>0</vt:i4>
      </vt:variant>
      <vt:variant>
        <vt:i4>5</vt:i4>
      </vt:variant>
      <vt:variant>
        <vt:lpwstr>https://insideout.org.nz/wp-content/uploads/2021/06/Join-this-Chariot.pdf</vt:lpwstr>
      </vt:variant>
      <vt:variant>
        <vt:lpwstr/>
      </vt:variant>
      <vt:variant>
        <vt:i4>131079</vt:i4>
      </vt:variant>
      <vt:variant>
        <vt:i4>978</vt:i4>
      </vt:variant>
      <vt:variant>
        <vt:i4>0</vt:i4>
      </vt:variant>
      <vt:variant>
        <vt:i4>5</vt:i4>
      </vt:variant>
      <vt:variant>
        <vt:lpwstr>https://cendoc.docip.org/collect/upd_en/index/assoc/HASH01f7/01b8b99e.dir/Summary Notes EMRIP 16th session_EN.pdf</vt:lpwstr>
      </vt:variant>
      <vt:variant>
        <vt:lpwstr/>
      </vt:variant>
      <vt:variant>
        <vt:i4>7078001</vt:i4>
      </vt:variant>
      <vt:variant>
        <vt:i4>975</vt:i4>
      </vt:variant>
      <vt:variant>
        <vt:i4>0</vt:i4>
      </vt:variant>
      <vt:variant>
        <vt:i4>5</vt:i4>
      </vt:variant>
      <vt:variant>
        <vt:lpwstr>https://www.ohchr.org/en/special-procedures/ie-sexual-orientation-and-gender-identity/struggle-trans-and-gender-diverse-persons</vt:lpwstr>
      </vt:variant>
      <vt:variant>
        <vt:lpwstr/>
      </vt:variant>
      <vt:variant>
        <vt:i4>262152</vt:i4>
      </vt:variant>
      <vt:variant>
        <vt:i4>972</vt:i4>
      </vt:variant>
      <vt:variant>
        <vt:i4>0</vt:i4>
      </vt:variant>
      <vt:variant>
        <vt:i4>5</vt:i4>
      </vt:variant>
      <vt:variant>
        <vt:lpwstr>https://tikatangata.org.nz/our-work/ki-te-whaiao-ke-te-ao-marama</vt:lpwstr>
      </vt:variant>
      <vt:variant>
        <vt:lpwstr/>
      </vt:variant>
      <vt:variant>
        <vt:i4>2293817</vt:i4>
      </vt:variant>
      <vt:variant>
        <vt:i4>969</vt:i4>
      </vt:variant>
      <vt:variant>
        <vt:i4>0</vt:i4>
      </vt:variant>
      <vt:variant>
        <vt:i4>5</vt:i4>
      </vt:variant>
      <vt:variant>
        <vt:lpwstr>https://tikatangata.org.nz/about-us/office-of-human-rights-proceedings</vt:lpwstr>
      </vt:variant>
      <vt:variant>
        <vt:lpwstr/>
      </vt:variant>
      <vt:variant>
        <vt:i4>786505</vt:i4>
      </vt:variant>
      <vt:variant>
        <vt:i4>966</vt:i4>
      </vt:variant>
      <vt:variant>
        <vt:i4>0</vt:i4>
      </vt:variant>
      <vt:variant>
        <vt:i4>5</vt:i4>
      </vt:variant>
      <vt:variant>
        <vt:lpwstr>https://tikatangata.org.nz/resources-and-support/make-a-complaint</vt:lpwstr>
      </vt:variant>
      <vt:variant>
        <vt:lpwstr/>
      </vt:variant>
      <vt:variant>
        <vt:i4>6160461</vt:i4>
      </vt:variant>
      <vt:variant>
        <vt:i4>963</vt:i4>
      </vt:variant>
      <vt:variant>
        <vt:i4>0</vt:i4>
      </vt:variant>
      <vt:variant>
        <vt:i4>5</vt:i4>
      </vt:variant>
      <vt:variant>
        <vt:lpwstr>https://tikatangata.org.nz/resources-and-support/conversion-practices</vt:lpwstr>
      </vt:variant>
      <vt:variant>
        <vt:lpwstr/>
      </vt:variant>
      <vt:variant>
        <vt:i4>4063343</vt:i4>
      </vt:variant>
      <vt:variant>
        <vt:i4>960</vt:i4>
      </vt:variant>
      <vt:variant>
        <vt:i4>0</vt:i4>
      </vt:variant>
      <vt:variant>
        <vt:i4>5</vt:i4>
      </vt:variant>
      <vt:variant>
        <vt:lpwstr>https://tikatangata.org.nz/our-work/conversion-practices-guidance-for-people-working-in-religious-communities-new-resource-page</vt:lpwstr>
      </vt:variant>
      <vt:variant>
        <vt:lpwstr/>
      </vt:variant>
      <vt:variant>
        <vt:i4>2490484</vt:i4>
      </vt:variant>
      <vt:variant>
        <vt:i4>957</vt:i4>
      </vt:variant>
      <vt:variant>
        <vt:i4>0</vt:i4>
      </vt:variant>
      <vt:variant>
        <vt:i4>5</vt:i4>
      </vt:variant>
      <vt:variant>
        <vt:lpwstr>https://tikatangata.org.nz/cms/assets/Documents/Voices-of-Pacific-Peoples-Executive-Summary.pdf</vt:lpwstr>
      </vt:variant>
      <vt:variant>
        <vt:lpwstr/>
      </vt:variant>
      <vt:variant>
        <vt:i4>5374017</vt:i4>
      </vt:variant>
      <vt:variant>
        <vt:i4>954</vt:i4>
      </vt:variant>
      <vt:variant>
        <vt:i4>0</vt:i4>
      </vt:variant>
      <vt:variant>
        <vt:i4>5</vt:i4>
      </vt:variant>
      <vt:variant>
        <vt:lpwstr>https://tikatangata.org.nz/cms/assets/Documents/Voices-of-Pacific-Peoples-Pacific-Pay-Gap-Inquiry-Report.pdf</vt:lpwstr>
      </vt:variant>
      <vt:variant>
        <vt:lpwstr/>
      </vt:variant>
      <vt:variant>
        <vt:i4>6881319</vt:i4>
      </vt:variant>
      <vt:variant>
        <vt:i4>951</vt:i4>
      </vt:variant>
      <vt:variant>
        <vt:i4>0</vt:i4>
      </vt:variant>
      <vt:variant>
        <vt:i4>5</vt:i4>
      </vt:variant>
      <vt:variant>
        <vt:lpwstr>https://tikatangata.org.nz/resources-and-support/guidelines/guidelines-on-conversion-practices</vt:lpwstr>
      </vt:variant>
      <vt:variant>
        <vt:lpwstr/>
      </vt:variant>
      <vt:variant>
        <vt:i4>6488090</vt:i4>
      </vt:variant>
      <vt:variant>
        <vt:i4>948</vt:i4>
      </vt:variant>
      <vt:variant>
        <vt:i4>0</vt:i4>
      </vt:variant>
      <vt:variant>
        <vt:i4>5</vt:i4>
      </vt:variant>
      <vt:variant>
        <vt:lpwstr>https://www.parliament.nz/resource/en-NZ/53SCJU_EVI_113397_JU39398/73793237cf31671ba3352c656c9a88eae5710d47</vt:lpwstr>
      </vt:variant>
      <vt:variant>
        <vt:lpwstr/>
      </vt:variant>
      <vt:variant>
        <vt:i4>3604582</vt:i4>
      </vt:variant>
      <vt:variant>
        <vt:i4>945</vt:i4>
      </vt:variant>
      <vt:variant>
        <vt:i4>0</vt:i4>
      </vt:variant>
      <vt:variant>
        <vt:i4>5</vt:i4>
      </vt:variant>
      <vt:variant>
        <vt:lpwstr>https://hrc-nz-resources.s3.ap-southeast-2.amazonaws.com/files/9215/9253/7296/HRC_PRISM_SOGIESC_Report_June_2020_FINAL.pdf</vt:lpwstr>
      </vt:variant>
      <vt:variant>
        <vt:lpwstr/>
      </vt:variant>
      <vt:variant>
        <vt:i4>3539070</vt:i4>
      </vt:variant>
      <vt:variant>
        <vt:i4>942</vt:i4>
      </vt:variant>
      <vt:variant>
        <vt:i4>0</vt:i4>
      </vt:variant>
      <vt:variant>
        <vt:i4>5</vt:i4>
      </vt:variant>
      <vt:variant>
        <vt:lpwstr>https://hrc-nz-resources.s3.ap-southeast-2.amazonaws.com/files/5914/8124/9497/HRC_Intersex_Roundtable.pdf</vt:lpwstr>
      </vt:variant>
      <vt:variant>
        <vt:lpwstr/>
      </vt:variant>
      <vt:variant>
        <vt:i4>4849679</vt:i4>
      </vt:variant>
      <vt:variant>
        <vt:i4>939</vt:i4>
      </vt:variant>
      <vt:variant>
        <vt:i4>0</vt:i4>
      </vt:variant>
      <vt:variant>
        <vt:i4>5</vt:i4>
      </vt:variant>
      <vt:variant>
        <vt:lpwstr>https://hrc-nz-resources.s3.ap-southeast-2.amazonaws.com/files/9114/2369/9284/Te_Mana_i_Waitangi_booklet.pdf</vt:lpwstr>
      </vt:variant>
      <vt:variant>
        <vt:lpwstr/>
      </vt:variant>
      <vt:variant>
        <vt:i4>5374067</vt:i4>
      </vt:variant>
      <vt:variant>
        <vt:i4>936</vt:i4>
      </vt:variant>
      <vt:variant>
        <vt:i4>0</vt:i4>
      </vt:variant>
      <vt:variant>
        <vt:i4>5</vt:i4>
      </vt:variant>
      <vt:variant>
        <vt:lpwstr>https://www.hrc.co.nz/files/4414/2352/9981/Statement_of_Intent_2011.doc</vt:lpwstr>
      </vt:variant>
      <vt:variant>
        <vt:lpwstr/>
      </vt:variant>
      <vt:variant>
        <vt:i4>786438</vt:i4>
      </vt:variant>
      <vt:variant>
        <vt:i4>933</vt:i4>
      </vt:variant>
      <vt:variant>
        <vt:i4>0</vt:i4>
      </vt:variant>
      <vt:variant>
        <vt:i4>5</vt:i4>
      </vt:variant>
      <vt:variant>
        <vt:lpwstr>https://tikatangata.org.nz/our-work/inquiry-into-discrimination-experienced-by-transgender-people</vt:lpwstr>
      </vt:variant>
      <vt:variant>
        <vt:lpwstr/>
      </vt:variant>
      <vt:variant>
        <vt:i4>3014753</vt:i4>
      </vt:variant>
      <vt:variant>
        <vt:i4>930</vt:i4>
      </vt:variant>
      <vt:variant>
        <vt:i4>0</vt:i4>
      </vt:variant>
      <vt:variant>
        <vt:i4>5</vt:i4>
      </vt:variant>
      <vt:variant>
        <vt:lpwstr>https://doi.org/10.7916/cswr.v8i1.1963</vt:lpwstr>
      </vt:variant>
      <vt:variant>
        <vt:lpwstr/>
      </vt:variant>
      <vt:variant>
        <vt:i4>458820</vt:i4>
      </vt:variant>
      <vt:variant>
        <vt:i4>927</vt:i4>
      </vt:variant>
      <vt:variant>
        <vt:i4>0</vt:i4>
      </vt:variant>
      <vt:variant>
        <vt:i4>5</vt:i4>
      </vt:variant>
      <vt:variant>
        <vt:lpwstr>https://doi.org/10.1080/00918369.2020.1840213</vt:lpwstr>
      </vt:variant>
      <vt:variant>
        <vt:lpwstr/>
      </vt:variant>
      <vt:variant>
        <vt:i4>3604533</vt:i4>
      </vt:variant>
      <vt:variant>
        <vt:i4>924</vt:i4>
      </vt:variant>
      <vt:variant>
        <vt:i4>0</vt:i4>
      </vt:variant>
      <vt:variant>
        <vt:i4>5</vt:i4>
      </vt:variant>
      <vt:variant>
        <vt:lpwstr>https://www.hpa.org.nz/sites/default/files/Mental-wellbeing-among-rainbow-adults-factsheet.pdf</vt:lpwstr>
      </vt:variant>
      <vt:variant>
        <vt:lpwstr/>
      </vt:variant>
      <vt:variant>
        <vt:i4>7995429</vt:i4>
      </vt:variant>
      <vt:variant>
        <vt:i4>921</vt:i4>
      </vt:variant>
      <vt:variant>
        <vt:i4>0</vt:i4>
      </vt:variant>
      <vt:variant>
        <vt:i4>5</vt:i4>
      </vt:variant>
      <vt:variant>
        <vt:lpwstr>https://static1.squarespace.com/static/65c9ceb1a6a5b72d6f280d67/t/65cc227b8c94e134021c9141/1707877007526/Transgressive-Transitions.pdf</vt:lpwstr>
      </vt:variant>
      <vt:variant>
        <vt:lpwstr/>
      </vt:variant>
      <vt:variant>
        <vt:i4>4194307</vt:i4>
      </vt:variant>
      <vt:variant>
        <vt:i4>918</vt:i4>
      </vt:variant>
      <vt:variant>
        <vt:i4>0</vt:i4>
      </vt:variant>
      <vt:variant>
        <vt:i4>5</vt:i4>
      </vt:variant>
      <vt:variant>
        <vt:lpwstr>https://thespinoff.co.nz/atea/23-10-2019/what-do-we-really-know-about-gender-diversity-in-te-ao-maori</vt:lpwstr>
      </vt:variant>
      <vt:variant>
        <vt:lpwstr/>
      </vt:variant>
      <vt:variant>
        <vt:i4>1179652</vt:i4>
      </vt:variant>
      <vt:variant>
        <vt:i4>915</vt:i4>
      </vt:variant>
      <vt:variant>
        <vt:i4>0</vt:i4>
      </vt:variant>
      <vt:variant>
        <vt:i4>5</vt:i4>
      </vt:variant>
      <vt:variant>
        <vt:lpwstr>https://www.beehive.govt.nz/release/crown-law-opinion-transgender-discrimination</vt:lpwstr>
      </vt:variant>
      <vt:variant>
        <vt:lpwstr/>
      </vt:variant>
      <vt:variant>
        <vt:i4>655447</vt:i4>
      </vt:variant>
      <vt:variant>
        <vt:i4>912</vt:i4>
      </vt:variant>
      <vt:variant>
        <vt:i4>0</vt:i4>
      </vt:variant>
      <vt:variant>
        <vt:i4>5</vt:i4>
      </vt:variant>
      <vt:variant>
        <vt:lpwstr>https://doi.org/10.2105/AJPH.2020.305701</vt:lpwstr>
      </vt:variant>
      <vt:variant>
        <vt:lpwstr/>
      </vt:variant>
      <vt:variant>
        <vt:i4>3866729</vt:i4>
      </vt:variant>
      <vt:variant>
        <vt:i4>909</vt:i4>
      </vt:variant>
      <vt:variant>
        <vt:i4>0</vt:i4>
      </vt:variant>
      <vt:variant>
        <vt:i4>5</vt:i4>
      </vt:variant>
      <vt:variant>
        <vt:lpwstr>https://doi.org/10.1037/0000266-005</vt:lpwstr>
      </vt:variant>
      <vt:variant>
        <vt:lpwstr/>
      </vt:variant>
      <vt:variant>
        <vt:i4>3866729</vt:i4>
      </vt:variant>
      <vt:variant>
        <vt:i4>906</vt:i4>
      </vt:variant>
      <vt:variant>
        <vt:i4>0</vt:i4>
      </vt:variant>
      <vt:variant>
        <vt:i4>5</vt:i4>
      </vt:variant>
      <vt:variant>
        <vt:lpwstr>https://doi.org/10.1037/0000266-002</vt:lpwstr>
      </vt:variant>
      <vt:variant>
        <vt:lpwstr/>
      </vt:variant>
      <vt:variant>
        <vt:i4>1441799</vt:i4>
      </vt:variant>
      <vt:variant>
        <vt:i4>903</vt:i4>
      </vt:variant>
      <vt:variant>
        <vt:i4>0</vt:i4>
      </vt:variant>
      <vt:variant>
        <vt:i4>5</vt:i4>
      </vt:variant>
      <vt:variant>
        <vt:lpwstr>https://doi.org/10.11157/sites-id435</vt:lpwstr>
      </vt:variant>
      <vt:variant>
        <vt:lpwstr/>
      </vt:variant>
      <vt:variant>
        <vt:i4>720974</vt:i4>
      </vt:variant>
      <vt:variant>
        <vt:i4>900</vt:i4>
      </vt:variant>
      <vt:variant>
        <vt:i4>0</vt:i4>
      </vt:variant>
      <vt:variant>
        <vt:i4>5</vt:i4>
      </vt:variant>
      <vt:variant>
        <vt:lpwstr>https://doi.org/10.1080/00918369.2014.926763</vt:lpwstr>
      </vt:variant>
      <vt:variant>
        <vt:lpwstr/>
      </vt:variant>
      <vt:variant>
        <vt:i4>2818111</vt:i4>
      </vt:variant>
      <vt:variant>
        <vt:i4>897</vt:i4>
      </vt:variant>
      <vt:variant>
        <vt:i4>0</vt:i4>
      </vt:variant>
      <vt:variant>
        <vt:i4>5</vt:i4>
      </vt:variant>
      <vt:variant>
        <vt:lpwstr>https://doi.org/10.1007/s10964-022-01693-3</vt:lpwstr>
      </vt:variant>
      <vt:variant>
        <vt:lpwstr/>
      </vt:variant>
      <vt:variant>
        <vt:i4>4194369</vt:i4>
      </vt:variant>
      <vt:variant>
        <vt:i4>894</vt:i4>
      </vt:variant>
      <vt:variant>
        <vt:i4>0</vt:i4>
      </vt:variant>
      <vt:variant>
        <vt:i4>5</vt:i4>
      </vt:variant>
      <vt:variant>
        <vt:lpwstr>https://static1.squarespace.com/static/60187146e9f9034475dea113/t/6390e802bd4e535d10b72a17/1670440980159/community_advocacy_report.pdf</vt:lpwstr>
      </vt:variant>
      <vt:variant>
        <vt:lpwstr/>
      </vt:variant>
      <vt:variant>
        <vt:i4>6225977</vt:i4>
      </vt:variant>
      <vt:variant>
        <vt:i4>891</vt:i4>
      </vt:variant>
      <vt:variant>
        <vt:i4>0</vt:i4>
      </vt:variant>
      <vt:variant>
        <vt:i4>5</vt:i4>
      </vt:variant>
      <vt:variant>
        <vt:lpwstr>https://static1.squarespace.com/static/5bdbb75ccef37259122e59aa/t/607cb8431453ca0b05c53bb8/1618786373138/Youth19+Brief_Transgender+and+diverse+gender+students+April2021.pdf</vt:lpwstr>
      </vt:variant>
      <vt:variant>
        <vt:lpwstr/>
      </vt:variant>
      <vt:variant>
        <vt:i4>2818144</vt:i4>
      </vt:variant>
      <vt:variant>
        <vt:i4>888</vt:i4>
      </vt:variant>
      <vt:variant>
        <vt:i4>0</vt:i4>
      </vt:variant>
      <vt:variant>
        <vt:i4>5</vt:i4>
      </vt:variant>
      <vt:variant>
        <vt:lpwstr>https://www.ohchr.org/sites/default/files/documents/issues/indigenouspeoples/emrip/sessions/session16/EMRIP-16-Concept_note_Panel-LGBTQIA.pdf</vt:lpwstr>
      </vt:variant>
      <vt:variant>
        <vt:lpwstr/>
      </vt:variant>
      <vt:variant>
        <vt:i4>2097252</vt:i4>
      </vt:variant>
      <vt:variant>
        <vt:i4>885</vt:i4>
      </vt:variant>
      <vt:variant>
        <vt:i4>0</vt:i4>
      </vt:variant>
      <vt:variant>
        <vt:i4>5</vt:i4>
      </vt:variant>
      <vt:variant>
        <vt:lpwstr>https://doi.org/10.4000/assr.23613</vt:lpwstr>
      </vt:variant>
      <vt:variant>
        <vt:lpwstr/>
      </vt:variant>
      <vt:variant>
        <vt:i4>6225996</vt:i4>
      </vt:variant>
      <vt:variant>
        <vt:i4>882</vt:i4>
      </vt:variant>
      <vt:variant>
        <vt:i4>0</vt:i4>
      </vt:variant>
      <vt:variant>
        <vt:i4>5</vt:i4>
      </vt:variant>
      <vt:variant>
        <vt:lpwstr>https://donaldbeasley.org.nz/assets/publications/uncrpd/My-Experiences-My-Rights_-A-Monitoring-Report-on-Disabled-People_s-Experience-of-Health-and-Wellbeing-in-Aotearoa-New-Zealand-Long-Report.pdf</vt:lpwstr>
      </vt:variant>
      <vt:variant>
        <vt:lpwstr/>
      </vt:variant>
      <vt:variant>
        <vt:i4>71</vt:i4>
      </vt:variant>
      <vt:variant>
        <vt:i4>879</vt:i4>
      </vt:variant>
      <vt:variant>
        <vt:i4>0</vt:i4>
      </vt:variant>
      <vt:variant>
        <vt:i4>5</vt:i4>
      </vt:variant>
      <vt:variant>
        <vt:lpwstr>https://doi.org/10.1080/19359705.2014.912970</vt:lpwstr>
      </vt:variant>
      <vt:variant>
        <vt:lpwstr/>
      </vt:variant>
      <vt:variant>
        <vt:i4>131158</vt:i4>
      </vt:variant>
      <vt:variant>
        <vt:i4>876</vt:i4>
      </vt:variant>
      <vt:variant>
        <vt:i4>0</vt:i4>
      </vt:variant>
      <vt:variant>
        <vt:i4>5</vt:i4>
      </vt:variant>
      <vt:variant>
        <vt:lpwstr>https://darlington.org.au/statement/</vt:lpwstr>
      </vt:variant>
      <vt:variant>
        <vt:lpwstr/>
      </vt:variant>
      <vt:variant>
        <vt:i4>327709</vt:i4>
      </vt:variant>
      <vt:variant>
        <vt:i4>873</vt:i4>
      </vt:variant>
      <vt:variant>
        <vt:i4>0</vt:i4>
      </vt:variant>
      <vt:variant>
        <vt:i4>5</vt:i4>
      </vt:variant>
      <vt:variant>
        <vt:lpwstr>https://researchbriefings.files.parliament.uk/documents/CBP-9502/CBP-9502.pdf</vt:lpwstr>
      </vt:variant>
      <vt:variant>
        <vt:lpwstr/>
      </vt:variant>
      <vt:variant>
        <vt:i4>2555944</vt:i4>
      </vt:variant>
      <vt:variant>
        <vt:i4>870</vt:i4>
      </vt:variant>
      <vt:variant>
        <vt:i4>0</vt:i4>
      </vt:variant>
      <vt:variant>
        <vt:i4>5</vt:i4>
      </vt:variant>
      <vt:variant>
        <vt:lpwstr>https://communityresearch.org.nz/research/the-end-of-the-rainbow-chinese-queer-international-students-negotiating-the-ethnic-closet-in-new-zealand/</vt:lpwstr>
      </vt:variant>
      <vt:variant>
        <vt:lpwstr/>
      </vt:variant>
      <vt:variant>
        <vt:i4>1376329</vt:i4>
      </vt:variant>
      <vt:variant>
        <vt:i4>867</vt:i4>
      </vt:variant>
      <vt:variant>
        <vt:i4>0</vt:i4>
      </vt:variant>
      <vt:variant>
        <vt:i4>5</vt:i4>
      </vt:variant>
      <vt:variant>
        <vt:lpwstr>https://www.justice.govt.nz/assets/6352184-BORA-vet-Briefing-to-Attorney-General-Conversion-Practice-Prohibition-Legislation-Bill.pdf</vt:lpwstr>
      </vt:variant>
      <vt:variant>
        <vt:lpwstr/>
      </vt:variant>
      <vt:variant>
        <vt:i4>262219</vt:i4>
      </vt:variant>
      <vt:variant>
        <vt:i4>864</vt:i4>
      </vt:variant>
      <vt:variant>
        <vt:i4>0</vt:i4>
      </vt:variant>
      <vt:variant>
        <vt:i4>5</vt:i4>
      </vt:variant>
      <vt:variant>
        <vt:lpwstr>https://doi.org/10.1080/26895269.2022.2100644</vt:lpwstr>
      </vt:variant>
      <vt:variant>
        <vt:lpwstr/>
      </vt:variant>
      <vt:variant>
        <vt:i4>983074</vt:i4>
      </vt:variant>
      <vt:variant>
        <vt:i4>861</vt:i4>
      </vt:variant>
      <vt:variant>
        <vt:i4>0</vt:i4>
      </vt:variant>
      <vt:variant>
        <vt:i4>5</vt:i4>
      </vt:variant>
      <vt:variant>
        <vt:lpwstr>https://static1.squarespace.com/static/5bdbb75ccef37259122e59aa/t/60ca75d00a6a3a028b086ce0/1623881172777/Youth19+Brief_Rainbow+rangatahi.pdf</vt:lpwstr>
      </vt:variant>
      <vt:variant>
        <vt:lpwstr/>
      </vt:variant>
      <vt:variant>
        <vt:i4>3014747</vt:i4>
      </vt:variant>
      <vt:variant>
        <vt:i4>858</vt:i4>
      </vt:variant>
      <vt:variant>
        <vt:i4>0</vt:i4>
      </vt:variant>
      <vt:variant>
        <vt:i4>5</vt:i4>
      </vt:variant>
      <vt:variant>
        <vt:lpwstr>https://www.hqsc.govt.nz/assets/Our-work/Mortality-review-committee/SuMRC/Publications-resources/TeMauriTheLifeForce_final.pdf</vt:lpwstr>
      </vt:variant>
      <vt:variant>
        <vt:lpwstr/>
      </vt:variant>
      <vt:variant>
        <vt:i4>2490489</vt:i4>
      </vt:variant>
      <vt:variant>
        <vt:i4>855</vt:i4>
      </vt:variant>
      <vt:variant>
        <vt:i4>0</vt:i4>
      </vt:variant>
      <vt:variant>
        <vt:i4>5</vt:i4>
      </vt:variant>
      <vt:variant>
        <vt:lpwstr>https://www.rnz.co.nz/news/chinese/495437/chinese-rainbow-communities-struggle-with-life-in-the-ethnic-closett</vt:lpwstr>
      </vt:variant>
      <vt:variant>
        <vt:lpwstr/>
      </vt:variant>
      <vt:variant>
        <vt:i4>2097203</vt:i4>
      </vt:variant>
      <vt:variant>
        <vt:i4>852</vt:i4>
      </vt:variant>
      <vt:variant>
        <vt:i4>0</vt:i4>
      </vt:variant>
      <vt:variant>
        <vt:i4>5</vt:i4>
      </vt:variant>
      <vt:variant>
        <vt:lpwstr>https://doi.org/10.1007/s13178-021-00669-5</vt:lpwstr>
      </vt:variant>
      <vt:variant>
        <vt:lpwstr/>
      </vt:variant>
      <vt:variant>
        <vt:i4>8126589</vt:i4>
      </vt:variant>
      <vt:variant>
        <vt:i4>849</vt:i4>
      </vt:variant>
      <vt:variant>
        <vt:i4>0</vt:i4>
      </vt:variant>
      <vt:variant>
        <vt:i4>5</vt:i4>
      </vt:variant>
      <vt:variant>
        <vt:lpwstr>https://blogs.otago.ac.nz/rainbow/files/2023/03/Primary-Care-GAHT-Guidelines_Web_29-Mar.pdf</vt:lpwstr>
      </vt:variant>
      <vt:variant>
        <vt:lpwstr/>
      </vt:variant>
      <vt:variant>
        <vt:i4>4653102</vt:i4>
      </vt:variant>
      <vt:variant>
        <vt:i4>846</vt:i4>
      </vt:variant>
      <vt:variant>
        <vt:i4>0</vt:i4>
      </vt:variant>
      <vt:variant>
        <vt:i4>5</vt:i4>
      </vt:variant>
      <vt:variant>
        <vt:lpwstr>https://doi.org/10.1300/J159v01n02_06</vt:lpwstr>
      </vt:variant>
      <vt:variant>
        <vt:lpwstr/>
      </vt:variant>
      <vt:variant>
        <vt:i4>7798828</vt:i4>
      </vt:variant>
      <vt:variant>
        <vt:i4>843</vt:i4>
      </vt:variant>
      <vt:variant>
        <vt:i4>0</vt:i4>
      </vt:variant>
      <vt:variant>
        <vt:i4>5</vt:i4>
      </vt:variant>
      <vt:variant>
        <vt:lpwstr>https://www.leva.co.nz/uploads/files/resources/strengthening-solutions-for-pasefika-rainbow.pdf</vt:lpwstr>
      </vt:variant>
      <vt:variant>
        <vt:lpwstr/>
      </vt:variant>
      <vt:variant>
        <vt:i4>6029361</vt:i4>
      </vt:variant>
      <vt:variant>
        <vt:i4>840</vt:i4>
      </vt:variant>
      <vt:variant>
        <vt:i4>0</vt:i4>
      </vt:variant>
      <vt:variant>
        <vt:i4>5</vt:i4>
      </vt:variant>
      <vt:variant>
        <vt:lpwstr>https://www.pridenz.com/apog_phylesha_brown_acton_keynote_transcript.html</vt:lpwstr>
      </vt:variant>
      <vt:variant>
        <vt:lpwstr/>
      </vt:variant>
      <vt:variant>
        <vt:i4>852052</vt:i4>
      </vt:variant>
      <vt:variant>
        <vt:i4>837</vt:i4>
      </vt:variant>
      <vt:variant>
        <vt:i4>0</vt:i4>
      </vt:variant>
      <vt:variant>
        <vt:i4>5</vt:i4>
      </vt:variant>
      <vt:variant>
        <vt:lpwstr>https://doi.org/10.2105/AJPH.2020.305637</vt:lpwstr>
      </vt:variant>
      <vt:variant>
        <vt:lpwstr/>
      </vt:variant>
      <vt:variant>
        <vt:i4>2883619</vt:i4>
      </vt:variant>
      <vt:variant>
        <vt:i4>834</vt:i4>
      </vt:variant>
      <vt:variant>
        <vt:i4>0</vt:i4>
      </vt:variant>
      <vt:variant>
        <vt:i4>5</vt:i4>
      </vt:variant>
      <vt:variant>
        <vt:lpwstr>https://www.rnzcgp.org.nz/gpdocs/new-website/advocacy/submissions/2021.09.08-RNZCGP0-response-conversion-practices.pdf</vt:lpwstr>
      </vt:variant>
      <vt:variant>
        <vt:lpwstr/>
      </vt:variant>
      <vt:variant>
        <vt:i4>3014768</vt:i4>
      </vt:variant>
      <vt:variant>
        <vt:i4>831</vt:i4>
      </vt:variant>
      <vt:variant>
        <vt:i4>0</vt:i4>
      </vt:variant>
      <vt:variant>
        <vt:i4>5</vt:i4>
      </vt:variant>
      <vt:variant>
        <vt:lpwstr>https://adhikaaraotearoa.rocketspark.co.nz/site_files/30452/upload_files/TheAdhikaarReportFINAL.pdf?dl=1</vt:lpwstr>
      </vt:variant>
      <vt:variant>
        <vt:lpwstr/>
      </vt:variant>
      <vt:variant>
        <vt:i4>1310807</vt:i4>
      </vt:variant>
      <vt:variant>
        <vt:i4>828</vt:i4>
      </vt:variant>
      <vt:variant>
        <vt:i4>0</vt:i4>
      </vt:variant>
      <vt:variant>
        <vt:i4>5</vt:i4>
      </vt:variant>
      <vt:variant>
        <vt:lpwstr>https://doi.org/10.1080/13691050701195119</vt:lpwstr>
      </vt:variant>
      <vt:variant>
        <vt:lpwstr/>
      </vt:variant>
      <vt:variant>
        <vt:i4>8192060</vt:i4>
      </vt:variant>
      <vt:variant>
        <vt:i4>825</vt:i4>
      </vt:variant>
      <vt:variant>
        <vt:i4>0</vt:i4>
      </vt:variant>
      <vt:variant>
        <vt:i4>5</vt:i4>
      </vt:variant>
      <vt:variant>
        <vt:lpwstr>https://weareaptn.org/resource/conversion-therapy-practices-against-transgender-persons-in-india-indonesia-malaysia-and-sri-lanka/</vt:lpwstr>
      </vt:variant>
      <vt:variant>
        <vt:lpwstr/>
      </vt:variant>
      <vt:variant>
        <vt:i4>917578</vt:i4>
      </vt:variant>
      <vt:variant>
        <vt:i4>822</vt:i4>
      </vt:variant>
      <vt:variant>
        <vt:i4>0</vt:i4>
      </vt:variant>
      <vt:variant>
        <vt:i4>5</vt:i4>
      </vt:variant>
      <vt:variant>
        <vt:lpwstr>https://doi.org/10.1080/19361653.2019.1665610</vt:lpwstr>
      </vt:variant>
      <vt:variant>
        <vt:lpwstr/>
      </vt:variant>
      <vt:variant>
        <vt:i4>6422581</vt:i4>
      </vt:variant>
      <vt:variant>
        <vt:i4>819</vt:i4>
      </vt:variant>
      <vt:variant>
        <vt:i4>0</vt:i4>
      </vt:variant>
      <vt:variant>
        <vt:i4>5</vt:i4>
      </vt:variant>
      <vt:variant>
        <vt:lpwstr>https://www.apa.org/pi/lgbt/resources/therapeutic-response.pdf</vt:lpwstr>
      </vt:variant>
      <vt:variant>
        <vt:lpwstr/>
      </vt:variant>
      <vt:variant>
        <vt:i4>2752622</vt:i4>
      </vt:variant>
      <vt:variant>
        <vt:i4>816</vt:i4>
      </vt:variant>
      <vt:variant>
        <vt:i4>0</vt:i4>
      </vt:variant>
      <vt:variant>
        <vt:i4>5</vt:i4>
      </vt:variant>
      <vt:variant>
        <vt:lpwstr>https://thespinoff.co.nz/politics/19-02-2022/kiri-allan-my-conversion-therapy-story</vt:lpwstr>
      </vt:variant>
      <vt:variant>
        <vt:lpwstr/>
      </vt:variant>
      <vt:variant>
        <vt:i4>983122</vt:i4>
      </vt:variant>
      <vt:variant>
        <vt:i4>813</vt:i4>
      </vt:variant>
      <vt:variant>
        <vt:i4>0</vt:i4>
      </vt:variant>
      <vt:variant>
        <vt:i4>5</vt:i4>
      </vt:variant>
      <vt:variant>
        <vt:lpwstr>https://www.abuseincare.org.nz/assets/Document-Library/Beautiful-Children-Full-Report-PDF-v2.pdf</vt:lpwstr>
      </vt:variant>
      <vt:variant>
        <vt:lpwstr/>
      </vt:variant>
      <vt:variant>
        <vt:i4>1966111</vt:i4>
      </vt:variant>
      <vt:variant>
        <vt:i4>810</vt:i4>
      </vt:variant>
      <vt:variant>
        <vt:i4>0</vt:i4>
      </vt:variant>
      <vt:variant>
        <vt:i4>5</vt:i4>
      </vt:variant>
      <vt:variant>
        <vt:lpwstr>https://openaccess.wgtn.ac.nz/articles/thesis/Tu_kana_T_ina_Relational_Responsibilities_of_Pacific_Tauiwi_to_M_ori_and_Te_Tiriti_o_Waitangi/20514870</vt:lpwstr>
      </vt:variant>
      <vt:variant>
        <vt:lpwstr/>
      </vt:variant>
      <vt:variant>
        <vt:i4>6553727</vt:i4>
      </vt:variant>
      <vt:variant>
        <vt:i4>807</vt:i4>
      </vt:variant>
      <vt:variant>
        <vt:i4>0</vt:i4>
      </vt:variant>
      <vt:variant>
        <vt:i4>5</vt:i4>
      </vt:variant>
      <vt:variant>
        <vt:lpwstr>http://www.alreadyenough.co.nz/</vt:lpwstr>
      </vt:variant>
      <vt:variant>
        <vt:lpwstr/>
      </vt:variant>
      <vt:variant>
        <vt:i4>1966157</vt:i4>
      </vt:variant>
      <vt:variant>
        <vt:i4>804</vt:i4>
      </vt:variant>
      <vt:variant>
        <vt:i4>0</vt:i4>
      </vt:variant>
      <vt:variant>
        <vt:i4>5</vt:i4>
      </vt:variant>
      <vt:variant>
        <vt:lpwstr>https://outline.org.nz/conversion-practices-survivor-network/</vt:lpwstr>
      </vt:variant>
      <vt:variant>
        <vt:lpwstr/>
      </vt:variant>
      <vt:variant>
        <vt:i4>1245247</vt:i4>
      </vt:variant>
      <vt:variant>
        <vt:i4>731</vt:i4>
      </vt:variant>
      <vt:variant>
        <vt:i4>0</vt:i4>
      </vt:variant>
      <vt:variant>
        <vt:i4>5</vt:i4>
      </vt:variant>
      <vt:variant>
        <vt:lpwstr/>
      </vt:variant>
      <vt:variant>
        <vt:lpwstr>_Toc168661052</vt:lpwstr>
      </vt:variant>
      <vt:variant>
        <vt:i4>1245247</vt:i4>
      </vt:variant>
      <vt:variant>
        <vt:i4>725</vt:i4>
      </vt:variant>
      <vt:variant>
        <vt:i4>0</vt:i4>
      </vt:variant>
      <vt:variant>
        <vt:i4>5</vt:i4>
      </vt:variant>
      <vt:variant>
        <vt:lpwstr/>
      </vt:variant>
      <vt:variant>
        <vt:lpwstr>_Toc168661051</vt:lpwstr>
      </vt:variant>
      <vt:variant>
        <vt:i4>1245247</vt:i4>
      </vt:variant>
      <vt:variant>
        <vt:i4>719</vt:i4>
      </vt:variant>
      <vt:variant>
        <vt:i4>0</vt:i4>
      </vt:variant>
      <vt:variant>
        <vt:i4>5</vt:i4>
      </vt:variant>
      <vt:variant>
        <vt:lpwstr/>
      </vt:variant>
      <vt:variant>
        <vt:lpwstr>_Toc168661050</vt:lpwstr>
      </vt:variant>
      <vt:variant>
        <vt:i4>1179711</vt:i4>
      </vt:variant>
      <vt:variant>
        <vt:i4>713</vt:i4>
      </vt:variant>
      <vt:variant>
        <vt:i4>0</vt:i4>
      </vt:variant>
      <vt:variant>
        <vt:i4>5</vt:i4>
      </vt:variant>
      <vt:variant>
        <vt:lpwstr/>
      </vt:variant>
      <vt:variant>
        <vt:lpwstr>_Toc168661049</vt:lpwstr>
      </vt:variant>
      <vt:variant>
        <vt:i4>1179711</vt:i4>
      </vt:variant>
      <vt:variant>
        <vt:i4>707</vt:i4>
      </vt:variant>
      <vt:variant>
        <vt:i4>0</vt:i4>
      </vt:variant>
      <vt:variant>
        <vt:i4>5</vt:i4>
      </vt:variant>
      <vt:variant>
        <vt:lpwstr/>
      </vt:variant>
      <vt:variant>
        <vt:lpwstr>_Toc168661048</vt:lpwstr>
      </vt:variant>
      <vt:variant>
        <vt:i4>1179711</vt:i4>
      </vt:variant>
      <vt:variant>
        <vt:i4>701</vt:i4>
      </vt:variant>
      <vt:variant>
        <vt:i4>0</vt:i4>
      </vt:variant>
      <vt:variant>
        <vt:i4>5</vt:i4>
      </vt:variant>
      <vt:variant>
        <vt:lpwstr/>
      </vt:variant>
      <vt:variant>
        <vt:lpwstr>_Toc168661047</vt:lpwstr>
      </vt:variant>
      <vt:variant>
        <vt:i4>1179711</vt:i4>
      </vt:variant>
      <vt:variant>
        <vt:i4>695</vt:i4>
      </vt:variant>
      <vt:variant>
        <vt:i4>0</vt:i4>
      </vt:variant>
      <vt:variant>
        <vt:i4>5</vt:i4>
      </vt:variant>
      <vt:variant>
        <vt:lpwstr/>
      </vt:variant>
      <vt:variant>
        <vt:lpwstr>_Toc168661046</vt:lpwstr>
      </vt:variant>
      <vt:variant>
        <vt:i4>1179711</vt:i4>
      </vt:variant>
      <vt:variant>
        <vt:i4>689</vt:i4>
      </vt:variant>
      <vt:variant>
        <vt:i4>0</vt:i4>
      </vt:variant>
      <vt:variant>
        <vt:i4>5</vt:i4>
      </vt:variant>
      <vt:variant>
        <vt:lpwstr/>
      </vt:variant>
      <vt:variant>
        <vt:lpwstr>_Toc168661045</vt:lpwstr>
      </vt:variant>
      <vt:variant>
        <vt:i4>1179711</vt:i4>
      </vt:variant>
      <vt:variant>
        <vt:i4>683</vt:i4>
      </vt:variant>
      <vt:variant>
        <vt:i4>0</vt:i4>
      </vt:variant>
      <vt:variant>
        <vt:i4>5</vt:i4>
      </vt:variant>
      <vt:variant>
        <vt:lpwstr/>
      </vt:variant>
      <vt:variant>
        <vt:lpwstr>_Toc168661044</vt:lpwstr>
      </vt:variant>
      <vt:variant>
        <vt:i4>1179711</vt:i4>
      </vt:variant>
      <vt:variant>
        <vt:i4>677</vt:i4>
      </vt:variant>
      <vt:variant>
        <vt:i4>0</vt:i4>
      </vt:variant>
      <vt:variant>
        <vt:i4>5</vt:i4>
      </vt:variant>
      <vt:variant>
        <vt:lpwstr/>
      </vt:variant>
      <vt:variant>
        <vt:lpwstr>_Toc168661043</vt:lpwstr>
      </vt:variant>
      <vt:variant>
        <vt:i4>1179711</vt:i4>
      </vt:variant>
      <vt:variant>
        <vt:i4>671</vt:i4>
      </vt:variant>
      <vt:variant>
        <vt:i4>0</vt:i4>
      </vt:variant>
      <vt:variant>
        <vt:i4>5</vt:i4>
      </vt:variant>
      <vt:variant>
        <vt:lpwstr/>
      </vt:variant>
      <vt:variant>
        <vt:lpwstr>_Toc168661042</vt:lpwstr>
      </vt:variant>
      <vt:variant>
        <vt:i4>1179711</vt:i4>
      </vt:variant>
      <vt:variant>
        <vt:i4>665</vt:i4>
      </vt:variant>
      <vt:variant>
        <vt:i4>0</vt:i4>
      </vt:variant>
      <vt:variant>
        <vt:i4>5</vt:i4>
      </vt:variant>
      <vt:variant>
        <vt:lpwstr/>
      </vt:variant>
      <vt:variant>
        <vt:lpwstr>_Toc168661041</vt:lpwstr>
      </vt:variant>
      <vt:variant>
        <vt:i4>2031677</vt:i4>
      </vt:variant>
      <vt:variant>
        <vt:i4>656</vt:i4>
      </vt:variant>
      <vt:variant>
        <vt:i4>0</vt:i4>
      </vt:variant>
      <vt:variant>
        <vt:i4>5</vt:i4>
      </vt:variant>
      <vt:variant>
        <vt:lpwstr/>
      </vt:variant>
      <vt:variant>
        <vt:lpwstr>_Toc169549129</vt:lpwstr>
      </vt:variant>
      <vt:variant>
        <vt:i4>2031677</vt:i4>
      </vt:variant>
      <vt:variant>
        <vt:i4>650</vt:i4>
      </vt:variant>
      <vt:variant>
        <vt:i4>0</vt:i4>
      </vt:variant>
      <vt:variant>
        <vt:i4>5</vt:i4>
      </vt:variant>
      <vt:variant>
        <vt:lpwstr/>
      </vt:variant>
      <vt:variant>
        <vt:lpwstr>_Toc169549128</vt:lpwstr>
      </vt:variant>
      <vt:variant>
        <vt:i4>2031677</vt:i4>
      </vt:variant>
      <vt:variant>
        <vt:i4>644</vt:i4>
      </vt:variant>
      <vt:variant>
        <vt:i4>0</vt:i4>
      </vt:variant>
      <vt:variant>
        <vt:i4>5</vt:i4>
      </vt:variant>
      <vt:variant>
        <vt:lpwstr/>
      </vt:variant>
      <vt:variant>
        <vt:lpwstr>_Toc169549127</vt:lpwstr>
      </vt:variant>
      <vt:variant>
        <vt:i4>2031677</vt:i4>
      </vt:variant>
      <vt:variant>
        <vt:i4>638</vt:i4>
      </vt:variant>
      <vt:variant>
        <vt:i4>0</vt:i4>
      </vt:variant>
      <vt:variant>
        <vt:i4>5</vt:i4>
      </vt:variant>
      <vt:variant>
        <vt:lpwstr/>
      </vt:variant>
      <vt:variant>
        <vt:lpwstr>_Toc169549126</vt:lpwstr>
      </vt:variant>
      <vt:variant>
        <vt:i4>2031677</vt:i4>
      </vt:variant>
      <vt:variant>
        <vt:i4>632</vt:i4>
      </vt:variant>
      <vt:variant>
        <vt:i4>0</vt:i4>
      </vt:variant>
      <vt:variant>
        <vt:i4>5</vt:i4>
      </vt:variant>
      <vt:variant>
        <vt:lpwstr/>
      </vt:variant>
      <vt:variant>
        <vt:lpwstr>_Toc169549125</vt:lpwstr>
      </vt:variant>
      <vt:variant>
        <vt:i4>2031677</vt:i4>
      </vt:variant>
      <vt:variant>
        <vt:i4>626</vt:i4>
      </vt:variant>
      <vt:variant>
        <vt:i4>0</vt:i4>
      </vt:variant>
      <vt:variant>
        <vt:i4>5</vt:i4>
      </vt:variant>
      <vt:variant>
        <vt:lpwstr/>
      </vt:variant>
      <vt:variant>
        <vt:lpwstr>_Toc169549124</vt:lpwstr>
      </vt:variant>
      <vt:variant>
        <vt:i4>2031677</vt:i4>
      </vt:variant>
      <vt:variant>
        <vt:i4>620</vt:i4>
      </vt:variant>
      <vt:variant>
        <vt:i4>0</vt:i4>
      </vt:variant>
      <vt:variant>
        <vt:i4>5</vt:i4>
      </vt:variant>
      <vt:variant>
        <vt:lpwstr/>
      </vt:variant>
      <vt:variant>
        <vt:lpwstr>_Toc169549123</vt:lpwstr>
      </vt:variant>
      <vt:variant>
        <vt:i4>2031677</vt:i4>
      </vt:variant>
      <vt:variant>
        <vt:i4>614</vt:i4>
      </vt:variant>
      <vt:variant>
        <vt:i4>0</vt:i4>
      </vt:variant>
      <vt:variant>
        <vt:i4>5</vt:i4>
      </vt:variant>
      <vt:variant>
        <vt:lpwstr/>
      </vt:variant>
      <vt:variant>
        <vt:lpwstr>_Toc169549122</vt:lpwstr>
      </vt:variant>
      <vt:variant>
        <vt:i4>2031677</vt:i4>
      </vt:variant>
      <vt:variant>
        <vt:i4>608</vt:i4>
      </vt:variant>
      <vt:variant>
        <vt:i4>0</vt:i4>
      </vt:variant>
      <vt:variant>
        <vt:i4>5</vt:i4>
      </vt:variant>
      <vt:variant>
        <vt:lpwstr/>
      </vt:variant>
      <vt:variant>
        <vt:lpwstr>_Toc169549121</vt:lpwstr>
      </vt:variant>
      <vt:variant>
        <vt:i4>2031677</vt:i4>
      </vt:variant>
      <vt:variant>
        <vt:i4>602</vt:i4>
      </vt:variant>
      <vt:variant>
        <vt:i4>0</vt:i4>
      </vt:variant>
      <vt:variant>
        <vt:i4>5</vt:i4>
      </vt:variant>
      <vt:variant>
        <vt:lpwstr/>
      </vt:variant>
      <vt:variant>
        <vt:lpwstr>_Toc169549120</vt:lpwstr>
      </vt:variant>
      <vt:variant>
        <vt:i4>1835069</vt:i4>
      </vt:variant>
      <vt:variant>
        <vt:i4>596</vt:i4>
      </vt:variant>
      <vt:variant>
        <vt:i4>0</vt:i4>
      </vt:variant>
      <vt:variant>
        <vt:i4>5</vt:i4>
      </vt:variant>
      <vt:variant>
        <vt:lpwstr/>
      </vt:variant>
      <vt:variant>
        <vt:lpwstr>_Toc169549119</vt:lpwstr>
      </vt:variant>
      <vt:variant>
        <vt:i4>1835069</vt:i4>
      </vt:variant>
      <vt:variant>
        <vt:i4>590</vt:i4>
      </vt:variant>
      <vt:variant>
        <vt:i4>0</vt:i4>
      </vt:variant>
      <vt:variant>
        <vt:i4>5</vt:i4>
      </vt:variant>
      <vt:variant>
        <vt:lpwstr/>
      </vt:variant>
      <vt:variant>
        <vt:lpwstr>_Toc169549118</vt:lpwstr>
      </vt:variant>
      <vt:variant>
        <vt:i4>1835069</vt:i4>
      </vt:variant>
      <vt:variant>
        <vt:i4>584</vt:i4>
      </vt:variant>
      <vt:variant>
        <vt:i4>0</vt:i4>
      </vt:variant>
      <vt:variant>
        <vt:i4>5</vt:i4>
      </vt:variant>
      <vt:variant>
        <vt:lpwstr/>
      </vt:variant>
      <vt:variant>
        <vt:lpwstr>_Toc169549117</vt:lpwstr>
      </vt:variant>
      <vt:variant>
        <vt:i4>1835069</vt:i4>
      </vt:variant>
      <vt:variant>
        <vt:i4>578</vt:i4>
      </vt:variant>
      <vt:variant>
        <vt:i4>0</vt:i4>
      </vt:variant>
      <vt:variant>
        <vt:i4>5</vt:i4>
      </vt:variant>
      <vt:variant>
        <vt:lpwstr/>
      </vt:variant>
      <vt:variant>
        <vt:lpwstr>_Toc169549116</vt:lpwstr>
      </vt:variant>
      <vt:variant>
        <vt:i4>1835069</vt:i4>
      </vt:variant>
      <vt:variant>
        <vt:i4>572</vt:i4>
      </vt:variant>
      <vt:variant>
        <vt:i4>0</vt:i4>
      </vt:variant>
      <vt:variant>
        <vt:i4>5</vt:i4>
      </vt:variant>
      <vt:variant>
        <vt:lpwstr/>
      </vt:variant>
      <vt:variant>
        <vt:lpwstr>_Toc169549115</vt:lpwstr>
      </vt:variant>
      <vt:variant>
        <vt:i4>1835069</vt:i4>
      </vt:variant>
      <vt:variant>
        <vt:i4>566</vt:i4>
      </vt:variant>
      <vt:variant>
        <vt:i4>0</vt:i4>
      </vt:variant>
      <vt:variant>
        <vt:i4>5</vt:i4>
      </vt:variant>
      <vt:variant>
        <vt:lpwstr/>
      </vt:variant>
      <vt:variant>
        <vt:lpwstr>_Toc169549114</vt:lpwstr>
      </vt:variant>
      <vt:variant>
        <vt:i4>1835069</vt:i4>
      </vt:variant>
      <vt:variant>
        <vt:i4>560</vt:i4>
      </vt:variant>
      <vt:variant>
        <vt:i4>0</vt:i4>
      </vt:variant>
      <vt:variant>
        <vt:i4>5</vt:i4>
      </vt:variant>
      <vt:variant>
        <vt:lpwstr/>
      </vt:variant>
      <vt:variant>
        <vt:lpwstr>_Toc169549113</vt:lpwstr>
      </vt:variant>
      <vt:variant>
        <vt:i4>1835069</vt:i4>
      </vt:variant>
      <vt:variant>
        <vt:i4>554</vt:i4>
      </vt:variant>
      <vt:variant>
        <vt:i4>0</vt:i4>
      </vt:variant>
      <vt:variant>
        <vt:i4>5</vt:i4>
      </vt:variant>
      <vt:variant>
        <vt:lpwstr/>
      </vt:variant>
      <vt:variant>
        <vt:lpwstr>_Toc169549112</vt:lpwstr>
      </vt:variant>
      <vt:variant>
        <vt:i4>1835069</vt:i4>
      </vt:variant>
      <vt:variant>
        <vt:i4>548</vt:i4>
      </vt:variant>
      <vt:variant>
        <vt:i4>0</vt:i4>
      </vt:variant>
      <vt:variant>
        <vt:i4>5</vt:i4>
      </vt:variant>
      <vt:variant>
        <vt:lpwstr/>
      </vt:variant>
      <vt:variant>
        <vt:lpwstr>_Toc169549111</vt:lpwstr>
      </vt:variant>
      <vt:variant>
        <vt:i4>1835069</vt:i4>
      </vt:variant>
      <vt:variant>
        <vt:i4>542</vt:i4>
      </vt:variant>
      <vt:variant>
        <vt:i4>0</vt:i4>
      </vt:variant>
      <vt:variant>
        <vt:i4>5</vt:i4>
      </vt:variant>
      <vt:variant>
        <vt:lpwstr/>
      </vt:variant>
      <vt:variant>
        <vt:lpwstr>_Toc169549110</vt:lpwstr>
      </vt:variant>
      <vt:variant>
        <vt:i4>1900605</vt:i4>
      </vt:variant>
      <vt:variant>
        <vt:i4>536</vt:i4>
      </vt:variant>
      <vt:variant>
        <vt:i4>0</vt:i4>
      </vt:variant>
      <vt:variant>
        <vt:i4>5</vt:i4>
      </vt:variant>
      <vt:variant>
        <vt:lpwstr/>
      </vt:variant>
      <vt:variant>
        <vt:lpwstr>_Toc169549109</vt:lpwstr>
      </vt:variant>
      <vt:variant>
        <vt:i4>1900605</vt:i4>
      </vt:variant>
      <vt:variant>
        <vt:i4>530</vt:i4>
      </vt:variant>
      <vt:variant>
        <vt:i4>0</vt:i4>
      </vt:variant>
      <vt:variant>
        <vt:i4>5</vt:i4>
      </vt:variant>
      <vt:variant>
        <vt:lpwstr/>
      </vt:variant>
      <vt:variant>
        <vt:lpwstr>_Toc169549108</vt:lpwstr>
      </vt:variant>
      <vt:variant>
        <vt:i4>1900605</vt:i4>
      </vt:variant>
      <vt:variant>
        <vt:i4>524</vt:i4>
      </vt:variant>
      <vt:variant>
        <vt:i4>0</vt:i4>
      </vt:variant>
      <vt:variant>
        <vt:i4>5</vt:i4>
      </vt:variant>
      <vt:variant>
        <vt:lpwstr/>
      </vt:variant>
      <vt:variant>
        <vt:lpwstr>_Toc169549107</vt:lpwstr>
      </vt:variant>
      <vt:variant>
        <vt:i4>1900605</vt:i4>
      </vt:variant>
      <vt:variant>
        <vt:i4>518</vt:i4>
      </vt:variant>
      <vt:variant>
        <vt:i4>0</vt:i4>
      </vt:variant>
      <vt:variant>
        <vt:i4>5</vt:i4>
      </vt:variant>
      <vt:variant>
        <vt:lpwstr/>
      </vt:variant>
      <vt:variant>
        <vt:lpwstr>_Toc169549106</vt:lpwstr>
      </vt:variant>
      <vt:variant>
        <vt:i4>1900605</vt:i4>
      </vt:variant>
      <vt:variant>
        <vt:i4>512</vt:i4>
      </vt:variant>
      <vt:variant>
        <vt:i4>0</vt:i4>
      </vt:variant>
      <vt:variant>
        <vt:i4>5</vt:i4>
      </vt:variant>
      <vt:variant>
        <vt:lpwstr/>
      </vt:variant>
      <vt:variant>
        <vt:lpwstr>_Toc169549105</vt:lpwstr>
      </vt:variant>
      <vt:variant>
        <vt:i4>1900605</vt:i4>
      </vt:variant>
      <vt:variant>
        <vt:i4>506</vt:i4>
      </vt:variant>
      <vt:variant>
        <vt:i4>0</vt:i4>
      </vt:variant>
      <vt:variant>
        <vt:i4>5</vt:i4>
      </vt:variant>
      <vt:variant>
        <vt:lpwstr/>
      </vt:variant>
      <vt:variant>
        <vt:lpwstr>_Toc169549104</vt:lpwstr>
      </vt:variant>
      <vt:variant>
        <vt:i4>1900605</vt:i4>
      </vt:variant>
      <vt:variant>
        <vt:i4>500</vt:i4>
      </vt:variant>
      <vt:variant>
        <vt:i4>0</vt:i4>
      </vt:variant>
      <vt:variant>
        <vt:i4>5</vt:i4>
      </vt:variant>
      <vt:variant>
        <vt:lpwstr/>
      </vt:variant>
      <vt:variant>
        <vt:lpwstr>_Toc169549103</vt:lpwstr>
      </vt:variant>
      <vt:variant>
        <vt:i4>1900605</vt:i4>
      </vt:variant>
      <vt:variant>
        <vt:i4>494</vt:i4>
      </vt:variant>
      <vt:variant>
        <vt:i4>0</vt:i4>
      </vt:variant>
      <vt:variant>
        <vt:i4>5</vt:i4>
      </vt:variant>
      <vt:variant>
        <vt:lpwstr/>
      </vt:variant>
      <vt:variant>
        <vt:lpwstr>_Toc169549102</vt:lpwstr>
      </vt:variant>
      <vt:variant>
        <vt:i4>1900605</vt:i4>
      </vt:variant>
      <vt:variant>
        <vt:i4>488</vt:i4>
      </vt:variant>
      <vt:variant>
        <vt:i4>0</vt:i4>
      </vt:variant>
      <vt:variant>
        <vt:i4>5</vt:i4>
      </vt:variant>
      <vt:variant>
        <vt:lpwstr/>
      </vt:variant>
      <vt:variant>
        <vt:lpwstr>_Toc169549101</vt:lpwstr>
      </vt:variant>
      <vt:variant>
        <vt:i4>1900605</vt:i4>
      </vt:variant>
      <vt:variant>
        <vt:i4>482</vt:i4>
      </vt:variant>
      <vt:variant>
        <vt:i4>0</vt:i4>
      </vt:variant>
      <vt:variant>
        <vt:i4>5</vt:i4>
      </vt:variant>
      <vt:variant>
        <vt:lpwstr/>
      </vt:variant>
      <vt:variant>
        <vt:lpwstr>_Toc169549100</vt:lpwstr>
      </vt:variant>
      <vt:variant>
        <vt:i4>1310780</vt:i4>
      </vt:variant>
      <vt:variant>
        <vt:i4>476</vt:i4>
      </vt:variant>
      <vt:variant>
        <vt:i4>0</vt:i4>
      </vt:variant>
      <vt:variant>
        <vt:i4>5</vt:i4>
      </vt:variant>
      <vt:variant>
        <vt:lpwstr/>
      </vt:variant>
      <vt:variant>
        <vt:lpwstr>_Toc169549099</vt:lpwstr>
      </vt:variant>
      <vt:variant>
        <vt:i4>1310780</vt:i4>
      </vt:variant>
      <vt:variant>
        <vt:i4>470</vt:i4>
      </vt:variant>
      <vt:variant>
        <vt:i4>0</vt:i4>
      </vt:variant>
      <vt:variant>
        <vt:i4>5</vt:i4>
      </vt:variant>
      <vt:variant>
        <vt:lpwstr/>
      </vt:variant>
      <vt:variant>
        <vt:lpwstr>_Toc169549098</vt:lpwstr>
      </vt:variant>
      <vt:variant>
        <vt:i4>1310780</vt:i4>
      </vt:variant>
      <vt:variant>
        <vt:i4>464</vt:i4>
      </vt:variant>
      <vt:variant>
        <vt:i4>0</vt:i4>
      </vt:variant>
      <vt:variant>
        <vt:i4>5</vt:i4>
      </vt:variant>
      <vt:variant>
        <vt:lpwstr/>
      </vt:variant>
      <vt:variant>
        <vt:lpwstr>_Toc169549097</vt:lpwstr>
      </vt:variant>
      <vt:variant>
        <vt:i4>1310780</vt:i4>
      </vt:variant>
      <vt:variant>
        <vt:i4>458</vt:i4>
      </vt:variant>
      <vt:variant>
        <vt:i4>0</vt:i4>
      </vt:variant>
      <vt:variant>
        <vt:i4>5</vt:i4>
      </vt:variant>
      <vt:variant>
        <vt:lpwstr/>
      </vt:variant>
      <vt:variant>
        <vt:lpwstr>_Toc169549096</vt:lpwstr>
      </vt:variant>
      <vt:variant>
        <vt:i4>1310780</vt:i4>
      </vt:variant>
      <vt:variant>
        <vt:i4>452</vt:i4>
      </vt:variant>
      <vt:variant>
        <vt:i4>0</vt:i4>
      </vt:variant>
      <vt:variant>
        <vt:i4>5</vt:i4>
      </vt:variant>
      <vt:variant>
        <vt:lpwstr/>
      </vt:variant>
      <vt:variant>
        <vt:lpwstr>_Toc169549095</vt:lpwstr>
      </vt:variant>
      <vt:variant>
        <vt:i4>1310780</vt:i4>
      </vt:variant>
      <vt:variant>
        <vt:i4>446</vt:i4>
      </vt:variant>
      <vt:variant>
        <vt:i4>0</vt:i4>
      </vt:variant>
      <vt:variant>
        <vt:i4>5</vt:i4>
      </vt:variant>
      <vt:variant>
        <vt:lpwstr/>
      </vt:variant>
      <vt:variant>
        <vt:lpwstr>_Toc169549094</vt:lpwstr>
      </vt:variant>
      <vt:variant>
        <vt:i4>1310780</vt:i4>
      </vt:variant>
      <vt:variant>
        <vt:i4>440</vt:i4>
      </vt:variant>
      <vt:variant>
        <vt:i4>0</vt:i4>
      </vt:variant>
      <vt:variant>
        <vt:i4>5</vt:i4>
      </vt:variant>
      <vt:variant>
        <vt:lpwstr/>
      </vt:variant>
      <vt:variant>
        <vt:lpwstr>_Toc169549093</vt:lpwstr>
      </vt:variant>
      <vt:variant>
        <vt:i4>1310780</vt:i4>
      </vt:variant>
      <vt:variant>
        <vt:i4>434</vt:i4>
      </vt:variant>
      <vt:variant>
        <vt:i4>0</vt:i4>
      </vt:variant>
      <vt:variant>
        <vt:i4>5</vt:i4>
      </vt:variant>
      <vt:variant>
        <vt:lpwstr/>
      </vt:variant>
      <vt:variant>
        <vt:lpwstr>_Toc169549092</vt:lpwstr>
      </vt:variant>
      <vt:variant>
        <vt:i4>1310780</vt:i4>
      </vt:variant>
      <vt:variant>
        <vt:i4>428</vt:i4>
      </vt:variant>
      <vt:variant>
        <vt:i4>0</vt:i4>
      </vt:variant>
      <vt:variant>
        <vt:i4>5</vt:i4>
      </vt:variant>
      <vt:variant>
        <vt:lpwstr/>
      </vt:variant>
      <vt:variant>
        <vt:lpwstr>_Toc169549091</vt:lpwstr>
      </vt:variant>
      <vt:variant>
        <vt:i4>1310780</vt:i4>
      </vt:variant>
      <vt:variant>
        <vt:i4>422</vt:i4>
      </vt:variant>
      <vt:variant>
        <vt:i4>0</vt:i4>
      </vt:variant>
      <vt:variant>
        <vt:i4>5</vt:i4>
      </vt:variant>
      <vt:variant>
        <vt:lpwstr/>
      </vt:variant>
      <vt:variant>
        <vt:lpwstr>_Toc169549090</vt:lpwstr>
      </vt:variant>
      <vt:variant>
        <vt:i4>1376316</vt:i4>
      </vt:variant>
      <vt:variant>
        <vt:i4>416</vt:i4>
      </vt:variant>
      <vt:variant>
        <vt:i4>0</vt:i4>
      </vt:variant>
      <vt:variant>
        <vt:i4>5</vt:i4>
      </vt:variant>
      <vt:variant>
        <vt:lpwstr/>
      </vt:variant>
      <vt:variant>
        <vt:lpwstr>_Toc169549089</vt:lpwstr>
      </vt:variant>
      <vt:variant>
        <vt:i4>1376316</vt:i4>
      </vt:variant>
      <vt:variant>
        <vt:i4>410</vt:i4>
      </vt:variant>
      <vt:variant>
        <vt:i4>0</vt:i4>
      </vt:variant>
      <vt:variant>
        <vt:i4>5</vt:i4>
      </vt:variant>
      <vt:variant>
        <vt:lpwstr/>
      </vt:variant>
      <vt:variant>
        <vt:lpwstr>_Toc169549088</vt:lpwstr>
      </vt:variant>
      <vt:variant>
        <vt:i4>1376316</vt:i4>
      </vt:variant>
      <vt:variant>
        <vt:i4>404</vt:i4>
      </vt:variant>
      <vt:variant>
        <vt:i4>0</vt:i4>
      </vt:variant>
      <vt:variant>
        <vt:i4>5</vt:i4>
      </vt:variant>
      <vt:variant>
        <vt:lpwstr/>
      </vt:variant>
      <vt:variant>
        <vt:lpwstr>_Toc169549087</vt:lpwstr>
      </vt:variant>
      <vt:variant>
        <vt:i4>1376316</vt:i4>
      </vt:variant>
      <vt:variant>
        <vt:i4>398</vt:i4>
      </vt:variant>
      <vt:variant>
        <vt:i4>0</vt:i4>
      </vt:variant>
      <vt:variant>
        <vt:i4>5</vt:i4>
      </vt:variant>
      <vt:variant>
        <vt:lpwstr/>
      </vt:variant>
      <vt:variant>
        <vt:lpwstr>_Toc169549086</vt:lpwstr>
      </vt:variant>
      <vt:variant>
        <vt:i4>1376316</vt:i4>
      </vt:variant>
      <vt:variant>
        <vt:i4>392</vt:i4>
      </vt:variant>
      <vt:variant>
        <vt:i4>0</vt:i4>
      </vt:variant>
      <vt:variant>
        <vt:i4>5</vt:i4>
      </vt:variant>
      <vt:variant>
        <vt:lpwstr/>
      </vt:variant>
      <vt:variant>
        <vt:lpwstr>_Toc169549085</vt:lpwstr>
      </vt:variant>
      <vt:variant>
        <vt:i4>1376316</vt:i4>
      </vt:variant>
      <vt:variant>
        <vt:i4>386</vt:i4>
      </vt:variant>
      <vt:variant>
        <vt:i4>0</vt:i4>
      </vt:variant>
      <vt:variant>
        <vt:i4>5</vt:i4>
      </vt:variant>
      <vt:variant>
        <vt:lpwstr/>
      </vt:variant>
      <vt:variant>
        <vt:lpwstr>_Toc169549084</vt:lpwstr>
      </vt:variant>
      <vt:variant>
        <vt:i4>1376316</vt:i4>
      </vt:variant>
      <vt:variant>
        <vt:i4>380</vt:i4>
      </vt:variant>
      <vt:variant>
        <vt:i4>0</vt:i4>
      </vt:variant>
      <vt:variant>
        <vt:i4>5</vt:i4>
      </vt:variant>
      <vt:variant>
        <vt:lpwstr/>
      </vt:variant>
      <vt:variant>
        <vt:lpwstr>_Toc169549083</vt:lpwstr>
      </vt:variant>
      <vt:variant>
        <vt:i4>1376316</vt:i4>
      </vt:variant>
      <vt:variant>
        <vt:i4>374</vt:i4>
      </vt:variant>
      <vt:variant>
        <vt:i4>0</vt:i4>
      </vt:variant>
      <vt:variant>
        <vt:i4>5</vt:i4>
      </vt:variant>
      <vt:variant>
        <vt:lpwstr/>
      </vt:variant>
      <vt:variant>
        <vt:lpwstr>_Toc169549082</vt:lpwstr>
      </vt:variant>
      <vt:variant>
        <vt:i4>1376316</vt:i4>
      </vt:variant>
      <vt:variant>
        <vt:i4>368</vt:i4>
      </vt:variant>
      <vt:variant>
        <vt:i4>0</vt:i4>
      </vt:variant>
      <vt:variant>
        <vt:i4>5</vt:i4>
      </vt:variant>
      <vt:variant>
        <vt:lpwstr/>
      </vt:variant>
      <vt:variant>
        <vt:lpwstr>_Toc169549081</vt:lpwstr>
      </vt:variant>
      <vt:variant>
        <vt:i4>1376316</vt:i4>
      </vt:variant>
      <vt:variant>
        <vt:i4>362</vt:i4>
      </vt:variant>
      <vt:variant>
        <vt:i4>0</vt:i4>
      </vt:variant>
      <vt:variant>
        <vt:i4>5</vt:i4>
      </vt:variant>
      <vt:variant>
        <vt:lpwstr/>
      </vt:variant>
      <vt:variant>
        <vt:lpwstr>_Toc169549080</vt:lpwstr>
      </vt:variant>
      <vt:variant>
        <vt:i4>1703996</vt:i4>
      </vt:variant>
      <vt:variant>
        <vt:i4>356</vt:i4>
      </vt:variant>
      <vt:variant>
        <vt:i4>0</vt:i4>
      </vt:variant>
      <vt:variant>
        <vt:i4>5</vt:i4>
      </vt:variant>
      <vt:variant>
        <vt:lpwstr/>
      </vt:variant>
      <vt:variant>
        <vt:lpwstr>_Toc169549079</vt:lpwstr>
      </vt:variant>
      <vt:variant>
        <vt:i4>1703996</vt:i4>
      </vt:variant>
      <vt:variant>
        <vt:i4>350</vt:i4>
      </vt:variant>
      <vt:variant>
        <vt:i4>0</vt:i4>
      </vt:variant>
      <vt:variant>
        <vt:i4>5</vt:i4>
      </vt:variant>
      <vt:variant>
        <vt:lpwstr/>
      </vt:variant>
      <vt:variant>
        <vt:lpwstr>_Toc169549078</vt:lpwstr>
      </vt:variant>
      <vt:variant>
        <vt:i4>1703996</vt:i4>
      </vt:variant>
      <vt:variant>
        <vt:i4>344</vt:i4>
      </vt:variant>
      <vt:variant>
        <vt:i4>0</vt:i4>
      </vt:variant>
      <vt:variant>
        <vt:i4>5</vt:i4>
      </vt:variant>
      <vt:variant>
        <vt:lpwstr/>
      </vt:variant>
      <vt:variant>
        <vt:lpwstr>_Toc169549077</vt:lpwstr>
      </vt:variant>
      <vt:variant>
        <vt:i4>1703996</vt:i4>
      </vt:variant>
      <vt:variant>
        <vt:i4>338</vt:i4>
      </vt:variant>
      <vt:variant>
        <vt:i4>0</vt:i4>
      </vt:variant>
      <vt:variant>
        <vt:i4>5</vt:i4>
      </vt:variant>
      <vt:variant>
        <vt:lpwstr/>
      </vt:variant>
      <vt:variant>
        <vt:lpwstr>_Toc169549076</vt:lpwstr>
      </vt:variant>
      <vt:variant>
        <vt:i4>1703996</vt:i4>
      </vt:variant>
      <vt:variant>
        <vt:i4>332</vt:i4>
      </vt:variant>
      <vt:variant>
        <vt:i4>0</vt:i4>
      </vt:variant>
      <vt:variant>
        <vt:i4>5</vt:i4>
      </vt:variant>
      <vt:variant>
        <vt:lpwstr/>
      </vt:variant>
      <vt:variant>
        <vt:lpwstr>_Toc169549075</vt:lpwstr>
      </vt:variant>
      <vt:variant>
        <vt:i4>1703996</vt:i4>
      </vt:variant>
      <vt:variant>
        <vt:i4>326</vt:i4>
      </vt:variant>
      <vt:variant>
        <vt:i4>0</vt:i4>
      </vt:variant>
      <vt:variant>
        <vt:i4>5</vt:i4>
      </vt:variant>
      <vt:variant>
        <vt:lpwstr/>
      </vt:variant>
      <vt:variant>
        <vt:lpwstr>_Toc169549074</vt:lpwstr>
      </vt:variant>
      <vt:variant>
        <vt:i4>1703996</vt:i4>
      </vt:variant>
      <vt:variant>
        <vt:i4>320</vt:i4>
      </vt:variant>
      <vt:variant>
        <vt:i4>0</vt:i4>
      </vt:variant>
      <vt:variant>
        <vt:i4>5</vt:i4>
      </vt:variant>
      <vt:variant>
        <vt:lpwstr/>
      </vt:variant>
      <vt:variant>
        <vt:lpwstr>_Toc169549073</vt:lpwstr>
      </vt:variant>
      <vt:variant>
        <vt:i4>1703996</vt:i4>
      </vt:variant>
      <vt:variant>
        <vt:i4>314</vt:i4>
      </vt:variant>
      <vt:variant>
        <vt:i4>0</vt:i4>
      </vt:variant>
      <vt:variant>
        <vt:i4>5</vt:i4>
      </vt:variant>
      <vt:variant>
        <vt:lpwstr/>
      </vt:variant>
      <vt:variant>
        <vt:lpwstr>_Toc169549072</vt:lpwstr>
      </vt:variant>
      <vt:variant>
        <vt:i4>1703996</vt:i4>
      </vt:variant>
      <vt:variant>
        <vt:i4>308</vt:i4>
      </vt:variant>
      <vt:variant>
        <vt:i4>0</vt:i4>
      </vt:variant>
      <vt:variant>
        <vt:i4>5</vt:i4>
      </vt:variant>
      <vt:variant>
        <vt:lpwstr/>
      </vt:variant>
      <vt:variant>
        <vt:lpwstr>_Toc169549071</vt:lpwstr>
      </vt:variant>
      <vt:variant>
        <vt:i4>1703996</vt:i4>
      </vt:variant>
      <vt:variant>
        <vt:i4>302</vt:i4>
      </vt:variant>
      <vt:variant>
        <vt:i4>0</vt:i4>
      </vt:variant>
      <vt:variant>
        <vt:i4>5</vt:i4>
      </vt:variant>
      <vt:variant>
        <vt:lpwstr/>
      </vt:variant>
      <vt:variant>
        <vt:lpwstr>_Toc169549070</vt:lpwstr>
      </vt:variant>
      <vt:variant>
        <vt:i4>1769532</vt:i4>
      </vt:variant>
      <vt:variant>
        <vt:i4>296</vt:i4>
      </vt:variant>
      <vt:variant>
        <vt:i4>0</vt:i4>
      </vt:variant>
      <vt:variant>
        <vt:i4>5</vt:i4>
      </vt:variant>
      <vt:variant>
        <vt:lpwstr/>
      </vt:variant>
      <vt:variant>
        <vt:lpwstr>_Toc169549069</vt:lpwstr>
      </vt:variant>
      <vt:variant>
        <vt:i4>1769532</vt:i4>
      </vt:variant>
      <vt:variant>
        <vt:i4>290</vt:i4>
      </vt:variant>
      <vt:variant>
        <vt:i4>0</vt:i4>
      </vt:variant>
      <vt:variant>
        <vt:i4>5</vt:i4>
      </vt:variant>
      <vt:variant>
        <vt:lpwstr/>
      </vt:variant>
      <vt:variant>
        <vt:lpwstr>_Toc169549068</vt:lpwstr>
      </vt:variant>
      <vt:variant>
        <vt:i4>1769532</vt:i4>
      </vt:variant>
      <vt:variant>
        <vt:i4>284</vt:i4>
      </vt:variant>
      <vt:variant>
        <vt:i4>0</vt:i4>
      </vt:variant>
      <vt:variant>
        <vt:i4>5</vt:i4>
      </vt:variant>
      <vt:variant>
        <vt:lpwstr/>
      </vt:variant>
      <vt:variant>
        <vt:lpwstr>_Toc169549067</vt:lpwstr>
      </vt:variant>
      <vt:variant>
        <vt:i4>1769532</vt:i4>
      </vt:variant>
      <vt:variant>
        <vt:i4>278</vt:i4>
      </vt:variant>
      <vt:variant>
        <vt:i4>0</vt:i4>
      </vt:variant>
      <vt:variant>
        <vt:i4>5</vt:i4>
      </vt:variant>
      <vt:variant>
        <vt:lpwstr/>
      </vt:variant>
      <vt:variant>
        <vt:lpwstr>_Toc169549066</vt:lpwstr>
      </vt:variant>
      <vt:variant>
        <vt:i4>1769532</vt:i4>
      </vt:variant>
      <vt:variant>
        <vt:i4>272</vt:i4>
      </vt:variant>
      <vt:variant>
        <vt:i4>0</vt:i4>
      </vt:variant>
      <vt:variant>
        <vt:i4>5</vt:i4>
      </vt:variant>
      <vt:variant>
        <vt:lpwstr/>
      </vt:variant>
      <vt:variant>
        <vt:lpwstr>_Toc169549065</vt:lpwstr>
      </vt:variant>
      <vt:variant>
        <vt:i4>1769532</vt:i4>
      </vt:variant>
      <vt:variant>
        <vt:i4>266</vt:i4>
      </vt:variant>
      <vt:variant>
        <vt:i4>0</vt:i4>
      </vt:variant>
      <vt:variant>
        <vt:i4>5</vt:i4>
      </vt:variant>
      <vt:variant>
        <vt:lpwstr/>
      </vt:variant>
      <vt:variant>
        <vt:lpwstr>_Toc169549064</vt:lpwstr>
      </vt:variant>
      <vt:variant>
        <vt:i4>1769532</vt:i4>
      </vt:variant>
      <vt:variant>
        <vt:i4>260</vt:i4>
      </vt:variant>
      <vt:variant>
        <vt:i4>0</vt:i4>
      </vt:variant>
      <vt:variant>
        <vt:i4>5</vt:i4>
      </vt:variant>
      <vt:variant>
        <vt:lpwstr/>
      </vt:variant>
      <vt:variant>
        <vt:lpwstr>_Toc169549063</vt:lpwstr>
      </vt:variant>
      <vt:variant>
        <vt:i4>1769532</vt:i4>
      </vt:variant>
      <vt:variant>
        <vt:i4>254</vt:i4>
      </vt:variant>
      <vt:variant>
        <vt:i4>0</vt:i4>
      </vt:variant>
      <vt:variant>
        <vt:i4>5</vt:i4>
      </vt:variant>
      <vt:variant>
        <vt:lpwstr/>
      </vt:variant>
      <vt:variant>
        <vt:lpwstr>_Toc169549062</vt:lpwstr>
      </vt:variant>
      <vt:variant>
        <vt:i4>1769532</vt:i4>
      </vt:variant>
      <vt:variant>
        <vt:i4>248</vt:i4>
      </vt:variant>
      <vt:variant>
        <vt:i4>0</vt:i4>
      </vt:variant>
      <vt:variant>
        <vt:i4>5</vt:i4>
      </vt:variant>
      <vt:variant>
        <vt:lpwstr/>
      </vt:variant>
      <vt:variant>
        <vt:lpwstr>_Toc169549061</vt:lpwstr>
      </vt:variant>
      <vt:variant>
        <vt:i4>1769532</vt:i4>
      </vt:variant>
      <vt:variant>
        <vt:i4>242</vt:i4>
      </vt:variant>
      <vt:variant>
        <vt:i4>0</vt:i4>
      </vt:variant>
      <vt:variant>
        <vt:i4>5</vt:i4>
      </vt:variant>
      <vt:variant>
        <vt:lpwstr/>
      </vt:variant>
      <vt:variant>
        <vt:lpwstr>_Toc169549060</vt:lpwstr>
      </vt:variant>
      <vt:variant>
        <vt:i4>1572924</vt:i4>
      </vt:variant>
      <vt:variant>
        <vt:i4>236</vt:i4>
      </vt:variant>
      <vt:variant>
        <vt:i4>0</vt:i4>
      </vt:variant>
      <vt:variant>
        <vt:i4>5</vt:i4>
      </vt:variant>
      <vt:variant>
        <vt:lpwstr/>
      </vt:variant>
      <vt:variant>
        <vt:lpwstr>_Toc169549059</vt:lpwstr>
      </vt:variant>
      <vt:variant>
        <vt:i4>1572924</vt:i4>
      </vt:variant>
      <vt:variant>
        <vt:i4>230</vt:i4>
      </vt:variant>
      <vt:variant>
        <vt:i4>0</vt:i4>
      </vt:variant>
      <vt:variant>
        <vt:i4>5</vt:i4>
      </vt:variant>
      <vt:variant>
        <vt:lpwstr/>
      </vt:variant>
      <vt:variant>
        <vt:lpwstr>_Toc169549058</vt:lpwstr>
      </vt:variant>
      <vt:variant>
        <vt:i4>1572924</vt:i4>
      </vt:variant>
      <vt:variant>
        <vt:i4>224</vt:i4>
      </vt:variant>
      <vt:variant>
        <vt:i4>0</vt:i4>
      </vt:variant>
      <vt:variant>
        <vt:i4>5</vt:i4>
      </vt:variant>
      <vt:variant>
        <vt:lpwstr/>
      </vt:variant>
      <vt:variant>
        <vt:lpwstr>_Toc169549057</vt:lpwstr>
      </vt:variant>
      <vt:variant>
        <vt:i4>1572924</vt:i4>
      </vt:variant>
      <vt:variant>
        <vt:i4>218</vt:i4>
      </vt:variant>
      <vt:variant>
        <vt:i4>0</vt:i4>
      </vt:variant>
      <vt:variant>
        <vt:i4>5</vt:i4>
      </vt:variant>
      <vt:variant>
        <vt:lpwstr/>
      </vt:variant>
      <vt:variant>
        <vt:lpwstr>_Toc169549056</vt:lpwstr>
      </vt:variant>
      <vt:variant>
        <vt:i4>1572924</vt:i4>
      </vt:variant>
      <vt:variant>
        <vt:i4>212</vt:i4>
      </vt:variant>
      <vt:variant>
        <vt:i4>0</vt:i4>
      </vt:variant>
      <vt:variant>
        <vt:i4>5</vt:i4>
      </vt:variant>
      <vt:variant>
        <vt:lpwstr/>
      </vt:variant>
      <vt:variant>
        <vt:lpwstr>_Toc169549055</vt:lpwstr>
      </vt:variant>
      <vt:variant>
        <vt:i4>1572924</vt:i4>
      </vt:variant>
      <vt:variant>
        <vt:i4>206</vt:i4>
      </vt:variant>
      <vt:variant>
        <vt:i4>0</vt:i4>
      </vt:variant>
      <vt:variant>
        <vt:i4>5</vt:i4>
      </vt:variant>
      <vt:variant>
        <vt:lpwstr/>
      </vt:variant>
      <vt:variant>
        <vt:lpwstr>_Toc169549054</vt:lpwstr>
      </vt:variant>
      <vt:variant>
        <vt:i4>1572924</vt:i4>
      </vt:variant>
      <vt:variant>
        <vt:i4>200</vt:i4>
      </vt:variant>
      <vt:variant>
        <vt:i4>0</vt:i4>
      </vt:variant>
      <vt:variant>
        <vt:i4>5</vt:i4>
      </vt:variant>
      <vt:variant>
        <vt:lpwstr/>
      </vt:variant>
      <vt:variant>
        <vt:lpwstr>_Toc169549053</vt:lpwstr>
      </vt:variant>
      <vt:variant>
        <vt:i4>1572924</vt:i4>
      </vt:variant>
      <vt:variant>
        <vt:i4>194</vt:i4>
      </vt:variant>
      <vt:variant>
        <vt:i4>0</vt:i4>
      </vt:variant>
      <vt:variant>
        <vt:i4>5</vt:i4>
      </vt:variant>
      <vt:variant>
        <vt:lpwstr/>
      </vt:variant>
      <vt:variant>
        <vt:lpwstr>_Toc169549052</vt:lpwstr>
      </vt:variant>
      <vt:variant>
        <vt:i4>1572924</vt:i4>
      </vt:variant>
      <vt:variant>
        <vt:i4>188</vt:i4>
      </vt:variant>
      <vt:variant>
        <vt:i4>0</vt:i4>
      </vt:variant>
      <vt:variant>
        <vt:i4>5</vt:i4>
      </vt:variant>
      <vt:variant>
        <vt:lpwstr/>
      </vt:variant>
      <vt:variant>
        <vt:lpwstr>_Toc169549051</vt:lpwstr>
      </vt:variant>
      <vt:variant>
        <vt:i4>1572924</vt:i4>
      </vt:variant>
      <vt:variant>
        <vt:i4>182</vt:i4>
      </vt:variant>
      <vt:variant>
        <vt:i4>0</vt:i4>
      </vt:variant>
      <vt:variant>
        <vt:i4>5</vt:i4>
      </vt:variant>
      <vt:variant>
        <vt:lpwstr/>
      </vt:variant>
      <vt:variant>
        <vt:lpwstr>_Toc169549050</vt:lpwstr>
      </vt:variant>
      <vt:variant>
        <vt:i4>1638460</vt:i4>
      </vt:variant>
      <vt:variant>
        <vt:i4>176</vt:i4>
      </vt:variant>
      <vt:variant>
        <vt:i4>0</vt:i4>
      </vt:variant>
      <vt:variant>
        <vt:i4>5</vt:i4>
      </vt:variant>
      <vt:variant>
        <vt:lpwstr/>
      </vt:variant>
      <vt:variant>
        <vt:lpwstr>_Toc169549049</vt:lpwstr>
      </vt:variant>
      <vt:variant>
        <vt:i4>1638460</vt:i4>
      </vt:variant>
      <vt:variant>
        <vt:i4>170</vt:i4>
      </vt:variant>
      <vt:variant>
        <vt:i4>0</vt:i4>
      </vt:variant>
      <vt:variant>
        <vt:i4>5</vt:i4>
      </vt:variant>
      <vt:variant>
        <vt:lpwstr/>
      </vt:variant>
      <vt:variant>
        <vt:lpwstr>_Toc169549048</vt:lpwstr>
      </vt:variant>
      <vt:variant>
        <vt:i4>1638460</vt:i4>
      </vt:variant>
      <vt:variant>
        <vt:i4>164</vt:i4>
      </vt:variant>
      <vt:variant>
        <vt:i4>0</vt:i4>
      </vt:variant>
      <vt:variant>
        <vt:i4>5</vt:i4>
      </vt:variant>
      <vt:variant>
        <vt:lpwstr/>
      </vt:variant>
      <vt:variant>
        <vt:lpwstr>_Toc169549047</vt:lpwstr>
      </vt:variant>
      <vt:variant>
        <vt:i4>1638460</vt:i4>
      </vt:variant>
      <vt:variant>
        <vt:i4>158</vt:i4>
      </vt:variant>
      <vt:variant>
        <vt:i4>0</vt:i4>
      </vt:variant>
      <vt:variant>
        <vt:i4>5</vt:i4>
      </vt:variant>
      <vt:variant>
        <vt:lpwstr/>
      </vt:variant>
      <vt:variant>
        <vt:lpwstr>_Toc169549046</vt:lpwstr>
      </vt:variant>
      <vt:variant>
        <vt:i4>1638460</vt:i4>
      </vt:variant>
      <vt:variant>
        <vt:i4>152</vt:i4>
      </vt:variant>
      <vt:variant>
        <vt:i4>0</vt:i4>
      </vt:variant>
      <vt:variant>
        <vt:i4>5</vt:i4>
      </vt:variant>
      <vt:variant>
        <vt:lpwstr/>
      </vt:variant>
      <vt:variant>
        <vt:lpwstr>_Toc169549045</vt:lpwstr>
      </vt:variant>
      <vt:variant>
        <vt:i4>1638460</vt:i4>
      </vt:variant>
      <vt:variant>
        <vt:i4>146</vt:i4>
      </vt:variant>
      <vt:variant>
        <vt:i4>0</vt:i4>
      </vt:variant>
      <vt:variant>
        <vt:i4>5</vt:i4>
      </vt:variant>
      <vt:variant>
        <vt:lpwstr/>
      </vt:variant>
      <vt:variant>
        <vt:lpwstr>_Toc169549044</vt:lpwstr>
      </vt:variant>
      <vt:variant>
        <vt:i4>1638460</vt:i4>
      </vt:variant>
      <vt:variant>
        <vt:i4>140</vt:i4>
      </vt:variant>
      <vt:variant>
        <vt:i4>0</vt:i4>
      </vt:variant>
      <vt:variant>
        <vt:i4>5</vt:i4>
      </vt:variant>
      <vt:variant>
        <vt:lpwstr/>
      </vt:variant>
      <vt:variant>
        <vt:lpwstr>_Toc169549043</vt:lpwstr>
      </vt:variant>
      <vt:variant>
        <vt:i4>1638460</vt:i4>
      </vt:variant>
      <vt:variant>
        <vt:i4>134</vt:i4>
      </vt:variant>
      <vt:variant>
        <vt:i4>0</vt:i4>
      </vt:variant>
      <vt:variant>
        <vt:i4>5</vt:i4>
      </vt:variant>
      <vt:variant>
        <vt:lpwstr/>
      </vt:variant>
      <vt:variant>
        <vt:lpwstr>_Toc169549042</vt:lpwstr>
      </vt:variant>
      <vt:variant>
        <vt:i4>1638460</vt:i4>
      </vt:variant>
      <vt:variant>
        <vt:i4>128</vt:i4>
      </vt:variant>
      <vt:variant>
        <vt:i4>0</vt:i4>
      </vt:variant>
      <vt:variant>
        <vt:i4>5</vt:i4>
      </vt:variant>
      <vt:variant>
        <vt:lpwstr/>
      </vt:variant>
      <vt:variant>
        <vt:lpwstr>_Toc169549041</vt:lpwstr>
      </vt:variant>
      <vt:variant>
        <vt:i4>1638460</vt:i4>
      </vt:variant>
      <vt:variant>
        <vt:i4>122</vt:i4>
      </vt:variant>
      <vt:variant>
        <vt:i4>0</vt:i4>
      </vt:variant>
      <vt:variant>
        <vt:i4>5</vt:i4>
      </vt:variant>
      <vt:variant>
        <vt:lpwstr/>
      </vt:variant>
      <vt:variant>
        <vt:lpwstr>_Toc169549040</vt:lpwstr>
      </vt:variant>
      <vt:variant>
        <vt:i4>1966140</vt:i4>
      </vt:variant>
      <vt:variant>
        <vt:i4>116</vt:i4>
      </vt:variant>
      <vt:variant>
        <vt:i4>0</vt:i4>
      </vt:variant>
      <vt:variant>
        <vt:i4>5</vt:i4>
      </vt:variant>
      <vt:variant>
        <vt:lpwstr/>
      </vt:variant>
      <vt:variant>
        <vt:lpwstr>_Toc169549039</vt:lpwstr>
      </vt:variant>
      <vt:variant>
        <vt:i4>1966140</vt:i4>
      </vt:variant>
      <vt:variant>
        <vt:i4>110</vt:i4>
      </vt:variant>
      <vt:variant>
        <vt:i4>0</vt:i4>
      </vt:variant>
      <vt:variant>
        <vt:i4>5</vt:i4>
      </vt:variant>
      <vt:variant>
        <vt:lpwstr/>
      </vt:variant>
      <vt:variant>
        <vt:lpwstr>_Toc169549038</vt:lpwstr>
      </vt:variant>
      <vt:variant>
        <vt:i4>1966140</vt:i4>
      </vt:variant>
      <vt:variant>
        <vt:i4>104</vt:i4>
      </vt:variant>
      <vt:variant>
        <vt:i4>0</vt:i4>
      </vt:variant>
      <vt:variant>
        <vt:i4>5</vt:i4>
      </vt:variant>
      <vt:variant>
        <vt:lpwstr/>
      </vt:variant>
      <vt:variant>
        <vt:lpwstr>_Toc169549037</vt:lpwstr>
      </vt:variant>
      <vt:variant>
        <vt:i4>1966140</vt:i4>
      </vt:variant>
      <vt:variant>
        <vt:i4>98</vt:i4>
      </vt:variant>
      <vt:variant>
        <vt:i4>0</vt:i4>
      </vt:variant>
      <vt:variant>
        <vt:i4>5</vt:i4>
      </vt:variant>
      <vt:variant>
        <vt:lpwstr/>
      </vt:variant>
      <vt:variant>
        <vt:lpwstr>_Toc169549036</vt:lpwstr>
      </vt:variant>
      <vt:variant>
        <vt:i4>1966140</vt:i4>
      </vt:variant>
      <vt:variant>
        <vt:i4>92</vt:i4>
      </vt:variant>
      <vt:variant>
        <vt:i4>0</vt:i4>
      </vt:variant>
      <vt:variant>
        <vt:i4>5</vt:i4>
      </vt:variant>
      <vt:variant>
        <vt:lpwstr/>
      </vt:variant>
      <vt:variant>
        <vt:lpwstr>_Toc169549035</vt:lpwstr>
      </vt:variant>
      <vt:variant>
        <vt:i4>1966140</vt:i4>
      </vt:variant>
      <vt:variant>
        <vt:i4>86</vt:i4>
      </vt:variant>
      <vt:variant>
        <vt:i4>0</vt:i4>
      </vt:variant>
      <vt:variant>
        <vt:i4>5</vt:i4>
      </vt:variant>
      <vt:variant>
        <vt:lpwstr/>
      </vt:variant>
      <vt:variant>
        <vt:lpwstr>_Toc169549034</vt:lpwstr>
      </vt:variant>
      <vt:variant>
        <vt:i4>1966140</vt:i4>
      </vt:variant>
      <vt:variant>
        <vt:i4>80</vt:i4>
      </vt:variant>
      <vt:variant>
        <vt:i4>0</vt:i4>
      </vt:variant>
      <vt:variant>
        <vt:i4>5</vt:i4>
      </vt:variant>
      <vt:variant>
        <vt:lpwstr/>
      </vt:variant>
      <vt:variant>
        <vt:lpwstr>_Toc169549033</vt:lpwstr>
      </vt:variant>
      <vt:variant>
        <vt:i4>1966140</vt:i4>
      </vt:variant>
      <vt:variant>
        <vt:i4>74</vt:i4>
      </vt:variant>
      <vt:variant>
        <vt:i4>0</vt:i4>
      </vt:variant>
      <vt:variant>
        <vt:i4>5</vt:i4>
      </vt:variant>
      <vt:variant>
        <vt:lpwstr/>
      </vt:variant>
      <vt:variant>
        <vt:lpwstr>_Toc169549032</vt:lpwstr>
      </vt:variant>
      <vt:variant>
        <vt:i4>1966140</vt:i4>
      </vt:variant>
      <vt:variant>
        <vt:i4>68</vt:i4>
      </vt:variant>
      <vt:variant>
        <vt:i4>0</vt:i4>
      </vt:variant>
      <vt:variant>
        <vt:i4>5</vt:i4>
      </vt:variant>
      <vt:variant>
        <vt:lpwstr/>
      </vt:variant>
      <vt:variant>
        <vt:lpwstr>_Toc169549031</vt:lpwstr>
      </vt:variant>
      <vt:variant>
        <vt:i4>1966140</vt:i4>
      </vt:variant>
      <vt:variant>
        <vt:i4>62</vt:i4>
      </vt:variant>
      <vt:variant>
        <vt:i4>0</vt:i4>
      </vt:variant>
      <vt:variant>
        <vt:i4>5</vt:i4>
      </vt:variant>
      <vt:variant>
        <vt:lpwstr/>
      </vt:variant>
      <vt:variant>
        <vt:lpwstr>_Toc169549030</vt:lpwstr>
      </vt:variant>
      <vt:variant>
        <vt:i4>2031676</vt:i4>
      </vt:variant>
      <vt:variant>
        <vt:i4>56</vt:i4>
      </vt:variant>
      <vt:variant>
        <vt:i4>0</vt:i4>
      </vt:variant>
      <vt:variant>
        <vt:i4>5</vt:i4>
      </vt:variant>
      <vt:variant>
        <vt:lpwstr/>
      </vt:variant>
      <vt:variant>
        <vt:lpwstr>_Toc169549029</vt:lpwstr>
      </vt:variant>
      <vt:variant>
        <vt:i4>2031676</vt:i4>
      </vt:variant>
      <vt:variant>
        <vt:i4>50</vt:i4>
      </vt:variant>
      <vt:variant>
        <vt:i4>0</vt:i4>
      </vt:variant>
      <vt:variant>
        <vt:i4>5</vt:i4>
      </vt:variant>
      <vt:variant>
        <vt:lpwstr/>
      </vt:variant>
      <vt:variant>
        <vt:lpwstr>_Toc169549028</vt:lpwstr>
      </vt:variant>
      <vt:variant>
        <vt:i4>2031676</vt:i4>
      </vt:variant>
      <vt:variant>
        <vt:i4>44</vt:i4>
      </vt:variant>
      <vt:variant>
        <vt:i4>0</vt:i4>
      </vt:variant>
      <vt:variant>
        <vt:i4>5</vt:i4>
      </vt:variant>
      <vt:variant>
        <vt:lpwstr/>
      </vt:variant>
      <vt:variant>
        <vt:lpwstr>_Toc169549027</vt:lpwstr>
      </vt:variant>
      <vt:variant>
        <vt:i4>2031676</vt:i4>
      </vt:variant>
      <vt:variant>
        <vt:i4>38</vt:i4>
      </vt:variant>
      <vt:variant>
        <vt:i4>0</vt:i4>
      </vt:variant>
      <vt:variant>
        <vt:i4>5</vt:i4>
      </vt:variant>
      <vt:variant>
        <vt:lpwstr/>
      </vt:variant>
      <vt:variant>
        <vt:lpwstr>_Toc169549026</vt:lpwstr>
      </vt:variant>
      <vt:variant>
        <vt:i4>2031676</vt:i4>
      </vt:variant>
      <vt:variant>
        <vt:i4>32</vt:i4>
      </vt:variant>
      <vt:variant>
        <vt:i4>0</vt:i4>
      </vt:variant>
      <vt:variant>
        <vt:i4>5</vt:i4>
      </vt:variant>
      <vt:variant>
        <vt:lpwstr/>
      </vt:variant>
      <vt:variant>
        <vt:lpwstr>_Toc169549025</vt:lpwstr>
      </vt:variant>
      <vt:variant>
        <vt:i4>2031676</vt:i4>
      </vt:variant>
      <vt:variant>
        <vt:i4>26</vt:i4>
      </vt:variant>
      <vt:variant>
        <vt:i4>0</vt:i4>
      </vt:variant>
      <vt:variant>
        <vt:i4>5</vt:i4>
      </vt:variant>
      <vt:variant>
        <vt:lpwstr/>
      </vt:variant>
      <vt:variant>
        <vt:lpwstr>_Toc169549024</vt:lpwstr>
      </vt:variant>
      <vt:variant>
        <vt:i4>2031676</vt:i4>
      </vt:variant>
      <vt:variant>
        <vt:i4>20</vt:i4>
      </vt:variant>
      <vt:variant>
        <vt:i4>0</vt:i4>
      </vt:variant>
      <vt:variant>
        <vt:i4>5</vt:i4>
      </vt:variant>
      <vt:variant>
        <vt:lpwstr/>
      </vt:variant>
      <vt:variant>
        <vt:lpwstr>_Toc169549023</vt:lpwstr>
      </vt:variant>
      <vt:variant>
        <vt:i4>2031676</vt:i4>
      </vt:variant>
      <vt:variant>
        <vt:i4>14</vt:i4>
      </vt:variant>
      <vt:variant>
        <vt:i4>0</vt:i4>
      </vt:variant>
      <vt:variant>
        <vt:i4>5</vt:i4>
      </vt:variant>
      <vt:variant>
        <vt:lpwstr/>
      </vt:variant>
      <vt:variant>
        <vt:lpwstr>_Toc169549022</vt:lpwstr>
      </vt:variant>
      <vt:variant>
        <vt:i4>2031676</vt:i4>
      </vt:variant>
      <vt:variant>
        <vt:i4>8</vt:i4>
      </vt:variant>
      <vt:variant>
        <vt:i4>0</vt:i4>
      </vt:variant>
      <vt:variant>
        <vt:i4>5</vt:i4>
      </vt:variant>
      <vt:variant>
        <vt:lpwstr/>
      </vt:variant>
      <vt:variant>
        <vt:lpwstr>_Toc169549021</vt:lpwstr>
      </vt:variant>
      <vt:variant>
        <vt:i4>2031676</vt:i4>
      </vt:variant>
      <vt:variant>
        <vt:i4>2</vt:i4>
      </vt:variant>
      <vt:variant>
        <vt:i4>0</vt:i4>
      </vt:variant>
      <vt:variant>
        <vt:i4>5</vt:i4>
      </vt:variant>
      <vt:variant>
        <vt:lpwstr/>
      </vt:variant>
      <vt:variant>
        <vt:lpwstr>_Toc169549020</vt:lpwstr>
      </vt:variant>
      <vt:variant>
        <vt:i4>6225977</vt:i4>
      </vt:variant>
      <vt:variant>
        <vt:i4>6</vt:i4>
      </vt:variant>
      <vt:variant>
        <vt:i4>0</vt:i4>
      </vt:variant>
      <vt:variant>
        <vt:i4>5</vt:i4>
      </vt:variant>
      <vt:variant>
        <vt:lpwstr>https://static1.squarespace.com/static/5bdbb75ccef37259122e59aa/t/607cb8431453ca0b05c53bb8/1618786373138/Youth19+Brief_Transgender+and+diverse+gender+students+April2021.pdf</vt:lpwstr>
      </vt:variant>
      <vt:variant>
        <vt:lpwstr/>
      </vt:variant>
      <vt:variant>
        <vt:i4>5636115</vt:i4>
      </vt:variant>
      <vt:variant>
        <vt:i4>3</vt:i4>
      </vt:variant>
      <vt:variant>
        <vt:i4>0</vt:i4>
      </vt:variant>
      <vt:variant>
        <vt:i4>5</vt:i4>
      </vt:variant>
      <vt:variant>
        <vt:lpwstr>https://patha.nz/resources/Documents/PATHA submission on Conversion Practices Sep2021.pdf</vt:lpwstr>
      </vt:variant>
      <vt:variant>
        <vt:lpwstr/>
      </vt:variant>
      <vt:variant>
        <vt:i4>2687094</vt:i4>
      </vt:variant>
      <vt:variant>
        <vt:i4>0</vt:i4>
      </vt:variant>
      <vt:variant>
        <vt:i4>0</vt:i4>
      </vt:variant>
      <vt:variant>
        <vt:i4>5</vt:i4>
      </vt:variant>
      <vt:variant>
        <vt:lpwstr>https://www.maoridictionary.co.nz/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Isbister</dc:creator>
  <cp:keywords/>
  <dc:description/>
  <cp:lastModifiedBy>Helen Isbister</cp:lastModifiedBy>
  <cp:revision>2</cp:revision>
  <cp:lastPrinted>2024-04-05T18:05:00Z</cp:lastPrinted>
  <dcterms:created xsi:type="dcterms:W3CDTF">2024-08-28T23:10:00Z</dcterms:created>
  <dcterms:modified xsi:type="dcterms:W3CDTF">2024-08-28T23:10:00Z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0x01010070457CAD8BCE614BA0722606C68626EC</vt:lpwstr>
  </property>
  <property fmtid="{D5CDD505-2E9C-101B-9397-08002B2CF9AE}" pid="3" name="MediaServiceImageTags">
    <vt:lpwstr/>
  </property>
</Properties>
</file>